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ls" ContentType="application/vnd.ms-excel"/>
  <Default Extension="xlsx" ContentType="application/vnd.openxmlformats-officedocument.spreadsheetml.sheet"/>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charts/chart1.xml" ContentType="application/vnd.openxmlformats-officedocument.drawingml.chart+xml"/>
  <Override PartName="/word/theme/themeOverride1.xml" ContentType="application/vnd.openxmlformats-officedocument.themeOverride+xml"/>
  <Override PartName="/word/footer3.xml" ContentType="application/vnd.openxmlformats-officedocument.wordprocessingml.foot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F2E4016" w14:textId="78664621" w:rsidR="001A7C3E" w:rsidRPr="001D6D10" w:rsidRDefault="001A7C3E" w:rsidP="00920A5A">
      <w:pPr>
        <w:rPr>
          <w:rFonts w:ascii="ＭＳ 明朝" w:hAnsi="ＭＳ 明朝"/>
          <w:b/>
          <w:spacing w:val="50"/>
          <w:sz w:val="28"/>
          <w:szCs w:val="28"/>
        </w:rPr>
      </w:pPr>
    </w:p>
    <w:p w14:paraId="4C5D60BC" w14:textId="0694FCFC" w:rsidR="001A7C3E" w:rsidRPr="001D6D10" w:rsidRDefault="001A7C3E" w:rsidP="00A85280">
      <w:pPr>
        <w:rPr>
          <w:rFonts w:ascii="ＭＳ 明朝" w:hAnsi="ＭＳ 明朝"/>
          <w:b/>
          <w:spacing w:val="50"/>
          <w:sz w:val="72"/>
          <w:szCs w:val="72"/>
        </w:rPr>
      </w:pPr>
    </w:p>
    <w:p w14:paraId="3554F6D9" w14:textId="77777777" w:rsidR="001A7C3E" w:rsidRPr="001D6D10" w:rsidRDefault="00362DEE" w:rsidP="001A7C3E">
      <w:pPr>
        <w:jc w:val="center"/>
        <w:rPr>
          <w:rFonts w:ascii="ＭＳ 明朝" w:hAnsi="ＭＳ 明朝"/>
          <w:b/>
          <w:sz w:val="52"/>
          <w:szCs w:val="52"/>
        </w:rPr>
      </w:pPr>
      <w:r w:rsidRPr="001D6D10">
        <w:rPr>
          <w:rFonts w:ascii="ＭＳ 明朝" w:hAnsi="ＭＳ 明朝" w:hint="eastAsia"/>
          <w:b/>
          <w:sz w:val="52"/>
          <w:szCs w:val="52"/>
        </w:rPr>
        <w:t>大阪府災害等応急対策実施要領</w:t>
      </w:r>
    </w:p>
    <w:p w14:paraId="178EA18D" w14:textId="3D9523FF" w:rsidR="008C696D" w:rsidRPr="001D6D10" w:rsidRDefault="008C696D" w:rsidP="004D44CC">
      <w:pPr>
        <w:jc w:val="center"/>
        <w:rPr>
          <w:rFonts w:ascii="ＭＳ 明朝" w:hAnsi="ＭＳ 明朝"/>
          <w:b/>
          <w:sz w:val="52"/>
          <w:szCs w:val="52"/>
        </w:rPr>
      </w:pPr>
    </w:p>
    <w:p w14:paraId="55D852F9" w14:textId="77777777" w:rsidR="001A7C3E" w:rsidRPr="001D6D10" w:rsidRDefault="001A7C3E">
      <w:pPr>
        <w:rPr>
          <w:rFonts w:ascii="ＭＳ 明朝" w:hAnsi="ＭＳ 明朝"/>
        </w:rPr>
      </w:pPr>
    </w:p>
    <w:p w14:paraId="66F3EF80" w14:textId="77777777" w:rsidR="001A7C3E" w:rsidRPr="001D6D10" w:rsidRDefault="001A7C3E">
      <w:pPr>
        <w:rPr>
          <w:rFonts w:ascii="ＭＳ 明朝" w:hAnsi="ＭＳ 明朝"/>
        </w:rPr>
      </w:pPr>
    </w:p>
    <w:p w14:paraId="3737E18F" w14:textId="77777777" w:rsidR="001A7C3E" w:rsidRPr="001D6D10" w:rsidRDefault="001A7C3E">
      <w:pPr>
        <w:rPr>
          <w:rFonts w:ascii="ＭＳ 明朝" w:hAnsi="ＭＳ 明朝"/>
        </w:rPr>
      </w:pPr>
    </w:p>
    <w:p w14:paraId="75D4FF8A" w14:textId="77777777" w:rsidR="001A7C3E" w:rsidRPr="001D6D10" w:rsidRDefault="001A7C3E">
      <w:pPr>
        <w:rPr>
          <w:rFonts w:ascii="ＭＳ 明朝" w:hAnsi="ＭＳ 明朝"/>
        </w:rPr>
      </w:pPr>
    </w:p>
    <w:p w14:paraId="075C541C" w14:textId="77777777" w:rsidR="001A7C3E" w:rsidRPr="001D6D10" w:rsidRDefault="001A7C3E">
      <w:pPr>
        <w:rPr>
          <w:rFonts w:ascii="ＭＳ 明朝" w:hAnsi="ＭＳ 明朝"/>
        </w:rPr>
      </w:pPr>
    </w:p>
    <w:p w14:paraId="7C137D20" w14:textId="77777777" w:rsidR="001A7C3E" w:rsidRPr="001D6D10" w:rsidRDefault="001A7C3E">
      <w:pPr>
        <w:rPr>
          <w:rFonts w:ascii="ＭＳ 明朝" w:hAnsi="ＭＳ 明朝"/>
        </w:rPr>
      </w:pPr>
    </w:p>
    <w:p w14:paraId="12B4355B" w14:textId="77777777" w:rsidR="001A7C3E" w:rsidRPr="001D6D10" w:rsidRDefault="001A7C3E">
      <w:pPr>
        <w:rPr>
          <w:rFonts w:ascii="ＭＳ 明朝" w:hAnsi="ＭＳ 明朝"/>
        </w:rPr>
      </w:pPr>
    </w:p>
    <w:p w14:paraId="266F99EF" w14:textId="77777777" w:rsidR="00F45FDF" w:rsidRPr="001D6D10" w:rsidRDefault="00F45FDF">
      <w:pPr>
        <w:rPr>
          <w:rFonts w:ascii="ＭＳ 明朝" w:hAnsi="ＭＳ 明朝"/>
        </w:rPr>
      </w:pPr>
    </w:p>
    <w:p w14:paraId="2271304E" w14:textId="77777777" w:rsidR="001A7C3E" w:rsidRPr="001D6D10" w:rsidRDefault="001A7C3E">
      <w:pPr>
        <w:rPr>
          <w:rFonts w:ascii="ＭＳ 明朝" w:hAnsi="ＭＳ 明朝"/>
        </w:rPr>
      </w:pPr>
    </w:p>
    <w:p w14:paraId="6B56E8F0" w14:textId="77777777" w:rsidR="001A7C3E" w:rsidRPr="001D6D10" w:rsidRDefault="001A7C3E">
      <w:pPr>
        <w:rPr>
          <w:rFonts w:ascii="ＭＳ 明朝" w:hAnsi="ＭＳ 明朝"/>
        </w:rPr>
      </w:pPr>
    </w:p>
    <w:p w14:paraId="00333FC5" w14:textId="77777777" w:rsidR="001A7C3E" w:rsidRPr="001D6D10" w:rsidRDefault="001A7C3E">
      <w:pPr>
        <w:rPr>
          <w:rFonts w:ascii="ＭＳ 明朝" w:hAnsi="ＭＳ 明朝"/>
        </w:rPr>
      </w:pPr>
    </w:p>
    <w:p w14:paraId="4922105A" w14:textId="77777777" w:rsidR="001A7C3E" w:rsidRPr="001D6D10" w:rsidRDefault="001A7C3E">
      <w:pPr>
        <w:rPr>
          <w:rFonts w:ascii="ＭＳ 明朝" w:hAnsi="ＭＳ 明朝"/>
        </w:rPr>
      </w:pPr>
    </w:p>
    <w:p w14:paraId="3ADA37D8" w14:textId="77777777" w:rsidR="001A7C3E" w:rsidRPr="001D6D10" w:rsidRDefault="001A7C3E">
      <w:pPr>
        <w:rPr>
          <w:rFonts w:ascii="ＭＳ 明朝" w:hAnsi="ＭＳ 明朝"/>
        </w:rPr>
      </w:pPr>
    </w:p>
    <w:p w14:paraId="609D37F4" w14:textId="77777777" w:rsidR="001A7C3E" w:rsidRPr="001D6D10" w:rsidRDefault="001A7C3E">
      <w:pPr>
        <w:rPr>
          <w:rFonts w:ascii="ＭＳ 明朝" w:hAnsi="ＭＳ 明朝"/>
        </w:rPr>
      </w:pPr>
    </w:p>
    <w:p w14:paraId="0A78675B" w14:textId="77777777" w:rsidR="001A7C3E" w:rsidRPr="001D6D10" w:rsidRDefault="001A7C3E">
      <w:pPr>
        <w:rPr>
          <w:rFonts w:ascii="ＭＳ 明朝" w:hAnsi="ＭＳ 明朝"/>
        </w:rPr>
      </w:pPr>
    </w:p>
    <w:p w14:paraId="4821CE1F" w14:textId="77777777" w:rsidR="001A7C3E" w:rsidRPr="001D6D10" w:rsidRDefault="001A7C3E">
      <w:pPr>
        <w:rPr>
          <w:rFonts w:ascii="ＭＳ 明朝" w:hAnsi="ＭＳ 明朝"/>
        </w:rPr>
      </w:pPr>
    </w:p>
    <w:p w14:paraId="53ED60B7" w14:textId="3782598A" w:rsidR="001A7C3E" w:rsidRPr="001D6D10" w:rsidRDefault="002879EB" w:rsidP="001A7C3E">
      <w:pPr>
        <w:jc w:val="center"/>
        <w:rPr>
          <w:rFonts w:ascii="ＭＳ 明朝" w:hAnsi="ＭＳ 明朝"/>
          <w:sz w:val="40"/>
          <w:szCs w:val="40"/>
        </w:rPr>
      </w:pPr>
      <w:r w:rsidRPr="00E0548A">
        <w:rPr>
          <w:rFonts w:ascii="ＭＳ 明朝" w:hAnsi="ＭＳ 明朝" w:hint="eastAsia"/>
          <w:sz w:val="40"/>
          <w:szCs w:val="40"/>
        </w:rPr>
        <w:t>令和</w:t>
      </w:r>
      <w:r w:rsidR="00B102C4" w:rsidRPr="00E0548A">
        <w:rPr>
          <w:rFonts w:ascii="ＭＳ 明朝" w:hAnsi="ＭＳ 明朝" w:hint="eastAsia"/>
          <w:sz w:val="40"/>
          <w:szCs w:val="40"/>
        </w:rPr>
        <w:t>８</w:t>
      </w:r>
      <w:r w:rsidR="00957CE4" w:rsidRPr="00E0548A">
        <w:rPr>
          <w:rFonts w:ascii="ＭＳ 明朝" w:hAnsi="ＭＳ 明朝" w:hint="eastAsia"/>
          <w:sz w:val="40"/>
          <w:szCs w:val="40"/>
        </w:rPr>
        <w:t>年</w:t>
      </w:r>
      <w:r w:rsidR="00990020">
        <w:rPr>
          <w:rFonts w:ascii="ＭＳ 明朝" w:hAnsi="ＭＳ 明朝" w:hint="eastAsia"/>
          <w:sz w:val="40"/>
          <w:szCs w:val="40"/>
        </w:rPr>
        <w:t>10</w:t>
      </w:r>
      <w:r w:rsidR="001A7C3E" w:rsidRPr="00E0548A">
        <w:rPr>
          <w:rFonts w:ascii="ＭＳ 明朝" w:hAnsi="ＭＳ 明朝" w:hint="eastAsia"/>
          <w:sz w:val="40"/>
          <w:szCs w:val="40"/>
        </w:rPr>
        <w:t>月</w:t>
      </w:r>
      <w:r w:rsidR="00B8760B">
        <w:rPr>
          <w:rFonts w:ascii="ＭＳ 明朝" w:hAnsi="ＭＳ 明朝" w:hint="eastAsia"/>
          <w:sz w:val="40"/>
          <w:szCs w:val="40"/>
        </w:rPr>
        <w:t>改訂</w:t>
      </w:r>
    </w:p>
    <w:p w14:paraId="54A42412" w14:textId="77777777" w:rsidR="001A7C3E" w:rsidRPr="00B8760B" w:rsidRDefault="001A7C3E">
      <w:pPr>
        <w:rPr>
          <w:rFonts w:ascii="ＭＳ 明朝" w:hAnsi="ＭＳ 明朝"/>
          <w:b/>
          <w:sz w:val="52"/>
          <w:szCs w:val="52"/>
        </w:rPr>
      </w:pPr>
    </w:p>
    <w:p w14:paraId="3808AD57" w14:textId="77777777" w:rsidR="00274505" w:rsidRPr="001D6D10" w:rsidRDefault="001A7C3E" w:rsidP="001A7C3E">
      <w:pPr>
        <w:jc w:val="center"/>
        <w:rPr>
          <w:rFonts w:ascii="ＭＳ 明朝" w:hAnsi="ＭＳ 明朝"/>
          <w:b/>
          <w:sz w:val="52"/>
          <w:szCs w:val="52"/>
        </w:rPr>
      </w:pPr>
      <w:r w:rsidRPr="001D6D10">
        <w:rPr>
          <w:rFonts w:ascii="ＭＳ 明朝" w:hAnsi="ＭＳ 明朝" w:hint="eastAsia"/>
          <w:b/>
          <w:sz w:val="52"/>
          <w:szCs w:val="52"/>
        </w:rPr>
        <w:t>大</w:t>
      </w:r>
      <w:r w:rsidR="00A60F56" w:rsidRPr="001D6D10">
        <w:rPr>
          <w:rFonts w:ascii="ＭＳ 明朝" w:hAnsi="ＭＳ 明朝" w:hint="eastAsia"/>
          <w:b/>
          <w:sz w:val="52"/>
          <w:szCs w:val="52"/>
        </w:rPr>
        <w:t xml:space="preserve">　</w:t>
      </w:r>
      <w:r w:rsidRPr="001D6D10">
        <w:rPr>
          <w:rFonts w:ascii="ＭＳ 明朝" w:hAnsi="ＭＳ 明朝" w:hint="eastAsia"/>
          <w:b/>
          <w:sz w:val="52"/>
          <w:szCs w:val="52"/>
        </w:rPr>
        <w:t>阪</w:t>
      </w:r>
      <w:r w:rsidR="00A60F56" w:rsidRPr="001D6D10">
        <w:rPr>
          <w:rFonts w:ascii="ＭＳ 明朝" w:hAnsi="ＭＳ 明朝" w:hint="eastAsia"/>
          <w:b/>
          <w:sz w:val="52"/>
          <w:szCs w:val="52"/>
        </w:rPr>
        <w:t xml:space="preserve">　</w:t>
      </w:r>
      <w:r w:rsidRPr="001D6D10">
        <w:rPr>
          <w:rFonts w:ascii="ＭＳ 明朝" w:hAnsi="ＭＳ 明朝" w:hint="eastAsia"/>
          <w:b/>
          <w:sz w:val="52"/>
          <w:szCs w:val="52"/>
        </w:rPr>
        <w:t>府</w:t>
      </w:r>
    </w:p>
    <w:p w14:paraId="3FEEC489" w14:textId="77777777" w:rsidR="00AC25BD" w:rsidRPr="001D6D10" w:rsidRDefault="00AC25BD" w:rsidP="001A7C3E">
      <w:pPr>
        <w:jc w:val="center"/>
        <w:rPr>
          <w:rFonts w:ascii="ＭＳ 明朝" w:hAnsi="ＭＳ 明朝"/>
          <w:b/>
          <w:sz w:val="52"/>
          <w:szCs w:val="52"/>
        </w:rPr>
      </w:pPr>
    </w:p>
    <w:p w14:paraId="45F6A51E" w14:textId="77777777" w:rsidR="00AC25BD" w:rsidRPr="001D6D10" w:rsidRDefault="00274505" w:rsidP="006C03BB">
      <w:pPr>
        <w:jc w:val="center"/>
        <w:rPr>
          <w:rFonts w:ascii="ＭＳ 明朝" w:hAnsi="ＭＳ 明朝"/>
          <w:b/>
          <w:sz w:val="52"/>
          <w:szCs w:val="52"/>
        </w:rPr>
        <w:sectPr w:rsidR="00AC25BD" w:rsidRPr="001D6D10" w:rsidSect="00FE02CA">
          <w:headerReference w:type="even" r:id="rId8"/>
          <w:footerReference w:type="default" r:id="rId9"/>
          <w:type w:val="continuous"/>
          <w:pgSz w:w="11906" w:h="16838" w:code="9"/>
          <w:pgMar w:top="1701" w:right="1531" w:bottom="1701" w:left="1531" w:header="850" w:footer="850" w:gutter="0"/>
          <w:pgNumType w:fmt="numberInDash" w:start="1"/>
          <w:cols w:space="425"/>
          <w:docGrid w:type="linesAndChars" w:linePitch="353" w:charSpace="225"/>
        </w:sectPr>
      </w:pPr>
      <w:r w:rsidRPr="001D6D10">
        <w:rPr>
          <w:rFonts w:ascii="ＭＳ 明朝" w:hAnsi="ＭＳ 明朝"/>
          <w:b/>
          <w:sz w:val="52"/>
          <w:szCs w:val="52"/>
        </w:rPr>
        <w:br w:type="page"/>
      </w:r>
    </w:p>
    <w:p w14:paraId="22295893" w14:textId="75039EBD" w:rsidR="00DA6D67" w:rsidRDefault="00AB666E" w:rsidP="00AB666E">
      <w:pPr>
        <w:jc w:val="center"/>
        <w:rPr>
          <w:rFonts w:ascii="ＭＳ ゴシック" w:eastAsia="ＭＳ ゴシック" w:hAnsi="ＭＳ ゴシック"/>
          <w:b/>
          <w:sz w:val="30"/>
          <w:szCs w:val="30"/>
        </w:rPr>
      </w:pPr>
      <w:r w:rsidRPr="001D6D10">
        <w:rPr>
          <w:rFonts w:ascii="ＭＳ ゴシック" w:eastAsia="ＭＳ ゴシック" w:hAnsi="ＭＳ ゴシック" w:hint="eastAsia"/>
          <w:b/>
          <w:sz w:val="30"/>
          <w:szCs w:val="30"/>
        </w:rPr>
        <w:lastRenderedPageBreak/>
        <w:t>目　　次</w:t>
      </w:r>
    </w:p>
    <w:p w14:paraId="5F5366D2" w14:textId="59CF0D3C" w:rsidR="00990020" w:rsidRPr="00D74573" w:rsidRDefault="00B63F80">
      <w:pPr>
        <w:pStyle w:val="12"/>
        <w:tabs>
          <w:tab w:val="right" w:leader="dot" w:pos="8834"/>
        </w:tabs>
        <w:rPr>
          <w:rFonts w:asciiTheme="majorEastAsia" w:eastAsiaTheme="majorEastAsia" w:hAnsiTheme="majorEastAsia" w:cstheme="minorBidi"/>
          <w:noProof/>
          <w14:ligatures w14:val="standardContextual"/>
        </w:rPr>
      </w:pPr>
      <w:r w:rsidRPr="00E0548A">
        <w:rPr>
          <w:rFonts w:asciiTheme="majorEastAsia" w:eastAsiaTheme="majorEastAsia" w:hAnsiTheme="majorEastAsia"/>
          <w:bCs/>
          <w:szCs w:val="21"/>
        </w:rPr>
        <w:fldChar w:fldCharType="begin"/>
      </w:r>
      <w:r w:rsidRPr="00E0548A">
        <w:rPr>
          <w:rFonts w:asciiTheme="majorEastAsia" w:eastAsiaTheme="majorEastAsia" w:hAnsiTheme="majorEastAsia"/>
          <w:bCs/>
          <w:szCs w:val="21"/>
        </w:rPr>
        <w:instrText xml:space="preserve"> TOC \o "1-4" \h \z \u </w:instrText>
      </w:r>
      <w:r w:rsidRPr="00E0548A">
        <w:rPr>
          <w:rFonts w:asciiTheme="majorEastAsia" w:eastAsiaTheme="majorEastAsia" w:hAnsiTheme="majorEastAsia"/>
          <w:bCs/>
          <w:szCs w:val="21"/>
        </w:rPr>
        <w:fldChar w:fldCharType="separate"/>
      </w:r>
      <w:hyperlink w:anchor="_Toc242870223" w:history="1">
        <w:r w:rsidR="00990020" w:rsidRPr="00D74573">
          <w:rPr>
            <w:rStyle w:val="ac"/>
            <w:rFonts w:asciiTheme="majorEastAsia" w:eastAsiaTheme="majorEastAsia" w:hAnsiTheme="majorEastAsia"/>
            <w:noProof/>
          </w:rPr>
          <w:t>第１章　総　則</w:t>
        </w:r>
        <w:r w:rsidR="00990020" w:rsidRPr="00D74573">
          <w:rPr>
            <w:rFonts w:asciiTheme="majorEastAsia" w:eastAsiaTheme="majorEastAsia" w:hAnsiTheme="majorEastAsia"/>
            <w:noProof/>
            <w:webHidden/>
          </w:rPr>
          <w:tab/>
        </w:r>
        <w:r w:rsidR="00990020" w:rsidRPr="00D74573">
          <w:rPr>
            <w:rFonts w:asciiTheme="majorEastAsia" w:eastAsiaTheme="majorEastAsia" w:hAnsiTheme="majorEastAsia"/>
            <w:noProof/>
            <w:webHidden/>
          </w:rPr>
          <w:fldChar w:fldCharType="begin"/>
        </w:r>
        <w:r w:rsidR="00990020" w:rsidRPr="00D74573">
          <w:rPr>
            <w:rFonts w:asciiTheme="majorEastAsia" w:eastAsiaTheme="majorEastAsia" w:hAnsiTheme="majorEastAsia"/>
            <w:noProof/>
            <w:webHidden/>
          </w:rPr>
          <w:instrText xml:space="preserve"> PAGEREF _Toc242870223 \h </w:instrText>
        </w:r>
        <w:r w:rsidR="00990020" w:rsidRPr="00D74573">
          <w:rPr>
            <w:rFonts w:asciiTheme="majorEastAsia" w:eastAsiaTheme="majorEastAsia" w:hAnsiTheme="majorEastAsia"/>
            <w:noProof/>
            <w:webHidden/>
          </w:rPr>
        </w:r>
        <w:r w:rsidR="00990020" w:rsidRPr="00D74573">
          <w:rPr>
            <w:rFonts w:asciiTheme="majorEastAsia" w:eastAsiaTheme="majorEastAsia" w:hAnsiTheme="majorEastAsia"/>
            <w:noProof/>
            <w:webHidden/>
          </w:rPr>
          <w:fldChar w:fldCharType="separate"/>
        </w:r>
        <w:r w:rsidR="00385E62">
          <w:rPr>
            <w:rFonts w:asciiTheme="majorEastAsia" w:eastAsiaTheme="majorEastAsia" w:hAnsiTheme="majorEastAsia"/>
            <w:noProof/>
            <w:webHidden/>
          </w:rPr>
          <w:t>- 1 -</w:t>
        </w:r>
        <w:r w:rsidR="00990020" w:rsidRPr="00D74573">
          <w:rPr>
            <w:rFonts w:asciiTheme="majorEastAsia" w:eastAsiaTheme="majorEastAsia" w:hAnsiTheme="majorEastAsia"/>
            <w:noProof/>
            <w:webHidden/>
          </w:rPr>
          <w:fldChar w:fldCharType="end"/>
        </w:r>
      </w:hyperlink>
    </w:p>
    <w:p w14:paraId="1D9C6E11" w14:textId="03CC1D99" w:rsidR="00990020" w:rsidRPr="00D74573" w:rsidRDefault="00990020">
      <w:pPr>
        <w:pStyle w:val="24"/>
        <w:tabs>
          <w:tab w:val="right" w:leader="dot" w:pos="8834"/>
        </w:tabs>
        <w:ind w:left="211"/>
        <w:rPr>
          <w:rFonts w:asciiTheme="majorEastAsia" w:eastAsiaTheme="majorEastAsia" w:hAnsiTheme="majorEastAsia" w:cstheme="minorBidi"/>
          <w:noProof/>
          <w14:ligatures w14:val="standardContextual"/>
        </w:rPr>
      </w:pPr>
      <w:hyperlink w:anchor="_Toc242870224" w:history="1">
        <w:r w:rsidRPr="00D74573">
          <w:rPr>
            <w:rStyle w:val="ac"/>
            <w:rFonts w:asciiTheme="majorEastAsia" w:eastAsiaTheme="majorEastAsia" w:hAnsiTheme="majorEastAsia"/>
            <w:noProof/>
          </w:rPr>
          <w:t>第１節　目　的</w:t>
        </w:r>
        <w:r w:rsidRPr="00D74573">
          <w:rPr>
            <w:rFonts w:asciiTheme="majorEastAsia" w:eastAsiaTheme="majorEastAsia" w:hAnsiTheme="majorEastAsia"/>
            <w:noProof/>
            <w:webHidden/>
          </w:rPr>
          <w:tab/>
        </w:r>
        <w:r w:rsidRPr="00D74573">
          <w:rPr>
            <w:rFonts w:asciiTheme="majorEastAsia" w:eastAsiaTheme="majorEastAsia" w:hAnsiTheme="majorEastAsia"/>
            <w:noProof/>
            <w:webHidden/>
          </w:rPr>
          <w:fldChar w:fldCharType="begin"/>
        </w:r>
        <w:r w:rsidRPr="00D74573">
          <w:rPr>
            <w:rFonts w:asciiTheme="majorEastAsia" w:eastAsiaTheme="majorEastAsia" w:hAnsiTheme="majorEastAsia"/>
            <w:noProof/>
            <w:webHidden/>
          </w:rPr>
          <w:instrText xml:space="preserve"> PAGEREF _Toc242870224 \h </w:instrText>
        </w:r>
        <w:r w:rsidRPr="00D74573">
          <w:rPr>
            <w:rFonts w:asciiTheme="majorEastAsia" w:eastAsiaTheme="majorEastAsia" w:hAnsiTheme="majorEastAsia"/>
            <w:noProof/>
            <w:webHidden/>
          </w:rPr>
        </w:r>
        <w:r w:rsidRPr="00D74573">
          <w:rPr>
            <w:rFonts w:asciiTheme="majorEastAsia" w:eastAsiaTheme="majorEastAsia" w:hAnsiTheme="majorEastAsia"/>
            <w:noProof/>
            <w:webHidden/>
          </w:rPr>
          <w:fldChar w:fldCharType="separate"/>
        </w:r>
        <w:r w:rsidR="00385E62">
          <w:rPr>
            <w:rFonts w:asciiTheme="majorEastAsia" w:eastAsiaTheme="majorEastAsia" w:hAnsiTheme="majorEastAsia"/>
            <w:noProof/>
            <w:webHidden/>
          </w:rPr>
          <w:t>- 1 -</w:t>
        </w:r>
        <w:r w:rsidRPr="00D74573">
          <w:rPr>
            <w:rFonts w:asciiTheme="majorEastAsia" w:eastAsiaTheme="majorEastAsia" w:hAnsiTheme="majorEastAsia"/>
            <w:noProof/>
            <w:webHidden/>
          </w:rPr>
          <w:fldChar w:fldCharType="end"/>
        </w:r>
      </w:hyperlink>
    </w:p>
    <w:p w14:paraId="15374B9C" w14:textId="0DB833F9" w:rsidR="00990020" w:rsidRPr="00D74573" w:rsidRDefault="00990020">
      <w:pPr>
        <w:pStyle w:val="24"/>
        <w:tabs>
          <w:tab w:val="right" w:leader="dot" w:pos="8834"/>
        </w:tabs>
        <w:ind w:left="211"/>
        <w:rPr>
          <w:rFonts w:asciiTheme="majorEastAsia" w:eastAsiaTheme="majorEastAsia" w:hAnsiTheme="majorEastAsia" w:cstheme="minorBidi"/>
          <w:noProof/>
          <w14:ligatures w14:val="standardContextual"/>
        </w:rPr>
      </w:pPr>
      <w:hyperlink w:anchor="_Toc242870225" w:history="1">
        <w:r w:rsidRPr="00D74573">
          <w:rPr>
            <w:rStyle w:val="ac"/>
            <w:rFonts w:asciiTheme="majorEastAsia" w:eastAsiaTheme="majorEastAsia" w:hAnsiTheme="majorEastAsia"/>
            <w:noProof/>
          </w:rPr>
          <w:t>第２節　対　象</w:t>
        </w:r>
        <w:r w:rsidRPr="00D74573">
          <w:rPr>
            <w:rFonts w:asciiTheme="majorEastAsia" w:eastAsiaTheme="majorEastAsia" w:hAnsiTheme="majorEastAsia"/>
            <w:noProof/>
            <w:webHidden/>
          </w:rPr>
          <w:tab/>
        </w:r>
        <w:r w:rsidRPr="00D74573">
          <w:rPr>
            <w:rFonts w:asciiTheme="majorEastAsia" w:eastAsiaTheme="majorEastAsia" w:hAnsiTheme="majorEastAsia"/>
            <w:noProof/>
            <w:webHidden/>
          </w:rPr>
          <w:fldChar w:fldCharType="begin"/>
        </w:r>
        <w:r w:rsidRPr="00D74573">
          <w:rPr>
            <w:rFonts w:asciiTheme="majorEastAsia" w:eastAsiaTheme="majorEastAsia" w:hAnsiTheme="majorEastAsia"/>
            <w:noProof/>
            <w:webHidden/>
          </w:rPr>
          <w:instrText xml:space="preserve"> PAGEREF _Toc242870225 \h </w:instrText>
        </w:r>
        <w:r w:rsidRPr="00D74573">
          <w:rPr>
            <w:rFonts w:asciiTheme="majorEastAsia" w:eastAsiaTheme="majorEastAsia" w:hAnsiTheme="majorEastAsia"/>
            <w:noProof/>
            <w:webHidden/>
          </w:rPr>
        </w:r>
        <w:r w:rsidRPr="00D74573">
          <w:rPr>
            <w:rFonts w:asciiTheme="majorEastAsia" w:eastAsiaTheme="majorEastAsia" w:hAnsiTheme="majorEastAsia"/>
            <w:noProof/>
            <w:webHidden/>
          </w:rPr>
          <w:fldChar w:fldCharType="separate"/>
        </w:r>
        <w:r w:rsidR="00385E62">
          <w:rPr>
            <w:rFonts w:asciiTheme="majorEastAsia" w:eastAsiaTheme="majorEastAsia" w:hAnsiTheme="majorEastAsia"/>
            <w:noProof/>
            <w:webHidden/>
          </w:rPr>
          <w:t>- 1 -</w:t>
        </w:r>
        <w:r w:rsidRPr="00D74573">
          <w:rPr>
            <w:rFonts w:asciiTheme="majorEastAsia" w:eastAsiaTheme="majorEastAsia" w:hAnsiTheme="majorEastAsia"/>
            <w:noProof/>
            <w:webHidden/>
          </w:rPr>
          <w:fldChar w:fldCharType="end"/>
        </w:r>
      </w:hyperlink>
    </w:p>
    <w:p w14:paraId="055C5374" w14:textId="3AA73264" w:rsidR="00990020" w:rsidRPr="00D74573" w:rsidRDefault="00990020">
      <w:pPr>
        <w:pStyle w:val="24"/>
        <w:tabs>
          <w:tab w:val="right" w:leader="dot" w:pos="8834"/>
        </w:tabs>
        <w:ind w:left="211"/>
        <w:rPr>
          <w:rFonts w:asciiTheme="majorEastAsia" w:eastAsiaTheme="majorEastAsia" w:hAnsiTheme="majorEastAsia" w:cstheme="minorBidi"/>
          <w:noProof/>
          <w14:ligatures w14:val="standardContextual"/>
        </w:rPr>
      </w:pPr>
      <w:hyperlink w:anchor="_Toc242870226" w:history="1">
        <w:r w:rsidRPr="00D74573">
          <w:rPr>
            <w:rStyle w:val="ac"/>
            <w:rFonts w:asciiTheme="majorEastAsia" w:eastAsiaTheme="majorEastAsia" w:hAnsiTheme="majorEastAsia"/>
            <w:noProof/>
          </w:rPr>
          <w:t>第３節　災害対策本部等の各部各班</w:t>
        </w:r>
        <w:r w:rsidRPr="00D74573">
          <w:rPr>
            <w:rFonts w:asciiTheme="majorEastAsia" w:eastAsiaTheme="majorEastAsia" w:hAnsiTheme="majorEastAsia"/>
            <w:noProof/>
            <w:webHidden/>
          </w:rPr>
          <w:tab/>
        </w:r>
        <w:r w:rsidRPr="00D74573">
          <w:rPr>
            <w:rFonts w:asciiTheme="majorEastAsia" w:eastAsiaTheme="majorEastAsia" w:hAnsiTheme="majorEastAsia"/>
            <w:noProof/>
            <w:webHidden/>
          </w:rPr>
          <w:fldChar w:fldCharType="begin"/>
        </w:r>
        <w:r w:rsidRPr="00D74573">
          <w:rPr>
            <w:rFonts w:asciiTheme="majorEastAsia" w:eastAsiaTheme="majorEastAsia" w:hAnsiTheme="majorEastAsia"/>
            <w:noProof/>
            <w:webHidden/>
          </w:rPr>
          <w:instrText xml:space="preserve"> PAGEREF _Toc242870226 \h </w:instrText>
        </w:r>
        <w:r w:rsidRPr="00D74573">
          <w:rPr>
            <w:rFonts w:asciiTheme="majorEastAsia" w:eastAsiaTheme="majorEastAsia" w:hAnsiTheme="majorEastAsia"/>
            <w:noProof/>
            <w:webHidden/>
          </w:rPr>
        </w:r>
        <w:r w:rsidRPr="00D74573">
          <w:rPr>
            <w:rFonts w:asciiTheme="majorEastAsia" w:eastAsiaTheme="majorEastAsia" w:hAnsiTheme="majorEastAsia"/>
            <w:noProof/>
            <w:webHidden/>
          </w:rPr>
          <w:fldChar w:fldCharType="separate"/>
        </w:r>
        <w:r w:rsidR="00385E62">
          <w:rPr>
            <w:rFonts w:asciiTheme="majorEastAsia" w:eastAsiaTheme="majorEastAsia" w:hAnsiTheme="majorEastAsia"/>
            <w:noProof/>
            <w:webHidden/>
          </w:rPr>
          <w:t>- 1 -</w:t>
        </w:r>
        <w:r w:rsidRPr="00D74573">
          <w:rPr>
            <w:rFonts w:asciiTheme="majorEastAsia" w:eastAsiaTheme="majorEastAsia" w:hAnsiTheme="majorEastAsia"/>
            <w:noProof/>
            <w:webHidden/>
          </w:rPr>
          <w:fldChar w:fldCharType="end"/>
        </w:r>
      </w:hyperlink>
    </w:p>
    <w:p w14:paraId="41FA29F6" w14:textId="60DF4665" w:rsidR="00990020" w:rsidRPr="00D74573" w:rsidRDefault="00990020">
      <w:pPr>
        <w:pStyle w:val="24"/>
        <w:tabs>
          <w:tab w:val="right" w:leader="dot" w:pos="8834"/>
        </w:tabs>
        <w:ind w:left="211"/>
        <w:rPr>
          <w:rFonts w:asciiTheme="majorEastAsia" w:eastAsiaTheme="majorEastAsia" w:hAnsiTheme="majorEastAsia" w:cstheme="minorBidi"/>
          <w:noProof/>
          <w14:ligatures w14:val="standardContextual"/>
        </w:rPr>
      </w:pPr>
      <w:hyperlink w:anchor="_Toc242870227" w:history="1">
        <w:r w:rsidRPr="00D74573">
          <w:rPr>
            <w:rStyle w:val="ac"/>
            <w:rFonts w:asciiTheme="majorEastAsia" w:eastAsiaTheme="majorEastAsia" w:hAnsiTheme="majorEastAsia"/>
            <w:noProof/>
          </w:rPr>
          <w:t>第４節　職員の配備体制</w:t>
        </w:r>
        <w:r w:rsidRPr="00D74573">
          <w:rPr>
            <w:rFonts w:asciiTheme="majorEastAsia" w:eastAsiaTheme="majorEastAsia" w:hAnsiTheme="majorEastAsia"/>
            <w:noProof/>
            <w:webHidden/>
          </w:rPr>
          <w:tab/>
        </w:r>
        <w:r w:rsidRPr="00D74573">
          <w:rPr>
            <w:rFonts w:asciiTheme="majorEastAsia" w:eastAsiaTheme="majorEastAsia" w:hAnsiTheme="majorEastAsia"/>
            <w:noProof/>
            <w:webHidden/>
          </w:rPr>
          <w:fldChar w:fldCharType="begin"/>
        </w:r>
        <w:r w:rsidRPr="00D74573">
          <w:rPr>
            <w:rFonts w:asciiTheme="majorEastAsia" w:eastAsiaTheme="majorEastAsia" w:hAnsiTheme="majorEastAsia"/>
            <w:noProof/>
            <w:webHidden/>
          </w:rPr>
          <w:instrText xml:space="preserve"> PAGEREF _Toc242870227 \h </w:instrText>
        </w:r>
        <w:r w:rsidRPr="00D74573">
          <w:rPr>
            <w:rFonts w:asciiTheme="majorEastAsia" w:eastAsiaTheme="majorEastAsia" w:hAnsiTheme="majorEastAsia"/>
            <w:noProof/>
            <w:webHidden/>
          </w:rPr>
        </w:r>
        <w:r w:rsidRPr="00D74573">
          <w:rPr>
            <w:rFonts w:asciiTheme="majorEastAsia" w:eastAsiaTheme="majorEastAsia" w:hAnsiTheme="majorEastAsia"/>
            <w:noProof/>
            <w:webHidden/>
          </w:rPr>
          <w:fldChar w:fldCharType="separate"/>
        </w:r>
        <w:r w:rsidR="00385E62">
          <w:rPr>
            <w:rFonts w:asciiTheme="majorEastAsia" w:eastAsiaTheme="majorEastAsia" w:hAnsiTheme="majorEastAsia"/>
            <w:noProof/>
            <w:webHidden/>
          </w:rPr>
          <w:t>- 2 -</w:t>
        </w:r>
        <w:r w:rsidRPr="00D74573">
          <w:rPr>
            <w:rFonts w:asciiTheme="majorEastAsia" w:eastAsiaTheme="majorEastAsia" w:hAnsiTheme="majorEastAsia"/>
            <w:noProof/>
            <w:webHidden/>
          </w:rPr>
          <w:fldChar w:fldCharType="end"/>
        </w:r>
      </w:hyperlink>
    </w:p>
    <w:p w14:paraId="35288B46" w14:textId="3EF14F93" w:rsidR="00990020" w:rsidRPr="00D74573" w:rsidRDefault="00990020">
      <w:pPr>
        <w:pStyle w:val="24"/>
        <w:tabs>
          <w:tab w:val="right" w:leader="dot" w:pos="8834"/>
        </w:tabs>
        <w:ind w:left="211"/>
        <w:rPr>
          <w:rFonts w:asciiTheme="majorEastAsia" w:eastAsiaTheme="majorEastAsia" w:hAnsiTheme="majorEastAsia" w:cstheme="minorBidi"/>
          <w:noProof/>
          <w14:ligatures w14:val="standardContextual"/>
        </w:rPr>
      </w:pPr>
      <w:hyperlink w:anchor="_Toc242870228" w:history="1">
        <w:r w:rsidRPr="00D74573">
          <w:rPr>
            <w:rStyle w:val="ac"/>
            <w:rFonts w:asciiTheme="majorEastAsia" w:eastAsiaTheme="majorEastAsia" w:hAnsiTheme="majorEastAsia"/>
            <w:noProof/>
          </w:rPr>
          <w:t>第５節　災害等時における職員の服務</w:t>
        </w:r>
        <w:r w:rsidRPr="00D74573">
          <w:rPr>
            <w:rFonts w:asciiTheme="majorEastAsia" w:eastAsiaTheme="majorEastAsia" w:hAnsiTheme="majorEastAsia"/>
            <w:noProof/>
            <w:webHidden/>
          </w:rPr>
          <w:tab/>
        </w:r>
        <w:r w:rsidRPr="00D74573">
          <w:rPr>
            <w:rFonts w:asciiTheme="majorEastAsia" w:eastAsiaTheme="majorEastAsia" w:hAnsiTheme="majorEastAsia"/>
            <w:noProof/>
            <w:webHidden/>
          </w:rPr>
          <w:fldChar w:fldCharType="begin"/>
        </w:r>
        <w:r w:rsidRPr="00D74573">
          <w:rPr>
            <w:rFonts w:asciiTheme="majorEastAsia" w:eastAsiaTheme="majorEastAsia" w:hAnsiTheme="majorEastAsia"/>
            <w:noProof/>
            <w:webHidden/>
          </w:rPr>
          <w:instrText xml:space="preserve"> PAGEREF _Toc242870228 \h </w:instrText>
        </w:r>
        <w:r w:rsidRPr="00D74573">
          <w:rPr>
            <w:rFonts w:asciiTheme="majorEastAsia" w:eastAsiaTheme="majorEastAsia" w:hAnsiTheme="majorEastAsia"/>
            <w:noProof/>
            <w:webHidden/>
          </w:rPr>
        </w:r>
        <w:r w:rsidRPr="00D74573">
          <w:rPr>
            <w:rFonts w:asciiTheme="majorEastAsia" w:eastAsiaTheme="majorEastAsia" w:hAnsiTheme="majorEastAsia"/>
            <w:noProof/>
            <w:webHidden/>
          </w:rPr>
          <w:fldChar w:fldCharType="separate"/>
        </w:r>
        <w:r w:rsidR="00385E62">
          <w:rPr>
            <w:rFonts w:asciiTheme="majorEastAsia" w:eastAsiaTheme="majorEastAsia" w:hAnsiTheme="majorEastAsia"/>
            <w:noProof/>
            <w:webHidden/>
          </w:rPr>
          <w:t>- 2 -</w:t>
        </w:r>
        <w:r w:rsidRPr="00D74573">
          <w:rPr>
            <w:rFonts w:asciiTheme="majorEastAsia" w:eastAsiaTheme="majorEastAsia" w:hAnsiTheme="majorEastAsia"/>
            <w:noProof/>
            <w:webHidden/>
          </w:rPr>
          <w:fldChar w:fldCharType="end"/>
        </w:r>
      </w:hyperlink>
    </w:p>
    <w:p w14:paraId="6F73CC27" w14:textId="27006B0F" w:rsidR="00990020" w:rsidRPr="00D74573" w:rsidRDefault="00990020">
      <w:pPr>
        <w:pStyle w:val="24"/>
        <w:tabs>
          <w:tab w:val="right" w:leader="dot" w:pos="8834"/>
        </w:tabs>
        <w:ind w:left="211"/>
        <w:rPr>
          <w:rFonts w:asciiTheme="majorEastAsia" w:eastAsiaTheme="majorEastAsia" w:hAnsiTheme="majorEastAsia" w:cstheme="minorBidi"/>
          <w:noProof/>
          <w14:ligatures w14:val="standardContextual"/>
        </w:rPr>
      </w:pPr>
      <w:hyperlink w:anchor="_Toc242870229" w:history="1">
        <w:r w:rsidRPr="00D74573">
          <w:rPr>
            <w:rStyle w:val="ac"/>
            <w:rFonts w:asciiTheme="majorEastAsia" w:eastAsiaTheme="majorEastAsia" w:hAnsiTheme="majorEastAsia"/>
            <w:noProof/>
          </w:rPr>
          <w:t>第６節　タイムラインに応じた目標行動</w:t>
        </w:r>
        <w:r w:rsidRPr="00D74573">
          <w:rPr>
            <w:rFonts w:asciiTheme="majorEastAsia" w:eastAsiaTheme="majorEastAsia" w:hAnsiTheme="majorEastAsia"/>
            <w:noProof/>
            <w:webHidden/>
          </w:rPr>
          <w:tab/>
        </w:r>
        <w:r w:rsidRPr="00D74573">
          <w:rPr>
            <w:rFonts w:asciiTheme="majorEastAsia" w:eastAsiaTheme="majorEastAsia" w:hAnsiTheme="majorEastAsia"/>
            <w:noProof/>
            <w:webHidden/>
          </w:rPr>
          <w:fldChar w:fldCharType="begin"/>
        </w:r>
        <w:r w:rsidRPr="00D74573">
          <w:rPr>
            <w:rFonts w:asciiTheme="majorEastAsia" w:eastAsiaTheme="majorEastAsia" w:hAnsiTheme="majorEastAsia"/>
            <w:noProof/>
            <w:webHidden/>
          </w:rPr>
          <w:instrText xml:space="preserve"> PAGEREF _Toc242870229 \h </w:instrText>
        </w:r>
        <w:r w:rsidRPr="00D74573">
          <w:rPr>
            <w:rFonts w:asciiTheme="majorEastAsia" w:eastAsiaTheme="majorEastAsia" w:hAnsiTheme="majorEastAsia"/>
            <w:noProof/>
            <w:webHidden/>
          </w:rPr>
        </w:r>
        <w:r w:rsidRPr="00D74573">
          <w:rPr>
            <w:rFonts w:asciiTheme="majorEastAsia" w:eastAsiaTheme="majorEastAsia" w:hAnsiTheme="majorEastAsia"/>
            <w:noProof/>
            <w:webHidden/>
          </w:rPr>
          <w:fldChar w:fldCharType="separate"/>
        </w:r>
        <w:r w:rsidR="00385E62">
          <w:rPr>
            <w:rFonts w:asciiTheme="majorEastAsia" w:eastAsiaTheme="majorEastAsia" w:hAnsiTheme="majorEastAsia"/>
            <w:noProof/>
            <w:webHidden/>
          </w:rPr>
          <w:t>- 3 -</w:t>
        </w:r>
        <w:r w:rsidRPr="00D74573">
          <w:rPr>
            <w:rFonts w:asciiTheme="majorEastAsia" w:eastAsiaTheme="majorEastAsia" w:hAnsiTheme="majorEastAsia"/>
            <w:noProof/>
            <w:webHidden/>
          </w:rPr>
          <w:fldChar w:fldCharType="end"/>
        </w:r>
      </w:hyperlink>
    </w:p>
    <w:p w14:paraId="486BD832" w14:textId="70AE3FC7" w:rsidR="00990020" w:rsidRPr="00D74573" w:rsidRDefault="00990020">
      <w:pPr>
        <w:pStyle w:val="34"/>
        <w:tabs>
          <w:tab w:val="right" w:leader="dot" w:pos="8834"/>
        </w:tabs>
        <w:ind w:left="422"/>
        <w:rPr>
          <w:rFonts w:asciiTheme="majorEastAsia" w:eastAsiaTheme="majorEastAsia" w:hAnsiTheme="majorEastAsia" w:cstheme="minorBidi"/>
          <w:noProof/>
          <w14:ligatures w14:val="standardContextual"/>
        </w:rPr>
      </w:pPr>
      <w:hyperlink w:anchor="_Toc242870230" w:history="1">
        <w:r w:rsidRPr="00D74573">
          <w:rPr>
            <w:rStyle w:val="ac"/>
            <w:rFonts w:asciiTheme="majorEastAsia" w:eastAsiaTheme="majorEastAsia" w:hAnsiTheme="majorEastAsia"/>
            <w:noProof/>
          </w:rPr>
          <w:t>第１　災害発生時タイムライン</w:t>
        </w:r>
        <w:r w:rsidRPr="00D74573">
          <w:rPr>
            <w:rFonts w:asciiTheme="majorEastAsia" w:eastAsiaTheme="majorEastAsia" w:hAnsiTheme="majorEastAsia"/>
            <w:noProof/>
            <w:webHidden/>
          </w:rPr>
          <w:tab/>
        </w:r>
        <w:r w:rsidRPr="00D74573">
          <w:rPr>
            <w:rFonts w:asciiTheme="majorEastAsia" w:eastAsiaTheme="majorEastAsia" w:hAnsiTheme="majorEastAsia"/>
            <w:noProof/>
            <w:webHidden/>
          </w:rPr>
          <w:fldChar w:fldCharType="begin"/>
        </w:r>
        <w:r w:rsidRPr="00D74573">
          <w:rPr>
            <w:rFonts w:asciiTheme="majorEastAsia" w:eastAsiaTheme="majorEastAsia" w:hAnsiTheme="majorEastAsia"/>
            <w:noProof/>
            <w:webHidden/>
          </w:rPr>
          <w:instrText xml:space="preserve"> PAGEREF _Toc242870230 \h </w:instrText>
        </w:r>
        <w:r w:rsidRPr="00D74573">
          <w:rPr>
            <w:rFonts w:asciiTheme="majorEastAsia" w:eastAsiaTheme="majorEastAsia" w:hAnsiTheme="majorEastAsia"/>
            <w:noProof/>
            <w:webHidden/>
          </w:rPr>
        </w:r>
        <w:r w:rsidRPr="00D74573">
          <w:rPr>
            <w:rFonts w:asciiTheme="majorEastAsia" w:eastAsiaTheme="majorEastAsia" w:hAnsiTheme="majorEastAsia"/>
            <w:noProof/>
            <w:webHidden/>
          </w:rPr>
          <w:fldChar w:fldCharType="separate"/>
        </w:r>
        <w:r w:rsidR="00385E62">
          <w:rPr>
            <w:rFonts w:asciiTheme="majorEastAsia" w:eastAsiaTheme="majorEastAsia" w:hAnsiTheme="majorEastAsia"/>
            <w:noProof/>
            <w:webHidden/>
          </w:rPr>
          <w:t>- 3 -</w:t>
        </w:r>
        <w:r w:rsidRPr="00D74573">
          <w:rPr>
            <w:rFonts w:asciiTheme="majorEastAsia" w:eastAsiaTheme="majorEastAsia" w:hAnsiTheme="majorEastAsia"/>
            <w:noProof/>
            <w:webHidden/>
          </w:rPr>
          <w:fldChar w:fldCharType="end"/>
        </w:r>
      </w:hyperlink>
    </w:p>
    <w:p w14:paraId="6C51E2E2" w14:textId="6F66C656" w:rsidR="00990020" w:rsidRPr="00D74573" w:rsidRDefault="00990020">
      <w:pPr>
        <w:pStyle w:val="34"/>
        <w:tabs>
          <w:tab w:val="right" w:leader="dot" w:pos="8834"/>
        </w:tabs>
        <w:ind w:left="422"/>
        <w:rPr>
          <w:rFonts w:asciiTheme="majorEastAsia" w:eastAsiaTheme="majorEastAsia" w:hAnsiTheme="majorEastAsia" w:cstheme="minorBidi"/>
          <w:noProof/>
          <w14:ligatures w14:val="standardContextual"/>
        </w:rPr>
      </w:pPr>
      <w:hyperlink w:anchor="_Toc242870231" w:history="1">
        <w:r w:rsidRPr="00D74573">
          <w:rPr>
            <w:rStyle w:val="ac"/>
            <w:rFonts w:asciiTheme="majorEastAsia" w:eastAsiaTheme="majorEastAsia" w:hAnsiTheme="majorEastAsia"/>
            <w:noProof/>
          </w:rPr>
          <w:t>第２　台風接近時の事前準備等タイムライン（大型台風を含む。）</w:t>
        </w:r>
        <w:r w:rsidRPr="00D74573">
          <w:rPr>
            <w:rFonts w:asciiTheme="majorEastAsia" w:eastAsiaTheme="majorEastAsia" w:hAnsiTheme="majorEastAsia"/>
            <w:noProof/>
            <w:webHidden/>
          </w:rPr>
          <w:tab/>
        </w:r>
        <w:r w:rsidRPr="00D74573">
          <w:rPr>
            <w:rFonts w:asciiTheme="majorEastAsia" w:eastAsiaTheme="majorEastAsia" w:hAnsiTheme="majorEastAsia"/>
            <w:noProof/>
            <w:webHidden/>
          </w:rPr>
          <w:fldChar w:fldCharType="begin"/>
        </w:r>
        <w:r w:rsidRPr="00D74573">
          <w:rPr>
            <w:rFonts w:asciiTheme="majorEastAsia" w:eastAsiaTheme="majorEastAsia" w:hAnsiTheme="majorEastAsia"/>
            <w:noProof/>
            <w:webHidden/>
          </w:rPr>
          <w:instrText xml:space="preserve"> PAGEREF _Toc242870231 \h </w:instrText>
        </w:r>
        <w:r w:rsidRPr="00D74573">
          <w:rPr>
            <w:rFonts w:asciiTheme="majorEastAsia" w:eastAsiaTheme="majorEastAsia" w:hAnsiTheme="majorEastAsia"/>
            <w:noProof/>
            <w:webHidden/>
          </w:rPr>
        </w:r>
        <w:r w:rsidRPr="00D74573">
          <w:rPr>
            <w:rFonts w:asciiTheme="majorEastAsia" w:eastAsiaTheme="majorEastAsia" w:hAnsiTheme="majorEastAsia"/>
            <w:noProof/>
            <w:webHidden/>
          </w:rPr>
          <w:fldChar w:fldCharType="separate"/>
        </w:r>
        <w:r w:rsidR="00385E62">
          <w:rPr>
            <w:rFonts w:asciiTheme="majorEastAsia" w:eastAsiaTheme="majorEastAsia" w:hAnsiTheme="majorEastAsia"/>
            <w:noProof/>
            <w:webHidden/>
          </w:rPr>
          <w:t>- 4 -</w:t>
        </w:r>
        <w:r w:rsidRPr="00D74573">
          <w:rPr>
            <w:rFonts w:asciiTheme="majorEastAsia" w:eastAsiaTheme="majorEastAsia" w:hAnsiTheme="majorEastAsia"/>
            <w:noProof/>
            <w:webHidden/>
          </w:rPr>
          <w:fldChar w:fldCharType="end"/>
        </w:r>
      </w:hyperlink>
    </w:p>
    <w:p w14:paraId="1C79E773" w14:textId="58DB24FE" w:rsidR="00990020" w:rsidRPr="00D74573" w:rsidRDefault="00990020">
      <w:pPr>
        <w:pStyle w:val="12"/>
        <w:tabs>
          <w:tab w:val="right" w:leader="dot" w:pos="8834"/>
        </w:tabs>
        <w:rPr>
          <w:rFonts w:asciiTheme="majorEastAsia" w:eastAsiaTheme="majorEastAsia" w:hAnsiTheme="majorEastAsia" w:cstheme="minorBidi"/>
          <w:noProof/>
          <w14:ligatures w14:val="standardContextual"/>
        </w:rPr>
      </w:pPr>
      <w:hyperlink w:anchor="_Toc242870232" w:history="1">
        <w:r w:rsidRPr="00D74573">
          <w:rPr>
            <w:rStyle w:val="ac"/>
            <w:rFonts w:asciiTheme="majorEastAsia" w:eastAsiaTheme="majorEastAsia" w:hAnsiTheme="majorEastAsia"/>
            <w:noProof/>
          </w:rPr>
          <w:t>第２章　活動体制の確立【地震・風水害時】</w:t>
        </w:r>
        <w:r w:rsidRPr="00D74573">
          <w:rPr>
            <w:rFonts w:asciiTheme="majorEastAsia" w:eastAsiaTheme="majorEastAsia" w:hAnsiTheme="majorEastAsia"/>
            <w:noProof/>
            <w:webHidden/>
          </w:rPr>
          <w:tab/>
        </w:r>
        <w:r w:rsidRPr="00D74573">
          <w:rPr>
            <w:rFonts w:asciiTheme="majorEastAsia" w:eastAsiaTheme="majorEastAsia" w:hAnsiTheme="majorEastAsia"/>
            <w:noProof/>
            <w:webHidden/>
          </w:rPr>
          <w:fldChar w:fldCharType="begin"/>
        </w:r>
        <w:r w:rsidRPr="00D74573">
          <w:rPr>
            <w:rFonts w:asciiTheme="majorEastAsia" w:eastAsiaTheme="majorEastAsia" w:hAnsiTheme="majorEastAsia"/>
            <w:noProof/>
            <w:webHidden/>
          </w:rPr>
          <w:instrText xml:space="preserve"> PAGEREF _Toc242870232 \h </w:instrText>
        </w:r>
        <w:r w:rsidRPr="00D74573">
          <w:rPr>
            <w:rFonts w:asciiTheme="majorEastAsia" w:eastAsiaTheme="majorEastAsia" w:hAnsiTheme="majorEastAsia"/>
            <w:noProof/>
            <w:webHidden/>
          </w:rPr>
        </w:r>
        <w:r w:rsidRPr="00D74573">
          <w:rPr>
            <w:rFonts w:asciiTheme="majorEastAsia" w:eastAsiaTheme="majorEastAsia" w:hAnsiTheme="majorEastAsia"/>
            <w:noProof/>
            <w:webHidden/>
          </w:rPr>
          <w:fldChar w:fldCharType="separate"/>
        </w:r>
        <w:r w:rsidR="00385E62">
          <w:rPr>
            <w:rFonts w:asciiTheme="majorEastAsia" w:eastAsiaTheme="majorEastAsia" w:hAnsiTheme="majorEastAsia"/>
            <w:noProof/>
            <w:webHidden/>
          </w:rPr>
          <w:t>- 37 -</w:t>
        </w:r>
        <w:r w:rsidRPr="00D74573">
          <w:rPr>
            <w:rFonts w:asciiTheme="majorEastAsia" w:eastAsiaTheme="majorEastAsia" w:hAnsiTheme="majorEastAsia"/>
            <w:noProof/>
            <w:webHidden/>
          </w:rPr>
          <w:fldChar w:fldCharType="end"/>
        </w:r>
      </w:hyperlink>
    </w:p>
    <w:p w14:paraId="0BB0D742" w14:textId="74121A2A" w:rsidR="00990020" w:rsidRPr="00D74573" w:rsidRDefault="00990020">
      <w:pPr>
        <w:pStyle w:val="24"/>
        <w:tabs>
          <w:tab w:val="right" w:leader="dot" w:pos="8834"/>
        </w:tabs>
        <w:ind w:left="211"/>
        <w:rPr>
          <w:rFonts w:asciiTheme="majorEastAsia" w:eastAsiaTheme="majorEastAsia" w:hAnsiTheme="majorEastAsia" w:cstheme="minorBidi"/>
          <w:noProof/>
          <w14:ligatures w14:val="standardContextual"/>
        </w:rPr>
      </w:pPr>
      <w:hyperlink w:anchor="_Toc242870233" w:history="1">
        <w:r w:rsidRPr="00D74573">
          <w:rPr>
            <w:rStyle w:val="ac"/>
            <w:rFonts w:asciiTheme="majorEastAsia" w:eastAsiaTheme="majorEastAsia" w:hAnsiTheme="majorEastAsia"/>
            <w:noProof/>
          </w:rPr>
          <w:t>第１節　組織動員</w:t>
        </w:r>
        <w:r w:rsidRPr="00D74573">
          <w:rPr>
            <w:rFonts w:asciiTheme="majorEastAsia" w:eastAsiaTheme="majorEastAsia" w:hAnsiTheme="majorEastAsia"/>
            <w:noProof/>
            <w:webHidden/>
          </w:rPr>
          <w:tab/>
        </w:r>
        <w:r w:rsidRPr="00D74573">
          <w:rPr>
            <w:rFonts w:asciiTheme="majorEastAsia" w:eastAsiaTheme="majorEastAsia" w:hAnsiTheme="majorEastAsia"/>
            <w:noProof/>
            <w:webHidden/>
          </w:rPr>
          <w:fldChar w:fldCharType="begin"/>
        </w:r>
        <w:r w:rsidRPr="00D74573">
          <w:rPr>
            <w:rFonts w:asciiTheme="majorEastAsia" w:eastAsiaTheme="majorEastAsia" w:hAnsiTheme="majorEastAsia"/>
            <w:noProof/>
            <w:webHidden/>
          </w:rPr>
          <w:instrText xml:space="preserve"> PAGEREF _Toc242870233 \h </w:instrText>
        </w:r>
        <w:r w:rsidRPr="00D74573">
          <w:rPr>
            <w:rFonts w:asciiTheme="majorEastAsia" w:eastAsiaTheme="majorEastAsia" w:hAnsiTheme="majorEastAsia"/>
            <w:noProof/>
            <w:webHidden/>
          </w:rPr>
        </w:r>
        <w:r w:rsidRPr="00D74573">
          <w:rPr>
            <w:rFonts w:asciiTheme="majorEastAsia" w:eastAsiaTheme="majorEastAsia" w:hAnsiTheme="majorEastAsia"/>
            <w:noProof/>
            <w:webHidden/>
          </w:rPr>
          <w:fldChar w:fldCharType="separate"/>
        </w:r>
        <w:r w:rsidR="00385E62">
          <w:rPr>
            <w:rFonts w:asciiTheme="majorEastAsia" w:eastAsiaTheme="majorEastAsia" w:hAnsiTheme="majorEastAsia"/>
            <w:noProof/>
            <w:webHidden/>
          </w:rPr>
          <w:t>- 38 -</w:t>
        </w:r>
        <w:r w:rsidRPr="00D74573">
          <w:rPr>
            <w:rFonts w:asciiTheme="majorEastAsia" w:eastAsiaTheme="majorEastAsia" w:hAnsiTheme="majorEastAsia"/>
            <w:noProof/>
            <w:webHidden/>
          </w:rPr>
          <w:fldChar w:fldCharType="end"/>
        </w:r>
      </w:hyperlink>
    </w:p>
    <w:p w14:paraId="1A3EC676" w14:textId="2F69BA8E" w:rsidR="00990020" w:rsidRPr="00D74573" w:rsidRDefault="00990020">
      <w:pPr>
        <w:pStyle w:val="34"/>
        <w:tabs>
          <w:tab w:val="right" w:leader="dot" w:pos="8834"/>
        </w:tabs>
        <w:ind w:left="422"/>
        <w:rPr>
          <w:rFonts w:asciiTheme="majorEastAsia" w:eastAsiaTheme="majorEastAsia" w:hAnsiTheme="majorEastAsia" w:cstheme="minorBidi"/>
          <w:noProof/>
          <w14:ligatures w14:val="standardContextual"/>
        </w:rPr>
      </w:pPr>
      <w:hyperlink w:anchor="_Toc242870234" w:history="1">
        <w:r w:rsidRPr="00D74573">
          <w:rPr>
            <w:rStyle w:val="ac"/>
            <w:rFonts w:asciiTheme="majorEastAsia" w:eastAsiaTheme="majorEastAsia" w:hAnsiTheme="majorEastAsia"/>
            <w:noProof/>
          </w:rPr>
          <w:t>第１　組織体制</w:t>
        </w:r>
        <w:r w:rsidRPr="00D74573">
          <w:rPr>
            <w:rFonts w:asciiTheme="majorEastAsia" w:eastAsiaTheme="majorEastAsia" w:hAnsiTheme="majorEastAsia"/>
            <w:noProof/>
            <w:webHidden/>
          </w:rPr>
          <w:tab/>
        </w:r>
        <w:r w:rsidRPr="00D74573">
          <w:rPr>
            <w:rFonts w:asciiTheme="majorEastAsia" w:eastAsiaTheme="majorEastAsia" w:hAnsiTheme="majorEastAsia"/>
            <w:noProof/>
            <w:webHidden/>
          </w:rPr>
          <w:fldChar w:fldCharType="begin"/>
        </w:r>
        <w:r w:rsidRPr="00D74573">
          <w:rPr>
            <w:rFonts w:asciiTheme="majorEastAsia" w:eastAsiaTheme="majorEastAsia" w:hAnsiTheme="majorEastAsia"/>
            <w:noProof/>
            <w:webHidden/>
          </w:rPr>
          <w:instrText xml:space="preserve"> PAGEREF _Toc242870234 \h </w:instrText>
        </w:r>
        <w:r w:rsidRPr="00D74573">
          <w:rPr>
            <w:rFonts w:asciiTheme="majorEastAsia" w:eastAsiaTheme="majorEastAsia" w:hAnsiTheme="majorEastAsia"/>
            <w:noProof/>
            <w:webHidden/>
          </w:rPr>
        </w:r>
        <w:r w:rsidRPr="00D74573">
          <w:rPr>
            <w:rFonts w:asciiTheme="majorEastAsia" w:eastAsiaTheme="majorEastAsia" w:hAnsiTheme="majorEastAsia"/>
            <w:noProof/>
            <w:webHidden/>
          </w:rPr>
          <w:fldChar w:fldCharType="separate"/>
        </w:r>
        <w:r w:rsidR="00385E62">
          <w:rPr>
            <w:rFonts w:asciiTheme="majorEastAsia" w:eastAsiaTheme="majorEastAsia" w:hAnsiTheme="majorEastAsia"/>
            <w:noProof/>
            <w:webHidden/>
          </w:rPr>
          <w:t>- 38 -</w:t>
        </w:r>
        <w:r w:rsidRPr="00D74573">
          <w:rPr>
            <w:rFonts w:asciiTheme="majorEastAsia" w:eastAsiaTheme="majorEastAsia" w:hAnsiTheme="majorEastAsia"/>
            <w:noProof/>
            <w:webHidden/>
          </w:rPr>
          <w:fldChar w:fldCharType="end"/>
        </w:r>
      </w:hyperlink>
    </w:p>
    <w:p w14:paraId="75505B48" w14:textId="140941EE" w:rsidR="00990020" w:rsidRPr="00D74573" w:rsidRDefault="00990020">
      <w:pPr>
        <w:pStyle w:val="41"/>
        <w:tabs>
          <w:tab w:val="right" w:leader="dot" w:pos="8834"/>
        </w:tabs>
        <w:ind w:left="633"/>
        <w:rPr>
          <w:rFonts w:asciiTheme="majorEastAsia" w:eastAsiaTheme="majorEastAsia" w:hAnsiTheme="majorEastAsia" w:cstheme="minorBidi"/>
          <w:noProof/>
          <w14:ligatures w14:val="standardContextual"/>
        </w:rPr>
      </w:pPr>
      <w:hyperlink w:anchor="_Toc242870235" w:history="1">
        <w:r w:rsidRPr="00D74573">
          <w:rPr>
            <w:rStyle w:val="ac"/>
            <w:rFonts w:asciiTheme="majorEastAsia" w:eastAsiaTheme="majorEastAsia" w:hAnsiTheme="majorEastAsia"/>
            <w:noProof/>
          </w:rPr>
          <w:t>１　防災・危機管理警戒体制の活動</w:t>
        </w:r>
        <w:r w:rsidRPr="00D74573">
          <w:rPr>
            <w:rFonts w:asciiTheme="majorEastAsia" w:eastAsiaTheme="majorEastAsia" w:hAnsiTheme="majorEastAsia"/>
            <w:noProof/>
            <w:webHidden/>
          </w:rPr>
          <w:tab/>
        </w:r>
        <w:r w:rsidRPr="00D74573">
          <w:rPr>
            <w:rFonts w:asciiTheme="majorEastAsia" w:eastAsiaTheme="majorEastAsia" w:hAnsiTheme="majorEastAsia"/>
            <w:noProof/>
            <w:webHidden/>
          </w:rPr>
          <w:fldChar w:fldCharType="begin"/>
        </w:r>
        <w:r w:rsidRPr="00D74573">
          <w:rPr>
            <w:rFonts w:asciiTheme="majorEastAsia" w:eastAsiaTheme="majorEastAsia" w:hAnsiTheme="majorEastAsia"/>
            <w:noProof/>
            <w:webHidden/>
          </w:rPr>
          <w:instrText xml:space="preserve"> PAGEREF _Toc242870235 \h </w:instrText>
        </w:r>
        <w:r w:rsidRPr="00D74573">
          <w:rPr>
            <w:rFonts w:asciiTheme="majorEastAsia" w:eastAsiaTheme="majorEastAsia" w:hAnsiTheme="majorEastAsia"/>
            <w:noProof/>
            <w:webHidden/>
          </w:rPr>
        </w:r>
        <w:r w:rsidRPr="00D74573">
          <w:rPr>
            <w:rFonts w:asciiTheme="majorEastAsia" w:eastAsiaTheme="majorEastAsia" w:hAnsiTheme="majorEastAsia"/>
            <w:noProof/>
            <w:webHidden/>
          </w:rPr>
          <w:fldChar w:fldCharType="separate"/>
        </w:r>
        <w:r w:rsidR="00385E62">
          <w:rPr>
            <w:rFonts w:asciiTheme="majorEastAsia" w:eastAsiaTheme="majorEastAsia" w:hAnsiTheme="majorEastAsia"/>
            <w:noProof/>
            <w:webHidden/>
          </w:rPr>
          <w:t>- 38 -</w:t>
        </w:r>
        <w:r w:rsidRPr="00D74573">
          <w:rPr>
            <w:rFonts w:asciiTheme="majorEastAsia" w:eastAsiaTheme="majorEastAsia" w:hAnsiTheme="majorEastAsia"/>
            <w:noProof/>
            <w:webHidden/>
          </w:rPr>
          <w:fldChar w:fldCharType="end"/>
        </w:r>
      </w:hyperlink>
    </w:p>
    <w:p w14:paraId="26CABEC3" w14:textId="3AA345E9" w:rsidR="00990020" w:rsidRPr="00D74573" w:rsidRDefault="00990020">
      <w:pPr>
        <w:pStyle w:val="41"/>
        <w:tabs>
          <w:tab w:val="right" w:leader="dot" w:pos="8834"/>
        </w:tabs>
        <w:ind w:left="633"/>
        <w:rPr>
          <w:rFonts w:asciiTheme="majorEastAsia" w:eastAsiaTheme="majorEastAsia" w:hAnsiTheme="majorEastAsia" w:cstheme="minorBidi"/>
          <w:noProof/>
          <w14:ligatures w14:val="standardContextual"/>
        </w:rPr>
      </w:pPr>
      <w:hyperlink w:anchor="_Toc242870236" w:history="1">
        <w:r w:rsidRPr="00D74573">
          <w:rPr>
            <w:rStyle w:val="ac"/>
            <w:rFonts w:asciiTheme="majorEastAsia" w:eastAsiaTheme="majorEastAsia" w:hAnsiTheme="majorEastAsia"/>
            <w:noProof/>
          </w:rPr>
          <w:t>２　防災・危機管理指令部の活動</w:t>
        </w:r>
        <w:r w:rsidRPr="00D74573">
          <w:rPr>
            <w:rFonts w:asciiTheme="majorEastAsia" w:eastAsiaTheme="majorEastAsia" w:hAnsiTheme="majorEastAsia"/>
            <w:noProof/>
            <w:webHidden/>
          </w:rPr>
          <w:tab/>
        </w:r>
        <w:r w:rsidRPr="00D74573">
          <w:rPr>
            <w:rFonts w:asciiTheme="majorEastAsia" w:eastAsiaTheme="majorEastAsia" w:hAnsiTheme="majorEastAsia"/>
            <w:noProof/>
            <w:webHidden/>
          </w:rPr>
          <w:fldChar w:fldCharType="begin"/>
        </w:r>
        <w:r w:rsidRPr="00D74573">
          <w:rPr>
            <w:rFonts w:asciiTheme="majorEastAsia" w:eastAsiaTheme="majorEastAsia" w:hAnsiTheme="majorEastAsia"/>
            <w:noProof/>
            <w:webHidden/>
          </w:rPr>
          <w:instrText xml:space="preserve"> PAGEREF _Toc242870236 \h </w:instrText>
        </w:r>
        <w:r w:rsidRPr="00D74573">
          <w:rPr>
            <w:rFonts w:asciiTheme="majorEastAsia" w:eastAsiaTheme="majorEastAsia" w:hAnsiTheme="majorEastAsia"/>
            <w:noProof/>
            <w:webHidden/>
          </w:rPr>
        </w:r>
        <w:r w:rsidRPr="00D74573">
          <w:rPr>
            <w:rFonts w:asciiTheme="majorEastAsia" w:eastAsiaTheme="majorEastAsia" w:hAnsiTheme="majorEastAsia"/>
            <w:noProof/>
            <w:webHidden/>
          </w:rPr>
          <w:fldChar w:fldCharType="separate"/>
        </w:r>
        <w:r w:rsidR="00385E62">
          <w:rPr>
            <w:rFonts w:asciiTheme="majorEastAsia" w:eastAsiaTheme="majorEastAsia" w:hAnsiTheme="majorEastAsia"/>
            <w:noProof/>
            <w:webHidden/>
          </w:rPr>
          <w:t>- 42 -</w:t>
        </w:r>
        <w:r w:rsidRPr="00D74573">
          <w:rPr>
            <w:rFonts w:asciiTheme="majorEastAsia" w:eastAsiaTheme="majorEastAsia" w:hAnsiTheme="majorEastAsia"/>
            <w:noProof/>
            <w:webHidden/>
          </w:rPr>
          <w:fldChar w:fldCharType="end"/>
        </w:r>
      </w:hyperlink>
    </w:p>
    <w:p w14:paraId="4B04FE01" w14:textId="1F526323" w:rsidR="00990020" w:rsidRPr="00D74573" w:rsidRDefault="00990020">
      <w:pPr>
        <w:pStyle w:val="41"/>
        <w:tabs>
          <w:tab w:val="right" w:leader="dot" w:pos="8834"/>
        </w:tabs>
        <w:ind w:left="633"/>
        <w:rPr>
          <w:rFonts w:asciiTheme="majorEastAsia" w:eastAsiaTheme="majorEastAsia" w:hAnsiTheme="majorEastAsia" w:cstheme="minorBidi"/>
          <w:noProof/>
          <w14:ligatures w14:val="standardContextual"/>
        </w:rPr>
      </w:pPr>
      <w:hyperlink w:anchor="_Toc242870237" w:history="1">
        <w:r w:rsidRPr="00D74573">
          <w:rPr>
            <w:rStyle w:val="ac"/>
            <w:rFonts w:asciiTheme="majorEastAsia" w:eastAsiaTheme="majorEastAsia" w:hAnsiTheme="majorEastAsia"/>
            <w:noProof/>
          </w:rPr>
          <w:t>３　災害警戒本部の活動</w:t>
        </w:r>
        <w:r w:rsidRPr="00D74573">
          <w:rPr>
            <w:rFonts w:asciiTheme="majorEastAsia" w:eastAsiaTheme="majorEastAsia" w:hAnsiTheme="majorEastAsia"/>
            <w:noProof/>
            <w:webHidden/>
          </w:rPr>
          <w:tab/>
        </w:r>
        <w:r w:rsidRPr="00D74573">
          <w:rPr>
            <w:rFonts w:asciiTheme="majorEastAsia" w:eastAsiaTheme="majorEastAsia" w:hAnsiTheme="majorEastAsia"/>
            <w:noProof/>
            <w:webHidden/>
          </w:rPr>
          <w:fldChar w:fldCharType="begin"/>
        </w:r>
        <w:r w:rsidRPr="00D74573">
          <w:rPr>
            <w:rFonts w:asciiTheme="majorEastAsia" w:eastAsiaTheme="majorEastAsia" w:hAnsiTheme="majorEastAsia"/>
            <w:noProof/>
            <w:webHidden/>
          </w:rPr>
          <w:instrText xml:space="preserve"> PAGEREF _Toc242870237 \h </w:instrText>
        </w:r>
        <w:r w:rsidRPr="00D74573">
          <w:rPr>
            <w:rFonts w:asciiTheme="majorEastAsia" w:eastAsiaTheme="majorEastAsia" w:hAnsiTheme="majorEastAsia"/>
            <w:noProof/>
            <w:webHidden/>
          </w:rPr>
        </w:r>
        <w:r w:rsidRPr="00D74573">
          <w:rPr>
            <w:rFonts w:asciiTheme="majorEastAsia" w:eastAsiaTheme="majorEastAsia" w:hAnsiTheme="majorEastAsia"/>
            <w:noProof/>
            <w:webHidden/>
          </w:rPr>
          <w:fldChar w:fldCharType="separate"/>
        </w:r>
        <w:r w:rsidR="00385E62">
          <w:rPr>
            <w:rFonts w:asciiTheme="majorEastAsia" w:eastAsiaTheme="majorEastAsia" w:hAnsiTheme="majorEastAsia"/>
            <w:noProof/>
            <w:webHidden/>
          </w:rPr>
          <w:t>- 47 -</w:t>
        </w:r>
        <w:r w:rsidRPr="00D74573">
          <w:rPr>
            <w:rFonts w:asciiTheme="majorEastAsia" w:eastAsiaTheme="majorEastAsia" w:hAnsiTheme="majorEastAsia"/>
            <w:noProof/>
            <w:webHidden/>
          </w:rPr>
          <w:fldChar w:fldCharType="end"/>
        </w:r>
      </w:hyperlink>
    </w:p>
    <w:p w14:paraId="19914AED" w14:textId="66ACDC09" w:rsidR="00990020" w:rsidRPr="00D74573" w:rsidRDefault="00990020">
      <w:pPr>
        <w:pStyle w:val="41"/>
        <w:tabs>
          <w:tab w:val="right" w:leader="dot" w:pos="8834"/>
        </w:tabs>
        <w:ind w:left="633"/>
        <w:rPr>
          <w:rFonts w:asciiTheme="majorEastAsia" w:eastAsiaTheme="majorEastAsia" w:hAnsiTheme="majorEastAsia" w:cstheme="minorBidi"/>
          <w:noProof/>
          <w14:ligatures w14:val="standardContextual"/>
        </w:rPr>
      </w:pPr>
      <w:hyperlink w:anchor="_Toc242870238" w:history="1">
        <w:r w:rsidRPr="00D74573">
          <w:rPr>
            <w:rStyle w:val="ac"/>
            <w:rFonts w:asciiTheme="majorEastAsia" w:eastAsiaTheme="majorEastAsia" w:hAnsiTheme="majorEastAsia"/>
            <w:noProof/>
          </w:rPr>
          <w:t>４-１　災害対策本部の活動</w:t>
        </w:r>
        <w:r w:rsidRPr="00D74573">
          <w:rPr>
            <w:rFonts w:asciiTheme="majorEastAsia" w:eastAsiaTheme="majorEastAsia" w:hAnsiTheme="majorEastAsia"/>
            <w:noProof/>
            <w:webHidden/>
          </w:rPr>
          <w:tab/>
        </w:r>
        <w:r w:rsidRPr="00D74573">
          <w:rPr>
            <w:rFonts w:asciiTheme="majorEastAsia" w:eastAsiaTheme="majorEastAsia" w:hAnsiTheme="majorEastAsia"/>
            <w:noProof/>
            <w:webHidden/>
          </w:rPr>
          <w:fldChar w:fldCharType="begin"/>
        </w:r>
        <w:r w:rsidRPr="00D74573">
          <w:rPr>
            <w:rFonts w:asciiTheme="majorEastAsia" w:eastAsiaTheme="majorEastAsia" w:hAnsiTheme="majorEastAsia"/>
            <w:noProof/>
            <w:webHidden/>
          </w:rPr>
          <w:instrText xml:space="preserve"> PAGEREF _Toc242870238 \h </w:instrText>
        </w:r>
        <w:r w:rsidRPr="00D74573">
          <w:rPr>
            <w:rFonts w:asciiTheme="majorEastAsia" w:eastAsiaTheme="majorEastAsia" w:hAnsiTheme="majorEastAsia"/>
            <w:noProof/>
            <w:webHidden/>
          </w:rPr>
        </w:r>
        <w:r w:rsidRPr="00D74573">
          <w:rPr>
            <w:rFonts w:asciiTheme="majorEastAsia" w:eastAsiaTheme="majorEastAsia" w:hAnsiTheme="majorEastAsia"/>
            <w:noProof/>
            <w:webHidden/>
          </w:rPr>
          <w:fldChar w:fldCharType="separate"/>
        </w:r>
        <w:r w:rsidR="00385E62">
          <w:rPr>
            <w:rFonts w:asciiTheme="majorEastAsia" w:eastAsiaTheme="majorEastAsia" w:hAnsiTheme="majorEastAsia"/>
            <w:noProof/>
            <w:webHidden/>
          </w:rPr>
          <w:t>- 53 -</w:t>
        </w:r>
        <w:r w:rsidRPr="00D74573">
          <w:rPr>
            <w:rFonts w:asciiTheme="majorEastAsia" w:eastAsiaTheme="majorEastAsia" w:hAnsiTheme="majorEastAsia"/>
            <w:noProof/>
            <w:webHidden/>
          </w:rPr>
          <w:fldChar w:fldCharType="end"/>
        </w:r>
      </w:hyperlink>
    </w:p>
    <w:p w14:paraId="75F42269" w14:textId="6B7A40A2" w:rsidR="00990020" w:rsidRPr="00D74573" w:rsidRDefault="00990020">
      <w:pPr>
        <w:pStyle w:val="41"/>
        <w:tabs>
          <w:tab w:val="right" w:leader="dot" w:pos="8834"/>
        </w:tabs>
        <w:ind w:left="633"/>
        <w:rPr>
          <w:rFonts w:asciiTheme="majorEastAsia" w:eastAsiaTheme="majorEastAsia" w:hAnsiTheme="majorEastAsia" w:cstheme="minorBidi"/>
          <w:noProof/>
          <w14:ligatures w14:val="standardContextual"/>
        </w:rPr>
      </w:pPr>
      <w:hyperlink w:anchor="_Toc242870239" w:history="1">
        <w:r w:rsidRPr="00D74573">
          <w:rPr>
            <w:rStyle w:val="ac"/>
            <w:rFonts w:asciiTheme="majorEastAsia" w:eastAsiaTheme="majorEastAsia" w:hAnsiTheme="majorEastAsia"/>
            <w:noProof/>
          </w:rPr>
          <w:t>４-２　現地災害対策本部の活動</w:t>
        </w:r>
        <w:r w:rsidRPr="00D74573">
          <w:rPr>
            <w:rFonts w:asciiTheme="majorEastAsia" w:eastAsiaTheme="majorEastAsia" w:hAnsiTheme="majorEastAsia"/>
            <w:noProof/>
            <w:webHidden/>
          </w:rPr>
          <w:tab/>
        </w:r>
        <w:r w:rsidRPr="00D74573">
          <w:rPr>
            <w:rFonts w:asciiTheme="majorEastAsia" w:eastAsiaTheme="majorEastAsia" w:hAnsiTheme="majorEastAsia"/>
            <w:noProof/>
            <w:webHidden/>
          </w:rPr>
          <w:fldChar w:fldCharType="begin"/>
        </w:r>
        <w:r w:rsidRPr="00D74573">
          <w:rPr>
            <w:rFonts w:asciiTheme="majorEastAsia" w:eastAsiaTheme="majorEastAsia" w:hAnsiTheme="majorEastAsia"/>
            <w:noProof/>
            <w:webHidden/>
          </w:rPr>
          <w:instrText xml:space="preserve"> PAGEREF _Toc242870239 \h </w:instrText>
        </w:r>
        <w:r w:rsidRPr="00D74573">
          <w:rPr>
            <w:rFonts w:asciiTheme="majorEastAsia" w:eastAsiaTheme="majorEastAsia" w:hAnsiTheme="majorEastAsia"/>
            <w:noProof/>
            <w:webHidden/>
          </w:rPr>
        </w:r>
        <w:r w:rsidRPr="00D74573">
          <w:rPr>
            <w:rFonts w:asciiTheme="majorEastAsia" w:eastAsiaTheme="majorEastAsia" w:hAnsiTheme="majorEastAsia"/>
            <w:noProof/>
            <w:webHidden/>
          </w:rPr>
          <w:fldChar w:fldCharType="separate"/>
        </w:r>
        <w:r w:rsidR="00385E62">
          <w:rPr>
            <w:rFonts w:asciiTheme="majorEastAsia" w:eastAsiaTheme="majorEastAsia" w:hAnsiTheme="majorEastAsia"/>
            <w:noProof/>
            <w:webHidden/>
          </w:rPr>
          <w:t>- 56 -</w:t>
        </w:r>
        <w:r w:rsidRPr="00D74573">
          <w:rPr>
            <w:rFonts w:asciiTheme="majorEastAsia" w:eastAsiaTheme="majorEastAsia" w:hAnsiTheme="majorEastAsia"/>
            <w:noProof/>
            <w:webHidden/>
          </w:rPr>
          <w:fldChar w:fldCharType="end"/>
        </w:r>
      </w:hyperlink>
    </w:p>
    <w:p w14:paraId="31D91ED1" w14:textId="6368C0F4" w:rsidR="00990020" w:rsidRPr="00D74573" w:rsidRDefault="00990020">
      <w:pPr>
        <w:pStyle w:val="41"/>
        <w:tabs>
          <w:tab w:val="right" w:leader="dot" w:pos="8834"/>
        </w:tabs>
        <w:ind w:left="633"/>
        <w:rPr>
          <w:rFonts w:asciiTheme="majorEastAsia" w:eastAsiaTheme="majorEastAsia" w:hAnsiTheme="majorEastAsia" w:cstheme="minorBidi"/>
          <w:noProof/>
          <w14:ligatures w14:val="standardContextual"/>
        </w:rPr>
      </w:pPr>
      <w:hyperlink w:anchor="_Toc242870240" w:history="1">
        <w:r w:rsidRPr="00D74573">
          <w:rPr>
            <w:rStyle w:val="ac"/>
            <w:rFonts w:asciiTheme="majorEastAsia" w:eastAsiaTheme="majorEastAsia" w:hAnsiTheme="majorEastAsia"/>
            <w:noProof/>
          </w:rPr>
          <w:t>４-３　大阪府防災会議の運営</w:t>
        </w:r>
        <w:r w:rsidRPr="00D74573">
          <w:rPr>
            <w:rFonts w:asciiTheme="majorEastAsia" w:eastAsiaTheme="majorEastAsia" w:hAnsiTheme="majorEastAsia"/>
            <w:noProof/>
            <w:webHidden/>
          </w:rPr>
          <w:tab/>
        </w:r>
        <w:r w:rsidRPr="00D74573">
          <w:rPr>
            <w:rFonts w:asciiTheme="majorEastAsia" w:eastAsiaTheme="majorEastAsia" w:hAnsiTheme="majorEastAsia"/>
            <w:noProof/>
            <w:webHidden/>
          </w:rPr>
          <w:fldChar w:fldCharType="begin"/>
        </w:r>
        <w:r w:rsidRPr="00D74573">
          <w:rPr>
            <w:rFonts w:asciiTheme="majorEastAsia" w:eastAsiaTheme="majorEastAsia" w:hAnsiTheme="majorEastAsia"/>
            <w:noProof/>
            <w:webHidden/>
          </w:rPr>
          <w:instrText xml:space="preserve"> PAGEREF _Toc242870240 \h </w:instrText>
        </w:r>
        <w:r w:rsidRPr="00D74573">
          <w:rPr>
            <w:rFonts w:asciiTheme="majorEastAsia" w:eastAsiaTheme="majorEastAsia" w:hAnsiTheme="majorEastAsia"/>
            <w:noProof/>
            <w:webHidden/>
          </w:rPr>
        </w:r>
        <w:r w:rsidRPr="00D74573">
          <w:rPr>
            <w:rFonts w:asciiTheme="majorEastAsia" w:eastAsiaTheme="majorEastAsia" w:hAnsiTheme="majorEastAsia"/>
            <w:noProof/>
            <w:webHidden/>
          </w:rPr>
          <w:fldChar w:fldCharType="separate"/>
        </w:r>
        <w:r w:rsidR="00385E62">
          <w:rPr>
            <w:rFonts w:asciiTheme="majorEastAsia" w:eastAsiaTheme="majorEastAsia" w:hAnsiTheme="majorEastAsia"/>
            <w:noProof/>
            <w:webHidden/>
          </w:rPr>
          <w:t>- 58 -</w:t>
        </w:r>
        <w:r w:rsidRPr="00D74573">
          <w:rPr>
            <w:rFonts w:asciiTheme="majorEastAsia" w:eastAsiaTheme="majorEastAsia" w:hAnsiTheme="majorEastAsia"/>
            <w:noProof/>
            <w:webHidden/>
          </w:rPr>
          <w:fldChar w:fldCharType="end"/>
        </w:r>
      </w:hyperlink>
    </w:p>
    <w:p w14:paraId="717FF763" w14:textId="77264753" w:rsidR="00990020" w:rsidRPr="00D74573" w:rsidRDefault="00990020">
      <w:pPr>
        <w:pStyle w:val="41"/>
        <w:tabs>
          <w:tab w:val="right" w:leader="dot" w:pos="8834"/>
        </w:tabs>
        <w:ind w:left="633"/>
        <w:rPr>
          <w:rFonts w:asciiTheme="majorEastAsia" w:eastAsiaTheme="majorEastAsia" w:hAnsiTheme="majorEastAsia" w:cstheme="minorBidi"/>
          <w:noProof/>
          <w14:ligatures w14:val="standardContextual"/>
        </w:rPr>
      </w:pPr>
      <w:hyperlink w:anchor="_Toc242870241" w:history="1">
        <w:r w:rsidRPr="00D74573">
          <w:rPr>
            <w:rStyle w:val="ac"/>
            <w:rFonts w:asciiTheme="majorEastAsia" w:eastAsiaTheme="majorEastAsia" w:hAnsiTheme="majorEastAsia"/>
            <w:noProof/>
          </w:rPr>
          <w:t>４-４　震災応急対策連絡会議の設置及び運営</w:t>
        </w:r>
        <w:r w:rsidRPr="00D74573">
          <w:rPr>
            <w:rFonts w:asciiTheme="majorEastAsia" w:eastAsiaTheme="majorEastAsia" w:hAnsiTheme="majorEastAsia"/>
            <w:noProof/>
            <w:webHidden/>
          </w:rPr>
          <w:tab/>
        </w:r>
        <w:r w:rsidRPr="00D74573">
          <w:rPr>
            <w:rFonts w:asciiTheme="majorEastAsia" w:eastAsiaTheme="majorEastAsia" w:hAnsiTheme="majorEastAsia"/>
            <w:noProof/>
            <w:webHidden/>
          </w:rPr>
          <w:fldChar w:fldCharType="begin"/>
        </w:r>
        <w:r w:rsidRPr="00D74573">
          <w:rPr>
            <w:rFonts w:asciiTheme="majorEastAsia" w:eastAsiaTheme="majorEastAsia" w:hAnsiTheme="majorEastAsia"/>
            <w:noProof/>
            <w:webHidden/>
          </w:rPr>
          <w:instrText xml:space="preserve"> PAGEREF _Toc242870241 \h </w:instrText>
        </w:r>
        <w:r w:rsidRPr="00D74573">
          <w:rPr>
            <w:rFonts w:asciiTheme="majorEastAsia" w:eastAsiaTheme="majorEastAsia" w:hAnsiTheme="majorEastAsia"/>
            <w:noProof/>
            <w:webHidden/>
          </w:rPr>
        </w:r>
        <w:r w:rsidRPr="00D74573">
          <w:rPr>
            <w:rFonts w:asciiTheme="majorEastAsia" w:eastAsiaTheme="majorEastAsia" w:hAnsiTheme="majorEastAsia"/>
            <w:noProof/>
            <w:webHidden/>
          </w:rPr>
          <w:fldChar w:fldCharType="separate"/>
        </w:r>
        <w:r w:rsidR="00385E62">
          <w:rPr>
            <w:rFonts w:asciiTheme="majorEastAsia" w:eastAsiaTheme="majorEastAsia" w:hAnsiTheme="majorEastAsia"/>
            <w:noProof/>
            <w:webHidden/>
          </w:rPr>
          <w:t>- 58 -</w:t>
        </w:r>
        <w:r w:rsidRPr="00D74573">
          <w:rPr>
            <w:rFonts w:asciiTheme="majorEastAsia" w:eastAsiaTheme="majorEastAsia" w:hAnsiTheme="majorEastAsia"/>
            <w:noProof/>
            <w:webHidden/>
          </w:rPr>
          <w:fldChar w:fldCharType="end"/>
        </w:r>
      </w:hyperlink>
    </w:p>
    <w:p w14:paraId="55428B66" w14:textId="7FC7A287" w:rsidR="00990020" w:rsidRPr="00D74573" w:rsidRDefault="00990020">
      <w:pPr>
        <w:pStyle w:val="41"/>
        <w:tabs>
          <w:tab w:val="right" w:leader="dot" w:pos="8834"/>
        </w:tabs>
        <w:ind w:left="633"/>
        <w:rPr>
          <w:rFonts w:asciiTheme="majorEastAsia" w:eastAsiaTheme="majorEastAsia" w:hAnsiTheme="majorEastAsia" w:cstheme="minorBidi"/>
          <w:noProof/>
          <w14:ligatures w14:val="standardContextual"/>
        </w:rPr>
      </w:pPr>
      <w:hyperlink w:anchor="_Toc242870242" w:history="1">
        <w:r w:rsidRPr="00D74573">
          <w:rPr>
            <w:rStyle w:val="ac"/>
            <w:rFonts w:asciiTheme="majorEastAsia" w:eastAsiaTheme="majorEastAsia" w:hAnsiTheme="majorEastAsia"/>
            <w:noProof/>
          </w:rPr>
          <w:t>５　地震発生時における災害対策本部等の事務局体制</w:t>
        </w:r>
        <w:r w:rsidRPr="00D74573">
          <w:rPr>
            <w:rFonts w:asciiTheme="majorEastAsia" w:eastAsiaTheme="majorEastAsia" w:hAnsiTheme="majorEastAsia"/>
            <w:noProof/>
            <w:webHidden/>
          </w:rPr>
          <w:tab/>
        </w:r>
        <w:r w:rsidRPr="00D74573">
          <w:rPr>
            <w:rFonts w:asciiTheme="majorEastAsia" w:eastAsiaTheme="majorEastAsia" w:hAnsiTheme="majorEastAsia"/>
            <w:noProof/>
            <w:webHidden/>
          </w:rPr>
          <w:fldChar w:fldCharType="begin"/>
        </w:r>
        <w:r w:rsidRPr="00D74573">
          <w:rPr>
            <w:rFonts w:asciiTheme="majorEastAsia" w:eastAsiaTheme="majorEastAsia" w:hAnsiTheme="majorEastAsia"/>
            <w:noProof/>
            <w:webHidden/>
          </w:rPr>
          <w:instrText xml:space="preserve"> PAGEREF _Toc242870242 \h </w:instrText>
        </w:r>
        <w:r w:rsidRPr="00D74573">
          <w:rPr>
            <w:rFonts w:asciiTheme="majorEastAsia" w:eastAsiaTheme="majorEastAsia" w:hAnsiTheme="majorEastAsia"/>
            <w:noProof/>
            <w:webHidden/>
          </w:rPr>
        </w:r>
        <w:r w:rsidRPr="00D74573">
          <w:rPr>
            <w:rFonts w:asciiTheme="majorEastAsia" w:eastAsiaTheme="majorEastAsia" w:hAnsiTheme="majorEastAsia"/>
            <w:noProof/>
            <w:webHidden/>
          </w:rPr>
          <w:fldChar w:fldCharType="separate"/>
        </w:r>
        <w:r w:rsidR="00385E62">
          <w:rPr>
            <w:rFonts w:asciiTheme="majorEastAsia" w:eastAsiaTheme="majorEastAsia" w:hAnsiTheme="majorEastAsia"/>
            <w:noProof/>
            <w:webHidden/>
          </w:rPr>
          <w:t>- 61 -</w:t>
        </w:r>
        <w:r w:rsidRPr="00D74573">
          <w:rPr>
            <w:rFonts w:asciiTheme="majorEastAsia" w:eastAsiaTheme="majorEastAsia" w:hAnsiTheme="majorEastAsia"/>
            <w:noProof/>
            <w:webHidden/>
          </w:rPr>
          <w:fldChar w:fldCharType="end"/>
        </w:r>
      </w:hyperlink>
    </w:p>
    <w:p w14:paraId="74EA9A66" w14:textId="782C1040" w:rsidR="00990020" w:rsidRPr="00D74573" w:rsidRDefault="00990020">
      <w:pPr>
        <w:pStyle w:val="41"/>
        <w:tabs>
          <w:tab w:val="right" w:leader="dot" w:pos="8834"/>
        </w:tabs>
        <w:ind w:left="633"/>
        <w:rPr>
          <w:rFonts w:asciiTheme="majorEastAsia" w:eastAsiaTheme="majorEastAsia" w:hAnsiTheme="majorEastAsia" w:cstheme="minorBidi"/>
          <w:noProof/>
          <w14:ligatures w14:val="standardContextual"/>
        </w:rPr>
      </w:pPr>
      <w:hyperlink w:anchor="_Toc242870243" w:history="1">
        <w:r w:rsidRPr="00D74573">
          <w:rPr>
            <w:rStyle w:val="ac"/>
            <w:rFonts w:asciiTheme="majorEastAsia" w:eastAsiaTheme="majorEastAsia" w:hAnsiTheme="majorEastAsia"/>
            <w:noProof/>
          </w:rPr>
          <w:t>６　風水害・台風等発生時における災害対策本部等の事務局体制</w:t>
        </w:r>
        <w:r w:rsidRPr="00D74573">
          <w:rPr>
            <w:rFonts w:asciiTheme="majorEastAsia" w:eastAsiaTheme="majorEastAsia" w:hAnsiTheme="majorEastAsia"/>
            <w:noProof/>
            <w:webHidden/>
          </w:rPr>
          <w:tab/>
        </w:r>
        <w:r w:rsidRPr="00D74573">
          <w:rPr>
            <w:rFonts w:asciiTheme="majorEastAsia" w:eastAsiaTheme="majorEastAsia" w:hAnsiTheme="majorEastAsia"/>
            <w:noProof/>
            <w:webHidden/>
          </w:rPr>
          <w:fldChar w:fldCharType="begin"/>
        </w:r>
        <w:r w:rsidRPr="00D74573">
          <w:rPr>
            <w:rFonts w:asciiTheme="majorEastAsia" w:eastAsiaTheme="majorEastAsia" w:hAnsiTheme="majorEastAsia"/>
            <w:noProof/>
            <w:webHidden/>
          </w:rPr>
          <w:instrText xml:space="preserve"> PAGEREF _Toc242870243 \h </w:instrText>
        </w:r>
        <w:r w:rsidRPr="00D74573">
          <w:rPr>
            <w:rFonts w:asciiTheme="majorEastAsia" w:eastAsiaTheme="majorEastAsia" w:hAnsiTheme="majorEastAsia"/>
            <w:noProof/>
            <w:webHidden/>
          </w:rPr>
        </w:r>
        <w:r w:rsidRPr="00D74573">
          <w:rPr>
            <w:rFonts w:asciiTheme="majorEastAsia" w:eastAsiaTheme="majorEastAsia" w:hAnsiTheme="majorEastAsia"/>
            <w:noProof/>
            <w:webHidden/>
          </w:rPr>
          <w:fldChar w:fldCharType="separate"/>
        </w:r>
        <w:r w:rsidR="00385E62">
          <w:rPr>
            <w:rFonts w:asciiTheme="majorEastAsia" w:eastAsiaTheme="majorEastAsia" w:hAnsiTheme="majorEastAsia"/>
            <w:noProof/>
            <w:webHidden/>
          </w:rPr>
          <w:t>- 68 -</w:t>
        </w:r>
        <w:r w:rsidRPr="00D74573">
          <w:rPr>
            <w:rFonts w:asciiTheme="majorEastAsia" w:eastAsiaTheme="majorEastAsia" w:hAnsiTheme="majorEastAsia"/>
            <w:noProof/>
            <w:webHidden/>
          </w:rPr>
          <w:fldChar w:fldCharType="end"/>
        </w:r>
      </w:hyperlink>
    </w:p>
    <w:p w14:paraId="67322CCB" w14:textId="1DD54E19" w:rsidR="00990020" w:rsidRPr="00D74573" w:rsidRDefault="00990020">
      <w:pPr>
        <w:pStyle w:val="41"/>
        <w:tabs>
          <w:tab w:val="right" w:leader="dot" w:pos="8834"/>
        </w:tabs>
        <w:ind w:left="633"/>
        <w:rPr>
          <w:rFonts w:asciiTheme="majorEastAsia" w:eastAsiaTheme="majorEastAsia" w:hAnsiTheme="majorEastAsia" w:cstheme="minorBidi"/>
          <w:noProof/>
          <w14:ligatures w14:val="standardContextual"/>
        </w:rPr>
      </w:pPr>
      <w:hyperlink w:anchor="_Toc242870244" w:history="1">
        <w:r w:rsidRPr="00D74573">
          <w:rPr>
            <w:rStyle w:val="ac"/>
            <w:rFonts w:asciiTheme="majorEastAsia" w:eastAsiaTheme="majorEastAsia" w:hAnsiTheme="majorEastAsia"/>
            <w:noProof/>
          </w:rPr>
          <w:t>７　災害対策本部各班の事務分掌</w:t>
        </w:r>
        <w:r w:rsidRPr="00D74573">
          <w:rPr>
            <w:rFonts w:asciiTheme="majorEastAsia" w:eastAsiaTheme="majorEastAsia" w:hAnsiTheme="majorEastAsia"/>
            <w:noProof/>
            <w:webHidden/>
          </w:rPr>
          <w:tab/>
        </w:r>
        <w:r w:rsidRPr="00D74573">
          <w:rPr>
            <w:rFonts w:asciiTheme="majorEastAsia" w:eastAsiaTheme="majorEastAsia" w:hAnsiTheme="majorEastAsia"/>
            <w:noProof/>
            <w:webHidden/>
          </w:rPr>
          <w:fldChar w:fldCharType="begin"/>
        </w:r>
        <w:r w:rsidRPr="00D74573">
          <w:rPr>
            <w:rFonts w:asciiTheme="majorEastAsia" w:eastAsiaTheme="majorEastAsia" w:hAnsiTheme="majorEastAsia"/>
            <w:noProof/>
            <w:webHidden/>
          </w:rPr>
          <w:instrText xml:space="preserve"> PAGEREF _Toc242870244 \h </w:instrText>
        </w:r>
        <w:r w:rsidRPr="00D74573">
          <w:rPr>
            <w:rFonts w:asciiTheme="majorEastAsia" w:eastAsiaTheme="majorEastAsia" w:hAnsiTheme="majorEastAsia"/>
            <w:noProof/>
            <w:webHidden/>
          </w:rPr>
        </w:r>
        <w:r w:rsidRPr="00D74573">
          <w:rPr>
            <w:rFonts w:asciiTheme="majorEastAsia" w:eastAsiaTheme="majorEastAsia" w:hAnsiTheme="majorEastAsia"/>
            <w:noProof/>
            <w:webHidden/>
          </w:rPr>
          <w:fldChar w:fldCharType="separate"/>
        </w:r>
        <w:r w:rsidR="00385E62">
          <w:rPr>
            <w:rFonts w:asciiTheme="majorEastAsia" w:eastAsiaTheme="majorEastAsia" w:hAnsiTheme="majorEastAsia"/>
            <w:noProof/>
            <w:webHidden/>
          </w:rPr>
          <w:t>- 70 -</w:t>
        </w:r>
        <w:r w:rsidRPr="00D74573">
          <w:rPr>
            <w:rFonts w:asciiTheme="majorEastAsia" w:eastAsiaTheme="majorEastAsia" w:hAnsiTheme="majorEastAsia"/>
            <w:noProof/>
            <w:webHidden/>
          </w:rPr>
          <w:fldChar w:fldCharType="end"/>
        </w:r>
      </w:hyperlink>
    </w:p>
    <w:p w14:paraId="0AED5DC3" w14:textId="79A20CEC" w:rsidR="00990020" w:rsidRPr="00D74573" w:rsidRDefault="00990020">
      <w:pPr>
        <w:pStyle w:val="41"/>
        <w:tabs>
          <w:tab w:val="right" w:leader="dot" w:pos="8834"/>
        </w:tabs>
        <w:ind w:left="633"/>
        <w:rPr>
          <w:rFonts w:asciiTheme="majorEastAsia" w:eastAsiaTheme="majorEastAsia" w:hAnsiTheme="majorEastAsia" w:cstheme="minorBidi"/>
          <w:noProof/>
          <w14:ligatures w14:val="standardContextual"/>
        </w:rPr>
      </w:pPr>
      <w:hyperlink w:anchor="_Toc242870245" w:history="1">
        <w:r w:rsidRPr="00D74573">
          <w:rPr>
            <w:rStyle w:val="ac"/>
            <w:rFonts w:asciiTheme="majorEastAsia" w:eastAsiaTheme="majorEastAsia" w:hAnsiTheme="majorEastAsia"/>
            <w:noProof/>
          </w:rPr>
          <w:t>８　各部局の応急対策業務等</w:t>
        </w:r>
        <w:r w:rsidRPr="00D74573">
          <w:rPr>
            <w:rFonts w:asciiTheme="majorEastAsia" w:eastAsiaTheme="majorEastAsia" w:hAnsiTheme="majorEastAsia"/>
            <w:noProof/>
            <w:webHidden/>
          </w:rPr>
          <w:tab/>
        </w:r>
        <w:r w:rsidRPr="00D74573">
          <w:rPr>
            <w:rFonts w:asciiTheme="majorEastAsia" w:eastAsiaTheme="majorEastAsia" w:hAnsiTheme="majorEastAsia"/>
            <w:noProof/>
            <w:webHidden/>
          </w:rPr>
          <w:fldChar w:fldCharType="begin"/>
        </w:r>
        <w:r w:rsidRPr="00D74573">
          <w:rPr>
            <w:rFonts w:asciiTheme="majorEastAsia" w:eastAsiaTheme="majorEastAsia" w:hAnsiTheme="majorEastAsia"/>
            <w:noProof/>
            <w:webHidden/>
          </w:rPr>
          <w:instrText xml:space="preserve"> PAGEREF _Toc242870245 \h </w:instrText>
        </w:r>
        <w:r w:rsidRPr="00D74573">
          <w:rPr>
            <w:rFonts w:asciiTheme="majorEastAsia" w:eastAsiaTheme="majorEastAsia" w:hAnsiTheme="majorEastAsia"/>
            <w:noProof/>
            <w:webHidden/>
          </w:rPr>
        </w:r>
        <w:r w:rsidRPr="00D74573">
          <w:rPr>
            <w:rFonts w:asciiTheme="majorEastAsia" w:eastAsiaTheme="majorEastAsia" w:hAnsiTheme="majorEastAsia"/>
            <w:noProof/>
            <w:webHidden/>
          </w:rPr>
          <w:fldChar w:fldCharType="separate"/>
        </w:r>
        <w:r w:rsidR="00385E62">
          <w:rPr>
            <w:rFonts w:asciiTheme="majorEastAsia" w:eastAsiaTheme="majorEastAsia" w:hAnsiTheme="majorEastAsia"/>
            <w:noProof/>
            <w:webHidden/>
          </w:rPr>
          <w:t>- 84 -</w:t>
        </w:r>
        <w:r w:rsidRPr="00D74573">
          <w:rPr>
            <w:rFonts w:asciiTheme="majorEastAsia" w:eastAsiaTheme="majorEastAsia" w:hAnsiTheme="majorEastAsia"/>
            <w:noProof/>
            <w:webHidden/>
          </w:rPr>
          <w:fldChar w:fldCharType="end"/>
        </w:r>
      </w:hyperlink>
    </w:p>
    <w:p w14:paraId="4F32B889" w14:textId="3D2A0615" w:rsidR="00990020" w:rsidRPr="00D74573" w:rsidRDefault="00990020">
      <w:pPr>
        <w:pStyle w:val="41"/>
        <w:tabs>
          <w:tab w:val="right" w:leader="dot" w:pos="8834"/>
        </w:tabs>
        <w:ind w:left="633"/>
        <w:rPr>
          <w:rFonts w:asciiTheme="majorEastAsia" w:eastAsiaTheme="majorEastAsia" w:hAnsiTheme="majorEastAsia" w:cstheme="minorBidi"/>
          <w:noProof/>
          <w14:ligatures w14:val="standardContextual"/>
        </w:rPr>
      </w:pPr>
      <w:hyperlink w:anchor="_Toc242870246" w:history="1">
        <w:r w:rsidRPr="00D74573">
          <w:rPr>
            <w:rStyle w:val="ac"/>
            <w:rFonts w:asciiTheme="majorEastAsia" w:eastAsiaTheme="majorEastAsia" w:hAnsiTheme="majorEastAsia"/>
            <w:noProof/>
          </w:rPr>
          <w:t>９　出先機関等の体制及び事務分掌</w:t>
        </w:r>
        <w:r w:rsidRPr="00D74573">
          <w:rPr>
            <w:rFonts w:asciiTheme="majorEastAsia" w:eastAsiaTheme="majorEastAsia" w:hAnsiTheme="majorEastAsia"/>
            <w:noProof/>
            <w:webHidden/>
          </w:rPr>
          <w:tab/>
        </w:r>
        <w:r w:rsidRPr="00D74573">
          <w:rPr>
            <w:rFonts w:asciiTheme="majorEastAsia" w:eastAsiaTheme="majorEastAsia" w:hAnsiTheme="majorEastAsia"/>
            <w:noProof/>
            <w:webHidden/>
          </w:rPr>
          <w:fldChar w:fldCharType="begin"/>
        </w:r>
        <w:r w:rsidRPr="00D74573">
          <w:rPr>
            <w:rFonts w:asciiTheme="majorEastAsia" w:eastAsiaTheme="majorEastAsia" w:hAnsiTheme="majorEastAsia"/>
            <w:noProof/>
            <w:webHidden/>
          </w:rPr>
          <w:instrText xml:space="preserve"> PAGEREF _Toc242870246 \h </w:instrText>
        </w:r>
        <w:r w:rsidRPr="00D74573">
          <w:rPr>
            <w:rFonts w:asciiTheme="majorEastAsia" w:eastAsiaTheme="majorEastAsia" w:hAnsiTheme="majorEastAsia"/>
            <w:noProof/>
            <w:webHidden/>
          </w:rPr>
        </w:r>
        <w:r w:rsidRPr="00D74573">
          <w:rPr>
            <w:rFonts w:asciiTheme="majorEastAsia" w:eastAsiaTheme="majorEastAsia" w:hAnsiTheme="majorEastAsia"/>
            <w:noProof/>
            <w:webHidden/>
          </w:rPr>
          <w:fldChar w:fldCharType="separate"/>
        </w:r>
        <w:r w:rsidR="00385E62">
          <w:rPr>
            <w:rFonts w:asciiTheme="majorEastAsia" w:eastAsiaTheme="majorEastAsia" w:hAnsiTheme="majorEastAsia"/>
            <w:noProof/>
            <w:webHidden/>
          </w:rPr>
          <w:t>- 125 -</w:t>
        </w:r>
        <w:r w:rsidRPr="00D74573">
          <w:rPr>
            <w:rFonts w:asciiTheme="majorEastAsia" w:eastAsiaTheme="majorEastAsia" w:hAnsiTheme="majorEastAsia"/>
            <w:noProof/>
            <w:webHidden/>
          </w:rPr>
          <w:fldChar w:fldCharType="end"/>
        </w:r>
      </w:hyperlink>
    </w:p>
    <w:p w14:paraId="67DE5089" w14:textId="52BCEE3A" w:rsidR="00990020" w:rsidRPr="00D74573" w:rsidRDefault="00990020">
      <w:pPr>
        <w:pStyle w:val="34"/>
        <w:tabs>
          <w:tab w:val="right" w:leader="dot" w:pos="8834"/>
        </w:tabs>
        <w:ind w:left="422"/>
        <w:rPr>
          <w:rFonts w:asciiTheme="majorEastAsia" w:eastAsiaTheme="majorEastAsia" w:hAnsiTheme="majorEastAsia" w:cstheme="minorBidi"/>
          <w:noProof/>
          <w14:ligatures w14:val="standardContextual"/>
        </w:rPr>
      </w:pPr>
      <w:hyperlink w:anchor="_Toc242870247" w:history="1">
        <w:r w:rsidRPr="00D74573">
          <w:rPr>
            <w:rStyle w:val="ac"/>
            <w:rFonts w:asciiTheme="majorEastAsia" w:eastAsiaTheme="majorEastAsia" w:hAnsiTheme="majorEastAsia"/>
            <w:noProof/>
          </w:rPr>
          <w:t>第２　動員配備体制</w:t>
        </w:r>
        <w:r w:rsidRPr="00D74573">
          <w:rPr>
            <w:rFonts w:asciiTheme="majorEastAsia" w:eastAsiaTheme="majorEastAsia" w:hAnsiTheme="majorEastAsia"/>
            <w:noProof/>
            <w:webHidden/>
          </w:rPr>
          <w:tab/>
        </w:r>
        <w:r w:rsidRPr="00D74573">
          <w:rPr>
            <w:rFonts w:asciiTheme="majorEastAsia" w:eastAsiaTheme="majorEastAsia" w:hAnsiTheme="majorEastAsia"/>
            <w:noProof/>
            <w:webHidden/>
          </w:rPr>
          <w:fldChar w:fldCharType="begin"/>
        </w:r>
        <w:r w:rsidRPr="00D74573">
          <w:rPr>
            <w:rFonts w:asciiTheme="majorEastAsia" w:eastAsiaTheme="majorEastAsia" w:hAnsiTheme="majorEastAsia"/>
            <w:noProof/>
            <w:webHidden/>
          </w:rPr>
          <w:instrText xml:space="preserve"> PAGEREF _Toc242870247 \h </w:instrText>
        </w:r>
        <w:r w:rsidRPr="00D74573">
          <w:rPr>
            <w:rFonts w:asciiTheme="majorEastAsia" w:eastAsiaTheme="majorEastAsia" w:hAnsiTheme="majorEastAsia"/>
            <w:noProof/>
            <w:webHidden/>
          </w:rPr>
        </w:r>
        <w:r w:rsidRPr="00D74573">
          <w:rPr>
            <w:rFonts w:asciiTheme="majorEastAsia" w:eastAsiaTheme="majorEastAsia" w:hAnsiTheme="majorEastAsia"/>
            <w:noProof/>
            <w:webHidden/>
          </w:rPr>
          <w:fldChar w:fldCharType="separate"/>
        </w:r>
        <w:r w:rsidR="00385E62">
          <w:rPr>
            <w:rFonts w:asciiTheme="majorEastAsia" w:eastAsiaTheme="majorEastAsia" w:hAnsiTheme="majorEastAsia"/>
            <w:noProof/>
            <w:webHidden/>
          </w:rPr>
          <w:t>- 126 -</w:t>
        </w:r>
        <w:r w:rsidRPr="00D74573">
          <w:rPr>
            <w:rFonts w:asciiTheme="majorEastAsia" w:eastAsiaTheme="majorEastAsia" w:hAnsiTheme="majorEastAsia"/>
            <w:noProof/>
            <w:webHidden/>
          </w:rPr>
          <w:fldChar w:fldCharType="end"/>
        </w:r>
      </w:hyperlink>
    </w:p>
    <w:p w14:paraId="56C47FC5" w14:textId="2997104A" w:rsidR="00990020" w:rsidRPr="00D74573" w:rsidRDefault="00990020">
      <w:pPr>
        <w:pStyle w:val="41"/>
        <w:tabs>
          <w:tab w:val="right" w:leader="dot" w:pos="8834"/>
        </w:tabs>
        <w:ind w:left="633"/>
        <w:rPr>
          <w:rFonts w:asciiTheme="majorEastAsia" w:eastAsiaTheme="majorEastAsia" w:hAnsiTheme="majorEastAsia" w:cstheme="minorBidi"/>
          <w:noProof/>
          <w14:ligatures w14:val="standardContextual"/>
        </w:rPr>
      </w:pPr>
      <w:hyperlink w:anchor="_Toc242870248" w:history="1">
        <w:r w:rsidRPr="00D74573">
          <w:rPr>
            <w:rStyle w:val="ac"/>
            <w:rFonts w:asciiTheme="majorEastAsia" w:eastAsiaTheme="majorEastAsia" w:hAnsiTheme="majorEastAsia"/>
            <w:noProof/>
          </w:rPr>
          <w:t>１　知事等の緊急登庁</w:t>
        </w:r>
        <w:r w:rsidRPr="00D74573">
          <w:rPr>
            <w:rFonts w:asciiTheme="majorEastAsia" w:eastAsiaTheme="majorEastAsia" w:hAnsiTheme="majorEastAsia"/>
            <w:noProof/>
            <w:webHidden/>
          </w:rPr>
          <w:tab/>
        </w:r>
        <w:r w:rsidRPr="00D74573">
          <w:rPr>
            <w:rFonts w:asciiTheme="majorEastAsia" w:eastAsiaTheme="majorEastAsia" w:hAnsiTheme="majorEastAsia"/>
            <w:noProof/>
            <w:webHidden/>
          </w:rPr>
          <w:fldChar w:fldCharType="begin"/>
        </w:r>
        <w:r w:rsidRPr="00D74573">
          <w:rPr>
            <w:rFonts w:asciiTheme="majorEastAsia" w:eastAsiaTheme="majorEastAsia" w:hAnsiTheme="majorEastAsia"/>
            <w:noProof/>
            <w:webHidden/>
          </w:rPr>
          <w:instrText xml:space="preserve"> PAGEREF _Toc242870248 \h </w:instrText>
        </w:r>
        <w:r w:rsidRPr="00D74573">
          <w:rPr>
            <w:rFonts w:asciiTheme="majorEastAsia" w:eastAsiaTheme="majorEastAsia" w:hAnsiTheme="majorEastAsia"/>
            <w:noProof/>
            <w:webHidden/>
          </w:rPr>
        </w:r>
        <w:r w:rsidRPr="00D74573">
          <w:rPr>
            <w:rFonts w:asciiTheme="majorEastAsia" w:eastAsiaTheme="majorEastAsia" w:hAnsiTheme="majorEastAsia"/>
            <w:noProof/>
            <w:webHidden/>
          </w:rPr>
          <w:fldChar w:fldCharType="separate"/>
        </w:r>
        <w:r w:rsidR="00385E62">
          <w:rPr>
            <w:rFonts w:asciiTheme="majorEastAsia" w:eastAsiaTheme="majorEastAsia" w:hAnsiTheme="majorEastAsia"/>
            <w:noProof/>
            <w:webHidden/>
          </w:rPr>
          <w:t>- 126 -</w:t>
        </w:r>
        <w:r w:rsidRPr="00D74573">
          <w:rPr>
            <w:rFonts w:asciiTheme="majorEastAsia" w:eastAsiaTheme="majorEastAsia" w:hAnsiTheme="majorEastAsia"/>
            <w:noProof/>
            <w:webHidden/>
          </w:rPr>
          <w:fldChar w:fldCharType="end"/>
        </w:r>
      </w:hyperlink>
    </w:p>
    <w:p w14:paraId="4B6686E7" w14:textId="1EE36B03" w:rsidR="00990020" w:rsidRPr="00D74573" w:rsidRDefault="00990020">
      <w:pPr>
        <w:pStyle w:val="41"/>
        <w:tabs>
          <w:tab w:val="right" w:leader="dot" w:pos="8834"/>
        </w:tabs>
        <w:ind w:left="633"/>
        <w:rPr>
          <w:rFonts w:asciiTheme="majorEastAsia" w:eastAsiaTheme="majorEastAsia" w:hAnsiTheme="majorEastAsia" w:cstheme="minorBidi"/>
          <w:noProof/>
          <w14:ligatures w14:val="standardContextual"/>
        </w:rPr>
      </w:pPr>
      <w:hyperlink w:anchor="_Toc242870249" w:history="1">
        <w:r w:rsidRPr="00D74573">
          <w:rPr>
            <w:rStyle w:val="ac"/>
            <w:rFonts w:asciiTheme="majorEastAsia" w:eastAsiaTheme="majorEastAsia" w:hAnsiTheme="majorEastAsia"/>
            <w:noProof/>
          </w:rPr>
          <w:t>２　動員体制の整備</w:t>
        </w:r>
        <w:r w:rsidRPr="00D74573">
          <w:rPr>
            <w:rFonts w:asciiTheme="majorEastAsia" w:eastAsiaTheme="majorEastAsia" w:hAnsiTheme="majorEastAsia"/>
            <w:noProof/>
            <w:webHidden/>
          </w:rPr>
          <w:tab/>
        </w:r>
        <w:r w:rsidRPr="00D74573">
          <w:rPr>
            <w:rFonts w:asciiTheme="majorEastAsia" w:eastAsiaTheme="majorEastAsia" w:hAnsiTheme="majorEastAsia"/>
            <w:noProof/>
            <w:webHidden/>
          </w:rPr>
          <w:fldChar w:fldCharType="begin"/>
        </w:r>
        <w:r w:rsidRPr="00D74573">
          <w:rPr>
            <w:rFonts w:asciiTheme="majorEastAsia" w:eastAsiaTheme="majorEastAsia" w:hAnsiTheme="majorEastAsia"/>
            <w:noProof/>
            <w:webHidden/>
          </w:rPr>
          <w:instrText xml:space="preserve"> PAGEREF _Toc242870249 \h </w:instrText>
        </w:r>
        <w:r w:rsidRPr="00D74573">
          <w:rPr>
            <w:rFonts w:asciiTheme="majorEastAsia" w:eastAsiaTheme="majorEastAsia" w:hAnsiTheme="majorEastAsia"/>
            <w:noProof/>
            <w:webHidden/>
          </w:rPr>
        </w:r>
        <w:r w:rsidRPr="00D74573">
          <w:rPr>
            <w:rFonts w:asciiTheme="majorEastAsia" w:eastAsiaTheme="majorEastAsia" w:hAnsiTheme="majorEastAsia"/>
            <w:noProof/>
            <w:webHidden/>
          </w:rPr>
          <w:fldChar w:fldCharType="separate"/>
        </w:r>
        <w:r w:rsidR="00385E62">
          <w:rPr>
            <w:rFonts w:asciiTheme="majorEastAsia" w:eastAsiaTheme="majorEastAsia" w:hAnsiTheme="majorEastAsia"/>
            <w:noProof/>
            <w:webHidden/>
          </w:rPr>
          <w:t>- 126 -</w:t>
        </w:r>
        <w:r w:rsidRPr="00D74573">
          <w:rPr>
            <w:rFonts w:asciiTheme="majorEastAsia" w:eastAsiaTheme="majorEastAsia" w:hAnsiTheme="majorEastAsia"/>
            <w:noProof/>
            <w:webHidden/>
          </w:rPr>
          <w:fldChar w:fldCharType="end"/>
        </w:r>
      </w:hyperlink>
    </w:p>
    <w:p w14:paraId="375219B2" w14:textId="5EA83702" w:rsidR="00990020" w:rsidRPr="00D74573" w:rsidRDefault="00990020">
      <w:pPr>
        <w:pStyle w:val="24"/>
        <w:tabs>
          <w:tab w:val="right" w:leader="dot" w:pos="8834"/>
        </w:tabs>
        <w:ind w:left="211"/>
        <w:rPr>
          <w:rFonts w:asciiTheme="majorEastAsia" w:eastAsiaTheme="majorEastAsia" w:hAnsiTheme="majorEastAsia" w:cstheme="minorBidi"/>
          <w:noProof/>
          <w14:ligatures w14:val="standardContextual"/>
        </w:rPr>
      </w:pPr>
      <w:hyperlink w:anchor="_Toc242870250" w:history="1">
        <w:r w:rsidRPr="00D74573">
          <w:rPr>
            <w:rStyle w:val="ac"/>
            <w:rFonts w:asciiTheme="majorEastAsia" w:eastAsiaTheme="majorEastAsia" w:hAnsiTheme="majorEastAsia"/>
            <w:noProof/>
          </w:rPr>
          <w:t>第２節　自衛隊の派遣要請</w:t>
        </w:r>
        <w:r w:rsidRPr="00D74573">
          <w:rPr>
            <w:rFonts w:asciiTheme="majorEastAsia" w:eastAsiaTheme="majorEastAsia" w:hAnsiTheme="majorEastAsia"/>
            <w:noProof/>
            <w:webHidden/>
          </w:rPr>
          <w:tab/>
        </w:r>
        <w:r w:rsidRPr="00D74573">
          <w:rPr>
            <w:rFonts w:asciiTheme="majorEastAsia" w:eastAsiaTheme="majorEastAsia" w:hAnsiTheme="majorEastAsia"/>
            <w:noProof/>
            <w:webHidden/>
          </w:rPr>
          <w:fldChar w:fldCharType="begin"/>
        </w:r>
        <w:r w:rsidRPr="00D74573">
          <w:rPr>
            <w:rFonts w:asciiTheme="majorEastAsia" w:eastAsiaTheme="majorEastAsia" w:hAnsiTheme="majorEastAsia"/>
            <w:noProof/>
            <w:webHidden/>
          </w:rPr>
          <w:instrText xml:space="preserve"> PAGEREF _Toc242870250 \h </w:instrText>
        </w:r>
        <w:r w:rsidRPr="00D74573">
          <w:rPr>
            <w:rFonts w:asciiTheme="majorEastAsia" w:eastAsiaTheme="majorEastAsia" w:hAnsiTheme="majorEastAsia"/>
            <w:noProof/>
            <w:webHidden/>
          </w:rPr>
        </w:r>
        <w:r w:rsidRPr="00D74573">
          <w:rPr>
            <w:rFonts w:asciiTheme="majorEastAsia" w:eastAsiaTheme="majorEastAsia" w:hAnsiTheme="majorEastAsia"/>
            <w:noProof/>
            <w:webHidden/>
          </w:rPr>
          <w:fldChar w:fldCharType="separate"/>
        </w:r>
        <w:r w:rsidR="00385E62">
          <w:rPr>
            <w:rFonts w:asciiTheme="majorEastAsia" w:eastAsiaTheme="majorEastAsia" w:hAnsiTheme="majorEastAsia"/>
            <w:noProof/>
            <w:webHidden/>
          </w:rPr>
          <w:t>- 132 -</w:t>
        </w:r>
        <w:r w:rsidRPr="00D74573">
          <w:rPr>
            <w:rFonts w:asciiTheme="majorEastAsia" w:eastAsiaTheme="majorEastAsia" w:hAnsiTheme="majorEastAsia"/>
            <w:noProof/>
            <w:webHidden/>
          </w:rPr>
          <w:fldChar w:fldCharType="end"/>
        </w:r>
      </w:hyperlink>
    </w:p>
    <w:p w14:paraId="63B089F8" w14:textId="7265F95D" w:rsidR="00990020" w:rsidRPr="00D74573" w:rsidRDefault="00990020">
      <w:pPr>
        <w:pStyle w:val="34"/>
        <w:tabs>
          <w:tab w:val="right" w:leader="dot" w:pos="8834"/>
        </w:tabs>
        <w:ind w:left="422"/>
        <w:rPr>
          <w:rFonts w:asciiTheme="majorEastAsia" w:eastAsiaTheme="majorEastAsia" w:hAnsiTheme="majorEastAsia" w:cstheme="minorBidi"/>
          <w:noProof/>
          <w14:ligatures w14:val="standardContextual"/>
        </w:rPr>
      </w:pPr>
      <w:hyperlink w:anchor="_Toc242870251" w:history="1">
        <w:r w:rsidRPr="00D74573">
          <w:rPr>
            <w:rStyle w:val="ac"/>
            <w:rFonts w:asciiTheme="majorEastAsia" w:eastAsiaTheme="majorEastAsia" w:hAnsiTheme="majorEastAsia"/>
            <w:noProof/>
          </w:rPr>
          <w:t>第１　派遣要請</w:t>
        </w:r>
        <w:r w:rsidRPr="00D74573">
          <w:rPr>
            <w:rStyle w:val="ac"/>
            <w:rFonts w:asciiTheme="majorEastAsia" w:eastAsiaTheme="majorEastAsia" w:hAnsiTheme="majorEastAsia"/>
            <w:noProof/>
            <w:shd w:val="pct15" w:color="auto" w:fill="FFFFFF"/>
          </w:rPr>
          <w:t>【第１フェーズ】</w:t>
        </w:r>
        <w:r w:rsidRPr="00D74573">
          <w:rPr>
            <w:rFonts w:asciiTheme="majorEastAsia" w:eastAsiaTheme="majorEastAsia" w:hAnsiTheme="majorEastAsia"/>
            <w:noProof/>
            <w:webHidden/>
          </w:rPr>
          <w:tab/>
        </w:r>
        <w:r w:rsidRPr="00D74573">
          <w:rPr>
            <w:rFonts w:asciiTheme="majorEastAsia" w:eastAsiaTheme="majorEastAsia" w:hAnsiTheme="majorEastAsia"/>
            <w:noProof/>
            <w:webHidden/>
          </w:rPr>
          <w:fldChar w:fldCharType="begin"/>
        </w:r>
        <w:r w:rsidRPr="00D74573">
          <w:rPr>
            <w:rFonts w:asciiTheme="majorEastAsia" w:eastAsiaTheme="majorEastAsia" w:hAnsiTheme="majorEastAsia"/>
            <w:noProof/>
            <w:webHidden/>
          </w:rPr>
          <w:instrText xml:space="preserve"> PAGEREF _Toc242870251 \h </w:instrText>
        </w:r>
        <w:r w:rsidRPr="00D74573">
          <w:rPr>
            <w:rFonts w:asciiTheme="majorEastAsia" w:eastAsiaTheme="majorEastAsia" w:hAnsiTheme="majorEastAsia"/>
            <w:noProof/>
            <w:webHidden/>
          </w:rPr>
        </w:r>
        <w:r w:rsidRPr="00D74573">
          <w:rPr>
            <w:rFonts w:asciiTheme="majorEastAsia" w:eastAsiaTheme="majorEastAsia" w:hAnsiTheme="majorEastAsia"/>
            <w:noProof/>
            <w:webHidden/>
          </w:rPr>
          <w:fldChar w:fldCharType="separate"/>
        </w:r>
        <w:r w:rsidR="00385E62">
          <w:rPr>
            <w:rFonts w:asciiTheme="majorEastAsia" w:eastAsiaTheme="majorEastAsia" w:hAnsiTheme="majorEastAsia"/>
            <w:noProof/>
            <w:webHidden/>
          </w:rPr>
          <w:t>- 132 -</w:t>
        </w:r>
        <w:r w:rsidRPr="00D74573">
          <w:rPr>
            <w:rFonts w:asciiTheme="majorEastAsia" w:eastAsiaTheme="majorEastAsia" w:hAnsiTheme="majorEastAsia"/>
            <w:noProof/>
            <w:webHidden/>
          </w:rPr>
          <w:fldChar w:fldCharType="end"/>
        </w:r>
      </w:hyperlink>
    </w:p>
    <w:p w14:paraId="06A9D3CD" w14:textId="5624469A" w:rsidR="00990020" w:rsidRPr="00D74573" w:rsidRDefault="00990020">
      <w:pPr>
        <w:pStyle w:val="34"/>
        <w:tabs>
          <w:tab w:val="right" w:leader="dot" w:pos="8834"/>
        </w:tabs>
        <w:ind w:left="422"/>
        <w:rPr>
          <w:rFonts w:asciiTheme="majorEastAsia" w:eastAsiaTheme="majorEastAsia" w:hAnsiTheme="majorEastAsia" w:cstheme="minorBidi"/>
          <w:noProof/>
          <w14:ligatures w14:val="standardContextual"/>
        </w:rPr>
      </w:pPr>
      <w:hyperlink w:anchor="_Toc242870252" w:history="1">
        <w:r w:rsidRPr="00D74573">
          <w:rPr>
            <w:rStyle w:val="ac"/>
            <w:rFonts w:asciiTheme="majorEastAsia" w:eastAsiaTheme="majorEastAsia" w:hAnsiTheme="majorEastAsia"/>
            <w:noProof/>
          </w:rPr>
          <w:t>第２　派遣部隊の誘導及び受入れ体制</w:t>
        </w:r>
        <w:r w:rsidRPr="00D74573">
          <w:rPr>
            <w:rStyle w:val="ac"/>
            <w:rFonts w:asciiTheme="majorEastAsia" w:eastAsiaTheme="majorEastAsia" w:hAnsiTheme="majorEastAsia"/>
            <w:noProof/>
            <w:shd w:val="pct15" w:color="auto" w:fill="FFFFFF"/>
          </w:rPr>
          <w:t>【第２フェーズ】</w:t>
        </w:r>
        <w:r w:rsidRPr="00D74573">
          <w:rPr>
            <w:rFonts w:asciiTheme="majorEastAsia" w:eastAsiaTheme="majorEastAsia" w:hAnsiTheme="majorEastAsia"/>
            <w:noProof/>
            <w:webHidden/>
          </w:rPr>
          <w:tab/>
        </w:r>
        <w:r w:rsidRPr="00D74573">
          <w:rPr>
            <w:rFonts w:asciiTheme="majorEastAsia" w:eastAsiaTheme="majorEastAsia" w:hAnsiTheme="majorEastAsia"/>
            <w:noProof/>
            <w:webHidden/>
          </w:rPr>
          <w:fldChar w:fldCharType="begin"/>
        </w:r>
        <w:r w:rsidRPr="00D74573">
          <w:rPr>
            <w:rFonts w:asciiTheme="majorEastAsia" w:eastAsiaTheme="majorEastAsia" w:hAnsiTheme="majorEastAsia"/>
            <w:noProof/>
            <w:webHidden/>
          </w:rPr>
          <w:instrText xml:space="preserve"> PAGEREF _Toc242870252 \h </w:instrText>
        </w:r>
        <w:r w:rsidRPr="00D74573">
          <w:rPr>
            <w:rFonts w:asciiTheme="majorEastAsia" w:eastAsiaTheme="majorEastAsia" w:hAnsiTheme="majorEastAsia"/>
            <w:noProof/>
            <w:webHidden/>
          </w:rPr>
        </w:r>
        <w:r w:rsidRPr="00D74573">
          <w:rPr>
            <w:rFonts w:asciiTheme="majorEastAsia" w:eastAsiaTheme="majorEastAsia" w:hAnsiTheme="majorEastAsia"/>
            <w:noProof/>
            <w:webHidden/>
          </w:rPr>
          <w:fldChar w:fldCharType="separate"/>
        </w:r>
        <w:r w:rsidR="00385E62">
          <w:rPr>
            <w:rFonts w:asciiTheme="majorEastAsia" w:eastAsiaTheme="majorEastAsia" w:hAnsiTheme="majorEastAsia"/>
            <w:noProof/>
            <w:webHidden/>
          </w:rPr>
          <w:t>- 133 -</w:t>
        </w:r>
        <w:r w:rsidRPr="00D74573">
          <w:rPr>
            <w:rFonts w:asciiTheme="majorEastAsia" w:eastAsiaTheme="majorEastAsia" w:hAnsiTheme="majorEastAsia"/>
            <w:noProof/>
            <w:webHidden/>
          </w:rPr>
          <w:fldChar w:fldCharType="end"/>
        </w:r>
      </w:hyperlink>
    </w:p>
    <w:p w14:paraId="3C2F17BF" w14:textId="744C349F" w:rsidR="00990020" w:rsidRPr="00D74573" w:rsidRDefault="00990020">
      <w:pPr>
        <w:pStyle w:val="34"/>
        <w:tabs>
          <w:tab w:val="right" w:leader="dot" w:pos="8834"/>
        </w:tabs>
        <w:ind w:left="422"/>
        <w:rPr>
          <w:rFonts w:asciiTheme="majorEastAsia" w:eastAsiaTheme="majorEastAsia" w:hAnsiTheme="majorEastAsia" w:cstheme="minorBidi"/>
          <w:noProof/>
          <w14:ligatures w14:val="standardContextual"/>
        </w:rPr>
      </w:pPr>
      <w:hyperlink w:anchor="_Toc242870253" w:history="1">
        <w:r w:rsidRPr="00D74573">
          <w:rPr>
            <w:rStyle w:val="ac"/>
            <w:rFonts w:asciiTheme="majorEastAsia" w:eastAsiaTheme="majorEastAsia" w:hAnsiTheme="majorEastAsia"/>
            <w:noProof/>
          </w:rPr>
          <w:t>第３　派遣部隊の撤収要請</w:t>
        </w:r>
        <w:r w:rsidRPr="00D74573">
          <w:rPr>
            <w:rFonts w:asciiTheme="majorEastAsia" w:eastAsiaTheme="majorEastAsia" w:hAnsiTheme="majorEastAsia"/>
            <w:noProof/>
            <w:webHidden/>
          </w:rPr>
          <w:tab/>
        </w:r>
        <w:r w:rsidRPr="00D74573">
          <w:rPr>
            <w:rFonts w:asciiTheme="majorEastAsia" w:eastAsiaTheme="majorEastAsia" w:hAnsiTheme="majorEastAsia"/>
            <w:noProof/>
            <w:webHidden/>
          </w:rPr>
          <w:fldChar w:fldCharType="begin"/>
        </w:r>
        <w:r w:rsidRPr="00D74573">
          <w:rPr>
            <w:rFonts w:asciiTheme="majorEastAsia" w:eastAsiaTheme="majorEastAsia" w:hAnsiTheme="majorEastAsia"/>
            <w:noProof/>
            <w:webHidden/>
          </w:rPr>
          <w:instrText xml:space="preserve"> PAGEREF _Toc242870253 \h </w:instrText>
        </w:r>
        <w:r w:rsidRPr="00D74573">
          <w:rPr>
            <w:rFonts w:asciiTheme="majorEastAsia" w:eastAsiaTheme="majorEastAsia" w:hAnsiTheme="majorEastAsia"/>
            <w:noProof/>
            <w:webHidden/>
          </w:rPr>
        </w:r>
        <w:r w:rsidRPr="00D74573">
          <w:rPr>
            <w:rFonts w:asciiTheme="majorEastAsia" w:eastAsiaTheme="majorEastAsia" w:hAnsiTheme="majorEastAsia"/>
            <w:noProof/>
            <w:webHidden/>
          </w:rPr>
          <w:fldChar w:fldCharType="separate"/>
        </w:r>
        <w:r w:rsidR="00385E62">
          <w:rPr>
            <w:rFonts w:asciiTheme="majorEastAsia" w:eastAsiaTheme="majorEastAsia" w:hAnsiTheme="majorEastAsia"/>
            <w:noProof/>
            <w:webHidden/>
          </w:rPr>
          <w:t>- 134 -</w:t>
        </w:r>
        <w:r w:rsidRPr="00D74573">
          <w:rPr>
            <w:rFonts w:asciiTheme="majorEastAsia" w:eastAsiaTheme="majorEastAsia" w:hAnsiTheme="majorEastAsia"/>
            <w:noProof/>
            <w:webHidden/>
          </w:rPr>
          <w:fldChar w:fldCharType="end"/>
        </w:r>
      </w:hyperlink>
    </w:p>
    <w:p w14:paraId="75AEBDAB" w14:textId="4E5C6232" w:rsidR="00990020" w:rsidRPr="00D74573" w:rsidRDefault="00990020">
      <w:pPr>
        <w:pStyle w:val="24"/>
        <w:tabs>
          <w:tab w:val="right" w:leader="dot" w:pos="8834"/>
        </w:tabs>
        <w:ind w:left="211"/>
        <w:rPr>
          <w:rFonts w:asciiTheme="majorEastAsia" w:eastAsiaTheme="majorEastAsia" w:hAnsiTheme="majorEastAsia" w:cstheme="minorBidi"/>
          <w:noProof/>
          <w14:ligatures w14:val="standardContextual"/>
        </w:rPr>
      </w:pPr>
      <w:hyperlink w:anchor="_Toc242870254" w:history="1">
        <w:r w:rsidRPr="00D74573">
          <w:rPr>
            <w:rStyle w:val="ac"/>
            <w:rFonts w:asciiTheme="majorEastAsia" w:eastAsiaTheme="majorEastAsia" w:hAnsiTheme="majorEastAsia"/>
            <w:noProof/>
          </w:rPr>
          <w:t>第３節　府内消防の相互応援及び緊急消防援助隊の派遣要請等</w:t>
        </w:r>
        <w:r w:rsidRPr="00D74573">
          <w:rPr>
            <w:rFonts w:asciiTheme="majorEastAsia" w:eastAsiaTheme="majorEastAsia" w:hAnsiTheme="majorEastAsia"/>
            <w:noProof/>
            <w:webHidden/>
          </w:rPr>
          <w:tab/>
        </w:r>
        <w:r w:rsidRPr="00D74573">
          <w:rPr>
            <w:rFonts w:asciiTheme="majorEastAsia" w:eastAsiaTheme="majorEastAsia" w:hAnsiTheme="majorEastAsia"/>
            <w:noProof/>
            <w:webHidden/>
          </w:rPr>
          <w:fldChar w:fldCharType="begin"/>
        </w:r>
        <w:r w:rsidRPr="00D74573">
          <w:rPr>
            <w:rFonts w:asciiTheme="majorEastAsia" w:eastAsiaTheme="majorEastAsia" w:hAnsiTheme="majorEastAsia"/>
            <w:noProof/>
            <w:webHidden/>
          </w:rPr>
          <w:instrText xml:space="preserve"> PAGEREF _Toc242870254 \h </w:instrText>
        </w:r>
        <w:r w:rsidRPr="00D74573">
          <w:rPr>
            <w:rFonts w:asciiTheme="majorEastAsia" w:eastAsiaTheme="majorEastAsia" w:hAnsiTheme="majorEastAsia"/>
            <w:noProof/>
            <w:webHidden/>
          </w:rPr>
        </w:r>
        <w:r w:rsidRPr="00D74573">
          <w:rPr>
            <w:rFonts w:asciiTheme="majorEastAsia" w:eastAsiaTheme="majorEastAsia" w:hAnsiTheme="majorEastAsia"/>
            <w:noProof/>
            <w:webHidden/>
          </w:rPr>
          <w:fldChar w:fldCharType="separate"/>
        </w:r>
        <w:r w:rsidR="00385E62">
          <w:rPr>
            <w:rFonts w:asciiTheme="majorEastAsia" w:eastAsiaTheme="majorEastAsia" w:hAnsiTheme="majorEastAsia"/>
            <w:noProof/>
            <w:webHidden/>
          </w:rPr>
          <w:t>- 135 -</w:t>
        </w:r>
        <w:r w:rsidRPr="00D74573">
          <w:rPr>
            <w:rFonts w:asciiTheme="majorEastAsia" w:eastAsiaTheme="majorEastAsia" w:hAnsiTheme="majorEastAsia"/>
            <w:noProof/>
            <w:webHidden/>
          </w:rPr>
          <w:fldChar w:fldCharType="end"/>
        </w:r>
      </w:hyperlink>
    </w:p>
    <w:p w14:paraId="4BAF4DAB" w14:textId="51D965B6" w:rsidR="00990020" w:rsidRPr="00D74573" w:rsidRDefault="00990020">
      <w:pPr>
        <w:pStyle w:val="34"/>
        <w:tabs>
          <w:tab w:val="right" w:leader="dot" w:pos="8834"/>
        </w:tabs>
        <w:ind w:left="422"/>
        <w:rPr>
          <w:rFonts w:asciiTheme="majorEastAsia" w:eastAsiaTheme="majorEastAsia" w:hAnsiTheme="majorEastAsia" w:cstheme="minorBidi"/>
          <w:noProof/>
          <w14:ligatures w14:val="standardContextual"/>
        </w:rPr>
      </w:pPr>
      <w:hyperlink w:anchor="_Toc242870255" w:history="1">
        <w:r w:rsidRPr="00D74573">
          <w:rPr>
            <w:rStyle w:val="ac"/>
            <w:rFonts w:asciiTheme="majorEastAsia" w:eastAsiaTheme="majorEastAsia" w:hAnsiTheme="majorEastAsia"/>
            <w:noProof/>
          </w:rPr>
          <w:t>第１　府内消防の相互応援</w:t>
        </w:r>
        <w:r w:rsidRPr="00D74573">
          <w:rPr>
            <w:rStyle w:val="ac"/>
            <w:rFonts w:asciiTheme="majorEastAsia" w:eastAsiaTheme="majorEastAsia" w:hAnsiTheme="majorEastAsia"/>
            <w:noProof/>
            <w:shd w:val="pct15" w:color="auto" w:fill="FFFFFF"/>
          </w:rPr>
          <w:t>【第１フェーズ】</w:t>
        </w:r>
        <w:r w:rsidRPr="00D74573">
          <w:rPr>
            <w:rFonts w:asciiTheme="majorEastAsia" w:eastAsiaTheme="majorEastAsia" w:hAnsiTheme="majorEastAsia"/>
            <w:noProof/>
            <w:webHidden/>
          </w:rPr>
          <w:tab/>
        </w:r>
        <w:r w:rsidRPr="00D74573">
          <w:rPr>
            <w:rFonts w:asciiTheme="majorEastAsia" w:eastAsiaTheme="majorEastAsia" w:hAnsiTheme="majorEastAsia"/>
            <w:noProof/>
            <w:webHidden/>
          </w:rPr>
          <w:fldChar w:fldCharType="begin"/>
        </w:r>
        <w:r w:rsidRPr="00D74573">
          <w:rPr>
            <w:rFonts w:asciiTheme="majorEastAsia" w:eastAsiaTheme="majorEastAsia" w:hAnsiTheme="majorEastAsia"/>
            <w:noProof/>
            <w:webHidden/>
          </w:rPr>
          <w:instrText xml:space="preserve"> PAGEREF _Toc242870255 \h </w:instrText>
        </w:r>
        <w:r w:rsidRPr="00D74573">
          <w:rPr>
            <w:rFonts w:asciiTheme="majorEastAsia" w:eastAsiaTheme="majorEastAsia" w:hAnsiTheme="majorEastAsia"/>
            <w:noProof/>
            <w:webHidden/>
          </w:rPr>
        </w:r>
        <w:r w:rsidRPr="00D74573">
          <w:rPr>
            <w:rFonts w:asciiTheme="majorEastAsia" w:eastAsiaTheme="majorEastAsia" w:hAnsiTheme="majorEastAsia"/>
            <w:noProof/>
            <w:webHidden/>
          </w:rPr>
          <w:fldChar w:fldCharType="separate"/>
        </w:r>
        <w:r w:rsidR="00385E62">
          <w:rPr>
            <w:rFonts w:asciiTheme="majorEastAsia" w:eastAsiaTheme="majorEastAsia" w:hAnsiTheme="majorEastAsia"/>
            <w:noProof/>
            <w:webHidden/>
          </w:rPr>
          <w:t>- 135 -</w:t>
        </w:r>
        <w:r w:rsidRPr="00D74573">
          <w:rPr>
            <w:rFonts w:asciiTheme="majorEastAsia" w:eastAsiaTheme="majorEastAsia" w:hAnsiTheme="majorEastAsia"/>
            <w:noProof/>
            <w:webHidden/>
          </w:rPr>
          <w:fldChar w:fldCharType="end"/>
        </w:r>
      </w:hyperlink>
    </w:p>
    <w:p w14:paraId="1F437F67" w14:textId="0E495A07" w:rsidR="00990020" w:rsidRPr="00D74573" w:rsidRDefault="00990020">
      <w:pPr>
        <w:pStyle w:val="34"/>
        <w:tabs>
          <w:tab w:val="right" w:leader="dot" w:pos="8834"/>
        </w:tabs>
        <w:ind w:left="422"/>
        <w:rPr>
          <w:rFonts w:asciiTheme="majorEastAsia" w:eastAsiaTheme="majorEastAsia" w:hAnsiTheme="majorEastAsia" w:cstheme="minorBidi"/>
          <w:noProof/>
          <w14:ligatures w14:val="standardContextual"/>
        </w:rPr>
      </w:pPr>
      <w:hyperlink w:anchor="_Toc242870256" w:history="1">
        <w:r w:rsidRPr="00D74573">
          <w:rPr>
            <w:rStyle w:val="ac"/>
            <w:rFonts w:asciiTheme="majorEastAsia" w:eastAsiaTheme="majorEastAsia" w:hAnsiTheme="majorEastAsia"/>
            <w:noProof/>
          </w:rPr>
          <w:t>第２　緊急消防援助隊の派遣要請</w:t>
        </w:r>
        <w:r w:rsidRPr="00D74573">
          <w:rPr>
            <w:rStyle w:val="ac"/>
            <w:rFonts w:asciiTheme="majorEastAsia" w:eastAsiaTheme="majorEastAsia" w:hAnsiTheme="majorEastAsia"/>
            <w:noProof/>
            <w:shd w:val="pct15" w:color="auto" w:fill="FFFFFF"/>
          </w:rPr>
          <w:t>【第１フェーズ】</w:t>
        </w:r>
        <w:r w:rsidRPr="00D74573">
          <w:rPr>
            <w:rFonts w:asciiTheme="majorEastAsia" w:eastAsiaTheme="majorEastAsia" w:hAnsiTheme="majorEastAsia"/>
            <w:noProof/>
            <w:webHidden/>
          </w:rPr>
          <w:tab/>
        </w:r>
        <w:r w:rsidRPr="00D74573">
          <w:rPr>
            <w:rFonts w:asciiTheme="majorEastAsia" w:eastAsiaTheme="majorEastAsia" w:hAnsiTheme="majorEastAsia"/>
            <w:noProof/>
            <w:webHidden/>
          </w:rPr>
          <w:fldChar w:fldCharType="begin"/>
        </w:r>
        <w:r w:rsidRPr="00D74573">
          <w:rPr>
            <w:rFonts w:asciiTheme="majorEastAsia" w:eastAsiaTheme="majorEastAsia" w:hAnsiTheme="majorEastAsia"/>
            <w:noProof/>
            <w:webHidden/>
          </w:rPr>
          <w:instrText xml:space="preserve"> PAGEREF _Toc242870256 \h </w:instrText>
        </w:r>
        <w:r w:rsidRPr="00D74573">
          <w:rPr>
            <w:rFonts w:asciiTheme="majorEastAsia" w:eastAsiaTheme="majorEastAsia" w:hAnsiTheme="majorEastAsia"/>
            <w:noProof/>
            <w:webHidden/>
          </w:rPr>
        </w:r>
        <w:r w:rsidRPr="00D74573">
          <w:rPr>
            <w:rFonts w:asciiTheme="majorEastAsia" w:eastAsiaTheme="majorEastAsia" w:hAnsiTheme="majorEastAsia"/>
            <w:noProof/>
            <w:webHidden/>
          </w:rPr>
          <w:fldChar w:fldCharType="separate"/>
        </w:r>
        <w:r w:rsidR="00385E62">
          <w:rPr>
            <w:rFonts w:asciiTheme="majorEastAsia" w:eastAsiaTheme="majorEastAsia" w:hAnsiTheme="majorEastAsia"/>
            <w:noProof/>
            <w:webHidden/>
          </w:rPr>
          <w:t>- 136 -</w:t>
        </w:r>
        <w:r w:rsidRPr="00D74573">
          <w:rPr>
            <w:rFonts w:asciiTheme="majorEastAsia" w:eastAsiaTheme="majorEastAsia" w:hAnsiTheme="majorEastAsia"/>
            <w:noProof/>
            <w:webHidden/>
          </w:rPr>
          <w:fldChar w:fldCharType="end"/>
        </w:r>
      </w:hyperlink>
    </w:p>
    <w:p w14:paraId="7B7B4391" w14:textId="01A0F872" w:rsidR="00990020" w:rsidRPr="00D74573" w:rsidRDefault="00990020">
      <w:pPr>
        <w:pStyle w:val="24"/>
        <w:tabs>
          <w:tab w:val="right" w:leader="dot" w:pos="8834"/>
        </w:tabs>
        <w:ind w:left="211"/>
        <w:rPr>
          <w:rFonts w:asciiTheme="majorEastAsia" w:eastAsiaTheme="majorEastAsia" w:hAnsiTheme="majorEastAsia" w:cstheme="minorBidi"/>
          <w:noProof/>
          <w14:ligatures w14:val="standardContextual"/>
        </w:rPr>
      </w:pPr>
      <w:hyperlink w:anchor="_Toc242870257" w:history="1">
        <w:r w:rsidRPr="00D74573">
          <w:rPr>
            <w:rStyle w:val="ac"/>
            <w:rFonts w:asciiTheme="majorEastAsia" w:eastAsiaTheme="majorEastAsia" w:hAnsiTheme="majorEastAsia"/>
            <w:noProof/>
          </w:rPr>
          <w:t>第４節　広域応援等の要請・受入・支援</w:t>
        </w:r>
        <w:r w:rsidRPr="00D74573">
          <w:rPr>
            <w:rFonts w:asciiTheme="majorEastAsia" w:eastAsiaTheme="majorEastAsia" w:hAnsiTheme="majorEastAsia"/>
            <w:noProof/>
            <w:webHidden/>
          </w:rPr>
          <w:tab/>
        </w:r>
        <w:r w:rsidRPr="00D74573">
          <w:rPr>
            <w:rFonts w:asciiTheme="majorEastAsia" w:eastAsiaTheme="majorEastAsia" w:hAnsiTheme="majorEastAsia"/>
            <w:noProof/>
            <w:webHidden/>
          </w:rPr>
          <w:fldChar w:fldCharType="begin"/>
        </w:r>
        <w:r w:rsidRPr="00D74573">
          <w:rPr>
            <w:rFonts w:asciiTheme="majorEastAsia" w:eastAsiaTheme="majorEastAsia" w:hAnsiTheme="majorEastAsia"/>
            <w:noProof/>
            <w:webHidden/>
          </w:rPr>
          <w:instrText xml:space="preserve"> PAGEREF _Toc242870257 \h </w:instrText>
        </w:r>
        <w:r w:rsidRPr="00D74573">
          <w:rPr>
            <w:rFonts w:asciiTheme="majorEastAsia" w:eastAsiaTheme="majorEastAsia" w:hAnsiTheme="majorEastAsia"/>
            <w:noProof/>
            <w:webHidden/>
          </w:rPr>
        </w:r>
        <w:r w:rsidRPr="00D74573">
          <w:rPr>
            <w:rFonts w:asciiTheme="majorEastAsia" w:eastAsiaTheme="majorEastAsia" w:hAnsiTheme="majorEastAsia"/>
            <w:noProof/>
            <w:webHidden/>
          </w:rPr>
          <w:fldChar w:fldCharType="separate"/>
        </w:r>
        <w:r w:rsidR="00385E62">
          <w:rPr>
            <w:rFonts w:asciiTheme="majorEastAsia" w:eastAsiaTheme="majorEastAsia" w:hAnsiTheme="majorEastAsia"/>
            <w:noProof/>
            <w:webHidden/>
          </w:rPr>
          <w:t>- 137 -</w:t>
        </w:r>
        <w:r w:rsidRPr="00D74573">
          <w:rPr>
            <w:rFonts w:asciiTheme="majorEastAsia" w:eastAsiaTheme="majorEastAsia" w:hAnsiTheme="majorEastAsia"/>
            <w:noProof/>
            <w:webHidden/>
          </w:rPr>
          <w:fldChar w:fldCharType="end"/>
        </w:r>
      </w:hyperlink>
    </w:p>
    <w:p w14:paraId="42DC17DF" w14:textId="067644A7" w:rsidR="00990020" w:rsidRPr="00D74573" w:rsidRDefault="00990020">
      <w:pPr>
        <w:pStyle w:val="34"/>
        <w:tabs>
          <w:tab w:val="right" w:leader="dot" w:pos="8834"/>
        </w:tabs>
        <w:ind w:left="422"/>
        <w:rPr>
          <w:rFonts w:asciiTheme="majorEastAsia" w:eastAsiaTheme="majorEastAsia" w:hAnsiTheme="majorEastAsia" w:cstheme="minorBidi"/>
          <w:noProof/>
          <w14:ligatures w14:val="standardContextual"/>
        </w:rPr>
      </w:pPr>
      <w:hyperlink w:anchor="_Toc242870258" w:history="1">
        <w:r w:rsidRPr="00D74573">
          <w:rPr>
            <w:rStyle w:val="ac"/>
            <w:rFonts w:asciiTheme="majorEastAsia" w:eastAsiaTheme="majorEastAsia" w:hAnsiTheme="majorEastAsia"/>
            <w:noProof/>
          </w:rPr>
          <w:t>第１　関西広域連合等への応援要請</w:t>
        </w:r>
        <w:r w:rsidRPr="00D74573">
          <w:rPr>
            <w:rStyle w:val="ac"/>
            <w:rFonts w:asciiTheme="majorEastAsia" w:eastAsiaTheme="majorEastAsia" w:hAnsiTheme="majorEastAsia"/>
            <w:noProof/>
            <w:shd w:val="pct15" w:color="auto" w:fill="FFFFFF"/>
          </w:rPr>
          <w:t>【第１フェーズ～】</w:t>
        </w:r>
        <w:r w:rsidRPr="00D74573">
          <w:rPr>
            <w:rFonts w:asciiTheme="majorEastAsia" w:eastAsiaTheme="majorEastAsia" w:hAnsiTheme="majorEastAsia"/>
            <w:noProof/>
            <w:webHidden/>
          </w:rPr>
          <w:tab/>
        </w:r>
        <w:r w:rsidRPr="00D74573">
          <w:rPr>
            <w:rFonts w:asciiTheme="majorEastAsia" w:eastAsiaTheme="majorEastAsia" w:hAnsiTheme="majorEastAsia"/>
            <w:noProof/>
            <w:webHidden/>
          </w:rPr>
          <w:fldChar w:fldCharType="begin"/>
        </w:r>
        <w:r w:rsidRPr="00D74573">
          <w:rPr>
            <w:rFonts w:asciiTheme="majorEastAsia" w:eastAsiaTheme="majorEastAsia" w:hAnsiTheme="majorEastAsia"/>
            <w:noProof/>
            <w:webHidden/>
          </w:rPr>
          <w:instrText xml:space="preserve"> PAGEREF _Toc242870258 \h </w:instrText>
        </w:r>
        <w:r w:rsidRPr="00D74573">
          <w:rPr>
            <w:rFonts w:asciiTheme="majorEastAsia" w:eastAsiaTheme="majorEastAsia" w:hAnsiTheme="majorEastAsia"/>
            <w:noProof/>
            <w:webHidden/>
          </w:rPr>
        </w:r>
        <w:r w:rsidRPr="00D74573">
          <w:rPr>
            <w:rFonts w:asciiTheme="majorEastAsia" w:eastAsiaTheme="majorEastAsia" w:hAnsiTheme="majorEastAsia"/>
            <w:noProof/>
            <w:webHidden/>
          </w:rPr>
          <w:fldChar w:fldCharType="separate"/>
        </w:r>
        <w:r w:rsidR="00385E62">
          <w:rPr>
            <w:rFonts w:asciiTheme="majorEastAsia" w:eastAsiaTheme="majorEastAsia" w:hAnsiTheme="majorEastAsia"/>
            <w:noProof/>
            <w:webHidden/>
          </w:rPr>
          <w:t>- 137 -</w:t>
        </w:r>
        <w:r w:rsidRPr="00D74573">
          <w:rPr>
            <w:rFonts w:asciiTheme="majorEastAsia" w:eastAsiaTheme="majorEastAsia" w:hAnsiTheme="majorEastAsia"/>
            <w:noProof/>
            <w:webHidden/>
          </w:rPr>
          <w:fldChar w:fldCharType="end"/>
        </w:r>
      </w:hyperlink>
    </w:p>
    <w:p w14:paraId="108CAC24" w14:textId="30C43F6E" w:rsidR="00990020" w:rsidRPr="00D74573" w:rsidRDefault="00990020">
      <w:pPr>
        <w:pStyle w:val="34"/>
        <w:tabs>
          <w:tab w:val="right" w:leader="dot" w:pos="8834"/>
        </w:tabs>
        <w:ind w:left="422"/>
        <w:rPr>
          <w:rFonts w:asciiTheme="majorEastAsia" w:eastAsiaTheme="majorEastAsia" w:hAnsiTheme="majorEastAsia" w:cstheme="minorBidi"/>
          <w:noProof/>
          <w14:ligatures w14:val="standardContextual"/>
        </w:rPr>
      </w:pPr>
      <w:hyperlink w:anchor="_Toc242870259" w:history="1">
        <w:r w:rsidRPr="00D74573">
          <w:rPr>
            <w:rStyle w:val="ac"/>
            <w:rFonts w:asciiTheme="majorEastAsia" w:eastAsiaTheme="majorEastAsia" w:hAnsiTheme="majorEastAsia"/>
            <w:noProof/>
          </w:rPr>
          <w:t>第２　市町村への職員派遣</w:t>
        </w:r>
        <w:r w:rsidRPr="00D74573">
          <w:rPr>
            <w:rStyle w:val="ac"/>
            <w:rFonts w:asciiTheme="majorEastAsia" w:eastAsiaTheme="majorEastAsia" w:hAnsiTheme="majorEastAsia"/>
            <w:noProof/>
            <w:shd w:val="pct15" w:color="auto" w:fill="FFFFFF"/>
          </w:rPr>
          <w:t>【第１フェーズ～】</w:t>
        </w:r>
        <w:r w:rsidRPr="00D74573">
          <w:rPr>
            <w:rFonts w:asciiTheme="majorEastAsia" w:eastAsiaTheme="majorEastAsia" w:hAnsiTheme="majorEastAsia"/>
            <w:noProof/>
            <w:webHidden/>
          </w:rPr>
          <w:tab/>
        </w:r>
        <w:r w:rsidRPr="00D74573">
          <w:rPr>
            <w:rFonts w:asciiTheme="majorEastAsia" w:eastAsiaTheme="majorEastAsia" w:hAnsiTheme="majorEastAsia"/>
            <w:noProof/>
            <w:webHidden/>
          </w:rPr>
          <w:fldChar w:fldCharType="begin"/>
        </w:r>
        <w:r w:rsidRPr="00D74573">
          <w:rPr>
            <w:rFonts w:asciiTheme="majorEastAsia" w:eastAsiaTheme="majorEastAsia" w:hAnsiTheme="majorEastAsia"/>
            <w:noProof/>
            <w:webHidden/>
          </w:rPr>
          <w:instrText xml:space="preserve"> PAGEREF _Toc242870259 \h </w:instrText>
        </w:r>
        <w:r w:rsidRPr="00D74573">
          <w:rPr>
            <w:rFonts w:asciiTheme="majorEastAsia" w:eastAsiaTheme="majorEastAsia" w:hAnsiTheme="majorEastAsia"/>
            <w:noProof/>
            <w:webHidden/>
          </w:rPr>
        </w:r>
        <w:r w:rsidRPr="00D74573">
          <w:rPr>
            <w:rFonts w:asciiTheme="majorEastAsia" w:eastAsiaTheme="majorEastAsia" w:hAnsiTheme="majorEastAsia"/>
            <w:noProof/>
            <w:webHidden/>
          </w:rPr>
          <w:fldChar w:fldCharType="separate"/>
        </w:r>
        <w:r w:rsidR="00385E62">
          <w:rPr>
            <w:rFonts w:asciiTheme="majorEastAsia" w:eastAsiaTheme="majorEastAsia" w:hAnsiTheme="majorEastAsia"/>
            <w:noProof/>
            <w:webHidden/>
          </w:rPr>
          <w:t>- 141 -</w:t>
        </w:r>
        <w:r w:rsidRPr="00D74573">
          <w:rPr>
            <w:rFonts w:asciiTheme="majorEastAsia" w:eastAsiaTheme="majorEastAsia" w:hAnsiTheme="majorEastAsia"/>
            <w:noProof/>
            <w:webHidden/>
          </w:rPr>
          <w:fldChar w:fldCharType="end"/>
        </w:r>
      </w:hyperlink>
    </w:p>
    <w:p w14:paraId="7FB4AAA7" w14:textId="79BE4F1A" w:rsidR="00990020" w:rsidRPr="00D74573" w:rsidRDefault="00990020">
      <w:pPr>
        <w:pStyle w:val="34"/>
        <w:tabs>
          <w:tab w:val="right" w:leader="dot" w:pos="8834"/>
        </w:tabs>
        <w:ind w:left="422"/>
        <w:rPr>
          <w:rFonts w:asciiTheme="majorEastAsia" w:eastAsiaTheme="majorEastAsia" w:hAnsiTheme="majorEastAsia" w:cstheme="minorBidi"/>
          <w:noProof/>
          <w14:ligatures w14:val="standardContextual"/>
        </w:rPr>
      </w:pPr>
      <w:hyperlink w:anchor="_Toc242870260" w:history="1">
        <w:r w:rsidRPr="00D74573">
          <w:rPr>
            <w:rStyle w:val="ac"/>
            <w:rFonts w:asciiTheme="majorEastAsia" w:eastAsiaTheme="majorEastAsia" w:hAnsiTheme="majorEastAsia"/>
            <w:noProof/>
          </w:rPr>
          <w:t>第３　指定（地方）公共機関との連携</w:t>
        </w:r>
        <w:r w:rsidRPr="00D74573">
          <w:rPr>
            <w:rStyle w:val="ac"/>
            <w:rFonts w:asciiTheme="majorEastAsia" w:eastAsiaTheme="majorEastAsia" w:hAnsiTheme="majorEastAsia"/>
            <w:noProof/>
            <w:shd w:val="pct15" w:color="auto" w:fill="FFFFFF"/>
          </w:rPr>
          <w:t>【第３フェーズ～】</w:t>
        </w:r>
        <w:r w:rsidRPr="00D74573">
          <w:rPr>
            <w:rFonts w:asciiTheme="majorEastAsia" w:eastAsiaTheme="majorEastAsia" w:hAnsiTheme="majorEastAsia"/>
            <w:noProof/>
            <w:webHidden/>
          </w:rPr>
          <w:tab/>
        </w:r>
        <w:r w:rsidRPr="00D74573">
          <w:rPr>
            <w:rFonts w:asciiTheme="majorEastAsia" w:eastAsiaTheme="majorEastAsia" w:hAnsiTheme="majorEastAsia"/>
            <w:noProof/>
            <w:webHidden/>
          </w:rPr>
          <w:fldChar w:fldCharType="begin"/>
        </w:r>
        <w:r w:rsidRPr="00D74573">
          <w:rPr>
            <w:rFonts w:asciiTheme="majorEastAsia" w:eastAsiaTheme="majorEastAsia" w:hAnsiTheme="majorEastAsia"/>
            <w:noProof/>
            <w:webHidden/>
          </w:rPr>
          <w:instrText xml:space="preserve"> PAGEREF _Toc242870260 \h </w:instrText>
        </w:r>
        <w:r w:rsidRPr="00D74573">
          <w:rPr>
            <w:rFonts w:asciiTheme="majorEastAsia" w:eastAsiaTheme="majorEastAsia" w:hAnsiTheme="majorEastAsia"/>
            <w:noProof/>
            <w:webHidden/>
          </w:rPr>
        </w:r>
        <w:r w:rsidRPr="00D74573">
          <w:rPr>
            <w:rFonts w:asciiTheme="majorEastAsia" w:eastAsiaTheme="majorEastAsia" w:hAnsiTheme="majorEastAsia"/>
            <w:noProof/>
            <w:webHidden/>
          </w:rPr>
          <w:fldChar w:fldCharType="separate"/>
        </w:r>
        <w:r w:rsidR="00385E62">
          <w:rPr>
            <w:rFonts w:asciiTheme="majorEastAsia" w:eastAsiaTheme="majorEastAsia" w:hAnsiTheme="majorEastAsia"/>
            <w:noProof/>
            <w:webHidden/>
          </w:rPr>
          <w:t>- 142 -</w:t>
        </w:r>
        <w:r w:rsidRPr="00D74573">
          <w:rPr>
            <w:rFonts w:asciiTheme="majorEastAsia" w:eastAsiaTheme="majorEastAsia" w:hAnsiTheme="majorEastAsia"/>
            <w:noProof/>
            <w:webHidden/>
          </w:rPr>
          <w:fldChar w:fldCharType="end"/>
        </w:r>
      </w:hyperlink>
    </w:p>
    <w:p w14:paraId="5103D71B" w14:textId="78C3F888" w:rsidR="00990020" w:rsidRPr="00D74573" w:rsidRDefault="00990020">
      <w:pPr>
        <w:pStyle w:val="34"/>
        <w:tabs>
          <w:tab w:val="right" w:leader="dot" w:pos="8834"/>
        </w:tabs>
        <w:ind w:left="422"/>
        <w:rPr>
          <w:rFonts w:asciiTheme="majorEastAsia" w:eastAsiaTheme="majorEastAsia" w:hAnsiTheme="majorEastAsia" w:cstheme="minorBidi"/>
          <w:noProof/>
          <w14:ligatures w14:val="standardContextual"/>
        </w:rPr>
      </w:pPr>
      <w:hyperlink w:anchor="_Toc242870261" w:history="1">
        <w:r w:rsidRPr="00D74573">
          <w:rPr>
            <w:rStyle w:val="ac"/>
            <w:rFonts w:asciiTheme="majorEastAsia" w:eastAsiaTheme="majorEastAsia" w:hAnsiTheme="majorEastAsia"/>
            <w:noProof/>
          </w:rPr>
          <w:t>第４　住民等の自発的な協力との連携</w:t>
        </w:r>
        <w:r w:rsidRPr="00D74573">
          <w:rPr>
            <w:rStyle w:val="ac"/>
            <w:rFonts w:asciiTheme="majorEastAsia" w:eastAsiaTheme="majorEastAsia" w:hAnsiTheme="majorEastAsia"/>
            <w:noProof/>
            <w:shd w:val="pct15" w:color="auto" w:fill="FFFFFF"/>
          </w:rPr>
          <w:t>【第４フェーズ～】</w:t>
        </w:r>
        <w:r w:rsidRPr="00D74573">
          <w:rPr>
            <w:rFonts w:asciiTheme="majorEastAsia" w:eastAsiaTheme="majorEastAsia" w:hAnsiTheme="majorEastAsia"/>
            <w:noProof/>
            <w:webHidden/>
          </w:rPr>
          <w:tab/>
        </w:r>
        <w:r w:rsidRPr="00D74573">
          <w:rPr>
            <w:rFonts w:asciiTheme="majorEastAsia" w:eastAsiaTheme="majorEastAsia" w:hAnsiTheme="majorEastAsia"/>
            <w:noProof/>
            <w:webHidden/>
          </w:rPr>
          <w:fldChar w:fldCharType="begin"/>
        </w:r>
        <w:r w:rsidRPr="00D74573">
          <w:rPr>
            <w:rFonts w:asciiTheme="majorEastAsia" w:eastAsiaTheme="majorEastAsia" w:hAnsiTheme="majorEastAsia"/>
            <w:noProof/>
            <w:webHidden/>
          </w:rPr>
          <w:instrText xml:space="preserve"> PAGEREF _Toc242870261 \h </w:instrText>
        </w:r>
        <w:r w:rsidRPr="00D74573">
          <w:rPr>
            <w:rFonts w:asciiTheme="majorEastAsia" w:eastAsiaTheme="majorEastAsia" w:hAnsiTheme="majorEastAsia"/>
            <w:noProof/>
            <w:webHidden/>
          </w:rPr>
        </w:r>
        <w:r w:rsidRPr="00D74573">
          <w:rPr>
            <w:rFonts w:asciiTheme="majorEastAsia" w:eastAsiaTheme="majorEastAsia" w:hAnsiTheme="majorEastAsia"/>
            <w:noProof/>
            <w:webHidden/>
          </w:rPr>
          <w:fldChar w:fldCharType="separate"/>
        </w:r>
        <w:r w:rsidR="00385E62">
          <w:rPr>
            <w:rFonts w:asciiTheme="majorEastAsia" w:eastAsiaTheme="majorEastAsia" w:hAnsiTheme="majorEastAsia"/>
            <w:noProof/>
            <w:webHidden/>
          </w:rPr>
          <w:t>- 142 -</w:t>
        </w:r>
        <w:r w:rsidRPr="00D74573">
          <w:rPr>
            <w:rFonts w:asciiTheme="majorEastAsia" w:eastAsiaTheme="majorEastAsia" w:hAnsiTheme="majorEastAsia"/>
            <w:noProof/>
            <w:webHidden/>
          </w:rPr>
          <w:fldChar w:fldCharType="end"/>
        </w:r>
      </w:hyperlink>
    </w:p>
    <w:p w14:paraId="1B600C30" w14:textId="73C83A2C" w:rsidR="00990020" w:rsidRPr="00D74573" w:rsidRDefault="00990020">
      <w:pPr>
        <w:pStyle w:val="34"/>
        <w:tabs>
          <w:tab w:val="right" w:leader="dot" w:pos="8834"/>
        </w:tabs>
        <w:ind w:left="422"/>
        <w:rPr>
          <w:rFonts w:asciiTheme="majorEastAsia" w:eastAsiaTheme="majorEastAsia" w:hAnsiTheme="majorEastAsia" w:cstheme="minorBidi"/>
          <w:noProof/>
          <w14:ligatures w14:val="standardContextual"/>
        </w:rPr>
      </w:pPr>
      <w:hyperlink w:anchor="_Toc242870262" w:history="1">
        <w:r w:rsidRPr="00D74573">
          <w:rPr>
            <w:rStyle w:val="ac"/>
            <w:rFonts w:asciiTheme="majorEastAsia" w:eastAsiaTheme="majorEastAsia" w:hAnsiTheme="majorEastAsia"/>
            <w:noProof/>
          </w:rPr>
          <w:t>第５　広域応援の受入れ</w:t>
        </w:r>
        <w:r w:rsidRPr="00D74573">
          <w:rPr>
            <w:rStyle w:val="ac"/>
            <w:rFonts w:asciiTheme="majorEastAsia" w:eastAsiaTheme="majorEastAsia" w:hAnsiTheme="majorEastAsia"/>
            <w:noProof/>
            <w:shd w:val="pct15" w:color="auto" w:fill="FFFFFF"/>
          </w:rPr>
          <w:t>【第２フェーズ】</w:t>
        </w:r>
        <w:r w:rsidRPr="00D74573">
          <w:rPr>
            <w:rFonts w:asciiTheme="majorEastAsia" w:eastAsiaTheme="majorEastAsia" w:hAnsiTheme="majorEastAsia"/>
            <w:noProof/>
            <w:webHidden/>
          </w:rPr>
          <w:tab/>
        </w:r>
        <w:r w:rsidRPr="00D74573">
          <w:rPr>
            <w:rFonts w:asciiTheme="majorEastAsia" w:eastAsiaTheme="majorEastAsia" w:hAnsiTheme="majorEastAsia"/>
            <w:noProof/>
            <w:webHidden/>
          </w:rPr>
          <w:fldChar w:fldCharType="begin"/>
        </w:r>
        <w:r w:rsidRPr="00D74573">
          <w:rPr>
            <w:rFonts w:asciiTheme="majorEastAsia" w:eastAsiaTheme="majorEastAsia" w:hAnsiTheme="majorEastAsia"/>
            <w:noProof/>
            <w:webHidden/>
          </w:rPr>
          <w:instrText xml:space="preserve"> PAGEREF _Toc242870262 \h </w:instrText>
        </w:r>
        <w:r w:rsidRPr="00D74573">
          <w:rPr>
            <w:rFonts w:asciiTheme="majorEastAsia" w:eastAsiaTheme="majorEastAsia" w:hAnsiTheme="majorEastAsia"/>
            <w:noProof/>
            <w:webHidden/>
          </w:rPr>
        </w:r>
        <w:r w:rsidRPr="00D74573">
          <w:rPr>
            <w:rFonts w:asciiTheme="majorEastAsia" w:eastAsiaTheme="majorEastAsia" w:hAnsiTheme="majorEastAsia"/>
            <w:noProof/>
            <w:webHidden/>
          </w:rPr>
          <w:fldChar w:fldCharType="separate"/>
        </w:r>
        <w:r w:rsidR="00385E62">
          <w:rPr>
            <w:rFonts w:asciiTheme="majorEastAsia" w:eastAsiaTheme="majorEastAsia" w:hAnsiTheme="majorEastAsia"/>
            <w:noProof/>
            <w:webHidden/>
          </w:rPr>
          <w:t>- 143 -</w:t>
        </w:r>
        <w:r w:rsidRPr="00D74573">
          <w:rPr>
            <w:rFonts w:asciiTheme="majorEastAsia" w:eastAsiaTheme="majorEastAsia" w:hAnsiTheme="majorEastAsia"/>
            <w:noProof/>
            <w:webHidden/>
          </w:rPr>
          <w:fldChar w:fldCharType="end"/>
        </w:r>
      </w:hyperlink>
    </w:p>
    <w:p w14:paraId="4EC05E0F" w14:textId="56B09476" w:rsidR="00990020" w:rsidRPr="00D74573" w:rsidRDefault="00990020">
      <w:pPr>
        <w:pStyle w:val="34"/>
        <w:tabs>
          <w:tab w:val="right" w:leader="dot" w:pos="8834"/>
        </w:tabs>
        <w:ind w:left="422"/>
        <w:rPr>
          <w:rFonts w:asciiTheme="majorEastAsia" w:eastAsiaTheme="majorEastAsia" w:hAnsiTheme="majorEastAsia" w:cstheme="minorBidi"/>
          <w:noProof/>
          <w14:ligatures w14:val="standardContextual"/>
        </w:rPr>
      </w:pPr>
      <w:hyperlink w:anchor="_Toc242870263" w:history="1">
        <w:r w:rsidRPr="00D74573">
          <w:rPr>
            <w:rStyle w:val="ac"/>
            <w:rFonts w:asciiTheme="majorEastAsia" w:eastAsiaTheme="majorEastAsia" w:hAnsiTheme="majorEastAsia"/>
            <w:noProof/>
          </w:rPr>
          <w:t>第６　府災対本部への受入れ</w:t>
        </w:r>
        <w:r w:rsidRPr="00D74573">
          <w:rPr>
            <w:rStyle w:val="ac"/>
            <w:rFonts w:asciiTheme="majorEastAsia" w:eastAsiaTheme="majorEastAsia" w:hAnsiTheme="majorEastAsia"/>
            <w:noProof/>
            <w:shd w:val="pct15" w:color="auto" w:fill="FFFFFF"/>
          </w:rPr>
          <w:t>【第３フェーズ】</w:t>
        </w:r>
        <w:r w:rsidRPr="00D74573">
          <w:rPr>
            <w:rFonts w:asciiTheme="majorEastAsia" w:eastAsiaTheme="majorEastAsia" w:hAnsiTheme="majorEastAsia"/>
            <w:noProof/>
            <w:webHidden/>
          </w:rPr>
          <w:tab/>
        </w:r>
        <w:r w:rsidRPr="00D74573">
          <w:rPr>
            <w:rFonts w:asciiTheme="majorEastAsia" w:eastAsiaTheme="majorEastAsia" w:hAnsiTheme="majorEastAsia"/>
            <w:noProof/>
            <w:webHidden/>
          </w:rPr>
          <w:fldChar w:fldCharType="begin"/>
        </w:r>
        <w:r w:rsidRPr="00D74573">
          <w:rPr>
            <w:rFonts w:asciiTheme="majorEastAsia" w:eastAsiaTheme="majorEastAsia" w:hAnsiTheme="majorEastAsia"/>
            <w:noProof/>
            <w:webHidden/>
          </w:rPr>
          <w:instrText xml:space="preserve"> PAGEREF _Toc242870263 \h </w:instrText>
        </w:r>
        <w:r w:rsidRPr="00D74573">
          <w:rPr>
            <w:rFonts w:asciiTheme="majorEastAsia" w:eastAsiaTheme="majorEastAsia" w:hAnsiTheme="majorEastAsia"/>
            <w:noProof/>
            <w:webHidden/>
          </w:rPr>
        </w:r>
        <w:r w:rsidRPr="00D74573">
          <w:rPr>
            <w:rFonts w:asciiTheme="majorEastAsia" w:eastAsiaTheme="majorEastAsia" w:hAnsiTheme="majorEastAsia"/>
            <w:noProof/>
            <w:webHidden/>
          </w:rPr>
          <w:fldChar w:fldCharType="separate"/>
        </w:r>
        <w:r w:rsidR="00385E62">
          <w:rPr>
            <w:rFonts w:asciiTheme="majorEastAsia" w:eastAsiaTheme="majorEastAsia" w:hAnsiTheme="majorEastAsia"/>
            <w:noProof/>
            <w:webHidden/>
          </w:rPr>
          <w:t>- 143 -</w:t>
        </w:r>
        <w:r w:rsidRPr="00D74573">
          <w:rPr>
            <w:rFonts w:asciiTheme="majorEastAsia" w:eastAsiaTheme="majorEastAsia" w:hAnsiTheme="majorEastAsia"/>
            <w:noProof/>
            <w:webHidden/>
          </w:rPr>
          <w:fldChar w:fldCharType="end"/>
        </w:r>
      </w:hyperlink>
    </w:p>
    <w:p w14:paraId="44E5505F" w14:textId="5A90884F" w:rsidR="00990020" w:rsidRPr="00D74573" w:rsidRDefault="00990020">
      <w:pPr>
        <w:pStyle w:val="34"/>
        <w:tabs>
          <w:tab w:val="right" w:leader="dot" w:pos="8834"/>
        </w:tabs>
        <w:ind w:left="422"/>
        <w:rPr>
          <w:rFonts w:asciiTheme="majorEastAsia" w:eastAsiaTheme="majorEastAsia" w:hAnsiTheme="majorEastAsia" w:cstheme="minorBidi"/>
          <w:noProof/>
          <w14:ligatures w14:val="standardContextual"/>
        </w:rPr>
      </w:pPr>
      <w:hyperlink w:anchor="_Toc242870264" w:history="1">
        <w:r w:rsidRPr="00D74573">
          <w:rPr>
            <w:rStyle w:val="ac"/>
            <w:rFonts w:asciiTheme="majorEastAsia" w:eastAsiaTheme="majorEastAsia" w:hAnsiTheme="majorEastAsia"/>
            <w:noProof/>
          </w:rPr>
          <w:t>第７　広域防災拠点等の運用</w:t>
        </w:r>
        <w:r w:rsidRPr="00D74573">
          <w:rPr>
            <w:rStyle w:val="ac"/>
            <w:rFonts w:asciiTheme="majorEastAsia" w:eastAsiaTheme="majorEastAsia" w:hAnsiTheme="majorEastAsia"/>
            <w:noProof/>
            <w:shd w:val="pct15" w:color="auto" w:fill="FFFFFF"/>
          </w:rPr>
          <w:t>【第２フェーズ】</w:t>
        </w:r>
        <w:r w:rsidRPr="00D74573">
          <w:rPr>
            <w:rFonts w:asciiTheme="majorEastAsia" w:eastAsiaTheme="majorEastAsia" w:hAnsiTheme="majorEastAsia"/>
            <w:noProof/>
            <w:webHidden/>
          </w:rPr>
          <w:tab/>
        </w:r>
        <w:r w:rsidRPr="00D74573">
          <w:rPr>
            <w:rFonts w:asciiTheme="majorEastAsia" w:eastAsiaTheme="majorEastAsia" w:hAnsiTheme="majorEastAsia"/>
            <w:noProof/>
            <w:webHidden/>
          </w:rPr>
          <w:fldChar w:fldCharType="begin"/>
        </w:r>
        <w:r w:rsidRPr="00D74573">
          <w:rPr>
            <w:rFonts w:asciiTheme="majorEastAsia" w:eastAsiaTheme="majorEastAsia" w:hAnsiTheme="majorEastAsia"/>
            <w:noProof/>
            <w:webHidden/>
          </w:rPr>
          <w:instrText xml:space="preserve"> PAGEREF _Toc242870264 \h </w:instrText>
        </w:r>
        <w:r w:rsidRPr="00D74573">
          <w:rPr>
            <w:rFonts w:asciiTheme="majorEastAsia" w:eastAsiaTheme="majorEastAsia" w:hAnsiTheme="majorEastAsia"/>
            <w:noProof/>
            <w:webHidden/>
          </w:rPr>
        </w:r>
        <w:r w:rsidRPr="00D74573">
          <w:rPr>
            <w:rFonts w:asciiTheme="majorEastAsia" w:eastAsiaTheme="majorEastAsia" w:hAnsiTheme="majorEastAsia"/>
            <w:noProof/>
            <w:webHidden/>
          </w:rPr>
          <w:fldChar w:fldCharType="separate"/>
        </w:r>
        <w:r w:rsidR="00385E62">
          <w:rPr>
            <w:rFonts w:asciiTheme="majorEastAsia" w:eastAsiaTheme="majorEastAsia" w:hAnsiTheme="majorEastAsia"/>
            <w:noProof/>
            <w:webHidden/>
          </w:rPr>
          <w:t>- 144 -</w:t>
        </w:r>
        <w:r w:rsidRPr="00D74573">
          <w:rPr>
            <w:rFonts w:asciiTheme="majorEastAsia" w:eastAsiaTheme="majorEastAsia" w:hAnsiTheme="majorEastAsia"/>
            <w:noProof/>
            <w:webHidden/>
          </w:rPr>
          <w:fldChar w:fldCharType="end"/>
        </w:r>
      </w:hyperlink>
    </w:p>
    <w:p w14:paraId="2C492E12" w14:textId="66050D54" w:rsidR="00990020" w:rsidRPr="00D74573" w:rsidRDefault="00990020">
      <w:pPr>
        <w:pStyle w:val="24"/>
        <w:tabs>
          <w:tab w:val="right" w:leader="dot" w:pos="8834"/>
        </w:tabs>
        <w:ind w:left="211"/>
        <w:rPr>
          <w:rFonts w:asciiTheme="majorEastAsia" w:eastAsiaTheme="majorEastAsia" w:hAnsiTheme="majorEastAsia" w:cstheme="minorBidi"/>
          <w:noProof/>
          <w14:ligatures w14:val="standardContextual"/>
        </w:rPr>
      </w:pPr>
      <w:hyperlink w:anchor="_Toc242870265" w:history="1">
        <w:r w:rsidRPr="00D74573">
          <w:rPr>
            <w:rStyle w:val="ac"/>
            <w:rFonts w:asciiTheme="majorEastAsia" w:eastAsiaTheme="majorEastAsia" w:hAnsiTheme="majorEastAsia"/>
            <w:noProof/>
          </w:rPr>
          <w:t>第５節　他の都道府県への応援</w:t>
        </w:r>
        <w:r w:rsidRPr="00D74573">
          <w:rPr>
            <w:rFonts w:asciiTheme="majorEastAsia" w:eastAsiaTheme="majorEastAsia" w:hAnsiTheme="majorEastAsia"/>
            <w:noProof/>
            <w:webHidden/>
          </w:rPr>
          <w:tab/>
        </w:r>
        <w:r w:rsidRPr="00D74573">
          <w:rPr>
            <w:rFonts w:asciiTheme="majorEastAsia" w:eastAsiaTheme="majorEastAsia" w:hAnsiTheme="majorEastAsia"/>
            <w:noProof/>
            <w:webHidden/>
          </w:rPr>
          <w:fldChar w:fldCharType="begin"/>
        </w:r>
        <w:r w:rsidRPr="00D74573">
          <w:rPr>
            <w:rFonts w:asciiTheme="majorEastAsia" w:eastAsiaTheme="majorEastAsia" w:hAnsiTheme="majorEastAsia"/>
            <w:noProof/>
            <w:webHidden/>
          </w:rPr>
          <w:instrText xml:space="preserve"> PAGEREF _Toc242870265 \h </w:instrText>
        </w:r>
        <w:r w:rsidRPr="00D74573">
          <w:rPr>
            <w:rFonts w:asciiTheme="majorEastAsia" w:eastAsiaTheme="majorEastAsia" w:hAnsiTheme="majorEastAsia"/>
            <w:noProof/>
            <w:webHidden/>
          </w:rPr>
        </w:r>
        <w:r w:rsidRPr="00D74573">
          <w:rPr>
            <w:rFonts w:asciiTheme="majorEastAsia" w:eastAsiaTheme="majorEastAsia" w:hAnsiTheme="majorEastAsia"/>
            <w:noProof/>
            <w:webHidden/>
          </w:rPr>
          <w:fldChar w:fldCharType="separate"/>
        </w:r>
        <w:r w:rsidR="00385E62">
          <w:rPr>
            <w:rFonts w:asciiTheme="majorEastAsia" w:eastAsiaTheme="majorEastAsia" w:hAnsiTheme="majorEastAsia"/>
            <w:noProof/>
            <w:webHidden/>
          </w:rPr>
          <w:t>- 145 -</w:t>
        </w:r>
        <w:r w:rsidRPr="00D74573">
          <w:rPr>
            <w:rFonts w:asciiTheme="majorEastAsia" w:eastAsiaTheme="majorEastAsia" w:hAnsiTheme="majorEastAsia"/>
            <w:noProof/>
            <w:webHidden/>
          </w:rPr>
          <w:fldChar w:fldCharType="end"/>
        </w:r>
      </w:hyperlink>
    </w:p>
    <w:p w14:paraId="0E792F0D" w14:textId="4331C697" w:rsidR="00990020" w:rsidRPr="00D74573" w:rsidRDefault="00990020">
      <w:pPr>
        <w:pStyle w:val="34"/>
        <w:tabs>
          <w:tab w:val="right" w:leader="dot" w:pos="8834"/>
        </w:tabs>
        <w:ind w:left="422"/>
        <w:rPr>
          <w:rFonts w:asciiTheme="majorEastAsia" w:eastAsiaTheme="majorEastAsia" w:hAnsiTheme="majorEastAsia" w:cstheme="minorBidi"/>
          <w:noProof/>
          <w14:ligatures w14:val="standardContextual"/>
        </w:rPr>
      </w:pPr>
      <w:hyperlink w:anchor="_Toc242870266" w:history="1">
        <w:r w:rsidRPr="00D74573">
          <w:rPr>
            <w:rStyle w:val="ac"/>
            <w:rFonts w:asciiTheme="majorEastAsia" w:eastAsiaTheme="majorEastAsia" w:hAnsiTheme="majorEastAsia"/>
            <w:noProof/>
          </w:rPr>
          <w:t>第１　大阪府災害等支援対策室</w:t>
        </w:r>
        <w:r w:rsidRPr="00D74573">
          <w:rPr>
            <w:rFonts w:asciiTheme="majorEastAsia" w:eastAsiaTheme="majorEastAsia" w:hAnsiTheme="majorEastAsia"/>
            <w:noProof/>
            <w:webHidden/>
          </w:rPr>
          <w:tab/>
        </w:r>
        <w:r w:rsidRPr="00D74573">
          <w:rPr>
            <w:rFonts w:asciiTheme="majorEastAsia" w:eastAsiaTheme="majorEastAsia" w:hAnsiTheme="majorEastAsia"/>
            <w:noProof/>
            <w:webHidden/>
          </w:rPr>
          <w:fldChar w:fldCharType="begin"/>
        </w:r>
        <w:r w:rsidRPr="00D74573">
          <w:rPr>
            <w:rFonts w:asciiTheme="majorEastAsia" w:eastAsiaTheme="majorEastAsia" w:hAnsiTheme="majorEastAsia"/>
            <w:noProof/>
            <w:webHidden/>
          </w:rPr>
          <w:instrText xml:space="preserve"> PAGEREF _Toc242870266 \h </w:instrText>
        </w:r>
        <w:r w:rsidRPr="00D74573">
          <w:rPr>
            <w:rFonts w:asciiTheme="majorEastAsia" w:eastAsiaTheme="majorEastAsia" w:hAnsiTheme="majorEastAsia"/>
            <w:noProof/>
            <w:webHidden/>
          </w:rPr>
        </w:r>
        <w:r w:rsidRPr="00D74573">
          <w:rPr>
            <w:rFonts w:asciiTheme="majorEastAsia" w:eastAsiaTheme="majorEastAsia" w:hAnsiTheme="majorEastAsia"/>
            <w:noProof/>
            <w:webHidden/>
          </w:rPr>
          <w:fldChar w:fldCharType="separate"/>
        </w:r>
        <w:r w:rsidR="00385E62">
          <w:rPr>
            <w:rFonts w:asciiTheme="majorEastAsia" w:eastAsiaTheme="majorEastAsia" w:hAnsiTheme="majorEastAsia"/>
            <w:noProof/>
            <w:webHidden/>
          </w:rPr>
          <w:t>- 145 -</w:t>
        </w:r>
        <w:r w:rsidRPr="00D74573">
          <w:rPr>
            <w:rFonts w:asciiTheme="majorEastAsia" w:eastAsiaTheme="majorEastAsia" w:hAnsiTheme="majorEastAsia"/>
            <w:noProof/>
            <w:webHidden/>
          </w:rPr>
          <w:fldChar w:fldCharType="end"/>
        </w:r>
      </w:hyperlink>
    </w:p>
    <w:p w14:paraId="5A0EB646" w14:textId="76F34020" w:rsidR="00990020" w:rsidRPr="00D74573" w:rsidRDefault="00990020">
      <w:pPr>
        <w:pStyle w:val="34"/>
        <w:tabs>
          <w:tab w:val="right" w:leader="dot" w:pos="8834"/>
        </w:tabs>
        <w:ind w:left="422"/>
        <w:rPr>
          <w:rFonts w:asciiTheme="majorEastAsia" w:eastAsiaTheme="majorEastAsia" w:hAnsiTheme="majorEastAsia" w:cstheme="minorBidi"/>
          <w:noProof/>
          <w14:ligatures w14:val="standardContextual"/>
        </w:rPr>
      </w:pPr>
      <w:hyperlink w:anchor="_Toc242870267" w:history="1">
        <w:r w:rsidRPr="00D74573">
          <w:rPr>
            <w:rStyle w:val="ac"/>
            <w:rFonts w:asciiTheme="majorEastAsia" w:eastAsiaTheme="majorEastAsia" w:hAnsiTheme="majorEastAsia"/>
            <w:noProof/>
          </w:rPr>
          <w:t>第２　大阪府災害等支援対策指令部</w:t>
        </w:r>
        <w:r w:rsidRPr="00D74573">
          <w:rPr>
            <w:rFonts w:asciiTheme="majorEastAsia" w:eastAsiaTheme="majorEastAsia" w:hAnsiTheme="majorEastAsia"/>
            <w:noProof/>
            <w:webHidden/>
          </w:rPr>
          <w:tab/>
        </w:r>
        <w:r w:rsidRPr="00D74573">
          <w:rPr>
            <w:rFonts w:asciiTheme="majorEastAsia" w:eastAsiaTheme="majorEastAsia" w:hAnsiTheme="majorEastAsia"/>
            <w:noProof/>
            <w:webHidden/>
          </w:rPr>
          <w:fldChar w:fldCharType="begin"/>
        </w:r>
        <w:r w:rsidRPr="00D74573">
          <w:rPr>
            <w:rFonts w:asciiTheme="majorEastAsia" w:eastAsiaTheme="majorEastAsia" w:hAnsiTheme="majorEastAsia"/>
            <w:noProof/>
            <w:webHidden/>
          </w:rPr>
          <w:instrText xml:space="preserve"> PAGEREF _Toc242870267 \h </w:instrText>
        </w:r>
        <w:r w:rsidRPr="00D74573">
          <w:rPr>
            <w:rFonts w:asciiTheme="majorEastAsia" w:eastAsiaTheme="majorEastAsia" w:hAnsiTheme="majorEastAsia"/>
            <w:noProof/>
            <w:webHidden/>
          </w:rPr>
        </w:r>
        <w:r w:rsidRPr="00D74573">
          <w:rPr>
            <w:rFonts w:asciiTheme="majorEastAsia" w:eastAsiaTheme="majorEastAsia" w:hAnsiTheme="majorEastAsia"/>
            <w:noProof/>
            <w:webHidden/>
          </w:rPr>
          <w:fldChar w:fldCharType="separate"/>
        </w:r>
        <w:r w:rsidR="00385E62">
          <w:rPr>
            <w:rFonts w:asciiTheme="majorEastAsia" w:eastAsiaTheme="majorEastAsia" w:hAnsiTheme="majorEastAsia"/>
            <w:noProof/>
            <w:webHidden/>
          </w:rPr>
          <w:t>- 146 -</w:t>
        </w:r>
        <w:r w:rsidRPr="00D74573">
          <w:rPr>
            <w:rFonts w:asciiTheme="majorEastAsia" w:eastAsiaTheme="majorEastAsia" w:hAnsiTheme="majorEastAsia"/>
            <w:noProof/>
            <w:webHidden/>
          </w:rPr>
          <w:fldChar w:fldCharType="end"/>
        </w:r>
      </w:hyperlink>
    </w:p>
    <w:p w14:paraId="0173903F" w14:textId="4F0B60E2" w:rsidR="00990020" w:rsidRPr="00D74573" w:rsidRDefault="00990020">
      <w:pPr>
        <w:pStyle w:val="34"/>
        <w:tabs>
          <w:tab w:val="right" w:leader="dot" w:pos="8834"/>
        </w:tabs>
        <w:ind w:left="422"/>
        <w:rPr>
          <w:rFonts w:asciiTheme="majorEastAsia" w:eastAsiaTheme="majorEastAsia" w:hAnsiTheme="majorEastAsia" w:cstheme="minorBidi"/>
          <w:noProof/>
          <w14:ligatures w14:val="standardContextual"/>
        </w:rPr>
      </w:pPr>
      <w:hyperlink w:anchor="_Toc242870268" w:history="1">
        <w:r w:rsidRPr="00D74573">
          <w:rPr>
            <w:rStyle w:val="ac"/>
            <w:rFonts w:asciiTheme="majorEastAsia" w:eastAsiaTheme="majorEastAsia" w:hAnsiTheme="majorEastAsia"/>
            <w:noProof/>
          </w:rPr>
          <w:t>第３　大阪府災害等支援対策本部</w:t>
        </w:r>
        <w:r w:rsidRPr="00D74573">
          <w:rPr>
            <w:rFonts w:asciiTheme="majorEastAsia" w:eastAsiaTheme="majorEastAsia" w:hAnsiTheme="majorEastAsia"/>
            <w:noProof/>
            <w:webHidden/>
          </w:rPr>
          <w:tab/>
        </w:r>
        <w:r w:rsidRPr="00D74573">
          <w:rPr>
            <w:rFonts w:asciiTheme="majorEastAsia" w:eastAsiaTheme="majorEastAsia" w:hAnsiTheme="majorEastAsia"/>
            <w:noProof/>
            <w:webHidden/>
          </w:rPr>
          <w:fldChar w:fldCharType="begin"/>
        </w:r>
        <w:r w:rsidRPr="00D74573">
          <w:rPr>
            <w:rFonts w:asciiTheme="majorEastAsia" w:eastAsiaTheme="majorEastAsia" w:hAnsiTheme="majorEastAsia"/>
            <w:noProof/>
            <w:webHidden/>
          </w:rPr>
          <w:instrText xml:space="preserve"> PAGEREF _Toc242870268 \h </w:instrText>
        </w:r>
        <w:r w:rsidRPr="00D74573">
          <w:rPr>
            <w:rFonts w:asciiTheme="majorEastAsia" w:eastAsiaTheme="majorEastAsia" w:hAnsiTheme="majorEastAsia"/>
            <w:noProof/>
            <w:webHidden/>
          </w:rPr>
        </w:r>
        <w:r w:rsidRPr="00D74573">
          <w:rPr>
            <w:rFonts w:asciiTheme="majorEastAsia" w:eastAsiaTheme="majorEastAsia" w:hAnsiTheme="majorEastAsia"/>
            <w:noProof/>
            <w:webHidden/>
          </w:rPr>
          <w:fldChar w:fldCharType="separate"/>
        </w:r>
        <w:r w:rsidR="00385E62">
          <w:rPr>
            <w:rFonts w:asciiTheme="majorEastAsia" w:eastAsiaTheme="majorEastAsia" w:hAnsiTheme="majorEastAsia"/>
            <w:noProof/>
            <w:webHidden/>
          </w:rPr>
          <w:t>- 147 -</w:t>
        </w:r>
        <w:r w:rsidRPr="00D74573">
          <w:rPr>
            <w:rFonts w:asciiTheme="majorEastAsia" w:eastAsiaTheme="majorEastAsia" w:hAnsiTheme="majorEastAsia"/>
            <w:noProof/>
            <w:webHidden/>
          </w:rPr>
          <w:fldChar w:fldCharType="end"/>
        </w:r>
      </w:hyperlink>
    </w:p>
    <w:p w14:paraId="49717B2E" w14:textId="027D6F11" w:rsidR="00990020" w:rsidRPr="00D74573" w:rsidRDefault="00990020">
      <w:pPr>
        <w:pStyle w:val="34"/>
        <w:tabs>
          <w:tab w:val="right" w:leader="dot" w:pos="8834"/>
        </w:tabs>
        <w:ind w:left="422"/>
        <w:rPr>
          <w:rFonts w:asciiTheme="majorEastAsia" w:eastAsiaTheme="majorEastAsia" w:hAnsiTheme="majorEastAsia" w:cstheme="minorBidi"/>
          <w:noProof/>
          <w14:ligatures w14:val="standardContextual"/>
        </w:rPr>
      </w:pPr>
      <w:hyperlink w:anchor="_Toc242870269" w:history="1">
        <w:r w:rsidRPr="00D74573">
          <w:rPr>
            <w:rStyle w:val="ac"/>
            <w:rFonts w:asciiTheme="majorEastAsia" w:eastAsiaTheme="majorEastAsia" w:hAnsiTheme="majorEastAsia"/>
            <w:noProof/>
          </w:rPr>
          <w:t>第４　災害等支援対策本部等の事務局体制</w:t>
        </w:r>
        <w:r w:rsidRPr="00D74573">
          <w:rPr>
            <w:rFonts w:asciiTheme="majorEastAsia" w:eastAsiaTheme="majorEastAsia" w:hAnsiTheme="majorEastAsia"/>
            <w:noProof/>
            <w:webHidden/>
          </w:rPr>
          <w:tab/>
        </w:r>
        <w:r w:rsidRPr="00D74573">
          <w:rPr>
            <w:rFonts w:asciiTheme="majorEastAsia" w:eastAsiaTheme="majorEastAsia" w:hAnsiTheme="majorEastAsia"/>
            <w:noProof/>
            <w:webHidden/>
          </w:rPr>
          <w:fldChar w:fldCharType="begin"/>
        </w:r>
        <w:r w:rsidRPr="00D74573">
          <w:rPr>
            <w:rFonts w:asciiTheme="majorEastAsia" w:eastAsiaTheme="majorEastAsia" w:hAnsiTheme="majorEastAsia"/>
            <w:noProof/>
            <w:webHidden/>
          </w:rPr>
          <w:instrText xml:space="preserve"> PAGEREF _Toc242870269 \h </w:instrText>
        </w:r>
        <w:r w:rsidRPr="00D74573">
          <w:rPr>
            <w:rFonts w:asciiTheme="majorEastAsia" w:eastAsiaTheme="majorEastAsia" w:hAnsiTheme="majorEastAsia"/>
            <w:noProof/>
            <w:webHidden/>
          </w:rPr>
        </w:r>
        <w:r w:rsidRPr="00D74573">
          <w:rPr>
            <w:rFonts w:asciiTheme="majorEastAsia" w:eastAsiaTheme="majorEastAsia" w:hAnsiTheme="majorEastAsia"/>
            <w:noProof/>
            <w:webHidden/>
          </w:rPr>
          <w:fldChar w:fldCharType="separate"/>
        </w:r>
        <w:r w:rsidR="00385E62">
          <w:rPr>
            <w:rFonts w:asciiTheme="majorEastAsia" w:eastAsiaTheme="majorEastAsia" w:hAnsiTheme="majorEastAsia"/>
            <w:noProof/>
            <w:webHidden/>
          </w:rPr>
          <w:t>- 147 -</w:t>
        </w:r>
        <w:r w:rsidRPr="00D74573">
          <w:rPr>
            <w:rFonts w:asciiTheme="majorEastAsia" w:eastAsiaTheme="majorEastAsia" w:hAnsiTheme="majorEastAsia"/>
            <w:noProof/>
            <w:webHidden/>
          </w:rPr>
          <w:fldChar w:fldCharType="end"/>
        </w:r>
      </w:hyperlink>
    </w:p>
    <w:p w14:paraId="218F79B1" w14:textId="15F15CE4" w:rsidR="00990020" w:rsidRPr="00D74573" w:rsidRDefault="00990020">
      <w:pPr>
        <w:pStyle w:val="34"/>
        <w:tabs>
          <w:tab w:val="right" w:leader="dot" w:pos="8834"/>
        </w:tabs>
        <w:ind w:left="422"/>
        <w:rPr>
          <w:rFonts w:asciiTheme="majorEastAsia" w:eastAsiaTheme="majorEastAsia" w:hAnsiTheme="majorEastAsia" w:cstheme="minorBidi"/>
          <w:noProof/>
          <w14:ligatures w14:val="standardContextual"/>
        </w:rPr>
      </w:pPr>
      <w:hyperlink w:anchor="_Toc242870270" w:history="1">
        <w:r w:rsidRPr="00D74573">
          <w:rPr>
            <w:rStyle w:val="ac"/>
            <w:rFonts w:asciiTheme="majorEastAsia" w:eastAsiaTheme="majorEastAsia" w:hAnsiTheme="majorEastAsia"/>
            <w:noProof/>
          </w:rPr>
          <w:t>第５　緊急消防援助隊大阪府大隊における府職員の派遣</w:t>
        </w:r>
        <w:r w:rsidRPr="00D74573">
          <w:rPr>
            <w:rFonts w:asciiTheme="majorEastAsia" w:eastAsiaTheme="majorEastAsia" w:hAnsiTheme="majorEastAsia"/>
            <w:noProof/>
            <w:webHidden/>
          </w:rPr>
          <w:tab/>
        </w:r>
        <w:r w:rsidRPr="00D74573">
          <w:rPr>
            <w:rFonts w:asciiTheme="majorEastAsia" w:eastAsiaTheme="majorEastAsia" w:hAnsiTheme="majorEastAsia"/>
            <w:noProof/>
            <w:webHidden/>
          </w:rPr>
          <w:fldChar w:fldCharType="begin"/>
        </w:r>
        <w:r w:rsidRPr="00D74573">
          <w:rPr>
            <w:rFonts w:asciiTheme="majorEastAsia" w:eastAsiaTheme="majorEastAsia" w:hAnsiTheme="majorEastAsia"/>
            <w:noProof/>
            <w:webHidden/>
          </w:rPr>
          <w:instrText xml:space="preserve"> PAGEREF _Toc242870270 \h </w:instrText>
        </w:r>
        <w:r w:rsidRPr="00D74573">
          <w:rPr>
            <w:rFonts w:asciiTheme="majorEastAsia" w:eastAsiaTheme="majorEastAsia" w:hAnsiTheme="majorEastAsia"/>
            <w:noProof/>
            <w:webHidden/>
          </w:rPr>
        </w:r>
        <w:r w:rsidRPr="00D74573">
          <w:rPr>
            <w:rFonts w:asciiTheme="majorEastAsia" w:eastAsiaTheme="majorEastAsia" w:hAnsiTheme="majorEastAsia"/>
            <w:noProof/>
            <w:webHidden/>
          </w:rPr>
          <w:fldChar w:fldCharType="separate"/>
        </w:r>
        <w:r w:rsidR="00385E62">
          <w:rPr>
            <w:rFonts w:asciiTheme="majorEastAsia" w:eastAsiaTheme="majorEastAsia" w:hAnsiTheme="majorEastAsia"/>
            <w:noProof/>
            <w:webHidden/>
          </w:rPr>
          <w:t>- 150 -</w:t>
        </w:r>
        <w:r w:rsidRPr="00D74573">
          <w:rPr>
            <w:rFonts w:asciiTheme="majorEastAsia" w:eastAsiaTheme="majorEastAsia" w:hAnsiTheme="majorEastAsia"/>
            <w:noProof/>
            <w:webHidden/>
          </w:rPr>
          <w:fldChar w:fldCharType="end"/>
        </w:r>
      </w:hyperlink>
    </w:p>
    <w:p w14:paraId="183C4269" w14:textId="7F0A894E" w:rsidR="00990020" w:rsidRPr="00D74573" w:rsidRDefault="00990020">
      <w:pPr>
        <w:pStyle w:val="12"/>
        <w:tabs>
          <w:tab w:val="right" w:leader="dot" w:pos="8834"/>
        </w:tabs>
        <w:rPr>
          <w:rFonts w:asciiTheme="majorEastAsia" w:eastAsiaTheme="majorEastAsia" w:hAnsiTheme="majorEastAsia" w:cstheme="minorBidi"/>
          <w:noProof/>
          <w14:ligatures w14:val="standardContextual"/>
        </w:rPr>
      </w:pPr>
      <w:hyperlink w:anchor="_Toc242870271" w:history="1">
        <w:r w:rsidRPr="00D74573">
          <w:rPr>
            <w:rStyle w:val="ac"/>
            <w:rFonts w:asciiTheme="majorEastAsia" w:eastAsiaTheme="majorEastAsia" w:hAnsiTheme="majorEastAsia"/>
            <w:noProof/>
          </w:rPr>
          <w:t>第３章　情報収集伝達・警戒活動</w:t>
        </w:r>
        <w:r w:rsidRPr="00D74573">
          <w:rPr>
            <w:rFonts w:asciiTheme="majorEastAsia" w:eastAsiaTheme="majorEastAsia" w:hAnsiTheme="majorEastAsia"/>
            <w:noProof/>
            <w:webHidden/>
          </w:rPr>
          <w:tab/>
        </w:r>
        <w:r w:rsidRPr="00D74573">
          <w:rPr>
            <w:rFonts w:asciiTheme="majorEastAsia" w:eastAsiaTheme="majorEastAsia" w:hAnsiTheme="majorEastAsia"/>
            <w:noProof/>
            <w:webHidden/>
          </w:rPr>
          <w:fldChar w:fldCharType="begin"/>
        </w:r>
        <w:r w:rsidRPr="00D74573">
          <w:rPr>
            <w:rFonts w:asciiTheme="majorEastAsia" w:eastAsiaTheme="majorEastAsia" w:hAnsiTheme="majorEastAsia"/>
            <w:noProof/>
            <w:webHidden/>
          </w:rPr>
          <w:instrText xml:space="preserve"> PAGEREF _Toc242870271 \h </w:instrText>
        </w:r>
        <w:r w:rsidRPr="00D74573">
          <w:rPr>
            <w:rFonts w:asciiTheme="majorEastAsia" w:eastAsiaTheme="majorEastAsia" w:hAnsiTheme="majorEastAsia"/>
            <w:noProof/>
            <w:webHidden/>
          </w:rPr>
        </w:r>
        <w:r w:rsidRPr="00D74573">
          <w:rPr>
            <w:rFonts w:asciiTheme="majorEastAsia" w:eastAsiaTheme="majorEastAsia" w:hAnsiTheme="majorEastAsia"/>
            <w:noProof/>
            <w:webHidden/>
          </w:rPr>
          <w:fldChar w:fldCharType="separate"/>
        </w:r>
        <w:r w:rsidR="00385E62">
          <w:rPr>
            <w:rFonts w:asciiTheme="majorEastAsia" w:eastAsiaTheme="majorEastAsia" w:hAnsiTheme="majorEastAsia"/>
            <w:noProof/>
            <w:webHidden/>
          </w:rPr>
          <w:t>- 151 -</w:t>
        </w:r>
        <w:r w:rsidRPr="00D74573">
          <w:rPr>
            <w:rFonts w:asciiTheme="majorEastAsia" w:eastAsiaTheme="majorEastAsia" w:hAnsiTheme="majorEastAsia"/>
            <w:noProof/>
            <w:webHidden/>
          </w:rPr>
          <w:fldChar w:fldCharType="end"/>
        </w:r>
      </w:hyperlink>
    </w:p>
    <w:p w14:paraId="5ACC7815" w14:textId="5CE5C6CF" w:rsidR="00990020" w:rsidRPr="00D74573" w:rsidRDefault="00990020">
      <w:pPr>
        <w:pStyle w:val="24"/>
        <w:tabs>
          <w:tab w:val="right" w:leader="dot" w:pos="8834"/>
        </w:tabs>
        <w:ind w:left="211"/>
        <w:rPr>
          <w:rFonts w:asciiTheme="majorEastAsia" w:eastAsiaTheme="majorEastAsia" w:hAnsiTheme="majorEastAsia" w:cstheme="minorBidi"/>
          <w:noProof/>
          <w14:ligatures w14:val="standardContextual"/>
        </w:rPr>
      </w:pPr>
      <w:hyperlink w:anchor="_Toc242870272" w:history="1">
        <w:r w:rsidRPr="00D74573">
          <w:rPr>
            <w:rStyle w:val="ac"/>
            <w:rFonts w:asciiTheme="majorEastAsia" w:eastAsiaTheme="majorEastAsia" w:hAnsiTheme="majorEastAsia"/>
            <w:noProof/>
          </w:rPr>
          <w:t>第１節　警戒期の気象予警報等の伝達</w:t>
        </w:r>
        <w:r w:rsidRPr="00D74573">
          <w:rPr>
            <w:rFonts w:asciiTheme="majorEastAsia" w:eastAsiaTheme="majorEastAsia" w:hAnsiTheme="majorEastAsia"/>
            <w:noProof/>
            <w:webHidden/>
          </w:rPr>
          <w:tab/>
        </w:r>
        <w:r w:rsidRPr="00D74573">
          <w:rPr>
            <w:rFonts w:asciiTheme="majorEastAsia" w:eastAsiaTheme="majorEastAsia" w:hAnsiTheme="majorEastAsia"/>
            <w:noProof/>
            <w:webHidden/>
          </w:rPr>
          <w:fldChar w:fldCharType="begin"/>
        </w:r>
        <w:r w:rsidRPr="00D74573">
          <w:rPr>
            <w:rFonts w:asciiTheme="majorEastAsia" w:eastAsiaTheme="majorEastAsia" w:hAnsiTheme="majorEastAsia"/>
            <w:noProof/>
            <w:webHidden/>
          </w:rPr>
          <w:instrText xml:space="preserve"> PAGEREF _Toc242870272 \h </w:instrText>
        </w:r>
        <w:r w:rsidRPr="00D74573">
          <w:rPr>
            <w:rFonts w:asciiTheme="majorEastAsia" w:eastAsiaTheme="majorEastAsia" w:hAnsiTheme="majorEastAsia"/>
            <w:noProof/>
            <w:webHidden/>
          </w:rPr>
        </w:r>
        <w:r w:rsidRPr="00D74573">
          <w:rPr>
            <w:rFonts w:asciiTheme="majorEastAsia" w:eastAsiaTheme="majorEastAsia" w:hAnsiTheme="majorEastAsia"/>
            <w:noProof/>
            <w:webHidden/>
          </w:rPr>
          <w:fldChar w:fldCharType="separate"/>
        </w:r>
        <w:r w:rsidR="00385E62">
          <w:rPr>
            <w:rFonts w:asciiTheme="majorEastAsia" w:eastAsiaTheme="majorEastAsia" w:hAnsiTheme="majorEastAsia"/>
            <w:noProof/>
            <w:webHidden/>
          </w:rPr>
          <w:t>- 151 -</w:t>
        </w:r>
        <w:r w:rsidRPr="00D74573">
          <w:rPr>
            <w:rFonts w:asciiTheme="majorEastAsia" w:eastAsiaTheme="majorEastAsia" w:hAnsiTheme="majorEastAsia"/>
            <w:noProof/>
            <w:webHidden/>
          </w:rPr>
          <w:fldChar w:fldCharType="end"/>
        </w:r>
      </w:hyperlink>
    </w:p>
    <w:p w14:paraId="71279179" w14:textId="4CF6500D" w:rsidR="00990020" w:rsidRPr="00D74573" w:rsidRDefault="00990020">
      <w:pPr>
        <w:pStyle w:val="24"/>
        <w:tabs>
          <w:tab w:val="right" w:leader="dot" w:pos="8834"/>
        </w:tabs>
        <w:ind w:left="211"/>
        <w:rPr>
          <w:rFonts w:asciiTheme="majorEastAsia" w:eastAsiaTheme="majorEastAsia" w:hAnsiTheme="majorEastAsia" w:cstheme="minorBidi"/>
          <w:noProof/>
          <w14:ligatures w14:val="standardContextual"/>
        </w:rPr>
      </w:pPr>
      <w:hyperlink w:anchor="_Toc242870273" w:history="1">
        <w:r w:rsidRPr="00D74573">
          <w:rPr>
            <w:rStyle w:val="ac"/>
            <w:rFonts w:asciiTheme="majorEastAsia" w:eastAsiaTheme="majorEastAsia" w:hAnsiTheme="majorEastAsia"/>
            <w:noProof/>
          </w:rPr>
          <w:t>第２節　警戒活動</w:t>
        </w:r>
        <w:r w:rsidRPr="00D74573">
          <w:rPr>
            <w:rFonts w:asciiTheme="majorEastAsia" w:eastAsiaTheme="majorEastAsia" w:hAnsiTheme="majorEastAsia"/>
            <w:noProof/>
            <w:webHidden/>
          </w:rPr>
          <w:tab/>
        </w:r>
        <w:r w:rsidRPr="00D74573">
          <w:rPr>
            <w:rFonts w:asciiTheme="majorEastAsia" w:eastAsiaTheme="majorEastAsia" w:hAnsiTheme="majorEastAsia"/>
            <w:noProof/>
            <w:webHidden/>
          </w:rPr>
          <w:fldChar w:fldCharType="begin"/>
        </w:r>
        <w:r w:rsidRPr="00D74573">
          <w:rPr>
            <w:rFonts w:asciiTheme="majorEastAsia" w:eastAsiaTheme="majorEastAsia" w:hAnsiTheme="majorEastAsia"/>
            <w:noProof/>
            <w:webHidden/>
          </w:rPr>
          <w:instrText xml:space="preserve"> PAGEREF _Toc242870273 \h </w:instrText>
        </w:r>
        <w:r w:rsidRPr="00D74573">
          <w:rPr>
            <w:rFonts w:asciiTheme="majorEastAsia" w:eastAsiaTheme="majorEastAsia" w:hAnsiTheme="majorEastAsia"/>
            <w:noProof/>
            <w:webHidden/>
          </w:rPr>
        </w:r>
        <w:r w:rsidRPr="00D74573">
          <w:rPr>
            <w:rFonts w:asciiTheme="majorEastAsia" w:eastAsiaTheme="majorEastAsia" w:hAnsiTheme="majorEastAsia"/>
            <w:noProof/>
            <w:webHidden/>
          </w:rPr>
          <w:fldChar w:fldCharType="separate"/>
        </w:r>
        <w:r w:rsidR="00385E62">
          <w:rPr>
            <w:rFonts w:asciiTheme="majorEastAsia" w:eastAsiaTheme="majorEastAsia" w:hAnsiTheme="majorEastAsia"/>
            <w:noProof/>
            <w:webHidden/>
          </w:rPr>
          <w:t>- 153 -</w:t>
        </w:r>
        <w:r w:rsidRPr="00D74573">
          <w:rPr>
            <w:rFonts w:asciiTheme="majorEastAsia" w:eastAsiaTheme="majorEastAsia" w:hAnsiTheme="majorEastAsia"/>
            <w:noProof/>
            <w:webHidden/>
          </w:rPr>
          <w:fldChar w:fldCharType="end"/>
        </w:r>
      </w:hyperlink>
    </w:p>
    <w:p w14:paraId="1604B29D" w14:textId="194D85D5" w:rsidR="00990020" w:rsidRPr="00D74573" w:rsidRDefault="00990020">
      <w:pPr>
        <w:pStyle w:val="34"/>
        <w:tabs>
          <w:tab w:val="right" w:leader="dot" w:pos="8834"/>
        </w:tabs>
        <w:ind w:left="422"/>
        <w:rPr>
          <w:rFonts w:asciiTheme="majorEastAsia" w:eastAsiaTheme="majorEastAsia" w:hAnsiTheme="majorEastAsia" w:cstheme="minorBidi"/>
          <w:noProof/>
          <w14:ligatures w14:val="standardContextual"/>
        </w:rPr>
      </w:pPr>
      <w:hyperlink w:anchor="_Toc242870274" w:history="1">
        <w:r w:rsidRPr="00D74573">
          <w:rPr>
            <w:rStyle w:val="ac"/>
            <w:rFonts w:asciiTheme="majorEastAsia" w:eastAsiaTheme="majorEastAsia" w:hAnsiTheme="majorEastAsia"/>
            <w:noProof/>
          </w:rPr>
          <w:t>第１　水防活動・土砂災害警戒活動</w:t>
        </w:r>
        <w:r w:rsidRPr="00D74573">
          <w:rPr>
            <w:rFonts w:asciiTheme="majorEastAsia" w:eastAsiaTheme="majorEastAsia" w:hAnsiTheme="majorEastAsia"/>
            <w:noProof/>
            <w:webHidden/>
          </w:rPr>
          <w:tab/>
        </w:r>
        <w:r w:rsidRPr="00D74573">
          <w:rPr>
            <w:rFonts w:asciiTheme="majorEastAsia" w:eastAsiaTheme="majorEastAsia" w:hAnsiTheme="majorEastAsia"/>
            <w:noProof/>
            <w:webHidden/>
          </w:rPr>
          <w:fldChar w:fldCharType="begin"/>
        </w:r>
        <w:r w:rsidRPr="00D74573">
          <w:rPr>
            <w:rFonts w:asciiTheme="majorEastAsia" w:eastAsiaTheme="majorEastAsia" w:hAnsiTheme="majorEastAsia"/>
            <w:noProof/>
            <w:webHidden/>
          </w:rPr>
          <w:instrText xml:space="preserve"> PAGEREF _Toc242870274 \h </w:instrText>
        </w:r>
        <w:r w:rsidRPr="00D74573">
          <w:rPr>
            <w:rFonts w:asciiTheme="majorEastAsia" w:eastAsiaTheme="majorEastAsia" w:hAnsiTheme="majorEastAsia"/>
            <w:noProof/>
            <w:webHidden/>
          </w:rPr>
        </w:r>
        <w:r w:rsidRPr="00D74573">
          <w:rPr>
            <w:rFonts w:asciiTheme="majorEastAsia" w:eastAsiaTheme="majorEastAsia" w:hAnsiTheme="majorEastAsia"/>
            <w:noProof/>
            <w:webHidden/>
          </w:rPr>
          <w:fldChar w:fldCharType="separate"/>
        </w:r>
        <w:r w:rsidR="00385E62">
          <w:rPr>
            <w:rFonts w:asciiTheme="majorEastAsia" w:eastAsiaTheme="majorEastAsia" w:hAnsiTheme="majorEastAsia"/>
            <w:noProof/>
            <w:webHidden/>
          </w:rPr>
          <w:t>- 153 -</w:t>
        </w:r>
        <w:r w:rsidRPr="00D74573">
          <w:rPr>
            <w:rFonts w:asciiTheme="majorEastAsia" w:eastAsiaTheme="majorEastAsia" w:hAnsiTheme="majorEastAsia"/>
            <w:noProof/>
            <w:webHidden/>
          </w:rPr>
          <w:fldChar w:fldCharType="end"/>
        </w:r>
      </w:hyperlink>
    </w:p>
    <w:p w14:paraId="4D44FAFD" w14:textId="6D447D78" w:rsidR="00990020" w:rsidRPr="00D74573" w:rsidRDefault="00990020">
      <w:pPr>
        <w:pStyle w:val="34"/>
        <w:tabs>
          <w:tab w:val="right" w:leader="dot" w:pos="8834"/>
        </w:tabs>
        <w:ind w:left="422"/>
        <w:rPr>
          <w:rFonts w:asciiTheme="majorEastAsia" w:eastAsiaTheme="majorEastAsia" w:hAnsiTheme="majorEastAsia" w:cstheme="minorBidi"/>
          <w:noProof/>
          <w14:ligatures w14:val="standardContextual"/>
        </w:rPr>
      </w:pPr>
      <w:hyperlink w:anchor="_Toc242870275" w:history="1">
        <w:r w:rsidRPr="00D74573">
          <w:rPr>
            <w:rStyle w:val="ac"/>
            <w:rFonts w:asciiTheme="majorEastAsia" w:eastAsiaTheme="majorEastAsia" w:hAnsiTheme="majorEastAsia"/>
            <w:noProof/>
          </w:rPr>
          <w:t>第２　津波警戒活動</w:t>
        </w:r>
        <w:r w:rsidRPr="00D74573">
          <w:rPr>
            <w:rFonts w:asciiTheme="majorEastAsia" w:eastAsiaTheme="majorEastAsia" w:hAnsiTheme="majorEastAsia"/>
            <w:noProof/>
            <w:webHidden/>
          </w:rPr>
          <w:tab/>
        </w:r>
        <w:r w:rsidRPr="00D74573">
          <w:rPr>
            <w:rFonts w:asciiTheme="majorEastAsia" w:eastAsiaTheme="majorEastAsia" w:hAnsiTheme="majorEastAsia"/>
            <w:noProof/>
            <w:webHidden/>
          </w:rPr>
          <w:fldChar w:fldCharType="begin"/>
        </w:r>
        <w:r w:rsidRPr="00D74573">
          <w:rPr>
            <w:rFonts w:asciiTheme="majorEastAsia" w:eastAsiaTheme="majorEastAsia" w:hAnsiTheme="majorEastAsia"/>
            <w:noProof/>
            <w:webHidden/>
          </w:rPr>
          <w:instrText xml:space="preserve"> PAGEREF _Toc242870275 \h </w:instrText>
        </w:r>
        <w:r w:rsidRPr="00D74573">
          <w:rPr>
            <w:rFonts w:asciiTheme="majorEastAsia" w:eastAsiaTheme="majorEastAsia" w:hAnsiTheme="majorEastAsia"/>
            <w:noProof/>
            <w:webHidden/>
          </w:rPr>
        </w:r>
        <w:r w:rsidRPr="00D74573">
          <w:rPr>
            <w:rFonts w:asciiTheme="majorEastAsia" w:eastAsiaTheme="majorEastAsia" w:hAnsiTheme="majorEastAsia"/>
            <w:noProof/>
            <w:webHidden/>
          </w:rPr>
          <w:fldChar w:fldCharType="separate"/>
        </w:r>
        <w:r w:rsidR="00385E62">
          <w:rPr>
            <w:rFonts w:asciiTheme="majorEastAsia" w:eastAsiaTheme="majorEastAsia" w:hAnsiTheme="majorEastAsia"/>
            <w:noProof/>
            <w:webHidden/>
          </w:rPr>
          <w:t>- 155 -</w:t>
        </w:r>
        <w:r w:rsidRPr="00D74573">
          <w:rPr>
            <w:rFonts w:asciiTheme="majorEastAsia" w:eastAsiaTheme="majorEastAsia" w:hAnsiTheme="majorEastAsia"/>
            <w:noProof/>
            <w:webHidden/>
          </w:rPr>
          <w:fldChar w:fldCharType="end"/>
        </w:r>
      </w:hyperlink>
    </w:p>
    <w:p w14:paraId="6A5DA076" w14:textId="2CC37799" w:rsidR="00990020" w:rsidRPr="00D74573" w:rsidRDefault="00990020">
      <w:pPr>
        <w:pStyle w:val="24"/>
        <w:tabs>
          <w:tab w:val="right" w:leader="dot" w:pos="8834"/>
        </w:tabs>
        <w:ind w:left="211"/>
        <w:rPr>
          <w:rFonts w:asciiTheme="majorEastAsia" w:eastAsiaTheme="majorEastAsia" w:hAnsiTheme="majorEastAsia" w:cstheme="minorBidi"/>
          <w:noProof/>
          <w14:ligatures w14:val="standardContextual"/>
        </w:rPr>
      </w:pPr>
      <w:hyperlink w:anchor="_Toc242870276" w:history="1">
        <w:r w:rsidRPr="00D74573">
          <w:rPr>
            <w:rStyle w:val="ac"/>
            <w:rFonts w:asciiTheme="majorEastAsia" w:eastAsiaTheme="majorEastAsia" w:hAnsiTheme="majorEastAsia"/>
            <w:noProof/>
          </w:rPr>
          <w:t>第３節　発災直後の情報収集伝達</w:t>
        </w:r>
        <w:r w:rsidRPr="00D74573">
          <w:rPr>
            <w:rFonts w:asciiTheme="majorEastAsia" w:eastAsiaTheme="majorEastAsia" w:hAnsiTheme="majorEastAsia"/>
            <w:noProof/>
            <w:webHidden/>
          </w:rPr>
          <w:tab/>
        </w:r>
        <w:r w:rsidRPr="00D74573">
          <w:rPr>
            <w:rFonts w:asciiTheme="majorEastAsia" w:eastAsiaTheme="majorEastAsia" w:hAnsiTheme="majorEastAsia"/>
            <w:noProof/>
            <w:webHidden/>
          </w:rPr>
          <w:fldChar w:fldCharType="begin"/>
        </w:r>
        <w:r w:rsidRPr="00D74573">
          <w:rPr>
            <w:rFonts w:asciiTheme="majorEastAsia" w:eastAsiaTheme="majorEastAsia" w:hAnsiTheme="majorEastAsia"/>
            <w:noProof/>
            <w:webHidden/>
          </w:rPr>
          <w:instrText xml:space="preserve"> PAGEREF _Toc242870276 \h </w:instrText>
        </w:r>
        <w:r w:rsidRPr="00D74573">
          <w:rPr>
            <w:rFonts w:asciiTheme="majorEastAsia" w:eastAsiaTheme="majorEastAsia" w:hAnsiTheme="majorEastAsia"/>
            <w:noProof/>
            <w:webHidden/>
          </w:rPr>
        </w:r>
        <w:r w:rsidRPr="00D74573">
          <w:rPr>
            <w:rFonts w:asciiTheme="majorEastAsia" w:eastAsiaTheme="majorEastAsia" w:hAnsiTheme="majorEastAsia"/>
            <w:noProof/>
            <w:webHidden/>
          </w:rPr>
          <w:fldChar w:fldCharType="separate"/>
        </w:r>
        <w:r w:rsidR="00385E62">
          <w:rPr>
            <w:rFonts w:asciiTheme="majorEastAsia" w:eastAsiaTheme="majorEastAsia" w:hAnsiTheme="majorEastAsia"/>
            <w:noProof/>
            <w:webHidden/>
          </w:rPr>
          <w:t>- 157 -</w:t>
        </w:r>
        <w:r w:rsidRPr="00D74573">
          <w:rPr>
            <w:rFonts w:asciiTheme="majorEastAsia" w:eastAsiaTheme="majorEastAsia" w:hAnsiTheme="majorEastAsia"/>
            <w:noProof/>
            <w:webHidden/>
          </w:rPr>
          <w:fldChar w:fldCharType="end"/>
        </w:r>
      </w:hyperlink>
    </w:p>
    <w:p w14:paraId="24E1C5EE" w14:textId="03BA7DC1" w:rsidR="00990020" w:rsidRPr="00D74573" w:rsidRDefault="00990020">
      <w:pPr>
        <w:pStyle w:val="34"/>
        <w:tabs>
          <w:tab w:val="right" w:leader="dot" w:pos="8834"/>
        </w:tabs>
        <w:ind w:left="422"/>
        <w:rPr>
          <w:rFonts w:asciiTheme="majorEastAsia" w:eastAsiaTheme="majorEastAsia" w:hAnsiTheme="majorEastAsia" w:cstheme="minorBidi"/>
          <w:noProof/>
          <w14:ligatures w14:val="standardContextual"/>
        </w:rPr>
      </w:pPr>
      <w:hyperlink w:anchor="_Toc242870277" w:history="1">
        <w:r w:rsidRPr="00D74573">
          <w:rPr>
            <w:rStyle w:val="ac"/>
            <w:rFonts w:asciiTheme="majorEastAsia" w:eastAsiaTheme="majorEastAsia" w:hAnsiTheme="majorEastAsia"/>
            <w:noProof/>
          </w:rPr>
          <w:t>第１　被害情報等の収集伝達</w:t>
        </w:r>
        <w:r w:rsidRPr="00D74573">
          <w:rPr>
            <w:rStyle w:val="ac"/>
            <w:rFonts w:asciiTheme="majorEastAsia" w:eastAsiaTheme="majorEastAsia" w:hAnsiTheme="majorEastAsia"/>
            <w:noProof/>
            <w:shd w:val="pct15" w:color="auto" w:fill="FFFFFF"/>
          </w:rPr>
          <w:t>【第１フェーズ】</w:t>
        </w:r>
        <w:r w:rsidRPr="00D74573">
          <w:rPr>
            <w:rFonts w:asciiTheme="majorEastAsia" w:eastAsiaTheme="majorEastAsia" w:hAnsiTheme="majorEastAsia"/>
            <w:noProof/>
            <w:webHidden/>
          </w:rPr>
          <w:tab/>
        </w:r>
        <w:r w:rsidRPr="00D74573">
          <w:rPr>
            <w:rFonts w:asciiTheme="majorEastAsia" w:eastAsiaTheme="majorEastAsia" w:hAnsiTheme="majorEastAsia"/>
            <w:noProof/>
            <w:webHidden/>
          </w:rPr>
          <w:fldChar w:fldCharType="begin"/>
        </w:r>
        <w:r w:rsidRPr="00D74573">
          <w:rPr>
            <w:rFonts w:asciiTheme="majorEastAsia" w:eastAsiaTheme="majorEastAsia" w:hAnsiTheme="majorEastAsia"/>
            <w:noProof/>
            <w:webHidden/>
          </w:rPr>
          <w:instrText xml:space="preserve"> PAGEREF _Toc242870277 \h </w:instrText>
        </w:r>
        <w:r w:rsidRPr="00D74573">
          <w:rPr>
            <w:rFonts w:asciiTheme="majorEastAsia" w:eastAsiaTheme="majorEastAsia" w:hAnsiTheme="majorEastAsia"/>
            <w:noProof/>
            <w:webHidden/>
          </w:rPr>
        </w:r>
        <w:r w:rsidRPr="00D74573">
          <w:rPr>
            <w:rFonts w:asciiTheme="majorEastAsia" w:eastAsiaTheme="majorEastAsia" w:hAnsiTheme="majorEastAsia"/>
            <w:noProof/>
            <w:webHidden/>
          </w:rPr>
          <w:fldChar w:fldCharType="separate"/>
        </w:r>
        <w:r w:rsidR="00385E62">
          <w:rPr>
            <w:rFonts w:asciiTheme="majorEastAsia" w:eastAsiaTheme="majorEastAsia" w:hAnsiTheme="majorEastAsia"/>
            <w:noProof/>
            <w:webHidden/>
          </w:rPr>
          <w:t>- 159 -</w:t>
        </w:r>
        <w:r w:rsidRPr="00D74573">
          <w:rPr>
            <w:rFonts w:asciiTheme="majorEastAsia" w:eastAsiaTheme="majorEastAsia" w:hAnsiTheme="majorEastAsia"/>
            <w:noProof/>
            <w:webHidden/>
          </w:rPr>
          <w:fldChar w:fldCharType="end"/>
        </w:r>
      </w:hyperlink>
    </w:p>
    <w:p w14:paraId="047306FE" w14:textId="0796C341" w:rsidR="00990020" w:rsidRPr="00D74573" w:rsidRDefault="00990020">
      <w:pPr>
        <w:pStyle w:val="34"/>
        <w:tabs>
          <w:tab w:val="right" w:leader="dot" w:pos="8834"/>
        </w:tabs>
        <w:ind w:left="422"/>
        <w:rPr>
          <w:rFonts w:asciiTheme="majorEastAsia" w:eastAsiaTheme="majorEastAsia" w:hAnsiTheme="majorEastAsia" w:cstheme="minorBidi"/>
          <w:noProof/>
          <w14:ligatures w14:val="standardContextual"/>
        </w:rPr>
      </w:pPr>
      <w:hyperlink w:anchor="_Toc242870278" w:history="1">
        <w:r w:rsidRPr="00D74573">
          <w:rPr>
            <w:rStyle w:val="ac"/>
            <w:rFonts w:asciiTheme="majorEastAsia" w:eastAsiaTheme="majorEastAsia" w:hAnsiTheme="majorEastAsia"/>
            <w:noProof/>
          </w:rPr>
          <w:t>第２　災害広報</w:t>
        </w:r>
        <w:r w:rsidRPr="00D74573">
          <w:rPr>
            <w:rStyle w:val="ac"/>
            <w:rFonts w:asciiTheme="majorEastAsia" w:eastAsiaTheme="majorEastAsia" w:hAnsiTheme="majorEastAsia"/>
            <w:noProof/>
            <w:shd w:val="pct15" w:color="auto" w:fill="FFFFFF"/>
          </w:rPr>
          <w:t>【第１フェーズ】</w:t>
        </w:r>
        <w:r w:rsidRPr="00D74573">
          <w:rPr>
            <w:rFonts w:asciiTheme="majorEastAsia" w:eastAsiaTheme="majorEastAsia" w:hAnsiTheme="majorEastAsia"/>
            <w:noProof/>
            <w:webHidden/>
          </w:rPr>
          <w:tab/>
        </w:r>
        <w:r w:rsidRPr="00D74573">
          <w:rPr>
            <w:rFonts w:asciiTheme="majorEastAsia" w:eastAsiaTheme="majorEastAsia" w:hAnsiTheme="majorEastAsia"/>
            <w:noProof/>
            <w:webHidden/>
          </w:rPr>
          <w:fldChar w:fldCharType="begin"/>
        </w:r>
        <w:r w:rsidRPr="00D74573">
          <w:rPr>
            <w:rFonts w:asciiTheme="majorEastAsia" w:eastAsiaTheme="majorEastAsia" w:hAnsiTheme="majorEastAsia"/>
            <w:noProof/>
            <w:webHidden/>
          </w:rPr>
          <w:instrText xml:space="preserve"> PAGEREF _Toc242870278 \h </w:instrText>
        </w:r>
        <w:r w:rsidRPr="00D74573">
          <w:rPr>
            <w:rFonts w:asciiTheme="majorEastAsia" w:eastAsiaTheme="majorEastAsia" w:hAnsiTheme="majorEastAsia"/>
            <w:noProof/>
            <w:webHidden/>
          </w:rPr>
        </w:r>
        <w:r w:rsidRPr="00D74573">
          <w:rPr>
            <w:rFonts w:asciiTheme="majorEastAsia" w:eastAsiaTheme="majorEastAsia" w:hAnsiTheme="majorEastAsia"/>
            <w:noProof/>
            <w:webHidden/>
          </w:rPr>
          <w:fldChar w:fldCharType="separate"/>
        </w:r>
        <w:r w:rsidR="00385E62">
          <w:rPr>
            <w:rFonts w:asciiTheme="majorEastAsia" w:eastAsiaTheme="majorEastAsia" w:hAnsiTheme="majorEastAsia"/>
            <w:noProof/>
            <w:webHidden/>
          </w:rPr>
          <w:t>- 162 -</w:t>
        </w:r>
        <w:r w:rsidRPr="00D74573">
          <w:rPr>
            <w:rFonts w:asciiTheme="majorEastAsia" w:eastAsiaTheme="majorEastAsia" w:hAnsiTheme="majorEastAsia"/>
            <w:noProof/>
            <w:webHidden/>
          </w:rPr>
          <w:fldChar w:fldCharType="end"/>
        </w:r>
      </w:hyperlink>
    </w:p>
    <w:p w14:paraId="4BDFF558" w14:textId="0553C30D" w:rsidR="00990020" w:rsidRPr="00D74573" w:rsidRDefault="00990020">
      <w:pPr>
        <w:pStyle w:val="12"/>
        <w:tabs>
          <w:tab w:val="right" w:leader="dot" w:pos="8834"/>
        </w:tabs>
        <w:rPr>
          <w:rFonts w:asciiTheme="majorEastAsia" w:eastAsiaTheme="majorEastAsia" w:hAnsiTheme="majorEastAsia" w:cstheme="minorBidi"/>
          <w:noProof/>
          <w14:ligatures w14:val="standardContextual"/>
        </w:rPr>
      </w:pPr>
      <w:hyperlink w:anchor="_Toc242870279" w:history="1">
        <w:r w:rsidRPr="00D74573">
          <w:rPr>
            <w:rStyle w:val="ac"/>
            <w:rFonts w:asciiTheme="majorEastAsia" w:eastAsiaTheme="majorEastAsia" w:hAnsiTheme="majorEastAsia"/>
            <w:noProof/>
          </w:rPr>
          <w:t>第４章　災害応急対策</w:t>
        </w:r>
        <w:r w:rsidRPr="00D74573">
          <w:rPr>
            <w:rFonts w:asciiTheme="majorEastAsia" w:eastAsiaTheme="majorEastAsia" w:hAnsiTheme="majorEastAsia"/>
            <w:noProof/>
            <w:webHidden/>
          </w:rPr>
          <w:tab/>
        </w:r>
        <w:r w:rsidRPr="00D74573">
          <w:rPr>
            <w:rFonts w:asciiTheme="majorEastAsia" w:eastAsiaTheme="majorEastAsia" w:hAnsiTheme="majorEastAsia"/>
            <w:noProof/>
            <w:webHidden/>
          </w:rPr>
          <w:fldChar w:fldCharType="begin"/>
        </w:r>
        <w:r w:rsidRPr="00D74573">
          <w:rPr>
            <w:rFonts w:asciiTheme="majorEastAsia" w:eastAsiaTheme="majorEastAsia" w:hAnsiTheme="majorEastAsia"/>
            <w:noProof/>
            <w:webHidden/>
          </w:rPr>
          <w:instrText xml:space="preserve"> PAGEREF _Toc242870279 \h </w:instrText>
        </w:r>
        <w:r w:rsidRPr="00D74573">
          <w:rPr>
            <w:rFonts w:asciiTheme="majorEastAsia" w:eastAsiaTheme="majorEastAsia" w:hAnsiTheme="majorEastAsia"/>
            <w:noProof/>
            <w:webHidden/>
          </w:rPr>
        </w:r>
        <w:r w:rsidRPr="00D74573">
          <w:rPr>
            <w:rFonts w:asciiTheme="majorEastAsia" w:eastAsiaTheme="majorEastAsia" w:hAnsiTheme="majorEastAsia"/>
            <w:noProof/>
            <w:webHidden/>
          </w:rPr>
          <w:fldChar w:fldCharType="separate"/>
        </w:r>
        <w:r w:rsidR="00385E62">
          <w:rPr>
            <w:rFonts w:asciiTheme="majorEastAsia" w:eastAsiaTheme="majorEastAsia" w:hAnsiTheme="majorEastAsia"/>
            <w:noProof/>
            <w:webHidden/>
          </w:rPr>
          <w:t>- 164 -</w:t>
        </w:r>
        <w:r w:rsidRPr="00D74573">
          <w:rPr>
            <w:rFonts w:asciiTheme="majorEastAsia" w:eastAsiaTheme="majorEastAsia" w:hAnsiTheme="majorEastAsia"/>
            <w:noProof/>
            <w:webHidden/>
          </w:rPr>
          <w:fldChar w:fldCharType="end"/>
        </w:r>
      </w:hyperlink>
    </w:p>
    <w:p w14:paraId="69D41E36" w14:textId="1F66D7F6" w:rsidR="00990020" w:rsidRPr="00D74573" w:rsidRDefault="00990020">
      <w:pPr>
        <w:pStyle w:val="24"/>
        <w:tabs>
          <w:tab w:val="right" w:leader="dot" w:pos="8834"/>
        </w:tabs>
        <w:ind w:left="211"/>
        <w:rPr>
          <w:rFonts w:asciiTheme="majorEastAsia" w:eastAsiaTheme="majorEastAsia" w:hAnsiTheme="majorEastAsia" w:cstheme="minorBidi"/>
          <w:noProof/>
          <w14:ligatures w14:val="standardContextual"/>
        </w:rPr>
      </w:pPr>
      <w:hyperlink w:anchor="_Toc242870280" w:history="1">
        <w:r w:rsidRPr="00D74573">
          <w:rPr>
            <w:rStyle w:val="ac"/>
            <w:rFonts w:asciiTheme="majorEastAsia" w:eastAsiaTheme="majorEastAsia" w:hAnsiTheme="majorEastAsia"/>
            <w:noProof/>
          </w:rPr>
          <w:t>第１節　消火・救助・救急活動</w:t>
        </w:r>
        <w:r w:rsidRPr="00D74573">
          <w:rPr>
            <w:rFonts w:asciiTheme="majorEastAsia" w:eastAsiaTheme="majorEastAsia" w:hAnsiTheme="majorEastAsia"/>
            <w:noProof/>
            <w:webHidden/>
          </w:rPr>
          <w:tab/>
        </w:r>
        <w:r w:rsidRPr="00D74573">
          <w:rPr>
            <w:rFonts w:asciiTheme="majorEastAsia" w:eastAsiaTheme="majorEastAsia" w:hAnsiTheme="majorEastAsia"/>
            <w:noProof/>
            <w:webHidden/>
          </w:rPr>
          <w:fldChar w:fldCharType="begin"/>
        </w:r>
        <w:r w:rsidRPr="00D74573">
          <w:rPr>
            <w:rFonts w:asciiTheme="majorEastAsia" w:eastAsiaTheme="majorEastAsia" w:hAnsiTheme="majorEastAsia"/>
            <w:noProof/>
            <w:webHidden/>
          </w:rPr>
          <w:instrText xml:space="preserve"> PAGEREF _Toc242870280 \h </w:instrText>
        </w:r>
        <w:r w:rsidRPr="00D74573">
          <w:rPr>
            <w:rFonts w:asciiTheme="majorEastAsia" w:eastAsiaTheme="majorEastAsia" w:hAnsiTheme="majorEastAsia"/>
            <w:noProof/>
            <w:webHidden/>
          </w:rPr>
        </w:r>
        <w:r w:rsidRPr="00D74573">
          <w:rPr>
            <w:rFonts w:asciiTheme="majorEastAsia" w:eastAsiaTheme="majorEastAsia" w:hAnsiTheme="majorEastAsia"/>
            <w:noProof/>
            <w:webHidden/>
          </w:rPr>
          <w:fldChar w:fldCharType="separate"/>
        </w:r>
        <w:r w:rsidR="00385E62">
          <w:rPr>
            <w:rFonts w:asciiTheme="majorEastAsia" w:eastAsiaTheme="majorEastAsia" w:hAnsiTheme="majorEastAsia"/>
            <w:noProof/>
            <w:webHidden/>
          </w:rPr>
          <w:t>- 164 -</w:t>
        </w:r>
        <w:r w:rsidRPr="00D74573">
          <w:rPr>
            <w:rFonts w:asciiTheme="majorEastAsia" w:eastAsiaTheme="majorEastAsia" w:hAnsiTheme="majorEastAsia"/>
            <w:noProof/>
            <w:webHidden/>
          </w:rPr>
          <w:fldChar w:fldCharType="end"/>
        </w:r>
      </w:hyperlink>
    </w:p>
    <w:p w14:paraId="0997F761" w14:textId="54E5D0B1" w:rsidR="00990020" w:rsidRPr="00D74573" w:rsidRDefault="00990020">
      <w:pPr>
        <w:pStyle w:val="34"/>
        <w:tabs>
          <w:tab w:val="right" w:leader="dot" w:pos="8834"/>
        </w:tabs>
        <w:ind w:left="422"/>
        <w:rPr>
          <w:rFonts w:asciiTheme="majorEastAsia" w:eastAsiaTheme="majorEastAsia" w:hAnsiTheme="majorEastAsia" w:cstheme="minorBidi"/>
          <w:noProof/>
          <w14:ligatures w14:val="standardContextual"/>
        </w:rPr>
      </w:pPr>
      <w:hyperlink w:anchor="_Toc242870281" w:history="1">
        <w:r w:rsidRPr="00D74573">
          <w:rPr>
            <w:rStyle w:val="ac"/>
            <w:rFonts w:asciiTheme="majorEastAsia" w:eastAsiaTheme="majorEastAsia" w:hAnsiTheme="majorEastAsia"/>
            <w:noProof/>
          </w:rPr>
          <w:t>第１　市町村からの要請</w:t>
        </w:r>
        <w:r w:rsidRPr="00D74573">
          <w:rPr>
            <w:rStyle w:val="ac"/>
            <w:rFonts w:asciiTheme="majorEastAsia" w:eastAsiaTheme="majorEastAsia" w:hAnsiTheme="majorEastAsia"/>
            <w:noProof/>
            <w:shd w:val="pct15" w:color="auto" w:fill="FFFFFF"/>
          </w:rPr>
          <w:t>【第１フェーズ】</w:t>
        </w:r>
        <w:r w:rsidRPr="00D74573">
          <w:rPr>
            <w:rFonts w:asciiTheme="majorEastAsia" w:eastAsiaTheme="majorEastAsia" w:hAnsiTheme="majorEastAsia"/>
            <w:noProof/>
            <w:webHidden/>
          </w:rPr>
          <w:tab/>
        </w:r>
        <w:r w:rsidRPr="00D74573">
          <w:rPr>
            <w:rFonts w:asciiTheme="majorEastAsia" w:eastAsiaTheme="majorEastAsia" w:hAnsiTheme="majorEastAsia"/>
            <w:noProof/>
            <w:webHidden/>
          </w:rPr>
          <w:fldChar w:fldCharType="begin"/>
        </w:r>
        <w:r w:rsidRPr="00D74573">
          <w:rPr>
            <w:rFonts w:asciiTheme="majorEastAsia" w:eastAsiaTheme="majorEastAsia" w:hAnsiTheme="majorEastAsia"/>
            <w:noProof/>
            <w:webHidden/>
          </w:rPr>
          <w:instrText xml:space="preserve"> PAGEREF _Toc242870281 \h </w:instrText>
        </w:r>
        <w:r w:rsidRPr="00D74573">
          <w:rPr>
            <w:rFonts w:asciiTheme="majorEastAsia" w:eastAsiaTheme="majorEastAsia" w:hAnsiTheme="majorEastAsia"/>
            <w:noProof/>
            <w:webHidden/>
          </w:rPr>
        </w:r>
        <w:r w:rsidRPr="00D74573">
          <w:rPr>
            <w:rFonts w:asciiTheme="majorEastAsia" w:eastAsiaTheme="majorEastAsia" w:hAnsiTheme="majorEastAsia"/>
            <w:noProof/>
            <w:webHidden/>
          </w:rPr>
          <w:fldChar w:fldCharType="separate"/>
        </w:r>
        <w:r w:rsidR="00385E62">
          <w:rPr>
            <w:rFonts w:asciiTheme="majorEastAsia" w:eastAsiaTheme="majorEastAsia" w:hAnsiTheme="majorEastAsia"/>
            <w:noProof/>
            <w:webHidden/>
          </w:rPr>
          <w:t>- 164 -</w:t>
        </w:r>
        <w:r w:rsidRPr="00D74573">
          <w:rPr>
            <w:rFonts w:asciiTheme="majorEastAsia" w:eastAsiaTheme="majorEastAsia" w:hAnsiTheme="majorEastAsia"/>
            <w:noProof/>
            <w:webHidden/>
          </w:rPr>
          <w:fldChar w:fldCharType="end"/>
        </w:r>
      </w:hyperlink>
    </w:p>
    <w:p w14:paraId="25F9FE16" w14:textId="55389462" w:rsidR="00990020" w:rsidRPr="00D74573" w:rsidRDefault="00990020">
      <w:pPr>
        <w:pStyle w:val="34"/>
        <w:tabs>
          <w:tab w:val="right" w:leader="dot" w:pos="8834"/>
        </w:tabs>
        <w:ind w:left="422"/>
        <w:rPr>
          <w:rFonts w:asciiTheme="majorEastAsia" w:eastAsiaTheme="majorEastAsia" w:hAnsiTheme="majorEastAsia" w:cstheme="minorBidi"/>
          <w:noProof/>
          <w14:ligatures w14:val="standardContextual"/>
        </w:rPr>
      </w:pPr>
      <w:hyperlink w:anchor="_Toc242870282" w:history="1">
        <w:r w:rsidRPr="00D74573">
          <w:rPr>
            <w:rStyle w:val="ac"/>
            <w:rFonts w:asciiTheme="majorEastAsia" w:eastAsiaTheme="majorEastAsia" w:hAnsiTheme="majorEastAsia"/>
            <w:noProof/>
          </w:rPr>
          <w:t>第２　広域防災連絡会議の運用</w:t>
        </w:r>
        <w:r w:rsidRPr="00D74573">
          <w:rPr>
            <w:rStyle w:val="ac"/>
            <w:rFonts w:asciiTheme="majorEastAsia" w:eastAsiaTheme="majorEastAsia" w:hAnsiTheme="majorEastAsia"/>
            <w:noProof/>
            <w:shd w:val="pct15" w:color="auto" w:fill="FFFFFF"/>
          </w:rPr>
          <w:t>【第２フェーズ】</w:t>
        </w:r>
        <w:r w:rsidRPr="00D74573">
          <w:rPr>
            <w:rFonts w:asciiTheme="majorEastAsia" w:eastAsiaTheme="majorEastAsia" w:hAnsiTheme="majorEastAsia"/>
            <w:noProof/>
            <w:webHidden/>
          </w:rPr>
          <w:tab/>
        </w:r>
        <w:r w:rsidRPr="00D74573">
          <w:rPr>
            <w:rFonts w:asciiTheme="majorEastAsia" w:eastAsiaTheme="majorEastAsia" w:hAnsiTheme="majorEastAsia"/>
            <w:noProof/>
            <w:webHidden/>
          </w:rPr>
          <w:fldChar w:fldCharType="begin"/>
        </w:r>
        <w:r w:rsidRPr="00D74573">
          <w:rPr>
            <w:rFonts w:asciiTheme="majorEastAsia" w:eastAsiaTheme="majorEastAsia" w:hAnsiTheme="majorEastAsia"/>
            <w:noProof/>
            <w:webHidden/>
          </w:rPr>
          <w:instrText xml:space="preserve"> PAGEREF _Toc242870282 \h </w:instrText>
        </w:r>
        <w:r w:rsidRPr="00D74573">
          <w:rPr>
            <w:rFonts w:asciiTheme="majorEastAsia" w:eastAsiaTheme="majorEastAsia" w:hAnsiTheme="majorEastAsia"/>
            <w:noProof/>
            <w:webHidden/>
          </w:rPr>
        </w:r>
        <w:r w:rsidRPr="00D74573">
          <w:rPr>
            <w:rFonts w:asciiTheme="majorEastAsia" w:eastAsiaTheme="majorEastAsia" w:hAnsiTheme="majorEastAsia"/>
            <w:noProof/>
            <w:webHidden/>
          </w:rPr>
          <w:fldChar w:fldCharType="separate"/>
        </w:r>
        <w:r w:rsidR="00385E62">
          <w:rPr>
            <w:rFonts w:asciiTheme="majorEastAsia" w:eastAsiaTheme="majorEastAsia" w:hAnsiTheme="majorEastAsia"/>
            <w:noProof/>
            <w:webHidden/>
          </w:rPr>
          <w:t>- 164 -</w:t>
        </w:r>
        <w:r w:rsidRPr="00D74573">
          <w:rPr>
            <w:rFonts w:asciiTheme="majorEastAsia" w:eastAsiaTheme="majorEastAsia" w:hAnsiTheme="majorEastAsia"/>
            <w:noProof/>
            <w:webHidden/>
          </w:rPr>
          <w:fldChar w:fldCharType="end"/>
        </w:r>
      </w:hyperlink>
    </w:p>
    <w:p w14:paraId="02954E2A" w14:textId="295D8919" w:rsidR="00990020" w:rsidRPr="00D74573" w:rsidRDefault="00990020">
      <w:pPr>
        <w:pStyle w:val="34"/>
        <w:tabs>
          <w:tab w:val="right" w:leader="dot" w:pos="8834"/>
        </w:tabs>
        <w:ind w:left="422"/>
        <w:rPr>
          <w:rFonts w:asciiTheme="majorEastAsia" w:eastAsiaTheme="majorEastAsia" w:hAnsiTheme="majorEastAsia" w:cstheme="minorBidi"/>
          <w:noProof/>
          <w14:ligatures w14:val="standardContextual"/>
        </w:rPr>
      </w:pPr>
      <w:hyperlink w:anchor="_Toc242870283" w:history="1">
        <w:r w:rsidRPr="00D74573">
          <w:rPr>
            <w:rStyle w:val="ac"/>
            <w:rFonts w:asciiTheme="majorEastAsia" w:eastAsiaTheme="majorEastAsia" w:hAnsiTheme="majorEastAsia"/>
            <w:noProof/>
          </w:rPr>
          <w:t>第３　航空運用調整班の運用</w:t>
        </w:r>
        <w:r w:rsidRPr="00D74573">
          <w:rPr>
            <w:rStyle w:val="ac"/>
            <w:rFonts w:asciiTheme="majorEastAsia" w:eastAsiaTheme="majorEastAsia" w:hAnsiTheme="majorEastAsia"/>
            <w:noProof/>
            <w:shd w:val="pct15" w:color="auto" w:fill="FFFFFF"/>
          </w:rPr>
          <w:t>【第２フェーズ】</w:t>
        </w:r>
        <w:r w:rsidRPr="00D74573">
          <w:rPr>
            <w:rFonts w:asciiTheme="majorEastAsia" w:eastAsiaTheme="majorEastAsia" w:hAnsiTheme="majorEastAsia"/>
            <w:noProof/>
            <w:webHidden/>
          </w:rPr>
          <w:tab/>
        </w:r>
        <w:r w:rsidRPr="00D74573">
          <w:rPr>
            <w:rFonts w:asciiTheme="majorEastAsia" w:eastAsiaTheme="majorEastAsia" w:hAnsiTheme="majorEastAsia"/>
            <w:noProof/>
            <w:webHidden/>
          </w:rPr>
          <w:fldChar w:fldCharType="begin"/>
        </w:r>
        <w:r w:rsidRPr="00D74573">
          <w:rPr>
            <w:rFonts w:asciiTheme="majorEastAsia" w:eastAsiaTheme="majorEastAsia" w:hAnsiTheme="majorEastAsia"/>
            <w:noProof/>
            <w:webHidden/>
          </w:rPr>
          <w:instrText xml:space="preserve"> PAGEREF _Toc242870283 \h </w:instrText>
        </w:r>
        <w:r w:rsidRPr="00D74573">
          <w:rPr>
            <w:rFonts w:asciiTheme="majorEastAsia" w:eastAsiaTheme="majorEastAsia" w:hAnsiTheme="majorEastAsia"/>
            <w:noProof/>
            <w:webHidden/>
          </w:rPr>
        </w:r>
        <w:r w:rsidRPr="00D74573">
          <w:rPr>
            <w:rFonts w:asciiTheme="majorEastAsia" w:eastAsiaTheme="majorEastAsia" w:hAnsiTheme="majorEastAsia"/>
            <w:noProof/>
            <w:webHidden/>
          </w:rPr>
          <w:fldChar w:fldCharType="separate"/>
        </w:r>
        <w:r w:rsidR="00385E62">
          <w:rPr>
            <w:rFonts w:asciiTheme="majorEastAsia" w:eastAsiaTheme="majorEastAsia" w:hAnsiTheme="majorEastAsia"/>
            <w:noProof/>
            <w:webHidden/>
          </w:rPr>
          <w:t>- 165 -</w:t>
        </w:r>
        <w:r w:rsidRPr="00D74573">
          <w:rPr>
            <w:rFonts w:asciiTheme="majorEastAsia" w:eastAsiaTheme="majorEastAsia" w:hAnsiTheme="majorEastAsia"/>
            <w:noProof/>
            <w:webHidden/>
          </w:rPr>
          <w:fldChar w:fldCharType="end"/>
        </w:r>
      </w:hyperlink>
    </w:p>
    <w:p w14:paraId="34E44F44" w14:textId="241292CA" w:rsidR="00990020" w:rsidRPr="00D74573" w:rsidRDefault="00990020">
      <w:pPr>
        <w:pStyle w:val="24"/>
        <w:tabs>
          <w:tab w:val="right" w:leader="dot" w:pos="8834"/>
        </w:tabs>
        <w:ind w:left="211"/>
        <w:rPr>
          <w:rFonts w:asciiTheme="majorEastAsia" w:eastAsiaTheme="majorEastAsia" w:hAnsiTheme="majorEastAsia" w:cstheme="minorBidi"/>
          <w:noProof/>
          <w14:ligatures w14:val="standardContextual"/>
        </w:rPr>
      </w:pPr>
      <w:hyperlink w:anchor="_Toc242870284" w:history="1">
        <w:r w:rsidRPr="00D74573">
          <w:rPr>
            <w:rStyle w:val="ac"/>
            <w:rFonts w:asciiTheme="majorEastAsia" w:eastAsiaTheme="majorEastAsia" w:hAnsiTheme="majorEastAsia"/>
            <w:noProof/>
          </w:rPr>
          <w:t>第２節　保健医療活動</w:t>
        </w:r>
        <w:r w:rsidRPr="00D74573">
          <w:rPr>
            <w:rFonts w:asciiTheme="majorEastAsia" w:eastAsiaTheme="majorEastAsia" w:hAnsiTheme="majorEastAsia"/>
            <w:noProof/>
            <w:webHidden/>
          </w:rPr>
          <w:tab/>
        </w:r>
        <w:r w:rsidRPr="00D74573">
          <w:rPr>
            <w:rFonts w:asciiTheme="majorEastAsia" w:eastAsiaTheme="majorEastAsia" w:hAnsiTheme="majorEastAsia"/>
            <w:noProof/>
            <w:webHidden/>
          </w:rPr>
          <w:fldChar w:fldCharType="begin"/>
        </w:r>
        <w:r w:rsidRPr="00D74573">
          <w:rPr>
            <w:rFonts w:asciiTheme="majorEastAsia" w:eastAsiaTheme="majorEastAsia" w:hAnsiTheme="majorEastAsia"/>
            <w:noProof/>
            <w:webHidden/>
          </w:rPr>
          <w:instrText xml:space="preserve"> PAGEREF _Toc242870284 \h </w:instrText>
        </w:r>
        <w:r w:rsidRPr="00D74573">
          <w:rPr>
            <w:rFonts w:asciiTheme="majorEastAsia" w:eastAsiaTheme="majorEastAsia" w:hAnsiTheme="majorEastAsia"/>
            <w:noProof/>
            <w:webHidden/>
          </w:rPr>
        </w:r>
        <w:r w:rsidRPr="00D74573">
          <w:rPr>
            <w:rFonts w:asciiTheme="majorEastAsia" w:eastAsiaTheme="majorEastAsia" w:hAnsiTheme="majorEastAsia"/>
            <w:noProof/>
            <w:webHidden/>
          </w:rPr>
          <w:fldChar w:fldCharType="separate"/>
        </w:r>
        <w:r w:rsidR="00385E62">
          <w:rPr>
            <w:rFonts w:asciiTheme="majorEastAsia" w:eastAsiaTheme="majorEastAsia" w:hAnsiTheme="majorEastAsia"/>
            <w:noProof/>
            <w:webHidden/>
          </w:rPr>
          <w:t>- 166 -</w:t>
        </w:r>
        <w:r w:rsidRPr="00D74573">
          <w:rPr>
            <w:rFonts w:asciiTheme="majorEastAsia" w:eastAsiaTheme="majorEastAsia" w:hAnsiTheme="majorEastAsia"/>
            <w:noProof/>
            <w:webHidden/>
          </w:rPr>
          <w:fldChar w:fldCharType="end"/>
        </w:r>
      </w:hyperlink>
    </w:p>
    <w:p w14:paraId="35C1AB6A" w14:textId="562887D8" w:rsidR="00990020" w:rsidRPr="00D74573" w:rsidRDefault="00990020">
      <w:pPr>
        <w:pStyle w:val="34"/>
        <w:tabs>
          <w:tab w:val="right" w:leader="dot" w:pos="8834"/>
        </w:tabs>
        <w:ind w:left="422"/>
        <w:rPr>
          <w:rFonts w:asciiTheme="majorEastAsia" w:eastAsiaTheme="majorEastAsia" w:hAnsiTheme="majorEastAsia" w:cstheme="minorBidi"/>
          <w:noProof/>
          <w14:ligatures w14:val="standardContextual"/>
        </w:rPr>
      </w:pPr>
      <w:hyperlink w:anchor="_Toc242870285" w:history="1">
        <w:r w:rsidRPr="00D74573">
          <w:rPr>
            <w:rStyle w:val="ac"/>
            <w:rFonts w:asciiTheme="majorEastAsia" w:eastAsiaTheme="majorEastAsia" w:hAnsiTheme="majorEastAsia"/>
            <w:noProof/>
          </w:rPr>
          <w:t>第１　保健医療活動に関する府の組織体制</w:t>
        </w:r>
        <w:r w:rsidRPr="00D74573">
          <w:rPr>
            <w:rStyle w:val="ac"/>
            <w:rFonts w:asciiTheme="majorEastAsia" w:eastAsiaTheme="majorEastAsia" w:hAnsiTheme="majorEastAsia"/>
            <w:noProof/>
            <w:shd w:val="pct15" w:color="auto" w:fill="FFFFFF"/>
          </w:rPr>
          <w:t>【第１フェーズ～】</w:t>
        </w:r>
        <w:r w:rsidRPr="00D74573">
          <w:rPr>
            <w:rFonts w:asciiTheme="majorEastAsia" w:eastAsiaTheme="majorEastAsia" w:hAnsiTheme="majorEastAsia"/>
            <w:noProof/>
            <w:webHidden/>
          </w:rPr>
          <w:tab/>
        </w:r>
        <w:r w:rsidRPr="00D74573">
          <w:rPr>
            <w:rFonts w:asciiTheme="majorEastAsia" w:eastAsiaTheme="majorEastAsia" w:hAnsiTheme="majorEastAsia"/>
            <w:noProof/>
            <w:webHidden/>
          </w:rPr>
          <w:fldChar w:fldCharType="begin"/>
        </w:r>
        <w:r w:rsidRPr="00D74573">
          <w:rPr>
            <w:rFonts w:asciiTheme="majorEastAsia" w:eastAsiaTheme="majorEastAsia" w:hAnsiTheme="majorEastAsia"/>
            <w:noProof/>
            <w:webHidden/>
          </w:rPr>
          <w:instrText xml:space="preserve"> PAGEREF _Toc242870285 \h </w:instrText>
        </w:r>
        <w:r w:rsidRPr="00D74573">
          <w:rPr>
            <w:rFonts w:asciiTheme="majorEastAsia" w:eastAsiaTheme="majorEastAsia" w:hAnsiTheme="majorEastAsia"/>
            <w:noProof/>
            <w:webHidden/>
          </w:rPr>
        </w:r>
        <w:r w:rsidRPr="00D74573">
          <w:rPr>
            <w:rFonts w:asciiTheme="majorEastAsia" w:eastAsiaTheme="majorEastAsia" w:hAnsiTheme="majorEastAsia"/>
            <w:noProof/>
            <w:webHidden/>
          </w:rPr>
          <w:fldChar w:fldCharType="separate"/>
        </w:r>
        <w:r w:rsidR="00385E62">
          <w:rPr>
            <w:rFonts w:asciiTheme="majorEastAsia" w:eastAsiaTheme="majorEastAsia" w:hAnsiTheme="majorEastAsia"/>
            <w:noProof/>
            <w:webHidden/>
          </w:rPr>
          <w:t>- 167 -</w:t>
        </w:r>
        <w:r w:rsidRPr="00D74573">
          <w:rPr>
            <w:rFonts w:asciiTheme="majorEastAsia" w:eastAsiaTheme="majorEastAsia" w:hAnsiTheme="majorEastAsia"/>
            <w:noProof/>
            <w:webHidden/>
          </w:rPr>
          <w:fldChar w:fldCharType="end"/>
        </w:r>
      </w:hyperlink>
    </w:p>
    <w:p w14:paraId="61D9C577" w14:textId="7D63E792" w:rsidR="00990020" w:rsidRPr="00D74573" w:rsidRDefault="00990020">
      <w:pPr>
        <w:pStyle w:val="34"/>
        <w:tabs>
          <w:tab w:val="right" w:leader="dot" w:pos="8834"/>
        </w:tabs>
        <w:ind w:left="422"/>
        <w:rPr>
          <w:rFonts w:asciiTheme="majorEastAsia" w:eastAsiaTheme="majorEastAsia" w:hAnsiTheme="majorEastAsia" w:cstheme="minorBidi"/>
          <w:noProof/>
          <w14:ligatures w14:val="standardContextual"/>
        </w:rPr>
      </w:pPr>
      <w:hyperlink w:anchor="_Toc242870286" w:history="1">
        <w:r w:rsidRPr="00D74573">
          <w:rPr>
            <w:rStyle w:val="ac"/>
            <w:rFonts w:asciiTheme="majorEastAsia" w:eastAsiaTheme="majorEastAsia" w:hAnsiTheme="majorEastAsia"/>
            <w:noProof/>
          </w:rPr>
          <w:t>第２　医療情報の収集・提供活動</w:t>
        </w:r>
        <w:r w:rsidRPr="00D74573">
          <w:rPr>
            <w:rStyle w:val="ac"/>
            <w:rFonts w:asciiTheme="majorEastAsia" w:eastAsiaTheme="majorEastAsia" w:hAnsiTheme="majorEastAsia"/>
            <w:noProof/>
            <w:shd w:val="pct15" w:color="auto" w:fill="FFFFFF"/>
          </w:rPr>
          <w:t>【第１フェーズ～】</w:t>
        </w:r>
        <w:r w:rsidRPr="00D74573">
          <w:rPr>
            <w:rFonts w:asciiTheme="majorEastAsia" w:eastAsiaTheme="majorEastAsia" w:hAnsiTheme="majorEastAsia"/>
            <w:noProof/>
            <w:webHidden/>
          </w:rPr>
          <w:tab/>
        </w:r>
        <w:r w:rsidRPr="00D74573">
          <w:rPr>
            <w:rFonts w:asciiTheme="majorEastAsia" w:eastAsiaTheme="majorEastAsia" w:hAnsiTheme="majorEastAsia"/>
            <w:noProof/>
            <w:webHidden/>
          </w:rPr>
          <w:fldChar w:fldCharType="begin"/>
        </w:r>
        <w:r w:rsidRPr="00D74573">
          <w:rPr>
            <w:rFonts w:asciiTheme="majorEastAsia" w:eastAsiaTheme="majorEastAsia" w:hAnsiTheme="majorEastAsia"/>
            <w:noProof/>
            <w:webHidden/>
          </w:rPr>
          <w:instrText xml:space="preserve"> PAGEREF _Toc242870286 \h </w:instrText>
        </w:r>
        <w:r w:rsidRPr="00D74573">
          <w:rPr>
            <w:rFonts w:asciiTheme="majorEastAsia" w:eastAsiaTheme="majorEastAsia" w:hAnsiTheme="majorEastAsia"/>
            <w:noProof/>
            <w:webHidden/>
          </w:rPr>
        </w:r>
        <w:r w:rsidRPr="00D74573">
          <w:rPr>
            <w:rFonts w:asciiTheme="majorEastAsia" w:eastAsiaTheme="majorEastAsia" w:hAnsiTheme="majorEastAsia"/>
            <w:noProof/>
            <w:webHidden/>
          </w:rPr>
          <w:fldChar w:fldCharType="separate"/>
        </w:r>
        <w:r w:rsidR="00385E62">
          <w:rPr>
            <w:rFonts w:asciiTheme="majorEastAsia" w:eastAsiaTheme="majorEastAsia" w:hAnsiTheme="majorEastAsia"/>
            <w:noProof/>
            <w:webHidden/>
          </w:rPr>
          <w:t>- 167 -</w:t>
        </w:r>
        <w:r w:rsidRPr="00D74573">
          <w:rPr>
            <w:rFonts w:asciiTheme="majorEastAsia" w:eastAsiaTheme="majorEastAsia" w:hAnsiTheme="majorEastAsia"/>
            <w:noProof/>
            <w:webHidden/>
          </w:rPr>
          <w:fldChar w:fldCharType="end"/>
        </w:r>
      </w:hyperlink>
    </w:p>
    <w:p w14:paraId="7A795CC4" w14:textId="3370A945" w:rsidR="00990020" w:rsidRPr="00D74573" w:rsidRDefault="00990020">
      <w:pPr>
        <w:pStyle w:val="34"/>
        <w:tabs>
          <w:tab w:val="right" w:leader="dot" w:pos="8834"/>
        </w:tabs>
        <w:ind w:left="422"/>
        <w:rPr>
          <w:rFonts w:asciiTheme="majorEastAsia" w:eastAsiaTheme="majorEastAsia" w:hAnsiTheme="majorEastAsia" w:cstheme="minorBidi"/>
          <w:noProof/>
          <w14:ligatures w14:val="standardContextual"/>
        </w:rPr>
      </w:pPr>
      <w:hyperlink w:anchor="_Toc242870287" w:history="1">
        <w:r w:rsidRPr="00D74573">
          <w:rPr>
            <w:rStyle w:val="ac"/>
            <w:rFonts w:asciiTheme="majorEastAsia" w:eastAsiaTheme="majorEastAsia" w:hAnsiTheme="majorEastAsia"/>
            <w:noProof/>
          </w:rPr>
          <w:t>第３　現地医療対策</w:t>
        </w:r>
        <w:r w:rsidRPr="00D74573">
          <w:rPr>
            <w:rFonts w:asciiTheme="majorEastAsia" w:eastAsiaTheme="majorEastAsia" w:hAnsiTheme="majorEastAsia"/>
            <w:noProof/>
            <w:webHidden/>
          </w:rPr>
          <w:tab/>
        </w:r>
        <w:r w:rsidRPr="00D74573">
          <w:rPr>
            <w:rFonts w:asciiTheme="majorEastAsia" w:eastAsiaTheme="majorEastAsia" w:hAnsiTheme="majorEastAsia"/>
            <w:noProof/>
            <w:webHidden/>
          </w:rPr>
          <w:fldChar w:fldCharType="begin"/>
        </w:r>
        <w:r w:rsidRPr="00D74573">
          <w:rPr>
            <w:rFonts w:asciiTheme="majorEastAsia" w:eastAsiaTheme="majorEastAsia" w:hAnsiTheme="majorEastAsia"/>
            <w:noProof/>
            <w:webHidden/>
          </w:rPr>
          <w:instrText xml:space="preserve"> PAGEREF _Toc242870287 \h </w:instrText>
        </w:r>
        <w:r w:rsidRPr="00D74573">
          <w:rPr>
            <w:rFonts w:asciiTheme="majorEastAsia" w:eastAsiaTheme="majorEastAsia" w:hAnsiTheme="majorEastAsia"/>
            <w:noProof/>
            <w:webHidden/>
          </w:rPr>
        </w:r>
        <w:r w:rsidRPr="00D74573">
          <w:rPr>
            <w:rFonts w:asciiTheme="majorEastAsia" w:eastAsiaTheme="majorEastAsia" w:hAnsiTheme="majorEastAsia"/>
            <w:noProof/>
            <w:webHidden/>
          </w:rPr>
          <w:fldChar w:fldCharType="separate"/>
        </w:r>
        <w:r w:rsidR="00385E62">
          <w:rPr>
            <w:rFonts w:asciiTheme="majorEastAsia" w:eastAsiaTheme="majorEastAsia" w:hAnsiTheme="majorEastAsia"/>
            <w:noProof/>
            <w:webHidden/>
          </w:rPr>
          <w:t>- 168 -</w:t>
        </w:r>
        <w:r w:rsidRPr="00D74573">
          <w:rPr>
            <w:rFonts w:asciiTheme="majorEastAsia" w:eastAsiaTheme="majorEastAsia" w:hAnsiTheme="majorEastAsia"/>
            <w:noProof/>
            <w:webHidden/>
          </w:rPr>
          <w:fldChar w:fldCharType="end"/>
        </w:r>
      </w:hyperlink>
    </w:p>
    <w:p w14:paraId="1CE8B2AE" w14:textId="094C4A19" w:rsidR="00990020" w:rsidRPr="00D74573" w:rsidRDefault="00990020">
      <w:pPr>
        <w:pStyle w:val="34"/>
        <w:tabs>
          <w:tab w:val="right" w:leader="dot" w:pos="8834"/>
        </w:tabs>
        <w:ind w:left="422"/>
        <w:rPr>
          <w:rFonts w:asciiTheme="majorEastAsia" w:eastAsiaTheme="majorEastAsia" w:hAnsiTheme="majorEastAsia" w:cstheme="minorBidi"/>
          <w:noProof/>
          <w14:ligatures w14:val="standardContextual"/>
        </w:rPr>
      </w:pPr>
      <w:hyperlink w:anchor="_Toc242870288" w:history="1">
        <w:r w:rsidRPr="00D74573">
          <w:rPr>
            <w:rStyle w:val="ac"/>
            <w:rFonts w:asciiTheme="majorEastAsia" w:eastAsiaTheme="majorEastAsia" w:hAnsiTheme="majorEastAsia"/>
            <w:noProof/>
          </w:rPr>
          <w:t>第４　後方医療対策</w:t>
        </w:r>
        <w:r w:rsidRPr="00D74573">
          <w:rPr>
            <w:rFonts w:asciiTheme="majorEastAsia" w:eastAsiaTheme="majorEastAsia" w:hAnsiTheme="majorEastAsia"/>
            <w:noProof/>
            <w:webHidden/>
          </w:rPr>
          <w:tab/>
        </w:r>
        <w:r w:rsidRPr="00D74573">
          <w:rPr>
            <w:rFonts w:asciiTheme="majorEastAsia" w:eastAsiaTheme="majorEastAsia" w:hAnsiTheme="majorEastAsia"/>
            <w:noProof/>
            <w:webHidden/>
          </w:rPr>
          <w:fldChar w:fldCharType="begin"/>
        </w:r>
        <w:r w:rsidRPr="00D74573">
          <w:rPr>
            <w:rFonts w:asciiTheme="majorEastAsia" w:eastAsiaTheme="majorEastAsia" w:hAnsiTheme="majorEastAsia"/>
            <w:noProof/>
            <w:webHidden/>
          </w:rPr>
          <w:instrText xml:space="preserve"> PAGEREF _Toc242870288 \h </w:instrText>
        </w:r>
        <w:r w:rsidRPr="00D74573">
          <w:rPr>
            <w:rFonts w:asciiTheme="majorEastAsia" w:eastAsiaTheme="majorEastAsia" w:hAnsiTheme="majorEastAsia"/>
            <w:noProof/>
            <w:webHidden/>
          </w:rPr>
        </w:r>
        <w:r w:rsidRPr="00D74573">
          <w:rPr>
            <w:rFonts w:asciiTheme="majorEastAsia" w:eastAsiaTheme="majorEastAsia" w:hAnsiTheme="majorEastAsia"/>
            <w:noProof/>
            <w:webHidden/>
          </w:rPr>
          <w:fldChar w:fldCharType="separate"/>
        </w:r>
        <w:r w:rsidR="00385E62">
          <w:rPr>
            <w:rFonts w:asciiTheme="majorEastAsia" w:eastAsiaTheme="majorEastAsia" w:hAnsiTheme="majorEastAsia"/>
            <w:noProof/>
            <w:webHidden/>
          </w:rPr>
          <w:t>- 168 -</w:t>
        </w:r>
        <w:r w:rsidRPr="00D74573">
          <w:rPr>
            <w:rFonts w:asciiTheme="majorEastAsia" w:eastAsiaTheme="majorEastAsia" w:hAnsiTheme="majorEastAsia"/>
            <w:noProof/>
            <w:webHidden/>
          </w:rPr>
          <w:fldChar w:fldCharType="end"/>
        </w:r>
      </w:hyperlink>
    </w:p>
    <w:p w14:paraId="261B9135" w14:textId="35E90B1F" w:rsidR="00990020" w:rsidRPr="00D74573" w:rsidRDefault="00990020">
      <w:pPr>
        <w:pStyle w:val="34"/>
        <w:tabs>
          <w:tab w:val="right" w:leader="dot" w:pos="8834"/>
        </w:tabs>
        <w:ind w:left="422"/>
        <w:rPr>
          <w:rFonts w:asciiTheme="majorEastAsia" w:eastAsiaTheme="majorEastAsia" w:hAnsiTheme="majorEastAsia" w:cstheme="minorBidi"/>
          <w:noProof/>
          <w14:ligatures w14:val="standardContextual"/>
        </w:rPr>
      </w:pPr>
      <w:hyperlink w:anchor="_Toc242870289" w:history="1">
        <w:r w:rsidRPr="00D74573">
          <w:rPr>
            <w:rStyle w:val="ac"/>
            <w:rFonts w:asciiTheme="majorEastAsia" w:eastAsiaTheme="majorEastAsia" w:hAnsiTheme="majorEastAsia"/>
            <w:noProof/>
          </w:rPr>
          <w:t>第５　医薬品等の確保・供給活動</w:t>
        </w:r>
        <w:r w:rsidRPr="00D74573">
          <w:rPr>
            <w:rStyle w:val="ac"/>
            <w:rFonts w:asciiTheme="majorEastAsia" w:eastAsiaTheme="majorEastAsia" w:hAnsiTheme="majorEastAsia"/>
            <w:noProof/>
            <w:shd w:val="pct15" w:color="auto" w:fill="FFFFFF"/>
          </w:rPr>
          <w:t>【第２フェーズ～】</w:t>
        </w:r>
        <w:r w:rsidRPr="00D74573">
          <w:rPr>
            <w:rFonts w:asciiTheme="majorEastAsia" w:eastAsiaTheme="majorEastAsia" w:hAnsiTheme="majorEastAsia"/>
            <w:noProof/>
            <w:webHidden/>
          </w:rPr>
          <w:tab/>
        </w:r>
        <w:r w:rsidRPr="00D74573">
          <w:rPr>
            <w:rFonts w:asciiTheme="majorEastAsia" w:eastAsiaTheme="majorEastAsia" w:hAnsiTheme="majorEastAsia"/>
            <w:noProof/>
            <w:webHidden/>
          </w:rPr>
          <w:fldChar w:fldCharType="begin"/>
        </w:r>
        <w:r w:rsidRPr="00D74573">
          <w:rPr>
            <w:rFonts w:asciiTheme="majorEastAsia" w:eastAsiaTheme="majorEastAsia" w:hAnsiTheme="majorEastAsia"/>
            <w:noProof/>
            <w:webHidden/>
          </w:rPr>
          <w:instrText xml:space="preserve"> PAGEREF _Toc242870289 \h </w:instrText>
        </w:r>
        <w:r w:rsidRPr="00D74573">
          <w:rPr>
            <w:rFonts w:asciiTheme="majorEastAsia" w:eastAsiaTheme="majorEastAsia" w:hAnsiTheme="majorEastAsia"/>
            <w:noProof/>
            <w:webHidden/>
          </w:rPr>
        </w:r>
        <w:r w:rsidRPr="00D74573">
          <w:rPr>
            <w:rFonts w:asciiTheme="majorEastAsia" w:eastAsiaTheme="majorEastAsia" w:hAnsiTheme="majorEastAsia"/>
            <w:noProof/>
            <w:webHidden/>
          </w:rPr>
          <w:fldChar w:fldCharType="separate"/>
        </w:r>
        <w:r w:rsidR="00385E62">
          <w:rPr>
            <w:rFonts w:asciiTheme="majorEastAsia" w:eastAsiaTheme="majorEastAsia" w:hAnsiTheme="majorEastAsia"/>
            <w:noProof/>
            <w:webHidden/>
          </w:rPr>
          <w:t>- 169 -</w:t>
        </w:r>
        <w:r w:rsidRPr="00D74573">
          <w:rPr>
            <w:rFonts w:asciiTheme="majorEastAsia" w:eastAsiaTheme="majorEastAsia" w:hAnsiTheme="majorEastAsia"/>
            <w:noProof/>
            <w:webHidden/>
          </w:rPr>
          <w:fldChar w:fldCharType="end"/>
        </w:r>
      </w:hyperlink>
    </w:p>
    <w:p w14:paraId="0A9E697C" w14:textId="20A06EA3" w:rsidR="00990020" w:rsidRPr="00D74573" w:rsidRDefault="00990020">
      <w:pPr>
        <w:pStyle w:val="34"/>
        <w:tabs>
          <w:tab w:val="right" w:leader="dot" w:pos="8834"/>
        </w:tabs>
        <w:ind w:left="422"/>
        <w:rPr>
          <w:rFonts w:asciiTheme="majorEastAsia" w:eastAsiaTheme="majorEastAsia" w:hAnsiTheme="majorEastAsia" w:cstheme="minorBidi"/>
          <w:noProof/>
          <w14:ligatures w14:val="standardContextual"/>
        </w:rPr>
      </w:pPr>
      <w:hyperlink w:anchor="_Toc242870290" w:history="1">
        <w:r w:rsidRPr="00D74573">
          <w:rPr>
            <w:rStyle w:val="ac"/>
            <w:rFonts w:asciiTheme="majorEastAsia" w:eastAsiaTheme="majorEastAsia" w:hAnsiTheme="majorEastAsia"/>
            <w:noProof/>
          </w:rPr>
          <w:t>第６　個別疾病対策</w:t>
        </w:r>
        <w:r w:rsidRPr="00D74573">
          <w:rPr>
            <w:rStyle w:val="ac"/>
            <w:rFonts w:asciiTheme="majorEastAsia" w:eastAsiaTheme="majorEastAsia" w:hAnsiTheme="majorEastAsia"/>
            <w:noProof/>
            <w:shd w:val="pct15" w:color="auto" w:fill="FFFFFF"/>
          </w:rPr>
          <w:t>【第３フェーズ～】</w:t>
        </w:r>
        <w:r w:rsidRPr="00D74573">
          <w:rPr>
            <w:rFonts w:asciiTheme="majorEastAsia" w:eastAsiaTheme="majorEastAsia" w:hAnsiTheme="majorEastAsia"/>
            <w:noProof/>
            <w:webHidden/>
          </w:rPr>
          <w:tab/>
        </w:r>
        <w:r w:rsidRPr="00D74573">
          <w:rPr>
            <w:rFonts w:asciiTheme="majorEastAsia" w:eastAsiaTheme="majorEastAsia" w:hAnsiTheme="majorEastAsia"/>
            <w:noProof/>
            <w:webHidden/>
          </w:rPr>
          <w:fldChar w:fldCharType="begin"/>
        </w:r>
        <w:r w:rsidRPr="00D74573">
          <w:rPr>
            <w:rFonts w:asciiTheme="majorEastAsia" w:eastAsiaTheme="majorEastAsia" w:hAnsiTheme="majorEastAsia"/>
            <w:noProof/>
            <w:webHidden/>
          </w:rPr>
          <w:instrText xml:space="preserve"> PAGEREF _Toc242870290 \h </w:instrText>
        </w:r>
        <w:r w:rsidRPr="00D74573">
          <w:rPr>
            <w:rFonts w:asciiTheme="majorEastAsia" w:eastAsiaTheme="majorEastAsia" w:hAnsiTheme="majorEastAsia"/>
            <w:noProof/>
            <w:webHidden/>
          </w:rPr>
        </w:r>
        <w:r w:rsidRPr="00D74573">
          <w:rPr>
            <w:rFonts w:asciiTheme="majorEastAsia" w:eastAsiaTheme="majorEastAsia" w:hAnsiTheme="majorEastAsia"/>
            <w:noProof/>
            <w:webHidden/>
          </w:rPr>
          <w:fldChar w:fldCharType="separate"/>
        </w:r>
        <w:r w:rsidR="00385E62">
          <w:rPr>
            <w:rFonts w:asciiTheme="majorEastAsia" w:eastAsiaTheme="majorEastAsia" w:hAnsiTheme="majorEastAsia"/>
            <w:noProof/>
            <w:webHidden/>
          </w:rPr>
          <w:t>- 169 -</w:t>
        </w:r>
        <w:r w:rsidRPr="00D74573">
          <w:rPr>
            <w:rFonts w:asciiTheme="majorEastAsia" w:eastAsiaTheme="majorEastAsia" w:hAnsiTheme="majorEastAsia"/>
            <w:noProof/>
            <w:webHidden/>
          </w:rPr>
          <w:fldChar w:fldCharType="end"/>
        </w:r>
      </w:hyperlink>
    </w:p>
    <w:p w14:paraId="7A417B9B" w14:textId="1B5118D2" w:rsidR="00990020" w:rsidRPr="00D74573" w:rsidRDefault="00990020">
      <w:pPr>
        <w:pStyle w:val="24"/>
        <w:tabs>
          <w:tab w:val="right" w:leader="dot" w:pos="8834"/>
        </w:tabs>
        <w:ind w:left="211"/>
        <w:rPr>
          <w:rFonts w:asciiTheme="majorEastAsia" w:eastAsiaTheme="majorEastAsia" w:hAnsiTheme="majorEastAsia" w:cstheme="minorBidi"/>
          <w:noProof/>
          <w14:ligatures w14:val="standardContextual"/>
        </w:rPr>
      </w:pPr>
      <w:hyperlink w:anchor="_Toc242870291" w:history="1">
        <w:r w:rsidRPr="00D74573">
          <w:rPr>
            <w:rStyle w:val="ac"/>
            <w:rFonts w:asciiTheme="majorEastAsia" w:eastAsiaTheme="majorEastAsia" w:hAnsiTheme="majorEastAsia"/>
            <w:noProof/>
          </w:rPr>
          <w:t>第３節　福祉支援活動</w:t>
        </w:r>
        <w:r w:rsidRPr="00D74573">
          <w:rPr>
            <w:rFonts w:asciiTheme="majorEastAsia" w:eastAsiaTheme="majorEastAsia" w:hAnsiTheme="majorEastAsia"/>
            <w:noProof/>
            <w:webHidden/>
          </w:rPr>
          <w:tab/>
        </w:r>
        <w:r w:rsidRPr="00D74573">
          <w:rPr>
            <w:rFonts w:asciiTheme="majorEastAsia" w:eastAsiaTheme="majorEastAsia" w:hAnsiTheme="majorEastAsia"/>
            <w:noProof/>
            <w:webHidden/>
          </w:rPr>
          <w:fldChar w:fldCharType="begin"/>
        </w:r>
        <w:r w:rsidRPr="00D74573">
          <w:rPr>
            <w:rFonts w:asciiTheme="majorEastAsia" w:eastAsiaTheme="majorEastAsia" w:hAnsiTheme="majorEastAsia"/>
            <w:noProof/>
            <w:webHidden/>
          </w:rPr>
          <w:instrText xml:space="preserve"> PAGEREF _Toc242870291 \h </w:instrText>
        </w:r>
        <w:r w:rsidRPr="00D74573">
          <w:rPr>
            <w:rFonts w:asciiTheme="majorEastAsia" w:eastAsiaTheme="majorEastAsia" w:hAnsiTheme="majorEastAsia"/>
            <w:noProof/>
            <w:webHidden/>
          </w:rPr>
        </w:r>
        <w:r w:rsidRPr="00D74573">
          <w:rPr>
            <w:rFonts w:asciiTheme="majorEastAsia" w:eastAsiaTheme="majorEastAsia" w:hAnsiTheme="majorEastAsia"/>
            <w:noProof/>
            <w:webHidden/>
          </w:rPr>
          <w:fldChar w:fldCharType="separate"/>
        </w:r>
        <w:r w:rsidR="00385E62">
          <w:rPr>
            <w:rFonts w:asciiTheme="majorEastAsia" w:eastAsiaTheme="majorEastAsia" w:hAnsiTheme="majorEastAsia"/>
            <w:noProof/>
            <w:webHidden/>
          </w:rPr>
          <w:t>- 170 -</w:t>
        </w:r>
        <w:r w:rsidRPr="00D74573">
          <w:rPr>
            <w:rFonts w:asciiTheme="majorEastAsia" w:eastAsiaTheme="majorEastAsia" w:hAnsiTheme="majorEastAsia"/>
            <w:noProof/>
            <w:webHidden/>
          </w:rPr>
          <w:fldChar w:fldCharType="end"/>
        </w:r>
      </w:hyperlink>
    </w:p>
    <w:p w14:paraId="3D2FE70A" w14:textId="44011099" w:rsidR="00990020" w:rsidRPr="00D74573" w:rsidRDefault="00990020">
      <w:pPr>
        <w:pStyle w:val="34"/>
        <w:tabs>
          <w:tab w:val="right" w:leader="dot" w:pos="8834"/>
        </w:tabs>
        <w:ind w:left="422"/>
        <w:rPr>
          <w:rFonts w:asciiTheme="majorEastAsia" w:eastAsiaTheme="majorEastAsia" w:hAnsiTheme="majorEastAsia" w:cstheme="minorBidi"/>
          <w:noProof/>
          <w14:ligatures w14:val="standardContextual"/>
        </w:rPr>
      </w:pPr>
      <w:hyperlink w:anchor="_Toc242870292" w:history="1">
        <w:r w:rsidRPr="00D74573">
          <w:rPr>
            <w:rStyle w:val="ac"/>
            <w:rFonts w:asciiTheme="majorEastAsia" w:eastAsiaTheme="majorEastAsia" w:hAnsiTheme="majorEastAsia"/>
            <w:noProof/>
          </w:rPr>
          <w:t>第１　福祉活動に関する府の組織体制</w:t>
        </w:r>
        <w:r w:rsidRPr="00D74573">
          <w:rPr>
            <w:rFonts w:asciiTheme="majorEastAsia" w:eastAsiaTheme="majorEastAsia" w:hAnsiTheme="majorEastAsia"/>
            <w:noProof/>
            <w:webHidden/>
          </w:rPr>
          <w:tab/>
        </w:r>
        <w:r w:rsidRPr="00D74573">
          <w:rPr>
            <w:rFonts w:asciiTheme="majorEastAsia" w:eastAsiaTheme="majorEastAsia" w:hAnsiTheme="majorEastAsia"/>
            <w:noProof/>
            <w:webHidden/>
          </w:rPr>
          <w:fldChar w:fldCharType="begin"/>
        </w:r>
        <w:r w:rsidRPr="00D74573">
          <w:rPr>
            <w:rFonts w:asciiTheme="majorEastAsia" w:eastAsiaTheme="majorEastAsia" w:hAnsiTheme="majorEastAsia"/>
            <w:noProof/>
            <w:webHidden/>
          </w:rPr>
          <w:instrText xml:space="preserve"> PAGEREF _Toc242870292 \h </w:instrText>
        </w:r>
        <w:r w:rsidRPr="00D74573">
          <w:rPr>
            <w:rFonts w:asciiTheme="majorEastAsia" w:eastAsiaTheme="majorEastAsia" w:hAnsiTheme="majorEastAsia"/>
            <w:noProof/>
            <w:webHidden/>
          </w:rPr>
        </w:r>
        <w:r w:rsidRPr="00D74573">
          <w:rPr>
            <w:rFonts w:asciiTheme="majorEastAsia" w:eastAsiaTheme="majorEastAsia" w:hAnsiTheme="majorEastAsia"/>
            <w:noProof/>
            <w:webHidden/>
          </w:rPr>
          <w:fldChar w:fldCharType="separate"/>
        </w:r>
        <w:r w:rsidR="00385E62">
          <w:rPr>
            <w:rFonts w:asciiTheme="majorEastAsia" w:eastAsiaTheme="majorEastAsia" w:hAnsiTheme="majorEastAsia"/>
            <w:noProof/>
            <w:webHidden/>
          </w:rPr>
          <w:t>- 170 -</w:t>
        </w:r>
        <w:r w:rsidRPr="00D74573">
          <w:rPr>
            <w:rFonts w:asciiTheme="majorEastAsia" w:eastAsiaTheme="majorEastAsia" w:hAnsiTheme="majorEastAsia"/>
            <w:noProof/>
            <w:webHidden/>
          </w:rPr>
          <w:fldChar w:fldCharType="end"/>
        </w:r>
      </w:hyperlink>
    </w:p>
    <w:p w14:paraId="71BF3CAD" w14:textId="624C32ED" w:rsidR="00990020" w:rsidRPr="00D74573" w:rsidRDefault="00990020">
      <w:pPr>
        <w:pStyle w:val="34"/>
        <w:tabs>
          <w:tab w:val="right" w:leader="dot" w:pos="8834"/>
        </w:tabs>
        <w:ind w:left="422"/>
        <w:rPr>
          <w:rFonts w:asciiTheme="majorEastAsia" w:eastAsiaTheme="majorEastAsia" w:hAnsiTheme="majorEastAsia" w:cstheme="minorBidi"/>
          <w:noProof/>
          <w14:ligatures w14:val="standardContextual"/>
        </w:rPr>
      </w:pPr>
      <w:hyperlink w:anchor="_Toc242870293" w:history="1">
        <w:r w:rsidRPr="00D74573">
          <w:rPr>
            <w:rStyle w:val="ac"/>
            <w:rFonts w:asciiTheme="majorEastAsia" w:eastAsiaTheme="majorEastAsia" w:hAnsiTheme="majorEastAsia"/>
            <w:noProof/>
          </w:rPr>
          <w:t>第２　社会福祉施設など</w:t>
        </w:r>
        <w:r w:rsidRPr="00D74573">
          <w:rPr>
            <w:rStyle w:val="ac"/>
            <w:rFonts w:asciiTheme="majorEastAsia" w:eastAsiaTheme="majorEastAsia" w:hAnsiTheme="majorEastAsia"/>
            <w:noProof/>
            <w:kern w:val="0"/>
          </w:rPr>
          <w:t>の被害状況の把握等</w:t>
        </w:r>
        <w:r w:rsidRPr="00D74573">
          <w:rPr>
            <w:rStyle w:val="ac"/>
            <w:rFonts w:asciiTheme="majorEastAsia" w:eastAsiaTheme="majorEastAsia" w:hAnsiTheme="majorEastAsia"/>
            <w:noProof/>
            <w:shd w:val="pct15" w:color="auto" w:fill="FFFFFF"/>
          </w:rPr>
          <w:t>【第２フェーズ～】</w:t>
        </w:r>
        <w:r w:rsidRPr="00D74573">
          <w:rPr>
            <w:rFonts w:asciiTheme="majorEastAsia" w:eastAsiaTheme="majorEastAsia" w:hAnsiTheme="majorEastAsia"/>
            <w:noProof/>
            <w:webHidden/>
          </w:rPr>
          <w:tab/>
        </w:r>
        <w:r w:rsidRPr="00D74573">
          <w:rPr>
            <w:rFonts w:asciiTheme="majorEastAsia" w:eastAsiaTheme="majorEastAsia" w:hAnsiTheme="majorEastAsia"/>
            <w:noProof/>
            <w:webHidden/>
          </w:rPr>
          <w:fldChar w:fldCharType="begin"/>
        </w:r>
        <w:r w:rsidRPr="00D74573">
          <w:rPr>
            <w:rFonts w:asciiTheme="majorEastAsia" w:eastAsiaTheme="majorEastAsia" w:hAnsiTheme="majorEastAsia"/>
            <w:noProof/>
            <w:webHidden/>
          </w:rPr>
          <w:instrText xml:space="preserve"> PAGEREF _Toc242870293 \h </w:instrText>
        </w:r>
        <w:r w:rsidRPr="00D74573">
          <w:rPr>
            <w:rFonts w:asciiTheme="majorEastAsia" w:eastAsiaTheme="majorEastAsia" w:hAnsiTheme="majorEastAsia"/>
            <w:noProof/>
            <w:webHidden/>
          </w:rPr>
        </w:r>
        <w:r w:rsidRPr="00D74573">
          <w:rPr>
            <w:rFonts w:asciiTheme="majorEastAsia" w:eastAsiaTheme="majorEastAsia" w:hAnsiTheme="majorEastAsia"/>
            <w:noProof/>
            <w:webHidden/>
          </w:rPr>
          <w:fldChar w:fldCharType="separate"/>
        </w:r>
        <w:r w:rsidR="00385E62">
          <w:rPr>
            <w:rFonts w:asciiTheme="majorEastAsia" w:eastAsiaTheme="majorEastAsia" w:hAnsiTheme="majorEastAsia"/>
            <w:noProof/>
            <w:webHidden/>
          </w:rPr>
          <w:t>- 170 -</w:t>
        </w:r>
        <w:r w:rsidRPr="00D74573">
          <w:rPr>
            <w:rFonts w:asciiTheme="majorEastAsia" w:eastAsiaTheme="majorEastAsia" w:hAnsiTheme="majorEastAsia"/>
            <w:noProof/>
            <w:webHidden/>
          </w:rPr>
          <w:fldChar w:fldCharType="end"/>
        </w:r>
      </w:hyperlink>
    </w:p>
    <w:p w14:paraId="5087B514" w14:textId="66EECC9D" w:rsidR="00990020" w:rsidRPr="00D74573" w:rsidRDefault="00990020">
      <w:pPr>
        <w:pStyle w:val="34"/>
        <w:tabs>
          <w:tab w:val="right" w:leader="dot" w:pos="8834"/>
        </w:tabs>
        <w:ind w:left="422"/>
        <w:rPr>
          <w:rFonts w:asciiTheme="majorEastAsia" w:eastAsiaTheme="majorEastAsia" w:hAnsiTheme="majorEastAsia" w:cstheme="minorBidi"/>
          <w:noProof/>
          <w14:ligatures w14:val="standardContextual"/>
        </w:rPr>
      </w:pPr>
      <w:hyperlink w:anchor="_Toc242870294" w:history="1">
        <w:r w:rsidRPr="00D74573">
          <w:rPr>
            <w:rStyle w:val="ac"/>
            <w:rFonts w:asciiTheme="majorEastAsia" w:eastAsiaTheme="majorEastAsia" w:hAnsiTheme="majorEastAsia"/>
            <w:noProof/>
          </w:rPr>
          <w:t>第３　災害派遣福祉チーム（ＤＷＡＴ）の派遣</w:t>
        </w:r>
        <w:r w:rsidRPr="00D74573">
          <w:rPr>
            <w:rStyle w:val="ac"/>
            <w:rFonts w:asciiTheme="majorEastAsia" w:eastAsiaTheme="majorEastAsia" w:hAnsiTheme="majorEastAsia"/>
            <w:noProof/>
            <w:shd w:val="pct15" w:color="auto" w:fill="FFFFFF"/>
          </w:rPr>
          <w:t>【第３フェーズ～】</w:t>
        </w:r>
        <w:r w:rsidRPr="00D74573">
          <w:rPr>
            <w:rFonts w:asciiTheme="majorEastAsia" w:eastAsiaTheme="majorEastAsia" w:hAnsiTheme="majorEastAsia"/>
            <w:noProof/>
            <w:webHidden/>
          </w:rPr>
          <w:tab/>
        </w:r>
        <w:r w:rsidRPr="00D74573">
          <w:rPr>
            <w:rFonts w:asciiTheme="majorEastAsia" w:eastAsiaTheme="majorEastAsia" w:hAnsiTheme="majorEastAsia"/>
            <w:noProof/>
            <w:webHidden/>
          </w:rPr>
          <w:fldChar w:fldCharType="begin"/>
        </w:r>
        <w:r w:rsidRPr="00D74573">
          <w:rPr>
            <w:rFonts w:asciiTheme="majorEastAsia" w:eastAsiaTheme="majorEastAsia" w:hAnsiTheme="majorEastAsia"/>
            <w:noProof/>
            <w:webHidden/>
          </w:rPr>
          <w:instrText xml:space="preserve"> PAGEREF _Toc242870294 \h </w:instrText>
        </w:r>
        <w:r w:rsidRPr="00D74573">
          <w:rPr>
            <w:rFonts w:asciiTheme="majorEastAsia" w:eastAsiaTheme="majorEastAsia" w:hAnsiTheme="majorEastAsia"/>
            <w:noProof/>
            <w:webHidden/>
          </w:rPr>
        </w:r>
        <w:r w:rsidRPr="00D74573">
          <w:rPr>
            <w:rFonts w:asciiTheme="majorEastAsia" w:eastAsiaTheme="majorEastAsia" w:hAnsiTheme="majorEastAsia"/>
            <w:noProof/>
            <w:webHidden/>
          </w:rPr>
          <w:fldChar w:fldCharType="separate"/>
        </w:r>
        <w:r w:rsidR="00385E62">
          <w:rPr>
            <w:rFonts w:asciiTheme="majorEastAsia" w:eastAsiaTheme="majorEastAsia" w:hAnsiTheme="majorEastAsia"/>
            <w:noProof/>
            <w:webHidden/>
          </w:rPr>
          <w:t>- 171 -</w:t>
        </w:r>
        <w:r w:rsidRPr="00D74573">
          <w:rPr>
            <w:rFonts w:asciiTheme="majorEastAsia" w:eastAsiaTheme="majorEastAsia" w:hAnsiTheme="majorEastAsia"/>
            <w:noProof/>
            <w:webHidden/>
          </w:rPr>
          <w:fldChar w:fldCharType="end"/>
        </w:r>
      </w:hyperlink>
    </w:p>
    <w:p w14:paraId="013AA067" w14:textId="3556EEA5" w:rsidR="00990020" w:rsidRPr="00D74573" w:rsidRDefault="00990020">
      <w:pPr>
        <w:pStyle w:val="34"/>
        <w:tabs>
          <w:tab w:val="right" w:leader="dot" w:pos="8834"/>
        </w:tabs>
        <w:ind w:left="422"/>
        <w:rPr>
          <w:rFonts w:asciiTheme="majorEastAsia" w:eastAsiaTheme="majorEastAsia" w:hAnsiTheme="majorEastAsia" w:cstheme="minorBidi"/>
          <w:noProof/>
          <w14:ligatures w14:val="standardContextual"/>
        </w:rPr>
      </w:pPr>
      <w:hyperlink w:anchor="_Toc242870295" w:history="1">
        <w:r w:rsidRPr="00D74573">
          <w:rPr>
            <w:rStyle w:val="ac"/>
            <w:rFonts w:asciiTheme="majorEastAsia" w:eastAsiaTheme="majorEastAsia" w:hAnsiTheme="majorEastAsia"/>
            <w:noProof/>
          </w:rPr>
          <w:t>第４　介護職員等の応援派遣調整等</w:t>
        </w:r>
        <w:r w:rsidRPr="00D74573">
          <w:rPr>
            <w:rStyle w:val="ac"/>
            <w:rFonts w:asciiTheme="majorEastAsia" w:eastAsiaTheme="majorEastAsia" w:hAnsiTheme="majorEastAsia"/>
            <w:noProof/>
            <w:shd w:val="pct15" w:color="auto" w:fill="FFFFFF"/>
          </w:rPr>
          <w:t>【第４フェーズ～】</w:t>
        </w:r>
        <w:r w:rsidRPr="00D74573">
          <w:rPr>
            <w:rFonts w:asciiTheme="majorEastAsia" w:eastAsiaTheme="majorEastAsia" w:hAnsiTheme="majorEastAsia"/>
            <w:noProof/>
            <w:webHidden/>
          </w:rPr>
          <w:tab/>
        </w:r>
        <w:r w:rsidRPr="00D74573">
          <w:rPr>
            <w:rFonts w:asciiTheme="majorEastAsia" w:eastAsiaTheme="majorEastAsia" w:hAnsiTheme="majorEastAsia"/>
            <w:noProof/>
            <w:webHidden/>
          </w:rPr>
          <w:fldChar w:fldCharType="begin"/>
        </w:r>
        <w:r w:rsidRPr="00D74573">
          <w:rPr>
            <w:rFonts w:asciiTheme="majorEastAsia" w:eastAsiaTheme="majorEastAsia" w:hAnsiTheme="majorEastAsia"/>
            <w:noProof/>
            <w:webHidden/>
          </w:rPr>
          <w:instrText xml:space="preserve"> PAGEREF _Toc242870295 \h </w:instrText>
        </w:r>
        <w:r w:rsidRPr="00D74573">
          <w:rPr>
            <w:rFonts w:asciiTheme="majorEastAsia" w:eastAsiaTheme="majorEastAsia" w:hAnsiTheme="majorEastAsia"/>
            <w:noProof/>
            <w:webHidden/>
          </w:rPr>
        </w:r>
        <w:r w:rsidRPr="00D74573">
          <w:rPr>
            <w:rFonts w:asciiTheme="majorEastAsia" w:eastAsiaTheme="majorEastAsia" w:hAnsiTheme="majorEastAsia"/>
            <w:noProof/>
            <w:webHidden/>
          </w:rPr>
          <w:fldChar w:fldCharType="separate"/>
        </w:r>
        <w:r w:rsidR="00385E62">
          <w:rPr>
            <w:rFonts w:asciiTheme="majorEastAsia" w:eastAsiaTheme="majorEastAsia" w:hAnsiTheme="majorEastAsia"/>
            <w:noProof/>
            <w:webHidden/>
          </w:rPr>
          <w:t>- 171 -</w:t>
        </w:r>
        <w:r w:rsidRPr="00D74573">
          <w:rPr>
            <w:rFonts w:asciiTheme="majorEastAsia" w:eastAsiaTheme="majorEastAsia" w:hAnsiTheme="majorEastAsia"/>
            <w:noProof/>
            <w:webHidden/>
          </w:rPr>
          <w:fldChar w:fldCharType="end"/>
        </w:r>
      </w:hyperlink>
    </w:p>
    <w:p w14:paraId="4128449E" w14:textId="29AEB0F4" w:rsidR="00990020" w:rsidRPr="00D74573" w:rsidRDefault="00990020">
      <w:pPr>
        <w:pStyle w:val="34"/>
        <w:tabs>
          <w:tab w:val="right" w:leader="dot" w:pos="8834"/>
        </w:tabs>
        <w:ind w:left="422"/>
        <w:rPr>
          <w:rFonts w:asciiTheme="majorEastAsia" w:eastAsiaTheme="majorEastAsia" w:hAnsiTheme="majorEastAsia" w:cstheme="minorBidi"/>
          <w:noProof/>
          <w14:ligatures w14:val="standardContextual"/>
        </w:rPr>
      </w:pPr>
      <w:hyperlink w:anchor="_Toc242870296" w:history="1">
        <w:r w:rsidRPr="00D74573">
          <w:rPr>
            <w:rStyle w:val="ac"/>
            <w:rFonts w:asciiTheme="majorEastAsia" w:eastAsiaTheme="majorEastAsia" w:hAnsiTheme="majorEastAsia"/>
            <w:noProof/>
          </w:rPr>
          <w:t>第５　社会福祉施設入所者調整等</w:t>
        </w:r>
        <w:r w:rsidRPr="00D74573">
          <w:rPr>
            <w:rStyle w:val="ac"/>
            <w:rFonts w:asciiTheme="majorEastAsia" w:eastAsiaTheme="majorEastAsia" w:hAnsiTheme="majorEastAsia"/>
            <w:noProof/>
            <w:shd w:val="pct15" w:color="auto" w:fill="FFFFFF"/>
          </w:rPr>
          <w:t>【第５フェーズ～】</w:t>
        </w:r>
        <w:r w:rsidRPr="00D74573">
          <w:rPr>
            <w:rFonts w:asciiTheme="majorEastAsia" w:eastAsiaTheme="majorEastAsia" w:hAnsiTheme="majorEastAsia"/>
            <w:noProof/>
            <w:webHidden/>
          </w:rPr>
          <w:tab/>
        </w:r>
        <w:r w:rsidRPr="00D74573">
          <w:rPr>
            <w:rFonts w:asciiTheme="majorEastAsia" w:eastAsiaTheme="majorEastAsia" w:hAnsiTheme="majorEastAsia"/>
            <w:noProof/>
            <w:webHidden/>
          </w:rPr>
          <w:fldChar w:fldCharType="begin"/>
        </w:r>
        <w:r w:rsidRPr="00D74573">
          <w:rPr>
            <w:rFonts w:asciiTheme="majorEastAsia" w:eastAsiaTheme="majorEastAsia" w:hAnsiTheme="majorEastAsia"/>
            <w:noProof/>
            <w:webHidden/>
          </w:rPr>
          <w:instrText xml:space="preserve"> PAGEREF _Toc242870296 \h </w:instrText>
        </w:r>
        <w:r w:rsidRPr="00D74573">
          <w:rPr>
            <w:rFonts w:asciiTheme="majorEastAsia" w:eastAsiaTheme="majorEastAsia" w:hAnsiTheme="majorEastAsia"/>
            <w:noProof/>
            <w:webHidden/>
          </w:rPr>
        </w:r>
        <w:r w:rsidRPr="00D74573">
          <w:rPr>
            <w:rFonts w:asciiTheme="majorEastAsia" w:eastAsiaTheme="majorEastAsia" w:hAnsiTheme="majorEastAsia"/>
            <w:noProof/>
            <w:webHidden/>
          </w:rPr>
          <w:fldChar w:fldCharType="separate"/>
        </w:r>
        <w:r w:rsidR="00385E62">
          <w:rPr>
            <w:rFonts w:asciiTheme="majorEastAsia" w:eastAsiaTheme="majorEastAsia" w:hAnsiTheme="majorEastAsia"/>
            <w:noProof/>
            <w:webHidden/>
          </w:rPr>
          <w:t>- 171 -</w:t>
        </w:r>
        <w:r w:rsidRPr="00D74573">
          <w:rPr>
            <w:rFonts w:asciiTheme="majorEastAsia" w:eastAsiaTheme="majorEastAsia" w:hAnsiTheme="majorEastAsia"/>
            <w:noProof/>
            <w:webHidden/>
          </w:rPr>
          <w:fldChar w:fldCharType="end"/>
        </w:r>
      </w:hyperlink>
    </w:p>
    <w:p w14:paraId="40DD39E4" w14:textId="536E37C9" w:rsidR="00990020" w:rsidRPr="00D74573" w:rsidRDefault="00990020">
      <w:pPr>
        <w:pStyle w:val="24"/>
        <w:tabs>
          <w:tab w:val="right" w:leader="dot" w:pos="8834"/>
        </w:tabs>
        <w:ind w:left="211"/>
        <w:rPr>
          <w:rFonts w:asciiTheme="majorEastAsia" w:eastAsiaTheme="majorEastAsia" w:hAnsiTheme="majorEastAsia" w:cstheme="minorBidi"/>
          <w:noProof/>
          <w14:ligatures w14:val="standardContextual"/>
        </w:rPr>
      </w:pPr>
      <w:hyperlink w:anchor="_Toc242870297" w:history="1">
        <w:r w:rsidRPr="00D74573">
          <w:rPr>
            <w:rStyle w:val="ac"/>
            <w:rFonts w:asciiTheme="majorEastAsia" w:eastAsiaTheme="majorEastAsia" w:hAnsiTheme="majorEastAsia"/>
            <w:noProof/>
          </w:rPr>
          <w:t>第４節　避難行動</w:t>
        </w:r>
        <w:r w:rsidRPr="00D74573">
          <w:rPr>
            <w:rFonts w:asciiTheme="majorEastAsia" w:eastAsiaTheme="majorEastAsia" w:hAnsiTheme="majorEastAsia"/>
            <w:noProof/>
            <w:webHidden/>
          </w:rPr>
          <w:tab/>
        </w:r>
        <w:r w:rsidRPr="00D74573">
          <w:rPr>
            <w:rFonts w:asciiTheme="majorEastAsia" w:eastAsiaTheme="majorEastAsia" w:hAnsiTheme="majorEastAsia"/>
            <w:noProof/>
            <w:webHidden/>
          </w:rPr>
          <w:fldChar w:fldCharType="begin"/>
        </w:r>
        <w:r w:rsidRPr="00D74573">
          <w:rPr>
            <w:rFonts w:asciiTheme="majorEastAsia" w:eastAsiaTheme="majorEastAsia" w:hAnsiTheme="majorEastAsia"/>
            <w:noProof/>
            <w:webHidden/>
          </w:rPr>
          <w:instrText xml:space="preserve"> PAGEREF _Toc242870297 \h </w:instrText>
        </w:r>
        <w:r w:rsidRPr="00D74573">
          <w:rPr>
            <w:rFonts w:asciiTheme="majorEastAsia" w:eastAsiaTheme="majorEastAsia" w:hAnsiTheme="majorEastAsia"/>
            <w:noProof/>
            <w:webHidden/>
          </w:rPr>
        </w:r>
        <w:r w:rsidRPr="00D74573">
          <w:rPr>
            <w:rFonts w:asciiTheme="majorEastAsia" w:eastAsiaTheme="majorEastAsia" w:hAnsiTheme="majorEastAsia"/>
            <w:noProof/>
            <w:webHidden/>
          </w:rPr>
          <w:fldChar w:fldCharType="separate"/>
        </w:r>
        <w:r w:rsidR="00385E62">
          <w:rPr>
            <w:rFonts w:asciiTheme="majorEastAsia" w:eastAsiaTheme="majorEastAsia" w:hAnsiTheme="majorEastAsia"/>
            <w:noProof/>
            <w:webHidden/>
          </w:rPr>
          <w:t>- 172 -</w:t>
        </w:r>
        <w:r w:rsidRPr="00D74573">
          <w:rPr>
            <w:rFonts w:asciiTheme="majorEastAsia" w:eastAsiaTheme="majorEastAsia" w:hAnsiTheme="majorEastAsia"/>
            <w:noProof/>
            <w:webHidden/>
          </w:rPr>
          <w:fldChar w:fldCharType="end"/>
        </w:r>
      </w:hyperlink>
    </w:p>
    <w:p w14:paraId="0202B2A1" w14:textId="469DEF7C" w:rsidR="00990020" w:rsidRPr="00D74573" w:rsidRDefault="00990020">
      <w:pPr>
        <w:pStyle w:val="34"/>
        <w:tabs>
          <w:tab w:val="right" w:leader="dot" w:pos="8834"/>
        </w:tabs>
        <w:ind w:left="422"/>
        <w:rPr>
          <w:rFonts w:asciiTheme="majorEastAsia" w:eastAsiaTheme="majorEastAsia" w:hAnsiTheme="majorEastAsia" w:cstheme="minorBidi"/>
          <w:noProof/>
          <w14:ligatures w14:val="standardContextual"/>
        </w:rPr>
      </w:pPr>
      <w:hyperlink w:anchor="_Toc242870298" w:history="1">
        <w:r w:rsidRPr="00D74573">
          <w:rPr>
            <w:rStyle w:val="ac"/>
            <w:rFonts w:asciiTheme="majorEastAsia" w:eastAsiaTheme="majorEastAsia" w:hAnsiTheme="majorEastAsia"/>
            <w:noProof/>
          </w:rPr>
          <w:t>第１　避難誘導</w:t>
        </w:r>
        <w:r w:rsidRPr="00D74573">
          <w:rPr>
            <w:rStyle w:val="ac"/>
            <w:rFonts w:asciiTheme="majorEastAsia" w:eastAsiaTheme="majorEastAsia" w:hAnsiTheme="majorEastAsia"/>
            <w:noProof/>
            <w:shd w:val="pct15" w:color="auto" w:fill="FFFFFF"/>
          </w:rPr>
          <w:t>【第０～１フェーズ～】</w:t>
        </w:r>
        <w:r w:rsidRPr="00D74573">
          <w:rPr>
            <w:rFonts w:asciiTheme="majorEastAsia" w:eastAsiaTheme="majorEastAsia" w:hAnsiTheme="majorEastAsia"/>
            <w:noProof/>
            <w:webHidden/>
          </w:rPr>
          <w:tab/>
        </w:r>
        <w:r w:rsidRPr="00D74573">
          <w:rPr>
            <w:rFonts w:asciiTheme="majorEastAsia" w:eastAsiaTheme="majorEastAsia" w:hAnsiTheme="majorEastAsia"/>
            <w:noProof/>
            <w:webHidden/>
          </w:rPr>
          <w:fldChar w:fldCharType="begin"/>
        </w:r>
        <w:r w:rsidRPr="00D74573">
          <w:rPr>
            <w:rFonts w:asciiTheme="majorEastAsia" w:eastAsiaTheme="majorEastAsia" w:hAnsiTheme="majorEastAsia"/>
            <w:noProof/>
            <w:webHidden/>
          </w:rPr>
          <w:instrText xml:space="preserve"> PAGEREF _Toc242870298 \h </w:instrText>
        </w:r>
        <w:r w:rsidRPr="00D74573">
          <w:rPr>
            <w:rFonts w:asciiTheme="majorEastAsia" w:eastAsiaTheme="majorEastAsia" w:hAnsiTheme="majorEastAsia"/>
            <w:noProof/>
            <w:webHidden/>
          </w:rPr>
        </w:r>
        <w:r w:rsidRPr="00D74573">
          <w:rPr>
            <w:rFonts w:asciiTheme="majorEastAsia" w:eastAsiaTheme="majorEastAsia" w:hAnsiTheme="majorEastAsia"/>
            <w:noProof/>
            <w:webHidden/>
          </w:rPr>
          <w:fldChar w:fldCharType="separate"/>
        </w:r>
        <w:r w:rsidR="00385E62">
          <w:rPr>
            <w:rFonts w:asciiTheme="majorEastAsia" w:eastAsiaTheme="majorEastAsia" w:hAnsiTheme="majorEastAsia"/>
            <w:noProof/>
            <w:webHidden/>
          </w:rPr>
          <w:t>- 173 -</w:t>
        </w:r>
        <w:r w:rsidRPr="00D74573">
          <w:rPr>
            <w:rFonts w:asciiTheme="majorEastAsia" w:eastAsiaTheme="majorEastAsia" w:hAnsiTheme="majorEastAsia"/>
            <w:noProof/>
            <w:webHidden/>
          </w:rPr>
          <w:fldChar w:fldCharType="end"/>
        </w:r>
      </w:hyperlink>
    </w:p>
    <w:p w14:paraId="3C8B72F3" w14:textId="7F3012CD" w:rsidR="00990020" w:rsidRPr="00D74573" w:rsidRDefault="00990020">
      <w:pPr>
        <w:pStyle w:val="34"/>
        <w:tabs>
          <w:tab w:val="right" w:leader="dot" w:pos="8834"/>
        </w:tabs>
        <w:ind w:left="422"/>
        <w:rPr>
          <w:rFonts w:asciiTheme="majorEastAsia" w:eastAsiaTheme="majorEastAsia" w:hAnsiTheme="majorEastAsia" w:cstheme="minorBidi"/>
          <w:noProof/>
          <w14:ligatures w14:val="standardContextual"/>
        </w:rPr>
      </w:pPr>
      <w:hyperlink w:anchor="_Toc242870299" w:history="1">
        <w:r w:rsidRPr="00D74573">
          <w:rPr>
            <w:rStyle w:val="ac"/>
            <w:rFonts w:asciiTheme="majorEastAsia" w:eastAsiaTheme="majorEastAsia" w:hAnsiTheme="majorEastAsia"/>
            <w:noProof/>
          </w:rPr>
          <w:t>第２　市町村長等が行う避難の指示、避難状況等に関する受報告等</w:t>
        </w:r>
        <w:r w:rsidRPr="00D74573">
          <w:rPr>
            <w:rFonts w:asciiTheme="majorEastAsia" w:eastAsiaTheme="majorEastAsia" w:hAnsiTheme="majorEastAsia"/>
            <w:noProof/>
            <w:webHidden/>
          </w:rPr>
          <w:tab/>
        </w:r>
        <w:r w:rsidRPr="00D74573">
          <w:rPr>
            <w:rFonts w:asciiTheme="majorEastAsia" w:eastAsiaTheme="majorEastAsia" w:hAnsiTheme="majorEastAsia"/>
            <w:noProof/>
            <w:webHidden/>
          </w:rPr>
          <w:fldChar w:fldCharType="begin"/>
        </w:r>
        <w:r w:rsidRPr="00D74573">
          <w:rPr>
            <w:rFonts w:asciiTheme="majorEastAsia" w:eastAsiaTheme="majorEastAsia" w:hAnsiTheme="majorEastAsia"/>
            <w:noProof/>
            <w:webHidden/>
          </w:rPr>
          <w:instrText xml:space="preserve"> PAGEREF _Toc242870299 \h </w:instrText>
        </w:r>
        <w:r w:rsidRPr="00D74573">
          <w:rPr>
            <w:rFonts w:asciiTheme="majorEastAsia" w:eastAsiaTheme="majorEastAsia" w:hAnsiTheme="majorEastAsia"/>
            <w:noProof/>
            <w:webHidden/>
          </w:rPr>
        </w:r>
        <w:r w:rsidRPr="00D74573">
          <w:rPr>
            <w:rFonts w:asciiTheme="majorEastAsia" w:eastAsiaTheme="majorEastAsia" w:hAnsiTheme="majorEastAsia"/>
            <w:noProof/>
            <w:webHidden/>
          </w:rPr>
          <w:fldChar w:fldCharType="separate"/>
        </w:r>
        <w:r w:rsidR="00385E62">
          <w:rPr>
            <w:rFonts w:asciiTheme="majorEastAsia" w:eastAsiaTheme="majorEastAsia" w:hAnsiTheme="majorEastAsia"/>
            <w:noProof/>
            <w:webHidden/>
          </w:rPr>
          <w:t>- 174 -</w:t>
        </w:r>
        <w:r w:rsidRPr="00D74573">
          <w:rPr>
            <w:rFonts w:asciiTheme="majorEastAsia" w:eastAsiaTheme="majorEastAsia" w:hAnsiTheme="majorEastAsia"/>
            <w:noProof/>
            <w:webHidden/>
          </w:rPr>
          <w:fldChar w:fldCharType="end"/>
        </w:r>
      </w:hyperlink>
    </w:p>
    <w:p w14:paraId="4CC5B16A" w14:textId="40242FCD" w:rsidR="00990020" w:rsidRPr="00D74573" w:rsidRDefault="00990020">
      <w:pPr>
        <w:pStyle w:val="34"/>
        <w:tabs>
          <w:tab w:val="right" w:leader="dot" w:pos="8834"/>
        </w:tabs>
        <w:ind w:left="422"/>
        <w:rPr>
          <w:rFonts w:asciiTheme="majorEastAsia" w:eastAsiaTheme="majorEastAsia" w:hAnsiTheme="majorEastAsia" w:cstheme="minorBidi"/>
          <w:noProof/>
          <w14:ligatures w14:val="standardContextual"/>
        </w:rPr>
      </w:pPr>
      <w:hyperlink w:anchor="_Toc242870300" w:history="1">
        <w:r w:rsidRPr="00D74573">
          <w:rPr>
            <w:rStyle w:val="ac"/>
            <w:rFonts w:asciiTheme="majorEastAsia" w:eastAsiaTheme="majorEastAsia" w:hAnsiTheme="majorEastAsia"/>
            <w:noProof/>
          </w:rPr>
          <w:t>第３　避難行動要支援者への支援</w:t>
        </w:r>
        <w:r w:rsidRPr="00D74573">
          <w:rPr>
            <w:rStyle w:val="ac"/>
            <w:rFonts w:asciiTheme="majorEastAsia" w:eastAsiaTheme="majorEastAsia" w:hAnsiTheme="majorEastAsia"/>
            <w:noProof/>
            <w:shd w:val="pct15" w:color="auto" w:fill="FFFFFF"/>
          </w:rPr>
          <w:t>【第２フェーズ～】</w:t>
        </w:r>
        <w:r w:rsidRPr="00D74573">
          <w:rPr>
            <w:rFonts w:asciiTheme="majorEastAsia" w:eastAsiaTheme="majorEastAsia" w:hAnsiTheme="majorEastAsia"/>
            <w:noProof/>
            <w:webHidden/>
          </w:rPr>
          <w:tab/>
        </w:r>
        <w:r w:rsidRPr="00D74573">
          <w:rPr>
            <w:rFonts w:asciiTheme="majorEastAsia" w:eastAsiaTheme="majorEastAsia" w:hAnsiTheme="majorEastAsia"/>
            <w:noProof/>
            <w:webHidden/>
          </w:rPr>
          <w:fldChar w:fldCharType="begin"/>
        </w:r>
        <w:r w:rsidRPr="00D74573">
          <w:rPr>
            <w:rFonts w:asciiTheme="majorEastAsia" w:eastAsiaTheme="majorEastAsia" w:hAnsiTheme="majorEastAsia"/>
            <w:noProof/>
            <w:webHidden/>
          </w:rPr>
          <w:instrText xml:space="preserve"> PAGEREF _Toc242870300 \h </w:instrText>
        </w:r>
        <w:r w:rsidRPr="00D74573">
          <w:rPr>
            <w:rFonts w:asciiTheme="majorEastAsia" w:eastAsiaTheme="majorEastAsia" w:hAnsiTheme="majorEastAsia"/>
            <w:noProof/>
            <w:webHidden/>
          </w:rPr>
        </w:r>
        <w:r w:rsidRPr="00D74573">
          <w:rPr>
            <w:rFonts w:asciiTheme="majorEastAsia" w:eastAsiaTheme="majorEastAsia" w:hAnsiTheme="majorEastAsia"/>
            <w:noProof/>
            <w:webHidden/>
          </w:rPr>
          <w:fldChar w:fldCharType="separate"/>
        </w:r>
        <w:r w:rsidR="00385E62">
          <w:rPr>
            <w:rFonts w:asciiTheme="majorEastAsia" w:eastAsiaTheme="majorEastAsia" w:hAnsiTheme="majorEastAsia"/>
            <w:noProof/>
            <w:webHidden/>
          </w:rPr>
          <w:t>- 175 -</w:t>
        </w:r>
        <w:r w:rsidRPr="00D74573">
          <w:rPr>
            <w:rFonts w:asciiTheme="majorEastAsia" w:eastAsiaTheme="majorEastAsia" w:hAnsiTheme="majorEastAsia"/>
            <w:noProof/>
            <w:webHidden/>
          </w:rPr>
          <w:fldChar w:fldCharType="end"/>
        </w:r>
      </w:hyperlink>
    </w:p>
    <w:p w14:paraId="573417E2" w14:textId="14F14888" w:rsidR="00990020" w:rsidRPr="00D74573" w:rsidRDefault="00990020">
      <w:pPr>
        <w:pStyle w:val="34"/>
        <w:tabs>
          <w:tab w:val="right" w:leader="dot" w:pos="8834"/>
        </w:tabs>
        <w:ind w:left="422"/>
        <w:rPr>
          <w:rFonts w:asciiTheme="majorEastAsia" w:eastAsiaTheme="majorEastAsia" w:hAnsiTheme="majorEastAsia" w:cstheme="minorBidi"/>
          <w:noProof/>
          <w14:ligatures w14:val="standardContextual"/>
        </w:rPr>
      </w:pPr>
      <w:hyperlink w:anchor="_Toc242870301" w:history="1">
        <w:r w:rsidRPr="00D74573">
          <w:rPr>
            <w:rStyle w:val="ac"/>
            <w:rFonts w:asciiTheme="majorEastAsia" w:eastAsiaTheme="majorEastAsia" w:hAnsiTheme="majorEastAsia"/>
            <w:noProof/>
          </w:rPr>
          <w:t>第４　広域一時滞在</w:t>
        </w:r>
        <w:r w:rsidRPr="00D74573">
          <w:rPr>
            <w:rStyle w:val="ac"/>
            <w:rFonts w:asciiTheme="majorEastAsia" w:eastAsiaTheme="majorEastAsia" w:hAnsiTheme="majorEastAsia"/>
            <w:noProof/>
            <w:shd w:val="pct15" w:color="auto" w:fill="FFFFFF"/>
          </w:rPr>
          <w:t>【第３フェーズ】</w:t>
        </w:r>
        <w:r w:rsidRPr="00D74573">
          <w:rPr>
            <w:rFonts w:asciiTheme="majorEastAsia" w:eastAsiaTheme="majorEastAsia" w:hAnsiTheme="majorEastAsia"/>
            <w:noProof/>
            <w:webHidden/>
          </w:rPr>
          <w:tab/>
        </w:r>
        <w:r w:rsidRPr="00D74573">
          <w:rPr>
            <w:rFonts w:asciiTheme="majorEastAsia" w:eastAsiaTheme="majorEastAsia" w:hAnsiTheme="majorEastAsia"/>
            <w:noProof/>
            <w:webHidden/>
          </w:rPr>
          <w:fldChar w:fldCharType="begin"/>
        </w:r>
        <w:r w:rsidRPr="00D74573">
          <w:rPr>
            <w:rFonts w:asciiTheme="majorEastAsia" w:eastAsiaTheme="majorEastAsia" w:hAnsiTheme="majorEastAsia"/>
            <w:noProof/>
            <w:webHidden/>
          </w:rPr>
          <w:instrText xml:space="preserve"> PAGEREF _Toc242870301 \h </w:instrText>
        </w:r>
        <w:r w:rsidRPr="00D74573">
          <w:rPr>
            <w:rFonts w:asciiTheme="majorEastAsia" w:eastAsiaTheme="majorEastAsia" w:hAnsiTheme="majorEastAsia"/>
            <w:noProof/>
            <w:webHidden/>
          </w:rPr>
        </w:r>
        <w:r w:rsidRPr="00D74573">
          <w:rPr>
            <w:rFonts w:asciiTheme="majorEastAsia" w:eastAsiaTheme="majorEastAsia" w:hAnsiTheme="majorEastAsia"/>
            <w:noProof/>
            <w:webHidden/>
          </w:rPr>
          <w:fldChar w:fldCharType="separate"/>
        </w:r>
        <w:r w:rsidR="00385E62">
          <w:rPr>
            <w:rFonts w:asciiTheme="majorEastAsia" w:eastAsiaTheme="majorEastAsia" w:hAnsiTheme="majorEastAsia"/>
            <w:noProof/>
            <w:webHidden/>
          </w:rPr>
          <w:t>- 175 -</w:t>
        </w:r>
        <w:r w:rsidRPr="00D74573">
          <w:rPr>
            <w:rFonts w:asciiTheme="majorEastAsia" w:eastAsiaTheme="majorEastAsia" w:hAnsiTheme="majorEastAsia"/>
            <w:noProof/>
            <w:webHidden/>
          </w:rPr>
          <w:fldChar w:fldCharType="end"/>
        </w:r>
      </w:hyperlink>
    </w:p>
    <w:p w14:paraId="048513EB" w14:textId="2C73A860" w:rsidR="00990020" w:rsidRPr="00D74573" w:rsidRDefault="00990020">
      <w:pPr>
        <w:pStyle w:val="24"/>
        <w:tabs>
          <w:tab w:val="right" w:leader="dot" w:pos="8834"/>
        </w:tabs>
        <w:ind w:left="211"/>
        <w:rPr>
          <w:rFonts w:asciiTheme="majorEastAsia" w:eastAsiaTheme="majorEastAsia" w:hAnsiTheme="majorEastAsia" w:cstheme="minorBidi"/>
          <w:noProof/>
          <w14:ligatures w14:val="standardContextual"/>
        </w:rPr>
      </w:pPr>
      <w:hyperlink w:anchor="_Toc242870302" w:history="1">
        <w:r w:rsidRPr="00D74573">
          <w:rPr>
            <w:rStyle w:val="ac"/>
            <w:rFonts w:asciiTheme="majorEastAsia" w:eastAsiaTheme="majorEastAsia" w:hAnsiTheme="majorEastAsia"/>
            <w:bCs/>
            <w:noProof/>
            <w:kern w:val="0"/>
          </w:rPr>
          <w:t>第５節　交通対策、緊急輸送活動</w:t>
        </w:r>
        <w:r w:rsidRPr="00D74573">
          <w:rPr>
            <w:rFonts w:asciiTheme="majorEastAsia" w:eastAsiaTheme="majorEastAsia" w:hAnsiTheme="majorEastAsia"/>
            <w:noProof/>
            <w:webHidden/>
          </w:rPr>
          <w:tab/>
        </w:r>
        <w:r w:rsidRPr="00D74573">
          <w:rPr>
            <w:rFonts w:asciiTheme="majorEastAsia" w:eastAsiaTheme="majorEastAsia" w:hAnsiTheme="majorEastAsia"/>
            <w:noProof/>
            <w:webHidden/>
          </w:rPr>
          <w:fldChar w:fldCharType="begin"/>
        </w:r>
        <w:r w:rsidRPr="00D74573">
          <w:rPr>
            <w:rFonts w:asciiTheme="majorEastAsia" w:eastAsiaTheme="majorEastAsia" w:hAnsiTheme="majorEastAsia"/>
            <w:noProof/>
            <w:webHidden/>
          </w:rPr>
          <w:instrText xml:space="preserve"> PAGEREF _Toc242870302 \h </w:instrText>
        </w:r>
        <w:r w:rsidRPr="00D74573">
          <w:rPr>
            <w:rFonts w:asciiTheme="majorEastAsia" w:eastAsiaTheme="majorEastAsia" w:hAnsiTheme="majorEastAsia"/>
            <w:noProof/>
            <w:webHidden/>
          </w:rPr>
        </w:r>
        <w:r w:rsidRPr="00D74573">
          <w:rPr>
            <w:rFonts w:asciiTheme="majorEastAsia" w:eastAsiaTheme="majorEastAsia" w:hAnsiTheme="majorEastAsia"/>
            <w:noProof/>
            <w:webHidden/>
          </w:rPr>
          <w:fldChar w:fldCharType="separate"/>
        </w:r>
        <w:r w:rsidR="00385E62">
          <w:rPr>
            <w:rFonts w:asciiTheme="majorEastAsia" w:eastAsiaTheme="majorEastAsia" w:hAnsiTheme="majorEastAsia"/>
            <w:noProof/>
            <w:webHidden/>
          </w:rPr>
          <w:t>- 176 -</w:t>
        </w:r>
        <w:r w:rsidRPr="00D74573">
          <w:rPr>
            <w:rFonts w:asciiTheme="majorEastAsia" w:eastAsiaTheme="majorEastAsia" w:hAnsiTheme="majorEastAsia"/>
            <w:noProof/>
            <w:webHidden/>
          </w:rPr>
          <w:fldChar w:fldCharType="end"/>
        </w:r>
      </w:hyperlink>
    </w:p>
    <w:p w14:paraId="0059D78C" w14:textId="2013FA6E" w:rsidR="00990020" w:rsidRPr="00D74573" w:rsidRDefault="00990020">
      <w:pPr>
        <w:pStyle w:val="34"/>
        <w:tabs>
          <w:tab w:val="right" w:leader="dot" w:pos="8834"/>
        </w:tabs>
        <w:ind w:left="422"/>
        <w:rPr>
          <w:rFonts w:asciiTheme="majorEastAsia" w:eastAsiaTheme="majorEastAsia" w:hAnsiTheme="majorEastAsia" w:cstheme="minorBidi"/>
          <w:noProof/>
          <w14:ligatures w14:val="standardContextual"/>
        </w:rPr>
      </w:pPr>
      <w:hyperlink w:anchor="_Toc242870303" w:history="1">
        <w:r w:rsidRPr="00D74573">
          <w:rPr>
            <w:rStyle w:val="ac"/>
            <w:rFonts w:asciiTheme="majorEastAsia" w:eastAsiaTheme="majorEastAsia" w:hAnsiTheme="majorEastAsia"/>
            <w:noProof/>
          </w:rPr>
          <w:t>第１　陸上・水上・航空輸送（輸送手段・基地の確保を含む）</w:t>
        </w:r>
        <w:r w:rsidRPr="00D74573">
          <w:rPr>
            <w:rStyle w:val="ac"/>
            <w:rFonts w:asciiTheme="majorEastAsia" w:eastAsiaTheme="majorEastAsia" w:hAnsiTheme="majorEastAsia"/>
            <w:noProof/>
            <w:shd w:val="pct15" w:color="auto" w:fill="FFFFFF"/>
          </w:rPr>
          <w:t>【第１フェーズ～】</w:t>
        </w:r>
        <w:r w:rsidRPr="00D74573">
          <w:rPr>
            <w:rFonts w:asciiTheme="majorEastAsia" w:eastAsiaTheme="majorEastAsia" w:hAnsiTheme="majorEastAsia"/>
            <w:noProof/>
            <w:webHidden/>
          </w:rPr>
          <w:tab/>
        </w:r>
        <w:r w:rsidRPr="00D74573">
          <w:rPr>
            <w:rFonts w:asciiTheme="majorEastAsia" w:eastAsiaTheme="majorEastAsia" w:hAnsiTheme="majorEastAsia"/>
            <w:noProof/>
            <w:webHidden/>
          </w:rPr>
          <w:fldChar w:fldCharType="begin"/>
        </w:r>
        <w:r w:rsidRPr="00D74573">
          <w:rPr>
            <w:rFonts w:asciiTheme="majorEastAsia" w:eastAsiaTheme="majorEastAsia" w:hAnsiTheme="majorEastAsia"/>
            <w:noProof/>
            <w:webHidden/>
          </w:rPr>
          <w:instrText xml:space="preserve"> PAGEREF _Toc242870303 \h </w:instrText>
        </w:r>
        <w:r w:rsidRPr="00D74573">
          <w:rPr>
            <w:rFonts w:asciiTheme="majorEastAsia" w:eastAsiaTheme="majorEastAsia" w:hAnsiTheme="majorEastAsia"/>
            <w:noProof/>
            <w:webHidden/>
          </w:rPr>
        </w:r>
        <w:r w:rsidRPr="00D74573">
          <w:rPr>
            <w:rFonts w:asciiTheme="majorEastAsia" w:eastAsiaTheme="majorEastAsia" w:hAnsiTheme="majorEastAsia"/>
            <w:noProof/>
            <w:webHidden/>
          </w:rPr>
          <w:fldChar w:fldCharType="separate"/>
        </w:r>
        <w:r w:rsidR="00385E62">
          <w:rPr>
            <w:rFonts w:asciiTheme="majorEastAsia" w:eastAsiaTheme="majorEastAsia" w:hAnsiTheme="majorEastAsia"/>
            <w:noProof/>
            <w:webHidden/>
          </w:rPr>
          <w:t>- 176 -</w:t>
        </w:r>
        <w:r w:rsidRPr="00D74573">
          <w:rPr>
            <w:rFonts w:asciiTheme="majorEastAsia" w:eastAsiaTheme="majorEastAsia" w:hAnsiTheme="majorEastAsia"/>
            <w:noProof/>
            <w:webHidden/>
          </w:rPr>
          <w:fldChar w:fldCharType="end"/>
        </w:r>
      </w:hyperlink>
    </w:p>
    <w:p w14:paraId="11AEB9AE" w14:textId="43EF3DF0" w:rsidR="00990020" w:rsidRPr="00D74573" w:rsidRDefault="00990020">
      <w:pPr>
        <w:pStyle w:val="34"/>
        <w:tabs>
          <w:tab w:val="right" w:leader="dot" w:pos="8834"/>
        </w:tabs>
        <w:ind w:left="422"/>
        <w:rPr>
          <w:rFonts w:asciiTheme="majorEastAsia" w:eastAsiaTheme="majorEastAsia" w:hAnsiTheme="majorEastAsia" w:cstheme="minorBidi"/>
          <w:noProof/>
          <w14:ligatures w14:val="standardContextual"/>
        </w:rPr>
      </w:pPr>
      <w:hyperlink w:anchor="_Toc242870304" w:history="1">
        <w:r w:rsidRPr="00D74573">
          <w:rPr>
            <w:rStyle w:val="ac"/>
            <w:rFonts w:asciiTheme="majorEastAsia" w:eastAsiaTheme="majorEastAsia" w:hAnsiTheme="majorEastAsia"/>
            <w:noProof/>
          </w:rPr>
          <w:t>第２　府職員の輸送</w:t>
        </w:r>
        <w:r w:rsidRPr="00D74573">
          <w:rPr>
            <w:rStyle w:val="ac"/>
            <w:rFonts w:asciiTheme="majorEastAsia" w:eastAsiaTheme="majorEastAsia" w:hAnsiTheme="majorEastAsia"/>
            <w:noProof/>
            <w:shd w:val="pct15" w:color="auto" w:fill="FFFFFF"/>
          </w:rPr>
          <w:t>【第１フェーズ～】</w:t>
        </w:r>
        <w:r w:rsidRPr="00D74573">
          <w:rPr>
            <w:rFonts w:asciiTheme="majorEastAsia" w:eastAsiaTheme="majorEastAsia" w:hAnsiTheme="majorEastAsia"/>
            <w:noProof/>
            <w:webHidden/>
          </w:rPr>
          <w:tab/>
        </w:r>
        <w:r w:rsidRPr="00D74573">
          <w:rPr>
            <w:rFonts w:asciiTheme="majorEastAsia" w:eastAsiaTheme="majorEastAsia" w:hAnsiTheme="majorEastAsia"/>
            <w:noProof/>
            <w:webHidden/>
          </w:rPr>
          <w:fldChar w:fldCharType="begin"/>
        </w:r>
        <w:r w:rsidRPr="00D74573">
          <w:rPr>
            <w:rFonts w:asciiTheme="majorEastAsia" w:eastAsiaTheme="majorEastAsia" w:hAnsiTheme="majorEastAsia"/>
            <w:noProof/>
            <w:webHidden/>
          </w:rPr>
          <w:instrText xml:space="preserve"> PAGEREF _Toc242870304 \h </w:instrText>
        </w:r>
        <w:r w:rsidRPr="00D74573">
          <w:rPr>
            <w:rFonts w:asciiTheme="majorEastAsia" w:eastAsiaTheme="majorEastAsia" w:hAnsiTheme="majorEastAsia"/>
            <w:noProof/>
            <w:webHidden/>
          </w:rPr>
        </w:r>
        <w:r w:rsidRPr="00D74573">
          <w:rPr>
            <w:rFonts w:asciiTheme="majorEastAsia" w:eastAsiaTheme="majorEastAsia" w:hAnsiTheme="majorEastAsia"/>
            <w:noProof/>
            <w:webHidden/>
          </w:rPr>
          <w:fldChar w:fldCharType="separate"/>
        </w:r>
        <w:r w:rsidR="00385E62">
          <w:rPr>
            <w:rFonts w:asciiTheme="majorEastAsia" w:eastAsiaTheme="majorEastAsia" w:hAnsiTheme="majorEastAsia"/>
            <w:noProof/>
            <w:webHidden/>
          </w:rPr>
          <w:t>- 178 -</w:t>
        </w:r>
        <w:r w:rsidRPr="00D74573">
          <w:rPr>
            <w:rFonts w:asciiTheme="majorEastAsia" w:eastAsiaTheme="majorEastAsia" w:hAnsiTheme="majorEastAsia"/>
            <w:noProof/>
            <w:webHidden/>
          </w:rPr>
          <w:fldChar w:fldCharType="end"/>
        </w:r>
      </w:hyperlink>
    </w:p>
    <w:p w14:paraId="7715F4F1" w14:textId="365EDCD1" w:rsidR="00990020" w:rsidRPr="00D74573" w:rsidRDefault="00990020">
      <w:pPr>
        <w:pStyle w:val="34"/>
        <w:tabs>
          <w:tab w:val="right" w:leader="dot" w:pos="8834"/>
        </w:tabs>
        <w:ind w:left="422"/>
        <w:rPr>
          <w:rFonts w:asciiTheme="majorEastAsia" w:eastAsiaTheme="majorEastAsia" w:hAnsiTheme="majorEastAsia" w:cstheme="minorBidi"/>
          <w:noProof/>
          <w14:ligatures w14:val="standardContextual"/>
        </w:rPr>
      </w:pPr>
      <w:hyperlink w:anchor="_Toc242870305" w:history="1">
        <w:r w:rsidRPr="00D74573">
          <w:rPr>
            <w:rStyle w:val="ac"/>
            <w:rFonts w:asciiTheme="majorEastAsia" w:eastAsiaTheme="majorEastAsia" w:hAnsiTheme="majorEastAsia"/>
            <w:noProof/>
          </w:rPr>
          <w:t>第３　交通の安全・機能確保</w:t>
        </w:r>
        <w:r w:rsidRPr="00D74573">
          <w:rPr>
            <w:rStyle w:val="ac"/>
            <w:rFonts w:asciiTheme="majorEastAsia" w:eastAsiaTheme="majorEastAsia" w:hAnsiTheme="majorEastAsia"/>
            <w:noProof/>
            <w:shd w:val="pct15" w:color="auto" w:fill="FFFFFF"/>
          </w:rPr>
          <w:t>【第２フェーズ】</w:t>
        </w:r>
        <w:r w:rsidRPr="00D74573">
          <w:rPr>
            <w:rFonts w:asciiTheme="majorEastAsia" w:eastAsiaTheme="majorEastAsia" w:hAnsiTheme="majorEastAsia"/>
            <w:noProof/>
            <w:webHidden/>
          </w:rPr>
          <w:tab/>
        </w:r>
        <w:r w:rsidRPr="00D74573">
          <w:rPr>
            <w:rFonts w:asciiTheme="majorEastAsia" w:eastAsiaTheme="majorEastAsia" w:hAnsiTheme="majorEastAsia"/>
            <w:noProof/>
            <w:webHidden/>
          </w:rPr>
          <w:fldChar w:fldCharType="begin"/>
        </w:r>
        <w:r w:rsidRPr="00D74573">
          <w:rPr>
            <w:rFonts w:asciiTheme="majorEastAsia" w:eastAsiaTheme="majorEastAsia" w:hAnsiTheme="majorEastAsia"/>
            <w:noProof/>
            <w:webHidden/>
          </w:rPr>
          <w:instrText xml:space="preserve"> PAGEREF _Toc242870305 \h </w:instrText>
        </w:r>
        <w:r w:rsidRPr="00D74573">
          <w:rPr>
            <w:rFonts w:asciiTheme="majorEastAsia" w:eastAsiaTheme="majorEastAsia" w:hAnsiTheme="majorEastAsia"/>
            <w:noProof/>
            <w:webHidden/>
          </w:rPr>
        </w:r>
        <w:r w:rsidRPr="00D74573">
          <w:rPr>
            <w:rFonts w:asciiTheme="majorEastAsia" w:eastAsiaTheme="majorEastAsia" w:hAnsiTheme="majorEastAsia"/>
            <w:noProof/>
            <w:webHidden/>
          </w:rPr>
          <w:fldChar w:fldCharType="separate"/>
        </w:r>
        <w:r w:rsidR="00385E62">
          <w:rPr>
            <w:rFonts w:asciiTheme="majorEastAsia" w:eastAsiaTheme="majorEastAsia" w:hAnsiTheme="majorEastAsia"/>
            <w:noProof/>
            <w:webHidden/>
          </w:rPr>
          <w:t>- 179 -</w:t>
        </w:r>
        <w:r w:rsidRPr="00D74573">
          <w:rPr>
            <w:rFonts w:asciiTheme="majorEastAsia" w:eastAsiaTheme="majorEastAsia" w:hAnsiTheme="majorEastAsia"/>
            <w:noProof/>
            <w:webHidden/>
          </w:rPr>
          <w:fldChar w:fldCharType="end"/>
        </w:r>
      </w:hyperlink>
    </w:p>
    <w:p w14:paraId="2062BA9E" w14:textId="64C69426" w:rsidR="00990020" w:rsidRPr="00D74573" w:rsidRDefault="00990020">
      <w:pPr>
        <w:pStyle w:val="24"/>
        <w:tabs>
          <w:tab w:val="right" w:leader="dot" w:pos="8834"/>
        </w:tabs>
        <w:ind w:left="211"/>
        <w:rPr>
          <w:rFonts w:asciiTheme="majorEastAsia" w:eastAsiaTheme="majorEastAsia" w:hAnsiTheme="majorEastAsia" w:cstheme="minorBidi"/>
          <w:noProof/>
          <w14:ligatures w14:val="standardContextual"/>
        </w:rPr>
      </w:pPr>
      <w:hyperlink w:anchor="_Toc242870306" w:history="1">
        <w:r w:rsidRPr="00D74573">
          <w:rPr>
            <w:rStyle w:val="ac"/>
            <w:rFonts w:asciiTheme="majorEastAsia" w:eastAsiaTheme="majorEastAsia" w:hAnsiTheme="majorEastAsia"/>
            <w:noProof/>
          </w:rPr>
          <w:t>第６節　二次災害防止</w:t>
        </w:r>
        <w:r w:rsidRPr="00D74573">
          <w:rPr>
            <w:rFonts w:asciiTheme="majorEastAsia" w:eastAsiaTheme="majorEastAsia" w:hAnsiTheme="majorEastAsia"/>
            <w:noProof/>
            <w:webHidden/>
          </w:rPr>
          <w:tab/>
        </w:r>
        <w:r w:rsidRPr="00D74573">
          <w:rPr>
            <w:rFonts w:asciiTheme="majorEastAsia" w:eastAsiaTheme="majorEastAsia" w:hAnsiTheme="majorEastAsia"/>
            <w:noProof/>
            <w:webHidden/>
          </w:rPr>
          <w:fldChar w:fldCharType="begin"/>
        </w:r>
        <w:r w:rsidRPr="00D74573">
          <w:rPr>
            <w:rFonts w:asciiTheme="majorEastAsia" w:eastAsiaTheme="majorEastAsia" w:hAnsiTheme="majorEastAsia"/>
            <w:noProof/>
            <w:webHidden/>
          </w:rPr>
          <w:instrText xml:space="preserve"> PAGEREF _Toc242870306 \h </w:instrText>
        </w:r>
        <w:r w:rsidRPr="00D74573">
          <w:rPr>
            <w:rFonts w:asciiTheme="majorEastAsia" w:eastAsiaTheme="majorEastAsia" w:hAnsiTheme="majorEastAsia"/>
            <w:noProof/>
            <w:webHidden/>
          </w:rPr>
        </w:r>
        <w:r w:rsidRPr="00D74573">
          <w:rPr>
            <w:rFonts w:asciiTheme="majorEastAsia" w:eastAsiaTheme="majorEastAsia" w:hAnsiTheme="majorEastAsia"/>
            <w:noProof/>
            <w:webHidden/>
          </w:rPr>
          <w:fldChar w:fldCharType="separate"/>
        </w:r>
        <w:r w:rsidR="00385E62">
          <w:rPr>
            <w:rFonts w:asciiTheme="majorEastAsia" w:eastAsiaTheme="majorEastAsia" w:hAnsiTheme="majorEastAsia"/>
            <w:noProof/>
            <w:webHidden/>
          </w:rPr>
          <w:t>- 181 -</w:t>
        </w:r>
        <w:r w:rsidRPr="00D74573">
          <w:rPr>
            <w:rFonts w:asciiTheme="majorEastAsia" w:eastAsiaTheme="majorEastAsia" w:hAnsiTheme="majorEastAsia"/>
            <w:noProof/>
            <w:webHidden/>
          </w:rPr>
          <w:fldChar w:fldCharType="end"/>
        </w:r>
      </w:hyperlink>
    </w:p>
    <w:p w14:paraId="069E0F33" w14:textId="5DAE8531" w:rsidR="00990020" w:rsidRPr="00D74573" w:rsidRDefault="00990020">
      <w:pPr>
        <w:pStyle w:val="34"/>
        <w:tabs>
          <w:tab w:val="right" w:leader="dot" w:pos="8834"/>
        </w:tabs>
        <w:ind w:left="422"/>
        <w:rPr>
          <w:rFonts w:asciiTheme="majorEastAsia" w:eastAsiaTheme="majorEastAsia" w:hAnsiTheme="majorEastAsia" w:cstheme="minorBidi"/>
          <w:noProof/>
          <w14:ligatures w14:val="standardContextual"/>
        </w:rPr>
      </w:pPr>
      <w:hyperlink w:anchor="_Toc242870307" w:history="1">
        <w:r w:rsidRPr="00D74573">
          <w:rPr>
            <w:rStyle w:val="ac"/>
            <w:rFonts w:asciiTheme="majorEastAsia" w:eastAsiaTheme="majorEastAsia" w:hAnsiTheme="majorEastAsia"/>
            <w:noProof/>
          </w:rPr>
          <w:t>第１　公共土木施設・公共建築物等</w:t>
        </w:r>
        <w:r w:rsidRPr="00D74573">
          <w:rPr>
            <w:rStyle w:val="ac"/>
            <w:rFonts w:asciiTheme="majorEastAsia" w:eastAsiaTheme="majorEastAsia" w:hAnsiTheme="majorEastAsia"/>
            <w:noProof/>
            <w:shd w:val="pct15" w:color="auto" w:fill="FFFFFF"/>
          </w:rPr>
          <w:t>【第２フェーズ～】</w:t>
        </w:r>
        <w:r w:rsidRPr="00D74573">
          <w:rPr>
            <w:rFonts w:asciiTheme="majorEastAsia" w:eastAsiaTheme="majorEastAsia" w:hAnsiTheme="majorEastAsia"/>
            <w:noProof/>
            <w:webHidden/>
          </w:rPr>
          <w:tab/>
        </w:r>
        <w:r w:rsidRPr="00D74573">
          <w:rPr>
            <w:rFonts w:asciiTheme="majorEastAsia" w:eastAsiaTheme="majorEastAsia" w:hAnsiTheme="majorEastAsia"/>
            <w:noProof/>
            <w:webHidden/>
          </w:rPr>
          <w:fldChar w:fldCharType="begin"/>
        </w:r>
        <w:r w:rsidRPr="00D74573">
          <w:rPr>
            <w:rFonts w:asciiTheme="majorEastAsia" w:eastAsiaTheme="majorEastAsia" w:hAnsiTheme="majorEastAsia"/>
            <w:noProof/>
            <w:webHidden/>
          </w:rPr>
          <w:instrText xml:space="preserve"> PAGEREF _Toc242870307 \h </w:instrText>
        </w:r>
        <w:r w:rsidRPr="00D74573">
          <w:rPr>
            <w:rFonts w:asciiTheme="majorEastAsia" w:eastAsiaTheme="majorEastAsia" w:hAnsiTheme="majorEastAsia"/>
            <w:noProof/>
            <w:webHidden/>
          </w:rPr>
        </w:r>
        <w:r w:rsidRPr="00D74573">
          <w:rPr>
            <w:rFonts w:asciiTheme="majorEastAsia" w:eastAsiaTheme="majorEastAsia" w:hAnsiTheme="majorEastAsia"/>
            <w:noProof/>
            <w:webHidden/>
          </w:rPr>
          <w:fldChar w:fldCharType="separate"/>
        </w:r>
        <w:r w:rsidR="00385E62">
          <w:rPr>
            <w:rFonts w:asciiTheme="majorEastAsia" w:eastAsiaTheme="majorEastAsia" w:hAnsiTheme="majorEastAsia"/>
            <w:noProof/>
            <w:webHidden/>
          </w:rPr>
          <w:t>- 181 -</w:t>
        </w:r>
        <w:r w:rsidRPr="00D74573">
          <w:rPr>
            <w:rFonts w:asciiTheme="majorEastAsia" w:eastAsiaTheme="majorEastAsia" w:hAnsiTheme="majorEastAsia"/>
            <w:noProof/>
            <w:webHidden/>
          </w:rPr>
          <w:fldChar w:fldCharType="end"/>
        </w:r>
      </w:hyperlink>
    </w:p>
    <w:p w14:paraId="78B9DC29" w14:textId="13A7CBDB" w:rsidR="00990020" w:rsidRPr="00D74573" w:rsidRDefault="00990020">
      <w:pPr>
        <w:pStyle w:val="34"/>
        <w:tabs>
          <w:tab w:val="right" w:leader="dot" w:pos="8834"/>
        </w:tabs>
        <w:ind w:left="422"/>
        <w:rPr>
          <w:rFonts w:asciiTheme="majorEastAsia" w:eastAsiaTheme="majorEastAsia" w:hAnsiTheme="majorEastAsia" w:cstheme="minorBidi"/>
          <w:noProof/>
          <w14:ligatures w14:val="standardContextual"/>
        </w:rPr>
      </w:pPr>
      <w:hyperlink w:anchor="_Toc242870308" w:history="1">
        <w:r w:rsidRPr="00D74573">
          <w:rPr>
            <w:rStyle w:val="ac"/>
            <w:rFonts w:asciiTheme="majorEastAsia" w:eastAsiaTheme="majorEastAsia" w:hAnsiTheme="majorEastAsia"/>
            <w:noProof/>
          </w:rPr>
          <w:t>第２　被災建築物応急危険度判定及び被災宅地危険度判定</w:t>
        </w:r>
        <w:r w:rsidRPr="00D74573">
          <w:rPr>
            <w:rStyle w:val="ac"/>
            <w:rFonts w:asciiTheme="majorEastAsia" w:eastAsiaTheme="majorEastAsia" w:hAnsiTheme="majorEastAsia"/>
            <w:noProof/>
            <w:shd w:val="pct15" w:color="auto" w:fill="FFFFFF"/>
          </w:rPr>
          <w:t>【第２フェーズ～】</w:t>
        </w:r>
        <w:r w:rsidRPr="00D74573">
          <w:rPr>
            <w:rFonts w:asciiTheme="majorEastAsia" w:eastAsiaTheme="majorEastAsia" w:hAnsiTheme="majorEastAsia"/>
            <w:noProof/>
            <w:webHidden/>
          </w:rPr>
          <w:tab/>
        </w:r>
        <w:r w:rsidRPr="00D74573">
          <w:rPr>
            <w:rFonts w:asciiTheme="majorEastAsia" w:eastAsiaTheme="majorEastAsia" w:hAnsiTheme="majorEastAsia"/>
            <w:noProof/>
            <w:webHidden/>
          </w:rPr>
          <w:fldChar w:fldCharType="begin"/>
        </w:r>
        <w:r w:rsidRPr="00D74573">
          <w:rPr>
            <w:rFonts w:asciiTheme="majorEastAsia" w:eastAsiaTheme="majorEastAsia" w:hAnsiTheme="majorEastAsia"/>
            <w:noProof/>
            <w:webHidden/>
          </w:rPr>
          <w:instrText xml:space="preserve"> PAGEREF _Toc242870308 \h </w:instrText>
        </w:r>
        <w:r w:rsidRPr="00D74573">
          <w:rPr>
            <w:rFonts w:asciiTheme="majorEastAsia" w:eastAsiaTheme="majorEastAsia" w:hAnsiTheme="majorEastAsia"/>
            <w:noProof/>
            <w:webHidden/>
          </w:rPr>
        </w:r>
        <w:r w:rsidRPr="00D74573">
          <w:rPr>
            <w:rFonts w:asciiTheme="majorEastAsia" w:eastAsiaTheme="majorEastAsia" w:hAnsiTheme="majorEastAsia"/>
            <w:noProof/>
            <w:webHidden/>
          </w:rPr>
          <w:fldChar w:fldCharType="separate"/>
        </w:r>
        <w:r w:rsidR="00385E62">
          <w:rPr>
            <w:rFonts w:asciiTheme="majorEastAsia" w:eastAsiaTheme="majorEastAsia" w:hAnsiTheme="majorEastAsia"/>
            <w:noProof/>
            <w:webHidden/>
          </w:rPr>
          <w:t>- 182 -</w:t>
        </w:r>
        <w:r w:rsidRPr="00D74573">
          <w:rPr>
            <w:rFonts w:asciiTheme="majorEastAsia" w:eastAsiaTheme="majorEastAsia" w:hAnsiTheme="majorEastAsia"/>
            <w:noProof/>
            <w:webHidden/>
          </w:rPr>
          <w:fldChar w:fldCharType="end"/>
        </w:r>
      </w:hyperlink>
    </w:p>
    <w:p w14:paraId="0D3FF96C" w14:textId="003AE739" w:rsidR="00990020" w:rsidRPr="00D74573" w:rsidRDefault="00990020">
      <w:pPr>
        <w:pStyle w:val="34"/>
        <w:tabs>
          <w:tab w:val="right" w:leader="dot" w:pos="8834"/>
        </w:tabs>
        <w:ind w:left="422"/>
        <w:rPr>
          <w:rFonts w:asciiTheme="majorEastAsia" w:eastAsiaTheme="majorEastAsia" w:hAnsiTheme="majorEastAsia" w:cstheme="minorBidi"/>
          <w:noProof/>
          <w14:ligatures w14:val="standardContextual"/>
        </w:rPr>
      </w:pPr>
      <w:hyperlink w:anchor="_Toc242870309" w:history="1">
        <w:r w:rsidRPr="00D74573">
          <w:rPr>
            <w:rStyle w:val="ac"/>
            <w:rFonts w:asciiTheme="majorEastAsia" w:eastAsiaTheme="majorEastAsia" w:hAnsiTheme="majorEastAsia"/>
            <w:noProof/>
          </w:rPr>
          <w:t>第３　文化財の保護</w:t>
        </w:r>
        <w:r w:rsidRPr="00D74573">
          <w:rPr>
            <w:rStyle w:val="ac"/>
            <w:rFonts w:asciiTheme="majorEastAsia" w:eastAsiaTheme="majorEastAsia" w:hAnsiTheme="majorEastAsia"/>
            <w:noProof/>
            <w:shd w:val="pct15" w:color="auto" w:fill="FFFFFF"/>
          </w:rPr>
          <w:t>【第５フェーズ～】</w:t>
        </w:r>
        <w:r w:rsidRPr="00D74573">
          <w:rPr>
            <w:rFonts w:asciiTheme="majorEastAsia" w:eastAsiaTheme="majorEastAsia" w:hAnsiTheme="majorEastAsia"/>
            <w:noProof/>
            <w:webHidden/>
          </w:rPr>
          <w:tab/>
        </w:r>
        <w:r w:rsidRPr="00D74573">
          <w:rPr>
            <w:rFonts w:asciiTheme="majorEastAsia" w:eastAsiaTheme="majorEastAsia" w:hAnsiTheme="majorEastAsia"/>
            <w:noProof/>
            <w:webHidden/>
          </w:rPr>
          <w:fldChar w:fldCharType="begin"/>
        </w:r>
        <w:r w:rsidRPr="00D74573">
          <w:rPr>
            <w:rFonts w:asciiTheme="majorEastAsia" w:eastAsiaTheme="majorEastAsia" w:hAnsiTheme="majorEastAsia"/>
            <w:noProof/>
            <w:webHidden/>
          </w:rPr>
          <w:instrText xml:space="preserve"> PAGEREF _Toc242870309 \h </w:instrText>
        </w:r>
        <w:r w:rsidRPr="00D74573">
          <w:rPr>
            <w:rFonts w:asciiTheme="majorEastAsia" w:eastAsiaTheme="majorEastAsia" w:hAnsiTheme="majorEastAsia"/>
            <w:noProof/>
            <w:webHidden/>
          </w:rPr>
        </w:r>
        <w:r w:rsidRPr="00D74573">
          <w:rPr>
            <w:rFonts w:asciiTheme="majorEastAsia" w:eastAsiaTheme="majorEastAsia" w:hAnsiTheme="majorEastAsia"/>
            <w:noProof/>
            <w:webHidden/>
          </w:rPr>
          <w:fldChar w:fldCharType="separate"/>
        </w:r>
        <w:r w:rsidR="00385E62">
          <w:rPr>
            <w:rFonts w:asciiTheme="majorEastAsia" w:eastAsiaTheme="majorEastAsia" w:hAnsiTheme="majorEastAsia"/>
            <w:noProof/>
            <w:webHidden/>
          </w:rPr>
          <w:t>- 183 -</w:t>
        </w:r>
        <w:r w:rsidRPr="00D74573">
          <w:rPr>
            <w:rFonts w:asciiTheme="majorEastAsia" w:eastAsiaTheme="majorEastAsia" w:hAnsiTheme="majorEastAsia"/>
            <w:noProof/>
            <w:webHidden/>
          </w:rPr>
          <w:fldChar w:fldCharType="end"/>
        </w:r>
      </w:hyperlink>
    </w:p>
    <w:p w14:paraId="6A5066B2" w14:textId="1C008ACE" w:rsidR="00990020" w:rsidRPr="00D74573" w:rsidRDefault="00990020">
      <w:pPr>
        <w:pStyle w:val="24"/>
        <w:tabs>
          <w:tab w:val="right" w:leader="dot" w:pos="8834"/>
        </w:tabs>
        <w:ind w:left="211"/>
        <w:rPr>
          <w:rFonts w:asciiTheme="majorEastAsia" w:eastAsiaTheme="majorEastAsia" w:hAnsiTheme="majorEastAsia" w:cstheme="minorBidi"/>
          <w:noProof/>
          <w14:ligatures w14:val="standardContextual"/>
        </w:rPr>
      </w:pPr>
      <w:hyperlink w:anchor="_Toc242870310" w:history="1">
        <w:r w:rsidRPr="00D74573">
          <w:rPr>
            <w:rStyle w:val="ac"/>
            <w:rFonts w:asciiTheme="majorEastAsia" w:eastAsiaTheme="majorEastAsia" w:hAnsiTheme="majorEastAsia"/>
            <w:noProof/>
          </w:rPr>
          <w:t>第７節　ライフライン確保</w:t>
        </w:r>
        <w:r w:rsidRPr="00D74573">
          <w:rPr>
            <w:rFonts w:asciiTheme="majorEastAsia" w:eastAsiaTheme="majorEastAsia" w:hAnsiTheme="majorEastAsia"/>
            <w:noProof/>
            <w:webHidden/>
          </w:rPr>
          <w:tab/>
        </w:r>
        <w:r w:rsidRPr="00D74573">
          <w:rPr>
            <w:rFonts w:asciiTheme="majorEastAsia" w:eastAsiaTheme="majorEastAsia" w:hAnsiTheme="majorEastAsia"/>
            <w:noProof/>
            <w:webHidden/>
          </w:rPr>
          <w:fldChar w:fldCharType="begin"/>
        </w:r>
        <w:r w:rsidRPr="00D74573">
          <w:rPr>
            <w:rFonts w:asciiTheme="majorEastAsia" w:eastAsiaTheme="majorEastAsia" w:hAnsiTheme="majorEastAsia"/>
            <w:noProof/>
            <w:webHidden/>
          </w:rPr>
          <w:instrText xml:space="preserve"> PAGEREF _Toc242870310 \h </w:instrText>
        </w:r>
        <w:r w:rsidRPr="00D74573">
          <w:rPr>
            <w:rFonts w:asciiTheme="majorEastAsia" w:eastAsiaTheme="majorEastAsia" w:hAnsiTheme="majorEastAsia"/>
            <w:noProof/>
            <w:webHidden/>
          </w:rPr>
        </w:r>
        <w:r w:rsidRPr="00D74573">
          <w:rPr>
            <w:rFonts w:asciiTheme="majorEastAsia" w:eastAsiaTheme="majorEastAsia" w:hAnsiTheme="majorEastAsia"/>
            <w:noProof/>
            <w:webHidden/>
          </w:rPr>
          <w:fldChar w:fldCharType="separate"/>
        </w:r>
        <w:r w:rsidR="00385E62">
          <w:rPr>
            <w:rFonts w:asciiTheme="majorEastAsia" w:eastAsiaTheme="majorEastAsia" w:hAnsiTheme="majorEastAsia"/>
            <w:noProof/>
            <w:webHidden/>
          </w:rPr>
          <w:t>- 184 -</w:t>
        </w:r>
        <w:r w:rsidRPr="00D74573">
          <w:rPr>
            <w:rFonts w:asciiTheme="majorEastAsia" w:eastAsiaTheme="majorEastAsia" w:hAnsiTheme="majorEastAsia"/>
            <w:noProof/>
            <w:webHidden/>
          </w:rPr>
          <w:fldChar w:fldCharType="end"/>
        </w:r>
      </w:hyperlink>
    </w:p>
    <w:p w14:paraId="298098ED" w14:textId="493ABA7E" w:rsidR="00990020" w:rsidRPr="00D74573" w:rsidRDefault="00990020">
      <w:pPr>
        <w:pStyle w:val="34"/>
        <w:tabs>
          <w:tab w:val="right" w:leader="dot" w:pos="8834"/>
        </w:tabs>
        <w:ind w:left="422"/>
        <w:rPr>
          <w:rFonts w:asciiTheme="majorEastAsia" w:eastAsiaTheme="majorEastAsia" w:hAnsiTheme="majorEastAsia" w:cstheme="minorBidi"/>
          <w:noProof/>
          <w14:ligatures w14:val="standardContextual"/>
        </w:rPr>
      </w:pPr>
      <w:hyperlink w:anchor="_Toc242870311" w:history="1">
        <w:r w:rsidRPr="00D74573">
          <w:rPr>
            <w:rStyle w:val="ac"/>
            <w:rFonts w:asciiTheme="majorEastAsia" w:eastAsiaTheme="majorEastAsia" w:hAnsiTheme="majorEastAsia"/>
            <w:noProof/>
          </w:rPr>
          <w:t>第１　被害状況の把握</w:t>
        </w:r>
        <w:r w:rsidRPr="00D74573">
          <w:rPr>
            <w:rStyle w:val="ac"/>
            <w:rFonts w:asciiTheme="majorEastAsia" w:eastAsiaTheme="majorEastAsia" w:hAnsiTheme="majorEastAsia"/>
            <w:noProof/>
            <w:shd w:val="pct15" w:color="auto" w:fill="FFFFFF"/>
          </w:rPr>
          <w:t>【第１フェーズ】</w:t>
        </w:r>
        <w:r w:rsidRPr="00D74573">
          <w:rPr>
            <w:rFonts w:asciiTheme="majorEastAsia" w:eastAsiaTheme="majorEastAsia" w:hAnsiTheme="majorEastAsia"/>
            <w:noProof/>
            <w:webHidden/>
          </w:rPr>
          <w:tab/>
        </w:r>
        <w:r w:rsidRPr="00D74573">
          <w:rPr>
            <w:rFonts w:asciiTheme="majorEastAsia" w:eastAsiaTheme="majorEastAsia" w:hAnsiTheme="majorEastAsia"/>
            <w:noProof/>
            <w:webHidden/>
          </w:rPr>
          <w:fldChar w:fldCharType="begin"/>
        </w:r>
        <w:r w:rsidRPr="00D74573">
          <w:rPr>
            <w:rFonts w:asciiTheme="majorEastAsia" w:eastAsiaTheme="majorEastAsia" w:hAnsiTheme="majorEastAsia"/>
            <w:noProof/>
            <w:webHidden/>
          </w:rPr>
          <w:instrText xml:space="preserve"> PAGEREF _Toc242870311 \h </w:instrText>
        </w:r>
        <w:r w:rsidRPr="00D74573">
          <w:rPr>
            <w:rFonts w:asciiTheme="majorEastAsia" w:eastAsiaTheme="majorEastAsia" w:hAnsiTheme="majorEastAsia"/>
            <w:noProof/>
            <w:webHidden/>
          </w:rPr>
        </w:r>
        <w:r w:rsidRPr="00D74573">
          <w:rPr>
            <w:rFonts w:asciiTheme="majorEastAsia" w:eastAsiaTheme="majorEastAsia" w:hAnsiTheme="majorEastAsia"/>
            <w:noProof/>
            <w:webHidden/>
          </w:rPr>
          <w:fldChar w:fldCharType="separate"/>
        </w:r>
        <w:r w:rsidR="00385E62">
          <w:rPr>
            <w:rFonts w:asciiTheme="majorEastAsia" w:eastAsiaTheme="majorEastAsia" w:hAnsiTheme="majorEastAsia"/>
            <w:noProof/>
            <w:webHidden/>
          </w:rPr>
          <w:t>- 184 -</w:t>
        </w:r>
        <w:r w:rsidRPr="00D74573">
          <w:rPr>
            <w:rFonts w:asciiTheme="majorEastAsia" w:eastAsiaTheme="majorEastAsia" w:hAnsiTheme="majorEastAsia"/>
            <w:noProof/>
            <w:webHidden/>
          </w:rPr>
          <w:fldChar w:fldCharType="end"/>
        </w:r>
      </w:hyperlink>
    </w:p>
    <w:p w14:paraId="457782E8" w14:textId="4E5974FF" w:rsidR="00990020" w:rsidRPr="00D74573" w:rsidRDefault="00990020">
      <w:pPr>
        <w:pStyle w:val="34"/>
        <w:tabs>
          <w:tab w:val="right" w:leader="dot" w:pos="8834"/>
        </w:tabs>
        <w:ind w:left="422"/>
        <w:rPr>
          <w:rFonts w:asciiTheme="majorEastAsia" w:eastAsiaTheme="majorEastAsia" w:hAnsiTheme="majorEastAsia" w:cstheme="minorBidi"/>
          <w:noProof/>
          <w14:ligatures w14:val="standardContextual"/>
        </w:rPr>
      </w:pPr>
      <w:hyperlink w:anchor="_Toc242870312" w:history="1">
        <w:r w:rsidRPr="00D74573">
          <w:rPr>
            <w:rStyle w:val="ac"/>
            <w:rFonts w:asciiTheme="majorEastAsia" w:eastAsiaTheme="majorEastAsia" w:hAnsiTheme="majorEastAsia"/>
            <w:noProof/>
          </w:rPr>
          <w:t>第２　連絡体制の確保</w:t>
        </w:r>
        <w:r w:rsidRPr="00D74573">
          <w:rPr>
            <w:rStyle w:val="ac"/>
            <w:rFonts w:asciiTheme="majorEastAsia" w:eastAsiaTheme="majorEastAsia" w:hAnsiTheme="majorEastAsia"/>
            <w:noProof/>
            <w:shd w:val="pct15" w:color="auto" w:fill="FFFFFF"/>
          </w:rPr>
          <w:t>【第２フェーズ】</w:t>
        </w:r>
        <w:r w:rsidRPr="00D74573">
          <w:rPr>
            <w:rFonts w:asciiTheme="majorEastAsia" w:eastAsiaTheme="majorEastAsia" w:hAnsiTheme="majorEastAsia"/>
            <w:noProof/>
            <w:webHidden/>
          </w:rPr>
          <w:tab/>
        </w:r>
        <w:r w:rsidRPr="00D74573">
          <w:rPr>
            <w:rFonts w:asciiTheme="majorEastAsia" w:eastAsiaTheme="majorEastAsia" w:hAnsiTheme="majorEastAsia"/>
            <w:noProof/>
            <w:webHidden/>
          </w:rPr>
          <w:fldChar w:fldCharType="begin"/>
        </w:r>
        <w:r w:rsidRPr="00D74573">
          <w:rPr>
            <w:rFonts w:asciiTheme="majorEastAsia" w:eastAsiaTheme="majorEastAsia" w:hAnsiTheme="majorEastAsia"/>
            <w:noProof/>
            <w:webHidden/>
          </w:rPr>
          <w:instrText xml:space="preserve"> PAGEREF _Toc242870312 \h </w:instrText>
        </w:r>
        <w:r w:rsidRPr="00D74573">
          <w:rPr>
            <w:rFonts w:asciiTheme="majorEastAsia" w:eastAsiaTheme="majorEastAsia" w:hAnsiTheme="majorEastAsia"/>
            <w:noProof/>
            <w:webHidden/>
          </w:rPr>
        </w:r>
        <w:r w:rsidRPr="00D74573">
          <w:rPr>
            <w:rFonts w:asciiTheme="majorEastAsia" w:eastAsiaTheme="majorEastAsia" w:hAnsiTheme="majorEastAsia"/>
            <w:noProof/>
            <w:webHidden/>
          </w:rPr>
          <w:fldChar w:fldCharType="separate"/>
        </w:r>
        <w:r w:rsidR="00385E62">
          <w:rPr>
            <w:rFonts w:asciiTheme="majorEastAsia" w:eastAsiaTheme="majorEastAsia" w:hAnsiTheme="majorEastAsia"/>
            <w:noProof/>
            <w:webHidden/>
          </w:rPr>
          <w:t>- 184 -</w:t>
        </w:r>
        <w:r w:rsidRPr="00D74573">
          <w:rPr>
            <w:rFonts w:asciiTheme="majorEastAsia" w:eastAsiaTheme="majorEastAsia" w:hAnsiTheme="majorEastAsia"/>
            <w:noProof/>
            <w:webHidden/>
          </w:rPr>
          <w:fldChar w:fldCharType="end"/>
        </w:r>
      </w:hyperlink>
    </w:p>
    <w:p w14:paraId="14E5CAB6" w14:textId="2CBAF4AF" w:rsidR="00990020" w:rsidRPr="00D74573" w:rsidRDefault="00990020">
      <w:pPr>
        <w:pStyle w:val="34"/>
        <w:tabs>
          <w:tab w:val="right" w:leader="dot" w:pos="8834"/>
        </w:tabs>
        <w:ind w:left="422"/>
        <w:rPr>
          <w:rFonts w:asciiTheme="majorEastAsia" w:eastAsiaTheme="majorEastAsia" w:hAnsiTheme="majorEastAsia" w:cstheme="minorBidi"/>
          <w:noProof/>
          <w14:ligatures w14:val="standardContextual"/>
        </w:rPr>
      </w:pPr>
      <w:hyperlink w:anchor="_Toc242870313" w:history="1">
        <w:r w:rsidRPr="00D74573">
          <w:rPr>
            <w:rStyle w:val="ac"/>
            <w:rFonts w:asciiTheme="majorEastAsia" w:eastAsiaTheme="majorEastAsia" w:hAnsiTheme="majorEastAsia"/>
            <w:noProof/>
          </w:rPr>
          <w:t>第３　重要拠点施設の機能確保</w:t>
        </w:r>
        <w:r w:rsidRPr="00D74573">
          <w:rPr>
            <w:rStyle w:val="ac"/>
            <w:rFonts w:asciiTheme="majorEastAsia" w:eastAsiaTheme="majorEastAsia" w:hAnsiTheme="majorEastAsia"/>
            <w:noProof/>
            <w:shd w:val="pct15" w:color="auto" w:fill="FFFFFF"/>
          </w:rPr>
          <w:t>【第３フェーズ】</w:t>
        </w:r>
        <w:r w:rsidRPr="00D74573">
          <w:rPr>
            <w:rFonts w:asciiTheme="majorEastAsia" w:eastAsiaTheme="majorEastAsia" w:hAnsiTheme="majorEastAsia"/>
            <w:noProof/>
            <w:webHidden/>
          </w:rPr>
          <w:tab/>
        </w:r>
        <w:r w:rsidRPr="00D74573">
          <w:rPr>
            <w:rFonts w:asciiTheme="majorEastAsia" w:eastAsiaTheme="majorEastAsia" w:hAnsiTheme="majorEastAsia"/>
            <w:noProof/>
            <w:webHidden/>
          </w:rPr>
          <w:fldChar w:fldCharType="begin"/>
        </w:r>
        <w:r w:rsidRPr="00D74573">
          <w:rPr>
            <w:rFonts w:asciiTheme="majorEastAsia" w:eastAsiaTheme="majorEastAsia" w:hAnsiTheme="majorEastAsia"/>
            <w:noProof/>
            <w:webHidden/>
          </w:rPr>
          <w:instrText xml:space="preserve"> PAGEREF _Toc242870313 \h </w:instrText>
        </w:r>
        <w:r w:rsidRPr="00D74573">
          <w:rPr>
            <w:rFonts w:asciiTheme="majorEastAsia" w:eastAsiaTheme="majorEastAsia" w:hAnsiTheme="majorEastAsia"/>
            <w:noProof/>
            <w:webHidden/>
          </w:rPr>
        </w:r>
        <w:r w:rsidRPr="00D74573">
          <w:rPr>
            <w:rFonts w:asciiTheme="majorEastAsia" w:eastAsiaTheme="majorEastAsia" w:hAnsiTheme="majorEastAsia"/>
            <w:noProof/>
            <w:webHidden/>
          </w:rPr>
          <w:fldChar w:fldCharType="separate"/>
        </w:r>
        <w:r w:rsidR="00385E62">
          <w:rPr>
            <w:rFonts w:asciiTheme="majorEastAsia" w:eastAsiaTheme="majorEastAsia" w:hAnsiTheme="majorEastAsia"/>
            <w:noProof/>
            <w:webHidden/>
          </w:rPr>
          <w:t>- 184 -</w:t>
        </w:r>
        <w:r w:rsidRPr="00D74573">
          <w:rPr>
            <w:rFonts w:asciiTheme="majorEastAsia" w:eastAsiaTheme="majorEastAsia" w:hAnsiTheme="majorEastAsia"/>
            <w:noProof/>
            <w:webHidden/>
          </w:rPr>
          <w:fldChar w:fldCharType="end"/>
        </w:r>
      </w:hyperlink>
    </w:p>
    <w:p w14:paraId="4E9E6615" w14:textId="71C42094" w:rsidR="00990020" w:rsidRPr="00D74573" w:rsidRDefault="00990020">
      <w:pPr>
        <w:pStyle w:val="34"/>
        <w:tabs>
          <w:tab w:val="right" w:leader="dot" w:pos="8834"/>
        </w:tabs>
        <w:ind w:left="422"/>
        <w:rPr>
          <w:rFonts w:asciiTheme="majorEastAsia" w:eastAsiaTheme="majorEastAsia" w:hAnsiTheme="majorEastAsia" w:cstheme="minorBidi"/>
          <w:noProof/>
          <w14:ligatures w14:val="standardContextual"/>
        </w:rPr>
      </w:pPr>
      <w:hyperlink w:anchor="_Toc242870314" w:history="1">
        <w:r w:rsidRPr="00D74573">
          <w:rPr>
            <w:rStyle w:val="ac"/>
            <w:rFonts w:asciiTheme="majorEastAsia" w:eastAsiaTheme="majorEastAsia" w:hAnsiTheme="majorEastAsia"/>
            <w:noProof/>
          </w:rPr>
          <w:t>第４　避難所支援の調整</w:t>
        </w:r>
        <w:r w:rsidRPr="00D74573">
          <w:rPr>
            <w:rStyle w:val="ac"/>
            <w:rFonts w:asciiTheme="majorEastAsia" w:eastAsiaTheme="majorEastAsia" w:hAnsiTheme="majorEastAsia"/>
            <w:noProof/>
            <w:shd w:val="pct15" w:color="auto" w:fill="FFFFFF"/>
          </w:rPr>
          <w:t>【第４フェーズ】</w:t>
        </w:r>
        <w:r w:rsidRPr="00D74573">
          <w:rPr>
            <w:rFonts w:asciiTheme="majorEastAsia" w:eastAsiaTheme="majorEastAsia" w:hAnsiTheme="majorEastAsia"/>
            <w:noProof/>
            <w:webHidden/>
          </w:rPr>
          <w:tab/>
        </w:r>
        <w:r w:rsidRPr="00D74573">
          <w:rPr>
            <w:rFonts w:asciiTheme="majorEastAsia" w:eastAsiaTheme="majorEastAsia" w:hAnsiTheme="majorEastAsia"/>
            <w:noProof/>
            <w:webHidden/>
          </w:rPr>
          <w:fldChar w:fldCharType="begin"/>
        </w:r>
        <w:r w:rsidRPr="00D74573">
          <w:rPr>
            <w:rFonts w:asciiTheme="majorEastAsia" w:eastAsiaTheme="majorEastAsia" w:hAnsiTheme="majorEastAsia"/>
            <w:noProof/>
            <w:webHidden/>
          </w:rPr>
          <w:instrText xml:space="preserve"> PAGEREF _Toc242870314 \h </w:instrText>
        </w:r>
        <w:r w:rsidRPr="00D74573">
          <w:rPr>
            <w:rFonts w:asciiTheme="majorEastAsia" w:eastAsiaTheme="majorEastAsia" w:hAnsiTheme="majorEastAsia"/>
            <w:noProof/>
            <w:webHidden/>
          </w:rPr>
        </w:r>
        <w:r w:rsidRPr="00D74573">
          <w:rPr>
            <w:rFonts w:asciiTheme="majorEastAsia" w:eastAsiaTheme="majorEastAsia" w:hAnsiTheme="majorEastAsia"/>
            <w:noProof/>
            <w:webHidden/>
          </w:rPr>
          <w:fldChar w:fldCharType="separate"/>
        </w:r>
        <w:r w:rsidR="00385E62">
          <w:rPr>
            <w:rFonts w:asciiTheme="majorEastAsia" w:eastAsiaTheme="majorEastAsia" w:hAnsiTheme="majorEastAsia"/>
            <w:noProof/>
            <w:webHidden/>
          </w:rPr>
          <w:t>- 184 -</w:t>
        </w:r>
        <w:r w:rsidRPr="00D74573">
          <w:rPr>
            <w:rFonts w:asciiTheme="majorEastAsia" w:eastAsiaTheme="majorEastAsia" w:hAnsiTheme="majorEastAsia"/>
            <w:noProof/>
            <w:webHidden/>
          </w:rPr>
          <w:fldChar w:fldCharType="end"/>
        </w:r>
      </w:hyperlink>
    </w:p>
    <w:p w14:paraId="2DBF15C9" w14:textId="2E66F34A" w:rsidR="00990020" w:rsidRPr="00D74573" w:rsidRDefault="00990020">
      <w:pPr>
        <w:pStyle w:val="24"/>
        <w:tabs>
          <w:tab w:val="right" w:leader="dot" w:pos="8834"/>
        </w:tabs>
        <w:ind w:left="211"/>
        <w:rPr>
          <w:rFonts w:asciiTheme="majorEastAsia" w:eastAsiaTheme="majorEastAsia" w:hAnsiTheme="majorEastAsia" w:cstheme="minorBidi"/>
          <w:noProof/>
          <w14:ligatures w14:val="standardContextual"/>
        </w:rPr>
      </w:pPr>
      <w:hyperlink w:anchor="_Toc242870315" w:history="1">
        <w:r w:rsidRPr="00D74573">
          <w:rPr>
            <w:rStyle w:val="ac"/>
            <w:rFonts w:asciiTheme="majorEastAsia" w:eastAsiaTheme="majorEastAsia" w:hAnsiTheme="majorEastAsia"/>
            <w:noProof/>
          </w:rPr>
          <w:t>第８節　被災者の生活支援</w:t>
        </w:r>
        <w:r w:rsidRPr="00D74573">
          <w:rPr>
            <w:rFonts w:asciiTheme="majorEastAsia" w:eastAsiaTheme="majorEastAsia" w:hAnsiTheme="majorEastAsia"/>
            <w:noProof/>
            <w:webHidden/>
          </w:rPr>
          <w:tab/>
        </w:r>
        <w:r w:rsidRPr="00D74573">
          <w:rPr>
            <w:rFonts w:asciiTheme="majorEastAsia" w:eastAsiaTheme="majorEastAsia" w:hAnsiTheme="majorEastAsia"/>
            <w:noProof/>
            <w:webHidden/>
          </w:rPr>
          <w:fldChar w:fldCharType="begin"/>
        </w:r>
        <w:r w:rsidRPr="00D74573">
          <w:rPr>
            <w:rFonts w:asciiTheme="majorEastAsia" w:eastAsiaTheme="majorEastAsia" w:hAnsiTheme="majorEastAsia"/>
            <w:noProof/>
            <w:webHidden/>
          </w:rPr>
          <w:instrText xml:space="preserve"> PAGEREF _Toc242870315 \h </w:instrText>
        </w:r>
        <w:r w:rsidRPr="00D74573">
          <w:rPr>
            <w:rFonts w:asciiTheme="majorEastAsia" w:eastAsiaTheme="majorEastAsia" w:hAnsiTheme="majorEastAsia"/>
            <w:noProof/>
            <w:webHidden/>
          </w:rPr>
        </w:r>
        <w:r w:rsidRPr="00D74573">
          <w:rPr>
            <w:rFonts w:asciiTheme="majorEastAsia" w:eastAsiaTheme="majorEastAsia" w:hAnsiTheme="majorEastAsia"/>
            <w:noProof/>
            <w:webHidden/>
          </w:rPr>
          <w:fldChar w:fldCharType="separate"/>
        </w:r>
        <w:r w:rsidR="00385E62">
          <w:rPr>
            <w:rFonts w:asciiTheme="majorEastAsia" w:eastAsiaTheme="majorEastAsia" w:hAnsiTheme="majorEastAsia"/>
            <w:noProof/>
            <w:webHidden/>
          </w:rPr>
          <w:t>- 185 -</w:t>
        </w:r>
        <w:r w:rsidRPr="00D74573">
          <w:rPr>
            <w:rFonts w:asciiTheme="majorEastAsia" w:eastAsiaTheme="majorEastAsia" w:hAnsiTheme="majorEastAsia"/>
            <w:noProof/>
            <w:webHidden/>
          </w:rPr>
          <w:fldChar w:fldCharType="end"/>
        </w:r>
      </w:hyperlink>
    </w:p>
    <w:p w14:paraId="16B397EA" w14:textId="3D072DC5" w:rsidR="00990020" w:rsidRPr="00D74573" w:rsidRDefault="00990020">
      <w:pPr>
        <w:pStyle w:val="34"/>
        <w:tabs>
          <w:tab w:val="right" w:leader="dot" w:pos="8834"/>
        </w:tabs>
        <w:ind w:left="422"/>
        <w:rPr>
          <w:rFonts w:asciiTheme="majorEastAsia" w:eastAsiaTheme="majorEastAsia" w:hAnsiTheme="majorEastAsia" w:cstheme="minorBidi"/>
          <w:noProof/>
          <w14:ligatures w14:val="standardContextual"/>
        </w:rPr>
      </w:pPr>
      <w:hyperlink w:anchor="_Toc242870316" w:history="1">
        <w:r w:rsidRPr="00D74573">
          <w:rPr>
            <w:rStyle w:val="ac"/>
            <w:rFonts w:asciiTheme="majorEastAsia" w:eastAsiaTheme="majorEastAsia" w:hAnsiTheme="majorEastAsia"/>
            <w:noProof/>
          </w:rPr>
          <w:t>第１　災害救助法の適用</w:t>
        </w:r>
        <w:r w:rsidRPr="00D74573">
          <w:rPr>
            <w:rStyle w:val="ac"/>
            <w:rFonts w:asciiTheme="majorEastAsia" w:eastAsiaTheme="majorEastAsia" w:hAnsiTheme="majorEastAsia"/>
            <w:noProof/>
            <w:shd w:val="pct15" w:color="auto" w:fill="FFFFFF"/>
          </w:rPr>
          <w:t>【第０フェーズ～】</w:t>
        </w:r>
        <w:r w:rsidRPr="00D74573">
          <w:rPr>
            <w:rFonts w:asciiTheme="majorEastAsia" w:eastAsiaTheme="majorEastAsia" w:hAnsiTheme="majorEastAsia"/>
            <w:noProof/>
            <w:webHidden/>
          </w:rPr>
          <w:tab/>
        </w:r>
        <w:r w:rsidRPr="00D74573">
          <w:rPr>
            <w:rFonts w:asciiTheme="majorEastAsia" w:eastAsiaTheme="majorEastAsia" w:hAnsiTheme="majorEastAsia"/>
            <w:noProof/>
            <w:webHidden/>
          </w:rPr>
          <w:fldChar w:fldCharType="begin"/>
        </w:r>
        <w:r w:rsidRPr="00D74573">
          <w:rPr>
            <w:rFonts w:asciiTheme="majorEastAsia" w:eastAsiaTheme="majorEastAsia" w:hAnsiTheme="majorEastAsia"/>
            <w:noProof/>
            <w:webHidden/>
          </w:rPr>
          <w:instrText xml:space="preserve"> PAGEREF _Toc242870316 \h </w:instrText>
        </w:r>
        <w:r w:rsidRPr="00D74573">
          <w:rPr>
            <w:rFonts w:asciiTheme="majorEastAsia" w:eastAsiaTheme="majorEastAsia" w:hAnsiTheme="majorEastAsia"/>
            <w:noProof/>
            <w:webHidden/>
          </w:rPr>
        </w:r>
        <w:r w:rsidRPr="00D74573">
          <w:rPr>
            <w:rFonts w:asciiTheme="majorEastAsia" w:eastAsiaTheme="majorEastAsia" w:hAnsiTheme="majorEastAsia"/>
            <w:noProof/>
            <w:webHidden/>
          </w:rPr>
          <w:fldChar w:fldCharType="separate"/>
        </w:r>
        <w:r w:rsidR="00385E62">
          <w:rPr>
            <w:rFonts w:asciiTheme="majorEastAsia" w:eastAsiaTheme="majorEastAsia" w:hAnsiTheme="majorEastAsia"/>
            <w:noProof/>
            <w:webHidden/>
          </w:rPr>
          <w:t>- 186 -</w:t>
        </w:r>
        <w:r w:rsidRPr="00D74573">
          <w:rPr>
            <w:rFonts w:asciiTheme="majorEastAsia" w:eastAsiaTheme="majorEastAsia" w:hAnsiTheme="majorEastAsia"/>
            <w:noProof/>
            <w:webHidden/>
          </w:rPr>
          <w:fldChar w:fldCharType="end"/>
        </w:r>
      </w:hyperlink>
    </w:p>
    <w:p w14:paraId="02D7A1F6" w14:textId="0AD2BDD9" w:rsidR="00990020" w:rsidRPr="00D74573" w:rsidRDefault="00990020">
      <w:pPr>
        <w:pStyle w:val="34"/>
        <w:tabs>
          <w:tab w:val="right" w:leader="dot" w:pos="8834"/>
        </w:tabs>
        <w:ind w:left="422"/>
        <w:rPr>
          <w:rFonts w:asciiTheme="majorEastAsia" w:eastAsiaTheme="majorEastAsia" w:hAnsiTheme="majorEastAsia" w:cstheme="minorBidi"/>
          <w:noProof/>
          <w14:ligatures w14:val="standardContextual"/>
        </w:rPr>
      </w:pPr>
      <w:hyperlink w:anchor="_Toc242870317" w:history="1">
        <w:r w:rsidRPr="00D74573">
          <w:rPr>
            <w:rStyle w:val="ac"/>
            <w:rFonts w:asciiTheme="majorEastAsia" w:eastAsiaTheme="majorEastAsia" w:hAnsiTheme="majorEastAsia"/>
            <w:noProof/>
          </w:rPr>
          <w:t>第２　緊急物資の供給</w:t>
        </w:r>
        <w:r w:rsidRPr="00D74573">
          <w:rPr>
            <w:rStyle w:val="ac"/>
            <w:rFonts w:asciiTheme="majorEastAsia" w:eastAsiaTheme="majorEastAsia" w:hAnsiTheme="majorEastAsia"/>
            <w:noProof/>
            <w:shd w:val="pct15" w:color="auto" w:fill="FFFFFF"/>
          </w:rPr>
          <w:t>【第１フェーズ～】</w:t>
        </w:r>
        <w:r w:rsidRPr="00D74573">
          <w:rPr>
            <w:rFonts w:asciiTheme="majorEastAsia" w:eastAsiaTheme="majorEastAsia" w:hAnsiTheme="majorEastAsia"/>
            <w:noProof/>
            <w:webHidden/>
          </w:rPr>
          <w:tab/>
        </w:r>
        <w:r w:rsidRPr="00D74573">
          <w:rPr>
            <w:rFonts w:asciiTheme="majorEastAsia" w:eastAsiaTheme="majorEastAsia" w:hAnsiTheme="majorEastAsia"/>
            <w:noProof/>
            <w:webHidden/>
          </w:rPr>
          <w:fldChar w:fldCharType="begin"/>
        </w:r>
        <w:r w:rsidRPr="00D74573">
          <w:rPr>
            <w:rFonts w:asciiTheme="majorEastAsia" w:eastAsiaTheme="majorEastAsia" w:hAnsiTheme="majorEastAsia"/>
            <w:noProof/>
            <w:webHidden/>
          </w:rPr>
          <w:instrText xml:space="preserve"> PAGEREF _Toc242870317 \h </w:instrText>
        </w:r>
        <w:r w:rsidRPr="00D74573">
          <w:rPr>
            <w:rFonts w:asciiTheme="majorEastAsia" w:eastAsiaTheme="majorEastAsia" w:hAnsiTheme="majorEastAsia"/>
            <w:noProof/>
            <w:webHidden/>
          </w:rPr>
        </w:r>
        <w:r w:rsidRPr="00D74573">
          <w:rPr>
            <w:rFonts w:asciiTheme="majorEastAsia" w:eastAsiaTheme="majorEastAsia" w:hAnsiTheme="majorEastAsia"/>
            <w:noProof/>
            <w:webHidden/>
          </w:rPr>
          <w:fldChar w:fldCharType="separate"/>
        </w:r>
        <w:r w:rsidR="00385E62">
          <w:rPr>
            <w:rFonts w:asciiTheme="majorEastAsia" w:eastAsiaTheme="majorEastAsia" w:hAnsiTheme="majorEastAsia"/>
            <w:noProof/>
            <w:webHidden/>
          </w:rPr>
          <w:t>- 190 -</w:t>
        </w:r>
        <w:r w:rsidRPr="00D74573">
          <w:rPr>
            <w:rFonts w:asciiTheme="majorEastAsia" w:eastAsiaTheme="majorEastAsia" w:hAnsiTheme="majorEastAsia"/>
            <w:noProof/>
            <w:webHidden/>
          </w:rPr>
          <w:fldChar w:fldCharType="end"/>
        </w:r>
      </w:hyperlink>
    </w:p>
    <w:p w14:paraId="256D0574" w14:textId="4A2B75FB" w:rsidR="00990020" w:rsidRPr="00D74573" w:rsidRDefault="00990020">
      <w:pPr>
        <w:pStyle w:val="34"/>
        <w:tabs>
          <w:tab w:val="right" w:leader="dot" w:pos="8834"/>
        </w:tabs>
        <w:ind w:left="422"/>
        <w:rPr>
          <w:rFonts w:asciiTheme="majorEastAsia" w:eastAsiaTheme="majorEastAsia" w:hAnsiTheme="majorEastAsia" w:cstheme="minorBidi"/>
          <w:noProof/>
          <w14:ligatures w14:val="standardContextual"/>
        </w:rPr>
      </w:pPr>
      <w:hyperlink w:anchor="_Toc242870318" w:history="1">
        <w:r w:rsidRPr="00D74573">
          <w:rPr>
            <w:rStyle w:val="ac"/>
            <w:rFonts w:asciiTheme="majorEastAsia" w:eastAsiaTheme="majorEastAsia" w:hAnsiTheme="majorEastAsia"/>
            <w:noProof/>
          </w:rPr>
          <w:t>第３　住宅の応急確保</w:t>
        </w:r>
        <w:r w:rsidRPr="00D74573">
          <w:rPr>
            <w:rFonts w:asciiTheme="majorEastAsia" w:eastAsiaTheme="majorEastAsia" w:hAnsiTheme="majorEastAsia"/>
            <w:noProof/>
            <w:webHidden/>
          </w:rPr>
          <w:tab/>
        </w:r>
        <w:r w:rsidRPr="00D74573">
          <w:rPr>
            <w:rFonts w:asciiTheme="majorEastAsia" w:eastAsiaTheme="majorEastAsia" w:hAnsiTheme="majorEastAsia"/>
            <w:noProof/>
            <w:webHidden/>
          </w:rPr>
          <w:fldChar w:fldCharType="begin"/>
        </w:r>
        <w:r w:rsidRPr="00D74573">
          <w:rPr>
            <w:rFonts w:asciiTheme="majorEastAsia" w:eastAsiaTheme="majorEastAsia" w:hAnsiTheme="majorEastAsia"/>
            <w:noProof/>
            <w:webHidden/>
          </w:rPr>
          <w:instrText xml:space="preserve"> PAGEREF _Toc242870318 \h </w:instrText>
        </w:r>
        <w:r w:rsidRPr="00D74573">
          <w:rPr>
            <w:rFonts w:asciiTheme="majorEastAsia" w:eastAsiaTheme="majorEastAsia" w:hAnsiTheme="majorEastAsia"/>
            <w:noProof/>
            <w:webHidden/>
          </w:rPr>
        </w:r>
        <w:r w:rsidRPr="00D74573">
          <w:rPr>
            <w:rFonts w:asciiTheme="majorEastAsia" w:eastAsiaTheme="majorEastAsia" w:hAnsiTheme="majorEastAsia"/>
            <w:noProof/>
            <w:webHidden/>
          </w:rPr>
          <w:fldChar w:fldCharType="separate"/>
        </w:r>
        <w:r w:rsidR="00385E62">
          <w:rPr>
            <w:rFonts w:asciiTheme="majorEastAsia" w:eastAsiaTheme="majorEastAsia" w:hAnsiTheme="majorEastAsia"/>
            <w:noProof/>
            <w:webHidden/>
          </w:rPr>
          <w:t>- 194 -</w:t>
        </w:r>
        <w:r w:rsidRPr="00D74573">
          <w:rPr>
            <w:rFonts w:asciiTheme="majorEastAsia" w:eastAsiaTheme="majorEastAsia" w:hAnsiTheme="majorEastAsia"/>
            <w:noProof/>
            <w:webHidden/>
          </w:rPr>
          <w:fldChar w:fldCharType="end"/>
        </w:r>
      </w:hyperlink>
    </w:p>
    <w:p w14:paraId="6276F7A0" w14:textId="17BAA246" w:rsidR="00990020" w:rsidRPr="00D74573" w:rsidRDefault="00990020">
      <w:pPr>
        <w:pStyle w:val="34"/>
        <w:tabs>
          <w:tab w:val="right" w:leader="dot" w:pos="8834"/>
        </w:tabs>
        <w:ind w:left="422"/>
        <w:rPr>
          <w:rFonts w:asciiTheme="majorEastAsia" w:eastAsiaTheme="majorEastAsia" w:hAnsiTheme="majorEastAsia" w:cstheme="minorBidi"/>
          <w:noProof/>
          <w14:ligatures w14:val="standardContextual"/>
        </w:rPr>
      </w:pPr>
      <w:hyperlink w:anchor="_Toc242870319" w:history="1">
        <w:r w:rsidRPr="00D74573">
          <w:rPr>
            <w:rStyle w:val="ac"/>
            <w:rFonts w:asciiTheme="majorEastAsia" w:eastAsiaTheme="majorEastAsia" w:hAnsiTheme="majorEastAsia"/>
            <w:noProof/>
          </w:rPr>
          <w:t>第４　応急教育</w:t>
        </w:r>
        <w:r w:rsidRPr="00D74573">
          <w:rPr>
            <w:rStyle w:val="ac"/>
            <w:rFonts w:asciiTheme="majorEastAsia" w:eastAsiaTheme="majorEastAsia" w:hAnsiTheme="majorEastAsia"/>
            <w:noProof/>
            <w:shd w:val="pct15" w:color="auto" w:fill="FFFFFF"/>
          </w:rPr>
          <w:t>【第１フェーズ～】</w:t>
        </w:r>
        <w:r w:rsidRPr="00D74573">
          <w:rPr>
            <w:rFonts w:asciiTheme="majorEastAsia" w:eastAsiaTheme="majorEastAsia" w:hAnsiTheme="majorEastAsia"/>
            <w:noProof/>
            <w:webHidden/>
          </w:rPr>
          <w:tab/>
        </w:r>
        <w:r w:rsidRPr="00D74573">
          <w:rPr>
            <w:rFonts w:asciiTheme="majorEastAsia" w:eastAsiaTheme="majorEastAsia" w:hAnsiTheme="majorEastAsia"/>
            <w:noProof/>
            <w:webHidden/>
          </w:rPr>
          <w:fldChar w:fldCharType="begin"/>
        </w:r>
        <w:r w:rsidRPr="00D74573">
          <w:rPr>
            <w:rFonts w:asciiTheme="majorEastAsia" w:eastAsiaTheme="majorEastAsia" w:hAnsiTheme="majorEastAsia"/>
            <w:noProof/>
            <w:webHidden/>
          </w:rPr>
          <w:instrText xml:space="preserve"> PAGEREF _Toc242870319 \h </w:instrText>
        </w:r>
        <w:r w:rsidRPr="00D74573">
          <w:rPr>
            <w:rFonts w:asciiTheme="majorEastAsia" w:eastAsiaTheme="majorEastAsia" w:hAnsiTheme="majorEastAsia"/>
            <w:noProof/>
            <w:webHidden/>
          </w:rPr>
        </w:r>
        <w:r w:rsidRPr="00D74573">
          <w:rPr>
            <w:rFonts w:asciiTheme="majorEastAsia" w:eastAsiaTheme="majorEastAsia" w:hAnsiTheme="majorEastAsia"/>
            <w:noProof/>
            <w:webHidden/>
          </w:rPr>
          <w:fldChar w:fldCharType="separate"/>
        </w:r>
        <w:r w:rsidR="00385E62">
          <w:rPr>
            <w:rFonts w:asciiTheme="majorEastAsia" w:eastAsiaTheme="majorEastAsia" w:hAnsiTheme="majorEastAsia"/>
            <w:noProof/>
            <w:webHidden/>
          </w:rPr>
          <w:t>- 197 -</w:t>
        </w:r>
        <w:r w:rsidRPr="00D74573">
          <w:rPr>
            <w:rFonts w:asciiTheme="majorEastAsia" w:eastAsiaTheme="majorEastAsia" w:hAnsiTheme="majorEastAsia"/>
            <w:noProof/>
            <w:webHidden/>
          </w:rPr>
          <w:fldChar w:fldCharType="end"/>
        </w:r>
      </w:hyperlink>
    </w:p>
    <w:p w14:paraId="0906A6B8" w14:textId="30F2B760" w:rsidR="00990020" w:rsidRPr="00D74573" w:rsidRDefault="00990020">
      <w:pPr>
        <w:pStyle w:val="34"/>
        <w:tabs>
          <w:tab w:val="right" w:leader="dot" w:pos="8834"/>
        </w:tabs>
        <w:ind w:left="422"/>
        <w:rPr>
          <w:rFonts w:asciiTheme="majorEastAsia" w:eastAsiaTheme="majorEastAsia" w:hAnsiTheme="majorEastAsia" w:cstheme="minorBidi"/>
          <w:noProof/>
          <w14:ligatures w14:val="standardContextual"/>
        </w:rPr>
      </w:pPr>
      <w:hyperlink w:anchor="_Toc242870320" w:history="1">
        <w:r w:rsidRPr="00D74573">
          <w:rPr>
            <w:rStyle w:val="ac"/>
            <w:rFonts w:asciiTheme="majorEastAsia" w:eastAsiaTheme="majorEastAsia" w:hAnsiTheme="majorEastAsia"/>
            <w:noProof/>
          </w:rPr>
          <w:t>第５　自発的支援の受入れ</w:t>
        </w:r>
        <w:r w:rsidRPr="00D74573">
          <w:rPr>
            <w:rFonts w:asciiTheme="majorEastAsia" w:eastAsiaTheme="majorEastAsia" w:hAnsiTheme="majorEastAsia"/>
            <w:noProof/>
            <w:webHidden/>
          </w:rPr>
          <w:tab/>
        </w:r>
        <w:r w:rsidRPr="00D74573">
          <w:rPr>
            <w:rFonts w:asciiTheme="majorEastAsia" w:eastAsiaTheme="majorEastAsia" w:hAnsiTheme="majorEastAsia"/>
            <w:noProof/>
            <w:webHidden/>
          </w:rPr>
          <w:fldChar w:fldCharType="begin"/>
        </w:r>
        <w:r w:rsidRPr="00D74573">
          <w:rPr>
            <w:rFonts w:asciiTheme="majorEastAsia" w:eastAsiaTheme="majorEastAsia" w:hAnsiTheme="majorEastAsia"/>
            <w:noProof/>
            <w:webHidden/>
          </w:rPr>
          <w:instrText xml:space="preserve"> PAGEREF _Toc242870320 \h </w:instrText>
        </w:r>
        <w:r w:rsidRPr="00D74573">
          <w:rPr>
            <w:rFonts w:asciiTheme="majorEastAsia" w:eastAsiaTheme="majorEastAsia" w:hAnsiTheme="majorEastAsia"/>
            <w:noProof/>
            <w:webHidden/>
          </w:rPr>
        </w:r>
        <w:r w:rsidRPr="00D74573">
          <w:rPr>
            <w:rFonts w:asciiTheme="majorEastAsia" w:eastAsiaTheme="majorEastAsia" w:hAnsiTheme="majorEastAsia"/>
            <w:noProof/>
            <w:webHidden/>
          </w:rPr>
          <w:fldChar w:fldCharType="separate"/>
        </w:r>
        <w:r w:rsidR="00385E62">
          <w:rPr>
            <w:rFonts w:asciiTheme="majorEastAsia" w:eastAsiaTheme="majorEastAsia" w:hAnsiTheme="majorEastAsia"/>
            <w:noProof/>
            <w:webHidden/>
          </w:rPr>
          <w:t>- 199 -</w:t>
        </w:r>
        <w:r w:rsidRPr="00D74573">
          <w:rPr>
            <w:rFonts w:asciiTheme="majorEastAsia" w:eastAsiaTheme="majorEastAsia" w:hAnsiTheme="majorEastAsia"/>
            <w:noProof/>
            <w:webHidden/>
          </w:rPr>
          <w:fldChar w:fldCharType="end"/>
        </w:r>
      </w:hyperlink>
    </w:p>
    <w:p w14:paraId="5F36A268" w14:textId="280EF43D" w:rsidR="00990020" w:rsidRPr="00D74573" w:rsidRDefault="00990020">
      <w:pPr>
        <w:pStyle w:val="34"/>
        <w:tabs>
          <w:tab w:val="right" w:leader="dot" w:pos="8834"/>
        </w:tabs>
        <w:ind w:left="422"/>
        <w:rPr>
          <w:rFonts w:asciiTheme="majorEastAsia" w:eastAsiaTheme="majorEastAsia" w:hAnsiTheme="majorEastAsia" w:cstheme="minorBidi"/>
          <w:noProof/>
          <w14:ligatures w14:val="standardContextual"/>
        </w:rPr>
      </w:pPr>
      <w:hyperlink w:anchor="_Toc242870321" w:history="1">
        <w:r w:rsidRPr="00D74573">
          <w:rPr>
            <w:rStyle w:val="ac"/>
            <w:rFonts w:asciiTheme="majorEastAsia" w:eastAsiaTheme="majorEastAsia" w:hAnsiTheme="majorEastAsia"/>
            <w:noProof/>
          </w:rPr>
          <w:t>第６　被災者生活再建支援金の支給</w:t>
        </w:r>
        <w:r w:rsidRPr="00D74573">
          <w:rPr>
            <w:rStyle w:val="ac"/>
            <w:rFonts w:asciiTheme="majorEastAsia" w:eastAsiaTheme="majorEastAsia" w:hAnsiTheme="majorEastAsia"/>
            <w:noProof/>
            <w:shd w:val="pct15" w:color="auto" w:fill="FFFFFF"/>
          </w:rPr>
          <w:t>【第６フェーズ～】</w:t>
        </w:r>
        <w:r w:rsidRPr="00D74573">
          <w:rPr>
            <w:rFonts w:asciiTheme="majorEastAsia" w:eastAsiaTheme="majorEastAsia" w:hAnsiTheme="majorEastAsia"/>
            <w:noProof/>
            <w:webHidden/>
          </w:rPr>
          <w:tab/>
        </w:r>
        <w:r w:rsidRPr="00D74573">
          <w:rPr>
            <w:rFonts w:asciiTheme="majorEastAsia" w:eastAsiaTheme="majorEastAsia" w:hAnsiTheme="majorEastAsia"/>
            <w:noProof/>
            <w:webHidden/>
          </w:rPr>
          <w:fldChar w:fldCharType="begin"/>
        </w:r>
        <w:r w:rsidRPr="00D74573">
          <w:rPr>
            <w:rFonts w:asciiTheme="majorEastAsia" w:eastAsiaTheme="majorEastAsia" w:hAnsiTheme="majorEastAsia"/>
            <w:noProof/>
            <w:webHidden/>
          </w:rPr>
          <w:instrText xml:space="preserve"> PAGEREF _Toc242870321 \h </w:instrText>
        </w:r>
        <w:r w:rsidRPr="00D74573">
          <w:rPr>
            <w:rFonts w:asciiTheme="majorEastAsia" w:eastAsiaTheme="majorEastAsia" w:hAnsiTheme="majorEastAsia"/>
            <w:noProof/>
            <w:webHidden/>
          </w:rPr>
        </w:r>
        <w:r w:rsidRPr="00D74573">
          <w:rPr>
            <w:rFonts w:asciiTheme="majorEastAsia" w:eastAsiaTheme="majorEastAsia" w:hAnsiTheme="majorEastAsia"/>
            <w:noProof/>
            <w:webHidden/>
          </w:rPr>
          <w:fldChar w:fldCharType="separate"/>
        </w:r>
        <w:r w:rsidR="00385E62">
          <w:rPr>
            <w:rFonts w:asciiTheme="majorEastAsia" w:eastAsiaTheme="majorEastAsia" w:hAnsiTheme="majorEastAsia"/>
            <w:noProof/>
            <w:webHidden/>
          </w:rPr>
          <w:t>- 204 -</w:t>
        </w:r>
        <w:r w:rsidRPr="00D74573">
          <w:rPr>
            <w:rFonts w:asciiTheme="majorEastAsia" w:eastAsiaTheme="majorEastAsia" w:hAnsiTheme="majorEastAsia"/>
            <w:noProof/>
            <w:webHidden/>
          </w:rPr>
          <w:fldChar w:fldCharType="end"/>
        </w:r>
      </w:hyperlink>
    </w:p>
    <w:p w14:paraId="4E014726" w14:textId="3F15B1E1" w:rsidR="00990020" w:rsidRPr="00D74573" w:rsidRDefault="00990020">
      <w:pPr>
        <w:pStyle w:val="24"/>
        <w:tabs>
          <w:tab w:val="right" w:leader="dot" w:pos="8834"/>
        </w:tabs>
        <w:ind w:left="211"/>
        <w:rPr>
          <w:rFonts w:asciiTheme="majorEastAsia" w:eastAsiaTheme="majorEastAsia" w:hAnsiTheme="majorEastAsia" w:cstheme="minorBidi"/>
          <w:noProof/>
          <w14:ligatures w14:val="standardContextual"/>
        </w:rPr>
      </w:pPr>
      <w:hyperlink w:anchor="_Toc242870322" w:history="1">
        <w:r w:rsidRPr="00D74573">
          <w:rPr>
            <w:rStyle w:val="ac"/>
            <w:rFonts w:asciiTheme="majorEastAsia" w:eastAsiaTheme="majorEastAsia" w:hAnsiTheme="majorEastAsia"/>
            <w:noProof/>
          </w:rPr>
          <w:t>第９節　社会環境の確保</w:t>
        </w:r>
        <w:r w:rsidRPr="00D74573">
          <w:rPr>
            <w:rFonts w:asciiTheme="majorEastAsia" w:eastAsiaTheme="majorEastAsia" w:hAnsiTheme="majorEastAsia"/>
            <w:noProof/>
            <w:webHidden/>
          </w:rPr>
          <w:tab/>
        </w:r>
        <w:r w:rsidRPr="00D74573">
          <w:rPr>
            <w:rFonts w:asciiTheme="majorEastAsia" w:eastAsiaTheme="majorEastAsia" w:hAnsiTheme="majorEastAsia"/>
            <w:noProof/>
            <w:webHidden/>
          </w:rPr>
          <w:fldChar w:fldCharType="begin"/>
        </w:r>
        <w:r w:rsidRPr="00D74573">
          <w:rPr>
            <w:rFonts w:asciiTheme="majorEastAsia" w:eastAsiaTheme="majorEastAsia" w:hAnsiTheme="majorEastAsia"/>
            <w:noProof/>
            <w:webHidden/>
          </w:rPr>
          <w:instrText xml:space="preserve"> PAGEREF _Toc242870322 \h </w:instrText>
        </w:r>
        <w:r w:rsidRPr="00D74573">
          <w:rPr>
            <w:rFonts w:asciiTheme="majorEastAsia" w:eastAsiaTheme="majorEastAsia" w:hAnsiTheme="majorEastAsia"/>
            <w:noProof/>
            <w:webHidden/>
          </w:rPr>
        </w:r>
        <w:r w:rsidRPr="00D74573">
          <w:rPr>
            <w:rFonts w:asciiTheme="majorEastAsia" w:eastAsiaTheme="majorEastAsia" w:hAnsiTheme="majorEastAsia"/>
            <w:noProof/>
            <w:webHidden/>
          </w:rPr>
          <w:fldChar w:fldCharType="separate"/>
        </w:r>
        <w:r w:rsidR="00385E62">
          <w:rPr>
            <w:rFonts w:asciiTheme="majorEastAsia" w:eastAsiaTheme="majorEastAsia" w:hAnsiTheme="majorEastAsia"/>
            <w:noProof/>
            <w:webHidden/>
          </w:rPr>
          <w:t>- 206 -</w:t>
        </w:r>
        <w:r w:rsidRPr="00D74573">
          <w:rPr>
            <w:rFonts w:asciiTheme="majorEastAsia" w:eastAsiaTheme="majorEastAsia" w:hAnsiTheme="majorEastAsia"/>
            <w:noProof/>
            <w:webHidden/>
          </w:rPr>
          <w:fldChar w:fldCharType="end"/>
        </w:r>
      </w:hyperlink>
    </w:p>
    <w:p w14:paraId="22134EB4" w14:textId="001D5BDF" w:rsidR="00990020" w:rsidRPr="00D74573" w:rsidRDefault="00990020">
      <w:pPr>
        <w:pStyle w:val="34"/>
        <w:tabs>
          <w:tab w:val="right" w:leader="dot" w:pos="8834"/>
        </w:tabs>
        <w:ind w:left="422"/>
        <w:rPr>
          <w:rFonts w:asciiTheme="majorEastAsia" w:eastAsiaTheme="majorEastAsia" w:hAnsiTheme="majorEastAsia" w:cstheme="minorBidi"/>
          <w:noProof/>
          <w14:ligatures w14:val="standardContextual"/>
        </w:rPr>
      </w:pPr>
      <w:hyperlink w:anchor="_Toc242870323" w:history="1">
        <w:r w:rsidRPr="00D74573">
          <w:rPr>
            <w:rStyle w:val="ac"/>
            <w:rFonts w:asciiTheme="majorEastAsia" w:eastAsiaTheme="majorEastAsia" w:hAnsiTheme="majorEastAsia"/>
            <w:noProof/>
          </w:rPr>
          <w:t>第１　保健衛生活動</w:t>
        </w:r>
        <w:r w:rsidRPr="00D74573">
          <w:rPr>
            <w:rFonts w:asciiTheme="majorEastAsia" w:eastAsiaTheme="majorEastAsia" w:hAnsiTheme="majorEastAsia"/>
            <w:noProof/>
            <w:webHidden/>
          </w:rPr>
          <w:tab/>
        </w:r>
        <w:r w:rsidRPr="00D74573">
          <w:rPr>
            <w:rFonts w:asciiTheme="majorEastAsia" w:eastAsiaTheme="majorEastAsia" w:hAnsiTheme="majorEastAsia"/>
            <w:noProof/>
            <w:webHidden/>
          </w:rPr>
          <w:fldChar w:fldCharType="begin"/>
        </w:r>
        <w:r w:rsidRPr="00D74573">
          <w:rPr>
            <w:rFonts w:asciiTheme="majorEastAsia" w:eastAsiaTheme="majorEastAsia" w:hAnsiTheme="majorEastAsia"/>
            <w:noProof/>
            <w:webHidden/>
          </w:rPr>
          <w:instrText xml:space="preserve"> PAGEREF _Toc242870323 \h </w:instrText>
        </w:r>
        <w:r w:rsidRPr="00D74573">
          <w:rPr>
            <w:rFonts w:asciiTheme="majorEastAsia" w:eastAsiaTheme="majorEastAsia" w:hAnsiTheme="majorEastAsia"/>
            <w:noProof/>
            <w:webHidden/>
          </w:rPr>
        </w:r>
        <w:r w:rsidRPr="00D74573">
          <w:rPr>
            <w:rFonts w:asciiTheme="majorEastAsia" w:eastAsiaTheme="majorEastAsia" w:hAnsiTheme="majorEastAsia"/>
            <w:noProof/>
            <w:webHidden/>
          </w:rPr>
          <w:fldChar w:fldCharType="separate"/>
        </w:r>
        <w:r w:rsidR="00385E62">
          <w:rPr>
            <w:rFonts w:asciiTheme="majorEastAsia" w:eastAsiaTheme="majorEastAsia" w:hAnsiTheme="majorEastAsia"/>
            <w:noProof/>
            <w:webHidden/>
          </w:rPr>
          <w:t>- 206 -</w:t>
        </w:r>
        <w:r w:rsidRPr="00D74573">
          <w:rPr>
            <w:rFonts w:asciiTheme="majorEastAsia" w:eastAsiaTheme="majorEastAsia" w:hAnsiTheme="majorEastAsia"/>
            <w:noProof/>
            <w:webHidden/>
          </w:rPr>
          <w:fldChar w:fldCharType="end"/>
        </w:r>
      </w:hyperlink>
    </w:p>
    <w:p w14:paraId="59BF1752" w14:textId="7BC9637E" w:rsidR="00990020" w:rsidRPr="00D74573" w:rsidRDefault="00990020">
      <w:pPr>
        <w:pStyle w:val="34"/>
        <w:tabs>
          <w:tab w:val="right" w:leader="dot" w:pos="8834"/>
        </w:tabs>
        <w:ind w:left="422"/>
        <w:rPr>
          <w:rFonts w:asciiTheme="majorEastAsia" w:eastAsiaTheme="majorEastAsia" w:hAnsiTheme="majorEastAsia" w:cstheme="minorBidi"/>
          <w:noProof/>
          <w14:ligatures w14:val="standardContextual"/>
        </w:rPr>
      </w:pPr>
      <w:hyperlink w:anchor="_Toc242870324" w:history="1">
        <w:r w:rsidRPr="00D74573">
          <w:rPr>
            <w:rStyle w:val="ac"/>
            <w:rFonts w:asciiTheme="majorEastAsia" w:eastAsiaTheme="majorEastAsia" w:hAnsiTheme="majorEastAsia"/>
            <w:noProof/>
          </w:rPr>
          <w:t>第２　廃棄物の処理</w:t>
        </w:r>
        <w:r w:rsidRPr="00D74573">
          <w:rPr>
            <w:rFonts w:asciiTheme="majorEastAsia" w:eastAsiaTheme="majorEastAsia" w:hAnsiTheme="majorEastAsia"/>
            <w:noProof/>
            <w:webHidden/>
          </w:rPr>
          <w:tab/>
        </w:r>
        <w:r w:rsidRPr="00D74573">
          <w:rPr>
            <w:rFonts w:asciiTheme="majorEastAsia" w:eastAsiaTheme="majorEastAsia" w:hAnsiTheme="majorEastAsia"/>
            <w:noProof/>
            <w:webHidden/>
          </w:rPr>
          <w:fldChar w:fldCharType="begin"/>
        </w:r>
        <w:r w:rsidRPr="00D74573">
          <w:rPr>
            <w:rFonts w:asciiTheme="majorEastAsia" w:eastAsiaTheme="majorEastAsia" w:hAnsiTheme="majorEastAsia"/>
            <w:noProof/>
            <w:webHidden/>
          </w:rPr>
          <w:instrText xml:space="preserve"> PAGEREF _Toc242870324 \h </w:instrText>
        </w:r>
        <w:r w:rsidRPr="00D74573">
          <w:rPr>
            <w:rFonts w:asciiTheme="majorEastAsia" w:eastAsiaTheme="majorEastAsia" w:hAnsiTheme="majorEastAsia"/>
            <w:noProof/>
            <w:webHidden/>
          </w:rPr>
        </w:r>
        <w:r w:rsidRPr="00D74573">
          <w:rPr>
            <w:rFonts w:asciiTheme="majorEastAsia" w:eastAsiaTheme="majorEastAsia" w:hAnsiTheme="majorEastAsia"/>
            <w:noProof/>
            <w:webHidden/>
          </w:rPr>
          <w:fldChar w:fldCharType="separate"/>
        </w:r>
        <w:r w:rsidR="00385E62">
          <w:rPr>
            <w:rFonts w:asciiTheme="majorEastAsia" w:eastAsiaTheme="majorEastAsia" w:hAnsiTheme="majorEastAsia"/>
            <w:noProof/>
            <w:webHidden/>
          </w:rPr>
          <w:t>- 208 -</w:t>
        </w:r>
        <w:r w:rsidRPr="00D74573">
          <w:rPr>
            <w:rFonts w:asciiTheme="majorEastAsia" w:eastAsiaTheme="majorEastAsia" w:hAnsiTheme="majorEastAsia"/>
            <w:noProof/>
            <w:webHidden/>
          </w:rPr>
          <w:fldChar w:fldCharType="end"/>
        </w:r>
      </w:hyperlink>
    </w:p>
    <w:p w14:paraId="12EE8D04" w14:textId="6E9E73DC" w:rsidR="00990020" w:rsidRPr="00D74573" w:rsidRDefault="00990020">
      <w:pPr>
        <w:pStyle w:val="34"/>
        <w:tabs>
          <w:tab w:val="right" w:leader="dot" w:pos="8834"/>
        </w:tabs>
        <w:ind w:left="422"/>
        <w:rPr>
          <w:rFonts w:asciiTheme="majorEastAsia" w:eastAsiaTheme="majorEastAsia" w:hAnsiTheme="majorEastAsia" w:cstheme="minorBidi"/>
          <w:noProof/>
          <w14:ligatures w14:val="standardContextual"/>
        </w:rPr>
      </w:pPr>
      <w:hyperlink w:anchor="_Toc242870325" w:history="1">
        <w:r w:rsidRPr="00D74573">
          <w:rPr>
            <w:rStyle w:val="ac"/>
            <w:rFonts w:asciiTheme="majorEastAsia" w:eastAsiaTheme="majorEastAsia" w:hAnsiTheme="majorEastAsia"/>
            <w:noProof/>
          </w:rPr>
          <w:t>第３　遺体の処理、火葬等</w:t>
        </w:r>
        <w:r w:rsidRPr="00D74573">
          <w:rPr>
            <w:rFonts w:asciiTheme="majorEastAsia" w:eastAsiaTheme="majorEastAsia" w:hAnsiTheme="majorEastAsia"/>
            <w:noProof/>
            <w:webHidden/>
          </w:rPr>
          <w:tab/>
        </w:r>
        <w:r w:rsidRPr="00D74573">
          <w:rPr>
            <w:rFonts w:asciiTheme="majorEastAsia" w:eastAsiaTheme="majorEastAsia" w:hAnsiTheme="majorEastAsia"/>
            <w:noProof/>
            <w:webHidden/>
          </w:rPr>
          <w:fldChar w:fldCharType="begin"/>
        </w:r>
        <w:r w:rsidRPr="00D74573">
          <w:rPr>
            <w:rFonts w:asciiTheme="majorEastAsia" w:eastAsiaTheme="majorEastAsia" w:hAnsiTheme="majorEastAsia"/>
            <w:noProof/>
            <w:webHidden/>
          </w:rPr>
          <w:instrText xml:space="preserve"> PAGEREF _Toc242870325 \h </w:instrText>
        </w:r>
        <w:r w:rsidRPr="00D74573">
          <w:rPr>
            <w:rFonts w:asciiTheme="majorEastAsia" w:eastAsiaTheme="majorEastAsia" w:hAnsiTheme="majorEastAsia"/>
            <w:noProof/>
            <w:webHidden/>
          </w:rPr>
        </w:r>
        <w:r w:rsidRPr="00D74573">
          <w:rPr>
            <w:rFonts w:asciiTheme="majorEastAsia" w:eastAsiaTheme="majorEastAsia" w:hAnsiTheme="majorEastAsia"/>
            <w:noProof/>
            <w:webHidden/>
          </w:rPr>
          <w:fldChar w:fldCharType="separate"/>
        </w:r>
        <w:r w:rsidR="00385E62">
          <w:rPr>
            <w:rFonts w:asciiTheme="majorEastAsia" w:eastAsiaTheme="majorEastAsia" w:hAnsiTheme="majorEastAsia"/>
            <w:noProof/>
            <w:webHidden/>
          </w:rPr>
          <w:t>- 209 -</w:t>
        </w:r>
        <w:r w:rsidRPr="00D74573">
          <w:rPr>
            <w:rFonts w:asciiTheme="majorEastAsia" w:eastAsiaTheme="majorEastAsia" w:hAnsiTheme="majorEastAsia"/>
            <w:noProof/>
            <w:webHidden/>
          </w:rPr>
          <w:fldChar w:fldCharType="end"/>
        </w:r>
      </w:hyperlink>
    </w:p>
    <w:p w14:paraId="64A49F54" w14:textId="6E6E512E" w:rsidR="00990020" w:rsidRPr="00D74573" w:rsidRDefault="00990020">
      <w:pPr>
        <w:pStyle w:val="34"/>
        <w:tabs>
          <w:tab w:val="right" w:leader="dot" w:pos="8834"/>
        </w:tabs>
        <w:ind w:left="422"/>
        <w:rPr>
          <w:rFonts w:asciiTheme="majorEastAsia" w:eastAsiaTheme="majorEastAsia" w:hAnsiTheme="majorEastAsia" w:cstheme="minorBidi"/>
          <w:noProof/>
          <w14:ligatures w14:val="standardContextual"/>
        </w:rPr>
      </w:pPr>
      <w:hyperlink w:anchor="_Toc242870326" w:history="1">
        <w:r w:rsidRPr="00D74573">
          <w:rPr>
            <w:rStyle w:val="ac"/>
            <w:rFonts w:asciiTheme="majorEastAsia" w:eastAsiaTheme="majorEastAsia" w:hAnsiTheme="majorEastAsia"/>
            <w:noProof/>
          </w:rPr>
          <w:t>第４　社会秩序の維持</w:t>
        </w:r>
        <w:r w:rsidRPr="00D74573">
          <w:rPr>
            <w:rFonts w:asciiTheme="majorEastAsia" w:eastAsiaTheme="majorEastAsia" w:hAnsiTheme="majorEastAsia"/>
            <w:noProof/>
            <w:webHidden/>
          </w:rPr>
          <w:tab/>
        </w:r>
        <w:r w:rsidRPr="00D74573">
          <w:rPr>
            <w:rFonts w:asciiTheme="majorEastAsia" w:eastAsiaTheme="majorEastAsia" w:hAnsiTheme="majorEastAsia"/>
            <w:noProof/>
            <w:webHidden/>
          </w:rPr>
          <w:fldChar w:fldCharType="begin"/>
        </w:r>
        <w:r w:rsidRPr="00D74573">
          <w:rPr>
            <w:rFonts w:asciiTheme="majorEastAsia" w:eastAsiaTheme="majorEastAsia" w:hAnsiTheme="majorEastAsia"/>
            <w:noProof/>
            <w:webHidden/>
          </w:rPr>
          <w:instrText xml:space="preserve"> PAGEREF _Toc242870326 \h </w:instrText>
        </w:r>
        <w:r w:rsidRPr="00D74573">
          <w:rPr>
            <w:rFonts w:asciiTheme="majorEastAsia" w:eastAsiaTheme="majorEastAsia" w:hAnsiTheme="majorEastAsia"/>
            <w:noProof/>
            <w:webHidden/>
          </w:rPr>
        </w:r>
        <w:r w:rsidRPr="00D74573">
          <w:rPr>
            <w:rFonts w:asciiTheme="majorEastAsia" w:eastAsiaTheme="majorEastAsia" w:hAnsiTheme="majorEastAsia"/>
            <w:noProof/>
            <w:webHidden/>
          </w:rPr>
          <w:fldChar w:fldCharType="separate"/>
        </w:r>
        <w:r w:rsidR="00385E62">
          <w:rPr>
            <w:rFonts w:asciiTheme="majorEastAsia" w:eastAsiaTheme="majorEastAsia" w:hAnsiTheme="majorEastAsia"/>
            <w:noProof/>
            <w:webHidden/>
          </w:rPr>
          <w:t>- 210 -</w:t>
        </w:r>
        <w:r w:rsidRPr="00D74573">
          <w:rPr>
            <w:rFonts w:asciiTheme="majorEastAsia" w:eastAsiaTheme="majorEastAsia" w:hAnsiTheme="majorEastAsia"/>
            <w:noProof/>
            <w:webHidden/>
          </w:rPr>
          <w:fldChar w:fldCharType="end"/>
        </w:r>
      </w:hyperlink>
    </w:p>
    <w:p w14:paraId="1A81414B" w14:textId="7B72A6C1" w:rsidR="00990020" w:rsidRPr="00D74573" w:rsidRDefault="00990020">
      <w:pPr>
        <w:pStyle w:val="12"/>
        <w:tabs>
          <w:tab w:val="right" w:leader="dot" w:pos="8834"/>
        </w:tabs>
        <w:rPr>
          <w:rFonts w:asciiTheme="majorEastAsia" w:eastAsiaTheme="majorEastAsia" w:hAnsiTheme="majorEastAsia" w:cstheme="minorBidi"/>
          <w:noProof/>
          <w14:ligatures w14:val="standardContextual"/>
        </w:rPr>
      </w:pPr>
      <w:hyperlink w:anchor="_Toc242870327" w:history="1">
        <w:r w:rsidRPr="00D74573">
          <w:rPr>
            <w:rStyle w:val="ac"/>
            <w:rFonts w:asciiTheme="majorEastAsia" w:eastAsiaTheme="majorEastAsia" w:hAnsiTheme="majorEastAsia"/>
            <w:noProof/>
          </w:rPr>
          <w:t>第５章　東海地震の警戒宣言に伴う対応</w:t>
        </w:r>
        <w:r w:rsidRPr="00D74573">
          <w:rPr>
            <w:rFonts w:asciiTheme="majorEastAsia" w:eastAsiaTheme="majorEastAsia" w:hAnsiTheme="majorEastAsia"/>
            <w:noProof/>
            <w:webHidden/>
          </w:rPr>
          <w:tab/>
        </w:r>
        <w:r w:rsidRPr="00D74573">
          <w:rPr>
            <w:rFonts w:asciiTheme="majorEastAsia" w:eastAsiaTheme="majorEastAsia" w:hAnsiTheme="majorEastAsia"/>
            <w:noProof/>
            <w:webHidden/>
          </w:rPr>
          <w:fldChar w:fldCharType="begin"/>
        </w:r>
        <w:r w:rsidRPr="00D74573">
          <w:rPr>
            <w:rFonts w:asciiTheme="majorEastAsia" w:eastAsiaTheme="majorEastAsia" w:hAnsiTheme="majorEastAsia"/>
            <w:noProof/>
            <w:webHidden/>
          </w:rPr>
          <w:instrText xml:space="preserve"> PAGEREF _Toc242870327 \h </w:instrText>
        </w:r>
        <w:r w:rsidRPr="00D74573">
          <w:rPr>
            <w:rFonts w:asciiTheme="majorEastAsia" w:eastAsiaTheme="majorEastAsia" w:hAnsiTheme="majorEastAsia"/>
            <w:noProof/>
            <w:webHidden/>
          </w:rPr>
        </w:r>
        <w:r w:rsidRPr="00D74573">
          <w:rPr>
            <w:rFonts w:asciiTheme="majorEastAsia" w:eastAsiaTheme="majorEastAsia" w:hAnsiTheme="majorEastAsia"/>
            <w:noProof/>
            <w:webHidden/>
          </w:rPr>
          <w:fldChar w:fldCharType="separate"/>
        </w:r>
        <w:r w:rsidR="00385E62">
          <w:rPr>
            <w:rFonts w:asciiTheme="majorEastAsia" w:eastAsiaTheme="majorEastAsia" w:hAnsiTheme="majorEastAsia"/>
            <w:noProof/>
            <w:webHidden/>
          </w:rPr>
          <w:t>- 211 -</w:t>
        </w:r>
        <w:r w:rsidRPr="00D74573">
          <w:rPr>
            <w:rFonts w:asciiTheme="majorEastAsia" w:eastAsiaTheme="majorEastAsia" w:hAnsiTheme="majorEastAsia"/>
            <w:noProof/>
            <w:webHidden/>
          </w:rPr>
          <w:fldChar w:fldCharType="end"/>
        </w:r>
      </w:hyperlink>
    </w:p>
    <w:p w14:paraId="6BB2A3AC" w14:textId="1B7E4350" w:rsidR="00990020" w:rsidRPr="00D74573" w:rsidRDefault="00990020">
      <w:pPr>
        <w:pStyle w:val="34"/>
        <w:tabs>
          <w:tab w:val="right" w:leader="dot" w:pos="8834"/>
        </w:tabs>
        <w:ind w:left="422"/>
        <w:rPr>
          <w:rFonts w:asciiTheme="majorEastAsia" w:eastAsiaTheme="majorEastAsia" w:hAnsiTheme="majorEastAsia" w:cstheme="minorBidi"/>
          <w:noProof/>
          <w14:ligatures w14:val="standardContextual"/>
        </w:rPr>
      </w:pPr>
      <w:hyperlink w:anchor="_Toc242870328" w:history="1">
        <w:r w:rsidRPr="00D74573">
          <w:rPr>
            <w:rStyle w:val="ac"/>
            <w:rFonts w:asciiTheme="majorEastAsia" w:eastAsiaTheme="majorEastAsia" w:hAnsiTheme="majorEastAsia"/>
            <w:noProof/>
          </w:rPr>
          <w:t>第１　情報の伝達</w:t>
        </w:r>
        <w:r w:rsidRPr="00D74573">
          <w:rPr>
            <w:rFonts w:asciiTheme="majorEastAsia" w:eastAsiaTheme="majorEastAsia" w:hAnsiTheme="majorEastAsia"/>
            <w:noProof/>
            <w:webHidden/>
          </w:rPr>
          <w:tab/>
        </w:r>
        <w:r w:rsidRPr="00D74573">
          <w:rPr>
            <w:rFonts w:asciiTheme="majorEastAsia" w:eastAsiaTheme="majorEastAsia" w:hAnsiTheme="majorEastAsia"/>
            <w:noProof/>
            <w:webHidden/>
          </w:rPr>
          <w:fldChar w:fldCharType="begin"/>
        </w:r>
        <w:r w:rsidRPr="00D74573">
          <w:rPr>
            <w:rFonts w:asciiTheme="majorEastAsia" w:eastAsiaTheme="majorEastAsia" w:hAnsiTheme="majorEastAsia"/>
            <w:noProof/>
            <w:webHidden/>
          </w:rPr>
          <w:instrText xml:space="preserve"> PAGEREF _Toc242870328 \h </w:instrText>
        </w:r>
        <w:r w:rsidRPr="00D74573">
          <w:rPr>
            <w:rFonts w:asciiTheme="majorEastAsia" w:eastAsiaTheme="majorEastAsia" w:hAnsiTheme="majorEastAsia"/>
            <w:noProof/>
            <w:webHidden/>
          </w:rPr>
        </w:r>
        <w:r w:rsidRPr="00D74573">
          <w:rPr>
            <w:rFonts w:asciiTheme="majorEastAsia" w:eastAsiaTheme="majorEastAsia" w:hAnsiTheme="majorEastAsia"/>
            <w:noProof/>
            <w:webHidden/>
          </w:rPr>
          <w:fldChar w:fldCharType="separate"/>
        </w:r>
        <w:r w:rsidR="00385E62">
          <w:rPr>
            <w:rFonts w:asciiTheme="majorEastAsia" w:eastAsiaTheme="majorEastAsia" w:hAnsiTheme="majorEastAsia"/>
            <w:noProof/>
            <w:webHidden/>
          </w:rPr>
          <w:t>- 211 -</w:t>
        </w:r>
        <w:r w:rsidRPr="00D74573">
          <w:rPr>
            <w:rFonts w:asciiTheme="majorEastAsia" w:eastAsiaTheme="majorEastAsia" w:hAnsiTheme="majorEastAsia"/>
            <w:noProof/>
            <w:webHidden/>
          </w:rPr>
          <w:fldChar w:fldCharType="end"/>
        </w:r>
      </w:hyperlink>
    </w:p>
    <w:p w14:paraId="3F3DFDFD" w14:textId="6BA45ED5" w:rsidR="00990020" w:rsidRPr="00D74573" w:rsidRDefault="00990020">
      <w:pPr>
        <w:pStyle w:val="34"/>
        <w:tabs>
          <w:tab w:val="right" w:leader="dot" w:pos="8834"/>
        </w:tabs>
        <w:ind w:left="422"/>
        <w:rPr>
          <w:rFonts w:asciiTheme="majorEastAsia" w:eastAsiaTheme="majorEastAsia" w:hAnsiTheme="majorEastAsia" w:cstheme="minorBidi"/>
          <w:noProof/>
          <w14:ligatures w14:val="standardContextual"/>
        </w:rPr>
      </w:pPr>
      <w:hyperlink w:anchor="_Toc242870329" w:history="1">
        <w:r w:rsidRPr="00D74573">
          <w:rPr>
            <w:rStyle w:val="ac"/>
            <w:rFonts w:asciiTheme="majorEastAsia" w:eastAsiaTheme="majorEastAsia" w:hAnsiTheme="majorEastAsia"/>
            <w:noProof/>
          </w:rPr>
          <w:t>第２　警戒態勢の準備</w:t>
        </w:r>
        <w:r w:rsidRPr="00D74573">
          <w:rPr>
            <w:rFonts w:asciiTheme="majorEastAsia" w:eastAsiaTheme="majorEastAsia" w:hAnsiTheme="majorEastAsia"/>
            <w:noProof/>
            <w:webHidden/>
          </w:rPr>
          <w:tab/>
        </w:r>
        <w:r w:rsidRPr="00D74573">
          <w:rPr>
            <w:rFonts w:asciiTheme="majorEastAsia" w:eastAsiaTheme="majorEastAsia" w:hAnsiTheme="majorEastAsia"/>
            <w:noProof/>
            <w:webHidden/>
          </w:rPr>
          <w:fldChar w:fldCharType="begin"/>
        </w:r>
        <w:r w:rsidRPr="00D74573">
          <w:rPr>
            <w:rFonts w:asciiTheme="majorEastAsia" w:eastAsiaTheme="majorEastAsia" w:hAnsiTheme="majorEastAsia"/>
            <w:noProof/>
            <w:webHidden/>
          </w:rPr>
          <w:instrText xml:space="preserve"> PAGEREF _Toc242870329 \h </w:instrText>
        </w:r>
        <w:r w:rsidRPr="00D74573">
          <w:rPr>
            <w:rFonts w:asciiTheme="majorEastAsia" w:eastAsiaTheme="majorEastAsia" w:hAnsiTheme="majorEastAsia"/>
            <w:noProof/>
            <w:webHidden/>
          </w:rPr>
        </w:r>
        <w:r w:rsidRPr="00D74573">
          <w:rPr>
            <w:rFonts w:asciiTheme="majorEastAsia" w:eastAsiaTheme="majorEastAsia" w:hAnsiTheme="majorEastAsia"/>
            <w:noProof/>
            <w:webHidden/>
          </w:rPr>
          <w:fldChar w:fldCharType="separate"/>
        </w:r>
        <w:r w:rsidR="00385E62">
          <w:rPr>
            <w:rFonts w:asciiTheme="majorEastAsia" w:eastAsiaTheme="majorEastAsia" w:hAnsiTheme="majorEastAsia"/>
            <w:noProof/>
            <w:webHidden/>
          </w:rPr>
          <w:t>- 211 -</w:t>
        </w:r>
        <w:r w:rsidRPr="00D74573">
          <w:rPr>
            <w:rFonts w:asciiTheme="majorEastAsia" w:eastAsiaTheme="majorEastAsia" w:hAnsiTheme="majorEastAsia"/>
            <w:noProof/>
            <w:webHidden/>
          </w:rPr>
          <w:fldChar w:fldCharType="end"/>
        </w:r>
      </w:hyperlink>
    </w:p>
    <w:p w14:paraId="48459A2B" w14:textId="21B6B650" w:rsidR="00990020" w:rsidRPr="00D74573" w:rsidRDefault="00990020">
      <w:pPr>
        <w:pStyle w:val="34"/>
        <w:tabs>
          <w:tab w:val="right" w:leader="dot" w:pos="8834"/>
        </w:tabs>
        <w:ind w:left="422"/>
        <w:rPr>
          <w:rFonts w:asciiTheme="majorEastAsia" w:eastAsiaTheme="majorEastAsia" w:hAnsiTheme="majorEastAsia" w:cstheme="minorBidi"/>
          <w:noProof/>
          <w14:ligatures w14:val="standardContextual"/>
        </w:rPr>
      </w:pPr>
      <w:hyperlink w:anchor="_Toc242870330" w:history="1">
        <w:r w:rsidRPr="00D74573">
          <w:rPr>
            <w:rStyle w:val="ac"/>
            <w:rFonts w:asciiTheme="majorEastAsia" w:eastAsiaTheme="majorEastAsia" w:hAnsiTheme="majorEastAsia"/>
            <w:noProof/>
          </w:rPr>
          <w:t>第３　警戒態勢の確立</w:t>
        </w:r>
        <w:r w:rsidRPr="00D74573">
          <w:rPr>
            <w:rFonts w:asciiTheme="majorEastAsia" w:eastAsiaTheme="majorEastAsia" w:hAnsiTheme="majorEastAsia"/>
            <w:noProof/>
            <w:webHidden/>
          </w:rPr>
          <w:tab/>
        </w:r>
        <w:r w:rsidRPr="00D74573">
          <w:rPr>
            <w:rFonts w:asciiTheme="majorEastAsia" w:eastAsiaTheme="majorEastAsia" w:hAnsiTheme="majorEastAsia"/>
            <w:noProof/>
            <w:webHidden/>
          </w:rPr>
          <w:fldChar w:fldCharType="begin"/>
        </w:r>
        <w:r w:rsidRPr="00D74573">
          <w:rPr>
            <w:rFonts w:asciiTheme="majorEastAsia" w:eastAsiaTheme="majorEastAsia" w:hAnsiTheme="majorEastAsia"/>
            <w:noProof/>
            <w:webHidden/>
          </w:rPr>
          <w:instrText xml:space="preserve"> PAGEREF _Toc242870330 \h </w:instrText>
        </w:r>
        <w:r w:rsidRPr="00D74573">
          <w:rPr>
            <w:rFonts w:asciiTheme="majorEastAsia" w:eastAsiaTheme="majorEastAsia" w:hAnsiTheme="majorEastAsia"/>
            <w:noProof/>
            <w:webHidden/>
          </w:rPr>
        </w:r>
        <w:r w:rsidRPr="00D74573">
          <w:rPr>
            <w:rFonts w:asciiTheme="majorEastAsia" w:eastAsiaTheme="majorEastAsia" w:hAnsiTheme="majorEastAsia"/>
            <w:noProof/>
            <w:webHidden/>
          </w:rPr>
          <w:fldChar w:fldCharType="separate"/>
        </w:r>
        <w:r w:rsidR="00385E62">
          <w:rPr>
            <w:rFonts w:asciiTheme="majorEastAsia" w:eastAsiaTheme="majorEastAsia" w:hAnsiTheme="majorEastAsia"/>
            <w:noProof/>
            <w:webHidden/>
          </w:rPr>
          <w:t>- 212 -</w:t>
        </w:r>
        <w:r w:rsidRPr="00D74573">
          <w:rPr>
            <w:rFonts w:asciiTheme="majorEastAsia" w:eastAsiaTheme="majorEastAsia" w:hAnsiTheme="majorEastAsia"/>
            <w:noProof/>
            <w:webHidden/>
          </w:rPr>
          <w:fldChar w:fldCharType="end"/>
        </w:r>
      </w:hyperlink>
    </w:p>
    <w:p w14:paraId="3138337F" w14:textId="47848DD8" w:rsidR="00990020" w:rsidRPr="00D74573" w:rsidRDefault="00990020">
      <w:pPr>
        <w:pStyle w:val="34"/>
        <w:tabs>
          <w:tab w:val="right" w:leader="dot" w:pos="8834"/>
        </w:tabs>
        <w:ind w:left="422"/>
        <w:rPr>
          <w:rFonts w:asciiTheme="majorEastAsia" w:eastAsiaTheme="majorEastAsia" w:hAnsiTheme="majorEastAsia" w:cstheme="minorBidi"/>
          <w:noProof/>
          <w14:ligatures w14:val="standardContextual"/>
        </w:rPr>
      </w:pPr>
      <w:hyperlink w:anchor="_Toc242870331" w:history="1">
        <w:r w:rsidRPr="00D74573">
          <w:rPr>
            <w:rStyle w:val="ac"/>
            <w:rFonts w:asciiTheme="majorEastAsia" w:eastAsiaTheme="majorEastAsia" w:hAnsiTheme="majorEastAsia"/>
            <w:noProof/>
          </w:rPr>
          <w:t>第４　災害応急対策の実施</w:t>
        </w:r>
        <w:r w:rsidRPr="00D74573">
          <w:rPr>
            <w:rFonts w:asciiTheme="majorEastAsia" w:eastAsiaTheme="majorEastAsia" w:hAnsiTheme="majorEastAsia"/>
            <w:noProof/>
            <w:webHidden/>
          </w:rPr>
          <w:tab/>
        </w:r>
        <w:r w:rsidRPr="00D74573">
          <w:rPr>
            <w:rFonts w:asciiTheme="majorEastAsia" w:eastAsiaTheme="majorEastAsia" w:hAnsiTheme="majorEastAsia"/>
            <w:noProof/>
            <w:webHidden/>
          </w:rPr>
          <w:fldChar w:fldCharType="begin"/>
        </w:r>
        <w:r w:rsidRPr="00D74573">
          <w:rPr>
            <w:rFonts w:asciiTheme="majorEastAsia" w:eastAsiaTheme="majorEastAsia" w:hAnsiTheme="majorEastAsia"/>
            <w:noProof/>
            <w:webHidden/>
          </w:rPr>
          <w:instrText xml:space="preserve"> PAGEREF _Toc242870331 \h </w:instrText>
        </w:r>
        <w:r w:rsidRPr="00D74573">
          <w:rPr>
            <w:rFonts w:asciiTheme="majorEastAsia" w:eastAsiaTheme="majorEastAsia" w:hAnsiTheme="majorEastAsia"/>
            <w:noProof/>
            <w:webHidden/>
          </w:rPr>
        </w:r>
        <w:r w:rsidRPr="00D74573">
          <w:rPr>
            <w:rFonts w:asciiTheme="majorEastAsia" w:eastAsiaTheme="majorEastAsia" w:hAnsiTheme="majorEastAsia"/>
            <w:noProof/>
            <w:webHidden/>
          </w:rPr>
          <w:fldChar w:fldCharType="separate"/>
        </w:r>
        <w:r w:rsidR="00385E62">
          <w:rPr>
            <w:rFonts w:asciiTheme="majorEastAsia" w:eastAsiaTheme="majorEastAsia" w:hAnsiTheme="majorEastAsia"/>
            <w:noProof/>
            <w:webHidden/>
          </w:rPr>
          <w:t>- 212 -</w:t>
        </w:r>
        <w:r w:rsidRPr="00D74573">
          <w:rPr>
            <w:rFonts w:asciiTheme="majorEastAsia" w:eastAsiaTheme="majorEastAsia" w:hAnsiTheme="majorEastAsia"/>
            <w:noProof/>
            <w:webHidden/>
          </w:rPr>
          <w:fldChar w:fldCharType="end"/>
        </w:r>
      </w:hyperlink>
    </w:p>
    <w:p w14:paraId="541C5ABD" w14:textId="65D6C2D2" w:rsidR="00990020" w:rsidRPr="00D74573" w:rsidRDefault="00990020">
      <w:pPr>
        <w:pStyle w:val="12"/>
        <w:tabs>
          <w:tab w:val="right" w:leader="dot" w:pos="8834"/>
        </w:tabs>
        <w:rPr>
          <w:rFonts w:asciiTheme="majorEastAsia" w:eastAsiaTheme="majorEastAsia" w:hAnsiTheme="majorEastAsia" w:cstheme="minorBidi"/>
          <w:noProof/>
          <w14:ligatures w14:val="standardContextual"/>
        </w:rPr>
      </w:pPr>
      <w:hyperlink w:anchor="_Toc242870332" w:history="1">
        <w:r w:rsidRPr="00D74573">
          <w:rPr>
            <w:rStyle w:val="ac"/>
            <w:rFonts w:asciiTheme="majorEastAsia" w:eastAsiaTheme="majorEastAsia" w:hAnsiTheme="majorEastAsia"/>
            <w:noProof/>
          </w:rPr>
          <w:t>第６章　南海トラフ地震に関連する情報発表時の措置</w:t>
        </w:r>
        <w:r w:rsidRPr="00D74573">
          <w:rPr>
            <w:rFonts w:asciiTheme="majorEastAsia" w:eastAsiaTheme="majorEastAsia" w:hAnsiTheme="majorEastAsia"/>
            <w:noProof/>
            <w:webHidden/>
          </w:rPr>
          <w:tab/>
        </w:r>
        <w:r w:rsidRPr="00D74573">
          <w:rPr>
            <w:rFonts w:asciiTheme="majorEastAsia" w:eastAsiaTheme="majorEastAsia" w:hAnsiTheme="majorEastAsia"/>
            <w:noProof/>
            <w:webHidden/>
          </w:rPr>
          <w:fldChar w:fldCharType="begin"/>
        </w:r>
        <w:r w:rsidRPr="00D74573">
          <w:rPr>
            <w:rFonts w:asciiTheme="majorEastAsia" w:eastAsiaTheme="majorEastAsia" w:hAnsiTheme="majorEastAsia"/>
            <w:noProof/>
            <w:webHidden/>
          </w:rPr>
          <w:instrText xml:space="preserve"> PAGEREF _Toc242870332 \h </w:instrText>
        </w:r>
        <w:r w:rsidRPr="00D74573">
          <w:rPr>
            <w:rFonts w:asciiTheme="majorEastAsia" w:eastAsiaTheme="majorEastAsia" w:hAnsiTheme="majorEastAsia"/>
            <w:noProof/>
            <w:webHidden/>
          </w:rPr>
        </w:r>
        <w:r w:rsidRPr="00D74573">
          <w:rPr>
            <w:rFonts w:asciiTheme="majorEastAsia" w:eastAsiaTheme="majorEastAsia" w:hAnsiTheme="majorEastAsia"/>
            <w:noProof/>
            <w:webHidden/>
          </w:rPr>
          <w:fldChar w:fldCharType="separate"/>
        </w:r>
        <w:r w:rsidR="00385E62">
          <w:rPr>
            <w:rFonts w:asciiTheme="majorEastAsia" w:eastAsiaTheme="majorEastAsia" w:hAnsiTheme="majorEastAsia"/>
            <w:noProof/>
            <w:webHidden/>
          </w:rPr>
          <w:t>- 213 -</w:t>
        </w:r>
        <w:r w:rsidRPr="00D74573">
          <w:rPr>
            <w:rFonts w:asciiTheme="majorEastAsia" w:eastAsiaTheme="majorEastAsia" w:hAnsiTheme="majorEastAsia"/>
            <w:noProof/>
            <w:webHidden/>
          </w:rPr>
          <w:fldChar w:fldCharType="end"/>
        </w:r>
      </w:hyperlink>
    </w:p>
    <w:p w14:paraId="5ED1E910" w14:textId="501B950E" w:rsidR="00990020" w:rsidRPr="00D74573" w:rsidRDefault="00990020">
      <w:pPr>
        <w:pStyle w:val="34"/>
        <w:tabs>
          <w:tab w:val="right" w:leader="dot" w:pos="8834"/>
        </w:tabs>
        <w:ind w:left="422"/>
        <w:rPr>
          <w:rFonts w:asciiTheme="majorEastAsia" w:eastAsiaTheme="majorEastAsia" w:hAnsiTheme="majorEastAsia" w:cstheme="minorBidi"/>
          <w:noProof/>
          <w14:ligatures w14:val="standardContextual"/>
        </w:rPr>
      </w:pPr>
      <w:hyperlink w:anchor="_Toc242870333" w:history="1">
        <w:r w:rsidRPr="00D74573">
          <w:rPr>
            <w:rStyle w:val="ac"/>
            <w:rFonts w:asciiTheme="majorEastAsia" w:eastAsiaTheme="majorEastAsia" w:hAnsiTheme="majorEastAsia"/>
            <w:bCs/>
            <w:noProof/>
          </w:rPr>
          <w:t>第１　情報等の伝達</w:t>
        </w:r>
        <w:r w:rsidRPr="00D74573">
          <w:rPr>
            <w:rFonts w:asciiTheme="majorEastAsia" w:eastAsiaTheme="majorEastAsia" w:hAnsiTheme="majorEastAsia"/>
            <w:noProof/>
            <w:webHidden/>
          </w:rPr>
          <w:tab/>
        </w:r>
        <w:r w:rsidRPr="00D74573">
          <w:rPr>
            <w:rFonts w:asciiTheme="majorEastAsia" w:eastAsiaTheme="majorEastAsia" w:hAnsiTheme="majorEastAsia"/>
            <w:noProof/>
            <w:webHidden/>
          </w:rPr>
          <w:fldChar w:fldCharType="begin"/>
        </w:r>
        <w:r w:rsidRPr="00D74573">
          <w:rPr>
            <w:rFonts w:asciiTheme="majorEastAsia" w:eastAsiaTheme="majorEastAsia" w:hAnsiTheme="majorEastAsia"/>
            <w:noProof/>
            <w:webHidden/>
          </w:rPr>
          <w:instrText xml:space="preserve"> PAGEREF _Toc242870333 \h </w:instrText>
        </w:r>
        <w:r w:rsidRPr="00D74573">
          <w:rPr>
            <w:rFonts w:asciiTheme="majorEastAsia" w:eastAsiaTheme="majorEastAsia" w:hAnsiTheme="majorEastAsia"/>
            <w:noProof/>
            <w:webHidden/>
          </w:rPr>
        </w:r>
        <w:r w:rsidRPr="00D74573">
          <w:rPr>
            <w:rFonts w:asciiTheme="majorEastAsia" w:eastAsiaTheme="majorEastAsia" w:hAnsiTheme="majorEastAsia"/>
            <w:noProof/>
            <w:webHidden/>
          </w:rPr>
          <w:fldChar w:fldCharType="separate"/>
        </w:r>
        <w:r w:rsidR="00385E62">
          <w:rPr>
            <w:rFonts w:asciiTheme="majorEastAsia" w:eastAsiaTheme="majorEastAsia" w:hAnsiTheme="majorEastAsia"/>
            <w:noProof/>
            <w:webHidden/>
          </w:rPr>
          <w:t>- 213 -</w:t>
        </w:r>
        <w:r w:rsidRPr="00D74573">
          <w:rPr>
            <w:rFonts w:asciiTheme="majorEastAsia" w:eastAsiaTheme="majorEastAsia" w:hAnsiTheme="majorEastAsia"/>
            <w:noProof/>
            <w:webHidden/>
          </w:rPr>
          <w:fldChar w:fldCharType="end"/>
        </w:r>
      </w:hyperlink>
    </w:p>
    <w:p w14:paraId="35E6F3F0" w14:textId="163BB0E0" w:rsidR="00990020" w:rsidRPr="00D74573" w:rsidRDefault="00990020">
      <w:pPr>
        <w:pStyle w:val="34"/>
        <w:tabs>
          <w:tab w:val="right" w:leader="dot" w:pos="8834"/>
        </w:tabs>
        <w:ind w:left="422"/>
        <w:rPr>
          <w:rFonts w:asciiTheme="majorEastAsia" w:eastAsiaTheme="majorEastAsia" w:hAnsiTheme="majorEastAsia" w:cstheme="minorBidi"/>
          <w:noProof/>
          <w14:ligatures w14:val="standardContextual"/>
        </w:rPr>
      </w:pPr>
      <w:hyperlink w:anchor="_Toc242870334" w:history="1">
        <w:r w:rsidRPr="00D74573">
          <w:rPr>
            <w:rStyle w:val="ac"/>
            <w:rFonts w:asciiTheme="majorEastAsia" w:eastAsiaTheme="majorEastAsia" w:hAnsiTheme="majorEastAsia"/>
            <w:noProof/>
          </w:rPr>
          <w:t>第２　警戒態勢の準備</w:t>
        </w:r>
        <w:r w:rsidRPr="00D74573">
          <w:rPr>
            <w:rFonts w:asciiTheme="majorEastAsia" w:eastAsiaTheme="majorEastAsia" w:hAnsiTheme="majorEastAsia"/>
            <w:noProof/>
            <w:webHidden/>
          </w:rPr>
          <w:tab/>
        </w:r>
        <w:r w:rsidRPr="00D74573">
          <w:rPr>
            <w:rFonts w:asciiTheme="majorEastAsia" w:eastAsiaTheme="majorEastAsia" w:hAnsiTheme="majorEastAsia"/>
            <w:noProof/>
            <w:webHidden/>
          </w:rPr>
          <w:fldChar w:fldCharType="begin"/>
        </w:r>
        <w:r w:rsidRPr="00D74573">
          <w:rPr>
            <w:rFonts w:asciiTheme="majorEastAsia" w:eastAsiaTheme="majorEastAsia" w:hAnsiTheme="majorEastAsia"/>
            <w:noProof/>
            <w:webHidden/>
          </w:rPr>
          <w:instrText xml:space="preserve"> PAGEREF _Toc242870334 \h </w:instrText>
        </w:r>
        <w:r w:rsidRPr="00D74573">
          <w:rPr>
            <w:rFonts w:asciiTheme="majorEastAsia" w:eastAsiaTheme="majorEastAsia" w:hAnsiTheme="majorEastAsia"/>
            <w:noProof/>
            <w:webHidden/>
          </w:rPr>
        </w:r>
        <w:r w:rsidRPr="00D74573">
          <w:rPr>
            <w:rFonts w:asciiTheme="majorEastAsia" w:eastAsiaTheme="majorEastAsia" w:hAnsiTheme="majorEastAsia"/>
            <w:noProof/>
            <w:webHidden/>
          </w:rPr>
          <w:fldChar w:fldCharType="separate"/>
        </w:r>
        <w:r w:rsidR="00385E62">
          <w:rPr>
            <w:rFonts w:asciiTheme="majorEastAsia" w:eastAsiaTheme="majorEastAsia" w:hAnsiTheme="majorEastAsia"/>
            <w:noProof/>
            <w:webHidden/>
          </w:rPr>
          <w:t>- 214 -</w:t>
        </w:r>
        <w:r w:rsidRPr="00D74573">
          <w:rPr>
            <w:rFonts w:asciiTheme="majorEastAsia" w:eastAsiaTheme="majorEastAsia" w:hAnsiTheme="majorEastAsia"/>
            <w:noProof/>
            <w:webHidden/>
          </w:rPr>
          <w:fldChar w:fldCharType="end"/>
        </w:r>
      </w:hyperlink>
    </w:p>
    <w:p w14:paraId="782911F4" w14:textId="2F7C99E3" w:rsidR="00990020" w:rsidRPr="00D74573" w:rsidRDefault="00990020">
      <w:pPr>
        <w:pStyle w:val="34"/>
        <w:tabs>
          <w:tab w:val="right" w:leader="dot" w:pos="8834"/>
        </w:tabs>
        <w:ind w:left="422"/>
        <w:rPr>
          <w:rFonts w:asciiTheme="majorEastAsia" w:eastAsiaTheme="majorEastAsia" w:hAnsiTheme="majorEastAsia" w:cstheme="minorBidi"/>
          <w:noProof/>
          <w14:ligatures w14:val="standardContextual"/>
        </w:rPr>
      </w:pPr>
      <w:hyperlink w:anchor="_Toc242870335" w:history="1">
        <w:r w:rsidRPr="00D74573">
          <w:rPr>
            <w:rStyle w:val="ac"/>
            <w:rFonts w:asciiTheme="majorEastAsia" w:eastAsiaTheme="majorEastAsia" w:hAnsiTheme="majorEastAsia"/>
            <w:noProof/>
          </w:rPr>
          <w:t>第３　警戒態勢の確立</w:t>
        </w:r>
        <w:r w:rsidRPr="00D74573">
          <w:rPr>
            <w:rFonts w:asciiTheme="majorEastAsia" w:eastAsiaTheme="majorEastAsia" w:hAnsiTheme="majorEastAsia"/>
            <w:noProof/>
            <w:webHidden/>
          </w:rPr>
          <w:tab/>
        </w:r>
        <w:r w:rsidRPr="00D74573">
          <w:rPr>
            <w:rFonts w:asciiTheme="majorEastAsia" w:eastAsiaTheme="majorEastAsia" w:hAnsiTheme="majorEastAsia"/>
            <w:noProof/>
            <w:webHidden/>
          </w:rPr>
          <w:fldChar w:fldCharType="begin"/>
        </w:r>
        <w:r w:rsidRPr="00D74573">
          <w:rPr>
            <w:rFonts w:asciiTheme="majorEastAsia" w:eastAsiaTheme="majorEastAsia" w:hAnsiTheme="majorEastAsia"/>
            <w:noProof/>
            <w:webHidden/>
          </w:rPr>
          <w:instrText xml:space="preserve"> PAGEREF _Toc242870335 \h </w:instrText>
        </w:r>
        <w:r w:rsidRPr="00D74573">
          <w:rPr>
            <w:rFonts w:asciiTheme="majorEastAsia" w:eastAsiaTheme="majorEastAsia" w:hAnsiTheme="majorEastAsia"/>
            <w:noProof/>
            <w:webHidden/>
          </w:rPr>
        </w:r>
        <w:r w:rsidRPr="00D74573">
          <w:rPr>
            <w:rFonts w:asciiTheme="majorEastAsia" w:eastAsiaTheme="majorEastAsia" w:hAnsiTheme="majorEastAsia"/>
            <w:noProof/>
            <w:webHidden/>
          </w:rPr>
          <w:fldChar w:fldCharType="separate"/>
        </w:r>
        <w:r w:rsidR="00385E62">
          <w:rPr>
            <w:rFonts w:asciiTheme="majorEastAsia" w:eastAsiaTheme="majorEastAsia" w:hAnsiTheme="majorEastAsia"/>
            <w:noProof/>
            <w:webHidden/>
          </w:rPr>
          <w:t>- 214 -</w:t>
        </w:r>
        <w:r w:rsidRPr="00D74573">
          <w:rPr>
            <w:rFonts w:asciiTheme="majorEastAsia" w:eastAsiaTheme="majorEastAsia" w:hAnsiTheme="majorEastAsia"/>
            <w:noProof/>
            <w:webHidden/>
          </w:rPr>
          <w:fldChar w:fldCharType="end"/>
        </w:r>
      </w:hyperlink>
    </w:p>
    <w:p w14:paraId="5AA2C0B0" w14:textId="58307ECE" w:rsidR="00990020" w:rsidRPr="00D74573" w:rsidRDefault="00990020">
      <w:pPr>
        <w:pStyle w:val="12"/>
        <w:tabs>
          <w:tab w:val="right" w:leader="dot" w:pos="8834"/>
        </w:tabs>
        <w:rPr>
          <w:rFonts w:asciiTheme="majorEastAsia" w:eastAsiaTheme="majorEastAsia" w:hAnsiTheme="majorEastAsia" w:cstheme="minorBidi"/>
          <w:noProof/>
          <w14:ligatures w14:val="standardContextual"/>
        </w:rPr>
      </w:pPr>
      <w:hyperlink w:anchor="_Toc242870336" w:history="1">
        <w:r w:rsidRPr="00D74573">
          <w:rPr>
            <w:rStyle w:val="ac"/>
            <w:rFonts w:asciiTheme="majorEastAsia" w:eastAsiaTheme="majorEastAsia" w:hAnsiTheme="majorEastAsia"/>
            <w:noProof/>
          </w:rPr>
          <w:t>第７章　事故等災害応急対策</w:t>
        </w:r>
        <w:r w:rsidRPr="00D74573">
          <w:rPr>
            <w:rFonts w:asciiTheme="majorEastAsia" w:eastAsiaTheme="majorEastAsia" w:hAnsiTheme="majorEastAsia"/>
            <w:noProof/>
            <w:webHidden/>
          </w:rPr>
          <w:tab/>
        </w:r>
        <w:r w:rsidRPr="00D74573">
          <w:rPr>
            <w:rFonts w:asciiTheme="majorEastAsia" w:eastAsiaTheme="majorEastAsia" w:hAnsiTheme="majorEastAsia"/>
            <w:noProof/>
            <w:webHidden/>
          </w:rPr>
          <w:fldChar w:fldCharType="begin"/>
        </w:r>
        <w:r w:rsidRPr="00D74573">
          <w:rPr>
            <w:rFonts w:asciiTheme="majorEastAsia" w:eastAsiaTheme="majorEastAsia" w:hAnsiTheme="majorEastAsia"/>
            <w:noProof/>
            <w:webHidden/>
          </w:rPr>
          <w:instrText xml:space="preserve"> PAGEREF _Toc242870336 \h </w:instrText>
        </w:r>
        <w:r w:rsidRPr="00D74573">
          <w:rPr>
            <w:rFonts w:asciiTheme="majorEastAsia" w:eastAsiaTheme="majorEastAsia" w:hAnsiTheme="majorEastAsia"/>
            <w:noProof/>
            <w:webHidden/>
          </w:rPr>
        </w:r>
        <w:r w:rsidRPr="00D74573">
          <w:rPr>
            <w:rFonts w:asciiTheme="majorEastAsia" w:eastAsiaTheme="majorEastAsia" w:hAnsiTheme="majorEastAsia"/>
            <w:noProof/>
            <w:webHidden/>
          </w:rPr>
          <w:fldChar w:fldCharType="separate"/>
        </w:r>
        <w:r w:rsidR="00385E62">
          <w:rPr>
            <w:rFonts w:asciiTheme="majorEastAsia" w:eastAsiaTheme="majorEastAsia" w:hAnsiTheme="majorEastAsia"/>
            <w:noProof/>
            <w:webHidden/>
          </w:rPr>
          <w:t>- 216 -</w:t>
        </w:r>
        <w:r w:rsidRPr="00D74573">
          <w:rPr>
            <w:rFonts w:asciiTheme="majorEastAsia" w:eastAsiaTheme="majorEastAsia" w:hAnsiTheme="majorEastAsia"/>
            <w:noProof/>
            <w:webHidden/>
          </w:rPr>
          <w:fldChar w:fldCharType="end"/>
        </w:r>
      </w:hyperlink>
    </w:p>
    <w:p w14:paraId="30C7144D" w14:textId="085417C7" w:rsidR="00990020" w:rsidRPr="00D74573" w:rsidRDefault="00990020">
      <w:pPr>
        <w:pStyle w:val="24"/>
        <w:tabs>
          <w:tab w:val="right" w:leader="dot" w:pos="8834"/>
        </w:tabs>
        <w:ind w:left="211"/>
        <w:rPr>
          <w:rFonts w:asciiTheme="majorEastAsia" w:eastAsiaTheme="majorEastAsia" w:hAnsiTheme="majorEastAsia" w:cstheme="minorBidi"/>
          <w:noProof/>
          <w14:ligatures w14:val="standardContextual"/>
        </w:rPr>
      </w:pPr>
      <w:hyperlink w:anchor="_Toc242870337" w:history="1">
        <w:r w:rsidRPr="00D74573">
          <w:rPr>
            <w:rStyle w:val="ac"/>
            <w:rFonts w:asciiTheme="majorEastAsia" w:eastAsiaTheme="majorEastAsia" w:hAnsiTheme="majorEastAsia"/>
            <w:bCs/>
            <w:noProof/>
          </w:rPr>
          <w:t>第１節　海上災害応急対策</w:t>
        </w:r>
        <w:r w:rsidRPr="00D74573">
          <w:rPr>
            <w:rFonts w:asciiTheme="majorEastAsia" w:eastAsiaTheme="majorEastAsia" w:hAnsiTheme="majorEastAsia"/>
            <w:noProof/>
            <w:webHidden/>
          </w:rPr>
          <w:tab/>
        </w:r>
        <w:r w:rsidRPr="00D74573">
          <w:rPr>
            <w:rFonts w:asciiTheme="majorEastAsia" w:eastAsiaTheme="majorEastAsia" w:hAnsiTheme="majorEastAsia"/>
            <w:noProof/>
            <w:webHidden/>
          </w:rPr>
          <w:fldChar w:fldCharType="begin"/>
        </w:r>
        <w:r w:rsidRPr="00D74573">
          <w:rPr>
            <w:rFonts w:asciiTheme="majorEastAsia" w:eastAsiaTheme="majorEastAsia" w:hAnsiTheme="majorEastAsia"/>
            <w:noProof/>
            <w:webHidden/>
          </w:rPr>
          <w:instrText xml:space="preserve"> PAGEREF _Toc242870337 \h </w:instrText>
        </w:r>
        <w:r w:rsidRPr="00D74573">
          <w:rPr>
            <w:rFonts w:asciiTheme="majorEastAsia" w:eastAsiaTheme="majorEastAsia" w:hAnsiTheme="majorEastAsia"/>
            <w:noProof/>
            <w:webHidden/>
          </w:rPr>
        </w:r>
        <w:r w:rsidRPr="00D74573">
          <w:rPr>
            <w:rFonts w:asciiTheme="majorEastAsia" w:eastAsiaTheme="majorEastAsia" w:hAnsiTheme="majorEastAsia"/>
            <w:noProof/>
            <w:webHidden/>
          </w:rPr>
          <w:fldChar w:fldCharType="separate"/>
        </w:r>
        <w:r w:rsidR="00385E62">
          <w:rPr>
            <w:rFonts w:asciiTheme="majorEastAsia" w:eastAsiaTheme="majorEastAsia" w:hAnsiTheme="majorEastAsia"/>
            <w:noProof/>
            <w:webHidden/>
          </w:rPr>
          <w:t>- 216 -</w:t>
        </w:r>
        <w:r w:rsidRPr="00D74573">
          <w:rPr>
            <w:rFonts w:asciiTheme="majorEastAsia" w:eastAsiaTheme="majorEastAsia" w:hAnsiTheme="majorEastAsia"/>
            <w:noProof/>
            <w:webHidden/>
          </w:rPr>
          <w:fldChar w:fldCharType="end"/>
        </w:r>
      </w:hyperlink>
    </w:p>
    <w:p w14:paraId="6062AB2F" w14:textId="10534324" w:rsidR="00990020" w:rsidRPr="00D74573" w:rsidRDefault="00990020">
      <w:pPr>
        <w:pStyle w:val="34"/>
        <w:tabs>
          <w:tab w:val="right" w:leader="dot" w:pos="8834"/>
        </w:tabs>
        <w:ind w:left="422"/>
        <w:rPr>
          <w:rFonts w:asciiTheme="majorEastAsia" w:eastAsiaTheme="majorEastAsia" w:hAnsiTheme="majorEastAsia" w:cstheme="minorBidi"/>
          <w:noProof/>
          <w14:ligatures w14:val="standardContextual"/>
        </w:rPr>
      </w:pPr>
      <w:hyperlink w:anchor="_Toc242870338" w:history="1">
        <w:r w:rsidRPr="00D74573">
          <w:rPr>
            <w:rStyle w:val="ac"/>
            <w:rFonts w:asciiTheme="majorEastAsia" w:eastAsiaTheme="majorEastAsia" w:hAnsiTheme="majorEastAsia"/>
            <w:bCs/>
            <w:noProof/>
          </w:rPr>
          <w:t>第１　流出油等の防除措置等</w:t>
        </w:r>
        <w:r w:rsidRPr="00D74573">
          <w:rPr>
            <w:rFonts w:asciiTheme="majorEastAsia" w:eastAsiaTheme="majorEastAsia" w:hAnsiTheme="majorEastAsia"/>
            <w:noProof/>
            <w:webHidden/>
          </w:rPr>
          <w:tab/>
        </w:r>
        <w:r w:rsidRPr="00D74573">
          <w:rPr>
            <w:rFonts w:asciiTheme="majorEastAsia" w:eastAsiaTheme="majorEastAsia" w:hAnsiTheme="majorEastAsia"/>
            <w:noProof/>
            <w:webHidden/>
          </w:rPr>
          <w:fldChar w:fldCharType="begin"/>
        </w:r>
        <w:r w:rsidRPr="00D74573">
          <w:rPr>
            <w:rFonts w:asciiTheme="majorEastAsia" w:eastAsiaTheme="majorEastAsia" w:hAnsiTheme="majorEastAsia"/>
            <w:noProof/>
            <w:webHidden/>
          </w:rPr>
          <w:instrText xml:space="preserve"> PAGEREF _Toc242870338 \h </w:instrText>
        </w:r>
        <w:r w:rsidRPr="00D74573">
          <w:rPr>
            <w:rFonts w:asciiTheme="majorEastAsia" w:eastAsiaTheme="majorEastAsia" w:hAnsiTheme="majorEastAsia"/>
            <w:noProof/>
            <w:webHidden/>
          </w:rPr>
        </w:r>
        <w:r w:rsidRPr="00D74573">
          <w:rPr>
            <w:rFonts w:asciiTheme="majorEastAsia" w:eastAsiaTheme="majorEastAsia" w:hAnsiTheme="majorEastAsia"/>
            <w:noProof/>
            <w:webHidden/>
          </w:rPr>
          <w:fldChar w:fldCharType="separate"/>
        </w:r>
        <w:r w:rsidR="00385E62">
          <w:rPr>
            <w:rFonts w:asciiTheme="majorEastAsia" w:eastAsiaTheme="majorEastAsia" w:hAnsiTheme="majorEastAsia"/>
            <w:noProof/>
            <w:webHidden/>
          </w:rPr>
          <w:t>- 216 -</w:t>
        </w:r>
        <w:r w:rsidRPr="00D74573">
          <w:rPr>
            <w:rFonts w:asciiTheme="majorEastAsia" w:eastAsiaTheme="majorEastAsia" w:hAnsiTheme="majorEastAsia"/>
            <w:noProof/>
            <w:webHidden/>
          </w:rPr>
          <w:fldChar w:fldCharType="end"/>
        </w:r>
      </w:hyperlink>
    </w:p>
    <w:p w14:paraId="444E026A" w14:textId="665DB4CB" w:rsidR="00990020" w:rsidRPr="00D74573" w:rsidRDefault="00990020">
      <w:pPr>
        <w:pStyle w:val="34"/>
        <w:tabs>
          <w:tab w:val="right" w:leader="dot" w:pos="8834"/>
        </w:tabs>
        <w:ind w:left="422"/>
        <w:rPr>
          <w:rFonts w:asciiTheme="majorEastAsia" w:eastAsiaTheme="majorEastAsia" w:hAnsiTheme="majorEastAsia" w:cstheme="minorBidi"/>
          <w:noProof/>
          <w14:ligatures w14:val="standardContextual"/>
        </w:rPr>
      </w:pPr>
      <w:hyperlink w:anchor="_Toc242870339" w:history="1">
        <w:r w:rsidRPr="00D74573">
          <w:rPr>
            <w:rStyle w:val="ac"/>
            <w:rFonts w:asciiTheme="majorEastAsia" w:eastAsiaTheme="majorEastAsia" w:hAnsiTheme="majorEastAsia"/>
            <w:bCs/>
            <w:noProof/>
          </w:rPr>
          <w:t>第２　事故対策連絡調整本部の設置</w:t>
        </w:r>
        <w:r w:rsidRPr="00D74573">
          <w:rPr>
            <w:rFonts w:asciiTheme="majorEastAsia" w:eastAsiaTheme="majorEastAsia" w:hAnsiTheme="majorEastAsia"/>
            <w:noProof/>
            <w:webHidden/>
          </w:rPr>
          <w:tab/>
        </w:r>
        <w:r w:rsidRPr="00D74573">
          <w:rPr>
            <w:rFonts w:asciiTheme="majorEastAsia" w:eastAsiaTheme="majorEastAsia" w:hAnsiTheme="majorEastAsia"/>
            <w:noProof/>
            <w:webHidden/>
          </w:rPr>
          <w:fldChar w:fldCharType="begin"/>
        </w:r>
        <w:r w:rsidRPr="00D74573">
          <w:rPr>
            <w:rFonts w:asciiTheme="majorEastAsia" w:eastAsiaTheme="majorEastAsia" w:hAnsiTheme="majorEastAsia"/>
            <w:noProof/>
            <w:webHidden/>
          </w:rPr>
          <w:instrText xml:space="preserve"> PAGEREF _Toc242870339 \h </w:instrText>
        </w:r>
        <w:r w:rsidRPr="00D74573">
          <w:rPr>
            <w:rFonts w:asciiTheme="majorEastAsia" w:eastAsiaTheme="majorEastAsia" w:hAnsiTheme="majorEastAsia"/>
            <w:noProof/>
            <w:webHidden/>
          </w:rPr>
        </w:r>
        <w:r w:rsidRPr="00D74573">
          <w:rPr>
            <w:rFonts w:asciiTheme="majorEastAsia" w:eastAsiaTheme="majorEastAsia" w:hAnsiTheme="majorEastAsia"/>
            <w:noProof/>
            <w:webHidden/>
          </w:rPr>
          <w:fldChar w:fldCharType="separate"/>
        </w:r>
        <w:r w:rsidR="00385E62">
          <w:rPr>
            <w:rFonts w:asciiTheme="majorEastAsia" w:eastAsiaTheme="majorEastAsia" w:hAnsiTheme="majorEastAsia"/>
            <w:noProof/>
            <w:webHidden/>
          </w:rPr>
          <w:t>- 216 -</w:t>
        </w:r>
        <w:r w:rsidRPr="00D74573">
          <w:rPr>
            <w:rFonts w:asciiTheme="majorEastAsia" w:eastAsiaTheme="majorEastAsia" w:hAnsiTheme="majorEastAsia"/>
            <w:noProof/>
            <w:webHidden/>
          </w:rPr>
          <w:fldChar w:fldCharType="end"/>
        </w:r>
      </w:hyperlink>
    </w:p>
    <w:p w14:paraId="7FBF7C43" w14:textId="4002ABFE" w:rsidR="00990020" w:rsidRPr="00D74573" w:rsidRDefault="00990020">
      <w:pPr>
        <w:pStyle w:val="24"/>
        <w:tabs>
          <w:tab w:val="right" w:leader="dot" w:pos="8834"/>
        </w:tabs>
        <w:ind w:left="211"/>
        <w:rPr>
          <w:rFonts w:asciiTheme="majorEastAsia" w:eastAsiaTheme="majorEastAsia" w:hAnsiTheme="majorEastAsia" w:cstheme="minorBidi"/>
          <w:noProof/>
          <w14:ligatures w14:val="standardContextual"/>
        </w:rPr>
      </w:pPr>
      <w:hyperlink w:anchor="_Toc242870340" w:history="1">
        <w:r w:rsidRPr="00D74573">
          <w:rPr>
            <w:rStyle w:val="ac"/>
            <w:rFonts w:asciiTheme="majorEastAsia" w:eastAsiaTheme="majorEastAsia" w:hAnsiTheme="majorEastAsia"/>
            <w:bCs/>
            <w:noProof/>
          </w:rPr>
          <w:t>第２節　航空災害応急対策</w:t>
        </w:r>
        <w:r w:rsidRPr="00D74573">
          <w:rPr>
            <w:rFonts w:asciiTheme="majorEastAsia" w:eastAsiaTheme="majorEastAsia" w:hAnsiTheme="majorEastAsia"/>
            <w:noProof/>
            <w:webHidden/>
          </w:rPr>
          <w:tab/>
        </w:r>
        <w:r w:rsidRPr="00D74573">
          <w:rPr>
            <w:rFonts w:asciiTheme="majorEastAsia" w:eastAsiaTheme="majorEastAsia" w:hAnsiTheme="majorEastAsia"/>
            <w:noProof/>
            <w:webHidden/>
          </w:rPr>
          <w:fldChar w:fldCharType="begin"/>
        </w:r>
        <w:r w:rsidRPr="00D74573">
          <w:rPr>
            <w:rFonts w:asciiTheme="majorEastAsia" w:eastAsiaTheme="majorEastAsia" w:hAnsiTheme="majorEastAsia"/>
            <w:noProof/>
            <w:webHidden/>
          </w:rPr>
          <w:instrText xml:space="preserve"> PAGEREF _Toc242870340 \h </w:instrText>
        </w:r>
        <w:r w:rsidRPr="00D74573">
          <w:rPr>
            <w:rFonts w:asciiTheme="majorEastAsia" w:eastAsiaTheme="majorEastAsia" w:hAnsiTheme="majorEastAsia"/>
            <w:noProof/>
            <w:webHidden/>
          </w:rPr>
        </w:r>
        <w:r w:rsidRPr="00D74573">
          <w:rPr>
            <w:rFonts w:asciiTheme="majorEastAsia" w:eastAsiaTheme="majorEastAsia" w:hAnsiTheme="majorEastAsia"/>
            <w:noProof/>
            <w:webHidden/>
          </w:rPr>
          <w:fldChar w:fldCharType="separate"/>
        </w:r>
        <w:r w:rsidR="00385E62">
          <w:rPr>
            <w:rFonts w:asciiTheme="majorEastAsia" w:eastAsiaTheme="majorEastAsia" w:hAnsiTheme="majorEastAsia"/>
            <w:noProof/>
            <w:webHidden/>
          </w:rPr>
          <w:t>- 218 -</w:t>
        </w:r>
        <w:r w:rsidRPr="00D74573">
          <w:rPr>
            <w:rFonts w:asciiTheme="majorEastAsia" w:eastAsiaTheme="majorEastAsia" w:hAnsiTheme="majorEastAsia"/>
            <w:noProof/>
            <w:webHidden/>
          </w:rPr>
          <w:fldChar w:fldCharType="end"/>
        </w:r>
      </w:hyperlink>
    </w:p>
    <w:p w14:paraId="700F1BC9" w14:textId="58DD43A4" w:rsidR="00990020" w:rsidRPr="00D74573" w:rsidRDefault="00990020">
      <w:pPr>
        <w:pStyle w:val="34"/>
        <w:tabs>
          <w:tab w:val="right" w:leader="dot" w:pos="8834"/>
        </w:tabs>
        <w:ind w:left="422"/>
        <w:rPr>
          <w:rFonts w:asciiTheme="majorEastAsia" w:eastAsiaTheme="majorEastAsia" w:hAnsiTheme="majorEastAsia" w:cstheme="minorBidi"/>
          <w:noProof/>
          <w14:ligatures w14:val="standardContextual"/>
        </w:rPr>
      </w:pPr>
      <w:hyperlink w:anchor="_Toc242870341" w:history="1">
        <w:r w:rsidRPr="00D74573">
          <w:rPr>
            <w:rStyle w:val="ac"/>
            <w:rFonts w:asciiTheme="majorEastAsia" w:eastAsiaTheme="majorEastAsia" w:hAnsiTheme="majorEastAsia"/>
            <w:bCs/>
            <w:noProof/>
          </w:rPr>
          <w:t>第１　対象地域</w:t>
        </w:r>
        <w:r w:rsidRPr="00D74573">
          <w:rPr>
            <w:rFonts w:asciiTheme="majorEastAsia" w:eastAsiaTheme="majorEastAsia" w:hAnsiTheme="majorEastAsia"/>
            <w:noProof/>
            <w:webHidden/>
          </w:rPr>
          <w:tab/>
        </w:r>
        <w:r w:rsidRPr="00D74573">
          <w:rPr>
            <w:rFonts w:asciiTheme="majorEastAsia" w:eastAsiaTheme="majorEastAsia" w:hAnsiTheme="majorEastAsia"/>
            <w:noProof/>
            <w:webHidden/>
          </w:rPr>
          <w:fldChar w:fldCharType="begin"/>
        </w:r>
        <w:r w:rsidRPr="00D74573">
          <w:rPr>
            <w:rFonts w:asciiTheme="majorEastAsia" w:eastAsiaTheme="majorEastAsia" w:hAnsiTheme="majorEastAsia"/>
            <w:noProof/>
            <w:webHidden/>
          </w:rPr>
          <w:instrText xml:space="preserve"> PAGEREF _Toc242870341 \h </w:instrText>
        </w:r>
        <w:r w:rsidRPr="00D74573">
          <w:rPr>
            <w:rFonts w:asciiTheme="majorEastAsia" w:eastAsiaTheme="majorEastAsia" w:hAnsiTheme="majorEastAsia"/>
            <w:noProof/>
            <w:webHidden/>
          </w:rPr>
        </w:r>
        <w:r w:rsidRPr="00D74573">
          <w:rPr>
            <w:rFonts w:asciiTheme="majorEastAsia" w:eastAsiaTheme="majorEastAsia" w:hAnsiTheme="majorEastAsia"/>
            <w:noProof/>
            <w:webHidden/>
          </w:rPr>
          <w:fldChar w:fldCharType="separate"/>
        </w:r>
        <w:r w:rsidR="00385E62">
          <w:rPr>
            <w:rFonts w:asciiTheme="majorEastAsia" w:eastAsiaTheme="majorEastAsia" w:hAnsiTheme="majorEastAsia"/>
            <w:noProof/>
            <w:webHidden/>
          </w:rPr>
          <w:t>- 218 -</w:t>
        </w:r>
        <w:r w:rsidRPr="00D74573">
          <w:rPr>
            <w:rFonts w:asciiTheme="majorEastAsia" w:eastAsiaTheme="majorEastAsia" w:hAnsiTheme="majorEastAsia"/>
            <w:noProof/>
            <w:webHidden/>
          </w:rPr>
          <w:fldChar w:fldCharType="end"/>
        </w:r>
      </w:hyperlink>
    </w:p>
    <w:p w14:paraId="0EA9DB32" w14:textId="22DA9122" w:rsidR="00990020" w:rsidRPr="00D74573" w:rsidRDefault="00990020">
      <w:pPr>
        <w:pStyle w:val="34"/>
        <w:tabs>
          <w:tab w:val="right" w:leader="dot" w:pos="8834"/>
        </w:tabs>
        <w:ind w:left="422"/>
        <w:rPr>
          <w:rFonts w:asciiTheme="majorEastAsia" w:eastAsiaTheme="majorEastAsia" w:hAnsiTheme="majorEastAsia" w:cstheme="minorBidi"/>
          <w:noProof/>
          <w14:ligatures w14:val="standardContextual"/>
        </w:rPr>
      </w:pPr>
      <w:hyperlink w:anchor="_Toc242870342" w:history="1">
        <w:r w:rsidRPr="00D74573">
          <w:rPr>
            <w:rStyle w:val="ac"/>
            <w:rFonts w:asciiTheme="majorEastAsia" w:eastAsiaTheme="majorEastAsia" w:hAnsiTheme="majorEastAsia"/>
            <w:bCs/>
            <w:noProof/>
          </w:rPr>
          <w:t>第２　航空機事故応急対策本部等の設置</w:t>
        </w:r>
        <w:r w:rsidRPr="00D74573">
          <w:rPr>
            <w:rFonts w:asciiTheme="majorEastAsia" w:eastAsiaTheme="majorEastAsia" w:hAnsiTheme="majorEastAsia"/>
            <w:noProof/>
            <w:webHidden/>
          </w:rPr>
          <w:tab/>
        </w:r>
        <w:r w:rsidRPr="00D74573">
          <w:rPr>
            <w:rFonts w:asciiTheme="majorEastAsia" w:eastAsiaTheme="majorEastAsia" w:hAnsiTheme="majorEastAsia"/>
            <w:noProof/>
            <w:webHidden/>
          </w:rPr>
          <w:fldChar w:fldCharType="begin"/>
        </w:r>
        <w:r w:rsidRPr="00D74573">
          <w:rPr>
            <w:rFonts w:asciiTheme="majorEastAsia" w:eastAsiaTheme="majorEastAsia" w:hAnsiTheme="majorEastAsia"/>
            <w:noProof/>
            <w:webHidden/>
          </w:rPr>
          <w:instrText xml:space="preserve"> PAGEREF _Toc242870342 \h </w:instrText>
        </w:r>
        <w:r w:rsidRPr="00D74573">
          <w:rPr>
            <w:rFonts w:asciiTheme="majorEastAsia" w:eastAsiaTheme="majorEastAsia" w:hAnsiTheme="majorEastAsia"/>
            <w:noProof/>
            <w:webHidden/>
          </w:rPr>
        </w:r>
        <w:r w:rsidRPr="00D74573">
          <w:rPr>
            <w:rFonts w:asciiTheme="majorEastAsia" w:eastAsiaTheme="majorEastAsia" w:hAnsiTheme="majorEastAsia"/>
            <w:noProof/>
            <w:webHidden/>
          </w:rPr>
          <w:fldChar w:fldCharType="separate"/>
        </w:r>
        <w:r w:rsidR="00385E62">
          <w:rPr>
            <w:rFonts w:asciiTheme="majorEastAsia" w:eastAsiaTheme="majorEastAsia" w:hAnsiTheme="majorEastAsia"/>
            <w:noProof/>
            <w:webHidden/>
          </w:rPr>
          <w:t>- 218 -</w:t>
        </w:r>
        <w:r w:rsidRPr="00D74573">
          <w:rPr>
            <w:rFonts w:asciiTheme="majorEastAsia" w:eastAsiaTheme="majorEastAsia" w:hAnsiTheme="majorEastAsia"/>
            <w:noProof/>
            <w:webHidden/>
          </w:rPr>
          <w:fldChar w:fldCharType="end"/>
        </w:r>
      </w:hyperlink>
    </w:p>
    <w:p w14:paraId="254AB34E" w14:textId="7F3765A2" w:rsidR="00990020" w:rsidRPr="00D74573" w:rsidRDefault="00990020">
      <w:pPr>
        <w:pStyle w:val="34"/>
        <w:tabs>
          <w:tab w:val="right" w:leader="dot" w:pos="8834"/>
        </w:tabs>
        <w:ind w:left="422"/>
        <w:rPr>
          <w:rFonts w:asciiTheme="majorEastAsia" w:eastAsiaTheme="majorEastAsia" w:hAnsiTheme="majorEastAsia" w:cstheme="minorBidi"/>
          <w:noProof/>
          <w14:ligatures w14:val="standardContextual"/>
        </w:rPr>
      </w:pPr>
      <w:hyperlink w:anchor="_Toc242870343" w:history="1">
        <w:r w:rsidRPr="00D74573">
          <w:rPr>
            <w:rStyle w:val="ac"/>
            <w:rFonts w:asciiTheme="majorEastAsia" w:eastAsiaTheme="majorEastAsia" w:hAnsiTheme="majorEastAsia"/>
            <w:bCs/>
            <w:noProof/>
          </w:rPr>
          <w:t>第３　現場合同指揮所等の設置</w:t>
        </w:r>
        <w:r w:rsidRPr="00D74573">
          <w:rPr>
            <w:rFonts w:asciiTheme="majorEastAsia" w:eastAsiaTheme="majorEastAsia" w:hAnsiTheme="majorEastAsia"/>
            <w:noProof/>
            <w:webHidden/>
          </w:rPr>
          <w:tab/>
        </w:r>
        <w:r w:rsidRPr="00D74573">
          <w:rPr>
            <w:rFonts w:asciiTheme="majorEastAsia" w:eastAsiaTheme="majorEastAsia" w:hAnsiTheme="majorEastAsia"/>
            <w:noProof/>
            <w:webHidden/>
          </w:rPr>
          <w:fldChar w:fldCharType="begin"/>
        </w:r>
        <w:r w:rsidRPr="00D74573">
          <w:rPr>
            <w:rFonts w:asciiTheme="majorEastAsia" w:eastAsiaTheme="majorEastAsia" w:hAnsiTheme="majorEastAsia"/>
            <w:noProof/>
            <w:webHidden/>
          </w:rPr>
          <w:instrText xml:space="preserve"> PAGEREF _Toc242870343 \h </w:instrText>
        </w:r>
        <w:r w:rsidRPr="00D74573">
          <w:rPr>
            <w:rFonts w:asciiTheme="majorEastAsia" w:eastAsiaTheme="majorEastAsia" w:hAnsiTheme="majorEastAsia"/>
            <w:noProof/>
            <w:webHidden/>
          </w:rPr>
        </w:r>
        <w:r w:rsidRPr="00D74573">
          <w:rPr>
            <w:rFonts w:asciiTheme="majorEastAsia" w:eastAsiaTheme="majorEastAsia" w:hAnsiTheme="majorEastAsia"/>
            <w:noProof/>
            <w:webHidden/>
          </w:rPr>
          <w:fldChar w:fldCharType="separate"/>
        </w:r>
        <w:r w:rsidR="00385E62">
          <w:rPr>
            <w:rFonts w:asciiTheme="majorEastAsia" w:eastAsiaTheme="majorEastAsia" w:hAnsiTheme="majorEastAsia"/>
            <w:noProof/>
            <w:webHidden/>
          </w:rPr>
          <w:t>- 218 -</w:t>
        </w:r>
        <w:r w:rsidRPr="00D74573">
          <w:rPr>
            <w:rFonts w:asciiTheme="majorEastAsia" w:eastAsiaTheme="majorEastAsia" w:hAnsiTheme="majorEastAsia"/>
            <w:noProof/>
            <w:webHidden/>
          </w:rPr>
          <w:fldChar w:fldCharType="end"/>
        </w:r>
      </w:hyperlink>
    </w:p>
    <w:p w14:paraId="3DCD7C45" w14:textId="20252603" w:rsidR="00990020" w:rsidRPr="00D74573" w:rsidRDefault="00990020">
      <w:pPr>
        <w:pStyle w:val="24"/>
        <w:tabs>
          <w:tab w:val="right" w:leader="dot" w:pos="8834"/>
        </w:tabs>
        <w:ind w:left="211"/>
        <w:rPr>
          <w:rFonts w:asciiTheme="majorEastAsia" w:eastAsiaTheme="majorEastAsia" w:hAnsiTheme="majorEastAsia" w:cstheme="minorBidi"/>
          <w:noProof/>
          <w14:ligatures w14:val="standardContextual"/>
        </w:rPr>
      </w:pPr>
      <w:hyperlink w:anchor="_Toc242870344" w:history="1">
        <w:r w:rsidRPr="00D74573">
          <w:rPr>
            <w:rStyle w:val="ac"/>
            <w:rFonts w:asciiTheme="majorEastAsia" w:eastAsiaTheme="majorEastAsia" w:hAnsiTheme="majorEastAsia"/>
            <w:bCs/>
            <w:noProof/>
          </w:rPr>
          <w:t>第３節　鉄道災害応急対策</w:t>
        </w:r>
        <w:r w:rsidRPr="00D74573">
          <w:rPr>
            <w:rFonts w:asciiTheme="majorEastAsia" w:eastAsiaTheme="majorEastAsia" w:hAnsiTheme="majorEastAsia"/>
            <w:noProof/>
            <w:webHidden/>
          </w:rPr>
          <w:tab/>
        </w:r>
        <w:r w:rsidRPr="00D74573">
          <w:rPr>
            <w:rFonts w:asciiTheme="majorEastAsia" w:eastAsiaTheme="majorEastAsia" w:hAnsiTheme="majorEastAsia"/>
            <w:noProof/>
            <w:webHidden/>
          </w:rPr>
          <w:fldChar w:fldCharType="begin"/>
        </w:r>
        <w:r w:rsidRPr="00D74573">
          <w:rPr>
            <w:rFonts w:asciiTheme="majorEastAsia" w:eastAsiaTheme="majorEastAsia" w:hAnsiTheme="majorEastAsia"/>
            <w:noProof/>
            <w:webHidden/>
          </w:rPr>
          <w:instrText xml:space="preserve"> PAGEREF _Toc242870344 \h </w:instrText>
        </w:r>
        <w:r w:rsidRPr="00D74573">
          <w:rPr>
            <w:rFonts w:asciiTheme="majorEastAsia" w:eastAsiaTheme="majorEastAsia" w:hAnsiTheme="majorEastAsia"/>
            <w:noProof/>
            <w:webHidden/>
          </w:rPr>
        </w:r>
        <w:r w:rsidRPr="00D74573">
          <w:rPr>
            <w:rFonts w:asciiTheme="majorEastAsia" w:eastAsiaTheme="majorEastAsia" w:hAnsiTheme="majorEastAsia"/>
            <w:noProof/>
            <w:webHidden/>
          </w:rPr>
          <w:fldChar w:fldCharType="separate"/>
        </w:r>
        <w:r w:rsidR="00385E62">
          <w:rPr>
            <w:rFonts w:asciiTheme="majorEastAsia" w:eastAsiaTheme="majorEastAsia" w:hAnsiTheme="majorEastAsia"/>
            <w:noProof/>
            <w:webHidden/>
          </w:rPr>
          <w:t>- 222 -</w:t>
        </w:r>
        <w:r w:rsidRPr="00D74573">
          <w:rPr>
            <w:rFonts w:asciiTheme="majorEastAsia" w:eastAsiaTheme="majorEastAsia" w:hAnsiTheme="majorEastAsia"/>
            <w:noProof/>
            <w:webHidden/>
          </w:rPr>
          <w:fldChar w:fldCharType="end"/>
        </w:r>
      </w:hyperlink>
    </w:p>
    <w:p w14:paraId="0F25411B" w14:textId="6902369C" w:rsidR="00990020" w:rsidRPr="00D74573" w:rsidRDefault="00990020">
      <w:pPr>
        <w:pStyle w:val="34"/>
        <w:tabs>
          <w:tab w:val="right" w:leader="dot" w:pos="8834"/>
        </w:tabs>
        <w:ind w:left="422"/>
        <w:rPr>
          <w:rFonts w:asciiTheme="majorEastAsia" w:eastAsiaTheme="majorEastAsia" w:hAnsiTheme="majorEastAsia" w:cstheme="minorBidi"/>
          <w:noProof/>
          <w14:ligatures w14:val="standardContextual"/>
        </w:rPr>
      </w:pPr>
      <w:hyperlink w:anchor="_Toc242870345" w:history="1">
        <w:r w:rsidRPr="00D74573">
          <w:rPr>
            <w:rStyle w:val="ac"/>
            <w:rFonts w:asciiTheme="majorEastAsia" w:eastAsiaTheme="majorEastAsia" w:hAnsiTheme="majorEastAsia"/>
            <w:bCs/>
            <w:noProof/>
          </w:rPr>
          <w:t>第１　鉄軌道事業者の災害応急対策</w:t>
        </w:r>
        <w:r w:rsidRPr="00D74573">
          <w:rPr>
            <w:rFonts w:asciiTheme="majorEastAsia" w:eastAsiaTheme="majorEastAsia" w:hAnsiTheme="majorEastAsia"/>
            <w:noProof/>
            <w:webHidden/>
          </w:rPr>
          <w:tab/>
        </w:r>
        <w:r w:rsidRPr="00D74573">
          <w:rPr>
            <w:rFonts w:asciiTheme="majorEastAsia" w:eastAsiaTheme="majorEastAsia" w:hAnsiTheme="majorEastAsia"/>
            <w:noProof/>
            <w:webHidden/>
          </w:rPr>
          <w:fldChar w:fldCharType="begin"/>
        </w:r>
        <w:r w:rsidRPr="00D74573">
          <w:rPr>
            <w:rFonts w:asciiTheme="majorEastAsia" w:eastAsiaTheme="majorEastAsia" w:hAnsiTheme="majorEastAsia"/>
            <w:noProof/>
            <w:webHidden/>
          </w:rPr>
          <w:instrText xml:space="preserve"> PAGEREF _Toc242870345 \h </w:instrText>
        </w:r>
        <w:r w:rsidRPr="00D74573">
          <w:rPr>
            <w:rFonts w:asciiTheme="majorEastAsia" w:eastAsiaTheme="majorEastAsia" w:hAnsiTheme="majorEastAsia"/>
            <w:noProof/>
            <w:webHidden/>
          </w:rPr>
        </w:r>
        <w:r w:rsidRPr="00D74573">
          <w:rPr>
            <w:rFonts w:asciiTheme="majorEastAsia" w:eastAsiaTheme="majorEastAsia" w:hAnsiTheme="majorEastAsia"/>
            <w:noProof/>
            <w:webHidden/>
          </w:rPr>
          <w:fldChar w:fldCharType="separate"/>
        </w:r>
        <w:r w:rsidR="00385E62">
          <w:rPr>
            <w:rFonts w:asciiTheme="majorEastAsia" w:eastAsiaTheme="majorEastAsia" w:hAnsiTheme="majorEastAsia"/>
            <w:noProof/>
            <w:webHidden/>
          </w:rPr>
          <w:t>- 222 -</w:t>
        </w:r>
        <w:r w:rsidRPr="00D74573">
          <w:rPr>
            <w:rFonts w:asciiTheme="majorEastAsia" w:eastAsiaTheme="majorEastAsia" w:hAnsiTheme="majorEastAsia"/>
            <w:noProof/>
            <w:webHidden/>
          </w:rPr>
          <w:fldChar w:fldCharType="end"/>
        </w:r>
      </w:hyperlink>
    </w:p>
    <w:p w14:paraId="233F5AB7" w14:textId="3A03A2C9" w:rsidR="00990020" w:rsidRPr="00D74573" w:rsidRDefault="00990020">
      <w:pPr>
        <w:pStyle w:val="24"/>
        <w:tabs>
          <w:tab w:val="right" w:leader="dot" w:pos="8834"/>
        </w:tabs>
        <w:ind w:left="211"/>
        <w:rPr>
          <w:rFonts w:asciiTheme="majorEastAsia" w:eastAsiaTheme="majorEastAsia" w:hAnsiTheme="majorEastAsia" w:cstheme="minorBidi"/>
          <w:noProof/>
          <w14:ligatures w14:val="standardContextual"/>
        </w:rPr>
      </w:pPr>
      <w:hyperlink w:anchor="_Toc242870346" w:history="1">
        <w:r w:rsidRPr="00D74573">
          <w:rPr>
            <w:rStyle w:val="ac"/>
            <w:rFonts w:asciiTheme="majorEastAsia" w:eastAsiaTheme="majorEastAsia" w:hAnsiTheme="majorEastAsia"/>
            <w:bCs/>
            <w:noProof/>
          </w:rPr>
          <w:t>第４節　道路災害応急対策</w:t>
        </w:r>
        <w:r w:rsidRPr="00D74573">
          <w:rPr>
            <w:rFonts w:asciiTheme="majorEastAsia" w:eastAsiaTheme="majorEastAsia" w:hAnsiTheme="majorEastAsia"/>
            <w:noProof/>
            <w:webHidden/>
          </w:rPr>
          <w:tab/>
        </w:r>
        <w:r w:rsidRPr="00D74573">
          <w:rPr>
            <w:rFonts w:asciiTheme="majorEastAsia" w:eastAsiaTheme="majorEastAsia" w:hAnsiTheme="majorEastAsia"/>
            <w:noProof/>
            <w:webHidden/>
          </w:rPr>
          <w:fldChar w:fldCharType="begin"/>
        </w:r>
        <w:r w:rsidRPr="00D74573">
          <w:rPr>
            <w:rFonts w:asciiTheme="majorEastAsia" w:eastAsiaTheme="majorEastAsia" w:hAnsiTheme="majorEastAsia"/>
            <w:noProof/>
            <w:webHidden/>
          </w:rPr>
          <w:instrText xml:space="preserve"> PAGEREF _Toc242870346 \h </w:instrText>
        </w:r>
        <w:r w:rsidRPr="00D74573">
          <w:rPr>
            <w:rFonts w:asciiTheme="majorEastAsia" w:eastAsiaTheme="majorEastAsia" w:hAnsiTheme="majorEastAsia"/>
            <w:noProof/>
            <w:webHidden/>
          </w:rPr>
        </w:r>
        <w:r w:rsidRPr="00D74573">
          <w:rPr>
            <w:rFonts w:asciiTheme="majorEastAsia" w:eastAsiaTheme="majorEastAsia" w:hAnsiTheme="majorEastAsia"/>
            <w:noProof/>
            <w:webHidden/>
          </w:rPr>
          <w:fldChar w:fldCharType="separate"/>
        </w:r>
        <w:r w:rsidR="00385E62">
          <w:rPr>
            <w:rFonts w:asciiTheme="majorEastAsia" w:eastAsiaTheme="majorEastAsia" w:hAnsiTheme="majorEastAsia"/>
            <w:noProof/>
            <w:webHidden/>
          </w:rPr>
          <w:t>- 223 -</w:t>
        </w:r>
        <w:r w:rsidRPr="00D74573">
          <w:rPr>
            <w:rFonts w:asciiTheme="majorEastAsia" w:eastAsiaTheme="majorEastAsia" w:hAnsiTheme="majorEastAsia"/>
            <w:noProof/>
            <w:webHidden/>
          </w:rPr>
          <w:fldChar w:fldCharType="end"/>
        </w:r>
      </w:hyperlink>
    </w:p>
    <w:p w14:paraId="5087D0E8" w14:textId="7067DD9F" w:rsidR="00990020" w:rsidRPr="00D74573" w:rsidRDefault="00990020">
      <w:pPr>
        <w:pStyle w:val="34"/>
        <w:tabs>
          <w:tab w:val="right" w:leader="dot" w:pos="8834"/>
        </w:tabs>
        <w:ind w:left="422"/>
        <w:rPr>
          <w:rFonts w:asciiTheme="majorEastAsia" w:eastAsiaTheme="majorEastAsia" w:hAnsiTheme="majorEastAsia" w:cstheme="minorBidi"/>
          <w:noProof/>
          <w14:ligatures w14:val="standardContextual"/>
        </w:rPr>
      </w:pPr>
      <w:hyperlink w:anchor="_Toc242870347" w:history="1">
        <w:r w:rsidRPr="00D74573">
          <w:rPr>
            <w:rStyle w:val="ac"/>
            <w:rFonts w:asciiTheme="majorEastAsia" w:eastAsiaTheme="majorEastAsia" w:hAnsiTheme="majorEastAsia"/>
            <w:bCs/>
            <w:noProof/>
          </w:rPr>
          <w:t>第１　道路管理者の災害応急対策</w:t>
        </w:r>
        <w:r w:rsidRPr="00D74573">
          <w:rPr>
            <w:rFonts w:asciiTheme="majorEastAsia" w:eastAsiaTheme="majorEastAsia" w:hAnsiTheme="majorEastAsia"/>
            <w:noProof/>
            <w:webHidden/>
          </w:rPr>
          <w:tab/>
        </w:r>
        <w:r w:rsidRPr="00D74573">
          <w:rPr>
            <w:rFonts w:asciiTheme="majorEastAsia" w:eastAsiaTheme="majorEastAsia" w:hAnsiTheme="majorEastAsia"/>
            <w:noProof/>
            <w:webHidden/>
          </w:rPr>
          <w:fldChar w:fldCharType="begin"/>
        </w:r>
        <w:r w:rsidRPr="00D74573">
          <w:rPr>
            <w:rFonts w:asciiTheme="majorEastAsia" w:eastAsiaTheme="majorEastAsia" w:hAnsiTheme="majorEastAsia"/>
            <w:noProof/>
            <w:webHidden/>
          </w:rPr>
          <w:instrText xml:space="preserve"> PAGEREF _Toc242870347 \h </w:instrText>
        </w:r>
        <w:r w:rsidRPr="00D74573">
          <w:rPr>
            <w:rFonts w:asciiTheme="majorEastAsia" w:eastAsiaTheme="majorEastAsia" w:hAnsiTheme="majorEastAsia"/>
            <w:noProof/>
            <w:webHidden/>
          </w:rPr>
        </w:r>
        <w:r w:rsidRPr="00D74573">
          <w:rPr>
            <w:rFonts w:asciiTheme="majorEastAsia" w:eastAsiaTheme="majorEastAsia" w:hAnsiTheme="majorEastAsia"/>
            <w:noProof/>
            <w:webHidden/>
          </w:rPr>
          <w:fldChar w:fldCharType="separate"/>
        </w:r>
        <w:r w:rsidR="00385E62">
          <w:rPr>
            <w:rFonts w:asciiTheme="majorEastAsia" w:eastAsiaTheme="majorEastAsia" w:hAnsiTheme="majorEastAsia"/>
            <w:noProof/>
            <w:webHidden/>
          </w:rPr>
          <w:t>- 223 -</w:t>
        </w:r>
        <w:r w:rsidRPr="00D74573">
          <w:rPr>
            <w:rFonts w:asciiTheme="majorEastAsia" w:eastAsiaTheme="majorEastAsia" w:hAnsiTheme="majorEastAsia"/>
            <w:noProof/>
            <w:webHidden/>
          </w:rPr>
          <w:fldChar w:fldCharType="end"/>
        </w:r>
      </w:hyperlink>
    </w:p>
    <w:p w14:paraId="0566377D" w14:textId="41076800" w:rsidR="00990020" w:rsidRPr="00D74573" w:rsidRDefault="00990020">
      <w:pPr>
        <w:pStyle w:val="24"/>
        <w:tabs>
          <w:tab w:val="right" w:leader="dot" w:pos="8834"/>
        </w:tabs>
        <w:ind w:left="211"/>
        <w:rPr>
          <w:rFonts w:asciiTheme="majorEastAsia" w:eastAsiaTheme="majorEastAsia" w:hAnsiTheme="majorEastAsia" w:cstheme="minorBidi"/>
          <w:noProof/>
          <w14:ligatures w14:val="standardContextual"/>
        </w:rPr>
      </w:pPr>
      <w:hyperlink w:anchor="_Toc242870348" w:history="1">
        <w:r w:rsidRPr="00D74573">
          <w:rPr>
            <w:rStyle w:val="ac"/>
            <w:rFonts w:asciiTheme="majorEastAsia" w:eastAsiaTheme="majorEastAsia" w:hAnsiTheme="majorEastAsia"/>
            <w:bCs/>
            <w:noProof/>
          </w:rPr>
          <w:t>第５節　危険物等災害応急対策</w:t>
        </w:r>
        <w:r w:rsidRPr="00D74573">
          <w:rPr>
            <w:rFonts w:asciiTheme="majorEastAsia" w:eastAsiaTheme="majorEastAsia" w:hAnsiTheme="majorEastAsia"/>
            <w:noProof/>
            <w:webHidden/>
          </w:rPr>
          <w:tab/>
        </w:r>
        <w:r w:rsidRPr="00D74573">
          <w:rPr>
            <w:rFonts w:asciiTheme="majorEastAsia" w:eastAsiaTheme="majorEastAsia" w:hAnsiTheme="majorEastAsia"/>
            <w:noProof/>
            <w:webHidden/>
          </w:rPr>
          <w:fldChar w:fldCharType="begin"/>
        </w:r>
        <w:r w:rsidRPr="00D74573">
          <w:rPr>
            <w:rFonts w:asciiTheme="majorEastAsia" w:eastAsiaTheme="majorEastAsia" w:hAnsiTheme="majorEastAsia"/>
            <w:noProof/>
            <w:webHidden/>
          </w:rPr>
          <w:instrText xml:space="preserve"> PAGEREF _Toc242870348 \h </w:instrText>
        </w:r>
        <w:r w:rsidRPr="00D74573">
          <w:rPr>
            <w:rFonts w:asciiTheme="majorEastAsia" w:eastAsiaTheme="majorEastAsia" w:hAnsiTheme="majorEastAsia"/>
            <w:noProof/>
            <w:webHidden/>
          </w:rPr>
        </w:r>
        <w:r w:rsidRPr="00D74573">
          <w:rPr>
            <w:rFonts w:asciiTheme="majorEastAsia" w:eastAsiaTheme="majorEastAsia" w:hAnsiTheme="majorEastAsia"/>
            <w:noProof/>
            <w:webHidden/>
          </w:rPr>
          <w:fldChar w:fldCharType="separate"/>
        </w:r>
        <w:r w:rsidR="00385E62">
          <w:rPr>
            <w:rFonts w:asciiTheme="majorEastAsia" w:eastAsiaTheme="majorEastAsia" w:hAnsiTheme="majorEastAsia"/>
            <w:noProof/>
            <w:webHidden/>
          </w:rPr>
          <w:t>- 224 -</w:t>
        </w:r>
        <w:r w:rsidRPr="00D74573">
          <w:rPr>
            <w:rFonts w:asciiTheme="majorEastAsia" w:eastAsiaTheme="majorEastAsia" w:hAnsiTheme="majorEastAsia"/>
            <w:noProof/>
            <w:webHidden/>
          </w:rPr>
          <w:fldChar w:fldCharType="end"/>
        </w:r>
      </w:hyperlink>
    </w:p>
    <w:p w14:paraId="3D6B7CC5" w14:textId="7295CA15" w:rsidR="00990020" w:rsidRPr="00D74573" w:rsidRDefault="00990020">
      <w:pPr>
        <w:pStyle w:val="34"/>
        <w:tabs>
          <w:tab w:val="right" w:leader="dot" w:pos="8834"/>
        </w:tabs>
        <w:ind w:left="422"/>
        <w:rPr>
          <w:rFonts w:asciiTheme="majorEastAsia" w:eastAsiaTheme="majorEastAsia" w:hAnsiTheme="majorEastAsia" w:cstheme="minorBidi"/>
          <w:noProof/>
          <w14:ligatures w14:val="standardContextual"/>
        </w:rPr>
      </w:pPr>
      <w:hyperlink w:anchor="_Toc242870349" w:history="1">
        <w:r w:rsidRPr="00D74573">
          <w:rPr>
            <w:rStyle w:val="ac"/>
            <w:rFonts w:asciiTheme="majorEastAsia" w:eastAsiaTheme="majorEastAsia" w:hAnsiTheme="majorEastAsia"/>
            <w:bCs/>
            <w:noProof/>
          </w:rPr>
          <w:t>第１　危険物災害応急対策（危機管理室）</w:t>
        </w:r>
        <w:r w:rsidRPr="00D74573">
          <w:rPr>
            <w:rFonts w:asciiTheme="majorEastAsia" w:eastAsiaTheme="majorEastAsia" w:hAnsiTheme="majorEastAsia"/>
            <w:noProof/>
            <w:webHidden/>
          </w:rPr>
          <w:tab/>
        </w:r>
        <w:r w:rsidRPr="00D74573">
          <w:rPr>
            <w:rFonts w:asciiTheme="majorEastAsia" w:eastAsiaTheme="majorEastAsia" w:hAnsiTheme="majorEastAsia"/>
            <w:noProof/>
            <w:webHidden/>
          </w:rPr>
          <w:fldChar w:fldCharType="begin"/>
        </w:r>
        <w:r w:rsidRPr="00D74573">
          <w:rPr>
            <w:rFonts w:asciiTheme="majorEastAsia" w:eastAsiaTheme="majorEastAsia" w:hAnsiTheme="majorEastAsia"/>
            <w:noProof/>
            <w:webHidden/>
          </w:rPr>
          <w:instrText xml:space="preserve"> PAGEREF _Toc242870349 \h </w:instrText>
        </w:r>
        <w:r w:rsidRPr="00D74573">
          <w:rPr>
            <w:rFonts w:asciiTheme="majorEastAsia" w:eastAsiaTheme="majorEastAsia" w:hAnsiTheme="majorEastAsia"/>
            <w:noProof/>
            <w:webHidden/>
          </w:rPr>
        </w:r>
        <w:r w:rsidRPr="00D74573">
          <w:rPr>
            <w:rFonts w:asciiTheme="majorEastAsia" w:eastAsiaTheme="majorEastAsia" w:hAnsiTheme="majorEastAsia"/>
            <w:noProof/>
            <w:webHidden/>
          </w:rPr>
          <w:fldChar w:fldCharType="separate"/>
        </w:r>
        <w:r w:rsidR="00385E62">
          <w:rPr>
            <w:rFonts w:asciiTheme="majorEastAsia" w:eastAsiaTheme="majorEastAsia" w:hAnsiTheme="majorEastAsia"/>
            <w:noProof/>
            <w:webHidden/>
          </w:rPr>
          <w:t>- 224 -</w:t>
        </w:r>
        <w:r w:rsidRPr="00D74573">
          <w:rPr>
            <w:rFonts w:asciiTheme="majorEastAsia" w:eastAsiaTheme="majorEastAsia" w:hAnsiTheme="majorEastAsia"/>
            <w:noProof/>
            <w:webHidden/>
          </w:rPr>
          <w:fldChar w:fldCharType="end"/>
        </w:r>
      </w:hyperlink>
    </w:p>
    <w:p w14:paraId="5F9E5A8C" w14:textId="1554D572" w:rsidR="00990020" w:rsidRPr="00D74573" w:rsidRDefault="00990020">
      <w:pPr>
        <w:pStyle w:val="34"/>
        <w:tabs>
          <w:tab w:val="right" w:leader="dot" w:pos="8834"/>
        </w:tabs>
        <w:ind w:left="422"/>
        <w:rPr>
          <w:rFonts w:asciiTheme="majorEastAsia" w:eastAsiaTheme="majorEastAsia" w:hAnsiTheme="majorEastAsia" w:cstheme="minorBidi"/>
          <w:noProof/>
          <w14:ligatures w14:val="standardContextual"/>
        </w:rPr>
      </w:pPr>
      <w:hyperlink w:anchor="_Toc242870350" w:history="1">
        <w:r w:rsidRPr="00D74573">
          <w:rPr>
            <w:rStyle w:val="ac"/>
            <w:rFonts w:asciiTheme="majorEastAsia" w:eastAsiaTheme="majorEastAsia" w:hAnsiTheme="majorEastAsia"/>
            <w:bCs/>
            <w:noProof/>
          </w:rPr>
          <w:t>第２　高圧ガス災害応急対策（危機管理室）</w:t>
        </w:r>
        <w:r w:rsidRPr="00D74573">
          <w:rPr>
            <w:rFonts w:asciiTheme="majorEastAsia" w:eastAsiaTheme="majorEastAsia" w:hAnsiTheme="majorEastAsia"/>
            <w:noProof/>
            <w:webHidden/>
          </w:rPr>
          <w:tab/>
        </w:r>
        <w:r w:rsidRPr="00D74573">
          <w:rPr>
            <w:rFonts w:asciiTheme="majorEastAsia" w:eastAsiaTheme="majorEastAsia" w:hAnsiTheme="majorEastAsia"/>
            <w:noProof/>
            <w:webHidden/>
          </w:rPr>
          <w:fldChar w:fldCharType="begin"/>
        </w:r>
        <w:r w:rsidRPr="00D74573">
          <w:rPr>
            <w:rFonts w:asciiTheme="majorEastAsia" w:eastAsiaTheme="majorEastAsia" w:hAnsiTheme="majorEastAsia"/>
            <w:noProof/>
            <w:webHidden/>
          </w:rPr>
          <w:instrText xml:space="preserve"> PAGEREF _Toc242870350 \h </w:instrText>
        </w:r>
        <w:r w:rsidRPr="00D74573">
          <w:rPr>
            <w:rFonts w:asciiTheme="majorEastAsia" w:eastAsiaTheme="majorEastAsia" w:hAnsiTheme="majorEastAsia"/>
            <w:noProof/>
            <w:webHidden/>
          </w:rPr>
        </w:r>
        <w:r w:rsidRPr="00D74573">
          <w:rPr>
            <w:rFonts w:asciiTheme="majorEastAsia" w:eastAsiaTheme="majorEastAsia" w:hAnsiTheme="majorEastAsia"/>
            <w:noProof/>
            <w:webHidden/>
          </w:rPr>
          <w:fldChar w:fldCharType="separate"/>
        </w:r>
        <w:r w:rsidR="00385E62">
          <w:rPr>
            <w:rFonts w:asciiTheme="majorEastAsia" w:eastAsiaTheme="majorEastAsia" w:hAnsiTheme="majorEastAsia"/>
            <w:noProof/>
            <w:webHidden/>
          </w:rPr>
          <w:t>- 225 -</w:t>
        </w:r>
        <w:r w:rsidRPr="00D74573">
          <w:rPr>
            <w:rFonts w:asciiTheme="majorEastAsia" w:eastAsiaTheme="majorEastAsia" w:hAnsiTheme="majorEastAsia"/>
            <w:noProof/>
            <w:webHidden/>
          </w:rPr>
          <w:fldChar w:fldCharType="end"/>
        </w:r>
      </w:hyperlink>
    </w:p>
    <w:p w14:paraId="5904838D" w14:textId="308C3376" w:rsidR="00990020" w:rsidRPr="00D74573" w:rsidRDefault="00990020">
      <w:pPr>
        <w:pStyle w:val="34"/>
        <w:tabs>
          <w:tab w:val="right" w:leader="dot" w:pos="8834"/>
        </w:tabs>
        <w:ind w:left="422"/>
        <w:rPr>
          <w:rFonts w:asciiTheme="majorEastAsia" w:eastAsiaTheme="majorEastAsia" w:hAnsiTheme="majorEastAsia" w:cstheme="minorBidi"/>
          <w:noProof/>
          <w14:ligatures w14:val="standardContextual"/>
        </w:rPr>
      </w:pPr>
      <w:hyperlink w:anchor="_Toc242870351" w:history="1">
        <w:r w:rsidRPr="00D74573">
          <w:rPr>
            <w:rStyle w:val="ac"/>
            <w:rFonts w:asciiTheme="majorEastAsia" w:eastAsiaTheme="majorEastAsia" w:hAnsiTheme="majorEastAsia"/>
            <w:noProof/>
          </w:rPr>
          <w:t>第３　火薬類災害応急対策（危機管理室）</w:t>
        </w:r>
        <w:r w:rsidRPr="00D74573">
          <w:rPr>
            <w:rFonts w:asciiTheme="majorEastAsia" w:eastAsiaTheme="majorEastAsia" w:hAnsiTheme="majorEastAsia"/>
            <w:noProof/>
            <w:webHidden/>
          </w:rPr>
          <w:tab/>
        </w:r>
        <w:r w:rsidRPr="00D74573">
          <w:rPr>
            <w:rFonts w:asciiTheme="majorEastAsia" w:eastAsiaTheme="majorEastAsia" w:hAnsiTheme="majorEastAsia"/>
            <w:noProof/>
            <w:webHidden/>
          </w:rPr>
          <w:fldChar w:fldCharType="begin"/>
        </w:r>
        <w:r w:rsidRPr="00D74573">
          <w:rPr>
            <w:rFonts w:asciiTheme="majorEastAsia" w:eastAsiaTheme="majorEastAsia" w:hAnsiTheme="majorEastAsia"/>
            <w:noProof/>
            <w:webHidden/>
          </w:rPr>
          <w:instrText xml:space="preserve"> PAGEREF _Toc242870351 \h </w:instrText>
        </w:r>
        <w:r w:rsidRPr="00D74573">
          <w:rPr>
            <w:rFonts w:asciiTheme="majorEastAsia" w:eastAsiaTheme="majorEastAsia" w:hAnsiTheme="majorEastAsia"/>
            <w:noProof/>
            <w:webHidden/>
          </w:rPr>
        </w:r>
        <w:r w:rsidRPr="00D74573">
          <w:rPr>
            <w:rFonts w:asciiTheme="majorEastAsia" w:eastAsiaTheme="majorEastAsia" w:hAnsiTheme="majorEastAsia"/>
            <w:noProof/>
            <w:webHidden/>
          </w:rPr>
          <w:fldChar w:fldCharType="separate"/>
        </w:r>
        <w:r w:rsidR="00385E62">
          <w:rPr>
            <w:rFonts w:asciiTheme="majorEastAsia" w:eastAsiaTheme="majorEastAsia" w:hAnsiTheme="majorEastAsia"/>
            <w:noProof/>
            <w:webHidden/>
          </w:rPr>
          <w:t>- 226 -</w:t>
        </w:r>
        <w:r w:rsidRPr="00D74573">
          <w:rPr>
            <w:rFonts w:asciiTheme="majorEastAsia" w:eastAsiaTheme="majorEastAsia" w:hAnsiTheme="majorEastAsia"/>
            <w:noProof/>
            <w:webHidden/>
          </w:rPr>
          <w:fldChar w:fldCharType="end"/>
        </w:r>
      </w:hyperlink>
    </w:p>
    <w:p w14:paraId="1D379822" w14:textId="28BA74FB" w:rsidR="00990020" w:rsidRPr="00D74573" w:rsidRDefault="00990020">
      <w:pPr>
        <w:pStyle w:val="34"/>
        <w:tabs>
          <w:tab w:val="right" w:leader="dot" w:pos="8834"/>
        </w:tabs>
        <w:ind w:left="422"/>
        <w:rPr>
          <w:rFonts w:asciiTheme="majorEastAsia" w:eastAsiaTheme="majorEastAsia" w:hAnsiTheme="majorEastAsia" w:cstheme="minorBidi"/>
          <w:noProof/>
          <w14:ligatures w14:val="standardContextual"/>
        </w:rPr>
      </w:pPr>
      <w:hyperlink w:anchor="_Toc242870352" w:history="1">
        <w:r w:rsidRPr="00D74573">
          <w:rPr>
            <w:rStyle w:val="ac"/>
            <w:rFonts w:asciiTheme="majorEastAsia" w:eastAsiaTheme="majorEastAsia" w:hAnsiTheme="majorEastAsia"/>
            <w:noProof/>
          </w:rPr>
          <w:t>第４　毒物劇物災害応急対策（薬務課）</w:t>
        </w:r>
        <w:r w:rsidRPr="00D74573">
          <w:rPr>
            <w:rFonts w:asciiTheme="majorEastAsia" w:eastAsiaTheme="majorEastAsia" w:hAnsiTheme="majorEastAsia"/>
            <w:noProof/>
            <w:webHidden/>
          </w:rPr>
          <w:tab/>
        </w:r>
        <w:r w:rsidRPr="00D74573">
          <w:rPr>
            <w:rFonts w:asciiTheme="majorEastAsia" w:eastAsiaTheme="majorEastAsia" w:hAnsiTheme="majorEastAsia"/>
            <w:noProof/>
            <w:webHidden/>
          </w:rPr>
          <w:fldChar w:fldCharType="begin"/>
        </w:r>
        <w:r w:rsidRPr="00D74573">
          <w:rPr>
            <w:rFonts w:asciiTheme="majorEastAsia" w:eastAsiaTheme="majorEastAsia" w:hAnsiTheme="majorEastAsia"/>
            <w:noProof/>
            <w:webHidden/>
          </w:rPr>
          <w:instrText xml:space="preserve"> PAGEREF _Toc242870352 \h </w:instrText>
        </w:r>
        <w:r w:rsidRPr="00D74573">
          <w:rPr>
            <w:rFonts w:asciiTheme="majorEastAsia" w:eastAsiaTheme="majorEastAsia" w:hAnsiTheme="majorEastAsia"/>
            <w:noProof/>
            <w:webHidden/>
          </w:rPr>
        </w:r>
        <w:r w:rsidRPr="00D74573">
          <w:rPr>
            <w:rFonts w:asciiTheme="majorEastAsia" w:eastAsiaTheme="majorEastAsia" w:hAnsiTheme="majorEastAsia"/>
            <w:noProof/>
            <w:webHidden/>
          </w:rPr>
          <w:fldChar w:fldCharType="separate"/>
        </w:r>
        <w:r w:rsidR="00385E62">
          <w:rPr>
            <w:rFonts w:asciiTheme="majorEastAsia" w:eastAsiaTheme="majorEastAsia" w:hAnsiTheme="majorEastAsia"/>
            <w:noProof/>
            <w:webHidden/>
          </w:rPr>
          <w:t>- 227 -</w:t>
        </w:r>
        <w:r w:rsidRPr="00D74573">
          <w:rPr>
            <w:rFonts w:asciiTheme="majorEastAsia" w:eastAsiaTheme="majorEastAsia" w:hAnsiTheme="majorEastAsia"/>
            <w:noProof/>
            <w:webHidden/>
          </w:rPr>
          <w:fldChar w:fldCharType="end"/>
        </w:r>
      </w:hyperlink>
    </w:p>
    <w:p w14:paraId="78D41701" w14:textId="2694D82F" w:rsidR="00990020" w:rsidRPr="00D74573" w:rsidRDefault="00990020">
      <w:pPr>
        <w:pStyle w:val="34"/>
        <w:tabs>
          <w:tab w:val="right" w:leader="dot" w:pos="8834"/>
        </w:tabs>
        <w:ind w:left="422"/>
        <w:rPr>
          <w:rFonts w:asciiTheme="majorEastAsia" w:eastAsiaTheme="majorEastAsia" w:hAnsiTheme="majorEastAsia" w:cstheme="minorBidi"/>
          <w:noProof/>
          <w14:ligatures w14:val="standardContextual"/>
        </w:rPr>
      </w:pPr>
      <w:hyperlink w:anchor="_Toc242870353" w:history="1">
        <w:r w:rsidRPr="00D74573">
          <w:rPr>
            <w:rStyle w:val="ac"/>
            <w:rFonts w:asciiTheme="majorEastAsia" w:eastAsiaTheme="majorEastAsia" w:hAnsiTheme="majorEastAsia"/>
            <w:noProof/>
          </w:rPr>
          <w:t>第５　管理化学物質災害応急対策（事業所指導課）</w:t>
        </w:r>
        <w:r w:rsidRPr="00D74573">
          <w:rPr>
            <w:rFonts w:asciiTheme="majorEastAsia" w:eastAsiaTheme="majorEastAsia" w:hAnsiTheme="majorEastAsia"/>
            <w:noProof/>
            <w:webHidden/>
          </w:rPr>
          <w:tab/>
        </w:r>
        <w:r w:rsidRPr="00D74573">
          <w:rPr>
            <w:rFonts w:asciiTheme="majorEastAsia" w:eastAsiaTheme="majorEastAsia" w:hAnsiTheme="majorEastAsia"/>
            <w:noProof/>
            <w:webHidden/>
          </w:rPr>
          <w:fldChar w:fldCharType="begin"/>
        </w:r>
        <w:r w:rsidRPr="00D74573">
          <w:rPr>
            <w:rFonts w:asciiTheme="majorEastAsia" w:eastAsiaTheme="majorEastAsia" w:hAnsiTheme="majorEastAsia"/>
            <w:noProof/>
            <w:webHidden/>
          </w:rPr>
          <w:instrText xml:space="preserve"> PAGEREF _Toc242870353 \h </w:instrText>
        </w:r>
        <w:r w:rsidRPr="00D74573">
          <w:rPr>
            <w:rFonts w:asciiTheme="majorEastAsia" w:eastAsiaTheme="majorEastAsia" w:hAnsiTheme="majorEastAsia"/>
            <w:noProof/>
            <w:webHidden/>
          </w:rPr>
        </w:r>
        <w:r w:rsidRPr="00D74573">
          <w:rPr>
            <w:rFonts w:asciiTheme="majorEastAsia" w:eastAsiaTheme="majorEastAsia" w:hAnsiTheme="majorEastAsia"/>
            <w:noProof/>
            <w:webHidden/>
          </w:rPr>
          <w:fldChar w:fldCharType="separate"/>
        </w:r>
        <w:r w:rsidR="00385E62">
          <w:rPr>
            <w:rFonts w:asciiTheme="majorEastAsia" w:eastAsiaTheme="majorEastAsia" w:hAnsiTheme="majorEastAsia"/>
            <w:noProof/>
            <w:webHidden/>
          </w:rPr>
          <w:t>- 228 -</w:t>
        </w:r>
        <w:r w:rsidRPr="00D74573">
          <w:rPr>
            <w:rFonts w:asciiTheme="majorEastAsia" w:eastAsiaTheme="majorEastAsia" w:hAnsiTheme="majorEastAsia"/>
            <w:noProof/>
            <w:webHidden/>
          </w:rPr>
          <w:fldChar w:fldCharType="end"/>
        </w:r>
      </w:hyperlink>
    </w:p>
    <w:p w14:paraId="7B838C94" w14:textId="380AF78C" w:rsidR="00990020" w:rsidRPr="00D74573" w:rsidRDefault="00990020">
      <w:pPr>
        <w:pStyle w:val="24"/>
        <w:tabs>
          <w:tab w:val="right" w:leader="dot" w:pos="8834"/>
        </w:tabs>
        <w:ind w:left="211"/>
        <w:rPr>
          <w:rFonts w:asciiTheme="majorEastAsia" w:eastAsiaTheme="majorEastAsia" w:hAnsiTheme="majorEastAsia" w:cstheme="minorBidi"/>
          <w:noProof/>
          <w14:ligatures w14:val="standardContextual"/>
        </w:rPr>
      </w:pPr>
      <w:hyperlink w:anchor="_Toc242870354" w:history="1">
        <w:r w:rsidRPr="00D74573">
          <w:rPr>
            <w:rStyle w:val="ac"/>
            <w:rFonts w:asciiTheme="majorEastAsia" w:eastAsiaTheme="majorEastAsia" w:hAnsiTheme="majorEastAsia"/>
            <w:noProof/>
          </w:rPr>
          <w:t>第６節　高層建築物、地下街、市街地災害応急対策</w:t>
        </w:r>
        <w:r w:rsidRPr="00D74573">
          <w:rPr>
            <w:rFonts w:asciiTheme="majorEastAsia" w:eastAsiaTheme="majorEastAsia" w:hAnsiTheme="majorEastAsia"/>
            <w:noProof/>
            <w:webHidden/>
          </w:rPr>
          <w:tab/>
        </w:r>
        <w:r w:rsidRPr="00D74573">
          <w:rPr>
            <w:rFonts w:asciiTheme="majorEastAsia" w:eastAsiaTheme="majorEastAsia" w:hAnsiTheme="majorEastAsia"/>
            <w:noProof/>
            <w:webHidden/>
          </w:rPr>
          <w:fldChar w:fldCharType="begin"/>
        </w:r>
        <w:r w:rsidRPr="00D74573">
          <w:rPr>
            <w:rFonts w:asciiTheme="majorEastAsia" w:eastAsiaTheme="majorEastAsia" w:hAnsiTheme="majorEastAsia"/>
            <w:noProof/>
            <w:webHidden/>
          </w:rPr>
          <w:instrText xml:space="preserve"> PAGEREF _Toc242870354 \h </w:instrText>
        </w:r>
        <w:r w:rsidRPr="00D74573">
          <w:rPr>
            <w:rFonts w:asciiTheme="majorEastAsia" w:eastAsiaTheme="majorEastAsia" w:hAnsiTheme="majorEastAsia"/>
            <w:noProof/>
            <w:webHidden/>
          </w:rPr>
        </w:r>
        <w:r w:rsidRPr="00D74573">
          <w:rPr>
            <w:rFonts w:asciiTheme="majorEastAsia" w:eastAsiaTheme="majorEastAsia" w:hAnsiTheme="majorEastAsia"/>
            <w:noProof/>
            <w:webHidden/>
          </w:rPr>
          <w:fldChar w:fldCharType="separate"/>
        </w:r>
        <w:r w:rsidR="00385E62">
          <w:rPr>
            <w:rFonts w:asciiTheme="majorEastAsia" w:eastAsiaTheme="majorEastAsia" w:hAnsiTheme="majorEastAsia"/>
            <w:noProof/>
            <w:webHidden/>
          </w:rPr>
          <w:t>- 229 -</w:t>
        </w:r>
        <w:r w:rsidRPr="00D74573">
          <w:rPr>
            <w:rFonts w:asciiTheme="majorEastAsia" w:eastAsiaTheme="majorEastAsia" w:hAnsiTheme="majorEastAsia"/>
            <w:noProof/>
            <w:webHidden/>
          </w:rPr>
          <w:fldChar w:fldCharType="end"/>
        </w:r>
      </w:hyperlink>
    </w:p>
    <w:p w14:paraId="00B4F67E" w14:textId="5D7EDC18" w:rsidR="00990020" w:rsidRPr="00D74573" w:rsidRDefault="00990020">
      <w:pPr>
        <w:pStyle w:val="34"/>
        <w:tabs>
          <w:tab w:val="right" w:leader="dot" w:pos="8834"/>
        </w:tabs>
        <w:ind w:left="422"/>
        <w:rPr>
          <w:rFonts w:asciiTheme="majorEastAsia" w:eastAsiaTheme="majorEastAsia" w:hAnsiTheme="majorEastAsia" w:cstheme="minorBidi"/>
          <w:noProof/>
          <w14:ligatures w14:val="standardContextual"/>
        </w:rPr>
      </w:pPr>
      <w:hyperlink w:anchor="_Toc242870355" w:history="1">
        <w:r w:rsidRPr="00D74573">
          <w:rPr>
            <w:rStyle w:val="ac"/>
            <w:rFonts w:asciiTheme="majorEastAsia" w:eastAsiaTheme="majorEastAsia" w:hAnsiTheme="majorEastAsia"/>
            <w:bCs/>
            <w:noProof/>
          </w:rPr>
          <w:t>第１　広域応援体制</w:t>
        </w:r>
        <w:r w:rsidRPr="00D74573">
          <w:rPr>
            <w:rFonts w:asciiTheme="majorEastAsia" w:eastAsiaTheme="majorEastAsia" w:hAnsiTheme="majorEastAsia"/>
            <w:noProof/>
            <w:webHidden/>
          </w:rPr>
          <w:tab/>
        </w:r>
        <w:r w:rsidRPr="00D74573">
          <w:rPr>
            <w:rFonts w:asciiTheme="majorEastAsia" w:eastAsiaTheme="majorEastAsia" w:hAnsiTheme="majorEastAsia"/>
            <w:noProof/>
            <w:webHidden/>
          </w:rPr>
          <w:fldChar w:fldCharType="begin"/>
        </w:r>
        <w:r w:rsidRPr="00D74573">
          <w:rPr>
            <w:rFonts w:asciiTheme="majorEastAsia" w:eastAsiaTheme="majorEastAsia" w:hAnsiTheme="majorEastAsia"/>
            <w:noProof/>
            <w:webHidden/>
          </w:rPr>
          <w:instrText xml:space="preserve"> PAGEREF _Toc242870355 \h </w:instrText>
        </w:r>
        <w:r w:rsidRPr="00D74573">
          <w:rPr>
            <w:rFonts w:asciiTheme="majorEastAsia" w:eastAsiaTheme="majorEastAsia" w:hAnsiTheme="majorEastAsia"/>
            <w:noProof/>
            <w:webHidden/>
          </w:rPr>
        </w:r>
        <w:r w:rsidRPr="00D74573">
          <w:rPr>
            <w:rFonts w:asciiTheme="majorEastAsia" w:eastAsiaTheme="majorEastAsia" w:hAnsiTheme="majorEastAsia"/>
            <w:noProof/>
            <w:webHidden/>
          </w:rPr>
          <w:fldChar w:fldCharType="separate"/>
        </w:r>
        <w:r w:rsidR="00385E62">
          <w:rPr>
            <w:rFonts w:asciiTheme="majorEastAsia" w:eastAsiaTheme="majorEastAsia" w:hAnsiTheme="majorEastAsia"/>
            <w:noProof/>
            <w:webHidden/>
          </w:rPr>
          <w:t>- 229 -</w:t>
        </w:r>
        <w:r w:rsidRPr="00D74573">
          <w:rPr>
            <w:rFonts w:asciiTheme="majorEastAsia" w:eastAsiaTheme="majorEastAsia" w:hAnsiTheme="majorEastAsia"/>
            <w:noProof/>
            <w:webHidden/>
          </w:rPr>
          <w:fldChar w:fldCharType="end"/>
        </w:r>
      </w:hyperlink>
    </w:p>
    <w:p w14:paraId="3960E277" w14:textId="19BD3B34" w:rsidR="00990020" w:rsidRPr="00D74573" w:rsidRDefault="00990020">
      <w:pPr>
        <w:pStyle w:val="24"/>
        <w:tabs>
          <w:tab w:val="right" w:leader="dot" w:pos="8834"/>
        </w:tabs>
        <w:ind w:left="211"/>
        <w:rPr>
          <w:rFonts w:asciiTheme="majorEastAsia" w:eastAsiaTheme="majorEastAsia" w:hAnsiTheme="majorEastAsia" w:cstheme="minorBidi"/>
          <w:noProof/>
          <w14:ligatures w14:val="standardContextual"/>
        </w:rPr>
      </w:pPr>
      <w:hyperlink w:anchor="_Toc242870356" w:history="1">
        <w:r w:rsidRPr="00D74573">
          <w:rPr>
            <w:rStyle w:val="ac"/>
            <w:rFonts w:asciiTheme="majorEastAsia" w:eastAsiaTheme="majorEastAsia" w:hAnsiTheme="majorEastAsia"/>
            <w:bCs/>
            <w:noProof/>
          </w:rPr>
          <w:t>第７節　林野火災応急対策</w:t>
        </w:r>
        <w:r w:rsidRPr="00D74573">
          <w:rPr>
            <w:rFonts w:asciiTheme="majorEastAsia" w:eastAsiaTheme="majorEastAsia" w:hAnsiTheme="majorEastAsia"/>
            <w:noProof/>
            <w:webHidden/>
          </w:rPr>
          <w:tab/>
        </w:r>
        <w:r w:rsidRPr="00D74573">
          <w:rPr>
            <w:rFonts w:asciiTheme="majorEastAsia" w:eastAsiaTheme="majorEastAsia" w:hAnsiTheme="majorEastAsia"/>
            <w:noProof/>
            <w:webHidden/>
          </w:rPr>
          <w:fldChar w:fldCharType="begin"/>
        </w:r>
        <w:r w:rsidRPr="00D74573">
          <w:rPr>
            <w:rFonts w:asciiTheme="majorEastAsia" w:eastAsiaTheme="majorEastAsia" w:hAnsiTheme="majorEastAsia"/>
            <w:noProof/>
            <w:webHidden/>
          </w:rPr>
          <w:instrText xml:space="preserve"> PAGEREF _Toc242870356 \h </w:instrText>
        </w:r>
        <w:r w:rsidRPr="00D74573">
          <w:rPr>
            <w:rFonts w:asciiTheme="majorEastAsia" w:eastAsiaTheme="majorEastAsia" w:hAnsiTheme="majorEastAsia"/>
            <w:noProof/>
            <w:webHidden/>
          </w:rPr>
        </w:r>
        <w:r w:rsidRPr="00D74573">
          <w:rPr>
            <w:rFonts w:asciiTheme="majorEastAsia" w:eastAsiaTheme="majorEastAsia" w:hAnsiTheme="majorEastAsia"/>
            <w:noProof/>
            <w:webHidden/>
          </w:rPr>
          <w:fldChar w:fldCharType="separate"/>
        </w:r>
        <w:r w:rsidR="00385E62">
          <w:rPr>
            <w:rFonts w:asciiTheme="majorEastAsia" w:eastAsiaTheme="majorEastAsia" w:hAnsiTheme="majorEastAsia"/>
            <w:noProof/>
            <w:webHidden/>
          </w:rPr>
          <w:t>- 230 -</w:t>
        </w:r>
        <w:r w:rsidRPr="00D74573">
          <w:rPr>
            <w:rFonts w:asciiTheme="majorEastAsia" w:eastAsiaTheme="majorEastAsia" w:hAnsiTheme="majorEastAsia"/>
            <w:noProof/>
            <w:webHidden/>
          </w:rPr>
          <w:fldChar w:fldCharType="end"/>
        </w:r>
      </w:hyperlink>
    </w:p>
    <w:p w14:paraId="54DCCCE4" w14:textId="6FB88EE6" w:rsidR="00990020" w:rsidRPr="00D74573" w:rsidRDefault="00990020">
      <w:pPr>
        <w:pStyle w:val="34"/>
        <w:tabs>
          <w:tab w:val="right" w:leader="dot" w:pos="8834"/>
        </w:tabs>
        <w:ind w:left="422"/>
        <w:rPr>
          <w:rFonts w:asciiTheme="majorEastAsia" w:eastAsiaTheme="majorEastAsia" w:hAnsiTheme="majorEastAsia" w:cstheme="minorBidi"/>
          <w:noProof/>
          <w14:ligatures w14:val="standardContextual"/>
        </w:rPr>
      </w:pPr>
      <w:hyperlink w:anchor="_Toc242870357" w:history="1">
        <w:r w:rsidRPr="00D74573">
          <w:rPr>
            <w:rStyle w:val="ac"/>
            <w:rFonts w:asciiTheme="majorEastAsia" w:eastAsiaTheme="majorEastAsia" w:hAnsiTheme="majorEastAsia"/>
            <w:bCs/>
            <w:noProof/>
          </w:rPr>
          <w:t>第１　府民への周知</w:t>
        </w:r>
        <w:r w:rsidRPr="00D74573">
          <w:rPr>
            <w:rFonts w:asciiTheme="majorEastAsia" w:eastAsiaTheme="majorEastAsia" w:hAnsiTheme="majorEastAsia"/>
            <w:noProof/>
            <w:webHidden/>
          </w:rPr>
          <w:tab/>
        </w:r>
        <w:r w:rsidRPr="00D74573">
          <w:rPr>
            <w:rFonts w:asciiTheme="majorEastAsia" w:eastAsiaTheme="majorEastAsia" w:hAnsiTheme="majorEastAsia"/>
            <w:noProof/>
            <w:webHidden/>
          </w:rPr>
          <w:fldChar w:fldCharType="begin"/>
        </w:r>
        <w:r w:rsidRPr="00D74573">
          <w:rPr>
            <w:rFonts w:asciiTheme="majorEastAsia" w:eastAsiaTheme="majorEastAsia" w:hAnsiTheme="majorEastAsia"/>
            <w:noProof/>
            <w:webHidden/>
          </w:rPr>
          <w:instrText xml:space="preserve"> PAGEREF _Toc242870357 \h </w:instrText>
        </w:r>
        <w:r w:rsidRPr="00D74573">
          <w:rPr>
            <w:rFonts w:asciiTheme="majorEastAsia" w:eastAsiaTheme="majorEastAsia" w:hAnsiTheme="majorEastAsia"/>
            <w:noProof/>
            <w:webHidden/>
          </w:rPr>
        </w:r>
        <w:r w:rsidRPr="00D74573">
          <w:rPr>
            <w:rFonts w:asciiTheme="majorEastAsia" w:eastAsiaTheme="majorEastAsia" w:hAnsiTheme="majorEastAsia"/>
            <w:noProof/>
            <w:webHidden/>
          </w:rPr>
          <w:fldChar w:fldCharType="separate"/>
        </w:r>
        <w:r w:rsidR="00385E62">
          <w:rPr>
            <w:rFonts w:asciiTheme="majorEastAsia" w:eastAsiaTheme="majorEastAsia" w:hAnsiTheme="majorEastAsia"/>
            <w:noProof/>
            <w:webHidden/>
          </w:rPr>
          <w:t>- 230 -</w:t>
        </w:r>
        <w:r w:rsidRPr="00D74573">
          <w:rPr>
            <w:rFonts w:asciiTheme="majorEastAsia" w:eastAsiaTheme="majorEastAsia" w:hAnsiTheme="majorEastAsia"/>
            <w:noProof/>
            <w:webHidden/>
          </w:rPr>
          <w:fldChar w:fldCharType="end"/>
        </w:r>
      </w:hyperlink>
    </w:p>
    <w:p w14:paraId="35AD2E15" w14:textId="6F123CC7" w:rsidR="00990020" w:rsidRPr="00D74573" w:rsidRDefault="00990020">
      <w:pPr>
        <w:pStyle w:val="34"/>
        <w:tabs>
          <w:tab w:val="right" w:leader="dot" w:pos="8834"/>
        </w:tabs>
        <w:ind w:left="422"/>
        <w:rPr>
          <w:rFonts w:asciiTheme="majorEastAsia" w:eastAsiaTheme="majorEastAsia" w:hAnsiTheme="majorEastAsia" w:cstheme="minorBidi"/>
          <w:noProof/>
          <w14:ligatures w14:val="standardContextual"/>
        </w:rPr>
      </w:pPr>
      <w:hyperlink w:anchor="_Toc242870358" w:history="1">
        <w:r w:rsidRPr="00D74573">
          <w:rPr>
            <w:rStyle w:val="ac"/>
            <w:rFonts w:asciiTheme="majorEastAsia" w:eastAsiaTheme="majorEastAsia" w:hAnsiTheme="majorEastAsia"/>
            <w:bCs/>
            <w:noProof/>
          </w:rPr>
          <w:t>第２　火災通報等</w:t>
        </w:r>
        <w:r w:rsidRPr="00D74573">
          <w:rPr>
            <w:rFonts w:asciiTheme="majorEastAsia" w:eastAsiaTheme="majorEastAsia" w:hAnsiTheme="majorEastAsia"/>
            <w:noProof/>
            <w:webHidden/>
          </w:rPr>
          <w:tab/>
        </w:r>
        <w:r w:rsidRPr="00D74573">
          <w:rPr>
            <w:rFonts w:asciiTheme="majorEastAsia" w:eastAsiaTheme="majorEastAsia" w:hAnsiTheme="majorEastAsia"/>
            <w:noProof/>
            <w:webHidden/>
          </w:rPr>
          <w:fldChar w:fldCharType="begin"/>
        </w:r>
        <w:r w:rsidRPr="00D74573">
          <w:rPr>
            <w:rFonts w:asciiTheme="majorEastAsia" w:eastAsiaTheme="majorEastAsia" w:hAnsiTheme="majorEastAsia"/>
            <w:noProof/>
            <w:webHidden/>
          </w:rPr>
          <w:instrText xml:space="preserve"> PAGEREF _Toc242870358 \h </w:instrText>
        </w:r>
        <w:r w:rsidRPr="00D74573">
          <w:rPr>
            <w:rFonts w:asciiTheme="majorEastAsia" w:eastAsiaTheme="majorEastAsia" w:hAnsiTheme="majorEastAsia"/>
            <w:noProof/>
            <w:webHidden/>
          </w:rPr>
        </w:r>
        <w:r w:rsidRPr="00D74573">
          <w:rPr>
            <w:rFonts w:asciiTheme="majorEastAsia" w:eastAsiaTheme="majorEastAsia" w:hAnsiTheme="majorEastAsia"/>
            <w:noProof/>
            <w:webHidden/>
          </w:rPr>
          <w:fldChar w:fldCharType="separate"/>
        </w:r>
        <w:r w:rsidR="00385E62">
          <w:rPr>
            <w:rFonts w:asciiTheme="majorEastAsia" w:eastAsiaTheme="majorEastAsia" w:hAnsiTheme="majorEastAsia"/>
            <w:noProof/>
            <w:webHidden/>
          </w:rPr>
          <w:t>- 230 -</w:t>
        </w:r>
        <w:r w:rsidRPr="00D74573">
          <w:rPr>
            <w:rFonts w:asciiTheme="majorEastAsia" w:eastAsiaTheme="majorEastAsia" w:hAnsiTheme="majorEastAsia"/>
            <w:noProof/>
            <w:webHidden/>
          </w:rPr>
          <w:fldChar w:fldCharType="end"/>
        </w:r>
      </w:hyperlink>
    </w:p>
    <w:p w14:paraId="4FCD9AA5" w14:textId="40E808F4" w:rsidR="00990020" w:rsidRPr="00D74573" w:rsidRDefault="00990020">
      <w:pPr>
        <w:pStyle w:val="12"/>
        <w:tabs>
          <w:tab w:val="right" w:leader="dot" w:pos="8834"/>
        </w:tabs>
        <w:rPr>
          <w:rFonts w:asciiTheme="majorEastAsia" w:eastAsiaTheme="majorEastAsia" w:hAnsiTheme="majorEastAsia" w:cstheme="minorBidi"/>
          <w:noProof/>
          <w14:ligatures w14:val="standardContextual"/>
        </w:rPr>
      </w:pPr>
      <w:hyperlink w:anchor="_Toc242870359" w:history="1">
        <w:r w:rsidRPr="00D74573">
          <w:rPr>
            <w:rStyle w:val="ac"/>
            <w:rFonts w:asciiTheme="majorEastAsia" w:eastAsiaTheme="majorEastAsia" w:hAnsiTheme="majorEastAsia"/>
            <w:noProof/>
          </w:rPr>
          <w:t>第８章　原子力災害応急対策</w:t>
        </w:r>
        <w:r w:rsidRPr="00D74573">
          <w:rPr>
            <w:rFonts w:asciiTheme="majorEastAsia" w:eastAsiaTheme="majorEastAsia" w:hAnsiTheme="majorEastAsia"/>
            <w:noProof/>
            <w:webHidden/>
          </w:rPr>
          <w:tab/>
        </w:r>
        <w:r w:rsidRPr="00D74573">
          <w:rPr>
            <w:rFonts w:asciiTheme="majorEastAsia" w:eastAsiaTheme="majorEastAsia" w:hAnsiTheme="majorEastAsia"/>
            <w:noProof/>
            <w:webHidden/>
          </w:rPr>
          <w:fldChar w:fldCharType="begin"/>
        </w:r>
        <w:r w:rsidRPr="00D74573">
          <w:rPr>
            <w:rFonts w:asciiTheme="majorEastAsia" w:eastAsiaTheme="majorEastAsia" w:hAnsiTheme="majorEastAsia"/>
            <w:noProof/>
            <w:webHidden/>
          </w:rPr>
          <w:instrText xml:space="preserve"> PAGEREF _Toc242870359 \h </w:instrText>
        </w:r>
        <w:r w:rsidRPr="00D74573">
          <w:rPr>
            <w:rFonts w:asciiTheme="majorEastAsia" w:eastAsiaTheme="majorEastAsia" w:hAnsiTheme="majorEastAsia"/>
            <w:noProof/>
            <w:webHidden/>
          </w:rPr>
        </w:r>
        <w:r w:rsidRPr="00D74573">
          <w:rPr>
            <w:rFonts w:asciiTheme="majorEastAsia" w:eastAsiaTheme="majorEastAsia" w:hAnsiTheme="majorEastAsia"/>
            <w:noProof/>
            <w:webHidden/>
          </w:rPr>
          <w:fldChar w:fldCharType="separate"/>
        </w:r>
        <w:r w:rsidR="00385E62">
          <w:rPr>
            <w:rFonts w:asciiTheme="majorEastAsia" w:eastAsiaTheme="majorEastAsia" w:hAnsiTheme="majorEastAsia"/>
            <w:noProof/>
            <w:webHidden/>
          </w:rPr>
          <w:t>- 232 -</w:t>
        </w:r>
        <w:r w:rsidRPr="00D74573">
          <w:rPr>
            <w:rFonts w:asciiTheme="majorEastAsia" w:eastAsiaTheme="majorEastAsia" w:hAnsiTheme="majorEastAsia"/>
            <w:noProof/>
            <w:webHidden/>
          </w:rPr>
          <w:fldChar w:fldCharType="end"/>
        </w:r>
      </w:hyperlink>
    </w:p>
    <w:p w14:paraId="1DB27C91" w14:textId="10380F97" w:rsidR="00990020" w:rsidRPr="00D74573" w:rsidRDefault="00990020">
      <w:pPr>
        <w:pStyle w:val="24"/>
        <w:tabs>
          <w:tab w:val="right" w:leader="dot" w:pos="8834"/>
        </w:tabs>
        <w:ind w:left="211"/>
        <w:rPr>
          <w:rFonts w:asciiTheme="majorEastAsia" w:eastAsiaTheme="majorEastAsia" w:hAnsiTheme="majorEastAsia" w:cstheme="minorBidi"/>
          <w:noProof/>
          <w14:ligatures w14:val="standardContextual"/>
        </w:rPr>
      </w:pPr>
      <w:hyperlink w:anchor="_Toc242870360" w:history="1">
        <w:r w:rsidRPr="00D74573">
          <w:rPr>
            <w:rStyle w:val="ac"/>
            <w:rFonts w:asciiTheme="majorEastAsia" w:eastAsiaTheme="majorEastAsia" w:hAnsiTheme="majorEastAsia"/>
            <w:noProof/>
          </w:rPr>
          <w:t>第１節　組織動員</w:t>
        </w:r>
        <w:r w:rsidRPr="00D74573">
          <w:rPr>
            <w:rFonts w:asciiTheme="majorEastAsia" w:eastAsiaTheme="majorEastAsia" w:hAnsiTheme="majorEastAsia"/>
            <w:noProof/>
            <w:webHidden/>
          </w:rPr>
          <w:tab/>
        </w:r>
        <w:r w:rsidRPr="00D74573">
          <w:rPr>
            <w:rFonts w:asciiTheme="majorEastAsia" w:eastAsiaTheme="majorEastAsia" w:hAnsiTheme="majorEastAsia"/>
            <w:noProof/>
            <w:webHidden/>
          </w:rPr>
          <w:fldChar w:fldCharType="begin"/>
        </w:r>
        <w:r w:rsidRPr="00D74573">
          <w:rPr>
            <w:rFonts w:asciiTheme="majorEastAsia" w:eastAsiaTheme="majorEastAsia" w:hAnsiTheme="majorEastAsia"/>
            <w:noProof/>
            <w:webHidden/>
          </w:rPr>
          <w:instrText xml:space="preserve"> PAGEREF _Toc242870360 \h </w:instrText>
        </w:r>
        <w:r w:rsidRPr="00D74573">
          <w:rPr>
            <w:rFonts w:asciiTheme="majorEastAsia" w:eastAsiaTheme="majorEastAsia" w:hAnsiTheme="majorEastAsia"/>
            <w:noProof/>
            <w:webHidden/>
          </w:rPr>
        </w:r>
        <w:r w:rsidRPr="00D74573">
          <w:rPr>
            <w:rFonts w:asciiTheme="majorEastAsia" w:eastAsiaTheme="majorEastAsia" w:hAnsiTheme="majorEastAsia"/>
            <w:noProof/>
            <w:webHidden/>
          </w:rPr>
          <w:fldChar w:fldCharType="separate"/>
        </w:r>
        <w:r w:rsidR="00385E62">
          <w:rPr>
            <w:rFonts w:asciiTheme="majorEastAsia" w:eastAsiaTheme="majorEastAsia" w:hAnsiTheme="majorEastAsia"/>
            <w:noProof/>
            <w:webHidden/>
          </w:rPr>
          <w:t>- 232 -</w:t>
        </w:r>
        <w:r w:rsidRPr="00D74573">
          <w:rPr>
            <w:rFonts w:asciiTheme="majorEastAsia" w:eastAsiaTheme="majorEastAsia" w:hAnsiTheme="majorEastAsia"/>
            <w:noProof/>
            <w:webHidden/>
          </w:rPr>
          <w:fldChar w:fldCharType="end"/>
        </w:r>
      </w:hyperlink>
    </w:p>
    <w:p w14:paraId="63618B3C" w14:textId="0410C9FB" w:rsidR="00990020" w:rsidRPr="00D74573" w:rsidRDefault="00990020">
      <w:pPr>
        <w:pStyle w:val="34"/>
        <w:tabs>
          <w:tab w:val="right" w:leader="dot" w:pos="8834"/>
        </w:tabs>
        <w:ind w:left="422"/>
        <w:rPr>
          <w:rFonts w:asciiTheme="majorEastAsia" w:eastAsiaTheme="majorEastAsia" w:hAnsiTheme="majorEastAsia" w:cstheme="minorBidi"/>
          <w:noProof/>
          <w14:ligatures w14:val="standardContextual"/>
        </w:rPr>
      </w:pPr>
      <w:hyperlink w:anchor="_Toc242870361" w:history="1">
        <w:r w:rsidRPr="00D74573">
          <w:rPr>
            <w:rStyle w:val="ac"/>
            <w:rFonts w:asciiTheme="majorEastAsia" w:eastAsiaTheme="majorEastAsia" w:hAnsiTheme="majorEastAsia"/>
            <w:bCs/>
            <w:noProof/>
          </w:rPr>
          <w:t>第１　組織体制</w:t>
        </w:r>
        <w:r w:rsidRPr="00D74573">
          <w:rPr>
            <w:rFonts w:asciiTheme="majorEastAsia" w:eastAsiaTheme="majorEastAsia" w:hAnsiTheme="majorEastAsia"/>
            <w:noProof/>
            <w:webHidden/>
          </w:rPr>
          <w:tab/>
        </w:r>
        <w:r w:rsidRPr="00D74573">
          <w:rPr>
            <w:rFonts w:asciiTheme="majorEastAsia" w:eastAsiaTheme="majorEastAsia" w:hAnsiTheme="majorEastAsia"/>
            <w:noProof/>
            <w:webHidden/>
          </w:rPr>
          <w:fldChar w:fldCharType="begin"/>
        </w:r>
        <w:r w:rsidRPr="00D74573">
          <w:rPr>
            <w:rFonts w:asciiTheme="majorEastAsia" w:eastAsiaTheme="majorEastAsia" w:hAnsiTheme="majorEastAsia"/>
            <w:noProof/>
            <w:webHidden/>
          </w:rPr>
          <w:instrText xml:space="preserve"> PAGEREF _Toc242870361 \h </w:instrText>
        </w:r>
        <w:r w:rsidRPr="00D74573">
          <w:rPr>
            <w:rFonts w:asciiTheme="majorEastAsia" w:eastAsiaTheme="majorEastAsia" w:hAnsiTheme="majorEastAsia"/>
            <w:noProof/>
            <w:webHidden/>
          </w:rPr>
        </w:r>
        <w:r w:rsidRPr="00D74573">
          <w:rPr>
            <w:rFonts w:asciiTheme="majorEastAsia" w:eastAsiaTheme="majorEastAsia" w:hAnsiTheme="majorEastAsia"/>
            <w:noProof/>
            <w:webHidden/>
          </w:rPr>
          <w:fldChar w:fldCharType="separate"/>
        </w:r>
        <w:r w:rsidR="00385E62">
          <w:rPr>
            <w:rFonts w:asciiTheme="majorEastAsia" w:eastAsiaTheme="majorEastAsia" w:hAnsiTheme="majorEastAsia"/>
            <w:noProof/>
            <w:webHidden/>
          </w:rPr>
          <w:t>- 232 -</w:t>
        </w:r>
        <w:r w:rsidRPr="00D74573">
          <w:rPr>
            <w:rFonts w:asciiTheme="majorEastAsia" w:eastAsiaTheme="majorEastAsia" w:hAnsiTheme="majorEastAsia"/>
            <w:noProof/>
            <w:webHidden/>
          </w:rPr>
          <w:fldChar w:fldCharType="end"/>
        </w:r>
      </w:hyperlink>
    </w:p>
    <w:p w14:paraId="30275E5B" w14:textId="7EC0BE81" w:rsidR="00990020" w:rsidRPr="00D74573" w:rsidRDefault="00990020">
      <w:pPr>
        <w:pStyle w:val="34"/>
        <w:tabs>
          <w:tab w:val="right" w:leader="dot" w:pos="8834"/>
        </w:tabs>
        <w:ind w:left="422"/>
        <w:rPr>
          <w:rFonts w:asciiTheme="majorEastAsia" w:eastAsiaTheme="majorEastAsia" w:hAnsiTheme="majorEastAsia" w:cstheme="minorBidi"/>
          <w:noProof/>
          <w14:ligatures w14:val="standardContextual"/>
        </w:rPr>
      </w:pPr>
      <w:hyperlink w:anchor="_Toc242870362" w:history="1">
        <w:r w:rsidRPr="00D74573">
          <w:rPr>
            <w:rStyle w:val="ac"/>
            <w:rFonts w:asciiTheme="majorEastAsia" w:eastAsiaTheme="majorEastAsia" w:hAnsiTheme="majorEastAsia"/>
            <w:noProof/>
          </w:rPr>
          <w:t>第２　動員配備体制</w:t>
        </w:r>
        <w:r w:rsidRPr="00D74573">
          <w:rPr>
            <w:rFonts w:asciiTheme="majorEastAsia" w:eastAsiaTheme="majorEastAsia" w:hAnsiTheme="majorEastAsia"/>
            <w:noProof/>
            <w:webHidden/>
          </w:rPr>
          <w:tab/>
        </w:r>
        <w:r w:rsidRPr="00D74573">
          <w:rPr>
            <w:rFonts w:asciiTheme="majorEastAsia" w:eastAsiaTheme="majorEastAsia" w:hAnsiTheme="majorEastAsia"/>
            <w:noProof/>
            <w:webHidden/>
          </w:rPr>
          <w:fldChar w:fldCharType="begin"/>
        </w:r>
        <w:r w:rsidRPr="00D74573">
          <w:rPr>
            <w:rFonts w:asciiTheme="majorEastAsia" w:eastAsiaTheme="majorEastAsia" w:hAnsiTheme="majorEastAsia"/>
            <w:noProof/>
            <w:webHidden/>
          </w:rPr>
          <w:instrText xml:space="preserve"> PAGEREF _Toc242870362 \h </w:instrText>
        </w:r>
        <w:r w:rsidRPr="00D74573">
          <w:rPr>
            <w:rFonts w:asciiTheme="majorEastAsia" w:eastAsiaTheme="majorEastAsia" w:hAnsiTheme="majorEastAsia"/>
            <w:noProof/>
            <w:webHidden/>
          </w:rPr>
        </w:r>
        <w:r w:rsidRPr="00D74573">
          <w:rPr>
            <w:rFonts w:asciiTheme="majorEastAsia" w:eastAsiaTheme="majorEastAsia" w:hAnsiTheme="majorEastAsia"/>
            <w:noProof/>
            <w:webHidden/>
          </w:rPr>
          <w:fldChar w:fldCharType="separate"/>
        </w:r>
        <w:r w:rsidR="00385E62">
          <w:rPr>
            <w:rFonts w:asciiTheme="majorEastAsia" w:eastAsiaTheme="majorEastAsia" w:hAnsiTheme="majorEastAsia"/>
            <w:noProof/>
            <w:webHidden/>
          </w:rPr>
          <w:t>- 238 -</w:t>
        </w:r>
        <w:r w:rsidRPr="00D74573">
          <w:rPr>
            <w:rFonts w:asciiTheme="majorEastAsia" w:eastAsiaTheme="majorEastAsia" w:hAnsiTheme="majorEastAsia"/>
            <w:noProof/>
            <w:webHidden/>
          </w:rPr>
          <w:fldChar w:fldCharType="end"/>
        </w:r>
      </w:hyperlink>
    </w:p>
    <w:p w14:paraId="715B8F90" w14:textId="57B3B994" w:rsidR="00990020" w:rsidRPr="00D74573" w:rsidRDefault="00990020">
      <w:pPr>
        <w:pStyle w:val="24"/>
        <w:tabs>
          <w:tab w:val="right" w:leader="dot" w:pos="8834"/>
        </w:tabs>
        <w:ind w:left="211"/>
        <w:rPr>
          <w:rFonts w:asciiTheme="majorEastAsia" w:eastAsiaTheme="majorEastAsia" w:hAnsiTheme="majorEastAsia" w:cstheme="minorBidi"/>
          <w:noProof/>
          <w14:ligatures w14:val="standardContextual"/>
        </w:rPr>
      </w:pPr>
      <w:hyperlink w:anchor="_Toc242870363" w:history="1">
        <w:r w:rsidRPr="00D74573">
          <w:rPr>
            <w:rStyle w:val="ac"/>
            <w:rFonts w:asciiTheme="majorEastAsia" w:eastAsiaTheme="majorEastAsia" w:hAnsiTheme="majorEastAsia"/>
            <w:bCs/>
            <w:noProof/>
          </w:rPr>
          <w:t>第２節　災害情報の収集伝達</w:t>
        </w:r>
        <w:r w:rsidRPr="00D74573">
          <w:rPr>
            <w:rFonts w:asciiTheme="majorEastAsia" w:eastAsiaTheme="majorEastAsia" w:hAnsiTheme="majorEastAsia"/>
            <w:noProof/>
            <w:webHidden/>
          </w:rPr>
          <w:tab/>
        </w:r>
        <w:r w:rsidRPr="00D74573">
          <w:rPr>
            <w:rFonts w:asciiTheme="majorEastAsia" w:eastAsiaTheme="majorEastAsia" w:hAnsiTheme="majorEastAsia"/>
            <w:noProof/>
            <w:webHidden/>
          </w:rPr>
          <w:fldChar w:fldCharType="begin"/>
        </w:r>
        <w:r w:rsidRPr="00D74573">
          <w:rPr>
            <w:rFonts w:asciiTheme="majorEastAsia" w:eastAsiaTheme="majorEastAsia" w:hAnsiTheme="majorEastAsia"/>
            <w:noProof/>
            <w:webHidden/>
          </w:rPr>
          <w:instrText xml:space="preserve"> PAGEREF _Toc242870363 \h </w:instrText>
        </w:r>
        <w:r w:rsidRPr="00D74573">
          <w:rPr>
            <w:rFonts w:asciiTheme="majorEastAsia" w:eastAsiaTheme="majorEastAsia" w:hAnsiTheme="majorEastAsia"/>
            <w:noProof/>
            <w:webHidden/>
          </w:rPr>
        </w:r>
        <w:r w:rsidRPr="00D74573">
          <w:rPr>
            <w:rFonts w:asciiTheme="majorEastAsia" w:eastAsiaTheme="majorEastAsia" w:hAnsiTheme="majorEastAsia"/>
            <w:noProof/>
            <w:webHidden/>
          </w:rPr>
          <w:fldChar w:fldCharType="separate"/>
        </w:r>
        <w:r w:rsidR="00385E62">
          <w:rPr>
            <w:rFonts w:asciiTheme="majorEastAsia" w:eastAsiaTheme="majorEastAsia" w:hAnsiTheme="majorEastAsia"/>
            <w:noProof/>
            <w:webHidden/>
          </w:rPr>
          <w:t>- 239 -</w:t>
        </w:r>
        <w:r w:rsidRPr="00D74573">
          <w:rPr>
            <w:rFonts w:asciiTheme="majorEastAsia" w:eastAsiaTheme="majorEastAsia" w:hAnsiTheme="majorEastAsia"/>
            <w:noProof/>
            <w:webHidden/>
          </w:rPr>
          <w:fldChar w:fldCharType="end"/>
        </w:r>
      </w:hyperlink>
    </w:p>
    <w:p w14:paraId="609F8497" w14:textId="3C7EF925" w:rsidR="00990020" w:rsidRPr="00D74573" w:rsidRDefault="00990020">
      <w:pPr>
        <w:pStyle w:val="24"/>
        <w:tabs>
          <w:tab w:val="right" w:leader="dot" w:pos="8834"/>
        </w:tabs>
        <w:ind w:left="211"/>
        <w:rPr>
          <w:rFonts w:asciiTheme="majorEastAsia" w:eastAsiaTheme="majorEastAsia" w:hAnsiTheme="majorEastAsia" w:cstheme="minorBidi"/>
          <w:noProof/>
          <w14:ligatures w14:val="standardContextual"/>
        </w:rPr>
      </w:pPr>
      <w:hyperlink w:anchor="_Toc242870364" w:history="1">
        <w:r w:rsidRPr="00D74573">
          <w:rPr>
            <w:rStyle w:val="ac"/>
            <w:rFonts w:asciiTheme="majorEastAsia" w:eastAsiaTheme="majorEastAsia" w:hAnsiTheme="majorEastAsia"/>
            <w:noProof/>
          </w:rPr>
          <w:t>第３節　災害対策本部等の事務局体制</w:t>
        </w:r>
        <w:r w:rsidRPr="00D74573">
          <w:rPr>
            <w:rFonts w:asciiTheme="majorEastAsia" w:eastAsiaTheme="majorEastAsia" w:hAnsiTheme="majorEastAsia"/>
            <w:noProof/>
            <w:webHidden/>
          </w:rPr>
          <w:tab/>
        </w:r>
        <w:r w:rsidRPr="00D74573">
          <w:rPr>
            <w:rFonts w:asciiTheme="majorEastAsia" w:eastAsiaTheme="majorEastAsia" w:hAnsiTheme="majorEastAsia"/>
            <w:noProof/>
            <w:webHidden/>
          </w:rPr>
          <w:fldChar w:fldCharType="begin"/>
        </w:r>
        <w:r w:rsidRPr="00D74573">
          <w:rPr>
            <w:rFonts w:asciiTheme="majorEastAsia" w:eastAsiaTheme="majorEastAsia" w:hAnsiTheme="majorEastAsia"/>
            <w:noProof/>
            <w:webHidden/>
          </w:rPr>
          <w:instrText xml:space="preserve"> PAGEREF _Toc242870364 \h </w:instrText>
        </w:r>
        <w:r w:rsidRPr="00D74573">
          <w:rPr>
            <w:rFonts w:asciiTheme="majorEastAsia" w:eastAsiaTheme="majorEastAsia" w:hAnsiTheme="majorEastAsia"/>
            <w:noProof/>
            <w:webHidden/>
          </w:rPr>
        </w:r>
        <w:r w:rsidRPr="00D74573">
          <w:rPr>
            <w:rFonts w:asciiTheme="majorEastAsia" w:eastAsiaTheme="majorEastAsia" w:hAnsiTheme="majorEastAsia"/>
            <w:noProof/>
            <w:webHidden/>
          </w:rPr>
          <w:fldChar w:fldCharType="separate"/>
        </w:r>
        <w:r w:rsidR="00385E62">
          <w:rPr>
            <w:rFonts w:asciiTheme="majorEastAsia" w:eastAsiaTheme="majorEastAsia" w:hAnsiTheme="majorEastAsia"/>
            <w:noProof/>
            <w:webHidden/>
          </w:rPr>
          <w:t>- 240 -</w:t>
        </w:r>
        <w:r w:rsidRPr="00D74573">
          <w:rPr>
            <w:rFonts w:asciiTheme="majorEastAsia" w:eastAsiaTheme="majorEastAsia" w:hAnsiTheme="majorEastAsia"/>
            <w:noProof/>
            <w:webHidden/>
          </w:rPr>
          <w:fldChar w:fldCharType="end"/>
        </w:r>
      </w:hyperlink>
    </w:p>
    <w:p w14:paraId="62AE89AB" w14:textId="3008B0CE" w:rsidR="00990020" w:rsidRPr="00D74573" w:rsidRDefault="00990020">
      <w:pPr>
        <w:pStyle w:val="24"/>
        <w:tabs>
          <w:tab w:val="right" w:leader="dot" w:pos="8834"/>
        </w:tabs>
        <w:ind w:left="211"/>
        <w:rPr>
          <w:rFonts w:asciiTheme="majorEastAsia" w:eastAsiaTheme="majorEastAsia" w:hAnsiTheme="majorEastAsia" w:cstheme="minorBidi"/>
          <w:noProof/>
          <w14:ligatures w14:val="standardContextual"/>
        </w:rPr>
      </w:pPr>
      <w:hyperlink w:anchor="_Toc242870365" w:history="1">
        <w:r w:rsidRPr="00D74573">
          <w:rPr>
            <w:rStyle w:val="ac"/>
            <w:rFonts w:asciiTheme="majorEastAsia" w:eastAsiaTheme="majorEastAsia" w:hAnsiTheme="majorEastAsia"/>
            <w:bCs/>
            <w:noProof/>
          </w:rPr>
          <w:t>第４節　防災業務関係者の安全確保</w:t>
        </w:r>
        <w:r w:rsidRPr="00D74573">
          <w:rPr>
            <w:rFonts w:asciiTheme="majorEastAsia" w:eastAsiaTheme="majorEastAsia" w:hAnsiTheme="majorEastAsia"/>
            <w:noProof/>
            <w:webHidden/>
          </w:rPr>
          <w:tab/>
        </w:r>
        <w:r w:rsidRPr="00D74573">
          <w:rPr>
            <w:rFonts w:asciiTheme="majorEastAsia" w:eastAsiaTheme="majorEastAsia" w:hAnsiTheme="majorEastAsia"/>
            <w:noProof/>
            <w:webHidden/>
          </w:rPr>
          <w:fldChar w:fldCharType="begin"/>
        </w:r>
        <w:r w:rsidRPr="00D74573">
          <w:rPr>
            <w:rFonts w:asciiTheme="majorEastAsia" w:eastAsiaTheme="majorEastAsia" w:hAnsiTheme="majorEastAsia"/>
            <w:noProof/>
            <w:webHidden/>
          </w:rPr>
          <w:instrText xml:space="preserve"> PAGEREF _Toc242870365 \h </w:instrText>
        </w:r>
        <w:r w:rsidRPr="00D74573">
          <w:rPr>
            <w:rFonts w:asciiTheme="majorEastAsia" w:eastAsiaTheme="majorEastAsia" w:hAnsiTheme="majorEastAsia"/>
            <w:noProof/>
            <w:webHidden/>
          </w:rPr>
        </w:r>
        <w:r w:rsidRPr="00D74573">
          <w:rPr>
            <w:rFonts w:asciiTheme="majorEastAsia" w:eastAsiaTheme="majorEastAsia" w:hAnsiTheme="majorEastAsia"/>
            <w:noProof/>
            <w:webHidden/>
          </w:rPr>
          <w:fldChar w:fldCharType="separate"/>
        </w:r>
        <w:r w:rsidR="00385E62">
          <w:rPr>
            <w:rFonts w:asciiTheme="majorEastAsia" w:eastAsiaTheme="majorEastAsia" w:hAnsiTheme="majorEastAsia"/>
            <w:noProof/>
            <w:webHidden/>
          </w:rPr>
          <w:t>- 242 -</w:t>
        </w:r>
        <w:r w:rsidRPr="00D74573">
          <w:rPr>
            <w:rFonts w:asciiTheme="majorEastAsia" w:eastAsiaTheme="majorEastAsia" w:hAnsiTheme="majorEastAsia"/>
            <w:noProof/>
            <w:webHidden/>
          </w:rPr>
          <w:fldChar w:fldCharType="end"/>
        </w:r>
      </w:hyperlink>
    </w:p>
    <w:p w14:paraId="5CE445C7" w14:textId="65016A36" w:rsidR="00990020" w:rsidRPr="00D74573" w:rsidRDefault="00990020">
      <w:pPr>
        <w:pStyle w:val="24"/>
        <w:tabs>
          <w:tab w:val="right" w:leader="dot" w:pos="8834"/>
        </w:tabs>
        <w:ind w:left="211"/>
        <w:rPr>
          <w:rFonts w:asciiTheme="majorEastAsia" w:eastAsiaTheme="majorEastAsia" w:hAnsiTheme="majorEastAsia" w:cstheme="minorBidi"/>
          <w:noProof/>
          <w14:ligatures w14:val="standardContextual"/>
        </w:rPr>
      </w:pPr>
      <w:hyperlink w:anchor="_Toc242870366" w:history="1">
        <w:r w:rsidRPr="00D74573">
          <w:rPr>
            <w:rStyle w:val="ac"/>
            <w:rFonts w:asciiTheme="majorEastAsia" w:eastAsiaTheme="majorEastAsia" w:hAnsiTheme="majorEastAsia"/>
            <w:bCs/>
            <w:noProof/>
          </w:rPr>
          <w:t>第５節　緊急時モニタリングの実施</w:t>
        </w:r>
        <w:r w:rsidRPr="00D74573">
          <w:rPr>
            <w:rFonts w:asciiTheme="majorEastAsia" w:eastAsiaTheme="majorEastAsia" w:hAnsiTheme="majorEastAsia"/>
            <w:noProof/>
            <w:webHidden/>
          </w:rPr>
          <w:tab/>
        </w:r>
        <w:r w:rsidRPr="00D74573">
          <w:rPr>
            <w:rFonts w:asciiTheme="majorEastAsia" w:eastAsiaTheme="majorEastAsia" w:hAnsiTheme="majorEastAsia"/>
            <w:noProof/>
            <w:webHidden/>
          </w:rPr>
          <w:fldChar w:fldCharType="begin"/>
        </w:r>
        <w:r w:rsidRPr="00D74573">
          <w:rPr>
            <w:rFonts w:asciiTheme="majorEastAsia" w:eastAsiaTheme="majorEastAsia" w:hAnsiTheme="majorEastAsia"/>
            <w:noProof/>
            <w:webHidden/>
          </w:rPr>
          <w:instrText xml:space="preserve"> PAGEREF _Toc242870366 \h </w:instrText>
        </w:r>
        <w:r w:rsidRPr="00D74573">
          <w:rPr>
            <w:rFonts w:asciiTheme="majorEastAsia" w:eastAsiaTheme="majorEastAsia" w:hAnsiTheme="majorEastAsia"/>
            <w:noProof/>
            <w:webHidden/>
          </w:rPr>
        </w:r>
        <w:r w:rsidRPr="00D74573">
          <w:rPr>
            <w:rFonts w:asciiTheme="majorEastAsia" w:eastAsiaTheme="majorEastAsia" w:hAnsiTheme="majorEastAsia"/>
            <w:noProof/>
            <w:webHidden/>
          </w:rPr>
          <w:fldChar w:fldCharType="separate"/>
        </w:r>
        <w:r w:rsidR="00385E62">
          <w:rPr>
            <w:rFonts w:asciiTheme="majorEastAsia" w:eastAsiaTheme="majorEastAsia" w:hAnsiTheme="majorEastAsia"/>
            <w:noProof/>
            <w:webHidden/>
          </w:rPr>
          <w:t>- 242 -</w:t>
        </w:r>
        <w:r w:rsidRPr="00D74573">
          <w:rPr>
            <w:rFonts w:asciiTheme="majorEastAsia" w:eastAsiaTheme="majorEastAsia" w:hAnsiTheme="majorEastAsia"/>
            <w:noProof/>
            <w:webHidden/>
          </w:rPr>
          <w:fldChar w:fldCharType="end"/>
        </w:r>
      </w:hyperlink>
    </w:p>
    <w:p w14:paraId="3C55C945" w14:textId="00873705" w:rsidR="00990020" w:rsidRPr="00D74573" w:rsidRDefault="00990020">
      <w:pPr>
        <w:pStyle w:val="24"/>
        <w:tabs>
          <w:tab w:val="right" w:leader="dot" w:pos="8834"/>
        </w:tabs>
        <w:ind w:left="211"/>
        <w:rPr>
          <w:rFonts w:asciiTheme="majorEastAsia" w:eastAsiaTheme="majorEastAsia" w:hAnsiTheme="majorEastAsia" w:cstheme="minorBidi"/>
          <w:noProof/>
          <w14:ligatures w14:val="standardContextual"/>
        </w:rPr>
      </w:pPr>
      <w:hyperlink w:anchor="_Toc242870367" w:history="1">
        <w:r w:rsidRPr="00D74573">
          <w:rPr>
            <w:rStyle w:val="ac"/>
            <w:rFonts w:asciiTheme="majorEastAsia" w:eastAsiaTheme="majorEastAsia" w:hAnsiTheme="majorEastAsia"/>
            <w:bCs/>
            <w:noProof/>
          </w:rPr>
          <w:t>第６節　救助・救急・医療活動</w:t>
        </w:r>
        <w:r w:rsidRPr="00D74573">
          <w:rPr>
            <w:rFonts w:asciiTheme="majorEastAsia" w:eastAsiaTheme="majorEastAsia" w:hAnsiTheme="majorEastAsia"/>
            <w:noProof/>
            <w:webHidden/>
          </w:rPr>
          <w:tab/>
        </w:r>
        <w:r w:rsidRPr="00D74573">
          <w:rPr>
            <w:rFonts w:asciiTheme="majorEastAsia" w:eastAsiaTheme="majorEastAsia" w:hAnsiTheme="majorEastAsia"/>
            <w:noProof/>
            <w:webHidden/>
          </w:rPr>
          <w:fldChar w:fldCharType="begin"/>
        </w:r>
        <w:r w:rsidRPr="00D74573">
          <w:rPr>
            <w:rFonts w:asciiTheme="majorEastAsia" w:eastAsiaTheme="majorEastAsia" w:hAnsiTheme="majorEastAsia"/>
            <w:noProof/>
            <w:webHidden/>
          </w:rPr>
          <w:instrText xml:space="preserve"> PAGEREF _Toc242870367 \h </w:instrText>
        </w:r>
        <w:r w:rsidRPr="00D74573">
          <w:rPr>
            <w:rFonts w:asciiTheme="majorEastAsia" w:eastAsiaTheme="majorEastAsia" w:hAnsiTheme="majorEastAsia"/>
            <w:noProof/>
            <w:webHidden/>
          </w:rPr>
        </w:r>
        <w:r w:rsidRPr="00D74573">
          <w:rPr>
            <w:rFonts w:asciiTheme="majorEastAsia" w:eastAsiaTheme="majorEastAsia" w:hAnsiTheme="majorEastAsia"/>
            <w:noProof/>
            <w:webHidden/>
          </w:rPr>
          <w:fldChar w:fldCharType="separate"/>
        </w:r>
        <w:r w:rsidR="00385E62">
          <w:rPr>
            <w:rFonts w:asciiTheme="majorEastAsia" w:eastAsiaTheme="majorEastAsia" w:hAnsiTheme="majorEastAsia"/>
            <w:noProof/>
            <w:webHidden/>
          </w:rPr>
          <w:t>- 242 -</w:t>
        </w:r>
        <w:r w:rsidRPr="00D74573">
          <w:rPr>
            <w:rFonts w:asciiTheme="majorEastAsia" w:eastAsiaTheme="majorEastAsia" w:hAnsiTheme="majorEastAsia"/>
            <w:noProof/>
            <w:webHidden/>
          </w:rPr>
          <w:fldChar w:fldCharType="end"/>
        </w:r>
      </w:hyperlink>
    </w:p>
    <w:p w14:paraId="42173E13" w14:textId="34A41DFC" w:rsidR="00990020" w:rsidRPr="00D74573" w:rsidRDefault="00990020">
      <w:pPr>
        <w:pStyle w:val="24"/>
        <w:tabs>
          <w:tab w:val="right" w:leader="dot" w:pos="8834"/>
        </w:tabs>
        <w:ind w:left="211"/>
        <w:rPr>
          <w:rFonts w:asciiTheme="majorEastAsia" w:eastAsiaTheme="majorEastAsia" w:hAnsiTheme="majorEastAsia" w:cstheme="minorBidi"/>
          <w:noProof/>
          <w14:ligatures w14:val="standardContextual"/>
        </w:rPr>
      </w:pPr>
      <w:hyperlink w:anchor="_Toc242870368" w:history="1">
        <w:r w:rsidRPr="00D74573">
          <w:rPr>
            <w:rStyle w:val="ac"/>
            <w:rFonts w:asciiTheme="majorEastAsia" w:eastAsiaTheme="majorEastAsia" w:hAnsiTheme="majorEastAsia"/>
            <w:bCs/>
            <w:noProof/>
          </w:rPr>
          <w:t>第７節　屋内退避、避難受入れ等の防護活動</w:t>
        </w:r>
        <w:r w:rsidRPr="00D74573">
          <w:rPr>
            <w:rFonts w:asciiTheme="majorEastAsia" w:eastAsiaTheme="majorEastAsia" w:hAnsiTheme="majorEastAsia"/>
            <w:noProof/>
            <w:webHidden/>
          </w:rPr>
          <w:tab/>
        </w:r>
        <w:r w:rsidRPr="00D74573">
          <w:rPr>
            <w:rFonts w:asciiTheme="majorEastAsia" w:eastAsiaTheme="majorEastAsia" w:hAnsiTheme="majorEastAsia"/>
            <w:noProof/>
            <w:webHidden/>
          </w:rPr>
          <w:fldChar w:fldCharType="begin"/>
        </w:r>
        <w:r w:rsidRPr="00D74573">
          <w:rPr>
            <w:rFonts w:asciiTheme="majorEastAsia" w:eastAsiaTheme="majorEastAsia" w:hAnsiTheme="majorEastAsia"/>
            <w:noProof/>
            <w:webHidden/>
          </w:rPr>
          <w:instrText xml:space="preserve"> PAGEREF _Toc242870368 \h </w:instrText>
        </w:r>
        <w:r w:rsidRPr="00D74573">
          <w:rPr>
            <w:rFonts w:asciiTheme="majorEastAsia" w:eastAsiaTheme="majorEastAsia" w:hAnsiTheme="majorEastAsia"/>
            <w:noProof/>
            <w:webHidden/>
          </w:rPr>
        </w:r>
        <w:r w:rsidRPr="00D74573">
          <w:rPr>
            <w:rFonts w:asciiTheme="majorEastAsia" w:eastAsiaTheme="majorEastAsia" w:hAnsiTheme="majorEastAsia"/>
            <w:noProof/>
            <w:webHidden/>
          </w:rPr>
          <w:fldChar w:fldCharType="separate"/>
        </w:r>
        <w:r w:rsidR="00385E62">
          <w:rPr>
            <w:rFonts w:asciiTheme="majorEastAsia" w:eastAsiaTheme="majorEastAsia" w:hAnsiTheme="majorEastAsia"/>
            <w:noProof/>
            <w:webHidden/>
          </w:rPr>
          <w:t>- 242 -</w:t>
        </w:r>
        <w:r w:rsidRPr="00D74573">
          <w:rPr>
            <w:rFonts w:asciiTheme="majorEastAsia" w:eastAsiaTheme="majorEastAsia" w:hAnsiTheme="majorEastAsia"/>
            <w:noProof/>
            <w:webHidden/>
          </w:rPr>
          <w:fldChar w:fldCharType="end"/>
        </w:r>
      </w:hyperlink>
    </w:p>
    <w:p w14:paraId="10B528DC" w14:textId="20E83773" w:rsidR="00990020" w:rsidRPr="00D74573" w:rsidRDefault="00990020">
      <w:pPr>
        <w:pStyle w:val="24"/>
        <w:tabs>
          <w:tab w:val="right" w:leader="dot" w:pos="8834"/>
        </w:tabs>
        <w:ind w:left="211"/>
        <w:rPr>
          <w:rFonts w:asciiTheme="majorEastAsia" w:eastAsiaTheme="majorEastAsia" w:hAnsiTheme="majorEastAsia" w:cstheme="minorBidi"/>
          <w:noProof/>
          <w14:ligatures w14:val="standardContextual"/>
        </w:rPr>
      </w:pPr>
      <w:hyperlink w:anchor="_Toc242870369" w:history="1">
        <w:r w:rsidRPr="00D74573">
          <w:rPr>
            <w:rStyle w:val="ac"/>
            <w:rFonts w:asciiTheme="majorEastAsia" w:eastAsiaTheme="majorEastAsia" w:hAnsiTheme="majorEastAsia"/>
            <w:bCs/>
            <w:noProof/>
          </w:rPr>
          <w:t>第８節　飲食物の出荷制限、摂取制限等</w:t>
        </w:r>
        <w:r w:rsidRPr="00D74573">
          <w:rPr>
            <w:rFonts w:asciiTheme="majorEastAsia" w:eastAsiaTheme="majorEastAsia" w:hAnsiTheme="majorEastAsia"/>
            <w:noProof/>
            <w:webHidden/>
          </w:rPr>
          <w:tab/>
        </w:r>
        <w:r w:rsidRPr="00D74573">
          <w:rPr>
            <w:rFonts w:asciiTheme="majorEastAsia" w:eastAsiaTheme="majorEastAsia" w:hAnsiTheme="majorEastAsia"/>
            <w:noProof/>
            <w:webHidden/>
          </w:rPr>
          <w:fldChar w:fldCharType="begin"/>
        </w:r>
        <w:r w:rsidRPr="00D74573">
          <w:rPr>
            <w:rFonts w:asciiTheme="majorEastAsia" w:eastAsiaTheme="majorEastAsia" w:hAnsiTheme="majorEastAsia"/>
            <w:noProof/>
            <w:webHidden/>
          </w:rPr>
          <w:instrText xml:space="preserve"> PAGEREF _Toc242870369 \h </w:instrText>
        </w:r>
        <w:r w:rsidRPr="00D74573">
          <w:rPr>
            <w:rFonts w:asciiTheme="majorEastAsia" w:eastAsiaTheme="majorEastAsia" w:hAnsiTheme="majorEastAsia"/>
            <w:noProof/>
            <w:webHidden/>
          </w:rPr>
        </w:r>
        <w:r w:rsidRPr="00D74573">
          <w:rPr>
            <w:rFonts w:asciiTheme="majorEastAsia" w:eastAsiaTheme="majorEastAsia" w:hAnsiTheme="majorEastAsia"/>
            <w:noProof/>
            <w:webHidden/>
          </w:rPr>
          <w:fldChar w:fldCharType="separate"/>
        </w:r>
        <w:r w:rsidR="00385E62">
          <w:rPr>
            <w:rFonts w:asciiTheme="majorEastAsia" w:eastAsiaTheme="majorEastAsia" w:hAnsiTheme="majorEastAsia"/>
            <w:noProof/>
            <w:webHidden/>
          </w:rPr>
          <w:t>- 243 -</w:t>
        </w:r>
        <w:r w:rsidRPr="00D74573">
          <w:rPr>
            <w:rFonts w:asciiTheme="majorEastAsia" w:eastAsiaTheme="majorEastAsia" w:hAnsiTheme="majorEastAsia"/>
            <w:noProof/>
            <w:webHidden/>
          </w:rPr>
          <w:fldChar w:fldCharType="end"/>
        </w:r>
      </w:hyperlink>
    </w:p>
    <w:p w14:paraId="10ED3E1E" w14:textId="3932F0B2" w:rsidR="00990020" w:rsidRPr="00D74573" w:rsidRDefault="00990020">
      <w:pPr>
        <w:pStyle w:val="24"/>
        <w:tabs>
          <w:tab w:val="right" w:leader="dot" w:pos="8834"/>
        </w:tabs>
        <w:ind w:left="211"/>
        <w:rPr>
          <w:rFonts w:asciiTheme="majorEastAsia" w:eastAsiaTheme="majorEastAsia" w:hAnsiTheme="majorEastAsia" w:cstheme="minorBidi"/>
          <w:noProof/>
          <w14:ligatures w14:val="standardContextual"/>
        </w:rPr>
      </w:pPr>
      <w:hyperlink w:anchor="_Toc242870370" w:history="1">
        <w:r w:rsidRPr="00D74573">
          <w:rPr>
            <w:rStyle w:val="ac"/>
            <w:rFonts w:asciiTheme="majorEastAsia" w:eastAsiaTheme="majorEastAsia" w:hAnsiTheme="majorEastAsia"/>
            <w:bCs/>
            <w:noProof/>
          </w:rPr>
          <w:t>第９節　交通規制、緊急輸送活動</w:t>
        </w:r>
        <w:r w:rsidRPr="00D74573">
          <w:rPr>
            <w:rFonts w:asciiTheme="majorEastAsia" w:eastAsiaTheme="majorEastAsia" w:hAnsiTheme="majorEastAsia"/>
            <w:noProof/>
            <w:webHidden/>
          </w:rPr>
          <w:tab/>
        </w:r>
        <w:r w:rsidRPr="00D74573">
          <w:rPr>
            <w:rFonts w:asciiTheme="majorEastAsia" w:eastAsiaTheme="majorEastAsia" w:hAnsiTheme="majorEastAsia"/>
            <w:noProof/>
            <w:webHidden/>
          </w:rPr>
          <w:fldChar w:fldCharType="begin"/>
        </w:r>
        <w:r w:rsidRPr="00D74573">
          <w:rPr>
            <w:rFonts w:asciiTheme="majorEastAsia" w:eastAsiaTheme="majorEastAsia" w:hAnsiTheme="majorEastAsia"/>
            <w:noProof/>
            <w:webHidden/>
          </w:rPr>
          <w:instrText xml:space="preserve"> PAGEREF _Toc242870370 \h </w:instrText>
        </w:r>
        <w:r w:rsidRPr="00D74573">
          <w:rPr>
            <w:rFonts w:asciiTheme="majorEastAsia" w:eastAsiaTheme="majorEastAsia" w:hAnsiTheme="majorEastAsia"/>
            <w:noProof/>
            <w:webHidden/>
          </w:rPr>
        </w:r>
        <w:r w:rsidRPr="00D74573">
          <w:rPr>
            <w:rFonts w:asciiTheme="majorEastAsia" w:eastAsiaTheme="majorEastAsia" w:hAnsiTheme="majorEastAsia"/>
            <w:noProof/>
            <w:webHidden/>
          </w:rPr>
          <w:fldChar w:fldCharType="separate"/>
        </w:r>
        <w:r w:rsidR="00385E62">
          <w:rPr>
            <w:rFonts w:asciiTheme="majorEastAsia" w:eastAsiaTheme="majorEastAsia" w:hAnsiTheme="majorEastAsia"/>
            <w:noProof/>
            <w:webHidden/>
          </w:rPr>
          <w:t>- 243 -</w:t>
        </w:r>
        <w:r w:rsidRPr="00D74573">
          <w:rPr>
            <w:rFonts w:asciiTheme="majorEastAsia" w:eastAsiaTheme="majorEastAsia" w:hAnsiTheme="majorEastAsia"/>
            <w:noProof/>
            <w:webHidden/>
          </w:rPr>
          <w:fldChar w:fldCharType="end"/>
        </w:r>
      </w:hyperlink>
    </w:p>
    <w:p w14:paraId="7874AF3B" w14:textId="6A1589F7" w:rsidR="00990020" w:rsidRPr="00D74573" w:rsidRDefault="00990020">
      <w:pPr>
        <w:pStyle w:val="12"/>
        <w:tabs>
          <w:tab w:val="right" w:leader="dot" w:pos="8834"/>
        </w:tabs>
        <w:rPr>
          <w:rFonts w:asciiTheme="majorEastAsia" w:eastAsiaTheme="majorEastAsia" w:hAnsiTheme="majorEastAsia" w:cstheme="minorBidi"/>
          <w:noProof/>
          <w14:ligatures w14:val="standardContextual"/>
        </w:rPr>
      </w:pPr>
      <w:hyperlink w:anchor="_Toc242870371" w:history="1">
        <w:r w:rsidRPr="00D74573">
          <w:rPr>
            <w:rStyle w:val="ac"/>
            <w:rFonts w:asciiTheme="majorEastAsia" w:eastAsiaTheme="majorEastAsia" w:hAnsiTheme="majorEastAsia"/>
            <w:noProof/>
          </w:rPr>
          <w:t>第９章　危機事象応急対策</w:t>
        </w:r>
        <w:r w:rsidRPr="00D74573">
          <w:rPr>
            <w:rFonts w:asciiTheme="majorEastAsia" w:eastAsiaTheme="majorEastAsia" w:hAnsiTheme="majorEastAsia"/>
            <w:noProof/>
            <w:webHidden/>
          </w:rPr>
          <w:tab/>
        </w:r>
        <w:r w:rsidRPr="00D74573">
          <w:rPr>
            <w:rFonts w:asciiTheme="majorEastAsia" w:eastAsiaTheme="majorEastAsia" w:hAnsiTheme="majorEastAsia"/>
            <w:noProof/>
            <w:webHidden/>
          </w:rPr>
          <w:fldChar w:fldCharType="begin"/>
        </w:r>
        <w:r w:rsidRPr="00D74573">
          <w:rPr>
            <w:rFonts w:asciiTheme="majorEastAsia" w:eastAsiaTheme="majorEastAsia" w:hAnsiTheme="majorEastAsia"/>
            <w:noProof/>
            <w:webHidden/>
          </w:rPr>
          <w:instrText xml:space="preserve"> PAGEREF _Toc242870371 \h </w:instrText>
        </w:r>
        <w:r w:rsidRPr="00D74573">
          <w:rPr>
            <w:rFonts w:asciiTheme="majorEastAsia" w:eastAsiaTheme="majorEastAsia" w:hAnsiTheme="majorEastAsia"/>
            <w:noProof/>
            <w:webHidden/>
          </w:rPr>
        </w:r>
        <w:r w:rsidRPr="00D74573">
          <w:rPr>
            <w:rFonts w:asciiTheme="majorEastAsia" w:eastAsiaTheme="majorEastAsia" w:hAnsiTheme="majorEastAsia"/>
            <w:noProof/>
            <w:webHidden/>
          </w:rPr>
          <w:fldChar w:fldCharType="separate"/>
        </w:r>
        <w:r w:rsidR="00385E62">
          <w:rPr>
            <w:rFonts w:asciiTheme="majorEastAsia" w:eastAsiaTheme="majorEastAsia" w:hAnsiTheme="majorEastAsia"/>
            <w:noProof/>
            <w:webHidden/>
          </w:rPr>
          <w:t>- 244 -</w:t>
        </w:r>
        <w:r w:rsidRPr="00D74573">
          <w:rPr>
            <w:rFonts w:asciiTheme="majorEastAsia" w:eastAsiaTheme="majorEastAsia" w:hAnsiTheme="majorEastAsia"/>
            <w:noProof/>
            <w:webHidden/>
          </w:rPr>
          <w:fldChar w:fldCharType="end"/>
        </w:r>
      </w:hyperlink>
    </w:p>
    <w:p w14:paraId="2F735C53" w14:textId="4DFB6B9A" w:rsidR="00990020" w:rsidRPr="00D74573" w:rsidRDefault="00990020">
      <w:pPr>
        <w:pStyle w:val="34"/>
        <w:tabs>
          <w:tab w:val="right" w:leader="dot" w:pos="8834"/>
        </w:tabs>
        <w:ind w:left="422"/>
        <w:rPr>
          <w:rFonts w:asciiTheme="majorEastAsia" w:eastAsiaTheme="majorEastAsia" w:hAnsiTheme="majorEastAsia" w:cstheme="minorBidi"/>
          <w:noProof/>
          <w14:ligatures w14:val="standardContextual"/>
        </w:rPr>
      </w:pPr>
      <w:hyperlink w:anchor="_Toc242870372" w:history="1">
        <w:r w:rsidRPr="00D74573">
          <w:rPr>
            <w:rStyle w:val="ac"/>
            <w:rFonts w:asciiTheme="majorEastAsia" w:eastAsiaTheme="majorEastAsia" w:hAnsiTheme="majorEastAsia"/>
            <w:noProof/>
          </w:rPr>
          <w:t>第１　対応する危機事象</w:t>
        </w:r>
        <w:r w:rsidRPr="00D74573">
          <w:rPr>
            <w:rFonts w:asciiTheme="majorEastAsia" w:eastAsiaTheme="majorEastAsia" w:hAnsiTheme="majorEastAsia"/>
            <w:noProof/>
            <w:webHidden/>
          </w:rPr>
          <w:tab/>
        </w:r>
        <w:r w:rsidRPr="00D74573">
          <w:rPr>
            <w:rFonts w:asciiTheme="majorEastAsia" w:eastAsiaTheme="majorEastAsia" w:hAnsiTheme="majorEastAsia"/>
            <w:noProof/>
            <w:webHidden/>
          </w:rPr>
          <w:fldChar w:fldCharType="begin"/>
        </w:r>
        <w:r w:rsidRPr="00D74573">
          <w:rPr>
            <w:rFonts w:asciiTheme="majorEastAsia" w:eastAsiaTheme="majorEastAsia" w:hAnsiTheme="majorEastAsia"/>
            <w:noProof/>
            <w:webHidden/>
          </w:rPr>
          <w:instrText xml:space="preserve"> PAGEREF _Toc242870372 \h </w:instrText>
        </w:r>
        <w:r w:rsidRPr="00D74573">
          <w:rPr>
            <w:rFonts w:asciiTheme="majorEastAsia" w:eastAsiaTheme="majorEastAsia" w:hAnsiTheme="majorEastAsia"/>
            <w:noProof/>
            <w:webHidden/>
          </w:rPr>
        </w:r>
        <w:r w:rsidRPr="00D74573">
          <w:rPr>
            <w:rFonts w:asciiTheme="majorEastAsia" w:eastAsiaTheme="majorEastAsia" w:hAnsiTheme="majorEastAsia"/>
            <w:noProof/>
            <w:webHidden/>
          </w:rPr>
          <w:fldChar w:fldCharType="separate"/>
        </w:r>
        <w:r w:rsidR="00385E62">
          <w:rPr>
            <w:rFonts w:asciiTheme="majorEastAsia" w:eastAsiaTheme="majorEastAsia" w:hAnsiTheme="majorEastAsia"/>
            <w:noProof/>
            <w:webHidden/>
          </w:rPr>
          <w:t>- 244 -</w:t>
        </w:r>
        <w:r w:rsidRPr="00D74573">
          <w:rPr>
            <w:rFonts w:asciiTheme="majorEastAsia" w:eastAsiaTheme="majorEastAsia" w:hAnsiTheme="majorEastAsia"/>
            <w:noProof/>
            <w:webHidden/>
          </w:rPr>
          <w:fldChar w:fldCharType="end"/>
        </w:r>
      </w:hyperlink>
    </w:p>
    <w:p w14:paraId="77A9B996" w14:textId="7C9AAC5B" w:rsidR="00990020" w:rsidRPr="00D74573" w:rsidRDefault="00990020">
      <w:pPr>
        <w:pStyle w:val="34"/>
        <w:tabs>
          <w:tab w:val="right" w:leader="dot" w:pos="8834"/>
        </w:tabs>
        <w:ind w:left="422"/>
        <w:rPr>
          <w:rFonts w:asciiTheme="majorEastAsia" w:eastAsiaTheme="majorEastAsia" w:hAnsiTheme="majorEastAsia" w:cstheme="minorBidi"/>
          <w:noProof/>
          <w14:ligatures w14:val="standardContextual"/>
        </w:rPr>
      </w:pPr>
      <w:hyperlink w:anchor="_Toc242870373" w:history="1">
        <w:r w:rsidRPr="00D74573">
          <w:rPr>
            <w:rStyle w:val="ac"/>
            <w:rFonts w:asciiTheme="majorEastAsia" w:eastAsiaTheme="majorEastAsia" w:hAnsiTheme="majorEastAsia"/>
            <w:noProof/>
          </w:rPr>
          <w:t>第２　危機管理対応フロー図</w:t>
        </w:r>
        <w:r w:rsidRPr="00D74573">
          <w:rPr>
            <w:rFonts w:asciiTheme="majorEastAsia" w:eastAsiaTheme="majorEastAsia" w:hAnsiTheme="majorEastAsia"/>
            <w:noProof/>
            <w:webHidden/>
          </w:rPr>
          <w:tab/>
        </w:r>
        <w:r w:rsidRPr="00D74573">
          <w:rPr>
            <w:rFonts w:asciiTheme="majorEastAsia" w:eastAsiaTheme="majorEastAsia" w:hAnsiTheme="majorEastAsia"/>
            <w:noProof/>
            <w:webHidden/>
          </w:rPr>
          <w:fldChar w:fldCharType="begin"/>
        </w:r>
        <w:r w:rsidRPr="00D74573">
          <w:rPr>
            <w:rFonts w:asciiTheme="majorEastAsia" w:eastAsiaTheme="majorEastAsia" w:hAnsiTheme="majorEastAsia"/>
            <w:noProof/>
            <w:webHidden/>
          </w:rPr>
          <w:instrText xml:space="preserve"> PAGEREF _Toc242870373 \h </w:instrText>
        </w:r>
        <w:r w:rsidRPr="00D74573">
          <w:rPr>
            <w:rFonts w:asciiTheme="majorEastAsia" w:eastAsiaTheme="majorEastAsia" w:hAnsiTheme="majorEastAsia"/>
            <w:noProof/>
            <w:webHidden/>
          </w:rPr>
        </w:r>
        <w:r w:rsidRPr="00D74573">
          <w:rPr>
            <w:rFonts w:asciiTheme="majorEastAsia" w:eastAsiaTheme="majorEastAsia" w:hAnsiTheme="majorEastAsia"/>
            <w:noProof/>
            <w:webHidden/>
          </w:rPr>
          <w:fldChar w:fldCharType="separate"/>
        </w:r>
        <w:r w:rsidR="00385E62">
          <w:rPr>
            <w:rFonts w:asciiTheme="majorEastAsia" w:eastAsiaTheme="majorEastAsia" w:hAnsiTheme="majorEastAsia"/>
            <w:noProof/>
            <w:webHidden/>
          </w:rPr>
          <w:t>- 248 -</w:t>
        </w:r>
        <w:r w:rsidRPr="00D74573">
          <w:rPr>
            <w:rFonts w:asciiTheme="majorEastAsia" w:eastAsiaTheme="majorEastAsia" w:hAnsiTheme="majorEastAsia"/>
            <w:noProof/>
            <w:webHidden/>
          </w:rPr>
          <w:fldChar w:fldCharType="end"/>
        </w:r>
      </w:hyperlink>
    </w:p>
    <w:p w14:paraId="45419CBD" w14:textId="4326964B" w:rsidR="00990020" w:rsidRPr="00D74573" w:rsidRDefault="00990020">
      <w:pPr>
        <w:pStyle w:val="34"/>
        <w:tabs>
          <w:tab w:val="right" w:leader="dot" w:pos="8834"/>
        </w:tabs>
        <w:ind w:left="422"/>
        <w:rPr>
          <w:rFonts w:asciiTheme="majorEastAsia" w:eastAsiaTheme="majorEastAsia" w:hAnsiTheme="majorEastAsia" w:cstheme="minorBidi"/>
          <w:noProof/>
          <w14:ligatures w14:val="standardContextual"/>
        </w:rPr>
      </w:pPr>
      <w:hyperlink w:anchor="_Toc242870374" w:history="1">
        <w:r w:rsidRPr="00D74573">
          <w:rPr>
            <w:rStyle w:val="ac"/>
            <w:rFonts w:asciiTheme="majorEastAsia" w:eastAsiaTheme="majorEastAsia" w:hAnsiTheme="majorEastAsia"/>
            <w:noProof/>
          </w:rPr>
          <w:t>第３　連絡体制</w:t>
        </w:r>
        <w:r w:rsidRPr="00D74573">
          <w:rPr>
            <w:rFonts w:asciiTheme="majorEastAsia" w:eastAsiaTheme="majorEastAsia" w:hAnsiTheme="majorEastAsia"/>
            <w:noProof/>
            <w:webHidden/>
          </w:rPr>
          <w:tab/>
        </w:r>
        <w:r w:rsidRPr="00D74573">
          <w:rPr>
            <w:rFonts w:asciiTheme="majorEastAsia" w:eastAsiaTheme="majorEastAsia" w:hAnsiTheme="majorEastAsia"/>
            <w:noProof/>
            <w:webHidden/>
          </w:rPr>
          <w:fldChar w:fldCharType="begin"/>
        </w:r>
        <w:r w:rsidRPr="00D74573">
          <w:rPr>
            <w:rFonts w:asciiTheme="majorEastAsia" w:eastAsiaTheme="majorEastAsia" w:hAnsiTheme="majorEastAsia"/>
            <w:noProof/>
            <w:webHidden/>
          </w:rPr>
          <w:instrText xml:space="preserve"> PAGEREF _Toc242870374 \h </w:instrText>
        </w:r>
        <w:r w:rsidRPr="00D74573">
          <w:rPr>
            <w:rFonts w:asciiTheme="majorEastAsia" w:eastAsiaTheme="majorEastAsia" w:hAnsiTheme="majorEastAsia"/>
            <w:noProof/>
            <w:webHidden/>
          </w:rPr>
        </w:r>
        <w:r w:rsidRPr="00D74573">
          <w:rPr>
            <w:rFonts w:asciiTheme="majorEastAsia" w:eastAsiaTheme="majorEastAsia" w:hAnsiTheme="majorEastAsia"/>
            <w:noProof/>
            <w:webHidden/>
          </w:rPr>
          <w:fldChar w:fldCharType="separate"/>
        </w:r>
        <w:r w:rsidR="00385E62">
          <w:rPr>
            <w:rFonts w:asciiTheme="majorEastAsia" w:eastAsiaTheme="majorEastAsia" w:hAnsiTheme="majorEastAsia"/>
            <w:noProof/>
            <w:webHidden/>
          </w:rPr>
          <w:t>- 249 -</w:t>
        </w:r>
        <w:r w:rsidRPr="00D74573">
          <w:rPr>
            <w:rFonts w:asciiTheme="majorEastAsia" w:eastAsiaTheme="majorEastAsia" w:hAnsiTheme="majorEastAsia"/>
            <w:noProof/>
            <w:webHidden/>
          </w:rPr>
          <w:fldChar w:fldCharType="end"/>
        </w:r>
      </w:hyperlink>
    </w:p>
    <w:p w14:paraId="0126D236" w14:textId="257DE797" w:rsidR="00990020" w:rsidRPr="00D74573" w:rsidRDefault="00990020">
      <w:pPr>
        <w:pStyle w:val="34"/>
        <w:tabs>
          <w:tab w:val="right" w:leader="dot" w:pos="8834"/>
        </w:tabs>
        <w:ind w:left="422"/>
        <w:rPr>
          <w:rFonts w:asciiTheme="majorEastAsia" w:eastAsiaTheme="majorEastAsia" w:hAnsiTheme="majorEastAsia" w:cstheme="minorBidi"/>
          <w:noProof/>
          <w14:ligatures w14:val="standardContextual"/>
        </w:rPr>
      </w:pPr>
      <w:hyperlink w:anchor="_Toc242870375" w:history="1">
        <w:r w:rsidRPr="00D74573">
          <w:rPr>
            <w:rStyle w:val="ac"/>
            <w:rFonts w:asciiTheme="majorEastAsia" w:eastAsiaTheme="majorEastAsia" w:hAnsiTheme="majorEastAsia"/>
            <w:noProof/>
          </w:rPr>
          <w:t>第４　警戒態勢の確立</w:t>
        </w:r>
        <w:r w:rsidRPr="00D74573">
          <w:rPr>
            <w:rFonts w:asciiTheme="majorEastAsia" w:eastAsiaTheme="majorEastAsia" w:hAnsiTheme="majorEastAsia"/>
            <w:noProof/>
            <w:webHidden/>
          </w:rPr>
          <w:tab/>
        </w:r>
        <w:r w:rsidRPr="00D74573">
          <w:rPr>
            <w:rFonts w:asciiTheme="majorEastAsia" w:eastAsiaTheme="majorEastAsia" w:hAnsiTheme="majorEastAsia"/>
            <w:noProof/>
            <w:webHidden/>
          </w:rPr>
          <w:fldChar w:fldCharType="begin"/>
        </w:r>
        <w:r w:rsidRPr="00D74573">
          <w:rPr>
            <w:rFonts w:asciiTheme="majorEastAsia" w:eastAsiaTheme="majorEastAsia" w:hAnsiTheme="majorEastAsia"/>
            <w:noProof/>
            <w:webHidden/>
          </w:rPr>
          <w:instrText xml:space="preserve"> PAGEREF _Toc242870375 \h </w:instrText>
        </w:r>
        <w:r w:rsidRPr="00D74573">
          <w:rPr>
            <w:rFonts w:asciiTheme="majorEastAsia" w:eastAsiaTheme="majorEastAsia" w:hAnsiTheme="majorEastAsia"/>
            <w:noProof/>
            <w:webHidden/>
          </w:rPr>
        </w:r>
        <w:r w:rsidRPr="00D74573">
          <w:rPr>
            <w:rFonts w:asciiTheme="majorEastAsia" w:eastAsiaTheme="majorEastAsia" w:hAnsiTheme="majorEastAsia"/>
            <w:noProof/>
            <w:webHidden/>
          </w:rPr>
          <w:fldChar w:fldCharType="separate"/>
        </w:r>
        <w:r w:rsidR="00385E62">
          <w:rPr>
            <w:rFonts w:asciiTheme="majorEastAsia" w:eastAsiaTheme="majorEastAsia" w:hAnsiTheme="majorEastAsia"/>
            <w:noProof/>
            <w:webHidden/>
          </w:rPr>
          <w:t>- 250 -</w:t>
        </w:r>
        <w:r w:rsidRPr="00D74573">
          <w:rPr>
            <w:rFonts w:asciiTheme="majorEastAsia" w:eastAsiaTheme="majorEastAsia" w:hAnsiTheme="majorEastAsia"/>
            <w:noProof/>
            <w:webHidden/>
          </w:rPr>
          <w:fldChar w:fldCharType="end"/>
        </w:r>
      </w:hyperlink>
    </w:p>
    <w:p w14:paraId="495B0309" w14:textId="7419B709" w:rsidR="00990020" w:rsidRPr="00D74573" w:rsidRDefault="00990020">
      <w:pPr>
        <w:pStyle w:val="34"/>
        <w:tabs>
          <w:tab w:val="right" w:leader="dot" w:pos="8834"/>
        </w:tabs>
        <w:ind w:left="422"/>
        <w:rPr>
          <w:rFonts w:asciiTheme="majorEastAsia" w:eastAsiaTheme="majorEastAsia" w:hAnsiTheme="majorEastAsia" w:cstheme="minorBidi"/>
          <w:noProof/>
          <w14:ligatures w14:val="standardContextual"/>
        </w:rPr>
      </w:pPr>
      <w:hyperlink w:anchor="_Toc242870376" w:history="1">
        <w:r w:rsidRPr="00D74573">
          <w:rPr>
            <w:rStyle w:val="ac"/>
            <w:rFonts w:asciiTheme="majorEastAsia" w:eastAsiaTheme="majorEastAsia" w:hAnsiTheme="majorEastAsia"/>
            <w:noProof/>
          </w:rPr>
          <w:t>第５　災害応急対策の実施</w:t>
        </w:r>
        <w:r w:rsidRPr="00D74573">
          <w:rPr>
            <w:rFonts w:asciiTheme="majorEastAsia" w:eastAsiaTheme="majorEastAsia" w:hAnsiTheme="majorEastAsia"/>
            <w:noProof/>
            <w:webHidden/>
          </w:rPr>
          <w:tab/>
        </w:r>
        <w:r w:rsidRPr="00D74573">
          <w:rPr>
            <w:rFonts w:asciiTheme="majorEastAsia" w:eastAsiaTheme="majorEastAsia" w:hAnsiTheme="majorEastAsia"/>
            <w:noProof/>
            <w:webHidden/>
          </w:rPr>
          <w:fldChar w:fldCharType="begin"/>
        </w:r>
        <w:r w:rsidRPr="00D74573">
          <w:rPr>
            <w:rFonts w:asciiTheme="majorEastAsia" w:eastAsiaTheme="majorEastAsia" w:hAnsiTheme="majorEastAsia"/>
            <w:noProof/>
            <w:webHidden/>
          </w:rPr>
          <w:instrText xml:space="preserve"> PAGEREF _Toc242870376 \h </w:instrText>
        </w:r>
        <w:r w:rsidRPr="00D74573">
          <w:rPr>
            <w:rFonts w:asciiTheme="majorEastAsia" w:eastAsiaTheme="majorEastAsia" w:hAnsiTheme="majorEastAsia"/>
            <w:noProof/>
            <w:webHidden/>
          </w:rPr>
        </w:r>
        <w:r w:rsidRPr="00D74573">
          <w:rPr>
            <w:rFonts w:asciiTheme="majorEastAsia" w:eastAsiaTheme="majorEastAsia" w:hAnsiTheme="majorEastAsia"/>
            <w:noProof/>
            <w:webHidden/>
          </w:rPr>
          <w:fldChar w:fldCharType="separate"/>
        </w:r>
        <w:r w:rsidR="00385E62">
          <w:rPr>
            <w:rFonts w:asciiTheme="majorEastAsia" w:eastAsiaTheme="majorEastAsia" w:hAnsiTheme="majorEastAsia"/>
            <w:noProof/>
            <w:webHidden/>
          </w:rPr>
          <w:t>- 250 -</w:t>
        </w:r>
        <w:r w:rsidRPr="00D74573">
          <w:rPr>
            <w:rFonts w:asciiTheme="majorEastAsia" w:eastAsiaTheme="majorEastAsia" w:hAnsiTheme="majorEastAsia"/>
            <w:noProof/>
            <w:webHidden/>
          </w:rPr>
          <w:fldChar w:fldCharType="end"/>
        </w:r>
      </w:hyperlink>
    </w:p>
    <w:p w14:paraId="43904A8F" w14:textId="3DA619FA" w:rsidR="00990020" w:rsidRPr="00D74573" w:rsidRDefault="00990020">
      <w:pPr>
        <w:pStyle w:val="34"/>
        <w:tabs>
          <w:tab w:val="right" w:leader="dot" w:pos="8834"/>
        </w:tabs>
        <w:ind w:left="422"/>
        <w:rPr>
          <w:rFonts w:asciiTheme="majorEastAsia" w:eastAsiaTheme="majorEastAsia" w:hAnsiTheme="majorEastAsia" w:cstheme="minorBidi"/>
          <w:noProof/>
          <w14:ligatures w14:val="standardContextual"/>
        </w:rPr>
      </w:pPr>
      <w:hyperlink w:anchor="_Toc242870377" w:history="1">
        <w:r w:rsidRPr="00D74573">
          <w:rPr>
            <w:rStyle w:val="ac"/>
            <w:rFonts w:asciiTheme="majorEastAsia" w:eastAsiaTheme="majorEastAsia" w:hAnsiTheme="majorEastAsia"/>
            <w:noProof/>
          </w:rPr>
          <w:t>第６　各部局が実施する危機事象応急対策</w:t>
        </w:r>
        <w:r w:rsidRPr="00D74573">
          <w:rPr>
            <w:rFonts w:asciiTheme="majorEastAsia" w:eastAsiaTheme="majorEastAsia" w:hAnsiTheme="majorEastAsia"/>
            <w:noProof/>
            <w:webHidden/>
          </w:rPr>
          <w:tab/>
        </w:r>
        <w:r w:rsidRPr="00D74573">
          <w:rPr>
            <w:rFonts w:asciiTheme="majorEastAsia" w:eastAsiaTheme="majorEastAsia" w:hAnsiTheme="majorEastAsia"/>
            <w:noProof/>
            <w:webHidden/>
          </w:rPr>
          <w:fldChar w:fldCharType="begin"/>
        </w:r>
        <w:r w:rsidRPr="00D74573">
          <w:rPr>
            <w:rFonts w:asciiTheme="majorEastAsia" w:eastAsiaTheme="majorEastAsia" w:hAnsiTheme="majorEastAsia"/>
            <w:noProof/>
            <w:webHidden/>
          </w:rPr>
          <w:instrText xml:space="preserve"> PAGEREF _Toc242870377 \h </w:instrText>
        </w:r>
        <w:r w:rsidRPr="00D74573">
          <w:rPr>
            <w:rFonts w:asciiTheme="majorEastAsia" w:eastAsiaTheme="majorEastAsia" w:hAnsiTheme="majorEastAsia"/>
            <w:noProof/>
            <w:webHidden/>
          </w:rPr>
        </w:r>
        <w:r w:rsidRPr="00D74573">
          <w:rPr>
            <w:rFonts w:asciiTheme="majorEastAsia" w:eastAsiaTheme="majorEastAsia" w:hAnsiTheme="majorEastAsia"/>
            <w:noProof/>
            <w:webHidden/>
          </w:rPr>
          <w:fldChar w:fldCharType="separate"/>
        </w:r>
        <w:r w:rsidR="00385E62">
          <w:rPr>
            <w:rFonts w:asciiTheme="majorEastAsia" w:eastAsiaTheme="majorEastAsia" w:hAnsiTheme="majorEastAsia"/>
            <w:noProof/>
            <w:webHidden/>
          </w:rPr>
          <w:t>- 250 -</w:t>
        </w:r>
        <w:r w:rsidRPr="00D74573">
          <w:rPr>
            <w:rFonts w:asciiTheme="majorEastAsia" w:eastAsiaTheme="majorEastAsia" w:hAnsiTheme="majorEastAsia"/>
            <w:noProof/>
            <w:webHidden/>
          </w:rPr>
          <w:fldChar w:fldCharType="end"/>
        </w:r>
      </w:hyperlink>
    </w:p>
    <w:p w14:paraId="26EDA7C8" w14:textId="11893089" w:rsidR="00BC3E20" w:rsidRPr="00E0548A" w:rsidRDefault="00B63F80" w:rsidP="00E0548A">
      <w:pPr>
        <w:rPr>
          <w:rFonts w:ascii="ＭＳ ゴシック" w:eastAsia="ＭＳ ゴシック" w:hAnsi="ＭＳ ゴシック"/>
          <w:bCs/>
          <w:szCs w:val="21"/>
        </w:rPr>
      </w:pPr>
      <w:r w:rsidRPr="00E0548A">
        <w:rPr>
          <w:rFonts w:asciiTheme="majorEastAsia" w:eastAsiaTheme="majorEastAsia" w:hAnsiTheme="majorEastAsia"/>
          <w:bCs/>
          <w:szCs w:val="21"/>
        </w:rPr>
        <w:fldChar w:fldCharType="end"/>
      </w:r>
    </w:p>
    <w:p w14:paraId="141540F3" w14:textId="2BF0EADB" w:rsidR="00AC25BD" w:rsidRPr="001D6D10" w:rsidRDefault="00AC25BD" w:rsidP="00E0548A">
      <w:pPr>
        <w:pStyle w:val="12"/>
        <w:tabs>
          <w:tab w:val="right" w:leader="dot" w:pos="8834"/>
        </w:tabs>
        <w:rPr>
          <w:rFonts w:asciiTheme="minorEastAsia" w:eastAsiaTheme="minorEastAsia" w:hAnsiTheme="minorEastAsia"/>
          <w:sz w:val="28"/>
          <w:szCs w:val="28"/>
        </w:rPr>
        <w:sectPr w:rsidR="00AC25BD" w:rsidRPr="001D6D10" w:rsidSect="00AC25BD">
          <w:headerReference w:type="default" r:id="rId10"/>
          <w:footerReference w:type="default" r:id="rId11"/>
          <w:pgSz w:w="11906" w:h="16838" w:code="9"/>
          <w:pgMar w:top="1701" w:right="1531" w:bottom="1701" w:left="1531" w:header="850" w:footer="850" w:gutter="0"/>
          <w:pgNumType w:fmt="lowerRoman" w:start="1"/>
          <w:cols w:space="425"/>
          <w:docGrid w:type="linesAndChars" w:linePitch="353" w:charSpace="225"/>
        </w:sectPr>
      </w:pPr>
    </w:p>
    <w:p w14:paraId="0E695A03" w14:textId="2054A0CC" w:rsidR="00315575" w:rsidRPr="001D6D10" w:rsidRDefault="00775015">
      <w:pPr>
        <w:pStyle w:val="1"/>
      </w:pPr>
      <w:bookmarkStart w:id="0" w:name="_Toc122436864"/>
      <w:bookmarkStart w:id="1" w:name="_Toc222486554"/>
      <w:bookmarkStart w:id="2" w:name="_Toc242870223"/>
      <w:r w:rsidRPr="001D6D10">
        <w:rPr>
          <w:rFonts w:hint="eastAsia"/>
        </w:rPr>
        <w:lastRenderedPageBreak/>
        <w:t>第１章　総　則</w:t>
      </w:r>
      <w:bookmarkEnd w:id="0"/>
      <w:bookmarkEnd w:id="1"/>
      <w:bookmarkEnd w:id="2"/>
    </w:p>
    <w:p w14:paraId="7AAECD40" w14:textId="77777777" w:rsidR="00315575" w:rsidRPr="001D6D10" w:rsidRDefault="00315575">
      <w:pPr>
        <w:pStyle w:val="2"/>
      </w:pPr>
      <w:bookmarkStart w:id="3" w:name="_Toc122436865"/>
      <w:bookmarkStart w:id="4" w:name="_Toc222486555"/>
      <w:bookmarkStart w:id="5" w:name="_Toc242870224"/>
      <w:r w:rsidRPr="001D6D10">
        <w:rPr>
          <w:rFonts w:hint="eastAsia"/>
        </w:rPr>
        <w:t>第１節　目　的</w:t>
      </w:r>
      <w:bookmarkEnd w:id="3"/>
      <w:bookmarkEnd w:id="4"/>
      <w:bookmarkEnd w:id="5"/>
    </w:p>
    <w:p w14:paraId="1F04F7E1" w14:textId="77777777" w:rsidR="00315575" w:rsidRPr="001D6D10" w:rsidRDefault="00315575" w:rsidP="006F56C6">
      <w:pPr>
        <w:ind w:left="332" w:hangingChars="150" w:hanging="332"/>
        <w:rPr>
          <w:rFonts w:ascii="ＭＳ 明朝" w:hAnsi="ＭＳ 明朝"/>
          <w:sz w:val="22"/>
          <w:szCs w:val="22"/>
        </w:rPr>
      </w:pPr>
      <w:r w:rsidRPr="001D6D10">
        <w:rPr>
          <w:rFonts w:ascii="ＭＳ ゴシック" w:eastAsia="ＭＳ ゴシック" w:hAnsi="ＭＳ ゴシック" w:hint="eastAsia"/>
          <w:sz w:val="22"/>
          <w:szCs w:val="22"/>
        </w:rPr>
        <w:t xml:space="preserve">　　</w:t>
      </w:r>
      <w:r w:rsidR="00FD6D0B" w:rsidRPr="001D6D10">
        <w:rPr>
          <w:rFonts w:ascii="ＭＳ ゴシック" w:eastAsia="ＭＳ ゴシック" w:hAnsi="ＭＳ ゴシック" w:hint="eastAsia"/>
          <w:sz w:val="22"/>
          <w:szCs w:val="22"/>
        </w:rPr>
        <w:t xml:space="preserve"> </w:t>
      </w:r>
      <w:r w:rsidRPr="001D6D10">
        <w:rPr>
          <w:rFonts w:ascii="ＭＳ 明朝" w:hAnsi="ＭＳ 明朝" w:hint="eastAsia"/>
          <w:sz w:val="22"/>
          <w:szCs w:val="22"/>
        </w:rPr>
        <w:t>この要領は、</w:t>
      </w:r>
      <w:r w:rsidR="00B14A73" w:rsidRPr="001D6D10">
        <w:rPr>
          <w:rFonts w:ascii="ＭＳ 明朝" w:hAnsi="ＭＳ 明朝" w:hint="eastAsia"/>
          <w:sz w:val="22"/>
          <w:szCs w:val="22"/>
        </w:rPr>
        <w:t>大阪府地域防災計画に記載されている災害応急対策に係る</w:t>
      </w:r>
      <w:r w:rsidRPr="001D6D10">
        <w:rPr>
          <w:rFonts w:ascii="ＭＳ 明朝" w:hAnsi="ＭＳ 明朝" w:hint="eastAsia"/>
          <w:sz w:val="22"/>
          <w:szCs w:val="22"/>
        </w:rPr>
        <w:t>府の災害等応急対策活動に関する事項を定め、災害等が発生し、又は発生するおそれがある場合において、府の地域並びに住民の生命、身体及び財産を災害等から保護することを目的とする。</w:t>
      </w:r>
    </w:p>
    <w:p w14:paraId="1CA62E4F" w14:textId="77777777" w:rsidR="009B5011" w:rsidRPr="001D6D10" w:rsidRDefault="009B5011" w:rsidP="006F56C6">
      <w:pPr>
        <w:ind w:left="332" w:hangingChars="150" w:hanging="332"/>
        <w:rPr>
          <w:rFonts w:ascii="ＭＳ 明朝" w:hAnsi="ＭＳ 明朝"/>
          <w:sz w:val="22"/>
          <w:szCs w:val="22"/>
        </w:rPr>
      </w:pPr>
    </w:p>
    <w:p w14:paraId="2E4B4FB0" w14:textId="77777777" w:rsidR="00315575" w:rsidRPr="001D6D10" w:rsidRDefault="00315575">
      <w:pPr>
        <w:pStyle w:val="2"/>
      </w:pPr>
      <w:bookmarkStart w:id="6" w:name="_Toc122436866"/>
      <w:bookmarkStart w:id="7" w:name="_Toc222486556"/>
      <w:bookmarkStart w:id="8" w:name="_Toc242870225"/>
      <w:r w:rsidRPr="001D6D10">
        <w:rPr>
          <w:rFonts w:hint="eastAsia"/>
        </w:rPr>
        <w:t>第２節　対　象</w:t>
      </w:r>
      <w:bookmarkEnd w:id="6"/>
      <w:bookmarkEnd w:id="7"/>
      <w:bookmarkEnd w:id="8"/>
    </w:p>
    <w:p w14:paraId="1A3CD540" w14:textId="77777777" w:rsidR="00315575" w:rsidRPr="001D6D10" w:rsidRDefault="00315575" w:rsidP="00315575">
      <w:pPr>
        <w:rPr>
          <w:rFonts w:ascii="ＭＳ ゴシック" w:eastAsia="ＭＳ ゴシック" w:hAnsi="ＭＳ ゴシック"/>
          <w:sz w:val="22"/>
          <w:szCs w:val="22"/>
          <w:u w:val="single"/>
        </w:rPr>
      </w:pPr>
      <w:r w:rsidRPr="001D6D10">
        <w:rPr>
          <w:rFonts w:ascii="ＭＳ 明朝" w:hAnsi="ＭＳ 明朝" w:hint="eastAsia"/>
          <w:sz w:val="22"/>
          <w:szCs w:val="22"/>
        </w:rPr>
        <w:t xml:space="preserve">　　</w:t>
      </w:r>
      <w:r w:rsidRPr="001D6D10">
        <w:rPr>
          <w:rFonts w:ascii="ＭＳ ゴシック" w:eastAsia="ＭＳ ゴシック" w:hAnsi="ＭＳ ゴシック" w:hint="eastAsia"/>
          <w:sz w:val="22"/>
          <w:szCs w:val="22"/>
          <w:u w:val="single"/>
        </w:rPr>
        <w:t>１　災害等</w:t>
      </w:r>
    </w:p>
    <w:p w14:paraId="2ACDC893" w14:textId="77777777" w:rsidR="00315575" w:rsidRPr="001D6D10" w:rsidRDefault="00315575" w:rsidP="006F56C6">
      <w:pPr>
        <w:ind w:left="663" w:hangingChars="300" w:hanging="663"/>
        <w:rPr>
          <w:rFonts w:ascii="ＭＳ 明朝" w:hAnsi="ＭＳ 明朝"/>
          <w:sz w:val="22"/>
          <w:szCs w:val="22"/>
        </w:rPr>
      </w:pPr>
      <w:r w:rsidRPr="001D6D10">
        <w:rPr>
          <w:rFonts w:ascii="ＭＳ 明朝" w:hAnsi="ＭＳ 明朝" w:hint="eastAsia"/>
          <w:sz w:val="22"/>
          <w:szCs w:val="22"/>
        </w:rPr>
        <w:t xml:space="preserve">　　　　この要領が対象とする事象は、災害対策基本法その他関係法令及び大阪府地域防災計画（「防災計画」）</w:t>
      </w:r>
      <w:r w:rsidR="00E627C2" w:rsidRPr="001D6D10">
        <w:rPr>
          <w:rFonts w:ascii="ＭＳ 明朝" w:hAnsi="ＭＳ 明朝" w:hint="eastAsia"/>
          <w:sz w:val="22"/>
          <w:szCs w:val="22"/>
        </w:rPr>
        <w:t>、大阪府危機管理対応指針（「対応指針」）</w:t>
      </w:r>
      <w:r w:rsidRPr="001D6D10">
        <w:rPr>
          <w:rFonts w:ascii="ＭＳ 明朝" w:hAnsi="ＭＳ 明朝" w:hint="eastAsia"/>
          <w:sz w:val="22"/>
          <w:szCs w:val="22"/>
        </w:rPr>
        <w:t>に定める次の災害等とする。</w:t>
      </w:r>
    </w:p>
    <w:p w14:paraId="0251D960" w14:textId="320F6D17" w:rsidR="000534DC" w:rsidRPr="001D6D10" w:rsidRDefault="00315575" w:rsidP="000534DC">
      <w:pPr>
        <w:spacing w:line="300" w:lineRule="exact"/>
        <w:ind w:left="221" w:hangingChars="100" w:hanging="221"/>
        <w:rPr>
          <w:rFonts w:ascii="ＭＳ 明朝" w:hAnsi="ＭＳ 明朝"/>
          <w:sz w:val="22"/>
          <w:szCs w:val="22"/>
        </w:rPr>
      </w:pPr>
      <w:r w:rsidRPr="001D6D10">
        <w:rPr>
          <w:rFonts w:ascii="ＭＳ 明朝" w:hAnsi="ＭＳ 明朝" w:hint="eastAsia"/>
          <w:sz w:val="22"/>
          <w:szCs w:val="22"/>
        </w:rPr>
        <w:t xml:space="preserve">　　  (1)　地震災害</w:t>
      </w:r>
      <w:r w:rsidR="000534DC" w:rsidRPr="00747FDC">
        <w:rPr>
          <w:rFonts w:ascii="ＭＳ 明朝" w:hAnsi="ＭＳ 明朝" w:hint="eastAsia"/>
          <w:sz w:val="22"/>
          <w:szCs w:val="22"/>
        </w:rPr>
        <w:t>（南海トラフ地震臨時情報発表時を含む）</w:t>
      </w:r>
    </w:p>
    <w:p w14:paraId="62C3F3D1" w14:textId="77777777" w:rsidR="00315575" w:rsidRPr="001D6D10" w:rsidRDefault="00315575" w:rsidP="009F16A0">
      <w:pPr>
        <w:spacing w:line="300" w:lineRule="exact"/>
        <w:ind w:left="221" w:hangingChars="100" w:hanging="221"/>
        <w:rPr>
          <w:rFonts w:ascii="ＭＳ 明朝" w:hAnsi="ＭＳ 明朝"/>
          <w:sz w:val="22"/>
          <w:szCs w:val="22"/>
        </w:rPr>
      </w:pPr>
      <w:r w:rsidRPr="001D6D10">
        <w:rPr>
          <w:rFonts w:ascii="ＭＳ 明朝" w:hAnsi="ＭＳ 明朝" w:hint="eastAsia"/>
          <w:sz w:val="22"/>
          <w:szCs w:val="22"/>
        </w:rPr>
        <w:t xml:space="preserve">　　  (2)　</w:t>
      </w:r>
      <w:r w:rsidR="009E7E17" w:rsidRPr="001D6D10">
        <w:rPr>
          <w:rFonts w:ascii="ＭＳ 明朝" w:hAnsi="ＭＳ 明朝" w:hint="eastAsia"/>
          <w:sz w:val="22"/>
          <w:szCs w:val="22"/>
        </w:rPr>
        <w:t>津波災害</w:t>
      </w:r>
    </w:p>
    <w:p w14:paraId="126D844D" w14:textId="77777777" w:rsidR="00FB1C34" w:rsidRPr="001D6D10" w:rsidRDefault="00FB1C34" w:rsidP="009F16A0">
      <w:pPr>
        <w:spacing w:line="300" w:lineRule="exact"/>
        <w:ind w:left="221" w:hangingChars="100" w:hanging="221"/>
        <w:rPr>
          <w:rFonts w:ascii="ＭＳ 明朝" w:hAnsi="ＭＳ 明朝"/>
          <w:sz w:val="22"/>
          <w:szCs w:val="22"/>
        </w:rPr>
      </w:pPr>
      <w:r w:rsidRPr="001D6D10">
        <w:rPr>
          <w:rFonts w:ascii="ＭＳ 明朝" w:hAnsi="ＭＳ 明朝" w:hint="eastAsia"/>
          <w:sz w:val="22"/>
          <w:szCs w:val="22"/>
        </w:rPr>
        <w:t xml:space="preserve">      (3)　</w:t>
      </w:r>
      <w:r w:rsidR="009E7E17" w:rsidRPr="001D6D10">
        <w:rPr>
          <w:rFonts w:ascii="ＭＳ 明朝" w:hAnsi="ＭＳ 明朝" w:hint="eastAsia"/>
          <w:sz w:val="22"/>
          <w:szCs w:val="22"/>
        </w:rPr>
        <w:t>風水害</w:t>
      </w:r>
    </w:p>
    <w:p w14:paraId="0E793C9E" w14:textId="77777777" w:rsidR="00315575" w:rsidRPr="001D6D10" w:rsidRDefault="00315575" w:rsidP="009F16A0">
      <w:pPr>
        <w:spacing w:line="300" w:lineRule="exact"/>
        <w:ind w:left="221" w:hangingChars="100" w:hanging="221"/>
        <w:rPr>
          <w:rFonts w:ascii="ＭＳ 明朝" w:hAnsi="ＭＳ 明朝"/>
          <w:sz w:val="22"/>
          <w:szCs w:val="22"/>
        </w:rPr>
      </w:pPr>
      <w:r w:rsidRPr="001D6D10">
        <w:rPr>
          <w:rFonts w:ascii="ＭＳ 明朝" w:hAnsi="ＭＳ 明朝" w:hint="eastAsia"/>
          <w:sz w:val="22"/>
          <w:szCs w:val="22"/>
        </w:rPr>
        <w:t xml:space="preserve">　　</w:t>
      </w:r>
      <w:r w:rsidR="00FB1C34" w:rsidRPr="001D6D10">
        <w:rPr>
          <w:rFonts w:ascii="ＭＳ 明朝" w:hAnsi="ＭＳ 明朝" w:hint="eastAsia"/>
          <w:sz w:val="22"/>
          <w:szCs w:val="22"/>
        </w:rPr>
        <w:t xml:space="preserve">  (4</w:t>
      </w:r>
      <w:r w:rsidRPr="001D6D10">
        <w:rPr>
          <w:rFonts w:ascii="ＭＳ 明朝" w:hAnsi="ＭＳ 明朝" w:hint="eastAsia"/>
          <w:sz w:val="22"/>
          <w:szCs w:val="22"/>
        </w:rPr>
        <w:t>)</w:t>
      </w:r>
      <w:r w:rsidR="00DA7EB3" w:rsidRPr="001D6D10">
        <w:rPr>
          <w:rFonts w:ascii="ＭＳ 明朝" w:hAnsi="ＭＳ 明朝" w:hint="eastAsia"/>
          <w:sz w:val="22"/>
          <w:szCs w:val="22"/>
        </w:rPr>
        <w:t xml:space="preserve">　台風（</w:t>
      </w:r>
      <w:r w:rsidR="00F26DCE" w:rsidRPr="001D6D10">
        <w:rPr>
          <w:rFonts w:ascii="ＭＳ 明朝" w:hAnsi="ＭＳ 明朝" w:hint="eastAsia"/>
          <w:sz w:val="22"/>
          <w:szCs w:val="22"/>
        </w:rPr>
        <w:t>府域に影響を及ぼす恐れのあるもの）</w:t>
      </w:r>
    </w:p>
    <w:p w14:paraId="5C17272E" w14:textId="77777777" w:rsidR="00315575" w:rsidRPr="001D6D10" w:rsidRDefault="00315575" w:rsidP="009F16A0">
      <w:pPr>
        <w:spacing w:line="300" w:lineRule="exact"/>
        <w:ind w:left="221" w:hangingChars="100" w:hanging="221"/>
        <w:rPr>
          <w:rFonts w:ascii="ＭＳ 明朝" w:hAnsi="ＭＳ 明朝"/>
          <w:sz w:val="22"/>
          <w:szCs w:val="22"/>
        </w:rPr>
      </w:pPr>
      <w:r w:rsidRPr="001D6D10">
        <w:rPr>
          <w:rFonts w:ascii="ＭＳ 明朝" w:hAnsi="ＭＳ 明朝" w:hint="eastAsia"/>
          <w:sz w:val="22"/>
          <w:szCs w:val="22"/>
        </w:rPr>
        <w:t xml:space="preserve">　　　</w:t>
      </w:r>
      <w:r w:rsidR="00FB1C34" w:rsidRPr="001D6D10">
        <w:rPr>
          <w:rFonts w:ascii="ＭＳ 明朝" w:hAnsi="ＭＳ 明朝" w:hint="eastAsia"/>
          <w:sz w:val="22"/>
          <w:szCs w:val="22"/>
        </w:rPr>
        <w:t>(5</w:t>
      </w:r>
      <w:r w:rsidRPr="001D6D10">
        <w:rPr>
          <w:rFonts w:ascii="ＭＳ 明朝" w:hAnsi="ＭＳ 明朝" w:hint="eastAsia"/>
          <w:sz w:val="22"/>
          <w:szCs w:val="22"/>
        </w:rPr>
        <w:t xml:space="preserve">)　</w:t>
      </w:r>
      <w:r w:rsidR="00DA7EB3" w:rsidRPr="001D6D10">
        <w:rPr>
          <w:rFonts w:ascii="ＭＳ 明朝" w:hAnsi="ＭＳ 明朝" w:hint="eastAsia"/>
          <w:sz w:val="22"/>
          <w:szCs w:val="22"/>
        </w:rPr>
        <w:t>海上</w:t>
      </w:r>
      <w:r w:rsidRPr="001D6D10">
        <w:rPr>
          <w:rFonts w:ascii="ＭＳ 明朝" w:hAnsi="ＭＳ 明朝" w:hint="eastAsia"/>
          <w:sz w:val="22"/>
          <w:szCs w:val="22"/>
        </w:rPr>
        <w:t>災害</w:t>
      </w:r>
    </w:p>
    <w:p w14:paraId="7F46E8DF" w14:textId="77777777" w:rsidR="00315575" w:rsidRPr="001D6D10" w:rsidRDefault="00315575" w:rsidP="009F16A0">
      <w:pPr>
        <w:spacing w:line="300" w:lineRule="exact"/>
        <w:ind w:left="221" w:hangingChars="100" w:hanging="221"/>
        <w:rPr>
          <w:rFonts w:ascii="ＭＳ 明朝" w:hAnsi="ＭＳ 明朝"/>
          <w:sz w:val="22"/>
          <w:szCs w:val="22"/>
        </w:rPr>
      </w:pPr>
      <w:r w:rsidRPr="001D6D10">
        <w:rPr>
          <w:rFonts w:ascii="ＭＳ 明朝" w:hAnsi="ＭＳ 明朝" w:hint="eastAsia"/>
          <w:sz w:val="22"/>
          <w:szCs w:val="22"/>
        </w:rPr>
        <w:t xml:space="preserve">　　　</w:t>
      </w:r>
      <w:r w:rsidR="00FB1C34" w:rsidRPr="001D6D10">
        <w:rPr>
          <w:rFonts w:ascii="ＭＳ 明朝" w:hAnsi="ＭＳ 明朝" w:hint="eastAsia"/>
          <w:sz w:val="22"/>
          <w:szCs w:val="22"/>
        </w:rPr>
        <w:t>(6</w:t>
      </w:r>
      <w:r w:rsidRPr="001D6D10">
        <w:rPr>
          <w:rFonts w:ascii="ＭＳ 明朝" w:hAnsi="ＭＳ 明朝" w:hint="eastAsia"/>
          <w:sz w:val="22"/>
          <w:szCs w:val="22"/>
        </w:rPr>
        <w:t xml:space="preserve">)　</w:t>
      </w:r>
      <w:r w:rsidR="00DA7EB3" w:rsidRPr="001D6D10">
        <w:rPr>
          <w:rFonts w:ascii="ＭＳ 明朝" w:hAnsi="ＭＳ 明朝" w:hint="eastAsia"/>
          <w:sz w:val="22"/>
          <w:szCs w:val="22"/>
        </w:rPr>
        <w:t>航空</w:t>
      </w:r>
      <w:r w:rsidRPr="001D6D10">
        <w:rPr>
          <w:rFonts w:ascii="ＭＳ 明朝" w:hAnsi="ＭＳ 明朝" w:hint="eastAsia"/>
          <w:sz w:val="22"/>
          <w:szCs w:val="22"/>
        </w:rPr>
        <w:t>災害</w:t>
      </w:r>
    </w:p>
    <w:p w14:paraId="5E60B90F" w14:textId="77777777" w:rsidR="00315575" w:rsidRPr="001D6D10" w:rsidRDefault="00315575" w:rsidP="009F16A0">
      <w:pPr>
        <w:spacing w:line="300" w:lineRule="exact"/>
        <w:ind w:left="221" w:hangingChars="100" w:hanging="221"/>
        <w:rPr>
          <w:rFonts w:ascii="ＭＳ 明朝" w:hAnsi="ＭＳ 明朝"/>
          <w:sz w:val="22"/>
          <w:szCs w:val="22"/>
        </w:rPr>
      </w:pPr>
      <w:r w:rsidRPr="001D6D10">
        <w:rPr>
          <w:rFonts w:ascii="ＭＳ 明朝" w:hAnsi="ＭＳ 明朝" w:hint="eastAsia"/>
          <w:sz w:val="22"/>
          <w:szCs w:val="22"/>
        </w:rPr>
        <w:t xml:space="preserve">　　　</w:t>
      </w:r>
      <w:r w:rsidR="00FB1C34" w:rsidRPr="001D6D10">
        <w:rPr>
          <w:rFonts w:ascii="ＭＳ 明朝" w:hAnsi="ＭＳ 明朝" w:hint="eastAsia"/>
          <w:sz w:val="22"/>
          <w:szCs w:val="22"/>
        </w:rPr>
        <w:t>(7</w:t>
      </w:r>
      <w:r w:rsidRPr="001D6D10">
        <w:rPr>
          <w:rFonts w:ascii="ＭＳ 明朝" w:hAnsi="ＭＳ 明朝" w:hint="eastAsia"/>
          <w:sz w:val="22"/>
          <w:szCs w:val="22"/>
        </w:rPr>
        <w:t xml:space="preserve">)  </w:t>
      </w:r>
      <w:r w:rsidR="00DA7EB3" w:rsidRPr="001D6D10">
        <w:rPr>
          <w:rFonts w:ascii="ＭＳ 明朝" w:hAnsi="ＭＳ 明朝" w:hint="eastAsia"/>
          <w:sz w:val="22"/>
          <w:szCs w:val="22"/>
        </w:rPr>
        <w:t>鉄道災害</w:t>
      </w:r>
    </w:p>
    <w:p w14:paraId="3FA84CA4" w14:textId="77777777" w:rsidR="00315575" w:rsidRPr="001D6D10" w:rsidRDefault="00FB1C34" w:rsidP="009F16A0">
      <w:pPr>
        <w:spacing w:line="300" w:lineRule="exact"/>
        <w:ind w:leftChars="105" w:left="222" w:firstLineChars="200" w:firstLine="442"/>
        <w:rPr>
          <w:rFonts w:ascii="ＭＳ 明朝" w:hAnsi="ＭＳ 明朝"/>
          <w:sz w:val="22"/>
          <w:szCs w:val="22"/>
        </w:rPr>
      </w:pPr>
      <w:r w:rsidRPr="001D6D10">
        <w:rPr>
          <w:rFonts w:ascii="ＭＳ 明朝" w:hAnsi="ＭＳ 明朝" w:hint="eastAsia"/>
          <w:sz w:val="22"/>
          <w:szCs w:val="22"/>
        </w:rPr>
        <w:t>(8</w:t>
      </w:r>
      <w:r w:rsidR="00315575" w:rsidRPr="001D6D10">
        <w:rPr>
          <w:rFonts w:ascii="ＭＳ 明朝" w:hAnsi="ＭＳ 明朝" w:hint="eastAsia"/>
          <w:sz w:val="22"/>
          <w:szCs w:val="22"/>
        </w:rPr>
        <w:t xml:space="preserve">)　</w:t>
      </w:r>
      <w:r w:rsidR="00DA7EB3" w:rsidRPr="001D6D10">
        <w:rPr>
          <w:rFonts w:ascii="ＭＳ 明朝" w:hAnsi="ＭＳ 明朝" w:hint="eastAsia"/>
          <w:sz w:val="22"/>
          <w:szCs w:val="22"/>
        </w:rPr>
        <w:t>道路災害</w:t>
      </w:r>
    </w:p>
    <w:p w14:paraId="36910167" w14:textId="77777777" w:rsidR="00315575" w:rsidRPr="001D6D10" w:rsidRDefault="00315575" w:rsidP="009F16A0">
      <w:pPr>
        <w:spacing w:line="300" w:lineRule="exact"/>
        <w:ind w:left="221" w:hangingChars="100" w:hanging="221"/>
        <w:rPr>
          <w:rFonts w:ascii="ＭＳ 明朝" w:hAnsi="ＭＳ 明朝"/>
          <w:sz w:val="22"/>
          <w:szCs w:val="22"/>
        </w:rPr>
      </w:pPr>
      <w:r w:rsidRPr="001D6D10">
        <w:rPr>
          <w:rFonts w:ascii="ＭＳ 明朝" w:hAnsi="ＭＳ 明朝" w:hint="eastAsia"/>
          <w:sz w:val="22"/>
          <w:szCs w:val="22"/>
        </w:rPr>
        <w:t xml:space="preserve">　　　</w:t>
      </w:r>
      <w:r w:rsidR="00FB1C34" w:rsidRPr="001D6D10">
        <w:rPr>
          <w:rFonts w:ascii="ＭＳ 明朝" w:hAnsi="ＭＳ 明朝" w:hint="eastAsia"/>
          <w:sz w:val="22"/>
          <w:szCs w:val="22"/>
        </w:rPr>
        <w:t>(9</w:t>
      </w:r>
      <w:r w:rsidRPr="001D6D10">
        <w:rPr>
          <w:rFonts w:ascii="ＭＳ 明朝" w:hAnsi="ＭＳ 明朝" w:hint="eastAsia"/>
          <w:sz w:val="22"/>
          <w:szCs w:val="22"/>
        </w:rPr>
        <w:t xml:space="preserve">)　</w:t>
      </w:r>
      <w:r w:rsidR="00DA7EB3" w:rsidRPr="001D6D10">
        <w:rPr>
          <w:rFonts w:ascii="ＭＳ 明朝" w:hAnsi="ＭＳ 明朝" w:hint="eastAsia"/>
          <w:sz w:val="22"/>
          <w:szCs w:val="22"/>
        </w:rPr>
        <w:t>危険物等災害</w:t>
      </w:r>
    </w:p>
    <w:p w14:paraId="73EF8D61" w14:textId="77777777" w:rsidR="00315575" w:rsidRPr="001D6D10" w:rsidRDefault="00315575" w:rsidP="009F16A0">
      <w:pPr>
        <w:spacing w:line="300" w:lineRule="exact"/>
        <w:ind w:left="221" w:hangingChars="100" w:hanging="221"/>
        <w:rPr>
          <w:rFonts w:ascii="ＭＳ 明朝" w:hAnsi="ＭＳ 明朝"/>
          <w:sz w:val="22"/>
          <w:szCs w:val="22"/>
        </w:rPr>
      </w:pPr>
      <w:r w:rsidRPr="001D6D10">
        <w:rPr>
          <w:rFonts w:ascii="ＭＳ 明朝" w:hAnsi="ＭＳ 明朝" w:hint="eastAsia"/>
          <w:sz w:val="22"/>
          <w:szCs w:val="22"/>
        </w:rPr>
        <w:t xml:space="preserve">　　　</w:t>
      </w:r>
      <w:r w:rsidR="00FB1C34" w:rsidRPr="001D6D10">
        <w:rPr>
          <w:rFonts w:ascii="ＭＳ 明朝" w:hAnsi="ＭＳ 明朝" w:hint="eastAsia"/>
          <w:sz w:val="22"/>
          <w:szCs w:val="22"/>
        </w:rPr>
        <w:t>(10</w:t>
      </w:r>
      <w:r w:rsidRPr="001D6D10">
        <w:rPr>
          <w:rFonts w:ascii="ＭＳ 明朝" w:hAnsi="ＭＳ 明朝" w:hint="eastAsia"/>
          <w:sz w:val="22"/>
          <w:szCs w:val="22"/>
        </w:rPr>
        <w:t>)</w:t>
      </w:r>
      <w:r w:rsidR="00015F32" w:rsidRPr="001D6D10">
        <w:rPr>
          <w:rFonts w:ascii="ＭＳ 明朝" w:hAnsi="ＭＳ 明朝" w:hint="eastAsia"/>
          <w:sz w:val="22"/>
          <w:szCs w:val="22"/>
        </w:rPr>
        <w:t xml:space="preserve"> </w:t>
      </w:r>
      <w:r w:rsidR="00DA7EB3" w:rsidRPr="001D6D10">
        <w:rPr>
          <w:rFonts w:ascii="ＭＳ 明朝" w:hAnsi="ＭＳ 明朝" w:hint="eastAsia"/>
          <w:sz w:val="22"/>
          <w:szCs w:val="22"/>
        </w:rPr>
        <w:t>高層建築物、地下街及び市街地災害</w:t>
      </w:r>
    </w:p>
    <w:p w14:paraId="480FAE96" w14:textId="77777777" w:rsidR="00315575" w:rsidRPr="001D6D10" w:rsidRDefault="00315575" w:rsidP="009F16A0">
      <w:pPr>
        <w:spacing w:line="300" w:lineRule="exact"/>
        <w:ind w:left="221" w:hangingChars="100" w:hanging="221"/>
        <w:rPr>
          <w:rFonts w:ascii="ＭＳ 明朝" w:hAnsi="ＭＳ 明朝"/>
          <w:sz w:val="22"/>
          <w:szCs w:val="22"/>
        </w:rPr>
      </w:pPr>
      <w:r w:rsidRPr="001D6D10">
        <w:rPr>
          <w:rFonts w:ascii="ＭＳ 明朝" w:hAnsi="ＭＳ 明朝" w:hint="eastAsia"/>
          <w:sz w:val="22"/>
          <w:szCs w:val="22"/>
        </w:rPr>
        <w:t xml:space="preserve">　　　</w:t>
      </w:r>
      <w:r w:rsidR="00FB1C34" w:rsidRPr="001D6D10">
        <w:rPr>
          <w:rFonts w:ascii="ＭＳ 明朝" w:hAnsi="ＭＳ 明朝" w:hint="eastAsia"/>
          <w:sz w:val="22"/>
          <w:szCs w:val="22"/>
        </w:rPr>
        <w:t>(11</w:t>
      </w:r>
      <w:r w:rsidRPr="001D6D10">
        <w:rPr>
          <w:rFonts w:ascii="ＭＳ 明朝" w:hAnsi="ＭＳ 明朝" w:hint="eastAsia"/>
          <w:sz w:val="22"/>
          <w:szCs w:val="22"/>
        </w:rPr>
        <w:t xml:space="preserve">) </w:t>
      </w:r>
      <w:r w:rsidR="00DA7EB3" w:rsidRPr="001D6D10">
        <w:rPr>
          <w:rFonts w:ascii="ＭＳ 明朝" w:hAnsi="ＭＳ 明朝" w:hint="eastAsia"/>
          <w:sz w:val="22"/>
          <w:szCs w:val="22"/>
        </w:rPr>
        <w:t>林野火災</w:t>
      </w:r>
    </w:p>
    <w:p w14:paraId="1CA97D25" w14:textId="77777777" w:rsidR="0059583E" w:rsidRPr="001D6D10" w:rsidRDefault="0059583E" w:rsidP="009F16A0">
      <w:pPr>
        <w:spacing w:line="300" w:lineRule="exact"/>
        <w:ind w:left="221" w:hangingChars="100" w:hanging="221"/>
        <w:rPr>
          <w:rFonts w:ascii="ＭＳ 明朝" w:hAnsi="ＭＳ 明朝"/>
          <w:sz w:val="22"/>
          <w:szCs w:val="22"/>
        </w:rPr>
      </w:pPr>
      <w:r w:rsidRPr="001D6D10">
        <w:rPr>
          <w:rFonts w:ascii="ＭＳ 明朝" w:hAnsi="ＭＳ 明朝" w:hint="eastAsia"/>
          <w:sz w:val="22"/>
          <w:szCs w:val="22"/>
        </w:rPr>
        <w:t xml:space="preserve">　　 </w:t>
      </w:r>
      <w:r w:rsidR="006515D6" w:rsidRPr="001D6D10">
        <w:rPr>
          <w:rFonts w:ascii="ＭＳ 明朝" w:hAnsi="ＭＳ 明朝"/>
          <w:sz w:val="22"/>
          <w:szCs w:val="22"/>
        </w:rPr>
        <w:t xml:space="preserve"> </w:t>
      </w:r>
      <w:r w:rsidR="006515D6" w:rsidRPr="001D6D10">
        <w:rPr>
          <w:rFonts w:ascii="ＭＳ 明朝" w:hAnsi="ＭＳ 明朝" w:hint="eastAsia"/>
          <w:sz w:val="22"/>
          <w:szCs w:val="22"/>
        </w:rPr>
        <w:t>(</w:t>
      </w:r>
      <w:r w:rsidRPr="001D6D10">
        <w:rPr>
          <w:rFonts w:ascii="ＭＳ 明朝" w:hAnsi="ＭＳ 明朝" w:hint="eastAsia"/>
          <w:sz w:val="22"/>
          <w:szCs w:val="22"/>
        </w:rPr>
        <w:t>12）</w:t>
      </w:r>
      <w:r w:rsidR="00DA7EB3" w:rsidRPr="001D6D10">
        <w:rPr>
          <w:rFonts w:ascii="ＭＳ 明朝" w:hAnsi="ＭＳ 明朝" w:hint="eastAsia"/>
          <w:sz w:val="22"/>
          <w:szCs w:val="22"/>
        </w:rPr>
        <w:t>竜巻災害</w:t>
      </w:r>
    </w:p>
    <w:p w14:paraId="2D32C750" w14:textId="77777777" w:rsidR="006515D6" w:rsidRPr="001D6D10" w:rsidRDefault="00DA7EB3" w:rsidP="009F16A0">
      <w:pPr>
        <w:spacing w:line="300" w:lineRule="exact"/>
        <w:ind w:left="221" w:hangingChars="100" w:hanging="221"/>
        <w:rPr>
          <w:rFonts w:ascii="ＭＳ 明朝" w:hAnsi="ＭＳ 明朝"/>
          <w:sz w:val="22"/>
          <w:szCs w:val="22"/>
        </w:rPr>
      </w:pPr>
      <w:r w:rsidRPr="001D6D10">
        <w:rPr>
          <w:rFonts w:ascii="ＭＳ 明朝" w:hAnsi="ＭＳ 明朝" w:hint="eastAsia"/>
          <w:sz w:val="22"/>
          <w:szCs w:val="22"/>
        </w:rPr>
        <w:t xml:space="preserve">　　 （13）</w:t>
      </w:r>
      <w:r w:rsidR="006515D6" w:rsidRPr="001D6D10">
        <w:rPr>
          <w:rFonts w:ascii="ＭＳ 明朝" w:hAnsi="ＭＳ 明朝" w:hint="eastAsia"/>
          <w:sz w:val="22"/>
          <w:szCs w:val="22"/>
        </w:rPr>
        <w:t>原子力災害</w:t>
      </w:r>
    </w:p>
    <w:p w14:paraId="10151DDC" w14:textId="77777777" w:rsidR="00DA7EB3" w:rsidRPr="001D6D10" w:rsidRDefault="006515D6" w:rsidP="009F16A0">
      <w:pPr>
        <w:spacing w:line="300" w:lineRule="exact"/>
        <w:ind w:leftChars="100" w:left="211" w:firstLineChars="200" w:firstLine="442"/>
        <w:rPr>
          <w:rFonts w:ascii="ＭＳ 明朝" w:hAnsi="ＭＳ 明朝"/>
          <w:sz w:val="22"/>
          <w:szCs w:val="22"/>
        </w:rPr>
      </w:pPr>
      <w:r w:rsidRPr="001D6D10">
        <w:rPr>
          <w:rFonts w:ascii="ＭＳ 明朝" w:hAnsi="ＭＳ 明朝" w:hint="eastAsia"/>
          <w:sz w:val="22"/>
          <w:szCs w:val="22"/>
        </w:rPr>
        <w:t>(14)</w:t>
      </w:r>
      <w:r w:rsidRPr="001D6D10">
        <w:rPr>
          <w:rFonts w:ascii="ＭＳ 明朝" w:hAnsi="ＭＳ 明朝"/>
          <w:sz w:val="22"/>
          <w:szCs w:val="22"/>
        </w:rPr>
        <w:t xml:space="preserve"> </w:t>
      </w:r>
      <w:r w:rsidR="00DA7EB3" w:rsidRPr="001D6D10">
        <w:rPr>
          <w:rFonts w:ascii="ＭＳ 明朝" w:hAnsi="ＭＳ 明朝" w:hint="eastAsia"/>
          <w:sz w:val="22"/>
          <w:szCs w:val="22"/>
        </w:rPr>
        <w:t>危機事象</w:t>
      </w:r>
    </w:p>
    <w:p w14:paraId="15273394" w14:textId="77777777" w:rsidR="00C73A39" w:rsidRPr="001D6D10" w:rsidRDefault="00315575" w:rsidP="00315575">
      <w:pPr>
        <w:ind w:left="663" w:hangingChars="300" w:hanging="663"/>
        <w:rPr>
          <w:rFonts w:ascii="ＭＳ 明朝" w:hAnsi="ＭＳ 明朝"/>
          <w:sz w:val="22"/>
          <w:szCs w:val="22"/>
        </w:rPr>
      </w:pPr>
      <w:r w:rsidRPr="001D6D10">
        <w:rPr>
          <w:rFonts w:ascii="ＭＳ 明朝" w:hAnsi="ＭＳ 明朝" w:hint="eastAsia"/>
          <w:sz w:val="22"/>
          <w:szCs w:val="22"/>
        </w:rPr>
        <w:t xml:space="preserve">　　</w:t>
      </w:r>
    </w:p>
    <w:p w14:paraId="1BF26027" w14:textId="77777777" w:rsidR="00315575" w:rsidRPr="001D6D10" w:rsidRDefault="00315575" w:rsidP="00C73A39">
      <w:pPr>
        <w:ind w:leftChars="200" w:left="643" w:hangingChars="100" w:hanging="221"/>
        <w:rPr>
          <w:rFonts w:ascii="ＭＳ ゴシック" w:eastAsia="ＭＳ ゴシック" w:hAnsi="ＭＳ ゴシック"/>
          <w:sz w:val="22"/>
          <w:szCs w:val="22"/>
          <w:u w:val="single"/>
        </w:rPr>
      </w:pPr>
      <w:r w:rsidRPr="001D6D10">
        <w:rPr>
          <w:rFonts w:ascii="ＭＳ ゴシック" w:eastAsia="ＭＳ ゴシック" w:hAnsi="ＭＳ ゴシック" w:hint="eastAsia"/>
          <w:sz w:val="22"/>
          <w:szCs w:val="22"/>
          <w:u w:val="single"/>
        </w:rPr>
        <w:t>２　災害等応急対策実施組織</w:t>
      </w:r>
    </w:p>
    <w:p w14:paraId="3C5F722A" w14:textId="77777777" w:rsidR="00315575" w:rsidRPr="001D6D10" w:rsidRDefault="00315575" w:rsidP="00315575">
      <w:pPr>
        <w:ind w:left="663" w:hangingChars="300" w:hanging="663"/>
        <w:rPr>
          <w:rFonts w:ascii="ＭＳ 明朝" w:hAnsi="ＭＳ 明朝"/>
          <w:sz w:val="22"/>
          <w:szCs w:val="22"/>
        </w:rPr>
      </w:pPr>
      <w:r w:rsidRPr="001D6D10">
        <w:rPr>
          <w:rFonts w:ascii="ＭＳ 明朝" w:hAnsi="ＭＳ 明朝" w:hint="eastAsia"/>
          <w:sz w:val="22"/>
          <w:szCs w:val="22"/>
        </w:rPr>
        <w:t xml:space="preserve">　　　　府域において、災害等が発生し、又は発生するおそれがある場合に、府が設置し</w:t>
      </w:r>
      <w:r w:rsidR="00C73A39" w:rsidRPr="001D6D10">
        <w:rPr>
          <w:rFonts w:ascii="ＭＳ 明朝" w:hAnsi="ＭＳ 明朝" w:hint="eastAsia"/>
          <w:sz w:val="22"/>
          <w:szCs w:val="22"/>
        </w:rPr>
        <w:t>、</w:t>
      </w:r>
      <w:r w:rsidRPr="001D6D10">
        <w:rPr>
          <w:rFonts w:ascii="ＭＳ 明朝" w:hAnsi="ＭＳ 明朝" w:hint="eastAsia"/>
          <w:sz w:val="22"/>
          <w:szCs w:val="22"/>
        </w:rPr>
        <w:t>応急対策活動を実施する組織で、この要領が対象とするものは、次に掲げるものとする。</w:t>
      </w:r>
    </w:p>
    <w:p w14:paraId="34AB7F5D" w14:textId="77777777" w:rsidR="005E5E3B" w:rsidRPr="001D6D10" w:rsidRDefault="00315575" w:rsidP="00315575">
      <w:pPr>
        <w:ind w:left="661"/>
        <w:rPr>
          <w:rFonts w:ascii="ＭＳ 明朝" w:hAnsi="ＭＳ 明朝"/>
          <w:sz w:val="22"/>
          <w:szCs w:val="22"/>
        </w:rPr>
      </w:pPr>
      <w:r w:rsidRPr="001D6D10">
        <w:rPr>
          <w:rFonts w:ascii="ＭＳ 明朝" w:hAnsi="ＭＳ 明朝" w:hint="eastAsia"/>
          <w:sz w:val="22"/>
          <w:szCs w:val="22"/>
        </w:rPr>
        <w:t>(1)　防災・危機管理警戒班（「警戒班」）</w:t>
      </w:r>
    </w:p>
    <w:p w14:paraId="3241DEEA" w14:textId="77777777" w:rsidR="00315575" w:rsidRPr="001D6D10" w:rsidRDefault="00A7004D" w:rsidP="00315575">
      <w:pPr>
        <w:ind w:firstLineChars="300" w:firstLine="663"/>
        <w:rPr>
          <w:rFonts w:ascii="ＭＳ 明朝" w:hAnsi="ＭＳ 明朝"/>
          <w:sz w:val="22"/>
          <w:szCs w:val="22"/>
        </w:rPr>
      </w:pPr>
      <w:r w:rsidRPr="001D6D10">
        <w:rPr>
          <w:rFonts w:ascii="ＭＳ 明朝" w:hAnsi="ＭＳ 明朝" w:hint="eastAsia"/>
          <w:sz w:val="22"/>
          <w:szCs w:val="22"/>
        </w:rPr>
        <w:t>(2</w:t>
      </w:r>
      <w:r w:rsidR="00315575" w:rsidRPr="001D6D10">
        <w:rPr>
          <w:rFonts w:ascii="ＭＳ 明朝" w:hAnsi="ＭＳ 明朝" w:hint="eastAsia"/>
          <w:sz w:val="22"/>
          <w:szCs w:val="22"/>
        </w:rPr>
        <w:t>)　防災・危機管理指令部（「指令部」）</w:t>
      </w:r>
    </w:p>
    <w:p w14:paraId="24117F77" w14:textId="77777777" w:rsidR="00315575" w:rsidRPr="001D6D10" w:rsidRDefault="00A7004D" w:rsidP="00315575">
      <w:pPr>
        <w:ind w:firstLineChars="300" w:firstLine="663"/>
        <w:rPr>
          <w:rFonts w:ascii="ＭＳ 明朝" w:hAnsi="ＭＳ 明朝"/>
          <w:sz w:val="22"/>
          <w:szCs w:val="22"/>
        </w:rPr>
      </w:pPr>
      <w:r w:rsidRPr="001D6D10">
        <w:rPr>
          <w:rFonts w:ascii="ＭＳ 明朝" w:hAnsi="ＭＳ 明朝" w:hint="eastAsia"/>
          <w:sz w:val="22"/>
          <w:szCs w:val="22"/>
        </w:rPr>
        <w:t>(3</w:t>
      </w:r>
      <w:r w:rsidR="00315575" w:rsidRPr="001D6D10">
        <w:rPr>
          <w:rFonts w:ascii="ＭＳ 明朝" w:hAnsi="ＭＳ 明朝" w:hint="eastAsia"/>
          <w:sz w:val="22"/>
          <w:szCs w:val="22"/>
        </w:rPr>
        <w:t xml:space="preserve">)　</w:t>
      </w:r>
      <w:r w:rsidR="005E2279" w:rsidRPr="001D6D10">
        <w:rPr>
          <w:rFonts w:ascii="ＭＳ 明朝" w:hAnsi="ＭＳ 明朝" w:hint="eastAsia"/>
          <w:sz w:val="22"/>
          <w:szCs w:val="22"/>
        </w:rPr>
        <w:t>災害</w:t>
      </w:r>
      <w:r w:rsidR="00315575" w:rsidRPr="001D6D10">
        <w:rPr>
          <w:rFonts w:ascii="ＭＳ 明朝" w:hAnsi="ＭＳ 明朝" w:hint="eastAsia"/>
          <w:sz w:val="22"/>
          <w:szCs w:val="22"/>
        </w:rPr>
        <w:t>警戒本部（「警戒本部」）</w:t>
      </w:r>
    </w:p>
    <w:p w14:paraId="4E53C482" w14:textId="77777777" w:rsidR="00315575" w:rsidRPr="001D6D10" w:rsidRDefault="00A7004D" w:rsidP="00315575">
      <w:pPr>
        <w:ind w:firstLineChars="300" w:firstLine="663"/>
        <w:rPr>
          <w:rFonts w:ascii="ＭＳ 明朝" w:hAnsi="ＭＳ 明朝"/>
          <w:sz w:val="22"/>
          <w:szCs w:val="22"/>
        </w:rPr>
      </w:pPr>
      <w:r w:rsidRPr="001D6D10">
        <w:rPr>
          <w:rFonts w:ascii="ＭＳ 明朝" w:hAnsi="ＭＳ 明朝" w:hint="eastAsia"/>
          <w:sz w:val="22"/>
          <w:szCs w:val="22"/>
        </w:rPr>
        <w:t>(4</w:t>
      </w:r>
      <w:r w:rsidR="00315575" w:rsidRPr="001D6D10">
        <w:rPr>
          <w:rFonts w:ascii="ＭＳ 明朝" w:hAnsi="ＭＳ 明朝" w:hint="eastAsia"/>
          <w:sz w:val="22"/>
          <w:szCs w:val="22"/>
        </w:rPr>
        <w:t>)　災害対策本部（「災対本部」）</w:t>
      </w:r>
    </w:p>
    <w:p w14:paraId="7EA6859E" w14:textId="0C4BEAA0" w:rsidR="00315575" w:rsidRDefault="00A7004D" w:rsidP="00315575">
      <w:pPr>
        <w:ind w:firstLineChars="300" w:firstLine="663"/>
        <w:rPr>
          <w:rFonts w:ascii="ＭＳ 明朝" w:hAnsi="ＭＳ 明朝"/>
          <w:sz w:val="22"/>
          <w:szCs w:val="22"/>
        </w:rPr>
      </w:pPr>
      <w:r w:rsidRPr="001D6D10">
        <w:rPr>
          <w:rFonts w:ascii="ＭＳ 明朝" w:hAnsi="ＭＳ 明朝" w:hint="eastAsia"/>
          <w:sz w:val="22"/>
          <w:szCs w:val="22"/>
        </w:rPr>
        <w:t>(5</w:t>
      </w:r>
      <w:r w:rsidR="00315575" w:rsidRPr="001D6D10">
        <w:rPr>
          <w:rFonts w:ascii="ＭＳ 明朝" w:hAnsi="ＭＳ 明朝" w:hint="eastAsia"/>
          <w:sz w:val="22"/>
          <w:szCs w:val="22"/>
        </w:rPr>
        <w:t>)　現地災害対策本部（「現対本部」）</w:t>
      </w:r>
    </w:p>
    <w:p w14:paraId="5774A4A9" w14:textId="77777777" w:rsidR="00223F3D" w:rsidRPr="001D6D10" w:rsidRDefault="00223F3D" w:rsidP="00315575">
      <w:pPr>
        <w:ind w:firstLineChars="300" w:firstLine="663"/>
        <w:rPr>
          <w:rFonts w:ascii="ＭＳ 明朝" w:hAnsi="ＭＳ 明朝"/>
          <w:sz w:val="22"/>
          <w:szCs w:val="22"/>
        </w:rPr>
      </w:pPr>
    </w:p>
    <w:p w14:paraId="5560E8CC" w14:textId="77777777" w:rsidR="00315575" w:rsidRPr="001D6D10" w:rsidRDefault="00315575">
      <w:pPr>
        <w:pStyle w:val="2"/>
      </w:pPr>
      <w:bookmarkStart w:id="9" w:name="_Toc122436867"/>
      <w:bookmarkStart w:id="10" w:name="_Toc222486557"/>
      <w:bookmarkStart w:id="11" w:name="_Toc242870226"/>
      <w:r w:rsidRPr="001D6D10">
        <w:rPr>
          <w:rFonts w:hint="eastAsia"/>
        </w:rPr>
        <w:t>第３節　災害対策本部等の各部各班</w:t>
      </w:r>
      <w:bookmarkEnd w:id="9"/>
      <w:bookmarkEnd w:id="10"/>
      <w:bookmarkEnd w:id="11"/>
    </w:p>
    <w:p w14:paraId="01CFB141" w14:textId="77777777" w:rsidR="00315575" w:rsidRPr="001D6D10" w:rsidRDefault="00315575" w:rsidP="006F56C6">
      <w:pPr>
        <w:ind w:left="221" w:hangingChars="100" w:hanging="221"/>
        <w:rPr>
          <w:rFonts w:ascii="ＭＳ 明朝" w:hAnsi="ＭＳ 明朝"/>
          <w:sz w:val="22"/>
          <w:szCs w:val="22"/>
        </w:rPr>
      </w:pPr>
      <w:r w:rsidRPr="001D6D10">
        <w:rPr>
          <w:rFonts w:ascii="ＭＳ 明朝" w:hAnsi="ＭＳ 明朝" w:hint="eastAsia"/>
          <w:sz w:val="22"/>
          <w:szCs w:val="22"/>
        </w:rPr>
        <w:t xml:space="preserve">　　府は、災害対策本部等に部及び班を設置し、この要領に定めるところにより</w:t>
      </w:r>
      <w:r w:rsidR="00C73A39" w:rsidRPr="001D6D10">
        <w:rPr>
          <w:rFonts w:ascii="ＭＳ 明朝" w:hAnsi="ＭＳ 明朝" w:hint="eastAsia"/>
          <w:sz w:val="22"/>
          <w:szCs w:val="22"/>
        </w:rPr>
        <w:t>、</w:t>
      </w:r>
      <w:r w:rsidRPr="001D6D10">
        <w:rPr>
          <w:rFonts w:ascii="ＭＳ 明朝" w:hAnsi="ＭＳ 明朝" w:hint="eastAsia"/>
          <w:sz w:val="22"/>
          <w:szCs w:val="22"/>
        </w:rPr>
        <w:t>災害等応急対策に係る具体的な事務を処理するものとする。</w:t>
      </w:r>
    </w:p>
    <w:p w14:paraId="1929599C" w14:textId="09EDE56F" w:rsidR="00315575" w:rsidRPr="001D6D10" w:rsidRDefault="00315575">
      <w:pPr>
        <w:pStyle w:val="2"/>
      </w:pPr>
      <w:bookmarkStart w:id="12" w:name="_Toc122436868"/>
      <w:bookmarkStart w:id="13" w:name="_Toc222486558"/>
      <w:bookmarkStart w:id="14" w:name="_Toc242870227"/>
      <w:r w:rsidRPr="001D6D10">
        <w:rPr>
          <w:rFonts w:hint="eastAsia"/>
        </w:rPr>
        <w:lastRenderedPageBreak/>
        <w:t>第４節　職員の配備体制</w:t>
      </w:r>
      <w:bookmarkEnd w:id="12"/>
      <w:bookmarkEnd w:id="13"/>
      <w:bookmarkEnd w:id="14"/>
    </w:p>
    <w:p w14:paraId="625F670C" w14:textId="77777777" w:rsidR="00873D7A" w:rsidRPr="001D6D10" w:rsidRDefault="00315575" w:rsidP="00873D7A">
      <w:pPr>
        <w:ind w:left="221" w:hangingChars="100" w:hanging="221"/>
        <w:rPr>
          <w:rFonts w:ascii="ＭＳ 明朝" w:hAnsi="ＭＳ 明朝"/>
          <w:sz w:val="22"/>
          <w:szCs w:val="22"/>
        </w:rPr>
      </w:pPr>
      <w:r w:rsidRPr="001D6D10">
        <w:rPr>
          <w:rFonts w:ascii="ＭＳ 明朝" w:hAnsi="ＭＳ 明朝" w:hint="eastAsia"/>
          <w:sz w:val="22"/>
          <w:szCs w:val="22"/>
        </w:rPr>
        <w:t xml:space="preserve">　　府域において、災害等が発生し、又は発生するおそれがある場合、この要領の定めるところにより、職員に対し、非常１号配備、非常２号配備、非常３号配備の配備指令を行うものとする。</w:t>
      </w:r>
    </w:p>
    <w:p w14:paraId="01012C1A" w14:textId="77777777" w:rsidR="00873D7A" w:rsidRPr="001D6D10" w:rsidRDefault="00873D7A" w:rsidP="00873D7A">
      <w:pPr>
        <w:ind w:left="221" w:hangingChars="100" w:hanging="221"/>
        <w:rPr>
          <w:rFonts w:ascii="ＭＳ 明朝" w:hAnsi="ＭＳ 明朝"/>
          <w:sz w:val="22"/>
          <w:szCs w:val="22"/>
        </w:rPr>
      </w:pPr>
      <w:r w:rsidRPr="001D6D10">
        <w:rPr>
          <w:rFonts w:ascii="ＭＳ 明朝" w:hAnsi="ＭＳ 明朝" w:hint="eastAsia"/>
          <w:sz w:val="22"/>
          <w:szCs w:val="22"/>
        </w:rPr>
        <w:t xml:space="preserve">　　配備に関する用語の定義は以下のとおりとする</w:t>
      </w:r>
    </w:p>
    <w:tbl>
      <w:tblPr>
        <w:tblStyle w:val="ab"/>
        <w:tblW w:w="0" w:type="auto"/>
        <w:tblInd w:w="392" w:type="dxa"/>
        <w:tblLook w:val="04A0" w:firstRow="1" w:lastRow="0" w:firstColumn="1" w:lastColumn="0" w:noHBand="0" w:noVBand="1"/>
      </w:tblPr>
      <w:tblGrid>
        <w:gridCol w:w="1529"/>
        <w:gridCol w:w="6913"/>
      </w:tblGrid>
      <w:tr w:rsidR="001D6D10" w:rsidRPr="001D6D10" w14:paraId="61AFEDE4" w14:textId="77777777" w:rsidTr="009F41E7">
        <w:tc>
          <w:tcPr>
            <w:tcW w:w="1559" w:type="dxa"/>
          </w:tcPr>
          <w:p w14:paraId="250594C6" w14:textId="77777777" w:rsidR="00873D7A" w:rsidRPr="001D6D10" w:rsidRDefault="00873D7A" w:rsidP="009F41E7">
            <w:pPr>
              <w:rPr>
                <w:sz w:val="22"/>
                <w:szCs w:val="18"/>
              </w:rPr>
            </w:pPr>
            <w:r w:rsidRPr="001D6D10">
              <w:rPr>
                <w:rFonts w:hint="eastAsia"/>
                <w:sz w:val="22"/>
                <w:szCs w:val="18"/>
              </w:rPr>
              <w:t>非常１号配備</w:t>
            </w:r>
          </w:p>
        </w:tc>
        <w:tc>
          <w:tcPr>
            <w:tcW w:w="7088" w:type="dxa"/>
          </w:tcPr>
          <w:p w14:paraId="622933AA" w14:textId="77777777" w:rsidR="00873D7A" w:rsidRPr="001D6D10" w:rsidRDefault="00873D7A" w:rsidP="009F41E7">
            <w:pPr>
              <w:rPr>
                <w:sz w:val="22"/>
                <w:szCs w:val="18"/>
              </w:rPr>
            </w:pPr>
            <w:r w:rsidRPr="001D6D10">
              <w:rPr>
                <w:rFonts w:hint="eastAsia"/>
                <w:sz w:val="22"/>
                <w:szCs w:val="18"/>
              </w:rPr>
              <w:t>災害対応（主に情報収集・連絡）を行うために必要な体制を確保すること</w:t>
            </w:r>
          </w:p>
        </w:tc>
      </w:tr>
      <w:tr w:rsidR="001D6D10" w:rsidRPr="001D6D10" w14:paraId="41E4E9BF" w14:textId="77777777" w:rsidTr="009F41E7">
        <w:tc>
          <w:tcPr>
            <w:tcW w:w="1559" w:type="dxa"/>
          </w:tcPr>
          <w:p w14:paraId="35461FFE" w14:textId="77777777" w:rsidR="00873D7A" w:rsidRPr="001D6D10" w:rsidRDefault="00873D7A" w:rsidP="009F41E7">
            <w:pPr>
              <w:rPr>
                <w:sz w:val="22"/>
                <w:szCs w:val="18"/>
              </w:rPr>
            </w:pPr>
            <w:r w:rsidRPr="001D6D10">
              <w:rPr>
                <w:rFonts w:hint="eastAsia"/>
                <w:sz w:val="22"/>
                <w:szCs w:val="18"/>
              </w:rPr>
              <w:t>非常２号配備</w:t>
            </w:r>
          </w:p>
        </w:tc>
        <w:tc>
          <w:tcPr>
            <w:tcW w:w="7088" w:type="dxa"/>
          </w:tcPr>
          <w:p w14:paraId="5E4616C8" w14:textId="77777777" w:rsidR="00873D7A" w:rsidRPr="001D6D10" w:rsidRDefault="00873D7A" w:rsidP="009F41E7">
            <w:pPr>
              <w:rPr>
                <w:sz w:val="22"/>
                <w:szCs w:val="18"/>
              </w:rPr>
            </w:pPr>
            <w:r w:rsidRPr="001D6D10">
              <w:rPr>
                <w:rFonts w:hint="eastAsia"/>
                <w:sz w:val="22"/>
                <w:szCs w:val="18"/>
              </w:rPr>
              <w:t>災害対応（災害応急対策）を行うために必要な体制を確保すること</w:t>
            </w:r>
          </w:p>
        </w:tc>
      </w:tr>
      <w:tr w:rsidR="001D6D10" w:rsidRPr="001D6D10" w14:paraId="06AB1A6B" w14:textId="77777777" w:rsidTr="009F41E7">
        <w:tc>
          <w:tcPr>
            <w:tcW w:w="1559" w:type="dxa"/>
          </w:tcPr>
          <w:p w14:paraId="05E81E3B" w14:textId="77777777" w:rsidR="00873D7A" w:rsidRPr="001D6D10" w:rsidRDefault="00873D7A" w:rsidP="009F41E7">
            <w:pPr>
              <w:rPr>
                <w:sz w:val="22"/>
                <w:szCs w:val="18"/>
              </w:rPr>
            </w:pPr>
            <w:r w:rsidRPr="001D6D10">
              <w:rPr>
                <w:rFonts w:hint="eastAsia"/>
                <w:sz w:val="22"/>
                <w:szCs w:val="18"/>
              </w:rPr>
              <w:t>非常３号配備</w:t>
            </w:r>
          </w:p>
        </w:tc>
        <w:tc>
          <w:tcPr>
            <w:tcW w:w="7088" w:type="dxa"/>
          </w:tcPr>
          <w:p w14:paraId="34DC68BE" w14:textId="77777777" w:rsidR="00873D7A" w:rsidRPr="001D6D10" w:rsidRDefault="00873D7A" w:rsidP="009F41E7">
            <w:pPr>
              <w:rPr>
                <w:sz w:val="22"/>
                <w:szCs w:val="18"/>
              </w:rPr>
            </w:pPr>
            <w:r w:rsidRPr="001D6D10">
              <w:rPr>
                <w:rFonts w:hint="eastAsia"/>
                <w:sz w:val="22"/>
                <w:szCs w:val="18"/>
              </w:rPr>
              <w:t>緊急的に災害対応を行う体制を確保すること（全員配備）</w:t>
            </w:r>
          </w:p>
        </w:tc>
      </w:tr>
      <w:tr w:rsidR="001D6D10" w:rsidRPr="001D6D10" w14:paraId="10DE88C7" w14:textId="77777777" w:rsidTr="009F41E7">
        <w:tc>
          <w:tcPr>
            <w:tcW w:w="1559" w:type="dxa"/>
          </w:tcPr>
          <w:p w14:paraId="6D2122BB" w14:textId="77777777" w:rsidR="00873D7A" w:rsidRPr="001D6D10" w:rsidRDefault="00873D7A" w:rsidP="009F41E7">
            <w:pPr>
              <w:rPr>
                <w:sz w:val="22"/>
                <w:szCs w:val="18"/>
              </w:rPr>
            </w:pPr>
            <w:r w:rsidRPr="001D6D10">
              <w:rPr>
                <w:rFonts w:hint="eastAsia"/>
                <w:sz w:val="22"/>
                <w:szCs w:val="18"/>
              </w:rPr>
              <w:t>配備職員</w:t>
            </w:r>
          </w:p>
        </w:tc>
        <w:tc>
          <w:tcPr>
            <w:tcW w:w="7088" w:type="dxa"/>
          </w:tcPr>
          <w:p w14:paraId="2B3E520D" w14:textId="77777777" w:rsidR="00873D7A" w:rsidRPr="001D6D10" w:rsidRDefault="00873D7A" w:rsidP="009F41E7">
            <w:pPr>
              <w:rPr>
                <w:sz w:val="22"/>
                <w:szCs w:val="18"/>
              </w:rPr>
            </w:pPr>
            <w:r w:rsidRPr="001D6D10">
              <w:rPr>
                <w:rFonts w:hint="eastAsia"/>
                <w:sz w:val="22"/>
                <w:szCs w:val="18"/>
              </w:rPr>
              <w:t>通常業務を止めて災害対応に従事する職員</w:t>
            </w:r>
          </w:p>
        </w:tc>
      </w:tr>
      <w:tr w:rsidR="001D6D10" w:rsidRPr="001D6D10" w14:paraId="09FD071B" w14:textId="77777777" w:rsidTr="009F41E7">
        <w:tc>
          <w:tcPr>
            <w:tcW w:w="1559" w:type="dxa"/>
          </w:tcPr>
          <w:p w14:paraId="4431FBC8" w14:textId="77777777" w:rsidR="00873D7A" w:rsidRPr="001D6D10" w:rsidRDefault="00873D7A" w:rsidP="009F41E7">
            <w:pPr>
              <w:rPr>
                <w:sz w:val="22"/>
                <w:szCs w:val="18"/>
              </w:rPr>
            </w:pPr>
            <w:r w:rsidRPr="001D6D10">
              <w:rPr>
                <w:rFonts w:hint="eastAsia"/>
                <w:sz w:val="22"/>
                <w:szCs w:val="18"/>
              </w:rPr>
              <w:t>一般職員</w:t>
            </w:r>
          </w:p>
        </w:tc>
        <w:tc>
          <w:tcPr>
            <w:tcW w:w="7088" w:type="dxa"/>
          </w:tcPr>
          <w:p w14:paraId="4C94F80E" w14:textId="77777777" w:rsidR="00873D7A" w:rsidRPr="001D6D10" w:rsidRDefault="00873D7A" w:rsidP="009F41E7">
            <w:pPr>
              <w:rPr>
                <w:sz w:val="22"/>
                <w:szCs w:val="18"/>
              </w:rPr>
            </w:pPr>
            <w:r w:rsidRPr="001D6D10">
              <w:rPr>
                <w:rFonts w:hint="eastAsia"/>
                <w:sz w:val="22"/>
                <w:szCs w:val="18"/>
              </w:rPr>
              <w:t>通常業務（災害時優先業務を含む）を行う職員</w:t>
            </w:r>
          </w:p>
        </w:tc>
      </w:tr>
    </w:tbl>
    <w:p w14:paraId="4B065E5D" w14:textId="77777777" w:rsidR="00286763" w:rsidRPr="001D6D10" w:rsidRDefault="00825AB5" w:rsidP="00286763">
      <w:pPr>
        <w:ind w:left="221" w:hangingChars="100" w:hanging="221"/>
        <w:jc w:val="right"/>
        <w:rPr>
          <w:rFonts w:ascii="ＭＳ 明朝" w:hAnsi="ＭＳ 明朝"/>
          <w:sz w:val="22"/>
          <w:szCs w:val="22"/>
        </w:rPr>
      </w:pPr>
      <w:r w:rsidRPr="001D6D10">
        <w:rPr>
          <w:rFonts w:ascii="ＭＳ 明朝" w:hAnsi="ＭＳ 明朝" w:hint="eastAsia"/>
          <w:sz w:val="22"/>
          <w:szCs w:val="22"/>
        </w:rPr>
        <w:t xml:space="preserve">　　※配備基準等は</w:t>
      </w:r>
      <w:r w:rsidR="0073421B" w:rsidRPr="001D6D10">
        <w:rPr>
          <w:rFonts w:ascii="ＭＳ 明朝" w:hAnsi="ＭＳ 明朝" w:hint="eastAsia"/>
          <w:sz w:val="22"/>
          <w:szCs w:val="22"/>
        </w:rPr>
        <w:t>本要領</w:t>
      </w:r>
      <w:r w:rsidR="00892402" w:rsidRPr="001D6D10">
        <w:rPr>
          <w:rFonts w:ascii="ＭＳ 明朝" w:hAnsi="ＭＳ 明朝" w:hint="eastAsia"/>
          <w:sz w:val="22"/>
          <w:szCs w:val="22"/>
        </w:rPr>
        <w:t xml:space="preserve">　</w:t>
      </w:r>
      <w:r w:rsidRPr="001D6D10">
        <w:rPr>
          <w:rFonts w:ascii="ＭＳ 明朝" w:hAnsi="ＭＳ 明朝" w:hint="eastAsia"/>
          <w:sz w:val="22"/>
          <w:szCs w:val="22"/>
        </w:rPr>
        <w:t>第２章 第１節 第２動員配備体制に記載</w:t>
      </w:r>
    </w:p>
    <w:p w14:paraId="4E5F0188" w14:textId="77777777" w:rsidR="00873D7A" w:rsidRPr="001D6D10" w:rsidRDefault="00873D7A" w:rsidP="00286763">
      <w:pPr>
        <w:ind w:leftChars="100" w:left="211" w:right="55" w:firstLineChars="100" w:firstLine="221"/>
        <w:rPr>
          <w:rFonts w:ascii="ＭＳ 明朝" w:hAnsi="ＭＳ 明朝"/>
          <w:sz w:val="22"/>
          <w:szCs w:val="22"/>
        </w:rPr>
      </w:pPr>
      <w:r w:rsidRPr="001D6D10">
        <w:rPr>
          <w:rFonts w:ascii="ＭＳ 明朝" w:hAnsi="ＭＳ 明朝" w:hint="eastAsia"/>
          <w:sz w:val="22"/>
          <w:szCs w:val="22"/>
        </w:rPr>
        <w:t>なお、</w:t>
      </w:r>
      <w:r w:rsidRPr="001D6D10">
        <w:rPr>
          <w:rFonts w:hint="eastAsia"/>
          <w:sz w:val="22"/>
          <w:szCs w:val="22"/>
        </w:rPr>
        <w:t>知事（災害対策本部長）及び各部局長</w:t>
      </w:r>
      <w:r w:rsidRPr="001D6D10">
        <w:rPr>
          <w:rFonts w:ascii="ＭＳ 明朝" w:hAnsi="ＭＳ 明朝" w:hint="eastAsia"/>
          <w:sz w:val="22"/>
          <w:szCs w:val="22"/>
        </w:rPr>
        <w:t>は、</w:t>
      </w:r>
      <w:r w:rsidRPr="001D6D10">
        <w:rPr>
          <w:rFonts w:hint="eastAsia"/>
          <w:sz w:val="22"/>
          <w:szCs w:val="22"/>
        </w:rPr>
        <w:t>災害対応に従事させる職員（配備職員）の増減を、適宜行うことができる。</w:t>
      </w:r>
    </w:p>
    <w:p w14:paraId="2DCA9FE4" w14:textId="77777777" w:rsidR="00315575" w:rsidRPr="001D6D10" w:rsidRDefault="00315575" w:rsidP="009F41E7">
      <w:pPr>
        <w:rPr>
          <w:rFonts w:ascii="ＭＳ 明朝" w:hAnsi="ＭＳ 明朝"/>
          <w:sz w:val="22"/>
          <w:szCs w:val="22"/>
        </w:rPr>
      </w:pPr>
      <w:r w:rsidRPr="001D6D10">
        <w:rPr>
          <w:rFonts w:ascii="ＭＳ 明朝" w:hAnsi="ＭＳ 明朝" w:hint="eastAsia"/>
          <w:sz w:val="22"/>
          <w:szCs w:val="22"/>
        </w:rPr>
        <w:t xml:space="preserve">　　</w:t>
      </w:r>
    </w:p>
    <w:p w14:paraId="5164AD5E" w14:textId="77777777" w:rsidR="00315575" w:rsidRPr="001D6D10" w:rsidRDefault="00315575">
      <w:pPr>
        <w:pStyle w:val="2"/>
      </w:pPr>
      <w:bookmarkStart w:id="15" w:name="_Toc122436869"/>
      <w:bookmarkStart w:id="16" w:name="_Toc222486559"/>
      <w:bookmarkStart w:id="17" w:name="_Toc242870228"/>
      <w:r w:rsidRPr="001D6D10">
        <w:rPr>
          <w:rFonts w:hint="eastAsia"/>
        </w:rPr>
        <w:t>第５節　災害等時における職員の服務</w:t>
      </w:r>
      <w:bookmarkEnd w:id="15"/>
      <w:bookmarkEnd w:id="16"/>
      <w:bookmarkEnd w:id="17"/>
    </w:p>
    <w:p w14:paraId="1E5BCA30" w14:textId="77777777" w:rsidR="00315575" w:rsidRPr="001D6D10" w:rsidRDefault="00315575" w:rsidP="00315575">
      <w:pPr>
        <w:ind w:left="221" w:hangingChars="100" w:hanging="221"/>
        <w:rPr>
          <w:rFonts w:ascii="ＭＳ 明朝" w:hAnsi="ＭＳ 明朝"/>
          <w:sz w:val="22"/>
          <w:szCs w:val="22"/>
        </w:rPr>
      </w:pPr>
      <w:r w:rsidRPr="001D6D10">
        <w:rPr>
          <w:rFonts w:ascii="ＭＳ ゴシック" w:eastAsia="ＭＳ ゴシック" w:hAnsi="ＭＳ ゴシック" w:hint="eastAsia"/>
          <w:sz w:val="22"/>
          <w:szCs w:val="22"/>
        </w:rPr>
        <w:t xml:space="preserve">　　</w:t>
      </w:r>
      <w:r w:rsidRPr="001D6D10">
        <w:rPr>
          <w:rFonts w:ascii="ＭＳ 明朝" w:hAnsi="ＭＳ 明朝" w:hint="eastAsia"/>
          <w:sz w:val="22"/>
          <w:szCs w:val="22"/>
        </w:rPr>
        <w:t>職員は、この要領の定めるところにより、所属長の指示に従って、災害等応急対策活動に従事する。</w:t>
      </w:r>
    </w:p>
    <w:p w14:paraId="42686183" w14:textId="77777777" w:rsidR="00315575" w:rsidRPr="001D6D10" w:rsidRDefault="00315575" w:rsidP="00315575">
      <w:pPr>
        <w:ind w:leftChars="105" w:left="222" w:firstLineChars="100" w:firstLine="221"/>
        <w:rPr>
          <w:rFonts w:ascii="ＭＳ 明朝" w:hAnsi="ＭＳ 明朝"/>
          <w:sz w:val="22"/>
          <w:szCs w:val="22"/>
        </w:rPr>
      </w:pPr>
      <w:r w:rsidRPr="001D6D10">
        <w:rPr>
          <w:rFonts w:ascii="ＭＳ 明朝" w:hAnsi="ＭＳ 明朝" w:hint="eastAsia"/>
          <w:sz w:val="22"/>
          <w:szCs w:val="22"/>
        </w:rPr>
        <w:t>ただし、次に掲げる者は従事を要しない。</w:t>
      </w:r>
    </w:p>
    <w:p w14:paraId="3971C2C5" w14:textId="77777777" w:rsidR="00315575" w:rsidRPr="001D6D10" w:rsidRDefault="00315575" w:rsidP="00315575">
      <w:pPr>
        <w:rPr>
          <w:rFonts w:ascii="ＭＳ 明朝" w:hAnsi="ＭＳ 明朝"/>
          <w:sz w:val="22"/>
          <w:szCs w:val="22"/>
        </w:rPr>
      </w:pPr>
      <w:r w:rsidRPr="001D6D10">
        <w:rPr>
          <w:rFonts w:ascii="ＭＳ 明朝" w:hAnsi="ＭＳ 明朝" w:hint="eastAsia"/>
          <w:sz w:val="22"/>
          <w:szCs w:val="22"/>
        </w:rPr>
        <w:t xml:space="preserve">　　１　心身の故障等により、許可を受けて休暇</w:t>
      </w:r>
      <w:r w:rsidR="007E69C2" w:rsidRPr="001D6D10">
        <w:rPr>
          <w:rFonts w:ascii="ＭＳ 明朝" w:hAnsi="ＭＳ 明朝" w:hint="eastAsia"/>
          <w:sz w:val="22"/>
          <w:szCs w:val="22"/>
        </w:rPr>
        <w:t>、休職、または休業中</w:t>
      </w:r>
      <w:r w:rsidRPr="001D6D10">
        <w:rPr>
          <w:rFonts w:ascii="ＭＳ 明朝" w:hAnsi="ＭＳ 明朝" w:hint="eastAsia"/>
          <w:sz w:val="22"/>
          <w:szCs w:val="22"/>
        </w:rPr>
        <w:t>の者</w:t>
      </w:r>
    </w:p>
    <w:p w14:paraId="5C49D3C9" w14:textId="77777777" w:rsidR="00315575" w:rsidRPr="001D6D10" w:rsidRDefault="00315575" w:rsidP="00315575">
      <w:pPr>
        <w:rPr>
          <w:rFonts w:ascii="ＭＳ 明朝" w:hAnsi="ＭＳ 明朝"/>
          <w:sz w:val="22"/>
          <w:szCs w:val="22"/>
        </w:rPr>
      </w:pPr>
      <w:r w:rsidRPr="001D6D10">
        <w:rPr>
          <w:rFonts w:ascii="ＭＳ 明朝" w:hAnsi="ＭＳ 明朝" w:hint="eastAsia"/>
          <w:sz w:val="22"/>
          <w:szCs w:val="22"/>
        </w:rPr>
        <w:t xml:space="preserve">　　２　その他の事情により、特に所属長がやむを得ないと認めた者</w:t>
      </w:r>
    </w:p>
    <w:p w14:paraId="174EA628" w14:textId="77777777" w:rsidR="00C73A39" w:rsidRPr="001D6D10" w:rsidRDefault="00C73A39" w:rsidP="00315575">
      <w:pPr>
        <w:rPr>
          <w:rFonts w:ascii="ＭＳ 明朝" w:hAnsi="ＭＳ 明朝"/>
          <w:sz w:val="22"/>
          <w:szCs w:val="22"/>
        </w:rPr>
      </w:pPr>
    </w:p>
    <w:p w14:paraId="2F7CBD6C" w14:textId="77777777" w:rsidR="00BA79C5" w:rsidRPr="00747FDC" w:rsidRDefault="00315575" w:rsidP="00BA79C5">
      <w:pPr>
        <w:ind w:left="221" w:hangingChars="100" w:hanging="221"/>
        <w:rPr>
          <w:rFonts w:ascii="ＭＳ 明朝" w:hAnsi="ＭＳ 明朝"/>
          <w:sz w:val="22"/>
        </w:rPr>
      </w:pPr>
      <w:r w:rsidRPr="001D6D10">
        <w:rPr>
          <w:rFonts w:ascii="ＭＳ 明朝" w:hAnsi="ＭＳ 明朝" w:hint="eastAsia"/>
          <w:sz w:val="22"/>
          <w:szCs w:val="22"/>
        </w:rPr>
        <w:t xml:space="preserve">　　</w:t>
      </w:r>
      <w:r w:rsidR="00D769E2" w:rsidRPr="001D6D10">
        <w:rPr>
          <w:rFonts w:ascii="ＭＳ 明朝" w:hAnsi="ＭＳ 明朝" w:hint="eastAsia"/>
          <w:sz w:val="22"/>
          <w:szCs w:val="22"/>
        </w:rPr>
        <w:t>また、勤務時間外においても、配備指令が出されたとき、府域に震度４以上の地震が発生したときは、配備区分に従い、速やかに勤務場所又は所定の場所に</w:t>
      </w:r>
      <w:r w:rsidR="00BA79C5" w:rsidRPr="00747FDC">
        <w:rPr>
          <w:rFonts w:ascii="ＭＳ 明朝" w:hAnsi="ＭＳ 明朝" w:hint="eastAsia"/>
          <w:sz w:val="22"/>
        </w:rPr>
        <w:t>原則参集とする。</w:t>
      </w:r>
    </w:p>
    <w:p w14:paraId="73A177D1" w14:textId="68C01196" w:rsidR="001367D2" w:rsidRDefault="00BA79C5" w:rsidP="00BA79C5">
      <w:pPr>
        <w:ind w:leftChars="100" w:left="211" w:firstLineChars="100" w:firstLine="221"/>
        <w:rPr>
          <w:rFonts w:ascii="ＭＳ 明朝" w:hAnsi="ＭＳ 明朝"/>
          <w:sz w:val="22"/>
        </w:rPr>
      </w:pPr>
      <w:r w:rsidRPr="00747FDC">
        <w:rPr>
          <w:rFonts w:ascii="ＭＳ 明朝" w:hAnsi="ＭＳ 明朝" w:hint="eastAsia"/>
          <w:sz w:val="22"/>
        </w:rPr>
        <w:t>ただし、</w:t>
      </w:r>
      <w:bookmarkStart w:id="18" w:name="_Hlk184120345"/>
      <w:r w:rsidRPr="00747FDC">
        <w:rPr>
          <w:rFonts w:ascii="ＭＳ 明朝" w:hAnsi="ＭＳ 明朝" w:hint="eastAsia"/>
          <w:sz w:val="22"/>
        </w:rPr>
        <w:t>非常３号配備を除き、配備区分に伴う対応が可能な場合（例：自宅において連絡や指示が行えるなど）には、勤務場所又は所定の場所への参集を求めるものではない。</w:t>
      </w:r>
      <w:bookmarkEnd w:id="18"/>
    </w:p>
    <w:p w14:paraId="2B6F83F5" w14:textId="77777777" w:rsidR="001367D2" w:rsidRDefault="001367D2">
      <w:pPr>
        <w:widowControl/>
        <w:jc w:val="left"/>
        <w:rPr>
          <w:rFonts w:ascii="ＭＳ 明朝" w:hAnsi="ＭＳ 明朝"/>
          <w:sz w:val="22"/>
        </w:rPr>
      </w:pPr>
      <w:r>
        <w:rPr>
          <w:rFonts w:ascii="ＭＳ 明朝" w:hAnsi="ＭＳ 明朝"/>
          <w:sz w:val="22"/>
        </w:rPr>
        <w:br w:type="page"/>
      </w:r>
    </w:p>
    <w:p w14:paraId="147E71B5" w14:textId="24044077" w:rsidR="00F264E6" w:rsidRPr="001D6D10" w:rsidRDefault="00F264E6">
      <w:pPr>
        <w:pStyle w:val="2"/>
      </w:pPr>
      <w:bookmarkStart w:id="19" w:name="_Toc122436870"/>
      <w:bookmarkStart w:id="20" w:name="_Toc222486560"/>
      <w:bookmarkStart w:id="21" w:name="_Toc242870229"/>
      <w:r w:rsidRPr="001D6D10">
        <w:rPr>
          <w:rFonts w:hint="eastAsia"/>
        </w:rPr>
        <w:lastRenderedPageBreak/>
        <w:t>第６節　タイムラインに応じた目標行動</w:t>
      </w:r>
      <w:bookmarkEnd w:id="19"/>
      <w:bookmarkEnd w:id="20"/>
      <w:bookmarkEnd w:id="21"/>
    </w:p>
    <w:p w14:paraId="09C2A389" w14:textId="77777777" w:rsidR="00B94D21" w:rsidRPr="00D74573" w:rsidRDefault="00B94D21" w:rsidP="00B94D21">
      <w:pPr>
        <w:ind w:firstLineChars="200" w:firstLine="442"/>
        <w:rPr>
          <w:rFonts w:asciiTheme="majorEastAsia" w:eastAsiaTheme="majorEastAsia" w:hAnsiTheme="majorEastAsia"/>
          <w:sz w:val="22"/>
          <w:szCs w:val="22"/>
        </w:rPr>
      </w:pPr>
      <w:r w:rsidRPr="00D74573">
        <w:rPr>
          <w:rFonts w:asciiTheme="majorEastAsia" w:eastAsiaTheme="majorEastAsia" w:hAnsiTheme="majorEastAsia" w:hint="eastAsia"/>
          <w:sz w:val="22"/>
          <w:szCs w:val="22"/>
        </w:rPr>
        <w:t>「タイムライン」とは、災害の発生を前提に、防災関係機関が連携して災害時に</w:t>
      </w:r>
    </w:p>
    <w:p w14:paraId="0B086FED" w14:textId="77777777" w:rsidR="00B94D21" w:rsidRPr="00D74573" w:rsidRDefault="00B94D21" w:rsidP="00B94D21">
      <w:pPr>
        <w:ind w:firstLineChars="200" w:firstLine="442"/>
        <w:rPr>
          <w:rFonts w:asciiTheme="majorEastAsia" w:eastAsiaTheme="majorEastAsia" w:hAnsiTheme="majorEastAsia"/>
          <w:sz w:val="22"/>
          <w:szCs w:val="22"/>
        </w:rPr>
      </w:pPr>
      <w:r w:rsidRPr="00D74573">
        <w:rPr>
          <w:rFonts w:asciiTheme="majorEastAsia" w:eastAsiaTheme="majorEastAsia" w:hAnsiTheme="majorEastAsia" w:hint="eastAsia"/>
          <w:sz w:val="22"/>
          <w:szCs w:val="22"/>
        </w:rPr>
        <w:t xml:space="preserve">発生する状況を予め想定し共有した上で、「いつ」、「誰が」、「何をするか」に着目して、　</w:t>
      </w:r>
    </w:p>
    <w:p w14:paraId="5DBA9091" w14:textId="77777777" w:rsidR="00B94D21" w:rsidRPr="00D74573" w:rsidRDefault="00B94D21" w:rsidP="00B94D21">
      <w:pPr>
        <w:ind w:firstLineChars="200" w:firstLine="442"/>
        <w:rPr>
          <w:rFonts w:asciiTheme="majorEastAsia" w:eastAsiaTheme="majorEastAsia" w:hAnsiTheme="majorEastAsia"/>
          <w:sz w:val="22"/>
          <w:szCs w:val="22"/>
        </w:rPr>
      </w:pPr>
      <w:r w:rsidRPr="00D74573">
        <w:rPr>
          <w:rFonts w:asciiTheme="majorEastAsia" w:eastAsiaTheme="majorEastAsia" w:hAnsiTheme="majorEastAsia" w:hint="eastAsia"/>
          <w:sz w:val="22"/>
          <w:szCs w:val="22"/>
        </w:rPr>
        <w:t xml:space="preserve">防災行動とその実施主体を時系列で整理した計画であり、発災時には、経過時間に応　</w:t>
      </w:r>
    </w:p>
    <w:p w14:paraId="5948F0BA" w14:textId="77777777" w:rsidR="00B94D21" w:rsidRPr="00D74573" w:rsidRDefault="00B94D21" w:rsidP="00B94D21">
      <w:pPr>
        <w:ind w:firstLineChars="200" w:firstLine="442"/>
        <w:rPr>
          <w:rFonts w:asciiTheme="majorEastAsia" w:eastAsiaTheme="majorEastAsia" w:hAnsiTheme="majorEastAsia"/>
          <w:sz w:val="22"/>
          <w:szCs w:val="22"/>
        </w:rPr>
      </w:pPr>
      <w:r w:rsidRPr="00D74573">
        <w:rPr>
          <w:rFonts w:asciiTheme="majorEastAsia" w:eastAsiaTheme="majorEastAsia" w:hAnsiTheme="majorEastAsia" w:hint="eastAsia"/>
          <w:sz w:val="22"/>
          <w:szCs w:val="22"/>
        </w:rPr>
        <w:t>じた下記タイムラインを目安に、各部局相互に連携して迅速な行動を行う。</w:t>
      </w:r>
    </w:p>
    <w:bookmarkStart w:id="22" w:name="_Toc122436871"/>
    <w:bookmarkStart w:id="23" w:name="_Toc222486561"/>
    <w:bookmarkStart w:id="24" w:name="_Toc242870230"/>
    <w:p w14:paraId="5E47F88B" w14:textId="2A2A855B" w:rsidR="00B94D21" w:rsidRPr="001D6D10" w:rsidRDefault="00B94D21">
      <w:pPr>
        <w:pStyle w:val="3"/>
        <w:ind w:firstLine="322"/>
        <w:rPr>
          <w:rFonts w:ascii="ＭＳ 明朝" w:hAnsi="ＭＳ 明朝"/>
        </w:rPr>
      </w:pPr>
      <w:r w:rsidRPr="001D6D10">
        <w:rPr>
          <w:noProof/>
          <w:sz w:val="16"/>
          <w:szCs w:val="16"/>
        </w:rPr>
        <mc:AlternateContent>
          <mc:Choice Requires="wps">
            <w:drawing>
              <wp:anchor distT="0" distB="0" distL="114300" distR="114300" simplePos="0" relativeHeight="254275584" behindDoc="0" locked="0" layoutInCell="1" allowOverlap="1" wp14:anchorId="400766B1" wp14:editId="1D1A3E9C">
                <wp:simplePos x="0" y="0"/>
                <wp:positionH relativeFrom="column">
                  <wp:posOffset>-691515</wp:posOffset>
                </wp:positionH>
                <wp:positionV relativeFrom="paragraph">
                  <wp:posOffset>6607175</wp:posOffset>
                </wp:positionV>
                <wp:extent cx="561340" cy="405765"/>
                <wp:effectExtent l="0" t="0" r="0" b="0"/>
                <wp:wrapNone/>
                <wp:docPr id="2454" name="テキスト ボックス 237"/>
                <wp:cNvGraphicFramePr/>
                <a:graphic xmlns:a="http://schemas.openxmlformats.org/drawingml/2006/main">
                  <a:graphicData uri="http://schemas.microsoft.com/office/word/2010/wordprocessingShape">
                    <wps:wsp>
                      <wps:cNvSpPr txBox="1"/>
                      <wps:spPr>
                        <a:xfrm>
                          <a:off x="0" y="0"/>
                          <a:ext cx="561340" cy="405765"/>
                        </a:xfrm>
                        <a:prstGeom prst="rect">
                          <a:avLst/>
                        </a:prstGeom>
                        <a:noFill/>
                        <a:ln w="6350">
                          <a:noFill/>
                        </a:ln>
                      </wps:spPr>
                      <wps:txbx>
                        <w:txbxContent>
                          <w:p w14:paraId="0FF5E52C" w14:textId="77777777" w:rsidR="00B94D21" w:rsidRPr="0006088C" w:rsidRDefault="00B94D21" w:rsidP="00B94D21">
                            <w:pPr>
                              <w:pStyle w:val="Web"/>
                              <w:spacing w:before="0" w:beforeAutospacing="0" w:after="0" w:afterAutospacing="0"/>
                              <w:jc w:val="center"/>
                              <w:rPr>
                                <w:sz w:val="16"/>
                                <w:szCs w:val="16"/>
                              </w:rPr>
                            </w:pPr>
                            <w:r>
                              <w:rPr>
                                <w:rFonts w:ascii="ＭＳ ゴシック" w:eastAsia="ＭＳ 明朝" w:hAnsi="ＭＳ ゴシック" w:cs="Times New Roman" w:hint="eastAsia"/>
                                <w:b/>
                                <w:bCs/>
                                <w:color w:val="F2F2F2"/>
                                <w:kern w:val="2"/>
                                <w:sz w:val="16"/>
                                <w:szCs w:val="16"/>
                              </w:rPr>
                              <w:t>1</w:t>
                            </w:r>
                            <w:r>
                              <w:rPr>
                                <w:rFonts w:ascii="ＭＳ ゴシック" w:eastAsia="ＭＳ 明朝" w:hAnsi="ＭＳ ゴシック" w:cs="Times New Roman" w:hint="eastAsia"/>
                                <w:b/>
                                <w:bCs/>
                                <w:color w:val="F2F2F2"/>
                                <w:kern w:val="2"/>
                                <w:sz w:val="16"/>
                                <w:szCs w:val="16"/>
                              </w:rPr>
                              <w:t>月</w:t>
                            </w:r>
                          </w:p>
                        </w:txbxContent>
                      </wps:txbx>
                      <wps:bodyPr rot="0" spcFirstLastPara="0"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shapetype w14:anchorId="400766B1" id="_x0000_t202" coordsize="21600,21600" o:spt="202" path="m,l,21600r21600,l21600,xe">
                <v:stroke joinstyle="miter"/>
                <v:path gradientshapeok="t" o:connecttype="rect"/>
              </v:shapetype>
              <v:shape id="テキスト ボックス 237" o:spid="_x0000_s1026" type="#_x0000_t202" style="position:absolute;left:0;text-align:left;margin-left:-54.45pt;margin-top:520.25pt;width:44.2pt;height:31.95pt;z-index:2542755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" filled="f" stroked="f" strokeweight=".5pt">
                <v:textbox>
                  <w:txbxContent>
                    <w:p w14:paraId="0FF5E52C" w14:textId="77777777" w:rsidR="00B94D21" w:rsidRPr="0006088C" w:rsidRDefault="00B94D21" w:rsidP="00B94D21">
                      <w:pPr>
                        <w:pStyle w:val="Web"/>
                        <w:spacing w:before="0" w:beforeAutospacing="0" w:after="0" w:afterAutospacing="0"/>
                        <w:jc w:val="center"/>
                        <w:rPr>
                          <w:sz w:val="16"/>
                          <w:szCs w:val="16"/>
                        </w:rPr>
                      </w:pPr>
                      <w:r>
                        <w:rPr>
                          <w:rFonts w:ascii="ＭＳ ゴシック" w:eastAsia="ＭＳ 明朝" w:hAnsi="ＭＳ ゴシック" w:cs="Times New Roman" w:hint="eastAsia"/>
                          <w:b/>
                          <w:bCs/>
                          <w:color w:val="F2F2F2"/>
                          <w:kern w:val="2"/>
                          <w:sz w:val="16"/>
                          <w:szCs w:val="16"/>
                        </w:rPr>
                        <w:t>1</w:t>
                      </w:r>
                      <w:r>
                        <w:rPr>
                          <w:rFonts w:ascii="ＭＳ ゴシック" w:eastAsia="ＭＳ 明朝" w:hAnsi="ＭＳ ゴシック" w:cs="Times New Roman" w:hint="eastAsia"/>
                          <w:b/>
                          <w:bCs/>
                          <w:color w:val="F2F2F2"/>
                          <w:kern w:val="2"/>
                          <w:sz w:val="16"/>
                          <w:szCs w:val="16"/>
                        </w:rPr>
                        <w:t>月</w:t>
                      </w:r>
                    </w:p>
                  </w:txbxContent>
                </v:textbox>
              </v:shape>
            </w:pict>
          </mc:Fallback>
        </mc:AlternateContent>
      </w:r>
      <w:r w:rsidRPr="001D6D10">
        <w:rPr>
          <w:noProof/>
        </w:rPr>
        <mc:AlternateContent>
          <mc:Choice Requires="wps">
            <w:drawing>
              <wp:anchor distT="0" distB="0" distL="114300" distR="114300" simplePos="0" relativeHeight="254269440" behindDoc="0" locked="0" layoutInCell="1" allowOverlap="1" wp14:anchorId="24F14172" wp14:editId="56686CC8">
                <wp:simplePos x="0" y="0"/>
                <wp:positionH relativeFrom="column">
                  <wp:posOffset>-681355</wp:posOffset>
                </wp:positionH>
                <wp:positionV relativeFrom="paragraph">
                  <wp:posOffset>6632633</wp:posOffset>
                </wp:positionV>
                <wp:extent cx="553720" cy="252730"/>
                <wp:effectExtent l="0" t="20955" r="15875" b="34925"/>
                <wp:wrapNone/>
                <wp:docPr id="2448" name="山形 26"/>
                <wp:cNvGraphicFramePr/>
                <a:graphic xmlns:a="http://schemas.openxmlformats.org/drawingml/2006/main">
                  <a:graphicData uri="http://schemas.microsoft.com/office/word/2010/wordprocessingShape">
                    <wps:wsp>
                      <wps:cNvSpPr/>
                      <wps:spPr>
                        <a:xfrm rot="5400000">
                          <a:off x="0" y="0"/>
                          <a:ext cx="553720" cy="252730"/>
                        </a:xfrm>
                        <a:prstGeom prst="chevron">
                          <a:avLst>
                            <a:gd name="adj" fmla="val 39286"/>
                          </a:avLst>
                        </a:prstGeom>
                        <a:solidFill>
                          <a:srgbClr val="1F497D">
                            <a:lumMod val="60000"/>
                            <a:lumOff val="40000"/>
                          </a:srgbClr>
                        </a:solidFill>
                        <a:ln w="25400" cap="flat" cmpd="sng" algn="ctr">
                          <a:solidFill>
                            <a:srgbClr val="4F81BD">
                              <a:shade val="50000"/>
                            </a:srgbClr>
                          </a:solidFill>
                          <a:prstDash val="solid"/>
                        </a:ln>
                        <a:effectLst/>
                      </wps:spPr>
                      <wps:bodyPr rtlCol="0" anchor="ctr"/>
                    </wps:wsp>
                  </a:graphicData>
                </a:graphic>
                <wp14:sizeRelH relativeFrom="margin">
                  <wp14:pctWidth>0</wp14:pctWidth>
                </wp14:sizeRelH>
                <wp14:sizeRelV relativeFrom="margin">
                  <wp14:pctHeight>0</wp14:pctHeight>
                </wp14:sizeRelV>
              </wp:anchor>
            </w:drawing>
          </mc:Choice>
          <mc:Fallback xmlns:w16cei="http://schemas.microsoft.com/office/word/2026/wordml/cei">
            <w:pict>
              <v:shapetype w14:anchorId="031616B7" id="_x0000_t55" coordsize="21600,21600" o:spt="55" adj="16200" path="m@0,l,0@1,10800,,21600@0,21600,21600,10800xe">
                <v:stroke joinstyle="miter"/>
                <v:formulas>
                  <v:f eqn="val #0"/>
                  <v:f eqn="sum 21600 0 @0"/>
                  <v:f eqn="prod #0 1 2"/>
                </v:formulas>
                <v:path o:connecttype="custom" o:connectlocs="@2,0;@1,10800;@2,21600;21600,10800" o:connectangles="270,180,90,0" textboxrect="0,0,10800,21600;0,0,16200,21600;0,0,21600,21600"/>
                <v:handles>
                  <v:h position="#0,topLeft" xrange="0,21600"/>
                </v:handles>
              </v:shapetype>
              <v:shape id="山形 26" o:spid="_x0000_s1026" type="#_x0000_t55" style="position:absolute;left:0;text-align:left;margin-left:-53.65pt;margin-top:522.25pt;width:43.6pt;height:19.9pt;rotation:90;z-index:2542694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" adj="17727" fillcolor="#558ed5" strokecolor="#385d8a" strokeweight="2pt"/>
            </w:pict>
          </mc:Fallback>
        </mc:AlternateContent>
      </w:r>
      <w:r w:rsidRPr="001D6D10">
        <w:rPr>
          <w:noProof/>
          <w:sz w:val="16"/>
          <w:szCs w:val="16"/>
        </w:rPr>
        <mc:AlternateContent>
          <mc:Choice Requires="wps">
            <w:drawing>
              <wp:anchor distT="0" distB="0" distL="114300" distR="114300" simplePos="0" relativeHeight="254272512" behindDoc="0" locked="0" layoutInCell="1" allowOverlap="1" wp14:anchorId="7F222199" wp14:editId="5B6FEED4">
                <wp:simplePos x="0" y="0"/>
                <wp:positionH relativeFrom="column">
                  <wp:posOffset>-650268</wp:posOffset>
                </wp:positionH>
                <wp:positionV relativeFrom="paragraph">
                  <wp:posOffset>4213110</wp:posOffset>
                </wp:positionV>
                <wp:extent cx="534670" cy="405765"/>
                <wp:effectExtent l="0" t="0" r="0" b="0"/>
                <wp:wrapNone/>
                <wp:docPr id="2451" name="テキスト ボックス 237"/>
                <wp:cNvGraphicFramePr/>
                <a:graphic xmlns:a="http://schemas.openxmlformats.org/drawingml/2006/main">
                  <a:graphicData uri="http://schemas.microsoft.com/office/word/2010/wordprocessingShape">
                    <wps:wsp>
                      <wps:cNvSpPr txBox="1"/>
                      <wps:spPr>
                        <a:xfrm>
                          <a:off x="0" y="0"/>
                          <a:ext cx="534670" cy="405765"/>
                        </a:xfrm>
                        <a:prstGeom prst="rect">
                          <a:avLst/>
                        </a:prstGeom>
                        <a:noFill/>
                        <a:ln w="6350">
                          <a:noFill/>
                        </a:ln>
                      </wps:spPr>
                      <wps:txbx>
                        <w:txbxContent>
                          <w:p w14:paraId="67659230" w14:textId="77777777" w:rsidR="00B94D21" w:rsidRPr="0006088C" w:rsidRDefault="00B94D21" w:rsidP="00B94D21">
                            <w:pPr>
                              <w:pStyle w:val="Web"/>
                              <w:spacing w:before="0" w:beforeAutospacing="0" w:after="0" w:afterAutospacing="0"/>
                              <w:jc w:val="center"/>
                              <w:rPr>
                                <w:sz w:val="16"/>
                                <w:szCs w:val="16"/>
                              </w:rPr>
                            </w:pPr>
                            <w:r>
                              <w:rPr>
                                <w:rFonts w:ascii="ＭＳ ゴシック" w:eastAsia="ＭＳ 明朝" w:hAnsi="ＭＳ ゴシック" w:cs="Times New Roman" w:hint="eastAsia"/>
                                <w:b/>
                                <w:bCs/>
                                <w:color w:val="F2F2F2"/>
                                <w:kern w:val="2"/>
                                <w:sz w:val="16"/>
                                <w:szCs w:val="16"/>
                              </w:rPr>
                              <w:t>3</w:t>
                            </w:r>
                            <w:r>
                              <w:rPr>
                                <w:rFonts w:ascii="ＭＳ ゴシック" w:eastAsia="ＭＳ 明朝" w:hAnsi="ＭＳ ゴシック" w:cs="Times New Roman" w:hint="eastAsia"/>
                                <w:b/>
                                <w:bCs/>
                                <w:color w:val="F2F2F2"/>
                                <w:kern w:val="2"/>
                                <w:sz w:val="16"/>
                                <w:szCs w:val="16"/>
                              </w:rPr>
                              <w:t>日</w:t>
                            </w:r>
                          </w:p>
                        </w:txbxContent>
                      </wps:txbx>
                      <wps:bodyPr rot="0" spcFirstLastPara="0"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shape w14:anchorId="7F222199" id="_x0000_s1027" type="#_x0000_t202" style="position:absolute;left:0;text-align:left;margin-left:-51.2pt;margin-top:331.75pt;width:42.1pt;height:31.95pt;z-index:2542725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" filled="f" stroked="f" strokeweight=".5pt">
                <v:textbox>
                  <w:txbxContent>
                    <w:p w14:paraId="67659230" w14:textId="77777777" w:rsidR="00B94D21" w:rsidRPr="0006088C" w:rsidRDefault="00B94D21" w:rsidP="00B94D21">
                      <w:pPr>
                        <w:pStyle w:val="Web"/>
                        <w:spacing w:before="0" w:beforeAutospacing="0" w:after="0" w:afterAutospacing="0"/>
                        <w:jc w:val="center"/>
                        <w:rPr>
                          <w:sz w:val="16"/>
                          <w:szCs w:val="16"/>
                        </w:rPr>
                      </w:pPr>
                      <w:r>
                        <w:rPr>
                          <w:rFonts w:ascii="ＭＳ ゴシック" w:eastAsia="ＭＳ 明朝" w:hAnsi="ＭＳ ゴシック" w:cs="Times New Roman" w:hint="eastAsia"/>
                          <w:b/>
                          <w:bCs/>
                          <w:color w:val="F2F2F2"/>
                          <w:kern w:val="2"/>
                          <w:sz w:val="16"/>
                          <w:szCs w:val="16"/>
                        </w:rPr>
                        <w:t>3</w:t>
                      </w:r>
                      <w:r>
                        <w:rPr>
                          <w:rFonts w:ascii="ＭＳ ゴシック" w:eastAsia="ＭＳ 明朝" w:hAnsi="ＭＳ ゴシック" w:cs="Times New Roman" w:hint="eastAsia"/>
                          <w:b/>
                          <w:bCs/>
                          <w:color w:val="F2F2F2"/>
                          <w:kern w:val="2"/>
                          <w:sz w:val="16"/>
                          <w:szCs w:val="16"/>
                        </w:rPr>
                        <w:t>日</w:t>
                      </w:r>
                    </w:p>
                  </w:txbxContent>
                </v:textbox>
              </v:shape>
            </w:pict>
          </mc:Fallback>
        </mc:AlternateContent>
      </w:r>
      <w:r w:rsidRPr="001D6D10">
        <w:rPr>
          <w:noProof/>
        </w:rPr>
        <mc:AlternateContent>
          <mc:Choice Requires="wps">
            <w:drawing>
              <wp:anchor distT="0" distB="0" distL="114300" distR="114300" simplePos="0" relativeHeight="254268416" behindDoc="0" locked="0" layoutInCell="1" allowOverlap="1" wp14:anchorId="702A2BC8" wp14:editId="1CDE7FA9">
                <wp:simplePos x="0" y="0"/>
                <wp:positionH relativeFrom="column">
                  <wp:posOffset>-740410</wp:posOffset>
                </wp:positionH>
                <wp:positionV relativeFrom="paragraph">
                  <wp:posOffset>6024880</wp:posOffset>
                </wp:positionV>
                <wp:extent cx="671830" cy="252730"/>
                <wp:effectExtent l="0" t="19050" r="13970" b="33020"/>
                <wp:wrapNone/>
                <wp:docPr id="2447" name="山形 26"/>
                <wp:cNvGraphicFramePr/>
                <a:graphic xmlns:a="http://schemas.openxmlformats.org/drawingml/2006/main">
                  <a:graphicData uri="http://schemas.microsoft.com/office/word/2010/wordprocessingShape">
                    <wps:wsp>
                      <wps:cNvSpPr/>
                      <wps:spPr>
                        <a:xfrm rot="5400000">
                          <a:off x="0" y="0"/>
                          <a:ext cx="671830" cy="252730"/>
                        </a:xfrm>
                        <a:prstGeom prst="chevron">
                          <a:avLst>
                            <a:gd name="adj" fmla="val 39286"/>
                          </a:avLst>
                        </a:prstGeom>
                        <a:solidFill>
                          <a:srgbClr val="1F497D">
                            <a:lumMod val="60000"/>
                            <a:lumOff val="40000"/>
                          </a:srgbClr>
                        </a:solidFill>
                        <a:ln w="25400" cap="flat" cmpd="sng" algn="ctr">
                          <a:solidFill>
                            <a:srgbClr val="4F81BD">
                              <a:shade val="50000"/>
                            </a:srgbClr>
                          </a:solidFill>
                          <a:prstDash val="solid"/>
                        </a:ln>
                        <a:effectLst/>
                      </wps:spPr>
                      <wps:bodyPr rtlCol="0" anchor="ctr"/>
                    </wps:wsp>
                  </a:graphicData>
                </a:graphic>
                <wp14:sizeRelH relativeFrom="margin">
                  <wp14:pctWidth>0</wp14:pctWidth>
                </wp14:sizeRelH>
                <wp14:sizeRelV relativeFrom="margin">
                  <wp14:pctHeight>0</wp14:pctHeight>
                </wp14:sizeRelV>
              </wp:anchor>
            </w:drawing>
          </mc:Choice>
          <mc:Fallback xmlns:w16cei="http://schemas.microsoft.com/office/word/2026/wordml/cei">
            <w:pict>
              <v:shape w14:anchorId="66AEA66B" id="山形 26" o:spid="_x0000_s1026" type="#_x0000_t55" style="position:absolute;left:0;text-align:left;margin-left:-58.3pt;margin-top:474.4pt;width:52.9pt;height:19.9pt;rotation:90;z-index:2542684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" adj="18408" fillcolor="#558ed5" strokecolor="#385d8a" strokeweight="2pt"/>
            </w:pict>
          </mc:Fallback>
        </mc:AlternateContent>
      </w:r>
      <w:r w:rsidRPr="001D6D10">
        <w:rPr>
          <w:noProof/>
          <w:sz w:val="16"/>
          <w:szCs w:val="16"/>
        </w:rPr>
        <mc:AlternateContent>
          <mc:Choice Requires="wps">
            <w:drawing>
              <wp:anchor distT="0" distB="0" distL="114300" distR="114300" simplePos="0" relativeHeight="254274560" behindDoc="0" locked="0" layoutInCell="1" allowOverlap="1" wp14:anchorId="1ED42E5E" wp14:editId="4D0399EC">
                <wp:simplePos x="0" y="0"/>
                <wp:positionH relativeFrom="column">
                  <wp:posOffset>-689610</wp:posOffset>
                </wp:positionH>
                <wp:positionV relativeFrom="paragraph">
                  <wp:posOffset>6003983</wp:posOffset>
                </wp:positionV>
                <wp:extent cx="561340" cy="405765"/>
                <wp:effectExtent l="0" t="0" r="0" b="0"/>
                <wp:wrapNone/>
                <wp:docPr id="2453" name="テキスト ボックス 237"/>
                <wp:cNvGraphicFramePr/>
                <a:graphic xmlns:a="http://schemas.openxmlformats.org/drawingml/2006/main">
                  <a:graphicData uri="http://schemas.microsoft.com/office/word/2010/wordprocessingShape">
                    <wps:wsp>
                      <wps:cNvSpPr txBox="1"/>
                      <wps:spPr>
                        <a:xfrm>
                          <a:off x="0" y="0"/>
                          <a:ext cx="561340" cy="405765"/>
                        </a:xfrm>
                        <a:prstGeom prst="rect">
                          <a:avLst/>
                        </a:prstGeom>
                        <a:noFill/>
                        <a:ln w="6350">
                          <a:noFill/>
                        </a:ln>
                      </wps:spPr>
                      <wps:txbx>
                        <w:txbxContent>
                          <w:p w14:paraId="3EA62709" w14:textId="77777777" w:rsidR="00B94D21" w:rsidRPr="0006088C" w:rsidRDefault="00B94D21" w:rsidP="00B94D21">
                            <w:pPr>
                              <w:pStyle w:val="Web"/>
                              <w:spacing w:before="0" w:beforeAutospacing="0" w:after="0" w:afterAutospacing="0"/>
                              <w:jc w:val="center"/>
                              <w:rPr>
                                <w:sz w:val="16"/>
                                <w:szCs w:val="16"/>
                              </w:rPr>
                            </w:pPr>
                            <w:r>
                              <w:rPr>
                                <w:rFonts w:ascii="ＭＳ ゴシック" w:eastAsia="ＭＳ 明朝" w:hAnsi="ＭＳ ゴシック" w:cs="Times New Roman" w:hint="eastAsia"/>
                                <w:b/>
                                <w:bCs/>
                                <w:color w:val="F2F2F2"/>
                                <w:kern w:val="2"/>
                                <w:sz w:val="16"/>
                                <w:szCs w:val="16"/>
                              </w:rPr>
                              <w:t>2</w:t>
                            </w:r>
                            <w:r>
                              <w:rPr>
                                <w:rFonts w:ascii="ＭＳ ゴシック" w:eastAsia="ＭＳ 明朝" w:hAnsi="ＭＳ ゴシック" w:cs="Times New Roman"/>
                                <w:b/>
                                <w:bCs/>
                                <w:color w:val="F2F2F2"/>
                                <w:kern w:val="2"/>
                                <w:sz w:val="16"/>
                                <w:szCs w:val="16"/>
                              </w:rPr>
                              <w:t>週</w:t>
                            </w:r>
                          </w:p>
                        </w:txbxContent>
                      </wps:txbx>
                      <wps:bodyPr rot="0" spcFirstLastPara="0"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shape w14:anchorId="1ED42E5E" id="_x0000_s1028" type="#_x0000_t202" style="position:absolute;left:0;text-align:left;margin-left:-54.3pt;margin-top:472.75pt;width:44.2pt;height:31.95pt;z-index:2542745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" filled="f" stroked="f" strokeweight=".5pt">
                <v:textbox>
                  <w:txbxContent>
                    <w:p w14:paraId="3EA62709" w14:textId="77777777" w:rsidR="00B94D21" w:rsidRPr="0006088C" w:rsidRDefault="00B94D21" w:rsidP="00B94D21">
                      <w:pPr>
                        <w:pStyle w:val="Web"/>
                        <w:spacing w:before="0" w:beforeAutospacing="0" w:after="0" w:afterAutospacing="0"/>
                        <w:jc w:val="center"/>
                        <w:rPr>
                          <w:sz w:val="16"/>
                          <w:szCs w:val="16"/>
                        </w:rPr>
                      </w:pPr>
                      <w:r>
                        <w:rPr>
                          <w:rFonts w:ascii="ＭＳ ゴシック" w:eastAsia="ＭＳ 明朝" w:hAnsi="ＭＳ ゴシック" w:cs="Times New Roman" w:hint="eastAsia"/>
                          <w:b/>
                          <w:bCs/>
                          <w:color w:val="F2F2F2"/>
                          <w:kern w:val="2"/>
                          <w:sz w:val="16"/>
                          <w:szCs w:val="16"/>
                        </w:rPr>
                        <w:t>2</w:t>
                      </w:r>
                      <w:r>
                        <w:rPr>
                          <w:rFonts w:ascii="ＭＳ ゴシック" w:eastAsia="ＭＳ 明朝" w:hAnsi="ＭＳ ゴシック" w:cs="Times New Roman"/>
                          <w:b/>
                          <w:bCs/>
                          <w:color w:val="F2F2F2"/>
                          <w:kern w:val="2"/>
                          <w:sz w:val="16"/>
                          <w:szCs w:val="16"/>
                        </w:rPr>
                        <w:t>週</w:t>
                      </w:r>
                    </w:p>
                  </w:txbxContent>
                </v:textbox>
              </v:shape>
            </w:pict>
          </mc:Fallback>
        </mc:AlternateContent>
      </w:r>
      <w:r w:rsidRPr="001D6D10">
        <w:rPr>
          <w:noProof/>
          <w:sz w:val="16"/>
          <w:szCs w:val="16"/>
        </w:rPr>
        <mc:AlternateContent>
          <mc:Choice Requires="wps">
            <w:drawing>
              <wp:anchor distT="0" distB="0" distL="114300" distR="114300" simplePos="0" relativeHeight="254273536" behindDoc="0" locked="0" layoutInCell="1" allowOverlap="1" wp14:anchorId="1E34E168" wp14:editId="6DB8111E">
                <wp:simplePos x="0" y="0"/>
                <wp:positionH relativeFrom="column">
                  <wp:posOffset>-678757</wp:posOffset>
                </wp:positionH>
                <wp:positionV relativeFrom="paragraph">
                  <wp:posOffset>5353685</wp:posOffset>
                </wp:positionV>
                <wp:extent cx="534670" cy="447675"/>
                <wp:effectExtent l="0" t="0" r="0" b="0"/>
                <wp:wrapNone/>
                <wp:docPr id="2452" name="テキスト ボックス 237"/>
                <wp:cNvGraphicFramePr/>
                <a:graphic xmlns:a="http://schemas.openxmlformats.org/drawingml/2006/main">
                  <a:graphicData uri="http://schemas.microsoft.com/office/word/2010/wordprocessingShape">
                    <wps:wsp>
                      <wps:cNvSpPr txBox="1"/>
                      <wps:spPr>
                        <a:xfrm>
                          <a:off x="0" y="0"/>
                          <a:ext cx="534670" cy="447675"/>
                        </a:xfrm>
                        <a:prstGeom prst="rect">
                          <a:avLst/>
                        </a:prstGeom>
                        <a:noFill/>
                        <a:ln w="6350">
                          <a:noFill/>
                        </a:ln>
                      </wps:spPr>
                      <wps:txbx>
                        <w:txbxContent>
                          <w:p w14:paraId="073457D2" w14:textId="77777777" w:rsidR="00B94D21" w:rsidRPr="0006088C" w:rsidRDefault="00B94D21" w:rsidP="00B94D21">
                            <w:pPr>
                              <w:pStyle w:val="Web"/>
                              <w:spacing w:before="0" w:beforeAutospacing="0" w:after="0" w:afterAutospacing="0"/>
                              <w:jc w:val="center"/>
                              <w:rPr>
                                <w:sz w:val="16"/>
                                <w:szCs w:val="16"/>
                              </w:rPr>
                            </w:pPr>
                            <w:r>
                              <w:rPr>
                                <w:rFonts w:ascii="ＭＳ ゴシック" w:eastAsia="ＭＳ 明朝" w:hAnsi="ＭＳ ゴシック" w:cs="Times New Roman" w:hint="eastAsia"/>
                                <w:b/>
                                <w:bCs/>
                                <w:color w:val="F2F2F2"/>
                                <w:kern w:val="2"/>
                                <w:sz w:val="16"/>
                                <w:szCs w:val="16"/>
                              </w:rPr>
                              <w:t>7</w:t>
                            </w:r>
                            <w:r>
                              <w:rPr>
                                <w:rFonts w:ascii="ＭＳ ゴシック" w:eastAsia="ＭＳ 明朝" w:hAnsi="ＭＳ ゴシック" w:cs="Times New Roman" w:hint="eastAsia"/>
                                <w:b/>
                                <w:bCs/>
                                <w:color w:val="F2F2F2"/>
                                <w:kern w:val="2"/>
                                <w:sz w:val="16"/>
                                <w:szCs w:val="16"/>
                              </w:rPr>
                              <w:t>日</w:t>
                            </w:r>
                          </w:p>
                        </w:txbxContent>
                      </wps:txbx>
                      <wps:bodyPr rot="0" spcFirstLastPara="0"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shape w14:anchorId="1E34E168" id="_x0000_s1029" type="#_x0000_t202" style="position:absolute;left:0;text-align:left;margin-left:-53.45pt;margin-top:421.55pt;width:42.1pt;height:35.25pt;z-index:2542735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" filled="f" stroked="f" strokeweight=".5pt">
                <v:textbox>
                  <w:txbxContent>
                    <w:p w14:paraId="073457D2" w14:textId="77777777" w:rsidR="00B94D21" w:rsidRPr="0006088C" w:rsidRDefault="00B94D21" w:rsidP="00B94D21">
                      <w:pPr>
                        <w:pStyle w:val="Web"/>
                        <w:spacing w:before="0" w:beforeAutospacing="0" w:after="0" w:afterAutospacing="0"/>
                        <w:jc w:val="center"/>
                        <w:rPr>
                          <w:sz w:val="16"/>
                          <w:szCs w:val="16"/>
                        </w:rPr>
                      </w:pPr>
                      <w:r>
                        <w:rPr>
                          <w:rFonts w:ascii="ＭＳ ゴシック" w:eastAsia="ＭＳ 明朝" w:hAnsi="ＭＳ ゴシック" w:cs="Times New Roman" w:hint="eastAsia"/>
                          <w:b/>
                          <w:bCs/>
                          <w:color w:val="F2F2F2"/>
                          <w:kern w:val="2"/>
                          <w:sz w:val="16"/>
                          <w:szCs w:val="16"/>
                        </w:rPr>
                        <w:t>7</w:t>
                      </w:r>
                      <w:r>
                        <w:rPr>
                          <w:rFonts w:ascii="ＭＳ ゴシック" w:eastAsia="ＭＳ 明朝" w:hAnsi="ＭＳ ゴシック" w:cs="Times New Roman" w:hint="eastAsia"/>
                          <w:b/>
                          <w:bCs/>
                          <w:color w:val="F2F2F2"/>
                          <w:kern w:val="2"/>
                          <w:sz w:val="16"/>
                          <w:szCs w:val="16"/>
                        </w:rPr>
                        <w:t>日</w:t>
                      </w:r>
                    </w:p>
                  </w:txbxContent>
                </v:textbox>
              </v:shape>
            </w:pict>
          </mc:Fallback>
        </mc:AlternateContent>
      </w:r>
      <w:r w:rsidRPr="001D6D10">
        <w:rPr>
          <w:noProof/>
        </w:rPr>
        <mc:AlternateContent>
          <mc:Choice Requires="wps">
            <w:drawing>
              <wp:anchor distT="0" distB="0" distL="114300" distR="114300" simplePos="0" relativeHeight="254267392" behindDoc="0" locked="0" layoutInCell="1" allowOverlap="1" wp14:anchorId="4975B0E5" wp14:editId="43102AEA">
                <wp:simplePos x="0" y="0"/>
                <wp:positionH relativeFrom="column">
                  <wp:posOffset>-715935</wp:posOffset>
                </wp:positionH>
                <wp:positionV relativeFrom="paragraph">
                  <wp:posOffset>5379663</wp:posOffset>
                </wp:positionV>
                <wp:extent cx="616588" cy="247015"/>
                <wp:effectExtent l="0" t="24765" r="25400" b="44450"/>
                <wp:wrapNone/>
                <wp:docPr id="2446" name="山形 26"/>
                <wp:cNvGraphicFramePr/>
                <a:graphic xmlns:a="http://schemas.openxmlformats.org/drawingml/2006/main">
                  <a:graphicData uri="http://schemas.microsoft.com/office/word/2010/wordprocessingShape">
                    <wps:wsp>
                      <wps:cNvSpPr/>
                      <wps:spPr>
                        <a:xfrm rot="5400000">
                          <a:off x="0" y="0"/>
                          <a:ext cx="616588" cy="247015"/>
                        </a:xfrm>
                        <a:prstGeom prst="chevron">
                          <a:avLst>
                            <a:gd name="adj" fmla="val 39286"/>
                          </a:avLst>
                        </a:prstGeom>
                        <a:solidFill>
                          <a:schemeClr val="tx2">
                            <a:lumMod val="60000"/>
                            <a:lumOff val="40000"/>
                          </a:schemeClr>
                        </a:solidFill>
                      </wps:spPr>
                      <wps:style>
                        <a:lnRef idx="2">
                          <a:schemeClr val="accent1">
                            <a:shade val="50000"/>
                          </a:schemeClr>
                        </a:lnRef>
                        <a:fillRef idx="1">
                          <a:schemeClr val="accent1"/>
                        </a:fillRef>
                        <a:effectRef idx="0">
                          <a:schemeClr val="accent1"/>
                        </a:effectRef>
                        <a:fontRef idx="minor">
                          <a:schemeClr val="lt1"/>
                        </a:fontRef>
                      </wps:style>
                      <wps:bodyPr rtlCol="0" anchor="ctr"/>
                    </wps:wsp>
                  </a:graphicData>
                </a:graphic>
                <wp14:sizeRelH relativeFrom="margin">
                  <wp14:pctWidth>0</wp14:pctWidth>
                </wp14:sizeRelH>
                <wp14:sizeRelV relativeFrom="margin">
                  <wp14:pctHeight>0</wp14:pctHeight>
                </wp14:sizeRelV>
              </wp:anchor>
            </w:drawing>
          </mc:Choice>
          <mc:Fallback xmlns:w16cei="http://schemas.microsoft.com/office/word/2026/wordml/cei">
            <w:pict>
              <v:shape w14:anchorId="7626742A" id="山形 26" o:spid="_x0000_s1026" type="#_x0000_t55" style="position:absolute;left:0;text-align:left;margin-left:-56.35pt;margin-top:423.6pt;width:48.55pt;height:19.45pt;rotation:90;z-index:2542673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" adj="18200" fillcolor="#548dd4 [1951]" strokecolor="#243f60 [1604]" strokeweight="2pt"/>
            </w:pict>
          </mc:Fallback>
        </mc:AlternateContent>
      </w:r>
      <w:r w:rsidRPr="001D6D10">
        <w:rPr>
          <w:noProof/>
        </w:rPr>
        <mc:AlternateContent>
          <mc:Choice Requires="wps">
            <w:drawing>
              <wp:anchor distT="0" distB="0" distL="114300" distR="114300" simplePos="0" relativeHeight="254266368" behindDoc="0" locked="0" layoutInCell="1" allowOverlap="1" wp14:anchorId="5E4B3829" wp14:editId="06B65EFB">
                <wp:simplePos x="0" y="0"/>
                <wp:positionH relativeFrom="column">
                  <wp:posOffset>-1052830</wp:posOffset>
                </wp:positionH>
                <wp:positionV relativeFrom="paragraph">
                  <wp:posOffset>4294505</wp:posOffset>
                </wp:positionV>
                <wp:extent cx="1304290" cy="255270"/>
                <wp:effectExtent l="0" t="27940" r="20320" b="39370"/>
                <wp:wrapNone/>
                <wp:docPr id="2445" name="山形 26"/>
                <wp:cNvGraphicFramePr/>
                <a:graphic xmlns:a="http://schemas.openxmlformats.org/drawingml/2006/main">
                  <a:graphicData uri="http://schemas.microsoft.com/office/word/2010/wordprocessingShape">
                    <wps:wsp>
                      <wps:cNvSpPr/>
                      <wps:spPr>
                        <a:xfrm rot="5400000">
                          <a:off x="0" y="0"/>
                          <a:ext cx="1304290" cy="255270"/>
                        </a:xfrm>
                        <a:prstGeom prst="chevron">
                          <a:avLst>
                            <a:gd name="adj" fmla="val 39286"/>
                          </a:avLst>
                        </a:prstGeom>
                        <a:solidFill>
                          <a:schemeClr val="tx2">
                            <a:lumMod val="60000"/>
                            <a:lumOff val="40000"/>
                          </a:schemeClr>
                        </a:solidFill>
                      </wps:spPr>
                      <wps:style>
                        <a:lnRef idx="2">
                          <a:schemeClr val="accent1">
                            <a:shade val="50000"/>
                          </a:schemeClr>
                        </a:lnRef>
                        <a:fillRef idx="1">
                          <a:schemeClr val="accent1"/>
                        </a:fillRef>
                        <a:effectRef idx="0">
                          <a:schemeClr val="accent1"/>
                        </a:effectRef>
                        <a:fontRef idx="minor">
                          <a:schemeClr val="lt1"/>
                        </a:fontRef>
                      </wps:style>
                      <wps:bodyPr rtlCol="0" anchor="ctr"/>
                    </wps:wsp>
                  </a:graphicData>
                </a:graphic>
                <wp14:sizeRelH relativeFrom="margin">
                  <wp14:pctWidth>0</wp14:pctWidth>
                </wp14:sizeRelH>
                <wp14:sizeRelV relativeFrom="margin">
                  <wp14:pctHeight>0</wp14:pctHeight>
                </wp14:sizeRelV>
              </wp:anchor>
            </w:drawing>
          </mc:Choice>
          <mc:Fallback xmlns:w16cei="http://schemas.microsoft.com/office/word/2026/wordml/cei">
            <w:pict>
              <v:shape w14:anchorId="6562A171" id="山形 26" o:spid="_x0000_s1026" type="#_x0000_t55" style="position:absolute;left:0;text-align:left;margin-left:-82.9pt;margin-top:338.15pt;width:102.7pt;height:20.1pt;rotation:90;z-index:2542663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" adj="19939" fillcolor="#548dd4 [1951]" strokecolor="#243f60 [1604]" strokeweight="2pt"/>
            </w:pict>
          </mc:Fallback>
        </mc:AlternateContent>
      </w:r>
      <w:r w:rsidRPr="001D6D10">
        <w:rPr>
          <w:noProof/>
          <w:sz w:val="16"/>
          <w:szCs w:val="16"/>
        </w:rPr>
        <mc:AlternateContent>
          <mc:Choice Requires="wps">
            <w:drawing>
              <wp:anchor distT="0" distB="0" distL="114300" distR="114300" simplePos="0" relativeHeight="254271488" behindDoc="0" locked="0" layoutInCell="1" allowOverlap="1" wp14:anchorId="1D666DBF" wp14:editId="7D8CF274">
                <wp:simplePos x="0" y="0"/>
                <wp:positionH relativeFrom="column">
                  <wp:posOffset>-671195</wp:posOffset>
                </wp:positionH>
                <wp:positionV relativeFrom="paragraph">
                  <wp:posOffset>2948940</wp:posOffset>
                </wp:positionV>
                <wp:extent cx="561340" cy="405765"/>
                <wp:effectExtent l="0" t="0" r="0" b="0"/>
                <wp:wrapNone/>
                <wp:docPr id="2450" name="テキスト ボックス 237"/>
                <wp:cNvGraphicFramePr/>
                <a:graphic xmlns:a="http://schemas.openxmlformats.org/drawingml/2006/main">
                  <a:graphicData uri="http://schemas.microsoft.com/office/word/2010/wordprocessingShape">
                    <wps:wsp>
                      <wps:cNvSpPr txBox="1"/>
                      <wps:spPr>
                        <a:xfrm>
                          <a:off x="0" y="0"/>
                          <a:ext cx="561340" cy="405765"/>
                        </a:xfrm>
                        <a:prstGeom prst="rect">
                          <a:avLst/>
                        </a:prstGeom>
                        <a:noFill/>
                        <a:ln w="6350">
                          <a:noFill/>
                        </a:ln>
                      </wps:spPr>
                      <wps:txbx>
                        <w:txbxContent>
                          <w:p w14:paraId="7E19B4B4" w14:textId="77777777" w:rsidR="00B94D21" w:rsidRPr="0006088C" w:rsidRDefault="00B94D21" w:rsidP="00B94D21">
                            <w:pPr>
                              <w:pStyle w:val="Web"/>
                              <w:spacing w:before="0" w:beforeAutospacing="0" w:after="0" w:afterAutospacing="0"/>
                              <w:jc w:val="center"/>
                              <w:rPr>
                                <w:sz w:val="16"/>
                                <w:szCs w:val="16"/>
                              </w:rPr>
                            </w:pPr>
                            <w:r>
                              <w:rPr>
                                <w:rFonts w:ascii="ＭＳ ゴシック" w:eastAsia="ＭＳ 明朝" w:hAnsi="ＭＳ ゴシック" w:cs="Times New Roman" w:hint="eastAsia"/>
                                <w:b/>
                                <w:bCs/>
                                <w:color w:val="F2F2F2"/>
                                <w:kern w:val="2"/>
                                <w:sz w:val="16"/>
                                <w:szCs w:val="16"/>
                              </w:rPr>
                              <w:t>24</w:t>
                            </w:r>
                            <w:r w:rsidRPr="0006088C">
                              <w:rPr>
                                <w:rFonts w:ascii="Century" w:eastAsia="ＭＳ ゴシック" w:hAnsi="ＭＳ ゴシック" w:cs="Times New Roman" w:hint="eastAsia"/>
                                <w:b/>
                                <w:bCs/>
                                <w:color w:val="F2F2F2"/>
                                <w:kern w:val="2"/>
                                <w:sz w:val="16"/>
                                <w:szCs w:val="16"/>
                              </w:rPr>
                              <w:t>ｈ</w:t>
                            </w:r>
                          </w:p>
                        </w:txbxContent>
                      </wps:txbx>
                      <wps:bodyPr rot="0" spcFirstLastPara="0"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shape w14:anchorId="1D666DBF" id="_x0000_s1030" type="#_x0000_t202" style="position:absolute;left:0;text-align:left;margin-left:-52.85pt;margin-top:232.2pt;width:44.2pt;height:31.95pt;z-index:2542714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" filled="f" stroked="f" strokeweight=".5pt">
                <v:textbox>
                  <w:txbxContent>
                    <w:p w14:paraId="7E19B4B4" w14:textId="77777777" w:rsidR="00B94D21" w:rsidRPr="0006088C" w:rsidRDefault="00B94D21" w:rsidP="00B94D21">
                      <w:pPr>
                        <w:pStyle w:val="Web"/>
                        <w:spacing w:before="0" w:beforeAutospacing="0" w:after="0" w:afterAutospacing="0"/>
                        <w:jc w:val="center"/>
                        <w:rPr>
                          <w:sz w:val="16"/>
                          <w:szCs w:val="16"/>
                        </w:rPr>
                      </w:pPr>
                      <w:r>
                        <w:rPr>
                          <w:rFonts w:ascii="ＭＳ ゴシック" w:eastAsia="ＭＳ 明朝" w:hAnsi="ＭＳ ゴシック" w:cs="Times New Roman" w:hint="eastAsia"/>
                          <w:b/>
                          <w:bCs/>
                          <w:color w:val="F2F2F2"/>
                          <w:kern w:val="2"/>
                          <w:sz w:val="16"/>
                          <w:szCs w:val="16"/>
                        </w:rPr>
                        <w:t>24</w:t>
                      </w:r>
                      <w:r w:rsidRPr="0006088C">
                        <w:rPr>
                          <w:rFonts w:ascii="Century" w:eastAsia="ＭＳ ゴシック" w:hAnsi="ＭＳ ゴシック" w:cs="Times New Roman" w:hint="eastAsia"/>
                          <w:b/>
                          <w:bCs/>
                          <w:color w:val="F2F2F2"/>
                          <w:kern w:val="2"/>
                          <w:sz w:val="16"/>
                          <w:szCs w:val="16"/>
                        </w:rPr>
                        <w:t>ｈ</w:t>
                      </w:r>
                    </w:p>
                  </w:txbxContent>
                </v:textbox>
              </v:shape>
            </w:pict>
          </mc:Fallback>
        </mc:AlternateContent>
      </w:r>
      <w:r w:rsidRPr="001D6D10">
        <w:rPr>
          <w:noProof/>
        </w:rPr>
        <mc:AlternateContent>
          <mc:Choice Requires="wps">
            <w:drawing>
              <wp:anchor distT="0" distB="0" distL="114300" distR="114300" simplePos="0" relativeHeight="254265344" behindDoc="0" locked="0" layoutInCell="1" allowOverlap="1" wp14:anchorId="233E4394" wp14:editId="26B34CEC">
                <wp:simplePos x="0" y="0"/>
                <wp:positionH relativeFrom="column">
                  <wp:posOffset>-927894</wp:posOffset>
                </wp:positionH>
                <wp:positionV relativeFrom="paragraph">
                  <wp:posOffset>2999898</wp:posOffset>
                </wp:positionV>
                <wp:extent cx="1047433" cy="251460"/>
                <wp:effectExtent l="0" t="21272" r="17462" b="36513"/>
                <wp:wrapNone/>
                <wp:docPr id="2439" name="山形 26"/>
                <wp:cNvGraphicFramePr/>
                <a:graphic xmlns:a="http://schemas.openxmlformats.org/drawingml/2006/main">
                  <a:graphicData uri="http://schemas.microsoft.com/office/word/2010/wordprocessingShape">
                    <wps:wsp>
                      <wps:cNvSpPr/>
                      <wps:spPr>
                        <a:xfrm rot="5400000">
                          <a:off x="0" y="0"/>
                          <a:ext cx="1047433" cy="251460"/>
                        </a:xfrm>
                        <a:prstGeom prst="chevron">
                          <a:avLst>
                            <a:gd name="adj" fmla="val 39286"/>
                          </a:avLst>
                        </a:prstGeom>
                        <a:solidFill>
                          <a:schemeClr val="tx2">
                            <a:lumMod val="60000"/>
                            <a:lumOff val="40000"/>
                          </a:schemeClr>
                        </a:solidFill>
                      </wps:spPr>
                      <wps:style>
                        <a:lnRef idx="2">
                          <a:schemeClr val="accent1">
                            <a:shade val="50000"/>
                          </a:schemeClr>
                        </a:lnRef>
                        <a:fillRef idx="1">
                          <a:schemeClr val="accent1"/>
                        </a:fillRef>
                        <a:effectRef idx="0">
                          <a:schemeClr val="accent1"/>
                        </a:effectRef>
                        <a:fontRef idx="minor">
                          <a:schemeClr val="lt1"/>
                        </a:fontRef>
                      </wps:style>
                      <wps:bodyPr rtlCol="0" anchor="ctr"/>
                    </wps:wsp>
                  </a:graphicData>
                </a:graphic>
                <wp14:sizeRelH relativeFrom="margin">
                  <wp14:pctWidth>0</wp14:pctWidth>
                </wp14:sizeRelH>
                <wp14:sizeRelV relativeFrom="margin">
                  <wp14:pctHeight>0</wp14:pctHeight>
                </wp14:sizeRelV>
              </wp:anchor>
            </w:drawing>
          </mc:Choice>
          <mc:Fallback xmlns:w16cei="http://schemas.microsoft.com/office/word/2026/wordml/cei">
            <w:pict>
              <v:shape w14:anchorId="4A309A85" id="山形 26" o:spid="_x0000_s1026" type="#_x0000_t55" style="position:absolute;left:0;text-align:left;margin-left:-73.05pt;margin-top:236.2pt;width:82.5pt;height:19.8pt;rotation:90;z-index:2542653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" adj="19563" fillcolor="#548dd4 [1951]" strokecolor="#243f60 [1604]" strokeweight="2pt"/>
            </w:pict>
          </mc:Fallback>
        </mc:AlternateContent>
      </w:r>
      <w:r w:rsidRPr="001D6D10">
        <w:rPr>
          <w:noProof/>
        </w:rPr>
        <mc:AlternateContent>
          <mc:Choice Requires="wps">
            <w:drawing>
              <wp:anchor distT="0" distB="0" distL="114300" distR="114300" simplePos="0" relativeHeight="254264320" behindDoc="0" locked="0" layoutInCell="1" allowOverlap="1" wp14:anchorId="479AD080" wp14:editId="193DA561">
                <wp:simplePos x="0" y="0"/>
                <wp:positionH relativeFrom="column">
                  <wp:posOffset>-1351280</wp:posOffset>
                </wp:positionH>
                <wp:positionV relativeFrom="paragraph">
                  <wp:posOffset>1390015</wp:posOffset>
                </wp:positionV>
                <wp:extent cx="1910080" cy="252730"/>
                <wp:effectExtent l="0" t="9525" r="23495" b="23495"/>
                <wp:wrapNone/>
                <wp:docPr id="2438" name="ホームベース 1"/>
                <wp:cNvGraphicFramePr/>
                <a:graphic xmlns:a="http://schemas.openxmlformats.org/drawingml/2006/main">
                  <a:graphicData uri="http://schemas.microsoft.com/office/word/2010/wordprocessingShape">
                    <wps:wsp>
                      <wps:cNvSpPr/>
                      <wps:spPr>
                        <a:xfrm rot="5400000">
                          <a:off x="0" y="0"/>
                          <a:ext cx="1910080" cy="252730"/>
                        </a:xfrm>
                        <a:prstGeom prst="homePlate">
                          <a:avLst/>
                        </a:prstGeom>
                        <a:solidFill>
                          <a:schemeClr val="tx2">
                            <a:lumMod val="60000"/>
                            <a:lumOff val="40000"/>
                          </a:schemeClr>
                        </a:solidFill>
                      </wps:spPr>
                      <wps:style>
                        <a:lnRef idx="2">
                          <a:schemeClr val="accent1">
                            <a:shade val="50000"/>
                          </a:schemeClr>
                        </a:lnRef>
                        <a:fillRef idx="1">
                          <a:schemeClr val="accent1"/>
                        </a:fillRef>
                        <a:effectRef idx="0">
                          <a:schemeClr val="accent1"/>
                        </a:effectRef>
                        <a:fontRef idx="minor">
                          <a:schemeClr val="lt1"/>
                        </a:fontRef>
                      </wps:style>
                      <wps:bodyPr rtlCol="0" anchor="ctr"/>
                    </wps:wsp>
                  </a:graphicData>
                </a:graphic>
                <wp14:sizeRelH relativeFrom="margin">
                  <wp14:pctWidth>0</wp14:pctWidth>
                </wp14:sizeRelH>
                <wp14:sizeRelV relativeFrom="margin">
                  <wp14:pctHeight>0</wp14:pctHeight>
                </wp14:sizeRelV>
              </wp:anchor>
            </w:drawing>
          </mc:Choice>
          <mc:Fallback xmlns:w16cei="http://schemas.microsoft.com/office/word/2026/wordml/cei">
            <w:pict>
              <v:shapetype w14:anchorId="1D6850AF" id="_x0000_t15" coordsize="21600,21600" o:spt="15" adj="16200" path="m@0,l,,,21600@0,21600,21600,10800xe">
                <v:stroke joinstyle="miter"/>
                <v:formulas>
                  <v:f eqn="val #0"/>
                  <v:f eqn="prod #0 1 2"/>
                </v:formulas>
                <v:path gradientshapeok="t" o:connecttype="custom" o:connectlocs="@1,0;0,10800;@1,21600;21600,10800" o:connectangles="270,180,90,0" textboxrect="0,0,10800,21600;0,0,16200,21600;0,0,21600,21600"/>
                <v:handles>
                  <v:h position="#0,topLeft" xrange="0,21600"/>
                </v:handles>
              </v:shapetype>
              <v:shape id="ホームベース 1" o:spid="_x0000_s1026" type="#_x0000_t15" style="position:absolute;left:0;text-align:left;margin-left:-106.4pt;margin-top:109.45pt;width:150.4pt;height:19.9pt;rotation:90;z-index:2542643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" adj="20171" fillcolor="#548dd4 [1951]" strokecolor="#243f60 [1604]" strokeweight="2pt"/>
            </w:pict>
          </mc:Fallback>
        </mc:AlternateContent>
      </w:r>
      <w:r w:rsidRPr="001D6D10">
        <w:rPr>
          <w:noProof/>
          <w:sz w:val="16"/>
          <w:szCs w:val="16"/>
        </w:rPr>
        <mc:AlternateContent>
          <mc:Choice Requires="wps">
            <w:drawing>
              <wp:anchor distT="0" distB="0" distL="114300" distR="114300" simplePos="0" relativeHeight="254270464" behindDoc="0" locked="0" layoutInCell="1" allowOverlap="1" wp14:anchorId="6CFE3CC6" wp14:editId="706E5D28">
                <wp:simplePos x="0" y="0"/>
                <wp:positionH relativeFrom="column">
                  <wp:posOffset>-565785</wp:posOffset>
                </wp:positionH>
                <wp:positionV relativeFrom="paragraph">
                  <wp:posOffset>1343660</wp:posOffset>
                </wp:positionV>
                <wp:extent cx="450215" cy="443230"/>
                <wp:effectExtent l="0" t="0" r="0" b="0"/>
                <wp:wrapNone/>
                <wp:docPr id="2449" name="テキスト ボックス 237"/>
                <wp:cNvGraphicFramePr/>
                <a:graphic xmlns:a="http://schemas.openxmlformats.org/drawingml/2006/main">
                  <a:graphicData uri="http://schemas.microsoft.com/office/word/2010/wordprocessingShape">
                    <wps:wsp>
                      <wps:cNvSpPr txBox="1"/>
                      <wps:spPr>
                        <a:xfrm>
                          <a:off x="0" y="0"/>
                          <a:ext cx="450215" cy="443230"/>
                        </a:xfrm>
                        <a:prstGeom prst="rect">
                          <a:avLst/>
                        </a:prstGeom>
                        <a:noFill/>
                        <a:ln w="6350">
                          <a:noFill/>
                        </a:ln>
                      </wps:spPr>
                      <wps:txbx>
                        <w:txbxContent>
                          <w:p w14:paraId="3B365E0B" w14:textId="77777777" w:rsidR="00B94D21" w:rsidRPr="0006088C" w:rsidRDefault="00B94D21" w:rsidP="00B94D21">
                            <w:pPr>
                              <w:pStyle w:val="Web"/>
                              <w:spacing w:before="0" w:beforeAutospacing="0" w:after="0" w:afterAutospacing="0"/>
                              <w:jc w:val="both"/>
                              <w:rPr>
                                <w:sz w:val="16"/>
                                <w:szCs w:val="16"/>
                              </w:rPr>
                            </w:pPr>
                            <w:r w:rsidRPr="0006088C">
                              <w:rPr>
                                <w:rFonts w:ascii="ＭＳ ゴシック" w:eastAsia="ＭＳ 明朝" w:hAnsi="ＭＳ ゴシック" w:cs="Times New Roman" w:hint="eastAsia"/>
                                <w:b/>
                                <w:bCs/>
                                <w:color w:val="F2F2F2"/>
                                <w:kern w:val="2"/>
                                <w:sz w:val="16"/>
                                <w:szCs w:val="16"/>
                              </w:rPr>
                              <w:t>3</w:t>
                            </w:r>
                            <w:r w:rsidRPr="0006088C">
                              <w:rPr>
                                <w:rFonts w:ascii="Century" w:eastAsia="ＭＳ ゴシック" w:hAnsi="ＭＳ ゴシック" w:cs="Times New Roman" w:hint="eastAsia"/>
                                <w:b/>
                                <w:bCs/>
                                <w:color w:val="F2F2F2"/>
                                <w:kern w:val="2"/>
                                <w:sz w:val="16"/>
                                <w:szCs w:val="16"/>
                              </w:rPr>
                              <w:t>ｈ</w:t>
                            </w:r>
                          </w:p>
                          <w:p w14:paraId="2FC2A131" w14:textId="77777777" w:rsidR="00B94D21" w:rsidRDefault="00B94D21" w:rsidP="00B94D21"/>
                        </w:txbxContent>
                      </wps:txbx>
                      <wps:bodyPr rot="0" spcFirstLastPara="0"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shape w14:anchorId="6CFE3CC6" id="_x0000_s1031" type="#_x0000_t202" style="position:absolute;left:0;text-align:left;margin-left:-44.55pt;margin-top:105.8pt;width:35.45pt;height:34.9pt;z-index:2542704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" filled="f" stroked="f" strokeweight=".5pt">
                <v:textbox>
                  <w:txbxContent>
                    <w:p w14:paraId="3B365E0B" w14:textId="77777777" w:rsidR="00B94D21" w:rsidRPr="0006088C" w:rsidRDefault="00B94D21" w:rsidP="00B94D21">
                      <w:pPr>
                        <w:pStyle w:val="Web"/>
                        <w:spacing w:before="0" w:beforeAutospacing="0" w:after="0" w:afterAutospacing="0"/>
                        <w:jc w:val="both"/>
                        <w:rPr>
                          <w:sz w:val="16"/>
                          <w:szCs w:val="16"/>
                        </w:rPr>
                      </w:pPr>
                      <w:r w:rsidRPr="0006088C">
                        <w:rPr>
                          <w:rFonts w:ascii="ＭＳ ゴシック" w:eastAsia="ＭＳ 明朝" w:hAnsi="ＭＳ ゴシック" w:cs="Times New Roman" w:hint="eastAsia"/>
                          <w:b/>
                          <w:bCs/>
                          <w:color w:val="F2F2F2"/>
                          <w:kern w:val="2"/>
                          <w:sz w:val="16"/>
                          <w:szCs w:val="16"/>
                        </w:rPr>
                        <w:t>3</w:t>
                      </w:r>
                      <w:r w:rsidRPr="0006088C">
                        <w:rPr>
                          <w:rFonts w:ascii="Century" w:eastAsia="ＭＳ ゴシック" w:hAnsi="ＭＳ ゴシック" w:cs="Times New Roman" w:hint="eastAsia"/>
                          <w:b/>
                          <w:bCs/>
                          <w:color w:val="F2F2F2"/>
                          <w:kern w:val="2"/>
                          <w:sz w:val="16"/>
                          <w:szCs w:val="16"/>
                        </w:rPr>
                        <w:t>ｈ</w:t>
                      </w:r>
                    </w:p>
                    <w:p w14:paraId="2FC2A131" w14:textId="77777777" w:rsidR="00B94D21" w:rsidRDefault="00B94D21" w:rsidP="00B94D21"/>
                  </w:txbxContent>
                </v:textbox>
              </v:shape>
            </w:pict>
          </mc:Fallback>
        </mc:AlternateContent>
      </w:r>
      <w:r w:rsidRPr="001D6D10">
        <w:rPr>
          <w:rFonts w:hint="eastAsia"/>
        </w:rPr>
        <w:t>第１　災害発生時タイムライン</w:t>
      </w:r>
      <w:bookmarkEnd w:id="22"/>
      <w:bookmarkEnd w:id="23"/>
      <w:bookmarkEnd w:id="24"/>
    </w:p>
    <w:tbl>
      <w:tblPr>
        <w:tblW w:w="5865" w:type="pct"/>
        <w:tblInd w:w="-294" w:type="dxa"/>
        <w:tblCellMar>
          <w:left w:w="0" w:type="dxa"/>
          <w:right w:w="0" w:type="dxa"/>
        </w:tblCellMar>
        <w:tblLook w:val="0420" w:firstRow="1" w:lastRow="0" w:firstColumn="0" w:lastColumn="0" w:noHBand="0" w:noVBand="1"/>
      </w:tblPr>
      <w:tblGrid>
        <w:gridCol w:w="1986"/>
        <w:gridCol w:w="1985"/>
        <w:gridCol w:w="1954"/>
        <w:gridCol w:w="2296"/>
        <w:gridCol w:w="2130"/>
      </w:tblGrid>
      <w:tr w:rsidR="00B94D21" w:rsidRPr="00E0548A" w14:paraId="5C6AC2B3" w14:textId="77777777" w:rsidTr="00720B32">
        <w:trPr>
          <w:trHeight w:val="283"/>
        </w:trPr>
        <w:tc>
          <w:tcPr>
            <w:tcW w:w="959" w:type="pct"/>
            <w:tcBorders>
              <w:top w:val="single" w:sz="8" w:space="0" w:color="F79646"/>
              <w:left w:val="single" w:sz="8" w:space="0" w:color="F79646"/>
              <w:bottom w:val="single" w:sz="8" w:space="0" w:color="F79646"/>
              <w:right w:val="single" w:sz="8" w:space="0" w:color="F79646"/>
            </w:tcBorders>
            <w:shd w:val="clear" w:color="auto" w:fill="FDEFE9"/>
            <w:tcMar>
              <w:top w:w="72" w:type="dxa"/>
              <w:left w:w="144" w:type="dxa"/>
              <w:bottom w:w="72" w:type="dxa"/>
              <w:right w:w="144" w:type="dxa"/>
            </w:tcMar>
          </w:tcPr>
          <w:p w14:paraId="0A16D8B2" w14:textId="77777777" w:rsidR="00B94D21" w:rsidRPr="00E0548A" w:rsidRDefault="00B94D21" w:rsidP="00720B32">
            <w:pPr>
              <w:jc w:val="center"/>
              <w:rPr>
                <w:rFonts w:asciiTheme="majorEastAsia" w:eastAsiaTheme="majorEastAsia" w:hAnsiTheme="majorEastAsia"/>
                <w:b/>
                <w:sz w:val="20"/>
                <w:szCs w:val="20"/>
              </w:rPr>
            </w:pPr>
            <w:r w:rsidRPr="00E0548A">
              <w:rPr>
                <w:rFonts w:asciiTheme="majorEastAsia" w:eastAsiaTheme="majorEastAsia" w:hAnsiTheme="majorEastAsia" w:hint="eastAsia"/>
                <w:b/>
                <w:sz w:val="20"/>
                <w:szCs w:val="20"/>
              </w:rPr>
              <w:t>庁内対応</w:t>
            </w:r>
          </w:p>
        </w:tc>
        <w:tc>
          <w:tcPr>
            <w:tcW w:w="959" w:type="pct"/>
            <w:tcBorders>
              <w:top w:val="single" w:sz="8" w:space="0" w:color="F79646"/>
              <w:left w:val="single" w:sz="8" w:space="0" w:color="F79646"/>
              <w:bottom w:val="single" w:sz="8" w:space="0" w:color="F79646"/>
              <w:right w:val="single" w:sz="8" w:space="0" w:color="F79646"/>
            </w:tcBorders>
            <w:shd w:val="clear" w:color="auto" w:fill="FDEFE9"/>
            <w:tcMar>
              <w:top w:w="72" w:type="dxa"/>
              <w:left w:w="144" w:type="dxa"/>
              <w:bottom w:w="72" w:type="dxa"/>
              <w:right w:w="144" w:type="dxa"/>
            </w:tcMar>
          </w:tcPr>
          <w:p w14:paraId="2983E33B" w14:textId="77777777" w:rsidR="00B94D21" w:rsidRPr="00E0548A" w:rsidRDefault="00B94D21" w:rsidP="00720B32">
            <w:pPr>
              <w:jc w:val="center"/>
              <w:rPr>
                <w:rFonts w:asciiTheme="majorEastAsia" w:eastAsiaTheme="majorEastAsia" w:hAnsiTheme="majorEastAsia"/>
                <w:b/>
                <w:sz w:val="20"/>
                <w:szCs w:val="20"/>
              </w:rPr>
            </w:pPr>
            <w:r w:rsidRPr="00E0548A">
              <w:rPr>
                <w:rFonts w:asciiTheme="majorEastAsia" w:eastAsiaTheme="majorEastAsia" w:hAnsiTheme="majorEastAsia" w:hint="eastAsia"/>
                <w:b/>
                <w:sz w:val="20"/>
                <w:szCs w:val="20"/>
              </w:rPr>
              <w:t>道路・輸送ルート</w:t>
            </w:r>
          </w:p>
        </w:tc>
        <w:tc>
          <w:tcPr>
            <w:tcW w:w="944" w:type="pct"/>
            <w:tcBorders>
              <w:top w:val="single" w:sz="8" w:space="0" w:color="F79646"/>
              <w:left w:val="single" w:sz="8" w:space="0" w:color="F79646"/>
              <w:bottom w:val="single" w:sz="8" w:space="0" w:color="F79646"/>
              <w:right w:val="single" w:sz="8" w:space="0" w:color="F79646"/>
            </w:tcBorders>
            <w:shd w:val="clear" w:color="auto" w:fill="FDEFE9"/>
            <w:tcMar>
              <w:top w:w="72" w:type="dxa"/>
              <w:left w:w="144" w:type="dxa"/>
              <w:bottom w:w="72" w:type="dxa"/>
              <w:right w:w="144" w:type="dxa"/>
            </w:tcMar>
          </w:tcPr>
          <w:p w14:paraId="43B11B9C" w14:textId="77777777" w:rsidR="00B94D21" w:rsidRPr="00E0548A" w:rsidRDefault="00B94D21" w:rsidP="00720B32">
            <w:pPr>
              <w:jc w:val="center"/>
              <w:rPr>
                <w:rFonts w:asciiTheme="majorEastAsia" w:eastAsiaTheme="majorEastAsia" w:hAnsiTheme="majorEastAsia"/>
                <w:b/>
                <w:sz w:val="18"/>
                <w:szCs w:val="18"/>
              </w:rPr>
            </w:pPr>
            <w:r w:rsidRPr="00E0548A">
              <w:rPr>
                <w:rFonts w:asciiTheme="majorEastAsia" w:eastAsiaTheme="majorEastAsia" w:hAnsiTheme="majorEastAsia" w:hint="eastAsia"/>
                <w:b/>
                <w:sz w:val="18"/>
                <w:szCs w:val="18"/>
              </w:rPr>
              <w:t>救助・救急・消火等</w:t>
            </w:r>
          </w:p>
        </w:tc>
        <w:tc>
          <w:tcPr>
            <w:tcW w:w="1109" w:type="pct"/>
            <w:tcBorders>
              <w:top w:val="single" w:sz="8" w:space="0" w:color="F79646"/>
              <w:left w:val="single" w:sz="8" w:space="0" w:color="F79646"/>
              <w:bottom w:val="single" w:sz="8" w:space="0" w:color="F79646"/>
              <w:right w:val="single" w:sz="8" w:space="0" w:color="F79646"/>
            </w:tcBorders>
            <w:shd w:val="clear" w:color="auto" w:fill="FDEFE9"/>
            <w:tcMar>
              <w:top w:w="72" w:type="dxa"/>
              <w:left w:w="144" w:type="dxa"/>
              <w:bottom w:w="72" w:type="dxa"/>
              <w:right w:w="144" w:type="dxa"/>
            </w:tcMar>
          </w:tcPr>
          <w:p w14:paraId="7C7D0CF4" w14:textId="77777777" w:rsidR="00B94D21" w:rsidRPr="00E0548A" w:rsidRDefault="00B94D21" w:rsidP="00720B32">
            <w:pPr>
              <w:jc w:val="center"/>
              <w:rPr>
                <w:rFonts w:asciiTheme="majorEastAsia" w:eastAsiaTheme="majorEastAsia" w:hAnsiTheme="majorEastAsia"/>
                <w:b/>
                <w:sz w:val="20"/>
                <w:szCs w:val="20"/>
              </w:rPr>
            </w:pPr>
            <w:r w:rsidRPr="00E0548A">
              <w:rPr>
                <w:rFonts w:asciiTheme="majorEastAsia" w:eastAsiaTheme="majorEastAsia" w:hAnsiTheme="majorEastAsia" w:hint="eastAsia"/>
                <w:b/>
                <w:sz w:val="20"/>
                <w:szCs w:val="20"/>
              </w:rPr>
              <w:t>福祉・医療関連</w:t>
            </w:r>
          </w:p>
        </w:tc>
        <w:tc>
          <w:tcPr>
            <w:tcW w:w="1029" w:type="pct"/>
            <w:tcBorders>
              <w:top w:val="single" w:sz="8" w:space="0" w:color="F79646"/>
              <w:left w:val="single" w:sz="8" w:space="0" w:color="F79646"/>
              <w:bottom w:val="single" w:sz="8" w:space="0" w:color="F79646"/>
              <w:right w:val="single" w:sz="8" w:space="0" w:color="F79646"/>
            </w:tcBorders>
            <w:shd w:val="clear" w:color="auto" w:fill="FDEFE9"/>
            <w:tcMar>
              <w:top w:w="72" w:type="dxa"/>
              <w:left w:w="144" w:type="dxa"/>
              <w:bottom w:w="72" w:type="dxa"/>
              <w:right w:w="144" w:type="dxa"/>
            </w:tcMar>
          </w:tcPr>
          <w:p w14:paraId="6466F250" w14:textId="77777777" w:rsidR="00B94D21" w:rsidRPr="00E0548A" w:rsidRDefault="00B94D21" w:rsidP="00720B32">
            <w:pPr>
              <w:jc w:val="center"/>
              <w:rPr>
                <w:rFonts w:asciiTheme="majorEastAsia" w:eastAsiaTheme="majorEastAsia" w:hAnsiTheme="majorEastAsia"/>
                <w:b/>
                <w:sz w:val="20"/>
                <w:szCs w:val="20"/>
              </w:rPr>
            </w:pPr>
            <w:r w:rsidRPr="00E0548A">
              <w:rPr>
                <w:rFonts w:asciiTheme="majorEastAsia" w:eastAsiaTheme="majorEastAsia" w:hAnsiTheme="majorEastAsia" w:hint="eastAsia"/>
                <w:b/>
                <w:sz w:val="20"/>
                <w:szCs w:val="20"/>
              </w:rPr>
              <w:t>人的・物的支援</w:t>
            </w:r>
          </w:p>
        </w:tc>
      </w:tr>
      <w:tr w:rsidR="00B94D21" w:rsidRPr="00E0548A" w14:paraId="1BD957BD" w14:textId="77777777" w:rsidTr="00720B32">
        <w:trPr>
          <w:trHeight w:val="584"/>
        </w:trPr>
        <w:tc>
          <w:tcPr>
            <w:tcW w:w="959" w:type="pct"/>
            <w:tcBorders>
              <w:top w:val="single" w:sz="8" w:space="0" w:color="F79646"/>
              <w:left w:val="single" w:sz="8" w:space="0" w:color="F79646"/>
              <w:bottom w:val="single" w:sz="8" w:space="0" w:color="F79646"/>
              <w:right w:val="single" w:sz="8" w:space="0" w:color="F79646"/>
            </w:tcBorders>
            <w:shd w:val="clear" w:color="auto" w:fill="FDEFE9"/>
            <w:tcMar>
              <w:top w:w="72" w:type="dxa"/>
              <w:left w:w="144" w:type="dxa"/>
              <w:bottom w:w="72" w:type="dxa"/>
              <w:right w:w="144" w:type="dxa"/>
            </w:tcMar>
          </w:tcPr>
          <w:p w14:paraId="06BC2C7D" w14:textId="77777777" w:rsidR="00B94D21" w:rsidRPr="00E0548A" w:rsidRDefault="00B94D21" w:rsidP="00720B32">
            <w:pPr>
              <w:spacing w:line="200" w:lineRule="exact"/>
              <w:rPr>
                <w:rFonts w:ascii="ＭＳ ゴシック" w:eastAsia="ＭＳ ゴシック" w:hAnsi="ＭＳ ゴシック"/>
                <w:sz w:val="16"/>
                <w:szCs w:val="16"/>
              </w:rPr>
            </w:pPr>
          </w:p>
          <w:p w14:paraId="7C037A9E" w14:textId="77777777" w:rsidR="00B94D21" w:rsidRPr="00E0548A" w:rsidRDefault="00B94D21" w:rsidP="00720B32">
            <w:pPr>
              <w:spacing w:line="200" w:lineRule="exact"/>
              <w:rPr>
                <w:rFonts w:ascii="ＭＳ ゴシック" w:eastAsia="ＭＳ ゴシック" w:hAnsi="ＭＳ ゴシック"/>
                <w:sz w:val="16"/>
                <w:szCs w:val="16"/>
              </w:rPr>
            </w:pPr>
          </w:p>
          <w:p w14:paraId="2C83FCFB" w14:textId="77777777" w:rsidR="00B94D21" w:rsidRPr="00E0548A" w:rsidRDefault="00B94D21" w:rsidP="00720B32">
            <w:pPr>
              <w:spacing w:line="200" w:lineRule="exact"/>
              <w:rPr>
                <w:rFonts w:ascii="ＭＳ ゴシック" w:eastAsia="ＭＳ ゴシック" w:hAnsi="ＭＳ ゴシック"/>
                <w:sz w:val="16"/>
                <w:szCs w:val="16"/>
              </w:rPr>
            </w:pPr>
          </w:p>
          <w:p w14:paraId="5E8CED24" w14:textId="579B1988" w:rsidR="00B94D21" w:rsidRPr="00E0548A" w:rsidRDefault="001A5AE4" w:rsidP="00720B32">
            <w:pPr>
              <w:spacing w:line="200" w:lineRule="exact"/>
              <w:ind w:left="161" w:hangingChars="100" w:hanging="161"/>
              <w:rPr>
                <w:rFonts w:ascii="ＭＳ ゴシック" w:eastAsia="ＭＳ ゴシック" w:hAnsi="ＭＳ ゴシック"/>
                <w:sz w:val="16"/>
                <w:szCs w:val="16"/>
              </w:rPr>
            </w:pPr>
            <w:r w:rsidRPr="00E0548A">
              <w:rPr>
                <w:rFonts w:ascii="ＭＳ ゴシック" w:eastAsia="ＭＳ ゴシック" w:hAnsi="ＭＳ ゴシック" w:hint="eastAsia"/>
                <w:sz w:val="16"/>
                <w:szCs w:val="16"/>
              </w:rPr>
              <w:t>○</w:t>
            </w:r>
            <w:r w:rsidR="00B94D21" w:rsidRPr="00E0548A">
              <w:rPr>
                <w:rFonts w:ascii="ＭＳ ゴシック" w:eastAsia="ＭＳ ゴシック" w:hAnsi="ＭＳ ゴシック" w:hint="eastAsia"/>
                <w:sz w:val="16"/>
                <w:szCs w:val="16"/>
              </w:rPr>
              <w:t>災害対策本部・地域連絡部の設置</w:t>
            </w:r>
          </w:p>
          <w:p w14:paraId="5F72749D" w14:textId="742F6200" w:rsidR="00B94D21" w:rsidRPr="00E0548A" w:rsidRDefault="001A5AE4" w:rsidP="00720B32">
            <w:pPr>
              <w:spacing w:line="200" w:lineRule="exact"/>
              <w:rPr>
                <w:rFonts w:ascii="ＭＳ ゴシック" w:eastAsia="ＭＳ ゴシック" w:hAnsi="ＭＳ ゴシック"/>
                <w:sz w:val="16"/>
                <w:szCs w:val="16"/>
              </w:rPr>
            </w:pPr>
            <w:r w:rsidRPr="00E0548A">
              <w:rPr>
                <w:rFonts w:ascii="ＭＳ ゴシック" w:eastAsia="ＭＳ ゴシック" w:hAnsi="ＭＳ ゴシック" w:hint="eastAsia"/>
                <w:sz w:val="16"/>
                <w:szCs w:val="16"/>
              </w:rPr>
              <w:t>○</w:t>
            </w:r>
            <w:r w:rsidR="00B94D21" w:rsidRPr="00E0548A">
              <w:rPr>
                <w:rFonts w:ascii="ＭＳ ゴシック" w:eastAsia="ＭＳ ゴシック" w:hAnsi="ＭＳ ゴシック" w:hint="eastAsia"/>
                <w:sz w:val="16"/>
                <w:szCs w:val="16"/>
              </w:rPr>
              <w:t>プレスセンター開設</w:t>
            </w:r>
          </w:p>
          <w:p w14:paraId="44F09283" w14:textId="77777777" w:rsidR="00B94D21" w:rsidRPr="00E0548A" w:rsidRDefault="00B94D21" w:rsidP="00720B32">
            <w:pPr>
              <w:spacing w:line="200" w:lineRule="exact"/>
              <w:ind w:left="161" w:hangingChars="100" w:hanging="161"/>
              <w:rPr>
                <w:rFonts w:ascii="ＭＳ ゴシック" w:eastAsia="ＭＳ ゴシック" w:hAnsi="ＭＳ ゴシック"/>
                <w:sz w:val="16"/>
                <w:szCs w:val="16"/>
              </w:rPr>
            </w:pPr>
            <w:r w:rsidRPr="00E0548A">
              <w:rPr>
                <w:rFonts w:ascii="ＭＳ ゴシック" w:eastAsia="ＭＳ ゴシック" w:hAnsi="ＭＳ ゴシック" w:hint="eastAsia"/>
                <w:sz w:val="16"/>
                <w:szCs w:val="16"/>
              </w:rPr>
              <w:t>○多言語支援センター設置</w:t>
            </w:r>
          </w:p>
          <w:p w14:paraId="5C317F82" w14:textId="77777777" w:rsidR="00B94D21" w:rsidRPr="00E0548A" w:rsidRDefault="00B94D21" w:rsidP="00720B32">
            <w:pPr>
              <w:spacing w:line="200" w:lineRule="exact"/>
              <w:ind w:left="161" w:hangingChars="100" w:hanging="161"/>
              <w:rPr>
                <w:rFonts w:ascii="ＭＳ ゴシック" w:eastAsia="ＭＳ ゴシック" w:hAnsi="ＭＳ ゴシック"/>
                <w:sz w:val="16"/>
                <w:szCs w:val="16"/>
              </w:rPr>
            </w:pPr>
            <w:r w:rsidRPr="00E0548A">
              <w:rPr>
                <w:rFonts w:ascii="ＭＳ ゴシック" w:eastAsia="ＭＳ ゴシック" w:hAnsi="ＭＳ ゴシック" w:hint="eastAsia"/>
                <w:sz w:val="16"/>
                <w:szCs w:val="16"/>
              </w:rPr>
              <w:t>○職員の安否・参集状況確認</w:t>
            </w:r>
          </w:p>
          <w:p w14:paraId="71F588D9" w14:textId="77777777" w:rsidR="00B94D21" w:rsidRPr="00E0548A" w:rsidRDefault="00B94D21" w:rsidP="00720B32">
            <w:pPr>
              <w:spacing w:line="200" w:lineRule="exact"/>
              <w:ind w:left="161" w:hangingChars="100" w:hanging="161"/>
              <w:rPr>
                <w:rFonts w:ascii="ＭＳ ゴシック" w:eastAsia="ＭＳ ゴシック" w:hAnsi="ＭＳ ゴシック"/>
                <w:sz w:val="16"/>
                <w:szCs w:val="16"/>
              </w:rPr>
            </w:pPr>
            <w:r w:rsidRPr="00E0548A">
              <w:rPr>
                <w:rFonts w:ascii="ＭＳ ゴシック" w:eastAsia="ＭＳ ゴシック" w:hAnsi="ＭＳ ゴシック" w:hint="eastAsia"/>
                <w:sz w:val="16"/>
                <w:szCs w:val="16"/>
              </w:rPr>
              <w:t>○職員・来庁者の救助・搬送</w:t>
            </w:r>
          </w:p>
          <w:p w14:paraId="738FD8E0" w14:textId="58CF93E8" w:rsidR="00B94D21" w:rsidRPr="00E0548A" w:rsidRDefault="001A5AE4" w:rsidP="00720B32">
            <w:pPr>
              <w:spacing w:line="200" w:lineRule="exact"/>
              <w:rPr>
                <w:rFonts w:ascii="ＭＳ ゴシック" w:eastAsia="ＭＳ ゴシック" w:hAnsi="ＭＳ ゴシック"/>
                <w:sz w:val="16"/>
                <w:szCs w:val="16"/>
              </w:rPr>
            </w:pPr>
            <w:r w:rsidRPr="00E0548A">
              <w:rPr>
                <w:rFonts w:ascii="ＭＳ ゴシック" w:eastAsia="ＭＳ ゴシック" w:hAnsi="ＭＳ ゴシック" w:hint="eastAsia"/>
                <w:sz w:val="16"/>
                <w:szCs w:val="16"/>
              </w:rPr>
              <w:t>○</w:t>
            </w:r>
            <w:r w:rsidR="00B94D21" w:rsidRPr="00E0548A">
              <w:rPr>
                <w:rFonts w:ascii="ＭＳ ゴシック" w:eastAsia="ＭＳ ゴシック" w:hAnsi="ＭＳ ゴシック" w:hint="eastAsia"/>
                <w:sz w:val="16"/>
                <w:szCs w:val="16"/>
              </w:rPr>
              <w:t>市町村との連絡調整</w:t>
            </w:r>
          </w:p>
          <w:p w14:paraId="708006E1" w14:textId="2E6A1981" w:rsidR="00B94D21" w:rsidRPr="00E0548A" w:rsidRDefault="001A5AE4" w:rsidP="00720B32">
            <w:pPr>
              <w:spacing w:line="200" w:lineRule="exact"/>
              <w:ind w:left="161" w:hangingChars="100" w:hanging="161"/>
              <w:rPr>
                <w:rFonts w:ascii="ＭＳ ゴシック" w:eastAsia="ＭＳ ゴシック" w:hAnsi="ＭＳ ゴシック"/>
                <w:sz w:val="16"/>
                <w:szCs w:val="16"/>
              </w:rPr>
            </w:pPr>
            <w:r w:rsidRPr="00E0548A">
              <w:rPr>
                <w:rFonts w:ascii="ＭＳ ゴシック" w:eastAsia="ＭＳ ゴシック" w:hAnsi="ＭＳ ゴシック" w:hint="eastAsia"/>
                <w:sz w:val="16"/>
                <w:szCs w:val="16"/>
              </w:rPr>
              <w:t>○</w:t>
            </w:r>
            <w:r w:rsidR="00B94D21" w:rsidRPr="00E0548A">
              <w:rPr>
                <w:rFonts w:ascii="ＭＳ ゴシック" w:eastAsia="ＭＳ ゴシック" w:hAnsi="ＭＳ ゴシック" w:hint="eastAsia"/>
                <w:sz w:val="16"/>
                <w:szCs w:val="16"/>
              </w:rPr>
              <w:t>先遣隊、リエゾン派遣検討</w:t>
            </w:r>
          </w:p>
        </w:tc>
        <w:tc>
          <w:tcPr>
            <w:tcW w:w="959" w:type="pct"/>
            <w:tcBorders>
              <w:top w:val="single" w:sz="8" w:space="0" w:color="F79646"/>
              <w:left w:val="single" w:sz="8" w:space="0" w:color="F79646"/>
              <w:bottom w:val="single" w:sz="8" w:space="0" w:color="F79646"/>
              <w:right w:val="single" w:sz="8" w:space="0" w:color="F79646"/>
            </w:tcBorders>
            <w:shd w:val="clear" w:color="auto" w:fill="FDEFE9"/>
            <w:tcMar>
              <w:top w:w="72" w:type="dxa"/>
              <w:left w:w="144" w:type="dxa"/>
              <w:bottom w:w="72" w:type="dxa"/>
              <w:right w:w="144" w:type="dxa"/>
            </w:tcMar>
          </w:tcPr>
          <w:p w14:paraId="7A94C92A" w14:textId="77777777" w:rsidR="00B94D21" w:rsidRPr="00E0548A" w:rsidRDefault="00B94D21" w:rsidP="00720B32">
            <w:pPr>
              <w:spacing w:line="200" w:lineRule="exact"/>
              <w:rPr>
                <w:rFonts w:ascii="ＭＳ ゴシック" w:eastAsia="ＭＳ ゴシック" w:hAnsi="ＭＳ ゴシック"/>
                <w:sz w:val="16"/>
                <w:szCs w:val="16"/>
              </w:rPr>
            </w:pPr>
          </w:p>
          <w:p w14:paraId="38F651F6" w14:textId="77777777" w:rsidR="00B94D21" w:rsidRPr="00E0548A" w:rsidRDefault="00B94D21" w:rsidP="00720B32">
            <w:pPr>
              <w:spacing w:line="200" w:lineRule="exact"/>
              <w:rPr>
                <w:rFonts w:ascii="ＭＳ ゴシック" w:eastAsia="ＭＳ ゴシック" w:hAnsi="ＭＳ ゴシック"/>
                <w:sz w:val="16"/>
                <w:szCs w:val="16"/>
              </w:rPr>
            </w:pPr>
          </w:p>
          <w:p w14:paraId="5CB30E07" w14:textId="77777777" w:rsidR="00B94D21" w:rsidRPr="00E0548A" w:rsidRDefault="00B94D21" w:rsidP="00720B32">
            <w:pPr>
              <w:spacing w:line="200" w:lineRule="exact"/>
              <w:rPr>
                <w:rFonts w:ascii="ＭＳ ゴシック" w:eastAsia="ＭＳ ゴシック" w:hAnsi="ＭＳ ゴシック"/>
                <w:sz w:val="16"/>
                <w:szCs w:val="16"/>
              </w:rPr>
            </w:pPr>
          </w:p>
          <w:p w14:paraId="5C2DFD34" w14:textId="77777777" w:rsidR="00B94D21" w:rsidRPr="00E0548A" w:rsidRDefault="00B94D21" w:rsidP="00720B32">
            <w:pPr>
              <w:spacing w:line="200" w:lineRule="exact"/>
              <w:rPr>
                <w:rFonts w:ascii="ＭＳ ゴシック" w:eastAsia="ＭＳ ゴシック" w:hAnsi="ＭＳ ゴシック"/>
                <w:sz w:val="16"/>
                <w:szCs w:val="16"/>
              </w:rPr>
            </w:pPr>
            <w:r w:rsidRPr="00E0548A">
              <w:rPr>
                <w:rFonts w:ascii="ＭＳ ゴシック" w:eastAsia="ＭＳ ゴシック" w:hAnsi="ＭＳ ゴシック" w:hint="eastAsia"/>
                <w:sz w:val="16"/>
                <w:szCs w:val="16"/>
              </w:rPr>
              <w:t>○道路被災情報の確認</w:t>
            </w:r>
          </w:p>
        </w:tc>
        <w:tc>
          <w:tcPr>
            <w:tcW w:w="944" w:type="pct"/>
            <w:tcBorders>
              <w:top w:val="single" w:sz="8" w:space="0" w:color="F79646"/>
              <w:left w:val="single" w:sz="8" w:space="0" w:color="F79646"/>
              <w:bottom w:val="single" w:sz="8" w:space="0" w:color="F79646"/>
              <w:right w:val="single" w:sz="8" w:space="0" w:color="F79646"/>
            </w:tcBorders>
            <w:shd w:val="clear" w:color="auto" w:fill="FDEFE9"/>
            <w:tcMar>
              <w:top w:w="72" w:type="dxa"/>
              <w:left w:w="144" w:type="dxa"/>
              <w:bottom w:w="72" w:type="dxa"/>
              <w:right w:w="144" w:type="dxa"/>
            </w:tcMar>
          </w:tcPr>
          <w:p w14:paraId="6B57ABD9" w14:textId="77777777" w:rsidR="00B94D21" w:rsidRPr="00E0548A" w:rsidRDefault="00B94D21" w:rsidP="00720B32">
            <w:pPr>
              <w:spacing w:line="200" w:lineRule="exact"/>
              <w:rPr>
                <w:rFonts w:ascii="ＭＳ ゴシック" w:eastAsia="ＭＳ ゴシック" w:hAnsi="ＭＳ ゴシック"/>
                <w:sz w:val="16"/>
                <w:szCs w:val="16"/>
              </w:rPr>
            </w:pPr>
            <w:r w:rsidRPr="00E0548A">
              <w:rPr>
                <w:rFonts w:ascii="ＭＳ ゴシック" w:eastAsia="ＭＳ ゴシック" w:hAnsi="ＭＳ ゴシック"/>
                <w:noProof/>
                <w:sz w:val="16"/>
                <w:szCs w:val="16"/>
              </w:rPr>
              <mc:AlternateContent>
                <mc:Choice Requires="wps">
                  <w:drawing>
                    <wp:anchor distT="0" distB="0" distL="114300" distR="114300" simplePos="0" relativeHeight="254263296" behindDoc="0" locked="0" layoutInCell="1" allowOverlap="1" wp14:anchorId="54F8B0A8" wp14:editId="639DF0E0">
                      <wp:simplePos x="0" y="0"/>
                      <wp:positionH relativeFrom="column">
                        <wp:posOffset>-2529205</wp:posOffset>
                      </wp:positionH>
                      <wp:positionV relativeFrom="paragraph">
                        <wp:posOffset>20955</wp:posOffset>
                      </wp:positionV>
                      <wp:extent cx="6391275" cy="266700"/>
                      <wp:effectExtent l="0" t="0" r="28575" b="19050"/>
                      <wp:wrapNone/>
                      <wp:docPr id="4938" name="正方形/長方形 2"/>
                      <wp:cNvGraphicFramePr/>
                      <a:graphic xmlns:a="http://schemas.openxmlformats.org/drawingml/2006/main">
                        <a:graphicData uri="http://schemas.microsoft.com/office/word/2010/wordprocessingShape">
                          <wps:wsp>
                            <wps:cNvSpPr/>
                            <wps:spPr>
                              <a:xfrm>
                                <a:off x="0" y="0"/>
                                <a:ext cx="6391275" cy="266700"/>
                              </a:xfrm>
                              <a:prstGeom prst="rect">
                                <a:avLst/>
                              </a:prstGeom>
                              <a:noFill/>
                              <a:ln>
                                <a:solidFill>
                                  <a:schemeClr val="tx1"/>
                                </a:solidFill>
                                <a:prstDash val="dash"/>
                              </a:ln>
                            </wps:spPr>
                            <wps:style>
                              <a:lnRef idx="2">
                                <a:schemeClr val="accent1">
                                  <a:shade val="50000"/>
                                </a:schemeClr>
                              </a:lnRef>
                              <a:fillRef idx="1">
                                <a:schemeClr val="accent1"/>
                              </a:fillRef>
                              <a:effectRef idx="0">
                                <a:schemeClr val="accent1"/>
                              </a:effectRef>
                              <a:fontRef idx="minor">
                                <a:schemeClr val="lt1"/>
                              </a:fontRef>
                            </wps:style>
                            <wps:bodyPr rtlCol="0" anchor="ctr"/>
                          </wps:wsp>
                        </a:graphicData>
                      </a:graphic>
                      <wp14:sizeRelH relativeFrom="margin">
                        <wp14:pctWidth>0</wp14:pctWidth>
                      </wp14:sizeRelH>
                      <wp14:sizeRelV relativeFrom="margin">
                        <wp14:pctHeight>0</wp14:pctHeight>
                      </wp14:sizeRelV>
                    </wp:anchor>
                  </w:drawing>
                </mc:Choice>
                <mc:Fallback xmlns:w16cei="http://schemas.microsoft.com/office/word/2026/wordml/cei">
                  <w:pict>
                    <v:rect w14:anchorId="404A2199" id="正方形/長方形 2" o:spid="_x0000_s1026" style="position:absolute;left:0;text-align:left;margin-left:-199.15pt;margin-top:1.65pt;width:503.25pt;height:21pt;z-index:2542632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" filled="f" strokecolor="black [3213]" strokeweight="2pt">
                      <v:stroke dashstyle="dash"/>
                    </v:rect>
                  </w:pict>
                </mc:Fallback>
              </mc:AlternateContent>
            </w:r>
          </w:p>
          <w:p w14:paraId="1D689C9E" w14:textId="77777777" w:rsidR="00B94D21" w:rsidRPr="00E0548A" w:rsidRDefault="00B94D21" w:rsidP="00720B32">
            <w:pPr>
              <w:spacing w:line="200" w:lineRule="exact"/>
              <w:rPr>
                <w:rFonts w:ascii="ＭＳ ゴシック" w:eastAsia="ＭＳ ゴシック" w:hAnsi="ＭＳ ゴシック"/>
                <w:sz w:val="16"/>
                <w:szCs w:val="16"/>
              </w:rPr>
            </w:pPr>
          </w:p>
          <w:p w14:paraId="514D2BBE" w14:textId="77777777" w:rsidR="00B94D21" w:rsidRPr="00E0548A" w:rsidRDefault="00B94D21" w:rsidP="00720B32">
            <w:pPr>
              <w:spacing w:line="200" w:lineRule="exact"/>
              <w:rPr>
                <w:rFonts w:ascii="ＭＳ ゴシック" w:eastAsia="ＭＳ ゴシック" w:hAnsi="ＭＳ ゴシック"/>
                <w:sz w:val="16"/>
                <w:szCs w:val="16"/>
              </w:rPr>
            </w:pPr>
          </w:p>
          <w:p w14:paraId="189409C4" w14:textId="376124C2" w:rsidR="00B94D21" w:rsidRPr="00E0548A" w:rsidRDefault="001A5AE4" w:rsidP="00720B32">
            <w:pPr>
              <w:spacing w:line="200" w:lineRule="exact"/>
              <w:ind w:left="161" w:hangingChars="100" w:hanging="161"/>
              <w:rPr>
                <w:rFonts w:ascii="ＭＳ ゴシック" w:eastAsia="ＭＳ ゴシック" w:hAnsi="ＭＳ ゴシック"/>
                <w:sz w:val="16"/>
                <w:szCs w:val="16"/>
              </w:rPr>
            </w:pPr>
            <w:r w:rsidRPr="00E0548A">
              <w:rPr>
                <w:rFonts w:ascii="ＭＳ ゴシック" w:eastAsia="ＭＳ ゴシック" w:hAnsi="ＭＳ ゴシック" w:hint="eastAsia"/>
                <w:sz w:val="16"/>
                <w:szCs w:val="16"/>
              </w:rPr>
              <w:t>○</w:t>
            </w:r>
            <w:r w:rsidR="00B94D21" w:rsidRPr="00E0548A">
              <w:rPr>
                <w:rFonts w:ascii="ＭＳ ゴシック" w:eastAsia="ＭＳ ゴシック" w:hAnsi="ＭＳ ゴシック" w:hint="eastAsia"/>
                <w:sz w:val="16"/>
                <w:szCs w:val="16"/>
              </w:rPr>
              <w:t>防災関係機関への派遣要請</w:t>
            </w:r>
          </w:p>
          <w:p w14:paraId="024773B5" w14:textId="77777777" w:rsidR="00B94D21" w:rsidRPr="00E0548A" w:rsidRDefault="00B94D21" w:rsidP="00720B32">
            <w:pPr>
              <w:spacing w:line="200" w:lineRule="exact"/>
              <w:rPr>
                <w:rFonts w:ascii="ＭＳ ゴシック" w:eastAsia="ＭＳ ゴシック" w:hAnsi="ＭＳ ゴシック"/>
                <w:sz w:val="16"/>
                <w:szCs w:val="16"/>
              </w:rPr>
            </w:pPr>
          </w:p>
        </w:tc>
        <w:tc>
          <w:tcPr>
            <w:tcW w:w="1109" w:type="pct"/>
            <w:tcBorders>
              <w:top w:val="single" w:sz="8" w:space="0" w:color="F79646"/>
              <w:left w:val="single" w:sz="8" w:space="0" w:color="F79646"/>
              <w:bottom w:val="single" w:sz="8" w:space="0" w:color="F79646"/>
              <w:right w:val="single" w:sz="8" w:space="0" w:color="F79646"/>
            </w:tcBorders>
            <w:shd w:val="clear" w:color="auto" w:fill="FDEFE9"/>
            <w:tcMar>
              <w:top w:w="72" w:type="dxa"/>
              <w:left w:w="144" w:type="dxa"/>
              <w:bottom w:w="72" w:type="dxa"/>
              <w:right w:w="144" w:type="dxa"/>
            </w:tcMar>
          </w:tcPr>
          <w:p w14:paraId="0A2E8F85" w14:textId="77777777" w:rsidR="00B94D21" w:rsidRPr="00E0548A" w:rsidRDefault="00B94D21" w:rsidP="00720B32">
            <w:pPr>
              <w:spacing w:line="200" w:lineRule="exact"/>
              <w:rPr>
                <w:rFonts w:ascii="ＭＳ ゴシック" w:eastAsia="ＭＳ ゴシック" w:hAnsi="ＭＳ ゴシック"/>
                <w:sz w:val="16"/>
                <w:szCs w:val="16"/>
              </w:rPr>
            </w:pPr>
          </w:p>
          <w:p w14:paraId="37448D9A" w14:textId="77777777" w:rsidR="00B94D21" w:rsidRPr="00E0548A" w:rsidRDefault="00B94D21" w:rsidP="00720B32">
            <w:pPr>
              <w:spacing w:line="200" w:lineRule="exact"/>
              <w:rPr>
                <w:rFonts w:ascii="ＭＳ ゴシック" w:eastAsia="ＭＳ ゴシック" w:hAnsi="ＭＳ ゴシック"/>
                <w:sz w:val="16"/>
                <w:szCs w:val="16"/>
              </w:rPr>
            </w:pPr>
          </w:p>
          <w:p w14:paraId="5BF924D3" w14:textId="77777777" w:rsidR="00B94D21" w:rsidRPr="00E0548A" w:rsidRDefault="00B94D21" w:rsidP="00720B32">
            <w:pPr>
              <w:spacing w:line="200" w:lineRule="exact"/>
              <w:rPr>
                <w:rFonts w:ascii="ＭＳ ゴシック" w:eastAsia="ＭＳ ゴシック" w:hAnsi="ＭＳ ゴシック"/>
                <w:sz w:val="16"/>
                <w:szCs w:val="16"/>
              </w:rPr>
            </w:pPr>
          </w:p>
          <w:p w14:paraId="0006A60C" w14:textId="24CBF77A" w:rsidR="00B94D21" w:rsidRPr="00E0548A" w:rsidRDefault="001A5AE4" w:rsidP="00720B32">
            <w:pPr>
              <w:spacing w:line="200" w:lineRule="exact"/>
              <w:rPr>
                <w:rFonts w:ascii="ＭＳ ゴシック" w:eastAsia="ＭＳ ゴシック" w:hAnsi="ＭＳ ゴシック"/>
                <w:sz w:val="16"/>
                <w:szCs w:val="16"/>
              </w:rPr>
            </w:pPr>
            <w:r w:rsidRPr="00E0548A">
              <w:rPr>
                <w:rFonts w:ascii="ＭＳ ゴシック" w:eastAsia="ＭＳ ゴシック" w:hAnsi="ＭＳ ゴシック" w:hint="eastAsia"/>
                <w:sz w:val="16"/>
                <w:szCs w:val="16"/>
              </w:rPr>
              <w:t>○</w:t>
            </w:r>
            <w:r w:rsidR="00B94D21" w:rsidRPr="00E0548A">
              <w:rPr>
                <w:rFonts w:ascii="ＭＳ ゴシック" w:eastAsia="ＭＳ ゴシック" w:hAnsi="ＭＳ ゴシック" w:hint="eastAsia"/>
                <w:sz w:val="16"/>
                <w:szCs w:val="16"/>
              </w:rPr>
              <w:t>以下の設置・運営開始</w:t>
            </w:r>
          </w:p>
          <w:p w14:paraId="1A1CC359" w14:textId="77777777" w:rsidR="00B94D21" w:rsidRPr="00E0548A" w:rsidRDefault="00B94D21" w:rsidP="00720B32">
            <w:pPr>
              <w:spacing w:line="200" w:lineRule="exact"/>
              <w:rPr>
                <w:rFonts w:ascii="ＭＳ ゴシック" w:eastAsia="ＭＳ ゴシック" w:hAnsi="ＭＳ ゴシック"/>
                <w:sz w:val="16"/>
                <w:szCs w:val="16"/>
              </w:rPr>
            </w:pPr>
            <w:r w:rsidRPr="00E0548A">
              <w:rPr>
                <w:rFonts w:ascii="ＭＳ ゴシック" w:eastAsia="ＭＳ ゴシック" w:hAnsi="ＭＳ ゴシック" w:hint="eastAsia"/>
                <w:sz w:val="16"/>
                <w:szCs w:val="16"/>
              </w:rPr>
              <w:t>・保健医療調整本部</w:t>
            </w:r>
          </w:p>
          <w:p w14:paraId="5C7EEE85" w14:textId="77777777" w:rsidR="00B94D21" w:rsidRPr="00E0548A" w:rsidRDefault="00B94D21" w:rsidP="00720B32">
            <w:pPr>
              <w:spacing w:line="200" w:lineRule="exact"/>
              <w:rPr>
                <w:rFonts w:ascii="ＭＳ ゴシック" w:eastAsia="ＭＳ ゴシック" w:hAnsi="ＭＳ ゴシック"/>
                <w:sz w:val="16"/>
                <w:szCs w:val="16"/>
              </w:rPr>
            </w:pPr>
            <w:r w:rsidRPr="00E0548A">
              <w:rPr>
                <w:rFonts w:ascii="ＭＳ ゴシック" w:eastAsia="ＭＳ ゴシック" w:hAnsi="ＭＳ ゴシック" w:hint="eastAsia"/>
                <w:sz w:val="16"/>
                <w:szCs w:val="16"/>
              </w:rPr>
              <w:t>・DMAT調整本部</w:t>
            </w:r>
          </w:p>
          <w:p w14:paraId="0C914CDD" w14:textId="77777777" w:rsidR="00B94D21" w:rsidRPr="00E0548A" w:rsidRDefault="00B94D21" w:rsidP="00720B32">
            <w:pPr>
              <w:spacing w:line="200" w:lineRule="exact"/>
              <w:rPr>
                <w:rFonts w:ascii="ＭＳ ゴシック" w:eastAsia="ＭＳ ゴシック" w:hAnsi="ＭＳ ゴシック"/>
                <w:sz w:val="16"/>
                <w:szCs w:val="16"/>
              </w:rPr>
            </w:pPr>
            <w:r w:rsidRPr="00E0548A">
              <w:rPr>
                <w:rFonts w:ascii="ＭＳ ゴシック" w:eastAsia="ＭＳ ゴシック" w:hAnsi="ＭＳ ゴシック" w:hint="eastAsia"/>
                <w:sz w:val="16"/>
                <w:szCs w:val="16"/>
              </w:rPr>
              <w:t>・DMAT活動拠点本部</w:t>
            </w:r>
          </w:p>
          <w:p w14:paraId="3D3E74CE" w14:textId="3FE1C45C" w:rsidR="00B94D21" w:rsidRPr="00E0548A" w:rsidRDefault="00B94D21" w:rsidP="00720B32">
            <w:pPr>
              <w:spacing w:line="200" w:lineRule="exact"/>
              <w:rPr>
                <w:rFonts w:ascii="ＭＳ ゴシック" w:eastAsia="ＭＳ ゴシック" w:hAnsi="ＭＳ ゴシック"/>
                <w:sz w:val="16"/>
                <w:szCs w:val="16"/>
              </w:rPr>
            </w:pPr>
            <w:r w:rsidRPr="00E0548A">
              <w:rPr>
                <w:rFonts w:ascii="ＭＳ ゴシック" w:eastAsia="ＭＳ ゴシック" w:hAnsi="ＭＳ ゴシック" w:hint="eastAsia"/>
                <w:sz w:val="16"/>
                <w:szCs w:val="16"/>
              </w:rPr>
              <w:t>・</w:t>
            </w:r>
            <w:r w:rsidRPr="00E0548A">
              <w:rPr>
                <w:rFonts w:ascii="ＭＳ ゴシック" w:eastAsia="ＭＳ ゴシック" w:hAnsi="ＭＳ ゴシック"/>
                <w:sz w:val="16"/>
                <w:szCs w:val="16"/>
              </w:rPr>
              <w:t>DPAT調整本部</w:t>
            </w:r>
          </w:p>
          <w:p w14:paraId="2013D75B" w14:textId="5336CA5F" w:rsidR="00B94D21" w:rsidRPr="00E0548A" w:rsidRDefault="001A5AE4" w:rsidP="00720B32">
            <w:pPr>
              <w:spacing w:line="200" w:lineRule="exact"/>
              <w:rPr>
                <w:rFonts w:ascii="ＭＳ ゴシック" w:eastAsia="ＭＳ ゴシック" w:hAnsi="ＭＳ ゴシック"/>
                <w:sz w:val="16"/>
                <w:szCs w:val="16"/>
              </w:rPr>
            </w:pPr>
            <w:r w:rsidRPr="00E0548A">
              <w:rPr>
                <w:rFonts w:ascii="ＭＳ ゴシック" w:eastAsia="ＭＳ ゴシック" w:hAnsi="ＭＳ ゴシック" w:hint="eastAsia"/>
                <w:sz w:val="16"/>
                <w:szCs w:val="16"/>
              </w:rPr>
              <w:t>○</w:t>
            </w:r>
            <w:r w:rsidR="00B94D21" w:rsidRPr="00E0548A">
              <w:rPr>
                <w:rFonts w:ascii="ＭＳ ゴシック" w:eastAsia="ＭＳ ゴシック" w:hAnsi="ＭＳ ゴシック" w:hint="eastAsia"/>
                <w:sz w:val="16"/>
                <w:szCs w:val="16"/>
              </w:rPr>
              <w:t>保健医療活動チーム・ドクターヘリ派遣調整開始</w:t>
            </w:r>
          </w:p>
          <w:p w14:paraId="343993B4" w14:textId="77FE8D41" w:rsidR="00B94D21" w:rsidRPr="00E0548A" w:rsidRDefault="001A5AE4" w:rsidP="00720B32">
            <w:pPr>
              <w:spacing w:line="200" w:lineRule="exact"/>
              <w:rPr>
                <w:rFonts w:ascii="ＭＳ ゴシック" w:eastAsia="ＭＳ ゴシック" w:hAnsi="ＭＳ ゴシック"/>
                <w:sz w:val="16"/>
                <w:szCs w:val="16"/>
              </w:rPr>
            </w:pPr>
            <w:r w:rsidRPr="00E0548A">
              <w:rPr>
                <w:rFonts w:ascii="ＭＳ ゴシック" w:eastAsia="ＭＳ ゴシック" w:hAnsi="ＭＳ ゴシック" w:hint="eastAsia"/>
                <w:sz w:val="16"/>
                <w:szCs w:val="16"/>
              </w:rPr>
              <w:t>○</w:t>
            </w:r>
            <w:r w:rsidR="00B94D21" w:rsidRPr="00E0548A">
              <w:rPr>
                <w:rFonts w:ascii="ＭＳ ゴシック" w:eastAsia="ＭＳ ゴシック" w:hAnsi="ＭＳ ゴシック" w:hint="eastAsia"/>
                <w:sz w:val="16"/>
                <w:szCs w:val="16"/>
              </w:rPr>
              <w:t>水道災害調整本部設置</w:t>
            </w:r>
          </w:p>
          <w:p w14:paraId="1FE42B79" w14:textId="77777777" w:rsidR="00B94D21" w:rsidRPr="00E0548A" w:rsidRDefault="00B94D21" w:rsidP="00720B32">
            <w:pPr>
              <w:spacing w:line="200" w:lineRule="exact"/>
              <w:rPr>
                <w:rFonts w:ascii="ＭＳ ゴシック" w:eastAsia="ＭＳ ゴシック" w:hAnsi="ＭＳ ゴシック"/>
                <w:sz w:val="16"/>
                <w:szCs w:val="16"/>
              </w:rPr>
            </w:pPr>
            <w:r w:rsidRPr="00E0548A">
              <w:rPr>
                <w:rFonts w:ascii="ＭＳ ゴシック" w:eastAsia="ＭＳ ゴシック" w:hAnsi="ＭＳ ゴシック" w:hint="eastAsia"/>
                <w:sz w:val="16"/>
                <w:szCs w:val="16"/>
              </w:rPr>
              <w:t>○福祉調整本部設置</w:t>
            </w:r>
          </w:p>
        </w:tc>
        <w:tc>
          <w:tcPr>
            <w:tcW w:w="1029" w:type="pct"/>
            <w:tcBorders>
              <w:top w:val="single" w:sz="8" w:space="0" w:color="F79646"/>
              <w:left w:val="single" w:sz="8" w:space="0" w:color="F79646"/>
              <w:bottom w:val="single" w:sz="8" w:space="0" w:color="F79646"/>
              <w:right w:val="single" w:sz="8" w:space="0" w:color="F79646"/>
            </w:tcBorders>
            <w:shd w:val="clear" w:color="auto" w:fill="FDEFE9"/>
            <w:tcMar>
              <w:top w:w="72" w:type="dxa"/>
              <w:left w:w="144" w:type="dxa"/>
              <w:bottom w:w="72" w:type="dxa"/>
              <w:right w:w="144" w:type="dxa"/>
            </w:tcMar>
          </w:tcPr>
          <w:p w14:paraId="0F647496" w14:textId="77777777" w:rsidR="00B94D21" w:rsidRPr="00E0548A" w:rsidRDefault="00B94D21" w:rsidP="00720B32">
            <w:pPr>
              <w:spacing w:line="200" w:lineRule="exact"/>
              <w:rPr>
                <w:rFonts w:ascii="ＭＳ ゴシック" w:eastAsia="ＭＳ ゴシック" w:hAnsi="ＭＳ ゴシック"/>
                <w:sz w:val="16"/>
                <w:szCs w:val="16"/>
              </w:rPr>
            </w:pPr>
            <w:r w:rsidRPr="00E0548A">
              <w:rPr>
                <w:rFonts w:ascii="ＭＳ ゴシック" w:eastAsia="ＭＳ ゴシック" w:hAnsi="ＭＳ ゴシック"/>
                <w:noProof/>
                <w:sz w:val="16"/>
                <w:szCs w:val="16"/>
              </w:rPr>
              <mc:AlternateContent>
                <mc:Choice Requires="wps">
                  <w:drawing>
                    <wp:anchor distT="0" distB="0" distL="114300" distR="114300" simplePos="0" relativeHeight="254262272" behindDoc="0" locked="0" layoutInCell="1" allowOverlap="1" wp14:anchorId="3D2EA508" wp14:editId="417DEDB6">
                      <wp:simplePos x="0" y="0"/>
                      <wp:positionH relativeFrom="column">
                        <wp:posOffset>-5222874</wp:posOffset>
                      </wp:positionH>
                      <wp:positionV relativeFrom="paragraph">
                        <wp:posOffset>11430</wp:posOffset>
                      </wp:positionV>
                      <wp:extent cx="6381750" cy="323850"/>
                      <wp:effectExtent l="0" t="0" r="0" b="0"/>
                      <wp:wrapNone/>
                      <wp:docPr id="4937" name="テキスト ボックス 19"/>
                      <wp:cNvGraphicFramePr/>
                      <a:graphic xmlns:a="http://schemas.openxmlformats.org/drawingml/2006/main">
                        <a:graphicData uri="http://schemas.microsoft.com/office/word/2010/wordprocessingShape">
                          <wps:wsp>
                            <wps:cNvSpPr txBox="1"/>
                            <wps:spPr>
                              <a:xfrm>
                                <a:off x="0" y="0"/>
                                <a:ext cx="6381750" cy="323850"/>
                              </a:xfrm>
                              <a:prstGeom prst="rect">
                                <a:avLst/>
                              </a:prstGeom>
                              <a:solidFill>
                                <a:schemeClr val="accent6">
                                  <a:lumMod val="20000"/>
                                  <a:lumOff val="80000"/>
                                </a:schemeClr>
                              </a:solidFill>
                              <a:ln>
                                <a:noFill/>
                                <a:prstDash val="dash"/>
                              </a:ln>
                            </wps:spPr>
                            <wps:txbx>
                              <w:txbxContent>
                                <w:p w14:paraId="58AE9C6E" w14:textId="77777777" w:rsidR="00B94D21" w:rsidRPr="00A85280" w:rsidRDefault="00B94D21" w:rsidP="00B94D21">
                                  <w:pPr>
                                    <w:pStyle w:val="Web"/>
                                    <w:spacing w:before="0" w:beforeAutospacing="0" w:after="0" w:afterAutospacing="0"/>
                                    <w:jc w:val="center"/>
                                    <w:rPr>
                                      <w:sz w:val="18"/>
                                      <w:szCs w:val="18"/>
                                    </w:rPr>
                                  </w:pPr>
                                  <w:r w:rsidRPr="00A85280">
                                    <w:rPr>
                                      <w:rFonts w:ascii="BIZ UDPゴシック" w:eastAsia="BIZ UDPゴシック" w:hAnsi="BIZ UDPゴシック" w:cstheme="minorBidi" w:hint="eastAsia"/>
                                      <w:kern w:val="24"/>
                                      <w:sz w:val="18"/>
                                      <w:szCs w:val="18"/>
                                      <w:u w:val="single"/>
                                    </w:rPr>
                                    <w:t>地震の概要、本府の対応状況、被害等の状況（機能確認：公共交通機関の運行状況、ライフラインの状況等）※</w:t>
                                  </w:r>
                                  <w:r w:rsidRPr="00B94D21">
                                    <w:rPr>
                                      <w:rFonts w:ascii="BIZ UDPゴシック" w:eastAsia="BIZ UDPゴシック" w:hAnsi="BIZ UDPゴシック" w:cstheme="minorBidi" w:hint="eastAsia"/>
                                      <w:kern w:val="24"/>
                                      <w:sz w:val="18"/>
                                      <w:szCs w:val="18"/>
                                    </w:rPr>
                                    <w:t>1</w:t>
                                  </w:r>
                                </w:p>
                              </w:txbxContent>
                            </wps:txbx>
                            <wps:bodyPr wrap="square" rtlCol="0">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shape w14:anchorId="3D2EA508" id="テキスト ボックス 19" o:spid="_x0000_s1032" type="#_x0000_t202" style="position:absolute;left:0;text-align:left;margin-left:-411.25pt;margin-top:.9pt;width:502.5pt;height:25.5pt;z-index:2542622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" fillcolor="#fde9d9 [665]" stroked="f">
                      <v:stroke dashstyle="dash"/>
                      <v:textbox>
                        <w:txbxContent>
                          <w:p w14:paraId="58AE9C6E" w14:textId="77777777" w:rsidR="00B94D21" w:rsidRPr="00A85280" w:rsidRDefault="00B94D21" w:rsidP="00B94D21">
                            <w:pPr>
                              <w:pStyle w:val="Web"/>
                              <w:spacing w:before="0" w:beforeAutospacing="0" w:after="0" w:afterAutospacing="0"/>
                              <w:jc w:val="center"/>
                              <w:rPr>
                                <w:sz w:val="18"/>
                                <w:szCs w:val="18"/>
                              </w:rPr>
                            </w:pPr>
                            <w:r w:rsidRPr="00A85280">
                              <w:rPr>
                                <w:rFonts w:ascii="BIZ UDPゴシック" w:eastAsia="BIZ UDPゴシック" w:hAnsi="BIZ UDPゴシック" w:cstheme="minorBidi" w:hint="eastAsia"/>
                                <w:kern w:val="24"/>
                                <w:sz w:val="18"/>
                                <w:szCs w:val="18"/>
                                <w:u w:val="single"/>
                              </w:rPr>
                              <w:t>地震の概要、本府の対応状況、被害等の状況（機能確認：公共交通機関の運行状況、ライフラインの状況等）※</w:t>
                            </w:r>
                            <w:r w:rsidRPr="00B94D21">
                              <w:rPr>
                                <w:rFonts w:ascii="BIZ UDPゴシック" w:eastAsia="BIZ UDPゴシック" w:hAnsi="BIZ UDPゴシック" w:cstheme="minorBidi" w:hint="eastAsia"/>
                                <w:kern w:val="24"/>
                                <w:sz w:val="18"/>
                                <w:szCs w:val="18"/>
                              </w:rPr>
                              <w:t>1</w:t>
                            </w:r>
                          </w:p>
                        </w:txbxContent>
                      </v:textbox>
                    </v:shape>
                  </w:pict>
                </mc:Fallback>
              </mc:AlternateContent>
            </w:r>
          </w:p>
        </w:tc>
      </w:tr>
      <w:tr w:rsidR="00B94D21" w:rsidRPr="00E0548A" w14:paraId="067228CC" w14:textId="77777777" w:rsidTr="00720B32">
        <w:trPr>
          <w:trHeight w:val="970"/>
        </w:trPr>
        <w:tc>
          <w:tcPr>
            <w:tcW w:w="959" w:type="pct"/>
            <w:tcBorders>
              <w:top w:val="single" w:sz="8" w:space="0" w:color="F79646"/>
              <w:left w:val="single" w:sz="8" w:space="0" w:color="F79646"/>
              <w:bottom w:val="single" w:sz="8" w:space="0" w:color="F79646"/>
              <w:right w:val="single" w:sz="8" w:space="0" w:color="F79646"/>
            </w:tcBorders>
            <w:shd w:val="clear" w:color="auto" w:fill="FCDDCF"/>
            <w:tcMar>
              <w:top w:w="72" w:type="dxa"/>
              <w:left w:w="144" w:type="dxa"/>
              <w:bottom w:w="72" w:type="dxa"/>
              <w:right w:w="144" w:type="dxa"/>
            </w:tcMar>
          </w:tcPr>
          <w:p w14:paraId="7C07BECE" w14:textId="7B7DE248" w:rsidR="00B94D21" w:rsidRPr="00E0548A" w:rsidRDefault="001A5AE4" w:rsidP="00720B32">
            <w:pPr>
              <w:spacing w:line="200" w:lineRule="exact"/>
              <w:rPr>
                <w:rFonts w:ascii="ＭＳ ゴシック" w:eastAsia="ＭＳ ゴシック" w:hAnsi="ＭＳ ゴシック"/>
                <w:sz w:val="16"/>
                <w:szCs w:val="16"/>
              </w:rPr>
            </w:pPr>
            <w:r w:rsidRPr="00E0548A">
              <w:rPr>
                <w:rFonts w:ascii="ＭＳ ゴシック" w:eastAsia="ＭＳ ゴシック" w:hAnsi="ＭＳ ゴシック" w:hint="eastAsia"/>
                <w:sz w:val="16"/>
                <w:szCs w:val="16"/>
              </w:rPr>
              <w:t>○</w:t>
            </w:r>
            <w:r w:rsidR="00B94D21" w:rsidRPr="00E0548A">
              <w:rPr>
                <w:rFonts w:ascii="ＭＳ ゴシック" w:eastAsia="ＭＳ ゴシック" w:hAnsi="ＭＳ ゴシック" w:hint="eastAsia"/>
                <w:sz w:val="16"/>
                <w:szCs w:val="16"/>
              </w:rPr>
              <w:t>広域防災連絡会議</w:t>
            </w:r>
          </w:p>
          <w:p w14:paraId="502FDA2C" w14:textId="77777777" w:rsidR="00B94D21" w:rsidRPr="00E0548A" w:rsidRDefault="00B94D21" w:rsidP="00720B32">
            <w:pPr>
              <w:spacing w:line="200" w:lineRule="exact"/>
              <w:ind w:firstLineChars="100" w:firstLine="161"/>
              <w:rPr>
                <w:rFonts w:ascii="ＭＳ ゴシック" w:eastAsia="ＭＳ ゴシック" w:hAnsi="ＭＳ ゴシック"/>
                <w:sz w:val="16"/>
                <w:szCs w:val="16"/>
              </w:rPr>
            </w:pPr>
            <w:r w:rsidRPr="00E0548A">
              <w:rPr>
                <w:rFonts w:ascii="ＭＳ ゴシック" w:eastAsia="ＭＳ ゴシック" w:hAnsi="ＭＳ ゴシック" w:hint="eastAsia"/>
                <w:sz w:val="16"/>
                <w:szCs w:val="16"/>
              </w:rPr>
              <w:t>設置</w:t>
            </w:r>
          </w:p>
          <w:p w14:paraId="56D1B535" w14:textId="275EE51C" w:rsidR="00B94D21" w:rsidRPr="00E0548A" w:rsidRDefault="001A5AE4" w:rsidP="00720B32">
            <w:pPr>
              <w:spacing w:line="200" w:lineRule="exact"/>
              <w:rPr>
                <w:rFonts w:ascii="ＭＳ ゴシック" w:eastAsia="ＭＳ ゴシック" w:hAnsi="ＭＳ ゴシック"/>
                <w:sz w:val="16"/>
                <w:szCs w:val="16"/>
              </w:rPr>
            </w:pPr>
            <w:r w:rsidRPr="00E0548A">
              <w:rPr>
                <w:rFonts w:ascii="ＭＳ ゴシック" w:eastAsia="ＭＳ ゴシック" w:hAnsi="ＭＳ ゴシック" w:hint="eastAsia"/>
                <w:sz w:val="16"/>
                <w:szCs w:val="16"/>
              </w:rPr>
              <w:t>○</w:t>
            </w:r>
            <w:r w:rsidR="00B94D21" w:rsidRPr="00E0548A">
              <w:rPr>
                <w:rFonts w:ascii="ＭＳ ゴシック" w:eastAsia="ＭＳ ゴシック" w:hAnsi="ＭＳ ゴシック" w:hint="eastAsia"/>
                <w:sz w:val="16"/>
                <w:szCs w:val="16"/>
              </w:rPr>
              <w:t>震災応急対策連絡</w:t>
            </w:r>
          </w:p>
          <w:p w14:paraId="46218952" w14:textId="77777777" w:rsidR="00B94D21" w:rsidRPr="00E0548A" w:rsidRDefault="00B94D21" w:rsidP="00720B32">
            <w:pPr>
              <w:spacing w:line="200" w:lineRule="exact"/>
              <w:ind w:firstLineChars="100" w:firstLine="161"/>
              <w:rPr>
                <w:rFonts w:ascii="ＭＳ ゴシック" w:eastAsia="ＭＳ ゴシック" w:hAnsi="ＭＳ ゴシック"/>
                <w:sz w:val="16"/>
                <w:szCs w:val="16"/>
              </w:rPr>
            </w:pPr>
            <w:r w:rsidRPr="00E0548A">
              <w:rPr>
                <w:rFonts w:ascii="ＭＳ ゴシック" w:eastAsia="ＭＳ ゴシック" w:hAnsi="ＭＳ ゴシック" w:hint="eastAsia"/>
                <w:sz w:val="16"/>
                <w:szCs w:val="16"/>
              </w:rPr>
              <w:t>会議の設置・運営</w:t>
            </w:r>
          </w:p>
          <w:p w14:paraId="0F9DEB2E" w14:textId="77777777" w:rsidR="00B94D21" w:rsidRPr="00E0548A" w:rsidRDefault="00B94D21" w:rsidP="00720B32">
            <w:pPr>
              <w:spacing w:line="200" w:lineRule="exact"/>
              <w:rPr>
                <w:rFonts w:ascii="ＭＳ ゴシック" w:eastAsia="ＭＳ ゴシック" w:hAnsi="ＭＳ ゴシック"/>
                <w:sz w:val="16"/>
                <w:szCs w:val="16"/>
              </w:rPr>
            </w:pPr>
            <w:r w:rsidRPr="00E0548A">
              <w:rPr>
                <w:rFonts w:ascii="ＭＳ ゴシック" w:eastAsia="ＭＳ ゴシック" w:hAnsi="ＭＳ ゴシック" w:hint="eastAsia"/>
                <w:sz w:val="16"/>
                <w:szCs w:val="16"/>
              </w:rPr>
              <w:t>○所管施設状況確認</w:t>
            </w:r>
          </w:p>
        </w:tc>
        <w:tc>
          <w:tcPr>
            <w:tcW w:w="959" w:type="pct"/>
            <w:tcBorders>
              <w:top w:val="single" w:sz="8" w:space="0" w:color="F79646"/>
              <w:left w:val="single" w:sz="8" w:space="0" w:color="F79646"/>
              <w:bottom w:val="single" w:sz="8" w:space="0" w:color="F79646"/>
              <w:right w:val="single" w:sz="8" w:space="0" w:color="F79646"/>
            </w:tcBorders>
            <w:shd w:val="clear" w:color="auto" w:fill="FCDDCF"/>
            <w:tcMar>
              <w:top w:w="72" w:type="dxa"/>
              <w:left w:w="144" w:type="dxa"/>
              <w:bottom w:w="72" w:type="dxa"/>
              <w:right w:w="144" w:type="dxa"/>
            </w:tcMar>
          </w:tcPr>
          <w:p w14:paraId="3853F5C4" w14:textId="7E882DDF" w:rsidR="00B94D21" w:rsidRPr="00E0548A" w:rsidRDefault="001A5AE4" w:rsidP="00720B32">
            <w:pPr>
              <w:spacing w:line="200" w:lineRule="exact"/>
              <w:rPr>
                <w:rFonts w:ascii="ＭＳ ゴシック" w:eastAsia="ＭＳ ゴシック" w:hAnsi="ＭＳ ゴシック"/>
                <w:sz w:val="16"/>
                <w:szCs w:val="16"/>
              </w:rPr>
            </w:pPr>
            <w:r w:rsidRPr="00E0548A">
              <w:rPr>
                <w:rFonts w:ascii="ＭＳ ゴシック" w:eastAsia="ＭＳ ゴシック" w:hAnsi="ＭＳ ゴシック" w:hint="eastAsia"/>
                <w:sz w:val="16"/>
                <w:szCs w:val="16"/>
              </w:rPr>
              <w:t>○</w:t>
            </w:r>
            <w:r w:rsidR="00B94D21" w:rsidRPr="00E0548A">
              <w:rPr>
                <w:rFonts w:ascii="ＭＳ ゴシック" w:eastAsia="ＭＳ ゴシック" w:hAnsi="ＭＳ ゴシック" w:hint="eastAsia"/>
                <w:sz w:val="16"/>
                <w:szCs w:val="16"/>
              </w:rPr>
              <w:t>空港被害状況把握</w:t>
            </w:r>
          </w:p>
          <w:p w14:paraId="08082092" w14:textId="77777777" w:rsidR="00B94D21" w:rsidRPr="00E0548A" w:rsidRDefault="00B94D21" w:rsidP="00720B32">
            <w:pPr>
              <w:spacing w:line="200" w:lineRule="exact"/>
              <w:ind w:left="161" w:hangingChars="100" w:hanging="161"/>
              <w:rPr>
                <w:rFonts w:ascii="ＭＳ ゴシック" w:eastAsia="ＭＳ ゴシック" w:hAnsi="ＭＳ ゴシック"/>
                <w:sz w:val="16"/>
                <w:szCs w:val="16"/>
              </w:rPr>
            </w:pPr>
            <w:r w:rsidRPr="00E0548A">
              <w:rPr>
                <w:rFonts w:ascii="ＭＳ ゴシック" w:eastAsia="ＭＳ ゴシック" w:hAnsi="ＭＳ ゴシック" w:hint="eastAsia"/>
                <w:sz w:val="16"/>
                <w:szCs w:val="16"/>
              </w:rPr>
              <w:t>○公共交通運行状況・踏切遮断状況情報収集</w:t>
            </w:r>
          </w:p>
          <w:p w14:paraId="3AD635A4" w14:textId="4954C7E3" w:rsidR="00B94D21" w:rsidRPr="00E0548A" w:rsidRDefault="001A5AE4" w:rsidP="00720B32">
            <w:pPr>
              <w:spacing w:line="200" w:lineRule="exact"/>
              <w:ind w:left="161" w:hangingChars="100" w:hanging="161"/>
              <w:rPr>
                <w:rFonts w:ascii="ＭＳ ゴシック" w:eastAsia="ＭＳ ゴシック" w:hAnsi="ＭＳ ゴシック"/>
                <w:sz w:val="16"/>
                <w:szCs w:val="16"/>
              </w:rPr>
            </w:pPr>
            <w:r w:rsidRPr="00E0548A">
              <w:rPr>
                <w:rFonts w:ascii="ＭＳ ゴシック" w:eastAsia="ＭＳ ゴシック" w:hAnsi="ＭＳ ゴシック" w:hint="eastAsia"/>
                <w:sz w:val="16"/>
                <w:szCs w:val="16"/>
              </w:rPr>
              <w:t>○</w:t>
            </w:r>
            <w:r w:rsidR="00B94D21" w:rsidRPr="00E0548A">
              <w:rPr>
                <w:rFonts w:ascii="ＭＳ ゴシック" w:eastAsia="ＭＳ ゴシック" w:hAnsi="ＭＳ ゴシック" w:hint="eastAsia"/>
                <w:sz w:val="16"/>
                <w:szCs w:val="16"/>
              </w:rPr>
              <w:t>広域緊急交通路の道路啓開作業を開始　※2</w:t>
            </w:r>
          </w:p>
        </w:tc>
        <w:tc>
          <w:tcPr>
            <w:tcW w:w="944" w:type="pct"/>
            <w:tcBorders>
              <w:top w:val="single" w:sz="8" w:space="0" w:color="F79646"/>
              <w:left w:val="single" w:sz="8" w:space="0" w:color="F79646"/>
              <w:bottom w:val="single" w:sz="8" w:space="0" w:color="F79646"/>
              <w:right w:val="single" w:sz="8" w:space="0" w:color="F79646"/>
            </w:tcBorders>
            <w:shd w:val="clear" w:color="auto" w:fill="FCDDCF"/>
            <w:tcMar>
              <w:top w:w="72" w:type="dxa"/>
              <w:left w:w="144" w:type="dxa"/>
              <w:bottom w:w="72" w:type="dxa"/>
              <w:right w:w="144" w:type="dxa"/>
            </w:tcMar>
          </w:tcPr>
          <w:p w14:paraId="46D49BAF" w14:textId="54851D50" w:rsidR="00B94D21" w:rsidRPr="00E0548A" w:rsidRDefault="001A5AE4" w:rsidP="00720B32">
            <w:pPr>
              <w:spacing w:line="200" w:lineRule="exact"/>
              <w:ind w:left="161" w:hangingChars="100" w:hanging="161"/>
              <w:rPr>
                <w:rFonts w:ascii="ＭＳ ゴシック" w:eastAsia="ＭＳ ゴシック" w:hAnsi="ＭＳ ゴシック"/>
                <w:sz w:val="16"/>
                <w:szCs w:val="16"/>
              </w:rPr>
            </w:pPr>
            <w:r w:rsidRPr="00E0548A">
              <w:rPr>
                <w:rFonts w:ascii="ＭＳ ゴシック" w:eastAsia="ＭＳ ゴシック" w:hAnsi="ＭＳ ゴシック" w:hint="eastAsia"/>
                <w:sz w:val="16"/>
                <w:szCs w:val="16"/>
              </w:rPr>
              <w:t>○</w:t>
            </w:r>
            <w:r w:rsidR="00B94D21" w:rsidRPr="00E0548A">
              <w:rPr>
                <w:rFonts w:ascii="ＭＳ ゴシック" w:eastAsia="ＭＳ ゴシック" w:hAnsi="ＭＳ ゴシック" w:hint="eastAsia"/>
                <w:sz w:val="16"/>
                <w:szCs w:val="16"/>
              </w:rPr>
              <w:t>救出・救助及び被害情報の収集整理</w:t>
            </w:r>
          </w:p>
          <w:p w14:paraId="656570DF" w14:textId="77777777" w:rsidR="00B94D21" w:rsidRPr="00E0548A" w:rsidRDefault="00B94D21" w:rsidP="00720B32">
            <w:pPr>
              <w:spacing w:line="200" w:lineRule="exact"/>
              <w:rPr>
                <w:rFonts w:ascii="ＭＳ ゴシック" w:eastAsia="ＭＳ ゴシック" w:hAnsi="ＭＳ ゴシック"/>
                <w:sz w:val="16"/>
                <w:szCs w:val="16"/>
              </w:rPr>
            </w:pPr>
          </w:p>
        </w:tc>
        <w:tc>
          <w:tcPr>
            <w:tcW w:w="1109" w:type="pct"/>
            <w:tcBorders>
              <w:top w:val="single" w:sz="8" w:space="0" w:color="F79646"/>
              <w:left w:val="single" w:sz="8" w:space="0" w:color="F79646"/>
              <w:bottom w:val="single" w:sz="8" w:space="0" w:color="F79646"/>
              <w:right w:val="single" w:sz="8" w:space="0" w:color="F79646"/>
            </w:tcBorders>
            <w:shd w:val="clear" w:color="auto" w:fill="FCDDCF"/>
            <w:tcMar>
              <w:top w:w="72" w:type="dxa"/>
              <w:left w:w="144" w:type="dxa"/>
              <w:bottom w:w="72" w:type="dxa"/>
              <w:right w:w="144" w:type="dxa"/>
            </w:tcMar>
          </w:tcPr>
          <w:p w14:paraId="7FA81537" w14:textId="11C27BB4" w:rsidR="00B94D21" w:rsidRPr="00E0548A" w:rsidRDefault="001A5AE4" w:rsidP="00720B32">
            <w:pPr>
              <w:spacing w:line="200" w:lineRule="exact"/>
              <w:rPr>
                <w:rFonts w:ascii="ＭＳ ゴシック" w:eastAsia="ＭＳ ゴシック" w:hAnsi="ＭＳ ゴシック"/>
                <w:sz w:val="16"/>
                <w:szCs w:val="16"/>
              </w:rPr>
            </w:pPr>
            <w:r w:rsidRPr="00E0548A">
              <w:rPr>
                <w:rFonts w:ascii="ＭＳ ゴシック" w:eastAsia="ＭＳ ゴシック" w:hAnsi="ＭＳ ゴシック" w:hint="eastAsia"/>
                <w:sz w:val="16"/>
                <w:szCs w:val="16"/>
              </w:rPr>
              <w:t>○</w:t>
            </w:r>
            <w:r w:rsidR="00B94D21" w:rsidRPr="00E0548A">
              <w:rPr>
                <w:rFonts w:ascii="ＭＳ ゴシック" w:eastAsia="ＭＳ ゴシック" w:hAnsi="ＭＳ ゴシック" w:hint="eastAsia"/>
                <w:sz w:val="16"/>
                <w:szCs w:val="16"/>
              </w:rPr>
              <w:t>後方医療活動調整開始</w:t>
            </w:r>
          </w:p>
          <w:p w14:paraId="6E42E8FF" w14:textId="6D10629C" w:rsidR="00B94D21" w:rsidRPr="00E0548A" w:rsidRDefault="001A5AE4" w:rsidP="00720B32">
            <w:pPr>
              <w:spacing w:line="200" w:lineRule="exact"/>
              <w:rPr>
                <w:rFonts w:ascii="ＭＳ ゴシック" w:eastAsia="ＭＳ ゴシック" w:hAnsi="ＭＳ ゴシック"/>
                <w:sz w:val="16"/>
                <w:szCs w:val="16"/>
              </w:rPr>
            </w:pPr>
            <w:r w:rsidRPr="00E0548A">
              <w:rPr>
                <w:rFonts w:ascii="ＭＳ ゴシック" w:eastAsia="ＭＳ ゴシック" w:hAnsi="ＭＳ ゴシック" w:hint="eastAsia"/>
                <w:sz w:val="16"/>
                <w:szCs w:val="16"/>
              </w:rPr>
              <w:t>○</w:t>
            </w:r>
            <w:r w:rsidR="00B94D21" w:rsidRPr="00E0548A">
              <w:rPr>
                <w:rFonts w:ascii="ＭＳ ゴシック" w:eastAsia="ＭＳ ゴシック" w:hAnsi="ＭＳ ゴシック" w:hint="eastAsia"/>
                <w:sz w:val="16"/>
                <w:szCs w:val="16"/>
              </w:rPr>
              <w:t>医薬品等確保供給体制</w:t>
            </w:r>
          </w:p>
          <w:p w14:paraId="17F16EF5" w14:textId="77777777" w:rsidR="00B94D21" w:rsidRPr="00E0548A" w:rsidRDefault="00B94D21" w:rsidP="00720B32">
            <w:pPr>
              <w:spacing w:line="200" w:lineRule="exact"/>
              <w:ind w:left="161" w:hangingChars="100" w:hanging="161"/>
              <w:rPr>
                <w:rFonts w:ascii="ＭＳ ゴシック" w:eastAsia="ＭＳ ゴシック" w:hAnsi="ＭＳ ゴシック"/>
                <w:sz w:val="16"/>
                <w:szCs w:val="16"/>
              </w:rPr>
            </w:pPr>
            <w:r w:rsidRPr="00E0548A">
              <w:rPr>
                <w:rFonts w:ascii="ＭＳ ゴシック" w:eastAsia="ＭＳ ゴシック" w:hAnsi="ＭＳ ゴシック" w:hint="eastAsia"/>
                <w:sz w:val="16"/>
                <w:szCs w:val="16"/>
              </w:rPr>
              <w:t>○府外DHEAT先遣隊の受入調整開始</w:t>
            </w:r>
          </w:p>
          <w:p w14:paraId="243A6B45" w14:textId="28A3D9AF" w:rsidR="00B94D21" w:rsidRPr="00E0548A" w:rsidRDefault="00B94D21" w:rsidP="00720B32">
            <w:pPr>
              <w:spacing w:line="200" w:lineRule="exact"/>
              <w:ind w:left="161" w:hangingChars="100" w:hanging="161"/>
              <w:rPr>
                <w:rFonts w:ascii="ＭＳ ゴシック" w:eastAsia="ＭＳ ゴシック" w:hAnsi="ＭＳ ゴシック"/>
                <w:sz w:val="16"/>
                <w:szCs w:val="16"/>
              </w:rPr>
            </w:pPr>
            <w:r w:rsidRPr="00E0548A">
              <w:rPr>
                <w:rFonts w:ascii="ＭＳ ゴシック" w:eastAsia="ＭＳ ゴシック" w:hAnsi="ＭＳ ゴシック" w:hint="eastAsia"/>
                <w:sz w:val="16"/>
                <w:szCs w:val="16"/>
              </w:rPr>
              <w:t>○府内DHEAT・</w:t>
            </w:r>
            <w:r w:rsidR="00F133BF" w:rsidRPr="00E0548A">
              <w:rPr>
                <w:rFonts w:ascii="ＭＳ ゴシック" w:eastAsia="ＭＳ ゴシック" w:hAnsi="ＭＳ ゴシック" w:hint="eastAsia"/>
                <w:sz w:val="16"/>
                <w:szCs w:val="16"/>
              </w:rPr>
              <w:t>保健師等</w:t>
            </w:r>
            <w:r w:rsidRPr="00E0548A">
              <w:rPr>
                <w:rFonts w:ascii="ＭＳ ゴシック" w:eastAsia="ＭＳ ゴシック" w:hAnsi="ＭＳ ゴシック" w:hint="eastAsia"/>
                <w:sz w:val="16"/>
                <w:szCs w:val="16"/>
              </w:rPr>
              <w:t>チームの派遣調整開始</w:t>
            </w:r>
          </w:p>
          <w:p w14:paraId="70320DBB" w14:textId="30E2CE57" w:rsidR="00B94D21" w:rsidRPr="00E0548A" w:rsidRDefault="001A5AE4" w:rsidP="00720B32">
            <w:pPr>
              <w:spacing w:line="200" w:lineRule="exact"/>
              <w:ind w:left="161" w:hangingChars="100" w:hanging="161"/>
              <w:rPr>
                <w:rFonts w:ascii="ＭＳ ゴシック" w:eastAsia="ＭＳ ゴシック" w:hAnsi="ＭＳ ゴシック"/>
                <w:sz w:val="16"/>
                <w:szCs w:val="16"/>
              </w:rPr>
            </w:pPr>
            <w:r w:rsidRPr="00E0548A">
              <w:rPr>
                <w:rFonts w:ascii="ＭＳ ゴシック" w:eastAsia="ＭＳ ゴシック" w:hAnsi="ＭＳ ゴシック" w:hint="eastAsia"/>
                <w:sz w:val="16"/>
                <w:szCs w:val="16"/>
              </w:rPr>
              <w:t>○</w:t>
            </w:r>
            <w:r w:rsidR="00B94D21" w:rsidRPr="00E0548A">
              <w:rPr>
                <w:rFonts w:ascii="ＭＳ ゴシック" w:eastAsia="ＭＳ ゴシック" w:hAnsi="ＭＳ ゴシック" w:hint="eastAsia"/>
                <w:sz w:val="16"/>
                <w:szCs w:val="16"/>
              </w:rPr>
              <w:t>災害福祉支援</w:t>
            </w:r>
            <w:proofErr w:type="gramStart"/>
            <w:r w:rsidR="00B94D21" w:rsidRPr="00E0548A">
              <w:rPr>
                <w:rFonts w:ascii="ＭＳ ゴシック" w:eastAsia="ＭＳ ゴシック" w:hAnsi="ＭＳ ゴシック" w:hint="eastAsia"/>
                <w:sz w:val="16"/>
                <w:szCs w:val="16"/>
              </w:rPr>
              <w:t>ﾈｯﾄﾜｰｸ</w:t>
            </w:r>
            <w:proofErr w:type="gramEnd"/>
            <w:r w:rsidR="00B94D21" w:rsidRPr="00E0548A">
              <w:rPr>
                <w:rFonts w:ascii="ＭＳ ゴシック" w:eastAsia="ＭＳ ゴシック" w:hAnsi="ＭＳ ゴシック" w:hint="eastAsia"/>
                <w:sz w:val="16"/>
                <w:szCs w:val="16"/>
              </w:rPr>
              <w:t>運用開始、DWAT本部設置</w:t>
            </w:r>
          </w:p>
        </w:tc>
        <w:tc>
          <w:tcPr>
            <w:tcW w:w="1029" w:type="pct"/>
            <w:tcBorders>
              <w:top w:val="single" w:sz="8" w:space="0" w:color="F79646"/>
              <w:left w:val="single" w:sz="8" w:space="0" w:color="F79646"/>
              <w:bottom w:val="single" w:sz="8" w:space="0" w:color="F79646"/>
              <w:right w:val="single" w:sz="8" w:space="0" w:color="F79646"/>
            </w:tcBorders>
            <w:shd w:val="clear" w:color="auto" w:fill="FCDDCF"/>
            <w:tcMar>
              <w:top w:w="72" w:type="dxa"/>
              <w:left w:w="144" w:type="dxa"/>
              <w:bottom w:w="72" w:type="dxa"/>
              <w:right w:w="144" w:type="dxa"/>
            </w:tcMar>
          </w:tcPr>
          <w:p w14:paraId="4B45ACB4" w14:textId="0812A930" w:rsidR="00B94D21" w:rsidRPr="00E0548A" w:rsidRDefault="001A5AE4" w:rsidP="00720B32">
            <w:pPr>
              <w:spacing w:line="200" w:lineRule="exact"/>
              <w:rPr>
                <w:rFonts w:ascii="ＭＳ ゴシック" w:eastAsia="ＭＳ ゴシック" w:hAnsi="ＭＳ ゴシック"/>
                <w:sz w:val="16"/>
                <w:szCs w:val="16"/>
              </w:rPr>
            </w:pPr>
            <w:r w:rsidRPr="00E0548A">
              <w:rPr>
                <w:rFonts w:ascii="ＭＳ ゴシック" w:eastAsia="ＭＳ ゴシック" w:hAnsi="ＭＳ ゴシック" w:hint="eastAsia"/>
                <w:sz w:val="16"/>
                <w:szCs w:val="16"/>
              </w:rPr>
              <w:t>○</w:t>
            </w:r>
            <w:r w:rsidR="00B94D21" w:rsidRPr="00E0548A">
              <w:rPr>
                <w:rFonts w:ascii="ＭＳ ゴシック" w:eastAsia="ＭＳ ゴシック" w:hAnsi="ＭＳ ゴシック" w:hint="eastAsia"/>
                <w:sz w:val="16"/>
                <w:szCs w:val="16"/>
              </w:rPr>
              <w:t>広域防災拠点運営</w:t>
            </w:r>
          </w:p>
          <w:p w14:paraId="4AFF5347" w14:textId="77777777" w:rsidR="00B94D21" w:rsidRPr="00E0548A" w:rsidRDefault="00B94D21" w:rsidP="00720B32">
            <w:pPr>
              <w:spacing w:line="200" w:lineRule="exact"/>
              <w:ind w:firstLineChars="100" w:firstLine="161"/>
              <w:rPr>
                <w:rFonts w:ascii="ＭＳ ゴシック" w:eastAsia="ＭＳ ゴシック" w:hAnsi="ＭＳ ゴシック"/>
                <w:sz w:val="16"/>
                <w:szCs w:val="16"/>
              </w:rPr>
            </w:pPr>
            <w:r w:rsidRPr="00E0548A">
              <w:rPr>
                <w:rFonts w:ascii="ＭＳ ゴシック" w:eastAsia="ＭＳ ゴシック" w:hAnsi="ＭＳ ゴシック" w:hint="eastAsia"/>
                <w:sz w:val="16"/>
                <w:szCs w:val="16"/>
              </w:rPr>
              <w:t>開始</w:t>
            </w:r>
          </w:p>
          <w:p w14:paraId="402A951F" w14:textId="4EF15826" w:rsidR="00B94D21" w:rsidRPr="00E0548A" w:rsidRDefault="001A5AE4" w:rsidP="00720B32">
            <w:pPr>
              <w:spacing w:line="200" w:lineRule="exact"/>
              <w:rPr>
                <w:rFonts w:ascii="ＭＳ ゴシック" w:eastAsia="ＭＳ ゴシック" w:hAnsi="ＭＳ ゴシック"/>
                <w:sz w:val="16"/>
                <w:szCs w:val="16"/>
              </w:rPr>
            </w:pPr>
            <w:r w:rsidRPr="00E0548A">
              <w:rPr>
                <w:rFonts w:ascii="ＭＳ ゴシック" w:eastAsia="ＭＳ ゴシック" w:hAnsi="ＭＳ ゴシック" w:hint="eastAsia"/>
                <w:sz w:val="16"/>
                <w:szCs w:val="16"/>
              </w:rPr>
              <w:t>○</w:t>
            </w:r>
            <w:r w:rsidR="00B94D21" w:rsidRPr="00E0548A">
              <w:rPr>
                <w:rFonts w:ascii="ＭＳ ゴシック" w:eastAsia="ＭＳ ゴシック" w:hAnsi="ＭＳ ゴシック" w:hint="eastAsia"/>
                <w:sz w:val="16"/>
                <w:szCs w:val="16"/>
              </w:rPr>
              <w:t>後方支援活動拠点</w:t>
            </w:r>
          </w:p>
          <w:p w14:paraId="3CA7A74B" w14:textId="77777777" w:rsidR="00B94D21" w:rsidRPr="00E0548A" w:rsidRDefault="00B94D21" w:rsidP="00720B32">
            <w:pPr>
              <w:spacing w:line="200" w:lineRule="exact"/>
              <w:ind w:firstLineChars="100" w:firstLine="161"/>
              <w:rPr>
                <w:rFonts w:ascii="ＭＳ ゴシック" w:eastAsia="ＭＳ ゴシック" w:hAnsi="ＭＳ ゴシック"/>
                <w:sz w:val="16"/>
                <w:szCs w:val="16"/>
              </w:rPr>
            </w:pPr>
            <w:r w:rsidRPr="00E0548A">
              <w:rPr>
                <w:rFonts w:ascii="ＭＳ ゴシック" w:eastAsia="ＭＳ ゴシック" w:hAnsi="ＭＳ ゴシック" w:hint="eastAsia"/>
                <w:sz w:val="16"/>
                <w:szCs w:val="16"/>
              </w:rPr>
              <w:t>運営開始</w:t>
            </w:r>
          </w:p>
          <w:p w14:paraId="06C9CAB5" w14:textId="04B1EED5" w:rsidR="00B94D21" w:rsidRPr="00E0548A" w:rsidRDefault="001A5AE4" w:rsidP="00720B32">
            <w:pPr>
              <w:spacing w:line="200" w:lineRule="exact"/>
              <w:ind w:left="161" w:hangingChars="100" w:hanging="161"/>
              <w:rPr>
                <w:rFonts w:ascii="ＭＳ ゴシック" w:eastAsia="ＭＳ ゴシック" w:hAnsi="ＭＳ ゴシック"/>
                <w:sz w:val="16"/>
                <w:szCs w:val="16"/>
              </w:rPr>
            </w:pPr>
            <w:r w:rsidRPr="00E0548A">
              <w:rPr>
                <w:rFonts w:ascii="ＭＳ ゴシック" w:eastAsia="ＭＳ ゴシック" w:hAnsi="ＭＳ ゴシック" w:hint="eastAsia"/>
                <w:sz w:val="16"/>
                <w:szCs w:val="16"/>
              </w:rPr>
              <w:t>○</w:t>
            </w:r>
            <w:r w:rsidR="00B94D21" w:rsidRPr="00E0548A">
              <w:rPr>
                <w:rFonts w:ascii="ＭＳ ゴシック" w:eastAsia="ＭＳ ゴシック" w:hAnsi="ＭＳ ゴシック" w:hint="eastAsia"/>
                <w:sz w:val="16"/>
                <w:szCs w:val="16"/>
              </w:rPr>
              <w:t>食</w:t>
            </w:r>
            <w:r w:rsidR="00AC146C" w:rsidRPr="00E0548A">
              <w:rPr>
                <w:rFonts w:ascii="ＭＳ ゴシック" w:eastAsia="ＭＳ ゴシック" w:hAnsi="ＭＳ ゴシック" w:hint="eastAsia"/>
                <w:sz w:val="16"/>
                <w:szCs w:val="16"/>
              </w:rPr>
              <w:t>料</w:t>
            </w:r>
            <w:r w:rsidR="00B94D21" w:rsidRPr="00E0548A">
              <w:rPr>
                <w:rFonts w:ascii="ＭＳ ゴシック" w:eastAsia="ＭＳ ゴシック" w:hAnsi="ＭＳ ゴシック" w:hint="eastAsia"/>
                <w:sz w:val="16"/>
                <w:szCs w:val="16"/>
              </w:rPr>
              <w:t>（米穀等）の調達斡旋開始</w:t>
            </w:r>
          </w:p>
        </w:tc>
      </w:tr>
      <w:tr w:rsidR="00B94D21" w:rsidRPr="00E0548A" w14:paraId="17BDF103" w14:textId="77777777" w:rsidTr="00720B32">
        <w:trPr>
          <w:trHeight w:val="1908"/>
        </w:trPr>
        <w:tc>
          <w:tcPr>
            <w:tcW w:w="959" w:type="pct"/>
            <w:tcBorders>
              <w:top w:val="single" w:sz="8" w:space="0" w:color="F79646"/>
              <w:left w:val="single" w:sz="8" w:space="0" w:color="F79646"/>
              <w:bottom w:val="single" w:sz="8" w:space="0" w:color="F79646"/>
              <w:right w:val="single" w:sz="8" w:space="0" w:color="F79646"/>
            </w:tcBorders>
            <w:shd w:val="clear" w:color="auto" w:fill="FDEFE9"/>
            <w:tcMar>
              <w:top w:w="72" w:type="dxa"/>
              <w:left w:w="144" w:type="dxa"/>
              <w:bottom w:w="72" w:type="dxa"/>
              <w:right w:w="144" w:type="dxa"/>
            </w:tcMar>
          </w:tcPr>
          <w:p w14:paraId="6493BF92" w14:textId="392403B2" w:rsidR="00B94D21" w:rsidRPr="00E0548A" w:rsidRDefault="001A5AE4" w:rsidP="00720B32">
            <w:pPr>
              <w:spacing w:line="200" w:lineRule="exact"/>
              <w:rPr>
                <w:rFonts w:ascii="ＭＳ ゴシック" w:eastAsia="ＭＳ ゴシック" w:hAnsi="ＭＳ ゴシック"/>
                <w:sz w:val="16"/>
                <w:szCs w:val="16"/>
              </w:rPr>
            </w:pPr>
            <w:r w:rsidRPr="00E0548A">
              <w:rPr>
                <w:rFonts w:ascii="ＭＳ ゴシック" w:eastAsia="ＭＳ ゴシック" w:hAnsi="ＭＳ ゴシック" w:hint="eastAsia"/>
                <w:sz w:val="16"/>
                <w:szCs w:val="16"/>
              </w:rPr>
              <w:t>○</w:t>
            </w:r>
            <w:r w:rsidR="00B94D21" w:rsidRPr="00E0548A">
              <w:rPr>
                <w:rFonts w:ascii="ＭＳ ゴシック" w:eastAsia="ＭＳ ゴシック" w:hAnsi="ＭＳ ゴシック" w:hint="eastAsia"/>
                <w:sz w:val="16"/>
                <w:szCs w:val="16"/>
              </w:rPr>
              <w:t>ごみ処理に関する</w:t>
            </w:r>
          </w:p>
          <w:p w14:paraId="13293D5A" w14:textId="77777777" w:rsidR="00B94D21" w:rsidRPr="00E0548A" w:rsidRDefault="00B94D21" w:rsidP="00720B32">
            <w:pPr>
              <w:spacing w:line="200" w:lineRule="exact"/>
              <w:ind w:firstLineChars="100" w:firstLine="161"/>
              <w:rPr>
                <w:rFonts w:ascii="ＭＳ ゴシック" w:eastAsia="ＭＳ ゴシック" w:hAnsi="ＭＳ ゴシック"/>
                <w:sz w:val="16"/>
                <w:szCs w:val="16"/>
              </w:rPr>
            </w:pPr>
            <w:r w:rsidRPr="00E0548A">
              <w:rPr>
                <w:rFonts w:ascii="ＭＳ ゴシック" w:eastAsia="ＭＳ ゴシック" w:hAnsi="ＭＳ ゴシック" w:hint="eastAsia"/>
                <w:sz w:val="16"/>
                <w:szCs w:val="16"/>
              </w:rPr>
              <w:t>調整</w:t>
            </w:r>
          </w:p>
          <w:p w14:paraId="30235C18" w14:textId="35AEA4D9" w:rsidR="00B94D21" w:rsidRPr="00E0548A" w:rsidRDefault="001A5AE4" w:rsidP="00720B32">
            <w:pPr>
              <w:spacing w:line="200" w:lineRule="exact"/>
              <w:rPr>
                <w:rFonts w:ascii="ＭＳ ゴシック" w:eastAsia="ＭＳ ゴシック" w:hAnsi="ＭＳ ゴシック"/>
                <w:sz w:val="16"/>
                <w:szCs w:val="16"/>
              </w:rPr>
            </w:pPr>
            <w:r w:rsidRPr="00E0548A">
              <w:rPr>
                <w:rFonts w:ascii="ＭＳ ゴシック" w:eastAsia="ＭＳ ゴシック" w:hAnsi="ＭＳ ゴシック" w:hint="eastAsia"/>
                <w:sz w:val="16"/>
                <w:szCs w:val="16"/>
              </w:rPr>
              <w:t>○</w:t>
            </w:r>
            <w:r w:rsidR="00B94D21" w:rsidRPr="00E0548A">
              <w:rPr>
                <w:rFonts w:ascii="ＭＳ ゴシック" w:eastAsia="ＭＳ ゴシック" w:hAnsi="ＭＳ ゴシック" w:hint="eastAsia"/>
                <w:sz w:val="16"/>
                <w:szCs w:val="16"/>
              </w:rPr>
              <w:t>土砂災害緊急調査の</w:t>
            </w:r>
          </w:p>
          <w:p w14:paraId="5790D99D" w14:textId="77777777" w:rsidR="00B94D21" w:rsidRPr="00E0548A" w:rsidRDefault="00B94D21" w:rsidP="00720B32">
            <w:pPr>
              <w:spacing w:line="200" w:lineRule="exact"/>
              <w:ind w:firstLineChars="100" w:firstLine="161"/>
              <w:rPr>
                <w:rFonts w:ascii="ＭＳ ゴシック" w:eastAsia="ＭＳ ゴシック" w:hAnsi="ＭＳ ゴシック"/>
                <w:sz w:val="16"/>
                <w:szCs w:val="16"/>
              </w:rPr>
            </w:pPr>
            <w:r w:rsidRPr="00E0548A">
              <w:rPr>
                <w:rFonts w:ascii="ＭＳ ゴシック" w:eastAsia="ＭＳ ゴシック" w:hAnsi="ＭＳ ゴシック" w:hint="eastAsia"/>
                <w:sz w:val="16"/>
                <w:szCs w:val="16"/>
              </w:rPr>
              <w:t>とりまとめ</w:t>
            </w:r>
          </w:p>
        </w:tc>
        <w:tc>
          <w:tcPr>
            <w:tcW w:w="959" w:type="pct"/>
            <w:tcBorders>
              <w:top w:val="single" w:sz="8" w:space="0" w:color="F79646"/>
              <w:left w:val="single" w:sz="8" w:space="0" w:color="F79646"/>
              <w:bottom w:val="single" w:sz="8" w:space="0" w:color="F79646"/>
              <w:right w:val="single" w:sz="8" w:space="0" w:color="F79646"/>
            </w:tcBorders>
            <w:shd w:val="clear" w:color="auto" w:fill="FDEFE9"/>
            <w:tcMar>
              <w:top w:w="72" w:type="dxa"/>
              <w:left w:w="144" w:type="dxa"/>
              <w:bottom w:w="72" w:type="dxa"/>
              <w:right w:w="144" w:type="dxa"/>
            </w:tcMar>
          </w:tcPr>
          <w:p w14:paraId="6AF92E27" w14:textId="77777777" w:rsidR="00B94D21" w:rsidRPr="00E0548A" w:rsidRDefault="00B94D21" w:rsidP="00720B32">
            <w:pPr>
              <w:spacing w:line="200" w:lineRule="exact"/>
              <w:ind w:left="161" w:hangingChars="100" w:hanging="161"/>
              <w:rPr>
                <w:rFonts w:ascii="ＭＳ ゴシック" w:eastAsia="ＭＳ ゴシック" w:hAnsi="ＭＳ ゴシック"/>
                <w:sz w:val="16"/>
                <w:szCs w:val="16"/>
              </w:rPr>
            </w:pPr>
            <w:r w:rsidRPr="00E0548A">
              <w:rPr>
                <w:rFonts w:ascii="ＭＳ ゴシック" w:eastAsia="ＭＳ ゴシック" w:hAnsi="ＭＳ ゴシック" w:hint="eastAsia"/>
                <w:sz w:val="16"/>
                <w:szCs w:val="16"/>
              </w:rPr>
              <w:t>○高速道路、広域緊急交通路（重点14路線）および必要なアクセス道路の道路啓開作業完了</w:t>
            </w:r>
          </w:p>
        </w:tc>
        <w:tc>
          <w:tcPr>
            <w:tcW w:w="944" w:type="pct"/>
            <w:tcBorders>
              <w:top w:val="single" w:sz="8" w:space="0" w:color="F79646"/>
              <w:left w:val="single" w:sz="8" w:space="0" w:color="F79646"/>
              <w:bottom w:val="single" w:sz="8" w:space="0" w:color="F79646"/>
              <w:right w:val="single" w:sz="8" w:space="0" w:color="F79646"/>
            </w:tcBorders>
            <w:shd w:val="clear" w:color="auto" w:fill="FDEFE9"/>
            <w:tcMar>
              <w:top w:w="72" w:type="dxa"/>
              <w:left w:w="144" w:type="dxa"/>
              <w:bottom w:w="72" w:type="dxa"/>
              <w:right w:w="144" w:type="dxa"/>
            </w:tcMar>
          </w:tcPr>
          <w:p w14:paraId="746C915D" w14:textId="77777777" w:rsidR="00B94D21" w:rsidRPr="00E0548A" w:rsidRDefault="00B94D21" w:rsidP="00720B32">
            <w:pPr>
              <w:spacing w:line="200" w:lineRule="exact"/>
              <w:rPr>
                <w:rFonts w:ascii="ＭＳ ゴシック" w:eastAsia="ＭＳ ゴシック" w:hAnsi="ＭＳ ゴシック"/>
                <w:sz w:val="16"/>
                <w:szCs w:val="16"/>
              </w:rPr>
            </w:pPr>
          </w:p>
        </w:tc>
        <w:tc>
          <w:tcPr>
            <w:tcW w:w="1109" w:type="pct"/>
            <w:tcBorders>
              <w:top w:val="single" w:sz="8" w:space="0" w:color="F79646"/>
              <w:left w:val="single" w:sz="8" w:space="0" w:color="F79646"/>
              <w:bottom w:val="single" w:sz="8" w:space="0" w:color="F79646"/>
              <w:right w:val="single" w:sz="8" w:space="0" w:color="F79646"/>
            </w:tcBorders>
            <w:shd w:val="clear" w:color="auto" w:fill="FDEFE9"/>
            <w:tcMar>
              <w:top w:w="72" w:type="dxa"/>
              <w:left w:w="144" w:type="dxa"/>
              <w:bottom w:w="72" w:type="dxa"/>
              <w:right w:w="144" w:type="dxa"/>
            </w:tcMar>
          </w:tcPr>
          <w:p w14:paraId="04119F17" w14:textId="2569FD72" w:rsidR="00B94D21" w:rsidRPr="00E0548A" w:rsidRDefault="001A5AE4" w:rsidP="00720B32">
            <w:pPr>
              <w:spacing w:line="200" w:lineRule="exact"/>
              <w:ind w:left="161" w:hangingChars="100" w:hanging="161"/>
              <w:rPr>
                <w:rFonts w:ascii="ＭＳ ゴシック" w:eastAsia="ＭＳ ゴシック" w:hAnsi="ＭＳ ゴシック"/>
                <w:sz w:val="16"/>
                <w:szCs w:val="16"/>
              </w:rPr>
            </w:pPr>
            <w:r w:rsidRPr="00E0548A">
              <w:rPr>
                <w:rFonts w:ascii="ＭＳ ゴシック" w:eastAsia="ＭＳ ゴシック" w:hAnsi="ＭＳ ゴシック" w:hint="eastAsia"/>
                <w:sz w:val="16"/>
                <w:szCs w:val="16"/>
              </w:rPr>
              <w:t>○</w:t>
            </w:r>
            <w:r w:rsidR="00B94D21" w:rsidRPr="00E0548A">
              <w:rPr>
                <w:rFonts w:ascii="ＭＳ ゴシック" w:eastAsia="ＭＳ ゴシック" w:hAnsi="ＭＳ ゴシック" w:hint="eastAsia"/>
                <w:sz w:val="16"/>
                <w:szCs w:val="16"/>
              </w:rPr>
              <w:t>府内DHEAT・</w:t>
            </w:r>
            <w:r w:rsidR="00F133BF" w:rsidRPr="00E0548A">
              <w:rPr>
                <w:rFonts w:ascii="ＭＳ ゴシック" w:eastAsia="ＭＳ ゴシック" w:hAnsi="ＭＳ ゴシック" w:hint="eastAsia"/>
                <w:sz w:val="16"/>
                <w:szCs w:val="16"/>
              </w:rPr>
              <w:t>保健師等</w:t>
            </w:r>
            <w:r w:rsidR="00B94D21" w:rsidRPr="00E0548A">
              <w:rPr>
                <w:rFonts w:ascii="ＭＳ ゴシック" w:eastAsia="ＭＳ ゴシック" w:hAnsi="ＭＳ ゴシック" w:hint="eastAsia"/>
                <w:sz w:val="16"/>
                <w:szCs w:val="16"/>
              </w:rPr>
              <w:t>チーム及びこころの健康相談等の活動開始</w:t>
            </w:r>
          </w:p>
          <w:p w14:paraId="3310E409" w14:textId="6E2CCAFD" w:rsidR="00B94D21" w:rsidRPr="00E0548A" w:rsidRDefault="00B94D21" w:rsidP="00720B32">
            <w:pPr>
              <w:spacing w:line="200" w:lineRule="exact"/>
              <w:ind w:left="161" w:hangingChars="100" w:hanging="161"/>
              <w:rPr>
                <w:rFonts w:ascii="ＭＳ ゴシック" w:eastAsia="ＭＳ ゴシック" w:hAnsi="ＭＳ ゴシック"/>
                <w:sz w:val="16"/>
                <w:szCs w:val="16"/>
              </w:rPr>
            </w:pPr>
            <w:r w:rsidRPr="00E0548A">
              <w:rPr>
                <w:rFonts w:ascii="ＭＳ ゴシック" w:eastAsia="ＭＳ ゴシック" w:hAnsi="ＭＳ ゴシック" w:hint="eastAsia"/>
                <w:sz w:val="16"/>
                <w:szCs w:val="16"/>
              </w:rPr>
              <w:t>○府外DHEAT・</w:t>
            </w:r>
            <w:r w:rsidR="00F133BF" w:rsidRPr="00E0548A">
              <w:rPr>
                <w:rFonts w:ascii="ＭＳ ゴシック" w:eastAsia="ＭＳ ゴシック" w:hAnsi="ＭＳ ゴシック" w:hint="eastAsia"/>
                <w:sz w:val="16"/>
                <w:szCs w:val="16"/>
              </w:rPr>
              <w:t>保健師等</w:t>
            </w:r>
            <w:r w:rsidRPr="00E0548A">
              <w:rPr>
                <w:rFonts w:ascii="ＭＳ ゴシック" w:eastAsia="ＭＳ ゴシック" w:hAnsi="ＭＳ ゴシック" w:hint="eastAsia"/>
                <w:sz w:val="16"/>
                <w:szCs w:val="16"/>
              </w:rPr>
              <w:t>チームの派遣依頼調整開始</w:t>
            </w:r>
          </w:p>
          <w:p w14:paraId="2A090D54" w14:textId="47743E2D" w:rsidR="00B94D21" w:rsidRPr="00E0548A" w:rsidRDefault="001A5AE4" w:rsidP="00720B32">
            <w:pPr>
              <w:spacing w:line="200" w:lineRule="exact"/>
              <w:ind w:left="161" w:hangingChars="100" w:hanging="161"/>
              <w:rPr>
                <w:rFonts w:ascii="ＭＳ ゴシック" w:eastAsia="ＭＳ ゴシック" w:hAnsi="ＭＳ ゴシック"/>
                <w:sz w:val="16"/>
                <w:szCs w:val="16"/>
              </w:rPr>
            </w:pPr>
            <w:r w:rsidRPr="00E0548A">
              <w:rPr>
                <w:rFonts w:ascii="ＭＳ ゴシック" w:eastAsia="ＭＳ ゴシック" w:hAnsi="ＭＳ ゴシック" w:hint="eastAsia"/>
                <w:sz w:val="16"/>
                <w:szCs w:val="16"/>
              </w:rPr>
              <w:t>○</w:t>
            </w:r>
            <w:r w:rsidR="00B94D21" w:rsidRPr="00E0548A">
              <w:rPr>
                <w:rFonts w:ascii="ＭＳ ゴシック" w:eastAsia="ＭＳ ゴシック" w:hAnsi="ＭＳ ゴシック" w:hint="eastAsia"/>
                <w:sz w:val="16"/>
                <w:szCs w:val="16"/>
              </w:rPr>
              <w:t>国有ワクチン供給体制の把握</w:t>
            </w:r>
          </w:p>
          <w:p w14:paraId="3851241C" w14:textId="51821E56" w:rsidR="00B94D21" w:rsidRPr="00E0548A" w:rsidRDefault="001A5AE4" w:rsidP="00720B32">
            <w:pPr>
              <w:spacing w:line="200" w:lineRule="exact"/>
              <w:rPr>
                <w:rFonts w:ascii="ＭＳ ゴシック" w:eastAsia="ＭＳ ゴシック" w:hAnsi="ＭＳ ゴシック"/>
                <w:sz w:val="16"/>
                <w:szCs w:val="16"/>
              </w:rPr>
            </w:pPr>
            <w:r w:rsidRPr="00E0548A">
              <w:rPr>
                <w:rFonts w:ascii="ＭＳ ゴシック" w:eastAsia="ＭＳ ゴシック" w:hAnsi="ＭＳ ゴシック" w:hint="eastAsia"/>
                <w:sz w:val="16"/>
                <w:szCs w:val="16"/>
              </w:rPr>
              <w:t>○</w:t>
            </w:r>
            <w:r w:rsidR="00B94D21" w:rsidRPr="00E0548A">
              <w:rPr>
                <w:rFonts w:ascii="ＭＳ ゴシック" w:eastAsia="ＭＳ ゴシック" w:hAnsi="ＭＳ ゴシック" w:hint="eastAsia"/>
                <w:sz w:val="16"/>
                <w:szCs w:val="16"/>
              </w:rPr>
              <w:t>臨時食事提供施設等の</w:t>
            </w:r>
          </w:p>
          <w:p w14:paraId="1BE322C9" w14:textId="77777777" w:rsidR="00B94D21" w:rsidRPr="00E0548A" w:rsidRDefault="00B94D21" w:rsidP="00720B32">
            <w:pPr>
              <w:spacing w:line="200" w:lineRule="exact"/>
              <w:ind w:firstLineChars="100" w:firstLine="161"/>
              <w:rPr>
                <w:rFonts w:ascii="ＭＳ ゴシック" w:eastAsia="ＭＳ ゴシック" w:hAnsi="ＭＳ ゴシック"/>
                <w:sz w:val="16"/>
                <w:szCs w:val="16"/>
              </w:rPr>
            </w:pPr>
            <w:r w:rsidRPr="00E0548A">
              <w:rPr>
                <w:rFonts w:ascii="ＭＳ ゴシック" w:eastAsia="ＭＳ ゴシック" w:hAnsi="ＭＳ ゴシック" w:hint="eastAsia"/>
                <w:sz w:val="16"/>
                <w:szCs w:val="16"/>
              </w:rPr>
              <w:t>衛生監視</w:t>
            </w:r>
          </w:p>
          <w:p w14:paraId="73BA3FF9" w14:textId="07D2A8DB" w:rsidR="00B94D21" w:rsidRPr="00E0548A" w:rsidRDefault="001A5AE4" w:rsidP="00720B32">
            <w:pPr>
              <w:spacing w:line="200" w:lineRule="exact"/>
              <w:rPr>
                <w:rFonts w:ascii="ＭＳ ゴシック" w:eastAsia="ＭＳ ゴシック" w:hAnsi="ＭＳ ゴシック"/>
                <w:sz w:val="16"/>
                <w:szCs w:val="16"/>
              </w:rPr>
            </w:pPr>
            <w:r w:rsidRPr="00E0548A">
              <w:rPr>
                <w:rFonts w:ascii="ＭＳ ゴシック" w:eastAsia="ＭＳ ゴシック" w:hAnsi="ＭＳ ゴシック" w:hint="eastAsia"/>
                <w:sz w:val="16"/>
                <w:szCs w:val="16"/>
              </w:rPr>
              <w:t>○</w:t>
            </w:r>
            <w:r w:rsidR="00B94D21" w:rsidRPr="00E0548A">
              <w:rPr>
                <w:rFonts w:ascii="ＭＳ ゴシック" w:eastAsia="ＭＳ ゴシック" w:hAnsi="ＭＳ ゴシック" w:hint="eastAsia"/>
                <w:sz w:val="16"/>
                <w:szCs w:val="16"/>
              </w:rPr>
              <w:t>SCU本部の設置・運営開始</w:t>
            </w:r>
          </w:p>
          <w:p w14:paraId="4B35342F" w14:textId="37A48458" w:rsidR="00B94D21" w:rsidRPr="00E0548A" w:rsidRDefault="001A5AE4" w:rsidP="00720B32">
            <w:pPr>
              <w:spacing w:line="200" w:lineRule="exact"/>
              <w:rPr>
                <w:rFonts w:ascii="ＭＳ ゴシック" w:eastAsia="ＭＳ ゴシック" w:hAnsi="ＭＳ ゴシック"/>
                <w:sz w:val="16"/>
                <w:szCs w:val="16"/>
              </w:rPr>
            </w:pPr>
            <w:r w:rsidRPr="00E0548A">
              <w:rPr>
                <w:rFonts w:ascii="ＭＳ ゴシック" w:eastAsia="ＭＳ ゴシック" w:hAnsi="ＭＳ ゴシック" w:hint="eastAsia"/>
                <w:sz w:val="16"/>
                <w:szCs w:val="16"/>
              </w:rPr>
              <w:t>○</w:t>
            </w:r>
            <w:r w:rsidR="00B94D21" w:rsidRPr="00E0548A">
              <w:rPr>
                <w:rFonts w:ascii="ＭＳ ゴシック" w:eastAsia="ＭＳ ゴシック" w:hAnsi="ＭＳ ゴシック" w:hint="eastAsia"/>
                <w:sz w:val="16"/>
                <w:szCs w:val="16"/>
              </w:rPr>
              <w:t>DWAT派遣調整開始</w:t>
            </w:r>
          </w:p>
        </w:tc>
        <w:tc>
          <w:tcPr>
            <w:tcW w:w="1029" w:type="pct"/>
            <w:tcBorders>
              <w:top w:val="single" w:sz="8" w:space="0" w:color="F79646"/>
              <w:left w:val="single" w:sz="8" w:space="0" w:color="F79646"/>
              <w:bottom w:val="single" w:sz="8" w:space="0" w:color="F79646"/>
              <w:right w:val="single" w:sz="8" w:space="0" w:color="F79646"/>
            </w:tcBorders>
            <w:shd w:val="clear" w:color="auto" w:fill="FDEFE9"/>
            <w:tcMar>
              <w:top w:w="72" w:type="dxa"/>
              <w:left w:w="144" w:type="dxa"/>
              <w:bottom w:w="72" w:type="dxa"/>
              <w:right w:w="144" w:type="dxa"/>
            </w:tcMar>
          </w:tcPr>
          <w:p w14:paraId="531FCB4F" w14:textId="3D75F2F2" w:rsidR="00B94D21" w:rsidRPr="00E0548A" w:rsidRDefault="001A5AE4" w:rsidP="00720B32">
            <w:pPr>
              <w:spacing w:line="200" w:lineRule="exact"/>
              <w:rPr>
                <w:rFonts w:ascii="ＭＳ ゴシック" w:eastAsia="ＭＳ ゴシック" w:hAnsi="ＭＳ ゴシック"/>
                <w:sz w:val="16"/>
                <w:szCs w:val="16"/>
              </w:rPr>
            </w:pPr>
            <w:r w:rsidRPr="00E0548A">
              <w:rPr>
                <w:rFonts w:ascii="ＭＳ ゴシック" w:eastAsia="ＭＳ ゴシック" w:hAnsi="ＭＳ ゴシック" w:hint="eastAsia"/>
                <w:sz w:val="16"/>
                <w:szCs w:val="16"/>
              </w:rPr>
              <w:t>○</w:t>
            </w:r>
            <w:r w:rsidR="00B94D21" w:rsidRPr="00E0548A">
              <w:rPr>
                <w:rFonts w:ascii="ＭＳ ゴシック" w:eastAsia="ＭＳ ゴシック" w:hAnsi="ＭＳ ゴシック" w:hint="eastAsia"/>
                <w:sz w:val="16"/>
                <w:szCs w:val="16"/>
              </w:rPr>
              <w:t>備蓄物資拠出開始</w:t>
            </w:r>
          </w:p>
          <w:p w14:paraId="05C7868C" w14:textId="70F5F29F" w:rsidR="00B94D21" w:rsidRPr="00E0548A" w:rsidRDefault="001A5AE4" w:rsidP="00720B32">
            <w:pPr>
              <w:spacing w:line="200" w:lineRule="exact"/>
              <w:rPr>
                <w:rFonts w:ascii="ＭＳ ゴシック" w:eastAsia="ＭＳ ゴシック" w:hAnsi="ＭＳ ゴシック"/>
                <w:sz w:val="16"/>
                <w:szCs w:val="16"/>
              </w:rPr>
            </w:pPr>
            <w:r w:rsidRPr="00E0548A">
              <w:rPr>
                <w:rFonts w:ascii="ＭＳ ゴシック" w:eastAsia="ＭＳ ゴシック" w:hAnsi="ＭＳ ゴシック" w:hint="eastAsia"/>
                <w:sz w:val="16"/>
                <w:szCs w:val="16"/>
              </w:rPr>
              <w:t>○</w:t>
            </w:r>
            <w:r w:rsidR="00B94D21" w:rsidRPr="00E0548A">
              <w:rPr>
                <w:rFonts w:ascii="ＭＳ ゴシック" w:eastAsia="ＭＳ ゴシック" w:hAnsi="ＭＳ ゴシック" w:hint="eastAsia"/>
                <w:sz w:val="16"/>
                <w:szCs w:val="16"/>
              </w:rPr>
              <w:t>支援物資調達開始</w:t>
            </w:r>
          </w:p>
          <w:p w14:paraId="52814B1A" w14:textId="2669AD42" w:rsidR="00B94D21" w:rsidRPr="00E0548A" w:rsidRDefault="001A5AE4" w:rsidP="00720B32">
            <w:pPr>
              <w:spacing w:line="200" w:lineRule="exact"/>
              <w:rPr>
                <w:rFonts w:ascii="ＭＳ ゴシック" w:eastAsia="ＭＳ ゴシック" w:hAnsi="ＭＳ ゴシック"/>
                <w:sz w:val="16"/>
                <w:szCs w:val="16"/>
              </w:rPr>
            </w:pPr>
            <w:r w:rsidRPr="00E0548A">
              <w:rPr>
                <w:rFonts w:ascii="ＭＳ ゴシック" w:eastAsia="ＭＳ ゴシック" w:hAnsi="ＭＳ ゴシック" w:hint="eastAsia"/>
                <w:sz w:val="16"/>
                <w:szCs w:val="16"/>
              </w:rPr>
              <w:t>○</w:t>
            </w:r>
            <w:r w:rsidR="00B94D21" w:rsidRPr="00E0548A">
              <w:rPr>
                <w:rFonts w:ascii="ＭＳ ゴシック" w:eastAsia="ＭＳ ゴシック" w:hAnsi="ＭＳ ゴシック" w:hint="eastAsia"/>
                <w:sz w:val="16"/>
                <w:szCs w:val="16"/>
              </w:rPr>
              <w:t>救援物資受入開始</w:t>
            </w:r>
          </w:p>
          <w:p w14:paraId="452AFEA9" w14:textId="3F287B3E" w:rsidR="00B94D21" w:rsidRPr="00E0548A" w:rsidRDefault="001A5AE4" w:rsidP="00720B32">
            <w:pPr>
              <w:spacing w:line="200" w:lineRule="exact"/>
              <w:ind w:left="161" w:hangingChars="100" w:hanging="161"/>
              <w:rPr>
                <w:rFonts w:ascii="ＭＳ ゴシック" w:eastAsia="ＭＳ ゴシック" w:hAnsi="ＭＳ ゴシック"/>
                <w:sz w:val="16"/>
                <w:szCs w:val="16"/>
              </w:rPr>
            </w:pPr>
            <w:r w:rsidRPr="00E0548A">
              <w:rPr>
                <w:rFonts w:ascii="ＭＳ ゴシック" w:eastAsia="ＭＳ ゴシック" w:hAnsi="ＭＳ ゴシック" w:hint="eastAsia"/>
                <w:sz w:val="16"/>
                <w:szCs w:val="16"/>
              </w:rPr>
              <w:t>○</w:t>
            </w:r>
            <w:r w:rsidR="00B94D21" w:rsidRPr="00E0548A">
              <w:rPr>
                <w:rFonts w:ascii="ＭＳ ゴシック" w:eastAsia="ＭＳ ゴシック" w:hAnsi="ＭＳ ゴシック" w:hint="eastAsia"/>
                <w:sz w:val="16"/>
                <w:szCs w:val="16"/>
              </w:rPr>
              <w:t>義援金に関する庁内及び外部機関との調整等</w:t>
            </w:r>
          </w:p>
          <w:p w14:paraId="1D78678C" w14:textId="0F0CD131" w:rsidR="00B94D21" w:rsidRPr="00E0548A" w:rsidRDefault="001A5AE4" w:rsidP="00720B32">
            <w:pPr>
              <w:spacing w:line="200" w:lineRule="exact"/>
              <w:rPr>
                <w:rFonts w:ascii="ＭＳ ゴシック" w:eastAsia="ＭＳ ゴシック" w:hAnsi="ＭＳ ゴシック"/>
                <w:sz w:val="16"/>
                <w:szCs w:val="16"/>
              </w:rPr>
            </w:pPr>
            <w:r w:rsidRPr="00E0548A">
              <w:rPr>
                <w:rFonts w:ascii="ＭＳ ゴシック" w:eastAsia="ＭＳ ゴシック" w:hAnsi="ＭＳ ゴシック" w:hint="eastAsia"/>
                <w:sz w:val="16"/>
                <w:szCs w:val="16"/>
              </w:rPr>
              <w:t>○</w:t>
            </w:r>
            <w:r w:rsidR="00B94D21" w:rsidRPr="00E0548A">
              <w:rPr>
                <w:rFonts w:ascii="ＭＳ ゴシック" w:eastAsia="ＭＳ ゴシック" w:hAnsi="ＭＳ ゴシック" w:hint="eastAsia"/>
                <w:sz w:val="16"/>
                <w:szCs w:val="16"/>
              </w:rPr>
              <w:t>生活必需品調達斡旋</w:t>
            </w:r>
          </w:p>
          <w:p w14:paraId="2F292AA5" w14:textId="79C20C34" w:rsidR="00B94D21" w:rsidRPr="00E0548A" w:rsidRDefault="001A5AE4" w:rsidP="00720B32">
            <w:pPr>
              <w:spacing w:line="200" w:lineRule="exact"/>
              <w:rPr>
                <w:rFonts w:ascii="ＭＳ ゴシック" w:eastAsia="ＭＳ ゴシック" w:hAnsi="ＭＳ ゴシック"/>
                <w:sz w:val="16"/>
                <w:szCs w:val="16"/>
              </w:rPr>
            </w:pPr>
            <w:r w:rsidRPr="00E0548A">
              <w:rPr>
                <w:rFonts w:ascii="ＭＳ ゴシック" w:eastAsia="ＭＳ ゴシック" w:hAnsi="ＭＳ ゴシック" w:hint="eastAsia"/>
                <w:sz w:val="16"/>
                <w:szCs w:val="16"/>
              </w:rPr>
              <w:t>○</w:t>
            </w:r>
            <w:r w:rsidR="00B94D21" w:rsidRPr="00E0548A">
              <w:rPr>
                <w:rFonts w:ascii="ＭＳ ゴシック" w:eastAsia="ＭＳ ゴシック" w:hAnsi="ＭＳ ゴシック" w:hint="eastAsia"/>
                <w:sz w:val="16"/>
                <w:szCs w:val="16"/>
              </w:rPr>
              <w:t>中小企業相談の実施</w:t>
            </w:r>
          </w:p>
          <w:p w14:paraId="4B817C24" w14:textId="4A1459D1" w:rsidR="00B94D21" w:rsidRPr="00E0548A" w:rsidRDefault="001A5AE4" w:rsidP="00E0548A">
            <w:pPr>
              <w:spacing w:line="200" w:lineRule="exact"/>
              <w:ind w:left="161" w:hangingChars="100" w:hanging="161"/>
              <w:rPr>
                <w:rFonts w:ascii="ＭＳ ゴシック" w:eastAsia="ＭＳ ゴシック" w:hAnsi="ＭＳ ゴシック"/>
                <w:sz w:val="16"/>
                <w:szCs w:val="16"/>
              </w:rPr>
            </w:pPr>
            <w:r w:rsidRPr="00E0548A">
              <w:rPr>
                <w:rFonts w:ascii="ＭＳ ゴシック" w:eastAsia="ＭＳ ゴシック" w:hAnsi="ＭＳ ゴシック" w:hint="eastAsia"/>
                <w:sz w:val="16"/>
                <w:szCs w:val="16"/>
              </w:rPr>
              <w:t>○</w:t>
            </w:r>
            <w:r w:rsidR="00B94D21" w:rsidRPr="00E0548A">
              <w:rPr>
                <w:rFonts w:ascii="ＭＳ ゴシック" w:eastAsia="ＭＳ ゴシック" w:hAnsi="ＭＳ ゴシック" w:hint="eastAsia"/>
                <w:sz w:val="16"/>
                <w:szCs w:val="16"/>
              </w:rPr>
              <w:t>生鮮食料品</w:t>
            </w:r>
            <w:r w:rsidR="00AC146C" w:rsidRPr="00E0548A">
              <w:rPr>
                <w:rFonts w:ascii="ＭＳ ゴシック" w:eastAsia="ＭＳ ゴシック" w:hAnsi="ＭＳ ゴシック" w:hint="eastAsia"/>
                <w:sz w:val="16"/>
                <w:szCs w:val="16"/>
              </w:rPr>
              <w:t>の供給協力要請</w:t>
            </w:r>
          </w:p>
          <w:p w14:paraId="4184491E" w14:textId="09C677DA" w:rsidR="00B94D21" w:rsidRPr="00E0548A" w:rsidRDefault="001A5AE4" w:rsidP="00720B32">
            <w:pPr>
              <w:spacing w:line="200" w:lineRule="exact"/>
              <w:rPr>
                <w:rFonts w:ascii="ＭＳ ゴシック" w:eastAsia="ＭＳ ゴシック" w:hAnsi="ＭＳ ゴシック"/>
                <w:sz w:val="16"/>
                <w:szCs w:val="16"/>
              </w:rPr>
            </w:pPr>
            <w:r w:rsidRPr="00E0548A">
              <w:rPr>
                <w:rFonts w:ascii="ＭＳ ゴシック" w:eastAsia="ＭＳ ゴシック" w:hAnsi="ＭＳ ゴシック" w:hint="eastAsia"/>
                <w:sz w:val="16"/>
                <w:szCs w:val="16"/>
              </w:rPr>
              <w:t>○</w:t>
            </w:r>
            <w:r w:rsidR="00B94D21" w:rsidRPr="00E0548A">
              <w:rPr>
                <w:rFonts w:ascii="ＭＳ ゴシック" w:eastAsia="ＭＳ ゴシック" w:hAnsi="ＭＳ ゴシック" w:hint="eastAsia"/>
                <w:sz w:val="16"/>
                <w:szCs w:val="16"/>
              </w:rPr>
              <w:t>提供可能空家情報</w:t>
            </w:r>
          </w:p>
          <w:p w14:paraId="0AF5EE26" w14:textId="77777777" w:rsidR="00B94D21" w:rsidRPr="00E0548A" w:rsidRDefault="00B94D21" w:rsidP="00720B32">
            <w:pPr>
              <w:spacing w:line="200" w:lineRule="exact"/>
              <w:ind w:firstLineChars="100" w:firstLine="161"/>
              <w:rPr>
                <w:rFonts w:ascii="ＭＳ ゴシック" w:eastAsia="ＭＳ ゴシック" w:hAnsi="ＭＳ ゴシック"/>
                <w:sz w:val="16"/>
                <w:szCs w:val="16"/>
              </w:rPr>
            </w:pPr>
            <w:r w:rsidRPr="00E0548A">
              <w:rPr>
                <w:rFonts w:ascii="ＭＳ ゴシック" w:eastAsia="ＭＳ ゴシック" w:hAnsi="ＭＳ ゴシック" w:hint="eastAsia"/>
                <w:sz w:val="16"/>
                <w:szCs w:val="16"/>
              </w:rPr>
              <w:t>収集</w:t>
            </w:r>
          </w:p>
        </w:tc>
      </w:tr>
      <w:tr w:rsidR="00B94D21" w:rsidRPr="00E0548A" w14:paraId="1174178B" w14:textId="77777777" w:rsidTr="00720B32">
        <w:trPr>
          <w:trHeight w:val="825"/>
        </w:trPr>
        <w:tc>
          <w:tcPr>
            <w:tcW w:w="959" w:type="pct"/>
            <w:tcBorders>
              <w:top w:val="single" w:sz="8" w:space="0" w:color="F79646"/>
              <w:left w:val="single" w:sz="8" w:space="0" w:color="F79646"/>
              <w:bottom w:val="single" w:sz="8" w:space="0" w:color="F79646"/>
              <w:right w:val="single" w:sz="8" w:space="0" w:color="F79646"/>
            </w:tcBorders>
            <w:shd w:val="clear" w:color="auto" w:fill="FCDDCF"/>
            <w:tcMar>
              <w:top w:w="72" w:type="dxa"/>
              <w:left w:w="144" w:type="dxa"/>
              <w:bottom w:w="72" w:type="dxa"/>
              <w:right w:w="144" w:type="dxa"/>
            </w:tcMar>
          </w:tcPr>
          <w:p w14:paraId="6CD3C552" w14:textId="1DF0A044" w:rsidR="00B94D21" w:rsidRPr="00E0548A" w:rsidRDefault="001A5AE4" w:rsidP="00720B32">
            <w:pPr>
              <w:spacing w:line="200" w:lineRule="exact"/>
              <w:ind w:left="161" w:hangingChars="100" w:hanging="161"/>
              <w:rPr>
                <w:rFonts w:ascii="ＭＳ ゴシック" w:eastAsia="ＭＳ ゴシック" w:hAnsi="ＭＳ ゴシック"/>
                <w:sz w:val="16"/>
                <w:szCs w:val="16"/>
              </w:rPr>
            </w:pPr>
            <w:r w:rsidRPr="00E0548A">
              <w:rPr>
                <w:rFonts w:ascii="ＭＳ ゴシック" w:eastAsia="ＭＳ ゴシック" w:hAnsi="ＭＳ ゴシック" w:hint="eastAsia"/>
                <w:sz w:val="16"/>
                <w:szCs w:val="16"/>
              </w:rPr>
              <w:t>○</w:t>
            </w:r>
            <w:r w:rsidR="00B94D21" w:rsidRPr="00E0548A">
              <w:rPr>
                <w:rFonts w:ascii="ＭＳ ゴシック" w:eastAsia="ＭＳ ゴシック" w:hAnsi="ＭＳ ゴシック" w:hint="eastAsia"/>
                <w:sz w:val="16"/>
                <w:szCs w:val="16"/>
              </w:rPr>
              <w:t>被災所管施設の応急復旧開始</w:t>
            </w:r>
          </w:p>
        </w:tc>
        <w:tc>
          <w:tcPr>
            <w:tcW w:w="959" w:type="pct"/>
            <w:tcBorders>
              <w:top w:val="single" w:sz="8" w:space="0" w:color="F79646"/>
              <w:left w:val="single" w:sz="8" w:space="0" w:color="F79646"/>
              <w:bottom w:val="single" w:sz="8" w:space="0" w:color="F79646"/>
              <w:right w:val="single" w:sz="8" w:space="0" w:color="F79646"/>
            </w:tcBorders>
            <w:shd w:val="clear" w:color="auto" w:fill="FCDDCF"/>
            <w:tcMar>
              <w:top w:w="72" w:type="dxa"/>
              <w:left w:w="144" w:type="dxa"/>
              <w:bottom w:w="72" w:type="dxa"/>
              <w:right w:w="144" w:type="dxa"/>
            </w:tcMar>
          </w:tcPr>
          <w:p w14:paraId="1345D4B3" w14:textId="77777777" w:rsidR="00B94D21" w:rsidRPr="00E0548A" w:rsidRDefault="00B94D21" w:rsidP="00720B32">
            <w:pPr>
              <w:spacing w:line="200" w:lineRule="exact"/>
              <w:ind w:left="161" w:hangingChars="100" w:hanging="161"/>
              <w:rPr>
                <w:rFonts w:ascii="ＭＳ ゴシック" w:eastAsia="ＭＳ ゴシック" w:hAnsi="ＭＳ ゴシック"/>
                <w:sz w:val="16"/>
                <w:szCs w:val="16"/>
              </w:rPr>
            </w:pPr>
            <w:r w:rsidRPr="00E0548A">
              <w:rPr>
                <w:rFonts w:ascii="ＭＳ ゴシック" w:eastAsia="ＭＳ ゴシック" w:hAnsi="ＭＳ ゴシック" w:hint="eastAsia"/>
                <w:sz w:val="16"/>
                <w:szCs w:val="16"/>
              </w:rPr>
              <w:t>○広域緊急交通路その他路線ほかの道路啓開開始</w:t>
            </w:r>
          </w:p>
        </w:tc>
        <w:tc>
          <w:tcPr>
            <w:tcW w:w="944" w:type="pct"/>
            <w:tcBorders>
              <w:top w:val="single" w:sz="8" w:space="0" w:color="F79646"/>
              <w:left w:val="single" w:sz="8" w:space="0" w:color="F79646"/>
              <w:bottom w:val="single" w:sz="8" w:space="0" w:color="F79646"/>
              <w:right w:val="single" w:sz="8" w:space="0" w:color="F79646"/>
            </w:tcBorders>
            <w:shd w:val="clear" w:color="auto" w:fill="FCDDCF"/>
            <w:tcMar>
              <w:top w:w="72" w:type="dxa"/>
              <w:left w:w="144" w:type="dxa"/>
              <w:bottom w:w="72" w:type="dxa"/>
              <w:right w:w="144" w:type="dxa"/>
            </w:tcMar>
          </w:tcPr>
          <w:p w14:paraId="78FD9EE1" w14:textId="334121C7" w:rsidR="00B94D21" w:rsidRPr="00E0548A" w:rsidRDefault="001A5AE4" w:rsidP="00720B32">
            <w:pPr>
              <w:spacing w:line="200" w:lineRule="exact"/>
              <w:ind w:left="161" w:hangingChars="100" w:hanging="161"/>
              <w:rPr>
                <w:rFonts w:ascii="ＭＳ ゴシック" w:eastAsia="ＭＳ ゴシック" w:hAnsi="ＭＳ ゴシック"/>
                <w:sz w:val="16"/>
                <w:szCs w:val="16"/>
              </w:rPr>
            </w:pPr>
            <w:r w:rsidRPr="00E0548A">
              <w:rPr>
                <w:rFonts w:ascii="ＭＳ ゴシック" w:eastAsia="ＭＳ ゴシック" w:hAnsi="ＭＳ ゴシック" w:hint="eastAsia"/>
                <w:sz w:val="16"/>
                <w:szCs w:val="16"/>
              </w:rPr>
              <w:t>○</w:t>
            </w:r>
            <w:r w:rsidR="00B94D21" w:rsidRPr="00E0548A">
              <w:rPr>
                <w:rFonts w:ascii="ＭＳ ゴシック" w:eastAsia="ＭＳ ゴシック" w:hAnsi="ＭＳ ゴシック" w:hint="eastAsia"/>
                <w:sz w:val="16"/>
                <w:szCs w:val="16"/>
              </w:rPr>
              <w:t>林野火災、山地災害、地すべり等の応急復旧調整開始</w:t>
            </w:r>
          </w:p>
        </w:tc>
        <w:tc>
          <w:tcPr>
            <w:tcW w:w="1109" w:type="pct"/>
            <w:tcBorders>
              <w:top w:val="single" w:sz="8" w:space="0" w:color="F79646"/>
              <w:left w:val="single" w:sz="8" w:space="0" w:color="F79646"/>
              <w:bottom w:val="single" w:sz="8" w:space="0" w:color="F79646"/>
              <w:right w:val="single" w:sz="8" w:space="0" w:color="F79646"/>
            </w:tcBorders>
            <w:shd w:val="clear" w:color="auto" w:fill="FCDDCF"/>
            <w:tcMar>
              <w:top w:w="72" w:type="dxa"/>
              <w:left w:w="144" w:type="dxa"/>
              <w:bottom w:w="72" w:type="dxa"/>
              <w:right w:w="144" w:type="dxa"/>
            </w:tcMar>
          </w:tcPr>
          <w:p w14:paraId="34C5255C" w14:textId="64B9974C" w:rsidR="00B94D21" w:rsidRPr="00E0548A" w:rsidRDefault="001A5AE4" w:rsidP="00720B32">
            <w:pPr>
              <w:spacing w:line="200" w:lineRule="exact"/>
              <w:ind w:left="161" w:hangingChars="100" w:hanging="161"/>
              <w:rPr>
                <w:rFonts w:ascii="ＭＳ ゴシック" w:eastAsia="ＭＳ ゴシック" w:hAnsi="ＭＳ ゴシック"/>
                <w:sz w:val="16"/>
                <w:szCs w:val="16"/>
              </w:rPr>
            </w:pPr>
            <w:r w:rsidRPr="00E0548A">
              <w:rPr>
                <w:rFonts w:ascii="ＭＳ ゴシック" w:eastAsia="ＭＳ ゴシック" w:hAnsi="ＭＳ ゴシック" w:hint="eastAsia"/>
                <w:sz w:val="16"/>
                <w:szCs w:val="16"/>
              </w:rPr>
              <w:t>○</w:t>
            </w:r>
            <w:r w:rsidR="00B94D21" w:rsidRPr="00E0548A">
              <w:rPr>
                <w:rFonts w:ascii="ＭＳ ゴシック" w:eastAsia="ＭＳ ゴシック" w:hAnsi="ＭＳ ゴシック" w:hint="eastAsia"/>
                <w:sz w:val="16"/>
                <w:szCs w:val="16"/>
              </w:rPr>
              <w:t>災害支援ナースによる医療救護活動の開始</w:t>
            </w:r>
          </w:p>
          <w:p w14:paraId="0A370B93" w14:textId="3EEE2DCE" w:rsidR="00B94D21" w:rsidRPr="00E0548A" w:rsidRDefault="001A5AE4" w:rsidP="00720B32">
            <w:pPr>
              <w:spacing w:line="200" w:lineRule="exact"/>
              <w:ind w:left="161" w:hangingChars="100" w:hanging="161"/>
              <w:rPr>
                <w:rFonts w:ascii="ＭＳ ゴシック" w:eastAsia="ＭＳ ゴシック" w:hAnsi="ＭＳ ゴシック"/>
                <w:sz w:val="16"/>
                <w:szCs w:val="16"/>
              </w:rPr>
            </w:pPr>
            <w:r w:rsidRPr="00E0548A">
              <w:rPr>
                <w:rFonts w:ascii="ＭＳ ゴシック" w:eastAsia="ＭＳ ゴシック" w:hAnsi="ＭＳ ゴシック" w:hint="eastAsia"/>
                <w:sz w:val="16"/>
                <w:szCs w:val="16"/>
              </w:rPr>
              <w:t>○</w:t>
            </w:r>
            <w:r w:rsidR="00B94D21" w:rsidRPr="00E0548A">
              <w:rPr>
                <w:rFonts w:ascii="ＭＳ ゴシック" w:eastAsia="ＭＳ ゴシック" w:hAnsi="ＭＳ ゴシック" w:hint="eastAsia"/>
                <w:sz w:val="16"/>
                <w:szCs w:val="16"/>
              </w:rPr>
              <w:t>DWATによる一般避難所での福祉支援活動開始</w:t>
            </w:r>
          </w:p>
        </w:tc>
        <w:tc>
          <w:tcPr>
            <w:tcW w:w="1029" w:type="pct"/>
            <w:tcBorders>
              <w:top w:val="single" w:sz="8" w:space="0" w:color="F79646"/>
              <w:left w:val="single" w:sz="8" w:space="0" w:color="F79646"/>
              <w:bottom w:val="single" w:sz="8" w:space="0" w:color="F79646"/>
              <w:right w:val="single" w:sz="8" w:space="0" w:color="F79646"/>
            </w:tcBorders>
            <w:shd w:val="clear" w:color="auto" w:fill="FCDDCF"/>
            <w:tcMar>
              <w:top w:w="72" w:type="dxa"/>
              <w:left w:w="144" w:type="dxa"/>
              <w:bottom w:w="72" w:type="dxa"/>
              <w:right w:w="144" w:type="dxa"/>
            </w:tcMar>
          </w:tcPr>
          <w:p w14:paraId="7CC3AF03" w14:textId="52600097" w:rsidR="00B94D21" w:rsidRPr="00E0548A" w:rsidRDefault="001A5AE4" w:rsidP="00720B32">
            <w:pPr>
              <w:spacing w:line="200" w:lineRule="exact"/>
              <w:rPr>
                <w:rFonts w:ascii="ＭＳ ゴシック" w:eastAsia="ＭＳ ゴシック" w:hAnsi="ＭＳ ゴシック"/>
                <w:sz w:val="16"/>
                <w:szCs w:val="16"/>
              </w:rPr>
            </w:pPr>
            <w:r w:rsidRPr="00E0548A">
              <w:rPr>
                <w:rFonts w:ascii="ＭＳ ゴシック" w:eastAsia="ＭＳ ゴシック" w:hAnsi="ＭＳ ゴシック" w:hint="eastAsia"/>
                <w:sz w:val="16"/>
                <w:szCs w:val="16"/>
              </w:rPr>
              <w:t>○</w:t>
            </w:r>
            <w:r w:rsidR="00B94D21" w:rsidRPr="00E0548A">
              <w:rPr>
                <w:rFonts w:ascii="ＭＳ ゴシック" w:eastAsia="ＭＳ ゴシック" w:hAnsi="ＭＳ ゴシック" w:hint="eastAsia"/>
                <w:sz w:val="16"/>
                <w:szCs w:val="16"/>
              </w:rPr>
              <w:t>市町村支援調整開始</w:t>
            </w:r>
          </w:p>
          <w:p w14:paraId="7A1DF129" w14:textId="77777777" w:rsidR="00B94D21" w:rsidRPr="00E0548A" w:rsidRDefault="00B94D21" w:rsidP="00720B32">
            <w:pPr>
              <w:spacing w:line="200" w:lineRule="exact"/>
              <w:ind w:left="161" w:hangingChars="100" w:hanging="161"/>
              <w:rPr>
                <w:rFonts w:ascii="ＭＳ ゴシック" w:eastAsia="ＭＳ ゴシック" w:hAnsi="ＭＳ ゴシック"/>
                <w:sz w:val="16"/>
                <w:szCs w:val="16"/>
              </w:rPr>
            </w:pPr>
            <w:r w:rsidRPr="00E0548A">
              <w:rPr>
                <w:rFonts w:ascii="ＭＳ ゴシック" w:eastAsia="ＭＳ ゴシック" w:hAnsi="ＭＳ ゴシック" w:hint="eastAsia"/>
                <w:sz w:val="16"/>
                <w:szCs w:val="16"/>
              </w:rPr>
              <w:t>（職員派遣、行財政相談）</w:t>
            </w:r>
          </w:p>
          <w:p w14:paraId="69B9A176" w14:textId="48038901" w:rsidR="00B94D21" w:rsidRPr="00E0548A" w:rsidRDefault="001A5AE4" w:rsidP="00720B32">
            <w:pPr>
              <w:spacing w:line="200" w:lineRule="exact"/>
              <w:ind w:left="161" w:hangingChars="100" w:hanging="161"/>
              <w:rPr>
                <w:rFonts w:ascii="ＭＳ ゴシック" w:eastAsia="ＭＳ ゴシック" w:hAnsi="ＭＳ ゴシック"/>
                <w:sz w:val="16"/>
                <w:szCs w:val="16"/>
              </w:rPr>
            </w:pPr>
            <w:r w:rsidRPr="00E0548A">
              <w:rPr>
                <w:rFonts w:ascii="ＭＳ ゴシック" w:eastAsia="ＭＳ ゴシック" w:hAnsi="ＭＳ ゴシック" w:hint="eastAsia"/>
                <w:sz w:val="16"/>
                <w:szCs w:val="16"/>
              </w:rPr>
              <w:t>○</w:t>
            </w:r>
            <w:r w:rsidR="00B94D21" w:rsidRPr="00E0548A">
              <w:rPr>
                <w:rFonts w:ascii="ＭＳ ゴシック" w:eastAsia="ＭＳ ゴシック" w:hAnsi="ＭＳ ゴシック" w:hint="eastAsia"/>
                <w:sz w:val="16"/>
                <w:szCs w:val="16"/>
              </w:rPr>
              <w:t>提供可能空家の調達斡旋</w:t>
            </w:r>
          </w:p>
        </w:tc>
      </w:tr>
      <w:tr w:rsidR="00B94D21" w:rsidRPr="00E0548A" w14:paraId="33E9F57C" w14:textId="77777777" w:rsidTr="00720B32">
        <w:trPr>
          <w:trHeight w:val="884"/>
        </w:trPr>
        <w:tc>
          <w:tcPr>
            <w:tcW w:w="959" w:type="pct"/>
            <w:tcBorders>
              <w:top w:val="single" w:sz="8" w:space="0" w:color="F79646"/>
              <w:left w:val="single" w:sz="8" w:space="0" w:color="F79646"/>
              <w:bottom w:val="single" w:sz="8" w:space="0" w:color="F79646"/>
              <w:right w:val="single" w:sz="8" w:space="0" w:color="F79646"/>
            </w:tcBorders>
            <w:shd w:val="clear" w:color="auto" w:fill="FDEFE9"/>
            <w:tcMar>
              <w:top w:w="72" w:type="dxa"/>
              <w:left w:w="144" w:type="dxa"/>
              <w:bottom w:w="72" w:type="dxa"/>
              <w:right w:w="144" w:type="dxa"/>
            </w:tcMar>
          </w:tcPr>
          <w:p w14:paraId="2DB7E3A6" w14:textId="4AABD7A2" w:rsidR="00B94D21" w:rsidRPr="00E0548A" w:rsidRDefault="001A5AE4" w:rsidP="00720B32">
            <w:pPr>
              <w:spacing w:line="200" w:lineRule="exact"/>
              <w:rPr>
                <w:rFonts w:ascii="ＭＳ ゴシック" w:eastAsia="ＭＳ ゴシック" w:hAnsi="ＭＳ ゴシック"/>
                <w:sz w:val="16"/>
                <w:szCs w:val="16"/>
              </w:rPr>
            </w:pPr>
            <w:r w:rsidRPr="00E0548A">
              <w:rPr>
                <w:rFonts w:ascii="ＭＳ ゴシック" w:eastAsia="ＭＳ ゴシック" w:hAnsi="ＭＳ ゴシック" w:hint="eastAsia"/>
                <w:sz w:val="16"/>
                <w:szCs w:val="16"/>
              </w:rPr>
              <w:t>○</w:t>
            </w:r>
            <w:r w:rsidR="00B94D21" w:rsidRPr="00E0548A">
              <w:rPr>
                <w:rFonts w:ascii="ＭＳ ゴシック" w:eastAsia="ＭＳ ゴシック" w:hAnsi="ＭＳ ゴシック" w:hint="eastAsia"/>
                <w:sz w:val="16"/>
                <w:szCs w:val="16"/>
              </w:rPr>
              <w:t>復興対策本部の設置</w:t>
            </w:r>
          </w:p>
          <w:p w14:paraId="02A51AF8" w14:textId="3D7C4DC0" w:rsidR="00B94D21" w:rsidRPr="00E0548A" w:rsidRDefault="001A5AE4" w:rsidP="00720B32">
            <w:pPr>
              <w:spacing w:line="200" w:lineRule="exact"/>
              <w:ind w:left="161" w:hangingChars="100" w:hanging="161"/>
              <w:rPr>
                <w:rFonts w:ascii="ＭＳ ゴシック" w:eastAsia="ＭＳ ゴシック" w:hAnsi="ＭＳ ゴシック"/>
                <w:sz w:val="16"/>
                <w:szCs w:val="16"/>
              </w:rPr>
            </w:pPr>
            <w:r w:rsidRPr="00E0548A">
              <w:rPr>
                <w:rFonts w:ascii="ＭＳ ゴシック" w:eastAsia="ＭＳ ゴシック" w:hAnsi="ＭＳ ゴシック" w:hint="eastAsia"/>
                <w:sz w:val="16"/>
                <w:szCs w:val="16"/>
              </w:rPr>
              <w:t>○</w:t>
            </w:r>
            <w:r w:rsidR="00B94D21" w:rsidRPr="00E0548A">
              <w:rPr>
                <w:rFonts w:ascii="ＭＳ ゴシック" w:eastAsia="ＭＳ ゴシック" w:hAnsi="ＭＳ ゴシック" w:hint="eastAsia"/>
                <w:sz w:val="16"/>
                <w:szCs w:val="16"/>
              </w:rPr>
              <w:t>応急復旧活動総合調整（インフラ、廃棄物処理）</w:t>
            </w:r>
          </w:p>
        </w:tc>
        <w:tc>
          <w:tcPr>
            <w:tcW w:w="959" w:type="pct"/>
            <w:tcBorders>
              <w:top w:val="single" w:sz="8" w:space="0" w:color="F79646"/>
              <w:left w:val="single" w:sz="8" w:space="0" w:color="F79646"/>
              <w:bottom w:val="single" w:sz="8" w:space="0" w:color="F79646"/>
              <w:right w:val="single" w:sz="8" w:space="0" w:color="F79646"/>
            </w:tcBorders>
            <w:shd w:val="clear" w:color="auto" w:fill="FDEFE9"/>
            <w:tcMar>
              <w:top w:w="72" w:type="dxa"/>
              <w:left w:w="144" w:type="dxa"/>
              <w:bottom w:w="72" w:type="dxa"/>
              <w:right w:w="144" w:type="dxa"/>
            </w:tcMar>
          </w:tcPr>
          <w:p w14:paraId="13085066" w14:textId="64BF87CE" w:rsidR="00B94D21" w:rsidRPr="00E0548A" w:rsidRDefault="001A5AE4" w:rsidP="00720B32">
            <w:pPr>
              <w:spacing w:line="200" w:lineRule="exact"/>
              <w:ind w:left="161" w:hangingChars="100" w:hanging="161"/>
              <w:rPr>
                <w:rFonts w:ascii="ＭＳ ゴシック" w:eastAsia="ＭＳ ゴシック" w:hAnsi="ＭＳ ゴシック"/>
                <w:sz w:val="16"/>
                <w:szCs w:val="16"/>
              </w:rPr>
            </w:pPr>
            <w:r w:rsidRPr="00E0548A">
              <w:rPr>
                <w:rFonts w:ascii="ＭＳ ゴシック" w:eastAsia="ＭＳ ゴシック" w:hAnsi="ＭＳ ゴシック" w:hint="eastAsia"/>
                <w:sz w:val="16"/>
                <w:szCs w:val="16"/>
              </w:rPr>
              <w:t>○</w:t>
            </w:r>
            <w:r w:rsidR="00B94D21" w:rsidRPr="00E0548A">
              <w:rPr>
                <w:rFonts w:ascii="ＭＳ ゴシック" w:eastAsia="ＭＳ ゴシック" w:hAnsi="ＭＳ ゴシック" w:hint="eastAsia"/>
                <w:sz w:val="16"/>
                <w:szCs w:val="16"/>
              </w:rPr>
              <w:t>被災所管施設の応急復旧開始</w:t>
            </w:r>
          </w:p>
          <w:p w14:paraId="4101044A" w14:textId="22C9C780" w:rsidR="00B94D21" w:rsidRPr="00E0548A" w:rsidRDefault="001A5AE4" w:rsidP="00720B32">
            <w:pPr>
              <w:spacing w:line="200" w:lineRule="exact"/>
              <w:ind w:left="161" w:hangingChars="100" w:hanging="161"/>
              <w:rPr>
                <w:rFonts w:ascii="ＭＳ ゴシック" w:eastAsia="ＭＳ ゴシック" w:hAnsi="ＭＳ ゴシック"/>
                <w:sz w:val="16"/>
                <w:szCs w:val="16"/>
              </w:rPr>
            </w:pPr>
            <w:r w:rsidRPr="00E0548A">
              <w:rPr>
                <w:rFonts w:ascii="ＭＳ ゴシック" w:eastAsia="ＭＳ ゴシック" w:hAnsi="ＭＳ ゴシック" w:hint="eastAsia"/>
                <w:sz w:val="16"/>
                <w:szCs w:val="16"/>
              </w:rPr>
              <w:t>○</w:t>
            </w:r>
            <w:r w:rsidR="00B94D21" w:rsidRPr="00E0548A">
              <w:rPr>
                <w:rFonts w:ascii="ＭＳ ゴシック" w:eastAsia="ＭＳ ゴシック" w:hAnsi="ＭＳ ゴシック" w:hint="eastAsia"/>
                <w:sz w:val="16"/>
                <w:szCs w:val="16"/>
              </w:rPr>
              <w:t>都市復興基本理念の策定</w:t>
            </w:r>
          </w:p>
        </w:tc>
        <w:tc>
          <w:tcPr>
            <w:tcW w:w="944" w:type="pct"/>
            <w:tcBorders>
              <w:top w:val="single" w:sz="8" w:space="0" w:color="F79646"/>
              <w:left w:val="single" w:sz="8" w:space="0" w:color="F79646"/>
              <w:bottom w:val="single" w:sz="8" w:space="0" w:color="F79646"/>
              <w:right w:val="single" w:sz="8" w:space="0" w:color="F79646"/>
            </w:tcBorders>
            <w:shd w:val="clear" w:color="auto" w:fill="FDEFE9"/>
            <w:tcMar>
              <w:top w:w="72" w:type="dxa"/>
              <w:left w:w="144" w:type="dxa"/>
              <w:bottom w:w="72" w:type="dxa"/>
              <w:right w:w="144" w:type="dxa"/>
            </w:tcMar>
          </w:tcPr>
          <w:p w14:paraId="5F0E744E" w14:textId="77777777" w:rsidR="00B94D21" w:rsidRPr="00E0548A" w:rsidRDefault="00B94D21" w:rsidP="00720B32">
            <w:pPr>
              <w:spacing w:line="200" w:lineRule="exact"/>
              <w:rPr>
                <w:rFonts w:ascii="ＭＳ ゴシック" w:eastAsia="ＭＳ ゴシック" w:hAnsi="ＭＳ ゴシック"/>
                <w:sz w:val="16"/>
                <w:szCs w:val="16"/>
              </w:rPr>
            </w:pPr>
          </w:p>
        </w:tc>
        <w:tc>
          <w:tcPr>
            <w:tcW w:w="1109" w:type="pct"/>
            <w:tcBorders>
              <w:top w:val="single" w:sz="8" w:space="0" w:color="F79646"/>
              <w:left w:val="single" w:sz="8" w:space="0" w:color="F79646"/>
              <w:bottom w:val="single" w:sz="8" w:space="0" w:color="F79646"/>
              <w:right w:val="single" w:sz="8" w:space="0" w:color="F79646"/>
            </w:tcBorders>
            <w:shd w:val="clear" w:color="auto" w:fill="FDEFE9"/>
            <w:tcMar>
              <w:top w:w="72" w:type="dxa"/>
              <w:left w:w="144" w:type="dxa"/>
              <w:bottom w:w="72" w:type="dxa"/>
              <w:right w:w="144" w:type="dxa"/>
            </w:tcMar>
          </w:tcPr>
          <w:p w14:paraId="4890C3FB" w14:textId="77777777" w:rsidR="00B94D21" w:rsidRPr="00E0548A" w:rsidRDefault="00B94D21" w:rsidP="00720B32">
            <w:pPr>
              <w:spacing w:line="200" w:lineRule="exact"/>
              <w:rPr>
                <w:rFonts w:ascii="ＭＳ ゴシック" w:eastAsia="ＭＳ ゴシック" w:hAnsi="ＭＳ ゴシック"/>
                <w:sz w:val="16"/>
                <w:szCs w:val="16"/>
              </w:rPr>
            </w:pPr>
          </w:p>
        </w:tc>
        <w:tc>
          <w:tcPr>
            <w:tcW w:w="1029" w:type="pct"/>
            <w:tcBorders>
              <w:top w:val="single" w:sz="8" w:space="0" w:color="F79646"/>
              <w:left w:val="single" w:sz="8" w:space="0" w:color="F79646"/>
              <w:bottom w:val="single" w:sz="8" w:space="0" w:color="F79646"/>
              <w:right w:val="single" w:sz="8" w:space="0" w:color="F79646"/>
            </w:tcBorders>
            <w:shd w:val="clear" w:color="auto" w:fill="FDEFE9"/>
            <w:tcMar>
              <w:top w:w="72" w:type="dxa"/>
              <w:left w:w="144" w:type="dxa"/>
              <w:bottom w:w="72" w:type="dxa"/>
              <w:right w:w="144" w:type="dxa"/>
            </w:tcMar>
          </w:tcPr>
          <w:p w14:paraId="74BB4062" w14:textId="31F72EED" w:rsidR="00B94D21" w:rsidRPr="00E0548A" w:rsidRDefault="001A5AE4" w:rsidP="00720B32">
            <w:pPr>
              <w:spacing w:line="200" w:lineRule="exact"/>
              <w:ind w:left="161" w:hangingChars="100" w:hanging="161"/>
              <w:rPr>
                <w:rFonts w:ascii="ＭＳ ゴシック" w:eastAsia="ＭＳ ゴシック" w:hAnsi="ＭＳ ゴシック"/>
                <w:sz w:val="16"/>
                <w:szCs w:val="16"/>
              </w:rPr>
            </w:pPr>
            <w:r w:rsidRPr="00E0548A">
              <w:rPr>
                <w:rFonts w:ascii="ＭＳ ゴシック" w:eastAsia="ＭＳ ゴシック" w:hAnsi="ＭＳ ゴシック" w:hint="eastAsia"/>
                <w:sz w:val="16"/>
                <w:szCs w:val="16"/>
              </w:rPr>
              <w:t>○</w:t>
            </w:r>
            <w:r w:rsidR="00B94D21" w:rsidRPr="00E0548A">
              <w:rPr>
                <w:rFonts w:ascii="ＭＳ ゴシック" w:eastAsia="ＭＳ ゴシック" w:hAnsi="ＭＳ ゴシック" w:hint="eastAsia"/>
                <w:sz w:val="16"/>
                <w:szCs w:val="16"/>
              </w:rPr>
              <w:t>府税の減免措置の決定・広報</w:t>
            </w:r>
          </w:p>
          <w:p w14:paraId="4EA1E563" w14:textId="77777777" w:rsidR="00B94D21" w:rsidRPr="00E0548A" w:rsidRDefault="00B94D21" w:rsidP="00720B32">
            <w:pPr>
              <w:spacing w:line="200" w:lineRule="exact"/>
              <w:rPr>
                <w:rFonts w:ascii="ＭＳ ゴシック" w:eastAsia="ＭＳ ゴシック" w:hAnsi="ＭＳ ゴシック"/>
                <w:sz w:val="16"/>
                <w:szCs w:val="16"/>
              </w:rPr>
            </w:pPr>
          </w:p>
        </w:tc>
      </w:tr>
      <w:tr w:rsidR="00B94D21" w:rsidRPr="001D6D10" w14:paraId="4794B62E" w14:textId="77777777" w:rsidTr="00720B32">
        <w:trPr>
          <w:trHeight w:val="469"/>
        </w:trPr>
        <w:tc>
          <w:tcPr>
            <w:tcW w:w="959" w:type="pct"/>
            <w:tcBorders>
              <w:top w:val="single" w:sz="8" w:space="0" w:color="F79646"/>
              <w:left w:val="single" w:sz="8" w:space="0" w:color="F79646"/>
              <w:bottom w:val="single" w:sz="8" w:space="0" w:color="F79646"/>
              <w:right w:val="single" w:sz="8" w:space="0" w:color="F79646"/>
            </w:tcBorders>
            <w:shd w:val="clear" w:color="auto" w:fill="FCDDCF"/>
            <w:tcMar>
              <w:top w:w="72" w:type="dxa"/>
              <w:left w:w="144" w:type="dxa"/>
              <w:bottom w:w="72" w:type="dxa"/>
              <w:right w:w="144" w:type="dxa"/>
            </w:tcMar>
          </w:tcPr>
          <w:p w14:paraId="317B6CD1" w14:textId="72D00120" w:rsidR="00B94D21" w:rsidRPr="00E0548A" w:rsidRDefault="001A5AE4" w:rsidP="00720B32">
            <w:pPr>
              <w:spacing w:line="200" w:lineRule="exact"/>
              <w:rPr>
                <w:rFonts w:ascii="ＭＳ ゴシック" w:eastAsia="ＭＳ ゴシック" w:hAnsi="ＭＳ ゴシック"/>
                <w:sz w:val="16"/>
                <w:szCs w:val="16"/>
              </w:rPr>
            </w:pPr>
            <w:r w:rsidRPr="00E0548A">
              <w:rPr>
                <w:rFonts w:ascii="ＭＳ ゴシック" w:eastAsia="ＭＳ ゴシック" w:hAnsi="ＭＳ ゴシック" w:hint="eastAsia"/>
                <w:sz w:val="16"/>
                <w:szCs w:val="16"/>
              </w:rPr>
              <w:t>○</w:t>
            </w:r>
            <w:r w:rsidR="00B94D21" w:rsidRPr="00E0548A">
              <w:rPr>
                <w:rFonts w:ascii="ＭＳ ゴシック" w:eastAsia="ＭＳ ゴシック" w:hAnsi="ＭＳ ゴシック" w:hint="eastAsia"/>
                <w:sz w:val="16"/>
                <w:szCs w:val="16"/>
              </w:rPr>
              <w:t>復興基本方針の策定</w:t>
            </w:r>
          </w:p>
          <w:p w14:paraId="670A4E70" w14:textId="30C83052" w:rsidR="00B94D21" w:rsidRPr="00E0548A" w:rsidRDefault="001A5AE4" w:rsidP="00720B32">
            <w:pPr>
              <w:spacing w:line="200" w:lineRule="exact"/>
              <w:ind w:left="161" w:hangingChars="100" w:hanging="161"/>
              <w:rPr>
                <w:rFonts w:ascii="ＭＳ ゴシック" w:eastAsia="ＭＳ ゴシック" w:hAnsi="ＭＳ ゴシック"/>
                <w:sz w:val="16"/>
                <w:szCs w:val="16"/>
              </w:rPr>
            </w:pPr>
            <w:r w:rsidRPr="00E0548A">
              <w:rPr>
                <w:rFonts w:ascii="ＭＳ ゴシック" w:eastAsia="ＭＳ ゴシック" w:hAnsi="ＭＳ ゴシック" w:hint="eastAsia"/>
                <w:sz w:val="16"/>
                <w:szCs w:val="16"/>
              </w:rPr>
              <w:t>○</w:t>
            </w:r>
            <w:r w:rsidR="00B94D21" w:rsidRPr="00E0548A">
              <w:rPr>
                <w:rFonts w:ascii="ＭＳ ゴシック" w:eastAsia="ＭＳ ゴシック" w:hAnsi="ＭＳ ゴシック" w:hint="eastAsia"/>
                <w:sz w:val="16"/>
                <w:szCs w:val="16"/>
              </w:rPr>
              <w:t>被災所管施設の応急復旧</w:t>
            </w:r>
          </w:p>
        </w:tc>
        <w:tc>
          <w:tcPr>
            <w:tcW w:w="959" w:type="pct"/>
            <w:tcBorders>
              <w:top w:val="single" w:sz="8" w:space="0" w:color="F79646"/>
              <w:left w:val="single" w:sz="8" w:space="0" w:color="F79646"/>
              <w:bottom w:val="single" w:sz="8" w:space="0" w:color="F79646"/>
              <w:right w:val="single" w:sz="8" w:space="0" w:color="F79646"/>
            </w:tcBorders>
            <w:shd w:val="clear" w:color="auto" w:fill="FCDDCF"/>
            <w:tcMar>
              <w:top w:w="72" w:type="dxa"/>
              <w:left w:w="144" w:type="dxa"/>
              <w:bottom w:w="72" w:type="dxa"/>
              <w:right w:w="144" w:type="dxa"/>
            </w:tcMar>
          </w:tcPr>
          <w:p w14:paraId="11700797" w14:textId="77777777" w:rsidR="00B94D21" w:rsidRPr="00E0548A" w:rsidRDefault="00B94D21" w:rsidP="00720B32">
            <w:pPr>
              <w:spacing w:line="200" w:lineRule="exact"/>
              <w:rPr>
                <w:rFonts w:ascii="ＭＳ ゴシック" w:eastAsia="ＭＳ ゴシック" w:hAnsi="ＭＳ ゴシック"/>
                <w:sz w:val="16"/>
                <w:szCs w:val="16"/>
              </w:rPr>
            </w:pPr>
          </w:p>
        </w:tc>
        <w:tc>
          <w:tcPr>
            <w:tcW w:w="944" w:type="pct"/>
            <w:tcBorders>
              <w:top w:val="single" w:sz="8" w:space="0" w:color="F79646"/>
              <w:left w:val="single" w:sz="8" w:space="0" w:color="F79646"/>
              <w:bottom w:val="single" w:sz="8" w:space="0" w:color="F79646"/>
              <w:right w:val="single" w:sz="8" w:space="0" w:color="F79646"/>
            </w:tcBorders>
            <w:shd w:val="clear" w:color="auto" w:fill="FCDDCF"/>
            <w:tcMar>
              <w:top w:w="72" w:type="dxa"/>
              <w:left w:w="144" w:type="dxa"/>
              <w:bottom w:w="72" w:type="dxa"/>
              <w:right w:w="144" w:type="dxa"/>
            </w:tcMar>
          </w:tcPr>
          <w:p w14:paraId="11DFEAB9" w14:textId="77777777" w:rsidR="00B94D21" w:rsidRPr="00E0548A" w:rsidRDefault="00B94D21" w:rsidP="00720B32">
            <w:pPr>
              <w:spacing w:line="200" w:lineRule="exact"/>
              <w:rPr>
                <w:rFonts w:ascii="ＭＳ ゴシック" w:eastAsia="ＭＳ ゴシック" w:hAnsi="ＭＳ ゴシック"/>
                <w:sz w:val="16"/>
                <w:szCs w:val="16"/>
              </w:rPr>
            </w:pPr>
          </w:p>
        </w:tc>
        <w:tc>
          <w:tcPr>
            <w:tcW w:w="1109" w:type="pct"/>
            <w:tcBorders>
              <w:top w:val="single" w:sz="8" w:space="0" w:color="F79646"/>
              <w:left w:val="single" w:sz="8" w:space="0" w:color="F79646"/>
              <w:bottom w:val="single" w:sz="8" w:space="0" w:color="F79646"/>
              <w:right w:val="single" w:sz="8" w:space="0" w:color="F79646"/>
            </w:tcBorders>
            <w:shd w:val="clear" w:color="auto" w:fill="FCDDCF"/>
            <w:tcMar>
              <w:top w:w="72" w:type="dxa"/>
              <w:left w:w="144" w:type="dxa"/>
              <w:bottom w:w="72" w:type="dxa"/>
              <w:right w:w="144" w:type="dxa"/>
            </w:tcMar>
          </w:tcPr>
          <w:p w14:paraId="563C7DE4" w14:textId="77777777" w:rsidR="00B94D21" w:rsidRPr="00E0548A" w:rsidRDefault="00B94D21" w:rsidP="00720B32">
            <w:pPr>
              <w:spacing w:line="200" w:lineRule="exact"/>
              <w:rPr>
                <w:rFonts w:ascii="ＭＳ ゴシック" w:eastAsia="ＭＳ ゴシック" w:hAnsi="ＭＳ ゴシック"/>
                <w:sz w:val="16"/>
                <w:szCs w:val="16"/>
              </w:rPr>
            </w:pPr>
          </w:p>
        </w:tc>
        <w:tc>
          <w:tcPr>
            <w:tcW w:w="1029" w:type="pct"/>
            <w:tcBorders>
              <w:top w:val="single" w:sz="8" w:space="0" w:color="F79646"/>
              <w:left w:val="single" w:sz="8" w:space="0" w:color="F79646"/>
              <w:bottom w:val="single" w:sz="8" w:space="0" w:color="F79646"/>
              <w:right w:val="single" w:sz="8" w:space="0" w:color="F79646"/>
            </w:tcBorders>
            <w:shd w:val="clear" w:color="auto" w:fill="FCDDCF"/>
            <w:tcMar>
              <w:top w:w="72" w:type="dxa"/>
              <w:left w:w="144" w:type="dxa"/>
              <w:bottom w:w="72" w:type="dxa"/>
              <w:right w:w="144" w:type="dxa"/>
            </w:tcMar>
          </w:tcPr>
          <w:p w14:paraId="69B686FE" w14:textId="0AF291D5" w:rsidR="00B94D21" w:rsidRPr="00E0548A" w:rsidRDefault="001A5AE4" w:rsidP="00720B32">
            <w:pPr>
              <w:spacing w:line="200" w:lineRule="exact"/>
              <w:ind w:left="161" w:hangingChars="100" w:hanging="161"/>
              <w:rPr>
                <w:rFonts w:ascii="ＭＳ ゴシック" w:eastAsia="ＭＳ ゴシック" w:hAnsi="ＭＳ ゴシック"/>
                <w:sz w:val="16"/>
                <w:szCs w:val="16"/>
              </w:rPr>
            </w:pPr>
            <w:r w:rsidRPr="00E0548A">
              <w:rPr>
                <w:rFonts w:ascii="ＭＳ ゴシック" w:eastAsia="ＭＳ ゴシック" w:hAnsi="ＭＳ ゴシック" w:hint="eastAsia"/>
                <w:sz w:val="16"/>
                <w:szCs w:val="16"/>
              </w:rPr>
              <w:t>○</w:t>
            </w:r>
            <w:r w:rsidR="00B94D21" w:rsidRPr="00E0548A">
              <w:rPr>
                <w:rFonts w:ascii="ＭＳ ゴシック" w:eastAsia="ＭＳ ゴシック" w:hAnsi="ＭＳ ゴシック" w:hint="eastAsia"/>
                <w:sz w:val="16"/>
                <w:szCs w:val="16"/>
              </w:rPr>
              <w:t>被災者生活再建支援金等の支給等</w:t>
            </w:r>
          </w:p>
          <w:p w14:paraId="1A659F15" w14:textId="16D15C44" w:rsidR="00B94D21" w:rsidRPr="001D6D10" w:rsidRDefault="001A5AE4" w:rsidP="00720B32">
            <w:pPr>
              <w:spacing w:line="200" w:lineRule="exact"/>
              <w:rPr>
                <w:rFonts w:ascii="ＭＳ ゴシック" w:eastAsia="ＭＳ ゴシック" w:hAnsi="ＭＳ ゴシック"/>
                <w:sz w:val="16"/>
                <w:szCs w:val="16"/>
              </w:rPr>
            </w:pPr>
            <w:r w:rsidRPr="00E0548A">
              <w:rPr>
                <w:rFonts w:ascii="ＭＳ ゴシック" w:eastAsia="ＭＳ ゴシック" w:hAnsi="ＭＳ ゴシック" w:hint="eastAsia"/>
                <w:sz w:val="16"/>
                <w:szCs w:val="16"/>
              </w:rPr>
              <w:t>○</w:t>
            </w:r>
            <w:r w:rsidR="00B94D21" w:rsidRPr="00E0548A">
              <w:rPr>
                <w:rFonts w:ascii="ＭＳ ゴシック" w:eastAsia="ＭＳ ゴシック" w:hAnsi="ＭＳ ゴシック" w:hint="eastAsia"/>
                <w:sz w:val="16"/>
                <w:szCs w:val="16"/>
              </w:rPr>
              <w:t>応急仮設住宅供与開始</w:t>
            </w:r>
          </w:p>
        </w:tc>
      </w:tr>
    </w:tbl>
    <w:bookmarkStart w:id="25" w:name="_Toc122436872"/>
    <w:p w14:paraId="53F479C7" w14:textId="65FA96A0" w:rsidR="006756C0" w:rsidRDefault="006756C0" w:rsidP="00E0548A">
      <w:r w:rsidRPr="001D6D10">
        <w:rPr>
          <w:rFonts w:ascii="ＭＳ ゴシック" w:eastAsia="ＭＳ ゴシック" w:hAnsi="ＭＳ ゴシック"/>
          <w:noProof/>
          <w:sz w:val="16"/>
          <w:szCs w:val="16"/>
        </w:rPr>
        <mc:AlternateContent>
          <mc:Choice Requires="wps">
            <w:drawing>
              <wp:anchor distT="0" distB="0" distL="114300" distR="114300" simplePos="0" relativeHeight="254355456" behindDoc="0" locked="0" layoutInCell="1" allowOverlap="1" wp14:anchorId="53B6C003" wp14:editId="521F4666">
                <wp:simplePos x="0" y="0"/>
                <wp:positionH relativeFrom="column">
                  <wp:posOffset>821690</wp:posOffset>
                </wp:positionH>
                <wp:positionV relativeFrom="paragraph">
                  <wp:posOffset>79692</wp:posOffset>
                </wp:positionV>
                <wp:extent cx="5684693" cy="491837"/>
                <wp:effectExtent l="0" t="0" r="0" b="0"/>
                <wp:wrapNone/>
                <wp:docPr id="4022" name="テキスト ボックス 42"/>
                <wp:cNvGraphicFramePr/>
                <a:graphic xmlns:a="http://schemas.openxmlformats.org/drawingml/2006/main">
                  <a:graphicData uri="http://schemas.microsoft.com/office/word/2010/wordprocessingShape">
                    <wps:wsp>
                      <wps:cNvSpPr txBox="1"/>
                      <wps:spPr>
                        <a:xfrm>
                          <a:off x="0" y="0"/>
                          <a:ext cx="5684693" cy="491837"/>
                        </a:xfrm>
                        <a:prstGeom prst="rect">
                          <a:avLst/>
                        </a:prstGeom>
                        <a:noFill/>
                      </wps:spPr>
                      <wps:txbx>
                        <w:txbxContent>
                          <w:p w14:paraId="305CF9FC" w14:textId="77777777" w:rsidR="006756C0" w:rsidRDefault="006756C0" w:rsidP="006756C0">
                            <w:pPr>
                              <w:pStyle w:val="Web"/>
                              <w:spacing w:before="0" w:beforeAutospacing="0" w:after="0" w:afterAutospacing="0" w:line="240" w:lineRule="exact"/>
                              <w:rPr>
                                <w:rFonts w:ascii="BIZ UDPゴシック" w:eastAsia="BIZ UDPゴシック" w:hAnsi="BIZ UDPゴシック" w:cstheme="minorBidi"/>
                                <w:kern w:val="24"/>
                                <w:sz w:val="16"/>
                                <w:szCs w:val="16"/>
                                <w:u w:val="single"/>
                              </w:rPr>
                            </w:pPr>
                            <w:r w:rsidRPr="00A85280">
                              <w:rPr>
                                <w:rFonts w:ascii="BIZ UDPゴシック" w:eastAsia="BIZ UDPゴシック" w:hAnsi="BIZ UDPゴシック" w:cstheme="minorBidi" w:hint="eastAsia"/>
                                <w:kern w:val="24"/>
                                <w:sz w:val="16"/>
                                <w:szCs w:val="16"/>
                              </w:rPr>
                              <w:t>※</w:t>
                            </w:r>
                            <w:r w:rsidRPr="00B94D21">
                              <w:rPr>
                                <w:rFonts w:ascii="BIZ UDPゴシック" w:eastAsia="BIZ UDPゴシック" w:hAnsi="BIZ UDPゴシック" w:cstheme="minorBidi" w:hint="eastAsia"/>
                                <w:kern w:val="24"/>
                                <w:sz w:val="16"/>
                                <w:szCs w:val="16"/>
                              </w:rPr>
                              <w:t>1</w:t>
                            </w:r>
                            <w:r w:rsidRPr="00A85280">
                              <w:rPr>
                                <w:rFonts w:ascii="BIZ UDPゴシック" w:eastAsia="BIZ UDPゴシック" w:hAnsi="BIZ UDPゴシック" w:cstheme="minorBidi" w:hint="eastAsia"/>
                                <w:kern w:val="24"/>
                                <w:sz w:val="16"/>
                                <w:szCs w:val="16"/>
                                <w:u w:val="single"/>
                              </w:rPr>
                              <w:t>発災初期は、まず「危機管理室」が主体となり情報収集を行い、その後は部局ごとに所管する応急対策業務を実施する。</w:t>
                            </w:r>
                          </w:p>
                          <w:p w14:paraId="79EF129C" w14:textId="77777777" w:rsidR="006756C0" w:rsidRPr="00B94D21" w:rsidRDefault="006756C0" w:rsidP="006756C0">
                            <w:pPr>
                              <w:pStyle w:val="Web"/>
                              <w:spacing w:before="0" w:beforeAutospacing="0" w:after="0" w:afterAutospacing="0" w:line="240" w:lineRule="exact"/>
                              <w:ind w:firstLineChars="2377" w:firstLine="3829"/>
                              <w:rPr>
                                <w:sz w:val="16"/>
                                <w:szCs w:val="16"/>
                              </w:rPr>
                            </w:pPr>
                            <w:r w:rsidRPr="00B94D21">
                              <w:rPr>
                                <w:rFonts w:ascii="BIZ UDPゴシック" w:eastAsia="BIZ UDPゴシック" w:hAnsi="BIZ UDPゴシック" w:cstheme="minorBidi" w:hint="eastAsia"/>
                                <w:kern w:val="24"/>
                                <w:sz w:val="16"/>
                                <w:szCs w:val="16"/>
                              </w:rPr>
                              <w:t>※2道路啓開の目標については、「大阪府域道路啓開計画」を参照。</w:t>
                            </w:r>
                          </w:p>
                        </w:txbxContent>
                      </wps:txbx>
                      <wps:bodyPr wrap="square" rtlCol="0">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shape w14:anchorId="53B6C003" id="テキスト ボックス 42" o:spid="_x0000_s1033" type="#_x0000_t202" style="position:absolute;left:0;text-align:left;margin-left:64.7pt;margin-top:6.25pt;width:447.6pt;height:38.75pt;z-index:254355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" filled="f" stroked="f">
                <v:textbox>
                  <w:txbxContent>
                    <w:p w14:paraId="305CF9FC" w14:textId="77777777" w:rsidR="006756C0" w:rsidRDefault="006756C0" w:rsidP="006756C0">
                      <w:pPr>
                        <w:pStyle w:val="Web"/>
                        <w:spacing w:before="0" w:beforeAutospacing="0" w:after="0" w:afterAutospacing="0" w:line="240" w:lineRule="exact"/>
                        <w:rPr>
                          <w:rFonts w:ascii="BIZ UDPゴシック" w:eastAsia="BIZ UDPゴシック" w:hAnsi="BIZ UDPゴシック" w:cstheme="minorBidi"/>
                          <w:kern w:val="24"/>
                          <w:sz w:val="16"/>
                          <w:szCs w:val="16"/>
                          <w:u w:val="single"/>
                        </w:rPr>
                      </w:pPr>
                      <w:r w:rsidRPr="00A85280">
                        <w:rPr>
                          <w:rFonts w:ascii="BIZ UDPゴシック" w:eastAsia="BIZ UDPゴシック" w:hAnsi="BIZ UDPゴシック" w:cstheme="minorBidi" w:hint="eastAsia"/>
                          <w:kern w:val="24"/>
                          <w:sz w:val="16"/>
                          <w:szCs w:val="16"/>
                        </w:rPr>
                        <w:t>※</w:t>
                      </w:r>
                      <w:r w:rsidRPr="00B94D21">
                        <w:rPr>
                          <w:rFonts w:ascii="BIZ UDPゴシック" w:eastAsia="BIZ UDPゴシック" w:hAnsi="BIZ UDPゴシック" w:cstheme="minorBidi" w:hint="eastAsia"/>
                          <w:kern w:val="24"/>
                          <w:sz w:val="16"/>
                          <w:szCs w:val="16"/>
                        </w:rPr>
                        <w:t>1</w:t>
                      </w:r>
                      <w:r w:rsidRPr="00A85280">
                        <w:rPr>
                          <w:rFonts w:ascii="BIZ UDPゴシック" w:eastAsia="BIZ UDPゴシック" w:hAnsi="BIZ UDPゴシック" w:cstheme="minorBidi" w:hint="eastAsia"/>
                          <w:kern w:val="24"/>
                          <w:sz w:val="16"/>
                          <w:szCs w:val="16"/>
                          <w:u w:val="single"/>
                        </w:rPr>
                        <w:t>発災初期は、まず「危機管理室」が主体となり情報収集を行い、その後は部局ごとに所管する応急対策業務を実施する。</w:t>
                      </w:r>
                    </w:p>
                    <w:p w14:paraId="79EF129C" w14:textId="77777777" w:rsidR="006756C0" w:rsidRPr="00B94D21" w:rsidRDefault="006756C0" w:rsidP="006756C0">
                      <w:pPr>
                        <w:pStyle w:val="Web"/>
                        <w:spacing w:before="0" w:beforeAutospacing="0" w:after="0" w:afterAutospacing="0" w:line="240" w:lineRule="exact"/>
                        <w:ind w:firstLineChars="2377" w:firstLine="3829"/>
                        <w:rPr>
                          <w:sz w:val="16"/>
                          <w:szCs w:val="16"/>
                        </w:rPr>
                      </w:pPr>
                      <w:r w:rsidRPr="00B94D21">
                        <w:rPr>
                          <w:rFonts w:ascii="BIZ UDPゴシック" w:eastAsia="BIZ UDPゴシック" w:hAnsi="BIZ UDPゴシック" w:cstheme="minorBidi" w:hint="eastAsia"/>
                          <w:kern w:val="24"/>
                          <w:sz w:val="16"/>
                          <w:szCs w:val="16"/>
                        </w:rPr>
                        <w:t>※2道路啓開の目標については、「大阪府域道路啓開計画」を参照。</w:t>
                      </w:r>
                    </w:p>
                  </w:txbxContent>
                </v:textbox>
              </v:shape>
            </w:pict>
          </mc:Fallback>
        </mc:AlternateContent>
      </w:r>
    </w:p>
    <w:p w14:paraId="0198820A" w14:textId="6302300F" w:rsidR="006756C0" w:rsidRDefault="006756C0">
      <w:pPr>
        <w:widowControl/>
        <w:jc w:val="left"/>
        <w:rPr>
          <w:rFonts w:ascii="ＭＳ ゴシック" w:eastAsia="ＭＳ ゴシック" w:hAnsi="ＭＳ ゴシック"/>
          <w:color w:val="000000" w:themeColor="text1"/>
          <w:sz w:val="22"/>
          <w:u w:val="double"/>
        </w:rPr>
      </w:pPr>
      <w:r>
        <w:br w:type="page"/>
      </w:r>
    </w:p>
    <w:p w14:paraId="2F1DDC7A" w14:textId="31BCAD0E" w:rsidR="00B94D21" w:rsidRPr="001D6D10" w:rsidRDefault="00B94D21" w:rsidP="00E0548A">
      <w:pPr>
        <w:pStyle w:val="3"/>
        <w:ind w:firstLineChars="0" w:firstLine="0"/>
      </w:pPr>
      <w:bookmarkStart w:id="26" w:name="_Toc222486562"/>
      <w:bookmarkStart w:id="27" w:name="_Toc242870231"/>
      <w:r w:rsidRPr="001D6D10">
        <w:rPr>
          <w:rFonts w:hint="eastAsia"/>
        </w:rPr>
        <w:lastRenderedPageBreak/>
        <w:t>第２　台風接近時の事前準備等タイムライン（大型台風を含む。）</w:t>
      </w:r>
      <w:bookmarkEnd w:id="25"/>
      <w:bookmarkEnd w:id="26"/>
      <w:bookmarkEnd w:id="27"/>
    </w:p>
    <w:p w14:paraId="279FFF07" w14:textId="1468F022" w:rsidR="00B94D21" w:rsidRPr="001D6D10" w:rsidRDefault="00B94D21" w:rsidP="00B94D21">
      <w:pPr>
        <w:rPr>
          <w:rFonts w:ascii="ＭＳ ゴシック" w:eastAsia="ＭＳ ゴシック" w:hAnsi="ＭＳ ゴシック"/>
          <w:sz w:val="22"/>
          <w:szCs w:val="22"/>
          <w:u w:val="single"/>
        </w:rPr>
      </w:pPr>
      <w:r w:rsidRPr="001D6D10">
        <w:rPr>
          <w:rFonts w:ascii="ＭＳ ゴシック" w:eastAsia="ＭＳ ゴシック" w:hAnsi="ＭＳ ゴシック" w:hint="eastAsia"/>
          <w:sz w:val="22"/>
          <w:szCs w:val="22"/>
          <w:u w:val="single"/>
        </w:rPr>
        <w:t>１　タイムライン判断基準に基づく体制</w:t>
      </w:r>
    </w:p>
    <w:p w14:paraId="55632FD1" w14:textId="62919905" w:rsidR="00B7556D" w:rsidRPr="001D6D10" w:rsidRDefault="00743E95" w:rsidP="00743E95">
      <w:pPr>
        <w:rPr>
          <w:rFonts w:ascii="ＭＳ ゴシック" w:eastAsia="ＭＳ ゴシック" w:hAnsi="ＭＳ ゴシック"/>
          <w:sz w:val="22"/>
          <w:szCs w:val="22"/>
        </w:rPr>
      </w:pPr>
      <w:r w:rsidRPr="001D6D10">
        <w:rPr>
          <w:rFonts w:ascii="ＭＳ ゴシック" w:eastAsia="ＭＳ ゴシック" w:hAnsi="ＭＳ ゴシック" w:hint="eastAsia"/>
          <w:sz w:val="22"/>
          <w:szCs w:val="22"/>
        </w:rPr>
        <w:t xml:space="preserve">　　「大型台風接近時の事前準備等タイムライン」の</w:t>
      </w:r>
      <w:r w:rsidR="00B7556D" w:rsidRPr="001D6D10">
        <w:rPr>
          <w:rFonts w:ascii="ＭＳ ゴシック" w:eastAsia="ＭＳ ゴシック" w:hAnsi="ＭＳ ゴシック" w:hint="eastAsia"/>
          <w:sz w:val="22"/>
          <w:szCs w:val="22"/>
        </w:rPr>
        <w:t xml:space="preserve">時系列、組織体制の段階的引き上げ　</w:t>
      </w:r>
    </w:p>
    <w:p w14:paraId="592E4A87" w14:textId="77777777" w:rsidR="00743E95" w:rsidRPr="001D6D10" w:rsidRDefault="00B7556D" w:rsidP="00B7556D">
      <w:pPr>
        <w:ind w:firstLineChars="100" w:firstLine="221"/>
        <w:rPr>
          <w:rFonts w:ascii="ＭＳ ゴシック" w:eastAsia="ＭＳ ゴシック" w:hAnsi="ＭＳ ゴシック"/>
          <w:sz w:val="22"/>
          <w:szCs w:val="22"/>
        </w:rPr>
      </w:pPr>
      <w:r w:rsidRPr="001D6D10">
        <w:rPr>
          <w:rFonts w:ascii="ＭＳ ゴシック" w:eastAsia="ＭＳ ゴシック" w:hAnsi="ＭＳ ゴシック" w:hint="eastAsia"/>
          <w:sz w:val="22"/>
          <w:szCs w:val="22"/>
        </w:rPr>
        <w:t>のフローは</w:t>
      </w:r>
      <w:r w:rsidR="00743E95" w:rsidRPr="001D6D10">
        <w:rPr>
          <w:rFonts w:ascii="ＭＳ ゴシック" w:eastAsia="ＭＳ ゴシック" w:hAnsi="ＭＳ ゴシック" w:hint="eastAsia"/>
          <w:sz w:val="22"/>
          <w:szCs w:val="22"/>
        </w:rPr>
        <w:t>以下のとおり。</w:t>
      </w:r>
    </w:p>
    <w:p w14:paraId="5FEE0292" w14:textId="03BD28F8" w:rsidR="00A7328F" w:rsidRPr="001D6D10" w:rsidRDefault="00A7328F" w:rsidP="00743E95">
      <w:pPr>
        <w:rPr>
          <w:rFonts w:ascii="ＭＳ ゴシック" w:eastAsia="ＭＳ ゴシック" w:hAnsi="ＭＳ ゴシック"/>
          <w:sz w:val="22"/>
          <w:szCs w:val="22"/>
        </w:rPr>
      </w:pPr>
    </w:p>
    <w:p w14:paraId="48E57999" w14:textId="31540915" w:rsidR="00E77AC7" w:rsidRPr="001D6D10" w:rsidRDefault="00F67970" w:rsidP="00743E95">
      <w:pPr>
        <w:rPr>
          <w:rFonts w:ascii="ＭＳ ゴシック" w:eastAsia="ＭＳ ゴシック" w:hAnsi="ＭＳ ゴシック"/>
          <w:b/>
          <w:sz w:val="22"/>
          <w:szCs w:val="22"/>
        </w:rPr>
      </w:pPr>
      <w:r w:rsidRPr="00F67970">
        <w:rPr>
          <w:rFonts w:ascii="ＭＳ ゴシック" w:eastAsia="ＭＳ ゴシック" w:hAnsi="ＭＳ ゴシック"/>
          <w:b/>
          <w:noProof/>
          <w:sz w:val="22"/>
          <w:szCs w:val="22"/>
        </w:rPr>
        <w:drawing>
          <wp:anchor distT="0" distB="0" distL="114300" distR="114300" simplePos="0" relativeHeight="254377984" behindDoc="0" locked="0" layoutInCell="1" allowOverlap="1" wp14:anchorId="7FED2EA9" wp14:editId="4D51A6EB">
            <wp:simplePos x="0" y="0"/>
            <wp:positionH relativeFrom="column">
              <wp:posOffset>3175</wp:posOffset>
            </wp:positionH>
            <wp:positionV relativeFrom="paragraph">
              <wp:posOffset>34290</wp:posOffset>
            </wp:positionV>
            <wp:extent cx="5615940" cy="5091430"/>
            <wp:effectExtent l="0" t="0" r="3810" b="0"/>
            <wp:wrapNone/>
            <wp:docPr id="1471974536" name="図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71974536" name=""/>
                    <pic:cNvPicPr/>
                  </pic:nvPicPr>
                  <pic:blipFill>
                    <a:blip r:embed="rId12">
                      <a:extLst>
                        <a:ext uri="{28A0092B-C50C-407E-A947-70E740481C1C}">
                          <a14:useLocalDpi xmlns:a14="http://schemas.microsoft.com/office/drawing/2010/main" val="0"/>
                        </a:ext>
                      </a:extLst>
                    </a:blip>
                    <a:stretch>
                      <a:fillRect/>
                    </a:stretch>
                  </pic:blipFill>
                  <pic:spPr>
                    <a:xfrm>
                      <a:off x="0" y="0"/>
                      <a:ext cx="5615940" cy="5091430"/>
                    </a:xfrm>
                    <a:prstGeom prst="rect">
                      <a:avLst/>
                    </a:prstGeom>
                  </pic:spPr>
                </pic:pic>
              </a:graphicData>
            </a:graphic>
          </wp:anchor>
        </w:drawing>
      </w:r>
    </w:p>
    <w:p w14:paraId="2676C544" w14:textId="3F41A2F3" w:rsidR="00A7328F" w:rsidRPr="001D6D10" w:rsidRDefault="00A7328F" w:rsidP="00743E95">
      <w:pPr>
        <w:rPr>
          <w:rFonts w:ascii="ＭＳ ゴシック" w:eastAsia="ＭＳ ゴシック" w:hAnsi="ＭＳ ゴシック"/>
          <w:b/>
          <w:sz w:val="22"/>
          <w:szCs w:val="22"/>
        </w:rPr>
      </w:pPr>
    </w:p>
    <w:p w14:paraId="14DFA043" w14:textId="77777777" w:rsidR="00671757" w:rsidRDefault="00671757">
      <w:pPr>
        <w:widowControl/>
        <w:jc w:val="left"/>
        <w:rPr>
          <w:rFonts w:ascii="ＭＳ ゴシック" w:eastAsia="ＭＳ ゴシック" w:hAnsi="ＭＳ ゴシック"/>
          <w:b/>
          <w:sz w:val="22"/>
          <w:szCs w:val="22"/>
        </w:rPr>
      </w:pPr>
      <w:r>
        <w:rPr>
          <w:rFonts w:ascii="ＭＳ ゴシック" w:eastAsia="ＭＳ ゴシック" w:hAnsi="ＭＳ ゴシック"/>
          <w:b/>
          <w:sz w:val="22"/>
          <w:szCs w:val="22"/>
        </w:rPr>
        <w:br w:type="page"/>
      </w:r>
    </w:p>
    <w:p w14:paraId="3EB6DC69" w14:textId="5D598AD4" w:rsidR="00743E95" w:rsidRDefault="00743E95" w:rsidP="00743E95">
      <w:pPr>
        <w:rPr>
          <w:rFonts w:ascii="ＭＳ ゴシック" w:eastAsia="ＭＳ ゴシック" w:hAnsi="ＭＳ ゴシック"/>
          <w:sz w:val="22"/>
          <w:szCs w:val="22"/>
        </w:rPr>
      </w:pPr>
      <w:r w:rsidRPr="001D6D10">
        <w:rPr>
          <w:rFonts w:ascii="ＭＳ ゴシック" w:eastAsia="ＭＳ ゴシック" w:hAnsi="ＭＳ ゴシック" w:hint="eastAsia"/>
          <w:sz w:val="22"/>
          <w:szCs w:val="22"/>
        </w:rPr>
        <w:lastRenderedPageBreak/>
        <w:t>《参考：タイムライン判断基準のイメージ</w:t>
      </w:r>
      <w:r w:rsidRPr="001D6D10">
        <w:rPr>
          <w:rFonts w:ascii="ＭＳ ゴシック" w:eastAsia="ＭＳ ゴシック" w:hAnsi="ＭＳ ゴシック"/>
          <w:sz w:val="22"/>
          <w:szCs w:val="22"/>
        </w:rPr>
        <w:t>》</w:t>
      </w:r>
    </w:p>
    <w:p w14:paraId="08328BF4" w14:textId="23421025" w:rsidR="00B56057" w:rsidRPr="001D6D10" w:rsidRDefault="00F67970" w:rsidP="00743E95">
      <w:pPr>
        <w:rPr>
          <w:rFonts w:ascii="ＭＳ ゴシック" w:eastAsia="ＭＳ ゴシック" w:hAnsi="ＭＳ ゴシック"/>
          <w:sz w:val="22"/>
          <w:szCs w:val="22"/>
        </w:rPr>
      </w:pPr>
      <w:r w:rsidRPr="00F67970">
        <w:rPr>
          <w:rFonts w:ascii="ＭＳ ゴシック" w:eastAsia="ＭＳ ゴシック" w:hAnsi="ＭＳ ゴシック"/>
          <w:noProof/>
          <w:sz w:val="22"/>
          <w:szCs w:val="22"/>
        </w:rPr>
        <w:drawing>
          <wp:inline distT="0" distB="0" distL="0" distR="0" wp14:anchorId="38722446" wp14:editId="4A7AD4E6">
            <wp:extent cx="5615940" cy="4067175"/>
            <wp:effectExtent l="0" t="0" r="3810" b="9525"/>
            <wp:docPr id="2052425948" name="図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52425948" name=""/>
                    <pic:cNvPicPr/>
                  </pic:nvPicPr>
                  <pic:blipFill>
                    <a:blip r:embed="rId13"/>
                    <a:stretch>
                      <a:fillRect/>
                    </a:stretch>
                  </pic:blipFill>
                  <pic:spPr>
                    <a:xfrm>
                      <a:off x="0" y="0"/>
                      <a:ext cx="5615940" cy="4067175"/>
                    </a:xfrm>
                    <a:prstGeom prst="rect">
                      <a:avLst/>
                    </a:prstGeom>
                  </pic:spPr>
                </pic:pic>
              </a:graphicData>
            </a:graphic>
          </wp:inline>
        </w:drawing>
      </w:r>
    </w:p>
    <w:p w14:paraId="162FC105" w14:textId="26866341" w:rsidR="00B56057" w:rsidRDefault="00B56057" w:rsidP="00743E95">
      <w:pPr>
        <w:rPr>
          <w:rFonts w:ascii="ＭＳ ゴシック" w:eastAsia="ＭＳ ゴシック" w:hAnsi="ＭＳ ゴシック"/>
          <w:sz w:val="22"/>
          <w:szCs w:val="22"/>
        </w:rPr>
      </w:pPr>
    </w:p>
    <w:p w14:paraId="0C9A714F" w14:textId="1BF99C1F" w:rsidR="00003D42" w:rsidRDefault="00003D42" w:rsidP="00743E95">
      <w:pPr>
        <w:rPr>
          <w:rFonts w:ascii="ＭＳ ゴシック" w:eastAsia="ＭＳ ゴシック" w:hAnsi="ＭＳ ゴシック"/>
          <w:sz w:val="22"/>
          <w:szCs w:val="22"/>
        </w:rPr>
      </w:pPr>
    </w:p>
    <w:p w14:paraId="51E7227C" w14:textId="77777777" w:rsidR="00003D42" w:rsidRPr="001D6D10" w:rsidRDefault="00003D42" w:rsidP="00743E95">
      <w:pPr>
        <w:rPr>
          <w:rFonts w:ascii="ＭＳ ゴシック" w:eastAsia="ＭＳ ゴシック" w:hAnsi="ＭＳ ゴシック"/>
          <w:sz w:val="22"/>
          <w:szCs w:val="22"/>
        </w:rPr>
      </w:pPr>
    </w:p>
    <w:p w14:paraId="410CAB31" w14:textId="6FB88B63" w:rsidR="00743E95" w:rsidRPr="001D6D10" w:rsidRDefault="00995FD6" w:rsidP="00743E95">
      <w:pPr>
        <w:rPr>
          <w:rFonts w:ascii="ＭＳ ゴシック" w:eastAsia="ＭＳ ゴシック" w:hAnsi="ＭＳ ゴシック"/>
          <w:sz w:val="22"/>
          <w:szCs w:val="22"/>
        </w:rPr>
      </w:pPr>
      <w:r w:rsidRPr="001D6D10">
        <w:rPr>
          <w:rFonts w:ascii="ＭＳ ゴシック" w:eastAsia="ＭＳ ゴシック" w:hAnsi="ＭＳ ゴシック"/>
          <w:noProof/>
          <w:sz w:val="22"/>
          <w:szCs w:val="22"/>
          <w:u w:val="double"/>
        </w:rPr>
        <w:drawing>
          <wp:anchor distT="0" distB="0" distL="114300" distR="114300" simplePos="0" relativeHeight="252887040" behindDoc="0" locked="0" layoutInCell="1" allowOverlap="1" wp14:anchorId="3425CD3D" wp14:editId="1D76C6AB">
            <wp:simplePos x="0" y="0"/>
            <wp:positionH relativeFrom="column">
              <wp:posOffset>133985</wp:posOffset>
            </wp:positionH>
            <wp:positionV relativeFrom="paragraph">
              <wp:posOffset>297180</wp:posOffset>
            </wp:positionV>
            <wp:extent cx="3944620" cy="2569845"/>
            <wp:effectExtent l="0" t="0" r="0" b="1905"/>
            <wp:wrapTopAndBottom/>
            <wp:docPr id="3" name="図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3944620" cy="256984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743E95" w:rsidRPr="001D6D10">
        <w:rPr>
          <w:rFonts w:ascii="ＭＳ ゴシック" w:eastAsia="ＭＳ ゴシック" w:hAnsi="ＭＳ ゴシック" w:hint="eastAsia"/>
          <w:sz w:val="22"/>
          <w:szCs w:val="22"/>
        </w:rPr>
        <w:t>《大阪府庁を中心とした</w:t>
      </w:r>
      <w:r w:rsidR="000A246B" w:rsidRPr="001D6D10">
        <w:rPr>
          <w:rFonts w:ascii="ＭＳ ゴシック" w:eastAsia="ＭＳ ゴシック" w:hAnsi="ＭＳ ゴシック" w:hint="eastAsia"/>
          <w:sz w:val="22"/>
          <w:szCs w:val="22"/>
        </w:rPr>
        <w:t>圏域</w:t>
      </w:r>
      <w:r w:rsidR="00743E95" w:rsidRPr="001D6D10">
        <w:rPr>
          <w:rFonts w:ascii="ＭＳ ゴシック" w:eastAsia="ＭＳ ゴシック" w:hAnsi="ＭＳ ゴシック" w:hint="eastAsia"/>
          <w:sz w:val="22"/>
          <w:szCs w:val="22"/>
        </w:rPr>
        <w:t>のイメージ》</w:t>
      </w:r>
    </w:p>
    <w:p w14:paraId="1E10507E" w14:textId="040E1A54" w:rsidR="00671757" w:rsidRPr="00E0548A" w:rsidRDefault="00671757">
      <w:pPr>
        <w:widowControl/>
        <w:jc w:val="left"/>
        <w:rPr>
          <w:rFonts w:ascii="ＭＳ ゴシック" w:eastAsia="ＭＳ ゴシック" w:hAnsi="ＭＳ ゴシック"/>
          <w:sz w:val="22"/>
          <w:szCs w:val="22"/>
        </w:rPr>
      </w:pPr>
      <w:r w:rsidRPr="00E0548A">
        <w:rPr>
          <w:rFonts w:ascii="ＭＳ ゴシック" w:eastAsia="ＭＳ ゴシック" w:hAnsi="ＭＳ ゴシック"/>
          <w:sz w:val="22"/>
          <w:szCs w:val="22"/>
        </w:rPr>
        <w:br w:type="page"/>
      </w:r>
    </w:p>
    <w:p w14:paraId="72ECB581" w14:textId="77777777" w:rsidR="00D932D2" w:rsidRPr="001D6D10" w:rsidRDefault="00677E4E" w:rsidP="00EB20A0">
      <w:pPr>
        <w:rPr>
          <w:rFonts w:ascii="ＭＳ ゴシック" w:eastAsia="ＭＳ ゴシック" w:hAnsi="ＭＳ ゴシック"/>
          <w:sz w:val="22"/>
          <w:szCs w:val="22"/>
        </w:rPr>
      </w:pPr>
      <w:r w:rsidRPr="001D6D10">
        <w:rPr>
          <w:rFonts w:ascii="ＭＳ ゴシック" w:eastAsia="ＭＳ ゴシック" w:hAnsi="ＭＳ ゴシック" w:hint="eastAsia"/>
          <w:sz w:val="22"/>
          <w:szCs w:val="22"/>
        </w:rPr>
        <w:lastRenderedPageBreak/>
        <w:t>①</w:t>
      </w:r>
      <w:r w:rsidR="00287282" w:rsidRPr="001D6D10">
        <w:rPr>
          <w:rFonts w:ascii="ＭＳ ゴシック" w:eastAsia="ＭＳ ゴシック" w:hAnsi="ＭＳ ゴシック" w:hint="eastAsia"/>
          <w:sz w:val="22"/>
          <w:szCs w:val="22"/>
        </w:rPr>
        <w:t>危機管理室</w:t>
      </w:r>
      <w:r w:rsidR="001A6F55" w:rsidRPr="001D6D10">
        <w:rPr>
          <w:rFonts w:ascii="ＭＳ ゴシック" w:eastAsia="ＭＳ ゴシック" w:hAnsi="ＭＳ ゴシック" w:hint="eastAsia"/>
          <w:sz w:val="22"/>
          <w:szCs w:val="22"/>
        </w:rPr>
        <w:t>（災害対策</w:t>
      </w:r>
      <w:r w:rsidR="00287282" w:rsidRPr="001D6D10">
        <w:rPr>
          <w:rFonts w:ascii="ＭＳ ゴシック" w:eastAsia="ＭＳ ゴシック" w:hAnsi="ＭＳ ゴシック" w:hint="eastAsia"/>
          <w:sz w:val="22"/>
          <w:szCs w:val="22"/>
        </w:rPr>
        <w:t>本部事務局）</w:t>
      </w:r>
    </w:p>
    <w:tbl>
      <w:tblPr>
        <w:tblpPr w:leftFromText="142" w:rightFromText="142" w:vertAnchor="text" w:tblpXSpec="center" w:tblpY="1"/>
        <w:tblOverlap w:val="neve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57"/>
        <w:gridCol w:w="7037"/>
      </w:tblGrid>
      <w:tr w:rsidR="001D6D10" w:rsidRPr="001D6D10" w14:paraId="755951CB" w14:textId="77777777" w:rsidTr="00D932D2">
        <w:trPr>
          <w:jc w:val="center"/>
        </w:trPr>
        <w:tc>
          <w:tcPr>
            <w:tcW w:w="1457" w:type="dxa"/>
            <w:tcBorders>
              <w:bottom w:val="single" w:sz="4" w:space="0" w:color="auto"/>
            </w:tcBorders>
            <w:shd w:val="clear" w:color="auto" w:fill="BFBFBF"/>
          </w:tcPr>
          <w:p w14:paraId="7DFC1DDB" w14:textId="77777777" w:rsidR="00D932D2" w:rsidRPr="001D6D10" w:rsidRDefault="00D932D2" w:rsidP="00D932D2">
            <w:pPr>
              <w:jc w:val="center"/>
              <w:rPr>
                <w:rFonts w:ascii="HG丸ｺﾞｼｯｸM-PRO" w:eastAsia="HG丸ｺﾞｼｯｸM-PRO" w:hAnsi="HG丸ｺﾞｼｯｸM-PRO"/>
                <w:szCs w:val="21"/>
              </w:rPr>
            </w:pPr>
            <w:r w:rsidRPr="001D6D10">
              <w:rPr>
                <w:rFonts w:ascii="HG丸ｺﾞｼｯｸM-PRO" w:eastAsia="HG丸ｺﾞｼｯｸM-PRO" w:hAnsi="HG丸ｺﾞｼｯｸM-PRO" w:hint="eastAsia"/>
                <w:szCs w:val="21"/>
              </w:rPr>
              <w:t>時　期</w:t>
            </w:r>
          </w:p>
        </w:tc>
        <w:tc>
          <w:tcPr>
            <w:tcW w:w="7037" w:type="dxa"/>
            <w:tcBorders>
              <w:bottom w:val="single" w:sz="4" w:space="0" w:color="auto"/>
            </w:tcBorders>
            <w:shd w:val="clear" w:color="auto" w:fill="BFBFBF"/>
          </w:tcPr>
          <w:p w14:paraId="4C124E79" w14:textId="77777777" w:rsidR="00D932D2" w:rsidRPr="001D6D10" w:rsidRDefault="00E31DA1" w:rsidP="00D932D2">
            <w:pPr>
              <w:jc w:val="center"/>
              <w:rPr>
                <w:rFonts w:ascii="HG丸ｺﾞｼｯｸM-PRO" w:eastAsia="HG丸ｺﾞｼｯｸM-PRO" w:hAnsi="HG丸ｺﾞｼｯｸM-PRO"/>
                <w:szCs w:val="21"/>
              </w:rPr>
            </w:pPr>
            <w:r w:rsidRPr="001D6D10">
              <w:rPr>
                <w:rFonts w:ascii="HG丸ｺﾞｼｯｸM-PRO" w:eastAsia="HG丸ｺﾞｼｯｸM-PRO" w:hAnsi="HG丸ｺﾞｼｯｸM-PRO" w:hint="eastAsia"/>
                <w:szCs w:val="21"/>
              </w:rPr>
              <w:t>主な事前準備</w:t>
            </w:r>
            <w:r w:rsidR="00D932D2" w:rsidRPr="001D6D10">
              <w:rPr>
                <w:rFonts w:ascii="HG丸ｺﾞｼｯｸM-PRO" w:eastAsia="HG丸ｺﾞｼｯｸM-PRO" w:hAnsi="HG丸ｺﾞｼｯｸM-PRO" w:hint="eastAsia"/>
                <w:szCs w:val="21"/>
              </w:rPr>
              <w:t>業務</w:t>
            </w:r>
          </w:p>
        </w:tc>
      </w:tr>
      <w:tr w:rsidR="001D6D10" w:rsidRPr="001D6D10" w14:paraId="11E1AFD8" w14:textId="77777777" w:rsidTr="00D932D2">
        <w:trPr>
          <w:jc w:val="center"/>
        </w:trPr>
        <w:tc>
          <w:tcPr>
            <w:tcW w:w="1457" w:type="dxa"/>
            <w:vMerge w:val="restart"/>
            <w:shd w:val="clear" w:color="auto" w:fill="FFFFFF" w:themeFill="background1"/>
          </w:tcPr>
          <w:p w14:paraId="7EA3D0C7" w14:textId="77777777" w:rsidR="002B3D2C" w:rsidRPr="001D6D10" w:rsidRDefault="002B3D2C" w:rsidP="00D932D2">
            <w:pPr>
              <w:jc w:val="center"/>
              <w:rPr>
                <w:rFonts w:ascii="HG丸ｺﾞｼｯｸM-PRO" w:eastAsia="HG丸ｺﾞｼｯｸM-PRO" w:hAnsi="HG丸ｺﾞｼｯｸM-PRO"/>
                <w:szCs w:val="21"/>
              </w:rPr>
            </w:pPr>
          </w:p>
          <w:p w14:paraId="6D8D6231" w14:textId="77777777" w:rsidR="002B3D2C" w:rsidRPr="001D6D10" w:rsidRDefault="002B3D2C" w:rsidP="00D932D2">
            <w:pPr>
              <w:jc w:val="center"/>
              <w:rPr>
                <w:rFonts w:ascii="HG丸ｺﾞｼｯｸM-PRO" w:eastAsia="HG丸ｺﾞｼｯｸM-PRO" w:hAnsi="HG丸ｺﾞｼｯｸM-PRO"/>
                <w:szCs w:val="21"/>
              </w:rPr>
            </w:pPr>
          </w:p>
          <w:p w14:paraId="63FCF466" w14:textId="77777777" w:rsidR="002B3D2C" w:rsidRPr="001D6D10" w:rsidRDefault="002B3D2C" w:rsidP="00D932D2">
            <w:pPr>
              <w:jc w:val="center"/>
              <w:rPr>
                <w:rFonts w:ascii="HG丸ｺﾞｼｯｸM-PRO" w:eastAsia="HG丸ｺﾞｼｯｸM-PRO" w:hAnsi="HG丸ｺﾞｼｯｸM-PRO"/>
                <w:szCs w:val="21"/>
              </w:rPr>
            </w:pPr>
          </w:p>
          <w:p w14:paraId="7A38DDF8" w14:textId="77777777" w:rsidR="002B3D2C" w:rsidRPr="001D6D10" w:rsidRDefault="002B3D2C" w:rsidP="00D932D2">
            <w:pPr>
              <w:jc w:val="center"/>
              <w:rPr>
                <w:rFonts w:ascii="HG丸ｺﾞｼｯｸM-PRO" w:eastAsia="HG丸ｺﾞｼｯｸM-PRO" w:hAnsi="HG丸ｺﾞｼｯｸM-PRO"/>
                <w:szCs w:val="21"/>
              </w:rPr>
            </w:pPr>
          </w:p>
          <w:p w14:paraId="72A86907" w14:textId="77777777" w:rsidR="002B3D2C" w:rsidRPr="001D6D10" w:rsidRDefault="002B3D2C" w:rsidP="00D932D2">
            <w:pPr>
              <w:jc w:val="center"/>
              <w:rPr>
                <w:rFonts w:ascii="HG丸ｺﾞｼｯｸM-PRO" w:eastAsia="HG丸ｺﾞｼｯｸM-PRO" w:hAnsi="HG丸ｺﾞｼｯｸM-PRO"/>
                <w:szCs w:val="21"/>
              </w:rPr>
            </w:pPr>
          </w:p>
          <w:p w14:paraId="41D22E26" w14:textId="77777777" w:rsidR="002B3D2C" w:rsidRPr="001D6D10" w:rsidRDefault="002B3D2C" w:rsidP="00D932D2">
            <w:pPr>
              <w:jc w:val="center"/>
              <w:rPr>
                <w:rFonts w:ascii="HG丸ｺﾞｼｯｸM-PRO" w:eastAsia="HG丸ｺﾞｼｯｸM-PRO" w:hAnsi="HG丸ｺﾞｼｯｸM-PRO"/>
                <w:szCs w:val="21"/>
              </w:rPr>
            </w:pPr>
          </w:p>
          <w:p w14:paraId="37414458" w14:textId="77777777" w:rsidR="002B3D2C" w:rsidRPr="001D6D10" w:rsidRDefault="002B3D2C" w:rsidP="00D932D2">
            <w:pPr>
              <w:jc w:val="center"/>
              <w:rPr>
                <w:rFonts w:ascii="HG丸ｺﾞｼｯｸM-PRO" w:eastAsia="HG丸ｺﾞｼｯｸM-PRO" w:hAnsi="HG丸ｺﾞｼｯｸM-PRO"/>
                <w:szCs w:val="21"/>
              </w:rPr>
            </w:pPr>
          </w:p>
          <w:p w14:paraId="5DE7A3F5" w14:textId="77777777" w:rsidR="002B3D2C" w:rsidRPr="001D6D10" w:rsidRDefault="002B3D2C" w:rsidP="00D932D2">
            <w:pPr>
              <w:jc w:val="center"/>
              <w:rPr>
                <w:rFonts w:ascii="HG丸ｺﾞｼｯｸM-PRO" w:eastAsia="HG丸ｺﾞｼｯｸM-PRO" w:hAnsi="HG丸ｺﾞｼｯｸM-PRO"/>
                <w:szCs w:val="21"/>
              </w:rPr>
            </w:pPr>
          </w:p>
          <w:p w14:paraId="1A89CC7E" w14:textId="77777777" w:rsidR="002B3D2C" w:rsidRPr="001D6D10" w:rsidRDefault="002B3D2C" w:rsidP="00D932D2">
            <w:pPr>
              <w:jc w:val="center"/>
              <w:rPr>
                <w:rFonts w:ascii="HG丸ｺﾞｼｯｸM-PRO" w:eastAsia="HG丸ｺﾞｼｯｸM-PRO" w:hAnsi="HG丸ｺﾞｼｯｸM-PRO"/>
                <w:szCs w:val="21"/>
              </w:rPr>
            </w:pPr>
          </w:p>
          <w:p w14:paraId="3376B320" w14:textId="77777777" w:rsidR="002B3D2C" w:rsidRPr="001D6D10" w:rsidRDefault="002B3D2C" w:rsidP="00D932D2">
            <w:pPr>
              <w:jc w:val="center"/>
              <w:rPr>
                <w:rFonts w:ascii="HG丸ｺﾞｼｯｸM-PRO" w:eastAsia="HG丸ｺﾞｼｯｸM-PRO" w:hAnsi="HG丸ｺﾞｼｯｸM-PRO"/>
                <w:szCs w:val="21"/>
              </w:rPr>
            </w:pPr>
          </w:p>
          <w:p w14:paraId="6BC292B0" w14:textId="77777777" w:rsidR="002B3D2C" w:rsidRPr="001D6D10" w:rsidRDefault="002B3D2C" w:rsidP="00D932D2">
            <w:pPr>
              <w:jc w:val="center"/>
              <w:rPr>
                <w:rFonts w:ascii="HG丸ｺﾞｼｯｸM-PRO" w:eastAsia="HG丸ｺﾞｼｯｸM-PRO" w:hAnsi="HG丸ｺﾞｼｯｸM-PRO"/>
                <w:szCs w:val="21"/>
              </w:rPr>
            </w:pPr>
          </w:p>
          <w:p w14:paraId="22824F64" w14:textId="154DF769" w:rsidR="00D932D2" w:rsidRPr="001D6D10" w:rsidRDefault="00D932D2" w:rsidP="00D932D2">
            <w:pPr>
              <w:jc w:val="center"/>
              <w:rPr>
                <w:rFonts w:ascii="HG丸ｺﾞｼｯｸM-PRO" w:eastAsia="HG丸ｺﾞｼｯｸM-PRO" w:hAnsi="HG丸ｺﾞｼｯｸM-PRO"/>
                <w:szCs w:val="21"/>
              </w:rPr>
            </w:pPr>
            <w:r w:rsidRPr="001D6D10">
              <w:rPr>
                <w:rFonts w:ascii="HG丸ｺﾞｼｯｸM-PRO" w:eastAsia="HG丸ｺﾞｼｯｸM-PRO" w:hAnsi="HG丸ｺﾞｼｯｸM-PRO" w:hint="eastAsia"/>
                <w:szCs w:val="21"/>
              </w:rPr>
              <w:t>～48ｈ</w:t>
            </w:r>
            <w:r w:rsidR="0053084D" w:rsidRPr="001D6D10">
              <w:rPr>
                <w:rFonts w:ascii="HG丸ｺﾞｼｯｸM-PRO" w:eastAsia="HG丸ｺﾞｼｯｸM-PRO" w:hAnsi="HG丸ｺﾞｼｯｸM-PRO" w:hint="eastAsia"/>
                <w:szCs w:val="21"/>
              </w:rPr>
              <w:t>前</w:t>
            </w:r>
          </w:p>
          <w:p w14:paraId="7C2C8711" w14:textId="77777777" w:rsidR="00D932D2" w:rsidRPr="001D6D10" w:rsidRDefault="00D932D2" w:rsidP="00D932D2">
            <w:pPr>
              <w:jc w:val="center"/>
              <w:rPr>
                <w:rFonts w:ascii="HG丸ｺﾞｼｯｸM-PRO" w:eastAsia="HG丸ｺﾞｼｯｸM-PRO" w:hAnsi="HG丸ｺﾞｼｯｸM-PRO"/>
                <w:sz w:val="20"/>
                <w:szCs w:val="20"/>
              </w:rPr>
            </w:pPr>
            <w:r w:rsidRPr="001D6D10">
              <w:rPr>
                <w:rFonts w:ascii="HG丸ｺﾞｼｯｸM-PRO" w:eastAsia="HG丸ｺﾞｼｯｸM-PRO" w:hAnsi="HG丸ｺﾞｼｯｸM-PRO" w:hint="eastAsia"/>
                <w:sz w:val="20"/>
                <w:szCs w:val="20"/>
              </w:rPr>
              <w:t>（３日以前）</w:t>
            </w:r>
          </w:p>
        </w:tc>
        <w:tc>
          <w:tcPr>
            <w:tcW w:w="7037" w:type="dxa"/>
            <w:tcBorders>
              <w:bottom w:val="single" w:sz="4" w:space="0" w:color="auto"/>
            </w:tcBorders>
            <w:shd w:val="clear" w:color="auto" w:fill="FFFFFF" w:themeFill="background1"/>
          </w:tcPr>
          <w:p w14:paraId="53468BEA" w14:textId="5F19E150" w:rsidR="00C55354" w:rsidRPr="001D6D10" w:rsidRDefault="00C55354" w:rsidP="004A0201">
            <w:pPr>
              <w:ind w:left="211" w:hangingChars="100" w:hanging="211"/>
              <w:rPr>
                <w:rFonts w:ascii="HG丸ｺﾞｼｯｸM-PRO" w:eastAsia="HG丸ｺﾞｼｯｸM-PRO" w:hAnsi="HG丸ｺﾞｼｯｸM-PRO"/>
                <w:szCs w:val="21"/>
              </w:rPr>
            </w:pPr>
            <w:r w:rsidRPr="001D6D10">
              <w:rPr>
                <w:rFonts w:ascii="HG丸ｺﾞｼｯｸM-PRO" w:eastAsia="HG丸ｺﾞｼｯｸM-PRO" w:hAnsi="HG丸ｺﾞｼｯｸM-PRO" w:hint="eastAsia"/>
                <w:szCs w:val="21"/>
              </w:rPr>
              <w:t>□台風関係情報を大阪府各部局、市町村危機管理部局、関係機関へ発信及び感染症情報等</w:t>
            </w:r>
            <w:r w:rsidR="00B21107" w:rsidRPr="001D6D10">
              <w:rPr>
                <w:rFonts w:ascii="HG丸ｺﾞｼｯｸM-PRO" w:eastAsia="HG丸ｺﾞｼｯｸM-PRO" w:hAnsi="HG丸ｺﾞｼｯｸM-PRO" w:hint="eastAsia"/>
                <w:szCs w:val="21"/>
              </w:rPr>
              <w:t>の収集</w:t>
            </w:r>
          </w:p>
          <w:p w14:paraId="547269D9" w14:textId="77777777" w:rsidR="00C55354" w:rsidRPr="001D6D10" w:rsidRDefault="00C55354" w:rsidP="00C55354">
            <w:pPr>
              <w:rPr>
                <w:rFonts w:ascii="HG丸ｺﾞｼｯｸM-PRO" w:eastAsia="HG丸ｺﾞｼｯｸM-PRO" w:hAnsi="HG丸ｺﾞｼｯｸM-PRO"/>
                <w:szCs w:val="21"/>
              </w:rPr>
            </w:pPr>
            <w:r w:rsidRPr="001D6D10">
              <w:rPr>
                <w:rFonts w:ascii="HG丸ｺﾞｼｯｸM-PRO" w:eastAsia="HG丸ｺﾞｼｯｸM-PRO" w:hAnsi="HG丸ｺﾞｼｯｸM-PRO" w:hint="eastAsia"/>
                <w:szCs w:val="21"/>
              </w:rPr>
              <w:t>□連絡体制の確認（危機管理室内、各部連絡責任者など）</w:t>
            </w:r>
          </w:p>
          <w:p w14:paraId="44537B81" w14:textId="77777777" w:rsidR="00C55354" w:rsidRPr="001D6D10" w:rsidRDefault="00C55354" w:rsidP="00C55354">
            <w:pPr>
              <w:rPr>
                <w:rFonts w:ascii="HG丸ｺﾞｼｯｸM-PRO" w:eastAsia="HG丸ｺﾞｼｯｸM-PRO" w:hAnsi="HG丸ｺﾞｼｯｸM-PRO"/>
                <w:szCs w:val="21"/>
              </w:rPr>
            </w:pPr>
            <w:r w:rsidRPr="001D6D10">
              <w:rPr>
                <w:rFonts w:ascii="HG丸ｺﾞｼｯｸM-PRO" w:eastAsia="HG丸ｺﾞｼｯｸM-PRO" w:hAnsi="HG丸ｺﾞｼｯｸM-PRO" w:hint="eastAsia"/>
                <w:szCs w:val="21"/>
              </w:rPr>
              <w:t>□危機管理センター等自家発電機の確認（残燃料および運用）</w:t>
            </w:r>
          </w:p>
          <w:p w14:paraId="51B5DD41" w14:textId="77777777" w:rsidR="00C55354" w:rsidRPr="001D6D10" w:rsidRDefault="00C55354" w:rsidP="00C55354">
            <w:pPr>
              <w:rPr>
                <w:rFonts w:ascii="HG丸ｺﾞｼｯｸM-PRO" w:eastAsia="HG丸ｺﾞｼｯｸM-PRO" w:hAnsi="HG丸ｺﾞｼｯｸM-PRO"/>
                <w:szCs w:val="21"/>
              </w:rPr>
            </w:pPr>
            <w:r w:rsidRPr="001D6D10">
              <w:rPr>
                <w:rFonts w:ascii="HG丸ｺﾞｼｯｸM-PRO" w:eastAsia="HG丸ｺﾞｼｯｸM-PRO" w:hAnsi="HG丸ｺﾞｼｯｸM-PRO" w:hint="eastAsia"/>
                <w:szCs w:val="21"/>
              </w:rPr>
              <w:t>□備蓄システム等による物資の現状確認</w:t>
            </w:r>
          </w:p>
          <w:p w14:paraId="48F5D4D7" w14:textId="77777777" w:rsidR="00C55354" w:rsidRPr="001D6D10" w:rsidRDefault="00C55354" w:rsidP="00C55354">
            <w:pPr>
              <w:rPr>
                <w:rFonts w:ascii="HG丸ｺﾞｼｯｸM-PRO" w:eastAsia="HG丸ｺﾞｼｯｸM-PRO" w:hAnsi="HG丸ｺﾞｼｯｸM-PRO"/>
                <w:szCs w:val="21"/>
              </w:rPr>
            </w:pPr>
            <w:r w:rsidRPr="001D6D10">
              <w:rPr>
                <w:rFonts w:ascii="HG丸ｺﾞｼｯｸM-PRO" w:eastAsia="HG丸ｺﾞｼｯｸM-PRO" w:hAnsi="HG丸ｺﾞｼｯｸM-PRO" w:hint="eastAsia"/>
                <w:szCs w:val="21"/>
              </w:rPr>
              <w:t>□各種防災協定の確認・依頼準備</w:t>
            </w:r>
          </w:p>
          <w:p w14:paraId="19F307DC" w14:textId="77777777" w:rsidR="00C55354" w:rsidRPr="001D6D10" w:rsidRDefault="00C55354" w:rsidP="00C55354">
            <w:pPr>
              <w:rPr>
                <w:rFonts w:ascii="HG丸ｺﾞｼｯｸM-PRO" w:eastAsia="HG丸ｺﾞｼｯｸM-PRO" w:hAnsi="HG丸ｺﾞｼｯｸM-PRO"/>
                <w:szCs w:val="21"/>
              </w:rPr>
            </w:pPr>
            <w:r w:rsidRPr="001D6D10">
              <w:rPr>
                <w:rFonts w:ascii="HG丸ｺﾞｼｯｸM-PRO" w:eastAsia="HG丸ｺﾞｼｯｸM-PRO" w:hAnsi="HG丸ｺﾞｼｯｸM-PRO" w:hint="eastAsia"/>
                <w:szCs w:val="21"/>
              </w:rPr>
              <w:t>□市町村危機管理部局への注意喚起</w:t>
            </w:r>
          </w:p>
          <w:p w14:paraId="08433F50" w14:textId="77777777" w:rsidR="004A0201" w:rsidRDefault="00C55354" w:rsidP="00C55354">
            <w:pPr>
              <w:rPr>
                <w:rFonts w:ascii="HG丸ｺﾞｼｯｸM-PRO" w:eastAsia="HG丸ｺﾞｼｯｸM-PRO" w:hAnsi="HG丸ｺﾞｼｯｸM-PRO"/>
                <w:szCs w:val="21"/>
              </w:rPr>
            </w:pPr>
            <w:r w:rsidRPr="001D6D10">
              <w:rPr>
                <w:rFonts w:ascii="HG丸ｺﾞｼｯｸM-PRO" w:eastAsia="HG丸ｺﾞｼｯｸM-PRO" w:hAnsi="HG丸ｺﾞｼｯｸM-PRO" w:hint="eastAsia"/>
                <w:szCs w:val="21"/>
              </w:rPr>
              <w:t>□おおさか防災ネット（緊急情報）並びに同</w:t>
            </w:r>
            <w:r w:rsidR="004A0201" w:rsidRPr="00747FDC">
              <w:rPr>
                <w:rFonts w:ascii="HG丸ｺﾞｼｯｸM-PRO" w:eastAsia="HG丸ｺﾞｼｯｸM-PRO" w:hAnsi="HG丸ｺﾞｼｯｸM-PRO" w:hint="eastAsia"/>
                <w:szCs w:val="21"/>
              </w:rPr>
              <w:t>X</w:t>
            </w:r>
            <w:r w:rsidRPr="001D6D10">
              <w:rPr>
                <w:rFonts w:ascii="HG丸ｺﾞｼｯｸM-PRO" w:eastAsia="HG丸ｺﾞｼｯｸM-PRO" w:hAnsi="HG丸ｺﾞｼｯｸM-PRO" w:hint="eastAsia"/>
                <w:szCs w:val="21"/>
              </w:rPr>
              <w:t>による府民に対する</w:t>
            </w:r>
          </w:p>
          <w:p w14:paraId="1B814EE7" w14:textId="08CF0018" w:rsidR="00C55354" w:rsidRPr="001D6D10" w:rsidRDefault="00C55354" w:rsidP="004A0201">
            <w:pPr>
              <w:ind w:firstLineChars="100" w:firstLine="211"/>
              <w:rPr>
                <w:rFonts w:ascii="HG丸ｺﾞｼｯｸM-PRO" w:eastAsia="HG丸ｺﾞｼｯｸM-PRO" w:hAnsi="HG丸ｺﾞｼｯｸM-PRO"/>
                <w:szCs w:val="21"/>
              </w:rPr>
            </w:pPr>
            <w:r w:rsidRPr="001D6D10">
              <w:rPr>
                <w:rFonts w:ascii="HG丸ｺﾞｼｯｸM-PRO" w:eastAsia="HG丸ｺﾞｼｯｸM-PRO" w:hAnsi="HG丸ｺﾞｼｯｸM-PRO" w:hint="eastAsia"/>
                <w:szCs w:val="21"/>
              </w:rPr>
              <w:t>注意喚起</w:t>
            </w:r>
          </w:p>
          <w:p w14:paraId="4ABCAE70" w14:textId="77777777" w:rsidR="00C55354" w:rsidRPr="001D6D10" w:rsidRDefault="00C55354" w:rsidP="00C55354">
            <w:pPr>
              <w:rPr>
                <w:rFonts w:ascii="HG丸ｺﾞｼｯｸM-PRO" w:eastAsia="HG丸ｺﾞｼｯｸM-PRO" w:hAnsi="HG丸ｺﾞｼｯｸM-PRO"/>
                <w:szCs w:val="21"/>
              </w:rPr>
            </w:pPr>
            <w:r w:rsidRPr="001D6D10">
              <w:rPr>
                <w:rFonts w:ascii="HG丸ｺﾞｼｯｸM-PRO" w:eastAsia="HG丸ｺﾞｼｯｸM-PRO" w:hAnsi="HG丸ｺﾞｼｯｸM-PRO" w:hint="eastAsia"/>
                <w:szCs w:val="21"/>
              </w:rPr>
              <w:t>□指令部会議の事前準備として各部局へ確認・会議での報告要請</w:t>
            </w:r>
          </w:p>
          <w:p w14:paraId="437CD335" w14:textId="77777777" w:rsidR="00C55354" w:rsidRPr="001D6D10" w:rsidRDefault="00C55354" w:rsidP="00C55354">
            <w:pPr>
              <w:rPr>
                <w:rFonts w:ascii="HG丸ｺﾞｼｯｸM-PRO" w:eastAsia="HG丸ｺﾞｼｯｸM-PRO" w:hAnsi="HG丸ｺﾞｼｯｸM-PRO"/>
                <w:szCs w:val="21"/>
              </w:rPr>
            </w:pPr>
            <w:r w:rsidRPr="001D6D10">
              <w:rPr>
                <w:rFonts w:ascii="HG丸ｺﾞｼｯｸM-PRO" w:eastAsia="HG丸ｺﾞｼｯｸM-PRO" w:hAnsi="HG丸ｺﾞｼｯｸM-PRO" w:hint="eastAsia"/>
                <w:szCs w:val="21"/>
              </w:rPr>
              <w:t xml:space="preserve">　・連絡体制の確認、危険個所の確認、府主催イベントの有無の確認</w:t>
            </w:r>
          </w:p>
          <w:p w14:paraId="26BF6DE6" w14:textId="77777777" w:rsidR="00C55354" w:rsidRPr="001D6D10" w:rsidRDefault="00C55354" w:rsidP="00C55354">
            <w:pPr>
              <w:rPr>
                <w:rFonts w:ascii="HG丸ｺﾞｼｯｸM-PRO" w:eastAsia="HG丸ｺﾞｼｯｸM-PRO" w:hAnsi="HG丸ｺﾞｼｯｸM-PRO"/>
                <w:szCs w:val="21"/>
              </w:rPr>
            </w:pPr>
            <w:r w:rsidRPr="001D6D10">
              <w:rPr>
                <w:rFonts w:ascii="HG丸ｺﾞｼｯｸM-PRO" w:eastAsia="HG丸ｺﾞｼｯｸM-PRO" w:hAnsi="HG丸ｺﾞｼｯｸM-PRO" w:hint="eastAsia"/>
                <w:szCs w:val="21"/>
              </w:rPr>
              <w:t xml:space="preserve">　・工事現場等の安全管理、資材等の点検・確認</w:t>
            </w:r>
          </w:p>
          <w:p w14:paraId="18E7DBA3" w14:textId="77777777" w:rsidR="00D932D2" w:rsidRPr="001D6D10" w:rsidRDefault="00C55354" w:rsidP="00C55354">
            <w:pPr>
              <w:rPr>
                <w:rFonts w:ascii="HG丸ｺﾞｼｯｸM-PRO" w:eastAsia="HG丸ｺﾞｼｯｸM-PRO" w:hAnsi="HG丸ｺﾞｼｯｸM-PRO"/>
                <w:szCs w:val="21"/>
              </w:rPr>
            </w:pPr>
            <w:r w:rsidRPr="001D6D10">
              <w:rPr>
                <w:rFonts w:ascii="HG丸ｺﾞｼｯｸM-PRO" w:eastAsia="HG丸ｺﾞｼｯｸM-PRO" w:hAnsi="HG丸ｺﾞｼｯｸM-PRO" w:hint="eastAsia"/>
                <w:szCs w:val="21"/>
              </w:rPr>
              <w:t xml:space="preserve">　・所管団体等への注意喚起</w:t>
            </w:r>
          </w:p>
        </w:tc>
      </w:tr>
      <w:tr w:rsidR="001D6D10" w:rsidRPr="001D6D10" w14:paraId="22539277" w14:textId="77777777" w:rsidTr="00D932D2">
        <w:trPr>
          <w:jc w:val="center"/>
        </w:trPr>
        <w:tc>
          <w:tcPr>
            <w:tcW w:w="1457" w:type="dxa"/>
            <w:vMerge/>
          </w:tcPr>
          <w:p w14:paraId="1A23AAB7" w14:textId="77777777" w:rsidR="00D932D2" w:rsidRPr="001D6D10" w:rsidRDefault="00D932D2" w:rsidP="00D932D2">
            <w:pPr>
              <w:rPr>
                <w:rFonts w:ascii="HG丸ｺﾞｼｯｸM-PRO" w:eastAsia="HG丸ｺﾞｼｯｸM-PRO" w:hAnsi="HG丸ｺﾞｼｯｸM-PRO"/>
                <w:szCs w:val="21"/>
              </w:rPr>
            </w:pPr>
          </w:p>
        </w:tc>
        <w:tc>
          <w:tcPr>
            <w:tcW w:w="7037" w:type="dxa"/>
          </w:tcPr>
          <w:p w14:paraId="6558FFA0" w14:textId="77777777" w:rsidR="00D932D2" w:rsidRPr="001D6D10" w:rsidRDefault="00D932D2" w:rsidP="00D932D2">
            <w:pPr>
              <w:rPr>
                <w:rFonts w:ascii="HG丸ｺﾞｼｯｸM-PRO" w:eastAsia="HG丸ｺﾞｼｯｸM-PRO" w:hAnsi="HG丸ｺﾞｼｯｸM-PRO"/>
                <w:szCs w:val="21"/>
              </w:rPr>
            </w:pPr>
            <w:r w:rsidRPr="001D6D10">
              <w:rPr>
                <w:rFonts w:ascii="HG丸ｺﾞｼｯｸM-PRO" w:eastAsia="HG丸ｺﾞｼｯｸM-PRO" w:hAnsi="HG丸ｺﾞｼｯｸM-PRO" w:hint="eastAsia"/>
                <w:b/>
                <w:szCs w:val="21"/>
                <w:highlight w:val="yellow"/>
              </w:rPr>
              <w:t>防災・危機管理指令部会議</w:t>
            </w:r>
            <w:r w:rsidRPr="001D6D10">
              <w:rPr>
                <w:rFonts w:ascii="HG丸ｺﾞｼｯｸM-PRO" w:eastAsia="HG丸ｺﾞｼｯｸM-PRO" w:hAnsi="HG丸ｺﾞｼｯｸM-PRO" w:hint="eastAsia"/>
                <w:szCs w:val="21"/>
                <w:highlight w:val="yellow"/>
              </w:rPr>
              <w:t>（おおよそ７２ｈ前）</w:t>
            </w:r>
            <w:r w:rsidR="0073421B" w:rsidRPr="001D6D10">
              <w:rPr>
                <w:rFonts w:ascii="HG丸ｺﾞｼｯｸM-PRO" w:eastAsia="HG丸ｺﾞｼｯｸM-PRO" w:hAnsi="HG丸ｺﾞｼｯｸM-PRO" w:hint="eastAsia"/>
                <w:szCs w:val="21"/>
                <w:highlight w:val="yellow"/>
              </w:rPr>
              <w:t>（Ｐ42</w:t>
            </w:r>
            <w:r w:rsidR="00AD02A5" w:rsidRPr="001D6D10">
              <w:rPr>
                <w:rFonts w:ascii="HG丸ｺﾞｼｯｸM-PRO" w:eastAsia="HG丸ｺﾞｼｯｸM-PRO" w:hAnsi="HG丸ｺﾞｼｯｸM-PRO" w:hint="eastAsia"/>
                <w:szCs w:val="21"/>
                <w:highlight w:val="yellow"/>
              </w:rPr>
              <w:t>参照）</w:t>
            </w:r>
          </w:p>
        </w:tc>
      </w:tr>
      <w:tr w:rsidR="001D6D10" w:rsidRPr="001D6D10" w14:paraId="22F56DA5" w14:textId="77777777" w:rsidTr="00D932D2">
        <w:trPr>
          <w:jc w:val="center"/>
        </w:trPr>
        <w:tc>
          <w:tcPr>
            <w:tcW w:w="1457" w:type="dxa"/>
            <w:vMerge/>
          </w:tcPr>
          <w:p w14:paraId="7B26A3F0" w14:textId="77777777" w:rsidR="00D932D2" w:rsidRPr="001D6D10" w:rsidRDefault="00D932D2" w:rsidP="00D932D2">
            <w:pPr>
              <w:rPr>
                <w:rFonts w:ascii="HG丸ｺﾞｼｯｸM-PRO" w:eastAsia="HG丸ｺﾞｼｯｸM-PRO" w:hAnsi="HG丸ｺﾞｼｯｸM-PRO"/>
                <w:szCs w:val="21"/>
              </w:rPr>
            </w:pPr>
          </w:p>
        </w:tc>
        <w:tc>
          <w:tcPr>
            <w:tcW w:w="7037" w:type="dxa"/>
          </w:tcPr>
          <w:p w14:paraId="146C1DAF" w14:textId="77777777" w:rsidR="00C55354" w:rsidRPr="00E0548A" w:rsidRDefault="00C55354" w:rsidP="004A0201">
            <w:pPr>
              <w:ind w:left="211" w:hangingChars="100" w:hanging="211"/>
              <w:rPr>
                <w:rFonts w:ascii="HG丸ｺﾞｼｯｸM-PRO" w:eastAsia="HG丸ｺﾞｼｯｸM-PRO" w:hAnsi="HG丸ｺﾞｼｯｸM-PRO"/>
                <w:szCs w:val="21"/>
              </w:rPr>
            </w:pPr>
            <w:r w:rsidRPr="00E0548A">
              <w:rPr>
                <w:rFonts w:ascii="HG丸ｺﾞｼｯｸM-PRO" w:eastAsia="HG丸ｺﾞｼｯｸM-PRO" w:hAnsi="HG丸ｺﾞｼｯｸM-PRO" w:hint="eastAsia"/>
                <w:szCs w:val="21"/>
              </w:rPr>
              <w:t>□台風関係情報を大阪府各部局、市町村危機管理部局、関係機関へ発信及び感染症情報等の共有</w:t>
            </w:r>
          </w:p>
          <w:p w14:paraId="12BB80D8" w14:textId="77777777" w:rsidR="00C55354" w:rsidRPr="00E0548A" w:rsidRDefault="00C55354" w:rsidP="00C55354">
            <w:pPr>
              <w:rPr>
                <w:rFonts w:ascii="HG丸ｺﾞｼｯｸM-PRO" w:eastAsia="HG丸ｺﾞｼｯｸM-PRO" w:hAnsi="HG丸ｺﾞｼｯｸM-PRO"/>
                <w:szCs w:val="21"/>
              </w:rPr>
            </w:pPr>
            <w:r w:rsidRPr="00E0548A">
              <w:rPr>
                <w:rFonts w:ascii="HG丸ｺﾞｼｯｸM-PRO" w:eastAsia="HG丸ｺﾞｼｯｸM-PRO" w:hAnsi="HG丸ｺﾞｼｯｸM-PRO" w:hint="eastAsia"/>
                <w:szCs w:val="21"/>
              </w:rPr>
              <w:t>□職員体制の確認・確保</w:t>
            </w:r>
          </w:p>
          <w:p w14:paraId="3E4A8FC6" w14:textId="77777777" w:rsidR="00C55354" w:rsidRPr="00E0548A" w:rsidRDefault="00C55354" w:rsidP="00C55354">
            <w:pPr>
              <w:rPr>
                <w:rFonts w:ascii="HG丸ｺﾞｼｯｸM-PRO" w:eastAsia="HG丸ｺﾞｼｯｸM-PRO" w:hAnsi="HG丸ｺﾞｼｯｸM-PRO"/>
                <w:szCs w:val="21"/>
              </w:rPr>
            </w:pPr>
            <w:r w:rsidRPr="00E0548A">
              <w:rPr>
                <w:rFonts w:ascii="HG丸ｺﾞｼｯｸM-PRO" w:eastAsia="HG丸ｺﾞｼｯｸM-PRO" w:hAnsi="HG丸ｺﾞｼｯｸM-PRO" w:hint="eastAsia"/>
                <w:szCs w:val="21"/>
              </w:rPr>
              <w:t>□市町村危機管理部局への注意喚起</w:t>
            </w:r>
          </w:p>
          <w:p w14:paraId="5CC19070" w14:textId="77777777" w:rsidR="004A0201" w:rsidRPr="00E0548A" w:rsidRDefault="00C55354" w:rsidP="00C55354">
            <w:pPr>
              <w:rPr>
                <w:rFonts w:ascii="HG丸ｺﾞｼｯｸM-PRO" w:eastAsia="HG丸ｺﾞｼｯｸM-PRO" w:hAnsi="HG丸ｺﾞｼｯｸM-PRO"/>
                <w:szCs w:val="21"/>
              </w:rPr>
            </w:pPr>
            <w:r w:rsidRPr="00E0548A">
              <w:rPr>
                <w:rFonts w:ascii="HG丸ｺﾞｼｯｸM-PRO" w:eastAsia="HG丸ｺﾞｼｯｸM-PRO" w:hAnsi="HG丸ｺﾞｼｯｸM-PRO" w:hint="eastAsia"/>
                <w:szCs w:val="21"/>
              </w:rPr>
              <w:t>□おおさか防災ネット（緊急情報）並びに同</w:t>
            </w:r>
            <w:r w:rsidR="004A0201" w:rsidRPr="00E0548A">
              <w:rPr>
                <w:rFonts w:ascii="HG丸ｺﾞｼｯｸM-PRO" w:eastAsia="HG丸ｺﾞｼｯｸM-PRO" w:hAnsi="HG丸ｺﾞｼｯｸM-PRO" w:hint="eastAsia"/>
                <w:szCs w:val="21"/>
              </w:rPr>
              <w:t>X</w:t>
            </w:r>
            <w:r w:rsidRPr="00E0548A">
              <w:rPr>
                <w:rFonts w:ascii="HG丸ｺﾞｼｯｸM-PRO" w:eastAsia="HG丸ｺﾞｼｯｸM-PRO" w:hAnsi="HG丸ｺﾞｼｯｸM-PRO" w:hint="eastAsia"/>
                <w:szCs w:val="21"/>
              </w:rPr>
              <w:t>による府民に対する</w:t>
            </w:r>
          </w:p>
          <w:p w14:paraId="4D7A6656" w14:textId="5090C425" w:rsidR="00C55354" w:rsidRPr="00E0548A" w:rsidRDefault="00C55354" w:rsidP="004A0201">
            <w:pPr>
              <w:ind w:firstLineChars="100" w:firstLine="211"/>
              <w:rPr>
                <w:rFonts w:ascii="HG丸ｺﾞｼｯｸM-PRO" w:eastAsia="HG丸ｺﾞｼｯｸM-PRO" w:hAnsi="HG丸ｺﾞｼｯｸM-PRO"/>
                <w:dstrike/>
                <w:szCs w:val="21"/>
              </w:rPr>
            </w:pPr>
            <w:r w:rsidRPr="00E0548A">
              <w:rPr>
                <w:rFonts w:ascii="HG丸ｺﾞｼｯｸM-PRO" w:eastAsia="HG丸ｺﾞｼｯｸM-PRO" w:hAnsi="HG丸ｺﾞｼｯｸM-PRO" w:hint="eastAsia"/>
                <w:szCs w:val="21"/>
              </w:rPr>
              <w:t>注意喚起</w:t>
            </w:r>
          </w:p>
          <w:p w14:paraId="6BB4CF0D" w14:textId="5F87889A" w:rsidR="00C55354" w:rsidRPr="00E0548A" w:rsidRDefault="00C55354" w:rsidP="00C55354">
            <w:pPr>
              <w:rPr>
                <w:rFonts w:ascii="HG丸ｺﾞｼｯｸM-PRO" w:eastAsia="HG丸ｺﾞｼｯｸM-PRO" w:hAnsi="HG丸ｺﾞｼｯｸM-PRO"/>
                <w:szCs w:val="21"/>
              </w:rPr>
            </w:pPr>
            <w:r w:rsidRPr="00E0548A">
              <w:rPr>
                <w:rFonts w:ascii="HG丸ｺﾞｼｯｸM-PRO" w:eastAsia="HG丸ｺﾞｼｯｸM-PRO" w:hAnsi="HG丸ｺﾞｼｯｸM-PRO" w:hint="eastAsia"/>
                <w:szCs w:val="21"/>
              </w:rPr>
              <w:t>□外国人向け情報について国際課と調整（</w:t>
            </w:r>
            <w:r w:rsidR="00CD4EC2" w:rsidRPr="00E0548A">
              <w:rPr>
                <w:rFonts w:ascii="HG丸ｺﾞｼｯｸM-PRO" w:eastAsia="HG丸ｺﾞｼｯｸM-PRO" w:hAnsi="HG丸ｺﾞｼｯｸM-PRO" w:hint="eastAsia"/>
                <w:szCs w:val="21"/>
              </w:rPr>
              <w:t>大阪防災アプリ</w:t>
            </w:r>
            <w:r w:rsidRPr="00E0548A">
              <w:rPr>
                <w:rFonts w:ascii="HG丸ｺﾞｼｯｸM-PRO" w:eastAsia="HG丸ｺﾞｼｯｸM-PRO" w:hAnsi="HG丸ｺﾞｼｯｸM-PRO"/>
                <w:szCs w:val="21"/>
              </w:rPr>
              <w:t>）</w:t>
            </w:r>
          </w:p>
          <w:p w14:paraId="12780F73" w14:textId="77777777" w:rsidR="00D932D2" w:rsidRPr="00E0548A" w:rsidRDefault="00C55354" w:rsidP="00C55354">
            <w:pPr>
              <w:rPr>
                <w:rFonts w:ascii="HG丸ｺﾞｼｯｸM-PRO" w:eastAsia="HG丸ｺﾞｼｯｸM-PRO" w:hAnsi="HG丸ｺﾞｼｯｸM-PRO"/>
                <w:szCs w:val="21"/>
              </w:rPr>
            </w:pPr>
            <w:r w:rsidRPr="00E0548A">
              <w:rPr>
                <w:rFonts w:ascii="HG丸ｺﾞｼｯｸM-PRO" w:eastAsia="HG丸ｺﾞｼｯｸM-PRO" w:hAnsi="HG丸ｺﾞｼｯｸM-PRO" w:hint="eastAsia"/>
                <w:szCs w:val="21"/>
              </w:rPr>
              <w:t>□知事メッセージの発信（府民・外国人向け）の調整</w:t>
            </w:r>
          </w:p>
        </w:tc>
      </w:tr>
      <w:tr w:rsidR="001D6D10" w:rsidRPr="001D6D10" w14:paraId="24F30A23" w14:textId="77777777" w:rsidTr="00D932D2">
        <w:trPr>
          <w:jc w:val="center"/>
        </w:trPr>
        <w:tc>
          <w:tcPr>
            <w:tcW w:w="1457" w:type="dxa"/>
            <w:vMerge w:val="restart"/>
          </w:tcPr>
          <w:p w14:paraId="3C7C15A1" w14:textId="77777777" w:rsidR="002B3D2C" w:rsidRPr="001D6D10" w:rsidRDefault="002B3D2C" w:rsidP="00D932D2">
            <w:pPr>
              <w:rPr>
                <w:rFonts w:ascii="HG丸ｺﾞｼｯｸM-PRO" w:eastAsia="HG丸ｺﾞｼｯｸM-PRO" w:hAnsi="HG丸ｺﾞｼｯｸM-PRO"/>
                <w:szCs w:val="21"/>
              </w:rPr>
            </w:pPr>
          </w:p>
          <w:p w14:paraId="7F568E49" w14:textId="77777777" w:rsidR="002B3D2C" w:rsidRPr="001D6D10" w:rsidRDefault="002B3D2C" w:rsidP="00D932D2">
            <w:pPr>
              <w:rPr>
                <w:rFonts w:ascii="HG丸ｺﾞｼｯｸM-PRO" w:eastAsia="HG丸ｺﾞｼｯｸM-PRO" w:hAnsi="HG丸ｺﾞｼｯｸM-PRO"/>
                <w:szCs w:val="21"/>
              </w:rPr>
            </w:pPr>
          </w:p>
          <w:p w14:paraId="369D8DB1" w14:textId="77777777" w:rsidR="002B3D2C" w:rsidRPr="001D6D10" w:rsidRDefault="002B3D2C" w:rsidP="00D932D2">
            <w:pPr>
              <w:rPr>
                <w:rFonts w:ascii="HG丸ｺﾞｼｯｸM-PRO" w:eastAsia="HG丸ｺﾞｼｯｸM-PRO" w:hAnsi="HG丸ｺﾞｼｯｸM-PRO"/>
                <w:szCs w:val="21"/>
              </w:rPr>
            </w:pPr>
          </w:p>
          <w:p w14:paraId="55518CDA" w14:textId="77777777" w:rsidR="002B3D2C" w:rsidRPr="001D6D10" w:rsidRDefault="002B3D2C" w:rsidP="00D932D2">
            <w:pPr>
              <w:rPr>
                <w:rFonts w:ascii="HG丸ｺﾞｼｯｸM-PRO" w:eastAsia="HG丸ｺﾞｼｯｸM-PRO" w:hAnsi="HG丸ｺﾞｼｯｸM-PRO"/>
                <w:szCs w:val="21"/>
              </w:rPr>
            </w:pPr>
          </w:p>
          <w:p w14:paraId="349560F6" w14:textId="77777777" w:rsidR="002B3D2C" w:rsidRPr="001D6D10" w:rsidRDefault="002B3D2C" w:rsidP="00D932D2">
            <w:pPr>
              <w:rPr>
                <w:rFonts w:ascii="HG丸ｺﾞｼｯｸM-PRO" w:eastAsia="HG丸ｺﾞｼｯｸM-PRO" w:hAnsi="HG丸ｺﾞｼｯｸM-PRO"/>
                <w:szCs w:val="21"/>
              </w:rPr>
            </w:pPr>
          </w:p>
          <w:p w14:paraId="61B58812" w14:textId="77777777" w:rsidR="00D932D2" w:rsidRPr="001D6D10" w:rsidRDefault="00D932D2" w:rsidP="00D932D2">
            <w:pPr>
              <w:rPr>
                <w:rFonts w:ascii="HG丸ｺﾞｼｯｸM-PRO" w:eastAsia="HG丸ｺﾞｼｯｸM-PRO" w:hAnsi="HG丸ｺﾞｼｯｸM-PRO"/>
                <w:szCs w:val="21"/>
              </w:rPr>
            </w:pPr>
            <w:r w:rsidRPr="001D6D10">
              <w:rPr>
                <w:rFonts w:ascii="HG丸ｺﾞｼｯｸM-PRO" w:eastAsia="HG丸ｺﾞｼｯｸM-PRO" w:hAnsi="HG丸ｺﾞｼｯｸM-PRO" w:hint="eastAsia"/>
                <w:szCs w:val="21"/>
              </w:rPr>
              <w:t>48ｈ前～</w:t>
            </w:r>
          </w:p>
          <w:p w14:paraId="0C31F80E" w14:textId="77777777" w:rsidR="00D932D2" w:rsidRPr="001D6D10" w:rsidRDefault="00D932D2" w:rsidP="00D932D2">
            <w:pPr>
              <w:rPr>
                <w:rFonts w:ascii="HG丸ｺﾞｼｯｸM-PRO" w:eastAsia="HG丸ｺﾞｼｯｸM-PRO" w:hAnsi="HG丸ｺﾞｼｯｸM-PRO"/>
                <w:szCs w:val="21"/>
              </w:rPr>
            </w:pPr>
            <w:r w:rsidRPr="001D6D10">
              <w:rPr>
                <w:rFonts w:ascii="HG丸ｺﾞｼｯｸM-PRO" w:eastAsia="HG丸ｺﾞｼｯｸM-PRO" w:hAnsi="HG丸ｺﾞｼｯｸM-PRO" w:hint="eastAsia"/>
                <w:szCs w:val="21"/>
              </w:rPr>
              <w:t xml:space="preserve">　　24ｈ前</w:t>
            </w:r>
          </w:p>
          <w:p w14:paraId="7405D892" w14:textId="77777777" w:rsidR="00D932D2" w:rsidRPr="001D6D10" w:rsidRDefault="00D932D2" w:rsidP="00D932D2">
            <w:pPr>
              <w:rPr>
                <w:rFonts w:ascii="HG丸ｺﾞｼｯｸM-PRO" w:eastAsia="HG丸ｺﾞｼｯｸM-PRO" w:hAnsi="HG丸ｺﾞｼｯｸM-PRO"/>
                <w:szCs w:val="21"/>
              </w:rPr>
            </w:pPr>
            <w:r w:rsidRPr="001D6D10">
              <w:rPr>
                <w:rFonts w:ascii="HG丸ｺﾞｼｯｸM-PRO" w:eastAsia="HG丸ｺﾞｼｯｸM-PRO" w:hAnsi="HG丸ｺﾞｼｯｸM-PRO" w:hint="eastAsia"/>
                <w:szCs w:val="21"/>
              </w:rPr>
              <w:t>（２日前）</w:t>
            </w:r>
          </w:p>
          <w:p w14:paraId="1F524EAE" w14:textId="77777777" w:rsidR="00863CD1" w:rsidRPr="001D6D10" w:rsidRDefault="00863CD1" w:rsidP="00D932D2">
            <w:pPr>
              <w:rPr>
                <w:rFonts w:ascii="HG丸ｺﾞｼｯｸM-PRO" w:eastAsia="HG丸ｺﾞｼｯｸM-PRO" w:hAnsi="HG丸ｺﾞｼｯｸM-PRO"/>
                <w:szCs w:val="21"/>
              </w:rPr>
            </w:pPr>
          </w:p>
          <w:p w14:paraId="33A12395" w14:textId="77777777" w:rsidR="00863CD1" w:rsidRPr="001D6D10" w:rsidRDefault="00863CD1" w:rsidP="00D932D2">
            <w:pPr>
              <w:rPr>
                <w:rFonts w:ascii="HG丸ｺﾞｼｯｸM-PRO" w:eastAsia="HG丸ｺﾞｼｯｸM-PRO" w:hAnsi="HG丸ｺﾞｼｯｸM-PRO"/>
                <w:szCs w:val="21"/>
              </w:rPr>
            </w:pPr>
          </w:p>
          <w:p w14:paraId="47DED1B6" w14:textId="77777777" w:rsidR="00863CD1" w:rsidRPr="001D6D10" w:rsidRDefault="00863CD1" w:rsidP="00D932D2">
            <w:pPr>
              <w:rPr>
                <w:rFonts w:ascii="HG丸ｺﾞｼｯｸM-PRO" w:eastAsia="HG丸ｺﾞｼｯｸM-PRO" w:hAnsi="HG丸ｺﾞｼｯｸM-PRO"/>
                <w:szCs w:val="21"/>
              </w:rPr>
            </w:pPr>
          </w:p>
          <w:p w14:paraId="4A201101" w14:textId="77777777" w:rsidR="00863CD1" w:rsidRPr="001D6D10" w:rsidRDefault="00863CD1" w:rsidP="00D932D2">
            <w:pPr>
              <w:rPr>
                <w:rFonts w:ascii="HG丸ｺﾞｼｯｸM-PRO" w:eastAsia="HG丸ｺﾞｼｯｸM-PRO" w:hAnsi="HG丸ｺﾞｼｯｸM-PRO"/>
                <w:szCs w:val="21"/>
              </w:rPr>
            </w:pPr>
          </w:p>
          <w:p w14:paraId="4B391DB1" w14:textId="77777777" w:rsidR="00863CD1" w:rsidRPr="001D6D10" w:rsidRDefault="00863CD1" w:rsidP="00D932D2">
            <w:pPr>
              <w:rPr>
                <w:rFonts w:ascii="HG丸ｺﾞｼｯｸM-PRO" w:eastAsia="HG丸ｺﾞｼｯｸM-PRO" w:hAnsi="HG丸ｺﾞｼｯｸM-PRO"/>
                <w:szCs w:val="21"/>
              </w:rPr>
            </w:pPr>
          </w:p>
          <w:p w14:paraId="6934F055" w14:textId="77777777" w:rsidR="00863CD1" w:rsidRPr="001D6D10" w:rsidRDefault="00863CD1" w:rsidP="00D932D2">
            <w:pPr>
              <w:rPr>
                <w:rFonts w:ascii="HG丸ｺﾞｼｯｸM-PRO" w:eastAsia="HG丸ｺﾞｼｯｸM-PRO" w:hAnsi="HG丸ｺﾞｼｯｸM-PRO"/>
                <w:szCs w:val="21"/>
              </w:rPr>
            </w:pPr>
          </w:p>
          <w:p w14:paraId="2EF4CF56" w14:textId="77777777" w:rsidR="00863CD1" w:rsidRPr="001D6D10" w:rsidRDefault="00863CD1" w:rsidP="00D932D2">
            <w:pPr>
              <w:rPr>
                <w:rFonts w:ascii="HG丸ｺﾞｼｯｸM-PRO" w:eastAsia="HG丸ｺﾞｼｯｸM-PRO" w:hAnsi="HG丸ｺﾞｼｯｸM-PRO"/>
                <w:szCs w:val="21"/>
              </w:rPr>
            </w:pPr>
          </w:p>
          <w:p w14:paraId="00C2E3A6" w14:textId="77777777" w:rsidR="00863CD1" w:rsidRPr="001D6D10" w:rsidRDefault="00863CD1" w:rsidP="00D932D2">
            <w:pPr>
              <w:rPr>
                <w:rFonts w:ascii="HG丸ｺﾞｼｯｸM-PRO" w:eastAsia="HG丸ｺﾞｼｯｸM-PRO" w:hAnsi="HG丸ｺﾞｼｯｸM-PRO"/>
                <w:szCs w:val="21"/>
              </w:rPr>
            </w:pPr>
          </w:p>
          <w:p w14:paraId="4FA3FCC5" w14:textId="77777777" w:rsidR="00863CD1" w:rsidRPr="001D6D10" w:rsidRDefault="00863CD1" w:rsidP="00D932D2">
            <w:pPr>
              <w:rPr>
                <w:rFonts w:ascii="HG丸ｺﾞｼｯｸM-PRO" w:eastAsia="HG丸ｺﾞｼｯｸM-PRO" w:hAnsi="HG丸ｺﾞｼｯｸM-PRO"/>
                <w:szCs w:val="21"/>
              </w:rPr>
            </w:pPr>
          </w:p>
        </w:tc>
        <w:tc>
          <w:tcPr>
            <w:tcW w:w="7037" w:type="dxa"/>
          </w:tcPr>
          <w:p w14:paraId="6124E483" w14:textId="77777777" w:rsidR="00C55354" w:rsidRPr="00E0548A" w:rsidRDefault="00D932D2" w:rsidP="00D932D2">
            <w:pPr>
              <w:rPr>
                <w:rFonts w:ascii="HG丸ｺﾞｼｯｸM-PRO" w:eastAsia="HG丸ｺﾞｼｯｸM-PRO" w:hAnsi="HG丸ｺﾞｼｯｸM-PRO"/>
                <w:szCs w:val="21"/>
              </w:rPr>
            </w:pPr>
            <w:r w:rsidRPr="00E0548A">
              <w:rPr>
                <w:rFonts w:ascii="HG丸ｺﾞｼｯｸM-PRO" w:eastAsia="HG丸ｺﾞｼｯｸM-PRO" w:hAnsi="HG丸ｺﾞｼｯｸM-PRO" w:hint="eastAsia"/>
                <w:szCs w:val="21"/>
              </w:rPr>
              <w:lastRenderedPageBreak/>
              <w:t>庁内連絡会議①：災害モード宣言の内容、第1回災害警戒本部会議の事前調整等</w:t>
            </w:r>
          </w:p>
          <w:p w14:paraId="5F5F5DD0" w14:textId="77777777" w:rsidR="00D932D2" w:rsidRPr="00E0548A" w:rsidRDefault="00D932D2" w:rsidP="00D932D2">
            <w:pPr>
              <w:rPr>
                <w:rFonts w:ascii="HG丸ｺﾞｼｯｸM-PRO" w:eastAsia="HG丸ｺﾞｼｯｸM-PRO" w:hAnsi="HG丸ｺﾞｼｯｸM-PRO"/>
                <w:sz w:val="18"/>
                <w:szCs w:val="18"/>
              </w:rPr>
            </w:pPr>
            <w:r w:rsidRPr="00E0548A">
              <w:rPr>
                <w:rFonts w:ascii="HG丸ｺﾞｼｯｸM-PRO" w:eastAsia="HG丸ｺﾞｼｯｸM-PRO" w:hAnsi="HG丸ｺﾞｼｯｸM-PRO" w:hint="eastAsia"/>
                <w:sz w:val="18"/>
                <w:szCs w:val="18"/>
              </w:rPr>
              <w:t>(警戒本部会議議題：管理施設の休館及び学校休校の検討、</w:t>
            </w:r>
            <w:r w:rsidR="004A11F7" w:rsidRPr="00E0548A">
              <w:rPr>
                <w:rFonts w:ascii="HG丸ｺﾞｼｯｸM-PRO" w:eastAsia="HG丸ｺﾞｼｯｸM-PRO" w:hAnsi="HG丸ｺﾞｼｯｸM-PRO" w:hint="eastAsia"/>
                <w:sz w:val="18"/>
                <w:szCs w:val="18"/>
              </w:rPr>
              <w:t>府主催</w:t>
            </w:r>
            <w:r w:rsidRPr="00E0548A">
              <w:rPr>
                <w:rFonts w:ascii="HG丸ｺﾞｼｯｸM-PRO" w:eastAsia="HG丸ｺﾞｼｯｸM-PRO" w:hAnsi="HG丸ｺﾞｼｯｸM-PRO" w:hint="eastAsia"/>
                <w:sz w:val="18"/>
                <w:szCs w:val="18"/>
              </w:rPr>
              <w:t>イベント等の中止検討、職員の配備態勢)</w:t>
            </w:r>
          </w:p>
          <w:p w14:paraId="689EE7CD" w14:textId="4CA93652" w:rsidR="00C55354" w:rsidRPr="00E0548A" w:rsidRDefault="00C55354" w:rsidP="004A0201">
            <w:pPr>
              <w:ind w:left="211" w:hangingChars="100" w:hanging="211"/>
              <w:rPr>
                <w:rFonts w:ascii="HG丸ｺﾞｼｯｸM-PRO" w:eastAsia="HG丸ｺﾞｼｯｸM-PRO" w:hAnsi="HG丸ｺﾞｼｯｸM-PRO"/>
                <w:szCs w:val="21"/>
              </w:rPr>
            </w:pPr>
            <w:r w:rsidRPr="00E0548A">
              <w:rPr>
                <w:rFonts w:ascii="HG丸ｺﾞｼｯｸM-PRO" w:eastAsia="HG丸ｺﾞｼｯｸM-PRO" w:hAnsi="HG丸ｺﾞｼｯｸM-PRO" w:hint="eastAsia"/>
                <w:szCs w:val="21"/>
              </w:rPr>
              <w:t>□台風関係情報を大阪府各部局、市町村危機管理部局、関係機関へ発信及び感染症情報</w:t>
            </w:r>
            <w:r w:rsidR="00F52280" w:rsidRPr="00E0548A">
              <w:rPr>
                <w:rFonts w:ascii="HG丸ｺﾞｼｯｸM-PRO" w:eastAsia="HG丸ｺﾞｼｯｸM-PRO" w:hAnsi="HG丸ｺﾞｼｯｸM-PRO" w:hint="eastAsia"/>
                <w:szCs w:val="21"/>
              </w:rPr>
              <w:t>等</w:t>
            </w:r>
            <w:r w:rsidRPr="00E0548A">
              <w:rPr>
                <w:rFonts w:ascii="HG丸ｺﾞｼｯｸM-PRO" w:eastAsia="HG丸ｺﾞｼｯｸM-PRO" w:hAnsi="HG丸ｺﾞｼｯｸM-PRO" w:hint="eastAsia"/>
                <w:szCs w:val="21"/>
              </w:rPr>
              <w:t>の共有</w:t>
            </w:r>
          </w:p>
          <w:p w14:paraId="332F8B40" w14:textId="77777777" w:rsidR="00C55354" w:rsidRPr="00E0548A" w:rsidRDefault="00C55354" w:rsidP="00C55354">
            <w:pPr>
              <w:rPr>
                <w:rFonts w:ascii="HG丸ｺﾞｼｯｸM-PRO" w:eastAsia="HG丸ｺﾞｼｯｸM-PRO" w:hAnsi="HG丸ｺﾞｼｯｸM-PRO"/>
                <w:szCs w:val="21"/>
              </w:rPr>
            </w:pPr>
            <w:r w:rsidRPr="00E0548A">
              <w:rPr>
                <w:rFonts w:ascii="HG丸ｺﾞｼｯｸM-PRO" w:eastAsia="HG丸ｺﾞｼｯｸM-PRO" w:hAnsi="HG丸ｺﾞｼｯｸM-PRO" w:hint="eastAsia"/>
                <w:szCs w:val="21"/>
              </w:rPr>
              <w:t>□第１回災害警戒本部会議の事前準備</w:t>
            </w:r>
          </w:p>
          <w:p w14:paraId="41FDDFAE" w14:textId="77777777" w:rsidR="00C55354" w:rsidRPr="00E0548A" w:rsidRDefault="00C55354" w:rsidP="00C55354">
            <w:pPr>
              <w:rPr>
                <w:rFonts w:ascii="HG丸ｺﾞｼｯｸM-PRO" w:eastAsia="HG丸ｺﾞｼｯｸM-PRO" w:hAnsi="HG丸ｺﾞｼｯｸM-PRO"/>
                <w:szCs w:val="21"/>
              </w:rPr>
            </w:pPr>
            <w:r w:rsidRPr="00E0548A">
              <w:rPr>
                <w:rFonts w:ascii="HG丸ｺﾞｼｯｸM-PRO" w:eastAsia="HG丸ｺﾞｼｯｸM-PRO" w:hAnsi="HG丸ｺﾞｼｯｸM-PRO" w:hint="eastAsia"/>
                <w:szCs w:val="21"/>
              </w:rPr>
              <w:t xml:space="preserve">　・各部局へ対応状況の確認、会議での報告の要請</w:t>
            </w:r>
          </w:p>
          <w:p w14:paraId="437AF05A" w14:textId="77777777" w:rsidR="00C55354" w:rsidRPr="00E0548A" w:rsidRDefault="00C55354" w:rsidP="00C55354">
            <w:pPr>
              <w:rPr>
                <w:rFonts w:ascii="HG丸ｺﾞｼｯｸM-PRO" w:eastAsia="HG丸ｺﾞｼｯｸM-PRO" w:hAnsi="HG丸ｺﾞｼｯｸM-PRO"/>
                <w:szCs w:val="21"/>
              </w:rPr>
            </w:pPr>
            <w:r w:rsidRPr="00E0548A">
              <w:rPr>
                <w:rFonts w:ascii="HG丸ｺﾞｼｯｸM-PRO" w:eastAsia="HG丸ｺﾞｼｯｸM-PRO" w:hAnsi="HG丸ｺﾞｼｯｸM-PRO" w:hint="eastAsia"/>
                <w:szCs w:val="21"/>
              </w:rPr>
              <w:t xml:space="preserve">　・庁舎・所管施設の安全確認</w:t>
            </w:r>
            <w:r w:rsidR="00D17FE8" w:rsidRPr="00E0548A">
              <w:rPr>
                <w:rFonts w:ascii="HG丸ｺﾞｼｯｸM-PRO" w:eastAsia="HG丸ｺﾞｼｯｸM-PRO" w:hAnsi="HG丸ｺﾞｼｯｸM-PRO" w:hint="eastAsia"/>
                <w:szCs w:val="21"/>
              </w:rPr>
              <w:t>（停電対応、食料備蓄等）</w:t>
            </w:r>
          </w:p>
          <w:p w14:paraId="5E6373E0" w14:textId="77777777" w:rsidR="00C55354" w:rsidRPr="00E0548A" w:rsidRDefault="00C55354" w:rsidP="00C55354">
            <w:pPr>
              <w:ind w:firstLineChars="100" w:firstLine="211"/>
              <w:rPr>
                <w:rFonts w:ascii="HG丸ｺﾞｼｯｸM-PRO" w:eastAsia="HG丸ｺﾞｼｯｸM-PRO" w:hAnsi="HG丸ｺﾞｼｯｸM-PRO"/>
                <w:dstrike/>
                <w:szCs w:val="21"/>
              </w:rPr>
            </w:pPr>
            <w:r w:rsidRPr="00E0548A">
              <w:rPr>
                <w:rFonts w:ascii="HG丸ｺﾞｼｯｸM-PRO" w:eastAsia="HG丸ｺﾞｼｯｸM-PRO" w:hAnsi="HG丸ｺﾞｼｯｸM-PRO" w:hint="eastAsia"/>
                <w:szCs w:val="21"/>
              </w:rPr>
              <w:t>・公共交通機関計画運休の確認（都市整備部との連携）</w:t>
            </w:r>
          </w:p>
          <w:p w14:paraId="286147A5" w14:textId="77777777" w:rsidR="00C55354" w:rsidRPr="00E0548A" w:rsidRDefault="00C55354" w:rsidP="00C55354">
            <w:pPr>
              <w:ind w:firstLineChars="100" w:firstLine="211"/>
              <w:rPr>
                <w:rFonts w:ascii="HG丸ｺﾞｼｯｸM-PRO" w:eastAsia="HG丸ｺﾞｼｯｸM-PRO" w:hAnsi="HG丸ｺﾞｼｯｸM-PRO"/>
                <w:szCs w:val="21"/>
              </w:rPr>
            </w:pPr>
            <w:r w:rsidRPr="00E0548A">
              <w:rPr>
                <w:rFonts w:ascii="HG丸ｺﾞｼｯｸM-PRO" w:eastAsia="HG丸ｺﾞｼｯｸM-PRO" w:hAnsi="HG丸ｺﾞｼｯｸM-PRO" w:hint="eastAsia"/>
                <w:szCs w:val="21"/>
              </w:rPr>
              <w:t>・市町村（自宅療養者、避難所対応を含む）の対応状況の確認</w:t>
            </w:r>
          </w:p>
          <w:p w14:paraId="370654AA" w14:textId="77777777" w:rsidR="00C55354" w:rsidRPr="00E0548A" w:rsidRDefault="00C55354" w:rsidP="00C55354">
            <w:pPr>
              <w:ind w:firstLineChars="100" w:firstLine="211"/>
              <w:rPr>
                <w:rFonts w:ascii="HG丸ｺﾞｼｯｸM-PRO" w:eastAsia="HG丸ｺﾞｼｯｸM-PRO" w:hAnsi="HG丸ｺﾞｼｯｸM-PRO"/>
                <w:szCs w:val="21"/>
              </w:rPr>
            </w:pPr>
            <w:r w:rsidRPr="00E0548A">
              <w:rPr>
                <w:rFonts w:ascii="HG丸ｺﾞｼｯｸM-PRO" w:eastAsia="HG丸ｺﾞｼｯｸM-PRO" w:hAnsi="HG丸ｺﾞｼｯｸM-PRO" w:hint="eastAsia"/>
                <w:szCs w:val="21"/>
              </w:rPr>
              <w:t>・防災機関、ライフラインの対応状況の確認</w:t>
            </w:r>
          </w:p>
          <w:p w14:paraId="08EAE1CA" w14:textId="77777777" w:rsidR="00335440" w:rsidRPr="00E0548A" w:rsidRDefault="00C55354" w:rsidP="00335440">
            <w:pPr>
              <w:rPr>
                <w:rFonts w:ascii="HG丸ｺﾞｼｯｸM-PRO" w:eastAsia="HG丸ｺﾞｼｯｸM-PRO" w:hAnsi="HG丸ｺﾞｼｯｸM-PRO"/>
                <w:szCs w:val="21"/>
              </w:rPr>
            </w:pPr>
            <w:r w:rsidRPr="00E0548A">
              <w:rPr>
                <w:rFonts w:ascii="HG丸ｺﾞｼｯｸM-PRO" w:eastAsia="HG丸ｺﾞｼｯｸM-PRO" w:hAnsi="HG丸ｺﾞｼｯｸM-PRO" w:hint="eastAsia"/>
                <w:szCs w:val="21"/>
              </w:rPr>
              <w:t xml:space="preserve">　・災害モード宣言の内容検討</w:t>
            </w:r>
          </w:p>
          <w:p w14:paraId="35E4C8AB" w14:textId="77777777" w:rsidR="00C55354" w:rsidRPr="00E0548A" w:rsidRDefault="00C55354" w:rsidP="00335440">
            <w:pPr>
              <w:rPr>
                <w:rFonts w:ascii="HG丸ｺﾞｼｯｸM-PRO" w:eastAsia="HG丸ｺﾞｼｯｸM-PRO" w:hAnsi="HG丸ｺﾞｼｯｸM-PRO"/>
                <w:szCs w:val="21"/>
                <w:u w:val="single"/>
              </w:rPr>
            </w:pPr>
            <w:r w:rsidRPr="00E0548A">
              <w:rPr>
                <w:rFonts w:ascii="HG丸ｺﾞｼｯｸM-PRO" w:eastAsia="HG丸ｺﾞｼｯｸM-PRO" w:hAnsi="HG丸ｺﾞｼｯｸM-PRO" w:hint="eastAsia"/>
                <w:szCs w:val="21"/>
                <w:bdr w:val="single" w:sz="4" w:space="0" w:color="auto"/>
              </w:rPr>
              <w:lastRenderedPageBreak/>
              <w:t>台風説明会</w:t>
            </w:r>
          </w:p>
        </w:tc>
      </w:tr>
      <w:tr w:rsidR="001D6D10" w:rsidRPr="001D6D10" w14:paraId="6E6B74EC" w14:textId="77777777" w:rsidTr="00D932D2">
        <w:trPr>
          <w:jc w:val="center"/>
        </w:trPr>
        <w:tc>
          <w:tcPr>
            <w:tcW w:w="1457" w:type="dxa"/>
            <w:vMerge/>
          </w:tcPr>
          <w:p w14:paraId="1AD8952B" w14:textId="77777777" w:rsidR="00D932D2" w:rsidRPr="001D6D10" w:rsidRDefault="00D932D2" w:rsidP="00D932D2">
            <w:pPr>
              <w:rPr>
                <w:rFonts w:ascii="HG丸ｺﾞｼｯｸM-PRO" w:eastAsia="HG丸ｺﾞｼｯｸM-PRO" w:hAnsi="HG丸ｺﾞｼｯｸM-PRO"/>
                <w:szCs w:val="21"/>
              </w:rPr>
            </w:pPr>
          </w:p>
        </w:tc>
        <w:tc>
          <w:tcPr>
            <w:tcW w:w="7037" w:type="dxa"/>
          </w:tcPr>
          <w:p w14:paraId="01DF4BCC" w14:textId="77777777" w:rsidR="00D932D2" w:rsidRPr="001D6D10" w:rsidRDefault="00D932D2" w:rsidP="00D932D2">
            <w:pPr>
              <w:rPr>
                <w:rFonts w:ascii="HG丸ｺﾞｼｯｸM-PRO" w:eastAsia="HG丸ｺﾞｼｯｸM-PRO" w:hAnsi="HG丸ｺﾞｼｯｸM-PRO"/>
                <w:szCs w:val="21"/>
                <w:highlight w:val="yellow"/>
              </w:rPr>
            </w:pPr>
            <w:r w:rsidRPr="001D6D10">
              <w:rPr>
                <w:rFonts w:ascii="HG丸ｺﾞｼｯｸM-PRO" w:eastAsia="HG丸ｺﾞｼｯｸM-PRO" w:hAnsi="HG丸ｺﾞｼｯｸM-PRO" w:hint="eastAsia"/>
                <w:b/>
                <w:szCs w:val="21"/>
                <w:highlight w:val="yellow"/>
              </w:rPr>
              <w:t>第1回災害警戒本部会議</w:t>
            </w:r>
            <w:r w:rsidRPr="001D6D10">
              <w:rPr>
                <w:rFonts w:ascii="HG丸ｺﾞｼｯｸM-PRO" w:eastAsia="HG丸ｺﾞｼｯｸM-PRO" w:hAnsi="HG丸ｺﾞｼｯｸM-PRO" w:hint="eastAsia"/>
                <w:szCs w:val="21"/>
                <w:highlight w:val="yellow"/>
              </w:rPr>
              <w:t>（災害モード宣言の内容検討）</w:t>
            </w:r>
            <w:r w:rsidR="0073421B" w:rsidRPr="001D6D10">
              <w:rPr>
                <w:rFonts w:ascii="HG丸ｺﾞｼｯｸM-PRO" w:eastAsia="HG丸ｺﾞｼｯｸM-PRO" w:hAnsi="HG丸ｺﾞｼｯｸM-PRO" w:hint="eastAsia"/>
                <w:szCs w:val="21"/>
                <w:highlight w:val="yellow"/>
              </w:rPr>
              <w:t>（Ｐ47</w:t>
            </w:r>
            <w:r w:rsidR="0010145B" w:rsidRPr="001D6D10">
              <w:rPr>
                <w:rFonts w:ascii="HG丸ｺﾞｼｯｸM-PRO" w:eastAsia="HG丸ｺﾞｼｯｸM-PRO" w:hAnsi="HG丸ｺﾞｼｯｸM-PRO" w:hint="eastAsia"/>
                <w:szCs w:val="21"/>
                <w:highlight w:val="yellow"/>
              </w:rPr>
              <w:t>参照）</w:t>
            </w:r>
          </w:p>
        </w:tc>
      </w:tr>
      <w:tr w:rsidR="001D6D10" w:rsidRPr="001D6D10" w14:paraId="4B550F79" w14:textId="77777777" w:rsidTr="00D932D2">
        <w:trPr>
          <w:jc w:val="center"/>
        </w:trPr>
        <w:tc>
          <w:tcPr>
            <w:tcW w:w="1457" w:type="dxa"/>
            <w:vMerge/>
          </w:tcPr>
          <w:p w14:paraId="2B717B32" w14:textId="77777777" w:rsidR="00D932D2" w:rsidRPr="001D6D10" w:rsidRDefault="00D932D2" w:rsidP="00D932D2">
            <w:pPr>
              <w:rPr>
                <w:rFonts w:ascii="HG丸ｺﾞｼｯｸM-PRO" w:eastAsia="HG丸ｺﾞｼｯｸM-PRO" w:hAnsi="HG丸ｺﾞｼｯｸM-PRO"/>
                <w:szCs w:val="21"/>
              </w:rPr>
            </w:pPr>
          </w:p>
        </w:tc>
        <w:tc>
          <w:tcPr>
            <w:tcW w:w="7037" w:type="dxa"/>
          </w:tcPr>
          <w:p w14:paraId="3B900881" w14:textId="77777777" w:rsidR="00C55354" w:rsidRPr="001D6D10" w:rsidRDefault="00C55354" w:rsidP="00C55354">
            <w:pPr>
              <w:rPr>
                <w:rFonts w:ascii="HG丸ｺﾞｼｯｸM-PRO" w:eastAsia="HG丸ｺﾞｼｯｸM-PRO" w:hAnsi="HG丸ｺﾞｼｯｸM-PRO"/>
                <w:szCs w:val="21"/>
              </w:rPr>
            </w:pPr>
            <w:r w:rsidRPr="001D6D10">
              <w:rPr>
                <w:rFonts w:ascii="HG丸ｺﾞｼｯｸM-PRO" w:eastAsia="HG丸ｺﾞｼｯｸM-PRO" w:hAnsi="HG丸ｺﾞｼｯｸM-PRO" w:hint="eastAsia"/>
                <w:szCs w:val="21"/>
              </w:rPr>
              <w:t>□知事メッセージの発信（府民・外国人向け）</w:t>
            </w:r>
          </w:p>
          <w:p w14:paraId="1FA30073" w14:textId="77777777" w:rsidR="00D932D2" w:rsidRPr="001D6D10" w:rsidRDefault="00C55354" w:rsidP="004A0201">
            <w:pPr>
              <w:ind w:left="211" w:hangingChars="100" w:hanging="211"/>
              <w:rPr>
                <w:rFonts w:ascii="HG丸ｺﾞｼｯｸM-PRO" w:eastAsia="HG丸ｺﾞｼｯｸM-PRO" w:hAnsi="HG丸ｺﾞｼｯｸM-PRO"/>
                <w:szCs w:val="21"/>
              </w:rPr>
            </w:pPr>
            <w:r w:rsidRPr="001D6D10">
              <w:rPr>
                <w:rFonts w:ascii="HG丸ｺﾞｼｯｸM-PRO" w:eastAsia="HG丸ｺﾞｼｯｸM-PRO" w:hAnsi="HG丸ｺﾞｼｯｸM-PRO" w:hint="eastAsia"/>
                <w:szCs w:val="21"/>
              </w:rPr>
              <w:t>□第１回災害警戒本部会議内容（「災害モード宣言」の検討内容を含む）について市町村等へ情報提供</w:t>
            </w:r>
          </w:p>
        </w:tc>
      </w:tr>
      <w:tr w:rsidR="001D6D10" w:rsidRPr="001D6D10" w14:paraId="6D3953AC" w14:textId="77777777" w:rsidTr="00D932D2">
        <w:trPr>
          <w:jc w:val="center"/>
        </w:trPr>
        <w:tc>
          <w:tcPr>
            <w:tcW w:w="1457" w:type="dxa"/>
            <w:vMerge w:val="restart"/>
          </w:tcPr>
          <w:p w14:paraId="193F6AAD" w14:textId="77777777" w:rsidR="002B3D2C" w:rsidRPr="001D6D10" w:rsidRDefault="002B3D2C" w:rsidP="00D932D2">
            <w:pPr>
              <w:rPr>
                <w:rFonts w:ascii="HG丸ｺﾞｼｯｸM-PRO" w:eastAsia="HG丸ｺﾞｼｯｸM-PRO" w:hAnsi="HG丸ｺﾞｼｯｸM-PRO"/>
                <w:szCs w:val="21"/>
              </w:rPr>
            </w:pPr>
          </w:p>
          <w:p w14:paraId="30EC40E5" w14:textId="77777777" w:rsidR="002B3D2C" w:rsidRPr="001D6D10" w:rsidRDefault="002B3D2C" w:rsidP="00D932D2">
            <w:pPr>
              <w:rPr>
                <w:rFonts w:ascii="HG丸ｺﾞｼｯｸM-PRO" w:eastAsia="HG丸ｺﾞｼｯｸM-PRO" w:hAnsi="HG丸ｺﾞｼｯｸM-PRO"/>
                <w:szCs w:val="21"/>
              </w:rPr>
            </w:pPr>
          </w:p>
          <w:p w14:paraId="7282670E" w14:textId="77777777" w:rsidR="002B3D2C" w:rsidRPr="001D6D10" w:rsidRDefault="002B3D2C" w:rsidP="00D932D2">
            <w:pPr>
              <w:rPr>
                <w:rFonts w:ascii="HG丸ｺﾞｼｯｸM-PRO" w:eastAsia="HG丸ｺﾞｼｯｸM-PRO" w:hAnsi="HG丸ｺﾞｼｯｸM-PRO"/>
                <w:szCs w:val="21"/>
              </w:rPr>
            </w:pPr>
          </w:p>
          <w:p w14:paraId="0FB88A70" w14:textId="77777777" w:rsidR="002B3D2C" w:rsidRPr="001D6D10" w:rsidRDefault="002B3D2C" w:rsidP="00D932D2">
            <w:pPr>
              <w:rPr>
                <w:rFonts w:ascii="HG丸ｺﾞｼｯｸM-PRO" w:eastAsia="HG丸ｺﾞｼｯｸM-PRO" w:hAnsi="HG丸ｺﾞｼｯｸM-PRO"/>
                <w:szCs w:val="21"/>
              </w:rPr>
            </w:pPr>
          </w:p>
          <w:p w14:paraId="35A39207" w14:textId="77777777" w:rsidR="002B3D2C" w:rsidRPr="001D6D10" w:rsidRDefault="002B3D2C" w:rsidP="00D932D2">
            <w:pPr>
              <w:rPr>
                <w:rFonts w:ascii="HG丸ｺﾞｼｯｸM-PRO" w:eastAsia="HG丸ｺﾞｼｯｸM-PRO" w:hAnsi="HG丸ｺﾞｼｯｸM-PRO"/>
                <w:szCs w:val="21"/>
              </w:rPr>
            </w:pPr>
          </w:p>
          <w:p w14:paraId="5F25D7E1" w14:textId="77777777" w:rsidR="002B3D2C" w:rsidRPr="001D6D10" w:rsidRDefault="002B3D2C" w:rsidP="00D932D2">
            <w:pPr>
              <w:rPr>
                <w:rFonts w:ascii="HG丸ｺﾞｼｯｸM-PRO" w:eastAsia="HG丸ｺﾞｼｯｸM-PRO" w:hAnsi="HG丸ｺﾞｼｯｸM-PRO"/>
                <w:szCs w:val="21"/>
              </w:rPr>
            </w:pPr>
          </w:p>
          <w:p w14:paraId="49D7BB90" w14:textId="77777777" w:rsidR="002B3D2C" w:rsidRPr="001D6D10" w:rsidRDefault="002B3D2C" w:rsidP="00D932D2">
            <w:pPr>
              <w:rPr>
                <w:rFonts w:ascii="HG丸ｺﾞｼｯｸM-PRO" w:eastAsia="HG丸ｺﾞｼｯｸM-PRO" w:hAnsi="HG丸ｺﾞｼｯｸM-PRO"/>
                <w:szCs w:val="21"/>
              </w:rPr>
            </w:pPr>
          </w:p>
          <w:p w14:paraId="74436192" w14:textId="77777777" w:rsidR="002B3D2C" w:rsidRPr="001D6D10" w:rsidRDefault="002B3D2C" w:rsidP="00D932D2">
            <w:pPr>
              <w:rPr>
                <w:rFonts w:ascii="HG丸ｺﾞｼｯｸM-PRO" w:eastAsia="HG丸ｺﾞｼｯｸM-PRO" w:hAnsi="HG丸ｺﾞｼｯｸM-PRO"/>
                <w:szCs w:val="21"/>
              </w:rPr>
            </w:pPr>
          </w:p>
          <w:p w14:paraId="58030B35" w14:textId="77777777" w:rsidR="002B3D2C" w:rsidRPr="001D6D10" w:rsidRDefault="002B3D2C" w:rsidP="00D932D2">
            <w:pPr>
              <w:rPr>
                <w:rFonts w:ascii="HG丸ｺﾞｼｯｸM-PRO" w:eastAsia="HG丸ｺﾞｼｯｸM-PRO" w:hAnsi="HG丸ｺﾞｼｯｸM-PRO"/>
                <w:szCs w:val="21"/>
              </w:rPr>
            </w:pPr>
          </w:p>
          <w:p w14:paraId="07D1E31F" w14:textId="77777777" w:rsidR="002B3D2C" w:rsidRPr="001D6D10" w:rsidRDefault="002B3D2C" w:rsidP="00D932D2">
            <w:pPr>
              <w:rPr>
                <w:rFonts w:ascii="HG丸ｺﾞｼｯｸM-PRO" w:eastAsia="HG丸ｺﾞｼｯｸM-PRO" w:hAnsi="HG丸ｺﾞｼｯｸM-PRO"/>
                <w:szCs w:val="21"/>
              </w:rPr>
            </w:pPr>
          </w:p>
          <w:p w14:paraId="1A02E133" w14:textId="77777777" w:rsidR="002B3D2C" w:rsidRPr="001D6D10" w:rsidRDefault="002B3D2C" w:rsidP="00D932D2">
            <w:pPr>
              <w:rPr>
                <w:rFonts w:ascii="HG丸ｺﾞｼｯｸM-PRO" w:eastAsia="HG丸ｺﾞｼｯｸM-PRO" w:hAnsi="HG丸ｺﾞｼｯｸM-PRO"/>
                <w:szCs w:val="21"/>
              </w:rPr>
            </w:pPr>
          </w:p>
          <w:p w14:paraId="7B861932" w14:textId="77777777" w:rsidR="00D932D2" w:rsidRPr="001D6D10" w:rsidRDefault="00D932D2" w:rsidP="00D932D2">
            <w:pPr>
              <w:rPr>
                <w:rFonts w:ascii="HG丸ｺﾞｼｯｸM-PRO" w:eastAsia="HG丸ｺﾞｼｯｸM-PRO" w:hAnsi="HG丸ｺﾞｼｯｸM-PRO"/>
                <w:szCs w:val="21"/>
              </w:rPr>
            </w:pPr>
            <w:r w:rsidRPr="001D6D10">
              <w:rPr>
                <w:rFonts w:ascii="HG丸ｺﾞｼｯｸM-PRO" w:eastAsia="HG丸ｺﾞｼｯｸM-PRO" w:hAnsi="HG丸ｺﾞｼｯｸM-PRO" w:hint="eastAsia"/>
                <w:szCs w:val="21"/>
              </w:rPr>
              <w:t>24ｈ前～</w:t>
            </w:r>
          </w:p>
          <w:p w14:paraId="628191CB" w14:textId="77777777" w:rsidR="00D932D2" w:rsidRPr="001D6D10" w:rsidRDefault="00D932D2" w:rsidP="00D932D2">
            <w:pPr>
              <w:rPr>
                <w:rFonts w:ascii="HG丸ｺﾞｼｯｸM-PRO" w:eastAsia="HG丸ｺﾞｼｯｸM-PRO" w:hAnsi="HG丸ｺﾞｼｯｸM-PRO"/>
                <w:szCs w:val="21"/>
              </w:rPr>
            </w:pPr>
            <w:r w:rsidRPr="001D6D10">
              <w:rPr>
                <w:rFonts w:ascii="HG丸ｺﾞｼｯｸM-PRO" w:eastAsia="HG丸ｺﾞｼｯｸM-PRO" w:hAnsi="HG丸ｺﾞｼｯｸM-PRO" w:hint="eastAsia"/>
                <w:szCs w:val="21"/>
              </w:rPr>
              <w:t xml:space="preserve">　　最接近</w:t>
            </w:r>
          </w:p>
          <w:p w14:paraId="1FC2F1B0" w14:textId="77777777" w:rsidR="00D932D2" w:rsidRPr="001D6D10" w:rsidRDefault="00D932D2" w:rsidP="00D932D2">
            <w:pPr>
              <w:rPr>
                <w:rFonts w:ascii="HG丸ｺﾞｼｯｸM-PRO" w:eastAsia="HG丸ｺﾞｼｯｸM-PRO" w:hAnsi="HG丸ｺﾞｼｯｸM-PRO"/>
                <w:szCs w:val="21"/>
              </w:rPr>
            </w:pPr>
            <w:r w:rsidRPr="001D6D10">
              <w:rPr>
                <w:rFonts w:ascii="HG丸ｺﾞｼｯｸM-PRO" w:eastAsia="HG丸ｺﾞｼｯｸM-PRO" w:hAnsi="HG丸ｺﾞｼｯｸM-PRO" w:hint="eastAsia"/>
                <w:szCs w:val="21"/>
              </w:rPr>
              <w:t>（１日前）</w:t>
            </w:r>
          </w:p>
        </w:tc>
        <w:tc>
          <w:tcPr>
            <w:tcW w:w="7037" w:type="dxa"/>
          </w:tcPr>
          <w:p w14:paraId="14BEB7B8" w14:textId="77777777" w:rsidR="00D932D2" w:rsidRPr="001D6D10" w:rsidRDefault="00D932D2" w:rsidP="00D932D2">
            <w:pPr>
              <w:rPr>
                <w:rFonts w:ascii="HG丸ｺﾞｼｯｸM-PRO" w:eastAsia="HG丸ｺﾞｼｯｸM-PRO" w:hAnsi="HG丸ｺﾞｼｯｸM-PRO"/>
                <w:szCs w:val="21"/>
              </w:rPr>
            </w:pPr>
            <w:r w:rsidRPr="001D6D10">
              <w:rPr>
                <w:rFonts w:ascii="HG丸ｺﾞｼｯｸM-PRO" w:eastAsia="HG丸ｺﾞｼｯｸM-PRO" w:hAnsi="HG丸ｺﾞｼｯｸM-PRO" w:hint="eastAsia"/>
                <w:szCs w:val="21"/>
              </w:rPr>
              <w:t>庁内連絡会議②：第2回災害警戒本部会議の事前調整等</w:t>
            </w:r>
          </w:p>
          <w:p w14:paraId="739ACBF5" w14:textId="77777777" w:rsidR="00C55354" w:rsidRPr="001D6D10" w:rsidRDefault="00C55354" w:rsidP="004A0201">
            <w:pPr>
              <w:ind w:left="211" w:hangingChars="100" w:hanging="211"/>
              <w:rPr>
                <w:rFonts w:ascii="HG丸ｺﾞｼｯｸM-PRO" w:eastAsia="HG丸ｺﾞｼｯｸM-PRO" w:hAnsi="HG丸ｺﾞｼｯｸM-PRO"/>
                <w:szCs w:val="21"/>
              </w:rPr>
            </w:pPr>
            <w:r w:rsidRPr="001D6D10">
              <w:rPr>
                <w:rFonts w:ascii="HG丸ｺﾞｼｯｸM-PRO" w:eastAsia="HG丸ｺﾞｼｯｸM-PRO" w:hAnsi="HG丸ｺﾞｼｯｸM-PRO" w:hint="eastAsia"/>
                <w:szCs w:val="21"/>
              </w:rPr>
              <w:t>□台風関係情報を大阪府各部局、市町村危機管理部局、関係機関へ発信及び感染症情報等の共有</w:t>
            </w:r>
          </w:p>
          <w:p w14:paraId="148F6619" w14:textId="77777777" w:rsidR="00C55354" w:rsidRPr="001D6D10" w:rsidRDefault="00C55354" w:rsidP="00C55354">
            <w:pPr>
              <w:rPr>
                <w:rFonts w:ascii="HG丸ｺﾞｼｯｸM-PRO" w:eastAsia="HG丸ｺﾞｼｯｸM-PRO" w:hAnsi="HG丸ｺﾞｼｯｸM-PRO"/>
                <w:szCs w:val="21"/>
              </w:rPr>
            </w:pPr>
            <w:r w:rsidRPr="001D6D10">
              <w:rPr>
                <w:rFonts w:ascii="HG丸ｺﾞｼｯｸM-PRO" w:eastAsia="HG丸ｺﾞｼｯｸM-PRO" w:hAnsi="HG丸ｺﾞｼｯｸM-PRO" w:hint="eastAsia"/>
                <w:szCs w:val="21"/>
              </w:rPr>
              <w:t>□第２回災害警戒本部会議の事前準備</w:t>
            </w:r>
          </w:p>
          <w:p w14:paraId="5C4C9CBB" w14:textId="77777777" w:rsidR="00C55354" w:rsidRPr="001D6D10" w:rsidRDefault="00C55354" w:rsidP="00C55354">
            <w:pPr>
              <w:rPr>
                <w:rFonts w:ascii="HG丸ｺﾞｼｯｸM-PRO" w:eastAsia="HG丸ｺﾞｼｯｸM-PRO" w:hAnsi="HG丸ｺﾞｼｯｸM-PRO"/>
                <w:szCs w:val="21"/>
              </w:rPr>
            </w:pPr>
            <w:r w:rsidRPr="001D6D10">
              <w:rPr>
                <w:rFonts w:ascii="HG丸ｺﾞｼｯｸM-PRO" w:eastAsia="HG丸ｺﾞｼｯｸM-PRO" w:hAnsi="HG丸ｺﾞｼｯｸM-PRO" w:hint="eastAsia"/>
                <w:szCs w:val="21"/>
              </w:rPr>
              <w:t xml:space="preserve">　・各部局へ対応状況の確認、会議での報告の要請</w:t>
            </w:r>
          </w:p>
          <w:p w14:paraId="02258F00" w14:textId="77777777" w:rsidR="00C55354" w:rsidRPr="001D6D10" w:rsidRDefault="00C55354" w:rsidP="00C55354">
            <w:pPr>
              <w:ind w:firstLineChars="100" w:firstLine="211"/>
              <w:rPr>
                <w:rFonts w:ascii="HG丸ｺﾞｼｯｸM-PRO" w:eastAsia="HG丸ｺﾞｼｯｸM-PRO" w:hAnsi="HG丸ｺﾞｼｯｸM-PRO"/>
                <w:szCs w:val="21"/>
              </w:rPr>
            </w:pPr>
            <w:r w:rsidRPr="001D6D10">
              <w:rPr>
                <w:rFonts w:ascii="HG丸ｺﾞｼｯｸM-PRO" w:eastAsia="HG丸ｺﾞｼｯｸM-PRO" w:hAnsi="HG丸ｺﾞｼｯｸM-PRO" w:hint="eastAsia"/>
                <w:szCs w:val="21"/>
              </w:rPr>
              <w:t>・庁舎・所管施設の安全点検</w:t>
            </w:r>
          </w:p>
          <w:p w14:paraId="75EB970A" w14:textId="77777777" w:rsidR="00C55354" w:rsidRPr="001D6D10" w:rsidRDefault="00C55354" w:rsidP="00C55354">
            <w:pPr>
              <w:ind w:firstLineChars="100" w:firstLine="211"/>
              <w:rPr>
                <w:rFonts w:ascii="HG丸ｺﾞｼｯｸM-PRO" w:eastAsia="HG丸ｺﾞｼｯｸM-PRO" w:hAnsi="HG丸ｺﾞｼｯｸM-PRO"/>
                <w:szCs w:val="21"/>
              </w:rPr>
            </w:pPr>
            <w:r w:rsidRPr="001D6D10">
              <w:rPr>
                <w:rFonts w:ascii="HG丸ｺﾞｼｯｸM-PRO" w:eastAsia="HG丸ｺﾞｼｯｸM-PRO" w:hAnsi="HG丸ｺﾞｼｯｸM-PRO" w:hint="eastAsia"/>
                <w:szCs w:val="21"/>
              </w:rPr>
              <w:t>・公共交通機関計画運休の確認（都市整備部との連携）</w:t>
            </w:r>
          </w:p>
          <w:p w14:paraId="6A0E42A2" w14:textId="77777777" w:rsidR="00C55354" w:rsidRPr="001D6D10" w:rsidRDefault="00C55354" w:rsidP="00C55354">
            <w:pPr>
              <w:rPr>
                <w:rFonts w:ascii="HG丸ｺﾞｼｯｸM-PRO" w:eastAsia="HG丸ｺﾞｼｯｸM-PRO" w:hAnsi="HG丸ｺﾞｼｯｸM-PRO"/>
                <w:szCs w:val="21"/>
              </w:rPr>
            </w:pPr>
            <w:r w:rsidRPr="001D6D10">
              <w:rPr>
                <w:rFonts w:ascii="HG丸ｺﾞｼｯｸM-PRO" w:eastAsia="HG丸ｺﾞｼｯｸM-PRO" w:hAnsi="HG丸ｺﾞｼｯｸM-PRO" w:hint="eastAsia"/>
                <w:szCs w:val="21"/>
              </w:rPr>
              <w:t xml:space="preserve">　・市町村（自宅療養者、避難所対応を含む）の対応状況の確認</w:t>
            </w:r>
          </w:p>
          <w:p w14:paraId="401F3644" w14:textId="77777777" w:rsidR="00C55354" w:rsidRPr="001D6D10" w:rsidRDefault="00C55354" w:rsidP="00C55354">
            <w:pPr>
              <w:ind w:firstLineChars="100" w:firstLine="211"/>
              <w:rPr>
                <w:rFonts w:ascii="HG丸ｺﾞｼｯｸM-PRO" w:eastAsia="HG丸ｺﾞｼｯｸM-PRO" w:hAnsi="HG丸ｺﾞｼｯｸM-PRO"/>
                <w:szCs w:val="21"/>
              </w:rPr>
            </w:pPr>
            <w:r w:rsidRPr="001D6D10">
              <w:rPr>
                <w:rFonts w:ascii="HG丸ｺﾞｼｯｸM-PRO" w:eastAsia="HG丸ｺﾞｼｯｸM-PRO" w:hAnsi="HG丸ｺﾞｼｯｸM-PRO" w:hint="eastAsia"/>
                <w:szCs w:val="21"/>
              </w:rPr>
              <w:t>・防災機関、ライフラインの対応状況の確認</w:t>
            </w:r>
          </w:p>
          <w:p w14:paraId="08719A62" w14:textId="77777777" w:rsidR="00335440" w:rsidRPr="001D6D10" w:rsidRDefault="00C55354" w:rsidP="00335440">
            <w:pPr>
              <w:rPr>
                <w:rFonts w:ascii="HG丸ｺﾞｼｯｸM-PRO" w:eastAsia="HG丸ｺﾞｼｯｸM-PRO" w:hAnsi="HG丸ｺﾞｼｯｸM-PRO"/>
                <w:szCs w:val="21"/>
              </w:rPr>
            </w:pPr>
            <w:r w:rsidRPr="001D6D10">
              <w:rPr>
                <w:rFonts w:ascii="HG丸ｺﾞｼｯｸM-PRO" w:eastAsia="HG丸ｺﾞｼｯｸM-PRO" w:hAnsi="HG丸ｺﾞｼｯｸM-PRO" w:hint="eastAsia"/>
                <w:szCs w:val="21"/>
              </w:rPr>
              <w:t xml:space="preserve">　・災害モード宣言の内容確認</w:t>
            </w:r>
          </w:p>
          <w:p w14:paraId="093C669D" w14:textId="77777777" w:rsidR="00C55354" w:rsidRPr="001D6D10" w:rsidRDefault="00C55354" w:rsidP="00335440">
            <w:pPr>
              <w:rPr>
                <w:rFonts w:ascii="HG丸ｺﾞｼｯｸM-PRO" w:eastAsia="HG丸ｺﾞｼｯｸM-PRO" w:hAnsi="HG丸ｺﾞｼｯｸM-PRO"/>
                <w:szCs w:val="21"/>
                <w:u w:val="single"/>
              </w:rPr>
            </w:pPr>
            <w:r w:rsidRPr="001D6D10">
              <w:rPr>
                <w:rFonts w:ascii="HG丸ｺﾞｼｯｸM-PRO" w:eastAsia="HG丸ｺﾞｼｯｸM-PRO" w:hAnsi="HG丸ｺﾞｼｯｸM-PRO" w:hint="eastAsia"/>
                <w:szCs w:val="21"/>
                <w:bdr w:val="single" w:sz="4" w:space="0" w:color="auto"/>
              </w:rPr>
              <w:t>台風説明会</w:t>
            </w:r>
          </w:p>
        </w:tc>
      </w:tr>
      <w:tr w:rsidR="001D6D10" w:rsidRPr="001D6D10" w14:paraId="0C588C3F" w14:textId="77777777" w:rsidTr="00D932D2">
        <w:trPr>
          <w:jc w:val="center"/>
        </w:trPr>
        <w:tc>
          <w:tcPr>
            <w:tcW w:w="1457" w:type="dxa"/>
            <w:vMerge/>
          </w:tcPr>
          <w:p w14:paraId="4B4BE7FE" w14:textId="77777777" w:rsidR="00D932D2" w:rsidRPr="001D6D10" w:rsidRDefault="00D932D2" w:rsidP="00D932D2">
            <w:pPr>
              <w:rPr>
                <w:rFonts w:ascii="HG丸ｺﾞｼｯｸM-PRO" w:eastAsia="HG丸ｺﾞｼｯｸM-PRO" w:hAnsi="HG丸ｺﾞｼｯｸM-PRO"/>
                <w:szCs w:val="21"/>
              </w:rPr>
            </w:pPr>
          </w:p>
        </w:tc>
        <w:tc>
          <w:tcPr>
            <w:tcW w:w="7037" w:type="dxa"/>
          </w:tcPr>
          <w:p w14:paraId="3A0FD484" w14:textId="77777777" w:rsidR="00D932D2" w:rsidRPr="001D6D10" w:rsidRDefault="00D932D2" w:rsidP="00D932D2">
            <w:pPr>
              <w:rPr>
                <w:rFonts w:ascii="HG丸ｺﾞｼｯｸM-PRO" w:eastAsia="HG丸ｺﾞｼｯｸM-PRO" w:hAnsi="HG丸ｺﾞｼｯｸM-PRO"/>
                <w:szCs w:val="21"/>
                <w:highlight w:val="yellow"/>
              </w:rPr>
            </w:pPr>
            <w:r w:rsidRPr="001D6D10">
              <w:rPr>
                <w:rFonts w:ascii="HG丸ｺﾞｼｯｸM-PRO" w:eastAsia="HG丸ｺﾞｼｯｸM-PRO" w:hAnsi="HG丸ｺﾞｼｯｸM-PRO" w:hint="eastAsia"/>
                <w:b/>
                <w:szCs w:val="21"/>
                <w:highlight w:val="yellow"/>
              </w:rPr>
              <w:t>第２回災害警戒本部会議</w:t>
            </w:r>
            <w:r w:rsidRPr="001D6D10">
              <w:rPr>
                <w:rFonts w:ascii="HG丸ｺﾞｼｯｸM-PRO" w:eastAsia="HG丸ｺﾞｼｯｸM-PRO" w:hAnsi="HG丸ｺﾞｼｯｸM-PRO" w:hint="eastAsia"/>
                <w:szCs w:val="21"/>
                <w:highlight w:val="yellow"/>
              </w:rPr>
              <w:t>（災害モード宣言の発信）</w:t>
            </w:r>
            <w:r w:rsidR="00CB0ABF" w:rsidRPr="001D6D10">
              <w:rPr>
                <w:rFonts w:ascii="HG丸ｺﾞｼｯｸM-PRO" w:eastAsia="HG丸ｺﾞｼｯｸM-PRO" w:hAnsi="HG丸ｺﾞｼｯｸM-PRO" w:hint="eastAsia"/>
                <w:szCs w:val="21"/>
                <w:highlight w:val="yellow"/>
              </w:rPr>
              <w:t>（Ｐ47</w:t>
            </w:r>
            <w:r w:rsidR="0010145B" w:rsidRPr="001D6D10">
              <w:rPr>
                <w:rFonts w:ascii="HG丸ｺﾞｼｯｸM-PRO" w:eastAsia="HG丸ｺﾞｼｯｸM-PRO" w:hAnsi="HG丸ｺﾞｼｯｸM-PRO" w:hint="eastAsia"/>
                <w:szCs w:val="21"/>
                <w:highlight w:val="yellow"/>
              </w:rPr>
              <w:t>参照）</w:t>
            </w:r>
          </w:p>
        </w:tc>
      </w:tr>
      <w:tr w:rsidR="001D6D10" w:rsidRPr="001D6D10" w14:paraId="32291A6E" w14:textId="77777777" w:rsidTr="00D932D2">
        <w:trPr>
          <w:jc w:val="center"/>
        </w:trPr>
        <w:tc>
          <w:tcPr>
            <w:tcW w:w="1457" w:type="dxa"/>
            <w:vMerge/>
          </w:tcPr>
          <w:p w14:paraId="3C08FA85" w14:textId="77777777" w:rsidR="00D932D2" w:rsidRPr="001D6D10" w:rsidRDefault="00D932D2" w:rsidP="00D932D2">
            <w:pPr>
              <w:rPr>
                <w:rFonts w:ascii="HG丸ｺﾞｼｯｸM-PRO" w:eastAsia="HG丸ｺﾞｼｯｸM-PRO" w:hAnsi="HG丸ｺﾞｼｯｸM-PRO"/>
                <w:szCs w:val="21"/>
              </w:rPr>
            </w:pPr>
          </w:p>
        </w:tc>
        <w:tc>
          <w:tcPr>
            <w:tcW w:w="7037" w:type="dxa"/>
          </w:tcPr>
          <w:p w14:paraId="3F7F8B8B" w14:textId="77777777" w:rsidR="008F33AD" w:rsidRPr="001D6D10" w:rsidRDefault="008F33AD" w:rsidP="008F33AD">
            <w:pPr>
              <w:rPr>
                <w:rFonts w:ascii="HG丸ｺﾞｼｯｸM-PRO" w:eastAsia="HG丸ｺﾞｼｯｸM-PRO" w:hAnsi="HG丸ｺﾞｼｯｸM-PRO"/>
                <w:szCs w:val="21"/>
              </w:rPr>
            </w:pPr>
            <w:r w:rsidRPr="001D6D10">
              <w:rPr>
                <w:rFonts w:ascii="HG丸ｺﾞｼｯｸM-PRO" w:eastAsia="HG丸ｺﾞｼｯｸM-PRO" w:hAnsi="HG丸ｺﾞｼｯｸM-PRO" w:hint="eastAsia"/>
                <w:szCs w:val="21"/>
              </w:rPr>
              <w:t>□災害対策本部の設置</w:t>
            </w:r>
          </w:p>
          <w:p w14:paraId="1B193B6D" w14:textId="77777777" w:rsidR="008F33AD" w:rsidRPr="001D6D10" w:rsidRDefault="008F33AD" w:rsidP="008F33AD">
            <w:pPr>
              <w:rPr>
                <w:rFonts w:ascii="HG丸ｺﾞｼｯｸM-PRO" w:eastAsia="HG丸ｺﾞｼｯｸM-PRO" w:hAnsi="HG丸ｺﾞｼｯｸM-PRO"/>
                <w:szCs w:val="21"/>
              </w:rPr>
            </w:pPr>
            <w:r w:rsidRPr="001D6D10">
              <w:rPr>
                <w:rFonts w:ascii="HG丸ｺﾞｼｯｸM-PRO" w:eastAsia="HG丸ｺﾞｼｯｸM-PRO" w:hAnsi="HG丸ｺﾞｼｯｸM-PRO" w:hint="eastAsia"/>
                <w:szCs w:val="21"/>
              </w:rPr>
              <w:t>□災害モード宣言の周知</w:t>
            </w:r>
          </w:p>
          <w:p w14:paraId="3209759A" w14:textId="77777777" w:rsidR="008F33AD" w:rsidRPr="001D6D10" w:rsidRDefault="008F33AD" w:rsidP="008F33AD">
            <w:pPr>
              <w:ind w:firstLineChars="100" w:firstLine="211"/>
              <w:rPr>
                <w:rFonts w:ascii="HG丸ｺﾞｼｯｸM-PRO" w:eastAsia="HG丸ｺﾞｼｯｸM-PRO" w:hAnsi="HG丸ｺﾞｼｯｸM-PRO"/>
                <w:szCs w:val="21"/>
              </w:rPr>
            </w:pPr>
            <w:r w:rsidRPr="001D6D10">
              <w:rPr>
                <w:rFonts w:ascii="HG丸ｺﾞｼｯｸM-PRO" w:eastAsia="HG丸ｺﾞｼｯｸM-PRO" w:hAnsi="HG丸ｺﾞｼｯｸM-PRO" w:hint="eastAsia"/>
                <w:szCs w:val="21"/>
              </w:rPr>
              <w:t>・市町村等への周知及び協力要請</w:t>
            </w:r>
          </w:p>
          <w:p w14:paraId="2FF166D8" w14:textId="77777777" w:rsidR="008F33AD" w:rsidRPr="001D6D10" w:rsidRDefault="008F33AD" w:rsidP="008F33AD">
            <w:pPr>
              <w:ind w:firstLineChars="100" w:firstLine="211"/>
              <w:rPr>
                <w:rFonts w:ascii="HG丸ｺﾞｼｯｸM-PRO" w:eastAsia="HG丸ｺﾞｼｯｸM-PRO" w:hAnsi="HG丸ｺﾞｼｯｸM-PRO"/>
                <w:szCs w:val="21"/>
              </w:rPr>
            </w:pPr>
            <w:r w:rsidRPr="001D6D10">
              <w:rPr>
                <w:rFonts w:ascii="HG丸ｺﾞｼｯｸM-PRO" w:eastAsia="HG丸ｺﾞｼｯｸM-PRO" w:hAnsi="HG丸ｺﾞｼｯｸM-PRO" w:hint="eastAsia"/>
                <w:szCs w:val="21"/>
              </w:rPr>
              <w:t>・関係機関等への情報提供</w:t>
            </w:r>
          </w:p>
          <w:p w14:paraId="4DE503FD" w14:textId="77777777" w:rsidR="004A0201" w:rsidRDefault="008F33AD" w:rsidP="008F33AD">
            <w:pPr>
              <w:ind w:firstLineChars="100" w:firstLine="211"/>
              <w:rPr>
                <w:rFonts w:ascii="HG丸ｺﾞｼｯｸM-PRO" w:eastAsia="HG丸ｺﾞｼｯｸM-PRO" w:hAnsi="HG丸ｺﾞｼｯｸM-PRO"/>
                <w:szCs w:val="21"/>
              </w:rPr>
            </w:pPr>
            <w:r w:rsidRPr="001D6D10">
              <w:rPr>
                <w:rFonts w:ascii="HG丸ｺﾞｼｯｸM-PRO" w:eastAsia="HG丸ｺﾞｼｯｸM-PRO" w:hAnsi="HG丸ｺﾞｼｯｸM-PRO" w:hint="eastAsia"/>
                <w:szCs w:val="21"/>
              </w:rPr>
              <w:t>・おおさか防災ネット（緊急情報）並びに同</w:t>
            </w:r>
            <w:r w:rsidR="004A0201" w:rsidRPr="00747FDC">
              <w:rPr>
                <w:rFonts w:ascii="HG丸ｺﾞｼｯｸM-PRO" w:eastAsia="HG丸ｺﾞｼｯｸM-PRO" w:hAnsi="HG丸ｺﾞｼｯｸM-PRO" w:hint="eastAsia"/>
                <w:szCs w:val="21"/>
              </w:rPr>
              <w:t>X</w:t>
            </w:r>
            <w:r w:rsidRPr="001D6D10">
              <w:rPr>
                <w:rFonts w:ascii="HG丸ｺﾞｼｯｸM-PRO" w:eastAsia="HG丸ｺﾞｼｯｸM-PRO" w:hAnsi="HG丸ｺﾞｼｯｸM-PRO" w:hint="eastAsia"/>
                <w:szCs w:val="21"/>
              </w:rPr>
              <w:t>による府民に対する</w:t>
            </w:r>
          </w:p>
          <w:p w14:paraId="24FE1548" w14:textId="44495F97" w:rsidR="008F33AD" w:rsidRPr="001D6D10" w:rsidRDefault="008F33AD" w:rsidP="004A0201">
            <w:pPr>
              <w:ind w:firstLineChars="200" w:firstLine="422"/>
              <w:rPr>
                <w:rFonts w:ascii="HG丸ｺﾞｼｯｸM-PRO" w:eastAsia="HG丸ｺﾞｼｯｸM-PRO" w:hAnsi="HG丸ｺﾞｼｯｸM-PRO"/>
                <w:szCs w:val="21"/>
              </w:rPr>
            </w:pPr>
            <w:r w:rsidRPr="001D6D10">
              <w:rPr>
                <w:rFonts w:ascii="HG丸ｺﾞｼｯｸM-PRO" w:eastAsia="HG丸ｺﾞｼｯｸM-PRO" w:hAnsi="HG丸ｺﾞｼｯｸM-PRO" w:hint="eastAsia"/>
                <w:szCs w:val="21"/>
              </w:rPr>
              <w:t>周知</w:t>
            </w:r>
          </w:p>
          <w:p w14:paraId="42833808" w14:textId="77777777" w:rsidR="008F33AD" w:rsidRPr="001D6D10" w:rsidRDefault="008F33AD" w:rsidP="008F33AD">
            <w:pPr>
              <w:ind w:firstLineChars="100" w:firstLine="211"/>
              <w:rPr>
                <w:rFonts w:ascii="HG丸ｺﾞｼｯｸM-PRO" w:eastAsia="HG丸ｺﾞｼｯｸM-PRO" w:hAnsi="HG丸ｺﾞｼｯｸM-PRO"/>
                <w:szCs w:val="21"/>
              </w:rPr>
            </w:pPr>
            <w:r w:rsidRPr="001D6D10">
              <w:rPr>
                <w:rFonts w:ascii="HG丸ｺﾞｼｯｸM-PRO" w:eastAsia="HG丸ｺﾞｼｯｸM-PRO" w:hAnsi="HG丸ｺﾞｼｯｸM-PRO" w:hint="eastAsia"/>
                <w:szCs w:val="21"/>
              </w:rPr>
              <w:t>・報道機関への情報提供</w:t>
            </w:r>
          </w:p>
          <w:p w14:paraId="3F0972AF" w14:textId="77777777" w:rsidR="008F33AD" w:rsidRPr="001D6D10" w:rsidRDefault="008F33AD" w:rsidP="008F33AD">
            <w:pPr>
              <w:rPr>
                <w:rFonts w:ascii="HG丸ｺﾞｼｯｸM-PRO" w:eastAsia="HG丸ｺﾞｼｯｸM-PRO" w:hAnsi="HG丸ｺﾞｼｯｸM-PRO"/>
                <w:szCs w:val="21"/>
              </w:rPr>
            </w:pPr>
            <w:r w:rsidRPr="001D6D10">
              <w:rPr>
                <w:rFonts w:ascii="HG丸ｺﾞｼｯｸM-PRO" w:eastAsia="HG丸ｺﾞｼｯｸM-PRO" w:hAnsi="HG丸ｺﾞｼｯｸM-PRO" w:hint="eastAsia"/>
                <w:szCs w:val="21"/>
              </w:rPr>
              <w:t>□リエゾン派遣受入れ要請（関係機関）</w:t>
            </w:r>
          </w:p>
          <w:p w14:paraId="68816D00" w14:textId="77777777" w:rsidR="008F33AD" w:rsidRPr="001D6D10" w:rsidRDefault="008F33AD" w:rsidP="008F33AD">
            <w:pPr>
              <w:rPr>
                <w:rFonts w:ascii="HG丸ｺﾞｼｯｸM-PRO" w:eastAsia="HG丸ｺﾞｼｯｸM-PRO" w:hAnsi="HG丸ｺﾞｼｯｸM-PRO"/>
                <w:szCs w:val="21"/>
              </w:rPr>
            </w:pPr>
            <w:r w:rsidRPr="001D6D10">
              <w:rPr>
                <w:rFonts w:ascii="HG丸ｺﾞｼｯｸM-PRO" w:eastAsia="HG丸ｺﾞｼｯｸM-PRO" w:hAnsi="HG丸ｺﾞｼｯｸM-PRO" w:hint="eastAsia"/>
                <w:szCs w:val="21"/>
              </w:rPr>
              <w:t>□リエゾン派遣準備（市町村）</w:t>
            </w:r>
          </w:p>
          <w:p w14:paraId="483F9980" w14:textId="77777777" w:rsidR="008F33AD" w:rsidRPr="001D6D10" w:rsidRDefault="008F33AD" w:rsidP="008F33AD">
            <w:pPr>
              <w:rPr>
                <w:rFonts w:ascii="HG丸ｺﾞｼｯｸM-PRO" w:eastAsia="HG丸ｺﾞｼｯｸM-PRO" w:hAnsi="HG丸ｺﾞｼｯｸM-PRO"/>
                <w:szCs w:val="21"/>
              </w:rPr>
            </w:pPr>
            <w:r w:rsidRPr="001D6D10">
              <w:rPr>
                <w:rFonts w:ascii="HG丸ｺﾞｼｯｸM-PRO" w:eastAsia="HG丸ｺﾞｼｯｸM-PRO" w:hAnsi="HG丸ｺﾞｼｯｸM-PRO" w:hint="eastAsia"/>
                <w:szCs w:val="21"/>
              </w:rPr>
              <w:t>□移動基地局の準備</w:t>
            </w:r>
          </w:p>
          <w:p w14:paraId="4AF0B10B" w14:textId="77777777" w:rsidR="008F33AD" w:rsidRPr="001D6D10" w:rsidRDefault="008F33AD" w:rsidP="008F33AD">
            <w:pPr>
              <w:rPr>
                <w:rFonts w:ascii="HG丸ｺﾞｼｯｸM-PRO" w:eastAsia="HG丸ｺﾞｼｯｸM-PRO" w:hAnsi="HG丸ｺﾞｼｯｸM-PRO"/>
                <w:szCs w:val="21"/>
              </w:rPr>
            </w:pPr>
            <w:r w:rsidRPr="001D6D10">
              <w:rPr>
                <w:rFonts w:ascii="HG丸ｺﾞｼｯｸM-PRO" w:eastAsia="HG丸ｺﾞｼｯｸM-PRO" w:hAnsi="HG丸ｺﾞｼｯｸM-PRO" w:hint="eastAsia"/>
                <w:szCs w:val="21"/>
              </w:rPr>
              <w:t>□被害情報の収集開始</w:t>
            </w:r>
          </w:p>
          <w:p w14:paraId="0EC4E245" w14:textId="77777777" w:rsidR="00D932D2" w:rsidRPr="001D6D10" w:rsidRDefault="008F33AD" w:rsidP="008F33AD">
            <w:pPr>
              <w:rPr>
                <w:rFonts w:ascii="HG丸ｺﾞｼｯｸM-PRO" w:eastAsia="HG丸ｺﾞｼｯｸM-PRO" w:hAnsi="HG丸ｺﾞｼｯｸM-PRO"/>
                <w:szCs w:val="21"/>
              </w:rPr>
            </w:pPr>
            <w:r w:rsidRPr="001D6D10">
              <w:rPr>
                <w:rFonts w:ascii="HG丸ｺﾞｼｯｸM-PRO" w:eastAsia="HG丸ｺﾞｼｯｸM-PRO" w:hAnsi="HG丸ｺﾞｼｯｸM-PRO" w:hint="eastAsia"/>
                <w:szCs w:val="21"/>
              </w:rPr>
              <w:t>□災害救助法適用に向けた準備</w:t>
            </w:r>
          </w:p>
        </w:tc>
      </w:tr>
    </w:tbl>
    <w:p w14:paraId="6DE7ABA0" w14:textId="77777777" w:rsidR="00A47CBC" w:rsidRPr="001D6D10" w:rsidRDefault="00A47CBC" w:rsidP="00A47CBC">
      <w:pPr>
        <w:rPr>
          <w:rFonts w:ascii="HG丸ｺﾞｼｯｸM-PRO" w:eastAsia="HG丸ｺﾞｼｯｸM-PRO" w:hAnsi="HG丸ｺﾞｼｯｸM-PRO"/>
          <w:sz w:val="22"/>
          <w:szCs w:val="22"/>
        </w:rPr>
      </w:pPr>
      <w:r w:rsidRPr="001D6D10">
        <w:rPr>
          <w:rFonts w:ascii="HG丸ｺﾞｼｯｸM-PRO" w:eastAsia="HG丸ｺﾞｼｯｸM-PRO" w:hAnsi="HG丸ｺﾞｼｯｸM-PRO" w:hint="eastAsia"/>
          <w:sz w:val="22"/>
          <w:szCs w:val="22"/>
        </w:rPr>
        <w:t>※主な所管施設：</w:t>
      </w:r>
      <w:r w:rsidR="00AA6340" w:rsidRPr="001D6D10">
        <w:rPr>
          <w:rFonts w:ascii="HG丸ｺﾞｼｯｸM-PRO" w:eastAsia="HG丸ｺﾞｼｯｸM-PRO" w:hAnsi="HG丸ｺﾞｼｯｸM-PRO" w:hint="eastAsia"/>
          <w:sz w:val="22"/>
          <w:szCs w:val="22"/>
        </w:rPr>
        <w:t>消防学校</w:t>
      </w:r>
      <w:r w:rsidR="007C5678" w:rsidRPr="001D6D10">
        <w:rPr>
          <w:rFonts w:ascii="HG丸ｺﾞｼｯｸM-PRO" w:eastAsia="HG丸ｺﾞｼｯｸM-PRO" w:hAnsi="HG丸ｺﾞｼｯｸM-PRO" w:hint="eastAsia"/>
          <w:sz w:val="22"/>
          <w:szCs w:val="22"/>
        </w:rPr>
        <w:t>、防災拠点</w:t>
      </w:r>
    </w:p>
    <w:p w14:paraId="6BB005C5" w14:textId="77777777" w:rsidR="00A47CBC" w:rsidRPr="001D6D10" w:rsidRDefault="00A47CBC" w:rsidP="001062D2">
      <w:pPr>
        <w:ind w:left="1769" w:hangingChars="800" w:hanging="1769"/>
        <w:rPr>
          <w:rFonts w:ascii="HG丸ｺﾞｼｯｸM-PRO" w:eastAsia="HG丸ｺﾞｼｯｸM-PRO" w:hAnsi="HG丸ｺﾞｼｯｸM-PRO"/>
          <w:sz w:val="22"/>
          <w:szCs w:val="22"/>
        </w:rPr>
      </w:pPr>
      <w:r w:rsidRPr="001D6D10">
        <w:rPr>
          <w:rFonts w:ascii="HG丸ｺﾞｼｯｸM-PRO" w:eastAsia="HG丸ｺﾞｼｯｸM-PRO" w:hAnsi="HG丸ｺﾞｼｯｸM-PRO" w:hint="eastAsia"/>
          <w:sz w:val="22"/>
          <w:szCs w:val="22"/>
        </w:rPr>
        <w:t xml:space="preserve">　　　</w:t>
      </w:r>
      <w:r w:rsidR="003C35B6" w:rsidRPr="001D6D10">
        <w:rPr>
          <w:rFonts w:ascii="HG丸ｺﾞｼｯｸM-PRO" w:eastAsia="HG丸ｺﾞｼｯｸM-PRO" w:hAnsi="HG丸ｺﾞｼｯｸM-PRO" w:hint="eastAsia"/>
          <w:sz w:val="22"/>
          <w:szCs w:val="22"/>
        </w:rPr>
        <w:t>関係機関：気象台、</w:t>
      </w:r>
      <w:r w:rsidR="007E740C" w:rsidRPr="001D6D10">
        <w:rPr>
          <w:rFonts w:ascii="HG丸ｺﾞｼｯｸM-PRO" w:eastAsia="HG丸ｺﾞｼｯｸM-PRO" w:hAnsi="HG丸ｺﾞｼｯｸM-PRO" w:hint="eastAsia"/>
          <w:sz w:val="22"/>
          <w:szCs w:val="22"/>
        </w:rPr>
        <w:t>消防、警察、自衛隊</w:t>
      </w:r>
      <w:r w:rsidR="00BD7B0B" w:rsidRPr="001D6D10">
        <w:rPr>
          <w:rFonts w:ascii="HG丸ｺﾞｼｯｸM-PRO" w:eastAsia="HG丸ｺﾞｼｯｸM-PRO" w:hAnsi="HG丸ｺﾞｼｯｸM-PRO" w:hint="eastAsia"/>
          <w:sz w:val="22"/>
          <w:szCs w:val="22"/>
        </w:rPr>
        <w:t>、</w:t>
      </w:r>
      <w:r w:rsidR="003C35B6" w:rsidRPr="001D6D10">
        <w:rPr>
          <w:rFonts w:ascii="HG丸ｺﾞｼｯｸM-PRO" w:eastAsia="HG丸ｺﾞｼｯｸM-PRO" w:hAnsi="HG丸ｺﾞｼｯｸM-PRO" w:hint="eastAsia"/>
          <w:sz w:val="22"/>
          <w:szCs w:val="22"/>
        </w:rPr>
        <w:t>関西電力</w:t>
      </w:r>
      <w:r w:rsidR="00FC222F" w:rsidRPr="001D6D10">
        <w:rPr>
          <w:rFonts w:ascii="HG丸ｺﾞｼｯｸM-PRO" w:eastAsia="HG丸ｺﾞｼｯｸM-PRO" w:hAnsi="HG丸ｺﾞｼｯｸM-PRO" w:hint="eastAsia"/>
          <w:sz w:val="22"/>
          <w:szCs w:val="22"/>
        </w:rPr>
        <w:t>送配電</w:t>
      </w:r>
      <w:r w:rsidR="003C35B6" w:rsidRPr="001D6D10">
        <w:rPr>
          <w:rFonts w:ascii="HG丸ｺﾞｼｯｸM-PRO" w:eastAsia="HG丸ｺﾞｼｯｸM-PRO" w:hAnsi="HG丸ｺﾞｼｯｸM-PRO" w:hint="eastAsia"/>
          <w:sz w:val="22"/>
          <w:szCs w:val="22"/>
        </w:rPr>
        <w:t>㈱、大阪ガス</w:t>
      </w:r>
      <w:r w:rsidR="003C35B6" w:rsidRPr="001D6D10">
        <w:rPr>
          <w:rFonts w:ascii="HG丸ｺﾞｼｯｸM-PRO" w:eastAsia="HG丸ｺﾞｼｯｸM-PRO" w:hAnsi="HG丸ｺﾞｼｯｸM-PRO"/>
          <w:sz w:val="22"/>
          <w:szCs w:val="22"/>
        </w:rPr>
        <w:t>(株)</w:t>
      </w:r>
      <w:r w:rsidR="001062D2" w:rsidRPr="001D6D10">
        <w:rPr>
          <w:rFonts w:ascii="HG丸ｺﾞｼｯｸM-PRO" w:eastAsia="HG丸ｺﾞｼｯｸM-PRO" w:hAnsi="HG丸ｺﾞｼｯｸM-PRO" w:hint="eastAsia"/>
          <w:sz w:val="22"/>
          <w:szCs w:val="22"/>
        </w:rPr>
        <w:t>、</w:t>
      </w:r>
      <w:r w:rsidR="00B21107" w:rsidRPr="001D6D10">
        <w:rPr>
          <w:rFonts w:ascii="HG丸ｺﾞｼｯｸM-PRO" w:eastAsia="HG丸ｺﾞｼｯｸM-PRO" w:hAnsi="HG丸ｺﾞｼｯｸM-PRO" w:hint="eastAsia"/>
          <w:sz w:val="22"/>
          <w:szCs w:val="22"/>
        </w:rPr>
        <w:t>情報</w:t>
      </w:r>
      <w:r w:rsidR="003C35B6" w:rsidRPr="001D6D10">
        <w:rPr>
          <w:rFonts w:ascii="HG丸ｺﾞｼｯｸM-PRO" w:eastAsia="HG丸ｺﾞｼｯｸM-PRO" w:hAnsi="HG丸ｺﾞｼｯｸM-PRO"/>
          <w:sz w:val="22"/>
          <w:szCs w:val="22"/>
        </w:rPr>
        <w:t>通信会社等</w:t>
      </w:r>
    </w:p>
    <w:p w14:paraId="5ADA3F17" w14:textId="4F8FE81D" w:rsidR="003228A3" w:rsidRPr="001D6D10" w:rsidRDefault="00AA6340" w:rsidP="00A47CBC">
      <w:pPr>
        <w:rPr>
          <w:rFonts w:ascii="HG丸ｺﾞｼｯｸM-PRO" w:eastAsia="HG丸ｺﾞｼｯｸM-PRO" w:hAnsi="HG丸ｺﾞｼｯｸM-PRO"/>
          <w:sz w:val="22"/>
          <w:szCs w:val="22"/>
        </w:rPr>
      </w:pPr>
      <w:r w:rsidRPr="001D6D10">
        <w:rPr>
          <w:rFonts w:ascii="HG丸ｺﾞｼｯｸM-PRO" w:eastAsia="HG丸ｺﾞｼｯｸM-PRO" w:hAnsi="HG丸ｺﾞｼｯｸM-PRO" w:hint="eastAsia"/>
          <w:sz w:val="22"/>
          <w:szCs w:val="22"/>
        </w:rPr>
        <w:t xml:space="preserve">　　　システム：大阪</w:t>
      </w:r>
      <w:r w:rsidR="00AB6FBD">
        <w:rPr>
          <w:rFonts w:ascii="HG丸ｺﾞｼｯｸM-PRO" w:eastAsia="HG丸ｺﾞｼｯｸM-PRO" w:hAnsi="HG丸ｺﾞｼｯｸM-PRO" w:hint="eastAsia"/>
          <w:sz w:val="22"/>
          <w:szCs w:val="22"/>
        </w:rPr>
        <w:t>府</w:t>
      </w:r>
      <w:r w:rsidRPr="001D6D10">
        <w:rPr>
          <w:rFonts w:ascii="HG丸ｺﾞｼｯｸM-PRO" w:eastAsia="HG丸ｺﾞｼｯｸM-PRO" w:hAnsi="HG丸ｺﾞｼｯｸM-PRO" w:hint="eastAsia"/>
          <w:sz w:val="22"/>
          <w:szCs w:val="22"/>
        </w:rPr>
        <w:t>防災情報</w:t>
      </w:r>
      <w:r w:rsidR="00A47CBC" w:rsidRPr="001D6D10">
        <w:rPr>
          <w:rFonts w:ascii="HG丸ｺﾞｼｯｸM-PRO" w:eastAsia="HG丸ｺﾞｼｯｸM-PRO" w:hAnsi="HG丸ｺﾞｼｯｸM-PRO" w:hint="eastAsia"/>
          <w:sz w:val="22"/>
          <w:szCs w:val="22"/>
        </w:rPr>
        <w:t>システム</w:t>
      </w:r>
    </w:p>
    <w:p w14:paraId="01B33E2F" w14:textId="77777777" w:rsidR="00225C00" w:rsidRPr="001D6D10" w:rsidRDefault="00F77CD7" w:rsidP="00EB20A0">
      <w:pPr>
        <w:rPr>
          <w:rFonts w:ascii="ＭＳ ゴシック" w:eastAsia="ＭＳ ゴシック" w:hAnsi="ＭＳ ゴシック"/>
          <w:sz w:val="18"/>
          <w:szCs w:val="22"/>
        </w:rPr>
      </w:pPr>
      <w:r w:rsidRPr="001D6D10">
        <w:rPr>
          <w:rFonts w:ascii="ＭＳ ゴシック" w:eastAsia="ＭＳ ゴシック" w:hAnsi="ＭＳ ゴシック" w:hint="eastAsia"/>
          <w:sz w:val="18"/>
          <w:szCs w:val="22"/>
        </w:rPr>
        <w:t>※）本タイムラインから状況に応じて必要な項目を選定し、実施するものとする。</w:t>
      </w:r>
    </w:p>
    <w:p w14:paraId="546548F8" w14:textId="77777777" w:rsidR="0094397A" w:rsidRPr="001D6D10" w:rsidRDefault="0094397A" w:rsidP="00C96DF8">
      <w:pPr>
        <w:rPr>
          <w:rFonts w:ascii="ＭＳ ゴシック" w:eastAsia="ＭＳ ゴシック" w:hAnsi="ＭＳ ゴシック"/>
          <w:sz w:val="22"/>
          <w:szCs w:val="22"/>
        </w:rPr>
      </w:pPr>
    </w:p>
    <w:p w14:paraId="4CAD3F44" w14:textId="77777777" w:rsidR="008F33AD" w:rsidRPr="001D6D10" w:rsidRDefault="008F33AD" w:rsidP="00C96DF8">
      <w:pPr>
        <w:rPr>
          <w:rFonts w:ascii="ＭＳ ゴシック" w:eastAsia="ＭＳ ゴシック" w:hAnsi="ＭＳ ゴシック"/>
          <w:sz w:val="22"/>
          <w:szCs w:val="22"/>
        </w:rPr>
      </w:pPr>
    </w:p>
    <w:p w14:paraId="2D60F722" w14:textId="77777777" w:rsidR="004168C4" w:rsidRPr="001D6D10" w:rsidRDefault="004168C4" w:rsidP="00C96DF8">
      <w:pPr>
        <w:rPr>
          <w:rFonts w:ascii="ＭＳ ゴシック" w:eastAsia="ＭＳ ゴシック" w:hAnsi="ＭＳ ゴシック"/>
          <w:sz w:val="22"/>
          <w:szCs w:val="22"/>
        </w:rPr>
      </w:pPr>
    </w:p>
    <w:p w14:paraId="7BF5AE9C" w14:textId="77777777" w:rsidR="00C96DF8" w:rsidRPr="001D6D10" w:rsidRDefault="00582BF7" w:rsidP="00C96DF8">
      <w:pPr>
        <w:rPr>
          <w:rFonts w:ascii="ＭＳ ゴシック" w:eastAsia="ＭＳ ゴシック" w:hAnsi="ＭＳ ゴシック"/>
          <w:sz w:val="22"/>
          <w:szCs w:val="22"/>
        </w:rPr>
      </w:pPr>
      <w:r w:rsidRPr="001D6D10">
        <w:rPr>
          <w:rFonts w:ascii="ＭＳ ゴシック" w:eastAsia="ＭＳ ゴシック" w:hAnsi="ＭＳ ゴシック" w:hint="eastAsia"/>
          <w:sz w:val="22"/>
          <w:szCs w:val="22"/>
        </w:rPr>
        <w:lastRenderedPageBreak/>
        <w:t>②</w:t>
      </w:r>
      <w:r w:rsidR="00C96DF8" w:rsidRPr="001D6D10">
        <w:rPr>
          <w:rFonts w:ascii="ＭＳ ゴシック" w:eastAsia="ＭＳ ゴシック" w:hAnsi="ＭＳ ゴシック" w:hint="eastAsia"/>
          <w:sz w:val="22"/>
          <w:szCs w:val="22"/>
        </w:rPr>
        <w:t>政策企画部</w:t>
      </w:r>
    </w:p>
    <w:tbl>
      <w:tblPr>
        <w:tblpPr w:leftFromText="142" w:rightFromText="142" w:vertAnchor="text" w:tblpXSpec="center" w:tblpY="1"/>
        <w:tblOverlap w:val="neve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57"/>
        <w:gridCol w:w="7037"/>
      </w:tblGrid>
      <w:tr w:rsidR="001D6D10" w:rsidRPr="001D6D10" w14:paraId="7B57B947" w14:textId="77777777" w:rsidTr="00C96DF8">
        <w:trPr>
          <w:jc w:val="center"/>
        </w:trPr>
        <w:tc>
          <w:tcPr>
            <w:tcW w:w="1457" w:type="dxa"/>
            <w:tcBorders>
              <w:bottom w:val="single" w:sz="4" w:space="0" w:color="auto"/>
            </w:tcBorders>
            <w:shd w:val="clear" w:color="auto" w:fill="BFBFBF"/>
          </w:tcPr>
          <w:p w14:paraId="1B38A005" w14:textId="77777777" w:rsidR="00C96DF8" w:rsidRPr="001D6D10" w:rsidRDefault="00C96DF8" w:rsidP="00C96DF8">
            <w:pPr>
              <w:jc w:val="center"/>
              <w:rPr>
                <w:rFonts w:ascii="HG丸ｺﾞｼｯｸM-PRO" w:eastAsia="HG丸ｺﾞｼｯｸM-PRO" w:hAnsi="HG丸ｺﾞｼｯｸM-PRO"/>
                <w:szCs w:val="21"/>
              </w:rPr>
            </w:pPr>
            <w:r w:rsidRPr="001D6D10">
              <w:rPr>
                <w:rFonts w:ascii="HG丸ｺﾞｼｯｸM-PRO" w:eastAsia="HG丸ｺﾞｼｯｸM-PRO" w:hAnsi="HG丸ｺﾞｼｯｸM-PRO" w:hint="eastAsia"/>
                <w:szCs w:val="21"/>
              </w:rPr>
              <w:t>時　期</w:t>
            </w:r>
          </w:p>
        </w:tc>
        <w:tc>
          <w:tcPr>
            <w:tcW w:w="7037" w:type="dxa"/>
            <w:tcBorders>
              <w:bottom w:val="single" w:sz="4" w:space="0" w:color="auto"/>
            </w:tcBorders>
            <w:shd w:val="clear" w:color="auto" w:fill="BFBFBF"/>
          </w:tcPr>
          <w:p w14:paraId="665F9158" w14:textId="77777777" w:rsidR="00C96DF8" w:rsidRPr="001D6D10" w:rsidRDefault="00E31DA1" w:rsidP="00C96DF8">
            <w:pPr>
              <w:jc w:val="center"/>
              <w:rPr>
                <w:rFonts w:ascii="HG丸ｺﾞｼｯｸM-PRO" w:eastAsia="HG丸ｺﾞｼｯｸM-PRO" w:hAnsi="HG丸ｺﾞｼｯｸM-PRO"/>
                <w:szCs w:val="21"/>
              </w:rPr>
            </w:pPr>
            <w:r w:rsidRPr="001D6D10">
              <w:rPr>
                <w:rFonts w:ascii="HG丸ｺﾞｼｯｸM-PRO" w:eastAsia="HG丸ｺﾞｼｯｸM-PRO" w:hAnsi="HG丸ｺﾞｼｯｸM-PRO" w:hint="eastAsia"/>
                <w:szCs w:val="21"/>
              </w:rPr>
              <w:t>主な事前準備</w:t>
            </w:r>
            <w:r w:rsidR="00C96DF8" w:rsidRPr="001D6D10">
              <w:rPr>
                <w:rFonts w:ascii="HG丸ｺﾞｼｯｸM-PRO" w:eastAsia="HG丸ｺﾞｼｯｸM-PRO" w:hAnsi="HG丸ｺﾞｼｯｸM-PRO" w:hint="eastAsia"/>
                <w:szCs w:val="21"/>
              </w:rPr>
              <w:t>業務</w:t>
            </w:r>
          </w:p>
        </w:tc>
      </w:tr>
      <w:tr w:rsidR="001D6D10" w:rsidRPr="001D6D10" w14:paraId="0309BF28" w14:textId="77777777" w:rsidTr="00C96DF8">
        <w:trPr>
          <w:jc w:val="center"/>
        </w:trPr>
        <w:tc>
          <w:tcPr>
            <w:tcW w:w="1457" w:type="dxa"/>
            <w:vMerge w:val="restart"/>
            <w:shd w:val="clear" w:color="auto" w:fill="FFFFFF" w:themeFill="background1"/>
          </w:tcPr>
          <w:p w14:paraId="6F6BD09A" w14:textId="77777777" w:rsidR="002B3D2C" w:rsidRPr="001D6D10" w:rsidRDefault="002B3D2C" w:rsidP="00C96DF8">
            <w:pPr>
              <w:jc w:val="center"/>
              <w:rPr>
                <w:rFonts w:ascii="HG丸ｺﾞｼｯｸM-PRO" w:eastAsia="HG丸ｺﾞｼｯｸM-PRO" w:hAnsi="HG丸ｺﾞｼｯｸM-PRO"/>
                <w:szCs w:val="21"/>
              </w:rPr>
            </w:pPr>
          </w:p>
          <w:p w14:paraId="162E8EDF" w14:textId="77777777" w:rsidR="002B3D2C" w:rsidRPr="001D6D10" w:rsidRDefault="002B3D2C" w:rsidP="00C96DF8">
            <w:pPr>
              <w:jc w:val="center"/>
              <w:rPr>
                <w:rFonts w:ascii="HG丸ｺﾞｼｯｸM-PRO" w:eastAsia="HG丸ｺﾞｼｯｸM-PRO" w:hAnsi="HG丸ｺﾞｼｯｸM-PRO"/>
                <w:szCs w:val="21"/>
              </w:rPr>
            </w:pPr>
          </w:p>
          <w:p w14:paraId="132BBC48" w14:textId="77777777" w:rsidR="002B3D2C" w:rsidRPr="001D6D10" w:rsidRDefault="002B3D2C" w:rsidP="00C96DF8">
            <w:pPr>
              <w:jc w:val="center"/>
              <w:rPr>
                <w:rFonts w:ascii="HG丸ｺﾞｼｯｸM-PRO" w:eastAsia="HG丸ｺﾞｼｯｸM-PRO" w:hAnsi="HG丸ｺﾞｼｯｸM-PRO"/>
                <w:szCs w:val="21"/>
              </w:rPr>
            </w:pPr>
          </w:p>
          <w:p w14:paraId="0FE2E3A3" w14:textId="059BA9E4" w:rsidR="00C96DF8" w:rsidRPr="001D6D10" w:rsidRDefault="00C96DF8" w:rsidP="00C96DF8">
            <w:pPr>
              <w:jc w:val="center"/>
              <w:rPr>
                <w:rFonts w:ascii="HG丸ｺﾞｼｯｸM-PRO" w:eastAsia="HG丸ｺﾞｼｯｸM-PRO" w:hAnsi="HG丸ｺﾞｼｯｸM-PRO"/>
                <w:szCs w:val="21"/>
              </w:rPr>
            </w:pPr>
            <w:r w:rsidRPr="001D6D10">
              <w:rPr>
                <w:rFonts w:ascii="HG丸ｺﾞｼｯｸM-PRO" w:eastAsia="HG丸ｺﾞｼｯｸM-PRO" w:hAnsi="HG丸ｺﾞｼｯｸM-PRO" w:hint="eastAsia"/>
                <w:szCs w:val="21"/>
              </w:rPr>
              <w:t>～48ｈ</w:t>
            </w:r>
            <w:r w:rsidR="0053084D" w:rsidRPr="001D6D10">
              <w:rPr>
                <w:rFonts w:ascii="HG丸ｺﾞｼｯｸM-PRO" w:eastAsia="HG丸ｺﾞｼｯｸM-PRO" w:hAnsi="HG丸ｺﾞｼｯｸM-PRO" w:hint="eastAsia"/>
                <w:szCs w:val="21"/>
              </w:rPr>
              <w:t>前</w:t>
            </w:r>
          </w:p>
          <w:p w14:paraId="0E4390A7" w14:textId="77777777" w:rsidR="00C96DF8" w:rsidRPr="001D6D10" w:rsidRDefault="00C96DF8" w:rsidP="00C96DF8">
            <w:pPr>
              <w:jc w:val="center"/>
              <w:rPr>
                <w:rFonts w:ascii="HG丸ｺﾞｼｯｸM-PRO" w:eastAsia="HG丸ｺﾞｼｯｸM-PRO" w:hAnsi="HG丸ｺﾞｼｯｸM-PRO"/>
                <w:sz w:val="20"/>
                <w:szCs w:val="20"/>
              </w:rPr>
            </w:pPr>
            <w:r w:rsidRPr="001D6D10">
              <w:rPr>
                <w:rFonts w:ascii="HG丸ｺﾞｼｯｸM-PRO" w:eastAsia="HG丸ｺﾞｼｯｸM-PRO" w:hAnsi="HG丸ｺﾞｼｯｸM-PRO" w:hint="eastAsia"/>
                <w:sz w:val="20"/>
                <w:szCs w:val="20"/>
              </w:rPr>
              <w:t>（３日以前）</w:t>
            </w:r>
          </w:p>
        </w:tc>
        <w:tc>
          <w:tcPr>
            <w:tcW w:w="7037" w:type="dxa"/>
            <w:tcBorders>
              <w:bottom w:val="single" w:sz="4" w:space="0" w:color="auto"/>
            </w:tcBorders>
            <w:shd w:val="clear" w:color="auto" w:fill="FFFFFF" w:themeFill="background1"/>
          </w:tcPr>
          <w:p w14:paraId="5110FF21" w14:textId="77777777" w:rsidR="00C96DF8" w:rsidRPr="001D6D10" w:rsidRDefault="00F35CFE" w:rsidP="00C96DF8">
            <w:pPr>
              <w:rPr>
                <w:rFonts w:ascii="HG丸ｺﾞｼｯｸM-PRO" w:eastAsia="HG丸ｺﾞｼｯｸM-PRO" w:hAnsi="HG丸ｺﾞｼｯｸM-PRO"/>
                <w:szCs w:val="21"/>
              </w:rPr>
            </w:pPr>
            <w:r w:rsidRPr="001D6D10">
              <w:rPr>
                <w:rFonts w:ascii="HG丸ｺﾞｼｯｸM-PRO" w:eastAsia="HG丸ｺﾞｼｯｸM-PRO" w:hAnsi="HG丸ｺﾞｼｯｸM-PRO" w:hint="eastAsia"/>
                <w:szCs w:val="21"/>
              </w:rPr>
              <w:t>□危機管理室からの情報の共有</w:t>
            </w:r>
          </w:p>
          <w:p w14:paraId="14187221" w14:textId="77777777" w:rsidR="00C40BB2" w:rsidRPr="001D6D10" w:rsidRDefault="00C40BB2" w:rsidP="00C40BB2">
            <w:pPr>
              <w:rPr>
                <w:rFonts w:ascii="HG丸ｺﾞｼｯｸM-PRO" w:eastAsia="HG丸ｺﾞｼｯｸM-PRO" w:hAnsi="HG丸ｺﾞｼｯｸM-PRO"/>
                <w:szCs w:val="21"/>
              </w:rPr>
            </w:pPr>
            <w:r w:rsidRPr="001D6D10">
              <w:rPr>
                <w:rFonts w:ascii="HG丸ｺﾞｼｯｸM-PRO" w:eastAsia="HG丸ｺﾞｼｯｸM-PRO" w:hAnsi="HG丸ｺﾞｼｯｸM-PRO" w:hint="eastAsia"/>
                <w:szCs w:val="21"/>
              </w:rPr>
              <w:t>□連絡体制の確認</w:t>
            </w:r>
          </w:p>
          <w:p w14:paraId="08DF0700" w14:textId="77777777" w:rsidR="003B7241" w:rsidRPr="001D6D10" w:rsidRDefault="003B7241" w:rsidP="00C40BB2">
            <w:pPr>
              <w:rPr>
                <w:rFonts w:ascii="HG丸ｺﾞｼｯｸM-PRO" w:eastAsia="HG丸ｺﾞｼｯｸM-PRO" w:hAnsi="HG丸ｺﾞｼｯｸM-PRO"/>
                <w:szCs w:val="21"/>
              </w:rPr>
            </w:pPr>
            <w:r w:rsidRPr="001D6D10">
              <w:rPr>
                <w:rFonts w:ascii="HG丸ｺﾞｼｯｸM-PRO" w:eastAsia="HG丸ｺﾞｼｯｸM-PRO" w:hAnsi="HG丸ｺﾞｼｯｸM-PRO" w:hint="eastAsia"/>
                <w:szCs w:val="21"/>
              </w:rPr>
              <w:t>□災害対応に関するマニュアル等の確認</w:t>
            </w:r>
          </w:p>
          <w:p w14:paraId="6F1C4883" w14:textId="77777777" w:rsidR="008F33AD" w:rsidRPr="001D6D10" w:rsidRDefault="008F33AD" w:rsidP="008F33AD">
            <w:pPr>
              <w:rPr>
                <w:rFonts w:ascii="HG丸ｺﾞｼｯｸM-PRO" w:eastAsia="HG丸ｺﾞｼｯｸM-PRO" w:hAnsi="HG丸ｺﾞｼｯｸM-PRO"/>
                <w:szCs w:val="21"/>
              </w:rPr>
            </w:pPr>
            <w:r w:rsidRPr="001D6D10">
              <w:rPr>
                <w:rFonts w:ascii="HG丸ｺﾞｼｯｸM-PRO" w:eastAsia="HG丸ｺﾞｼｯｸM-PRO" w:hAnsi="HG丸ｺﾞｼｯｸM-PRO" w:hint="eastAsia"/>
                <w:szCs w:val="21"/>
              </w:rPr>
              <w:t>□指令部会議の事前準備</w:t>
            </w:r>
          </w:p>
          <w:p w14:paraId="2B16CEAA" w14:textId="77777777" w:rsidR="008F33AD" w:rsidRPr="001D6D10" w:rsidRDefault="008F33AD" w:rsidP="008F33AD">
            <w:pPr>
              <w:rPr>
                <w:rFonts w:ascii="HG丸ｺﾞｼｯｸM-PRO" w:eastAsia="HG丸ｺﾞｼｯｸM-PRO" w:hAnsi="HG丸ｺﾞｼｯｸM-PRO"/>
                <w:szCs w:val="21"/>
              </w:rPr>
            </w:pPr>
            <w:r w:rsidRPr="001D6D10">
              <w:rPr>
                <w:rFonts w:ascii="HG丸ｺﾞｼｯｸM-PRO" w:eastAsia="HG丸ｺﾞｼｯｸM-PRO" w:hAnsi="HG丸ｺﾞｼｯｸM-PRO" w:hint="eastAsia"/>
                <w:szCs w:val="21"/>
              </w:rPr>
              <w:t xml:space="preserve">　</w:t>
            </w:r>
            <w:r w:rsidR="005B33EE" w:rsidRPr="001D6D10">
              <w:rPr>
                <w:rFonts w:ascii="HG丸ｺﾞｼｯｸM-PRO" w:eastAsia="HG丸ｺﾞｼｯｸM-PRO" w:hAnsi="HG丸ｺﾞｼｯｸM-PRO" w:hint="eastAsia"/>
                <w:szCs w:val="21"/>
              </w:rPr>
              <w:t>・イベントの有無確認（府主催、共催）</w:t>
            </w:r>
          </w:p>
          <w:p w14:paraId="25031A04" w14:textId="77777777" w:rsidR="008F33AD" w:rsidRPr="001D6D10" w:rsidRDefault="008F33AD" w:rsidP="008F33AD">
            <w:pPr>
              <w:rPr>
                <w:rFonts w:ascii="HG丸ｺﾞｼｯｸM-PRO" w:eastAsia="HG丸ｺﾞｼｯｸM-PRO" w:hAnsi="HG丸ｺﾞｼｯｸM-PRO"/>
                <w:szCs w:val="21"/>
              </w:rPr>
            </w:pPr>
            <w:r w:rsidRPr="001D6D10">
              <w:rPr>
                <w:rFonts w:ascii="HG丸ｺﾞｼｯｸM-PRO" w:eastAsia="HG丸ｺﾞｼｯｸM-PRO" w:hAnsi="HG丸ｺﾞｼｯｸM-PRO" w:hint="eastAsia"/>
                <w:szCs w:val="21"/>
              </w:rPr>
              <w:t xml:space="preserve">　・所管団体等への注意喚起など</w:t>
            </w:r>
          </w:p>
        </w:tc>
      </w:tr>
      <w:tr w:rsidR="001D6D10" w:rsidRPr="001D6D10" w14:paraId="1296EDDD" w14:textId="77777777" w:rsidTr="00C96DF8">
        <w:trPr>
          <w:jc w:val="center"/>
        </w:trPr>
        <w:tc>
          <w:tcPr>
            <w:tcW w:w="1457" w:type="dxa"/>
            <w:vMerge/>
          </w:tcPr>
          <w:p w14:paraId="27F721BF" w14:textId="77777777" w:rsidR="00C96DF8" w:rsidRPr="001D6D10" w:rsidRDefault="00C96DF8" w:rsidP="00C96DF8">
            <w:pPr>
              <w:rPr>
                <w:rFonts w:ascii="HG丸ｺﾞｼｯｸM-PRO" w:eastAsia="HG丸ｺﾞｼｯｸM-PRO" w:hAnsi="HG丸ｺﾞｼｯｸM-PRO"/>
                <w:szCs w:val="21"/>
              </w:rPr>
            </w:pPr>
          </w:p>
        </w:tc>
        <w:tc>
          <w:tcPr>
            <w:tcW w:w="7037" w:type="dxa"/>
          </w:tcPr>
          <w:p w14:paraId="4ED6696A" w14:textId="77777777" w:rsidR="00C96DF8" w:rsidRPr="001D6D10" w:rsidRDefault="00C96DF8" w:rsidP="00C96DF8">
            <w:pPr>
              <w:rPr>
                <w:rFonts w:ascii="HG丸ｺﾞｼｯｸM-PRO" w:eastAsia="HG丸ｺﾞｼｯｸM-PRO" w:hAnsi="HG丸ｺﾞｼｯｸM-PRO"/>
                <w:szCs w:val="21"/>
              </w:rPr>
            </w:pPr>
            <w:r w:rsidRPr="001D6D10">
              <w:rPr>
                <w:rFonts w:ascii="HG丸ｺﾞｼｯｸM-PRO" w:eastAsia="HG丸ｺﾞｼｯｸM-PRO" w:hAnsi="HG丸ｺﾞｼｯｸM-PRO" w:hint="eastAsia"/>
                <w:b/>
                <w:szCs w:val="21"/>
                <w:highlight w:val="yellow"/>
              </w:rPr>
              <w:t>防災・危機管理指令部会議</w:t>
            </w:r>
            <w:r w:rsidRPr="001D6D10">
              <w:rPr>
                <w:rFonts w:ascii="HG丸ｺﾞｼｯｸM-PRO" w:eastAsia="HG丸ｺﾞｼｯｸM-PRO" w:hAnsi="HG丸ｺﾞｼｯｸM-PRO" w:hint="eastAsia"/>
                <w:szCs w:val="21"/>
                <w:highlight w:val="yellow"/>
              </w:rPr>
              <w:t>（おおよそ７２ｈ前）</w:t>
            </w:r>
            <w:r w:rsidR="00CB0ABF" w:rsidRPr="001D6D10">
              <w:rPr>
                <w:rFonts w:ascii="HG丸ｺﾞｼｯｸM-PRO" w:eastAsia="HG丸ｺﾞｼｯｸM-PRO" w:hAnsi="HG丸ｺﾞｼｯｸM-PRO" w:hint="eastAsia"/>
                <w:szCs w:val="21"/>
                <w:highlight w:val="yellow"/>
              </w:rPr>
              <w:t>（Ｐ42</w:t>
            </w:r>
            <w:r w:rsidR="00AD02A5" w:rsidRPr="001D6D10">
              <w:rPr>
                <w:rFonts w:ascii="HG丸ｺﾞｼｯｸM-PRO" w:eastAsia="HG丸ｺﾞｼｯｸM-PRO" w:hAnsi="HG丸ｺﾞｼｯｸM-PRO" w:hint="eastAsia"/>
                <w:szCs w:val="21"/>
                <w:highlight w:val="yellow"/>
              </w:rPr>
              <w:t>参照）</w:t>
            </w:r>
          </w:p>
        </w:tc>
      </w:tr>
      <w:tr w:rsidR="001D6D10" w:rsidRPr="001D6D10" w14:paraId="22507C34" w14:textId="77777777" w:rsidTr="00C96DF8">
        <w:trPr>
          <w:jc w:val="center"/>
        </w:trPr>
        <w:tc>
          <w:tcPr>
            <w:tcW w:w="1457" w:type="dxa"/>
            <w:vMerge/>
          </w:tcPr>
          <w:p w14:paraId="432FEF68" w14:textId="77777777" w:rsidR="00C96DF8" w:rsidRPr="001D6D10" w:rsidRDefault="00C96DF8" w:rsidP="00C96DF8">
            <w:pPr>
              <w:rPr>
                <w:rFonts w:ascii="HG丸ｺﾞｼｯｸM-PRO" w:eastAsia="HG丸ｺﾞｼｯｸM-PRO" w:hAnsi="HG丸ｺﾞｼｯｸM-PRO"/>
                <w:szCs w:val="21"/>
              </w:rPr>
            </w:pPr>
          </w:p>
        </w:tc>
        <w:tc>
          <w:tcPr>
            <w:tcW w:w="7037" w:type="dxa"/>
          </w:tcPr>
          <w:p w14:paraId="2100447F" w14:textId="77777777" w:rsidR="00C84712" w:rsidRPr="001D6D10" w:rsidRDefault="00F35CFE" w:rsidP="00C96DF8">
            <w:pPr>
              <w:rPr>
                <w:rFonts w:ascii="HG丸ｺﾞｼｯｸM-PRO" w:eastAsia="HG丸ｺﾞｼｯｸM-PRO" w:hAnsi="HG丸ｺﾞｼｯｸM-PRO"/>
                <w:szCs w:val="21"/>
              </w:rPr>
            </w:pPr>
            <w:r w:rsidRPr="001D6D10">
              <w:rPr>
                <w:rFonts w:ascii="HG丸ｺﾞｼｯｸM-PRO" w:eastAsia="HG丸ｺﾞｼｯｸM-PRO" w:hAnsi="HG丸ｺﾞｼｯｸM-PRO" w:hint="eastAsia"/>
                <w:szCs w:val="21"/>
              </w:rPr>
              <w:t>□危機管理室からの情報の共有</w:t>
            </w:r>
          </w:p>
        </w:tc>
      </w:tr>
      <w:tr w:rsidR="001D6D10" w:rsidRPr="001D6D10" w14:paraId="14A996DB" w14:textId="77777777" w:rsidTr="00C96DF8">
        <w:trPr>
          <w:jc w:val="center"/>
        </w:trPr>
        <w:tc>
          <w:tcPr>
            <w:tcW w:w="1457" w:type="dxa"/>
            <w:vMerge w:val="restart"/>
          </w:tcPr>
          <w:p w14:paraId="04B995FC" w14:textId="77777777" w:rsidR="002B3D2C" w:rsidRPr="001D6D10" w:rsidRDefault="002B3D2C" w:rsidP="00C96DF8">
            <w:pPr>
              <w:rPr>
                <w:rFonts w:ascii="HG丸ｺﾞｼｯｸM-PRO" w:eastAsia="HG丸ｺﾞｼｯｸM-PRO" w:hAnsi="HG丸ｺﾞｼｯｸM-PRO"/>
                <w:szCs w:val="21"/>
              </w:rPr>
            </w:pPr>
          </w:p>
          <w:p w14:paraId="5EBB95C6" w14:textId="77777777" w:rsidR="002B3D2C" w:rsidRPr="001D6D10" w:rsidRDefault="002B3D2C" w:rsidP="00C96DF8">
            <w:pPr>
              <w:rPr>
                <w:rFonts w:ascii="HG丸ｺﾞｼｯｸM-PRO" w:eastAsia="HG丸ｺﾞｼｯｸM-PRO" w:hAnsi="HG丸ｺﾞｼｯｸM-PRO"/>
                <w:szCs w:val="21"/>
              </w:rPr>
            </w:pPr>
          </w:p>
          <w:p w14:paraId="5D6DB3BB" w14:textId="77777777" w:rsidR="002B3D2C" w:rsidRPr="001D6D10" w:rsidRDefault="002B3D2C" w:rsidP="00C96DF8">
            <w:pPr>
              <w:rPr>
                <w:rFonts w:ascii="HG丸ｺﾞｼｯｸM-PRO" w:eastAsia="HG丸ｺﾞｼｯｸM-PRO" w:hAnsi="HG丸ｺﾞｼｯｸM-PRO"/>
                <w:szCs w:val="21"/>
              </w:rPr>
            </w:pPr>
          </w:p>
          <w:p w14:paraId="5494EEDD" w14:textId="77777777" w:rsidR="002B3D2C" w:rsidRPr="001D6D10" w:rsidRDefault="002B3D2C" w:rsidP="00C96DF8">
            <w:pPr>
              <w:rPr>
                <w:rFonts w:ascii="HG丸ｺﾞｼｯｸM-PRO" w:eastAsia="HG丸ｺﾞｼｯｸM-PRO" w:hAnsi="HG丸ｺﾞｼｯｸM-PRO"/>
                <w:szCs w:val="21"/>
              </w:rPr>
            </w:pPr>
          </w:p>
          <w:p w14:paraId="709C7DA2" w14:textId="77777777" w:rsidR="00C96DF8" w:rsidRPr="001D6D10" w:rsidRDefault="00C96DF8" w:rsidP="00C96DF8">
            <w:pPr>
              <w:rPr>
                <w:rFonts w:ascii="HG丸ｺﾞｼｯｸM-PRO" w:eastAsia="HG丸ｺﾞｼｯｸM-PRO" w:hAnsi="HG丸ｺﾞｼｯｸM-PRO"/>
                <w:szCs w:val="21"/>
              </w:rPr>
            </w:pPr>
            <w:r w:rsidRPr="001D6D10">
              <w:rPr>
                <w:rFonts w:ascii="HG丸ｺﾞｼｯｸM-PRO" w:eastAsia="HG丸ｺﾞｼｯｸM-PRO" w:hAnsi="HG丸ｺﾞｼｯｸM-PRO" w:hint="eastAsia"/>
                <w:szCs w:val="21"/>
              </w:rPr>
              <w:t>48ｈ前～</w:t>
            </w:r>
          </w:p>
          <w:p w14:paraId="3E8C9887" w14:textId="77777777" w:rsidR="00C96DF8" w:rsidRPr="001D6D10" w:rsidRDefault="00C96DF8" w:rsidP="00C96DF8">
            <w:pPr>
              <w:rPr>
                <w:rFonts w:ascii="HG丸ｺﾞｼｯｸM-PRO" w:eastAsia="HG丸ｺﾞｼｯｸM-PRO" w:hAnsi="HG丸ｺﾞｼｯｸM-PRO"/>
                <w:szCs w:val="21"/>
              </w:rPr>
            </w:pPr>
            <w:r w:rsidRPr="001D6D10">
              <w:rPr>
                <w:rFonts w:ascii="HG丸ｺﾞｼｯｸM-PRO" w:eastAsia="HG丸ｺﾞｼｯｸM-PRO" w:hAnsi="HG丸ｺﾞｼｯｸM-PRO" w:hint="eastAsia"/>
                <w:szCs w:val="21"/>
              </w:rPr>
              <w:t xml:space="preserve">　　24ｈ前</w:t>
            </w:r>
          </w:p>
          <w:p w14:paraId="32C44371" w14:textId="77777777" w:rsidR="00C96DF8" w:rsidRPr="001D6D10" w:rsidRDefault="00C96DF8" w:rsidP="00C96DF8">
            <w:pPr>
              <w:rPr>
                <w:rFonts w:ascii="HG丸ｺﾞｼｯｸM-PRO" w:eastAsia="HG丸ｺﾞｼｯｸM-PRO" w:hAnsi="HG丸ｺﾞｼｯｸM-PRO"/>
                <w:szCs w:val="21"/>
              </w:rPr>
            </w:pPr>
            <w:r w:rsidRPr="001D6D10">
              <w:rPr>
                <w:rFonts w:ascii="HG丸ｺﾞｼｯｸM-PRO" w:eastAsia="HG丸ｺﾞｼｯｸM-PRO" w:hAnsi="HG丸ｺﾞｼｯｸM-PRO" w:hint="eastAsia"/>
                <w:szCs w:val="21"/>
              </w:rPr>
              <w:t>（２日前）</w:t>
            </w:r>
          </w:p>
        </w:tc>
        <w:tc>
          <w:tcPr>
            <w:tcW w:w="7037" w:type="dxa"/>
          </w:tcPr>
          <w:p w14:paraId="2E5C1C12" w14:textId="77777777" w:rsidR="00C96DF8" w:rsidRPr="001D6D10" w:rsidRDefault="00C96DF8" w:rsidP="00C96DF8">
            <w:pPr>
              <w:rPr>
                <w:rFonts w:ascii="HG丸ｺﾞｼｯｸM-PRO" w:eastAsia="HG丸ｺﾞｼｯｸM-PRO" w:hAnsi="HG丸ｺﾞｼｯｸM-PRO"/>
                <w:sz w:val="18"/>
                <w:szCs w:val="18"/>
              </w:rPr>
            </w:pPr>
            <w:r w:rsidRPr="001D6D10">
              <w:rPr>
                <w:rFonts w:ascii="HG丸ｺﾞｼｯｸM-PRO" w:eastAsia="HG丸ｺﾞｼｯｸM-PRO" w:hAnsi="HG丸ｺﾞｼｯｸM-PRO" w:hint="eastAsia"/>
                <w:szCs w:val="21"/>
              </w:rPr>
              <w:t>庁内連絡会議①：災害モード宣言の内容、第1回災害警戒本部会議の事前調整等</w:t>
            </w:r>
            <w:r w:rsidRPr="001D6D10">
              <w:rPr>
                <w:rFonts w:ascii="HG丸ｺﾞｼｯｸM-PRO" w:eastAsia="HG丸ｺﾞｼｯｸM-PRO" w:hAnsi="HG丸ｺﾞｼｯｸM-PRO" w:hint="eastAsia"/>
                <w:sz w:val="18"/>
                <w:szCs w:val="18"/>
              </w:rPr>
              <w:t>(警戒本部会議議題：管理施設の休館及び学校休校の検討、イベント等の中止検討、職員の配備態勢)</w:t>
            </w:r>
          </w:p>
          <w:p w14:paraId="1EADA619" w14:textId="77777777" w:rsidR="008F33AD" w:rsidRPr="001D6D10" w:rsidRDefault="008F33AD" w:rsidP="008F33AD">
            <w:pPr>
              <w:rPr>
                <w:rFonts w:ascii="HG丸ｺﾞｼｯｸM-PRO" w:eastAsia="HG丸ｺﾞｼｯｸM-PRO" w:hAnsi="HG丸ｺﾞｼｯｸM-PRO"/>
                <w:szCs w:val="21"/>
              </w:rPr>
            </w:pPr>
            <w:r w:rsidRPr="001D6D10">
              <w:rPr>
                <w:rFonts w:ascii="HG丸ｺﾞｼｯｸM-PRO" w:eastAsia="HG丸ｺﾞｼｯｸM-PRO" w:hAnsi="HG丸ｺﾞｼｯｸM-PRO" w:hint="eastAsia"/>
                <w:szCs w:val="21"/>
              </w:rPr>
              <w:t>□第１回災害警戒本部会議の事前準備</w:t>
            </w:r>
          </w:p>
          <w:p w14:paraId="06C9D278" w14:textId="77777777" w:rsidR="008F33AD" w:rsidRPr="001D6D10" w:rsidRDefault="008F33AD" w:rsidP="008F33AD">
            <w:pPr>
              <w:rPr>
                <w:rFonts w:ascii="HG丸ｺﾞｼｯｸM-PRO" w:eastAsia="HG丸ｺﾞｼｯｸM-PRO" w:hAnsi="HG丸ｺﾞｼｯｸM-PRO"/>
                <w:szCs w:val="21"/>
              </w:rPr>
            </w:pPr>
            <w:r w:rsidRPr="001D6D10">
              <w:rPr>
                <w:rFonts w:ascii="HG丸ｺﾞｼｯｸM-PRO" w:eastAsia="HG丸ｺﾞｼｯｸM-PRO" w:hAnsi="HG丸ｺﾞｼｯｸM-PRO" w:hint="eastAsia"/>
                <w:szCs w:val="21"/>
              </w:rPr>
              <w:t xml:space="preserve">　</w:t>
            </w:r>
            <w:r w:rsidR="00CC405A" w:rsidRPr="001D6D10">
              <w:rPr>
                <w:rFonts w:ascii="HG丸ｺﾞｼｯｸM-PRO" w:eastAsia="HG丸ｺﾞｼｯｸM-PRO" w:hAnsi="HG丸ｺﾞｼｯｸM-PRO" w:hint="eastAsia"/>
                <w:szCs w:val="21"/>
              </w:rPr>
              <w:t>・</w:t>
            </w:r>
            <w:r w:rsidRPr="001D6D10">
              <w:rPr>
                <w:rFonts w:ascii="HG丸ｺﾞｼｯｸM-PRO" w:eastAsia="HG丸ｺﾞｼｯｸM-PRO" w:hAnsi="HG丸ｺﾞｼｯｸM-PRO" w:hint="eastAsia"/>
                <w:szCs w:val="21"/>
              </w:rPr>
              <w:t>部局</w:t>
            </w:r>
            <w:r w:rsidR="00CC405A" w:rsidRPr="001D6D10">
              <w:rPr>
                <w:rFonts w:ascii="HG丸ｺﾞｼｯｸM-PRO" w:eastAsia="HG丸ｺﾞｼｯｸM-PRO" w:hAnsi="HG丸ｺﾞｼｯｸM-PRO" w:hint="eastAsia"/>
                <w:szCs w:val="21"/>
              </w:rPr>
              <w:t>内の対応状況の確認、会議での報告のとりまとめ</w:t>
            </w:r>
          </w:p>
          <w:p w14:paraId="079C00B7" w14:textId="77777777" w:rsidR="00335440" w:rsidRPr="001D6D10" w:rsidRDefault="008F33AD" w:rsidP="00335440">
            <w:pPr>
              <w:rPr>
                <w:rFonts w:ascii="HG丸ｺﾞｼｯｸM-PRO" w:eastAsia="HG丸ｺﾞｼｯｸM-PRO" w:hAnsi="HG丸ｺﾞｼｯｸM-PRO"/>
                <w:szCs w:val="21"/>
              </w:rPr>
            </w:pPr>
            <w:r w:rsidRPr="001D6D10">
              <w:rPr>
                <w:rFonts w:ascii="HG丸ｺﾞｼｯｸM-PRO" w:eastAsia="HG丸ｺﾞｼｯｸM-PRO" w:hAnsi="HG丸ｺﾞｼｯｸM-PRO" w:hint="eastAsia"/>
                <w:szCs w:val="21"/>
              </w:rPr>
              <w:t xml:space="preserve">　・庁舎・所管施設の安全確認</w:t>
            </w:r>
          </w:p>
          <w:p w14:paraId="06D42C06" w14:textId="77777777" w:rsidR="008F33AD" w:rsidRPr="001D6D10" w:rsidRDefault="008F33AD" w:rsidP="00335440">
            <w:pPr>
              <w:rPr>
                <w:rFonts w:ascii="HG丸ｺﾞｼｯｸM-PRO" w:eastAsia="HG丸ｺﾞｼｯｸM-PRO" w:hAnsi="HG丸ｺﾞｼｯｸM-PRO"/>
                <w:szCs w:val="21"/>
                <w:u w:val="single"/>
              </w:rPr>
            </w:pPr>
            <w:r w:rsidRPr="001D6D10">
              <w:rPr>
                <w:rFonts w:ascii="HG丸ｺﾞｼｯｸM-PRO" w:eastAsia="HG丸ｺﾞｼｯｸM-PRO" w:hAnsi="HG丸ｺﾞｼｯｸM-PRO" w:hint="eastAsia"/>
                <w:szCs w:val="21"/>
                <w:bdr w:val="single" w:sz="4" w:space="0" w:color="auto"/>
              </w:rPr>
              <w:t>台風説明会</w:t>
            </w:r>
          </w:p>
        </w:tc>
      </w:tr>
      <w:tr w:rsidR="001D6D10" w:rsidRPr="001D6D10" w14:paraId="28A56B21" w14:textId="77777777" w:rsidTr="00C96DF8">
        <w:trPr>
          <w:jc w:val="center"/>
        </w:trPr>
        <w:tc>
          <w:tcPr>
            <w:tcW w:w="1457" w:type="dxa"/>
            <w:vMerge/>
          </w:tcPr>
          <w:p w14:paraId="490D1DA2" w14:textId="77777777" w:rsidR="00C96DF8" w:rsidRPr="001D6D10" w:rsidRDefault="00C96DF8" w:rsidP="00C96DF8">
            <w:pPr>
              <w:rPr>
                <w:rFonts w:ascii="HG丸ｺﾞｼｯｸM-PRO" w:eastAsia="HG丸ｺﾞｼｯｸM-PRO" w:hAnsi="HG丸ｺﾞｼｯｸM-PRO"/>
                <w:szCs w:val="21"/>
              </w:rPr>
            </w:pPr>
          </w:p>
        </w:tc>
        <w:tc>
          <w:tcPr>
            <w:tcW w:w="7037" w:type="dxa"/>
          </w:tcPr>
          <w:p w14:paraId="1736B409" w14:textId="77777777" w:rsidR="00C96DF8" w:rsidRPr="001D6D10" w:rsidRDefault="00C96DF8" w:rsidP="00C96DF8">
            <w:pPr>
              <w:rPr>
                <w:rFonts w:ascii="HG丸ｺﾞｼｯｸM-PRO" w:eastAsia="HG丸ｺﾞｼｯｸM-PRO" w:hAnsi="HG丸ｺﾞｼｯｸM-PRO"/>
                <w:szCs w:val="21"/>
                <w:highlight w:val="yellow"/>
              </w:rPr>
            </w:pPr>
            <w:r w:rsidRPr="001D6D10">
              <w:rPr>
                <w:rFonts w:ascii="HG丸ｺﾞｼｯｸM-PRO" w:eastAsia="HG丸ｺﾞｼｯｸM-PRO" w:hAnsi="HG丸ｺﾞｼｯｸM-PRO" w:hint="eastAsia"/>
                <w:b/>
                <w:szCs w:val="21"/>
                <w:highlight w:val="yellow"/>
              </w:rPr>
              <w:t>第1回災害警戒本部会議</w:t>
            </w:r>
            <w:r w:rsidRPr="001D6D10">
              <w:rPr>
                <w:rFonts w:ascii="HG丸ｺﾞｼｯｸM-PRO" w:eastAsia="HG丸ｺﾞｼｯｸM-PRO" w:hAnsi="HG丸ｺﾞｼｯｸM-PRO" w:hint="eastAsia"/>
                <w:szCs w:val="21"/>
                <w:highlight w:val="yellow"/>
              </w:rPr>
              <w:t>（災害モード宣言の内容検討）</w:t>
            </w:r>
            <w:r w:rsidR="00CB0ABF" w:rsidRPr="001D6D10">
              <w:rPr>
                <w:rFonts w:ascii="HG丸ｺﾞｼｯｸM-PRO" w:eastAsia="HG丸ｺﾞｼｯｸM-PRO" w:hAnsi="HG丸ｺﾞｼｯｸM-PRO" w:hint="eastAsia"/>
                <w:szCs w:val="21"/>
                <w:highlight w:val="yellow"/>
              </w:rPr>
              <w:t>（Ｐ47</w:t>
            </w:r>
            <w:r w:rsidR="0010145B" w:rsidRPr="001D6D10">
              <w:rPr>
                <w:rFonts w:ascii="HG丸ｺﾞｼｯｸM-PRO" w:eastAsia="HG丸ｺﾞｼｯｸM-PRO" w:hAnsi="HG丸ｺﾞｼｯｸM-PRO" w:hint="eastAsia"/>
                <w:szCs w:val="21"/>
                <w:highlight w:val="yellow"/>
              </w:rPr>
              <w:t>参照）</w:t>
            </w:r>
          </w:p>
        </w:tc>
      </w:tr>
      <w:tr w:rsidR="001D6D10" w:rsidRPr="001D6D10" w14:paraId="44BDB37F" w14:textId="77777777" w:rsidTr="00C96DF8">
        <w:trPr>
          <w:jc w:val="center"/>
        </w:trPr>
        <w:tc>
          <w:tcPr>
            <w:tcW w:w="1457" w:type="dxa"/>
            <w:vMerge/>
          </w:tcPr>
          <w:p w14:paraId="6D0B8AC1" w14:textId="77777777" w:rsidR="00C96DF8" w:rsidRPr="001D6D10" w:rsidRDefault="00C96DF8" w:rsidP="00C96DF8">
            <w:pPr>
              <w:rPr>
                <w:rFonts w:ascii="HG丸ｺﾞｼｯｸM-PRO" w:eastAsia="HG丸ｺﾞｼｯｸM-PRO" w:hAnsi="HG丸ｺﾞｼｯｸM-PRO"/>
                <w:szCs w:val="21"/>
              </w:rPr>
            </w:pPr>
          </w:p>
        </w:tc>
        <w:tc>
          <w:tcPr>
            <w:tcW w:w="7037" w:type="dxa"/>
          </w:tcPr>
          <w:p w14:paraId="6ED71009" w14:textId="77777777" w:rsidR="00C96DF8" w:rsidRPr="001D6D10" w:rsidRDefault="00F35CFE" w:rsidP="00C96DF8">
            <w:pPr>
              <w:rPr>
                <w:rFonts w:ascii="HG丸ｺﾞｼｯｸM-PRO" w:eastAsia="HG丸ｺﾞｼｯｸM-PRO" w:hAnsi="HG丸ｺﾞｼｯｸM-PRO"/>
                <w:szCs w:val="21"/>
              </w:rPr>
            </w:pPr>
            <w:r w:rsidRPr="001D6D10">
              <w:rPr>
                <w:rFonts w:ascii="HG丸ｺﾞｼｯｸM-PRO" w:eastAsia="HG丸ｺﾞｼｯｸM-PRO" w:hAnsi="HG丸ｺﾞｼｯｸM-PRO" w:hint="eastAsia"/>
                <w:szCs w:val="21"/>
              </w:rPr>
              <w:t>□危機管理室からの情報の共有</w:t>
            </w:r>
          </w:p>
          <w:p w14:paraId="4B8F2846" w14:textId="77777777" w:rsidR="00C84712" w:rsidRPr="001D6D10" w:rsidRDefault="00C84712" w:rsidP="00C96DF8">
            <w:pPr>
              <w:rPr>
                <w:rFonts w:ascii="HG丸ｺﾞｼｯｸM-PRO" w:eastAsia="HG丸ｺﾞｼｯｸM-PRO" w:hAnsi="HG丸ｺﾞｼｯｸM-PRO"/>
                <w:szCs w:val="21"/>
              </w:rPr>
            </w:pPr>
            <w:r w:rsidRPr="001D6D10">
              <w:rPr>
                <w:rFonts w:ascii="HG丸ｺﾞｼｯｸM-PRO" w:eastAsia="HG丸ｺﾞｼｯｸM-PRO" w:hAnsi="HG丸ｺﾞｼｯｸM-PRO" w:hint="eastAsia"/>
                <w:szCs w:val="21"/>
              </w:rPr>
              <w:t>□公共交通機関計画運休の確認</w:t>
            </w:r>
          </w:p>
          <w:p w14:paraId="4E08DAC6" w14:textId="77777777" w:rsidR="005A0125" w:rsidRPr="001D6D10" w:rsidRDefault="005A0125" w:rsidP="00C96DF8">
            <w:pPr>
              <w:rPr>
                <w:rFonts w:ascii="HG丸ｺﾞｼｯｸM-PRO" w:eastAsia="HG丸ｺﾞｼｯｸM-PRO" w:hAnsi="HG丸ｺﾞｼｯｸM-PRO"/>
                <w:szCs w:val="21"/>
              </w:rPr>
            </w:pPr>
            <w:r w:rsidRPr="001D6D10">
              <w:rPr>
                <w:rFonts w:ascii="HG丸ｺﾞｼｯｸM-PRO" w:eastAsia="HG丸ｺﾞｼｯｸM-PRO" w:hAnsi="HG丸ｺﾞｼｯｸM-PRO" w:hint="eastAsia"/>
                <w:szCs w:val="21"/>
              </w:rPr>
              <w:t>□職員体制の確認・確保</w:t>
            </w:r>
          </w:p>
        </w:tc>
      </w:tr>
      <w:tr w:rsidR="001D6D10" w:rsidRPr="001D6D10" w14:paraId="081E5964" w14:textId="77777777" w:rsidTr="00C96DF8">
        <w:trPr>
          <w:jc w:val="center"/>
        </w:trPr>
        <w:tc>
          <w:tcPr>
            <w:tcW w:w="1457" w:type="dxa"/>
            <w:vMerge w:val="restart"/>
          </w:tcPr>
          <w:p w14:paraId="3C9BF99C" w14:textId="77777777" w:rsidR="002B3D2C" w:rsidRPr="001D6D10" w:rsidRDefault="002B3D2C" w:rsidP="00C96DF8">
            <w:pPr>
              <w:rPr>
                <w:rFonts w:ascii="HG丸ｺﾞｼｯｸM-PRO" w:eastAsia="HG丸ｺﾞｼｯｸM-PRO" w:hAnsi="HG丸ｺﾞｼｯｸM-PRO"/>
                <w:szCs w:val="21"/>
              </w:rPr>
            </w:pPr>
          </w:p>
          <w:p w14:paraId="46C3B3C8" w14:textId="77777777" w:rsidR="002B3D2C" w:rsidRPr="001D6D10" w:rsidRDefault="002B3D2C" w:rsidP="00C96DF8">
            <w:pPr>
              <w:rPr>
                <w:rFonts w:ascii="HG丸ｺﾞｼｯｸM-PRO" w:eastAsia="HG丸ｺﾞｼｯｸM-PRO" w:hAnsi="HG丸ｺﾞｼｯｸM-PRO"/>
                <w:szCs w:val="21"/>
              </w:rPr>
            </w:pPr>
          </w:p>
          <w:p w14:paraId="5CD4DEE4" w14:textId="77777777" w:rsidR="00C96DF8" w:rsidRPr="001D6D10" w:rsidRDefault="00C96DF8" w:rsidP="00C96DF8">
            <w:pPr>
              <w:rPr>
                <w:rFonts w:ascii="HG丸ｺﾞｼｯｸM-PRO" w:eastAsia="HG丸ｺﾞｼｯｸM-PRO" w:hAnsi="HG丸ｺﾞｼｯｸM-PRO"/>
                <w:szCs w:val="21"/>
              </w:rPr>
            </w:pPr>
            <w:r w:rsidRPr="001D6D10">
              <w:rPr>
                <w:rFonts w:ascii="HG丸ｺﾞｼｯｸM-PRO" w:eastAsia="HG丸ｺﾞｼｯｸM-PRO" w:hAnsi="HG丸ｺﾞｼｯｸM-PRO" w:hint="eastAsia"/>
                <w:szCs w:val="21"/>
              </w:rPr>
              <w:t>24ｈ前～</w:t>
            </w:r>
          </w:p>
          <w:p w14:paraId="6D77A57F" w14:textId="77777777" w:rsidR="00C96DF8" w:rsidRPr="001D6D10" w:rsidRDefault="00C96DF8" w:rsidP="00C96DF8">
            <w:pPr>
              <w:rPr>
                <w:rFonts w:ascii="HG丸ｺﾞｼｯｸM-PRO" w:eastAsia="HG丸ｺﾞｼｯｸM-PRO" w:hAnsi="HG丸ｺﾞｼｯｸM-PRO"/>
                <w:szCs w:val="21"/>
              </w:rPr>
            </w:pPr>
            <w:r w:rsidRPr="001D6D10">
              <w:rPr>
                <w:rFonts w:ascii="HG丸ｺﾞｼｯｸM-PRO" w:eastAsia="HG丸ｺﾞｼｯｸM-PRO" w:hAnsi="HG丸ｺﾞｼｯｸM-PRO" w:hint="eastAsia"/>
                <w:szCs w:val="21"/>
              </w:rPr>
              <w:t xml:space="preserve">　　最接近</w:t>
            </w:r>
          </w:p>
          <w:p w14:paraId="2214DCB8" w14:textId="77777777" w:rsidR="00C96DF8" w:rsidRPr="001D6D10" w:rsidRDefault="00C96DF8" w:rsidP="00C96DF8">
            <w:pPr>
              <w:rPr>
                <w:rFonts w:ascii="HG丸ｺﾞｼｯｸM-PRO" w:eastAsia="HG丸ｺﾞｼｯｸM-PRO" w:hAnsi="HG丸ｺﾞｼｯｸM-PRO"/>
                <w:szCs w:val="21"/>
              </w:rPr>
            </w:pPr>
            <w:r w:rsidRPr="001D6D10">
              <w:rPr>
                <w:rFonts w:ascii="HG丸ｺﾞｼｯｸM-PRO" w:eastAsia="HG丸ｺﾞｼｯｸM-PRO" w:hAnsi="HG丸ｺﾞｼｯｸM-PRO" w:hint="eastAsia"/>
                <w:szCs w:val="21"/>
              </w:rPr>
              <w:t>（１日前）</w:t>
            </w:r>
          </w:p>
        </w:tc>
        <w:tc>
          <w:tcPr>
            <w:tcW w:w="7037" w:type="dxa"/>
          </w:tcPr>
          <w:p w14:paraId="156441C2" w14:textId="77777777" w:rsidR="00C96DF8" w:rsidRPr="001D6D10" w:rsidRDefault="00C96DF8" w:rsidP="00C96DF8">
            <w:pPr>
              <w:rPr>
                <w:rFonts w:ascii="HG丸ｺﾞｼｯｸM-PRO" w:eastAsia="HG丸ｺﾞｼｯｸM-PRO" w:hAnsi="HG丸ｺﾞｼｯｸM-PRO"/>
                <w:szCs w:val="21"/>
              </w:rPr>
            </w:pPr>
            <w:r w:rsidRPr="001D6D10">
              <w:rPr>
                <w:rFonts w:ascii="HG丸ｺﾞｼｯｸM-PRO" w:eastAsia="HG丸ｺﾞｼｯｸM-PRO" w:hAnsi="HG丸ｺﾞｼｯｸM-PRO" w:hint="eastAsia"/>
                <w:szCs w:val="21"/>
              </w:rPr>
              <w:t>庁内連絡会議②：第2回災害警戒本部会議の事前調整等</w:t>
            </w:r>
          </w:p>
          <w:p w14:paraId="423B6AD2" w14:textId="77777777" w:rsidR="00CC405A" w:rsidRPr="001D6D10" w:rsidRDefault="00CC405A" w:rsidP="00CC405A">
            <w:pPr>
              <w:rPr>
                <w:rFonts w:ascii="HG丸ｺﾞｼｯｸM-PRO" w:eastAsia="HG丸ｺﾞｼｯｸM-PRO" w:hAnsi="HG丸ｺﾞｼｯｸM-PRO"/>
                <w:szCs w:val="21"/>
              </w:rPr>
            </w:pPr>
            <w:r w:rsidRPr="001D6D10">
              <w:rPr>
                <w:rFonts w:ascii="HG丸ｺﾞｼｯｸM-PRO" w:eastAsia="HG丸ｺﾞｼｯｸM-PRO" w:hAnsi="HG丸ｺﾞｼｯｸM-PRO" w:hint="eastAsia"/>
                <w:szCs w:val="21"/>
              </w:rPr>
              <w:t>□第２回災害警戒本部会議の事前準備</w:t>
            </w:r>
          </w:p>
          <w:p w14:paraId="7C7DCEBB" w14:textId="77777777" w:rsidR="00CC405A" w:rsidRPr="001D6D10" w:rsidRDefault="00CC405A" w:rsidP="00CC405A">
            <w:pPr>
              <w:rPr>
                <w:rFonts w:ascii="HG丸ｺﾞｼｯｸM-PRO" w:eastAsia="HG丸ｺﾞｼｯｸM-PRO" w:hAnsi="HG丸ｺﾞｼｯｸM-PRO"/>
                <w:szCs w:val="21"/>
              </w:rPr>
            </w:pPr>
            <w:r w:rsidRPr="001D6D10">
              <w:rPr>
                <w:rFonts w:ascii="HG丸ｺﾞｼｯｸM-PRO" w:eastAsia="HG丸ｺﾞｼｯｸM-PRO" w:hAnsi="HG丸ｺﾞｼｯｸM-PRO" w:hint="eastAsia"/>
                <w:szCs w:val="21"/>
              </w:rPr>
              <w:t xml:space="preserve">　・部局内</w:t>
            </w:r>
            <w:r w:rsidR="00A2101B" w:rsidRPr="001D6D10">
              <w:rPr>
                <w:rFonts w:ascii="HG丸ｺﾞｼｯｸM-PRO" w:eastAsia="HG丸ｺﾞｼｯｸM-PRO" w:hAnsi="HG丸ｺﾞｼｯｸM-PRO" w:hint="eastAsia"/>
                <w:szCs w:val="21"/>
              </w:rPr>
              <w:t>の</w:t>
            </w:r>
            <w:r w:rsidRPr="001D6D10">
              <w:rPr>
                <w:rFonts w:ascii="HG丸ｺﾞｼｯｸM-PRO" w:eastAsia="HG丸ｺﾞｼｯｸM-PRO" w:hAnsi="HG丸ｺﾞｼｯｸM-PRO" w:hint="eastAsia"/>
                <w:szCs w:val="21"/>
              </w:rPr>
              <w:t>対応状況の確認、会議での報告のとりまとめ</w:t>
            </w:r>
          </w:p>
          <w:p w14:paraId="0170D0FA" w14:textId="77777777" w:rsidR="00335440" w:rsidRPr="001D6D10" w:rsidRDefault="00CC405A" w:rsidP="00335440">
            <w:pPr>
              <w:ind w:firstLineChars="100" w:firstLine="211"/>
              <w:rPr>
                <w:rFonts w:ascii="HG丸ｺﾞｼｯｸM-PRO" w:eastAsia="HG丸ｺﾞｼｯｸM-PRO" w:hAnsi="HG丸ｺﾞｼｯｸM-PRO"/>
                <w:szCs w:val="21"/>
              </w:rPr>
            </w:pPr>
            <w:r w:rsidRPr="001D6D10">
              <w:rPr>
                <w:rFonts w:ascii="HG丸ｺﾞｼｯｸM-PRO" w:eastAsia="HG丸ｺﾞｼｯｸM-PRO" w:hAnsi="HG丸ｺﾞｼｯｸM-PRO" w:hint="eastAsia"/>
                <w:szCs w:val="21"/>
              </w:rPr>
              <w:t>・庁舎・所管施設の安全点検</w:t>
            </w:r>
          </w:p>
          <w:p w14:paraId="600DAFCE" w14:textId="77777777" w:rsidR="00CC405A" w:rsidRPr="001D6D10" w:rsidRDefault="00CC405A" w:rsidP="00335440">
            <w:pPr>
              <w:ind w:firstLineChars="100" w:firstLine="211"/>
              <w:rPr>
                <w:rFonts w:ascii="HG丸ｺﾞｼｯｸM-PRO" w:eastAsia="HG丸ｺﾞｼｯｸM-PRO" w:hAnsi="HG丸ｺﾞｼｯｸM-PRO"/>
                <w:szCs w:val="21"/>
                <w:u w:val="single"/>
              </w:rPr>
            </w:pPr>
            <w:r w:rsidRPr="001D6D10">
              <w:rPr>
                <w:rFonts w:ascii="HG丸ｺﾞｼｯｸM-PRO" w:eastAsia="HG丸ｺﾞｼｯｸM-PRO" w:hAnsi="HG丸ｺﾞｼｯｸM-PRO" w:hint="eastAsia"/>
                <w:szCs w:val="21"/>
                <w:bdr w:val="single" w:sz="4" w:space="0" w:color="auto"/>
              </w:rPr>
              <w:t>台風説明会</w:t>
            </w:r>
          </w:p>
        </w:tc>
      </w:tr>
      <w:tr w:rsidR="001D6D10" w:rsidRPr="001D6D10" w14:paraId="691D7C5B" w14:textId="77777777" w:rsidTr="00C96DF8">
        <w:trPr>
          <w:jc w:val="center"/>
        </w:trPr>
        <w:tc>
          <w:tcPr>
            <w:tcW w:w="1457" w:type="dxa"/>
            <w:vMerge/>
          </w:tcPr>
          <w:p w14:paraId="0F581152" w14:textId="77777777" w:rsidR="00C96DF8" w:rsidRPr="001D6D10" w:rsidRDefault="00C96DF8" w:rsidP="00C96DF8">
            <w:pPr>
              <w:rPr>
                <w:rFonts w:ascii="HG丸ｺﾞｼｯｸM-PRO" w:eastAsia="HG丸ｺﾞｼｯｸM-PRO" w:hAnsi="HG丸ｺﾞｼｯｸM-PRO"/>
                <w:szCs w:val="21"/>
              </w:rPr>
            </w:pPr>
          </w:p>
        </w:tc>
        <w:tc>
          <w:tcPr>
            <w:tcW w:w="7037" w:type="dxa"/>
          </w:tcPr>
          <w:p w14:paraId="409D2EE9" w14:textId="77777777" w:rsidR="00C96DF8" w:rsidRPr="001D6D10" w:rsidRDefault="00C96DF8" w:rsidP="00C96DF8">
            <w:pPr>
              <w:rPr>
                <w:rFonts w:ascii="HG丸ｺﾞｼｯｸM-PRO" w:eastAsia="HG丸ｺﾞｼｯｸM-PRO" w:hAnsi="HG丸ｺﾞｼｯｸM-PRO"/>
                <w:szCs w:val="21"/>
                <w:highlight w:val="yellow"/>
              </w:rPr>
            </w:pPr>
            <w:r w:rsidRPr="001D6D10">
              <w:rPr>
                <w:rFonts w:ascii="HG丸ｺﾞｼｯｸM-PRO" w:eastAsia="HG丸ｺﾞｼｯｸM-PRO" w:hAnsi="HG丸ｺﾞｼｯｸM-PRO" w:hint="eastAsia"/>
                <w:b/>
                <w:szCs w:val="21"/>
                <w:highlight w:val="yellow"/>
              </w:rPr>
              <w:t>第２回災害警戒本部会議</w:t>
            </w:r>
            <w:r w:rsidRPr="001D6D10">
              <w:rPr>
                <w:rFonts w:ascii="HG丸ｺﾞｼｯｸM-PRO" w:eastAsia="HG丸ｺﾞｼｯｸM-PRO" w:hAnsi="HG丸ｺﾞｼｯｸM-PRO" w:hint="eastAsia"/>
                <w:szCs w:val="21"/>
                <w:highlight w:val="yellow"/>
              </w:rPr>
              <w:t>（災害モード宣言の発信）</w:t>
            </w:r>
            <w:r w:rsidR="00CB0ABF" w:rsidRPr="001D6D10">
              <w:rPr>
                <w:rFonts w:ascii="HG丸ｺﾞｼｯｸM-PRO" w:eastAsia="HG丸ｺﾞｼｯｸM-PRO" w:hAnsi="HG丸ｺﾞｼｯｸM-PRO" w:hint="eastAsia"/>
                <w:szCs w:val="21"/>
                <w:highlight w:val="yellow"/>
              </w:rPr>
              <w:t>（Ｐ47</w:t>
            </w:r>
            <w:r w:rsidR="0010145B" w:rsidRPr="001D6D10">
              <w:rPr>
                <w:rFonts w:ascii="HG丸ｺﾞｼｯｸM-PRO" w:eastAsia="HG丸ｺﾞｼｯｸM-PRO" w:hAnsi="HG丸ｺﾞｼｯｸM-PRO" w:hint="eastAsia"/>
                <w:szCs w:val="21"/>
                <w:highlight w:val="yellow"/>
              </w:rPr>
              <w:t>参照）</w:t>
            </w:r>
          </w:p>
        </w:tc>
      </w:tr>
      <w:tr w:rsidR="001D6D10" w:rsidRPr="001D6D10" w14:paraId="20E23A29" w14:textId="77777777" w:rsidTr="00C96DF8">
        <w:trPr>
          <w:jc w:val="center"/>
        </w:trPr>
        <w:tc>
          <w:tcPr>
            <w:tcW w:w="1457" w:type="dxa"/>
            <w:vMerge/>
          </w:tcPr>
          <w:p w14:paraId="2B38957D" w14:textId="77777777" w:rsidR="00C96DF8" w:rsidRPr="001D6D10" w:rsidRDefault="00C96DF8" w:rsidP="00C96DF8">
            <w:pPr>
              <w:rPr>
                <w:rFonts w:ascii="HG丸ｺﾞｼｯｸM-PRO" w:eastAsia="HG丸ｺﾞｼｯｸM-PRO" w:hAnsi="HG丸ｺﾞｼｯｸM-PRO"/>
                <w:szCs w:val="21"/>
              </w:rPr>
            </w:pPr>
          </w:p>
        </w:tc>
        <w:tc>
          <w:tcPr>
            <w:tcW w:w="7037" w:type="dxa"/>
          </w:tcPr>
          <w:p w14:paraId="34CB9B80" w14:textId="77777777" w:rsidR="00C96DF8" w:rsidRPr="001D6D10" w:rsidRDefault="00CD006F" w:rsidP="00C96DF8">
            <w:pPr>
              <w:rPr>
                <w:rFonts w:ascii="HG丸ｺﾞｼｯｸM-PRO" w:eastAsia="HG丸ｺﾞｼｯｸM-PRO" w:hAnsi="HG丸ｺﾞｼｯｸM-PRO"/>
                <w:szCs w:val="21"/>
              </w:rPr>
            </w:pPr>
            <w:r w:rsidRPr="001D6D10">
              <w:rPr>
                <w:rFonts w:ascii="HG丸ｺﾞｼｯｸM-PRO" w:eastAsia="HG丸ｺﾞｼｯｸM-PRO" w:hAnsi="HG丸ｺﾞｼｯｸM-PRO" w:hint="eastAsia"/>
                <w:szCs w:val="21"/>
              </w:rPr>
              <w:t>□</w:t>
            </w:r>
            <w:r w:rsidR="00C96DF8" w:rsidRPr="001D6D10">
              <w:rPr>
                <w:rFonts w:ascii="HG丸ｺﾞｼｯｸM-PRO" w:eastAsia="HG丸ｺﾞｼｯｸM-PRO" w:hAnsi="HG丸ｺﾞｼｯｸM-PRO" w:hint="eastAsia"/>
                <w:szCs w:val="21"/>
              </w:rPr>
              <w:t>空港施設の連絡体制確認</w:t>
            </w:r>
          </w:p>
          <w:p w14:paraId="02195518" w14:textId="77777777" w:rsidR="00C84712" w:rsidRPr="001D6D10" w:rsidRDefault="00F35CFE" w:rsidP="00C96DF8">
            <w:pPr>
              <w:rPr>
                <w:rFonts w:ascii="HG丸ｺﾞｼｯｸM-PRO" w:eastAsia="HG丸ｺﾞｼｯｸM-PRO" w:hAnsi="HG丸ｺﾞｼｯｸM-PRO"/>
                <w:szCs w:val="21"/>
              </w:rPr>
            </w:pPr>
            <w:r w:rsidRPr="001D6D10">
              <w:rPr>
                <w:rFonts w:ascii="HG丸ｺﾞｼｯｸM-PRO" w:eastAsia="HG丸ｺﾞｼｯｸM-PRO" w:hAnsi="HG丸ｺﾞｼｯｸM-PRO" w:hint="eastAsia"/>
                <w:szCs w:val="21"/>
              </w:rPr>
              <w:t>□危機管理室からの情報の共有</w:t>
            </w:r>
          </w:p>
        </w:tc>
      </w:tr>
    </w:tbl>
    <w:p w14:paraId="21DDF278" w14:textId="77777777" w:rsidR="00CD006F" w:rsidRPr="001D6D10" w:rsidRDefault="00C96DF8" w:rsidP="00C96DF8">
      <w:pPr>
        <w:rPr>
          <w:rFonts w:ascii="HG丸ｺﾞｼｯｸM-PRO" w:eastAsia="HG丸ｺﾞｼｯｸM-PRO" w:hAnsi="HG丸ｺﾞｼｯｸM-PRO"/>
          <w:szCs w:val="21"/>
        </w:rPr>
      </w:pPr>
      <w:r w:rsidRPr="001D6D10">
        <w:rPr>
          <w:rFonts w:ascii="HG丸ｺﾞｼｯｸM-PRO" w:eastAsia="HG丸ｺﾞｼｯｸM-PRO" w:hAnsi="HG丸ｺﾞｼｯｸM-PRO" w:hint="eastAsia"/>
          <w:sz w:val="22"/>
          <w:szCs w:val="22"/>
        </w:rPr>
        <w:t xml:space="preserve">　　　</w:t>
      </w:r>
      <w:r w:rsidRPr="001D6D10">
        <w:rPr>
          <w:rFonts w:ascii="HG丸ｺﾞｼｯｸM-PRO" w:eastAsia="HG丸ｺﾞｼｯｸM-PRO" w:hAnsi="HG丸ｺﾞｼｯｸM-PRO" w:hint="eastAsia"/>
          <w:szCs w:val="21"/>
        </w:rPr>
        <w:t>関係機関：</w:t>
      </w:r>
      <w:r w:rsidRPr="001D6D10">
        <w:rPr>
          <w:rFonts w:ascii="HG丸ｺﾞｼｯｸM-PRO" w:eastAsia="HG丸ｺﾞｼｯｸM-PRO" w:hAnsi="HG丸ｺﾞｼｯｸM-PRO"/>
          <w:szCs w:val="21"/>
        </w:rPr>
        <w:t xml:space="preserve"> </w:t>
      </w:r>
      <w:r w:rsidRPr="001D6D10">
        <w:rPr>
          <w:rFonts w:ascii="HG丸ｺﾞｼｯｸM-PRO" w:eastAsia="HG丸ｺﾞｼｯｸM-PRO" w:hAnsi="HG丸ｺﾞｼｯｸM-PRO" w:hint="eastAsia"/>
          <w:szCs w:val="21"/>
        </w:rPr>
        <w:t>関西エアポート株式会社</w:t>
      </w:r>
    </w:p>
    <w:p w14:paraId="5AAB9938" w14:textId="77777777" w:rsidR="00C96DF8" w:rsidRPr="001D6D10" w:rsidRDefault="00C96DF8" w:rsidP="00C96DF8">
      <w:pPr>
        <w:rPr>
          <w:rFonts w:ascii="ＭＳ ゴシック" w:eastAsia="ＭＳ ゴシック" w:hAnsi="ＭＳ ゴシック"/>
          <w:sz w:val="18"/>
          <w:szCs w:val="22"/>
        </w:rPr>
      </w:pPr>
      <w:r w:rsidRPr="001D6D10">
        <w:rPr>
          <w:rFonts w:ascii="ＭＳ ゴシック" w:eastAsia="ＭＳ ゴシック" w:hAnsi="ＭＳ ゴシック" w:hint="eastAsia"/>
          <w:sz w:val="18"/>
          <w:szCs w:val="22"/>
        </w:rPr>
        <w:t>※）本タイムラインから状況に応じて必要な項目を選定し、実施するものとする。</w:t>
      </w:r>
    </w:p>
    <w:p w14:paraId="0421D8F5" w14:textId="2A6190FA" w:rsidR="00E367EE" w:rsidRDefault="00E367EE">
      <w:pPr>
        <w:widowControl/>
        <w:jc w:val="left"/>
        <w:rPr>
          <w:rFonts w:ascii="ＭＳ ゴシック" w:eastAsia="ＭＳ ゴシック" w:hAnsi="ＭＳ ゴシック"/>
          <w:sz w:val="22"/>
          <w:szCs w:val="22"/>
        </w:rPr>
      </w:pPr>
      <w:r>
        <w:rPr>
          <w:rFonts w:ascii="ＭＳ ゴシック" w:eastAsia="ＭＳ ゴシック" w:hAnsi="ＭＳ ゴシック"/>
          <w:sz w:val="22"/>
          <w:szCs w:val="22"/>
        </w:rPr>
        <w:br w:type="page"/>
      </w:r>
    </w:p>
    <w:p w14:paraId="3F5FA3CE" w14:textId="77777777" w:rsidR="00582BF7" w:rsidRPr="001D6D10" w:rsidRDefault="00582BF7" w:rsidP="00582BF7">
      <w:pPr>
        <w:rPr>
          <w:rFonts w:ascii="ＭＳ ゴシック" w:eastAsia="ＭＳ ゴシック" w:hAnsi="ＭＳ ゴシック"/>
          <w:sz w:val="22"/>
          <w:szCs w:val="22"/>
        </w:rPr>
      </w:pPr>
      <w:r w:rsidRPr="001D6D10">
        <w:rPr>
          <w:rFonts w:ascii="ＭＳ ゴシック" w:eastAsia="ＭＳ ゴシック" w:hAnsi="ＭＳ ゴシック" w:hint="eastAsia"/>
          <w:sz w:val="22"/>
          <w:szCs w:val="22"/>
        </w:rPr>
        <w:lastRenderedPageBreak/>
        <w:t>③総務部</w:t>
      </w:r>
    </w:p>
    <w:tbl>
      <w:tblPr>
        <w:tblpPr w:leftFromText="142" w:rightFromText="142" w:vertAnchor="text" w:tblpXSpec="center" w:tblpY="1"/>
        <w:tblOverlap w:val="neve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57"/>
        <w:gridCol w:w="7037"/>
      </w:tblGrid>
      <w:tr w:rsidR="001D6D10" w:rsidRPr="001D6D10" w14:paraId="01B42B70" w14:textId="77777777" w:rsidTr="00F35CFE">
        <w:trPr>
          <w:jc w:val="center"/>
        </w:trPr>
        <w:tc>
          <w:tcPr>
            <w:tcW w:w="1457" w:type="dxa"/>
            <w:tcBorders>
              <w:bottom w:val="single" w:sz="4" w:space="0" w:color="auto"/>
            </w:tcBorders>
            <w:shd w:val="clear" w:color="auto" w:fill="BFBFBF"/>
          </w:tcPr>
          <w:p w14:paraId="531BE436" w14:textId="77777777" w:rsidR="00582BF7" w:rsidRPr="001D6D10" w:rsidRDefault="00582BF7" w:rsidP="00F35CFE">
            <w:pPr>
              <w:jc w:val="center"/>
              <w:rPr>
                <w:rFonts w:ascii="HG丸ｺﾞｼｯｸM-PRO" w:eastAsia="HG丸ｺﾞｼｯｸM-PRO" w:hAnsi="HG丸ｺﾞｼｯｸM-PRO"/>
                <w:szCs w:val="21"/>
              </w:rPr>
            </w:pPr>
            <w:r w:rsidRPr="001D6D10">
              <w:rPr>
                <w:rFonts w:ascii="HG丸ｺﾞｼｯｸM-PRO" w:eastAsia="HG丸ｺﾞｼｯｸM-PRO" w:hAnsi="HG丸ｺﾞｼｯｸM-PRO" w:hint="eastAsia"/>
                <w:szCs w:val="21"/>
              </w:rPr>
              <w:t>時　期</w:t>
            </w:r>
          </w:p>
        </w:tc>
        <w:tc>
          <w:tcPr>
            <w:tcW w:w="7037" w:type="dxa"/>
            <w:tcBorders>
              <w:bottom w:val="single" w:sz="4" w:space="0" w:color="auto"/>
            </w:tcBorders>
            <w:shd w:val="clear" w:color="auto" w:fill="BFBFBF"/>
          </w:tcPr>
          <w:p w14:paraId="700EC54E" w14:textId="77777777" w:rsidR="00582BF7" w:rsidRPr="001D6D10" w:rsidRDefault="00E31DA1" w:rsidP="00F35CFE">
            <w:pPr>
              <w:jc w:val="center"/>
              <w:rPr>
                <w:rFonts w:ascii="HG丸ｺﾞｼｯｸM-PRO" w:eastAsia="HG丸ｺﾞｼｯｸM-PRO" w:hAnsi="HG丸ｺﾞｼｯｸM-PRO"/>
                <w:szCs w:val="21"/>
              </w:rPr>
            </w:pPr>
            <w:r w:rsidRPr="001D6D10">
              <w:rPr>
                <w:rFonts w:ascii="HG丸ｺﾞｼｯｸM-PRO" w:eastAsia="HG丸ｺﾞｼｯｸM-PRO" w:hAnsi="HG丸ｺﾞｼｯｸM-PRO" w:hint="eastAsia"/>
                <w:szCs w:val="21"/>
              </w:rPr>
              <w:t>主な事前準備</w:t>
            </w:r>
            <w:r w:rsidR="00582BF7" w:rsidRPr="001D6D10">
              <w:rPr>
                <w:rFonts w:ascii="HG丸ｺﾞｼｯｸM-PRO" w:eastAsia="HG丸ｺﾞｼｯｸM-PRO" w:hAnsi="HG丸ｺﾞｼｯｸM-PRO" w:hint="eastAsia"/>
                <w:szCs w:val="21"/>
              </w:rPr>
              <w:t>業務</w:t>
            </w:r>
          </w:p>
        </w:tc>
      </w:tr>
      <w:tr w:rsidR="001D6D10" w:rsidRPr="001D6D10" w14:paraId="385CD363" w14:textId="77777777" w:rsidTr="00F35CFE">
        <w:trPr>
          <w:jc w:val="center"/>
        </w:trPr>
        <w:tc>
          <w:tcPr>
            <w:tcW w:w="1457" w:type="dxa"/>
            <w:vMerge w:val="restart"/>
            <w:shd w:val="clear" w:color="auto" w:fill="FFFFFF" w:themeFill="background1"/>
          </w:tcPr>
          <w:p w14:paraId="77F322F4" w14:textId="77777777" w:rsidR="002B3D2C" w:rsidRPr="001D6D10" w:rsidRDefault="002B3D2C" w:rsidP="00F35CFE">
            <w:pPr>
              <w:jc w:val="center"/>
              <w:rPr>
                <w:rFonts w:ascii="HG丸ｺﾞｼｯｸM-PRO" w:eastAsia="HG丸ｺﾞｼｯｸM-PRO" w:hAnsi="HG丸ｺﾞｼｯｸM-PRO"/>
                <w:szCs w:val="21"/>
              </w:rPr>
            </w:pPr>
          </w:p>
          <w:p w14:paraId="4590DE7B" w14:textId="77777777" w:rsidR="002B3D2C" w:rsidRPr="001D6D10" w:rsidRDefault="002B3D2C" w:rsidP="00F35CFE">
            <w:pPr>
              <w:jc w:val="center"/>
              <w:rPr>
                <w:rFonts w:ascii="HG丸ｺﾞｼｯｸM-PRO" w:eastAsia="HG丸ｺﾞｼｯｸM-PRO" w:hAnsi="HG丸ｺﾞｼｯｸM-PRO"/>
                <w:szCs w:val="21"/>
              </w:rPr>
            </w:pPr>
          </w:p>
          <w:p w14:paraId="61B3FE8E" w14:textId="77777777" w:rsidR="002B3D2C" w:rsidRPr="001D6D10" w:rsidRDefault="002B3D2C" w:rsidP="00F35CFE">
            <w:pPr>
              <w:jc w:val="center"/>
              <w:rPr>
                <w:rFonts w:ascii="HG丸ｺﾞｼｯｸM-PRO" w:eastAsia="HG丸ｺﾞｼｯｸM-PRO" w:hAnsi="HG丸ｺﾞｼｯｸM-PRO"/>
                <w:szCs w:val="21"/>
              </w:rPr>
            </w:pPr>
          </w:p>
          <w:p w14:paraId="513980AD" w14:textId="77777777" w:rsidR="002B3D2C" w:rsidRPr="001D6D10" w:rsidRDefault="002B3D2C" w:rsidP="00F35CFE">
            <w:pPr>
              <w:jc w:val="center"/>
              <w:rPr>
                <w:rFonts w:ascii="HG丸ｺﾞｼｯｸM-PRO" w:eastAsia="HG丸ｺﾞｼｯｸM-PRO" w:hAnsi="HG丸ｺﾞｼｯｸM-PRO"/>
                <w:szCs w:val="21"/>
              </w:rPr>
            </w:pPr>
          </w:p>
          <w:p w14:paraId="260A46B0" w14:textId="16BC2A4F" w:rsidR="00582BF7" w:rsidRPr="001D6D10" w:rsidRDefault="00582BF7" w:rsidP="00F35CFE">
            <w:pPr>
              <w:jc w:val="center"/>
              <w:rPr>
                <w:rFonts w:ascii="HG丸ｺﾞｼｯｸM-PRO" w:eastAsia="HG丸ｺﾞｼｯｸM-PRO" w:hAnsi="HG丸ｺﾞｼｯｸM-PRO"/>
                <w:szCs w:val="21"/>
              </w:rPr>
            </w:pPr>
            <w:r w:rsidRPr="001D6D10">
              <w:rPr>
                <w:rFonts w:ascii="HG丸ｺﾞｼｯｸM-PRO" w:eastAsia="HG丸ｺﾞｼｯｸM-PRO" w:hAnsi="HG丸ｺﾞｼｯｸM-PRO" w:hint="eastAsia"/>
                <w:szCs w:val="21"/>
              </w:rPr>
              <w:t>～48ｈ</w:t>
            </w:r>
            <w:r w:rsidR="0053084D" w:rsidRPr="001D6D10">
              <w:rPr>
                <w:rFonts w:ascii="HG丸ｺﾞｼｯｸM-PRO" w:eastAsia="HG丸ｺﾞｼｯｸM-PRO" w:hAnsi="HG丸ｺﾞｼｯｸM-PRO" w:hint="eastAsia"/>
                <w:szCs w:val="21"/>
              </w:rPr>
              <w:t>前</w:t>
            </w:r>
          </w:p>
          <w:p w14:paraId="73469F9B" w14:textId="77777777" w:rsidR="00582BF7" w:rsidRPr="001D6D10" w:rsidRDefault="00582BF7" w:rsidP="00F35CFE">
            <w:pPr>
              <w:jc w:val="center"/>
              <w:rPr>
                <w:rFonts w:ascii="HG丸ｺﾞｼｯｸM-PRO" w:eastAsia="HG丸ｺﾞｼｯｸM-PRO" w:hAnsi="HG丸ｺﾞｼｯｸM-PRO"/>
                <w:sz w:val="20"/>
                <w:szCs w:val="20"/>
              </w:rPr>
            </w:pPr>
            <w:r w:rsidRPr="001D6D10">
              <w:rPr>
                <w:rFonts w:ascii="HG丸ｺﾞｼｯｸM-PRO" w:eastAsia="HG丸ｺﾞｼｯｸM-PRO" w:hAnsi="HG丸ｺﾞｼｯｸM-PRO" w:hint="eastAsia"/>
                <w:sz w:val="20"/>
                <w:szCs w:val="20"/>
              </w:rPr>
              <w:t>（３日以前）</w:t>
            </w:r>
          </w:p>
        </w:tc>
        <w:tc>
          <w:tcPr>
            <w:tcW w:w="7037" w:type="dxa"/>
            <w:tcBorders>
              <w:bottom w:val="single" w:sz="4" w:space="0" w:color="auto"/>
            </w:tcBorders>
            <w:shd w:val="clear" w:color="auto" w:fill="FFFFFF" w:themeFill="background1"/>
          </w:tcPr>
          <w:p w14:paraId="7765FD0F" w14:textId="77777777" w:rsidR="00582BF7" w:rsidRPr="001D6D10" w:rsidRDefault="00EF5DDA" w:rsidP="00EF5DDA">
            <w:pPr>
              <w:rPr>
                <w:rFonts w:ascii="HG丸ｺﾞｼｯｸM-PRO" w:eastAsia="HG丸ｺﾞｼｯｸM-PRO" w:hAnsi="HG丸ｺﾞｼｯｸM-PRO"/>
                <w:szCs w:val="21"/>
              </w:rPr>
            </w:pPr>
            <w:r w:rsidRPr="001D6D10">
              <w:rPr>
                <w:rFonts w:ascii="HG丸ｺﾞｼｯｸM-PRO" w:eastAsia="HG丸ｺﾞｼｯｸM-PRO" w:hAnsi="HG丸ｺﾞｼｯｸM-PRO" w:hint="eastAsia"/>
                <w:szCs w:val="21"/>
              </w:rPr>
              <w:t>□危機管理室及び気象台からの情報並びに各説明会資料を部長、次長、総務課長及び、部内各課総務総括へ周知</w:t>
            </w:r>
          </w:p>
          <w:p w14:paraId="1EAA1D1D" w14:textId="77777777" w:rsidR="00BB7E00" w:rsidRPr="001D6D10" w:rsidRDefault="00BB7E00" w:rsidP="00BB7E00">
            <w:pPr>
              <w:rPr>
                <w:rFonts w:ascii="HG丸ｺﾞｼｯｸM-PRO" w:eastAsia="HG丸ｺﾞｼｯｸM-PRO" w:hAnsi="HG丸ｺﾞｼｯｸM-PRO"/>
                <w:szCs w:val="21"/>
              </w:rPr>
            </w:pPr>
            <w:r w:rsidRPr="001D6D10">
              <w:rPr>
                <w:rFonts w:ascii="HG丸ｺﾞｼｯｸM-PRO" w:eastAsia="HG丸ｺﾞｼｯｸM-PRO" w:hAnsi="HG丸ｺﾞｼｯｸM-PRO" w:hint="eastAsia"/>
                <w:szCs w:val="21"/>
              </w:rPr>
              <w:t>□連絡体制の確認</w:t>
            </w:r>
          </w:p>
          <w:p w14:paraId="7F2BB454" w14:textId="77777777" w:rsidR="00BB7E00" w:rsidRPr="001D6D10" w:rsidRDefault="003B7241" w:rsidP="00F35CFE">
            <w:pPr>
              <w:rPr>
                <w:rFonts w:ascii="HG丸ｺﾞｼｯｸM-PRO" w:eastAsia="HG丸ｺﾞｼｯｸM-PRO" w:hAnsi="HG丸ｺﾞｼｯｸM-PRO"/>
                <w:szCs w:val="21"/>
              </w:rPr>
            </w:pPr>
            <w:r w:rsidRPr="001D6D10">
              <w:rPr>
                <w:rFonts w:ascii="HG丸ｺﾞｼｯｸM-PRO" w:eastAsia="HG丸ｺﾞｼｯｸM-PRO" w:hAnsi="HG丸ｺﾞｼｯｸM-PRO" w:hint="eastAsia"/>
                <w:szCs w:val="21"/>
              </w:rPr>
              <w:t>□災害対応に関するマニュアル等の確認</w:t>
            </w:r>
          </w:p>
          <w:p w14:paraId="4AB1EFB4" w14:textId="77777777" w:rsidR="00CC405A" w:rsidRPr="001D6D10" w:rsidRDefault="00CC405A" w:rsidP="00CC405A">
            <w:pPr>
              <w:rPr>
                <w:rFonts w:ascii="HG丸ｺﾞｼｯｸM-PRO" w:eastAsia="HG丸ｺﾞｼｯｸM-PRO" w:hAnsi="HG丸ｺﾞｼｯｸM-PRO"/>
                <w:szCs w:val="21"/>
              </w:rPr>
            </w:pPr>
            <w:r w:rsidRPr="001D6D10">
              <w:rPr>
                <w:rFonts w:ascii="HG丸ｺﾞｼｯｸM-PRO" w:eastAsia="HG丸ｺﾞｼｯｸM-PRO" w:hAnsi="HG丸ｺﾞｼｯｸM-PRO" w:hint="eastAsia"/>
                <w:szCs w:val="21"/>
              </w:rPr>
              <w:t>□指令部会議の事前準備</w:t>
            </w:r>
          </w:p>
          <w:p w14:paraId="2745A987" w14:textId="77777777" w:rsidR="00CC405A" w:rsidRPr="001D6D10" w:rsidRDefault="00CC405A" w:rsidP="00CC405A">
            <w:pPr>
              <w:rPr>
                <w:rFonts w:ascii="HG丸ｺﾞｼｯｸM-PRO" w:eastAsia="HG丸ｺﾞｼｯｸM-PRO" w:hAnsi="HG丸ｺﾞｼｯｸM-PRO"/>
                <w:szCs w:val="21"/>
              </w:rPr>
            </w:pPr>
            <w:r w:rsidRPr="001D6D10">
              <w:rPr>
                <w:rFonts w:ascii="HG丸ｺﾞｼｯｸM-PRO" w:eastAsia="HG丸ｺﾞｼｯｸM-PRO" w:hAnsi="HG丸ｺﾞｼｯｸM-PRO" w:hint="eastAsia"/>
                <w:szCs w:val="21"/>
              </w:rPr>
              <w:t xml:space="preserve">　</w:t>
            </w:r>
            <w:r w:rsidR="005B33EE" w:rsidRPr="001D6D10">
              <w:rPr>
                <w:rFonts w:ascii="HG丸ｺﾞｼｯｸM-PRO" w:eastAsia="HG丸ｺﾞｼｯｸM-PRO" w:hAnsi="HG丸ｺﾞｼｯｸM-PRO" w:hint="eastAsia"/>
                <w:szCs w:val="21"/>
              </w:rPr>
              <w:t>・イベントの有無</w:t>
            </w:r>
            <w:r w:rsidRPr="001D6D10">
              <w:rPr>
                <w:rFonts w:ascii="HG丸ｺﾞｼｯｸM-PRO" w:eastAsia="HG丸ｺﾞｼｯｸM-PRO" w:hAnsi="HG丸ｺﾞｼｯｸM-PRO" w:hint="eastAsia"/>
                <w:szCs w:val="21"/>
              </w:rPr>
              <w:t>確認</w:t>
            </w:r>
            <w:r w:rsidR="005B33EE" w:rsidRPr="001D6D10">
              <w:rPr>
                <w:rFonts w:ascii="HG丸ｺﾞｼｯｸM-PRO" w:eastAsia="HG丸ｺﾞｼｯｸM-PRO" w:hAnsi="HG丸ｺﾞｼｯｸM-PRO" w:hint="eastAsia"/>
                <w:szCs w:val="21"/>
              </w:rPr>
              <w:t>（府主催、共催）</w:t>
            </w:r>
          </w:p>
          <w:p w14:paraId="3685716A" w14:textId="77777777" w:rsidR="00CC405A" w:rsidRPr="001D6D10" w:rsidRDefault="00CC405A" w:rsidP="00CC405A">
            <w:pPr>
              <w:rPr>
                <w:rFonts w:ascii="HG丸ｺﾞｼｯｸM-PRO" w:eastAsia="HG丸ｺﾞｼｯｸM-PRO" w:hAnsi="HG丸ｺﾞｼｯｸM-PRO"/>
                <w:szCs w:val="21"/>
              </w:rPr>
            </w:pPr>
            <w:r w:rsidRPr="001D6D10">
              <w:rPr>
                <w:rFonts w:ascii="HG丸ｺﾞｼｯｸM-PRO" w:eastAsia="HG丸ｺﾞｼｯｸM-PRO" w:hAnsi="HG丸ｺﾞｼｯｸM-PRO" w:hint="eastAsia"/>
                <w:szCs w:val="21"/>
              </w:rPr>
              <w:t xml:space="preserve">　・所管団体等への注意喚起など</w:t>
            </w:r>
          </w:p>
        </w:tc>
      </w:tr>
      <w:tr w:rsidR="001D6D10" w:rsidRPr="001D6D10" w14:paraId="4797AD82" w14:textId="77777777" w:rsidTr="00F35CFE">
        <w:trPr>
          <w:jc w:val="center"/>
        </w:trPr>
        <w:tc>
          <w:tcPr>
            <w:tcW w:w="1457" w:type="dxa"/>
            <w:vMerge/>
          </w:tcPr>
          <w:p w14:paraId="5C265BAC" w14:textId="77777777" w:rsidR="00582BF7" w:rsidRPr="001D6D10" w:rsidRDefault="00582BF7" w:rsidP="00F35CFE">
            <w:pPr>
              <w:rPr>
                <w:rFonts w:ascii="HG丸ｺﾞｼｯｸM-PRO" w:eastAsia="HG丸ｺﾞｼｯｸM-PRO" w:hAnsi="HG丸ｺﾞｼｯｸM-PRO"/>
                <w:szCs w:val="21"/>
              </w:rPr>
            </w:pPr>
          </w:p>
        </w:tc>
        <w:tc>
          <w:tcPr>
            <w:tcW w:w="7037" w:type="dxa"/>
          </w:tcPr>
          <w:p w14:paraId="4697C61A" w14:textId="77777777" w:rsidR="00582BF7" w:rsidRPr="001D6D10" w:rsidRDefault="00582BF7" w:rsidP="00F35CFE">
            <w:pPr>
              <w:rPr>
                <w:rFonts w:ascii="HG丸ｺﾞｼｯｸM-PRO" w:eastAsia="HG丸ｺﾞｼｯｸM-PRO" w:hAnsi="HG丸ｺﾞｼｯｸM-PRO"/>
                <w:szCs w:val="21"/>
              </w:rPr>
            </w:pPr>
            <w:r w:rsidRPr="001D6D10">
              <w:rPr>
                <w:rFonts w:ascii="HG丸ｺﾞｼｯｸM-PRO" w:eastAsia="HG丸ｺﾞｼｯｸM-PRO" w:hAnsi="HG丸ｺﾞｼｯｸM-PRO" w:hint="eastAsia"/>
                <w:b/>
                <w:szCs w:val="21"/>
                <w:highlight w:val="yellow"/>
              </w:rPr>
              <w:t>防災・危機管理指令部会議</w:t>
            </w:r>
            <w:r w:rsidRPr="001D6D10">
              <w:rPr>
                <w:rFonts w:ascii="HG丸ｺﾞｼｯｸM-PRO" w:eastAsia="HG丸ｺﾞｼｯｸM-PRO" w:hAnsi="HG丸ｺﾞｼｯｸM-PRO" w:hint="eastAsia"/>
                <w:szCs w:val="21"/>
                <w:highlight w:val="yellow"/>
              </w:rPr>
              <w:t>（おおよそ７２ｈ前）</w:t>
            </w:r>
            <w:r w:rsidR="00CB0ABF" w:rsidRPr="001D6D10">
              <w:rPr>
                <w:rFonts w:ascii="HG丸ｺﾞｼｯｸM-PRO" w:eastAsia="HG丸ｺﾞｼｯｸM-PRO" w:hAnsi="HG丸ｺﾞｼｯｸM-PRO" w:hint="eastAsia"/>
                <w:szCs w:val="21"/>
                <w:highlight w:val="yellow"/>
              </w:rPr>
              <w:t>（Ｐ42</w:t>
            </w:r>
            <w:r w:rsidR="00AD02A5" w:rsidRPr="001D6D10">
              <w:rPr>
                <w:rFonts w:ascii="HG丸ｺﾞｼｯｸM-PRO" w:eastAsia="HG丸ｺﾞｼｯｸM-PRO" w:hAnsi="HG丸ｺﾞｼｯｸM-PRO" w:hint="eastAsia"/>
                <w:szCs w:val="21"/>
                <w:highlight w:val="yellow"/>
              </w:rPr>
              <w:t>参照）</w:t>
            </w:r>
          </w:p>
        </w:tc>
      </w:tr>
      <w:tr w:rsidR="001D6D10" w:rsidRPr="001D6D10" w14:paraId="049496A3" w14:textId="77777777" w:rsidTr="00F35CFE">
        <w:trPr>
          <w:jc w:val="center"/>
        </w:trPr>
        <w:tc>
          <w:tcPr>
            <w:tcW w:w="1457" w:type="dxa"/>
            <w:vMerge/>
          </w:tcPr>
          <w:p w14:paraId="20E83ACE" w14:textId="77777777" w:rsidR="00582BF7" w:rsidRPr="001D6D10" w:rsidRDefault="00582BF7" w:rsidP="00F35CFE">
            <w:pPr>
              <w:rPr>
                <w:rFonts w:ascii="HG丸ｺﾞｼｯｸM-PRO" w:eastAsia="HG丸ｺﾞｼｯｸM-PRO" w:hAnsi="HG丸ｺﾞｼｯｸM-PRO"/>
                <w:szCs w:val="21"/>
              </w:rPr>
            </w:pPr>
          </w:p>
        </w:tc>
        <w:tc>
          <w:tcPr>
            <w:tcW w:w="7037" w:type="dxa"/>
          </w:tcPr>
          <w:p w14:paraId="0824BDDE" w14:textId="77777777" w:rsidR="00582BF7" w:rsidRPr="001D6D10" w:rsidRDefault="00582BF7" w:rsidP="00F35CFE">
            <w:pPr>
              <w:rPr>
                <w:rFonts w:ascii="HG丸ｺﾞｼｯｸM-PRO" w:eastAsia="HG丸ｺﾞｼｯｸM-PRO" w:hAnsi="HG丸ｺﾞｼｯｸM-PRO"/>
                <w:szCs w:val="21"/>
              </w:rPr>
            </w:pPr>
            <w:r w:rsidRPr="001D6D10">
              <w:rPr>
                <w:rFonts w:ascii="HG丸ｺﾞｼｯｸM-PRO" w:eastAsia="HG丸ｺﾞｼｯｸM-PRO" w:hAnsi="HG丸ｺﾞｼｯｸM-PRO" w:hint="eastAsia"/>
                <w:szCs w:val="21"/>
              </w:rPr>
              <w:t>□危機管理室及び気象台からの情報並びに各説明会資料を部長、次長、総務課長及び、部内各課総務総括へ周知</w:t>
            </w:r>
          </w:p>
        </w:tc>
      </w:tr>
      <w:tr w:rsidR="001D6D10" w:rsidRPr="001D6D10" w14:paraId="7B32D123" w14:textId="77777777" w:rsidTr="00F35CFE">
        <w:trPr>
          <w:jc w:val="center"/>
        </w:trPr>
        <w:tc>
          <w:tcPr>
            <w:tcW w:w="1457" w:type="dxa"/>
            <w:vMerge w:val="restart"/>
          </w:tcPr>
          <w:p w14:paraId="5363AC67" w14:textId="77777777" w:rsidR="002B3D2C" w:rsidRPr="001D6D10" w:rsidRDefault="002B3D2C" w:rsidP="00F35CFE">
            <w:pPr>
              <w:rPr>
                <w:rFonts w:ascii="HG丸ｺﾞｼｯｸM-PRO" w:eastAsia="HG丸ｺﾞｼｯｸM-PRO" w:hAnsi="HG丸ｺﾞｼｯｸM-PRO"/>
                <w:szCs w:val="21"/>
              </w:rPr>
            </w:pPr>
          </w:p>
          <w:p w14:paraId="31D9C64F" w14:textId="77777777" w:rsidR="002B3D2C" w:rsidRPr="001D6D10" w:rsidRDefault="002B3D2C" w:rsidP="00F35CFE">
            <w:pPr>
              <w:rPr>
                <w:rFonts w:ascii="HG丸ｺﾞｼｯｸM-PRO" w:eastAsia="HG丸ｺﾞｼｯｸM-PRO" w:hAnsi="HG丸ｺﾞｼｯｸM-PRO"/>
                <w:szCs w:val="21"/>
              </w:rPr>
            </w:pPr>
          </w:p>
          <w:p w14:paraId="0A9984D7" w14:textId="77777777" w:rsidR="002B3D2C" w:rsidRPr="001D6D10" w:rsidRDefault="002B3D2C" w:rsidP="00F35CFE">
            <w:pPr>
              <w:rPr>
                <w:rFonts w:ascii="HG丸ｺﾞｼｯｸM-PRO" w:eastAsia="HG丸ｺﾞｼｯｸM-PRO" w:hAnsi="HG丸ｺﾞｼｯｸM-PRO"/>
                <w:szCs w:val="21"/>
              </w:rPr>
            </w:pPr>
          </w:p>
          <w:p w14:paraId="3E89F22A" w14:textId="77777777" w:rsidR="002B3D2C" w:rsidRPr="001D6D10" w:rsidRDefault="002B3D2C" w:rsidP="00F35CFE">
            <w:pPr>
              <w:rPr>
                <w:rFonts w:ascii="HG丸ｺﾞｼｯｸM-PRO" w:eastAsia="HG丸ｺﾞｼｯｸM-PRO" w:hAnsi="HG丸ｺﾞｼｯｸM-PRO"/>
                <w:szCs w:val="21"/>
              </w:rPr>
            </w:pPr>
          </w:p>
          <w:p w14:paraId="4D1C08BA" w14:textId="77777777" w:rsidR="002B3D2C" w:rsidRPr="001D6D10" w:rsidRDefault="002B3D2C" w:rsidP="00F35CFE">
            <w:pPr>
              <w:rPr>
                <w:rFonts w:ascii="HG丸ｺﾞｼｯｸM-PRO" w:eastAsia="HG丸ｺﾞｼｯｸM-PRO" w:hAnsi="HG丸ｺﾞｼｯｸM-PRO"/>
                <w:szCs w:val="21"/>
              </w:rPr>
            </w:pPr>
          </w:p>
          <w:p w14:paraId="4787AEBF" w14:textId="77777777" w:rsidR="002B3D2C" w:rsidRPr="001D6D10" w:rsidRDefault="002B3D2C" w:rsidP="00F35CFE">
            <w:pPr>
              <w:rPr>
                <w:rFonts w:ascii="HG丸ｺﾞｼｯｸM-PRO" w:eastAsia="HG丸ｺﾞｼｯｸM-PRO" w:hAnsi="HG丸ｺﾞｼｯｸM-PRO"/>
                <w:szCs w:val="21"/>
              </w:rPr>
            </w:pPr>
          </w:p>
          <w:p w14:paraId="3B47B3CC" w14:textId="77777777" w:rsidR="00582BF7" w:rsidRPr="001D6D10" w:rsidRDefault="00582BF7" w:rsidP="00F35CFE">
            <w:pPr>
              <w:rPr>
                <w:rFonts w:ascii="HG丸ｺﾞｼｯｸM-PRO" w:eastAsia="HG丸ｺﾞｼｯｸM-PRO" w:hAnsi="HG丸ｺﾞｼｯｸM-PRO"/>
                <w:szCs w:val="21"/>
              </w:rPr>
            </w:pPr>
            <w:r w:rsidRPr="001D6D10">
              <w:rPr>
                <w:rFonts w:ascii="HG丸ｺﾞｼｯｸM-PRO" w:eastAsia="HG丸ｺﾞｼｯｸM-PRO" w:hAnsi="HG丸ｺﾞｼｯｸM-PRO" w:hint="eastAsia"/>
                <w:szCs w:val="21"/>
              </w:rPr>
              <w:t>48ｈ前～</w:t>
            </w:r>
          </w:p>
          <w:p w14:paraId="48C96DDA" w14:textId="77777777" w:rsidR="00582BF7" w:rsidRPr="001D6D10" w:rsidRDefault="00582BF7" w:rsidP="00F35CFE">
            <w:pPr>
              <w:rPr>
                <w:rFonts w:ascii="HG丸ｺﾞｼｯｸM-PRO" w:eastAsia="HG丸ｺﾞｼｯｸM-PRO" w:hAnsi="HG丸ｺﾞｼｯｸM-PRO"/>
                <w:szCs w:val="21"/>
              </w:rPr>
            </w:pPr>
            <w:r w:rsidRPr="001D6D10">
              <w:rPr>
                <w:rFonts w:ascii="HG丸ｺﾞｼｯｸM-PRO" w:eastAsia="HG丸ｺﾞｼｯｸM-PRO" w:hAnsi="HG丸ｺﾞｼｯｸM-PRO" w:hint="eastAsia"/>
                <w:szCs w:val="21"/>
              </w:rPr>
              <w:t xml:space="preserve">　　24ｈ前</w:t>
            </w:r>
          </w:p>
          <w:p w14:paraId="72882EBE" w14:textId="77777777" w:rsidR="00582BF7" w:rsidRPr="001D6D10" w:rsidRDefault="00582BF7" w:rsidP="00F35CFE">
            <w:pPr>
              <w:rPr>
                <w:rFonts w:ascii="HG丸ｺﾞｼｯｸM-PRO" w:eastAsia="HG丸ｺﾞｼｯｸM-PRO" w:hAnsi="HG丸ｺﾞｼｯｸM-PRO"/>
                <w:szCs w:val="21"/>
              </w:rPr>
            </w:pPr>
            <w:r w:rsidRPr="001D6D10">
              <w:rPr>
                <w:rFonts w:ascii="HG丸ｺﾞｼｯｸM-PRO" w:eastAsia="HG丸ｺﾞｼｯｸM-PRO" w:hAnsi="HG丸ｺﾞｼｯｸM-PRO" w:hint="eastAsia"/>
                <w:szCs w:val="21"/>
              </w:rPr>
              <w:t>（２日前）</w:t>
            </w:r>
          </w:p>
        </w:tc>
        <w:tc>
          <w:tcPr>
            <w:tcW w:w="7037" w:type="dxa"/>
          </w:tcPr>
          <w:p w14:paraId="6D761419" w14:textId="77777777" w:rsidR="00582BF7" w:rsidRPr="001D6D10" w:rsidRDefault="00582BF7" w:rsidP="00F35CFE">
            <w:pPr>
              <w:rPr>
                <w:rFonts w:ascii="HG丸ｺﾞｼｯｸM-PRO" w:eastAsia="HG丸ｺﾞｼｯｸM-PRO" w:hAnsi="HG丸ｺﾞｼｯｸM-PRO"/>
                <w:sz w:val="18"/>
                <w:szCs w:val="18"/>
              </w:rPr>
            </w:pPr>
            <w:r w:rsidRPr="001D6D10">
              <w:rPr>
                <w:rFonts w:ascii="HG丸ｺﾞｼｯｸM-PRO" w:eastAsia="HG丸ｺﾞｼｯｸM-PRO" w:hAnsi="HG丸ｺﾞｼｯｸM-PRO" w:hint="eastAsia"/>
                <w:szCs w:val="21"/>
              </w:rPr>
              <w:t>庁内連絡会議①：災害モード宣言の内容、第1回災害警戒本部会議の事前調整等</w:t>
            </w:r>
            <w:r w:rsidRPr="001D6D10">
              <w:rPr>
                <w:rFonts w:ascii="HG丸ｺﾞｼｯｸM-PRO" w:eastAsia="HG丸ｺﾞｼｯｸM-PRO" w:hAnsi="HG丸ｺﾞｼｯｸM-PRO" w:hint="eastAsia"/>
                <w:sz w:val="18"/>
                <w:szCs w:val="18"/>
              </w:rPr>
              <w:t>(警戒本部会議議題：管理施設の休館及び学校休校の検討、イベント等の中止検討、職員の配備態勢)</w:t>
            </w:r>
          </w:p>
          <w:p w14:paraId="65EE04A2" w14:textId="77777777" w:rsidR="00CC405A" w:rsidRPr="001D6D10" w:rsidRDefault="00CC405A" w:rsidP="00CC405A">
            <w:pPr>
              <w:rPr>
                <w:rFonts w:ascii="HG丸ｺﾞｼｯｸM-PRO" w:eastAsia="HG丸ｺﾞｼｯｸM-PRO" w:hAnsi="HG丸ｺﾞｼｯｸM-PRO"/>
                <w:szCs w:val="21"/>
              </w:rPr>
            </w:pPr>
            <w:r w:rsidRPr="001D6D10">
              <w:rPr>
                <w:rFonts w:ascii="HG丸ｺﾞｼｯｸM-PRO" w:eastAsia="HG丸ｺﾞｼｯｸM-PRO" w:hAnsi="HG丸ｺﾞｼｯｸM-PRO" w:hint="eastAsia"/>
                <w:szCs w:val="21"/>
              </w:rPr>
              <w:t>□第１回災害警戒本部会議の事前準備</w:t>
            </w:r>
          </w:p>
          <w:p w14:paraId="773496EF" w14:textId="77777777" w:rsidR="00CC405A" w:rsidRPr="001D6D10" w:rsidRDefault="00CC405A" w:rsidP="00CC405A">
            <w:pPr>
              <w:rPr>
                <w:rFonts w:ascii="HG丸ｺﾞｼｯｸM-PRO" w:eastAsia="HG丸ｺﾞｼｯｸM-PRO" w:hAnsi="HG丸ｺﾞｼｯｸM-PRO"/>
                <w:szCs w:val="21"/>
              </w:rPr>
            </w:pPr>
            <w:r w:rsidRPr="001D6D10">
              <w:rPr>
                <w:rFonts w:ascii="HG丸ｺﾞｼｯｸM-PRO" w:eastAsia="HG丸ｺﾞｼｯｸM-PRO" w:hAnsi="HG丸ｺﾞｼｯｸM-PRO" w:hint="eastAsia"/>
                <w:szCs w:val="21"/>
              </w:rPr>
              <w:t xml:space="preserve">　・部局内の対応状況の確認、会議での報告のとりまとめ</w:t>
            </w:r>
          </w:p>
          <w:p w14:paraId="378F5818" w14:textId="77777777" w:rsidR="00335440" w:rsidRPr="001D6D10" w:rsidRDefault="00CC405A" w:rsidP="00335440">
            <w:pPr>
              <w:rPr>
                <w:rFonts w:ascii="HG丸ｺﾞｼｯｸM-PRO" w:eastAsia="HG丸ｺﾞｼｯｸM-PRO" w:hAnsi="HG丸ｺﾞｼｯｸM-PRO"/>
                <w:szCs w:val="21"/>
              </w:rPr>
            </w:pPr>
            <w:r w:rsidRPr="001D6D10">
              <w:rPr>
                <w:rFonts w:ascii="HG丸ｺﾞｼｯｸM-PRO" w:eastAsia="HG丸ｺﾞｼｯｸM-PRO" w:hAnsi="HG丸ｺﾞｼｯｸM-PRO" w:hint="eastAsia"/>
                <w:szCs w:val="21"/>
              </w:rPr>
              <w:t xml:space="preserve">　・庁舎・所管施設の安全確認</w:t>
            </w:r>
          </w:p>
          <w:p w14:paraId="11336192" w14:textId="77777777" w:rsidR="00CC405A" w:rsidRPr="001D6D10" w:rsidRDefault="00CC405A" w:rsidP="00335440">
            <w:pPr>
              <w:rPr>
                <w:rFonts w:ascii="HG丸ｺﾞｼｯｸM-PRO" w:eastAsia="HG丸ｺﾞｼｯｸM-PRO" w:hAnsi="HG丸ｺﾞｼｯｸM-PRO"/>
                <w:szCs w:val="21"/>
                <w:u w:val="single"/>
              </w:rPr>
            </w:pPr>
            <w:r w:rsidRPr="001D6D10">
              <w:rPr>
                <w:rFonts w:ascii="HG丸ｺﾞｼｯｸM-PRO" w:eastAsia="HG丸ｺﾞｼｯｸM-PRO" w:hAnsi="HG丸ｺﾞｼｯｸM-PRO" w:hint="eastAsia"/>
                <w:szCs w:val="21"/>
                <w:bdr w:val="single" w:sz="4" w:space="0" w:color="auto"/>
              </w:rPr>
              <w:t>台風説明会</w:t>
            </w:r>
          </w:p>
        </w:tc>
      </w:tr>
      <w:tr w:rsidR="001D6D10" w:rsidRPr="001D6D10" w14:paraId="412BC209" w14:textId="77777777" w:rsidTr="00F35CFE">
        <w:trPr>
          <w:jc w:val="center"/>
        </w:trPr>
        <w:tc>
          <w:tcPr>
            <w:tcW w:w="1457" w:type="dxa"/>
            <w:vMerge/>
          </w:tcPr>
          <w:p w14:paraId="678E2745" w14:textId="77777777" w:rsidR="00582BF7" w:rsidRPr="001D6D10" w:rsidRDefault="00582BF7" w:rsidP="00F35CFE">
            <w:pPr>
              <w:rPr>
                <w:rFonts w:ascii="HG丸ｺﾞｼｯｸM-PRO" w:eastAsia="HG丸ｺﾞｼｯｸM-PRO" w:hAnsi="HG丸ｺﾞｼｯｸM-PRO"/>
                <w:szCs w:val="21"/>
              </w:rPr>
            </w:pPr>
          </w:p>
        </w:tc>
        <w:tc>
          <w:tcPr>
            <w:tcW w:w="7037" w:type="dxa"/>
          </w:tcPr>
          <w:p w14:paraId="53857023" w14:textId="77777777" w:rsidR="00582BF7" w:rsidRPr="001D6D10" w:rsidRDefault="00582BF7" w:rsidP="00F35CFE">
            <w:pPr>
              <w:rPr>
                <w:rFonts w:ascii="HG丸ｺﾞｼｯｸM-PRO" w:eastAsia="HG丸ｺﾞｼｯｸM-PRO" w:hAnsi="HG丸ｺﾞｼｯｸM-PRO"/>
                <w:szCs w:val="21"/>
                <w:highlight w:val="yellow"/>
              </w:rPr>
            </w:pPr>
            <w:r w:rsidRPr="001D6D10">
              <w:rPr>
                <w:rFonts w:ascii="HG丸ｺﾞｼｯｸM-PRO" w:eastAsia="HG丸ｺﾞｼｯｸM-PRO" w:hAnsi="HG丸ｺﾞｼｯｸM-PRO" w:hint="eastAsia"/>
                <w:b/>
                <w:szCs w:val="21"/>
                <w:highlight w:val="yellow"/>
              </w:rPr>
              <w:t>第1回災害警戒本部会議</w:t>
            </w:r>
            <w:r w:rsidRPr="001D6D10">
              <w:rPr>
                <w:rFonts w:ascii="HG丸ｺﾞｼｯｸM-PRO" w:eastAsia="HG丸ｺﾞｼｯｸM-PRO" w:hAnsi="HG丸ｺﾞｼｯｸM-PRO" w:hint="eastAsia"/>
                <w:szCs w:val="21"/>
                <w:highlight w:val="yellow"/>
              </w:rPr>
              <w:t>（災害モード宣言の内容検討）</w:t>
            </w:r>
            <w:r w:rsidR="00CB0ABF" w:rsidRPr="001D6D10">
              <w:rPr>
                <w:rFonts w:ascii="HG丸ｺﾞｼｯｸM-PRO" w:eastAsia="HG丸ｺﾞｼｯｸM-PRO" w:hAnsi="HG丸ｺﾞｼｯｸM-PRO" w:hint="eastAsia"/>
                <w:szCs w:val="21"/>
                <w:highlight w:val="yellow"/>
              </w:rPr>
              <w:t>（Ｐ47</w:t>
            </w:r>
            <w:r w:rsidR="0010145B" w:rsidRPr="001D6D10">
              <w:rPr>
                <w:rFonts w:ascii="HG丸ｺﾞｼｯｸM-PRO" w:eastAsia="HG丸ｺﾞｼｯｸM-PRO" w:hAnsi="HG丸ｺﾞｼｯｸM-PRO" w:hint="eastAsia"/>
                <w:szCs w:val="21"/>
                <w:highlight w:val="yellow"/>
              </w:rPr>
              <w:t>参照）</w:t>
            </w:r>
          </w:p>
        </w:tc>
      </w:tr>
      <w:tr w:rsidR="001D6D10" w:rsidRPr="001D6D10" w14:paraId="7F979D50" w14:textId="77777777" w:rsidTr="00F35CFE">
        <w:trPr>
          <w:jc w:val="center"/>
        </w:trPr>
        <w:tc>
          <w:tcPr>
            <w:tcW w:w="1457" w:type="dxa"/>
            <w:vMerge/>
          </w:tcPr>
          <w:p w14:paraId="46BFAC82" w14:textId="77777777" w:rsidR="00582BF7" w:rsidRPr="001D6D10" w:rsidRDefault="00582BF7" w:rsidP="00F35CFE">
            <w:pPr>
              <w:rPr>
                <w:rFonts w:ascii="HG丸ｺﾞｼｯｸM-PRO" w:eastAsia="HG丸ｺﾞｼｯｸM-PRO" w:hAnsi="HG丸ｺﾞｼｯｸM-PRO"/>
                <w:szCs w:val="21"/>
              </w:rPr>
            </w:pPr>
          </w:p>
        </w:tc>
        <w:tc>
          <w:tcPr>
            <w:tcW w:w="7037" w:type="dxa"/>
          </w:tcPr>
          <w:p w14:paraId="4249DDE1" w14:textId="77777777" w:rsidR="00582BF7" w:rsidRPr="001D6D10" w:rsidRDefault="00582BF7" w:rsidP="00F35CFE">
            <w:pPr>
              <w:rPr>
                <w:rFonts w:ascii="HG丸ｺﾞｼｯｸM-PRO" w:eastAsia="HG丸ｺﾞｼｯｸM-PRO" w:hAnsi="HG丸ｺﾞｼｯｸM-PRO"/>
                <w:szCs w:val="21"/>
              </w:rPr>
            </w:pPr>
            <w:r w:rsidRPr="001D6D10">
              <w:rPr>
                <w:rFonts w:ascii="HG丸ｺﾞｼｯｸM-PRO" w:eastAsia="HG丸ｺﾞｼｯｸM-PRO" w:hAnsi="HG丸ｺﾞｼｯｸM-PRO" w:hint="eastAsia"/>
                <w:szCs w:val="21"/>
              </w:rPr>
              <w:t>□災害警戒本部会議資料を部長、次長、総務課長及び、部内各課総務総括へ周知</w:t>
            </w:r>
          </w:p>
          <w:p w14:paraId="26D1D4BC" w14:textId="77777777" w:rsidR="005A0125" w:rsidRPr="001D6D10" w:rsidRDefault="005A0125" w:rsidP="005A0125">
            <w:pPr>
              <w:rPr>
                <w:rFonts w:ascii="HG丸ｺﾞｼｯｸM-PRO" w:eastAsia="HG丸ｺﾞｼｯｸM-PRO" w:hAnsi="HG丸ｺﾞｼｯｸM-PRO"/>
                <w:szCs w:val="21"/>
              </w:rPr>
            </w:pPr>
            <w:r w:rsidRPr="001D6D10">
              <w:rPr>
                <w:rFonts w:ascii="HG丸ｺﾞｼｯｸM-PRO" w:eastAsia="HG丸ｺﾞｼｯｸM-PRO" w:hAnsi="HG丸ｺﾞｼｯｸM-PRO" w:hint="eastAsia"/>
                <w:szCs w:val="21"/>
              </w:rPr>
              <w:t>□公共交通機関計画運休の確認</w:t>
            </w:r>
          </w:p>
          <w:p w14:paraId="5ADAFB86" w14:textId="77777777" w:rsidR="005A0125" w:rsidRPr="001D6D10" w:rsidRDefault="005A0125" w:rsidP="005A0125">
            <w:pPr>
              <w:rPr>
                <w:rFonts w:ascii="HG丸ｺﾞｼｯｸM-PRO" w:eastAsia="HG丸ｺﾞｼｯｸM-PRO" w:hAnsi="HG丸ｺﾞｼｯｸM-PRO"/>
                <w:szCs w:val="21"/>
              </w:rPr>
            </w:pPr>
            <w:r w:rsidRPr="001D6D10">
              <w:rPr>
                <w:rFonts w:ascii="HG丸ｺﾞｼｯｸM-PRO" w:eastAsia="HG丸ｺﾞｼｯｸM-PRO" w:hAnsi="HG丸ｺﾞｼｯｸM-PRO" w:hint="eastAsia"/>
                <w:szCs w:val="21"/>
              </w:rPr>
              <w:t>□職員体制の確認・確保</w:t>
            </w:r>
          </w:p>
          <w:p w14:paraId="1DF02B9C" w14:textId="77777777" w:rsidR="005A0125" w:rsidRPr="001D6D10" w:rsidRDefault="005A0125" w:rsidP="005A0125">
            <w:pPr>
              <w:rPr>
                <w:rFonts w:ascii="HG丸ｺﾞｼｯｸM-PRO" w:eastAsia="HG丸ｺﾞｼｯｸM-PRO" w:hAnsi="HG丸ｺﾞｼｯｸM-PRO"/>
                <w:szCs w:val="21"/>
              </w:rPr>
            </w:pPr>
            <w:r w:rsidRPr="001D6D10">
              <w:rPr>
                <w:rFonts w:ascii="HG丸ｺﾞｼｯｸM-PRO" w:eastAsia="HG丸ｺﾞｼｯｸM-PRO" w:hAnsi="HG丸ｺﾞｼｯｸM-PRO" w:hint="eastAsia"/>
                <w:szCs w:val="21"/>
              </w:rPr>
              <w:t>□災害対策要員の確定</w:t>
            </w:r>
          </w:p>
          <w:p w14:paraId="21C5B0AD" w14:textId="77777777" w:rsidR="005A0125" w:rsidRPr="001D6D10" w:rsidRDefault="005A0125" w:rsidP="005A0125">
            <w:pPr>
              <w:rPr>
                <w:rFonts w:ascii="HG丸ｺﾞｼｯｸM-PRO" w:eastAsia="HG丸ｺﾞｼｯｸM-PRO" w:hAnsi="HG丸ｺﾞｼｯｸM-PRO"/>
                <w:szCs w:val="21"/>
              </w:rPr>
            </w:pPr>
            <w:r w:rsidRPr="001D6D10">
              <w:rPr>
                <w:rFonts w:ascii="HG丸ｺﾞｼｯｸM-PRO" w:eastAsia="HG丸ｺﾞｼｯｸM-PRO" w:hAnsi="HG丸ｺﾞｼｯｸM-PRO" w:hint="eastAsia"/>
                <w:szCs w:val="21"/>
              </w:rPr>
              <w:t>□停電対策（自家発電機の点検等）</w:t>
            </w:r>
          </w:p>
          <w:p w14:paraId="3817AEBF" w14:textId="77777777" w:rsidR="005A0125" w:rsidRPr="001D6D10" w:rsidRDefault="005A0125" w:rsidP="00F35CFE">
            <w:pPr>
              <w:rPr>
                <w:rFonts w:ascii="HG丸ｺﾞｼｯｸM-PRO" w:eastAsia="HG丸ｺﾞｼｯｸM-PRO" w:hAnsi="HG丸ｺﾞｼｯｸM-PRO"/>
                <w:szCs w:val="21"/>
              </w:rPr>
            </w:pPr>
            <w:r w:rsidRPr="001D6D10">
              <w:rPr>
                <w:rFonts w:ascii="HG丸ｺﾞｼｯｸM-PRO" w:eastAsia="HG丸ｺﾞｼｯｸM-PRO" w:hAnsi="HG丸ｺﾞｼｯｸM-PRO" w:hint="eastAsia"/>
                <w:szCs w:val="21"/>
              </w:rPr>
              <w:t>□雨水対策（排水溝等の確認）</w:t>
            </w:r>
          </w:p>
        </w:tc>
      </w:tr>
      <w:tr w:rsidR="001D6D10" w:rsidRPr="001D6D10" w14:paraId="6F706CE3" w14:textId="77777777" w:rsidTr="00F35CFE">
        <w:trPr>
          <w:jc w:val="center"/>
        </w:trPr>
        <w:tc>
          <w:tcPr>
            <w:tcW w:w="1457" w:type="dxa"/>
            <w:vMerge w:val="restart"/>
          </w:tcPr>
          <w:p w14:paraId="767B14A6" w14:textId="77777777" w:rsidR="002B3D2C" w:rsidRPr="001D6D10" w:rsidRDefault="002B3D2C" w:rsidP="00F35CFE">
            <w:pPr>
              <w:rPr>
                <w:rFonts w:ascii="HG丸ｺﾞｼｯｸM-PRO" w:eastAsia="HG丸ｺﾞｼｯｸM-PRO" w:hAnsi="HG丸ｺﾞｼｯｸM-PRO"/>
                <w:szCs w:val="21"/>
              </w:rPr>
            </w:pPr>
          </w:p>
          <w:p w14:paraId="6AD4179E" w14:textId="77777777" w:rsidR="002B3D2C" w:rsidRPr="001D6D10" w:rsidRDefault="002B3D2C" w:rsidP="00F35CFE">
            <w:pPr>
              <w:rPr>
                <w:rFonts w:ascii="HG丸ｺﾞｼｯｸM-PRO" w:eastAsia="HG丸ｺﾞｼｯｸM-PRO" w:hAnsi="HG丸ｺﾞｼｯｸM-PRO"/>
                <w:szCs w:val="21"/>
              </w:rPr>
            </w:pPr>
          </w:p>
          <w:p w14:paraId="659AF737" w14:textId="77777777" w:rsidR="002B3D2C" w:rsidRPr="001D6D10" w:rsidRDefault="002B3D2C" w:rsidP="00F35CFE">
            <w:pPr>
              <w:rPr>
                <w:rFonts w:ascii="HG丸ｺﾞｼｯｸM-PRO" w:eastAsia="HG丸ｺﾞｼｯｸM-PRO" w:hAnsi="HG丸ｺﾞｼｯｸM-PRO"/>
                <w:szCs w:val="21"/>
              </w:rPr>
            </w:pPr>
          </w:p>
          <w:p w14:paraId="050AEBB3" w14:textId="77777777" w:rsidR="002B3D2C" w:rsidRPr="001D6D10" w:rsidRDefault="002B3D2C" w:rsidP="00F35CFE">
            <w:pPr>
              <w:rPr>
                <w:rFonts w:ascii="HG丸ｺﾞｼｯｸM-PRO" w:eastAsia="HG丸ｺﾞｼｯｸM-PRO" w:hAnsi="HG丸ｺﾞｼｯｸM-PRO"/>
                <w:szCs w:val="21"/>
              </w:rPr>
            </w:pPr>
          </w:p>
          <w:p w14:paraId="0F00E907" w14:textId="77777777" w:rsidR="00582BF7" w:rsidRPr="001D6D10" w:rsidRDefault="00582BF7" w:rsidP="00F35CFE">
            <w:pPr>
              <w:rPr>
                <w:rFonts w:ascii="HG丸ｺﾞｼｯｸM-PRO" w:eastAsia="HG丸ｺﾞｼｯｸM-PRO" w:hAnsi="HG丸ｺﾞｼｯｸM-PRO"/>
                <w:szCs w:val="21"/>
              </w:rPr>
            </w:pPr>
            <w:r w:rsidRPr="001D6D10">
              <w:rPr>
                <w:rFonts w:ascii="HG丸ｺﾞｼｯｸM-PRO" w:eastAsia="HG丸ｺﾞｼｯｸM-PRO" w:hAnsi="HG丸ｺﾞｼｯｸM-PRO" w:hint="eastAsia"/>
                <w:szCs w:val="21"/>
              </w:rPr>
              <w:t>24ｈ前～</w:t>
            </w:r>
          </w:p>
          <w:p w14:paraId="30F87175" w14:textId="77777777" w:rsidR="00582BF7" w:rsidRPr="001D6D10" w:rsidRDefault="00582BF7" w:rsidP="00F35CFE">
            <w:pPr>
              <w:rPr>
                <w:rFonts w:ascii="HG丸ｺﾞｼｯｸM-PRO" w:eastAsia="HG丸ｺﾞｼｯｸM-PRO" w:hAnsi="HG丸ｺﾞｼｯｸM-PRO"/>
                <w:szCs w:val="21"/>
              </w:rPr>
            </w:pPr>
            <w:r w:rsidRPr="001D6D10">
              <w:rPr>
                <w:rFonts w:ascii="HG丸ｺﾞｼｯｸM-PRO" w:eastAsia="HG丸ｺﾞｼｯｸM-PRO" w:hAnsi="HG丸ｺﾞｼｯｸM-PRO" w:hint="eastAsia"/>
                <w:szCs w:val="21"/>
              </w:rPr>
              <w:t xml:space="preserve">　　最接近</w:t>
            </w:r>
          </w:p>
          <w:p w14:paraId="46256D05" w14:textId="77777777" w:rsidR="00582BF7" w:rsidRPr="001D6D10" w:rsidRDefault="00582BF7" w:rsidP="00F35CFE">
            <w:pPr>
              <w:rPr>
                <w:rFonts w:ascii="HG丸ｺﾞｼｯｸM-PRO" w:eastAsia="HG丸ｺﾞｼｯｸM-PRO" w:hAnsi="HG丸ｺﾞｼｯｸM-PRO"/>
                <w:szCs w:val="21"/>
              </w:rPr>
            </w:pPr>
            <w:r w:rsidRPr="001D6D10">
              <w:rPr>
                <w:rFonts w:ascii="HG丸ｺﾞｼｯｸM-PRO" w:eastAsia="HG丸ｺﾞｼｯｸM-PRO" w:hAnsi="HG丸ｺﾞｼｯｸM-PRO" w:hint="eastAsia"/>
                <w:szCs w:val="21"/>
              </w:rPr>
              <w:t>（１日前）</w:t>
            </w:r>
          </w:p>
        </w:tc>
        <w:tc>
          <w:tcPr>
            <w:tcW w:w="7037" w:type="dxa"/>
          </w:tcPr>
          <w:p w14:paraId="24D438A7" w14:textId="77777777" w:rsidR="00582BF7" w:rsidRPr="001D6D10" w:rsidRDefault="00582BF7" w:rsidP="00F35CFE">
            <w:pPr>
              <w:rPr>
                <w:rFonts w:ascii="HG丸ｺﾞｼｯｸM-PRO" w:eastAsia="HG丸ｺﾞｼｯｸM-PRO" w:hAnsi="HG丸ｺﾞｼｯｸM-PRO"/>
                <w:szCs w:val="21"/>
              </w:rPr>
            </w:pPr>
            <w:r w:rsidRPr="001D6D10">
              <w:rPr>
                <w:rFonts w:ascii="HG丸ｺﾞｼｯｸM-PRO" w:eastAsia="HG丸ｺﾞｼｯｸM-PRO" w:hAnsi="HG丸ｺﾞｼｯｸM-PRO" w:hint="eastAsia"/>
                <w:szCs w:val="21"/>
              </w:rPr>
              <w:t>庁内連絡会議②：第2回災害警戒本部会議の事前調整等</w:t>
            </w:r>
          </w:p>
          <w:p w14:paraId="7C8E1E5B" w14:textId="77777777" w:rsidR="00CC405A" w:rsidRPr="001D6D10" w:rsidRDefault="00CC405A" w:rsidP="00CC405A">
            <w:pPr>
              <w:rPr>
                <w:rFonts w:ascii="HG丸ｺﾞｼｯｸM-PRO" w:eastAsia="HG丸ｺﾞｼｯｸM-PRO" w:hAnsi="HG丸ｺﾞｼｯｸM-PRO"/>
                <w:szCs w:val="21"/>
              </w:rPr>
            </w:pPr>
            <w:r w:rsidRPr="001D6D10">
              <w:rPr>
                <w:rFonts w:ascii="HG丸ｺﾞｼｯｸM-PRO" w:eastAsia="HG丸ｺﾞｼｯｸM-PRO" w:hAnsi="HG丸ｺﾞｼｯｸM-PRO" w:hint="eastAsia"/>
                <w:szCs w:val="21"/>
              </w:rPr>
              <w:t>□第２回災害警戒本部会議の事前準備</w:t>
            </w:r>
          </w:p>
          <w:p w14:paraId="732F7208" w14:textId="77777777" w:rsidR="00CC405A" w:rsidRPr="001D6D10" w:rsidRDefault="00CC405A" w:rsidP="00CC405A">
            <w:pPr>
              <w:rPr>
                <w:rFonts w:ascii="HG丸ｺﾞｼｯｸM-PRO" w:eastAsia="HG丸ｺﾞｼｯｸM-PRO" w:hAnsi="HG丸ｺﾞｼｯｸM-PRO"/>
                <w:szCs w:val="21"/>
              </w:rPr>
            </w:pPr>
            <w:r w:rsidRPr="001D6D10">
              <w:rPr>
                <w:rFonts w:ascii="HG丸ｺﾞｼｯｸM-PRO" w:eastAsia="HG丸ｺﾞｼｯｸM-PRO" w:hAnsi="HG丸ｺﾞｼｯｸM-PRO" w:hint="eastAsia"/>
                <w:szCs w:val="21"/>
              </w:rPr>
              <w:t xml:space="preserve">　・部局内</w:t>
            </w:r>
            <w:r w:rsidR="00A2101B" w:rsidRPr="001D6D10">
              <w:rPr>
                <w:rFonts w:ascii="HG丸ｺﾞｼｯｸM-PRO" w:eastAsia="HG丸ｺﾞｼｯｸM-PRO" w:hAnsi="HG丸ｺﾞｼｯｸM-PRO" w:hint="eastAsia"/>
                <w:szCs w:val="21"/>
              </w:rPr>
              <w:t>の</w:t>
            </w:r>
            <w:r w:rsidRPr="001D6D10">
              <w:rPr>
                <w:rFonts w:ascii="HG丸ｺﾞｼｯｸM-PRO" w:eastAsia="HG丸ｺﾞｼｯｸM-PRO" w:hAnsi="HG丸ｺﾞｼｯｸM-PRO" w:hint="eastAsia"/>
                <w:szCs w:val="21"/>
              </w:rPr>
              <w:t>対応状況の確認、会議での報告のとりまとめ</w:t>
            </w:r>
          </w:p>
          <w:p w14:paraId="7E36892D" w14:textId="77777777" w:rsidR="00335440" w:rsidRPr="001D6D10" w:rsidRDefault="00CC405A" w:rsidP="00335440">
            <w:pPr>
              <w:ind w:firstLineChars="100" w:firstLine="211"/>
              <w:rPr>
                <w:rFonts w:ascii="HG丸ｺﾞｼｯｸM-PRO" w:eastAsia="HG丸ｺﾞｼｯｸM-PRO" w:hAnsi="HG丸ｺﾞｼｯｸM-PRO"/>
                <w:szCs w:val="21"/>
              </w:rPr>
            </w:pPr>
            <w:r w:rsidRPr="001D6D10">
              <w:rPr>
                <w:rFonts w:ascii="HG丸ｺﾞｼｯｸM-PRO" w:eastAsia="HG丸ｺﾞｼｯｸM-PRO" w:hAnsi="HG丸ｺﾞｼｯｸM-PRO" w:hint="eastAsia"/>
                <w:szCs w:val="21"/>
              </w:rPr>
              <w:t>・庁舎・所管施設の安全点検</w:t>
            </w:r>
          </w:p>
          <w:p w14:paraId="0D396F53" w14:textId="77777777" w:rsidR="00CC405A" w:rsidRPr="001D6D10" w:rsidRDefault="00CC405A" w:rsidP="00335440">
            <w:pPr>
              <w:ind w:firstLineChars="100" w:firstLine="211"/>
              <w:rPr>
                <w:rFonts w:ascii="HG丸ｺﾞｼｯｸM-PRO" w:eastAsia="HG丸ｺﾞｼｯｸM-PRO" w:hAnsi="HG丸ｺﾞｼｯｸM-PRO"/>
                <w:szCs w:val="21"/>
                <w:u w:val="single"/>
              </w:rPr>
            </w:pPr>
            <w:r w:rsidRPr="001D6D10">
              <w:rPr>
                <w:rFonts w:ascii="HG丸ｺﾞｼｯｸM-PRO" w:eastAsia="HG丸ｺﾞｼｯｸM-PRO" w:hAnsi="HG丸ｺﾞｼｯｸM-PRO" w:hint="eastAsia"/>
                <w:szCs w:val="21"/>
                <w:bdr w:val="single" w:sz="4" w:space="0" w:color="auto"/>
              </w:rPr>
              <w:t>台風説明会</w:t>
            </w:r>
          </w:p>
        </w:tc>
      </w:tr>
      <w:tr w:rsidR="001D6D10" w:rsidRPr="001D6D10" w14:paraId="05FF9A64" w14:textId="77777777" w:rsidTr="00F35CFE">
        <w:trPr>
          <w:jc w:val="center"/>
        </w:trPr>
        <w:tc>
          <w:tcPr>
            <w:tcW w:w="1457" w:type="dxa"/>
            <w:vMerge/>
          </w:tcPr>
          <w:p w14:paraId="470E20F9" w14:textId="77777777" w:rsidR="00582BF7" w:rsidRPr="001D6D10" w:rsidRDefault="00582BF7" w:rsidP="00F35CFE">
            <w:pPr>
              <w:rPr>
                <w:rFonts w:ascii="HG丸ｺﾞｼｯｸM-PRO" w:eastAsia="HG丸ｺﾞｼｯｸM-PRO" w:hAnsi="HG丸ｺﾞｼｯｸM-PRO"/>
                <w:szCs w:val="21"/>
              </w:rPr>
            </w:pPr>
          </w:p>
        </w:tc>
        <w:tc>
          <w:tcPr>
            <w:tcW w:w="7037" w:type="dxa"/>
          </w:tcPr>
          <w:p w14:paraId="0413C880" w14:textId="77777777" w:rsidR="00582BF7" w:rsidRPr="001D6D10" w:rsidRDefault="00582BF7" w:rsidP="00F35CFE">
            <w:pPr>
              <w:rPr>
                <w:rFonts w:ascii="HG丸ｺﾞｼｯｸM-PRO" w:eastAsia="HG丸ｺﾞｼｯｸM-PRO" w:hAnsi="HG丸ｺﾞｼｯｸM-PRO"/>
                <w:szCs w:val="21"/>
                <w:highlight w:val="yellow"/>
              </w:rPr>
            </w:pPr>
            <w:r w:rsidRPr="001D6D10">
              <w:rPr>
                <w:rFonts w:ascii="HG丸ｺﾞｼｯｸM-PRO" w:eastAsia="HG丸ｺﾞｼｯｸM-PRO" w:hAnsi="HG丸ｺﾞｼｯｸM-PRO" w:hint="eastAsia"/>
                <w:b/>
                <w:szCs w:val="21"/>
                <w:highlight w:val="yellow"/>
              </w:rPr>
              <w:t>第２回災害警戒本部会議</w:t>
            </w:r>
            <w:r w:rsidRPr="001D6D10">
              <w:rPr>
                <w:rFonts w:ascii="HG丸ｺﾞｼｯｸM-PRO" w:eastAsia="HG丸ｺﾞｼｯｸM-PRO" w:hAnsi="HG丸ｺﾞｼｯｸM-PRO" w:hint="eastAsia"/>
                <w:szCs w:val="21"/>
                <w:highlight w:val="yellow"/>
              </w:rPr>
              <w:t>（災害モード宣言の発信）</w:t>
            </w:r>
            <w:r w:rsidR="00CB0ABF" w:rsidRPr="001D6D10">
              <w:rPr>
                <w:rFonts w:ascii="HG丸ｺﾞｼｯｸM-PRO" w:eastAsia="HG丸ｺﾞｼｯｸM-PRO" w:hAnsi="HG丸ｺﾞｼｯｸM-PRO" w:hint="eastAsia"/>
                <w:szCs w:val="21"/>
                <w:highlight w:val="yellow"/>
              </w:rPr>
              <w:t>（Ｐ47</w:t>
            </w:r>
            <w:r w:rsidR="0010145B" w:rsidRPr="001D6D10">
              <w:rPr>
                <w:rFonts w:ascii="HG丸ｺﾞｼｯｸM-PRO" w:eastAsia="HG丸ｺﾞｼｯｸM-PRO" w:hAnsi="HG丸ｺﾞｼｯｸM-PRO" w:hint="eastAsia"/>
                <w:szCs w:val="21"/>
                <w:highlight w:val="yellow"/>
              </w:rPr>
              <w:t>参照）</w:t>
            </w:r>
          </w:p>
        </w:tc>
      </w:tr>
      <w:tr w:rsidR="001D6D10" w:rsidRPr="001D6D10" w14:paraId="2E4FC79C" w14:textId="77777777" w:rsidTr="00F35CFE">
        <w:trPr>
          <w:jc w:val="center"/>
        </w:trPr>
        <w:tc>
          <w:tcPr>
            <w:tcW w:w="1457" w:type="dxa"/>
            <w:vMerge/>
          </w:tcPr>
          <w:p w14:paraId="39D2912C" w14:textId="77777777" w:rsidR="00582BF7" w:rsidRPr="001D6D10" w:rsidRDefault="00582BF7" w:rsidP="00F35CFE">
            <w:pPr>
              <w:rPr>
                <w:rFonts w:ascii="HG丸ｺﾞｼｯｸM-PRO" w:eastAsia="HG丸ｺﾞｼｯｸM-PRO" w:hAnsi="HG丸ｺﾞｼｯｸM-PRO"/>
                <w:szCs w:val="21"/>
              </w:rPr>
            </w:pPr>
          </w:p>
        </w:tc>
        <w:tc>
          <w:tcPr>
            <w:tcW w:w="7037" w:type="dxa"/>
          </w:tcPr>
          <w:p w14:paraId="5E180A37" w14:textId="77777777" w:rsidR="00582BF7" w:rsidRPr="001D6D10" w:rsidRDefault="00582BF7" w:rsidP="00F35CFE">
            <w:pPr>
              <w:rPr>
                <w:rFonts w:ascii="HG丸ｺﾞｼｯｸM-PRO" w:eastAsia="HG丸ｺﾞｼｯｸM-PRO" w:hAnsi="HG丸ｺﾞｼｯｸM-PRO"/>
                <w:szCs w:val="21"/>
              </w:rPr>
            </w:pPr>
            <w:r w:rsidRPr="001D6D10">
              <w:rPr>
                <w:rFonts w:ascii="HG丸ｺﾞｼｯｸM-PRO" w:eastAsia="HG丸ｺﾞｼｯｸM-PRO" w:hAnsi="HG丸ｺﾞｼｯｸM-PRO" w:hint="eastAsia"/>
                <w:szCs w:val="21"/>
              </w:rPr>
              <w:t>□災害警戒本部会議資料を部長、次長、総務課長及び、部内各課総務総括へ周知</w:t>
            </w:r>
          </w:p>
          <w:p w14:paraId="5B4CD9E3" w14:textId="77777777" w:rsidR="00582BF7" w:rsidRPr="001D6D10" w:rsidRDefault="00EF5DDA" w:rsidP="00F35CFE">
            <w:pPr>
              <w:rPr>
                <w:rFonts w:ascii="HG丸ｺﾞｼｯｸM-PRO" w:eastAsia="HG丸ｺﾞｼｯｸM-PRO" w:hAnsi="HG丸ｺﾞｼｯｸM-PRO"/>
                <w:szCs w:val="21"/>
              </w:rPr>
            </w:pPr>
            <w:r w:rsidRPr="001D6D10">
              <w:rPr>
                <w:rFonts w:ascii="HG丸ｺﾞｼｯｸM-PRO" w:eastAsia="HG丸ｺﾞｼｯｸM-PRO" w:hAnsi="HG丸ｺﾞｼｯｸM-PRO" w:hint="eastAsia"/>
                <w:szCs w:val="21"/>
              </w:rPr>
              <w:t>□施設設備の安全確認等</w:t>
            </w:r>
          </w:p>
        </w:tc>
      </w:tr>
    </w:tbl>
    <w:p w14:paraId="45A985F6" w14:textId="77777777" w:rsidR="00C40150" w:rsidRPr="001D6D10" w:rsidRDefault="00C40150" w:rsidP="00582BF7">
      <w:pPr>
        <w:rPr>
          <w:rFonts w:ascii="HG丸ｺﾞｼｯｸM-PRO" w:eastAsia="HG丸ｺﾞｼｯｸM-PRO" w:hAnsi="HG丸ｺﾞｼｯｸM-PRO"/>
          <w:szCs w:val="21"/>
        </w:rPr>
      </w:pPr>
    </w:p>
    <w:p w14:paraId="1385037D" w14:textId="77777777" w:rsidR="00582BF7" w:rsidRPr="001D6D10" w:rsidRDefault="00582BF7" w:rsidP="00582BF7">
      <w:pPr>
        <w:rPr>
          <w:rFonts w:ascii="HG丸ｺﾞｼｯｸM-PRO" w:eastAsia="HG丸ｺﾞｼｯｸM-PRO" w:hAnsi="HG丸ｺﾞｼｯｸM-PRO"/>
          <w:szCs w:val="21"/>
        </w:rPr>
      </w:pPr>
      <w:r w:rsidRPr="001D6D10">
        <w:rPr>
          <w:rFonts w:ascii="HG丸ｺﾞｼｯｸM-PRO" w:eastAsia="HG丸ｺﾞｼｯｸM-PRO" w:hAnsi="HG丸ｺﾞｼｯｸM-PRO" w:hint="eastAsia"/>
          <w:szCs w:val="21"/>
        </w:rPr>
        <w:lastRenderedPageBreak/>
        <w:t>※主な所管施設：</w:t>
      </w:r>
      <w:r w:rsidRPr="001D6D10">
        <w:rPr>
          <w:rFonts w:ascii="HG丸ｺﾞｼｯｸM-PRO" w:eastAsia="HG丸ｺﾞｼｯｸM-PRO" w:hAnsi="HG丸ｺﾞｼｯｸM-PRO"/>
          <w:szCs w:val="21"/>
        </w:rPr>
        <w:t xml:space="preserve"> </w:t>
      </w:r>
      <w:r w:rsidRPr="001D6D10">
        <w:rPr>
          <w:rFonts w:ascii="HG丸ｺﾞｼｯｸM-PRO" w:eastAsia="HG丸ｺﾞｼｯｸM-PRO" w:hAnsi="HG丸ｺﾞｼｯｸM-PRO" w:hint="eastAsia"/>
          <w:szCs w:val="21"/>
        </w:rPr>
        <w:t>大手前庁舎、咲洲庁舎</w:t>
      </w:r>
    </w:p>
    <w:p w14:paraId="658E1060" w14:textId="31F6E986" w:rsidR="00582BF7" w:rsidRPr="001D6D10" w:rsidRDefault="00582BF7" w:rsidP="00E80F51">
      <w:pPr>
        <w:ind w:left="1689" w:hangingChars="800" w:hanging="1689"/>
        <w:rPr>
          <w:rFonts w:ascii="HG丸ｺﾞｼｯｸM-PRO" w:eastAsia="HG丸ｺﾞｼｯｸM-PRO" w:hAnsi="HG丸ｺﾞｼｯｸM-PRO"/>
          <w:szCs w:val="21"/>
        </w:rPr>
      </w:pPr>
      <w:r w:rsidRPr="001D6D10">
        <w:rPr>
          <w:rFonts w:ascii="HG丸ｺﾞｼｯｸM-PRO" w:eastAsia="HG丸ｺﾞｼｯｸM-PRO" w:hAnsi="HG丸ｺﾞｼｯｸM-PRO" w:hint="eastAsia"/>
          <w:szCs w:val="21"/>
        </w:rPr>
        <w:t xml:space="preserve">　　　システム： 電子調達</w:t>
      </w:r>
      <w:r w:rsidR="00E80F51" w:rsidRPr="001D6D10">
        <w:rPr>
          <w:rFonts w:ascii="HG丸ｺﾞｼｯｸM-PRO" w:eastAsia="HG丸ｺﾞｼｯｸM-PRO" w:hAnsi="HG丸ｺﾞｼｯｸM-PRO" w:hint="eastAsia"/>
          <w:szCs w:val="21"/>
        </w:rPr>
        <w:t>（入札）</w:t>
      </w:r>
      <w:r w:rsidRPr="001D6D10">
        <w:rPr>
          <w:rFonts w:ascii="HG丸ｺﾞｼｯｸM-PRO" w:eastAsia="HG丸ｺﾞｼｯｸM-PRO" w:hAnsi="HG丸ｺﾞｼｯｸM-PRO" w:hint="eastAsia"/>
          <w:szCs w:val="21"/>
        </w:rPr>
        <w:t>システム、総務事務システム、</w:t>
      </w:r>
      <w:r w:rsidR="00E80F51" w:rsidRPr="001D6D10">
        <w:rPr>
          <w:rFonts w:ascii="HG丸ｺﾞｼｯｸM-PRO" w:eastAsia="HG丸ｺﾞｼｯｸM-PRO" w:hAnsi="HG丸ｺﾞｼｯｸM-PRO" w:hint="eastAsia"/>
          <w:szCs w:val="21"/>
        </w:rPr>
        <w:t>住民基本台帳</w:t>
      </w:r>
      <w:proofErr w:type="gramStart"/>
      <w:r w:rsidR="00E80F51" w:rsidRPr="001D6D10">
        <w:rPr>
          <w:rFonts w:ascii="HG丸ｺﾞｼｯｸM-PRO" w:eastAsia="HG丸ｺﾞｼｯｸM-PRO" w:hAnsi="HG丸ｺﾞｼｯｸM-PRO" w:hint="eastAsia"/>
          <w:szCs w:val="21"/>
        </w:rPr>
        <w:t xml:space="preserve">ネットワーク　</w:t>
      </w:r>
      <w:r w:rsidRPr="001D6D10">
        <w:rPr>
          <w:rFonts w:ascii="HG丸ｺﾞｼｯｸM-PRO" w:eastAsia="HG丸ｺﾞｼｯｸM-PRO" w:hAnsi="HG丸ｺﾞｼｯｸM-PRO" w:hint="eastAsia"/>
          <w:szCs w:val="21"/>
        </w:rPr>
        <w:t>システム</w:t>
      </w:r>
      <w:proofErr w:type="gramEnd"/>
    </w:p>
    <w:p w14:paraId="16171004" w14:textId="77777777" w:rsidR="00582BF7" w:rsidRPr="001D6D10" w:rsidRDefault="00582BF7" w:rsidP="00582BF7">
      <w:pPr>
        <w:rPr>
          <w:rFonts w:ascii="ＭＳ ゴシック" w:eastAsia="ＭＳ ゴシック" w:hAnsi="ＭＳ ゴシック"/>
          <w:sz w:val="18"/>
          <w:szCs w:val="22"/>
        </w:rPr>
      </w:pPr>
      <w:r w:rsidRPr="001D6D10">
        <w:rPr>
          <w:rFonts w:ascii="ＭＳ ゴシック" w:eastAsia="ＭＳ ゴシック" w:hAnsi="ＭＳ ゴシック" w:hint="eastAsia"/>
          <w:sz w:val="18"/>
          <w:szCs w:val="22"/>
        </w:rPr>
        <w:t>※）本タイムラインから状況に応じて必要な項目を選定し、実施するものとする。</w:t>
      </w:r>
    </w:p>
    <w:p w14:paraId="0DCE1477" w14:textId="246CFE5D" w:rsidR="0067710C" w:rsidRPr="00E0548A" w:rsidRDefault="0067710C">
      <w:pPr>
        <w:widowControl/>
        <w:jc w:val="left"/>
        <w:rPr>
          <w:rFonts w:ascii="ＭＳ ゴシック" w:eastAsia="ＭＳ ゴシック" w:hAnsi="ＭＳ ゴシック"/>
          <w:bCs/>
          <w:sz w:val="22"/>
          <w:szCs w:val="22"/>
        </w:rPr>
      </w:pPr>
      <w:r w:rsidRPr="00E0548A">
        <w:rPr>
          <w:rFonts w:ascii="ＭＳ ゴシック" w:eastAsia="ＭＳ ゴシック" w:hAnsi="ＭＳ ゴシック"/>
          <w:bCs/>
          <w:sz w:val="22"/>
          <w:szCs w:val="22"/>
        </w:rPr>
        <w:br w:type="page"/>
      </w:r>
    </w:p>
    <w:p w14:paraId="560D1F23" w14:textId="77777777" w:rsidR="00582BF7" w:rsidRPr="001D6D10" w:rsidRDefault="00582BF7" w:rsidP="00582BF7">
      <w:pPr>
        <w:rPr>
          <w:rFonts w:ascii="ＭＳ ゴシック" w:eastAsia="ＭＳ ゴシック" w:hAnsi="ＭＳ ゴシック"/>
          <w:sz w:val="22"/>
          <w:szCs w:val="22"/>
        </w:rPr>
      </w:pPr>
      <w:r w:rsidRPr="001D6D10">
        <w:rPr>
          <w:rFonts w:ascii="ＭＳ ゴシック" w:eastAsia="ＭＳ ゴシック" w:hAnsi="ＭＳ ゴシック" w:hint="eastAsia"/>
          <w:sz w:val="22"/>
          <w:szCs w:val="22"/>
        </w:rPr>
        <w:lastRenderedPageBreak/>
        <w:t>④財務部</w:t>
      </w:r>
    </w:p>
    <w:tbl>
      <w:tblPr>
        <w:tblpPr w:leftFromText="142" w:rightFromText="142" w:vertAnchor="text" w:tblpXSpec="center" w:tblpY="1"/>
        <w:tblOverlap w:val="neve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57"/>
        <w:gridCol w:w="7037"/>
      </w:tblGrid>
      <w:tr w:rsidR="001D6D10" w:rsidRPr="001D6D10" w14:paraId="4564991F" w14:textId="77777777" w:rsidTr="00F35CFE">
        <w:trPr>
          <w:jc w:val="center"/>
        </w:trPr>
        <w:tc>
          <w:tcPr>
            <w:tcW w:w="1457" w:type="dxa"/>
            <w:tcBorders>
              <w:bottom w:val="single" w:sz="4" w:space="0" w:color="auto"/>
            </w:tcBorders>
            <w:shd w:val="clear" w:color="auto" w:fill="BFBFBF"/>
          </w:tcPr>
          <w:p w14:paraId="507063F2" w14:textId="77777777" w:rsidR="00582BF7" w:rsidRPr="001D6D10" w:rsidRDefault="00582BF7" w:rsidP="00F35CFE">
            <w:pPr>
              <w:jc w:val="center"/>
              <w:rPr>
                <w:rFonts w:ascii="HG丸ｺﾞｼｯｸM-PRO" w:eastAsia="HG丸ｺﾞｼｯｸM-PRO" w:hAnsi="HG丸ｺﾞｼｯｸM-PRO"/>
                <w:szCs w:val="21"/>
              </w:rPr>
            </w:pPr>
            <w:r w:rsidRPr="001D6D10">
              <w:rPr>
                <w:rFonts w:ascii="HG丸ｺﾞｼｯｸM-PRO" w:eastAsia="HG丸ｺﾞｼｯｸM-PRO" w:hAnsi="HG丸ｺﾞｼｯｸM-PRO" w:hint="eastAsia"/>
                <w:szCs w:val="21"/>
              </w:rPr>
              <w:t>時　期</w:t>
            </w:r>
          </w:p>
        </w:tc>
        <w:tc>
          <w:tcPr>
            <w:tcW w:w="7037" w:type="dxa"/>
            <w:tcBorders>
              <w:bottom w:val="single" w:sz="4" w:space="0" w:color="auto"/>
            </w:tcBorders>
            <w:shd w:val="clear" w:color="auto" w:fill="BFBFBF"/>
          </w:tcPr>
          <w:p w14:paraId="02B719C7" w14:textId="77777777" w:rsidR="00582BF7" w:rsidRPr="001D6D10" w:rsidRDefault="00E31DA1" w:rsidP="00F35CFE">
            <w:pPr>
              <w:jc w:val="center"/>
              <w:rPr>
                <w:rFonts w:ascii="HG丸ｺﾞｼｯｸM-PRO" w:eastAsia="HG丸ｺﾞｼｯｸM-PRO" w:hAnsi="HG丸ｺﾞｼｯｸM-PRO"/>
                <w:szCs w:val="21"/>
              </w:rPr>
            </w:pPr>
            <w:r w:rsidRPr="001D6D10">
              <w:rPr>
                <w:rFonts w:ascii="HG丸ｺﾞｼｯｸM-PRO" w:eastAsia="HG丸ｺﾞｼｯｸM-PRO" w:hAnsi="HG丸ｺﾞｼｯｸM-PRO" w:hint="eastAsia"/>
                <w:szCs w:val="21"/>
              </w:rPr>
              <w:t>主な事前準備</w:t>
            </w:r>
            <w:r w:rsidR="00582BF7" w:rsidRPr="001D6D10">
              <w:rPr>
                <w:rFonts w:ascii="HG丸ｺﾞｼｯｸM-PRO" w:eastAsia="HG丸ｺﾞｼｯｸM-PRO" w:hAnsi="HG丸ｺﾞｼｯｸM-PRO" w:hint="eastAsia"/>
                <w:szCs w:val="21"/>
              </w:rPr>
              <w:t>業務</w:t>
            </w:r>
          </w:p>
        </w:tc>
      </w:tr>
      <w:tr w:rsidR="001D6D10" w:rsidRPr="001D6D10" w14:paraId="04303EC8" w14:textId="77777777" w:rsidTr="00F35CFE">
        <w:trPr>
          <w:jc w:val="center"/>
        </w:trPr>
        <w:tc>
          <w:tcPr>
            <w:tcW w:w="1457" w:type="dxa"/>
            <w:vMerge w:val="restart"/>
            <w:shd w:val="clear" w:color="auto" w:fill="FFFFFF" w:themeFill="background1"/>
          </w:tcPr>
          <w:p w14:paraId="3F530C16" w14:textId="77777777" w:rsidR="002B3D2C" w:rsidRPr="001D6D10" w:rsidRDefault="002B3D2C" w:rsidP="00F35CFE">
            <w:pPr>
              <w:jc w:val="center"/>
              <w:rPr>
                <w:rFonts w:ascii="HG丸ｺﾞｼｯｸM-PRO" w:eastAsia="HG丸ｺﾞｼｯｸM-PRO" w:hAnsi="HG丸ｺﾞｼｯｸM-PRO"/>
                <w:szCs w:val="21"/>
              </w:rPr>
            </w:pPr>
          </w:p>
          <w:p w14:paraId="70037FF5" w14:textId="77777777" w:rsidR="002B3D2C" w:rsidRPr="001D6D10" w:rsidRDefault="002B3D2C" w:rsidP="00F35CFE">
            <w:pPr>
              <w:jc w:val="center"/>
              <w:rPr>
                <w:rFonts w:ascii="HG丸ｺﾞｼｯｸM-PRO" w:eastAsia="HG丸ｺﾞｼｯｸM-PRO" w:hAnsi="HG丸ｺﾞｼｯｸM-PRO"/>
                <w:szCs w:val="21"/>
              </w:rPr>
            </w:pPr>
          </w:p>
          <w:p w14:paraId="5150BD48" w14:textId="77777777" w:rsidR="002B3D2C" w:rsidRPr="001D6D10" w:rsidRDefault="002B3D2C" w:rsidP="00F35CFE">
            <w:pPr>
              <w:jc w:val="center"/>
              <w:rPr>
                <w:rFonts w:ascii="HG丸ｺﾞｼｯｸM-PRO" w:eastAsia="HG丸ｺﾞｼｯｸM-PRO" w:hAnsi="HG丸ｺﾞｼｯｸM-PRO"/>
                <w:szCs w:val="21"/>
              </w:rPr>
            </w:pPr>
          </w:p>
          <w:p w14:paraId="217A66EC" w14:textId="77777777" w:rsidR="002B3D2C" w:rsidRPr="001D6D10" w:rsidRDefault="002B3D2C" w:rsidP="00F35CFE">
            <w:pPr>
              <w:jc w:val="center"/>
              <w:rPr>
                <w:rFonts w:ascii="HG丸ｺﾞｼｯｸM-PRO" w:eastAsia="HG丸ｺﾞｼｯｸM-PRO" w:hAnsi="HG丸ｺﾞｼｯｸM-PRO"/>
                <w:szCs w:val="21"/>
              </w:rPr>
            </w:pPr>
          </w:p>
          <w:p w14:paraId="6FCB378F" w14:textId="77777777" w:rsidR="002B3D2C" w:rsidRPr="001D6D10" w:rsidRDefault="002B3D2C" w:rsidP="00F35CFE">
            <w:pPr>
              <w:jc w:val="center"/>
              <w:rPr>
                <w:rFonts w:ascii="HG丸ｺﾞｼｯｸM-PRO" w:eastAsia="HG丸ｺﾞｼｯｸM-PRO" w:hAnsi="HG丸ｺﾞｼｯｸM-PRO"/>
                <w:szCs w:val="21"/>
              </w:rPr>
            </w:pPr>
          </w:p>
          <w:p w14:paraId="621F6242" w14:textId="77777777" w:rsidR="002B3D2C" w:rsidRPr="001D6D10" w:rsidRDefault="002B3D2C" w:rsidP="00F35CFE">
            <w:pPr>
              <w:jc w:val="center"/>
              <w:rPr>
                <w:rFonts w:ascii="HG丸ｺﾞｼｯｸM-PRO" w:eastAsia="HG丸ｺﾞｼｯｸM-PRO" w:hAnsi="HG丸ｺﾞｼｯｸM-PRO"/>
                <w:szCs w:val="21"/>
              </w:rPr>
            </w:pPr>
          </w:p>
          <w:p w14:paraId="69095ACF" w14:textId="73762A46" w:rsidR="00582BF7" w:rsidRPr="001D6D10" w:rsidRDefault="00582BF7" w:rsidP="00F35CFE">
            <w:pPr>
              <w:jc w:val="center"/>
              <w:rPr>
                <w:rFonts w:ascii="HG丸ｺﾞｼｯｸM-PRO" w:eastAsia="HG丸ｺﾞｼｯｸM-PRO" w:hAnsi="HG丸ｺﾞｼｯｸM-PRO"/>
                <w:szCs w:val="21"/>
              </w:rPr>
            </w:pPr>
            <w:r w:rsidRPr="001D6D10">
              <w:rPr>
                <w:rFonts w:ascii="HG丸ｺﾞｼｯｸM-PRO" w:eastAsia="HG丸ｺﾞｼｯｸM-PRO" w:hAnsi="HG丸ｺﾞｼｯｸM-PRO" w:hint="eastAsia"/>
                <w:szCs w:val="21"/>
              </w:rPr>
              <w:t>～48ｈ</w:t>
            </w:r>
            <w:r w:rsidR="0053084D" w:rsidRPr="001D6D10">
              <w:rPr>
                <w:rFonts w:ascii="HG丸ｺﾞｼｯｸM-PRO" w:eastAsia="HG丸ｺﾞｼｯｸM-PRO" w:hAnsi="HG丸ｺﾞｼｯｸM-PRO" w:hint="eastAsia"/>
                <w:szCs w:val="21"/>
              </w:rPr>
              <w:t>前</w:t>
            </w:r>
          </w:p>
          <w:p w14:paraId="26EDB96D" w14:textId="77777777" w:rsidR="00582BF7" w:rsidRPr="001D6D10" w:rsidRDefault="00582BF7" w:rsidP="00F35CFE">
            <w:pPr>
              <w:jc w:val="center"/>
              <w:rPr>
                <w:rFonts w:ascii="HG丸ｺﾞｼｯｸM-PRO" w:eastAsia="HG丸ｺﾞｼｯｸM-PRO" w:hAnsi="HG丸ｺﾞｼｯｸM-PRO"/>
                <w:sz w:val="20"/>
                <w:szCs w:val="20"/>
              </w:rPr>
            </w:pPr>
            <w:r w:rsidRPr="001D6D10">
              <w:rPr>
                <w:rFonts w:ascii="HG丸ｺﾞｼｯｸM-PRO" w:eastAsia="HG丸ｺﾞｼｯｸM-PRO" w:hAnsi="HG丸ｺﾞｼｯｸM-PRO" w:hint="eastAsia"/>
                <w:sz w:val="20"/>
                <w:szCs w:val="20"/>
              </w:rPr>
              <w:t>（３日以前）</w:t>
            </w:r>
          </w:p>
        </w:tc>
        <w:tc>
          <w:tcPr>
            <w:tcW w:w="7037" w:type="dxa"/>
            <w:tcBorders>
              <w:bottom w:val="single" w:sz="4" w:space="0" w:color="auto"/>
            </w:tcBorders>
            <w:shd w:val="clear" w:color="auto" w:fill="FFFFFF" w:themeFill="background1"/>
          </w:tcPr>
          <w:p w14:paraId="08EF589A" w14:textId="77777777" w:rsidR="00582BF7" w:rsidRPr="001D6D10" w:rsidRDefault="00F35CFE" w:rsidP="00F35CFE">
            <w:pPr>
              <w:rPr>
                <w:rFonts w:ascii="HG丸ｺﾞｼｯｸM-PRO" w:eastAsia="HG丸ｺﾞｼｯｸM-PRO" w:hAnsi="HG丸ｺﾞｼｯｸM-PRO"/>
                <w:szCs w:val="21"/>
              </w:rPr>
            </w:pPr>
            <w:r w:rsidRPr="001D6D10">
              <w:rPr>
                <w:rFonts w:ascii="HG丸ｺﾞｼｯｸM-PRO" w:eastAsia="HG丸ｺﾞｼｯｸM-PRO" w:hAnsi="HG丸ｺﾞｼｯｸM-PRO" w:hint="eastAsia"/>
                <w:szCs w:val="21"/>
              </w:rPr>
              <w:t>□危機管理室からの情報の共有</w:t>
            </w:r>
            <w:r w:rsidR="00EF5DDA" w:rsidRPr="001D6D10">
              <w:rPr>
                <w:rFonts w:ascii="HG丸ｺﾞｼｯｸM-PRO" w:eastAsia="HG丸ｺﾞｼｯｸM-PRO" w:hAnsi="HG丸ｺﾞｼｯｸM-PRO" w:hint="eastAsia"/>
                <w:szCs w:val="21"/>
              </w:rPr>
              <w:t>【各所属】</w:t>
            </w:r>
          </w:p>
          <w:p w14:paraId="6126C2CB" w14:textId="77777777" w:rsidR="00BB7E00" w:rsidRPr="001D6D10" w:rsidRDefault="00BB7E00" w:rsidP="00BB7E00">
            <w:pPr>
              <w:rPr>
                <w:rFonts w:ascii="HG丸ｺﾞｼｯｸM-PRO" w:eastAsia="HG丸ｺﾞｼｯｸM-PRO" w:hAnsi="HG丸ｺﾞｼｯｸM-PRO"/>
                <w:szCs w:val="21"/>
              </w:rPr>
            </w:pPr>
            <w:r w:rsidRPr="001D6D10">
              <w:rPr>
                <w:rFonts w:ascii="HG丸ｺﾞｼｯｸM-PRO" w:eastAsia="HG丸ｺﾞｼｯｸM-PRO" w:hAnsi="HG丸ｺﾞｼｯｸM-PRO" w:hint="eastAsia"/>
                <w:szCs w:val="21"/>
              </w:rPr>
              <w:t>□連絡体制の確認</w:t>
            </w:r>
            <w:r w:rsidR="008A6E28" w:rsidRPr="001D6D10">
              <w:rPr>
                <w:rFonts w:ascii="HG丸ｺﾞｼｯｸM-PRO" w:eastAsia="HG丸ｺﾞｼｯｸM-PRO" w:hAnsi="HG丸ｺﾞｼｯｸM-PRO" w:hint="eastAsia"/>
                <w:szCs w:val="21"/>
              </w:rPr>
              <w:t>【各所属】</w:t>
            </w:r>
          </w:p>
          <w:p w14:paraId="270BBE17" w14:textId="77777777" w:rsidR="00582BF7" w:rsidRPr="001D6D10" w:rsidRDefault="003B7241" w:rsidP="00F35CFE">
            <w:pPr>
              <w:rPr>
                <w:rFonts w:ascii="HG丸ｺﾞｼｯｸM-PRO" w:eastAsia="HG丸ｺﾞｼｯｸM-PRO" w:hAnsi="HG丸ｺﾞｼｯｸM-PRO"/>
                <w:szCs w:val="21"/>
              </w:rPr>
            </w:pPr>
            <w:r w:rsidRPr="001D6D10">
              <w:rPr>
                <w:rFonts w:ascii="HG丸ｺﾞｼｯｸM-PRO" w:eastAsia="HG丸ｺﾞｼｯｸM-PRO" w:hAnsi="HG丸ｺﾞｼｯｸM-PRO" w:hint="eastAsia"/>
                <w:szCs w:val="21"/>
              </w:rPr>
              <w:t>□災害対応に関するマニュアル等の確認【各所属】</w:t>
            </w:r>
          </w:p>
          <w:p w14:paraId="088831C1" w14:textId="77777777" w:rsidR="00CC405A" w:rsidRPr="001D6D10" w:rsidRDefault="00CC405A" w:rsidP="00CC405A">
            <w:pPr>
              <w:rPr>
                <w:rFonts w:ascii="HG丸ｺﾞｼｯｸM-PRO" w:eastAsia="HG丸ｺﾞｼｯｸM-PRO" w:hAnsi="HG丸ｺﾞｼｯｸM-PRO"/>
                <w:szCs w:val="21"/>
              </w:rPr>
            </w:pPr>
            <w:r w:rsidRPr="001D6D10">
              <w:rPr>
                <w:rFonts w:ascii="HG丸ｺﾞｼｯｸM-PRO" w:eastAsia="HG丸ｺﾞｼｯｸM-PRO" w:hAnsi="HG丸ｺﾞｼｯｸM-PRO" w:hint="eastAsia"/>
                <w:szCs w:val="21"/>
              </w:rPr>
              <w:t>□指令部会議の事前準備</w:t>
            </w:r>
          </w:p>
          <w:p w14:paraId="6BE971D5" w14:textId="77777777" w:rsidR="00CC405A" w:rsidRPr="001D6D10" w:rsidRDefault="00CC405A" w:rsidP="00CC405A">
            <w:pPr>
              <w:rPr>
                <w:rFonts w:ascii="HG丸ｺﾞｼｯｸM-PRO" w:eastAsia="HG丸ｺﾞｼｯｸM-PRO" w:hAnsi="HG丸ｺﾞｼｯｸM-PRO"/>
                <w:szCs w:val="21"/>
              </w:rPr>
            </w:pPr>
            <w:r w:rsidRPr="001D6D10">
              <w:rPr>
                <w:rFonts w:ascii="HG丸ｺﾞｼｯｸM-PRO" w:eastAsia="HG丸ｺﾞｼｯｸM-PRO" w:hAnsi="HG丸ｺﾞｼｯｸM-PRO" w:hint="eastAsia"/>
                <w:szCs w:val="21"/>
              </w:rPr>
              <w:t xml:space="preserve">　</w:t>
            </w:r>
            <w:r w:rsidR="005B33EE" w:rsidRPr="001D6D10">
              <w:rPr>
                <w:rFonts w:ascii="HG丸ｺﾞｼｯｸM-PRO" w:eastAsia="HG丸ｺﾞｼｯｸM-PRO" w:hAnsi="HG丸ｺﾞｼｯｸM-PRO" w:hint="eastAsia"/>
                <w:szCs w:val="21"/>
              </w:rPr>
              <w:t>・イベントの有無確認（府主催、共催）</w:t>
            </w:r>
          </w:p>
          <w:p w14:paraId="75C0E579" w14:textId="77777777" w:rsidR="00CC405A" w:rsidRPr="001D6D10" w:rsidRDefault="00CC405A" w:rsidP="00CC405A">
            <w:pPr>
              <w:rPr>
                <w:rFonts w:ascii="HG丸ｺﾞｼｯｸM-PRO" w:eastAsia="HG丸ｺﾞｼｯｸM-PRO" w:hAnsi="HG丸ｺﾞｼｯｸM-PRO"/>
                <w:szCs w:val="21"/>
              </w:rPr>
            </w:pPr>
            <w:r w:rsidRPr="001D6D10">
              <w:rPr>
                <w:rFonts w:ascii="HG丸ｺﾞｼｯｸM-PRO" w:eastAsia="HG丸ｺﾞｼｯｸM-PRO" w:hAnsi="HG丸ｺﾞｼｯｸM-PRO" w:hint="eastAsia"/>
                <w:szCs w:val="21"/>
              </w:rPr>
              <w:t xml:space="preserve">　・所管団体等への注意喚起など</w:t>
            </w:r>
          </w:p>
        </w:tc>
      </w:tr>
      <w:tr w:rsidR="001D6D10" w:rsidRPr="001D6D10" w14:paraId="10131624" w14:textId="77777777" w:rsidTr="00F35CFE">
        <w:trPr>
          <w:jc w:val="center"/>
        </w:trPr>
        <w:tc>
          <w:tcPr>
            <w:tcW w:w="1457" w:type="dxa"/>
            <w:vMerge/>
          </w:tcPr>
          <w:p w14:paraId="49E540D1" w14:textId="77777777" w:rsidR="00582BF7" w:rsidRPr="001D6D10" w:rsidRDefault="00582BF7" w:rsidP="00F35CFE">
            <w:pPr>
              <w:rPr>
                <w:rFonts w:ascii="HG丸ｺﾞｼｯｸM-PRO" w:eastAsia="HG丸ｺﾞｼｯｸM-PRO" w:hAnsi="HG丸ｺﾞｼｯｸM-PRO"/>
                <w:szCs w:val="21"/>
              </w:rPr>
            </w:pPr>
          </w:p>
        </w:tc>
        <w:tc>
          <w:tcPr>
            <w:tcW w:w="7037" w:type="dxa"/>
          </w:tcPr>
          <w:p w14:paraId="7AF47AAC" w14:textId="77777777" w:rsidR="00582BF7" w:rsidRPr="001D6D10" w:rsidRDefault="00582BF7" w:rsidP="00F35CFE">
            <w:pPr>
              <w:rPr>
                <w:rFonts w:ascii="HG丸ｺﾞｼｯｸM-PRO" w:eastAsia="HG丸ｺﾞｼｯｸM-PRO" w:hAnsi="HG丸ｺﾞｼｯｸM-PRO"/>
                <w:szCs w:val="21"/>
              </w:rPr>
            </w:pPr>
            <w:r w:rsidRPr="001D6D10">
              <w:rPr>
                <w:rFonts w:ascii="HG丸ｺﾞｼｯｸM-PRO" w:eastAsia="HG丸ｺﾞｼｯｸM-PRO" w:hAnsi="HG丸ｺﾞｼｯｸM-PRO" w:hint="eastAsia"/>
                <w:b/>
                <w:szCs w:val="21"/>
                <w:highlight w:val="yellow"/>
              </w:rPr>
              <w:t>防災・危機管理指令部会議</w:t>
            </w:r>
            <w:r w:rsidRPr="001D6D10">
              <w:rPr>
                <w:rFonts w:ascii="HG丸ｺﾞｼｯｸM-PRO" w:eastAsia="HG丸ｺﾞｼｯｸM-PRO" w:hAnsi="HG丸ｺﾞｼｯｸM-PRO" w:hint="eastAsia"/>
                <w:szCs w:val="21"/>
                <w:highlight w:val="yellow"/>
              </w:rPr>
              <w:t>（おおよそ７２ｈ前）</w:t>
            </w:r>
            <w:r w:rsidR="00CB0ABF" w:rsidRPr="001D6D10">
              <w:rPr>
                <w:rFonts w:ascii="HG丸ｺﾞｼｯｸM-PRO" w:eastAsia="HG丸ｺﾞｼｯｸM-PRO" w:hAnsi="HG丸ｺﾞｼｯｸM-PRO" w:hint="eastAsia"/>
                <w:szCs w:val="21"/>
                <w:highlight w:val="yellow"/>
              </w:rPr>
              <w:t>（Ｐ42</w:t>
            </w:r>
            <w:r w:rsidR="00AD02A5" w:rsidRPr="001D6D10">
              <w:rPr>
                <w:rFonts w:ascii="HG丸ｺﾞｼｯｸM-PRO" w:eastAsia="HG丸ｺﾞｼｯｸM-PRO" w:hAnsi="HG丸ｺﾞｼｯｸM-PRO" w:hint="eastAsia"/>
                <w:szCs w:val="21"/>
                <w:highlight w:val="yellow"/>
              </w:rPr>
              <w:t>参照）</w:t>
            </w:r>
          </w:p>
        </w:tc>
      </w:tr>
      <w:tr w:rsidR="001D6D10" w:rsidRPr="001D6D10" w14:paraId="44D42F2A" w14:textId="77777777" w:rsidTr="00F35CFE">
        <w:trPr>
          <w:jc w:val="center"/>
        </w:trPr>
        <w:tc>
          <w:tcPr>
            <w:tcW w:w="1457" w:type="dxa"/>
            <w:vMerge/>
          </w:tcPr>
          <w:p w14:paraId="47452E15" w14:textId="77777777" w:rsidR="00582BF7" w:rsidRPr="001D6D10" w:rsidRDefault="00582BF7" w:rsidP="00F35CFE">
            <w:pPr>
              <w:rPr>
                <w:rFonts w:ascii="HG丸ｺﾞｼｯｸM-PRO" w:eastAsia="HG丸ｺﾞｼｯｸM-PRO" w:hAnsi="HG丸ｺﾞｼｯｸM-PRO"/>
                <w:szCs w:val="21"/>
              </w:rPr>
            </w:pPr>
          </w:p>
        </w:tc>
        <w:tc>
          <w:tcPr>
            <w:tcW w:w="7037" w:type="dxa"/>
          </w:tcPr>
          <w:p w14:paraId="4405AEA6" w14:textId="77777777" w:rsidR="00582BF7" w:rsidRPr="001D6D10" w:rsidRDefault="00582BF7" w:rsidP="00F35CFE">
            <w:pPr>
              <w:rPr>
                <w:rFonts w:ascii="HG丸ｺﾞｼｯｸM-PRO" w:eastAsia="HG丸ｺﾞｼｯｸM-PRO" w:hAnsi="HG丸ｺﾞｼｯｸM-PRO"/>
                <w:szCs w:val="21"/>
              </w:rPr>
            </w:pPr>
            <w:r w:rsidRPr="001D6D10">
              <w:rPr>
                <w:rFonts w:ascii="HG丸ｺﾞｼｯｸM-PRO" w:eastAsia="HG丸ｺﾞｼｯｸM-PRO" w:hAnsi="HG丸ｺﾞｼｯｸM-PRO" w:hint="eastAsia"/>
                <w:szCs w:val="21"/>
              </w:rPr>
              <w:t>□危機管理室からの情報の共有【各所属】</w:t>
            </w:r>
          </w:p>
          <w:p w14:paraId="2909FA09" w14:textId="77777777" w:rsidR="00582BF7" w:rsidRPr="001D6D10" w:rsidRDefault="00582BF7" w:rsidP="00F35CFE">
            <w:pPr>
              <w:rPr>
                <w:rFonts w:ascii="HG丸ｺﾞｼｯｸM-PRO" w:eastAsia="HG丸ｺﾞｼｯｸM-PRO" w:hAnsi="HG丸ｺﾞｼｯｸM-PRO"/>
                <w:szCs w:val="21"/>
              </w:rPr>
            </w:pPr>
            <w:r w:rsidRPr="001D6D10">
              <w:rPr>
                <w:rFonts w:ascii="HG丸ｺﾞｼｯｸM-PRO" w:eastAsia="HG丸ｺﾞｼｯｸM-PRO" w:hAnsi="HG丸ｺﾞｼｯｸM-PRO" w:hint="eastAsia"/>
                <w:szCs w:val="21"/>
              </w:rPr>
              <w:t>□危険箇所の確認【各所属】</w:t>
            </w:r>
          </w:p>
          <w:p w14:paraId="7EC9FC0A" w14:textId="77777777" w:rsidR="00582BF7" w:rsidRPr="001D6D10" w:rsidRDefault="00582BF7" w:rsidP="00F35CFE">
            <w:pPr>
              <w:rPr>
                <w:rFonts w:ascii="HG丸ｺﾞｼｯｸM-PRO" w:eastAsia="HG丸ｺﾞｼｯｸM-PRO" w:hAnsi="HG丸ｺﾞｼｯｸM-PRO"/>
                <w:szCs w:val="21"/>
              </w:rPr>
            </w:pPr>
            <w:r w:rsidRPr="001D6D10">
              <w:rPr>
                <w:rFonts w:ascii="HG丸ｺﾞｼｯｸM-PRO" w:eastAsia="HG丸ｺﾞｼｯｸM-PRO" w:hAnsi="HG丸ｺﾞｼｯｸM-PRO" w:hint="eastAsia"/>
                <w:szCs w:val="21"/>
              </w:rPr>
              <w:t>□備蓄物資の保管状況等の確認【各所属】</w:t>
            </w:r>
          </w:p>
          <w:p w14:paraId="25D7047E" w14:textId="77777777" w:rsidR="00582BF7" w:rsidRPr="001D6D10" w:rsidRDefault="00582BF7" w:rsidP="00F35CFE">
            <w:pPr>
              <w:rPr>
                <w:rFonts w:ascii="HG丸ｺﾞｼｯｸM-PRO" w:eastAsia="HG丸ｺﾞｼｯｸM-PRO" w:hAnsi="HG丸ｺﾞｼｯｸM-PRO"/>
                <w:szCs w:val="21"/>
              </w:rPr>
            </w:pPr>
            <w:r w:rsidRPr="001D6D10">
              <w:rPr>
                <w:rFonts w:ascii="HG丸ｺﾞｼｯｸM-PRO" w:eastAsia="HG丸ｺﾞｼｯｸM-PRO" w:hAnsi="HG丸ｺﾞｼｯｸM-PRO" w:hint="eastAsia"/>
                <w:szCs w:val="21"/>
              </w:rPr>
              <w:t>□非常用設備の操作方法と停電時の対応方法の確認【税務局・各事務所】</w:t>
            </w:r>
          </w:p>
        </w:tc>
      </w:tr>
      <w:tr w:rsidR="001D6D10" w:rsidRPr="001D6D10" w14:paraId="1421CB9F" w14:textId="77777777" w:rsidTr="00F35CFE">
        <w:trPr>
          <w:jc w:val="center"/>
        </w:trPr>
        <w:tc>
          <w:tcPr>
            <w:tcW w:w="1457" w:type="dxa"/>
            <w:vMerge w:val="restart"/>
          </w:tcPr>
          <w:p w14:paraId="1B222C7C" w14:textId="77777777" w:rsidR="002B3D2C" w:rsidRPr="001D6D10" w:rsidRDefault="002B3D2C" w:rsidP="00F35CFE">
            <w:pPr>
              <w:rPr>
                <w:rFonts w:ascii="HG丸ｺﾞｼｯｸM-PRO" w:eastAsia="HG丸ｺﾞｼｯｸM-PRO" w:hAnsi="HG丸ｺﾞｼｯｸM-PRO"/>
                <w:szCs w:val="21"/>
              </w:rPr>
            </w:pPr>
          </w:p>
          <w:p w14:paraId="09115CCE" w14:textId="77777777" w:rsidR="002B3D2C" w:rsidRPr="001D6D10" w:rsidRDefault="002B3D2C" w:rsidP="00F35CFE">
            <w:pPr>
              <w:rPr>
                <w:rFonts w:ascii="HG丸ｺﾞｼｯｸM-PRO" w:eastAsia="HG丸ｺﾞｼｯｸM-PRO" w:hAnsi="HG丸ｺﾞｼｯｸM-PRO"/>
                <w:szCs w:val="21"/>
              </w:rPr>
            </w:pPr>
          </w:p>
          <w:p w14:paraId="7A21F072" w14:textId="77777777" w:rsidR="002B3D2C" w:rsidRPr="001D6D10" w:rsidRDefault="002B3D2C" w:rsidP="00F35CFE">
            <w:pPr>
              <w:rPr>
                <w:rFonts w:ascii="HG丸ｺﾞｼｯｸM-PRO" w:eastAsia="HG丸ｺﾞｼｯｸM-PRO" w:hAnsi="HG丸ｺﾞｼｯｸM-PRO"/>
                <w:szCs w:val="21"/>
              </w:rPr>
            </w:pPr>
          </w:p>
          <w:p w14:paraId="03124CAA" w14:textId="77777777" w:rsidR="002B3D2C" w:rsidRPr="001D6D10" w:rsidRDefault="002B3D2C" w:rsidP="00F35CFE">
            <w:pPr>
              <w:rPr>
                <w:rFonts w:ascii="HG丸ｺﾞｼｯｸM-PRO" w:eastAsia="HG丸ｺﾞｼｯｸM-PRO" w:hAnsi="HG丸ｺﾞｼｯｸM-PRO"/>
                <w:szCs w:val="21"/>
              </w:rPr>
            </w:pPr>
          </w:p>
          <w:p w14:paraId="7013C3FC" w14:textId="77777777" w:rsidR="002B3D2C" w:rsidRPr="001D6D10" w:rsidRDefault="002B3D2C" w:rsidP="00F35CFE">
            <w:pPr>
              <w:rPr>
                <w:rFonts w:ascii="HG丸ｺﾞｼｯｸM-PRO" w:eastAsia="HG丸ｺﾞｼｯｸM-PRO" w:hAnsi="HG丸ｺﾞｼｯｸM-PRO"/>
                <w:szCs w:val="21"/>
              </w:rPr>
            </w:pPr>
          </w:p>
          <w:p w14:paraId="41529D86" w14:textId="77777777" w:rsidR="002B3D2C" w:rsidRPr="001D6D10" w:rsidRDefault="002B3D2C" w:rsidP="00F35CFE">
            <w:pPr>
              <w:rPr>
                <w:rFonts w:ascii="HG丸ｺﾞｼｯｸM-PRO" w:eastAsia="HG丸ｺﾞｼｯｸM-PRO" w:hAnsi="HG丸ｺﾞｼｯｸM-PRO"/>
                <w:szCs w:val="21"/>
              </w:rPr>
            </w:pPr>
          </w:p>
          <w:p w14:paraId="1971FBB8" w14:textId="77777777" w:rsidR="00582BF7" w:rsidRPr="001D6D10" w:rsidRDefault="00582BF7" w:rsidP="00F35CFE">
            <w:pPr>
              <w:rPr>
                <w:rFonts w:ascii="HG丸ｺﾞｼｯｸM-PRO" w:eastAsia="HG丸ｺﾞｼｯｸM-PRO" w:hAnsi="HG丸ｺﾞｼｯｸM-PRO"/>
                <w:szCs w:val="21"/>
              </w:rPr>
            </w:pPr>
            <w:r w:rsidRPr="001D6D10">
              <w:rPr>
                <w:rFonts w:ascii="HG丸ｺﾞｼｯｸM-PRO" w:eastAsia="HG丸ｺﾞｼｯｸM-PRO" w:hAnsi="HG丸ｺﾞｼｯｸM-PRO" w:hint="eastAsia"/>
                <w:szCs w:val="21"/>
              </w:rPr>
              <w:t>48ｈ前～</w:t>
            </w:r>
          </w:p>
          <w:p w14:paraId="44D273BF" w14:textId="77777777" w:rsidR="00582BF7" w:rsidRPr="001D6D10" w:rsidRDefault="00582BF7" w:rsidP="00F35CFE">
            <w:pPr>
              <w:rPr>
                <w:rFonts w:ascii="HG丸ｺﾞｼｯｸM-PRO" w:eastAsia="HG丸ｺﾞｼｯｸM-PRO" w:hAnsi="HG丸ｺﾞｼｯｸM-PRO"/>
                <w:szCs w:val="21"/>
              </w:rPr>
            </w:pPr>
            <w:r w:rsidRPr="001D6D10">
              <w:rPr>
                <w:rFonts w:ascii="HG丸ｺﾞｼｯｸM-PRO" w:eastAsia="HG丸ｺﾞｼｯｸM-PRO" w:hAnsi="HG丸ｺﾞｼｯｸM-PRO" w:hint="eastAsia"/>
                <w:szCs w:val="21"/>
              </w:rPr>
              <w:t xml:space="preserve">　　24ｈ前</w:t>
            </w:r>
          </w:p>
          <w:p w14:paraId="58AF3F2D" w14:textId="77777777" w:rsidR="00582BF7" w:rsidRPr="001D6D10" w:rsidRDefault="00582BF7" w:rsidP="00F35CFE">
            <w:pPr>
              <w:rPr>
                <w:rFonts w:ascii="HG丸ｺﾞｼｯｸM-PRO" w:eastAsia="HG丸ｺﾞｼｯｸM-PRO" w:hAnsi="HG丸ｺﾞｼｯｸM-PRO"/>
                <w:szCs w:val="21"/>
              </w:rPr>
            </w:pPr>
            <w:r w:rsidRPr="001D6D10">
              <w:rPr>
                <w:rFonts w:ascii="HG丸ｺﾞｼｯｸM-PRO" w:eastAsia="HG丸ｺﾞｼｯｸM-PRO" w:hAnsi="HG丸ｺﾞｼｯｸM-PRO" w:hint="eastAsia"/>
                <w:szCs w:val="21"/>
              </w:rPr>
              <w:t>（２日前）</w:t>
            </w:r>
          </w:p>
        </w:tc>
        <w:tc>
          <w:tcPr>
            <w:tcW w:w="7037" w:type="dxa"/>
          </w:tcPr>
          <w:p w14:paraId="5617848D" w14:textId="77777777" w:rsidR="00582BF7" w:rsidRPr="001D6D10" w:rsidRDefault="00582BF7" w:rsidP="00F35CFE">
            <w:pPr>
              <w:rPr>
                <w:rFonts w:ascii="HG丸ｺﾞｼｯｸM-PRO" w:eastAsia="HG丸ｺﾞｼｯｸM-PRO" w:hAnsi="HG丸ｺﾞｼｯｸM-PRO"/>
                <w:sz w:val="18"/>
                <w:szCs w:val="18"/>
              </w:rPr>
            </w:pPr>
            <w:r w:rsidRPr="001D6D10">
              <w:rPr>
                <w:rFonts w:ascii="HG丸ｺﾞｼｯｸM-PRO" w:eastAsia="HG丸ｺﾞｼｯｸM-PRO" w:hAnsi="HG丸ｺﾞｼｯｸM-PRO" w:hint="eastAsia"/>
                <w:szCs w:val="21"/>
              </w:rPr>
              <w:t>庁内連絡会議①：災害モード宣言の内容、第1回災害警戒本部会議の事前調整等</w:t>
            </w:r>
            <w:r w:rsidRPr="001D6D10">
              <w:rPr>
                <w:rFonts w:ascii="HG丸ｺﾞｼｯｸM-PRO" w:eastAsia="HG丸ｺﾞｼｯｸM-PRO" w:hAnsi="HG丸ｺﾞｼｯｸM-PRO" w:hint="eastAsia"/>
                <w:sz w:val="18"/>
                <w:szCs w:val="18"/>
              </w:rPr>
              <w:t>(警戒本部会議議題：管理施設の休館及び学校休校の検討、イベント等の中止検討、職員の配備態勢)</w:t>
            </w:r>
          </w:p>
          <w:p w14:paraId="5F4501F1" w14:textId="77777777" w:rsidR="008D31A3" w:rsidRPr="001D6D10" w:rsidRDefault="008D31A3" w:rsidP="008D31A3">
            <w:pPr>
              <w:rPr>
                <w:rFonts w:ascii="HG丸ｺﾞｼｯｸM-PRO" w:eastAsia="HG丸ｺﾞｼｯｸM-PRO" w:hAnsi="HG丸ｺﾞｼｯｸM-PRO"/>
                <w:szCs w:val="21"/>
              </w:rPr>
            </w:pPr>
            <w:r w:rsidRPr="001D6D10">
              <w:rPr>
                <w:rFonts w:ascii="HG丸ｺﾞｼｯｸM-PRO" w:eastAsia="HG丸ｺﾞｼｯｸM-PRO" w:hAnsi="HG丸ｺﾞｼｯｸM-PRO" w:hint="eastAsia"/>
                <w:szCs w:val="21"/>
              </w:rPr>
              <w:t>□第１回災害警戒本部会議の事前準備</w:t>
            </w:r>
          </w:p>
          <w:p w14:paraId="756869E4" w14:textId="77777777" w:rsidR="008D31A3" w:rsidRPr="001D6D10" w:rsidRDefault="008D31A3" w:rsidP="008D31A3">
            <w:pPr>
              <w:rPr>
                <w:rFonts w:ascii="HG丸ｺﾞｼｯｸM-PRO" w:eastAsia="HG丸ｺﾞｼｯｸM-PRO" w:hAnsi="HG丸ｺﾞｼｯｸM-PRO"/>
                <w:szCs w:val="21"/>
              </w:rPr>
            </w:pPr>
            <w:r w:rsidRPr="001D6D10">
              <w:rPr>
                <w:rFonts w:ascii="HG丸ｺﾞｼｯｸM-PRO" w:eastAsia="HG丸ｺﾞｼｯｸM-PRO" w:hAnsi="HG丸ｺﾞｼｯｸM-PRO" w:hint="eastAsia"/>
                <w:szCs w:val="21"/>
              </w:rPr>
              <w:t xml:space="preserve">　・部局内の対応状況の確認、会議での報告のとりまとめ</w:t>
            </w:r>
          </w:p>
          <w:p w14:paraId="41B34CE2" w14:textId="77777777" w:rsidR="00335440" w:rsidRPr="001D6D10" w:rsidRDefault="008D31A3" w:rsidP="00335440">
            <w:pPr>
              <w:rPr>
                <w:rFonts w:ascii="HG丸ｺﾞｼｯｸM-PRO" w:eastAsia="HG丸ｺﾞｼｯｸM-PRO" w:hAnsi="HG丸ｺﾞｼｯｸM-PRO"/>
                <w:szCs w:val="21"/>
              </w:rPr>
            </w:pPr>
            <w:r w:rsidRPr="001D6D10">
              <w:rPr>
                <w:rFonts w:ascii="HG丸ｺﾞｼｯｸM-PRO" w:eastAsia="HG丸ｺﾞｼｯｸM-PRO" w:hAnsi="HG丸ｺﾞｼｯｸM-PRO" w:hint="eastAsia"/>
                <w:szCs w:val="21"/>
              </w:rPr>
              <w:t xml:space="preserve">　・庁舎・所管施設の安全確認</w:t>
            </w:r>
          </w:p>
          <w:p w14:paraId="16995A16" w14:textId="77777777" w:rsidR="008D31A3" w:rsidRPr="001D6D10" w:rsidRDefault="008D31A3" w:rsidP="00335440">
            <w:pPr>
              <w:rPr>
                <w:rFonts w:ascii="HG丸ｺﾞｼｯｸM-PRO" w:eastAsia="HG丸ｺﾞｼｯｸM-PRO" w:hAnsi="HG丸ｺﾞｼｯｸM-PRO"/>
                <w:szCs w:val="21"/>
                <w:u w:val="single"/>
              </w:rPr>
            </w:pPr>
            <w:r w:rsidRPr="001D6D10">
              <w:rPr>
                <w:rFonts w:ascii="HG丸ｺﾞｼｯｸM-PRO" w:eastAsia="HG丸ｺﾞｼｯｸM-PRO" w:hAnsi="HG丸ｺﾞｼｯｸM-PRO" w:hint="eastAsia"/>
                <w:szCs w:val="21"/>
                <w:bdr w:val="single" w:sz="4" w:space="0" w:color="auto"/>
              </w:rPr>
              <w:t>台風説明会</w:t>
            </w:r>
          </w:p>
        </w:tc>
      </w:tr>
      <w:tr w:rsidR="001D6D10" w:rsidRPr="001D6D10" w14:paraId="726CC9DB" w14:textId="77777777" w:rsidTr="00F35CFE">
        <w:trPr>
          <w:jc w:val="center"/>
        </w:trPr>
        <w:tc>
          <w:tcPr>
            <w:tcW w:w="1457" w:type="dxa"/>
            <w:vMerge/>
          </w:tcPr>
          <w:p w14:paraId="6F8D4D21" w14:textId="77777777" w:rsidR="00582BF7" w:rsidRPr="001D6D10" w:rsidRDefault="00582BF7" w:rsidP="00F35CFE">
            <w:pPr>
              <w:rPr>
                <w:rFonts w:ascii="HG丸ｺﾞｼｯｸM-PRO" w:eastAsia="HG丸ｺﾞｼｯｸM-PRO" w:hAnsi="HG丸ｺﾞｼｯｸM-PRO"/>
                <w:szCs w:val="21"/>
              </w:rPr>
            </w:pPr>
          </w:p>
        </w:tc>
        <w:tc>
          <w:tcPr>
            <w:tcW w:w="7037" w:type="dxa"/>
          </w:tcPr>
          <w:p w14:paraId="1AD4D7F0" w14:textId="77777777" w:rsidR="00582BF7" w:rsidRPr="001D6D10" w:rsidRDefault="00582BF7" w:rsidP="00F35CFE">
            <w:pPr>
              <w:rPr>
                <w:rFonts w:ascii="HG丸ｺﾞｼｯｸM-PRO" w:eastAsia="HG丸ｺﾞｼｯｸM-PRO" w:hAnsi="HG丸ｺﾞｼｯｸM-PRO"/>
                <w:szCs w:val="21"/>
                <w:highlight w:val="yellow"/>
              </w:rPr>
            </w:pPr>
            <w:r w:rsidRPr="001D6D10">
              <w:rPr>
                <w:rFonts w:ascii="HG丸ｺﾞｼｯｸM-PRO" w:eastAsia="HG丸ｺﾞｼｯｸM-PRO" w:hAnsi="HG丸ｺﾞｼｯｸM-PRO" w:hint="eastAsia"/>
                <w:b/>
                <w:szCs w:val="21"/>
                <w:highlight w:val="yellow"/>
              </w:rPr>
              <w:t>第1回災害警戒本部会議</w:t>
            </w:r>
            <w:r w:rsidRPr="001D6D10">
              <w:rPr>
                <w:rFonts w:ascii="HG丸ｺﾞｼｯｸM-PRO" w:eastAsia="HG丸ｺﾞｼｯｸM-PRO" w:hAnsi="HG丸ｺﾞｼｯｸM-PRO" w:hint="eastAsia"/>
                <w:szCs w:val="21"/>
                <w:highlight w:val="yellow"/>
              </w:rPr>
              <w:t>（災害モード宣言の内容検討）</w:t>
            </w:r>
            <w:r w:rsidR="00CB0ABF" w:rsidRPr="001D6D10">
              <w:rPr>
                <w:rFonts w:ascii="HG丸ｺﾞｼｯｸM-PRO" w:eastAsia="HG丸ｺﾞｼｯｸM-PRO" w:hAnsi="HG丸ｺﾞｼｯｸM-PRO" w:hint="eastAsia"/>
                <w:szCs w:val="21"/>
                <w:highlight w:val="yellow"/>
              </w:rPr>
              <w:t>（Ｐ47</w:t>
            </w:r>
            <w:r w:rsidR="0010145B" w:rsidRPr="001D6D10">
              <w:rPr>
                <w:rFonts w:ascii="HG丸ｺﾞｼｯｸM-PRO" w:eastAsia="HG丸ｺﾞｼｯｸM-PRO" w:hAnsi="HG丸ｺﾞｼｯｸM-PRO" w:hint="eastAsia"/>
                <w:szCs w:val="21"/>
                <w:highlight w:val="yellow"/>
              </w:rPr>
              <w:t>参照）</w:t>
            </w:r>
          </w:p>
        </w:tc>
      </w:tr>
      <w:tr w:rsidR="001D6D10" w:rsidRPr="001D6D10" w14:paraId="591633DB" w14:textId="77777777" w:rsidTr="00F35CFE">
        <w:trPr>
          <w:jc w:val="center"/>
        </w:trPr>
        <w:tc>
          <w:tcPr>
            <w:tcW w:w="1457" w:type="dxa"/>
            <w:vMerge/>
          </w:tcPr>
          <w:p w14:paraId="5288D530" w14:textId="77777777" w:rsidR="00582BF7" w:rsidRPr="001D6D10" w:rsidRDefault="00582BF7" w:rsidP="00F35CFE">
            <w:pPr>
              <w:rPr>
                <w:rFonts w:ascii="HG丸ｺﾞｼｯｸM-PRO" w:eastAsia="HG丸ｺﾞｼｯｸM-PRO" w:hAnsi="HG丸ｺﾞｼｯｸM-PRO"/>
                <w:szCs w:val="21"/>
              </w:rPr>
            </w:pPr>
          </w:p>
        </w:tc>
        <w:tc>
          <w:tcPr>
            <w:tcW w:w="7037" w:type="dxa"/>
          </w:tcPr>
          <w:p w14:paraId="66676B60" w14:textId="77777777" w:rsidR="00582BF7" w:rsidRPr="001D6D10" w:rsidRDefault="00582BF7" w:rsidP="00F35CFE">
            <w:pPr>
              <w:rPr>
                <w:rFonts w:ascii="HG丸ｺﾞｼｯｸM-PRO" w:eastAsia="HG丸ｺﾞｼｯｸM-PRO" w:hAnsi="HG丸ｺﾞｼｯｸM-PRO"/>
                <w:szCs w:val="21"/>
              </w:rPr>
            </w:pPr>
            <w:r w:rsidRPr="001D6D10">
              <w:rPr>
                <w:rFonts w:ascii="HG丸ｺﾞｼｯｸM-PRO" w:eastAsia="HG丸ｺﾞｼｯｸM-PRO" w:hAnsi="HG丸ｺﾞｼｯｸM-PRO" w:hint="eastAsia"/>
                <w:szCs w:val="21"/>
              </w:rPr>
              <w:t>□危機管理室からの情報の共有【各所属】</w:t>
            </w:r>
          </w:p>
          <w:p w14:paraId="288F3305" w14:textId="77777777" w:rsidR="005A0125" w:rsidRPr="001D6D10" w:rsidRDefault="005A0125" w:rsidP="005A0125">
            <w:pPr>
              <w:rPr>
                <w:rFonts w:ascii="HG丸ｺﾞｼｯｸM-PRO" w:eastAsia="HG丸ｺﾞｼｯｸM-PRO" w:hAnsi="HG丸ｺﾞｼｯｸM-PRO"/>
                <w:szCs w:val="21"/>
              </w:rPr>
            </w:pPr>
            <w:r w:rsidRPr="001D6D10">
              <w:rPr>
                <w:rFonts w:ascii="HG丸ｺﾞｼｯｸM-PRO" w:eastAsia="HG丸ｺﾞｼｯｸM-PRO" w:hAnsi="HG丸ｺﾞｼｯｸM-PRO" w:hint="eastAsia"/>
                <w:szCs w:val="21"/>
              </w:rPr>
              <w:t>□公共交通機関計画運休の確認</w:t>
            </w:r>
            <w:r w:rsidR="008A6E28" w:rsidRPr="001D6D10">
              <w:rPr>
                <w:rFonts w:ascii="HG丸ｺﾞｼｯｸM-PRO" w:eastAsia="HG丸ｺﾞｼｯｸM-PRO" w:hAnsi="HG丸ｺﾞｼｯｸM-PRO" w:hint="eastAsia"/>
                <w:szCs w:val="21"/>
              </w:rPr>
              <w:t>【各所属】</w:t>
            </w:r>
          </w:p>
          <w:p w14:paraId="18A504EF" w14:textId="77777777" w:rsidR="009D2212" w:rsidRPr="001D6D10" w:rsidRDefault="009D2212" w:rsidP="009D2212">
            <w:pPr>
              <w:rPr>
                <w:rFonts w:ascii="HG丸ｺﾞｼｯｸM-PRO" w:eastAsia="HG丸ｺﾞｼｯｸM-PRO" w:hAnsi="HG丸ｺﾞｼｯｸM-PRO"/>
                <w:szCs w:val="21"/>
              </w:rPr>
            </w:pPr>
            <w:r w:rsidRPr="001D6D10">
              <w:rPr>
                <w:rFonts w:ascii="HG丸ｺﾞｼｯｸM-PRO" w:eastAsia="HG丸ｺﾞｼｯｸM-PRO" w:hAnsi="HG丸ｺﾞｼｯｸM-PRO" w:hint="eastAsia"/>
                <w:szCs w:val="21"/>
              </w:rPr>
              <w:t>□職員体制の確認・確保【各所属】</w:t>
            </w:r>
          </w:p>
          <w:p w14:paraId="0DBB0E8F" w14:textId="77777777" w:rsidR="00582BF7" w:rsidRPr="001D6D10" w:rsidRDefault="00582BF7" w:rsidP="00F35CFE">
            <w:pPr>
              <w:rPr>
                <w:rFonts w:ascii="HG丸ｺﾞｼｯｸM-PRO" w:eastAsia="HG丸ｺﾞｼｯｸM-PRO" w:hAnsi="HG丸ｺﾞｼｯｸM-PRO"/>
                <w:szCs w:val="21"/>
              </w:rPr>
            </w:pPr>
            <w:r w:rsidRPr="001D6D10">
              <w:rPr>
                <w:rFonts w:ascii="HG丸ｺﾞｼｯｸM-PRO" w:eastAsia="HG丸ｺﾞｼｯｸM-PRO" w:hAnsi="HG丸ｺﾞｼｯｸM-PRO" w:hint="eastAsia"/>
                <w:szCs w:val="21"/>
              </w:rPr>
              <w:t>□設備等の安全確認【各所属】</w:t>
            </w:r>
          </w:p>
          <w:p w14:paraId="5C2A2D3C" w14:textId="77777777" w:rsidR="00582BF7" w:rsidRPr="001D6D10" w:rsidRDefault="008A6E28" w:rsidP="00F35CFE">
            <w:pPr>
              <w:rPr>
                <w:rFonts w:ascii="HG丸ｺﾞｼｯｸM-PRO" w:eastAsia="HG丸ｺﾞｼｯｸM-PRO" w:hAnsi="HG丸ｺﾞｼｯｸM-PRO"/>
                <w:szCs w:val="21"/>
              </w:rPr>
            </w:pPr>
            <w:r w:rsidRPr="001D6D10">
              <w:rPr>
                <w:rFonts w:ascii="HG丸ｺﾞｼｯｸM-PRO" w:eastAsia="HG丸ｺﾞｼｯｸM-PRO" w:hAnsi="HG丸ｺﾞｼｯｸM-PRO" w:hint="eastAsia"/>
                <w:szCs w:val="21"/>
              </w:rPr>
              <w:t>□資金調達に係るイベント（提案募集、</w:t>
            </w:r>
            <w:r w:rsidR="00582BF7" w:rsidRPr="001D6D10">
              <w:rPr>
                <w:rFonts w:ascii="HG丸ｺﾞｼｯｸM-PRO" w:eastAsia="HG丸ｺﾞｼｯｸM-PRO" w:hAnsi="HG丸ｺﾞｼｯｸM-PRO" w:hint="eastAsia"/>
                <w:szCs w:val="21"/>
              </w:rPr>
              <w:t>IR）の中止検討【財政課】</w:t>
            </w:r>
          </w:p>
        </w:tc>
      </w:tr>
      <w:tr w:rsidR="001D6D10" w:rsidRPr="001D6D10" w14:paraId="5B336B11" w14:textId="77777777" w:rsidTr="00F35CFE">
        <w:trPr>
          <w:jc w:val="center"/>
        </w:trPr>
        <w:tc>
          <w:tcPr>
            <w:tcW w:w="1457" w:type="dxa"/>
            <w:vMerge w:val="restart"/>
          </w:tcPr>
          <w:p w14:paraId="43D04953" w14:textId="77777777" w:rsidR="002B3D2C" w:rsidRPr="001D6D10" w:rsidRDefault="002B3D2C" w:rsidP="00F35CFE">
            <w:pPr>
              <w:rPr>
                <w:rFonts w:ascii="HG丸ｺﾞｼｯｸM-PRO" w:eastAsia="HG丸ｺﾞｼｯｸM-PRO" w:hAnsi="HG丸ｺﾞｼｯｸM-PRO"/>
                <w:szCs w:val="21"/>
              </w:rPr>
            </w:pPr>
          </w:p>
          <w:p w14:paraId="2899DD28" w14:textId="77777777" w:rsidR="002B3D2C" w:rsidRPr="001D6D10" w:rsidRDefault="002B3D2C" w:rsidP="00F35CFE">
            <w:pPr>
              <w:rPr>
                <w:rFonts w:ascii="HG丸ｺﾞｼｯｸM-PRO" w:eastAsia="HG丸ｺﾞｼｯｸM-PRO" w:hAnsi="HG丸ｺﾞｼｯｸM-PRO"/>
                <w:szCs w:val="21"/>
              </w:rPr>
            </w:pPr>
          </w:p>
          <w:p w14:paraId="31C5FF81" w14:textId="77777777" w:rsidR="002B3D2C" w:rsidRPr="001D6D10" w:rsidRDefault="002B3D2C" w:rsidP="00F35CFE">
            <w:pPr>
              <w:rPr>
                <w:rFonts w:ascii="HG丸ｺﾞｼｯｸM-PRO" w:eastAsia="HG丸ｺﾞｼｯｸM-PRO" w:hAnsi="HG丸ｺﾞｼｯｸM-PRO"/>
                <w:szCs w:val="21"/>
              </w:rPr>
            </w:pPr>
          </w:p>
          <w:p w14:paraId="13E7C5A4" w14:textId="77777777" w:rsidR="00582BF7" w:rsidRPr="001D6D10" w:rsidRDefault="00582BF7" w:rsidP="00F35CFE">
            <w:pPr>
              <w:rPr>
                <w:rFonts w:ascii="HG丸ｺﾞｼｯｸM-PRO" w:eastAsia="HG丸ｺﾞｼｯｸM-PRO" w:hAnsi="HG丸ｺﾞｼｯｸM-PRO"/>
                <w:szCs w:val="21"/>
              </w:rPr>
            </w:pPr>
            <w:r w:rsidRPr="001D6D10">
              <w:rPr>
                <w:rFonts w:ascii="HG丸ｺﾞｼｯｸM-PRO" w:eastAsia="HG丸ｺﾞｼｯｸM-PRO" w:hAnsi="HG丸ｺﾞｼｯｸM-PRO" w:hint="eastAsia"/>
                <w:szCs w:val="21"/>
              </w:rPr>
              <w:t>24ｈ前～</w:t>
            </w:r>
          </w:p>
          <w:p w14:paraId="3D95ECE2" w14:textId="77777777" w:rsidR="00582BF7" w:rsidRPr="001D6D10" w:rsidRDefault="00582BF7" w:rsidP="00F35CFE">
            <w:pPr>
              <w:rPr>
                <w:rFonts w:ascii="HG丸ｺﾞｼｯｸM-PRO" w:eastAsia="HG丸ｺﾞｼｯｸM-PRO" w:hAnsi="HG丸ｺﾞｼｯｸM-PRO"/>
                <w:szCs w:val="21"/>
              </w:rPr>
            </w:pPr>
            <w:r w:rsidRPr="001D6D10">
              <w:rPr>
                <w:rFonts w:ascii="HG丸ｺﾞｼｯｸM-PRO" w:eastAsia="HG丸ｺﾞｼｯｸM-PRO" w:hAnsi="HG丸ｺﾞｼｯｸM-PRO" w:hint="eastAsia"/>
                <w:szCs w:val="21"/>
              </w:rPr>
              <w:t xml:space="preserve">　　最接近</w:t>
            </w:r>
          </w:p>
          <w:p w14:paraId="3BAD7ECE" w14:textId="77777777" w:rsidR="00582BF7" w:rsidRPr="001D6D10" w:rsidRDefault="00582BF7" w:rsidP="00F35CFE">
            <w:pPr>
              <w:rPr>
                <w:rFonts w:ascii="HG丸ｺﾞｼｯｸM-PRO" w:eastAsia="HG丸ｺﾞｼｯｸM-PRO" w:hAnsi="HG丸ｺﾞｼｯｸM-PRO"/>
                <w:szCs w:val="21"/>
              </w:rPr>
            </w:pPr>
            <w:r w:rsidRPr="001D6D10">
              <w:rPr>
                <w:rFonts w:ascii="HG丸ｺﾞｼｯｸM-PRO" w:eastAsia="HG丸ｺﾞｼｯｸM-PRO" w:hAnsi="HG丸ｺﾞｼｯｸM-PRO" w:hint="eastAsia"/>
                <w:szCs w:val="21"/>
              </w:rPr>
              <w:t>（１日前）</w:t>
            </w:r>
          </w:p>
        </w:tc>
        <w:tc>
          <w:tcPr>
            <w:tcW w:w="7037" w:type="dxa"/>
          </w:tcPr>
          <w:p w14:paraId="09E68379" w14:textId="77777777" w:rsidR="00582BF7" w:rsidRPr="001D6D10" w:rsidRDefault="00582BF7" w:rsidP="00F35CFE">
            <w:pPr>
              <w:rPr>
                <w:rFonts w:ascii="HG丸ｺﾞｼｯｸM-PRO" w:eastAsia="HG丸ｺﾞｼｯｸM-PRO" w:hAnsi="HG丸ｺﾞｼｯｸM-PRO"/>
                <w:szCs w:val="21"/>
              </w:rPr>
            </w:pPr>
            <w:r w:rsidRPr="001D6D10">
              <w:rPr>
                <w:rFonts w:ascii="HG丸ｺﾞｼｯｸM-PRO" w:eastAsia="HG丸ｺﾞｼｯｸM-PRO" w:hAnsi="HG丸ｺﾞｼｯｸM-PRO" w:hint="eastAsia"/>
                <w:szCs w:val="21"/>
              </w:rPr>
              <w:t>庁内連絡会議②：第2回災害警戒本部会議の事前調整等</w:t>
            </w:r>
          </w:p>
          <w:p w14:paraId="6B4E7C3E" w14:textId="77777777" w:rsidR="008D31A3" w:rsidRPr="001D6D10" w:rsidRDefault="008D31A3" w:rsidP="008D31A3">
            <w:pPr>
              <w:rPr>
                <w:rFonts w:ascii="HG丸ｺﾞｼｯｸM-PRO" w:eastAsia="HG丸ｺﾞｼｯｸM-PRO" w:hAnsi="HG丸ｺﾞｼｯｸM-PRO"/>
                <w:szCs w:val="21"/>
              </w:rPr>
            </w:pPr>
            <w:r w:rsidRPr="001D6D10">
              <w:rPr>
                <w:rFonts w:ascii="HG丸ｺﾞｼｯｸM-PRO" w:eastAsia="HG丸ｺﾞｼｯｸM-PRO" w:hAnsi="HG丸ｺﾞｼｯｸM-PRO" w:hint="eastAsia"/>
                <w:szCs w:val="21"/>
              </w:rPr>
              <w:t>□第２回災害警戒本部会議の事前準備</w:t>
            </w:r>
          </w:p>
          <w:p w14:paraId="3D0134B5" w14:textId="77777777" w:rsidR="008D31A3" w:rsidRPr="001D6D10" w:rsidRDefault="008D31A3" w:rsidP="008D31A3">
            <w:pPr>
              <w:rPr>
                <w:rFonts w:ascii="HG丸ｺﾞｼｯｸM-PRO" w:eastAsia="HG丸ｺﾞｼｯｸM-PRO" w:hAnsi="HG丸ｺﾞｼｯｸM-PRO"/>
                <w:szCs w:val="21"/>
              </w:rPr>
            </w:pPr>
            <w:r w:rsidRPr="001D6D10">
              <w:rPr>
                <w:rFonts w:ascii="HG丸ｺﾞｼｯｸM-PRO" w:eastAsia="HG丸ｺﾞｼｯｸM-PRO" w:hAnsi="HG丸ｺﾞｼｯｸM-PRO" w:hint="eastAsia"/>
                <w:szCs w:val="21"/>
              </w:rPr>
              <w:t xml:space="preserve">　・部局内</w:t>
            </w:r>
            <w:r w:rsidR="00A2101B" w:rsidRPr="001D6D10">
              <w:rPr>
                <w:rFonts w:ascii="HG丸ｺﾞｼｯｸM-PRO" w:eastAsia="HG丸ｺﾞｼｯｸM-PRO" w:hAnsi="HG丸ｺﾞｼｯｸM-PRO" w:hint="eastAsia"/>
                <w:szCs w:val="21"/>
              </w:rPr>
              <w:t>の</w:t>
            </w:r>
            <w:r w:rsidRPr="001D6D10">
              <w:rPr>
                <w:rFonts w:ascii="HG丸ｺﾞｼｯｸM-PRO" w:eastAsia="HG丸ｺﾞｼｯｸM-PRO" w:hAnsi="HG丸ｺﾞｼｯｸM-PRO" w:hint="eastAsia"/>
                <w:szCs w:val="21"/>
              </w:rPr>
              <w:t>対応状況の確認、会議での報告のとりまとめ</w:t>
            </w:r>
          </w:p>
          <w:p w14:paraId="724FEA07" w14:textId="77777777" w:rsidR="00335440" w:rsidRPr="001D6D10" w:rsidRDefault="008D31A3" w:rsidP="00335440">
            <w:pPr>
              <w:ind w:firstLineChars="100" w:firstLine="211"/>
              <w:rPr>
                <w:rFonts w:ascii="HG丸ｺﾞｼｯｸM-PRO" w:eastAsia="HG丸ｺﾞｼｯｸM-PRO" w:hAnsi="HG丸ｺﾞｼｯｸM-PRO"/>
                <w:szCs w:val="21"/>
              </w:rPr>
            </w:pPr>
            <w:r w:rsidRPr="001D6D10">
              <w:rPr>
                <w:rFonts w:ascii="HG丸ｺﾞｼｯｸM-PRO" w:eastAsia="HG丸ｺﾞｼｯｸM-PRO" w:hAnsi="HG丸ｺﾞｼｯｸM-PRO" w:hint="eastAsia"/>
                <w:szCs w:val="21"/>
              </w:rPr>
              <w:t>・庁舎・所管施設の安全点検</w:t>
            </w:r>
          </w:p>
          <w:p w14:paraId="7ED20C6B" w14:textId="77777777" w:rsidR="008D31A3" w:rsidRPr="001D6D10" w:rsidRDefault="008D31A3" w:rsidP="00335440">
            <w:pPr>
              <w:ind w:firstLineChars="100" w:firstLine="211"/>
              <w:rPr>
                <w:rFonts w:ascii="HG丸ｺﾞｼｯｸM-PRO" w:eastAsia="HG丸ｺﾞｼｯｸM-PRO" w:hAnsi="HG丸ｺﾞｼｯｸM-PRO"/>
                <w:szCs w:val="21"/>
                <w:u w:val="single"/>
              </w:rPr>
            </w:pPr>
            <w:r w:rsidRPr="001D6D10">
              <w:rPr>
                <w:rFonts w:ascii="HG丸ｺﾞｼｯｸM-PRO" w:eastAsia="HG丸ｺﾞｼｯｸM-PRO" w:hAnsi="HG丸ｺﾞｼｯｸM-PRO" w:hint="eastAsia"/>
                <w:szCs w:val="21"/>
                <w:bdr w:val="single" w:sz="4" w:space="0" w:color="auto"/>
              </w:rPr>
              <w:t>台風説明会</w:t>
            </w:r>
          </w:p>
        </w:tc>
      </w:tr>
      <w:tr w:rsidR="001D6D10" w:rsidRPr="001D6D10" w14:paraId="6DED8715" w14:textId="77777777" w:rsidTr="00F35CFE">
        <w:trPr>
          <w:jc w:val="center"/>
        </w:trPr>
        <w:tc>
          <w:tcPr>
            <w:tcW w:w="1457" w:type="dxa"/>
            <w:vMerge/>
          </w:tcPr>
          <w:p w14:paraId="5E9F514D" w14:textId="77777777" w:rsidR="00582BF7" w:rsidRPr="001D6D10" w:rsidRDefault="00582BF7" w:rsidP="00F35CFE">
            <w:pPr>
              <w:rPr>
                <w:rFonts w:ascii="HG丸ｺﾞｼｯｸM-PRO" w:eastAsia="HG丸ｺﾞｼｯｸM-PRO" w:hAnsi="HG丸ｺﾞｼｯｸM-PRO"/>
                <w:szCs w:val="21"/>
              </w:rPr>
            </w:pPr>
          </w:p>
        </w:tc>
        <w:tc>
          <w:tcPr>
            <w:tcW w:w="7037" w:type="dxa"/>
          </w:tcPr>
          <w:p w14:paraId="20FEE6EB" w14:textId="77777777" w:rsidR="00582BF7" w:rsidRPr="001D6D10" w:rsidRDefault="00582BF7" w:rsidP="00F35CFE">
            <w:pPr>
              <w:rPr>
                <w:rFonts w:ascii="HG丸ｺﾞｼｯｸM-PRO" w:eastAsia="HG丸ｺﾞｼｯｸM-PRO" w:hAnsi="HG丸ｺﾞｼｯｸM-PRO"/>
                <w:szCs w:val="21"/>
                <w:highlight w:val="yellow"/>
              </w:rPr>
            </w:pPr>
            <w:r w:rsidRPr="001D6D10">
              <w:rPr>
                <w:rFonts w:ascii="HG丸ｺﾞｼｯｸM-PRO" w:eastAsia="HG丸ｺﾞｼｯｸM-PRO" w:hAnsi="HG丸ｺﾞｼｯｸM-PRO" w:hint="eastAsia"/>
                <w:b/>
                <w:szCs w:val="21"/>
                <w:highlight w:val="yellow"/>
              </w:rPr>
              <w:t>第２回災害警戒本部会議</w:t>
            </w:r>
            <w:r w:rsidRPr="001D6D10">
              <w:rPr>
                <w:rFonts w:ascii="HG丸ｺﾞｼｯｸM-PRO" w:eastAsia="HG丸ｺﾞｼｯｸM-PRO" w:hAnsi="HG丸ｺﾞｼｯｸM-PRO" w:hint="eastAsia"/>
                <w:szCs w:val="21"/>
                <w:highlight w:val="yellow"/>
              </w:rPr>
              <w:t>（災害モード宣言の発信）</w:t>
            </w:r>
            <w:r w:rsidR="00CB0ABF" w:rsidRPr="001D6D10">
              <w:rPr>
                <w:rFonts w:ascii="HG丸ｺﾞｼｯｸM-PRO" w:eastAsia="HG丸ｺﾞｼｯｸM-PRO" w:hAnsi="HG丸ｺﾞｼｯｸM-PRO" w:hint="eastAsia"/>
                <w:szCs w:val="21"/>
                <w:highlight w:val="yellow"/>
              </w:rPr>
              <w:t>（Ｐ47</w:t>
            </w:r>
            <w:r w:rsidR="0010145B" w:rsidRPr="001D6D10">
              <w:rPr>
                <w:rFonts w:ascii="HG丸ｺﾞｼｯｸM-PRO" w:eastAsia="HG丸ｺﾞｼｯｸM-PRO" w:hAnsi="HG丸ｺﾞｼｯｸM-PRO" w:hint="eastAsia"/>
                <w:szCs w:val="21"/>
                <w:highlight w:val="yellow"/>
              </w:rPr>
              <w:t>参照）</w:t>
            </w:r>
          </w:p>
        </w:tc>
      </w:tr>
      <w:tr w:rsidR="001D6D10" w:rsidRPr="001D6D10" w14:paraId="035C9AFE" w14:textId="77777777" w:rsidTr="00F35CFE">
        <w:trPr>
          <w:jc w:val="center"/>
        </w:trPr>
        <w:tc>
          <w:tcPr>
            <w:tcW w:w="1457" w:type="dxa"/>
            <w:vMerge/>
          </w:tcPr>
          <w:p w14:paraId="4C6415EE" w14:textId="77777777" w:rsidR="00582BF7" w:rsidRPr="001D6D10" w:rsidRDefault="00582BF7" w:rsidP="00F35CFE">
            <w:pPr>
              <w:rPr>
                <w:rFonts w:ascii="HG丸ｺﾞｼｯｸM-PRO" w:eastAsia="HG丸ｺﾞｼｯｸM-PRO" w:hAnsi="HG丸ｺﾞｼｯｸM-PRO"/>
                <w:szCs w:val="21"/>
              </w:rPr>
            </w:pPr>
          </w:p>
        </w:tc>
        <w:tc>
          <w:tcPr>
            <w:tcW w:w="7037" w:type="dxa"/>
          </w:tcPr>
          <w:p w14:paraId="36AA3B7B" w14:textId="77777777" w:rsidR="00582BF7" w:rsidRPr="001D6D10" w:rsidRDefault="00582BF7" w:rsidP="00F35CFE">
            <w:pPr>
              <w:rPr>
                <w:rFonts w:ascii="HG丸ｺﾞｼｯｸM-PRO" w:eastAsia="HG丸ｺﾞｼｯｸM-PRO" w:hAnsi="HG丸ｺﾞｼｯｸM-PRO"/>
                <w:szCs w:val="21"/>
              </w:rPr>
            </w:pPr>
            <w:r w:rsidRPr="001D6D10">
              <w:rPr>
                <w:rFonts w:ascii="HG丸ｺﾞｼｯｸM-PRO" w:eastAsia="HG丸ｺﾞｼｯｸM-PRO" w:hAnsi="HG丸ｺﾞｼｯｸM-PRO" w:hint="eastAsia"/>
                <w:szCs w:val="21"/>
              </w:rPr>
              <w:t>□危機管理室からの情報の共有【各所属】</w:t>
            </w:r>
          </w:p>
          <w:p w14:paraId="3BB8A65D" w14:textId="77777777" w:rsidR="00582BF7" w:rsidRPr="001D6D10" w:rsidRDefault="00582BF7" w:rsidP="00F35CFE">
            <w:pPr>
              <w:rPr>
                <w:rFonts w:ascii="HG丸ｺﾞｼｯｸM-PRO" w:eastAsia="HG丸ｺﾞｼｯｸM-PRO" w:hAnsi="HG丸ｺﾞｼｯｸM-PRO"/>
                <w:szCs w:val="21"/>
              </w:rPr>
            </w:pPr>
            <w:r w:rsidRPr="001D6D10">
              <w:rPr>
                <w:rFonts w:ascii="HG丸ｺﾞｼｯｸM-PRO" w:eastAsia="HG丸ｺﾞｼｯｸM-PRO" w:hAnsi="HG丸ｺﾞｼｯｸM-PRO" w:hint="eastAsia"/>
                <w:szCs w:val="21"/>
              </w:rPr>
              <w:t>□非常配備の有無と配備時の連絡体制の確認【各所属】</w:t>
            </w:r>
          </w:p>
          <w:p w14:paraId="35D31EF8" w14:textId="77777777" w:rsidR="00582BF7" w:rsidRPr="001D6D10" w:rsidRDefault="00582BF7" w:rsidP="00F35CFE">
            <w:pPr>
              <w:rPr>
                <w:rFonts w:ascii="HG丸ｺﾞｼｯｸM-PRO" w:eastAsia="HG丸ｺﾞｼｯｸM-PRO" w:hAnsi="HG丸ｺﾞｼｯｸM-PRO"/>
                <w:szCs w:val="21"/>
              </w:rPr>
            </w:pPr>
            <w:r w:rsidRPr="001D6D10">
              <w:rPr>
                <w:rFonts w:ascii="HG丸ｺﾞｼｯｸM-PRO" w:eastAsia="HG丸ｺﾞｼｯｸM-PRO" w:hAnsi="HG丸ｺﾞｼｯｸM-PRO" w:hint="eastAsia"/>
                <w:szCs w:val="21"/>
              </w:rPr>
              <w:t>□設備等の安全確認及び被害状況等の確認【各所属】</w:t>
            </w:r>
          </w:p>
          <w:p w14:paraId="7F57DA1F" w14:textId="77777777" w:rsidR="00582BF7" w:rsidRPr="001D6D10" w:rsidRDefault="00582BF7" w:rsidP="00F35CFE">
            <w:pPr>
              <w:rPr>
                <w:rFonts w:ascii="HG丸ｺﾞｼｯｸM-PRO" w:eastAsia="HG丸ｺﾞｼｯｸM-PRO" w:hAnsi="HG丸ｺﾞｼｯｸM-PRO"/>
                <w:szCs w:val="21"/>
              </w:rPr>
            </w:pPr>
            <w:r w:rsidRPr="001D6D10">
              <w:rPr>
                <w:rFonts w:ascii="HG丸ｺﾞｼｯｸM-PRO" w:eastAsia="HG丸ｺﾞｼｯｸM-PRO" w:hAnsi="HG丸ｺﾞｼｯｸM-PRO" w:hint="eastAsia"/>
                <w:szCs w:val="21"/>
              </w:rPr>
              <w:t>□財務部ロジ担当へ被害状況の定時報告【各所属】</w:t>
            </w:r>
          </w:p>
          <w:p w14:paraId="413631CE" w14:textId="77777777" w:rsidR="00BF17F6" w:rsidRDefault="00582BF7" w:rsidP="00F35CFE">
            <w:pPr>
              <w:rPr>
                <w:rFonts w:ascii="HG丸ｺﾞｼｯｸM-PRO" w:eastAsia="HG丸ｺﾞｼｯｸM-PRO" w:hAnsi="HG丸ｺﾞｼｯｸM-PRO"/>
                <w:szCs w:val="21"/>
              </w:rPr>
            </w:pPr>
            <w:r w:rsidRPr="001D6D10">
              <w:rPr>
                <w:rFonts w:ascii="HG丸ｺﾞｼｯｸM-PRO" w:eastAsia="HG丸ｺﾞｼｯｸM-PRO" w:hAnsi="HG丸ｺﾞｼｯｸM-PRO" w:hint="eastAsia"/>
                <w:szCs w:val="21"/>
              </w:rPr>
              <w:t>□公募公債条件決定システムの稼働確認（府債条件決定が予定されて</w:t>
            </w:r>
          </w:p>
          <w:p w14:paraId="6857C2C8" w14:textId="299B2DBB" w:rsidR="00582BF7" w:rsidRPr="001D6D10" w:rsidRDefault="00582BF7" w:rsidP="00BF17F6">
            <w:pPr>
              <w:ind w:firstLineChars="100" w:firstLine="211"/>
              <w:rPr>
                <w:rFonts w:ascii="HG丸ｺﾞｼｯｸM-PRO" w:eastAsia="HG丸ｺﾞｼｯｸM-PRO" w:hAnsi="HG丸ｺﾞｼｯｸM-PRO"/>
                <w:szCs w:val="21"/>
              </w:rPr>
            </w:pPr>
            <w:r w:rsidRPr="001D6D10">
              <w:rPr>
                <w:rFonts w:ascii="HG丸ｺﾞｼｯｸM-PRO" w:eastAsia="HG丸ｺﾞｼｯｸM-PRO" w:hAnsi="HG丸ｺﾞｼｯｸM-PRO" w:hint="eastAsia"/>
                <w:szCs w:val="21"/>
              </w:rPr>
              <w:lastRenderedPageBreak/>
              <w:t>いる場合）【財政課】</w:t>
            </w:r>
          </w:p>
          <w:p w14:paraId="09D865AD" w14:textId="77777777" w:rsidR="00582BF7" w:rsidRPr="001D6D10" w:rsidRDefault="00582BF7" w:rsidP="00F35CFE">
            <w:pPr>
              <w:rPr>
                <w:rFonts w:ascii="HG丸ｺﾞｼｯｸM-PRO" w:eastAsia="HG丸ｺﾞｼｯｸM-PRO" w:hAnsi="HG丸ｺﾞｼｯｸM-PRO"/>
                <w:szCs w:val="21"/>
              </w:rPr>
            </w:pPr>
            <w:r w:rsidRPr="001D6D10">
              <w:rPr>
                <w:rFonts w:ascii="HG丸ｺﾞｼｯｸM-PRO" w:eastAsia="HG丸ｺﾞｼｯｸM-PRO" w:hAnsi="HG丸ｺﾞｼｯｸM-PRO" w:hint="eastAsia"/>
                <w:szCs w:val="21"/>
              </w:rPr>
              <w:t>□資金調達に係るイベント（提案募集、IR）の中止決定【財政課】</w:t>
            </w:r>
          </w:p>
          <w:p w14:paraId="26A52C24" w14:textId="77777777" w:rsidR="00BF17F6" w:rsidRDefault="00582BF7" w:rsidP="00F35CFE">
            <w:pPr>
              <w:rPr>
                <w:rFonts w:ascii="HG丸ｺﾞｼｯｸM-PRO" w:eastAsia="HG丸ｺﾞｼｯｸM-PRO" w:hAnsi="HG丸ｺﾞｼｯｸM-PRO"/>
                <w:szCs w:val="21"/>
              </w:rPr>
            </w:pPr>
            <w:r w:rsidRPr="001D6D10">
              <w:rPr>
                <w:rFonts w:ascii="HG丸ｺﾞｼｯｸM-PRO" w:eastAsia="HG丸ｺﾞｼｯｸM-PRO" w:hAnsi="HG丸ｺﾞｼｯｸM-PRO" w:hint="eastAsia"/>
                <w:szCs w:val="21"/>
              </w:rPr>
              <w:t>□資金調達に係るイベント（証書借入契約）の金融機関との事前対策の</w:t>
            </w:r>
          </w:p>
          <w:p w14:paraId="4DC14A5B" w14:textId="30862E26" w:rsidR="00582BF7" w:rsidRDefault="00582BF7" w:rsidP="00BF17F6">
            <w:pPr>
              <w:ind w:firstLineChars="100" w:firstLine="211"/>
              <w:rPr>
                <w:rFonts w:ascii="HG丸ｺﾞｼｯｸM-PRO" w:eastAsia="HG丸ｺﾞｼｯｸM-PRO" w:hAnsi="HG丸ｺﾞｼｯｸM-PRO"/>
                <w:szCs w:val="21"/>
              </w:rPr>
            </w:pPr>
            <w:r w:rsidRPr="001D6D10">
              <w:rPr>
                <w:rFonts w:ascii="HG丸ｺﾞｼｯｸM-PRO" w:eastAsia="HG丸ｺﾞｼｯｸM-PRO" w:hAnsi="HG丸ｺﾞｼｯｸM-PRO" w:hint="eastAsia"/>
                <w:szCs w:val="21"/>
              </w:rPr>
              <w:t>調整【財政課】</w:t>
            </w:r>
          </w:p>
          <w:p w14:paraId="32951035" w14:textId="77777777" w:rsidR="00BF17F6" w:rsidRPr="00747FDC" w:rsidRDefault="00BF17F6" w:rsidP="00BF17F6">
            <w:pPr>
              <w:rPr>
                <w:rFonts w:ascii="HG丸ｺﾞｼｯｸM-PRO" w:eastAsia="HG丸ｺﾞｼｯｸM-PRO" w:hAnsi="HG丸ｺﾞｼｯｸM-PRO"/>
                <w:szCs w:val="21"/>
              </w:rPr>
            </w:pPr>
            <w:r w:rsidRPr="00747FDC">
              <w:rPr>
                <w:rFonts w:ascii="HG丸ｺﾞｼｯｸM-PRO" w:eastAsia="HG丸ｺﾞｼｯｸM-PRO" w:hAnsi="HG丸ｺﾞｼｯｸM-PRO" w:hint="eastAsia"/>
                <w:szCs w:val="21"/>
              </w:rPr>
              <w:t>□関係機関への気象情報提供・注意喚起【各所属】</w:t>
            </w:r>
          </w:p>
          <w:p w14:paraId="6E3FFAAF" w14:textId="77777777" w:rsidR="00BF17F6" w:rsidRPr="00747FDC" w:rsidRDefault="00BF17F6" w:rsidP="00BF17F6">
            <w:pPr>
              <w:rPr>
                <w:rFonts w:ascii="HG丸ｺﾞｼｯｸM-PRO" w:eastAsia="HG丸ｺﾞｼｯｸM-PRO" w:hAnsi="HG丸ｺﾞｼｯｸM-PRO"/>
                <w:szCs w:val="21"/>
              </w:rPr>
            </w:pPr>
            <w:r w:rsidRPr="00747FDC">
              <w:rPr>
                <w:rFonts w:ascii="HG丸ｺﾞｼｯｸM-PRO" w:eastAsia="HG丸ｺﾞｼｯｸM-PRO" w:hAnsi="HG丸ｺﾞｼｯｸM-PRO" w:hint="eastAsia"/>
                <w:szCs w:val="21"/>
              </w:rPr>
              <w:t>□庁内ネットワーク、所管システム等障害発生時の連絡体制確認</w:t>
            </w:r>
          </w:p>
          <w:p w14:paraId="1B9B8CA2" w14:textId="73110028" w:rsidR="00BF17F6" w:rsidRPr="00747FDC" w:rsidRDefault="00BF17F6" w:rsidP="00BF17F6">
            <w:pPr>
              <w:ind w:firstLineChars="100" w:firstLine="211"/>
              <w:rPr>
                <w:rFonts w:asciiTheme="minorHAnsi" w:eastAsiaTheme="minorEastAsia" w:hAnsiTheme="minorHAnsi"/>
                <w:szCs w:val="22"/>
              </w:rPr>
            </w:pPr>
            <w:r w:rsidRPr="00747FDC">
              <w:rPr>
                <w:rFonts w:ascii="HG丸ｺﾞｼｯｸM-PRO" w:eastAsia="HG丸ｺﾞｼｯｸM-PRO" w:hAnsi="HG丸ｺﾞｼｯｸM-PRO" w:hint="eastAsia"/>
                <w:szCs w:val="21"/>
              </w:rPr>
              <w:t>【行政DX推進課】</w:t>
            </w:r>
          </w:p>
          <w:p w14:paraId="0B4E5ADB" w14:textId="77777777" w:rsidR="008A6E28" w:rsidRPr="001D6D10" w:rsidRDefault="008A6E28" w:rsidP="008A6E28">
            <w:pPr>
              <w:rPr>
                <w:rFonts w:ascii="HG丸ｺﾞｼｯｸM-PRO" w:eastAsia="HG丸ｺﾞｼｯｸM-PRO" w:hAnsi="HG丸ｺﾞｼｯｸM-PRO"/>
                <w:szCs w:val="21"/>
              </w:rPr>
            </w:pPr>
            <w:r w:rsidRPr="001D6D10">
              <w:rPr>
                <w:rFonts w:ascii="HG丸ｺﾞｼｯｸM-PRO" w:eastAsia="HG丸ｺﾞｼｯｸM-PRO" w:hAnsi="HG丸ｺﾞｼｯｸM-PRO" w:hint="eastAsia"/>
                <w:szCs w:val="21"/>
              </w:rPr>
              <w:t>□税務情報システム異常発生時の対応方法の確認【税務局】</w:t>
            </w:r>
          </w:p>
          <w:p w14:paraId="58003635" w14:textId="77777777" w:rsidR="008A6E28" w:rsidRPr="001D6D10" w:rsidRDefault="008A6E28" w:rsidP="008A6E28">
            <w:pPr>
              <w:rPr>
                <w:rFonts w:ascii="HG丸ｺﾞｼｯｸM-PRO" w:eastAsia="HG丸ｺﾞｼｯｸM-PRO" w:hAnsi="HG丸ｺﾞｼｯｸM-PRO"/>
                <w:szCs w:val="21"/>
              </w:rPr>
            </w:pPr>
            <w:r w:rsidRPr="001D6D10">
              <w:rPr>
                <w:rFonts w:ascii="HG丸ｺﾞｼｯｸM-PRO" w:eastAsia="HG丸ｺﾞｼｯｸM-PRO" w:hAnsi="HG丸ｺﾞｼｯｸM-PRO" w:hint="eastAsia"/>
                <w:szCs w:val="21"/>
              </w:rPr>
              <w:t>・システム委託先間の連絡・報告体制の確認</w:t>
            </w:r>
          </w:p>
          <w:p w14:paraId="1B2C875E" w14:textId="045EAF5E" w:rsidR="008A6E28" w:rsidRPr="001D6D10" w:rsidRDefault="008A6E28" w:rsidP="008A6E28">
            <w:pPr>
              <w:rPr>
                <w:rFonts w:ascii="HG丸ｺﾞｼｯｸM-PRO" w:eastAsia="HG丸ｺﾞｼｯｸM-PRO" w:hAnsi="HG丸ｺﾞｼｯｸM-PRO"/>
                <w:szCs w:val="21"/>
              </w:rPr>
            </w:pPr>
            <w:r w:rsidRPr="001D6D10">
              <w:rPr>
                <w:rFonts w:ascii="HG丸ｺﾞｼｯｸM-PRO" w:eastAsia="HG丸ｺﾞｼｯｸM-PRO" w:hAnsi="HG丸ｺﾞｼｯｸM-PRO" w:hint="eastAsia"/>
                <w:szCs w:val="21"/>
              </w:rPr>
              <w:t>・</w:t>
            </w:r>
            <w:r w:rsidR="00735E95" w:rsidRPr="001D6D10">
              <w:rPr>
                <w:rFonts w:ascii="HG丸ｺﾞｼｯｸM-PRO" w:eastAsia="HG丸ｺﾞｼｯｸM-PRO" w:hAnsi="HG丸ｺﾞｼｯｸM-PRO" w:hint="eastAsia"/>
                <w:szCs w:val="21"/>
              </w:rPr>
              <w:t>税務局・</w:t>
            </w:r>
            <w:r w:rsidRPr="001D6D10">
              <w:rPr>
                <w:rFonts w:ascii="HG丸ｺﾞｼｯｸM-PRO" w:eastAsia="HG丸ｺﾞｼｯｸM-PRO" w:hAnsi="HG丸ｺﾞｼｯｸM-PRO" w:hint="eastAsia"/>
                <w:szCs w:val="21"/>
              </w:rPr>
              <w:t>事務所間の連絡・報告体制の確認</w:t>
            </w:r>
          </w:p>
          <w:p w14:paraId="1651DB25" w14:textId="77777777" w:rsidR="008A6E28" w:rsidRPr="001D6D10" w:rsidRDefault="008A6E28" w:rsidP="008A6E28">
            <w:pPr>
              <w:rPr>
                <w:rFonts w:ascii="HG丸ｺﾞｼｯｸM-PRO" w:eastAsia="HG丸ｺﾞｼｯｸM-PRO" w:hAnsi="HG丸ｺﾞｼｯｸM-PRO"/>
                <w:szCs w:val="21"/>
              </w:rPr>
            </w:pPr>
            <w:r w:rsidRPr="001D6D10">
              <w:rPr>
                <w:rFonts w:ascii="HG丸ｺﾞｼｯｸM-PRO" w:eastAsia="HG丸ｺﾞｼｯｸM-PRO" w:hAnsi="HG丸ｺﾞｼｯｸM-PRO" w:hint="eastAsia"/>
                <w:szCs w:val="21"/>
              </w:rPr>
              <w:t>・税務情報ネットワーク停止時の対応方法の確認</w:t>
            </w:r>
          </w:p>
          <w:p w14:paraId="5D50E48B" w14:textId="77777777" w:rsidR="008A6E28" w:rsidRPr="001D6D10" w:rsidRDefault="008A6E28" w:rsidP="008A6E28">
            <w:pPr>
              <w:rPr>
                <w:rFonts w:ascii="HG丸ｺﾞｼｯｸM-PRO" w:eastAsia="HG丸ｺﾞｼｯｸM-PRO" w:hAnsi="HG丸ｺﾞｼｯｸM-PRO"/>
                <w:szCs w:val="21"/>
              </w:rPr>
            </w:pPr>
            <w:r w:rsidRPr="001D6D10">
              <w:rPr>
                <w:rFonts w:ascii="HG丸ｺﾞｼｯｸM-PRO" w:eastAsia="HG丸ｺﾞｼｯｸM-PRO" w:hAnsi="HG丸ｺﾞｼｯｸM-PRO" w:hint="eastAsia"/>
                <w:szCs w:val="21"/>
              </w:rPr>
              <w:t>・自家発電機のない事務所における停電時の対応方法の確認</w:t>
            </w:r>
          </w:p>
        </w:tc>
      </w:tr>
    </w:tbl>
    <w:p w14:paraId="38F267FF" w14:textId="77777777" w:rsidR="00BF17F6" w:rsidRPr="00747FDC" w:rsidRDefault="00BF17F6" w:rsidP="00BF17F6">
      <w:pPr>
        <w:rPr>
          <w:rFonts w:ascii="HG丸ｺﾞｼｯｸM-PRO" w:eastAsia="HG丸ｺﾞｼｯｸM-PRO" w:hAnsi="HG丸ｺﾞｼｯｸM-PRO"/>
          <w:szCs w:val="21"/>
        </w:rPr>
      </w:pPr>
      <w:r w:rsidRPr="001D6D10">
        <w:rPr>
          <w:rFonts w:ascii="HG丸ｺﾞｼｯｸM-PRO" w:eastAsia="HG丸ｺﾞｼｯｸM-PRO" w:hAnsi="HG丸ｺﾞｼｯｸM-PRO" w:hint="eastAsia"/>
          <w:szCs w:val="21"/>
        </w:rPr>
        <w:lastRenderedPageBreak/>
        <w:t>※主な所管施設：なにわ北府税事務所、</w:t>
      </w:r>
      <w:r w:rsidRPr="00747FDC">
        <w:rPr>
          <w:rFonts w:ascii="HG丸ｺﾞｼｯｸM-PRO" w:eastAsia="HG丸ｺﾞｼｯｸM-PRO" w:hAnsi="HG丸ｺﾞｼｯｸM-PRO" w:hint="eastAsia"/>
          <w:szCs w:val="21"/>
        </w:rPr>
        <w:t>夕陽丘庁舎、三島府民センタービル、</w:t>
      </w:r>
    </w:p>
    <w:p w14:paraId="468C7050" w14:textId="77777777" w:rsidR="00BF17F6" w:rsidRPr="00747FDC" w:rsidRDefault="00BF17F6" w:rsidP="00BF17F6">
      <w:pPr>
        <w:ind w:firstLineChars="800" w:firstLine="1689"/>
        <w:rPr>
          <w:rFonts w:ascii="HG丸ｺﾞｼｯｸM-PRO" w:eastAsia="HG丸ｺﾞｼｯｸM-PRO" w:hAnsi="HG丸ｺﾞｼｯｸM-PRO"/>
          <w:szCs w:val="21"/>
        </w:rPr>
      </w:pPr>
      <w:r w:rsidRPr="00747FDC">
        <w:rPr>
          <w:rFonts w:ascii="HG丸ｺﾞｼｯｸM-PRO" w:eastAsia="HG丸ｺﾞｼｯｸM-PRO" w:hAnsi="HG丸ｺﾞｼｯｸM-PRO" w:hint="eastAsia"/>
          <w:szCs w:val="21"/>
        </w:rPr>
        <w:t>豊能府税事務所、泉北府税事務所、泉南府民センタービル、</w:t>
      </w:r>
    </w:p>
    <w:p w14:paraId="14BD7C44" w14:textId="77777777" w:rsidR="00BF17F6" w:rsidRDefault="00BF17F6" w:rsidP="00BF17F6">
      <w:pPr>
        <w:ind w:firstLineChars="800" w:firstLine="1689"/>
        <w:rPr>
          <w:rFonts w:ascii="HG丸ｺﾞｼｯｸM-PRO" w:eastAsia="HG丸ｺﾞｼｯｸM-PRO" w:hAnsi="HG丸ｺﾞｼｯｸM-PRO"/>
          <w:szCs w:val="21"/>
        </w:rPr>
      </w:pPr>
      <w:r w:rsidRPr="00747FDC">
        <w:rPr>
          <w:rFonts w:ascii="HG丸ｺﾞｼｯｸM-PRO" w:eastAsia="HG丸ｺﾞｼｯｸM-PRO" w:hAnsi="HG丸ｺﾞｼｯｸM-PRO" w:hint="eastAsia"/>
          <w:szCs w:val="21"/>
        </w:rPr>
        <w:t>南河内府民センタービル、中河内府税事務所、北河内府民センター</w:t>
      </w:r>
      <w:r>
        <w:rPr>
          <w:rFonts w:ascii="HG丸ｺﾞｼｯｸM-PRO" w:eastAsia="HG丸ｺﾞｼｯｸM-PRO" w:hAnsi="HG丸ｺﾞｼｯｸM-PRO" w:hint="eastAsia"/>
          <w:szCs w:val="21"/>
        </w:rPr>
        <w:t>、</w:t>
      </w:r>
    </w:p>
    <w:p w14:paraId="4454EFF4" w14:textId="77777777" w:rsidR="00BF17F6" w:rsidRPr="001D6D10" w:rsidRDefault="00BF17F6" w:rsidP="00BF17F6">
      <w:pPr>
        <w:ind w:firstLineChars="800" w:firstLine="1689"/>
        <w:rPr>
          <w:rFonts w:ascii="HG丸ｺﾞｼｯｸM-PRO" w:eastAsia="HG丸ｺﾞｼｯｸM-PRO" w:hAnsi="HG丸ｺﾞｼｯｸM-PRO"/>
          <w:szCs w:val="21"/>
        </w:rPr>
      </w:pPr>
      <w:r w:rsidRPr="001D6D10">
        <w:rPr>
          <w:rFonts w:ascii="HG丸ｺﾞｼｯｸM-PRO" w:eastAsia="HG丸ｺﾞｼｯｸM-PRO" w:hAnsi="HG丸ｺﾞｼｯｸM-PRO" w:hint="eastAsia"/>
          <w:szCs w:val="21"/>
        </w:rPr>
        <w:t>大阪自動車税事務所和泉分室、大阪自動車税事務所なにわ分室</w:t>
      </w:r>
    </w:p>
    <w:p w14:paraId="098646C6" w14:textId="77777777" w:rsidR="00BF17F6" w:rsidRDefault="00BF17F6" w:rsidP="00BF17F6">
      <w:pPr>
        <w:rPr>
          <w:rFonts w:ascii="HG丸ｺﾞｼｯｸM-PRO" w:eastAsia="HG丸ｺﾞｼｯｸM-PRO" w:hAnsi="HG丸ｺﾞｼｯｸM-PRO"/>
          <w:szCs w:val="21"/>
        </w:rPr>
      </w:pPr>
      <w:r w:rsidRPr="001D6D10">
        <w:rPr>
          <w:rFonts w:ascii="HG丸ｺﾞｼｯｸM-PRO" w:eastAsia="HG丸ｺﾞｼｯｸM-PRO" w:hAnsi="HG丸ｺﾞｼｯｸM-PRO" w:hint="eastAsia"/>
          <w:szCs w:val="21"/>
        </w:rPr>
        <w:t xml:space="preserve">　　　関係機関：金融機関【財政課】、</w:t>
      </w:r>
      <w:r w:rsidRPr="00747FDC">
        <w:rPr>
          <w:rFonts w:ascii="HG丸ｺﾞｼｯｸM-PRO" w:eastAsia="HG丸ｺﾞｼｯｸM-PRO" w:hAnsi="HG丸ｺﾞｼｯｸM-PRO" w:hint="eastAsia"/>
          <w:kern w:val="0"/>
          <w:szCs w:val="21"/>
        </w:rPr>
        <w:t>運用管理事業者【行政DX推進課】</w:t>
      </w:r>
    </w:p>
    <w:p w14:paraId="7F55D951" w14:textId="77777777" w:rsidR="00BF17F6" w:rsidRPr="001D6D10" w:rsidRDefault="00BF17F6" w:rsidP="00BF17F6">
      <w:pPr>
        <w:ind w:firstLineChars="800" w:firstLine="1689"/>
        <w:rPr>
          <w:rFonts w:ascii="HG丸ｺﾞｼｯｸM-PRO" w:eastAsia="HG丸ｺﾞｼｯｸM-PRO" w:hAnsi="HG丸ｺﾞｼｯｸM-PRO"/>
          <w:szCs w:val="21"/>
        </w:rPr>
      </w:pPr>
      <w:r w:rsidRPr="001D6D10">
        <w:rPr>
          <w:rFonts w:ascii="HG丸ｺﾞｼｯｸM-PRO" w:eastAsia="HG丸ｺﾞｼｯｸM-PRO" w:hAnsi="HG丸ｺﾞｼｯｸM-PRO" w:hint="eastAsia"/>
          <w:szCs w:val="21"/>
        </w:rPr>
        <w:t>各システム会社【財政課、税務局】</w:t>
      </w:r>
      <w:r>
        <w:rPr>
          <w:rFonts w:ascii="HG丸ｺﾞｼｯｸM-PRO" w:eastAsia="HG丸ｺﾞｼｯｸM-PRO" w:hAnsi="HG丸ｺﾞｼｯｸM-PRO" w:hint="eastAsia"/>
          <w:szCs w:val="21"/>
        </w:rPr>
        <w:t>、</w:t>
      </w:r>
      <w:r w:rsidRPr="001D6D10">
        <w:rPr>
          <w:rFonts w:ascii="HG丸ｺﾞｼｯｸM-PRO" w:eastAsia="HG丸ｺﾞｼｯｸM-PRO" w:hAnsi="HG丸ｺﾞｼｯｸM-PRO" w:hint="eastAsia"/>
          <w:szCs w:val="21"/>
        </w:rPr>
        <w:t>委託事業者【税務局・各事務所】</w:t>
      </w:r>
    </w:p>
    <w:p w14:paraId="1B7EEBE5" w14:textId="77777777" w:rsidR="00BF17F6" w:rsidRDefault="00BF17F6" w:rsidP="00BF17F6">
      <w:pPr>
        <w:rPr>
          <w:rFonts w:ascii="HG丸ｺﾞｼｯｸM-PRO" w:eastAsia="HG丸ｺﾞｼｯｸM-PRO" w:hAnsi="HG丸ｺﾞｼｯｸM-PRO"/>
          <w:szCs w:val="21"/>
        </w:rPr>
      </w:pPr>
      <w:r w:rsidRPr="001D6D10">
        <w:rPr>
          <w:rFonts w:ascii="HG丸ｺﾞｼｯｸM-PRO" w:eastAsia="HG丸ｺﾞｼｯｸM-PRO" w:hAnsi="HG丸ｺﾞｼｯｸM-PRO" w:hint="eastAsia"/>
          <w:szCs w:val="21"/>
        </w:rPr>
        <w:t xml:space="preserve">　　　システム：公募公債条件決定システム【財政課】、</w:t>
      </w:r>
    </w:p>
    <w:p w14:paraId="6F2C6038" w14:textId="77777777" w:rsidR="00BF17F6" w:rsidRPr="001D6D10" w:rsidRDefault="00BF17F6" w:rsidP="00BF17F6">
      <w:pPr>
        <w:ind w:firstLineChars="800" w:firstLine="1689"/>
        <w:rPr>
          <w:rFonts w:ascii="ＭＳ ゴシック" w:eastAsia="ＭＳ ゴシック" w:hAnsi="ＭＳ ゴシック"/>
          <w:b/>
          <w:sz w:val="22"/>
          <w:szCs w:val="22"/>
          <w:u w:val="double"/>
        </w:rPr>
      </w:pPr>
      <w:r w:rsidRPr="00747FDC">
        <w:rPr>
          <w:rFonts w:ascii="HG丸ｺﾞｼｯｸM-PRO" w:eastAsia="HG丸ｺﾞｼｯｸM-PRO" w:hAnsi="HG丸ｺﾞｼｯｸM-PRO" w:hint="eastAsia"/>
          <w:kern w:val="0"/>
          <w:szCs w:val="21"/>
        </w:rPr>
        <w:t>庁内情報基盤システム【行政DX推進課】、</w:t>
      </w:r>
      <w:r w:rsidRPr="001D6D10">
        <w:rPr>
          <w:rFonts w:ascii="HG丸ｺﾞｼｯｸM-PRO" w:eastAsia="HG丸ｺﾞｼｯｸM-PRO" w:hAnsi="HG丸ｺﾞｼｯｸM-PRO" w:hint="eastAsia"/>
          <w:szCs w:val="21"/>
        </w:rPr>
        <w:t>税務情報システム【税務局】</w:t>
      </w:r>
    </w:p>
    <w:p w14:paraId="14742EBF" w14:textId="77777777" w:rsidR="00BF17F6" w:rsidRPr="001D6D10" w:rsidRDefault="00BF17F6" w:rsidP="00BF17F6">
      <w:pPr>
        <w:rPr>
          <w:rFonts w:ascii="ＭＳ ゴシック" w:eastAsia="ＭＳ ゴシック" w:hAnsi="ＭＳ ゴシック"/>
          <w:sz w:val="18"/>
          <w:szCs w:val="22"/>
        </w:rPr>
      </w:pPr>
      <w:r w:rsidRPr="001D6D10">
        <w:rPr>
          <w:rFonts w:ascii="ＭＳ ゴシック" w:eastAsia="ＭＳ ゴシック" w:hAnsi="ＭＳ ゴシック" w:hint="eastAsia"/>
          <w:sz w:val="18"/>
          <w:szCs w:val="22"/>
        </w:rPr>
        <w:t>※）本タイムラインから状況に応じて必要な項目を選定し、実施するものとする。</w:t>
      </w:r>
    </w:p>
    <w:p w14:paraId="51E48BA9" w14:textId="77777777" w:rsidR="0067710C" w:rsidRDefault="0067710C">
      <w:pPr>
        <w:widowControl/>
        <w:jc w:val="left"/>
        <w:rPr>
          <w:rFonts w:ascii="ＭＳ ゴシック" w:eastAsia="ＭＳ ゴシック" w:hAnsi="ＭＳ ゴシック"/>
          <w:sz w:val="22"/>
          <w:szCs w:val="22"/>
        </w:rPr>
      </w:pPr>
      <w:r>
        <w:rPr>
          <w:rFonts w:ascii="ＭＳ ゴシック" w:eastAsia="ＭＳ ゴシック" w:hAnsi="ＭＳ ゴシック"/>
          <w:sz w:val="22"/>
          <w:szCs w:val="22"/>
        </w:rPr>
        <w:br w:type="page"/>
      </w:r>
    </w:p>
    <w:p w14:paraId="22B55E4F" w14:textId="756229A5" w:rsidR="00582BF7" w:rsidRPr="001D6D10" w:rsidRDefault="00582BF7" w:rsidP="00582BF7">
      <w:pPr>
        <w:rPr>
          <w:rFonts w:ascii="ＭＳ ゴシック" w:eastAsia="ＭＳ ゴシック" w:hAnsi="ＭＳ ゴシック"/>
          <w:sz w:val="22"/>
          <w:szCs w:val="22"/>
        </w:rPr>
      </w:pPr>
      <w:r w:rsidRPr="001D6D10">
        <w:rPr>
          <w:rFonts w:ascii="ＭＳ ゴシック" w:eastAsia="ＭＳ ゴシック" w:hAnsi="ＭＳ ゴシック" w:hint="eastAsia"/>
          <w:sz w:val="22"/>
          <w:szCs w:val="22"/>
        </w:rPr>
        <w:lastRenderedPageBreak/>
        <w:t>⑤スマートシティ戦略部</w:t>
      </w:r>
    </w:p>
    <w:tbl>
      <w:tblPr>
        <w:tblpPr w:leftFromText="142" w:rightFromText="142" w:vertAnchor="text" w:tblpXSpec="center" w:tblpY="1"/>
        <w:tblOverlap w:val="neve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57"/>
        <w:gridCol w:w="7037"/>
      </w:tblGrid>
      <w:tr w:rsidR="001D6D10" w:rsidRPr="001D6D10" w14:paraId="5E572158" w14:textId="77777777" w:rsidTr="00F35CFE">
        <w:trPr>
          <w:jc w:val="center"/>
        </w:trPr>
        <w:tc>
          <w:tcPr>
            <w:tcW w:w="1457" w:type="dxa"/>
            <w:tcBorders>
              <w:bottom w:val="single" w:sz="4" w:space="0" w:color="auto"/>
            </w:tcBorders>
            <w:shd w:val="clear" w:color="auto" w:fill="BFBFBF"/>
          </w:tcPr>
          <w:p w14:paraId="22EFB173" w14:textId="77777777" w:rsidR="00582BF7" w:rsidRPr="001D6D10" w:rsidRDefault="00582BF7" w:rsidP="00F35CFE">
            <w:pPr>
              <w:jc w:val="center"/>
              <w:rPr>
                <w:rFonts w:ascii="HG丸ｺﾞｼｯｸM-PRO" w:eastAsia="HG丸ｺﾞｼｯｸM-PRO" w:hAnsi="HG丸ｺﾞｼｯｸM-PRO"/>
                <w:szCs w:val="21"/>
              </w:rPr>
            </w:pPr>
            <w:r w:rsidRPr="001D6D10">
              <w:rPr>
                <w:rFonts w:ascii="HG丸ｺﾞｼｯｸM-PRO" w:eastAsia="HG丸ｺﾞｼｯｸM-PRO" w:hAnsi="HG丸ｺﾞｼｯｸM-PRO" w:hint="eastAsia"/>
                <w:szCs w:val="21"/>
              </w:rPr>
              <w:t>時　期</w:t>
            </w:r>
          </w:p>
        </w:tc>
        <w:tc>
          <w:tcPr>
            <w:tcW w:w="7037" w:type="dxa"/>
            <w:tcBorders>
              <w:bottom w:val="single" w:sz="4" w:space="0" w:color="auto"/>
            </w:tcBorders>
            <w:shd w:val="clear" w:color="auto" w:fill="BFBFBF"/>
          </w:tcPr>
          <w:p w14:paraId="60775DD2" w14:textId="77777777" w:rsidR="00582BF7" w:rsidRPr="001D6D10" w:rsidRDefault="00E31DA1" w:rsidP="00F35CFE">
            <w:pPr>
              <w:jc w:val="center"/>
              <w:rPr>
                <w:rFonts w:ascii="HG丸ｺﾞｼｯｸM-PRO" w:eastAsia="HG丸ｺﾞｼｯｸM-PRO" w:hAnsi="HG丸ｺﾞｼｯｸM-PRO"/>
                <w:szCs w:val="21"/>
              </w:rPr>
            </w:pPr>
            <w:r w:rsidRPr="001D6D10">
              <w:rPr>
                <w:rFonts w:ascii="HG丸ｺﾞｼｯｸM-PRO" w:eastAsia="HG丸ｺﾞｼｯｸM-PRO" w:hAnsi="HG丸ｺﾞｼｯｸM-PRO" w:hint="eastAsia"/>
                <w:szCs w:val="21"/>
              </w:rPr>
              <w:t>主な事前準備</w:t>
            </w:r>
            <w:r w:rsidR="00582BF7" w:rsidRPr="001D6D10">
              <w:rPr>
                <w:rFonts w:ascii="HG丸ｺﾞｼｯｸM-PRO" w:eastAsia="HG丸ｺﾞｼｯｸM-PRO" w:hAnsi="HG丸ｺﾞｼｯｸM-PRO" w:hint="eastAsia"/>
                <w:szCs w:val="21"/>
              </w:rPr>
              <w:t>業務</w:t>
            </w:r>
          </w:p>
        </w:tc>
      </w:tr>
      <w:tr w:rsidR="001D6D10" w:rsidRPr="001D6D10" w14:paraId="49778FBB" w14:textId="77777777" w:rsidTr="00F35CFE">
        <w:trPr>
          <w:jc w:val="center"/>
        </w:trPr>
        <w:tc>
          <w:tcPr>
            <w:tcW w:w="1457" w:type="dxa"/>
            <w:vMerge w:val="restart"/>
            <w:shd w:val="clear" w:color="auto" w:fill="FFFFFF" w:themeFill="background1"/>
          </w:tcPr>
          <w:p w14:paraId="4FA727ED" w14:textId="77777777" w:rsidR="002B3D2C" w:rsidRPr="001D6D10" w:rsidRDefault="002B3D2C" w:rsidP="00F35CFE">
            <w:pPr>
              <w:jc w:val="center"/>
              <w:rPr>
                <w:rFonts w:ascii="HG丸ｺﾞｼｯｸM-PRO" w:eastAsia="HG丸ｺﾞｼｯｸM-PRO" w:hAnsi="HG丸ｺﾞｼｯｸM-PRO"/>
                <w:szCs w:val="21"/>
              </w:rPr>
            </w:pPr>
          </w:p>
          <w:p w14:paraId="5AB38BB5" w14:textId="77777777" w:rsidR="002B3D2C" w:rsidRPr="001D6D10" w:rsidRDefault="002B3D2C" w:rsidP="00F35CFE">
            <w:pPr>
              <w:jc w:val="center"/>
              <w:rPr>
                <w:rFonts w:ascii="HG丸ｺﾞｼｯｸM-PRO" w:eastAsia="HG丸ｺﾞｼｯｸM-PRO" w:hAnsi="HG丸ｺﾞｼｯｸM-PRO"/>
                <w:szCs w:val="21"/>
              </w:rPr>
            </w:pPr>
          </w:p>
          <w:p w14:paraId="35038C13" w14:textId="77777777" w:rsidR="002B3D2C" w:rsidRPr="001D6D10" w:rsidRDefault="002B3D2C" w:rsidP="00F35CFE">
            <w:pPr>
              <w:jc w:val="center"/>
              <w:rPr>
                <w:rFonts w:ascii="HG丸ｺﾞｼｯｸM-PRO" w:eastAsia="HG丸ｺﾞｼｯｸM-PRO" w:hAnsi="HG丸ｺﾞｼｯｸM-PRO"/>
                <w:szCs w:val="21"/>
              </w:rPr>
            </w:pPr>
          </w:p>
          <w:p w14:paraId="64218F44" w14:textId="22315EBC" w:rsidR="00582BF7" w:rsidRPr="001D6D10" w:rsidRDefault="00582BF7" w:rsidP="00F35CFE">
            <w:pPr>
              <w:jc w:val="center"/>
              <w:rPr>
                <w:rFonts w:ascii="HG丸ｺﾞｼｯｸM-PRO" w:eastAsia="HG丸ｺﾞｼｯｸM-PRO" w:hAnsi="HG丸ｺﾞｼｯｸM-PRO"/>
                <w:szCs w:val="21"/>
              </w:rPr>
            </w:pPr>
            <w:r w:rsidRPr="001D6D10">
              <w:rPr>
                <w:rFonts w:ascii="HG丸ｺﾞｼｯｸM-PRO" w:eastAsia="HG丸ｺﾞｼｯｸM-PRO" w:hAnsi="HG丸ｺﾞｼｯｸM-PRO" w:hint="eastAsia"/>
                <w:szCs w:val="21"/>
              </w:rPr>
              <w:t>～48ｈ</w:t>
            </w:r>
            <w:r w:rsidR="0053084D" w:rsidRPr="001D6D10">
              <w:rPr>
                <w:rFonts w:ascii="HG丸ｺﾞｼｯｸM-PRO" w:eastAsia="HG丸ｺﾞｼｯｸM-PRO" w:hAnsi="HG丸ｺﾞｼｯｸM-PRO" w:hint="eastAsia"/>
                <w:szCs w:val="21"/>
              </w:rPr>
              <w:t>前</w:t>
            </w:r>
          </w:p>
          <w:p w14:paraId="7681FFC9" w14:textId="77777777" w:rsidR="00582BF7" w:rsidRPr="001D6D10" w:rsidRDefault="00582BF7" w:rsidP="00F35CFE">
            <w:pPr>
              <w:jc w:val="center"/>
              <w:rPr>
                <w:rFonts w:ascii="HG丸ｺﾞｼｯｸM-PRO" w:eastAsia="HG丸ｺﾞｼｯｸM-PRO" w:hAnsi="HG丸ｺﾞｼｯｸM-PRO"/>
                <w:sz w:val="20"/>
                <w:szCs w:val="20"/>
              </w:rPr>
            </w:pPr>
            <w:r w:rsidRPr="001D6D10">
              <w:rPr>
                <w:rFonts w:ascii="HG丸ｺﾞｼｯｸM-PRO" w:eastAsia="HG丸ｺﾞｼｯｸM-PRO" w:hAnsi="HG丸ｺﾞｼｯｸM-PRO" w:hint="eastAsia"/>
                <w:sz w:val="20"/>
                <w:szCs w:val="20"/>
              </w:rPr>
              <w:t>（３日以前）</w:t>
            </w:r>
          </w:p>
        </w:tc>
        <w:tc>
          <w:tcPr>
            <w:tcW w:w="7037" w:type="dxa"/>
            <w:tcBorders>
              <w:bottom w:val="single" w:sz="4" w:space="0" w:color="auto"/>
            </w:tcBorders>
            <w:shd w:val="clear" w:color="auto" w:fill="FFFFFF" w:themeFill="background1"/>
          </w:tcPr>
          <w:p w14:paraId="743ECB49" w14:textId="77777777" w:rsidR="00582BF7" w:rsidRPr="001D6D10" w:rsidRDefault="00B90745" w:rsidP="00B90745">
            <w:pPr>
              <w:rPr>
                <w:rFonts w:ascii="HG丸ｺﾞｼｯｸM-PRO" w:eastAsia="HG丸ｺﾞｼｯｸM-PRO" w:hAnsi="HG丸ｺﾞｼｯｸM-PRO"/>
                <w:szCs w:val="21"/>
              </w:rPr>
            </w:pPr>
            <w:r w:rsidRPr="001D6D10">
              <w:rPr>
                <w:rFonts w:ascii="HG丸ｺﾞｼｯｸM-PRO" w:eastAsia="HG丸ｺﾞｼｯｸM-PRO" w:hAnsi="HG丸ｺﾞｼｯｸM-PRO" w:hint="eastAsia"/>
                <w:szCs w:val="21"/>
              </w:rPr>
              <w:t>□危機管理室からの情報を部内で共有【スマートシティ戦略総務課】</w:t>
            </w:r>
          </w:p>
          <w:p w14:paraId="2809A6BB" w14:textId="77777777" w:rsidR="00BB7E00" w:rsidRPr="001D6D10" w:rsidRDefault="00BB7E00" w:rsidP="00BB7E00">
            <w:pPr>
              <w:rPr>
                <w:rFonts w:ascii="HG丸ｺﾞｼｯｸM-PRO" w:eastAsia="HG丸ｺﾞｼｯｸM-PRO" w:hAnsi="HG丸ｺﾞｼｯｸM-PRO"/>
                <w:szCs w:val="21"/>
              </w:rPr>
            </w:pPr>
            <w:r w:rsidRPr="001D6D10">
              <w:rPr>
                <w:rFonts w:ascii="HG丸ｺﾞｼｯｸM-PRO" w:eastAsia="HG丸ｺﾞｼｯｸM-PRO" w:hAnsi="HG丸ｺﾞｼｯｸM-PRO" w:hint="eastAsia"/>
                <w:szCs w:val="21"/>
              </w:rPr>
              <w:t>□連絡体制の確認</w:t>
            </w:r>
            <w:r w:rsidR="00C34453" w:rsidRPr="001D6D10">
              <w:rPr>
                <w:rFonts w:ascii="HG丸ｺﾞｼｯｸM-PRO" w:eastAsia="HG丸ｺﾞｼｯｸM-PRO" w:hAnsi="HG丸ｺﾞｼｯｸM-PRO" w:hint="eastAsia"/>
                <w:szCs w:val="21"/>
              </w:rPr>
              <w:t>【各所属】</w:t>
            </w:r>
          </w:p>
          <w:p w14:paraId="154E2D7A" w14:textId="77777777" w:rsidR="00582BF7" w:rsidRPr="001D6D10" w:rsidRDefault="003B7241" w:rsidP="00F35CFE">
            <w:pPr>
              <w:rPr>
                <w:rFonts w:ascii="HG丸ｺﾞｼｯｸM-PRO" w:eastAsia="HG丸ｺﾞｼｯｸM-PRO" w:hAnsi="HG丸ｺﾞｼｯｸM-PRO"/>
                <w:szCs w:val="21"/>
              </w:rPr>
            </w:pPr>
            <w:r w:rsidRPr="001D6D10">
              <w:rPr>
                <w:rFonts w:ascii="HG丸ｺﾞｼｯｸM-PRO" w:eastAsia="HG丸ｺﾞｼｯｸM-PRO" w:hAnsi="HG丸ｺﾞｼｯｸM-PRO" w:hint="eastAsia"/>
                <w:szCs w:val="21"/>
              </w:rPr>
              <w:t>□災害対応に関するマニュアル等の確認</w:t>
            </w:r>
            <w:r w:rsidR="00C34453" w:rsidRPr="001D6D10">
              <w:rPr>
                <w:rFonts w:ascii="HG丸ｺﾞｼｯｸM-PRO" w:eastAsia="HG丸ｺﾞｼｯｸM-PRO" w:hAnsi="HG丸ｺﾞｼｯｸM-PRO" w:hint="eastAsia"/>
                <w:szCs w:val="21"/>
              </w:rPr>
              <w:t>【各所属】</w:t>
            </w:r>
          </w:p>
          <w:p w14:paraId="7333571E" w14:textId="77777777" w:rsidR="008D31A3" w:rsidRPr="001D6D10" w:rsidRDefault="008D31A3" w:rsidP="008D31A3">
            <w:pPr>
              <w:rPr>
                <w:rFonts w:ascii="HG丸ｺﾞｼｯｸM-PRO" w:eastAsia="HG丸ｺﾞｼｯｸM-PRO" w:hAnsi="HG丸ｺﾞｼｯｸM-PRO"/>
                <w:szCs w:val="21"/>
              </w:rPr>
            </w:pPr>
            <w:r w:rsidRPr="001D6D10">
              <w:rPr>
                <w:rFonts w:ascii="HG丸ｺﾞｼｯｸM-PRO" w:eastAsia="HG丸ｺﾞｼｯｸM-PRO" w:hAnsi="HG丸ｺﾞｼｯｸM-PRO" w:hint="eastAsia"/>
                <w:szCs w:val="21"/>
              </w:rPr>
              <w:t>□指令部会議の事前準備</w:t>
            </w:r>
          </w:p>
          <w:p w14:paraId="13A203C6" w14:textId="77777777" w:rsidR="008D31A3" w:rsidRPr="001D6D10" w:rsidRDefault="008D31A3" w:rsidP="008D31A3">
            <w:pPr>
              <w:rPr>
                <w:rFonts w:ascii="HG丸ｺﾞｼｯｸM-PRO" w:eastAsia="HG丸ｺﾞｼｯｸM-PRO" w:hAnsi="HG丸ｺﾞｼｯｸM-PRO"/>
                <w:szCs w:val="21"/>
                <w:u w:val="single"/>
              </w:rPr>
            </w:pPr>
            <w:r w:rsidRPr="001D6D10">
              <w:rPr>
                <w:rFonts w:ascii="HG丸ｺﾞｼｯｸM-PRO" w:eastAsia="HG丸ｺﾞｼｯｸM-PRO" w:hAnsi="HG丸ｺﾞｼｯｸM-PRO" w:hint="eastAsia"/>
                <w:szCs w:val="21"/>
              </w:rPr>
              <w:t xml:space="preserve">　</w:t>
            </w:r>
            <w:r w:rsidR="005B33EE" w:rsidRPr="001D6D10">
              <w:rPr>
                <w:rFonts w:ascii="HG丸ｺﾞｼｯｸM-PRO" w:eastAsia="HG丸ｺﾞｼｯｸM-PRO" w:hAnsi="HG丸ｺﾞｼｯｸM-PRO" w:hint="eastAsia"/>
                <w:szCs w:val="21"/>
              </w:rPr>
              <w:t>・イベントの有無確認（府主催、共催）</w:t>
            </w:r>
            <w:r w:rsidRPr="001D6D10">
              <w:rPr>
                <w:rFonts w:ascii="HG丸ｺﾞｼｯｸM-PRO" w:eastAsia="HG丸ｺﾞｼｯｸM-PRO" w:hAnsi="HG丸ｺﾞｼｯｸM-PRO" w:hint="eastAsia"/>
                <w:szCs w:val="21"/>
              </w:rPr>
              <w:t>【各所属】</w:t>
            </w:r>
          </w:p>
        </w:tc>
      </w:tr>
      <w:tr w:rsidR="001D6D10" w:rsidRPr="001D6D10" w14:paraId="6C7DB02A" w14:textId="77777777" w:rsidTr="00F35CFE">
        <w:trPr>
          <w:jc w:val="center"/>
        </w:trPr>
        <w:tc>
          <w:tcPr>
            <w:tcW w:w="1457" w:type="dxa"/>
            <w:vMerge/>
          </w:tcPr>
          <w:p w14:paraId="0AD1D9BF" w14:textId="77777777" w:rsidR="00582BF7" w:rsidRPr="001D6D10" w:rsidRDefault="00582BF7" w:rsidP="00F35CFE">
            <w:pPr>
              <w:rPr>
                <w:rFonts w:ascii="HG丸ｺﾞｼｯｸM-PRO" w:eastAsia="HG丸ｺﾞｼｯｸM-PRO" w:hAnsi="HG丸ｺﾞｼｯｸM-PRO"/>
                <w:szCs w:val="21"/>
              </w:rPr>
            </w:pPr>
          </w:p>
        </w:tc>
        <w:tc>
          <w:tcPr>
            <w:tcW w:w="7037" w:type="dxa"/>
          </w:tcPr>
          <w:p w14:paraId="2F9B1B93" w14:textId="77777777" w:rsidR="00582BF7" w:rsidRPr="001D6D10" w:rsidRDefault="00582BF7" w:rsidP="00F35CFE">
            <w:pPr>
              <w:rPr>
                <w:rFonts w:ascii="HG丸ｺﾞｼｯｸM-PRO" w:eastAsia="HG丸ｺﾞｼｯｸM-PRO" w:hAnsi="HG丸ｺﾞｼｯｸM-PRO"/>
                <w:szCs w:val="21"/>
              </w:rPr>
            </w:pPr>
            <w:r w:rsidRPr="001D6D10">
              <w:rPr>
                <w:rFonts w:ascii="HG丸ｺﾞｼｯｸM-PRO" w:eastAsia="HG丸ｺﾞｼｯｸM-PRO" w:hAnsi="HG丸ｺﾞｼｯｸM-PRO" w:hint="eastAsia"/>
                <w:b/>
                <w:szCs w:val="21"/>
                <w:highlight w:val="yellow"/>
              </w:rPr>
              <w:t>防災・危機管理指令部会議</w:t>
            </w:r>
            <w:r w:rsidRPr="001D6D10">
              <w:rPr>
                <w:rFonts w:ascii="HG丸ｺﾞｼｯｸM-PRO" w:eastAsia="HG丸ｺﾞｼｯｸM-PRO" w:hAnsi="HG丸ｺﾞｼｯｸM-PRO" w:hint="eastAsia"/>
                <w:szCs w:val="21"/>
                <w:highlight w:val="yellow"/>
              </w:rPr>
              <w:t>（おおよそ７２ｈ前）</w:t>
            </w:r>
            <w:r w:rsidR="00CB0ABF" w:rsidRPr="001D6D10">
              <w:rPr>
                <w:rFonts w:ascii="HG丸ｺﾞｼｯｸM-PRO" w:eastAsia="HG丸ｺﾞｼｯｸM-PRO" w:hAnsi="HG丸ｺﾞｼｯｸM-PRO" w:hint="eastAsia"/>
                <w:szCs w:val="21"/>
                <w:highlight w:val="yellow"/>
              </w:rPr>
              <w:t>（Ｐ42</w:t>
            </w:r>
            <w:r w:rsidR="00AD02A5" w:rsidRPr="001D6D10">
              <w:rPr>
                <w:rFonts w:ascii="HG丸ｺﾞｼｯｸM-PRO" w:eastAsia="HG丸ｺﾞｼｯｸM-PRO" w:hAnsi="HG丸ｺﾞｼｯｸM-PRO" w:hint="eastAsia"/>
                <w:szCs w:val="21"/>
                <w:highlight w:val="yellow"/>
              </w:rPr>
              <w:t>参照）</w:t>
            </w:r>
          </w:p>
        </w:tc>
      </w:tr>
      <w:tr w:rsidR="001D6D10" w:rsidRPr="001D6D10" w14:paraId="4E22AC7A" w14:textId="77777777" w:rsidTr="00F35CFE">
        <w:trPr>
          <w:jc w:val="center"/>
        </w:trPr>
        <w:tc>
          <w:tcPr>
            <w:tcW w:w="1457" w:type="dxa"/>
            <w:vMerge/>
          </w:tcPr>
          <w:p w14:paraId="2CDC2C53" w14:textId="77777777" w:rsidR="00582BF7" w:rsidRPr="001D6D10" w:rsidRDefault="00582BF7" w:rsidP="00F35CFE">
            <w:pPr>
              <w:rPr>
                <w:rFonts w:ascii="HG丸ｺﾞｼｯｸM-PRO" w:eastAsia="HG丸ｺﾞｼｯｸM-PRO" w:hAnsi="HG丸ｺﾞｼｯｸM-PRO"/>
                <w:szCs w:val="21"/>
              </w:rPr>
            </w:pPr>
          </w:p>
        </w:tc>
        <w:tc>
          <w:tcPr>
            <w:tcW w:w="7037" w:type="dxa"/>
          </w:tcPr>
          <w:p w14:paraId="159D49BE" w14:textId="77777777" w:rsidR="008104A2" w:rsidRPr="001D6D10" w:rsidRDefault="00B90745" w:rsidP="003B7241">
            <w:pPr>
              <w:rPr>
                <w:rFonts w:ascii="HG丸ｺﾞｼｯｸM-PRO" w:eastAsia="HG丸ｺﾞｼｯｸM-PRO" w:hAnsi="HG丸ｺﾞｼｯｸM-PRO"/>
                <w:szCs w:val="21"/>
              </w:rPr>
            </w:pPr>
            <w:r w:rsidRPr="001D6D10">
              <w:rPr>
                <w:rFonts w:ascii="HG丸ｺﾞｼｯｸM-PRO" w:eastAsia="HG丸ｺﾞｼｯｸM-PRO" w:hAnsi="HG丸ｺﾞｼｯｸM-PRO" w:hint="eastAsia"/>
                <w:szCs w:val="21"/>
              </w:rPr>
              <w:t>□危機管理室からの情報を部内で共有【スマートシティ戦略総務課】</w:t>
            </w:r>
          </w:p>
        </w:tc>
      </w:tr>
      <w:tr w:rsidR="001D6D10" w:rsidRPr="001D6D10" w14:paraId="479DB3EF" w14:textId="77777777" w:rsidTr="00F35CFE">
        <w:trPr>
          <w:jc w:val="center"/>
        </w:trPr>
        <w:tc>
          <w:tcPr>
            <w:tcW w:w="1457" w:type="dxa"/>
            <w:vMerge w:val="restart"/>
          </w:tcPr>
          <w:p w14:paraId="233FB5D7" w14:textId="77777777" w:rsidR="002B3D2C" w:rsidRPr="001D6D10" w:rsidRDefault="002B3D2C" w:rsidP="00F35CFE">
            <w:pPr>
              <w:rPr>
                <w:rFonts w:ascii="HG丸ｺﾞｼｯｸM-PRO" w:eastAsia="HG丸ｺﾞｼｯｸM-PRO" w:hAnsi="HG丸ｺﾞｼｯｸM-PRO"/>
                <w:szCs w:val="21"/>
              </w:rPr>
            </w:pPr>
          </w:p>
          <w:p w14:paraId="5E2FB3B3" w14:textId="77777777" w:rsidR="002B3D2C" w:rsidRPr="001D6D10" w:rsidRDefault="002B3D2C" w:rsidP="00F35CFE">
            <w:pPr>
              <w:rPr>
                <w:rFonts w:ascii="HG丸ｺﾞｼｯｸM-PRO" w:eastAsia="HG丸ｺﾞｼｯｸM-PRO" w:hAnsi="HG丸ｺﾞｼｯｸM-PRO"/>
                <w:szCs w:val="21"/>
              </w:rPr>
            </w:pPr>
          </w:p>
          <w:p w14:paraId="670DB583" w14:textId="77777777" w:rsidR="002B3D2C" w:rsidRPr="001D6D10" w:rsidRDefault="002B3D2C" w:rsidP="00F35CFE">
            <w:pPr>
              <w:rPr>
                <w:rFonts w:ascii="HG丸ｺﾞｼｯｸM-PRO" w:eastAsia="HG丸ｺﾞｼｯｸM-PRO" w:hAnsi="HG丸ｺﾞｼｯｸM-PRO"/>
                <w:szCs w:val="21"/>
              </w:rPr>
            </w:pPr>
          </w:p>
          <w:p w14:paraId="13F95A7A" w14:textId="77777777" w:rsidR="002B3D2C" w:rsidRPr="001D6D10" w:rsidRDefault="002B3D2C" w:rsidP="00F35CFE">
            <w:pPr>
              <w:rPr>
                <w:rFonts w:ascii="HG丸ｺﾞｼｯｸM-PRO" w:eastAsia="HG丸ｺﾞｼｯｸM-PRO" w:hAnsi="HG丸ｺﾞｼｯｸM-PRO"/>
                <w:szCs w:val="21"/>
              </w:rPr>
            </w:pPr>
          </w:p>
          <w:p w14:paraId="6010C5C5" w14:textId="77777777" w:rsidR="00582BF7" w:rsidRPr="001D6D10" w:rsidRDefault="00582BF7" w:rsidP="00F35CFE">
            <w:pPr>
              <w:rPr>
                <w:rFonts w:ascii="HG丸ｺﾞｼｯｸM-PRO" w:eastAsia="HG丸ｺﾞｼｯｸM-PRO" w:hAnsi="HG丸ｺﾞｼｯｸM-PRO"/>
                <w:szCs w:val="21"/>
              </w:rPr>
            </w:pPr>
            <w:r w:rsidRPr="001D6D10">
              <w:rPr>
                <w:rFonts w:ascii="HG丸ｺﾞｼｯｸM-PRO" w:eastAsia="HG丸ｺﾞｼｯｸM-PRO" w:hAnsi="HG丸ｺﾞｼｯｸM-PRO" w:hint="eastAsia"/>
                <w:szCs w:val="21"/>
              </w:rPr>
              <w:t>48ｈ前～</w:t>
            </w:r>
          </w:p>
          <w:p w14:paraId="7E801365" w14:textId="77777777" w:rsidR="00582BF7" w:rsidRPr="001D6D10" w:rsidRDefault="00582BF7" w:rsidP="00F35CFE">
            <w:pPr>
              <w:rPr>
                <w:rFonts w:ascii="HG丸ｺﾞｼｯｸM-PRO" w:eastAsia="HG丸ｺﾞｼｯｸM-PRO" w:hAnsi="HG丸ｺﾞｼｯｸM-PRO"/>
                <w:szCs w:val="21"/>
              </w:rPr>
            </w:pPr>
            <w:r w:rsidRPr="001D6D10">
              <w:rPr>
                <w:rFonts w:ascii="HG丸ｺﾞｼｯｸM-PRO" w:eastAsia="HG丸ｺﾞｼｯｸM-PRO" w:hAnsi="HG丸ｺﾞｼｯｸM-PRO" w:hint="eastAsia"/>
                <w:szCs w:val="21"/>
              </w:rPr>
              <w:t xml:space="preserve">　　24ｈ前</w:t>
            </w:r>
          </w:p>
          <w:p w14:paraId="1274FB10" w14:textId="77777777" w:rsidR="00582BF7" w:rsidRPr="001D6D10" w:rsidRDefault="00582BF7" w:rsidP="00F35CFE">
            <w:pPr>
              <w:rPr>
                <w:rFonts w:ascii="HG丸ｺﾞｼｯｸM-PRO" w:eastAsia="HG丸ｺﾞｼｯｸM-PRO" w:hAnsi="HG丸ｺﾞｼｯｸM-PRO"/>
                <w:szCs w:val="21"/>
              </w:rPr>
            </w:pPr>
            <w:r w:rsidRPr="001D6D10">
              <w:rPr>
                <w:rFonts w:ascii="HG丸ｺﾞｼｯｸM-PRO" w:eastAsia="HG丸ｺﾞｼｯｸM-PRO" w:hAnsi="HG丸ｺﾞｼｯｸM-PRO" w:hint="eastAsia"/>
                <w:szCs w:val="21"/>
              </w:rPr>
              <w:t>（２日前）</w:t>
            </w:r>
          </w:p>
        </w:tc>
        <w:tc>
          <w:tcPr>
            <w:tcW w:w="7037" w:type="dxa"/>
          </w:tcPr>
          <w:p w14:paraId="2CD0418C" w14:textId="77777777" w:rsidR="00582BF7" w:rsidRPr="001D6D10" w:rsidRDefault="00582BF7" w:rsidP="00F35CFE">
            <w:pPr>
              <w:rPr>
                <w:rFonts w:ascii="HG丸ｺﾞｼｯｸM-PRO" w:eastAsia="HG丸ｺﾞｼｯｸM-PRO" w:hAnsi="HG丸ｺﾞｼｯｸM-PRO"/>
                <w:sz w:val="18"/>
                <w:szCs w:val="18"/>
              </w:rPr>
            </w:pPr>
            <w:r w:rsidRPr="001D6D10">
              <w:rPr>
                <w:rFonts w:ascii="HG丸ｺﾞｼｯｸM-PRO" w:eastAsia="HG丸ｺﾞｼｯｸM-PRO" w:hAnsi="HG丸ｺﾞｼｯｸM-PRO" w:hint="eastAsia"/>
                <w:szCs w:val="21"/>
              </w:rPr>
              <w:t>庁内連絡会議①：災害モード宣言の内容、第1回災害警戒本部会議の事前調整等</w:t>
            </w:r>
            <w:r w:rsidRPr="001D6D10">
              <w:rPr>
                <w:rFonts w:ascii="HG丸ｺﾞｼｯｸM-PRO" w:eastAsia="HG丸ｺﾞｼｯｸM-PRO" w:hAnsi="HG丸ｺﾞｼｯｸM-PRO" w:hint="eastAsia"/>
                <w:sz w:val="18"/>
                <w:szCs w:val="18"/>
              </w:rPr>
              <w:t>(警戒本部会議議題：管理施設の休館及び学校休校の検討、イベント等の中止検討、職員の配備態勢)</w:t>
            </w:r>
          </w:p>
          <w:p w14:paraId="4C6F5C32" w14:textId="77777777" w:rsidR="008D31A3" w:rsidRPr="001D6D10" w:rsidRDefault="008D31A3" w:rsidP="008D31A3">
            <w:pPr>
              <w:rPr>
                <w:rFonts w:ascii="HG丸ｺﾞｼｯｸM-PRO" w:eastAsia="HG丸ｺﾞｼｯｸM-PRO" w:hAnsi="HG丸ｺﾞｼｯｸM-PRO"/>
                <w:szCs w:val="21"/>
              </w:rPr>
            </w:pPr>
            <w:r w:rsidRPr="001D6D10">
              <w:rPr>
                <w:rFonts w:ascii="HG丸ｺﾞｼｯｸM-PRO" w:eastAsia="HG丸ｺﾞｼｯｸM-PRO" w:hAnsi="HG丸ｺﾞｼｯｸM-PRO" w:hint="eastAsia"/>
                <w:szCs w:val="21"/>
              </w:rPr>
              <w:t>□第１回災害警戒本部会議の事前準備</w:t>
            </w:r>
          </w:p>
          <w:p w14:paraId="6730B6D0" w14:textId="77777777" w:rsidR="008D31A3" w:rsidRPr="001D6D10" w:rsidRDefault="008D31A3" w:rsidP="008D31A3">
            <w:pPr>
              <w:rPr>
                <w:rFonts w:ascii="HG丸ｺﾞｼｯｸM-PRO" w:eastAsia="HG丸ｺﾞｼｯｸM-PRO" w:hAnsi="HG丸ｺﾞｼｯｸM-PRO"/>
                <w:szCs w:val="21"/>
              </w:rPr>
            </w:pPr>
            <w:r w:rsidRPr="001D6D10">
              <w:rPr>
                <w:rFonts w:ascii="HG丸ｺﾞｼｯｸM-PRO" w:eastAsia="HG丸ｺﾞｼｯｸM-PRO" w:hAnsi="HG丸ｺﾞｼｯｸM-PRO" w:hint="eastAsia"/>
                <w:szCs w:val="21"/>
              </w:rPr>
              <w:t xml:space="preserve">　・部局内の対応状況の確認、会議での報告のとりまとめ</w:t>
            </w:r>
          </w:p>
          <w:p w14:paraId="52E242CC" w14:textId="568B779B" w:rsidR="00335440" w:rsidRDefault="008D31A3" w:rsidP="00335440">
            <w:pPr>
              <w:rPr>
                <w:rFonts w:ascii="HG丸ｺﾞｼｯｸM-PRO" w:eastAsia="HG丸ｺﾞｼｯｸM-PRO" w:hAnsi="HG丸ｺﾞｼｯｸM-PRO"/>
                <w:szCs w:val="21"/>
              </w:rPr>
            </w:pPr>
            <w:r w:rsidRPr="001D6D10">
              <w:rPr>
                <w:rFonts w:ascii="HG丸ｺﾞｼｯｸM-PRO" w:eastAsia="HG丸ｺﾞｼｯｸM-PRO" w:hAnsi="HG丸ｺﾞｼｯｸM-PRO" w:hint="eastAsia"/>
                <w:szCs w:val="21"/>
              </w:rPr>
              <w:t xml:space="preserve">　・</w:t>
            </w:r>
            <w:r w:rsidR="004168C4" w:rsidRPr="001D6D10">
              <w:rPr>
                <w:rFonts w:ascii="HG丸ｺﾞｼｯｸM-PRO" w:eastAsia="HG丸ｺﾞｼｯｸM-PRO" w:hAnsi="HG丸ｺﾞｼｯｸM-PRO" w:hint="eastAsia"/>
                <w:szCs w:val="21"/>
              </w:rPr>
              <w:t>庁舎</w:t>
            </w:r>
            <w:r w:rsidRPr="001D6D10">
              <w:rPr>
                <w:rFonts w:ascii="HG丸ｺﾞｼｯｸM-PRO" w:eastAsia="HG丸ｺﾞｼｯｸM-PRO" w:hAnsi="HG丸ｺﾞｼｯｸM-PRO" w:hint="eastAsia"/>
                <w:szCs w:val="21"/>
              </w:rPr>
              <w:t>の安全確認</w:t>
            </w:r>
          </w:p>
          <w:p w14:paraId="3F78499A" w14:textId="51CC5580" w:rsidR="00F53410" w:rsidRPr="00747FDC" w:rsidRDefault="00F53410" w:rsidP="00AF7B73">
            <w:pPr>
              <w:ind w:left="211" w:hangingChars="100" w:hanging="211"/>
              <w:rPr>
                <w:rFonts w:ascii="HG丸ｺﾞｼｯｸM-PRO" w:eastAsia="HG丸ｺﾞｼｯｸM-PRO" w:hAnsi="HG丸ｺﾞｼｯｸM-PRO"/>
                <w:color w:val="FF0000"/>
                <w:szCs w:val="21"/>
              </w:rPr>
            </w:pPr>
            <w:r w:rsidRPr="00747FDC">
              <w:rPr>
                <w:rFonts w:ascii="HG丸ｺﾞｼｯｸM-PRO" w:eastAsia="HG丸ｺﾞｼｯｸM-PRO" w:hAnsi="HG丸ｺﾞｼｯｸM-PRO" w:hint="eastAsia"/>
                <w:szCs w:val="21"/>
              </w:rPr>
              <w:t>□所管システム等障害発生時の連絡体制確認</w:t>
            </w:r>
            <w:r w:rsidRPr="00747FDC">
              <w:rPr>
                <w:rFonts w:ascii="HG丸ｺﾞｼｯｸM-PRO" w:eastAsia="HG丸ｺﾞｼｯｸM-PRO" w:hAnsi="HG丸ｺﾞｼｯｸM-PRO" w:hint="eastAsia"/>
                <w:szCs w:val="21"/>
              </w:rPr>
              <w:br/>
              <w:t>【</w:t>
            </w:r>
            <w:r w:rsidRPr="00B4232D">
              <w:rPr>
                <w:rFonts w:ascii="HG丸ｺﾞｼｯｸM-PRO" w:eastAsia="HG丸ｺﾞｼｯｸM-PRO" w:hAnsi="HG丸ｺﾞｼｯｸM-PRO" w:hint="eastAsia"/>
              </w:rPr>
              <w:t>戦略企画課、地域戦略推進課</w:t>
            </w:r>
            <w:r w:rsidRPr="00747FDC">
              <w:rPr>
                <w:rFonts w:ascii="HG丸ｺﾞｼｯｸM-PRO" w:eastAsia="HG丸ｺﾞｼｯｸM-PRO" w:hAnsi="HG丸ｺﾞｼｯｸM-PRO" w:hint="eastAsia"/>
                <w:szCs w:val="21"/>
              </w:rPr>
              <w:t>】</w:t>
            </w:r>
          </w:p>
          <w:p w14:paraId="4D2961E7" w14:textId="77777777" w:rsidR="008D31A3" w:rsidRPr="001D6D10" w:rsidRDefault="008D31A3" w:rsidP="00335440">
            <w:pPr>
              <w:rPr>
                <w:rFonts w:ascii="HG丸ｺﾞｼｯｸM-PRO" w:eastAsia="HG丸ｺﾞｼｯｸM-PRO" w:hAnsi="HG丸ｺﾞｼｯｸM-PRO"/>
                <w:szCs w:val="21"/>
                <w:u w:val="single"/>
              </w:rPr>
            </w:pPr>
            <w:r w:rsidRPr="001D6D10">
              <w:rPr>
                <w:rFonts w:ascii="HG丸ｺﾞｼｯｸM-PRO" w:eastAsia="HG丸ｺﾞｼｯｸM-PRO" w:hAnsi="HG丸ｺﾞｼｯｸM-PRO" w:hint="eastAsia"/>
                <w:szCs w:val="21"/>
                <w:bdr w:val="single" w:sz="4" w:space="0" w:color="auto"/>
              </w:rPr>
              <w:t>台風説明会</w:t>
            </w:r>
          </w:p>
        </w:tc>
      </w:tr>
      <w:tr w:rsidR="001D6D10" w:rsidRPr="001D6D10" w14:paraId="6117E128" w14:textId="77777777" w:rsidTr="00F35CFE">
        <w:trPr>
          <w:jc w:val="center"/>
        </w:trPr>
        <w:tc>
          <w:tcPr>
            <w:tcW w:w="1457" w:type="dxa"/>
            <w:vMerge/>
          </w:tcPr>
          <w:p w14:paraId="080CA993" w14:textId="77777777" w:rsidR="00582BF7" w:rsidRPr="001D6D10" w:rsidRDefault="00582BF7" w:rsidP="00F35CFE">
            <w:pPr>
              <w:rPr>
                <w:rFonts w:ascii="HG丸ｺﾞｼｯｸM-PRO" w:eastAsia="HG丸ｺﾞｼｯｸM-PRO" w:hAnsi="HG丸ｺﾞｼｯｸM-PRO"/>
                <w:szCs w:val="21"/>
              </w:rPr>
            </w:pPr>
          </w:p>
        </w:tc>
        <w:tc>
          <w:tcPr>
            <w:tcW w:w="7037" w:type="dxa"/>
          </w:tcPr>
          <w:p w14:paraId="68D22665" w14:textId="77777777" w:rsidR="00582BF7" w:rsidRPr="001D6D10" w:rsidRDefault="00582BF7" w:rsidP="00F35CFE">
            <w:pPr>
              <w:rPr>
                <w:rFonts w:ascii="HG丸ｺﾞｼｯｸM-PRO" w:eastAsia="HG丸ｺﾞｼｯｸM-PRO" w:hAnsi="HG丸ｺﾞｼｯｸM-PRO"/>
                <w:szCs w:val="21"/>
                <w:highlight w:val="yellow"/>
              </w:rPr>
            </w:pPr>
            <w:r w:rsidRPr="001D6D10">
              <w:rPr>
                <w:rFonts w:ascii="HG丸ｺﾞｼｯｸM-PRO" w:eastAsia="HG丸ｺﾞｼｯｸM-PRO" w:hAnsi="HG丸ｺﾞｼｯｸM-PRO" w:hint="eastAsia"/>
                <w:b/>
                <w:szCs w:val="21"/>
                <w:highlight w:val="yellow"/>
              </w:rPr>
              <w:t>第1回災害警戒本部会議</w:t>
            </w:r>
            <w:r w:rsidRPr="001D6D10">
              <w:rPr>
                <w:rFonts w:ascii="HG丸ｺﾞｼｯｸM-PRO" w:eastAsia="HG丸ｺﾞｼｯｸM-PRO" w:hAnsi="HG丸ｺﾞｼｯｸM-PRO" w:hint="eastAsia"/>
                <w:szCs w:val="21"/>
                <w:highlight w:val="yellow"/>
              </w:rPr>
              <w:t>（災害モード宣言の内容検討）</w:t>
            </w:r>
            <w:r w:rsidR="00CB0ABF" w:rsidRPr="001D6D10">
              <w:rPr>
                <w:rFonts w:ascii="HG丸ｺﾞｼｯｸM-PRO" w:eastAsia="HG丸ｺﾞｼｯｸM-PRO" w:hAnsi="HG丸ｺﾞｼｯｸM-PRO" w:hint="eastAsia"/>
                <w:szCs w:val="21"/>
                <w:highlight w:val="yellow"/>
              </w:rPr>
              <w:t>（Ｐ47</w:t>
            </w:r>
            <w:r w:rsidR="0010145B" w:rsidRPr="001D6D10">
              <w:rPr>
                <w:rFonts w:ascii="HG丸ｺﾞｼｯｸM-PRO" w:eastAsia="HG丸ｺﾞｼｯｸM-PRO" w:hAnsi="HG丸ｺﾞｼｯｸM-PRO" w:hint="eastAsia"/>
                <w:szCs w:val="21"/>
                <w:highlight w:val="yellow"/>
              </w:rPr>
              <w:t>参照）</w:t>
            </w:r>
          </w:p>
        </w:tc>
      </w:tr>
      <w:tr w:rsidR="001D6D10" w:rsidRPr="001D6D10" w14:paraId="407A8C6B" w14:textId="77777777" w:rsidTr="00F35CFE">
        <w:trPr>
          <w:jc w:val="center"/>
        </w:trPr>
        <w:tc>
          <w:tcPr>
            <w:tcW w:w="1457" w:type="dxa"/>
            <w:vMerge/>
          </w:tcPr>
          <w:p w14:paraId="6C25AE05" w14:textId="77777777" w:rsidR="00582BF7" w:rsidRPr="001D6D10" w:rsidRDefault="00582BF7" w:rsidP="00F35CFE">
            <w:pPr>
              <w:rPr>
                <w:rFonts w:ascii="HG丸ｺﾞｼｯｸM-PRO" w:eastAsia="HG丸ｺﾞｼｯｸM-PRO" w:hAnsi="HG丸ｺﾞｼｯｸM-PRO"/>
                <w:szCs w:val="21"/>
              </w:rPr>
            </w:pPr>
          </w:p>
        </w:tc>
        <w:tc>
          <w:tcPr>
            <w:tcW w:w="7037" w:type="dxa"/>
          </w:tcPr>
          <w:p w14:paraId="7C91E4A2" w14:textId="77777777" w:rsidR="00582BF7" w:rsidRPr="001D6D10" w:rsidRDefault="00B90745" w:rsidP="00F35CFE">
            <w:pPr>
              <w:rPr>
                <w:rFonts w:ascii="HG丸ｺﾞｼｯｸM-PRO" w:eastAsia="HG丸ｺﾞｼｯｸM-PRO" w:hAnsi="HG丸ｺﾞｼｯｸM-PRO"/>
                <w:szCs w:val="21"/>
              </w:rPr>
            </w:pPr>
            <w:r w:rsidRPr="001D6D10">
              <w:rPr>
                <w:rFonts w:ascii="HG丸ｺﾞｼｯｸM-PRO" w:eastAsia="HG丸ｺﾞｼｯｸM-PRO" w:hAnsi="HG丸ｺﾞｼｯｸM-PRO" w:hint="eastAsia"/>
                <w:szCs w:val="21"/>
              </w:rPr>
              <w:t>□危機管理室からの情報を部内で共有【スマートシティ戦略総務課】</w:t>
            </w:r>
          </w:p>
          <w:p w14:paraId="03FD0D92" w14:textId="77777777" w:rsidR="00582BF7" w:rsidRPr="001D6D10" w:rsidRDefault="00582BF7" w:rsidP="00F35CFE">
            <w:pPr>
              <w:rPr>
                <w:rFonts w:ascii="HG丸ｺﾞｼｯｸM-PRO" w:eastAsia="HG丸ｺﾞｼｯｸM-PRO" w:hAnsi="HG丸ｺﾞｼｯｸM-PRO"/>
                <w:szCs w:val="21"/>
              </w:rPr>
            </w:pPr>
            <w:r w:rsidRPr="001D6D10">
              <w:rPr>
                <w:rFonts w:ascii="HG丸ｺﾞｼｯｸM-PRO" w:eastAsia="HG丸ｺﾞｼｯｸM-PRO" w:hAnsi="HG丸ｺﾞｼｯｸM-PRO" w:hint="eastAsia"/>
                <w:szCs w:val="21"/>
              </w:rPr>
              <w:t>□公共交通機関計画運休の確認、部内連絡体制の確認、</w:t>
            </w:r>
            <w:r w:rsidRPr="001D6D10">
              <w:rPr>
                <w:rFonts w:ascii="HG丸ｺﾞｼｯｸM-PRO" w:eastAsia="HG丸ｺﾞｼｯｸM-PRO" w:hAnsi="HG丸ｺﾞｼｯｸM-PRO"/>
                <w:szCs w:val="21"/>
              </w:rPr>
              <w:br/>
            </w:r>
            <w:r w:rsidRPr="001D6D10">
              <w:rPr>
                <w:rFonts w:ascii="HG丸ｺﾞｼｯｸM-PRO" w:eastAsia="HG丸ｺﾞｼｯｸM-PRO" w:hAnsi="HG丸ｺﾞｼｯｸM-PRO" w:hint="eastAsia"/>
                <w:szCs w:val="21"/>
              </w:rPr>
              <w:t>発災時職員</w:t>
            </w:r>
            <w:r w:rsidR="00B90745" w:rsidRPr="001D6D10">
              <w:rPr>
                <w:rFonts w:ascii="HG丸ｺﾞｼｯｸM-PRO" w:eastAsia="HG丸ｺﾞｼｯｸM-PRO" w:hAnsi="HG丸ｺﾞｼｯｸM-PRO" w:hint="eastAsia"/>
                <w:szCs w:val="21"/>
              </w:rPr>
              <w:t>体制の確認・確保【スマートシティ戦略総務課</w:t>
            </w:r>
            <w:r w:rsidRPr="001D6D10">
              <w:rPr>
                <w:rFonts w:ascii="HG丸ｺﾞｼｯｸM-PRO" w:eastAsia="HG丸ｺﾞｼｯｸM-PRO" w:hAnsi="HG丸ｺﾞｼｯｸM-PRO" w:hint="eastAsia"/>
                <w:szCs w:val="21"/>
              </w:rPr>
              <w:t>から</w:t>
            </w:r>
            <w:r w:rsidR="00ED1CEE" w:rsidRPr="001D6D10">
              <w:rPr>
                <w:rFonts w:ascii="HG丸ｺﾞｼｯｸM-PRO" w:eastAsia="HG丸ｺﾞｼｯｸM-PRO" w:hAnsi="HG丸ｺﾞｼｯｸM-PRO" w:hint="eastAsia"/>
                <w:szCs w:val="21"/>
              </w:rPr>
              <w:t>各所属</w:t>
            </w:r>
            <w:r w:rsidRPr="001D6D10">
              <w:rPr>
                <w:rFonts w:ascii="HG丸ｺﾞｼｯｸM-PRO" w:eastAsia="HG丸ｺﾞｼｯｸM-PRO" w:hAnsi="HG丸ｺﾞｼｯｸM-PRO" w:hint="eastAsia"/>
                <w:szCs w:val="21"/>
              </w:rPr>
              <w:t>】</w:t>
            </w:r>
          </w:p>
          <w:p w14:paraId="1DFE511D" w14:textId="77777777" w:rsidR="00582BF7" w:rsidRPr="001D6D10" w:rsidRDefault="00582BF7" w:rsidP="00F35CFE">
            <w:pPr>
              <w:rPr>
                <w:rFonts w:ascii="HG丸ｺﾞｼｯｸM-PRO" w:eastAsia="HG丸ｺﾞｼｯｸM-PRO" w:hAnsi="HG丸ｺﾞｼｯｸM-PRO"/>
                <w:szCs w:val="21"/>
              </w:rPr>
            </w:pPr>
            <w:r w:rsidRPr="001D6D10">
              <w:rPr>
                <w:rFonts w:ascii="HG丸ｺﾞｼｯｸM-PRO" w:eastAsia="HG丸ｺﾞｼｯｸM-PRO" w:hAnsi="HG丸ｺﾞｼｯｸM-PRO" w:hint="eastAsia"/>
                <w:szCs w:val="21"/>
              </w:rPr>
              <w:t>□主催イベントの中止連絡</w:t>
            </w:r>
            <w:r w:rsidR="00C34453" w:rsidRPr="001D6D10">
              <w:rPr>
                <w:rFonts w:ascii="HG丸ｺﾞｼｯｸM-PRO" w:eastAsia="HG丸ｺﾞｼｯｸM-PRO" w:hAnsi="HG丸ｺﾞｼｯｸM-PRO" w:hint="eastAsia"/>
                <w:szCs w:val="21"/>
              </w:rPr>
              <w:t>【各所属】</w:t>
            </w:r>
          </w:p>
        </w:tc>
      </w:tr>
      <w:tr w:rsidR="001D6D10" w:rsidRPr="001D6D10" w14:paraId="2C468E36" w14:textId="77777777" w:rsidTr="00F35CFE">
        <w:trPr>
          <w:jc w:val="center"/>
        </w:trPr>
        <w:tc>
          <w:tcPr>
            <w:tcW w:w="1457" w:type="dxa"/>
            <w:vMerge w:val="restart"/>
          </w:tcPr>
          <w:p w14:paraId="3869B844" w14:textId="77777777" w:rsidR="002B3D2C" w:rsidRPr="001D6D10" w:rsidRDefault="002B3D2C" w:rsidP="00F35CFE">
            <w:pPr>
              <w:rPr>
                <w:rFonts w:ascii="HG丸ｺﾞｼｯｸM-PRO" w:eastAsia="HG丸ｺﾞｼｯｸM-PRO" w:hAnsi="HG丸ｺﾞｼｯｸM-PRO"/>
                <w:szCs w:val="21"/>
              </w:rPr>
            </w:pPr>
          </w:p>
          <w:p w14:paraId="4ACEE8E9" w14:textId="77777777" w:rsidR="002B3D2C" w:rsidRPr="001D6D10" w:rsidRDefault="002B3D2C" w:rsidP="00F35CFE">
            <w:pPr>
              <w:rPr>
                <w:rFonts w:ascii="HG丸ｺﾞｼｯｸM-PRO" w:eastAsia="HG丸ｺﾞｼｯｸM-PRO" w:hAnsi="HG丸ｺﾞｼｯｸM-PRO"/>
                <w:szCs w:val="21"/>
              </w:rPr>
            </w:pPr>
          </w:p>
          <w:p w14:paraId="7ECA152C" w14:textId="77777777" w:rsidR="002B3D2C" w:rsidRPr="001D6D10" w:rsidRDefault="002B3D2C" w:rsidP="00F35CFE">
            <w:pPr>
              <w:rPr>
                <w:rFonts w:ascii="HG丸ｺﾞｼｯｸM-PRO" w:eastAsia="HG丸ｺﾞｼｯｸM-PRO" w:hAnsi="HG丸ｺﾞｼｯｸM-PRO"/>
                <w:szCs w:val="21"/>
              </w:rPr>
            </w:pPr>
          </w:p>
          <w:p w14:paraId="299B33B8" w14:textId="77777777" w:rsidR="002B3D2C" w:rsidRPr="001D6D10" w:rsidRDefault="002B3D2C" w:rsidP="00F35CFE">
            <w:pPr>
              <w:rPr>
                <w:rFonts w:ascii="HG丸ｺﾞｼｯｸM-PRO" w:eastAsia="HG丸ｺﾞｼｯｸM-PRO" w:hAnsi="HG丸ｺﾞｼｯｸM-PRO"/>
                <w:szCs w:val="21"/>
              </w:rPr>
            </w:pPr>
          </w:p>
          <w:p w14:paraId="421BE1B3" w14:textId="77777777" w:rsidR="00582BF7" w:rsidRPr="001D6D10" w:rsidRDefault="00582BF7" w:rsidP="00F35CFE">
            <w:pPr>
              <w:rPr>
                <w:rFonts w:ascii="HG丸ｺﾞｼｯｸM-PRO" w:eastAsia="HG丸ｺﾞｼｯｸM-PRO" w:hAnsi="HG丸ｺﾞｼｯｸM-PRO"/>
                <w:szCs w:val="21"/>
              </w:rPr>
            </w:pPr>
            <w:r w:rsidRPr="001D6D10">
              <w:rPr>
                <w:rFonts w:ascii="HG丸ｺﾞｼｯｸM-PRO" w:eastAsia="HG丸ｺﾞｼｯｸM-PRO" w:hAnsi="HG丸ｺﾞｼｯｸM-PRO" w:hint="eastAsia"/>
                <w:szCs w:val="21"/>
              </w:rPr>
              <w:t>24ｈ前～</w:t>
            </w:r>
          </w:p>
          <w:p w14:paraId="42AE7149" w14:textId="77777777" w:rsidR="00582BF7" w:rsidRPr="001D6D10" w:rsidRDefault="00582BF7" w:rsidP="00F35CFE">
            <w:pPr>
              <w:rPr>
                <w:rFonts w:ascii="HG丸ｺﾞｼｯｸM-PRO" w:eastAsia="HG丸ｺﾞｼｯｸM-PRO" w:hAnsi="HG丸ｺﾞｼｯｸM-PRO"/>
                <w:szCs w:val="21"/>
              </w:rPr>
            </w:pPr>
            <w:r w:rsidRPr="001D6D10">
              <w:rPr>
                <w:rFonts w:ascii="HG丸ｺﾞｼｯｸM-PRO" w:eastAsia="HG丸ｺﾞｼｯｸM-PRO" w:hAnsi="HG丸ｺﾞｼｯｸM-PRO" w:hint="eastAsia"/>
                <w:szCs w:val="21"/>
              </w:rPr>
              <w:t xml:space="preserve">　　最接近</w:t>
            </w:r>
          </w:p>
          <w:p w14:paraId="393CCE85" w14:textId="77777777" w:rsidR="00582BF7" w:rsidRPr="001D6D10" w:rsidRDefault="00582BF7" w:rsidP="00F35CFE">
            <w:pPr>
              <w:rPr>
                <w:rFonts w:ascii="HG丸ｺﾞｼｯｸM-PRO" w:eastAsia="HG丸ｺﾞｼｯｸM-PRO" w:hAnsi="HG丸ｺﾞｼｯｸM-PRO"/>
                <w:szCs w:val="21"/>
              </w:rPr>
            </w:pPr>
            <w:r w:rsidRPr="001D6D10">
              <w:rPr>
                <w:rFonts w:ascii="HG丸ｺﾞｼｯｸM-PRO" w:eastAsia="HG丸ｺﾞｼｯｸM-PRO" w:hAnsi="HG丸ｺﾞｼｯｸM-PRO" w:hint="eastAsia"/>
                <w:szCs w:val="21"/>
              </w:rPr>
              <w:t>（１日前）</w:t>
            </w:r>
          </w:p>
        </w:tc>
        <w:tc>
          <w:tcPr>
            <w:tcW w:w="7037" w:type="dxa"/>
          </w:tcPr>
          <w:p w14:paraId="6CCB855A" w14:textId="77777777" w:rsidR="00582BF7" w:rsidRPr="001D6D10" w:rsidRDefault="00582BF7" w:rsidP="00F35CFE">
            <w:pPr>
              <w:rPr>
                <w:rFonts w:ascii="HG丸ｺﾞｼｯｸM-PRO" w:eastAsia="HG丸ｺﾞｼｯｸM-PRO" w:hAnsi="HG丸ｺﾞｼｯｸM-PRO"/>
                <w:szCs w:val="21"/>
              </w:rPr>
            </w:pPr>
            <w:r w:rsidRPr="001D6D10">
              <w:rPr>
                <w:rFonts w:ascii="HG丸ｺﾞｼｯｸM-PRO" w:eastAsia="HG丸ｺﾞｼｯｸM-PRO" w:hAnsi="HG丸ｺﾞｼｯｸM-PRO" w:hint="eastAsia"/>
                <w:szCs w:val="21"/>
              </w:rPr>
              <w:t>庁内連絡会議②：第2回災害警戒本部会議の事前調整等</w:t>
            </w:r>
          </w:p>
          <w:p w14:paraId="56C7C102" w14:textId="77777777" w:rsidR="008D31A3" w:rsidRPr="001D6D10" w:rsidRDefault="008D31A3" w:rsidP="008D31A3">
            <w:pPr>
              <w:rPr>
                <w:rFonts w:ascii="HG丸ｺﾞｼｯｸM-PRO" w:eastAsia="HG丸ｺﾞｼｯｸM-PRO" w:hAnsi="HG丸ｺﾞｼｯｸM-PRO"/>
                <w:szCs w:val="21"/>
              </w:rPr>
            </w:pPr>
            <w:r w:rsidRPr="001D6D10">
              <w:rPr>
                <w:rFonts w:ascii="HG丸ｺﾞｼｯｸM-PRO" w:eastAsia="HG丸ｺﾞｼｯｸM-PRO" w:hAnsi="HG丸ｺﾞｼｯｸM-PRO" w:hint="eastAsia"/>
                <w:szCs w:val="21"/>
              </w:rPr>
              <w:t>□第２回災害警戒本部会議の事前準備</w:t>
            </w:r>
          </w:p>
          <w:p w14:paraId="4844588C" w14:textId="77777777" w:rsidR="008D31A3" w:rsidRPr="001D6D10" w:rsidRDefault="008D31A3" w:rsidP="008D31A3">
            <w:pPr>
              <w:rPr>
                <w:rFonts w:ascii="HG丸ｺﾞｼｯｸM-PRO" w:eastAsia="HG丸ｺﾞｼｯｸM-PRO" w:hAnsi="HG丸ｺﾞｼｯｸM-PRO"/>
                <w:szCs w:val="21"/>
              </w:rPr>
            </w:pPr>
            <w:r w:rsidRPr="001D6D10">
              <w:rPr>
                <w:rFonts w:ascii="HG丸ｺﾞｼｯｸM-PRO" w:eastAsia="HG丸ｺﾞｼｯｸM-PRO" w:hAnsi="HG丸ｺﾞｼｯｸM-PRO" w:hint="eastAsia"/>
                <w:szCs w:val="21"/>
              </w:rPr>
              <w:t xml:space="preserve">　・部局内へ対応状況の確認、会議での報告のとりまとめ</w:t>
            </w:r>
          </w:p>
          <w:p w14:paraId="0105BF24" w14:textId="77777777" w:rsidR="00335440" w:rsidRPr="001D6D10" w:rsidRDefault="008D31A3" w:rsidP="00335440">
            <w:pPr>
              <w:ind w:firstLineChars="100" w:firstLine="211"/>
              <w:rPr>
                <w:rFonts w:ascii="HG丸ｺﾞｼｯｸM-PRO" w:eastAsia="HG丸ｺﾞｼｯｸM-PRO" w:hAnsi="HG丸ｺﾞｼｯｸM-PRO"/>
                <w:szCs w:val="21"/>
              </w:rPr>
            </w:pPr>
            <w:r w:rsidRPr="001D6D10">
              <w:rPr>
                <w:rFonts w:ascii="HG丸ｺﾞｼｯｸM-PRO" w:eastAsia="HG丸ｺﾞｼｯｸM-PRO" w:hAnsi="HG丸ｺﾞｼｯｸM-PRO" w:hint="eastAsia"/>
                <w:szCs w:val="21"/>
              </w:rPr>
              <w:t>・</w:t>
            </w:r>
            <w:r w:rsidR="004168C4" w:rsidRPr="001D6D10">
              <w:rPr>
                <w:rFonts w:ascii="HG丸ｺﾞｼｯｸM-PRO" w:eastAsia="HG丸ｺﾞｼｯｸM-PRO" w:hAnsi="HG丸ｺﾞｼｯｸM-PRO" w:hint="eastAsia"/>
                <w:szCs w:val="21"/>
              </w:rPr>
              <w:t>庁舎</w:t>
            </w:r>
            <w:r w:rsidRPr="001D6D10">
              <w:rPr>
                <w:rFonts w:ascii="HG丸ｺﾞｼｯｸM-PRO" w:eastAsia="HG丸ｺﾞｼｯｸM-PRO" w:hAnsi="HG丸ｺﾞｼｯｸM-PRO" w:hint="eastAsia"/>
                <w:szCs w:val="21"/>
              </w:rPr>
              <w:t>の安全点検</w:t>
            </w:r>
          </w:p>
          <w:p w14:paraId="5482781B" w14:textId="77777777" w:rsidR="008D31A3" w:rsidRPr="001D6D10" w:rsidRDefault="008D31A3" w:rsidP="00335440">
            <w:pPr>
              <w:ind w:firstLineChars="100" w:firstLine="211"/>
              <w:rPr>
                <w:rFonts w:ascii="HG丸ｺﾞｼｯｸM-PRO" w:eastAsia="HG丸ｺﾞｼｯｸM-PRO" w:hAnsi="HG丸ｺﾞｼｯｸM-PRO"/>
                <w:szCs w:val="21"/>
                <w:u w:val="single"/>
              </w:rPr>
            </w:pPr>
            <w:r w:rsidRPr="001D6D10">
              <w:rPr>
                <w:rFonts w:ascii="HG丸ｺﾞｼｯｸM-PRO" w:eastAsia="HG丸ｺﾞｼｯｸM-PRO" w:hAnsi="HG丸ｺﾞｼｯｸM-PRO" w:hint="eastAsia"/>
                <w:szCs w:val="21"/>
                <w:bdr w:val="single" w:sz="4" w:space="0" w:color="auto"/>
              </w:rPr>
              <w:t>台風説明会</w:t>
            </w:r>
          </w:p>
        </w:tc>
      </w:tr>
      <w:tr w:rsidR="001D6D10" w:rsidRPr="001D6D10" w14:paraId="5E7FE5EC" w14:textId="77777777" w:rsidTr="00F35CFE">
        <w:trPr>
          <w:jc w:val="center"/>
        </w:trPr>
        <w:tc>
          <w:tcPr>
            <w:tcW w:w="1457" w:type="dxa"/>
            <w:vMerge/>
          </w:tcPr>
          <w:p w14:paraId="29CA69DC" w14:textId="77777777" w:rsidR="00582BF7" w:rsidRPr="001D6D10" w:rsidRDefault="00582BF7" w:rsidP="00F35CFE">
            <w:pPr>
              <w:rPr>
                <w:rFonts w:ascii="HG丸ｺﾞｼｯｸM-PRO" w:eastAsia="HG丸ｺﾞｼｯｸM-PRO" w:hAnsi="HG丸ｺﾞｼｯｸM-PRO"/>
                <w:szCs w:val="21"/>
              </w:rPr>
            </w:pPr>
          </w:p>
        </w:tc>
        <w:tc>
          <w:tcPr>
            <w:tcW w:w="7037" w:type="dxa"/>
          </w:tcPr>
          <w:p w14:paraId="554BF842" w14:textId="77777777" w:rsidR="00582BF7" w:rsidRPr="001D6D10" w:rsidRDefault="00582BF7" w:rsidP="00F35CFE">
            <w:pPr>
              <w:rPr>
                <w:rFonts w:ascii="HG丸ｺﾞｼｯｸM-PRO" w:eastAsia="HG丸ｺﾞｼｯｸM-PRO" w:hAnsi="HG丸ｺﾞｼｯｸM-PRO"/>
                <w:szCs w:val="21"/>
                <w:highlight w:val="yellow"/>
              </w:rPr>
            </w:pPr>
            <w:r w:rsidRPr="001D6D10">
              <w:rPr>
                <w:rFonts w:ascii="HG丸ｺﾞｼｯｸM-PRO" w:eastAsia="HG丸ｺﾞｼｯｸM-PRO" w:hAnsi="HG丸ｺﾞｼｯｸM-PRO" w:hint="eastAsia"/>
                <w:b/>
                <w:szCs w:val="21"/>
                <w:highlight w:val="yellow"/>
              </w:rPr>
              <w:t>第２回災害警戒本部会議</w:t>
            </w:r>
            <w:r w:rsidRPr="001D6D10">
              <w:rPr>
                <w:rFonts w:ascii="HG丸ｺﾞｼｯｸM-PRO" w:eastAsia="HG丸ｺﾞｼｯｸM-PRO" w:hAnsi="HG丸ｺﾞｼｯｸM-PRO" w:hint="eastAsia"/>
                <w:szCs w:val="21"/>
                <w:highlight w:val="yellow"/>
              </w:rPr>
              <w:t>（災害モード宣言の発信）</w:t>
            </w:r>
            <w:r w:rsidR="00CB0ABF" w:rsidRPr="001D6D10">
              <w:rPr>
                <w:rFonts w:ascii="HG丸ｺﾞｼｯｸM-PRO" w:eastAsia="HG丸ｺﾞｼｯｸM-PRO" w:hAnsi="HG丸ｺﾞｼｯｸM-PRO" w:hint="eastAsia"/>
                <w:szCs w:val="21"/>
                <w:highlight w:val="yellow"/>
              </w:rPr>
              <w:t>（Ｐ47</w:t>
            </w:r>
            <w:r w:rsidR="0010145B" w:rsidRPr="001D6D10">
              <w:rPr>
                <w:rFonts w:ascii="HG丸ｺﾞｼｯｸM-PRO" w:eastAsia="HG丸ｺﾞｼｯｸM-PRO" w:hAnsi="HG丸ｺﾞｼｯｸM-PRO" w:hint="eastAsia"/>
                <w:szCs w:val="21"/>
                <w:highlight w:val="yellow"/>
              </w:rPr>
              <w:t>参照）</w:t>
            </w:r>
          </w:p>
        </w:tc>
      </w:tr>
      <w:tr w:rsidR="001D6D10" w:rsidRPr="001D6D10" w14:paraId="6DAA9460" w14:textId="77777777" w:rsidTr="00F35CFE">
        <w:trPr>
          <w:jc w:val="center"/>
        </w:trPr>
        <w:tc>
          <w:tcPr>
            <w:tcW w:w="1457" w:type="dxa"/>
            <w:vMerge/>
          </w:tcPr>
          <w:p w14:paraId="6BA488CA" w14:textId="77777777" w:rsidR="00582BF7" w:rsidRPr="001D6D10" w:rsidRDefault="00582BF7" w:rsidP="00F35CFE">
            <w:pPr>
              <w:rPr>
                <w:rFonts w:ascii="HG丸ｺﾞｼｯｸM-PRO" w:eastAsia="HG丸ｺﾞｼｯｸM-PRO" w:hAnsi="HG丸ｺﾞｼｯｸM-PRO"/>
                <w:szCs w:val="21"/>
              </w:rPr>
            </w:pPr>
          </w:p>
        </w:tc>
        <w:tc>
          <w:tcPr>
            <w:tcW w:w="7037" w:type="dxa"/>
          </w:tcPr>
          <w:p w14:paraId="016DD5AA" w14:textId="6EDB0E3A" w:rsidR="00582BF7" w:rsidRPr="001D6D10" w:rsidRDefault="00B90745" w:rsidP="00F35CFE">
            <w:pPr>
              <w:rPr>
                <w:rFonts w:ascii="HG丸ｺﾞｼｯｸM-PRO" w:eastAsia="HG丸ｺﾞｼｯｸM-PRO" w:hAnsi="HG丸ｺﾞｼｯｸM-PRO"/>
                <w:szCs w:val="21"/>
              </w:rPr>
            </w:pPr>
            <w:r w:rsidRPr="001D6D10">
              <w:rPr>
                <w:rFonts w:ascii="HG丸ｺﾞｼｯｸM-PRO" w:eastAsia="HG丸ｺﾞｼｯｸM-PRO" w:hAnsi="HG丸ｺﾞｼｯｸM-PRO" w:hint="eastAsia"/>
                <w:szCs w:val="21"/>
              </w:rPr>
              <w:t>□危機管理室からの情報を部内で共有【スマートシティ戦略総務課】</w:t>
            </w:r>
          </w:p>
        </w:tc>
      </w:tr>
    </w:tbl>
    <w:p w14:paraId="79127C8E" w14:textId="5D1D651B" w:rsidR="00582BF7" w:rsidRPr="00E0548A" w:rsidRDefault="00582BF7" w:rsidP="00582BF7">
      <w:pPr>
        <w:rPr>
          <w:rFonts w:ascii="HG丸ｺﾞｼｯｸM-PRO" w:eastAsia="HG丸ｺﾞｼｯｸM-PRO" w:hAnsi="HG丸ｺﾞｼｯｸM-PRO"/>
          <w:szCs w:val="21"/>
        </w:rPr>
      </w:pPr>
      <w:r w:rsidRPr="001D6D10">
        <w:rPr>
          <w:rFonts w:ascii="HG丸ｺﾞｼｯｸM-PRO" w:eastAsia="HG丸ｺﾞｼｯｸM-PRO" w:hAnsi="HG丸ｺﾞｼｯｸM-PRO" w:hint="eastAsia"/>
          <w:szCs w:val="21"/>
        </w:rPr>
        <w:t>※主</w:t>
      </w:r>
      <w:r w:rsidRPr="00E0548A">
        <w:rPr>
          <w:rFonts w:ascii="HG丸ｺﾞｼｯｸM-PRO" w:eastAsia="HG丸ｺﾞｼｯｸM-PRO" w:hAnsi="HG丸ｺﾞｼｯｸM-PRO" w:hint="eastAsia"/>
          <w:szCs w:val="21"/>
        </w:rPr>
        <w:t>な所管施設：</w:t>
      </w:r>
    </w:p>
    <w:p w14:paraId="731E9BAD" w14:textId="593163E9" w:rsidR="00F53410" w:rsidRPr="00AF7B73" w:rsidRDefault="00582BF7" w:rsidP="00F53410">
      <w:pPr>
        <w:rPr>
          <w:rFonts w:ascii="HG丸ｺﾞｼｯｸM-PRO" w:eastAsia="HG丸ｺﾞｼｯｸM-PRO" w:hAnsi="HG丸ｺﾞｼｯｸM-PRO"/>
          <w:color w:val="FF0000"/>
          <w:szCs w:val="21"/>
        </w:rPr>
      </w:pPr>
      <w:r w:rsidRPr="00E0548A">
        <w:rPr>
          <w:rFonts w:ascii="HG丸ｺﾞｼｯｸM-PRO" w:eastAsia="HG丸ｺﾞｼｯｸM-PRO" w:hAnsi="HG丸ｺﾞｼｯｸM-PRO" w:hint="eastAsia"/>
          <w:szCs w:val="21"/>
        </w:rPr>
        <w:t xml:space="preserve">　　　システム：</w:t>
      </w:r>
      <w:r w:rsidR="00F53410" w:rsidRPr="00E0548A">
        <w:rPr>
          <w:rFonts w:ascii="HG丸ｺﾞｼｯｸM-PRO" w:eastAsia="HG丸ｺﾞｼｯｸM-PRO" w:hAnsi="HG丸ｺﾞｼｯｸM-PRO" w:hint="eastAsia"/>
          <w:szCs w:val="21"/>
        </w:rPr>
        <w:t>セキュリティクラウド、</w:t>
      </w:r>
      <w:r w:rsidR="00F53410" w:rsidRPr="00E0548A">
        <w:rPr>
          <w:rFonts w:ascii="HG丸ｺﾞｼｯｸM-PRO" w:eastAsia="HG丸ｺﾞｼｯｸM-PRO" w:hAnsi="HG丸ｺﾞｼｯｸM-PRO"/>
          <w:szCs w:val="21"/>
        </w:rPr>
        <w:t>ORDEN</w:t>
      </w:r>
    </w:p>
    <w:p w14:paraId="432D411A" w14:textId="78472C9D" w:rsidR="00335440" w:rsidRPr="001D6D10" w:rsidRDefault="00582BF7" w:rsidP="00582BF7">
      <w:pPr>
        <w:rPr>
          <w:rFonts w:ascii="ＭＳ ゴシック" w:eastAsia="ＭＳ ゴシック" w:hAnsi="ＭＳ ゴシック"/>
          <w:sz w:val="18"/>
          <w:szCs w:val="22"/>
        </w:rPr>
      </w:pPr>
      <w:r w:rsidRPr="001D6D10">
        <w:rPr>
          <w:rFonts w:ascii="ＭＳ ゴシック" w:eastAsia="ＭＳ ゴシック" w:hAnsi="ＭＳ ゴシック" w:hint="eastAsia"/>
          <w:sz w:val="18"/>
          <w:szCs w:val="22"/>
        </w:rPr>
        <w:t>※）本タイムラインから状況に応じて必要な項目を選定し、実施するものとする。</w:t>
      </w:r>
    </w:p>
    <w:p w14:paraId="3A27601B" w14:textId="21CD59F5" w:rsidR="0067710C" w:rsidRDefault="0067710C">
      <w:pPr>
        <w:widowControl/>
        <w:jc w:val="left"/>
        <w:rPr>
          <w:rFonts w:ascii="ＭＳ ゴシック" w:eastAsia="ＭＳ ゴシック" w:hAnsi="ＭＳ ゴシック"/>
          <w:sz w:val="22"/>
          <w:szCs w:val="22"/>
        </w:rPr>
      </w:pPr>
      <w:r>
        <w:rPr>
          <w:rFonts w:ascii="ＭＳ ゴシック" w:eastAsia="ＭＳ ゴシック" w:hAnsi="ＭＳ ゴシック"/>
          <w:sz w:val="22"/>
          <w:szCs w:val="22"/>
        </w:rPr>
        <w:br w:type="page"/>
      </w:r>
    </w:p>
    <w:p w14:paraId="4D5BFF9D" w14:textId="77777777" w:rsidR="00582BF7" w:rsidRPr="001D6D10" w:rsidRDefault="00582BF7" w:rsidP="00582BF7">
      <w:pPr>
        <w:rPr>
          <w:rFonts w:ascii="ＭＳ ゴシック" w:eastAsia="ＭＳ ゴシック" w:hAnsi="ＭＳ ゴシック"/>
          <w:sz w:val="22"/>
          <w:szCs w:val="22"/>
        </w:rPr>
      </w:pPr>
      <w:r w:rsidRPr="001D6D10">
        <w:rPr>
          <w:rFonts w:ascii="ＭＳ ゴシック" w:eastAsia="ＭＳ ゴシック" w:hAnsi="ＭＳ ゴシック" w:hint="eastAsia"/>
          <w:sz w:val="22"/>
          <w:szCs w:val="22"/>
        </w:rPr>
        <w:lastRenderedPageBreak/>
        <w:t>⑥府民文化部</w:t>
      </w:r>
    </w:p>
    <w:tbl>
      <w:tblPr>
        <w:tblpPr w:leftFromText="142" w:rightFromText="142" w:vertAnchor="text" w:tblpXSpec="center" w:tblpY="1"/>
        <w:tblOverlap w:val="neve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57"/>
        <w:gridCol w:w="7037"/>
      </w:tblGrid>
      <w:tr w:rsidR="001D6D10" w:rsidRPr="001D6D10" w14:paraId="4A8F54D1" w14:textId="77777777" w:rsidTr="00F35CFE">
        <w:trPr>
          <w:jc w:val="center"/>
        </w:trPr>
        <w:tc>
          <w:tcPr>
            <w:tcW w:w="1457" w:type="dxa"/>
            <w:tcBorders>
              <w:bottom w:val="single" w:sz="4" w:space="0" w:color="auto"/>
            </w:tcBorders>
            <w:shd w:val="clear" w:color="auto" w:fill="BFBFBF"/>
          </w:tcPr>
          <w:p w14:paraId="5D6A0B5E" w14:textId="77777777" w:rsidR="00582BF7" w:rsidRPr="001D6D10" w:rsidRDefault="00582BF7" w:rsidP="00F35CFE">
            <w:pPr>
              <w:jc w:val="center"/>
              <w:rPr>
                <w:rFonts w:ascii="HG丸ｺﾞｼｯｸM-PRO" w:eastAsia="HG丸ｺﾞｼｯｸM-PRO" w:hAnsi="HG丸ｺﾞｼｯｸM-PRO"/>
                <w:szCs w:val="21"/>
              </w:rPr>
            </w:pPr>
            <w:r w:rsidRPr="001D6D10">
              <w:rPr>
                <w:rFonts w:ascii="HG丸ｺﾞｼｯｸM-PRO" w:eastAsia="HG丸ｺﾞｼｯｸM-PRO" w:hAnsi="HG丸ｺﾞｼｯｸM-PRO" w:hint="eastAsia"/>
                <w:szCs w:val="21"/>
              </w:rPr>
              <w:t>時　期</w:t>
            </w:r>
          </w:p>
        </w:tc>
        <w:tc>
          <w:tcPr>
            <w:tcW w:w="7037" w:type="dxa"/>
            <w:tcBorders>
              <w:bottom w:val="single" w:sz="4" w:space="0" w:color="auto"/>
            </w:tcBorders>
            <w:shd w:val="clear" w:color="auto" w:fill="BFBFBF"/>
          </w:tcPr>
          <w:p w14:paraId="4842ED1D" w14:textId="77777777" w:rsidR="00582BF7" w:rsidRPr="001D6D10" w:rsidRDefault="00E31DA1" w:rsidP="00F35CFE">
            <w:pPr>
              <w:jc w:val="center"/>
              <w:rPr>
                <w:rFonts w:ascii="HG丸ｺﾞｼｯｸM-PRO" w:eastAsia="HG丸ｺﾞｼｯｸM-PRO" w:hAnsi="HG丸ｺﾞｼｯｸM-PRO"/>
                <w:szCs w:val="21"/>
              </w:rPr>
            </w:pPr>
            <w:r w:rsidRPr="001D6D10">
              <w:rPr>
                <w:rFonts w:ascii="HG丸ｺﾞｼｯｸM-PRO" w:eastAsia="HG丸ｺﾞｼｯｸM-PRO" w:hAnsi="HG丸ｺﾞｼｯｸM-PRO" w:hint="eastAsia"/>
                <w:szCs w:val="21"/>
              </w:rPr>
              <w:t>主な事前準備</w:t>
            </w:r>
            <w:r w:rsidR="00582BF7" w:rsidRPr="001D6D10">
              <w:rPr>
                <w:rFonts w:ascii="HG丸ｺﾞｼｯｸM-PRO" w:eastAsia="HG丸ｺﾞｼｯｸM-PRO" w:hAnsi="HG丸ｺﾞｼｯｸM-PRO" w:hint="eastAsia"/>
                <w:szCs w:val="21"/>
              </w:rPr>
              <w:t>業務</w:t>
            </w:r>
          </w:p>
        </w:tc>
      </w:tr>
      <w:tr w:rsidR="001D6D10" w:rsidRPr="001D6D10" w14:paraId="4DBB5B60" w14:textId="77777777" w:rsidTr="00F35CFE">
        <w:trPr>
          <w:jc w:val="center"/>
        </w:trPr>
        <w:tc>
          <w:tcPr>
            <w:tcW w:w="1457" w:type="dxa"/>
            <w:vMerge w:val="restart"/>
            <w:shd w:val="clear" w:color="auto" w:fill="FFFFFF" w:themeFill="background1"/>
          </w:tcPr>
          <w:p w14:paraId="77B5A340" w14:textId="77777777" w:rsidR="002B3D2C" w:rsidRPr="001D6D10" w:rsidRDefault="002B3D2C" w:rsidP="00F35CFE">
            <w:pPr>
              <w:jc w:val="center"/>
              <w:rPr>
                <w:rFonts w:ascii="HG丸ｺﾞｼｯｸM-PRO" w:eastAsia="HG丸ｺﾞｼｯｸM-PRO" w:hAnsi="HG丸ｺﾞｼｯｸM-PRO"/>
                <w:szCs w:val="21"/>
              </w:rPr>
            </w:pPr>
          </w:p>
          <w:p w14:paraId="0E44B97A" w14:textId="77777777" w:rsidR="002B3D2C" w:rsidRPr="001D6D10" w:rsidRDefault="002B3D2C" w:rsidP="00F35CFE">
            <w:pPr>
              <w:jc w:val="center"/>
              <w:rPr>
                <w:rFonts w:ascii="HG丸ｺﾞｼｯｸM-PRO" w:eastAsia="HG丸ｺﾞｼｯｸM-PRO" w:hAnsi="HG丸ｺﾞｼｯｸM-PRO"/>
                <w:szCs w:val="21"/>
              </w:rPr>
            </w:pPr>
          </w:p>
          <w:p w14:paraId="7D8C2E18" w14:textId="77777777" w:rsidR="002B3D2C" w:rsidRPr="001D6D10" w:rsidRDefault="002B3D2C" w:rsidP="00F35CFE">
            <w:pPr>
              <w:jc w:val="center"/>
              <w:rPr>
                <w:rFonts w:ascii="HG丸ｺﾞｼｯｸM-PRO" w:eastAsia="HG丸ｺﾞｼｯｸM-PRO" w:hAnsi="HG丸ｺﾞｼｯｸM-PRO"/>
                <w:szCs w:val="21"/>
              </w:rPr>
            </w:pPr>
          </w:p>
          <w:p w14:paraId="05D15871" w14:textId="77777777" w:rsidR="002B3D2C" w:rsidRPr="001D6D10" w:rsidRDefault="002B3D2C" w:rsidP="00F35CFE">
            <w:pPr>
              <w:jc w:val="center"/>
              <w:rPr>
                <w:rFonts w:ascii="HG丸ｺﾞｼｯｸM-PRO" w:eastAsia="HG丸ｺﾞｼｯｸM-PRO" w:hAnsi="HG丸ｺﾞｼｯｸM-PRO"/>
                <w:szCs w:val="21"/>
              </w:rPr>
            </w:pPr>
          </w:p>
          <w:p w14:paraId="4B3A9522" w14:textId="77777777" w:rsidR="002B3D2C" w:rsidRPr="001D6D10" w:rsidRDefault="002B3D2C" w:rsidP="00F35CFE">
            <w:pPr>
              <w:jc w:val="center"/>
              <w:rPr>
                <w:rFonts w:ascii="HG丸ｺﾞｼｯｸM-PRO" w:eastAsia="HG丸ｺﾞｼｯｸM-PRO" w:hAnsi="HG丸ｺﾞｼｯｸM-PRO"/>
                <w:szCs w:val="21"/>
              </w:rPr>
            </w:pPr>
          </w:p>
          <w:p w14:paraId="21780807" w14:textId="77777777" w:rsidR="002B3D2C" w:rsidRPr="001D6D10" w:rsidRDefault="002B3D2C" w:rsidP="00F35CFE">
            <w:pPr>
              <w:jc w:val="center"/>
              <w:rPr>
                <w:rFonts w:ascii="HG丸ｺﾞｼｯｸM-PRO" w:eastAsia="HG丸ｺﾞｼｯｸM-PRO" w:hAnsi="HG丸ｺﾞｼｯｸM-PRO"/>
                <w:szCs w:val="21"/>
              </w:rPr>
            </w:pPr>
          </w:p>
          <w:p w14:paraId="14D8C3BF" w14:textId="77777777" w:rsidR="002B3D2C" w:rsidRPr="001D6D10" w:rsidRDefault="002B3D2C" w:rsidP="00F35CFE">
            <w:pPr>
              <w:jc w:val="center"/>
              <w:rPr>
                <w:rFonts w:ascii="HG丸ｺﾞｼｯｸM-PRO" w:eastAsia="HG丸ｺﾞｼｯｸM-PRO" w:hAnsi="HG丸ｺﾞｼｯｸM-PRO"/>
                <w:szCs w:val="21"/>
              </w:rPr>
            </w:pPr>
          </w:p>
          <w:p w14:paraId="5ADA29A3" w14:textId="1120FA1A" w:rsidR="00582BF7" w:rsidRPr="001D6D10" w:rsidRDefault="00582BF7" w:rsidP="00F35CFE">
            <w:pPr>
              <w:jc w:val="center"/>
              <w:rPr>
                <w:rFonts w:ascii="HG丸ｺﾞｼｯｸM-PRO" w:eastAsia="HG丸ｺﾞｼｯｸM-PRO" w:hAnsi="HG丸ｺﾞｼｯｸM-PRO"/>
                <w:szCs w:val="21"/>
              </w:rPr>
            </w:pPr>
            <w:r w:rsidRPr="001D6D10">
              <w:rPr>
                <w:rFonts w:ascii="HG丸ｺﾞｼｯｸM-PRO" w:eastAsia="HG丸ｺﾞｼｯｸM-PRO" w:hAnsi="HG丸ｺﾞｼｯｸM-PRO" w:hint="eastAsia"/>
                <w:szCs w:val="21"/>
              </w:rPr>
              <w:t>～48ｈ</w:t>
            </w:r>
            <w:r w:rsidR="0053084D" w:rsidRPr="001D6D10">
              <w:rPr>
                <w:rFonts w:ascii="HG丸ｺﾞｼｯｸM-PRO" w:eastAsia="HG丸ｺﾞｼｯｸM-PRO" w:hAnsi="HG丸ｺﾞｼｯｸM-PRO" w:hint="eastAsia"/>
                <w:szCs w:val="21"/>
              </w:rPr>
              <w:t>前</w:t>
            </w:r>
          </w:p>
          <w:p w14:paraId="7E7C3557" w14:textId="77777777" w:rsidR="00582BF7" w:rsidRPr="001D6D10" w:rsidRDefault="00582BF7" w:rsidP="00F35CFE">
            <w:pPr>
              <w:jc w:val="center"/>
              <w:rPr>
                <w:rFonts w:ascii="HG丸ｺﾞｼｯｸM-PRO" w:eastAsia="HG丸ｺﾞｼｯｸM-PRO" w:hAnsi="HG丸ｺﾞｼｯｸM-PRO"/>
                <w:sz w:val="20"/>
                <w:szCs w:val="20"/>
              </w:rPr>
            </w:pPr>
            <w:r w:rsidRPr="001D6D10">
              <w:rPr>
                <w:rFonts w:ascii="HG丸ｺﾞｼｯｸM-PRO" w:eastAsia="HG丸ｺﾞｼｯｸM-PRO" w:hAnsi="HG丸ｺﾞｼｯｸM-PRO" w:hint="eastAsia"/>
                <w:sz w:val="20"/>
                <w:szCs w:val="20"/>
              </w:rPr>
              <w:t>（３日以前）</w:t>
            </w:r>
          </w:p>
        </w:tc>
        <w:tc>
          <w:tcPr>
            <w:tcW w:w="7037" w:type="dxa"/>
            <w:tcBorders>
              <w:bottom w:val="single" w:sz="4" w:space="0" w:color="auto"/>
            </w:tcBorders>
            <w:shd w:val="clear" w:color="auto" w:fill="FFFFFF" w:themeFill="background1"/>
          </w:tcPr>
          <w:p w14:paraId="7E1756B8" w14:textId="77777777" w:rsidR="002E6752" w:rsidRPr="001D6D10" w:rsidRDefault="002E6752" w:rsidP="002E6752">
            <w:pPr>
              <w:rPr>
                <w:rFonts w:ascii="HG丸ｺﾞｼｯｸM-PRO" w:eastAsia="HG丸ｺﾞｼｯｸM-PRO" w:hAnsi="HG丸ｺﾞｼｯｸM-PRO"/>
                <w:szCs w:val="21"/>
              </w:rPr>
            </w:pPr>
            <w:r w:rsidRPr="001D6D10">
              <w:rPr>
                <w:rFonts w:ascii="HG丸ｺﾞｼｯｸM-PRO" w:eastAsia="HG丸ｺﾞｼｯｸM-PRO" w:hAnsi="HG丸ｺﾞｼｯｸM-PRO" w:hint="eastAsia"/>
                <w:szCs w:val="21"/>
              </w:rPr>
              <w:t>□危機管理室からの情報の共有【府民文化総務課】</w:t>
            </w:r>
          </w:p>
          <w:p w14:paraId="6066C475" w14:textId="77777777" w:rsidR="002E6752" w:rsidRPr="001D6D10" w:rsidRDefault="002E6752" w:rsidP="002E6752">
            <w:pPr>
              <w:rPr>
                <w:rFonts w:ascii="HG丸ｺﾞｼｯｸM-PRO" w:eastAsia="HG丸ｺﾞｼｯｸM-PRO" w:hAnsi="HG丸ｺﾞｼｯｸM-PRO"/>
                <w:szCs w:val="21"/>
              </w:rPr>
            </w:pPr>
            <w:r w:rsidRPr="001D6D10">
              <w:rPr>
                <w:rFonts w:ascii="HG丸ｺﾞｼｯｸM-PRO" w:eastAsia="HG丸ｺﾞｼｯｸM-PRO" w:hAnsi="HG丸ｺﾞｼｯｸM-PRO" w:hint="eastAsia"/>
                <w:szCs w:val="21"/>
              </w:rPr>
              <w:t>□連絡体制の確認【各所属】</w:t>
            </w:r>
          </w:p>
          <w:p w14:paraId="618BA0D5" w14:textId="77777777" w:rsidR="00582BF7" w:rsidRPr="001D6D10" w:rsidRDefault="002E6752" w:rsidP="002E6752">
            <w:pPr>
              <w:rPr>
                <w:rFonts w:ascii="HG丸ｺﾞｼｯｸM-PRO" w:eastAsia="HG丸ｺﾞｼｯｸM-PRO" w:hAnsi="HG丸ｺﾞｼｯｸM-PRO"/>
                <w:szCs w:val="21"/>
              </w:rPr>
            </w:pPr>
            <w:r w:rsidRPr="001D6D10">
              <w:rPr>
                <w:rFonts w:ascii="HG丸ｺﾞｼｯｸM-PRO" w:eastAsia="HG丸ｺﾞｼｯｸM-PRO" w:hAnsi="HG丸ｺﾞｼｯｸM-PRO" w:hint="eastAsia"/>
                <w:szCs w:val="21"/>
              </w:rPr>
              <w:t>□災害対応に関するマニュアル等の確認【各所属】</w:t>
            </w:r>
          </w:p>
          <w:p w14:paraId="44A5ED89" w14:textId="77777777" w:rsidR="008D31A3" w:rsidRPr="001D6D10" w:rsidRDefault="008D31A3" w:rsidP="008D31A3">
            <w:pPr>
              <w:rPr>
                <w:rFonts w:ascii="HG丸ｺﾞｼｯｸM-PRO" w:eastAsia="HG丸ｺﾞｼｯｸM-PRO" w:hAnsi="HG丸ｺﾞｼｯｸM-PRO"/>
                <w:szCs w:val="21"/>
              </w:rPr>
            </w:pPr>
            <w:r w:rsidRPr="001D6D10">
              <w:rPr>
                <w:rFonts w:ascii="HG丸ｺﾞｼｯｸM-PRO" w:eastAsia="HG丸ｺﾞｼｯｸM-PRO" w:hAnsi="HG丸ｺﾞｼｯｸM-PRO" w:hint="eastAsia"/>
                <w:szCs w:val="21"/>
              </w:rPr>
              <w:t>□指令部会議の事前準備</w:t>
            </w:r>
          </w:p>
          <w:p w14:paraId="2C9678A9" w14:textId="77777777" w:rsidR="008D31A3" w:rsidRPr="001D6D10" w:rsidRDefault="008D31A3" w:rsidP="008D31A3">
            <w:pPr>
              <w:rPr>
                <w:rFonts w:ascii="HG丸ｺﾞｼｯｸM-PRO" w:eastAsia="HG丸ｺﾞｼｯｸM-PRO" w:hAnsi="HG丸ｺﾞｼｯｸM-PRO"/>
                <w:strike/>
                <w:szCs w:val="21"/>
              </w:rPr>
            </w:pPr>
            <w:r w:rsidRPr="001D6D10">
              <w:rPr>
                <w:rFonts w:ascii="HG丸ｺﾞｼｯｸM-PRO" w:eastAsia="HG丸ｺﾞｼｯｸM-PRO" w:hAnsi="HG丸ｺﾞｼｯｸM-PRO" w:hint="eastAsia"/>
                <w:szCs w:val="21"/>
              </w:rPr>
              <w:t xml:space="preserve">　</w:t>
            </w:r>
            <w:r w:rsidR="005B33EE" w:rsidRPr="001D6D10">
              <w:rPr>
                <w:rFonts w:ascii="HG丸ｺﾞｼｯｸM-PRO" w:eastAsia="HG丸ｺﾞｼｯｸM-PRO" w:hAnsi="HG丸ｺﾞｼｯｸM-PRO" w:hint="eastAsia"/>
                <w:szCs w:val="21"/>
              </w:rPr>
              <w:t>・イベントの有無確認（府主催、共催）</w:t>
            </w:r>
          </w:p>
          <w:p w14:paraId="239FC7B5" w14:textId="77777777" w:rsidR="008D31A3" w:rsidRPr="001D6D10" w:rsidRDefault="008D31A3" w:rsidP="008D31A3">
            <w:pPr>
              <w:rPr>
                <w:rFonts w:ascii="HG丸ｺﾞｼｯｸM-PRO" w:eastAsia="HG丸ｺﾞｼｯｸM-PRO" w:hAnsi="HG丸ｺﾞｼｯｸM-PRO"/>
                <w:szCs w:val="21"/>
              </w:rPr>
            </w:pPr>
            <w:r w:rsidRPr="001D6D10">
              <w:rPr>
                <w:rFonts w:ascii="HG丸ｺﾞｼｯｸM-PRO" w:eastAsia="HG丸ｺﾞｼｯｸM-PRO" w:hAnsi="HG丸ｺﾞｼｯｸM-PRO" w:hint="eastAsia"/>
                <w:szCs w:val="21"/>
              </w:rPr>
              <w:t xml:space="preserve">　・所管団体等への注意喚起など</w:t>
            </w:r>
          </w:p>
          <w:p w14:paraId="43BD3C33" w14:textId="77777777" w:rsidR="00C16ADC" w:rsidRPr="001D6D10" w:rsidRDefault="00C16ADC" w:rsidP="008D31A3">
            <w:pPr>
              <w:rPr>
                <w:rFonts w:ascii="HG丸ｺﾞｼｯｸM-PRO" w:eastAsia="HG丸ｺﾞｼｯｸM-PRO" w:hAnsi="HG丸ｺﾞｼｯｸM-PRO"/>
                <w:szCs w:val="21"/>
              </w:rPr>
            </w:pPr>
            <w:r w:rsidRPr="001D6D10">
              <w:rPr>
                <w:rFonts w:ascii="HG丸ｺﾞｼｯｸM-PRO" w:eastAsia="HG丸ｺﾞｼｯｸM-PRO" w:hAnsi="HG丸ｺﾞｼｯｸM-PRO" w:hint="eastAsia"/>
                <w:szCs w:val="21"/>
              </w:rPr>
              <w:t>□情報発信について危機管理室と調整【広報広聴課】</w:t>
            </w:r>
          </w:p>
        </w:tc>
      </w:tr>
      <w:tr w:rsidR="001D6D10" w:rsidRPr="001D6D10" w14:paraId="4D143D77" w14:textId="77777777" w:rsidTr="00F35CFE">
        <w:trPr>
          <w:jc w:val="center"/>
        </w:trPr>
        <w:tc>
          <w:tcPr>
            <w:tcW w:w="1457" w:type="dxa"/>
            <w:vMerge/>
          </w:tcPr>
          <w:p w14:paraId="27AD4C77" w14:textId="77777777" w:rsidR="00582BF7" w:rsidRPr="001D6D10" w:rsidRDefault="00582BF7" w:rsidP="00F35CFE">
            <w:pPr>
              <w:rPr>
                <w:rFonts w:ascii="HG丸ｺﾞｼｯｸM-PRO" w:eastAsia="HG丸ｺﾞｼｯｸM-PRO" w:hAnsi="HG丸ｺﾞｼｯｸM-PRO"/>
                <w:szCs w:val="21"/>
              </w:rPr>
            </w:pPr>
          </w:p>
        </w:tc>
        <w:tc>
          <w:tcPr>
            <w:tcW w:w="7037" w:type="dxa"/>
          </w:tcPr>
          <w:p w14:paraId="3E5B3BDC" w14:textId="77777777" w:rsidR="00582BF7" w:rsidRPr="001D6D10" w:rsidRDefault="00582BF7" w:rsidP="00F35CFE">
            <w:pPr>
              <w:rPr>
                <w:rFonts w:ascii="HG丸ｺﾞｼｯｸM-PRO" w:eastAsia="HG丸ｺﾞｼｯｸM-PRO" w:hAnsi="HG丸ｺﾞｼｯｸM-PRO"/>
                <w:szCs w:val="21"/>
              </w:rPr>
            </w:pPr>
            <w:r w:rsidRPr="001D6D10">
              <w:rPr>
                <w:rFonts w:ascii="HG丸ｺﾞｼｯｸM-PRO" w:eastAsia="HG丸ｺﾞｼｯｸM-PRO" w:hAnsi="HG丸ｺﾞｼｯｸM-PRO" w:hint="eastAsia"/>
                <w:b/>
                <w:szCs w:val="21"/>
                <w:highlight w:val="yellow"/>
              </w:rPr>
              <w:t>防災・危機管理指令部会議</w:t>
            </w:r>
            <w:r w:rsidRPr="001D6D10">
              <w:rPr>
                <w:rFonts w:ascii="HG丸ｺﾞｼｯｸM-PRO" w:eastAsia="HG丸ｺﾞｼｯｸM-PRO" w:hAnsi="HG丸ｺﾞｼｯｸM-PRO" w:hint="eastAsia"/>
                <w:szCs w:val="21"/>
                <w:highlight w:val="yellow"/>
              </w:rPr>
              <w:t>（おおよそ７２ｈ前）</w:t>
            </w:r>
            <w:r w:rsidR="00CB0ABF" w:rsidRPr="001D6D10">
              <w:rPr>
                <w:rFonts w:ascii="HG丸ｺﾞｼｯｸM-PRO" w:eastAsia="HG丸ｺﾞｼｯｸM-PRO" w:hAnsi="HG丸ｺﾞｼｯｸM-PRO" w:hint="eastAsia"/>
                <w:szCs w:val="21"/>
                <w:highlight w:val="yellow"/>
              </w:rPr>
              <w:t>（Ｐ42</w:t>
            </w:r>
            <w:r w:rsidR="00AD02A5" w:rsidRPr="001D6D10">
              <w:rPr>
                <w:rFonts w:ascii="HG丸ｺﾞｼｯｸM-PRO" w:eastAsia="HG丸ｺﾞｼｯｸM-PRO" w:hAnsi="HG丸ｺﾞｼｯｸM-PRO" w:hint="eastAsia"/>
                <w:szCs w:val="21"/>
                <w:highlight w:val="yellow"/>
              </w:rPr>
              <w:t>参照）</w:t>
            </w:r>
          </w:p>
        </w:tc>
      </w:tr>
      <w:tr w:rsidR="001D6D10" w:rsidRPr="001D6D10" w14:paraId="23B13E65" w14:textId="77777777" w:rsidTr="00F35CFE">
        <w:trPr>
          <w:jc w:val="center"/>
        </w:trPr>
        <w:tc>
          <w:tcPr>
            <w:tcW w:w="1457" w:type="dxa"/>
            <w:vMerge/>
          </w:tcPr>
          <w:p w14:paraId="1C86D034" w14:textId="77777777" w:rsidR="002E6752" w:rsidRPr="001D6D10" w:rsidRDefault="002E6752" w:rsidP="002E6752">
            <w:pPr>
              <w:rPr>
                <w:rFonts w:ascii="HG丸ｺﾞｼｯｸM-PRO" w:eastAsia="HG丸ｺﾞｼｯｸM-PRO" w:hAnsi="HG丸ｺﾞｼｯｸM-PRO"/>
                <w:szCs w:val="21"/>
              </w:rPr>
            </w:pPr>
          </w:p>
        </w:tc>
        <w:tc>
          <w:tcPr>
            <w:tcW w:w="7037" w:type="dxa"/>
          </w:tcPr>
          <w:p w14:paraId="7AEE29C9" w14:textId="77777777" w:rsidR="002E6752" w:rsidRPr="001D6D10" w:rsidRDefault="002E6752" w:rsidP="002E6752">
            <w:pPr>
              <w:rPr>
                <w:rFonts w:ascii="HG丸ｺﾞｼｯｸM-PRO" w:eastAsia="HG丸ｺﾞｼｯｸM-PRO" w:hAnsi="HG丸ｺﾞｼｯｸM-PRO"/>
                <w:szCs w:val="21"/>
              </w:rPr>
            </w:pPr>
            <w:r w:rsidRPr="001D6D10">
              <w:rPr>
                <w:rFonts w:ascii="HG丸ｺﾞｼｯｸM-PRO" w:eastAsia="HG丸ｺﾞｼｯｸM-PRO" w:hAnsi="HG丸ｺﾞｼｯｸM-PRO" w:hint="eastAsia"/>
                <w:szCs w:val="21"/>
              </w:rPr>
              <w:t>□危機管理室からの情報の共有【府民文化総務課】</w:t>
            </w:r>
          </w:p>
          <w:p w14:paraId="1DC60E7D" w14:textId="31858B4C" w:rsidR="002E6752" w:rsidRPr="00E0548A" w:rsidRDefault="002E6752" w:rsidP="002E6752">
            <w:pPr>
              <w:rPr>
                <w:rFonts w:ascii="HG丸ｺﾞｼｯｸM-PRO" w:eastAsia="HG丸ｺﾞｼｯｸM-PRO" w:hAnsi="HG丸ｺﾞｼｯｸM-PRO"/>
                <w:szCs w:val="21"/>
              </w:rPr>
            </w:pPr>
            <w:r w:rsidRPr="001D6D10">
              <w:rPr>
                <w:rFonts w:ascii="HG丸ｺﾞｼｯｸM-PRO" w:eastAsia="HG丸ｺﾞｼｯｸM-PRO" w:hAnsi="HG丸ｺﾞｼｯｸM-PRO" w:hint="eastAsia"/>
                <w:szCs w:val="21"/>
              </w:rPr>
              <w:t>□外国人向け情報について危機管理室</w:t>
            </w:r>
            <w:r w:rsidRPr="00E0548A">
              <w:rPr>
                <w:rFonts w:ascii="HG丸ｺﾞｼｯｸM-PRO" w:eastAsia="HG丸ｺﾞｼｯｸM-PRO" w:hAnsi="HG丸ｺﾞｼｯｸM-PRO" w:hint="eastAsia"/>
                <w:szCs w:val="21"/>
              </w:rPr>
              <w:t>と調整</w:t>
            </w:r>
            <w:r w:rsidR="00CD4EC2" w:rsidRPr="00E0548A">
              <w:rPr>
                <w:rFonts w:ascii="HG丸ｺﾞｼｯｸM-PRO" w:eastAsia="HG丸ｺﾞｼｯｸM-PRO" w:hAnsi="HG丸ｺﾞｼｯｸM-PRO" w:hint="eastAsia"/>
                <w:szCs w:val="21"/>
              </w:rPr>
              <w:t>（大阪防災アプリ）</w:t>
            </w:r>
            <w:r w:rsidRPr="00E0548A">
              <w:rPr>
                <w:rFonts w:ascii="HG丸ｺﾞｼｯｸM-PRO" w:eastAsia="HG丸ｺﾞｼｯｸM-PRO" w:hAnsi="HG丸ｺﾞｼｯｸM-PRO" w:hint="eastAsia"/>
                <w:szCs w:val="21"/>
              </w:rPr>
              <w:t>【国際課】</w:t>
            </w:r>
          </w:p>
          <w:p w14:paraId="52269EA9" w14:textId="77777777" w:rsidR="002E6752" w:rsidRPr="001D6D10" w:rsidRDefault="002E6752" w:rsidP="002E6752">
            <w:pPr>
              <w:rPr>
                <w:rFonts w:ascii="HG丸ｺﾞｼｯｸM-PRO" w:eastAsia="HG丸ｺﾞｼｯｸM-PRO" w:hAnsi="HG丸ｺﾞｼｯｸM-PRO"/>
                <w:strike/>
                <w:szCs w:val="21"/>
              </w:rPr>
            </w:pPr>
            <w:r w:rsidRPr="00E0548A">
              <w:rPr>
                <w:rFonts w:ascii="HG丸ｺﾞｼｯｸM-PRO" w:eastAsia="HG丸ｺﾞｼｯｸM-PRO" w:hAnsi="HG丸ｺﾞｼｯｸM-PRO" w:hint="eastAsia"/>
                <w:szCs w:val="21"/>
              </w:rPr>
              <w:t>□万博公園施設の点検確認【万博記念公園事務所】</w:t>
            </w:r>
          </w:p>
          <w:p w14:paraId="2EA19DA6" w14:textId="77777777" w:rsidR="002E6752" w:rsidRPr="001D6D10" w:rsidRDefault="002E6752" w:rsidP="002E6752">
            <w:pPr>
              <w:rPr>
                <w:rFonts w:ascii="HG丸ｺﾞｼｯｸM-PRO" w:eastAsia="HG丸ｺﾞｼｯｸM-PRO" w:hAnsi="HG丸ｺﾞｼｯｸM-PRO"/>
                <w:strike/>
                <w:szCs w:val="21"/>
              </w:rPr>
            </w:pPr>
            <w:r w:rsidRPr="001D6D10">
              <w:rPr>
                <w:rFonts w:ascii="HG丸ｺﾞｼｯｸM-PRO" w:eastAsia="HG丸ｺﾞｼｯｸM-PRO" w:hAnsi="HG丸ｺﾞｼｯｸM-PRO" w:hint="eastAsia"/>
                <w:szCs w:val="21"/>
              </w:rPr>
              <w:t>□所管施設の安全確認【施設所管課】</w:t>
            </w:r>
          </w:p>
          <w:p w14:paraId="0929C47F" w14:textId="77777777" w:rsidR="002E6752" w:rsidRPr="001D6D10" w:rsidRDefault="002E6752" w:rsidP="002E6752">
            <w:pPr>
              <w:rPr>
                <w:rFonts w:ascii="HG丸ｺﾞｼｯｸM-PRO" w:eastAsia="HG丸ｺﾞｼｯｸM-PRO" w:hAnsi="HG丸ｺﾞｼｯｸM-PRO"/>
                <w:strike/>
                <w:szCs w:val="21"/>
              </w:rPr>
            </w:pPr>
            <w:r w:rsidRPr="001D6D10">
              <w:rPr>
                <w:rFonts w:ascii="HG丸ｺﾞｼｯｸM-PRO" w:eastAsia="HG丸ｺﾞｼｯｸM-PRO" w:hAnsi="HG丸ｺﾞｼｯｸM-PRO" w:hint="eastAsia"/>
                <w:szCs w:val="21"/>
              </w:rPr>
              <w:t>□事前対策確認【各所属】</w:t>
            </w:r>
          </w:p>
          <w:p w14:paraId="2263F1CA" w14:textId="77777777" w:rsidR="002E6752" w:rsidRPr="001D6D10" w:rsidRDefault="002E6752" w:rsidP="002E6752">
            <w:pPr>
              <w:rPr>
                <w:rFonts w:ascii="HG丸ｺﾞｼｯｸM-PRO" w:eastAsia="HG丸ｺﾞｼｯｸM-PRO" w:hAnsi="HG丸ｺﾞｼｯｸM-PRO"/>
                <w:szCs w:val="21"/>
              </w:rPr>
            </w:pPr>
            <w:r w:rsidRPr="001D6D10">
              <w:rPr>
                <w:rFonts w:ascii="HG丸ｺﾞｼｯｸM-PRO" w:eastAsia="HG丸ｺﾞｼｯｸM-PRO" w:hAnsi="HG丸ｺﾞｼｯｸM-PRO" w:hint="eastAsia"/>
                <w:szCs w:val="21"/>
              </w:rPr>
              <w:t>□各種情報発信【広報広聴課】</w:t>
            </w:r>
          </w:p>
          <w:p w14:paraId="6F3F87F4" w14:textId="77777777" w:rsidR="002E6752" w:rsidRPr="001D6D10" w:rsidRDefault="002E6752" w:rsidP="002E6752">
            <w:pPr>
              <w:ind w:firstLineChars="100" w:firstLine="211"/>
              <w:rPr>
                <w:rFonts w:ascii="HG丸ｺﾞｼｯｸM-PRO" w:eastAsia="HG丸ｺﾞｼｯｸM-PRO" w:hAnsi="HG丸ｺﾞｼｯｸM-PRO"/>
                <w:szCs w:val="21"/>
              </w:rPr>
            </w:pPr>
            <w:r w:rsidRPr="001D6D10">
              <w:rPr>
                <w:rFonts w:ascii="HG丸ｺﾞｼｯｸM-PRO" w:eastAsia="HG丸ｺﾞｼｯｸM-PRO" w:hAnsi="HG丸ｺﾞｼｯｸM-PRO" w:hint="eastAsia"/>
                <w:szCs w:val="21"/>
              </w:rPr>
              <w:t>・府HPの「緊急のお知らせ」「重要なお知らせ」更新</w:t>
            </w:r>
          </w:p>
          <w:p w14:paraId="734F96F8" w14:textId="10246F90" w:rsidR="002E6752" w:rsidRPr="001D6D10" w:rsidRDefault="002E6752" w:rsidP="002E6752">
            <w:pPr>
              <w:ind w:firstLineChars="100" w:firstLine="211"/>
              <w:rPr>
                <w:rFonts w:ascii="HG丸ｺﾞｼｯｸM-PRO" w:eastAsia="HG丸ｺﾞｼｯｸM-PRO" w:hAnsi="HG丸ｺﾞｼｯｸM-PRO"/>
                <w:szCs w:val="21"/>
              </w:rPr>
            </w:pPr>
            <w:r w:rsidRPr="001D6D10">
              <w:rPr>
                <w:rFonts w:ascii="HG丸ｺﾞｼｯｸM-PRO" w:eastAsia="HG丸ｺﾞｼｯｸM-PRO" w:hAnsi="HG丸ｺﾞｼｯｸM-PRO" w:hint="eastAsia"/>
                <w:szCs w:val="21"/>
              </w:rPr>
              <w:t>・</w:t>
            </w:r>
            <w:r w:rsidR="009078F5" w:rsidRPr="001D6D10">
              <w:rPr>
                <w:rFonts w:ascii="HG丸ｺﾞｼｯｸM-PRO" w:eastAsia="HG丸ｺﾞｼｯｸM-PRO" w:hAnsi="HG丸ｺﾞｼｯｸM-PRO" w:hint="eastAsia"/>
                <w:szCs w:val="21"/>
              </w:rPr>
              <w:t>府公式X（旧</w:t>
            </w:r>
            <w:r w:rsidR="009078F5" w:rsidRPr="001D6D10">
              <w:rPr>
                <w:rFonts w:ascii="HG丸ｺﾞｼｯｸM-PRO" w:eastAsia="HG丸ｺﾞｼｯｸM-PRO" w:hAnsi="HG丸ｺﾞｼｯｸM-PRO"/>
                <w:szCs w:val="21"/>
              </w:rPr>
              <w:t>Twitter</w:t>
            </w:r>
            <w:r w:rsidR="009078F5" w:rsidRPr="001D6D10">
              <w:rPr>
                <w:rFonts w:ascii="HG丸ｺﾞｼｯｸM-PRO" w:eastAsia="HG丸ｺﾞｼｯｸM-PRO" w:hAnsi="HG丸ｺﾞｼｯｸM-PRO" w:hint="eastAsia"/>
                <w:szCs w:val="21"/>
              </w:rPr>
              <w:t>）</w:t>
            </w:r>
            <w:r w:rsidRPr="001D6D10">
              <w:rPr>
                <w:rFonts w:ascii="HG丸ｺﾞｼｯｸM-PRO" w:eastAsia="HG丸ｺﾞｼｯｸM-PRO" w:hAnsi="HG丸ｺﾞｼｯｸM-PRO" w:hint="eastAsia"/>
                <w:szCs w:val="21"/>
              </w:rPr>
              <w:t>・</w:t>
            </w:r>
            <w:proofErr w:type="spellStart"/>
            <w:r w:rsidRPr="001D6D10">
              <w:rPr>
                <w:rFonts w:ascii="HG丸ｺﾞｼｯｸM-PRO" w:eastAsia="HG丸ｺﾞｼｯｸM-PRO" w:hAnsi="HG丸ｺﾞｼｯｸM-PRO" w:hint="eastAsia"/>
                <w:szCs w:val="21"/>
              </w:rPr>
              <w:t>facebook</w:t>
            </w:r>
            <w:proofErr w:type="spellEnd"/>
          </w:p>
          <w:p w14:paraId="4F5FA7B2" w14:textId="77777777" w:rsidR="002E6752" w:rsidRPr="001D6D10" w:rsidRDefault="002E6752" w:rsidP="002E6752">
            <w:pPr>
              <w:ind w:firstLineChars="100" w:firstLine="211"/>
              <w:rPr>
                <w:rFonts w:ascii="HG丸ｺﾞｼｯｸM-PRO" w:eastAsia="HG丸ｺﾞｼｯｸM-PRO" w:hAnsi="HG丸ｺﾞｼｯｸM-PRO"/>
                <w:szCs w:val="21"/>
              </w:rPr>
            </w:pPr>
            <w:r w:rsidRPr="001D6D10">
              <w:rPr>
                <w:rFonts w:ascii="HG丸ｺﾞｼｯｸM-PRO" w:eastAsia="HG丸ｺﾞｼｯｸM-PRO" w:hAnsi="HG丸ｺﾞｼｯｸM-PRO" w:hint="eastAsia"/>
                <w:szCs w:val="21"/>
              </w:rPr>
              <w:t>・府LINE公式アカウント</w:t>
            </w:r>
          </w:p>
        </w:tc>
      </w:tr>
      <w:tr w:rsidR="001D6D10" w:rsidRPr="001D6D10" w14:paraId="393BCF4D" w14:textId="77777777" w:rsidTr="00F35CFE">
        <w:trPr>
          <w:jc w:val="center"/>
        </w:trPr>
        <w:tc>
          <w:tcPr>
            <w:tcW w:w="1457" w:type="dxa"/>
            <w:vMerge w:val="restart"/>
          </w:tcPr>
          <w:p w14:paraId="61B35D4A" w14:textId="77777777" w:rsidR="002B3D2C" w:rsidRPr="001D6D10" w:rsidRDefault="002B3D2C" w:rsidP="002E6752">
            <w:pPr>
              <w:rPr>
                <w:rFonts w:ascii="HG丸ｺﾞｼｯｸM-PRO" w:eastAsia="HG丸ｺﾞｼｯｸM-PRO" w:hAnsi="HG丸ｺﾞｼｯｸM-PRO"/>
                <w:szCs w:val="21"/>
              </w:rPr>
            </w:pPr>
          </w:p>
          <w:p w14:paraId="390ECD5B" w14:textId="77777777" w:rsidR="002B3D2C" w:rsidRPr="001D6D10" w:rsidRDefault="002B3D2C" w:rsidP="002E6752">
            <w:pPr>
              <w:rPr>
                <w:rFonts w:ascii="HG丸ｺﾞｼｯｸM-PRO" w:eastAsia="HG丸ｺﾞｼｯｸM-PRO" w:hAnsi="HG丸ｺﾞｼｯｸM-PRO"/>
                <w:szCs w:val="21"/>
              </w:rPr>
            </w:pPr>
          </w:p>
          <w:p w14:paraId="07E8DE00" w14:textId="77777777" w:rsidR="002B3D2C" w:rsidRPr="001D6D10" w:rsidRDefault="002B3D2C" w:rsidP="002E6752">
            <w:pPr>
              <w:rPr>
                <w:rFonts w:ascii="HG丸ｺﾞｼｯｸM-PRO" w:eastAsia="HG丸ｺﾞｼｯｸM-PRO" w:hAnsi="HG丸ｺﾞｼｯｸM-PRO"/>
                <w:szCs w:val="21"/>
              </w:rPr>
            </w:pPr>
          </w:p>
          <w:p w14:paraId="0B99537C" w14:textId="77777777" w:rsidR="002B3D2C" w:rsidRPr="001D6D10" w:rsidRDefault="002B3D2C" w:rsidP="002E6752">
            <w:pPr>
              <w:rPr>
                <w:rFonts w:ascii="HG丸ｺﾞｼｯｸM-PRO" w:eastAsia="HG丸ｺﾞｼｯｸM-PRO" w:hAnsi="HG丸ｺﾞｼｯｸM-PRO"/>
                <w:szCs w:val="21"/>
              </w:rPr>
            </w:pPr>
          </w:p>
          <w:p w14:paraId="14247957" w14:textId="77777777" w:rsidR="002B3D2C" w:rsidRPr="001D6D10" w:rsidRDefault="002B3D2C" w:rsidP="002E6752">
            <w:pPr>
              <w:rPr>
                <w:rFonts w:ascii="HG丸ｺﾞｼｯｸM-PRO" w:eastAsia="HG丸ｺﾞｼｯｸM-PRO" w:hAnsi="HG丸ｺﾞｼｯｸM-PRO"/>
                <w:szCs w:val="21"/>
              </w:rPr>
            </w:pPr>
          </w:p>
          <w:p w14:paraId="564FC869" w14:textId="77777777" w:rsidR="002B3D2C" w:rsidRPr="001D6D10" w:rsidRDefault="002B3D2C" w:rsidP="002E6752">
            <w:pPr>
              <w:rPr>
                <w:rFonts w:ascii="HG丸ｺﾞｼｯｸM-PRO" w:eastAsia="HG丸ｺﾞｼｯｸM-PRO" w:hAnsi="HG丸ｺﾞｼｯｸM-PRO"/>
                <w:szCs w:val="21"/>
              </w:rPr>
            </w:pPr>
          </w:p>
          <w:p w14:paraId="4DC83AC3" w14:textId="77777777" w:rsidR="002B3D2C" w:rsidRPr="001D6D10" w:rsidRDefault="002B3D2C" w:rsidP="002E6752">
            <w:pPr>
              <w:rPr>
                <w:rFonts w:ascii="HG丸ｺﾞｼｯｸM-PRO" w:eastAsia="HG丸ｺﾞｼｯｸM-PRO" w:hAnsi="HG丸ｺﾞｼｯｸM-PRO"/>
                <w:szCs w:val="21"/>
              </w:rPr>
            </w:pPr>
          </w:p>
          <w:p w14:paraId="158323C8" w14:textId="77777777" w:rsidR="002B3D2C" w:rsidRPr="001D6D10" w:rsidRDefault="002B3D2C" w:rsidP="002E6752">
            <w:pPr>
              <w:rPr>
                <w:rFonts w:ascii="HG丸ｺﾞｼｯｸM-PRO" w:eastAsia="HG丸ｺﾞｼｯｸM-PRO" w:hAnsi="HG丸ｺﾞｼｯｸM-PRO"/>
                <w:szCs w:val="21"/>
              </w:rPr>
            </w:pPr>
          </w:p>
          <w:p w14:paraId="63007A6F" w14:textId="77777777" w:rsidR="002E6752" w:rsidRPr="001D6D10" w:rsidRDefault="002E6752" w:rsidP="002E6752">
            <w:pPr>
              <w:rPr>
                <w:rFonts w:ascii="HG丸ｺﾞｼｯｸM-PRO" w:eastAsia="HG丸ｺﾞｼｯｸM-PRO" w:hAnsi="HG丸ｺﾞｼｯｸM-PRO"/>
                <w:szCs w:val="21"/>
              </w:rPr>
            </w:pPr>
            <w:r w:rsidRPr="001D6D10">
              <w:rPr>
                <w:rFonts w:ascii="HG丸ｺﾞｼｯｸM-PRO" w:eastAsia="HG丸ｺﾞｼｯｸM-PRO" w:hAnsi="HG丸ｺﾞｼｯｸM-PRO" w:hint="eastAsia"/>
                <w:szCs w:val="21"/>
              </w:rPr>
              <w:t>48ｈ前～</w:t>
            </w:r>
          </w:p>
          <w:p w14:paraId="2465D8CE" w14:textId="77777777" w:rsidR="002E6752" w:rsidRPr="001D6D10" w:rsidRDefault="002E6752" w:rsidP="002E6752">
            <w:pPr>
              <w:rPr>
                <w:rFonts w:ascii="HG丸ｺﾞｼｯｸM-PRO" w:eastAsia="HG丸ｺﾞｼｯｸM-PRO" w:hAnsi="HG丸ｺﾞｼｯｸM-PRO"/>
                <w:szCs w:val="21"/>
              </w:rPr>
            </w:pPr>
            <w:r w:rsidRPr="001D6D10">
              <w:rPr>
                <w:rFonts w:ascii="HG丸ｺﾞｼｯｸM-PRO" w:eastAsia="HG丸ｺﾞｼｯｸM-PRO" w:hAnsi="HG丸ｺﾞｼｯｸM-PRO" w:hint="eastAsia"/>
                <w:szCs w:val="21"/>
              </w:rPr>
              <w:t xml:space="preserve">　　24ｈ前</w:t>
            </w:r>
          </w:p>
          <w:p w14:paraId="723B2090" w14:textId="77777777" w:rsidR="002E6752" w:rsidRPr="001D6D10" w:rsidRDefault="002E6752" w:rsidP="002E6752">
            <w:pPr>
              <w:rPr>
                <w:rFonts w:ascii="HG丸ｺﾞｼｯｸM-PRO" w:eastAsia="HG丸ｺﾞｼｯｸM-PRO" w:hAnsi="HG丸ｺﾞｼｯｸM-PRO"/>
                <w:szCs w:val="21"/>
              </w:rPr>
            </w:pPr>
            <w:r w:rsidRPr="001D6D10">
              <w:rPr>
                <w:rFonts w:ascii="HG丸ｺﾞｼｯｸM-PRO" w:eastAsia="HG丸ｺﾞｼｯｸM-PRO" w:hAnsi="HG丸ｺﾞｼｯｸM-PRO" w:hint="eastAsia"/>
                <w:szCs w:val="21"/>
              </w:rPr>
              <w:t>（２日前）</w:t>
            </w:r>
          </w:p>
        </w:tc>
        <w:tc>
          <w:tcPr>
            <w:tcW w:w="7037" w:type="dxa"/>
          </w:tcPr>
          <w:p w14:paraId="615D2A53" w14:textId="77777777" w:rsidR="002E6752" w:rsidRPr="001D6D10" w:rsidRDefault="002E6752" w:rsidP="002E6752">
            <w:pPr>
              <w:rPr>
                <w:rFonts w:ascii="HG丸ｺﾞｼｯｸM-PRO" w:eastAsia="HG丸ｺﾞｼｯｸM-PRO" w:hAnsi="HG丸ｺﾞｼｯｸM-PRO"/>
                <w:sz w:val="18"/>
                <w:szCs w:val="18"/>
              </w:rPr>
            </w:pPr>
            <w:r w:rsidRPr="001D6D10">
              <w:rPr>
                <w:rFonts w:ascii="HG丸ｺﾞｼｯｸM-PRO" w:eastAsia="HG丸ｺﾞｼｯｸM-PRO" w:hAnsi="HG丸ｺﾞｼｯｸM-PRO" w:hint="eastAsia"/>
                <w:szCs w:val="21"/>
              </w:rPr>
              <w:t>庁内連絡会議①：災害モード宣言の内容、第1回災害警戒本部会議の事前調整等</w:t>
            </w:r>
            <w:r w:rsidRPr="001D6D10">
              <w:rPr>
                <w:rFonts w:ascii="HG丸ｺﾞｼｯｸM-PRO" w:eastAsia="HG丸ｺﾞｼｯｸM-PRO" w:hAnsi="HG丸ｺﾞｼｯｸM-PRO" w:hint="eastAsia"/>
                <w:sz w:val="18"/>
                <w:szCs w:val="18"/>
              </w:rPr>
              <w:t>(警戒本部会議議題：管理施設の休館及び学校休校の検討、イベント等の中止検討、職員の配備態勢)</w:t>
            </w:r>
          </w:p>
          <w:p w14:paraId="4E2D8F4A" w14:textId="77777777" w:rsidR="000515D7" w:rsidRPr="001D6D10" w:rsidRDefault="000515D7" w:rsidP="000515D7">
            <w:pPr>
              <w:rPr>
                <w:rFonts w:ascii="HG丸ｺﾞｼｯｸM-PRO" w:eastAsia="HG丸ｺﾞｼｯｸM-PRO" w:hAnsi="HG丸ｺﾞｼｯｸM-PRO"/>
                <w:szCs w:val="21"/>
              </w:rPr>
            </w:pPr>
            <w:r w:rsidRPr="001D6D10">
              <w:rPr>
                <w:rFonts w:ascii="HG丸ｺﾞｼｯｸM-PRO" w:eastAsia="HG丸ｺﾞｼｯｸM-PRO" w:hAnsi="HG丸ｺﾞｼｯｸM-PRO" w:hint="eastAsia"/>
                <w:szCs w:val="21"/>
              </w:rPr>
              <w:t>□第１回災害警戒本部会議の事前準備</w:t>
            </w:r>
          </w:p>
          <w:p w14:paraId="44DEDB41" w14:textId="77777777" w:rsidR="000515D7" w:rsidRPr="001D6D10" w:rsidRDefault="000515D7" w:rsidP="000515D7">
            <w:pPr>
              <w:rPr>
                <w:rFonts w:ascii="HG丸ｺﾞｼｯｸM-PRO" w:eastAsia="HG丸ｺﾞｼｯｸM-PRO" w:hAnsi="HG丸ｺﾞｼｯｸM-PRO"/>
                <w:szCs w:val="21"/>
              </w:rPr>
            </w:pPr>
            <w:r w:rsidRPr="001D6D10">
              <w:rPr>
                <w:rFonts w:ascii="HG丸ｺﾞｼｯｸM-PRO" w:eastAsia="HG丸ｺﾞｼｯｸM-PRO" w:hAnsi="HG丸ｺﾞｼｯｸM-PRO" w:hint="eastAsia"/>
                <w:szCs w:val="21"/>
              </w:rPr>
              <w:t xml:space="preserve">　・部局内の対応状況の確認、会議での報告のとりまとめ</w:t>
            </w:r>
          </w:p>
          <w:p w14:paraId="348E307E" w14:textId="77777777" w:rsidR="00335440" w:rsidRPr="001D6D10" w:rsidRDefault="000515D7" w:rsidP="00335440">
            <w:pPr>
              <w:rPr>
                <w:rFonts w:ascii="HG丸ｺﾞｼｯｸM-PRO" w:eastAsia="HG丸ｺﾞｼｯｸM-PRO" w:hAnsi="HG丸ｺﾞｼｯｸM-PRO"/>
                <w:szCs w:val="21"/>
              </w:rPr>
            </w:pPr>
            <w:r w:rsidRPr="001D6D10">
              <w:rPr>
                <w:rFonts w:ascii="HG丸ｺﾞｼｯｸM-PRO" w:eastAsia="HG丸ｺﾞｼｯｸM-PRO" w:hAnsi="HG丸ｺﾞｼｯｸM-PRO" w:hint="eastAsia"/>
                <w:szCs w:val="21"/>
              </w:rPr>
              <w:t xml:space="preserve">　・庁舎・所管施設の安全確認</w:t>
            </w:r>
          </w:p>
          <w:p w14:paraId="4DE7307B" w14:textId="77777777" w:rsidR="000515D7" w:rsidRPr="001D6D10" w:rsidRDefault="000515D7" w:rsidP="00335440">
            <w:pPr>
              <w:rPr>
                <w:rFonts w:ascii="HG丸ｺﾞｼｯｸM-PRO" w:eastAsia="HG丸ｺﾞｼｯｸM-PRO" w:hAnsi="HG丸ｺﾞｼｯｸM-PRO"/>
                <w:szCs w:val="21"/>
                <w:u w:val="single"/>
              </w:rPr>
            </w:pPr>
            <w:r w:rsidRPr="001D6D10">
              <w:rPr>
                <w:rFonts w:ascii="HG丸ｺﾞｼｯｸM-PRO" w:eastAsia="HG丸ｺﾞｼｯｸM-PRO" w:hAnsi="HG丸ｺﾞｼｯｸM-PRO" w:hint="eastAsia"/>
                <w:szCs w:val="21"/>
                <w:bdr w:val="single" w:sz="4" w:space="0" w:color="auto"/>
              </w:rPr>
              <w:t>台風説明会</w:t>
            </w:r>
          </w:p>
        </w:tc>
      </w:tr>
      <w:tr w:rsidR="001D6D10" w:rsidRPr="001D6D10" w14:paraId="6591C3DB" w14:textId="77777777" w:rsidTr="00F35CFE">
        <w:trPr>
          <w:jc w:val="center"/>
        </w:trPr>
        <w:tc>
          <w:tcPr>
            <w:tcW w:w="1457" w:type="dxa"/>
            <w:vMerge/>
          </w:tcPr>
          <w:p w14:paraId="468C9709" w14:textId="77777777" w:rsidR="002E6752" w:rsidRPr="001D6D10" w:rsidRDefault="002E6752" w:rsidP="002E6752">
            <w:pPr>
              <w:rPr>
                <w:rFonts w:ascii="HG丸ｺﾞｼｯｸM-PRO" w:eastAsia="HG丸ｺﾞｼｯｸM-PRO" w:hAnsi="HG丸ｺﾞｼｯｸM-PRO"/>
                <w:szCs w:val="21"/>
              </w:rPr>
            </w:pPr>
          </w:p>
        </w:tc>
        <w:tc>
          <w:tcPr>
            <w:tcW w:w="7037" w:type="dxa"/>
          </w:tcPr>
          <w:p w14:paraId="1A8B1AD9" w14:textId="77777777" w:rsidR="002E6752" w:rsidRPr="001D6D10" w:rsidRDefault="002E6752" w:rsidP="002E6752">
            <w:pPr>
              <w:rPr>
                <w:rFonts w:ascii="HG丸ｺﾞｼｯｸM-PRO" w:eastAsia="HG丸ｺﾞｼｯｸM-PRO" w:hAnsi="HG丸ｺﾞｼｯｸM-PRO"/>
                <w:szCs w:val="21"/>
                <w:highlight w:val="yellow"/>
              </w:rPr>
            </w:pPr>
            <w:r w:rsidRPr="001D6D10">
              <w:rPr>
                <w:rFonts w:ascii="HG丸ｺﾞｼｯｸM-PRO" w:eastAsia="HG丸ｺﾞｼｯｸM-PRO" w:hAnsi="HG丸ｺﾞｼｯｸM-PRO" w:hint="eastAsia"/>
                <w:b/>
                <w:szCs w:val="21"/>
                <w:highlight w:val="yellow"/>
              </w:rPr>
              <w:t>第1回災害警戒本部会議</w:t>
            </w:r>
            <w:r w:rsidRPr="001D6D10">
              <w:rPr>
                <w:rFonts w:ascii="HG丸ｺﾞｼｯｸM-PRO" w:eastAsia="HG丸ｺﾞｼｯｸM-PRO" w:hAnsi="HG丸ｺﾞｼｯｸM-PRO" w:hint="eastAsia"/>
                <w:szCs w:val="21"/>
                <w:highlight w:val="yellow"/>
              </w:rPr>
              <w:t>（災害モード宣言の内容検討）</w:t>
            </w:r>
            <w:r w:rsidR="00CB0ABF" w:rsidRPr="001D6D10">
              <w:rPr>
                <w:rFonts w:ascii="HG丸ｺﾞｼｯｸM-PRO" w:eastAsia="HG丸ｺﾞｼｯｸM-PRO" w:hAnsi="HG丸ｺﾞｼｯｸM-PRO" w:hint="eastAsia"/>
                <w:szCs w:val="21"/>
                <w:highlight w:val="yellow"/>
              </w:rPr>
              <w:t>（Ｐ47</w:t>
            </w:r>
            <w:r w:rsidR="0010145B" w:rsidRPr="001D6D10">
              <w:rPr>
                <w:rFonts w:ascii="HG丸ｺﾞｼｯｸM-PRO" w:eastAsia="HG丸ｺﾞｼｯｸM-PRO" w:hAnsi="HG丸ｺﾞｼｯｸM-PRO" w:hint="eastAsia"/>
                <w:szCs w:val="21"/>
                <w:highlight w:val="yellow"/>
              </w:rPr>
              <w:t>参照）</w:t>
            </w:r>
          </w:p>
        </w:tc>
      </w:tr>
      <w:tr w:rsidR="001D6D10" w:rsidRPr="00E0548A" w14:paraId="590B8C38" w14:textId="77777777" w:rsidTr="00F35CFE">
        <w:trPr>
          <w:jc w:val="center"/>
        </w:trPr>
        <w:tc>
          <w:tcPr>
            <w:tcW w:w="1457" w:type="dxa"/>
            <w:vMerge/>
          </w:tcPr>
          <w:p w14:paraId="24139E46" w14:textId="77777777" w:rsidR="002E6752" w:rsidRPr="001D6D10" w:rsidRDefault="002E6752" w:rsidP="002E6752">
            <w:pPr>
              <w:rPr>
                <w:rFonts w:ascii="HG丸ｺﾞｼｯｸM-PRO" w:eastAsia="HG丸ｺﾞｼｯｸM-PRO" w:hAnsi="HG丸ｺﾞｼｯｸM-PRO"/>
                <w:szCs w:val="21"/>
              </w:rPr>
            </w:pPr>
          </w:p>
        </w:tc>
        <w:tc>
          <w:tcPr>
            <w:tcW w:w="7037" w:type="dxa"/>
          </w:tcPr>
          <w:p w14:paraId="1FABA49F" w14:textId="77777777" w:rsidR="002E6752" w:rsidRPr="00E0548A" w:rsidRDefault="002E6752" w:rsidP="002E6752">
            <w:pPr>
              <w:rPr>
                <w:rFonts w:ascii="HG丸ｺﾞｼｯｸM-PRO" w:eastAsia="HG丸ｺﾞｼｯｸM-PRO" w:hAnsi="HG丸ｺﾞｼｯｸM-PRO"/>
                <w:szCs w:val="21"/>
              </w:rPr>
            </w:pPr>
            <w:r w:rsidRPr="00E0548A">
              <w:rPr>
                <w:rFonts w:ascii="HG丸ｺﾞｼｯｸM-PRO" w:eastAsia="HG丸ｺﾞｼｯｸM-PRO" w:hAnsi="HG丸ｺﾞｼｯｸM-PRO" w:hint="eastAsia"/>
                <w:szCs w:val="21"/>
              </w:rPr>
              <w:t>□危機管理室からの情報の共有【府民文化総務課】</w:t>
            </w:r>
          </w:p>
          <w:p w14:paraId="16D71C4A" w14:textId="6D35D84E" w:rsidR="000515D7" w:rsidRPr="00E0548A" w:rsidRDefault="000515D7" w:rsidP="000515D7">
            <w:pPr>
              <w:rPr>
                <w:rFonts w:ascii="HG丸ｺﾞｼｯｸM-PRO" w:eastAsia="HG丸ｺﾞｼｯｸM-PRO" w:hAnsi="HG丸ｺﾞｼｯｸM-PRO"/>
                <w:szCs w:val="21"/>
              </w:rPr>
            </w:pPr>
            <w:r w:rsidRPr="00E0548A">
              <w:rPr>
                <w:rFonts w:ascii="HG丸ｺﾞｼｯｸM-PRO" w:eastAsia="HG丸ｺﾞｼｯｸM-PRO" w:hAnsi="HG丸ｺﾞｼｯｸM-PRO" w:hint="eastAsia"/>
                <w:szCs w:val="21"/>
              </w:rPr>
              <w:t>□多言語情報アプリ「</w:t>
            </w:r>
            <w:r w:rsidR="00CD4EC2" w:rsidRPr="00E0548A">
              <w:rPr>
                <w:rFonts w:ascii="HG丸ｺﾞｼｯｸM-PRO" w:eastAsia="HG丸ｺﾞｼｯｸM-PRO" w:hAnsi="HG丸ｺﾞｼｯｸM-PRO" w:hint="eastAsia"/>
                <w:szCs w:val="21"/>
              </w:rPr>
              <w:t>大阪防災アプリ</w:t>
            </w:r>
            <w:r w:rsidRPr="00E0548A">
              <w:rPr>
                <w:rFonts w:ascii="HG丸ｺﾞｼｯｸM-PRO" w:eastAsia="HG丸ｺﾞｼｯｸM-PRO" w:hAnsi="HG丸ｺﾞｼｯｸM-PRO" w:hint="eastAsia"/>
                <w:szCs w:val="21"/>
              </w:rPr>
              <w:t>」からの情報発信【国際課】</w:t>
            </w:r>
          </w:p>
          <w:p w14:paraId="55650305" w14:textId="77777777" w:rsidR="002E6752" w:rsidRPr="00E0548A" w:rsidRDefault="002E6752" w:rsidP="002E6752">
            <w:pPr>
              <w:rPr>
                <w:rFonts w:ascii="HG丸ｺﾞｼｯｸM-PRO" w:eastAsia="HG丸ｺﾞｼｯｸM-PRO" w:hAnsi="HG丸ｺﾞｼｯｸM-PRO"/>
                <w:szCs w:val="21"/>
              </w:rPr>
            </w:pPr>
            <w:r w:rsidRPr="00E0548A">
              <w:rPr>
                <w:rFonts w:ascii="HG丸ｺﾞｼｯｸM-PRO" w:eastAsia="HG丸ｺﾞｼｯｸM-PRO" w:hAnsi="HG丸ｺﾞｼｯｸM-PRO" w:hint="eastAsia"/>
                <w:szCs w:val="21"/>
              </w:rPr>
              <w:t>□公共交通機関計画運休の確認【各所属】</w:t>
            </w:r>
          </w:p>
          <w:p w14:paraId="1F31C33D" w14:textId="77777777" w:rsidR="002E6752" w:rsidRPr="00E0548A" w:rsidRDefault="002E6752" w:rsidP="002E6752">
            <w:pPr>
              <w:rPr>
                <w:rFonts w:ascii="HG丸ｺﾞｼｯｸM-PRO" w:eastAsia="HG丸ｺﾞｼｯｸM-PRO" w:hAnsi="HG丸ｺﾞｼｯｸM-PRO"/>
                <w:szCs w:val="21"/>
              </w:rPr>
            </w:pPr>
            <w:r w:rsidRPr="00E0548A">
              <w:rPr>
                <w:rFonts w:ascii="HG丸ｺﾞｼｯｸM-PRO" w:eastAsia="HG丸ｺﾞｼｯｸM-PRO" w:hAnsi="HG丸ｺﾞｼｯｸM-PRO" w:hint="eastAsia"/>
                <w:szCs w:val="21"/>
              </w:rPr>
              <w:t>□職員体制の確認・確保【各所属】</w:t>
            </w:r>
          </w:p>
          <w:p w14:paraId="531BCEA1" w14:textId="77777777" w:rsidR="002E6752" w:rsidRPr="00E0548A" w:rsidRDefault="002E6752" w:rsidP="002E6752">
            <w:pPr>
              <w:rPr>
                <w:rFonts w:ascii="HG丸ｺﾞｼｯｸM-PRO" w:eastAsia="HG丸ｺﾞｼｯｸM-PRO" w:hAnsi="HG丸ｺﾞｼｯｸM-PRO"/>
                <w:strike/>
                <w:szCs w:val="21"/>
              </w:rPr>
            </w:pPr>
            <w:r w:rsidRPr="00E0548A">
              <w:rPr>
                <w:rFonts w:ascii="HG丸ｺﾞｼｯｸM-PRO" w:eastAsia="HG丸ｺﾞｼｯｸM-PRO" w:hAnsi="HG丸ｺﾞｼｯｸM-PRO" w:hint="eastAsia"/>
                <w:szCs w:val="21"/>
              </w:rPr>
              <w:t>□万博公園の水防体制の確認（気象警報等を踏まえた態勢の検討）、台風情報の周知【万博記念公園事務所】</w:t>
            </w:r>
          </w:p>
          <w:p w14:paraId="6CD2DDAA" w14:textId="77777777" w:rsidR="002E6752" w:rsidRPr="00E0548A" w:rsidRDefault="002E6752" w:rsidP="002E6752">
            <w:pPr>
              <w:rPr>
                <w:rFonts w:ascii="HG丸ｺﾞｼｯｸM-PRO" w:eastAsia="HG丸ｺﾞｼｯｸM-PRO" w:hAnsi="HG丸ｺﾞｼｯｸM-PRO"/>
                <w:strike/>
                <w:szCs w:val="21"/>
              </w:rPr>
            </w:pPr>
            <w:r w:rsidRPr="00E0548A">
              <w:rPr>
                <w:rFonts w:ascii="HG丸ｺﾞｼｯｸM-PRO" w:eastAsia="HG丸ｺﾞｼｯｸM-PRO" w:hAnsi="HG丸ｺﾞｼｯｸM-PRO" w:hint="eastAsia"/>
                <w:szCs w:val="21"/>
              </w:rPr>
              <w:t>□所管施設の休館等の調整【施設所管課】</w:t>
            </w:r>
          </w:p>
          <w:p w14:paraId="708EA12A" w14:textId="77777777" w:rsidR="002E6752" w:rsidRPr="00E0548A" w:rsidRDefault="002E6752" w:rsidP="002E6752">
            <w:pPr>
              <w:rPr>
                <w:rFonts w:ascii="HG丸ｺﾞｼｯｸM-PRO" w:eastAsia="HG丸ｺﾞｼｯｸM-PRO" w:hAnsi="HG丸ｺﾞｼｯｸM-PRO"/>
                <w:szCs w:val="21"/>
              </w:rPr>
            </w:pPr>
            <w:r w:rsidRPr="00E0548A">
              <w:rPr>
                <w:rFonts w:ascii="HG丸ｺﾞｼｯｸM-PRO" w:eastAsia="HG丸ｺﾞｼｯｸM-PRO" w:hAnsi="HG丸ｺﾞｼｯｸM-PRO" w:hint="eastAsia"/>
                <w:szCs w:val="21"/>
              </w:rPr>
              <w:t>□イベント実施の中止検討【各所属】</w:t>
            </w:r>
          </w:p>
          <w:p w14:paraId="2AC9C35E" w14:textId="77777777" w:rsidR="002E6752" w:rsidRPr="00E0548A" w:rsidRDefault="002E6752" w:rsidP="002E6752">
            <w:pPr>
              <w:rPr>
                <w:rFonts w:ascii="HG丸ｺﾞｼｯｸM-PRO" w:eastAsia="HG丸ｺﾞｼｯｸM-PRO" w:hAnsi="HG丸ｺﾞｼｯｸM-PRO"/>
                <w:szCs w:val="21"/>
              </w:rPr>
            </w:pPr>
            <w:r w:rsidRPr="00E0548A">
              <w:rPr>
                <w:rFonts w:ascii="HG丸ｺﾞｼｯｸM-PRO" w:eastAsia="HG丸ｺﾞｼｯｸM-PRO" w:hAnsi="HG丸ｺﾞｼｯｸM-PRO" w:hint="eastAsia"/>
                <w:szCs w:val="21"/>
              </w:rPr>
              <w:t>□各種情報発信【広報広聴課】</w:t>
            </w:r>
          </w:p>
          <w:p w14:paraId="1958B169" w14:textId="77777777" w:rsidR="002E6752" w:rsidRPr="00E0548A" w:rsidRDefault="002E6752" w:rsidP="002E6752">
            <w:pPr>
              <w:ind w:firstLineChars="100" w:firstLine="211"/>
              <w:rPr>
                <w:rFonts w:ascii="HG丸ｺﾞｼｯｸM-PRO" w:eastAsia="HG丸ｺﾞｼｯｸM-PRO" w:hAnsi="HG丸ｺﾞｼｯｸM-PRO"/>
                <w:szCs w:val="21"/>
              </w:rPr>
            </w:pPr>
            <w:r w:rsidRPr="00E0548A">
              <w:rPr>
                <w:rFonts w:ascii="HG丸ｺﾞｼｯｸM-PRO" w:eastAsia="HG丸ｺﾞｼｯｸM-PRO" w:hAnsi="HG丸ｺﾞｼｯｸM-PRO" w:hint="eastAsia"/>
                <w:szCs w:val="21"/>
              </w:rPr>
              <w:t>・府HPの「緊急のお知らせ」「重要なお知らせ」更新</w:t>
            </w:r>
          </w:p>
          <w:p w14:paraId="7A9ACED3" w14:textId="0DBBA618" w:rsidR="002E6752" w:rsidRPr="00E0548A" w:rsidRDefault="002E6752" w:rsidP="002E6752">
            <w:pPr>
              <w:ind w:firstLineChars="100" w:firstLine="211"/>
              <w:rPr>
                <w:rFonts w:ascii="HG丸ｺﾞｼｯｸM-PRO" w:eastAsia="HG丸ｺﾞｼｯｸM-PRO" w:hAnsi="HG丸ｺﾞｼｯｸM-PRO"/>
                <w:szCs w:val="21"/>
              </w:rPr>
            </w:pPr>
            <w:r w:rsidRPr="00E0548A">
              <w:rPr>
                <w:rFonts w:ascii="HG丸ｺﾞｼｯｸM-PRO" w:eastAsia="HG丸ｺﾞｼｯｸM-PRO" w:hAnsi="HG丸ｺﾞｼｯｸM-PRO" w:hint="eastAsia"/>
                <w:szCs w:val="21"/>
              </w:rPr>
              <w:lastRenderedPageBreak/>
              <w:t>・</w:t>
            </w:r>
            <w:r w:rsidR="009078F5" w:rsidRPr="00E0548A">
              <w:rPr>
                <w:rFonts w:ascii="HG丸ｺﾞｼｯｸM-PRO" w:eastAsia="HG丸ｺﾞｼｯｸM-PRO" w:hAnsi="HG丸ｺﾞｼｯｸM-PRO" w:hint="eastAsia"/>
                <w:szCs w:val="21"/>
              </w:rPr>
              <w:t>府公式X（旧</w:t>
            </w:r>
            <w:r w:rsidR="009078F5" w:rsidRPr="00E0548A">
              <w:rPr>
                <w:rFonts w:ascii="HG丸ｺﾞｼｯｸM-PRO" w:eastAsia="HG丸ｺﾞｼｯｸM-PRO" w:hAnsi="HG丸ｺﾞｼｯｸM-PRO"/>
                <w:szCs w:val="21"/>
              </w:rPr>
              <w:t>Twitter</w:t>
            </w:r>
            <w:r w:rsidR="009078F5" w:rsidRPr="00E0548A">
              <w:rPr>
                <w:rFonts w:ascii="HG丸ｺﾞｼｯｸM-PRO" w:eastAsia="HG丸ｺﾞｼｯｸM-PRO" w:hAnsi="HG丸ｺﾞｼｯｸM-PRO" w:hint="eastAsia"/>
                <w:szCs w:val="21"/>
              </w:rPr>
              <w:t>）</w:t>
            </w:r>
            <w:r w:rsidRPr="00E0548A">
              <w:rPr>
                <w:rFonts w:ascii="HG丸ｺﾞｼｯｸM-PRO" w:eastAsia="HG丸ｺﾞｼｯｸM-PRO" w:hAnsi="HG丸ｺﾞｼｯｸM-PRO" w:hint="eastAsia"/>
                <w:szCs w:val="21"/>
              </w:rPr>
              <w:t>・</w:t>
            </w:r>
            <w:proofErr w:type="spellStart"/>
            <w:r w:rsidRPr="00E0548A">
              <w:rPr>
                <w:rFonts w:ascii="HG丸ｺﾞｼｯｸM-PRO" w:eastAsia="HG丸ｺﾞｼｯｸM-PRO" w:hAnsi="HG丸ｺﾞｼｯｸM-PRO" w:hint="eastAsia"/>
                <w:szCs w:val="21"/>
              </w:rPr>
              <w:t>facebook</w:t>
            </w:r>
            <w:proofErr w:type="spellEnd"/>
          </w:p>
          <w:p w14:paraId="1FFD7202" w14:textId="77777777" w:rsidR="002E6752" w:rsidRPr="00E0548A" w:rsidRDefault="009A1DC3" w:rsidP="002E6752">
            <w:pPr>
              <w:rPr>
                <w:rFonts w:ascii="HG丸ｺﾞｼｯｸM-PRO" w:eastAsia="HG丸ｺﾞｼｯｸM-PRO" w:hAnsi="HG丸ｺﾞｼｯｸM-PRO"/>
                <w:szCs w:val="21"/>
              </w:rPr>
            </w:pPr>
            <w:r w:rsidRPr="00E0548A">
              <w:rPr>
                <w:rFonts w:ascii="HG丸ｺﾞｼｯｸM-PRO" w:eastAsia="HG丸ｺﾞｼｯｸM-PRO" w:hAnsi="HG丸ｺﾞｼｯｸM-PRO" w:hint="eastAsia"/>
                <w:szCs w:val="21"/>
              </w:rPr>
              <w:t xml:space="preserve">  </w:t>
            </w:r>
            <w:r w:rsidR="002E6752" w:rsidRPr="00E0548A">
              <w:rPr>
                <w:rFonts w:ascii="HG丸ｺﾞｼｯｸM-PRO" w:eastAsia="HG丸ｺﾞｼｯｸM-PRO" w:hAnsi="HG丸ｺﾞｼｯｸM-PRO" w:hint="eastAsia"/>
                <w:szCs w:val="21"/>
              </w:rPr>
              <w:t>・府LINE公式アカウント</w:t>
            </w:r>
          </w:p>
        </w:tc>
      </w:tr>
      <w:tr w:rsidR="001D6D10" w:rsidRPr="001D6D10" w14:paraId="03F2C4E7" w14:textId="77777777" w:rsidTr="00F35CFE">
        <w:trPr>
          <w:jc w:val="center"/>
        </w:trPr>
        <w:tc>
          <w:tcPr>
            <w:tcW w:w="1457" w:type="dxa"/>
            <w:vMerge w:val="restart"/>
          </w:tcPr>
          <w:p w14:paraId="2B0F23DA" w14:textId="77777777" w:rsidR="002B3D2C" w:rsidRPr="001D6D10" w:rsidRDefault="002B3D2C" w:rsidP="002E6752">
            <w:pPr>
              <w:rPr>
                <w:rFonts w:ascii="HG丸ｺﾞｼｯｸM-PRO" w:eastAsia="HG丸ｺﾞｼｯｸM-PRO" w:hAnsi="HG丸ｺﾞｼｯｸM-PRO"/>
                <w:szCs w:val="21"/>
              </w:rPr>
            </w:pPr>
          </w:p>
          <w:p w14:paraId="7EDF1E0F" w14:textId="77777777" w:rsidR="002B3D2C" w:rsidRPr="001D6D10" w:rsidRDefault="002B3D2C" w:rsidP="002E6752">
            <w:pPr>
              <w:rPr>
                <w:rFonts w:ascii="HG丸ｺﾞｼｯｸM-PRO" w:eastAsia="HG丸ｺﾞｼｯｸM-PRO" w:hAnsi="HG丸ｺﾞｼｯｸM-PRO"/>
                <w:szCs w:val="21"/>
              </w:rPr>
            </w:pPr>
          </w:p>
          <w:p w14:paraId="50912AAC" w14:textId="77777777" w:rsidR="002B3D2C" w:rsidRPr="001D6D10" w:rsidRDefault="002B3D2C" w:rsidP="002E6752">
            <w:pPr>
              <w:rPr>
                <w:rFonts w:ascii="HG丸ｺﾞｼｯｸM-PRO" w:eastAsia="HG丸ｺﾞｼｯｸM-PRO" w:hAnsi="HG丸ｺﾞｼｯｸM-PRO"/>
                <w:szCs w:val="21"/>
              </w:rPr>
            </w:pPr>
          </w:p>
          <w:p w14:paraId="6C1EE0D3" w14:textId="77777777" w:rsidR="002B3D2C" w:rsidRPr="001D6D10" w:rsidRDefault="002B3D2C" w:rsidP="002E6752">
            <w:pPr>
              <w:rPr>
                <w:rFonts w:ascii="HG丸ｺﾞｼｯｸM-PRO" w:eastAsia="HG丸ｺﾞｼｯｸM-PRO" w:hAnsi="HG丸ｺﾞｼｯｸM-PRO"/>
                <w:szCs w:val="21"/>
              </w:rPr>
            </w:pPr>
          </w:p>
          <w:p w14:paraId="77A3DE68" w14:textId="77777777" w:rsidR="002B3D2C" w:rsidRPr="001D6D10" w:rsidRDefault="002B3D2C" w:rsidP="002E6752">
            <w:pPr>
              <w:rPr>
                <w:rFonts w:ascii="HG丸ｺﾞｼｯｸM-PRO" w:eastAsia="HG丸ｺﾞｼｯｸM-PRO" w:hAnsi="HG丸ｺﾞｼｯｸM-PRO"/>
                <w:szCs w:val="21"/>
              </w:rPr>
            </w:pPr>
          </w:p>
          <w:p w14:paraId="64984160" w14:textId="77777777" w:rsidR="002B3D2C" w:rsidRPr="001D6D10" w:rsidRDefault="002B3D2C" w:rsidP="002E6752">
            <w:pPr>
              <w:rPr>
                <w:rFonts w:ascii="HG丸ｺﾞｼｯｸM-PRO" w:eastAsia="HG丸ｺﾞｼｯｸM-PRO" w:hAnsi="HG丸ｺﾞｼｯｸM-PRO"/>
                <w:szCs w:val="21"/>
              </w:rPr>
            </w:pPr>
          </w:p>
          <w:p w14:paraId="4010FAFC" w14:textId="77777777" w:rsidR="002B3D2C" w:rsidRPr="001D6D10" w:rsidRDefault="002B3D2C" w:rsidP="002E6752">
            <w:pPr>
              <w:rPr>
                <w:rFonts w:ascii="HG丸ｺﾞｼｯｸM-PRO" w:eastAsia="HG丸ｺﾞｼｯｸM-PRO" w:hAnsi="HG丸ｺﾞｼｯｸM-PRO"/>
                <w:szCs w:val="21"/>
              </w:rPr>
            </w:pPr>
          </w:p>
          <w:p w14:paraId="667959BB" w14:textId="77777777" w:rsidR="002B3D2C" w:rsidRPr="001D6D10" w:rsidRDefault="002B3D2C" w:rsidP="002E6752">
            <w:pPr>
              <w:rPr>
                <w:rFonts w:ascii="HG丸ｺﾞｼｯｸM-PRO" w:eastAsia="HG丸ｺﾞｼｯｸM-PRO" w:hAnsi="HG丸ｺﾞｼｯｸM-PRO"/>
                <w:szCs w:val="21"/>
              </w:rPr>
            </w:pPr>
          </w:p>
          <w:p w14:paraId="58744003" w14:textId="77777777" w:rsidR="002E6752" w:rsidRPr="001D6D10" w:rsidRDefault="002E6752" w:rsidP="002E6752">
            <w:pPr>
              <w:rPr>
                <w:rFonts w:ascii="HG丸ｺﾞｼｯｸM-PRO" w:eastAsia="HG丸ｺﾞｼｯｸM-PRO" w:hAnsi="HG丸ｺﾞｼｯｸM-PRO"/>
                <w:szCs w:val="21"/>
              </w:rPr>
            </w:pPr>
            <w:r w:rsidRPr="001D6D10">
              <w:rPr>
                <w:rFonts w:ascii="HG丸ｺﾞｼｯｸM-PRO" w:eastAsia="HG丸ｺﾞｼｯｸM-PRO" w:hAnsi="HG丸ｺﾞｼｯｸM-PRO" w:hint="eastAsia"/>
                <w:szCs w:val="21"/>
              </w:rPr>
              <w:t>24ｈ前～</w:t>
            </w:r>
          </w:p>
          <w:p w14:paraId="7EC88E33" w14:textId="77777777" w:rsidR="002E6752" w:rsidRPr="001D6D10" w:rsidRDefault="002E6752" w:rsidP="002E6752">
            <w:pPr>
              <w:rPr>
                <w:rFonts w:ascii="HG丸ｺﾞｼｯｸM-PRO" w:eastAsia="HG丸ｺﾞｼｯｸM-PRO" w:hAnsi="HG丸ｺﾞｼｯｸM-PRO"/>
                <w:szCs w:val="21"/>
              </w:rPr>
            </w:pPr>
            <w:r w:rsidRPr="001D6D10">
              <w:rPr>
                <w:rFonts w:ascii="HG丸ｺﾞｼｯｸM-PRO" w:eastAsia="HG丸ｺﾞｼｯｸM-PRO" w:hAnsi="HG丸ｺﾞｼｯｸM-PRO" w:hint="eastAsia"/>
                <w:szCs w:val="21"/>
              </w:rPr>
              <w:t xml:space="preserve">　　最接近</w:t>
            </w:r>
          </w:p>
          <w:p w14:paraId="6F0435EF" w14:textId="77777777" w:rsidR="002E6752" w:rsidRPr="001D6D10" w:rsidRDefault="002E6752" w:rsidP="002E6752">
            <w:pPr>
              <w:rPr>
                <w:rFonts w:ascii="HG丸ｺﾞｼｯｸM-PRO" w:eastAsia="HG丸ｺﾞｼｯｸM-PRO" w:hAnsi="HG丸ｺﾞｼｯｸM-PRO"/>
                <w:szCs w:val="21"/>
              </w:rPr>
            </w:pPr>
            <w:r w:rsidRPr="001D6D10">
              <w:rPr>
                <w:rFonts w:ascii="HG丸ｺﾞｼｯｸM-PRO" w:eastAsia="HG丸ｺﾞｼｯｸM-PRO" w:hAnsi="HG丸ｺﾞｼｯｸM-PRO" w:hint="eastAsia"/>
                <w:szCs w:val="21"/>
              </w:rPr>
              <w:t>（１日前）</w:t>
            </w:r>
          </w:p>
        </w:tc>
        <w:tc>
          <w:tcPr>
            <w:tcW w:w="7037" w:type="dxa"/>
          </w:tcPr>
          <w:p w14:paraId="0F95F1F6" w14:textId="77777777" w:rsidR="002E6752" w:rsidRPr="001D6D10" w:rsidRDefault="002E6752" w:rsidP="002E6752">
            <w:pPr>
              <w:rPr>
                <w:rFonts w:ascii="HG丸ｺﾞｼｯｸM-PRO" w:eastAsia="HG丸ｺﾞｼｯｸM-PRO" w:hAnsi="HG丸ｺﾞｼｯｸM-PRO"/>
                <w:szCs w:val="21"/>
              </w:rPr>
            </w:pPr>
            <w:r w:rsidRPr="001D6D10">
              <w:rPr>
                <w:rFonts w:ascii="HG丸ｺﾞｼｯｸM-PRO" w:eastAsia="HG丸ｺﾞｼｯｸM-PRO" w:hAnsi="HG丸ｺﾞｼｯｸM-PRO" w:hint="eastAsia"/>
                <w:szCs w:val="21"/>
              </w:rPr>
              <w:t>庁内連絡会議②：第2回災害警戒本部会議の事前調整等</w:t>
            </w:r>
          </w:p>
          <w:p w14:paraId="06701FA5" w14:textId="77777777" w:rsidR="000515D7" w:rsidRPr="001D6D10" w:rsidRDefault="000515D7" w:rsidP="000515D7">
            <w:pPr>
              <w:rPr>
                <w:rFonts w:ascii="HG丸ｺﾞｼｯｸM-PRO" w:eastAsia="HG丸ｺﾞｼｯｸM-PRO" w:hAnsi="HG丸ｺﾞｼｯｸM-PRO"/>
                <w:szCs w:val="21"/>
              </w:rPr>
            </w:pPr>
            <w:r w:rsidRPr="001D6D10">
              <w:rPr>
                <w:rFonts w:ascii="HG丸ｺﾞｼｯｸM-PRO" w:eastAsia="HG丸ｺﾞｼｯｸM-PRO" w:hAnsi="HG丸ｺﾞｼｯｸM-PRO" w:hint="eastAsia"/>
                <w:szCs w:val="21"/>
              </w:rPr>
              <w:t>□第２回災害警戒本部会議の事前準備</w:t>
            </w:r>
          </w:p>
          <w:p w14:paraId="167AB60A" w14:textId="77777777" w:rsidR="000515D7" w:rsidRPr="001D6D10" w:rsidRDefault="000515D7" w:rsidP="000515D7">
            <w:pPr>
              <w:rPr>
                <w:rFonts w:ascii="HG丸ｺﾞｼｯｸM-PRO" w:eastAsia="HG丸ｺﾞｼｯｸM-PRO" w:hAnsi="HG丸ｺﾞｼｯｸM-PRO"/>
                <w:szCs w:val="21"/>
              </w:rPr>
            </w:pPr>
            <w:r w:rsidRPr="001D6D10">
              <w:rPr>
                <w:rFonts w:ascii="HG丸ｺﾞｼｯｸM-PRO" w:eastAsia="HG丸ｺﾞｼｯｸM-PRO" w:hAnsi="HG丸ｺﾞｼｯｸM-PRO" w:hint="eastAsia"/>
                <w:szCs w:val="21"/>
              </w:rPr>
              <w:t xml:space="preserve">　・部局内へ対応状況の確認、会議での報告のとりまとめ</w:t>
            </w:r>
          </w:p>
          <w:p w14:paraId="7CA660D7" w14:textId="77777777" w:rsidR="00335440" w:rsidRPr="001D6D10" w:rsidRDefault="000515D7" w:rsidP="00335440">
            <w:pPr>
              <w:ind w:firstLineChars="100" w:firstLine="211"/>
              <w:rPr>
                <w:rFonts w:ascii="HG丸ｺﾞｼｯｸM-PRO" w:eastAsia="HG丸ｺﾞｼｯｸM-PRO" w:hAnsi="HG丸ｺﾞｼｯｸM-PRO"/>
                <w:szCs w:val="21"/>
              </w:rPr>
            </w:pPr>
            <w:r w:rsidRPr="001D6D10">
              <w:rPr>
                <w:rFonts w:ascii="HG丸ｺﾞｼｯｸM-PRO" w:eastAsia="HG丸ｺﾞｼｯｸM-PRO" w:hAnsi="HG丸ｺﾞｼｯｸM-PRO" w:hint="eastAsia"/>
                <w:szCs w:val="21"/>
              </w:rPr>
              <w:t>・庁舎・所管施設の安全点検</w:t>
            </w:r>
          </w:p>
          <w:p w14:paraId="15DE15B0" w14:textId="77777777" w:rsidR="000515D7" w:rsidRPr="001D6D10" w:rsidRDefault="000515D7" w:rsidP="00335440">
            <w:pPr>
              <w:ind w:firstLineChars="100" w:firstLine="211"/>
              <w:rPr>
                <w:rFonts w:ascii="HG丸ｺﾞｼｯｸM-PRO" w:eastAsia="HG丸ｺﾞｼｯｸM-PRO" w:hAnsi="HG丸ｺﾞｼｯｸM-PRO"/>
                <w:szCs w:val="21"/>
                <w:u w:val="single"/>
              </w:rPr>
            </w:pPr>
            <w:r w:rsidRPr="001D6D10">
              <w:rPr>
                <w:rFonts w:ascii="HG丸ｺﾞｼｯｸM-PRO" w:eastAsia="HG丸ｺﾞｼｯｸM-PRO" w:hAnsi="HG丸ｺﾞｼｯｸM-PRO" w:hint="eastAsia"/>
                <w:szCs w:val="21"/>
                <w:bdr w:val="single" w:sz="4" w:space="0" w:color="auto"/>
              </w:rPr>
              <w:t>台風説明会</w:t>
            </w:r>
          </w:p>
        </w:tc>
      </w:tr>
      <w:tr w:rsidR="001D6D10" w:rsidRPr="001D6D10" w14:paraId="07D07E48" w14:textId="77777777" w:rsidTr="00F35CFE">
        <w:trPr>
          <w:jc w:val="center"/>
        </w:trPr>
        <w:tc>
          <w:tcPr>
            <w:tcW w:w="1457" w:type="dxa"/>
            <w:vMerge/>
          </w:tcPr>
          <w:p w14:paraId="13787BBB" w14:textId="77777777" w:rsidR="002E6752" w:rsidRPr="001D6D10" w:rsidRDefault="002E6752" w:rsidP="002E6752">
            <w:pPr>
              <w:rPr>
                <w:rFonts w:ascii="HG丸ｺﾞｼｯｸM-PRO" w:eastAsia="HG丸ｺﾞｼｯｸM-PRO" w:hAnsi="HG丸ｺﾞｼｯｸM-PRO"/>
                <w:szCs w:val="21"/>
              </w:rPr>
            </w:pPr>
          </w:p>
        </w:tc>
        <w:tc>
          <w:tcPr>
            <w:tcW w:w="7037" w:type="dxa"/>
          </w:tcPr>
          <w:p w14:paraId="102F760D" w14:textId="77777777" w:rsidR="002E6752" w:rsidRPr="001D6D10" w:rsidRDefault="002E6752" w:rsidP="002E6752">
            <w:pPr>
              <w:rPr>
                <w:rFonts w:ascii="HG丸ｺﾞｼｯｸM-PRO" w:eastAsia="HG丸ｺﾞｼｯｸM-PRO" w:hAnsi="HG丸ｺﾞｼｯｸM-PRO"/>
                <w:szCs w:val="21"/>
                <w:highlight w:val="yellow"/>
              </w:rPr>
            </w:pPr>
            <w:r w:rsidRPr="001D6D10">
              <w:rPr>
                <w:rFonts w:ascii="HG丸ｺﾞｼｯｸM-PRO" w:eastAsia="HG丸ｺﾞｼｯｸM-PRO" w:hAnsi="HG丸ｺﾞｼｯｸM-PRO" w:hint="eastAsia"/>
                <w:b/>
                <w:szCs w:val="21"/>
                <w:highlight w:val="yellow"/>
              </w:rPr>
              <w:t>第２回災害警戒本部会議</w:t>
            </w:r>
            <w:r w:rsidRPr="001D6D10">
              <w:rPr>
                <w:rFonts w:ascii="HG丸ｺﾞｼｯｸM-PRO" w:eastAsia="HG丸ｺﾞｼｯｸM-PRO" w:hAnsi="HG丸ｺﾞｼｯｸM-PRO" w:hint="eastAsia"/>
                <w:szCs w:val="21"/>
                <w:highlight w:val="yellow"/>
              </w:rPr>
              <w:t>（災害モード宣言の発信）</w:t>
            </w:r>
            <w:r w:rsidR="00CB0ABF" w:rsidRPr="001D6D10">
              <w:rPr>
                <w:rFonts w:ascii="HG丸ｺﾞｼｯｸM-PRO" w:eastAsia="HG丸ｺﾞｼｯｸM-PRO" w:hAnsi="HG丸ｺﾞｼｯｸM-PRO" w:hint="eastAsia"/>
                <w:szCs w:val="21"/>
                <w:highlight w:val="yellow"/>
              </w:rPr>
              <w:t>（Ｐ47</w:t>
            </w:r>
            <w:r w:rsidR="0010145B" w:rsidRPr="001D6D10">
              <w:rPr>
                <w:rFonts w:ascii="HG丸ｺﾞｼｯｸM-PRO" w:eastAsia="HG丸ｺﾞｼｯｸM-PRO" w:hAnsi="HG丸ｺﾞｼｯｸM-PRO" w:hint="eastAsia"/>
                <w:szCs w:val="21"/>
                <w:highlight w:val="yellow"/>
              </w:rPr>
              <w:t>参照）</w:t>
            </w:r>
          </w:p>
        </w:tc>
      </w:tr>
      <w:tr w:rsidR="001D6D10" w:rsidRPr="001D6D10" w14:paraId="6C4033DA" w14:textId="77777777" w:rsidTr="00F35CFE">
        <w:trPr>
          <w:jc w:val="center"/>
        </w:trPr>
        <w:tc>
          <w:tcPr>
            <w:tcW w:w="1457" w:type="dxa"/>
            <w:vMerge/>
          </w:tcPr>
          <w:p w14:paraId="6489546A" w14:textId="77777777" w:rsidR="002E6752" w:rsidRPr="001D6D10" w:rsidRDefault="002E6752" w:rsidP="002E6752">
            <w:pPr>
              <w:rPr>
                <w:rFonts w:ascii="HG丸ｺﾞｼｯｸM-PRO" w:eastAsia="HG丸ｺﾞｼｯｸM-PRO" w:hAnsi="HG丸ｺﾞｼｯｸM-PRO"/>
                <w:szCs w:val="21"/>
              </w:rPr>
            </w:pPr>
          </w:p>
        </w:tc>
        <w:tc>
          <w:tcPr>
            <w:tcW w:w="7037" w:type="dxa"/>
          </w:tcPr>
          <w:p w14:paraId="0378528F" w14:textId="77777777" w:rsidR="002E6752" w:rsidRPr="001D6D10" w:rsidRDefault="002E6752" w:rsidP="002E6752">
            <w:pPr>
              <w:rPr>
                <w:rFonts w:ascii="HG丸ｺﾞｼｯｸM-PRO" w:eastAsia="HG丸ｺﾞｼｯｸM-PRO" w:hAnsi="HG丸ｺﾞｼｯｸM-PRO"/>
                <w:szCs w:val="21"/>
              </w:rPr>
            </w:pPr>
            <w:r w:rsidRPr="001D6D10">
              <w:rPr>
                <w:rFonts w:ascii="HG丸ｺﾞｼｯｸM-PRO" w:eastAsia="HG丸ｺﾞｼｯｸM-PRO" w:hAnsi="HG丸ｺﾞｼｯｸM-PRO" w:hint="eastAsia"/>
                <w:szCs w:val="21"/>
              </w:rPr>
              <w:t>□危機管理室からの情報の共有【府民文化総務課】</w:t>
            </w:r>
          </w:p>
          <w:p w14:paraId="3A03E894" w14:textId="77777777" w:rsidR="002E6752" w:rsidRPr="001D6D10" w:rsidRDefault="002E6752" w:rsidP="002E6752">
            <w:pPr>
              <w:rPr>
                <w:rFonts w:ascii="HG丸ｺﾞｼｯｸM-PRO" w:eastAsia="HG丸ｺﾞｼｯｸM-PRO" w:hAnsi="HG丸ｺﾞｼｯｸM-PRO"/>
                <w:szCs w:val="21"/>
              </w:rPr>
            </w:pPr>
            <w:r w:rsidRPr="001D6D10">
              <w:rPr>
                <w:rFonts w:ascii="HG丸ｺﾞｼｯｸM-PRO" w:eastAsia="HG丸ｺﾞｼｯｸM-PRO" w:hAnsi="HG丸ｺﾞｼｯｸM-PRO" w:hint="eastAsia"/>
                <w:szCs w:val="21"/>
              </w:rPr>
              <w:t>□府民への広報（注意喚起）【広報広聴課】</w:t>
            </w:r>
          </w:p>
          <w:p w14:paraId="42FE4B2F" w14:textId="77777777" w:rsidR="00C16ADC" w:rsidRPr="001D6D10" w:rsidRDefault="00C16ADC" w:rsidP="00C16ADC">
            <w:pPr>
              <w:rPr>
                <w:rFonts w:ascii="HG丸ｺﾞｼｯｸM-PRO" w:eastAsia="HG丸ｺﾞｼｯｸM-PRO" w:hAnsi="HG丸ｺﾞｼｯｸM-PRO"/>
                <w:szCs w:val="21"/>
              </w:rPr>
            </w:pPr>
            <w:r w:rsidRPr="001D6D10">
              <w:rPr>
                <w:rFonts w:ascii="HG丸ｺﾞｼｯｸM-PRO" w:eastAsia="HG丸ｺﾞｼｯｸM-PRO" w:hAnsi="HG丸ｺﾞｼｯｸM-PRO" w:hint="eastAsia"/>
                <w:szCs w:val="21"/>
              </w:rPr>
              <w:t>□各種情報発信【広報広聴課】</w:t>
            </w:r>
          </w:p>
          <w:p w14:paraId="3097269D" w14:textId="77777777" w:rsidR="00C16ADC" w:rsidRPr="001D6D10" w:rsidRDefault="00C16ADC" w:rsidP="00C16ADC">
            <w:pPr>
              <w:ind w:firstLineChars="100" w:firstLine="211"/>
              <w:rPr>
                <w:rFonts w:ascii="HG丸ｺﾞｼｯｸM-PRO" w:eastAsia="HG丸ｺﾞｼｯｸM-PRO" w:hAnsi="HG丸ｺﾞｼｯｸM-PRO"/>
                <w:szCs w:val="21"/>
              </w:rPr>
            </w:pPr>
            <w:r w:rsidRPr="001D6D10">
              <w:rPr>
                <w:rFonts w:ascii="HG丸ｺﾞｼｯｸM-PRO" w:eastAsia="HG丸ｺﾞｼｯｸM-PRO" w:hAnsi="HG丸ｺﾞｼｯｸM-PRO" w:hint="eastAsia"/>
                <w:szCs w:val="21"/>
              </w:rPr>
              <w:t>・府HPの「緊急のお知らせ」「重要なお知らせ」更新</w:t>
            </w:r>
          </w:p>
          <w:p w14:paraId="31B11506" w14:textId="7FA16857" w:rsidR="00C16ADC" w:rsidRPr="001D6D10" w:rsidRDefault="00C16ADC" w:rsidP="00C16ADC">
            <w:pPr>
              <w:ind w:firstLineChars="100" w:firstLine="211"/>
              <w:rPr>
                <w:rFonts w:ascii="HG丸ｺﾞｼｯｸM-PRO" w:eastAsia="HG丸ｺﾞｼｯｸM-PRO" w:hAnsi="HG丸ｺﾞｼｯｸM-PRO"/>
                <w:szCs w:val="21"/>
              </w:rPr>
            </w:pPr>
            <w:r w:rsidRPr="001D6D10">
              <w:rPr>
                <w:rFonts w:ascii="HG丸ｺﾞｼｯｸM-PRO" w:eastAsia="HG丸ｺﾞｼｯｸM-PRO" w:hAnsi="HG丸ｺﾞｼｯｸM-PRO" w:hint="eastAsia"/>
                <w:szCs w:val="21"/>
              </w:rPr>
              <w:t>・</w:t>
            </w:r>
            <w:r w:rsidR="009078F5" w:rsidRPr="001D6D10">
              <w:rPr>
                <w:rFonts w:ascii="HG丸ｺﾞｼｯｸM-PRO" w:eastAsia="HG丸ｺﾞｼｯｸM-PRO" w:hAnsi="HG丸ｺﾞｼｯｸM-PRO" w:hint="eastAsia"/>
                <w:szCs w:val="21"/>
              </w:rPr>
              <w:t>府公式X（旧</w:t>
            </w:r>
            <w:r w:rsidR="009078F5" w:rsidRPr="001D6D10">
              <w:rPr>
                <w:rFonts w:ascii="HG丸ｺﾞｼｯｸM-PRO" w:eastAsia="HG丸ｺﾞｼｯｸM-PRO" w:hAnsi="HG丸ｺﾞｼｯｸM-PRO"/>
                <w:szCs w:val="21"/>
              </w:rPr>
              <w:t>Twitter</w:t>
            </w:r>
            <w:r w:rsidR="009078F5" w:rsidRPr="001D6D10">
              <w:rPr>
                <w:rFonts w:ascii="HG丸ｺﾞｼｯｸM-PRO" w:eastAsia="HG丸ｺﾞｼｯｸM-PRO" w:hAnsi="HG丸ｺﾞｼｯｸM-PRO" w:hint="eastAsia"/>
                <w:szCs w:val="21"/>
              </w:rPr>
              <w:t>）</w:t>
            </w:r>
            <w:r w:rsidRPr="001D6D10">
              <w:rPr>
                <w:rFonts w:ascii="HG丸ｺﾞｼｯｸM-PRO" w:eastAsia="HG丸ｺﾞｼｯｸM-PRO" w:hAnsi="HG丸ｺﾞｼｯｸM-PRO" w:hint="eastAsia"/>
                <w:szCs w:val="21"/>
              </w:rPr>
              <w:t>・</w:t>
            </w:r>
            <w:proofErr w:type="spellStart"/>
            <w:r w:rsidRPr="001D6D10">
              <w:rPr>
                <w:rFonts w:ascii="HG丸ｺﾞｼｯｸM-PRO" w:eastAsia="HG丸ｺﾞｼｯｸM-PRO" w:hAnsi="HG丸ｺﾞｼｯｸM-PRO" w:hint="eastAsia"/>
                <w:szCs w:val="21"/>
              </w:rPr>
              <w:t>facebook</w:t>
            </w:r>
            <w:proofErr w:type="spellEnd"/>
          </w:p>
          <w:p w14:paraId="718065A9" w14:textId="77777777" w:rsidR="00C16ADC" w:rsidRPr="001D6D10" w:rsidRDefault="00C16ADC" w:rsidP="00C16ADC">
            <w:pPr>
              <w:ind w:firstLineChars="100" w:firstLine="211"/>
              <w:rPr>
                <w:rFonts w:ascii="HG丸ｺﾞｼｯｸM-PRO" w:eastAsia="HG丸ｺﾞｼｯｸM-PRO" w:hAnsi="HG丸ｺﾞｼｯｸM-PRO"/>
                <w:szCs w:val="21"/>
              </w:rPr>
            </w:pPr>
            <w:r w:rsidRPr="001D6D10">
              <w:rPr>
                <w:rFonts w:ascii="HG丸ｺﾞｼｯｸM-PRO" w:eastAsia="HG丸ｺﾞｼｯｸM-PRO" w:hAnsi="HG丸ｺﾞｼｯｸM-PRO" w:hint="eastAsia"/>
                <w:szCs w:val="21"/>
              </w:rPr>
              <w:t>・府LINE公式アカウント</w:t>
            </w:r>
          </w:p>
          <w:p w14:paraId="65C90678" w14:textId="77777777" w:rsidR="002E6752" w:rsidRPr="001D6D10" w:rsidRDefault="002E6752" w:rsidP="002E6752">
            <w:pPr>
              <w:rPr>
                <w:rFonts w:ascii="HG丸ｺﾞｼｯｸM-PRO" w:eastAsia="HG丸ｺﾞｼｯｸM-PRO" w:hAnsi="HG丸ｺﾞｼｯｸM-PRO"/>
                <w:szCs w:val="21"/>
              </w:rPr>
            </w:pPr>
            <w:r w:rsidRPr="001D6D10">
              <w:rPr>
                <w:rFonts w:ascii="HG丸ｺﾞｼｯｸM-PRO" w:eastAsia="HG丸ｺﾞｼｯｸM-PRO" w:hAnsi="HG丸ｺﾞｼｯｸM-PRO" w:hint="eastAsia"/>
                <w:szCs w:val="21"/>
              </w:rPr>
              <w:t>□</w:t>
            </w:r>
            <w:r w:rsidRPr="001D6D10">
              <w:rPr>
                <w:rFonts w:ascii="HG丸ｺﾞｼｯｸM-PRO" w:eastAsia="HG丸ｺﾞｼｯｸM-PRO" w:hAnsi="HG丸ｺﾞｼｯｸM-PRO" w:hint="eastAsia"/>
                <w:sz w:val="20"/>
                <w:szCs w:val="20"/>
              </w:rPr>
              <w:t>万博公園の水防態勢の構築、台風・気象情報の収集【万博記念公園事務所】</w:t>
            </w:r>
          </w:p>
          <w:p w14:paraId="6C0A1005" w14:textId="77777777" w:rsidR="002E6752" w:rsidRPr="001D6D10" w:rsidRDefault="002E6752" w:rsidP="002E6752">
            <w:pPr>
              <w:rPr>
                <w:rFonts w:ascii="HG丸ｺﾞｼｯｸM-PRO" w:eastAsia="HG丸ｺﾞｼｯｸM-PRO" w:hAnsi="HG丸ｺﾞｼｯｸM-PRO"/>
                <w:szCs w:val="21"/>
              </w:rPr>
            </w:pPr>
            <w:r w:rsidRPr="001D6D10">
              <w:rPr>
                <w:rFonts w:ascii="HG丸ｺﾞｼｯｸM-PRO" w:eastAsia="HG丸ｺﾞｼｯｸM-PRO" w:hAnsi="HG丸ｺﾞｼｯｸM-PRO" w:hint="eastAsia"/>
                <w:szCs w:val="21"/>
              </w:rPr>
              <w:t>□</w:t>
            </w:r>
            <w:r w:rsidRPr="001D6D10">
              <w:rPr>
                <w:rFonts w:ascii="HG丸ｺﾞｼｯｸM-PRO" w:eastAsia="HG丸ｺﾞｼｯｸM-PRO" w:hAnsi="HG丸ｺﾞｼｯｸM-PRO" w:hint="eastAsia"/>
                <w:sz w:val="20"/>
                <w:szCs w:val="20"/>
              </w:rPr>
              <w:t>来庁者向けに館内放送にて交通機関の情報を提供【パスポートセンター】</w:t>
            </w:r>
          </w:p>
          <w:p w14:paraId="59157545" w14:textId="77777777" w:rsidR="002E6752" w:rsidRPr="001D6D10" w:rsidRDefault="002E6752" w:rsidP="002E6752">
            <w:pPr>
              <w:rPr>
                <w:rFonts w:ascii="HG丸ｺﾞｼｯｸM-PRO" w:eastAsia="HG丸ｺﾞｼｯｸM-PRO" w:hAnsi="HG丸ｺﾞｼｯｸM-PRO"/>
                <w:szCs w:val="21"/>
              </w:rPr>
            </w:pPr>
            <w:r w:rsidRPr="001D6D10">
              <w:rPr>
                <w:rFonts w:ascii="HG丸ｺﾞｼｯｸM-PRO" w:eastAsia="HG丸ｺﾞｼｯｸM-PRO" w:hAnsi="HG丸ｺﾞｼｯｸM-PRO" w:hint="eastAsia"/>
                <w:szCs w:val="21"/>
              </w:rPr>
              <w:t>□帰宅困難な来庁者に待機場所を案内【パスポートセンター】</w:t>
            </w:r>
          </w:p>
          <w:p w14:paraId="2740AFCF" w14:textId="77777777" w:rsidR="002E6752" w:rsidRPr="001D6D10" w:rsidRDefault="002E6752" w:rsidP="002E6752">
            <w:pPr>
              <w:rPr>
                <w:rFonts w:ascii="HG丸ｺﾞｼｯｸM-PRO" w:eastAsia="HG丸ｺﾞｼｯｸM-PRO" w:hAnsi="HG丸ｺﾞｼｯｸM-PRO"/>
                <w:strike/>
                <w:szCs w:val="21"/>
              </w:rPr>
            </w:pPr>
            <w:r w:rsidRPr="001D6D10">
              <w:rPr>
                <w:rFonts w:ascii="HG丸ｺﾞｼｯｸM-PRO" w:eastAsia="HG丸ｺﾞｼｯｸM-PRO" w:hAnsi="HG丸ｺﾞｼｯｸM-PRO" w:hint="eastAsia"/>
                <w:szCs w:val="21"/>
              </w:rPr>
              <w:t>□被害の状況、業務の継続状況等を関係機関（庁内・庁外）へ連絡【パスポートセンター】</w:t>
            </w:r>
          </w:p>
          <w:p w14:paraId="77A56692" w14:textId="77777777" w:rsidR="002E6752" w:rsidRPr="001D6D10" w:rsidRDefault="002E6752" w:rsidP="002E6752">
            <w:pPr>
              <w:rPr>
                <w:rFonts w:ascii="HG丸ｺﾞｼｯｸM-PRO" w:eastAsia="HG丸ｺﾞｼｯｸM-PRO" w:hAnsi="HG丸ｺﾞｼｯｸM-PRO"/>
                <w:strike/>
                <w:szCs w:val="21"/>
              </w:rPr>
            </w:pPr>
            <w:r w:rsidRPr="001D6D10">
              <w:rPr>
                <w:rFonts w:ascii="HG丸ｺﾞｼｯｸM-PRO" w:eastAsia="HG丸ｺﾞｼｯｸM-PRO" w:hAnsi="HG丸ｺﾞｼｯｸM-PRO" w:hint="eastAsia"/>
                <w:szCs w:val="21"/>
              </w:rPr>
              <w:t>□所管施設の安全対策指示等【施設所管課】</w:t>
            </w:r>
          </w:p>
          <w:p w14:paraId="1F5CEF18" w14:textId="77777777" w:rsidR="00AF4820" w:rsidRPr="001D6D10" w:rsidRDefault="002E6752" w:rsidP="002E6752">
            <w:pPr>
              <w:rPr>
                <w:rFonts w:ascii="HG丸ｺﾞｼｯｸM-PRO" w:eastAsia="HG丸ｺﾞｼｯｸM-PRO" w:hAnsi="HG丸ｺﾞｼｯｸM-PRO"/>
                <w:szCs w:val="21"/>
              </w:rPr>
            </w:pPr>
            <w:r w:rsidRPr="001D6D10">
              <w:rPr>
                <w:rFonts w:ascii="HG丸ｺﾞｼｯｸM-PRO" w:eastAsia="HG丸ｺﾞｼｯｸM-PRO" w:hAnsi="HG丸ｺﾞｼｯｸM-PRO" w:hint="eastAsia"/>
                <w:szCs w:val="21"/>
              </w:rPr>
              <w:t>□市町村との連絡調整（男女共同参画の視点からの避難所運営等）【男女参画・府民協働課】</w:t>
            </w:r>
          </w:p>
          <w:p w14:paraId="4B4D2F87" w14:textId="4001810B" w:rsidR="00184757" w:rsidRPr="001D6D10" w:rsidRDefault="00AF4820" w:rsidP="002E6752">
            <w:pPr>
              <w:rPr>
                <w:rFonts w:ascii="HG丸ｺﾞｼｯｸM-PRO" w:eastAsia="HG丸ｺﾞｼｯｸM-PRO" w:hAnsi="HG丸ｺﾞｼｯｸM-PRO"/>
                <w:szCs w:val="21"/>
              </w:rPr>
            </w:pPr>
            <w:r w:rsidRPr="001D6D10">
              <w:rPr>
                <w:rFonts w:ascii="HG丸ｺﾞｼｯｸM-PRO" w:eastAsia="HG丸ｺﾞｼｯｸM-PRO" w:hAnsi="HG丸ｺﾞｼｯｸM-PRO" w:hint="eastAsia"/>
                <w:szCs w:val="21"/>
              </w:rPr>
              <w:t>□多言語情</w:t>
            </w:r>
            <w:r w:rsidRPr="00E0548A">
              <w:rPr>
                <w:rFonts w:ascii="HG丸ｺﾞｼｯｸM-PRO" w:eastAsia="HG丸ｺﾞｼｯｸM-PRO" w:hAnsi="HG丸ｺﾞｼｯｸM-PRO" w:hint="eastAsia"/>
                <w:szCs w:val="21"/>
              </w:rPr>
              <w:t>報アプリ「</w:t>
            </w:r>
            <w:r w:rsidR="00CD4EC2" w:rsidRPr="00E0548A">
              <w:rPr>
                <w:rFonts w:ascii="HG丸ｺﾞｼｯｸM-PRO" w:eastAsia="HG丸ｺﾞｼｯｸM-PRO" w:hAnsi="HG丸ｺﾞｼｯｸM-PRO" w:hint="eastAsia"/>
                <w:szCs w:val="21"/>
              </w:rPr>
              <w:t>大阪防災アプリ</w:t>
            </w:r>
            <w:r w:rsidRPr="00E0548A">
              <w:rPr>
                <w:rFonts w:ascii="HG丸ｺﾞｼｯｸM-PRO" w:eastAsia="HG丸ｺﾞｼｯｸM-PRO" w:hAnsi="HG丸ｺﾞｼｯｸM-PRO" w:hint="eastAsia"/>
                <w:szCs w:val="21"/>
              </w:rPr>
              <w:t>」</w:t>
            </w:r>
            <w:r w:rsidRPr="001D6D10">
              <w:rPr>
                <w:rFonts w:ascii="HG丸ｺﾞｼｯｸM-PRO" w:eastAsia="HG丸ｺﾞｼｯｸM-PRO" w:hAnsi="HG丸ｺﾞｼｯｸM-PRO" w:hint="eastAsia"/>
                <w:szCs w:val="21"/>
              </w:rPr>
              <w:t>からの情報発信【国際課】</w:t>
            </w:r>
          </w:p>
          <w:p w14:paraId="6B2536A4" w14:textId="14C04F6D" w:rsidR="002E6752" w:rsidRPr="001D6D10" w:rsidRDefault="002E6752" w:rsidP="002E6752">
            <w:pPr>
              <w:rPr>
                <w:rFonts w:ascii="HG丸ｺﾞｼｯｸM-PRO" w:eastAsia="HG丸ｺﾞｼｯｸM-PRO" w:hAnsi="HG丸ｺﾞｼｯｸM-PRO"/>
                <w:szCs w:val="21"/>
              </w:rPr>
            </w:pPr>
            <w:r w:rsidRPr="001D6D10">
              <w:rPr>
                <w:rFonts w:ascii="HG丸ｺﾞｼｯｸM-PRO" w:eastAsia="HG丸ｺﾞｼｯｸM-PRO" w:hAnsi="HG丸ｺﾞｼｯｸM-PRO" w:hint="eastAsia"/>
                <w:szCs w:val="21"/>
              </w:rPr>
              <w:t>□総領事館等への情報提供【国際課】</w:t>
            </w:r>
          </w:p>
          <w:p w14:paraId="0DAE214D" w14:textId="77777777" w:rsidR="002E6752" w:rsidRPr="001D6D10" w:rsidRDefault="002E6752" w:rsidP="002E6752">
            <w:pPr>
              <w:rPr>
                <w:rFonts w:ascii="HG丸ｺﾞｼｯｸM-PRO" w:eastAsia="HG丸ｺﾞｼｯｸM-PRO" w:hAnsi="HG丸ｺﾞｼｯｸM-PRO"/>
                <w:szCs w:val="21"/>
              </w:rPr>
            </w:pPr>
            <w:r w:rsidRPr="001D6D10">
              <w:rPr>
                <w:rFonts w:ascii="HG丸ｺﾞｼｯｸM-PRO" w:eastAsia="HG丸ｺﾞｼｯｸM-PRO" w:hAnsi="HG丸ｺﾞｼｯｸM-PRO" w:hint="eastAsia"/>
                <w:szCs w:val="21"/>
              </w:rPr>
              <w:t>□外国人相談体制の強化【国際課】</w:t>
            </w:r>
          </w:p>
        </w:tc>
      </w:tr>
    </w:tbl>
    <w:p w14:paraId="76122AD4" w14:textId="77777777" w:rsidR="00582BF7" w:rsidRPr="001D6D10" w:rsidRDefault="00582BF7" w:rsidP="00582BF7">
      <w:pPr>
        <w:ind w:left="1689" w:hangingChars="800" w:hanging="1689"/>
        <w:rPr>
          <w:rFonts w:ascii="ＭＳ ゴシック" w:eastAsia="ＭＳ ゴシック" w:hAnsi="ＭＳ ゴシック"/>
          <w:szCs w:val="21"/>
        </w:rPr>
      </w:pPr>
      <w:r w:rsidRPr="001D6D10">
        <w:rPr>
          <w:rFonts w:ascii="ＭＳ ゴシック" w:eastAsia="ＭＳ ゴシック" w:hAnsi="ＭＳ ゴシック" w:hint="eastAsia"/>
          <w:szCs w:val="21"/>
        </w:rPr>
        <w:t>※主な所管施設：消費生活センター、日本万国博覧会記念公園、パスポートセンター、</w:t>
      </w:r>
    </w:p>
    <w:p w14:paraId="3201F1F1" w14:textId="77777777" w:rsidR="00582BF7" w:rsidRPr="001D6D10" w:rsidRDefault="00582BF7" w:rsidP="00582BF7">
      <w:pPr>
        <w:ind w:leftChars="800" w:left="1689"/>
        <w:rPr>
          <w:rFonts w:ascii="ＭＳ ゴシック" w:eastAsia="ＭＳ ゴシック" w:hAnsi="ＭＳ ゴシック"/>
          <w:szCs w:val="21"/>
        </w:rPr>
      </w:pPr>
      <w:r w:rsidRPr="001D6D10">
        <w:rPr>
          <w:rFonts w:ascii="ＭＳ ゴシック" w:eastAsia="ＭＳ ゴシック" w:hAnsi="ＭＳ ゴシック" w:hint="eastAsia"/>
          <w:szCs w:val="21"/>
        </w:rPr>
        <w:t>男女共同参画・青少年センター、大阪国際会議場、文化施設（上方</w:t>
      </w:r>
      <w:r w:rsidRPr="001D6D10">
        <w:rPr>
          <w:rFonts w:ascii="ＭＳ ゴシック" w:eastAsia="ＭＳ ゴシック" w:hAnsi="ＭＳ ゴシック" w:cs="Meiryo UI" w:hint="eastAsia"/>
          <w:szCs w:val="21"/>
        </w:rPr>
        <w:t>演芸資料館</w:t>
      </w:r>
      <w:r w:rsidRPr="001D6D10">
        <w:rPr>
          <w:rFonts w:ascii="ＭＳ ゴシック" w:eastAsia="ＭＳ ゴシック" w:hAnsi="ＭＳ ゴシック" w:hint="eastAsia"/>
          <w:szCs w:val="21"/>
        </w:rPr>
        <w:t>等）</w:t>
      </w:r>
    </w:p>
    <w:p w14:paraId="0FAB65D3" w14:textId="7E23BF30" w:rsidR="00582BF7" w:rsidRPr="001D6D10" w:rsidRDefault="00582BF7" w:rsidP="00582BF7">
      <w:pPr>
        <w:ind w:firstLineChars="300" w:firstLine="633"/>
        <w:rPr>
          <w:rFonts w:ascii="ＭＳ ゴシック" w:eastAsia="ＭＳ ゴシック" w:hAnsi="ＭＳ ゴシック"/>
          <w:szCs w:val="21"/>
        </w:rPr>
      </w:pPr>
      <w:r w:rsidRPr="001D6D10">
        <w:rPr>
          <w:rFonts w:ascii="ＭＳ ゴシック" w:eastAsia="ＭＳ ゴシック" w:hAnsi="ＭＳ ゴシック" w:hint="eastAsia"/>
          <w:szCs w:val="21"/>
        </w:rPr>
        <w:t>関係機関</w:t>
      </w:r>
      <w:r w:rsidR="00626B4A" w:rsidRPr="001D6D10">
        <w:rPr>
          <w:rFonts w:ascii="ＭＳ ゴシック" w:eastAsia="ＭＳ ゴシック" w:hAnsi="ＭＳ ゴシック" w:hint="eastAsia"/>
          <w:szCs w:val="21"/>
        </w:rPr>
        <w:t>：</w:t>
      </w:r>
      <w:r w:rsidRPr="001D6D10">
        <w:rPr>
          <w:rFonts w:ascii="ＭＳ ゴシック" w:eastAsia="ＭＳ ゴシック" w:hAnsi="ＭＳ ゴシック" w:cs="Meiryo UI" w:hint="eastAsia"/>
          <w:szCs w:val="21"/>
        </w:rPr>
        <w:t>大阪国際平和センター</w:t>
      </w:r>
      <w:r w:rsidRPr="001D6D10">
        <w:rPr>
          <w:rFonts w:ascii="ＭＳ ゴシック" w:eastAsia="ＭＳ ゴシック" w:hAnsi="ＭＳ ゴシック" w:hint="eastAsia"/>
          <w:szCs w:val="21"/>
        </w:rPr>
        <w:t>、</w:t>
      </w:r>
      <w:r w:rsidR="00240B27" w:rsidRPr="001D6D10">
        <w:rPr>
          <w:rFonts w:ascii="ＭＳ ゴシック" w:eastAsia="ＭＳ ゴシック" w:hAnsi="ＭＳ ゴシック" w:hint="eastAsia"/>
          <w:szCs w:val="21"/>
        </w:rPr>
        <w:t>外国政府</w:t>
      </w:r>
    </w:p>
    <w:p w14:paraId="3EA09000" w14:textId="46F5C0DE" w:rsidR="00582BF7" w:rsidRPr="001D6D10" w:rsidRDefault="00582BF7" w:rsidP="009078F5">
      <w:pPr>
        <w:rPr>
          <w:rFonts w:ascii="ＭＳ ゴシック" w:eastAsia="ＭＳ ゴシック" w:hAnsi="ＭＳ ゴシック"/>
          <w:szCs w:val="21"/>
        </w:rPr>
      </w:pPr>
      <w:r w:rsidRPr="001D6D10">
        <w:rPr>
          <w:rFonts w:ascii="ＭＳ ゴシック" w:eastAsia="ＭＳ ゴシック" w:hAnsi="ＭＳ ゴシック" w:hint="eastAsia"/>
          <w:szCs w:val="21"/>
        </w:rPr>
        <w:t xml:space="preserve">　　　システム：府Ｗｅｂサイト管理システム、行政文書管理システム</w:t>
      </w:r>
    </w:p>
    <w:p w14:paraId="30C11ED3" w14:textId="77777777" w:rsidR="00C96DF8" w:rsidRPr="001D6D10" w:rsidRDefault="00582BF7" w:rsidP="00EB20A0">
      <w:pPr>
        <w:rPr>
          <w:rFonts w:ascii="ＭＳ ゴシック" w:eastAsia="ＭＳ ゴシック" w:hAnsi="ＭＳ ゴシック"/>
          <w:sz w:val="18"/>
          <w:szCs w:val="22"/>
        </w:rPr>
      </w:pPr>
      <w:r w:rsidRPr="001D6D10">
        <w:rPr>
          <w:rFonts w:ascii="ＭＳ ゴシック" w:eastAsia="ＭＳ ゴシック" w:hAnsi="ＭＳ ゴシック" w:hint="eastAsia"/>
          <w:sz w:val="18"/>
          <w:szCs w:val="22"/>
        </w:rPr>
        <w:t>※）本タイムラインから状況に応じて必要な項目を選定し、実施するものとする。</w:t>
      </w:r>
    </w:p>
    <w:p w14:paraId="25E70CBA" w14:textId="77777777" w:rsidR="00AF4820" w:rsidRPr="001D6D10" w:rsidRDefault="00AF4820" w:rsidP="00582BF7">
      <w:pPr>
        <w:rPr>
          <w:rFonts w:ascii="ＭＳ ゴシック" w:eastAsia="ＭＳ ゴシック" w:hAnsi="ＭＳ ゴシック"/>
          <w:sz w:val="22"/>
          <w:szCs w:val="22"/>
        </w:rPr>
      </w:pPr>
    </w:p>
    <w:p w14:paraId="1AAA3F21" w14:textId="77777777" w:rsidR="00930C0D" w:rsidRDefault="00930C0D">
      <w:pPr>
        <w:widowControl/>
        <w:jc w:val="left"/>
        <w:rPr>
          <w:rFonts w:ascii="ＭＳ ゴシック" w:eastAsia="ＭＳ ゴシック" w:hAnsi="ＭＳ ゴシック"/>
          <w:sz w:val="22"/>
          <w:szCs w:val="22"/>
        </w:rPr>
      </w:pPr>
      <w:r>
        <w:rPr>
          <w:rFonts w:ascii="ＭＳ ゴシック" w:eastAsia="ＭＳ ゴシック" w:hAnsi="ＭＳ ゴシック"/>
          <w:sz w:val="22"/>
          <w:szCs w:val="22"/>
        </w:rPr>
        <w:br w:type="page"/>
      </w:r>
    </w:p>
    <w:p w14:paraId="2BDFFD95" w14:textId="4152A5AA" w:rsidR="00582BF7" w:rsidRPr="001D6D10" w:rsidRDefault="00582BF7" w:rsidP="00582BF7">
      <w:pPr>
        <w:rPr>
          <w:rFonts w:ascii="ＭＳ ゴシック" w:eastAsia="ＭＳ ゴシック" w:hAnsi="ＭＳ ゴシック"/>
          <w:sz w:val="22"/>
          <w:szCs w:val="22"/>
        </w:rPr>
      </w:pPr>
      <w:r w:rsidRPr="001D6D10">
        <w:rPr>
          <w:rFonts w:ascii="ＭＳ ゴシック" w:eastAsia="ＭＳ ゴシック" w:hAnsi="ＭＳ ゴシック" w:hint="eastAsia"/>
          <w:sz w:val="22"/>
          <w:szCs w:val="22"/>
        </w:rPr>
        <w:lastRenderedPageBreak/>
        <w:t>⑦ＩＲ推進局</w:t>
      </w:r>
    </w:p>
    <w:tbl>
      <w:tblPr>
        <w:tblpPr w:leftFromText="142" w:rightFromText="142" w:vertAnchor="text" w:tblpXSpec="center" w:tblpY="1"/>
        <w:tblOverlap w:val="neve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57"/>
        <w:gridCol w:w="7037"/>
      </w:tblGrid>
      <w:tr w:rsidR="001D6D10" w:rsidRPr="001D6D10" w14:paraId="3B070E2C" w14:textId="77777777" w:rsidTr="00F35CFE">
        <w:trPr>
          <w:jc w:val="center"/>
        </w:trPr>
        <w:tc>
          <w:tcPr>
            <w:tcW w:w="1457" w:type="dxa"/>
            <w:tcBorders>
              <w:bottom w:val="single" w:sz="4" w:space="0" w:color="auto"/>
            </w:tcBorders>
            <w:shd w:val="clear" w:color="auto" w:fill="BFBFBF"/>
          </w:tcPr>
          <w:p w14:paraId="4B1017F1" w14:textId="77777777" w:rsidR="00582BF7" w:rsidRPr="001D6D10" w:rsidRDefault="00582BF7" w:rsidP="00F35CFE">
            <w:pPr>
              <w:jc w:val="center"/>
              <w:rPr>
                <w:rFonts w:ascii="HG丸ｺﾞｼｯｸM-PRO" w:eastAsia="HG丸ｺﾞｼｯｸM-PRO" w:hAnsi="HG丸ｺﾞｼｯｸM-PRO"/>
                <w:szCs w:val="21"/>
              </w:rPr>
            </w:pPr>
            <w:r w:rsidRPr="001D6D10">
              <w:rPr>
                <w:rFonts w:ascii="HG丸ｺﾞｼｯｸM-PRO" w:eastAsia="HG丸ｺﾞｼｯｸM-PRO" w:hAnsi="HG丸ｺﾞｼｯｸM-PRO" w:hint="eastAsia"/>
                <w:szCs w:val="21"/>
              </w:rPr>
              <w:t>時　期</w:t>
            </w:r>
          </w:p>
        </w:tc>
        <w:tc>
          <w:tcPr>
            <w:tcW w:w="7037" w:type="dxa"/>
            <w:tcBorders>
              <w:bottom w:val="single" w:sz="4" w:space="0" w:color="auto"/>
            </w:tcBorders>
            <w:shd w:val="clear" w:color="auto" w:fill="BFBFBF"/>
          </w:tcPr>
          <w:p w14:paraId="43735816" w14:textId="77777777" w:rsidR="00582BF7" w:rsidRPr="001D6D10" w:rsidRDefault="00E31DA1" w:rsidP="00F35CFE">
            <w:pPr>
              <w:jc w:val="center"/>
              <w:rPr>
                <w:rFonts w:ascii="HG丸ｺﾞｼｯｸM-PRO" w:eastAsia="HG丸ｺﾞｼｯｸM-PRO" w:hAnsi="HG丸ｺﾞｼｯｸM-PRO"/>
                <w:szCs w:val="21"/>
              </w:rPr>
            </w:pPr>
            <w:r w:rsidRPr="001D6D10">
              <w:rPr>
                <w:rFonts w:ascii="HG丸ｺﾞｼｯｸM-PRO" w:eastAsia="HG丸ｺﾞｼｯｸM-PRO" w:hAnsi="HG丸ｺﾞｼｯｸM-PRO" w:hint="eastAsia"/>
                <w:szCs w:val="21"/>
              </w:rPr>
              <w:t>主な事前準備</w:t>
            </w:r>
            <w:r w:rsidR="00582BF7" w:rsidRPr="001D6D10">
              <w:rPr>
                <w:rFonts w:ascii="HG丸ｺﾞｼｯｸM-PRO" w:eastAsia="HG丸ｺﾞｼｯｸM-PRO" w:hAnsi="HG丸ｺﾞｼｯｸM-PRO" w:hint="eastAsia"/>
                <w:szCs w:val="21"/>
              </w:rPr>
              <w:t>業務</w:t>
            </w:r>
          </w:p>
        </w:tc>
      </w:tr>
      <w:tr w:rsidR="001D6D10" w:rsidRPr="001D6D10" w14:paraId="5D0FE81E" w14:textId="77777777" w:rsidTr="00F35CFE">
        <w:trPr>
          <w:jc w:val="center"/>
        </w:trPr>
        <w:tc>
          <w:tcPr>
            <w:tcW w:w="1457" w:type="dxa"/>
            <w:vMerge w:val="restart"/>
            <w:shd w:val="clear" w:color="auto" w:fill="FFFFFF" w:themeFill="background1"/>
          </w:tcPr>
          <w:p w14:paraId="18B78115" w14:textId="77777777" w:rsidR="002B3D2C" w:rsidRPr="001D6D10" w:rsidRDefault="002B3D2C" w:rsidP="00F35CFE">
            <w:pPr>
              <w:jc w:val="center"/>
              <w:rPr>
                <w:rFonts w:ascii="HG丸ｺﾞｼｯｸM-PRO" w:eastAsia="HG丸ｺﾞｼｯｸM-PRO" w:hAnsi="HG丸ｺﾞｼｯｸM-PRO"/>
                <w:szCs w:val="21"/>
              </w:rPr>
            </w:pPr>
          </w:p>
          <w:p w14:paraId="52DFC6F6" w14:textId="77777777" w:rsidR="002B3D2C" w:rsidRPr="001D6D10" w:rsidRDefault="002B3D2C" w:rsidP="00F35CFE">
            <w:pPr>
              <w:jc w:val="center"/>
              <w:rPr>
                <w:rFonts w:ascii="HG丸ｺﾞｼｯｸM-PRO" w:eastAsia="HG丸ｺﾞｼｯｸM-PRO" w:hAnsi="HG丸ｺﾞｼｯｸM-PRO"/>
                <w:szCs w:val="21"/>
              </w:rPr>
            </w:pPr>
          </w:p>
          <w:p w14:paraId="6DE0BE61" w14:textId="77777777" w:rsidR="002B3D2C" w:rsidRPr="001D6D10" w:rsidRDefault="002B3D2C" w:rsidP="00F35CFE">
            <w:pPr>
              <w:jc w:val="center"/>
              <w:rPr>
                <w:rFonts w:ascii="HG丸ｺﾞｼｯｸM-PRO" w:eastAsia="HG丸ｺﾞｼｯｸM-PRO" w:hAnsi="HG丸ｺﾞｼｯｸM-PRO"/>
                <w:szCs w:val="21"/>
              </w:rPr>
            </w:pPr>
          </w:p>
          <w:p w14:paraId="61F48878" w14:textId="5BDE1087" w:rsidR="00582BF7" w:rsidRPr="001D6D10" w:rsidRDefault="00582BF7" w:rsidP="00F35CFE">
            <w:pPr>
              <w:jc w:val="center"/>
              <w:rPr>
                <w:rFonts w:ascii="HG丸ｺﾞｼｯｸM-PRO" w:eastAsia="HG丸ｺﾞｼｯｸM-PRO" w:hAnsi="HG丸ｺﾞｼｯｸM-PRO"/>
                <w:szCs w:val="21"/>
              </w:rPr>
            </w:pPr>
            <w:r w:rsidRPr="001D6D10">
              <w:rPr>
                <w:rFonts w:ascii="HG丸ｺﾞｼｯｸM-PRO" w:eastAsia="HG丸ｺﾞｼｯｸM-PRO" w:hAnsi="HG丸ｺﾞｼｯｸM-PRO" w:hint="eastAsia"/>
                <w:szCs w:val="21"/>
              </w:rPr>
              <w:t>～48ｈ</w:t>
            </w:r>
            <w:r w:rsidR="0053084D" w:rsidRPr="001D6D10">
              <w:rPr>
                <w:rFonts w:ascii="HG丸ｺﾞｼｯｸM-PRO" w:eastAsia="HG丸ｺﾞｼｯｸM-PRO" w:hAnsi="HG丸ｺﾞｼｯｸM-PRO" w:hint="eastAsia"/>
                <w:szCs w:val="21"/>
              </w:rPr>
              <w:t>前</w:t>
            </w:r>
          </w:p>
          <w:p w14:paraId="7D245FE5" w14:textId="77777777" w:rsidR="00582BF7" w:rsidRPr="001D6D10" w:rsidRDefault="00582BF7" w:rsidP="00F35CFE">
            <w:pPr>
              <w:jc w:val="center"/>
              <w:rPr>
                <w:rFonts w:ascii="HG丸ｺﾞｼｯｸM-PRO" w:eastAsia="HG丸ｺﾞｼｯｸM-PRO" w:hAnsi="HG丸ｺﾞｼｯｸM-PRO"/>
                <w:sz w:val="20"/>
                <w:szCs w:val="20"/>
              </w:rPr>
            </w:pPr>
            <w:r w:rsidRPr="001D6D10">
              <w:rPr>
                <w:rFonts w:ascii="HG丸ｺﾞｼｯｸM-PRO" w:eastAsia="HG丸ｺﾞｼｯｸM-PRO" w:hAnsi="HG丸ｺﾞｼｯｸM-PRO" w:hint="eastAsia"/>
                <w:sz w:val="20"/>
                <w:szCs w:val="20"/>
              </w:rPr>
              <w:t>（３日以前）</w:t>
            </w:r>
          </w:p>
        </w:tc>
        <w:tc>
          <w:tcPr>
            <w:tcW w:w="7037" w:type="dxa"/>
            <w:tcBorders>
              <w:bottom w:val="single" w:sz="4" w:space="0" w:color="auto"/>
            </w:tcBorders>
            <w:shd w:val="clear" w:color="auto" w:fill="FFFFFF" w:themeFill="background1"/>
          </w:tcPr>
          <w:p w14:paraId="777FE181" w14:textId="77777777" w:rsidR="00582BF7" w:rsidRPr="001D6D10" w:rsidRDefault="00582BF7" w:rsidP="00F35CFE">
            <w:pPr>
              <w:rPr>
                <w:rFonts w:ascii="HG丸ｺﾞｼｯｸM-PRO" w:eastAsia="HG丸ｺﾞｼｯｸM-PRO" w:hAnsi="HG丸ｺﾞｼｯｸM-PRO"/>
                <w:szCs w:val="21"/>
              </w:rPr>
            </w:pPr>
            <w:r w:rsidRPr="001D6D10">
              <w:rPr>
                <w:rFonts w:ascii="HG丸ｺﾞｼｯｸM-PRO" w:eastAsia="HG丸ｺﾞｼｯｸM-PRO" w:hAnsi="HG丸ｺﾞｼｯｸM-PRO" w:hint="eastAsia"/>
                <w:szCs w:val="21"/>
              </w:rPr>
              <w:t xml:space="preserve">□危機管理室からの情報を関係者で共有　</w:t>
            </w:r>
          </w:p>
          <w:p w14:paraId="7FFB01E1" w14:textId="77777777" w:rsidR="00582BF7" w:rsidRPr="001D6D10" w:rsidRDefault="00582BF7" w:rsidP="00F35CFE">
            <w:pPr>
              <w:rPr>
                <w:rFonts w:ascii="HG丸ｺﾞｼｯｸM-PRO" w:eastAsia="HG丸ｺﾞｼｯｸM-PRO" w:hAnsi="HG丸ｺﾞｼｯｸM-PRO"/>
                <w:szCs w:val="21"/>
              </w:rPr>
            </w:pPr>
            <w:r w:rsidRPr="001D6D10">
              <w:rPr>
                <w:rFonts w:ascii="HG丸ｺﾞｼｯｸM-PRO" w:eastAsia="HG丸ｺﾞｼｯｸM-PRO" w:hAnsi="HG丸ｺﾞｼｯｸM-PRO" w:hint="eastAsia"/>
                <w:szCs w:val="21"/>
              </w:rPr>
              <w:t>□連絡体制の確認</w:t>
            </w:r>
          </w:p>
          <w:p w14:paraId="5B8403DB" w14:textId="77777777" w:rsidR="00A2101B" w:rsidRPr="001D6D10" w:rsidRDefault="00A2101B" w:rsidP="00A2101B">
            <w:pPr>
              <w:rPr>
                <w:rFonts w:ascii="HG丸ｺﾞｼｯｸM-PRO" w:eastAsia="HG丸ｺﾞｼｯｸM-PRO" w:hAnsi="HG丸ｺﾞｼｯｸM-PRO"/>
                <w:szCs w:val="21"/>
              </w:rPr>
            </w:pPr>
            <w:r w:rsidRPr="001D6D10">
              <w:rPr>
                <w:rFonts w:ascii="HG丸ｺﾞｼｯｸM-PRO" w:eastAsia="HG丸ｺﾞｼｯｸM-PRO" w:hAnsi="HG丸ｺﾞｼｯｸM-PRO" w:hint="eastAsia"/>
                <w:szCs w:val="21"/>
              </w:rPr>
              <w:t>□指令部会議の事前準備</w:t>
            </w:r>
          </w:p>
          <w:p w14:paraId="7294D0C8" w14:textId="77777777" w:rsidR="00A2101B" w:rsidRPr="001D6D10" w:rsidRDefault="00A2101B" w:rsidP="00A2101B">
            <w:pPr>
              <w:rPr>
                <w:rFonts w:ascii="HG丸ｺﾞｼｯｸM-PRO" w:eastAsia="HG丸ｺﾞｼｯｸM-PRO" w:hAnsi="HG丸ｺﾞｼｯｸM-PRO"/>
                <w:szCs w:val="21"/>
              </w:rPr>
            </w:pPr>
            <w:r w:rsidRPr="001D6D10">
              <w:rPr>
                <w:rFonts w:ascii="HG丸ｺﾞｼｯｸM-PRO" w:eastAsia="HG丸ｺﾞｼｯｸM-PRO" w:hAnsi="HG丸ｺﾞｼｯｸM-PRO" w:hint="eastAsia"/>
                <w:szCs w:val="21"/>
              </w:rPr>
              <w:t xml:space="preserve">　</w:t>
            </w:r>
            <w:r w:rsidR="005B33EE" w:rsidRPr="001D6D10">
              <w:rPr>
                <w:rFonts w:ascii="HG丸ｺﾞｼｯｸM-PRO" w:eastAsia="HG丸ｺﾞｼｯｸM-PRO" w:hAnsi="HG丸ｺﾞｼｯｸM-PRO" w:hint="eastAsia"/>
                <w:szCs w:val="21"/>
              </w:rPr>
              <w:t>・イベントの有無確認（府主催、共催）</w:t>
            </w:r>
          </w:p>
          <w:p w14:paraId="521A7BE5" w14:textId="77777777" w:rsidR="000515D7" w:rsidRPr="001D6D10" w:rsidRDefault="00A2101B" w:rsidP="00A2101B">
            <w:pPr>
              <w:rPr>
                <w:rFonts w:ascii="HG丸ｺﾞｼｯｸM-PRO" w:eastAsia="HG丸ｺﾞｼｯｸM-PRO" w:hAnsi="HG丸ｺﾞｼｯｸM-PRO"/>
                <w:szCs w:val="21"/>
              </w:rPr>
            </w:pPr>
            <w:r w:rsidRPr="001D6D10">
              <w:rPr>
                <w:rFonts w:ascii="HG丸ｺﾞｼｯｸM-PRO" w:eastAsia="HG丸ｺﾞｼｯｸM-PRO" w:hAnsi="HG丸ｺﾞｼｯｸM-PRO" w:hint="eastAsia"/>
                <w:szCs w:val="21"/>
              </w:rPr>
              <w:t xml:space="preserve">　・所管団体等への注意喚起など</w:t>
            </w:r>
          </w:p>
        </w:tc>
      </w:tr>
      <w:tr w:rsidR="001D6D10" w:rsidRPr="001D6D10" w14:paraId="0A75A3E1" w14:textId="77777777" w:rsidTr="00F35CFE">
        <w:trPr>
          <w:jc w:val="center"/>
        </w:trPr>
        <w:tc>
          <w:tcPr>
            <w:tcW w:w="1457" w:type="dxa"/>
            <w:vMerge/>
          </w:tcPr>
          <w:p w14:paraId="46489E44" w14:textId="77777777" w:rsidR="00582BF7" w:rsidRPr="001D6D10" w:rsidRDefault="00582BF7" w:rsidP="00F35CFE">
            <w:pPr>
              <w:rPr>
                <w:rFonts w:ascii="HG丸ｺﾞｼｯｸM-PRO" w:eastAsia="HG丸ｺﾞｼｯｸM-PRO" w:hAnsi="HG丸ｺﾞｼｯｸM-PRO"/>
                <w:szCs w:val="21"/>
              </w:rPr>
            </w:pPr>
          </w:p>
        </w:tc>
        <w:tc>
          <w:tcPr>
            <w:tcW w:w="7037" w:type="dxa"/>
          </w:tcPr>
          <w:p w14:paraId="6AEC6899" w14:textId="77777777" w:rsidR="00582BF7" w:rsidRPr="001D6D10" w:rsidRDefault="00582BF7" w:rsidP="00F35CFE">
            <w:pPr>
              <w:rPr>
                <w:rFonts w:ascii="HG丸ｺﾞｼｯｸM-PRO" w:eastAsia="HG丸ｺﾞｼｯｸM-PRO" w:hAnsi="HG丸ｺﾞｼｯｸM-PRO"/>
                <w:szCs w:val="21"/>
              </w:rPr>
            </w:pPr>
            <w:r w:rsidRPr="001D6D10">
              <w:rPr>
                <w:rFonts w:ascii="HG丸ｺﾞｼｯｸM-PRO" w:eastAsia="HG丸ｺﾞｼｯｸM-PRO" w:hAnsi="HG丸ｺﾞｼｯｸM-PRO" w:hint="eastAsia"/>
                <w:b/>
                <w:szCs w:val="21"/>
                <w:highlight w:val="yellow"/>
              </w:rPr>
              <w:t>防災・危機管理指令部会議</w:t>
            </w:r>
            <w:r w:rsidRPr="001D6D10">
              <w:rPr>
                <w:rFonts w:ascii="HG丸ｺﾞｼｯｸM-PRO" w:eastAsia="HG丸ｺﾞｼｯｸM-PRO" w:hAnsi="HG丸ｺﾞｼｯｸM-PRO" w:hint="eastAsia"/>
                <w:szCs w:val="21"/>
                <w:highlight w:val="yellow"/>
              </w:rPr>
              <w:t>（おおよそ７２ｈ前）</w:t>
            </w:r>
            <w:r w:rsidR="00CB0ABF" w:rsidRPr="001D6D10">
              <w:rPr>
                <w:rFonts w:ascii="HG丸ｺﾞｼｯｸM-PRO" w:eastAsia="HG丸ｺﾞｼｯｸM-PRO" w:hAnsi="HG丸ｺﾞｼｯｸM-PRO" w:hint="eastAsia"/>
                <w:szCs w:val="21"/>
                <w:highlight w:val="yellow"/>
              </w:rPr>
              <w:t>（Ｐ42</w:t>
            </w:r>
            <w:r w:rsidR="00AD02A5" w:rsidRPr="001D6D10">
              <w:rPr>
                <w:rFonts w:ascii="HG丸ｺﾞｼｯｸM-PRO" w:eastAsia="HG丸ｺﾞｼｯｸM-PRO" w:hAnsi="HG丸ｺﾞｼｯｸM-PRO" w:hint="eastAsia"/>
                <w:szCs w:val="21"/>
                <w:highlight w:val="yellow"/>
              </w:rPr>
              <w:t>参照）</w:t>
            </w:r>
          </w:p>
        </w:tc>
      </w:tr>
      <w:tr w:rsidR="001D6D10" w:rsidRPr="001D6D10" w14:paraId="7DFA6572" w14:textId="77777777" w:rsidTr="00F35CFE">
        <w:trPr>
          <w:jc w:val="center"/>
        </w:trPr>
        <w:tc>
          <w:tcPr>
            <w:tcW w:w="1457" w:type="dxa"/>
            <w:vMerge/>
          </w:tcPr>
          <w:p w14:paraId="5E1CB099" w14:textId="77777777" w:rsidR="00582BF7" w:rsidRPr="001D6D10" w:rsidRDefault="00582BF7" w:rsidP="00F35CFE">
            <w:pPr>
              <w:rPr>
                <w:rFonts w:ascii="HG丸ｺﾞｼｯｸM-PRO" w:eastAsia="HG丸ｺﾞｼｯｸM-PRO" w:hAnsi="HG丸ｺﾞｼｯｸM-PRO"/>
                <w:szCs w:val="21"/>
              </w:rPr>
            </w:pPr>
          </w:p>
        </w:tc>
        <w:tc>
          <w:tcPr>
            <w:tcW w:w="7037" w:type="dxa"/>
          </w:tcPr>
          <w:p w14:paraId="0DAFD0D3" w14:textId="77777777" w:rsidR="00582BF7" w:rsidRPr="001D6D10" w:rsidRDefault="00582BF7" w:rsidP="00F35CFE">
            <w:pPr>
              <w:rPr>
                <w:rFonts w:ascii="HG丸ｺﾞｼｯｸM-PRO" w:eastAsia="HG丸ｺﾞｼｯｸM-PRO" w:hAnsi="HG丸ｺﾞｼｯｸM-PRO"/>
                <w:szCs w:val="21"/>
              </w:rPr>
            </w:pPr>
            <w:r w:rsidRPr="001D6D10">
              <w:rPr>
                <w:rFonts w:ascii="HG丸ｺﾞｼｯｸM-PRO" w:eastAsia="HG丸ｺﾞｼｯｸM-PRO" w:hAnsi="HG丸ｺﾞｼｯｸM-PRO" w:hint="eastAsia"/>
                <w:szCs w:val="21"/>
              </w:rPr>
              <w:t>□危機管理室からの情報を関係者で共有</w:t>
            </w:r>
          </w:p>
          <w:p w14:paraId="2CEAF011" w14:textId="77777777" w:rsidR="00582BF7" w:rsidRPr="001D6D10" w:rsidRDefault="00582BF7" w:rsidP="00F35CFE">
            <w:pPr>
              <w:rPr>
                <w:rFonts w:ascii="HG丸ｺﾞｼｯｸM-PRO" w:eastAsia="HG丸ｺﾞｼｯｸM-PRO" w:hAnsi="HG丸ｺﾞｼｯｸM-PRO"/>
                <w:szCs w:val="21"/>
              </w:rPr>
            </w:pPr>
            <w:r w:rsidRPr="001D6D10">
              <w:rPr>
                <w:rFonts w:ascii="HG丸ｺﾞｼｯｸM-PRO" w:eastAsia="HG丸ｺﾞｼｯｸM-PRO" w:hAnsi="HG丸ｺﾞｼｯｸM-PRO" w:hint="eastAsia"/>
                <w:szCs w:val="21"/>
              </w:rPr>
              <w:t>□部局内・関係機関・出先機関・管理施設への気象情報提供・注意喚起（備蓄品の確認等）</w:t>
            </w:r>
          </w:p>
          <w:p w14:paraId="4C08859B" w14:textId="77777777" w:rsidR="00582BF7" w:rsidRPr="001D6D10" w:rsidRDefault="00582BF7" w:rsidP="00F35CFE">
            <w:pPr>
              <w:rPr>
                <w:rFonts w:ascii="HG丸ｺﾞｼｯｸM-PRO" w:eastAsia="HG丸ｺﾞｼｯｸM-PRO" w:hAnsi="HG丸ｺﾞｼｯｸM-PRO"/>
                <w:szCs w:val="21"/>
              </w:rPr>
            </w:pPr>
            <w:r w:rsidRPr="001D6D10">
              <w:rPr>
                <w:rFonts w:ascii="HG丸ｺﾞｼｯｸM-PRO" w:eastAsia="HG丸ｺﾞｼｯｸM-PRO" w:hAnsi="HG丸ｺﾞｼｯｸM-PRO" w:hint="eastAsia"/>
                <w:szCs w:val="21"/>
              </w:rPr>
              <w:t>□事前対策依頼（自家発電機の燃料確認など）</w:t>
            </w:r>
          </w:p>
        </w:tc>
      </w:tr>
      <w:tr w:rsidR="001D6D10" w:rsidRPr="001D6D10" w14:paraId="3ABBC06D" w14:textId="77777777" w:rsidTr="00F35CFE">
        <w:trPr>
          <w:jc w:val="center"/>
        </w:trPr>
        <w:tc>
          <w:tcPr>
            <w:tcW w:w="1457" w:type="dxa"/>
            <w:vMerge w:val="restart"/>
          </w:tcPr>
          <w:p w14:paraId="0A12B3F6" w14:textId="77777777" w:rsidR="002B3D2C" w:rsidRPr="001D6D10" w:rsidRDefault="002B3D2C" w:rsidP="00F35CFE">
            <w:pPr>
              <w:rPr>
                <w:rFonts w:ascii="HG丸ｺﾞｼｯｸM-PRO" w:eastAsia="HG丸ｺﾞｼｯｸM-PRO" w:hAnsi="HG丸ｺﾞｼｯｸM-PRO"/>
                <w:szCs w:val="21"/>
              </w:rPr>
            </w:pPr>
          </w:p>
          <w:p w14:paraId="0A8EAD6D" w14:textId="77777777" w:rsidR="002B3D2C" w:rsidRPr="001D6D10" w:rsidRDefault="002B3D2C" w:rsidP="00F35CFE">
            <w:pPr>
              <w:rPr>
                <w:rFonts w:ascii="HG丸ｺﾞｼｯｸM-PRO" w:eastAsia="HG丸ｺﾞｼｯｸM-PRO" w:hAnsi="HG丸ｺﾞｼｯｸM-PRO"/>
                <w:szCs w:val="21"/>
              </w:rPr>
            </w:pPr>
          </w:p>
          <w:p w14:paraId="1E9FE5E6" w14:textId="77777777" w:rsidR="002B3D2C" w:rsidRPr="001D6D10" w:rsidRDefault="002B3D2C" w:rsidP="00F35CFE">
            <w:pPr>
              <w:rPr>
                <w:rFonts w:ascii="HG丸ｺﾞｼｯｸM-PRO" w:eastAsia="HG丸ｺﾞｼｯｸM-PRO" w:hAnsi="HG丸ｺﾞｼｯｸM-PRO"/>
                <w:szCs w:val="21"/>
              </w:rPr>
            </w:pPr>
          </w:p>
          <w:p w14:paraId="77435DFA" w14:textId="77777777" w:rsidR="002B3D2C" w:rsidRPr="001D6D10" w:rsidRDefault="002B3D2C" w:rsidP="00F35CFE">
            <w:pPr>
              <w:rPr>
                <w:rFonts w:ascii="HG丸ｺﾞｼｯｸM-PRO" w:eastAsia="HG丸ｺﾞｼｯｸM-PRO" w:hAnsi="HG丸ｺﾞｼｯｸM-PRO"/>
                <w:szCs w:val="21"/>
              </w:rPr>
            </w:pPr>
          </w:p>
          <w:p w14:paraId="6E792D37" w14:textId="77777777" w:rsidR="002B3D2C" w:rsidRPr="001D6D10" w:rsidRDefault="002B3D2C" w:rsidP="00F35CFE">
            <w:pPr>
              <w:rPr>
                <w:rFonts w:ascii="HG丸ｺﾞｼｯｸM-PRO" w:eastAsia="HG丸ｺﾞｼｯｸM-PRO" w:hAnsi="HG丸ｺﾞｼｯｸM-PRO"/>
                <w:szCs w:val="21"/>
              </w:rPr>
            </w:pPr>
          </w:p>
          <w:p w14:paraId="39C87850" w14:textId="77777777" w:rsidR="002B3D2C" w:rsidRPr="001D6D10" w:rsidRDefault="002B3D2C" w:rsidP="00F35CFE">
            <w:pPr>
              <w:rPr>
                <w:rFonts w:ascii="HG丸ｺﾞｼｯｸM-PRO" w:eastAsia="HG丸ｺﾞｼｯｸM-PRO" w:hAnsi="HG丸ｺﾞｼｯｸM-PRO"/>
                <w:szCs w:val="21"/>
              </w:rPr>
            </w:pPr>
          </w:p>
          <w:p w14:paraId="5ABC6D1A" w14:textId="77777777" w:rsidR="00582BF7" w:rsidRPr="001D6D10" w:rsidRDefault="00582BF7" w:rsidP="00F35CFE">
            <w:pPr>
              <w:rPr>
                <w:rFonts w:ascii="HG丸ｺﾞｼｯｸM-PRO" w:eastAsia="HG丸ｺﾞｼｯｸM-PRO" w:hAnsi="HG丸ｺﾞｼｯｸM-PRO"/>
                <w:szCs w:val="21"/>
              </w:rPr>
            </w:pPr>
            <w:r w:rsidRPr="001D6D10">
              <w:rPr>
                <w:rFonts w:ascii="HG丸ｺﾞｼｯｸM-PRO" w:eastAsia="HG丸ｺﾞｼｯｸM-PRO" w:hAnsi="HG丸ｺﾞｼｯｸM-PRO" w:hint="eastAsia"/>
                <w:szCs w:val="21"/>
              </w:rPr>
              <w:t>48ｈ前～</w:t>
            </w:r>
          </w:p>
          <w:p w14:paraId="09B268B3" w14:textId="77777777" w:rsidR="00582BF7" w:rsidRPr="001D6D10" w:rsidRDefault="00582BF7" w:rsidP="00F35CFE">
            <w:pPr>
              <w:rPr>
                <w:rFonts w:ascii="HG丸ｺﾞｼｯｸM-PRO" w:eastAsia="HG丸ｺﾞｼｯｸM-PRO" w:hAnsi="HG丸ｺﾞｼｯｸM-PRO"/>
                <w:szCs w:val="21"/>
              </w:rPr>
            </w:pPr>
            <w:r w:rsidRPr="001D6D10">
              <w:rPr>
                <w:rFonts w:ascii="HG丸ｺﾞｼｯｸM-PRO" w:eastAsia="HG丸ｺﾞｼｯｸM-PRO" w:hAnsi="HG丸ｺﾞｼｯｸM-PRO" w:hint="eastAsia"/>
                <w:szCs w:val="21"/>
              </w:rPr>
              <w:t xml:space="preserve">　　24ｈ前</w:t>
            </w:r>
          </w:p>
          <w:p w14:paraId="1C673DDF" w14:textId="77777777" w:rsidR="00582BF7" w:rsidRPr="001D6D10" w:rsidRDefault="00582BF7" w:rsidP="00F35CFE">
            <w:pPr>
              <w:rPr>
                <w:rFonts w:ascii="HG丸ｺﾞｼｯｸM-PRO" w:eastAsia="HG丸ｺﾞｼｯｸM-PRO" w:hAnsi="HG丸ｺﾞｼｯｸM-PRO"/>
                <w:szCs w:val="21"/>
              </w:rPr>
            </w:pPr>
            <w:r w:rsidRPr="001D6D10">
              <w:rPr>
                <w:rFonts w:ascii="HG丸ｺﾞｼｯｸM-PRO" w:eastAsia="HG丸ｺﾞｼｯｸM-PRO" w:hAnsi="HG丸ｺﾞｼｯｸM-PRO" w:hint="eastAsia"/>
                <w:szCs w:val="21"/>
              </w:rPr>
              <w:t>（２日前）</w:t>
            </w:r>
          </w:p>
        </w:tc>
        <w:tc>
          <w:tcPr>
            <w:tcW w:w="7037" w:type="dxa"/>
          </w:tcPr>
          <w:p w14:paraId="3FBD593F" w14:textId="77777777" w:rsidR="00582BF7" w:rsidRPr="001D6D10" w:rsidRDefault="00582BF7" w:rsidP="00F35CFE">
            <w:pPr>
              <w:rPr>
                <w:rFonts w:ascii="HG丸ｺﾞｼｯｸM-PRO" w:eastAsia="HG丸ｺﾞｼｯｸM-PRO" w:hAnsi="HG丸ｺﾞｼｯｸM-PRO"/>
                <w:sz w:val="18"/>
                <w:szCs w:val="18"/>
              </w:rPr>
            </w:pPr>
            <w:r w:rsidRPr="001D6D10">
              <w:rPr>
                <w:rFonts w:ascii="HG丸ｺﾞｼｯｸM-PRO" w:eastAsia="HG丸ｺﾞｼｯｸM-PRO" w:hAnsi="HG丸ｺﾞｼｯｸM-PRO" w:hint="eastAsia"/>
                <w:szCs w:val="21"/>
              </w:rPr>
              <w:t>庁内連絡会議①：災害モード宣言の内容、第1回災害警戒本部会議の事前調整等</w:t>
            </w:r>
            <w:r w:rsidRPr="001D6D10">
              <w:rPr>
                <w:rFonts w:ascii="HG丸ｺﾞｼｯｸM-PRO" w:eastAsia="HG丸ｺﾞｼｯｸM-PRO" w:hAnsi="HG丸ｺﾞｼｯｸM-PRO" w:hint="eastAsia"/>
                <w:sz w:val="18"/>
                <w:szCs w:val="18"/>
              </w:rPr>
              <w:t>(警戒本部会議議題：管理施設の休館及び学校休校の検討、イベント等の中止検討、職員の配備態勢)</w:t>
            </w:r>
          </w:p>
          <w:p w14:paraId="5E15996E" w14:textId="77777777" w:rsidR="000515D7" w:rsidRPr="001D6D10" w:rsidRDefault="000515D7" w:rsidP="000515D7">
            <w:pPr>
              <w:rPr>
                <w:rFonts w:ascii="HG丸ｺﾞｼｯｸM-PRO" w:eastAsia="HG丸ｺﾞｼｯｸM-PRO" w:hAnsi="HG丸ｺﾞｼｯｸM-PRO"/>
                <w:szCs w:val="21"/>
              </w:rPr>
            </w:pPr>
            <w:r w:rsidRPr="001D6D10">
              <w:rPr>
                <w:rFonts w:ascii="HG丸ｺﾞｼｯｸM-PRO" w:eastAsia="HG丸ｺﾞｼｯｸM-PRO" w:hAnsi="HG丸ｺﾞｼｯｸM-PRO" w:hint="eastAsia"/>
                <w:szCs w:val="21"/>
              </w:rPr>
              <w:t>□第１回災害警戒本部会議の事前準備</w:t>
            </w:r>
          </w:p>
          <w:p w14:paraId="7DABFF1A" w14:textId="77777777" w:rsidR="000515D7" w:rsidRPr="001D6D10" w:rsidRDefault="000515D7" w:rsidP="000515D7">
            <w:pPr>
              <w:rPr>
                <w:rFonts w:ascii="HG丸ｺﾞｼｯｸM-PRO" w:eastAsia="HG丸ｺﾞｼｯｸM-PRO" w:hAnsi="HG丸ｺﾞｼｯｸM-PRO"/>
                <w:szCs w:val="21"/>
              </w:rPr>
            </w:pPr>
            <w:r w:rsidRPr="001D6D10">
              <w:rPr>
                <w:rFonts w:ascii="HG丸ｺﾞｼｯｸM-PRO" w:eastAsia="HG丸ｺﾞｼｯｸM-PRO" w:hAnsi="HG丸ｺﾞｼｯｸM-PRO" w:hint="eastAsia"/>
                <w:szCs w:val="21"/>
              </w:rPr>
              <w:t xml:space="preserve">　・部局内の対応状況の確認、会議での報告のとりまとめ</w:t>
            </w:r>
          </w:p>
          <w:p w14:paraId="4A668919" w14:textId="77777777" w:rsidR="00335440" w:rsidRPr="001D6D10" w:rsidRDefault="000515D7" w:rsidP="00335440">
            <w:pPr>
              <w:rPr>
                <w:rFonts w:ascii="HG丸ｺﾞｼｯｸM-PRO" w:eastAsia="HG丸ｺﾞｼｯｸM-PRO" w:hAnsi="HG丸ｺﾞｼｯｸM-PRO"/>
                <w:szCs w:val="21"/>
              </w:rPr>
            </w:pPr>
            <w:r w:rsidRPr="001D6D10">
              <w:rPr>
                <w:rFonts w:ascii="HG丸ｺﾞｼｯｸM-PRO" w:eastAsia="HG丸ｺﾞｼｯｸM-PRO" w:hAnsi="HG丸ｺﾞｼｯｸM-PRO" w:hint="eastAsia"/>
                <w:szCs w:val="21"/>
              </w:rPr>
              <w:t xml:space="preserve">　・庁舎・所管施設の安全確認</w:t>
            </w:r>
          </w:p>
          <w:p w14:paraId="5AA65946" w14:textId="77777777" w:rsidR="000515D7" w:rsidRPr="001D6D10" w:rsidRDefault="000515D7" w:rsidP="00335440">
            <w:pPr>
              <w:rPr>
                <w:rFonts w:ascii="HG丸ｺﾞｼｯｸM-PRO" w:eastAsia="HG丸ｺﾞｼｯｸM-PRO" w:hAnsi="HG丸ｺﾞｼｯｸM-PRO"/>
                <w:szCs w:val="21"/>
                <w:u w:val="single"/>
              </w:rPr>
            </w:pPr>
            <w:r w:rsidRPr="001D6D10">
              <w:rPr>
                <w:rFonts w:ascii="HG丸ｺﾞｼｯｸM-PRO" w:eastAsia="HG丸ｺﾞｼｯｸM-PRO" w:hAnsi="HG丸ｺﾞｼｯｸM-PRO" w:hint="eastAsia"/>
                <w:szCs w:val="21"/>
                <w:bdr w:val="single" w:sz="4" w:space="0" w:color="auto"/>
              </w:rPr>
              <w:t>台風説明会</w:t>
            </w:r>
          </w:p>
        </w:tc>
      </w:tr>
      <w:tr w:rsidR="001D6D10" w:rsidRPr="001D6D10" w14:paraId="4A7CC77E" w14:textId="77777777" w:rsidTr="00F35CFE">
        <w:trPr>
          <w:jc w:val="center"/>
        </w:trPr>
        <w:tc>
          <w:tcPr>
            <w:tcW w:w="1457" w:type="dxa"/>
            <w:vMerge/>
          </w:tcPr>
          <w:p w14:paraId="4FD1E1F3" w14:textId="77777777" w:rsidR="00582BF7" w:rsidRPr="001D6D10" w:rsidRDefault="00582BF7" w:rsidP="00F35CFE">
            <w:pPr>
              <w:rPr>
                <w:rFonts w:ascii="HG丸ｺﾞｼｯｸM-PRO" w:eastAsia="HG丸ｺﾞｼｯｸM-PRO" w:hAnsi="HG丸ｺﾞｼｯｸM-PRO"/>
                <w:szCs w:val="21"/>
              </w:rPr>
            </w:pPr>
          </w:p>
        </w:tc>
        <w:tc>
          <w:tcPr>
            <w:tcW w:w="7037" w:type="dxa"/>
          </w:tcPr>
          <w:p w14:paraId="41D604A3" w14:textId="77777777" w:rsidR="00582BF7" w:rsidRPr="001D6D10" w:rsidRDefault="00582BF7" w:rsidP="00F35CFE">
            <w:pPr>
              <w:rPr>
                <w:rFonts w:ascii="HG丸ｺﾞｼｯｸM-PRO" w:eastAsia="HG丸ｺﾞｼｯｸM-PRO" w:hAnsi="HG丸ｺﾞｼｯｸM-PRO"/>
                <w:szCs w:val="21"/>
                <w:highlight w:val="yellow"/>
              </w:rPr>
            </w:pPr>
            <w:r w:rsidRPr="001D6D10">
              <w:rPr>
                <w:rFonts w:ascii="HG丸ｺﾞｼｯｸM-PRO" w:eastAsia="HG丸ｺﾞｼｯｸM-PRO" w:hAnsi="HG丸ｺﾞｼｯｸM-PRO" w:hint="eastAsia"/>
                <w:b/>
                <w:szCs w:val="21"/>
                <w:highlight w:val="yellow"/>
              </w:rPr>
              <w:t>第1回災害警戒本部会議</w:t>
            </w:r>
            <w:r w:rsidRPr="001D6D10">
              <w:rPr>
                <w:rFonts w:ascii="HG丸ｺﾞｼｯｸM-PRO" w:eastAsia="HG丸ｺﾞｼｯｸM-PRO" w:hAnsi="HG丸ｺﾞｼｯｸM-PRO" w:hint="eastAsia"/>
                <w:szCs w:val="21"/>
                <w:highlight w:val="yellow"/>
              </w:rPr>
              <w:t>（災害モード宣言の内容検討）</w:t>
            </w:r>
            <w:r w:rsidR="00CB0ABF" w:rsidRPr="001D6D10">
              <w:rPr>
                <w:rFonts w:ascii="HG丸ｺﾞｼｯｸM-PRO" w:eastAsia="HG丸ｺﾞｼｯｸM-PRO" w:hAnsi="HG丸ｺﾞｼｯｸM-PRO" w:hint="eastAsia"/>
                <w:szCs w:val="21"/>
                <w:highlight w:val="yellow"/>
              </w:rPr>
              <w:t>（Ｐ47</w:t>
            </w:r>
            <w:r w:rsidR="0010145B" w:rsidRPr="001D6D10">
              <w:rPr>
                <w:rFonts w:ascii="HG丸ｺﾞｼｯｸM-PRO" w:eastAsia="HG丸ｺﾞｼｯｸM-PRO" w:hAnsi="HG丸ｺﾞｼｯｸM-PRO" w:hint="eastAsia"/>
                <w:szCs w:val="21"/>
                <w:highlight w:val="yellow"/>
              </w:rPr>
              <w:t>参照）</w:t>
            </w:r>
          </w:p>
        </w:tc>
      </w:tr>
      <w:tr w:rsidR="001D6D10" w:rsidRPr="001D6D10" w14:paraId="650EF8CA" w14:textId="77777777" w:rsidTr="00F35CFE">
        <w:trPr>
          <w:jc w:val="center"/>
        </w:trPr>
        <w:tc>
          <w:tcPr>
            <w:tcW w:w="1457" w:type="dxa"/>
            <w:vMerge/>
          </w:tcPr>
          <w:p w14:paraId="2FFE044A" w14:textId="77777777" w:rsidR="00582BF7" w:rsidRPr="001D6D10" w:rsidRDefault="00582BF7" w:rsidP="00F35CFE">
            <w:pPr>
              <w:rPr>
                <w:rFonts w:ascii="HG丸ｺﾞｼｯｸM-PRO" w:eastAsia="HG丸ｺﾞｼｯｸM-PRO" w:hAnsi="HG丸ｺﾞｼｯｸM-PRO"/>
                <w:szCs w:val="21"/>
              </w:rPr>
            </w:pPr>
          </w:p>
        </w:tc>
        <w:tc>
          <w:tcPr>
            <w:tcW w:w="7037" w:type="dxa"/>
          </w:tcPr>
          <w:p w14:paraId="3EF76AB7" w14:textId="77777777" w:rsidR="00582BF7" w:rsidRPr="001D6D10" w:rsidRDefault="00582BF7" w:rsidP="00F35CFE">
            <w:pPr>
              <w:rPr>
                <w:rFonts w:ascii="HG丸ｺﾞｼｯｸM-PRO" w:eastAsia="HG丸ｺﾞｼｯｸM-PRO" w:hAnsi="HG丸ｺﾞｼｯｸM-PRO"/>
                <w:szCs w:val="21"/>
              </w:rPr>
            </w:pPr>
            <w:r w:rsidRPr="001D6D10">
              <w:rPr>
                <w:rFonts w:ascii="HG丸ｺﾞｼｯｸM-PRO" w:eastAsia="HG丸ｺﾞｼｯｸM-PRO" w:hAnsi="HG丸ｺﾞｼｯｸM-PRO" w:hint="eastAsia"/>
                <w:szCs w:val="21"/>
              </w:rPr>
              <w:t>□部局内・関係機関・出先機関・管理施設への気象情報提供・注意喚起・事前対策とりまとめ</w:t>
            </w:r>
          </w:p>
          <w:p w14:paraId="34C5D489" w14:textId="77777777" w:rsidR="00582BF7" w:rsidRPr="001D6D10" w:rsidRDefault="00582BF7" w:rsidP="00F35CFE">
            <w:pPr>
              <w:rPr>
                <w:rFonts w:ascii="HG丸ｺﾞｼｯｸM-PRO" w:eastAsia="HG丸ｺﾞｼｯｸM-PRO" w:hAnsi="HG丸ｺﾞｼｯｸM-PRO"/>
                <w:szCs w:val="21"/>
              </w:rPr>
            </w:pPr>
            <w:r w:rsidRPr="001D6D10">
              <w:rPr>
                <w:rFonts w:ascii="HG丸ｺﾞｼｯｸM-PRO" w:eastAsia="HG丸ｺﾞｼｯｸM-PRO" w:hAnsi="HG丸ｺﾞｼｯｸM-PRO" w:hint="eastAsia"/>
                <w:szCs w:val="21"/>
              </w:rPr>
              <w:t xml:space="preserve">□庁舎・所管施設の安全確認　　　</w:t>
            </w:r>
          </w:p>
          <w:p w14:paraId="24774E62" w14:textId="77777777" w:rsidR="00582BF7" w:rsidRPr="001D6D10" w:rsidRDefault="00582BF7" w:rsidP="00F35CFE">
            <w:pPr>
              <w:rPr>
                <w:rFonts w:ascii="HG丸ｺﾞｼｯｸM-PRO" w:eastAsia="HG丸ｺﾞｼｯｸM-PRO" w:hAnsi="HG丸ｺﾞｼｯｸM-PRO"/>
                <w:szCs w:val="21"/>
              </w:rPr>
            </w:pPr>
            <w:r w:rsidRPr="001D6D10">
              <w:rPr>
                <w:rFonts w:ascii="HG丸ｺﾞｼｯｸM-PRO" w:eastAsia="HG丸ｺﾞｼｯｸM-PRO" w:hAnsi="HG丸ｺﾞｼｯｸM-PRO" w:hint="eastAsia"/>
                <w:szCs w:val="21"/>
              </w:rPr>
              <w:t>□危機管理室からの情報を関係者で共有</w:t>
            </w:r>
          </w:p>
          <w:p w14:paraId="1006CB70" w14:textId="77777777" w:rsidR="00582BF7" w:rsidRPr="001D6D10" w:rsidRDefault="00582BF7" w:rsidP="00F35CFE">
            <w:pPr>
              <w:rPr>
                <w:rFonts w:ascii="HG丸ｺﾞｼｯｸM-PRO" w:eastAsia="HG丸ｺﾞｼｯｸM-PRO" w:hAnsi="HG丸ｺﾞｼｯｸM-PRO"/>
                <w:szCs w:val="21"/>
              </w:rPr>
            </w:pPr>
            <w:r w:rsidRPr="001D6D10">
              <w:rPr>
                <w:rFonts w:ascii="HG丸ｺﾞｼｯｸM-PRO" w:eastAsia="HG丸ｺﾞｼｯｸM-PRO" w:hAnsi="HG丸ｺﾞｼｯｸM-PRO" w:hint="eastAsia"/>
                <w:szCs w:val="21"/>
              </w:rPr>
              <w:t xml:space="preserve">□公共交通機関計画運休の確認　</w:t>
            </w:r>
          </w:p>
          <w:p w14:paraId="6FB74640" w14:textId="77777777" w:rsidR="00582BF7" w:rsidRPr="001D6D10" w:rsidRDefault="00582BF7" w:rsidP="00F35CFE">
            <w:pPr>
              <w:rPr>
                <w:rFonts w:ascii="HG丸ｺﾞｼｯｸM-PRO" w:eastAsia="HG丸ｺﾞｼｯｸM-PRO" w:hAnsi="HG丸ｺﾞｼｯｸM-PRO"/>
                <w:szCs w:val="21"/>
              </w:rPr>
            </w:pPr>
            <w:r w:rsidRPr="001D6D10">
              <w:rPr>
                <w:rFonts w:ascii="HG丸ｺﾞｼｯｸM-PRO" w:eastAsia="HG丸ｺﾞｼｯｸM-PRO" w:hAnsi="HG丸ｺﾞｼｯｸM-PRO" w:hint="eastAsia"/>
                <w:szCs w:val="21"/>
              </w:rPr>
              <w:t xml:space="preserve">□職員体制の確認・確保　</w:t>
            </w:r>
          </w:p>
        </w:tc>
      </w:tr>
      <w:tr w:rsidR="001D6D10" w:rsidRPr="001D6D10" w14:paraId="47CCB8D1" w14:textId="77777777" w:rsidTr="00F35CFE">
        <w:trPr>
          <w:jc w:val="center"/>
        </w:trPr>
        <w:tc>
          <w:tcPr>
            <w:tcW w:w="1457" w:type="dxa"/>
            <w:vMerge w:val="restart"/>
          </w:tcPr>
          <w:p w14:paraId="0A6B3AD2" w14:textId="77777777" w:rsidR="002B3D2C" w:rsidRPr="001D6D10" w:rsidRDefault="002B3D2C" w:rsidP="00F35CFE">
            <w:pPr>
              <w:rPr>
                <w:rFonts w:ascii="HG丸ｺﾞｼｯｸM-PRO" w:eastAsia="HG丸ｺﾞｼｯｸM-PRO" w:hAnsi="HG丸ｺﾞｼｯｸM-PRO"/>
                <w:szCs w:val="21"/>
              </w:rPr>
            </w:pPr>
          </w:p>
          <w:p w14:paraId="4EBC512C" w14:textId="77777777" w:rsidR="002B3D2C" w:rsidRPr="001D6D10" w:rsidRDefault="002B3D2C" w:rsidP="00F35CFE">
            <w:pPr>
              <w:rPr>
                <w:rFonts w:ascii="HG丸ｺﾞｼｯｸM-PRO" w:eastAsia="HG丸ｺﾞｼｯｸM-PRO" w:hAnsi="HG丸ｺﾞｼｯｸM-PRO"/>
                <w:szCs w:val="21"/>
              </w:rPr>
            </w:pPr>
          </w:p>
          <w:p w14:paraId="2982D862" w14:textId="77777777" w:rsidR="002B3D2C" w:rsidRPr="001D6D10" w:rsidRDefault="002B3D2C" w:rsidP="00F35CFE">
            <w:pPr>
              <w:rPr>
                <w:rFonts w:ascii="HG丸ｺﾞｼｯｸM-PRO" w:eastAsia="HG丸ｺﾞｼｯｸM-PRO" w:hAnsi="HG丸ｺﾞｼｯｸM-PRO"/>
                <w:szCs w:val="21"/>
              </w:rPr>
            </w:pPr>
          </w:p>
          <w:p w14:paraId="1BB3E173" w14:textId="77777777" w:rsidR="00582BF7" w:rsidRPr="001D6D10" w:rsidRDefault="00582BF7" w:rsidP="00F35CFE">
            <w:pPr>
              <w:rPr>
                <w:rFonts w:ascii="HG丸ｺﾞｼｯｸM-PRO" w:eastAsia="HG丸ｺﾞｼｯｸM-PRO" w:hAnsi="HG丸ｺﾞｼｯｸM-PRO"/>
                <w:szCs w:val="21"/>
              </w:rPr>
            </w:pPr>
            <w:r w:rsidRPr="001D6D10">
              <w:rPr>
                <w:rFonts w:ascii="HG丸ｺﾞｼｯｸM-PRO" w:eastAsia="HG丸ｺﾞｼｯｸM-PRO" w:hAnsi="HG丸ｺﾞｼｯｸM-PRO" w:hint="eastAsia"/>
                <w:szCs w:val="21"/>
              </w:rPr>
              <w:t>24ｈ前～</w:t>
            </w:r>
          </w:p>
          <w:p w14:paraId="5EDCB4F1" w14:textId="77777777" w:rsidR="00582BF7" w:rsidRPr="001D6D10" w:rsidRDefault="00582BF7" w:rsidP="00F35CFE">
            <w:pPr>
              <w:rPr>
                <w:rFonts w:ascii="HG丸ｺﾞｼｯｸM-PRO" w:eastAsia="HG丸ｺﾞｼｯｸM-PRO" w:hAnsi="HG丸ｺﾞｼｯｸM-PRO"/>
                <w:szCs w:val="21"/>
              </w:rPr>
            </w:pPr>
            <w:r w:rsidRPr="001D6D10">
              <w:rPr>
                <w:rFonts w:ascii="HG丸ｺﾞｼｯｸM-PRO" w:eastAsia="HG丸ｺﾞｼｯｸM-PRO" w:hAnsi="HG丸ｺﾞｼｯｸM-PRO" w:hint="eastAsia"/>
                <w:szCs w:val="21"/>
              </w:rPr>
              <w:t xml:space="preserve">　　最接近</w:t>
            </w:r>
          </w:p>
          <w:p w14:paraId="54167C48" w14:textId="77777777" w:rsidR="00582BF7" w:rsidRPr="001D6D10" w:rsidRDefault="00582BF7" w:rsidP="00F35CFE">
            <w:pPr>
              <w:rPr>
                <w:rFonts w:ascii="HG丸ｺﾞｼｯｸM-PRO" w:eastAsia="HG丸ｺﾞｼｯｸM-PRO" w:hAnsi="HG丸ｺﾞｼｯｸM-PRO"/>
                <w:szCs w:val="21"/>
              </w:rPr>
            </w:pPr>
            <w:r w:rsidRPr="001D6D10">
              <w:rPr>
                <w:rFonts w:ascii="HG丸ｺﾞｼｯｸM-PRO" w:eastAsia="HG丸ｺﾞｼｯｸM-PRO" w:hAnsi="HG丸ｺﾞｼｯｸM-PRO" w:hint="eastAsia"/>
                <w:szCs w:val="21"/>
              </w:rPr>
              <w:t>（１日前）</w:t>
            </w:r>
          </w:p>
        </w:tc>
        <w:tc>
          <w:tcPr>
            <w:tcW w:w="7037" w:type="dxa"/>
          </w:tcPr>
          <w:p w14:paraId="7DAAC439" w14:textId="77777777" w:rsidR="00582BF7" w:rsidRPr="001D6D10" w:rsidRDefault="00582BF7" w:rsidP="00F35CFE">
            <w:pPr>
              <w:rPr>
                <w:rFonts w:ascii="HG丸ｺﾞｼｯｸM-PRO" w:eastAsia="HG丸ｺﾞｼｯｸM-PRO" w:hAnsi="HG丸ｺﾞｼｯｸM-PRO"/>
                <w:szCs w:val="21"/>
              </w:rPr>
            </w:pPr>
            <w:r w:rsidRPr="001D6D10">
              <w:rPr>
                <w:rFonts w:ascii="HG丸ｺﾞｼｯｸM-PRO" w:eastAsia="HG丸ｺﾞｼｯｸM-PRO" w:hAnsi="HG丸ｺﾞｼｯｸM-PRO" w:hint="eastAsia"/>
                <w:szCs w:val="21"/>
              </w:rPr>
              <w:t>庁内連絡会議②：第2回災害警戒本部会議の事前調整等</w:t>
            </w:r>
          </w:p>
          <w:p w14:paraId="1B36B865" w14:textId="77777777" w:rsidR="000515D7" w:rsidRPr="001D6D10" w:rsidRDefault="000515D7" w:rsidP="000515D7">
            <w:pPr>
              <w:rPr>
                <w:rFonts w:ascii="HG丸ｺﾞｼｯｸM-PRO" w:eastAsia="HG丸ｺﾞｼｯｸM-PRO" w:hAnsi="HG丸ｺﾞｼｯｸM-PRO"/>
                <w:szCs w:val="21"/>
              </w:rPr>
            </w:pPr>
            <w:r w:rsidRPr="001D6D10">
              <w:rPr>
                <w:rFonts w:ascii="HG丸ｺﾞｼｯｸM-PRO" w:eastAsia="HG丸ｺﾞｼｯｸM-PRO" w:hAnsi="HG丸ｺﾞｼｯｸM-PRO" w:hint="eastAsia"/>
                <w:szCs w:val="21"/>
              </w:rPr>
              <w:t>□第２回災害警戒本部会議の事前準備</w:t>
            </w:r>
          </w:p>
          <w:p w14:paraId="1D4CAD92" w14:textId="77777777" w:rsidR="000515D7" w:rsidRPr="001D6D10" w:rsidRDefault="000515D7" w:rsidP="000515D7">
            <w:pPr>
              <w:rPr>
                <w:rFonts w:ascii="HG丸ｺﾞｼｯｸM-PRO" w:eastAsia="HG丸ｺﾞｼｯｸM-PRO" w:hAnsi="HG丸ｺﾞｼｯｸM-PRO"/>
                <w:szCs w:val="21"/>
              </w:rPr>
            </w:pPr>
            <w:r w:rsidRPr="001D6D10">
              <w:rPr>
                <w:rFonts w:ascii="HG丸ｺﾞｼｯｸM-PRO" w:eastAsia="HG丸ｺﾞｼｯｸM-PRO" w:hAnsi="HG丸ｺﾞｼｯｸM-PRO" w:hint="eastAsia"/>
                <w:szCs w:val="21"/>
              </w:rPr>
              <w:t xml:space="preserve">　・部局内へ対応状況の確認、会議での報告のとりまとめ</w:t>
            </w:r>
          </w:p>
          <w:p w14:paraId="21AB7A54" w14:textId="77777777" w:rsidR="00335440" w:rsidRPr="001D6D10" w:rsidRDefault="000515D7" w:rsidP="00335440">
            <w:pPr>
              <w:ind w:firstLineChars="100" w:firstLine="211"/>
              <w:rPr>
                <w:rFonts w:ascii="HG丸ｺﾞｼｯｸM-PRO" w:eastAsia="HG丸ｺﾞｼｯｸM-PRO" w:hAnsi="HG丸ｺﾞｼｯｸM-PRO"/>
                <w:szCs w:val="21"/>
              </w:rPr>
            </w:pPr>
            <w:r w:rsidRPr="001D6D10">
              <w:rPr>
                <w:rFonts w:ascii="HG丸ｺﾞｼｯｸM-PRO" w:eastAsia="HG丸ｺﾞｼｯｸM-PRO" w:hAnsi="HG丸ｺﾞｼｯｸM-PRO" w:hint="eastAsia"/>
                <w:szCs w:val="21"/>
              </w:rPr>
              <w:t>・庁舎・所管施設の安全点検</w:t>
            </w:r>
          </w:p>
          <w:p w14:paraId="4A80BC83" w14:textId="77777777" w:rsidR="000515D7" w:rsidRPr="001D6D10" w:rsidRDefault="000515D7" w:rsidP="00CE7EE6">
            <w:pPr>
              <w:rPr>
                <w:rFonts w:ascii="HG丸ｺﾞｼｯｸM-PRO" w:eastAsia="HG丸ｺﾞｼｯｸM-PRO" w:hAnsi="HG丸ｺﾞｼｯｸM-PRO"/>
                <w:szCs w:val="21"/>
                <w:u w:val="single"/>
              </w:rPr>
            </w:pPr>
            <w:r w:rsidRPr="001D6D10">
              <w:rPr>
                <w:rFonts w:ascii="HG丸ｺﾞｼｯｸM-PRO" w:eastAsia="HG丸ｺﾞｼｯｸM-PRO" w:hAnsi="HG丸ｺﾞｼｯｸM-PRO" w:hint="eastAsia"/>
                <w:szCs w:val="21"/>
                <w:bdr w:val="single" w:sz="4" w:space="0" w:color="auto"/>
              </w:rPr>
              <w:t>台風説明会</w:t>
            </w:r>
          </w:p>
        </w:tc>
      </w:tr>
      <w:tr w:rsidR="001D6D10" w:rsidRPr="001D6D10" w14:paraId="3D83F936" w14:textId="77777777" w:rsidTr="00F35CFE">
        <w:trPr>
          <w:jc w:val="center"/>
        </w:trPr>
        <w:tc>
          <w:tcPr>
            <w:tcW w:w="1457" w:type="dxa"/>
            <w:vMerge/>
          </w:tcPr>
          <w:p w14:paraId="13DB11DB" w14:textId="77777777" w:rsidR="00582BF7" w:rsidRPr="001D6D10" w:rsidRDefault="00582BF7" w:rsidP="00F35CFE">
            <w:pPr>
              <w:rPr>
                <w:rFonts w:ascii="HG丸ｺﾞｼｯｸM-PRO" w:eastAsia="HG丸ｺﾞｼｯｸM-PRO" w:hAnsi="HG丸ｺﾞｼｯｸM-PRO"/>
                <w:szCs w:val="21"/>
              </w:rPr>
            </w:pPr>
          </w:p>
        </w:tc>
        <w:tc>
          <w:tcPr>
            <w:tcW w:w="7037" w:type="dxa"/>
          </w:tcPr>
          <w:p w14:paraId="5648AF90" w14:textId="77777777" w:rsidR="00582BF7" w:rsidRPr="001D6D10" w:rsidRDefault="00582BF7" w:rsidP="00F35CFE">
            <w:pPr>
              <w:rPr>
                <w:rFonts w:ascii="HG丸ｺﾞｼｯｸM-PRO" w:eastAsia="HG丸ｺﾞｼｯｸM-PRO" w:hAnsi="HG丸ｺﾞｼｯｸM-PRO"/>
                <w:szCs w:val="21"/>
                <w:highlight w:val="yellow"/>
              </w:rPr>
            </w:pPr>
            <w:r w:rsidRPr="001D6D10">
              <w:rPr>
                <w:rFonts w:ascii="HG丸ｺﾞｼｯｸM-PRO" w:eastAsia="HG丸ｺﾞｼｯｸM-PRO" w:hAnsi="HG丸ｺﾞｼｯｸM-PRO" w:hint="eastAsia"/>
                <w:b/>
                <w:szCs w:val="21"/>
                <w:highlight w:val="yellow"/>
              </w:rPr>
              <w:t>第２回災害警戒本部会議</w:t>
            </w:r>
            <w:r w:rsidRPr="001D6D10">
              <w:rPr>
                <w:rFonts w:ascii="HG丸ｺﾞｼｯｸM-PRO" w:eastAsia="HG丸ｺﾞｼｯｸM-PRO" w:hAnsi="HG丸ｺﾞｼｯｸM-PRO" w:hint="eastAsia"/>
                <w:szCs w:val="21"/>
                <w:highlight w:val="yellow"/>
              </w:rPr>
              <w:t>（災害モード宣言の発信）</w:t>
            </w:r>
            <w:r w:rsidR="00CB0ABF" w:rsidRPr="001D6D10">
              <w:rPr>
                <w:rFonts w:ascii="HG丸ｺﾞｼｯｸM-PRO" w:eastAsia="HG丸ｺﾞｼｯｸM-PRO" w:hAnsi="HG丸ｺﾞｼｯｸM-PRO" w:hint="eastAsia"/>
                <w:szCs w:val="21"/>
                <w:highlight w:val="yellow"/>
              </w:rPr>
              <w:t>（Ｐ47</w:t>
            </w:r>
            <w:r w:rsidR="0010145B" w:rsidRPr="001D6D10">
              <w:rPr>
                <w:rFonts w:ascii="HG丸ｺﾞｼｯｸM-PRO" w:eastAsia="HG丸ｺﾞｼｯｸM-PRO" w:hAnsi="HG丸ｺﾞｼｯｸM-PRO" w:hint="eastAsia"/>
                <w:szCs w:val="21"/>
                <w:highlight w:val="yellow"/>
              </w:rPr>
              <w:t>参照）</w:t>
            </w:r>
          </w:p>
        </w:tc>
      </w:tr>
      <w:tr w:rsidR="001D6D10" w:rsidRPr="001D6D10" w14:paraId="7693F606" w14:textId="77777777" w:rsidTr="00F35CFE">
        <w:trPr>
          <w:jc w:val="center"/>
        </w:trPr>
        <w:tc>
          <w:tcPr>
            <w:tcW w:w="1457" w:type="dxa"/>
            <w:vMerge/>
          </w:tcPr>
          <w:p w14:paraId="0AFC548D" w14:textId="77777777" w:rsidR="00582BF7" w:rsidRPr="001D6D10" w:rsidRDefault="00582BF7" w:rsidP="00F35CFE">
            <w:pPr>
              <w:rPr>
                <w:rFonts w:ascii="HG丸ｺﾞｼｯｸM-PRO" w:eastAsia="HG丸ｺﾞｼｯｸM-PRO" w:hAnsi="HG丸ｺﾞｼｯｸM-PRO"/>
                <w:szCs w:val="21"/>
              </w:rPr>
            </w:pPr>
          </w:p>
        </w:tc>
        <w:tc>
          <w:tcPr>
            <w:tcW w:w="7037" w:type="dxa"/>
          </w:tcPr>
          <w:p w14:paraId="0D446717" w14:textId="77777777" w:rsidR="00582BF7" w:rsidRPr="001D6D10" w:rsidRDefault="00582BF7" w:rsidP="00F35CFE">
            <w:pPr>
              <w:rPr>
                <w:rFonts w:ascii="HG丸ｺﾞｼｯｸM-PRO" w:eastAsia="HG丸ｺﾞｼｯｸM-PRO" w:hAnsi="HG丸ｺﾞｼｯｸM-PRO"/>
                <w:szCs w:val="21"/>
              </w:rPr>
            </w:pPr>
            <w:r w:rsidRPr="001D6D10">
              <w:rPr>
                <w:rFonts w:ascii="HG丸ｺﾞｼｯｸM-PRO" w:eastAsia="HG丸ｺﾞｼｯｸM-PRO" w:hAnsi="HG丸ｺﾞｼｯｸM-PRO" w:hint="eastAsia"/>
                <w:szCs w:val="21"/>
              </w:rPr>
              <w:t>□関係機関・出先機関・管理施設への気象情報提供・注意喚起、事前対策依頼</w:t>
            </w:r>
          </w:p>
          <w:p w14:paraId="143383DF" w14:textId="77777777" w:rsidR="00582BF7" w:rsidRPr="001D6D10" w:rsidRDefault="00582BF7" w:rsidP="00F35CFE">
            <w:pPr>
              <w:rPr>
                <w:rFonts w:ascii="HG丸ｺﾞｼｯｸM-PRO" w:eastAsia="HG丸ｺﾞｼｯｸM-PRO" w:hAnsi="HG丸ｺﾞｼｯｸM-PRO"/>
                <w:szCs w:val="21"/>
              </w:rPr>
            </w:pPr>
            <w:r w:rsidRPr="001D6D10">
              <w:rPr>
                <w:rFonts w:ascii="HG丸ｺﾞｼｯｸM-PRO" w:eastAsia="HG丸ｺﾞｼｯｸM-PRO" w:hAnsi="HG丸ｺﾞｼｯｸM-PRO" w:hint="eastAsia"/>
                <w:szCs w:val="21"/>
              </w:rPr>
              <w:t xml:space="preserve">□庁舎・所管施設の安全点検　 </w:t>
            </w:r>
          </w:p>
          <w:p w14:paraId="1756C36D" w14:textId="77777777" w:rsidR="00582BF7" w:rsidRPr="001D6D10" w:rsidRDefault="00582BF7" w:rsidP="00F35CFE">
            <w:pPr>
              <w:rPr>
                <w:rFonts w:ascii="HG丸ｺﾞｼｯｸM-PRO" w:eastAsia="HG丸ｺﾞｼｯｸM-PRO" w:hAnsi="HG丸ｺﾞｼｯｸM-PRO"/>
                <w:szCs w:val="21"/>
              </w:rPr>
            </w:pPr>
            <w:r w:rsidRPr="001D6D10">
              <w:rPr>
                <w:rFonts w:ascii="HG丸ｺﾞｼｯｸM-PRO" w:eastAsia="HG丸ｺﾞｼｯｸM-PRO" w:hAnsi="HG丸ｺﾞｼｯｸM-PRO" w:hint="eastAsia"/>
                <w:szCs w:val="21"/>
              </w:rPr>
              <w:t>□危機管理室からの情報を関係者で共有</w:t>
            </w:r>
          </w:p>
        </w:tc>
      </w:tr>
    </w:tbl>
    <w:p w14:paraId="255244AF" w14:textId="77777777" w:rsidR="005F0C95" w:rsidRPr="001D6D10" w:rsidRDefault="00AD02A5" w:rsidP="00EB20A0">
      <w:pPr>
        <w:rPr>
          <w:rFonts w:ascii="ＭＳ ゴシック" w:eastAsia="ＭＳ ゴシック" w:hAnsi="ＭＳ ゴシック"/>
          <w:sz w:val="18"/>
          <w:szCs w:val="22"/>
        </w:rPr>
      </w:pPr>
      <w:r w:rsidRPr="001D6D10">
        <w:rPr>
          <w:rFonts w:ascii="ＭＳ ゴシック" w:eastAsia="ＭＳ ゴシック" w:hAnsi="ＭＳ ゴシック" w:hint="eastAsia"/>
          <w:sz w:val="18"/>
          <w:szCs w:val="22"/>
        </w:rPr>
        <w:t>※）本タイムラインから状況に応じて必要な項目を選定し、実施するものとする。</w:t>
      </w:r>
    </w:p>
    <w:p w14:paraId="6021B4D4" w14:textId="77777777" w:rsidR="00582BF7" w:rsidRPr="001D6D10" w:rsidRDefault="00582BF7" w:rsidP="00582BF7">
      <w:pPr>
        <w:rPr>
          <w:rFonts w:ascii="ＭＳ ゴシック" w:eastAsia="ＭＳ ゴシック" w:hAnsi="ＭＳ ゴシック"/>
          <w:sz w:val="22"/>
          <w:szCs w:val="22"/>
        </w:rPr>
      </w:pPr>
      <w:r w:rsidRPr="001D6D10">
        <w:rPr>
          <w:rFonts w:ascii="ＭＳ ゴシック" w:eastAsia="ＭＳ ゴシック" w:hAnsi="ＭＳ ゴシック" w:hint="eastAsia"/>
          <w:sz w:val="22"/>
          <w:szCs w:val="22"/>
        </w:rPr>
        <w:lastRenderedPageBreak/>
        <w:t>⑧福祉部</w:t>
      </w:r>
    </w:p>
    <w:tbl>
      <w:tblPr>
        <w:tblpPr w:leftFromText="142" w:rightFromText="142" w:vertAnchor="text" w:tblpXSpec="center" w:tblpY="1"/>
        <w:tblOverlap w:val="neve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57"/>
        <w:gridCol w:w="7037"/>
      </w:tblGrid>
      <w:tr w:rsidR="001D6D10" w:rsidRPr="001D6D10" w14:paraId="3D113E63" w14:textId="77777777" w:rsidTr="00F35CFE">
        <w:trPr>
          <w:jc w:val="center"/>
        </w:trPr>
        <w:tc>
          <w:tcPr>
            <w:tcW w:w="1457" w:type="dxa"/>
            <w:tcBorders>
              <w:bottom w:val="single" w:sz="4" w:space="0" w:color="auto"/>
            </w:tcBorders>
            <w:shd w:val="clear" w:color="auto" w:fill="BFBFBF"/>
          </w:tcPr>
          <w:p w14:paraId="08231F42" w14:textId="77777777" w:rsidR="00582BF7" w:rsidRPr="001D6D10" w:rsidRDefault="00582BF7" w:rsidP="00F35CFE">
            <w:pPr>
              <w:jc w:val="center"/>
              <w:rPr>
                <w:rFonts w:ascii="HG丸ｺﾞｼｯｸM-PRO" w:eastAsia="HG丸ｺﾞｼｯｸM-PRO" w:hAnsi="HG丸ｺﾞｼｯｸM-PRO"/>
                <w:szCs w:val="21"/>
              </w:rPr>
            </w:pPr>
            <w:r w:rsidRPr="001D6D10">
              <w:rPr>
                <w:rFonts w:ascii="HG丸ｺﾞｼｯｸM-PRO" w:eastAsia="HG丸ｺﾞｼｯｸM-PRO" w:hAnsi="HG丸ｺﾞｼｯｸM-PRO" w:hint="eastAsia"/>
                <w:szCs w:val="21"/>
              </w:rPr>
              <w:t>時　期</w:t>
            </w:r>
          </w:p>
        </w:tc>
        <w:tc>
          <w:tcPr>
            <w:tcW w:w="7037" w:type="dxa"/>
            <w:tcBorders>
              <w:bottom w:val="single" w:sz="4" w:space="0" w:color="auto"/>
            </w:tcBorders>
            <w:shd w:val="clear" w:color="auto" w:fill="BFBFBF"/>
          </w:tcPr>
          <w:p w14:paraId="4672CC37" w14:textId="77777777" w:rsidR="00582BF7" w:rsidRPr="001D6D10" w:rsidRDefault="00E31DA1" w:rsidP="00F35CFE">
            <w:pPr>
              <w:jc w:val="center"/>
              <w:rPr>
                <w:rFonts w:ascii="HG丸ｺﾞｼｯｸM-PRO" w:eastAsia="HG丸ｺﾞｼｯｸM-PRO" w:hAnsi="HG丸ｺﾞｼｯｸM-PRO"/>
                <w:szCs w:val="21"/>
              </w:rPr>
            </w:pPr>
            <w:r w:rsidRPr="001D6D10">
              <w:rPr>
                <w:rFonts w:ascii="HG丸ｺﾞｼｯｸM-PRO" w:eastAsia="HG丸ｺﾞｼｯｸM-PRO" w:hAnsi="HG丸ｺﾞｼｯｸM-PRO" w:hint="eastAsia"/>
                <w:szCs w:val="21"/>
              </w:rPr>
              <w:t>主な事前準備</w:t>
            </w:r>
            <w:r w:rsidR="00582BF7" w:rsidRPr="001D6D10">
              <w:rPr>
                <w:rFonts w:ascii="HG丸ｺﾞｼｯｸM-PRO" w:eastAsia="HG丸ｺﾞｼｯｸM-PRO" w:hAnsi="HG丸ｺﾞｼｯｸM-PRO" w:hint="eastAsia"/>
                <w:szCs w:val="21"/>
              </w:rPr>
              <w:t>業務</w:t>
            </w:r>
          </w:p>
        </w:tc>
      </w:tr>
      <w:tr w:rsidR="001D6D10" w:rsidRPr="001D6D10" w14:paraId="559129D0" w14:textId="77777777" w:rsidTr="00F35CFE">
        <w:trPr>
          <w:jc w:val="center"/>
        </w:trPr>
        <w:tc>
          <w:tcPr>
            <w:tcW w:w="1457" w:type="dxa"/>
            <w:vMerge w:val="restart"/>
            <w:shd w:val="clear" w:color="auto" w:fill="FFFFFF" w:themeFill="background1"/>
          </w:tcPr>
          <w:p w14:paraId="59931EBA" w14:textId="77777777" w:rsidR="002B3D2C" w:rsidRPr="001D6D10" w:rsidRDefault="002B3D2C" w:rsidP="00F35CFE">
            <w:pPr>
              <w:jc w:val="center"/>
              <w:rPr>
                <w:rFonts w:ascii="HG丸ｺﾞｼｯｸM-PRO" w:eastAsia="HG丸ｺﾞｼｯｸM-PRO" w:hAnsi="HG丸ｺﾞｼｯｸM-PRO"/>
                <w:szCs w:val="21"/>
              </w:rPr>
            </w:pPr>
          </w:p>
          <w:p w14:paraId="7C0E9956" w14:textId="77777777" w:rsidR="002B3D2C" w:rsidRPr="001D6D10" w:rsidRDefault="002B3D2C" w:rsidP="00F35CFE">
            <w:pPr>
              <w:jc w:val="center"/>
              <w:rPr>
                <w:rFonts w:ascii="HG丸ｺﾞｼｯｸM-PRO" w:eastAsia="HG丸ｺﾞｼｯｸM-PRO" w:hAnsi="HG丸ｺﾞｼｯｸM-PRO"/>
                <w:szCs w:val="21"/>
              </w:rPr>
            </w:pPr>
          </w:p>
          <w:p w14:paraId="571D7B4A" w14:textId="77777777" w:rsidR="002B3D2C" w:rsidRPr="001D6D10" w:rsidRDefault="002B3D2C" w:rsidP="00F35CFE">
            <w:pPr>
              <w:jc w:val="center"/>
              <w:rPr>
                <w:rFonts w:ascii="HG丸ｺﾞｼｯｸM-PRO" w:eastAsia="HG丸ｺﾞｼｯｸM-PRO" w:hAnsi="HG丸ｺﾞｼｯｸM-PRO"/>
                <w:szCs w:val="21"/>
              </w:rPr>
            </w:pPr>
          </w:p>
          <w:p w14:paraId="210FBA40" w14:textId="77777777" w:rsidR="002B3D2C" w:rsidRPr="001D6D10" w:rsidRDefault="002B3D2C" w:rsidP="00F35CFE">
            <w:pPr>
              <w:jc w:val="center"/>
              <w:rPr>
                <w:rFonts w:ascii="HG丸ｺﾞｼｯｸM-PRO" w:eastAsia="HG丸ｺﾞｼｯｸM-PRO" w:hAnsi="HG丸ｺﾞｼｯｸM-PRO"/>
                <w:szCs w:val="21"/>
              </w:rPr>
            </w:pPr>
          </w:p>
          <w:p w14:paraId="7368E018" w14:textId="77777777" w:rsidR="002B3D2C" w:rsidRPr="001D6D10" w:rsidRDefault="002B3D2C" w:rsidP="00F35CFE">
            <w:pPr>
              <w:jc w:val="center"/>
              <w:rPr>
                <w:rFonts w:ascii="HG丸ｺﾞｼｯｸM-PRO" w:eastAsia="HG丸ｺﾞｼｯｸM-PRO" w:hAnsi="HG丸ｺﾞｼｯｸM-PRO"/>
                <w:szCs w:val="21"/>
              </w:rPr>
            </w:pPr>
          </w:p>
          <w:p w14:paraId="1969F76D" w14:textId="03BACD0D" w:rsidR="00582BF7" w:rsidRPr="001D6D10" w:rsidRDefault="00582BF7" w:rsidP="00F35CFE">
            <w:pPr>
              <w:jc w:val="center"/>
              <w:rPr>
                <w:rFonts w:ascii="HG丸ｺﾞｼｯｸM-PRO" w:eastAsia="HG丸ｺﾞｼｯｸM-PRO" w:hAnsi="HG丸ｺﾞｼｯｸM-PRO"/>
                <w:szCs w:val="21"/>
              </w:rPr>
            </w:pPr>
            <w:r w:rsidRPr="001D6D10">
              <w:rPr>
                <w:rFonts w:ascii="HG丸ｺﾞｼｯｸM-PRO" w:eastAsia="HG丸ｺﾞｼｯｸM-PRO" w:hAnsi="HG丸ｺﾞｼｯｸM-PRO" w:hint="eastAsia"/>
                <w:szCs w:val="21"/>
              </w:rPr>
              <w:t>～48ｈ</w:t>
            </w:r>
            <w:r w:rsidR="0053084D" w:rsidRPr="001D6D10">
              <w:rPr>
                <w:rFonts w:ascii="HG丸ｺﾞｼｯｸM-PRO" w:eastAsia="HG丸ｺﾞｼｯｸM-PRO" w:hAnsi="HG丸ｺﾞｼｯｸM-PRO" w:hint="eastAsia"/>
                <w:szCs w:val="21"/>
              </w:rPr>
              <w:t>前</w:t>
            </w:r>
          </w:p>
          <w:p w14:paraId="1145CA12" w14:textId="77777777" w:rsidR="00582BF7" w:rsidRPr="001D6D10" w:rsidRDefault="00582BF7" w:rsidP="00F35CFE">
            <w:pPr>
              <w:jc w:val="center"/>
              <w:rPr>
                <w:rFonts w:ascii="HG丸ｺﾞｼｯｸM-PRO" w:eastAsia="HG丸ｺﾞｼｯｸM-PRO" w:hAnsi="HG丸ｺﾞｼｯｸM-PRO"/>
                <w:sz w:val="20"/>
                <w:szCs w:val="20"/>
              </w:rPr>
            </w:pPr>
            <w:r w:rsidRPr="001D6D10">
              <w:rPr>
                <w:rFonts w:ascii="HG丸ｺﾞｼｯｸM-PRO" w:eastAsia="HG丸ｺﾞｼｯｸM-PRO" w:hAnsi="HG丸ｺﾞｼｯｸM-PRO" w:hint="eastAsia"/>
                <w:sz w:val="20"/>
                <w:szCs w:val="20"/>
              </w:rPr>
              <w:t>（３日以前）</w:t>
            </w:r>
          </w:p>
        </w:tc>
        <w:tc>
          <w:tcPr>
            <w:tcW w:w="7037" w:type="dxa"/>
            <w:tcBorders>
              <w:bottom w:val="single" w:sz="4" w:space="0" w:color="auto"/>
            </w:tcBorders>
            <w:shd w:val="clear" w:color="auto" w:fill="FFFFFF" w:themeFill="background1"/>
          </w:tcPr>
          <w:p w14:paraId="3D65D43B" w14:textId="77777777" w:rsidR="00582BF7" w:rsidRPr="001D6D10" w:rsidRDefault="00582BF7" w:rsidP="00F35CFE">
            <w:pPr>
              <w:rPr>
                <w:rFonts w:ascii="HG丸ｺﾞｼｯｸM-PRO" w:eastAsia="HG丸ｺﾞｼｯｸM-PRO" w:hAnsi="HG丸ｺﾞｼｯｸM-PRO"/>
                <w:szCs w:val="21"/>
              </w:rPr>
            </w:pPr>
            <w:r w:rsidRPr="001D6D10">
              <w:rPr>
                <w:rFonts w:ascii="HG丸ｺﾞｼｯｸM-PRO" w:eastAsia="HG丸ｺﾞｼｯｸM-PRO" w:hAnsi="HG丸ｺﾞｼｯｸM-PRO" w:hint="eastAsia"/>
                <w:szCs w:val="21"/>
              </w:rPr>
              <w:t>□国・危機管理室等からの情報を関係者（部内・必要に応じて関係機関）で共有【各所属】</w:t>
            </w:r>
          </w:p>
          <w:p w14:paraId="068B9E0C" w14:textId="77777777" w:rsidR="00BB7E00" w:rsidRPr="001D6D10" w:rsidRDefault="00BB7E00" w:rsidP="00BB7E00">
            <w:pPr>
              <w:rPr>
                <w:rFonts w:ascii="HG丸ｺﾞｼｯｸM-PRO" w:eastAsia="HG丸ｺﾞｼｯｸM-PRO" w:hAnsi="HG丸ｺﾞｼｯｸM-PRO"/>
                <w:szCs w:val="21"/>
              </w:rPr>
            </w:pPr>
            <w:r w:rsidRPr="001D6D10">
              <w:rPr>
                <w:rFonts w:ascii="HG丸ｺﾞｼｯｸM-PRO" w:eastAsia="HG丸ｺﾞｼｯｸM-PRO" w:hAnsi="HG丸ｺﾞｼｯｸM-PRO" w:hint="eastAsia"/>
                <w:szCs w:val="21"/>
              </w:rPr>
              <w:t>□連絡体制の確認【各所属】</w:t>
            </w:r>
          </w:p>
          <w:p w14:paraId="353AF832" w14:textId="77777777" w:rsidR="00A2101B" w:rsidRPr="001D6D10" w:rsidRDefault="00EF5DDA" w:rsidP="00BB7E00">
            <w:pPr>
              <w:rPr>
                <w:rFonts w:ascii="HG丸ｺﾞｼｯｸM-PRO" w:eastAsia="HG丸ｺﾞｼｯｸM-PRO" w:hAnsi="HG丸ｺﾞｼｯｸM-PRO"/>
                <w:szCs w:val="21"/>
              </w:rPr>
            </w:pPr>
            <w:r w:rsidRPr="001D6D10">
              <w:rPr>
                <w:rFonts w:ascii="HG丸ｺﾞｼｯｸM-PRO" w:eastAsia="HG丸ｺﾞｼｯｸM-PRO" w:hAnsi="HG丸ｺﾞｼｯｸM-PRO" w:hint="eastAsia"/>
                <w:szCs w:val="21"/>
              </w:rPr>
              <w:t>□</w:t>
            </w:r>
            <w:r w:rsidR="003B7241" w:rsidRPr="001D6D10">
              <w:rPr>
                <w:rFonts w:ascii="HG丸ｺﾞｼｯｸM-PRO" w:eastAsia="HG丸ｺﾞｼｯｸM-PRO" w:hAnsi="HG丸ｺﾞｼｯｸM-PRO" w:hint="eastAsia"/>
                <w:szCs w:val="21"/>
              </w:rPr>
              <w:t>災害対応に関するマニュアル等の確認【各所属】</w:t>
            </w:r>
          </w:p>
          <w:p w14:paraId="325054BB" w14:textId="77777777" w:rsidR="000515D7" w:rsidRPr="001D6D10" w:rsidRDefault="000515D7" w:rsidP="000515D7">
            <w:pPr>
              <w:rPr>
                <w:rFonts w:ascii="HG丸ｺﾞｼｯｸM-PRO" w:eastAsia="HG丸ｺﾞｼｯｸM-PRO" w:hAnsi="HG丸ｺﾞｼｯｸM-PRO"/>
                <w:szCs w:val="21"/>
              </w:rPr>
            </w:pPr>
            <w:r w:rsidRPr="001D6D10">
              <w:rPr>
                <w:rFonts w:ascii="HG丸ｺﾞｼｯｸM-PRO" w:eastAsia="HG丸ｺﾞｼｯｸM-PRO" w:hAnsi="HG丸ｺﾞｼｯｸM-PRO" w:hint="eastAsia"/>
                <w:szCs w:val="21"/>
              </w:rPr>
              <w:t>□指令部会議の事前準備</w:t>
            </w:r>
          </w:p>
          <w:p w14:paraId="4ECF571C" w14:textId="77777777" w:rsidR="000515D7" w:rsidRPr="001D6D10" w:rsidRDefault="000515D7" w:rsidP="000515D7">
            <w:pPr>
              <w:rPr>
                <w:rFonts w:ascii="HG丸ｺﾞｼｯｸM-PRO" w:eastAsia="HG丸ｺﾞｼｯｸM-PRO" w:hAnsi="HG丸ｺﾞｼｯｸM-PRO"/>
                <w:strike/>
                <w:szCs w:val="21"/>
              </w:rPr>
            </w:pPr>
            <w:r w:rsidRPr="001D6D10">
              <w:rPr>
                <w:rFonts w:ascii="HG丸ｺﾞｼｯｸM-PRO" w:eastAsia="HG丸ｺﾞｼｯｸM-PRO" w:hAnsi="HG丸ｺﾞｼｯｸM-PRO" w:hint="eastAsia"/>
                <w:szCs w:val="21"/>
              </w:rPr>
              <w:t xml:space="preserve">　</w:t>
            </w:r>
            <w:r w:rsidR="005B33EE" w:rsidRPr="001D6D10">
              <w:rPr>
                <w:rFonts w:ascii="HG丸ｺﾞｼｯｸM-PRO" w:eastAsia="HG丸ｺﾞｼｯｸM-PRO" w:hAnsi="HG丸ｺﾞｼｯｸM-PRO" w:hint="eastAsia"/>
                <w:szCs w:val="21"/>
              </w:rPr>
              <w:t>・イベントの有無確認（府主催、共催）</w:t>
            </w:r>
          </w:p>
          <w:p w14:paraId="034DAA76" w14:textId="77777777" w:rsidR="000515D7" w:rsidRPr="001D6D10" w:rsidRDefault="000515D7" w:rsidP="000515D7">
            <w:pPr>
              <w:rPr>
                <w:rFonts w:ascii="HG丸ｺﾞｼｯｸM-PRO" w:eastAsia="HG丸ｺﾞｼｯｸM-PRO" w:hAnsi="HG丸ｺﾞｼｯｸM-PRO"/>
                <w:szCs w:val="21"/>
              </w:rPr>
            </w:pPr>
            <w:r w:rsidRPr="001D6D10">
              <w:rPr>
                <w:rFonts w:ascii="HG丸ｺﾞｼｯｸM-PRO" w:eastAsia="HG丸ｺﾞｼｯｸM-PRO" w:hAnsi="HG丸ｺﾞｼｯｸM-PRO" w:hint="eastAsia"/>
                <w:szCs w:val="21"/>
              </w:rPr>
              <w:t xml:space="preserve">　・所管団体等への注意喚起など</w:t>
            </w:r>
          </w:p>
        </w:tc>
      </w:tr>
      <w:tr w:rsidR="001D6D10" w:rsidRPr="001D6D10" w14:paraId="6F25086A" w14:textId="77777777" w:rsidTr="00F35CFE">
        <w:trPr>
          <w:jc w:val="center"/>
        </w:trPr>
        <w:tc>
          <w:tcPr>
            <w:tcW w:w="1457" w:type="dxa"/>
            <w:vMerge/>
          </w:tcPr>
          <w:p w14:paraId="3CFDEC34" w14:textId="77777777" w:rsidR="00582BF7" w:rsidRPr="001D6D10" w:rsidRDefault="00582BF7" w:rsidP="00F35CFE">
            <w:pPr>
              <w:rPr>
                <w:rFonts w:ascii="HG丸ｺﾞｼｯｸM-PRO" w:eastAsia="HG丸ｺﾞｼｯｸM-PRO" w:hAnsi="HG丸ｺﾞｼｯｸM-PRO"/>
                <w:szCs w:val="21"/>
              </w:rPr>
            </w:pPr>
          </w:p>
        </w:tc>
        <w:tc>
          <w:tcPr>
            <w:tcW w:w="7037" w:type="dxa"/>
          </w:tcPr>
          <w:p w14:paraId="745B56FC" w14:textId="77777777" w:rsidR="00582BF7" w:rsidRPr="001D6D10" w:rsidRDefault="00582BF7" w:rsidP="00F35CFE">
            <w:pPr>
              <w:rPr>
                <w:rFonts w:ascii="HG丸ｺﾞｼｯｸM-PRO" w:eastAsia="HG丸ｺﾞｼｯｸM-PRO" w:hAnsi="HG丸ｺﾞｼｯｸM-PRO"/>
                <w:szCs w:val="21"/>
              </w:rPr>
            </w:pPr>
            <w:r w:rsidRPr="001D6D10">
              <w:rPr>
                <w:rFonts w:ascii="HG丸ｺﾞｼｯｸM-PRO" w:eastAsia="HG丸ｺﾞｼｯｸM-PRO" w:hAnsi="HG丸ｺﾞｼｯｸM-PRO" w:hint="eastAsia"/>
                <w:b/>
                <w:szCs w:val="21"/>
                <w:highlight w:val="yellow"/>
              </w:rPr>
              <w:t>防災・危機管理指令部会議</w:t>
            </w:r>
            <w:r w:rsidRPr="001D6D10">
              <w:rPr>
                <w:rFonts w:ascii="HG丸ｺﾞｼｯｸM-PRO" w:eastAsia="HG丸ｺﾞｼｯｸM-PRO" w:hAnsi="HG丸ｺﾞｼｯｸM-PRO" w:hint="eastAsia"/>
                <w:szCs w:val="21"/>
                <w:highlight w:val="yellow"/>
              </w:rPr>
              <w:t>（おおよそ７２ｈ前）</w:t>
            </w:r>
            <w:r w:rsidR="00CB0ABF" w:rsidRPr="001D6D10">
              <w:rPr>
                <w:rFonts w:ascii="HG丸ｺﾞｼｯｸM-PRO" w:eastAsia="HG丸ｺﾞｼｯｸM-PRO" w:hAnsi="HG丸ｺﾞｼｯｸM-PRO" w:hint="eastAsia"/>
                <w:szCs w:val="21"/>
                <w:highlight w:val="yellow"/>
              </w:rPr>
              <w:t>（Ｐ42</w:t>
            </w:r>
            <w:r w:rsidR="00AD02A5" w:rsidRPr="001D6D10">
              <w:rPr>
                <w:rFonts w:ascii="HG丸ｺﾞｼｯｸM-PRO" w:eastAsia="HG丸ｺﾞｼｯｸM-PRO" w:hAnsi="HG丸ｺﾞｼｯｸM-PRO" w:hint="eastAsia"/>
                <w:szCs w:val="21"/>
                <w:highlight w:val="yellow"/>
              </w:rPr>
              <w:t>参照）</w:t>
            </w:r>
          </w:p>
        </w:tc>
      </w:tr>
      <w:tr w:rsidR="001D6D10" w:rsidRPr="001D6D10" w14:paraId="54C04051" w14:textId="77777777" w:rsidTr="00F35CFE">
        <w:trPr>
          <w:jc w:val="center"/>
        </w:trPr>
        <w:tc>
          <w:tcPr>
            <w:tcW w:w="1457" w:type="dxa"/>
            <w:vMerge/>
          </w:tcPr>
          <w:p w14:paraId="7AC0C8E9" w14:textId="77777777" w:rsidR="00582BF7" w:rsidRPr="001D6D10" w:rsidRDefault="00582BF7" w:rsidP="00F35CFE">
            <w:pPr>
              <w:rPr>
                <w:rFonts w:ascii="HG丸ｺﾞｼｯｸM-PRO" w:eastAsia="HG丸ｺﾞｼｯｸM-PRO" w:hAnsi="HG丸ｺﾞｼｯｸM-PRO"/>
                <w:szCs w:val="21"/>
              </w:rPr>
            </w:pPr>
          </w:p>
        </w:tc>
        <w:tc>
          <w:tcPr>
            <w:tcW w:w="7037" w:type="dxa"/>
          </w:tcPr>
          <w:p w14:paraId="50E87CF8" w14:textId="77777777" w:rsidR="00582BF7" w:rsidRPr="001D6D10" w:rsidRDefault="00582BF7" w:rsidP="00F35CFE">
            <w:pPr>
              <w:ind w:left="211" w:hangingChars="100" w:hanging="211"/>
              <w:rPr>
                <w:rFonts w:ascii="HG丸ｺﾞｼｯｸM-PRO" w:eastAsia="HG丸ｺﾞｼｯｸM-PRO" w:hAnsi="HG丸ｺﾞｼｯｸM-PRO"/>
                <w:szCs w:val="21"/>
              </w:rPr>
            </w:pPr>
            <w:r w:rsidRPr="001D6D10">
              <w:rPr>
                <w:rFonts w:ascii="HG丸ｺﾞｼｯｸM-PRO" w:eastAsia="HG丸ｺﾞｼｯｸM-PRO" w:hAnsi="HG丸ｺﾞｼｯｸM-PRO" w:hint="eastAsia"/>
                <w:szCs w:val="21"/>
              </w:rPr>
              <w:t>□国・危機管理室等からの情報を関係者（部内・必要に応じて関係機関）</w:t>
            </w:r>
          </w:p>
          <w:p w14:paraId="020F0659" w14:textId="77777777" w:rsidR="00582BF7" w:rsidRPr="001D6D10" w:rsidRDefault="00582BF7" w:rsidP="003A3484">
            <w:pPr>
              <w:ind w:left="211" w:hangingChars="100" w:hanging="211"/>
              <w:rPr>
                <w:rFonts w:ascii="HG丸ｺﾞｼｯｸM-PRO" w:eastAsia="HG丸ｺﾞｼｯｸM-PRO" w:hAnsi="HG丸ｺﾞｼｯｸM-PRO"/>
                <w:strike/>
                <w:szCs w:val="21"/>
              </w:rPr>
            </w:pPr>
            <w:r w:rsidRPr="001D6D10">
              <w:rPr>
                <w:rFonts w:ascii="HG丸ｺﾞｼｯｸM-PRO" w:eastAsia="HG丸ｺﾞｼｯｸM-PRO" w:hAnsi="HG丸ｺﾞｼｯｸM-PRO" w:hint="eastAsia"/>
                <w:szCs w:val="21"/>
              </w:rPr>
              <w:t>で共有・注意喚起【各所属】</w:t>
            </w:r>
          </w:p>
          <w:p w14:paraId="1573260D" w14:textId="77777777" w:rsidR="00582BF7" w:rsidRPr="001D6D10" w:rsidRDefault="004168C4" w:rsidP="00F35CFE">
            <w:pPr>
              <w:rPr>
                <w:rFonts w:ascii="HG丸ｺﾞｼｯｸM-PRO" w:eastAsia="HG丸ｺﾞｼｯｸM-PRO" w:hAnsi="HG丸ｺﾞｼｯｸM-PRO"/>
                <w:strike/>
                <w:szCs w:val="21"/>
              </w:rPr>
            </w:pPr>
            <w:r w:rsidRPr="001D6D10">
              <w:rPr>
                <w:rFonts w:ascii="HG丸ｺﾞｼｯｸM-PRO" w:eastAsia="HG丸ｺﾞｼｯｸM-PRO" w:hAnsi="HG丸ｺﾞｼｯｸM-PRO" w:hint="eastAsia"/>
                <w:szCs w:val="21"/>
              </w:rPr>
              <w:t>□イベントに係る</w:t>
            </w:r>
            <w:r w:rsidR="00582BF7" w:rsidRPr="001D6D10">
              <w:rPr>
                <w:rFonts w:ascii="HG丸ｺﾞｼｯｸM-PRO" w:eastAsia="HG丸ｺﾞｼｯｸM-PRO" w:hAnsi="HG丸ｺﾞｼｯｸM-PRO" w:hint="eastAsia"/>
                <w:szCs w:val="21"/>
              </w:rPr>
              <w:t>事前対策依頼【各所属】</w:t>
            </w:r>
          </w:p>
          <w:p w14:paraId="7D879085" w14:textId="77777777" w:rsidR="00582BF7" w:rsidRPr="001D6D10" w:rsidRDefault="009000A1" w:rsidP="00F35CFE">
            <w:pPr>
              <w:rPr>
                <w:rFonts w:ascii="HG丸ｺﾞｼｯｸM-PRO" w:eastAsia="HG丸ｺﾞｼｯｸM-PRO" w:hAnsi="HG丸ｺﾞｼｯｸM-PRO"/>
                <w:szCs w:val="21"/>
              </w:rPr>
            </w:pPr>
            <w:r w:rsidRPr="001D6D10">
              <w:rPr>
                <w:rFonts w:ascii="HG丸ｺﾞｼｯｸM-PRO" w:eastAsia="HG丸ｺﾞｼｯｸM-PRO" w:hAnsi="HG丸ｺﾞｼｯｸM-PRO" w:hint="eastAsia"/>
                <w:szCs w:val="21"/>
              </w:rPr>
              <w:t>□</w:t>
            </w:r>
            <w:r w:rsidR="00582BF7" w:rsidRPr="001D6D10">
              <w:rPr>
                <w:rFonts w:ascii="HG丸ｺﾞｼｯｸM-PRO" w:eastAsia="HG丸ｺﾞｼｯｸM-PRO" w:hAnsi="HG丸ｺﾞｼｯｸM-PRO" w:hint="eastAsia"/>
                <w:szCs w:val="21"/>
              </w:rPr>
              <w:t>危険個所の確認【施設所管所属】</w:t>
            </w:r>
          </w:p>
        </w:tc>
      </w:tr>
      <w:tr w:rsidR="001D6D10" w:rsidRPr="001D6D10" w14:paraId="1F9D3632" w14:textId="77777777" w:rsidTr="00F35CFE">
        <w:trPr>
          <w:jc w:val="center"/>
        </w:trPr>
        <w:tc>
          <w:tcPr>
            <w:tcW w:w="1457" w:type="dxa"/>
            <w:vMerge w:val="restart"/>
          </w:tcPr>
          <w:p w14:paraId="6E7042F5" w14:textId="77777777" w:rsidR="002B3D2C" w:rsidRPr="001D6D10" w:rsidRDefault="002B3D2C" w:rsidP="00F35CFE">
            <w:pPr>
              <w:rPr>
                <w:rFonts w:ascii="HG丸ｺﾞｼｯｸM-PRO" w:eastAsia="HG丸ｺﾞｼｯｸM-PRO" w:hAnsi="HG丸ｺﾞｼｯｸM-PRO"/>
                <w:szCs w:val="21"/>
              </w:rPr>
            </w:pPr>
          </w:p>
          <w:p w14:paraId="63C5A18B" w14:textId="77777777" w:rsidR="002B3D2C" w:rsidRPr="001D6D10" w:rsidRDefault="002B3D2C" w:rsidP="00F35CFE">
            <w:pPr>
              <w:rPr>
                <w:rFonts w:ascii="HG丸ｺﾞｼｯｸM-PRO" w:eastAsia="HG丸ｺﾞｼｯｸM-PRO" w:hAnsi="HG丸ｺﾞｼｯｸM-PRO"/>
                <w:szCs w:val="21"/>
              </w:rPr>
            </w:pPr>
          </w:p>
          <w:p w14:paraId="2FD34B1B" w14:textId="77777777" w:rsidR="002B3D2C" w:rsidRPr="001D6D10" w:rsidRDefault="002B3D2C" w:rsidP="00F35CFE">
            <w:pPr>
              <w:rPr>
                <w:rFonts w:ascii="HG丸ｺﾞｼｯｸM-PRO" w:eastAsia="HG丸ｺﾞｼｯｸM-PRO" w:hAnsi="HG丸ｺﾞｼｯｸM-PRO"/>
                <w:szCs w:val="21"/>
              </w:rPr>
            </w:pPr>
          </w:p>
          <w:p w14:paraId="57F51D14" w14:textId="77777777" w:rsidR="002B3D2C" w:rsidRPr="001D6D10" w:rsidRDefault="002B3D2C" w:rsidP="00F35CFE">
            <w:pPr>
              <w:rPr>
                <w:rFonts w:ascii="HG丸ｺﾞｼｯｸM-PRO" w:eastAsia="HG丸ｺﾞｼｯｸM-PRO" w:hAnsi="HG丸ｺﾞｼｯｸM-PRO"/>
                <w:szCs w:val="21"/>
              </w:rPr>
            </w:pPr>
          </w:p>
          <w:p w14:paraId="71697309" w14:textId="77777777" w:rsidR="002B3D2C" w:rsidRPr="001D6D10" w:rsidRDefault="002B3D2C" w:rsidP="00F35CFE">
            <w:pPr>
              <w:rPr>
                <w:rFonts w:ascii="HG丸ｺﾞｼｯｸM-PRO" w:eastAsia="HG丸ｺﾞｼｯｸM-PRO" w:hAnsi="HG丸ｺﾞｼｯｸM-PRO"/>
                <w:szCs w:val="21"/>
              </w:rPr>
            </w:pPr>
          </w:p>
          <w:p w14:paraId="756F1A40" w14:textId="77777777" w:rsidR="00582BF7" w:rsidRPr="001D6D10" w:rsidRDefault="00582BF7" w:rsidP="00F35CFE">
            <w:pPr>
              <w:rPr>
                <w:rFonts w:ascii="HG丸ｺﾞｼｯｸM-PRO" w:eastAsia="HG丸ｺﾞｼｯｸM-PRO" w:hAnsi="HG丸ｺﾞｼｯｸM-PRO"/>
                <w:szCs w:val="21"/>
              </w:rPr>
            </w:pPr>
            <w:r w:rsidRPr="001D6D10">
              <w:rPr>
                <w:rFonts w:ascii="HG丸ｺﾞｼｯｸM-PRO" w:eastAsia="HG丸ｺﾞｼｯｸM-PRO" w:hAnsi="HG丸ｺﾞｼｯｸM-PRO" w:hint="eastAsia"/>
                <w:szCs w:val="21"/>
              </w:rPr>
              <w:t>48ｈ前～</w:t>
            </w:r>
          </w:p>
          <w:p w14:paraId="424EFE5D" w14:textId="77777777" w:rsidR="00582BF7" w:rsidRPr="001D6D10" w:rsidRDefault="00582BF7" w:rsidP="00F35CFE">
            <w:pPr>
              <w:rPr>
                <w:rFonts w:ascii="HG丸ｺﾞｼｯｸM-PRO" w:eastAsia="HG丸ｺﾞｼｯｸM-PRO" w:hAnsi="HG丸ｺﾞｼｯｸM-PRO"/>
                <w:szCs w:val="21"/>
              </w:rPr>
            </w:pPr>
            <w:r w:rsidRPr="001D6D10">
              <w:rPr>
                <w:rFonts w:ascii="HG丸ｺﾞｼｯｸM-PRO" w:eastAsia="HG丸ｺﾞｼｯｸM-PRO" w:hAnsi="HG丸ｺﾞｼｯｸM-PRO" w:hint="eastAsia"/>
                <w:szCs w:val="21"/>
              </w:rPr>
              <w:t xml:space="preserve">　　24ｈ前</w:t>
            </w:r>
          </w:p>
          <w:p w14:paraId="6B810C06" w14:textId="77777777" w:rsidR="00582BF7" w:rsidRPr="001D6D10" w:rsidRDefault="00582BF7" w:rsidP="00F35CFE">
            <w:pPr>
              <w:rPr>
                <w:rFonts w:ascii="HG丸ｺﾞｼｯｸM-PRO" w:eastAsia="HG丸ｺﾞｼｯｸM-PRO" w:hAnsi="HG丸ｺﾞｼｯｸM-PRO"/>
                <w:szCs w:val="21"/>
              </w:rPr>
            </w:pPr>
            <w:r w:rsidRPr="001D6D10">
              <w:rPr>
                <w:rFonts w:ascii="HG丸ｺﾞｼｯｸM-PRO" w:eastAsia="HG丸ｺﾞｼｯｸM-PRO" w:hAnsi="HG丸ｺﾞｼｯｸM-PRO" w:hint="eastAsia"/>
                <w:szCs w:val="21"/>
              </w:rPr>
              <w:t>（２日前）</w:t>
            </w:r>
          </w:p>
        </w:tc>
        <w:tc>
          <w:tcPr>
            <w:tcW w:w="7037" w:type="dxa"/>
          </w:tcPr>
          <w:p w14:paraId="50B74501" w14:textId="77777777" w:rsidR="00582BF7" w:rsidRPr="001D6D10" w:rsidRDefault="00582BF7" w:rsidP="00F35CFE">
            <w:pPr>
              <w:rPr>
                <w:rFonts w:ascii="HG丸ｺﾞｼｯｸM-PRO" w:eastAsia="HG丸ｺﾞｼｯｸM-PRO" w:hAnsi="HG丸ｺﾞｼｯｸM-PRO"/>
                <w:sz w:val="18"/>
                <w:szCs w:val="18"/>
              </w:rPr>
            </w:pPr>
            <w:r w:rsidRPr="001D6D10">
              <w:rPr>
                <w:rFonts w:ascii="HG丸ｺﾞｼｯｸM-PRO" w:eastAsia="HG丸ｺﾞｼｯｸM-PRO" w:hAnsi="HG丸ｺﾞｼｯｸM-PRO" w:hint="eastAsia"/>
                <w:szCs w:val="21"/>
              </w:rPr>
              <w:t>庁内連絡会議①：災害モード宣言の内容、第1回災害警戒本部会議の事前調整等</w:t>
            </w:r>
            <w:r w:rsidRPr="001D6D10">
              <w:rPr>
                <w:rFonts w:ascii="HG丸ｺﾞｼｯｸM-PRO" w:eastAsia="HG丸ｺﾞｼｯｸM-PRO" w:hAnsi="HG丸ｺﾞｼｯｸM-PRO" w:hint="eastAsia"/>
                <w:sz w:val="18"/>
                <w:szCs w:val="18"/>
              </w:rPr>
              <w:t>(警戒本部会議議題：管理施設の休館及び学校休校の検討、イベント等の中止検討、職員の配備態勢)</w:t>
            </w:r>
          </w:p>
          <w:p w14:paraId="21DF16E6" w14:textId="77777777" w:rsidR="000515D7" w:rsidRPr="001D6D10" w:rsidRDefault="000515D7" w:rsidP="000515D7">
            <w:pPr>
              <w:rPr>
                <w:rFonts w:ascii="HG丸ｺﾞｼｯｸM-PRO" w:eastAsia="HG丸ｺﾞｼｯｸM-PRO" w:hAnsi="HG丸ｺﾞｼｯｸM-PRO"/>
                <w:szCs w:val="21"/>
              </w:rPr>
            </w:pPr>
            <w:r w:rsidRPr="001D6D10">
              <w:rPr>
                <w:rFonts w:ascii="HG丸ｺﾞｼｯｸM-PRO" w:eastAsia="HG丸ｺﾞｼｯｸM-PRO" w:hAnsi="HG丸ｺﾞｼｯｸM-PRO" w:hint="eastAsia"/>
                <w:szCs w:val="21"/>
              </w:rPr>
              <w:t>□第１回災害警戒本部会議の事前準備</w:t>
            </w:r>
          </w:p>
          <w:p w14:paraId="067E3FBD" w14:textId="77777777" w:rsidR="000515D7" w:rsidRPr="001D6D10" w:rsidRDefault="000515D7" w:rsidP="000515D7">
            <w:pPr>
              <w:rPr>
                <w:rFonts w:ascii="HG丸ｺﾞｼｯｸM-PRO" w:eastAsia="HG丸ｺﾞｼｯｸM-PRO" w:hAnsi="HG丸ｺﾞｼｯｸM-PRO"/>
                <w:szCs w:val="21"/>
              </w:rPr>
            </w:pPr>
            <w:r w:rsidRPr="001D6D10">
              <w:rPr>
                <w:rFonts w:ascii="HG丸ｺﾞｼｯｸM-PRO" w:eastAsia="HG丸ｺﾞｼｯｸM-PRO" w:hAnsi="HG丸ｺﾞｼｯｸM-PRO" w:hint="eastAsia"/>
                <w:szCs w:val="21"/>
              </w:rPr>
              <w:t xml:space="preserve">　・部局内の対応状況の確認、会議での報告のとりまとめ</w:t>
            </w:r>
          </w:p>
          <w:p w14:paraId="345FE265" w14:textId="77777777" w:rsidR="00335440" w:rsidRPr="001D6D10" w:rsidRDefault="000515D7" w:rsidP="00335440">
            <w:pPr>
              <w:rPr>
                <w:rFonts w:ascii="HG丸ｺﾞｼｯｸM-PRO" w:eastAsia="HG丸ｺﾞｼｯｸM-PRO" w:hAnsi="HG丸ｺﾞｼｯｸM-PRO"/>
                <w:szCs w:val="21"/>
              </w:rPr>
            </w:pPr>
            <w:r w:rsidRPr="001D6D10">
              <w:rPr>
                <w:rFonts w:ascii="HG丸ｺﾞｼｯｸM-PRO" w:eastAsia="HG丸ｺﾞｼｯｸM-PRO" w:hAnsi="HG丸ｺﾞｼｯｸM-PRO" w:hint="eastAsia"/>
                <w:szCs w:val="21"/>
              </w:rPr>
              <w:t xml:space="preserve">　・庁舎・所管施設の安全確認</w:t>
            </w:r>
          </w:p>
          <w:p w14:paraId="5D7D0106" w14:textId="77777777" w:rsidR="000515D7" w:rsidRPr="001D6D10" w:rsidRDefault="000515D7" w:rsidP="00335440">
            <w:pPr>
              <w:rPr>
                <w:rFonts w:ascii="HG丸ｺﾞｼｯｸM-PRO" w:eastAsia="HG丸ｺﾞｼｯｸM-PRO" w:hAnsi="HG丸ｺﾞｼｯｸM-PRO"/>
                <w:szCs w:val="21"/>
                <w:u w:val="single"/>
              </w:rPr>
            </w:pPr>
            <w:r w:rsidRPr="001D6D10">
              <w:rPr>
                <w:rFonts w:ascii="HG丸ｺﾞｼｯｸM-PRO" w:eastAsia="HG丸ｺﾞｼｯｸM-PRO" w:hAnsi="HG丸ｺﾞｼｯｸM-PRO" w:hint="eastAsia"/>
                <w:szCs w:val="21"/>
                <w:bdr w:val="single" w:sz="4" w:space="0" w:color="auto"/>
              </w:rPr>
              <w:t>台風説明会</w:t>
            </w:r>
          </w:p>
        </w:tc>
      </w:tr>
      <w:tr w:rsidR="001D6D10" w:rsidRPr="001D6D10" w14:paraId="2E32F8E7" w14:textId="77777777" w:rsidTr="00F35CFE">
        <w:trPr>
          <w:jc w:val="center"/>
        </w:trPr>
        <w:tc>
          <w:tcPr>
            <w:tcW w:w="1457" w:type="dxa"/>
            <w:vMerge/>
          </w:tcPr>
          <w:p w14:paraId="6D34EF08" w14:textId="77777777" w:rsidR="00582BF7" w:rsidRPr="001D6D10" w:rsidRDefault="00582BF7" w:rsidP="00F35CFE">
            <w:pPr>
              <w:rPr>
                <w:rFonts w:ascii="HG丸ｺﾞｼｯｸM-PRO" w:eastAsia="HG丸ｺﾞｼｯｸM-PRO" w:hAnsi="HG丸ｺﾞｼｯｸM-PRO"/>
                <w:szCs w:val="21"/>
              </w:rPr>
            </w:pPr>
          </w:p>
        </w:tc>
        <w:tc>
          <w:tcPr>
            <w:tcW w:w="7037" w:type="dxa"/>
          </w:tcPr>
          <w:p w14:paraId="22C30211" w14:textId="77777777" w:rsidR="00582BF7" w:rsidRPr="001D6D10" w:rsidRDefault="00582BF7" w:rsidP="00F35CFE">
            <w:pPr>
              <w:rPr>
                <w:rFonts w:ascii="HG丸ｺﾞｼｯｸM-PRO" w:eastAsia="HG丸ｺﾞｼｯｸM-PRO" w:hAnsi="HG丸ｺﾞｼｯｸM-PRO"/>
                <w:szCs w:val="21"/>
                <w:highlight w:val="yellow"/>
              </w:rPr>
            </w:pPr>
            <w:r w:rsidRPr="001D6D10">
              <w:rPr>
                <w:rFonts w:ascii="HG丸ｺﾞｼｯｸM-PRO" w:eastAsia="HG丸ｺﾞｼｯｸM-PRO" w:hAnsi="HG丸ｺﾞｼｯｸM-PRO" w:hint="eastAsia"/>
                <w:b/>
                <w:szCs w:val="21"/>
                <w:highlight w:val="yellow"/>
              </w:rPr>
              <w:t>第1回災害警戒本部会議</w:t>
            </w:r>
            <w:r w:rsidRPr="001D6D10">
              <w:rPr>
                <w:rFonts w:ascii="HG丸ｺﾞｼｯｸM-PRO" w:eastAsia="HG丸ｺﾞｼｯｸM-PRO" w:hAnsi="HG丸ｺﾞｼｯｸM-PRO" w:hint="eastAsia"/>
                <w:szCs w:val="21"/>
                <w:highlight w:val="yellow"/>
              </w:rPr>
              <w:t>（災害モード宣言の内容検討）</w:t>
            </w:r>
            <w:r w:rsidR="00CB0ABF" w:rsidRPr="001D6D10">
              <w:rPr>
                <w:rFonts w:ascii="HG丸ｺﾞｼｯｸM-PRO" w:eastAsia="HG丸ｺﾞｼｯｸM-PRO" w:hAnsi="HG丸ｺﾞｼｯｸM-PRO" w:hint="eastAsia"/>
                <w:szCs w:val="21"/>
                <w:highlight w:val="yellow"/>
              </w:rPr>
              <w:t>（Ｐ47</w:t>
            </w:r>
            <w:r w:rsidR="0010145B" w:rsidRPr="001D6D10">
              <w:rPr>
                <w:rFonts w:ascii="HG丸ｺﾞｼｯｸM-PRO" w:eastAsia="HG丸ｺﾞｼｯｸM-PRO" w:hAnsi="HG丸ｺﾞｼｯｸM-PRO" w:hint="eastAsia"/>
                <w:szCs w:val="21"/>
                <w:highlight w:val="yellow"/>
              </w:rPr>
              <w:t>参照）</w:t>
            </w:r>
          </w:p>
        </w:tc>
      </w:tr>
      <w:tr w:rsidR="001D6D10" w:rsidRPr="001D6D10" w14:paraId="0CF99773" w14:textId="77777777" w:rsidTr="00F35CFE">
        <w:trPr>
          <w:jc w:val="center"/>
        </w:trPr>
        <w:tc>
          <w:tcPr>
            <w:tcW w:w="1457" w:type="dxa"/>
            <w:vMerge/>
          </w:tcPr>
          <w:p w14:paraId="74838EA1" w14:textId="77777777" w:rsidR="00582BF7" w:rsidRPr="001D6D10" w:rsidRDefault="00582BF7" w:rsidP="00F35CFE">
            <w:pPr>
              <w:rPr>
                <w:rFonts w:ascii="HG丸ｺﾞｼｯｸM-PRO" w:eastAsia="HG丸ｺﾞｼｯｸM-PRO" w:hAnsi="HG丸ｺﾞｼｯｸM-PRO"/>
                <w:szCs w:val="21"/>
              </w:rPr>
            </w:pPr>
          </w:p>
        </w:tc>
        <w:tc>
          <w:tcPr>
            <w:tcW w:w="7037" w:type="dxa"/>
          </w:tcPr>
          <w:p w14:paraId="7603B916" w14:textId="77777777" w:rsidR="00582BF7" w:rsidRPr="001D6D10" w:rsidRDefault="00582BF7" w:rsidP="00F35CFE">
            <w:pPr>
              <w:rPr>
                <w:rFonts w:ascii="HG丸ｺﾞｼｯｸM-PRO" w:eastAsia="HG丸ｺﾞｼｯｸM-PRO" w:hAnsi="HG丸ｺﾞｼｯｸM-PRO"/>
                <w:szCs w:val="21"/>
              </w:rPr>
            </w:pPr>
            <w:r w:rsidRPr="001D6D10">
              <w:rPr>
                <w:rFonts w:ascii="HG丸ｺﾞｼｯｸM-PRO" w:eastAsia="HG丸ｺﾞｼｯｸM-PRO" w:hAnsi="HG丸ｺﾞｼｯｸM-PRO" w:hint="eastAsia"/>
                <w:szCs w:val="21"/>
              </w:rPr>
              <w:t>□危機管理室からの情報を関係者で共有・注意喚起・事前対策とりまとめ【各所属】</w:t>
            </w:r>
          </w:p>
          <w:p w14:paraId="07E071EA" w14:textId="77777777" w:rsidR="005A0125" w:rsidRPr="001D6D10" w:rsidRDefault="005A0125" w:rsidP="005A0125">
            <w:pPr>
              <w:rPr>
                <w:rFonts w:ascii="HG丸ｺﾞｼｯｸM-PRO" w:eastAsia="HG丸ｺﾞｼｯｸM-PRO" w:hAnsi="HG丸ｺﾞｼｯｸM-PRO"/>
                <w:szCs w:val="21"/>
              </w:rPr>
            </w:pPr>
            <w:r w:rsidRPr="001D6D10">
              <w:rPr>
                <w:rFonts w:ascii="HG丸ｺﾞｼｯｸM-PRO" w:eastAsia="HG丸ｺﾞｼｯｸM-PRO" w:hAnsi="HG丸ｺﾞｼｯｸM-PRO" w:hint="eastAsia"/>
                <w:szCs w:val="21"/>
              </w:rPr>
              <w:t>□公共交通機関計画運休の確認</w:t>
            </w:r>
            <w:r w:rsidR="009000A1" w:rsidRPr="001D6D10">
              <w:rPr>
                <w:rFonts w:ascii="HG丸ｺﾞｼｯｸM-PRO" w:eastAsia="HG丸ｺﾞｼｯｸM-PRO" w:hAnsi="HG丸ｺﾞｼｯｸM-PRO" w:hint="eastAsia"/>
                <w:szCs w:val="21"/>
              </w:rPr>
              <w:t>【各所属】</w:t>
            </w:r>
          </w:p>
          <w:p w14:paraId="487EC74B" w14:textId="77777777" w:rsidR="009D2212" w:rsidRPr="001D6D10" w:rsidRDefault="009D2212" w:rsidP="005A0125">
            <w:pPr>
              <w:rPr>
                <w:rFonts w:ascii="HG丸ｺﾞｼｯｸM-PRO" w:eastAsia="HG丸ｺﾞｼｯｸM-PRO" w:hAnsi="HG丸ｺﾞｼｯｸM-PRO"/>
                <w:szCs w:val="21"/>
              </w:rPr>
            </w:pPr>
            <w:r w:rsidRPr="001D6D10">
              <w:rPr>
                <w:rFonts w:ascii="HG丸ｺﾞｼｯｸM-PRO" w:eastAsia="HG丸ｺﾞｼｯｸM-PRO" w:hAnsi="HG丸ｺﾞｼｯｸM-PRO" w:hint="eastAsia"/>
                <w:szCs w:val="21"/>
              </w:rPr>
              <w:t>□職員体制の確認・確保【各所属】</w:t>
            </w:r>
          </w:p>
          <w:p w14:paraId="42B0654F" w14:textId="77777777" w:rsidR="00582BF7" w:rsidRPr="001D6D10" w:rsidRDefault="00582BF7" w:rsidP="00F35CFE">
            <w:pPr>
              <w:ind w:left="211" w:hangingChars="100" w:hanging="211"/>
              <w:rPr>
                <w:rFonts w:ascii="HG丸ｺﾞｼｯｸM-PRO" w:eastAsia="HG丸ｺﾞｼｯｸM-PRO" w:hAnsi="HG丸ｺﾞｼｯｸM-PRO"/>
                <w:szCs w:val="21"/>
              </w:rPr>
            </w:pPr>
            <w:r w:rsidRPr="001D6D10">
              <w:rPr>
                <w:rFonts w:ascii="HG丸ｺﾞｼｯｸM-PRO" w:eastAsia="HG丸ｺﾞｼｯｸM-PRO" w:hAnsi="HG丸ｺﾞｼｯｸM-PRO" w:hint="eastAsia"/>
                <w:szCs w:val="21"/>
              </w:rPr>
              <w:t>□府立施設（入所施設等）への安全対策確認【総務課→施設所管所属】</w:t>
            </w:r>
          </w:p>
          <w:p w14:paraId="042B521B" w14:textId="77777777" w:rsidR="00582BF7" w:rsidRPr="001D6D10" w:rsidRDefault="00582BF7" w:rsidP="009D2212">
            <w:pPr>
              <w:ind w:left="211" w:hangingChars="100" w:hanging="211"/>
              <w:rPr>
                <w:rFonts w:ascii="HG丸ｺﾞｼｯｸM-PRO" w:eastAsia="HG丸ｺﾞｼｯｸM-PRO" w:hAnsi="HG丸ｺﾞｼｯｸM-PRO"/>
                <w:szCs w:val="21"/>
              </w:rPr>
            </w:pPr>
            <w:r w:rsidRPr="001D6D10">
              <w:rPr>
                <w:rFonts w:ascii="HG丸ｺﾞｼｯｸM-PRO" w:eastAsia="HG丸ｺﾞｼｯｸM-PRO" w:hAnsi="HG丸ｺﾞｼｯｸM-PRO" w:hint="eastAsia"/>
                <w:szCs w:val="21"/>
              </w:rPr>
              <w:t>□各防災協定の確認・依頼準備【各所属】</w:t>
            </w:r>
          </w:p>
        </w:tc>
      </w:tr>
      <w:tr w:rsidR="001D6D10" w:rsidRPr="001D6D10" w14:paraId="73BF7D9A" w14:textId="77777777" w:rsidTr="00F35CFE">
        <w:trPr>
          <w:jc w:val="center"/>
        </w:trPr>
        <w:tc>
          <w:tcPr>
            <w:tcW w:w="1457" w:type="dxa"/>
            <w:vMerge w:val="restart"/>
          </w:tcPr>
          <w:p w14:paraId="5E33CEBF" w14:textId="77777777" w:rsidR="00934E60" w:rsidRPr="001D6D10" w:rsidRDefault="00934E60" w:rsidP="00F35CFE">
            <w:pPr>
              <w:rPr>
                <w:rFonts w:ascii="HG丸ｺﾞｼｯｸM-PRO" w:eastAsia="HG丸ｺﾞｼｯｸM-PRO" w:hAnsi="HG丸ｺﾞｼｯｸM-PRO"/>
                <w:szCs w:val="21"/>
              </w:rPr>
            </w:pPr>
          </w:p>
          <w:p w14:paraId="048F6988" w14:textId="77777777" w:rsidR="00934E60" w:rsidRPr="001D6D10" w:rsidRDefault="00934E60" w:rsidP="00F35CFE">
            <w:pPr>
              <w:rPr>
                <w:rFonts w:ascii="HG丸ｺﾞｼｯｸM-PRO" w:eastAsia="HG丸ｺﾞｼｯｸM-PRO" w:hAnsi="HG丸ｺﾞｼｯｸM-PRO"/>
                <w:szCs w:val="21"/>
              </w:rPr>
            </w:pPr>
          </w:p>
          <w:p w14:paraId="0CD0285A" w14:textId="77777777" w:rsidR="00582BF7" w:rsidRPr="001D6D10" w:rsidRDefault="00582BF7" w:rsidP="00F35CFE">
            <w:pPr>
              <w:rPr>
                <w:rFonts w:ascii="HG丸ｺﾞｼｯｸM-PRO" w:eastAsia="HG丸ｺﾞｼｯｸM-PRO" w:hAnsi="HG丸ｺﾞｼｯｸM-PRO"/>
                <w:szCs w:val="21"/>
              </w:rPr>
            </w:pPr>
            <w:r w:rsidRPr="001D6D10">
              <w:rPr>
                <w:rFonts w:ascii="HG丸ｺﾞｼｯｸM-PRO" w:eastAsia="HG丸ｺﾞｼｯｸM-PRO" w:hAnsi="HG丸ｺﾞｼｯｸM-PRO" w:hint="eastAsia"/>
                <w:szCs w:val="21"/>
              </w:rPr>
              <w:t>24ｈ前～</w:t>
            </w:r>
          </w:p>
          <w:p w14:paraId="28A8C30A" w14:textId="77777777" w:rsidR="00582BF7" w:rsidRPr="001D6D10" w:rsidRDefault="00582BF7" w:rsidP="00F35CFE">
            <w:pPr>
              <w:rPr>
                <w:rFonts w:ascii="HG丸ｺﾞｼｯｸM-PRO" w:eastAsia="HG丸ｺﾞｼｯｸM-PRO" w:hAnsi="HG丸ｺﾞｼｯｸM-PRO"/>
                <w:szCs w:val="21"/>
              </w:rPr>
            </w:pPr>
            <w:r w:rsidRPr="001D6D10">
              <w:rPr>
                <w:rFonts w:ascii="HG丸ｺﾞｼｯｸM-PRO" w:eastAsia="HG丸ｺﾞｼｯｸM-PRO" w:hAnsi="HG丸ｺﾞｼｯｸM-PRO" w:hint="eastAsia"/>
                <w:szCs w:val="21"/>
              </w:rPr>
              <w:t xml:space="preserve">　　最接近</w:t>
            </w:r>
          </w:p>
          <w:p w14:paraId="6D4F0EE7" w14:textId="77777777" w:rsidR="00582BF7" w:rsidRPr="001D6D10" w:rsidRDefault="00582BF7" w:rsidP="00F35CFE">
            <w:pPr>
              <w:rPr>
                <w:rFonts w:ascii="HG丸ｺﾞｼｯｸM-PRO" w:eastAsia="HG丸ｺﾞｼｯｸM-PRO" w:hAnsi="HG丸ｺﾞｼｯｸM-PRO"/>
                <w:szCs w:val="21"/>
              </w:rPr>
            </w:pPr>
            <w:r w:rsidRPr="001D6D10">
              <w:rPr>
                <w:rFonts w:ascii="HG丸ｺﾞｼｯｸM-PRO" w:eastAsia="HG丸ｺﾞｼｯｸM-PRO" w:hAnsi="HG丸ｺﾞｼｯｸM-PRO" w:hint="eastAsia"/>
                <w:szCs w:val="21"/>
              </w:rPr>
              <w:t>（１日前）</w:t>
            </w:r>
          </w:p>
        </w:tc>
        <w:tc>
          <w:tcPr>
            <w:tcW w:w="7037" w:type="dxa"/>
          </w:tcPr>
          <w:p w14:paraId="0CFB9D92" w14:textId="77777777" w:rsidR="00582BF7" w:rsidRPr="001D6D10" w:rsidRDefault="00582BF7" w:rsidP="00F35CFE">
            <w:pPr>
              <w:rPr>
                <w:rFonts w:ascii="HG丸ｺﾞｼｯｸM-PRO" w:eastAsia="HG丸ｺﾞｼｯｸM-PRO" w:hAnsi="HG丸ｺﾞｼｯｸM-PRO"/>
                <w:szCs w:val="21"/>
              </w:rPr>
            </w:pPr>
            <w:r w:rsidRPr="001D6D10">
              <w:rPr>
                <w:rFonts w:ascii="HG丸ｺﾞｼｯｸM-PRO" w:eastAsia="HG丸ｺﾞｼｯｸM-PRO" w:hAnsi="HG丸ｺﾞｼｯｸM-PRO" w:hint="eastAsia"/>
                <w:szCs w:val="21"/>
              </w:rPr>
              <w:t>庁内連絡会議②：第2回災害警戒本部会議の事前調整等</w:t>
            </w:r>
          </w:p>
          <w:p w14:paraId="2BD8A203" w14:textId="77777777" w:rsidR="000515D7" w:rsidRPr="001D6D10" w:rsidRDefault="000515D7" w:rsidP="000515D7">
            <w:pPr>
              <w:rPr>
                <w:rFonts w:ascii="HG丸ｺﾞｼｯｸM-PRO" w:eastAsia="HG丸ｺﾞｼｯｸM-PRO" w:hAnsi="HG丸ｺﾞｼｯｸM-PRO"/>
                <w:szCs w:val="21"/>
              </w:rPr>
            </w:pPr>
            <w:r w:rsidRPr="001D6D10">
              <w:rPr>
                <w:rFonts w:ascii="HG丸ｺﾞｼｯｸM-PRO" w:eastAsia="HG丸ｺﾞｼｯｸM-PRO" w:hAnsi="HG丸ｺﾞｼｯｸM-PRO" w:hint="eastAsia"/>
                <w:szCs w:val="21"/>
              </w:rPr>
              <w:t>□第２回災害警戒本部会議の事前準備</w:t>
            </w:r>
          </w:p>
          <w:p w14:paraId="30CC1ADE" w14:textId="77777777" w:rsidR="000515D7" w:rsidRPr="001D6D10" w:rsidRDefault="000515D7" w:rsidP="000515D7">
            <w:pPr>
              <w:rPr>
                <w:rFonts w:ascii="HG丸ｺﾞｼｯｸM-PRO" w:eastAsia="HG丸ｺﾞｼｯｸM-PRO" w:hAnsi="HG丸ｺﾞｼｯｸM-PRO"/>
                <w:szCs w:val="21"/>
              </w:rPr>
            </w:pPr>
            <w:r w:rsidRPr="001D6D10">
              <w:rPr>
                <w:rFonts w:ascii="HG丸ｺﾞｼｯｸM-PRO" w:eastAsia="HG丸ｺﾞｼｯｸM-PRO" w:hAnsi="HG丸ｺﾞｼｯｸM-PRO" w:hint="eastAsia"/>
                <w:szCs w:val="21"/>
              </w:rPr>
              <w:t xml:space="preserve">　・部局内へ対応状況の確認、会議での報告のとりまとめ</w:t>
            </w:r>
          </w:p>
          <w:p w14:paraId="212F7EF5" w14:textId="77777777" w:rsidR="00335440" w:rsidRPr="001D6D10" w:rsidRDefault="00472027" w:rsidP="00335440">
            <w:pPr>
              <w:rPr>
                <w:rFonts w:ascii="HG丸ｺﾞｼｯｸM-PRO" w:eastAsia="HG丸ｺﾞｼｯｸM-PRO" w:hAnsi="HG丸ｺﾞｼｯｸM-PRO"/>
                <w:szCs w:val="21"/>
              </w:rPr>
            </w:pPr>
            <w:r w:rsidRPr="001D6D10">
              <w:rPr>
                <w:rFonts w:ascii="HG丸ｺﾞｼｯｸM-PRO" w:eastAsia="HG丸ｺﾞｼｯｸM-PRO" w:hAnsi="HG丸ｺﾞｼｯｸM-PRO" w:hint="eastAsia"/>
                <w:szCs w:val="21"/>
              </w:rPr>
              <w:t xml:space="preserve">  </w:t>
            </w:r>
            <w:r w:rsidR="000515D7" w:rsidRPr="001D6D10">
              <w:rPr>
                <w:rFonts w:ascii="HG丸ｺﾞｼｯｸM-PRO" w:eastAsia="HG丸ｺﾞｼｯｸM-PRO" w:hAnsi="HG丸ｺﾞｼｯｸM-PRO" w:hint="eastAsia"/>
                <w:szCs w:val="21"/>
              </w:rPr>
              <w:t>・庁舎・所管施設の安全点検</w:t>
            </w:r>
          </w:p>
          <w:p w14:paraId="36263B58" w14:textId="77777777" w:rsidR="000515D7" w:rsidRPr="001D6D10" w:rsidRDefault="000515D7" w:rsidP="00335440">
            <w:pPr>
              <w:rPr>
                <w:rFonts w:ascii="HG丸ｺﾞｼｯｸM-PRO" w:eastAsia="HG丸ｺﾞｼｯｸM-PRO" w:hAnsi="HG丸ｺﾞｼｯｸM-PRO"/>
                <w:szCs w:val="21"/>
                <w:u w:val="single"/>
              </w:rPr>
            </w:pPr>
            <w:r w:rsidRPr="001D6D10">
              <w:rPr>
                <w:rFonts w:ascii="HG丸ｺﾞｼｯｸM-PRO" w:eastAsia="HG丸ｺﾞｼｯｸM-PRO" w:hAnsi="HG丸ｺﾞｼｯｸM-PRO" w:hint="eastAsia"/>
                <w:szCs w:val="21"/>
                <w:bdr w:val="single" w:sz="4" w:space="0" w:color="auto"/>
              </w:rPr>
              <w:t>台風説明会</w:t>
            </w:r>
          </w:p>
        </w:tc>
      </w:tr>
      <w:tr w:rsidR="001D6D10" w:rsidRPr="001D6D10" w14:paraId="49031C5C" w14:textId="77777777" w:rsidTr="00F35CFE">
        <w:trPr>
          <w:jc w:val="center"/>
        </w:trPr>
        <w:tc>
          <w:tcPr>
            <w:tcW w:w="1457" w:type="dxa"/>
            <w:vMerge/>
          </w:tcPr>
          <w:p w14:paraId="14426699" w14:textId="77777777" w:rsidR="00582BF7" w:rsidRPr="001D6D10" w:rsidRDefault="00582BF7" w:rsidP="00F35CFE">
            <w:pPr>
              <w:rPr>
                <w:rFonts w:ascii="HG丸ｺﾞｼｯｸM-PRO" w:eastAsia="HG丸ｺﾞｼｯｸM-PRO" w:hAnsi="HG丸ｺﾞｼｯｸM-PRO"/>
                <w:szCs w:val="21"/>
              </w:rPr>
            </w:pPr>
          </w:p>
        </w:tc>
        <w:tc>
          <w:tcPr>
            <w:tcW w:w="7037" w:type="dxa"/>
          </w:tcPr>
          <w:p w14:paraId="5266B38D" w14:textId="77777777" w:rsidR="00582BF7" w:rsidRPr="001D6D10" w:rsidRDefault="00582BF7" w:rsidP="00F35CFE">
            <w:pPr>
              <w:rPr>
                <w:rFonts w:ascii="HG丸ｺﾞｼｯｸM-PRO" w:eastAsia="HG丸ｺﾞｼｯｸM-PRO" w:hAnsi="HG丸ｺﾞｼｯｸM-PRO"/>
                <w:szCs w:val="21"/>
                <w:highlight w:val="yellow"/>
              </w:rPr>
            </w:pPr>
            <w:r w:rsidRPr="001D6D10">
              <w:rPr>
                <w:rFonts w:ascii="HG丸ｺﾞｼｯｸM-PRO" w:eastAsia="HG丸ｺﾞｼｯｸM-PRO" w:hAnsi="HG丸ｺﾞｼｯｸM-PRO" w:hint="eastAsia"/>
                <w:b/>
                <w:szCs w:val="21"/>
                <w:highlight w:val="yellow"/>
              </w:rPr>
              <w:t>第２回災害警戒本部会議</w:t>
            </w:r>
            <w:r w:rsidRPr="001D6D10">
              <w:rPr>
                <w:rFonts w:ascii="HG丸ｺﾞｼｯｸM-PRO" w:eastAsia="HG丸ｺﾞｼｯｸM-PRO" w:hAnsi="HG丸ｺﾞｼｯｸM-PRO" w:hint="eastAsia"/>
                <w:szCs w:val="21"/>
                <w:highlight w:val="yellow"/>
              </w:rPr>
              <w:t>（災害モード宣言の発信）</w:t>
            </w:r>
            <w:r w:rsidR="00CB0ABF" w:rsidRPr="001D6D10">
              <w:rPr>
                <w:rFonts w:ascii="HG丸ｺﾞｼｯｸM-PRO" w:eastAsia="HG丸ｺﾞｼｯｸM-PRO" w:hAnsi="HG丸ｺﾞｼｯｸM-PRO" w:hint="eastAsia"/>
                <w:szCs w:val="21"/>
                <w:highlight w:val="yellow"/>
              </w:rPr>
              <w:t>（Ｐ47</w:t>
            </w:r>
            <w:r w:rsidR="0010145B" w:rsidRPr="001D6D10">
              <w:rPr>
                <w:rFonts w:ascii="HG丸ｺﾞｼｯｸM-PRO" w:eastAsia="HG丸ｺﾞｼｯｸM-PRO" w:hAnsi="HG丸ｺﾞｼｯｸM-PRO" w:hint="eastAsia"/>
                <w:szCs w:val="21"/>
                <w:highlight w:val="yellow"/>
              </w:rPr>
              <w:t>参照）</w:t>
            </w:r>
          </w:p>
        </w:tc>
      </w:tr>
      <w:tr w:rsidR="001D6D10" w:rsidRPr="001D6D10" w14:paraId="65C139D9" w14:textId="77777777" w:rsidTr="00F35CFE">
        <w:trPr>
          <w:jc w:val="center"/>
        </w:trPr>
        <w:tc>
          <w:tcPr>
            <w:tcW w:w="1457" w:type="dxa"/>
            <w:vMerge/>
          </w:tcPr>
          <w:p w14:paraId="1763E418" w14:textId="77777777" w:rsidR="00582BF7" w:rsidRPr="001D6D10" w:rsidRDefault="00582BF7" w:rsidP="00F35CFE">
            <w:pPr>
              <w:rPr>
                <w:rFonts w:ascii="HG丸ｺﾞｼｯｸM-PRO" w:eastAsia="HG丸ｺﾞｼｯｸM-PRO" w:hAnsi="HG丸ｺﾞｼｯｸM-PRO"/>
                <w:szCs w:val="21"/>
              </w:rPr>
            </w:pPr>
          </w:p>
        </w:tc>
        <w:tc>
          <w:tcPr>
            <w:tcW w:w="7037" w:type="dxa"/>
          </w:tcPr>
          <w:p w14:paraId="6E322B0E" w14:textId="77777777" w:rsidR="00582BF7" w:rsidRPr="001D6D10" w:rsidRDefault="00582BF7" w:rsidP="00F35CFE">
            <w:pPr>
              <w:ind w:left="211" w:hangingChars="100" w:hanging="211"/>
              <w:rPr>
                <w:rFonts w:ascii="HG丸ｺﾞｼｯｸM-PRO" w:eastAsia="HG丸ｺﾞｼｯｸM-PRO" w:hAnsi="HG丸ｺﾞｼｯｸM-PRO"/>
                <w:sz w:val="18"/>
                <w:szCs w:val="18"/>
              </w:rPr>
            </w:pPr>
            <w:r w:rsidRPr="001D6D10">
              <w:rPr>
                <w:rFonts w:ascii="HG丸ｺﾞｼｯｸM-PRO" w:eastAsia="HG丸ｺﾞｼｯｸM-PRO" w:hAnsi="HG丸ｺﾞｼｯｸM-PRO" w:hint="eastAsia"/>
                <w:szCs w:val="21"/>
              </w:rPr>
              <w:t>□</w:t>
            </w:r>
            <w:r w:rsidRPr="001D6D10">
              <w:rPr>
                <w:rFonts w:ascii="HG丸ｺﾞｼｯｸM-PRO" w:eastAsia="HG丸ｺﾞｼｯｸM-PRO" w:hAnsi="HG丸ｺﾞｼｯｸM-PRO" w:hint="eastAsia"/>
                <w:sz w:val="20"/>
                <w:szCs w:val="20"/>
              </w:rPr>
              <w:t>危機管理室からの情報を関係者で共有・注意喚起・事前対策依頼【各所属】</w:t>
            </w:r>
          </w:p>
          <w:p w14:paraId="15AABD16" w14:textId="77777777" w:rsidR="00582BF7" w:rsidRPr="001D6D10" w:rsidRDefault="00582BF7" w:rsidP="00F35CFE">
            <w:pPr>
              <w:ind w:left="211" w:hangingChars="100" w:hanging="211"/>
              <w:rPr>
                <w:rFonts w:ascii="HG丸ｺﾞｼｯｸM-PRO" w:eastAsia="HG丸ｺﾞｼｯｸM-PRO" w:hAnsi="HG丸ｺﾞｼｯｸM-PRO"/>
                <w:szCs w:val="21"/>
              </w:rPr>
            </w:pPr>
            <w:r w:rsidRPr="001D6D10">
              <w:rPr>
                <w:rFonts w:ascii="HG丸ｺﾞｼｯｸM-PRO" w:eastAsia="HG丸ｺﾞｼｯｸM-PRO" w:hAnsi="HG丸ｺﾞｼｯｸM-PRO" w:hint="eastAsia"/>
                <w:szCs w:val="21"/>
              </w:rPr>
              <w:t>□府立施設（入所施設等）への安全対策指示【総務課→施設所管所属】</w:t>
            </w:r>
          </w:p>
          <w:p w14:paraId="5224B85A" w14:textId="77777777" w:rsidR="00582BF7" w:rsidRPr="001D6D10" w:rsidRDefault="00582BF7" w:rsidP="00F35CFE">
            <w:pPr>
              <w:rPr>
                <w:rFonts w:ascii="HG丸ｺﾞｼｯｸM-PRO" w:eastAsia="HG丸ｺﾞｼｯｸM-PRO" w:hAnsi="HG丸ｺﾞｼｯｸM-PRO"/>
                <w:szCs w:val="21"/>
              </w:rPr>
            </w:pPr>
            <w:r w:rsidRPr="001D6D10">
              <w:rPr>
                <w:rFonts w:ascii="HG丸ｺﾞｼｯｸM-PRO" w:eastAsia="HG丸ｺﾞｼｯｸM-PRO" w:hAnsi="HG丸ｺﾞｼｯｸM-PRO" w:hint="eastAsia"/>
                <w:szCs w:val="21"/>
              </w:rPr>
              <w:t>□応援班職員の調整【福祉総務課、地域福祉室、子ども室】</w:t>
            </w:r>
          </w:p>
        </w:tc>
      </w:tr>
    </w:tbl>
    <w:p w14:paraId="4A9CB0EE" w14:textId="6A039C6E" w:rsidR="00582BF7" w:rsidRPr="001D6D10" w:rsidRDefault="00582BF7" w:rsidP="00E0548A">
      <w:pPr>
        <w:rPr>
          <w:rFonts w:ascii="HG丸ｺﾞｼｯｸM-PRO" w:eastAsia="HG丸ｺﾞｼｯｸM-PRO" w:hAnsi="HG丸ｺﾞｼｯｸM-PRO"/>
          <w:szCs w:val="21"/>
        </w:rPr>
      </w:pPr>
      <w:r w:rsidRPr="001D6D10">
        <w:rPr>
          <w:rFonts w:ascii="HG丸ｺﾞｼｯｸM-PRO" w:eastAsia="HG丸ｺﾞｼｯｸM-PRO" w:hAnsi="HG丸ｺﾞｼｯｸM-PRO" w:hint="eastAsia"/>
          <w:szCs w:val="21"/>
        </w:rPr>
        <w:lastRenderedPageBreak/>
        <w:t>※</w:t>
      </w:r>
      <w:r w:rsidRPr="00E0548A">
        <w:rPr>
          <w:rFonts w:ascii="HG丸ｺﾞｼｯｸM-PRO" w:eastAsia="HG丸ｺﾞｼｯｸM-PRO" w:hAnsi="HG丸ｺﾞｼｯｸM-PRO" w:hint="eastAsia"/>
          <w:szCs w:val="21"/>
        </w:rPr>
        <w:t>主な所管施設：修徳学院、子どもライフサポートセンター、砂川厚生福祉センター</w:t>
      </w:r>
      <w:r w:rsidR="00932D50" w:rsidRPr="00E0548A">
        <w:rPr>
          <w:rFonts w:ascii="HG丸ｺﾞｼｯｸM-PRO" w:eastAsia="HG丸ｺﾞｼｯｸM-PRO" w:hAnsi="HG丸ｺﾞｼｯｸM-PRO" w:hint="eastAsia"/>
          <w:szCs w:val="21"/>
        </w:rPr>
        <w:t>やこんごう福祉センター</w:t>
      </w:r>
      <w:r w:rsidRPr="00E0548A">
        <w:rPr>
          <w:rFonts w:ascii="HG丸ｺﾞｼｯｸM-PRO" w:eastAsia="HG丸ｺﾞｼｯｸM-PRO" w:hAnsi="HG丸ｺﾞｼｯｸM-PRO" w:hint="eastAsia"/>
          <w:szCs w:val="21"/>
        </w:rPr>
        <w:t>など</w:t>
      </w:r>
    </w:p>
    <w:p w14:paraId="783C7AE4" w14:textId="77777777" w:rsidR="00582BF7" w:rsidRPr="001D6D10" w:rsidRDefault="00582BF7" w:rsidP="00582BF7">
      <w:pPr>
        <w:rPr>
          <w:rFonts w:ascii="HG丸ｺﾞｼｯｸM-PRO" w:eastAsia="HG丸ｺﾞｼｯｸM-PRO" w:hAnsi="HG丸ｺﾞｼｯｸM-PRO"/>
          <w:szCs w:val="21"/>
        </w:rPr>
      </w:pPr>
      <w:r w:rsidRPr="001D6D10">
        <w:rPr>
          <w:rFonts w:ascii="HG丸ｺﾞｼｯｸM-PRO" w:eastAsia="HG丸ｺﾞｼｯｸM-PRO" w:hAnsi="HG丸ｺﾞｼｯｸM-PRO" w:hint="eastAsia"/>
          <w:szCs w:val="21"/>
        </w:rPr>
        <w:t>関係機関：市町村、社会福祉施設（保育所・児童養護施設・高齢者施設・障がい者施設など）</w:t>
      </w:r>
      <w:r w:rsidRPr="001D6D10">
        <w:rPr>
          <w:rFonts w:ascii="HG丸ｺﾞｼｯｸM-PRO" w:eastAsia="HG丸ｺﾞｼｯｸM-PRO" w:hAnsi="HG丸ｺﾞｼｯｸM-PRO"/>
          <w:szCs w:val="21"/>
        </w:rPr>
        <w:t xml:space="preserve"> </w:t>
      </w:r>
    </w:p>
    <w:p w14:paraId="43437444" w14:textId="77777777" w:rsidR="00582BF7" w:rsidRPr="001D6D10" w:rsidRDefault="00582BF7" w:rsidP="00582BF7">
      <w:pPr>
        <w:rPr>
          <w:rFonts w:ascii="ＭＳ ゴシック" w:eastAsia="ＭＳ ゴシック" w:hAnsi="ＭＳ ゴシック"/>
          <w:sz w:val="18"/>
          <w:szCs w:val="22"/>
        </w:rPr>
      </w:pPr>
      <w:r w:rsidRPr="001D6D10">
        <w:rPr>
          <w:rFonts w:ascii="ＭＳ ゴシック" w:eastAsia="ＭＳ ゴシック" w:hAnsi="ＭＳ ゴシック" w:hint="eastAsia"/>
          <w:sz w:val="18"/>
          <w:szCs w:val="22"/>
        </w:rPr>
        <w:t>※）本タイムラインから状況に応じて必要な項目を選定し、実施するものとする。</w:t>
      </w:r>
    </w:p>
    <w:p w14:paraId="0E1B8CEB" w14:textId="77777777" w:rsidR="00335440" w:rsidRPr="001D6D10" w:rsidRDefault="00335440" w:rsidP="00EB20A0">
      <w:pPr>
        <w:rPr>
          <w:rFonts w:ascii="ＭＳ ゴシック" w:eastAsia="ＭＳ ゴシック" w:hAnsi="ＭＳ ゴシック"/>
          <w:sz w:val="18"/>
          <w:szCs w:val="22"/>
        </w:rPr>
      </w:pPr>
    </w:p>
    <w:p w14:paraId="51F9C8DE" w14:textId="77777777" w:rsidR="00C40150" w:rsidRPr="001D6D10" w:rsidRDefault="00C40150" w:rsidP="00EB20A0">
      <w:pPr>
        <w:rPr>
          <w:rFonts w:ascii="ＭＳ ゴシック" w:eastAsia="ＭＳ ゴシック" w:hAnsi="ＭＳ ゴシック"/>
          <w:sz w:val="18"/>
          <w:szCs w:val="22"/>
        </w:rPr>
      </w:pPr>
    </w:p>
    <w:p w14:paraId="20EF849A" w14:textId="77777777" w:rsidR="00930C0D" w:rsidRDefault="00930C0D">
      <w:pPr>
        <w:widowControl/>
        <w:jc w:val="left"/>
        <w:rPr>
          <w:rFonts w:ascii="ＭＳ ゴシック" w:eastAsia="ＭＳ ゴシック" w:hAnsi="ＭＳ ゴシック"/>
          <w:sz w:val="22"/>
          <w:szCs w:val="22"/>
        </w:rPr>
      </w:pPr>
      <w:r>
        <w:rPr>
          <w:rFonts w:ascii="ＭＳ ゴシック" w:eastAsia="ＭＳ ゴシック" w:hAnsi="ＭＳ ゴシック"/>
          <w:sz w:val="22"/>
          <w:szCs w:val="22"/>
        </w:rPr>
        <w:br w:type="page"/>
      </w:r>
    </w:p>
    <w:p w14:paraId="769BE102" w14:textId="412AC5B5" w:rsidR="0001205E" w:rsidRPr="001D6D10" w:rsidRDefault="0001205E" w:rsidP="0001205E">
      <w:pPr>
        <w:rPr>
          <w:rFonts w:ascii="ＭＳ ゴシック" w:eastAsia="ＭＳ ゴシック" w:hAnsi="ＭＳ ゴシック"/>
          <w:sz w:val="22"/>
          <w:szCs w:val="22"/>
        </w:rPr>
      </w:pPr>
      <w:r w:rsidRPr="001D6D10">
        <w:rPr>
          <w:rFonts w:ascii="ＭＳ ゴシック" w:eastAsia="ＭＳ ゴシック" w:hAnsi="ＭＳ ゴシック" w:hint="eastAsia"/>
          <w:sz w:val="22"/>
          <w:szCs w:val="22"/>
        </w:rPr>
        <w:lastRenderedPageBreak/>
        <w:t>⑨健康医療部</w:t>
      </w:r>
    </w:p>
    <w:tbl>
      <w:tblPr>
        <w:tblpPr w:leftFromText="142" w:rightFromText="142" w:vertAnchor="text" w:tblpXSpec="center" w:tblpY="1"/>
        <w:tblOverlap w:val="neve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57"/>
        <w:gridCol w:w="7037"/>
      </w:tblGrid>
      <w:tr w:rsidR="001D6D10" w:rsidRPr="001D6D10" w14:paraId="5ED7ABD2" w14:textId="77777777" w:rsidTr="00F35CFE">
        <w:trPr>
          <w:jc w:val="center"/>
        </w:trPr>
        <w:tc>
          <w:tcPr>
            <w:tcW w:w="1457" w:type="dxa"/>
            <w:tcBorders>
              <w:bottom w:val="single" w:sz="4" w:space="0" w:color="auto"/>
            </w:tcBorders>
            <w:shd w:val="clear" w:color="auto" w:fill="BFBFBF"/>
          </w:tcPr>
          <w:p w14:paraId="55140D4D" w14:textId="77777777" w:rsidR="0001205E" w:rsidRPr="001D6D10" w:rsidRDefault="0001205E" w:rsidP="00F35CFE">
            <w:pPr>
              <w:jc w:val="center"/>
              <w:rPr>
                <w:rFonts w:ascii="HG丸ｺﾞｼｯｸM-PRO" w:eastAsia="HG丸ｺﾞｼｯｸM-PRO" w:hAnsi="HG丸ｺﾞｼｯｸM-PRO"/>
                <w:szCs w:val="21"/>
              </w:rPr>
            </w:pPr>
            <w:r w:rsidRPr="001D6D10">
              <w:rPr>
                <w:rFonts w:ascii="HG丸ｺﾞｼｯｸM-PRO" w:eastAsia="HG丸ｺﾞｼｯｸM-PRO" w:hAnsi="HG丸ｺﾞｼｯｸM-PRO" w:hint="eastAsia"/>
                <w:szCs w:val="21"/>
              </w:rPr>
              <w:t>時　期</w:t>
            </w:r>
          </w:p>
        </w:tc>
        <w:tc>
          <w:tcPr>
            <w:tcW w:w="7037" w:type="dxa"/>
            <w:tcBorders>
              <w:bottom w:val="single" w:sz="4" w:space="0" w:color="auto"/>
            </w:tcBorders>
            <w:shd w:val="clear" w:color="auto" w:fill="BFBFBF"/>
          </w:tcPr>
          <w:p w14:paraId="7D4F1B4F" w14:textId="77777777" w:rsidR="0001205E" w:rsidRPr="001D6D10" w:rsidRDefault="00E31DA1" w:rsidP="00F35CFE">
            <w:pPr>
              <w:jc w:val="center"/>
              <w:rPr>
                <w:rFonts w:ascii="HG丸ｺﾞｼｯｸM-PRO" w:eastAsia="HG丸ｺﾞｼｯｸM-PRO" w:hAnsi="HG丸ｺﾞｼｯｸM-PRO"/>
                <w:szCs w:val="21"/>
              </w:rPr>
            </w:pPr>
            <w:r w:rsidRPr="001D6D10">
              <w:rPr>
                <w:rFonts w:ascii="HG丸ｺﾞｼｯｸM-PRO" w:eastAsia="HG丸ｺﾞｼｯｸM-PRO" w:hAnsi="HG丸ｺﾞｼｯｸM-PRO" w:hint="eastAsia"/>
                <w:szCs w:val="21"/>
              </w:rPr>
              <w:t>主な事前準備</w:t>
            </w:r>
            <w:r w:rsidR="0001205E" w:rsidRPr="001D6D10">
              <w:rPr>
                <w:rFonts w:ascii="HG丸ｺﾞｼｯｸM-PRO" w:eastAsia="HG丸ｺﾞｼｯｸM-PRO" w:hAnsi="HG丸ｺﾞｼｯｸM-PRO" w:hint="eastAsia"/>
                <w:szCs w:val="21"/>
              </w:rPr>
              <w:t>業務</w:t>
            </w:r>
          </w:p>
        </w:tc>
      </w:tr>
      <w:tr w:rsidR="001D6D10" w:rsidRPr="001D6D10" w14:paraId="5E0D705F" w14:textId="77777777" w:rsidTr="00F35CFE">
        <w:trPr>
          <w:jc w:val="center"/>
        </w:trPr>
        <w:tc>
          <w:tcPr>
            <w:tcW w:w="1457" w:type="dxa"/>
            <w:vMerge w:val="restart"/>
            <w:shd w:val="clear" w:color="auto" w:fill="FFFFFF" w:themeFill="background1"/>
          </w:tcPr>
          <w:p w14:paraId="12E77687" w14:textId="77777777" w:rsidR="00934E60" w:rsidRPr="001D6D10" w:rsidRDefault="00934E60" w:rsidP="00F35CFE">
            <w:pPr>
              <w:jc w:val="center"/>
              <w:rPr>
                <w:rFonts w:ascii="HG丸ｺﾞｼｯｸM-PRO" w:eastAsia="HG丸ｺﾞｼｯｸM-PRO" w:hAnsi="HG丸ｺﾞｼｯｸM-PRO"/>
                <w:szCs w:val="21"/>
              </w:rPr>
            </w:pPr>
          </w:p>
          <w:p w14:paraId="54BAC759" w14:textId="77777777" w:rsidR="00934E60" w:rsidRPr="001D6D10" w:rsidRDefault="00934E60" w:rsidP="00F35CFE">
            <w:pPr>
              <w:jc w:val="center"/>
              <w:rPr>
                <w:rFonts w:ascii="HG丸ｺﾞｼｯｸM-PRO" w:eastAsia="HG丸ｺﾞｼｯｸM-PRO" w:hAnsi="HG丸ｺﾞｼｯｸM-PRO"/>
                <w:szCs w:val="21"/>
              </w:rPr>
            </w:pPr>
          </w:p>
          <w:p w14:paraId="1C7E84EA" w14:textId="77777777" w:rsidR="00934E60" w:rsidRPr="001D6D10" w:rsidRDefault="00934E60" w:rsidP="00F35CFE">
            <w:pPr>
              <w:jc w:val="center"/>
              <w:rPr>
                <w:rFonts w:ascii="HG丸ｺﾞｼｯｸM-PRO" w:eastAsia="HG丸ｺﾞｼｯｸM-PRO" w:hAnsi="HG丸ｺﾞｼｯｸM-PRO"/>
                <w:szCs w:val="21"/>
              </w:rPr>
            </w:pPr>
          </w:p>
          <w:p w14:paraId="3CBDC7D8" w14:textId="77777777" w:rsidR="00934E60" w:rsidRPr="001D6D10" w:rsidRDefault="00934E60" w:rsidP="00F35CFE">
            <w:pPr>
              <w:jc w:val="center"/>
              <w:rPr>
                <w:rFonts w:ascii="HG丸ｺﾞｼｯｸM-PRO" w:eastAsia="HG丸ｺﾞｼｯｸM-PRO" w:hAnsi="HG丸ｺﾞｼｯｸM-PRO"/>
                <w:szCs w:val="21"/>
              </w:rPr>
            </w:pPr>
          </w:p>
          <w:p w14:paraId="57A88435" w14:textId="77777777" w:rsidR="00934E60" w:rsidRPr="001D6D10" w:rsidRDefault="00934E60" w:rsidP="00F35CFE">
            <w:pPr>
              <w:jc w:val="center"/>
              <w:rPr>
                <w:rFonts w:ascii="HG丸ｺﾞｼｯｸM-PRO" w:eastAsia="HG丸ｺﾞｼｯｸM-PRO" w:hAnsi="HG丸ｺﾞｼｯｸM-PRO"/>
                <w:szCs w:val="21"/>
              </w:rPr>
            </w:pPr>
          </w:p>
          <w:p w14:paraId="76E4BDD1" w14:textId="77777777" w:rsidR="00934E60" w:rsidRPr="001D6D10" w:rsidRDefault="00934E60" w:rsidP="00F35CFE">
            <w:pPr>
              <w:jc w:val="center"/>
              <w:rPr>
                <w:rFonts w:ascii="HG丸ｺﾞｼｯｸM-PRO" w:eastAsia="HG丸ｺﾞｼｯｸM-PRO" w:hAnsi="HG丸ｺﾞｼｯｸM-PRO"/>
                <w:szCs w:val="21"/>
              </w:rPr>
            </w:pPr>
          </w:p>
          <w:p w14:paraId="4052EF97" w14:textId="182A3F0A" w:rsidR="0001205E" w:rsidRPr="001D6D10" w:rsidRDefault="0001205E" w:rsidP="00F35CFE">
            <w:pPr>
              <w:jc w:val="center"/>
              <w:rPr>
                <w:rFonts w:ascii="HG丸ｺﾞｼｯｸM-PRO" w:eastAsia="HG丸ｺﾞｼｯｸM-PRO" w:hAnsi="HG丸ｺﾞｼｯｸM-PRO"/>
                <w:szCs w:val="21"/>
              </w:rPr>
            </w:pPr>
            <w:r w:rsidRPr="001D6D10">
              <w:rPr>
                <w:rFonts w:ascii="HG丸ｺﾞｼｯｸM-PRO" w:eastAsia="HG丸ｺﾞｼｯｸM-PRO" w:hAnsi="HG丸ｺﾞｼｯｸM-PRO" w:hint="eastAsia"/>
                <w:szCs w:val="21"/>
              </w:rPr>
              <w:t>～48ｈ</w:t>
            </w:r>
            <w:r w:rsidR="0053084D" w:rsidRPr="001D6D10">
              <w:rPr>
                <w:rFonts w:ascii="HG丸ｺﾞｼｯｸM-PRO" w:eastAsia="HG丸ｺﾞｼｯｸM-PRO" w:hAnsi="HG丸ｺﾞｼｯｸM-PRO" w:hint="eastAsia"/>
                <w:szCs w:val="21"/>
              </w:rPr>
              <w:t>前</w:t>
            </w:r>
          </w:p>
          <w:p w14:paraId="48BE46A7" w14:textId="77777777" w:rsidR="0001205E" w:rsidRPr="001D6D10" w:rsidRDefault="0001205E" w:rsidP="00F35CFE">
            <w:pPr>
              <w:jc w:val="center"/>
              <w:rPr>
                <w:rFonts w:ascii="HG丸ｺﾞｼｯｸM-PRO" w:eastAsia="HG丸ｺﾞｼｯｸM-PRO" w:hAnsi="HG丸ｺﾞｼｯｸM-PRO"/>
                <w:sz w:val="20"/>
                <w:szCs w:val="20"/>
              </w:rPr>
            </w:pPr>
            <w:r w:rsidRPr="001D6D10">
              <w:rPr>
                <w:rFonts w:ascii="HG丸ｺﾞｼｯｸM-PRO" w:eastAsia="HG丸ｺﾞｼｯｸM-PRO" w:hAnsi="HG丸ｺﾞｼｯｸM-PRO" w:hint="eastAsia"/>
                <w:sz w:val="20"/>
                <w:szCs w:val="20"/>
              </w:rPr>
              <w:t>（３日以前）</w:t>
            </w:r>
          </w:p>
        </w:tc>
        <w:tc>
          <w:tcPr>
            <w:tcW w:w="7037" w:type="dxa"/>
            <w:tcBorders>
              <w:bottom w:val="single" w:sz="4" w:space="0" w:color="auto"/>
            </w:tcBorders>
            <w:shd w:val="clear" w:color="auto" w:fill="FFFFFF" w:themeFill="background1"/>
          </w:tcPr>
          <w:p w14:paraId="46A9437E" w14:textId="77777777" w:rsidR="00BB7E00" w:rsidRPr="001D6D10" w:rsidRDefault="00BB7E00" w:rsidP="00BB7E00">
            <w:pPr>
              <w:rPr>
                <w:rFonts w:ascii="HG丸ｺﾞｼｯｸM-PRO" w:eastAsia="HG丸ｺﾞｼｯｸM-PRO" w:hAnsi="HG丸ｺﾞｼｯｸM-PRO"/>
                <w:szCs w:val="21"/>
              </w:rPr>
            </w:pPr>
            <w:r w:rsidRPr="001D6D10">
              <w:rPr>
                <w:rFonts w:ascii="HG丸ｺﾞｼｯｸM-PRO" w:eastAsia="HG丸ｺﾞｼｯｸM-PRO" w:hAnsi="HG丸ｺﾞｼｯｸM-PRO" w:hint="eastAsia"/>
                <w:szCs w:val="21"/>
              </w:rPr>
              <w:t>□危機管理室からの情報に基づき、部局内・関係機関・出先機関・管理施設への気象情報提供・注意喚起（自家発電機燃料及び備蓄品の確認等）</w:t>
            </w:r>
          </w:p>
          <w:p w14:paraId="668F15E8" w14:textId="77777777" w:rsidR="00A2101B" w:rsidRPr="001D6D10" w:rsidRDefault="00A2101B" w:rsidP="00F35CFE">
            <w:pPr>
              <w:rPr>
                <w:rFonts w:ascii="HG丸ｺﾞｼｯｸM-PRO" w:eastAsia="HG丸ｺﾞｼｯｸM-PRO" w:hAnsi="HG丸ｺﾞｼｯｸM-PRO"/>
                <w:szCs w:val="21"/>
              </w:rPr>
            </w:pPr>
            <w:r w:rsidRPr="001D6D10">
              <w:rPr>
                <w:rFonts w:ascii="HG丸ｺﾞｼｯｸM-PRO" w:eastAsia="HG丸ｺﾞｼｯｸM-PRO" w:hAnsi="HG丸ｺﾞｼｯｸM-PRO" w:hint="eastAsia"/>
                <w:szCs w:val="21"/>
              </w:rPr>
              <w:t>□感染症情報等の把握</w:t>
            </w:r>
          </w:p>
          <w:p w14:paraId="1A485D05" w14:textId="77777777" w:rsidR="0001205E" w:rsidRPr="001D6D10" w:rsidRDefault="00BB7E00" w:rsidP="00F35CFE">
            <w:pPr>
              <w:rPr>
                <w:rFonts w:ascii="HG丸ｺﾞｼｯｸM-PRO" w:eastAsia="HG丸ｺﾞｼｯｸM-PRO" w:hAnsi="HG丸ｺﾞｼｯｸM-PRO"/>
                <w:szCs w:val="21"/>
              </w:rPr>
            </w:pPr>
            <w:r w:rsidRPr="001D6D10">
              <w:rPr>
                <w:rFonts w:ascii="HG丸ｺﾞｼｯｸM-PRO" w:eastAsia="HG丸ｺﾞｼｯｸM-PRO" w:hAnsi="HG丸ｺﾞｼｯｸM-PRO" w:hint="eastAsia"/>
                <w:szCs w:val="21"/>
              </w:rPr>
              <w:t>□部内及び各課内の連絡体制の確認</w:t>
            </w:r>
          </w:p>
          <w:p w14:paraId="65254655" w14:textId="77777777" w:rsidR="0001205E" w:rsidRPr="001D6D10" w:rsidRDefault="003B7241" w:rsidP="003B7241">
            <w:pPr>
              <w:rPr>
                <w:rFonts w:ascii="HG丸ｺﾞｼｯｸM-PRO" w:eastAsia="HG丸ｺﾞｼｯｸM-PRO" w:hAnsi="HG丸ｺﾞｼｯｸM-PRO"/>
                <w:szCs w:val="21"/>
              </w:rPr>
            </w:pPr>
            <w:r w:rsidRPr="001D6D10">
              <w:rPr>
                <w:rFonts w:ascii="HG丸ｺﾞｼｯｸM-PRO" w:eastAsia="HG丸ｺﾞｼｯｸM-PRO" w:hAnsi="HG丸ｺﾞｼｯｸM-PRO" w:hint="eastAsia"/>
                <w:szCs w:val="21"/>
              </w:rPr>
              <w:t>□災害対応に関するマニュアル等の確認</w:t>
            </w:r>
          </w:p>
          <w:p w14:paraId="62080996" w14:textId="77777777" w:rsidR="00A2101B" w:rsidRPr="001D6D10" w:rsidRDefault="00A2101B" w:rsidP="00A2101B">
            <w:pPr>
              <w:rPr>
                <w:rFonts w:ascii="HG丸ｺﾞｼｯｸM-PRO" w:eastAsia="HG丸ｺﾞｼｯｸM-PRO" w:hAnsi="HG丸ｺﾞｼｯｸM-PRO"/>
                <w:szCs w:val="21"/>
              </w:rPr>
            </w:pPr>
            <w:r w:rsidRPr="001D6D10">
              <w:rPr>
                <w:rFonts w:ascii="HG丸ｺﾞｼｯｸM-PRO" w:eastAsia="HG丸ｺﾞｼｯｸM-PRO" w:hAnsi="HG丸ｺﾞｼｯｸM-PRO" w:hint="eastAsia"/>
                <w:szCs w:val="21"/>
              </w:rPr>
              <w:t>□指令部会議の事前準備</w:t>
            </w:r>
          </w:p>
          <w:p w14:paraId="6964B01B" w14:textId="77777777" w:rsidR="00A2101B" w:rsidRPr="001D6D10" w:rsidRDefault="00A2101B" w:rsidP="00A2101B">
            <w:pPr>
              <w:rPr>
                <w:rFonts w:ascii="HG丸ｺﾞｼｯｸM-PRO" w:eastAsia="HG丸ｺﾞｼｯｸM-PRO" w:hAnsi="HG丸ｺﾞｼｯｸM-PRO"/>
                <w:szCs w:val="21"/>
              </w:rPr>
            </w:pPr>
            <w:r w:rsidRPr="001D6D10">
              <w:rPr>
                <w:rFonts w:ascii="HG丸ｺﾞｼｯｸM-PRO" w:eastAsia="HG丸ｺﾞｼｯｸM-PRO" w:hAnsi="HG丸ｺﾞｼｯｸM-PRO" w:hint="eastAsia"/>
                <w:szCs w:val="21"/>
              </w:rPr>
              <w:t xml:space="preserve">　</w:t>
            </w:r>
            <w:r w:rsidR="005B33EE" w:rsidRPr="001D6D10">
              <w:rPr>
                <w:rFonts w:ascii="HG丸ｺﾞｼｯｸM-PRO" w:eastAsia="HG丸ｺﾞｼｯｸM-PRO" w:hAnsi="HG丸ｺﾞｼｯｸM-PRO" w:hint="eastAsia"/>
                <w:szCs w:val="21"/>
              </w:rPr>
              <w:t>・イベントの有無確認（府主催、共催）</w:t>
            </w:r>
          </w:p>
          <w:p w14:paraId="56C4FC3C" w14:textId="77777777" w:rsidR="000515D7" w:rsidRPr="001D6D10" w:rsidRDefault="00A2101B" w:rsidP="00A2101B">
            <w:pPr>
              <w:rPr>
                <w:rFonts w:ascii="HG丸ｺﾞｼｯｸM-PRO" w:eastAsia="HG丸ｺﾞｼｯｸM-PRO" w:hAnsi="HG丸ｺﾞｼｯｸM-PRO"/>
                <w:szCs w:val="21"/>
                <w:u w:val="single"/>
              </w:rPr>
            </w:pPr>
            <w:r w:rsidRPr="001D6D10">
              <w:rPr>
                <w:rFonts w:ascii="HG丸ｺﾞｼｯｸM-PRO" w:eastAsia="HG丸ｺﾞｼｯｸM-PRO" w:hAnsi="HG丸ｺﾞｼｯｸM-PRO" w:hint="eastAsia"/>
                <w:szCs w:val="21"/>
              </w:rPr>
              <w:t xml:space="preserve">　・所管団体等への注意喚起など</w:t>
            </w:r>
          </w:p>
        </w:tc>
      </w:tr>
      <w:tr w:rsidR="001D6D10" w:rsidRPr="001D6D10" w14:paraId="164DC842" w14:textId="77777777" w:rsidTr="00F35CFE">
        <w:trPr>
          <w:jc w:val="center"/>
        </w:trPr>
        <w:tc>
          <w:tcPr>
            <w:tcW w:w="1457" w:type="dxa"/>
            <w:vMerge/>
          </w:tcPr>
          <w:p w14:paraId="449CDFE7" w14:textId="77777777" w:rsidR="0001205E" w:rsidRPr="001D6D10" w:rsidRDefault="0001205E" w:rsidP="00F35CFE">
            <w:pPr>
              <w:rPr>
                <w:rFonts w:ascii="HG丸ｺﾞｼｯｸM-PRO" w:eastAsia="HG丸ｺﾞｼｯｸM-PRO" w:hAnsi="HG丸ｺﾞｼｯｸM-PRO"/>
                <w:szCs w:val="21"/>
              </w:rPr>
            </w:pPr>
          </w:p>
        </w:tc>
        <w:tc>
          <w:tcPr>
            <w:tcW w:w="7037" w:type="dxa"/>
          </w:tcPr>
          <w:p w14:paraId="51467044" w14:textId="77777777" w:rsidR="0001205E" w:rsidRPr="001D6D10" w:rsidRDefault="0001205E" w:rsidP="00F35CFE">
            <w:pPr>
              <w:rPr>
                <w:rFonts w:ascii="HG丸ｺﾞｼｯｸM-PRO" w:eastAsia="HG丸ｺﾞｼｯｸM-PRO" w:hAnsi="HG丸ｺﾞｼｯｸM-PRO"/>
                <w:szCs w:val="21"/>
              </w:rPr>
            </w:pPr>
            <w:r w:rsidRPr="001D6D10">
              <w:rPr>
                <w:rFonts w:ascii="HG丸ｺﾞｼｯｸM-PRO" w:eastAsia="HG丸ｺﾞｼｯｸM-PRO" w:hAnsi="HG丸ｺﾞｼｯｸM-PRO" w:hint="eastAsia"/>
                <w:b/>
                <w:szCs w:val="21"/>
                <w:highlight w:val="yellow"/>
              </w:rPr>
              <w:t>防災・危機管理指令部会議</w:t>
            </w:r>
            <w:r w:rsidRPr="001D6D10">
              <w:rPr>
                <w:rFonts w:ascii="HG丸ｺﾞｼｯｸM-PRO" w:eastAsia="HG丸ｺﾞｼｯｸM-PRO" w:hAnsi="HG丸ｺﾞｼｯｸM-PRO" w:hint="eastAsia"/>
                <w:szCs w:val="21"/>
                <w:highlight w:val="yellow"/>
              </w:rPr>
              <w:t>（おおよそ７２ｈ前）</w:t>
            </w:r>
            <w:r w:rsidR="00CB0ABF" w:rsidRPr="001D6D10">
              <w:rPr>
                <w:rFonts w:ascii="HG丸ｺﾞｼｯｸM-PRO" w:eastAsia="HG丸ｺﾞｼｯｸM-PRO" w:hAnsi="HG丸ｺﾞｼｯｸM-PRO" w:hint="eastAsia"/>
                <w:szCs w:val="21"/>
                <w:highlight w:val="yellow"/>
              </w:rPr>
              <w:t>（Ｐ42</w:t>
            </w:r>
            <w:r w:rsidR="00AD02A5" w:rsidRPr="001D6D10">
              <w:rPr>
                <w:rFonts w:ascii="HG丸ｺﾞｼｯｸM-PRO" w:eastAsia="HG丸ｺﾞｼｯｸM-PRO" w:hAnsi="HG丸ｺﾞｼｯｸM-PRO" w:hint="eastAsia"/>
                <w:szCs w:val="21"/>
                <w:highlight w:val="yellow"/>
              </w:rPr>
              <w:t>参照）</w:t>
            </w:r>
          </w:p>
        </w:tc>
      </w:tr>
      <w:tr w:rsidR="001D6D10" w:rsidRPr="001D6D10" w14:paraId="77B17BC7" w14:textId="77777777" w:rsidTr="00F35CFE">
        <w:trPr>
          <w:jc w:val="center"/>
        </w:trPr>
        <w:tc>
          <w:tcPr>
            <w:tcW w:w="1457" w:type="dxa"/>
            <w:vMerge/>
          </w:tcPr>
          <w:p w14:paraId="41084080" w14:textId="77777777" w:rsidR="0001205E" w:rsidRPr="001D6D10" w:rsidRDefault="0001205E" w:rsidP="00F35CFE">
            <w:pPr>
              <w:rPr>
                <w:rFonts w:ascii="HG丸ｺﾞｼｯｸM-PRO" w:eastAsia="HG丸ｺﾞｼｯｸM-PRO" w:hAnsi="HG丸ｺﾞｼｯｸM-PRO"/>
                <w:szCs w:val="21"/>
              </w:rPr>
            </w:pPr>
          </w:p>
        </w:tc>
        <w:tc>
          <w:tcPr>
            <w:tcW w:w="7037" w:type="dxa"/>
          </w:tcPr>
          <w:p w14:paraId="749F5500" w14:textId="77777777" w:rsidR="0001205E" w:rsidRPr="001D6D10" w:rsidRDefault="0001205E" w:rsidP="00F35CFE">
            <w:pPr>
              <w:rPr>
                <w:rFonts w:ascii="HG丸ｺﾞｼｯｸM-PRO" w:eastAsia="HG丸ｺﾞｼｯｸM-PRO" w:hAnsi="HG丸ｺﾞｼｯｸM-PRO"/>
                <w:szCs w:val="21"/>
              </w:rPr>
            </w:pPr>
            <w:r w:rsidRPr="001D6D10">
              <w:rPr>
                <w:rFonts w:ascii="HG丸ｺﾞｼｯｸM-PRO" w:eastAsia="HG丸ｺﾞｼｯｸM-PRO" w:hAnsi="HG丸ｺﾞｼｯｸM-PRO" w:hint="eastAsia"/>
                <w:szCs w:val="21"/>
              </w:rPr>
              <w:t>□危機管理室からの情報に基づき、部局内・関係機関・出先機関・管理施設への気象情報提供・注意喚起（自家発電機燃料及び備蓄品の確認等）</w:t>
            </w:r>
          </w:p>
          <w:p w14:paraId="1F8CCD6C" w14:textId="77777777" w:rsidR="0001205E" w:rsidRPr="001D6D10" w:rsidRDefault="0001205E" w:rsidP="00F35CFE">
            <w:pPr>
              <w:rPr>
                <w:rFonts w:ascii="HG丸ｺﾞｼｯｸM-PRO" w:eastAsia="HG丸ｺﾞｼｯｸM-PRO" w:hAnsi="HG丸ｺﾞｼｯｸM-PRO"/>
                <w:szCs w:val="21"/>
              </w:rPr>
            </w:pPr>
            <w:r w:rsidRPr="001D6D10">
              <w:rPr>
                <w:rFonts w:ascii="HG丸ｺﾞｼｯｸM-PRO" w:eastAsia="HG丸ｺﾞｼｯｸM-PRO" w:hAnsi="HG丸ｺﾞｼｯｸM-PRO" w:hint="eastAsia"/>
                <w:szCs w:val="21"/>
              </w:rPr>
              <w:t>□台風が府域内に上陸する旨の気象情報を踏まえ、自家発電機等の非常用設備の操作確認や備蓄物資の保管状況等の確認を行うよう、府内医療機関に対して大阪府救急・災害医療情報システムにより一斉連絡</w:t>
            </w:r>
          </w:p>
        </w:tc>
      </w:tr>
      <w:tr w:rsidR="001D6D10" w:rsidRPr="001D6D10" w14:paraId="0D482617" w14:textId="77777777" w:rsidTr="00F35CFE">
        <w:trPr>
          <w:jc w:val="center"/>
        </w:trPr>
        <w:tc>
          <w:tcPr>
            <w:tcW w:w="1457" w:type="dxa"/>
            <w:vMerge w:val="restart"/>
          </w:tcPr>
          <w:p w14:paraId="6EE66F6F" w14:textId="77777777" w:rsidR="00934E60" w:rsidRPr="001D6D10" w:rsidRDefault="00934E60" w:rsidP="00F35CFE">
            <w:pPr>
              <w:rPr>
                <w:rFonts w:ascii="HG丸ｺﾞｼｯｸM-PRO" w:eastAsia="HG丸ｺﾞｼｯｸM-PRO" w:hAnsi="HG丸ｺﾞｼｯｸM-PRO"/>
                <w:szCs w:val="21"/>
              </w:rPr>
            </w:pPr>
          </w:p>
          <w:p w14:paraId="194DF621" w14:textId="77777777" w:rsidR="00934E60" w:rsidRPr="001D6D10" w:rsidRDefault="00934E60" w:rsidP="00F35CFE">
            <w:pPr>
              <w:rPr>
                <w:rFonts w:ascii="HG丸ｺﾞｼｯｸM-PRO" w:eastAsia="HG丸ｺﾞｼｯｸM-PRO" w:hAnsi="HG丸ｺﾞｼｯｸM-PRO"/>
                <w:szCs w:val="21"/>
              </w:rPr>
            </w:pPr>
          </w:p>
          <w:p w14:paraId="5EE80CC1" w14:textId="77777777" w:rsidR="00934E60" w:rsidRPr="001D6D10" w:rsidRDefault="00934E60" w:rsidP="00F35CFE">
            <w:pPr>
              <w:rPr>
                <w:rFonts w:ascii="HG丸ｺﾞｼｯｸM-PRO" w:eastAsia="HG丸ｺﾞｼｯｸM-PRO" w:hAnsi="HG丸ｺﾞｼｯｸM-PRO"/>
                <w:szCs w:val="21"/>
              </w:rPr>
            </w:pPr>
          </w:p>
          <w:p w14:paraId="073E2DDF" w14:textId="77777777" w:rsidR="00934E60" w:rsidRPr="001D6D10" w:rsidRDefault="00934E60" w:rsidP="00F35CFE">
            <w:pPr>
              <w:rPr>
                <w:rFonts w:ascii="HG丸ｺﾞｼｯｸM-PRO" w:eastAsia="HG丸ｺﾞｼｯｸM-PRO" w:hAnsi="HG丸ｺﾞｼｯｸM-PRO"/>
                <w:szCs w:val="21"/>
              </w:rPr>
            </w:pPr>
          </w:p>
          <w:p w14:paraId="77726ABF" w14:textId="77777777" w:rsidR="00934E60" w:rsidRPr="001D6D10" w:rsidRDefault="00934E60" w:rsidP="00F35CFE">
            <w:pPr>
              <w:rPr>
                <w:rFonts w:ascii="HG丸ｺﾞｼｯｸM-PRO" w:eastAsia="HG丸ｺﾞｼｯｸM-PRO" w:hAnsi="HG丸ｺﾞｼｯｸM-PRO"/>
                <w:szCs w:val="21"/>
              </w:rPr>
            </w:pPr>
          </w:p>
          <w:p w14:paraId="7B761E10" w14:textId="77777777" w:rsidR="00934E60" w:rsidRPr="001D6D10" w:rsidRDefault="00934E60" w:rsidP="00F35CFE">
            <w:pPr>
              <w:rPr>
                <w:rFonts w:ascii="HG丸ｺﾞｼｯｸM-PRO" w:eastAsia="HG丸ｺﾞｼｯｸM-PRO" w:hAnsi="HG丸ｺﾞｼｯｸM-PRO"/>
                <w:szCs w:val="21"/>
              </w:rPr>
            </w:pPr>
          </w:p>
          <w:p w14:paraId="7D6C559A" w14:textId="77777777" w:rsidR="0001205E" w:rsidRPr="001D6D10" w:rsidRDefault="0001205E" w:rsidP="00F35CFE">
            <w:pPr>
              <w:rPr>
                <w:rFonts w:ascii="HG丸ｺﾞｼｯｸM-PRO" w:eastAsia="HG丸ｺﾞｼｯｸM-PRO" w:hAnsi="HG丸ｺﾞｼｯｸM-PRO"/>
                <w:szCs w:val="21"/>
              </w:rPr>
            </w:pPr>
            <w:r w:rsidRPr="001D6D10">
              <w:rPr>
                <w:rFonts w:ascii="HG丸ｺﾞｼｯｸM-PRO" w:eastAsia="HG丸ｺﾞｼｯｸM-PRO" w:hAnsi="HG丸ｺﾞｼｯｸM-PRO" w:hint="eastAsia"/>
                <w:szCs w:val="21"/>
              </w:rPr>
              <w:t>48ｈ前～</w:t>
            </w:r>
          </w:p>
          <w:p w14:paraId="401CF6A6" w14:textId="77777777" w:rsidR="0001205E" w:rsidRPr="001D6D10" w:rsidRDefault="0001205E" w:rsidP="00F35CFE">
            <w:pPr>
              <w:rPr>
                <w:rFonts w:ascii="HG丸ｺﾞｼｯｸM-PRO" w:eastAsia="HG丸ｺﾞｼｯｸM-PRO" w:hAnsi="HG丸ｺﾞｼｯｸM-PRO"/>
                <w:szCs w:val="21"/>
              </w:rPr>
            </w:pPr>
            <w:r w:rsidRPr="001D6D10">
              <w:rPr>
                <w:rFonts w:ascii="HG丸ｺﾞｼｯｸM-PRO" w:eastAsia="HG丸ｺﾞｼｯｸM-PRO" w:hAnsi="HG丸ｺﾞｼｯｸM-PRO" w:hint="eastAsia"/>
                <w:szCs w:val="21"/>
              </w:rPr>
              <w:t xml:space="preserve">　　24ｈ前</w:t>
            </w:r>
          </w:p>
          <w:p w14:paraId="322F01F7" w14:textId="77777777" w:rsidR="0001205E" w:rsidRPr="001D6D10" w:rsidRDefault="0001205E" w:rsidP="00F35CFE">
            <w:pPr>
              <w:rPr>
                <w:rFonts w:ascii="HG丸ｺﾞｼｯｸM-PRO" w:eastAsia="HG丸ｺﾞｼｯｸM-PRO" w:hAnsi="HG丸ｺﾞｼｯｸM-PRO"/>
                <w:szCs w:val="21"/>
              </w:rPr>
            </w:pPr>
            <w:r w:rsidRPr="001D6D10">
              <w:rPr>
                <w:rFonts w:ascii="HG丸ｺﾞｼｯｸM-PRO" w:eastAsia="HG丸ｺﾞｼｯｸM-PRO" w:hAnsi="HG丸ｺﾞｼｯｸM-PRO" w:hint="eastAsia"/>
                <w:szCs w:val="21"/>
              </w:rPr>
              <w:t>（２日前）</w:t>
            </w:r>
          </w:p>
        </w:tc>
        <w:tc>
          <w:tcPr>
            <w:tcW w:w="7037" w:type="dxa"/>
          </w:tcPr>
          <w:p w14:paraId="506B3B65" w14:textId="77777777" w:rsidR="0001205E" w:rsidRPr="001D6D10" w:rsidRDefault="0001205E" w:rsidP="00F35CFE">
            <w:pPr>
              <w:rPr>
                <w:rFonts w:ascii="HG丸ｺﾞｼｯｸM-PRO" w:eastAsia="HG丸ｺﾞｼｯｸM-PRO" w:hAnsi="HG丸ｺﾞｼｯｸM-PRO"/>
                <w:sz w:val="18"/>
                <w:szCs w:val="18"/>
              </w:rPr>
            </w:pPr>
            <w:r w:rsidRPr="001D6D10">
              <w:rPr>
                <w:rFonts w:ascii="HG丸ｺﾞｼｯｸM-PRO" w:eastAsia="HG丸ｺﾞｼｯｸM-PRO" w:hAnsi="HG丸ｺﾞｼｯｸM-PRO" w:hint="eastAsia"/>
                <w:szCs w:val="21"/>
              </w:rPr>
              <w:t>庁内連絡会議①：災害モード宣言の内容、第1回災害警戒本部会議の事前調整等</w:t>
            </w:r>
            <w:r w:rsidRPr="001D6D10">
              <w:rPr>
                <w:rFonts w:ascii="HG丸ｺﾞｼｯｸM-PRO" w:eastAsia="HG丸ｺﾞｼｯｸM-PRO" w:hAnsi="HG丸ｺﾞｼｯｸM-PRO" w:hint="eastAsia"/>
                <w:sz w:val="18"/>
                <w:szCs w:val="18"/>
              </w:rPr>
              <w:t>(警戒本部会議議題：管理施設の休館及び学校休校の検討、イベント等の中止検討、職員の配備態勢)</w:t>
            </w:r>
          </w:p>
          <w:p w14:paraId="3CD2634A" w14:textId="77777777" w:rsidR="000515D7" w:rsidRPr="001D6D10" w:rsidRDefault="000515D7" w:rsidP="000515D7">
            <w:pPr>
              <w:rPr>
                <w:rFonts w:ascii="HG丸ｺﾞｼｯｸM-PRO" w:eastAsia="HG丸ｺﾞｼｯｸM-PRO" w:hAnsi="HG丸ｺﾞｼｯｸM-PRO"/>
                <w:szCs w:val="21"/>
              </w:rPr>
            </w:pPr>
            <w:r w:rsidRPr="001D6D10">
              <w:rPr>
                <w:rFonts w:ascii="HG丸ｺﾞｼｯｸM-PRO" w:eastAsia="HG丸ｺﾞｼｯｸM-PRO" w:hAnsi="HG丸ｺﾞｼｯｸM-PRO" w:hint="eastAsia"/>
                <w:szCs w:val="21"/>
              </w:rPr>
              <w:t>□第１回災害警戒本部会議の事前準備</w:t>
            </w:r>
          </w:p>
          <w:p w14:paraId="6E37E04D" w14:textId="77777777" w:rsidR="000515D7" w:rsidRPr="001D6D10" w:rsidRDefault="000515D7" w:rsidP="000515D7">
            <w:pPr>
              <w:rPr>
                <w:rFonts w:ascii="HG丸ｺﾞｼｯｸM-PRO" w:eastAsia="HG丸ｺﾞｼｯｸM-PRO" w:hAnsi="HG丸ｺﾞｼｯｸM-PRO"/>
                <w:szCs w:val="21"/>
              </w:rPr>
            </w:pPr>
            <w:r w:rsidRPr="001D6D10">
              <w:rPr>
                <w:rFonts w:ascii="HG丸ｺﾞｼｯｸM-PRO" w:eastAsia="HG丸ｺﾞｼｯｸM-PRO" w:hAnsi="HG丸ｺﾞｼｯｸM-PRO" w:hint="eastAsia"/>
                <w:szCs w:val="21"/>
              </w:rPr>
              <w:t xml:space="preserve">　・部局内の対応状況の確認、会議での報告のとりまとめ</w:t>
            </w:r>
          </w:p>
          <w:p w14:paraId="70A4E2AE" w14:textId="77777777" w:rsidR="00335440" w:rsidRPr="001D6D10" w:rsidRDefault="000515D7" w:rsidP="00335440">
            <w:pPr>
              <w:rPr>
                <w:rFonts w:ascii="HG丸ｺﾞｼｯｸM-PRO" w:eastAsia="HG丸ｺﾞｼｯｸM-PRO" w:hAnsi="HG丸ｺﾞｼｯｸM-PRO"/>
                <w:szCs w:val="21"/>
              </w:rPr>
            </w:pPr>
            <w:r w:rsidRPr="001D6D10">
              <w:rPr>
                <w:rFonts w:ascii="HG丸ｺﾞｼｯｸM-PRO" w:eastAsia="HG丸ｺﾞｼｯｸM-PRO" w:hAnsi="HG丸ｺﾞｼｯｸM-PRO" w:hint="eastAsia"/>
                <w:szCs w:val="21"/>
              </w:rPr>
              <w:t xml:space="preserve">　・庁舎・所管施設の安全確認</w:t>
            </w:r>
          </w:p>
          <w:p w14:paraId="00991F08" w14:textId="77777777" w:rsidR="000515D7" w:rsidRPr="001D6D10" w:rsidRDefault="000515D7" w:rsidP="00335440">
            <w:pPr>
              <w:rPr>
                <w:rFonts w:ascii="HG丸ｺﾞｼｯｸM-PRO" w:eastAsia="HG丸ｺﾞｼｯｸM-PRO" w:hAnsi="HG丸ｺﾞｼｯｸM-PRO"/>
                <w:szCs w:val="21"/>
                <w:u w:val="single"/>
              </w:rPr>
            </w:pPr>
            <w:r w:rsidRPr="001D6D10">
              <w:rPr>
                <w:rFonts w:ascii="HG丸ｺﾞｼｯｸM-PRO" w:eastAsia="HG丸ｺﾞｼｯｸM-PRO" w:hAnsi="HG丸ｺﾞｼｯｸM-PRO" w:hint="eastAsia"/>
                <w:szCs w:val="21"/>
                <w:bdr w:val="single" w:sz="4" w:space="0" w:color="auto"/>
              </w:rPr>
              <w:t>台風説明会</w:t>
            </w:r>
          </w:p>
        </w:tc>
      </w:tr>
      <w:tr w:rsidR="001D6D10" w:rsidRPr="001D6D10" w14:paraId="1D4C0DBE" w14:textId="77777777" w:rsidTr="00F35CFE">
        <w:trPr>
          <w:jc w:val="center"/>
        </w:trPr>
        <w:tc>
          <w:tcPr>
            <w:tcW w:w="1457" w:type="dxa"/>
            <w:vMerge/>
          </w:tcPr>
          <w:p w14:paraId="23E9EBF8" w14:textId="77777777" w:rsidR="0001205E" w:rsidRPr="001D6D10" w:rsidRDefault="0001205E" w:rsidP="00F35CFE">
            <w:pPr>
              <w:rPr>
                <w:rFonts w:ascii="HG丸ｺﾞｼｯｸM-PRO" w:eastAsia="HG丸ｺﾞｼｯｸM-PRO" w:hAnsi="HG丸ｺﾞｼｯｸM-PRO"/>
                <w:szCs w:val="21"/>
              </w:rPr>
            </w:pPr>
          </w:p>
        </w:tc>
        <w:tc>
          <w:tcPr>
            <w:tcW w:w="7037" w:type="dxa"/>
          </w:tcPr>
          <w:p w14:paraId="600E3D21" w14:textId="77777777" w:rsidR="0001205E" w:rsidRPr="001D6D10" w:rsidRDefault="0001205E" w:rsidP="00F35CFE">
            <w:pPr>
              <w:rPr>
                <w:rFonts w:ascii="HG丸ｺﾞｼｯｸM-PRO" w:eastAsia="HG丸ｺﾞｼｯｸM-PRO" w:hAnsi="HG丸ｺﾞｼｯｸM-PRO"/>
                <w:szCs w:val="21"/>
                <w:highlight w:val="yellow"/>
              </w:rPr>
            </w:pPr>
            <w:r w:rsidRPr="001D6D10">
              <w:rPr>
                <w:rFonts w:ascii="HG丸ｺﾞｼｯｸM-PRO" w:eastAsia="HG丸ｺﾞｼｯｸM-PRO" w:hAnsi="HG丸ｺﾞｼｯｸM-PRO" w:hint="eastAsia"/>
                <w:b/>
                <w:szCs w:val="21"/>
                <w:highlight w:val="yellow"/>
              </w:rPr>
              <w:t>第1回災害警戒本部会議</w:t>
            </w:r>
            <w:r w:rsidRPr="001D6D10">
              <w:rPr>
                <w:rFonts w:ascii="HG丸ｺﾞｼｯｸM-PRO" w:eastAsia="HG丸ｺﾞｼｯｸM-PRO" w:hAnsi="HG丸ｺﾞｼｯｸM-PRO" w:hint="eastAsia"/>
                <w:szCs w:val="21"/>
                <w:highlight w:val="yellow"/>
              </w:rPr>
              <w:t>（災害モード宣言の内容検討）</w:t>
            </w:r>
            <w:r w:rsidR="00CB0ABF" w:rsidRPr="001D6D10">
              <w:rPr>
                <w:rFonts w:ascii="HG丸ｺﾞｼｯｸM-PRO" w:eastAsia="HG丸ｺﾞｼｯｸM-PRO" w:hAnsi="HG丸ｺﾞｼｯｸM-PRO" w:hint="eastAsia"/>
                <w:szCs w:val="21"/>
                <w:highlight w:val="yellow"/>
              </w:rPr>
              <w:t>（Ｐ47</w:t>
            </w:r>
            <w:r w:rsidR="0010145B" w:rsidRPr="001D6D10">
              <w:rPr>
                <w:rFonts w:ascii="HG丸ｺﾞｼｯｸM-PRO" w:eastAsia="HG丸ｺﾞｼｯｸM-PRO" w:hAnsi="HG丸ｺﾞｼｯｸM-PRO" w:hint="eastAsia"/>
                <w:szCs w:val="21"/>
                <w:highlight w:val="yellow"/>
              </w:rPr>
              <w:t>参照）</w:t>
            </w:r>
          </w:p>
        </w:tc>
      </w:tr>
      <w:tr w:rsidR="001D6D10" w:rsidRPr="001D6D10" w14:paraId="33089D54" w14:textId="77777777" w:rsidTr="00F35CFE">
        <w:trPr>
          <w:jc w:val="center"/>
        </w:trPr>
        <w:tc>
          <w:tcPr>
            <w:tcW w:w="1457" w:type="dxa"/>
            <w:vMerge/>
          </w:tcPr>
          <w:p w14:paraId="09B7FFA7" w14:textId="77777777" w:rsidR="0001205E" w:rsidRPr="001D6D10" w:rsidRDefault="0001205E" w:rsidP="00F35CFE">
            <w:pPr>
              <w:rPr>
                <w:rFonts w:ascii="HG丸ｺﾞｼｯｸM-PRO" w:eastAsia="HG丸ｺﾞｼｯｸM-PRO" w:hAnsi="HG丸ｺﾞｼｯｸM-PRO"/>
                <w:szCs w:val="21"/>
              </w:rPr>
            </w:pPr>
          </w:p>
        </w:tc>
        <w:tc>
          <w:tcPr>
            <w:tcW w:w="7037" w:type="dxa"/>
          </w:tcPr>
          <w:p w14:paraId="72D76409" w14:textId="77777777" w:rsidR="0001205E" w:rsidRPr="001D6D10" w:rsidRDefault="0001205E" w:rsidP="00F35CFE">
            <w:pPr>
              <w:ind w:left="211" w:hangingChars="100" w:hanging="211"/>
              <w:rPr>
                <w:rFonts w:ascii="HG丸ｺﾞｼｯｸM-PRO" w:eastAsia="HG丸ｺﾞｼｯｸM-PRO" w:hAnsi="HG丸ｺﾞｼｯｸM-PRO"/>
                <w:szCs w:val="21"/>
              </w:rPr>
            </w:pPr>
            <w:r w:rsidRPr="001D6D10">
              <w:rPr>
                <w:rFonts w:ascii="HG丸ｺﾞｼｯｸM-PRO" w:eastAsia="HG丸ｺﾞｼｯｸM-PRO" w:hAnsi="HG丸ｺﾞｼｯｸM-PRO" w:hint="eastAsia"/>
                <w:szCs w:val="21"/>
              </w:rPr>
              <w:t>□危機管理室からの情報に基づき、部局内・関係機関・出先機関・管理施</w:t>
            </w:r>
          </w:p>
          <w:p w14:paraId="4C259A37" w14:textId="77777777" w:rsidR="0001205E" w:rsidRPr="001D6D10" w:rsidRDefault="0001205E" w:rsidP="00F35CFE">
            <w:pPr>
              <w:ind w:left="211" w:hangingChars="100" w:hanging="211"/>
              <w:rPr>
                <w:rFonts w:ascii="HG丸ｺﾞｼｯｸM-PRO" w:eastAsia="HG丸ｺﾞｼｯｸM-PRO" w:hAnsi="HG丸ｺﾞｼｯｸM-PRO"/>
                <w:szCs w:val="21"/>
              </w:rPr>
            </w:pPr>
            <w:r w:rsidRPr="001D6D10">
              <w:rPr>
                <w:rFonts w:ascii="HG丸ｺﾞｼｯｸM-PRO" w:eastAsia="HG丸ｺﾞｼｯｸM-PRO" w:hAnsi="HG丸ｺﾞｼｯｸM-PRO" w:hint="eastAsia"/>
                <w:szCs w:val="21"/>
              </w:rPr>
              <w:t>設への気象情報提供・注意喚起</w:t>
            </w:r>
          </w:p>
          <w:p w14:paraId="599A0E04" w14:textId="77777777" w:rsidR="00A2101B" w:rsidRPr="001D6D10" w:rsidRDefault="00A2101B" w:rsidP="00A2101B">
            <w:pPr>
              <w:rPr>
                <w:rFonts w:ascii="HG丸ｺﾞｼｯｸM-PRO" w:eastAsia="HG丸ｺﾞｼｯｸM-PRO" w:hAnsi="HG丸ｺﾞｼｯｸM-PRO"/>
                <w:szCs w:val="21"/>
              </w:rPr>
            </w:pPr>
            <w:r w:rsidRPr="001D6D10">
              <w:rPr>
                <w:rFonts w:ascii="HG丸ｺﾞｼｯｸM-PRO" w:eastAsia="HG丸ｺﾞｼｯｸM-PRO" w:hAnsi="HG丸ｺﾞｼｯｸM-PRO" w:hint="eastAsia"/>
                <w:szCs w:val="21"/>
              </w:rPr>
              <w:t>□感染症情報等の把握</w:t>
            </w:r>
          </w:p>
          <w:p w14:paraId="061887B9" w14:textId="77777777" w:rsidR="005A0125" w:rsidRPr="001D6D10" w:rsidRDefault="005A0125" w:rsidP="005A0125">
            <w:pPr>
              <w:rPr>
                <w:rFonts w:ascii="HG丸ｺﾞｼｯｸM-PRO" w:eastAsia="HG丸ｺﾞｼｯｸM-PRO" w:hAnsi="HG丸ｺﾞｼｯｸM-PRO"/>
                <w:szCs w:val="21"/>
              </w:rPr>
            </w:pPr>
            <w:r w:rsidRPr="001D6D10">
              <w:rPr>
                <w:rFonts w:ascii="HG丸ｺﾞｼｯｸM-PRO" w:eastAsia="HG丸ｺﾞｼｯｸM-PRO" w:hAnsi="HG丸ｺﾞｼｯｸM-PRO" w:hint="eastAsia"/>
                <w:szCs w:val="21"/>
              </w:rPr>
              <w:t>□公共交通機関計画運休の確認</w:t>
            </w:r>
          </w:p>
          <w:p w14:paraId="761B76A1" w14:textId="77777777" w:rsidR="0001205E" w:rsidRPr="001D6D10" w:rsidRDefault="0001205E" w:rsidP="00F35CFE">
            <w:pPr>
              <w:ind w:left="211" w:hangingChars="100" w:hanging="211"/>
              <w:rPr>
                <w:rFonts w:ascii="HG丸ｺﾞｼｯｸM-PRO" w:eastAsia="HG丸ｺﾞｼｯｸM-PRO" w:hAnsi="HG丸ｺﾞｼｯｸM-PRO"/>
                <w:szCs w:val="21"/>
              </w:rPr>
            </w:pPr>
            <w:r w:rsidRPr="001D6D10">
              <w:rPr>
                <w:rFonts w:ascii="HG丸ｺﾞｼｯｸM-PRO" w:eastAsia="HG丸ｺﾞｼｯｸM-PRO" w:hAnsi="HG丸ｺﾞｼｯｸM-PRO" w:hint="eastAsia"/>
                <w:szCs w:val="21"/>
              </w:rPr>
              <w:t>□危機管理室からの情報に基づき、職員体配備制の確認・確保</w:t>
            </w:r>
          </w:p>
          <w:p w14:paraId="16A3080F" w14:textId="77777777" w:rsidR="0001205E" w:rsidRPr="001D6D10" w:rsidRDefault="0001205E" w:rsidP="00F35CFE">
            <w:pPr>
              <w:ind w:left="211" w:hangingChars="100" w:hanging="211"/>
              <w:rPr>
                <w:rFonts w:ascii="HG丸ｺﾞｼｯｸM-PRO" w:eastAsia="HG丸ｺﾞｼｯｸM-PRO" w:hAnsi="HG丸ｺﾞｼｯｸM-PRO"/>
                <w:szCs w:val="21"/>
              </w:rPr>
            </w:pPr>
            <w:r w:rsidRPr="001D6D10">
              <w:rPr>
                <w:rFonts w:ascii="HG丸ｺﾞｼｯｸM-PRO" w:eastAsia="HG丸ｺﾞｼｯｸM-PRO" w:hAnsi="HG丸ｺﾞｼｯｸM-PRO" w:hint="eastAsia"/>
                <w:szCs w:val="21"/>
              </w:rPr>
              <w:t xml:space="preserve">□各種防災協定の確認　</w:t>
            </w:r>
          </w:p>
          <w:p w14:paraId="0778EDD0" w14:textId="77777777" w:rsidR="0001205E" w:rsidRPr="001D6D10" w:rsidRDefault="0001205E" w:rsidP="00F35CFE">
            <w:pPr>
              <w:rPr>
                <w:rFonts w:ascii="HG丸ｺﾞｼｯｸM-PRO" w:eastAsia="HG丸ｺﾞｼｯｸM-PRO" w:hAnsi="HG丸ｺﾞｼｯｸM-PRO"/>
                <w:szCs w:val="21"/>
              </w:rPr>
            </w:pPr>
            <w:r w:rsidRPr="001D6D10">
              <w:rPr>
                <w:rFonts w:ascii="HG丸ｺﾞｼｯｸM-PRO" w:eastAsia="HG丸ｺﾞｼｯｸM-PRO" w:hAnsi="HG丸ｺﾞｼｯｸM-PRO" w:hint="eastAsia"/>
                <w:szCs w:val="21"/>
              </w:rPr>
              <w:t>□所管施設の安全確認</w:t>
            </w:r>
          </w:p>
          <w:p w14:paraId="4547E72E" w14:textId="74550B03" w:rsidR="0001205E" w:rsidRPr="001D6D10" w:rsidRDefault="0001205E" w:rsidP="00F35CFE">
            <w:pPr>
              <w:ind w:left="211" w:hangingChars="100" w:hanging="211"/>
              <w:rPr>
                <w:rFonts w:ascii="HG丸ｺﾞｼｯｸM-PRO" w:eastAsia="HG丸ｺﾞｼｯｸM-PRO" w:hAnsi="HG丸ｺﾞｼｯｸM-PRO"/>
                <w:szCs w:val="21"/>
              </w:rPr>
            </w:pPr>
            <w:r w:rsidRPr="001D6D10">
              <w:rPr>
                <w:rFonts w:ascii="HG丸ｺﾞｼｯｸM-PRO" w:eastAsia="HG丸ｺﾞｼｯｸM-PRO" w:hAnsi="HG丸ｺﾞｼｯｸM-PRO" w:hint="eastAsia"/>
                <w:szCs w:val="21"/>
              </w:rPr>
              <w:t>□水道事業体への</w:t>
            </w:r>
            <w:r w:rsidR="008D1344" w:rsidRPr="00D705BF">
              <w:rPr>
                <w:rFonts w:ascii="HG丸ｺﾞｼｯｸM-PRO" w:eastAsia="HG丸ｺﾞｼｯｸM-PRO" w:hAnsi="HG丸ｺﾞｼｯｸM-PRO" w:hint="eastAsia"/>
                <w:szCs w:val="21"/>
              </w:rPr>
              <w:t>応急復旧や応急給水活動等の事前準備・再確認</w:t>
            </w:r>
            <w:r w:rsidRPr="001D6D10">
              <w:rPr>
                <w:rFonts w:ascii="HG丸ｺﾞｼｯｸM-PRO" w:eastAsia="HG丸ｺﾞｼｯｸM-PRO" w:hAnsi="HG丸ｺﾞｼｯｸM-PRO" w:hint="eastAsia"/>
                <w:szCs w:val="21"/>
              </w:rPr>
              <w:t>要請</w:t>
            </w:r>
          </w:p>
          <w:p w14:paraId="727CA666" w14:textId="77777777" w:rsidR="0001205E" w:rsidRPr="001D6D10" w:rsidRDefault="0001205E" w:rsidP="00F35CFE">
            <w:pPr>
              <w:rPr>
                <w:rFonts w:ascii="HG丸ｺﾞｼｯｸM-PRO" w:eastAsia="HG丸ｺﾞｼｯｸM-PRO" w:hAnsi="HG丸ｺﾞｼｯｸM-PRO"/>
                <w:szCs w:val="21"/>
              </w:rPr>
            </w:pPr>
            <w:r w:rsidRPr="001D6D10">
              <w:rPr>
                <w:rFonts w:ascii="HG丸ｺﾞｼｯｸM-PRO" w:eastAsia="HG丸ｺﾞｼｯｸM-PRO" w:hAnsi="HG丸ｺﾞｼｯｸM-PRO" w:hint="eastAsia"/>
                <w:szCs w:val="21"/>
              </w:rPr>
              <w:t>□台風により設備の損傷や停電等により影響が生じた場合の連絡方法について、府内医療機関に対して大阪府救急・災害医療情報システムにより一斉連絡</w:t>
            </w:r>
          </w:p>
        </w:tc>
      </w:tr>
      <w:tr w:rsidR="001D6D10" w:rsidRPr="001D6D10" w14:paraId="252A92B9" w14:textId="77777777" w:rsidTr="00F35CFE">
        <w:trPr>
          <w:jc w:val="center"/>
        </w:trPr>
        <w:tc>
          <w:tcPr>
            <w:tcW w:w="1457" w:type="dxa"/>
            <w:vMerge w:val="restart"/>
          </w:tcPr>
          <w:p w14:paraId="6C88662C" w14:textId="77777777" w:rsidR="0001205E" w:rsidRPr="001D6D10" w:rsidRDefault="0001205E" w:rsidP="00F35CFE">
            <w:pPr>
              <w:rPr>
                <w:rFonts w:ascii="HG丸ｺﾞｼｯｸM-PRO" w:eastAsia="HG丸ｺﾞｼｯｸM-PRO" w:hAnsi="HG丸ｺﾞｼｯｸM-PRO"/>
                <w:szCs w:val="21"/>
              </w:rPr>
            </w:pPr>
            <w:r w:rsidRPr="001D6D10">
              <w:rPr>
                <w:rFonts w:ascii="HG丸ｺﾞｼｯｸM-PRO" w:eastAsia="HG丸ｺﾞｼｯｸM-PRO" w:hAnsi="HG丸ｺﾞｼｯｸM-PRO" w:hint="eastAsia"/>
                <w:szCs w:val="21"/>
              </w:rPr>
              <w:t>24ｈ前～</w:t>
            </w:r>
          </w:p>
          <w:p w14:paraId="47C48AD6" w14:textId="77777777" w:rsidR="0001205E" w:rsidRPr="001D6D10" w:rsidRDefault="0001205E" w:rsidP="00F35CFE">
            <w:pPr>
              <w:rPr>
                <w:rFonts w:ascii="HG丸ｺﾞｼｯｸM-PRO" w:eastAsia="HG丸ｺﾞｼｯｸM-PRO" w:hAnsi="HG丸ｺﾞｼｯｸM-PRO"/>
                <w:szCs w:val="21"/>
              </w:rPr>
            </w:pPr>
            <w:r w:rsidRPr="001D6D10">
              <w:rPr>
                <w:rFonts w:ascii="HG丸ｺﾞｼｯｸM-PRO" w:eastAsia="HG丸ｺﾞｼｯｸM-PRO" w:hAnsi="HG丸ｺﾞｼｯｸM-PRO" w:hint="eastAsia"/>
                <w:szCs w:val="21"/>
              </w:rPr>
              <w:t xml:space="preserve">　　最接近</w:t>
            </w:r>
          </w:p>
          <w:p w14:paraId="5A0F2076" w14:textId="77777777" w:rsidR="0001205E" w:rsidRPr="001D6D10" w:rsidRDefault="0001205E" w:rsidP="00F35CFE">
            <w:pPr>
              <w:rPr>
                <w:rFonts w:ascii="HG丸ｺﾞｼｯｸM-PRO" w:eastAsia="HG丸ｺﾞｼｯｸM-PRO" w:hAnsi="HG丸ｺﾞｼｯｸM-PRO"/>
                <w:szCs w:val="21"/>
              </w:rPr>
            </w:pPr>
            <w:r w:rsidRPr="001D6D10">
              <w:rPr>
                <w:rFonts w:ascii="HG丸ｺﾞｼｯｸM-PRO" w:eastAsia="HG丸ｺﾞｼｯｸM-PRO" w:hAnsi="HG丸ｺﾞｼｯｸM-PRO" w:hint="eastAsia"/>
                <w:szCs w:val="21"/>
              </w:rPr>
              <w:lastRenderedPageBreak/>
              <w:t>（１日前）</w:t>
            </w:r>
          </w:p>
        </w:tc>
        <w:tc>
          <w:tcPr>
            <w:tcW w:w="7037" w:type="dxa"/>
          </w:tcPr>
          <w:p w14:paraId="115D3E37" w14:textId="77777777" w:rsidR="0001205E" w:rsidRPr="001D6D10" w:rsidRDefault="0001205E" w:rsidP="00F35CFE">
            <w:pPr>
              <w:rPr>
                <w:rFonts w:ascii="HG丸ｺﾞｼｯｸM-PRO" w:eastAsia="HG丸ｺﾞｼｯｸM-PRO" w:hAnsi="HG丸ｺﾞｼｯｸM-PRO"/>
                <w:szCs w:val="21"/>
              </w:rPr>
            </w:pPr>
            <w:r w:rsidRPr="001D6D10">
              <w:rPr>
                <w:rFonts w:ascii="HG丸ｺﾞｼｯｸM-PRO" w:eastAsia="HG丸ｺﾞｼｯｸM-PRO" w:hAnsi="HG丸ｺﾞｼｯｸM-PRO" w:hint="eastAsia"/>
                <w:szCs w:val="21"/>
              </w:rPr>
              <w:lastRenderedPageBreak/>
              <w:t>庁内連絡会議②：第2回災害警戒本部会議の事前調整等</w:t>
            </w:r>
          </w:p>
          <w:p w14:paraId="4128744F" w14:textId="77777777" w:rsidR="000515D7" w:rsidRPr="001D6D10" w:rsidRDefault="000515D7" w:rsidP="000515D7">
            <w:pPr>
              <w:rPr>
                <w:rFonts w:ascii="HG丸ｺﾞｼｯｸM-PRO" w:eastAsia="HG丸ｺﾞｼｯｸM-PRO" w:hAnsi="HG丸ｺﾞｼｯｸM-PRO"/>
                <w:szCs w:val="21"/>
              </w:rPr>
            </w:pPr>
            <w:r w:rsidRPr="001D6D10">
              <w:rPr>
                <w:rFonts w:ascii="HG丸ｺﾞｼｯｸM-PRO" w:eastAsia="HG丸ｺﾞｼｯｸM-PRO" w:hAnsi="HG丸ｺﾞｼｯｸM-PRO" w:hint="eastAsia"/>
                <w:szCs w:val="21"/>
              </w:rPr>
              <w:t>□第２回災害警戒本部会議の事前準備</w:t>
            </w:r>
          </w:p>
          <w:p w14:paraId="4802DA9B" w14:textId="77777777" w:rsidR="000515D7" w:rsidRPr="001D6D10" w:rsidRDefault="000515D7" w:rsidP="000515D7">
            <w:pPr>
              <w:rPr>
                <w:rFonts w:ascii="HG丸ｺﾞｼｯｸM-PRO" w:eastAsia="HG丸ｺﾞｼｯｸM-PRO" w:hAnsi="HG丸ｺﾞｼｯｸM-PRO"/>
                <w:szCs w:val="21"/>
              </w:rPr>
            </w:pPr>
            <w:r w:rsidRPr="001D6D10">
              <w:rPr>
                <w:rFonts w:ascii="HG丸ｺﾞｼｯｸM-PRO" w:eastAsia="HG丸ｺﾞｼｯｸM-PRO" w:hAnsi="HG丸ｺﾞｼｯｸM-PRO" w:hint="eastAsia"/>
                <w:szCs w:val="21"/>
              </w:rPr>
              <w:lastRenderedPageBreak/>
              <w:t xml:space="preserve">　・部局内</w:t>
            </w:r>
            <w:r w:rsidR="00A2101B" w:rsidRPr="001D6D10">
              <w:rPr>
                <w:rFonts w:ascii="HG丸ｺﾞｼｯｸM-PRO" w:eastAsia="HG丸ｺﾞｼｯｸM-PRO" w:hAnsi="HG丸ｺﾞｼｯｸM-PRO" w:hint="eastAsia"/>
                <w:szCs w:val="21"/>
              </w:rPr>
              <w:t>の</w:t>
            </w:r>
            <w:r w:rsidRPr="001D6D10">
              <w:rPr>
                <w:rFonts w:ascii="HG丸ｺﾞｼｯｸM-PRO" w:eastAsia="HG丸ｺﾞｼｯｸM-PRO" w:hAnsi="HG丸ｺﾞｼｯｸM-PRO" w:hint="eastAsia"/>
                <w:szCs w:val="21"/>
              </w:rPr>
              <w:t>対応状況の確認、会議での報告のとりまとめ</w:t>
            </w:r>
          </w:p>
          <w:p w14:paraId="30895955" w14:textId="77777777" w:rsidR="00335440" w:rsidRPr="001D6D10" w:rsidRDefault="00A2101B" w:rsidP="00335440">
            <w:pPr>
              <w:rPr>
                <w:rFonts w:ascii="HG丸ｺﾞｼｯｸM-PRO" w:eastAsia="HG丸ｺﾞｼｯｸM-PRO" w:hAnsi="HG丸ｺﾞｼｯｸM-PRO"/>
                <w:szCs w:val="21"/>
              </w:rPr>
            </w:pPr>
            <w:r w:rsidRPr="001D6D10">
              <w:rPr>
                <w:rFonts w:ascii="HG丸ｺﾞｼｯｸM-PRO" w:eastAsia="HG丸ｺﾞｼｯｸM-PRO" w:hAnsi="HG丸ｺﾞｼｯｸM-PRO" w:hint="eastAsia"/>
                <w:szCs w:val="21"/>
              </w:rPr>
              <w:t xml:space="preserve">　</w:t>
            </w:r>
            <w:r w:rsidR="000515D7" w:rsidRPr="001D6D10">
              <w:rPr>
                <w:rFonts w:ascii="HG丸ｺﾞｼｯｸM-PRO" w:eastAsia="HG丸ｺﾞｼｯｸM-PRO" w:hAnsi="HG丸ｺﾞｼｯｸM-PRO" w:hint="eastAsia"/>
                <w:szCs w:val="21"/>
              </w:rPr>
              <w:t>・庁舎・所管施設の安全点検</w:t>
            </w:r>
          </w:p>
          <w:p w14:paraId="2034D05F" w14:textId="77777777" w:rsidR="000515D7" w:rsidRPr="001D6D10" w:rsidRDefault="000515D7" w:rsidP="00335440">
            <w:pPr>
              <w:rPr>
                <w:rFonts w:ascii="HG丸ｺﾞｼｯｸM-PRO" w:eastAsia="HG丸ｺﾞｼｯｸM-PRO" w:hAnsi="HG丸ｺﾞｼｯｸM-PRO"/>
                <w:szCs w:val="21"/>
              </w:rPr>
            </w:pPr>
            <w:r w:rsidRPr="001D6D10">
              <w:rPr>
                <w:rFonts w:ascii="HG丸ｺﾞｼｯｸM-PRO" w:eastAsia="HG丸ｺﾞｼｯｸM-PRO" w:hAnsi="HG丸ｺﾞｼｯｸM-PRO" w:hint="eastAsia"/>
                <w:szCs w:val="21"/>
                <w:bdr w:val="single" w:sz="4" w:space="0" w:color="auto"/>
              </w:rPr>
              <w:t>台風説明会</w:t>
            </w:r>
          </w:p>
        </w:tc>
      </w:tr>
      <w:tr w:rsidR="001D6D10" w:rsidRPr="001D6D10" w14:paraId="560CB64F" w14:textId="77777777" w:rsidTr="00F35CFE">
        <w:trPr>
          <w:jc w:val="center"/>
        </w:trPr>
        <w:tc>
          <w:tcPr>
            <w:tcW w:w="1457" w:type="dxa"/>
            <w:vMerge/>
          </w:tcPr>
          <w:p w14:paraId="6D4B7E40" w14:textId="77777777" w:rsidR="0001205E" w:rsidRPr="001D6D10" w:rsidRDefault="0001205E" w:rsidP="00F35CFE">
            <w:pPr>
              <w:rPr>
                <w:rFonts w:ascii="HG丸ｺﾞｼｯｸM-PRO" w:eastAsia="HG丸ｺﾞｼｯｸM-PRO" w:hAnsi="HG丸ｺﾞｼｯｸM-PRO"/>
                <w:szCs w:val="21"/>
              </w:rPr>
            </w:pPr>
          </w:p>
        </w:tc>
        <w:tc>
          <w:tcPr>
            <w:tcW w:w="7037" w:type="dxa"/>
          </w:tcPr>
          <w:p w14:paraId="04373C30" w14:textId="77777777" w:rsidR="0001205E" w:rsidRPr="001D6D10" w:rsidRDefault="0001205E" w:rsidP="00F35CFE">
            <w:pPr>
              <w:rPr>
                <w:rFonts w:ascii="HG丸ｺﾞｼｯｸM-PRO" w:eastAsia="HG丸ｺﾞｼｯｸM-PRO" w:hAnsi="HG丸ｺﾞｼｯｸM-PRO"/>
                <w:szCs w:val="21"/>
                <w:highlight w:val="yellow"/>
              </w:rPr>
            </w:pPr>
            <w:r w:rsidRPr="001D6D10">
              <w:rPr>
                <w:rFonts w:ascii="HG丸ｺﾞｼｯｸM-PRO" w:eastAsia="HG丸ｺﾞｼｯｸM-PRO" w:hAnsi="HG丸ｺﾞｼｯｸM-PRO" w:hint="eastAsia"/>
                <w:b/>
                <w:szCs w:val="21"/>
                <w:highlight w:val="yellow"/>
              </w:rPr>
              <w:t>第２回災害警戒本部会議</w:t>
            </w:r>
            <w:r w:rsidRPr="001D6D10">
              <w:rPr>
                <w:rFonts w:ascii="HG丸ｺﾞｼｯｸM-PRO" w:eastAsia="HG丸ｺﾞｼｯｸM-PRO" w:hAnsi="HG丸ｺﾞｼｯｸM-PRO" w:hint="eastAsia"/>
                <w:szCs w:val="21"/>
                <w:highlight w:val="yellow"/>
              </w:rPr>
              <w:t>（災害モード宣言の発信）</w:t>
            </w:r>
            <w:r w:rsidR="00CB0ABF" w:rsidRPr="001D6D10">
              <w:rPr>
                <w:rFonts w:ascii="HG丸ｺﾞｼｯｸM-PRO" w:eastAsia="HG丸ｺﾞｼｯｸM-PRO" w:hAnsi="HG丸ｺﾞｼｯｸM-PRO" w:hint="eastAsia"/>
                <w:szCs w:val="21"/>
                <w:highlight w:val="yellow"/>
              </w:rPr>
              <w:t>（Ｐ47</w:t>
            </w:r>
            <w:r w:rsidR="0010145B" w:rsidRPr="001D6D10">
              <w:rPr>
                <w:rFonts w:ascii="HG丸ｺﾞｼｯｸM-PRO" w:eastAsia="HG丸ｺﾞｼｯｸM-PRO" w:hAnsi="HG丸ｺﾞｼｯｸM-PRO" w:hint="eastAsia"/>
                <w:szCs w:val="21"/>
                <w:highlight w:val="yellow"/>
              </w:rPr>
              <w:t>参照）</w:t>
            </w:r>
          </w:p>
        </w:tc>
      </w:tr>
      <w:tr w:rsidR="001D6D10" w:rsidRPr="00E0548A" w14:paraId="51FFFCDD" w14:textId="77777777" w:rsidTr="00F35CFE">
        <w:trPr>
          <w:jc w:val="center"/>
        </w:trPr>
        <w:tc>
          <w:tcPr>
            <w:tcW w:w="1457" w:type="dxa"/>
            <w:vMerge/>
          </w:tcPr>
          <w:p w14:paraId="40BAC95E" w14:textId="77777777" w:rsidR="0001205E" w:rsidRPr="001D6D10" w:rsidRDefault="0001205E" w:rsidP="00F35CFE">
            <w:pPr>
              <w:rPr>
                <w:rFonts w:ascii="HG丸ｺﾞｼｯｸM-PRO" w:eastAsia="HG丸ｺﾞｼｯｸM-PRO" w:hAnsi="HG丸ｺﾞｼｯｸM-PRO"/>
                <w:szCs w:val="21"/>
              </w:rPr>
            </w:pPr>
          </w:p>
        </w:tc>
        <w:tc>
          <w:tcPr>
            <w:tcW w:w="7037" w:type="dxa"/>
          </w:tcPr>
          <w:p w14:paraId="58CBFEBA" w14:textId="77777777" w:rsidR="005A0125" w:rsidRPr="00E0548A" w:rsidRDefault="005A0125" w:rsidP="005A0125">
            <w:pPr>
              <w:rPr>
                <w:rFonts w:ascii="HG丸ｺﾞｼｯｸM-PRO" w:eastAsia="HG丸ｺﾞｼｯｸM-PRO" w:hAnsi="HG丸ｺﾞｼｯｸM-PRO"/>
                <w:szCs w:val="21"/>
              </w:rPr>
            </w:pPr>
            <w:r w:rsidRPr="00E0548A">
              <w:rPr>
                <w:rFonts w:ascii="HG丸ｺﾞｼｯｸM-PRO" w:eastAsia="HG丸ｺﾞｼｯｸM-PRO" w:hAnsi="HG丸ｺﾞｼｯｸM-PRO" w:hint="eastAsia"/>
                <w:szCs w:val="21"/>
              </w:rPr>
              <w:t>□危機管理室からの情報を関係者で共有</w:t>
            </w:r>
          </w:p>
          <w:p w14:paraId="24F80EC6" w14:textId="77777777" w:rsidR="00A2101B" w:rsidRPr="00E0548A" w:rsidRDefault="00A2101B" w:rsidP="00A2101B">
            <w:pPr>
              <w:rPr>
                <w:rFonts w:ascii="HG丸ｺﾞｼｯｸM-PRO" w:eastAsia="HG丸ｺﾞｼｯｸM-PRO" w:hAnsi="HG丸ｺﾞｼｯｸM-PRO"/>
                <w:szCs w:val="21"/>
              </w:rPr>
            </w:pPr>
            <w:r w:rsidRPr="00E0548A">
              <w:rPr>
                <w:rFonts w:ascii="HG丸ｺﾞｼｯｸM-PRO" w:eastAsia="HG丸ｺﾞｼｯｸM-PRO" w:hAnsi="HG丸ｺﾞｼｯｸM-PRO" w:hint="eastAsia"/>
                <w:szCs w:val="21"/>
              </w:rPr>
              <w:t>□感染症情報等の把握</w:t>
            </w:r>
          </w:p>
          <w:p w14:paraId="5B5B764E" w14:textId="77777777" w:rsidR="0001205E" w:rsidRPr="00E0548A" w:rsidRDefault="0001205E" w:rsidP="00F35CFE">
            <w:pPr>
              <w:ind w:left="211" w:hangingChars="100" w:hanging="211"/>
              <w:rPr>
                <w:rFonts w:ascii="HG丸ｺﾞｼｯｸM-PRO" w:eastAsia="HG丸ｺﾞｼｯｸM-PRO" w:hAnsi="HG丸ｺﾞｼｯｸM-PRO"/>
                <w:szCs w:val="21"/>
              </w:rPr>
            </w:pPr>
            <w:r w:rsidRPr="00E0548A">
              <w:rPr>
                <w:rFonts w:ascii="HG丸ｺﾞｼｯｸM-PRO" w:eastAsia="HG丸ｺﾞｼｯｸM-PRO" w:hAnsi="HG丸ｺﾞｼｯｸM-PRO" w:hint="eastAsia"/>
                <w:szCs w:val="21"/>
              </w:rPr>
              <w:t>□関係機関・出先機関・管理施設への気象情報提供・注意喚起、事前対策</w:t>
            </w:r>
          </w:p>
          <w:p w14:paraId="5ED666E6" w14:textId="77777777" w:rsidR="0001205E" w:rsidRPr="00E0548A" w:rsidRDefault="0001205E" w:rsidP="00F35CFE">
            <w:pPr>
              <w:ind w:left="211" w:hangingChars="100" w:hanging="211"/>
              <w:rPr>
                <w:rFonts w:ascii="HG丸ｺﾞｼｯｸM-PRO" w:eastAsia="HG丸ｺﾞｼｯｸM-PRO" w:hAnsi="HG丸ｺﾞｼｯｸM-PRO"/>
                <w:szCs w:val="21"/>
              </w:rPr>
            </w:pPr>
            <w:r w:rsidRPr="00E0548A">
              <w:rPr>
                <w:rFonts w:ascii="HG丸ｺﾞｼｯｸM-PRO" w:eastAsia="HG丸ｺﾞｼｯｸM-PRO" w:hAnsi="HG丸ｺﾞｼｯｸM-PRO" w:hint="eastAsia"/>
                <w:szCs w:val="21"/>
              </w:rPr>
              <w:t>依頼</w:t>
            </w:r>
          </w:p>
          <w:p w14:paraId="62367A37" w14:textId="77777777" w:rsidR="0001205E" w:rsidRPr="00E0548A" w:rsidRDefault="0001205E" w:rsidP="00F35CFE">
            <w:pPr>
              <w:ind w:left="211" w:hangingChars="100" w:hanging="211"/>
              <w:rPr>
                <w:rFonts w:ascii="HG丸ｺﾞｼｯｸM-PRO" w:eastAsia="HG丸ｺﾞｼｯｸM-PRO" w:hAnsi="HG丸ｺﾞｼｯｸM-PRO"/>
                <w:szCs w:val="21"/>
              </w:rPr>
            </w:pPr>
            <w:r w:rsidRPr="00E0548A">
              <w:rPr>
                <w:rFonts w:ascii="HG丸ｺﾞｼｯｸM-PRO" w:eastAsia="HG丸ｺﾞｼｯｸM-PRO" w:hAnsi="HG丸ｺﾞｼｯｸM-PRO" w:hint="eastAsia"/>
                <w:szCs w:val="21"/>
              </w:rPr>
              <w:t xml:space="preserve">□所管施設の安全点検　 </w:t>
            </w:r>
          </w:p>
          <w:p w14:paraId="5EFB8910" w14:textId="77777777" w:rsidR="0001205E" w:rsidRPr="00E0548A" w:rsidRDefault="0001205E" w:rsidP="00F35CFE">
            <w:pPr>
              <w:ind w:left="211" w:hangingChars="100" w:hanging="211"/>
              <w:rPr>
                <w:rFonts w:ascii="HG丸ｺﾞｼｯｸM-PRO" w:eastAsia="HG丸ｺﾞｼｯｸM-PRO" w:hAnsi="HG丸ｺﾞｼｯｸM-PRO"/>
                <w:szCs w:val="21"/>
              </w:rPr>
            </w:pPr>
            <w:r w:rsidRPr="00E0548A">
              <w:rPr>
                <w:rFonts w:ascii="HG丸ｺﾞｼｯｸM-PRO" w:eastAsia="HG丸ｺﾞｼｯｸM-PRO" w:hAnsi="HG丸ｺﾞｼｯｸM-PRO" w:hint="eastAsia"/>
                <w:szCs w:val="21"/>
              </w:rPr>
              <w:t>□災害モード宣言が発信されたことを受け、大阪府救急・災害医療情報</w:t>
            </w:r>
          </w:p>
          <w:p w14:paraId="72C61907" w14:textId="77777777" w:rsidR="0001205E" w:rsidRPr="00E0548A" w:rsidRDefault="0001205E" w:rsidP="00F35CFE">
            <w:pPr>
              <w:ind w:left="211" w:hangingChars="100" w:hanging="211"/>
              <w:rPr>
                <w:rFonts w:ascii="HG丸ｺﾞｼｯｸM-PRO" w:eastAsia="HG丸ｺﾞｼｯｸM-PRO" w:hAnsi="HG丸ｺﾞｼｯｸM-PRO"/>
                <w:szCs w:val="21"/>
              </w:rPr>
            </w:pPr>
            <w:r w:rsidRPr="00E0548A">
              <w:rPr>
                <w:rFonts w:ascii="HG丸ｺﾞｼｯｸM-PRO" w:eastAsia="HG丸ｺﾞｼｯｸM-PRO" w:hAnsi="HG丸ｺﾞｼｯｸM-PRO" w:hint="eastAsia"/>
                <w:szCs w:val="21"/>
              </w:rPr>
              <w:t>システム（EMIS：広域災害救急医療情報システム）を「警戒」モードへ</w:t>
            </w:r>
          </w:p>
          <w:p w14:paraId="34BB292A" w14:textId="279526BE" w:rsidR="0001205E" w:rsidRPr="00E0548A" w:rsidRDefault="0001205E" w:rsidP="00F35CFE">
            <w:pPr>
              <w:ind w:left="211" w:hangingChars="100" w:hanging="211"/>
              <w:rPr>
                <w:rFonts w:ascii="HG丸ｺﾞｼｯｸM-PRO" w:eastAsia="HG丸ｺﾞｼｯｸM-PRO" w:hAnsi="HG丸ｺﾞｼｯｸM-PRO"/>
                <w:szCs w:val="21"/>
              </w:rPr>
            </w:pPr>
            <w:r w:rsidRPr="00E0548A">
              <w:rPr>
                <w:rFonts w:ascii="HG丸ｺﾞｼｯｸM-PRO" w:eastAsia="HG丸ｺﾞｼｯｸM-PRO" w:hAnsi="HG丸ｺﾞｼｯｸM-PRO" w:hint="eastAsia"/>
                <w:szCs w:val="21"/>
              </w:rPr>
              <w:t>切り替え（府内医療機関に対する警戒呼びかけ）【</w:t>
            </w:r>
            <w:r w:rsidR="006D1D41" w:rsidRPr="00E0548A">
              <w:rPr>
                <w:rFonts w:ascii="HG丸ｺﾞｼｯｸM-PRO" w:eastAsia="HG丸ｺﾞｼｯｸM-PRO" w:hAnsi="HG丸ｺﾞｼｯｸM-PRO" w:hint="eastAsia"/>
                <w:szCs w:val="21"/>
              </w:rPr>
              <w:t>医療・感染症対策課</w:t>
            </w:r>
            <w:r w:rsidRPr="00E0548A">
              <w:rPr>
                <w:rFonts w:ascii="HG丸ｺﾞｼｯｸM-PRO" w:eastAsia="HG丸ｺﾞｼｯｸM-PRO" w:hAnsi="HG丸ｺﾞｼｯｸM-PRO" w:hint="eastAsia"/>
                <w:szCs w:val="21"/>
              </w:rPr>
              <w:t>】</w:t>
            </w:r>
          </w:p>
          <w:p w14:paraId="0B270169" w14:textId="77777777" w:rsidR="0001205E" w:rsidRPr="00E0548A" w:rsidRDefault="0001205E" w:rsidP="00F35CFE">
            <w:pPr>
              <w:ind w:left="211" w:hangingChars="100" w:hanging="211"/>
              <w:rPr>
                <w:rFonts w:ascii="HG丸ｺﾞｼｯｸM-PRO" w:eastAsia="HG丸ｺﾞｼｯｸM-PRO" w:hAnsi="HG丸ｺﾞｼｯｸM-PRO"/>
                <w:szCs w:val="21"/>
              </w:rPr>
            </w:pPr>
            <w:r w:rsidRPr="00E0548A">
              <w:rPr>
                <w:rFonts w:ascii="HG丸ｺﾞｼｯｸM-PRO" w:eastAsia="HG丸ｺﾞｼｯｸM-PRO" w:hAnsi="HG丸ｺﾞｼｯｸM-PRO" w:hint="eastAsia"/>
                <w:szCs w:val="21"/>
              </w:rPr>
              <w:t>□以下の事象が確認され次第、速やかに大阪府救急・災害医療情報シス</w:t>
            </w:r>
          </w:p>
          <w:p w14:paraId="726DC1C1" w14:textId="77777777" w:rsidR="0001205E" w:rsidRPr="00E0548A" w:rsidRDefault="0001205E" w:rsidP="00F35CFE">
            <w:pPr>
              <w:ind w:left="211" w:hangingChars="100" w:hanging="211"/>
              <w:rPr>
                <w:rFonts w:ascii="HG丸ｺﾞｼｯｸM-PRO" w:eastAsia="HG丸ｺﾞｼｯｸM-PRO" w:hAnsi="HG丸ｺﾞｼｯｸM-PRO"/>
                <w:szCs w:val="21"/>
              </w:rPr>
            </w:pPr>
            <w:proofErr w:type="gramStart"/>
            <w:r w:rsidRPr="00E0548A">
              <w:rPr>
                <w:rFonts w:ascii="HG丸ｺﾞｼｯｸM-PRO" w:eastAsia="HG丸ｺﾞｼｯｸM-PRO" w:hAnsi="HG丸ｺﾞｼｯｸM-PRO" w:hint="eastAsia"/>
                <w:szCs w:val="21"/>
              </w:rPr>
              <w:t>テム</w:t>
            </w:r>
            <w:proofErr w:type="gramEnd"/>
            <w:r w:rsidRPr="00E0548A">
              <w:rPr>
                <w:rFonts w:ascii="HG丸ｺﾞｼｯｸM-PRO" w:eastAsia="HG丸ｺﾞｼｯｸM-PRO" w:hAnsi="HG丸ｺﾞｼｯｸM-PRO" w:hint="eastAsia"/>
                <w:szCs w:val="21"/>
              </w:rPr>
              <w:t>を「災害」モードに切り替え（府内医療機関に対する被害情報等の一</w:t>
            </w:r>
          </w:p>
          <w:p w14:paraId="77AEF42F" w14:textId="77777777" w:rsidR="0001205E" w:rsidRPr="00E0548A" w:rsidRDefault="0001205E" w:rsidP="00F35CFE">
            <w:pPr>
              <w:ind w:left="211" w:hangingChars="100" w:hanging="211"/>
              <w:rPr>
                <w:rFonts w:ascii="HG丸ｺﾞｼｯｸM-PRO" w:eastAsia="HG丸ｺﾞｼｯｸM-PRO" w:hAnsi="HG丸ｺﾞｼｯｸM-PRO"/>
                <w:szCs w:val="21"/>
              </w:rPr>
            </w:pPr>
            <w:r w:rsidRPr="00E0548A">
              <w:rPr>
                <w:rFonts w:ascii="HG丸ｺﾞｼｯｸM-PRO" w:eastAsia="HG丸ｺﾞｼｯｸM-PRO" w:hAnsi="HG丸ｺﾞｼｯｸM-PRO" w:hint="eastAsia"/>
                <w:szCs w:val="21"/>
              </w:rPr>
              <w:t>斉調査を実施）</w:t>
            </w:r>
          </w:p>
          <w:p w14:paraId="0DDA9EA5" w14:textId="77777777" w:rsidR="0001205E" w:rsidRPr="00E0548A" w:rsidRDefault="0001205E" w:rsidP="00F35CFE">
            <w:pPr>
              <w:ind w:left="211" w:hangingChars="100" w:hanging="211"/>
              <w:rPr>
                <w:rFonts w:ascii="HG丸ｺﾞｼｯｸM-PRO" w:eastAsia="HG丸ｺﾞｼｯｸM-PRO" w:hAnsi="HG丸ｺﾞｼｯｸM-PRO"/>
                <w:szCs w:val="21"/>
              </w:rPr>
            </w:pPr>
            <w:r w:rsidRPr="00E0548A">
              <w:rPr>
                <w:rFonts w:ascii="HG丸ｺﾞｼｯｸM-PRO" w:eastAsia="HG丸ｺﾞｼｯｸM-PRO" w:hAnsi="HG丸ｺﾞｼｯｸM-PRO" w:hint="eastAsia"/>
                <w:szCs w:val="21"/>
              </w:rPr>
              <w:t>・府内医療機関から、停電・断水等による診察機能喪失や多数傷病者の発</w:t>
            </w:r>
          </w:p>
          <w:p w14:paraId="1704E541" w14:textId="77777777" w:rsidR="0001205E" w:rsidRPr="00E0548A" w:rsidRDefault="0001205E" w:rsidP="00F35CFE">
            <w:pPr>
              <w:ind w:left="211" w:hangingChars="100" w:hanging="211"/>
              <w:rPr>
                <w:rFonts w:ascii="HG丸ｺﾞｼｯｸM-PRO" w:eastAsia="HG丸ｺﾞｼｯｸM-PRO" w:hAnsi="HG丸ｺﾞｼｯｸM-PRO"/>
                <w:szCs w:val="21"/>
              </w:rPr>
            </w:pPr>
            <w:r w:rsidRPr="00E0548A">
              <w:rPr>
                <w:rFonts w:ascii="HG丸ｺﾞｼｯｸM-PRO" w:eastAsia="HG丸ｺﾞｼｯｸM-PRO" w:hAnsi="HG丸ｺﾞｼｯｸM-PRO" w:hint="eastAsia"/>
                <w:szCs w:val="21"/>
              </w:rPr>
              <w:t>生等により支援の要請があった場合。</w:t>
            </w:r>
          </w:p>
          <w:p w14:paraId="31DBA2C4" w14:textId="77777777" w:rsidR="0001205E" w:rsidRPr="00E0548A" w:rsidRDefault="0001205E" w:rsidP="00F35CFE">
            <w:pPr>
              <w:rPr>
                <w:rFonts w:ascii="HG丸ｺﾞｼｯｸM-PRO" w:eastAsia="HG丸ｺﾞｼｯｸM-PRO" w:hAnsi="HG丸ｺﾞｼｯｸM-PRO"/>
                <w:szCs w:val="21"/>
              </w:rPr>
            </w:pPr>
            <w:r w:rsidRPr="00E0548A">
              <w:rPr>
                <w:rFonts w:ascii="HG丸ｺﾞｼｯｸM-PRO" w:eastAsia="HG丸ｺﾞｼｯｸM-PRO" w:hAnsi="HG丸ｺﾞｼｯｸM-PRO" w:hint="eastAsia"/>
                <w:szCs w:val="21"/>
              </w:rPr>
              <w:t>・特別警報が発表された場合。</w:t>
            </w:r>
          </w:p>
        </w:tc>
      </w:tr>
    </w:tbl>
    <w:p w14:paraId="649484F2" w14:textId="77777777" w:rsidR="0001205E" w:rsidRPr="001D6D10" w:rsidRDefault="0001205E" w:rsidP="0001205E">
      <w:pPr>
        <w:rPr>
          <w:rFonts w:ascii="HG丸ｺﾞｼｯｸM-PRO" w:eastAsia="HG丸ｺﾞｼｯｸM-PRO" w:hAnsi="HG丸ｺﾞｼｯｸM-PRO"/>
          <w:sz w:val="22"/>
          <w:szCs w:val="22"/>
        </w:rPr>
      </w:pPr>
      <w:r w:rsidRPr="001D6D10">
        <w:rPr>
          <w:rFonts w:ascii="HG丸ｺﾞｼｯｸM-PRO" w:eastAsia="HG丸ｺﾞｼｯｸM-PRO" w:hAnsi="HG丸ｺﾞｼｯｸM-PRO" w:hint="eastAsia"/>
          <w:sz w:val="22"/>
          <w:szCs w:val="22"/>
        </w:rPr>
        <w:t>※主な所管施設：保健所、こころの健康総合センター</w:t>
      </w:r>
    </w:p>
    <w:p w14:paraId="30BD2FE0" w14:textId="77777777" w:rsidR="0001205E" w:rsidRPr="001D6D10" w:rsidRDefault="0001205E" w:rsidP="0001205E">
      <w:pPr>
        <w:rPr>
          <w:rFonts w:ascii="HG丸ｺﾞｼｯｸM-PRO" w:eastAsia="HG丸ｺﾞｼｯｸM-PRO" w:hAnsi="HG丸ｺﾞｼｯｸM-PRO"/>
          <w:sz w:val="22"/>
          <w:szCs w:val="22"/>
        </w:rPr>
      </w:pPr>
      <w:r w:rsidRPr="001D6D10">
        <w:rPr>
          <w:rFonts w:ascii="HG丸ｺﾞｼｯｸM-PRO" w:eastAsia="HG丸ｺﾞｼｯｸM-PRO" w:hAnsi="HG丸ｺﾞｼｯｸM-PRO" w:hint="eastAsia"/>
          <w:sz w:val="22"/>
          <w:szCs w:val="22"/>
        </w:rPr>
        <w:t xml:space="preserve">　　　関係機関：災害拠点病院、特定診療災害医療センター、大阪府医師会、</w:t>
      </w:r>
    </w:p>
    <w:p w14:paraId="64E276CB" w14:textId="77777777" w:rsidR="0001205E" w:rsidRPr="001D6D10" w:rsidRDefault="0001205E" w:rsidP="0001205E">
      <w:pPr>
        <w:rPr>
          <w:rFonts w:ascii="HG丸ｺﾞｼｯｸM-PRO" w:eastAsia="HG丸ｺﾞｼｯｸM-PRO" w:hAnsi="HG丸ｺﾞｼｯｸM-PRO"/>
          <w:sz w:val="22"/>
          <w:szCs w:val="22"/>
        </w:rPr>
      </w:pPr>
      <w:r w:rsidRPr="001D6D10">
        <w:rPr>
          <w:rFonts w:ascii="HG丸ｺﾞｼｯｸM-PRO" w:eastAsia="HG丸ｺﾞｼｯｸM-PRO" w:hAnsi="HG丸ｺﾞｼｯｸM-PRO" w:hint="eastAsia"/>
          <w:sz w:val="22"/>
          <w:szCs w:val="22"/>
        </w:rPr>
        <w:t xml:space="preserve">　　　　　　　　大阪府歯科医師会、大阪府薬剤師会、大阪府看護協会</w:t>
      </w:r>
    </w:p>
    <w:p w14:paraId="5EF44274" w14:textId="77777777" w:rsidR="0001205E" w:rsidRPr="001D6D10" w:rsidRDefault="0001205E" w:rsidP="0001205E">
      <w:pPr>
        <w:rPr>
          <w:rFonts w:ascii="HG丸ｺﾞｼｯｸM-PRO" w:eastAsia="HG丸ｺﾞｼｯｸM-PRO" w:hAnsi="HG丸ｺﾞｼｯｸM-PRO"/>
          <w:sz w:val="22"/>
          <w:szCs w:val="22"/>
        </w:rPr>
      </w:pPr>
      <w:r w:rsidRPr="001D6D10">
        <w:rPr>
          <w:rFonts w:ascii="HG丸ｺﾞｼｯｸM-PRO" w:eastAsia="HG丸ｺﾞｼｯｸM-PRO" w:hAnsi="HG丸ｺﾞｼｯｸM-PRO" w:hint="eastAsia"/>
          <w:sz w:val="22"/>
          <w:szCs w:val="22"/>
        </w:rPr>
        <w:t xml:space="preserve">　　　　　　　　大阪府訪問看護ステーション協会</w:t>
      </w:r>
    </w:p>
    <w:p w14:paraId="5BA64DE1" w14:textId="77777777" w:rsidR="0001205E" w:rsidRPr="001D6D10" w:rsidRDefault="0001205E" w:rsidP="0001205E">
      <w:pPr>
        <w:rPr>
          <w:rFonts w:ascii="HG丸ｺﾞｼｯｸM-PRO" w:eastAsia="HG丸ｺﾞｼｯｸM-PRO" w:hAnsi="HG丸ｺﾞｼｯｸM-PRO"/>
          <w:sz w:val="22"/>
          <w:szCs w:val="22"/>
        </w:rPr>
      </w:pPr>
      <w:r w:rsidRPr="001D6D10">
        <w:rPr>
          <w:rFonts w:ascii="HG丸ｺﾞｼｯｸM-PRO" w:eastAsia="HG丸ｺﾞｼｯｸM-PRO" w:hAnsi="HG丸ｺﾞｼｯｸM-PRO" w:hint="eastAsia"/>
          <w:sz w:val="22"/>
          <w:szCs w:val="22"/>
        </w:rPr>
        <w:t xml:space="preserve">　　　システム：広域災害救急医療情報システム、大阪府救急・災害医療情報システム、</w:t>
      </w:r>
    </w:p>
    <w:p w14:paraId="1606A69A" w14:textId="77777777" w:rsidR="0001205E" w:rsidRPr="001D6D10" w:rsidRDefault="0001205E" w:rsidP="0001205E">
      <w:pPr>
        <w:rPr>
          <w:rFonts w:ascii="HG丸ｺﾞｼｯｸM-PRO" w:eastAsia="HG丸ｺﾞｼｯｸM-PRO" w:hAnsi="HG丸ｺﾞｼｯｸM-PRO"/>
          <w:sz w:val="22"/>
          <w:szCs w:val="22"/>
        </w:rPr>
      </w:pPr>
      <w:r w:rsidRPr="001D6D10">
        <w:rPr>
          <w:rFonts w:ascii="HG丸ｺﾞｼｯｸM-PRO" w:eastAsia="HG丸ｺﾞｼｯｸM-PRO" w:hAnsi="HG丸ｺﾞｼｯｸM-PRO" w:hint="eastAsia"/>
          <w:sz w:val="22"/>
          <w:szCs w:val="22"/>
        </w:rPr>
        <w:t xml:space="preserve">　　　　　　　　医療機関情報システム</w:t>
      </w:r>
    </w:p>
    <w:p w14:paraId="18323113" w14:textId="77777777" w:rsidR="0001205E" w:rsidRPr="001D6D10" w:rsidRDefault="0001205E" w:rsidP="0001205E">
      <w:pPr>
        <w:rPr>
          <w:rFonts w:ascii="ＭＳ ゴシック" w:eastAsia="ＭＳ ゴシック" w:hAnsi="ＭＳ ゴシック"/>
          <w:sz w:val="18"/>
          <w:szCs w:val="22"/>
        </w:rPr>
      </w:pPr>
      <w:r w:rsidRPr="001D6D10">
        <w:rPr>
          <w:rFonts w:ascii="ＭＳ ゴシック" w:eastAsia="ＭＳ ゴシック" w:hAnsi="ＭＳ ゴシック" w:hint="eastAsia"/>
          <w:sz w:val="18"/>
          <w:szCs w:val="22"/>
        </w:rPr>
        <w:t>※）本タイムラインから状況に応じて必要な項目を選定し、実施するものとする。</w:t>
      </w:r>
    </w:p>
    <w:p w14:paraId="78EA22A7" w14:textId="77777777" w:rsidR="003B7241" w:rsidRPr="001D6D10" w:rsidRDefault="003B7241" w:rsidP="00EB20A0">
      <w:pPr>
        <w:rPr>
          <w:rFonts w:ascii="ＭＳ ゴシック" w:eastAsia="ＭＳ ゴシック" w:hAnsi="ＭＳ ゴシック"/>
          <w:sz w:val="18"/>
          <w:szCs w:val="22"/>
        </w:rPr>
      </w:pPr>
    </w:p>
    <w:p w14:paraId="494048BE" w14:textId="055904CF" w:rsidR="00335440" w:rsidRDefault="00335440" w:rsidP="00EB20A0">
      <w:pPr>
        <w:rPr>
          <w:rFonts w:ascii="ＭＳ ゴシック" w:eastAsia="ＭＳ ゴシック" w:hAnsi="ＭＳ ゴシック"/>
          <w:sz w:val="18"/>
          <w:szCs w:val="22"/>
        </w:rPr>
      </w:pPr>
    </w:p>
    <w:p w14:paraId="1AD06A91" w14:textId="77777777" w:rsidR="00930C0D" w:rsidRDefault="00930C0D">
      <w:pPr>
        <w:widowControl/>
        <w:jc w:val="left"/>
        <w:rPr>
          <w:rFonts w:ascii="ＭＳ ゴシック" w:eastAsia="ＭＳ ゴシック" w:hAnsi="ＭＳ ゴシック"/>
          <w:sz w:val="22"/>
          <w:szCs w:val="22"/>
        </w:rPr>
      </w:pPr>
      <w:r>
        <w:rPr>
          <w:rFonts w:ascii="ＭＳ ゴシック" w:eastAsia="ＭＳ ゴシック" w:hAnsi="ＭＳ ゴシック"/>
          <w:sz w:val="22"/>
          <w:szCs w:val="22"/>
        </w:rPr>
        <w:br w:type="page"/>
      </w:r>
    </w:p>
    <w:p w14:paraId="42338667" w14:textId="0C93BD43" w:rsidR="0001205E" w:rsidRPr="001D6D10" w:rsidRDefault="0001205E" w:rsidP="0001205E">
      <w:pPr>
        <w:rPr>
          <w:rFonts w:ascii="ＭＳ ゴシック" w:eastAsia="ＭＳ ゴシック" w:hAnsi="ＭＳ ゴシック"/>
          <w:sz w:val="22"/>
          <w:szCs w:val="22"/>
        </w:rPr>
      </w:pPr>
      <w:r w:rsidRPr="001D6D10">
        <w:rPr>
          <w:rFonts w:ascii="ＭＳ ゴシック" w:eastAsia="ＭＳ ゴシック" w:hAnsi="ＭＳ ゴシック" w:hint="eastAsia"/>
          <w:sz w:val="22"/>
          <w:szCs w:val="22"/>
        </w:rPr>
        <w:lastRenderedPageBreak/>
        <w:t>⑩商工労働部</w:t>
      </w:r>
    </w:p>
    <w:tbl>
      <w:tblPr>
        <w:tblpPr w:leftFromText="142" w:rightFromText="142" w:vertAnchor="text" w:tblpXSpec="center" w:tblpY="1"/>
        <w:tblOverlap w:val="neve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57"/>
        <w:gridCol w:w="7037"/>
      </w:tblGrid>
      <w:tr w:rsidR="001D6D10" w:rsidRPr="001D6D10" w14:paraId="753A8924" w14:textId="77777777" w:rsidTr="00F35CFE">
        <w:trPr>
          <w:jc w:val="center"/>
        </w:trPr>
        <w:tc>
          <w:tcPr>
            <w:tcW w:w="1457" w:type="dxa"/>
            <w:tcBorders>
              <w:bottom w:val="single" w:sz="4" w:space="0" w:color="auto"/>
            </w:tcBorders>
            <w:shd w:val="clear" w:color="auto" w:fill="BFBFBF"/>
          </w:tcPr>
          <w:p w14:paraId="4DB7EE0A" w14:textId="77777777" w:rsidR="0001205E" w:rsidRPr="001D6D10" w:rsidRDefault="0001205E" w:rsidP="00F35CFE">
            <w:pPr>
              <w:jc w:val="center"/>
              <w:rPr>
                <w:rFonts w:ascii="HG丸ｺﾞｼｯｸM-PRO" w:eastAsia="HG丸ｺﾞｼｯｸM-PRO" w:hAnsi="HG丸ｺﾞｼｯｸM-PRO"/>
                <w:szCs w:val="21"/>
              </w:rPr>
            </w:pPr>
            <w:r w:rsidRPr="001D6D10">
              <w:rPr>
                <w:rFonts w:ascii="HG丸ｺﾞｼｯｸM-PRO" w:eastAsia="HG丸ｺﾞｼｯｸM-PRO" w:hAnsi="HG丸ｺﾞｼｯｸM-PRO" w:hint="eastAsia"/>
                <w:szCs w:val="21"/>
              </w:rPr>
              <w:t>時　期</w:t>
            </w:r>
          </w:p>
        </w:tc>
        <w:tc>
          <w:tcPr>
            <w:tcW w:w="7037" w:type="dxa"/>
            <w:tcBorders>
              <w:bottom w:val="single" w:sz="4" w:space="0" w:color="auto"/>
            </w:tcBorders>
            <w:shd w:val="clear" w:color="auto" w:fill="BFBFBF"/>
          </w:tcPr>
          <w:p w14:paraId="2433E08F" w14:textId="77777777" w:rsidR="0001205E" w:rsidRPr="001D6D10" w:rsidRDefault="00E31DA1" w:rsidP="00F35CFE">
            <w:pPr>
              <w:jc w:val="center"/>
              <w:rPr>
                <w:rFonts w:ascii="HG丸ｺﾞｼｯｸM-PRO" w:eastAsia="HG丸ｺﾞｼｯｸM-PRO" w:hAnsi="HG丸ｺﾞｼｯｸM-PRO"/>
                <w:szCs w:val="21"/>
              </w:rPr>
            </w:pPr>
            <w:r w:rsidRPr="001D6D10">
              <w:rPr>
                <w:rFonts w:ascii="HG丸ｺﾞｼｯｸM-PRO" w:eastAsia="HG丸ｺﾞｼｯｸM-PRO" w:hAnsi="HG丸ｺﾞｼｯｸM-PRO" w:hint="eastAsia"/>
                <w:szCs w:val="21"/>
              </w:rPr>
              <w:t>主な事前準備</w:t>
            </w:r>
            <w:r w:rsidR="0001205E" w:rsidRPr="001D6D10">
              <w:rPr>
                <w:rFonts w:ascii="HG丸ｺﾞｼｯｸM-PRO" w:eastAsia="HG丸ｺﾞｼｯｸM-PRO" w:hAnsi="HG丸ｺﾞｼｯｸM-PRO" w:hint="eastAsia"/>
                <w:szCs w:val="21"/>
              </w:rPr>
              <w:t>業務</w:t>
            </w:r>
          </w:p>
        </w:tc>
      </w:tr>
      <w:tr w:rsidR="001D6D10" w:rsidRPr="001D6D10" w14:paraId="4F0E0BDC" w14:textId="77777777" w:rsidTr="00F35CFE">
        <w:trPr>
          <w:jc w:val="center"/>
        </w:trPr>
        <w:tc>
          <w:tcPr>
            <w:tcW w:w="1457" w:type="dxa"/>
            <w:vMerge w:val="restart"/>
            <w:shd w:val="clear" w:color="auto" w:fill="FFFFFF" w:themeFill="background1"/>
          </w:tcPr>
          <w:p w14:paraId="61AC16F2" w14:textId="77777777" w:rsidR="00934E60" w:rsidRPr="001D6D10" w:rsidRDefault="00934E60" w:rsidP="00F35CFE">
            <w:pPr>
              <w:jc w:val="center"/>
              <w:rPr>
                <w:rFonts w:ascii="HG丸ｺﾞｼｯｸM-PRO" w:eastAsia="HG丸ｺﾞｼｯｸM-PRO" w:hAnsi="HG丸ｺﾞｼｯｸM-PRO"/>
                <w:szCs w:val="21"/>
              </w:rPr>
            </w:pPr>
          </w:p>
          <w:p w14:paraId="21F93F45" w14:textId="77777777" w:rsidR="00934E60" w:rsidRPr="001D6D10" w:rsidRDefault="00934E60" w:rsidP="00F35CFE">
            <w:pPr>
              <w:jc w:val="center"/>
              <w:rPr>
                <w:rFonts w:ascii="HG丸ｺﾞｼｯｸM-PRO" w:eastAsia="HG丸ｺﾞｼｯｸM-PRO" w:hAnsi="HG丸ｺﾞｼｯｸM-PRO"/>
                <w:szCs w:val="21"/>
              </w:rPr>
            </w:pPr>
          </w:p>
          <w:p w14:paraId="71FD0F7B" w14:textId="77777777" w:rsidR="00934E60" w:rsidRPr="001D6D10" w:rsidRDefault="00934E60" w:rsidP="00F35CFE">
            <w:pPr>
              <w:jc w:val="center"/>
              <w:rPr>
                <w:rFonts w:ascii="HG丸ｺﾞｼｯｸM-PRO" w:eastAsia="HG丸ｺﾞｼｯｸM-PRO" w:hAnsi="HG丸ｺﾞｼｯｸM-PRO"/>
                <w:szCs w:val="21"/>
              </w:rPr>
            </w:pPr>
          </w:p>
          <w:p w14:paraId="1447E496" w14:textId="77777777" w:rsidR="00934E60" w:rsidRPr="001D6D10" w:rsidRDefault="00934E60" w:rsidP="00F35CFE">
            <w:pPr>
              <w:jc w:val="center"/>
              <w:rPr>
                <w:rFonts w:ascii="HG丸ｺﾞｼｯｸM-PRO" w:eastAsia="HG丸ｺﾞｼｯｸM-PRO" w:hAnsi="HG丸ｺﾞｼｯｸM-PRO"/>
                <w:szCs w:val="21"/>
              </w:rPr>
            </w:pPr>
          </w:p>
          <w:p w14:paraId="25190E8F" w14:textId="448661F9" w:rsidR="0001205E" w:rsidRPr="001D6D10" w:rsidRDefault="0001205E" w:rsidP="00F35CFE">
            <w:pPr>
              <w:jc w:val="center"/>
              <w:rPr>
                <w:rFonts w:ascii="HG丸ｺﾞｼｯｸM-PRO" w:eastAsia="HG丸ｺﾞｼｯｸM-PRO" w:hAnsi="HG丸ｺﾞｼｯｸM-PRO"/>
                <w:szCs w:val="21"/>
              </w:rPr>
            </w:pPr>
            <w:r w:rsidRPr="001D6D10">
              <w:rPr>
                <w:rFonts w:ascii="HG丸ｺﾞｼｯｸM-PRO" w:eastAsia="HG丸ｺﾞｼｯｸM-PRO" w:hAnsi="HG丸ｺﾞｼｯｸM-PRO" w:hint="eastAsia"/>
                <w:szCs w:val="21"/>
              </w:rPr>
              <w:t>～48ｈ</w:t>
            </w:r>
            <w:r w:rsidR="0053084D" w:rsidRPr="001D6D10">
              <w:rPr>
                <w:rFonts w:ascii="HG丸ｺﾞｼｯｸM-PRO" w:eastAsia="HG丸ｺﾞｼｯｸM-PRO" w:hAnsi="HG丸ｺﾞｼｯｸM-PRO" w:hint="eastAsia"/>
                <w:szCs w:val="21"/>
              </w:rPr>
              <w:t>前</w:t>
            </w:r>
          </w:p>
          <w:p w14:paraId="4D50430A" w14:textId="77777777" w:rsidR="0001205E" w:rsidRPr="001D6D10" w:rsidRDefault="0001205E" w:rsidP="00F35CFE">
            <w:pPr>
              <w:jc w:val="center"/>
              <w:rPr>
                <w:rFonts w:ascii="HG丸ｺﾞｼｯｸM-PRO" w:eastAsia="HG丸ｺﾞｼｯｸM-PRO" w:hAnsi="HG丸ｺﾞｼｯｸM-PRO"/>
                <w:sz w:val="20"/>
                <w:szCs w:val="20"/>
              </w:rPr>
            </w:pPr>
            <w:r w:rsidRPr="001D6D10">
              <w:rPr>
                <w:rFonts w:ascii="HG丸ｺﾞｼｯｸM-PRO" w:eastAsia="HG丸ｺﾞｼｯｸM-PRO" w:hAnsi="HG丸ｺﾞｼｯｸM-PRO" w:hint="eastAsia"/>
                <w:sz w:val="20"/>
                <w:szCs w:val="20"/>
              </w:rPr>
              <w:t>（３日以前）</w:t>
            </w:r>
          </w:p>
        </w:tc>
        <w:tc>
          <w:tcPr>
            <w:tcW w:w="7037" w:type="dxa"/>
            <w:tcBorders>
              <w:bottom w:val="single" w:sz="4" w:space="0" w:color="auto"/>
            </w:tcBorders>
            <w:shd w:val="clear" w:color="auto" w:fill="FFFFFF" w:themeFill="background1"/>
          </w:tcPr>
          <w:p w14:paraId="1B28AE3A" w14:textId="77777777" w:rsidR="00EF5DDA" w:rsidRPr="001D6D10" w:rsidRDefault="00EF5DDA" w:rsidP="00EF5DDA">
            <w:pPr>
              <w:rPr>
                <w:rFonts w:ascii="HG丸ｺﾞｼｯｸM-PRO" w:eastAsia="HG丸ｺﾞｼｯｸM-PRO" w:hAnsi="HG丸ｺﾞｼｯｸM-PRO"/>
                <w:szCs w:val="21"/>
              </w:rPr>
            </w:pPr>
            <w:r w:rsidRPr="001D6D10">
              <w:rPr>
                <w:rFonts w:ascii="HG丸ｺﾞｼｯｸM-PRO" w:eastAsia="HG丸ｺﾞｼｯｸM-PRO" w:hAnsi="HG丸ｺﾞｼｯｸM-PRO" w:hint="eastAsia"/>
                <w:szCs w:val="21"/>
              </w:rPr>
              <w:t>□危機管理室からの災害情報等を関係者で共有</w:t>
            </w:r>
          </w:p>
          <w:p w14:paraId="02B0A783" w14:textId="77777777" w:rsidR="00EF5DDA" w:rsidRPr="001D6D10" w:rsidRDefault="00BB7E00" w:rsidP="00EF5DDA">
            <w:pPr>
              <w:rPr>
                <w:rFonts w:ascii="HG丸ｺﾞｼｯｸM-PRO" w:eastAsia="HG丸ｺﾞｼｯｸM-PRO" w:hAnsi="HG丸ｺﾞｼｯｸM-PRO"/>
                <w:szCs w:val="21"/>
              </w:rPr>
            </w:pPr>
            <w:r w:rsidRPr="001D6D10">
              <w:rPr>
                <w:rFonts w:ascii="HG丸ｺﾞｼｯｸM-PRO" w:eastAsia="HG丸ｺﾞｼｯｸM-PRO" w:hAnsi="HG丸ｺﾞｼｯｸM-PRO" w:hint="eastAsia"/>
                <w:szCs w:val="21"/>
              </w:rPr>
              <w:t>□連絡体制の確認</w:t>
            </w:r>
            <w:r w:rsidR="00EF5DDA" w:rsidRPr="001D6D10">
              <w:rPr>
                <w:rFonts w:ascii="HG丸ｺﾞｼｯｸM-PRO" w:eastAsia="HG丸ｺﾞｼｯｸM-PRO" w:hAnsi="HG丸ｺﾞｼｯｸM-PRO" w:hint="eastAsia"/>
                <w:szCs w:val="21"/>
              </w:rPr>
              <w:t xml:space="preserve">　</w:t>
            </w:r>
          </w:p>
          <w:p w14:paraId="4E170828" w14:textId="77777777" w:rsidR="003B7241" w:rsidRPr="001D6D10" w:rsidRDefault="003B7241" w:rsidP="00EF5DDA">
            <w:pPr>
              <w:rPr>
                <w:rFonts w:ascii="HG丸ｺﾞｼｯｸM-PRO" w:eastAsia="HG丸ｺﾞｼｯｸM-PRO" w:hAnsi="HG丸ｺﾞｼｯｸM-PRO"/>
                <w:szCs w:val="21"/>
              </w:rPr>
            </w:pPr>
            <w:r w:rsidRPr="001D6D10">
              <w:rPr>
                <w:rFonts w:ascii="HG丸ｺﾞｼｯｸM-PRO" w:eastAsia="HG丸ｺﾞｼｯｸM-PRO" w:hAnsi="HG丸ｺﾞｼｯｸM-PRO" w:hint="eastAsia"/>
                <w:szCs w:val="21"/>
              </w:rPr>
              <w:t>□各所属において災害対応に関するマニュアル等の確認</w:t>
            </w:r>
          </w:p>
          <w:p w14:paraId="64A0CFE1" w14:textId="77777777" w:rsidR="00A2101B" w:rsidRPr="001D6D10" w:rsidRDefault="00A2101B" w:rsidP="00A2101B">
            <w:pPr>
              <w:rPr>
                <w:rFonts w:ascii="HG丸ｺﾞｼｯｸM-PRO" w:eastAsia="HG丸ｺﾞｼｯｸM-PRO" w:hAnsi="HG丸ｺﾞｼｯｸM-PRO"/>
                <w:szCs w:val="21"/>
              </w:rPr>
            </w:pPr>
            <w:r w:rsidRPr="001D6D10">
              <w:rPr>
                <w:rFonts w:ascii="HG丸ｺﾞｼｯｸM-PRO" w:eastAsia="HG丸ｺﾞｼｯｸM-PRO" w:hAnsi="HG丸ｺﾞｼｯｸM-PRO" w:hint="eastAsia"/>
                <w:szCs w:val="21"/>
              </w:rPr>
              <w:t>□指令部会議の事前準備</w:t>
            </w:r>
          </w:p>
          <w:p w14:paraId="0853EA6B" w14:textId="77777777" w:rsidR="00A2101B" w:rsidRPr="001D6D10" w:rsidRDefault="00A2101B" w:rsidP="00A2101B">
            <w:pPr>
              <w:rPr>
                <w:rFonts w:ascii="HG丸ｺﾞｼｯｸM-PRO" w:eastAsia="HG丸ｺﾞｼｯｸM-PRO" w:hAnsi="HG丸ｺﾞｼｯｸM-PRO"/>
                <w:szCs w:val="21"/>
              </w:rPr>
            </w:pPr>
            <w:r w:rsidRPr="001D6D10">
              <w:rPr>
                <w:rFonts w:ascii="HG丸ｺﾞｼｯｸM-PRO" w:eastAsia="HG丸ｺﾞｼｯｸM-PRO" w:hAnsi="HG丸ｺﾞｼｯｸM-PRO" w:hint="eastAsia"/>
                <w:szCs w:val="21"/>
              </w:rPr>
              <w:t xml:space="preserve">　</w:t>
            </w:r>
            <w:r w:rsidR="005B33EE" w:rsidRPr="001D6D10">
              <w:rPr>
                <w:rFonts w:ascii="HG丸ｺﾞｼｯｸM-PRO" w:eastAsia="HG丸ｺﾞｼｯｸM-PRO" w:hAnsi="HG丸ｺﾞｼｯｸM-PRO" w:hint="eastAsia"/>
                <w:szCs w:val="21"/>
              </w:rPr>
              <w:t>・イベントの有無確認（府主催、共催）</w:t>
            </w:r>
          </w:p>
          <w:p w14:paraId="1654D221" w14:textId="77777777" w:rsidR="00A2101B" w:rsidRPr="001D6D10" w:rsidRDefault="00A2101B" w:rsidP="00A2101B">
            <w:pPr>
              <w:rPr>
                <w:rFonts w:ascii="HG丸ｺﾞｼｯｸM-PRO" w:eastAsia="HG丸ｺﾞｼｯｸM-PRO" w:hAnsi="HG丸ｺﾞｼｯｸM-PRO"/>
                <w:szCs w:val="21"/>
                <w:u w:val="single"/>
              </w:rPr>
            </w:pPr>
            <w:r w:rsidRPr="001D6D10">
              <w:rPr>
                <w:rFonts w:ascii="HG丸ｺﾞｼｯｸM-PRO" w:eastAsia="HG丸ｺﾞｼｯｸM-PRO" w:hAnsi="HG丸ｺﾞｼｯｸM-PRO" w:hint="eastAsia"/>
                <w:szCs w:val="21"/>
              </w:rPr>
              <w:t xml:space="preserve">　・所管団体等への注意喚起など</w:t>
            </w:r>
          </w:p>
        </w:tc>
      </w:tr>
      <w:tr w:rsidR="001D6D10" w:rsidRPr="001D6D10" w14:paraId="19979DC7" w14:textId="77777777" w:rsidTr="00F35CFE">
        <w:trPr>
          <w:jc w:val="center"/>
        </w:trPr>
        <w:tc>
          <w:tcPr>
            <w:tcW w:w="1457" w:type="dxa"/>
            <w:vMerge/>
          </w:tcPr>
          <w:p w14:paraId="68E9E8E3" w14:textId="77777777" w:rsidR="0001205E" w:rsidRPr="001D6D10" w:rsidRDefault="0001205E" w:rsidP="00F35CFE">
            <w:pPr>
              <w:rPr>
                <w:rFonts w:ascii="HG丸ｺﾞｼｯｸM-PRO" w:eastAsia="HG丸ｺﾞｼｯｸM-PRO" w:hAnsi="HG丸ｺﾞｼｯｸM-PRO"/>
                <w:szCs w:val="21"/>
              </w:rPr>
            </w:pPr>
          </w:p>
        </w:tc>
        <w:tc>
          <w:tcPr>
            <w:tcW w:w="7037" w:type="dxa"/>
          </w:tcPr>
          <w:p w14:paraId="709830DE" w14:textId="77777777" w:rsidR="0001205E" w:rsidRPr="001D6D10" w:rsidRDefault="0001205E" w:rsidP="00F35CFE">
            <w:pPr>
              <w:rPr>
                <w:rFonts w:ascii="HG丸ｺﾞｼｯｸM-PRO" w:eastAsia="HG丸ｺﾞｼｯｸM-PRO" w:hAnsi="HG丸ｺﾞｼｯｸM-PRO"/>
                <w:szCs w:val="21"/>
              </w:rPr>
            </w:pPr>
            <w:r w:rsidRPr="001D6D10">
              <w:rPr>
                <w:rFonts w:ascii="HG丸ｺﾞｼｯｸM-PRO" w:eastAsia="HG丸ｺﾞｼｯｸM-PRO" w:hAnsi="HG丸ｺﾞｼｯｸM-PRO" w:hint="eastAsia"/>
                <w:b/>
                <w:szCs w:val="21"/>
                <w:highlight w:val="yellow"/>
              </w:rPr>
              <w:t>防災・危機管理指令部会議</w:t>
            </w:r>
            <w:r w:rsidRPr="001D6D10">
              <w:rPr>
                <w:rFonts w:ascii="HG丸ｺﾞｼｯｸM-PRO" w:eastAsia="HG丸ｺﾞｼｯｸM-PRO" w:hAnsi="HG丸ｺﾞｼｯｸM-PRO" w:hint="eastAsia"/>
                <w:szCs w:val="21"/>
                <w:highlight w:val="yellow"/>
              </w:rPr>
              <w:t>（おおよそ７２ｈ前）</w:t>
            </w:r>
            <w:r w:rsidR="00CB0ABF" w:rsidRPr="001D6D10">
              <w:rPr>
                <w:rFonts w:ascii="HG丸ｺﾞｼｯｸM-PRO" w:eastAsia="HG丸ｺﾞｼｯｸM-PRO" w:hAnsi="HG丸ｺﾞｼｯｸM-PRO" w:hint="eastAsia"/>
                <w:szCs w:val="21"/>
                <w:highlight w:val="yellow"/>
              </w:rPr>
              <w:t>（Ｐ42</w:t>
            </w:r>
            <w:r w:rsidR="00AD02A5" w:rsidRPr="001D6D10">
              <w:rPr>
                <w:rFonts w:ascii="HG丸ｺﾞｼｯｸM-PRO" w:eastAsia="HG丸ｺﾞｼｯｸM-PRO" w:hAnsi="HG丸ｺﾞｼｯｸM-PRO" w:hint="eastAsia"/>
                <w:szCs w:val="21"/>
                <w:highlight w:val="yellow"/>
              </w:rPr>
              <w:t>参照）</w:t>
            </w:r>
          </w:p>
        </w:tc>
      </w:tr>
      <w:tr w:rsidR="001D6D10" w:rsidRPr="001D6D10" w14:paraId="2965B2E2" w14:textId="77777777" w:rsidTr="00F35CFE">
        <w:trPr>
          <w:jc w:val="center"/>
        </w:trPr>
        <w:tc>
          <w:tcPr>
            <w:tcW w:w="1457" w:type="dxa"/>
            <w:vMerge/>
          </w:tcPr>
          <w:p w14:paraId="688C88C6" w14:textId="77777777" w:rsidR="0001205E" w:rsidRPr="001D6D10" w:rsidRDefault="0001205E" w:rsidP="00F35CFE">
            <w:pPr>
              <w:rPr>
                <w:rFonts w:ascii="HG丸ｺﾞｼｯｸM-PRO" w:eastAsia="HG丸ｺﾞｼｯｸM-PRO" w:hAnsi="HG丸ｺﾞｼｯｸM-PRO"/>
                <w:szCs w:val="21"/>
              </w:rPr>
            </w:pPr>
          </w:p>
        </w:tc>
        <w:tc>
          <w:tcPr>
            <w:tcW w:w="7037" w:type="dxa"/>
          </w:tcPr>
          <w:p w14:paraId="7267F795" w14:textId="77777777" w:rsidR="0001205E" w:rsidRPr="001D6D10" w:rsidRDefault="0001205E" w:rsidP="00F35CFE">
            <w:pPr>
              <w:rPr>
                <w:rFonts w:ascii="HG丸ｺﾞｼｯｸM-PRO" w:eastAsia="HG丸ｺﾞｼｯｸM-PRO" w:hAnsi="HG丸ｺﾞｼｯｸM-PRO"/>
                <w:szCs w:val="21"/>
              </w:rPr>
            </w:pPr>
            <w:r w:rsidRPr="001D6D10">
              <w:rPr>
                <w:rFonts w:ascii="HG丸ｺﾞｼｯｸM-PRO" w:eastAsia="HG丸ｺﾞｼｯｸM-PRO" w:hAnsi="HG丸ｺﾞｼｯｸM-PRO" w:hint="eastAsia"/>
                <w:szCs w:val="21"/>
              </w:rPr>
              <w:t>□危機管理室からの災害情報等を関係者で共有</w:t>
            </w:r>
          </w:p>
          <w:p w14:paraId="1991FF4D" w14:textId="77777777" w:rsidR="0001205E" w:rsidRPr="001D6D10" w:rsidRDefault="0001205E" w:rsidP="00F35CFE">
            <w:pPr>
              <w:rPr>
                <w:rFonts w:ascii="HG丸ｺﾞｼｯｸM-PRO" w:eastAsia="HG丸ｺﾞｼｯｸM-PRO" w:hAnsi="HG丸ｺﾞｼｯｸM-PRO"/>
                <w:szCs w:val="21"/>
              </w:rPr>
            </w:pPr>
            <w:r w:rsidRPr="001D6D10">
              <w:rPr>
                <w:rFonts w:ascii="HG丸ｺﾞｼｯｸM-PRO" w:eastAsia="HG丸ｺﾞｼｯｸM-PRO" w:hAnsi="HG丸ｺﾞｼｯｸM-PRO" w:hint="eastAsia"/>
                <w:szCs w:val="21"/>
              </w:rPr>
              <w:t>□対応策の事前確認</w:t>
            </w:r>
          </w:p>
          <w:p w14:paraId="10FBDD4E" w14:textId="77777777" w:rsidR="0001205E" w:rsidRPr="001D6D10" w:rsidRDefault="0001205E" w:rsidP="00F35CFE">
            <w:pPr>
              <w:rPr>
                <w:rFonts w:ascii="HG丸ｺﾞｼｯｸM-PRO" w:eastAsia="HG丸ｺﾞｼｯｸM-PRO" w:hAnsi="HG丸ｺﾞｼｯｸM-PRO"/>
                <w:szCs w:val="21"/>
              </w:rPr>
            </w:pPr>
            <w:r w:rsidRPr="001D6D10">
              <w:rPr>
                <w:rFonts w:ascii="HG丸ｺﾞｼｯｸM-PRO" w:eastAsia="HG丸ｺﾞｼｯｸM-PRO" w:hAnsi="HG丸ｺﾞｼｯｸM-PRO" w:hint="eastAsia"/>
                <w:szCs w:val="21"/>
              </w:rPr>
              <w:t xml:space="preserve">　※</w:t>
            </w:r>
            <w:r w:rsidR="007F14B3" w:rsidRPr="001D6D10">
              <w:rPr>
                <w:rFonts w:ascii="HG丸ｺﾞｼｯｸM-PRO" w:eastAsia="HG丸ｺﾞｼｯｸM-PRO" w:hAnsi="HG丸ｺﾞｼｯｸM-PRO" w:hint="eastAsia"/>
                <w:szCs w:val="21"/>
              </w:rPr>
              <w:t>各所属</w:t>
            </w:r>
          </w:p>
        </w:tc>
      </w:tr>
      <w:tr w:rsidR="001D6D10" w:rsidRPr="001D6D10" w14:paraId="3F227F06" w14:textId="77777777" w:rsidTr="00F35CFE">
        <w:trPr>
          <w:jc w:val="center"/>
        </w:trPr>
        <w:tc>
          <w:tcPr>
            <w:tcW w:w="1457" w:type="dxa"/>
            <w:vMerge w:val="restart"/>
          </w:tcPr>
          <w:p w14:paraId="3D8C4EC2" w14:textId="77777777" w:rsidR="00934E60" w:rsidRPr="001D6D10" w:rsidRDefault="00934E60" w:rsidP="00F35CFE">
            <w:pPr>
              <w:rPr>
                <w:rFonts w:ascii="HG丸ｺﾞｼｯｸM-PRO" w:eastAsia="HG丸ｺﾞｼｯｸM-PRO" w:hAnsi="HG丸ｺﾞｼｯｸM-PRO"/>
                <w:szCs w:val="21"/>
              </w:rPr>
            </w:pPr>
          </w:p>
          <w:p w14:paraId="4AB64D54" w14:textId="77777777" w:rsidR="00934E60" w:rsidRPr="001D6D10" w:rsidRDefault="00934E60" w:rsidP="00F35CFE">
            <w:pPr>
              <w:rPr>
                <w:rFonts w:ascii="HG丸ｺﾞｼｯｸM-PRO" w:eastAsia="HG丸ｺﾞｼｯｸM-PRO" w:hAnsi="HG丸ｺﾞｼｯｸM-PRO"/>
                <w:szCs w:val="21"/>
              </w:rPr>
            </w:pPr>
          </w:p>
          <w:p w14:paraId="4EC17C16" w14:textId="77777777" w:rsidR="00934E60" w:rsidRPr="001D6D10" w:rsidRDefault="00934E60" w:rsidP="00F35CFE">
            <w:pPr>
              <w:rPr>
                <w:rFonts w:ascii="HG丸ｺﾞｼｯｸM-PRO" w:eastAsia="HG丸ｺﾞｼｯｸM-PRO" w:hAnsi="HG丸ｺﾞｼｯｸM-PRO"/>
                <w:szCs w:val="21"/>
              </w:rPr>
            </w:pPr>
          </w:p>
          <w:p w14:paraId="6FC23965" w14:textId="77777777" w:rsidR="00934E60" w:rsidRPr="001D6D10" w:rsidRDefault="00934E60" w:rsidP="00F35CFE">
            <w:pPr>
              <w:rPr>
                <w:rFonts w:ascii="HG丸ｺﾞｼｯｸM-PRO" w:eastAsia="HG丸ｺﾞｼｯｸM-PRO" w:hAnsi="HG丸ｺﾞｼｯｸM-PRO"/>
                <w:szCs w:val="21"/>
              </w:rPr>
            </w:pPr>
          </w:p>
          <w:p w14:paraId="0920DCFE" w14:textId="77777777" w:rsidR="00934E60" w:rsidRPr="001D6D10" w:rsidRDefault="00934E60" w:rsidP="00F35CFE">
            <w:pPr>
              <w:rPr>
                <w:rFonts w:ascii="HG丸ｺﾞｼｯｸM-PRO" w:eastAsia="HG丸ｺﾞｼｯｸM-PRO" w:hAnsi="HG丸ｺﾞｼｯｸM-PRO"/>
                <w:szCs w:val="21"/>
              </w:rPr>
            </w:pPr>
          </w:p>
          <w:p w14:paraId="4CCAB525" w14:textId="77777777" w:rsidR="00934E60" w:rsidRPr="001D6D10" w:rsidRDefault="00934E60" w:rsidP="00F35CFE">
            <w:pPr>
              <w:rPr>
                <w:rFonts w:ascii="HG丸ｺﾞｼｯｸM-PRO" w:eastAsia="HG丸ｺﾞｼｯｸM-PRO" w:hAnsi="HG丸ｺﾞｼｯｸM-PRO"/>
                <w:szCs w:val="21"/>
              </w:rPr>
            </w:pPr>
          </w:p>
          <w:p w14:paraId="1794211D" w14:textId="77777777" w:rsidR="0001205E" w:rsidRPr="001D6D10" w:rsidRDefault="0001205E" w:rsidP="00F35CFE">
            <w:pPr>
              <w:rPr>
                <w:rFonts w:ascii="HG丸ｺﾞｼｯｸM-PRO" w:eastAsia="HG丸ｺﾞｼｯｸM-PRO" w:hAnsi="HG丸ｺﾞｼｯｸM-PRO"/>
                <w:szCs w:val="21"/>
              </w:rPr>
            </w:pPr>
            <w:r w:rsidRPr="001D6D10">
              <w:rPr>
                <w:rFonts w:ascii="HG丸ｺﾞｼｯｸM-PRO" w:eastAsia="HG丸ｺﾞｼｯｸM-PRO" w:hAnsi="HG丸ｺﾞｼｯｸM-PRO" w:hint="eastAsia"/>
                <w:szCs w:val="21"/>
              </w:rPr>
              <w:t>48ｈ前～</w:t>
            </w:r>
          </w:p>
          <w:p w14:paraId="28C712C1" w14:textId="77777777" w:rsidR="0001205E" w:rsidRPr="001D6D10" w:rsidRDefault="0001205E" w:rsidP="00F35CFE">
            <w:pPr>
              <w:rPr>
                <w:rFonts w:ascii="HG丸ｺﾞｼｯｸM-PRO" w:eastAsia="HG丸ｺﾞｼｯｸM-PRO" w:hAnsi="HG丸ｺﾞｼｯｸM-PRO"/>
                <w:szCs w:val="21"/>
              </w:rPr>
            </w:pPr>
            <w:r w:rsidRPr="001D6D10">
              <w:rPr>
                <w:rFonts w:ascii="HG丸ｺﾞｼｯｸM-PRO" w:eastAsia="HG丸ｺﾞｼｯｸM-PRO" w:hAnsi="HG丸ｺﾞｼｯｸM-PRO" w:hint="eastAsia"/>
                <w:szCs w:val="21"/>
              </w:rPr>
              <w:t xml:space="preserve">　　24ｈ前</w:t>
            </w:r>
          </w:p>
          <w:p w14:paraId="782738F2" w14:textId="77777777" w:rsidR="0001205E" w:rsidRPr="001D6D10" w:rsidRDefault="0001205E" w:rsidP="00F35CFE">
            <w:pPr>
              <w:rPr>
                <w:rFonts w:ascii="HG丸ｺﾞｼｯｸM-PRO" w:eastAsia="HG丸ｺﾞｼｯｸM-PRO" w:hAnsi="HG丸ｺﾞｼｯｸM-PRO"/>
                <w:szCs w:val="21"/>
              </w:rPr>
            </w:pPr>
            <w:r w:rsidRPr="001D6D10">
              <w:rPr>
                <w:rFonts w:ascii="HG丸ｺﾞｼｯｸM-PRO" w:eastAsia="HG丸ｺﾞｼｯｸM-PRO" w:hAnsi="HG丸ｺﾞｼｯｸM-PRO" w:hint="eastAsia"/>
                <w:szCs w:val="21"/>
              </w:rPr>
              <w:t>（２日前）</w:t>
            </w:r>
          </w:p>
        </w:tc>
        <w:tc>
          <w:tcPr>
            <w:tcW w:w="7037" w:type="dxa"/>
          </w:tcPr>
          <w:p w14:paraId="13C09D05" w14:textId="77777777" w:rsidR="0001205E" w:rsidRPr="001D6D10" w:rsidRDefault="0001205E" w:rsidP="00F35CFE">
            <w:pPr>
              <w:rPr>
                <w:rFonts w:ascii="HG丸ｺﾞｼｯｸM-PRO" w:eastAsia="HG丸ｺﾞｼｯｸM-PRO" w:hAnsi="HG丸ｺﾞｼｯｸM-PRO"/>
                <w:sz w:val="18"/>
                <w:szCs w:val="18"/>
              </w:rPr>
            </w:pPr>
            <w:r w:rsidRPr="001D6D10">
              <w:rPr>
                <w:rFonts w:ascii="HG丸ｺﾞｼｯｸM-PRO" w:eastAsia="HG丸ｺﾞｼｯｸM-PRO" w:hAnsi="HG丸ｺﾞｼｯｸM-PRO" w:hint="eastAsia"/>
                <w:szCs w:val="21"/>
              </w:rPr>
              <w:t>庁内連絡会議①：災害モード宣言の内容、第1回災害警戒本部会議の事前調整等</w:t>
            </w:r>
            <w:r w:rsidRPr="001D6D10">
              <w:rPr>
                <w:rFonts w:ascii="HG丸ｺﾞｼｯｸM-PRO" w:eastAsia="HG丸ｺﾞｼｯｸM-PRO" w:hAnsi="HG丸ｺﾞｼｯｸM-PRO" w:hint="eastAsia"/>
                <w:sz w:val="18"/>
                <w:szCs w:val="18"/>
              </w:rPr>
              <w:t>(警戒本部会議議題：管理施設の休館及び学校休校の検討、イベント等の中止検討、職員の配備態勢)</w:t>
            </w:r>
          </w:p>
          <w:p w14:paraId="5F547B17" w14:textId="77777777" w:rsidR="00A2101B" w:rsidRPr="001D6D10" w:rsidRDefault="00A2101B" w:rsidP="00A2101B">
            <w:pPr>
              <w:rPr>
                <w:rFonts w:ascii="HG丸ｺﾞｼｯｸM-PRO" w:eastAsia="HG丸ｺﾞｼｯｸM-PRO" w:hAnsi="HG丸ｺﾞｼｯｸM-PRO"/>
                <w:szCs w:val="21"/>
              </w:rPr>
            </w:pPr>
            <w:r w:rsidRPr="001D6D10">
              <w:rPr>
                <w:rFonts w:ascii="HG丸ｺﾞｼｯｸM-PRO" w:eastAsia="HG丸ｺﾞｼｯｸM-PRO" w:hAnsi="HG丸ｺﾞｼｯｸM-PRO" w:hint="eastAsia"/>
                <w:szCs w:val="21"/>
              </w:rPr>
              <w:t>□第１回災害警戒本部会議の事前準備</w:t>
            </w:r>
          </w:p>
          <w:p w14:paraId="47031CFD" w14:textId="77777777" w:rsidR="00A2101B" w:rsidRPr="001D6D10" w:rsidRDefault="00A2101B" w:rsidP="00A2101B">
            <w:pPr>
              <w:rPr>
                <w:rFonts w:ascii="HG丸ｺﾞｼｯｸM-PRO" w:eastAsia="HG丸ｺﾞｼｯｸM-PRO" w:hAnsi="HG丸ｺﾞｼｯｸM-PRO"/>
                <w:szCs w:val="21"/>
              </w:rPr>
            </w:pPr>
            <w:r w:rsidRPr="001D6D10">
              <w:rPr>
                <w:rFonts w:ascii="HG丸ｺﾞｼｯｸM-PRO" w:eastAsia="HG丸ｺﾞｼｯｸM-PRO" w:hAnsi="HG丸ｺﾞｼｯｸM-PRO" w:hint="eastAsia"/>
                <w:szCs w:val="21"/>
              </w:rPr>
              <w:t xml:space="preserve">　・部局内の対応状況の確認、会議での報告のとりまとめ</w:t>
            </w:r>
          </w:p>
          <w:p w14:paraId="5D7BE482" w14:textId="77777777" w:rsidR="00335440" w:rsidRPr="001D6D10" w:rsidRDefault="00A2101B" w:rsidP="00335440">
            <w:pPr>
              <w:rPr>
                <w:rFonts w:ascii="HG丸ｺﾞｼｯｸM-PRO" w:eastAsia="HG丸ｺﾞｼｯｸM-PRO" w:hAnsi="HG丸ｺﾞｼｯｸM-PRO"/>
                <w:szCs w:val="21"/>
              </w:rPr>
            </w:pPr>
            <w:r w:rsidRPr="001D6D10">
              <w:rPr>
                <w:rFonts w:ascii="HG丸ｺﾞｼｯｸM-PRO" w:eastAsia="HG丸ｺﾞｼｯｸM-PRO" w:hAnsi="HG丸ｺﾞｼｯｸM-PRO" w:hint="eastAsia"/>
                <w:szCs w:val="21"/>
              </w:rPr>
              <w:t xml:space="preserve">　・庁舎・所管施設の安全確認</w:t>
            </w:r>
          </w:p>
          <w:p w14:paraId="74FA3DD1" w14:textId="77777777" w:rsidR="00A2101B" w:rsidRPr="001D6D10" w:rsidRDefault="00A2101B" w:rsidP="00335440">
            <w:pPr>
              <w:rPr>
                <w:rFonts w:ascii="HG丸ｺﾞｼｯｸM-PRO" w:eastAsia="HG丸ｺﾞｼｯｸM-PRO" w:hAnsi="HG丸ｺﾞｼｯｸM-PRO"/>
                <w:szCs w:val="21"/>
                <w:u w:val="single"/>
              </w:rPr>
            </w:pPr>
            <w:r w:rsidRPr="001D6D10">
              <w:rPr>
                <w:rFonts w:ascii="HG丸ｺﾞｼｯｸM-PRO" w:eastAsia="HG丸ｺﾞｼｯｸM-PRO" w:hAnsi="HG丸ｺﾞｼｯｸM-PRO" w:hint="eastAsia"/>
                <w:szCs w:val="21"/>
                <w:bdr w:val="single" w:sz="4" w:space="0" w:color="auto"/>
              </w:rPr>
              <w:t>台風説明会</w:t>
            </w:r>
          </w:p>
        </w:tc>
      </w:tr>
      <w:tr w:rsidR="001D6D10" w:rsidRPr="001D6D10" w14:paraId="24051FAE" w14:textId="77777777" w:rsidTr="00F35CFE">
        <w:trPr>
          <w:jc w:val="center"/>
        </w:trPr>
        <w:tc>
          <w:tcPr>
            <w:tcW w:w="1457" w:type="dxa"/>
            <w:vMerge/>
          </w:tcPr>
          <w:p w14:paraId="296FEC03" w14:textId="77777777" w:rsidR="0001205E" w:rsidRPr="001D6D10" w:rsidRDefault="0001205E" w:rsidP="00F35CFE">
            <w:pPr>
              <w:rPr>
                <w:rFonts w:ascii="HG丸ｺﾞｼｯｸM-PRO" w:eastAsia="HG丸ｺﾞｼｯｸM-PRO" w:hAnsi="HG丸ｺﾞｼｯｸM-PRO"/>
                <w:szCs w:val="21"/>
              </w:rPr>
            </w:pPr>
          </w:p>
        </w:tc>
        <w:tc>
          <w:tcPr>
            <w:tcW w:w="7037" w:type="dxa"/>
          </w:tcPr>
          <w:p w14:paraId="45BDF8F8" w14:textId="77777777" w:rsidR="0001205E" w:rsidRPr="001D6D10" w:rsidRDefault="0001205E" w:rsidP="00F35CFE">
            <w:pPr>
              <w:rPr>
                <w:rFonts w:ascii="HG丸ｺﾞｼｯｸM-PRO" w:eastAsia="HG丸ｺﾞｼｯｸM-PRO" w:hAnsi="HG丸ｺﾞｼｯｸM-PRO"/>
                <w:szCs w:val="21"/>
                <w:highlight w:val="yellow"/>
              </w:rPr>
            </w:pPr>
            <w:r w:rsidRPr="001D6D10">
              <w:rPr>
                <w:rFonts w:ascii="HG丸ｺﾞｼｯｸM-PRO" w:eastAsia="HG丸ｺﾞｼｯｸM-PRO" w:hAnsi="HG丸ｺﾞｼｯｸM-PRO" w:hint="eastAsia"/>
                <w:b/>
                <w:szCs w:val="21"/>
                <w:highlight w:val="yellow"/>
              </w:rPr>
              <w:t>第1回災害警戒本部会議</w:t>
            </w:r>
            <w:r w:rsidRPr="001D6D10">
              <w:rPr>
                <w:rFonts w:ascii="HG丸ｺﾞｼｯｸM-PRO" w:eastAsia="HG丸ｺﾞｼｯｸM-PRO" w:hAnsi="HG丸ｺﾞｼｯｸM-PRO" w:hint="eastAsia"/>
                <w:szCs w:val="21"/>
                <w:highlight w:val="yellow"/>
              </w:rPr>
              <w:t>（災害モード宣言の内容検討）</w:t>
            </w:r>
            <w:r w:rsidR="00CB0ABF" w:rsidRPr="001D6D10">
              <w:rPr>
                <w:rFonts w:ascii="HG丸ｺﾞｼｯｸM-PRO" w:eastAsia="HG丸ｺﾞｼｯｸM-PRO" w:hAnsi="HG丸ｺﾞｼｯｸM-PRO" w:hint="eastAsia"/>
                <w:szCs w:val="21"/>
                <w:highlight w:val="yellow"/>
              </w:rPr>
              <w:t>（Ｐ47</w:t>
            </w:r>
            <w:r w:rsidR="0010145B" w:rsidRPr="001D6D10">
              <w:rPr>
                <w:rFonts w:ascii="HG丸ｺﾞｼｯｸM-PRO" w:eastAsia="HG丸ｺﾞｼｯｸM-PRO" w:hAnsi="HG丸ｺﾞｼｯｸM-PRO" w:hint="eastAsia"/>
                <w:szCs w:val="21"/>
                <w:highlight w:val="yellow"/>
              </w:rPr>
              <w:t>参照）</w:t>
            </w:r>
          </w:p>
        </w:tc>
      </w:tr>
      <w:tr w:rsidR="001D6D10" w:rsidRPr="001D6D10" w14:paraId="1D15F9E7" w14:textId="77777777" w:rsidTr="00F35CFE">
        <w:trPr>
          <w:jc w:val="center"/>
        </w:trPr>
        <w:tc>
          <w:tcPr>
            <w:tcW w:w="1457" w:type="dxa"/>
            <w:vMerge/>
          </w:tcPr>
          <w:p w14:paraId="739D2B07" w14:textId="77777777" w:rsidR="0001205E" w:rsidRPr="001D6D10" w:rsidRDefault="0001205E" w:rsidP="00F35CFE">
            <w:pPr>
              <w:rPr>
                <w:rFonts w:ascii="HG丸ｺﾞｼｯｸM-PRO" w:eastAsia="HG丸ｺﾞｼｯｸM-PRO" w:hAnsi="HG丸ｺﾞｼｯｸM-PRO"/>
                <w:szCs w:val="21"/>
              </w:rPr>
            </w:pPr>
          </w:p>
        </w:tc>
        <w:tc>
          <w:tcPr>
            <w:tcW w:w="7037" w:type="dxa"/>
          </w:tcPr>
          <w:p w14:paraId="6F889D0F" w14:textId="77777777" w:rsidR="0001205E" w:rsidRPr="001D6D10" w:rsidRDefault="0001205E" w:rsidP="00F35CFE">
            <w:pPr>
              <w:rPr>
                <w:rFonts w:ascii="HG丸ｺﾞｼｯｸM-PRO" w:eastAsia="HG丸ｺﾞｼｯｸM-PRO" w:hAnsi="HG丸ｺﾞｼｯｸM-PRO"/>
                <w:szCs w:val="21"/>
              </w:rPr>
            </w:pPr>
            <w:r w:rsidRPr="001D6D10">
              <w:rPr>
                <w:rFonts w:ascii="HG丸ｺﾞｼｯｸM-PRO" w:eastAsia="HG丸ｺﾞｼｯｸM-PRO" w:hAnsi="HG丸ｺﾞｼｯｸM-PRO" w:hint="eastAsia"/>
                <w:szCs w:val="21"/>
              </w:rPr>
              <w:t>□危機管理室からの災害情報等を関係者で共有</w:t>
            </w:r>
          </w:p>
          <w:p w14:paraId="66FE297B" w14:textId="77777777" w:rsidR="005A0125" w:rsidRPr="001D6D10" w:rsidRDefault="005A0125" w:rsidP="005A0125">
            <w:pPr>
              <w:rPr>
                <w:rFonts w:ascii="HG丸ｺﾞｼｯｸM-PRO" w:eastAsia="HG丸ｺﾞｼｯｸM-PRO" w:hAnsi="HG丸ｺﾞｼｯｸM-PRO"/>
                <w:szCs w:val="21"/>
              </w:rPr>
            </w:pPr>
            <w:r w:rsidRPr="001D6D10">
              <w:rPr>
                <w:rFonts w:ascii="HG丸ｺﾞｼｯｸM-PRO" w:eastAsia="HG丸ｺﾞｼｯｸM-PRO" w:hAnsi="HG丸ｺﾞｼｯｸM-PRO" w:hint="eastAsia"/>
                <w:szCs w:val="21"/>
              </w:rPr>
              <w:t>□公共交通機関計画運休の確認</w:t>
            </w:r>
          </w:p>
          <w:p w14:paraId="3F8A3637" w14:textId="77777777" w:rsidR="009D2212" w:rsidRPr="001D6D10" w:rsidRDefault="009D2212" w:rsidP="009D2212">
            <w:pPr>
              <w:rPr>
                <w:rFonts w:ascii="HG丸ｺﾞｼｯｸM-PRO" w:eastAsia="HG丸ｺﾞｼｯｸM-PRO" w:hAnsi="HG丸ｺﾞｼｯｸM-PRO"/>
                <w:szCs w:val="21"/>
              </w:rPr>
            </w:pPr>
            <w:r w:rsidRPr="001D6D10">
              <w:rPr>
                <w:rFonts w:ascii="HG丸ｺﾞｼｯｸM-PRO" w:eastAsia="HG丸ｺﾞｼｯｸM-PRO" w:hAnsi="HG丸ｺﾞｼｯｸM-PRO" w:hint="eastAsia"/>
                <w:szCs w:val="21"/>
              </w:rPr>
              <w:t>□職員体制の確認・確保</w:t>
            </w:r>
          </w:p>
          <w:p w14:paraId="344EB05A" w14:textId="77777777" w:rsidR="0001205E" w:rsidRPr="001D6D10" w:rsidRDefault="0001205E" w:rsidP="00F35CFE">
            <w:pPr>
              <w:rPr>
                <w:rFonts w:ascii="HG丸ｺﾞｼｯｸM-PRO" w:eastAsia="HG丸ｺﾞｼｯｸM-PRO" w:hAnsi="HG丸ｺﾞｼｯｸM-PRO"/>
                <w:szCs w:val="21"/>
              </w:rPr>
            </w:pPr>
            <w:r w:rsidRPr="001D6D10">
              <w:rPr>
                <w:rFonts w:ascii="HG丸ｺﾞｼｯｸM-PRO" w:eastAsia="HG丸ｺﾞｼｯｸM-PRO" w:hAnsi="HG丸ｺﾞｼｯｸM-PRO" w:hint="eastAsia"/>
                <w:szCs w:val="21"/>
              </w:rPr>
              <w:t>□所管施設（労働センター、北大阪・東大阪・南大阪・夕陽丘高等職業技術専門学校、大阪障害者職業能力開発校）の休館・休校等の調整</w:t>
            </w:r>
          </w:p>
          <w:p w14:paraId="49D03467" w14:textId="77777777" w:rsidR="0001205E" w:rsidRPr="001D6D10" w:rsidRDefault="0001205E" w:rsidP="00F35CFE">
            <w:pPr>
              <w:rPr>
                <w:rFonts w:ascii="HG丸ｺﾞｼｯｸM-PRO" w:eastAsia="HG丸ｺﾞｼｯｸM-PRO" w:hAnsi="HG丸ｺﾞｼｯｸM-PRO"/>
                <w:szCs w:val="21"/>
              </w:rPr>
            </w:pPr>
            <w:r w:rsidRPr="001D6D10">
              <w:rPr>
                <w:rFonts w:ascii="HG丸ｺﾞｼｯｸM-PRO" w:eastAsia="HG丸ｺﾞｼｯｸM-PRO" w:hAnsi="HG丸ｺﾞｼｯｸM-PRO" w:hint="eastAsia"/>
                <w:szCs w:val="21"/>
              </w:rPr>
              <w:t xml:space="preserve">　※雇用推進室 ⇔ 所管施設</w:t>
            </w:r>
          </w:p>
          <w:p w14:paraId="537726BD" w14:textId="77777777" w:rsidR="0001205E" w:rsidRPr="001D6D10" w:rsidRDefault="0001205E" w:rsidP="00F35CFE">
            <w:pPr>
              <w:rPr>
                <w:rFonts w:ascii="HG丸ｺﾞｼｯｸM-PRO" w:eastAsia="HG丸ｺﾞｼｯｸM-PRO" w:hAnsi="HG丸ｺﾞｼｯｸM-PRO"/>
                <w:szCs w:val="21"/>
              </w:rPr>
            </w:pPr>
            <w:r w:rsidRPr="001D6D10">
              <w:rPr>
                <w:rFonts w:ascii="HG丸ｺﾞｼｯｸM-PRO" w:eastAsia="HG丸ｺﾞｼｯｸM-PRO" w:hAnsi="HG丸ｺﾞｼｯｸM-PRO" w:hint="eastAsia"/>
                <w:szCs w:val="21"/>
              </w:rPr>
              <w:t>□各所属において公共交通機関計画運休の確認・共有</w:t>
            </w:r>
          </w:p>
        </w:tc>
      </w:tr>
      <w:tr w:rsidR="001D6D10" w:rsidRPr="001D6D10" w14:paraId="4DA64C7E" w14:textId="77777777" w:rsidTr="00F35CFE">
        <w:trPr>
          <w:jc w:val="center"/>
        </w:trPr>
        <w:tc>
          <w:tcPr>
            <w:tcW w:w="1457" w:type="dxa"/>
            <w:vMerge w:val="restart"/>
          </w:tcPr>
          <w:p w14:paraId="6F20D334" w14:textId="77777777" w:rsidR="00934E60" w:rsidRPr="001D6D10" w:rsidRDefault="00934E60" w:rsidP="00F35CFE">
            <w:pPr>
              <w:rPr>
                <w:rFonts w:ascii="HG丸ｺﾞｼｯｸM-PRO" w:eastAsia="HG丸ｺﾞｼｯｸM-PRO" w:hAnsi="HG丸ｺﾞｼｯｸM-PRO"/>
                <w:szCs w:val="21"/>
              </w:rPr>
            </w:pPr>
          </w:p>
          <w:p w14:paraId="59536C3F" w14:textId="77777777" w:rsidR="00934E60" w:rsidRPr="001D6D10" w:rsidRDefault="00934E60" w:rsidP="00F35CFE">
            <w:pPr>
              <w:rPr>
                <w:rFonts w:ascii="HG丸ｺﾞｼｯｸM-PRO" w:eastAsia="HG丸ｺﾞｼｯｸM-PRO" w:hAnsi="HG丸ｺﾞｼｯｸM-PRO"/>
                <w:szCs w:val="21"/>
              </w:rPr>
            </w:pPr>
          </w:p>
          <w:p w14:paraId="706C9E8D" w14:textId="77777777" w:rsidR="00934E60" w:rsidRPr="001D6D10" w:rsidRDefault="00934E60" w:rsidP="00F35CFE">
            <w:pPr>
              <w:rPr>
                <w:rFonts w:ascii="HG丸ｺﾞｼｯｸM-PRO" w:eastAsia="HG丸ｺﾞｼｯｸM-PRO" w:hAnsi="HG丸ｺﾞｼｯｸM-PRO"/>
                <w:szCs w:val="21"/>
              </w:rPr>
            </w:pPr>
          </w:p>
          <w:p w14:paraId="120B761F" w14:textId="77777777" w:rsidR="0001205E" w:rsidRPr="001D6D10" w:rsidRDefault="0001205E" w:rsidP="00F35CFE">
            <w:pPr>
              <w:rPr>
                <w:rFonts w:ascii="HG丸ｺﾞｼｯｸM-PRO" w:eastAsia="HG丸ｺﾞｼｯｸM-PRO" w:hAnsi="HG丸ｺﾞｼｯｸM-PRO"/>
                <w:szCs w:val="21"/>
              </w:rPr>
            </w:pPr>
            <w:r w:rsidRPr="001D6D10">
              <w:rPr>
                <w:rFonts w:ascii="HG丸ｺﾞｼｯｸM-PRO" w:eastAsia="HG丸ｺﾞｼｯｸM-PRO" w:hAnsi="HG丸ｺﾞｼｯｸM-PRO" w:hint="eastAsia"/>
                <w:szCs w:val="21"/>
              </w:rPr>
              <w:t>24ｈ前～</w:t>
            </w:r>
          </w:p>
          <w:p w14:paraId="5CBF3024" w14:textId="77777777" w:rsidR="0001205E" w:rsidRPr="001D6D10" w:rsidRDefault="0001205E" w:rsidP="00F35CFE">
            <w:pPr>
              <w:rPr>
                <w:rFonts w:ascii="HG丸ｺﾞｼｯｸM-PRO" w:eastAsia="HG丸ｺﾞｼｯｸM-PRO" w:hAnsi="HG丸ｺﾞｼｯｸM-PRO"/>
                <w:szCs w:val="21"/>
              </w:rPr>
            </w:pPr>
            <w:r w:rsidRPr="001D6D10">
              <w:rPr>
                <w:rFonts w:ascii="HG丸ｺﾞｼｯｸM-PRO" w:eastAsia="HG丸ｺﾞｼｯｸM-PRO" w:hAnsi="HG丸ｺﾞｼｯｸM-PRO" w:hint="eastAsia"/>
                <w:szCs w:val="21"/>
              </w:rPr>
              <w:t xml:space="preserve">　　最接近</w:t>
            </w:r>
          </w:p>
          <w:p w14:paraId="2DA6CDB7" w14:textId="77777777" w:rsidR="0001205E" w:rsidRPr="001D6D10" w:rsidRDefault="0001205E" w:rsidP="00F35CFE">
            <w:pPr>
              <w:rPr>
                <w:rFonts w:ascii="HG丸ｺﾞｼｯｸM-PRO" w:eastAsia="HG丸ｺﾞｼｯｸM-PRO" w:hAnsi="HG丸ｺﾞｼｯｸM-PRO"/>
                <w:szCs w:val="21"/>
              </w:rPr>
            </w:pPr>
            <w:r w:rsidRPr="001D6D10">
              <w:rPr>
                <w:rFonts w:ascii="HG丸ｺﾞｼｯｸM-PRO" w:eastAsia="HG丸ｺﾞｼｯｸM-PRO" w:hAnsi="HG丸ｺﾞｼｯｸM-PRO" w:hint="eastAsia"/>
                <w:szCs w:val="21"/>
              </w:rPr>
              <w:t>（１日前）</w:t>
            </w:r>
          </w:p>
        </w:tc>
        <w:tc>
          <w:tcPr>
            <w:tcW w:w="7037" w:type="dxa"/>
          </w:tcPr>
          <w:p w14:paraId="732EA9E3" w14:textId="77777777" w:rsidR="0001205E" w:rsidRPr="001D6D10" w:rsidRDefault="0001205E" w:rsidP="00F35CFE">
            <w:pPr>
              <w:rPr>
                <w:rFonts w:ascii="HG丸ｺﾞｼｯｸM-PRO" w:eastAsia="HG丸ｺﾞｼｯｸM-PRO" w:hAnsi="HG丸ｺﾞｼｯｸM-PRO"/>
                <w:szCs w:val="21"/>
              </w:rPr>
            </w:pPr>
            <w:r w:rsidRPr="001D6D10">
              <w:rPr>
                <w:rFonts w:ascii="HG丸ｺﾞｼｯｸM-PRO" w:eastAsia="HG丸ｺﾞｼｯｸM-PRO" w:hAnsi="HG丸ｺﾞｼｯｸM-PRO" w:hint="eastAsia"/>
                <w:szCs w:val="21"/>
              </w:rPr>
              <w:t>庁内連絡会議②：第2回災害警戒本部会議の事前調整等</w:t>
            </w:r>
          </w:p>
          <w:p w14:paraId="60386372" w14:textId="77777777" w:rsidR="00A2101B" w:rsidRPr="001D6D10" w:rsidRDefault="00A2101B" w:rsidP="00A2101B">
            <w:pPr>
              <w:rPr>
                <w:rFonts w:ascii="HG丸ｺﾞｼｯｸM-PRO" w:eastAsia="HG丸ｺﾞｼｯｸM-PRO" w:hAnsi="HG丸ｺﾞｼｯｸM-PRO"/>
                <w:szCs w:val="21"/>
              </w:rPr>
            </w:pPr>
            <w:r w:rsidRPr="001D6D10">
              <w:rPr>
                <w:rFonts w:ascii="HG丸ｺﾞｼｯｸM-PRO" w:eastAsia="HG丸ｺﾞｼｯｸM-PRO" w:hAnsi="HG丸ｺﾞｼｯｸM-PRO" w:hint="eastAsia"/>
                <w:szCs w:val="21"/>
              </w:rPr>
              <w:t>□第２回災害警戒本部会議の事前準備</w:t>
            </w:r>
          </w:p>
          <w:p w14:paraId="6E4C0186" w14:textId="77777777" w:rsidR="00A2101B" w:rsidRPr="001D6D10" w:rsidRDefault="00A2101B" w:rsidP="00A2101B">
            <w:pPr>
              <w:rPr>
                <w:rFonts w:ascii="HG丸ｺﾞｼｯｸM-PRO" w:eastAsia="HG丸ｺﾞｼｯｸM-PRO" w:hAnsi="HG丸ｺﾞｼｯｸM-PRO"/>
                <w:szCs w:val="21"/>
              </w:rPr>
            </w:pPr>
            <w:r w:rsidRPr="001D6D10">
              <w:rPr>
                <w:rFonts w:ascii="HG丸ｺﾞｼｯｸM-PRO" w:eastAsia="HG丸ｺﾞｼｯｸM-PRO" w:hAnsi="HG丸ｺﾞｼｯｸM-PRO" w:hint="eastAsia"/>
                <w:szCs w:val="21"/>
              </w:rPr>
              <w:t xml:space="preserve">　・部局内の対応状況の確認、会議での報告のとりまとめ</w:t>
            </w:r>
          </w:p>
          <w:p w14:paraId="74E36E35" w14:textId="77777777" w:rsidR="00335440" w:rsidRPr="001D6D10" w:rsidRDefault="00A2101B" w:rsidP="00335440">
            <w:pPr>
              <w:rPr>
                <w:rFonts w:ascii="HG丸ｺﾞｼｯｸM-PRO" w:eastAsia="HG丸ｺﾞｼｯｸM-PRO" w:hAnsi="HG丸ｺﾞｼｯｸM-PRO"/>
                <w:szCs w:val="21"/>
              </w:rPr>
            </w:pPr>
            <w:r w:rsidRPr="001D6D10">
              <w:rPr>
                <w:rFonts w:ascii="HG丸ｺﾞｼｯｸM-PRO" w:eastAsia="HG丸ｺﾞｼｯｸM-PRO" w:hAnsi="HG丸ｺﾞｼｯｸM-PRO" w:hint="eastAsia"/>
                <w:szCs w:val="21"/>
              </w:rPr>
              <w:t xml:space="preserve">　・庁舎・所管施設の安全点検</w:t>
            </w:r>
          </w:p>
          <w:p w14:paraId="5407E342" w14:textId="77777777" w:rsidR="00A2101B" w:rsidRPr="001D6D10" w:rsidRDefault="00A2101B" w:rsidP="00335440">
            <w:pPr>
              <w:rPr>
                <w:rFonts w:ascii="HG丸ｺﾞｼｯｸM-PRO" w:eastAsia="HG丸ｺﾞｼｯｸM-PRO" w:hAnsi="HG丸ｺﾞｼｯｸM-PRO"/>
                <w:szCs w:val="21"/>
                <w:u w:val="single"/>
              </w:rPr>
            </w:pPr>
            <w:r w:rsidRPr="001D6D10">
              <w:rPr>
                <w:rFonts w:ascii="HG丸ｺﾞｼｯｸM-PRO" w:eastAsia="HG丸ｺﾞｼｯｸM-PRO" w:hAnsi="HG丸ｺﾞｼｯｸM-PRO" w:hint="eastAsia"/>
                <w:szCs w:val="21"/>
                <w:bdr w:val="single" w:sz="4" w:space="0" w:color="auto"/>
              </w:rPr>
              <w:t>台風説明会</w:t>
            </w:r>
          </w:p>
        </w:tc>
      </w:tr>
      <w:tr w:rsidR="001D6D10" w:rsidRPr="001D6D10" w14:paraId="1A258BD5" w14:textId="77777777" w:rsidTr="00F35CFE">
        <w:trPr>
          <w:jc w:val="center"/>
        </w:trPr>
        <w:tc>
          <w:tcPr>
            <w:tcW w:w="1457" w:type="dxa"/>
            <w:vMerge/>
          </w:tcPr>
          <w:p w14:paraId="7FD15EBA" w14:textId="77777777" w:rsidR="0001205E" w:rsidRPr="001D6D10" w:rsidRDefault="0001205E" w:rsidP="00F35CFE">
            <w:pPr>
              <w:rPr>
                <w:rFonts w:ascii="HG丸ｺﾞｼｯｸM-PRO" w:eastAsia="HG丸ｺﾞｼｯｸM-PRO" w:hAnsi="HG丸ｺﾞｼｯｸM-PRO"/>
                <w:szCs w:val="21"/>
              </w:rPr>
            </w:pPr>
          </w:p>
        </w:tc>
        <w:tc>
          <w:tcPr>
            <w:tcW w:w="7037" w:type="dxa"/>
          </w:tcPr>
          <w:p w14:paraId="1E2C076C" w14:textId="77777777" w:rsidR="0001205E" w:rsidRPr="001D6D10" w:rsidRDefault="0001205E" w:rsidP="00F35CFE">
            <w:pPr>
              <w:rPr>
                <w:rFonts w:ascii="HG丸ｺﾞｼｯｸM-PRO" w:eastAsia="HG丸ｺﾞｼｯｸM-PRO" w:hAnsi="HG丸ｺﾞｼｯｸM-PRO"/>
                <w:szCs w:val="21"/>
                <w:highlight w:val="yellow"/>
              </w:rPr>
            </w:pPr>
            <w:r w:rsidRPr="001D6D10">
              <w:rPr>
                <w:rFonts w:ascii="HG丸ｺﾞｼｯｸM-PRO" w:eastAsia="HG丸ｺﾞｼｯｸM-PRO" w:hAnsi="HG丸ｺﾞｼｯｸM-PRO" w:hint="eastAsia"/>
                <w:b/>
                <w:szCs w:val="21"/>
                <w:highlight w:val="yellow"/>
              </w:rPr>
              <w:t>第２回災害警戒本部会議</w:t>
            </w:r>
            <w:r w:rsidRPr="001D6D10">
              <w:rPr>
                <w:rFonts w:ascii="HG丸ｺﾞｼｯｸM-PRO" w:eastAsia="HG丸ｺﾞｼｯｸM-PRO" w:hAnsi="HG丸ｺﾞｼｯｸM-PRO" w:hint="eastAsia"/>
                <w:szCs w:val="21"/>
                <w:highlight w:val="yellow"/>
              </w:rPr>
              <w:t>（災害モード宣言の発信）</w:t>
            </w:r>
            <w:r w:rsidR="00CB0ABF" w:rsidRPr="001D6D10">
              <w:rPr>
                <w:rFonts w:ascii="HG丸ｺﾞｼｯｸM-PRO" w:eastAsia="HG丸ｺﾞｼｯｸM-PRO" w:hAnsi="HG丸ｺﾞｼｯｸM-PRO" w:hint="eastAsia"/>
                <w:szCs w:val="21"/>
                <w:highlight w:val="yellow"/>
              </w:rPr>
              <w:t>（Ｐ47</w:t>
            </w:r>
            <w:r w:rsidR="0010145B" w:rsidRPr="001D6D10">
              <w:rPr>
                <w:rFonts w:ascii="HG丸ｺﾞｼｯｸM-PRO" w:eastAsia="HG丸ｺﾞｼｯｸM-PRO" w:hAnsi="HG丸ｺﾞｼｯｸM-PRO" w:hint="eastAsia"/>
                <w:szCs w:val="21"/>
                <w:highlight w:val="yellow"/>
              </w:rPr>
              <w:t>参照）</w:t>
            </w:r>
          </w:p>
        </w:tc>
      </w:tr>
      <w:tr w:rsidR="001D6D10" w:rsidRPr="001D6D10" w14:paraId="4662849B" w14:textId="77777777" w:rsidTr="00F35CFE">
        <w:trPr>
          <w:jc w:val="center"/>
        </w:trPr>
        <w:tc>
          <w:tcPr>
            <w:tcW w:w="1457" w:type="dxa"/>
            <w:vMerge/>
          </w:tcPr>
          <w:p w14:paraId="2D723CCD" w14:textId="77777777" w:rsidR="0001205E" w:rsidRPr="001D6D10" w:rsidRDefault="0001205E" w:rsidP="00F35CFE">
            <w:pPr>
              <w:rPr>
                <w:rFonts w:ascii="HG丸ｺﾞｼｯｸM-PRO" w:eastAsia="HG丸ｺﾞｼｯｸM-PRO" w:hAnsi="HG丸ｺﾞｼｯｸM-PRO"/>
                <w:szCs w:val="21"/>
              </w:rPr>
            </w:pPr>
          </w:p>
        </w:tc>
        <w:tc>
          <w:tcPr>
            <w:tcW w:w="7037" w:type="dxa"/>
          </w:tcPr>
          <w:p w14:paraId="129356D2" w14:textId="77777777" w:rsidR="0001205E" w:rsidRPr="001D6D10" w:rsidRDefault="0001205E" w:rsidP="00F35CFE">
            <w:pPr>
              <w:rPr>
                <w:rFonts w:ascii="HG丸ｺﾞｼｯｸM-PRO" w:eastAsia="HG丸ｺﾞｼｯｸM-PRO" w:hAnsi="HG丸ｺﾞｼｯｸM-PRO"/>
                <w:szCs w:val="21"/>
              </w:rPr>
            </w:pPr>
            <w:r w:rsidRPr="001D6D10">
              <w:rPr>
                <w:rFonts w:ascii="HG丸ｺﾞｼｯｸM-PRO" w:eastAsia="HG丸ｺﾞｼｯｸM-PRO" w:hAnsi="HG丸ｺﾞｼｯｸM-PRO" w:hint="eastAsia"/>
                <w:szCs w:val="21"/>
              </w:rPr>
              <w:t>□危機管理室からの災害情報等を関係者で共有</w:t>
            </w:r>
          </w:p>
          <w:p w14:paraId="397681AB" w14:textId="77777777" w:rsidR="0001205E" w:rsidRPr="001D6D10" w:rsidRDefault="0001205E" w:rsidP="00F35CFE">
            <w:pPr>
              <w:rPr>
                <w:rFonts w:ascii="HG丸ｺﾞｼｯｸM-PRO" w:eastAsia="HG丸ｺﾞｼｯｸM-PRO" w:hAnsi="HG丸ｺﾞｼｯｸM-PRO"/>
                <w:szCs w:val="21"/>
              </w:rPr>
            </w:pPr>
            <w:r w:rsidRPr="001D6D10">
              <w:rPr>
                <w:rFonts w:ascii="HG丸ｺﾞｼｯｸM-PRO" w:eastAsia="HG丸ｺﾞｼｯｸM-PRO" w:hAnsi="HG丸ｺﾞｼｯｸM-PRO" w:hint="eastAsia"/>
                <w:szCs w:val="21"/>
              </w:rPr>
              <w:t>□被害情報収集依頼</w:t>
            </w:r>
          </w:p>
          <w:p w14:paraId="12594CA0" w14:textId="77777777" w:rsidR="0001205E" w:rsidRPr="001D6D10" w:rsidRDefault="0001205E" w:rsidP="00F35CFE">
            <w:pPr>
              <w:rPr>
                <w:rFonts w:ascii="HG丸ｺﾞｼｯｸM-PRO" w:eastAsia="HG丸ｺﾞｼｯｸM-PRO" w:hAnsi="HG丸ｺﾞｼｯｸM-PRO"/>
                <w:szCs w:val="21"/>
              </w:rPr>
            </w:pPr>
            <w:r w:rsidRPr="001D6D10">
              <w:rPr>
                <w:rFonts w:ascii="HG丸ｺﾞｼｯｸM-PRO" w:eastAsia="HG丸ｺﾞｼｯｸM-PRO" w:hAnsi="HG丸ｺﾞｼｯｸM-PRO" w:hint="eastAsia"/>
                <w:szCs w:val="21"/>
              </w:rPr>
              <w:t xml:space="preserve">　※各部連絡責任者 ⇔ 各所属連絡担当者 ⇔ 所管施設</w:t>
            </w:r>
          </w:p>
          <w:p w14:paraId="06DD3EE4" w14:textId="77777777" w:rsidR="0001205E" w:rsidRPr="001D6D10" w:rsidRDefault="0001205E" w:rsidP="00F35CFE">
            <w:pPr>
              <w:rPr>
                <w:rFonts w:ascii="HG丸ｺﾞｼｯｸM-PRO" w:eastAsia="HG丸ｺﾞｼｯｸM-PRO" w:hAnsi="HG丸ｺﾞｼｯｸM-PRO"/>
                <w:szCs w:val="21"/>
              </w:rPr>
            </w:pPr>
            <w:r w:rsidRPr="001D6D10">
              <w:rPr>
                <w:rFonts w:ascii="HG丸ｺﾞｼｯｸM-PRO" w:eastAsia="HG丸ｺﾞｼｯｸM-PRO" w:hAnsi="HG丸ｺﾞｼｯｸM-PRO" w:hint="eastAsia"/>
                <w:szCs w:val="21"/>
              </w:rPr>
              <w:t xml:space="preserve">　※各部連絡責任者 ⇔ 各所属連絡担当者 ⇔ 咲州以外執務室</w:t>
            </w:r>
          </w:p>
          <w:p w14:paraId="70C25D1C" w14:textId="77777777" w:rsidR="0001205E" w:rsidRPr="001D6D10" w:rsidRDefault="0001205E" w:rsidP="00F35CFE">
            <w:pPr>
              <w:rPr>
                <w:rFonts w:ascii="HG丸ｺﾞｼｯｸM-PRO" w:eastAsia="HG丸ｺﾞｼｯｸM-PRO" w:hAnsi="HG丸ｺﾞｼｯｸM-PRO"/>
                <w:szCs w:val="21"/>
              </w:rPr>
            </w:pPr>
            <w:r w:rsidRPr="001D6D10">
              <w:rPr>
                <w:rFonts w:ascii="HG丸ｺﾞｼｯｸM-PRO" w:eastAsia="HG丸ｺﾞｼｯｸM-PRO" w:hAnsi="HG丸ｺﾞｼｯｸM-PRO" w:hint="eastAsia"/>
                <w:szCs w:val="21"/>
              </w:rPr>
              <w:lastRenderedPageBreak/>
              <w:t>□所管施設（労働センター、北大阪・東大阪・南大阪・夕陽丘高等職業技術専門学校、大阪障害者職業能力開発校）の休館・休校等の調整</w:t>
            </w:r>
          </w:p>
          <w:p w14:paraId="6B7AE26C" w14:textId="77777777" w:rsidR="0001205E" w:rsidRPr="001D6D10" w:rsidRDefault="0001205E" w:rsidP="00F35CFE">
            <w:pPr>
              <w:rPr>
                <w:rFonts w:ascii="HG丸ｺﾞｼｯｸM-PRO" w:eastAsia="HG丸ｺﾞｼｯｸM-PRO" w:hAnsi="HG丸ｺﾞｼｯｸM-PRO"/>
                <w:szCs w:val="21"/>
              </w:rPr>
            </w:pPr>
            <w:r w:rsidRPr="001D6D10">
              <w:rPr>
                <w:rFonts w:ascii="HG丸ｺﾞｼｯｸM-PRO" w:eastAsia="HG丸ｺﾞｼｯｸM-PRO" w:hAnsi="HG丸ｺﾞｼｯｸM-PRO" w:hint="eastAsia"/>
                <w:szCs w:val="21"/>
              </w:rPr>
              <w:t xml:space="preserve">　※雇用推進室 ⇔ 所管施設</w:t>
            </w:r>
          </w:p>
          <w:p w14:paraId="644D2EC3" w14:textId="77777777" w:rsidR="0001205E" w:rsidRPr="001D6D10" w:rsidRDefault="0001205E" w:rsidP="00F35CFE">
            <w:pPr>
              <w:rPr>
                <w:rFonts w:ascii="HG丸ｺﾞｼｯｸM-PRO" w:eastAsia="HG丸ｺﾞｼｯｸM-PRO" w:hAnsi="HG丸ｺﾞｼｯｸM-PRO"/>
                <w:szCs w:val="21"/>
              </w:rPr>
            </w:pPr>
            <w:r w:rsidRPr="001D6D10">
              <w:rPr>
                <w:rFonts w:ascii="HG丸ｺﾞｼｯｸM-PRO" w:eastAsia="HG丸ｺﾞｼｯｸM-PRO" w:hAnsi="HG丸ｺﾞｼｯｸM-PRO" w:hint="eastAsia"/>
                <w:szCs w:val="21"/>
              </w:rPr>
              <w:t>□職員体制の再確認・共有</w:t>
            </w:r>
          </w:p>
          <w:p w14:paraId="0007CD7A" w14:textId="77777777" w:rsidR="0001205E" w:rsidRPr="001D6D10" w:rsidRDefault="0001205E" w:rsidP="00F35CFE">
            <w:pPr>
              <w:rPr>
                <w:rFonts w:ascii="HG丸ｺﾞｼｯｸM-PRO" w:eastAsia="HG丸ｺﾞｼｯｸM-PRO" w:hAnsi="HG丸ｺﾞｼｯｸM-PRO"/>
                <w:szCs w:val="21"/>
              </w:rPr>
            </w:pPr>
            <w:r w:rsidRPr="001D6D10">
              <w:rPr>
                <w:rFonts w:ascii="HG丸ｺﾞｼｯｸM-PRO" w:eastAsia="HG丸ｺﾞｼｯｸM-PRO" w:hAnsi="HG丸ｺﾞｼｯｸM-PRO" w:hint="eastAsia"/>
                <w:szCs w:val="21"/>
              </w:rPr>
              <w:t xml:space="preserve">　※各部連絡責任者 ⇔ 各所属連絡担当者</w:t>
            </w:r>
          </w:p>
        </w:tc>
      </w:tr>
    </w:tbl>
    <w:p w14:paraId="4C860C7F" w14:textId="77777777" w:rsidR="0001205E" w:rsidRPr="001D6D10" w:rsidRDefault="0001205E" w:rsidP="0001205E">
      <w:pPr>
        <w:rPr>
          <w:rFonts w:ascii="HG丸ｺﾞｼｯｸM-PRO" w:eastAsia="HG丸ｺﾞｼｯｸM-PRO" w:hAnsi="HG丸ｺﾞｼｯｸM-PRO"/>
          <w:szCs w:val="21"/>
        </w:rPr>
      </w:pPr>
      <w:r w:rsidRPr="001D6D10">
        <w:rPr>
          <w:rFonts w:ascii="HG丸ｺﾞｼｯｸM-PRO" w:eastAsia="HG丸ｺﾞｼｯｸM-PRO" w:hAnsi="HG丸ｺﾞｼｯｸM-PRO" w:hint="eastAsia"/>
          <w:szCs w:val="21"/>
        </w:rPr>
        <w:lastRenderedPageBreak/>
        <w:t>※主な所管施設：労働センター、北大阪高等職業技術専門校、東大阪高等職業技術専門校、</w:t>
      </w:r>
    </w:p>
    <w:p w14:paraId="4D9A319D" w14:textId="77777777" w:rsidR="00EF5DDA" w:rsidRPr="001D6D10" w:rsidRDefault="0001205E" w:rsidP="0001205E">
      <w:pPr>
        <w:rPr>
          <w:rFonts w:ascii="HG丸ｺﾞｼｯｸM-PRO" w:eastAsia="HG丸ｺﾞｼｯｸM-PRO" w:hAnsi="HG丸ｺﾞｼｯｸM-PRO"/>
          <w:szCs w:val="21"/>
        </w:rPr>
      </w:pPr>
      <w:r w:rsidRPr="001D6D10">
        <w:rPr>
          <w:rFonts w:ascii="HG丸ｺﾞｼｯｸM-PRO" w:eastAsia="HG丸ｺﾞｼｯｸM-PRO" w:hAnsi="HG丸ｺﾞｼｯｸM-PRO" w:hint="eastAsia"/>
          <w:szCs w:val="21"/>
        </w:rPr>
        <w:t xml:space="preserve">　　　　　　　　南大阪高等職業技術専門校、夕陽丘高等職業技術専門学校、</w:t>
      </w:r>
      <w:r w:rsidR="00EF5DDA" w:rsidRPr="001D6D10">
        <w:rPr>
          <w:rFonts w:ascii="HG丸ｺﾞｼｯｸM-PRO" w:eastAsia="HG丸ｺﾞｼｯｸM-PRO" w:hAnsi="HG丸ｺﾞｼｯｸM-PRO" w:hint="eastAsia"/>
          <w:szCs w:val="21"/>
        </w:rPr>
        <w:t xml:space="preserve">　</w:t>
      </w:r>
    </w:p>
    <w:p w14:paraId="2F6E26D5" w14:textId="77777777" w:rsidR="0001205E" w:rsidRPr="001D6D10" w:rsidRDefault="0001205E" w:rsidP="0001205E">
      <w:pPr>
        <w:rPr>
          <w:rFonts w:ascii="HG丸ｺﾞｼｯｸM-PRO" w:eastAsia="HG丸ｺﾞｼｯｸM-PRO" w:hAnsi="HG丸ｺﾞｼｯｸM-PRO"/>
          <w:szCs w:val="21"/>
        </w:rPr>
      </w:pPr>
      <w:r w:rsidRPr="001D6D10">
        <w:rPr>
          <w:rFonts w:ascii="HG丸ｺﾞｼｯｸM-PRO" w:eastAsia="HG丸ｺﾞｼｯｸM-PRO" w:hAnsi="HG丸ｺﾞｼｯｸM-PRO" w:hint="eastAsia"/>
          <w:szCs w:val="21"/>
        </w:rPr>
        <w:t xml:space="preserve">　　　　　　</w:t>
      </w:r>
      <w:r w:rsidR="00EF5DDA" w:rsidRPr="001D6D10">
        <w:rPr>
          <w:rFonts w:ascii="HG丸ｺﾞｼｯｸM-PRO" w:eastAsia="HG丸ｺﾞｼｯｸM-PRO" w:hAnsi="HG丸ｺﾞｼｯｸM-PRO" w:hint="eastAsia"/>
          <w:szCs w:val="21"/>
        </w:rPr>
        <w:t xml:space="preserve">　　</w:t>
      </w:r>
      <w:r w:rsidRPr="001D6D10">
        <w:rPr>
          <w:rFonts w:ascii="HG丸ｺﾞｼｯｸM-PRO" w:eastAsia="HG丸ｺﾞｼｯｸM-PRO" w:hAnsi="HG丸ｺﾞｼｯｸM-PRO" w:hint="eastAsia"/>
          <w:szCs w:val="21"/>
        </w:rPr>
        <w:t>大阪障害者職業能力開発校</w:t>
      </w:r>
    </w:p>
    <w:p w14:paraId="2FD48834" w14:textId="77777777" w:rsidR="004A2302" w:rsidRPr="001D6D10" w:rsidRDefault="004A2302" w:rsidP="00554925">
      <w:pPr>
        <w:jc w:val="left"/>
        <w:rPr>
          <w:sz w:val="18"/>
          <w:szCs w:val="18"/>
        </w:rPr>
      </w:pPr>
      <w:r w:rsidRPr="001D6D10">
        <w:rPr>
          <w:rFonts w:hint="eastAsia"/>
          <w:sz w:val="18"/>
          <w:szCs w:val="18"/>
        </w:rPr>
        <w:t>※）本タイムラインから状況に応じて必要な項目を選定し、実施するものとする。</w:t>
      </w:r>
    </w:p>
    <w:p w14:paraId="13364898" w14:textId="77777777" w:rsidR="00335440" w:rsidRPr="001D6D10" w:rsidRDefault="00335440" w:rsidP="0001205E">
      <w:pPr>
        <w:rPr>
          <w:rFonts w:ascii="ＭＳ ゴシック" w:eastAsia="ＭＳ ゴシック" w:hAnsi="ＭＳ ゴシック"/>
          <w:sz w:val="22"/>
          <w:szCs w:val="22"/>
        </w:rPr>
      </w:pPr>
    </w:p>
    <w:p w14:paraId="185402AC" w14:textId="77777777" w:rsidR="00930C0D" w:rsidRDefault="00930C0D">
      <w:pPr>
        <w:widowControl/>
        <w:jc w:val="left"/>
        <w:rPr>
          <w:rFonts w:ascii="ＭＳ ゴシック" w:eastAsia="ＭＳ ゴシック" w:hAnsi="ＭＳ ゴシック"/>
          <w:sz w:val="22"/>
          <w:szCs w:val="22"/>
        </w:rPr>
      </w:pPr>
      <w:r>
        <w:rPr>
          <w:rFonts w:ascii="ＭＳ ゴシック" w:eastAsia="ＭＳ ゴシック" w:hAnsi="ＭＳ ゴシック"/>
          <w:sz w:val="22"/>
          <w:szCs w:val="22"/>
        </w:rPr>
        <w:br w:type="page"/>
      </w:r>
    </w:p>
    <w:p w14:paraId="248BA698" w14:textId="595B22D4" w:rsidR="00EF5DDA" w:rsidRPr="001D6D10" w:rsidRDefault="0001205E" w:rsidP="0001205E">
      <w:pPr>
        <w:rPr>
          <w:rFonts w:ascii="ＭＳ ゴシック" w:eastAsia="ＭＳ ゴシック" w:hAnsi="ＭＳ ゴシック"/>
          <w:sz w:val="22"/>
          <w:szCs w:val="22"/>
        </w:rPr>
      </w:pPr>
      <w:r w:rsidRPr="001D6D10">
        <w:rPr>
          <w:rFonts w:ascii="ＭＳ ゴシック" w:eastAsia="ＭＳ ゴシック" w:hAnsi="ＭＳ ゴシック" w:hint="eastAsia"/>
          <w:sz w:val="22"/>
          <w:szCs w:val="22"/>
        </w:rPr>
        <w:lastRenderedPageBreak/>
        <w:t>⑪環境農林水産部</w:t>
      </w:r>
    </w:p>
    <w:tbl>
      <w:tblPr>
        <w:tblpPr w:leftFromText="142" w:rightFromText="142" w:vertAnchor="text" w:tblpXSpec="center" w:tblpY="1"/>
        <w:tblOverlap w:val="neve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57"/>
        <w:gridCol w:w="7037"/>
      </w:tblGrid>
      <w:tr w:rsidR="001D6D10" w:rsidRPr="001D6D10" w14:paraId="4038C39F" w14:textId="77777777" w:rsidTr="00F35CFE">
        <w:trPr>
          <w:jc w:val="center"/>
        </w:trPr>
        <w:tc>
          <w:tcPr>
            <w:tcW w:w="1457" w:type="dxa"/>
            <w:tcBorders>
              <w:bottom w:val="single" w:sz="4" w:space="0" w:color="auto"/>
            </w:tcBorders>
            <w:shd w:val="clear" w:color="auto" w:fill="BFBFBF"/>
          </w:tcPr>
          <w:p w14:paraId="1C82D19D" w14:textId="77777777" w:rsidR="0001205E" w:rsidRPr="001D6D10" w:rsidRDefault="0001205E" w:rsidP="00F35CFE">
            <w:pPr>
              <w:jc w:val="center"/>
              <w:rPr>
                <w:rFonts w:ascii="HG丸ｺﾞｼｯｸM-PRO" w:eastAsia="HG丸ｺﾞｼｯｸM-PRO" w:hAnsi="HG丸ｺﾞｼｯｸM-PRO"/>
                <w:szCs w:val="21"/>
              </w:rPr>
            </w:pPr>
            <w:r w:rsidRPr="001D6D10">
              <w:rPr>
                <w:rFonts w:ascii="HG丸ｺﾞｼｯｸM-PRO" w:eastAsia="HG丸ｺﾞｼｯｸM-PRO" w:hAnsi="HG丸ｺﾞｼｯｸM-PRO" w:hint="eastAsia"/>
                <w:szCs w:val="21"/>
              </w:rPr>
              <w:t>時　期</w:t>
            </w:r>
          </w:p>
        </w:tc>
        <w:tc>
          <w:tcPr>
            <w:tcW w:w="7037" w:type="dxa"/>
            <w:tcBorders>
              <w:bottom w:val="single" w:sz="4" w:space="0" w:color="auto"/>
            </w:tcBorders>
            <w:shd w:val="clear" w:color="auto" w:fill="BFBFBF"/>
          </w:tcPr>
          <w:p w14:paraId="61B036F2" w14:textId="77777777" w:rsidR="0001205E" w:rsidRPr="001D6D10" w:rsidRDefault="00E31DA1" w:rsidP="00F35CFE">
            <w:pPr>
              <w:jc w:val="center"/>
              <w:rPr>
                <w:rFonts w:ascii="HG丸ｺﾞｼｯｸM-PRO" w:eastAsia="HG丸ｺﾞｼｯｸM-PRO" w:hAnsi="HG丸ｺﾞｼｯｸM-PRO"/>
                <w:szCs w:val="21"/>
              </w:rPr>
            </w:pPr>
            <w:r w:rsidRPr="001D6D10">
              <w:rPr>
                <w:rFonts w:ascii="HG丸ｺﾞｼｯｸM-PRO" w:eastAsia="HG丸ｺﾞｼｯｸM-PRO" w:hAnsi="HG丸ｺﾞｼｯｸM-PRO" w:hint="eastAsia"/>
                <w:szCs w:val="21"/>
              </w:rPr>
              <w:t>主な事前準備</w:t>
            </w:r>
            <w:r w:rsidR="0001205E" w:rsidRPr="001D6D10">
              <w:rPr>
                <w:rFonts w:ascii="HG丸ｺﾞｼｯｸM-PRO" w:eastAsia="HG丸ｺﾞｼｯｸM-PRO" w:hAnsi="HG丸ｺﾞｼｯｸM-PRO" w:hint="eastAsia"/>
                <w:szCs w:val="21"/>
              </w:rPr>
              <w:t>業務</w:t>
            </w:r>
          </w:p>
        </w:tc>
      </w:tr>
      <w:tr w:rsidR="001D6D10" w:rsidRPr="001D6D10" w14:paraId="4B571FF1" w14:textId="77777777" w:rsidTr="00F35CFE">
        <w:trPr>
          <w:jc w:val="center"/>
        </w:trPr>
        <w:tc>
          <w:tcPr>
            <w:tcW w:w="1457" w:type="dxa"/>
            <w:vMerge w:val="restart"/>
            <w:shd w:val="clear" w:color="auto" w:fill="FFFFFF" w:themeFill="background1"/>
          </w:tcPr>
          <w:p w14:paraId="5CB57F34" w14:textId="77777777" w:rsidR="00934E60" w:rsidRPr="001D6D10" w:rsidRDefault="00934E60" w:rsidP="00F35CFE">
            <w:pPr>
              <w:jc w:val="center"/>
              <w:rPr>
                <w:rFonts w:ascii="HG丸ｺﾞｼｯｸM-PRO" w:eastAsia="HG丸ｺﾞｼｯｸM-PRO" w:hAnsi="HG丸ｺﾞｼｯｸM-PRO"/>
                <w:szCs w:val="21"/>
              </w:rPr>
            </w:pPr>
          </w:p>
          <w:p w14:paraId="39DDE2EE" w14:textId="77777777" w:rsidR="00934E60" w:rsidRPr="001D6D10" w:rsidRDefault="00934E60" w:rsidP="00F35CFE">
            <w:pPr>
              <w:jc w:val="center"/>
              <w:rPr>
                <w:rFonts w:ascii="HG丸ｺﾞｼｯｸM-PRO" w:eastAsia="HG丸ｺﾞｼｯｸM-PRO" w:hAnsi="HG丸ｺﾞｼｯｸM-PRO"/>
                <w:szCs w:val="21"/>
              </w:rPr>
            </w:pPr>
          </w:p>
          <w:p w14:paraId="105793AA" w14:textId="77777777" w:rsidR="00934E60" w:rsidRPr="001D6D10" w:rsidRDefault="00934E60" w:rsidP="00F35CFE">
            <w:pPr>
              <w:jc w:val="center"/>
              <w:rPr>
                <w:rFonts w:ascii="HG丸ｺﾞｼｯｸM-PRO" w:eastAsia="HG丸ｺﾞｼｯｸM-PRO" w:hAnsi="HG丸ｺﾞｼｯｸM-PRO"/>
                <w:szCs w:val="21"/>
              </w:rPr>
            </w:pPr>
          </w:p>
          <w:p w14:paraId="0AC89403" w14:textId="77777777" w:rsidR="00934E60" w:rsidRPr="001D6D10" w:rsidRDefault="00934E60" w:rsidP="00F35CFE">
            <w:pPr>
              <w:jc w:val="center"/>
              <w:rPr>
                <w:rFonts w:ascii="HG丸ｺﾞｼｯｸM-PRO" w:eastAsia="HG丸ｺﾞｼｯｸM-PRO" w:hAnsi="HG丸ｺﾞｼｯｸM-PRO"/>
                <w:szCs w:val="21"/>
              </w:rPr>
            </w:pPr>
          </w:p>
          <w:p w14:paraId="4BE2F3DB" w14:textId="77777777" w:rsidR="00934E60" w:rsidRPr="001D6D10" w:rsidRDefault="00934E60" w:rsidP="00F35CFE">
            <w:pPr>
              <w:jc w:val="center"/>
              <w:rPr>
                <w:rFonts w:ascii="HG丸ｺﾞｼｯｸM-PRO" w:eastAsia="HG丸ｺﾞｼｯｸM-PRO" w:hAnsi="HG丸ｺﾞｼｯｸM-PRO"/>
                <w:szCs w:val="21"/>
              </w:rPr>
            </w:pPr>
          </w:p>
          <w:p w14:paraId="5CB1FE4F" w14:textId="77777777" w:rsidR="00934E60" w:rsidRPr="001D6D10" w:rsidRDefault="00934E60" w:rsidP="00F35CFE">
            <w:pPr>
              <w:jc w:val="center"/>
              <w:rPr>
                <w:rFonts w:ascii="HG丸ｺﾞｼｯｸM-PRO" w:eastAsia="HG丸ｺﾞｼｯｸM-PRO" w:hAnsi="HG丸ｺﾞｼｯｸM-PRO"/>
                <w:szCs w:val="21"/>
              </w:rPr>
            </w:pPr>
          </w:p>
          <w:p w14:paraId="3376102A" w14:textId="5B5571F0" w:rsidR="0001205E" w:rsidRPr="001D6D10" w:rsidRDefault="0001205E" w:rsidP="00F35CFE">
            <w:pPr>
              <w:jc w:val="center"/>
              <w:rPr>
                <w:rFonts w:ascii="HG丸ｺﾞｼｯｸM-PRO" w:eastAsia="HG丸ｺﾞｼｯｸM-PRO" w:hAnsi="HG丸ｺﾞｼｯｸM-PRO"/>
                <w:szCs w:val="21"/>
              </w:rPr>
            </w:pPr>
            <w:r w:rsidRPr="001D6D10">
              <w:rPr>
                <w:rFonts w:ascii="HG丸ｺﾞｼｯｸM-PRO" w:eastAsia="HG丸ｺﾞｼｯｸM-PRO" w:hAnsi="HG丸ｺﾞｼｯｸM-PRO" w:hint="eastAsia"/>
                <w:szCs w:val="21"/>
              </w:rPr>
              <w:t>～48ｈ</w:t>
            </w:r>
            <w:r w:rsidR="0053084D" w:rsidRPr="001D6D10">
              <w:rPr>
                <w:rFonts w:ascii="HG丸ｺﾞｼｯｸM-PRO" w:eastAsia="HG丸ｺﾞｼｯｸM-PRO" w:hAnsi="HG丸ｺﾞｼｯｸM-PRO" w:hint="eastAsia"/>
                <w:szCs w:val="21"/>
              </w:rPr>
              <w:t>前</w:t>
            </w:r>
          </w:p>
          <w:p w14:paraId="5356F193" w14:textId="77777777" w:rsidR="0001205E" w:rsidRPr="001D6D10" w:rsidRDefault="0001205E" w:rsidP="00F35CFE">
            <w:pPr>
              <w:jc w:val="center"/>
              <w:rPr>
                <w:rFonts w:ascii="HG丸ｺﾞｼｯｸM-PRO" w:eastAsia="HG丸ｺﾞｼｯｸM-PRO" w:hAnsi="HG丸ｺﾞｼｯｸM-PRO"/>
                <w:sz w:val="20"/>
                <w:szCs w:val="20"/>
              </w:rPr>
            </w:pPr>
            <w:r w:rsidRPr="001D6D10">
              <w:rPr>
                <w:rFonts w:ascii="HG丸ｺﾞｼｯｸM-PRO" w:eastAsia="HG丸ｺﾞｼｯｸM-PRO" w:hAnsi="HG丸ｺﾞｼｯｸM-PRO" w:hint="eastAsia"/>
                <w:sz w:val="20"/>
                <w:szCs w:val="20"/>
              </w:rPr>
              <w:t>（３日以前）</w:t>
            </w:r>
          </w:p>
        </w:tc>
        <w:tc>
          <w:tcPr>
            <w:tcW w:w="7037" w:type="dxa"/>
            <w:tcBorders>
              <w:bottom w:val="single" w:sz="4" w:space="0" w:color="auto"/>
            </w:tcBorders>
            <w:shd w:val="clear" w:color="auto" w:fill="FFFFFF" w:themeFill="background1"/>
          </w:tcPr>
          <w:p w14:paraId="497E77D5" w14:textId="77777777" w:rsidR="00F35CFE" w:rsidRPr="001D6D10" w:rsidRDefault="00F35CFE" w:rsidP="00F35CFE">
            <w:pPr>
              <w:rPr>
                <w:rFonts w:ascii="HG丸ｺﾞｼｯｸM-PRO" w:eastAsia="HG丸ｺﾞｼｯｸM-PRO" w:hAnsi="HG丸ｺﾞｼｯｸM-PRO"/>
                <w:szCs w:val="21"/>
              </w:rPr>
            </w:pPr>
            <w:r w:rsidRPr="001D6D10">
              <w:rPr>
                <w:rFonts w:ascii="HG丸ｺﾞｼｯｸM-PRO" w:eastAsia="HG丸ｺﾞｼｯｸM-PRO" w:hAnsi="HG丸ｺﾞｼｯｸM-PRO" w:hint="eastAsia"/>
                <w:szCs w:val="21"/>
              </w:rPr>
              <w:t>□危機管理室からの情報の共有</w:t>
            </w:r>
            <w:r w:rsidR="002257D6" w:rsidRPr="001D6D10">
              <w:rPr>
                <w:rFonts w:ascii="HG丸ｺﾞｼｯｸM-PRO" w:eastAsia="HG丸ｺﾞｼｯｸM-PRO" w:hAnsi="HG丸ｺﾞｼｯｸM-PRO" w:hint="eastAsia"/>
                <w:szCs w:val="21"/>
              </w:rPr>
              <w:t>【環境農林水産総務課</w:t>
            </w:r>
            <w:r w:rsidR="004A2302" w:rsidRPr="001D6D10">
              <w:rPr>
                <w:rFonts w:ascii="HG丸ｺﾞｼｯｸM-PRO" w:eastAsia="HG丸ｺﾞｼｯｸM-PRO" w:hAnsi="HG丸ｺﾞｼｯｸM-PRO" w:hint="eastAsia"/>
                <w:szCs w:val="21"/>
              </w:rPr>
              <w:t>⇒</w:t>
            </w:r>
            <w:r w:rsidR="002257D6" w:rsidRPr="001D6D10">
              <w:rPr>
                <w:rFonts w:ascii="HG丸ｺﾞｼｯｸM-PRO" w:eastAsia="HG丸ｺﾞｼｯｸM-PRO" w:hAnsi="HG丸ｺﾞｼｯｸM-PRO" w:hint="eastAsia"/>
                <w:szCs w:val="21"/>
              </w:rPr>
              <w:t>各所属】</w:t>
            </w:r>
          </w:p>
          <w:p w14:paraId="13C801A5" w14:textId="77777777" w:rsidR="00BB7E00" w:rsidRPr="001D6D10" w:rsidRDefault="00BB7E00" w:rsidP="00BB7E00">
            <w:pPr>
              <w:rPr>
                <w:rFonts w:ascii="HG丸ｺﾞｼｯｸM-PRO" w:eastAsia="HG丸ｺﾞｼｯｸM-PRO" w:hAnsi="HG丸ｺﾞｼｯｸM-PRO"/>
                <w:szCs w:val="21"/>
              </w:rPr>
            </w:pPr>
            <w:r w:rsidRPr="001D6D10">
              <w:rPr>
                <w:rFonts w:ascii="HG丸ｺﾞｼｯｸM-PRO" w:eastAsia="HG丸ｺﾞｼｯｸM-PRO" w:hAnsi="HG丸ｺﾞｼｯｸM-PRO" w:hint="eastAsia"/>
                <w:szCs w:val="21"/>
              </w:rPr>
              <w:t>□連絡体制の確認</w:t>
            </w:r>
            <w:r w:rsidR="002257D6" w:rsidRPr="001D6D10">
              <w:rPr>
                <w:rFonts w:ascii="HG丸ｺﾞｼｯｸM-PRO" w:eastAsia="HG丸ｺﾞｼｯｸM-PRO" w:hAnsi="HG丸ｺﾞｼｯｸM-PRO" w:hint="eastAsia"/>
                <w:szCs w:val="21"/>
              </w:rPr>
              <w:t>【各所属】</w:t>
            </w:r>
          </w:p>
          <w:p w14:paraId="7AF3D38E" w14:textId="77777777" w:rsidR="0001205E" w:rsidRPr="001D6D10" w:rsidRDefault="00C84712" w:rsidP="00F35CFE">
            <w:pPr>
              <w:rPr>
                <w:rFonts w:ascii="HG丸ｺﾞｼｯｸM-PRO" w:eastAsia="HG丸ｺﾞｼｯｸM-PRO" w:hAnsi="HG丸ｺﾞｼｯｸM-PRO"/>
                <w:szCs w:val="21"/>
              </w:rPr>
            </w:pPr>
            <w:r w:rsidRPr="001D6D10">
              <w:rPr>
                <w:rFonts w:ascii="HG丸ｺﾞｼｯｸM-PRO" w:eastAsia="HG丸ｺﾞｼｯｸM-PRO" w:hAnsi="HG丸ｺﾞｼｯｸM-PRO" w:hint="eastAsia"/>
                <w:szCs w:val="21"/>
              </w:rPr>
              <w:t>□災害対応に関するマニュアル等の確認</w:t>
            </w:r>
            <w:r w:rsidR="004A2302" w:rsidRPr="001D6D10">
              <w:rPr>
                <w:rFonts w:ascii="HG丸ｺﾞｼｯｸM-PRO" w:eastAsia="HG丸ｺﾞｼｯｸM-PRO" w:hAnsi="HG丸ｺﾞｼｯｸM-PRO" w:hint="eastAsia"/>
                <w:szCs w:val="21"/>
              </w:rPr>
              <w:t>【</w:t>
            </w:r>
            <w:r w:rsidR="002257D6" w:rsidRPr="001D6D10">
              <w:rPr>
                <w:rFonts w:ascii="HG丸ｺﾞｼｯｸM-PRO" w:eastAsia="HG丸ｺﾞｼｯｸM-PRO" w:hAnsi="HG丸ｺﾞｼｯｸM-PRO" w:hint="eastAsia"/>
                <w:szCs w:val="21"/>
              </w:rPr>
              <w:t>各所属】</w:t>
            </w:r>
          </w:p>
          <w:p w14:paraId="7707ECC3" w14:textId="77777777" w:rsidR="00742C35" w:rsidRPr="001D6D10" w:rsidRDefault="00742C35" w:rsidP="00742C35">
            <w:pPr>
              <w:rPr>
                <w:rFonts w:ascii="HG丸ｺﾞｼｯｸM-PRO" w:eastAsia="HG丸ｺﾞｼｯｸM-PRO" w:hAnsi="HG丸ｺﾞｼｯｸM-PRO"/>
                <w:szCs w:val="21"/>
              </w:rPr>
            </w:pPr>
            <w:r w:rsidRPr="001D6D10">
              <w:rPr>
                <w:rFonts w:ascii="HG丸ｺﾞｼｯｸM-PRO" w:eastAsia="HG丸ｺﾞｼｯｸM-PRO" w:hAnsi="HG丸ｺﾞｼｯｸM-PRO" w:hint="eastAsia"/>
                <w:szCs w:val="21"/>
              </w:rPr>
              <w:t>□指令部会議の事前準備</w:t>
            </w:r>
          </w:p>
          <w:p w14:paraId="0612F08D" w14:textId="77777777" w:rsidR="00742C35" w:rsidRPr="001D6D10" w:rsidRDefault="00742C35" w:rsidP="00742C35">
            <w:pPr>
              <w:rPr>
                <w:rFonts w:ascii="HG丸ｺﾞｼｯｸM-PRO" w:eastAsia="HG丸ｺﾞｼｯｸM-PRO" w:hAnsi="HG丸ｺﾞｼｯｸM-PRO"/>
                <w:szCs w:val="21"/>
              </w:rPr>
            </w:pPr>
            <w:r w:rsidRPr="001D6D10">
              <w:rPr>
                <w:rFonts w:ascii="HG丸ｺﾞｼｯｸM-PRO" w:eastAsia="HG丸ｺﾞｼｯｸM-PRO" w:hAnsi="HG丸ｺﾞｼｯｸM-PRO" w:hint="eastAsia"/>
                <w:szCs w:val="21"/>
              </w:rPr>
              <w:t xml:space="preserve">　</w:t>
            </w:r>
            <w:r w:rsidR="005B33EE" w:rsidRPr="001D6D10">
              <w:rPr>
                <w:rFonts w:ascii="HG丸ｺﾞｼｯｸM-PRO" w:eastAsia="HG丸ｺﾞｼｯｸM-PRO" w:hAnsi="HG丸ｺﾞｼｯｸM-PRO" w:hint="eastAsia"/>
                <w:szCs w:val="21"/>
              </w:rPr>
              <w:t>・イベントの有無確認（府主催、共催）</w:t>
            </w:r>
          </w:p>
          <w:p w14:paraId="1FA30081" w14:textId="77777777" w:rsidR="00742C35" w:rsidRPr="001D6D10" w:rsidRDefault="00742C35" w:rsidP="00742C35">
            <w:pPr>
              <w:rPr>
                <w:rFonts w:ascii="HG丸ｺﾞｼｯｸM-PRO" w:eastAsia="HG丸ｺﾞｼｯｸM-PRO" w:hAnsi="HG丸ｺﾞｼｯｸM-PRO"/>
                <w:szCs w:val="21"/>
              </w:rPr>
            </w:pPr>
            <w:r w:rsidRPr="001D6D10">
              <w:rPr>
                <w:rFonts w:ascii="HG丸ｺﾞｼｯｸM-PRO" w:eastAsia="HG丸ｺﾞｼｯｸM-PRO" w:hAnsi="HG丸ｺﾞｼｯｸM-PRO" w:hint="eastAsia"/>
                <w:szCs w:val="21"/>
              </w:rPr>
              <w:t xml:space="preserve">　・所管団体等への注意喚起など</w:t>
            </w:r>
          </w:p>
        </w:tc>
      </w:tr>
      <w:tr w:rsidR="001D6D10" w:rsidRPr="001D6D10" w14:paraId="50000D2C" w14:textId="77777777" w:rsidTr="00F35CFE">
        <w:trPr>
          <w:jc w:val="center"/>
        </w:trPr>
        <w:tc>
          <w:tcPr>
            <w:tcW w:w="1457" w:type="dxa"/>
            <w:vMerge/>
          </w:tcPr>
          <w:p w14:paraId="68713A8A" w14:textId="77777777" w:rsidR="0001205E" w:rsidRPr="001D6D10" w:rsidRDefault="0001205E" w:rsidP="00F35CFE">
            <w:pPr>
              <w:rPr>
                <w:rFonts w:ascii="HG丸ｺﾞｼｯｸM-PRO" w:eastAsia="HG丸ｺﾞｼｯｸM-PRO" w:hAnsi="HG丸ｺﾞｼｯｸM-PRO"/>
                <w:szCs w:val="21"/>
              </w:rPr>
            </w:pPr>
          </w:p>
        </w:tc>
        <w:tc>
          <w:tcPr>
            <w:tcW w:w="7037" w:type="dxa"/>
          </w:tcPr>
          <w:p w14:paraId="5ADF9FBD" w14:textId="77777777" w:rsidR="0001205E" w:rsidRPr="001D6D10" w:rsidRDefault="0001205E" w:rsidP="00F35CFE">
            <w:pPr>
              <w:rPr>
                <w:rFonts w:ascii="HG丸ｺﾞｼｯｸM-PRO" w:eastAsia="HG丸ｺﾞｼｯｸM-PRO" w:hAnsi="HG丸ｺﾞｼｯｸM-PRO"/>
                <w:szCs w:val="21"/>
              </w:rPr>
            </w:pPr>
            <w:r w:rsidRPr="001D6D10">
              <w:rPr>
                <w:rFonts w:ascii="HG丸ｺﾞｼｯｸM-PRO" w:eastAsia="HG丸ｺﾞｼｯｸM-PRO" w:hAnsi="HG丸ｺﾞｼｯｸM-PRO" w:hint="eastAsia"/>
                <w:b/>
                <w:szCs w:val="21"/>
                <w:highlight w:val="yellow"/>
              </w:rPr>
              <w:t>防災・危機管理指令部会議</w:t>
            </w:r>
            <w:r w:rsidRPr="001D6D10">
              <w:rPr>
                <w:rFonts w:ascii="HG丸ｺﾞｼｯｸM-PRO" w:eastAsia="HG丸ｺﾞｼｯｸM-PRO" w:hAnsi="HG丸ｺﾞｼｯｸM-PRO" w:hint="eastAsia"/>
                <w:szCs w:val="21"/>
                <w:highlight w:val="yellow"/>
              </w:rPr>
              <w:t>（おおよそ７２ｈ前）</w:t>
            </w:r>
            <w:r w:rsidR="00CB0ABF" w:rsidRPr="001D6D10">
              <w:rPr>
                <w:rFonts w:ascii="HG丸ｺﾞｼｯｸM-PRO" w:eastAsia="HG丸ｺﾞｼｯｸM-PRO" w:hAnsi="HG丸ｺﾞｼｯｸM-PRO" w:hint="eastAsia"/>
                <w:szCs w:val="21"/>
                <w:highlight w:val="yellow"/>
              </w:rPr>
              <w:t>（Ｐ42</w:t>
            </w:r>
            <w:r w:rsidR="00AD02A5" w:rsidRPr="001D6D10">
              <w:rPr>
                <w:rFonts w:ascii="HG丸ｺﾞｼｯｸM-PRO" w:eastAsia="HG丸ｺﾞｼｯｸM-PRO" w:hAnsi="HG丸ｺﾞｼｯｸM-PRO" w:hint="eastAsia"/>
                <w:szCs w:val="21"/>
                <w:highlight w:val="yellow"/>
              </w:rPr>
              <w:t>参照）</w:t>
            </w:r>
          </w:p>
        </w:tc>
      </w:tr>
      <w:tr w:rsidR="001D6D10" w:rsidRPr="001D6D10" w14:paraId="16CA9271" w14:textId="77777777" w:rsidTr="00F35CFE">
        <w:trPr>
          <w:jc w:val="center"/>
        </w:trPr>
        <w:tc>
          <w:tcPr>
            <w:tcW w:w="1457" w:type="dxa"/>
            <w:vMerge/>
          </w:tcPr>
          <w:p w14:paraId="2D061FF6" w14:textId="77777777" w:rsidR="0001205E" w:rsidRPr="001D6D10" w:rsidRDefault="0001205E" w:rsidP="00F35CFE">
            <w:pPr>
              <w:rPr>
                <w:rFonts w:ascii="HG丸ｺﾞｼｯｸM-PRO" w:eastAsia="HG丸ｺﾞｼｯｸM-PRO" w:hAnsi="HG丸ｺﾞｼｯｸM-PRO"/>
                <w:szCs w:val="21"/>
              </w:rPr>
            </w:pPr>
          </w:p>
        </w:tc>
        <w:tc>
          <w:tcPr>
            <w:tcW w:w="7037" w:type="dxa"/>
          </w:tcPr>
          <w:p w14:paraId="5F04E513" w14:textId="77777777" w:rsidR="00282FE3" w:rsidRPr="001D6D10" w:rsidRDefault="00282FE3" w:rsidP="00282FE3">
            <w:pPr>
              <w:rPr>
                <w:rFonts w:ascii="HG丸ｺﾞｼｯｸM-PRO" w:eastAsia="HG丸ｺﾞｼｯｸM-PRO" w:hAnsi="HG丸ｺﾞｼｯｸM-PRO"/>
                <w:szCs w:val="21"/>
              </w:rPr>
            </w:pPr>
            <w:r w:rsidRPr="001D6D10">
              <w:rPr>
                <w:rFonts w:ascii="HG丸ｺﾞｼｯｸM-PRO" w:eastAsia="HG丸ｺﾞｼｯｸM-PRO" w:hAnsi="HG丸ｺﾞｼｯｸM-PRO" w:hint="eastAsia"/>
                <w:szCs w:val="21"/>
              </w:rPr>
              <w:t>□危機管理室からの情報の共有【環境農林水産総務課⇒各所属】</w:t>
            </w:r>
          </w:p>
          <w:p w14:paraId="59D4F965" w14:textId="77777777" w:rsidR="00282FE3" w:rsidRPr="001D6D10" w:rsidRDefault="00282FE3" w:rsidP="00282FE3">
            <w:pPr>
              <w:rPr>
                <w:rFonts w:ascii="HG丸ｺﾞｼｯｸM-PRO" w:eastAsia="HG丸ｺﾞｼｯｸM-PRO" w:hAnsi="HG丸ｺﾞｼｯｸM-PRO"/>
                <w:szCs w:val="21"/>
              </w:rPr>
            </w:pPr>
            <w:r w:rsidRPr="001D6D10">
              <w:rPr>
                <w:rFonts w:ascii="HG丸ｺﾞｼｯｸM-PRO" w:eastAsia="HG丸ｺﾞｼｯｸM-PRO" w:hAnsi="HG丸ｺﾞｼｯｸM-PRO" w:hint="eastAsia"/>
                <w:szCs w:val="21"/>
              </w:rPr>
              <w:t>□危険個所の確認【各所属】</w:t>
            </w:r>
          </w:p>
          <w:p w14:paraId="5A707C52" w14:textId="77777777" w:rsidR="00282FE3" w:rsidRPr="001D6D10" w:rsidRDefault="00282FE3" w:rsidP="00282FE3">
            <w:pPr>
              <w:rPr>
                <w:rFonts w:ascii="HG丸ｺﾞｼｯｸM-PRO" w:eastAsia="HG丸ｺﾞｼｯｸM-PRO" w:hAnsi="HG丸ｺﾞｼｯｸM-PRO"/>
                <w:szCs w:val="21"/>
              </w:rPr>
            </w:pPr>
            <w:r w:rsidRPr="001D6D10">
              <w:rPr>
                <w:rFonts w:ascii="HG丸ｺﾞｼｯｸM-PRO" w:eastAsia="HG丸ｺﾞｼｯｸM-PRO" w:hAnsi="HG丸ｺﾞｼｯｸM-PRO" w:hint="eastAsia"/>
                <w:szCs w:val="21"/>
              </w:rPr>
              <w:t>□市町村への注意喚起</w:t>
            </w:r>
          </w:p>
          <w:p w14:paraId="285E2D75" w14:textId="77777777" w:rsidR="00282FE3" w:rsidRPr="001D6D10" w:rsidRDefault="00282FE3" w:rsidP="00282FE3">
            <w:pPr>
              <w:rPr>
                <w:rFonts w:ascii="HG丸ｺﾞｼｯｸM-PRO" w:eastAsia="HG丸ｺﾞｼｯｸM-PRO" w:hAnsi="HG丸ｺﾞｼｯｸM-PRO"/>
                <w:szCs w:val="21"/>
              </w:rPr>
            </w:pPr>
            <w:r w:rsidRPr="001D6D10">
              <w:rPr>
                <w:rFonts w:ascii="HG丸ｺﾞｼｯｸM-PRO" w:eastAsia="HG丸ｺﾞｼｯｸM-PRO" w:hAnsi="HG丸ｺﾞｼｯｸM-PRO" w:hint="eastAsia"/>
                <w:szCs w:val="21"/>
              </w:rPr>
              <w:t>【各農緑事務所⇒農林担当課・治山担当課】</w:t>
            </w:r>
          </w:p>
          <w:p w14:paraId="4002A8E9" w14:textId="39D5A0CB" w:rsidR="00282FE3" w:rsidRPr="001D6D10" w:rsidRDefault="00282FE3" w:rsidP="00282FE3">
            <w:pPr>
              <w:rPr>
                <w:rFonts w:ascii="HG丸ｺﾞｼｯｸM-PRO" w:eastAsia="HG丸ｺﾞｼｯｸM-PRO" w:hAnsi="HG丸ｺﾞｼｯｸM-PRO"/>
                <w:szCs w:val="21"/>
              </w:rPr>
            </w:pPr>
            <w:r w:rsidRPr="001D6D10">
              <w:rPr>
                <w:rFonts w:ascii="HG丸ｺﾞｼｯｸM-PRO" w:eastAsia="HG丸ｺﾞｼｯｸM-PRO" w:hAnsi="HG丸ｺﾞｼｯｸM-PRO" w:hint="eastAsia"/>
                <w:szCs w:val="21"/>
              </w:rPr>
              <w:t>【水産課⇒</w:t>
            </w:r>
            <w:r w:rsidR="001D37B4" w:rsidRPr="001D6D10">
              <w:rPr>
                <w:rFonts w:ascii="HG丸ｺﾞｼｯｸM-PRO" w:eastAsia="HG丸ｺﾞｼｯｸM-PRO" w:hAnsi="HG丸ｺﾞｼｯｸM-PRO" w:hint="eastAsia"/>
                <w:szCs w:val="21"/>
              </w:rPr>
              <w:t>水産担当課（大阪湾沿岸及び内水面漁業）</w:t>
            </w:r>
            <w:r w:rsidRPr="001D6D10">
              <w:rPr>
                <w:rFonts w:ascii="HG丸ｺﾞｼｯｸM-PRO" w:eastAsia="HG丸ｺﾞｼｯｸM-PRO" w:hAnsi="HG丸ｺﾞｼｯｸM-PRO" w:hint="eastAsia"/>
                <w:szCs w:val="21"/>
              </w:rPr>
              <w:t>】</w:t>
            </w:r>
          </w:p>
          <w:p w14:paraId="4116D074" w14:textId="77777777" w:rsidR="00282FE3" w:rsidRPr="001D6D10" w:rsidRDefault="00282FE3" w:rsidP="00282FE3">
            <w:pPr>
              <w:rPr>
                <w:rFonts w:ascii="HG丸ｺﾞｼｯｸM-PRO" w:eastAsia="HG丸ｺﾞｼｯｸM-PRO" w:hAnsi="HG丸ｺﾞｼｯｸM-PRO"/>
                <w:szCs w:val="21"/>
              </w:rPr>
            </w:pPr>
            <w:r w:rsidRPr="001D6D10">
              <w:rPr>
                <w:rFonts w:ascii="HG丸ｺﾞｼｯｸM-PRO" w:eastAsia="HG丸ｺﾞｼｯｸM-PRO" w:hAnsi="HG丸ｺﾞｼｯｸM-PRO" w:hint="eastAsia"/>
                <w:szCs w:val="21"/>
              </w:rPr>
              <w:t>□水防資材の点検、確認【各農緑事務所】</w:t>
            </w:r>
          </w:p>
          <w:p w14:paraId="2347DBDE" w14:textId="77777777" w:rsidR="0001205E" w:rsidRPr="001D6D10" w:rsidRDefault="00282FE3" w:rsidP="00282FE3">
            <w:pPr>
              <w:rPr>
                <w:rFonts w:ascii="HG丸ｺﾞｼｯｸM-PRO" w:eastAsia="HG丸ｺﾞｼｯｸM-PRO" w:hAnsi="HG丸ｺﾞｼｯｸM-PRO"/>
                <w:szCs w:val="21"/>
              </w:rPr>
            </w:pPr>
            <w:r w:rsidRPr="001D6D10">
              <w:rPr>
                <w:rFonts w:ascii="HG丸ｺﾞｼｯｸM-PRO" w:eastAsia="HG丸ｺﾞｼｯｸM-PRO" w:hAnsi="HG丸ｺﾞｼｯｸM-PRO" w:hint="eastAsia"/>
                <w:szCs w:val="21"/>
              </w:rPr>
              <w:t>□工事現場等の事前対策を確認</w:t>
            </w:r>
            <w:r w:rsidR="003A430F" w:rsidRPr="001D6D10">
              <w:rPr>
                <w:rFonts w:ascii="HG丸ｺﾞｼｯｸM-PRO" w:eastAsia="HG丸ｺﾞｼｯｸM-PRO" w:hAnsi="HG丸ｺﾞｼｯｸM-PRO" w:hint="eastAsia"/>
                <w:szCs w:val="21"/>
              </w:rPr>
              <w:t>【各所属】</w:t>
            </w:r>
          </w:p>
        </w:tc>
      </w:tr>
      <w:tr w:rsidR="001D6D10" w:rsidRPr="001D6D10" w14:paraId="241AC58D" w14:textId="77777777" w:rsidTr="00F35CFE">
        <w:trPr>
          <w:jc w:val="center"/>
        </w:trPr>
        <w:tc>
          <w:tcPr>
            <w:tcW w:w="1457" w:type="dxa"/>
            <w:vMerge w:val="restart"/>
          </w:tcPr>
          <w:p w14:paraId="7460B4C4" w14:textId="77777777" w:rsidR="00934E60" w:rsidRPr="001D6D10" w:rsidRDefault="00934E60" w:rsidP="00F35CFE">
            <w:pPr>
              <w:rPr>
                <w:rFonts w:ascii="HG丸ｺﾞｼｯｸM-PRO" w:eastAsia="HG丸ｺﾞｼｯｸM-PRO" w:hAnsi="HG丸ｺﾞｼｯｸM-PRO"/>
                <w:szCs w:val="21"/>
              </w:rPr>
            </w:pPr>
          </w:p>
          <w:p w14:paraId="3D03BA7D" w14:textId="77777777" w:rsidR="00934E60" w:rsidRPr="001D6D10" w:rsidRDefault="00934E60" w:rsidP="00F35CFE">
            <w:pPr>
              <w:rPr>
                <w:rFonts w:ascii="HG丸ｺﾞｼｯｸM-PRO" w:eastAsia="HG丸ｺﾞｼｯｸM-PRO" w:hAnsi="HG丸ｺﾞｼｯｸM-PRO"/>
                <w:szCs w:val="21"/>
              </w:rPr>
            </w:pPr>
          </w:p>
          <w:p w14:paraId="53162DD8" w14:textId="77777777" w:rsidR="00934E60" w:rsidRPr="001D6D10" w:rsidRDefault="00934E60" w:rsidP="00F35CFE">
            <w:pPr>
              <w:rPr>
                <w:rFonts w:ascii="HG丸ｺﾞｼｯｸM-PRO" w:eastAsia="HG丸ｺﾞｼｯｸM-PRO" w:hAnsi="HG丸ｺﾞｼｯｸM-PRO"/>
                <w:szCs w:val="21"/>
              </w:rPr>
            </w:pPr>
          </w:p>
          <w:p w14:paraId="14E9888B" w14:textId="77777777" w:rsidR="00934E60" w:rsidRPr="001D6D10" w:rsidRDefault="00934E60" w:rsidP="00F35CFE">
            <w:pPr>
              <w:rPr>
                <w:rFonts w:ascii="HG丸ｺﾞｼｯｸM-PRO" w:eastAsia="HG丸ｺﾞｼｯｸM-PRO" w:hAnsi="HG丸ｺﾞｼｯｸM-PRO"/>
                <w:szCs w:val="21"/>
              </w:rPr>
            </w:pPr>
          </w:p>
          <w:p w14:paraId="5E280480" w14:textId="77777777" w:rsidR="00934E60" w:rsidRPr="001D6D10" w:rsidRDefault="00934E60" w:rsidP="00F35CFE">
            <w:pPr>
              <w:rPr>
                <w:rFonts w:ascii="HG丸ｺﾞｼｯｸM-PRO" w:eastAsia="HG丸ｺﾞｼｯｸM-PRO" w:hAnsi="HG丸ｺﾞｼｯｸM-PRO"/>
                <w:szCs w:val="21"/>
              </w:rPr>
            </w:pPr>
          </w:p>
          <w:p w14:paraId="404191B2" w14:textId="77777777" w:rsidR="00934E60" w:rsidRPr="001D6D10" w:rsidRDefault="00934E60" w:rsidP="00F35CFE">
            <w:pPr>
              <w:rPr>
                <w:rFonts w:ascii="HG丸ｺﾞｼｯｸM-PRO" w:eastAsia="HG丸ｺﾞｼｯｸM-PRO" w:hAnsi="HG丸ｺﾞｼｯｸM-PRO"/>
                <w:szCs w:val="21"/>
              </w:rPr>
            </w:pPr>
          </w:p>
          <w:p w14:paraId="2E7F226C" w14:textId="77777777" w:rsidR="00934E60" w:rsidRPr="001D6D10" w:rsidRDefault="00934E60" w:rsidP="00F35CFE">
            <w:pPr>
              <w:rPr>
                <w:rFonts w:ascii="HG丸ｺﾞｼｯｸM-PRO" w:eastAsia="HG丸ｺﾞｼｯｸM-PRO" w:hAnsi="HG丸ｺﾞｼｯｸM-PRO"/>
                <w:szCs w:val="21"/>
              </w:rPr>
            </w:pPr>
          </w:p>
          <w:p w14:paraId="5E584B05" w14:textId="77777777" w:rsidR="00934E60" w:rsidRPr="001D6D10" w:rsidRDefault="00934E60" w:rsidP="00F35CFE">
            <w:pPr>
              <w:rPr>
                <w:rFonts w:ascii="HG丸ｺﾞｼｯｸM-PRO" w:eastAsia="HG丸ｺﾞｼｯｸM-PRO" w:hAnsi="HG丸ｺﾞｼｯｸM-PRO"/>
                <w:szCs w:val="21"/>
              </w:rPr>
            </w:pPr>
          </w:p>
          <w:p w14:paraId="7C42EB16" w14:textId="77777777" w:rsidR="00934E60" w:rsidRPr="001D6D10" w:rsidRDefault="00934E60" w:rsidP="00F35CFE">
            <w:pPr>
              <w:rPr>
                <w:rFonts w:ascii="HG丸ｺﾞｼｯｸM-PRO" w:eastAsia="HG丸ｺﾞｼｯｸM-PRO" w:hAnsi="HG丸ｺﾞｼｯｸM-PRO"/>
                <w:szCs w:val="21"/>
              </w:rPr>
            </w:pPr>
          </w:p>
          <w:p w14:paraId="2E4196E4" w14:textId="77777777" w:rsidR="0001205E" w:rsidRPr="001D6D10" w:rsidRDefault="0001205E" w:rsidP="00F35CFE">
            <w:pPr>
              <w:rPr>
                <w:rFonts w:ascii="HG丸ｺﾞｼｯｸM-PRO" w:eastAsia="HG丸ｺﾞｼｯｸM-PRO" w:hAnsi="HG丸ｺﾞｼｯｸM-PRO"/>
                <w:szCs w:val="21"/>
              </w:rPr>
            </w:pPr>
            <w:r w:rsidRPr="001D6D10">
              <w:rPr>
                <w:rFonts w:ascii="HG丸ｺﾞｼｯｸM-PRO" w:eastAsia="HG丸ｺﾞｼｯｸM-PRO" w:hAnsi="HG丸ｺﾞｼｯｸM-PRO" w:hint="eastAsia"/>
                <w:szCs w:val="21"/>
              </w:rPr>
              <w:t>48ｈ前～</w:t>
            </w:r>
          </w:p>
          <w:p w14:paraId="254671E3" w14:textId="77777777" w:rsidR="0001205E" w:rsidRPr="001D6D10" w:rsidRDefault="0001205E" w:rsidP="00F35CFE">
            <w:pPr>
              <w:rPr>
                <w:rFonts w:ascii="HG丸ｺﾞｼｯｸM-PRO" w:eastAsia="HG丸ｺﾞｼｯｸM-PRO" w:hAnsi="HG丸ｺﾞｼｯｸM-PRO"/>
                <w:szCs w:val="21"/>
              </w:rPr>
            </w:pPr>
            <w:r w:rsidRPr="001D6D10">
              <w:rPr>
                <w:rFonts w:ascii="HG丸ｺﾞｼｯｸM-PRO" w:eastAsia="HG丸ｺﾞｼｯｸM-PRO" w:hAnsi="HG丸ｺﾞｼｯｸM-PRO" w:hint="eastAsia"/>
                <w:szCs w:val="21"/>
              </w:rPr>
              <w:t xml:space="preserve">　　24ｈ前</w:t>
            </w:r>
          </w:p>
          <w:p w14:paraId="1A8BC8C4" w14:textId="77777777" w:rsidR="0001205E" w:rsidRPr="001D6D10" w:rsidRDefault="0001205E" w:rsidP="00F35CFE">
            <w:pPr>
              <w:rPr>
                <w:rFonts w:ascii="HG丸ｺﾞｼｯｸM-PRO" w:eastAsia="HG丸ｺﾞｼｯｸM-PRO" w:hAnsi="HG丸ｺﾞｼｯｸM-PRO"/>
                <w:szCs w:val="21"/>
              </w:rPr>
            </w:pPr>
            <w:r w:rsidRPr="001D6D10">
              <w:rPr>
                <w:rFonts w:ascii="HG丸ｺﾞｼｯｸM-PRO" w:eastAsia="HG丸ｺﾞｼｯｸM-PRO" w:hAnsi="HG丸ｺﾞｼｯｸM-PRO" w:hint="eastAsia"/>
                <w:szCs w:val="21"/>
              </w:rPr>
              <w:t>（２日前）</w:t>
            </w:r>
          </w:p>
        </w:tc>
        <w:tc>
          <w:tcPr>
            <w:tcW w:w="7037" w:type="dxa"/>
          </w:tcPr>
          <w:p w14:paraId="7FA1BCA0" w14:textId="77777777" w:rsidR="0001205E" w:rsidRPr="001D6D10" w:rsidRDefault="0001205E" w:rsidP="00F35CFE">
            <w:pPr>
              <w:rPr>
                <w:rFonts w:ascii="HG丸ｺﾞｼｯｸM-PRO" w:eastAsia="HG丸ｺﾞｼｯｸM-PRO" w:hAnsi="HG丸ｺﾞｼｯｸM-PRO"/>
                <w:sz w:val="18"/>
                <w:szCs w:val="18"/>
              </w:rPr>
            </w:pPr>
            <w:r w:rsidRPr="001D6D10">
              <w:rPr>
                <w:rFonts w:ascii="HG丸ｺﾞｼｯｸM-PRO" w:eastAsia="HG丸ｺﾞｼｯｸM-PRO" w:hAnsi="HG丸ｺﾞｼｯｸM-PRO" w:hint="eastAsia"/>
                <w:szCs w:val="21"/>
              </w:rPr>
              <w:t>庁内連絡会議①：災害モード宣言の内容、第1回災害警戒本部会議の事前調整等</w:t>
            </w:r>
            <w:r w:rsidRPr="001D6D10">
              <w:rPr>
                <w:rFonts w:ascii="HG丸ｺﾞｼｯｸM-PRO" w:eastAsia="HG丸ｺﾞｼｯｸM-PRO" w:hAnsi="HG丸ｺﾞｼｯｸM-PRO" w:hint="eastAsia"/>
                <w:sz w:val="18"/>
                <w:szCs w:val="18"/>
              </w:rPr>
              <w:t>(警戒本部会議議題：管理施設の休館及び学校休校の検討、イベント等の中止検討、職員の配備態勢)</w:t>
            </w:r>
          </w:p>
          <w:p w14:paraId="7ACE3384" w14:textId="77777777" w:rsidR="00742C35" w:rsidRPr="001D6D10" w:rsidRDefault="00742C35" w:rsidP="00742C35">
            <w:pPr>
              <w:rPr>
                <w:rFonts w:ascii="HG丸ｺﾞｼｯｸM-PRO" w:eastAsia="HG丸ｺﾞｼｯｸM-PRO" w:hAnsi="HG丸ｺﾞｼｯｸM-PRO"/>
                <w:szCs w:val="21"/>
              </w:rPr>
            </w:pPr>
            <w:r w:rsidRPr="001D6D10">
              <w:rPr>
                <w:rFonts w:ascii="HG丸ｺﾞｼｯｸM-PRO" w:eastAsia="HG丸ｺﾞｼｯｸM-PRO" w:hAnsi="HG丸ｺﾞｼｯｸM-PRO" w:hint="eastAsia"/>
                <w:szCs w:val="21"/>
              </w:rPr>
              <w:t>□第１回災害警戒本部会議の事前準備</w:t>
            </w:r>
          </w:p>
          <w:p w14:paraId="539B56A6" w14:textId="77777777" w:rsidR="00742C35" w:rsidRPr="001D6D10" w:rsidRDefault="00742C35" w:rsidP="00742C35">
            <w:pPr>
              <w:rPr>
                <w:rFonts w:ascii="HG丸ｺﾞｼｯｸM-PRO" w:eastAsia="HG丸ｺﾞｼｯｸM-PRO" w:hAnsi="HG丸ｺﾞｼｯｸM-PRO"/>
                <w:szCs w:val="21"/>
              </w:rPr>
            </w:pPr>
            <w:r w:rsidRPr="001D6D10">
              <w:rPr>
                <w:rFonts w:ascii="HG丸ｺﾞｼｯｸM-PRO" w:eastAsia="HG丸ｺﾞｼｯｸM-PRO" w:hAnsi="HG丸ｺﾞｼｯｸM-PRO" w:hint="eastAsia"/>
                <w:szCs w:val="21"/>
              </w:rPr>
              <w:t xml:space="preserve">　・部局内の対応状況の確認、会議での報告のとりまとめ</w:t>
            </w:r>
          </w:p>
          <w:p w14:paraId="0957F659" w14:textId="77777777" w:rsidR="00335440" w:rsidRPr="001D6D10" w:rsidRDefault="00742C35" w:rsidP="00335440">
            <w:pPr>
              <w:rPr>
                <w:rFonts w:ascii="HG丸ｺﾞｼｯｸM-PRO" w:eastAsia="HG丸ｺﾞｼｯｸM-PRO" w:hAnsi="HG丸ｺﾞｼｯｸM-PRO"/>
                <w:szCs w:val="21"/>
                <w:u w:val="single"/>
              </w:rPr>
            </w:pPr>
            <w:r w:rsidRPr="001D6D10">
              <w:rPr>
                <w:rFonts w:ascii="HG丸ｺﾞｼｯｸM-PRO" w:eastAsia="HG丸ｺﾞｼｯｸM-PRO" w:hAnsi="HG丸ｺﾞｼｯｸM-PRO" w:hint="eastAsia"/>
                <w:szCs w:val="21"/>
              </w:rPr>
              <w:t xml:space="preserve">　・庁舎・所管施設の安全確認</w:t>
            </w:r>
          </w:p>
          <w:p w14:paraId="0E927838" w14:textId="77777777" w:rsidR="00BD7DE5" w:rsidRPr="001D6D10" w:rsidRDefault="00BD7DE5" w:rsidP="00335440">
            <w:pPr>
              <w:rPr>
                <w:rFonts w:ascii="HG丸ｺﾞｼｯｸM-PRO" w:eastAsia="HG丸ｺﾞｼｯｸM-PRO" w:hAnsi="HG丸ｺﾞｼｯｸM-PRO"/>
                <w:szCs w:val="21"/>
                <w:u w:val="single"/>
              </w:rPr>
            </w:pPr>
            <w:r w:rsidRPr="001D6D10">
              <w:rPr>
                <w:rFonts w:ascii="HG丸ｺﾞｼｯｸM-PRO" w:eastAsia="HG丸ｺﾞｼｯｸM-PRO" w:hAnsi="HG丸ｺﾞｼｯｸM-PRO" w:hint="eastAsia"/>
                <w:szCs w:val="21"/>
                <w:bdr w:val="single" w:sz="4" w:space="0" w:color="auto"/>
              </w:rPr>
              <w:t>台風説明会</w:t>
            </w:r>
          </w:p>
        </w:tc>
      </w:tr>
      <w:tr w:rsidR="001D6D10" w:rsidRPr="001D6D10" w14:paraId="62979581" w14:textId="77777777" w:rsidTr="00F35CFE">
        <w:trPr>
          <w:jc w:val="center"/>
        </w:trPr>
        <w:tc>
          <w:tcPr>
            <w:tcW w:w="1457" w:type="dxa"/>
            <w:vMerge/>
          </w:tcPr>
          <w:p w14:paraId="32197775" w14:textId="77777777" w:rsidR="0001205E" w:rsidRPr="001D6D10" w:rsidRDefault="0001205E" w:rsidP="00F35CFE">
            <w:pPr>
              <w:rPr>
                <w:rFonts w:ascii="HG丸ｺﾞｼｯｸM-PRO" w:eastAsia="HG丸ｺﾞｼｯｸM-PRO" w:hAnsi="HG丸ｺﾞｼｯｸM-PRO"/>
                <w:szCs w:val="21"/>
              </w:rPr>
            </w:pPr>
          </w:p>
        </w:tc>
        <w:tc>
          <w:tcPr>
            <w:tcW w:w="7037" w:type="dxa"/>
          </w:tcPr>
          <w:p w14:paraId="1608970D" w14:textId="77777777" w:rsidR="0001205E" w:rsidRPr="001D6D10" w:rsidRDefault="0001205E" w:rsidP="00F35CFE">
            <w:pPr>
              <w:rPr>
                <w:rFonts w:ascii="HG丸ｺﾞｼｯｸM-PRO" w:eastAsia="HG丸ｺﾞｼｯｸM-PRO" w:hAnsi="HG丸ｺﾞｼｯｸM-PRO"/>
                <w:szCs w:val="21"/>
                <w:highlight w:val="yellow"/>
              </w:rPr>
            </w:pPr>
            <w:r w:rsidRPr="001D6D10">
              <w:rPr>
                <w:rFonts w:ascii="HG丸ｺﾞｼｯｸM-PRO" w:eastAsia="HG丸ｺﾞｼｯｸM-PRO" w:hAnsi="HG丸ｺﾞｼｯｸM-PRO" w:hint="eastAsia"/>
                <w:b/>
                <w:szCs w:val="21"/>
                <w:highlight w:val="yellow"/>
              </w:rPr>
              <w:t>第1回災害警戒本部会議</w:t>
            </w:r>
            <w:r w:rsidRPr="001D6D10">
              <w:rPr>
                <w:rFonts w:ascii="HG丸ｺﾞｼｯｸM-PRO" w:eastAsia="HG丸ｺﾞｼｯｸM-PRO" w:hAnsi="HG丸ｺﾞｼｯｸM-PRO" w:hint="eastAsia"/>
                <w:szCs w:val="21"/>
                <w:highlight w:val="yellow"/>
              </w:rPr>
              <w:t>（災害モード宣言の内容検討）</w:t>
            </w:r>
            <w:r w:rsidR="00CB0ABF" w:rsidRPr="001D6D10">
              <w:rPr>
                <w:rFonts w:ascii="HG丸ｺﾞｼｯｸM-PRO" w:eastAsia="HG丸ｺﾞｼｯｸM-PRO" w:hAnsi="HG丸ｺﾞｼｯｸM-PRO" w:hint="eastAsia"/>
                <w:szCs w:val="21"/>
                <w:highlight w:val="yellow"/>
              </w:rPr>
              <w:t>（Ｐ47</w:t>
            </w:r>
            <w:r w:rsidR="0010145B" w:rsidRPr="001D6D10">
              <w:rPr>
                <w:rFonts w:ascii="HG丸ｺﾞｼｯｸM-PRO" w:eastAsia="HG丸ｺﾞｼｯｸM-PRO" w:hAnsi="HG丸ｺﾞｼｯｸM-PRO" w:hint="eastAsia"/>
                <w:szCs w:val="21"/>
                <w:highlight w:val="yellow"/>
              </w:rPr>
              <w:t>参照）</w:t>
            </w:r>
          </w:p>
        </w:tc>
      </w:tr>
      <w:tr w:rsidR="001D6D10" w:rsidRPr="001D6D10" w14:paraId="02D1EC62" w14:textId="77777777" w:rsidTr="00F35CFE">
        <w:trPr>
          <w:jc w:val="center"/>
        </w:trPr>
        <w:tc>
          <w:tcPr>
            <w:tcW w:w="1457" w:type="dxa"/>
            <w:vMerge/>
          </w:tcPr>
          <w:p w14:paraId="6C4F5026" w14:textId="77777777" w:rsidR="0001205E" w:rsidRPr="001D6D10" w:rsidRDefault="0001205E" w:rsidP="00F35CFE">
            <w:pPr>
              <w:rPr>
                <w:rFonts w:ascii="HG丸ｺﾞｼｯｸM-PRO" w:eastAsia="HG丸ｺﾞｼｯｸM-PRO" w:hAnsi="HG丸ｺﾞｼｯｸM-PRO"/>
                <w:szCs w:val="21"/>
              </w:rPr>
            </w:pPr>
          </w:p>
        </w:tc>
        <w:tc>
          <w:tcPr>
            <w:tcW w:w="7037" w:type="dxa"/>
          </w:tcPr>
          <w:p w14:paraId="39C2BD4A" w14:textId="77777777" w:rsidR="00282FE3" w:rsidRPr="001D6D10" w:rsidRDefault="00282FE3" w:rsidP="00282FE3">
            <w:pPr>
              <w:rPr>
                <w:rFonts w:ascii="HG丸ｺﾞｼｯｸM-PRO" w:eastAsia="HG丸ｺﾞｼｯｸM-PRO" w:hAnsi="HG丸ｺﾞｼｯｸM-PRO"/>
                <w:szCs w:val="21"/>
              </w:rPr>
            </w:pPr>
            <w:r w:rsidRPr="001D6D10">
              <w:rPr>
                <w:rFonts w:ascii="HG丸ｺﾞｼｯｸM-PRO" w:eastAsia="HG丸ｺﾞｼｯｸM-PRO" w:hAnsi="HG丸ｺﾞｼｯｸM-PRO" w:hint="eastAsia"/>
                <w:szCs w:val="21"/>
              </w:rPr>
              <w:t>□危機管理室からの情報の共有【環境農林水産総務課⇒各所属】</w:t>
            </w:r>
          </w:p>
          <w:p w14:paraId="7EE4808B" w14:textId="77777777" w:rsidR="00282FE3" w:rsidRPr="001D6D10" w:rsidRDefault="00282FE3" w:rsidP="00282FE3">
            <w:pPr>
              <w:rPr>
                <w:rFonts w:ascii="HG丸ｺﾞｼｯｸM-PRO" w:eastAsia="HG丸ｺﾞｼｯｸM-PRO" w:hAnsi="HG丸ｺﾞｼｯｸM-PRO"/>
                <w:szCs w:val="21"/>
              </w:rPr>
            </w:pPr>
            <w:r w:rsidRPr="001D6D10">
              <w:rPr>
                <w:rFonts w:ascii="HG丸ｺﾞｼｯｸM-PRO" w:eastAsia="HG丸ｺﾞｼｯｸM-PRO" w:hAnsi="HG丸ｺﾞｼｯｸM-PRO" w:hint="eastAsia"/>
                <w:szCs w:val="21"/>
              </w:rPr>
              <w:t>□公共交通機関計画運休の確認【各所属】</w:t>
            </w:r>
          </w:p>
          <w:p w14:paraId="1F244B56" w14:textId="77777777" w:rsidR="00282FE3" w:rsidRPr="001D6D10" w:rsidRDefault="00282FE3" w:rsidP="00282FE3">
            <w:pPr>
              <w:rPr>
                <w:rFonts w:ascii="HG丸ｺﾞｼｯｸM-PRO" w:eastAsia="HG丸ｺﾞｼｯｸM-PRO" w:hAnsi="HG丸ｺﾞｼｯｸM-PRO"/>
                <w:szCs w:val="21"/>
              </w:rPr>
            </w:pPr>
            <w:r w:rsidRPr="001D6D10">
              <w:rPr>
                <w:rFonts w:ascii="HG丸ｺﾞｼｯｸM-PRO" w:eastAsia="HG丸ｺﾞｼｯｸM-PRO" w:hAnsi="HG丸ｺﾞｼｯｸM-PRO" w:hint="eastAsia"/>
                <w:szCs w:val="21"/>
              </w:rPr>
              <w:t>□職員体制の確認・確保【各所属】</w:t>
            </w:r>
          </w:p>
          <w:p w14:paraId="4E6AD904" w14:textId="77777777" w:rsidR="00282FE3" w:rsidRPr="001D6D10" w:rsidRDefault="00282FE3" w:rsidP="00282FE3">
            <w:pPr>
              <w:rPr>
                <w:rFonts w:ascii="HG丸ｺﾞｼｯｸM-PRO" w:eastAsia="HG丸ｺﾞｼｯｸM-PRO" w:hAnsi="HG丸ｺﾞｼｯｸM-PRO"/>
                <w:szCs w:val="21"/>
              </w:rPr>
            </w:pPr>
            <w:r w:rsidRPr="001D6D10">
              <w:rPr>
                <w:rFonts w:ascii="HG丸ｺﾞｼｯｸM-PRO" w:eastAsia="HG丸ｺﾞｼｯｸM-PRO" w:hAnsi="HG丸ｺﾞｼｯｸM-PRO" w:hint="eastAsia"/>
                <w:szCs w:val="21"/>
              </w:rPr>
              <w:t>□市町村への準備要請</w:t>
            </w:r>
          </w:p>
          <w:p w14:paraId="74143FD3" w14:textId="77777777" w:rsidR="00282FE3" w:rsidRPr="001D6D10" w:rsidRDefault="00282FE3" w:rsidP="00282FE3">
            <w:pPr>
              <w:rPr>
                <w:rFonts w:ascii="HG丸ｺﾞｼｯｸM-PRO" w:eastAsia="HG丸ｺﾞｼｯｸM-PRO" w:hAnsi="HG丸ｺﾞｼｯｸM-PRO"/>
                <w:szCs w:val="21"/>
              </w:rPr>
            </w:pPr>
            <w:r w:rsidRPr="001D6D10">
              <w:rPr>
                <w:rFonts w:ascii="HG丸ｺﾞｼｯｸM-PRO" w:eastAsia="HG丸ｺﾞｼｯｸM-PRO" w:hAnsi="HG丸ｺﾞｼｯｸM-PRO" w:hint="eastAsia"/>
                <w:szCs w:val="21"/>
              </w:rPr>
              <w:t>【各農緑事務所⇒農林担当課・治山担当課】</w:t>
            </w:r>
          </w:p>
          <w:p w14:paraId="47E16588" w14:textId="77777777" w:rsidR="00282FE3" w:rsidRPr="001D6D10" w:rsidRDefault="00282FE3" w:rsidP="00282FE3">
            <w:pPr>
              <w:rPr>
                <w:rFonts w:ascii="HG丸ｺﾞｼｯｸM-PRO" w:eastAsia="HG丸ｺﾞｼｯｸM-PRO" w:hAnsi="HG丸ｺﾞｼｯｸM-PRO"/>
                <w:szCs w:val="21"/>
              </w:rPr>
            </w:pPr>
            <w:r w:rsidRPr="001D6D10">
              <w:rPr>
                <w:rFonts w:ascii="HG丸ｺﾞｼｯｸM-PRO" w:eastAsia="HG丸ｺﾞｼｯｸM-PRO" w:hAnsi="HG丸ｺﾞｼｯｸM-PRO" w:hint="eastAsia"/>
                <w:szCs w:val="21"/>
              </w:rPr>
              <w:t>□危険個所の確認【各所属】</w:t>
            </w:r>
          </w:p>
          <w:p w14:paraId="2D00F131" w14:textId="77777777" w:rsidR="00282FE3" w:rsidRPr="001D6D10" w:rsidRDefault="00282FE3" w:rsidP="00282FE3">
            <w:pPr>
              <w:rPr>
                <w:rFonts w:ascii="HG丸ｺﾞｼｯｸM-PRO" w:eastAsia="HG丸ｺﾞｼｯｸM-PRO" w:hAnsi="HG丸ｺﾞｼｯｸM-PRO"/>
                <w:szCs w:val="21"/>
              </w:rPr>
            </w:pPr>
            <w:r w:rsidRPr="001D6D10">
              <w:rPr>
                <w:rFonts w:ascii="HG丸ｺﾞｼｯｸM-PRO" w:eastAsia="HG丸ｺﾞｼｯｸM-PRO" w:hAnsi="HG丸ｺﾞｼｯｸM-PRO" w:hint="eastAsia"/>
                <w:szCs w:val="21"/>
              </w:rPr>
              <w:t>□気象警報等により水防体制の設置</w:t>
            </w:r>
          </w:p>
          <w:p w14:paraId="1831B607" w14:textId="64EDE081" w:rsidR="00282FE3" w:rsidRPr="001D6D10" w:rsidRDefault="00282FE3" w:rsidP="00282FE3">
            <w:pPr>
              <w:rPr>
                <w:rFonts w:ascii="HG丸ｺﾞｼｯｸM-PRO" w:eastAsia="HG丸ｺﾞｼｯｸM-PRO" w:hAnsi="HG丸ｺﾞｼｯｸM-PRO"/>
                <w:szCs w:val="21"/>
              </w:rPr>
            </w:pPr>
            <w:r w:rsidRPr="001D6D10">
              <w:rPr>
                <w:rFonts w:ascii="HG丸ｺﾞｼｯｸM-PRO" w:eastAsia="HG丸ｺﾞｼｯｸM-PRO" w:hAnsi="HG丸ｺﾞｼｯｸM-PRO" w:hint="eastAsia"/>
                <w:szCs w:val="21"/>
              </w:rPr>
              <w:t>【農政室・水産課・各農緑事務所】</w:t>
            </w:r>
          </w:p>
          <w:p w14:paraId="4620DA1F" w14:textId="77777777" w:rsidR="00282FE3" w:rsidRPr="001D6D10" w:rsidRDefault="00282FE3" w:rsidP="00282FE3">
            <w:pPr>
              <w:rPr>
                <w:rFonts w:ascii="HG丸ｺﾞｼｯｸM-PRO" w:eastAsia="HG丸ｺﾞｼｯｸM-PRO" w:hAnsi="HG丸ｺﾞｼｯｸM-PRO"/>
                <w:szCs w:val="21"/>
              </w:rPr>
            </w:pPr>
            <w:r w:rsidRPr="001D6D10">
              <w:rPr>
                <w:rFonts w:ascii="HG丸ｺﾞｼｯｸM-PRO" w:eastAsia="HG丸ｺﾞｼｯｸM-PRO" w:hAnsi="HG丸ｺﾞｼｯｸM-PRO" w:hint="eastAsia"/>
                <w:szCs w:val="21"/>
              </w:rPr>
              <w:t>□現場等の安全点検、事前対策</w:t>
            </w:r>
            <w:r w:rsidR="003A430F" w:rsidRPr="001D6D10">
              <w:rPr>
                <w:rFonts w:ascii="HG丸ｺﾞｼｯｸM-PRO" w:eastAsia="HG丸ｺﾞｼｯｸM-PRO" w:hAnsi="HG丸ｺﾞｼｯｸM-PRO" w:hint="eastAsia"/>
                <w:szCs w:val="21"/>
              </w:rPr>
              <w:t>【各所属】</w:t>
            </w:r>
          </w:p>
          <w:p w14:paraId="755CBE36" w14:textId="77777777" w:rsidR="00282FE3" w:rsidRPr="001D6D10" w:rsidRDefault="00282FE3" w:rsidP="00282FE3">
            <w:pPr>
              <w:rPr>
                <w:rFonts w:ascii="HG丸ｺﾞｼｯｸM-PRO" w:eastAsia="HG丸ｺﾞｼｯｸM-PRO" w:hAnsi="HG丸ｺﾞｼｯｸM-PRO"/>
                <w:szCs w:val="21"/>
              </w:rPr>
            </w:pPr>
            <w:r w:rsidRPr="001D6D10">
              <w:rPr>
                <w:rFonts w:ascii="HG丸ｺﾞｼｯｸM-PRO" w:eastAsia="HG丸ｺﾞｼｯｸM-PRO" w:hAnsi="HG丸ｺﾞｼｯｸM-PRO" w:hint="eastAsia"/>
                <w:szCs w:val="21"/>
              </w:rPr>
              <w:t>□漁港内防潮施設（逆流防止弁）の確認【水産課】</w:t>
            </w:r>
          </w:p>
          <w:p w14:paraId="01FA0D7D" w14:textId="77777777" w:rsidR="00282FE3" w:rsidRPr="001D6D10" w:rsidRDefault="00282FE3" w:rsidP="00282FE3">
            <w:pPr>
              <w:rPr>
                <w:rFonts w:ascii="HG丸ｺﾞｼｯｸM-PRO" w:eastAsia="HG丸ｺﾞｼｯｸM-PRO" w:hAnsi="HG丸ｺﾞｼｯｸM-PRO"/>
                <w:szCs w:val="21"/>
              </w:rPr>
            </w:pPr>
            <w:r w:rsidRPr="001D6D10">
              <w:rPr>
                <w:rFonts w:ascii="HG丸ｺﾞｼｯｸM-PRO" w:eastAsia="HG丸ｺﾞｼｯｸM-PRO" w:hAnsi="HG丸ｺﾞｼｯｸM-PRO" w:hint="eastAsia"/>
                <w:szCs w:val="21"/>
              </w:rPr>
              <w:t>□ため池管理者等へ注意喚起【各農緑事務所】</w:t>
            </w:r>
          </w:p>
          <w:p w14:paraId="70E42F3A" w14:textId="77777777" w:rsidR="00282FE3" w:rsidRPr="001D6D10" w:rsidRDefault="00282FE3" w:rsidP="00282FE3">
            <w:pPr>
              <w:rPr>
                <w:rFonts w:ascii="HG丸ｺﾞｼｯｸM-PRO" w:eastAsia="HG丸ｺﾞｼｯｸM-PRO" w:hAnsi="HG丸ｺﾞｼｯｸM-PRO"/>
                <w:szCs w:val="21"/>
              </w:rPr>
            </w:pPr>
            <w:r w:rsidRPr="001D6D10">
              <w:rPr>
                <w:rFonts w:ascii="HG丸ｺﾞｼｯｸM-PRO" w:eastAsia="HG丸ｺﾞｼｯｸM-PRO" w:hAnsi="HG丸ｺﾞｼｯｸM-PRO" w:hint="eastAsia"/>
                <w:szCs w:val="21"/>
              </w:rPr>
              <w:t>□パトロールの実施</w:t>
            </w:r>
          </w:p>
          <w:p w14:paraId="7CF4B476" w14:textId="77777777" w:rsidR="00282FE3" w:rsidRPr="001D6D10" w:rsidRDefault="00282FE3" w:rsidP="00282FE3">
            <w:pPr>
              <w:rPr>
                <w:rFonts w:ascii="HG丸ｺﾞｼｯｸM-PRO" w:eastAsia="HG丸ｺﾞｼｯｸM-PRO" w:hAnsi="HG丸ｺﾞｼｯｸM-PRO"/>
                <w:szCs w:val="21"/>
              </w:rPr>
            </w:pPr>
            <w:r w:rsidRPr="001D6D10">
              <w:rPr>
                <w:rFonts w:ascii="HG丸ｺﾞｼｯｸM-PRO" w:eastAsia="HG丸ｺﾞｼｯｸM-PRO" w:hAnsi="HG丸ｺﾞｼｯｸM-PRO" w:hint="eastAsia"/>
                <w:szCs w:val="21"/>
              </w:rPr>
              <w:t>・漁港施設の工事現場へのパトロール（安全対策、事前対策）【水産課】</w:t>
            </w:r>
          </w:p>
          <w:p w14:paraId="52BC1577" w14:textId="77777777" w:rsidR="00282FE3" w:rsidRPr="001D6D10" w:rsidRDefault="00282FE3" w:rsidP="00282FE3">
            <w:pPr>
              <w:rPr>
                <w:rFonts w:ascii="HG丸ｺﾞｼｯｸM-PRO" w:eastAsia="HG丸ｺﾞｼｯｸM-PRO" w:hAnsi="HG丸ｺﾞｼｯｸM-PRO"/>
                <w:szCs w:val="21"/>
              </w:rPr>
            </w:pPr>
            <w:r w:rsidRPr="001D6D10">
              <w:rPr>
                <w:rFonts w:ascii="HG丸ｺﾞｼｯｸM-PRO" w:eastAsia="HG丸ｺﾞｼｯｸM-PRO" w:hAnsi="HG丸ｺﾞｼｯｸM-PRO" w:hint="eastAsia"/>
                <w:szCs w:val="21"/>
              </w:rPr>
              <w:lastRenderedPageBreak/>
              <w:t>・府営工事現場等へのパトロール（安全点検、事前対策）【各農緑事務所】</w:t>
            </w:r>
          </w:p>
          <w:p w14:paraId="14906726" w14:textId="77777777" w:rsidR="0001205E" w:rsidRPr="001D6D10" w:rsidRDefault="00282FE3" w:rsidP="00282FE3">
            <w:pPr>
              <w:rPr>
                <w:rFonts w:ascii="HG丸ｺﾞｼｯｸM-PRO" w:eastAsia="HG丸ｺﾞｼｯｸM-PRO" w:hAnsi="HG丸ｺﾞｼｯｸM-PRO"/>
                <w:szCs w:val="21"/>
              </w:rPr>
            </w:pPr>
            <w:r w:rsidRPr="001D6D10">
              <w:rPr>
                <w:rFonts w:ascii="HG丸ｺﾞｼｯｸM-PRO" w:eastAsia="HG丸ｺﾞｼｯｸM-PRO" w:hAnsi="HG丸ｺﾞｼｯｸM-PRO" w:hint="eastAsia"/>
                <w:szCs w:val="21"/>
              </w:rPr>
              <w:t>・滝畑ダムの危険個所等のパトロール【南河内農緑事務所】</w:t>
            </w:r>
          </w:p>
        </w:tc>
      </w:tr>
      <w:tr w:rsidR="001D6D10" w:rsidRPr="001D6D10" w14:paraId="2CB72B6A" w14:textId="77777777" w:rsidTr="00F35CFE">
        <w:trPr>
          <w:jc w:val="center"/>
        </w:trPr>
        <w:tc>
          <w:tcPr>
            <w:tcW w:w="1457" w:type="dxa"/>
            <w:vMerge w:val="restart"/>
          </w:tcPr>
          <w:p w14:paraId="4A661B55" w14:textId="77777777" w:rsidR="00934E60" w:rsidRPr="001D6D10" w:rsidRDefault="00934E60" w:rsidP="00F35CFE">
            <w:pPr>
              <w:rPr>
                <w:rFonts w:ascii="HG丸ｺﾞｼｯｸM-PRO" w:eastAsia="HG丸ｺﾞｼｯｸM-PRO" w:hAnsi="HG丸ｺﾞｼｯｸM-PRO"/>
                <w:szCs w:val="21"/>
              </w:rPr>
            </w:pPr>
          </w:p>
          <w:p w14:paraId="4A335A68" w14:textId="77777777" w:rsidR="00934E60" w:rsidRPr="001D6D10" w:rsidRDefault="00934E60" w:rsidP="00F35CFE">
            <w:pPr>
              <w:rPr>
                <w:rFonts w:ascii="HG丸ｺﾞｼｯｸM-PRO" w:eastAsia="HG丸ｺﾞｼｯｸM-PRO" w:hAnsi="HG丸ｺﾞｼｯｸM-PRO"/>
                <w:szCs w:val="21"/>
              </w:rPr>
            </w:pPr>
          </w:p>
          <w:p w14:paraId="2F20200C" w14:textId="77777777" w:rsidR="00934E60" w:rsidRPr="001D6D10" w:rsidRDefault="00934E60" w:rsidP="00F35CFE">
            <w:pPr>
              <w:rPr>
                <w:rFonts w:ascii="HG丸ｺﾞｼｯｸM-PRO" w:eastAsia="HG丸ｺﾞｼｯｸM-PRO" w:hAnsi="HG丸ｺﾞｼｯｸM-PRO"/>
                <w:szCs w:val="21"/>
              </w:rPr>
            </w:pPr>
          </w:p>
          <w:p w14:paraId="7E7A4525" w14:textId="77777777" w:rsidR="00934E60" w:rsidRPr="001D6D10" w:rsidRDefault="00934E60" w:rsidP="00F35CFE">
            <w:pPr>
              <w:rPr>
                <w:rFonts w:ascii="HG丸ｺﾞｼｯｸM-PRO" w:eastAsia="HG丸ｺﾞｼｯｸM-PRO" w:hAnsi="HG丸ｺﾞｼｯｸM-PRO"/>
                <w:szCs w:val="21"/>
              </w:rPr>
            </w:pPr>
          </w:p>
          <w:p w14:paraId="33BBA603" w14:textId="77777777" w:rsidR="00934E60" w:rsidRPr="001D6D10" w:rsidRDefault="00934E60" w:rsidP="00F35CFE">
            <w:pPr>
              <w:rPr>
                <w:rFonts w:ascii="HG丸ｺﾞｼｯｸM-PRO" w:eastAsia="HG丸ｺﾞｼｯｸM-PRO" w:hAnsi="HG丸ｺﾞｼｯｸM-PRO"/>
                <w:szCs w:val="21"/>
              </w:rPr>
            </w:pPr>
          </w:p>
          <w:p w14:paraId="40DC8773" w14:textId="77777777" w:rsidR="00934E60" w:rsidRPr="001D6D10" w:rsidRDefault="00934E60" w:rsidP="00F35CFE">
            <w:pPr>
              <w:rPr>
                <w:rFonts w:ascii="HG丸ｺﾞｼｯｸM-PRO" w:eastAsia="HG丸ｺﾞｼｯｸM-PRO" w:hAnsi="HG丸ｺﾞｼｯｸM-PRO"/>
                <w:szCs w:val="21"/>
              </w:rPr>
            </w:pPr>
          </w:p>
          <w:p w14:paraId="67450FC1" w14:textId="77777777" w:rsidR="00934E60" w:rsidRPr="001D6D10" w:rsidRDefault="00934E60" w:rsidP="00F35CFE">
            <w:pPr>
              <w:rPr>
                <w:rFonts w:ascii="HG丸ｺﾞｼｯｸM-PRO" w:eastAsia="HG丸ｺﾞｼｯｸM-PRO" w:hAnsi="HG丸ｺﾞｼｯｸM-PRO"/>
                <w:szCs w:val="21"/>
              </w:rPr>
            </w:pPr>
          </w:p>
          <w:p w14:paraId="5F7A5C2B" w14:textId="77777777" w:rsidR="00934E60" w:rsidRPr="001D6D10" w:rsidRDefault="00934E60" w:rsidP="00F35CFE">
            <w:pPr>
              <w:rPr>
                <w:rFonts w:ascii="HG丸ｺﾞｼｯｸM-PRO" w:eastAsia="HG丸ｺﾞｼｯｸM-PRO" w:hAnsi="HG丸ｺﾞｼｯｸM-PRO"/>
                <w:szCs w:val="21"/>
              </w:rPr>
            </w:pPr>
          </w:p>
          <w:p w14:paraId="742EBD87" w14:textId="77777777" w:rsidR="0001205E" w:rsidRPr="001D6D10" w:rsidRDefault="0001205E" w:rsidP="00F35CFE">
            <w:pPr>
              <w:rPr>
                <w:rFonts w:ascii="HG丸ｺﾞｼｯｸM-PRO" w:eastAsia="HG丸ｺﾞｼｯｸM-PRO" w:hAnsi="HG丸ｺﾞｼｯｸM-PRO"/>
                <w:szCs w:val="21"/>
              </w:rPr>
            </w:pPr>
            <w:r w:rsidRPr="001D6D10">
              <w:rPr>
                <w:rFonts w:ascii="HG丸ｺﾞｼｯｸM-PRO" w:eastAsia="HG丸ｺﾞｼｯｸM-PRO" w:hAnsi="HG丸ｺﾞｼｯｸM-PRO" w:hint="eastAsia"/>
                <w:szCs w:val="21"/>
              </w:rPr>
              <w:t>24ｈ前～</w:t>
            </w:r>
          </w:p>
          <w:p w14:paraId="4029D110" w14:textId="77777777" w:rsidR="0001205E" w:rsidRPr="001D6D10" w:rsidRDefault="0001205E" w:rsidP="00F35CFE">
            <w:pPr>
              <w:rPr>
                <w:rFonts w:ascii="HG丸ｺﾞｼｯｸM-PRO" w:eastAsia="HG丸ｺﾞｼｯｸM-PRO" w:hAnsi="HG丸ｺﾞｼｯｸM-PRO"/>
                <w:szCs w:val="21"/>
              </w:rPr>
            </w:pPr>
            <w:r w:rsidRPr="001D6D10">
              <w:rPr>
                <w:rFonts w:ascii="HG丸ｺﾞｼｯｸM-PRO" w:eastAsia="HG丸ｺﾞｼｯｸM-PRO" w:hAnsi="HG丸ｺﾞｼｯｸM-PRO" w:hint="eastAsia"/>
                <w:szCs w:val="21"/>
              </w:rPr>
              <w:t xml:space="preserve">　　最接近</w:t>
            </w:r>
          </w:p>
          <w:p w14:paraId="1F4637BE" w14:textId="77777777" w:rsidR="0001205E" w:rsidRPr="001D6D10" w:rsidRDefault="0001205E" w:rsidP="00F35CFE">
            <w:pPr>
              <w:rPr>
                <w:rFonts w:ascii="HG丸ｺﾞｼｯｸM-PRO" w:eastAsia="HG丸ｺﾞｼｯｸM-PRO" w:hAnsi="HG丸ｺﾞｼｯｸM-PRO"/>
                <w:szCs w:val="21"/>
              </w:rPr>
            </w:pPr>
            <w:r w:rsidRPr="001D6D10">
              <w:rPr>
                <w:rFonts w:ascii="HG丸ｺﾞｼｯｸM-PRO" w:eastAsia="HG丸ｺﾞｼｯｸM-PRO" w:hAnsi="HG丸ｺﾞｼｯｸM-PRO" w:hint="eastAsia"/>
                <w:szCs w:val="21"/>
              </w:rPr>
              <w:t>（１日前）</w:t>
            </w:r>
          </w:p>
        </w:tc>
        <w:tc>
          <w:tcPr>
            <w:tcW w:w="7037" w:type="dxa"/>
          </w:tcPr>
          <w:p w14:paraId="63D54133" w14:textId="77777777" w:rsidR="0001205E" w:rsidRPr="001D6D10" w:rsidRDefault="0001205E" w:rsidP="00F35CFE">
            <w:pPr>
              <w:rPr>
                <w:rFonts w:ascii="HG丸ｺﾞｼｯｸM-PRO" w:eastAsia="HG丸ｺﾞｼｯｸM-PRO" w:hAnsi="HG丸ｺﾞｼｯｸM-PRO"/>
                <w:szCs w:val="21"/>
              </w:rPr>
            </w:pPr>
            <w:r w:rsidRPr="001D6D10">
              <w:rPr>
                <w:rFonts w:ascii="HG丸ｺﾞｼｯｸM-PRO" w:eastAsia="HG丸ｺﾞｼｯｸM-PRO" w:hAnsi="HG丸ｺﾞｼｯｸM-PRO" w:hint="eastAsia"/>
                <w:szCs w:val="21"/>
              </w:rPr>
              <w:t>庁内連絡会議②：第2回災害警戒本部会議の事前調整等</w:t>
            </w:r>
          </w:p>
          <w:p w14:paraId="07331ED1" w14:textId="77777777" w:rsidR="00742C35" w:rsidRPr="001D6D10" w:rsidRDefault="00742C35" w:rsidP="00742C35">
            <w:pPr>
              <w:rPr>
                <w:rFonts w:ascii="HG丸ｺﾞｼｯｸM-PRO" w:eastAsia="HG丸ｺﾞｼｯｸM-PRO" w:hAnsi="HG丸ｺﾞｼｯｸM-PRO"/>
                <w:szCs w:val="21"/>
              </w:rPr>
            </w:pPr>
            <w:r w:rsidRPr="001D6D10">
              <w:rPr>
                <w:rFonts w:ascii="HG丸ｺﾞｼｯｸM-PRO" w:eastAsia="HG丸ｺﾞｼｯｸM-PRO" w:hAnsi="HG丸ｺﾞｼｯｸM-PRO" w:hint="eastAsia"/>
                <w:szCs w:val="21"/>
              </w:rPr>
              <w:t>□第２回災害警戒本部会議の事前準備</w:t>
            </w:r>
          </w:p>
          <w:p w14:paraId="4F31F0DF" w14:textId="77777777" w:rsidR="00742C35" w:rsidRPr="001D6D10" w:rsidRDefault="00742C35" w:rsidP="00742C35">
            <w:pPr>
              <w:rPr>
                <w:rFonts w:ascii="HG丸ｺﾞｼｯｸM-PRO" w:eastAsia="HG丸ｺﾞｼｯｸM-PRO" w:hAnsi="HG丸ｺﾞｼｯｸM-PRO"/>
                <w:szCs w:val="21"/>
              </w:rPr>
            </w:pPr>
            <w:r w:rsidRPr="001D6D10">
              <w:rPr>
                <w:rFonts w:ascii="HG丸ｺﾞｼｯｸM-PRO" w:eastAsia="HG丸ｺﾞｼｯｸM-PRO" w:hAnsi="HG丸ｺﾞｼｯｸM-PRO" w:hint="eastAsia"/>
                <w:szCs w:val="21"/>
              </w:rPr>
              <w:t xml:space="preserve">　・部局内の対応状況の確認、会議での報告のとりまとめ</w:t>
            </w:r>
          </w:p>
          <w:p w14:paraId="49F276A6" w14:textId="77777777" w:rsidR="00335440" w:rsidRPr="001D6D10" w:rsidRDefault="00742C35" w:rsidP="00335440">
            <w:pPr>
              <w:rPr>
                <w:rFonts w:ascii="HG丸ｺﾞｼｯｸM-PRO" w:eastAsia="HG丸ｺﾞｼｯｸM-PRO" w:hAnsi="HG丸ｺﾞｼｯｸM-PRO"/>
                <w:szCs w:val="21"/>
              </w:rPr>
            </w:pPr>
            <w:r w:rsidRPr="001D6D10">
              <w:rPr>
                <w:rFonts w:ascii="HG丸ｺﾞｼｯｸM-PRO" w:eastAsia="HG丸ｺﾞｼｯｸM-PRO" w:hAnsi="HG丸ｺﾞｼｯｸM-PRO" w:hint="eastAsia"/>
                <w:szCs w:val="21"/>
              </w:rPr>
              <w:t xml:space="preserve">　・庁舎・所管施設の安全点検</w:t>
            </w:r>
          </w:p>
          <w:p w14:paraId="75BE9DC3" w14:textId="77777777" w:rsidR="00BD7DE5" w:rsidRPr="001D6D10" w:rsidRDefault="00BD7DE5" w:rsidP="00335440">
            <w:pPr>
              <w:rPr>
                <w:rFonts w:ascii="HG丸ｺﾞｼｯｸM-PRO" w:eastAsia="HG丸ｺﾞｼｯｸM-PRO" w:hAnsi="HG丸ｺﾞｼｯｸM-PRO"/>
                <w:szCs w:val="21"/>
                <w:u w:val="single"/>
              </w:rPr>
            </w:pPr>
            <w:r w:rsidRPr="001D6D10">
              <w:rPr>
                <w:rFonts w:ascii="HG丸ｺﾞｼｯｸM-PRO" w:eastAsia="HG丸ｺﾞｼｯｸM-PRO" w:hAnsi="HG丸ｺﾞｼｯｸM-PRO" w:hint="eastAsia"/>
                <w:szCs w:val="21"/>
                <w:bdr w:val="single" w:sz="4" w:space="0" w:color="auto"/>
              </w:rPr>
              <w:t>台風説明会</w:t>
            </w:r>
          </w:p>
        </w:tc>
      </w:tr>
      <w:tr w:rsidR="001D6D10" w:rsidRPr="001D6D10" w14:paraId="5EAAEA78" w14:textId="77777777" w:rsidTr="00F35CFE">
        <w:trPr>
          <w:jc w:val="center"/>
        </w:trPr>
        <w:tc>
          <w:tcPr>
            <w:tcW w:w="1457" w:type="dxa"/>
            <w:vMerge/>
          </w:tcPr>
          <w:p w14:paraId="0A0958CE" w14:textId="77777777" w:rsidR="0001205E" w:rsidRPr="001D6D10" w:rsidRDefault="0001205E" w:rsidP="00F35CFE">
            <w:pPr>
              <w:rPr>
                <w:rFonts w:ascii="HG丸ｺﾞｼｯｸM-PRO" w:eastAsia="HG丸ｺﾞｼｯｸM-PRO" w:hAnsi="HG丸ｺﾞｼｯｸM-PRO"/>
                <w:szCs w:val="21"/>
              </w:rPr>
            </w:pPr>
          </w:p>
        </w:tc>
        <w:tc>
          <w:tcPr>
            <w:tcW w:w="7037" w:type="dxa"/>
          </w:tcPr>
          <w:p w14:paraId="23A07B67" w14:textId="77777777" w:rsidR="0001205E" w:rsidRPr="001D6D10" w:rsidRDefault="0001205E" w:rsidP="00F35CFE">
            <w:pPr>
              <w:rPr>
                <w:rFonts w:ascii="HG丸ｺﾞｼｯｸM-PRO" w:eastAsia="HG丸ｺﾞｼｯｸM-PRO" w:hAnsi="HG丸ｺﾞｼｯｸM-PRO"/>
                <w:szCs w:val="21"/>
                <w:highlight w:val="yellow"/>
              </w:rPr>
            </w:pPr>
            <w:r w:rsidRPr="001D6D10">
              <w:rPr>
                <w:rFonts w:ascii="HG丸ｺﾞｼｯｸM-PRO" w:eastAsia="HG丸ｺﾞｼｯｸM-PRO" w:hAnsi="HG丸ｺﾞｼｯｸM-PRO" w:hint="eastAsia"/>
                <w:b/>
                <w:szCs w:val="21"/>
                <w:highlight w:val="yellow"/>
              </w:rPr>
              <w:t>第２回災害警戒本部会議</w:t>
            </w:r>
            <w:r w:rsidRPr="001D6D10">
              <w:rPr>
                <w:rFonts w:ascii="HG丸ｺﾞｼｯｸM-PRO" w:eastAsia="HG丸ｺﾞｼｯｸM-PRO" w:hAnsi="HG丸ｺﾞｼｯｸM-PRO" w:hint="eastAsia"/>
                <w:szCs w:val="21"/>
                <w:highlight w:val="yellow"/>
              </w:rPr>
              <w:t>（災害モード宣言の発信）</w:t>
            </w:r>
            <w:r w:rsidR="00CB0ABF" w:rsidRPr="001D6D10">
              <w:rPr>
                <w:rFonts w:ascii="HG丸ｺﾞｼｯｸM-PRO" w:eastAsia="HG丸ｺﾞｼｯｸM-PRO" w:hAnsi="HG丸ｺﾞｼｯｸM-PRO" w:hint="eastAsia"/>
                <w:szCs w:val="21"/>
                <w:highlight w:val="yellow"/>
              </w:rPr>
              <w:t>（Ｐ47</w:t>
            </w:r>
            <w:r w:rsidR="0010145B" w:rsidRPr="001D6D10">
              <w:rPr>
                <w:rFonts w:ascii="HG丸ｺﾞｼｯｸM-PRO" w:eastAsia="HG丸ｺﾞｼｯｸM-PRO" w:hAnsi="HG丸ｺﾞｼｯｸM-PRO" w:hint="eastAsia"/>
                <w:szCs w:val="21"/>
                <w:highlight w:val="yellow"/>
              </w:rPr>
              <w:t>参照）</w:t>
            </w:r>
          </w:p>
        </w:tc>
      </w:tr>
      <w:tr w:rsidR="001D6D10" w:rsidRPr="001D6D10" w14:paraId="0517C14F" w14:textId="77777777" w:rsidTr="00F35CFE">
        <w:trPr>
          <w:jc w:val="center"/>
        </w:trPr>
        <w:tc>
          <w:tcPr>
            <w:tcW w:w="1457" w:type="dxa"/>
            <w:vMerge/>
          </w:tcPr>
          <w:p w14:paraId="5DF1E571" w14:textId="77777777" w:rsidR="0001205E" w:rsidRPr="001D6D10" w:rsidRDefault="0001205E" w:rsidP="00F35CFE">
            <w:pPr>
              <w:rPr>
                <w:rFonts w:ascii="HG丸ｺﾞｼｯｸM-PRO" w:eastAsia="HG丸ｺﾞｼｯｸM-PRO" w:hAnsi="HG丸ｺﾞｼｯｸM-PRO"/>
                <w:szCs w:val="21"/>
              </w:rPr>
            </w:pPr>
          </w:p>
        </w:tc>
        <w:tc>
          <w:tcPr>
            <w:tcW w:w="7037" w:type="dxa"/>
          </w:tcPr>
          <w:p w14:paraId="23FC16D0" w14:textId="77777777" w:rsidR="00282FE3" w:rsidRPr="001D6D10" w:rsidRDefault="00282FE3" w:rsidP="00282FE3">
            <w:pPr>
              <w:rPr>
                <w:rFonts w:ascii="HG丸ｺﾞｼｯｸM-PRO" w:eastAsia="HG丸ｺﾞｼｯｸM-PRO" w:hAnsi="HG丸ｺﾞｼｯｸM-PRO"/>
                <w:szCs w:val="21"/>
              </w:rPr>
            </w:pPr>
            <w:r w:rsidRPr="001D6D10">
              <w:rPr>
                <w:rFonts w:ascii="HG丸ｺﾞｼｯｸM-PRO" w:eastAsia="HG丸ｺﾞｼｯｸM-PRO" w:hAnsi="HG丸ｺﾞｼｯｸM-PRO" w:hint="eastAsia"/>
                <w:szCs w:val="21"/>
              </w:rPr>
              <w:t>□危機管理室からの情報の共有【環境農林水産総務課⇒各所属】</w:t>
            </w:r>
          </w:p>
          <w:p w14:paraId="1903FF95" w14:textId="77777777" w:rsidR="00282FE3" w:rsidRPr="001D6D10" w:rsidRDefault="00282FE3" w:rsidP="00282FE3">
            <w:pPr>
              <w:rPr>
                <w:rFonts w:ascii="HG丸ｺﾞｼｯｸM-PRO" w:eastAsia="HG丸ｺﾞｼｯｸM-PRO" w:hAnsi="HG丸ｺﾞｼｯｸM-PRO"/>
                <w:szCs w:val="21"/>
              </w:rPr>
            </w:pPr>
            <w:r w:rsidRPr="001D6D10">
              <w:rPr>
                <w:rFonts w:ascii="HG丸ｺﾞｼｯｸM-PRO" w:eastAsia="HG丸ｺﾞｼｯｸM-PRO" w:hAnsi="HG丸ｺﾞｼｯｸM-PRO" w:hint="eastAsia"/>
                <w:szCs w:val="21"/>
              </w:rPr>
              <w:t>□気象警報等により水防体制の設置</w:t>
            </w:r>
          </w:p>
          <w:p w14:paraId="4970BEAF" w14:textId="14CAB2E5" w:rsidR="00282FE3" w:rsidRPr="001D6D10" w:rsidRDefault="00282FE3" w:rsidP="00282FE3">
            <w:pPr>
              <w:rPr>
                <w:rFonts w:ascii="HG丸ｺﾞｼｯｸM-PRO" w:eastAsia="HG丸ｺﾞｼｯｸM-PRO" w:hAnsi="HG丸ｺﾞｼｯｸM-PRO"/>
                <w:szCs w:val="21"/>
              </w:rPr>
            </w:pPr>
            <w:r w:rsidRPr="001D6D10">
              <w:rPr>
                <w:rFonts w:ascii="HG丸ｺﾞｼｯｸM-PRO" w:eastAsia="HG丸ｺﾞｼｯｸM-PRO" w:hAnsi="HG丸ｺﾞｼｯｸM-PRO" w:hint="eastAsia"/>
                <w:szCs w:val="21"/>
              </w:rPr>
              <w:t>【農政室・水産課・各農緑事務所】</w:t>
            </w:r>
          </w:p>
          <w:p w14:paraId="05502B53" w14:textId="77777777" w:rsidR="00282FE3" w:rsidRPr="001D6D10" w:rsidRDefault="00282FE3" w:rsidP="00282FE3">
            <w:pPr>
              <w:rPr>
                <w:rFonts w:ascii="HG丸ｺﾞｼｯｸM-PRO" w:eastAsia="HG丸ｺﾞｼｯｸM-PRO" w:hAnsi="HG丸ｺﾞｼｯｸM-PRO"/>
                <w:szCs w:val="21"/>
              </w:rPr>
            </w:pPr>
            <w:r w:rsidRPr="001D6D10">
              <w:rPr>
                <w:rFonts w:ascii="HG丸ｺﾞｼｯｸM-PRO" w:eastAsia="HG丸ｺﾞｼｯｸM-PRO" w:hAnsi="HG丸ｺﾞｼｯｸM-PRO" w:hint="eastAsia"/>
                <w:szCs w:val="21"/>
              </w:rPr>
              <w:t>□雨量・水位等の監視情報収集【各所属】</w:t>
            </w:r>
          </w:p>
          <w:p w14:paraId="6F9ACA45" w14:textId="77777777" w:rsidR="00282FE3" w:rsidRPr="001D6D10" w:rsidRDefault="00282FE3" w:rsidP="00282FE3">
            <w:pPr>
              <w:rPr>
                <w:rFonts w:ascii="HG丸ｺﾞｼｯｸM-PRO" w:eastAsia="HG丸ｺﾞｼｯｸM-PRO" w:hAnsi="HG丸ｺﾞｼｯｸM-PRO"/>
                <w:szCs w:val="21"/>
              </w:rPr>
            </w:pPr>
            <w:r w:rsidRPr="001D6D10">
              <w:rPr>
                <w:rFonts w:ascii="HG丸ｺﾞｼｯｸM-PRO" w:eastAsia="HG丸ｺﾞｼｯｸM-PRO" w:hAnsi="HG丸ｺﾞｼｯｸM-PRO" w:hint="eastAsia"/>
                <w:szCs w:val="21"/>
              </w:rPr>
              <w:t>□台風・気象情報の収集【各所属】</w:t>
            </w:r>
          </w:p>
          <w:p w14:paraId="204E9EF9" w14:textId="77777777" w:rsidR="00282FE3" w:rsidRPr="001D6D10" w:rsidRDefault="00282FE3" w:rsidP="00282FE3">
            <w:pPr>
              <w:rPr>
                <w:rFonts w:ascii="HG丸ｺﾞｼｯｸM-PRO" w:eastAsia="HG丸ｺﾞｼｯｸM-PRO" w:hAnsi="HG丸ｺﾞｼｯｸM-PRO"/>
                <w:szCs w:val="21"/>
              </w:rPr>
            </w:pPr>
            <w:r w:rsidRPr="001D6D10">
              <w:rPr>
                <w:rFonts w:ascii="HG丸ｺﾞｼｯｸM-PRO" w:eastAsia="HG丸ｺﾞｼｯｸM-PRO" w:hAnsi="HG丸ｺﾞｼｯｸM-PRO" w:hint="eastAsia"/>
                <w:szCs w:val="21"/>
              </w:rPr>
              <w:t>□ため池管理者等へ再注意喚起</w:t>
            </w:r>
            <w:r w:rsidR="003A430F" w:rsidRPr="001D6D10">
              <w:rPr>
                <w:rFonts w:ascii="HG丸ｺﾞｼｯｸM-PRO" w:eastAsia="HG丸ｺﾞｼｯｸM-PRO" w:hAnsi="HG丸ｺﾞｼｯｸM-PRO" w:hint="eastAsia"/>
                <w:szCs w:val="21"/>
              </w:rPr>
              <w:t>【各農緑事務所】</w:t>
            </w:r>
          </w:p>
          <w:p w14:paraId="03356B23" w14:textId="77777777" w:rsidR="00282FE3" w:rsidRPr="001D6D10" w:rsidRDefault="00282FE3" w:rsidP="00282FE3">
            <w:pPr>
              <w:rPr>
                <w:rFonts w:ascii="HG丸ｺﾞｼｯｸM-PRO" w:eastAsia="HG丸ｺﾞｼｯｸM-PRO" w:hAnsi="HG丸ｺﾞｼｯｸM-PRO"/>
                <w:szCs w:val="21"/>
              </w:rPr>
            </w:pPr>
            <w:r w:rsidRPr="001D6D10">
              <w:rPr>
                <w:rFonts w:ascii="HG丸ｺﾞｼｯｸM-PRO" w:eastAsia="HG丸ｺﾞｼｯｸM-PRO" w:hAnsi="HG丸ｺﾞｼｯｸM-PRO" w:hint="eastAsia"/>
                <w:szCs w:val="21"/>
              </w:rPr>
              <w:t>□部内LWによる情報共有を開始【各所属】</w:t>
            </w:r>
          </w:p>
          <w:p w14:paraId="335BC56E" w14:textId="77777777" w:rsidR="00282FE3" w:rsidRPr="001D6D10" w:rsidRDefault="00EE533C" w:rsidP="00282FE3">
            <w:pPr>
              <w:rPr>
                <w:rFonts w:ascii="HG丸ｺﾞｼｯｸM-PRO" w:eastAsia="HG丸ｺﾞｼｯｸM-PRO" w:hAnsi="HG丸ｺﾞｼｯｸM-PRO"/>
                <w:szCs w:val="21"/>
              </w:rPr>
            </w:pPr>
            <w:r w:rsidRPr="001D6D10">
              <w:rPr>
                <w:rFonts w:ascii="HG丸ｺﾞｼｯｸM-PRO" w:eastAsia="HG丸ｺﾞｼｯｸM-PRO" w:hAnsi="HG丸ｺﾞｼｯｸM-PRO" w:hint="eastAsia"/>
                <w:szCs w:val="21"/>
              </w:rPr>
              <w:t>□被害状況収</w:t>
            </w:r>
            <w:r w:rsidR="00282FE3" w:rsidRPr="001D6D10">
              <w:rPr>
                <w:rFonts w:ascii="HG丸ｺﾞｼｯｸM-PRO" w:eastAsia="HG丸ｺﾞｼｯｸM-PRO" w:hAnsi="HG丸ｺﾞｼｯｸM-PRO" w:hint="eastAsia"/>
                <w:szCs w:val="21"/>
              </w:rPr>
              <w:t>集開始</w:t>
            </w:r>
          </w:p>
          <w:p w14:paraId="62B1CAC7" w14:textId="7CFF83B5" w:rsidR="00282FE3" w:rsidRPr="001D6D10" w:rsidRDefault="00282FE3" w:rsidP="00282FE3">
            <w:pPr>
              <w:rPr>
                <w:rFonts w:ascii="HG丸ｺﾞｼｯｸM-PRO" w:eastAsia="HG丸ｺﾞｼｯｸM-PRO" w:hAnsi="HG丸ｺﾞｼｯｸM-PRO"/>
                <w:szCs w:val="21"/>
              </w:rPr>
            </w:pPr>
            <w:r w:rsidRPr="001D6D10">
              <w:rPr>
                <w:rFonts w:ascii="HG丸ｺﾞｼｯｸM-PRO" w:eastAsia="HG丸ｺﾞｼｯｸM-PRO" w:hAnsi="HG丸ｺﾞｼｯｸM-PRO" w:hint="eastAsia"/>
                <w:szCs w:val="21"/>
              </w:rPr>
              <w:t>・農業協同組合、農業共済組合</w:t>
            </w:r>
            <w:r w:rsidR="001361FC" w:rsidRPr="001D6D10">
              <w:rPr>
                <w:rFonts w:ascii="HG丸ｺﾞｼｯｸM-PRO" w:eastAsia="HG丸ｺﾞｼｯｸM-PRO" w:hAnsi="HG丸ｺﾞｼｯｸM-PRO" w:hint="eastAsia"/>
                <w:szCs w:val="21"/>
              </w:rPr>
              <w:t>へ連絡し</w:t>
            </w:r>
            <w:r w:rsidRPr="001D6D10">
              <w:rPr>
                <w:rFonts w:ascii="HG丸ｺﾞｼｯｸM-PRO" w:eastAsia="HG丸ｺﾞｼｯｸM-PRO" w:hAnsi="HG丸ｺﾞｼｯｸM-PRO" w:hint="eastAsia"/>
                <w:szCs w:val="21"/>
              </w:rPr>
              <w:t>、</w:t>
            </w:r>
            <w:r w:rsidR="00C239F6" w:rsidRPr="001D6D10">
              <w:rPr>
                <w:rFonts w:ascii="HG丸ｺﾞｼｯｸM-PRO" w:eastAsia="HG丸ｺﾞｼｯｸM-PRO" w:hAnsi="HG丸ｺﾞｼｯｸM-PRO" w:hint="eastAsia"/>
                <w:szCs w:val="21"/>
              </w:rPr>
              <w:t>各組合が機能できるかなどの情報収集</w:t>
            </w:r>
            <w:r w:rsidRPr="001D6D10">
              <w:rPr>
                <w:rFonts w:ascii="HG丸ｺﾞｼｯｸM-PRO" w:eastAsia="HG丸ｺﾞｼｯｸM-PRO" w:hAnsi="HG丸ｺﾞｼｯｸM-PRO" w:hint="eastAsia"/>
                <w:szCs w:val="21"/>
              </w:rPr>
              <w:t>【</w:t>
            </w:r>
            <w:r w:rsidR="00A5346D" w:rsidRPr="001D6D10">
              <w:rPr>
                <w:rFonts w:ascii="HG丸ｺﾞｼｯｸM-PRO" w:eastAsia="HG丸ｺﾞｼｯｸM-PRO" w:hAnsi="HG丸ｺﾞｼｯｸM-PRO" w:hint="eastAsia"/>
                <w:szCs w:val="21"/>
              </w:rPr>
              <w:t>市場・検査</w:t>
            </w:r>
            <w:r w:rsidRPr="001D6D10">
              <w:rPr>
                <w:rFonts w:ascii="HG丸ｺﾞｼｯｸM-PRO" w:eastAsia="HG丸ｺﾞｼｯｸM-PRO" w:hAnsi="HG丸ｺﾞｼｯｸM-PRO" w:hint="eastAsia"/>
                <w:szCs w:val="21"/>
              </w:rPr>
              <w:t>指導】</w:t>
            </w:r>
          </w:p>
          <w:p w14:paraId="59BD1F84" w14:textId="77777777" w:rsidR="00282FE3" w:rsidRPr="001D6D10" w:rsidRDefault="00EE533C" w:rsidP="00282FE3">
            <w:pPr>
              <w:rPr>
                <w:rFonts w:ascii="HG丸ｺﾞｼｯｸM-PRO" w:eastAsia="HG丸ｺﾞｼｯｸM-PRO" w:hAnsi="HG丸ｺﾞｼｯｸM-PRO"/>
                <w:szCs w:val="21"/>
              </w:rPr>
            </w:pPr>
            <w:r w:rsidRPr="001D6D10">
              <w:rPr>
                <w:rFonts w:ascii="HG丸ｺﾞｼｯｸM-PRO" w:eastAsia="HG丸ｺﾞｼｯｸM-PRO" w:hAnsi="HG丸ｺﾞｼｯｸM-PRO" w:hint="eastAsia"/>
                <w:szCs w:val="21"/>
              </w:rPr>
              <w:t>・北大阪流通業務団地充填所の情報収集（夜間休日等必要に応じて災害伝言板を利用）【環境管理室】</w:t>
            </w:r>
          </w:p>
          <w:p w14:paraId="476EE205" w14:textId="77777777" w:rsidR="00282FE3" w:rsidRPr="001D6D10" w:rsidRDefault="00282FE3" w:rsidP="00282FE3">
            <w:pPr>
              <w:rPr>
                <w:rFonts w:ascii="HG丸ｺﾞｼｯｸM-PRO" w:eastAsia="HG丸ｺﾞｼｯｸM-PRO" w:hAnsi="HG丸ｺﾞｼｯｸM-PRO"/>
                <w:szCs w:val="21"/>
              </w:rPr>
            </w:pPr>
            <w:r w:rsidRPr="001D6D10">
              <w:rPr>
                <w:rFonts w:ascii="HG丸ｺﾞｼｯｸM-PRO" w:eastAsia="HG丸ｺﾞｼｯｸM-PRO" w:hAnsi="HG丸ｺﾞｼｯｸM-PRO" w:hint="eastAsia"/>
                <w:szCs w:val="21"/>
              </w:rPr>
              <w:t>・漁協、業種組合へ連絡し情報収集【水産課】</w:t>
            </w:r>
          </w:p>
          <w:p w14:paraId="03E1B635" w14:textId="77777777" w:rsidR="0001205E" w:rsidRPr="001D6D10" w:rsidRDefault="00282FE3" w:rsidP="00282FE3">
            <w:pPr>
              <w:rPr>
                <w:rFonts w:ascii="HG丸ｺﾞｼｯｸM-PRO" w:eastAsia="HG丸ｺﾞｼｯｸM-PRO" w:hAnsi="HG丸ｺﾞｼｯｸM-PRO"/>
                <w:szCs w:val="21"/>
              </w:rPr>
            </w:pPr>
            <w:r w:rsidRPr="001D6D10">
              <w:rPr>
                <w:rFonts w:ascii="HG丸ｺﾞｼｯｸM-PRO" w:eastAsia="HG丸ｺﾞｼｯｸM-PRO" w:hAnsi="HG丸ｺﾞｼｯｸM-PRO" w:hint="eastAsia"/>
                <w:szCs w:val="21"/>
              </w:rPr>
              <w:t>・管内市町村、農業協同組合、指定管理者、関係土地改良区、工事施工業者へ連絡し情報収集【各農緑事務所】</w:t>
            </w:r>
          </w:p>
        </w:tc>
      </w:tr>
    </w:tbl>
    <w:p w14:paraId="70F36F47" w14:textId="77777777" w:rsidR="004F0226" w:rsidRPr="00D705BF" w:rsidRDefault="004F0226" w:rsidP="004F0226">
      <w:pPr>
        <w:rPr>
          <w:rFonts w:ascii="HG丸ｺﾞｼｯｸM-PRO" w:eastAsia="HG丸ｺﾞｼｯｸM-PRO" w:hAnsi="HG丸ｺﾞｼｯｸM-PRO"/>
          <w:szCs w:val="21"/>
          <w:u w:val="single"/>
        </w:rPr>
      </w:pPr>
      <w:r w:rsidRPr="00D705BF">
        <w:rPr>
          <w:rFonts w:ascii="HG丸ｺﾞｼｯｸM-PRO" w:eastAsia="HG丸ｺﾞｼｯｸM-PRO" w:hAnsi="HG丸ｺﾞｼｯｸM-PRO" w:hint="eastAsia"/>
          <w:szCs w:val="21"/>
          <w:u w:val="single"/>
        </w:rPr>
        <w:t>※主な所管施設：中央卸売市場、農と緑の総合事務所、滝畑ダム、家畜保健衛生所、</w:t>
      </w:r>
    </w:p>
    <w:p w14:paraId="4600EDBE" w14:textId="77777777" w:rsidR="004F0226" w:rsidRPr="00D705BF" w:rsidRDefault="004F0226" w:rsidP="004F0226">
      <w:pPr>
        <w:ind w:firstLineChars="800" w:firstLine="1689"/>
        <w:rPr>
          <w:rFonts w:ascii="HG丸ｺﾞｼｯｸM-PRO" w:eastAsia="HG丸ｺﾞｼｯｸM-PRO" w:hAnsi="HG丸ｺﾞｼｯｸM-PRO"/>
          <w:szCs w:val="21"/>
          <w:u w:val="single"/>
        </w:rPr>
      </w:pPr>
      <w:r w:rsidRPr="00D705BF">
        <w:rPr>
          <w:rFonts w:ascii="HG丸ｺﾞｼｯｸM-PRO" w:eastAsia="HG丸ｺﾞｼｯｸM-PRO" w:hAnsi="HG丸ｺﾞｼｯｸM-PRO" w:hint="eastAsia"/>
          <w:szCs w:val="21"/>
          <w:u w:val="single"/>
        </w:rPr>
        <w:t>動物愛護管理センター、各漁港施設、花の文化園、府立農業公園、</w:t>
      </w:r>
    </w:p>
    <w:p w14:paraId="2CAD6652" w14:textId="77777777" w:rsidR="004F0226" w:rsidRPr="00D705BF" w:rsidRDefault="004F0226" w:rsidP="004F0226">
      <w:pPr>
        <w:ind w:firstLineChars="800" w:firstLine="1689"/>
        <w:rPr>
          <w:rFonts w:ascii="HG丸ｺﾞｼｯｸM-PRO" w:eastAsia="HG丸ｺﾞｼｯｸM-PRO" w:hAnsi="HG丸ｺﾞｼｯｸM-PRO"/>
          <w:szCs w:val="21"/>
          <w:u w:val="single"/>
        </w:rPr>
      </w:pPr>
      <w:r w:rsidRPr="00D705BF">
        <w:rPr>
          <w:rFonts w:ascii="HG丸ｺﾞｼｯｸM-PRO" w:eastAsia="HG丸ｺﾞｼｯｸM-PRO" w:hAnsi="HG丸ｺﾞｼｯｸM-PRO" w:hint="eastAsia"/>
          <w:szCs w:val="21"/>
          <w:u w:val="single"/>
        </w:rPr>
        <w:t>自然公園施設、堺7-3区、フェニックス、北大阪流通業務団地充填所</w:t>
      </w:r>
    </w:p>
    <w:p w14:paraId="133B1888" w14:textId="77777777" w:rsidR="004F0226" w:rsidRPr="00D705BF" w:rsidRDefault="004F0226" w:rsidP="004F0226">
      <w:pPr>
        <w:ind w:leftChars="300" w:left="1688" w:hangingChars="500" w:hanging="1055"/>
        <w:rPr>
          <w:rFonts w:ascii="HG丸ｺﾞｼｯｸM-PRO" w:eastAsia="HG丸ｺﾞｼｯｸM-PRO" w:hAnsi="HG丸ｺﾞｼｯｸM-PRO"/>
          <w:szCs w:val="21"/>
          <w:u w:val="single"/>
        </w:rPr>
      </w:pPr>
      <w:r w:rsidRPr="00D705BF">
        <w:rPr>
          <w:rFonts w:ascii="HG丸ｺﾞｼｯｸM-PRO" w:eastAsia="HG丸ｺﾞｼｯｸM-PRO" w:hAnsi="HG丸ｺﾞｼｯｸM-PRO" w:hint="eastAsia"/>
          <w:szCs w:val="21"/>
          <w:u w:val="single"/>
        </w:rPr>
        <w:t>関係機関：環境農林水産総合研究所、各施設指定管理者、大阪府漁業協同組合連合会、各漁協（内水面を含む）</w:t>
      </w:r>
    </w:p>
    <w:p w14:paraId="0237A0E7" w14:textId="77777777" w:rsidR="004F0226" w:rsidRDefault="004F0226" w:rsidP="004F0226">
      <w:pPr>
        <w:rPr>
          <w:rFonts w:ascii="HG丸ｺﾞｼｯｸM-PRO" w:eastAsia="HG丸ｺﾞｼｯｸM-PRO" w:hAnsi="HG丸ｺﾞｼｯｸM-PRO"/>
          <w:color w:val="FF0000"/>
          <w:szCs w:val="21"/>
        </w:rPr>
      </w:pPr>
      <w:r w:rsidRPr="00D705BF">
        <w:rPr>
          <w:rFonts w:ascii="HG丸ｺﾞｼｯｸM-PRO" w:eastAsia="HG丸ｺﾞｼｯｸM-PRO" w:hAnsi="HG丸ｺﾞｼｯｸM-PRO" w:hint="eastAsia"/>
          <w:szCs w:val="21"/>
          <w:u w:val="single"/>
        </w:rPr>
        <w:t>システム：大阪府ため池防災テレメータシステム</w:t>
      </w:r>
    </w:p>
    <w:p w14:paraId="145B217A" w14:textId="14C5C588" w:rsidR="000D7B36" w:rsidRPr="001D6D10" w:rsidRDefault="00A3705A" w:rsidP="004F0226">
      <w:pPr>
        <w:rPr>
          <w:rFonts w:ascii="ＭＳ ゴシック" w:eastAsia="ＭＳ ゴシック" w:hAnsi="ＭＳ ゴシック"/>
          <w:sz w:val="18"/>
          <w:szCs w:val="22"/>
        </w:rPr>
      </w:pPr>
      <w:r w:rsidRPr="001D6D10">
        <w:rPr>
          <w:rFonts w:ascii="ＭＳ ゴシック" w:eastAsia="ＭＳ ゴシック" w:hAnsi="ＭＳ ゴシック" w:hint="eastAsia"/>
          <w:sz w:val="18"/>
          <w:szCs w:val="22"/>
        </w:rPr>
        <w:t>※）本タイムラインから状況に応じて必要な項目を選定し、実施するものとする。</w:t>
      </w:r>
    </w:p>
    <w:p w14:paraId="071FFAAC" w14:textId="6A4530A0" w:rsidR="00930C0D" w:rsidRDefault="00930C0D">
      <w:pPr>
        <w:widowControl/>
        <w:jc w:val="left"/>
        <w:rPr>
          <w:rFonts w:ascii="ＭＳ ゴシック" w:eastAsia="ＭＳ ゴシック" w:hAnsi="ＭＳ ゴシック"/>
          <w:sz w:val="22"/>
          <w:szCs w:val="22"/>
        </w:rPr>
      </w:pPr>
      <w:r>
        <w:rPr>
          <w:rFonts w:ascii="ＭＳ ゴシック" w:eastAsia="ＭＳ ゴシック" w:hAnsi="ＭＳ ゴシック"/>
          <w:sz w:val="22"/>
          <w:szCs w:val="22"/>
        </w:rPr>
        <w:br w:type="page"/>
      </w:r>
    </w:p>
    <w:p w14:paraId="69B1D84F" w14:textId="77777777" w:rsidR="0001205E" w:rsidRPr="001D6D10" w:rsidRDefault="0001205E" w:rsidP="0001205E">
      <w:pPr>
        <w:rPr>
          <w:rFonts w:ascii="ＭＳ ゴシック" w:eastAsia="ＭＳ ゴシック" w:hAnsi="ＭＳ ゴシック"/>
          <w:sz w:val="22"/>
          <w:szCs w:val="22"/>
        </w:rPr>
      </w:pPr>
      <w:r w:rsidRPr="001D6D10">
        <w:rPr>
          <w:rFonts w:ascii="ＭＳ ゴシック" w:eastAsia="ＭＳ ゴシック" w:hAnsi="ＭＳ ゴシック" w:hint="eastAsia"/>
          <w:sz w:val="22"/>
          <w:szCs w:val="22"/>
        </w:rPr>
        <w:lastRenderedPageBreak/>
        <w:t>⑫都市整備部</w:t>
      </w:r>
    </w:p>
    <w:tbl>
      <w:tblPr>
        <w:tblpPr w:leftFromText="142" w:rightFromText="142" w:vertAnchor="text" w:tblpXSpec="center" w:tblpY="1"/>
        <w:tblOverlap w:val="neve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57"/>
        <w:gridCol w:w="7037"/>
      </w:tblGrid>
      <w:tr w:rsidR="001D6D10" w:rsidRPr="001D6D10" w14:paraId="45DC764E" w14:textId="77777777" w:rsidTr="00F35CFE">
        <w:trPr>
          <w:jc w:val="center"/>
        </w:trPr>
        <w:tc>
          <w:tcPr>
            <w:tcW w:w="1457" w:type="dxa"/>
            <w:tcBorders>
              <w:bottom w:val="single" w:sz="4" w:space="0" w:color="auto"/>
            </w:tcBorders>
            <w:shd w:val="clear" w:color="auto" w:fill="BFBFBF"/>
          </w:tcPr>
          <w:p w14:paraId="66C44CCD" w14:textId="77777777" w:rsidR="0001205E" w:rsidRPr="001D6D10" w:rsidRDefault="0001205E" w:rsidP="00F35CFE">
            <w:pPr>
              <w:jc w:val="center"/>
              <w:rPr>
                <w:rFonts w:ascii="HG丸ｺﾞｼｯｸM-PRO" w:eastAsia="HG丸ｺﾞｼｯｸM-PRO" w:hAnsi="HG丸ｺﾞｼｯｸM-PRO"/>
                <w:szCs w:val="21"/>
              </w:rPr>
            </w:pPr>
            <w:r w:rsidRPr="001D6D10">
              <w:rPr>
                <w:rFonts w:ascii="HG丸ｺﾞｼｯｸM-PRO" w:eastAsia="HG丸ｺﾞｼｯｸM-PRO" w:hAnsi="HG丸ｺﾞｼｯｸM-PRO" w:hint="eastAsia"/>
                <w:szCs w:val="21"/>
              </w:rPr>
              <w:t>時　期</w:t>
            </w:r>
          </w:p>
        </w:tc>
        <w:tc>
          <w:tcPr>
            <w:tcW w:w="7037" w:type="dxa"/>
            <w:tcBorders>
              <w:bottom w:val="single" w:sz="4" w:space="0" w:color="auto"/>
            </w:tcBorders>
            <w:shd w:val="clear" w:color="auto" w:fill="BFBFBF"/>
          </w:tcPr>
          <w:p w14:paraId="13C34937" w14:textId="77777777" w:rsidR="0001205E" w:rsidRPr="001D6D10" w:rsidRDefault="00E31DA1" w:rsidP="00F35CFE">
            <w:pPr>
              <w:jc w:val="center"/>
              <w:rPr>
                <w:rFonts w:ascii="HG丸ｺﾞｼｯｸM-PRO" w:eastAsia="HG丸ｺﾞｼｯｸM-PRO" w:hAnsi="HG丸ｺﾞｼｯｸM-PRO"/>
                <w:szCs w:val="21"/>
              </w:rPr>
            </w:pPr>
            <w:r w:rsidRPr="001D6D10">
              <w:rPr>
                <w:rFonts w:ascii="HG丸ｺﾞｼｯｸM-PRO" w:eastAsia="HG丸ｺﾞｼｯｸM-PRO" w:hAnsi="HG丸ｺﾞｼｯｸM-PRO" w:hint="eastAsia"/>
                <w:szCs w:val="21"/>
              </w:rPr>
              <w:t>主な事前準備</w:t>
            </w:r>
            <w:r w:rsidR="0001205E" w:rsidRPr="001D6D10">
              <w:rPr>
                <w:rFonts w:ascii="HG丸ｺﾞｼｯｸM-PRO" w:eastAsia="HG丸ｺﾞｼｯｸM-PRO" w:hAnsi="HG丸ｺﾞｼｯｸM-PRO" w:hint="eastAsia"/>
                <w:szCs w:val="21"/>
              </w:rPr>
              <w:t>業務</w:t>
            </w:r>
          </w:p>
        </w:tc>
      </w:tr>
      <w:tr w:rsidR="001D6D10" w:rsidRPr="001D6D10" w14:paraId="4B1D785C" w14:textId="77777777" w:rsidTr="00F35CFE">
        <w:trPr>
          <w:jc w:val="center"/>
        </w:trPr>
        <w:tc>
          <w:tcPr>
            <w:tcW w:w="1457" w:type="dxa"/>
            <w:vMerge w:val="restart"/>
            <w:shd w:val="clear" w:color="auto" w:fill="FFFFFF" w:themeFill="background1"/>
          </w:tcPr>
          <w:p w14:paraId="35B3786F" w14:textId="77777777" w:rsidR="00934E60" w:rsidRPr="001D6D10" w:rsidRDefault="00934E60" w:rsidP="00F35CFE">
            <w:pPr>
              <w:jc w:val="center"/>
              <w:rPr>
                <w:rFonts w:ascii="HG丸ｺﾞｼｯｸM-PRO" w:eastAsia="HG丸ｺﾞｼｯｸM-PRO" w:hAnsi="HG丸ｺﾞｼｯｸM-PRO"/>
                <w:szCs w:val="21"/>
              </w:rPr>
            </w:pPr>
          </w:p>
          <w:p w14:paraId="41201BF5" w14:textId="77777777" w:rsidR="00934E60" w:rsidRPr="001D6D10" w:rsidRDefault="00934E60" w:rsidP="00F35CFE">
            <w:pPr>
              <w:jc w:val="center"/>
              <w:rPr>
                <w:rFonts w:ascii="HG丸ｺﾞｼｯｸM-PRO" w:eastAsia="HG丸ｺﾞｼｯｸM-PRO" w:hAnsi="HG丸ｺﾞｼｯｸM-PRO"/>
                <w:szCs w:val="21"/>
              </w:rPr>
            </w:pPr>
          </w:p>
          <w:p w14:paraId="07DD537C" w14:textId="77777777" w:rsidR="00934E60" w:rsidRPr="001D6D10" w:rsidRDefault="00934E60" w:rsidP="00F35CFE">
            <w:pPr>
              <w:jc w:val="center"/>
              <w:rPr>
                <w:rFonts w:ascii="HG丸ｺﾞｼｯｸM-PRO" w:eastAsia="HG丸ｺﾞｼｯｸM-PRO" w:hAnsi="HG丸ｺﾞｼｯｸM-PRO"/>
                <w:szCs w:val="21"/>
              </w:rPr>
            </w:pPr>
          </w:p>
          <w:p w14:paraId="50D8687B" w14:textId="77777777" w:rsidR="00934E60" w:rsidRPr="001D6D10" w:rsidRDefault="00934E60" w:rsidP="00F35CFE">
            <w:pPr>
              <w:jc w:val="center"/>
              <w:rPr>
                <w:rFonts w:ascii="HG丸ｺﾞｼｯｸM-PRO" w:eastAsia="HG丸ｺﾞｼｯｸM-PRO" w:hAnsi="HG丸ｺﾞｼｯｸM-PRO"/>
                <w:szCs w:val="21"/>
              </w:rPr>
            </w:pPr>
          </w:p>
          <w:p w14:paraId="192D0583" w14:textId="77777777" w:rsidR="00934E60" w:rsidRPr="001D6D10" w:rsidRDefault="00934E60" w:rsidP="00F35CFE">
            <w:pPr>
              <w:jc w:val="center"/>
              <w:rPr>
                <w:rFonts w:ascii="HG丸ｺﾞｼｯｸM-PRO" w:eastAsia="HG丸ｺﾞｼｯｸM-PRO" w:hAnsi="HG丸ｺﾞｼｯｸM-PRO"/>
                <w:szCs w:val="21"/>
              </w:rPr>
            </w:pPr>
          </w:p>
          <w:p w14:paraId="6F39295C" w14:textId="3D3D2614" w:rsidR="0001205E" w:rsidRPr="001D6D10" w:rsidRDefault="0001205E" w:rsidP="00F35CFE">
            <w:pPr>
              <w:jc w:val="center"/>
              <w:rPr>
                <w:rFonts w:ascii="HG丸ｺﾞｼｯｸM-PRO" w:eastAsia="HG丸ｺﾞｼｯｸM-PRO" w:hAnsi="HG丸ｺﾞｼｯｸM-PRO"/>
                <w:szCs w:val="21"/>
              </w:rPr>
            </w:pPr>
            <w:r w:rsidRPr="001D6D10">
              <w:rPr>
                <w:rFonts w:ascii="HG丸ｺﾞｼｯｸM-PRO" w:eastAsia="HG丸ｺﾞｼｯｸM-PRO" w:hAnsi="HG丸ｺﾞｼｯｸM-PRO" w:hint="eastAsia"/>
                <w:szCs w:val="21"/>
              </w:rPr>
              <w:t>～48ｈ</w:t>
            </w:r>
            <w:r w:rsidR="0053084D" w:rsidRPr="001D6D10">
              <w:rPr>
                <w:rFonts w:ascii="HG丸ｺﾞｼｯｸM-PRO" w:eastAsia="HG丸ｺﾞｼｯｸM-PRO" w:hAnsi="HG丸ｺﾞｼｯｸM-PRO" w:hint="eastAsia"/>
                <w:szCs w:val="21"/>
              </w:rPr>
              <w:t>前</w:t>
            </w:r>
          </w:p>
          <w:p w14:paraId="7EF4A627" w14:textId="77777777" w:rsidR="0001205E" w:rsidRPr="001D6D10" w:rsidRDefault="0001205E" w:rsidP="00F35CFE">
            <w:pPr>
              <w:jc w:val="center"/>
              <w:rPr>
                <w:rFonts w:ascii="HG丸ｺﾞｼｯｸM-PRO" w:eastAsia="HG丸ｺﾞｼｯｸM-PRO" w:hAnsi="HG丸ｺﾞｼｯｸM-PRO"/>
                <w:sz w:val="20"/>
                <w:szCs w:val="20"/>
              </w:rPr>
            </w:pPr>
            <w:r w:rsidRPr="001D6D10">
              <w:rPr>
                <w:rFonts w:ascii="HG丸ｺﾞｼｯｸM-PRO" w:eastAsia="HG丸ｺﾞｼｯｸM-PRO" w:hAnsi="HG丸ｺﾞｼｯｸM-PRO" w:hint="eastAsia"/>
                <w:sz w:val="20"/>
                <w:szCs w:val="20"/>
              </w:rPr>
              <w:t>（３日以前）</w:t>
            </w:r>
          </w:p>
        </w:tc>
        <w:tc>
          <w:tcPr>
            <w:tcW w:w="7037" w:type="dxa"/>
            <w:tcBorders>
              <w:bottom w:val="single" w:sz="4" w:space="0" w:color="auto"/>
            </w:tcBorders>
            <w:shd w:val="clear" w:color="auto" w:fill="FFFFFF" w:themeFill="background1"/>
          </w:tcPr>
          <w:p w14:paraId="0A973090" w14:textId="77777777" w:rsidR="00872F01" w:rsidRPr="001D6D10" w:rsidRDefault="00872F01" w:rsidP="00872F01">
            <w:pPr>
              <w:rPr>
                <w:rFonts w:ascii="HG丸ｺﾞｼｯｸM-PRO" w:eastAsia="HG丸ｺﾞｼｯｸM-PRO" w:hAnsi="HG丸ｺﾞｼｯｸM-PRO"/>
                <w:szCs w:val="21"/>
              </w:rPr>
            </w:pPr>
            <w:r w:rsidRPr="001D6D10">
              <w:rPr>
                <w:rFonts w:ascii="HG丸ｺﾞｼｯｸM-PRO" w:eastAsia="HG丸ｺﾞｼｯｸM-PRO" w:hAnsi="HG丸ｺﾞｼｯｸM-PRO" w:hint="eastAsia"/>
                <w:szCs w:val="21"/>
              </w:rPr>
              <w:t>□府水防関係機関等への気象情報提供・注意喚起</w:t>
            </w:r>
          </w:p>
          <w:p w14:paraId="652ECAAB" w14:textId="77777777" w:rsidR="00872F01" w:rsidRPr="001D6D10" w:rsidRDefault="00872F01" w:rsidP="00872F01">
            <w:pPr>
              <w:rPr>
                <w:rFonts w:ascii="HG丸ｺﾞｼｯｸM-PRO" w:eastAsia="HG丸ｺﾞｼｯｸM-PRO" w:hAnsi="HG丸ｺﾞｼｯｸM-PRO"/>
                <w:szCs w:val="21"/>
              </w:rPr>
            </w:pPr>
            <w:r w:rsidRPr="001D6D10">
              <w:rPr>
                <w:rFonts w:ascii="HG丸ｺﾞｼｯｸM-PRO" w:eastAsia="HG丸ｺﾞｼｯｸM-PRO" w:hAnsi="HG丸ｺﾞｼｯｸM-PRO" w:hint="eastAsia"/>
                <w:szCs w:val="21"/>
              </w:rPr>
              <w:t>□危機管理室からの情報の共有</w:t>
            </w:r>
          </w:p>
          <w:p w14:paraId="4F21F177" w14:textId="77777777" w:rsidR="00872F01" w:rsidRPr="001D6D10" w:rsidRDefault="00872F01" w:rsidP="00872F01">
            <w:pPr>
              <w:rPr>
                <w:rFonts w:ascii="HG丸ｺﾞｼｯｸM-PRO" w:eastAsia="HG丸ｺﾞｼｯｸM-PRO" w:hAnsi="HG丸ｺﾞｼｯｸM-PRO"/>
                <w:szCs w:val="21"/>
              </w:rPr>
            </w:pPr>
            <w:r w:rsidRPr="001D6D10">
              <w:rPr>
                <w:rFonts w:ascii="HG丸ｺﾞｼｯｸM-PRO" w:eastAsia="HG丸ｺﾞｼｯｸM-PRO" w:hAnsi="HG丸ｺﾞｼｯｸM-PRO" w:hint="eastAsia"/>
                <w:szCs w:val="21"/>
              </w:rPr>
              <w:t>□連絡体制の確認</w:t>
            </w:r>
          </w:p>
          <w:p w14:paraId="643938EC" w14:textId="77777777" w:rsidR="0001205E" w:rsidRPr="001D6D10" w:rsidRDefault="00872F01" w:rsidP="00F35CFE">
            <w:pPr>
              <w:rPr>
                <w:rFonts w:ascii="HG丸ｺﾞｼｯｸM-PRO" w:eastAsia="HG丸ｺﾞｼｯｸM-PRO" w:hAnsi="HG丸ｺﾞｼｯｸM-PRO"/>
                <w:szCs w:val="21"/>
              </w:rPr>
            </w:pPr>
            <w:r w:rsidRPr="001D6D10">
              <w:rPr>
                <w:rFonts w:ascii="HG丸ｺﾞｼｯｸM-PRO" w:eastAsia="HG丸ｺﾞｼｯｸM-PRO" w:hAnsi="HG丸ｺﾞｼｯｸM-PRO" w:hint="eastAsia"/>
                <w:szCs w:val="21"/>
              </w:rPr>
              <w:t>□災害対応に関するマニュアル等の確認</w:t>
            </w:r>
          </w:p>
          <w:p w14:paraId="024995A6" w14:textId="77777777" w:rsidR="00071C87" w:rsidRPr="001D6D10" w:rsidRDefault="00071C87" w:rsidP="00F35CFE">
            <w:pPr>
              <w:rPr>
                <w:rFonts w:ascii="HG丸ｺﾞｼｯｸM-PRO" w:eastAsia="HG丸ｺﾞｼｯｸM-PRO" w:hAnsi="HG丸ｺﾞｼｯｸM-PRO"/>
                <w:szCs w:val="21"/>
              </w:rPr>
            </w:pPr>
            <w:r w:rsidRPr="001D6D10">
              <w:rPr>
                <w:rFonts w:ascii="HG丸ｺﾞｼｯｸM-PRO" w:eastAsia="HG丸ｺﾞｼｯｸM-PRO" w:hAnsi="HG丸ｺﾞｼｯｸM-PRO" w:hint="eastAsia"/>
                <w:szCs w:val="21"/>
              </w:rPr>
              <w:t>□府営住宅入居者への注意喚起（通年）</w:t>
            </w:r>
          </w:p>
          <w:p w14:paraId="5BFEA199" w14:textId="77777777" w:rsidR="00071C87" w:rsidRPr="001D6D10" w:rsidRDefault="00071C87" w:rsidP="00B35001">
            <w:pPr>
              <w:rPr>
                <w:rFonts w:ascii="HG丸ｺﾞｼｯｸM-PRO" w:eastAsia="HG丸ｺﾞｼｯｸM-PRO" w:hAnsi="HG丸ｺﾞｼｯｸM-PRO"/>
                <w:szCs w:val="21"/>
              </w:rPr>
            </w:pPr>
            <w:r w:rsidRPr="001D6D10">
              <w:rPr>
                <w:rFonts w:ascii="HG丸ｺﾞｼｯｸM-PRO" w:eastAsia="HG丸ｺﾞｼｯｸM-PRO" w:hAnsi="HG丸ｺﾞｼｯｸM-PRO" w:hint="eastAsia"/>
                <w:szCs w:val="21"/>
              </w:rPr>
              <w:t>【経営管理課→府営住宅の指定管理者→府営住宅入居者】</w:t>
            </w:r>
          </w:p>
          <w:p w14:paraId="528A4F70" w14:textId="77777777" w:rsidR="00CE5B94" w:rsidRPr="001D6D10" w:rsidRDefault="00CE5B94" w:rsidP="00B35001">
            <w:pPr>
              <w:rPr>
                <w:rFonts w:ascii="HG丸ｺﾞｼｯｸM-PRO" w:eastAsia="HG丸ｺﾞｼｯｸM-PRO" w:hAnsi="HG丸ｺﾞｼｯｸM-PRO"/>
                <w:szCs w:val="21"/>
              </w:rPr>
            </w:pPr>
            <w:r w:rsidRPr="001D6D10">
              <w:rPr>
                <w:rFonts w:ascii="HG丸ｺﾞｼｯｸM-PRO" w:eastAsia="HG丸ｺﾞｼｯｸM-PRO" w:hAnsi="HG丸ｺﾞｼｯｸM-PRO" w:hint="eastAsia"/>
                <w:szCs w:val="21"/>
              </w:rPr>
              <w:t>（ふれあいだよりにて周知）</w:t>
            </w:r>
          </w:p>
          <w:p w14:paraId="1F1658E7" w14:textId="77777777" w:rsidR="00742C35" w:rsidRPr="001D6D10" w:rsidRDefault="00742C35" w:rsidP="00742C35">
            <w:pPr>
              <w:rPr>
                <w:rFonts w:ascii="HG丸ｺﾞｼｯｸM-PRO" w:eastAsia="HG丸ｺﾞｼｯｸM-PRO" w:hAnsi="HG丸ｺﾞｼｯｸM-PRO"/>
                <w:szCs w:val="21"/>
              </w:rPr>
            </w:pPr>
            <w:r w:rsidRPr="001D6D10">
              <w:rPr>
                <w:rFonts w:ascii="HG丸ｺﾞｼｯｸM-PRO" w:eastAsia="HG丸ｺﾞｼｯｸM-PRO" w:hAnsi="HG丸ｺﾞｼｯｸM-PRO" w:hint="eastAsia"/>
                <w:szCs w:val="21"/>
              </w:rPr>
              <w:t>□指令部会議の事前準備</w:t>
            </w:r>
          </w:p>
          <w:p w14:paraId="375D47E5" w14:textId="77777777" w:rsidR="00742C35" w:rsidRPr="001D6D10" w:rsidRDefault="00742C35" w:rsidP="00742C35">
            <w:pPr>
              <w:rPr>
                <w:rFonts w:ascii="HG丸ｺﾞｼｯｸM-PRO" w:eastAsia="HG丸ｺﾞｼｯｸM-PRO" w:hAnsi="HG丸ｺﾞｼｯｸM-PRO"/>
                <w:szCs w:val="21"/>
              </w:rPr>
            </w:pPr>
            <w:r w:rsidRPr="001D6D10">
              <w:rPr>
                <w:rFonts w:ascii="HG丸ｺﾞｼｯｸM-PRO" w:eastAsia="HG丸ｺﾞｼｯｸM-PRO" w:hAnsi="HG丸ｺﾞｼｯｸM-PRO" w:hint="eastAsia"/>
                <w:szCs w:val="21"/>
              </w:rPr>
              <w:t xml:space="preserve">　</w:t>
            </w:r>
            <w:r w:rsidR="005B33EE" w:rsidRPr="001D6D10">
              <w:rPr>
                <w:rFonts w:ascii="HG丸ｺﾞｼｯｸM-PRO" w:eastAsia="HG丸ｺﾞｼｯｸM-PRO" w:hAnsi="HG丸ｺﾞｼｯｸM-PRO" w:hint="eastAsia"/>
                <w:szCs w:val="21"/>
              </w:rPr>
              <w:t>・イベントの有無確認（府主催、共催）</w:t>
            </w:r>
          </w:p>
          <w:p w14:paraId="109BFBF4" w14:textId="77777777" w:rsidR="00742C35" w:rsidRPr="001D6D10" w:rsidRDefault="00742C35" w:rsidP="00742C35">
            <w:pPr>
              <w:rPr>
                <w:rFonts w:ascii="HG丸ｺﾞｼｯｸM-PRO" w:eastAsia="HG丸ｺﾞｼｯｸM-PRO" w:hAnsi="HG丸ｺﾞｼｯｸM-PRO"/>
                <w:szCs w:val="21"/>
              </w:rPr>
            </w:pPr>
            <w:r w:rsidRPr="001D6D10">
              <w:rPr>
                <w:rFonts w:ascii="HG丸ｺﾞｼｯｸM-PRO" w:eastAsia="HG丸ｺﾞｼｯｸM-PRO" w:hAnsi="HG丸ｺﾞｼｯｸM-PRO" w:hint="eastAsia"/>
                <w:szCs w:val="21"/>
              </w:rPr>
              <w:t xml:space="preserve">　・所管団体等への注意喚起など</w:t>
            </w:r>
          </w:p>
        </w:tc>
      </w:tr>
      <w:tr w:rsidR="001D6D10" w:rsidRPr="001D6D10" w14:paraId="0047D962" w14:textId="77777777" w:rsidTr="00F35CFE">
        <w:trPr>
          <w:jc w:val="center"/>
        </w:trPr>
        <w:tc>
          <w:tcPr>
            <w:tcW w:w="1457" w:type="dxa"/>
            <w:vMerge/>
          </w:tcPr>
          <w:p w14:paraId="449F4E84" w14:textId="77777777" w:rsidR="0001205E" w:rsidRPr="001D6D10" w:rsidRDefault="0001205E" w:rsidP="00F35CFE">
            <w:pPr>
              <w:rPr>
                <w:rFonts w:ascii="HG丸ｺﾞｼｯｸM-PRO" w:eastAsia="HG丸ｺﾞｼｯｸM-PRO" w:hAnsi="HG丸ｺﾞｼｯｸM-PRO"/>
                <w:szCs w:val="21"/>
              </w:rPr>
            </w:pPr>
          </w:p>
        </w:tc>
        <w:tc>
          <w:tcPr>
            <w:tcW w:w="7037" w:type="dxa"/>
          </w:tcPr>
          <w:p w14:paraId="2E9409C7" w14:textId="77777777" w:rsidR="0001205E" w:rsidRPr="001D6D10" w:rsidRDefault="0001205E" w:rsidP="00F35CFE">
            <w:pPr>
              <w:rPr>
                <w:rFonts w:ascii="HG丸ｺﾞｼｯｸM-PRO" w:eastAsia="HG丸ｺﾞｼｯｸM-PRO" w:hAnsi="HG丸ｺﾞｼｯｸM-PRO"/>
                <w:szCs w:val="21"/>
              </w:rPr>
            </w:pPr>
            <w:r w:rsidRPr="001D6D10">
              <w:rPr>
                <w:rFonts w:ascii="HG丸ｺﾞｼｯｸM-PRO" w:eastAsia="HG丸ｺﾞｼｯｸM-PRO" w:hAnsi="HG丸ｺﾞｼｯｸM-PRO" w:hint="eastAsia"/>
                <w:b/>
                <w:szCs w:val="21"/>
                <w:highlight w:val="yellow"/>
              </w:rPr>
              <w:t>防災・危機管理指令部会議</w:t>
            </w:r>
            <w:r w:rsidRPr="001D6D10">
              <w:rPr>
                <w:rFonts w:ascii="HG丸ｺﾞｼｯｸM-PRO" w:eastAsia="HG丸ｺﾞｼｯｸM-PRO" w:hAnsi="HG丸ｺﾞｼｯｸM-PRO" w:hint="eastAsia"/>
                <w:szCs w:val="21"/>
                <w:highlight w:val="yellow"/>
              </w:rPr>
              <w:t>（おおよそ７２ｈ前）</w:t>
            </w:r>
            <w:r w:rsidR="00CB0ABF" w:rsidRPr="001D6D10">
              <w:rPr>
                <w:rFonts w:ascii="HG丸ｺﾞｼｯｸM-PRO" w:eastAsia="HG丸ｺﾞｼｯｸM-PRO" w:hAnsi="HG丸ｺﾞｼｯｸM-PRO" w:hint="eastAsia"/>
                <w:szCs w:val="21"/>
                <w:highlight w:val="yellow"/>
              </w:rPr>
              <w:t>（Ｐ42</w:t>
            </w:r>
            <w:r w:rsidR="00AD02A5" w:rsidRPr="001D6D10">
              <w:rPr>
                <w:rFonts w:ascii="HG丸ｺﾞｼｯｸM-PRO" w:eastAsia="HG丸ｺﾞｼｯｸM-PRO" w:hAnsi="HG丸ｺﾞｼｯｸM-PRO" w:hint="eastAsia"/>
                <w:szCs w:val="21"/>
                <w:highlight w:val="yellow"/>
              </w:rPr>
              <w:t>参照）</w:t>
            </w:r>
          </w:p>
        </w:tc>
      </w:tr>
      <w:tr w:rsidR="001D6D10" w:rsidRPr="001D6D10" w14:paraId="3C117D6E" w14:textId="77777777" w:rsidTr="00F35CFE">
        <w:trPr>
          <w:jc w:val="center"/>
        </w:trPr>
        <w:tc>
          <w:tcPr>
            <w:tcW w:w="1457" w:type="dxa"/>
            <w:vMerge/>
          </w:tcPr>
          <w:p w14:paraId="5F6B4005" w14:textId="77777777" w:rsidR="0001205E" w:rsidRPr="001D6D10" w:rsidRDefault="0001205E" w:rsidP="00F35CFE">
            <w:pPr>
              <w:rPr>
                <w:rFonts w:ascii="HG丸ｺﾞｼｯｸM-PRO" w:eastAsia="HG丸ｺﾞｼｯｸM-PRO" w:hAnsi="HG丸ｺﾞｼｯｸM-PRO"/>
                <w:szCs w:val="21"/>
              </w:rPr>
            </w:pPr>
          </w:p>
        </w:tc>
        <w:tc>
          <w:tcPr>
            <w:tcW w:w="7037" w:type="dxa"/>
          </w:tcPr>
          <w:p w14:paraId="3083DB3B" w14:textId="77777777" w:rsidR="00872F01" w:rsidRPr="001D6D10" w:rsidRDefault="00872F01" w:rsidP="00872F01">
            <w:pPr>
              <w:rPr>
                <w:rFonts w:ascii="HG丸ｺﾞｼｯｸM-PRO" w:eastAsia="HG丸ｺﾞｼｯｸM-PRO" w:hAnsi="HG丸ｺﾞｼｯｸM-PRO"/>
                <w:szCs w:val="21"/>
              </w:rPr>
            </w:pPr>
            <w:r w:rsidRPr="001D6D10">
              <w:rPr>
                <w:rFonts w:ascii="HG丸ｺﾞｼｯｸM-PRO" w:eastAsia="HG丸ｺﾞｼｯｸM-PRO" w:hAnsi="HG丸ｺﾞｼｯｸM-PRO" w:hint="eastAsia"/>
                <w:szCs w:val="21"/>
              </w:rPr>
              <w:t>□危機管理室からの情報の共有</w:t>
            </w:r>
          </w:p>
          <w:p w14:paraId="4D7E3F5F" w14:textId="77777777" w:rsidR="00872F01" w:rsidRPr="001D6D10" w:rsidRDefault="00872F01" w:rsidP="00872F01">
            <w:pPr>
              <w:rPr>
                <w:rFonts w:ascii="HG丸ｺﾞｼｯｸM-PRO" w:eastAsia="HG丸ｺﾞｼｯｸM-PRO" w:hAnsi="HG丸ｺﾞｼｯｸM-PRO"/>
                <w:szCs w:val="21"/>
              </w:rPr>
            </w:pPr>
            <w:r w:rsidRPr="001D6D10">
              <w:rPr>
                <w:rFonts w:ascii="HG丸ｺﾞｼｯｸM-PRO" w:eastAsia="HG丸ｺﾞｼｯｸM-PRO" w:hAnsi="HG丸ｺﾞｼｯｸM-PRO" w:hint="eastAsia"/>
                <w:szCs w:val="21"/>
              </w:rPr>
              <w:t>□施設の点検確認</w:t>
            </w:r>
          </w:p>
          <w:p w14:paraId="7F5210A6" w14:textId="77777777" w:rsidR="0001205E" w:rsidRPr="001D6D10" w:rsidRDefault="00872F01" w:rsidP="00F35CFE">
            <w:pPr>
              <w:rPr>
                <w:rFonts w:ascii="HG丸ｺﾞｼｯｸM-PRO" w:eastAsia="HG丸ｺﾞｼｯｸM-PRO" w:hAnsi="HG丸ｺﾞｼｯｸM-PRO"/>
                <w:szCs w:val="21"/>
              </w:rPr>
            </w:pPr>
            <w:r w:rsidRPr="001D6D10">
              <w:rPr>
                <w:rFonts w:ascii="HG丸ｺﾞｼｯｸM-PRO" w:eastAsia="HG丸ｺﾞｼｯｸM-PRO" w:hAnsi="HG丸ｺﾞｼｯｸM-PRO" w:hint="eastAsia"/>
                <w:szCs w:val="21"/>
              </w:rPr>
              <w:t>□工事現場等の安全管理</w:t>
            </w:r>
          </w:p>
          <w:p w14:paraId="0A55BB27" w14:textId="77777777" w:rsidR="00071C87" w:rsidRPr="001D6D10" w:rsidRDefault="00071C87" w:rsidP="00071C87">
            <w:pPr>
              <w:rPr>
                <w:rFonts w:ascii="HG丸ｺﾞｼｯｸM-PRO" w:eastAsia="HG丸ｺﾞｼｯｸM-PRO" w:hAnsi="HG丸ｺﾞｼｯｸM-PRO"/>
                <w:szCs w:val="21"/>
              </w:rPr>
            </w:pPr>
            <w:r w:rsidRPr="001D6D10">
              <w:rPr>
                <w:rFonts w:ascii="HG丸ｺﾞｼｯｸM-PRO" w:eastAsia="HG丸ｺﾞｼｯｸM-PRO" w:hAnsi="HG丸ｺﾞｼｯｸM-PRO" w:hint="eastAsia"/>
                <w:szCs w:val="21"/>
              </w:rPr>
              <w:t>□府営住宅（用地を含む）の点検、安全対策、非常用水栓（給水ポイント）の確認【施設保全課→府営住宅の指定管理者】</w:t>
            </w:r>
          </w:p>
          <w:p w14:paraId="15F96A9D" w14:textId="77777777" w:rsidR="00071C87" w:rsidRPr="001D6D10" w:rsidRDefault="00071C87" w:rsidP="00071C87">
            <w:pPr>
              <w:rPr>
                <w:rFonts w:ascii="HG丸ｺﾞｼｯｸM-PRO" w:eastAsia="HG丸ｺﾞｼｯｸM-PRO" w:hAnsi="HG丸ｺﾞｼｯｸM-PRO"/>
                <w:szCs w:val="21"/>
              </w:rPr>
            </w:pPr>
            <w:r w:rsidRPr="001D6D10">
              <w:rPr>
                <w:rFonts w:ascii="HG丸ｺﾞｼｯｸM-PRO" w:eastAsia="HG丸ｺﾞｼｯｸM-PRO" w:hAnsi="HG丸ｺﾞｼｯｸM-PRO" w:hint="eastAsia"/>
                <w:szCs w:val="21"/>
              </w:rPr>
              <w:t>□活用予定用地の現地の安全確認【住宅整備課】</w:t>
            </w:r>
          </w:p>
          <w:p w14:paraId="1C7BB94B" w14:textId="77777777" w:rsidR="00071C87" w:rsidRPr="001D6D10" w:rsidRDefault="00071C87" w:rsidP="00071C87">
            <w:pPr>
              <w:rPr>
                <w:rFonts w:ascii="HG丸ｺﾞｼｯｸM-PRO" w:eastAsia="HG丸ｺﾞｼｯｸM-PRO" w:hAnsi="HG丸ｺﾞｼｯｸM-PRO"/>
                <w:szCs w:val="21"/>
              </w:rPr>
            </w:pPr>
            <w:r w:rsidRPr="001D6D10">
              <w:rPr>
                <w:rFonts w:ascii="HG丸ｺﾞｼｯｸM-PRO" w:eastAsia="HG丸ｺﾞｼｯｸM-PRO" w:hAnsi="HG丸ｺﾞｼｯｸM-PRO" w:hint="eastAsia"/>
                <w:szCs w:val="21"/>
              </w:rPr>
              <w:t>□府内ゴルフ練習場等への注意喚起</w:t>
            </w:r>
          </w:p>
          <w:p w14:paraId="518024D2" w14:textId="77777777" w:rsidR="0033340B" w:rsidRPr="001D6D10" w:rsidRDefault="00071C87" w:rsidP="00071C87">
            <w:pPr>
              <w:rPr>
                <w:rFonts w:ascii="HG丸ｺﾞｼｯｸM-PRO" w:eastAsia="HG丸ｺﾞｼｯｸM-PRO" w:hAnsi="HG丸ｺﾞｼｯｸM-PRO"/>
                <w:szCs w:val="21"/>
              </w:rPr>
            </w:pPr>
            <w:r w:rsidRPr="001D6D10">
              <w:rPr>
                <w:rFonts w:ascii="HG丸ｺﾞｼｯｸM-PRO" w:eastAsia="HG丸ｺﾞｼｯｸM-PRO" w:hAnsi="HG丸ｺﾞｼｯｸM-PRO" w:hint="eastAsia"/>
                <w:szCs w:val="21"/>
              </w:rPr>
              <w:t>【（国通知）→建築安全課→府内ゴルフ練習場（メール連絡）】</w:t>
            </w:r>
          </w:p>
        </w:tc>
      </w:tr>
      <w:tr w:rsidR="001D6D10" w:rsidRPr="001D6D10" w14:paraId="44C1A5E3" w14:textId="77777777" w:rsidTr="00F35CFE">
        <w:trPr>
          <w:jc w:val="center"/>
        </w:trPr>
        <w:tc>
          <w:tcPr>
            <w:tcW w:w="1457" w:type="dxa"/>
            <w:vMerge w:val="restart"/>
          </w:tcPr>
          <w:p w14:paraId="0605C972" w14:textId="77777777" w:rsidR="00934E60" w:rsidRPr="001D6D10" w:rsidRDefault="00934E60" w:rsidP="00F35CFE">
            <w:pPr>
              <w:rPr>
                <w:rFonts w:ascii="HG丸ｺﾞｼｯｸM-PRO" w:eastAsia="HG丸ｺﾞｼｯｸM-PRO" w:hAnsi="HG丸ｺﾞｼｯｸM-PRO"/>
                <w:szCs w:val="21"/>
              </w:rPr>
            </w:pPr>
          </w:p>
          <w:p w14:paraId="270DBDC8" w14:textId="77777777" w:rsidR="00934E60" w:rsidRPr="001D6D10" w:rsidRDefault="00934E60" w:rsidP="00F35CFE">
            <w:pPr>
              <w:rPr>
                <w:rFonts w:ascii="HG丸ｺﾞｼｯｸM-PRO" w:eastAsia="HG丸ｺﾞｼｯｸM-PRO" w:hAnsi="HG丸ｺﾞｼｯｸM-PRO"/>
                <w:szCs w:val="21"/>
              </w:rPr>
            </w:pPr>
          </w:p>
          <w:p w14:paraId="5536714E" w14:textId="77777777" w:rsidR="00934E60" w:rsidRPr="001D6D10" w:rsidRDefault="00934E60" w:rsidP="00F35CFE">
            <w:pPr>
              <w:rPr>
                <w:rFonts w:ascii="HG丸ｺﾞｼｯｸM-PRO" w:eastAsia="HG丸ｺﾞｼｯｸM-PRO" w:hAnsi="HG丸ｺﾞｼｯｸM-PRO"/>
                <w:szCs w:val="21"/>
              </w:rPr>
            </w:pPr>
          </w:p>
          <w:p w14:paraId="24A59A66" w14:textId="77777777" w:rsidR="00934E60" w:rsidRPr="001D6D10" w:rsidRDefault="00934E60" w:rsidP="00F35CFE">
            <w:pPr>
              <w:rPr>
                <w:rFonts w:ascii="HG丸ｺﾞｼｯｸM-PRO" w:eastAsia="HG丸ｺﾞｼｯｸM-PRO" w:hAnsi="HG丸ｺﾞｼｯｸM-PRO"/>
                <w:szCs w:val="21"/>
              </w:rPr>
            </w:pPr>
          </w:p>
          <w:p w14:paraId="00210576" w14:textId="77777777" w:rsidR="00934E60" w:rsidRPr="001D6D10" w:rsidRDefault="00934E60" w:rsidP="00F35CFE">
            <w:pPr>
              <w:rPr>
                <w:rFonts w:ascii="HG丸ｺﾞｼｯｸM-PRO" w:eastAsia="HG丸ｺﾞｼｯｸM-PRO" w:hAnsi="HG丸ｺﾞｼｯｸM-PRO"/>
                <w:szCs w:val="21"/>
              </w:rPr>
            </w:pPr>
          </w:p>
          <w:p w14:paraId="0DDB4182" w14:textId="77777777" w:rsidR="00934E60" w:rsidRPr="001D6D10" w:rsidRDefault="00934E60" w:rsidP="00F35CFE">
            <w:pPr>
              <w:rPr>
                <w:rFonts w:ascii="HG丸ｺﾞｼｯｸM-PRO" w:eastAsia="HG丸ｺﾞｼｯｸM-PRO" w:hAnsi="HG丸ｺﾞｼｯｸM-PRO"/>
                <w:szCs w:val="21"/>
              </w:rPr>
            </w:pPr>
          </w:p>
          <w:p w14:paraId="2F6CD033" w14:textId="77777777" w:rsidR="0001205E" w:rsidRPr="001D6D10" w:rsidRDefault="0001205E" w:rsidP="00F35CFE">
            <w:pPr>
              <w:rPr>
                <w:rFonts w:ascii="HG丸ｺﾞｼｯｸM-PRO" w:eastAsia="HG丸ｺﾞｼｯｸM-PRO" w:hAnsi="HG丸ｺﾞｼｯｸM-PRO"/>
                <w:szCs w:val="21"/>
              </w:rPr>
            </w:pPr>
            <w:r w:rsidRPr="001D6D10">
              <w:rPr>
                <w:rFonts w:ascii="HG丸ｺﾞｼｯｸM-PRO" w:eastAsia="HG丸ｺﾞｼｯｸM-PRO" w:hAnsi="HG丸ｺﾞｼｯｸM-PRO" w:hint="eastAsia"/>
                <w:szCs w:val="21"/>
              </w:rPr>
              <w:t>48ｈ前～</w:t>
            </w:r>
          </w:p>
          <w:p w14:paraId="7C7C10AB" w14:textId="77777777" w:rsidR="0001205E" w:rsidRPr="001D6D10" w:rsidRDefault="0001205E" w:rsidP="00F35CFE">
            <w:pPr>
              <w:rPr>
                <w:rFonts w:ascii="HG丸ｺﾞｼｯｸM-PRO" w:eastAsia="HG丸ｺﾞｼｯｸM-PRO" w:hAnsi="HG丸ｺﾞｼｯｸM-PRO"/>
                <w:szCs w:val="21"/>
              </w:rPr>
            </w:pPr>
            <w:r w:rsidRPr="001D6D10">
              <w:rPr>
                <w:rFonts w:ascii="HG丸ｺﾞｼｯｸM-PRO" w:eastAsia="HG丸ｺﾞｼｯｸM-PRO" w:hAnsi="HG丸ｺﾞｼｯｸM-PRO" w:hint="eastAsia"/>
                <w:szCs w:val="21"/>
              </w:rPr>
              <w:t xml:space="preserve">　　24ｈ前</w:t>
            </w:r>
          </w:p>
          <w:p w14:paraId="3E9861DD" w14:textId="77777777" w:rsidR="0001205E" w:rsidRPr="001D6D10" w:rsidRDefault="0001205E" w:rsidP="00F35CFE">
            <w:pPr>
              <w:rPr>
                <w:rFonts w:ascii="HG丸ｺﾞｼｯｸM-PRO" w:eastAsia="HG丸ｺﾞｼｯｸM-PRO" w:hAnsi="HG丸ｺﾞｼｯｸM-PRO"/>
                <w:szCs w:val="21"/>
              </w:rPr>
            </w:pPr>
            <w:r w:rsidRPr="001D6D10">
              <w:rPr>
                <w:rFonts w:ascii="HG丸ｺﾞｼｯｸM-PRO" w:eastAsia="HG丸ｺﾞｼｯｸM-PRO" w:hAnsi="HG丸ｺﾞｼｯｸM-PRO" w:hint="eastAsia"/>
                <w:szCs w:val="21"/>
              </w:rPr>
              <w:t>（２日前）</w:t>
            </w:r>
          </w:p>
        </w:tc>
        <w:tc>
          <w:tcPr>
            <w:tcW w:w="7037" w:type="dxa"/>
          </w:tcPr>
          <w:p w14:paraId="76EF2AEE" w14:textId="77777777" w:rsidR="0001205E" w:rsidRPr="001D6D10" w:rsidRDefault="0001205E" w:rsidP="00F35CFE">
            <w:pPr>
              <w:rPr>
                <w:rFonts w:ascii="HG丸ｺﾞｼｯｸM-PRO" w:eastAsia="HG丸ｺﾞｼｯｸM-PRO" w:hAnsi="HG丸ｺﾞｼｯｸM-PRO"/>
                <w:sz w:val="18"/>
                <w:szCs w:val="18"/>
              </w:rPr>
            </w:pPr>
            <w:r w:rsidRPr="001D6D10">
              <w:rPr>
                <w:rFonts w:ascii="HG丸ｺﾞｼｯｸM-PRO" w:eastAsia="HG丸ｺﾞｼｯｸM-PRO" w:hAnsi="HG丸ｺﾞｼｯｸM-PRO" w:hint="eastAsia"/>
                <w:szCs w:val="21"/>
              </w:rPr>
              <w:t>庁内連絡会議①：災害モード宣言の内容、第1回災害警戒本部会議の事前調整等</w:t>
            </w:r>
            <w:r w:rsidRPr="001D6D10">
              <w:rPr>
                <w:rFonts w:ascii="HG丸ｺﾞｼｯｸM-PRO" w:eastAsia="HG丸ｺﾞｼｯｸM-PRO" w:hAnsi="HG丸ｺﾞｼｯｸM-PRO" w:hint="eastAsia"/>
                <w:sz w:val="18"/>
                <w:szCs w:val="18"/>
              </w:rPr>
              <w:t>(警戒本部会議議題：管理施設の休館及び学校休校の検討、イベント等の中止検討、職員の配備態勢)</w:t>
            </w:r>
          </w:p>
          <w:p w14:paraId="504EEFE2" w14:textId="77777777" w:rsidR="00742C35" w:rsidRPr="001D6D10" w:rsidRDefault="00742C35" w:rsidP="00742C35">
            <w:pPr>
              <w:rPr>
                <w:rFonts w:ascii="HG丸ｺﾞｼｯｸM-PRO" w:eastAsia="HG丸ｺﾞｼｯｸM-PRO" w:hAnsi="HG丸ｺﾞｼｯｸM-PRO"/>
                <w:szCs w:val="21"/>
              </w:rPr>
            </w:pPr>
            <w:r w:rsidRPr="001D6D10">
              <w:rPr>
                <w:rFonts w:ascii="HG丸ｺﾞｼｯｸM-PRO" w:eastAsia="HG丸ｺﾞｼｯｸM-PRO" w:hAnsi="HG丸ｺﾞｼｯｸM-PRO" w:hint="eastAsia"/>
                <w:szCs w:val="21"/>
              </w:rPr>
              <w:t>□第１回災害警戒本部会議の事前準備</w:t>
            </w:r>
          </w:p>
          <w:p w14:paraId="7F55A204" w14:textId="77777777" w:rsidR="00742C35" w:rsidRPr="001D6D10" w:rsidRDefault="00742C35" w:rsidP="00742C35">
            <w:pPr>
              <w:rPr>
                <w:rFonts w:ascii="HG丸ｺﾞｼｯｸM-PRO" w:eastAsia="HG丸ｺﾞｼｯｸM-PRO" w:hAnsi="HG丸ｺﾞｼｯｸM-PRO"/>
                <w:szCs w:val="21"/>
              </w:rPr>
            </w:pPr>
            <w:r w:rsidRPr="001D6D10">
              <w:rPr>
                <w:rFonts w:ascii="HG丸ｺﾞｼｯｸM-PRO" w:eastAsia="HG丸ｺﾞｼｯｸM-PRO" w:hAnsi="HG丸ｺﾞｼｯｸM-PRO" w:hint="eastAsia"/>
                <w:szCs w:val="21"/>
              </w:rPr>
              <w:t xml:space="preserve">　・部局内の対応状況の確認、会議での報告のとりまとめ</w:t>
            </w:r>
          </w:p>
          <w:p w14:paraId="13356965" w14:textId="77777777" w:rsidR="00742C35" w:rsidRPr="001D6D10" w:rsidRDefault="00742C35" w:rsidP="00742C35">
            <w:pPr>
              <w:rPr>
                <w:rFonts w:ascii="HG丸ｺﾞｼｯｸM-PRO" w:eastAsia="HG丸ｺﾞｼｯｸM-PRO" w:hAnsi="HG丸ｺﾞｼｯｸM-PRO"/>
                <w:szCs w:val="21"/>
              </w:rPr>
            </w:pPr>
            <w:r w:rsidRPr="001D6D10">
              <w:rPr>
                <w:rFonts w:ascii="HG丸ｺﾞｼｯｸM-PRO" w:eastAsia="HG丸ｺﾞｼｯｸM-PRO" w:hAnsi="HG丸ｺﾞｼｯｸM-PRO" w:hint="eastAsia"/>
                <w:szCs w:val="21"/>
              </w:rPr>
              <w:t xml:space="preserve">　・庁舎・所管施設の安全確認</w:t>
            </w:r>
          </w:p>
          <w:p w14:paraId="0318F793" w14:textId="77777777" w:rsidR="00335440" w:rsidRPr="001D6D10" w:rsidRDefault="00742C35" w:rsidP="00335440">
            <w:pPr>
              <w:rPr>
                <w:rFonts w:ascii="HG丸ｺﾞｼｯｸM-PRO" w:eastAsia="HG丸ｺﾞｼｯｸM-PRO" w:hAnsi="HG丸ｺﾞｼｯｸM-PRO"/>
                <w:szCs w:val="21"/>
              </w:rPr>
            </w:pPr>
            <w:r w:rsidRPr="001D6D10">
              <w:rPr>
                <w:rFonts w:ascii="HG丸ｺﾞｼｯｸM-PRO" w:eastAsia="HG丸ｺﾞｼｯｸM-PRO" w:hAnsi="HG丸ｺﾞｼｯｸM-PRO" w:hint="eastAsia"/>
                <w:szCs w:val="21"/>
              </w:rPr>
              <w:t xml:space="preserve">　・公共交通機関計画運休の確認</w:t>
            </w:r>
          </w:p>
          <w:p w14:paraId="6FDE787F" w14:textId="77777777" w:rsidR="00BD7DE5" w:rsidRPr="001D6D10" w:rsidRDefault="00BD7DE5" w:rsidP="00335440">
            <w:pPr>
              <w:rPr>
                <w:rFonts w:ascii="HG丸ｺﾞｼｯｸM-PRO" w:eastAsia="HG丸ｺﾞｼｯｸM-PRO" w:hAnsi="HG丸ｺﾞｼｯｸM-PRO"/>
                <w:szCs w:val="21"/>
                <w:u w:val="single"/>
              </w:rPr>
            </w:pPr>
            <w:r w:rsidRPr="001D6D10">
              <w:rPr>
                <w:rFonts w:ascii="HG丸ｺﾞｼｯｸM-PRO" w:eastAsia="HG丸ｺﾞｼｯｸM-PRO" w:hAnsi="HG丸ｺﾞｼｯｸM-PRO" w:hint="eastAsia"/>
                <w:szCs w:val="21"/>
                <w:bdr w:val="single" w:sz="4" w:space="0" w:color="auto"/>
              </w:rPr>
              <w:t>台風説明会</w:t>
            </w:r>
          </w:p>
        </w:tc>
      </w:tr>
      <w:tr w:rsidR="001D6D10" w:rsidRPr="001D6D10" w14:paraId="616E80BC" w14:textId="77777777" w:rsidTr="00F35CFE">
        <w:trPr>
          <w:jc w:val="center"/>
        </w:trPr>
        <w:tc>
          <w:tcPr>
            <w:tcW w:w="1457" w:type="dxa"/>
            <w:vMerge/>
          </w:tcPr>
          <w:p w14:paraId="5405C8B6" w14:textId="77777777" w:rsidR="0001205E" w:rsidRPr="001D6D10" w:rsidRDefault="0001205E" w:rsidP="00F35CFE">
            <w:pPr>
              <w:rPr>
                <w:rFonts w:ascii="HG丸ｺﾞｼｯｸM-PRO" w:eastAsia="HG丸ｺﾞｼｯｸM-PRO" w:hAnsi="HG丸ｺﾞｼｯｸM-PRO"/>
                <w:szCs w:val="21"/>
              </w:rPr>
            </w:pPr>
          </w:p>
        </w:tc>
        <w:tc>
          <w:tcPr>
            <w:tcW w:w="7037" w:type="dxa"/>
          </w:tcPr>
          <w:p w14:paraId="7CF1C063" w14:textId="77777777" w:rsidR="0001205E" w:rsidRPr="001D6D10" w:rsidRDefault="0001205E" w:rsidP="00F35CFE">
            <w:pPr>
              <w:rPr>
                <w:rFonts w:ascii="HG丸ｺﾞｼｯｸM-PRO" w:eastAsia="HG丸ｺﾞｼｯｸM-PRO" w:hAnsi="HG丸ｺﾞｼｯｸM-PRO"/>
                <w:szCs w:val="21"/>
                <w:highlight w:val="yellow"/>
              </w:rPr>
            </w:pPr>
            <w:r w:rsidRPr="001D6D10">
              <w:rPr>
                <w:rFonts w:ascii="HG丸ｺﾞｼｯｸM-PRO" w:eastAsia="HG丸ｺﾞｼｯｸM-PRO" w:hAnsi="HG丸ｺﾞｼｯｸM-PRO" w:hint="eastAsia"/>
                <w:b/>
                <w:szCs w:val="21"/>
                <w:highlight w:val="yellow"/>
              </w:rPr>
              <w:t>第1回災害警戒本部会議</w:t>
            </w:r>
            <w:r w:rsidRPr="001D6D10">
              <w:rPr>
                <w:rFonts w:ascii="HG丸ｺﾞｼｯｸM-PRO" w:eastAsia="HG丸ｺﾞｼｯｸM-PRO" w:hAnsi="HG丸ｺﾞｼｯｸM-PRO" w:hint="eastAsia"/>
                <w:szCs w:val="21"/>
                <w:highlight w:val="yellow"/>
              </w:rPr>
              <w:t>（災害モード宣言の内容検討）</w:t>
            </w:r>
            <w:r w:rsidR="00CB0ABF" w:rsidRPr="001D6D10">
              <w:rPr>
                <w:rFonts w:ascii="HG丸ｺﾞｼｯｸM-PRO" w:eastAsia="HG丸ｺﾞｼｯｸM-PRO" w:hAnsi="HG丸ｺﾞｼｯｸM-PRO" w:hint="eastAsia"/>
                <w:szCs w:val="21"/>
                <w:highlight w:val="yellow"/>
              </w:rPr>
              <w:t>（Ｐ47</w:t>
            </w:r>
            <w:r w:rsidR="0010145B" w:rsidRPr="001D6D10">
              <w:rPr>
                <w:rFonts w:ascii="HG丸ｺﾞｼｯｸM-PRO" w:eastAsia="HG丸ｺﾞｼｯｸM-PRO" w:hAnsi="HG丸ｺﾞｼｯｸM-PRO" w:hint="eastAsia"/>
                <w:szCs w:val="21"/>
                <w:highlight w:val="yellow"/>
              </w:rPr>
              <w:t>参照）</w:t>
            </w:r>
          </w:p>
        </w:tc>
      </w:tr>
      <w:tr w:rsidR="001D6D10" w:rsidRPr="001D6D10" w14:paraId="4B721E75" w14:textId="77777777" w:rsidTr="00F35CFE">
        <w:trPr>
          <w:jc w:val="center"/>
        </w:trPr>
        <w:tc>
          <w:tcPr>
            <w:tcW w:w="1457" w:type="dxa"/>
            <w:vMerge/>
          </w:tcPr>
          <w:p w14:paraId="674DA65A" w14:textId="77777777" w:rsidR="0001205E" w:rsidRPr="001D6D10" w:rsidRDefault="0001205E" w:rsidP="00F35CFE">
            <w:pPr>
              <w:rPr>
                <w:rFonts w:ascii="HG丸ｺﾞｼｯｸM-PRO" w:eastAsia="HG丸ｺﾞｼｯｸM-PRO" w:hAnsi="HG丸ｺﾞｼｯｸM-PRO"/>
                <w:szCs w:val="21"/>
              </w:rPr>
            </w:pPr>
          </w:p>
        </w:tc>
        <w:tc>
          <w:tcPr>
            <w:tcW w:w="7037" w:type="dxa"/>
          </w:tcPr>
          <w:p w14:paraId="28F3C6C7" w14:textId="77777777" w:rsidR="00872F01" w:rsidRPr="001D6D10" w:rsidRDefault="00872F01" w:rsidP="00872F01">
            <w:pPr>
              <w:rPr>
                <w:rFonts w:ascii="HG丸ｺﾞｼｯｸM-PRO" w:eastAsia="HG丸ｺﾞｼｯｸM-PRO" w:hAnsi="HG丸ｺﾞｼｯｸM-PRO"/>
                <w:szCs w:val="21"/>
              </w:rPr>
            </w:pPr>
            <w:r w:rsidRPr="001D6D10">
              <w:rPr>
                <w:rFonts w:ascii="HG丸ｺﾞｼｯｸM-PRO" w:eastAsia="HG丸ｺﾞｼｯｸM-PRO" w:hAnsi="HG丸ｺﾞｼｯｸM-PRO" w:hint="eastAsia"/>
                <w:szCs w:val="21"/>
              </w:rPr>
              <w:t>□危機管理室からの情報の共有</w:t>
            </w:r>
          </w:p>
          <w:p w14:paraId="2B1D9257" w14:textId="77777777" w:rsidR="00872F01" w:rsidRPr="001D6D10" w:rsidRDefault="00872F01" w:rsidP="00872F01">
            <w:pPr>
              <w:rPr>
                <w:rFonts w:ascii="HG丸ｺﾞｼｯｸM-PRO" w:eastAsia="HG丸ｺﾞｼｯｸM-PRO" w:hAnsi="HG丸ｺﾞｼｯｸM-PRO"/>
                <w:szCs w:val="21"/>
              </w:rPr>
            </w:pPr>
            <w:r w:rsidRPr="001D6D10">
              <w:rPr>
                <w:rFonts w:ascii="HG丸ｺﾞｼｯｸM-PRO" w:eastAsia="HG丸ｺﾞｼｯｸM-PRO" w:hAnsi="HG丸ｺﾞｼｯｸM-PRO" w:hint="eastAsia"/>
                <w:szCs w:val="21"/>
              </w:rPr>
              <w:t>□水防体制の確認</w:t>
            </w:r>
          </w:p>
          <w:p w14:paraId="2883E97A" w14:textId="77777777" w:rsidR="00872F01" w:rsidRPr="001D6D10" w:rsidRDefault="00872F01" w:rsidP="00872F01">
            <w:pPr>
              <w:rPr>
                <w:rFonts w:ascii="HG丸ｺﾞｼｯｸM-PRO" w:eastAsia="HG丸ｺﾞｼｯｸM-PRO" w:hAnsi="HG丸ｺﾞｼｯｸM-PRO"/>
                <w:szCs w:val="21"/>
              </w:rPr>
            </w:pPr>
            <w:r w:rsidRPr="001D6D10">
              <w:rPr>
                <w:rFonts w:ascii="HG丸ｺﾞｼｯｸM-PRO" w:eastAsia="HG丸ｺﾞｼｯｸM-PRO" w:hAnsi="HG丸ｺﾞｼｯｸM-PRO" w:hint="eastAsia"/>
                <w:szCs w:val="21"/>
              </w:rPr>
              <w:t>（気象警報等を踏まえた態勢の検討）</w:t>
            </w:r>
          </w:p>
          <w:p w14:paraId="67A0A6F0" w14:textId="77777777" w:rsidR="00872F01" w:rsidRPr="001D6D10" w:rsidRDefault="00872F01" w:rsidP="00872F01">
            <w:pPr>
              <w:rPr>
                <w:rFonts w:ascii="HG丸ｺﾞｼｯｸM-PRO" w:eastAsia="HG丸ｺﾞｼｯｸM-PRO" w:hAnsi="HG丸ｺﾞｼｯｸM-PRO"/>
                <w:szCs w:val="21"/>
              </w:rPr>
            </w:pPr>
            <w:r w:rsidRPr="001D6D10">
              <w:rPr>
                <w:rFonts w:ascii="HG丸ｺﾞｼｯｸM-PRO" w:eastAsia="HG丸ｺﾞｼｯｸM-PRO" w:hAnsi="HG丸ｺﾞｼｯｸM-PRO" w:hint="eastAsia"/>
                <w:szCs w:val="21"/>
              </w:rPr>
              <w:t>□危険箇所等のパトロール</w:t>
            </w:r>
          </w:p>
          <w:p w14:paraId="1931392E" w14:textId="77777777" w:rsidR="00872F01" w:rsidRPr="001D6D10" w:rsidRDefault="00872F01" w:rsidP="00872F01">
            <w:pPr>
              <w:rPr>
                <w:rFonts w:ascii="HG丸ｺﾞｼｯｸM-PRO" w:eastAsia="HG丸ｺﾞｼｯｸM-PRO" w:hAnsi="HG丸ｺﾞｼｯｸM-PRO"/>
                <w:szCs w:val="21"/>
              </w:rPr>
            </w:pPr>
            <w:r w:rsidRPr="001D6D10">
              <w:rPr>
                <w:rFonts w:ascii="HG丸ｺﾞｼｯｸM-PRO" w:eastAsia="HG丸ｺﾞｼｯｸM-PRO" w:hAnsi="HG丸ｺﾞｼｯｸM-PRO" w:hint="eastAsia"/>
                <w:szCs w:val="21"/>
              </w:rPr>
              <w:t>□台風情報の周知</w:t>
            </w:r>
          </w:p>
          <w:p w14:paraId="106B5415" w14:textId="77777777" w:rsidR="0001205E" w:rsidRPr="001D6D10" w:rsidRDefault="00872F01" w:rsidP="00F35CFE">
            <w:pPr>
              <w:rPr>
                <w:rFonts w:ascii="HG丸ｺﾞｼｯｸM-PRO" w:eastAsia="HG丸ｺﾞｼｯｸM-PRO" w:hAnsi="HG丸ｺﾞｼｯｸM-PRO"/>
                <w:szCs w:val="21"/>
              </w:rPr>
            </w:pPr>
            <w:r w:rsidRPr="001D6D10">
              <w:rPr>
                <w:rFonts w:ascii="HG丸ｺﾞｼｯｸM-PRO" w:eastAsia="HG丸ｺﾞｼｯｸM-PRO" w:hAnsi="HG丸ｺﾞｼｯｸM-PRO" w:hint="eastAsia"/>
                <w:szCs w:val="21"/>
              </w:rPr>
              <w:t>□水防体制の検討</w:t>
            </w:r>
          </w:p>
          <w:p w14:paraId="00857037" w14:textId="77777777" w:rsidR="00071C87" w:rsidRPr="001D6D10" w:rsidRDefault="00071C87" w:rsidP="00071C87">
            <w:pPr>
              <w:rPr>
                <w:rFonts w:ascii="HG丸ｺﾞｼｯｸM-PRO" w:eastAsia="HG丸ｺﾞｼｯｸM-PRO" w:hAnsi="HG丸ｺﾞｼｯｸM-PRO"/>
                <w:szCs w:val="21"/>
              </w:rPr>
            </w:pPr>
            <w:r w:rsidRPr="001D6D10">
              <w:rPr>
                <w:rFonts w:ascii="HG丸ｺﾞｼｯｸM-PRO" w:eastAsia="HG丸ｺﾞｼｯｸM-PRO" w:hAnsi="HG丸ｺﾞｼｯｸM-PRO" w:hint="eastAsia"/>
                <w:szCs w:val="21"/>
              </w:rPr>
              <w:t xml:space="preserve">□公共交通機関計画運休の確認　</w:t>
            </w:r>
          </w:p>
          <w:p w14:paraId="1A2EA581" w14:textId="77777777" w:rsidR="00071C87" w:rsidRPr="001D6D10" w:rsidRDefault="00071C87" w:rsidP="00071C87">
            <w:pPr>
              <w:rPr>
                <w:rFonts w:ascii="HG丸ｺﾞｼｯｸM-PRO" w:eastAsia="HG丸ｺﾞｼｯｸM-PRO" w:hAnsi="HG丸ｺﾞｼｯｸM-PRO"/>
                <w:szCs w:val="21"/>
              </w:rPr>
            </w:pPr>
            <w:r w:rsidRPr="001D6D10">
              <w:rPr>
                <w:rFonts w:ascii="HG丸ｺﾞｼｯｸM-PRO" w:eastAsia="HG丸ｺﾞｼｯｸM-PRO" w:hAnsi="HG丸ｺﾞｼｯｸM-PRO" w:hint="eastAsia"/>
                <w:szCs w:val="21"/>
              </w:rPr>
              <w:lastRenderedPageBreak/>
              <w:t>□職員体制の確認・確保</w:t>
            </w:r>
          </w:p>
          <w:p w14:paraId="0A901032" w14:textId="77777777" w:rsidR="00071C87" w:rsidRPr="001D6D10" w:rsidRDefault="00071C87" w:rsidP="00071C87">
            <w:pPr>
              <w:rPr>
                <w:rFonts w:ascii="HG丸ｺﾞｼｯｸM-PRO" w:eastAsia="HG丸ｺﾞｼｯｸM-PRO" w:hAnsi="HG丸ｺﾞｼｯｸM-PRO"/>
                <w:szCs w:val="21"/>
              </w:rPr>
            </w:pPr>
            <w:r w:rsidRPr="001D6D10">
              <w:rPr>
                <w:rFonts w:ascii="HG丸ｺﾞｼｯｸM-PRO" w:eastAsia="HG丸ｺﾞｼｯｸM-PRO" w:hAnsi="HG丸ｺﾞｼｯｸM-PRO" w:hint="eastAsia"/>
                <w:szCs w:val="21"/>
              </w:rPr>
              <w:t>□部発注の工事現場等への応急・安全対策の指示・確認</w:t>
            </w:r>
          </w:p>
          <w:p w14:paraId="53CA1455" w14:textId="77777777" w:rsidR="00071C87" w:rsidRPr="001D6D10" w:rsidRDefault="00071C87" w:rsidP="00071C87">
            <w:pPr>
              <w:rPr>
                <w:rFonts w:ascii="HG丸ｺﾞｼｯｸM-PRO" w:eastAsia="HG丸ｺﾞｼｯｸM-PRO" w:hAnsi="HG丸ｺﾞｼｯｸM-PRO"/>
                <w:szCs w:val="21"/>
              </w:rPr>
            </w:pPr>
            <w:r w:rsidRPr="001D6D10">
              <w:rPr>
                <w:rFonts w:ascii="HG丸ｺﾞｼｯｸM-PRO" w:eastAsia="HG丸ｺﾞｼｯｸM-PRO" w:hAnsi="HG丸ｺﾞｼｯｸM-PRO" w:hint="eastAsia"/>
                <w:szCs w:val="21"/>
              </w:rPr>
              <w:t>【公共建築室→各工事現場の工事監理者又は事業者】</w:t>
            </w:r>
          </w:p>
          <w:p w14:paraId="0A7AF1FD" w14:textId="77777777" w:rsidR="00071C87" w:rsidRPr="001D6D10" w:rsidRDefault="00071C87" w:rsidP="00071C87">
            <w:pPr>
              <w:rPr>
                <w:rFonts w:ascii="HG丸ｺﾞｼｯｸM-PRO" w:eastAsia="HG丸ｺﾞｼｯｸM-PRO" w:hAnsi="HG丸ｺﾞｼｯｸM-PRO"/>
                <w:szCs w:val="21"/>
              </w:rPr>
            </w:pPr>
            <w:r w:rsidRPr="001D6D10">
              <w:rPr>
                <w:rFonts w:ascii="HG丸ｺﾞｼｯｸM-PRO" w:eastAsia="HG丸ｺﾞｼｯｸM-PRO" w:hAnsi="HG丸ｺﾞｼｯｸM-PRO" w:hint="eastAsia"/>
                <w:szCs w:val="21"/>
              </w:rPr>
              <w:t>【住宅整備課→PFI事業者】（PFI事業）</w:t>
            </w:r>
          </w:p>
          <w:p w14:paraId="29A21E53" w14:textId="77777777" w:rsidR="00071C87" w:rsidRPr="001D6D10" w:rsidRDefault="00071C87" w:rsidP="00071C87">
            <w:pPr>
              <w:rPr>
                <w:rFonts w:ascii="HG丸ｺﾞｼｯｸM-PRO" w:eastAsia="HG丸ｺﾞｼｯｸM-PRO" w:hAnsi="HG丸ｺﾞｼｯｸM-PRO"/>
                <w:szCs w:val="21"/>
              </w:rPr>
            </w:pPr>
            <w:r w:rsidRPr="001D6D10">
              <w:rPr>
                <w:rFonts w:ascii="HG丸ｺﾞｼｯｸM-PRO" w:eastAsia="HG丸ｺﾞｼｯｸM-PRO" w:hAnsi="HG丸ｺﾞｼｯｸM-PRO" w:hint="eastAsia"/>
                <w:szCs w:val="21"/>
              </w:rPr>
              <w:t>【施設保全課→府営住宅の管理代行者】（府営住宅の計画修繕工事）</w:t>
            </w:r>
          </w:p>
        </w:tc>
      </w:tr>
      <w:tr w:rsidR="001D6D10" w:rsidRPr="001D6D10" w14:paraId="53CA1209" w14:textId="77777777" w:rsidTr="00F35CFE">
        <w:trPr>
          <w:jc w:val="center"/>
        </w:trPr>
        <w:tc>
          <w:tcPr>
            <w:tcW w:w="1457" w:type="dxa"/>
            <w:vMerge w:val="restart"/>
          </w:tcPr>
          <w:p w14:paraId="74075334" w14:textId="77777777" w:rsidR="00934E60" w:rsidRPr="001D6D10" w:rsidRDefault="00934E60" w:rsidP="00F35CFE">
            <w:pPr>
              <w:rPr>
                <w:rFonts w:ascii="HG丸ｺﾞｼｯｸM-PRO" w:eastAsia="HG丸ｺﾞｼｯｸM-PRO" w:hAnsi="HG丸ｺﾞｼｯｸM-PRO"/>
                <w:szCs w:val="21"/>
              </w:rPr>
            </w:pPr>
          </w:p>
          <w:p w14:paraId="580FF6E3" w14:textId="77777777" w:rsidR="00934E60" w:rsidRPr="001D6D10" w:rsidRDefault="00934E60" w:rsidP="00F35CFE">
            <w:pPr>
              <w:rPr>
                <w:rFonts w:ascii="HG丸ｺﾞｼｯｸM-PRO" w:eastAsia="HG丸ｺﾞｼｯｸM-PRO" w:hAnsi="HG丸ｺﾞｼｯｸM-PRO"/>
                <w:szCs w:val="21"/>
              </w:rPr>
            </w:pPr>
          </w:p>
          <w:p w14:paraId="777F4C30" w14:textId="77777777" w:rsidR="00934E60" w:rsidRPr="001D6D10" w:rsidRDefault="00934E60" w:rsidP="00F35CFE">
            <w:pPr>
              <w:rPr>
                <w:rFonts w:ascii="HG丸ｺﾞｼｯｸM-PRO" w:eastAsia="HG丸ｺﾞｼｯｸM-PRO" w:hAnsi="HG丸ｺﾞｼｯｸM-PRO"/>
                <w:szCs w:val="21"/>
              </w:rPr>
            </w:pPr>
          </w:p>
          <w:p w14:paraId="699AB297" w14:textId="77777777" w:rsidR="0001205E" w:rsidRPr="001D6D10" w:rsidRDefault="0001205E" w:rsidP="00F35CFE">
            <w:pPr>
              <w:rPr>
                <w:rFonts w:ascii="HG丸ｺﾞｼｯｸM-PRO" w:eastAsia="HG丸ｺﾞｼｯｸM-PRO" w:hAnsi="HG丸ｺﾞｼｯｸM-PRO"/>
                <w:szCs w:val="21"/>
              </w:rPr>
            </w:pPr>
            <w:r w:rsidRPr="001D6D10">
              <w:rPr>
                <w:rFonts w:ascii="HG丸ｺﾞｼｯｸM-PRO" w:eastAsia="HG丸ｺﾞｼｯｸM-PRO" w:hAnsi="HG丸ｺﾞｼｯｸM-PRO" w:hint="eastAsia"/>
                <w:szCs w:val="21"/>
              </w:rPr>
              <w:t>24ｈ前～</w:t>
            </w:r>
          </w:p>
          <w:p w14:paraId="6EC22D15" w14:textId="77777777" w:rsidR="0001205E" w:rsidRPr="001D6D10" w:rsidRDefault="0001205E" w:rsidP="00F35CFE">
            <w:pPr>
              <w:rPr>
                <w:rFonts w:ascii="HG丸ｺﾞｼｯｸM-PRO" w:eastAsia="HG丸ｺﾞｼｯｸM-PRO" w:hAnsi="HG丸ｺﾞｼｯｸM-PRO"/>
                <w:szCs w:val="21"/>
              </w:rPr>
            </w:pPr>
            <w:r w:rsidRPr="001D6D10">
              <w:rPr>
                <w:rFonts w:ascii="HG丸ｺﾞｼｯｸM-PRO" w:eastAsia="HG丸ｺﾞｼｯｸM-PRO" w:hAnsi="HG丸ｺﾞｼｯｸM-PRO" w:hint="eastAsia"/>
                <w:szCs w:val="21"/>
              </w:rPr>
              <w:t xml:space="preserve">　　最接近</w:t>
            </w:r>
          </w:p>
          <w:p w14:paraId="2A4883DA" w14:textId="77777777" w:rsidR="0001205E" w:rsidRPr="001D6D10" w:rsidRDefault="0001205E" w:rsidP="00F35CFE">
            <w:pPr>
              <w:rPr>
                <w:rFonts w:ascii="HG丸ｺﾞｼｯｸM-PRO" w:eastAsia="HG丸ｺﾞｼｯｸM-PRO" w:hAnsi="HG丸ｺﾞｼｯｸM-PRO"/>
                <w:szCs w:val="21"/>
              </w:rPr>
            </w:pPr>
            <w:r w:rsidRPr="001D6D10">
              <w:rPr>
                <w:rFonts w:ascii="HG丸ｺﾞｼｯｸM-PRO" w:eastAsia="HG丸ｺﾞｼｯｸM-PRO" w:hAnsi="HG丸ｺﾞｼｯｸM-PRO" w:hint="eastAsia"/>
                <w:szCs w:val="21"/>
              </w:rPr>
              <w:t>（１日前）</w:t>
            </w:r>
          </w:p>
        </w:tc>
        <w:tc>
          <w:tcPr>
            <w:tcW w:w="7037" w:type="dxa"/>
          </w:tcPr>
          <w:p w14:paraId="3AF71A89" w14:textId="77777777" w:rsidR="0001205E" w:rsidRPr="001D6D10" w:rsidRDefault="0001205E" w:rsidP="00F35CFE">
            <w:pPr>
              <w:rPr>
                <w:rFonts w:ascii="HG丸ｺﾞｼｯｸM-PRO" w:eastAsia="HG丸ｺﾞｼｯｸM-PRO" w:hAnsi="HG丸ｺﾞｼｯｸM-PRO"/>
                <w:szCs w:val="21"/>
              </w:rPr>
            </w:pPr>
            <w:r w:rsidRPr="001D6D10">
              <w:rPr>
                <w:rFonts w:ascii="HG丸ｺﾞｼｯｸM-PRO" w:eastAsia="HG丸ｺﾞｼｯｸM-PRO" w:hAnsi="HG丸ｺﾞｼｯｸM-PRO" w:hint="eastAsia"/>
                <w:szCs w:val="21"/>
              </w:rPr>
              <w:t>庁内連絡会議②：第2回災害警戒本部会議の事前調整等</w:t>
            </w:r>
          </w:p>
          <w:p w14:paraId="34C1D987" w14:textId="77777777" w:rsidR="00742C35" w:rsidRPr="001D6D10" w:rsidRDefault="00742C35" w:rsidP="00742C35">
            <w:pPr>
              <w:rPr>
                <w:rFonts w:ascii="HG丸ｺﾞｼｯｸM-PRO" w:eastAsia="HG丸ｺﾞｼｯｸM-PRO" w:hAnsi="HG丸ｺﾞｼｯｸM-PRO"/>
                <w:szCs w:val="21"/>
              </w:rPr>
            </w:pPr>
            <w:r w:rsidRPr="001D6D10">
              <w:rPr>
                <w:rFonts w:ascii="HG丸ｺﾞｼｯｸM-PRO" w:eastAsia="HG丸ｺﾞｼｯｸM-PRO" w:hAnsi="HG丸ｺﾞｼｯｸM-PRO" w:hint="eastAsia"/>
                <w:szCs w:val="21"/>
              </w:rPr>
              <w:t>□第２回災害警戒本部会議の事前準備</w:t>
            </w:r>
          </w:p>
          <w:p w14:paraId="0BC2EF21" w14:textId="77777777" w:rsidR="00742C35" w:rsidRPr="001D6D10" w:rsidRDefault="00742C35" w:rsidP="00742C35">
            <w:pPr>
              <w:rPr>
                <w:rFonts w:ascii="HG丸ｺﾞｼｯｸM-PRO" w:eastAsia="HG丸ｺﾞｼｯｸM-PRO" w:hAnsi="HG丸ｺﾞｼｯｸM-PRO"/>
                <w:szCs w:val="21"/>
              </w:rPr>
            </w:pPr>
            <w:r w:rsidRPr="001D6D10">
              <w:rPr>
                <w:rFonts w:ascii="HG丸ｺﾞｼｯｸM-PRO" w:eastAsia="HG丸ｺﾞｼｯｸM-PRO" w:hAnsi="HG丸ｺﾞｼｯｸM-PRO" w:hint="eastAsia"/>
                <w:szCs w:val="21"/>
              </w:rPr>
              <w:t xml:space="preserve">　・部局内の対応状況の確認、会議での報告のとりまとめ</w:t>
            </w:r>
          </w:p>
          <w:p w14:paraId="505C8BB8" w14:textId="77777777" w:rsidR="00742C35" w:rsidRPr="001D6D10" w:rsidRDefault="00742C35" w:rsidP="00742C35">
            <w:pPr>
              <w:rPr>
                <w:rFonts w:ascii="HG丸ｺﾞｼｯｸM-PRO" w:eastAsia="HG丸ｺﾞｼｯｸM-PRO" w:hAnsi="HG丸ｺﾞｼｯｸM-PRO"/>
                <w:szCs w:val="21"/>
              </w:rPr>
            </w:pPr>
            <w:r w:rsidRPr="001D6D10">
              <w:rPr>
                <w:rFonts w:ascii="HG丸ｺﾞｼｯｸM-PRO" w:eastAsia="HG丸ｺﾞｼｯｸM-PRO" w:hAnsi="HG丸ｺﾞｼｯｸM-PRO" w:hint="eastAsia"/>
                <w:szCs w:val="21"/>
              </w:rPr>
              <w:t xml:space="preserve">　・庁舎・所管施設の安全点検</w:t>
            </w:r>
          </w:p>
          <w:p w14:paraId="0968FDAB" w14:textId="77777777" w:rsidR="007D0602" w:rsidRPr="001D6D10" w:rsidRDefault="00742C35" w:rsidP="007D0602">
            <w:pPr>
              <w:rPr>
                <w:rFonts w:ascii="HG丸ｺﾞｼｯｸM-PRO" w:eastAsia="HG丸ｺﾞｼｯｸM-PRO" w:hAnsi="HG丸ｺﾞｼｯｸM-PRO"/>
                <w:szCs w:val="21"/>
              </w:rPr>
            </w:pPr>
            <w:r w:rsidRPr="001D6D10">
              <w:rPr>
                <w:rFonts w:ascii="HG丸ｺﾞｼｯｸM-PRO" w:eastAsia="HG丸ｺﾞｼｯｸM-PRO" w:hAnsi="HG丸ｺﾞｼｯｸM-PRO" w:hint="eastAsia"/>
                <w:szCs w:val="21"/>
              </w:rPr>
              <w:t xml:space="preserve">　・公共交通機関計画運休の確認</w:t>
            </w:r>
          </w:p>
          <w:p w14:paraId="1BD84B36" w14:textId="77777777" w:rsidR="00BD7DE5" w:rsidRPr="001D6D10" w:rsidRDefault="00BD7DE5" w:rsidP="007D0602">
            <w:pPr>
              <w:rPr>
                <w:rFonts w:ascii="HG丸ｺﾞｼｯｸM-PRO" w:eastAsia="HG丸ｺﾞｼｯｸM-PRO" w:hAnsi="HG丸ｺﾞｼｯｸM-PRO"/>
                <w:szCs w:val="21"/>
                <w:u w:val="single"/>
              </w:rPr>
            </w:pPr>
            <w:r w:rsidRPr="001D6D10">
              <w:rPr>
                <w:rFonts w:ascii="HG丸ｺﾞｼｯｸM-PRO" w:eastAsia="HG丸ｺﾞｼｯｸM-PRO" w:hAnsi="HG丸ｺﾞｼｯｸM-PRO" w:hint="eastAsia"/>
                <w:szCs w:val="21"/>
                <w:bdr w:val="single" w:sz="4" w:space="0" w:color="auto"/>
              </w:rPr>
              <w:t>台風説明会</w:t>
            </w:r>
          </w:p>
        </w:tc>
      </w:tr>
      <w:tr w:rsidR="001D6D10" w:rsidRPr="001D6D10" w14:paraId="20636390" w14:textId="77777777" w:rsidTr="00F35CFE">
        <w:trPr>
          <w:jc w:val="center"/>
        </w:trPr>
        <w:tc>
          <w:tcPr>
            <w:tcW w:w="1457" w:type="dxa"/>
            <w:vMerge/>
          </w:tcPr>
          <w:p w14:paraId="0A22BEB0" w14:textId="77777777" w:rsidR="0001205E" w:rsidRPr="001D6D10" w:rsidRDefault="0001205E" w:rsidP="00F35CFE">
            <w:pPr>
              <w:rPr>
                <w:rFonts w:ascii="HG丸ｺﾞｼｯｸM-PRO" w:eastAsia="HG丸ｺﾞｼｯｸM-PRO" w:hAnsi="HG丸ｺﾞｼｯｸM-PRO"/>
                <w:szCs w:val="21"/>
              </w:rPr>
            </w:pPr>
          </w:p>
        </w:tc>
        <w:tc>
          <w:tcPr>
            <w:tcW w:w="7037" w:type="dxa"/>
          </w:tcPr>
          <w:p w14:paraId="71FA0A20" w14:textId="77777777" w:rsidR="0001205E" w:rsidRPr="001D6D10" w:rsidRDefault="0001205E" w:rsidP="00F35CFE">
            <w:pPr>
              <w:rPr>
                <w:rFonts w:ascii="HG丸ｺﾞｼｯｸM-PRO" w:eastAsia="HG丸ｺﾞｼｯｸM-PRO" w:hAnsi="HG丸ｺﾞｼｯｸM-PRO"/>
                <w:szCs w:val="21"/>
                <w:highlight w:val="yellow"/>
              </w:rPr>
            </w:pPr>
            <w:r w:rsidRPr="001D6D10">
              <w:rPr>
                <w:rFonts w:ascii="HG丸ｺﾞｼｯｸM-PRO" w:eastAsia="HG丸ｺﾞｼｯｸM-PRO" w:hAnsi="HG丸ｺﾞｼｯｸM-PRO" w:hint="eastAsia"/>
                <w:b/>
                <w:szCs w:val="21"/>
                <w:highlight w:val="yellow"/>
              </w:rPr>
              <w:t>第２回災害警戒本部会議</w:t>
            </w:r>
            <w:r w:rsidRPr="001D6D10">
              <w:rPr>
                <w:rFonts w:ascii="HG丸ｺﾞｼｯｸM-PRO" w:eastAsia="HG丸ｺﾞｼｯｸM-PRO" w:hAnsi="HG丸ｺﾞｼｯｸM-PRO" w:hint="eastAsia"/>
                <w:szCs w:val="21"/>
                <w:highlight w:val="yellow"/>
              </w:rPr>
              <w:t>（災害モード宣言の発信）</w:t>
            </w:r>
            <w:r w:rsidR="00CB0ABF" w:rsidRPr="001D6D10">
              <w:rPr>
                <w:rFonts w:ascii="HG丸ｺﾞｼｯｸM-PRO" w:eastAsia="HG丸ｺﾞｼｯｸM-PRO" w:hAnsi="HG丸ｺﾞｼｯｸM-PRO" w:hint="eastAsia"/>
                <w:szCs w:val="21"/>
                <w:highlight w:val="yellow"/>
              </w:rPr>
              <w:t>（Ｐ47</w:t>
            </w:r>
            <w:r w:rsidR="0010145B" w:rsidRPr="001D6D10">
              <w:rPr>
                <w:rFonts w:ascii="HG丸ｺﾞｼｯｸM-PRO" w:eastAsia="HG丸ｺﾞｼｯｸM-PRO" w:hAnsi="HG丸ｺﾞｼｯｸM-PRO" w:hint="eastAsia"/>
                <w:szCs w:val="21"/>
                <w:highlight w:val="yellow"/>
              </w:rPr>
              <w:t>参照）</w:t>
            </w:r>
          </w:p>
        </w:tc>
      </w:tr>
      <w:tr w:rsidR="001D6D10" w:rsidRPr="001D6D10" w14:paraId="1F9BAD5E" w14:textId="77777777" w:rsidTr="00F35CFE">
        <w:trPr>
          <w:jc w:val="center"/>
        </w:trPr>
        <w:tc>
          <w:tcPr>
            <w:tcW w:w="1457" w:type="dxa"/>
            <w:vMerge/>
          </w:tcPr>
          <w:p w14:paraId="1FEF618F" w14:textId="77777777" w:rsidR="0001205E" w:rsidRPr="001D6D10" w:rsidRDefault="0001205E" w:rsidP="00F35CFE">
            <w:pPr>
              <w:rPr>
                <w:rFonts w:ascii="HG丸ｺﾞｼｯｸM-PRO" w:eastAsia="HG丸ｺﾞｼｯｸM-PRO" w:hAnsi="HG丸ｺﾞｼｯｸM-PRO"/>
                <w:szCs w:val="21"/>
              </w:rPr>
            </w:pPr>
          </w:p>
        </w:tc>
        <w:tc>
          <w:tcPr>
            <w:tcW w:w="7037" w:type="dxa"/>
          </w:tcPr>
          <w:p w14:paraId="3D7E610C" w14:textId="77777777" w:rsidR="00872F01" w:rsidRPr="001D6D10" w:rsidRDefault="00872F01" w:rsidP="00872F01">
            <w:pPr>
              <w:rPr>
                <w:rFonts w:ascii="HG丸ｺﾞｼｯｸM-PRO" w:eastAsia="HG丸ｺﾞｼｯｸM-PRO" w:hAnsi="HG丸ｺﾞｼｯｸM-PRO"/>
                <w:szCs w:val="21"/>
              </w:rPr>
            </w:pPr>
            <w:r w:rsidRPr="001D6D10">
              <w:rPr>
                <w:rFonts w:ascii="HG丸ｺﾞｼｯｸM-PRO" w:eastAsia="HG丸ｺﾞｼｯｸM-PRO" w:hAnsi="HG丸ｺﾞｼｯｸM-PRO" w:hint="eastAsia"/>
                <w:szCs w:val="21"/>
              </w:rPr>
              <w:t>□危機管理室からの情報の共有</w:t>
            </w:r>
          </w:p>
          <w:p w14:paraId="345DE8BE" w14:textId="77777777" w:rsidR="00872F01" w:rsidRPr="001D6D10" w:rsidRDefault="00872F01" w:rsidP="00872F01">
            <w:pPr>
              <w:rPr>
                <w:rFonts w:ascii="HG丸ｺﾞｼｯｸM-PRO" w:eastAsia="HG丸ｺﾞｼｯｸM-PRO" w:hAnsi="HG丸ｺﾞｼｯｸM-PRO"/>
                <w:szCs w:val="21"/>
              </w:rPr>
            </w:pPr>
            <w:r w:rsidRPr="001D6D10">
              <w:rPr>
                <w:rFonts w:ascii="HG丸ｺﾞｼｯｸM-PRO" w:eastAsia="HG丸ｺﾞｼｯｸM-PRO" w:hAnsi="HG丸ｺﾞｼｯｸM-PRO" w:hint="eastAsia"/>
                <w:szCs w:val="21"/>
              </w:rPr>
              <w:t>□水防態勢の構築</w:t>
            </w:r>
          </w:p>
          <w:p w14:paraId="11B6A3A2" w14:textId="77777777" w:rsidR="00872F01" w:rsidRPr="001D6D10" w:rsidRDefault="00872F01" w:rsidP="00872F01">
            <w:pPr>
              <w:rPr>
                <w:rFonts w:ascii="HG丸ｺﾞｼｯｸM-PRO" w:eastAsia="HG丸ｺﾞｼｯｸM-PRO" w:hAnsi="HG丸ｺﾞｼｯｸM-PRO"/>
                <w:szCs w:val="21"/>
              </w:rPr>
            </w:pPr>
            <w:r w:rsidRPr="001D6D10">
              <w:rPr>
                <w:rFonts w:ascii="HG丸ｺﾞｼｯｸM-PRO" w:eastAsia="HG丸ｺﾞｼｯｸM-PRO" w:hAnsi="HG丸ｺﾞｼｯｸM-PRO" w:hint="eastAsia"/>
                <w:szCs w:val="21"/>
              </w:rPr>
              <w:t>□雨量・水位等の監視情報収集</w:t>
            </w:r>
          </w:p>
          <w:p w14:paraId="26B032D4" w14:textId="77777777" w:rsidR="00872F01" w:rsidRPr="001D6D10" w:rsidRDefault="00872F01" w:rsidP="00872F01">
            <w:pPr>
              <w:rPr>
                <w:rFonts w:ascii="HG丸ｺﾞｼｯｸM-PRO" w:eastAsia="HG丸ｺﾞｼｯｸM-PRO" w:hAnsi="HG丸ｺﾞｼｯｸM-PRO"/>
                <w:szCs w:val="21"/>
              </w:rPr>
            </w:pPr>
            <w:r w:rsidRPr="001D6D10">
              <w:rPr>
                <w:rFonts w:ascii="HG丸ｺﾞｼｯｸM-PRO" w:eastAsia="HG丸ｺﾞｼｯｸM-PRO" w:hAnsi="HG丸ｺﾞｼｯｸM-PRO" w:hint="eastAsia"/>
                <w:szCs w:val="21"/>
              </w:rPr>
              <w:t>□台風・気象情報の収集</w:t>
            </w:r>
          </w:p>
          <w:p w14:paraId="509AB29A" w14:textId="77777777" w:rsidR="00872F01" w:rsidRPr="001D6D10" w:rsidRDefault="00872F01" w:rsidP="00872F01">
            <w:pPr>
              <w:rPr>
                <w:rFonts w:ascii="HG丸ｺﾞｼｯｸM-PRO" w:eastAsia="HG丸ｺﾞｼｯｸM-PRO" w:hAnsi="HG丸ｺﾞｼｯｸM-PRO"/>
                <w:szCs w:val="21"/>
              </w:rPr>
            </w:pPr>
            <w:r w:rsidRPr="001D6D10">
              <w:rPr>
                <w:rFonts w:ascii="HG丸ｺﾞｼｯｸM-PRO" w:eastAsia="HG丸ｺﾞｼｯｸM-PRO" w:hAnsi="HG丸ｺﾞｼｯｸM-PRO" w:hint="eastAsia"/>
                <w:szCs w:val="21"/>
              </w:rPr>
              <w:t>□水防警報（洪水）発表</w:t>
            </w:r>
          </w:p>
          <w:p w14:paraId="59C291A4" w14:textId="77777777" w:rsidR="00872F01" w:rsidRPr="001D6D10" w:rsidRDefault="00872F01" w:rsidP="00872F01">
            <w:pPr>
              <w:rPr>
                <w:rFonts w:ascii="HG丸ｺﾞｼｯｸM-PRO" w:eastAsia="HG丸ｺﾞｼｯｸM-PRO" w:hAnsi="HG丸ｺﾞｼｯｸM-PRO"/>
                <w:szCs w:val="21"/>
              </w:rPr>
            </w:pPr>
            <w:r w:rsidRPr="001D6D10">
              <w:rPr>
                <w:rFonts w:ascii="HG丸ｺﾞｼｯｸM-PRO" w:eastAsia="HG丸ｺﾞｼｯｸM-PRO" w:hAnsi="HG丸ｺﾞｼｯｸM-PRO" w:hint="eastAsia"/>
                <w:szCs w:val="21"/>
              </w:rPr>
              <w:t>□氾濫注意情報・氾濫警戒情報・氾濫危険情報・氾濫発生情報・土砂災害警戒情報の発表準備・発表（一部気象台との共同発表）</w:t>
            </w:r>
          </w:p>
          <w:p w14:paraId="185A164D" w14:textId="77777777" w:rsidR="00872F01" w:rsidRPr="001D6D10" w:rsidRDefault="00872F01" w:rsidP="00872F01">
            <w:pPr>
              <w:rPr>
                <w:rFonts w:ascii="HG丸ｺﾞｼｯｸM-PRO" w:eastAsia="HG丸ｺﾞｼｯｸM-PRO" w:hAnsi="HG丸ｺﾞｼｯｸM-PRO"/>
                <w:szCs w:val="21"/>
              </w:rPr>
            </w:pPr>
            <w:r w:rsidRPr="001D6D10">
              <w:rPr>
                <w:rFonts w:ascii="HG丸ｺﾞｼｯｸM-PRO" w:eastAsia="HG丸ｺﾞｼｯｸM-PRO" w:hAnsi="HG丸ｺﾞｼｯｸM-PRO" w:hint="eastAsia"/>
                <w:szCs w:val="21"/>
              </w:rPr>
              <w:t>□洪水対策施設操作（水門・排水機場）</w:t>
            </w:r>
          </w:p>
          <w:p w14:paraId="531633A8" w14:textId="0930585E" w:rsidR="00872F01" w:rsidRPr="001D6D10" w:rsidRDefault="00872F01" w:rsidP="00872F01">
            <w:pPr>
              <w:rPr>
                <w:rFonts w:ascii="HG丸ｺﾞｼｯｸM-PRO" w:eastAsia="HG丸ｺﾞｼｯｸM-PRO" w:hAnsi="HG丸ｺﾞｼｯｸM-PRO"/>
                <w:szCs w:val="21"/>
              </w:rPr>
            </w:pPr>
            <w:r w:rsidRPr="001D6D10">
              <w:rPr>
                <w:rFonts w:ascii="HG丸ｺﾞｼｯｸM-PRO" w:eastAsia="HG丸ｺﾞｼｯｸM-PRO" w:hAnsi="HG丸ｺﾞｼｯｸM-PRO" w:hint="eastAsia"/>
                <w:szCs w:val="21"/>
              </w:rPr>
              <w:t>□基準雨量超過</w:t>
            </w:r>
            <w:r w:rsidR="0053084D" w:rsidRPr="001D6D10">
              <w:rPr>
                <w:rFonts w:ascii="HG丸ｺﾞｼｯｸM-PRO" w:eastAsia="HG丸ｺﾞｼｯｸM-PRO" w:hAnsi="HG丸ｺﾞｼｯｸM-PRO" w:hint="eastAsia"/>
                <w:szCs w:val="21"/>
              </w:rPr>
              <w:t>等</w:t>
            </w:r>
            <w:r w:rsidRPr="001D6D10">
              <w:rPr>
                <w:rFonts w:ascii="HG丸ｺﾞｼｯｸM-PRO" w:eastAsia="HG丸ｺﾞｼｯｸM-PRO" w:hAnsi="HG丸ｺﾞｼｯｸM-PRO" w:hint="eastAsia"/>
                <w:szCs w:val="21"/>
              </w:rPr>
              <w:t>による交通規制</w:t>
            </w:r>
          </w:p>
          <w:p w14:paraId="15C889E7" w14:textId="77777777" w:rsidR="00872F01" w:rsidRPr="001D6D10" w:rsidRDefault="00872F01" w:rsidP="00872F01">
            <w:pPr>
              <w:rPr>
                <w:rFonts w:ascii="HG丸ｺﾞｼｯｸM-PRO" w:eastAsia="HG丸ｺﾞｼｯｸM-PRO" w:hAnsi="HG丸ｺﾞｼｯｸM-PRO"/>
                <w:szCs w:val="21"/>
              </w:rPr>
            </w:pPr>
            <w:r w:rsidRPr="001D6D10">
              <w:rPr>
                <w:rFonts w:ascii="HG丸ｺﾞｼｯｸM-PRO" w:eastAsia="HG丸ｺﾞｼｯｸM-PRO" w:hAnsi="HG丸ｺﾞｼｯｸM-PRO" w:hint="eastAsia"/>
                <w:szCs w:val="21"/>
              </w:rPr>
              <w:t>□パトロールの実施</w:t>
            </w:r>
          </w:p>
          <w:p w14:paraId="495F1C8A" w14:textId="77777777" w:rsidR="00872F01" w:rsidRPr="001D6D10" w:rsidRDefault="00872F01" w:rsidP="00872F01">
            <w:pPr>
              <w:rPr>
                <w:rFonts w:ascii="HG丸ｺﾞｼｯｸM-PRO" w:eastAsia="HG丸ｺﾞｼｯｸM-PRO" w:hAnsi="HG丸ｺﾞｼｯｸM-PRO"/>
                <w:szCs w:val="21"/>
              </w:rPr>
            </w:pPr>
            <w:r w:rsidRPr="001D6D10">
              <w:rPr>
                <w:rFonts w:ascii="HG丸ｺﾞｼｯｸM-PRO" w:eastAsia="HG丸ｺﾞｼｯｸM-PRO" w:hAnsi="HG丸ｺﾞｼｯｸM-PRO" w:hint="eastAsia"/>
                <w:szCs w:val="21"/>
              </w:rPr>
              <w:t>□水防態勢の拡大</w:t>
            </w:r>
          </w:p>
          <w:p w14:paraId="60D6A7C2" w14:textId="77777777" w:rsidR="00872F01" w:rsidRPr="001D6D10" w:rsidRDefault="00872F01" w:rsidP="00872F01">
            <w:pPr>
              <w:rPr>
                <w:rFonts w:ascii="HG丸ｺﾞｼｯｸM-PRO" w:eastAsia="HG丸ｺﾞｼｯｸM-PRO" w:hAnsi="HG丸ｺﾞｼｯｸM-PRO"/>
                <w:szCs w:val="21"/>
              </w:rPr>
            </w:pPr>
            <w:r w:rsidRPr="001D6D10">
              <w:rPr>
                <w:rFonts w:ascii="HG丸ｺﾞｼｯｸM-PRO" w:eastAsia="HG丸ｺﾞｼｯｸM-PRO" w:hAnsi="HG丸ｺﾞｼｯｸM-PRO" w:hint="eastAsia"/>
                <w:szCs w:val="21"/>
              </w:rPr>
              <w:t>□市町村長へﾎｯﾄﾗｲﾝで連絡（洪水・土砂災害）</w:t>
            </w:r>
          </w:p>
          <w:p w14:paraId="25EE9E36" w14:textId="77777777" w:rsidR="00872F01" w:rsidRPr="001D6D10" w:rsidRDefault="00872F01" w:rsidP="00872F01">
            <w:pPr>
              <w:rPr>
                <w:rFonts w:ascii="HG丸ｺﾞｼｯｸM-PRO" w:eastAsia="HG丸ｺﾞｼｯｸM-PRO" w:hAnsi="HG丸ｺﾞｼｯｸM-PRO"/>
                <w:szCs w:val="21"/>
              </w:rPr>
            </w:pPr>
            <w:r w:rsidRPr="001D6D10">
              <w:rPr>
                <w:rFonts w:ascii="HG丸ｺﾞｼｯｸM-PRO" w:eastAsia="HG丸ｺﾞｼｯｸM-PRO" w:hAnsi="HG丸ｺﾞｼｯｸM-PRO" w:hint="eastAsia"/>
                <w:szCs w:val="21"/>
              </w:rPr>
              <w:t>□水防警報（高潮）発表</w:t>
            </w:r>
          </w:p>
          <w:p w14:paraId="4E384433" w14:textId="77777777" w:rsidR="00872F01" w:rsidRPr="001D6D10" w:rsidRDefault="00872F01" w:rsidP="00872F01">
            <w:pPr>
              <w:rPr>
                <w:rFonts w:ascii="HG丸ｺﾞｼｯｸM-PRO" w:eastAsia="HG丸ｺﾞｼｯｸM-PRO" w:hAnsi="HG丸ｺﾞｼｯｸM-PRO"/>
                <w:szCs w:val="21"/>
              </w:rPr>
            </w:pPr>
            <w:r w:rsidRPr="001D6D10">
              <w:rPr>
                <w:rFonts w:ascii="HG丸ｺﾞｼｯｸM-PRO" w:eastAsia="HG丸ｺﾞｼｯｸM-PRO" w:hAnsi="HG丸ｺﾞｼｯｸM-PRO" w:hint="eastAsia"/>
                <w:szCs w:val="21"/>
              </w:rPr>
              <w:t>□防潮施設（水門・鉄扉）操作</w:t>
            </w:r>
          </w:p>
          <w:p w14:paraId="5F9D3669" w14:textId="77777777" w:rsidR="00872F01" w:rsidRPr="001D6D10" w:rsidRDefault="00872F01" w:rsidP="00872F01">
            <w:pPr>
              <w:rPr>
                <w:rFonts w:ascii="HG丸ｺﾞｼｯｸM-PRO" w:eastAsia="HG丸ｺﾞｼｯｸM-PRO" w:hAnsi="HG丸ｺﾞｼｯｸM-PRO"/>
                <w:szCs w:val="21"/>
              </w:rPr>
            </w:pPr>
            <w:r w:rsidRPr="001D6D10">
              <w:rPr>
                <w:rFonts w:ascii="HG丸ｺﾞｼｯｸM-PRO" w:eastAsia="HG丸ｺﾞｼｯｸM-PRO" w:hAnsi="HG丸ｺﾞｼｯｸM-PRO" w:hint="eastAsia"/>
                <w:szCs w:val="21"/>
              </w:rPr>
              <w:t>□寝屋川流域ポンプ運転調整</w:t>
            </w:r>
          </w:p>
          <w:p w14:paraId="2D3D4AD7" w14:textId="2C211DC9" w:rsidR="0001205E" w:rsidRPr="001D6D10" w:rsidRDefault="00872F01" w:rsidP="00F35CFE">
            <w:pPr>
              <w:rPr>
                <w:rFonts w:ascii="HG丸ｺﾞｼｯｸM-PRO" w:eastAsia="HG丸ｺﾞｼｯｸM-PRO" w:hAnsi="HG丸ｺﾞｼｯｸM-PRO"/>
                <w:szCs w:val="21"/>
              </w:rPr>
            </w:pPr>
            <w:r w:rsidRPr="001D6D10">
              <w:rPr>
                <w:rFonts w:ascii="HG丸ｺﾞｼｯｸM-PRO" w:eastAsia="HG丸ｺﾞｼｯｸM-PRO" w:hAnsi="HG丸ｺﾞｼｯｸM-PRO" w:hint="eastAsia"/>
                <w:szCs w:val="21"/>
              </w:rPr>
              <w:t>□三大水門・国道2</w:t>
            </w:r>
            <w:r w:rsidR="0053084D" w:rsidRPr="001D6D10">
              <w:rPr>
                <w:rFonts w:ascii="HG丸ｺﾞｼｯｸM-PRO" w:eastAsia="HG丸ｺﾞｼｯｸM-PRO" w:hAnsi="HG丸ｺﾞｼｯｸM-PRO" w:hint="eastAsia"/>
                <w:szCs w:val="21"/>
              </w:rPr>
              <w:t>号鉄扉・阪急神戸線の</w:t>
            </w:r>
            <w:r w:rsidRPr="001D6D10">
              <w:rPr>
                <w:rFonts w:ascii="HG丸ｺﾞｼｯｸM-PRO" w:eastAsia="HG丸ｺﾞｼｯｸM-PRO" w:hAnsi="HG丸ｺﾞｼｯｸM-PRO" w:hint="eastAsia"/>
                <w:szCs w:val="21"/>
              </w:rPr>
              <w:t>閉鎖協議・閉鎖</w:t>
            </w:r>
          </w:p>
          <w:p w14:paraId="236CD4C7" w14:textId="77777777" w:rsidR="00071C87" w:rsidRPr="001D6D10" w:rsidRDefault="00071C87" w:rsidP="00071C87">
            <w:pPr>
              <w:rPr>
                <w:rFonts w:ascii="HG丸ｺﾞｼｯｸM-PRO" w:eastAsia="HG丸ｺﾞｼｯｸM-PRO" w:hAnsi="HG丸ｺﾞｼｯｸM-PRO"/>
                <w:szCs w:val="21"/>
              </w:rPr>
            </w:pPr>
            <w:r w:rsidRPr="001D6D10">
              <w:rPr>
                <w:rFonts w:ascii="HG丸ｺﾞｼｯｸM-PRO" w:eastAsia="HG丸ｺﾞｼｯｸM-PRO" w:hAnsi="HG丸ｺﾞｼｯｸM-PRO" w:hint="eastAsia"/>
                <w:szCs w:val="21"/>
              </w:rPr>
              <w:t>□府営住宅の指定管理者との非常時連絡体制の確認</w:t>
            </w:r>
          </w:p>
          <w:p w14:paraId="212B9263" w14:textId="77777777" w:rsidR="00071C87" w:rsidRPr="001D6D10" w:rsidRDefault="00071C87" w:rsidP="00071C87">
            <w:pPr>
              <w:rPr>
                <w:rFonts w:ascii="HG丸ｺﾞｼｯｸM-PRO" w:eastAsia="HG丸ｺﾞｼｯｸM-PRO" w:hAnsi="HG丸ｺﾞｼｯｸM-PRO"/>
                <w:szCs w:val="21"/>
              </w:rPr>
            </w:pPr>
            <w:r w:rsidRPr="001D6D10">
              <w:rPr>
                <w:rFonts w:ascii="HG丸ｺﾞｼｯｸM-PRO" w:eastAsia="HG丸ｺﾞｼｯｸM-PRO" w:hAnsi="HG丸ｺﾞｼｯｸM-PRO" w:hint="eastAsia"/>
                <w:szCs w:val="21"/>
              </w:rPr>
              <w:t>【経営管理課・施設保全課→府営住宅の指定管理者】</w:t>
            </w:r>
          </w:p>
        </w:tc>
      </w:tr>
    </w:tbl>
    <w:p w14:paraId="3256BAFA" w14:textId="77777777" w:rsidR="00872F01" w:rsidRPr="001D6D10" w:rsidRDefault="00872F01" w:rsidP="00B1007D">
      <w:pPr>
        <w:ind w:left="1638" w:hangingChars="776" w:hanging="1638"/>
        <w:rPr>
          <w:rFonts w:ascii="HG丸ｺﾞｼｯｸM-PRO" w:eastAsia="HG丸ｺﾞｼｯｸM-PRO" w:hAnsi="HG丸ｺﾞｼｯｸM-PRO"/>
          <w:szCs w:val="21"/>
        </w:rPr>
      </w:pPr>
      <w:r w:rsidRPr="001D6D10">
        <w:rPr>
          <w:rFonts w:ascii="HG丸ｺﾞｼｯｸM-PRO" w:eastAsia="HG丸ｺﾞｼｯｸM-PRO" w:hAnsi="HG丸ｺﾞｼｯｸM-PRO" w:hint="eastAsia"/>
          <w:szCs w:val="21"/>
        </w:rPr>
        <w:t>※主な所管施設：府道、一級河川（指定区間）・二級河川、流域下水道、府営公園、土木事務所</w:t>
      </w:r>
      <w:r w:rsidR="00071C87" w:rsidRPr="001D6D10">
        <w:rPr>
          <w:rFonts w:ascii="HG丸ｺﾞｼｯｸM-PRO" w:eastAsia="HG丸ｺﾞｼｯｸM-PRO" w:hAnsi="HG丸ｺﾞｼｯｸM-PRO" w:hint="eastAsia"/>
          <w:szCs w:val="21"/>
        </w:rPr>
        <w:t>、府営住宅</w:t>
      </w:r>
      <w:r w:rsidR="00B1007D" w:rsidRPr="001D6D10">
        <w:rPr>
          <w:rFonts w:ascii="HG丸ｺﾞｼｯｸM-PRO" w:eastAsia="HG丸ｺﾞｼｯｸM-PRO" w:hAnsi="HG丸ｺﾞｼｯｸM-PRO" w:hint="eastAsia"/>
          <w:szCs w:val="21"/>
        </w:rPr>
        <w:t xml:space="preserve">　</w:t>
      </w:r>
      <w:r w:rsidRPr="001D6D10">
        <w:rPr>
          <w:rFonts w:ascii="HG丸ｺﾞｼｯｸM-PRO" w:eastAsia="HG丸ｺﾞｼｯｸM-PRO" w:hAnsi="HG丸ｺﾞｼｯｸM-PRO" w:hint="eastAsia"/>
          <w:szCs w:val="21"/>
        </w:rPr>
        <w:t>等</w:t>
      </w:r>
      <w:r w:rsidRPr="001D6D10">
        <w:rPr>
          <w:rFonts w:ascii="HG丸ｺﾞｼｯｸM-PRO" w:eastAsia="HG丸ｺﾞｼｯｸM-PRO" w:hAnsi="HG丸ｺﾞｼｯｸM-PRO"/>
          <w:szCs w:val="21"/>
        </w:rPr>
        <w:t xml:space="preserve"> </w:t>
      </w:r>
    </w:p>
    <w:p w14:paraId="444FDBC4" w14:textId="77777777" w:rsidR="00872F01" w:rsidRPr="001D6D10" w:rsidRDefault="00872F01" w:rsidP="00B35001">
      <w:pPr>
        <w:ind w:left="1723" w:hangingChars="816" w:hanging="1723"/>
        <w:rPr>
          <w:rFonts w:ascii="HG丸ｺﾞｼｯｸM-PRO" w:eastAsia="HG丸ｺﾞｼｯｸM-PRO" w:hAnsi="HG丸ｺﾞｼｯｸM-PRO"/>
          <w:szCs w:val="21"/>
        </w:rPr>
      </w:pPr>
      <w:r w:rsidRPr="001D6D10">
        <w:rPr>
          <w:rFonts w:ascii="HG丸ｺﾞｼｯｸM-PRO" w:eastAsia="HG丸ｺﾞｼｯｸM-PRO" w:hAnsi="HG丸ｺﾞｼｯｸM-PRO" w:hint="eastAsia"/>
          <w:szCs w:val="21"/>
        </w:rPr>
        <w:t xml:space="preserve">　　　関係機関：</w:t>
      </w:r>
      <w:r w:rsidRPr="001D6D10">
        <w:rPr>
          <w:rFonts w:ascii="HG丸ｺﾞｼｯｸM-PRO" w:eastAsia="HG丸ｺﾞｼｯｸM-PRO" w:hAnsi="HG丸ｺﾞｼｯｸM-PRO"/>
          <w:szCs w:val="21"/>
        </w:rPr>
        <w:t>近畿地方整備局、水防事務組合、その他水防関係機関</w:t>
      </w:r>
      <w:r w:rsidR="00B1007D" w:rsidRPr="001D6D10">
        <w:rPr>
          <w:rFonts w:ascii="HG丸ｺﾞｼｯｸM-PRO" w:eastAsia="HG丸ｺﾞｼｯｸM-PRO" w:hAnsi="HG丸ｺﾞｼｯｸM-PRO" w:hint="eastAsia"/>
          <w:szCs w:val="21"/>
        </w:rPr>
        <w:t xml:space="preserve">　府住宅供給公社、府内市町営住宅担当部局、府営住宅指定管理者　</w:t>
      </w:r>
      <w:r w:rsidRPr="001D6D10">
        <w:rPr>
          <w:rFonts w:ascii="HG丸ｺﾞｼｯｸM-PRO" w:eastAsia="HG丸ｺﾞｼｯｸM-PRO" w:hAnsi="HG丸ｺﾞｼｯｸM-PRO"/>
          <w:szCs w:val="21"/>
        </w:rPr>
        <w:t>等</w:t>
      </w:r>
    </w:p>
    <w:p w14:paraId="46AECAF7" w14:textId="77777777" w:rsidR="0001205E" w:rsidRPr="001D6D10" w:rsidRDefault="00872F01" w:rsidP="00872F01">
      <w:pPr>
        <w:rPr>
          <w:rFonts w:ascii="HG丸ｺﾞｼｯｸM-PRO" w:eastAsia="HG丸ｺﾞｼｯｸM-PRO" w:hAnsi="HG丸ｺﾞｼｯｸM-PRO"/>
          <w:szCs w:val="21"/>
        </w:rPr>
      </w:pPr>
      <w:r w:rsidRPr="001D6D10">
        <w:rPr>
          <w:rFonts w:ascii="HG丸ｺﾞｼｯｸM-PRO" w:eastAsia="HG丸ｺﾞｼｯｸM-PRO" w:hAnsi="HG丸ｺﾞｼｯｸM-PRO" w:hint="eastAsia"/>
          <w:szCs w:val="21"/>
        </w:rPr>
        <w:t xml:space="preserve">　　　システム：水防災システム・土砂災害等システム、建設ＣＡＬＳシステム</w:t>
      </w:r>
    </w:p>
    <w:p w14:paraId="3AAD3AA0" w14:textId="77777777" w:rsidR="0001205E" w:rsidRPr="001D6D10" w:rsidRDefault="0001205E" w:rsidP="0001205E">
      <w:pPr>
        <w:rPr>
          <w:rFonts w:ascii="ＭＳ ゴシック" w:eastAsia="ＭＳ ゴシック" w:hAnsi="ＭＳ ゴシック"/>
          <w:sz w:val="18"/>
          <w:szCs w:val="22"/>
        </w:rPr>
      </w:pPr>
      <w:r w:rsidRPr="001D6D10">
        <w:rPr>
          <w:rFonts w:ascii="ＭＳ ゴシック" w:eastAsia="ＭＳ ゴシック" w:hAnsi="ＭＳ ゴシック" w:hint="eastAsia"/>
          <w:sz w:val="18"/>
          <w:szCs w:val="22"/>
        </w:rPr>
        <w:t>※）本タイムラインから状況に応じて必要な項目を選定し、実施するものとする。</w:t>
      </w:r>
    </w:p>
    <w:p w14:paraId="22AEDE40" w14:textId="77777777" w:rsidR="0001205E" w:rsidRPr="001D6D10" w:rsidRDefault="0001205E" w:rsidP="0001205E">
      <w:pPr>
        <w:rPr>
          <w:rFonts w:ascii="ＭＳ ゴシック" w:eastAsia="ＭＳ ゴシック" w:hAnsi="ＭＳ ゴシック"/>
          <w:sz w:val="18"/>
          <w:szCs w:val="22"/>
        </w:rPr>
      </w:pPr>
    </w:p>
    <w:p w14:paraId="0AE7BA60" w14:textId="77777777" w:rsidR="00930C0D" w:rsidRDefault="00930C0D">
      <w:pPr>
        <w:widowControl/>
        <w:jc w:val="left"/>
        <w:rPr>
          <w:rFonts w:ascii="ＭＳ ゴシック" w:eastAsia="ＭＳ ゴシック" w:hAnsi="ＭＳ ゴシック"/>
          <w:sz w:val="22"/>
          <w:szCs w:val="22"/>
        </w:rPr>
      </w:pPr>
      <w:r>
        <w:rPr>
          <w:rFonts w:ascii="ＭＳ ゴシック" w:eastAsia="ＭＳ ゴシック" w:hAnsi="ＭＳ ゴシック"/>
          <w:sz w:val="22"/>
          <w:szCs w:val="22"/>
        </w:rPr>
        <w:br w:type="page"/>
      </w:r>
    </w:p>
    <w:p w14:paraId="38E2DC12" w14:textId="455938E0" w:rsidR="000B1BBB" w:rsidRPr="001D6D10" w:rsidRDefault="006754D0" w:rsidP="000B1BBB">
      <w:pPr>
        <w:rPr>
          <w:rFonts w:ascii="ＭＳ ゴシック" w:eastAsia="ＭＳ ゴシック" w:hAnsi="ＭＳ ゴシック"/>
          <w:sz w:val="22"/>
          <w:szCs w:val="22"/>
        </w:rPr>
      </w:pPr>
      <w:r w:rsidRPr="001D6D10">
        <w:rPr>
          <w:rFonts w:ascii="ＭＳ ゴシック" w:eastAsia="ＭＳ ゴシック" w:hAnsi="ＭＳ ゴシック" w:hint="eastAsia"/>
          <w:sz w:val="22"/>
          <w:szCs w:val="22"/>
        </w:rPr>
        <w:lastRenderedPageBreak/>
        <w:t>⑬</w:t>
      </w:r>
      <w:r w:rsidR="000B1BBB" w:rsidRPr="001D6D10">
        <w:rPr>
          <w:rFonts w:ascii="ＭＳ ゴシック" w:eastAsia="ＭＳ ゴシック" w:hAnsi="ＭＳ ゴシック" w:hint="eastAsia"/>
          <w:sz w:val="22"/>
          <w:szCs w:val="22"/>
        </w:rPr>
        <w:t>大阪都市計画局</w:t>
      </w:r>
    </w:p>
    <w:tbl>
      <w:tblPr>
        <w:tblpPr w:leftFromText="142" w:rightFromText="142" w:vertAnchor="text" w:tblpXSpec="center" w:tblpY="1"/>
        <w:tblOverlap w:val="neve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57"/>
        <w:gridCol w:w="7037"/>
      </w:tblGrid>
      <w:tr w:rsidR="001D6D10" w:rsidRPr="001D6D10" w14:paraId="4DE5534F" w14:textId="77777777" w:rsidTr="000B1BBB">
        <w:tc>
          <w:tcPr>
            <w:tcW w:w="1457" w:type="dxa"/>
            <w:tcBorders>
              <w:top w:val="single" w:sz="4" w:space="0" w:color="auto"/>
              <w:left w:val="single" w:sz="4" w:space="0" w:color="auto"/>
              <w:bottom w:val="single" w:sz="4" w:space="0" w:color="auto"/>
              <w:right w:val="single" w:sz="4" w:space="0" w:color="auto"/>
            </w:tcBorders>
            <w:shd w:val="clear" w:color="auto" w:fill="BFBFBF"/>
            <w:hideMark/>
          </w:tcPr>
          <w:p w14:paraId="72216C89" w14:textId="77777777" w:rsidR="000B1BBB" w:rsidRPr="001D6D10" w:rsidRDefault="000B1BBB">
            <w:pPr>
              <w:jc w:val="center"/>
              <w:rPr>
                <w:rFonts w:ascii="HG丸ｺﾞｼｯｸM-PRO" w:eastAsia="HG丸ｺﾞｼｯｸM-PRO" w:hAnsi="HG丸ｺﾞｼｯｸM-PRO"/>
                <w:szCs w:val="21"/>
              </w:rPr>
            </w:pPr>
            <w:r w:rsidRPr="001D6D10">
              <w:rPr>
                <w:rFonts w:ascii="HG丸ｺﾞｼｯｸM-PRO" w:eastAsia="HG丸ｺﾞｼｯｸM-PRO" w:hAnsi="HG丸ｺﾞｼｯｸM-PRO" w:hint="eastAsia"/>
                <w:szCs w:val="21"/>
              </w:rPr>
              <w:t>時　期</w:t>
            </w:r>
          </w:p>
        </w:tc>
        <w:tc>
          <w:tcPr>
            <w:tcW w:w="7037" w:type="dxa"/>
            <w:tcBorders>
              <w:top w:val="single" w:sz="4" w:space="0" w:color="auto"/>
              <w:left w:val="single" w:sz="4" w:space="0" w:color="auto"/>
              <w:bottom w:val="single" w:sz="4" w:space="0" w:color="auto"/>
              <w:right w:val="single" w:sz="4" w:space="0" w:color="auto"/>
            </w:tcBorders>
            <w:shd w:val="clear" w:color="auto" w:fill="BFBFBF"/>
            <w:hideMark/>
          </w:tcPr>
          <w:p w14:paraId="074DC759" w14:textId="77777777" w:rsidR="000B1BBB" w:rsidRPr="001D6D10" w:rsidRDefault="000B1BBB">
            <w:pPr>
              <w:jc w:val="center"/>
              <w:rPr>
                <w:rFonts w:ascii="HG丸ｺﾞｼｯｸM-PRO" w:eastAsia="HG丸ｺﾞｼｯｸM-PRO" w:hAnsi="HG丸ｺﾞｼｯｸM-PRO"/>
                <w:szCs w:val="21"/>
              </w:rPr>
            </w:pPr>
            <w:r w:rsidRPr="001D6D10">
              <w:rPr>
                <w:rFonts w:ascii="HG丸ｺﾞｼｯｸM-PRO" w:eastAsia="HG丸ｺﾞｼｯｸM-PRO" w:hAnsi="HG丸ｺﾞｼｯｸM-PRO" w:hint="eastAsia"/>
                <w:szCs w:val="21"/>
              </w:rPr>
              <w:t>主な事前準備業務</w:t>
            </w:r>
          </w:p>
        </w:tc>
      </w:tr>
      <w:tr w:rsidR="001D6D10" w:rsidRPr="001D6D10" w14:paraId="1C849F5A" w14:textId="77777777" w:rsidTr="000B1BBB">
        <w:tc>
          <w:tcPr>
            <w:tcW w:w="1457" w:type="dxa"/>
            <w:vMerge w:val="restart"/>
            <w:tcBorders>
              <w:top w:val="single" w:sz="4" w:space="0" w:color="auto"/>
              <w:left w:val="single" w:sz="4" w:space="0" w:color="auto"/>
              <w:bottom w:val="single" w:sz="4" w:space="0" w:color="auto"/>
              <w:right w:val="single" w:sz="4" w:space="0" w:color="auto"/>
            </w:tcBorders>
            <w:shd w:val="clear" w:color="auto" w:fill="FFFFFF" w:themeFill="background1"/>
          </w:tcPr>
          <w:p w14:paraId="71B9DD74" w14:textId="77777777" w:rsidR="000B1BBB" w:rsidRPr="001D6D10" w:rsidRDefault="000B1BBB">
            <w:pPr>
              <w:jc w:val="center"/>
              <w:rPr>
                <w:rFonts w:ascii="HG丸ｺﾞｼｯｸM-PRO" w:eastAsia="HG丸ｺﾞｼｯｸM-PRO" w:hAnsi="HG丸ｺﾞｼｯｸM-PRO"/>
                <w:szCs w:val="21"/>
              </w:rPr>
            </w:pPr>
          </w:p>
          <w:p w14:paraId="0271B098" w14:textId="77777777" w:rsidR="000B1BBB" w:rsidRPr="001D6D10" w:rsidRDefault="000B1BBB">
            <w:pPr>
              <w:jc w:val="center"/>
              <w:rPr>
                <w:rFonts w:ascii="HG丸ｺﾞｼｯｸM-PRO" w:eastAsia="HG丸ｺﾞｼｯｸM-PRO" w:hAnsi="HG丸ｺﾞｼｯｸM-PRO"/>
                <w:szCs w:val="21"/>
              </w:rPr>
            </w:pPr>
          </w:p>
          <w:p w14:paraId="5E9057A9" w14:textId="77777777" w:rsidR="000B1BBB" w:rsidRPr="001D6D10" w:rsidRDefault="000B1BBB">
            <w:pPr>
              <w:jc w:val="center"/>
              <w:rPr>
                <w:rFonts w:ascii="HG丸ｺﾞｼｯｸM-PRO" w:eastAsia="HG丸ｺﾞｼｯｸM-PRO" w:hAnsi="HG丸ｺﾞｼｯｸM-PRO"/>
                <w:szCs w:val="21"/>
              </w:rPr>
            </w:pPr>
          </w:p>
          <w:p w14:paraId="627FE12F" w14:textId="77777777" w:rsidR="000B1BBB" w:rsidRPr="001D6D10" w:rsidRDefault="000B1BBB">
            <w:pPr>
              <w:jc w:val="center"/>
              <w:rPr>
                <w:rFonts w:ascii="HG丸ｺﾞｼｯｸM-PRO" w:eastAsia="HG丸ｺﾞｼｯｸM-PRO" w:hAnsi="HG丸ｺﾞｼｯｸM-PRO"/>
                <w:szCs w:val="21"/>
              </w:rPr>
            </w:pPr>
          </w:p>
          <w:p w14:paraId="5EEEC368" w14:textId="77777777" w:rsidR="000B1BBB" w:rsidRPr="001D6D10" w:rsidRDefault="000B1BBB">
            <w:pPr>
              <w:jc w:val="center"/>
              <w:rPr>
                <w:rFonts w:ascii="HG丸ｺﾞｼｯｸM-PRO" w:eastAsia="HG丸ｺﾞｼｯｸM-PRO" w:hAnsi="HG丸ｺﾞｼｯｸM-PRO"/>
                <w:szCs w:val="21"/>
              </w:rPr>
            </w:pPr>
          </w:p>
          <w:p w14:paraId="08CB45E0" w14:textId="440A6DE3" w:rsidR="000B1BBB" w:rsidRPr="001D6D10" w:rsidRDefault="000B1BBB">
            <w:pPr>
              <w:jc w:val="center"/>
              <w:rPr>
                <w:rFonts w:ascii="HG丸ｺﾞｼｯｸM-PRO" w:eastAsia="HG丸ｺﾞｼｯｸM-PRO" w:hAnsi="HG丸ｺﾞｼｯｸM-PRO"/>
                <w:szCs w:val="21"/>
              </w:rPr>
            </w:pPr>
            <w:r w:rsidRPr="001D6D10">
              <w:rPr>
                <w:rFonts w:ascii="HG丸ｺﾞｼｯｸM-PRO" w:eastAsia="HG丸ｺﾞｼｯｸM-PRO" w:hAnsi="HG丸ｺﾞｼｯｸM-PRO" w:hint="eastAsia"/>
                <w:szCs w:val="21"/>
              </w:rPr>
              <w:t>～</w:t>
            </w:r>
            <w:r w:rsidRPr="001D6D10">
              <w:rPr>
                <w:rFonts w:ascii="HG丸ｺﾞｼｯｸM-PRO" w:eastAsia="HG丸ｺﾞｼｯｸM-PRO" w:hAnsi="HG丸ｺﾞｼｯｸM-PRO"/>
                <w:szCs w:val="21"/>
              </w:rPr>
              <w:t>48ｈ</w:t>
            </w:r>
            <w:r w:rsidR="0053084D" w:rsidRPr="001D6D10">
              <w:rPr>
                <w:rFonts w:ascii="HG丸ｺﾞｼｯｸM-PRO" w:eastAsia="HG丸ｺﾞｼｯｸM-PRO" w:hAnsi="HG丸ｺﾞｼｯｸM-PRO" w:hint="eastAsia"/>
                <w:szCs w:val="21"/>
              </w:rPr>
              <w:t>前</w:t>
            </w:r>
          </w:p>
          <w:p w14:paraId="794454B9" w14:textId="77777777" w:rsidR="000B1BBB" w:rsidRPr="001D6D10" w:rsidRDefault="000B1BBB">
            <w:pPr>
              <w:jc w:val="center"/>
              <w:rPr>
                <w:rFonts w:ascii="HG丸ｺﾞｼｯｸM-PRO" w:eastAsia="HG丸ｺﾞｼｯｸM-PRO" w:hAnsi="HG丸ｺﾞｼｯｸM-PRO"/>
                <w:sz w:val="20"/>
                <w:szCs w:val="20"/>
              </w:rPr>
            </w:pPr>
            <w:r w:rsidRPr="001D6D10">
              <w:rPr>
                <w:rFonts w:ascii="HG丸ｺﾞｼｯｸM-PRO" w:eastAsia="HG丸ｺﾞｼｯｸM-PRO" w:hAnsi="HG丸ｺﾞｼｯｸM-PRO" w:hint="eastAsia"/>
                <w:sz w:val="20"/>
                <w:szCs w:val="20"/>
              </w:rPr>
              <w:t>（３日以前）</w:t>
            </w:r>
          </w:p>
        </w:tc>
        <w:tc>
          <w:tcPr>
            <w:tcW w:w="7037"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4D733FCE" w14:textId="77777777" w:rsidR="000B1BBB" w:rsidRPr="001D6D10" w:rsidRDefault="000B1BBB">
            <w:pPr>
              <w:rPr>
                <w:rFonts w:ascii="HG丸ｺﾞｼｯｸM-PRO" w:eastAsia="HG丸ｺﾞｼｯｸM-PRO" w:hAnsi="HG丸ｺﾞｼｯｸM-PRO"/>
                <w:szCs w:val="21"/>
              </w:rPr>
            </w:pPr>
            <w:r w:rsidRPr="001D6D10">
              <w:rPr>
                <w:rFonts w:ascii="HG丸ｺﾞｼｯｸM-PRO" w:eastAsia="HG丸ｺﾞｼｯｸM-PRO" w:hAnsi="HG丸ｺﾞｼｯｸM-PRO" w:hint="eastAsia"/>
                <w:szCs w:val="21"/>
              </w:rPr>
              <w:t>□危機管理室からの情報の共有</w:t>
            </w:r>
          </w:p>
          <w:p w14:paraId="5963B2C0" w14:textId="77777777" w:rsidR="000B1BBB" w:rsidRPr="001D6D10" w:rsidRDefault="000B1BBB">
            <w:pPr>
              <w:rPr>
                <w:rFonts w:ascii="HG丸ｺﾞｼｯｸM-PRO" w:eastAsia="HG丸ｺﾞｼｯｸM-PRO" w:hAnsi="HG丸ｺﾞｼｯｸM-PRO"/>
                <w:szCs w:val="21"/>
              </w:rPr>
            </w:pPr>
            <w:r w:rsidRPr="001D6D10">
              <w:rPr>
                <w:rFonts w:ascii="HG丸ｺﾞｼｯｸM-PRO" w:eastAsia="HG丸ｺﾞｼｯｸM-PRO" w:hAnsi="HG丸ｺﾞｼｯｸM-PRO" w:hint="eastAsia"/>
                <w:szCs w:val="21"/>
              </w:rPr>
              <w:t>□連絡体制の確認</w:t>
            </w:r>
          </w:p>
          <w:p w14:paraId="60CD65AF" w14:textId="77777777" w:rsidR="000B1BBB" w:rsidRPr="001D6D10" w:rsidRDefault="000B1BBB">
            <w:pPr>
              <w:rPr>
                <w:rFonts w:ascii="HG丸ｺﾞｼｯｸM-PRO" w:eastAsia="HG丸ｺﾞｼｯｸM-PRO" w:hAnsi="HG丸ｺﾞｼｯｸM-PRO"/>
                <w:szCs w:val="21"/>
              </w:rPr>
            </w:pPr>
            <w:r w:rsidRPr="001D6D10">
              <w:rPr>
                <w:rFonts w:ascii="HG丸ｺﾞｼｯｸM-PRO" w:eastAsia="HG丸ｺﾞｼｯｸM-PRO" w:hAnsi="HG丸ｺﾞｼｯｸM-PRO" w:hint="eastAsia"/>
                <w:szCs w:val="21"/>
              </w:rPr>
              <w:t>□災害対応に関するマニュアル等の確認</w:t>
            </w:r>
          </w:p>
          <w:p w14:paraId="42C2E708" w14:textId="77777777" w:rsidR="000B1BBB" w:rsidRPr="001D6D10" w:rsidRDefault="000B1BBB">
            <w:pPr>
              <w:rPr>
                <w:rFonts w:ascii="HG丸ｺﾞｼｯｸM-PRO" w:eastAsia="HG丸ｺﾞｼｯｸM-PRO" w:hAnsi="HG丸ｺﾞｼｯｸM-PRO"/>
                <w:szCs w:val="21"/>
              </w:rPr>
            </w:pPr>
            <w:r w:rsidRPr="001D6D10">
              <w:rPr>
                <w:rFonts w:ascii="HG丸ｺﾞｼｯｸM-PRO" w:eastAsia="HG丸ｺﾞｼｯｸM-PRO" w:hAnsi="HG丸ｺﾞｼｯｸM-PRO" w:hint="eastAsia"/>
                <w:szCs w:val="21"/>
              </w:rPr>
              <w:t>□指令部会議の事前準備</w:t>
            </w:r>
          </w:p>
          <w:p w14:paraId="4A25EC6E" w14:textId="77777777" w:rsidR="000B1BBB" w:rsidRPr="001D6D10" w:rsidRDefault="000B1BBB">
            <w:pPr>
              <w:rPr>
                <w:rFonts w:ascii="HG丸ｺﾞｼｯｸM-PRO" w:eastAsia="HG丸ｺﾞｼｯｸM-PRO" w:hAnsi="HG丸ｺﾞｼｯｸM-PRO"/>
                <w:szCs w:val="21"/>
              </w:rPr>
            </w:pPr>
            <w:r w:rsidRPr="001D6D10">
              <w:rPr>
                <w:rFonts w:ascii="HG丸ｺﾞｼｯｸM-PRO" w:eastAsia="HG丸ｺﾞｼｯｸM-PRO" w:hAnsi="HG丸ｺﾞｼｯｸM-PRO" w:hint="eastAsia"/>
                <w:szCs w:val="21"/>
              </w:rPr>
              <w:t xml:space="preserve">　・イベントの有無確認（府主催、共催）</w:t>
            </w:r>
          </w:p>
          <w:p w14:paraId="2BEC1F97" w14:textId="77777777" w:rsidR="000B1BBB" w:rsidRPr="001D6D10" w:rsidRDefault="000B1BBB">
            <w:pPr>
              <w:rPr>
                <w:rFonts w:ascii="HG丸ｺﾞｼｯｸM-PRO" w:eastAsia="HG丸ｺﾞｼｯｸM-PRO" w:hAnsi="HG丸ｺﾞｼｯｸM-PRO"/>
                <w:szCs w:val="21"/>
              </w:rPr>
            </w:pPr>
            <w:r w:rsidRPr="001D6D10">
              <w:rPr>
                <w:rFonts w:ascii="HG丸ｺﾞｼｯｸM-PRO" w:eastAsia="HG丸ｺﾞｼｯｸM-PRO" w:hAnsi="HG丸ｺﾞｼｯｸM-PRO" w:hint="eastAsia"/>
                <w:szCs w:val="21"/>
              </w:rPr>
              <w:t xml:space="preserve">　・所管団体等への注意喚起など</w:t>
            </w:r>
          </w:p>
        </w:tc>
      </w:tr>
      <w:tr w:rsidR="001D6D10" w:rsidRPr="001D6D10" w14:paraId="12F31DF6" w14:textId="77777777" w:rsidTr="000B1BBB">
        <w:tc>
          <w:tcPr>
            <w:tcW w:w="0" w:type="auto"/>
            <w:vMerge/>
            <w:tcBorders>
              <w:top w:val="single" w:sz="4" w:space="0" w:color="auto"/>
              <w:left w:val="single" w:sz="4" w:space="0" w:color="auto"/>
              <w:bottom w:val="single" w:sz="4" w:space="0" w:color="auto"/>
              <w:right w:val="single" w:sz="4" w:space="0" w:color="auto"/>
            </w:tcBorders>
            <w:vAlign w:val="center"/>
            <w:hideMark/>
          </w:tcPr>
          <w:p w14:paraId="26E1FBB7" w14:textId="77777777" w:rsidR="000B1BBB" w:rsidRPr="001D6D10" w:rsidRDefault="000B1BBB">
            <w:pPr>
              <w:widowControl/>
              <w:jc w:val="left"/>
              <w:rPr>
                <w:rFonts w:ascii="HG丸ｺﾞｼｯｸM-PRO" w:eastAsia="HG丸ｺﾞｼｯｸM-PRO" w:hAnsi="HG丸ｺﾞｼｯｸM-PRO"/>
                <w:sz w:val="20"/>
                <w:szCs w:val="20"/>
              </w:rPr>
            </w:pPr>
          </w:p>
        </w:tc>
        <w:tc>
          <w:tcPr>
            <w:tcW w:w="7037" w:type="dxa"/>
            <w:tcBorders>
              <w:top w:val="single" w:sz="4" w:space="0" w:color="auto"/>
              <w:left w:val="single" w:sz="4" w:space="0" w:color="auto"/>
              <w:bottom w:val="single" w:sz="4" w:space="0" w:color="auto"/>
              <w:right w:val="single" w:sz="4" w:space="0" w:color="auto"/>
            </w:tcBorders>
            <w:hideMark/>
          </w:tcPr>
          <w:p w14:paraId="468261EA" w14:textId="77777777" w:rsidR="000B1BBB" w:rsidRPr="001D6D10" w:rsidRDefault="000B1BBB">
            <w:pPr>
              <w:rPr>
                <w:rFonts w:ascii="HG丸ｺﾞｼｯｸM-PRO" w:eastAsia="HG丸ｺﾞｼｯｸM-PRO" w:hAnsi="HG丸ｺﾞｼｯｸM-PRO"/>
                <w:szCs w:val="21"/>
              </w:rPr>
            </w:pPr>
            <w:r w:rsidRPr="001D6D10">
              <w:rPr>
                <w:rFonts w:ascii="HG丸ｺﾞｼｯｸM-PRO" w:eastAsia="HG丸ｺﾞｼｯｸM-PRO" w:hAnsi="HG丸ｺﾞｼｯｸM-PRO" w:hint="eastAsia"/>
                <w:b/>
                <w:szCs w:val="21"/>
                <w:highlight w:val="yellow"/>
              </w:rPr>
              <w:t>防災・危機管理指令部会議</w:t>
            </w:r>
            <w:r w:rsidRPr="001D6D10">
              <w:rPr>
                <w:rFonts w:ascii="HG丸ｺﾞｼｯｸM-PRO" w:eastAsia="HG丸ｺﾞｼｯｸM-PRO" w:hAnsi="HG丸ｺﾞｼｯｸM-PRO" w:hint="eastAsia"/>
                <w:szCs w:val="21"/>
                <w:highlight w:val="yellow"/>
              </w:rPr>
              <w:t>（おおよそ７２ｈ前）（Ｐ</w:t>
            </w:r>
            <w:r w:rsidRPr="001D6D10">
              <w:rPr>
                <w:rFonts w:ascii="HG丸ｺﾞｼｯｸM-PRO" w:eastAsia="HG丸ｺﾞｼｯｸM-PRO" w:hAnsi="HG丸ｺﾞｼｯｸM-PRO"/>
                <w:szCs w:val="21"/>
                <w:highlight w:val="yellow"/>
              </w:rPr>
              <w:t>42参照）</w:t>
            </w:r>
          </w:p>
        </w:tc>
      </w:tr>
      <w:tr w:rsidR="001D6D10" w:rsidRPr="001D6D10" w14:paraId="3EFF07EB" w14:textId="77777777" w:rsidTr="000B1BBB">
        <w:tc>
          <w:tcPr>
            <w:tcW w:w="0" w:type="auto"/>
            <w:vMerge/>
            <w:tcBorders>
              <w:top w:val="single" w:sz="4" w:space="0" w:color="auto"/>
              <w:left w:val="single" w:sz="4" w:space="0" w:color="auto"/>
              <w:bottom w:val="single" w:sz="4" w:space="0" w:color="auto"/>
              <w:right w:val="single" w:sz="4" w:space="0" w:color="auto"/>
            </w:tcBorders>
            <w:vAlign w:val="center"/>
            <w:hideMark/>
          </w:tcPr>
          <w:p w14:paraId="13D11294" w14:textId="77777777" w:rsidR="000B1BBB" w:rsidRPr="001D6D10" w:rsidRDefault="000B1BBB">
            <w:pPr>
              <w:widowControl/>
              <w:jc w:val="left"/>
              <w:rPr>
                <w:rFonts w:ascii="HG丸ｺﾞｼｯｸM-PRO" w:eastAsia="HG丸ｺﾞｼｯｸM-PRO" w:hAnsi="HG丸ｺﾞｼｯｸM-PRO"/>
                <w:sz w:val="20"/>
                <w:szCs w:val="20"/>
              </w:rPr>
            </w:pPr>
          </w:p>
        </w:tc>
        <w:tc>
          <w:tcPr>
            <w:tcW w:w="7037" w:type="dxa"/>
            <w:tcBorders>
              <w:top w:val="single" w:sz="4" w:space="0" w:color="auto"/>
              <w:left w:val="single" w:sz="4" w:space="0" w:color="auto"/>
              <w:bottom w:val="single" w:sz="4" w:space="0" w:color="auto"/>
              <w:right w:val="single" w:sz="4" w:space="0" w:color="auto"/>
            </w:tcBorders>
            <w:hideMark/>
          </w:tcPr>
          <w:p w14:paraId="56C271AF" w14:textId="77777777" w:rsidR="000B1BBB" w:rsidRPr="001D6D10" w:rsidRDefault="000B1BBB">
            <w:pPr>
              <w:rPr>
                <w:rFonts w:ascii="HG丸ｺﾞｼｯｸM-PRO" w:eastAsia="HG丸ｺﾞｼｯｸM-PRO" w:hAnsi="HG丸ｺﾞｼｯｸM-PRO"/>
                <w:szCs w:val="21"/>
              </w:rPr>
            </w:pPr>
            <w:r w:rsidRPr="001D6D10">
              <w:rPr>
                <w:rFonts w:ascii="HG丸ｺﾞｼｯｸM-PRO" w:eastAsia="HG丸ｺﾞｼｯｸM-PRO" w:hAnsi="HG丸ｺﾞｼｯｸM-PRO" w:hint="eastAsia"/>
                <w:szCs w:val="21"/>
              </w:rPr>
              <w:t>□危機管理室からの情報の共有</w:t>
            </w:r>
          </w:p>
          <w:p w14:paraId="7C903012" w14:textId="77777777" w:rsidR="000B1BBB" w:rsidRPr="001D6D10" w:rsidRDefault="000B1BBB">
            <w:pPr>
              <w:rPr>
                <w:rFonts w:ascii="HG丸ｺﾞｼｯｸM-PRO" w:eastAsia="HG丸ｺﾞｼｯｸM-PRO" w:hAnsi="HG丸ｺﾞｼｯｸM-PRO"/>
                <w:szCs w:val="21"/>
              </w:rPr>
            </w:pPr>
            <w:r w:rsidRPr="001D6D10">
              <w:rPr>
                <w:rFonts w:ascii="HG丸ｺﾞｼｯｸM-PRO" w:eastAsia="HG丸ｺﾞｼｯｸM-PRO" w:hAnsi="HG丸ｺﾞｼｯｸM-PRO" w:hint="eastAsia"/>
                <w:szCs w:val="21"/>
              </w:rPr>
              <w:t>□施設の点検確認</w:t>
            </w:r>
          </w:p>
          <w:p w14:paraId="42911927" w14:textId="77777777" w:rsidR="000B1BBB" w:rsidRPr="001D6D10" w:rsidRDefault="000B1BBB">
            <w:pPr>
              <w:ind w:left="211" w:hangingChars="100" w:hanging="211"/>
              <w:rPr>
                <w:rFonts w:ascii="HG丸ｺﾞｼｯｸM-PRO" w:eastAsia="HG丸ｺﾞｼｯｸM-PRO" w:hAnsi="HG丸ｺﾞｼｯｸM-PRO"/>
                <w:szCs w:val="21"/>
              </w:rPr>
            </w:pPr>
            <w:r w:rsidRPr="001D6D10">
              <w:rPr>
                <w:rFonts w:ascii="HG丸ｺﾞｼｯｸM-PRO" w:eastAsia="HG丸ｺﾞｼｯｸM-PRO" w:hAnsi="HG丸ｺﾞｼｯｸM-PRO" w:hint="eastAsia"/>
                <w:szCs w:val="21"/>
              </w:rPr>
              <w:t>□箕面・彩都・りんくうタウン府有地の安全確認【戦略拠点開発課・タウ</w:t>
            </w:r>
          </w:p>
          <w:p w14:paraId="537EB553" w14:textId="77777777" w:rsidR="000B1BBB" w:rsidRPr="001D6D10" w:rsidRDefault="000B1BBB">
            <w:pPr>
              <w:ind w:leftChars="100" w:left="211"/>
              <w:rPr>
                <w:rFonts w:ascii="HG丸ｺﾞｼｯｸM-PRO" w:eastAsia="HG丸ｺﾞｼｯｸM-PRO" w:hAnsi="HG丸ｺﾞｼｯｸM-PRO"/>
                <w:szCs w:val="21"/>
              </w:rPr>
            </w:pPr>
            <w:r w:rsidRPr="001D6D10">
              <w:rPr>
                <w:rFonts w:ascii="HG丸ｺﾞｼｯｸM-PRO" w:eastAsia="HG丸ｺﾞｼｯｸM-PRO" w:hAnsi="HG丸ｺﾞｼｯｸM-PRO" w:hint="eastAsia"/>
                <w:szCs w:val="21"/>
              </w:rPr>
              <w:t>ン推進課】</w:t>
            </w:r>
          </w:p>
        </w:tc>
      </w:tr>
      <w:tr w:rsidR="001D6D10" w:rsidRPr="001D6D10" w14:paraId="6BAEA65F" w14:textId="77777777" w:rsidTr="000B1BBB">
        <w:tc>
          <w:tcPr>
            <w:tcW w:w="1457" w:type="dxa"/>
            <w:vMerge w:val="restart"/>
            <w:tcBorders>
              <w:top w:val="single" w:sz="4" w:space="0" w:color="auto"/>
              <w:left w:val="single" w:sz="4" w:space="0" w:color="auto"/>
              <w:bottom w:val="single" w:sz="4" w:space="0" w:color="auto"/>
              <w:right w:val="single" w:sz="4" w:space="0" w:color="auto"/>
            </w:tcBorders>
          </w:tcPr>
          <w:p w14:paraId="58DFA93F" w14:textId="77777777" w:rsidR="000B1BBB" w:rsidRPr="001D6D10" w:rsidRDefault="000B1BBB">
            <w:pPr>
              <w:rPr>
                <w:rFonts w:ascii="HG丸ｺﾞｼｯｸM-PRO" w:eastAsia="HG丸ｺﾞｼｯｸM-PRO" w:hAnsi="HG丸ｺﾞｼｯｸM-PRO"/>
                <w:szCs w:val="21"/>
              </w:rPr>
            </w:pPr>
          </w:p>
          <w:p w14:paraId="176CBECA" w14:textId="77777777" w:rsidR="000B1BBB" w:rsidRPr="001D6D10" w:rsidRDefault="000B1BBB">
            <w:pPr>
              <w:rPr>
                <w:rFonts w:ascii="HG丸ｺﾞｼｯｸM-PRO" w:eastAsia="HG丸ｺﾞｼｯｸM-PRO" w:hAnsi="HG丸ｺﾞｼｯｸM-PRO"/>
                <w:szCs w:val="21"/>
              </w:rPr>
            </w:pPr>
          </w:p>
          <w:p w14:paraId="41E00A3F" w14:textId="77777777" w:rsidR="000B1BBB" w:rsidRPr="001D6D10" w:rsidRDefault="000B1BBB">
            <w:pPr>
              <w:rPr>
                <w:rFonts w:ascii="HG丸ｺﾞｼｯｸM-PRO" w:eastAsia="HG丸ｺﾞｼｯｸM-PRO" w:hAnsi="HG丸ｺﾞｼｯｸM-PRO"/>
                <w:szCs w:val="21"/>
              </w:rPr>
            </w:pPr>
          </w:p>
          <w:p w14:paraId="4AF5FBF0" w14:textId="77777777" w:rsidR="000B1BBB" w:rsidRPr="001D6D10" w:rsidRDefault="000B1BBB">
            <w:pPr>
              <w:rPr>
                <w:rFonts w:ascii="HG丸ｺﾞｼｯｸM-PRO" w:eastAsia="HG丸ｺﾞｼｯｸM-PRO" w:hAnsi="HG丸ｺﾞｼｯｸM-PRO"/>
                <w:szCs w:val="21"/>
              </w:rPr>
            </w:pPr>
          </w:p>
          <w:p w14:paraId="59CEF2FD" w14:textId="77777777" w:rsidR="000B1BBB" w:rsidRPr="001D6D10" w:rsidRDefault="000B1BBB">
            <w:pPr>
              <w:rPr>
                <w:rFonts w:ascii="HG丸ｺﾞｼｯｸM-PRO" w:eastAsia="HG丸ｺﾞｼｯｸM-PRO" w:hAnsi="HG丸ｺﾞｼｯｸM-PRO"/>
                <w:szCs w:val="21"/>
              </w:rPr>
            </w:pPr>
          </w:p>
          <w:p w14:paraId="734CB4B7" w14:textId="77777777" w:rsidR="000B1BBB" w:rsidRPr="001D6D10" w:rsidRDefault="000B1BBB">
            <w:pPr>
              <w:rPr>
                <w:rFonts w:ascii="HG丸ｺﾞｼｯｸM-PRO" w:eastAsia="HG丸ｺﾞｼｯｸM-PRO" w:hAnsi="HG丸ｺﾞｼｯｸM-PRO"/>
                <w:szCs w:val="21"/>
              </w:rPr>
            </w:pPr>
          </w:p>
          <w:p w14:paraId="60BDC465" w14:textId="77777777" w:rsidR="000B1BBB" w:rsidRPr="001D6D10" w:rsidRDefault="000B1BBB">
            <w:pPr>
              <w:rPr>
                <w:rFonts w:ascii="HG丸ｺﾞｼｯｸM-PRO" w:eastAsia="HG丸ｺﾞｼｯｸM-PRO" w:hAnsi="HG丸ｺﾞｼｯｸM-PRO"/>
                <w:szCs w:val="21"/>
              </w:rPr>
            </w:pPr>
            <w:r w:rsidRPr="001D6D10">
              <w:rPr>
                <w:rFonts w:ascii="HG丸ｺﾞｼｯｸM-PRO" w:eastAsia="HG丸ｺﾞｼｯｸM-PRO" w:hAnsi="HG丸ｺﾞｼｯｸM-PRO"/>
                <w:szCs w:val="21"/>
              </w:rPr>
              <w:t>48ｈ前～</w:t>
            </w:r>
          </w:p>
          <w:p w14:paraId="6B243087" w14:textId="77777777" w:rsidR="000B1BBB" w:rsidRPr="001D6D10" w:rsidRDefault="000B1BBB">
            <w:pPr>
              <w:rPr>
                <w:rFonts w:ascii="HG丸ｺﾞｼｯｸM-PRO" w:eastAsia="HG丸ｺﾞｼｯｸM-PRO" w:hAnsi="HG丸ｺﾞｼｯｸM-PRO"/>
                <w:szCs w:val="21"/>
              </w:rPr>
            </w:pPr>
            <w:r w:rsidRPr="001D6D10">
              <w:rPr>
                <w:rFonts w:ascii="HG丸ｺﾞｼｯｸM-PRO" w:eastAsia="HG丸ｺﾞｼｯｸM-PRO" w:hAnsi="HG丸ｺﾞｼｯｸM-PRO" w:hint="eastAsia"/>
                <w:szCs w:val="21"/>
              </w:rPr>
              <w:t xml:space="preserve">　　</w:t>
            </w:r>
            <w:r w:rsidRPr="001D6D10">
              <w:rPr>
                <w:rFonts w:ascii="HG丸ｺﾞｼｯｸM-PRO" w:eastAsia="HG丸ｺﾞｼｯｸM-PRO" w:hAnsi="HG丸ｺﾞｼｯｸM-PRO"/>
                <w:szCs w:val="21"/>
              </w:rPr>
              <w:t>24ｈ前</w:t>
            </w:r>
          </w:p>
          <w:p w14:paraId="6666A313" w14:textId="77777777" w:rsidR="000B1BBB" w:rsidRPr="001D6D10" w:rsidRDefault="000B1BBB">
            <w:pPr>
              <w:rPr>
                <w:rFonts w:ascii="HG丸ｺﾞｼｯｸM-PRO" w:eastAsia="HG丸ｺﾞｼｯｸM-PRO" w:hAnsi="HG丸ｺﾞｼｯｸM-PRO"/>
                <w:szCs w:val="21"/>
              </w:rPr>
            </w:pPr>
            <w:r w:rsidRPr="001D6D10">
              <w:rPr>
                <w:rFonts w:ascii="HG丸ｺﾞｼｯｸM-PRO" w:eastAsia="HG丸ｺﾞｼｯｸM-PRO" w:hAnsi="HG丸ｺﾞｼｯｸM-PRO" w:hint="eastAsia"/>
                <w:szCs w:val="21"/>
              </w:rPr>
              <w:t>（２日前）</w:t>
            </w:r>
          </w:p>
        </w:tc>
        <w:tc>
          <w:tcPr>
            <w:tcW w:w="7037" w:type="dxa"/>
            <w:tcBorders>
              <w:top w:val="single" w:sz="4" w:space="0" w:color="auto"/>
              <w:left w:val="single" w:sz="4" w:space="0" w:color="auto"/>
              <w:bottom w:val="single" w:sz="4" w:space="0" w:color="auto"/>
              <w:right w:val="single" w:sz="4" w:space="0" w:color="auto"/>
            </w:tcBorders>
            <w:hideMark/>
          </w:tcPr>
          <w:p w14:paraId="0A8B0FCF" w14:textId="77777777" w:rsidR="000B1BBB" w:rsidRPr="001D6D10" w:rsidRDefault="000B1BBB">
            <w:pPr>
              <w:rPr>
                <w:rFonts w:ascii="HG丸ｺﾞｼｯｸM-PRO" w:eastAsia="HG丸ｺﾞｼｯｸM-PRO" w:hAnsi="HG丸ｺﾞｼｯｸM-PRO"/>
                <w:sz w:val="18"/>
                <w:szCs w:val="18"/>
              </w:rPr>
            </w:pPr>
            <w:r w:rsidRPr="001D6D10">
              <w:rPr>
                <w:rFonts w:ascii="HG丸ｺﾞｼｯｸM-PRO" w:eastAsia="HG丸ｺﾞｼｯｸM-PRO" w:hAnsi="HG丸ｺﾞｼｯｸM-PRO" w:hint="eastAsia"/>
                <w:szCs w:val="21"/>
              </w:rPr>
              <w:t>庁内連絡会議①：災害モード宣言の内容、第</w:t>
            </w:r>
            <w:r w:rsidRPr="001D6D10">
              <w:rPr>
                <w:rFonts w:ascii="HG丸ｺﾞｼｯｸM-PRO" w:eastAsia="HG丸ｺﾞｼｯｸM-PRO" w:hAnsi="HG丸ｺﾞｼｯｸM-PRO"/>
                <w:szCs w:val="21"/>
              </w:rPr>
              <w:t>1回災害警戒本部会議の事前調整等</w:t>
            </w:r>
            <w:r w:rsidRPr="001D6D10">
              <w:rPr>
                <w:rFonts w:ascii="HG丸ｺﾞｼｯｸM-PRO" w:eastAsia="HG丸ｺﾞｼｯｸM-PRO" w:hAnsi="HG丸ｺﾞｼｯｸM-PRO"/>
                <w:sz w:val="18"/>
                <w:szCs w:val="18"/>
              </w:rPr>
              <w:t>(警戒本部会議議題：管理施設の休館及び学校休校の検討、イベント等の中止検討、職員の配備態勢)</w:t>
            </w:r>
          </w:p>
          <w:p w14:paraId="13EA2E00" w14:textId="77777777" w:rsidR="000B1BBB" w:rsidRPr="001D6D10" w:rsidRDefault="000B1BBB">
            <w:pPr>
              <w:rPr>
                <w:rFonts w:ascii="HG丸ｺﾞｼｯｸM-PRO" w:eastAsia="HG丸ｺﾞｼｯｸM-PRO" w:hAnsi="HG丸ｺﾞｼｯｸM-PRO"/>
                <w:szCs w:val="21"/>
              </w:rPr>
            </w:pPr>
            <w:r w:rsidRPr="001D6D10">
              <w:rPr>
                <w:rFonts w:ascii="HG丸ｺﾞｼｯｸM-PRO" w:eastAsia="HG丸ｺﾞｼｯｸM-PRO" w:hAnsi="HG丸ｺﾞｼｯｸM-PRO" w:hint="eastAsia"/>
                <w:szCs w:val="21"/>
              </w:rPr>
              <w:t>□第１回災害警戒本部会議の事前準備</w:t>
            </w:r>
          </w:p>
          <w:p w14:paraId="19F37983" w14:textId="77777777" w:rsidR="000B1BBB" w:rsidRPr="001D6D10" w:rsidRDefault="000B1BBB">
            <w:pPr>
              <w:rPr>
                <w:rFonts w:ascii="HG丸ｺﾞｼｯｸM-PRO" w:eastAsia="HG丸ｺﾞｼｯｸM-PRO" w:hAnsi="HG丸ｺﾞｼｯｸM-PRO"/>
                <w:szCs w:val="21"/>
              </w:rPr>
            </w:pPr>
            <w:r w:rsidRPr="001D6D10">
              <w:rPr>
                <w:rFonts w:ascii="HG丸ｺﾞｼｯｸM-PRO" w:eastAsia="HG丸ｺﾞｼｯｸM-PRO" w:hAnsi="HG丸ｺﾞｼｯｸM-PRO" w:hint="eastAsia"/>
                <w:szCs w:val="21"/>
              </w:rPr>
              <w:t xml:space="preserve">　・部局内の対応状況の確認、会議での報告のとりまとめ</w:t>
            </w:r>
          </w:p>
          <w:p w14:paraId="2C896351" w14:textId="77777777" w:rsidR="000B1BBB" w:rsidRPr="001D6D10" w:rsidRDefault="000B1BBB">
            <w:pPr>
              <w:rPr>
                <w:rFonts w:ascii="HG丸ｺﾞｼｯｸM-PRO" w:eastAsia="HG丸ｺﾞｼｯｸM-PRO" w:hAnsi="HG丸ｺﾞｼｯｸM-PRO"/>
                <w:szCs w:val="21"/>
              </w:rPr>
            </w:pPr>
            <w:r w:rsidRPr="001D6D10">
              <w:rPr>
                <w:rFonts w:ascii="HG丸ｺﾞｼｯｸM-PRO" w:eastAsia="HG丸ｺﾞｼｯｸM-PRO" w:hAnsi="HG丸ｺﾞｼｯｸM-PRO" w:hint="eastAsia"/>
                <w:szCs w:val="21"/>
              </w:rPr>
              <w:t xml:space="preserve">　・庁舎・所管施設の安全確認</w:t>
            </w:r>
          </w:p>
          <w:p w14:paraId="2DB3F444" w14:textId="77777777" w:rsidR="000B1BBB" w:rsidRPr="001D6D10" w:rsidRDefault="000B1BBB">
            <w:pPr>
              <w:rPr>
                <w:rFonts w:ascii="HG丸ｺﾞｼｯｸM-PRO" w:eastAsia="HG丸ｺﾞｼｯｸM-PRO" w:hAnsi="HG丸ｺﾞｼｯｸM-PRO"/>
                <w:szCs w:val="21"/>
                <w:u w:val="single"/>
              </w:rPr>
            </w:pPr>
            <w:r w:rsidRPr="001D6D10">
              <w:rPr>
                <w:rFonts w:ascii="HG丸ｺﾞｼｯｸM-PRO" w:eastAsia="HG丸ｺﾞｼｯｸM-PRO" w:hAnsi="HG丸ｺﾞｼｯｸM-PRO" w:hint="eastAsia"/>
                <w:szCs w:val="21"/>
                <w:bdr w:val="single" w:sz="4" w:space="0" w:color="auto" w:frame="1"/>
              </w:rPr>
              <w:t>台風説明会</w:t>
            </w:r>
          </w:p>
        </w:tc>
      </w:tr>
      <w:tr w:rsidR="001D6D10" w:rsidRPr="001D6D10" w14:paraId="6208F615" w14:textId="77777777" w:rsidTr="000B1BBB">
        <w:tc>
          <w:tcPr>
            <w:tcW w:w="0" w:type="auto"/>
            <w:vMerge/>
            <w:tcBorders>
              <w:top w:val="single" w:sz="4" w:space="0" w:color="auto"/>
              <w:left w:val="single" w:sz="4" w:space="0" w:color="auto"/>
              <w:bottom w:val="single" w:sz="4" w:space="0" w:color="auto"/>
              <w:right w:val="single" w:sz="4" w:space="0" w:color="auto"/>
            </w:tcBorders>
            <w:vAlign w:val="center"/>
            <w:hideMark/>
          </w:tcPr>
          <w:p w14:paraId="26318A44" w14:textId="77777777" w:rsidR="000B1BBB" w:rsidRPr="001D6D10" w:rsidRDefault="000B1BBB">
            <w:pPr>
              <w:widowControl/>
              <w:jc w:val="left"/>
              <w:rPr>
                <w:rFonts w:ascii="HG丸ｺﾞｼｯｸM-PRO" w:eastAsia="HG丸ｺﾞｼｯｸM-PRO" w:hAnsi="HG丸ｺﾞｼｯｸM-PRO"/>
                <w:szCs w:val="21"/>
              </w:rPr>
            </w:pPr>
          </w:p>
        </w:tc>
        <w:tc>
          <w:tcPr>
            <w:tcW w:w="7037" w:type="dxa"/>
            <w:tcBorders>
              <w:top w:val="single" w:sz="4" w:space="0" w:color="auto"/>
              <w:left w:val="single" w:sz="4" w:space="0" w:color="auto"/>
              <w:bottom w:val="single" w:sz="4" w:space="0" w:color="auto"/>
              <w:right w:val="single" w:sz="4" w:space="0" w:color="auto"/>
            </w:tcBorders>
            <w:hideMark/>
          </w:tcPr>
          <w:p w14:paraId="55922101" w14:textId="77777777" w:rsidR="000B1BBB" w:rsidRPr="001D6D10" w:rsidRDefault="000B1BBB">
            <w:pPr>
              <w:rPr>
                <w:rFonts w:ascii="HG丸ｺﾞｼｯｸM-PRO" w:eastAsia="HG丸ｺﾞｼｯｸM-PRO" w:hAnsi="HG丸ｺﾞｼｯｸM-PRO"/>
                <w:szCs w:val="21"/>
                <w:highlight w:val="yellow"/>
              </w:rPr>
            </w:pPr>
            <w:r w:rsidRPr="001D6D10">
              <w:rPr>
                <w:rFonts w:ascii="HG丸ｺﾞｼｯｸM-PRO" w:eastAsia="HG丸ｺﾞｼｯｸM-PRO" w:hAnsi="HG丸ｺﾞｼｯｸM-PRO" w:hint="eastAsia"/>
                <w:b/>
                <w:szCs w:val="21"/>
                <w:highlight w:val="yellow"/>
              </w:rPr>
              <w:t>第</w:t>
            </w:r>
            <w:r w:rsidRPr="001D6D10">
              <w:rPr>
                <w:rFonts w:ascii="HG丸ｺﾞｼｯｸM-PRO" w:eastAsia="HG丸ｺﾞｼｯｸM-PRO" w:hAnsi="HG丸ｺﾞｼｯｸM-PRO"/>
                <w:b/>
                <w:szCs w:val="21"/>
                <w:highlight w:val="yellow"/>
              </w:rPr>
              <w:t>1回災害警戒本部会議</w:t>
            </w:r>
            <w:r w:rsidRPr="001D6D10">
              <w:rPr>
                <w:rFonts w:ascii="HG丸ｺﾞｼｯｸM-PRO" w:eastAsia="HG丸ｺﾞｼｯｸM-PRO" w:hAnsi="HG丸ｺﾞｼｯｸM-PRO" w:hint="eastAsia"/>
                <w:szCs w:val="21"/>
                <w:highlight w:val="yellow"/>
              </w:rPr>
              <w:t>（災害モード宣言の内容検討）（Ｐ</w:t>
            </w:r>
            <w:r w:rsidRPr="001D6D10">
              <w:rPr>
                <w:rFonts w:ascii="HG丸ｺﾞｼｯｸM-PRO" w:eastAsia="HG丸ｺﾞｼｯｸM-PRO" w:hAnsi="HG丸ｺﾞｼｯｸM-PRO"/>
                <w:szCs w:val="21"/>
                <w:highlight w:val="yellow"/>
              </w:rPr>
              <w:t>47参照）</w:t>
            </w:r>
          </w:p>
        </w:tc>
      </w:tr>
      <w:tr w:rsidR="001D6D10" w:rsidRPr="001D6D10" w14:paraId="290899E8" w14:textId="77777777" w:rsidTr="000B1BBB">
        <w:tc>
          <w:tcPr>
            <w:tcW w:w="0" w:type="auto"/>
            <w:vMerge/>
            <w:tcBorders>
              <w:top w:val="single" w:sz="4" w:space="0" w:color="auto"/>
              <w:left w:val="single" w:sz="4" w:space="0" w:color="auto"/>
              <w:bottom w:val="single" w:sz="4" w:space="0" w:color="auto"/>
              <w:right w:val="single" w:sz="4" w:space="0" w:color="auto"/>
            </w:tcBorders>
            <w:vAlign w:val="center"/>
            <w:hideMark/>
          </w:tcPr>
          <w:p w14:paraId="0CD571DA" w14:textId="77777777" w:rsidR="000B1BBB" w:rsidRPr="001D6D10" w:rsidRDefault="000B1BBB">
            <w:pPr>
              <w:widowControl/>
              <w:jc w:val="left"/>
              <w:rPr>
                <w:rFonts w:ascii="HG丸ｺﾞｼｯｸM-PRO" w:eastAsia="HG丸ｺﾞｼｯｸM-PRO" w:hAnsi="HG丸ｺﾞｼｯｸM-PRO"/>
                <w:szCs w:val="21"/>
              </w:rPr>
            </w:pPr>
          </w:p>
        </w:tc>
        <w:tc>
          <w:tcPr>
            <w:tcW w:w="7037" w:type="dxa"/>
            <w:tcBorders>
              <w:top w:val="single" w:sz="4" w:space="0" w:color="auto"/>
              <w:left w:val="single" w:sz="4" w:space="0" w:color="auto"/>
              <w:bottom w:val="single" w:sz="4" w:space="0" w:color="auto"/>
              <w:right w:val="single" w:sz="4" w:space="0" w:color="auto"/>
            </w:tcBorders>
            <w:hideMark/>
          </w:tcPr>
          <w:p w14:paraId="737D7316" w14:textId="77777777" w:rsidR="000B1BBB" w:rsidRPr="001D6D10" w:rsidRDefault="000B1BBB">
            <w:pPr>
              <w:rPr>
                <w:rFonts w:ascii="HG丸ｺﾞｼｯｸM-PRO" w:eastAsia="HG丸ｺﾞｼｯｸM-PRO" w:hAnsi="HG丸ｺﾞｼｯｸM-PRO"/>
                <w:szCs w:val="21"/>
              </w:rPr>
            </w:pPr>
            <w:r w:rsidRPr="001D6D10">
              <w:rPr>
                <w:rFonts w:ascii="HG丸ｺﾞｼｯｸM-PRO" w:eastAsia="HG丸ｺﾞｼｯｸM-PRO" w:hAnsi="HG丸ｺﾞｼｯｸM-PRO" w:hint="eastAsia"/>
                <w:szCs w:val="21"/>
              </w:rPr>
              <w:t>□危機管理室からの情報の共有</w:t>
            </w:r>
          </w:p>
          <w:p w14:paraId="2EB50A5B" w14:textId="77777777" w:rsidR="000B1BBB" w:rsidRPr="001D6D10" w:rsidRDefault="000B1BBB">
            <w:pPr>
              <w:rPr>
                <w:rFonts w:ascii="HG丸ｺﾞｼｯｸM-PRO" w:eastAsia="HG丸ｺﾞｼｯｸM-PRO" w:hAnsi="HG丸ｺﾞｼｯｸM-PRO"/>
                <w:szCs w:val="21"/>
              </w:rPr>
            </w:pPr>
            <w:r w:rsidRPr="001D6D10">
              <w:rPr>
                <w:rFonts w:ascii="HG丸ｺﾞｼｯｸM-PRO" w:eastAsia="HG丸ｺﾞｼｯｸM-PRO" w:hAnsi="HG丸ｺﾞｼｯｸM-PRO" w:hint="eastAsia"/>
                <w:szCs w:val="21"/>
              </w:rPr>
              <w:t>□箕面・彩都・りんくうタウン、阪南スカイタウンの府有地の安全確認</w:t>
            </w:r>
          </w:p>
          <w:p w14:paraId="725B062B" w14:textId="77777777" w:rsidR="000B1BBB" w:rsidRPr="001D6D10" w:rsidRDefault="000B1BBB">
            <w:pPr>
              <w:rPr>
                <w:rFonts w:ascii="HG丸ｺﾞｼｯｸM-PRO" w:eastAsia="HG丸ｺﾞｼｯｸM-PRO" w:hAnsi="HG丸ｺﾞｼｯｸM-PRO"/>
                <w:szCs w:val="21"/>
              </w:rPr>
            </w:pPr>
            <w:r w:rsidRPr="001D6D10">
              <w:rPr>
                <w:rFonts w:ascii="HG丸ｺﾞｼｯｸM-PRO" w:eastAsia="HG丸ｺﾞｼｯｸM-PRO" w:hAnsi="HG丸ｺﾞｼｯｸM-PRO" w:hint="eastAsia"/>
                <w:szCs w:val="21"/>
              </w:rPr>
              <w:t xml:space="preserve">　【戦略拠点開発課・タウン推進課】</w:t>
            </w:r>
          </w:p>
        </w:tc>
      </w:tr>
      <w:tr w:rsidR="001D6D10" w:rsidRPr="001D6D10" w14:paraId="11EF8DF0" w14:textId="77777777" w:rsidTr="000B1BBB">
        <w:tc>
          <w:tcPr>
            <w:tcW w:w="1457" w:type="dxa"/>
            <w:vMerge w:val="restart"/>
            <w:tcBorders>
              <w:top w:val="single" w:sz="4" w:space="0" w:color="auto"/>
              <w:left w:val="single" w:sz="4" w:space="0" w:color="auto"/>
              <w:bottom w:val="single" w:sz="4" w:space="0" w:color="auto"/>
              <w:right w:val="single" w:sz="4" w:space="0" w:color="auto"/>
            </w:tcBorders>
          </w:tcPr>
          <w:p w14:paraId="4A051D8A" w14:textId="77777777" w:rsidR="000B1BBB" w:rsidRPr="001D6D10" w:rsidRDefault="000B1BBB">
            <w:pPr>
              <w:rPr>
                <w:rFonts w:ascii="HG丸ｺﾞｼｯｸM-PRO" w:eastAsia="HG丸ｺﾞｼｯｸM-PRO" w:hAnsi="HG丸ｺﾞｼｯｸM-PRO"/>
                <w:szCs w:val="21"/>
              </w:rPr>
            </w:pPr>
          </w:p>
          <w:p w14:paraId="414B232E" w14:textId="77777777" w:rsidR="000B1BBB" w:rsidRPr="001D6D10" w:rsidRDefault="000B1BBB">
            <w:pPr>
              <w:rPr>
                <w:rFonts w:ascii="HG丸ｺﾞｼｯｸM-PRO" w:eastAsia="HG丸ｺﾞｼｯｸM-PRO" w:hAnsi="HG丸ｺﾞｼｯｸM-PRO"/>
                <w:szCs w:val="21"/>
              </w:rPr>
            </w:pPr>
            <w:r w:rsidRPr="001D6D10">
              <w:rPr>
                <w:rFonts w:ascii="HG丸ｺﾞｼｯｸM-PRO" w:eastAsia="HG丸ｺﾞｼｯｸM-PRO" w:hAnsi="HG丸ｺﾞｼｯｸM-PRO"/>
                <w:szCs w:val="21"/>
              </w:rPr>
              <w:t>24ｈ前～</w:t>
            </w:r>
          </w:p>
          <w:p w14:paraId="7A9172B3" w14:textId="77777777" w:rsidR="000B1BBB" w:rsidRPr="001D6D10" w:rsidRDefault="000B1BBB">
            <w:pPr>
              <w:rPr>
                <w:rFonts w:ascii="HG丸ｺﾞｼｯｸM-PRO" w:eastAsia="HG丸ｺﾞｼｯｸM-PRO" w:hAnsi="HG丸ｺﾞｼｯｸM-PRO"/>
                <w:szCs w:val="21"/>
              </w:rPr>
            </w:pPr>
            <w:r w:rsidRPr="001D6D10">
              <w:rPr>
                <w:rFonts w:ascii="HG丸ｺﾞｼｯｸM-PRO" w:eastAsia="HG丸ｺﾞｼｯｸM-PRO" w:hAnsi="HG丸ｺﾞｼｯｸM-PRO" w:hint="eastAsia"/>
                <w:szCs w:val="21"/>
              </w:rPr>
              <w:t xml:space="preserve">　　最接近</w:t>
            </w:r>
          </w:p>
          <w:p w14:paraId="38EA38CF" w14:textId="77777777" w:rsidR="000B1BBB" w:rsidRPr="001D6D10" w:rsidRDefault="000B1BBB">
            <w:pPr>
              <w:rPr>
                <w:rFonts w:ascii="HG丸ｺﾞｼｯｸM-PRO" w:eastAsia="HG丸ｺﾞｼｯｸM-PRO" w:hAnsi="HG丸ｺﾞｼｯｸM-PRO"/>
                <w:szCs w:val="21"/>
              </w:rPr>
            </w:pPr>
            <w:r w:rsidRPr="001D6D10">
              <w:rPr>
                <w:rFonts w:ascii="HG丸ｺﾞｼｯｸM-PRO" w:eastAsia="HG丸ｺﾞｼｯｸM-PRO" w:hAnsi="HG丸ｺﾞｼｯｸM-PRO" w:hint="eastAsia"/>
                <w:szCs w:val="21"/>
              </w:rPr>
              <w:t>（１日前）</w:t>
            </w:r>
          </w:p>
        </w:tc>
        <w:tc>
          <w:tcPr>
            <w:tcW w:w="7037" w:type="dxa"/>
            <w:tcBorders>
              <w:top w:val="single" w:sz="4" w:space="0" w:color="auto"/>
              <w:left w:val="single" w:sz="4" w:space="0" w:color="auto"/>
              <w:bottom w:val="single" w:sz="4" w:space="0" w:color="auto"/>
              <w:right w:val="single" w:sz="4" w:space="0" w:color="auto"/>
            </w:tcBorders>
            <w:hideMark/>
          </w:tcPr>
          <w:p w14:paraId="0C9239BD" w14:textId="77777777" w:rsidR="000B1BBB" w:rsidRPr="001D6D10" w:rsidRDefault="000B1BBB">
            <w:pPr>
              <w:rPr>
                <w:rFonts w:ascii="HG丸ｺﾞｼｯｸM-PRO" w:eastAsia="HG丸ｺﾞｼｯｸM-PRO" w:hAnsi="HG丸ｺﾞｼｯｸM-PRO"/>
                <w:szCs w:val="21"/>
              </w:rPr>
            </w:pPr>
            <w:r w:rsidRPr="001D6D10">
              <w:rPr>
                <w:rFonts w:ascii="HG丸ｺﾞｼｯｸM-PRO" w:eastAsia="HG丸ｺﾞｼｯｸM-PRO" w:hAnsi="HG丸ｺﾞｼｯｸM-PRO" w:hint="eastAsia"/>
                <w:szCs w:val="21"/>
              </w:rPr>
              <w:t>庁内連絡会議②：第</w:t>
            </w:r>
            <w:r w:rsidRPr="001D6D10">
              <w:rPr>
                <w:rFonts w:ascii="HG丸ｺﾞｼｯｸM-PRO" w:eastAsia="HG丸ｺﾞｼｯｸM-PRO" w:hAnsi="HG丸ｺﾞｼｯｸM-PRO"/>
                <w:szCs w:val="21"/>
              </w:rPr>
              <w:t>2回災害警戒本部会議の事前調整等</w:t>
            </w:r>
          </w:p>
          <w:p w14:paraId="60BDC7A6" w14:textId="77777777" w:rsidR="000B1BBB" w:rsidRPr="001D6D10" w:rsidRDefault="000B1BBB">
            <w:pPr>
              <w:rPr>
                <w:rFonts w:ascii="HG丸ｺﾞｼｯｸM-PRO" w:eastAsia="HG丸ｺﾞｼｯｸM-PRO" w:hAnsi="HG丸ｺﾞｼｯｸM-PRO"/>
                <w:szCs w:val="21"/>
              </w:rPr>
            </w:pPr>
            <w:r w:rsidRPr="001D6D10">
              <w:rPr>
                <w:rFonts w:ascii="HG丸ｺﾞｼｯｸM-PRO" w:eastAsia="HG丸ｺﾞｼｯｸM-PRO" w:hAnsi="HG丸ｺﾞｼｯｸM-PRO" w:hint="eastAsia"/>
                <w:szCs w:val="21"/>
              </w:rPr>
              <w:t>□第２回災害警戒本部会議の事前準備</w:t>
            </w:r>
          </w:p>
          <w:p w14:paraId="6BA109C9" w14:textId="77777777" w:rsidR="000B1BBB" w:rsidRPr="001D6D10" w:rsidRDefault="000B1BBB">
            <w:pPr>
              <w:rPr>
                <w:rFonts w:ascii="HG丸ｺﾞｼｯｸM-PRO" w:eastAsia="HG丸ｺﾞｼｯｸM-PRO" w:hAnsi="HG丸ｺﾞｼｯｸM-PRO"/>
                <w:szCs w:val="21"/>
              </w:rPr>
            </w:pPr>
            <w:r w:rsidRPr="001D6D10">
              <w:rPr>
                <w:rFonts w:ascii="HG丸ｺﾞｼｯｸM-PRO" w:eastAsia="HG丸ｺﾞｼｯｸM-PRO" w:hAnsi="HG丸ｺﾞｼｯｸM-PRO" w:hint="eastAsia"/>
                <w:szCs w:val="21"/>
              </w:rPr>
              <w:t xml:space="preserve">　・部局内の対応状況の確認、会議での報告のとりまとめ</w:t>
            </w:r>
          </w:p>
          <w:p w14:paraId="1C016619" w14:textId="77777777" w:rsidR="000B1BBB" w:rsidRPr="001D6D10" w:rsidRDefault="000B1BBB">
            <w:pPr>
              <w:rPr>
                <w:rFonts w:ascii="HG丸ｺﾞｼｯｸM-PRO" w:eastAsia="HG丸ｺﾞｼｯｸM-PRO" w:hAnsi="HG丸ｺﾞｼｯｸM-PRO"/>
                <w:szCs w:val="21"/>
              </w:rPr>
            </w:pPr>
            <w:r w:rsidRPr="001D6D10">
              <w:rPr>
                <w:rFonts w:ascii="HG丸ｺﾞｼｯｸM-PRO" w:eastAsia="HG丸ｺﾞｼｯｸM-PRO" w:hAnsi="HG丸ｺﾞｼｯｸM-PRO" w:hint="eastAsia"/>
                <w:szCs w:val="21"/>
              </w:rPr>
              <w:t xml:space="preserve">　・庁舎・所管施設の安全点検</w:t>
            </w:r>
          </w:p>
          <w:p w14:paraId="7CB68D24" w14:textId="77777777" w:rsidR="000B1BBB" w:rsidRPr="001D6D10" w:rsidRDefault="000B1BBB">
            <w:pPr>
              <w:rPr>
                <w:rFonts w:ascii="HG丸ｺﾞｼｯｸM-PRO" w:eastAsia="HG丸ｺﾞｼｯｸM-PRO" w:hAnsi="HG丸ｺﾞｼｯｸM-PRO"/>
                <w:szCs w:val="21"/>
              </w:rPr>
            </w:pPr>
            <w:r w:rsidRPr="001D6D10">
              <w:rPr>
                <w:rFonts w:ascii="HG丸ｺﾞｼｯｸM-PRO" w:eastAsia="HG丸ｺﾞｼｯｸM-PRO" w:hAnsi="HG丸ｺﾞｼｯｸM-PRO" w:hint="eastAsia"/>
                <w:szCs w:val="21"/>
                <w:bdr w:val="single" w:sz="4" w:space="0" w:color="auto" w:frame="1"/>
              </w:rPr>
              <w:t>台風説明会</w:t>
            </w:r>
          </w:p>
          <w:p w14:paraId="0251A9E6" w14:textId="77777777" w:rsidR="000B1BBB" w:rsidRPr="001D6D10" w:rsidRDefault="000B1BBB">
            <w:pPr>
              <w:rPr>
                <w:rFonts w:ascii="HG丸ｺﾞｼｯｸM-PRO" w:eastAsia="HG丸ｺﾞｼｯｸM-PRO" w:hAnsi="HG丸ｺﾞｼｯｸM-PRO"/>
                <w:szCs w:val="21"/>
                <w:u w:val="single"/>
              </w:rPr>
            </w:pPr>
            <w:r w:rsidRPr="001D6D10">
              <w:rPr>
                <w:rFonts w:ascii="HG丸ｺﾞｼｯｸM-PRO" w:eastAsia="HG丸ｺﾞｼｯｸM-PRO" w:hAnsi="HG丸ｺﾞｼｯｸM-PRO" w:hint="eastAsia"/>
                <w:szCs w:val="21"/>
              </w:rPr>
              <w:t xml:space="preserve">　・公共交通機関計画運休の確認。職員体制の確認・確保</w:t>
            </w:r>
          </w:p>
        </w:tc>
      </w:tr>
      <w:tr w:rsidR="001D6D10" w:rsidRPr="001D6D10" w14:paraId="1612FE61" w14:textId="77777777" w:rsidTr="000B1BBB">
        <w:tc>
          <w:tcPr>
            <w:tcW w:w="0" w:type="auto"/>
            <w:vMerge/>
            <w:tcBorders>
              <w:top w:val="single" w:sz="4" w:space="0" w:color="auto"/>
              <w:left w:val="single" w:sz="4" w:space="0" w:color="auto"/>
              <w:bottom w:val="single" w:sz="4" w:space="0" w:color="auto"/>
              <w:right w:val="single" w:sz="4" w:space="0" w:color="auto"/>
            </w:tcBorders>
            <w:vAlign w:val="center"/>
            <w:hideMark/>
          </w:tcPr>
          <w:p w14:paraId="2E24D834" w14:textId="77777777" w:rsidR="000B1BBB" w:rsidRPr="001D6D10" w:rsidRDefault="000B1BBB">
            <w:pPr>
              <w:widowControl/>
              <w:jc w:val="left"/>
              <w:rPr>
                <w:rFonts w:ascii="HG丸ｺﾞｼｯｸM-PRO" w:eastAsia="HG丸ｺﾞｼｯｸM-PRO" w:hAnsi="HG丸ｺﾞｼｯｸM-PRO"/>
                <w:szCs w:val="21"/>
              </w:rPr>
            </w:pPr>
          </w:p>
        </w:tc>
        <w:tc>
          <w:tcPr>
            <w:tcW w:w="7037" w:type="dxa"/>
            <w:tcBorders>
              <w:top w:val="single" w:sz="4" w:space="0" w:color="auto"/>
              <w:left w:val="single" w:sz="4" w:space="0" w:color="auto"/>
              <w:bottom w:val="single" w:sz="4" w:space="0" w:color="auto"/>
              <w:right w:val="single" w:sz="4" w:space="0" w:color="auto"/>
            </w:tcBorders>
            <w:hideMark/>
          </w:tcPr>
          <w:p w14:paraId="56870D38" w14:textId="77777777" w:rsidR="000B1BBB" w:rsidRPr="001D6D10" w:rsidRDefault="000B1BBB">
            <w:pPr>
              <w:rPr>
                <w:rFonts w:ascii="HG丸ｺﾞｼｯｸM-PRO" w:eastAsia="HG丸ｺﾞｼｯｸM-PRO" w:hAnsi="HG丸ｺﾞｼｯｸM-PRO"/>
                <w:szCs w:val="21"/>
                <w:highlight w:val="yellow"/>
              </w:rPr>
            </w:pPr>
            <w:r w:rsidRPr="001D6D10">
              <w:rPr>
                <w:rFonts w:ascii="HG丸ｺﾞｼｯｸM-PRO" w:eastAsia="HG丸ｺﾞｼｯｸM-PRO" w:hAnsi="HG丸ｺﾞｼｯｸM-PRO" w:hint="eastAsia"/>
                <w:b/>
                <w:szCs w:val="21"/>
                <w:highlight w:val="yellow"/>
              </w:rPr>
              <w:t>第２回災害警戒本部会議</w:t>
            </w:r>
            <w:r w:rsidRPr="001D6D10">
              <w:rPr>
                <w:rFonts w:ascii="HG丸ｺﾞｼｯｸM-PRO" w:eastAsia="HG丸ｺﾞｼｯｸM-PRO" w:hAnsi="HG丸ｺﾞｼｯｸM-PRO" w:hint="eastAsia"/>
                <w:szCs w:val="21"/>
                <w:highlight w:val="yellow"/>
              </w:rPr>
              <w:t>（災害モード宣言の発信）（Ｐ</w:t>
            </w:r>
            <w:r w:rsidRPr="001D6D10">
              <w:rPr>
                <w:rFonts w:ascii="HG丸ｺﾞｼｯｸM-PRO" w:eastAsia="HG丸ｺﾞｼｯｸM-PRO" w:hAnsi="HG丸ｺﾞｼｯｸM-PRO"/>
                <w:szCs w:val="21"/>
                <w:highlight w:val="yellow"/>
              </w:rPr>
              <w:t>47参照）</w:t>
            </w:r>
          </w:p>
        </w:tc>
      </w:tr>
      <w:tr w:rsidR="001D6D10" w:rsidRPr="001D6D10" w14:paraId="28F7A85D" w14:textId="77777777" w:rsidTr="000B1BBB">
        <w:tc>
          <w:tcPr>
            <w:tcW w:w="0" w:type="auto"/>
            <w:vMerge/>
            <w:tcBorders>
              <w:top w:val="single" w:sz="4" w:space="0" w:color="auto"/>
              <w:left w:val="single" w:sz="4" w:space="0" w:color="auto"/>
              <w:bottom w:val="single" w:sz="4" w:space="0" w:color="auto"/>
              <w:right w:val="single" w:sz="4" w:space="0" w:color="auto"/>
            </w:tcBorders>
            <w:vAlign w:val="center"/>
            <w:hideMark/>
          </w:tcPr>
          <w:p w14:paraId="71B58B54" w14:textId="77777777" w:rsidR="000B1BBB" w:rsidRPr="001D6D10" w:rsidRDefault="000B1BBB">
            <w:pPr>
              <w:widowControl/>
              <w:jc w:val="left"/>
              <w:rPr>
                <w:rFonts w:ascii="HG丸ｺﾞｼｯｸM-PRO" w:eastAsia="HG丸ｺﾞｼｯｸM-PRO" w:hAnsi="HG丸ｺﾞｼｯｸM-PRO"/>
                <w:szCs w:val="21"/>
              </w:rPr>
            </w:pPr>
          </w:p>
        </w:tc>
        <w:tc>
          <w:tcPr>
            <w:tcW w:w="7037" w:type="dxa"/>
            <w:tcBorders>
              <w:top w:val="single" w:sz="4" w:space="0" w:color="auto"/>
              <w:left w:val="single" w:sz="4" w:space="0" w:color="auto"/>
              <w:bottom w:val="single" w:sz="4" w:space="0" w:color="auto"/>
              <w:right w:val="single" w:sz="4" w:space="0" w:color="auto"/>
            </w:tcBorders>
          </w:tcPr>
          <w:p w14:paraId="5CAF0947" w14:textId="77777777" w:rsidR="000B1BBB" w:rsidRPr="001D6D10" w:rsidRDefault="000B1BBB">
            <w:pPr>
              <w:rPr>
                <w:rFonts w:ascii="HG丸ｺﾞｼｯｸM-PRO" w:eastAsia="HG丸ｺﾞｼｯｸM-PRO" w:hAnsi="HG丸ｺﾞｼｯｸM-PRO"/>
                <w:szCs w:val="21"/>
              </w:rPr>
            </w:pPr>
            <w:r w:rsidRPr="001D6D10">
              <w:rPr>
                <w:rFonts w:ascii="HG丸ｺﾞｼｯｸM-PRO" w:eastAsia="HG丸ｺﾞｼｯｸM-PRO" w:hAnsi="HG丸ｺﾞｼｯｸM-PRO" w:hint="eastAsia"/>
                <w:szCs w:val="21"/>
              </w:rPr>
              <w:t>□危機管理室からの情報の共有</w:t>
            </w:r>
          </w:p>
          <w:p w14:paraId="4203DB0F" w14:textId="77777777" w:rsidR="000B1BBB" w:rsidRPr="001D6D10" w:rsidRDefault="000B1BBB">
            <w:pPr>
              <w:rPr>
                <w:rFonts w:ascii="HG丸ｺﾞｼｯｸM-PRO" w:eastAsia="HG丸ｺﾞｼｯｸM-PRO" w:hAnsi="HG丸ｺﾞｼｯｸM-PRO"/>
                <w:szCs w:val="21"/>
              </w:rPr>
            </w:pPr>
          </w:p>
        </w:tc>
      </w:tr>
    </w:tbl>
    <w:p w14:paraId="4002D06D" w14:textId="77777777" w:rsidR="000B1BBB" w:rsidRPr="001D6D10" w:rsidRDefault="000B1BBB" w:rsidP="000B1BBB">
      <w:pPr>
        <w:rPr>
          <w:rFonts w:ascii="HG丸ｺﾞｼｯｸM-PRO" w:eastAsia="HG丸ｺﾞｼｯｸM-PRO" w:hAnsi="HG丸ｺﾞｼｯｸM-PRO"/>
          <w:strike/>
          <w:szCs w:val="21"/>
        </w:rPr>
      </w:pPr>
      <w:r w:rsidRPr="001D6D10">
        <w:rPr>
          <w:rFonts w:ascii="HG丸ｺﾞｼｯｸM-PRO" w:eastAsia="HG丸ｺﾞｼｯｸM-PRO" w:hAnsi="HG丸ｺﾞｼｯｸM-PRO" w:hint="eastAsia"/>
          <w:szCs w:val="21"/>
        </w:rPr>
        <w:t>※主な所管施設：箕面森町・彩都・りんくうタウン等</w:t>
      </w:r>
    </w:p>
    <w:p w14:paraId="4702BADE" w14:textId="77777777" w:rsidR="000B1BBB" w:rsidRPr="001D6D10" w:rsidRDefault="000B1BBB" w:rsidP="000B1BBB">
      <w:pPr>
        <w:rPr>
          <w:rFonts w:ascii="ＭＳ ゴシック" w:eastAsia="ＭＳ ゴシック" w:hAnsi="ＭＳ ゴシック"/>
          <w:sz w:val="18"/>
          <w:szCs w:val="22"/>
        </w:rPr>
      </w:pPr>
      <w:r w:rsidRPr="001D6D10">
        <w:rPr>
          <w:rFonts w:ascii="HG丸ｺﾞｼｯｸM-PRO" w:eastAsia="HG丸ｺﾞｼｯｸM-PRO" w:hAnsi="HG丸ｺﾞｼｯｸM-PRO" w:hint="eastAsia"/>
          <w:szCs w:val="21"/>
        </w:rPr>
        <w:t xml:space="preserve">　　　　</w:t>
      </w:r>
      <w:r w:rsidRPr="001D6D10">
        <w:rPr>
          <w:rFonts w:ascii="ＭＳ ゴシック" w:eastAsia="ＭＳ ゴシック" w:hAnsi="ＭＳ ゴシック" w:hint="eastAsia"/>
          <w:sz w:val="18"/>
          <w:szCs w:val="22"/>
        </w:rPr>
        <w:t>※）本タイムラインから状況に応じて必要な項目を選定し、実施するものとする。</w:t>
      </w:r>
    </w:p>
    <w:p w14:paraId="18E21513" w14:textId="77777777" w:rsidR="006204B6" w:rsidRPr="001D6D10" w:rsidRDefault="006204B6" w:rsidP="00EB20A0">
      <w:pPr>
        <w:rPr>
          <w:rFonts w:ascii="ＭＳ ゴシック" w:eastAsia="ＭＳ ゴシック" w:hAnsi="ＭＳ ゴシック"/>
          <w:sz w:val="18"/>
          <w:szCs w:val="22"/>
        </w:rPr>
      </w:pPr>
    </w:p>
    <w:p w14:paraId="635569ED" w14:textId="77777777" w:rsidR="00930C0D" w:rsidRDefault="00930C0D">
      <w:pPr>
        <w:widowControl/>
        <w:jc w:val="left"/>
        <w:rPr>
          <w:rFonts w:ascii="ＭＳ ゴシック" w:eastAsia="ＭＳ ゴシック" w:hAnsi="ＭＳ ゴシック"/>
          <w:sz w:val="22"/>
          <w:szCs w:val="22"/>
        </w:rPr>
      </w:pPr>
      <w:r>
        <w:rPr>
          <w:rFonts w:ascii="ＭＳ ゴシック" w:eastAsia="ＭＳ ゴシック" w:hAnsi="ＭＳ ゴシック"/>
          <w:sz w:val="22"/>
          <w:szCs w:val="22"/>
        </w:rPr>
        <w:br w:type="page"/>
      </w:r>
    </w:p>
    <w:p w14:paraId="1EEB5C6C" w14:textId="125F0BD3" w:rsidR="0001205E" w:rsidRPr="001D6D10" w:rsidRDefault="006754D0" w:rsidP="0001205E">
      <w:pPr>
        <w:rPr>
          <w:rFonts w:ascii="ＭＳ ゴシック" w:eastAsia="ＭＳ ゴシック" w:hAnsi="ＭＳ ゴシック"/>
          <w:sz w:val="22"/>
          <w:szCs w:val="22"/>
        </w:rPr>
      </w:pPr>
      <w:r w:rsidRPr="001D6D10">
        <w:rPr>
          <w:rFonts w:ascii="ＭＳ ゴシック" w:eastAsia="ＭＳ ゴシック" w:hAnsi="ＭＳ ゴシック" w:hint="eastAsia"/>
          <w:sz w:val="22"/>
          <w:szCs w:val="22"/>
        </w:rPr>
        <w:lastRenderedPageBreak/>
        <w:t>⑭</w:t>
      </w:r>
      <w:r w:rsidR="0001205E" w:rsidRPr="001D6D10">
        <w:rPr>
          <w:rFonts w:ascii="ＭＳ ゴシック" w:eastAsia="ＭＳ ゴシック" w:hAnsi="ＭＳ ゴシック" w:hint="eastAsia"/>
          <w:sz w:val="22"/>
          <w:szCs w:val="22"/>
        </w:rPr>
        <w:t>大阪港湾局</w:t>
      </w:r>
    </w:p>
    <w:tbl>
      <w:tblPr>
        <w:tblpPr w:leftFromText="142" w:rightFromText="142" w:vertAnchor="text" w:tblpXSpec="center" w:tblpY="1"/>
        <w:tblOverlap w:val="neve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57"/>
        <w:gridCol w:w="7037"/>
      </w:tblGrid>
      <w:tr w:rsidR="001D6D10" w:rsidRPr="001D6D10" w14:paraId="37E0F0C3" w14:textId="77777777" w:rsidTr="00F35CFE">
        <w:trPr>
          <w:jc w:val="center"/>
        </w:trPr>
        <w:tc>
          <w:tcPr>
            <w:tcW w:w="1457" w:type="dxa"/>
            <w:tcBorders>
              <w:bottom w:val="single" w:sz="4" w:space="0" w:color="auto"/>
            </w:tcBorders>
            <w:shd w:val="clear" w:color="auto" w:fill="BFBFBF"/>
          </w:tcPr>
          <w:p w14:paraId="464557A0" w14:textId="77777777" w:rsidR="0001205E" w:rsidRPr="001D6D10" w:rsidRDefault="0001205E" w:rsidP="00F35CFE">
            <w:pPr>
              <w:jc w:val="center"/>
              <w:rPr>
                <w:rFonts w:ascii="HG丸ｺﾞｼｯｸM-PRO" w:eastAsia="HG丸ｺﾞｼｯｸM-PRO" w:hAnsi="HG丸ｺﾞｼｯｸM-PRO"/>
                <w:szCs w:val="21"/>
              </w:rPr>
            </w:pPr>
            <w:r w:rsidRPr="001D6D10">
              <w:rPr>
                <w:rFonts w:ascii="HG丸ｺﾞｼｯｸM-PRO" w:eastAsia="HG丸ｺﾞｼｯｸM-PRO" w:hAnsi="HG丸ｺﾞｼｯｸM-PRO" w:hint="eastAsia"/>
                <w:szCs w:val="21"/>
              </w:rPr>
              <w:t>時　期</w:t>
            </w:r>
          </w:p>
        </w:tc>
        <w:tc>
          <w:tcPr>
            <w:tcW w:w="7037" w:type="dxa"/>
            <w:tcBorders>
              <w:bottom w:val="single" w:sz="4" w:space="0" w:color="auto"/>
            </w:tcBorders>
            <w:shd w:val="clear" w:color="auto" w:fill="BFBFBF"/>
          </w:tcPr>
          <w:p w14:paraId="6D3F7E66" w14:textId="77777777" w:rsidR="0001205E" w:rsidRPr="001D6D10" w:rsidRDefault="00E31DA1" w:rsidP="00F35CFE">
            <w:pPr>
              <w:jc w:val="center"/>
              <w:rPr>
                <w:rFonts w:ascii="HG丸ｺﾞｼｯｸM-PRO" w:eastAsia="HG丸ｺﾞｼｯｸM-PRO" w:hAnsi="HG丸ｺﾞｼｯｸM-PRO"/>
                <w:szCs w:val="21"/>
              </w:rPr>
            </w:pPr>
            <w:r w:rsidRPr="001D6D10">
              <w:rPr>
                <w:rFonts w:ascii="HG丸ｺﾞｼｯｸM-PRO" w:eastAsia="HG丸ｺﾞｼｯｸM-PRO" w:hAnsi="HG丸ｺﾞｼｯｸM-PRO" w:hint="eastAsia"/>
                <w:szCs w:val="21"/>
              </w:rPr>
              <w:t>主な事前準備</w:t>
            </w:r>
            <w:r w:rsidR="0001205E" w:rsidRPr="001D6D10">
              <w:rPr>
                <w:rFonts w:ascii="HG丸ｺﾞｼｯｸM-PRO" w:eastAsia="HG丸ｺﾞｼｯｸM-PRO" w:hAnsi="HG丸ｺﾞｼｯｸM-PRO" w:hint="eastAsia"/>
                <w:szCs w:val="21"/>
              </w:rPr>
              <w:t>業務</w:t>
            </w:r>
          </w:p>
        </w:tc>
      </w:tr>
      <w:tr w:rsidR="001D6D10" w:rsidRPr="001D6D10" w14:paraId="355E403B" w14:textId="77777777" w:rsidTr="00F35CFE">
        <w:trPr>
          <w:jc w:val="center"/>
        </w:trPr>
        <w:tc>
          <w:tcPr>
            <w:tcW w:w="1457" w:type="dxa"/>
            <w:vMerge w:val="restart"/>
            <w:shd w:val="clear" w:color="auto" w:fill="FFFFFF" w:themeFill="background1"/>
          </w:tcPr>
          <w:p w14:paraId="4B813D49" w14:textId="77777777" w:rsidR="00934E60" w:rsidRPr="001D6D10" w:rsidRDefault="00934E60" w:rsidP="00F35CFE">
            <w:pPr>
              <w:jc w:val="center"/>
              <w:rPr>
                <w:rFonts w:ascii="HG丸ｺﾞｼｯｸM-PRO" w:eastAsia="HG丸ｺﾞｼｯｸM-PRO" w:hAnsi="HG丸ｺﾞｼｯｸM-PRO"/>
                <w:szCs w:val="21"/>
              </w:rPr>
            </w:pPr>
          </w:p>
          <w:p w14:paraId="3818E832" w14:textId="77777777" w:rsidR="00934E60" w:rsidRPr="001D6D10" w:rsidRDefault="00934E60" w:rsidP="00F35CFE">
            <w:pPr>
              <w:jc w:val="center"/>
              <w:rPr>
                <w:rFonts w:ascii="HG丸ｺﾞｼｯｸM-PRO" w:eastAsia="HG丸ｺﾞｼｯｸM-PRO" w:hAnsi="HG丸ｺﾞｼｯｸM-PRO"/>
                <w:szCs w:val="21"/>
              </w:rPr>
            </w:pPr>
          </w:p>
          <w:p w14:paraId="2E90955D" w14:textId="77777777" w:rsidR="00934E60" w:rsidRPr="001D6D10" w:rsidRDefault="00934E60" w:rsidP="00F35CFE">
            <w:pPr>
              <w:jc w:val="center"/>
              <w:rPr>
                <w:rFonts w:ascii="HG丸ｺﾞｼｯｸM-PRO" w:eastAsia="HG丸ｺﾞｼｯｸM-PRO" w:hAnsi="HG丸ｺﾞｼｯｸM-PRO"/>
                <w:szCs w:val="21"/>
              </w:rPr>
            </w:pPr>
          </w:p>
          <w:p w14:paraId="7BBEEA65" w14:textId="77777777" w:rsidR="00934E60" w:rsidRPr="001D6D10" w:rsidRDefault="00934E60" w:rsidP="00F35CFE">
            <w:pPr>
              <w:jc w:val="center"/>
              <w:rPr>
                <w:rFonts w:ascii="HG丸ｺﾞｼｯｸM-PRO" w:eastAsia="HG丸ｺﾞｼｯｸM-PRO" w:hAnsi="HG丸ｺﾞｼｯｸM-PRO"/>
                <w:szCs w:val="21"/>
              </w:rPr>
            </w:pPr>
          </w:p>
          <w:p w14:paraId="66332E2F" w14:textId="77777777" w:rsidR="00934E60" w:rsidRPr="001D6D10" w:rsidRDefault="00934E60" w:rsidP="00F35CFE">
            <w:pPr>
              <w:jc w:val="center"/>
              <w:rPr>
                <w:rFonts w:ascii="HG丸ｺﾞｼｯｸM-PRO" w:eastAsia="HG丸ｺﾞｼｯｸM-PRO" w:hAnsi="HG丸ｺﾞｼｯｸM-PRO"/>
                <w:szCs w:val="21"/>
              </w:rPr>
            </w:pPr>
          </w:p>
          <w:p w14:paraId="547FA6E7" w14:textId="77777777" w:rsidR="00934E60" w:rsidRPr="001D6D10" w:rsidRDefault="00934E60" w:rsidP="00F35CFE">
            <w:pPr>
              <w:jc w:val="center"/>
              <w:rPr>
                <w:rFonts w:ascii="HG丸ｺﾞｼｯｸM-PRO" w:eastAsia="HG丸ｺﾞｼｯｸM-PRO" w:hAnsi="HG丸ｺﾞｼｯｸM-PRO"/>
                <w:szCs w:val="21"/>
              </w:rPr>
            </w:pPr>
          </w:p>
          <w:p w14:paraId="4032BFFD" w14:textId="24F9B5A7" w:rsidR="0001205E" w:rsidRPr="001D6D10" w:rsidRDefault="0001205E" w:rsidP="00F35CFE">
            <w:pPr>
              <w:jc w:val="center"/>
              <w:rPr>
                <w:rFonts w:ascii="HG丸ｺﾞｼｯｸM-PRO" w:eastAsia="HG丸ｺﾞｼｯｸM-PRO" w:hAnsi="HG丸ｺﾞｼｯｸM-PRO"/>
                <w:szCs w:val="21"/>
              </w:rPr>
            </w:pPr>
            <w:r w:rsidRPr="001D6D10">
              <w:rPr>
                <w:rFonts w:ascii="HG丸ｺﾞｼｯｸM-PRO" w:eastAsia="HG丸ｺﾞｼｯｸM-PRO" w:hAnsi="HG丸ｺﾞｼｯｸM-PRO" w:hint="eastAsia"/>
                <w:szCs w:val="21"/>
              </w:rPr>
              <w:t>～48ｈ</w:t>
            </w:r>
            <w:r w:rsidR="0053084D" w:rsidRPr="001D6D10">
              <w:rPr>
                <w:rFonts w:ascii="HG丸ｺﾞｼｯｸM-PRO" w:eastAsia="HG丸ｺﾞｼｯｸM-PRO" w:hAnsi="HG丸ｺﾞｼｯｸM-PRO" w:hint="eastAsia"/>
                <w:szCs w:val="21"/>
              </w:rPr>
              <w:t>前</w:t>
            </w:r>
          </w:p>
          <w:p w14:paraId="75FC1F1B" w14:textId="77777777" w:rsidR="0001205E" w:rsidRPr="001D6D10" w:rsidRDefault="0001205E" w:rsidP="00F35CFE">
            <w:pPr>
              <w:jc w:val="center"/>
              <w:rPr>
                <w:rFonts w:ascii="HG丸ｺﾞｼｯｸM-PRO" w:eastAsia="HG丸ｺﾞｼｯｸM-PRO" w:hAnsi="HG丸ｺﾞｼｯｸM-PRO"/>
                <w:sz w:val="20"/>
                <w:szCs w:val="20"/>
              </w:rPr>
            </w:pPr>
            <w:r w:rsidRPr="001D6D10">
              <w:rPr>
                <w:rFonts w:ascii="HG丸ｺﾞｼｯｸM-PRO" w:eastAsia="HG丸ｺﾞｼｯｸM-PRO" w:hAnsi="HG丸ｺﾞｼｯｸM-PRO" w:hint="eastAsia"/>
                <w:sz w:val="20"/>
                <w:szCs w:val="20"/>
              </w:rPr>
              <w:t>（３日以前）</w:t>
            </w:r>
          </w:p>
        </w:tc>
        <w:tc>
          <w:tcPr>
            <w:tcW w:w="7037" w:type="dxa"/>
            <w:tcBorders>
              <w:bottom w:val="single" w:sz="4" w:space="0" w:color="auto"/>
            </w:tcBorders>
            <w:shd w:val="clear" w:color="auto" w:fill="FFFFFF" w:themeFill="background1"/>
          </w:tcPr>
          <w:p w14:paraId="6442329C" w14:textId="77777777" w:rsidR="00F35CFE" w:rsidRPr="001D6D10" w:rsidRDefault="00F35CFE" w:rsidP="00F35CFE">
            <w:pPr>
              <w:rPr>
                <w:rFonts w:ascii="HG丸ｺﾞｼｯｸM-PRO" w:eastAsia="HG丸ｺﾞｼｯｸM-PRO" w:hAnsi="HG丸ｺﾞｼｯｸM-PRO"/>
                <w:szCs w:val="21"/>
              </w:rPr>
            </w:pPr>
            <w:r w:rsidRPr="001D6D10">
              <w:rPr>
                <w:rFonts w:ascii="HG丸ｺﾞｼｯｸM-PRO" w:eastAsia="HG丸ｺﾞｼｯｸM-PRO" w:hAnsi="HG丸ｺﾞｼｯｸM-PRO" w:hint="eastAsia"/>
                <w:szCs w:val="21"/>
              </w:rPr>
              <w:t>□危機管理室からの情報の共有</w:t>
            </w:r>
          </w:p>
          <w:p w14:paraId="5A9C88C6" w14:textId="77777777" w:rsidR="00BB7E00" w:rsidRPr="001D6D10" w:rsidRDefault="00BB7E00" w:rsidP="00BB7E00">
            <w:pPr>
              <w:rPr>
                <w:rFonts w:ascii="HG丸ｺﾞｼｯｸM-PRO" w:eastAsia="HG丸ｺﾞｼｯｸM-PRO" w:hAnsi="HG丸ｺﾞｼｯｸM-PRO"/>
                <w:szCs w:val="21"/>
              </w:rPr>
            </w:pPr>
            <w:r w:rsidRPr="001D6D10">
              <w:rPr>
                <w:rFonts w:ascii="HG丸ｺﾞｼｯｸM-PRO" w:eastAsia="HG丸ｺﾞｼｯｸM-PRO" w:hAnsi="HG丸ｺﾞｼｯｸM-PRO" w:hint="eastAsia"/>
                <w:szCs w:val="21"/>
              </w:rPr>
              <w:t>□連絡体制の確認</w:t>
            </w:r>
          </w:p>
          <w:p w14:paraId="423808AB" w14:textId="77777777" w:rsidR="00C84712" w:rsidRPr="001D6D10" w:rsidRDefault="00C84712" w:rsidP="00BB7E00">
            <w:pPr>
              <w:rPr>
                <w:rFonts w:ascii="HG丸ｺﾞｼｯｸM-PRO" w:eastAsia="HG丸ｺﾞｼｯｸM-PRO" w:hAnsi="HG丸ｺﾞｼｯｸM-PRO"/>
                <w:szCs w:val="21"/>
              </w:rPr>
            </w:pPr>
            <w:r w:rsidRPr="001D6D10">
              <w:rPr>
                <w:rFonts w:ascii="HG丸ｺﾞｼｯｸM-PRO" w:eastAsia="HG丸ｺﾞｼｯｸM-PRO" w:hAnsi="HG丸ｺﾞｼｯｸM-PRO" w:hint="eastAsia"/>
                <w:szCs w:val="21"/>
              </w:rPr>
              <w:t>□災害対応に関するマニュアル等の確認</w:t>
            </w:r>
          </w:p>
          <w:p w14:paraId="7AB161CF" w14:textId="77777777" w:rsidR="0001205E" w:rsidRPr="001D6D10" w:rsidRDefault="0001205E" w:rsidP="00F35CFE">
            <w:pPr>
              <w:rPr>
                <w:rFonts w:ascii="HG丸ｺﾞｼｯｸM-PRO" w:eastAsia="HG丸ｺﾞｼｯｸM-PRO" w:hAnsi="HG丸ｺﾞｼｯｸM-PRO"/>
                <w:szCs w:val="21"/>
              </w:rPr>
            </w:pPr>
            <w:r w:rsidRPr="001D6D10">
              <w:rPr>
                <w:rFonts w:ascii="HG丸ｺﾞｼｯｸM-PRO" w:eastAsia="HG丸ｺﾞｼｯｸM-PRO" w:hAnsi="HG丸ｺﾞｼｯｸM-PRO" w:hint="eastAsia"/>
                <w:szCs w:val="21"/>
              </w:rPr>
              <w:t>□気象情報収集</w:t>
            </w:r>
          </w:p>
          <w:p w14:paraId="02022C4D" w14:textId="77777777" w:rsidR="0001205E" w:rsidRPr="001D6D10" w:rsidRDefault="0001205E" w:rsidP="00F35CFE">
            <w:pPr>
              <w:rPr>
                <w:rFonts w:ascii="HG丸ｺﾞｼｯｸM-PRO" w:eastAsia="HG丸ｺﾞｼｯｸM-PRO" w:hAnsi="HG丸ｺﾞｼｯｸM-PRO"/>
                <w:szCs w:val="21"/>
              </w:rPr>
            </w:pPr>
            <w:r w:rsidRPr="001D6D10">
              <w:rPr>
                <w:rFonts w:ascii="HG丸ｺﾞｼｯｸM-PRO" w:eastAsia="HG丸ｺﾞｼｯｸM-PRO" w:hAnsi="HG丸ｺﾞｼｯｸM-PRO" w:hint="eastAsia"/>
                <w:szCs w:val="21"/>
              </w:rPr>
              <w:t>□資機材の点検確認</w:t>
            </w:r>
          </w:p>
          <w:p w14:paraId="286A413E" w14:textId="77777777" w:rsidR="00742C35" w:rsidRPr="001D6D10" w:rsidRDefault="00742C35" w:rsidP="00742C35">
            <w:pPr>
              <w:rPr>
                <w:rFonts w:ascii="HG丸ｺﾞｼｯｸM-PRO" w:eastAsia="HG丸ｺﾞｼｯｸM-PRO" w:hAnsi="HG丸ｺﾞｼｯｸM-PRO"/>
                <w:szCs w:val="21"/>
              </w:rPr>
            </w:pPr>
            <w:r w:rsidRPr="001D6D10">
              <w:rPr>
                <w:rFonts w:ascii="HG丸ｺﾞｼｯｸM-PRO" w:eastAsia="HG丸ｺﾞｼｯｸM-PRO" w:hAnsi="HG丸ｺﾞｼｯｸM-PRO" w:hint="eastAsia"/>
                <w:szCs w:val="21"/>
              </w:rPr>
              <w:t>□指令部会議の事前準備</w:t>
            </w:r>
          </w:p>
          <w:p w14:paraId="0F55B501" w14:textId="77777777" w:rsidR="00742C35" w:rsidRPr="001D6D10" w:rsidRDefault="00742C35" w:rsidP="00742C35">
            <w:pPr>
              <w:rPr>
                <w:rFonts w:ascii="HG丸ｺﾞｼｯｸM-PRO" w:eastAsia="HG丸ｺﾞｼｯｸM-PRO" w:hAnsi="HG丸ｺﾞｼｯｸM-PRO"/>
                <w:szCs w:val="21"/>
              </w:rPr>
            </w:pPr>
            <w:r w:rsidRPr="001D6D10">
              <w:rPr>
                <w:rFonts w:ascii="HG丸ｺﾞｼｯｸM-PRO" w:eastAsia="HG丸ｺﾞｼｯｸM-PRO" w:hAnsi="HG丸ｺﾞｼｯｸM-PRO" w:hint="eastAsia"/>
                <w:szCs w:val="21"/>
              </w:rPr>
              <w:t xml:space="preserve">　</w:t>
            </w:r>
            <w:r w:rsidR="005B33EE" w:rsidRPr="001D6D10">
              <w:rPr>
                <w:rFonts w:ascii="HG丸ｺﾞｼｯｸM-PRO" w:eastAsia="HG丸ｺﾞｼｯｸM-PRO" w:hAnsi="HG丸ｺﾞｼｯｸM-PRO" w:hint="eastAsia"/>
                <w:szCs w:val="21"/>
              </w:rPr>
              <w:t>・イベントの有無確認（府主催、共催）</w:t>
            </w:r>
          </w:p>
          <w:p w14:paraId="660DAACC" w14:textId="77777777" w:rsidR="00742C35" w:rsidRPr="001D6D10" w:rsidRDefault="00742C35" w:rsidP="00742C35">
            <w:pPr>
              <w:rPr>
                <w:rFonts w:ascii="HG丸ｺﾞｼｯｸM-PRO" w:eastAsia="HG丸ｺﾞｼｯｸM-PRO" w:hAnsi="HG丸ｺﾞｼｯｸM-PRO"/>
                <w:szCs w:val="21"/>
              </w:rPr>
            </w:pPr>
            <w:r w:rsidRPr="001D6D10">
              <w:rPr>
                <w:rFonts w:ascii="HG丸ｺﾞｼｯｸM-PRO" w:eastAsia="HG丸ｺﾞｼｯｸM-PRO" w:hAnsi="HG丸ｺﾞｼｯｸM-PRO" w:hint="eastAsia"/>
                <w:szCs w:val="21"/>
              </w:rPr>
              <w:t xml:space="preserve">　・所管団体等への注意喚起など</w:t>
            </w:r>
          </w:p>
        </w:tc>
      </w:tr>
      <w:tr w:rsidR="001D6D10" w:rsidRPr="001D6D10" w14:paraId="5CEF6AE5" w14:textId="77777777" w:rsidTr="00F35CFE">
        <w:trPr>
          <w:jc w:val="center"/>
        </w:trPr>
        <w:tc>
          <w:tcPr>
            <w:tcW w:w="1457" w:type="dxa"/>
            <w:vMerge/>
          </w:tcPr>
          <w:p w14:paraId="7BD2F564" w14:textId="77777777" w:rsidR="0001205E" w:rsidRPr="001D6D10" w:rsidRDefault="0001205E" w:rsidP="00F35CFE">
            <w:pPr>
              <w:rPr>
                <w:rFonts w:ascii="HG丸ｺﾞｼｯｸM-PRO" w:eastAsia="HG丸ｺﾞｼｯｸM-PRO" w:hAnsi="HG丸ｺﾞｼｯｸM-PRO"/>
                <w:szCs w:val="21"/>
              </w:rPr>
            </w:pPr>
          </w:p>
        </w:tc>
        <w:tc>
          <w:tcPr>
            <w:tcW w:w="7037" w:type="dxa"/>
          </w:tcPr>
          <w:p w14:paraId="671CF4FD" w14:textId="77777777" w:rsidR="0001205E" w:rsidRPr="001D6D10" w:rsidRDefault="0001205E" w:rsidP="00F35CFE">
            <w:pPr>
              <w:rPr>
                <w:rFonts w:ascii="HG丸ｺﾞｼｯｸM-PRO" w:eastAsia="HG丸ｺﾞｼｯｸM-PRO" w:hAnsi="HG丸ｺﾞｼｯｸM-PRO"/>
                <w:szCs w:val="21"/>
              </w:rPr>
            </w:pPr>
            <w:r w:rsidRPr="001D6D10">
              <w:rPr>
                <w:rFonts w:ascii="HG丸ｺﾞｼｯｸM-PRO" w:eastAsia="HG丸ｺﾞｼｯｸM-PRO" w:hAnsi="HG丸ｺﾞｼｯｸM-PRO" w:hint="eastAsia"/>
                <w:b/>
                <w:szCs w:val="21"/>
                <w:highlight w:val="yellow"/>
              </w:rPr>
              <w:t>防災・危機管理指令部会議</w:t>
            </w:r>
            <w:r w:rsidRPr="001D6D10">
              <w:rPr>
                <w:rFonts w:ascii="HG丸ｺﾞｼｯｸM-PRO" w:eastAsia="HG丸ｺﾞｼｯｸM-PRO" w:hAnsi="HG丸ｺﾞｼｯｸM-PRO" w:hint="eastAsia"/>
                <w:szCs w:val="21"/>
                <w:highlight w:val="yellow"/>
              </w:rPr>
              <w:t>（おおよそ７２ｈ前）</w:t>
            </w:r>
            <w:r w:rsidR="00CB0ABF" w:rsidRPr="001D6D10">
              <w:rPr>
                <w:rFonts w:ascii="HG丸ｺﾞｼｯｸM-PRO" w:eastAsia="HG丸ｺﾞｼｯｸM-PRO" w:hAnsi="HG丸ｺﾞｼｯｸM-PRO" w:hint="eastAsia"/>
                <w:szCs w:val="21"/>
                <w:highlight w:val="yellow"/>
              </w:rPr>
              <w:t>（Ｐ42</w:t>
            </w:r>
            <w:r w:rsidR="00AD02A5" w:rsidRPr="001D6D10">
              <w:rPr>
                <w:rFonts w:ascii="HG丸ｺﾞｼｯｸM-PRO" w:eastAsia="HG丸ｺﾞｼｯｸM-PRO" w:hAnsi="HG丸ｺﾞｼｯｸM-PRO" w:hint="eastAsia"/>
                <w:szCs w:val="21"/>
                <w:highlight w:val="yellow"/>
              </w:rPr>
              <w:t>参照）</w:t>
            </w:r>
          </w:p>
        </w:tc>
      </w:tr>
      <w:tr w:rsidR="001D6D10" w:rsidRPr="001D6D10" w14:paraId="4B2A4EED" w14:textId="77777777" w:rsidTr="00F35CFE">
        <w:trPr>
          <w:jc w:val="center"/>
        </w:trPr>
        <w:tc>
          <w:tcPr>
            <w:tcW w:w="1457" w:type="dxa"/>
            <w:vMerge/>
          </w:tcPr>
          <w:p w14:paraId="67E4BCFD" w14:textId="77777777" w:rsidR="0001205E" w:rsidRPr="001D6D10" w:rsidRDefault="0001205E" w:rsidP="00F35CFE">
            <w:pPr>
              <w:rPr>
                <w:rFonts w:ascii="HG丸ｺﾞｼｯｸM-PRO" w:eastAsia="HG丸ｺﾞｼｯｸM-PRO" w:hAnsi="HG丸ｺﾞｼｯｸM-PRO"/>
                <w:szCs w:val="21"/>
              </w:rPr>
            </w:pPr>
          </w:p>
        </w:tc>
        <w:tc>
          <w:tcPr>
            <w:tcW w:w="7037" w:type="dxa"/>
          </w:tcPr>
          <w:p w14:paraId="4D332208" w14:textId="77777777" w:rsidR="00F35CFE" w:rsidRPr="001D6D10" w:rsidRDefault="00F35CFE" w:rsidP="00F35CFE">
            <w:pPr>
              <w:rPr>
                <w:rFonts w:ascii="HG丸ｺﾞｼｯｸM-PRO" w:eastAsia="HG丸ｺﾞｼｯｸM-PRO" w:hAnsi="HG丸ｺﾞｼｯｸM-PRO"/>
                <w:szCs w:val="21"/>
              </w:rPr>
            </w:pPr>
            <w:r w:rsidRPr="001D6D10">
              <w:rPr>
                <w:rFonts w:ascii="HG丸ｺﾞｼｯｸM-PRO" w:eastAsia="HG丸ｺﾞｼｯｸM-PRO" w:hAnsi="HG丸ｺﾞｼｯｸM-PRO" w:hint="eastAsia"/>
                <w:szCs w:val="21"/>
              </w:rPr>
              <w:t>□危機管理室からの情報の共有</w:t>
            </w:r>
          </w:p>
          <w:p w14:paraId="3DAD6ADE" w14:textId="77777777" w:rsidR="0001205E" w:rsidRPr="001D6D10" w:rsidRDefault="0001205E" w:rsidP="00F35CFE">
            <w:pPr>
              <w:rPr>
                <w:rFonts w:ascii="HG丸ｺﾞｼｯｸM-PRO" w:eastAsia="HG丸ｺﾞｼｯｸM-PRO" w:hAnsi="HG丸ｺﾞｼｯｸM-PRO"/>
                <w:szCs w:val="21"/>
              </w:rPr>
            </w:pPr>
            <w:r w:rsidRPr="001D6D10">
              <w:rPr>
                <w:rFonts w:ascii="HG丸ｺﾞｼｯｸM-PRO" w:eastAsia="HG丸ｺﾞｼｯｸM-PRO" w:hAnsi="HG丸ｺﾞｼｯｸM-PRO" w:hint="eastAsia"/>
                <w:szCs w:val="21"/>
              </w:rPr>
              <w:t>□工事現場や保有船舶への対策準備指示</w:t>
            </w:r>
          </w:p>
          <w:p w14:paraId="40E997F2" w14:textId="77777777" w:rsidR="0001205E" w:rsidRPr="001D6D10" w:rsidRDefault="0001205E" w:rsidP="00F35CFE">
            <w:pPr>
              <w:rPr>
                <w:rFonts w:ascii="HG丸ｺﾞｼｯｸM-PRO" w:eastAsia="HG丸ｺﾞｼｯｸM-PRO" w:hAnsi="HG丸ｺﾞｼｯｸM-PRO"/>
                <w:szCs w:val="21"/>
              </w:rPr>
            </w:pPr>
            <w:r w:rsidRPr="001D6D10">
              <w:rPr>
                <w:rFonts w:ascii="HG丸ｺﾞｼｯｸM-PRO" w:eastAsia="HG丸ｺﾞｼｯｸM-PRO" w:hAnsi="HG丸ｺﾞｼｯｸM-PRO" w:hint="eastAsia"/>
                <w:szCs w:val="21"/>
              </w:rPr>
              <w:t>□港湾利用者への事前対策注意喚起</w:t>
            </w:r>
          </w:p>
          <w:p w14:paraId="5C76FBD3" w14:textId="77777777" w:rsidR="0001205E" w:rsidRPr="001D6D10" w:rsidRDefault="0001205E" w:rsidP="00F35CFE">
            <w:pPr>
              <w:rPr>
                <w:rFonts w:ascii="HG丸ｺﾞｼｯｸM-PRO" w:eastAsia="HG丸ｺﾞｼｯｸM-PRO" w:hAnsi="HG丸ｺﾞｼｯｸM-PRO"/>
                <w:szCs w:val="21"/>
              </w:rPr>
            </w:pPr>
            <w:r w:rsidRPr="001D6D10">
              <w:rPr>
                <w:rFonts w:ascii="HG丸ｺﾞｼｯｸM-PRO" w:eastAsia="HG丸ｺﾞｼｯｸM-PRO" w:hAnsi="HG丸ｺﾞｼｯｸM-PRO" w:hint="eastAsia"/>
                <w:szCs w:val="21"/>
              </w:rPr>
              <w:t>□水門操作者への事前周知</w:t>
            </w:r>
          </w:p>
          <w:p w14:paraId="5BA7B07B" w14:textId="77777777" w:rsidR="0001205E" w:rsidRPr="001D6D10" w:rsidRDefault="0001205E" w:rsidP="00F35CFE">
            <w:pPr>
              <w:rPr>
                <w:rFonts w:ascii="HG丸ｺﾞｼｯｸM-PRO" w:eastAsia="HG丸ｺﾞｼｯｸM-PRO" w:hAnsi="HG丸ｺﾞｼｯｸM-PRO"/>
                <w:szCs w:val="21"/>
              </w:rPr>
            </w:pPr>
            <w:r w:rsidRPr="001D6D10">
              <w:rPr>
                <w:rFonts w:ascii="HG丸ｺﾞｼｯｸM-PRO" w:eastAsia="HG丸ｺﾞｼｯｸM-PRO" w:hAnsi="HG丸ｺﾞｼｯｸM-PRO" w:hint="eastAsia"/>
                <w:szCs w:val="21"/>
              </w:rPr>
              <w:t>□危険個所の把握</w:t>
            </w:r>
          </w:p>
        </w:tc>
      </w:tr>
      <w:tr w:rsidR="001D6D10" w:rsidRPr="001D6D10" w14:paraId="71E837B9" w14:textId="77777777" w:rsidTr="00F35CFE">
        <w:trPr>
          <w:jc w:val="center"/>
        </w:trPr>
        <w:tc>
          <w:tcPr>
            <w:tcW w:w="1457" w:type="dxa"/>
            <w:vMerge w:val="restart"/>
          </w:tcPr>
          <w:p w14:paraId="3122B7AF" w14:textId="77777777" w:rsidR="00934E60" w:rsidRPr="001D6D10" w:rsidRDefault="00934E60" w:rsidP="00F35CFE">
            <w:pPr>
              <w:rPr>
                <w:rFonts w:ascii="HG丸ｺﾞｼｯｸM-PRO" w:eastAsia="HG丸ｺﾞｼｯｸM-PRO" w:hAnsi="HG丸ｺﾞｼｯｸM-PRO"/>
                <w:szCs w:val="21"/>
              </w:rPr>
            </w:pPr>
          </w:p>
          <w:p w14:paraId="1BED8965" w14:textId="77777777" w:rsidR="00934E60" w:rsidRPr="001D6D10" w:rsidRDefault="00934E60" w:rsidP="00F35CFE">
            <w:pPr>
              <w:rPr>
                <w:rFonts w:ascii="HG丸ｺﾞｼｯｸM-PRO" w:eastAsia="HG丸ｺﾞｼｯｸM-PRO" w:hAnsi="HG丸ｺﾞｼｯｸM-PRO"/>
                <w:szCs w:val="21"/>
              </w:rPr>
            </w:pPr>
          </w:p>
          <w:p w14:paraId="02BCB2D9" w14:textId="77777777" w:rsidR="00934E60" w:rsidRPr="001D6D10" w:rsidRDefault="00934E60" w:rsidP="00F35CFE">
            <w:pPr>
              <w:rPr>
                <w:rFonts w:ascii="HG丸ｺﾞｼｯｸM-PRO" w:eastAsia="HG丸ｺﾞｼｯｸM-PRO" w:hAnsi="HG丸ｺﾞｼｯｸM-PRO"/>
                <w:szCs w:val="21"/>
              </w:rPr>
            </w:pPr>
          </w:p>
          <w:p w14:paraId="1C25E96E" w14:textId="77777777" w:rsidR="00934E60" w:rsidRPr="001D6D10" w:rsidRDefault="00934E60" w:rsidP="00F35CFE">
            <w:pPr>
              <w:rPr>
                <w:rFonts w:ascii="HG丸ｺﾞｼｯｸM-PRO" w:eastAsia="HG丸ｺﾞｼｯｸM-PRO" w:hAnsi="HG丸ｺﾞｼｯｸM-PRO"/>
                <w:szCs w:val="21"/>
              </w:rPr>
            </w:pPr>
          </w:p>
          <w:p w14:paraId="7578D616" w14:textId="77777777" w:rsidR="00934E60" w:rsidRPr="001D6D10" w:rsidRDefault="00934E60" w:rsidP="00F35CFE">
            <w:pPr>
              <w:rPr>
                <w:rFonts w:ascii="HG丸ｺﾞｼｯｸM-PRO" w:eastAsia="HG丸ｺﾞｼｯｸM-PRO" w:hAnsi="HG丸ｺﾞｼｯｸM-PRO"/>
                <w:szCs w:val="21"/>
              </w:rPr>
            </w:pPr>
          </w:p>
          <w:p w14:paraId="37B9F285" w14:textId="77777777" w:rsidR="00934E60" w:rsidRPr="001D6D10" w:rsidRDefault="00934E60" w:rsidP="00F35CFE">
            <w:pPr>
              <w:rPr>
                <w:rFonts w:ascii="HG丸ｺﾞｼｯｸM-PRO" w:eastAsia="HG丸ｺﾞｼｯｸM-PRO" w:hAnsi="HG丸ｺﾞｼｯｸM-PRO"/>
                <w:szCs w:val="21"/>
              </w:rPr>
            </w:pPr>
          </w:p>
          <w:p w14:paraId="73999AC6" w14:textId="77777777" w:rsidR="0001205E" w:rsidRPr="001D6D10" w:rsidRDefault="0001205E" w:rsidP="00F35CFE">
            <w:pPr>
              <w:rPr>
                <w:rFonts w:ascii="HG丸ｺﾞｼｯｸM-PRO" w:eastAsia="HG丸ｺﾞｼｯｸM-PRO" w:hAnsi="HG丸ｺﾞｼｯｸM-PRO"/>
                <w:szCs w:val="21"/>
              </w:rPr>
            </w:pPr>
            <w:r w:rsidRPr="001D6D10">
              <w:rPr>
                <w:rFonts w:ascii="HG丸ｺﾞｼｯｸM-PRO" w:eastAsia="HG丸ｺﾞｼｯｸM-PRO" w:hAnsi="HG丸ｺﾞｼｯｸM-PRO" w:hint="eastAsia"/>
                <w:szCs w:val="21"/>
              </w:rPr>
              <w:t>48ｈ前～</w:t>
            </w:r>
          </w:p>
          <w:p w14:paraId="66D3A28D" w14:textId="77777777" w:rsidR="0001205E" w:rsidRPr="001D6D10" w:rsidRDefault="0001205E" w:rsidP="00F35CFE">
            <w:pPr>
              <w:rPr>
                <w:rFonts w:ascii="HG丸ｺﾞｼｯｸM-PRO" w:eastAsia="HG丸ｺﾞｼｯｸM-PRO" w:hAnsi="HG丸ｺﾞｼｯｸM-PRO"/>
                <w:szCs w:val="21"/>
              </w:rPr>
            </w:pPr>
            <w:r w:rsidRPr="001D6D10">
              <w:rPr>
                <w:rFonts w:ascii="HG丸ｺﾞｼｯｸM-PRO" w:eastAsia="HG丸ｺﾞｼｯｸM-PRO" w:hAnsi="HG丸ｺﾞｼｯｸM-PRO" w:hint="eastAsia"/>
                <w:szCs w:val="21"/>
              </w:rPr>
              <w:t xml:space="preserve">　　24ｈ前</w:t>
            </w:r>
          </w:p>
          <w:p w14:paraId="600FE88B" w14:textId="77777777" w:rsidR="0001205E" w:rsidRPr="001D6D10" w:rsidRDefault="0001205E" w:rsidP="00F35CFE">
            <w:pPr>
              <w:rPr>
                <w:rFonts w:ascii="HG丸ｺﾞｼｯｸM-PRO" w:eastAsia="HG丸ｺﾞｼｯｸM-PRO" w:hAnsi="HG丸ｺﾞｼｯｸM-PRO"/>
                <w:szCs w:val="21"/>
              </w:rPr>
            </w:pPr>
            <w:r w:rsidRPr="001D6D10">
              <w:rPr>
                <w:rFonts w:ascii="HG丸ｺﾞｼｯｸM-PRO" w:eastAsia="HG丸ｺﾞｼｯｸM-PRO" w:hAnsi="HG丸ｺﾞｼｯｸM-PRO" w:hint="eastAsia"/>
                <w:szCs w:val="21"/>
              </w:rPr>
              <w:t>（２日前）</w:t>
            </w:r>
          </w:p>
        </w:tc>
        <w:tc>
          <w:tcPr>
            <w:tcW w:w="7037" w:type="dxa"/>
          </w:tcPr>
          <w:p w14:paraId="5D58F6DC" w14:textId="77777777" w:rsidR="0001205E" w:rsidRPr="001D6D10" w:rsidRDefault="0001205E" w:rsidP="00F35CFE">
            <w:pPr>
              <w:rPr>
                <w:rFonts w:ascii="HG丸ｺﾞｼｯｸM-PRO" w:eastAsia="HG丸ｺﾞｼｯｸM-PRO" w:hAnsi="HG丸ｺﾞｼｯｸM-PRO"/>
                <w:sz w:val="18"/>
                <w:szCs w:val="18"/>
              </w:rPr>
            </w:pPr>
            <w:r w:rsidRPr="001D6D10">
              <w:rPr>
                <w:rFonts w:ascii="HG丸ｺﾞｼｯｸM-PRO" w:eastAsia="HG丸ｺﾞｼｯｸM-PRO" w:hAnsi="HG丸ｺﾞｼｯｸM-PRO" w:hint="eastAsia"/>
                <w:szCs w:val="21"/>
              </w:rPr>
              <w:t>庁内連絡会議①：災害モード宣言の内容、第1回災害警戒本部会議の事前調整等</w:t>
            </w:r>
            <w:r w:rsidRPr="001D6D10">
              <w:rPr>
                <w:rFonts w:ascii="HG丸ｺﾞｼｯｸM-PRO" w:eastAsia="HG丸ｺﾞｼｯｸM-PRO" w:hAnsi="HG丸ｺﾞｼｯｸM-PRO" w:hint="eastAsia"/>
                <w:sz w:val="18"/>
                <w:szCs w:val="18"/>
              </w:rPr>
              <w:t>(警戒本部会議議題：管理施設の休館及び学校休校の検討、イベント等の中止検討、職員の配備態勢)</w:t>
            </w:r>
          </w:p>
          <w:p w14:paraId="39033202" w14:textId="77777777" w:rsidR="00742C35" w:rsidRPr="001D6D10" w:rsidRDefault="00742C35" w:rsidP="00742C35">
            <w:pPr>
              <w:rPr>
                <w:rFonts w:ascii="HG丸ｺﾞｼｯｸM-PRO" w:eastAsia="HG丸ｺﾞｼｯｸM-PRO" w:hAnsi="HG丸ｺﾞｼｯｸM-PRO"/>
                <w:szCs w:val="21"/>
              </w:rPr>
            </w:pPr>
            <w:r w:rsidRPr="001D6D10">
              <w:rPr>
                <w:rFonts w:ascii="HG丸ｺﾞｼｯｸM-PRO" w:eastAsia="HG丸ｺﾞｼｯｸM-PRO" w:hAnsi="HG丸ｺﾞｼｯｸM-PRO" w:hint="eastAsia"/>
                <w:szCs w:val="21"/>
              </w:rPr>
              <w:t>□第１回災害警戒本部会議の事前準備</w:t>
            </w:r>
          </w:p>
          <w:p w14:paraId="4AA259A2" w14:textId="77777777" w:rsidR="00742C35" w:rsidRPr="001D6D10" w:rsidRDefault="00742C35" w:rsidP="00742C35">
            <w:pPr>
              <w:rPr>
                <w:rFonts w:ascii="HG丸ｺﾞｼｯｸM-PRO" w:eastAsia="HG丸ｺﾞｼｯｸM-PRO" w:hAnsi="HG丸ｺﾞｼｯｸM-PRO"/>
                <w:szCs w:val="21"/>
              </w:rPr>
            </w:pPr>
            <w:r w:rsidRPr="001D6D10">
              <w:rPr>
                <w:rFonts w:ascii="HG丸ｺﾞｼｯｸM-PRO" w:eastAsia="HG丸ｺﾞｼｯｸM-PRO" w:hAnsi="HG丸ｺﾞｼｯｸM-PRO" w:hint="eastAsia"/>
                <w:szCs w:val="21"/>
              </w:rPr>
              <w:t xml:space="preserve">　・部局内の対応状況の確認、会議での報告のとりまとめ</w:t>
            </w:r>
          </w:p>
          <w:p w14:paraId="51556CB3" w14:textId="77777777" w:rsidR="00742C35" w:rsidRPr="001D6D10" w:rsidRDefault="00742C35" w:rsidP="00742C35">
            <w:pPr>
              <w:rPr>
                <w:rFonts w:ascii="HG丸ｺﾞｼｯｸM-PRO" w:eastAsia="HG丸ｺﾞｼｯｸM-PRO" w:hAnsi="HG丸ｺﾞｼｯｸM-PRO"/>
                <w:szCs w:val="21"/>
              </w:rPr>
            </w:pPr>
            <w:r w:rsidRPr="001D6D10">
              <w:rPr>
                <w:rFonts w:ascii="HG丸ｺﾞｼｯｸM-PRO" w:eastAsia="HG丸ｺﾞｼｯｸM-PRO" w:hAnsi="HG丸ｺﾞｼｯｸM-PRO" w:hint="eastAsia"/>
                <w:szCs w:val="21"/>
              </w:rPr>
              <w:t xml:space="preserve">　・庁舎・所管施設の安全確認</w:t>
            </w:r>
          </w:p>
          <w:p w14:paraId="5537E87E" w14:textId="77777777" w:rsidR="007D0602" w:rsidRPr="001D6D10" w:rsidRDefault="00742C35" w:rsidP="007D0602">
            <w:pPr>
              <w:rPr>
                <w:rFonts w:ascii="HG丸ｺﾞｼｯｸM-PRO" w:eastAsia="HG丸ｺﾞｼｯｸM-PRO" w:hAnsi="HG丸ｺﾞｼｯｸM-PRO"/>
                <w:szCs w:val="21"/>
              </w:rPr>
            </w:pPr>
            <w:r w:rsidRPr="001D6D10">
              <w:rPr>
                <w:rFonts w:ascii="HG丸ｺﾞｼｯｸM-PRO" w:eastAsia="HG丸ｺﾞｼｯｸM-PRO" w:hAnsi="HG丸ｺﾞｼｯｸM-PRO" w:hint="eastAsia"/>
                <w:szCs w:val="21"/>
              </w:rPr>
              <w:t xml:space="preserve">　・公共交通機関計画運休の確認</w:t>
            </w:r>
          </w:p>
          <w:p w14:paraId="5CDEFEF7" w14:textId="77777777" w:rsidR="00BD7DE5" w:rsidRPr="001D6D10" w:rsidRDefault="00BD7DE5" w:rsidP="007D0602">
            <w:pPr>
              <w:rPr>
                <w:rFonts w:ascii="HG丸ｺﾞｼｯｸM-PRO" w:eastAsia="HG丸ｺﾞｼｯｸM-PRO" w:hAnsi="HG丸ｺﾞｼｯｸM-PRO"/>
                <w:szCs w:val="21"/>
                <w:u w:val="single"/>
              </w:rPr>
            </w:pPr>
            <w:r w:rsidRPr="001D6D10">
              <w:rPr>
                <w:rFonts w:ascii="HG丸ｺﾞｼｯｸM-PRO" w:eastAsia="HG丸ｺﾞｼｯｸM-PRO" w:hAnsi="HG丸ｺﾞｼｯｸM-PRO" w:hint="eastAsia"/>
                <w:szCs w:val="21"/>
                <w:bdr w:val="single" w:sz="4" w:space="0" w:color="auto"/>
              </w:rPr>
              <w:t>台風説明会</w:t>
            </w:r>
          </w:p>
        </w:tc>
      </w:tr>
      <w:tr w:rsidR="001D6D10" w:rsidRPr="001D6D10" w14:paraId="0C0923F2" w14:textId="77777777" w:rsidTr="00F35CFE">
        <w:trPr>
          <w:jc w:val="center"/>
        </w:trPr>
        <w:tc>
          <w:tcPr>
            <w:tcW w:w="1457" w:type="dxa"/>
            <w:vMerge/>
          </w:tcPr>
          <w:p w14:paraId="74AEA6EB" w14:textId="77777777" w:rsidR="0001205E" w:rsidRPr="001D6D10" w:rsidRDefault="0001205E" w:rsidP="00F35CFE">
            <w:pPr>
              <w:rPr>
                <w:rFonts w:ascii="HG丸ｺﾞｼｯｸM-PRO" w:eastAsia="HG丸ｺﾞｼｯｸM-PRO" w:hAnsi="HG丸ｺﾞｼｯｸM-PRO"/>
                <w:szCs w:val="21"/>
              </w:rPr>
            </w:pPr>
          </w:p>
        </w:tc>
        <w:tc>
          <w:tcPr>
            <w:tcW w:w="7037" w:type="dxa"/>
          </w:tcPr>
          <w:p w14:paraId="6B46892B" w14:textId="77777777" w:rsidR="0001205E" w:rsidRPr="001D6D10" w:rsidRDefault="0001205E" w:rsidP="00F35CFE">
            <w:pPr>
              <w:rPr>
                <w:rFonts w:ascii="HG丸ｺﾞｼｯｸM-PRO" w:eastAsia="HG丸ｺﾞｼｯｸM-PRO" w:hAnsi="HG丸ｺﾞｼｯｸM-PRO"/>
                <w:szCs w:val="21"/>
                <w:highlight w:val="yellow"/>
              </w:rPr>
            </w:pPr>
            <w:r w:rsidRPr="001D6D10">
              <w:rPr>
                <w:rFonts w:ascii="HG丸ｺﾞｼｯｸM-PRO" w:eastAsia="HG丸ｺﾞｼｯｸM-PRO" w:hAnsi="HG丸ｺﾞｼｯｸM-PRO" w:hint="eastAsia"/>
                <w:b/>
                <w:szCs w:val="21"/>
                <w:highlight w:val="yellow"/>
              </w:rPr>
              <w:t>第1回災害警戒本部会議</w:t>
            </w:r>
            <w:r w:rsidRPr="001D6D10">
              <w:rPr>
                <w:rFonts w:ascii="HG丸ｺﾞｼｯｸM-PRO" w:eastAsia="HG丸ｺﾞｼｯｸM-PRO" w:hAnsi="HG丸ｺﾞｼｯｸM-PRO" w:hint="eastAsia"/>
                <w:szCs w:val="21"/>
                <w:highlight w:val="yellow"/>
              </w:rPr>
              <w:t>（災害モード宣言の内容検討）</w:t>
            </w:r>
            <w:r w:rsidR="00CB0ABF" w:rsidRPr="001D6D10">
              <w:rPr>
                <w:rFonts w:ascii="HG丸ｺﾞｼｯｸM-PRO" w:eastAsia="HG丸ｺﾞｼｯｸM-PRO" w:hAnsi="HG丸ｺﾞｼｯｸM-PRO" w:hint="eastAsia"/>
                <w:szCs w:val="21"/>
                <w:highlight w:val="yellow"/>
              </w:rPr>
              <w:t>（Ｐ47</w:t>
            </w:r>
            <w:r w:rsidR="0010145B" w:rsidRPr="001D6D10">
              <w:rPr>
                <w:rFonts w:ascii="HG丸ｺﾞｼｯｸM-PRO" w:eastAsia="HG丸ｺﾞｼｯｸM-PRO" w:hAnsi="HG丸ｺﾞｼｯｸM-PRO" w:hint="eastAsia"/>
                <w:szCs w:val="21"/>
                <w:highlight w:val="yellow"/>
              </w:rPr>
              <w:t>参照）</w:t>
            </w:r>
          </w:p>
        </w:tc>
      </w:tr>
      <w:tr w:rsidR="001D6D10" w:rsidRPr="001D6D10" w14:paraId="477BFFB3" w14:textId="77777777" w:rsidTr="00F35CFE">
        <w:trPr>
          <w:jc w:val="center"/>
        </w:trPr>
        <w:tc>
          <w:tcPr>
            <w:tcW w:w="1457" w:type="dxa"/>
            <w:vMerge/>
          </w:tcPr>
          <w:p w14:paraId="55B4AEFD" w14:textId="77777777" w:rsidR="0001205E" w:rsidRPr="001D6D10" w:rsidRDefault="0001205E" w:rsidP="00F35CFE">
            <w:pPr>
              <w:rPr>
                <w:rFonts w:ascii="HG丸ｺﾞｼｯｸM-PRO" w:eastAsia="HG丸ｺﾞｼｯｸM-PRO" w:hAnsi="HG丸ｺﾞｼｯｸM-PRO"/>
                <w:szCs w:val="21"/>
              </w:rPr>
            </w:pPr>
          </w:p>
        </w:tc>
        <w:tc>
          <w:tcPr>
            <w:tcW w:w="7037" w:type="dxa"/>
          </w:tcPr>
          <w:p w14:paraId="0FAA02F8" w14:textId="77777777" w:rsidR="00F35CFE" w:rsidRPr="001D6D10" w:rsidRDefault="00F35CFE" w:rsidP="00F35CFE">
            <w:pPr>
              <w:rPr>
                <w:rFonts w:ascii="HG丸ｺﾞｼｯｸM-PRO" w:eastAsia="HG丸ｺﾞｼｯｸM-PRO" w:hAnsi="HG丸ｺﾞｼｯｸM-PRO"/>
                <w:szCs w:val="21"/>
              </w:rPr>
            </w:pPr>
            <w:r w:rsidRPr="001D6D10">
              <w:rPr>
                <w:rFonts w:ascii="HG丸ｺﾞｼｯｸM-PRO" w:eastAsia="HG丸ｺﾞｼｯｸM-PRO" w:hAnsi="HG丸ｺﾞｼｯｸM-PRO" w:hint="eastAsia"/>
                <w:szCs w:val="21"/>
              </w:rPr>
              <w:t>□危機管理室からの情報の共有</w:t>
            </w:r>
          </w:p>
          <w:p w14:paraId="08409C85" w14:textId="77777777" w:rsidR="005A0125" w:rsidRPr="001D6D10" w:rsidRDefault="005A0125" w:rsidP="005A0125">
            <w:pPr>
              <w:rPr>
                <w:rFonts w:ascii="HG丸ｺﾞｼｯｸM-PRO" w:eastAsia="HG丸ｺﾞｼｯｸM-PRO" w:hAnsi="HG丸ｺﾞｼｯｸM-PRO"/>
                <w:szCs w:val="21"/>
              </w:rPr>
            </w:pPr>
            <w:r w:rsidRPr="001D6D10">
              <w:rPr>
                <w:rFonts w:ascii="HG丸ｺﾞｼｯｸM-PRO" w:eastAsia="HG丸ｺﾞｼｯｸM-PRO" w:hAnsi="HG丸ｺﾞｼｯｸM-PRO" w:hint="eastAsia"/>
                <w:szCs w:val="21"/>
              </w:rPr>
              <w:t>□公共交通機関計画運休の確認</w:t>
            </w:r>
          </w:p>
          <w:p w14:paraId="31C1452D" w14:textId="77777777" w:rsidR="00376F1D" w:rsidRPr="001D6D10" w:rsidRDefault="00376F1D" w:rsidP="00376F1D">
            <w:pPr>
              <w:rPr>
                <w:rFonts w:ascii="HG丸ｺﾞｼｯｸM-PRO" w:eastAsia="HG丸ｺﾞｼｯｸM-PRO" w:hAnsi="HG丸ｺﾞｼｯｸM-PRO"/>
                <w:szCs w:val="21"/>
              </w:rPr>
            </w:pPr>
            <w:r w:rsidRPr="001D6D10">
              <w:rPr>
                <w:rFonts w:ascii="HG丸ｺﾞｼｯｸM-PRO" w:eastAsia="HG丸ｺﾞｼｯｸM-PRO" w:hAnsi="HG丸ｺﾞｼｯｸM-PRO" w:hint="eastAsia"/>
                <w:szCs w:val="21"/>
              </w:rPr>
              <w:t>□職員体制の確認・確保</w:t>
            </w:r>
          </w:p>
          <w:p w14:paraId="5E87A54A" w14:textId="77777777" w:rsidR="0001205E" w:rsidRPr="001D6D10" w:rsidRDefault="0001205E" w:rsidP="00F35CFE">
            <w:pPr>
              <w:rPr>
                <w:rFonts w:ascii="HG丸ｺﾞｼｯｸM-PRO" w:eastAsia="HG丸ｺﾞｼｯｸM-PRO" w:hAnsi="HG丸ｺﾞｼｯｸM-PRO"/>
                <w:szCs w:val="21"/>
              </w:rPr>
            </w:pPr>
            <w:r w:rsidRPr="001D6D10">
              <w:rPr>
                <w:rFonts w:ascii="HG丸ｺﾞｼｯｸM-PRO" w:eastAsia="HG丸ｺﾞｼｯｸM-PRO" w:hAnsi="HG丸ｺﾞｼｯｸM-PRO" w:hint="eastAsia"/>
                <w:szCs w:val="21"/>
              </w:rPr>
              <w:t>□水防体制の確認</w:t>
            </w:r>
          </w:p>
          <w:p w14:paraId="14DCEED6" w14:textId="77777777" w:rsidR="0001205E" w:rsidRPr="001D6D10" w:rsidRDefault="0001205E" w:rsidP="00F35CFE">
            <w:pPr>
              <w:rPr>
                <w:rFonts w:ascii="HG丸ｺﾞｼｯｸM-PRO" w:eastAsia="HG丸ｺﾞｼｯｸM-PRO" w:hAnsi="HG丸ｺﾞｼｯｸM-PRO"/>
                <w:szCs w:val="21"/>
              </w:rPr>
            </w:pPr>
            <w:r w:rsidRPr="001D6D10">
              <w:rPr>
                <w:rFonts w:ascii="HG丸ｺﾞｼｯｸM-PRO" w:eastAsia="HG丸ｺﾞｼｯｸM-PRO" w:hAnsi="HG丸ｺﾞｼｯｸM-PRO" w:hint="eastAsia"/>
                <w:szCs w:val="21"/>
              </w:rPr>
              <w:t>□各種事前対策実施の指示</w:t>
            </w:r>
          </w:p>
          <w:p w14:paraId="7AC3513E" w14:textId="77777777" w:rsidR="0001205E" w:rsidRPr="001D6D10" w:rsidRDefault="0001205E" w:rsidP="00F35CFE">
            <w:pPr>
              <w:rPr>
                <w:rFonts w:ascii="HG丸ｺﾞｼｯｸM-PRO" w:eastAsia="HG丸ｺﾞｼｯｸM-PRO" w:hAnsi="HG丸ｺﾞｼｯｸM-PRO"/>
                <w:szCs w:val="21"/>
              </w:rPr>
            </w:pPr>
            <w:r w:rsidRPr="001D6D10">
              <w:rPr>
                <w:rFonts w:ascii="HG丸ｺﾞｼｯｸM-PRO" w:eastAsia="HG丸ｺﾞｼｯｸM-PRO" w:hAnsi="HG丸ｺﾞｼｯｸM-PRO" w:hint="eastAsia"/>
                <w:szCs w:val="21"/>
              </w:rPr>
              <w:t>□港湾船舶避難勧告の周知</w:t>
            </w:r>
          </w:p>
          <w:p w14:paraId="3210BEFF" w14:textId="77777777" w:rsidR="0001205E" w:rsidRPr="001D6D10" w:rsidRDefault="0001205E" w:rsidP="00F35CFE">
            <w:pPr>
              <w:rPr>
                <w:rFonts w:ascii="HG丸ｺﾞｼｯｸM-PRO" w:eastAsia="HG丸ｺﾞｼｯｸM-PRO" w:hAnsi="HG丸ｺﾞｼｯｸM-PRO"/>
                <w:szCs w:val="21"/>
              </w:rPr>
            </w:pPr>
            <w:r w:rsidRPr="001D6D10">
              <w:rPr>
                <w:rFonts w:ascii="HG丸ｺﾞｼｯｸM-PRO" w:eastAsia="HG丸ｺﾞｼｯｸM-PRO" w:hAnsi="HG丸ｺﾞｼｯｸM-PRO" w:hint="eastAsia"/>
                <w:szCs w:val="21"/>
              </w:rPr>
              <w:t>□危険個所の確認</w:t>
            </w:r>
          </w:p>
        </w:tc>
      </w:tr>
      <w:tr w:rsidR="001D6D10" w:rsidRPr="001D6D10" w14:paraId="3CC288C9" w14:textId="77777777" w:rsidTr="00F35CFE">
        <w:trPr>
          <w:jc w:val="center"/>
        </w:trPr>
        <w:tc>
          <w:tcPr>
            <w:tcW w:w="1457" w:type="dxa"/>
            <w:vMerge w:val="restart"/>
          </w:tcPr>
          <w:p w14:paraId="7B0D3F4E" w14:textId="77777777" w:rsidR="00934E60" w:rsidRPr="001D6D10" w:rsidRDefault="00934E60" w:rsidP="00F35CFE">
            <w:pPr>
              <w:rPr>
                <w:rFonts w:ascii="HG丸ｺﾞｼｯｸM-PRO" w:eastAsia="HG丸ｺﾞｼｯｸM-PRO" w:hAnsi="HG丸ｺﾞｼｯｸM-PRO"/>
                <w:szCs w:val="21"/>
              </w:rPr>
            </w:pPr>
          </w:p>
          <w:p w14:paraId="464285E7" w14:textId="77777777" w:rsidR="0001205E" w:rsidRPr="001D6D10" w:rsidRDefault="0001205E" w:rsidP="00F35CFE">
            <w:pPr>
              <w:rPr>
                <w:rFonts w:ascii="HG丸ｺﾞｼｯｸM-PRO" w:eastAsia="HG丸ｺﾞｼｯｸM-PRO" w:hAnsi="HG丸ｺﾞｼｯｸM-PRO"/>
                <w:szCs w:val="21"/>
              </w:rPr>
            </w:pPr>
            <w:r w:rsidRPr="001D6D10">
              <w:rPr>
                <w:rFonts w:ascii="HG丸ｺﾞｼｯｸM-PRO" w:eastAsia="HG丸ｺﾞｼｯｸM-PRO" w:hAnsi="HG丸ｺﾞｼｯｸM-PRO" w:hint="eastAsia"/>
                <w:szCs w:val="21"/>
              </w:rPr>
              <w:t>24ｈ前～</w:t>
            </w:r>
          </w:p>
          <w:p w14:paraId="0117BE6C" w14:textId="77777777" w:rsidR="0001205E" w:rsidRPr="001D6D10" w:rsidRDefault="0001205E" w:rsidP="00F35CFE">
            <w:pPr>
              <w:rPr>
                <w:rFonts w:ascii="HG丸ｺﾞｼｯｸM-PRO" w:eastAsia="HG丸ｺﾞｼｯｸM-PRO" w:hAnsi="HG丸ｺﾞｼｯｸM-PRO"/>
                <w:szCs w:val="21"/>
              </w:rPr>
            </w:pPr>
            <w:r w:rsidRPr="001D6D10">
              <w:rPr>
                <w:rFonts w:ascii="HG丸ｺﾞｼｯｸM-PRO" w:eastAsia="HG丸ｺﾞｼｯｸM-PRO" w:hAnsi="HG丸ｺﾞｼｯｸM-PRO" w:hint="eastAsia"/>
                <w:szCs w:val="21"/>
              </w:rPr>
              <w:t xml:space="preserve">　　最接近</w:t>
            </w:r>
          </w:p>
          <w:p w14:paraId="06F0DE00" w14:textId="77777777" w:rsidR="0001205E" w:rsidRPr="001D6D10" w:rsidRDefault="0001205E" w:rsidP="00F35CFE">
            <w:pPr>
              <w:rPr>
                <w:rFonts w:ascii="HG丸ｺﾞｼｯｸM-PRO" w:eastAsia="HG丸ｺﾞｼｯｸM-PRO" w:hAnsi="HG丸ｺﾞｼｯｸM-PRO"/>
                <w:szCs w:val="21"/>
              </w:rPr>
            </w:pPr>
            <w:r w:rsidRPr="001D6D10">
              <w:rPr>
                <w:rFonts w:ascii="HG丸ｺﾞｼｯｸM-PRO" w:eastAsia="HG丸ｺﾞｼｯｸM-PRO" w:hAnsi="HG丸ｺﾞｼｯｸM-PRO" w:hint="eastAsia"/>
                <w:szCs w:val="21"/>
              </w:rPr>
              <w:t>（１日前）</w:t>
            </w:r>
          </w:p>
        </w:tc>
        <w:tc>
          <w:tcPr>
            <w:tcW w:w="7037" w:type="dxa"/>
          </w:tcPr>
          <w:p w14:paraId="61815248" w14:textId="77777777" w:rsidR="0001205E" w:rsidRPr="001D6D10" w:rsidRDefault="0001205E" w:rsidP="00F35CFE">
            <w:pPr>
              <w:rPr>
                <w:rFonts w:ascii="HG丸ｺﾞｼｯｸM-PRO" w:eastAsia="HG丸ｺﾞｼｯｸM-PRO" w:hAnsi="HG丸ｺﾞｼｯｸM-PRO"/>
                <w:szCs w:val="21"/>
              </w:rPr>
            </w:pPr>
            <w:r w:rsidRPr="001D6D10">
              <w:rPr>
                <w:rFonts w:ascii="HG丸ｺﾞｼｯｸM-PRO" w:eastAsia="HG丸ｺﾞｼｯｸM-PRO" w:hAnsi="HG丸ｺﾞｼｯｸM-PRO" w:hint="eastAsia"/>
                <w:szCs w:val="21"/>
              </w:rPr>
              <w:t>庁内連絡会議②：第2回災害警戒本部会議の事前調整等</w:t>
            </w:r>
          </w:p>
          <w:p w14:paraId="393E86E9" w14:textId="77777777" w:rsidR="00742C35" w:rsidRPr="001D6D10" w:rsidRDefault="00742C35" w:rsidP="00742C35">
            <w:pPr>
              <w:rPr>
                <w:rFonts w:ascii="HG丸ｺﾞｼｯｸM-PRO" w:eastAsia="HG丸ｺﾞｼｯｸM-PRO" w:hAnsi="HG丸ｺﾞｼｯｸM-PRO"/>
                <w:szCs w:val="21"/>
              </w:rPr>
            </w:pPr>
            <w:r w:rsidRPr="001D6D10">
              <w:rPr>
                <w:rFonts w:ascii="HG丸ｺﾞｼｯｸM-PRO" w:eastAsia="HG丸ｺﾞｼｯｸM-PRO" w:hAnsi="HG丸ｺﾞｼｯｸM-PRO" w:hint="eastAsia"/>
                <w:szCs w:val="21"/>
              </w:rPr>
              <w:t>□第２回災害警戒本部会議の事前準備</w:t>
            </w:r>
          </w:p>
          <w:p w14:paraId="2ECA6646" w14:textId="77777777" w:rsidR="00742C35" w:rsidRPr="001D6D10" w:rsidRDefault="00742C35" w:rsidP="00742C35">
            <w:pPr>
              <w:rPr>
                <w:rFonts w:ascii="HG丸ｺﾞｼｯｸM-PRO" w:eastAsia="HG丸ｺﾞｼｯｸM-PRO" w:hAnsi="HG丸ｺﾞｼｯｸM-PRO"/>
                <w:szCs w:val="21"/>
              </w:rPr>
            </w:pPr>
            <w:r w:rsidRPr="001D6D10">
              <w:rPr>
                <w:rFonts w:ascii="HG丸ｺﾞｼｯｸM-PRO" w:eastAsia="HG丸ｺﾞｼｯｸM-PRO" w:hAnsi="HG丸ｺﾞｼｯｸM-PRO" w:hint="eastAsia"/>
                <w:szCs w:val="21"/>
              </w:rPr>
              <w:t xml:space="preserve">　・部局内の対応状況の確認、会議での報告のとりまとめ</w:t>
            </w:r>
          </w:p>
          <w:p w14:paraId="25C245CD" w14:textId="77777777" w:rsidR="00742C35" w:rsidRPr="001D6D10" w:rsidRDefault="00742C35" w:rsidP="00742C35">
            <w:pPr>
              <w:rPr>
                <w:rFonts w:ascii="HG丸ｺﾞｼｯｸM-PRO" w:eastAsia="HG丸ｺﾞｼｯｸM-PRO" w:hAnsi="HG丸ｺﾞｼｯｸM-PRO"/>
                <w:szCs w:val="21"/>
              </w:rPr>
            </w:pPr>
            <w:r w:rsidRPr="001D6D10">
              <w:rPr>
                <w:rFonts w:ascii="HG丸ｺﾞｼｯｸM-PRO" w:eastAsia="HG丸ｺﾞｼｯｸM-PRO" w:hAnsi="HG丸ｺﾞｼｯｸM-PRO" w:hint="eastAsia"/>
                <w:szCs w:val="21"/>
              </w:rPr>
              <w:t xml:space="preserve">　・庁舎・所管施設の安全点検</w:t>
            </w:r>
          </w:p>
          <w:p w14:paraId="28FC900F" w14:textId="77777777" w:rsidR="007D0602" w:rsidRPr="001D6D10" w:rsidRDefault="00742C35" w:rsidP="007D0602">
            <w:pPr>
              <w:rPr>
                <w:rFonts w:ascii="HG丸ｺﾞｼｯｸM-PRO" w:eastAsia="HG丸ｺﾞｼｯｸM-PRO" w:hAnsi="HG丸ｺﾞｼｯｸM-PRO"/>
                <w:szCs w:val="21"/>
              </w:rPr>
            </w:pPr>
            <w:r w:rsidRPr="001D6D10">
              <w:rPr>
                <w:rFonts w:ascii="HG丸ｺﾞｼｯｸM-PRO" w:eastAsia="HG丸ｺﾞｼｯｸM-PRO" w:hAnsi="HG丸ｺﾞｼｯｸM-PRO" w:hint="eastAsia"/>
                <w:szCs w:val="21"/>
              </w:rPr>
              <w:t xml:space="preserve">　・公共交通機関計画運休の確認</w:t>
            </w:r>
          </w:p>
          <w:p w14:paraId="7C2F46F8" w14:textId="77777777" w:rsidR="0010145B" w:rsidRPr="001D6D10" w:rsidRDefault="00BD7DE5" w:rsidP="007D0602">
            <w:pPr>
              <w:rPr>
                <w:rFonts w:ascii="HG丸ｺﾞｼｯｸM-PRO" w:eastAsia="HG丸ｺﾞｼｯｸM-PRO" w:hAnsi="HG丸ｺﾞｼｯｸM-PRO"/>
                <w:szCs w:val="21"/>
                <w:u w:val="single"/>
              </w:rPr>
            </w:pPr>
            <w:r w:rsidRPr="001D6D10">
              <w:rPr>
                <w:rFonts w:ascii="HG丸ｺﾞｼｯｸM-PRO" w:eastAsia="HG丸ｺﾞｼｯｸM-PRO" w:hAnsi="HG丸ｺﾞｼｯｸM-PRO" w:hint="eastAsia"/>
                <w:szCs w:val="21"/>
                <w:bdr w:val="single" w:sz="4" w:space="0" w:color="auto"/>
              </w:rPr>
              <w:lastRenderedPageBreak/>
              <w:t>台風説明会</w:t>
            </w:r>
          </w:p>
        </w:tc>
      </w:tr>
      <w:tr w:rsidR="001D6D10" w:rsidRPr="001D6D10" w14:paraId="78E4BB1C" w14:textId="77777777" w:rsidTr="00F35CFE">
        <w:trPr>
          <w:jc w:val="center"/>
        </w:trPr>
        <w:tc>
          <w:tcPr>
            <w:tcW w:w="1457" w:type="dxa"/>
            <w:vMerge/>
          </w:tcPr>
          <w:p w14:paraId="0E06680E" w14:textId="77777777" w:rsidR="0001205E" w:rsidRPr="001D6D10" w:rsidRDefault="0001205E" w:rsidP="00F35CFE">
            <w:pPr>
              <w:rPr>
                <w:rFonts w:ascii="HG丸ｺﾞｼｯｸM-PRO" w:eastAsia="HG丸ｺﾞｼｯｸM-PRO" w:hAnsi="HG丸ｺﾞｼｯｸM-PRO"/>
                <w:szCs w:val="21"/>
              </w:rPr>
            </w:pPr>
          </w:p>
        </w:tc>
        <w:tc>
          <w:tcPr>
            <w:tcW w:w="7037" w:type="dxa"/>
          </w:tcPr>
          <w:p w14:paraId="26D29D2E" w14:textId="77777777" w:rsidR="0001205E" w:rsidRPr="001D6D10" w:rsidRDefault="0001205E" w:rsidP="00F35CFE">
            <w:pPr>
              <w:rPr>
                <w:rFonts w:ascii="HG丸ｺﾞｼｯｸM-PRO" w:eastAsia="HG丸ｺﾞｼｯｸM-PRO" w:hAnsi="HG丸ｺﾞｼｯｸM-PRO"/>
                <w:szCs w:val="21"/>
                <w:highlight w:val="yellow"/>
              </w:rPr>
            </w:pPr>
            <w:r w:rsidRPr="001D6D10">
              <w:rPr>
                <w:rFonts w:ascii="HG丸ｺﾞｼｯｸM-PRO" w:eastAsia="HG丸ｺﾞｼｯｸM-PRO" w:hAnsi="HG丸ｺﾞｼｯｸM-PRO" w:hint="eastAsia"/>
                <w:b/>
                <w:szCs w:val="21"/>
                <w:highlight w:val="yellow"/>
              </w:rPr>
              <w:t>第２回災害警戒本部会議</w:t>
            </w:r>
            <w:r w:rsidRPr="001D6D10">
              <w:rPr>
                <w:rFonts w:ascii="HG丸ｺﾞｼｯｸM-PRO" w:eastAsia="HG丸ｺﾞｼｯｸM-PRO" w:hAnsi="HG丸ｺﾞｼｯｸM-PRO" w:hint="eastAsia"/>
                <w:szCs w:val="21"/>
                <w:highlight w:val="yellow"/>
              </w:rPr>
              <w:t>（災害モード宣言の発信）</w:t>
            </w:r>
            <w:r w:rsidR="00CB0ABF" w:rsidRPr="001D6D10">
              <w:rPr>
                <w:rFonts w:ascii="HG丸ｺﾞｼｯｸM-PRO" w:eastAsia="HG丸ｺﾞｼｯｸM-PRO" w:hAnsi="HG丸ｺﾞｼｯｸM-PRO" w:hint="eastAsia"/>
                <w:szCs w:val="21"/>
                <w:highlight w:val="yellow"/>
              </w:rPr>
              <w:t>（Ｐ47</w:t>
            </w:r>
            <w:r w:rsidR="0010145B" w:rsidRPr="001D6D10">
              <w:rPr>
                <w:rFonts w:ascii="HG丸ｺﾞｼｯｸM-PRO" w:eastAsia="HG丸ｺﾞｼｯｸM-PRO" w:hAnsi="HG丸ｺﾞｼｯｸM-PRO" w:hint="eastAsia"/>
                <w:szCs w:val="21"/>
                <w:highlight w:val="yellow"/>
              </w:rPr>
              <w:t>参照）</w:t>
            </w:r>
          </w:p>
        </w:tc>
      </w:tr>
      <w:tr w:rsidR="001D6D10" w:rsidRPr="001D6D10" w14:paraId="36E41ED3" w14:textId="77777777" w:rsidTr="00F35CFE">
        <w:trPr>
          <w:jc w:val="center"/>
        </w:trPr>
        <w:tc>
          <w:tcPr>
            <w:tcW w:w="1457" w:type="dxa"/>
            <w:vMerge/>
          </w:tcPr>
          <w:p w14:paraId="79EB135C" w14:textId="77777777" w:rsidR="0001205E" w:rsidRPr="001D6D10" w:rsidRDefault="0001205E" w:rsidP="00F35CFE">
            <w:pPr>
              <w:rPr>
                <w:rFonts w:ascii="HG丸ｺﾞｼｯｸM-PRO" w:eastAsia="HG丸ｺﾞｼｯｸM-PRO" w:hAnsi="HG丸ｺﾞｼｯｸM-PRO"/>
                <w:szCs w:val="21"/>
              </w:rPr>
            </w:pPr>
          </w:p>
        </w:tc>
        <w:tc>
          <w:tcPr>
            <w:tcW w:w="7037" w:type="dxa"/>
          </w:tcPr>
          <w:p w14:paraId="4A52A9BB" w14:textId="77777777" w:rsidR="00F35CFE" w:rsidRPr="001D6D10" w:rsidRDefault="00F35CFE" w:rsidP="00F35CFE">
            <w:pPr>
              <w:rPr>
                <w:rFonts w:ascii="HG丸ｺﾞｼｯｸM-PRO" w:eastAsia="HG丸ｺﾞｼｯｸM-PRO" w:hAnsi="HG丸ｺﾞｼｯｸM-PRO"/>
                <w:szCs w:val="21"/>
              </w:rPr>
            </w:pPr>
            <w:r w:rsidRPr="001D6D10">
              <w:rPr>
                <w:rFonts w:ascii="HG丸ｺﾞｼｯｸM-PRO" w:eastAsia="HG丸ｺﾞｼｯｸM-PRO" w:hAnsi="HG丸ｺﾞｼｯｸM-PRO" w:hint="eastAsia"/>
                <w:szCs w:val="21"/>
              </w:rPr>
              <w:t>□危機管理室からの情報の共有</w:t>
            </w:r>
          </w:p>
          <w:p w14:paraId="604647C5" w14:textId="77777777" w:rsidR="0001205E" w:rsidRPr="001D6D10" w:rsidRDefault="0001205E" w:rsidP="00F35CFE">
            <w:pPr>
              <w:rPr>
                <w:rFonts w:ascii="HG丸ｺﾞｼｯｸM-PRO" w:eastAsia="HG丸ｺﾞｼｯｸM-PRO" w:hAnsi="HG丸ｺﾞｼｯｸM-PRO"/>
                <w:szCs w:val="21"/>
              </w:rPr>
            </w:pPr>
            <w:r w:rsidRPr="001D6D10">
              <w:rPr>
                <w:rFonts w:ascii="HG丸ｺﾞｼｯｸM-PRO" w:eastAsia="HG丸ｺﾞｼｯｸM-PRO" w:hAnsi="HG丸ｺﾞｼｯｸM-PRO" w:hint="eastAsia"/>
                <w:szCs w:val="21"/>
              </w:rPr>
              <w:t>□水防体制の構築</w:t>
            </w:r>
          </w:p>
          <w:p w14:paraId="033C2C6F" w14:textId="77777777" w:rsidR="0001205E" w:rsidRPr="001D6D10" w:rsidRDefault="0001205E" w:rsidP="00F35CFE">
            <w:pPr>
              <w:rPr>
                <w:rFonts w:ascii="HG丸ｺﾞｼｯｸM-PRO" w:eastAsia="HG丸ｺﾞｼｯｸM-PRO" w:hAnsi="HG丸ｺﾞｼｯｸM-PRO"/>
                <w:szCs w:val="21"/>
              </w:rPr>
            </w:pPr>
            <w:r w:rsidRPr="001D6D10">
              <w:rPr>
                <w:rFonts w:ascii="HG丸ｺﾞｼｯｸM-PRO" w:eastAsia="HG丸ｺﾞｼｯｸM-PRO" w:hAnsi="HG丸ｺﾞｼｯｸM-PRO" w:hint="eastAsia"/>
                <w:szCs w:val="21"/>
              </w:rPr>
              <w:t>□潮位等の監視情報収集</w:t>
            </w:r>
          </w:p>
          <w:p w14:paraId="368145F6" w14:textId="77777777" w:rsidR="0001205E" w:rsidRPr="001D6D10" w:rsidRDefault="0001205E" w:rsidP="00F35CFE">
            <w:pPr>
              <w:rPr>
                <w:rFonts w:ascii="HG丸ｺﾞｼｯｸM-PRO" w:eastAsia="HG丸ｺﾞｼｯｸM-PRO" w:hAnsi="HG丸ｺﾞｼｯｸM-PRO"/>
                <w:szCs w:val="21"/>
              </w:rPr>
            </w:pPr>
            <w:r w:rsidRPr="001D6D10">
              <w:rPr>
                <w:rFonts w:ascii="HG丸ｺﾞｼｯｸM-PRO" w:eastAsia="HG丸ｺﾞｼｯｸM-PRO" w:hAnsi="HG丸ｺﾞｼｯｸM-PRO" w:hint="eastAsia"/>
                <w:szCs w:val="21"/>
              </w:rPr>
              <w:t>□水防警報（高潮）発表</w:t>
            </w:r>
          </w:p>
          <w:p w14:paraId="1865CB95" w14:textId="77777777" w:rsidR="0001205E" w:rsidRPr="001D6D10" w:rsidRDefault="0001205E" w:rsidP="00F35CFE">
            <w:pPr>
              <w:rPr>
                <w:rFonts w:ascii="HG丸ｺﾞｼｯｸM-PRO" w:eastAsia="HG丸ｺﾞｼｯｸM-PRO" w:hAnsi="HG丸ｺﾞｼｯｸM-PRO"/>
                <w:szCs w:val="21"/>
              </w:rPr>
            </w:pPr>
            <w:r w:rsidRPr="001D6D10">
              <w:rPr>
                <w:rFonts w:ascii="HG丸ｺﾞｼｯｸM-PRO" w:eastAsia="HG丸ｺﾞｼｯｸM-PRO" w:hAnsi="HG丸ｺﾞｼｯｸM-PRO" w:hint="eastAsia"/>
                <w:szCs w:val="21"/>
              </w:rPr>
              <w:t>□高潮対策施設の操作（水門・鉄扉等）</w:t>
            </w:r>
          </w:p>
          <w:p w14:paraId="143FDC1D" w14:textId="77777777" w:rsidR="0001205E" w:rsidRPr="001D6D10" w:rsidRDefault="0001205E" w:rsidP="00F35CFE">
            <w:pPr>
              <w:rPr>
                <w:rFonts w:ascii="HG丸ｺﾞｼｯｸM-PRO" w:eastAsia="HG丸ｺﾞｼｯｸM-PRO" w:hAnsi="HG丸ｺﾞｼｯｸM-PRO"/>
                <w:szCs w:val="21"/>
              </w:rPr>
            </w:pPr>
            <w:r w:rsidRPr="001D6D10">
              <w:rPr>
                <w:rFonts w:ascii="HG丸ｺﾞｼｯｸM-PRO" w:eastAsia="HG丸ｺﾞｼｯｸM-PRO" w:hAnsi="HG丸ｺﾞｼｯｸM-PRO" w:hint="eastAsia"/>
                <w:szCs w:val="21"/>
              </w:rPr>
              <w:t>□港内船舶避難勧告の周知</w:t>
            </w:r>
          </w:p>
          <w:p w14:paraId="70EBF4DC" w14:textId="77777777" w:rsidR="0001205E" w:rsidRPr="001D6D10" w:rsidRDefault="0001205E" w:rsidP="00F35CFE">
            <w:pPr>
              <w:rPr>
                <w:rFonts w:ascii="HG丸ｺﾞｼｯｸM-PRO" w:eastAsia="HG丸ｺﾞｼｯｸM-PRO" w:hAnsi="HG丸ｺﾞｼｯｸM-PRO"/>
                <w:szCs w:val="21"/>
              </w:rPr>
            </w:pPr>
            <w:r w:rsidRPr="001D6D10">
              <w:rPr>
                <w:rFonts w:ascii="HG丸ｺﾞｼｯｸM-PRO" w:eastAsia="HG丸ｺﾞｼｯｸM-PRO" w:hAnsi="HG丸ｺﾞｼｯｸM-PRO" w:hint="eastAsia"/>
                <w:szCs w:val="21"/>
              </w:rPr>
              <w:t>□</w:t>
            </w:r>
            <w:r w:rsidR="00845453" w:rsidRPr="001D6D10">
              <w:rPr>
                <w:rFonts w:ascii="HG丸ｺﾞｼｯｸM-PRO" w:eastAsia="HG丸ｺﾞｼｯｸM-PRO" w:hAnsi="HG丸ｺﾞｼｯｸM-PRO" w:hint="eastAsia"/>
                <w:szCs w:val="21"/>
              </w:rPr>
              <w:t>高潮</w:t>
            </w:r>
            <w:r w:rsidRPr="001D6D10">
              <w:rPr>
                <w:rFonts w:ascii="HG丸ｺﾞｼｯｸM-PRO" w:eastAsia="HG丸ｺﾞｼｯｸM-PRO" w:hAnsi="HG丸ｺﾞｼｯｸM-PRO" w:hint="eastAsia"/>
                <w:szCs w:val="21"/>
              </w:rPr>
              <w:t>氾濫</w:t>
            </w:r>
            <w:r w:rsidR="00F51B00" w:rsidRPr="001D6D10">
              <w:rPr>
                <w:rFonts w:ascii="HG丸ｺﾞｼｯｸM-PRO" w:eastAsia="HG丸ｺﾞｼｯｸM-PRO" w:hAnsi="HG丸ｺﾞｼｯｸM-PRO" w:hint="eastAsia"/>
                <w:szCs w:val="21"/>
              </w:rPr>
              <w:t>発生</w:t>
            </w:r>
            <w:r w:rsidRPr="001D6D10">
              <w:rPr>
                <w:rFonts w:ascii="HG丸ｺﾞｼｯｸM-PRO" w:eastAsia="HG丸ｺﾞｼｯｸM-PRO" w:hAnsi="HG丸ｺﾞｼｯｸM-PRO" w:hint="eastAsia"/>
                <w:szCs w:val="21"/>
              </w:rPr>
              <w:t>情報の発表</w:t>
            </w:r>
          </w:p>
          <w:p w14:paraId="271DA232" w14:textId="77777777" w:rsidR="0001205E" w:rsidRPr="001D6D10" w:rsidRDefault="0001205E" w:rsidP="00F35CFE">
            <w:pPr>
              <w:rPr>
                <w:rFonts w:ascii="HG丸ｺﾞｼｯｸM-PRO" w:eastAsia="HG丸ｺﾞｼｯｸM-PRO" w:hAnsi="HG丸ｺﾞｼｯｸM-PRO"/>
                <w:szCs w:val="21"/>
              </w:rPr>
            </w:pPr>
            <w:r w:rsidRPr="001D6D10">
              <w:rPr>
                <w:rFonts w:ascii="HG丸ｺﾞｼｯｸM-PRO" w:eastAsia="HG丸ｺﾞｼｯｸM-PRO" w:hAnsi="HG丸ｺﾞｼｯｸM-PRO" w:hint="eastAsia"/>
                <w:szCs w:val="21"/>
              </w:rPr>
              <w:t>□浸水危険個所の交通規制等</w:t>
            </w:r>
          </w:p>
        </w:tc>
      </w:tr>
    </w:tbl>
    <w:p w14:paraId="687F4324" w14:textId="77777777" w:rsidR="0001205E" w:rsidRPr="001D6D10" w:rsidRDefault="0001205E" w:rsidP="0001205E">
      <w:pPr>
        <w:rPr>
          <w:rFonts w:ascii="HG丸ｺﾞｼｯｸM-PRO" w:eastAsia="HG丸ｺﾞｼｯｸM-PRO" w:hAnsi="HG丸ｺﾞｼｯｸM-PRO"/>
          <w:szCs w:val="21"/>
        </w:rPr>
      </w:pPr>
      <w:r w:rsidRPr="001D6D10">
        <w:rPr>
          <w:rFonts w:ascii="HG丸ｺﾞｼｯｸM-PRO" w:eastAsia="HG丸ｺﾞｼｯｸM-PRO" w:hAnsi="HG丸ｺﾞｼｯｸM-PRO" w:hint="eastAsia"/>
          <w:szCs w:val="21"/>
        </w:rPr>
        <w:t>※主な所管施設：</w:t>
      </w:r>
      <w:r w:rsidRPr="001D6D10">
        <w:rPr>
          <w:rFonts w:ascii="HG丸ｺﾞｼｯｸM-PRO" w:eastAsia="HG丸ｺﾞｼｯｸM-PRO" w:hAnsi="HG丸ｺﾞｼｯｸM-PRO"/>
          <w:szCs w:val="21"/>
        </w:rPr>
        <w:t xml:space="preserve"> </w:t>
      </w:r>
      <w:r w:rsidRPr="001D6D10">
        <w:rPr>
          <w:rFonts w:ascii="HG丸ｺﾞｼｯｸM-PRO" w:eastAsia="HG丸ｺﾞｼｯｸM-PRO" w:hAnsi="HG丸ｺﾞｼｯｸM-PRO" w:hint="eastAsia"/>
          <w:szCs w:val="21"/>
        </w:rPr>
        <w:t>海岸保全施設（水門・鉄扉等）、港湾施設（防波堤・岸壁・上屋等）</w:t>
      </w:r>
    </w:p>
    <w:p w14:paraId="753FA8A5" w14:textId="0C2810A4" w:rsidR="0001205E" w:rsidRPr="001D6D10" w:rsidRDefault="0001205E" w:rsidP="0001205E">
      <w:pPr>
        <w:rPr>
          <w:rFonts w:ascii="HG丸ｺﾞｼｯｸM-PRO" w:eastAsia="HG丸ｺﾞｼｯｸM-PRO" w:hAnsi="HG丸ｺﾞｼｯｸM-PRO"/>
          <w:szCs w:val="21"/>
        </w:rPr>
      </w:pPr>
      <w:r w:rsidRPr="001D6D10">
        <w:rPr>
          <w:rFonts w:ascii="HG丸ｺﾞｼｯｸM-PRO" w:eastAsia="HG丸ｺﾞｼｯｸM-PRO" w:hAnsi="HG丸ｺﾞｼｯｸM-PRO" w:hint="eastAsia"/>
          <w:sz w:val="22"/>
          <w:szCs w:val="22"/>
        </w:rPr>
        <w:t xml:space="preserve">　　　</w:t>
      </w:r>
      <w:r w:rsidRPr="001D6D10">
        <w:rPr>
          <w:rFonts w:ascii="HG丸ｺﾞｼｯｸM-PRO" w:eastAsia="HG丸ｺﾞｼｯｸM-PRO" w:hAnsi="HG丸ｺﾞｼｯｸM-PRO" w:hint="eastAsia"/>
          <w:szCs w:val="21"/>
        </w:rPr>
        <w:t>関係機関：</w:t>
      </w:r>
      <w:r w:rsidRPr="001D6D10">
        <w:rPr>
          <w:rFonts w:ascii="HG丸ｺﾞｼｯｸM-PRO" w:eastAsia="HG丸ｺﾞｼｯｸM-PRO" w:hAnsi="HG丸ｺﾞｼｯｸM-PRO"/>
          <w:szCs w:val="21"/>
        </w:rPr>
        <w:t xml:space="preserve"> </w:t>
      </w:r>
      <w:r w:rsidRPr="001D6D10">
        <w:rPr>
          <w:rFonts w:ascii="HG丸ｺﾞｼｯｸM-PRO" w:eastAsia="HG丸ｺﾞｼｯｸM-PRO" w:hAnsi="HG丸ｺﾞｼｯｸM-PRO" w:hint="eastAsia"/>
          <w:szCs w:val="21"/>
        </w:rPr>
        <w:t>近畿地方整備局、第五管区海上保安本部、</w:t>
      </w:r>
      <w:r w:rsidR="006459B5" w:rsidRPr="00D705BF">
        <w:rPr>
          <w:rFonts w:ascii="HG丸ｺﾞｼｯｸM-PRO" w:eastAsia="HG丸ｺﾞｼｯｸM-PRO" w:hAnsi="HG丸ｺﾞｼｯｸM-PRO" w:hint="eastAsia"/>
          <w:szCs w:val="21"/>
        </w:rPr>
        <w:t>沿岸</w:t>
      </w:r>
      <w:r w:rsidR="006459B5" w:rsidRPr="001D6D10">
        <w:rPr>
          <w:rFonts w:ascii="HG丸ｺﾞｼｯｸM-PRO" w:eastAsia="HG丸ｺﾞｼｯｸM-PRO" w:hAnsi="HG丸ｺﾞｼｯｸM-PRO" w:hint="eastAsia"/>
          <w:szCs w:val="21"/>
        </w:rPr>
        <w:t>市町</w:t>
      </w:r>
      <w:r w:rsidRPr="001D6D10">
        <w:rPr>
          <w:rFonts w:ascii="HG丸ｺﾞｼｯｸM-PRO" w:eastAsia="HG丸ｺﾞｼｯｸM-PRO" w:hAnsi="HG丸ｺﾞｼｯｸM-PRO" w:hint="eastAsia"/>
          <w:szCs w:val="21"/>
        </w:rPr>
        <w:t>、港湾利用者等</w:t>
      </w:r>
    </w:p>
    <w:p w14:paraId="2635C9B7" w14:textId="77777777" w:rsidR="00C96DF8" w:rsidRPr="001D6D10" w:rsidRDefault="0001205E" w:rsidP="00EB20A0">
      <w:pPr>
        <w:rPr>
          <w:rFonts w:ascii="ＭＳ ゴシック" w:eastAsia="ＭＳ ゴシック" w:hAnsi="ＭＳ ゴシック"/>
          <w:sz w:val="18"/>
          <w:szCs w:val="22"/>
        </w:rPr>
      </w:pPr>
      <w:r w:rsidRPr="001D6D10">
        <w:rPr>
          <w:rFonts w:ascii="ＭＳ ゴシック" w:eastAsia="ＭＳ ゴシック" w:hAnsi="ＭＳ ゴシック" w:hint="eastAsia"/>
          <w:sz w:val="18"/>
          <w:szCs w:val="22"/>
        </w:rPr>
        <w:t>※）本タイムラインから状況に応じて必要な項目を選定し、実施するものとする。</w:t>
      </w:r>
    </w:p>
    <w:p w14:paraId="78882A0C" w14:textId="77777777" w:rsidR="00742C35" w:rsidRPr="001D6D10" w:rsidRDefault="00742C35" w:rsidP="0001205E">
      <w:pPr>
        <w:rPr>
          <w:rFonts w:ascii="ＭＳ ゴシック" w:eastAsia="ＭＳ ゴシック" w:hAnsi="ＭＳ ゴシック"/>
          <w:sz w:val="22"/>
          <w:szCs w:val="22"/>
        </w:rPr>
      </w:pPr>
    </w:p>
    <w:p w14:paraId="5DDD04C7" w14:textId="77777777" w:rsidR="006204B6" w:rsidRPr="001D6D10" w:rsidRDefault="006204B6" w:rsidP="0001205E">
      <w:pPr>
        <w:rPr>
          <w:rFonts w:ascii="ＭＳ ゴシック" w:eastAsia="ＭＳ ゴシック" w:hAnsi="ＭＳ ゴシック"/>
          <w:sz w:val="22"/>
          <w:szCs w:val="22"/>
        </w:rPr>
      </w:pPr>
    </w:p>
    <w:p w14:paraId="03D27DDE" w14:textId="77777777" w:rsidR="00AD02A5" w:rsidRPr="001D6D10" w:rsidRDefault="00AD02A5" w:rsidP="0001205E">
      <w:pPr>
        <w:rPr>
          <w:rFonts w:ascii="ＭＳ ゴシック" w:eastAsia="ＭＳ ゴシック" w:hAnsi="ＭＳ ゴシック"/>
          <w:sz w:val="22"/>
          <w:szCs w:val="22"/>
        </w:rPr>
      </w:pPr>
    </w:p>
    <w:p w14:paraId="477AC02C" w14:textId="77777777" w:rsidR="00930C0D" w:rsidRDefault="00930C0D">
      <w:pPr>
        <w:widowControl/>
        <w:jc w:val="left"/>
        <w:rPr>
          <w:rFonts w:ascii="ＭＳ ゴシック" w:eastAsia="ＭＳ ゴシック" w:hAnsi="ＭＳ ゴシック"/>
          <w:sz w:val="22"/>
          <w:szCs w:val="22"/>
        </w:rPr>
      </w:pPr>
      <w:r>
        <w:rPr>
          <w:rFonts w:ascii="ＭＳ ゴシック" w:eastAsia="ＭＳ ゴシック" w:hAnsi="ＭＳ ゴシック"/>
          <w:sz w:val="22"/>
          <w:szCs w:val="22"/>
        </w:rPr>
        <w:br w:type="page"/>
      </w:r>
    </w:p>
    <w:p w14:paraId="3700B116" w14:textId="5248A1F9" w:rsidR="0001205E" w:rsidRPr="001D6D10" w:rsidRDefault="00B1007D" w:rsidP="0001205E">
      <w:pPr>
        <w:rPr>
          <w:rFonts w:ascii="ＭＳ ゴシック" w:eastAsia="ＭＳ ゴシック" w:hAnsi="ＭＳ ゴシック"/>
          <w:sz w:val="22"/>
          <w:szCs w:val="22"/>
        </w:rPr>
      </w:pPr>
      <w:r w:rsidRPr="001D6D10">
        <w:rPr>
          <w:rFonts w:ascii="ＭＳ ゴシック" w:eastAsia="ＭＳ ゴシック" w:hAnsi="ＭＳ ゴシック" w:hint="eastAsia"/>
          <w:sz w:val="22"/>
          <w:szCs w:val="22"/>
        </w:rPr>
        <w:lastRenderedPageBreak/>
        <w:t>⑮</w:t>
      </w:r>
      <w:r w:rsidR="0001205E" w:rsidRPr="001D6D10">
        <w:rPr>
          <w:rFonts w:ascii="ＭＳ ゴシック" w:eastAsia="ＭＳ ゴシック" w:hAnsi="ＭＳ ゴシック" w:hint="eastAsia"/>
          <w:sz w:val="22"/>
          <w:szCs w:val="22"/>
        </w:rPr>
        <w:t>会計局</w:t>
      </w:r>
    </w:p>
    <w:tbl>
      <w:tblPr>
        <w:tblpPr w:leftFromText="142" w:rightFromText="142" w:vertAnchor="text" w:tblpXSpec="center" w:tblpY="1"/>
        <w:tblOverlap w:val="neve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57"/>
        <w:gridCol w:w="7037"/>
      </w:tblGrid>
      <w:tr w:rsidR="001D6D10" w:rsidRPr="001D6D10" w14:paraId="2D74339D" w14:textId="77777777" w:rsidTr="00F35CFE">
        <w:trPr>
          <w:jc w:val="center"/>
        </w:trPr>
        <w:tc>
          <w:tcPr>
            <w:tcW w:w="1457" w:type="dxa"/>
            <w:tcBorders>
              <w:bottom w:val="single" w:sz="4" w:space="0" w:color="auto"/>
            </w:tcBorders>
            <w:shd w:val="clear" w:color="auto" w:fill="BFBFBF"/>
          </w:tcPr>
          <w:p w14:paraId="3096753B" w14:textId="77777777" w:rsidR="0001205E" w:rsidRPr="001D6D10" w:rsidRDefault="0001205E" w:rsidP="00F35CFE">
            <w:pPr>
              <w:jc w:val="center"/>
              <w:rPr>
                <w:rFonts w:ascii="HG丸ｺﾞｼｯｸM-PRO" w:eastAsia="HG丸ｺﾞｼｯｸM-PRO" w:hAnsi="HG丸ｺﾞｼｯｸM-PRO"/>
                <w:szCs w:val="21"/>
              </w:rPr>
            </w:pPr>
            <w:r w:rsidRPr="001D6D10">
              <w:rPr>
                <w:rFonts w:ascii="HG丸ｺﾞｼｯｸM-PRO" w:eastAsia="HG丸ｺﾞｼｯｸM-PRO" w:hAnsi="HG丸ｺﾞｼｯｸM-PRO" w:hint="eastAsia"/>
                <w:szCs w:val="21"/>
              </w:rPr>
              <w:t>時　期</w:t>
            </w:r>
          </w:p>
        </w:tc>
        <w:tc>
          <w:tcPr>
            <w:tcW w:w="7037" w:type="dxa"/>
            <w:tcBorders>
              <w:bottom w:val="single" w:sz="4" w:space="0" w:color="auto"/>
            </w:tcBorders>
            <w:shd w:val="clear" w:color="auto" w:fill="BFBFBF"/>
          </w:tcPr>
          <w:p w14:paraId="171C22EA" w14:textId="77777777" w:rsidR="0001205E" w:rsidRPr="001D6D10" w:rsidRDefault="00E31DA1" w:rsidP="00F35CFE">
            <w:pPr>
              <w:jc w:val="center"/>
              <w:rPr>
                <w:rFonts w:ascii="HG丸ｺﾞｼｯｸM-PRO" w:eastAsia="HG丸ｺﾞｼｯｸM-PRO" w:hAnsi="HG丸ｺﾞｼｯｸM-PRO"/>
                <w:szCs w:val="21"/>
              </w:rPr>
            </w:pPr>
            <w:r w:rsidRPr="001D6D10">
              <w:rPr>
                <w:rFonts w:ascii="HG丸ｺﾞｼｯｸM-PRO" w:eastAsia="HG丸ｺﾞｼｯｸM-PRO" w:hAnsi="HG丸ｺﾞｼｯｸM-PRO" w:hint="eastAsia"/>
                <w:szCs w:val="21"/>
              </w:rPr>
              <w:t>主な事前準備</w:t>
            </w:r>
            <w:r w:rsidR="0001205E" w:rsidRPr="001D6D10">
              <w:rPr>
                <w:rFonts w:ascii="HG丸ｺﾞｼｯｸM-PRO" w:eastAsia="HG丸ｺﾞｼｯｸM-PRO" w:hAnsi="HG丸ｺﾞｼｯｸM-PRO" w:hint="eastAsia"/>
                <w:szCs w:val="21"/>
              </w:rPr>
              <w:t>業務</w:t>
            </w:r>
          </w:p>
        </w:tc>
      </w:tr>
      <w:tr w:rsidR="001D6D10" w:rsidRPr="001D6D10" w14:paraId="53E8C2BE" w14:textId="77777777" w:rsidTr="00F35CFE">
        <w:trPr>
          <w:jc w:val="center"/>
        </w:trPr>
        <w:tc>
          <w:tcPr>
            <w:tcW w:w="1457" w:type="dxa"/>
            <w:vMerge w:val="restart"/>
            <w:shd w:val="clear" w:color="auto" w:fill="FFFFFF" w:themeFill="background1"/>
          </w:tcPr>
          <w:p w14:paraId="5DECE83F" w14:textId="77777777" w:rsidR="00934E60" w:rsidRPr="001D6D10" w:rsidRDefault="00934E60" w:rsidP="00F35CFE">
            <w:pPr>
              <w:jc w:val="center"/>
              <w:rPr>
                <w:rFonts w:ascii="HG丸ｺﾞｼｯｸM-PRO" w:eastAsia="HG丸ｺﾞｼｯｸM-PRO" w:hAnsi="HG丸ｺﾞｼｯｸM-PRO"/>
                <w:szCs w:val="21"/>
              </w:rPr>
            </w:pPr>
          </w:p>
          <w:p w14:paraId="6496AD66" w14:textId="77777777" w:rsidR="00934E60" w:rsidRPr="001D6D10" w:rsidRDefault="00934E60" w:rsidP="00F35CFE">
            <w:pPr>
              <w:jc w:val="center"/>
              <w:rPr>
                <w:rFonts w:ascii="HG丸ｺﾞｼｯｸM-PRO" w:eastAsia="HG丸ｺﾞｼｯｸM-PRO" w:hAnsi="HG丸ｺﾞｼｯｸM-PRO"/>
                <w:szCs w:val="21"/>
              </w:rPr>
            </w:pPr>
          </w:p>
          <w:p w14:paraId="03870D35" w14:textId="77777777" w:rsidR="00934E60" w:rsidRPr="001D6D10" w:rsidRDefault="00934E60" w:rsidP="00F35CFE">
            <w:pPr>
              <w:jc w:val="center"/>
              <w:rPr>
                <w:rFonts w:ascii="HG丸ｺﾞｼｯｸM-PRO" w:eastAsia="HG丸ｺﾞｼｯｸM-PRO" w:hAnsi="HG丸ｺﾞｼｯｸM-PRO"/>
                <w:szCs w:val="21"/>
              </w:rPr>
            </w:pPr>
          </w:p>
          <w:p w14:paraId="6F1253FD" w14:textId="7CAFA53D" w:rsidR="0001205E" w:rsidRPr="001D6D10" w:rsidRDefault="0001205E" w:rsidP="00F35CFE">
            <w:pPr>
              <w:jc w:val="center"/>
              <w:rPr>
                <w:rFonts w:ascii="HG丸ｺﾞｼｯｸM-PRO" w:eastAsia="HG丸ｺﾞｼｯｸM-PRO" w:hAnsi="HG丸ｺﾞｼｯｸM-PRO"/>
                <w:szCs w:val="21"/>
              </w:rPr>
            </w:pPr>
            <w:r w:rsidRPr="001D6D10">
              <w:rPr>
                <w:rFonts w:ascii="HG丸ｺﾞｼｯｸM-PRO" w:eastAsia="HG丸ｺﾞｼｯｸM-PRO" w:hAnsi="HG丸ｺﾞｼｯｸM-PRO" w:hint="eastAsia"/>
                <w:szCs w:val="21"/>
              </w:rPr>
              <w:t>～48ｈ</w:t>
            </w:r>
            <w:r w:rsidR="0053084D" w:rsidRPr="001D6D10">
              <w:rPr>
                <w:rFonts w:ascii="HG丸ｺﾞｼｯｸM-PRO" w:eastAsia="HG丸ｺﾞｼｯｸM-PRO" w:hAnsi="HG丸ｺﾞｼｯｸM-PRO" w:hint="eastAsia"/>
                <w:szCs w:val="21"/>
              </w:rPr>
              <w:t>前</w:t>
            </w:r>
          </w:p>
          <w:p w14:paraId="2D2CF16B" w14:textId="77777777" w:rsidR="0001205E" w:rsidRPr="001D6D10" w:rsidRDefault="0001205E" w:rsidP="00F35CFE">
            <w:pPr>
              <w:jc w:val="center"/>
              <w:rPr>
                <w:rFonts w:ascii="HG丸ｺﾞｼｯｸM-PRO" w:eastAsia="HG丸ｺﾞｼｯｸM-PRO" w:hAnsi="HG丸ｺﾞｼｯｸM-PRO"/>
                <w:sz w:val="20"/>
                <w:szCs w:val="20"/>
              </w:rPr>
            </w:pPr>
            <w:r w:rsidRPr="001D6D10">
              <w:rPr>
                <w:rFonts w:ascii="HG丸ｺﾞｼｯｸM-PRO" w:eastAsia="HG丸ｺﾞｼｯｸM-PRO" w:hAnsi="HG丸ｺﾞｼｯｸM-PRO" w:hint="eastAsia"/>
                <w:sz w:val="20"/>
                <w:szCs w:val="20"/>
              </w:rPr>
              <w:t>（３日以前）</w:t>
            </w:r>
          </w:p>
        </w:tc>
        <w:tc>
          <w:tcPr>
            <w:tcW w:w="7037" w:type="dxa"/>
            <w:tcBorders>
              <w:bottom w:val="single" w:sz="4" w:space="0" w:color="auto"/>
            </w:tcBorders>
            <w:shd w:val="clear" w:color="auto" w:fill="FFFFFF" w:themeFill="background1"/>
          </w:tcPr>
          <w:p w14:paraId="30366DEA" w14:textId="77777777" w:rsidR="0001205E" w:rsidRPr="001D6D10" w:rsidRDefault="00F35CFE" w:rsidP="00F35CFE">
            <w:pPr>
              <w:rPr>
                <w:rFonts w:ascii="HG丸ｺﾞｼｯｸM-PRO" w:eastAsia="HG丸ｺﾞｼｯｸM-PRO" w:hAnsi="HG丸ｺﾞｼｯｸM-PRO"/>
                <w:szCs w:val="21"/>
              </w:rPr>
            </w:pPr>
            <w:r w:rsidRPr="001D6D10">
              <w:rPr>
                <w:rFonts w:ascii="HG丸ｺﾞｼｯｸM-PRO" w:eastAsia="HG丸ｺﾞｼｯｸM-PRO" w:hAnsi="HG丸ｺﾞｼｯｸM-PRO" w:hint="eastAsia"/>
                <w:szCs w:val="21"/>
              </w:rPr>
              <w:t>□危機管理室からの情報の共有</w:t>
            </w:r>
          </w:p>
          <w:p w14:paraId="33236DE5" w14:textId="77777777" w:rsidR="003B7241" w:rsidRPr="001D6D10" w:rsidRDefault="003B7241" w:rsidP="003B7241">
            <w:pPr>
              <w:rPr>
                <w:rFonts w:ascii="HG丸ｺﾞｼｯｸM-PRO" w:eastAsia="HG丸ｺﾞｼｯｸM-PRO" w:hAnsi="HG丸ｺﾞｼｯｸM-PRO"/>
                <w:szCs w:val="21"/>
              </w:rPr>
            </w:pPr>
            <w:r w:rsidRPr="001D6D10">
              <w:rPr>
                <w:rFonts w:ascii="HG丸ｺﾞｼｯｸM-PRO" w:eastAsia="HG丸ｺﾞｼｯｸM-PRO" w:hAnsi="HG丸ｺﾞｼｯｸM-PRO" w:hint="eastAsia"/>
                <w:szCs w:val="21"/>
              </w:rPr>
              <w:t>□連絡体制の確認</w:t>
            </w:r>
          </w:p>
          <w:p w14:paraId="713BB365" w14:textId="77777777" w:rsidR="00C84712" w:rsidRPr="001D6D10" w:rsidRDefault="00C84712" w:rsidP="00F35CFE">
            <w:pPr>
              <w:rPr>
                <w:rFonts w:ascii="HG丸ｺﾞｼｯｸM-PRO" w:eastAsia="HG丸ｺﾞｼｯｸM-PRO" w:hAnsi="HG丸ｺﾞｼｯｸM-PRO"/>
                <w:szCs w:val="21"/>
              </w:rPr>
            </w:pPr>
            <w:r w:rsidRPr="001D6D10">
              <w:rPr>
                <w:rFonts w:ascii="HG丸ｺﾞｼｯｸM-PRO" w:eastAsia="HG丸ｺﾞｼｯｸM-PRO" w:hAnsi="HG丸ｺﾞｼｯｸM-PRO" w:hint="eastAsia"/>
                <w:szCs w:val="21"/>
              </w:rPr>
              <w:t>□災害対応に関するマニュアル等の確認</w:t>
            </w:r>
          </w:p>
          <w:p w14:paraId="1A5E154B" w14:textId="77777777" w:rsidR="00742C35" w:rsidRPr="001D6D10" w:rsidRDefault="00742C35" w:rsidP="00742C35">
            <w:pPr>
              <w:rPr>
                <w:rFonts w:ascii="HG丸ｺﾞｼｯｸM-PRO" w:eastAsia="HG丸ｺﾞｼｯｸM-PRO" w:hAnsi="HG丸ｺﾞｼｯｸM-PRO"/>
                <w:szCs w:val="21"/>
              </w:rPr>
            </w:pPr>
            <w:r w:rsidRPr="001D6D10">
              <w:rPr>
                <w:rFonts w:ascii="HG丸ｺﾞｼｯｸM-PRO" w:eastAsia="HG丸ｺﾞｼｯｸM-PRO" w:hAnsi="HG丸ｺﾞｼｯｸM-PRO" w:hint="eastAsia"/>
                <w:szCs w:val="21"/>
              </w:rPr>
              <w:t>□指令部会議の事前準備</w:t>
            </w:r>
          </w:p>
          <w:p w14:paraId="26638B6E" w14:textId="77777777" w:rsidR="00742C35" w:rsidRPr="001D6D10" w:rsidRDefault="00742C35" w:rsidP="00742C35">
            <w:pPr>
              <w:rPr>
                <w:rFonts w:ascii="HG丸ｺﾞｼｯｸM-PRO" w:eastAsia="HG丸ｺﾞｼｯｸM-PRO" w:hAnsi="HG丸ｺﾞｼｯｸM-PRO"/>
                <w:szCs w:val="21"/>
                <w:u w:val="single"/>
              </w:rPr>
            </w:pPr>
            <w:r w:rsidRPr="001D6D10">
              <w:rPr>
                <w:rFonts w:ascii="HG丸ｺﾞｼｯｸM-PRO" w:eastAsia="HG丸ｺﾞｼｯｸM-PRO" w:hAnsi="HG丸ｺﾞｼｯｸM-PRO" w:hint="eastAsia"/>
                <w:szCs w:val="21"/>
              </w:rPr>
              <w:t xml:space="preserve">　</w:t>
            </w:r>
            <w:r w:rsidR="005B33EE" w:rsidRPr="001D6D10">
              <w:rPr>
                <w:rFonts w:ascii="HG丸ｺﾞｼｯｸM-PRO" w:eastAsia="HG丸ｺﾞｼｯｸM-PRO" w:hAnsi="HG丸ｺﾞｼｯｸM-PRO" w:hint="eastAsia"/>
                <w:szCs w:val="21"/>
              </w:rPr>
              <w:t>・イベントの有無確認（府主催、共催）</w:t>
            </w:r>
          </w:p>
        </w:tc>
      </w:tr>
      <w:tr w:rsidR="001D6D10" w:rsidRPr="001D6D10" w14:paraId="46190ABD" w14:textId="77777777" w:rsidTr="00F35CFE">
        <w:trPr>
          <w:jc w:val="center"/>
        </w:trPr>
        <w:tc>
          <w:tcPr>
            <w:tcW w:w="1457" w:type="dxa"/>
            <w:vMerge/>
          </w:tcPr>
          <w:p w14:paraId="2383CD50" w14:textId="77777777" w:rsidR="0001205E" w:rsidRPr="001D6D10" w:rsidRDefault="0001205E" w:rsidP="00F35CFE">
            <w:pPr>
              <w:rPr>
                <w:rFonts w:ascii="HG丸ｺﾞｼｯｸM-PRO" w:eastAsia="HG丸ｺﾞｼｯｸM-PRO" w:hAnsi="HG丸ｺﾞｼｯｸM-PRO"/>
                <w:szCs w:val="21"/>
              </w:rPr>
            </w:pPr>
          </w:p>
        </w:tc>
        <w:tc>
          <w:tcPr>
            <w:tcW w:w="7037" w:type="dxa"/>
          </w:tcPr>
          <w:p w14:paraId="12684B2F" w14:textId="77777777" w:rsidR="0001205E" w:rsidRPr="001D6D10" w:rsidRDefault="0001205E" w:rsidP="00F35CFE">
            <w:pPr>
              <w:rPr>
                <w:rFonts w:ascii="HG丸ｺﾞｼｯｸM-PRO" w:eastAsia="HG丸ｺﾞｼｯｸM-PRO" w:hAnsi="HG丸ｺﾞｼｯｸM-PRO"/>
                <w:szCs w:val="21"/>
              </w:rPr>
            </w:pPr>
            <w:r w:rsidRPr="001D6D10">
              <w:rPr>
                <w:rFonts w:ascii="HG丸ｺﾞｼｯｸM-PRO" w:eastAsia="HG丸ｺﾞｼｯｸM-PRO" w:hAnsi="HG丸ｺﾞｼｯｸM-PRO" w:hint="eastAsia"/>
                <w:b/>
                <w:szCs w:val="21"/>
                <w:highlight w:val="yellow"/>
              </w:rPr>
              <w:t>防災・危機管理指令部会議</w:t>
            </w:r>
            <w:r w:rsidRPr="001D6D10">
              <w:rPr>
                <w:rFonts w:ascii="HG丸ｺﾞｼｯｸM-PRO" w:eastAsia="HG丸ｺﾞｼｯｸM-PRO" w:hAnsi="HG丸ｺﾞｼｯｸM-PRO" w:hint="eastAsia"/>
                <w:szCs w:val="21"/>
                <w:highlight w:val="yellow"/>
              </w:rPr>
              <w:t>（おおよそ７２ｈ前）</w:t>
            </w:r>
            <w:r w:rsidR="00CB0ABF" w:rsidRPr="001D6D10">
              <w:rPr>
                <w:rFonts w:ascii="HG丸ｺﾞｼｯｸM-PRO" w:eastAsia="HG丸ｺﾞｼｯｸM-PRO" w:hAnsi="HG丸ｺﾞｼｯｸM-PRO" w:hint="eastAsia"/>
                <w:szCs w:val="21"/>
                <w:highlight w:val="yellow"/>
              </w:rPr>
              <w:t>（Ｐ42</w:t>
            </w:r>
            <w:r w:rsidR="00AD02A5" w:rsidRPr="001D6D10">
              <w:rPr>
                <w:rFonts w:ascii="HG丸ｺﾞｼｯｸM-PRO" w:eastAsia="HG丸ｺﾞｼｯｸM-PRO" w:hAnsi="HG丸ｺﾞｼｯｸM-PRO" w:hint="eastAsia"/>
                <w:szCs w:val="21"/>
                <w:highlight w:val="yellow"/>
              </w:rPr>
              <w:t>参照）</w:t>
            </w:r>
          </w:p>
        </w:tc>
      </w:tr>
      <w:tr w:rsidR="001D6D10" w:rsidRPr="001D6D10" w14:paraId="166E7B0B" w14:textId="77777777" w:rsidTr="00F35CFE">
        <w:trPr>
          <w:jc w:val="center"/>
        </w:trPr>
        <w:tc>
          <w:tcPr>
            <w:tcW w:w="1457" w:type="dxa"/>
            <w:vMerge/>
          </w:tcPr>
          <w:p w14:paraId="49BDC522" w14:textId="77777777" w:rsidR="0001205E" w:rsidRPr="001D6D10" w:rsidRDefault="0001205E" w:rsidP="00F35CFE">
            <w:pPr>
              <w:rPr>
                <w:rFonts w:ascii="HG丸ｺﾞｼｯｸM-PRO" w:eastAsia="HG丸ｺﾞｼｯｸM-PRO" w:hAnsi="HG丸ｺﾞｼｯｸM-PRO"/>
                <w:szCs w:val="21"/>
              </w:rPr>
            </w:pPr>
          </w:p>
        </w:tc>
        <w:tc>
          <w:tcPr>
            <w:tcW w:w="7037" w:type="dxa"/>
          </w:tcPr>
          <w:p w14:paraId="10408657" w14:textId="77777777" w:rsidR="00EF5DDA" w:rsidRPr="001D6D10" w:rsidRDefault="00F35CFE" w:rsidP="00F35CFE">
            <w:pPr>
              <w:rPr>
                <w:rFonts w:ascii="HG丸ｺﾞｼｯｸM-PRO" w:eastAsia="HG丸ｺﾞｼｯｸM-PRO" w:hAnsi="HG丸ｺﾞｼｯｸM-PRO"/>
                <w:szCs w:val="21"/>
              </w:rPr>
            </w:pPr>
            <w:r w:rsidRPr="001D6D10">
              <w:rPr>
                <w:rFonts w:ascii="HG丸ｺﾞｼｯｸM-PRO" w:eastAsia="HG丸ｺﾞｼｯｸM-PRO" w:hAnsi="HG丸ｺﾞｼｯｸM-PRO" w:hint="eastAsia"/>
                <w:szCs w:val="21"/>
              </w:rPr>
              <w:t>□危機管理室からの情報の共有</w:t>
            </w:r>
          </w:p>
        </w:tc>
      </w:tr>
      <w:tr w:rsidR="001D6D10" w:rsidRPr="001D6D10" w14:paraId="2984F941" w14:textId="77777777" w:rsidTr="00F35CFE">
        <w:trPr>
          <w:jc w:val="center"/>
        </w:trPr>
        <w:tc>
          <w:tcPr>
            <w:tcW w:w="1457" w:type="dxa"/>
            <w:vMerge w:val="restart"/>
          </w:tcPr>
          <w:p w14:paraId="27731AC2" w14:textId="77777777" w:rsidR="00934E60" w:rsidRPr="001D6D10" w:rsidRDefault="00934E60" w:rsidP="00F35CFE">
            <w:pPr>
              <w:rPr>
                <w:rFonts w:ascii="HG丸ｺﾞｼｯｸM-PRO" w:eastAsia="HG丸ｺﾞｼｯｸM-PRO" w:hAnsi="HG丸ｺﾞｼｯｸM-PRO"/>
                <w:szCs w:val="21"/>
              </w:rPr>
            </w:pPr>
          </w:p>
          <w:p w14:paraId="05D63C14" w14:textId="77777777" w:rsidR="00934E60" w:rsidRPr="001D6D10" w:rsidRDefault="00934E60" w:rsidP="00F35CFE">
            <w:pPr>
              <w:rPr>
                <w:rFonts w:ascii="HG丸ｺﾞｼｯｸM-PRO" w:eastAsia="HG丸ｺﾞｼｯｸM-PRO" w:hAnsi="HG丸ｺﾞｼｯｸM-PRO"/>
                <w:szCs w:val="21"/>
              </w:rPr>
            </w:pPr>
          </w:p>
          <w:p w14:paraId="06CB7634" w14:textId="77777777" w:rsidR="00934E60" w:rsidRPr="001D6D10" w:rsidRDefault="00934E60" w:rsidP="00F35CFE">
            <w:pPr>
              <w:rPr>
                <w:rFonts w:ascii="HG丸ｺﾞｼｯｸM-PRO" w:eastAsia="HG丸ｺﾞｼｯｸM-PRO" w:hAnsi="HG丸ｺﾞｼｯｸM-PRO"/>
                <w:szCs w:val="21"/>
              </w:rPr>
            </w:pPr>
          </w:p>
          <w:p w14:paraId="46825F70" w14:textId="77777777" w:rsidR="0001205E" w:rsidRPr="001D6D10" w:rsidRDefault="0001205E" w:rsidP="00F35CFE">
            <w:pPr>
              <w:rPr>
                <w:rFonts w:ascii="HG丸ｺﾞｼｯｸM-PRO" w:eastAsia="HG丸ｺﾞｼｯｸM-PRO" w:hAnsi="HG丸ｺﾞｼｯｸM-PRO"/>
                <w:szCs w:val="21"/>
              </w:rPr>
            </w:pPr>
            <w:r w:rsidRPr="001D6D10">
              <w:rPr>
                <w:rFonts w:ascii="HG丸ｺﾞｼｯｸM-PRO" w:eastAsia="HG丸ｺﾞｼｯｸM-PRO" w:hAnsi="HG丸ｺﾞｼｯｸM-PRO" w:hint="eastAsia"/>
                <w:szCs w:val="21"/>
              </w:rPr>
              <w:t>48ｈ前～</w:t>
            </w:r>
          </w:p>
          <w:p w14:paraId="12942E85" w14:textId="77777777" w:rsidR="0001205E" w:rsidRPr="001D6D10" w:rsidRDefault="0001205E" w:rsidP="00F35CFE">
            <w:pPr>
              <w:rPr>
                <w:rFonts w:ascii="HG丸ｺﾞｼｯｸM-PRO" w:eastAsia="HG丸ｺﾞｼｯｸM-PRO" w:hAnsi="HG丸ｺﾞｼｯｸM-PRO"/>
                <w:szCs w:val="21"/>
              </w:rPr>
            </w:pPr>
            <w:r w:rsidRPr="001D6D10">
              <w:rPr>
                <w:rFonts w:ascii="HG丸ｺﾞｼｯｸM-PRO" w:eastAsia="HG丸ｺﾞｼｯｸM-PRO" w:hAnsi="HG丸ｺﾞｼｯｸM-PRO" w:hint="eastAsia"/>
                <w:szCs w:val="21"/>
              </w:rPr>
              <w:t xml:space="preserve">　　24ｈ前</w:t>
            </w:r>
          </w:p>
          <w:p w14:paraId="59C96E32" w14:textId="77777777" w:rsidR="0001205E" w:rsidRPr="001D6D10" w:rsidRDefault="0001205E" w:rsidP="00F35CFE">
            <w:pPr>
              <w:rPr>
                <w:rFonts w:ascii="HG丸ｺﾞｼｯｸM-PRO" w:eastAsia="HG丸ｺﾞｼｯｸM-PRO" w:hAnsi="HG丸ｺﾞｼｯｸM-PRO"/>
                <w:szCs w:val="21"/>
              </w:rPr>
            </w:pPr>
            <w:r w:rsidRPr="001D6D10">
              <w:rPr>
                <w:rFonts w:ascii="HG丸ｺﾞｼｯｸM-PRO" w:eastAsia="HG丸ｺﾞｼｯｸM-PRO" w:hAnsi="HG丸ｺﾞｼｯｸM-PRO" w:hint="eastAsia"/>
                <w:szCs w:val="21"/>
              </w:rPr>
              <w:t>（２日前）</w:t>
            </w:r>
          </w:p>
        </w:tc>
        <w:tc>
          <w:tcPr>
            <w:tcW w:w="7037" w:type="dxa"/>
          </w:tcPr>
          <w:p w14:paraId="1F9551C0" w14:textId="77777777" w:rsidR="0001205E" w:rsidRPr="001D6D10" w:rsidRDefault="0001205E" w:rsidP="00F35CFE">
            <w:pPr>
              <w:rPr>
                <w:rFonts w:ascii="HG丸ｺﾞｼｯｸM-PRO" w:eastAsia="HG丸ｺﾞｼｯｸM-PRO" w:hAnsi="HG丸ｺﾞｼｯｸM-PRO"/>
                <w:sz w:val="18"/>
                <w:szCs w:val="18"/>
              </w:rPr>
            </w:pPr>
            <w:r w:rsidRPr="001D6D10">
              <w:rPr>
                <w:rFonts w:ascii="HG丸ｺﾞｼｯｸM-PRO" w:eastAsia="HG丸ｺﾞｼｯｸM-PRO" w:hAnsi="HG丸ｺﾞｼｯｸM-PRO" w:hint="eastAsia"/>
                <w:szCs w:val="21"/>
              </w:rPr>
              <w:t>庁内連絡会議①：災害モード宣言の内容、第1回災害警戒本部会議の事前調整等</w:t>
            </w:r>
            <w:r w:rsidRPr="001D6D10">
              <w:rPr>
                <w:rFonts w:ascii="HG丸ｺﾞｼｯｸM-PRO" w:eastAsia="HG丸ｺﾞｼｯｸM-PRO" w:hAnsi="HG丸ｺﾞｼｯｸM-PRO" w:hint="eastAsia"/>
                <w:sz w:val="18"/>
                <w:szCs w:val="18"/>
              </w:rPr>
              <w:t>(警戒本部会議議題：管理施設の休館及び学校休校の検討、イベント等の中止検討、職員の配備態勢)</w:t>
            </w:r>
          </w:p>
          <w:p w14:paraId="3E6E0792" w14:textId="77777777" w:rsidR="00742C35" w:rsidRPr="001D6D10" w:rsidRDefault="00742C35" w:rsidP="00742C35">
            <w:pPr>
              <w:rPr>
                <w:rFonts w:ascii="HG丸ｺﾞｼｯｸM-PRO" w:eastAsia="HG丸ｺﾞｼｯｸM-PRO" w:hAnsi="HG丸ｺﾞｼｯｸM-PRO"/>
                <w:szCs w:val="21"/>
              </w:rPr>
            </w:pPr>
            <w:r w:rsidRPr="001D6D10">
              <w:rPr>
                <w:rFonts w:ascii="HG丸ｺﾞｼｯｸM-PRO" w:eastAsia="HG丸ｺﾞｼｯｸM-PRO" w:hAnsi="HG丸ｺﾞｼｯｸM-PRO" w:hint="eastAsia"/>
                <w:szCs w:val="21"/>
              </w:rPr>
              <w:t>□第１回災害警戒本部会議の事前準備</w:t>
            </w:r>
          </w:p>
          <w:p w14:paraId="1E253732" w14:textId="77777777" w:rsidR="00742C35" w:rsidRPr="001D6D10" w:rsidRDefault="00742C35" w:rsidP="00742C35">
            <w:pPr>
              <w:rPr>
                <w:rFonts w:ascii="HG丸ｺﾞｼｯｸM-PRO" w:eastAsia="HG丸ｺﾞｼｯｸM-PRO" w:hAnsi="HG丸ｺﾞｼｯｸM-PRO"/>
                <w:szCs w:val="21"/>
              </w:rPr>
            </w:pPr>
            <w:r w:rsidRPr="001D6D10">
              <w:rPr>
                <w:rFonts w:ascii="HG丸ｺﾞｼｯｸM-PRO" w:eastAsia="HG丸ｺﾞｼｯｸM-PRO" w:hAnsi="HG丸ｺﾞｼｯｸM-PRO" w:hint="eastAsia"/>
                <w:szCs w:val="21"/>
              </w:rPr>
              <w:t xml:space="preserve">　・部局内の対応状況の確認、会議での報告のとりまとめ</w:t>
            </w:r>
          </w:p>
          <w:p w14:paraId="14C333C3" w14:textId="77777777" w:rsidR="007D0602" w:rsidRPr="001D6D10" w:rsidRDefault="00742C35" w:rsidP="007D0602">
            <w:pPr>
              <w:rPr>
                <w:rFonts w:ascii="HG丸ｺﾞｼｯｸM-PRO" w:eastAsia="HG丸ｺﾞｼｯｸM-PRO" w:hAnsi="HG丸ｺﾞｼｯｸM-PRO"/>
                <w:szCs w:val="21"/>
              </w:rPr>
            </w:pPr>
            <w:r w:rsidRPr="001D6D10">
              <w:rPr>
                <w:rFonts w:ascii="HG丸ｺﾞｼｯｸM-PRO" w:eastAsia="HG丸ｺﾞｼｯｸM-PRO" w:hAnsi="HG丸ｺﾞｼｯｸM-PRO" w:hint="eastAsia"/>
                <w:szCs w:val="21"/>
              </w:rPr>
              <w:t xml:space="preserve">　・</w:t>
            </w:r>
            <w:r w:rsidR="00E05762" w:rsidRPr="001D6D10">
              <w:rPr>
                <w:rFonts w:ascii="HG丸ｺﾞｼｯｸM-PRO" w:eastAsia="HG丸ｺﾞｼｯｸM-PRO" w:hAnsi="HG丸ｺﾞｼｯｸM-PRO" w:hint="eastAsia"/>
                <w:szCs w:val="21"/>
              </w:rPr>
              <w:t>庁舎</w:t>
            </w:r>
            <w:r w:rsidRPr="001D6D10">
              <w:rPr>
                <w:rFonts w:ascii="HG丸ｺﾞｼｯｸM-PRO" w:eastAsia="HG丸ｺﾞｼｯｸM-PRO" w:hAnsi="HG丸ｺﾞｼｯｸM-PRO" w:hint="eastAsia"/>
                <w:szCs w:val="21"/>
              </w:rPr>
              <w:t>の安全確認</w:t>
            </w:r>
          </w:p>
          <w:p w14:paraId="1FA574F7" w14:textId="77777777" w:rsidR="00BD7DE5" w:rsidRPr="001D6D10" w:rsidRDefault="00BD7DE5" w:rsidP="007D0602">
            <w:pPr>
              <w:rPr>
                <w:rFonts w:ascii="HG丸ｺﾞｼｯｸM-PRO" w:eastAsia="HG丸ｺﾞｼｯｸM-PRO" w:hAnsi="HG丸ｺﾞｼｯｸM-PRO"/>
                <w:szCs w:val="21"/>
                <w:u w:val="single"/>
              </w:rPr>
            </w:pPr>
            <w:r w:rsidRPr="001D6D10">
              <w:rPr>
                <w:rFonts w:ascii="HG丸ｺﾞｼｯｸM-PRO" w:eastAsia="HG丸ｺﾞｼｯｸM-PRO" w:hAnsi="HG丸ｺﾞｼｯｸM-PRO" w:hint="eastAsia"/>
                <w:szCs w:val="21"/>
                <w:bdr w:val="single" w:sz="4" w:space="0" w:color="auto"/>
              </w:rPr>
              <w:t>台風説明会</w:t>
            </w:r>
          </w:p>
        </w:tc>
      </w:tr>
      <w:tr w:rsidR="001D6D10" w:rsidRPr="001D6D10" w14:paraId="443F8D18" w14:textId="77777777" w:rsidTr="00F35CFE">
        <w:trPr>
          <w:jc w:val="center"/>
        </w:trPr>
        <w:tc>
          <w:tcPr>
            <w:tcW w:w="1457" w:type="dxa"/>
            <w:vMerge/>
          </w:tcPr>
          <w:p w14:paraId="6D5AFE10" w14:textId="77777777" w:rsidR="0001205E" w:rsidRPr="001D6D10" w:rsidRDefault="0001205E" w:rsidP="00F35CFE">
            <w:pPr>
              <w:rPr>
                <w:rFonts w:ascii="HG丸ｺﾞｼｯｸM-PRO" w:eastAsia="HG丸ｺﾞｼｯｸM-PRO" w:hAnsi="HG丸ｺﾞｼｯｸM-PRO"/>
                <w:szCs w:val="21"/>
              </w:rPr>
            </w:pPr>
          </w:p>
        </w:tc>
        <w:tc>
          <w:tcPr>
            <w:tcW w:w="7037" w:type="dxa"/>
          </w:tcPr>
          <w:p w14:paraId="56D1A8A4" w14:textId="77777777" w:rsidR="0001205E" w:rsidRPr="001D6D10" w:rsidRDefault="0001205E" w:rsidP="00F35CFE">
            <w:pPr>
              <w:rPr>
                <w:rFonts w:ascii="HG丸ｺﾞｼｯｸM-PRO" w:eastAsia="HG丸ｺﾞｼｯｸM-PRO" w:hAnsi="HG丸ｺﾞｼｯｸM-PRO"/>
                <w:szCs w:val="21"/>
                <w:highlight w:val="yellow"/>
              </w:rPr>
            </w:pPr>
            <w:r w:rsidRPr="001D6D10">
              <w:rPr>
                <w:rFonts w:ascii="HG丸ｺﾞｼｯｸM-PRO" w:eastAsia="HG丸ｺﾞｼｯｸM-PRO" w:hAnsi="HG丸ｺﾞｼｯｸM-PRO" w:hint="eastAsia"/>
                <w:b/>
                <w:szCs w:val="21"/>
                <w:highlight w:val="yellow"/>
              </w:rPr>
              <w:t>第1回災害警戒本部会議</w:t>
            </w:r>
            <w:r w:rsidRPr="001D6D10">
              <w:rPr>
                <w:rFonts w:ascii="HG丸ｺﾞｼｯｸM-PRO" w:eastAsia="HG丸ｺﾞｼｯｸM-PRO" w:hAnsi="HG丸ｺﾞｼｯｸM-PRO" w:hint="eastAsia"/>
                <w:szCs w:val="21"/>
                <w:highlight w:val="yellow"/>
              </w:rPr>
              <w:t>（災害モード宣言の内容検討）</w:t>
            </w:r>
            <w:r w:rsidR="00CB0ABF" w:rsidRPr="001D6D10">
              <w:rPr>
                <w:rFonts w:ascii="HG丸ｺﾞｼｯｸM-PRO" w:eastAsia="HG丸ｺﾞｼｯｸM-PRO" w:hAnsi="HG丸ｺﾞｼｯｸM-PRO" w:hint="eastAsia"/>
                <w:szCs w:val="21"/>
                <w:highlight w:val="yellow"/>
              </w:rPr>
              <w:t>（Ｐ47</w:t>
            </w:r>
            <w:r w:rsidR="0010145B" w:rsidRPr="001D6D10">
              <w:rPr>
                <w:rFonts w:ascii="HG丸ｺﾞｼｯｸM-PRO" w:eastAsia="HG丸ｺﾞｼｯｸM-PRO" w:hAnsi="HG丸ｺﾞｼｯｸM-PRO" w:hint="eastAsia"/>
                <w:szCs w:val="21"/>
                <w:highlight w:val="yellow"/>
              </w:rPr>
              <w:t>参照）</w:t>
            </w:r>
          </w:p>
        </w:tc>
      </w:tr>
      <w:tr w:rsidR="001D6D10" w:rsidRPr="001D6D10" w14:paraId="7E4AD37F" w14:textId="77777777" w:rsidTr="00F35CFE">
        <w:trPr>
          <w:jc w:val="center"/>
        </w:trPr>
        <w:tc>
          <w:tcPr>
            <w:tcW w:w="1457" w:type="dxa"/>
            <w:vMerge/>
          </w:tcPr>
          <w:p w14:paraId="5514B2AD" w14:textId="77777777" w:rsidR="0001205E" w:rsidRPr="001D6D10" w:rsidRDefault="0001205E" w:rsidP="00F35CFE">
            <w:pPr>
              <w:rPr>
                <w:rFonts w:ascii="HG丸ｺﾞｼｯｸM-PRO" w:eastAsia="HG丸ｺﾞｼｯｸM-PRO" w:hAnsi="HG丸ｺﾞｼｯｸM-PRO"/>
                <w:szCs w:val="21"/>
              </w:rPr>
            </w:pPr>
          </w:p>
        </w:tc>
        <w:tc>
          <w:tcPr>
            <w:tcW w:w="7037" w:type="dxa"/>
          </w:tcPr>
          <w:p w14:paraId="16177257" w14:textId="77777777" w:rsidR="0001205E" w:rsidRPr="001D6D10" w:rsidRDefault="00F35CFE" w:rsidP="00F35CFE">
            <w:pPr>
              <w:rPr>
                <w:rFonts w:ascii="HG丸ｺﾞｼｯｸM-PRO" w:eastAsia="HG丸ｺﾞｼｯｸM-PRO" w:hAnsi="HG丸ｺﾞｼｯｸM-PRO"/>
                <w:szCs w:val="21"/>
              </w:rPr>
            </w:pPr>
            <w:r w:rsidRPr="001D6D10">
              <w:rPr>
                <w:rFonts w:ascii="HG丸ｺﾞｼｯｸM-PRO" w:eastAsia="HG丸ｺﾞｼｯｸM-PRO" w:hAnsi="HG丸ｺﾞｼｯｸM-PRO" w:hint="eastAsia"/>
                <w:szCs w:val="21"/>
              </w:rPr>
              <w:t>□危機管理室からの情報の共有</w:t>
            </w:r>
          </w:p>
          <w:p w14:paraId="1C8A1EC4" w14:textId="77777777" w:rsidR="005A0125" w:rsidRPr="001D6D10" w:rsidRDefault="005A0125" w:rsidP="005A0125">
            <w:pPr>
              <w:rPr>
                <w:rFonts w:ascii="HG丸ｺﾞｼｯｸM-PRO" w:eastAsia="HG丸ｺﾞｼｯｸM-PRO" w:hAnsi="HG丸ｺﾞｼｯｸM-PRO"/>
                <w:szCs w:val="21"/>
              </w:rPr>
            </w:pPr>
            <w:r w:rsidRPr="001D6D10">
              <w:rPr>
                <w:rFonts w:ascii="HG丸ｺﾞｼｯｸM-PRO" w:eastAsia="HG丸ｺﾞｼｯｸM-PRO" w:hAnsi="HG丸ｺﾞｼｯｸM-PRO" w:hint="eastAsia"/>
                <w:szCs w:val="21"/>
              </w:rPr>
              <w:t>□公共交通機関計画運休の確認</w:t>
            </w:r>
          </w:p>
          <w:p w14:paraId="79CB10A7" w14:textId="77777777" w:rsidR="005A0125" w:rsidRPr="001D6D10" w:rsidRDefault="00376F1D" w:rsidP="00F35CFE">
            <w:pPr>
              <w:rPr>
                <w:rFonts w:ascii="HG丸ｺﾞｼｯｸM-PRO" w:eastAsia="HG丸ｺﾞｼｯｸM-PRO" w:hAnsi="HG丸ｺﾞｼｯｸM-PRO"/>
                <w:szCs w:val="21"/>
              </w:rPr>
            </w:pPr>
            <w:r w:rsidRPr="001D6D10">
              <w:rPr>
                <w:rFonts w:ascii="HG丸ｺﾞｼｯｸM-PRO" w:eastAsia="HG丸ｺﾞｼｯｸM-PRO" w:hAnsi="HG丸ｺﾞｼｯｸM-PRO" w:hint="eastAsia"/>
                <w:szCs w:val="21"/>
              </w:rPr>
              <w:t>□職員体制の確認・確保</w:t>
            </w:r>
          </w:p>
        </w:tc>
      </w:tr>
      <w:tr w:rsidR="001D6D10" w:rsidRPr="001D6D10" w14:paraId="04A3C9F7" w14:textId="77777777" w:rsidTr="00F35CFE">
        <w:trPr>
          <w:jc w:val="center"/>
        </w:trPr>
        <w:tc>
          <w:tcPr>
            <w:tcW w:w="1457" w:type="dxa"/>
            <w:vMerge w:val="restart"/>
          </w:tcPr>
          <w:p w14:paraId="17A0A0A8" w14:textId="77777777" w:rsidR="00934E60" w:rsidRPr="001D6D10" w:rsidRDefault="00934E60" w:rsidP="00F35CFE">
            <w:pPr>
              <w:rPr>
                <w:rFonts w:ascii="HG丸ｺﾞｼｯｸM-PRO" w:eastAsia="HG丸ｺﾞｼｯｸM-PRO" w:hAnsi="HG丸ｺﾞｼｯｸM-PRO"/>
                <w:szCs w:val="21"/>
              </w:rPr>
            </w:pPr>
          </w:p>
          <w:p w14:paraId="084007B4" w14:textId="77777777" w:rsidR="00934E60" w:rsidRPr="001D6D10" w:rsidRDefault="00934E60" w:rsidP="00F35CFE">
            <w:pPr>
              <w:rPr>
                <w:rFonts w:ascii="HG丸ｺﾞｼｯｸM-PRO" w:eastAsia="HG丸ｺﾞｼｯｸM-PRO" w:hAnsi="HG丸ｺﾞｼｯｸM-PRO"/>
                <w:szCs w:val="21"/>
              </w:rPr>
            </w:pPr>
          </w:p>
          <w:p w14:paraId="1B74407C" w14:textId="77777777" w:rsidR="0001205E" w:rsidRPr="001D6D10" w:rsidRDefault="0001205E" w:rsidP="00F35CFE">
            <w:pPr>
              <w:rPr>
                <w:rFonts w:ascii="HG丸ｺﾞｼｯｸM-PRO" w:eastAsia="HG丸ｺﾞｼｯｸM-PRO" w:hAnsi="HG丸ｺﾞｼｯｸM-PRO"/>
                <w:szCs w:val="21"/>
              </w:rPr>
            </w:pPr>
            <w:r w:rsidRPr="001D6D10">
              <w:rPr>
                <w:rFonts w:ascii="HG丸ｺﾞｼｯｸM-PRO" w:eastAsia="HG丸ｺﾞｼｯｸM-PRO" w:hAnsi="HG丸ｺﾞｼｯｸM-PRO" w:hint="eastAsia"/>
                <w:szCs w:val="21"/>
              </w:rPr>
              <w:t>24ｈ前～</w:t>
            </w:r>
          </w:p>
          <w:p w14:paraId="55DAA272" w14:textId="77777777" w:rsidR="0001205E" w:rsidRPr="001D6D10" w:rsidRDefault="0001205E" w:rsidP="00F35CFE">
            <w:pPr>
              <w:rPr>
                <w:rFonts w:ascii="HG丸ｺﾞｼｯｸM-PRO" w:eastAsia="HG丸ｺﾞｼｯｸM-PRO" w:hAnsi="HG丸ｺﾞｼｯｸM-PRO"/>
                <w:szCs w:val="21"/>
              </w:rPr>
            </w:pPr>
            <w:r w:rsidRPr="001D6D10">
              <w:rPr>
                <w:rFonts w:ascii="HG丸ｺﾞｼｯｸM-PRO" w:eastAsia="HG丸ｺﾞｼｯｸM-PRO" w:hAnsi="HG丸ｺﾞｼｯｸM-PRO" w:hint="eastAsia"/>
                <w:szCs w:val="21"/>
              </w:rPr>
              <w:t xml:space="preserve">　　最接近</w:t>
            </w:r>
          </w:p>
          <w:p w14:paraId="3F96E19B" w14:textId="77777777" w:rsidR="0001205E" w:rsidRPr="001D6D10" w:rsidRDefault="0001205E" w:rsidP="00F35CFE">
            <w:pPr>
              <w:rPr>
                <w:rFonts w:ascii="HG丸ｺﾞｼｯｸM-PRO" w:eastAsia="HG丸ｺﾞｼｯｸM-PRO" w:hAnsi="HG丸ｺﾞｼｯｸM-PRO"/>
                <w:szCs w:val="21"/>
              </w:rPr>
            </w:pPr>
            <w:r w:rsidRPr="001D6D10">
              <w:rPr>
                <w:rFonts w:ascii="HG丸ｺﾞｼｯｸM-PRO" w:eastAsia="HG丸ｺﾞｼｯｸM-PRO" w:hAnsi="HG丸ｺﾞｼｯｸM-PRO" w:hint="eastAsia"/>
                <w:szCs w:val="21"/>
              </w:rPr>
              <w:t>（１日前）</w:t>
            </w:r>
          </w:p>
        </w:tc>
        <w:tc>
          <w:tcPr>
            <w:tcW w:w="7037" w:type="dxa"/>
          </w:tcPr>
          <w:p w14:paraId="1A59CA42" w14:textId="77777777" w:rsidR="0001205E" w:rsidRPr="001D6D10" w:rsidRDefault="0001205E" w:rsidP="00F35CFE">
            <w:pPr>
              <w:rPr>
                <w:rFonts w:ascii="HG丸ｺﾞｼｯｸM-PRO" w:eastAsia="HG丸ｺﾞｼｯｸM-PRO" w:hAnsi="HG丸ｺﾞｼｯｸM-PRO"/>
                <w:szCs w:val="21"/>
              </w:rPr>
            </w:pPr>
            <w:r w:rsidRPr="001D6D10">
              <w:rPr>
                <w:rFonts w:ascii="HG丸ｺﾞｼｯｸM-PRO" w:eastAsia="HG丸ｺﾞｼｯｸM-PRO" w:hAnsi="HG丸ｺﾞｼｯｸM-PRO" w:hint="eastAsia"/>
                <w:szCs w:val="21"/>
              </w:rPr>
              <w:t>庁内連絡会議②：第2回災害警戒本部会議の事前調整等</w:t>
            </w:r>
          </w:p>
          <w:p w14:paraId="01B0FC61" w14:textId="77777777" w:rsidR="00742C35" w:rsidRPr="001D6D10" w:rsidRDefault="00742C35" w:rsidP="00742C35">
            <w:pPr>
              <w:rPr>
                <w:rFonts w:ascii="HG丸ｺﾞｼｯｸM-PRO" w:eastAsia="HG丸ｺﾞｼｯｸM-PRO" w:hAnsi="HG丸ｺﾞｼｯｸM-PRO"/>
                <w:szCs w:val="21"/>
              </w:rPr>
            </w:pPr>
            <w:r w:rsidRPr="001D6D10">
              <w:rPr>
                <w:rFonts w:ascii="HG丸ｺﾞｼｯｸM-PRO" w:eastAsia="HG丸ｺﾞｼｯｸM-PRO" w:hAnsi="HG丸ｺﾞｼｯｸM-PRO" w:hint="eastAsia"/>
                <w:szCs w:val="21"/>
              </w:rPr>
              <w:t>□第２回災害警戒本部会議の事前準備</w:t>
            </w:r>
          </w:p>
          <w:p w14:paraId="7DCEC3C4" w14:textId="77777777" w:rsidR="00742C35" w:rsidRPr="001D6D10" w:rsidRDefault="00742C35" w:rsidP="00742C35">
            <w:pPr>
              <w:rPr>
                <w:rFonts w:ascii="HG丸ｺﾞｼｯｸM-PRO" w:eastAsia="HG丸ｺﾞｼｯｸM-PRO" w:hAnsi="HG丸ｺﾞｼｯｸM-PRO"/>
                <w:szCs w:val="21"/>
              </w:rPr>
            </w:pPr>
            <w:r w:rsidRPr="001D6D10">
              <w:rPr>
                <w:rFonts w:ascii="HG丸ｺﾞｼｯｸM-PRO" w:eastAsia="HG丸ｺﾞｼｯｸM-PRO" w:hAnsi="HG丸ｺﾞｼｯｸM-PRO" w:hint="eastAsia"/>
                <w:szCs w:val="21"/>
              </w:rPr>
              <w:t xml:space="preserve">　・部局内の対応状況の確認、会議での報告のとりまとめ</w:t>
            </w:r>
          </w:p>
          <w:p w14:paraId="00392EB2" w14:textId="77777777" w:rsidR="007D0602" w:rsidRPr="001D6D10" w:rsidRDefault="00742C35" w:rsidP="007D0602">
            <w:pPr>
              <w:rPr>
                <w:rFonts w:ascii="HG丸ｺﾞｼｯｸM-PRO" w:eastAsia="HG丸ｺﾞｼｯｸM-PRO" w:hAnsi="HG丸ｺﾞｼｯｸM-PRO"/>
                <w:szCs w:val="21"/>
              </w:rPr>
            </w:pPr>
            <w:r w:rsidRPr="001D6D10">
              <w:rPr>
                <w:rFonts w:ascii="HG丸ｺﾞｼｯｸM-PRO" w:eastAsia="HG丸ｺﾞｼｯｸM-PRO" w:hAnsi="HG丸ｺﾞｼｯｸM-PRO" w:hint="eastAsia"/>
                <w:szCs w:val="21"/>
              </w:rPr>
              <w:t xml:space="preserve">　・</w:t>
            </w:r>
            <w:r w:rsidR="00E05762" w:rsidRPr="001D6D10">
              <w:rPr>
                <w:rFonts w:ascii="HG丸ｺﾞｼｯｸM-PRO" w:eastAsia="HG丸ｺﾞｼｯｸM-PRO" w:hAnsi="HG丸ｺﾞｼｯｸM-PRO" w:hint="eastAsia"/>
                <w:szCs w:val="21"/>
              </w:rPr>
              <w:t>庁舎</w:t>
            </w:r>
            <w:r w:rsidRPr="001D6D10">
              <w:rPr>
                <w:rFonts w:ascii="HG丸ｺﾞｼｯｸM-PRO" w:eastAsia="HG丸ｺﾞｼｯｸM-PRO" w:hAnsi="HG丸ｺﾞｼｯｸM-PRO" w:hint="eastAsia"/>
                <w:szCs w:val="21"/>
              </w:rPr>
              <w:t>の安全点検</w:t>
            </w:r>
          </w:p>
          <w:p w14:paraId="2CC109DA" w14:textId="77777777" w:rsidR="00BD7DE5" w:rsidRPr="001D6D10" w:rsidRDefault="00BD7DE5" w:rsidP="007D0602">
            <w:pPr>
              <w:rPr>
                <w:rFonts w:ascii="HG丸ｺﾞｼｯｸM-PRO" w:eastAsia="HG丸ｺﾞｼｯｸM-PRO" w:hAnsi="HG丸ｺﾞｼｯｸM-PRO"/>
                <w:szCs w:val="21"/>
                <w:u w:val="single"/>
              </w:rPr>
            </w:pPr>
            <w:r w:rsidRPr="001D6D10">
              <w:rPr>
                <w:rFonts w:ascii="HG丸ｺﾞｼｯｸM-PRO" w:eastAsia="HG丸ｺﾞｼｯｸM-PRO" w:hAnsi="HG丸ｺﾞｼｯｸM-PRO" w:hint="eastAsia"/>
                <w:szCs w:val="21"/>
                <w:bdr w:val="single" w:sz="4" w:space="0" w:color="auto"/>
              </w:rPr>
              <w:t>台風説明会</w:t>
            </w:r>
          </w:p>
        </w:tc>
      </w:tr>
      <w:tr w:rsidR="001D6D10" w:rsidRPr="001D6D10" w14:paraId="06255096" w14:textId="77777777" w:rsidTr="00F35CFE">
        <w:trPr>
          <w:jc w:val="center"/>
        </w:trPr>
        <w:tc>
          <w:tcPr>
            <w:tcW w:w="1457" w:type="dxa"/>
            <w:vMerge/>
          </w:tcPr>
          <w:p w14:paraId="1A87BB76" w14:textId="77777777" w:rsidR="0001205E" w:rsidRPr="001D6D10" w:rsidRDefault="0001205E" w:rsidP="00F35CFE">
            <w:pPr>
              <w:rPr>
                <w:rFonts w:ascii="HG丸ｺﾞｼｯｸM-PRO" w:eastAsia="HG丸ｺﾞｼｯｸM-PRO" w:hAnsi="HG丸ｺﾞｼｯｸM-PRO"/>
                <w:szCs w:val="21"/>
              </w:rPr>
            </w:pPr>
          </w:p>
        </w:tc>
        <w:tc>
          <w:tcPr>
            <w:tcW w:w="7037" w:type="dxa"/>
          </w:tcPr>
          <w:p w14:paraId="642F5038" w14:textId="77777777" w:rsidR="0001205E" w:rsidRPr="001D6D10" w:rsidRDefault="0001205E" w:rsidP="00F35CFE">
            <w:pPr>
              <w:rPr>
                <w:rFonts w:ascii="HG丸ｺﾞｼｯｸM-PRO" w:eastAsia="HG丸ｺﾞｼｯｸM-PRO" w:hAnsi="HG丸ｺﾞｼｯｸM-PRO"/>
                <w:szCs w:val="21"/>
                <w:highlight w:val="yellow"/>
              </w:rPr>
            </w:pPr>
            <w:r w:rsidRPr="001D6D10">
              <w:rPr>
                <w:rFonts w:ascii="HG丸ｺﾞｼｯｸM-PRO" w:eastAsia="HG丸ｺﾞｼｯｸM-PRO" w:hAnsi="HG丸ｺﾞｼｯｸM-PRO" w:hint="eastAsia"/>
                <w:b/>
                <w:szCs w:val="21"/>
                <w:highlight w:val="yellow"/>
              </w:rPr>
              <w:t>第２回災害警戒本部会議</w:t>
            </w:r>
            <w:r w:rsidRPr="001D6D10">
              <w:rPr>
                <w:rFonts w:ascii="HG丸ｺﾞｼｯｸM-PRO" w:eastAsia="HG丸ｺﾞｼｯｸM-PRO" w:hAnsi="HG丸ｺﾞｼｯｸM-PRO" w:hint="eastAsia"/>
                <w:szCs w:val="21"/>
                <w:highlight w:val="yellow"/>
              </w:rPr>
              <w:t>（災害モード宣言の発信）</w:t>
            </w:r>
            <w:r w:rsidR="00CB0ABF" w:rsidRPr="001D6D10">
              <w:rPr>
                <w:rFonts w:ascii="HG丸ｺﾞｼｯｸM-PRO" w:eastAsia="HG丸ｺﾞｼｯｸM-PRO" w:hAnsi="HG丸ｺﾞｼｯｸM-PRO" w:hint="eastAsia"/>
                <w:szCs w:val="21"/>
                <w:highlight w:val="yellow"/>
              </w:rPr>
              <w:t>（Ｐ47</w:t>
            </w:r>
            <w:r w:rsidR="0010145B" w:rsidRPr="001D6D10">
              <w:rPr>
                <w:rFonts w:ascii="HG丸ｺﾞｼｯｸM-PRO" w:eastAsia="HG丸ｺﾞｼｯｸM-PRO" w:hAnsi="HG丸ｺﾞｼｯｸM-PRO" w:hint="eastAsia"/>
                <w:szCs w:val="21"/>
                <w:highlight w:val="yellow"/>
              </w:rPr>
              <w:t>参照）</w:t>
            </w:r>
          </w:p>
        </w:tc>
      </w:tr>
      <w:tr w:rsidR="001D6D10" w:rsidRPr="001D6D10" w14:paraId="130A3787" w14:textId="77777777" w:rsidTr="00F35CFE">
        <w:trPr>
          <w:jc w:val="center"/>
        </w:trPr>
        <w:tc>
          <w:tcPr>
            <w:tcW w:w="1457" w:type="dxa"/>
            <w:vMerge/>
          </w:tcPr>
          <w:p w14:paraId="60912E9B" w14:textId="77777777" w:rsidR="0001205E" w:rsidRPr="001D6D10" w:rsidRDefault="0001205E" w:rsidP="00F35CFE">
            <w:pPr>
              <w:rPr>
                <w:rFonts w:ascii="HG丸ｺﾞｼｯｸM-PRO" w:eastAsia="HG丸ｺﾞｼｯｸM-PRO" w:hAnsi="HG丸ｺﾞｼｯｸM-PRO"/>
                <w:szCs w:val="21"/>
              </w:rPr>
            </w:pPr>
          </w:p>
        </w:tc>
        <w:tc>
          <w:tcPr>
            <w:tcW w:w="7037" w:type="dxa"/>
          </w:tcPr>
          <w:p w14:paraId="3CB5DF47" w14:textId="77777777" w:rsidR="00F35CFE" w:rsidRPr="001D6D10" w:rsidRDefault="00F35CFE" w:rsidP="00F35CFE">
            <w:pPr>
              <w:rPr>
                <w:rFonts w:ascii="HG丸ｺﾞｼｯｸM-PRO" w:eastAsia="HG丸ｺﾞｼｯｸM-PRO" w:hAnsi="HG丸ｺﾞｼｯｸM-PRO"/>
                <w:szCs w:val="21"/>
              </w:rPr>
            </w:pPr>
            <w:r w:rsidRPr="001D6D10">
              <w:rPr>
                <w:rFonts w:ascii="HG丸ｺﾞｼｯｸM-PRO" w:eastAsia="HG丸ｺﾞｼｯｸM-PRO" w:hAnsi="HG丸ｺﾞｼｯｸM-PRO" w:hint="eastAsia"/>
                <w:szCs w:val="21"/>
              </w:rPr>
              <w:t>□危機管理室からの情報の共有</w:t>
            </w:r>
          </w:p>
          <w:p w14:paraId="28438102" w14:textId="77777777" w:rsidR="0001205E" w:rsidRPr="001D6D10" w:rsidRDefault="0001205E" w:rsidP="00F35CFE">
            <w:pPr>
              <w:rPr>
                <w:rFonts w:ascii="HG丸ｺﾞｼｯｸM-PRO" w:eastAsia="HG丸ｺﾞｼｯｸM-PRO" w:hAnsi="HG丸ｺﾞｼｯｸM-PRO"/>
                <w:szCs w:val="21"/>
              </w:rPr>
            </w:pPr>
            <w:r w:rsidRPr="001D6D10">
              <w:rPr>
                <w:rFonts w:ascii="HG丸ｺﾞｼｯｸM-PRO" w:eastAsia="HG丸ｺﾞｼｯｸM-PRO" w:hAnsi="HG丸ｺﾞｼｯｸM-PRO" w:hint="eastAsia"/>
                <w:szCs w:val="21"/>
              </w:rPr>
              <w:t>□指定金融機関の業務継続等の確認</w:t>
            </w:r>
          </w:p>
          <w:p w14:paraId="40B8F7E1" w14:textId="77777777" w:rsidR="00EF5DDA" w:rsidRPr="001D6D10" w:rsidRDefault="0001205E" w:rsidP="00F35CFE">
            <w:pPr>
              <w:rPr>
                <w:rFonts w:ascii="HG丸ｺﾞｼｯｸM-PRO" w:eastAsia="HG丸ｺﾞｼｯｸM-PRO" w:hAnsi="HG丸ｺﾞｼｯｸM-PRO"/>
                <w:szCs w:val="21"/>
              </w:rPr>
            </w:pPr>
            <w:r w:rsidRPr="001D6D10">
              <w:rPr>
                <w:rFonts w:ascii="HG丸ｺﾞｼｯｸM-PRO" w:eastAsia="HG丸ｺﾞｼｯｸM-PRO" w:hAnsi="HG丸ｺﾞｼｯｸM-PRO" w:hint="eastAsia"/>
                <w:szCs w:val="21"/>
              </w:rPr>
              <w:t>□各手数料納付窓口の安全状況等の確認</w:t>
            </w:r>
          </w:p>
        </w:tc>
      </w:tr>
    </w:tbl>
    <w:p w14:paraId="0A00DFC8" w14:textId="77777777" w:rsidR="0001205E" w:rsidRPr="001D6D10" w:rsidRDefault="0001205E" w:rsidP="0001205E">
      <w:pPr>
        <w:rPr>
          <w:rFonts w:ascii="HG丸ｺﾞｼｯｸM-PRO" w:eastAsia="HG丸ｺﾞｼｯｸM-PRO" w:hAnsi="HG丸ｺﾞｼｯｸM-PRO"/>
          <w:szCs w:val="21"/>
        </w:rPr>
      </w:pPr>
      <w:r w:rsidRPr="001D6D10">
        <w:rPr>
          <w:rFonts w:ascii="HG丸ｺﾞｼｯｸM-PRO" w:eastAsia="HG丸ｺﾞｼｯｸM-PRO" w:hAnsi="HG丸ｺﾞｼｯｸM-PRO" w:hint="eastAsia"/>
          <w:szCs w:val="21"/>
        </w:rPr>
        <w:t>※主な所管施設：</w:t>
      </w:r>
    </w:p>
    <w:p w14:paraId="5E95B5CD" w14:textId="77777777" w:rsidR="0001205E" w:rsidRPr="001D6D10" w:rsidRDefault="0001205E" w:rsidP="0001205E">
      <w:pPr>
        <w:ind w:firstLineChars="300" w:firstLine="633"/>
        <w:rPr>
          <w:rFonts w:ascii="HG丸ｺﾞｼｯｸM-PRO" w:eastAsia="HG丸ｺﾞｼｯｸM-PRO" w:hAnsi="HG丸ｺﾞｼｯｸM-PRO"/>
          <w:szCs w:val="21"/>
        </w:rPr>
      </w:pPr>
      <w:r w:rsidRPr="001D6D10">
        <w:rPr>
          <w:rFonts w:ascii="HG丸ｺﾞｼｯｸM-PRO" w:eastAsia="HG丸ｺﾞｼｯｸM-PRO" w:hAnsi="HG丸ｺﾞｼｯｸM-PRO" w:hint="eastAsia"/>
          <w:szCs w:val="21"/>
        </w:rPr>
        <w:t>関係機関：指定金融機関、各手数料収納等業務受託者</w:t>
      </w:r>
    </w:p>
    <w:p w14:paraId="306C5184" w14:textId="77777777" w:rsidR="0001205E" w:rsidRPr="001D6D10" w:rsidRDefault="0001205E" w:rsidP="0001205E">
      <w:pPr>
        <w:rPr>
          <w:rFonts w:ascii="HG丸ｺﾞｼｯｸM-PRO" w:eastAsia="HG丸ｺﾞｼｯｸM-PRO" w:hAnsi="HG丸ｺﾞｼｯｸM-PRO"/>
          <w:szCs w:val="21"/>
        </w:rPr>
      </w:pPr>
      <w:r w:rsidRPr="001D6D10">
        <w:rPr>
          <w:rFonts w:ascii="HG丸ｺﾞｼｯｸM-PRO" w:eastAsia="HG丸ｺﾞｼｯｸM-PRO" w:hAnsi="HG丸ｺﾞｼｯｸM-PRO" w:hint="eastAsia"/>
          <w:szCs w:val="21"/>
        </w:rPr>
        <w:t xml:space="preserve">　　　システム：財務会計システム、官庁会計システム</w:t>
      </w:r>
    </w:p>
    <w:p w14:paraId="467FF8D7" w14:textId="77777777" w:rsidR="0001205E" w:rsidRPr="001D6D10" w:rsidRDefault="00EF5DDA" w:rsidP="0001205E">
      <w:pPr>
        <w:rPr>
          <w:rFonts w:ascii="ＭＳ ゴシック" w:eastAsia="ＭＳ ゴシック" w:hAnsi="ＭＳ ゴシック"/>
          <w:sz w:val="18"/>
          <w:szCs w:val="22"/>
        </w:rPr>
      </w:pPr>
      <w:r w:rsidRPr="001D6D10">
        <w:rPr>
          <w:rFonts w:ascii="ＭＳ ゴシック" w:eastAsia="ＭＳ ゴシック" w:hAnsi="ＭＳ ゴシック" w:hint="eastAsia"/>
          <w:sz w:val="18"/>
          <w:szCs w:val="22"/>
        </w:rPr>
        <w:t>※）本タイムラインから状況に応じて必要な項目を選定し、実施するものとする。</w:t>
      </w:r>
    </w:p>
    <w:p w14:paraId="659D9050" w14:textId="77777777" w:rsidR="00E05762" w:rsidRPr="001D6D10" w:rsidRDefault="00E05762" w:rsidP="00EB20A0">
      <w:pPr>
        <w:rPr>
          <w:rFonts w:ascii="ＭＳ ゴシック" w:eastAsia="ＭＳ ゴシック" w:hAnsi="ＭＳ ゴシック"/>
          <w:sz w:val="18"/>
          <w:szCs w:val="22"/>
        </w:rPr>
      </w:pPr>
    </w:p>
    <w:p w14:paraId="030B6B4E" w14:textId="77777777" w:rsidR="00930C0D" w:rsidRDefault="00930C0D">
      <w:pPr>
        <w:widowControl/>
        <w:jc w:val="left"/>
        <w:rPr>
          <w:rFonts w:ascii="ＭＳ ゴシック" w:eastAsia="ＭＳ ゴシック" w:hAnsi="ＭＳ ゴシック"/>
          <w:sz w:val="22"/>
          <w:szCs w:val="22"/>
        </w:rPr>
      </w:pPr>
      <w:r>
        <w:rPr>
          <w:rFonts w:ascii="ＭＳ ゴシック" w:eastAsia="ＭＳ ゴシック" w:hAnsi="ＭＳ ゴシック"/>
          <w:sz w:val="22"/>
          <w:szCs w:val="22"/>
        </w:rPr>
        <w:br w:type="page"/>
      </w:r>
    </w:p>
    <w:p w14:paraId="68B62759" w14:textId="1CDDC641" w:rsidR="0001205E" w:rsidRPr="001D6D10" w:rsidRDefault="00B1007D" w:rsidP="0001205E">
      <w:pPr>
        <w:rPr>
          <w:rFonts w:ascii="ＭＳ ゴシック" w:eastAsia="ＭＳ ゴシック" w:hAnsi="ＭＳ ゴシック"/>
          <w:sz w:val="22"/>
          <w:szCs w:val="22"/>
        </w:rPr>
      </w:pPr>
      <w:r w:rsidRPr="001D6D10">
        <w:rPr>
          <w:rFonts w:ascii="ＭＳ ゴシック" w:eastAsia="ＭＳ ゴシック" w:hAnsi="ＭＳ ゴシック" w:hint="eastAsia"/>
          <w:sz w:val="22"/>
          <w:szCs w:val="22"/>
        </w:rPr>
        <w:lastRenderedPageBreak/>
        <w:t>⑯</w:t>
      </w:r>
      <w:r w:rsidR="0001205E" w:rsidRPr="001D6D10">
        <w:rPr>
          <w:rFonts w:ascii="ＭＳ ゴシック" w:eastAsia="ＭＳ ゴシック" w:hAnsi="ＭＳ ゴシック" w:hint="eastAsia"/>
          <w:sz w:val="22"/>
          <w:szCs w:val="22"/>
        </w:rPr>
        <w:t>教育庁</w:t>
      </w:r>
    </w:p>
    <w:tbl>
      <w:tblPr>
        <w:tblpPr w:leftFromText="142" w:rightFromText="142" w:vertAnchor="text" w:tblpXSpec="center" w:tblpY="1"/>
        <w:tblOverlap w:val="neve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57"/>
        <w:gridCol w:w="7037"/>
      </w:tblGrid>
      <w:tr w:rsidR="001D6D10" w:rsidRPr="001D6D10" w14:paraId="284F5755" w14:textId="77777777" w:rsidTr="00F35CFE">
        <w:trPr>
          <w:jc w:val="center"/>
        </w:trPr>
        <w:tc>
          <w:tcPr>
            <w:tcW w:w="1457" w:type="dxa"/>
            <w:tcBorders>
              <w:bottom w:val="single" w:sz="4" w:space="0" w:color="auto"/>
            </w:tcBorders>
            <w:shd w:val="clear" w:color="auto" w:fill="BFBFBF"/>
          </w:tcPr>
          <w:p w14:paraId="2F107CD1" w14:textId="77777777" w:rsidR="0001205E" w:rsidRPr="001D6D10" w:rsidRDefault="0001205E" w:rsidP="00F35CFE">
            <w:pPr>
              <w:jc w:val="center"/>
              <w:rPr>
                <w:rFonts w:ascii="HG丸ｺﾞｼｯｸM-PRO" w:eastAsia="HG丸ｺﾞｼｯｸM-PRO" w:hAnsi="HG丸ｺﾞｼｯｸM-PRO"/>
                <w:szCs w:val="21"/>
              </w:rPr>
            </w:pPr>
            <w:r w:rsidRPr="001D6D10">
              <w:rPr>
                <w:rFonts w:ascii="HG丸ｺﾞｼｯｸM-PRO" w:eastAsia="HG丸ｺﾞｼｯｸM-PRO" w:hAnsi="HG丸ｺﾞｼｯｸM-PRO" w:hint="eastAsia"/>
                <w:szCs w:val="21"/>
              </w:rPr>
              <w:t>時　期</w:t>
            </w:r>
          </w:p>
        </w:tc>
        <w:tc>
          <w:tcPr>
            <w:tcW w:w="7037" w:type="dxa"/>
            <w:tcBorders>
              <w:bottom w:val="single" w:sz="4" w:space="0" w:color="auto"/>
            </w:tcBorders>
            <w:shd w:val="clear" w:color="auto" w:fill="BFBFBF"/>
          </w:tcPr>
          <w:p w14:paraId="26911E97" w14:textId="77777777" w:rsidR="0001205E" w:rsidRPr="001D6D10" w:rsidRDefault="00E31DA1" w:rsidP="00F35CFE">
            <w:pPr>
              <w:jc w:val="center"/>
              <w:rPr>
                <w:rFonts w:ascii="HG丸ｺﾞｼｯｸM-PRO" w:eastAsia="HG丸ｺﾞｼｯｸM-PRO" w:hAnsi="HG丸ｺﾞｼｯｸM-PRO"/>
                <w:szCs w:val="21"/>
              </w:rPr>
            </w:pPr>
            <w:r w:rsidRPr="001D6D10">
              <w:rPr>
                <w:rFonts w:ascii="HG丸ｺﾞｼｯｸM-PRO" w:eastAsia="HG丸ｺﾞｼｯｸM-PRO" w:hAnsi="HG丸ｺﾞｼｯｸM-PRO" w:hint="eastAsia"/>
                <w:szCs w:val="21"/>
              </w:rPr>
              <w:t>主な事前準備</w:t>
            </w:r>
            <w:r w:rsidR="0001205E" w:rsidRPr="001D6D10">
              <w:rPr>
                <w:rFonts w:ascii="HG丸ｺﾞｼｯｸM-PRO" w:eastAsia="HG丸ｺﾞｼｯｸM-PRO" w:hAnsi="HG丸ｺﾞｼｯｸM-PRO" w:hint="eastAsia"/>
                <w:szCs w:val="21"/>
              </w:rPr>
              <w:t>業務</w:t>
            </w:r>
          </w:p>
        </w:tc>
      </w:tr>
      <w:tr w:rsidR="001D6D10" w:rsidRPr="001D6D10" w14:paraId="622C5FD4" w14:textId="77777777" w:rsidTr="00F35CFE">
        <w:trPr>
          <w:jc w:val="center"/>
        </w:trPr>
        <w:tc>
          <w:tcPr>
            <w:tcW w:w="1457" w:type="dxa"/>
            <w:vMerge w:val="restart"/>
            <w:shd w:val="clear" w:color="auto" w:fill="FFFFFF" w:themeFill="background1"/>
          </w:tcPr>
          <w:p w14:paraId="06D60E81" w14:textId="77777777" w:rsidR="00934E60" w:rsidRPr="001D6D10" w:rsidRDefault="00934E60" w:rsidP="00F35CFE">
            <w:pPr>
              <w:jc w:val="center"/>
              <w:rPr>
                <w:rFonts w:ascii="HG丸ｺﾞｼｯｸM-PRO" w:eastAsia="HG丸ｺﾞｼｯｸM-PRO" w:hAnsi="HG丸ｺﾞｼｯｸM-PRO"/>
                <w:szCs w:val="21"/>
              </w:rPr>
            </w:pPr>
          </w:p>
          <w:p w14:paraId="5CF72E4C" w14:textId="77777777" w:rsidR="00934E60" w:rsidRPr="001D6D10" w:rsidRDefault="00934E60" w:rsidP="00F35CFE">
            <w:pPr>
              <w:jc w:val="center"/>
              <w:rPr>
                <w:rFonts w:ascii="HG丸ｺﾞｼｯｸM-PRO" w:eastAsia="HG丸ｺﾞｼｯｸM-PRO" w:hAnsi="HG丸ｺﾞｼｯｸM-PRO"/>
                <w:szCs w:val="21"/>
              </w:rPr>
            </w:pPr>
          </w:p>
          <w:p w14:paraId="11B805BC" w14:textId="77777777" w:rsidR="00934E60" w:rsidRPr="001D6D10" w:rsidRDefault="00934E60" w:rsidP="00F35CFE">
            <w:pPr>
              <w:jc w:val="center"/>
              <w:rPr>
                <w:rFonts w:ascii="HG丸ｺﾞｼｯｸM-PRO" w:eastAsia="HG丸ｺﾞｼｯｸM-PRO" w:hAnsi="HG丸ｺﾞｼｯｸM-PRO"/>
                <w:szCs w:val="21"/>
              </w:rPr>
            </w:pPr>
          </w:p>
          <w:p w14:paraId="5BC0B4E4" w14:textId="1A4ACE48" w:rsidR="0001205E" w:rsidRPr="001D6D10" w:rsidRDefault="0001205E" w:rsidP="00F35CFE">
            <w:pPr>
              <w:jc w:val="center"/>
              <w:rPr>
                <w:rFonts w:ascii="HG丸ｺﾞｼｯｸM-PRO" w:eastAsia="HG丸ｺﾞｼｯｸM-PRO" w:hAnsi="HG丸ｺﾞｼｯｸM-PRO"/>
                <w:szCs w:val="21"/>
              </w:rPr>
            </w:pPr>
            <w:r w:rsidRPr="001D6D10">
              <w:rPr>
                <w:rFonts w:ascii="HG丸ｺﾞｼｯｸM-PRO" w:eastAsia="HG丸ｺﾞｼｯｸM-PRO" w:hAnsi="HG丸ｺﾞｼｯｸM-PRO" w:hint="eastAsia"/>
                <w:szCs w:val="21"/>
              </w:rPr>
              <w:t>～48ｈ</w:t>
            </w:r>
            <w:r w:rsidR="0053084D" w:rsidRPr="001D6D10">
              <w:rPr>
                <w:rFonts w:ascii="HG丸ｺﾞｼｯｸM-PRO" w:eastAsia="HG丸ｺﾞｼｯｸM-PRO" w:hAnsi="HG丸ｺﾞｼｯｸM-PRO" w:hint="eastAsia"/>
                <w:szCs w:val="21"/>
              </w:rPr>
              <w:t>前</w:t>
            </w:r>
          </w:p>
          <w:p w14:paraId="0AE8867E" w14:textId="77777777" w:rsidR="0001205E" w:rsidRPr="001D6D10" w:rsidRDefault="0001205E" w:rsidP="00F35CFE">
            <w:pPr>
              <w:jc w:val="center"/>
              <w:rPr>
                <w:rFonts w:ascii="HG丸ｺﾞｼｯｸM-PRO" w:eastAsia="HG丸ｺﾞｼｯｸM-PRO" w:hAnsi="HG丸ｺﾞｼｯｸM-PRO"/>
                <w:sz w:val="20"/>
                <w:szCs w:val="20"/>
              </w:rPr>
            </w:pPr>
            <w:r w:rsidRPr="001D6D10">
              <w:rPr>
                <w:rFonts w:ascii="HG丸ｺﾞｼｯｸM-PRO" w:eastAsia="HG丸ｺﾞｼｯｸM-PRO" w:hAnsi="HG丸ｺﾞｼｯｸM-PRO" w:hint="eastAsia"/>
                <w:sz w:val="20"/>
                <w:szCs w:val="20"/>
              </w:rPr>
              <w:t>（３日以前）</w:t>
            </w:r>
          </w:p>
        </w:tc>
        <w:tc>
          <w:tcPr>
            <w:tcW w:w="7037" w:type="dxa"/>
            <w:tcBorders>
              <w:bottom w:val="single" w:sz="4" w:space="0" w:color="auto"/>
            </w:tcBorders>
            <w:shd w:val="clear" w:color="auto" w:fill="FFFFFF" w:themeFill="background1"/>
          </w:tcPr>
          <w:p w14:paraId="157C4653" w14:textId="77777777" w:rsidR="0001205E" w:rsidRPr="001D6D10" w:rsidRDefault="009B1A57" w:rsidP="00F35CFE">
            <w:pPr>
              <w:rPr>
                <w:rFonts w:ascii="HG丸ｺﾞｼｯｸM-PRO" w:eastAsia="HG丸ｺﾞｼｯｸM-PRO" w:hAnsi="HG丸ｺﾞｼｯｸM-PRO"/>
                <w:szCs w:val="21"/>
              </w:rPr>
            </w:pPr>
            <w:r w:rsidRPr="001D6D10">
              <w:rPr>
                <w:rFonts w:ascii="HG丸ｺﾞｼｯｸM-PRO" w:eastAsia="HG丸ｺﾞｼｯｸM-PRO" w:hAnsi="HG丸ｺﾞｼｯｸM-PRO" w:hint="eastAsia"/>
                <w:szCs w:val="21"/>
              </w:rPr>
              <w:t>□危機管理室からの情報の共有</w:t>
            </w:r>
          </w:p>
          <w:p w14:paraId="5BA29A9E" w14:textId="77777777" w:rsidR="003B7241" w:rsidRPr="001D6D10" w:rsidRDefault="003B7241" w:rsidP="003B7241">
            <w:pPr>
              <w:rPr>
                <w:rFonts w:ascii="HG丸ｺﾞｼｯｸM-PRO" w:eastAsia="HG丸ｺﾞｼｯｸM-PRO" w:hAnsi="HG丸ｺﾞｼｯｸM-PRO"/>
                <w:szCs w:val="21"/>
              </w:rPr>
            </w:pPr>
            <w:r w:rsidRPr="001D6D10">
              <w:rPr>
                <w:rFonts w:ascii="HG丸ｺﾞｼｯｸM-PRO" w:eastAsia="HG丸ｺﾞｼｯｸM-PRO" w:hAnsi="HG丸ｺﾞｼｯｸM-PRO" w:hint="eastAsia"/>
                <w:szCs w:val="21"/>
              </w:rPr>
              <w:t>□連絡体制の確認</w:t>
            </w:r>
          </w:p>
          <w:p w14:paraId="08128FA5" w14:textId="77777777" w:rsidR="00C84712" w:rsidRPr="001D6D10" w:rsidRDefault="00C84712" w:rsidP="00F35CFE">
            <w:pPr>
              <w:rPr>
                <w:rFonts w:ascii="HG丸ｺﾞｼｯｸM-PRO" w:eastAsia="HG丸ｺﾞｼｯｸM-PRO" w:hAnsi="HG丸ｺﾞｼｯｸM-PRO"/>
                <w:szCs w:val="21"/>
              </w:rPr>
            </w:pPr>
            <w:r w:rsidRPr="001D6D10">
              <w:rPr>
                <w:rFonts w:ascii="HG丸ｺﾞｼｯｸM-PRO" w:eastAsia="HG丸ｺﾞｼｯｸM-PRO" w:hAnsi="HG丸ｺﾞｼｯｸM-PRO" w:hint="eastAsia"/>
                <w:szCs w:val="21"/>
              </w:rPr>
              <w:t>□災害対応に関するマニュアル等の確認</w:t>
            </w:r>
          </w:p>
          <w:p w14:paraId="4B1D642A" w14:textId="77777777" w:rsidR="00742C35" w:rsidRPr="001D6D10" w:rsidRDefault="00742C35" w:rsidP="00742C35">
            <w:pPr>
              <w:rPr>
                <w:rFonts w:ascii="HG丸ｺﾞｼｯｸM-PRO" w:eastAsia="HG丸ｺﾞｼｯｸM-PRO" w:hAnsi="HG丸ｺﾞｼｯｸM-PRO"/>
                <w:szCs w:val="21"/>
              </w:rPr>
            </w:pPr>
            <w:r w:rsidRPr="001D6D10">
              <w:rPr>
                <w:rFonts w:ascii="HG丸ｺﾞｼｯｸM-PRO" w:eastAsia="HG丸ｺﾞｼｯｸM-PRO" w:hAnsi="HG丸ｺﾞｼｯｸM-PRO" w:hint="eastAsia"/>
                <w:szCs w:val="21"/>
              </w:rPr>
              <w:t>□指令部会議の事前準備</w:t>
            </w:r>
          </w:p>
          <w:p w14:paraId="41987414" w14:textId="77777777" w:rsidR="00742C35" w:rsidRPr="001D6D10" w:rsidRDefault="00742C35" w:rsidP="00742C35">
            <w:pPr>
              <w:rPr>
                <w:rFonts w:ascii="HG丸ｺﾞｼｯｸM-PRO" w:eastAsia="HG丸ｺﾞｼｯｸM-PRO" w:hAnsi="HG丸ｺﾞｼｯｸM-PRO"/>
                <w:szCs w:val="21"/>
              </w:rPr>
            </w:pPr>
            <w:r w:rsidRPr="001D6D10">
              <w:rPr>
                <w:rFonts w:ascii="HG丸ｺﾞｼｯｸM-PRO" w:eastAsia="HG丸ｺﾞｼｯｸM-PRO" w:hAnsi="HG丸ｺﾞｼｯｸM-PRO" w:hint="eastAsia"/>
                <w:szCs w:val="21"/>
              </w:rPr>
              <w:t xml:space="preserve">　</w:t>
            </w:r>
            <w:r w:rsidR="005B33EE" w:rsidRPr="001D6D10">
              <w:rPr>
                <w:rFonts w:ascii="HG丸ｺﾞｼｯｸM-PRO" w:eastAsia="HG丸ｺﾞｼｯｸM-PRO" w:hAnsi="HG丸ｺﾞｼｯｸM-PRO" w:hint="eastAsia"/>
                <w:szCs w:val="21"/>
              </w:rPr>
              <w:t>・府主催イベントの有無の確</w:t>
            </w:r>
          </w:p>
          <w:p w14:paraId="10A9EE6C" w14:textId="77777777" w:rsidR="00742C35" w:rsidRPr="001D6D10" w:rsidRDefault="00742C35" w:rsidP="00742C35">
            <w:pPr>
              <w:rPr>
                <w:rFonts w:ascii="HG丸ｺﾞｼｯｸM-PRO" w:eastAsia="HG丸ｺﾞｼｯｸM-PRO" w:hAnsi="HG丸ｺﾞｼｯｸM-PRO"/>
                <w:szCs w:val="21"/>
              </w:rPr>
            </w:pPr>
            <w:r w:rsidRPr="001D6D10">
              <w:rPr>
                <w:rFonts w:ascii="HG丸ｺﾞｼｯｸM-PRO" w:eastAsia="HG丸ｺﾞｼｯｸM-PRO" w:hAnsi="HG丸ｺﾞｼｯｸM-PRO" w:hint="eastAsia"/>
                <w:szCs w:val="21"/>
              </w:rPr>
              <w:t xml:space="preserve">　・所管団体等への注意喚起など</w:t>
            </w:r>
          </w:p>
        </w:tc>
      </w:tr>
      <w:tr w:rsidR="001D6D10" w:rsidRPr="001D6D10" w14:paraId="45ACEA6B" w14:textId="77777777" w:rsidTr="00F35CFE">
        <w:trPr>
          <w:jc w:val="center"/>
        </w:trPr>
        <w:tc>
          <w:tcPr>
            <w:tcW w:w="1457" w:type="dxa"/>
            <w:vMerge/>
          </w:tcPr>
          <w:p w14:paraId="5B652380" w14:textId="77777777" w:rsidR="0001205E" w:rsidRPr="001D6D10" w:rsidRDefault="0001205E" w:rsidP="00F35CFE">
            <w:pPr>
              <w:rPr>
                <w:rFonts w:ascii="HG丸ｺﾞｼｯｸM-PRO" w:eastAsia="HG丸ｺﾞｼｯｸM-PRO" w:hAnsi="HG丸ｺﾞｼｯｸM-PRO"/>
                <w:szCs w:val="21"/>
              </w:rPr>
            </w:pPr>
          </w:p>
        </w:tc>
        <w:tc>
          <w:tcPr>
            <w:tcW w:w="7037" w:type="dxa"/>
          </w:tcPr>
          <w:p w14:paraId="520FDD62" w14:textId="77777777" w:rsidR="0001205E" w:rsidRPr="001D6D10" w:rsidRDefault="0001205E" w:rsidP="00F35CFE">
            <w:pPr>
              <w:rPr>
                <w:rFonts w:ascii="HG丸ｺﾞｼｯｸM-PRO" w:eastAsia="HG丸ｺﾞｼｯｸM-PRO" w:hAnsi="HG丸ｺﾞｼｯｸM-PRO"/>
                <w:szCs w:val="21"/>
              </w:rPr>
            </w:pPr>
            <w:r w:rsidRPr="001D6D10">
              <w:rPr>
                <w:rFonts w:ascii="HG丸ｺﾞｼｯｸM-PRO" w:eastAsia="HG丸ｺﾞｼｯｸM-PRO" w:hAnsi="HG丸ｺﾞｼｯｸM-PRO" w:hint="eastAsia"/>
                <w:b/>
                <w:szCs w:val="21"/>
                <w:highlight w:val="yellow"/>
              </w:rPr>
              <w:t>防災・危機管理指令部会議</w:t>
            </w:r>
            <w:r w:rsidRPr="001D6D10">
              <w:rPr>
                <w:rFonts w:ascii="HG丸ｺﾞｼｯｸM-PRO" w:eastAsia="HG丸ｺﾞｼｯｸM-PRO" w:hAnsi="HG丸ｺﾞｼｯｸM-PRO" w:hint="eastAsia"/>
                <w:szCs w:val="21"/>
                <w:highlight w:val="yellow"/>
              </w:rPr>
              <w:t>（おおよそ７２ｈ前）</w:t>
            </w:r>
            <w:r w:rsidR="00CB0ABF" w:rsidRPr="001D6D10">
              <w:rPr>
                <w:rFonts w:ascii="HG丸ｺﾞｼｯｸM-PRO" w:eastAsia="HG丸ｺﾞｼｯｸM-PRO" w:hAnsi="HG丸ｺﾞｼｯｸM-PRO" w:hint="eastAsia"/>
                <w:szCs w:val="21"/>
                <w:highlight w:val="yellow"/>
              </w:rPr>
              <w:t>（Ｐ42</w:t>
            </w:r>
            <w:r w:rsidR="00AD02A5" w:rsidRPr="001D6D10">
              <w:rPr>
                <w:rFonts w:ascii="HG丸ｺﾞｼｯｸM-PRO" w:eastAsia="HG丸ｺﾞｼｯｸM-PRO" w:hAnsi="HG丸ｺﾞｼｯｸM-PRO" w:hint="eastAsia"/>
                <w:szCs w:val="21"/>
                <w:highlight w:val="yellow"/>
              </w:rPr>
              <w:t>参照）</w:t>
            </w:r>
          </w:p>
        </w:tc>
      </w:tr>
      <w:tr w:rsidR="001D6D10" w:rsidRPr="001D6D10" w14:paraId="157CE0B2" w14:textId="77777777" w:rsidTr="00F35CFE">
        <w:trPr>
          <w:jc w:val="center"/>
        </w:trPr>
        <w:tc>
          <w:tcPr>
            <w:tcW w:w="1457" w:type="dxa"/>
            <w:vMerge/>
          </w:tcPr>
          <w:p w14:paraId="15A9E157" w14:textId="77777777" w:rsidR="0001205E" w:rsidRPr="001D6D10" w:rsidRDefault="0001205E" w:rsidP="00F35CFE">
            <w:pPr>
              <w:rPr>
                <w:rFonts w:ascii="HG丸ｺﾞｼｯｸM-PRO" w:eastAsia="HG丸ｺﾞｼｯｸM-PRO" w:hAnsi="HG丸ｺﾞｼｯｸM-PRO"/>
                <w:szCs w:val="21"/>
              </w:rPr>
            </w:pPr>
          </w:p>
        </w:tc>
        <w:tc>
          <w:tcPr>
            <w:tcW w:w="7037" w:type="dxa"/>
          </w:tcPr>
          <w:p w14:paraId="3136919C" w14:textId="77777777" w:rsidR="0001205E" w:rsidRPr="001D6D10" w:rsidRDefault="009B1A57" w:rsidP="00F35CFE">
            <w:pPr>
              <w:rPr>
                <w:rFonts w:ascii="HG丸ｺﾞｼｯｸM-PRO" w:eastAsia="HG丸ｺﾞｼｯｸM-PRO" w:hAnsi="HG丸ｺﾞｼｯｸM-PRO"/>
                <w:szCs w:val="21"/>
              </w:rPr>
            </w:pPr>
            <w:r w:rsidRPr="001D6D10">
              <w:rPr>
                <w:rFonts w:ascii="HG丸ｺﾞｼｯｸM-PRO" w:eastAsia="HG丸ｺﾞｼｯｸM-PRO" w:hAnsi="HG丸ｺﾞｼｯｸM-PRO" w:hint="eastAsia"/>
                <w:szCs w:val="21"/>
              </w:rPr>
              <w:t>□危機管理室からの情報の共有</w:t>
            </w:r>
          </w:p>
        </w:tc>
      </w:tr>
      <w:tr w:rsidR="001D6D10" w:rsidRPr="001D6D10" w14:paraId="29FCE507" w14:textId="77777777" w:rsidTr="00F35CFE">
        <w:trPr>
          <w:jc w:val="center"/>
        </w:trPr>
        <w:tc>
          <w:tcPr>
            <w:tcW w:w="1457" w:type="dxa"/>
            <w:vMerge w:val="restart"/>
          </w:tcPr>
          <w:p w14:paraId="72C4CA07" w14:textId="77777777" w:rsidR="00934E60" w:rsidRPr="001D6D10" w:rsidRDefault="00934E60" w:rsidP="00F35CFE">
            <w:pPr>
              <w:rPr>
                <w:rFonts w:ascii="HG丸ｺﾞｼｯｸM-PRO" w:eastAsia="HG丸ｺﾞｼｯｸM-PRO" w:hAnsi="HG丸ｺﾞｼｯｸM-PRO"/>
                <w:szCs w:val="21"/>
              </w:rPr>
            </w:pPr>
          </w:p>
          <w:p w14:paraId="028765AF" w14:textId="77777777" w:rsidR="00934E60" w:rsidRPr="001D6D10" w:rsidRDefault="00934E60" w:rsidP="00F35CFE">
            <w:pPr>
              <w:rPr>
                <w:rFonts w:ascii="HG丸ｺﾞｼｯｸM-PRO" w:eastAsia="HG丸ｺﾞｼｯｸM-PRO" w:hAnsi="HG丸ｺﾞｼｯｸM-PRO"/>
                <w:szCs w:val="21"/>
              </w:rPr>
            </w:pPr>
          </w:p>
          <w:p w14:paraId="1F5496DC" w14:textId="77777777" w:rsidR="00934E60" w:rsidRPr="001D6D10" w:rsidRDefault="00934E60" w:rsidP="00F35CFE">
            <w:pPr>
              <w:rPr>
                <w:rFonts w:ascii="HG丸ｺﾞｼｯｸM-PRO" w:eastAsia="HG丸ｺﾞｼｯｸM-PRO" w:hAnsi="HG丸ｺﾞｼｯｸM-PRO"/>
                <w:szCs w:val="21"/>
              </w:rPr>
            </w:pPr>
          </w:p>
          <w:p w14:paraId="0B2C36D1" w14:textId="77777777" w:rsidR="00934E60" w:rsidRPr="001D6D10" w:rsidRDefault="00934E60" w:rsidP="00F35CFE">
            <w:pPr>
              <w:rPr>
                <w:rFonts w:ascii="HG丸ｺﾞｼｯｸM-PRO" w:eastAsia="HG丸ｺﾞｼｯｸM-PRO" w:hAnsi="HG丸ｺﾞｼｯｸM-PRO"/>
                <w:szCs w:val="21"/>
              </w:rPr>
            </w:pPr>
          </w:p>
          <w:p w14:paraId="3A3F9F95" w14:textId="77777777" w:rsidR="0001205E" w:rsidRPr="001D6D10" w:rsidRDefault="0001205E" w:rsidP="00F35CFE">
            <w:pPr>
              <w:rPr>
                <w:rFonts w:ascii="HG丸ｺﾞｼｯｸM-PRO" w:eastAsia="HG丸ｺﾞｼｯｸM-PRO" w:hAnsi="HG丸ｺﾞｼｯｸM-PRO"/>
                <w:szCs w:val="21"/>
              </w:rPr>
            </w:pPr>
            <w:r w:rsidRPr="001D6D10">
              <w:rPr>
                <w:rFonts w:ascii="HG丸ｺﾞｼｯｸM-PRO" w:eastAsia="HG丸ｺﾞｼｯｸM-PRO" w:hAnsi="HG丸ｺﾞｼｯｸM-PRO" w:hint="eastAsia"/>
                <w:szCs w:val="21"/>
              </w:rPr>
              <w:t>48ｈ前～</w:t>
            </w:r>
          </w:p>
          <w:p w14:paraId="35D9DEB0" w14:textId="77777777" w:rsidR="0001205E" w:rsidRPr="001D6D10" w:rsidRDefault="0001205E" w:rsidP="00F35CFE">
            <w:pPr>
              <w:rPr>
                <w:rFonts w:ascii="HG丸ｺﾞｼｯｸM-PRO" w:eastAsia="HG丸ｺﾞｼｯｸM-PRO" w:hAnsi="HG丸ｺﾞｼｯｸM-PRO"/>
                <w:szCs w:val="21"/>
              </w:rPr>
            </w:pPr>
            <w:r w:rsidRPr="001D6D10">
              <w:rPr>
                <w:rFonts w:ascii="HG丸ｺﾞｼｯｸM-PRO" w:eastAsia="HG丸ｺﾞｼｯｸM-PRO" w:hAnsi="HG丸ｺﾞｼｯｸM-PRO" w:hint="eastAsia"/>
                <w:szCs w:val="21"/>
              </w:rPr>
              <w:t xml:space="preserve">　　24ｈ前</w:t>
            </w:r>
          </w:p>
          <w:p w14:paraId="0240CB53" w14:textId="77777777" w:rsidR="0001205E" w:rsidRPr="001D6D10" w:rsidRDefault="0001205E" w:rsidP="00F35CFE">
            <w:pPr>
              <w:rPr>
                <w:rFonts w:ascii="HG丸ｺﾞｼｯｸM-PRO" w:eastAsia="HG丸ｺﾞｼｯｸM-PRO" w:hAnsi="HG丸ｺﾞｼｯｸM-PRO"/>
                <w:szCs w:val="21"/>
              </w:rPr>
            </w:pPr>
            <w:r w:rsidRPr="001D6D10">
              <w:rPr>
                <w:rFonts w:ascii="HG丸ｺﾞｼｯｸM-PRO" w:eastAsia="HG丸ｺﾞｼｯｸM-PRO" w:hAnsi="HG丸ｺﾞｼｯｸM-PRO" w:hint="eastAsia"/>
                <w:szCs w:val="21"/>
              </w:rPr>
              <w:t>（２日前）</w:t>
            </w:r>
          </w:p>
        </w:tc>
        <w:tc>
          <w:tcPr>
            <w:tcW w:w="7037" w:type="dxa"/>
          </w:tcPr>
          <w:p w14:paraId="0AC4EA46" w14:textId="77777777" w:rsidR="0001205E" w:rsidRPr="001D6D10" w:rsidRDefault="0001205E" w:rsidP="00F35CFE">
            <w:pPr>
              <w:rPr>
                <w:rFonts w:ascii="HG丸ｺﾞｼｯｸM-PRO" w:eastAsia="HG丸ｺﾞｼｯｸM-PRO" w:hAnsi="HG丸ｺﾞｼｯｸM-PRO"/>
                <w:sz w:val="18"/>
                <w:szCs w:val="18"/>
              </w:rPr>
            </w:pPr>
            <w:r w:rsidRPr="001D6D10">
              <w:rPr>
                <w:rFonts w:ascii="HG丸ｺﾞｼｯｸM-PRO" w:eastAsia="HG丸ｺﾞｼｯｸM-PRO" w:hAnsi="HG丸ｺﾞｼｯｸM-PRO" w:hint="eastAsia"/>
                <w:szCs w:val="21"/>
              </w:rPr>
              <w:t>庁内連絡会議①：災害モード宣言の内容、第1回災害警戒本部会議の事前調整等</w:t>
            </w:r>
            <w:r w:rsidRPr="001D6D10">
              <w:rPr>
                <w:rFonts w:ascii="HG丸ｺﾞｼｯｸM-PRO" w:eastAsia="HG丸ｺﾞｼｯｸM-PRO" w:hAnsi="HG丸ｺﾞｼｯｸM-PRO" w:hint="eastAsia"/>
                <w:sz w:val="18"/>
                <w:szCs w:val="18"/>
              </w:rPr>
              <w:t>(警戒本部会議議題：管理施設の休館及び学校休校の検討、イベント等の中止検討、職員の配備態勢)</w:t>
            </w:r>
          </w:p>
          <w:p w14:paraId="3F5C3EF9" w14:textId="77777777" w:rsidR="00742C35" w:rsidRPr="001D6D10" w:rsidRDefault="00742C35" w:rsidP="00742C35">
            <w:pPr>
              <w:rPr>
                <w:rFonts w:ascii="HG丸ｺﾞｼｯｸM-PRO" w:eastAsia="HG丸ｺﾞｼｯｸM-PRO" w:hAnsi="HG丸ｺﾞｼｯｸM-PRO"/>
                <w:szCs w:val="21"/>
              </w:rPr>
            </w:pPr>
            <w:r w:rsidRPr="001D6D10">
              <w:rPr>
                <w:rFonts w:ascii="HG丸ｺﾞｼｯｸM-PRO" w:eastAsia="HG丸ｺﾞｼｯｸM-PRO" w:hAnsi="HG丸ｺﾞｼｯｸM-PRO" w:hint="eastAsia"/>
                <w:szCs w:val="21"/>
              </w:rPr>
              <w:t>□第１回災害警戒本部会議の事前準備</w:t>
            </w:r>
          </w:p>
          <w:p w14:paraId="50E8A220" w14:textId="77777777" w:rsidR="00742C35" w:rsidRPr="001D6D10" w:rsidRDefault="00742C35" w:rsidP="00742C35">
            <w:pPr>
              <w:rPr>
                <w:rFonts w:ascii="HG丸ｺﾞｼｯｸM-PRO" w:eastAsia="HG丸ｺﾞｼｯｸM-PRO" w:hAnsi="HG丸ｺﾞｼｯｸM-PRO"/>
                <w:szCs w:val="21"/>
              </w:rPr>
            </w:pPr>
            <w:r w:rsidRPr="001D6D10">
              <w:rPr>
                <w:rFonts w:ascii="HG丸ｺﾞｼｯｸM-PRO" w:eastAsia="HG丸ｺﾞｼｯｸM-PRO" w:hAnsi="HG丸ｺﾞｼｯｸM-PRO" w:hint="eastAsia"/>
                <w:szCs w:val="21"/>
              </w:rPr>
              <w:t xml:space="preserve">　・部局内の対応状況の確認、会議での報告のとりまとめ</w:t>
            </w:r>
          </w:p>
          <w:p w14:paraId="07A081B7" w14:textId="77777777" w:rsidR="007D0602" w:rsidRPr="001D6D10" w:rsidRDefault="00742C35" w:rsidP="007D0602">
            <w:pPr>
              <w:rPr>
                <w:rFonts w:ascii="HG丸ｺﾞｼｯｸM-PRO" w:eastAsia="HG丸ｺﾞｼｯｸM-PRO" w:hAnsi="HG丸ｺﾞｼｯｸM-PRO"/>
                <w:szCs w:val="21"/>
              </w:rPr>
            </w:pPr>
            <w:r w:rsidRPr="001D6D10">
              <w:rPr>
                <w:rFonts w:ascii="HG丸ｺﾞｼｯｸM-PRO" w:eastAsia="HG丸ｺﾞｼｯｸM-PRO" w:hAnsi="HG丸ｺﾞｼｯｸM-PRO" w:hint="eastAsia"/>
                <w:szCs w:val="21"/>
              </w:rPr>
              <w:t xml:space="preserve">　・庁舎・所管施設の安全確認</w:t>
            </w:r>
          </w:p>
          <w:p w14:paraId="339D0606" w14:textId="77777777" w:rsidR="00BD7DE5" w:rsidRPr="001D6D10" w:rsidRDefault="00BD7DE5" w:rsidP="007D0602">
            <w:pPr>
              <w:rPr>
                <w:rFonts w:ascii="HG丸ｺﾞｼｯｸM-PRO" w:eastAsia="HG丸ｺﾞｼｯｸM-PRO" w:hAnsi="HG丸ｺﾞｼｯｸM-PRO"/>
                <w:szCs w:val="21"/>
                <w:u w:val="single"/>
              </w:rPr>
            </w:pPr>
            <w:r w:rsidRPr="001D6D10">
              <w:rPr>
                <w:rFonts w:ascii="HG丸ｺﾞｼｯｸM-PRO" w:eastAsia="HG丸ｺﾞｼｯｸM-PRO" w:hAnsi="HG丸ｺﾞｼｯｸM-PRO" w:hint="eastAsia"/>
                <w:szCs w:val="21"/>
                <w:bdr w:val="single" w:sz="4" w:space="0" w:color="auto"/>
              </w:rPr>
              <w:t>台風説明会</w:t>
            </w:r>
          </w:p>
        </w:tc>
      </w:tr>
      <w:tr w:rsidR="001D6D10" w:rsidRPr="001D6D10" w14:paraId="206B315E" w14:textId="77777777" w:rsidTr="00F35CFE">
        <w:trPr>
          <w:jc w:val="center"/>
        </w:trPr>
        <w:tc>
          <w:tcPr>
            <w:tcW w:w="1457" w:type="dxa"/>
            <w:vMerge/>
          </w:tcPr>
          <w:p w14:paraId="65EB1701" w14:textId="77777777" w:rsidR="0001205E" w:rsidRPr="001D6D10" w:rsidRDefault="0001205E" w:rsidP="00F35CFE">
            <w:pPr>
              <w:rPr>
                <w:rFonts w:ascii="HG丸ｺﾞｼｯｸM-PRO" w:eastAsia="HG丸ｺﾞｼｯｸM-PRO" w:hAnsi="HG丸ｺﾞｼｯｸM-PRO"/>
                <w:szCs w:val="21"/>
              </w:rPr>
            </w:pPr>
          </w:p>
        </w:tc>
        <w:tc>
          <w:tcPr>
            <w:tcW w:w="7037" w:type="dxa"/>
          </w:tcPr>
          <w:p w14:paraId="06DE7CED" w14:textId="77777777" w:rsidR="0001205E" w:rsidRPr="001D6D10" w:rsidRDefault="0001205E" w:rsidP="00F35CFE">
            <w:pPr>
              <w:rPr>
                <w:rFonts w:ascii="HG丸ｺﾞｼｯｸM-PRO" w:eastAsia="HG丸ｺﾞｼｯｸM-PRO" w:hAnsi="HG丸ｺﾞｼｯｸM-PRO"/>
                <w:szCs w:val="21"/>
                <w:highlight w:val="yellow"/>
              </w:rPr>
            </w:pPr>
            <w:r w:rsidRPr="001D6D10">
              <w:rPr>
                <w:rFonts w:ascii="HG丸ｺﾞｼｯｸM-PRO" w:eastAsia="HG丸ｺﾞｼｯｸM-PRO" w:hAnsi="HG丸ｺﾞｼｯｸM-PRO" w:hint="eastAsia"/>
                <w:b/>
                <w:szCs w:val="21"/>
                <w:highlight w:val="yellow"/>
              </w:rPr>
              <w:t>第1回災害警戒本部会議</w:t>
            </w:r>
            <w:r w:rsidRPr="001D6D10">
              <w:rPr>
                <w:rFonts w:ascii="HG丸ｺﾞｼｯｸM-PRO" w:eastAsia="HG丸ｺﾞｼｯｸM-PRO" w:hAnsi="HG丸ｺﾞｼｯｸM-PRO" w:hint="eastAsia"/>
                <w:szCs w:val="21"/>
                <w:highlight w:val="yellow"/>
              </w:rPr>
              <w:t>（災害モード宣言の内容検討）</w:t>
            </w:r>
            <w:r w:rsidR="00CB0ABF" w:rsidRPr="001D6D10">
              <w:rPr>
                <w:rFonts w:ascii="HG丸ｺﾞｼｯｸM-PRO" w:eastAsia="HG丸ｺﾞｼｯｸM-PRO" w:hAnsi="HG丸ｺﾞｼｯｸM-PRO" w:hint="eastAsia"/>
                <w:szCs w:val="21"/>
                <w:highlight w:val="yellow"/>
              </w:rPr>
              <w:t>（Ｐ47</w:t>
            </w:r>
            <w:r w:rsidR="0010145B" w:rsidRPr="001D6D10">
              <w:rPr>
                <w:rFonts w:ascii="HG丸ｺﾞｼｯｸM-PRO" w:eastAsia="HG丸ｺﾞｼｯｸM-PRO" w:hAnsi="HG丸ｺﾞｼｯｸM-PRO" w:hint="eastAsia"/>
                <w:szCs w:val="21"/>
                <w:highlight w:val="yellow"/>
              </w:rPr>
              <w:t>参照）</w:t>
            </w:r>
          </w:p>
        </w:tc>
      </w:tr>
      <w:tr w:rsidR="001D6D10" w:rsidRPr="001D6D10" w14:paraId="67E0AC24" w14:textId="77777777" w:rsidTr="00F35CFE">
        <w:trPr>
          <w:jc w:val="center"/>
        </w:trPr>
        <w:tc>
          <w:tcPr>
            <w:tcW w:w="1457" w:type="dxa"/>
            <w:vMerge/>
          </w:tcPr>
          <w:p w14:paraId="4B51AF80" w14:textId="77777777" w:rsidR="0001205E" w:rsidRPr="001D6D10" w:rsidRDefault="0001205E" w:rsidP="00F35CFE">
            <w:pPr>
              <w:rPr>
                <w:rFonts w:ascii="HG丸ｺﾞｼｯｸM-PRO" w:eastAsia="HG丸ｺﾞｼｯｸM-PRO" w:hAnsi="HG丸ｺﾞｼｯｸM-PRO"/>
                <w:szCs w:val="21"/>
              </w:rPr>
            </w:pPr>
          </w:p>
        </w:tc>
        <w:tc>
          <w:tcPr>
            <w:tcW w:w="7037" w:type="dxa"/>
          </w:tcPr>
          <w:p w14:paraId="17C69EDD" w14:textId="77777777" w:rsidR="009B1A57" w:rsidRPr="001D6D10" w:rsidRDefault="009B1A57" w:rsidP="00F35CFE">
            <w:pPr>
              <w:rPr>
                <w:rFonts w:ascii="HG丸ｺﾞｼｯｸM-PRO" w:eastAsia="HG丸ｺﾞｼｯｸM-PRO" w:hAnsi="HG丸ｺﾞｼｯｸM-PRO"/>
                <w:szCs w:val="21"/>
              </w:rPr>
            </w:pPr>
            <w:r w:rsidRPr="001D6D10">
              <w:rPr>
                <w:rFonts w:ascii="HG丸ｺﾞｼｯｸM-PRO" w:eastAsia="HG丸ｺﾞｼｯｸM-PRO" w:hAnsi="HG丸ｺﾞｼｯｸM-PRO" w:hint="eastAsia"/>
                <w:szCs w:val="21"/>
              </w:rPr>
              <w:t>□危機管理室からの情報の共有</w:t>
            </w:r>
          </w:p>
          <w:p w14:paraId="39C94433" w14:textId="77777777" w:rsidR="005A0125" w:rsidRPr="001D6D10" w:rsidRDefault="005A0125" w:rsidP="005A0125">
            <w:pPr>
              <w:rPr>
                <w:rFonts w:ascii="HG丸ｺﾞｼｯｸM-PRO" w:eastAsia="HG丸ｺﾞｼｯｸM-PRO" w:hAnsi="HG丸ｺﾞｼｯｸM-PRO"/>
                <w:szCs w:val="21"/>
              </w:rPr>
            </w:pPr>
            <w:r w:rsidRPr="001D6D10">
              <w:rPr>
                <w:rFonts w:ascii="HG丸ｺﾞｼｯｸM-PRO" w:eastAsia="HG丸ｺﾞｼｯｸM-PRO" w:hAnsi="HG丸ｺﾞｼｯｸM-PRO" w:hint="eastAsia"/>
                <w:szCs w:val="21"/>
              </w:rPr>
              <w:t>□公共交通機関計画運休の確認</w:t>
            </w:r>
          </w:p>
          <w:p w14:paraId="794A300A" w14:textId="77777777" w:rsidR="00376F1D" w:rsidRPr="001D6D10" w:rsidRDefault="00376F1D" w:rsidP="005A0125">
            <w:pPr>
              <w:rPr>
                <w:rFonts w:ascii="HG丸ｺﾞｼｯｸM-PRO" w:eastAsia="HG丸ｺﾞｼｯｸM-PRO" w:hAnsi="HG丸ｺﾞｼｯｸM-PRO"/>
                <w:szCs w:val="21"/>
              </w:rPr>
            </w:pPr>
            <w:r w:rsidRPr="001D6D10">
              <w:rPr>
                <w:rFonts w:ascii="HG丸ｺﾞｼｯｸM-PRO" w:eastAsia="HG丸ｺﾞｼｯｸM-PRO" w:hAnsi="HG丸ｺﾞｼｯｸM-PRO" w:hint="eastAsia"/>
                <w:szCs w:val="21"/>
              </w:rPr>
              <w:t>□職員体制の確認・確保</w:t>
            </w:r>
          </w:p>
          <w:p w14:paraId="2E21F5D5" w14:textId="77777777" w:rsidR="0001205E" w:rsidRPr="001D6D10" w:rsidRDefault="00CD006F" w:rsidP="00F35CFE">
            <w:pPr>
              <w:rPr>
                <w:rFonts w:ascii="HG丸ｺﾞｼｯｸM-PRO" w:eastAsia="HG丸ｺﾞｼｯｸM-PRO" w:hAnsi="HG丸ｺﾞｼｯｸM-PRO"/>
                <w:szCs w:val="21"/>
              </w:rPr>
            </w:pPr>
            <w:r w:rsidRPr="001D6D10">
              <w:rPr>
                <w:rFonts w:ascii="HG丸ｺﾞｼｯｸM-PRO" w:eastAsia="HG丸ｺﾞｼｯｸM-PRO" w:hAnsi="HG丸ｺﾞｼｯｸM-PRO" w:hint="eastAsia"/>
                <w:szCs w:val="21"/>
              </w:rPr>
              <w:t>□</w:t>
            </w:r>
            <w:r w:rsidR="00900703" w:rsidRPr="001D6D10">
              <w:rPr>
                <w:rFonts w:ascii="HG丸ｺﾞｼｯｸM-PRO" w:eastAsia="HG丸ｺﾞｼｯｸM-PRO" w:hAnsi="HG丸ｺﾞｼｯｸM-PRO" w:hint="eastAsia"/>
                <w:szCs w:val="21"/>
              </w:rPr>
              <w:t>府立学校及び所管施設の安全確認、並びに臨時休業等の検討</w:t>
            </w:r>
          </w:p>
        </w:tc>
      </w:tr>
      <w:tr w:rsidR="001D6D10" w:rsidRPr="001D6D10" w14:paraId="4E839A18" w14:textId="77777777" w:rsidTr="00F35CFE">
        <w:trPr>
          <w:jc w:val="center"/>
        </w:trPr>
        <w:tc>
          <w:tcPr>
            <w:tcW w:w="1457" w:type="dxa"/>
            <w:vMerge w:val="restart"/>
          </w:tcPr>
          <w:p w14:paraId="3138D106" w14:textId="77777777" w:rsidR="00934E60" w:rsidRPr="001D6D10" w:rsidRDefault="00934E60" w:rsidP="00F35CFE">
            <w:pPr>
              <w:rPr>
                <w:rFonts w:ascii="HG丸ｺﾞｼｯｸM-PRO" w:eastAsia="HG丸ｺﾞｼｯｸM-PRO" w:hAnsi="HG丸ｺﾞｼｯｸM-PRO"/>
                <w:szCs w:val="21"/>
              </w:rPr>
            </w:pPr>
          </w:p>
          <w:p w14:paraId="6BB794E4" w14:textId="77777777" w:rsidR="00934E60" w:rsidRPr="001D6D10" w:rsidRDefault="00934E60" w:rsidP="00F35CFE">
            <w:pPr>
              <w:rPr>
                <w:rFonts w:ascii="HG丸ｺﾞｼｯｸM-PRO" w:eastAsia="HG丸ｺﾞｼｯｸM-PRO" w:hAnsi="HG丸ｺﾞｼｯｸM-PRO"/>
                <w:szCs w:val="21"/>
              </w:rPr>
            </w:pPr>
          </w:p>
          <w:p w14:paraId="7CD7D421" w14:textId="77777777" w:rsidR="0001205E" w:rsidRPr="001D6D10" w:rsidRDefault="0001205E" w:rsidP="00F35CFE">
            <w:pPr>
              <w:rPr>
                <w:rFonts w:ascii="HG丸ｺﾞｼｯｸM-PRO" w:eastAsia="HG丸ｺﾞｼｯｸM-PRO" w:hAnsi="HG丸ｺﾞｼｯｸM-PRO"/>
                <w:szCs w:val="21"/>
              </w:rPr>
            </w:pPr>
            <w:r w:rsidRPr="001D6D10">
              <w:rPr>
                <w:rFonts w:ascii="HG丸ｺﾞｼｯｸM-PRO" w:eastAsia="HG丸ｺﾞｼｯｸM-PRO" w:hAnsi="HG丸ｺﾞｼｯｸM-PRO" w:hint="eastAsia"/>
                <w:szCs w:val="21"/>
              </w:rPr>
              <w:t>24ｈ前～</w:t>
            </w:r>
          </w:p>
          <w:p w14:paraId="7EF1E601" w14:textId="77777777" w:rsidR="0001205E" w:rsidRPr="001D6D10" w:rsidRDefault="0001205E" w:rsidP="00F35CFE">
            <w:pPr>
              <w:rPr>
                <w:rFonts w:ascii="HG丸ｺﾞｼｯｸM-PRO" w:eastAsia="HG丸ｺﾞｼｯｸM-PRO" w:hAnsi="HG丸ｺﾞｼｯｸM-PRO"/>
                <w:szCs w:val="21"/>
              </w:rPr>
            </w:pPr>
            <w:r w:rsidRPr="001D6D10">
              <w:rPr>
                <w:rFonts w:ascii="HG丸ｺﾞｼｯｸM-PRO" w:eastAsia="HG丸ｺﾞｼｯｸM-PRO" w:hAnsi="HG丸ｺﾞｼｯｸM-PRO" w:hint="eastAsia"/>
                <w:szCs w:val="21"/>
              </w:rPr>
              <w:t xml:space="preserve">　　最接近</w:t>
            </w:r>
          </w:p>
          <w:p w14:paraId="2111A37C" w14:textId="77777777" w:rsidR="0001205E" w:rsidRPr="001D6D10" w:rsidRDefault="0001205E" w:rsidP="00F35CFE">
            <w:pPr>
              <w:rPr>
                <w:rFonts w:ascii="HG丸ｺﾞｼｯｸM-PRO" w:eastAsia="HG丸ｺﾞｼｯｸM-PRO" w:hAnsi="HG丸ｺﾞｼｯｸM-PRO"/>
                <w:szCs w:val="21"/>
              </w:rPr>
            </w:pPr>
            <w:r w:rsidRPr="001D6D10">
              <w:rPr>
                <w:rFonts w:ascii="HG丸ｺﾞｼｯｸM-PRO" w:eastAsia="HG丸ｺﾞｼｯｸM-PRO" w:hAnsi="HG丸ｺﾞｼｯｸM-PRO" w:hint="eastAsia"/>
                <w:szCs w:val="21"/>
              </w:rPr>
              <w:t>（１日前）</w:t>
            </w:r>
          </w:p>
        </w:tc>
        <w:tc>
          <w:tcPr>
            <w:tcW w:w="7037" w:type="dxa"/>
          </w:tcPr>
          <w:p w14:paraId="3CB98DE9" w14:textId="77777777" w:rsidR="0001205E" w:rsidRPr="001D6D10" w:rsidRDefault="0001205E" w:rsidP="00F35CFE">
            <w:pPr>
              <w:rPr>
                <w:rFonts w:ascii="HG丸ｺﾞｼｯｸM-PRO" w:eastAsia="HG丸ｺﾞｼｯｸM-PRO" w:hAnsi="HG丸ｺﾞｼｯｸM-PRO"/>
                <w:szCs w:val="21"/>
              </w:rPr>
            </w:pPr>
            <w:r w:rsidRPr="001D6D10">
              <w:rPr>
                <w:rFonts w:ascii="HG丸ｺﾞｼｯｸM-PRO" w:eastAsia="HG丸ｺﾞｼｯｸM-PRO" w:hAnsi="HG丸ｺﾞｼｯｸM-PRO" w:hint="eastAsia"/>
                <w:szCs w:val="21"/>
              </w:rPr>
              <w:t>庁内連絡会議②：第2回災害警戒本部会議の事前調整等</w:t>
            </w:r>
          </w:p>
          <w:p w14:paraId="3585F086" w14:textId="77777777" w:rsidR="00742C35" w:rsidRPr="001D6D10" w:rsidRDefault="00742C35" w:rsidP="00742C35">
            <w:pPr>
              <w:rPr>
                <w:rFonts w:ascii="HG丸ｺﾞｼｯｸM-PRO" w:eastAsia="HG丸ｺﾞｼｯｸM-PRO" w:hAnsi="HG丸ｺﾞｼｯｸM-PRO"/>
                <w:szCs w:val="21"/>
              </w:rPr>
            </w:pPr>
            <w:r w:rsidRPr="001D6D10">
              <w:rPr>
                <w:rFonts w:ascii="HG丸ｺﾞｼｯｸM-PRO" w:eastAsia="HG丸ｺﾞｼｯｸM-PRO" w:hAnsi="HG丸ｺﾞｼｯｸM-PRO" w:hint="eastAsia"/>
                <w:szCs w:val="21"/>
              </w:rPr>
              <w:t>□第２回災害警戒本部会議の事前準備</w:t>
            </w:r>
          </w:p>
          <w:p w14:paraId="6E690617" w14:textId="77777777" w:rsidR="00742C35" w:rsidRPr="001D6D10" w:rsidRDefault="00742C35" w:rsidP="00742C35">
            <w:pPr>
              <w:rPr>
                <w:rFonts w:ascii="HG丸ｺﾞｼｯｸM-PRO" w:eastAsia="HG丸ｺﾞｼｯｸM-PRO" w:hAnsi="HG丸ｺﾞｼｯｸM-PRO"/>
                <w:szCs w:val="21"/>
              </w:rPr>
            </w:pPr>
            <w:r w:rsidRPr="001D6D10">
              <w:rPr>
                <w:rFonts w:ascii="HG丸ｺﾞｼｯｸM-PRO" w:eastAsia="HG丸ｺﾞｼｯｸM-PRO" w:hAnsi="HG丸ｺﾞｼｯｸM-PRO" w:hint="eastAsia"/>
                <w:szCs w:val="21"/>
              </w:rPr>
              <w:t xml:space="preserve">　・部局内の対応状況の確認、会議での報告のとりまとめ</w:t>
            </w:r>
          </w:p>
          <w:p w14:paraId="4E1B9026" w14:textId="77777777" w:rsidR="007D0602" w:rsidRPr="001D6D10" w:rsidRDefault="00742C35" w:rsidP="007D0602">
            <w:pPr>
              <w:rPr>
                <w:rFonts w:ascii="HG丸ｺﾞｼｯｸM-PRO" w:eastAsia="HG丸ｺﾞｼｯｸM-PRO" w:hAnsi="HG丸ｺﾞｼｯｸM-PRO"/>
                <w:szCs w:val="21"/>
              </w:rPr>
            </w:pPr>
            <w:r w:rsidRPr="001D6D10">
              <w:rPr>
                <w:rFonts w:ascii="HG丸ｺﾞｼｯｸM-PRO" w:eastAsia="HG丸ｺﾞｼｯｸM-PRO" w:hAnsi="HG丸ｺﾞｼｯｸM-PRO" w:hint="eastAsia"/>
                <w:szCs w:val="21"/>
              </w:rPr>
              <w:t xml:space="preserve">　・庁舎・所管施設の安全点検</w:t>
            </w:r>
          </w:p>
          <w:p w14:paraId="1275DBF2" w14:textId="77777777" w:rsidR="00BD7DE5" w:rsidRPr="001D6D10" w:rsidRDefault="00BD7DE5" w:rsidP="007D0602">
            <w:pPr>
              <w:rPr>
                <w:rFonts w:ascii="HG丸ｺﾞｼｯｸM-PRO" w:eastAsia="HG丸ｺﾞｼｯｸM-PRO" w:hAnsi="HG丸ｺﾞｼｯｸM-PRO"/>
                <w:szCs w:val="21"/>
                <w:u w:val="single"/>
              </w:rPr>
            </w:pPr>
            <w:r w:rsidRPr="001D6D10">
              <w:rPr>
                <w:rFonts w:ascii="HG丸ｺﾞｼｯｸM-PRO" w:eastAsia="HG丸ｺﾞｼｯｸM-PRO" w:hAnsi="HG丸ｺﾞｼｯｸM-PRO" w:hint="eastAsia"/>
                <w:szCs w:val="21"/>
                <w:bdr w:val="single" w:sz="4" w:space="0" w:color="auto"/>
              </w:rPr>
              <w:t>台風説明会</w:t>
            </w:r>
          </w:p>
        </w:tc>
      </w:tr>
      <w:tr w:rsidR="001D6D10" w:rsidRPr="001D6D10" w14:paraId="778F60E1" w14:textId="77777777" w:rsidTr="00F35CFE">
        <w:trPr>
          <w:jc w:val="center"/>
        </w:trPr>
        <w:tc>
          <w:tcPr>
            <w:tcW w:w="1457" w:type="dxa"/>
            <w:vMerge/>
          </w:tcPr>
          <w:p w14:paraId="29BB79FD" w14:textId="77777777" w:rsidR="0001205E" w:rsidRPr="001D6D10" w:rsidRDefault="0001205E" w:rsidP="00F35CFE">
            <w:pPr>
              <w:rPr>
                <w:rFonts w:ascii="HG丸ｺﾞｼｯｸM-PRO" w:eastAsia="HG丸ｺﾞｼｯｸM-PRO" w:hAnsi="HG丸ｺﾞｼｯｸM-PRO"/>
                <w:szCs w:val="21"/>
              </w:rPr>
            </w:pPr>
          </w:p>
        </w:tc>
        <w:tc>
          <w:tcPr>
            <w:tcW w:w="7037" w:type="dxa"/>
          </w:tcPr>
          <w:p w14:paraId="1843AEA3" w14:textId="77777777" w:rsidR="0001205E" w:rsidRPr="001D6D10" w:rsidRDefault="0001205E" w:rsidP="00F35CFE">
            <w:pPr>
              <w:rPr>
                <w:rFonts w:ascii="HG丸ｺﾞｼｯｸM-PRO" w:eastAsia="HG丸ｺﾞｼｯｸM-PRO" w:hAnsi="HG丸ｺﾞｼｯｸM-PRO"/>
                <w:szCs w:val="21"/>
                <w:highlight w:val="yellow"/>
              </w:rPr>
            </w:pPr>
            <w:r w:rsidRPr="001D6D10">
              <w:rPr>
                <w:rFonts w:ascii="HG丸ｺﾞｼｯｸM-PRO" w:eastAsia="HG丸ｺﾞｼｯｸM-PRO" w:hAnsi="HG丸ｺﾞｼｯｸM-PRO" w:hint="eastAsia"/>
                <w:b/>
                <w:szCs w:val="21"/>
                <w:highlight w:val="yellow"/>
              </w:rPr>
              <w:t>第２回災害警戒本部会議</w:t>
            </w:r>
            <w:r w:rsidRPr="001D6D10">
              <w:rPr>
                <w:rFonts w:ascii="HG丸ｺﾞｼｯｸM-PRO" w:eastAsia="HG丸ｺﾞｼｯｸM-PRO" w:hAnsi="HG丸ｺﾞｼｯｸM-PRO" w:hint="eastAsia"/>
                <w:szCs w:val="21"/>
                <w:highlight w:val="yellow"/>
              </w:rPr>
              <w:t>（災害モード宣言の発信）</w:t>
            </w:r>
            <w:r w:rsidR="00CB0ABF" w:rsidRPr="001D6D10">
              <w:rPr>
                <w:rFonts w:ascii="HG丸ｺﾞｼｯｸM-PRO" w:eastAsia="HG丸ｺﾞｼｯｸM-PRO" w:hAnsi="HG丸ｺﾞｼｯｸM-PRO" w:hint="eastAsia"/>
                <w:szCs w:val="21"/>
                <w:highlight w:val="yellow"/>
              </w:rPr>
              <w:t>（Ｐ47</w:t>
            </w:r>
            <w:r w:rsidR="0010145B" w:rsidRPr="001D6D10">
              <w:rPr>
                <w:rFonts w:ascii="HG丸ｺﾞｼｯｸM-PRO" w:eastAsia="HG丸ｺﾞｼｯｸM-PRO" w:hAnsi="HG丸ｺﾞｼｯｸM-PRO" w:hint="eastAsia"/>
                <w:szCs w:val="21"/>
                <w:highlight w:val="yellow"/>
              </w:rPr>
              <w:t>参照）</w:t>
            </w:r>
          </w:p>
        </w:tc>
      </w:tr>
      <w:tr w:rsidR="001D6D10" w:rsidRPr="001D6D10" w14:paraId="10DA8A2B" w14:textId="77777777" w:rsidTr="00F35CFE">
        <w:trPr>
          <w:jc w:val="center"/>
        </w:trPr>
        <w:tc>
          <w:tcPr>
            <w:tcW w:w="1457" w:type="dxa"/>
            <w:vMerge/>
          </w:tcPr>
          <w:p w14:paraId="52848462" w14:textId="77777777" w:rsidR="0001205E" w:rsidRPr="001D6D10" w:rsidRDefault="0001205E" w:rsidP="00F35CFE">
            <w:pPr>
              <w:rPr>
                <w:rFonts w:ascii="HG丸ｺﾞｼｯｸM-PRO" w:eastAsia="HG丸ｺﾞｼｯｸM-PRO" w:hAnsi="HG丸ｺﾞｼｯｸM-PRO"/>
                <w:szCs w:val="21"/>
              </w:rPr>
            </w:pPr>
          </w:p>
        </w:tc>
        <w:tc>
          <w:tcPr>
            <w:tcW w:w="7037" w:type="dxa"/>
          </w:tcPr>
          <w:p w14:paraId="40D78C20" w14:textId="77777777" w:rsidR="009B1A57" w:rsidRPr="001D6D10" w:rsidRDefault="009B1A57" w:rsidP="00900703">
            <w:pPr>
              <w:rPr>
                <w:rFonts w:ascii="HG丸ｺﾞｼｯｸM-PRO" w:eastAsia="HG丸ｺﾞｼｯｸM-PRO" w:hAnsi="HG丸ｺﾞｼｯｸM-PRO"/>
                <w:szCs w:val="21"/>
              </w:rPr>
            </w:pPr>
            <w:r w:rsidRPr="001D6D10">
              <w:rPr>
                <w:rFonts w:ascii="HG丸ｺﾞｼｯｸM-PRO" w:eastAsia="HG丸ｺﾞｼｯｸM-PRO" w:hAnsi="HG丸ｺﾞｼｯｸM-PRO" w:hint="eastAsia"/>
                <w:szCs w:val="21"/>
              </w:rPr>
              <w:t>□危機管理室からの情報の共有</w:t>
            </w:r>
          </w:p>
          <w:p w14:paraId="28279060" w14:textId="77777777" w:rsidR="0001205E" w:rsidRPr="001D6D10" w:rsidRDefault="00CD006F" w:rsidP="00F35CFE">
            <w:pPr>
              <w:rPr>
                <w:rFonts w:ascii="HG丸ｺﾞｼｯｸM-PRO" w:eastAsia="HG丸ｺﾞｼｯｸM-PRO" w:hAnsi="HG丸ｺﾞｼｯｸM-PRO"/>
                <w:szCs w:val="21"/>
              </w:rPr>
            </w:pPr>
            <w:r w:rsidRPr="001D6D10">
              <w:rPr>
                <w:rFonts w:ascii="HG丸ｺﾞｼｯｸM-PRO" w:eastAsia="HG丸ｺﾞｼｯｸM-PRO" w:hAnsi="HG丸ｺﾞｼｯｸM-PRO" w:hint="eastAsia"/>
                <w:szCs w:val="21"/>
              </w:rPr>
              <w:t>□</w:t>
            </w:r>
            <w:r w:rsidR="00900703" w:rsidRPr="001D6D10">
              <w:rPr>
                <w:rFonts w:ascii="HG丸ｺﾞｼｯｸM-PRO" w:eastAsia="HG丸ｺﾞｼｯｸM-PRO" w:hAnsi="HG丸ｺﾞｼｯｸM-PRO" w:hint="eastAsia"/>
                <w:szCs w:val="21"/>
              </w:rPr>
              <w:t>府立学校及び所管施設へ臨時休業等の要請</w:t>
            </w:r>
          </w:p>
        </w:tc>
      </w:tr>
    </w:tbl>
    <w:p w14:paraId="2AF35E8D" w14:textId="64E9CF1F" w:rsidR="00900703" w:rsidRPr="001D6D10" w:rsidRDefault="00900703" w:rsidP="00900703">
      <w:pPr>
        <w:ind w:left="1689" w:hangingChars="800" w:hanging="1689"/>
        <w:rPr>
          <w:rFonts w:ascii="HG丸ｺﾞｼｯｸM-PRO" w:eastAsia="HG丸ｺﾞｼｯｸM-PRO" w:hAnsi="HG丸ｺﾞｼｯｸM-PRO"/>
          <w:szCs w:val="21"/>
        </w:rPr>
      </w:pPr>
      <w:r w:rsidRPr="001D6D10">
        <w:rPr>
          <w:rFonts w:ascii="HG丸ｺﾞｼｯｸM-PRO" w:eastAsia="HG丸ｺﾞｼｯｸM-PRO" w:hAnsi="HG丸ｺﾞｼｯｸM-PRO" w:hint="eastAsia"/>
          <w:szCs w:val="21"/>
        </w:rPr>
        <w:t>※主な所管施設：</w:t>
      </w:r>
      <w:r w:rsidR="00032EB2" w:rsidRPr="001D6D10">
        <w:rPr>
          <w:rFonts w:ascii="HG丸ｺﾞｼｯｸM-PRO" w:eastAsia="HG丸ｺﾞｼｯｸM-PRO" w:hAnsi="HG丸ｺﾞｼｯｸM-PRO" w:hint="eastAsia"/>
          <w:szCs w:val="21"/>
        </w:rPr>
        <w:t>体育会館、臨海スポーツセンター、漕艇センター、門真スポーツセンター、府立図書館、府立少年自然の家、教育センター、弥生文化博物館、近</w:t>
      </w:r>
      <w:proofErr w:type="gramStart"/>
      <w:r w:rsidR="00032EB2" w:rsidRPr="001D6D10">
        <w:rPr>
          <w:rFonts w:ascii="HG丸ｺﾞｼｯｸM-PRO" w:eastAsia="HG丸ｺﾞｼｯｸM-PRO" w:hAnsi="HG丸ｺﾞｼｯｸM-PRO" w:hint="eastAsia"/>
          <w:szCs w:val="21"/>
        </w:rPr>
        <w:t>つ</w:t>
      </w:r>
      <w:proofErr w:type="gramEnd"/>
      <w:r w:rsidR="00032EB2" w:rsidRPr="001D6D10">
        <w:rPr>
          <w:rFonts w:ascii="HG丸ｺﾞｼｯｸM-PRO" w:eastAsia="HG丸ｺﾞｼｯｸM-PRO" w:hAnsi="HG丸ｺﾞｼｯｸM-PRO" w:hint="eastAsia"/>
          <w:szCs w:val="21"/>
        </w:rPr>
        <w:t>飛鳥博物館、近</w:t>
      </w:r>
      <w:proofErr w:type="gramStart"/>
      <w:r w:rsidR="00032EB2" w:rsidRPr="001D6D10">
        <w:rPr>
          <w:rFonts w:ascii="HG丸ｺﾞｼｯｸM-PRO" w:eastAsia="HG丸ｺﾞｼｯｸM-PRO" w:hAnsi="HG丸ｺﾞｼｯｸM-PRO" w:hint="eastAsia"/>
          <w:szCs w:val="21"/>
        </w:rPr>
        <w:t>つ</w:t>
      </w:r>
      <w:proofErr w:type="gramEnd"/>
      <w:r w:rsidR="00032EB2" w:rsidRPr="001D6D10">
        <w:rPr>
          <w:rFonts w:ascii="HG丸ｺﾞｼｯｸM-PRO" w:eastAsia="HG丸ｺﾞｼｯｸM-PRO" w:hAnsi="HG丸ｺﾞｼｯｸM-PRO" w:hint="eastAsia"/>
          <w:szCs w:val="21"/>
        </w:rPr>
        <w:t>飛鳥風土記の丘、文化財調査事務所</w:t>
      </w:r>
    </w:p>
    <w:p w14:paraId="557F1346" w14:textId="77777777" w:rsidR="0001205E" w:rsidRPr="001D6D10" w:rsidRDefault="00900703" w:rsidP="0001205E">
      <w:pPr>
        <w:rPr>
          <w:rFonts w:ascii="HG丸ｺﾞｼｯｸM-PRO" w:eastAsia="HG丸ｺﾞｼｯｸM-PRO" w:hAnsi="HG丸ｺﾞｼｯｸM-PRO"/>
          <w:szCs w:val="21"/>
        </w:rPr>
      </w:pPr>
      <w:r w:rsidRPr="001D6D10">
        <w:rPr>
          <w:rFonts w:ascii="HG丸ｺﾞｼｯｸM-PRO" w:eastAsia="HG丸ｺﾞｼｯｸM-PRO" w:hAnsi="HG丸ｺﾞｼｯｸM-PRO" w:hint="eastAsia"/>
          <w:sz w:val="22"/>
          <w:szCs w:val="22"/>
        </w:rPr>
        <w:t xml:space="preserve">　　　</w:t>
      </w:r>
      <w:r w:rsidRPr="001D6D10">
        <w:rPr>
          <w:rFonts w:ascii="HG丸ｺﾞｼｯｸM-PRO" w:eastAsia="HG丸ｺﾞｼｯｸM-PRO" w:hAnsi="HG丸ｺﾞｼｯｸM-PRO" w:hint="eastAsia"/>
          <w:szCs w:val="21"/>
        </w:rPr>
        <w:t>関係機関：</w:t>
      </w:r>
      <w:r w:rsidRPr="001D6D10">
        <w:rPr>
          <w:rFonts w:ascii="HG丸ｺﾞｼｯｸM-PRO" w:eastAsia="HG丸ｺﾞｼｯｸM-PRO" w:hAnsi="HG丸ｺﾞｼｯｸM-PRO"/>
          <w:szCs w:val="21"/>
        </w:rPr>
        <w:t xml:space="preserve"> </w:t>
      </w:r>
      <w:r w:rsidRPr="001D6D10">
        <w:rPr>
          <w:rFonts w:ascii="HG丸ｺﾞｼｯｸM-PRO" w:eastAsia="HG丸ｺﾞｼｯｸM-PRO" w:hAnsi="HG丸ｺﾞｼｯｸM-PRO" w:hint="eastAsia"/>
          <w:szCs w:val="21"/>
        </w:rPr>
        <w:t>市町村教委</w:t>
      </w:r>
    </w:p>
    <w:p w14:paraId="07134C49" w14:textId="77777777" w:rsidR="00C96DF8" w:rsidRPr="001D6D10" w:rsidRDefault="0001205E" w:rsidP="0001205E">
      <w:pPr>
        <w:rPr>
          <w:rFonts w:ascii="ＭＳ ゴシック" w:eastAsia="ＭＳ ゴシック" w:hAnsi="ＭＳ ゴシック"/>
          <w:sz w:val="18"/>
          <w:szCs w:val="22"/>
        </w:rPr>
      </w:pPr>
      <w:r w:rsidRPr="001D6D10">
        <w:rPr>
          <w:rFonts w:ascii="ＭＳ ゴシック" w:eastAsia="ＭＳ ゴシック" w:hAnsi="ＭＳ ゴシック" w:hint="eastAsia"/>
          <w:sz w:val="18"/>
          <w:szCs w:val="22"/>
        </w:rPr>
        <w:t>※）本タイムラインから状況に応じて必要な項目を選定し、実施するものとする。</w:t>
      </w:r>
    </w:p>
    <w:p w14:paraId="0A62368F" w14:textId="553C371A" w:rsidR="00930C0D" w:rsidRDefault="00930C0D">
      <w:pPr>
        <w:widowControl/>
        <w:jc w:val="left"/>
        <w:rPr>
          <w:rFonts w:ascii="ＭＳ ゴシック" w:eastAsia="ＭＳ ゴシック" w:hAnsi="ＭＳ ゴシック"/>
          <w:sz w:val="18"/>
          <w:szCs w:val="22"/>
        </w:rPr>
      </w:pPr>
      <w:r>
        <w:rPr>
          <w:rFonts w:ascii="ＭＳ ゴシック" w:eastAsia="ＭＳ ゴシック" w:hAnsi="ＭＳ ゴシック"/>
          <w:sz w:val="18"/>
          <w:szCs w:val="22"/>
        </w:rPr>
        <w:br w:type="page"/>
      </w:r>
    </w:p>
    <w:p w14:paraId="79D0F0DD" w14:textId="77777777" w:rsidR="0001205E" w:rsidRPr="001D6D10" w:rsidRDefault="00B1007D" w:rsidP="0001205E">
      <w:pPr>
        <w:rPr>
          <w:rFonts w:ascii="ＭＳ ゴシック" w:eastAsia="ＭＳ ゴシック" w:hAnsi="ＭＳ ゴシック"/>
          <w:sz w:val="22"/>
          <w:szCs w:val="22"/>
        </w:rPr>
      </w:pPr>
      <w:r w:rsidRPr="001D6D10">
        <w:rPr>
          <w:rFonts w:ascii="ＭＳ ゴシック" w:eastAsia="ＭＳ ゴシック" w:hAnsi="ＭＳ ゴシック" w:hint="eastAsia"/>
          <w:sz w:val="22"/>
          <w:szCs w:val="22"/>
        </w:rPr>
        <w:lastRenderedPageBreak/>
        <w:t>⑰</w:t>
      </w:r>
      <w:r w:rsidR="0001205E" w:rsidRPr="001D6D10">
        <w:rPr>
          <w:rFonts w:ascii="ＭＳ ゴシック" w:eastAsia="ＭＳ ゴシック" w:hAnsi="ＭＳ ゴシック" w:hint="eastAsia"/>
          <w:sz w:val="22"/>
          <w:szCs w:val="22"/>
        </w:rPr>
        <w:t>議会事務局</w:t>
      </w:r>
    </w:p>
    <w:tbl>
      <w:tblPr>
        <w:tblpPr w:leftFromText="142" w:rightFromText="142" w:vertAnchor="text" w:tblpXSpec="center" w:tblpY="1"/>
        <w:tblOverlap w:val="neve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57"/>
        <w:gridCol w:w="7037"/>
      </w:tblGrid>
      <w:tr w:rsidR="001D6D10" w:rsidRPr="001D6D10" w14:paraId="2B96D3A1" w14:textId="77777777" w:rsidTr="00F35CFE">
        <w:trPr>
          <w:jc w:val="center"/>
        </w:trPr>
        <w:tc>
          <w:tcPr>
            <w:tcW w:w="1457" w:type="dxa"/>
            <w:tcBorders>
              <w:bottom w:val="single" w:sz="4" w:space="0" w:color="auto"/>
            </w:tcBorders>
            <w:shd w:val="clear" w:color="auto" w:fill="BFBFBF"/>
          </w:tcPr>
          <w:p w14:paraId="5FB53A1B" w14:textId="77777777" w:rsidR="0001205E" w:rsidRPr="001D6D10" w:rsidRDefault="0001205E" w:rsidP="00F35CFE">
            <w:pPr>
              <w:jc w:val="center"/>
              <w:rPr>
                <w:rFonts w:ascii="HG丸ｺﾞｼｯｸM-PRO" w:eastAsia="HG丸ｺﾞｼｯｸM-PRO" w:hAnsi="HG丸ｺﾞｼｯｸM-PRO"/>
                <w:szCs w:val="21"/>
              </w:rPr>
            </w:pPr>
            <w:r w:rsidRPr="001D6D10">
              <w:rPr>
                <w:rFonts w:ascii="HG丸ｺﾞｼｯｸM-PRO" w:eastAsia="HG丸ｺﾞｼｯｸM-PRO" w:hAnsi="HG丸ｺﾞｼｯｸM-PRO" w:hint="eastAsia"/>
                <w:szCs w:val="21"/>
              </w:rPr>
              <w:t>時　期</w:t>
            </w:r>
          </w:p>
        </w:tc>
        <w:tc>
          <w:tcPr>
            <w:tcW w:w="7037" w:type="dxa"/>
            <w:tcBorders>
              <w:bottom w:val="single" w:sz="4" w:space="0" w:color="auto"/>
            </w:tcBorders>
            <w:shd w:val="clear" w:color="auto" w:fill="BFBFBF"/>
          </w:tcPr>
          <w:p w14:paraId="46830655" w14:textId="77777777" w:rsidR="0001205E" w:rsidRPr="001D6D10" w:rsidRDefault="00E31DA1" w:rsidP="00F35CFE">
            <w:pPr>
              <w:jc w:val="center"/>
              <w:rPr>
                <w:rFonts w:ascii="HG丸ｺﾞｼｯｸM-PRO" w:eastAsia="HG丸ｺﾞｼｯｸM-PRO" w:hAnsi="HG丸ｺﾞｼｯｸM-PRO"/>
                <w:szCs w:val="21"/>
              </w:rPr>
            </w:pPr>
            <w:r w:rsidRPr="001D6D10">
              <w:rPr>
                <w:rFonts w:ascii="HG丸ｺﾞｼｯｸM-PRO" w:eastAsia="HG丸ｺﾞｼｯｸM-PRO" w:hAnsi="HG丸ｺﾞｼｯｸM-PRO" w:hint="eastAsia"/>
                <w:szCs w:val="21"/>
              </w:rPr>
              <w:t>主な事前準備</w:t>
            </w:r>
            <w:r w:rsidR="0001205E" w:rsidRPr="001D6D10">
              <w:rPr>
                <w:rFonts w:ascii="HG丸ｺﾞｼｯｸM-PRO" w:eastAsia="HG丸ｺﾞｼｯｸM-PRO" w:hAnsi="HG丸ｺﾞｼｯｸM-PRO" w:hint="eastAsia"/>
                <w:szCs w:val="21"/>
              </w:rPr>
              <w:t>業務</w:t>
            </w:r>
          </w:p>
        </w:tc>
      </w:tr>
      <w:tr w:rsidR="001D6D10" w:rsidRPr="001D6D10" w14:paraId="23CF0D02" w14:textId="77777777" w:rsidTr="00F35CFE">
        <w:trPr>
          <w:jc w:val="center"/>
        </w:trPr>
        <w:tc>
          <w:tcPr>
            <w:tcW w:w="1457" w:type="dxa"/>
            <w:vMerge w:val="restart"/>
            <w:shd w:val="clear" w:color="auto" w:fill="FFFFFF" w:themeFill="background1"/>
          </w:tcPr>
          <w:p w14:paraId="54419EC7" w14:textId="77777777" w:rsidR="00934E60" w:rsidRPr="001D6D10" w:rsidRDefault="00934E60" w:rsidP="00F35CFE">
            <w:pPr>
              <w:jc w:val="center"/>
              <w:rPr>
                <w:rFonts w:ascii="HG丸ｺﾞｼｯｸM-PRO" w:eastAsia="HG丸ｺﾞｼｯｸM-PRO" w:hAnsi="HG丸ｺﾞｼｯｸM-PRO"/>
                <w:szCs w:val="21"/>
              </w:rPr>
            </w:pPr>
          </w:p>
          <w:p w14:paraId="74752995" w14:textId="77777777" w:rsidR="00934E60" w:rsidRPr="001D6D10" w:rsidRDefault="00934E60" w:rsidP="00F35CFE">
            <w:pPr>
              <w:jc w:val="center"/>
              <w:rPr>
                <w:rFonts w:ascii="HG丸ｺﾞｼｯｸM-PRO" w:eastAsia="HG丸ｺﾞｼｯｸM-PRO" w:hAnsi="HG丸ｺﾞｼｯｸM-PRO"/>
                <w:szCs w:val="21"/>
              </w:rPr>
            </w:pPr>
          </w:p>
          <w:p w14:paraId="4DC92B8B" w14:textId="77777777" w:rsidR="00934E60" w:rsidRPr="001D6D10" w:rsidRDefault="00934E60" w:rsidP="00F35CFE">
            <w:pPr>
              <w:jc w:val="center"/>
              <w:rPr>
                <w:rFonts w:ascii="HG丸ｺﾞｼｯｸM-PRO" w:eastAsia="HG丸ｺﾞｼｯｸM-PRO" w:hAnsi="HG丸ｺﾞｼｯｸM-PRO"/>
                <w:szCs w:val="21"/>
              </w:rPr>
            </w:pPr>
          </w:p>
          <w:p w14:paraId="39985B6C" w14:textId="41122D5D" w:rsidR="0001205E" w:rsidRPr="001D6D10" w:rsidRDefault="0001205E" w:rsidP="00F35CFE">
            <w:pPr>
              <w:jc w:val="center"/>
              <w:rPr>
                <w:rFonts w:ascii="HG丸ｺﾞｼｯｸM-PRO" w:eastAsia="HG丸ｺﾞｼｯｸM-PRO" w:hAnsi="HG丸ｺﾞｼｯｸM-PRO"/>
                <w:szCs w:val="21"/>
              </w:rPr>
            </w:pPr>
            <w:r w:rsidRPr="001D6D10">
              <w:rPr>
                <w:rFonts w:ascii="HG丸ｺﾞｼｯｸM-PRO" w:eastAsia="HG丸ｺﾞｼｯｸM-PRO" w:hAnsi="HG丸ｺﾞｼｯｸM-PRO" w:hint="eastAsia"/>
                <w:szCs w:val="21"/>
              </w:rPr>
              <w:t>～48ｈ</w:t>
            </w:r>
            <w:r w:rsidR="0053084D" w:rsidRPr="001D6D10">
              <w:rPr>
                <w:rFonts w:ascii="HG丸ｺﾞｼｯｸM-PRO" w:eastAsia="HG丸ｺﾞｼｯｸM-PRO" w:hAnsi="HG丸ｺﾞｼｯｸM-PRO" w:hint="eastAsia"/>
                <w:szCs w:val="21"/>
              </w:rPr>
              <w:t>前</w:t>
            </w:r>
          </w:p>
          <w:p w14:paraId="24F8159A" w14:textId="77777777" w:rsidR="0001205E" w:rsidRPr="001D6D10" w:rsidRDefault="0001205E" w:rsidP="00F35CFE">
            <w:pPr>
              <w:jc w:val="center"/>
              <w:rPr>
                <w:rFonts w:ascii="HG丸ｺﾞｼｯｸM-PRO" w:eastAsia="HG丸ｺﾞｼｯｸM-PRO" w:hAnsi="HG丸ｺﾞｼｯｸM-PRO"/>
                <w:sz w:val="20"/>
                <w:szCs w:val="20"/>
              </w:rPr>
            </w:pPr>
            <w:r w:rsidRPr="001D6D10">
              <w:rPr>
                <w:rFonts w:ascii="HG丸ｺﾞｼｯｸM-PRO" w:eastAsia="HG丸ｺﾞｼｯｸM-PRO" w:hAnsi="HG丸ｺﾞｼｯｸM-PRO" w:hint="eastAsia"/>
                <w:sz w:val="20"/>
                <w:szCs w:val="20"/>
              </w:rPr>
              <w:t>（３日以前）</w:t>
            </w:r>
          </w:p>
        </w:tc>
        <w:tc>
          <w:tcPr>
            <w:tcW w:w="7037" w:type="dxa"/>
            <w:tcBorders>
              <w:bottom w:val="single" w:sz="4" w:space="0" w:color="auto"/>
            </w:tcBorders>
            <w:shd w:val="clear" w:color="auto" w:fill="FFFFFF" w:themeFill="background1"/>
          </w:tcPr>
          <w:p w14:paraId="5C6186D7" w14:textId="77777777" w:rsidR="00526AB5" w:rsidRPr="001D6D10" w:rsidRDefault="00526AB5" w:rsidP="00526AB5">
            <w:pPr>
              <w:rPr>
                <w:rFonts w:ascii="HG丸ｺﾞｼｯｸM-PRO" w:eastAsia="HG丸ｺﾞｼｯｸM-PRO" w:hAnsi="HG丸ｺﾞｼｯｸM-PRO"/>
                <w:szCs w:val="21"/>
              </w:rPr>
            </w:pPr>
            <w:r w:rsidRPr="001D6D10">
              <w:rPr>
                <w:rFonts w:ascii="HG丸ｺﾞｼｯｸM-PRO" w:eastAsia="HG丸ｺﾞｼｯｸM-PRO" w:hAnsi="HG丸ｺﾞｼｯｸM-PRO" w:hint="eastAsia"/>
                <w:szCs w:val="21"/>
              </w:rPr>
              <w:t>□危機管理室からの情報共有</w:t>
            </w:r>
          </w:p>
          <w:p w14:paraId="247ED467" w14:textId="77777777" w:rsidR="00526AB5" w:rsidRPr="001D6D10" w:rsidRDefault="00526AB5" w:rsidP="00526AB5">
            <w:pPr>
              <w:rPr>
                <w:rFonts w:ascii="HG丸ｺﾞｼｯｸM-PRO" w:eastAsia="HG丸ｺﾞｼｯｸM-PRO" w:hAnsi="HG丸ｺﾞｼｯｸM-PRO"/>
                <w:szCs w:val="21"/>
              </w:rPr>
            </w:pPr>
            <w:r w:rsidRPr="001D6D10">
              <w:rPr>
                <w:rFonts w:ascii="HG丸ｺﾞｼｯｸM-PRO" w:eastAsia="HG丸ｺﾞｼｯｸM-PRO" w:hAnsi="HG丸ｺﾞｼｯｸM-PRO" w:hint="eastAsia"/>
                <w:szCs w:val="21"/>
              </w:rPr>
              <w:t>□連絡体制の確認</w:t>
            </w:r>
          </w:p>
          <w:p w14:paraId="30A73548" w14:textId="77777777" w:rsidR="0001205E" w:rsidRPr="001D6D10" w:rsidRDefault="00526AB5" w:rsidP="00F35CFE">
            <w:pPr>
              <w:rPr>
                <w:rFonts w:ascii="HG丸ｺﾞｼｯｸM-PRO" w:eastAsia="HG丸ｺﾞｼｯｸM-PRO" w:hAnsi="HG丸ｺﾞｼｯｸM-PRO"/>
                <w:szCs w:val="21"/>
              </w:rPr>
            </w:pPr>
            <w:r w:rsidRPr="001D6D10">
              <w:rPr>
                <w:rFonts w:ascii="HG丸ｺﾞｼｯｸM-PRO" w:eastAsia="HG丸ｺﾞｼｯｸM-PRO" w:hAnsi="HG丸ｺﾞｼｯｸM-PRO" w:hint="eastAsia"/>
                <w:szCs w:val="21"/>
              </w:rPr>
              <w:t>□災害対応に関するマニュアル等の確認</w:t>
            </w:r>
          </w:p>
          <w:p w14:paraId="19B3D809" w14:textId="77777777" w:rsidR="00742C35" w:rsidRPr="001D6D10" w:rsidRDefault="00742C35" w:rsidP="00742C35">
            <w:pPr>
              <w:rPr>
                <w:rFonts w:ascii="HG丸ｺﾞｼｯｸM-PRO" w:eastAsia="HG丸ｺﾞｼｯｸM-PRO" w:hAnsi="HG丸ｺﾞｼｯｸM-PRO"/>
                <w:szCs w:val="21"/>
              </w:rPr>
            </w:pPr>
            <w:r w:rsidRPr="001D6D10">
              <w:rPr>
                <w:rFonts w:ascii="HG丸ｺﾞｼｯｸM-PRO" w:eastAsia="HG丸ｺﾞｼｯｸM-PRO" w:hAnsi="HG丸ｺﾞｼｯｸM-PRO" w:hint="eastAsia"/>
                <w:szCs w:val="21"/>
              </w:rPr>
              <w:t>□指令部会議の事前準備</w:t>
            </w:r>
          </w:p>
          <w:p w14:paraId="237392AF" w14:textId="77777777" w:rsidR="00742C35" w:rsidRPr="001D6D10" w:rsidRDefault="00742C35" w:rsidP="00742C35">
            <w:pPr>
              <w:rPr>
                <w:rFonts w:ascii="HG丸ｺﾞｼｯｸM-PRO" w:eastAsia="HG丸ｺﾞｼｯｸM-PRO" w:hAnsi="HG丸ｺﾞｼｯｸM-PRO"/>
                <w:szCs w:val="21"/>
                <w:u w:val="single"/>
              </w:rPr>
            </w:pPr>
            <w:r w:rsidRPr="001D6D10">
              <w:rPr>
                <w:rFonts w:ascii="HG丸ｺﾞｼｯｸM-PRO" w:eastAsia="HG丸ｺﾞｼｯｸM-PRO" w:hAnsi="HG丸ｺﾞｼｯｸM-PRO" w:hint="eastAsia"/>
                <w:szCs w:val="21"/>
              </w:rPr>
              <w:t xml:space="preserve">　</w:t>
            </w:r>
            <w:r w:rsidR="005B33EE" w:rsidRPr="001D6D10">
              <w:rPr>
                <w:rFonts w:ascii="HG丸ｺﾞｼｯｸM-PRO" w:eastAsia="HG丸ｺﾞｼｯｸM-PRO" w:hAnsi="HG丸ｺﾞｼｯｸM-PRO" w:hint="eastAsia"/>
                <w:szCs w:val="21"/>
              </w:rPr>
              <w:t>・イベントの有無確認（府主催、共催）</w:t>
            </w:r>
          </w:p>
        </w:tc>
      </w:tr>
      <w:tr w:rsidR="001D6D10" w:rsidRPr="001D6D10" w14:paraId="3C490244" w14:textId="77777777" w:rsidTr="00F35CFE">
        <w:trPr>
          <w:jc w:val="center"/>
        </w:trPr>
        <w:tc>
          <w:tcPr>
            <w:tcW w:w="1457" w:type="dxa"/>
            <w:vMerge/>
          </w:tcPr>
          <w:p w14:paraId="5932B980" w14:textId="77777777" w:rsidR="0001205E" w:rsidRPr="001D6D10" w:rsidRDefault="0001205E" w:rsidP="00F35CFE">
            <w:pPr>
              <w:rPr>
                <w:rFonts w:ascii="HG丸ｺﾞｼｯｸM-PRO" w:eastAsia="HG丸ｺﾞｼｯｸM-PRO" w:hAnsi="HG丸ｺﾞｼｯｸM-PRO"/>
                <w:szCs w:val="21"/>
              </w:rPr>
            </w:pPr>
          </w:p>
        </w:tc>
        <w:tc>
          <w:tcPr>
            <w:tcW w:w="7037" w:type="dxa"/>
          </w:tcPr>
          <w:p w14:paraId="0A03510C" w14:textId="77777777" w:rsidR="0001205E" w:rsidRPr="001D6D10" w:rsidRDefault="0001205E" w:rsidP="00F35CFE">
            <w:pPr>
              <w:rPr>
                <w:rFonts w:ascii="HG丸ｺﾞｼｯｸM-PRO" w:eastAsia="HG丸ｺﾞｼｯｸM-PRO" w:hAnsi="HG丸ｺﾞｼｯｸM-PRO"/>
                <w:szCs w:val="21"/>
              </w:rPr>
            </w:pPr>
            <w:r w:rsidRPr="001D6D10">
              <w:rPr>
                <w:rFonts w:ascii="HG丸ｺﾞｼｯｸM-PRO" w:eastAsia="HG丸ｺﾞｼｯｸM-PRO" w:hAnsi="HG丸ｺﾞｼｯｸM-PRO" w:hint="eastAsia"/>
                <w:b/>
                <w:szCs w:val="21"/>
                <w:highlight w:val="yellow"/>
              </w:rPr>
              <w:t>防災・危機管理指令部会議</w:t>
            </w:r>
            <w:r w:rsidRPr="001D6D10">
              <w:rPr>
                <w:rFonts w:ascii="HG丸ｺﾞｼｯｸM-PRO" w:eastAsia="HG丸ｺﾞｼｯｸM-PRO" w:hAnsi="HG丸ｺﾞｼｯｸM-PRO" w:hint="eastAsia"/>
                <w:szCs w:val="21"/>
                <w:highlight w:val="yellow"/>
              </w:rPr>
              <w:t>（おおよそ７２ｈ前）</w:t>
            </w:r>
            <w:r w:rsidR="00CB0ABF" w:rsidRPr="001D6D10">
              <w:rPr>
                <w:rFonts w:ascii="HG丸ｺﾞｼｯｸM-PRO" w:eastAsia="HG丸ｺﾞｼｯｸM-PRO" w:hAnsi="HG丸ｺﾞｼｯｸM-PRO" w:hint="eastAsia"/>
                <w:szCs w:val="21"/>
                <w:highlight w:val="yellow"/>
              </w:rPr>
              <w:t>（Ｐ42</w:t>
            </w:r>
            <w:r w:rsidR="00AD02A5" w:rsidRPr="001D6D10">
              <w:rPr>
                <w:rFonts w:ascii="HG丸ｺﾞｼｯｸM-PRO" w:eastAsia="HG丸ｺﾞｼｯｸM-PRO" w:hAnsi="HG丸ｺﾞｼｯｸM-PRO" w:hint="eastAsia"/>
                <w:szCs w:val="21"/>
                <w:highlight w:val="yellow"/>
              </w:rPr>
              <w:t>参照）</w:t>
            </w:r>
          </w:p>
        </w:tc>
      </w:tr>
      <w:tr w:rsidR="001D6D10" w:rsidRPr="001D6D10" w14:paraId="6844A5C5" w14:textId="77777777" w:rsidTr="00F35CFE">
        <w:trPr>
          <w:jc w:val="center"/>
        </w:trPr>
        <w:tc>
          <w:tcPr>
            <w:tcW w:w="1457" w:type="dxa"/>
            <w:vMerge/>
          </w:tcPr>
          <w:p w14:paraId="57E8BA6D" w14:textId="77777777" w:rsidR="0001205E" w:rsidRPr="001D6D10" w:rsidRDefault="0001205E" w:rsidP="00F35CFE">
            <w:pPr>
              <w:rPr>
                <w:rFonts w:ascii="HG丸ｺﾞｼｯｸM-PRO" w:eastAsia="HG丸ｺﾞｼｯｸM-PRO" w:hAnsi="HG丸ｺﾞｼｯｸM-PRO"/>
                <w:szCs w:val="21"/>
              </w:rPr>
            </w:pPr>
          </w:p>
        </w:tc>
        <w:tc>
          <w:tcPr>
            <w:tcW w:w="7037" w:type="dxa"/>
          </w:tcPr>
          <w:p w14:paraId="1644CBA1" w14:textId="77777777" w:rsidR="00526AB5" w:rsidRPr="001D6D10" w:rsidRDefault="00526AB5" w:rsidP="00526AB5">
            <w:pPr>
              <w:rPr>
                <w:rFonts w:ascii="HG丸ｺﾞｼｯｸM-PRO" w:eastAsia="HG丸ｺﾞｼｯｸM-PRO" w:hAnsi="HG丸ｺﾞｼｯｸM-PRO"/>
                <w:szCs w:val="21"/>
              </w:rPr>
            </w:pPr>
            <w:r w:rsidRPr="001D6D10">
              <w:rPr>
                <w:rFonts w:ascii="HG丸ｺﾞｼｯｸM-PRO" w:eastAsia="HG丸ｺﾞｼｯｸM-PRO" w:hAnsi="HG丸ｺﾞｼｯｸM-PRO" w:hint="eastAsia"/>
                <w:szCs w:val="21"/>
              </w:rPr>
              <w:t>□危機管理室からの情報の共有</w:t>
            </w:r>
            <w:r w:rsidRPr="001D6D10">
              <w:rPr>
                <w:rFonts w:ascii="HG丸ｺﾞｼｯｸM-PRO" w:eastAsia="HG丸ｺﾞｼｯｸM-PRO" w:hAnsi="HG丸ｺﾞｼｯｸM-PRO"/>
                <w:szCs w:val="21"/>
              </w:rPr>
              <w:br/>
            </w:r>
            <w:r w:rsidRPr="001D6D10">
              <w:rPr>
                <w:rFonts w:ascii="HG丸ｺﾞｼｯｸM-PRO" w:eastAsia="HG丸ｺﾞｼｯｸM-PRO" w:hAnsi="HG丸ｺﾞｼｯｸM-PRO" w:hint="eastAsia"/>
                <w:szCs w:val="21"/>
              </w:rPr>
              <w:t>□会期中の場合、本会議・委員会の中止・延期等の対応検討・調整</w:t>
            </w:r>
          </w:p>
        </w:tc>
      </w:tr>
      <w:tr w:rsidR="001D6D10" w:rsidRPr="001D6D10" w14:paraId="4DD66C67" w14:textId="77777777" w:rsidTr="00F35CFE">
        <w:trPr>
          <w:jc w:val="center"/>
        </w:trPr>
        <w:tc>
          <w:tcPr>
            <w:tcW w:w="1457" w:type="dxa"/>
            <w:vMerge w:val="restart"/>
          </w:tcPr>
          <w:p w14:paraId="2C985EF1" w14:textId="77777777" w:rsidR="00934E60" w:rsidRPr="001D6D10" w:rsidRDefault="00934E60" w:rsidP="00F35CFE">
            <w:pPr>
              <w:rPr>
                <w:rFonts w:ascii="HG丸ｺﾞｼｯｸM-PRO" w:eastAsia="HG丸ｺﾞｼｯｸM-PRO" w:hAnsi="HG丸ｺﾞｼｯｸM-PRO"/>
                <w:szCs w:val="21"/>
              </w:rPr>
            </w:pPr>
          </w:p>
          <w:p w14:paraId="6C7F1E5D" w14:textId="77777777" w:rsidR="00934E60" w:rsidRPr="001D6D10" w:rsidRDefault="00934E60" w:rsidP="00F35CFE">
            <w:pPr>
              <w:rPr>
                <w:rFonts w:ascii="HG丸ｺﾞｼｯｸM-PRO" w:eastAsia="HG丸ｺﾞｼｯｸM-PRO" w:hAnsi="HG丸ｺﾞｼｯｸM-PRO"/>
                <w:szCs w:val="21"/>
              </w:rPr>
            </w:pPr>
          </w:p>
          <w:p w14:paraId="63BCB551" w14:textId="77777777" w:rsidR="00934E60" w:rsidRPr="001D6D10" w:rsidRDefault="00934E60" w:rsidP="00F35CFE">
            <w:pPr>
              <w:rPr>
                <w:rFonts w:ascii="HG丸ｺﾞｼｯｸM-PRO" w:eastAsia="HG丸ｺﾞｼｯｸM-PRO" w:hAnsi="HG丸ｺﾞｼｯｸM-PRO"/>
                <w:szCs w:val="21"/>
              </w:rPr>
            </w:pPr>
          </w:p>
          <w:p w14:paraId="5984D50B" w14:textId="77777777" w:rsidR="00934E60" w:rsidRPr="001D6D10" w:rsidRDefault="00934E60" w:rsidP="00F35CFE">
            <w:pPr>
              <w:rPr>
                <w:rFonts w:ascii="HG丸ｺﾞｼｯｸM-PRO" w:eastAsia="HG丸ｺﾞｼｯｸM-PRO" w:hAnsi="HG丸ｺﾞｼｯｸM-PRO"/>
                <w:szCs w:val="21"/>
              </w:rPr>
            </w:pPr>
          </w:p>
          <w:p w14:paraId="57EDE10F" w14:textId="77777777" w:rsidR="0001205E" w:rsidRPr="001D6D10" w:rsidRDefault="0001205E" w:rsidP="00F35CFE">
            <w:pPr>
              <w:rPr>
                <w:rFonts w:ascii="HG丸ｺﾞｼｯｸM-PRO" w:eastAsia="HG丸ｺﾞｼｯｸM-PRO" w:hAnsi="HG丸ｺﾞｼｯｸM-PRO"/>
                <w:szCs w:val="21"/>
              </w:rPr>
            </w:pPr>
            <w:r w:rsidRPr="001D6D10">
              <w:rPr>
                <w:rFonts w:ascii="HG丸ｺﾞｼｯｸM-PRO" w:eastAsia="HG丸ｺﾞｼｯｸM-PRO" w:hAnsi="HG丸ｺﾞｼｯｸM-PRO" w:hint="eastAsia"/>
                <w:szCs w:val="21"/>
              </w:rPr>
              <w:t>48ｈ前～</w:t>
            </w:r>
          </w:p>
          <w:p w14:paraId="5BDFE306" w14:textId="77777777" w:rsidR="0001205E" w:rsidRPr="001D6D10" w:rsidRDefault="0001205E" w:rsidP="00F35CFE">
            <w:pPr>
              <w:rPr>
                <w:rFonts w:ascii="HG丸ｺﾞｼｯｸM-PRO" w:eastAsia="HG丸ｺﾞｼｯｸM-PRO" w:hAnsi="HG丸ｺﾞｼｯｸM-PRO"/>
                <w:szCs w:val="21"/>
              </w:rPr>
            </w:pPr>
            <w:r w:rsidRPr="001D6D10">
              <w:rPr>
                <w:rFonts w:ascii="HG丸ｺﾞｼｯｸM-PRO" w:eastAsia="HG丸ｺﾞｼｯｸM-PRO" w:hAnsi="HG丸ｺﾞｼｯｸM-PRO" w:hint="eastAsia"/>
                <w:szCs w:val="21"/>
              </w:rPr>
              <w:t xml:space="preserve">　　24ｈ前</w:t>
            </w:r>
          </w:p>
          <w:p w14:paraId="37155092" w14:textId="77777777" w:rsidR="0001205E" w:rsidRPr="001D6D10" w:rsidRDefault="0001205E" w:rsidP="00F35CFE">
            <w:pPr>
              <w:rPr>
                <w:rFonts w:ascii="HG丸ｺﾞｼｯｸM-PRO" w:eastAsia="HG丸ｺﾞｼｯｸM-PRO" w:hAnsi="HG丸ｺﾞｼｯｸM-PRO"/>
                <w:szCs w:val="21"/>
              </w:rPr>
            </w:pPr>
            <w:r w:rsidRPr="001D6D10">
              <w:rPr>
                <w:rFonts w:ascii="HG丸ｺﾞｼｯｸM-PRO" w:eastAsia="HG丸ｺﾞｼｯｸM-PRO" w:hAnsi="HG丸ｺﾞｼｯｸM-PRO" w:hint="eastAsia"/>
                <w:szCs w:val="21"/>
              </w:rPr>
              <w:t>（２日前）</w:t>
            </w:r>
          </w:p>
        </w:tc>
        <w:tc>
          <w:tcPr>
            <w:tcW w:w="7037" w:type="dxa"/>
          </w:tcPr>
          <w:p w14:paraId="47C0C063" w14:textId="77777777" w:rsidR="0001205E" w:rsidRPr="001D6D10" w:rsidRDefault="0001205E" w:rsidP="00F35CFE">
            <w:pPr>
              <w:rPr>
                <w:rFonts w:ascii="HG丸ｺﾞｼｯｸM-PRO" w:eastAsia="HG丸ｺﾞｼｯｸM-PRO" w:hAnsi="HG丸ｺﾞｼｯｸM-PRO"/>
                <w:sz w:val="18"/>
                <w:szCs w:val="18"/>
              </w:rPr>
            </w:pPr>
            <w:r w:rsidRPr="001D6D10">
              <w:rPr>
                <w:rFonts w:ascii="HG丸ｺﾞｼｯｸM-PRO" w:eastAsia="HG丸ｺﾞｼｯｸM-PRO" w:hAnsi="HG丸ｺﾞｼｯｸM-PRO" w:hint="eastAsia"/>
                <w:szCs w:val="21"/>
              </w:rPr>
              <w:t>庁内連絡会議①：災害モード宣言の内容、第1回災害警戒本部会議の事前調整等</w:t>
            </w:r>
            <w:r w:rsidRPr="001D6D10">
              <w:rPr>
                <w:rFonts w:ascii="HG丸ｺﾞｼｯｸM-PRO" w:eastAsia="HG丸ｺﾞｼｯｸM-PRO" w:hAnsi="HG丸ｺﾞｼｯｸM-PRO" w:hint="eastAsia"/>
                <w:sz w:val="18"/>
                <w:szCs w:val="18"/>
              </w:rPr>
              <w:t>(警戒本部会議議題：管理施設の休館及び学校休校の検討、イベント等の中止検討、職員の配備態勢)</w:t>
            </w:r>
          </w:p>
          <w:p w14:paraId="48A17D84" w14:textId="77777777" w:rsidR="00742C35" w:rsidRPr="001D6D10" w:rsidRDefault="00742C35" w:rsidP="00742C35">
            <w:pPr>
              <w:rPr>
                <w:rFonts w:ascii="HG丸ｺﾞｼｯｸM-PRO" w:eastAsia="HG丸ｺﾞｼｯｸM-PRO" w:hAnsi="HG丸ｺﾞｼｯｸM-PRO"/>
                <w:szCs w:val="21"/>
              </w:rPr>
            </w:pPr>
            <w:r w:rsidRPr="001D6D10">
              <w:rPr>
                <w:rFonts w:ascii="HG丸ｺﾞｼｯｸM-PRO" w:eastAsia="HG丸ｺﾞｼｯｸM-PRO" w:hAnsi="HG丸ｺﾞｼｯｸM-PRO" w:hint="eastAsia"/>
                <w:szCs w:val="21"/>
              </w:rPr>
              <w:t>□第１回災害警戒本部会議の事前準備</w:t>
            </w:r>
          </w:p>
          <w:p w14:paraId="76590BD7" w14:textId="77777777" w:rsidR="00742C35" w:rsidRPr="001D6D10" w:rsidRDefault="00742C35" w:rsidP="00742C35">
            <w:pPr>
              <w:rPr>
                <w:rFonts w:ascii="HG丸ｺﾞｼｯｸM-PRO" w:eastAsia="HG丸ｺﾞｼｯｸM-PRO" w:hAnsi="HG丸ｺﾞｼｯｸM-PRO"/>
                <w:szCs w:val="21"/>
              </w:rPr>
            </w:pPr>
            <w:r w:rsidRPr="001D6D10">
              <w:rPr>
                <w:rFonts w:ascii="HG丸ｺﾞｼｯｸM-PRO" w:eastAsia="HG丸ｺﾞｼｯｸM-PRO" w:hAnsi="HG丸ｺﾞｼｯｸM-PRO" w:hint="eastAsia"/>
                <w:szCs w:val="21"/>
              </w:rPr>
              <w:t xml:space="preserve">　・部局内の対応状況の確認、会議での報告のとりまとめ</w:t>
            </w:r>
          </w:p>
          <w:p w14:paraId="51281D9B" w14:textId="77777777" w:rsidR="007D0602" w:rsidRPr="001D6D10" w:rsidRDefault="00742C35" w:rsidP="007D0602">
            <w:pPr>
              <w:rPr>
                <w:rFonts w:ascii="HG丸ｺﾞｼｯｸM-PRO" w:eastAsia="HG丸ｺﾞｼｯｸM-PRO" w:hAnsi="HG丸ｺﾞｼｯｸM-PRO"/>
                <w:szCs w:val="21"/>
              </w:rPr>
            </w:pPr>
            <w:r w:rsidRPr="001D6D10">
              <w:rPr>
                <w:rFonts w:ascii="HG丸ｺﾞｼｯｸM-PRO" w:eastAsia="HG丸ｺﾞｼｯｸM-PRO" w:hAnsi="HG丸ｺﾞｼｯｸM-PRO" w:hint="eastAsia"/>
                <w:szCs w:val="21"/>
              </w:rPr>
              <w:t xml:space="preserve">　・</w:t>
            </w:r>
            <w:r w:rsidR="00A4645F" w:rsidRPr="001D6D10">
              <w:rPr>
                <w:rFonts w:ascii="HG丸ｺﾞｼｯｸM-PRO" w:eastAsia="HG丸ｺﾞｼｯｸM-PRO" w:hAnsi="HG丸ｺﾞｼｯｸM-PRO" w:hint="eastAsia"/>
                <w:szCs w:val="21"/>
              </w:rPr>
              <w:t>庁舎</w:t>
            </w:r>
            <w:r w:rsidRPr="001D6D10">
              <w:rPr>
                <w:rFonts w:ascii="HG丸ｺﾞｼｯｸM-PRO" w:eastAsia="HG丸ｺﾞｼｯｸM-PRO" w:hAnsi="HG丸ｺﾞｼｯｸM-PRO" w:hint="eastAsia"/>
                <w:szCs w:val="21"/>
              </w:rPr>
              <w:t>の安全確認</w:t>
            </w:r>
          </w:p>
          <w:p w14:paraId="0B04AFBC" w14:textId="77777777" w:rsidR="00BD7DE5" w:rsidRPr="001D6D10" w:rsidRDefault="00BD7DE5" w:rsidP="007D0602">
            <w:pPr>
              <w:rPr>
                <w:rFonts w:ascii="HG丸ｺﾞｼｯｸM-PRO" w:eastAsia="HG丸ｺﾞｼｯｸM-PRO" w:hAnsi="HG丸ｺﾞｼｯｸM-PRO"/>
                <w:szCs w:val="21"/>
                <w:u w:val="single"/>
              </w:rPr>
            </w:pPr>
            <w:r w:rsidRPr="001D6D10">
              <w:rPr>
                <w:rFonts w:ascii="HG丸ｺﾞｼｯｸM-PRO" w:eastAsia="HG丸ｺﾞｼｯｸM-PRO" w:hAnsi="HG丸ｺﾞｼｯｸM-PRO" w:hint="eastAsia"/>
                <w:szCs w:val="21"/>
                <w:bdr w:val="single" w:sz="4" w:space="0" w:color="auto"/>
              </w:rPr>
              <w:t>台風説明会</w:t>
            </w:r>
          </w:p>
        </w:tc>
      </w:tr>
      <w:tr w:rsidR="001D6D10" w:rsidRPr="001D6D10" w14:paraId="2DE3883C" w14:textId="77777777" w:rsidTr="00F35CFE">
        <w:trPr>
          <w:jc w:val="center"/>
        </w:trPr>
        <w:tc>
          <w:tcPr>
            <w:tcW w:w="1457" w:type="dxa"/>
            <w:vMerge/>
          </w:tcPr>
          <w:p w14:paraId="36099298" w14:textId="77777777" w:rsidR="0001205E" w:rsidRPr="001D6D10" w:rsidRDefault="0001205E" w:rsidP="00F35CFE">
            <w:pPr>
              <w:rPr>
                <w:rFonts w:ascii="HG丸ｺﾞｼｯｸM-PRO" w:eastAsia="HG丸ｺﾞｼｯｸM-PRO" w:hAnsi="HG丸ｺﾞｼｯｸM-PRO"/>
                <w:szCs w:val="21"/>
              </w:rPr>
            </w:pPr>
          </w:p>
        </w:tc>
        <w:tc>
          <w:tcPr>
            <w:tcW w:w="7037" w:type="dxa"/>
          </w:tcPr>
          <w:p w14:paraId="2849AFA1" w14:textId="77777777" w:rsidR="0001205E" w:rsidRPr="001D6D10" w:rsidRDefault="0001205E" w:rsidP="00F35CFE">
            <w:pPr>
              <w:rPr>
                <w:rFonts w:ascii="HG丸ｺﾞｼｯｸM-PRO" w:eastAsia="HG丸ｺﾞｼｯｸM-PRO" w:hAnsi="HG丸ｺﾞｼｯｸM-PRO"/>
                <w:szCs w:val="21"/>
                <w:highlight w:val="yellow"/>
              </w:rPr>
            </w:pPr>
            <w:r w:rsidRPr="001D6D10">
              <w:rPr>
                <w:rFonts w:ascii="HG丸ｺﾞｼｯｸM-PRO" w:eastAsia="HG丸ｺﾞｼｯｸM-PRO" w:hAnsi="HG丸ｺﾞｼｯｸM-PRO" w:hint="eastAsia"/>
                <w:b/>
                <w:szCs w:val="21"/>
                <w:highlight w:val="yellow"/>
              </w:rPr>
              <w:t>第1回災害警戒本部会議</w:t>
            </w:r>
            <w:r w:rsidRPr="001D6D10">
              <w:rPr>
                <w:rFonts w:ascii="HG丸ｺﾞｼｯｸM-PRO" w:eastAsia="HG丸ｺﾞｼｯｸM-PRO" w:hAnsi="HG丸ｺﾞｼｯｸM-PRO" w:hint="eastAsia"/>
                <w:szCs w:val="21"/>
                <w:highlight w:val="yellow"/>
              </w:rPr>
              <w:t>（災害モード宣言の内容検討）</w:t>
            </w:r>
            <w:r w:rsidR="00CB0ABF" w:rsidRPr="001D6D10">
              <w:rPr>
                <w:rFonts w:ascii="HG丸ｺﾞｼｯｸM-PRO" w:eastAsia="HG丸ｺﾞｼｯｸM-PRO" w:hAnsi="HG丸ｺﾞｼｯｸM-PRO" w:hint="eastAsia"/>
                <w:szCs w:val="21"/>
                <w:highlight w:val="yellow"/>
              </w:rPr>
              <w:t>（Ｐ47</w:t>
            </w:r>
            <w:r w:rsidR="0010145B" w:rsidRPr="001D6D10">
              <w:rPr>
                <w:rFonts w:ascii="HG丸ｺﾞｼｯｸM-PRO" w:eastAsia="HG丸ｺﾞｼｯｸM-PRO" w:hAnsi="HG丸ｺﾞｼｯｸM-PRO" w:hint="eastAsia"/>
                <w:szCs w:val="21"/>
                <w:highlight w:val="yellow"/>
              </w:rPr>
              <w:t>参照）</w:t>
            </w:r>
          </w:p>
        </w:tc>
      </w:tr>
      <w:tr w:rsidR="001D6D10" w:rsidRPr="001D6D10" w14:paraId="35010AF2" w14:textId="77777777" w:rsidTr="00F35CFE">
        <w:trPr>
          <w:jc w:val="center"/>
        </w:trPr>
        <w:tc>
          <w:tcPr>
            <w:tcW w:w="1457" w:type="dxa"/>
            <w:vMerge/>
          </w:tcPr>
          <w:p w14:paraId="0CEE29FC" w14:textId="77777777" w:rsidR="0001205E" w:rsidRPr="001D6D10" w:rsidRDefault="0001205E" w:rsidP="00F35CFE">
            <w:pPr>
              <w:rPr>
                <w:rFonts w:ascii="HG丸ｺﾞｼｯｸM-PRO" w:eastAsia="HG丸ｺﾞｼｯｸM-PRO" w:hAnsi="HG丸ｺﾞｼｯｸM-PRO"/>
                <w:szCs w:val="21"/>
              </w:rPr>
            </w:pPr>
          </w:p>
        </w:tc>
        <w:tc>
          <w:tcPr>
            <w:tcW w:w="7037" w:type="dxa"/>
          </w:tcPr>
          <w:p w14:paraId="27CD6743" w14:textId="77777777" w:rsidR="00526AB5" w:rsidRPr="001D6D10" w:rsidRDefault="00526AB5" w:rsidP="00526AB5">
            <w:pPr>
              <w:rPr>
                <w:rFonts w:ascii="HG丸ｺﾞｼｯｸM-PRO" w:eastAsia="HG丸ｺﾞｼｯｸM-PRO" w:hAnsi="HG丸ｺﾞｼｯｸM-PRO"/>
                <w:szCs w:val="21"/>
              </w:rPr>
            </w:pPr>
            <w:r w:rsidRPr="001D6D10">
              <w:rPr>
                <w:rFonts w:ascii="HG丸ｺﾞｼｯｸM-PRO" w:eastAsia="HG丸ｺﾞｼｯｸM-PRO" w:hAnsi="HG丸ｺﾞｼｯｸM-PRO" w:hint="eastAsia"/>
                <w:szCs w:val="21"/>
              </w:rPr>
              <w:t>□危機管理室からの情報共有</w:t>
            </w:r>
          </w:p>
          <w:p w14:paraId="0DFF5075" w14:textId="77777777" w:rsidR="00526AB5" w:rsidRPr="001D6D10" w:rsidRDefault="00526AB5" w:rsidP="00526AB5">
            <w:pPr>
              <w:rPr>
                <w:rFonts w:ascii="HG丸ｺﾞｼｯｸM-PRO" w:eastAsia="HG丸ｺﾞｼｯｸM-PRO" w:hAnsi="HG丸ｺﾞｼｯｸM-PRO"/>
                <w:szCs w:val="21"/>
              </w:rPr>
            </w:pPr>
            <w:r w:rsidRPr="001D6D10">
              <w:rPr>
                <w:rFonts w:ascii="HG丸ｺﾞｼｯｸM-PRO" w:eastAsia="HG丸ｺﾞｼｯｸM-PRO" w:hAnsi="HG丸ｺﾞｼｯｸM-PRO" w:hint="eastAsia"/>
                <w:szCs w:val="21"/>
              </w:rPr>
              <w:t>□公共交通機関計画運休の確認</w:t>
            </w:r>
          </w:p>
          <w:p w14:paraId="16BE4730" w14:textId="77777777" w:rsidR="00526AB5" w:rsidRPr="001D6D10" w:rsidRDefault="00526AB5" w:rsidP="00526AB5">
            <w:pPr>
              <w:rPr>
                <w:rFonts w:ascii="HG丸ｺﾞｼｯｸM-PRO" w:eastAsia="HG丸ｺﾞｼｯｸM-PRO" w:hAnsi="HG丸ｺﾞｼｯｸM-PRO"/>
                <w:szCs w:val="21"/>
              </w:rPr>
            </w:pPr>
            <w:r w:rsidRPr="001D6D10">
              <w:rPr>
                <w:rFonts w:ascii="HG丸ｺﾞｼｯｸM-PRO" w:eastAsia="HG丸ｺﾞｼｯｸM-PRO" w:hAnsi="HG丸ｺﾞｼｯｸM-PRO" w:hint="eastAsia"/>
                <w:szCs w:val="21"/>
              </w:rPr>
              <w:t>□職員体制の確認・確保</w:t>
            </w:r>
          </w:p>
          <w:p w14:paraId="1CBDB623" w14:textId="77777777" w:rsidR="0001205E" w:rsidRPr="001D6D10" w:rsidRDefault="00526AB5" w:rsidP="00F35CFE">
            <w:pPr>
              <w:rPr>
                <w:rFonts w:ascii="HG丸ｺﾞｼｯｸM-PRO" w:eastAsia="HG丸ｺﾞｼｯｸM-PRO" w:hAnsi="HG丸ｺﾞｼｯｸM-PRO"/>
                <w:szCs w:val="21"/>
              </w:rPr>
            </w:pPr>
            <w:r w:rsidRPr="001D6D10">
              <w:rPr>
                <w:rFonts w:ascii="HG丸ｺﾞｼｯｸM-PRO" w:eastAsia="HG丸ｺﾞｼｯｸM-PRO" w:hAnsi="HG丸ｺﾞｼｯｸM-PRO" w:hint="eastAsia"/>
                <w:szCs w:val="21"/>
              </w:rPr>
              <w:t>□会期中の場合、本会議・委員会の中止・延期等の調整</w:t>
            </w:r>
          </w:p>
        </w:tc>
      </w:tr>
      <w:tr w:rsidR="001D6D10" w:rsidRPr="001D6D10" w14:paraId="0A63C162" w14:textId="77777777" w:rsidTr="00F35CFE">
        <w:trPr>
          <w:jc w:val="center"/>
        </w:trPr>
        <w:tc>
          <w:tcPr>
            <w:tcW w:w="1457" w:type="dxa"/>
            <w:vMerge w:val="restart"/>
          </w:tcPr>
          <w:p w14:paraId="040DC288" w14:textId="77777777" w:rsidR="00934E60" w:rsidRPr="001D6D10" w:rsidRDefault="00934E60" w:rsidP="00F35CFE">
            <w:pPr>
              <w:rPr>
                <w:rFonts w:ascii="HG丸ｺﾞｼｯｸM-PRO" w:eastAsia="HG丸ｺﾞｼｯｸM-PRO" w:hAnsi="HG丸ｺﾞｼｯｸM-PRO"/>
                <w:szCs w:val="21"/>
              </w:rPr>
            </w:pPr>
          </w:p>
          <w:p w14:paraId="1EEC7C01" w14:textId="77777777" w:rsidR="00934E60" w:rsidRPr="001D6D10" w:rsidRDefault="00934E60" w:rsidP="00F35CFE">
            <w:pPr>
              <w:rPr>
                <w:rFonts w:ascii="HG丸ｺﾞｼｯｸM-PRO" w:eastAsia="HG丸ｺﾞｼｯｸM-PRO" w:hAnsi="HG丸ｺﾞｼｯｸM-PRO"/>
                <w:szCs w:val="21"/>
              </w:rPr>
            </w:pPr>
          </w:p>
          <w:p w14:paraId="715DE65C" w14:textId="77777777" w:rsidR="0001205E" w:rsidRPr="001D6D10" w:rsidRDefault="0001205E" w:rsidP="00F35CFE">
            <w:pPr>
              <w:rPr>
                <w:rFonts w:ascii="HG丸ｺﾞｼｯｸM-PRO" w:eastAsia="HG丸ｺﾞｼｯｸM-PRO" w:hAnsi="HG丸ｺﾞｼｯｸM-PRO"/>
                <w:szCs w:val="21"/>
              </w:rPr>
            </w:pPr>
            <w:r w:rsidRPr="001D6D10">
              <w:rPr>
                <w:rFonts w:ascii="HG丸ｺﾞｼｯｸM-PRO" w:eastAsia="HG丸ｺﾞｼｯｸM-PRO" w:hAnsi="HG丸ｺﾞｼｯｸM-PRO" w:hint="eastAsia"/>
                <w:szCs w:val="21"/>
              </w:rPr>
              <w:t>24ｈ前～</w:t>
            </w:r>
          </w:p>
          <w:p w14:paraId="3A5B59DF" w14:textId="77777777" w:rsidR="0001205E" w:rsidRPr="001D6D10" w:rsidRDefault="0001205E" w:rsidP="00F35CFE">
            <w:pPr>
              <w:rPr>
                <w:rFonts w:ascii="HG丸ｺﾞｼｯｸM-PRO" w:eastAsia="HG丸ｺﾞｼｯｸM-PRO" w:hAnsi="HG丸ｺﾞｼｯｸM-PRO"/>
                <w:szCs w:val="21"/>
              </w:rPr>
            </w:pPr>
            <w:r w:rsidRPr="001D6D10">
              <w:rPr>
                <w:rFonts w:ascii="HG丸ｺﾞｼｯｸM-PRO" w:eastAsia="HG丸ｺﾞｼｯｸM-PRO" w:hAnsi="HG丸ｺﾞｼｯｸM-PRO" w:hint="eastAsia"/>
                <w:szCs w:val="21"/>
              </w:rPr>
              <w:t xml:space="preserve">　　最接近</w:t>
            </w:r>
          </w:p>
          <w:p w14:paraId="5D93A2FE" w14:textId="77777777" w:rsidR="0001205E" w:rsidRPr="001D6D10" w:rsidRDefault="0001205E" w:rsidP="00F35CFE">
            <w:pPr>
              <w:rPr>
                <w:rFonts w:ascii="HG丸ｺﾞｼｯｸM-PRO" w:eastAsia="HG丸ｺﾞｼｯｸM-PRO" w:hAnsi="HG丸ｺﾞｼｯｸM-PRO"/>
                <w:szCs w:val="21"/>
              </w:rPr>
            </w:pPr>
            <w:r w:rsidRPr="001D6D10">
              <w:rPr>
                <w:rFonts w:ascii="HG丸ｺﾞｼｯｸM-PRO" w:eastAsia="HG丸ｺﾞｼｯｸM-PRO" w:hAnsi="HG丸ｺﾞｼｯｸM-PRO" w:hint="eastAsia"/>
                <w:szCs w:val="21"/>
              </w:rPr>
              <w:t>（１日前）</w:t>
            </w:r>
          </w:p>
        </w:tc>
        <w:tc>
          <w:tcPr>
            <w:tcW w:w="7037" w:type="dxa"/>
          </w:tcPr>
          <w:p w14:paraId="03E0C218" w14:textId="77777777" w:rsidR="0001205E" w:rsidRPr="001D6D10" w:rsidRDefault="0001205E" w:rsidP="00F35CFE">
            <w:pPr>
              <w:rPr>
                <w:rFonts w:ascii="HG丸ｺﾞｼｯｸM-PRO" w:eastAsia="HG丸ｺﾞｼｯｸM-PRO" w:hAnsi="HG丸ｺﾞｼｯｸM-PRO"/>
                <w:szCs w:val="21"/>
              </w:rPr>
            </w:pPr>
            <w:r w:rsidRPr="001D6D10">
              <w:rPr>
                <w:rFonts w:ascii="HG丸ｺﾞｼｯｸM-PRO" w:eastAsia="HG丸ｺﾞｼｯｸM-PRO" w:hAnsi="HG丸ｺﾞｼｯｸM-PRO" w:hint="eastAsia"/>
                <w:szCs w:val="21"/>
              </w:rPr>
              <w:t>庁内連絡会議②：第2回災害警戒本部会議の事前調整等</w:t>
            </w:r>
          </w:p>
          <w:p w14:paraId="6082C1B2" w14:textId="77777777" w:rsidR="00742C35" w:rsidRPr="001D6D10" w:rsidRDefault="00742C35" w:rsidP="00742C35">
            <w:pPr>
              <w:rPr>
                <w:rFonts w:ascii="HG丸ｺﾞｼｯｸM-PRO" w:eastAsia="HG丸ｺﾞｼｯｸM-PRO" w:hAnsi="HG丸ｺﾞｼｯｸM-PRO"/>
                <w:szCs w:val="21"/>
              </w:rPr>
            </w:pPr>
            <w:r w:rsidRPr="001D6D10">
              <w:rPr>
                <w:rFonts w:ascii="HG丸ｺﾞｼｯｸM-PRO" w:eastAsia="HG丸ｺﾞｼｯｸM-PRO" w:hAnsi="HG丸ｺﾞｼｯｸM-PRO" w:hint="eastAsia"/>
                <w:szCs w:val="21"/>
              </w:rPr>
              <w:t>□第２回災害警戒本部会議の事前準備</w:t>
            </w:r>
          </w:p>
          <w:p w14:paraId="134DC599" w14:textId="77777777" w:rsidR="00742C35" w:rsidRPr="001D6D10" w:rsidRDefault="00742C35" w:rsidP="00742C35">
            <w:pPr>
              <w:rPr>
                <w:rFonts w:ascii="HG丸ｺﾞｼｯｸM-PRO" w:eastAsia="HG丸ｺﾞｼｯｸM-PRO" w:hAnsi="HG丸ｺﾞｼｯｸM-PRO"/>
                <w:szCs w:val="21"/>
              </w:rPr>
            </w:pPr>
            <w:r w:rsidRPr="001D6D10">
              <w:rPr>
                <w:rFonts w:ascii="HG丸ｺﾞｼｯｸM-PRO" w:eastAsia="HG丸ｺﾞｼｯｸM-PRO" w:hAnsi="HG丸ｺﾞｼｯｸM-PRO" w:hint="eastAsia"/>
                <w:szCs w:val="21"/>
              </w:rPr>
              <w:t xml:space="preserve">　・部局内の対応状況の確認、会議での報告のとりまとめ</w:t>
            </w:r>
          </w:p>
          <w:p w14:paraId="29A242B2" w14:textId="77777777" w:rsidR="007D0602" w:rsidRPr="001D6D10" w:rsidRDefault="00742C35" w:rsidP="007D0602">
            <w:pPr>
              <w:rPr>
                <w:rFonts w:ascii="HG丸ｺﾞｼｯｸM-PRO" w:eastAsia="HG丸ｺﾞｼｯｸM-PRO" w:hAnsi="HG丸ｺﾞｼｯｸM-PRO"/>
                <w:szCs w:val="21"/>
              </w:rPr>
            </w:pPr>
            <w:r w:rsidRPr="001D6D10">
              <w:rPr>
                <w:rFonts w:ascii="HG丸ｺﾞｼｯｸM-PRO" w:eastAsia="HG丸ｺﾞｼｯｸM-PRO" w:hAnsi="HG丸ｺﾞｼｯｸM-PRO" w:hint="eastAsia"/>
                <w:szCs w:val="21"/>
              </w:rPr>
              <w:t xml:space="preserve">　・庁舎・所管施設の安全点検</w:t>
            </w:r>
          </w:p>
          <w:p w14:paraId="50E55E69" w14:textId="77777777" w:rsidR="00BD7DE5" w:rsidRPr="001D6D10" w:rsidRDefault="00BD7DE5" w:rsidP="007D0602">
            <w:pPr>
              <w:rPr>
                <w:rFonts w:ascii="HG丸ｺﾞｼｯｸM-PRO" w:eastAsia="HG丸ｺﾞｼｯｸM-PRO" w:hAnsi="HG丸ｺﾞｼｯｸM-PRO"/>
                <w:szCs w:val="21"/>
                <w:u w:val="single"/>
              </w:rPr>
            </w:pPr>
            <w:r w:rsidRPr="001D6D10">
              <w:rPr>
                <w:rFonts w:ascii="HG丸ｺﾞｼｯｸM-PRO" w:eastAsia="HG丸ｺﾞｼｯｸM-PRO" w:hAnsi="HG丸ｺﾞｼｯｸM-PRO" w:hint="eastAsia"/>
                <w:szCs w:val="21"/>
                <w:bdr w:val="single" w:sz="4" w:space="0" w:color="auto"/>
              </w:rPr>
              <w:t>台風説明会</w:t>
            </w:r>
          </w:p>
        </w:tc>
      </w:tr>
      <w:tr w:rsidR="001D6D10" w:rsidRPr="001D6D10" w14:paraId="23275620" w14:textId="77777777" w:rsidTr="00F35CFE">
        <w:trPr>
          <w:jc w:val="center"/>
        </w:trPr>
        <w:tc>
          <w:tcPr>
            <w:tcW w:w="1457" w:type="dxa"/>
            <w:vMerge/>
          </w:tcPr>
          <w:p w14:paraId="2FFE7AE9" w14:textId="77777777" w:rsidR="0001205E" w:rsidRPr="001D6D10" w:rsidRDefault="0001205E" w:rsidP="00F35CFE">
            <w:pPr>
              <w:rPr>
                <w:rFonts w:ascii="HG丸ｺﾞｼｯｸM-PRO" w:eastAsia="HG丸ｺﾞｼｯｸM-PRO" w:hAnsi="HG丸ｺﾞｼｯｸM-PRO"/>
                <w:szCs w:val="21"/>
              </w:rPr>
            </w:pPr>
          </w:p>
        </w:tc>
        <w:tc>
          <w:tcPr>
            <w:tcW w:w="7037" w:type="dxa"/>
          </w:tcPr>
          <w:p w14:paraId="50BDF9DC" w14:textId="77777777" w:rsidR="0001205E" w:rsidRPr="001D6D10" w:rsidRDefault="0001205E" w:rsidP="00F35CFE">
            <w:pPr>
              <w:rPr>
                <w:rFonts w:ascii="HG丸ｺﾞｼｯｸM-PRO" w:eastAsia="HG丸ｺﾞｼｯｸM-PRO" w:hAnsi="HG丸ｺﾞｼｯｸM-PRO"/>
                <w:szCs w:val="21"/>
                <w:highlight w:val="yellow"/>
              </w:rPr>
            </w:pPr>
            <w:r w:rsidRPr="001D6D10">
              <w:rPr>
                <w:rFonts w:ascii="HG丸ｺﾞｼｯｸM-PRO" w:eastAsia="HG丸ｺﾞｼｯｸM-PRO" w:hAnsi="HG丸ｺﾞｼｯｸM-PRO" w:hint="eastAsia"/>
                <w:b/>
                <w:szCs w:val="21"/>
                <w:highlight w:val="yellow"/>
              </w:rPr>
              <w:t>第２回災害警戒本部会議</w:t>
            </w:r>
            <w:r w:rsidRPr="001D6D10">
              <w:rPr>
                <w:rFonts w:ascii="HG丸ｺﾞｼｯｸM-PRO" w:eastAsia="HG丸ｺﾞｼｯｸM-PRO" w:hAnsi="HG丸ｺﾞｼｯｸM-PRO" w:hint="eastAsia"/>
                <w:szCs w:val="21"/>
                <w:highlight w:val="yellow"/>
              </w:rPr>
              <w:t>（災害モード宣言の発信）</w:t>
            </w:r>
            <w:r w:rsidR="0010145B" w:rsidRPr="001D6D10">
              <w:rPr>
                <w:rFonts w:ascii="HG丸ｺﾞｼｯｸM-PRO" w:eastAsia="HG丸ｺﾞｼｯｸM-PRO" w:hAnsi="HG丸ｺﾞｼｯｸM-PRO" w:hint="eastAsia"/>
                <w:szCs w:val="21"/>
                <w:highlight w:val="yellow"/>
              </w:rPr>
              <w:t>（Ｐ</w:t>
            </w:r>
            <w:r w:rsidR="00CB0ABF" w:rsidRPr="001D6D10">
              <w:rPr>
                <w:rFonts w:ascii="HG丸ｺﾞｼｯｸM-PRO" w:eastAsia="HG丸ｺﾞｼｯｸM-PRO" w:hAnsi="HG丸ｺﾞｼｯｸM-PRO" w:hint="eastAsia"/>
                <w:szCs w:val="21"/>
                <w:highlight w:val="yellow"/>
              </w:rPr>
              <w:t>47</w:t>
            </w:r>
            <w:r w:rsidR="0010145B" w:rsidRPr="001D6D10">
              <w:rPr>
                <w:rFonts w:ascii="HG丸ｺﾞｼｯｸM-PRO" w:eastAsia="HG丸ｺﾞｼｯｸM-PRO" w:hAnsi="HG丸ｺﾞｼｯｸM-PRO" w:hint="eastAsia"/>
                <w:szCs w:val="21"/>
                <w:highlight w:val="yellow"/>
              </w:rPr>
              <w:t>参照）</w:t>
            </w:r>
          </w:p>
        </w:tc>
      </w:tr>
      <w:tr w:rsidR="001D6D10" w:rsidRPr="001D6D10" w14:paraId="7189FF8A" w14:textId="77777777" w:rsidTr="00F35CFE">
        <w:trPr>
          <w:jc w:val="center"/>
        </w:trPr>
        <w:tc>
          <w:tcPr>
            <w:tcW w:w="1457" w:type="dxa"/>
            <w:vMerge/>
          </w:tcPr>
          <w:p w14:paraId="371FBE00" w14:textId="77777777" w:rsidR="0001205E" w:rsidRPr="001D6D10" w:rsidRDefault="0001205E" w:rsidP="00F35CFE">
            <w:pPr>
              <w:rPr>
                <w:rFonts w:ascii="HG丸ｺﾞｼｯｸM-PRO" w:eastAsia="HG丸ｺﾞｼｯｸM-PRO" w:hAnsi="HG丸ｺﾞｼｯｸM-PRO"/>
                <w:szCs w:val="21"/>
              </w:rPr>
            </w:pPr>
          </w:p>
        </w:tc>
        <w:tc>
          <w:tcPr>
            <w:tcW w:w="7037" w:type="dxa"/>
          </w:tcPr>
          <w:p w14:paraId="57C8DE90" w14:textId="77777777" w:rsidR="00526AB5" w:rsidRPr="001D6D10" w:rsidRDefault="00526AB5" w:rsidP="00526AB5">
            <w:pPr>
              <w:rPr>
                <w:rFonts w:ascii="HG丸ｺﾞｼｯｸM-PRO" w:eastAsia="HG丸ｺﾞｼｯｸM-PRO" w:hAnsi="HG丸ｺﾞｼｯｸM-PRO"/>
                <w:szCs w:val="21"/>
              </w:rPr>
            </w:pPr>
            <w:r w:rsidRPr="001D6D10">
              <w:rPr>
                <w:rFonts w:ascii="HG丸ｺﾞｼｯｸM-PRO" w:eastAsia="HG丸ｺﾞｼｯｸM-PRO" w:hAnsi="HG丸ｺﾞｼｯｸM-PRO" w:hint="eastAsia"/>
                <w:szCs w:val="21"/>
              </w:rPr>
              <w:t>□危機管理室からの情報の共有</w:t>
            </w:r>
          </w:p>
          <w:p w14:paraId="500F2EFA" w14:textId="77777777" w:rsidR="0001205E" w:rsidRPr="001D6D10" w:rsidRDefault="00526AB5" w:rsidP="00F35CFE">
            <w:pPr>
              <w:rPr>
                <w:rFonts w:ascii="HG丸ｺﾞｼｯｸM-PRO" w:eastAsia="HG丸ｺﾞｼｯｸM-PRO" w:hAnsi="HG丸ｺﾞｼｯｸM-PRO"/>
                <w:szCs w:val="21"/>
              </w:rPr>
            </w:pPr>
            <w:r w:rsidRPr="001D6D10">
              <w:rPr>
                <w:rFonts w:ascii="HG丸ｺﾞｼｯｸM-PRO" w:eastAsia="HG丸ｺﾞｼｯｸM-PRO" w:hAnsi="HG丸ｺﾞｼｯｸM-PRO" w:hint="eastAsia"/>
                <w:szCs w:val="21"/>
              </w:rPr>
              <w:t>□会期中の場合、本会議・委員会の中止・延期等の調整</w:t>
            </w:r>
          </w:p>
        </w:tc>
      </w:tr>
    </w:tbl>
    <w:p w14:paraId="3B144107" w14:textId="77777777" w:rsidR="00526AB5" w:rsidRPr="001D6D10" w:rsidRDefault="00526AB5" w:rsidP="00526AB5">
      <w:pPr>
        <w:rPr>
          <w:rFonts w:ascii="ＭＳ ゴシック" w:eastAsia="ＭＳ ゴシック" w:hAnsi="ＭＳ ゴシック"/>
          <w:sz w:val="18"/>
          <w:szCs w:val="22"/>
        </w:rPr>
      </w:pPr>
      <w:r w:rsidRPr="001D6D10">
        <w:rPr>
          <w:rFonts w:ascii="ＭＳ ゴシック" w:eastAsia="ＭＳ ゴシック" w:hAnsi="ＭＳ ゴシック" w:hint="eastAsia"/>
          <w:sz w:val="18"/>
          <w:szCs w:val="22"/>
        </w:rPr>
        <w:t>※）本タイムラインから状況に応じて必要な項目を選定し、実施するものとする。</w:t>
      </w:r>
    </w:p>
    <w:p w14:paraId="63718771" w14:textId="77777777" w:rsidR="00A4645F" w:rsidRPr="001D6D10" w:rsidRDefault="00A4645F" w:rsidP="00EB20A0">
      <w:pPr>
        <w:rPr>
          <w:rFonts w:ascii="ＭＳ ゴシック" w:eastAsia="ＭＳ ゴシック" w:hAnsi="ＭＳ ゴシック"/>
          <w:sz w:val="18"/>
          <w:szCs w:val="22"/>
        </w:rPr>
      </w:pPr>
    </w:p>
    <w:p w14:paraId="1565F78F" w14:textId="77777777" w:rsidR="009C2BF9" w:rsidRPr="001D6D10" w:rsidRDefault="009C2BF9" w:rsidP="00EB20A0">
      <w:pPr>
        <w:rPr>
          <w:rFonts w:ascii="ＭＳ ゴシック" w:eastAsia="ＭＳ ゴシック" w:hAnsi="ＭＳ ゴシック"/>
          <w:sz w:val="18"/>
          <w:szCs w:val="22"/>
        </w:rPr>
      </w:pPr>
    </w:p>
    <w:p w14:paraId="78FF7D56" w14:textId="77777777" w:rsidR="00930C0D" w:rsidRDefault="00930C0D">
      <w:pPr>
        <w:widowControl/>
        <w:jc w:val="left"/>
        <w:rPr>
          <w:rFonts w:ascii="ＭＳ ゴシック" w:eastAsia="ＭＳ ゴシック" w:hAnsi="ＭＳ ゴシック"/>
          <w:sz w:val="22"/>
          <w:szCs w:val="22"/>
        </w:rPr>
      </w:pPr>
      <w:r>
        <w:rPr>
          <w:rFonts w:ascii="ＭＳ ゴシック" w:eastAsia="ＭＳ ゴシック" w:hAnsi="ＭＳ ゴシック"/>
          <w:sz w:val="22"/>
          <w:szCs w:val="22"/>
        </w:rPr>
        <w:br w:type="page"/>
      </w:r>
    </w:p>
    <w:p w14:paraId="03D6E5F2" w14:textId="0A304624" w:rsidR="0001205E" w:rsidRPr="001D6D10" w:rsidRDefault="00B1007D" w:rsidP="0001205E">
      <w:pPr>
        <w:rPr>
          <w:rFonts w:ascii="ＭＳ ゴシック" w:eastAsia="ＭＳ ゴシック" w:hAnsi="ＭＳ ゴシック"/>
          <w:sz w:val="22"/>
          <w:szCs w:val="22"/>
        </w:rPr>
      </w:pPr>
      <w:r w:rsidRPr="001D6D10">
        <w:rPr>
          <w:rFonts w:ascii="ＭＳ ゴシック" w:eastAsia="ＭＳ ゴシック" w:hAnsi="ＭＳ ゴシック" w:hint="eastAsia"/>
          <w:sz w:val="22"/>
          <w:szCs w:val="22"/>
        </w:rPr>
        <w:lastRenderedPageBreak/>
        <w:t>⑱</w:t>
      </w:r>
      <w:r w:rsidR="0001205E" w:rsidRPr="001D6D10">
        <w:rPr>
          <w:rFonts w:ascii="ＭＳ ゴシック" w:eastAsia="ＭＳ ゴシック" w:hAnsi="ＭＳ ゴシック" w:hint="eastAsia"/>
          <w:sz w:val="22"/>
          <w:szCs w:val="22"/>
        </w:rPr>
        <w:t>監査委員事務局</w:t>
      </w:r>
    </w:p>
    <w:tbl>
      <w:tblPr>
        <w:tblpPr w:leftFromText="142" w:rightFromText="142" w:vertAnchor="text" w:tblpXSpec="center" w:tblpY="1"/>
        <w:tblOverlap w:val="neve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57"/>
        <w:gridCol w:w="7037"/>
      </w:tblGrid>
      <w:tr w:rsidR="001D6D10" w:rsidRPr="001D6D10" w14:paraId="32477B7B" w14:textId="77777777" w:rsidTr="00F35CFE">
        <w:trPr>
          <w:jc w:val="center"/>
        </w:trPr>
        <w:tc>
          <w:tcPr>
            <w:tcW w:w="1457" w:type="dxa"/>
            <w:tcBorders>
              <w:bottom w:val="single" w:sz="4" w:space="0" w:color="auto"/>
            </w:tcBorders>
            <w:shd w:val="clear" w:color="auto" w:fill="BFBFBF"/>
          </w:tcPr>
          <w:p w14:paraId="664022D8" w14:textId="77777777" w:rsidR="0001205E" w:rsidRPr="001D6D10" w:rsidRDefault="0001205E" w:rsidP="00F35CFE">
            <w:pPr>
              <w:jc w:val="center"/>
              <w:rPr>
                <w:rFonts w:ascii="HG丸ｺﾞｼｯｸM-PRO" w:eastAsia="HG丸ｺﾞｼｯｸM-PRO" w:hAnsi="HG丸ｺﾞｼｯｸM-PRO"/>
                <w:szCs w:val="21"/>
              </w:rPr>
            </w:pPr>
            <w:r w:rsidRPr="001D6D10">
              <w:rPr>
                <w:rFonts w:ascii="HG丸ｺﾞｼｯｸM-PRO" w:eastAsia="HG丸ｺﾞｼｯｸM-PRO" w:hAnsi="HG丸ｺﾞｼｯｸM-PRO" w:hint="eastAsia"/>
                <w:szCs w:val="21"/>
              </w:rPr>
              <w:t>時　期</w:t>
            </w:r>
          </w:p>
        </w:tc>
        <w:tc>
          <w:tcPr>
            <w:tcW w:w="7037" w:type="dxa"/>
            <w:tcBorders>
              <w:bottom w:val="single" w:sz="4" w:space="0" w:color="auto"/>
            </w:tcBorders>
            <w:shd w:val="clear" w:color="auto" w:fill="BFBFBF"/>
          </w:tcPr>
          <w:p w14:paraId="45859F92" w14:textId="77777777" w:rsidR="0001205E" w:rsidRPr="001D6D10" w:rsidRDefault="00E31DA1" w:rsidP="00F35CFE">
            <w:pPr>
              <w:jc w:val="center"/>
              <w:rPr>
                <w:rFonts w:ascii="HG丸ｺﾞｼｯｸM-PRO" w:eastAsia="HG丸ｺﾞｼｯｸM-PRO" w:hAnsi="HG丸ｺﾞｼｯｸM-PRO"/>
                <w:szCs w:val="21"/>
              </w:rPr>
            </w:pPr>
            <w:r w:rsidRPr="001D6D10">
              <w:rPr>
                <w:rFonts w:ascii="HG丸ｺﾞｼｯｸM-PRO" w:eastAsia="HG丸ｺﾞｼｯｸM-PRO" w:hAnsi="HG丸ｺﾞｼｯｸM-PRO" w:hint="eastAsia"/>
                <w:szCs w:val="21"/>
              </w:rPr>
              <w:t>主な事前準備</w:t>
            </w:r>
            <w:r w:rsidR="0001205E" w:rsidRPr="001D6D10">
              <w:rPr>
                <w:rFonts w:ascii="HG丸ｺﾞｼｯｸM-PRO" w:eastAsia="HG丸ｺﾞｼｯｸM-PRO" w:hAnsi="HG丸ｺﾞｼｯｸM-PRO" w:hint="eastAsia"/>
                <w:szCs w:val="21"/>
              </w:rPr>
              <w:t>業務</w:t>
            </w:r>
          </w:p>
        </w:tc>
      </w:tr>
      <w:tr w:rsidR="001D6D10" w:rsidRPr="001D6D10" w14:paraId="53F46288" w14:textId="77777777" w:rsidTr="00F35CFE">
        <w:trPr>
          <w:jc w:val="center"/>
        </w:trPr>
        <w:tc>
          <w:tcPr>
            <w:tcW w:w="1457" w:type="dxa"/>
            <w:vMerge w:val="restart"/>
            <w:shd w:val="clear" w:color="auto" w:fill="FFFFFF" w:themeFill="background1"/>
          </w:tcPr>
          <w:p w14:paraId="7B58F68C" w14:textId="77777777" w:rsidR="00934E60" w:rsidRPr="001D6D10" w:rsidRDefault="00934E60" w:rsidP="00F35CFE">
            <w:pPr>
              <w:jc w:val="center"/>
              <w:rPr>
                <w:rFonts w:ascii="HG丸ｺﾞｼｯｸM-PRO" w:eastAsia="HG丸ｺﾞｼｯｸM-PRO" w:hAnsi="HG丸ｺﾞｼｯｸM-PRO"/>
                <w:szCs w:val="21"/>
              </w:rPr>
            </w:pPr>
          </w:p>
          <w:p w14:paraId="1EF74309" w14:textId="77777777" w:rsidR="00934E60" w:rsidRPr="001D6D10" w:rsidRDefault="00934E60" w:rsidP="00F35CFE">
            <w:pPr>
              <w:jc w:val="center"/>
              <w:rPr>
                <w:rFonts w:ascii="HG丸ｺﾞｼｯｸM-PRO" w:eastAsia="HG丸ｺﾞｼｯｸM-PRO" w:hAnsi="HG丸ｺﾞｼｯｸM-PRO"/>
                <w:szCs w:val="21"/>
              </w:rPr>
            </w:pPr>
          </w:p>
          <w:p w14:paraId="0ED37296" w14:textId="77777777" w:rsidR="00934E60" w:rsidRPr="001D6D10" w:rsidRDefault="00934E60" w:rsidP="00F35CFE">
            <w:pPr>
              <w:jc w:val="center"/>
              <w:rPr>
                <w:rFonts w:ascii="HG丸ｺﾞｼｯｸM-PRO" w:eastAsia="HG丸ｺﾞｼｯｸM-PRO" w:hAnsi="HG丸ｺﾞｼｯｸM-PRO"/>
                <w:szCs w:val="21"/>
              </w:rPr>
            </w:pPr>
          </w:p>
          <w:p w14:paraId="60DF8E73" w14:textId="7F506F77" w:rsidR="0001205E" w:rsidRPr="001D6D10" w:rsidRDefault="0001205E" w:rsidP="00F35CFE">
            <w:pPr>
              <w:jc w:val="center"/>
              <w:rPr>
                <w:rFonts w:ascii="HG丸ｺﾞｼｯｸM-PRO" w:eastAsia="HG丸ｺﾞｼｯｸM-PRO" w:hAnsi="HG丸ｺﾞｼｯｸM-PRO"/>
                <w:szCs w:val="21"/>
              </w:rPr>
            </w:pPr>
            <w:r w:rsidRPr="001D6D10">
              <w:rPr>
                <w:rFonts w:ascii="HG丸ｺﾞｼｯｸM-PRO" w:eastAsia="HG丸ｺﾞｼｯｸM-PRO" w:hAnsi="HG丸ｺﾞｼｯｸM-PRO" w:hint="eastAsia"/>
                <w:szCs w:val="21"/>
              </w:rPr>
              <w:t>～48ｈ</w:t>
            </w:r>
            <w:r w:rsidR="0053084D" w:rsidRPr="001D6D10">
              <w:rPr>
                <w:rFonts w:ascii="HG丸ｺﾞｼｯｸM-PRO" w:eastAsia="HG丸ｺﾞｼｯｸM-PRO" w:hAnsi="HG丸ｺﾞｼｯｸM-PRO" w:hint="eastAsia"/>
                <w:szCs w:val="21"/>
              </w:rPr>
              <w:t>前</w:t>
            </w:r>
          </w:p>
          <w:p w14:paraId="7B68C730" w14:textId="77777777" w:rsidR="0001205E" w:rsidRPr="001D6D10" w:rsidRDefault="0001205E" w:rsidP="00F35CFE">
            <w:pPr>
              <w:jc w:val="center"/>
              <w:rPr>
                <w:rFonts w:ascii="HG丸ｺﾞｼｯｸM-PRO" w:eastAsia="HG丸ｺﾞｼｯｸM-PRO" w:hAnsi="HG丸ｺﾞｼｯｸM-PRO"/>
                <w:sz w:val="20"/>
                <w:szCs w:val="20"/>
              </w:rPr>
            </w:pPr>
            <w:r w:rsidRPr="001D6D10">
              <w:rPr>
                <w:rFonts w:ascii="HG丸ｺﾞｼｯｸM-PRO" w:eastAsia="HG丸ｺﾞｼｯｸM-PRO" w:hAnsi="HG丸ｺﾞｼｯｸM-PRO" w:hint="eastAsia"/>
                <w:sz w:val="20"/>
                <w:szCs w:val="20"/>
              </w:rPr>
              <w:t>（３日以前）</w:t>
            </w:r>
          </w:p>
        </w:tc>
        <w:tc>
          <w:tcPr>
            <w:tcW w:w="7037" w:type="dxa"/>
            <w:tcBorders>
              <w:bottom w:val="single" w:sz="4" w:space="0" w:color="auto"/>
            </w:tcBorders>
            <w:shd w:val="clear" w:color="auto" w:fill="FFFFFF" w:themeFill="background1"/>
          </w:tcPr>
          <w:p w14:paraId="7DAE6E7A" w14:textId="77777777" w:rsidR="00264E5F" w:rsidRPr="001D6D10" w:rsidRDefault="00264E5F" w:rsidP="00264E5F">
            <w:pPr>
              <w:rPr>
                <w:rFonts w:ascii="HG丸ｺﾞｼｯｸM-PRO" w:eastAsia="HG丸ｺﾞｼｯｸM-PRO" w:hAnsi="HG丸ｺﾞｼｯｸM-PRO"/>
                <w:szCs w:val="21"/>
              </w:rPr>
            </w:pPr>
            <w:r w:rsidRPr="001D6D10">
              <w:rPr>
                <w:rFonts w:ascii="HG丸ｺﾞｼｯｸM-PRO" w:eastAsia="HG丸ｺﾞｼｯｸM-PRO" w:hAnsi="HG丸ｺﾞｼｯｸM-PRO" w:hint="eastAsia"/>
                <w:szCs w:val="21"/>
              </w:rPr>
              <w:t>□危機管理室からの情報を関係者で共有【総務】</w:t>
            </w:r>
          </w:p>
          <w:p w14:paraId="27D129D8" w14:textId="77777777" w:rsidR="00264E5F" w:rsidRPr="001D6D10" w:rsidRDefault="00264E5F" w:rsidP="00264E5F">
            <w:pPr>
              <w:rPr>
                <w:rFonts w:ascii="HG丸ｺﾞｼｯｸM-PRO" w:eastAsia="HG丸ｺﾞｼｯｸM-PRO" w:hAnsi="HG丸ｺﾞｼｯｸM-PRO"/>
                <w:szCs w:val="21"/>
              </w:rPr>
            </w:pPr>
            <w:r w:rsidRPr="001D6D10">
              <w:rPr>
                <w:rFonts w:ascii="HG丸ｺﾞｼｯｸM-PRO" w:eastAsia="HG丸ｺﾞｼｯｸM-PRO" w:hAnsi="HG丸ｺﾞｼｯｸM-PRO" w:hint="eastAsia"/>
                <w:szCs w:val="21"/>
              </w:rPr>
              <w:t>□連絡体制の確認【総務】</w:t>
            </w:r>
          </w:p>
          <w:p w14:paraId="1E3F101F" w14:textId="77777777" w:rsidR="00967C42" w:rsidRPr="001D6D10" w:rsidRDefault="00264E5F" w:rsidP="00F35CFE">
            <w:pPr>
              <w:rPr>
                <w:rFonts w:ascii="HG丸ｺﾞｼｯｸM-PRO" w:eastAsia="HG丸ｺﾞｼｯｸM-PRO" w:hAnsi="HG丸ｺﾞｼｯｸM-PRO"/>
                <w:szCs w:val="21"/>
              </w:rPr>
            </w:pPr>
            <w:r w:rsidRPr="001D6D10">
              <w:rPr>
                <w:rFonts w:ascii="HG丸ｺﾞｼｯｸM-PRO" w:eastAsia="HG丸ｺﾞｼｯｸM-PRO" w:hAnsi="HG丸ｺﾞｼｯｸM-PRO" w:hint="eastAsia"/>
                <w:szCs w:val="21"/>
              </w:rPr>
              <w:t>□災害対応に関するマニュアル等の確認【総務】</w:t>
            </w:r>
          </w:p>
          <w:p w14:paraId="745A4821" w14:textId="77777777" w:rsidR="00742C35" w:rsidRPr="001D6D10" w:rsidRDefault="00742C35" w:rsidP="00742C35">
            <w:pPr>
              <w:rPr>
                <w:rFonts w:ascii="HG丸ｺﾞｼｯｸM-PRO" w:eastAsia="HG丸ｺﾞｼｯｸM-PRO" w:hAnsi="HG丸ｺﾞｼｯｸM-PRO"/>
                <w:szCs w:val="21"/>
              </w:rPr>
            </w:pPr>
            <w:r w:rsidRPr="001D6D10">
              <w:rPr>
                <w:rFonts w:ascii="HG丸ｺﾞｼｯｸM-PRO" w:eastAsia="HG丸ｺﾞｼｯｸM-PRO" w:hAnsi="HG丸ｺﾞｼｯｸM-PRO" w:hint="eastAsia"/>
                <w:szCs w:val="21"/>
              </w:rPr>
              <w:t>□指令部会議の事前準備</w:t>
            </w:r>
          </w:p>
          <w:p w14:paraId="468E1625" w14:textId="77777777" w:rsidR="00742C35" w:rsidRPr="001D6D10" w:rsidRDefault="00742C35" w:rsidP="00742C35">
            <w:pPr>
              <w:rPr>
                <w:rFonts w:ascii="HG丸ｺﾞｼｯｸM-PRO" w:eastAsia="HG丸ｺﾞｼｯｸM-PRO" w:hAnsi="HG丸ｺﾞｼｯｸM-PRO"/>
                <w:szCs w:val="21"/>
                <w:u w:val="single"/>
              </w:rPr>
            </w:pPr>
            <w:r w:rsidRPr="001D6D10">
              <w:rPr>
                <w:rFonts w:ascii="HG丸ｺﾞｼｯｸM-PRO" w:eastAsia="HG丸ｺﾞｼｯｸM-PRO" w:hAnsi="HG丸ｺﾞｼｯｸM-PRO" w:hint="eastAsia"/>
                <w:szCs w:val="21"/>
              </w:rPr>
              <w:t xml:space="preserve">　</w:t>
            </w:r>
            <w:r w:rsidR="005B33EE" w:rsidRPr="001D6D10">
              <w:rPr>
                <w:rFonts w:ascii="HG丸ｺﾞｼｯｸM-PRO" w:eastAsia="HG丸ｺﾞｼｯｸM-PRO" w:hAnsi="HG丸ｺﾞｼｯｸM-PRO" w:hint="eastAsia"/>
                <w:szCs w:val="21"/>
              </w:rPr>
              <w:t>・イベントの有無確認（府主催、共催）</w:t>
            </w:r>
          </w:p>
        </w:tc>
      </w:tr>
      <w:tr w:rsidR="001D6D10" w:rsidRPr="001D6D10" w14:paraId="7AE049FA" w14:textId="77777777" w:rsidTr="00F35CFE">
        <w:trPr>
          <w:jc w:val="center"/>
        </w:trPr>
        <w:tc>
          <w:tcPr>
            <w:tcW w:w="1457" w:type="dxa"/>
            <w:vMerge/>
          </w:tcPr>
          <w:p w14:paraId="6174D41F" w14:textId="77777777" w:rsidR="0001205E" w:rsidRPr="001D6D10" w:rsidRDefault="0001205E" w:rsidP="00F35CFE">
            <w:pPr>
              <w:rPr>
                <w:rFonts w:ascii="HG丸ｺﾞｼｯｸM-PRO" w:eastAsia="HG丸ｺﾞｼｯｸM-PRO" w:hAnsi="HG丸ｺﾞｼｯｸM-PRO"/>
                <w:szCs w:val="21"/>
              </w:rPr>
            </w:pPr>
          </w:p>
        </w:tc>
        <w:tc>
          <w:tcPr>
            <w:tcW w:w="7037" w:type="dxa"/>
          </w:tcPr>
          <w:p w14:paraId="59FA857F" w14:textId="77777777" w:rsidR="0001205E" w:rsidRPr="001D6D10" w:rsidRDefault="0001205E" w:rsidP="00F35CFE">
            <w:pPr>
              <w:rPr>
                <w:rFonts w:ascii="HG丸ｺﾞｼｯｸM-PRO" w:eastAsia="HG丸ｺﾞｼｯｸM-PRO" w:hAnsi="HG丸ｺﾞｼｯｸM-PRO"/>
                <w:szCs w:val="21"/>
              </w:rPr>
            </w:pPr>
            <w:r w:rsidRPr="001D6D10">
              <w:rPr>
                <w:rFonts w:ascii="HG丸ｺﾞｼｯｸM-PRO" w:eastAsia="HG丸ｺﾞｼｯｸM-PRO" w:hAnsi="HG丸ｺﾞｼｯｸM-PRO" w:hint="eastAsia"/>
                <w:b/>
                <w:szCs w:val="21"/>
                <w:highlight w:val="yellow"/>
              </w:rPr>
              <w:t>防災・危機管理指令部会議</w:t>
            </w:r>
            <w:r w:rsidRPr="001D6D10">
              <w:rPr>
                <w:rFonts w:ascii="HG丸ｺﾞｼｯｸM-PRO" w:eastAsia="HG丸ｺﾞｼｯｸM-PRO" w:hAnsi="HG丸ｺﾞｼｯｸM-PRO" w:hint="eastAsia"/>
                <w:szCs w:val="21"/>
                <w:highlight w:val="yellow"/>
              </w:rPr>
              <w:t>（おおよそ７２ｈ前）</w:t>
            </w:r>
            <w:r w:rsidR="00CB0ABF" w:rsidRPr="001D6D10">
              <w:rPr>
                <w:rFonts w:ascii="HG丸ｺﾞｼｯｸM-PRO" w:eastAsia="HG丸ｺﾞｼｯｸM-PRO" w:hAnsi="HG丸ｺﾞｼｯｸM-PRO" w:hint="eastAsia"/>
                <w:szCs w:val="21"/>
                <w:highlight w:val="yellow"/>
              </w:rPr>
              <w:t>（Ｐ42</w:t>
            </w:r>
            <w:r w:rsidR="00AD02A5" w:rsidRPr="001D6D10">
              <w:rPr>
                <w:rFonts w:ascii="HG丸ｺﾞｼｯｸM-PRO" w:eastAsia="HG丸ｺﾞｼｯｸM-PRO" w:hAnsi="HG丸ｺﾞｼｯｸM-PRO" w:hint="eastAsia"/>
                <w:szCs w:val="21"/>
                <w:highlight w:val="yellow"/>
              </w:rPr>
              <w:t>参照）</w:t>
            </w:r>
          </w:p>
        </w:tc>
      </w:tr>
      <w:tr w:rsidR="001D6D10" w:rsidRPr="001D6D10" w14:paraId="534932F9" w14:textId="77777777" w:rsidTr="00F35CFE">
        <w:trPr>
          <w:jc w:val="center"/>
        </w:trPr>
        <w:tc>
          <w:tcPr>
            <w:tcW w:w="1457" w:type="dxa"/>
            <w:vMerge/>
          </w:tcPr>
          <w:p w14:paraId="0982EACB" w14:textId="77777777" w:rsidR="0001205E" w:rsidRPr="001D6D10" w:rsidRDefault="0001205E" w:rsidP="00F35CFE">
            <w:pPr>
              <w:rPr>
                <w:rFonts w:ascii="HG丸ｺﾞｼｯｸM-PRO" w:eastAsia="HG丸ｺﾞｼｯｸM-PRO" w:hAnsi="HG丸ｺﾞｼｯｸM-PRO"/>
                <w:szCs w:val="21"/>
              </w:rPr>
            </w:pPr>
          </w:p>
        </w:tc>
        <w:tc>
          <w:tcPr>
            <w:tcW w:w="7037" w:type="dxa"/>
          </w:tcPr>
          <w:p w14:paraId="7E7621AB" w14:textId="77777777" w:rsidR="00264E5F" w:rsidRPr="001D6D10" w:rsidRDefault="00264E5F" w:rsidP="00264E5F">
            <w:pPr>
              <w:rPr>
                <w:rFonts w:ascii="HG丸ｺﾞｼｯｸM-PRO" w:eastAsia="HG丸ｺﾞｼｯｸM-PRO" w:hAnsi="HG丸ｺﾞｼｯｸM-PRO"/>
                <w:szCs w:val="21"/>
              </w:rPr>
            </w:pPr>
            <w:r w:rsidRPr="001D6D10">
              <w:rPr>
                <w:rFonts w:ascii="HG丸ｺﾞｼｯｸM-PRO" w:eastAsia="HG丸ｺﾞｼｯｸM-PRO" w:hAnsi="HG丸ｺﾞｼｯｸM-PRO" w:hint="eastAsia"/>
                <w:szCs w:val="21"/>
              </w:rPr>
              <w:t>□危機管理室からの情報を関係者で共有【総務】</w:t>
            </w:r>
          </w:p>
          <w:p w14:paraId="14F6989B" w14:textId="77777777" w:rsidR="00967C42" w:rsidRPr="001D6D10" w:rsidRDefault="00264E5F" w:rsidP="00F35CFE">
            <w:pPr>
              <w:rPr>
                <w:rFonts w:ascii="HG丸ｺﾞｼｯｸM-PRO" w:eastAsia="HG丸ｺﾞｼｯｸM-PRO" w:hAnsi="HG丸ｺﾞｼｯｸM-PRO"/>
                <w:szCs w:val="21"/>
              </w:rPr>
            </w:pPr>
            <w:r w:rsidRPr="001D6D10">
              <w:rPr>
                <w:rFonts w:ascii="HG丸ｺﾞｼｯｸM-PRO" w:eastAsia="HG丸ｺﾞｼｯｸM-PRO" w:hAnsi="HG丸ｺﾞｼｯｸM-PRO" w:hint="eastAsia"/>
                <w:szCs w:val="21"/>
              </w:rPr>
              <w:t>□局内への気象情報提供・注意喚起【総務】</w:t>
            </w:r>
          </w:p>
        </w:tc>
      </w:tr>
      <w:tr w:rsidR="001D6D10" w:rsidRPr="001D6D10" w14:paraId="60E49E99" w14:textId="77777777" w:rsidTr="00F35CFE">
        <w:trPr>
          <w:jc w:val="center"/>
        </w:trPr>
        <w:tc>
          <w:tcPr>
            <w:tcW w:w="1457" w:type="dxa"/>
            <w:vMerge w:val="restart"/>
          </w:tcPr>
          <w:p w14:paraId="3A354AEE" w14:textId="77777777" w:rsidR="00934E60" w:rsidRPr="001D6D10" w:rsidRDefault="00934E60" w:rsidP="00F35CFE">
            <w:pPr>
              <w:rPr>
                <w:rFonts w:ascii="HG丸ｺﾞｼｯｸM-PRO" w:eastAsia="HG丸ｺﾞｼｯｸM-PRO" w:hAnsi="HG丸ｺﾞｼｯｸM-PRO"/>
                <w:szCs w:val="21"/>
              </w:rPr>
            </w:pPr>
          </w:p>
          <w:p w14:paraId="29886973" w14:textId="77777777" w:rsidR="00934E60" w:rsidRPr="001D6D10" w:rsidRDefault="00934E60" w:rsidP="00F35CFE">
            <w:pPr>
              <w:rPr>
                <w:rFonts w:ascii="HG丸ｺﾞｼｯｸM-PRO" w:eastAsia="HG丸ｺﾞｼｯｸM-PRO" w:hAnsi="HG丸ｺﾞｼｯｸM-PRO"/>
                <w:szCs w:val="21"/>
              </w:rPr>
            </w:pPr>
          </w:p>
          <w:p w14:paraId="71422436" w14:textId="77777777" w:rsidR="00934E60" w:rsidRPr="001D6D10" w:rsidRDefault="00934E60" w:rsidP="00F35CFE">
            <w:pPr>
              <w:rPr>
                <w:rFonts w:ascii="HG丸ｺﾞｼｯｸM-PRO" w:eastAsia="HG丸ｺﾞｼｯｸM-PRO" w:hAnsi="HG丸ｺﾞｼｯｸM-PRO"/>
                <w:szCs w:val="21"/>
              </w:rPr>
            </w:pPr>
          </w:p>
          <w:p w14:paraId="117417BE" w14:textId="77777777" w:rsidR="0001205E" w:rsidRPr="001D6D10" w:rsidRDefault="0001205E" w:rsidP="00F35CFE">
            <w:pPr>
              <w:rPr>
                <w:rFonts w:ascii="HG丸ｺﾞｼｯｸM-PRO" w:eastAsia="HG丸ｺﾞｼｯｸM-PRO" w:hAnsi="HG丸ｺﾞｼｯｸM-PRO"/>
                <w:szCs w:val="21"/>
              </w:rPr>
            </w:pPr>
            <w:r w:rsidRPr="001D6D10">
              <w:rPr>
                <w:rFonts w:ascii="HG丸ｺﾞｼｯｸM-PRO" w:eastAsia="HG丸ｺﾞｼｯｸM-PRO" w:hAnsi="HG丸ｺﾞｼｯｸM-PRO" w:hint="eastAsia"/>
                <w:szCs w:val="21"/>
              </w:rPr>
              <w:t>48ｈ前～</w:t>
            </w:r>
          </w:p>
          <w:p w14:paraId="2DBF8BB2" w14:textId="77777777" w:rsidR="0001205E" w:rsidRPr="001D6D10" w:rsidRDefault="0001205E" w:rsidP="00F35CFE">
            <w:pPr>
              <w:rPr>
                <w:rFonts w:ascii="HG丸ｺﾞｼｯｸM-PRO" w:eastAsia="HG丸ｺﾞｼｯｸM-PRO" w:hAnsi="HG丸ｺﾞｼｯｸM-PRO"/>
                <w:szCs w:val="21"/>
              </w:rPr>
            </w:pPr>
            <w:r w:rsidRPr="001D6D10">
              <w:rPr>
                <w:rFonts w:ascii="HG丸ｺﾞｼｯｸM-PRO" w:eastAsia="HG丸ｺﾞｼｯｸM-PRO" w:hAnsi="HG丸ｺﾞｼｯｸM-PRO" w:hint="eastAsia"/>
                <w:szCs w:val="21"/>
              </w:rPr>
              <w:t xml:space="preserve">　　24ｈ前</w:t>
            </w:r>
          </w:p>
          <w:p w14:paraId="285F03EE" w14:textId="77777777" w:rsidR="0001205E" w:rsidRPr="001D6D10" w:rsidRDefault="0001205E" w:rsidP="00F35CFE">
            <w:pPr>
              <w:rPr>
                <w:rFonts w:ascii="HG丸ｺﾞｼｯｸM-PRO" w:eastAsia="HG丸ｺﾞｼｯｸM-PRO" w:hAnsi="HG丸ｺﾞｼｯｸM-PRO"/>
                <w:szCs w:val="21"/>
              </w:rPr>
            </w:pPr>
            <w:r w:rsidRPr="001D6D10">
              <w:rPr>
                <w:rFonts w:ascii="HG丸ｺﾞｼｯｸM-PRO" w:eastAsia="HG丸ｺﾞｼｯｸM-PRO" w:hAnsi="HG丸ｺﾞｼｯｸM-PRO" w:hint="eastAsia"/>
                <w:szCs w:val="21"/>
              </w:rPr>
              <w:t>（２日前）</w:t>
            </w:r>
          </w:p>
        </w:tc>
        <w:tc>
          <w:tcPr>
            <w:tcW w:w="7037" w:type="dxa"/>
          </w:tcPr>
          <w:p w14:paraId="60269A40" w14:textId="77777777" w:rsidR="0001205E" w:rsidRPr="001D6D10" w:rsidRDefault="0001205E" w:rsidP="00F35CFE">
            <w:pPr>
              <w:rPr>
                <w:rFonts w:ascii="HG丸ｺﾞｼｯｸM-PRO" w:eastAsia="HG丸ｺﾞｼｯｸM-PRO" w:hAnsi="HG丸ｺﾞｼｯｸM-PRO"/>
                <w:sz w:val="18"/>
                <w:szCs w:val="18"/>
              </w:rPr>
            </w:pPr>
            <w:r w:rsidRPr="001D6D10">
              <w:rPr>
                <w:rFonts w:ascii="HG丸ｺﾞｼｯｸM-PRO" w:eastAsia="HG丸ｺﾞｼｯｸM-PRO" w:hAnsi="HG丸ｺﾞｼｯｸM-PRO" w:hint="eastAsia"/>
                <w:szCs w:val="21"/>
              </w:rPr>
              <w:t>庁内連絡会議①：災害モード宣言の内容、第1回災害警戒本部会議の事前調整等</w:t>
            </w:r>
            <w:r w:rsidRPr="001D6D10">
              <w:rPr>
                <w:rFonts w:ascii="HG丸ｺﾞｼｯｸM-PRO" w:eastAsia="HG丸ｺﾞｼｯｸM-PRO" w:hAnsi="HG丸ｺﾞｼｯｸM-PRO" w:hint="eastAsia"/>
                <w:sz w:val="18"/>
                <w:szCs w:val="18"/>
              </w:rPr>
              <w:t>(警戒本部会議議題：管理施設の休館及び学校休校の検討、イベント等の中止検討、職員の配備態勢)</w:t>
            </w:r>
          </w:p>
          <w:p w14:paraId="43F86C75" w14:textId="77777777" w:rsidR="00742C35" w:rsidRPr="001D6D10" w:rsidRDefault="00742C35" w:rsidP="00742C35">
            <w:pPr>
              <w:rPr>
                <w:rFonts w:ascii="HG丸ｺﾞｼｯｸM-PRO" w:eastAsia="HG丸ｺﾞｼｯｸM-PRO" w:hAnsi="HG丸ｺﾞｼｯｸM-PRO"/>
                <w:szCs w:val="21"/>
              </w:rPr>
            </w:pPr>
            <w:r w:rsidRPr="001D6D10">
              <w:rPr>
                <w:rFonts w:ascii="HG丸ｺﾞｼｯｸM-PRO" w:eastAsia="HG丸ｺﾞｼｯｸM-PRO" w:hAnsi="HG丸ｺﾞｼｯｸM-PRO" w:hint="eastAsia"/>
                <w:szCs w:val="21"/>
              </w:rPr>
              <w:t>□第１回災害警戒本部会議の事前準備</w:t>
            </w:r>
          </w:p>
          <w:p w14:paraId="2C658ADD" w14:textId="77777777" w:rsidR="00742C35" w:rsidRPr="001D6D10" w:rsidRDefault="00742C35" w:rsidP="00742C35">
            <w:pPr>
              <w:rPr>
                <w:rFonts w:ascii="HG丸ｺﾞｼｯｸM-PRO" w:eastAsia="HG丸ｺﾞｼｯｸM-PRO" w:hAnsi="HG丸ｺﾞｼｯｸM-PRO"/>
                <w:szCs w:val="21"/>
              </w:rPr>
            </w:pPr>
            <w:r w:rsidRPr="001D6D10">
              <w:rPr>
                <w:rFonts w:ascii="HG丸ｺﾞｼｯｸM-PRO" w:eastAsia="HG丸ｺﾞｼｯｸM-PRO" w:hAnsi="HG丸ｺﾞｼｯｸM-PRO" w:hint="eastAsia"/>
                <w:szCs w:val="21"/>
              </w:rPr>
              <w:t xml:space="preserve">　・部局内の対応状況の確認、会議での報告のとりまとめ</w:t>
            </w:r>
          </w:p>
          <w:p w14:paraId="4E8D0944" w14:textId="77777777" w:rsidR="007D0602" w:rsidRPr="001D6D10" w:rsidRDefault="00742C35" w:rsidP="007D0602">
            <w:pPr>
              <w:rPr>
                <w:rFonts w:ascii="HG丸ｺﾞｼｯｸM-PRO" w:eastAsia="HG丸ｺﾞｼｯｸM-PRO" w:hAnsi="HG丸ｺﾞｼｯｸM-PRO"/>
                <w:szCs w:val="21"/>
              </w:rPr>
            </w:pPr>
            <w:r w:rsidRPr="001D6D10">
              <w:rPr>
                <w:rFonts w:ascii="HG丸ｺﾞｼｯｸM-PRO" w:eastAsia="HG丸ｺﾞｼｯｸM-PRO" w:hAnsi="HG丸ｺﾞｼｯｸM-PRO" w:hint="eastAsia"/>
                <w:szCs w:val="21"/>
              </w:rPr>
              <w:t xml:space="preserve">　・</w:t>
            </w:r>
            <w:r w:rsidR="00A4645F" w:rsidRPr="001D6D10">
              <w:rPr>
                <w:rFonts w:ascii="HG丸ｺﾞｼｯｸM-PRO" w:eastAsia="HG丸ｺﾞｼｯｸM-PRO" w:hAnsi="HG丸ｺﾞｼｯｸM-PRO" w:hint="eastAsia"/>
                <w:szCs w:val="21"/>
              </w:rPr>
              <w:t>庁舎</w:t>
            </w:r>
            <w:r w:rsidRPr="001D6D10">
              <w:rPr>
                <w:rFonts w:ascii="HG丸ｺﾞｼｯｸM-PRO" w:eastAsia="HG丸ｺﾞｼｯｸM-PRO" w:hAnsi="HG丸ｺﾞｼｯｸM-PRO" w:hint="eastAsia"/>
                <w:szCs w:val="21"/>
              </w:rPr>
              <w:t>の安全確認</w:t>
            </w:r>
          </w:p>
          <w:p w14:paraId="13A94C66" w14:textId="77777777" w:rsidR="00BD7DE5" w:rsidRPr="001D6D10" w:rsidRDefault="00BD7DE5" w:rsidP="007D0602">
            <w:pPr>
              <w:rPr>
                <w:rFonts w:ascii="HG丸ｺﾞｼｯｸM-PRO" w:eastAsia="HG丸ｺﾞｼｯｸM-PRO" w:hAnsi="HG丸ｺﾞｼｯｸM-PRO"/>
                <w:szCs w:val="21"/>
                <w:u w:val="single"/>
              </w:rPr>
            </w:pPr>
            <w:r w:rsidRPr="001D6D10">
              <w:rPr>
                <w:rFonts w:ascii="HG丸ｺﾞｼｯｸM-PRO" w:eastAsia="HG丸ｺﾞｼｯｸM-PRO" w:hAnsi="HG丸ｺﾞｼｯｸM-PRO" w:hint="eastAsia"/>
                <w:szCs w:val="21"/>
                <w:bdr w:val="single" w:sz="4" w:space="0" w:color="auto"/>
              </w:rPr>
              <w:t>台風説明会</w:t>
            </w:r>
          </w:p>
        </w:tc>
      </w:tr>
      <w:tr w:rsidR="001D6D10" w:rsidRPr="001D6D10" w14:paraId="750BD6AD" w14:textId="77777777" w:rsidTr="00F35CFE">
        <w:trPr>
          <w:jc w:val="center"/>
        </w:trPr>
        <w:tc>
          <w:tcPr>
            <w:tcW w:w="1457" w:type="dxa"/>
            <w:vMerge/>
          </w:tcPr>
          <w:p w14:paraId="3DA5409A" w14:textId="77777777" w:rsidR="0001205E" w:rsidRPr="001D6D10" w:rsidRDefault="0001205E" w:rsidP="00F35CFE">
            <w:pPr>
              <w:rPr>
                <w:rFonts w:ascii="HG丸ｺﾞｼｯｸM-PRO" w:eastAsia="HG丸ｺﾞｼｯｸM-PRO" w:hAnsi="HG丸ｺﾞｼｯｸM-PRO"/>
                <w:szCs w:val="21"/>
              </w:rPr>
            </w:pPr>
          </w:p>
        </w:tc>
        <w:tc>
          <w:tcPr>
            <w:tcW w:w="7037" w:type="dxa"/>
          </w:tcPr>
          <w:p w14:paraId="07AC38CD" w14:textId="77777777" w:rsidR="0001205E" w:rsidRPr="001D6D10" w:rsidRDefault="0001205E" w:rsidP="00F35CFE">
            <w:pPr>
              <w:rPr>
                <w:rFonts w:ascii="HG丸ｺﾞｼｯｸM-PRO" w:eastAsia="HG丸ｺﾞｼｯｸM-PRO" w:hAnsi="HG丸ｺﾞｼｯｸM-PRO"/>
                <w:szCs w:val="21"/>
                <w:highlight w:val="yellow"/>
              </w:rPr>
            </w:pPr>
            <w:r w:rsidRPr="001D6D10">
              <w:rPr>
                <w:rFonts w:ascii="HG丸ｺﾞｼｯｸM-PRO" w:eastAsia="HG丸ｺﾞｼｯｸM-PRO" w:hAnsi="HG丸ｺﾞｼｯｸM-PRO" w:hint="eastAsia"/>
                <w:b/>
                <w:szCs w:val="21"/>
                <w:highlight w:val="yellow"/>
              </w:rPr>
              <w:t>第1回災害警戒本部会議</w:t>
            </w:r>
            <w:r w:rsidRPr="001D6D10">
              <w:rPr>
                <w:rFonts w:ascii="HG丸ｺﾞｼｯｸM-PRO" w:eastAsia="HG丸ｺﾞｼｯｸM-PRO" w:hAnsi="HG丸ｺﾞｼｯｸM-PRO" w:hint="eastAsia"/>
                <w:szCs w:val="21"/>
                <w:highlight w:val="yellow"/>
              </w:rPr>
              <w:t>（災害モード宣言の内容検討）</w:t>
            </w:r>
            <w:r w:rsidR="0010145B" w:rsidRPr="001D6D10">
              <w:rPr>
                <w:rFonts w:ascii="HG丸ｺﾞｼｯｸM-PRO" w:eastAsia="HG丸ｺﾞｼｯｸM-PRO" w:hAnsi="HG丸ｺﾞｼｯｸM-PRO" w:hint="eastAsia"/>
                <w:szCs w:val="21"/>
                <w:highlight w:val="yellow"/>
              </w:rPr>
              <w:t>（</w:t>
            </w:r>
            <w:r w:rsidR="00CB0ABF" w:rsidRPr="001D6D10">
              <w:rPr>
                <w:rFonts w:ascii="HG丸ｺﾞｼｯｸM-PRO" w:eastAsia="HG丸ｺﾞｼｯｸM-PRO" w:hAnsi="HG丸ｺﾞｼｯｸM-PRO" w:hint="eastAsia"/>
                <w:szCs w:val="21"/>
                <w:highlight w:val="yellow"/>
              </w:rPr>
              <w:t>Ｐ47</w:t>
            </w:r>
            <w:r w:rsidR="0010145B" w:rsidRPr="001D6D10">
              <w:rPr>
                <w:rFonts w:ascii="HG丸ｺﾞｼｯｸM-PRO" w:eastAsia="HG丸ｺﾞｼｯｸM-PRO" w:hAnsi="HG丸ｺﾞｼｯｸM-PRO" w:hint="eastAsia"/>
                <w:szCs w:val="21"/>
                <w:highlight w:val="yellow"/>
              </w:rPr>
              <w:t>参照）</w:t>
            </w:r>
          </w:p>
        </w:tc>
      </w:tr>
      <w:tr w:rsidR="001D6D10" w:rsidRPr="001D6D10" w14:paraId="4CB42176" w14:textId="77777777" w:rsidTr="00F35CFE">
        <w:trPr>
          <w:jc w:val="center"/>
        </w:trPr>
        <w:tc>
          <w:tcPr>
            <w:tcW w:w="1457" w:type="dxa"/>
            <w:vMerge/>
          </w:tcPr>
          <w:p w14:paraId="6237B29E" w14:textId="77777777" w:rsidR="0001205E" w:rsidRPr="001D6D10" w:rsidRDefault="0001205E" w:rsidP="00F35CFE">
            <w:pPr>
              <w:rPr>
                <w:rFonts w:ascii="HG丸ｺﾞｼｯｸM-PRO" w:eastAsia="HG丸ｺﾞｼｯｸM-PRO" w:hAnsi="HG丸ｺﾞｼｯｸM-PRO"/>
                <w:szCs w:val="21"/>
              </w:rPr>
            </w:pPr>
          </w:p>
        </w:tc>
        <w:tc>
          <w:tcPr>
            <w:tcW w:w="7037" w:type="dxa"/>
          </w:tcPr>
          <w:p w14:paraId="0DCC3656" w14:textId="77777777" w:rsidR="00967C42" w:rsidRPr="001D6D10" w:rsidRDefault="00967C42" w:rsidP="00967C42">
            <w:pPr>
              <w:rPr>
                <w:rFonts w:ascii="HG丸ｺﾞｼｯｸM-PRO" w:eastAsia="HG丸ｺﾞｼｯｸM-PRO" w:hAnsi="HG丸ｺﾞｼｯｸM-PRO"/>
                <w:szCs w:val="21"/>
              </w:rPr>
            </w:pPr>
            <w:r w:rsidRPr="001D6D10">
              <w:rPr>
                <w:rFonts w:ascii="HG丸ｺﾞｼｯｸM-PRO" w:eastAsia="HG丸ｺﾞｼｯｸM-PRO" w:hAnsi="HG丸ｺﾞｼｯｸM-PRO" w:hint="eastAsia"/>
                <w:szCs w:val="21"/>
              </w:rPr>
              <w:t>□危機管理室からの情報を関係者で共有【総務】</w:t>
            </w:r>
          </w:p>
          <w:p w14:paraId="6E4D3A09" w14:textId="77777777" w:rsidR="00967C42" w:rsidRPr="001D6D10" w:rsidRDefault="00967C42" w:rsidP="00967C42">
            <w:pPr>
              <w:rPr>
                <w:rFonts w:ascii="HG丸ｺﾞｼｯｸM-PRO" w:eastAsia="HG丸ｺﾞｼｯｸM-PRO" w:hAnsi="HG丸ｺﾞｼｯｸM-PRO"/>
                <w:szCs w:val="21"/>
              </w:rPr>
            </w:pPr>
            <w:r w:rsidRPr="001D6D10">
              <w:rPr>
                <w:rFonts w:ascii="HG丸ｺﾞｼｯｸM-PRO" w:eastAsia="HG丸ｺﾞｼｯｸM-PRO" w:hAnsi="HG丸ｺﾞｼｯｸM-PRO" w:hint="eastAsia"/>
                <w:szCs w:val="21"/>
              </w:rPr>
              <w:t>□公共交通機関計画運休の確認【総務】</w:t>
            </w:r>
          </w:p>
          <w:p w14:paraId="23B85F56" w14:textId="77777777" w:rsidR="00967C42" w:rsidRPr="001D6D10" w:rsidRDefault="00967C42" w:rsidP="00967C42">
            <w:pPr>
              <w:rPr>
                <w:rFonts w:ascii="HG丸ｺﾞｼｯｸM-PRO" w:eastAsia="HG丸ｺﾞｼｯｸM-PRO" w:hAnsi="HG丸ｺﾞｼｯｸM-PRO"/>
                <w:szCs w:val="21"/>
              </w:rPr>
            </w:pPr>
            <w:r w:rsidRPr="001D6D10">
              <w:rPr>
                <w:rFonts w:ascii="HG丸ｺﾞｼｯｸM-PRO" w:eastAsia="HG丸ｺﾞｼｯｸM-PRO" w:hAnsi="HG丸ｺﾞｼｯｸM-PRO" w:hint="eastAsia"/>
                <w:szCs w:val="21"/>
              </w:rPr>
              <w:t>□職員体制の確認・確保【総務】</w:t>
            </w:r>
          </w:p>
          <w:p w14:paraId="732E27A7" w14:textId="77777777" w:rsidR="0001205E" w:rsidRPr="001D6D10" w:rsidRDefault="00967C42" w:rsidP="00F35CFE">
            <w:pPr>
              <w:rPr>
                <w:rFonts w:ascii="HG丸ｺﾞｼｯｸM-PRO" w:eastAsia="HG丸ｺﾞｼｯｸM-PRO" w:hAnsi="HG丸ｺﾞｼｯｸM-PRO"/>
                <w:szCs w:val="21"/>
              </w:rPr>
            </w:pPr>
            <w:r w:rsidRPr="001D6D10">
              <w:rPr>
                <w:rFonts w:ascii="HG丸ｺﾞｼｯｸM-PRO" w:eastAsia="HG丸ｺﾞｼｯｸM-PRO" w:hAnsi="HG丸ｺﾞｼｯｸM-PRO" w:hint="eastAsia"/>
                <w:szCs w:val="21"/>
              </w:rPr>
              <w:t>□局内への気象情報提供・注意喚起【総務】</w:t>
            </w:r>
          </w:p>
        </w:tc>
      </w:tr>
      <w:tr w:rsidR="001D6D10" w:rsidRPr="001D6D10" w14:paraId="479E5519" w14:textId="77777777" w:rsidTr="00F35CFE">
        <w:trPr>
          <w:jc w:val="center"/>
        </w:trPr>
        <w:tc>
          <w:tcPr>
            <w:tcW w:w="1457" w:type="dxa"/>
            <w:vMerge w:val="restart"/>
          </w:tcPr>
          <w:p w14:paraId="35748602" w14:textId="77777777" w:rsidR="00934E60" w:rsidRPr="001D6D10" w:rsidRDefault="00934E60" w:rsidP="00F35CFE">
            <w:pPr>
              <w:rPr>
                <w:rFonts w:ascii="HG丸ｺﾞｼｯｸM-PRO" w:eastAsia="HG丸ｺﾞｼｯｸM-PRO" w:hAnsi="HG丸ｺﾞｼｯｸM-PRO"/>
                <w:szCs w:val="21"/>
              </w:rPr>
            </w:pPr>
          </w:p>
          <w:p w14:paraId="5245C1E8" w14:textId="77777777" w:rsidR="00934E60" w:rsidRPr="001D6D10" w:rsidRDefault="00934E60" w:rsidP="00F35CFE">
            <w:pPr>
              <w:rPr>
                <w:rFonts w:ascii="HG丸ｺﾞｼｯｸM-PRO" w:eastAsia="HG丸ｺﾞｼｯｸM-PRO" w:hAnsi="HG丸ｺﾞｼｯｸM-PRO"/>
                <w:szCs w:val="21"/>
              </w:rPr>
            </w:pPr>
          </w:p>
          <w:p w14:paraId="592CD08C" w14:textId="77777777" w:rsidR="0001205E" w:rsidRPr="001D6D10" w:rsidRDefault="0001205E" w:rsidP="00F35CFE">
            <w:pPr>
              <w:rPr>
                <w:rFonts w:ascii="HG丸ｺﾞｼｯｸM-PRO" w:eastAsia="HG丸ｺﾞｼｯｸM-PRO" w:hAnsi="HG丸ｺﾞｼｯｸM-PRO"/>
                <w:szCs w:val="21"/>
              </w:rPr>
            </w:pPr>
            <w:r w:rsidRPr="001D6D10">
              <w:rPr>
                <w:rFonts w:ascii="HG丸ｺﾞｼｯｸM-PRO" w:eastAsia="HG丸ｺﾞｼｯｸM-PRO" w:hAnsi="HG丸ｺﾞｼｯｸM-PRO" w:hint="eastAsia"/>
                <w:szCs w:val="21"/>
              </w:rPr>
              <w:t>24ｈ前～</w:t>
            </w:r>
          </w:p>
          <w:p w14:paraId="274980F3" w14:textId="77777777" w:rsidR="0001205E" w:rsidRPr="001D6D10" w:rsidRDefault="0001205E" w:rsidP="00F35CFE">
            <w:pPr>
              <w:rPr>
                <w:rFonts w:ascii="HG丸ｺﾞｼｯｸM-PRO" w:eastAsia="HG丸ｺﾞｼｯｸM-PRO" w:hAnsi="HG丸ｺﾞｼｯｸM-PRO"/>
                <w:szCs w:val="21"/>
              </w:rPr>
            </w:pPr>
            <w:r w:rsidRPr="001D6D10">
              <w:rPr>
                <w:rFonts w:ascii="HG丸ｺﾞｼｯｸM-PRO" w:eastAsia="HG丸ｺﾞｼｯｸM-PRO" w:hAnsi="HG丸ｺﾞｼｯｸM-PRO" w:hint="eastAsia"/>
                <w:szCs w:val="21"/>
              </w:rPr>
              <w:t xml:space="preserve">　　最接近</w:t>
            </w:r>
          </w:p>
          <w:p w14:paraId="49E4A7F1" w14:textId="77777777" w:rsidR="0001205E" w:rsidRPr="001D6D10" w:rsidRDefault="0001205E" w:rsidP="00F35CFE">
            <w:pPr>
              <w:rPr>
                <w:rFonts w:ascii="HG丸ｺﾞｼｯｸM-PRO" w:eastAsia="HG丸ｺﾞｼｯｸM-PRO" w:hAnsi="HG丸ｺﾞｼｯｸM-PRO"/>
                <w:szCs w:val="21"/>
              </w:rPr>
            </w:pPr>
            <w:r w:rsidRPr="001D6D10">
              <w:rPr>
                <w:rFonts w:ascii="HG丸ｺﾞｼｯｸM-PRO" w:eastAsia="HG丸ｺﾞｼｯｸM-PRO" w:hAnsi="HG丸ｺﾞｼｯｸM-PRO" w:hint="eastAsia"/>
                <w:szCs w:val="21"/>
              </w:rPr>
              <w:t>（１日前）</w:t>
            </w:r>
          </w:p>
        </w:tc>
        <w:tc>
          <w:tcPr>
            <w:tcW w:w="7037" w:type="dxa"/>
          </w:tcPr>
          <w:p w14:paraId="640BB532" w14:textId="77777777" w:rsidR="0001205E" w:rsidRPr="001D6D10" w:rsidRDefault="0001205E" w:rsidP="00F35CFE">
            <w:pPr>
              <w:rPr>
                <w:rFonts w:ascii="HG丸ｺﾞｼｯｸM-PRO" w:eastAsia="HG丸ｺﾞｼｯｸM-PRO" w:hAnsi="HG丸ｺﾞｼｯｸM-PRO"/>
                <w:szCs w:val="21"/>
              </w:rPr>
            </w:pPr>
            <w:r w:rsidRPr="001D6D10">
              <w:rPr>
                <w:rFonts w:ascii="HG丸ｺﾞｼｯｸM-PRO" w:eastAsia="HG丸ｺﾞｼｯｸM-PRO" w:hAnsi="HG丸ｺﾞｼｯｸM-PRO" w:hint="eastAsia"/>
                <w:szCs w:val="21"/>
              </w:rPr>
              <w:t>庁内連絡会議②：第2回災害警戒本部会議の事前調整等</w:t>
            </w:r>
          </w:p>
          <w:p w14:paraId="3033278A" w14:textId="77777777" w:rsidR="00742C35" w:rsidRPr="001D6D10" w:rsidRDefault="00742C35" w:rsidP="00742C35">
            <w:pPr>
              <w:rPr>
                <w:rFonts w:ascii="HG丸ｺﾞｼｯｸM-PRO" w:eastAsia="HG丸ｺﾞｼｯｸM-PRO" w:hAnsi="HG丸ｺﾞｼｯｸM-PRO"/>
                <w:szCs w:val="21"/>
              </w:rPr>
            </w:pPr>
            <w:r w:rsidRPr="001D6D10">
              <w:rPr>
                <w:rFonts w:ascii="HG丸ｺﾞｼｯｸM-PRO" w:eastAsia="HG丸ｺﾞｼｯｸM-PRO" w:hAnsi="HG丸ｺﾞｼｯｸM-PRO" w:hint="eastAsia"/>
                <w:szCs w:val="21"/>
              </w:rPr>
              <w:t>□第２回災害警戒本部会議の事前準備</w:t>
            </w:r>
          </w:p>
          <w:p w14:paraId="3580B3F2" w14:textId="77777777" w:rsidR="00742C35" w:rsidRPr="001D6D10" w:rsidRDefault="00742C35" w:rsidP="00742C35">
            <w:pPr>
              <w:rPr>
                <w:rFonts w:ascii="HG丸ｺﾞｼｯｸM-PRO" w:eastAsia="HG丸ｺﾞｼｯｸM-PRO" w:hAnsi="HG丸ｺﾞｼｯｸM-PRO"/>
                <w:szCs w:val="21"/>
              </w:rPr>
            </w:pPr>
            <w:r w:rsidRPr="001D6D10">
              <w:rPr>
                <w:rFonts w:ascii="HG丸ｺﾞｼｯｸM-PRO" w:eastAsia="HG丸ｺﾞｼｯｸM-PRO" w:hAnsi="HG丸ｺﾞｼｯｸM-PRO" w:hint="eastAsia"/>
                <w:szCs w:val="21"/>
              </w:rPr>
              <w:t xml:space="preserve">　・部局内の対応状況の確認、会議での報告のとりまとめ</w:t>
            </w:r>
          </w:p>
          <w:p w14:paraId="25842A73" w14:textId="77777777" w:rsidR="007D0602" w:rsidRPr="001D6D10" w:rsidRDefault="00742C35" w:rsidP="007D0602">
            <w:pPr>
              <w:rPr>
                <w:rFonts w:ascii="HG丸ｺﾞｼｯｸM-PRO" w:eastAsia="HG丸ｺﾞｼｯｸM-PRO" w:hAnsi="HG丸ｺﾞｼｯｸM-PRO"/>
                <w:szCs w:val="21"/>
              </w:rPr>
            </w:pPr>
            <w:r w:rsidRPr="001D6D10">
              <w:rPr>
                <w:rFonts w:ascii="HG丸ｺﾞｼｯｸM-PRO" w:eastAsia="HG丸ｺﾞｼｯｸM-PRO" w:hAnsi="HG丸ｺﾞｼｯｸM-PRO" w:hint="eastAsia"/>
                <w:szCs w:val="21"/>
              </w:rPr>
              <w:t xml:space="preserve">　・</w:t>
            </w:r>
            <w:r w:rsidR="00A4645F" w:rsidRPr="001D6D10">
              <w:rPr>
                <w:rFonts w:ascii="HG丸ｺﾞｼｯｸM-PRO" w:eastAsia="HG丸ｺﾞｼｯｸM-PRO" w:hAnsi="HG丸ｺﾞｼｯｸM-PRO" w:hint="eastAsia"/>
                <w:szCs w:val="21"/>
              </w:rPr>
              <w:t>庁舎</w:t>
            </w:r>
            <w:r w:rsidRPr="001D6D10">
              <w:rPr>
                <w:rFonts w:ascii="HG丸ｺﾞｼｯｸM-PRO" w:eastAsia="HG丸ｺﾞｼｯｸM-PRO" w:hAnsi="HG丸ｺﾞｼｯｸM-PRO" w:hint="eastAsia"/>
                <w:szCs w:val="21"/>
              </w:rPr>
              <w:t>の安全点検</w:t>
            </w:r>
          </w:p>
          <w:p w14:paraId="5A5D47F4" w14:textId="77777777" w:rsidR="00BD7DE5" w:rsidRPr="001D6D10" w:rsidRDefault="00BD7DE5" w:rsidP="007D0602">
            <w:pPr>
              <w:rPr>
                <w:rFonts w:ascii="HG丸ｺﾞｼｯｸM-PRO" w:eastAsia="HG丸ｺﾞｼｯｸM-PRO" w:hAnsi="HG丸ｺﾞｼｯｸM-PRO"/>
                <w:szCs w:val="21"/>
                <w:u w:val="single"/>
              </w:rPr>
            </w:pPr>
            <w:r w:rsidRPr="001D6D10">
              <w:rPr>
                <w:rFonts w:ascii="HG丸ｺﾞｼｯｸM-PRO" w:eastAsia="HG丸ｺﾞｼｯｸM-PRO" w:hAnsi="HG丸ｺﾞｼｯｸM-PRO" w:hint="eastAsia"/>
                <w:szCs w:val="21"/>
                <w:bdr w:val="single" w:sz="4" w:space="0" w:color="auto"/>
              </w:rPr>
              <w:t>台風説明会</w:t>
            </w:r>
          </w:p>
        </w:tc>
      </w:tr>
      <w:tr w:rsidR="001D6D10" w:rsidRPr="001D6D10" w14:paraId="1E399493" w14:textId="77777777" w:rsidTr="00F35CFE">
        <w:trPr>
          <w:jc w:val="center"/>
        </w:trPr>
        <w:tc>
          <w:tcPr>
            <w:tcW w:w="1457" w:type="dxa"/>
            <w:vMerge/>
          </w:tcPr>
          <w:p w14:paraId="20338AC8" w14:textId="77777777" w:rsidR="0001205E" w:rsidRPr="001D6D10" w:rsidRDefault="0001205E" w:rsidP="00F35CFE">
            <w:pPr>
              <w:rPr>
                <w:rFonts w:ascii="HG丸ｺﾞｼｯｸM-PRO" w:eastAsia="HG丸ｺﾞｼｯｸM-PRO" w:hAnsi="HG丸ｺﾞｼｯｸM-PRO"/>
                <w:szCs w:val="21"/>
              </w:rPr>
            </w:pPr>
          </w:p>
        </w:tc>
        <w:tc>
          <w:tcPr>
            <w:tcW w:w="7037" w:type="dxa"/>
          </w:tcPr>
          <w:p w14:paraId="745FE74E" w14:textId="77777777" w:rsidR="0001205E" w:rsidRPr="001D6D10" w:rsidRDefault="0001205E" w:rsidP="00F35CFE">
            <w:pPr>
              <w:rPr>
                <w:rFonts w:ascii="HG丸ｺﾞｼｯｸM-PRO" w:eastAsia="HG丸ｺﾞｼｯｸM-PRO" w:hAnsi="HG丸ｺﾞｼｯｸM-PRO"/>
                <w:szCs w:val="21"/>
                <w:highlight w:val="yellow"/>
              </w:rPr>
            </w:pPr>
            <w:r w:rsidRPr="001D6D10">
              <w:rPr>
                <w:rFonts w:ascii="HG丸ｺﾞｼｯｸM-PRO" w:eastAsia="HG丸ｺﾞｼｯｸM-PRO" w:hAnsi="HG丸ｺﾞｼｯｸM-PRO" w:hint="eastAsia"/>
                <w:b/>
                <w:szCs w:val="21"/>
                <w:highlight w:val="yellow"/>
              </w:rPr>
              <w:t>第２回災害警戒本部会議</w:t>
            </w:r>
            <w:r w:rsidRPr="001D6D10">
              <w:rPr>
                <w:rFonts w:ascii="HG丸ｺﾞｼｯｸM-PRO" w:eastAsia="HG丸ｺﾞｼｯｸM-PRO" w:hAnsi="HG丸ｺﾞｼｯｸM-PRO" w:hint="eastAsia"/>
                <w:szCs w:val="21"/>
                <w:highlight w:val="yellow"/>
              </w:rPr>
              <w:t>（災害モード宣言の発信）</w:t>
            </w:r>
            <w:r w:rsidR="00CB0ABF" w:rsidRPr="001D6D10">
              <w:rPr>
                <w:rFonts w:ascii="HG丸ｺﾞｼｯｸM-PRO" w:eastAsia="HG丸ｺﾞｼｯｸM-PRO" w:hAnsi="HG丸ｺﾞｼｯｸM-PRO" w:hint="eastAsia"/>
                <w:szCs w:val="21"/>
                <w:highlight w:val="yellow"/>
              </w:rPr>
              <w:t>（Ｐ47</w:t>
            </w:r>
            <w:r w:rsidR="0010145B" w:rsidRPr="001D6D10">
              <w:rPr>
                <w:rFonts w:ascii="HG丸ｺﾞｼｯｸM-PRO" w:eastAsia="HG丸ｺﾞｼｯｸM-PRO" w:hAnsi="HG丸ｺﾞｼｯｸM-PRO" w:hint="eastAsia"/>
                <w:szCs w:val="21"/>
                <w:highlight w:val="yellow"/>
              </w:rPr>
              <w:t>参照）</w:t>
            </w:r>
          </w:p>
        </w:tc>
      </w:tr>
      <w:tr w:rsidR="001D6D10" w:rsidRPr="001D6D10" w14:paraId="3F5B3374" w14:textId="77777777" w:rsidTr="00F35CFE">
        <w:trPr>
          <w:jc w:val="center"/>
        </w:trPr>
        <w:tc>
          <w:tcPr>
            <w:tcW w:w="1457" w:type="dxa"/>
            <w:vMerge/>
          </w:tcPr>
          <w:p w14:paraId="22057AFC" w14:textId="77777777" w:rsidR="0001205E" w:rsidRPr="001D6D10" w:rsidRDefault="0001205E" w:rsidP="00F35CFE">
            <w:pPr>
              <w:rPr>
                <w:rFonts w:ascii="HG丸ｺﾞｼｯｸM-PRO" w:eastAsia="HG丸ｺﾞｼｯｸM-PRO" w:hAnsi="HG丸ｺﾞｼｯｸM-PRO"/>
                <w:szCs w:val="21"/>
              </w:rPr>
            </w:pPr>
          </w:p>
        </w:tc>
        <w:tc>
          <w:tcPr>
            <w:tcW w:w="7037" w:type="dxa"/>
          </w:tcPr>
          <w:p w14:paraId="474BD623" w14:textId="77777777" w:rsidR="00967C42" w:rsidRPr="001D6D10" w:rsidRDefault="00967C42" w:rsidP="00967C42">
            <w:pPr>
              <w:rPr>
                <w:rFonts w:ascii="HG丸ｺﾞｼｯｸM-PRO" w:eastAsia="HG丸ｺﾞｼｯｸM-PRO" w:hAnsi="HG丸ｺﾞｼｯｸM-PRO"/>
                <w:szCs w:val="21"/>
              </w:rPr>
            </w:pPr>
            <w:r w:rsidRPr="001D6D10">
              <w:rPr>
                <w:rFonts w:ascii="HG丸ｺﾞｼｯｸM-PRO" w:eastAsia="HG丸ｺﾞｼｯｸM-PRO" w:hAnsi="HG丸ｺﾞｼｯｸM-PRO" w:hint="eastAsia"/>
                <w:szCs w:val="21"/>
              </w:rPr>
              <w:t>□危機管理室からの情報を関係者で共有【総務】</w:t>
            </w:r>
          </w:p>
          <w:p w14:paraId="4362C638" w14:textId="77777777" w:rsidR="0001205E" w:rsidRPr="001D6D10" w:rsidRDefault="00967C42" w:rsidP="00F35CFE">
            <w:pPr>
              <w:rPr>
                <w:rFonts w:ascii="HG丸ｺﾞｼｯｸM-PRO" w:eastAsia="HG丸ｺﾞｼｯｸM-PRO" w:hAnsi="HG丸ｺﾞｼｯｸM-PRO"/>
                <w:szCs w:val="21"/>
              </w:rPr>
            </w:pPr>
            <w:r w:rsidRPr="001D6D10">
              <w:rPr>
                <w:rFonts w:ascii="HG丸ｺﾞｼｯｸM-PRO" w:eastAsia="HG丸ｺﾞｼｯｸM-PRO" w:hAnsi="HG丸ｺﾞｼｯｸM-PRO" w:hint="eastAsia"/>
                <w:szCs w:val="21"/>
              </w:rPr>
              <w:t>□局内への気象情報提供・注意喚起【総務】</w:t>
            </w:r>
          </w:p>
        </w:tc>
      </w:tr>
    </w:tbl>
    <w:p w14:paraId="28D1AC34" w14:textId="77777777" w:rsidR="0001205E" w:rsidRPr="001D6D10" w:rsidRDefault="0001205E" w:rsidP="0001205E">
      <w:pPr>
        <w:rPr>
          <w:rFonts w:ascii="ＭＳ ゴシック" w:eastAsia="ＭＳ ゴシック" w:hAnsi="ＭＳ ゴシック"/>
          <w:b/>
          <w:sz w:val="22"/>
          <w:szCs w:val="22"/>
          <w:u w:val="double"/>
        </w:rPr>
      </w:pPr>
    </w:p>
    <w:p w14:paraId="0EC8102C" w14:textId="77777777" w:rsidR="00967C42" w:rsidRPr="001D6D10" w:rsidRDefault="00967C42" w:rsidP="00967C42">
      <w:pPr>
        <w:rPr>
          <w:rFonts w:ascii="ＭＳ ゴシック" w:eastAsia="ＭＳ ゴシック" w:hAnsi="ＭＳ ゴシック"/>
          <w:sz w:val="18"/>
          <w:szCs w:val="22"/>
        </w:rPr>
      </w:pPr>
      <w:r w:rsidRPr="001D6D10">
        <w:rPr>
          <w:rFonts w:ascii="ＭＳ ゴシック" w:eastAsia="ＭＳ ゴシック" w:hAnsi="ＭＳ ゴシック" w:hint="eastAsia"/>
          <w:sz w:val="18"/>
          <w:szCs w:val="22"/>
        </w:rPr>
        <w:t>※）本タイムラインから状況に応じて必要な項目を選定し、実施するものとする。</w:t>
      </w:r>
    </w:p>
    <w:p w14:paraId="3E7DD3CE" w14:textId="77777777" w:rsidR="00A478B8" w:rsidRPr="001D6D10" w:rsidRDefault="00A478B8" w:rsidP="00EB20A0">
      <w:pPr>
        <w:rPr>
          <w:rFonts w:ascii="ＭＳ ゴシック" w:eastAsia="ＭＳ ゴシック" w:hAnsi="ＭＳ ゴシック"/>
          <w:sz w:val="22"/>
          <w:szCs w:val="22"/>
          <w:u w:val="double"/>
        </w:rPr>
      </w:pPr>
    </w:p>
    <w:p w14:paraId="10D560B1" w14:textId="77777777" w:rsidR="00930C0D" w:rsidRDefault="00930C0D">
      <w:pPr>
        <w:widowControl/>
        <w:jc w:val="left"/>
        <w:rPr>
          <w:rFonts w:ascii="ＭＳ ゴシック" w:eastAsia="ＭＳ ゴシック" w:hAnsi="ＭＳ ゴシック"/>
          <w:sz w:val="22"/>
          <w:szCs w:val="22"/>
        </w:rPr>
      </w:pPr>
      <w:r>
        <w:rPr>
          <w:rFonts w:ascii="ＭＳ ゴシック" w:eastAsia="ＭＳ ゴシック" w:hAnsi="ＭＳ ゴシック"/>
          <w:sz w:val="22"/>
          <w:szCs w:val="22"/>
        </w:rPr>
        <w:br w:type="page"/>
      </w:r>
    </w:p>
    <w:p w14:paraId="7C334872" w14:textId="33B06311" w:rsidR="0001205E" w:rsidRPr="001D6D10" w:rsidRDefault="00B1007D" w:rsidP="0001205E">
      <w:pPr>
        <w:rPr>
          <w:rFonts w:ascii="ＭＳ ゴシック" w:eastAsia="ＭＳ ゴシック" w:hAnsi="ＭＳ ゴシック"/>
          <w:sz w:val="22"/>
          <w:szCs w:val="22"/>
        </w:rPr>
      </w:pPr>
      <w:r w:rsidRPr="001D6D10">
        <w:rPr>
          <w:rFonts w:ascii="ＭＳ ゴシック" w:eastAsia="ＭＳ ゴシック" w:hAnsi="ＭＳ ゴシック" w:hint="eastAsia"/>
          <w:sz w:val="22"/>
          <w:szCs w:val="22"/>
        </w:rPr>
        <w:lastRenderedPageBreak/>
        <w:t>⑲</w:t>
      </w:r>
      <w:r w:rsidR="0001205E" w:rsidRPr="001D6D10">
        <w:rPr>
          <w:rFonts w:ascii="ＭＳ ゴシック" w:eastAsia="ＭＳ ゴシック" w:hAnsi="ＭＳ ゴシック" w:hint="eastAsia"/>
          <w:sz w:val="22"/>
          <w:szCs w:val="22"/>
        </w:rPr>
        <w:t>人事委員会事務局</w:t>
      </w:r>
    </w:p>
    <w:tbl>
      <w:tblPr>
        <w:tblpPr w:leftFromText="142" w:rightFromText="142" w:vertAnchor="text" w:tblpXSpec="center" w:tblpY="1"/>
        <w:tblOverlap w:val="neve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57"/>
        <w:gridCol w:w="7037"/>
      </w:tblGrid>
      <w:tr w:rsidR="001D6D10" w:rsidRPr="001D6D10" w14:paraId="5F1B231F" w14:textId="77777777" w:rsidTr="00F35CFE">
        <w:trPr>
          <w:jc w:val="center"/>
        </w:trPr>
        <w:tc>
          <w:tcPr>
            <w:tcW w:w="1457" w:type="dxa"/>
            <w:tcBorders>
              <w:bottom w:val="single" w:sz="4" w:space="0" w:color="auto"/>
            </w:tcBorders>
            <w:shd w:val="clear" w:color="auto" w:fill="BFBFBF"/>
          </w:tcPr>
          <w:p w14:paraId="566F299C" w14:textId="77777777" w:rsidR="0001205E" w:rsidRPr="001D6D10" w:rsidRDefault="0001205E" w:rsidP="00F35CFE">
            <w:pPr>
              <w:jc w:val="center"/>
              <w:rPr>
                <w:rFonts w:ascii="HG丸ｺﾞｼｯｸM-PRO" w:eastAsia="HG丸ｺﾞｼｯｸM-PRO" w:hAnsi="HG丸ｺﾞｼｯｸM-PRO"/>
                <w:szCs w:val="21"/>
              </w:rPr>
            </w:pPr>
            <w:r w:rsidRPr="001D6D10">
              <w:rPr>
                <w:rFonts w:ascii="HG丸ｺﾞｼｯｸM-PRO" w:eastAsia="HG丸ｺﾞｼｯｸM-PRO" w:hAnsi="HG丸ｺﾞｼｯｸM-PRO" w:hint="eastAsia"/>
                <w:szCs w:val="21"/>
              </w:rPr>
              <w:t>時　期</w:t>
            </w:r>
          </w:p>
        </w:tc>
        <w:tc>
          <w:tcPr>
            <w:tcW w:w="7037" w:type="dxa"/>
            <w:tcBorders>
              <w:bottom w:val="single" w:sz="4" w:space="0" w:color="auto"/>
            </w:tcBorders>
            <w:shd w:val="clear" w:color="auto" w:fill="BFBFBF"/>
          </w:tcPr>
          <w:p w14:paraId="019C2A9B" w14:textId="77777777" w:rsidR="0001205E" w:rsidRPr="001D6D10" w:rsidRDefault="00E31DA1" w:rsidP="00F35CFE">
            <w:pPr>
              <w:jc w:val="center"/>
              <w:rPr>
                <w:rFonts w:ascii="HG丸ｺﾞｼｯｸM-PRO" w:eastAsia="HG丸ｺﾞｼｯｸM-PRO" w:hAnsi="HG丸ｺﾞｼｯｸM-PRO"/>
                <w:szCs w:val="21"/>
              </w:rPr>
            </w:pPr>
            <w:r w:rsidRPr="001D6D10">
              <w:rPr>
                <w:rFonts w:ascii="HG丸ｺﾞｼｯｸM-PRO" w:eastAsia="HG丸ｺﾞｼｯｸM-PRO" w:hAnsi="HG丸ｺﾞｼｯｸM-PRO" w:hint="eastAsia"/>
                <w:szCs w:val="21"/>
              </w:rPr>
              <w:t>主な事前準備</w:t>
            </w:r>
            <w:r w:rsidR="0001205E" w:rsidRPr="001D6D10">
              <w:rPr>
                <w:rFonts w:ascii="HG丸ｺﾞｼｯｸM-PRO" w:eastAsia="HG丸ｺﾞｼｯｸM-PRO" w:hAnsi="HG丸ｺﾞｼｯｸM-PRO" w:hint="eastAsia"/>
                <w:szCs w:val="21"/>
              </w:rPr>
              <w:t>業務</w:t>
            </w:r>
          </w:p>
        </w:tc>
      </w:tr>
      <w:tr w:rsidR="001D6D10" w:rsidRPr="001D6D10" w14:paraId="109EE256" w14:textId="77777777" w:rsidTr="00F35CFE">
        <w:trPr>
          <w:jc w:val="center"/>
        </w:trPr>
        <w:tc>
          <w:tcPr>
            <w:tcW w:w="1457" w:type="dxa"/>
            <w:vMerge w:val="restart"/>
            <w:shd w:val="clear" w:color="auto" w:fill="FFFFFF" w:themeFill="background1"/>
          </w:tcPr>
          <w:p w14:paraId="2F1F398D" w14:textId="77777777" w:rsidR="00934E60" w:rsidRPr="001D6D10" w:rsidRDefault="00934E60" w:rsidP="00F35CFE">
            <w:pPr>
              <w:jc w:val="center"/>
              <w:rPr>
                <w:rFonts w:ascii="HG丸ｺﾞｼｯｸM-PRO" w:eastAsia="HG丸ｺﾞｼｯｸM-PRO" w:hAnsi="HG丸ｺﾞｼｯｸM-PRO"/>
                <w:szCs w:val="21"/>
              </w:rPr>
            </w:pPr>
          </w:p>
          <w:p w14:paraId="5BEF9AA1" w14:textId="77777777" w:rsidR="00934E60" w:rsidRPr="001D6D10" w:rsidRDefault="00934E60" w:rsidP="00F35CFE">
            <w:pPr>
              <w:jc w:val="center"/>
              <w:rPr>
                <w:rFonts w:ascii="HG丸ｺﾞｼｯｸM-PRO" w:eastAsia="HG丸ｺﾞｼｯｸM-PRO" w:hAnsi="HG丸ｺﾞｼｯｸM-PRO"/>
                <w:szCs w:val="21"/>
              </w:rPr>
            </w:pPr>
          </w:p>
          <w:p w14:paraId="120C0C7A" w14:textId="77777777" w:rsidR="00934E60" w:rsidRPr="001D6D10" w:rsidRDefault="00934E60" w:rsidP="00F35CFE">
            <w:pPr>
              <w:jc w:val="center"/>
              <w:rPr>
                <w:rFonts w:ascii="HG丸ｺﾞｼｯｸM-PRO" w:eastAsia="HG丸ｺﾞｼｯｸM-PRO" w:hAnsi="HG丸ｺﾞｼｯｸM-PRO"/>
                <w:szCs w:val="21"/>
              </w:rPr>
            </w:pPr>
          </w:p>
          <w:p w14:paraId="73474CB4" w14:textId="468E0FE5" w:rsidR="0001205E" w:rsidRPr="001D6D10" w:rsidRDefault="0001205E" w:rsidP="00F35CFE">
            <w:pPr>
              <w:jc w:val="center"/>
              <w:rPr>
                <w:rFonts w:ascii="HG丸ｺﾞｼｯｸM-PRO" w:eastAsia="HG丸ｺﾞｼｯｸM-PRO" w:hAnsi="HG丸ｺﾞｼｯｸM-PRO"/>
                <w:szCs w:val="21"/>
              </w:rPr>
            </w:pPr>
            <w:r w:rsidRPr="001D6D10">
              <w:rPr>
                <w:rFonts w:ascii="HG丸ｺﾞｼｯｸM-PRO" w:eastAsia="HG丸ｺﾞｼｯｸM-PRO" w:hAnsi="HG丸ｺﾞｼｯｸM-PRO" w:hint="eastAsia"/>
                <w:szCs w:val="21"/>
              </w:rPr>
              <w:t>～48ｈ</w:t>
            </w:r>
            <w:r w:rsidR="0053084D" w:rsidRPr="001D6D10">
              <w:rPr>
                <w:rFonts w:ascii="HG丸ｺﾞｼｯｸM-PRO" w:eastAsia="HG丸ｺﾞｼｯｸM-PRO" w:hAnsi="HG丸ｺﾞｼｯｸM-PRO" w:hint="eastAsia"/>
                <w:szCs w:val="21"/>
              </w:rPr>
              <w:t>前</w:t>
            </w:r>
          </w:p>
          <w:p w14:paraId="115691ED" w14:textId="77777777" w:rsidR="0001205E" w:rsidRPr="001D6D10" w:rsidRDefault="0001205E" w:rsidP="00F35CFE">
            <w:pPr>
              <w:jc w:val="center"/>
              <w:rPr>
                <w:rFonts w:ascii="HG丸ｺﾞｼｯｸM-PRO" w:eastAsia="HG丸ｺﾞｼｯｸM-PRO" w:hAnsi="HG丸ｺﾞｼｯｸM-PRO"/>
                <w:sz w:val="20"/>
                <w:szCs w:val="20"/>
              </w:rPr>
            </w:pPr>
            <w:r w:rsidRPr="001D6D10">
              <w:rPr>
                <w:rFonts w:ascii="HG丸ｺﾞｼｯｸM-PRO" w:eastAsia="HG丸ｺﾞｼｯｸM-PRO" w:hAnsi="HG丸ｺﾞｼｯｸM-PRO" w:hint="eastAsia"/>
                <w:sz w:val="20"/>
                <w:szCs w:val="20"/>
              </w:rPr>
              <w:t>（３日以前）</w:t>
            </w:r>
          </w:p>
        </w:tc>
        <w:tc>
          <w:tcPr>
            <w:tcW w:w="7037" w:type="dxa"/>
            <w:tcBorders>
              <w:bottom w:val="single" w:sz="4" w:space="0" w:color="auto"/>
            </w:tcBorders>
            <w:shd w:val="clear" w:color="auto" w:fill="FFFFFF" w:themeFill="background1"/>
          </w:tcPr>
          <w:p w14:paraId="4128E061" w14:textId="77777777" w:rsidR="00900703" w:rsidRPr="001D6D10" w:rsidRDefault="00900703" w:rsidP="00900703">
            <w:pPr>
              <w:rPr>
                <w:rFonts w:ascii="HG丸ｺﾞｼｯｸM-PRO" w:eastAsia="HG丸ｺﾞｼｯｸM-PRO" w:hAnsi="HG丸ｺﾞｼｯｸM-PRO"/>
                <w:szCs w:val="21"/>
              </w:rPr>
            </w:pPr>
            <w:r w:rsidRPr="001D6D10">
              <w:rPr>
                <w:rFonts w:ascii="HG丸ｺﾞｼｯｸM-PRO" w:eastAsia="HG丸ｺﾞｼｯｸM-PRO" w:hAnsi="HG丸ｺﾞｼｯｸM-PRO" w:hint="eastAsia"/>
                <w:szCs w:val="21"/>
              </w:rPr>
              <w:t xml:space="preserve">□危機管理室からの情報を関係者で共有　</w:t>
            </w:r>
          </w:p>
          <w:p w14:paraId="5834B451" w14:textId="77777777" w:rsidR="0001205E" w:rsidRPr="001D6D10" w:rsidRDefault="003B7241" w:rsidP="003B7241">
            <w:pPr>
              <w:rPr>
                <w:rFonts w:ascii="HG丸ｺﾞｼｯｸM-PRO" w:eastAsia="HG丸ｺﾞｼｯｸM-PRO" w:hAnsi="HG丸ｺﾞｼｯｸM-PRO"/>
                <w:szCs w:val="21"/>
              </w:rPr>
            </w:pPr>
            <w:r w:rsidRPr="001D6D10">
              <w:rPr>
                <w:rFonts w:ascii="HG丸ｺﾞｼｯｸM-PRO" w:eastAsia="HG丸ｺﾞｼｯｸM-PRO" w:hAnsi="HG丸ｺﾞｼｯｸM-PRO" w:hint="eastAsia"/>
                <w:szCs w:val="21"/>
              </w:rPr>
              <w:t>□連絡体制の確認</w:t>
            </w:r>
          </w:p>
          <w:p w14:paraId="78F66169" w14:textId="77777777" w:rsidR="00C84712" w:rsidRPr="001D6D10" w:rsidRDefault="00900703" w:rsidP="00F35CFE">
            <w:pPr>
              <w:rPr>
                <w:rFonts w:ascii="HG丸ｺﾞｼｯｸM-PRO" w:eastAsia="HG丸ｺﾞｼｯｸM-PRO" w:hAnsi="HG丸ｺﾞｼｯｸM-PRO"/>
                <w:szCs w:val="21"/>
              </w:rPr>
            </w:pPr>
            <w:r w:rsidRPr="001D6D10">
              <w:rPr>
                <w:rFonts w:ascii="HG丸ｺﾞｼｯｸM-PRO" w:eastAsia="HG丸ｺﾞｼｯｸM-PRO" w:hAnsi="HG丸ｺﾞｼｯｸM-PRO" w:hint="eastAsia"/>
                <w:szCs w:val="21"/>
              </w:rPr>
              <w:t>□災害対応に関するマニュアル等の確認</w:t>
            </w:r>
          </w:p>
          <w:p w14:paraId="1F03FF1E" w14:textId="77777777" w:rsidR="00742C35" w:rsidRPr="001D6D10" w:rsidRDefault="00742C35" w:rsidP="00742C35">
            <w:pPr>
              <w:rPr>
                <w:rFonts w:ascii="HG丸ｺﾞｼｯｸM-PRO" w:eastAsia="HG丸ｺﾞｼｯｸM-PRO" w:hAnsi="HG丸ｺﾞｼｯｸM-PRO"/>
                <w:szCs w:val="21"/>
              </w:rPr>
            </w:pPr>
            <w:r w:rsidRPr="001D6D10">
              <w:rPr>
                <w:rFonts w:ascii="HG丸ｺﾞｼｯｸM-PRO" w:eastAsia="HG丸ｺﾞｼｯｸM-PRO" w:hAnsi="HG丸ｺﾞｼｯｸM-PRO" w:hint="eastAsia"/>
                <w:szCs w:val="21"/>
              </w:rPr>
              <w:t>□指令部会議の事前準備</w:t>
            </w:r>
          </w:p>
          <w:p w14:paraId="775EF30B" w14:textId="77777777" w:rsidR="00742C35" w:rsidRPr="001D6D10" w:rsidRDefault="00742C35" w:rsidP="00742C35">
            <w:pPr>
              <w:rPr>
                <w:rFonts w:ascii="HG丸ｺﾞｼｯｸM-PRO" w:eastAsia="HG丸ｺﾞｼｯｸM-PRO" w:hAnsi="HG丸ｺﾞｼｯｸM-PRO"/>
                <w:szCs w:val="21"/>
                <w:u w:val="single"/>
              </w:rPr>
            </w:pPr>
            <w:r w:rsidRPr="001D6D10">
              <w:rPr>
                <w:rFonts w:ascii="HG丸ｺﾞｼｯｸM-PRO" w:eastAsia="HG丸ｺﾞｼｯｸM-PRO" w:hAnsi="HG丸ｺﾞｼｯｸM-PRO" w:hint="eastAsia"/>
                <w:szCs w:val="21"/>
              </w:rPr>
              <w:t xml:space="preserve">　</w:t>
            </w:r>
            <w:r w:rsidR="005B33EE" w:rsidRPr="001D6D10">
              <w:rPr>
                <w:rFonts w:ascii="HG丸ｺﾞｼｯｸM-PRO" w:eastAsia="HG丸ｺﾞｼｯｸM-PRO" w:hAnsi="HG丸ｺﾞｼｯｸM-PRO" w:hint="eastAsia"/>
                <w:szCs w:val="21"/>
              </w:rPr>
              <w:t>・イベントの有無確認（府主催、共催）</w:t>
            </w:r>
          </w:p>
        </w:tc>
      </w:tr>
      <w:tr w:rsidR="001D6D10" w:rsidRPr="001D6D10" w14:paraId="35F41BFA" w14:textId="77777777" w:rsidTr="00F35CFE">
        <w:trPr>
          <w:jc w:val="center"/>
        </w:trPr>
        <w:tc>
          <w:tcPr>
            <w:tcW w:w="1457" w:type="dxa"/>
            <w:vMerge/>
          </w:tcPr>
          <w:p w14:paraId="3A5DC21A" w14:textId="77777777" w:rsidR="0001205E" w:rsidRPr="001D6D10" w:rsidRDefault="0001205E" w:rsidP="00F35CFE">
            <w:pPr>
              <w:rPr>
                <w:rFonts w:ascii="HG丸ｺﾞｼｯｸM-PRO" w:eastAsia="HG丸ｺﾞｼｯｸM-PRO" w:hAnsi="HG丸ｺﾞｼｯｸM-PRO"/>
                <w:szCs w:val="21"/>
              </w:rPr>
            </w:pPr>
          </w:p>
        </w:tc>
        <w:tc>
          <w:tcPr>
            <w:tcW w:w="7037" w:type="dxa"/>
          </w:tcPr>
          <w:p w14:paraId="39EC3683" w14:textId="77777777" w:rsidR="0001205E" w:rsidRPr="001D6D10" w:rsidRDefault="0001205E" w:rsidP="00F35CFE">
            <w:pPr>
              <w:rPr>
                <w:rFonts w:ascii="HG丸ｺﾞｼｯｸM-PRO" w:eastAsia="HG丸ｺﾞｼｯｸM-PRO" w:hAnsi="HG丸ｺﾞｼｯｸM-PRO"/>
                <w:szCs w:val="21"/>
              </w:rPr>
            </w:pPr>
            <w:r w:rsidRPr="001D6D10">
              <w:rPr>
                <w:rFonts w:ascii="HG丸ｺﾞｼｯｸM-PRO" w:eastAsia="HG丸ｺﾞｼｯｸM-PRO" w:hAnsi="HG丸ｺﾞｼｯｸM-PRO" w:hint="eastAsia"/>
                <w:b/>
                <w:szCs w:val="21"/>
                <w:highlight w:val="yellow"/>
              </w:rPr>
              <w:t>防災・危機管理指令部会議</w:t>
            </w:r>
            <w:r w:rsidRPr="001D6D10">
              <w:rPr>
                <w:rFonts w:ascii="HG丸ｺﾞｼｯｸM-PRO" w:eastAsia="HG丸ｺﾞｼｯｸM-PRO" w:hAnsi="HG丸ｺﾞｼｯｸM-PRO" w:hint="eastAsia"/>
                <w:szCs w:val="21"/>
                <w:highlight w:val="yellow"/>
              </w:rPr>
              <w:t>（おおよそ７２ｈ前）</w:t>
            </w:r>
            <w:r w:rsidR="00CB0ABF" w:rsidRPr="001D6D10">
              <w:rPr>
                <w:rFonts w:ascii="HG丸ｺﾞｼｯｸM-PRO" w:eastAsia="HG丸ｺﾞｼｯｸM-PRO" w:hAnsi="HG丸ｺﾞｼｯｸM-PRO" w:hint="eastAsia"/>
                <w:szCs w:val="21"/>
                <w:highlight w:val="yellow"/>
              </w:rPr>
              <w:t>（Ｐ</w:t>
            </w:r>
            <w:r w:rsidR="00AD02A5" w:rsidRPr="001D6D10">
              <w:rPr>
                <w:rFonts w:ascii="HG丸ｺﾞｼｯｸM-PRO" w:eastAsia="HG丸ｺﾞｼｯｸM-PRO" w:hAnsi="HG丸ｺﾞｼｯｸM-PRO" w:hint="eastAsia"/>
                <w:szCs w:val="21"/>
                <w:highlight w:val="yellow"/>
              </w:rPr>
              <w:t>４</w:t>
            </w:r>
            <w:r w:rsidR="00CB0ABF" w:rsidRPr="001D6D10">
              <w:rPr>
                <w:rFonts w:ascii="HG丸ｺﾞｼｯｸM-PRO" w:eastAsia="HG丸ｺﾞｼｯｸM-PRO" w:hAnsi="HG丸ｺﾞｼｯｸM-PRO" w:hint="eastAsia"/>
                <w:szCs w:val="21"/>
                <w:highlight w:val="yellow"/>
              </w:rPr>
              <w:t>2</w:t>
            </w:r>
            <w:r w:rsidR="00AD02A5" w:rsidRPr="001D6D10">
              <w:rPr>
                <w:rFonts w:ascii="HG丸ｺﾞｼｯｸM-PRO" w:eastAsia="HG丸ｺﾞｼｯｸM-PRO" w:hAnsi="HG丸ｺﾞｼｯｸM-PRO" w:hint="eastAsia"/>
                <w:szCs w:val="21"/>
                <w:highlight w:val="yellow"/>
              </w:rPr>
              <w:t>参照）</w:t>
            </w:r>
          </w:p>
        </w:tc>
      </w:tr>
      <w:tr w:rsidR="001D6D10" w:rsidRPr="001D6D10" w14:paraId="78F7CDEA" w14:textId="77777777" w:rsidTr="00F35CFE">
        <w:trPr>
          <w:jc w:val="center"/>
        </w:trPr>
        <w:tc>
          <w:tcPr>
            <w:tcW w:w="1457" w:type="dxa"/>
            <w:vMerge/>
          </w:tcPr>
          <w:p w14:paraId="70E21E3C" w14:textId="77777777" w:rsidR="0001205E" w:rsidRPr="001D6D10" w:rsidRDefault="0001205E" w:rsidP="00F35CFE">
            <w:pPr>
              <w:rPr>
                <w:rFonts w:ascii="HG丸ｺﾞｼｯｸM-PRO" w:eastAsia="HG丸ｺﾞｼｯｸM-PRO" w:hAnsi="HG丸ｺﾞｼｯｸM-PRO"/>
                <w:szCs w:val="21"/>
              </w:rPr>
            </w:pPr>
          </w:p>
        </w:tc>
        <w:tc>
          <w:tcPr>
            <w:tcW w:w="7037" w:type="dxa"/>
          </w:tcPr>
          <w:p w14:paraId="2DAECA86" w14:textId="77777777" w:rsidR="00900703" w:rsidRPr="001D6D10" w:rsidRDefault="00900703" w:rsidP="00900703">
            <w:pPr>
              <w:rPr>
                <w:rFonts w:ascii="HG丸ｺﾞｼｯｸM-PRO" w:eastAsia="HG丸ｺﾞｼｯｸM-PRO" w:hAnsi="HG丸ｺﾞｼｯｸM-PRO"/>
                <w:szCs w:val="21"/>
              </w:rPr>
            </w:pPr>
            <w:r w:rsidRPr="001D6D10">
              <w:rPr>
                <w:rFonts w:ascii="HG丸ｺﾞｼｯｸM-PRO" w:eastAsia="HG丸ｺﾞｼｯｸM-PRO" w:hAnsi="HG丸ｺﾞｼｯｸM-PRO" w:hint="eastAsia"/>
                <w:szCs w:val="21"/>
              </w:rPr>
              <w:t xml:space="preserve">□危機管理室からの情報を関係者で共有　</w:t>
            </w:r>
          </w:p>
          <w:p w14:paraId="259C51B8" w14:textId="77777777" w:rsidR="0001205E" w:rsidRPr="001D6D10" w:rsidRDefault="00900703" w:rsidP="00F35CFE">
            <w:pPr>
              <w:rPr>
                <w:rFonts w:ascii="HG丸ｺﾞｼｯｸM-PRO" w:eastAsia="HG丸ｺﾞｼｯｸM-PRO" w:hAnsi="HG丸ｺﾞｼｯｸM-PRO"/>
                <w:szCs w:val="21"/>
              </w:rPr>
            </w:pPr>
            <w:r w:rsidRPr="001D6D10">
              <w:rPr>
                <w:rFonts w:ascii="HG丸ｺﾞｼｯｸM-PRO" w:eastAsia="HG丸ｺﾞｼｯｸM-PRO" w:hAnsi="HG丸ｺﾞｼｯｸM-PRO" w:hint="eastAsia"/>
                <w:szCs w:val="21"/>
              </w:rPr>
              <w:t>□部局内への気象情報提供・注意喚起</w:t>
            </w:r>
          </w:p>
        </w:tc>
      </w:tr>
      <w:tr w:rsidR="001D6D10" w:rsidRPr="001D6D10" w14:paraId="5E175833" w14:textId="77777777" w:rsidTr="00F35CFE">
        <w:trPr>
          <w:jc w:val="center"/>
        </w:trPr>
        <w:tc>
          <w:tcPr>
            <w:tcW w:w="1457" w:type="dxa"/>
            <w:vMerge w:val="restart"/>
          </w:tcPr>
          <w:p w14:paraId="55A3948D" w14:textId="77777777" w:rsidR="00934E60" w:rsidRPr="001D6D10" w:rsidRDefault="00934E60" w:rsidP="00F35CFE">
            <w:pPr>
              <w:rPr>
                <w:rFonts w:ascii="HG丸ｺﾞｼｯｸM-PRO" w:eastAsia="HG丸ｺﾞｼｯｸM-PRO" w:hAnsi="HG丸ｺﾞｼｯｸM-PRO"/>
                <w:szCs w:val="21"/>
              </w:rPr>
            </w:pPr>
          </w:p>
          <w:p w14:paraId="7F86B983" w14:textId="77777777" w:rsidR="00934E60" w:rsidRPr="001D6D10" w:rsidRDefault="00934E60" w:rsidP="00F35CFE">
            <w:pPr>
              <w:rPr>
                <w:rFonts w:ascii="HG丸ｺﾞｼｯｸM-PRO" w:eastAsia="HG丸ｺﾞｼｯｸM-PRO" w:hAnsi="HG丸ｺﾞｼｯｸM-PRO"/>
                <w:szCs w:val="21"/>
              </w:rPr>
            </w:pPr>
          </w:p>
          <w:p w14:paraId="6E87E40D" w14:textId="77777777" w:rsidR="00934E60" w:rsidRPr="001D6D10" w:rsidRDefault="00934E60" w:rsidP="00F35CFE">
            <w:pPr>
              <w:rPr>
                <w:rFonts w:ascii="HG丸ｺﾞｼｯｸM-PRO" w:eastAsia="HG丸ｺﾞｼｯｸM-PRO" w:hAnsi="HG丸ｺﾞｼｯｸM-PRO"/>
                <w:szCs w:val="21"/>
              </w:rPr>
            </w:pPr>
          </w:p>
          <w:p w14:paraId="6E44C486" w14:textId="77777777" w:rsidR="00934E60" w:rsidRPr="001D6D10" w:rsidRDefault="00934E60" w:rsidP="00F35CFE">
            <w:pPr>
              <w:rPr>
                <w:rFonts w:ascii="HG丸ｺﾞｼｯｸM-PRO" w:eastAsia="HG丸ｺﾞｼｯｸM-PRO" w:hAnsi="HG丸ｺﾞｼｯｸM-PRO"/>
                <w:szCs w:val="21"/>
              </w:rPr>
            </w:pPr>
          </w:p>
          <w:p w14:paraId="5F3447FB" w14:textId="77777777" w:rsidR="0001205E" w:rsidRPr="001D6D10" w:rsidRDefault="0001205E" w:rsidP="00F35CFE">
            <w:pPr>
              <w:rPr>
                <w:rFonts w:ascii="HG丸ｺﾞｼｯｸM-PRO" w:eastAsia="HG丸ｺﾞｼｯｸM-PRO" w:hAnsi="HG丸ｺﾞｼｯｸM-PRO"/>
                <w:szCs w:val="21"/>
              </w:rPr>
            </w:pPr>
            <w:r w:rsidRPr="001D6D10">
              <w:rPr>
                <w:rFonts w:ascii="HG丸ｺﾞｼｯｸM-PRO" w:eastAsia="HG丸ｺﾞｼｯｸM-PRO" w:hAnsi="HG丸ｺﾞｼｯｸM-PRO" w:hint="eastAsia"/>
                <w:szCs w:val="21"/>
              </w:rPr>
              <w:t>48ｈ前～</w:t>
            </w:r>
          </w:p>
          <w:p w14:paraId="73BA5966" w14:textId="77777777" w:rsidR="0001205E" w:rsidRPr="001D6D10" w:rsidRDefault="0001205E" w:rsidP="00F35CFE">
            <w:pPr>
              <w:rPr>
                <w:rFonts w:ascii="HG丸ｺﾞｼｯｸM-PRO" w:eastAsia="HG丸ｺﾞｼｯｸM-PRO" w:hAnsi="HG丸ｺﾞｼｯｸM-PRO"/>
                <w:szCs w:val="21"/>
              </w:rPr>
            </w:pPr>
            <w:r w:rsidRPr="001D6D10">
              <w:rPr>
                <w:rFonts w:ascii="HG丸ｺﾞｼｯｸM-PRO" w:eastAsia="HG丸ｺﾞｼｯｸM-PRO" w:hAnsi="HG丸ｺﾞｼｯｸM-PRO" w:hint="eastAsia"/>
                <w:szCs w:val="21"/>
              </w:rPr>
              <w:t xml:space="preserve">　　24ｈ前</w:t>
            </w:r>
          </w:p>
          <w:p w14:paraId="4F048980" w14:textId="77777777" w:rsidR="0001205E" w:rsidRPr="001D6D10" w:rsidRDefault="0001205E" w:rsidP="00F35CFE">
            <w:pPr>
              <w:rPr>
                <w:rFonts w:ascii="HG丸ｺﾞｼｯｸM-PRO" w:eastAsia="HG丸ｺﾞｼｯｸM-PRO" w:hAnsi="HG丸ｺﾞｼｯｸM-PRO"/>
                <w:szCs w:val="21"/>
              </w:rPr>
            </w:pPr>
            <w:r w:rsidRPr="001D6D10">
              <w:rPr>
                <w:rFonts w:ascii="HG丸ｺﾞｼｯｸM-PRO" w:eastAsia="HG丸ｺﾞｼｯｸM-PRO" w:hAnsi="HG丸ｺﾞｼｯｸM-PRO" w:hint="eastAsia"/>
                <w:szCs w:val="21"/>
              </w:rPr>
              <w:t>（２日前）</w:t>
            </w:r>
          </w:p>
        </w:tc>
        <w:tc>
          <w:tcPr>
            <w:tcW w:w="7037" w:type="dxa"/>
          </w:tcPr>
          <w:p w14:paraId="7C1BDF9E" w14:textId="77777777" w:rsidR="0001205E" w:rsidRPr="001D6D10" w:rsidRDefault="0001205E" w:rsidP="00F35CFE">
            <w:pPr>
              <w:rPr>
                <w:rFonts w:ascii="HG丸ｺﾞｼｯｸM-PRO" w:eastAsia="HG丸ｺﾞｼｯｸM-PRO" w:hAnsi="HG丸ｺﾞｼｯｸM-PRO"/>
                <w:sz w:val="18"/>
                <w:szCs w:val="18"/>
              </w:rPr>
            </w:pPr>
            <w:r w:rsidRPr="001D6D10">
              <w:rPr>
                <w:rFonts w:ascii="HG丸ｺﾞｼｯｸM-PRO" w:eastAsia="HG丸ｺﾞｼｯｸM-PRO" w:hAnsi="HG丸ｺﾞｼｯｸM-PRO" w:hint="eastAsia"/>
                <w:szCs w:val="21"/>
              </w:rPr>
              <w:t>庁内連絡会議①：災害モード宣言の内容、第1回災害警戒本部会議の事前調整等</w:t>
            </w:r>
            <w:r w:rsidRPr="001D6D10">
              <w:rPr>
                <w:rFonts w:ascii="HG丸ｺﾞｼｯｸM-PRO" w:eastAsia="HG丸ｺﾞｼｯｸM-PRO" w:hAnsi="HG丸ｺﾞｼｯｸM-PRO" w:hint="eastAsia"/>
                <w:sz w:val="18"/>
                <w:szCs w:val="18"/>
              </w:rPr>
              <w:t>(警戒本部会議議題：管理施設の休館及び学校休校の検討、イベント等の中止検討、職員の配備態勢)</w:t>
            </w:r>
          </w:p>
          <w:p w14:paraId="545EB4B9" w14:textId="77777777" w:rsidR="00742C35" w:rsidRPr="001D6D10" w:rsidRDefault="00742C35" w:rsidP="00742C35">
            <w:pPr>
              <w:rPr>
                <w:rFonts w:ascii="HG丸ｺﾞｼｯｸM-PRO" w:eastAsia="HG丸ｺﾞｼｯｸM-PRO" w:hAnsi="HG丸ｺﾞｼｯｸM-PRO"/>
                <w:szCs w:val="21"/>
              </w:rPr>
            </w:pPr>
            <w:r w:rsidRPr="001D6D10">
              <w:rPr>
                <w:rFonts w:ascii="HG丸ｺﾞｼｯｸM-PRO" w:eastAsia="HG丸ｺﾞｼｯｸM-PRO" w:hAnsi="HG丸ｺﾞｼｯｸM-PRO" w:hint="eastAsia"/>
                <w:szCs w:val="21"/>
              </w:rPr>
              <w:t>□第１回災害警戒本部会議の事前準備</w:t>
            </w:r>
          </w:p>
          <w:p w14:paraId="5047EEA7" w14:textId="77777777" w:rsidR="00742C35" w:rsidRPr="001D6D10" w:rsidRDefault="00742C35" w:rsidP="00742C35">
            <w:pPr>
              <w:rPr>
                <w:rFonts w:ascii="HG丸ｺﾞｼｯｸM-PRO" w:eastAsia="HG丸ｺﾞｼｯｸM-PRO" w:hAnsi="HG丸ｺﾞｼｯｸM-PRO"/>
                <w:szCs w:val="21"/>
              </w:rPr>
            </w:pPr>
            <w:r w:rsidRPr="001D6D10">
              <w:rPr>
                <w:rFonts w:ascii="HG丸ｺﾞｼｯｸM-PRO" w:eastAsia="HG丸ｺﾞｼｯｸM-PRO" w:hAnsi="HG丸ｺﾞｼｯｸM-PRO" w:hint="eastAsia"/>
                <w:szCs w:val="21"/>
              </w:rPr>
              <w:t xml:space="preserve">　・部局内の対応状況の確認、会議での報告のとりまとめ</w:t>
            </w:r>
          </w:p>
          <w:p w14:paraId="729B6783" w14:textId="77777777" w:rsidR="007D0602" w:rsidRPr="001D6D10" w:rsidRDefault="00742C35" w:rsidP="007D0602">
            <w:pPr>
              <w:rPr>
                <w:rFonts w:ascii="HG丸ｺﾞｼｯｸM-PRO" w:eastAsia="HG丸ｺﾞｼｯｸM-PRO" w:hAnsi="HG丸ｺﾞｼｯｸM-PRO"/>
                <w:szCs w:val="21"/>
              </w:rPr>
            </w:pPr>
            <w:r w:rsidRPr="001D6D10">
              <w:rPr>
                <w:rFonts w:ascii="HG丸ｺﾞｼｯｸM-PRO" w:eastAsia="HG丸ｺﾞｼｯｸM-PRO" w:hAnsi="HG丸ｺﾞｼｯｸM-PRO" w:hint="eastAsia"/>
                <w:szCs w:val="21"/>
              </w:rPr>
              <w:t xml:space="preserve">　・</w:t>
            </w:r>
            <w:r w:rsidR="00A4645F" w:rsidRPr="001D6D10">
              <w:rPr>
                <w:rFonts w:ascii="HG丸ｺﾞｼｯｸM-PRO" w:eastAsia="HG丸ｺﾞｼｯｸM-PRO" w:hAnsi="HG丸ｺﾞｼｯｸM-PRO" w:hint="eastAsia"/>
                <w:szCs w:val="21"/>
              </w:rPr>
              <w:t>庁舎</w:t>
            </w:r>
            <w:r w:rsidRPr="001D6D10">
              <w:rPr>
                <w:rFonts w:ascii="HG丸ｺﾞｼｯｸM-PRO" w:eastAsia="HG丸ｺﾞｼｯｸM-PRO" w:hAnsi="HG丸ｺﾞｼｯｸM-PRO" w:hint="eastAsia"/>
                <w:szCs w:val="21"/>
              </w:rPr>
              <w:t>の安全確認</w:t>
            </w:r>
          </w:p>
          <w:p w14:paraId="4EDF0D8A" w14:textId="77777777" w:rsidR="00BD7DE5" w:rsidRPr="001D6D10" w:rsidRDefault="00BD7DE5" w:rsidP="007D0602">
            <w:pPr>
              <w:rPr>
                <w:rFonts w:ascii="HG丸ｺﾞｼｯｸM-PRO" w:eastAsia="HG丸ｺﾞｼｯｸM-PRO" w:hAnsi="HG丸ｺﾞｼｯｸM-PRO"/>
                <w:szCs w:val="21"/>
                <w:u w:val="single"/>
              </w:rPr>
            </w:pPr>
            <w:r w:rsidRPr="001D6D10">
              <w:rPr>
                <w:rFonts w:ascii="HG丸ｺﾞｼｯｸM-PRO" w:eastAsia="HG丸ｺﾞｼｯｸM-PRO" w:hAnsi="HG丸ｺﾞｼｯｸM-PRO" w:hint="eastAsia"/>
                <w:szCs w:val="21"/>
                <w:bdr w:val="single" w:sz="4" w:space="0" w:color="auto"/>
              </w:rPr>
              <w:t>台風説明会</w:t>
            </w:r>
          </w:p>
        </w:tc>
      </w:tr>
      <w:tr w:rsidR="001D6D10" w:rsidRPr="001D6D10" w14:paraId="0F082753" w14:textId="77777777" w:rsidTr="00F35CFE">
        <w:trPr>
          <w:jc w:val="center"/>
        </w:trPr>
        <w:tc>
          <w:tcPr>
            <w:tcW w:w="1457" w:type="dxa"/>
            <w:vMerge/>
          </w:tcPr>
          <w:p w14:paraId="409F7A0A" w14:textId="77777777" w:rsidR="0001205E" w:rsidRPr="001D6D10" w:rsidRDefault="0001205E" w:rsidP="00F35CFE">
            <w:pPr>
              <w:rPr>
                <w:rFonts w:ascii="HG丸ｺﾞｼｯｸM-PRO" w:eastAsia="HG丸ｺﾞｼｯｸM-PRO" w:hAnsi="HG丸ｺﾞｼｯｸM-PRO"/>
                <w:szCs w:val="21"/>
              </w:rPr>
            </w:pPr>
          </w:p>
        </w:tc>
        <w:tc>
          <w:tcPr>
            <w:tcW w:w="7037" w:type="dxa"/>
          </w:tcPr>
          <w:p w14:paraId="41199F7C" w14:textId="77777777" w:rsidR="0001205E" w:rsidRPr="001D6D10" w:rsidRDefault="0001205E" w:rsidP="00F35CFE">
            <w:pPr>
              <w:rPr>
                <w:rFonts w:ascii="HG丸ｺﾞｼｯｸM-PRO" w:eastAsia="HG丸ｺﾞｼｯｸM-PRO" w:hAnsi="HG丸ｺﾞｼｯｸM-PRO"/>
                <w:szCs w:val="21"/>
                <w:highlight w:val="yellow"/>
              </w:rPr>
            </w:pPr>
            <w:r w:rsidRPr="001D6D10">
              <w:rPr>
                <w:rFonts w:ascii="HG丸ｺﾞｼｯｸM-PRO" w:eastAsia="HG丸ｺﾞｼｯｸM-PRO" w:hAnsi="HG丸ｺﾞｼｯｸM-PRO" w:hint="eastAsia"/>
                <w:b/>
                <w:szCs w:val="21"/>
                <w:highlight w:val="yellow"/>
              </w:rPr>
              <w:t>第1回災害警戒本部会議</w:t>
            </w:r>
            <w:r w:rsidRPr="001D6D10">
              <w:rPr>
                <w:rFonts w:ascii="HG丸ｺﾞｼｯｸM-PRO" w:eastAsia="HG丸ｺﾞｼｯｸM-PRO" w:hAnsi="HG丸ｺﾞｼｯｸM-PRO" w:hint="eastAsia"/>
                <w:szCs w:val="21"/>
                <w:highlight w:val="yellow"/>
              </w:rPr>
              <w:t>（災害モード宣言の内容検討）</w:t>
            </w:r>
            <w:r w:rsidR="00CB0ABF" w:rsidRPr="001D6D10">
              <w:rPr>
                <w:rFonts w:ascii="HG丸ｺﾞｼｯｸM-PRO" w:eastAsia="HG丸ｺﾞｼｯｸM-PRO" w:hAnsi="HG丸ｺﾞｼｯｸM-PRO" w:hint="eastAsia"/>
                <w:szCs w:val="21"/>
                <w:highlight w:val="yellow"/>
              </w:rPr>
              <w:t>（Ｐ47</w:t>
            </w:r>
            <w:r w:rsidR="0010145B" w:rsidRPr="001D6D10">
              <w:rPr>
                <w:rFonts w:ascii="HG丸ｺﾞｼｯｸM-PRO" w:eastAsia="HG丸ｺﾞｼｯｸM-PRO" w:hAnsi="HG丸ｺﾞｼｯｸM-PRO" w:hint="eastAsia"/>
                <w:szCs w:val="21"/>
                <w:highlight w:val="yellow"/>
              </w:rPr>
              <w:t>参照）</w:t>
            </w:r>
          </w:p>
        </w:tc>
      </w:tr>
      <w:tr w:rsidR="001D6D10" w:rsidRPr="001D6D10" w14:paraId="50AF4160" w14:textId="77777777" w:rsidTr="00F35CFE">
        <w:trPr>
          <w:jc w:val="center"/>
        </w:trPr>
        <w:tc>
          <w:tcPr>
            <w:tcW w:w="1457" w:type="dxa"/>
            <w:vMerge/>
          </w:tcPr>
          <w:p w14:paraId="46D9555F" w14:textId="77777777" w:rsidR="0001205E" w:rsidRPr="001D6D10" w:rsidRDefault="0001205E" w:rsidP="00F35CFE">
            <w:pPr>
              <w:rPr>
                <w:rFonts w:ascii="HG丸ｺﾞｼｯｸM-PRO" w:eastAsia="HG丸ｺﾞｼｯｸM-PRO" w:hAnsi="HG丸ｺﾞｼｯｸM-PRO"/>
                <w:szCs w:val="21"/>
              </w:rPr>
            </w:pPr>
          </w:p>
        </w:tc>
        <w:tc>
          <w:tcPr>
            <w:tcW w:w="7037" w:type="dxa"/>
          </w:tcPr>
          <w:p w14:paraId="1AACFC86" w14:textId="77777777" w:rsidR="005A0125" w:rsidRPr="001D6D10" w:rsidRDefault="005A0125" w:rsidP="005A0125">
            <w:pPr>
              <w:rPr>
                <w:rFonts w:ascii="HG丸ｺﾞｼｯｸM-PRO" w:eastAsia="HG丸ｺﾞｼｯｸM-PRO" w:hAnsi="HG丸ｺﾞｼｯｸM-PRO"/>
                <w:szCs w:val="21"/>
              </w:rPr>
            </w:pPr>
            <w:r w:rsidRPr="001D6D10">
              <w:rPr>
                <w:rFonts w:ascii="HG丸ｺﾞｼｯｸM-PRO" w:eastAsia="HG丸ｺﾞｼｯｸM-PRO" w:hAnsi="HG丸ｺﾞｼｯｸM-PRO" w:hint="eastAsia"/>
                <w:szCs w:val="21"/>
              </w:rPr>
              <w:t>□危機管理室からの情報を関係者で共有</w:t>
            </w:r>
          </w:p>
          <w:p w14:paraId="79606071" w14:textId="77777777" w:rsidR="005A0125" w:rsidRPr="001D6D10" w:rsidRDefault="005A0125" w:rsidP="005A0125">
            <w:pPr>
              <w:rPr>
                <w:rFonts w:ascii="HG丸ｺﾞｼｯｸM-PRO" w:eastAsia="HG丸ｺﾞｼｯｸM-PRO" w:hAnsi="HG丸ｺﾞｼｯｸM-PRO"/>
                <w:szCs w:val="21"/>
              </w:rPr>
            </w:pPr>
            <w:r w:rsidRPr="001D6D10">
              <w:rPr>
                <w:rFonts w:ascii="HG丸ｺﾞｼｯｸM-PRO" w:eastAsia="HG丸ｺﾞｼｯｸM-PRO" w:hAnsi="HG丸ｺﾞｼｯｸM-PRO" w:hint="eastAsia"/>
                <w:szCs w:val="21"/>
              </w:rPr>
              <w:t xml:space="preserve">□公共交通機関計画運休の確認　</w:t>
            </w:r>
          </w:p>
          <w:p w14:paraId="0160BEFF" w14:textId="77777777" w:rsidR="00376F1D" w:rsidRPr="001D6D10" w:rsidRDefault="00376F1D" w:rsidP="005A0125">
            <w:pPr>
              <w:rPr>
                <w:rFonts w:ascii="HG丸ｺﾞｼｯｸM-PRO" w:eastAsia="HG丸ｺﾞｼｯｸM-PRO" w:hAnsi="HG丸ｺﾞｼｯｸM-PRO"/>
                <w:szCs w:val="21"/>
              </w:rPr>
            </w:pPr>
            <w:r w:rsidRPr="001D6D10">
              <w:rPr>
                <w:rFonts w:ascii="HG丸ｺﾞｼｯｸM-PRO" w:eastAsia="HG丸ｺﾞｼｯｸM-PRO" w:hAnsi="HG丸ｺﾞｼｯｸM-PRO" w:hint="eastAsia"/>
                <w:szCs w:val="21"/>
              </w:rPr>
              <w:t>□職員体制の確認・確保</w:t>
            </w:r>
          </w:p>
          <w:p w14:paraId="778BFE7F" w14:textId="77777777" w:rsidR="0001205E" w:rsidRPr="001D6D10" w:rsidRDefault="00900703" w:rsidP="00F35CFE">
            <w:pPr>
              <w:rPr>
                <w:rFonts w:ascii="HG丸ｺﾞｼｯｸM-PRO" w:eastAsia="HG丸ｺﾞｼｯｸM-PRO" w:hAnsi="HG丸ｺﾞｼｯｸM-PRO"/>
                <w:szCs w:val="21"/>
              </w:rPr>
            </w:pPr>
            <w:r w:rsidRPr="001D6D10">
              <w:rPr>
                <w:rFonts w:ascii="HG丸ｺﾞｼｯｸM-PRO" w:eastAsia="HG丸ｺﾞｼｯｸM-PRO" w:hAnsi="HG丸ｺﾞｼｯｸM-PRO" w:hint="eastAsia"/>
                <w:szCs w:val="21"/>
              </w:rPr>
              <w:t>□部局内への気象情報提供・注意喚起</w:t>
            </w:r>
          </w:p>
        </w:tc>
      </w:tr>
      <w:tr w:rsidR="001D6D10" w:rsidRPr="001D6D10" w14:paraId="297AA069" w14:textId="77777777" w:rsidTr="00F35CFE">
        <w:trPr>
          <w:jc w:val="center"/>
        </w:trPr>
        <w:tc>
          <w:tcPr>
            <w:tcW w:w="1457" w:type="dxa"/>
            <w:vMerge w:val="restart"/>
          </w:tcPr>
          <w:p w14:paraId="6E6BF330" w14:textId="77777777" w:rsidR="00934E60" w:rsidRPr="001D6D10" w:rsidRDefault="00934E60" w:rsidP="00F35CFE">
            <w:pPr>
              <w:rPr>
                <w:rFonts w:ascii="HG丸ｺﾞｼｯｸM-PRO" w:eastAsia="HG丸ｺﾞｼｯｸM-PRO" w:hAnsi="HG丸ｺﾞｼｯｸM-PRO"/>
                <w:szCs w:val="21"/>
              </w:rPr>
            </w:pPr>
          </w:p>
          <w:p w14:paraId="3E5D672F" w14:textId="77777777" w:rsidR="0001205E" w:rsidRPr="001D6D10" w:rsidRDefault="0001205E" w:rsidP="00F35CFE">
            <w:pPr>
              <w:rPr>
                <w:rFonts w:ascii="HG丸ｺﾞｼｯｸM-PRO" w:eastAsia="HG丸ｺﾞｼｯｸM-PRO" w:hAnsi="HG丸ｺﾞｼｯｸM-PRO"/>
                <w:szCs w:val="21"/>
              </w:rPr>
            </w:pPr>
            <w:r w:rsidRPr="001D6D10">
              <w:rPr>
                <w:rFonts w:ascii="HG丸ｺﾞｼｯｸM-PRO" w:eastAsia="HG丸ｺﾞｼｯｸM-PRO" w:hAnsi="HG丸ｺﾞｼｯｸM-PRO" w:hint="eastAsia"/>
                <w:szCs w:val="21"/>
              </w:rPr>
              <w:t>24ｈ前～</w:t>
            </w:r>
          </w:p>
          <w:p w14:paraId="204C3B89" w14:textId="77777777" w:rsidR="0001205E" w:rsidRPr="001D6D10" w:rsidRDefault="0001205E" w:rsidP="00F35CFE">
            <w:pPr>
              <w:rPr>
                <w:rFonts w:ascii="HG丸ｺﾞｼｯｸM-PRO" w:eastAsia="HG丸ｺﾞｼｯｸM-PRO" w:hAnsi="HG丸ｺﾞｼｯｸM-PRO"/>
                <w:szCs w:val="21"/>
              </w:rPr>
            </w:pPr>
            <w:r w:rsidRPr="001D6D10">
              <w:rPr>
                <w:rFonts w:ascii="HG丸ｺﾞｼｯｸM-PRO" w:eastAsia="HG丸ｺﾞｼｯｸM-PRO" w:hAnsi="HG丸ｺﾞｼｯｸM-PRO" w:hint="eastAsia"/>
                <w:szCs w:val="21"/>
              </w:rPr>
              <w:t xml:space="preserve">　　最接近</w:t>
            </w:r>
          </w:p>
          <w:p w14:paraId="2794B8DC" w14:textId="77777777" w:rsidR="0001205E" w:rsidRPr="001D6D10" w:rsidRDefault="0001205E" w:rsidP="00F35CFE">
            <w:pPr>
              <w:rPr>
                <w:rFonts w:ascii="HG丸ｺﾞｼｯｸM-PRO" w:eastAsia="HG丸ｺﾞｼｯｸM-PRO" w:hAnsi="HG丸ｺﾞｼｯｸM-PRO"/>
                <w:szCs w:val="21"/>
              </w:rPr>
            </w:pPr>
            <w:r w:rsidRPr="001D6D10">
              <w:rPr>
                <w:rFonts w:ascii="HG丸ｺﾞｼｯｸM-PRO" w:eastAsia="HG丸ｺﾞｼｯｸM-PRO" w:hAnsi="HG丸ｺﾞｼｯｸM-PRO" w:hint="eastAsia"/>
                <w:szCs w:val="21"/>
              </w:rPr>
              <w:t>（１日前）</w:t>
            </w:r>
          </w:p>
        </w:tc>
        <w:tc>
          <w:tcPr>
            <w:tcW w:w="7037" w:type="dxa"/>
          </w:tcPr>
          <w:p w14:paraId="0F848B58" w14:textId="77777777" w:rsidR="0001205E" w:rsidRPr="001D6D10" w:rsidRDefault="0001205E" w:rsidP="00F35CFE">
            <w:pPr>
              <w:rPr>
                <w:rFonts w:ascii="HG丸ｺﾞｼｯｸM-PRO" w:eastAsia="HG丸ｺﾞｼｯｸM-PRO" w:hAnsi="HG丸ｺﾞｼｯｸM-PRO"/>
                <w:szCs w:val="21"/>
              </w:rPr>
            </w:pPr>
            <w:r w:rsidRPr="001D6D10">
              <w:rPr>
                <w:rFonts w:ascii="HG丸ｺﾞｼｯｸM-PRO" w:eastAsia="HG丸ｺﾞｼｯｸM-PRO" w:hAnsi="HG丸ｺﾞｼｯｸM-PRO" w:hint="eastAsia"/>
                <w:szCs w:val="21"/>
              </w:rPr>
              <w:t>庁内連絡会議②：第2回災害警戒本部会議の事前調整等</w:t>
            </w:r>
          </w:p>
          <w:p w14:paraId="6AE26404" w14:textId="77777777" w:rsidR="00742C35" w:rsidRPr="001D6D10" w:rsidRDefault="00742C35" w:rsidP="00742C35">
            <w:pPr>
              <w:rPr>
                <w:rFonts w:ascii="HG丸ｺﾞｼｯｸM-PRO" w:eastAsia="HG丸ｺﾞｼｯｸM-PRO" w:hAnsi="HG丸ｺﾞｼｯｸM-PRO"/>
                <w:szCs w:val="21"/>
              </w:rPr>
            </w:pPr>
            <w:r w:rsidRPr="001D6D10">
              <w:rPr>
                <w:rFonts w:ascii="HG丸ｺﾞｼｯｸM-PRO" w:eastAsia="HG丸ｺﾞｼｯｸM-PRO" w:hAnsi="HG丸ｺﾞｼｯｸM-PRO" w:hint="eastAsia"/>
                <w:szCs w:val="21"/>
              </w:rPr>
              <w:t>□第２回災害警戒本部会議の事前準備</w:t>
            </w:r>
          </w:p>
          <w:p w14:paraId="0A23DE60" w14:textId="77777777" w:rsidR="00742C35" w:rsidRPr="001D6D10" w:rsidRDefault="00742C35" w:rsidP="00742C35">
            <w:pPr>
              <w:rPr>
                <w:rFonts w:ascii="HG丸ｺﾞｼｯｸM-PRO" w:eastAsia="HG丸ｺﾞｼｯｸM-PRO" w:hAnsi="HG丸ｺﾞｼｯｸM-PRO"/>
                <w:szCs w:val="21"/>
              </w:rPr>
            </w:pPr>
            <w:r w:rsidRPr="001D6D10">
              <w:rPr>
                <w:rFonts w:ascii="HG丸ｺﾞｼｯｸM-PRO" w:eastAsia="HG丸ｺﾞｼｯｸM-PRO" w:hAnsi="HG丸ｺﾞｼｯｸM-PRO" w:hint="eastAsia"/>
                <w:szCs w:val="21"/>
              </w:rPr>
              <w:t xml:space="preserve">　・部局内の対応状況の確認、会議での報告のとりまとめ</w:t>
            </w:r>
          </w:p>
          <w:p w14:paraId="1D16B22A" w14:textId="77777777" w:rsidR="007D0602" w:rsidRPr="001D6D10" w:rsidRDefault="00742C35" w:rsidP="007D0602">
            <w:pPr>
              <w:rPr>
                <w:rFonts w:ascii="HG丸ｺﾞｼｯｸM-PRO" w:eastAsia="HG丸ｺﾞｼｯｸM-PRO" w:hAnsi="HG丸ｺﾞｼｯｸM-PRO"/>
                <w:szCs w:val="21"/>
              </w:rPr>
            </w:pPr>
            <w:r w:rsidRPr="001D6D10">
              <w:rPr>
                <w:rFonts w:ascii="HG丸ｺﾞｼｯｸM-PRO" w:eastAsia="HG丸ｺﾞｼｯｸM-PRO" w:hAnsi="HG丸ｺﾞｼｯｸM-PRO" w:hint="eastAsia"/>
                <w:szCs w:val="21"/>
              </w:rPr>
              <w:t xml:space="preserve">　・</w:t>
            </w:r>
            <w:r w:rsidR="00A4645F" w:rsidRPr="001D6D10">
              <w:rPr>
                <w:rFonts w:ascii="HG丸ｺﾞｼｯｸM-PRO" w:eastAsia="HG丸ｺﾞｼｯｸM-PRO" w:hAnsi="HG丸ｺﾞｼｯｸM-PRO" w:hint="eastAsia"/>
                <w:szCs w:val="21"/>
              </w:rPr>
              <w:t>庁舎</w:t>
            </w:r>
            <w:r w:rsidRPr="001D6D10">
              <w:rPr>
                <w:rFonts w:ascii="HG丸ｺﾞｼｯｸM-PRO" w:eastAsia="HG丸ｺﾞｼｯｸM-PRO" w:hAnsi="HG丸ｺﾞｼｯｸM-PRO" w:hint="eastAsia"/>
                <w:szCs w:val="21"/>
              </w:rPr>
              <w:t>の安全点検</w:t>
            </w:r>
          </w:p>
          <w:p w14:paraId="0ABDABF6" w14:textId="77777777" w:rsidR="00BD7DE5" w:rsidRPr="001D6D10" w:rsidRDefault="00BD7DE5" w:rsidP="007D0602">
            <w:pPr>
              <w:rPr>
                <w:rFonts w:ascii="HG丸ｺﾞｼｯｸM-PRO" w:eastAsia="HG丸ｺﾞｼｯｸM-PRO" w:hAnsi="HG丸ｺﾞｼｯｸM-PRO"/>
                <w:szCs w:val="21"/>
                <w:u w:val="single"/>
              </w:rPr>
            </w:pPr>
            <w:r w:rsidRPr="001D6D10">
              <w:rPr>
                <w:rFonts w:ascii="HG丸ｺﾞｼｯｸM-PRO" w:eastAsia="HG丸ｺﾞｼｯｸM-PRO" w:hAnsi="HG丸ｺﾞｼｯｸM-PRO" w:hint="eastAsia"/>
                <w:szCs w:val="21"/>
                <w:bdr w:val="single" w:sz="4" w:space="0" w:color="auto"/>
              </w:rPr>
              <w:t>台風説明会</w:t>
            </w:r>
          </w:p>
        </w:tc>
      </w:tr>
      <w:tr w:rsidR="001D6D10" w:rsidRPr="001D6D10" w14:paraId="6692E10C" w14:textId="77777777" w:rsidTr="00F35CFE">
        <w:trPr>
          <w:jc w:val="center"/>
        </w:trPr>
        <w:tc>
          <w:tcPr>
            <w:tcW w:w="1457" w:type="dxa"/>
            <w:vMerge/>
          </w:tcPr>
          <w:p w14:paraId="60689DC8" w14:textId="77777777" w:rsidR="0001205E" w:rsidRPr="001D6D10" w:rsidRDefault="0001205E" w:rsidP="00F35CFE">
            <w:pPr>
              <w:rPr>
                <w:rFonts w:ascii="HG丸ｺﾞｼｯｸM-PRO" w:eastAsia="HG丸ｺﾞｼｯｸM-PRO" w:hAnsi="HG丸ｺﾞｼｯｸM-PRO"/>
                <w:szCs w:val="21"/>
              </w:rPr>
            </w:pPr>
          </w:p>
        </w:tc>
        <w:tc>
          <w:tcPr>
            <w:tcW w:w="7037" w:type="dxa"/>
          </w:tcPr>
          <w:p w14:paraId="2879DFFE" w14:textId="77777777" w:rsidR="0001205E" w:rsidRPr="001D6D10" w:rsidRDefault="0001205E" w:rsidP="00F35CFE">
            <w:pPr>
              <w:rPr>
                <w:rFonts w:ascii="HG丸ｺﾞｼｯｸM-PRO" w:eastAsia="HG丸ｺﾞｼｯｸM-PRO" w:hAnsi="HG丸ｺﾞｼｯｸM-PRO"/>
                <w:szCs w:val="21"/>
                <w:highlight w:val="yellow"/>
              </w:rPr>
            </w:pPr>
            <w:r w:rsidRPr="001D6D10">
              <w:rPr>
                <w:rFonts w:ascii="HG丸ｺﾞｼｯｸM-PRO" w:eastAsia="HG丸ｺﾞｼｯｸM-PRO" w:hAnsi="HG丸ｺﾞｼｯｸM-PRO" w:hint="eastAsia"/>
                <w:b/>
                <w:szCs w:val="21"/>
                <w:highlight w:val="yellow"/>
              </w:rPr>
              <w:t>第２回災害警戒本部会議</w:t>
            </w:r>
            <w:r w:rsidRPr="001D6D10">
              <w:rPr>
                <w:rFonts w:ascii="HG丸ｺﾞｼｯｸM-PRO" w:eastAsia="HG丸ｺﾞｼｯｸM-PRO" w:hAnsi="HG丸ｺﾞｼｯｸM-PRO" w:hint="eastAsia"/>
                <w:szCs w:val="21"/>
                <w:highlight w:val="yellow"/>
              </w:rPr>
              <w:t>（災害モード宣言の発信）</w:t>
            </w:r>
            <w:r w:rsidR="00CB0ABF" w:rsidRPr="001D6D10">
              <w:rPr>
                <w:rFonts w:ascii="HG丸ｺﾞｼｯｸM-PRO" w:eastAsia="HG丸ｺﾞｼｯｸM-PRO" w:hAnsi="HG丸ｺﾞｼｯｸM-PRO" w:hint="eastAsia"/>
                <w:szCs w:val="21"/>
                <w:highlight w:val="yellow"/>
              </w:rPr>
              <w:t>（Ｐ47</w:t>
            </w:r>
            <w:r w:rsidR="0010145B" w:rsidRPr="001D6D10">
              <w:rPr>
                <w:rFonts w:ascii="HG丸ｺﾞｼｯｸM-PRO" w:eastAsia="HG丸ｺﾞｼｯｸM-PRO" w:hAnsi="HG丸ｺﾞｼｯｸM-PRO" w:hint="eastAsia"/>
                <w:szCs w:val="21"/>
                <w:highlight w:val="yellow"/>
              </w:rPr>
              <w:t>参照）</w:t>
            </w:r>
          </w:p>
        </w:tc>
      </w:tr>
      <w:tr w:rsidR="001D6D10" w:rsidRPr="001D6D10" w14:paraId="58331485" w14:textId="77777777" w:rsidTr="00F35CFE">
        <w:trPr>
          <w:jc w:val="center"/>
        </w:trPr>
        <w:tc>
          <w:tcPr>
            <w:tcW w:w="1457" w:type="dxa"/>
            <w:vMerge/>
          </w:tcPr>
          <w:p w14:paraId="2BD07808" w14:textId="77777777" w:rsidR="0001205E" w:rsidRPr="001D6D10" w:rsidRDefault="0001205E" w:rsidP="00F35CFE">
            <w:pPr>
              <w:rPr>
                <w:rFonts w:ascii="HG丸ｺﾞｼｯｸM-PRO" w:eastAsia="HG丸ｺﾞｼｯｸM-PRO" w:hAnsi="HG丸ｺﾞｼｯｸM-PRO"/>
                <w:szCs w:val="21"/>
              </w:rPr>
            </w:pPr>
          </w:p>
        </w:tc>
        <w:tc>
          <w:tcPr>
            <w:tcW w:w="7037" w:type="dxa"/>
          </w:tcPr>
          <w:p w14:paraId="7799893E" w14:textId="77777777" w:rsidR="0001205E" w:rsidRPr="001D6D10" w:rsidRDefault="00900703" w:rsidP="00F35CFE">
            <w:pPr>
              <w:rPr>
                <w:rFonts w:ascii="HG丸ｺﾞｼｯｸM-PRO" w:eastAsia="HG丸ｺﾞｼｯｸM-PRO" w:hAnsi="HG丸ｺﾞｼｯｸM-PRO"/>
                <w:szCs w:val="21"/>
              </w:rPr>
            </w:pPr>
            <w:r w:rsidRPr="001D6D10">
              <w:rPr>
                <w:rFonts w:ascii="HG丸ｺﾞｼｯｸM-PRO" w:eastAsia="HG丸ｺﾞｼｯｸM-PRO" w:hAnsi="HG丸ｺﾞｼｯｸM-PRO" w:hint="eastAsia"/>
                <w:szCs w:val="21"/>
              </w:rPr>
              <w:t>□危機管理室からの情報を関係者で共有</w:t>
            </w:r>
          </w:p>
        </w:tc>
      </w:tr>
    </w:tbl>
    <w:p w14:paraId="3AA71C0A" w14:textId="77777777" w:rsidR="00A478B8" w:rsidRPr="001D6D10" w:rsidRDefault="00A478B8" w:rsidP="00EB20A0">
      <w:pPr>
        <w:rPr>
          <w:rFonts w:ascii="ＭＳ ゴシック" w:eastAsia="ＭＳ ゴシック" w:hAnsi="ＭＳ ゴシック"/>
          <w:sz w:val="22"/>
          <w:szCs w:val="22"/>
          <w:u w:val="double"/>
        </w:rPr>
      </w:pPr>
    </w:p>
    <w:p w14:paraId="37EB90C9" w14:textId="77777777" w:rsidR="00967C42" w:rsidRPr="001D6D10" w:rsidRDefault="00967C42" w:rsidP="00967C42">
      <w:pPr>
        <w:rPr>
          <w:rFonts w:ascii="ＭＳ ゴシック" w:eastAsia="ＭＳ ゴシック" w:hAnsi="ＭＳ ゴシック"/>
          <w:sz w:val="18"/>
          <w:szCs w:val="22"/>
        </w:rPr>
      </w:pPr>
      <w:r w:rsidRPr="001D6D10">
        <w:rPr>
          <w:rFonts w:ascii="ＭＳ ゴシック" w:eastAsia="ＭＳ ゴシック" w:hAnsi="ＭＳ ゴシック" w:hint="eastAsia"/>
          <w:sz w:val="18"/>
          <w:szCs w:val="22"/>
        </w:rPr>
        <w:t>※）本タイムラインから状況に応じて必要な項目を選定し、実施するものとする。</w:t>
      </w:r>
    </w:p>
    <w:p w14:paraId="5B5FB862" w14:textId="77777777" w:rsidR="00A4645F" w:rsidRPr="001D6D10" w:rsidRDefault="00A4645F" w:rsidP="00EB20A0">
      <w:pPr>
        <w:rPr>
          <w:rFonts w:ascii="ＭＳ ゴシック" w:eastAsia="ＭＳ ゴシック" w:hAnsi="ＭＳ ゴシック"/>
          <w:sz w:val="22"/>
          <w:szCs w:val="22"/>
          <w:u w:val="double"/>
        </w:rPr>
      </w:pPr>
    </w:p>
    <w:p w14:paraId="172803D7" w14:textId="77777777" w:rsidR="00930C0D" w:rsidRDefault="00930C0D">
      <w:pPr>
        <w:widowControl/>
        <w:jc w:val="left"/>
        <w:rPr>
          <w:rFonts w:ascii="ＭＳ ゴシック" w:eastAsia="ＭＳ ゴシック" w:hAnsi="ＭＳ ゴシック"/>
          <w:sz w:val="22"/>
          <w:szCs w:val="22"/>
        </w:rPr>
      </w:pPr>
      <w:r>
        <w:rPr>
          <w:rFonts w:ascii="ＭＳ ゴシック" w:eastAsia="ＭＳ ゴシック" w:hAnsi="ＭＳ ゴシック"/>
          <w:sz w:val="22"/>
          <w:szCs w:val="22"/>
        </w:rPr>
        <w:br w:type="page"/>
      </w:r>
    </w:p>
    <w:p w14:paraId="023176B9" w14:textId="3E492548" w:rsidR="0001205E" w:rsidRPr="001D6D10" w:rsidRDefault="00B1007D" w:rsidP="0001205E">
      <w:pPr>
        <w:rPr>
          <w:rFonts w:ascii="ＭＳ ゴシック" w:eastAsia="ＭＳ ゴシック" w:hAnsi="ＭＳ ゴシック"/>
          <w:sz w:val="22"/>
          <w:szCs w:val="22"/>
        </w:rPr>
      </w:pPr>
      <w:r w:rsidRPr="001D6D10">
        <w:rPr>
          <w:rFonts w:ascii="ＭＳ ゴシック" w:eastAsia="ＭＳ ゴシック" w:hAnsi="ＭＳ ゴシック" w:hint="eastAsia"/>
          <w:sz w:val="22"/>
          <w:szCs w:val="22"/>
        </w:rPr>
        <w:lastRenderedPageBreak/>
        <w:t>⑳</w:t>
      </w:r>
      <w:r w:rsidR="00AB139E" w:rsidRPr="001D6D10">
        <w:rPr>
          <w:rFonts w:ascii="ＭＳ ゴシック" w:eastAsia="ＭＳ ゴシック" w:hAnsi="ＭＳ ゴシック" w:hint="eastAsia"/>
          <w:sz w:val="22"/>
          <w:szCs w:val="22"/>
        </w:rPr>
        <w:t>労働</w:t>
      </w:r>
      <w:r w:rsidR="0001205E" w:rsidRPr="001D6D10">
        <w:rPr>
          <w:rFonts w:ascii="ＭＳ ゴシック" w:eastAsia="ＭＳ ゴシック" w:hAnsi="ＭＳ ゴシック" w:hint="eastAsia"/>
          <w:sz w:val="22"/>
          <w:szCs w:val="22"/>
        </w:rPr>
        <w:t>委員会事務局</w:t>
      </w:r>
    </w:p>
    <w:tbl>
      <w:tblPr>
        <w:tblpPr w:leftFromText="142" w:rightFromText="142" w:vertAnchor="text" w:tblpXSpec="center" w:tblpY="1"/>
        <w:tblOverlap w:val="neve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57"/>
        <w:gridCol w:w="7037"/>
      </w:tblGrid>
      <w:tr w:rsidR="001D6D10" w:rsidRPr="001D6D10" w14:paraId="3A107B66" w14:textId="77777777" w:rsidTr="00F35CFE">
        <w:trPr>
          <w:jc w:val="center"/>
        </w:trPr>
        <w:tc>
          <w:tcPr>
            <w:tcW w:w="1457" w:type="dxa"/>
            <w:tcBorders>
              <w:bottom w:val="single" w:sz="4" w:space="0" w:color="auto"/>
            </w:tcBorders>
            <w:shd w:val="clear" w:color="auto" w:fill="BFBFBF"/>
          </w:tcPr>
          <w:p w14:paraId="3EA458FF" w14:textId="77777777" w:rsidR="0001205E" w:rsidRPr="001D6D10" w:rsidRDefault="0001205E" w:rsidP="00F35CFE">
            <w:pPr>
              <w:jc w:val="center"/>
              <w:rPr>
                <w:rFonts w:ascii="HG丸ｺﾞｼｯｸM-PRO" w:eastAsia="HG丸ｺﾞｼｯｸM-PRO" w:hAnsi="HG丸ｺﾞｼｯｸM-PRO"/>
                <w:szCs w:val="21"/>
              </w:rPr>
            </w:pPr>
            <w:r w:rsidRPr="001D6D10">
              <w:rPr>
                <w:rFonts w:ascii="HG丸ｺﾞｼｯｸM-PRO" w:eastAsia="HG丸ｺﾞｼｯｸM-PRO" w:hAnsi="HG丸ｺﾞｼｯｸM-PRO" w:hint="eastAsia"/>
                <w:szCs w:val="21"/>
              </w:rPr>
              <w:t>時　期</w:t>
            </w:r>
          </w:p>
        </w:tc>
        <w:tc>
          <w:tcPr>
            <w:tcW w:w="7037" w:type="dxa"/>
            <w:tcBorders>
              <w:bottom w:val="single" w:sz="4" w:space="0" w:color="auto"/>
            </w:tcBorders>
            <w:shd w:val="clear" w:color="auto" w:fill="BFBFBF"/>
          </w:tcPr>
          <w:p w14:paraId="41F6F48C" w14:textId="77777777" w:rsidR="0001205E" w:rsidRPr="001D6D10" w:rsidRDefault="00E31DA1" w:rsidP="00F35CFE">
            <w:pPr>
              <w:jc w:val="center"/>
              <w:rPr>
                <w:rFonts w:ascii="HG丸ｺﾞｼｯｸM-PRO" w:eastAsia="HG丸ｺﾞｼｯｸM-PRO" w:hAnsi="HG丸ｺﾞｼｯｸM-PRO"/>
                <w:szCs w:val="21"/>
              </w:rPr>
            </w:pPr>
            <w:r w:rsidRPr="001D6D10">
              <w:rPr>
                <w:rFonts w:ascii="HG丸ｺﾞｼｯｸM-PRO" w:eastAsia="HG丸ｺﾞｼｯｸM-PRO" w:hAnsi="HG丸ｺﾞｼｯｸM-PRO" w:hint="eastAsia"/>
                <w:szCs w:val="21"/>
              </w:rPr>
              <w:t>主な事前準備</w:t>
            </w:r>
            <w:r w:rsidR="0001205E" w:rsidRPr="001D6D10">
              <w:rPr>
                <w:rFonts w:ascii="HG丸ｺﾞｼｯｸM-PRO" w:eastAsia="HG丸ｺﾞｼｯｸM-PRO" w:hAnsi="HG丸ｺﾞｼｯｸM-PRO" w:hint="eastAsia"/>
                <w:szCs w:val="21"/>
              </w:rPr>
              <w:t>業務</w:t>
            </w:r>
          </w:p>
        </w:tc>
      </w:tr>
      <w:tr w:rsidR="001D6D10" w:rsidRPr="001D6D10" w14:paraId="7C4C82B6" w14:textId="77777777" w:rsidTr="00F35CFE">
        <w:trPr>
          <w:jc w:val="center"/>
        </w:trPr>
        <w:tc>
          <w:tcPr>
            <w:tcW w:w="1457" w:type="dxa"/>
            <w:vMerge w:val="restart"/>
            <w:shd w:val="clear" w:color="auto" w:fill="FFFFFF" w:themeFill="background1"/>
          </w:tcPr>
          <w:p w14:paraId="255AB80C" w14:textId="77777777" w:rsidR="00934E60" w:rsidRPr="001D6D10" w:rsidRDefault="00934E60" w:rsidP="00F35CFE">
            <w:pPr>
              <w:jc w:val="center"/>
              <w:rPr>
                <w:rFonts w:ascii="HG丸ｺﾞｼｯｸM-PRO" w:eastAsia="HG丸ｺﾞｼｯｸM-PRO" w:hAnsi="HG丸ｺﾞｼｯｸM-PRO"/>
                <w:szCs w:val="21"/>
              </w:rPr>
            </w:pPr>
          </w:p>
          <w:p w14:paraId="24535C7C" w14:textId="77777777" w:rsidR="00934E60" w:rsidRPr="001D6D10" w:rsidRDefault="00934E60" w:rsidP="00F35CFE">
            <w:pPr>
              <w:jc w:val="center"/>
              <w:rPr>
                <w:rFonts w:ascii="HG丸ｺﾞｼｯｸM-PRO" w:eastAsia="HG丸ｺﾞｼｯｸM-PRO" w:hAnsi="HG丸ｺﾞｼｯｸM-PRO"/>
                <w:szCs w:val="21"/>
              </w:rPr>
            </w:pPr>
          </w:p>
          <w:p w14:paraId="2D0FB666" w14:textId="77777777" w:rsidR="00934E60" w:rsidRPr="001D6D10" w:rsidRDefault="00934E60" w:rsidP="00F35CFE">
            <w:pPr>
              <w:jc w:val="center"/>
              <w:rPr>
                <w:rFonts w:ascii="HG丸ｺﾞｼｯｸM-PRO" w:eastAsia="HG丸ｺﾞｼｯｸM-PRO" w:hAnsi="HG丸ｺﾞｼｯｸM-PRO"/>
                <w:szCs w:val="21"/>
              </w:rPr>
            </w:pPr>
          </w:p>
          <w:p w14:paraId="4ED5271E" w14:textId="77777777" w:rsidR="00934E60" w:rsidRPr="001D6D10" w:rsidRDefault="00934E60" w:rsidP="00F35CFE">
            <w:pPr>
              <w:jc w:val="center"/>
              <w:rPr>
                <w:rFonts w:ascii="HG丸ｺﾞｼｯｸM-PRO" w:eastAsia="HG丸ｺﾞｼｯｸM-PRO" w:hAnsi="HG丸ｺﾞｼｯｸM-PRO"/>
                <w:szCs w:val="21"/>
              </w:rPr>
            </w:pPr>
          </w:p>
          <w:p w14:paraId="624A8F59" w14:textId="7C1FDAF2" w:rsidR="0001205E" w:rsidRPr="001D6D10" w:rsidRDefault="0001205E" w:rsidP="00F35CFE">
            <w:pPr>
              <w:jc w:val="center"/>
              <w:rPr>
                <w:rFonts w:ascii="HG丸ｺﾞｼｯｸM-PRO" w:eastAsia="HG丸ｺﾞｼｯｸM-PRO" w:hAnsi="HG丸ｺﾞｼｯｸM-PRO"/>
                <w:szCs w:val="21"/>
              </w:rPr>
            </w:pPr>
            <w:r w:rsidRPr="001D6D10">
              <w:rPr>
                <w:rFonts w:ascii="HG丸ｺﾞｼｯｸM-PRO" w:eastAsia="HG丸ｺﾞｼｯｸM-PRO" w:hAnsi="HG丸ｺﾞｼｯｸM-PRO" w:hint="eastAsia"/>
                <w:szCs w:val="21"/>
              </w:rPr>
              <w:t>～48ｈ</w:t>
            </w:r>
            <w:r w:rsidR="0053084D" w:rsidRPr="001D6D10">
              <w:rPr>
                <w:rFonts w:ascii="HG丸ｺﾞｼｯｸM-PRO" w:eastAsia="HG丸ｺﾞｼｯｸM-PRO" w:hAnsi="HG丸ｺﾞｼｯｸM-PRO" w:hint="eastAsia"/>
                <w:szCs w:val="21"/>
              </w:rPr>
              <w:t>前</w:t>
            </w:r>
          </w:p>
          <w:p w14:paraId="616A4749" w14:textId="77777777" w:rsidR="0001205E" w:rsidRPr="001D6D10" w:rsidRDefault="0001205E" w:rsidP="00F35CFE">
            <w:pPr>
              <w:jc w:val="center"/>
              <w:rPr>
                <w:rFonts w:ascii="HG丸ｺﾞｼｯｸM-PRO" w:eastAsia="HG丸ｺﾞｼｯｸM-PRO" w:hAnsi="HG丸ｺﾞｼｯｸM-PRO"/>
                <w:sz w:val="20"/>
                <w:szCs w:val="20"/>
              </w:rPr>
            </w:pPr>
            <w:r w:rsidRPr="001D6D10">
              <w:rPr>
                <w:rFonts w:ascii="HG丸ｺﾞｼｯｸM-PRO" w:eastAsia="HG丸ｺﾞｼｯｸM-PRO" w:hAnsi="HG丸ｺﾞｼｯｸM-PRO" w:hint="eastAsia"/>
                <w:sz w:val="20"/>
                <w:szCs w:val="20"/>
              </w:rPr>
              <w:t>（３日以前）</w:t>
            </w:r>
          </w:p>
        </w:tc>
        <w:tc>
          <w:tcPr>
            <w:tcW w:w="7037" w:type="dxa"/>
            <w:tcBorders>
              <w:bottom w:val="single" w:sz="4" w:space="0" w:color="auto"/>
            </w:tcBorders>
            <w:shd w:val="clear" w:color="auto" w:fill="FFFFFF" w:themeFill="background1"/>
          </w:tcPr>
          <w:p w14:paraId="453DA252" w14:textId="77777777" w:rsidR="00967C42" w:rsidRPr="001D6D10" w:rsidRDefault="00967C42" w:rsidP="00967C42">
            <w:pPr>
              <w:rPr>
                <w:rFonts w:ascii="HG丸ｺﾞｼｯｸM-PRO" w:eastAsia="HG丸ｺﾞｼｯｸM-PRO" w:hAnsi="HG丸ｺﾞｼｯｸM-PRO"/>
                <w:szCs w:val="21"/>
              </w:rPr>
            </w:pPr>
            <w:r w:rsidRPr="001D6D10">
              <w:rPr>
                <w:rFonts w:ascii="HG丸ｺﾞｼｯｸM-PRO" w:eastAsia="HG丸ｺﾞｼｯｸM-PRO" w:hAnsi="HG丸ｺﾞｼｯｸM-PRO" w:hint="eastAsia"/>
                <w:szCs w:val="21"/>
              </w:rPr>
              <w:t>□危機管理室</w:t>
            </w:r>
            <w:r w:rsidRPr="001D6D10">
              <w:rPr>
                <w:rFonts w:ascii="HG丸ｺﾞｼｯｸM-PRO" w:eastAsia="HG丸ｺﾞｼｯｸM-PRO" w:hAnsi="HG丸ｺﾞｼｯｸM-PRO"/>
                <w:szCs w:val="21"/>
              </w:rPr>
              <w:t xml:space="preserve">(商工労働部連絡責任者経由)からの情報を局内で共有　</w:t>
            </w:r>
          </w:p>
          <w:p w14:paraId="688905B8" w14:textId="77777777" w:rsidR="00967C42" w:rsidRPr="001D6D10" w:rsidRDefault="00967C42" w:rsidP="00967C42">
            <w:pPr>
              <w:rPr>
                <w:rFonts w:ascii="HG丸ｺﾞｼｯｸM-PRO" w:eastAsia="HG丸ｺﾞｼｯｸM-PRO" w:hAnsi="HG丸ｺﾞｼｯｸM-PRO"/>
                <w:szCs w:val="21"/>
              </w:rPr>
            </w:pPr>
            <w:r w:rsidRPr="001D6D10">
              <w:rPr>
                <w:rFonts w:ascii="HG丸ｺﾞｼｯｸM-PRO" w:eastAsia="HG丸ｺﾞｼｯｸM-PRO" w:hAnsi="HG丸ｺﾞｼｯｸM-PRO" w:hint="eastAsia"/>
                <w:szCs w:val="21"/>
              </w:rPr>
              <w:t>□連絡体制の確認</w:t>
            </w:r>
          </w:p>
          <w:p w14:paraId="6BAD4D31" w14:textId="77777777" w:rsidR="00967C42" w:rsidRPr="001D6D10" w:rsidRDefault="00967C42" w:rsidP="00967C42">
            <w:pPr>
              <w:rPr>
                <w:rFonts w:ascii="HG丸ｺﾞｼｯｸM-PRO" w:eastAsia="HG丸ｺﾞｼｯｸM-PRO" w:hAnsi="HG丸ｺﾞｼｯｸM-PRO"/>
                <w:szCs w:val="21"/>
              </w:rPr>
            </w:pPr>
            <w:r w:rsidRPr="001D6D10">
              <w:rPr>
                <w:rFonts w:ascii="HG丸ｺﾞｼｯｸM-PRO" w:eastAsia="HG丸ｺﾞｼｯｸM-PRO" w:hAnsi="HG丸ｺﾞｼｯｸM-PRO" w:hint="eastAsia"/>
                <w:szCs w:val="21"/>
              </w:rPr>
              <w:t>□危険個所の確認</w:t>
            </w:r>
          </w:p>
          <w:p w14:paraId="72773979" w14:textId="77777777" w:rsidR="0001205E" w:rsidRPr="001D6D10" w:rsidRDefault="00967C42" w:rsidP="00F35CFE">
            <w:pPr>
              <w:rPr>
                <w:rFonts w:ascii="HG丸ｺﾞｼｯｸM-PRO" w:eastAsia="HG丸ｺﾞｼｯｸM-PRO" w:hAnsi="HG丸ｺﾞｼｯｸM-PRO"/>
                <w:szCs w:val="21"/>
              </w:rPr>
            </w:pPr>
            <w:r w:rsidRPr="001D6D10">
              <w:rPr>
                <w:rFonts w:ascii="HG丸ｺﾞｼｯｸM-PRO" w:eastAsia="HG丸ｺﾞｼｯｸM-PRO" w:hAnsi="HG丸ｺﾞｼｯｸM-PRO" w:hint="eastAsia"/>
                <w:szCs w:val="21"/>
              </w:rPr>
              <w:t>□災害対応に関するマニュアル等の確認</w:t>
            </w:r>
          </w:p>
          <w:p w14:paraId="62E4CDB7" w14:textId="77777777" w:rsidR="00742C35" w:rsidRPr="001D6D10" w:rsidRDefault="00742C35" w:rsidP="00742C35">
            <w:pPr>
              <w:rPr>
                <w:rFonts w:ascii="HG丸ｺﾞｼｯｸM-PRO" w:eastAsia="HG丸ｺﾞｼｯｸM-PRO" w:hAnsi="HG丸ｺﾞｼｯｸM-PRO"/>
                <w:szCs w:val="21"/>
              </w:rPr>
            </w:pPr>
            <w:r w:rsidRPr="001D6D10">
              <w:rPr>
                <w:rFonts w:ascii="HG丸ｺﾞｼｯｸM-PRO" w:eastAsia="HG丸ｺﾞｼｯｸM-PRO" w:hAnsi="HG丸ｺﾞｼｯｸM-PRO" w:hint="eastAsia"/>
                <w:szCs w:val="21"/>
              </w:rPr>
              <w:t>□指令部会議の事前準備</w:t>
            </w:r>
          </w:p>
          <w:p w14:paraId="7EB4E1EF" w14:textId="77777777" w:rsidR="00742C35" w:rsidRPr="001D6D10" w:rsidRDefault="00742C35" w:rsidP="00742C35">
            <w:pPr>
              <w:rPr>
                <w:rFonts w:ascii="HG丸ｺﾞｼｯｸM-PRO" w:eastAsia="HG丸ｺﾞｼｯｸM-PRO" w:hAnsi="HG丸ｺﾞｼｯｸM-PRO"/>
                <w:szCs w:val="21"/>
                <w:u w:val="single"/>
              </w:rPr>
            </w:pPr>
            <w:r w:rsidRPr="001D6D10">
              <w:rPr>
                <w:rFonts w:ascii="HG丸ｺﾞｼｯｸM-PRO" w:eastAsia="HG丸ｺﾞｼｯｸM-PRO" w:hAnsi="HG丸ｺﾞｼｯｸM-PRO" w:hint="eastAsia"/>
                <w:szCs w:val="21"/>
              </w:rPr>
              <w:t xml:space="preserve">　</w:t>
            </w:r>
            <w:r w:rsidR="005B33EE" w:rsidRPr="001D6D10">
              <w:rPr>
                <w:rFonts w:ascii="HG丸ｺﾞｼｯｸM-PRO" w:eastAsia="HG丸ｺﾞｼｯｸM-PRO" w:hAnsi="HG丸ｺﾞｼｯｸM-PRO" w:hint="eastAsia"/>
                <w:szCs w:val="21"/>
              </w:rPr>
              <w:t>・イベントの有無確認（府主催、共催）</w:t>
            </w:r>
          </w:p>
        </w:tc>
      </w:tr>
      <w:tr w:rsidR="001D6D10" w:rsidRPr="001D6D10" w14:paraId="04660AFE" w14:textId="77777777" w:rsidTr="00F35CFE">
        <w:trPr>
          <w:jc w:val="center"/>
        </w:trPr>
        <w:tc>
          <w:tcPr>
            <w:tcW w:w="1457" w:type="dxa"/>
            <w:vMerge/>
          </w:tcPr>
          <w:p w14:paraId="1E3F67BF" w14:textId="77777777" w:rsidR="0001205E" w:rsidRPr="001D6D10" w:rsidRDefault="0001205E" w:rsidP="00F35CFE">
            <w:pPr>
              <w:rPr>
                <w:rFonts w:ascii="HG丸ｺﾞｼｯｸM-PRO" w:eastAsia="HG丸ｺﾞｼｯｸM-PRO" w:hAnsi="HG丸ｺﾞｼｯｸM-PRO"/>
                <w:szCs w:val="21"/>
              </w:rPr>
            </w:pPr>
          </w:p>
        </w:tc>
        <w:tc>
          <w:tcPr>
            <w:tcW w:w="7037" w:type="dxa"/>
          </w:tcPr>
          <w:p w14:paraId="017BC5F5" w14:textId="77777777" w:rsidR="0001205E" w:rsidRPr="001D6D10" w:rsidRDefault="0001205E" w:rsidP="00F35CFE">
            <w:pPr>
              <w:rPr>
                <w:rFonts w:ascii="HG丸ｺﾞｼｯｸM-PRO" w:eastAsia="HG丸ｺﾞｼｯｸM-PRO" w:hAnsi="HG丸ｺﾞｼｯｸM-PRO"/>
                <w:szCs w:val="21"/>
              </w:rPr>
            </w:pPr>
            <w:r w:rsidRPr="001D6D10">
              <w:rPr>
                <w:rFonts w:ascii="HG丸ｺﾞｼｯｸM-PRO" w:eastAsia="HG丸ｺﾞｼｯｸM-PRO" w:hAnsi="HG丸ｺﾞｼｯｸM-PRO" w:hint="eastAsia"/>
                <w:b/>
                <w:szCs w:val="21"/>
                <w:highlight w:val="yellow"/>
              </w:rPr>
              <w:t>防災・危機管理指令部会議</w:t>
            </w:r>
            <w:r w:rsidRPr="001D6D10">
              <w:rPr>
                <w:rFonts w:ascii="HG丸ｺﾞｼｯｸM-PRO" w:eastAsia="HG丸ｺﾞｼｯｸM-PRO" w:hAnsi="HG丸ｺﾞｼｯｸM-PRO" w:hint="eastAsia"/>
                <w:szCs w:val="21"/>
                <w:highlight w:val="yellow"/>
              </w:rPr>
              <w:t>（おおよそ７２ｈ前）</w:t>
            </w:r>
            <w:r w:rsidR="00CB0ABF" w:rsidRPr="001D6D10">
              <w:rPr>
                <w:rFonts w:ascii="HG丸ｺﾞｼｯｸM-PRO" w:eastAsia="HG丸ｺﾞｼｯｸM-PRO" w:hAnsi="HG丸ｺﾞｼｯｸM-PRO" w:hint="eastAsia"/>
                <w:szCs w:val="21"/>
                <w:highlight w:val="yellow"/>
              </w:rPr>
              <w:t>（Ｐ42</w:t>
            </w:r>
            <w:r w:rsidR="00AD02A5" w:rsidRPr="001D6D10">
              <w:rPr>
                <w:rFonts w:ascii="HG丸ｺﾞｼｯｸM-PRO" w:eastAsia="HG丸ｺﾞｼｯｸM-PRO" w:hAnsi="HG丸ｺﾞｼｯｸM-PRO" w:hint="eastAsia"/>
                <w:szCs w:val="21"/>
                <w:highlight w:val="yellow"/>
              </w:rPr>
              <w:t>参照）</w:t>
            </w:r>
          </w:p>
        </w:tc>
      </w:tr>
      <w:tr w:rsidR="001D6D10" w:rsidRPr="001D6D10" w14:paraId="69083E0E" w14:textId="77777777" w:rsidTr="00F35CFE">
        <w:trPr>
          <w:jc w:val="center"/>
        </w:trPr>
        <w:tc>
          <w:tcPr>
            <w:tcW w:w="1457" w:type="dxa"/>
            <w:vMerge/>
          </w:tcPr>
          <w:p w14:paraId="59C07496" w14:textId="77777777" w:rsidR="0001205E" w:rsidRPr="001D6D10" w:rsidRDefault="0001205E" w:rsidP="00F35CFE">
            <w:pPr>
              <w:rPr>
                <w:rFonts w:ascii="HG丸ｺﾞｼｯｸM-PRO" w:eastAsia="HG丸ｺﾞｼｯｸM-PRO" w:hAnsi="HG丸ｺﾞｼｯｸM-PRO"/>
                <w:szCs w:val="21"/>
              </w:rPr>
            </w:pPr>
          </w:p>
        </w:tc>
        <w:tc>
          <w:tcPr>
            <w:tcW w:w="7037" w:type="dxa"/>
          </w:tcPr>
          <w:p w14:paraId="47457A50" w14:textId="77777777" w:rsidR="00967C42" w:rsidRPr="001D6D10" w:rsidRDefault="00967C42" w:rsidP="00967C42">
            <w:pPr>
              <w:rPr>
                <w:rFonts w:ascii="HG丸ｺﾞｼｯｸM-PRO" w:eastAsia="HG丸ｺﾞｼｯｸM-PRO" w:hAnsi="HG丸ｺﾞｼｯｸM-PRO"/>
                <w:szCs w:val="21"/>
              </w:rPr>
            </w:pPr>
            <w:r w:rsidRPr="001D6D10">
              <w:rPr>
                <w:rFonts w:ascii="HG丸ｺﾞｼｯｸM-PRO" w:eastAsia="HG丸ｺﾞｼｯｸM-PRO" w:hAnsi="HG丸ｺﾞｼｯｸM-PRO" w:hint="eastAsia"/>
                <w:szCs w:val="21"/>
              </w:rPr>
              <w:t>□危機管理室（商工労働部連絡責任者経由）からの情報を局内で共有</w:t>
            </w:r>
          </w:p>
          <w:p w14:paraId="4F722528" w14:textId="77777777" w:rsidR="0001205E" w:rsidRPr="001D6D10" w:rsidRDefault="00967C42" w:rsidP="00F35CFE">
            <w:pPr>
              <w:rPr>
                <w:rFonts w:ascii="HG丸ｺﾞｼｯｸM-PRO" w:eastAsia="HG丸ｺﾞｼｯｸM-PRO" w:hAnsi="HG丸ｺﾞｼｯｸM-PRO"/>
                <w:szCs w:val="21"/>
              </w:rPr>
            </w:pPr>
            <w:r w:rsidRPr="001D6D10">
              <w:rPr>
                <w:rFonts w:ascii="HG丸ｺﾞｼｯｸM-PRO" w:eastAsia="HG丸ｺﾞｼｯｸM-PRO" w:hAnsi="HG丸ｺﾞｼｯｸM-PRO" w:hint="eastAsia"/>
                <w:szCs w:val="21"/>
              </w:rPr>
              <w:t>□事件期日等の有無確認</w:t>
            </w:r>
          </w:p>
        </w:tc>
      </w:tr>
      <w:tr w:rsidR="001D6D10" w:rsidRPr="001D6D10" w14:paraId="6B9C0B24" w14:textId="77777777" w:rsidTr="00F35CFE">
        <w:trPr>
          <w:jc w:val="center"/>
        </w:trPr>
        <w:tc>
          <w:tcPr>
            <w:tcW w:w="1457" w:type="dxa"/>
            <w:vMerge w:val="restart"/>
          </w:tcPr>
          <w:p w14:paraId="7C4186B5" w14:textId="77777777" w:rsidR="00934E60" w:rsidRPr="001D6D10" w:rsidRDefault="00934E60" w:rsidP="00F35CFE">
            <w:pPr>
              <w:rPr>
                <w:rFonts w:ascii="HG丸ｺﾞｼｯｸM-PRO" w:eastAsia="HG丸ｺﾞｼｯｸM-PRO" w:hAnsi="HG丸ｺﾞｼｯｸM-PRO"/>
                <w:szCs w:val="21"/>
              </w:rPr>
            </w:pPr>
          </w:p>
          <w:p w14:paraId="78D9D5F8" w14:textId="77777777" w:rsidR="00934E60" w:rsidRPr="001D6D10" w:rsidRDefault="00934E60" w:rsidP="00F35CFE">
            <w:pPr>
              <w:rPr>
                <w:rFonts w:ascii="HG丸ｺﾞｼｯｸM-PRO" w:eastAsia="HG丸ｺﾞｼｯｸM-PRO" w:hAnsi="HG丸ｺﾞｼｯｸM-PRO"/>
                <w:szCs w:val="21"/>
              </w:rPr>
            </w:pPr>
          </w:p>
          <w:p w14:paraId="57F293FD" w14:textId="77777777" w:rsidR="00934E60" w:rsidRPr="001D6D10" w:rsidRDefault="00934E60" w:rsidP="00F35CFE">
            <w:pPr>
              <w:rPr>
                <w:rFonts w:ascii="HG丸ｺﾞｼｯｸM-PRO" w:eastAsia="HG丸ｺﾞｼｯｸM-PRO" w:hAnsi="HG丸ｺﾞｼｯｸM-PRO"/>
                <w:szCs w:val="21"/>
              </w:rPr>
            </w:pPr>
          </w:p>
          <w:p w14:paraId="1024255C" w14:textId="77777777" w:rsidR="00934E60" w:rsidRPr="001D6D10" w:rsidRDefault="00934E60" w:rsidP="00F35CFE">
            <w:pPr>
              <w:rPr>
                <w:rFonts w:ascii="HG丸ｺﾞｼｯｸM-PRO" w:eastAsia="HG丸ｺﾞｼｯｸM-PRO" w:hAnsi="HG丸ｺﾞｼｯｸM-PRO"/>
                <w:szCs w:val="21"/>
              </w:rPr>
            </w:pPr>
          </w:p>
          <w:p w14:paraId="55B9E2BB" w14:textId="77777777" w:rsidR="00934E60" w:rsidRPr="001D6D10" w:rsidRDefault="00934E60" w:rsidP="00F35CFE">
            <w:pPr>
              <w:rPr>
                <w:rFonts w:ascii="HG丸ｺﾞｼｯｸM-PRO" w:eastAsia="HG丸ｺﾞｼｯｸM-PRO" w:hAnsi="HG丸ｺﾞｼｯｸM-PRO"/>
                <w:szCs w:val="21"/>
              </w:rPr>
            </w:pPr>
          </w:p>
          <w:p w14:paraId="573C157F" w14:textId="77777777" w:rsidR="0001205E" w:rsidRPr="001D6D10" w:rsidRDefault="0001205E" w:rsidP="00F35CFE">
            <w:pPr>
              <w:rPr>
                <w:rFonts w:ascii="HG丸ｺﾞｼｯｸM-PRO" w:eastAsia="HG丸ｺﾞｼｯｸM-PRO" w:hAnsi="HG丸ｺﾞｼｯｸM-PRO"/>
                <w:szCs w:val="21"/>
              </w:rPr>
            </w:pPr>
            <w:r w:rsidRPr="001D6D10">
              <w:rPr>
                <w:rFonts w:ascii="HG丸ｺﾞｼｯｸM-PRO" w:eastAsia="HG丸ｺﾞｼｯｸM-PRO" w:hAnsi="HG丸ｺﾞｼｯｸM-PRO" w:hint="eastAsia"/>
                <w:szCs w:val="21"/>
              </w:rPr>
              <w:t>48ｈ前～</w:t>
            </w:r>
          </w:p>
          <w:p w14:paraId="371182C0" w14:textId="77777777" w:rsidR="0001205E" w:rsidRPr="001D6D10" w:rsidRDefault="0001205E" w:rsidP="00F35CFE">
            <w:pPr>
              <w:rPr>
                <w:rFonts w:ascii="HG丸ｺﾞｼｯｸM-PRO" w:eastAsia="HG丸ｺﾞｼｯｸM-PRO" w:hAnsi="HG丸ｺﾞｼｯｸM-PRO"/>
                <w:szCs w:val="21"/>
              </w:rPr>
            </w:pPr>
            <w:r w:rsidRPr="001D6D10">
              <w:rPr>
                <w:rFonts w:ascii="HG丸ｺﾞｼｯｸM-PRO" w:eastAsia="HG丸ｺﾞｼｯｸM-PRO" w:hAnsi="HG丸ｺﾞｼｯｸM-PRO" w:hint="eastAsia"/>
                <w:szCs w:val="21"/>
              </w:rPr>
              <w:t xml:space="preserve">　　24ｈ前</w:t>
            </w:r>
          </w:p>
          <w:p w14:paraId="35D1E2E2" w14:textId="77777777" w:rsidR="0001205E" w:rsidRPr="001D6D10" w:rsidRDefault="0001205E" w:rsidP="00F35CFE">
            <w:pPr>
              <w:rPr>
                <w:rFonts w:ascii="HG丸ｺﾞｼｯｸM-PRO" w:eastAsia="HG丸ｺﾞｼｯｸM-PRO" w:hAnsi="HG丸ｺﾞｼｯｸM-PRO"/>
                <w:szCs w:val="21"/>
              </w:rPr>
            </w:pPr>
            <w:r w:rsidRPr="001D6D10">
              <w:rPr>
                <w:rFonts w:ascii="HG丸ｺﾞｼｯｸM-PRO" w:eastAsia="HG丸ｺﾞｼｯｸM-PRO" w:hAnsi="HG丸ｺﾞｼｯｸM-PRO" w:hint="eastAsia"/>
                <w:szCs w:val="21"/>
              </w:rPr>
              <w:t>（２日前）</w:t>
            </w:r>
          </w:p>
        </w:tc>
        <w:tc>
          <w:tcPr>
            <w:tcW w:w="7037" w:type="dxa"/>
          </w:tcPr>
          <w:p w14:paraId="4FF9B77E" w14:textId="77777777" w:rsidR="0001205E" w:rsidRPr="001D6D10" w:rsidRDefault="0001205E" w:rsidP="00F35CFE">
            <w:pPr>
              <w:rPr>
                <w:rFonts w:ascii="HG丸ｺﾞｼｯｸM-PRO" w:eastAsia="HG丸ｺﾞｼｯｸM-PRO" w:hAnsi="HG丸ｺﾞｼｯｸM-PRO"/>
                <w:sz w:val="18"/>
                <w:szCs w:val="18"/>
              </w:rPr>
            </w:pPr>
            <w:r w:rsidRPr="001D6D10">
              <w:rPr>
                <w:rFonts w:ascii="HG丸ｺﾞｼｯｸM-PRO" w:eastAsia="HG丸ｺﾞｼｯｸM-PRO" w:hAnsi="HG丸ｺﾞｼｯｸM-PRO" w:hint="eastAsia"/>
                <w:szCs w:val="21"/>
              </w:rPr>
              <w:t>庁内連絡会議①：災害モード宣言の内容、第1回災害警戒本部会議の事前調整等</w:t>
            </w:r>
            <w:r w:rsidRPr="001D6D10">
              <w:rPr>
                <w:rFonts w:ascii="HG丸ｺﾞｼｯｸM-PRO" w:eastAsia="HG丸ｺﾞｼｯｸM-PRO" w:hAnsi="HG丸ｺﾞｼｯｸM-PRO" w:hint="eastAsia"/>
                <w:sz w:val="18"/>
                <w:szCs w:val="18"/>
              </w:rPr>
              <w:t>(警戒本部会議議題：管理施設の休館及び学校休校の検討、イベント等の中止検討、職員の配備態勢)</w:t>
            </w:r>
          </w:p>
          <w:p w14:paraId="3A0129E0" w14:textId="77777777" w:rsidR="00742C35" w:rsidRPr="001D6D10" w:rsidRDefault="00742C35" w:rsidP="00742C35">
            <w:pPr>
              <w:rPr>
                <w:rFonts w:ascii="HG丸ｺﾞｼｯｸM-PRO" w:eastAsia="HG丸ｺﾞｼｯｸM-PRO" w:hAnsi="HG丸ｺﾞｼｯｸM-PRO"/>
                <w:szCs w:val="21"/>
              </w:rPr>
            </w:pPr>
            <w:r w:rsidRPr="001D6D10">
              <w:rPr>
                <w:rFonts w:ascii="HG丸ｺﾞｼｯｸM-PRO" w:eastAsia="HG丸ｺﾞｼｯｸM-PRO" w:hAnsi="HG丸ｺﾞｼｯｸM-PRO" w:hint="eastAsia"/>
                <w:szCs w:val="21"/>
              </w:rPr>
              <w:t>□第１回災害警戒本部会議の事前準備</w:t>
            </w:r>
          </w:p>
          <w:p w14:paraId="59B04CB1" w14:textId="77777777" w:rsidR="00742C35" w:rsidRPr="001D6D10" w:rsidRDefault="00742C35" w:rsidP="00742C35">
            <w:pPr>
              <w:rPr>
                <w:rFonts w:ascii="HG丸ｺﾞｼｯｸM-PRO" w:eastAsia="HG丸ｺﾞｼｯｸM-PRO" w:hAnsi="HG丸ｺﾞｼｯｸM-PRO"/>
                <w:szCs w:val="21"/>
              </w:rPr>
            </w:pPr>
            <w:r w:rsidRPr="001D6D10">
              <w:rPr>
                <w:rFonts w:ascii="HG丸ｺﾞｼｯｸM-PRO" w:eastAsia="HG丸ｺﾞｼｯｸM-PRO" w:hAnsi="HG丸ｺﾞｼｯｸM-PRO" w:hint="eastAsia"/>
                <w:szCs w:val="21"/>
              </w:rPr>
              <w:t xml:space="preserve">　・部局内の対応状況の確認、会議での報告のとりまとめ</w:t>
            </w:r>
          </w:p>
          <w:p w14:paraId="5B7B05BB" w14:textId="77777777" w:rsidR="007D0602" w:rsidRPr="001D6D10" w:rsidRDefault="00742C35" w:rsidP="007D0602">
            <w:pPr>
              <w:rPr>
                <w:rFonts w:ascii="HG丸ｺﾞｼｯｸM-PRO" w:eastAsia="HG丸ｺﾞｼｯｸM-PRO" w:hAnsi="HG丸ｺﾞｼｯｸM-PRO"/>
                <w:szCs w:val="21"/>
              </w:rPr>
            </w:pPr>
            <w:r w:rsidRPr="001D6D10">
              <w:rPr>
                <w:rFonts w:ascii="HG丸ｺﾞｼｯｸM-PRO" w:eastAsia="HG丸ｺﾞｼｯｸM-PRO" w:hAnsi="HG丸ｺﾞｼｯｸM-PRO" w:hint="eastAsia"/>
                <w:szCs w:val="21"/>
              </w:rPr>
              <w:t xml:space="preserve">　・</w:t>
            </w:r>
            <w:r w:rsidR="00A4645F" w:rsidRPr="001D6D10">
              <w:rPr>
                <w:rFonts w:ascii="HG丸ｺﾞｼｯｸM-PRO" w:eastAsia="HG丸ｺﾞｼｯｸM-PRO" w:hAnsi="HG丸ｺﾞｼｯｸM-PRO" w:hint="eastAsia"/>
                <w:szCs w:val="21"/>
              </w:rPr>
              <w:t>庁舎</w:t>
            </w:r>
            <w:r w:rsidRPr="001D6D10">
              <w:rPr>
                <w:rFonts w:ascii="HG丸ｺﾞｼｯｸM-PRO" w:eastAsia="HG丸ｺﾞｼｯｸM-PRO" w:hAnsi="HG丸ｺﾞｼｯｸM-PRO" w:hint="eastAsia"/>
                <w:szCs w:val="21"/>
              </w:rPr>
              <w:t>の安全確認</w:t>
            </w:r>
          </w:p>
          <w:p w14:paraId="1997B233" w14:textId="77777777" w:rsidR="007B045B" w:rsidRPr="001D6D10" w:rsidRDefault="007B045B" w:rsidP="007D0602">
            <w:pPr>
              <w:rPr>
                <w:rFonts w:ascii="HG丸ｺﾞｼｯｸM-PRO" w:eastAsia="HG丸ｺﾞｼｯｸM-PRO" w:hAnsi="HG丸ｺﾞｼｯｸM-PRO"/>
                <w:szCs w:val="21"/>
                <w:u w:val="single"/>
              </w:rPr>
            </w:pPr>
            <w:r w:rsidRPr="001D6D10">
              <w:rPr>
                <w:rFonts w:ascii="HG丸ｺﾞｼｯｸM-PRO" w:eastAsia="HG丸ｺﾞｼｯｸM-PRO" w:hAnsi="HG丸ｺﾞｼｯｸM-PRO" w:hint="eastAsia"/>
                <w:szCs w:val="21"/>
                <w:bdr w:val="single" w:sz="4" w:space="0" w:color="auto"/>
              </w:rPr>
              <w:t>台風説明会</w:t>
            </w:r>
          </w:p>
        </w:tc>
      </w:tr>
      <w:tr w:rsidR="001D6D10" w:rsidRPr="001D6D10" w14:paraId="16FB465C" w14:textId="77777777" w:rsidTr="00F35CFE">
        <w:trPr>
          <w:jc w:val="center"/>
        </w:trPr>
        <w:tc>
          <w:tcPr>
            <w:tcW w:w="1457" w:type="dxa"/>
            <w:vMerge/>
          </w:tcPr>
          <w:p w14:paraId="5C646242" w14:textId="77777777" w:rsidR="0001205E" w:rsidRPr="001D6D10" w:rsidRDefault="0001205E" w:rsidP="00F35CFE">
            <w:pPr>
              <w:rPr>
                <w:rFonts w:ascii="HG丸ｺﾞｼｯｸM-PRO" w:eastAsia="HG丸ｺﾞｼｯｸM-PRO" w:hAnsi="HG丸ｺﾞｼｯｸM-PRO"/>
                <w:szCs w:val="21"/>
              </w:rPr>
            </w:pPr>
          </w:p>
        </w:tc>
        <w:tc>
          <w:tcPr>
            <w:tcW w:w="7037" w:type="dxa"/>
          </w:tcPr>
          <w:p w14:paraId="121A5353" w14:textId="77777777" w:rsidR="0001205E" w:rsidRPr="001D6D10" w:rsidRDefault="0001205E" w:rsidP="00F35CFE">
            <w:pPr>
              <w:rPr>
                <w:rFonts w:ascii="HG丸ｺﾞｼｯｸM-PRO" w:eastAsia="HG丸ｺﾞｼｯｸM-PRO" w:hAnsi="HG丸ｺﾞｼｯｸM-PRO"/>
                <w:szCs w:val="21"/>
                <w:highlight w:val="yellow"/>
              </w:rPr>
            </w:pPr>
            <w:r w:rsidRPr="001D6D10">
              <w:rPr>
                <w:rFonts w:ascii="HG丸ｺﾞｼｯｸM-PRO" w:eastAsia="HG丸ｺﾞｼｯｸM-PRO" w:hAnsi="HG丸ｺﾞｼｯｸM-PRO" w:hint="eastAsia"/>
                <w:b/>
                <w:szCs w:val="21"/>
                <w:highlight w:val="yellow"/>
              </w:rPr>
              <w:t>第1回災害警戒本部会議</w:t>
            </w:r>
            <w:r w:rsidRPr="001D6D10">
              <w:rPr>
                <w:rFonts w:ascii="HG丸ｺﾞｼｯｸM-PRO" w:eastAsia="HG丸ｺﾞｼｯｸM-PRO" w:hAnsi="HG丸ｺﾞｼｯｸM-PRO" w:hint="eastAsia"/>
                <w:szCs w:val="21"/>
                <w:highlight w:val="yellow"/>
              </w:rPr>
              <w:t>（災害モード宣言の内容検討）</w:t>
            </w:r>
            <w:r w:rsidR="00CB0ABF" w:rsidRPr="001D6D10">
              <w:rPr>
                <w:rFonts w:ascii="HG丸ｺﾞｼｯｸM-PRO" w:eastAsia="HG丸ｺﾞｼｯｸM-PRO" w:hAnsi="HG丸ｺﾞｼｯｸM-PRO" w:hint="eastAsia"/>
                <w:szCs w:val="21"/>
                <w:highlight w:val="yellow"/>
              </w:rPr>
              <w:t>（Ｐ47</w:t>
            </w:r>
            <w:r w:rsidR="0010145B" w:rsidRPr="001D6D10">
              <w:rPr>
                <w:rFonts w:ascii="HG丸ｺﾞｼｯｸM-PRO" w:eastAsia="HG丸ｺﾞｼｯｸM-PRO" w:hAnsi="HG丸ｺﾞｼｯｸM-PRO" w:hint="eastAsia"/>
                <w:szCs w:val="21"/>
                <w:highlight w:val="yellow"/>
              </w:rPr>
              <w:t>参照）</w:t>
            </w:r>
          </w:p>
        </w:tc>
      </w:tr>
      <w:tr w:rsidR="001D6D10" w:rsidRPr="001D6D10" w14:paraId="08244EC8" w14:textId="77777777" w:rsidTr="00F35CFE">
        <w:trPr>
          <w:jc w:val="center"/>
        </w:trPr>
        <w:tc>
          <w:tcPr>
            <w:tcW w:w="1457" w:type="dxa"/>
            <w:vMerge/>
          </w:tcPr>
          <w:p w14:paraId="40C6FB88" w14:textId="77777777" w:rsidR="0001205E" w:rsidRPr="001D6D10" w:rsidRDefault="0001205E" w:rsidP="00F35CFE">
            <w:pPr>
              <w:rPr>
                <w:rFonts w:ascii="HG丸ｺﾞｼｯｸM-PRO" w:eastAsia="HG丸ｺﾞｼｯｸM-PRO" w:hAnsi="HG丸ｺﾞｼｯｸM-PRO"/>
                <w:szCs w:val="21"/>
              </w:rPr>
            </w:pPr>
          </w:p>
        </w:tc>
        <w:tc>
          <w:tcPr>
            <w:tcW w:w="7037" w:type="dxa"/>
          </w:tcPr>
          <w:p w14:paraId="2CAC6E85" w14:textId="77777777" w:rsidR="00967C42" w:rsidRPr="001D6D10" w:rsidRDefault="00967C42" w:rsidP="00967C42">
            <w:pPr>
              <w:rPr>
                <w:rFonts w:ascii="HG丸ｺﾞｼｯｸM-PRO" w:eastAsia="HG丸ｺﾞｼｯｸM-PRO" w:hAnsi="HG丸ｺﾞｼｯｸM-PRO"/>
                <w:szCs w:val="21"/>
              </w:rPr>
            </w:pPr>
            <w:r w:rsidRPr="001D6D10">
              <w:rPr>
                <w:rFonts w:ascii="HG丸ｺﾞｼｯｸM-PRO" w:eastAsia="HG丸ｺﾞｼｯｸM-PRO" w:hAnsi="HG丸ｺﾞｼｯｸM-PRO" w:hint="eastAsia"/>
                <w:szCs w:val="21"/>
              </w:rPr>
              <w:t>□事件期日等実施可否の検討</w:t>
            </w:r>
          </w:p>
          <w:p w14:paraId="6E189D2F" w14:textId="77777777" w:rsidR="00967C42" w:rsidRPr="001D6D10" w:rsidRDefault="00967C42" w:rsidP="00967C42">
            <w:pPr>
              <w:rPr>
                <w:rFonts w:ascii="HG丸ｺﾞｼｯｸM-PRO" w:eastAsia="HG丸ｺﾞｼｯｸM-PRO" w:hAnsi="HG丸ｺﾞｼｯｸM-PRO"/>
                <w:szCs w:val="21"/>
              </w:rPr>
            </w:pPr>
            <w:r w:rsidRPr="001D6D10">
              <w:rPr>
                <w:rFonts w:ascii="HG丸ｺﾞｼｯｸM-PRO" w:eastAsia="HG丸ｺﾞｼｯｸM-PRO" w:hAnsi="HG丸ｺﾞｼｯｸM-PRO" w:hint="eastAsia"/>
                <w:szCs w:val="21"/>
              </w:rPr>
              <w:t xml:space="preserve">□執務室、審問室等の管理施設の安全確認　</w:t>
            </w:r>
          </w:p>
          <w:p w14:paraId="41530F1B" w14:textId="77777777" w:rsidR="00967C42" w:rsidRPr="001D6D10" w:rsidRDefault="00967C42" w:rsidP="00967C42">
            <w:pPr>
              <w:rPr>
                <w:rFonts w:ascii="HG丸ｺﾞｼｯｸM-PRO" w:eastAsia="HG丸ｺﾞｼｯｸM-PRO" w:hAnsi="HG丸ｺﾞｼｯｸM-PRO"/>
                <w:szCs w:val="21"/>
              </w:rPr>
            </w:pPr>
            <w:r w:rsidRPr="001D6D10">
              <w:rPr>
                <w:rFonts w:ascii="HG丸ｺﾞｼｯｸM-PRO" w:eastAsia="HG丸ｺﾞｼｯｸM-PRO" w:hAnsi="HG丸ｺﾞｼｯｸM-PRO" w:hint="eastAsia"/>
                <w:szCs w:val="21"/>
              </w:rPr>
              <w:t>□危機管理室（商工労働部連絡責任者）からの情報を局内で共有</w:t>
            </w:r>
          </w:p>
          <w:p w14:paraId="2A77628A" w14:textId="77777777" w:rsidR="00967C42" w:rsidRPr="001D6D10" w:rsidRDefault="00967C42" w:rsidP="00967C42">
            <w:pPr>
              <w:rPr>
                <w:rFonts w:ascii="HG丸ｺﾞｼｯｸM-PRO" w:eastAsia="HG丸ｺﾞｼｯｸM-PRO" w:hAnsi="HG丸ｺﾞｼｯｸM-PRO"/>
                <w:szCs w:val="21"/>
              </w:rPr>
            </w:pPr>
            <w:r w:rsidRPr="001D6D10">
              <w:rPr>
                <w:rFonts w:ascii="HG丸ｺﾞｼｯｸM-PRO" w:eastAsia="HG丸ｺﾞｼｯｸM-PRO" w:hAnsi="HG丸ｺﾞｼｯｸM-PRO" w:hint="eastAsia"/>
                <w:szCs w:val="21"/>
              </w:rPr>
              <w:t>□公共交通機関計画運休の確認・共有</w:t>
            </w:r>
          </w:p>
          <w:p w14:paraId="410C18E8" w14:textId="77777777" w:rsidR="0001205E" w:rsidRPr="001D6D10" w:rsidRDefault="00967C42" w:rsidP="00F35CFE">
            <w:pPr>
              <w:rPr>
                <w:rFonts w:ascii="HG丸ｺﾞｼｯｸM-PRO" w:eastAsia="HG丸ｺﾞｼｯｸM-PRO" w:hAnsi="HG丸ｺﾞｼｯｸM-PRO"/>
                <w:szCs w:val="21"/>
              </w:rPr>
            </w:pPr>
            <w:r w:rsidRPr="001D6D10">
              <w:rPr>
                <w:rFonts w:ascii="HG丸ｺﾞｼｯｸM-PRO" w:eastAsia="HG丸ｺﾞｼｯｸM-PRO" w:hAnsi="HG丸ｺﾞｼｯｸM-PRO" w:hint="eastAsia"/>
                <w:szCs w:val="21"/>
              </w:rPr>
              <w:t>□職員体制の確認・確保</w:t>
            </w:r>
          </w:p>
        </w:tc>
      </w:tr>
      <w:tr w:rsidR="001D6D10" w:rsidRPr="001D6D10" w14:paraId="60D6E789" w14:textId="77777777" w:rsidTr="00F35CFE">
        <w:trPr>
          <w:jc w:val="center"/>
        </w:trPr>
        <w:tc>
          <w:tcPr>
            <w:tcW w:w="1457" w:type="dxa"/>
            <w:vMerge w:val="restart"/>
          </w:tcPr>
          <w:p w14:paraId="73EF019B" w14:textId="77777777" w:rsidR="00934E60" w:rsidRPr="001D6D10" w:rsidRDefault="00934E60" w:rsidP="00F35CFE">
            <w:pPr>
              <w:rPr>
                <w:rFonts w:ascii="HG丸ｺﾞｼｯｸM-PRO" w:eastAsia="HG丸ｺﾞｼｯｸM-PRO" w:hAnsi="HG丸ｺﾞｼｯｸM-PRO"/>
                <w:szCs w:val="21"/>
              </w:rPr>
            </w:pPr>
          </w:p>
          <w:p w14:paraId="331D84EE" w14:textId="77777777" w:rsidR="00934E60" w:rsidRPr="001D6D10" w:rsidRDefault="00934E60" w:rsidP="00F35CFE">
            <w:pPr>
              <w:rPr>
                <w:rFonts w:ascii="HG丸ｺﾞｼｯｸM-PRO" w:eastAsia="HG丸ｺﾞｼｯｸM-PRO" w:hAnsi="HG丸ｺﾞｼｯｸM-PRO"/>
                <w:szCs w:val="21"/>
              </w:rPr>
            </w:pPr>
          </w:p>
          <w:p w14:paraId="0E816E6A" w14:textId="77777777" w:rsidR="0001205E" w:rsidRPr="001D6D10" w:rsidRDefault="0001205E" w:rsidP="00F35CFE">
            <w:pPr>
              <w:rPr>
                <w:rFonts w:ascii="HG丸ｺﾞｼｯｸM-PRO" w:eastAsia="HG丸ｺﾞｼｯｸM-PRO" w:hAnsi="HG丸ｺﾞｼｯｸM-PRO"/>
                <w:szCs w:val="21"/>
              </w:rPr>
            </w:pPr>
            <w:r w:rsidRPr="001D6D10">
              <w:rPr>
                <w:rFonts w:ascii="HG丸ｺﾞｼｯｸM-PRO" w:eastAsia="HG丸ｺﾞｼｯｸM-PRO" w:hAnsi="HG丸ｺﾞｼｯｸM-PRO" w:hint="eastAsia"/>
                <w:szCs w:val="21"/>
              </w:rPr>
              <w:t>24ｈ前～</w:t>
            </w:r>
          </w:p>
          <w:p w14:paraId="167584B8" w14:textId="77777777" w:rsidR="0001205E" w:rsidRPr="001D6D10" w:rsidRDefault="0001205E" w:rsidP="00F35CFE">
            <w:pPr>
              <w:rPr>
                <w:rFonts w:ascii="HG丸ｺﾞｼｯｸM-PRO" w:eastAsia="HG丸ｺﾞｼｯｸM-PRO" w:hAnsi="HG丸ｺﾞｼｯｸM-PRO"/>
                <w:szCs w:val="21"/>
              </w:rPr>
            </w:pPr>
            <w:r w:rsidRPr="001D6D10">
              <w:rPr>
                <w:rFonts w:ascii="HG丸ｺﾞｼｯｸM-PRO" w:eastAsia="HG丸ｺﾞｼｯｸM-PRO" w:hAnsi="HG丸ｺﾞｼｯｸM-PRO" w:hint="eastAsia"/>
                <w:szCs w:val="21"/>
              </w:rPr>
              <w:t xml:space="preserve">　　最接近</w:t>
            </w:r>
          </w:p>
          <w:p w14:paraId="357140C4" w14:textId="77777777" w:rsidR="0001205E" w:rsidRPr="001D6D10" w:rsidRDefault="0001205E" w:rsidP="00F35CFE">
            <w:pPr>
              <w:rPr>
                <w:rFonts w:ascii="HG丸ｺﾞｼｯｸM-PRO" w:eastAsia="HG丸ｺﾞｼｯｸM-PRO" w:hAnsi="HG丸ｺﾞｼｯｸM-PRO"/>
                <w:szCs w:val="21"/>
              </w:rPr>
            </w:pPr>
            <w:r w:rsidRPr="001D6D10">
              <w:rPr>
                <w:rFonts w:ascii="HG丸ｺﾞｼｯｸM-PRO" w:eastAsia="HG丸ｺﾞｼｯｸM-PRO" w:hAnsi="HG丸ｺﾞｼｯｸM-PRO" w:hint="eastAsia"/>
                <w:szCs w:val="21"/>
              </w:rPr>
              <w:t>（１日前）</w:t>
            </w:r>
          </w:p>
        </w:tc>
        <w:tc>
          <w:tcPr>
            <w:tcW w:w="7037" w:type="dxa"/>
          </w:tcPr>
          <w:p w14:paraId="54CE6257" w14:textId="77777777" w:rsidR="0001205E" w:rsidRPr="001D6D10" w:rsidRDefault="0001205E" w:rsidP="00F35CFE">
            <w:pPr>
              <w:rPr>
                <w:rFonts w:ascii="HG丸ｺﾞｼｯｸM-PRO" w:eastAsia="HG丸ｺﾞｼｯｸM-PRO" w:hAnsi="HG丸ｺﾞｼｯｸM-PRO"/>
                <w:szCs w:val="21"/>
              </w:rPr>
            </w:pPr>
            <w:r w:rsidRPr="001D6D10">
              <w:rPr>
                <w:rFonts w:ascii="HG丸ｺﾞｼｯｸM-PRO" w:eastAsia="HG丸ｺﾞｼｯｸM-PRO" w:hAnsi="HG丸ｺﾞｼｯｸM-PRO" w:hint="eastAsia"/>
                <w:szCs w:val="21"/>
              </w:rPr>
              <w:t>庁内連絡会議②：第2回災害警戒本部会議の事前調整等</w:t>
            </w:r>
          </w:p>
          <w:p w14:paraId="0C9F73DB" w14:textId="77777777" w:rsidR="00742C35" w:rsidRPr="001D6D10" w:rsidRDefault="00742C35" w:rsidP="00742C35">
            <w:pPr>
              <w:rPr>
                <w:rFonts w:ascii="HG丸ｺﾞｼｯｸM-PRO" w:eastAsia="HG丸ｺﾞｼｯｸM-PRO" w:hAnsi="HG丸ｺﾞｼｯｸM-PRO"/>
                <w:szCs w:val="21"/>
              </w:rPr>
            </w:pPr>
            <w:r w:rsidRPr="001D6D10">
              <w:rPr>
                <w:rFonts w:ascii="HG丸ｺﾞｼｯｸM-PRO" w:eastAsia="HG丸ｺﾞｼｯｸM-PRO" w:hAnsi="HG丸ｺﾞｼｯｸM-PRO" w:hint="eastAsia"/>
                <w:szCs w:val="21"/>
              </w:rPr>
              <w:t>□第２回災害警戒本部会議の事前準備</w:t>
            </w:r>
          </w:p>
          <w:p w14:paraId="5C2C60A3" w14:textId="77777777" w:rsidR="00742C35" w:rsidRPr="001D6D10" w:rsidRDefault="00742C35" w:rsidP="00742C35">
            <w:pPr>
              <w:rPr>
                <w:rFonts w:ascii="HG丸ｺﾞｼｯｸM-PRO" w:eastAsia="HG丸ｺﾞｼｯｸM-PRO" w:hAnsi="HG丸ｺﾞｼｯｸM-PRO"/>
                <w:szCs w:val="21"/>
              </w:rPr>
            </w:pPr>
            <w:r w:rsidRPr="001D6D10">
              <w:rPr>
                <w:rFonts w:ascii="HG丸ｺﾞｼｯｸM-PRO" w:eastAsia="HG丸ｺﾞｼｯｸM-PRO" w:hAnsi="HG丸ｺﾞｼｯｸM-PRO" w:hint="eastAsia"/>
                <w:szCs w:val="21"/>
              </w:rPr>
              <w:t xml:space="preserve">　・部局内の対応状況の確認、会議での報告のとりまとめ</w:t>
            </w:r>
          </w:p>
          <w:p w14:paraId="2D844361" w14:textId="77777777" w:rsidR="007D0602" w:rsidRPr="001D6D10" w:rsidRDefault="00742C35" w:rsidP="007D0602">
            <w:pPr>
              <w:rPr>
                <w:rFonts w:ascii="HG丸ｺﾞｼｯｸM-PRO" w:eastAsia="HG丸ｺﾞｼｯｸM-PRO" w:hAnsi="HG丸ｺﾞｼｯｸM-PRO"/>
                <w:szCs w:val="21"/>
              </w:rPr>
            </w:pPr>
            <w:r w:rsidRPr="001D6D10">
              <w:rPr>
                <w:rFonts w:ascii="HG丸ｺﾞｼｯｸM-PRO" w:eastAsia="HG丸ｺﾞｼｯｸM-PRO" w:hAnsi="HG丸ｺﾞｼｯｸM-PRO" w:hint="eastAsia"/>
                <w:szCs w:val="21"/>
              </w:rPr>
              <w:t xml:space="preserve">　・</w:t>
            </w:r>
            <w:r w:rsidR="00A4645F" w:rsidRPr="001D6D10">
              <w:rPr>
                <w:rFonts w:ascii="HG丸ｺﾞｼｯｸM-PRO" w:eastAsia="HG丸ｺﾞｼｯｸM-PRO" w:hAnsi="HG丸ｺﾞｼｯｸM-PRO" w:hint="eastAsia"/>
                <w:szCs w:val="21"/>
              </w:rPr>
              <w:t>庁舎</w:t>
            </w:r>
            <w:r w:rsidRPr="001D6D10">
              <w:rPr>
                <w:rFonts w:ascii="HG丸ｺﾞｼｯｸM-PRO" w:eastAsia="HG丸ｺﾞｼｯｸM-PRO" w:hAnsi="HG丸ｺﾞｼｯｸM-PRO" w:hint="eastAsia"/>
                <w:szCs w:val="21"/>
              </w:rPr>
              <w:t>の安全点検</w:t>
            </w:r>
          </w:p>
          <w:p w14:paraId="4619A4DF" w14:textId="77777777" w:rsidR="007B045B" w:rsidRPr="001D6D10" w:rsidRDefault="007B045B" w:rsidP="007D0602">
            <w:pPr>
              <w:rPr>
                <w:rFonts w:ascii="HG丸ｺﾞｼｯｸM-PRO" w:eastAsia="HG丸ｺﾞｼｯｸM-PRO" w:hAnsi="HG丸ｺﾞｼｯｸM-PRO"/>
                <w:szCs w:val="21"/>
                <w:u w:val="single"/>
              </w:rPr>
            </w:pPr>
            <w:r w:rsidRPr="001D6D10">
              <w:rPr>
                <w:rFonts w:ascii="HG丸ｺﾞｼｯｸM-PRO" w:eastAsia="HG丸ｺﾞｼｯｸM-PRO" w:hAnsi="HG丸ｺﾞｼｯｸM-PRO" w:hint="eastAsia"/>
                <w:szCs w:val="21"/>
                <w:bdr w:val="single" w:sz="4" w:space="0" w:color="auto"/>
              </w:rPr>
              <w:t>台風説明会</w:t>
            </w:r>
          </w:p>
        </w:tc>
      </w:tr>
      <w:tr w:rsidR="001D6D10" w:rsidRPr="001D6D10" w14:paraId="0DE52F9B" w14:textId="77777777" w:rsidTr="00F35CFE">
        <w:trPr>
          <w:jc w:val="center"/>
        </w:trPr>
        <w:tc>
          <w:tcPr>
            <w:tcW w:w="1457" w:type="dxa"/>
            <w:vMerge/>
          </w:tcPr>
          <w:p w14:paraId="2F7D5B85" w14:textId="77777777" w:rsidR="0001205E" w:rsidRPr="001D6D10" w:rsidRDefault="0001205E" w:rsidP="00F35CFE">
            <w:pPr>
              <w:rPr>
                <w:rFonts w:ascii="HG丸ｺﾞｼｯｸM-PRO" w:eastAsia="HG丸ｺﾞｼｯｸM-PRO" w:hAnsi="HG丸ｺﾞｼｯｸM-PRO"/>
                <w:szCs w:val="21"/>
              </w:rPr>
            </w:pPr>
          </w:p>
        </w:tc>
        <w:tc>
          <w:tcPr>
            <w:tcW w:w="7037" w:type="dxa"/>
          </w:tcPr>
          <w:p w14:paraId="772CD49B" w14:textId="77777777" w:rsidR="0001205E" w:rsidRPr="001D6D10" w:rsidRDefault="0001205E" w:rsidP="00F35CFE">
            <w:pPr>
              <w:rPr>
                <w:rFonts w:ascii="HG丸ｺﾞｼｯｸM-PRO" w:eastAsia="HG丸ｺﾞｼｯｸM-PRO" w:hAnsi="HG丸ｺﾞｼｯｸM-PRO"/>
                <w:szCs w:val="21"/>
                <w:highlight w:val="yellow"/>
              </w:rPr>
            </w:pPr>
            <w:r w:rsidRPr="001D6D10">
              <w:rPr>
                <w:rFonts w:ascii="HG丸ｺﾞｼｯｸM-PRO" w:eastAsia="HG丸ｺﾞｼｯｸM-PRO" w:hAnsi="HG丸ｺﾞｼｯｸM-PRO" w:hint="eastAsia"/>
                <w:b/>
                <w:szCs w:val="21"/>
                <w:highlight w:val="yellow"/>
              </w:rPr>
              <w:t>第２回災害警戒本部会議</w:t>
            </w:r>
            <w:r w:rsidRPr="001D6D10">
              <w:rPr>
                <w:rFonts w:ascii="HG丸ｺﾞｼｯｸM-PRO" w:eastAsia="HG丸ｺﾞｼｯｸM-PRO" w:hAnsi="HG丸ｺﾞｼｯｸM-PRO" w:hint="eastAsia"/>
                <w:szCs w:val="21"/>
                <w:highlight w:val="yellow"/>
              </w:rPr>
              <w:t>（災害モード宣言の発信）</w:t>
            </w:r>
            <w:r w:rsidR="00CB0ABF" w:rsidRPr="001D6D10">
              <w:rPr>
                <w:rFonts w:ascii="HG丸ｺﾞｼｯｸM-PRO" w:eastAsia="HG丸ｺﾞｼｯｸM-PRO" w:hAnsi="HG丸ｺﾞｼｯｸM-PRO" w:hint="eastAsia"/>
                <w:szCs w:val="21"/>
                <w:highlight w:val="yellow"/>
              </w:rPr>
              <w:t>（Ｐ47</w:t>
            </w:r>
            <w:r w:rsidR="0010145B" w:rsidRPr="001D6D10">
              <w:rPr>
                <w:rFonts w:ascii="HG丸ｺﾞｼｯｸM-PRO" w:eastAsia="HG丸ｺﾞｼｯｸM-PRO" w:hAnsi="HG丸ｺﾞｼｯｸM-PRO" w:hint="eastAsia"/>
                <w:szCs w:val="21"/>
                <w:highlight w:val="yellow"/>
              </w:rPr>
              <w:t>参照）</w:t>
            </w:r>
          </w:p>
        </w:tc>
      </w:tr>
      <w:tr w:rsidR="001D6D10" w:rsidRPr="001D6D10" w14:paraId="0D0DE5C6" w14:textId="77777777" w:rsidTr="00F35CFE">
        <w:trPr>
          <w:jc w:val="center"/>
        </w:trPr>
        <w:tc>
          <w:tcPr>
            <w:tcW w:w="1457" w:type="dxa"/>
            <w:vMerge/>
          </w:tcPr>
          <w:p w14:paraId="2C5FF300" w14:textId="77777777" w:rsidR="0001205E" w:rsidRPr="001D6D10" w:rsidRDefault="0001205E" w:rsidP="00F35CFE">
            <w:pPr>
              <w:rPr>
                <w:rFonts w:ascii="HG丸ｺﾞｼｯｸM-PRO" w:eastAsia="HG丸ｺﾞｼｯｸM-PRO" w:hAnsi="HG丸ｺﾞｼｯｸM-PRO"/>
                <w:szCs w:val="21"/>
              </w:rPr>
            </w:pPr>
          </w:p>
        </w:tc>
        <w:tc>
          <w:tcPr>
            <w:tcW w:w="7037" w:type="dxa"/>
          </w:tcPr>
          <w:p w14:paraId="77FA087C" w14:textId="77777777" w:rsidR="00967C42" w:rsidRPr="001D6D10" w:rsidRDefault="00967C42" w:rsidP="00967C42">
            <w:pPr>
              <w:rPr>
                <w:rFonts w:ascii="HG丸ｺﾞｼｯｸM-PRO" w:eastAsia="HG丸ｺﾞｼｯｸM-PRO" w:hAnsi="HG丸ｺﾞｼｯｸM-PRO"/>
                <w:szCs w:val="21"/>
              </w:rPr>
            </w:pPr>
            <w:r w:rsidRPr="001D6D10">
              <w:rPr>
                <w:rFonts w:ascii="HG丸ｺﾞｼｯｸM-PRO" w:eastAsia="HG丸ｺﾞｼｯｸM-PRO" w:hAnsi="HG丸ｺﾞｼｯｸM-PRO" w:hint="eastAsia"/>
                <w:szCs w:val="21"/>
              </w:rPr>
              <w:t>□事件期日等の延期等を関係者に連絡</w:t>
            </w:r>
          </w:p>
          <w:p w14:paraId="4E2473CF" w14:textId="77777777" w:rsidR="00967C42" w:rsidRPr="001D6D10" w:rsidRDefault="00967C42" w:rsidP="00967C42">
            <w:pPr>
              <w:rPr>
                <w:rFonts w:ascii="HG丸ｺﾞｼｯｸM-PRO" w:eastAsia="HG丸ｺﾞｼｯｸM-PRO" w:hAnsi="HG丸ｺﾞｼｯｸM-PRO"/>
                <w:szCs w:val="21"/>
              </w:rPr>
            </w:pPr>
            <w:r w:rsidRPr="001D6D10">
              <w:rPr>
                <w:rFonts w:ascii="HG丸ｺﾞｼｯｸM-PRO" w:eastAsia="HG丸ｺﾞｼｯｸM-PRO" w:hAnsi="HG丸ｺﾞｼｯｸM-PRO" w:hint="eastAsia"/>
                <w:szCs w:val="21"/>
              </w:rPr>
              <w:t>□執務室、審問室等の安全点検</w:t>
            </w:r>
            <w:r w:rsidRPr="001D6D10">
              <w:rPr>
                <w:rFonts w:ascii="HG丸ｺﾞｼｯｸM-PRO" w:eastAsia="HG丸ｺﾞｼｯｸM-PRO" w:hAnsi="HG丸ｺﾞｼｯｸM-PRO"/>
                <w:szCs w:val="21"/>
              </w:rPr>
              <w:t xml:space="preserve"> </w:t>
            </w:r>
          </w:p>
          <w:p w14:paraId="677BA24A" w14:textId="77777777" w:rsidR="0001205E" w:rsidRPr="001D6D10" w:rsidRDefault="00967C42" w:rsidP="00F35CFE">
            <w:pPr>
              <w:rPr>
                <w:rFonts w:ascii="HG丸ｺﾞｼｯｸM-PRO" w:eastAsia="HG丸ｺﾞｼｯｸM-PRO" w:hAnsi="HG丸ｺﾞｼｯｸM-PRO"/>
                <w:szCs w:val="21"/>
              </w:rPr>
            </w:pPr>
            <w:r w:rsidRPr="001D6D10">
              <w:rPr>
                <w:rFonts w:ascii="HG丸ｺﾞｼｯｸM-PRO" w:eastAsia="HG丸ｺﾞｼｯｸM-PRO" w:hAnsi="HG丸ｺﾞｼｯｸM-PRO" w:hint="eastAsia"/>
                <w:szCs w:val="21"/>
              </w:rPr>
              <w:t>□危機管理室（商工労働部連絡責任者経由）からの情報を局内で共有</w:t>
            </w:r>
          </w:p>
        </w:tc>
      </w:tr>
    </w:tbl>
    <w:p w14:paraId="69349E31" w14:textId="77777777" w:rsidR="005B3E3B" w:rsidRPr="001D6D10" w:rsidRDefault="00967C42" w:rsidP="00967C42">
      <w:pPr>
        <w:rPr>
          <w:rFonts w:ascii="ＭＳ ゴシック" w:eastAsia="ＭＳ ゴシック" w:hAnsi="ＭＳ ゴシック"/>
          <w:sz w:val="22"/>
          <w:szCs w:val="22"/>
        </w:rPr>
      </w:pPr>
      <w:r w:rsidRPr="001D6D10">
        <w:rPr>
          <w:rFonts w:ascii="ＭＳ ゴシック" w:eastAsia="ＭＳ ゴシック" w:hAnsi="ＭＳ ゴシック" w:hint="eastAsia"/>
          <w:sz w:val="22"/>
          <w:szCs w:val="22"/>
        </w:rPr>
        <w:t>システム：事件管理システム</w:t>
      </w:r>
    </w:p>
    <w:p w14:paraId="22A59FA9" w14:textId="77777777" w:rsidR="00967C42" w:rsidRPr="001D6D10" w:rsidRDefault="00967C42" w:rsidP="00967C42">
      <w:pPr>
        <w:rPr>
          <w:rFonts w:ascii="ＭＳ ゴシック" w:eastAsia="ＭＳ ゴシック" w:hAnsi="ＭＳ ゴシック"/>
          <w:sz w:val="18"/>
          <w:szCs w:val="22"/>
        </w:rPr>
      </w:pPr>
      <w:r w:rsidRPr="001D6D10">
        <w:rPr>
          <w:rFonts w:ascii="ＭＳ ゴシック" w:eastAsia="ＭＳ ゴシック" w:hAnsi="ＭＳ ゴシック" w:hint="eastAsia"/>
          <w:sz w:val="18"/>
          <w:szCs w:val="22"/>
        </w:rPr>
        <w:t>※）本タイムラインから状況に応じて必要な項目を選定し、実施するものとする。</w:t>
      </w:r>
    </w:p>
    <w:p w14:paraId="46EAD269" w14:textId="69461E25" w:rsidR="00930C0D" w:rsidRDefault="00930C0D">
      <w:pPr>
        <w:widowControl/>
        <w:jc w:val="left"/>
        <w:rPr>
          <w:rFonts w:ascii="ＭＳ ゴシック" w:eastAsia="ＭＳ ゴシック" w:hAnsi="ＭＳ ゴシック"/>
          <w:sz w:val="22"/>
          <w:szCs w:val="22"/>
        </w:rPr>
      </w:pPr>
      <w:r>
        <w:rPr>
          <w:rFonts w:ascii="ＭＳ ゴシック" w:eastAsia="ＭＳ ゴシック" w:hAnsi="ＭＳ ゴシック"/>
          <w:sz w:val="22"/>
          <w:szCs w:val="22"/>
        </w:rPr>
        <w:br w:type="page"/>
      </w:r>
    </w:p>
    <w:p w14:paraId="6EF2D77F" w14:textId="77777777" w:rsidR="00037777" w:rsidRPr="001D6D10" w:rsidRDefault="00B1007D" w:rsidP="00037777">
      <w:pPr>
        <w:rPr>
          <w:rFonts w:ascii="ＭＳ ゴシック" w:eastAsia="ＭＳ ゴシック" w:hAnsi="ＭＳ ゴシック"/>
          <w:sz w:val="22"/>
          <w:szCs w:val="22"/>
        </w:rPr>
      </w:pPr>
      <w:r w:rsidRPr="001D6D10">
        <w:rPr>
          <w:rFonts w:ascii="ＭＳ ゴシック" w:eastAsia="ＭＳ ゴシック" w:hAnsi="ＭＳ ゴシック" w:hint="eastAsia"/>
          <w:sz w:val="22"/>
          <w:szCs w:val="22"/>
        </w:rPr>
        <w:lastRenderedPageBreak/>
        <w:t>㉑</w:t>
      </w:r>
      <w:r w:rsidR="00037777" w:rsidRPr="001D6D10">
        <w:rPr>
          <w:rFonts w:ascii="ＭＳ ゴシック" w:eastAsia="ＭＳ ゴシック" w:hAnsi="ＭＳ ゴシック" w:hint="eastAsia"/>
          <w:sz w:val="22"/>
          <w:szCs w:val="22"/>
        </w:rPr>
        <w:t>収用委員会</w:t>
      </w:r>
    </w:p>
    <w:tbl>
      <w:tblPr>
        <w:tblpPr w:leftFromText="142" w:rightFromText="142" w:vertAnchor="text" w:tblpXSpec="center" w:tblpY="1"/>
        <w:tblOverlap w:val="neve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57"/>
        <w:gridCol w:w="7037"/>
      </w:tblGrid>
      <w:tr w:rsidR="001D6D10" w:rsidRPr="001D6D10" w14:paraId="031A279C" w14:textId="77777777" w:rsidTr="00037777">
        <w:trPr>
          <w:jc w:val="center"/>
        </w:trPr>
        <w:tc>
          <w:tcPr>
            <w:tcW w:w="1457" w:type="dxa"/>
            <w:tcBorders>
              <w:bottom w:val="single" w:sz="4" w:space="0" w:color="auto"/>
            </w:tcBorders>
            <w:shd w:val="clear" w:color="auto" w:fill="BFBFBF"/>
          </w:tcPr>
          <w:p w14:paraId="75421C11" w14:textId="77777777" w:rsidR="00037777" w:rsidRPr="001D6D10" w:rsidRDefault="00037777" w:rsidP="00037777">
            <w:pPr>
              <w:jc w:val="center"/>
              <w:rPr>
                <w:rFonts w:ascii="HG丸ｺﾞｼｯｸM-PRO" w:eastAsia="HG丸ｺﾞｼｯｸM-PRO" w:hAnsi="HG丸ｺﾞｼｯｸM-PRO"/>
                <w:szCs w:val="21"/>
              </w:rPr>
            </w:pPr>
            <w:r w:rsidRPr="001D6D10">
              <w:rPr>
                <w:rFonts w:ascii="HG丸ｺﾞｼｯｸM-PRO" w:eastAsia="HG丸ｺﾞｼｯｸM-PRO" w:hAnsi="HG丸ｺﾞｼｯｸM-PRO" w:hint="eastAsia"/>
                <w:szCs w:val="21"/>
              </w:rPr>
              <w:t>時　期</w:t>
            </w:r>
          </w:p>
        </w:tc>
        <w:tc>
          <w:tcPr>
            <w:tcW w:w="7037" w:type="dxa"/>
            <w:tcBorders>
              <w:bottom w:val="single" w:sz="4" w:space="0" w:color="auto"/>
            </w:tcBorders>
            <w:shd w:val="clear" w:color="auto" w:fill="BFBFBF"/>
          </w:tcPr>
          <w:p w14:paraId="043BBEFA" w14:textId="77777777" w:rsidR="00037777" w:rsidRPr="001D6D10" w:rsidRDefault="00C334A2" w:rsidP="00037777">
            <w:pPr>
              <w:jc w:val="center"/>
              <w:rPr>
                <w:rFonts w:ascii="HG丸ｺﾞｼｯｸM-PRO" w:eastAsia="HG丸ｺﾞｼｯｸM-PRO" w:hAnsi="HG丸ｺﾞｼｯｸM-PRO"/>
                <w:szCs w:val="21"/>
              </w:rPr>
            </w:pPr>
            <w:r w:rsidRPr="001D6D10">
              <w:rPr>
                <w:rFonts w:ascii="HG丸ｺﾞｼｯｸM-PRO" w:eastAsia="HG丸ｺﾞｼｯｸM-PRO" w:hAnsi="HG丸ｺﾞｼｯｸM-PRO" w:hint="eastAsia"/>
                <w:szCs w:val="21"/>
              </w:rPr>
              <w:t>主な事前準備</w:t>
            </w:r>
            <w:r w:rsidR="00037777" w:rsidRPr="001D6D10">
              <w:rPr>
                <w:rFonts w:ascii="HG丸ｺﾞｼｯｸM-PRO" w:eastAsia="HG丸ｺﾞｼｯｸM-PRO" w:hAnsi="HG丸ｺﾞｼｯｸM-PRO" w:hint="eastAsia"/>
                <w:szCs w:val="21"/>
              </w:rPr>
              <w:t>業務</w:t>
            </w:r>
          </w:p>
        </w:tc>
      </w:tr>
      <w:tr w:rsidR="001D6D10" w:rsidRPr="001D6D10" w14:paraId="1D3B4140" w14:textId="77777777" w:rsidTr="00037777">
        <w:trPr>
          <w:jc w:val="center"/>
        </w:trPr>
        <w:tc>
          <w:tcPr>
            <w:tcW w:w="1457" w:type="dxa"/>
            <w:vMerge w:val="restart"/>
            <w:shd w:val="clear" w:color="auto" w:fill="FFFFFF" w:themeFill="background1"/>
          </w:tcPr>
          <w:p w14:paraId="1D6E3449" w14:textId="77777777" w:rsidR="00934E60" w:rsidRPr="001D6D10" w:rsidRDefault="00934E60" w:rsidP="00037777">
            <w:pPr>
              <w:jc w:val="center"/>
              <w:rPr>
                <w:rFonts w:ascii="HG丸ｺﾞｼｯｸM-PRO" w:eastAsia="HG丸ｺﾞｼｯｸM-PRO" w:hAnsi="HG丸ｺﾞｼｯｸM-PRO"/>
                <w:szCs w:val="21"/>
              </w:rPr>
            </w:pPr>
          </w:p>
          <w:p w14:paraId="27D8993C" w14:textId="77777777" w:rsidR="00934E60" w:rsidRPr="001D6D10" w:rsidRDefault="00934E60" w:rsidP="00037777">
            <w:pPr>
              <w:jc w:val="center"/>
              <w:rPr>
                <w:rFonts w:ascii="HG丸ｺﾞｼｯｸM-PRO" w:eastAsia="HG丸ｺﾞｼｯｸM-PRO" w:hAnsi="HG丸ｺﾞｼｯｸM-PRO"/>
                <w:szCs w:val="21"/>
              </w:rPr>
            </w:pPr>
          </w:p>
          <w:p w14:paraId="3B7B4C91" w14:textId="77777777" w:rsidR="00934E60" w:rsidRPr="001D6D10" w:rsidRDefault="00934E60" w:rsidP="00037777">
            <w:pPr>
              <w:jc w:val="center"/>
              <w:rPr>
                <w:rFonts w:ascii="HG丸ｺﾞｼｯｸM-PRO" w:eastAsia="HG丸ｺﾞｼｯｸM-PRO" w:hAnsi="HG丸ｺﾞｼｯｸM-PRO"/>
                <w:szCs w:val="21"/>
              </w:rPr>
            </w:pPr>
          </w:p>
          <w:p w14:paraId="0435323E" w14:textId="0F3089FE" w:rsidR="00037777" w:rsidRPr="001D6D10" w:rsidRDefault="00037777" w:rsidP="00037777">
            <w:pPr>
              <w:jc w:val="center"/>
              <w:rPr>
                <w:rFonts w:ascii="HG丸ｺﾞｼｯｸM-PRO" w:eastAsia="HG丸ｺﾞｼｯｸM-PRO" w:hAnsi="HG丸ｺﾞｼｯｸM-PRO"/>
                <w:szCs w:val="21"/>
              </w:rPr>
            </w:pPr>
            <w:r w:rsidRPr="001D6D10">
              <w:rPr>
                <w:rFonts w:ascii="HG丸ｺﾞｼｯｸM-PRO" w:eastAsia="HG丸ｺﾞｼｯｸM-PRO" w:hAnsi="HG丸ｺﾞｼｯｸM-PRO" w:hint="eastAsia"/>
                <w:szCs w:val="21"/>
              </w:rPr>
              <w:t>～48ｈ</w:t>
            </w:r>
            <w:r w:rsidR="0053084D" w:rsidRPr="001D6D10">
              <w:rPr>
                <w:rFonts w:ascii="HG丸ｺﾞｼｯｸM-PRO" w:eastAsia="HG丸ｺﾞｼｯｸM-PRO" w:hAnsi="HG丸ｺﾞｼｯｸM-PRO" w:hint="eastAsia"/>
                <w:szCs w:val="21"/>
              </w:rPr>
              <w:t>前</w:t>
            </w:r>
          </w:p>
          <w:p w14:paraId="07D526A7" w14:textId="77777777" w:rsidR="00037777" w:rsidRPr="001D6D10" w:rsidRDefault="00037777" w:rsidP="00037777">
            <w:pPr>
              <w:jc w:val="center"/>
              <w:rPr>
                <w:rFonts w:ascii="HG丸ｺﾞｼｯｸM-PRO" w:eastAsia="HG丸ｺﾞｼｯｸM-PRO" w:hAnsi="HG丸ｺﾞｼｯｸM-PRO"/>
                <w:sz w:val="20"/>
                <w:szCs w:val="20"/>
              </w:rPr>
            </w:pPr>
            <w:r w:rsidRPr="001D6D10">
              <w:rPr>
                <w:rFonts w:ascii="HG丸ｺﾞｼｯｸM-PRO" w:eastAsia="HG丸ｺﾞｼｯｸM-PRO" w:hAnsi="HG丸ｺﾞｼｯｸM-PRO" w:hint="eastAsia"/>
                <w:sz w:val="20"/>
                <w:szCs w:val="20"/>
              </w:rPr>
              <w:t>（３日以前）</w:t>
            </w:r>
          </w:p>
        </w:tc>
        <w:tc>
          <w:tcPr>
            <w:tcW w:w="7037" w:type="dxa"/>
            <w:tcBorders>
              <w:bottom w:val="single" w:sz="4" w:space="0" w:color="auto"/>
            </w:tcBorders>
            <w:shd w:val="clear" w:color="auto" w:fill="FFFFFF" w:themeFill="background1"/>
          </w:tcPr>
          <w:p w14:paraId="17389C01" w14:textId="77777777" w:rsidR="00037777" w:rsidRPr="001D6D10" w:rsidRDefault="009B1A57" w:rsidP="00037777">
            <w:pPr>
              <w:rPr>
                <w:rFonts w:ascii="HG丸ｺﾞｼｯｸM-PRO" w:eastAsia="HG丸ｺﾞｼｯｸM-PRO" w:hAnsi="HG丸ｺﾞｼｯｸM-PRO"/>
                <w:szCs w:val="21"/>
              </w:rPr>
            </w:pPr>
            <w:r w:rsidRPr="001D6D10">
              <w:rPr>
                <w:rFonts w:ascii="HG丸ｺﾞｼｯｸM-PRO" w:eastAsia="HG丸ｺﾞｼｯｸM-PRO" w:hAnsi="HG丸ｺﾞｼｯｸM-PRO" w:hint="eastAsia"/>
                <w:szCs w:val="21"/>
              </w:rPr>
              <w:t>□危機管理室からの情報の共有</w:t>
            </w:r>
          </w:p>
          <w:p w14:paraId="71C582D7" w14:textId="77777777" w:rsidR="003B7241" w:rsidRPr="001D6D10" w:rsidRDefault="003B7241" w:rsidP="003B7241">
            <w:pPr>
              <w:rPr>
                <w:rFonts w:ascii="HG丸ｺﾞｼｯｸM-PRO" w:eastAsia="HG丸ｺﾞｼｯｸM-PRO" w:hAnsi="HG丸ｺﾞｼｯｸM-PRO"/>
                <w:szCs w:val="21"/>
              </w:rPr>
            </w:pPr>
            <w:r w:rsidRPr="001D6D10">
              <w:rPr>
                <w:rFonts w:ascii="HG丸ｺﾞｼｯｸM-PRO" w:eastAsia="HG丸ｺﾞｼｯｸM-PRO" w:hAnsi="HG丸ｺﾞｼｯｸM-PRO" w:hint="eastAsia"/>
                <w:szCs w:val="21"/>
              </w:rPr>
              <w:t>□連絡体制の確認</w:t>
            </w:r>
          </w:p>
          <w:p w14:paraId="41395FF3" w14:textId="77777777" w:rsidR="00C84712" w:rsidRPr="001D6D10" w:rsidRDefault="00C84712" w:rsidP="00037777">
            <w:pPr>
              <w:rPr>
                <w:rFonts w:ascii="HG丸ｺﾞｼｯｸM-PRO" w:eastAsia="HG丸ｺﾞｼｯｸM-PRO" w:hAnsi="HG丸ｺﾞｼｯｸM-PRO"/>
                <w:szCs w:val="21"/>
              </w:rPr>
            </w:pPr>
            <w:r w:rsidRPr="001D6D10">
              <w:rPr>
                <w:rFonts w:ascii="HG丸ｺﾞｼｯｸM-PRO" w:eastAsia="HG丸ｺﾞｼｯｸM-PRO" w:hAnsi="HG丸ｺﾞｼｯｸM-PRO" w:hint="eastAsia"/>
                <w:szCs w:val="21"/>
              </w:rPr>
              <w:t>□災害対応に関するマニュアル等の確認</w:t>
            </w:r>
          </w:p>
          <w:p w14:paraId="5122D234" w14:textId="77777777" w:rsidR="00AD02A5" w:rsidRPr="001D6D10" w:rsidRDefault="00AD02A5" w:rsidP="00AD02A5">
            <w:pPr>
              <w:rPr>
                <w:rFonts w:ascii="HG丸ｺﾞｼｯｸM-PRO" w:eastAsia="HG丸ｺﾞｼｯｸM-PRO" w:hAnsi="HG丸ｺﾞｼｯｸM-PRO"/>
                <w:szCs w:val="21"/>
              </w:rPr>
            </w:pPr>
            <w:r w:rsidRPr="001D6D10">
              <w:rPr>
                <w:rFonts w:ascii="HG丸ｺﾞｼｯｸM-PRO" w:eastAsia="HG丸ｺﾞｼｯｸM-PRO" w:hAnsi="HG丸ｺﾞｼｯｸM-PRO" w:hint="eastAsia"/>
                <w:szCs w:val="21"/>
              </w:rPr>
              <w:t>□指令部会議の事前準備</w:t>
            </w:r>
          </w:p>
          <w:p w14:paraId="3FE7086E" w14:textId="77777777" w:rsidR="00AD02A5" w:rsidRPr="001D6D10" w:rsidRDefault="00AD02A5" w:rsidP="00AD02A5">
            <w:pPr>
              <w:rPr>
                <w:rFonts w:ascii="HG丸ｺﾞｼｯｸM-PRO" w:eastAsia="HG丸ｺﾞｼｯｸM-PRO" w:hAnsi="HG丸ｺﾞｼｯｸM-PRO"/>
                <w:szCs w:val="21"/>
                <w:u w:val="single"/>
              </w:rPr>
            </w:pPr>
            <w:r w:rsidRPr="001D6D10">
              <w:rPr>
                <w:rFonts w:ascii="HG丸ｺﾞｼｯｸM-PRO" w:eastAsia="HG丸ｺﾞｼｯｸM-PRO" w:hAnsi="HG丸ｺﾞｼｯｸM-PRO" w:hint="eastAsia"/>
                <w:szCs w:val="21"/>
              </w:rPr>
              <w:t xml:space="preserve">　</w:t>
            </w:r>
            <w:r w:rsidR="005B33EE" w:rsidRPr="001D6D10">
              <w:rPr>
                <w:rFonts w:ascii="HG丸ｺﾞｼｯｸM-PRO" w:eastAsia="HG丸ｺﾞｼｯｸM-PRO" w:hAnsi="HG丸ｺﾞｼｯｸM-PRO" w:hint="eastAsia"/>
                <w:szCs w:val="21"/>
              </w:rPr>
              <w:t>・イベントの有無確認（府主催、共催）</w:t>
            </w:r>
          </w:p>
        </w:tc>
      </w:tr>
      <w:tr w:rsidR="001D6D10" w:rsidRPr="001D6D10" w14:paraId="544B01EE" w14:textId="77777777" w:rsidTr="00037777">
        <w:trPr>
          <w:jc w:val="center"/>
        </w:trPr>
        <w:tc>
          <w:tcPr>
            <w:tcW w:w="1457" w:type="dxa"/>
            <w:vMerge/>
          </w:tcPr>
          <w:p w14:paraId="0542ED33" w14:textId="77777777" w:rsidR="00037777" w:rsidRPr="001D6D10" w:rsidRDefault="00037777" w:rsidP="00037777">
            <w:pPr>
              <w:rPr>
                <w:rFonts w:ascii="HG丸ｺﾞｼｯｸM-PRO" w:eastAsia="HG丸ｺﾞｼｯｸM-PRO" w:hAnsi="HG丸ｺﾞｼｯｸM-PRO"/>
                <w:szCs w:val="21"/>
              </w:rPr>
            </w:pPr>
          </w:p>
        </w:tc>
        <w:tc>
          <w:tcPr>
            <w:tcW w:w="7037" w:type="dxa"/>
          </w:tcPr>
          <w:p w14:paraId="739272CC" w14:textId="77777777" w:rsidR="00037777" w:rsidRPr="001D6D10" w:rsidRDefault="00037777" w:rsidP="00037777">
            <w:pPr>
              <w:rPr>
                <w:rFonts w:ascii="HG丸ｺﾞｼｯｸM-PRO" w:eastAsia="HG丸ｺﾞｼｯｸM-PRO" w:hAnsi="HG丸ｺﾞｼｯｸM-PRO"/>
                <w:szCs w:val="21"/>
              </w:rPr>
            </w:pPr>
            <w:r w:rsidRPr="001D6D10">
              <w:rPr>
                <w:rFonts w:ascii="HG丸ｺﾞｼｯｸM-PRO" w:eastAsia="HG丸ｺﾞｼｯｸM-PRO" w:hAnsi="HG丸ｺﾞｼｯｸM-PRO" w:hint="eastAsia"/>
                <w:b/>
                <w:szCs w:val="21"/>
                <w:highlight w:val="yellow"/>
              </w:rPr>
              <w:t>防災・危機管理指令部会議</w:t>
            </w:r>
            <w:r w:rsidRPr="001D6D10">
              <w:rPr>
                <w:rFonts w:ascii="HG丸ｺﾞｼｯｸM-PRO" w:eastAsia="HG丸ｺﾞｼｯｸM-PRO" w:hAnsi="HG丸ｺﾞｼｯｸM-PRO" w:hint="eastAsia"/>
                <w:szCs w:val="21"/>
                <w:highlight w:val="yellow"/>
              </w:rPr>
              <w:t>（おおよそ７２ｈ前）</w:t>
            </w:r>
            <w:r w:rsidR="00CB0ABF" w:rsidRPr="001D6D10">
              <w:rPr>
                <w:rFonts w:ascii="HG丸ｺﾞｼｯｸM-PRO" w:eastAsia="HG丸ｺﾞｼｯｸM-PRO" w:hAnsi="HG丸ｺﾞｼｯｸM-PRO" w:hint="eastAsia"/>
                <w:szCs w:val="21"/>
                <w:highlight w:val="yellow"/>
              </w:rPr>
              <w:t>（Ｐ42</w:t>
            </w:r>
            <w:r w:rsidR="00AD02A5" w:rsidRPr="001D6D10">
              <w:rPr>
                <w:rFonts w:ascii="HG丸ｺﾞｼｯｸM-PRO" w:eastAsia="HG丸ｺﾞｼｯｸM-PRO" w:hAnsi="HG丸ｺﾞｼｯｸM-PRO" w:hint="eastAsia"/>
                <w:szCs w:val="21"/>
                <w:highlight w:val="yellow"/>
              </w:rPr>
              <w:t>参照）</w:t>
            </w:r>
          </w:p>
        </w:tc>
      </w:tr>
      <w:tr w:rsidR="001D6D10" w:rsidRPr="001D6D10" w14:paraId="46C8352A" w14:textId="77777777" w:rsidTr="00037777">
        <w:trPr>
          <w:jc w:val="center"/>
        </w:trPr>
        <w:tc>
          <w:tcPr>
            <w:tcW w:w="1457" w:type="dxa"/>
            <w:vMerge/>
          </w:tcPr>
          <w:p w14:paraId="5C95F12F" w14:textId="77777777" w:rsidR="00037777" w:rsidRPr="001D6D10" w:rsidRDefault="00037777" w:rsidP="00037777">
            <w:pPr>
              <w:rPr>
                <w:rFonts w:ascii="HG丸ｺﾞｼｯｸM-PRO" w:eastAsia="HG丸ｺﾞｼｯｸM-PRO" w:hAnsi="HG丸ｺﾞｼｯｸM-PRO"/>
                <w:szCs w:val="21"/>
              </w:rPr>
            </w:pPr>
          </w:p>
        </w:tc>
        <w:tc>
          <w:tcPr>
            <w:tcW w:w="7037" w:type="dxa"/>
          </w:tcPr>
          <w:p w14:paraId="7F527D39" w14:textId="77777777" w:rsidR="009B1A57" w:rsidRPr="001D6D10" w:rsidRDefault="009B1A57" w:rsidP="00037777">
            <w:pPr>
              <w:rPr>
                <w:rFonts w:ascii="HG丸ｺﾞｼｯｸM-PRO" w:eastAsia="HG丸ｺﾞｼｯｸM-PRO" w:hAnsi="HG丸ｺﾞｼｯｸM-PRO"/>
                <w:szCs w:val="21"/>
              </w:rPr>
            </w:pPr>
            <w:r w:rsidRPr="001D6D10">
              <w:rPr>
                <w:rFonts w:ascii="HG丸ｺﾞｼｯｸM-PRO" w:eastAsia="HG丸ｺﾞｼｯｸM-PRO" w:hAnsi="HG丸ｺﾞｼｯｸM-PRO" w:hint="eastAsia"/>
                <w:szCs w:val="21"/>
              </w:rPr>
              <w:t>□危機管理室からの情報の共有</w:t>
            </w:r>
          </w:p>
          <w:p w14:paraId="1A9AFC27" w14:textId="77777777" w:rsidR="00037777" w:rsidRPr="001D6D10" w:rsidRDefault="00037777" w:rsidP="00037777">
            <w:pPr>
              <w:rPr>
                <w:rFonts w:ascii="HG丸ｺﾞｼｯｸM-PRO" w:eastAsia="HG丸ｺﾞｼｯｸM-PRO" w:hAnsi="HG丸ｺﾞｼｯｸM-PRO"/>
                <w:szCs w:val="21"/>
              </w:rPr>
            </w:pPr>
            <w:r w:rsidRPr="001D6D10">
              <w:rPr>
                <w:rFonts w:ascii="HG丸ｺﾞｼｯｸM-PRO" w:eastAsia="HG丸ｺﾞｼｯｸM-PRO" w:hAnsi="HG丸ｺﾞｼｯｸM-PRO" w:hint="eastAsia"/>
                <w:szCs w:val="21"/>
              </w:rPr>
              <w:t>□収用委員会議・審理・現地調査の中止、延期等の調整</w:t>
            </w:r>
          </w:p>
        </w:tc>
      </w:tr>
      <w:tr w:rsidR="001D6D10" w:rsidRPr="001D6D10" w14:paraId="01463175" w14:textId="77777777" w:rsidTr="00037777">
        <w:trPr>
          <w:jc w:val="center"/>
        </w:trPr>
        <w:tc>
          <w:tcPr>
            <w:tcW w:w="1457" w:type="dxa"/>
            <w:vMerge w:val="restart"/>
          </w:tcPr>
          <w:p w14:paraId="09AC73AA" w14:textId="77777777" w:rsidR="00934E60" w:rsidRPr="001D6D10" w:rsidRDefault="00934E60" w:rsidP="00037777">
            <w:pPr>
              <w:rPr>
                <w:rFonts w:ascii="HG丸ｺﾞｼｯｸM-PRO" w:eastAsia="HG丸ｺﾞｼｯｸM-PRO" w:hAnsi="HG丸ｺﾞｼｯｸM-PRO"/>
                <w:szCs w:val="21"/>
              </w:rPr>
            </w:pPr>
          </w:p>
          <w:p w14:paraId="37DDE759" w14:textId="77777777" w:rsidR="00934E60" w:rsidRPr="001D6D10" w:rsidRDefault="00934E60" w:rsidP="00037777">
            <w:pPr>
              <w:rPr>
                <w:rFonts w:ascii="HG丸ｺﾞｼｯｸM-PRO" w:eastAsia="HG丸ｺﾞｼｯｸM-PRO" w:hAnsi="HG丸ｺﾞｼｯｸM-PRO"/>
                <w:szCs w:val="21"/>
              </w:rPr>
            </w:pPr>
          </w:p>
          <w:p w14:paraId="570109B6" w14:textId="77777777" w:rsidR="00934E60" w:rsidRPr="001D6D10" w:rsidRDefault="00934E60" w:rsidP="00037777">
            <w:pPr>
              <w:rPr>
                <w:rFonts w:ascii="HG丸ｺﾞｼｯｸM-PRO" w:eastAsia="HG丸ｺﾞｼｯｸM-PRO" w:hAnsi="HG丸ｺﾞｼｯｸM-PRO"/>
                <w:szCs w:val="21"/>
              </w:rPr>
            </w:pPr>
          </w:p>
          <w:p w14:paraId="5DDE76CA" w14:textId="77777777" w:rsidR="00934E60" w:rsidRPr="001D6D10" w:rsidRDefault="00934E60" w:rsidP="00037777">
            <w:pPr>
              <w:rPr>
                <w:rFonts w:ascii="HG丸ｺﾞｼｯｸM-PRO" w:eastAsia="HG丸ｺﾞｼｯｸM-PRO" w:hAnsi="HG丸ｺﾞｼｯｸM-PRO"/>
                <w:szCs w:val="21"/>
              </w:rPr>
            </w:pPr>
          </w:p>
          <w:p w14:paraId="3A7FFDE6" w14:textId="77777777" w:rsidR="00037777" w:rsidRPr="001D6D10" w:rsidRDefault="00037777" w:rsidP="00037777">
            <w:pPr>
              <w:rPr>
                <w:rFonts w:ascii="HG丸ｺﾞｼｯｸM-PRO" w:eastAsia="HG丸ｺﾞｼｯｸM-PRO" w:hAnsi="HG丸ｺﾞｼｯｸM-PRO"/>
                <w:szCs w:val="21"/>
              </w:rPr>
            </w:pPr>
            <w:r w:rsidRPr="001D6D10">
              <w:rPr>
                <w:rFonts w:ascii="HG丸ｺﾞｼｯｸM-PRO" w:eastAsia="HG丸ｺﾞｼｯｸM-PRO" w:hAnsi="HG丸ｺﾞｼｯｸM-PRO" w:hint="eastAsia"/>
                <w:szCs w:val="21"/>
              </w:rPr>
              <w:t>48ｈ前～</w:t>
            </w:r>
          </w:p>
          <w:p w14:paraId="5B3C2437" w14:textId="77777777" w:rsidR="00037777" w:rsidRPr="001D6D10" w:rsidRDefault="00037777" w:rsidP="00037777">
            <w:pPr>
              <w:rPr>
                <w:rFonts w:ascii="HG丸ｺﾞｼｯｸM-PRO" w:eastAsia="HG丸ｺﾞｼｯｸM-PRO" w:hAnsi="HG丸ｺﾞｼｯｸM-PRO"/>
                <w:szCs w:val="21"/>
              </w:rPr>
            </w:pPr>
            <w:r w:rsidRPr="001D6D10">
              <w:rPr>
                <w:rFonts w:ascii="HG丸ｺﾞｼｯｸM-PRO" w:eastAsia="HG丸ｺﾞｼｯｸM-PRO" w:hAnsi="HG丸ｺﾞｼｯｸM-PRO" w:hint="eastAsia"/>
                <w:szCs w:val="21"/>
              </w:rPr>
              <w:t xml:space="preserve">　　24ｈ前</w:t>
            </w:r>
          </w:p>
          <w:p w14:paraId="2D462CA5" w14:textId="77777777" w:rsidR="00037777" w:rsidRPr="001D6D10" w:rsidRDefault="00037777" w:rsidP="00037777">
            <w:pPr>
              <w:rPr>
                <w:rFonts w:ascii="HG丸ｺﾞｼｯｸM-PRO" w:eastAsia="HG丸ｺﾞｼｯｸM-PRO" w:hAnsi="HG丸ｺﾞｼｯｸM-PRO"/>
                <w:szCs w:val="21"/>
              </w:rPr>
            </w:pPr>
            <w:r w:rsidRPr="001D6D10">
              <w:rPr>
                <w:rFonts w:ascii="HG丸ｺﾞｼｯｸM-PRO" w:eastAsia="HG丸ｺﾞｼｯｸM-PRO" w:hAnsi="HG丸ｺﾞｼｯｸM-PRO" w:hint="eastAsia"/>
                <w:szCs w:val="21"/>
              </w:rPr>
              <w:t>（２日前）</w:t>
            </w:r>
          </w:p>
        </w:tc>
        <w:tc>
          <w:tcPr>
            <w:tcW w:w="7037" w:type="dxa"/>
          </w:tcPr>
          <w:p w14:paraId="782B8789" w14:textId="77777777" w:rsidR="00037777" w:rsidRPr="001D6D10" w:rsidRDefault="00037777" w:rsidP="00037777">
            <w:pPr>
              <w:rPr>
                <w:rFonts w:ascii="HG丸ｺﾞｼｯｸM-PRO" w:eastAsia="HG丸ｺﾞｼｯｸM-PRO" w:hAnsi="HG丸ｺﾞｼｯｸM-PRO"/>
                <w:sz w:val="18"/>
                <w:szCs w:val="18"/>
              </w:rPr>
            </w:pPr>
            <w:r w:rsidRPr="001D6D10">
              <w:rPr>
                <w:rFonts w:ascii="HG丸ｺﾞｼｯｸM-PRO" w:eastAsia="HG丸ｺﾞｼｯｸM-PRO" w:hAnsi="HG丸ｺﾞｼｯｸM-PRO" w:hint="eastAsia"/>
                <w:szCs w:val="21"/>
              </w:rPr>
              <w:t>庁内連絡会議①：災害モード宣言の内容、第1回災害警戒本部会議の事前調整等</w:t>
            </w:r>
            <w:r w:rsidRPr="001D6D10">
              <w:rPr>
                <w:rFonts w:ascii="HG丸ｺﾞｼｯｸM-PRO" w:eastAsia="HG丸ｺﾞｼｯｸM-PRO" w:hAnsi="HG丸ｺﾞｼｯｸM-PRO" w:hint="eastAsia"/>
                <w:sz w:val="18"/>
                <w:szCs w:val="18"/>
              </w:rPr>
              <w:t>(警戒本部会議議題：管理施設の休館及び学校休校の検討、イベント等の中止検討、職員の配備態勢)</w:t>
            </w:r>
          </w:p>
          <w:p w14:paraId="38FB8B8E" w14:textId="77777777" w:rsidR="00AD02A5" w:rsidRPr="001D6D10" w:rsidRDefault="00AD02A5" w:rsidP="00AD02A5">
            <w:pPr>
              <w:rPr>
                <w:rFonts w:ascii="HG丸ｺﾞｼｯｸM-PRO" w:eastAsia="HG丸ｺﾞｼｯｸM-PRO" w:hAnsi="HG丸ｺﾞｼｯｸM-PRO"/>
                <w:szCs w:val="21"/>
              </w:rPr>
            </w:pPr>
            <w:r w:rsidRPr="001D6D10">
              <w:rPr>
                <w:rFonts w:ascii="HG丸ｺﾞｼｯｸM-PRO" w:eastAsia="HG丸ｺﾞｼｯｸM-PRO" w:hAnsi="HG丸ｺﾞｼｯｸM-PRO" w:hint="eastAsia"/>
                <w:szCs w:val="21"/>
              </w:rPr>
              <w:t>□第１回災害警戒本部会議の事前準備</w:t>
            </w:r>
          </w:p>
          <w:p w14:paraId="252598EF" w14:textId="77777777" w:rsidR="00AD02A5" w:rsidRPr="001D6D10" w:rsidRDefault="00AD02A5" w:rsidP="00AD02A5">
            <w:pPr>
              <w:rPr>
                <w:rFonts w:ascii="HG丸ｺﾞｼｯｸM-PRO" w:eastAsia="HG丸ｺﾞｼｯｸM-PRO" w:hAnsi="HG丸ｺﾞｼｯｸM-PRO"/>
                <w:szCs w:val="21"/>
              </w:rPr>
            </w:pPr>
            <w:r w:rsidRPr="001D6D10">
              <w:rPr>
                <w:rFonts w:ascii="HG丸ｺﾞｼｯｸM-PRO" w:eastAsia="HG丸ｺﾞｼｯｸM-PRO" w:hAnsi="HG丸ｺﾞｼｯｸM-PRO" w:hint="eastAsia"/>
                <w:szCs w:val="21"/>
              </w:rPr>
              <w:t xml:space="preserve">　・部局内の対応状況の確認、会議での報告のとりまとめ</w:t>
            </w:r>
          </w:p>
          <w:p w14:paraId="2E68D434" w14:textId="77777777" w:rsidR="007D0602" w:rsidRPr="001D6D10" w:rsidRDefault="00AD02A5" w:rsidP="007D0602">
            <w:pPr>
              <w:rPr>
                <w:rFonts w:ascii="HG丸ｺﾞｼｯｸM-PRO" w:eastAsia="HG丸ｺﾞｼｯｸM-PRO" w:hAnsi="HG丸ｺﾞｼｯｸM-PRO"/>
                <w:szCs w:val="21"/>
              </w:rPr>
            </w:pPr>
            <w:r w:rsidRPr="001D6D10">
              <w:rPr>
                <w:rFonts w:ascii="HG丸ｺﾞｼｯｸM-PRO" w:eastAsia="HG丸ｺﾞｼｯｸM-PRO" w:hAnsi="HG丸ｺﾞｼｯｸM-PRO" w:hint="eastAsia"/>
                <w:szCs w:val="21"/>
              </w:rPr>
              <w:t xml:space="preserve">　・</w:t>
            </w:r>
            <w:r w:rsidR="00A4645F" w:rsidRPr="001D6D10">
              <w:rPr>
                <w:rFonts w:ascii="HG丸ｺﾞｼｯｸM-PRO" w:eastAsia="HG丸ｺﾞｼｯｸM-PRO" w:hAnsi="HG丸ｺﾞｼｯｸM-PRO" w:hint="eastAsia"/>
                <w:szCs w:val="21"/>
              </w:rPr>
              <w:t>庁舎</w:t>
            </w:r>
            <w:r w:rsidRPr="001D6D10">
              <w:rPr>
                <w:rFonts w:ascii="HG丸ｺﾞｼｯｸM-PRO" w:eastAsia="HG丸ｺﾞｼｯｸM-PRO" w:hAnsi="HG丸ｺﾞｼｯｸM-PRO" w:hint="eastAsia"/>
                <w:szCs w:val="21"/>
              </w:rPr>
              <w:t>の安全確認</w:t>
            </w:r>
          </w:p>
          <w:p w14:paraId="06A19E65" w14:textId="77777777" w:rsidR="00013D0F" w:rsidRPr="001D6D10" w:rsidRDefault="00013D0F" w:rsidP="007D0602">
            <w:pPr>
              <w:rPr>
                <w:rFonts w:ascii="HG丸ｺﾞｼｯｸM-PRO" w:eastAsia="HG丸ｺﾞｼｯｸM-PRO" w:hAnsi="HG丸ｺﾞｼｯｸM-PRO"/>
                <w:szCs w:val="21"/>
                <w:u w:val="single"/>
              </w:rPr>
            </w:pPr>
            <w:r w:rsidRPr="001D6D10">
              <w:rPr>
                <w:rFonts w:ascii="HG丸ｺﾞｼｯｸM-PRO" w:eastAsia="HG丸ｺﾞｼｯｸM-PRO" w:hAnsi="HG丸ｺﾞｼｯｸM-PRO" w:hint="eastAsia"/>
                <w:szCs w:val="21"/>
                <w:bdr w:val="single" w:sz="4" w:space="0" w:color="auto"/>
              </w:rPr>
              <w:t>台風説明会</w:t>
            </w:r>
          </w:p>
        </w:tc>
      </w:tr>
      <w:tr w:rsidR="001D6D10" w:rsidRPr="001D6D10" w14:paraId="7F5E3EFB" w14:textId="77777777" w:rsidTr="00037777">
        <w:trPr>
          <w:jc w:val="center"/>
        </w:trPr>
        <w:tc>
          <w:tcPr>
            <w:tcW w:w="1457" w:type="dxa"/>
            <w:vMerge/>
          </w:tcPr>
          <w:p w14:paraId="7CE401C8" w14:textId="77777777" w:rsidR="00037777" w:rsidRPr="001D6D10" w:rsidRDefault="00037777" w:rsidP="00037777">
            <w:pPr>
              <w:rPr>
                <w:rFonts w:ascii="HG丸ｺﾞｼｯｸM-PRO" w:eastAsia="HG丸ｺﾞｼｯｸM-PRO" w:hAnsi="HG丸ｺﾞｼｯｸM-PRO"/>
                <w:szCs w:val="21"/>
              </w:rPr>
            </w:pPr>
          </w:p>
        </w:tc>
        <w:tc>
          <w:tcPr>
            <w:tcW w:w="7037" w:type="dxa"/>
          </w:tcPr>
          <w:p w14:paraId="52256345" w14:textId="77777777" w:rsidR="00037777" w:rsidRPr="001D6D10" w:rsidRDefault="00037777" w:rsidP="00037777">
            <w:pPr>
              <w:rPr>
                <w:rFonts w:ascii="HG丸ｺﾞｼｯｸM-PRO" w:eastAsia="HG丸ｺﾞｼｯｸM-PRO" w:hAnsi="HG丸ｺﾞｼｯｸM-PRO"/>
                <w:szCs w:val="21"/>
                <w:highlight w:val="yellow"/>
              </w:rPr>
            </w:pPr>
            <w:r w:rsidRPr="001D6D10">
              <w:rPr>
                <w:rFonts w:ascii="HG丸ｺﾞｼｯｸM-PRO" w:eastAsia="HG丸ｺﾞｼｯｸM-PRO" w:hAnsi="HG丸ｺﾞｼｯｸM-PRO" w:hint="eastAsia"/>
                <w:b/>
                <w:szCs w:val="21"/>
                <w:highlight w:val="yellow"/>
              </w:rPr>
              <w:t>第1回災害警戒本部会議</w:t>
            </w:r>
            <w:r w:rsidRPr="001D6D10">
              <w:rPr>
                <w:rFonts w:ascii="HG丸ｺﾞｼｯｸM-PRO" w:eastAsia="HG丸ｺﾞｼｯｸM-PRO" w:hAnsi="HG丸ｺﾞｼｯｸM-PRO" w:hint="eastAsia"/>
                <w:szCs w:val="21"/>
                <w:highlight w:val="yellow"/>
              </w:rPr>
              <w:t>（災害モード宣言の内容検討）</w:t>
            </w:r>
            <w:r w:rsidR="00CB0ABF" w:rsidRPr="001D6D10">
              <w:rPr>
                <w:rFonts w:ascii="HG丸ｺﾞｼｯｸM-PRO" w:eastAsia="HG丸ｺﾞｼｯｸM-PRO" w:hAnsi="HG丸ｺﾞｼｯｸM-PRO" w:hint="eastAsia"/>
                <w:szCs w:val="21"/>
                <w:highlight w:val="yellow"/>
              </w:rPr>
              <w:t>（Ｐ47</w:t>
            </w:r>
            <w:r w:rsidR="0010145B" w:rsidRPr="001D6D10">
              <w:rPr>
                <w:rFonts w:ascii="HG丸ｺﾞｼｯｸM-PRO" w:eastAsia="HG丸ｺﾞｼｯｸM-PRO" w:hAnsi="HG丸ｺﾞｼｯｸM-PRO" w:hint="eastAsia"/>
                <w:szCs w:val="21"/>
                <w:highlight w:val="yellow"/>
              </w:rPr>
              <w:t>参照）</w:t>
            </w:r>
          </w:p>
        </w:tc>
      </w:tr>
      <w:tr w:rsidR="001D6D10" w:rsidRPr="001D6D10" w14:paraId="5A324C36" w14:textId="77777777" w:rsidTr="00037777">
        <w:trPr>
          <w:jc w:val="center"/>
        </w:trPr>
        <w:tc>
          <w:tcPr>
            <w:tcW w:w="1457" w:type="dxa"/>
            <w:vMerge/>
          </w:tcPr>
          <w:p w14:paraId="5DA3191F" w14:textId="77777777" w:rsidR="00037777" w:rsidRPr="001D6D10" w:rsidRDefault="00037777" w:rsidP="00037777">
            <w:pPr>
              <w:rPr>
                <w:rFonts w:ascii="HG丸ｺﾞｼｯｸM-PRO" w:eastAsia="HG丸ｺﾞｼｯｸM-PRO" w:hAnsi="HG丸ｺﾞｼｯｸM-PRO"/>
                <w:szCs w:val="21"/>
              </w:rPr>
            </w:pPr>
          </w:p>
        </w:tc>
        <w:tc>
          <w:tcPr>
            <w:tcW w:w="7037" w:type="dxa"/>
          </w:tcPr>
          <w:p w14:paraId="55079081" w14:textId="77777777" w:rsidR="009B1A57" w:rsidRPr="001D6D10" w:rsidRDefault="00295E46" w:rsidP="00037777">
            <w:pPr>
              <w:rPr>
                <w:rFonts w:ascii="HG丸ｺﾞｼｯｸM-PRO" w:eastAsia="HG丸ｺﾞｼｯｸM-PRO" w:hAnsi="HG丸ｺﾞｼｯｸM-PRO"/>
                <w:szCs w:val="21"/>
              </w:rPr>
            </w:pPr>
            <w:r w:rsidRPr="001D6D10">
              <w:rPr>
                <w:rFonts w:ascii="HG丸ｺﾞｼｯｸM-PRO" w:eastAsia="HG丸ｺﾞｼｯｸM-PRO" w:hAnsi="HG丸ｺﾞｼｯｸM-PRO" w:hint="eastAsia"/>
                <w:szCs w:val="21"/>
              </w:rPr>
              <w:t>□危機管理室からの情報の共有</w:t>
            </w:r>
          </w:p>
          <w:p w14:paraId="1E3F8154" w14:textId="77777777" w:rsidR="005A0125" w:rsidRPr="001D6D10" w:rsidRDefault="005A0125" w:rsidP="00037777">
            <w:pPr>
              <w:rPr>
                <w:rFonts w:ascii="HG丸ｺﾞｼｯｸM-PRO" w:eastAsia="HG丸ｺﾞｼｯｸM-PRO" w:hAnsi="HG丸ｺﾞｼｯｸM-PRO"/>
                <w:szCs w:val="21"/>
              </w:rPr>
            </w:pPr>
            <w:r w:rsidRPr="001D6D10">
              <w:rPr>
                <w:rFonts w:ascii="HG丸ｺﾞｼｯｸM-PRO" w:eastAsia="HG丸ｺﾞｼｯｸM-PRO" w:hAnsi="HG丸ｺﾞｼｯｸM-PRO" w:hint="eastAsia"/>
                <w:szCs w:val="21"/>
              </w:rPr>
              <w:t>□公共交通機関計画運休の確認</w:t>
            </w:r>
          </w:p>
          <w:p w14:paraId="05512C8A" w14:textId="77777777" w:rsidR="00376F1D" w:rsidRPr="001D6D10" w:rsidRDefault="00376F1D" w:rsidP="00376F1D">
            <w:pPr>
              <w:rPr>
                <w:rFonts w:ascii="HG丸ｺﾞｼｯｸM-PRO" w:eastAsia="HG丸ｺﾞｼｯｸM-PRO" w:hAnsi="HG丸ｺﾞｼｯｸM-PRO"/>
                <w:szCs w:val="21"/>
              </w:rPr>
            </w:pPr>
            <w:r w:rsidRPr="001D6D10">
              <w:rPr>
                <w:rFonts w:ascii="HG丸ｺﾞｼｯｸM-PRO" w:eastAsia="HG丸ｺﾞｼｯｸM-PRO" w:hAnsi="HG丸ｺﾞｼｯｸM-PRO" w:hint="eastAsia"/>
                <w:szCs w:val="21"/>
              </w:rPr>
              <w:t>□職員体制の確認・確保</w:t>
            </w:r>
          </w:p>
          <w:p w14:paraId="16266661" w14:textId="77777777" w:rsidR="00037777" w:rsidRPr="001D6D10" w:rsidRDefault="00037777" w:rsidP="00037777">
            <w:pPr>
              <w:rPr>
                <w:rFonts w:ascii="HG丸ｺﾞｼｯｸM-PRO" w:eastAsia="HG丸ｺﾞｼｯｸM-PRO" w:hAnsi="HG丸ｺﾞｼｯｸM-PRO"/>
                <w:szCs w:val="21"/>
              </w:rPr>
            </w:pPr>
            <w:r w:rsidRPr="001D6D10">
              <w:rPr>
                <w:rFonts w:ascii="HG丸ｺﾞｼｯｸM-PRO" w:eastAsia="HG丸ｺﾞｼｯｸM-PRO" w:hAnsi="HG丸ｺﾞｼｯｸM-PRO" w:hint="eastAsia"/>
                <w:szCs w:val="21"/>
              </w:rPr>
              <w:t>□収用委員会議・審理・現地調査の中止、延期等の調整</w:t>
            </w:r>
          </w:p>
        </w:tc>
      </w:tr>
      <w:tr w:rsidR="001D6D10" w:rsidRPr="001D6D10" w14:paraId="3E2D1F25" w14:textId="77777777" w:rsidTr="00037777">
        <w:trPr>
          <w:jc w:val="center"/>
        </w:trPr>
        <w:tc>
          <w:tcPr>
            <w:tcW w:w="1457" w:type="dxa"/>
            <w:vMerge w:val="restart"/>
          </w:tcPr>
          <w:p w14:paraId="56A29D91" w14:textId="77777777" w:rsidR="00934E60" w:rsidRPr="001D6D10" w:rsidRDefault="00934E60" w:rsidP="00037777">
            <w:pPr>
              <w:rPr>
                <w:rFonts w:ascii="HG丸ｺﾞｼｯｸM-PRO" w:eastAsia="HG丸ｺﾞｼｯｸM-PRO" w:hAnsi="HG丸ｺﾞｼｯｸM-PRO"/>
                <w:szCs w:val="21"/>
              </w:rPr>
            </w:pPr>
          </w:p>
          <w:p w14:paraId="3783975F" w14:textId="77777777" w:rsidR="00934E60" w:rsidRPr="001D6D10" w:rsidRDefault="00934E60" w:rsidP="00037777">
            <w:pPr>
              <w:rPr>
                <w:rFonts w:ascii="HG丸ｺﾞｼｯｸM-PRO" w:eastAsia="HG丸ｺﾞｼｯｸM-PRO" w:hAnsi="HG丸ｺﾞｼｯｸM-PRO"/>
                <w:szCs w:val="21"/>
              </w:rPr>
            </w:pPr>
          </w:p>
          <w:p w14:paraId="4E52ED3B" w14:textId="77777777" w:rsidR="00037777" w:rsidRPr="001D6D10" w:rsidRDefault="00037777" w:rsidP="00037777">
            <w:pPr>
              <w:rPr>
                <w:rFonts w:ascii="HG丸ｺﾞｼｯｸM-PRO" w:eastAsia="HG丸ｺﾞｼｯｸM-PRO" w:hAnsi="HG丸ｺﾞｼｯｸM-PRO"/>
                <w:szCs w:val="21"/>
              </w:rPr>
            </w:pPr>
            <w:r w:rsidRPr="001D6D10">
              <w:rPr>
                <w:rFonts w:ascii="HG丸ｺﾞｼｯｸM-PRO" w:eastAsia="HG丸ｺﾞｼｯｸM-PRO" w:hAnsi="HG丸ｺﾞｼｯｸM-PRO" w:hint="eastAsia"/>
                <w:szCs w:val="21"/>
              </w:rPr>
              <w:t>24ｈ前～</w:t>
            </w:r>
          </w:p>
          <w:p w14:paraId="5E63C27B" w14:textId="77777777" w:rsidR="00037777" w:rsidRPr="001D6D10" w:rsidRDefault="00037777" w:rsidP="00037777">
            <w:pPr>
              <w:rPr>
                <w:rFonts w:ascii="HG丸ｺﾞｼｯｸM-PRO" w:eastAsia="HG丸ｺﾞｼｯｸM-PRO" w:hAnsi="HG丸ｺﾞｼｯｸM-PRO"/>
                <w:szCs w:val="21"/>
              </w:rPr>
            </w:pPr>
            <w:r w:rsidRPr="001D6D10">
              <w:rPr>
                <w:rFonts w:ascii="HG丸ｺﾞｼｯｸM-PRO" w:eastAsia="HG丸ｺﾞｼｯｸM-PRO" w:hAnsi="HG丸ｺﾞｼｯｸM-PRO" w:hint="eastAsia"/>
                <w:szCs w:val="21"/>
              </w:rPr>
              <w:t xml:space="preserve">　　最接近</w:t>
            </w:r>
          </w:p>
          <w:p w14:paraId="3428BE8D" w14:textId="77777777" w:rsidR="00037777" w:rsidRPr="001D6D10" w:rsidRDefault="00037777" w:rsidP="00037777">
            <w:pPr>
              <w:rPr>
                <w:rFonts w:ascii="HG丸ｺﾞｼｯｸM-PRO" w:eastAsia="HG丸ｺﾞｼｯｸM-PRO" w:hAnsi="HG丸ｺﾞｼｯｸM-PRO"/>
                <w:szCs w:val="21"/>
              </w:rPr>
            </w:pPr>
            <w:r w:rsidRPr="001D6D10">
              <w:rPr>
                <w:rFonts w:ascii="HG丸ｺﾞｼｯｸM-PRO" w:eastAsia="HG丸ｺﾞｼｯｸM-PRO" w:hAnsi="HG丸ｺﾞｼｯｸM-PRO" w:hint="eastAsia"/>
                <w:szCs w:val="21"/>
              </w:rPr>
              <w:t>（１日前）</w:t>
            </w:r>
          </w:p>
        </w:tc>
        <w:tc>
          <w:tcPr>
            <w:tcW w:w="7037" w:type="dxa"/>
          </w:tcPr>
          <w:p w14:paraId="1A230735" w14:textId="77777777" w:rsidR="00037777" w:rsidRPr="001D6D10" w:rsidRDefault="00037777" w:rsidP="00037777">
            <w:pPr>
              <w:rPr>
                <w:rFonts w:ascii="HG丸ｺﾞｼｯｸM-PRO" w:eastAsia="HG丸ｺﾞｼｯｸM-PRO" w:hAnsi="HG丸ｺﾞｼｯｸM-PRO"/>
                <w:szCs w:val="21"/>
              </w:rPr>
            </w:pPr>
            <w:r w:rsidRPr="001D6D10">
              <w:rPr>
                <w:rFonts w:ascii="HG丸ｺﾞｼｯｸM-PRO" w:eastAsia="HG丸ｺﾞｼｯｸM-PRO" w:hAnsi="HG丸ｺﾞｼｯｸM-PRO" w:hint="eastAsia"/>
                <w:szCs w:val="21"/>
              </w:rPr>
              <w:t>庁内連絡会議②：第2回災害警戒本部会議の事前調整等</w:t>
            </w:r>
          </w:p>
          <w:p w14:paraId="4CD849E1" w14:textId="77777777" w:rsidR="00AD02A5" w:rsidRPr="001D6D10" w:rsidRDefault="00AD02A5" w:rsidP="00AD02A5">
            <w:pPr>
              <w:rPr>
                <w:rFonts w:ascii="HG丸ｺﾞｼｯｸM-PRO" w:eastAsia="HG丸ｺﾞｼｯｸM-PRO" w:hAnsi="HG丸ｺﾞｼｯｸM-PRO"/>
                <w:szCs w:val="21"/>
              </w:rPr>
            </w:pPr>
            <w:r w:rsidRPr="001D6D10">
              <w:rPr>
                <w:rFonts w:ascii="HG丸ｺﾞｼｯｸM-PRO" w:eastAsia="HG丸ｺﾞｼｯｸM-PRO" w:hAnsi="HG丸ｺﾞｼｯｸM-PRO" w:hint="eastAsia"/>
                <w:szCs w:val="21"/>
              </w:rPr>
              <w:t>□第２回災害警戒本部会議の事前準備</w:t>
            </w:r>
          </w:p>
          <w:p w14:paraId="20971D79" w14:textId="77777777" w:rsidR="00AD02A5" w:rsidRPr="001D6D10" w:rsidRDefault="00AD02A5" w:rsidP="00AD02A5">
            <w:pPr>
              <w:rPr>
                <w:rFonts w:ascii="HG丸ｺﾞｼｯｸM-PRO" w:eastAsia="HG丸ｺﾞｼｯｸM-PRO" w:hAnsi="HG丸ｺﾞｼｯｸM-PRO"/>
                <w:szCs w:val="21"/>
              </w:rPr>
            </w:pPr>
            <w:r w:rsidRPr="001D6D10">
              <w:rPr>
                <w:rFonts w:ascii="HG丸ｺﾞｼｯｸM-PRO" w:eastAsia="HG丸ｺﾞｼｯｸM-PRO" w:hAnsi="HG丸ｺﾞｼｯｸM-PRO" w:hint="eastAsia"/>
                <w:szCs w:val="21"/>
              </w:rPr>
              <w:t xml:space="preserve">　・部局内の対応状況の確認、会議での報告のとりまとめ</w:t>
            </w:r>
          </w:p>
          <w:p w14:paraId="6052718A" w14:textId="77777777" w:rsidR="007D0602" w:rsidRPr="001D6D10" w:rsidRDefault="00AD02A5" w:rsidP="007D0602">
            <w:pPr>
              <w:rPr>
                <w:rFonts w:ascii="HG丸ｺﾞｼｯｸM-PRO" w:eastAsia="HG丸ｺﾞｼｯｸM-PRO" w:hAnsi="HG丸ｺﾞｼｯｸM-PRO"/>
                <w:szCs w:val="21"/>
              </w:rPr>
            </w:pPr>
            <w:r w:rsidRPr="001D6D10">
              <w:rPr>
                <w:rFonts w:ascii="HG丸ｺﾞｼｯｸM-PRO" w:eastAsia="HG丸ｺﾞｼｯｸM-PRO" w:hAnsi="HG丸ｺﾞｼｯｸM-PRO" w:hint="eastAsia"/>
                <w:szCs w:val="21"/>
              </w:rPr>
              <w:t xml:space="preserve">　・</w:t>
            </w:r>
            <w:r w:rsidR="00A4645F" w:rsidRPr="001D6D10">
              <w:rPr>
                <w:rFonts w:ascii="HG丸ｺﾞｼｯｸM-PRO" w:eastAsia="HG丸ｺﾞｼｯｸM-PRO" w:hAnsi="HG丸ｺﾞｼｯｸM-PRO" w:hint="eastAsia"/>
                <w:szCs w:val="21"/>
              </w:rPr>
              <w:t>庁舎</w:t>
            </w:r>
            <w:r w:rsidRPr="001D6D10">
              <w:rPr>
                <w:rFonts w:ascii="HG丸ｺﾞｼｯｸM-PRO" w:eastAsia="HG丸ｺﾞｼｯｸM-PRO" w:hAnsi="HG丸ｺﾞｼｯｸM-PRO" w:hint="eastAsia"/>
                <w:szCs w:val="21"/>
              </w:rPr>
              <w:t>の安全点検</w:t>
            </w:r>
          </w:p>
          <w:p w14:paraId="55DA9904" w14:textId="77777777" w:rsidR="00013D0F" w:rsidRPr="001D6D10" w:rsidRDefault="00013D0F" w:rsidP="007D0602">
            <w:pPr>
              <w:rPr>
                <w:rFonts w:ascii="HG丸ｺﾞｼｯｸM-PRO" w:eastAsia="HG丸ｺﾞｼｯｸM-PRO" w:hAnsi="HG丸ｺﾞｼｯｸM-PRO"/>
                <w:szCs w:val="21"/>
                <w:u w:val="single"/>
              </w:rPr>
            </w:pPr>
            <w:r w:rsidRPr="001D6D10">
              <w:rPr>
                <w:rFonts w:ascii="HG丸ｺﾞｼｯｸM-PRO" w:eastAsia="HG丸ｺﾞｼｯｸM-PRO" w:hAnsi="HG丸ｺﾞｼｯｸM-PRO" w:hint="eastAsia"/>
                <w:szCs w:val="21"/>
                <w:bdr w:val="single" w:sz="4" w:space="0" w:color="auto"/>
              </w:rPr>
              <w:t>台風説明会</w:t>
            </w:r>
          </w:p>
        </w:tc>
      </w:tr>
      <w:tr w:rsidR="001D6D10" w:rsidRPr="001D6D10" w14:paraId="03458AEA" w14:textId="77777777" w:rsidTr="00037777">
        <w:trPr>
          <w:jc w:val="center"/>
        </w:trPr>
        <w:tc>
          <w:tcPr>
            <w:tcW w:w="1457" w:type="dxa"/>
            <w:vMerge/>
          </w:tcPr>
          <w:p w14:paraId="6410AF79" w14:textId="77777777" w:rsidR="00037777" w:rsidRPr="001D6D10" w:rsidRDefault="00037777" w:rsidP="00037777">
            <w:pPr>
              <w:rPr>
                <w:rFonts w:ascii="HG丸ｺﾞｼｯｸM-PRO" w:eastAsia="HG丸ｺﾞｼｯｸM-PRO" w:hAnsi="HG丸ｺﾞｼｯｸM-PRO"/>
                <w:szCs w:val="21"/>
              </w:rPr>
            </w:pPr>
          </w:p>
        </w:tc>
        <w:tc>
          <w:tcPr>
            <w:tcW w:w="7037" w:type="dxa"/>
          </w:tcPr>
          <w:p w14:paraId="6F289769" w14:textId="77777777" w:rsidR="00037777" w:rsidRPr="001D6D10" w:rsidRDefault="00037777" w:rsidP="00037777">
            <w:pPr>
              <w:rPr>
                <w:rFonts w:ascii="HG丸ｺﾞｼｯｸM-PRO" w:eastAsia="HG丸ｺﾞｼｯｸM-PRO" w:hAnsi="HG丸ｺﾞｼｯｸM-PRO"/>
                <w:szCs w:val="21"/>
                <w:highlight w:val="yellow"/>
              </w:rPr>
            </w:pPr>
            <w:r w:rsidRPr="001D6D10">
              <w:rPr>
                <w:rFonts w:ascii="HG丸ｺﾞｼｯｸM-PRO" w:eastAsia="HG丸ｺﾞｼｯｸM-PRO" w:hAnsi="HG丸ｺﾞｼｯｸM-PRO" w:hint="eastAsia"/>
                <w:b/>
                <w:szCs w:val="21"/>
                <w:highlight w:val="yellow"/>
              </w:rPr>
              <w:t>第２回災害警戒本部会議</w:t>
            </w:r>
            <w:r w:rsidRPr="001D6D10">
              <w:rPr>
                <w:rFonts w:ascii="HG丸ｺﾞｼｯｸM-PRO" w:eastAsia="HG丸ｺﾞｼｯｸM-PRO" w:hAnsi="HG丸ｺﾞｼｯｸM-PRO" w:hint="eastAsia"/>
                <w:szCs w:val="21"/>
                <w:highlight w:val="yellow"/>
              </w:rPr>
              <w:t>（災害モード宣言の発信）</w:t>
            </w:r>
            <w:r w:rsidR="00CB0ABF" w:rsidRPr="001D6D10">
              <w:rPr>
                <w:rFonts w:ascii="HG丸ｺﾞｼｯｸM-PRO" w:eastAsia="HG丸ｺﾞｼｯｸM-PRO" w:hAnsi="HG丸ｺﾞｼｯｸM-PRO" w:hint="eastAsia"/>
                <w:szCs w:val="21"/>
                <w:highlight w:val="yellow"/>
              </w:rPr>
              <w:t>（Ｐ47</w:t>
            </w:r>
            <w:r w:rsidR="0010145B" w:rsidRPr="001D6D10">
              <w:rPr>
                <w:rFonts w:ascii="HG丸ｺﾞｼｯｸM-PRO" w:eastAsia="HG丸ｺﾞｼｯｸM-PRO" w:hAnsi="HG丸ｺﾞｼｯｸM-PRO" w:hint="eastAsia"/>
                <w:szCs w:val="21"/>
                <w:highlight w:val="yellow"/>
              </w:rPr>
              <w:t>参照）</w:t>
            </w:r>
          </w:p>
        </w:tc>
      </w:tr>
      <w:tr w:rsidR="001D6D10" w:rsidRPr="001D6D10" w14:paraId="761CCEC0" w14:textId="77777777" w:rsidTr="00037777">
        <w:trPr>
          <w:jc w:val="center"/>
        </w:trPr>
        <w:tc>
          <w:tcPr>
            <w:tcW w:w="1457" w:type="dxa"/>
            <w:vMerge/>
          </w:tcPr>
          <w:p w14:paraId="1DEED88D" w14:textId="77777777" w:rsidR="00037777" w:rsidRPr="001D6D10" w:rsidRDefault="00037777" w:rsidP="00037777">
            <w:pPr>
              <w:rPr>
                <w:rFonts w:ascii="HG丸ｺﾞｼｯｸM-PRO" w:eastAsia="HG丸ｺﾞｼｯｸM-PRO" w:hAnsi="HG丸ｺﾞｼｯｸM-PRO"/>
                <w:szCs w:val="21"/>
              </w:rPr>
            </w:pPr>
          </w:p>
        </w:tc>
        <w:tc>
          <w:tcPr>
            <w:tcW w:w="7037" w:type="dxa"/>
          </w:tcPr>
          <w:p w14:paraId="6EF64CC6" w14:textId="77777777" w:rsidR="00295E46" w:rsidRPr="001D6D10" w:rsidRDefault="00295E46" w:rsidP="00037777">
            <w:pPr>
              <w:rPr>
                <w:rFonts w:ascii="HG丸ｺﾞｼｯｸM-PRO" w:eastAsia="HG丸ｺﾞｼｯｸM-PRO" w:hAnsi="HG丸ｺﾞｼｯｸM-PRO"/>
                <w:szCs w:val="21"/>
              </w:rPr>
            </w:pPr>
            <w:r w:rsidRPr="001D6D10">
              <w:rPr>
                <w:rFonts w:ascii="HG丸ｺﾞｼｯｸM-PRO" w:eastAsia="HG丸ｺﾞｼｯｸM-PRO" w:hAnsi="HG丸ｺﾞｼｯｸM-PRO" w:hint="eastAsia"/>
                <w:szCs w:val="21"/>
              </w:rPr>
              <w:t>□危機管理室からの情報の共有</w:t>
            </w:r>
          </w:p>
          <w:p w14:paraId="79EC3792" w14:textId="77777777" w:rsidR="00037777" w:rsidRPr="001D6D10" w:rsidRDefault="00037777" w:rsidP="00037777">
            <w:pPr>
              <w:rPr>
                <w:rFonts w:ascii="HG丸ｺﾞｼｯｸM-PRO" w:eastAsia="HG丸ｺﾞｼｯｸM-PRO" w:hAnsi="HG丸ｺﾞｼｯｸM-PRO"/>
                <w:szCs w:val="21"/>
              </w:rPr>
            </w:pPr>
            <w:r w:rsidRPr="001D6D10">
              <w:rPr>
                <w:rFonts w:ascii="HG丸ｺﾞｼｯｸM-PRO" w:eastAsia="HG丸ｺﾞｼｯｸM-PRO" w:hAnsi="HG丸ｺﾞｼｯｸM-PRO" w:hint="eastAsia"/>
                <w:szCs w:val="21"/>
              </w:rPr>
              <w:t>□収用委員会議・審理・現地調査の中止、延期等の調整</w:t>
            </w:r>
          </w:p>
        </w:tc>
      </w:tr>
    </w:tbl>
    <w:p w14:paraId="4A349F8C" w14:textId="77777777" w:rsidR="00037777" w:rsidRPr="001D6D10" w:rsidRDefault="00037777" w:rsidP="00037777">
      <w:pPr>
        <w:rPr>
          <w:rFonts w:ascii="ＭＳ ゴシック" w:eastAsia="ＭＳ ゴシック" w:hAnsi="ＭＳ ゴシック"/>
          <w:b/>
          <w:sz w:val="22"/>
          <w:szCs w:val="22"/>
          <w:u w:val="double"/>
        </w:rPr>
      </w:pPr>
    </w:p>
    <w:p w14:paraId="5FD9AB2E" w14:textId="77777777" w:rsidR="00CD006F" w:rsidRPr="001D6D10" w:rsidRDefault="00CD006F" w:rsidP="00CD006F">
      <w:pPr>
        <w:rPr>
          <w:rFonts w:ascii="ＭＳ ゴシック" w:eastAsia="ＭＳ ゴシック" w:hAnsi="ＭＳ ゴシック"/>
          <w:sz w:val="18"/>
          <w:szCs w:val="22"/>
        </w:rPr>
      </w:pPr>
      <w:r w:rsidRPr="001D6D10">
        <w:rPr>
          <w:rFonts w:ascii="ＭＳ ゴシック" w:eastAsia="ＭＳ ゴシック" w:hAnsi="ＭＳ ゴシック" w:hint="eastAsia"/>
          <w:sz w:val="18"/>
          <w:szCs w:val="22"/>
        </w:rPr>
        <w:t>※）本タイムラインから状況に応じて必要な項目を選定し、実施するものとする。</w:t>
      </w:r>
    </w:p>
    <w:p w14:paraId="3C88DE13" w14:textId="77777777" w:rsidR="00037777" w:rsidRPr="001D6D10" w:rsidRDefault="00037777" w:rsidP="00EB20A0">
      <w:pPr>
        <w:rPr>
          <w:rFonts w:ascii="ＭＳ ゴシック" w:eastAsia="ＭＳ ゴシック" w:hAnsi="ＭＳ ゴシック"/>
          <w:b/>
          <w:sz w:val="22"/>
          <w:szCs w:val="22"/>
          <w:u w:val="double"/>
        </w:rPr>
      </w:pPr>
    </w:p>
    <w:p w14:paraId="69BC5AFD" w14:textId="77777777" w:rsidR="00037777" w:rsidRPr="001D6D10" w:rsidRDefault="00037777" w:rsidP="00EB20A0">
      <w:pPr>
        <w:rPr>
          <w:rFonts w:ascii="ＭＳ ゴシック" w:eastAsia="ＭＳ ゴシック" w:hAnsi="ＭＳ ゴシック"/>
          <w:b/>
          <w:sz w:val="22"/>
          <w:szCs w:val="22"/>
          <w:u w:val="double"/>
        </w:rPr>
      </w:pPr>
    </w:p>
    <w:p w14:paraId="79FB7ED0" w14:textId="77777777" w:rsidR="00F335E2" w:rsidRPr="001D6D10" w:rsidRDefault="00F335E2" w:rsidP="00EB20A0">
      <w:pPr>
        <w:rPr>
          <w:rFonts w:ascii="ＭＳ ゴシック" w:eastAsia="ＭＳ ゴシック" w:hAnsi="ＭＳ ゴシック"/>
          <w:b/>
          <w:sz w:val="22"/>
          <w:szCs w:val="22"/>
          <w:u w:val="double"/>
        </w:rPr>
      </w:pPr>
    </w:p>
    <w:p w14:paraId="403CE8C6" w14:textId="77777777" w:rsidR="00F335E2" w:rsidRPr="001D6D10" w:rsidRDefault="00F335E2" w:rsidP="00F335E2">
      <w:pPr>
        <w:rPr>
          <w:rFonts w:ascii="ＭＳ ゴシック" w:eastAsia="ＭＳ ゴシック" w:hAnsi="ＭＳ ゴシック"/>
          <w:sz w:val="28"/>
          <w:szCs w:val="28"/>
        </w:rPr>
        <w:sectPr w:rsidR="00F335E2" w:rsidRPr="001D6D10" w:rsidSect="00CF6881">
          <w:headerReference w:type="default" r:id="rId15"/>
          <w:pgSz w:w="11906" w:h="16838" w:code="9"/>
          <w:pgMar w:top="1701" w:right="1531" w:bottom="1701" w:left="1531" w:header="850" w:footer="850" w:gutter="0"/>
          <w:pgNumType w:fmt="numberInDash" w:start="1"/>
          <w:cols w:space="425"/>
          <w:docGrid w:type="linesAndChars" w:linePitch="353" w:charSpace="225"/>
        </w:sectPr>
      </w:pPr>
    </w:p>
    <w:p w14:paraId="7BBACD77" w14:textId="77777777" w:rsidR="00F335E2" w:rsidRPr="001D6D10" w:rsidRDefault="00F335E2">
      <w:pPr>
        <w:pStyle w:val="1"/>
        <w:rPr>
          <w:sz w:val="22"/>
          <w:szCs w:val="22"/>
        </w:rPr>
      </w:pPr>
      <w:bookmarkStart w:id="28" w:name="_Toc122436873"/>
      <w:bookmarkStart w:id="29" w:name="_Toc222486563"/>
      <w:bookmarkStart w:id="30" w:name="_Toc242870232"/>
      <w:r w:rsidRPr="001D6D10">
        <w:rPr>
          <w:rFonts w:hint="eastAsia"/>
        </w:rPr>
        <w:lastRenderedPageBreak/>
        <w:t>第２章　活動体制の確立</w:t>
      </w:r>
      <w:r w:rsidRPr="001D6D10">
        <w:rPr>
          <w:rFonts w:hint="eastAsia"/>
          <w:sz w:val="22"/>
          <w:szCs w:val="22"/>
        </w:rPr>
        <w:t>【地震・風水害時】</w:t>
      </w:r>
      <w:bookmarkEnd w:id="28"/>
      <w:bookmarkEnd w:id="29"/>
      <w:bookmarkEnd w:id="30"/>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22"/>
        <w:gridCol w:w="3019"/>
        <w:gridCol w:w="3185"/>
      </w:tblGrid>
      <w:tr w:rsidR="001D6D10" w:rsidRPr="001D6D10" w14:paraId="21CA05D6" w14:textId="77777777" w:rsidTr="004756AA">
        <w:tc>
          <w:tcPr>
            <w:tcW w:w="2700" w:type="dxa"/>
          </w:tcPr>
          <w:p w14:paraId="486950C1" w14:textId="77777777" w:rsidR="00F335E2" w:rsidRPr="001D6D10" w:rsidRDefault="00F335E2" w:rsidP="00F335E2">
            <w:pPr>
              <w:jc w:val="center"/>
              <w:rPr>
                <w:rFonts w:ascii="ＭＳ ゴシック" w:eastAsia="ＭＳ ゴシック" w:hAnsi="ＭＳ ゴシック"/>
                <w:sz w:val="22"/>
                <w:szCs w:val="22"/>
              </w:rPr>
            </w:pPr>
            <w:r w:rsidRPr="001D6D10">
              <w:rPr>
                <w:rFonts w:ascii="ＭＳ ゴシック" w:eastAsia="ＭＳ ゴシック" w:hAnsi="ＭＳ ゴシック" w:hint="eastAsia"/>
                <w:sz w:val="22"/>
                <w:szCs w:val="22"/>
              </w:rPr>
              <w:t>災害原因情報</w:t>
            </w:r>
          </w:p>
        </w:tc>
        <w:tc>
          <w:tcPr>
            <w:tcW w:w="3240" w:type="dxa"/>
          </w:tcPr>
          <w:p w14:paraId="0B4BE624" w14:textId="77777777" w:rsidR="00F335E2" w:rsidRPr="001D6D10" w:rsidRDefault="00F335E2" w:rsidP="00F335E2">
            <w:pPr>
              <w:jc w:val="center"/>
              <w:rPr>
                <w:rFonts w:ascii="ＭＳ ゴシック" w:eastAsia="ＭＳ ゴシック" w:hAnsi="ＭＳ ゴシック"/>
                <w:sz w:val="22"/>
                <w:szCs w:val="22"/>
              </w:rPr>
            </w:pPr>
            <w:r w:rsidRPr="001D6D10">
              <w:rPr>
                <w:rFonts w:ascii="ＭＳ ゴシック" w:eastAsia="ＭＳ ゴシック" w:hAnsi="ＭＳ ゴシック" w:hint="eastAsia"/>
                <w:sz w:val="22"/>
                <w:szCs w:val="22"/>
              </w:rPr>
              <w:t>府組織</w:t>
            </w:r>
          </w:p>
        </w:tc>
        <w:tc>
          <w:tcPr>
            <w:tcW w:w="3420" w:type="dxa"/>
          </w:tcPr>
          <w:p w14:paraId="79C8A760" w14:textId="77777777" w:rsidR="00F335E2" w:rsidRPr="001D6D10" w:rsidRDefault="00F335E2" w:rsidP="00F335E2">
            <w:pPr>
              <w:jc w:val="center"/>
              <w:rPr>
                <w:rFonts w:ascii="ＭＳ ゴシック" w:eastAsia="ＭＳ ゴシック" w:hAnsi="ＭＳ ゴシック"/>
                <w:sz w:val="22"/>
                <w:szCs w:val="22"/>
              </w:rPr>
            </w:pPr>
            <w:r w:rsidRPr="001D6D10">
              <w:rPr>
                <w:rFonts w:ascii="ＭＳ ゴシック" w:eastAsia="ＭＳ ゴシック" w:hAnsi="ＭＳ ゴシック" w:hint="eastAsia"/>
                <w:sz w:val="22"/>
                <w:szCs w:val="22"/>
              </w:rPr>
              <w:t>初動対応</w:t>
            </w:r>
          </w:p>
        </w:tc>
      </w:tr>
    </w:tbl>
    <w:p w14:paraId="5E4EB53D" w14:textId="77777777" w:rsidR="00F335E2" w:rsidRPr="001D6D10" w:rsidRDefault="00F335E2" w:rsidP="00F335E2">
      <w:pPr>
        <w:rPr>
          <w:rFonts w:ascii="ＭＳ ゴシック" w:eastAsia="ＭＳ ゴシック" w:hAnsi="ＭＳ ゴシック"/>
          <w:sz w:val="22"/>
          <w:szCs w:val="22"/>
        </w:rPr>
      </w:pPr>
      <w:r w:rsidRPr="001D6D10">
        <w:rPr>
          <w:rFonts w:ascii="ＭＳ ゴシック" w:eastAsia="ＭＳ ゴシック" w:hAnsi="ＭＳ ゴシック" w:hint="eastAsia"/>
          <w:noProof/>
          <w:sz w:val="22"/>
          <w:szCs w:val="22"/>
        </w:rPr>
        <mc:AlternateContent>
          <mc:Choice Requires="wps">
            <w:drawing>
              <wp:anchor distT="0" distB="0" distL="114300" distR="114300" simplePos="0" relativeHeight="254029824" behindDoc="0" locked="0" layoutInCell="1" allowOverlap="1" wp14:anchorId="0282EFA7" wp14:editId="70B04232">
                <wp:simplePos x="0" y="0"/>
                <wp:positionH relativeFrom="column">
                  <wp:posOffset>3771900</wp:posOffset>
                </wp:positionH>
                <wp:positionV relativeFrom="paragraph">
                  <wp:posOffset>101600</wp:posOffset>
                </wp:positionV>
                <wp:extent cx="2171700" cy="7857490"/>
                <wp:effectExtent l="0" t="0" r="0" b="3810"/>
                <wp:wrapNone/>
                <wp:docPr id="4419" name="Text Box 197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71700" cy="7857490"/>
                        </a:xfrm>
                        <a:prstGeom prst="rect">
                          <a:avLst/>
                        </a:prstGeom>
                        <a:solidFill>
                          <a:srgbClr val="FFFFFF"/>
                        </a:solidFill>
                        <a:ln>
                          <a:noFill/>
                        </a:ln>
                        <a:effectLst/>
                        <a:extLst>
                          <a:ext uri="{91240B29-F687-4F45-9708-019B960494DF}">
                            <a14:hiddenLine xmlns:a14="http://schemas.microsoft.com/office/drawing/2010/main" w="9525" algn="ctr">
                              <a:solidFill>
                                <a:srgbClr val="000000"/>
                              </a:solidFill>
                              <a:miter lim="800000"/>
                              <a:headEnd/>
                              <a:tailEnd/>
                            </a14:hiddenLine>
                          </a:ex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14:paraId="3731ED3A" w14:textId="77777777" w:rsidR="006A5267" w:rsidRPr="000E36F0" w:rsidRDefault="006A5267" w:rsidP="00F335E2">
                            <w:pPr>
                              <w:spacing w:line="240" w:lineRule="exact"/>
                              <w:ind w:left="201" w:hangingChars="100" w:hanging="201"/>
                              <w:rPr>
                                <w:rFonts w:ascii="ＭＳ 明朝" w:hAnsi="ＭＳ 明朝"/>
                                <w:sz w:val="20"/>
                                <w:szCs w:val="20"/>
                              </w:rPr>
                            </w:pPr>
                            <w:r w:rsidRPr="000E36F0">
                              <w:rPr>
                                <w:rFonts w:ascii="ＭＳ 明朝" w:hAnsi="ＭＳ 明朝" w:hint="eastAsia"/>
                                <w:sz w:val="20"/>
                                <w:szCs w:val="20"/>
                              </w:rPr>
                              <w:t>・危機管理室（当直室）は、情報受信後、危機管理室災害対策補佐へ連絡</w:t>
                            </w:r>
                          </w:p>
                          <w:p w14:paraId="1166893D" w14:textId="77777777" w:rsidR="006A5267" w:rsidRPr="000E36F0" w:rsidRDefault="006A5267" w:rsidP="00F335E2">
                            <w:pPr>
                              <w:spacing w:line="240" w:lineRule="exact"/>
                              <w:ind w:left="201" w:hangingChars="100" w:hanging="201"/>
                              <w:rPr>
                                <w:rFonts w:ascii="ＭＳ 明朝" w:hAnsi="ＭＳ 明朝"/>
                                <w:sz w:val="20"/>
                                <w:szCs w:val="20"/>
                              </w:rPr>
                            </w:pPr>
                            <w:r w:rsidRPr="000E36F0">
                              <w:rPr>
                                <w:rFonts w:ascii="ＭＳ 明朝" w:hAnsi="ＭＳ 明朝" w:hint="eastAsia"/>
                                <w:sz w:val="20"/>
                                <w:szCs w:val="20"/>
                              </w:rPr>
                              <w:t>・災害対策補佐から警戒班へ連絡</w:t>
                            </w:r>
                          </w:p>
                          <w:p w14:paraId="4C27EEF7" w14:textId="11B353BB" w:rsidR="006A5267" w:rsidRPr="000E36F0" w:rsidRDefault="006A5267" w:rsidP="00F335E2">
                            <w:pPr>
                              <w:spacing w:line="240" w:lineRule="exact"/>
                              <w:ind w:left="201" w:hangingChars="100" w:hanging="201"/>
                              <w:rPr>
                                <w:rFonts w:ascii="ＭＳ 明朝" w:hAnsi="ＭＳ 明朝"/>
                                <w:sz w:val="20"/>
                                <w:szCs w:val="20"/>
                              </w:rPr>
                            </w:pPr>
                            <w:r w:rsidRPr="000E36F0">
                              <w:rPr>
                                <w:rFonts w:ascii="ＭＳ 明朝" w:hAnsi="ＭＳ 明朝" w:hint="eastAsia"/>
                                <w:sz w:val="20"/>
                                <w:szCs w:val="20"/>
                              </w:rPr>
                              <w:t xml:space="preserve">　（休日・夜間の</w:t>
                            </w:r>
                            <w:r w:rsidR="00B44D3A" w:rsidRPr="00C3621B">
                              <w:rPr>
                                <w:rFonts w:ascii="ＭＳ 明朝" w:hAnsi="ＭＳ 明朝" w:hint="eastAsia"/>
                                <w:sz w:val="20"/>
                                <w:szCs w:val="20"/>
                              </w:rPr>
                              <w:t>レベル３</w:t>
                            </w:r>
                            <w:r w:rsidR="00284432" w:rsidRPr="00C3621B">
                              <w:rPr>
                                <w:rFonts w:ascii="ＭＳ 明朝" w:hAnsi="ＭＳ 明朝" w:hint="eastAsia"/>
                                <w:sz w:val="20"/>
                                <w:szCs w:val="20"/>
                              </w:rPr>
                              <w:t>氾濫警報・</w:t>
                            </w:r>
                            <w:r w:rsidR="00BC0E68" w:rsidRPr="00C3621B">
                              <w:rPr>
                                <w:rFonts w:ascii="ＭＳ 明朝" w:hAnsi="ＭＳ 明朝" w:hint="eastAsia"/>
                                <w:sz w:val="20"/>
                                <w:szCs w:val="20"/>
                              </w:rPr>
                              <w:t>レベル３</w:t>
                            </w:r>
                            <w:r w:rsidR="00284432" w:rsidRPr="00C3621B">
                              <w:rPr>
                                <w:rFonts w:ascii="ＭＳ 明朝" w:hAnsi="ＭＳ 明朝" w:hint="eastAsia"/>
                                <w:sz w:val="20"/>
                                <w:szCs w:val="20"/>
                              </w:rPr>
                              <w:t>大雨警報・</w:t>
                            </w:r>
                            <w:r w:rsidR="00BC0E68" w:rsidRPr="00C3621B">
                              <w:rPr>
                                <w:rFonts w:ascii="ＭＳ 明朝" w:hAnsi="ＭＳ 明朝" w:hint="eastAsia"/>
                                <w:sz w:val="20"/>
                                <w:szCs w:val="20"/>
                              </w:rPr>
                              <w:t>レベル３</w:t>
                            </w:r>
                            <w:r w:rsidR="00284432" w:rsidRPr="00C3621B">
                              <w:rPr>
                                <w:rFonts w:ascii="ＭＳ 明朝" w:hAnsi="ＭＳ 明朝" w:hint="eastAsia"/>
                                <w:sz w:val="20"/>
                                <w:szCs w:val="20"/>
                              </w:rPr>
                              <w:t>土砂災害警報・</w:t>
                            </w:r>
                            <w:r w:rsidR="00BC0E68" w:rsidRPr="00C3621B">
                              <w:rPr>
                                <w:rFonts w:ascii="ＭＳ 明朝" w:hAnsi="ＭＳ 明朝" w:hint="eastAsia"/>
                                <w:sz w:val="20"/>
                                <w:szCs w:val="20"/>
                              </w:rPr>
                              <w:t>レベル３</w:t>
                            </w:r>
                            <w:r w:rsidR="00284432" w:rsidRPr="00C3621B">
                              <w:rPr>
                                <w:rFonts w:ascii="ＭＳ 明朝" w:hAnsi="ＭＳ 明朝" w:hint="eastAsia"/>
                                <w:sz w:val="20"/>
                                <w:szCs w:val="20"/>
                              </w:rPr>
                              <w:t>高潮警報</w:t>
                            </w:r>
                            <w:r w:rsidRPr="000E36F0">
                              <w:rPr>
                                <w:rFonts w:ascii="ＭＳ 明朝" w:hAnsi="ＭＳ 明朝" w:hint="eastAsia"/>
                                <w:sz w:val="20"/>
                                <w:szCs w:val="20"/>
                              </w:rPr>
                              <w:t>は自動参集）・警戒班は、情報収集、関係機関への連絡などの活動を行う</w:t>
                            </w:r>
                          </w:p>
                          <w:p w14:paraId="33075F8F" w14:textId="77777777" w:rsidR="006A5267" w:rsidRDefault="006A5267" w:rsidP="00F335E2">
                            <w:pPr>
                              <w:spacing w:line="240" w:lineRule="exact"/>
                              <w:ind w:left="201" w:hangingChars="100" w:hanging="201"/>
                              <w:rPr>
                                <w:rFonts w:ascii="ＭＳ 明朝" w:hAnsi="ＭＳ 明朝"/>
                                <w:sz w:val="20"/>
                                <w:szCs w:val="20"/>
                              </w:rPr>
                            </w:pPr>
                            <w:r w:rsidRPr="005767EE">
                              <w:rPr>
                                <w:rFonts w:ascii="ＭＳ 明朝" w:hAnsi="ＭＳ 明朝" w:hint="eastAsia"/>
                                <w:sz w:val="20"/>
                                <w:szCs w:val="20"/>
                              </w:rPr>
                              <w:t>・なお、災害の状況により防災・</w:t>
                            </w:r>
                          </w:p>
                          <w:p w14:paraId="3CE9C505" w14:textId="77777777" w:rsidR="006A5267" w:rsidRDefault="006A5267" w:rsidP="00F335E2">
                            <w:pPr>
                              <w:spacing w:line="240" w:lineRule="exact"/>
                              <w:ind w:leftChars="100" w:left="211"/>
                              <w:rPr>
                                <w:rFonts w:ascii="ＭＳ 明朝" w:hAnsi="ＭＳ 明朝"/>
                                <w:sz w:val="20"/>
                                <w:szCs w:val="20"/>
                              </w:rPr>
                            </w:pPr>
                            <w:r>
                              <w:rPr>
                                <w:rFonts w:ascii="ＭＳ 明朝" w:hAnsi="ＭＳ 明朝" w:hint="eastAsia"/>
                                <w:sz w:val="20"/>
                                <w:szCs w:val="20"/>
                              </w:rPr>
                              <w:t>危機管理指令準備部</w:t>
                            </w:r>
                            <w:r w:rsidRPr="005767EE">
                              <w:rPr>
                                <w:rFonts w:ascii="ＭＳ 明朝" w:hAnsi="ＭＳ 明朝" w:hint="eastAsia"/>
                                <w:sz w:val="20"/>
                                <w:szCs w:val="20"/>
                              </w:rPr>
                              <w:t>に強化し、</w:t>
                            </w:r>
                          </w:p>
                          <w:p w14:paraId="6F382303" w14:textId="77777777" w:rsidR="006A5267" w:rsidRPr="005767EE" w:rsidRDefault="006A5267" w:rsidP="00F335E2">
                            <w:pPr>
                              <w:spacing w:line="240" w:lineRule="exact"/>
                              <w:ind w:leftChars="100" w:left="211"/>
                              <w:rPr>
                                <w:rFonts w:ascii="ＭＳ 明朝" w:hAnsi="ＭＳ 明朝"/>
                                <w:sz w:val="20"/>
                                <w:szCs w:val="20"/>
                              </w:rPr>
                            </w:pPr>
                            <w:r w:rsidRPr="005767EE">
                              <w:rPr>
                                <w:rFonts w:ascii="ＭＳ 明朝" w:hAnsi="ＭＳ 明朝" w:hint="eastAsia"/>
                                <w:sz w:val="20"/>
                                <w:szCs w:val="20"/>
                              </w:rPr>
                              <w:t>情報収集等を行う</w:t>
                            </w:r>
                          </w:p>
                          <w:p w14:paraId="4BB5E1EF" w14:textId="77777777" w:rsidR="006A5267" w:rsidRPr="000E36F0" w:rsidRDefault="006A5267" w:rsidP="00F335E2">
                            <w:pPr>
                              <w:spacing w:line="240" w:lineRule="exact"/>
                              <w:ind w:left="201" w:hangingChars="100" w:hanging="201"/>
                              <w:rPr>
                                <w:rFonts w:ascii="ＭＳ 明朝" w:hAnsi="ＭＳ 明朝"/>
                                <w:sz w:val="20"/>
                                <w:szCs w:val="20"/>
                              </w:rPr>
                            </w:pPr>
                            <w:r w:rsidRPr="000E36F0">
                              <w:rPr>
                                <w:rFonts w:ascii="ＭＳ 明朝" w:hAnsi="ＭＳ 明朝" w:hint="eastAsia"/>
                                <w:sz w:val="20"/>
                                <w:szCs w:val="20"/>
                              </w:rPr>
                              <w:t>・</w:t>
                            </w:r>
                            <w:r>
                              <w:rPr>
                                <w:rFonts w:ascii="ＭＳ 明朝" w:hAnsi="ＭＳ 明朝" w:hint="eastAsia"/>
                                <w:sz w:val="20"/>
                                <w:szCs w:val="20"/>
                              </w:rPr>
                              <w:t>警戒班は、</w:t>
                            </w:r>
                            <w:r w:rsidRPr="000E36F0">
                              <w:rPr>
                                <w:rFonts w:ascii="ＭＳ 明朝" w:hAnsi="ＭＳ 明朝" w:hint="eastAsia"/>
                                <w:sz w:val="20"/>
                                <w:szCs w:val="20"/>
                              </w:rPr>
                              <w:t>情報受信後、指令部員、各部連絡責任者他へ</w:t>
                            </w:r>
                            <w:r>
                              <w:rPr>
                                <w:rFonts w:ascii="ＭＳ 明朝" w:hAnsi="ＭＳ 明朝" w:hint="eastAsia"/>
                                <w:sz w:val="20"/>
                                <w:szCs w:val="20"/>
                              </w:rPr>
                              <w:t>防災情報メール等で連絡</w:t>
                            </w:r>
                          </w:p>
                          <w:p w14:paraId="1BA95C34" w14:textId="77777777" w:rsidR="006A5267" w:rsidRPr="000E36F0" w:rsidRDefault="006A5267" w:rsidP="00F335E2">
                            <w:pPr>
                              <w:spacing w:line="240" w:lineRule="exact"/>
                              <w:rPr>
                                <w:rFonts w:ascii="ＭＳ 明朝" w:hAnsi="ＭＳ 明朝"/>
                                <w:sz w:val="20"/>
                                <w:szCs w:val="20"/>
                              </w:rPr>
                            </w:pPr>
                            <w:r w:rsidRPr="000E36F0">
                              <w:rPr>
                                <w:rFonts w:ascii="ＭＳ 明朝" w:hAnsi="ＭＳ 明朝" w:hint="eastAsia"/>
                                <w:sz w:val="20"/>
                                <w:szCs w:val="20"/>
                              </w:rPr>
                              <w:t>・指令部員他は</w:t>
                            </w:r>
                            <w:r w:rsidRPr="00EC4065">
                              <w:rPr>
                                <w:rFonts w:ascii="ＭＳ 明朝" w:hAnsi="ＭＳ 明朝" w:hint="eastAsia"/>
                                <w:sz w:val="20"/>
                                <w:szCs w:val="20"/>
                              </w:rPr>
                              <w:t>指定参集場所</w:t>
                            </w:r>
                            <w:r w:rsidRPr="000E36F0">
                              <w:rPr>
                                <w:rFonts w:ascii="ＭＳ 明朝" w:hAnsi="ＭＳ 明朝" w:hint="eastAsia"/>
                                <w:sz w:val="20"/>
                                <w:szCs w:val="20"/>
                              </w:rPr>
                              <w:t>に参集</w:t>
                            </w:r>
                          </w:p>
                          <w:p w14:paraId="4B42EA37" w14:textId="77777777" w:rsidR="006A5267" w:rsidRDefault="006A5267" w:rsidP="00F335E2">
                            <w:pPr>
                              <w:ind w:left="201" w:hangingChars="100" w:hanging="201"/>
                              <w:rPr>
                                <w:rFonts w:ascii="ＭＳ ゴシック" w:eastAsia="ＭＳ ゴシック" w:hAnsi="ＭＳ ゴシック"/>
                                <w:sz w:val="20"/>
                                <w:szCs w:val="20"/>
                              </w:rPr>
                            </w:pPr>
                          </w:p>
                          <w:p w14:paraId="61202A14" w14:textId="77777777" w:rsidR="006A5267" w:rsidRDefault="006A5267" w:rsidP="00F335E2">
                            <w:pPr>
                              <w:ind w:left="181" w:hangingChars="90" w:hanging="181"/>
                              <w:rPr>
                                <w:rFonts w:ascii="ＭＳ ゴシック" w:eastAsia="ＭＳ ゴシック" w:hAnsi="ＭＳ ゴシック"/>
                                <w:sz w:val="20"/>
                                <w:szCs w:val="20"/>
                              </w:rPr>
                            </w:pPr>
                          </w:p>
                          <w:p w14:paraId="29FB22E6" w14:textId="77777777" w:rsidR="006A5267" w:rsidRDefault="006A5267" w:rsidP="00F335E2">
                            <w:pPr>
                              <w:ind w:left="181" w:hangingChars="90" w:hanging="181"/>
                              <w:rPr>
                                <w:rFonts w:ascii="ＭＳ ゴシック" w:eastAsia="ＭＳ ゴシック" w:hAnsi="ＭＳ ゴシック"/>
                                <w:sz w:val="20"/>
                                <w:szCs w:val="20"/>
                              </w:rPr>
                            </w:pPr>
                          </w:p>
                          <w:p w14:paraId="22769F08" w14:textId="77777777" w:rsidR="006A5267" w:rsidRPr="000E36F0" w:rsidRDefault="006A5267" w:rsidP="00F335E2">
                            <w:pPr>
                              <w:spacing w:line="240" w:lineRule="exact"/>
                              <w:ind w:left="181" w:hangingChars="90" w:hanging="181"/>
                              <w:rPr>
                                <w:rFonts w:ascii="ＭＳ 明朝" w:hAnsi="ＭＳ 明朝"/>
                                <w:sz w:val="20"/>
                                <w:szCs w:val="20"/>
                              </w:rPr>
                            </w:pPr>
                            <w:r>
                              <w:rPr>
                                <w:rFonts w:ascii="ＭＳ 明朝" w:hAnsi="ＭＳ 明朝" w:hint="eastAsia"/>
                                <w:sz w:val="20"/>
                                <w:szCs w:val="20"/>
                              </w:rPr>
                              <w:t>・</w:t>
                            </w:r>
                            <w:r w:rsidRPr="000E36F0">
                              <w:rPr>
                                <w:rFonts w:ascii="ＭＳ 明朝" w:hAnsi="ＭＳ 明朝" w:hint="eastAsia"/>
                                <w:sz w:val="20"/>
                                <w:szCs w:val="20"/>
                              </w:rPr>
                              <w:t>情報受信後、本部員、指令部員、緊急防災推進員他へ</w:t>
                            </w:r>
                            <w:r>
                              <w:rPr>
                                <w:rFonts w:ascii="ＭＳ 明朝" w:hAnsi="ＭＳ 明朝" w:hint="eastAsia"/>
                                <w:sz w:val="20"/>
                                <w:szCs w:val="20"/>
                              </w:rPr>
                              <w:t>防災情報メール等で連絡</w:t>
                            </w:r>
                          </w:p>
                          <w:p w14:paraId="3BBFC8B4" w14:textId="77777777" w:rsidR="006A5267" w:rsidRPr="000E36F0" w:rsidRDefault="006A5267" w:rsidP="00F335E2">
                            <w:pPr>
                              <w:spacing w:line="240" w:lineRule="exact"/>
                              <w:ind w:left="181" w:hangingChars="90" w:hanging="181"/>
                              <w:rPr>
                                <w:rFonts w:ascii="ＭＳ 明朝" w:hAnsi="ＭＳ 明朝"/>
                                <w:sz w:val="20"/>
                                <w:szCs w:val="20"/>
                              </w:rPr>
                            </w:pPr>
                            <w:r>
                              <w:rPr>
                                <w:rFonts w:ascii="ＭＳ 明朝" w:hAnsi="ＭＳ 明朝" w:hint="eastAsia"/>
                                <w:sz w:val="20"/>
                                <w:szCs w:val="20"/>
                              </w:rPr>
                              <w:t>・本部員、指令部員</w:t>
                            </w:r>
                            <w:r w:rsidRPr="000E36F0">
                              <w:rPr>
                                <w:rFonts w:ascii="ＭＳ 明朝" w:hAnsi="ＭＳ 明朝" w:hint="eastAsia"/>
                                <w:sz w:val="20"/>
                                <w:szCs w:val="20"/>
                              </w:rPr>
                              <w:t>他は</w:t>
                            </w:r>
                            <w:r w:rsidRPr="00EC4065">
                              <w:rPr>
                                <w:rFonts w:ascii="ＭＳ 明朝" w:hAnsi="ＭＳ 明朝" w:hint="eastAsia"/>
                                <w:sz w:val="20"/>
                                <w:szCs w:val="20"/>
                              </w:rPr>
                              <w:t>指定参集場所</w:t>
                            </w:r>
                            <w:r w:rsidRPr="000E36F0">
                              <w:rPr>
                                <w:rFonts w:ascii="ＭＳ 明朝" w:hAnsi="ＭＳ 明朝" w:hint="eastAsia"/>
                                <w:sz w:val="20"/>
                                <w:szCs w:val="20"/>
                              </w:rPr>
                              <w:t>に参集</w:t>
                            </w:r>
                          </w:p>
                          <w:p w14:paraId="47837037" w14:textId="77777777" w:rsidR="006A5267" w:rsidRDefault="006A5267" w:rsidP="00F335E2">
                            <w:pPr>
                              <w:ind w:left="181" w:hangingChars="90" w:hanging="181"/>
                              <w:rPr>
                                <w:rFonts w:ascii="ＭＳ ゴシック" w:eastAsia="ＭＳ ゴシック" w:hAnsi="ＭＳ ゴシック"/>
                                <w:sz w:val="20"/>
                                <w:szCs w:val="20"/>
                              </w:rPr>
                            </w:pPr>
                          </w:p>
                          <w:p w14:paraId="1874CB1E" w14:textId="77777777" w:rsidR="006A5267" w:rsidRDefault="006A5267" w:rsidP="00F335E2">
                            <w:pPr>
                              <w:ind w:left="181" w:hangingChars="90" w:hanging="181"/>
                              <w:rPr>
                                <w:rFonts w:ascii="ＭＳ ゴシック" w:eastAsia="ＭＳ ゴシック" w:hAnsi="ＭＳ ゴシック"/>
                                <w:sz w:val="20"/>
                                <w:szCs w:val="20"/>
                              </w:rPr>
                            </w:pPr>
                          </w:p>
                          <w:p w14:paraId="53A10F45" w14:textId="77777777" w:rsidR="006A5267" w:rsidRDefault="006A5267" w:rsidP="00F335E2">
                            <w:pPr>
                              <w:ind w:left="181" w:hangingChars="90" w:hanging="181"/>
                              <w:rPr>
                                <w:rFonts w:ascii="ＭＳ ゴシック" w:eastAsia="ＭＳ ゴシック" w:hAnsi="ＭＳ ゴシック"/>
                                <w:sz w:val="20"/>
                                <w:szCs w:val="20"/>
                              </w:rPr>
                            </w:pPr>
                          </w:p>
                          <w:p w14:paraId="64D3ADF2" w14:textId="77777777" w:rsidR="006A5267" w:rsidRDefault="006A5267" w:rsidP="00F335E2">
                            <w:pPr>
                              <w:spacing w:line="240" w:lineRule="exact"/>
                              <w:ind w:left="181" w:hangingChars="90" w:hanging="181"/>
                              <w:rPr>
                                <w:rFonts w:ascii="ＭＳ 明朝" w:hAnsi="ＭＳ 明朝"/>
                                <w:sz w:val="20"/>
                                <w:szCs w:val="20"/>
                              </w:rPr>
                            </w:pPr>
                          </w:p>
                          <w:p w14:paraId="27C4FBA0" w14:textId="77777777" w:rsidR="006A5267" w:rsidRPr="000E36F0" w:rsidRDefault="006A5267" w:rsidP="00F335E2">
                            <w:pPr>
                              <w:spacing w:line="240" w:lineRule="exact"/>
                              <w:ind w:left="181" w:hangingChars="90" w:hanging="181"/>
                              <w:rPr>
                                <w:rFonts w:ascii="ＭＳ 明朝" w:hAnsi="ＭＳ 明朝"/>
                                <w:sz w:val="20"/>
                                <w:szCs w:val="20"/>
                              </w:rPr>
                            </w:pPr>
                            <w:r w:rsidRPr="000E36F0">
                              <w:rPr>
                                <w:rFonts w:ascii="ＭＳ 明朝" w:hAnsi="ＭＳ 明朝" w:hint="eastAsia"/>
                                <w:sz w:val="20"/>
                                <w:szCs w:val="20"/>
                              </w:rPr>
                              <w:t>・情報受信後、本部員、指令部員、緊急防災推進員他へ</w:t>
                            </w:r>
                            <w:r>
                              <w:rPr>
                                <w:rFonts w:ascii="ＭＳ 明朝" w:hAnsi="ＭＳ 明朝" w:hint="eastAsia"/>
                                <w:sz w:val="20"/>
                                <w:szCs w:val="20"/>
                              </w:rPr>
                              <w:t>防災情報</w:t>
                            </w:r>
                            <w:r w:rsidRPr="000E36F0">
                              <w:rPr>
                                <w:rFonts w:ascii="ＭＳ 明朝" w:hAnsi="ＭＳ 明朝" w:hint="eastAsia"/>
                                <w:sz w:val="20"/>
                                <w:szCs w:val="20"/>
                              </w:rPr>
                              <w:t>メール等で連絡</w:t>
                            </w:r>
                          </w:p>
                          <w:p w14:paraId="4AF5F361" w14:textId="77777777" w:rsidR="006A5267" w:rsidRPr="000E36F0" w:rsidRDefault="006A5267" w:rsidP="00F335E2">
                            <w:pPr>
                              <w:spacing w:line="240" w:lineRule="exact"/>
                              <w:ind w:left="181" w:hangingChars="90" w:hanging="181"/>
                              <w:rPr>
                                <w:rFonts w:ascii="ＭＳ 明朝" w:hAnsi="ＭＳ 明朝"/>
                                <w:sz w:val="20"/>
                                <w:szCs w:val="20"/>
                              </w:rPr>
                            </w:pPr>
                            <w:r>
                              <w:rPr>
                                <w:rFonts w:ascii="ＭＳ 明朝" w:hAnsi="ＭＳ 明朝" w:hint="eastAsia"/>
                                <w:sz w:val="20"/>
                                <w:szCs w:val="20"/>
                              </w:rPr>
                              <w:t>・全職員が参集</w:t>
                            </w:r>
                          </w:p>
                          <w:p w14:paraId="5886AA4D" w14:textId="77777777" w:rsidR="006A5267" w:rsidRPr="000E36F0" w:rsidRDefault="006A5267" w:rsidP="00F335E2">
                            <w:pPr>
                              <w:spacing w:line="240" w:lineRule="exact"/>
                              <w:ind w:left="181" w:hangingChars="90" w:hanging="181"/>
                              <w:rPr>
                                <w:rFonts w:ascii="ＭＳ 明朝" w:hAnsi="ＭＳ 明朝"/>
                                <w:sz w:val="20"/>
                                <w:szCs w:val="20"/>
                              </w:rPr>
                            </w:pPr>
                            <w:r w:rsidRPr="000E36F0">
                              <w:rPr>
                                <w:rFonts w:ascii="ＭＳ 明朝" w:hAnsi="ＭＳ 明朝" w:hint="eastAsia"/>
                                <w:sz w:val="20"/>
                                <w:szCs w:val="20"/>
                              </w:rPr>
                              <w:t xml:space="preserve">　本部員、指令部員、緊急防災推進員他は</w:t>
                            </w:r>
                            <w:r w:rsidRPr="006D4A66">
                              <w:rPr>
                                <w:rFonts w:ascii="ＭＳ 明朝" w:hAnsi="ＭＳ 明朝" w:hint="eastAsia"/>
                                <w:sz w:val="20"/>
                                <w:szCs w:val="20"/>
                              </w:rPr>
                              <w:t>指定参集場所</w:t>
                            </w:r>
                            <w:r w:rsidRPr="000E36F0">
                              <w:rPr>
                                <w:rFonts w:ascii="ＭＳ 明朝" w:hAnsi="ＭＳ 明朝" w:hint="eastAsia"/>
                                <w:sz w:val="20"/>
                                <w:szCs w:val="20"/>
                              </w:rPr>
                              <w:t>に参集</w:t>
                            </w:r>
                          </w:p>
                          <w:p w14:paraId="4140328D" w14:textId="77777777" w:rsidR="006A5267" w:rsidRDefault="006A5267" w:rsidP="00F335E2">
                            <w:pPr>
                              <w:ind w:left="181" w:hangingChars="90" w:hanging="181"/>
                              <w:rPr>
                                <w:rFonts w:ascii="ＭＳ ゴシック" w:eastAsia="ＭＳ ゴシック" w:hAnsi="ＭＳ ゴシック"/>
                                <w:sz w:val="20"/>
                                <w:szCs w:val="20"/>
                              </w:rPr>
                            </w:pPr>
                          </w:p>
                          <w:p w14:paraId="56E0183F" w14:textId="77777777" w:rsidR="006A5267" w:rsidRDefault="006A5267" w:rsidP="00F335E2">
                            <w:pPr>
                              <w:ind w:left="181" w:hangingChars="90" w:hanging="181"/>
                              <w:rPr>
                                <w:rFonts w:ascii="ＭＳ ゴシック" w:eastAsia="ＭＳ ゴシック" w:hAnsi="ＭＳ ゴシック"/>
                                <w:sz w:val="20"/>
                                <w:szCs w:val="20"/>
                              </w:rPr>
                            </w:pPr>
                          </w:p>
                          <w:p w14:paraId="6E0F1E99" w14:textId="77777777" w:rsidR="006A5267" w:rsidRDefault="006A5267" w:rsidP="00F335E2">
                            <w:pPr>
                              <w:ind w:left="181" w:hangingChars="90" w:hanging="181"/>
                              <w:rPr>
                                <w:rFonts w:ascii="ＭＳ ゴシック" w:eastAsia="ＭＳ ゴシック" w:hAnsi="ＭＳ ゴシック"/>
                                <w:sz w:val="20"/>
                                <w:szCs w:val="20"/>
                              </w:rPr>
                            </w:pPr>
                          </w:p>
                          <w:p w14:paraId="5515BB22" w14:textId="77777777" w:rsidR="006A5267" w:rsidRDefault="006A5267" w:rsidP="00F335E2">
                            <w:pPr>
                              <w:ind w:left="181" w:hangingChars="90" w:hanging="181"/>
                              <w:rPr>
                                <w:rFonts w:ascii="ＭＳ ゴシック" w:eastAsia="ＭＳ ゴシック" w:hAnsi="ＭＳ ゴシック"/>
                                <w:sz w:val="20"/>
                                <w:szCs w:val="20"/>
                              </w:rPr>
                            </w:pP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shape w14:anchorId="0282EFA7" id="Text Box 1979" o:spid="_x0000_s1034" type="#_x0000_t202" style="position:absolute;left:0;text-align:left;margin-left:297pt;margin-top:8pt;width:171pt;height:618.7pt;z-index:2540298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" stroked="f">
                <v:textbox inset="5.85pt,.7pt,5.85pt,.7pt">
                  <w:txbxContent>
                    <w:p w14:paraId="3731ED3A" w14:textId="77777777" w:rsidR="006A5267" w:rsidRPr="000E36F0" w:rsidRDefault="006A5267" w:rsidP="00F335E2">
                      <w:pPr>
                        <w:spacing w:line="240" w:lineRule="exact"/>
                        <w:ind w:left="201" w:hangingChars="100" w:hanging="201"/>
                        <w:rPr>
                          <w:rFonts w:ascii="ＭＳ 明朝" w:hAnsi="ＭＳ 明朝"/>
                          <w:sz w:val="20"/>
                          <w:szCs w:val="20"/>
                        </w:rPr>
                      </w:pPr>
                      <w:r w:rsidRPr="000E36F0">
                        <w:rPr>
                          <w:rFonts w:ascii="ＭＳ 明朝" w:hAnsi="ＭＳ 明朝" w:hint="eastAsia"/>
                          <w:sz w:val="20"/>
                          <w:szCs w:val="20"/>
                        </w:rPr>
                        <w:t>・危機管理室（当直室）は、情報受信後、危機管理室災害対策補佐へ連絡</w:t>
                      </w:r>
                    </w:p>
                    <w:p w14:paraId="1166893D" w14:textId="77777777" w:rsidR="006A5267" w:rsidRPr="000E36F0" w:rsidRDefault="006A5267" w:rsidP="00F335E2">
                      <w:pPr>
                        <w:spacing w:line="240" w:lineRule="exact"/>
                        <w:ind w:left="201" w:hangingChars="100" w:hanging="201"/>
                        <w:rPr>
                          <w:rFonts w:ascii="ＭＳ 明朝" w:hAnsi="ＭＳ 明朝"/>
                          <w:sz w:val="20"/>
                          <w:szCs w:val="20"/>
                        </w:rPr>
                      </w:pPr>
                      <w:r w:rsidRPr="000E36F0">
                        <w:rPr>
                          <w:rFonts w:ascii="ＭＳ 明朝" w:hAnsi="ＭＳ 明朝" w:hint="eastAsia"/>
                          <w:sz w:val="20"/>
                          <w:szCs w:val="20"/>
                        </w:rPr>
                        <w:t>・災害対策補佐から警戒班へ連絡</w:t>
                      </w:r>
                    </w:p>
                    <w:p w14:paraId="4C27EEF7" w14:textId="11B353BB" w:rsidR="006A5267" w:rsidRPr="000E36F0" w:rsidRDefault="006A5267" w:rsidP="00F335E2">
                      <w:pPr>
                        <w:spacing w:line="240" w:lineRule="exact"/>
                        <w:ind w:left="201" w:hangingChars="100" w:hanging="201"/>
                        <w:rPr>
                          <w:rFonts w:ascii="ＭＳ 明朝" w:hAnsi="ＭＳ 明朝"/>
                          <w:sz w:val="20"/>
                          <w:szCs w:val="20"/>
                        </w:rPr>
                      </w:pPr>
                      <w:r w:rsidRPr="000E36F0">
                        <w:rPr>
                          <w:rFonts w:ascii="ＭＳ 明朝" w:hAnsi="ＭＳ 明朝" w:hint="eastAsia"/>
                          <w:sz w:val="20"/>
                          <w:szCs w:val="20"/>
                        </w:rPr>
                        <w:t xml:space="preserve">　（休日・夜間の</w:t>
                      </w:r>
                      <w:r w:rsidR="00B44D3A" w:rsidRPr="00C3621B">
                        <w:rPr>
                          <w:rFonts w:ascii="ＭＳ 明朝" w:hAnsi="ＭＳ 明朝" w:hint="eastAsia"/>
                          <w:sz w:val="20"/>
                          <w:szCs w:val="20"/>
                        </w:rPr>
                        <w:t>レベル３</w:t>
                      </w:r>
                      <w:r w:rsidR="00284432" w:rsidRPr="00C3621B">
                        <w:rPr>
                          <w:rFonts w:ascii="ＭＳ 明朝" w:hAnsi="ＭＳ 明朝" w:hint="eastAsia"/>
                          <w:sz w:val="20"/>
                          <w:szCs w:val="20"/>
                        </w:rPr>
                        <w:t>氾濫警報・</w:t>
                      </w:r>
                      <w:r w:rsidR="00BC0E68" w:rsidRPr="00C3621B">
                        <w:rPr>
                          <w:rFonts w:ascii="ＭＳ 明朝" w:hAnsi="ＭＳ 明朝" w:hint="eastAsia"/>
                          <w:sz w:val="20"/>
                          <w:szCs w:val="20"/>
                        </w:rPr>
                        <w:t>レベル３</w:t>
                      </w:r>
                      <w:r w:rsidR="00284432" w:rsidRPr="00C3621B">
                        <w:rPr>
                          <w:rFonts w:ascii="ＭＳ 明朝" w:hAnsi="ＭＳ 明朝" w:hint="eastAsia"/>
                          <w:sz w:val="20"/>
                          <w:szCs w:val="20"/>
                        </w:rPr>
                        <w:t>大雨警報・</w:t>
                      </w:r>
                      <w:r w:rsidR="00BC0E68" w:rsidRPr="00C3621B">
                        <w:rPr>
                          <w:rFonts w:ascii="ＭＳ 明朝" w:hAnsi="ＭＳ 明朝" w:hint="eastAsia"/>
                          <w:sz w:val="20"/>
                          <w:szCs w:val="20"/>
                        </w:rPr>
                        <w:t>レベル３</w:t>
                      </w:r>
                      <w:r w:rsidR="00284432" w:rsidRPr="00C3621B">
                        <w:rPr>
                          <w:rFonts w:ascii="ＭＳ 明朝" w:hAnsi="ＭＳ 明朝" w:hint="eastAsia"/>
                          <w:sz w:val="20"/>
                          <w:szCs w:val="20"/>
                        </w:rPr>
                        <w:t>土砂災害警報・</w:t>
                      </w:r>
                      <w:r w:rsidR="00BC0E68" w:rsidRPr="00C3621B">
                        <w:rPr>
                          <w:rFonts w:ascii="ＭＳ 明朝" w:hAnsi="ＭＳ 明朝" w:hint="eastAsia"/>
                          <w:sz w:val="20"/>
                          <w:szCs w:val="20"/>
                        </w:rPr>
                        <w:t>レベル３</w:t>
                      </w:r>
                      <w:r w:rsidR="00284432" w:rsidRPr="00C3621B">
                        <w:rPr>
                          <w:rFonts w:ascii="ＭＳ 明朝" w:hAnsi="ＭＳ 明朝" w:hint="eastAsia"/>
                          <w:sz w:val="20"/>
                          <w:szCs w:val="20"/>
                        </w:rPr>
                        <w:t>高潮警報</w:t>
                      </w:r>
                      <w:r w:rsidRPr="000E36F0">
                        <w:rPr>
                          <w:rFonts w:ascii="ＭＳ 明朝" w:hAnsi="ＭＳ 明朝" w:hint="eastAsia"/>
                          <w:sz w:val="20"/>
                          <w:szCs w:val="20"/>
                        </w:rPr>
                        <w:t>は自動参集）・警戒班は、情報収集、関係機関への連絡などの活動を行う</w:t>
                      </w:r>
                    </w:p>
                    <w:p w14:paraId="33075F8F" w14:textId="77777777" w:rsidR="006A5267" w:rsidRDefault="006A5267" w:rsidP="00F335E2">
                      <w:pPr>
                        <w:spacing w:line="240" w:lineRule="exact"/>
                        <w:ind w:left="201" w:hangingChars="100" w:hanging="201"/>
                        <w:rPr>
                          <w:rFonts w:ascii="ＭＳ 明朝" w:hAnsi="ＭＳ 明朝"/>
                          <w:sz w:val="20"/>
                          <w:szCs w:val="20"/>
                        </w:rPr>
                      </w:pPr>
                      <w:r w:rsidRPr="005767EE">
                        <w:rPr>
                          <w:rFonts w:ascii="ＭＳ 明朝" w:hAnsi="ＭＳ 明朝" w:hint="eastAsia"/>
                          <w:sz w:val="20"/>
                          <w:szCs w:val="20"/>
                        </w:rPr>
                        <w:t>・なお、災害の状況により防災・</w:t>
                      </w:r>
                    </w:p>
                    <w:p w14:paraId="3CE9C505" w14:textId="77777777" w:rsidR="006A5267" w:rsidRDefault="006A5267" w:rsidP="00F335E2">
                      <w:pPr>
                        <w:spacing w:line="240" w:lineRule="exact"/>
                        <w:ind w:leftChars="100" w:left="211"/>
                        <w:rPr>
                          <w:rFonts w:ascii="ＭＳ 明朝" w:hAnsi="ＭＳ 明朝"/>
                          <w:sz w:val="20"/>
                          <w:szCs w:val="20"/>
                        </w:rPr>
                      </w:pPr>
                      <w:r>
                        <w:rPr>
                          <w:rFonts w:ascii="ＭＳ 明朝" w:hAnsi="ＭＳ 明朝" w:hint="eastAsia"/>
                          <w:sz w:val="20"/>
                          <w:szCs w:val="20"/>
                        </w:rPr>
                        <w:t>危機管理指令準備部</w:t>
                      </w:r>
                      <w:r w:rsidRPr="005767EE">
                        <w:rPr>
                          <w:rFonts w:ascii="ＭＳ 明朝" w:hAnsi="ＭＳ 明朝" w:hint="eastAsia"/>
                          <w:sz w:val="20"/>
                          <w:szCs w:val="20"/>
                        </w:rPr>
                        <w:t>に強化し、</w:t>
                      </w:r>
                    </w:p>
                    <w:p w14:paraId="6F382303" w14:textId="77777777" w:rsidR="006A5267" w:rsidRPr="005767EE" w:rsidRDefault="006A5267" w:rsidP="00F335E2">
                      <w:pPr>
                        <w:spacing w:line="240" w:lineRule="exact"/>
                        <w:ind w:leftChars="100" w:left="211"/>
                        <w:rPr>
                          <w:rFonts w:ascii="ＭＳ 明朝" w:hAnsi="ＭＳ 明朝"/>
                          <w:sz w:val="20"/>
                          <w:szCs w:val="20"/>
                        </w:rPr>
                      </w:pPr>
                      <w:r w:rsidRPr="005767EE">
                        <w:rPr>
                          <w:rFonts w:ascii="ＭＳ 明朝" w:hAnsi="ＭＳ 明朝" w:hint="eastAsia"/>
                          <w:sz w:val="20"/>
                          <w:szCs w:val="20"/>
                        </w:rPr>
                        <w:t>情報収集等を行う</w:t>
                      </w:r>
                    </w:p>
                    <w:p w14:paraId="4BB5E1EF" w14:textId="77777777" w:rsidR="006A5267" w:rsidRPr="000E36F0" w:rsidRDefault="006A5267" w:rsidP="00F335E2">
                      <w:pPr>
                        <w:spacing w:line="240" w:lineRule="exact"/>
                        <w:ind w:left="201" w:hangingChars="100" w:hanging="201"/>
                        <w:rPr>
                          <w:rFonts w:ascii="ＭＳ 明朝" w:hAnsi="ＭＳ 明朝"/>
                          <w:sz w:val="20"/>
                          <w:szCs w:val="20"/>
                        </w:rPr>
                      </w:pPr>
                      <w:r w:rsidRPr="000E36F0">
                        <w:rPr>
                          <w:rFonts w:ascii="ＭＳ 明朝" w:hAnsi="ＭＳ 明朝" w:hint="eastAsia"/>
                          <w:sz w:val="20"/>
                          <w:szCs w:val="20"/>
                        </w:rPr>
                        <w:t>・</w:t>
                      </w:r>
                      <w:r>
                        <w:rPr>
                          <w:rFonts w:ascii="ＭＳ 明朝" w:hAnsi="ＭＳ 明朝" w:hint="eastAsia"/>
                          <w:sz w:val="20"/>
                          <w:szCs w:val="20"/>
                        </w:rPr>
                        <w:t>警戒班は、</w:t>
                      </w:r>
                      <w:r w:rsidRPr="000E36F0">
                        <w:rPr>
                          <w:rFonts w:ascii="ＭＳ 明朝" w:hAnsi="ＭＳ 明朝" w:hint="eastAsia"/>
                          <w:sz w:val="20"/>
                          <w:szCs w:val="20"/>
                        </w:rPr>
                        <w:t>情報受信後、指令部員、各部連絡責任者他へ</w:t>
                      </w:r>
                      <w:r>
                        <w:rPr>
                          <w:rFonts w:ascii="ＭＳ 明朝" w:hAnsi="ＭＳ 明朝" w:hint="eastAsia"/>
                          <w:sz w:val="20"/>
                          <w:szCs w:val="20"/>
                        </w:rPr>
                        <w:t>防災情報メール等で連絡</w:t>
                      </w:r>
                    </w:p>
                    <w:p w14:paraId="1BA95C34" w14:textId="77777777" w:rsidR="006A5267" w:rsidRPr="000E36F0" w:rsidRDefault="006A5267" w:rsidP="00F335E2">
                      <w:pPr>
                        <w:spacing w:line="240" w:lineRule="exact"/>
                        <w:rPr>
                          <w:rFonts w:ascii="ＭＳ 明朝" w:hAnsi="ＭＳ 明朝"/>
                          <w:sz w:val="20"/>
                          <w:szCs w:val="20"/>
                        </w:rPr>
                      </w:pPr>
                      <w:r w:rsidRPr="000E36F0">
                        <w:rPr>
                          <w:rFonts w:ascii="ＭＳ 明朝" w:hAnsi="ＭＳ 明朝" w:hint="eastAsia"/>
                          <w:sz w:val="20"/>
                          <w:szCs w:val="20"/>
                        </w:rPr>
                        <w:t>・指令部員他は</w:t>
                      </w:r>
                      <w:r w:rsidRPr="00EC4065">
                        <w:rPr>
                          <w:rFonts w:ascii="ＭＳ 明朝" w:hAnsi="ＭＳ 明朝" w:hint="eastAsia"/>
                          <w:sz w:val="20"/>
                          <w:szCs w:val="20"/>
                        </w:rPr>
                        <w:t>指定参集場所</w:t>
                      </w:r>
                      <w:r w:rsidRPr="000E36F0">
                        <w:rPr>
                          <w:rFonts w:ascii="ＭＳ 明朝" w:hAnsi="ＭＳ 明朝" w:hint="eastAsia"/>
                          <w:sz w:val="20"/>
                          <w:szCs w:val="20"/>
                        </w:rPr>
                        <w:t>に参集</w:t>
                      </w:r>
                    </w:p>
                    <w:p w14:paraId="4B42EA37" w14:textId="77777777" w:rsidR="006A5267" w:rsidRDefault="006A5267" w:rsidP="00F335E2">
                      <w:pPr>
                        <w:ind w:left="201" w:hangingChars="100" w:hanging="201"/>
                        <w:rPr>
                          <w:rFonts w:ascii="ＭＳ ゴシック" w:eastAsia="ＭＳ ゴシック" w:hAnsi="ＭＳ ゴシック"/>
                          <w:sz w:val="20"/>
                          <w:szCs w:val="20"/>
                        </w:rPr>
                      </w:pPr>
                    </w:p>
                    <w:p w14:paraId="61202A14" w14:textId="77777777" w:rsidR="006A5267" w:rsidRDefault="006A5267" w:rsidP="00F335E2">
                      <w:pPr>
                        <w:ind w:left="181" w:hangingChars="90" w:hanging="181"/>
                        <w:rPr>
                          <w:rFonts w:ascii="ＭＳ ゴシック" w:eastAsia="ＭＳ ゴシック" w:hAnsi="ＭＳ ゴシック"/>
                          <w:sz w:val="20"/>
                          <w:szCs w:val="20"/>
                        </w:rPr>
                      </w:pPr>
                    </w:p>
                    <w:p w14:paraId="29FB22E6" w14:textId="77777777" w:rsidR="006A5267" w:rsidRDefault="006A5267" w:rsidP="00F335E2">
                      <w:pPr>
                        <w:ind w:left="181" w:hangingChars="90" w:hanging="181"/>
                        <w:rPr>
                          <w:rFonts w:ascii="ＭＳ ゴシック" w:eastAsia="ＭＳ ゴシック" w:hAnsi="ＭＳ ゴシック"/>
                          <w:sz w:val="20"/>
                          <w:szCs w:val="20"/>
                        </w:rPr>
                      </w:pPr>
                    </w:p>
                    <w:p w14:paraId="22769F08" w14:textId="77777777" w:rsidR="006A5267" w:rsidRPr="000E36F0" w:rsidRDefault="006A5267" w:rsidP="00F335E2">
                      <w:pPr>
                        <w:spacing w:line="240" w:lineRule="exact"/>
                        <w:ind w:left="181" w:hangingChars="90" w:hanging="181"/>
                        <w:rPr>
                          <w:rFonts w:ascii="ＭＳ 明朝" w:hAnsi="ＭＳ 明朝"/>
                          <w:sz w:val="20"/>
                          <w:szCs w:val="20"/>
                        </w:rPr>
                      </w:pPr>
                      <w:r>
                        <w:rPr>
                          <w:rFonts w:ascii="ＭＳ 明朝" w:hAnsi="ＭＳ 明朝" w:hint="eastAsia"/>
                          <w:sz w:val="20"/>
                          <w:szCs w:val="20"/>
                        </w:rPr>
                        <w:t>・</w:t>
                      </w:r>
                      <w:r w:rsidRPr="000E36F0">
                        <w:rPr>
                          <w:rFonts w:ascii="ＭＳ 明朝" w:hAnsi="ＭＳ 明朝" w:hint="eastAsia"/>
                          <w:sz w:val="20"/>
                          <w:szCs w:val="20"/>
                        </w:rPr>
                        <w:t>情報受信後、本部員、指令部員、緊急防災推進員他へ</w:t>
                      </w:r>
                      <w:r>
                        <w:rPr>
                          <w:rFonts w:ascii="ＭＳ 明朝" w:hAnsi="ＭＳ 明朝" w:hint="eastAsia"/>
                          <w:sz w:val="20"/>
                          <w:szCs w:val="20"/>
                        </w:rPr>
                        <w:t>防災情報メール等で連絡</w:t>
                      </w:r>
                    </w:p>
                    <w:p w14:paraId="3BBFC8B4" w14:textId="77777777" w:rsidR="006A5267" w:rsidRPr="000E36F0" w:rsidRDefault="006A5267" w:rsidP="00F335E2">
                      <w:pPr>
                        <w:spacing w:line="240" w:lineRule="exact"/>
                        <w:ind w:left="181" w:hangingChars="90" w:hanging="181"/>
                        <w:rPr>
                          <w:rFonts w:ascii="ＭＳ 明朝" w:hAnsi="ＭＳ 明朝"/>
                          <w:sz w:val="20"/>
                          <w:szCs w:val="20"/>
                        </w:rPr>
                      </w:pPr>
                      <w:r>
                        <w:rPr>
                          <w:rFonts w:ascii="ＭＳ 明朝" w:hAnsi="ＭＳ 明朝" w:hint="eastAsia"/>
                          <w:sz w:val="20"/>
                          <w:szCs w:val="20"/>
                        </w:rPr>
                        <w:t>・本部員、指令部員</w:t>
                      </w:r>
                      <w:r w:rsidRPr="000E36F0">
                        <w:rPr>
                          <w:rFonts w:ascii="ＭＳ 明朝" w:hAnsi="ＭＳ 明朝" w:hint="eastAsia"/>
                          <w:sz w:val="20"/>
                          <w:szCs w:val="20"/>
                        </w:rPr>
                        <w:t>他は</w:t>
                      </w:r>
                      <w:r w:rsidRPr="00EC4065">
                        <w:rPr>
                          <w:rFonts w:ascii="ＭＳ 明朝" w:hAnsi="ＭＳ 明朝" w:hint="eastAsia"/>
                          <w:sz w:val="20"/>
                          <w:szCs w:val="20"/>
                        </w:rPr>
                        <w:t>指定参集場所</w:t>
                      </w:r>
                      <w:r w:rsidRPr="000E36F0">
                        <w:rPr>
                          <w:rFonts w:ascii="ＭＳ 明朝" w:hAnsi="ＭＳ 明朝" w:hint="eastAsia"/>
                          <w:sz w:val="20"/>
                          <w:szCs w:val="20"/>
                        </w:rPr>
                        <w:t>に参集</w:t>
                      </w:r>
                    </w:p>
                    <w:p w14:paraId="47837037" w14:textId="77777777" w:rsidR="006A5267" w:rsidRDefault="006A5267" w:rsidP="00F335E2">
                      <w:pPr>
                        <w:ind w:left="181" w:hangingChars="90" w:hanging="181"/>
                        <w:rPr>
                          <w:rFonts w:ascii="ＭＳ ゴシック" w:eastAsia="ＭＳ ゴシック" w:hAnsi="ＭＳ ゴシック"/>
                          <w:sz w:val="20"/>
                          <w:szCs w:val="20"/>
                        </w:rPr>
                      </w:pPr>
                    </w:p>
                    <w:p w14:paraId="1874CB1E" w14:textId="77777777" w:rsidR="006A5267" w:rsidRDefault="006A5267" w:rsidP="00F335E2">
                      <w:pPr>
                        <w:ind w:left="181" w:hangingChars="90" w:hanging="181"/>
                        <w:rPr>
                          <w:rFonts w:ascii="ＭＳ ゴシック" w:eastAsia="ＭＳ ゴシック" w:hAnsi="ＭＳ ゴシック"/>
                          <w:sz w:val="20"/>
                          <w:szCs w:val="20"/>
                        </w:rPr>
                      </w:pPr>
                    </w:p>
                    <w:p w14:paraId="53A10F45" w14:textId="77777777" w:rsidR="006A5267" w:rsidRDefault="006A5267" w:rsidP="00F335E2">
                      <w:pPr>
                        <w:ind w:left="181" w:hangingChars="90" w:hanging="181"/>
                        <w:rPr>
                          <w:rFonts w:ascii="ＭＳ ゴシック" w:eastAsia="ＭＳ ゴシック" w:hAnsi="ＭＳ ゴシック"/>
                          <w:sz w:val="20"/>
                          <w:szCs w:val="20"/>
                        </w:rPr>
                      </w:pPr>
                    </w:p>
                    <w:p w14:paraId="64D3ADF2" w14:textId="77777777" w:rsidR="006A5267" w:rsidRDefault="006A5267" w:rsidP="00F335E2">
                      <w:pPr>
                        <w:spacing w:line="240" w:lineRule="exact"/>
                        <w:ind w:left="181" w:hangingChars="90" w:hanging="181"/>
                        <w:rPr>
                          <w:rFonts w:ascii="ＭＳ 明朝" w:hAnsi="ＭＳ 明朝"/>
                          <w:sz w:val="20"/>
                          <w:szCs w:val="20"/>
                        </w:rPr>
                      </w:pPr>
                    </w:p>
                    <w:p w14:paraId="27C4FBA0" w14:textId="77777777" w:rsidR="006A5267" w:rsidRPr="000E36F0" w:rsidRDefault="006A5267" w:rsidP="00F335E2">
                      <w:pPr>
                        <w:spacing w:line="240" w:lineRule="exact"/>
                        <w:ind w:left="181" w:hangingChars="90" w:hanging="181"/>
                        <w:rPr>
                          <w:rFonts w:ascii="ＭＳ 明朝" w:hAnsi="ＭＳ 明朝"/>
                          <w:sz w:val="20"/>
                          <w:szCs w:val="20"/>
                        </w:rPr>
                      </w:pPr>
                      <w:r w:rsidRPr="000E36F0">
                        <w:rPr>
                          <w:rFonts w:ascii="ＭＳ 明朝" w:hAnsi="ＭＳ 明朝" w:hint="eastAsia"/>
                          <w:sz w:val="20"/>
                          <w:szCs w:val="20"/>
                        </w:rPr>
                        <w:t>・情報受信後、本部員、指令部員、緊急防災推進員他へ</w:t>
                      </w:r>
                      <w:r>
                        <w:rPr>
                          <w:rFonts w:ascii="ＭＳ 明朝" w:hAnsi="ＭＳ 明朝" w:hint="eastAsia"/>
                          <w:sz w:val="20"/>
                          <w:szCs w:val="20"/>
                        </w:rPr>
                        <w:t>防災情報</w:t>
                      </w:r>
                      <w:r w:rsidRPr="000E36F0">
                        <w:rPr>
                          <w:rFonts w:ascii="ＭＳ 明朝" w:hAnsi="ＭＳ 明朝" w:hint="eastAsia"/>
                          <w:sz w:val="20"/>
                          <w:szCs w:val="20"/>
                        </w:rPr>
                        <w:t>メール等で連絡</w:t>
                      </w:r>
                    </w:p>
                    <w:p w14:paraId="4AF5F361" w14:textId="77777777" w:rsidR="006A5267" w:rsidRPr="000E36F0" w:rsidRDefault="006A5267" w:rsidP="00F335E2">
                      <w:pPr>
                        <w:spacing w:line="240" w:lineRule="exact"/>
                        <w:ind w:left="181" w:hangingChars="90" w:hanging="181"/>
                        <w:rPr>
                          <w:rFonts w:ascii="ＭＳ 明朝" w:hAnsi="ＭＳ 明朝"/>
                          <w:sz w:val="20"/>
                          <w:szCs w:val="20"/>
                        </w:rPr>
                      </w:pPr>
                      <w:r>
                        <w:rPr>
                          <w:rFonts w:ascii="ＭＳ 明朝" w:hAnsi="ＭＳ 明朝" w:hint="eastAsia"/>
                          <w:sz w:val="20"/>
                          <w:szCs w:val="20"/>
                        </w:rPr>
                        <w:t>・全職員が参集</w:t>
                      </w:r>
                    </w:p>
                    <w:p w14:paraId="5886AA4D" w14:textId="77777777" w:rsidR="006A5267" w:rsidRPr="000E36F0" w:rsidRDefault="006A5267" w:rsidP="00F335E2">
                      <w:pPr>
                        <w:spacing w:line="240" w:lineRule="exact"/>
                        <w:ind w:left="181" w:hangingChars="90" w:hanging="181"/>
                        <w:rPr>
                          <w:rFonts w:ascii="ＭＳ 明朝" w:hAnsi="ＭＳ 明朝"/>
                          <w:sz w:val="20"/>
                          <w:szCs w:val="20"/>
                        </w:rPr>
                      </w:pPr>
                      <w:r w:rsidRPr="000E36F0">
                        <w:rPr>
                          <w:rFonts w:ascii="ＭＳ 明朝" w:hAnsi="ＭＳ 明朝" w:hint="eastAsia"/>
                          <w:sz w:val="20"/>
                          <w:szCs w:val="20"/>
                        </w:rPr>
                        <w:t xml:space="preserve">　本部員、指令部員、緊急防災推進員他は</w:t>
                      </w:r>
                      <w:r w:rsidRPr="006D4A66">
                        <w:rPr>
                          <w:rFonts w:ascii="ＭＳ 明朝" w:hAnsi="ＭＳ 明朝" w:hint="eastAsia"/>
                          <w:sz w:val="20"/>
                          <w:szCs w:val="20"/>
                        </w:rPr>
                        <w:t>指定参集場所</w:t>
                      </w:r>
                      <w:r w:rsidRPr="000E36F0">
                        <w:rPr>
                          <w:rFonts w:ascii="ＭＳ 明朝" w:hAnsi="ＭＳ 明朝" w:hint="eastAsia"/>
                          <w:sz w:val="20"/>
                          <w:szCs w:val="20"/>
                        </w:rPr>
                        <w:t>に参集</w:t>
                      </w:r>
                    </w:p>
                    <w:p w14:paraId="4140328D" w14:textId="77777777" w:rsidR="006A5267" w:rsidRDefault="006A5267" w:rsidP="00F335E2">
                      <w:pPr>
                        <w:ind w:left="181" w:hangingChars="90" w:hanging="181"/>
                        <w:rPr>
                          <w:rFonts w:ascii="ＭＳ ゴシック" w:eastAsia="ＭＳ ゴシック" w:hAnsi="ＭＳ ゴシック"/>
                          <w:sz w:val="20"/>
                          <w:szCs w:val="20"/>
                        </w:rPr>
                      </w:pPr>
                    </w:p>
                    <w:p w14:paraId="56E0183F" w14:textId="77777777" w:rsidR="006A5267" w:rsidRDefault="006A5267" w:rsidP="00F335E2">
                      <w:pPr>
                        <w:ind w:left="181" w:hangingChars="90" w:hanging="181"/>
                        <w:rPr>
                          <w:rFonts w:ascii="ＭＳ ゴシック" w:eastAsia="ＭＳ ゴシック" w:hAnsi="ＭＳ ゴシック"/>
                          <w:sz w:val="20"/>
                          <w:szCs w:val="20"/>
                        </w:rPr>
                      </w:pPr>
                    </w:p>
                    <w:p w14:paraId="6E0F1E99" w14:textId="77777777" w:rsidR="006A5267" w:rsidRDefault="006A5267" w:rsidP="00F335E2">
                      <w:pPr>
                        <w:ind w:left="181" w:hangingChars="90" w:hanging="181"/>
                        <w:rPr>
                          <w:rFonts w:ascii="ＭＳ ゴシック" w:eastAsia="ＭＳ ゴシック" w:hAnsi="ＭＳ ゴシック"/>
                          <w:sz w:val="20"/>
                          <w:szCs w:val="20"/>
                        </w:rPr>
                      </w:pPr>
                    </w:p>
                    <w:p w14:paraId="5515BB22" w14:textId="77777777" w:rsidR="006A5267" w:rsidRDefault="006A5267" w:rsidP="00F335E2">
                      <w:pPr>
                        <w:ind w:left="181" w:hangingChars="90" w:hanging="181"/>
                        <w:rPr>
                          <w:rFonts w:ascii="ＭＳ ゴシック" w:eastAsia="ＭＳ ゴシック" w:hAnsi="ＭＳ ゴシック"/>
                          <w:sz w:val="20"/>
                          <w:szCs w:val="20"/>
                        </w:rPr>
                      </w:pPr>
                    </w:p>
                  </w:txbxContent>
                </v:textbox>
              </v:shape>
            </w:pict>
          </mc:Fallback>
        </mc:AlternateContent>
      </w:r>
      <w:r w:rsidRPr="001D6D10">
        <w:rPr>
          <w:rFonts w:ascii="ＭＳ ゴシック" w:eastAsia="ＭＳ ゴシック" w:hAnsi="ＭＳ ゴシック" w:hint="eastAsia"/>
          <w:noProof/>
          <w:sz w:val="22"/>
          <w:szCs w:val="22"/>
        </w:rPr>
        <mc:AlternateContent>
          <mc:Choice Requires="wps">
            <w:drawing>
              <wp:anchor distT="0" distB="0" distL="114300" distR="114300" simplePos="0" relativeHeight="254028800" behindDoc="0" locked="0" layoutInCell="1" allowOverlap="1" wp14:anchorId="028759F1" wp14:editId="34E85B38">
                <wp:simplePos x="0" y="0"/>
                <wp:positionH relativeFrom="column">
                  <wp:posOffset>1828800</wp:posOffset>
                </wp:positionH>
                <wp:positionV relativeFrom="paragraph">
                  <wp:posOffset>73025</wp:posOffset>
                </wp:positionV>
                <wp:extent cx="1714500" cy="457200"/>
                <wp:effectExtent l="9525" t="6350" r="9525" b="12700"/>
                <wp:wrapNone/>
                <wp:docPr id="4418" name="Text Box 197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14500" cy="457200"/>
                        </a:xfrm>
                        <a:prstGeom prst="rect">
                          <a:avLst/>
                        </a:prstGeom>
                        <a:solidFill>
                          <a:srgbClr val="FFFFFF"/>
                        </a:solidFill>
                        <a:ln w="9525">
                          <a:solidFill>
                            <a:srgbClr val="000000"/>
                          </a:solidFill>
                          <a:miter lim="800000"/>
                          <a:headEnd/>
                          <a:tailEnd/>
                        </a:ln>
                      </wps:spPr>
                      <wps:txbx>
                        <w:txbxContent>
                          <w:p w14:paraId="78D1E466" w14:textId="77777777" w:rsidR="006A5267" w:rsidRDefault="006A5267" w:rsidP="00F335E2">
                            <w:pPr>
                              <w:jc w:val="center"/>
                              <w:rPr>
                                <w:rFonts w:ascii="ＭＳ ゴシック" w:eastAsia="ＭＳ ゴシック" w:hAnsi="ＭＳ ゴシック"/>
                                <w:sz w:val="20"/>
                                <w:szCs w:val="20"/>
                              </w:rPr>
                            </w:pPr>
                            <w:r>
                              <w:rPr>
                                <w:rFonts w:ascii="ＭＳ ゴシック" w:eastAsia="ＭＳ ゴシック" w:hAnsi="ＭＳ ゴシック" w:hint="eastAsia"/>
                                <w:sz w:val="20"/>
                                <w:szCs w:val="20"/>
                              </w:rPr>
                              <w:t>危機管理室情報受信</w:t>
                            </w:r>
                          </w:p>
                          <w:p w14:paraId="27342799" w14:textId="77777777" w:rsidR="006A5267" w:rsidRPr="003A3FF3" w:rsidRDefault="006A5267" w:rsidP="00F335E2">
                            <w:pPr>
                              <w:jc w:val="center"/>
                              <w:rPr>
                                <w:rFonts w:ascii="ＭＳ ゴシック" w:eastAsia="ＭＳ ゴシック" w:hAnsi="ＭＳ ゴシック"/>
                                <w:sz w:val="20"/>
                                <w:szCs w:val="20"/>
                              </w:rPr>
                            </w:pPr>
                            <w:r>
                              <w:rPr>
                                <w:rFonts w:ascii="ＭＳ ゴシック" w:eastAsia="ＭＳ ゴシック" w:hAnsi="ＭＳ ゴシック" w:hint="eastAsia"/>
                                <w:sz w:val="20"/>
                                <w:szCs w:val="20"/>
                              </w:rPr>
                              <w:t>（防災・危機管理当直）</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shape w14:anchorId="028759F1" id="Text Box 1978" o:spid="_x0000_s1035" type="#_x0000_t202" style="position:absolute;left:0;text-align:left;margin-left:2in;margin-top:5.75pt;width:135pt;height:36pt;z-index:2540288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">
                <v:textbox inset="5.85pt,.7pt,5.85pt,.7pt">
                  <w:txbxContent>
                    <w:p w14:paraId="78D1E466" w14:textId="77777777" w:rsidR="006A5267" w:rsidRDefault="006A5267" w:rsidP="00F335E2">
                      <w:pPr>
                        <w:jc w:val="center"/>
                        <w:rPr>
                          <w:rFonts w:ascii="ＭＳ ゴシック" w:eastAsia="ＭＳ ゴシック" w:hAnsi="ＭＳ ゴシック"/>
                          <w:sz w:val="20"/>
                          <w:szCs w:val="20"/>
                        </w:rPr>
                      </w:pPr>
                      <w:r>
                        <w:rPr>
                          <w:rFonts w:ascii="ＭＳ ゴシック" w:eastAsia="ＭＳ ゴシック" w:hAnsi="ＭＳ ゴシック" w:hint="eastAsia"/>
                          <w:sz w:val="20"/>
                          <w:szCs w:val="20"/>
                        </w:rPr>
                        <w:t>危機管理室情報受信</w:t>
                      </w:r>
                    </w:p>
                    <w:p w14:paraId="27342799" w14:textId="77777777" w:rsidR="006A5267" w:rsidRPr="003A3FF3" w:rsidRDefault="006A5267" w:rsidP="00F335E2">
                      <w:pPr>
                        <w:jc w:val="center"/>
                        <w:rPr>
                          <w:rFonts w:ascii="ＭＳ ゴシック" w:eastAsia="ＭＳ ゴシック" w:hAnsi="ＭＳ ゴシック"/>
                          <w:sz w:val="20"/>
                          <w:szCs w:val="20"/>
                        </w:rPr>
                      </w:pPr>
                      <w:r>
                        <w:rPr>
                          <w:rFonts w:ascii="ＭＳ ゴシック" w:eastAsia="ＭＳ ゴシック" w:hAnsi="ＭＳ ゴシック" w:hint="eastAsia"/>
                          <w:sz w:val="20"/>
                          <w:szCs w:val="20"/>
                        </w:rPr>
                        <w:t>（防災・危機管理当直）</w:t>
                      </w:r>
                    </w:p>
                  </w:txbxContent>
                </v:textbox>
              </v:shape>
            </w:pict>
          </mc:Fallback>
        </mc:AlternateContent>
      </w:r>
    </w:p>
    <w:p w14:paraId="0C8BBE7A" w14:textId="77777777" w:rsidR="00F335E2" w:rsidRPr="001D6D10" w:rsidRDefault="00F335E2" w:rsidP="00F335E2">
      <w:pPr>
        <w:rPr>
          <w:rFonts w:ascii="ＭＳ ゴシック" w:eastAsia="ＭＳ ゴシック" w:hAnsi="ＭＳ ゴシック"/>
          <w:sz w:val="22"/>
          <w:szCs w:val="22"/>
        </w:rPr>
      </w:pPr>
    </w:p>
    <w:p w14:paraId="68171593" w14:textId="77777777" w:rsidR="00F335E2" w:rsidRPr="001D6D10" w:rsidRDefault="00F335E2" w:rsidP="00F335E2">
      <w:pPr>
        <w:rPr>
          <w:rFonts w:ascii="ＭＳ ゴシック" w:eastAsia="ＭＳ ゴシック" w:hAnsi="ＭＳ ゴシック"/>
          <w:sz w:val="22"/>
          <w:szCs w:val="22"/>
        </w:rPr>
      </w:pPr>
      <w:r w:rsidRPr="001D6D10">
        <w:rPr>
          <w:rFonts w:ascii="ＭＳ ゴシック" w:eastAsia="ＭＳ ゴシック" w:hAnsi="ＭＳ ゴシック" w:hint="eastAsia"/>
          <w:noProof/>
          <w:sz w:val="22"/>
          <w:szCs w:val="22"/>
        </w:rPr>
        <mc:AlternateContent>
          <mc:Choice Requires="wps">
            <w:drawing>
              <wp:anchor distT="0" distB="0" distL="114300" distR="114300" simplePos="0" relativeHeight="254052352" behindDoc="0" locked="0" layoutInCell="1" allowOverlap="1" wp14:anchorId="0CC39576" wp14:editId="51005247">
                <wp:simplePos x="0" y="0"/>
                <wp:positionH relativeFrom="column">
                  <wp:posOffset>0</wp:posOffset>
                </wp:positionH>
                <wp:positionV relativeFrom="paragraph">
                  <wp:posOffset>101600</wp:posOffset>
                </wp:positionV>
                <wp:extent cx="1828800" cy="457200"/>
                <wp:effectExtent l="47625" t="15875" r="47625" b="12700"/>
                <wp:wrapNone/>
                <wp:docPr id="4417" name="AutoShape 200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28800" cy="457200"/>
                        </a:xfrm>
                        <a:prstGeom prst="star16">
                          <a:avLst>
                            <a:gd name="adj" fmla="val 37500"/>
                          </a:avLst>
                        </a:prstGeom>
                        <a:solidFill>
                          <a:srgbClr val="FFFFFF"/>
                        </a:solidFill>
                        <a:ln w="9525" algn="ctr">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14:paraId="278F347A" w14:textId="77777777" w:rsidR="006A5267" w:rsidRDefault="006A5267" w:rsidP="00F335E2">
                            <w:pPr>
                              <w:spacing w:line="160" w:lineRule="exact"/>
                              <w:rPr>
                                <w:rFonts w:ascii="ＭＳ ゴシック" w:eastAsia="ＭＳ ゴシック" w:hAnsi="ＭＳ ゴシック"/>
                                <w:sz w:val="16"/>
                                <w:szCs w:val="16"/>
                              </w:rPr>
                            </w:pPr>
                            <w:r>
                              <w:rPr>
                                <w:rFonts w:ascii="ＭＳ ゴシック" w:eastAsia="ＭＳ ゴシック" w:hAnsi="ＭＳ ゴシック" w:hint="eastAsia"/>
                                <w:sz w:val="16"/>
                                <w:szCs w:val="16"/>
                              </w:rPr>
                              <w:t>気象警報・</w:t>
                            </w:r>
                          </w:p>
                          <w:p w14:paraId="3BDD03C3" w14:textId="77777777" w:rsidR="006A5267" w:rsidRPr="00097649" w:rsidRDefault="006A5267" w:rsidP="00F335E2">
                            <w:pPr>
                              <w:spacing w:line="160" w:lineRule="exact"/>
                              <w:rPr>
                                <w:rFonts w:ascii="ＭＳ ゴシック" w:eastAsia="ＭＳ ゴシック" w:hAnsi="ＭＳ ゴシック"/>
                                <w:sz w:val="16"/>
                                <w:szCs w:val="16"/>
                              </w:rPr>
                            </w:pPr>
                            <w:r>
                              <w:rPr>
                                <w:rFonts w:ascii="ＭＳ ゴシック" w:eastAsia="ＭＳ ゴシック" w:hAnsi="ＭＳ ゴシック" w:hint="eastAsia"/>
                                <w:sz w:val="16"/>
                                <w:szCs w:val="16"/>
                              </w:rPr>
                              <w:t>台風情報等受信</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shapetype w14:anchorId="0CC39576" id="_x0000_t59" coordsize="21600,21600" o:spt="59" adj="2700" path="m21600,10800l@5@10,20777,6667@7@12,18436,3163@8@11,14932,822@6@9,10800,0@10@9,6667,822@12@11,3163,3163@11@12,822,6667@9@10,,10800@9@6,822,14932@11@8,3163,18436@12@7,6667,20777@10@5,10800,21600@6@5,14932,20777@8@7,18436,18436@7@8,20777,14932@5@6xe">
                <v:stroke joinstyle="miter"/>
                <v:formulas>
                  <v:f eqn="sum 10800 0 #0"/>
                  <v:f eqn="prod @0 32138 32768"/>
                  <v:f eqn="prod @0 6393 32768"/>
                  <v:f eqn="prod @0 27246 32768"/>
                  <v:f eqn="prod @0 18205 32768"/>
                  <v:f eqn="sum @1 10800 0"/>
                  <v:f eqn="sum @2 10800 0"/>
                  <v:f eqn="sum @3 10800 0"/>
                  <v:f eqn="sum @4 10800 0"/>
                  <v:f eqn="sum 10800 0 @1"/>
                  <v:f eqn="sum 10800 0 @2"/>
                  <v:f eqn="sum 10800 0 @3"/>
                  <v:f eqn="sum 10800 0 @4"/>
                  <v:f eqn="prod @0 23170 32768"/>
                  <v:f eqn="sum @13 10800 0"/>
                  <v:f eqn="sum 10800 0 @13"/>
                </v:formulas>
                <v:path gradientshapeok="t" o:connecttype="rect" textboxrect="@15,@15,@14,@14"/>
                <v:handles>
                  <v:h position="#0,center" xrange="0,10800"/>
                </v:handles>
              </v:shapetype>
              <v:shape id="AutoShape 2001" o:spid="_x0000_s1036" type="#_x0000_t59" style="position:absolute;left:0;text-align:left;margin-left:0;margin-top:8pt;width:2in;height:36pt;z-index:2540523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">
                <v:textbox inset="5.85pt,.7pt,5.85pt,.7pt">
                  <w:txbxContent>
                    <w:p w14:paraId="278F347A" w14:textId="77777777" w:rsidR="006A5267" w:rsidRDefault="006A5267" w:rsidP="00F335E2">
                      <w:pPr>
                        <w:spacing w:line="160" w:lineRule="exact"/>
                        <w:rPr>
                          <w:rFonts w:ascii="ＭＳ ゴシック" w:eastAsia="ＭＳ ゴシック" w:hAnsi="ＭＳ ゴシック"/>
                          <w:sz w:val="16"/>
                          <w:szCs w:val="16"/>
                        </w:rPr>
                      </w:pPr>
                      <w:r>
                        <w:rPr>
                          <w:rFonts w:ascii="ＭＳ ゴシック" w:eastAsia="ＭＳ ゴシック" w:hAnsi="ＭＳ ゴシック" w:hint="eastAsia"/>
                          <w:sz w:val="16"/>
                          <w:szCs w:val="16"/>
                        </w:rPr>
                        <w:t>気象警報・</w:t>
                      </w:r>
                    </w:p>
                    <w:p w14:paraId="3BDD03C3" w14:textId="77777777" w:rsidR="006A5267" w:rsidRPr="00097649" w:rsidRDefault="006A5267" w:rsidP="00F335E2">
                      <w:pPr>
                        <w:spacing w:line="160" w:lineRule="exact"/>
                        <w:rPr>
                          <w:rFonts w:ascii="ＭＳ ゴシック" w:eastAsia="ＭＳ ゴシック" w:hAnsi="ＭＳ ゴシック"/>
                          <w:sz w:val="16"/>
                          <w:szCs w:val="16"/>
                        </w:rPr>
                      </w:pPr>
                      <w:r>
                        <w:rPr>
                          <w:rFonts w:ascii="ＭＳ ゴシック" w:eastAsia="ＭＳ ゴシック" w:hAnsi="ＭＳ ゴシック" w:hint="eastAsia"/>
                          <w:sz w:val="16"/>
                          <w:szCs w:val="16"/>
                        </w:rPr>
                        <w:t>台風情報等受信</w:t>
                      </w:r>
                    </w:p>
                  </w:txbxContent>
                </v:textbox>
              </v:shape>
            </w:pict>
          </mc:Fallback>
        </mc:AlternateContent>
      </w:r>
      <w:r w:rsidRPr="001D6D10">
        <w:rPr>
          <w:rFonts w:ascii="ＭＳ ゴシック" w:eastAsia="ＭＳ ゴシック" w:hAnsi="ＭＳ ゴシック" w:hint="eastAsia"/>
          <w:noProof/>
          <w:sz w:val="22"/>
          <w:szCs w:val="22"/>
        </w:rPr>
        <mc:AlternateContent>
          <mc:Choice Requires="wps">
            <w:drawing>
              <wp:anchor distT="0" distB="0" distL="114300" distR="114300" simplePos="0" relativeHeight="254041088" behindDoc="0" locked="0" layoutInCell="1" allowOverlap="1" wp14:anchorId="0B6C0DB9" wp14:editId="14614CF4">
                <wp:simplePos x="0" y="0"/>
                <wp:positionH relativeFrom="column">
                  <wp:posOffset>2286000</wp:posOffset>
                </wp:positionH>
                <wp:positionV relativeFrom="paragraph">
                  <wp:posOffset>101600</wp:posOffset>
                </wp:positionV>
                <wp:extent cx="1371600" cy="228600"/>
                <wp:effectExtent l="0" t="0" r="0" b="3175"/>
                <wp:wrapNone/>
                <wp:docPr id="4416" name="Text Box 199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71600" cy="228600"/>
                        </a:xfrm>
                        <a:prstGeom prst="rect">
                          <a:avLst/>
                        </a:prstGeom>
                        <a:solidFill>
                          <a:srgbClr val="FFFFFF"/>
                        </a:solidFill>
                        <a:ln>
                          <a:noFill/>
                        </a:ln>
                        <a:effectLst/>
                        <a:extLst>
                          <a:ext uri="{91240B29-F687-4F45-9708-019B960494DF}">
                            <a14:hiddenLine xmlns:a14="http://schemas.microsoft.com/office/drawing/2010/main" w="9525" algn="ctr">
                              <a:solidFill>
                                <a:srgbClr val="000000"/>
                              </a:solidFill>
                              <a:miter lim="800000"/>
                              <a:headEnd/>
                              <a:tailEnd/>
                            </a14:hiddenLine>
                          </a:ex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14:paraId="20B46B91" w14:textId="77777777" w:rsidR="006A5267" w:rsidRPr="000E36F0" w:rsidRDefault="006A5267" w:rsidP="00F335E2">
                            <w:pPr>
                              <w:rPr>
                                <w:rFonts w:ascii="ＭＳ 明朝" w:hAnsi="ＭＳ 明朝"/>
                                <w:sz w:val="20"/>
                                <w:szCs w:val="20"/>
                              </w:rPr>
                            </w:pPr>
                            <w:r w:rsidRPr="000E36F0">
                              <w:rPr>
                                <w:rFonts w:ascii="ＭＳ 明朝" w:hAnsi="ＭＳ 明朝" w:hint="eastAsia"/>
                                <w:sz w:val="20"/>
                                <w:szCs w:val="20"/>
                              </w:rPr>
                              <w:t>当直者：職員２名</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shape w14:anchorId="0B6C0DB9" id="Text Box 1990" o:spid="_x0000_s1037" type="#_x0000_t202" style="position:absolute;left:0;text-align:left;margin-left:180pt;margin-top:8pt;width:108pt;height:18pt;z-index:2540410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" stroked="f">
                <v:textbox inset="5.85pt,.7pt,5.85pt,.7pt">
                  <w:txbxContent>
                    <w:p w14:paraId="20B46B91" w14:textId="77777777" w:rsidR="006A5267" w:rsidRPr="000E36F0" w:rsidRDefault="006A5267" w:rsidP="00F335E2">
                      <w:pPr>
                        <w:rPr>
                          <w:rFonts w:ascii="ＭＳ 明朝" w:hAnsi="ＭＳ 明朝"/>
                          <w:sz w:val="20"/>
                          <w:szCs w:val="20"/>
                        </w:rPr>
                      </w:pPr>
                      <w:r w:rsidRPr="000E36F0">
                        <w:rPr>
                          <w:rFonts w:ascii="ＭＳ 明朝" w:hAnsi="ＭＳ 明朝" w:hint="eastAsia"/>
                          <w:sz w:val="20"/>
                          <w:szCs w:val="20"/>
                        </w:rPr>
                        <w:t>当直者：職員２名</w:t>
                      </w:r>
                    </w:p>
                  </w:txbxContent>
                </v:textbox>
              </v:shape>
            </w:pict>
          </mc:Fallback>
        </mc:AlternateContent>
      </w:r>
      <w:r w:rsidRPr="001D6D10">
        <w:rPr>
          <w:rFonts w:ascii="ＭＳ ゴシック" w:eastAsia="ＭＳ ゴシック" w:hAnsi="ＭＳ ゴシック" w:hint="eastAsia"/>
          <w:noProof/>
          <w:sz w:val="22"/>
          <w:szCs w:val="22"/>
        </w:rPr>
        <mc:AlternateContent>
          <mc:Choice Requires="wps">
            <w:drawing>
              <wp:anchor distT="0" distB="0" distL="114300" distR="114300" simplePos="0" relativeHeight="254030848" behindDoc="0" locked="0" layoutInCell="1" allowOverlap="1" wp14:anchorId="6C2A7B44" wp14:editId="73D1FA57">
                <wp:simplePos x="0" y="0"/>
                <wp:positionH relativeFrom="column">
                  <wp:posOffset>1943100</wp:posOffset>
                </wp:positionH>
                <wp:positionV relativeFrom="paragraph">
                  <wp:posOffset>215900</wp:posOffset>
                </wp:positionV>
                <wp:extent cx="228600" cy="228600"/>
                <wp:effectExtent l="28575" t="6350" r="28575" b="12700"/>
                <wp:wrapNone/>
                <wp:docPr id="4415" name="AutoShape 198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8600" cy="228600"/>
                        </a:xfrm>
                        <a:prstGeom prst="downArrow">
                          <a:avLst>
                            <a:gd name="adj1" fmla="val 50000"/>
                            <a:gd name="adj2" fmla="val 25000"/>
                          </a:avLst>
                        </a:prstGeom>
                        <a:solidFill>
                          <a:srgbClr val="FFFFFF"/>
                        </a:solidFill>
                        <a:ln w="9525" algn="ctr">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shapetype w14:anchorId="457F2B50" id="_x0000_t67" coordsize="21600,21600" o:spt="67" adj="16200,5400" path="m0@0l@1@0@1,0@2,0@2@0,21600@0,10800,21600xe">
                <v:stroke joinstyle="miter"/>
                <v:formulas>
                  <v:f eqn="val #0"/>
                  <v:f eqn="val #1"/>
                  <v:f eqn="sum height 0 #1"/>
                  <v:f eqn="sum 10800 0 #1"/>
                  <v:f eqn="sum width 0 #0"/>
                  <v:f eqn="prod @4 @3 10800"/>
                  <v:f eqn="sum width 0 @5"/>
                </v:formulas>
                <v:path o:connecttype="custom" o:connectlocs="10800,0;0,@0;10800,21600;21600,@0" o:connectangles="270,180,90,0" textboxrect="@1,0,@2,@6"/>
                <v:handles>
                  <v:h position="#1,#0" xrange="0,10800" yrange="0,21600"/>
                </v:handles>
              </v:shapetype>
              <v:shape id="AutoShape 1980" o:spid="_x0000_s1026" type="#_x0000_t67" style="position:absolute;left:0;text-align:left;margin-left:153pt;margin-top:17pt;width:18pt;height:18pt;z-index:2540308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">
                <v:textbox inset="5.85pt,.7pt,5.85pt,.7pt"/>
              </v:shape>
            </w:pict>
          </mc:Fallback>
        </mc:AlternateContent>
      </w:r>
    </w:p>
    <w:p w14:paraId="58A39EA3" w14:textId="77777777" w:rsidR="00F335E2" w:rsidRPr="001D6D10" w:rsidRDefault="00F335E2" w:rsidP="00F335E2">
      <w:pPr>
        <w:rPr>
          <w:rFonts w:ascii="ＭＳ ゴシック" w:eastAsia="ＭＳ ゴシック" w:hAnsi="ＭＳ ゴシック"/>
          <w:sz w:val="22"/>
          <w:szCs w:val="22"/>
        </w:rPr>
      </w:pPr>
    </w:p>
    <w:p w14:paraId="1809C52F" w14:textId="77777777" w:rsidR="00F335E2" w:rsidRPr="001D6D10" w:rsidRDefault="00F335E2" w:rsidP="00F335E2">
      <w:pPr>
        <w:rPr>
          <w:rFonts w:ascii="ＭＳ ゴシック" w:eastAsia="ＭＳ ゴシック" w:hAnsi="ＭＳ ゴシック"/>
          <w:sz w:val="22"/>
          <w:szCs w:val="22"/>
        </w:rPr>
      </w:pPr>
      <w:r w:rsidRPr="001D6D10">
        <w:rPr>
          <w:rFonts w:ascii="ＭＳ ゴシック" w:eastAsia="ＭＳ ゴシック" w:hAnsi="ＭＳ ゴシック" w:hint="eastAsia"/>
          <w:noProof/>
          <w:sz w:val="22"/>
          <w:szCs w:val="22"/>
        </w:rPr>
        <mc:AlternateContent>
          <mc:Choice Requires="wps">
            <w:drawing>
              <wp:anchor distT="0" distB="0" distL="114300" distR="114300" simplePos="0" relativeHeight="254024704" behindDoc="0" locked="0" layoutInCell="1" allowOverlap="1" wp14:anchorId="709293B9" wp14:editId="597DC34E">
                <wp:simplePos x="0" y="0"/>
                <wp:positionH relativeFrom="column">
                  <wp:posOffset>1828800</wp:posOffset>
                </wp:positionH>
                <wp:positionV relativeFrom="paragraph">
                  <wp:posOffset>73025</wp:posOffset>
                </wp:positionV>
                <wp:extent cx="1714500" cy="228600"/>
                <wp:effectExtent l="9525" t="6350" r="9525" b="12700"/>
                <wp:wrapNone/>
                <wp:docPr id="4414" name="Text Box 197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14500" cy="228600"/>
                        </a:xfrm>
                        <a:prstGeom prst="rect">
                          <a:avLst/>
                        </a:prstGeom>
                        <a:solidFill>
                          <a:srgbClr val="FFFFFF"/>
                        </a:solidFill>
                        <a:ln w="9525">
                          <a:solidFill>
                            <a:srgbClr val="000000"/>
                          </a:solidFill>
                          <a:miter lim="800000"/>
                          <a:headEnd/>
                          <a:tailEnd/>
                        </a:ln>
                      </wps:spPr>
                      <wps:txbx>
                        <w:txbxContent>
                          <w:p w14:paraId="4AC5E95D" w14:textId="77777777" w:rsidR="006A5267" w:rsidRPr="00D9485A" w:rsidRDefault="006A5267" w:rsidP="00F335E2">
                            <w:pPr>
                              <w:jc w:val="center"/>
                              <w:rPr>
                                <w:rFonts w:ascii="ＭＳ ゴシック" w:eastAsia="ＭＳ ゴシック" w:hAnsi="ＭＳ ゴシック"/>
                                <w:sz w:val="20"/>
                                <w:szCs w:val="20"/>
                              </w:rPr>
                            </w:pPr>
                            <w:r>
                              <w:rPr>
                                <w:rFonts w:ascii="ＭＳ ゴシック" w:eastAsia="ＭＳ ゴシック" w:hAnsi="ＭＳ ゴシック" w:hint="eastAsia"/>
                                <w:sz w:val="20"/>
                                <w:szCs w:val="20"/>
                              </w:rPr>
                              <w:t>防災・危機管理</w:t>
                            </w:r>
                            <w:r w:rsidRPr="00D9485A">
                              <w:rPr>
                                <w:rFonts w:ascii="ＭＳ ゴシック" w:eastAsia="ＭＳ ゴシック" w:hAnsi="ＭＳ ゴシック" w:hint="eastAsia"/>
                                <w:sz w:val="20"/>
                                <w:szCs w:val="20"/>
                              </w:rPr>
                              <w:t>警戒班</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shape w14:anchorId="709293B9" id="Text Box 1974" o:spid="_x0000_s1038" type="#_x0000_t202" style="position:absolute;left:0;text-align:left;margin-left:2in;margin-top:5.75pt;width:135pt;height:18pt;z-index:254024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">
                <v:textbox inset="5.85pt,.7pt,5.85pt,.7pt">
                  <w:txbxContent>
                    <w:p w14:paraId="4AC5E95D" w14:textId="77777777" w:rsidR="006A5267" w:rsidRPr="00D9485A" w:rsidRDefault="006A5267" w:rsidP="00F335E2">
                      <w:pPr>
                        <w:jc w:val="center"/>
                        <w:rPr>
                          <w:rFonts w:ascii="ＭＳ ゴシック" w:eastAsia="ＭＳ ゴシック" w:hAnsi="ＭＳ ゴシック"/>
                          <w:sz w:val="20"/>
                          <w:szCs w:val="20"/>
                        </w:rPr>
                      </w:pPr>
                      <w:r>
                        <w:rPr>
                          <w:rFonts w:ascii="ＭＳ ゴシック" w:eastAsia="ＭＳ ゴシック" w:hAnsi="ＭＳ ゴシック" w:hint="eastAsia"/>
                          <w:sz w:val="20"/>
                          <w:szCs w:val="20"/>
                        </w:rPr>
                        <w:t>防災・危機管理</w:t>
                      </w:r>
                      <w:r w:rsidRPr="00D9485A">
                        <w:rPr>
                          <w:rFonts w:ascii="ＭＳ ゴシック" w:eastAsia="ＭＳ ゴシック" w:hAnsi="ＭＳ ゴシック" w:hint="eastAsia"/>
                          <w:sz w:val="20"/>
                          <w:szCs w:val="20"/>
                        </w:rPr>
                        <w:t>警戒班</w:t>
                      </w:r>
                    </w:p>
                  </w:txbxContent>
                </v:textbox>
              </v:shape>
            </w:pict>
          </mc:Fallback>
        </mc:AlternateContent>
      </w:r>
    </w:p>
    <w:p w14:paraId="49DE5A1D" w14:textId="77777777" w:rsidR="00F335E2" w:rsidRPr="001D6D10" w:rsidRDefault="00F335E2" w:rsidP="00F335E2">
      <w:pPr>
        <w:rPr>
          <w:rFonts w:ascii="ＭＳ ゴシック" w:eastAsia="ＭＳ ゴシック" w:hAnsi="ＭＳ ゴシック"/>
          <w:sz w:val="22"/>
          <w:szCs w:val="22"/>
        </w:rPr>
      </w:pPr>
      <w:r w:rsidRPr="001D6D10">
        <w:rPr>
          <w:rFonts w:ascii="ＭＳ ゴシック" w:eastAsia="ＭＳ ゴシック" w:hAnsi="ＭＳ ゴシック" w:hint="eastAsia"/>
          <w:noProof/>
          <w:sz w:val="22"/>
          <w:szCs w:val="22"/>
        </w:rPr>
        <mc:AlternateContent>
          <mc:Choice Requires="wps">
            <w:drawing>
              <wp:anchor distT="0" distB="0" distL="114300" distR="114300" simplePos="0" relativeHeight="254048256" behindDoc="0" locked="0" layoutInCell="1" allowOverlap="1" wp14:anchorId="4685014F" wp14:editId="48BA7029">
                <wp:simplePos x="0" y="0"/>
                <wp:positionH relativeFrom="column">
                  <wp:posOffset>1476375</wp:posOffset>
                </wp:positionH>
                <wp:positionV relativeFrom="paragraph">
                  <wp:posOffset>73025</wp:posOffset>
                </wp:positionV>
                <wp:extent cx="800100" cy="228600"/>
                <wp:effectExtent l="9525" t="6350" r="9525" b="12700"/>
                <wp:wrapNone/>
                <wp:docPr id="4413" name="Text Box 199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00100" cy="228600"/>
                        </a:xfrm>
                        <a:prstGeom prst="rect">
                          <a:avLst/>
                        </a:prstGeom>
                        <a:solidFill>
                          <a:srgbClr val="FFFFFF"/>
                        </a:solidFill>
                        <a:ln w="9525" algn="ctr">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14:paraId="161EED4F" w14:textId="77777777" w:rsidR="006A5267" w:rsidRPr="00263DA4" w:rsidRDefault="006A5267" w:rsidP="00F335E2">
                            <w:pPr>
                              <w:rPr>
                                <w:rFonts w:ascii="ＭＳ ゴシック" w:eastAsia="ＭＳ ゴシック" w:hAnsi="ＭＳ ゴシック"/>
                                <w:sz w:val="20"/>
                                <w:szCs w:val="20"/>
                              </w:rPr>
                            </w:pPr>
                            <w:r>
                              <w:rPr>
                                <w:rFonts w:ascii="ＭＳ ゴシック" w:eastAsia="ＭＳ ゴシック" w:hAnsi="ＭＳ ゴシック" w:hint="eastAsia"/>
                                <w:sz w:val="20"/>
                                <w:szCs w:val="20"/>
                              </w:rPr>
                              <w:t>地域情報班</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shape w14:anchorId="4685014F" id="Text Box 1997" o:spid="_x0000_s1039" type="#_x0000_t202" style="position:absolute;left:0;text-align:left;margin-left:116.25pt;margin-top:5.75pt;width:63pt;height:18pt;z-index:2540482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">
                <v:textbox inset="5.85pt,.7pt,5.85pt,.7pt">
                  <w:txbxContent>
                    <w:p w14:paraId="161EED4F" w14:textId="77777777" w:rsidR="006A5267" w:rsidRPr="00263DA4" w:rsidRDefault="006A5267" w:rsidP="00F335E2">
                      <w:pPr>
                        <w:rPr>
                          <w:rFonts w:ascii="ＭＳ ゴシック" w:eastAsia="ＭＳ ゴシック" w:hAnsi="ＭＳ ゴシック"/>
                          <w:sz w:val="20"/>
                          <w:szCs w:val="20"/>
                        </w:rPr>
                      </w:pPr>
                      <w:r>
                        <w:rPr>
                          <w:rFonts w:ascii="ＭＳ ゴシック" w:eastAsia="ＭＳ ゴシック" w:hAnsi="ＭＳ ゴシック" w:hint="eastAsia"/>
                          <w:sz w:val="20"/>
                          <w:szCs w:val="20"/>
                        </w:rPr>
                        <w:t>地域情報班</w:t>
                      </w:r>
                    </w:p>
                  </w:txbxContent>
                </v:textbox>
              </v:shape>
            </w:pict>
          </mc:Fallback>
        </mc:AlternateContent>
      </w:r>
      <w:r w:rsidRPr="001D6D10">
        <w:rPr>
          <w:rFonts w:ascii="ＭＳ ゴシック" w:eastAsia="ＭＳ ゴシック" w:hAnsi="ＭＳ ゴシック" w:hint="eastAsia"/>
          <w:noProof/>
          <w:sz w:val="22"/>
          <w:szCs w:val="22"/>
        </w:rPr>
        <mc:AlternateContent>
          <mc:Choice Requires="wps">
            <w:drawing>
              <wp:anchor distT="0" distB="0" distL="114300" distR="114300" simplePos="0" relativeHeight="254035968" behindDoc="0" locked="0" layoutInCell="1" allowOverlap="1" wp14:anchorId="6C6158EE" wp14:editId="336DB328">
                <wp:simplePos x="0" y="0"/>
                <wp:positionH relativeFrom="column">
                  <wp:posOffset>2286000</wp:posOffset>
                </wp:positionH>
                <wp:positionV relativeFrom="paragraph">
                  <wp:posOffset>101600</wp:posOffset>
                </wp:positionV>
                <wp:extent cx="1485900" cy="800100"/>
                <wp:effectExtent l="0" t="0" r="0" b="3175"/>
                <wp:wrapNone/>
                <wp:docPr id="4412" name="Text Box 198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85900" cy="800100"/>
                        </a:xfrm>
                        <a:prstGeom prst="rect">
                          <a:avLst/>
                        </a:prstGeom>
                        <a:solidFill>
                          <a:srgbClr val="FFFFFF"/>
                        </a:solidFill>
                        <a:ln>
                          <a:noFill/>
                        </a:ln>
                        <a:effectLst/>
                        <a:extLst>
                          <a:ext uri="{91240B29-F687-4F45-9708-019B960494DF}">
                            <a14:hiddenLine xmlns:a14="http://schemas.microsoft.com/office/drawing/2010/main" w="9525" algn="ctr">
                              <a:solidFill>
                                <a:srgbClr val="000000"/>
                              </a:solidFill>
                              <a:miter lim="800000"/>
                              <a:headEnd/>
                              <a:tailEnd/>
                            </a14:hiddenLine>
                          </a:ex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14:paraId="20E282AE" w14:textId="77777777" w:rsidR="006A5267" w:rsidRPr="000E36F0" w:rsidRDefault="006A5267" w:rsidP="00F335E2">
                            <w:pPr>
                              <w:spacing w:line="280" w:lineRule="exact"/>
                              <w:rPr>
                                <w:rFonts w:ascii="ＭＳ 明朝" w:hAnsi="ＭＳ 明朝"/>
                                <w:sz w:val="20"/>
                                <w:szCs w:val="20"/>
                              </w:rPr>
                            </w:pPr>
                            <w:r w:rsidRPr="000E36F0">
                              <w:rPr>
                                <w:rFonts w:ascii="ＭＳ 明朝" w:hAnsi="ＭＳ 明朝" w:hint="eastAsia"/>
                                <w:sz w:val="20"/>
                                <w:szCs w:val="20"/>
                              </w:rPr>
                              <w:t>班長：危機管理室補佐</w:t>
                            </w:r>
                          </w:p>
                          <w:p w14:paraId="2CBC1F7C" w14:textId="77777777" w:rsidR="006A5267" w:rsidRPr="000E36F0" w:rsidRDefault="006A5267" w:rsidP="00F335E2">
                            <w:pPr>
                              <w:spacing w:line="280" w:lineRule="exact"/>
                              <w:rPr>
                                <w:rFonts w:ascii="ＭＳ 明朝" w:hAnsi="ＭＳ 明朝"/>
                                <w:sz w:val="20"/>
                                <w:szCs w:val="20"/>
                              </w:rPr>
                            </w:pPr>
                            <w:r w:rsidRPr="000E36F0">
                              <w:rPr>
                                <w:rFonts w:ascii="ＭＳ 明朝" w:hAnsi="ＭＳ 明朝" w:hint="eastAsia"/>
                                <w:sz w:val="20"/>
                                <w:szCs w:val="20"/>
                              </w:rPr>
                              <w:t>班員</w:t>
                            </w:r>
                            <w:r>
                              <w:rPr>
                                <w:rFonts w:ascii="ＭＳ 明朝" w:hAnsi="ＭＳ 明朝" w:hint="eastAsia"/>
                                <w:sz w:val="20"/>
                                <w:szCs w:val="20"/>
                              </w:rPr>
                              <w:t>：</w:t>
                            </w:r>
                            <w:r w:rsidRPr="000E36F0">
                              <w:rPr>
                                <w:rFonts w:ascii="ＭＳ 明朝" w:hAnsi="ＭＳ 明朝" w:hint="eastAsia"/>
                                <w:sz w:val="20"/>
                                <w:szCs w:val="20"/>
                              </w:rPr>
                              <w:t>危機管理室職員</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shape w14:anchorId="6C6158EE" id="Text Box 1985" o:spid="_x0000_s1040" type="#_x0000_t202" style="position:absolute;left:0;text-align:left;margin-left:180pt;margin-top:8pt;width:117pt;height:63pt;z-index:2540359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" stroked="f">
                <v:textbox inset="5.85pt,.7pt,5.85pt,.7pt">
                  <w:txbxContent>
                    <w:p w14:paraId="20E282AE" w14:textId="77777777" w:rsidR="006A5267" w:rsidRPr="000E36F0" w:rsidRDefault="006A5267" w:rsidP="00F335E2">
                      <w:pPr>
                        <w:spacing w:line="280" w:lineRule="exact"/>
                        <w:rPr>
                          <w:rFonts w:ascii="ＭＳ 明朝" w:hAnsi="ＭＳ 明朝"/>
                          <w:sz w:val="20"/>
                          <w:szCs w:val="20"/>
                        </w:rPr>
                      </w:pPr>
                      <w:r w:rsidRPr="000E36F0">
                        <w:rPr>
                          <w:rFonts w:ascii="ＭＳ 明朝" w:hAnsi="ＭＳ 明朝" w:hint="eastAsia"/>
                          <w:sz w:val="20"/>
                          <w:szCs w:val="20"/>
                        </w:rPr>
                        <w:t>班長：危機管理室補佐</w:t>
                      </w:r>
                    </w:p>
                    <w:p w14:paraId="2CBC1F7C" w14:textId="77777777" w:rsidR="006A5267" w:rsidRPr="000E36F0" w:rsidRDefault="006A5267" w:rsidP="00F335E2">
                      <w:pPr>
                        <w:spacing w:line="280" w:lineRule="exact"/>
                        <w:rPr>
                          <w:rFonts w:ascii="ＭＳ 明朝" w:hAnsi="ＭＳ 明朝"/>
                          <w:sz w:val="20"/>
                          <w:szCs w:val="20"/>
                        </w:rPr>
                      </w:pPr>
                      <w:r w:rsidRPr="000E36F0">
                        <w:rPr>
                          <w:rFonts w:ascii="ＭＳ 明朝" w:hAnsi="ＭＳ 明朝" w:hint="eastAsia"/>
                          <w:sz w:val="20"/>
                          <w:szCs w:val="20"/>
                        </w:rPr>
                        <w:t>班員</w:t>
                      </w:r>
                      <w:r>
                        <w:rPr>
                          <w:rFonts w:ascii="ＭＳ 明朝" w:hAnsi="ＭＳ 明朝" w:hint="eastAsia"/>
                          <w:sz w:val="20"/>
                          <w:szCs w:val="20"/>
                        </w:rPr>
                        <w:t>：</w:t>
                      </w:r>
                      <w:r w:rsidRPr="000E36F0">
                        <w:rPr>
                          <w:rFonts w:ascii="ＭＳ 明朝" w:hAnsi="ＭＳ 明朝" w:hint="eastAsia"/>
                          <w:sz w:val="20"/>
                          <w:szCs w:val="20"/>
                        </w:rPr>
                        <w:t>危機管理室職員</w:t>
                      </w:r>
                    </w:p>
                  </w:txbxContent>
                </v:textbox>
              </v:shape>
            </w:pict>
          </mc:Fallback>
        </mc:AlternateContent>
      </w:r>
    </w:p>
    <w:p w14:paraId="7233F3A8" w14:textId="77777777" w:rsidR="00F335E2" w:rsidRPr="001D6D10" w:rsidRDefault="00F335E2" w:rsidP="00F335E2">
      <w:pPr>
        <w:rPr>
          <w:rFonts w:ascii="ＭＳ ゴシック" w:eastAsia="ＭＳ ゴシック" w:hAnsi="ＭＳ ゴシック"/>
          <w:sz w:val="22"/>
          <w:szCs w:val="22"/>
        </w:rPr>
      </w:pPr>
      <w:r w:rsidRPr="001D6D10">
        <w:rPr>
          <w:rFonts w:ascii="ＭＳ ゴシック" w:eastAsia="ＭＳ ゴシック" w:hAnsi="ＭＳ ゴシック" w:hint="eastAsia"/>
          <w:noProof/>
          <w:sz w:val="22"/>
          <w:szCs w:val="22"/>
        </w:rPr>
        <mc:AlternateContent>
          <mc:Choice Requires="wps">
            <w:drawing>
              <wp:anchor distT="0" distB="0" distL="114300" distR="114300" simplePos="0" relativeHeight="254031872" behindDoc="0" locked="0" layoutInCell="1" allowOverlap="1" wp14:anchorId="5405DF0A" wp14:editId="127ECC57">
                <wp:simplePos x="0" y="0"/>
                <wp:positionH relativeFrom="column">
                  <wp:posOffset>1943100</wp:posOffset>
                </wp:positionH>
                <wp:positionV relativeFrom="paragraph">
                  <wp:posOffset>215900</wp:posOffset>
                </wp:positionV>
                <wp:extent cx="228600" cy="914400"/>
                <wp:effectExtent l="19050" t="6350" r="19050" b="12700"/>
                <wp:wrapNone/>
                <wp:docPr id="4411" name="AutoShape 198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8600" cy="914400"/>
                        </a:xfrm>
                        <a:prstGeom prst="downArrow">
                          <a:avLst>
                            <a:gd name="adj1" fmla="val 50000"/>
                            <a:gd name="adj2" fmla="val 100000"/>
                          </a:avLst>
                        </a:prstGeom>
                        <a:solidFill>
                          <a:srgbClr val="FFFFFF"/>
                        </a:solidFill>
                        <a:ln w="9525" algn="ctr">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shape w14:anchorId="5446F30F" id="AutoShape 1981" o:spid="_x0000_s1026" type="#_x0000_t67" style="position:absolute;left:0;text-align:left;margin-left:153pt;margin-top:17pt;width:18pt;height:1in;z-index:2540318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">
                <v:textbox inset="5.85pt,.7pt,5.85pt,.7pt"/>
              </v:shape>
            </w:pict>
          </mc:Fallback>
        </mc:AlternateContent>
      </w:r>
    </w:p>
    <w:p w14:paraId="4E176E2A" w14:textId="77777777" w:rsidR="00F335E2" w:rsidRPr="001D6D10" w:rsidRDefault="00F335E2" w:rsidP="00F335E2">
      <w:pPr>
        <w:rPr>
          <w:rFonts w:ascii="ＭＳ ゴシック" w:eastAsia="ＭＳ ゴシック" w:hAnsi="ＭＳ ゴシック"/>
          <w:sz w:val="22"/>
          <w:szCs w:val="22"/>
        </w:rPr>
      </w:pPr>
    </w:p>
    <w:p w14:paraId="73EA1E17" w14:textId="77777777" w:rsidR="00F335E2" w:rsidRPr="001D6D10" w:rsidRDefault="00F335E2" w:rsidP="00F335E2">
      <w:pPr>
        <w:rPr>
          <w:rFonts w:ascii="ＭＳ ゴシック" w:eastAsia="ＭＳ ゴシック" w:hAnsi="ＭＳ ゴシック"/>
          <w:sz w:val="22"/>
          <w:szCs w:val="22"/>
        </w:rPr>
      </w:pPr>
    </w:p>
    <w:p w14:paraId="77915A94" w14:textId="77777777" w:rsidR="00F335E2" w:rsidRPr="001D6D10" w:rsidRDefault="00F335E2" w:rsidP="00F335E2">
      <w:pPr>
        <w:rPr>
          <w:rFonts w:ascii="ＭＳ ゴシック" w:eastAsia="ＭＳ ゴシック" w:hAnsi="ＭＳ ゴシック"/>
          <w:sz w:val="22"/>
          <w:szCs w:val="22"/>
        </w:rPr>
      </w:pPr>
      <w:r w:rsidRPr="001D6D10">
        <w:rPr>
          <w:rFonts w:ascii="ＭＳ ゴシック" w:eastAsia="ＭＳ ゴシック" w:hAnsi="ＭＳ ゴシック"/>
          <w:noProof/>
          <w:sz w:val="22"/>
          <w:szCs w:val="22"/>
        </w:rPr>
        <mc:AlternateContent>
          <mc:Choice Requires="wps">
            <w:drawing>
              <wp:anchor distT="0" distB="0" distL="114300" distR="114300" simplePos="0" relativeHeight="254049280" behindDoc="0" locked="0" layoutInCell="1" allowOverlap="1" wp14:anchorId="3EA52CD2" wp14:editId="27EBDC6F">
                <wp:simplePos x="0" y="0"/>
                <wp:positionH relativeFrom="column">
                  <wp:posOffset>409575</wp:posOffset>
                </wp:positionH>
                <wp:positionV relativeFrom="paragraph">
                  <wp:posOffset>140970</wp:posOffset>
                </wp:positionV>
                <wp:extent cx="1485900" cy="571500"/>
                <wp:effectExtent l="38100" t="17145" r="47625" b="11430"/>
                <wp:wrapNone/>
                <wp:docPr id="4410" name="AutoShape 199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85900" cy="571500"/>
                        </a:xfrm>
                        <a:prstGeom prst="irregularSeal1">
                          <a:avLst/>
                        </a:prstGeom>
                        <a:solidFill>
                          <a:srgbClr val="FFFFFF"/>
                        </a:solidFill>
                        <a:ln w="9525" algn="ctr">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14:paraId="404F0820" w14:textId="77777777" w:rsidR="006A5267" w:rsidRPr="00097649" w:rsidRDefault="006A5267" w:rsidP="00F335E2">
                            <w:pPr>
                              <w:ind w:firstLineChars="200" w:firstLine="322"/>
                              <w:rPr>
                                <w:rFonts w:ascii="ＭＳ ゴシック" w:eastAsia="ＭＳ ゴシック" w:hAnsi="ＭＳ ゴシック"/>
                                <w:sz w:val="16"/>
                                <w:szCs w:val="16"/>
                              </w:rPr>
                            </w:pPr>
                            <w:r w:rsidRPr="00097649">
                              <w:rPr>
                                <w:rFonts w:ascii="ＭＳ ゴシック" w:eastAsia="ＭＳ ゴシック" w:hAnsi="ＭＳ ゴシック" w:hint="eastAsia"/>
                                <w:sz w:val="16"/>
                                <w:szCs w:val="16"/>
                              </w:rPr>
                              <w:t>震度４</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shapetype w14:anchorId="3EA52CD2" id="_x0000_t71" coordsize="21600,21600" o:spt="71" path="m10800,5800l8352,2295,7312,6320,370,2295,4627,7617,,8615r3722,3160l135,14587r5532,-650l4762,17617,7715,15627r770,5973l10532,14935r2715,4802l14020,14457r4125,3638l16837,12942r4763,348l17607,10475,21097,8137,16702,7315,18380,4457r-4225,868l14522,xe">
                <v:stroke joinstyle="miter"/>
                <v:path gradientshapeok="t" o:connecttype="custom" o:connectlocs="14522,0;0,8615;8485,21600;21600,13290" o:connectangles="270,180,90,0" textboxrect="4627,6320,16702,13937"/>
              </v:shapetype>
              <v:shape id="AutoShape 1998" o:spid="_x0000_s1041" type="#_x0000_t71" style="position:absolute;left:0;text-align:left;margin-left:32.25pt;margin-top:11.1pt;width:117pt;height:45pt;z-index:2540492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">
                <v:textbox inset="5.85pt,.7pt,5.85pt,.7pt">
                  <w:txbxContent>
                    <w:p w14:paraId="404F0820" w14:textId="77777777" w:rsidR="006A5267" w:rsidRPr="00097649" w:rsidRDefault="006A5267" w:rsidP="00F335E2">
                      <w:pPr>
                        <w:ind w:firstLineChars="200" w:firstLine="322"/>
                        <w:rPr>
                          <w:rFonts w:ascii="ＭＳ ゴシック" w:eastAsia="ＭＳ ゴシック" w:hAnsi="ＭＳ ゴシック"/>
                          <w:sz w:val="16"/>
                          <w:szCs w:val="16"/>
                        </w:rPr>
                      </w:pPr>
                      <w:r w:rsidRPr="00097649">
                        <w:rPr>
                          <w:rFonts w:ascii="ＭＳ ゴシック" w:eastAsia="ＭＳ ゴシック" w:hAnsi="ＭＳ ゴシック" w:hint="eastAsia"/>
                          <w:sz w:val="16"/>
                          <w:szCs w:val="16"/>
                        </w:rPr>
                        <w:t>震度４</w:t>
                      </w:r>
                    </w:p>
                  </w:txbxContent>
                </v:textbox>
              </v:shape>
            </w:pict>
          </mc:Fallback>
        </mc:AlternateContent>
      </w:r>
    </w:p>
    <w:p w14:paraId="1E4CD448" w14:textId="77777777" w:rsidR="00F335E2" w:rsidRPr="001D6D10" w:rsidRDefault="00F335E2" w:rsidP="00F335E2">
      <w:pPr>
        <w:rPr>
          <w:rFonts w:ascii="ＭＳ ゴシック" w:eastAsia="ＭＳ ゴシック" w:hAnsi="ＭＳ ゴシック"/>
          <w:sz w:val="22"/>
          <w:szCs w:val="22"/>
        </w:rPr>
      </w:pPr>
    </w:p>
    <w:p w14:paraId="04789305" w14:textId="1D52CD90" w:rsidR="00F335E2" w:rsidRPr="001D6D10" w:rsidRDefault="00F335E2" w:rsidP="00F335E2">
      <w:pPr>
        <w:rPr>
          <w:rFonts w:ascii="ＭＳ ゴシック" w:eastAsia="ＭＳ ゴシック" w:hAnsi="ＭＳ ゴシック"/>
          <w:sz w:val="22"/>
          <w:szCs w:val="22"/>
        </w:rPr>
      </w:pPr>
      <w:r w:rsidRPr="001D6D10">
        <w:rPr>
          <w:rFonts w:ascii="ＭＳ ゴシック" w:eastAsia="ＭＳ ゴシック" w:hAnsi="ＭＳ ゴシック" w:hint="eastAsia"/>
          <w:noProof/>
          <w:sz w:val="22"/>
          <w:szCs w:val="22"/>
        </w:rPr>
        <mc:AlternateContent>
          <mc:Choice Requires="wps">
            <w:drawing>
              <wp:anchor distT="0" distB="0" distL="114300" distR="114300" simplePos="0" relativeHeight="254065664" behindDoc="0" locked="0" layoutInCell="1" allowOverlap="1" wp14:anchorId="0332ABAC" wp14:editId="1E744E77">
                <wp:simplePos x="0" y="0"/>
                <wp:positionH relativeFrom="column">
                  <wp:posOffset>914400</wp:posOffset>
                </wp:positionH>
                <wp:positionV relativeFrom="paragraph">
                  <wp:posOffset>173355</wp:posOffset>
                </wp:positionV>
                <wp:extent cx="914400" cy="228600"/>
                <wp:effectExtent l="9525" t="11430" r="19050" b="7620"/>
                <wp:wrapNone/>
                <wp:docPr id="4409" name="AutoShape 271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14400" cy="228600"/>
                        </a:xfrm>
                        <a:prstGeom prst="homePlate">
                          <a:avLst>
                            <a:gd name="adj" fmla="val 100000"/>
                          </a:avLst>
                        </a:prstGeom>
                        <a:solidFill>
                          <a:srgbClr val="FFFFFF"/>
                        </a:solidFill>
                        <a:ln w="9525" algn="ctr">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14:paraId="5C51730B" w14:textId="77777777" w:rsidR="006A5267" w:rsidRPr="00FC1CA0" w:rsidRDefault="006A5267" w:rsidP="00F335E2">
                            <w:pPr>
                              <w:rPr>
                                <w:rFonts w:ascii="ＭＳ ゴシック" w:eastAsia="ＭＳ ゴシック" w:hAnsi="ＭＳ ゴシック"/>
                                <w:sz w:val="20"/>
                                <w:szCs w:val="20"/>
                              </w:rPr>
                            </w:pPr>
                            <w:r w:rsidRPr="00FC1CA0">
                              <w:rPr>
                                <w:rFonts w:ascii="ＭＳ ゴシック" w:eastAsia="ＭＳ ゴシック" w:hAnsi="ＭＳ ゴシック" w:hint="eastAsia"/>
                                <w:sz w:val="20"/>
                                <w:szCs w:val="20"/>
                              </w:rPr>
                              <w:t>自</w:t>
                            </w:r>
                            <w:r>
                              <w:rPr>
                                <w:rFonts w:ascii="ＭＳ ゴシック" w:eastAsia="ＭＳ ゴシック" w:hAnsi="ＭＳ ゴシック" w:hint="eastAsia"/>
                                <w:sz w:val="20"/>
                                <w:szCs w:val="20"/>
                              </w:rPr>
                              <w:t>動開始</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shapetype w14:anchorId="0332ABAC" id="_x0000_t15" coordsize="21600,21600" o:spt="15" adj="16200" path="m@0,l,,,21600@0,21600,21600,10800xe">
                <v:stroke joinstyle="miter"/>
                <v:formulas>
                  <v:f eqn="val #0"/>
                  <v:f eqn="prod #0 1 2"/>
                </v:formulas>
                <v:path gradientshapeok="t" o:connecttype="custom" o:connectlocs="@1,0;0,10800;@1,21600;21600,10800" o:connectangles="270,180,90,0" textboxrect="0,0,10800,21600;0,0,16200,21600;0,0,21600,21600"/>
                <v:handles>
                  <v:h position="#0,topLeft" xrange="0,21600"/>
                </v:handles>
              </v:shapetype>
              <v:shape id="AutoShape 2719" o:spid="_x0000_s1042" type="#_x0000_t15" style="position:absolute;left:0;text-align:left;margin-left:1in;margin-top:13.65pt;width:1in;height:18pt;z-index:2540656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">
                <v:textbox inset="5.85pt,.7pt,5.85pt,.7pt">
                  <w:txbxContent>
                    <w:p w14:paraId="5C51730B" w14:textId="77777777" w:rsidR="006A5267" w:rsidRPr="00FC1CA0" w:rsidRDefault="006A5267" w:rsidP="00F335E2">
                      <w:pPr>
                        <w:rPr>
                          <w:rFonts w:ascii="ＭＳ ゴシック" w:eastAsia="ＭＳ ゴシック" w:hAnsi="ＭＳ ゴシック"/>
                          <w:sz w:val="20"/>
                          <w:szCs w:val="20"/>
                        </w:rPr>
                      </w:pPr>
                      <w:r w:rsidRPr="00FC1CA0">
                        <w:rPr>
                          <w:rFonts w:ascii="ＭＳ ゴシック" w:eastAsia="ＭＳ ゴシック" w:hAnsi="ＭＳ ゴシック" w:hint="eastAsia"/>
                          <w:sz w:val="20"/>
                          <w:szCs w:val="20"/>
                        </w:rPr>
                        <w:t>自</w:t>
                      </w:r>
                      <w:r>
                        <w:rPr>
                          <w:rFonts w:ascii="ＭＳ ゴシック" w:eastAsia="ＭＳ ゴシック" w:hAnsi="ＭＳ ゴシック" w:hint="eastAsia"/>
                          <w:sz w:val="20"/>
                          <w:szCs w:val="20"/>
                        </w:rPr>
                        <w:t>動開始</w:t>
                      </w:r>
                    </w:p>
                  </w:txbxContent>
                </v:textbox>
              </v:shape>
            </w:pict>
          </mc:Fallback>
        </mc:AlternateContent>
      </w:r>
      <w:r w:rsidRPr="001D6D10">
        <w:rPr>
          <w:rFonts w:ascii="ＭＳ ゴシック" w:eastAsia="ＭＳ ゴシック" w:hAnsi="ＭＳ ゴシック" w:hint="eastAsia"/>
          <w:noProof/>
          <w:sz w:val="22"/>
          <w:szCs w:val="22"/>
        </w:rPr>
        <mc:AlternateContent>
          <mc:Choice Requires="wps">
            <w:drawing>
              <wp:anchor distT="0" distB="0" distL="114300" distR="114300" simplePos="0" relativeHeight="254025728" behindDoc="0" locked="0" layoutInCell="1" allowOverlap="1" wp14:anchorId="2D6B2F94" wp14:editId="6EF2F149">
                <wp:simplePos x="0" y="0"/>
                <wp:positionH relativeFrom="column">
                  <wp:posOffset>1828800</wp:posOffset>
                </wp:positionH>
                <wp:positionV relativeFrom="paragraph">
                  <wp:posOffset>177800</wp:posOffset>
                </wp:positionV>
                <wp:extent cx="1714500" cy="228600"/>
                <wp:effectExtent l="9525" t="6350" r="9525" b="12700"/>
                <wp:wrapNone/>
                <wp:docPr id="4408" name="Text Box 197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14500" cy="228600"/>
                        </a:xfrm>
                        <a:prstGeom prst="rect">
                          <a:avLst/>
                        </a:prstGeom>
                        <a:solidFill>
                          <a:srgbClr val="FFFFFF"/>
                        </a:solidFill>
                        <a:ln w="9525">
                          <a:solidFill>
                            <a:srgbClr val="000000"/>
                          </a:solidFill>
                          <a:miter lim="800000"/>
                          <a:headEnd/>
                          <a:tailEnd/>
                        </a:ln>
                      </wps:spPr>
                      <wps:txbx>
                        <w:txbxContent>
                          <w:p w14:paraId="007E98EB" w14:textId="77777777" w:rsidR="006A5267" w:rsidRPr="00D9485A" w:rsidRDefault="006A5267" w:rsidP="00F335E2">
                            <w:pPr>
                              <w:jc w:val="center"/>
                              <w:rPr>
                                <w:rFonts w:ascii="ＭＳ ゴシック" w:eastAsia="ＭＳ ゴシック" w:hAnsi="ＭＳ ゴシック"/>
                                <w:sz w:val="20"/>
                                <w:szCs w:val="20"/>
                              </w:rPr>
                            </w:pPr>
                            <w:r>
                              <w:rPr>
                                <w:rFonts w:ascii="ＭＳ ゴシック" w:eastAsia="ＭＳ ゴシック" w:hAnsi="ＭＳ ゴシック" w:hint="eastAsia"/>
                                <w:sz w:val="20"/>
                                <w:szCs w:val="20"/>
                              </w:rPr>
                              <w:t>防災・危機管理</w:t>
                            </w:r>
                            <w:r w:rsidRPr="00D9485A">
                              <w:rPr>
                                <w:rFonts w:ascii="ＭＳ ゴシック" w:eastAsia="ＭＳ ゴシック" w:hAnsi="ＭＳ ゴシック" w:hint="eastAsia"/>
                                <w:sz w:val="20"/>
                                <w:szCs w:val="20"/>
                              </w:rPr>
                              <w:t>指令部</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shape w14:anchorId="2D6B2F94" id="Text Box 1975" o:spid="_x0000_s1043" type="#_x0000_t202" style="position:absolute;left:0;text-align:left;margin-left:2in;margin-top:14pt;width:135pt;height:18pt;z-index:254025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">
                <v:textbox inset="5.85pt,.7pt,5.85pt,.7pt">
                  <w:txbxContent>
                    <w:p w14:paraId="007E98EB" w14:textId="77777777" w:rsidR="006A5267" w:rsidRPr="00D9485A" w:rsidRDefault="006A5267" w:rsidP="00F335E2">
                      <w:pPr>
                        <w:jc w:val="center"/>
                        <w:rPr>
                          <w:rFonts w:ascii="ＭＳ ゴシック" w:eastAsia="ＭＳ ゴシック" w:hAnsi="ＭＳ ゴシック"/>
                          <w:sz w:val="20"/>
                          <w:szCs w:val="20"/>
                        </w:rPr>
                      </w:pPr>
                      <w:r>
                        <w:rPr>
                          <w:rFonts w:ascii="ＭＳ ゴシック" w:eastAsia="ＭＳ ゴシック" w:hAnsi="ＭＳ ゴシック" w:hint="eastAsia"/>
                          <w:sz w:val="20"/>
                          <w:szCs w:val="20"/>
                        </w:rPr>
                        <w:t>防災・危機管理</w:t>
                      </w:r>
                      <w:r w:rsidRPr="00D9485A">
                        <w:rPr>
                          <w:rFonts w:ascii="ＭＳ ゴシック" w:eastAsia="ＭＳ ゴシック" w:hAnsi="ＭＳ ゴシック" w:hint="eastAsia"/>
                          <w:sz w:val="20"/>
                          <w:szCs w:val="20"/>
                        </w:rPr>
                        <w:t>指令部</w:t>
                      </w:r>
                    </w:p>
                  </w:txbxContent>
                </v:textbox>
              </v:shape>
            </w:pict>
          </mc:Fallback>
        </mc:AlternateContent>
      </w:r>
      <w:r w:rsidRPr="001D6D10">
        <w:rPr>
          <w:rFonts w:ascii="ＭＳ ゴシック" w:eastAsia="ＭＳ ゴシック" w:hAnsi="ＭＳ ゴシック"/>
          <w:noProof/>
          <w:sz w:val="22"/>
          <w:szCs w:val="22"/>
        </w:rPr>
        <mc:AlternateContent>
          <mc:Choice Requires="wps">
            <w:drawing>
              <wp:anchor distT="0" distB="0" distL="114300" distR="114300" simplePos="0" relativeHeight="254061568" behindDoc="0" locked="0" layoutInCell="1" allowOverlap="1" wp14:anchorId="03E83353" wp14:editId="20FCB54F">
                <wp:simplePos x="0" y="0"/>
                <wp:positionH relativeFrom="column">
                  <wp:posOffset>3543300</wp:posOffset>
                </wp:positionH>
                <wp:positionV relativeFrom="paragraph">
                  <wp:posOffset>330200</wp:posOffset>
                </wp:positionV>
                <wp:extent cx="342900" cy="0"/>
                <wp:effectExtent l="9525" t="6350" r="9525" b="12700"/>
                <wp:wrapNone/>
                <wp:docPr id="4407" name="Line 201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2900" cy="0"/>
                        </a:xfrm>
                        <a:prstGeom prst="line">
                          <a:avLst/>
                        </a:prstGeom>
                        <a:noFill/>
                        <a:ln w="9525">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line w14:anchorId="50BEC499" id="Line 2010" o:spid="_x0000_s1026" style="position:absolute;left:0;text-align:left;z-index:2540615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79pt,26pt" to="306pt,2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"/>
            </w:pict>
          </mc:Fallback>
        </mc:AlternateContent>
      </w:r>
    </w:p>
    <w:p w14:paraId="20ACD786" w14:textId="52E5ABE4" w:rsidR="00F335E2" w:rsidRPr="001D6D10" w:rsidRDefault="00F335E2" w:rsidP="00F335E2">
      <w:pPr>
        <w:rPr>
          <w:rFonts w:ascii="ＭＳ ゴシック" w:eastAsia="ＭＳ ゴシック" w:hAnsi="ＭＳ ゴシック"/>
          <w:sz w:val="22"/>
          <w:szCs w:val="22"/>
        </w:rPr>
      </w:pPr>
      <w:r w:rsidRPr="001D6D10">
        <w:rPr>
          <w:rFonts w:ascii="ＭＳ ゴシック" w:eastAsia="ＭＳ ゴシック" w:hAnsi="ＭＳ ゴシック" w:hint="eastAsia"/>
          <w:noProof/>
          <w:sz w:val="22"/>
          <w:szCs w:val="22"/>
        </w:rPr>
        <mc:AlternateContent>
          <mc:Choice Requires="wps">
            <w:drawing>
              <wp:anchor distT="0" distB="0" distL="114300" distR="114300" simplePos="0" relativeHeight="254036992" behindDoc="0" locked="0" layoutInCell="1" allowOverlap="1" wp14:anchorId="38C9272C" wp14:editId="791F775A">
                <wp:simplePos x="0" y="0"/>
                <wp:positionH relativeFrom="column">
                  <wp:posOffset>2233930</wp:posOffset>
                </wp:positionH>
                <wp:positionV relativeFrom="paragraph">
                  <wp:posOffset>211455</wp:posOffset>
                </wp:positionV>
                <wp:extent cx="1537970" cy="914400"/>
                <wp:effectExtent l="0" t="1905" r="0" b="0"/>
                <wp:wrapNone/>
                <wp:docPr id="4406" name="Text Box 198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37970" cy="914400"/>
                        </a:xfrm>
                        <a:prstGeom prst="rect">
                          <a:avLst/>
                        </a:prstGeom>
                        <a:solidFill>
                          <a:srgbClr val="FFFFFF"/>
                        </a:solidFill>
                        <a:ln>
                          <a:noFill/>
                        </a:ln>
                        <a:effectLst/>
                        <a:extLst>
                          <a:ext uri="{91240B29-F687-4F45-9708-019B960494DF}">
                            <a14:hiddenLine xmlns:a14="http://schemas.microsoft.com/office/drawing/2010/main" w="9525" algn="ctr">
                              <a:solidFill>
                                <a:srgbClr val="000000"/>
                              </a:solidFill>
                              <a:miter lim="800000"/>
                              <a:headEnd/>
                              <a:tailEnd/>
                            </a14:hiddenLine>
                          </a:ex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14:paraId="5B30A205" w14:textId="77777777" w:rsidR="006A5267" w:rsidRPr="001C02E4" w:rsidRDefault="006A5267" w:rsidP="00F335E2">
                            <w:pPr>
                              <w:spacing w:line="280" w:lineRule="exact"/>
                              <w:rPr>
                                <w:rFonts w:ascii="ＭＳ 明朝" w:hAnsi="ＭＳ 明朝"/>
                                <w:sz w:val="20"/>
                                <w:szCs w:val="20"/>
                              </w:rPr>
                            </w:pPr>
                            <w:r w:rsidRPr="001C02E4">
                              <w:rPr>
                                <w:rFonts w:ascii="ＭＳ 明朝" w:hAnsi="ＭＳ 明朝" w:hint="eastAsia"/>
                                <w:sz w:val="20"/>
                                <w:szCs w:val="20"/>
                              </w:rPr>
                              <w:t>部長：危機管理監</w:t>
                            </w:r>
                          </w:p>
                          <w:p w14:paraId="73C47D81" w14:textId="77777777" w:rsidR="006A5267" w:rsidRPr="001C02E4" w:rsidRDefault="006A5267" w:rsidP="00F335E2">
                            <w:pPr>
                              <w:spacing w:line="280" w:lineRule="exact"/>
                              <w:rPr>
                                <w:rFonts w:ascii="ＭＳ 明朝" w:hAnsi="ＭＳ 明朝"/>
                                <w:sz w:val="20"/>
                                <w:szCs w:val="20"/>
                              </w:rPr>
                            </w:pPr>
                            <w:r w:rsidRPr="001C02E4">
                              <w:rPr>
                                <w:rFonts w:ascii="ＭＳ 明朝" w:hAnsi="ＭＳ 明朝" w:hint="eastAsia"/>
                                <w:sz w:val="20"/>
                                <w:szCs w:val="20"/>
                              </w:rPr>
                              <w:t>副部長：危機管理室長</w:t>
                            </w:r>
                          </w:p>
                          <w:p w14:paraId="540FC4BC" w14:textId="77777777" w:rsidR="006A5267" w:rsidRPr="001C02E4" w:rsidRDefault="006A5267" w:rsidP="00F335E2">
                            <w:pPr>
                              <w:spacing w:line="280" w:lineRule="exact"/>
                              <w:rPr>
                                <w:rFonts w:ascii="ＭＳ 明朝" w:hAnsi="ＭＳ 明朝"/>
                                <w:sz w:val="20"/>
                                <w:szCs w:val="20"/>
                              </w:rPr>
                            </w:pPr>
                            <w:r w:rsidRPr="001C02E4">
                              <w:rPr>
                                <w:rFonts w:ascii="ＭＳ 明朝" w:hAnsi="ＭＳ 明朝" w:hint="eastAsia"/>
                                <w:sz w:val="20"/>
                                <w:szCs w:val="20"/>
                              </w:rPr>
                              <w:t xml:space="preserve">　</w:t>
                            </w:r>
                            <w:r w:rsidRPr="001C02E4">
                              <w:rPr>
                                <w:rFonts w:ascii="ＭＳ 明朝" w:hAnsi="ＭＳ 明朝"/>
                                <w:sz w:val="20"/>
                                <w:szCs w:val="20"/>
                              </w:rPr>
                              <w:t xml:space="preserve">　　　事業</w:t>
                            </w:r>
                            <w:r>
                              <w:rPr>
                                <w:rFonts w:ascii="ＭＳ 明朝" w:hAnsi="ＭＳ 明朝" w:hint="eastAsia"/>
                                <w:sz w:val="20"/>
                                <w:szCs w:val="20"/>
                              </w:rPr>
                              <w:t>調整</w:t>
                            </w:r>
                            <w:r w:rsidRPr="001C02E4">
                              <w:rPr>
                                <w:rFonts w:ascii="ＭＳ 明朝" w:hAnsi="ＭＳ 明朝"/>
                                <w:sz w:val="20"/>
                                <w:szCs w:val="20"/>
                              </w:rPr>
                              <w:t>室長</w:t>
                            </w:r>
                          </w:p>
                          <w:p w14:paraId="7BFB3856" w14:textId="77777777" w:rsidR="006A5267" w:rsidRPr="001C02E4" w:rsidRDefault="006A5267" w:rsidP="00F335E2">
                            <w:pPr>
                              <w:spacing w:line="280" w:lineRule="exact"/>
                              <w:ind w:firstLineChars="300" w:firstLine="603"/>
                              <w:rPr>
                                <w:rFonts w:ascii="ＭＳ 明朝" w:hAnsi="ＭＳ 明朝"/>
                                <w:sz w:val="20"/>
                                <w:szCs w:val="20"/>
                              </w:rPr>
                            </w:pPr>
                            <w:r w:rsidRPr="001C02E4">
                              <w:rPr>
                                <w:rFonts w:ascii="ＭＳ 明朝" w:hAnsi="ＭＳ 明朝" w:hint="eastAsia"/>
                                <w:sz w:val="20"/>
                                <w:szCs w:val="20"/>
                              </w:rPr>
                              <w:t>（風水害</w:t>
                            </w:r>
                            <w:r w:rsidRPr="001C02E4">
                              <w:rPr>
                                <w:rFonts w:ascii="ＭＳ 明朝" w:hAnsi="ＭＳ 明朝"/>
                                <w:sz w:val="20"/>
                                <w:szCs w:val="20"/>
                              </w:rPr>
                              <w:t>・</w:t>
                            </w:r>
                            <w:r w:rsidRPr="001C02E4">
                              <w:rPr>
                                <w:rFonts w:ascii="ＭＳ 明朝" w:hAnsi="ＭＳ 明朝" w:hint="eastAsia"/>
                                <w:sz w:val="20"/>
                                <w:szCs w:val="20"/>
                              </w:rPr>
                              <w:t>台風）</w:t>
                            </w:r>
                          </w:p>
                          <w:p w14:paraId="6FAD257D" w14:textId="77777777" w:rsidR="006A5267" w:rsidRPr="001C02E4" w:rsidRDefault="006A5267" w:rsidP="00F335E2">
                            <w:pPr>
                              <w:spacing w:line="280" w:lineRule="exact"/>
                              <w:rPr>
                                <w:rFonts w:ascii="ＭＳ 明朝" w:hAnsi="ＭＳ 明朝"/>
                                <w:sz w:val="20"/>
                                <w:szCs w:val="20"/>
                              </w:rPr>
                            </w:pPr>
                            <w:r w:rsidRPr="001C02E4">
                              <w:rPr>
                                <w:rFonts w:ascii="ＭＳ 明朝" w:hAnsi="ＭＳ 明朝" w:hint="eastAsia"/>
                                <w:sz w:val="20"/>
                                <w:szCs w:val="20"/>
                              </w:rPr>
                              <w:t>部員：関係課長</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shape w14:anchorId="38C9272C" id="Text Box 1986" o:spid="_x0000_s1044" type="#_x0000_t202" style="position:absolute;left:0;text-align:left;margin-left:175.9pt;margin-top:16.65pt;width:121.1pt;height:1in;z-index:2540369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" stroked="f">
                <v:textbox inset="5.85pt,.7pt,5.85pt,.7pt">
                  <w:txbxContent>
                    <w:p w14:paraId="5B30A205" w14:textId="77777777" w:rsidR="006A5267" w:rsidRPr="001C02E4" w:rsidRDefault="006A5267" w:rsidP="00F335E2">
                      <w:pPr>
                        <w:spacing w:line="280" w:lineRule="exact"/>
                        <w:rPr>
                          <w:rFonts w:ascii="ＭＳ 明朝" w:hAnsi="ＭＳ 明朝"/>
                          <w:sz w:val="20"/>
                          <w:szCs w:val="20"/>
                        </w:rPr>
                      </w:pPr>
                      <w:r w:rsidRPr="001C02E4">
                        <w:rPr>
                          <w:rFonts w:ascii="ＭＳ 明朝" w:hAnsi="ＭＳ 明朝" w:hint="eastAsia"/>
                          <w:sz w:val="20"/>
                          <w:szCs w:val="20"/>
                        </w:rPr>
                        <w:t>部長：危機管理監</w:t>
                      </w:r>
                    </w:p>
                    <w:p w14:paraId="73C47D81" w14:textId="77777777" w:rsidR="006A5267" w:rsidRPr="001C02E4" w:rsidRDefault="006A5267" w:rsidP="00F335E2">
                      <w:pPr>
                        <w:spacing w:line="280" w:lineRule="exact"/>
                        <w:rPr>
                          <w:rFonts w:ascii="ＭＳ 明朝" w:hAnsi="ＭＳ 明朝"/>
                          <w:sz w:val="20"/>
                          <w:szCs w:val="20"/>
                        </w:rPr>
                      </w:pPr>
                      <w:r w:rsidRPr="001C02E4">
                        <w:rPr>
                          <w:rFonts w:ascii="ＭＳ 明朝" w:hAnsi="ＭＳ 明朝" w:hint="eastAsia"/>
                          <w:sz w:val="20"/>
                          <w:szCs w:val="20"/>
                        </w:rPr>
                        <w:t>副部長：危機管理室長</w:t>
                      </w:r>
                    </w:p>
                    <w:p w14:paraId="540FC4BC" w14:textId="77777777" w:rsidR="006A5267" w:rsidRPr="001C02E4" w:rsidRDefault="006A5267" w:rsidP="00F335E2">
                      <w:pPr>
                        <w:spacing w:line="280" w:lineRule="exact"/>
                        <w:rPr>
                          <w:rFonts w:ascii="ＭＳ 明朝" w:hAnsi="ＭＳ 明朝"/>
                          <w:sz w:val="20"/>
                          <w:szCs w:val="20"/>
                        </w:rPr>
                      </w:pPr>
                      <w:r w:rsidRPr="001C02E4">
                        <w:rPr>
                          <w:rFonts w:ascii="ＭＳ 明朝" w:hAnsi="ＭＳ 明朝" w:hint="eastAsia"/>
                          <w:sz w:val="20"/>
                          <w:szCs w:val="20"/>
                        </w:rPr>
                        <w:t xml:space="preserve">　</w:t>
                      </w:r>
                      <w:r w:rsidRPr="001C02E4">
                        <w:rPr>
                          <w:rFonts w:ascii="ＭＳ 明朝" w:hAnsi="ＭＳ 明朝"/>
                          <w:sz w:val="20"/>
                          <w:szCs w:val="20"/>
                        </w:rPr>
                        <w:t xml:space="preserve">　　　事業</w:t>
                      </w:r>
                      <w:r>
                        <w:rPr>
                          <w:rFonts w:ascii="ＭＳ 明朝" w:hAnsi="ＭＳ 明朝" w:hint="eastAsia"/>
                          <w:sz w:val="20"/>
                          <w:szCs w:val="20"/>
                        </w:rPr>
                        <w:t>調整</w:t>
                      </w:r>
                      <w:r w:rsidRPr="001C02E4">
                        <w:rPr>
                          <w:rFonts w:ascii="ＭＳ 明朝" w:hAnsi="ＭＳ 明朝"/>
                          <w:sz w:val="20"/>
                          <w:szCs w:val="20"/>
                        </w:rPr>
                        <w:t>室長</w:t>
                      </w:r>
                    </w:p>
                    <w:p w14:paraId="7BFB3856" w14:textId="77777777" w:rsidR="006A5267" w:rsidRPr="001C02E4" w:rsidRDefault="006A5267" w:rsidP="00F335E2">
                      <w:pPr>
                        <w:spacing w:line="280" w:lineRule="exact"/>
                        <w:ind w:firstLineChars="300" w:firstLine="603"/>
                        <w:rPr>
                          <w:rFonts w:ascii="ＭＳ 明朝" w:hAnsi="ＭＳ 明朝"/>
                          <w:sz w:val="20"/>
                          <w:szCs w:val="20"/>
                        </w:rPr>
                      </w:pPr>
                      <w:r w:rsidRPr="001C02E4">
                        <w:rPr>
                          <w:rFonts w:ascii="ＭＳ 明朝" w:hAnsi="ＭＳ 明朝" w:hint="eastAsia"/>
                          <w:sz w:val="20"/>
                          <w:szCs w:val="20"/>
                        </w:rPr>
                        <w:t>（風水害</w:t>
                      </w:r>
                      <w:r w:rsidRPr="001C02E4">
                        <w:rPr>
                          <w:rFonts w:ascii="ＭＳ 明朝" w:hAnsi="ＭＳ 明朝"/>
                          <w:sz w:val="20"/>
                          <w:szCs w:val="20"/>
                        </w:rPr>
                        <w:t>・</w:t>
                      </w:r>
                      <w:r w:rsidRPr="001C02E4">
                        <w:rPr>
                          <w:rFonts w:ascii="ＭＳ 明朝" w:hAnsi="ＭＳ 明朝" w:hint="eastAsia"/>
                          <w:sz w:val="20"/>
                          <w:szCs w:val="20"/>
                        </w:rPr>
                        <w:t>台風）</w:t>
                      </w:r>
                    </w:p>
                    <w:p w14:paraId="6FAD257D" w14:textId="77777777" w:rsidR="006A5267" w:rsidRPr="001C02E4" w:rsidRDefault="006A5267" w:rsidP="00F335E2">
                      <w:pPr>
                        <w:spacing w:line="280" w:lineRule="exact"/>
                        <w:rPr>
                          <w:rFonts w:ascii="ＭＳ 明朝" w:hAnsi="ＭＳ 明朝"/>
                          <w:sz w:val="20"/>
                          <w:szCs w:val="20"/>
                        </w:rPr>
                      </w:pPr>
                      <w:r w:rsidRPr="001C02E4">
                        <w:rPr>
                          <w:rFonts w:ascii="ＭＳ 明朝" w:hAnsi="ＭＳ 明朝" w:hint="eastAsia"/>
                          <w:sz w:val="20"/>
                          <w:szCs w:val="20"/>
                        </w:rPr>
                        <w:t>部員：関係課長</w:t>
                      </w:r>
                    </w:p>
                  </w:txbxContent>
                </v:textbox>
              </v:shape>
            </w:pict>
          </mc:Fallback>
        </mc:AlternateContent>
      </w:r>
      <w:r w:rsidRPr="001D6D10">
        <w:rPr>
          <w:rFonts w:ascii="ＭＳ ゴシック" w:eastAsia="ＭＳ ゴシック" w:hAnsi="ＭＳ ゴシック" w:hint="eastAsia"/>
          <w:noProof/>
          <w:sz w:val="22"/>
          <w:szCs w:val="22"/>
        </w:rPr>
        <mc:AlternateContent>
          <mc:Choice Requires="wps">
            <w:drawing>
              <wp:anchor distT="0" distB="0" distL="114300" distR="114300" simplePos="0" relativeHeight="254042112" behindDoc="0" locked="0" layoutInCell="1" allowOverlap="1" wp14:anchorId="037B2AD0" wp14:editId="47329F05">
                <wp:simplePos x="0" y="0"/>
                <wp:positionH relativeFrom="column">
                  <wp:posOffset>3886200</wp:posOffset>
                </wp:positionH>
                <wp:positionV relativeFrom="paragraph">
                  <wp:posOffset>40005</wp:posOffset>
                </wp:positionV>
                <wp:extent cx="2057400" cy="571500"/>
                <wp:effectExtent l="9525" t="11430" r="9525" b="7620"/>
                <wp:wrapNone/>
                <wp:docPr id="4405" name="Text Box 199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57400" cy="571500"/>
                        </a:xfrm>
                        <a:prstGeom prst="rect">
                          <a:avLst/>
                        </a:prstGeom>
                        <a:solidFill>
                          <a:srgbClr val="FFFFFF"/>
                        </a:solidFill>
                        <a:ln w="9525" algn="ctr">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14:paraId="4737F13C" w14:textId="77777777" w:rsidR="006A5267" w:rsidRDefault="006A5267" w:rsidP="00F335E2">
                            <w:pPr>
                              <w:spacing w:line="240" w:lineRule="exact"/>
                              <w:ind w:left="201" w:hangingChars="100" w:hanging="201"/>
                              <w:rPr>
                                <w:rFonts w:ascii="ＭＳ ゴシック" w:eastAsia="ＭＳ ゴシック" w:hAnsi="ＭＳ ゴシック"/>
                                <w:sz w:val="20"/>
                                <w:szCs w:val="20"/>
                              </w:rPr>
                            </w:pPr>
                            <w:r>
                              <w:rPr>
                                <w:rFonts w:ascii="ＭＳ ゴシック" w:eastAsia="ＭＳ ゴシック" w:hAnsi="ＭＳ ゴシック" w:hint="eastAsia"/>
                                <w:sz w:val="20"/>
                                <w:szCs w:val="20"/>
                              </w:rPr>
                              <w:t>《指令部会議開催》</w:t>
                            </w:r>
                          </w:p>
                          <w:p w14:paraId="482E5D11" w14:textId="77777777" w:rsidR="006A5267" w:rsidRPr="00536B9C" w:rsidRDefault="006A5267" w:rsidP="00F335E2">
                            <w:pPr>
                              <w:spacing w:line="240" w:lineRule="exact"/>
                              <w:ind w:left="402" w:hangingChars="200" w:hanging="402"/>
                              <w:rPr>
                                <w:rFonts w:ascii="ＭＳ ゴシック" w:eastAsia="ＭＳ ゴシック" w:hAnsi="ＭＳ ゴシック"/>
                                <w:sz w:val="20"/>
                                <w:szCs w:val="20"/>
                              </w:rPr>
                            </w:pPr>
                            <w:r>
                              <w:rPr>
                                <w:rFonts w:ascii="ＭＳ ゴシック" w:eastAsia="ＭＳ ゴシック" w:hAnsi="ＭＳ ゴシック" w:hint="eastAsia"/>
                                <w:sz w:val="20"/>
                                <w:szCs w:val="20"/>
                              </w:rPr>
                              <w:t xml:space="preserve">　・情報収集・分析、関係機関との連絡調整など</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shape w14:anchorId="037B2AD0" id="Text Box 1991" o:spid="_x0000_s1045" type="#_x0000_t202" style="position:absolute;left:0;text-align:left;margin-left:306pt;margin-top:3.15pt;width:162pt;height:45pt;z-index:2540421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">
                <v:textbox inset="5.85pt,.7pt,5.85pt,.7pt">
                  <w:txbxContent>
                    <w:p w14:paraId="4737F13C" w14:textId="77777777" w:rsidR="006A5267" w:rsidRDefault="006A5267" w:rsidP="00F335E2">
                      <w:pPr>
                        <w:spacing w:line="240" w:lineRule="exact"/>
                        <w:ind w:left="201" w:hangingChars="100" w:hanging="201"/>
                        <w:rPr>
                          <w:rFonts w:ascii="ＭＳ ゴシック" w:eastAsia="ＭＳ ゴシック" w:hAnsi="ＭＳ ゴシック"/>
                          <w:sz w:val="20"/>
                          <w:szCs w:val="20"/>
                        </w:rPr>
                      </w:pPr>
                      <w:r>
                        <w:rPr>
                          <w:rFonts w:ascii="ＭＳ ゴシック" w:eastAsia="ＭＳ ゴシック" w:hAnsi="ＭＳ ゴシック" w:hint="eastAsia"/>
                          <w:sz w:val="20"/>
                          <w:szCs w:val="20"/>
                        </w:rPr>
                        <w:t>《指令部会議開催》</w:t>
                      </w:r>
                    </w:p>
                    <w:p w14:paraId="482E5D11" w14:textId="77777777" w:rsidR="006A5267" w:rsidRPr="00536B9C" w:rsidRDefault="006A5267" w:rsidP="00F335E2">
                      <w:pPr>
                        <w:spacing w:line="240" w:lineRule="exact"/>
                        <w:ind w:left="402" w:hangingChars="200" w:hanging="402"/>
                        <w:rPr>
                          <w:rFonts w:ascii="ＭＳ ゴシック" w:eastAsia="ＭＳ ゴシック" w:hAnsi="ＭＳ ゴシック"/>
                          <w:sz w:val="20"/>
                          <w:szCs w:val="20"/>
                        </w:rPr>
                      </w:pPr>
                      <w:r>
                        <w:rPr>
                          <w:rFonts w:ascii="ＭＳ ゴシック" w:eastAsia="ＭＳ ゴシック" w:hAnsi="ＭＳ ゴシック" w:hint="eastAsia"/>
                          <w:sz w:val="20"/>
                          <w:szCs w:val="20"/>
                        </w:rPr>
                        <w:t xml:space="preserve">　・情報収集・分析、関係機関との連絡調整など</w:t>
                      </w:r>
                    </w:p>
                  </w:txbxContent>
                </v:textbox>
              </v:shape>
            </w:pict>
          </mc:Fallback>
        </mc:AlternateContent>
      </w:r>
      <w:r w:rsidRPr="001D6D10">
        <w:rPr>
          <w:rFonts w:ascii="ＭＳ ゴシック" w:eastAsia="ＭＳ ゴシック" w:hAnsi="ＭＳ ゴシック" w:hint="eastAsia"/>
          <w:noProof/>
          <w:sz w:val="22"/>
          <w:szCs w:val="22"/>
        </w:rPr>
        <mc:AlternateContent>
          <mc:Choice Requires="wps">
            <w:drawing>
              <wp:anchor distT="0" distB="0" distL="114300" distR="114300" simplePos="0" relativeHeight="254047232" behindDoc="0" locked="0" layoutInCell="1" allowOverlap="1" wp14:anchorId="7CEB0D02" wp14:editId="7C0B6F3C">
                <wp:simplePos x="0" y="0"/>
                <wp:positionH relativeFrom="column">
                  <wp:posOffset>1485900</wp:posOffset>
                </wp:positionH>
                <wp:positionV relativeFrom="paragraph">
                  <wp:posOffset>177800</wp:posOffset>
                </wp:positionV>
                <wp:extent cx="800100" cy="228600"/>
                <wp:effectExtent l="9525" t="6350" r="9525" b="12700"/>
                <wp:wrapNone/>
                <wp:docPr id="4404" name="Text Box 199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00100" cy="228600"/>
                        </a:xfrm>
                        <a:prstGeom prst="rect">
                          <a:avLst/>
                        </a:prstGeom>
                        <a:solidFill>
                          <a:srgbClr val="FFFFFF"/>
                        </a:solidFill>
                        <a:ln w="9525" algn="ctr">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14:paraId="056320E7" w14:textId="77777777" w:rsidR="006A5267" w:rsidRPr="00263DA4" w:rsidRDefault="006A5267" w:rsidP="00F335E2">
                            <w:pPr>
                              <w:rPr>
                                <w:rFonts w:ascii="ＭＳ ゴシック" w:eastAsia="ＭＳ ゴシック" w:hAnsi="ＭＳ ゴシック"/>
                                <w:sz w:val="20"/>
                                <w:szCs w:val="20"/>
                              </w:rPr>
                            </w:pPr>
                            <w:r>
                              <w:rPr>
                                <w:rFonts w:ascii="ＭＳ ゴシック" w:eastAsia="ＭＳ ゴシック" w:hAnsi="ＭＳ ゴシック" w:hint="eastAsia"/>
                                <w:sz w:val="20"/>
                                <w:szCs w:val="20"/>
                              </w:rPr>
                              <w:t>地域情報班</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shape w14:anchorId="7CEB0D02" id="Text Box 1996" o:spid="_x0000_s1046" type="#_x0000_t202" style="position:absolute;left:0;text-align:left;margin-left:117pt;margin-top:14pt;width:63pt;height:18pt;z-index:2540472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">
                <v:textbox inset="5.85pt,.7pt,5.85pt,.7pt">
                  <w:txbxContent>
                    <w:p w14:paraId="056320E7" w14:textId="77777777" w:rsidR="006A5267" w:rsidRPr="00263DA4" w:rsidRDefault="006A5267" w:rsidP="00F335E2">
                      <w:pPr>
                        <w:rPr>
                          <w:rFonts w:ascii="ＭＳ ゴシック" w:eastAsia="ＭＳ ゴシック" w:hAnsi="ＭＳ ゴシック"/>
                          <w:sz w:val="20"/>
                          <w:szCs w:val="20"/>
                        </w:rPr>
                      </w:pPr>
                      <w:r>
                        <w:rPr>
                          <w:rFonts w:ascii="ＭＳ ゴシック" w:eastAsia="ＭＳ ゴシック" w:hAnsi="ＭＳ ゴシック" w:hint="eastAsia"/>
                          <w:sz w:val="20"/>
                          <w:szCs w:val="20"/>
                        </w:rPr>
                        <w:t>地域情報班</w:t>
                      </w:r>
                    </w:p>
                  </w:txbxContent>
                </v:textbox>
              </v:shape>
            </w:pict>
          </mc:Fallback>
        </mc:AlternateContent>
      </w:r>
    </w:p>
    <w:p w14:paraId="21D4E5B5" w14:textId="77777777" w:rsidR="00F335E2" w:rsidRPr="001D6D10" w:rsidRDefault="00F335E2" w:rsidP="00F335E2">
      <w:pPr>
        <w:rPr>
          <w:rFonts w:ascii="ＭＳ ゴシック" w:eastAsia="ＭＳ ゴシック" w:hAnsi="ＭＳ ゴシック"/>
          <w:sz w:val="22"/>
          <w:szCs w:val="22"/>
        </w:rPr>
      </w:pPr>
    </w:p>
    <w:p w14:paraId="7F7D02CD" w14:textId="34030018" w:rsidR="00F335E2" w:rsidRPr="001D6D10" w:rsidRDefault="00F335E2" w:rsidP="00F335E2">
      <w:pPr>
        <w:rPr>
          <w:rFonts w:ascii="ＭＳ ゴシック" w:eastAsia="ＭＳ ゴシック" w:hAnsi="ＭＳ ゴシック"/>
          <w:sz w:val="22"/>
          <w:szCs w:val="22"/>
        </w:rPr>
      </w:pPr>
      <w:r w:rsidRPr="001D6D10">
        <w:rPr>
          <w:rFonts w:ascii="ＭＳ ゴシック" w:eastAsia="ＭＳ ゴシック" w:hAnsi="ＭＳ ゴシック"/>
          <w:noProof/>
          <w:sz w:val="22"/>
          <w:szCs w:val="22"/>
        </w:rPr>
        <mc:AlternateContent>
          <mc:Choice Requires="wps">
            <w:drawing>
              <wp:anchor distT="0" distB="0" distL="114300" distR="114300" simplePos="0" relativeHeight="254053376" behindDoc="0" locked="0" layoutInCell="1" allowOverlap="1" wp14:anchorId="37F4D2E6" wp14:editId="5A13801B">
                <wp:simplePos x="0" y="0"/>
                <wp:positionH relativeFrom="column">
                  <wp:posOffset>114300</wp:posOffset>
                </wp:positionH>
                <wp:positionV relativeFrom="paragraph">
                  <wp:posOffset>30480</wp:posOffset>
                </wp:positionV>
                <wp:extent cx="1600200" cy="594995"/>
                <wp:effectExtent l="38100" t="19050" r="57150" b="33655"/>
                <wp:wrapNone/>
                <wp:docPr id="4402" name="AutoShape 200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600200" cy="594995"/>
                        </a:xfrm>
                        <a:prstGeom prst="star16">
                          <a:avLst>
                            <a:gd name="adj" fmla="val 37500"/>
                          </a:avLst>
                        </a:prstGeom>
                        <a:solidFill>
                          <a:srgbClr val="FFFFFF"/>
                        </a:solidFill>
                        <a:ln w="9525" algn="ctr">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14:paraId="491D1481" w14:textId="77777777" w:rsidR="006A5267" w:rsidRPr="00097649" w:rsidRDefault="006A5267" w:rsidP="00F335E2">
                            <w:pPr>
                              <w:spacing w:line="160" w:lineRule="exact"/>
                              <w:rPr>
                                <w:rFonts w:ascii="ＭＳ ゴシック" w:eastAsia="ＭＳ ゴシック" w:hAnsi="ＭＳ ゴシック"/>
                                <w:sz w:val="16"/>
                                <w:szCs w:val="16"/>
                              </w:rPr>
                            </w:pPr>
                            <w:r>
                              <w:rPr>
                                <w:rFonts w:ascii="ＭＳ ゴシック" w:eastAsia="ＭＳ ゴシック" w:hAnsi="ＭＳ ゴシック" w:hint="eastAsia"/>
                                <w:sz w:val="16"/>
                                <w:szCs w:val="16"/>
                              </w:rPr>
                              <w:t>風水害等による災害発生の恐れ</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shape w14:anchorId="37F4D2E6" id="AutoShape 2002" o:spid="_x0000_s1047" type="#_x0000_t59" style="position:absolute;left:0;text-align:left;margin-left:9pt;margin-top:2.4pt;width:126pt;height:46.85pt;z-index:2540533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">
                <v:textbox inset="5.85pt,.7pt,5.85pt,.7pt">
                  <w:txbxContent>
                    <w:p w14:paraId="491D1481" w14:textId="77777777" w:rsidR="006A5267" w:rsidRPr="00097649" w:rsidRDefault="006A5267" w:rsidP="00F335E2">
                      <w:pPr>
                        <w:spacing w:line="160" w:lineRule="exact"/>
                        <w:rPr>
                          <w:rFonts w:ascii="ＭＳ ゴシック" w:eastAsia="ＭＳ ゴシック" w:hAnsi="ＭＳ ゴシック"/>
                          <w:sz w:val="16"/>
                          <w:szCs w:val="16"/>
                        </w:rPr>
                      </w:pPr>
                      <w:r>
                        <w:rPr>
                          <w:rFonts w:ascii="ＭＳ ゴシック" w:eastAsia="ＭＳ ゴシック" w:hAnsi="ＭＳ ゴシック" w:hint="eastAsia"/>
                          <w:sz w:val="16"/>
                          <w:szCs w:val="16"/>
                        </w:rPr>
                        <w:t>風水害等による災害発生の恐れ</w:t>
                      </w:r>
                    </w:p>
                  </w:txbxContent>
                </v:textbox>
              </v:shape>
            </w:pict>
          </mc:Fallback>
        </mc:AlternateContent>
      </w:r>
      <w:r w:rsidRPr="001D6D10">
        <w:rPr>
          <w:rFonts w:ascii="ＭＳ ゴシック" w:eastAsia="ＭＳ ゴシック" w:hAnsi="ＭＳ ゴシック" w:hint="eastAsia"/>
          <w:noProof/>
          <w:sz w:val="22"/>
          <w:szCs w:val="22"/>
        </w:rPr>
        <mc:AlternateContent>
          <mc:Choice Requires="wps">
            <w:drawing>
              <wp:anchor distT="0" distB="0" distL="114300" distR="114300" simplePos="0" relativeHeight="254032896" behindDoc="0" locked="0" layoutInCell="1" allowOverlap="1" wp14:anchorId="5CFCEA37" wp14:editId="5DB74AA1">
                <wp:simplePos x="0" y="0"/>
                <wp:positionH relativeFrom="column">
                  <wp:posOffset>1943100</wp:posOffset>
                </wp:positionH>
                <wp:positionV relativeFrom="paragraph">
                  <wp:posOffset>27940</wp:posOffset>
                </wp:positionV>
                <wp:extent cx="228600" cy="952500"/>
                <wp:effectExtent l="19050" t="8890" r="19050" b="10160"/>
                <wp:wrapNone/>
                <wp:docPr id="4403" name="AutoShape 198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8600" cy="952500"/>
                        </a:xfrm>
                        <a:prstGeom prst="downArrow">
                          <a:avLst>
                            <a:gd name="adj1" fmla="val 50000"/>
                            <a:gd name="adj2" fmla="val 104167"/>
                          </a:avLst>
                        </a:prstGeom>
                        <a:solidFill>
                          <a:srgbClr val="FFFFFF"/>
                        </a:solidFill>
                        <a:ln w="9525" algn="ctr">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shapetype w14:anchorId="318DEC8C" id="_x0000_t67" coordsize="21600,21600" o:spt="67" adj="16200,5400" path="m0@0l@1@0@1,0@2,0@2@0,21600@0,10800,21600xe">
                <v:stroke joinstyle="miter"/>
                <v:formulas>
                  <v:f eqn="val #0"/>
                  <v:f eqn="val #1"/>
                  <v:f eqn="sum height 0 #1"/>
                  <v:f eqn="sum 10800 0 #1"/>
                  <v:f eqn="sum width 0 #0"/>
                  <v:f eqn="prod @4 @3 10800"/>
                  <v:f eqn="sum width 0 @5"/>
                </v:formulas>
                <v:path o:connecttype="custom" o:connectlocs="10800,0;0,@0;10800,21600;21600,@0" o:connectangles="270,180,90,0" textboxrect="@1,0,@2,@6"/>
                <v:handles>
                  <v:h position="#1,#0" xrange="0,10800" yrange="0,21600"/>
                </v:handles>
              </v:shapetype>
              <v:shape id="AutoShape 1982" o:spid="_x0000_s1026" type="#_x0000_t67" style="position:absolute;left:0;text-align:left;margin-left:153pt;margin-top:2.2pt;width:18pt;height:75pt;z-index:2540328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">
                <v:textbox inset="5.85pt,.7pt,5.85pt,.7pt"/>
              </v:shape>
            </w:pict>
          </mc:Fallback>
        </mc:AlternateContent>
      </w:r>
    </w:p>
    <w:p w14:paraId="79E17F8F" w14:textId="77777777" w:rsidR="00F335E2" w:rsidRPr="001D6D10" w:rsidRDefault="00F335E2" w:rsidP="00F335E2">
      <w:pPr>
        <w:rPr>
          <w:rFonts w:ascii="ＭＳ ゴシック" w:eastAsia="ＭＳ ゴシック" w:hAnsi="ＭＳ ゴシック"/>
          <w:sz w:val="22"/>
          <w:szCs w:val="22"/>
        </w:rPr>
      </w:pPr>
    </w:p>
    <w:p w14:paraId="5AE79259" w14:textId="1E158CD8" w:rsidR="00F335E2" w:rsidRPr="001D6D10" w:rsidRDefault="00F335E2" w:rsidP="00F335E2">
      <w:pPr>
        <w:rPr>
          <w:rFonts w:ascii="ＭＳ ゴシック" w:eastAsia="ＭＳ ゴシック" w:hAnsi="ＭＳ ゴシック"/>
          <w:sz w:val="22"/>
          <w:szCs w:val="22"/>
        </w:rPr>
      </w:pPr>
      <w:r w:rsidRPr="001D6D10">
        <w:rPr>
          <w:rFonts w:ascii="ＭＳ ゴシック" w:eastAsia="ＭＳ ゴシック" w:hAnsi="ＭＳ ゴシック"/>
          <w:noProof/>
          <w:sz w:val="22"/>
          <w:szCs w:val="22"/>
        </w:rPr>
        <mc:AlternateContent>
          <mc:Choice Requires="wps">
            <w:drawing>
              <wp:anchor distT="0" distB="0" distL="114300" distR="114300" simplePos="0" relativeHeight="254050304" behindDoc="0" locked="0" layoutInCell="1" allowOverlap="1" wp14:anchorId="688091D3" wp14:editId="5BB6E9D0">
                <wp:simplePos x="0" y="0"/>
                <wp:positionH relativeFrom="column">
                  <wp:posOffset>457200</wp:posOffset>
                </wp:positionH>
                <wp:positionV relativeFrom="paragraph">
                  <wp:posOffset>103505</wp:posOffset>
                </wp:positionV>
                <wp:extent cx="1485900" cy="571500"/>
                <wp:effectExtent l="38100" t="17780" r="47625" b="10795"/>
                <wp:wrapNone/>
                <wp:docPr id="4401" name="AutoShape 199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85900" cy="571500"/>
                        </a:xfrm>
                        <a:prstGeom prst="irregularSeal1">
                          <a:avLst/>
                        </a:prstGeom>
                        <a:solidFill>
                          <a:srgbClr val="FFFFFF"/>
                        </a:solidFill>
                        <a:ln w="9525" algn="ctr">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14:paraId="079E7C91" w14:textId="77777777" w:rsidR="006A5267" w:rsidRPr="00097649" w:rsidRDefault="006A5267" w:rsidP="00F335E2">
                            <w:pPr>
                              <w:rPr>
                                <w:rFonts w:ascii="ＭＳ ゴシック" w:eastAsia="ＭＳ ゴシック" w:hAnsi="ＭＳ ゴシック"/>
                                <w:sz w:val="16"/>
                                <w:szCs w:val="16"/>
                              </w:rPr>
                            </w:pPr>
                            <w:r w:rsidRPr="00097649">
                              <w:rPr>
                                <w:rFonts w:ascii="ＭＳ ゴシック" w:eastAsia="ＭＳ ゴシック" w:hAnsi="ＭＳ ゴシック" w:hint="eastAsia"/>
                                <w:sz w:val="16"/>
                                <w:szCs w:val="16"/>
                              </w:rPr>
                              <w:t>震度５弱・５強</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shape w14:anchorId="688091D3" id="AutoShape 1999" o:spid="_x0000_s1048" type="#_x0000_t71" style="position:absolute;left:0;text-align:left;margin-left:36pt;margin-top:8.15pt;width:117pt;height:45pt;z-index:2540503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">
                <v:textbox inset="5.85pt,.7pt,5.85pt,.7pt">
                  <w:txbxContent>
                    <w:p w14:paraId="079E7C91" w14:textId="77777777" w:rsidR="006A5267" w:rsidRPr="00097649" w:rsidRDefault="006A5267" w:rsidP="00F335E2">
                      <w:pPr>
                        <w:rPr>
                          <w:rFonts w:ascii="ＭＳ ゴシック" w:eastAsia="ＭＳ ゴシック" w:hAnsi="ＭＳ ゴシック"/>
                          <w:sz w:val="16"/>
                          <w:szCs w:val="16"/>
                        </w:rPr>
                      </w:pPr>
                      <w:r w:rsidRPr="00097649">
                        <w:rPr>
                          <w:rFonts w:ascii="ＭＳ ゴシック" w:eastAsia="ＭＳ ゴシック" w:hAnsi="ＭＳ ゴシック" w:hint="eastAsia"/>
                          <w:sz w:val="16"/>
                          <w:szCs w:val="16"/>
                        </w:rPr>
                        <w:t>震度５弱・５強</w:t>
                      </w:r>
                    </w:p>
                  </w:txbxContent>
                </v:textbox>
              </v:shape>
            </w:pict>
          </mc:Fallback>
        </mc:AlternateContent>
      </w:r>
    </w:p>
    <w:p w14:paraId="00E654DA" w14:textId="77777777" w:rsidR="00F335E2" w:rsidRPr="001D6D10" w:rsidRDefault="00F335E2" w:rsidP="00F335E2">
      <w:pPr>
        <w:rPr>
          <w:rFonts w:ascii="ＭＳ ゴシック" w:eastAsia="ＭＳ ゴシック" w:hAnsi="ＭＳ ゴシック"/>
          <w:sz w:val="22"/>
          <w:szCs w:val="22"/>
        </w:rPr>
      </w:pPr>
    </w:p>
    <w:p w14:paraId="1F51CD9E" w14:textId="0CA78AED" w:rsidR="00F335E2" w:rsidRPr="001D6D10" w:rsidRDefault="00F335E2" w:rsidP="00F335E2">
      <w:pPr>
        <w:rPr>
          <w:rFonts w:ascii="ＭＳ ゴシック" w:eastAsia="ＭＳ ゴシック" w:hAnsi="ＭＳ ゴシック"/>
          <w:sz w:val="22"/>
          <w:szCs w:val="22"/>
        </w:rPr>
      </w:pPr>
      <w:r w:rsidRPr="001D6D10">
        <w:rPr>
          <w:rFonts w:ascii="ＭＳ ゴシック" w:eastAsia="ＭＳ ゴシック" w:hAnsi="ＭＳ ゴシック" w:hint="eastAsia"/>
          <w:noProof/>
          <w:sz w:val="22"/>
          <w:szCs w:val="22"/>
        </w:rPr>
        <mc:AlternateContent>
          <mc:Choice Requires="wps">
            <w:drawing>
              <wp:anchor distT="0" distB="0" distL="114300" distR="114300" simplePos="0" relativeHeight="254026752" behindDoc="0" locked="0" layoutInCell="1" allowOverlap="1" wp14:anchorId="3DF60357" wp14:editId="0F1E9C91">
                <wp:simplePos x="0" y="0"/>
                <wp:positionH relativeFrom="column">
                  <wp:posOffset>1829537</wp:posOffset>
                </wp:positionH>
                <wp:positionV relativeFrom="paragraph">
                  <wp:posOffset>161798</wp:posOffset>
                </wp:positionV>
                <wp:extent cx="1711756" cy="228600"/>
                <wp:effectExtent l="0" t="0" r="22225" b="19050"/>
                <wp:wrapNone/>
                <wp:docPr id="4398" name="Text Box 197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11756" cy="228600"/>
                        </a:xfrm>
                        <a:prstGeom prst="rect">
                          <a:avLst/>
                        </a:prstGeom>
                        <a:solidFill>
                          <a:srgbClr val="FFFFFF"/>
                        </a:solidFill>
                        <a:ln w="9525">
                          <a:solidFill>
                            <a:srgbClr val="000000"/>
                          </a:solidFill>
                          <a:miter lim="800000"/>
                          <a:headEnd/>
                          <a:tailEnd/>
                        </a:ln>
                      </wps:spPr>
                      <wps:txbx>
                        <w:txbxContent>
                          <w:p w14:paraId="1525ED5C" w14:textId="77777777" w:rsidR="006A5267" w:rsidRPr="00D9485A" w:rsidRDefault="006A5267" w:rsidP="00F335E2">
                            <w:pPr>
                              <w:jc w:val="center"/>
                              <w:rPr>
                                <w:rFonts w:ascii="ＭＳ ゴシック" w:eastAsia="ＭＳ ゴシック" w:hAnsi="ＭＳ ゴシック"/>
                                <w:sz w:val="20"/>
                                <w:szCs w:val="20"/>
                              </w:rPr>
                            </w:pPr>
                            <w:r w:rsidRPr="001C02E4">
                              <w:rPr>
                                <w:rFonts w:ascii="ＭＳ ゴシック" w:eastAsia="ＭＳ ゴシック" w:hAnsi="ＭＳ ゴシック" w:hint="eastAsia"/>
                                <w:sz w:val="20"/>
                                <w:szCs w:val="20"/>
                              </w:rPr>
                              <w:t>災害</w:t>
                            </w:r>
                            <w:r>
                              <w:rPr>
                                <w:rFonts w:ascii="ＭＳ ゴシック" w:eastAsia="ＭＳ ゴシック" w:hAnsi="ＭＳ ゴシック" w:hint="eastAsia"/>
                                <w:sz w:val="20"/>
                                <w:szCs w:val="20"/>
                              </w:rPr>
                              <w:t>警戒本部</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shape w14:anchorId="3DF60357" id="Text Box 1976" o:spid="_x0000_s1049" type="#_x0000_t202" style="position:absolute;left:0;text-align:left;margin-left:144.05pt;margin-top:12.75pt;width:134.8pt;height:18pt;z-index:254026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">
                <v:textbox inset="5.85pt,.7pt,5.85pt,.7pt">
                  <w:txbxContent>
                    <w:p w14:paraId="1525ED5C" w14:textId="77777777" w:rsidR="006A5267" w:rsidRPr="00D9485A" w:rsidRDefault="006A5267" w:rsidP="00F335E2">
                      <w:pPr>
                        <w:jc w:val="center"/>
                        <w:rPr>
                          <w:rFonts w:ascii="ＭＳ ゴシック" w:eastAsia="ＭＳ ゴシック" w:hAnsi="ＭＳ ゴシック"/>
                          <w:sz w:val="20"/>
                          <w:szCs w:val="20"/>
                        </w:rPr>
                      </w:pPr>
                      <w:r w:rsidRPr="001C02E4">
                        <w:rPr>
                          <w:rFonts w:ascii="ＭＳ ゴシック" w:eastAsia="ＭＳ ゴシック" w:hAnsi="ＭＳ ゴシック" w:hint="eastAsia"/>
                          <w:sz w:val="20"/>
                          <w:szCs w:val="20"/>
                        </w:rPr>
                        <w:t>災害</w:t>
                      </w:r>
                      <w:r>
                        <w:rPr>
                          <w:rFonts w:ascii="ＭＳ ゴシック" w:eastAsia="ＭＳ ゴシック" w:hAnsi="ＭＳ ゴシック" w:hint="eastAsia"/>
                          <w:sz w:val="20"/>
                          <w:szCs w:val="20"/>
                        </w:rPr>
                        <w:t>警戒本部</w:t>
                      </w:r>
                    </w:p>
                  </w:txbxContent>
                </v:textbox>
              </v:shape>
            </w:pict>
          </mc:Fallback>
        </mc:AlternateContent>
      </w:r>
      <w:r w:rsidRPr="001D6D10">
        <w:rPr>
          <w:rFonts w:ascii="ＭＳ ゴシック" w:eastAsia="ＭＳ ゴシック" w:hAnsi="ＭＳ ゴシック" w:hint="eastAsia"/>
          <w:noProof/>
          <w:sz w:val="22"/>
          <w:szCs w:val="22"/>
        </w:rPr>
        <mc:AlternateContent>
          <mc:Choice Requires="wps">
            <w:drawing>
              <wp:anchor distT="0" distB="0" distL="114300" distR="114300" simplePos="0" relativeHeight="254043136" behindDoc="0" locked="0" layoutInCell="1" allowOverlap="1" wp14:anchorId="4BA59AF8" wp14:editId="1334BCE9">
                <wp:simplePos x="0" y="0"/>
                <wp:positionH relativeFrom="column">
                  <wp:posOffset>3886200</wp:posOffset>
                </wp:positionH>
                <wp:positionV relativeFrom="paragraph">
                  <wp:posOffset>162560</wp:posOffset>
                </wp:positionV>
                <wp:extent cx="2057400" cy="571500"/>
                <wp:effectExtent l="9525" t="10160" r="9525" b="8890"/>
                <wp:wrapNone/>
                <wp:docPr id="4400" name="Text Box 199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57400" cy="571500"/>
                        </a:xfrm>
                        <a:prstGeom prst="rect">
                          <a:avLst/>
                        </a:prstGeom>
                        <a:solidFill>
                          <a:srgbClr val="FFFFFF"/>
                        </a:solidFill>
                        <a:ln w="9525" algn="ctr">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14:paraId="4FB72D12" w14:textId="77777777" w:rsidR="006A5267" w:rsidRDefault="006A5267" w:rsidP="00F335E2">
                            <w:pPr>
                              <w:spacing w:line="240" w:lineRule="exact"/>
                              <w:ind w:left="181" w:hangingChars="90" w:hanging="181"/>
                              <w:rPr>
                                <w:rFonts w:ascii="ＭＳ ゴシック" w:eastAsia="ＭＳ ゴシック" w:hAnsi="ＭＳ ゴシック"/>
                                <w:sz w:val="20"/>
                                <w:szCs w:val="20"/>
                              </w:rPr>
                            </w:pPr>
                            <w:r>
                              <w:rPr>
                                <w:rFonts w:ascii="ＭＳ ゴシック" w:eastAsia="ＭＳ ゴシック" w:hAnsi="ＭＳ ゴシック" w:hint="eastAsia"/>
                                <w:sz w:val="20"/>
                                <w:szCs w:val="20"/>
                              </w:rPr>
                              <w:t>《警戒本部会議開催》</w:t>
                            </w:r>
                          </w:p>
                          <w:p w14:paraId="4148F2DE" w14:textId="77777777" w:rsidR="006A5267" w:rsidRPr="00536B9C" w:rsidRDefault="006A5267" w:rsidP="00F335E2">
                            <w:pPr>
                              <w:spacing w:line="240" w:lineRule="exact"/>
                              <w:ind w:left="402" w:hangingChars="200" w:hanging="402"/>
                              <w:rPr>
                                <w:rFonts w:ascii="ＭＳ ゴシック" w:eastAsia="ＭＳ ゴシック" w:hAnsi="ＭＳ ゴシック"/>
                                <w:sz w:val="20"/>
                                <w:szCs w:val="20"/>
                              </w:rPr>
                            </w:pPr>
                            <w:r>
                              <w:rPr>
                                <w:rFonts w:ascii="ＭＳ ゴシック" w:eastAsia="ＭＳ ゴシック" w:hAnsi="ＭＳ ゴシック" w:hint="eastAsia"/>
                                <w:sz w:val="20"/>
                                <w:szCs w:val="20"/>
                              </w:rPr>
                              <w:t xml:space="preserve">　・被害把握、関係機関との連絡調整、応急対策の実施など</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shape w14:anchorId="4BA59AF8" id="Text Box 1992" o:spid="_x0000_s1050" type="#_x0000_t202" style="position:absolute;left:0;text-align:left;margin-left:306pt;margin-top:12.8pt;width:162pt;height:45pt;z-index:2540431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">
                <v:textbox inset="5.85pt,.7pt,5.85pt,.7pt">
                  <w:txbxContent>
                    <w:p w14:paraId="4FB72D12" w14:textId="77777777" w:rsidR="006A5267" w:rsidRDefault="006A5267" w:rsidP="00F335E2">
                      <w:pPr>
                        <w:spacing w:line="240" w:lineRule="exact"/>
                        <w:ind w:left="181" w:hangingChars="90" w:hanging="181"/>
                        <w:rPr>
                          <w:rFonts w:ascii="ＭＳ ゴシック" w:eastAsia="ＭＳ ゴシック" w:hAnsi="ＭＳ ゴシック"/>
                          <w:sz w:val="20"/>
                          <w:szCs w:val="20"/>
                        </w:rPr>
                      </w:pPr>
                      <w:r>
                        <w:rPr>
                          <w:rFonts w:ascii="ＭＳ ゴシック" w:eastAsia="ＭＳ ゴシック" w:hAnsi="ＭＳ ゴシック" w:hint="eastAsia"/>
                          <w:sz w:val="20"/>
                          <w:szCs w:val="20"/>
                        </w:rPr>
                        <w:t>《警戒本部会議開催》</w:t>
                      </w:r>
                    </w:p>
                    <w:p w14:paraId="4148F2DE" w14:textId="77777777" w:rsidR="006A5267" w:rsidRPr="00536B9C" w:rsidRDefault="006A5267" w:rsidP="00F335E2">
                      <w:pPr>
                        <w:spacing w:line="240" w:lineRule="exact"/>
                        <w:ind w:left="402" w:hangingChars="200" w:hanging="402"/>
                        <w:rPr>
                          <w:rFonts w:ascii="ＭＳ ゴシック" w:eastAsia="ＭＳ ゴシック" w:hAnsi="ＭＳ ゴシック"/>
                          <w:sz w:val="20"/>
                          <w:szCs w:val="20"/>
                        </w:rPr>
                      </w:pPr>
                      <w:r>
                        <w:rPr>
                          <w:rFonts w:ascii="ＭＳ ゴシック" w:eastAsia="ＭＳ ゴシック" w:hAnsi="ＭＳ ゴシック" w:hint="eastAsia"/>
                          <w:sz w:val="20"/>
                          <w:szCs w:val="20"/>
                        </w:rPr>
                        <w:t xml:space="preserve">　・被害把握、関係機関との連絡調整、応急対策の実施など</w:t>
                      </w:r>
                    </w:p>
                  </w:txbxContent>
                </v:textbox>
              </v:shape>
            </w:pict>
          </mc:Fallback>
        </mc:AlternateContent>
      </w:r>
      <w:r w:rsidRPr="001D6D10">
        <w:rPr>
          <w:rFonts w:ascii="ＭＳ ゴシック" w:eastAsia="ＭＳ ゴシック" w:hAnsi="ＭＳ ゴシック"/>
          <w:noProof/>
          <w:sz w:val="22"/>
          <w:szCs w:val="22"/>
        </w:rPr>
        <mc:AlternateContent>
          <mc:Choice Requires="wps">
            <w:drawing>
              <wp:anchor distT="0" distB="0" distL="114300" distR="114300" simplePos="0" relativeHeight="254056448" behindDoc="0" locked="0" layoutInCell="1" allowOverlap="1" wp14:anchorId="77491AB3" wp14:editId="69400325">
                <wp:simplePos x="0" y="0"/>
                <wp:positionH relativeFrom="column">
                  <wp:posOffset>914400</wp:posOffset>
                </wp:positionH>
                <wp:positionV relativeFrom="paragraph">
                  <wp:posOffset>162560</wp:posOffset>
                </wp:positionV>
                <wp:extent cx="914400" cy="228600"/>
                <wp:effectExtent l="9525" t="10160" r="19050" b="8890"/>
                <wp:wrapNone/>
                <wp:docPr id="4399" name="AutoShape 200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14400" cy="228600"/>
                        </a:xfrm>
                        <a:prstGeom prst="homePlate">
                          <a:avLst>
                            <a:gd name="adj" fmla="val 100000"/>
                          </a:avLst>
                        </a:prstGeom>
                        <a:solidFill>
                          <a:srgbClr val="FFFFFF"/>
                        </a:solidFill>
                        <a:ln w="9525" algn="ctr">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14:paraId="7B4AB75A" w14:textId="77777777" w:rsidR="006A5267" w:rsidRPr="00FC1CA0" w:rsidRDefault="006A5267" w:rsidP="00F335E2">
                            <w:pPr>
                              <w:rPr>
                                <w:rFonts w:ascii="ＭＳ ゴシック" w:eastAsia="ＭＳ ゴシック" w:hAnsi="ＭＳ ゴシック"/>
                                <w:sz w:val="20"/>
                                <w:szCs w:val="20"/>
                              </w:rPr>
                            </w:pPr>
                            <w:r w:rsidRPr="00FC1CA0">
                              <w:rPr>
                                <w:rFonts w:ascii="ＭＳ ゴシック" w:eastAsia="ＭＳ ゴシック" w:hAnsi="ＭＳ ゴシック" w:hint="eastAsia"/>
                                <w:sz w:val="20"/>
                                <w:szCs w:val="20"/>
                              </w:rPr>
                              <w:t>自動設置</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shape w14:anchorId="77491AB3" id="AutoShape 2005" o:spid="_x0000_s1051" type="#_x0000_t15" style="position:absolute;left:0;text-align:left;margin-left:1in;margin-top:12.8pt;width:1in;height:18pt;z-index:2540564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">
                <v:textbox inset="5.85pt,.7pt,5.85pt,.7pt">
                  <w:txbxContent>
                    <w:p w14:paraId="7B4AB75A" w14:textId="77777777" w:rsidR="006A5267" w:rsidRPr="00FC1CA0" w:rsidRDefault="006A5267" w:rsidP="00F335E2">
                      <w:pPr>
                        <w:rPr>
                          <w:rFonts w:ascii="ＭＳ ゴシック" w:eastAsia="ＭＳ ゴシック" w:hAnsi="ＭＳ ゴシック"/>
                          <w:sz w:val="20"/>
                          <w:szCs w:val="20"/>
                        </w:rPr>
                      </w:pPr>
                      <w:r w:rsidRPr="00FC1CA0">
                        <w:rPr>
                          <w:rFonts w:ascii="ＭＳ ゴシック" w:eastAsia="ＭＳ ゴシック" w:hAnsi="ＭＳ ゴシック" w:hint="eastAsia"/>
                          <w:sz w:val="20"/>
                          <w:szCs w:val="20"/>
                        </w:rPr>
                        <w:t>自動設置</w:t>
                      </w:r>
                    </w:p>
                  </w:txbxContent>
                </v:textbox>
              </v:shape>
            </w:pict>
          </mc:Fallback>
        </mc:AlternateContent>
      </w:r>
    </w:p>
    <w:p w14:paraId="2049F680" w14:textId="6AEBECE2" w:rsidR="00F335E2" w:rsidRPr="001D6D10" w:rsidRDefault="00F335E2" w:rsidP="00F335E2">
      <w:pPr>
        <w:rPr>
          <w:rFonts w:ascii="ＭＳ ゴシック" w:eastAsia="ＭＳ ゴシック" w:hAnsi="ＭＳ ゴシック"/>
          <w:sz w:val="22"/>
          <w:szCs w:val="22"/>
        </w:rPr>
      </w:pPr>
      <w:r w:rsidRPr="001D6D10">
        <w:rPr>
          <w:rFonts w:ascii="ＭＳ ゴシック" w:eastAsia="ＭＳ ゴシック" w:hAnsi="ＭＳ ゴシック" w:hint="eastAsia"/>
          <w:noProof/>
          <w:sz w:val="22"/>
          <w:szCs w:val="22"/>
        </w:rPr>
        <mc:AlternateContent>
          <mc:Choice Requires="wps">
            <w:drawing>
              <wp:anchor distT="0" distB="0" distL="114300" distR="114300" simplePos="0" relativeHeight="254046208" behindDoc="0" locked="0" layoutInCell="1" allowOverlap="1" wp14:anchorId="66A50F21" wp14:editId="57C58DBD">
                <wp:simplePos x="0" y="0"/>
                <wp:positionH relativeFrom="column">
                  <wp:posOffset>1485900</wp:posOffset>
                </wp:positionH>
                <wp:positionV relativeFrom="paragraph">
                  <wp:posOffset>167005</wp:posOffset>
                </wp:positionV>
                <wp:extent cx="800100" cy="228600"/>
                <wp:effectExtent l="9525" t="5080" r="9525" b="13970"/>
                <wp:wrapNone/>
                <wp:docPr id="4397" name="Text Box 199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00100" cy="228600"/>
                        </a:xfrm>
                        <a:prstGeom prst="rect">
                          <a:avLst/>
                        </a:prstGeom>
                        <a:solidFill>
                          <a:srgbClr val="FFFFFF"/>
                        </a:solidFill>
                        <a:ln w="9525" algn="ctr">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14:paraId="5ED9084F" w14:textId="77777777" w:rsidR="006A5267" w:rsidRPr="00263DA4" w:rsidRDefault="006A5267" w:rsidP="00F335E2">
                            <w:pPr>
                              <w:rPr>
                                <w:rFonts w:ascii="ＭＳ ゴシック" w:eastAsia="ＭＳ ゴシック" w:hAnsi="ＭＳ ゴシック"/>
                                <w:sz w:val="20"/>
                                <w:szCs w:val="20"/>
                              </w:rPr>
                            </w:pPr>
                            <w:r>
                              <w:rPr>
                                <w:rFonts w:ascii="ＭＳ ゴシック" w:eastAsia="ＭＳ ゴシック" w:hAnsi="ＭＳ ゴシック" w:hint="eastAsia"/>
                                <w:sz w:val="20"/>
                                <w:szCs w:val="20"/>
                              </w:rPr>
                              <w:t>地域警戒班</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shape w14:anchorId="66A50F21" id="Text Box 1995" o:spid="_x0000_s1052" type="#_x0000_t202" style="position:absolute;left:0;text-align:left;margin-left:117pt;margin-top:13.15pt;width:63pt;height:18pt;z-index:2540462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">
                <v:textbox inset="5.85pt,.7pt,5.85pt,.7pt">
                  <w:txbxContent>
                    <w:p w14:paraId="5ED9084F" w14:textId="77777777" w:rsidR="006A5267" w:rsidRPr="00263DA4" w:rsidRDefault="006A5267" w:rsidP="00F335E2">
                      <w:pPr>
                        <w:rPr>
                          <w:rFonts w:ascii="ＭＳ ゴシック" w:eastAsia="ＭＳ ゴシック" w:hAnsi="ＭＳ ゴシック"/>
                          <w:sz w:val="20"/>
                          <w:szCs w:val="20"/>
                        </w:rPr>
                      </w:pPr>
                      <w:r>
                        <w:rPr>
                          <w:rFonts w:ascii="ＭＳ ゴシック" w:eastAsia="ＭＳ ゴシック" w:hAnsi="ＭＳ ゴシック" w:hint="eastAsia"/>
                          <w:sz w:val="20"/>
                          <w:szCs w:val="20"/>
                        </w:rPr>
                        <w:t>地域警戒班</w:t>
                      </w:r>
                    </w:p>
                  </w:txbxContent>
                </v:textbox>
              </v:shape>
            </w:pict>
          </mc:Fallback>
        </mc:AlternateContent>
      </w:r>
      <w:r w:rsidRPr="001D6D10">
        <w:rPr>
          <w:rFonts w:ascii="ＭＳ ゴシック" w:eastAsia="ＭＳ ゴシック" w:hAnsi="ＭＳ ゴシック" w:hint="eastAsia"/>
          <w:noProof/>
          <w:sz w:val="22"/>
          <w:szCs w:val="22"/>
        </w:rPr>
        <mc:AlternateContent>
          <mc:Choice Requires="wps">
            <w:drawing>
              <wp:anchor distT="0" distB="0" distL="114300" distR="114300" simplePos="0" relativeHeight="254062592" behindDoc="0" locked="0" layoutInCell="1" allowOverlap="1" wp14:anchorId="3CBB56CC" wp14:editId="290ADE3E">
                <wp:simplePos x="0" y="0"/>
                <wp:positionH relativeFrom="column">
                  <wp:posOffset>3543300</wp:posOffset>
                </wp:positionH>
                <wp:positionV relativeFrom="paragraph">
                  <wp:posOffset>109855</wp:posOffset>
                </wp:positionV>
                <wp:extent cx="342900" cy="0"/>
                <wp:effectExtent l="9525" t="5080" r="9525" b="13970"/>
                <wp:wrapNone/>
                <wp:docPr id="4396" name="Line 201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2900" cy="0"/>
                        </a:xfrm>
                        <a:prstGeom prst="line">
                          <a:avLst/>
                        </a:prstGeom>
                        <a:noFill/>
                        <a:ln w="9525">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line w14:anchorId="29DDF909" id="Line 2011" o:spid="_x0000_s1026" style="position:absolute;left:0;text-align:left;z-index:2540625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79pt,8.65pt" to="306pt,8.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"/>
            </w:pict>
          </mc:Fallback>
        </mc:AlternateContent>
      </w:r>
    </w:p>
    <w:p w14:paraId="50825225" w14:textId="5BE8149B" w:rsidR="00F335E2" w:rsidRPr="001D6D10" w:rsidRDefault="00F335E2" w:rsidP="00F335E2">
      <w:pPr>
        <w:rPr>
          <w:rFonts w:ascii="ＭＳ ゴシック" w:eastAsia="ＭＳ ゴシック" w:hAnsi="ＭＳ ゴシック"/>
          <w:sz w:val="22"/>
          <w:szCs w:val="22"/>
        </w:rPr>
      </w:pPr>
      <w:r w:rsidRPr="001D6D10">
        <w:rPr>
          <w:rFonts w:ascii="ＭＳ ゴシック" w:eastAsia="ＭＳ ゴシック" w:hAnsi="ＭＳ ゴシック"/>
          <w:noProof/>
          <w:sz w:val="22"/>
          <w:szCs w:val="22"/>
        </w:rPr>
        <mc:AlternateContent>
          <mc:Choice Requires="wps">
            <w:drawing>
              <wp:anchor distT="0" distB="0" distL="114300" distR="114300" simplePos="0" relativeHeight="254054400" behindDoc="0" locked="0" layoutInCell="1" allowOverlap="1" wp14:anchorId="10A1E128" wp14:editId="50DB69B2">
                <wp:simplePos x="0" y="0"/>
                <wp:positionH relativeFrom="column">
                  <wp:posOffset>-52070</wp:posOffset>
                </wp:positionH>
                <wp:positionV relativeFrom="paragraph">
                  <wp:posOffset>76200</wp:posOffset>
                </wp:positionV>
                <wp:extent cx="1600200" cy="457200"/>
                <wp:effectExtent l="43180" t="19050" r="42545" b="9525"/>
                <wp:wrapNone/>
                <wp:docPr id="4395" name="AutoShape 200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600200" cy="457200"/>
                        </a:xfrm>
                        <a:prstGeom prst="star16">
                          <a:avLst>
                            <a:gd name="adj" fmla="val 37500"/>
                          </a:avLst>
                        </a:prstGeom>
                        <a:solidFill>
                          <a:srgbClr val="FFFFFF"/>
                        </a:solidFill>
                        <a:ln w="9525" algn="ctr">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14:paraId="484F3A64" w14:textId="77777777" w:rsidR="006A5267" w:rsidRPr="00B117FC" w:rsidRDefault="006A5267" w:rsidP="00F335E2">
                            <w:pPr>
                              <w:spacing w:line="160" w:lineRule="exact"/>
                            </w:pPr>
                            <w:r>
                              <w:rPr>
                                <w:rFonts w:ascii="ＭＳ ゴシック" w:eastAsia="ＭＳ ゴシック" w:hAnsi="ＭＳ ゴシック" w:hint="eastAsia"/>
                                <w:sz w:val="16"/>
                                <w:szCs w:val="16"/>
                              </w:rPr>
                              <w:t>風水害等による災害発生</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shape w14:anchorId="10A1E128" id="AutoShape 2003" o:spid="_x0000_s1053" type="#_x0000_t59" style="position:absolute;left:0;text-align:left;margin-left:-4.1pt;margin-top:6pt;width:126pt;height:36pt;z-index:2540544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">
                <v:textbox inset="5.85pt,.7pt,5.85pt,.7pt">
                  <w:txbxContent>
                    <w:p w14:paraId="484F3A64" w14:textId="77777777" w:rsidR="006A5267" w:rsidRPr="00B117FC" w:rsidRDefault="006A5267" w:rsidP="00F335E2">
                      <w:pPr>
                        <w:spacing w:line="160" w:lineRule="exact"/>
                      </w:pPr>
                      <w:r>
                        <w:rPr>
                          <w:rFonts w:ascii="ＭＳ ゴシック" w:eastAsia="ＭＳ ゴシック" w:hAnsi="ＭＳ ゴシック" w:hint="eastAsia"/>
                          <w:sz w:val="16"/>
                          <w:szCs w:val="16"/>
                        </w:rPr>
                        <w:t>風水害等による災害発生</w:t>
                      </w:r>
                    </w:p>
                  </w:txbxContent>
                </v:textbox>
              </v:shape>
            </w:pict>
          </mc:Fallback>
        </mc:AlternateContent>
      </w:r>
      <w:r w:rsidRPr="001D6D10">
        <w:rPr>
          <w:rFonts w:ascii="ＭＳ ゴシック" w:eastAsia="ＭＳ ゴシック" w:hAnsi="ＭＳ ゴシック" w:hint="eastAsia"/>
          <w:noProof/>
          <w:sz w:val="22"/>
          <w:szCs w:val="22"/>
        </w:rPr>
        <mc:AlternateContent>
          <mc:Choice Requires="wps">
            <w:drawing>
              <wp:anchor distT="0" distB="0" distL="114300" distR="114300" simplePos="0" relativeHeight="254039040" behindDoc="0" locked="0" layoutInCell="1" allowOverlap="1" wp14:anchorId="26F942BB" wp14:editId="0C72A9EF">
                <wp:simplePos x="0" y="0"/>
                <wp:positionH relativeFrom="column">
                  <wp:posOffset>2233930</wp:posOffset>
                </wp:positionH>
                <wp:positionV relativeFrom="paragraph">
                  <wp:posOffset>47625</wp:posOffset>
                </wp:positionV>
                <wp:extent cx="1537970" cy="1257300"/>
                <wp:effectExtent l="0" t="0" r="0" b="0"/>
                <wp:wrapNone/>
                <wp:docPr id="4394" name="Text Box 198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37970" cy="1257300"/>
                        </a:xfrm>
                        <a:prstGeom prst="rect">
                          <a:avLst/>
                        </a:prstGeom>
                        <a:solidFill>
                          <a:srgbClr val="FFFFFF"/>
                        </a:solidFill>
                        <a:ln>
                          <a:noFill/>
                        </a:ln>
                        <a:effectLst/>
                        <a:extLst>
                          <a:ext uri="{91240B29-F687-4F45-9708-019B960494DF}">
                            <a14:hiddenLine xmlns:a14="http://schemas.microsoft.com/office/drawing/2010/main" w="9525" algn="ctr">
                              <a:solidFill>
                                <a:srgbClr val="000000"/>
                              </a:solidFill>
                              <a:miter lim="800000"/>
                              <a:headEnd/>
                              <a:tailEnd/>
                            </a14:hiddenLine>
                          </a:ex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14:paraId="20C3C23E" w14:textId="77777777" w:rsidR="006A5267" w:rsidRPr="000E36F0" w:rsidRDefault="006A5267" w:rsidP="00F335E2">
                            <w:pPr>
                              <w:spacing w:line="280" w:lineRule="exact"/>
                              <w:rPr>
                                <w:rFonts w:ascii="ＭＳ 明朝" w:hAnsi="ＭＳ 明朝"/>
                                <w:sz w:val="20"/>
                                <w:szCs w:val="20"/>
                              </w:rPr>
                            </w:pPr>
                            <w:r w:rsidRPr="000E36F0">
                              <w:rPr>
                                <w:rFonts w:ascii="ＭＳ 明朝" w:hAnsi="ＭＳ 明朝" w:hint="eastAsia"/>
                                <w:sz w:val="20"/>
                                <w:szCs w:val="20"/>
                              </w:rPr>
                              <w:t>本部長：知事</w:t>
                            </w:r>
                          </w:p>
                          <w:p w14:paraId="10FF89FC" w14:textId="77777777" w:rsidR="006A5267" w:rsidRPr="000E36F0" w:rsidRDefault="006A5267" w:rsidP="00F335E2">
                            <w:pPr>
                              <w:spacing w:line="280" w:lineRule="exact"/>
                              <w:rPr>
                                <w:rFonts w:ascii="ＭＳ 明朝" w:hAnsi="ＭＳ 明朝"/>
                                <w:sz w:val="20"/>
                                <w:szCs w:val="20"/>
                              </w:rPr>
                            </w:pPr>
                            <w:r w:rsidRPr="000E36F0">
                              <w:rPr>
                                <w:rFonts w:ascii="ＭＳ 明朝" w:hAnsi="ＭＳ 明朝" w:hint="eastAsia"/>
                                <w:sz w:val="20"/>
                                <w:szCs w:val="20"/>
                              </w:rPr>
                              <w:t>副本部長：副知事</w:t>
                            </w:r>
                          </w:p>
                          <w:p w14:paraId="365D4AA2" w14:textId="77777777" w:rsidR="006A5267" w:rsidRPr="000E36F0" w:rsidRDefault="006A5267" w:rsidP="00F335E2">
                            <w:pPr>
                              <w:spacing w:line="280" w:lineRule="exact"/>
                              <w:rPr>
                                <w:rFonts w:ascii="ＭＳ 明朝" w:hAnsi="ＭＳ 明朝"/>
                                <w:sz w:val="20"/>
                                <w:szCs w:val="20"/>
                              </w:rPr>
                            </w:pPr>
                            <w:r w:rsidRPr="000E36F0">
                              <w:rPr>
                                <w:rFonts w:ascii="ＭＳ 明朝" w:hAnsi="ＭＳ 明朝" w:hint="eastAsia"/>
                                <w:sz w:val="20"/>
                                <w:szCs w:val="20"/>
                              </w:rPr>
                              <w:t xml:space="preserve">　　　　　危機管理監</w:t>
                            </w:r>
                          </w:p>
                          <w:p w14:paraId="34050AA2" w14:textId="77777777" w:rsidR="006A5267" w:rsidRPr="000E36F0" w:rsidRDefault="006A5267" w:rsidP="00F335E2">
                            <w:pPr>
                              <w:spacing w:line="280" w:lineRule="exact"/>
                              <w:rPr>
                                <w:rFonts w:ascii="ＭＳ 明朝" w:hAnsi="ＭＳ 明朝"/>
                                <w:sz w:val="20"/>
                                <w:szCs w:val="20"/>
                              </w:rPr>
                            </w:pPr>
                            <w:r w:rsidRPr="000E36F0">
                              <w:rPr>
                                <w:rFonts w:ascii="ＭＳ 明朝" w:hAnsi="ＭＳ 明朝" w:hint="eastAsia"/>
                                <w:sz w:val="20"/>
                                <w:szCs w:val="20"/>
                              </w:rPr>
                              <w:t>本部員：各部局長他</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shape w14:anchorId="26F942BB" id="Text Box 1988" o:spid="_x0000_s1054" type="#_x0000_t202" style="position:absolute;left:0;text-align:left;margin-left:175.9pt;margin-top:3.75pt;width:121.1pt;height:99pt;z-index:2540390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" stroked="f">
                <v:textbox inset="5.85pt,.7pt,5.85pt,.7pt">
                  <w:txbxContent>
                    <w:p w14:paraId="20C3C23E" w14:textId="77777777" w:rsidR="006A5267" w:rsidRPr="000E36F0" w:rsidRDefault="006A5267" w:rsidP="00F335E2">
                      <w:pPr>
                        <w:spacing w:line="280" w:lineRule="exact"/>
                        <w:rPr>
                          <w:rFonts w:ascii="ＭＳ 明朝" w:hAnsi="ＭＳ 明朝"/>
                          <w:sz w:val="20"/>
                          <w:szCs w:val="20"/>
                        </w:rPr>
                      </w:pPr>
                      <w:r w:rsidRPr="000E36F0">
                        <w:rPr>
                          <w:rFonts w:ascii="ＭＳ 明朝" w:hAnsi="ＭＳ 明朝" w:hint="eastAsia"/>
                          <w:sz w:val="20"/>
                          <w:szCs w:val="20"/>
                        </w:rPr>
                        <w:t>本部長：知事</w:t>
                      </w:r>
                    </w:p>
                    <w:p w14:paraId="10FF89FC" w14:textId="77777777" w:rsidR="006A5267" w:rsidRPr="000E36F0" w:rsidRDefault="006A5267" w:rsidP="00F335E2">
                      <w:pPr>
                        <w:spacing w:line="280" w:lineRule="exact"/>
                        <w:rPr>
                          <w:rFonts w:ascii="ＭＳ 明朝" w:hAnsi="ＭＳ 明朝"/>
                          <w:sz w:val="20"/>
                          <w:szCs w:val="20"/>
                        </w:rPr>
                      </w:pPr>
                      <w:r w:rsidRPr="000E36F0">
                        <w:rPr>
                          <w:rFonts w:ascii="ＭＳ 明朝" w:hAnsi="ＭＳ 明朝" w:hint="eastAsia"/>
                          <w:sz w:val="20"/>
                          <w:szCs w:val="20"/>
                        </w:rPr>
                        <w:t>副本部長：副知事</w:t>
                      </w:r>
                    </w:p>
                    <w:p w14:paraId="365D4AA2" w14:textId="77777777" w:rsidR="006A5267" w:rsidRPr="000E36F0" w:rsidRDefault="006A5267" w:rsidP="00F335E2">
                      <w:pPr>
                        <w:spacing w:line="280" w:lineRule="exact"/>
                        <w:rPr>
                          <w:rFonts w:ascii="ＭＳ 明朝" w:hAnsi="ＭＳ 明朝"/>
                          <w:sz w:val="20"/>
                          <w:szCs w:val="20"/>
                        </w:rPr>
                      </w:pPr>
                      <w:r w:rsidRPr="000E36F0">
                        <w:rPr>
                          <w:rFonts w:ascii="ＭＳ 明朝" w:hAnsi="ＭＳ 明朝" w:hint="eastAsia"/>
                          <w:sz w:val="20"/>
                          <w:szCs w:val="20"/>
                        </w:rPr>
                        <w:t xml:space="preserve">　　　　　危機管理監</w:t>
                      </w:r>
                    </w:p>
                    <w:p w14:paraId="34050AA2" w14:textId="77777777" w:rsidR="006A5267" w:rsidRPr="000E36F0" w:rsidRDefault="006A5267" w:rsidP="00F335E2">
                      <w:pPr>
                        <w:spacing w:line="280" w:lineRule="exact"/>
                        <w:rPr>
                          <w:rFonts w:ascii="ＭＳ 明朝" w:hAnsi="ＭＳ 明朝"/>
                          <w:sz w:val="20"/>
                          <w:szCs w:val="20"/>
                        </w:rPr>
                      </w:pPr>
                      <w:r w:rsidRPr="000E36F0">
                        <w:rPr>
                          <w:rFonts w:ascii="ＭＳ 明朝" w:hAnsi="ＭＳ 明朝" w:hint="eastAsia"/>
                          <w:sz w:val="20"/>
                          <w:szCs w:val="20"/>
                        </w:rPr>
                        <w:t>本部員：各部局長他</w:t>
                      </w:r>
                    </w:p>
                  </w:txbxContent>
                </v:textbox>
              </v:shape>
            </w:pict>
          </mc:Fallback>
        </mc:AlternateContent>
      </w:r>
    </w:p>
    <w:p w14:paraId="32963C22" w14:textId="529392CF" w:rsidR="00F335E2" w:rsidRPr="001D6D10" w:rsidRDefault="00F335E2" w:rsidP="00F335E2">
      <w:pPr>
        <w:rPr>
          <w:rFonts w:ascii="ＭＳ ゴシック" w:eastAsia="ＭＳ ゴシック" w:hAnsi="ＭＳ ゴシック"/>
          <w:sz w:val="22"/>
          <w:szCs w:val="22"/>
        </w:rPr>
      </w:pPr>
      <w:r w:rsidRPr="001D6D10">
        <w:rPr>
          <w:rFonts w:ascii="ＭＳ ゴシック" w:eastAsia="ＭＳ ゴシック" w:hAnsi="ＭＳ ゴシック" w:hint="eastAsia"/>
          <w:noProof/>
          <w:sz w:val="22"/>
          <w:szCs w:val="22"/>
        </w:rPr>
        <mc:AlternateContent>
          <mc:Choice Requires="wps">
            <w:drawing>
              <wp:anchor distT="0" distB="0" distL="114300" distR="114300" simplePos="0" relativeHeight="254033920" behindDoc="0" locked="0" layoutInCell="1" allowOverlap="1" wp14:anchorId="63FFFB77" wp14:editId="25EDE841">
                <wp:simplePos x="0" y="0"/>
                <wp:positionH relativeFrom="column">
                  <wp:posOffset>1943100</wp:posOffset>
                </wp:positionH>
                <wp:positionV relativeFrom="paragraph">
                  <wp:posOffset>101600</wp:posOffset>
                </wp:positionV>
                <wp:extent cx="228600" cy="1028700"/>
                <wp:effectExtent l="19050" t="6350" r="19050" b="12700"/>
                <wp:wrapNone/>
                <wp:docPr id="4393" name="AutoShape 198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8600" cy="1028700"/>
                        </a:xfrm>
                        <a:prstGeom prst="downArrow">
                          <a:avLst>
                            <a:gd name="adj1" fmla="val 50000"/>
                            <a:gd name="adj2" fmla="val 112500"/>
                          </a:avLst>
                        </a:prstGeom>
                        <a:solidFill>
                          <a:srgbClr val="FFFFFF"/>
                        </a:solidFill>
                        <a:ln w="9525" algn="ctr">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shape w14:anchorId="4C9B779F" id="AutoShape 1983" o:spid="_x0000_s1026" type="#_x0000_t67" style="position:absolute;left:0;text-align:left;margin-left:153pt;margin-top:8pt;width:18pt;height:81pt;z-index:2540339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">
                <v:textbox inset="5.85pt,.7pt,5.85pt,.7pt"/>
              </v:shape>
            </w:pict>
          </mc:Fallback>
        </mc:AlternateContent>
      </w:r>
    </w:p>
    <w:p w14:paraId="488DA8B0" w14:textId="4EFA76E3" w:rsidR="00F335E2" w:rsidRPr="001D6D10" w:rsidRDefault="00F335E2" w:rsidP="00F335E2">
      <w:pPr>
        <w:rPr>
          <w:rFonts w:ascii="ＭＳ ゴシック" w:eastAsia="ＭＳ ゴシック" w:hAnsi="ＭＳ ゴシック"/>
          <w:sz w:val="22"/>
          <w:szCs w:val="22"/>
        </w:rPr>
      </w:pPr>
      <w:r w:rsidRPr="001D6D10">
        <w:rPr>
          <w:rFonts w:ascii="ＭＳ ゴシック" w:eastAsia="ＭＳ ゴシック" w:hAnsi="ＭＳ ゴシック"/>
          <w:noProof/>
          <w:sz w:val="22"/>
          <w:szCs w:val="22"/>
        </w:rPr>
        <mc:AlternateContent>
          <mc:Choice Requires="wps">
            <w:drawing>
              <wp:anchor distT="0" distB="0" distL="114300" distR="114300" simplePos="0" relativeHeight="254051328" behindDoc="0" locked="0" layoutInCell="1" allowOverlap="1" wp14:anchorId="4DD82C65" wp14:editId="32F3C275">
                <wp:simplePos x="0" y="0"/>
                <wp:positionH relativeFrom="column">
                  <wp:posOffset>342900</wp:posOffset>
                </wp:positionH>
                <wp:positionV relativeFrom="paragraph">
                  <wp:posOffset>85090</wp:posOffset>
                </wp:positionV>
                <wp:extent cx="1485900" cy="1085850"/>
                <wp:effectExtent l="19050" t="27940" r="28575" b="29210"/>
                <wp:wrapNone/>
                <wp:docPr id="4392" name="AutoShape 200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85900" cy="1085850"/>
                        </a:xfrm>
                        <a:prstGeom prst="irregularSeal1">
                          <a:avLst/>
                        </a:prstGeom>
                        <a:solidFill>
                          <a:srgbClr val="FFFFFF"/>
                        </a:solidFill>
                        <a:ln w="9525" algn="ctr">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14:paraId="00F72F43" w14:textId="77777777" w:rsidR="006A5267" w:rsidRDefault="006A5267" w:rsidP="00F335E2">
                            <w:pPr>
                              <w:spacing w:line="240" w:lineRule="exact"/>
                              <w:rPr>
                                <w:rFonts w:ascii="ＭＳ ゴシック" w:eastAsia="ＭＳ ゴシック" w:hAnsi="ＭＳ ゴシック"/>
                                <w:sz w:val="16"/>
                                <w:szCs w:val="16"/>
                              </w:rPr>
                            </w:pPr>
                            <w:r w:rsidRPr="00097649">
                              <w:rPr>
                                <w:rFonts w:ascii="ＭＳ ゴシック" w:eastAsia="ＭＳ ゴシック" w:hAnsi="ＭＳ ゴシック" w:hint="eastAsia"/>
                                <w:sz w:val="16"/>
                                <w:szCs w:val="16"/>
                              </w:rPr>
                              <w:t>震度６弱以上</w:t>
                            </w:r>
                            <w:r>
                              <w:rPr>
                                <w:rFonts w:ascii="ＭＳ ゴシック" w:eastAsia="ＭＳ ゴシック" w:hAnsi="ＭＳ ゴシック"/>
                                <w:sz w:val="16"/>
                                <w:szCs w:val="16"/>
                              </w:rPr>
                              <w:br/>
                            </w:r>
                            <w:r w:rsidRPr="00C725C5">
                              <w:rPr>
                                <w:rFonts w:ascii="ＭＳ ゴシック" w:eastAsia="ＭＳ ゴシック" w:hAnsi="ＭＳ ゴシック" w:hint="eastAsia"/>
                                <w:sz w:val="16"/>
                                <w:szCs w:val="16"/>
                              </w:rPr>
                              <w:t>特別警報発令</w:t>
                            </w:r>
                          </w:p>
                          <w:p w14:paraId="25DCC68D" w14:textId="77777777" w:rsidR="006A5267" w:rsidRPr="00097649" w:rsidRDefault="006A5267" w:rsidP="00F335E2">
                            <w:pPr>
                              <w:ind w:firstLineChars="100" w:firstLine="161"/>
                              <w:rPr>
                                <w:rFonts w:ascii="ＭＳ ゴシック" w:eastAsia="ＭＳ ゴシック" w:hAnsi="ＭＳ ゴシック"/>
                                <w:sz w:val="16"/>
                                <w:szCs w:val="16"/>
                              </w:rPr>
                            </w:pP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shape w14:anchorId="4DD82C65" id="AutoShape 2000" o:spid="_x0000_s1055" type="#_x0000_t71" style="position:absolute;left:0;text-align:left;margin-left:27pt;margin-top:6.7pt;width:117pt;height:85.5pt;z-index:2540513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">
                <v:textbox inset="5.85pt,.7pt,5.85pt,.7pt">
                  <w:txbxContent>
                    <w:p w14:paraId="00F72F43" w14:textId="77777777" w:rsidR="006A5267" w:rsidRDefault="006A5267" w:rsidP="00F335E2">
                      <w:pPr>
                        <w:spacing w:line="240" w:lineRule="exact"/>
                        <w:rPr>
                          <w:rFonts w:ascii="ＭＳ ゴシック" w:eastAsia="ＭＳ ゴシック" w:hAnsi="ＭＳ ゴシック"/>
                          <w:sz w:val="16"/>
                          <w:szCs w:val="16"/>
                        </w:rPr>
                      </w:pPr>
                      <w:r w:rsidRPr="00097649">
                        <w:rPr>
                          <w:rFonts w:ascii="ＭＳ ゴシック" w:eastAsia="ＭＳ ゴシック" w:hAnsi="ＭＳ ゴシック" w:hint="eastAsia"/>
                          <w:sz w:val="16"/>
                          <w:szCs w:val="16"/>
                        </w:rPr>
                        <w:t>震度６弱以上</w:t>
                      </w:r>
                      <w:r>
                        <w:rPr>
                          <w:rFonts w:ascii="ＭＳ ゴシック" w:eastAsia="ＭＳ ゴシック" w:hAnsi="ＭＳ ゴシック"/>
                          <w:sz w:val="16"/>
                          <w:szCs w:val="16"/>
                        </w:rPr>
                        <w:br/>
                      </w:r>
                      <w:r w:rsidRPr="00C725C5">
                        <w:rPr>
                          <w:rFonts w:ascii="ＭＳ ゴシック" w:eastAsia="ＭＳ ゴシック" w:hAnsi="ＭＳ ゴシック" w:hint="eastAsia"/>
                          <w:sz w:val="16"/>
                          <w:szCs w:val="16"/>
                        </w:rPr>
                        <w:t>特別警報発令</w:t>
                      </w:r>
                    </w:p>
                    <w:p w14:paraId="25DCC68D" w14:textId="77777777" w:rsidR="006A5267" w:rsidRPr="00097649" w:rsidRDefault="006A5267" w:rsidP="00F335E2">
                      <w:pPr>
                        <w:ind w:firstLineChars="100" w:firstLine="161"/>
                        <w:rPr>
                          <w:rFonts w:ascii="ＭＳ ゴシック" w:eastAsia="ＭＳ ゴシック" w:hAnsi="ＭＳ ゴシック"/>
                          <w:sz w:val="16"/>
                          <w:szCs w:val="16"/>
                        </w:rPr>
                      </w:pPr>
                    </w:p>
                  </w:txbxContent>
                </v:textbox>
              </v:shape>
            </w:pict>
          </mc:Fallback>
        </mc:AlternateContent>
      </w:r>
    </w:p>
    <w:p w14:paraId="7D8D3496" w14:textId="77777777" w:rsidR="00F335E2" w:rsidRPr="001D6D10" w:rsidRDefault="00F335E2" w:rsidP="00F335E2">
      <w:pPr>
        <w:rPr>
          <w:rFonts w:ascii="ＭＳ ゴシック" w:eastAsia="ＭＳ ゴシック" w:hAnsi="ＭＳ ゴシック"/>
          <w:sz w:val="22"/>
          <w:szCs w:val="22"/>
        </w:rPr>
      </w:pPr>
    </w:p>
    <w:p w14:paraId="2D2757BA" w14:textId="77777777" w:rsidR="00F335E2" w:rsidRPr="001D6D10" w:rsidRDefault="00F335E2" w:rsidP="00F335E2">
      <w:pPr>
        <w:rPr>
          <w:rFonts w:ascii="ＭＳ ゴシック" w:eastAsia="ＭＳ ゴシック" w:hAnsi="ＭＳ ゴシック"/>
          <w:sz w:val="22"/>
          <w:szCs w:val="22"/>
        </w:rPr>
      </w:pPr>
    </w:p>
    <w:p w14:paraId="595D5083" w14:textId="77777777" w:rsidR="00F335E2" w:rsidRPr="001D6D10" w:rsidRDefault="00F335E2" w:rsidP="00F335E2">
      <w:pPr>
        <w:rPr>
          <w:rFonts w:ascii="ＭＳ ゴシック" w:eastAsia="ＭＳ ゴシック" w:hAnsi="ＭＳ ゴシック"/>
          <w:sz w:val="22"/>
          <w:szCs w:val="22"/>
        </w:rPr>
      </w:pPr>
    </w:p>
    <w:p w14:paraId="6BE6988A" w14:textId="446315A6" w:rsidR="00F335E2" w:rsidRPr="001D6D10" w:rsidRDefault="00F335E2" w:rsidP="00F335E2">
      <w:pPr>
        <w:rPr>
          <w:rFonts w:ascii="ＭＳ ゴシック" w:eastAsia="ＭＳ ゴシック" w:hAnsi="ＭＳ ゴシック"/>
          <w:sz w:val="22"/>
          <w:szCs w:val="22"/>
        </w:rPr>
      </w:pPr>
      <w:r w:rsidRPr="001D6D10">
        <w:rPr>
          <w:rFonts w:ascii="ＭＳ ゴシック" w:eastAsia="ＭＳ ゴシック" w:hAnsi="ＭＳ ゴシック"/>
          <w:noProof/>
          <w:sz w:val="22"/>
          <w:szCs w:val="22"/>
        </w:rPr>
        <mc:AlternateContent>
          <mc:Choice Requires="wps">
            <w:drawing>
              <wp:anchor distT="0" distB="0" distL="114300" distR="114300" simplePos="0" relativeHeight="254057472" behindDoc="0" locked="0" layoutInCell="1" allowOverlap="1" wp14:anchorId="24D962E0" wp14:editId="4C77C8DC">
                <wp:simplePos x="0" y="0"/>
                <wp:positionH relativeFrom="column">
                  <wp:posOffset>914400</wp:posOffset>
                </wp:positionH>
                <wp:positionV relativeFrom="paragraph">
                  <wp:posOffset>123825</wp:posOffset>
                </wp:positionV>
                <wp:extent cx="914400" cy="228600"/>
                <wp:effectExtent l="9525" t="9525" r="19050" b="9525"/>
                <wp:wrapNone/>
                <wp:docPr id="4391" name="AutoShape 200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14400" cy="228600"/>
                        </a:xfrm>
                        <a:prstGeom prst="homePlate">
                          <a:avLst>
                            <a:gd name="adj" fmla="val 100000"/>
                          </a:avLst>
                        </a:prstGeom>
                        <a:solidFill>
                          <a:srgbClr val="FFFFFF"/>
                        </a:solidFill>
                        <a:ln w="9525" algn="ctr">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14:paraId="739F2E73" w14:textId="77777777" w:rsidR="006A5267" w:rsidRPr="00FC1CA0" w:rsidRDefault="006A5267" w:rsidP="00F335E2">
                            <w:pPr>
                              <w:rPr>
                                <w:rFonts w:ascii="ＭＳ ゴシック" w:eastAsia="ＭＳ ゴシック" w:hAnsi="ＭＳ ゴシック"/>
                                <w:sz w:val="20"/>
                                <w:szCs w:val="20"/>
                              </w:rPr>
                            </w:pPr>
                            <w:r w:rsidRPr="00FC1CA0">
                              <w:rPr>
                                <w:rFonts w:ascii="ＭＳ ゴシック" w:eastAsia="ＭＳ ゴシック" w:hAnsi="ＭＳ ゴシック" w:hint="eastAsia"/>
                                <w:sz w:val="20"/>
                                <w:szCs w:val="20"/>
                              </w:rPr>
                              <w:t>自動設置</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shape w14:anchorId="24D962E0" id="AutoShape 2006" o:spid="_x0000_s1056" type="#_x0000_t15" style="position:absolute;left:0;text-align:left;margin-left:1in;margin-top:9.75pt;width:1in;height:18pt;z-index:2540574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">
                <v:textbox inset="5.85pt,.7pt,5.85pt,.7pt">
                  <w:txbxContent>
                    <w:p w14:paraId="739F2E73" w14:textId="77777777" w:rsidR="006A5267" w:rsidRPr="00FC1CA0" w:rsidRDefault="006A5267" w:rsidP="00F335E2">
                      <w:pPr>
                        <w:rPr>
                          <w:rFonts w:ascii="ＭＳ ゴシック" w:eastAsia="ＭＳ ゴシック" w:hAnsi="ＭＳ ゴシック"/>
                          <w:sz w:val="20"/>
                          <w:szCs w:val="20"/>
                        </w:rPr>
                      </w:pPr>
                      <w:r w:rsidRPr="00FC1CA0">
                        <w:rPr>
                          <w:rFonts w:ascii="ＭＳ ゴシック" w:eastAsia="ＭＳ ゴシック" w:hAnsi="ＭＳ ゴシック" w:hint="eastAsia"/>
                          <w:sz w:val="20"/>
                          <w:szCs w:val="20"/>
                        </w:rPr>
                        <w:t>自動設置</w:t>
                      </w:r>
                    </w:p>
                  </w:txbxContent>
                </v:textbox>
              </v:shape>
            </w:pict>
          </mc:Fallback>
        </mc:AlternateContent>
      </w:r>
      <w:r w:rsidRPr="001D6D10">
        <w:rPr>
          <w:rFonts w:ascii="ＭＳ ゴシック" w:eastAsia="ＭＳ ゴシック" w:hAnsi="ＭＳ ゴシック" w:hint="eastAsia"/>
          <w:noProof/>
          <w:sz w:val="22"/>
          <w:szCs w:val="22"/>
        </w:rPr>
        <mc:AlternateContent>
          <mc:Choice Requires="wps">
            <w:drawing>
              <wp:anchor distT="0" distB="0" distL="114300" distR="114300" simplePos="0" relativeHeight="254044160" behindDoc="0" locked="0" layoutInCell="1" allowOverlap="1" wp14:anchorId="677770B0" wp14:editId="2A618F44">
                <wp:simplePos x="0" y="0"/>
                <wp:positionH relativeFrom="column">
                  <wp:posOffset>3924300</wp:posOffset>
                </wp:positionH>
                <wp:positionV relativeFrom="paragraph">
                  <wp:posOffset>140970</wp:posOffset>
                </wp:positionV>
                <wp:extent cx="2057400" cy="685800"/>
                <wp:effectExtent l="9525" t="7620" r="9525" b="11430"/>
                <wp:wrapNone/>
                <wp:docPr id="4390" name="Text Box 199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57400" cy="685800"/>
                        </a:xfrm>
                        <a:prstGeom prst="rect">
                          <a:avLst/>
                        </a:prstGeom>
                        <a:solidFill>
                          <a:srgbClr val="FFFFFF"/>
                        </a:solidFill>
                        <a:ln w="9525" algn="ctr">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14:paraId="0F641D1B" w14:textId="77777777" w:rsidR="006A5267" w:rsidRDefault="006A5267" w:rsidP="00F335E2">
                            <w:pPr>
                              <w:spacing w:line="240" w:lineRule="exact"/>
                              <w:ind w:left="181" w:hangingChars="90" w:hanging="181"/>
                              <w:rPr>
                                <w:rFonts w:ascii="ＭＳ ゴシック" w:eastAsia="ＭＳ ゴシック" w:hAnsi="ＭＳ ゴシック"/>
                                <w:sz w:val="20"/>
                                <w:szCs w:val="20"/>
                              </w:rPr>
                            </w:pPr>
                            <w:r>
                              <w:rPr>
                                <w:rFonts w:ascii="ＭＳ ゴシック" w:eastAsia="ＭＳ ゴシック" w:hAnsi="ＭＳ ゴシック" w:hint="eastAsia"/>
                                <w:sz w:val="20"/>
                                <w:szCs w:val="20"/>
                              </w:rPr>
                              <w:t>《災対本部会議開催》</w:t>
                            </w:r>
                          </w:p>
                          <w:p w14:paraId="0EBD5B3F" w14:textId="77777777" w:rsidR="006A5267" w:rsidRPr="00494A16" w:rsidRDefault="006A5267" w:rsidP="00F335E2">
                            <w:pPr>
                              <w:spacing w:line="240" w:lineRule="exact"/>
                              <w:ind w:left="402" w:hangingChars="200" w:hanging="402"/>
                              <w:rPr>
                                <w:rFonts w:ascii="ＭＳ ゴシック" w:eastAsia="ＭＳ ゴシック" w:hAnsi="ＭＳ ゴシック"/>
                                <w:sz w:val="20"/>
                                <w:szCs w:val="20"/>
                              </w:rPr>
                            </w:pPr>
                            <w:r>
                              <w:rPr>
                                <w:rFonts w:ascii="ＭＳ ゴシック" w:eastAsia="ＭＳ ゴシック" w:hAnsi="ＭＳ ゴシック" w:hint="eastAsia"/>
                                <w:sz w:val="20"/>
                                <w:szCs w:val="20"/>
                              </w:rPr>
                              <w:t xml:space="preserve">　・被害把握、応援要請、関係機関との連絡調整、応急対策の実施など</w:t>
                            </w:r>
                          </w:p>
                          <w:p w14:paraId="1162297A" w14:textId="77777777" w:rsidR="006A5267" w:rsidRPr="00536B9C" w:rsidRDefault="006A5267" w:rsidP="00F335E2"/>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shape w14:anchorId="677770B0" id="Text Box 1993" o:spid="_x0000_s1057" type="#_x0000_t202" style="position:absolute;left:0;text-align:left;margin-left:309pt;margin-top:11.1pt;width:162pt;height:54pt;z-index:2540441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">
                <v:textbox inset="5.85pt,.7pt,5.85pt,.7pt">
                  <w:txbxContent>
                    <w:p w14:paraId="0F641D1B" w14:textId="77777777" w:rsidR="006A5267" w:rsidRDefault="006A5267" w:rsidP="00F335E2">
                      <w:pPr>
                        <w:spacing w:line="240" w:lineRule="exact"/>
                        <w:ind w:left="181" w:hangingChars="90" w:hanging="181"/>
                        <w:rPr>
                          <w:rFonts w:ascii="ＭＳ ゴシック" w:eastAsia="ＭＳ ゴシック" w:hAnsi="ＭＳ ゴシック"/>
                          <w:sz w:val="20"/>
                          <w:szCs w:val="20"/>
                        </w:rPr>
                      </w:pPr>
                      <w:r>
                        <w:rPr>
                          <w:rFonts w:ascii="ＭＳ ゴシック" w:eastAsia="ＭＳ ゴシック" w:hAnsi="ＭＳ ゴシック" w:hint="eastAsia"/>
                          <w:sz w:val="20"/>
                          <w:szCs w:val="20"/>
                        </w:rPr>
                        <w:t>《災対本部会議開催》</w:t>
                      </w:r>
                    </w:p>
                    <w:p w14:paraId="0EBD5B3F" w14:textId="77777777" w:rsidR="006A5267" w:rsidRPr="00494A16" w:rsidRDefault="006A5267" w:rsidP="00F335E2">
                      <w:pPr>
                        <w:spacing w:line="240" w:lineRule="exact"/>
                        <w:ind w:left="402" w:hangingChars="200" w:hanging="402"/>
                        <w:rPr>
                          <w:rFonts w:ascii="ＭＳ ゴシック" w:eastAsia="ＭＳ ゴシック" w:hAnsi="ＭＳ ゴシック"/>
                          <w:sz w:val="20"/>
                          <w:szCs w:val="20"/>
                        </w:rPr>
                      </w:pPr>
                      <w:r>
                        <w:rPr>
                          <w:rFonts w:ascii="ＭＳ ゴシック" w:eastAsia="ＭＳ ゴシック" w:hAnsi="ＭＳ ゴシック" w:hint="eastAsia"/>
                          <w:sz w:val="20"/>
                          <w:szCs w:val="20"/>
                        </w:rPr>
                        <w:t xml:space="preserve">　・被害把握、応援要請、関係機関との連絡調整、応急対策の実施など</w:t>
                      </w:r>
                    </w:p>
                    <w:p w14:paraId="1162297A" w14:textId="77777777" w:rsidR="006A5267" w:rsidRPr="00536B9C" w:rsidRDefault="006A5267" w:rsidP="00F335E2"/>
                  </w:txbxContent>
                </v:textbox>
              </v:shape>
            </w:pict>
          </mc:Fallback>
        </mc:AlternateContent>
      </w:r>
      <w:r w:rsidRPr="001D6D10">
        <w:rPr>
          <w:rFonts w:ascii="ＭＳ ゴシック" w:eastAsia="ＭＳ ゴシック" w:hAnsi="ＭＳ ゴシック" w:hint="eastAsia"/>
          <w:noProof/>
          <w:sz w:val="22"/>
          <w:szCs w:val="22"/>
        </w:rPr>
        <mc:AlternateContent>
          <mc:Choice Requires="wps">
            <w:drawing>
              <wp:anchor distT="0" distB="0" distL="114300" distR="114300" simplePos="0" relativeHeight="254027776" behindDoc="0" locked="0" layoutInCell="1" allowOverlap="1" wp14:anchorId="471D7488" wp14:editId="7BC1FA64">
                <wp:simplePos x="0" y="0"/>
                <wp:positionH relativeFrom="column">
                  <wp:posOffset>1828800</wp:posOffset>
                </wp:positionH>
                <wp:positionV relativeFrom="paragraph">
                  <wp:posOffset>123825</wp:posOffset>
                </wp:positionV>
                <wp:extent cx="1714500" cy="228600"/>
                <wp:effectExtent l="9525" t="9525" r="9525" b="9525"/>
                <wp:wrapNone/>
                <wp:docPr id="4389" name="Text Box 197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14500" cy="228600"/>
                        </a:xfrm>
                        <a:prstGeom prst="rect">
                          <a:avLst/>
                        </a:prstGeom>
                        <a:solidFill>
                          <a:srgbClr val="FFFFFF"/>
                        </a:solidFill>
                        <a:ln w="9525">
                          <a:solidFill>
                            <a:srgbClr val="000000"/>
                          </a:solidFill>
                          <a:miter lim="800000"/>
                          <a:headEnd/>
                          <a:tailEnd/>
                        </a:ln>
                      </wps:spPr>
                      <wps:txbx>
                        <w:txbxContent>
                          <w:p w14:paraId="42EEF053" w14:textId="77777777" w:rsidR="006A5267" w:rsidRPr="00D9485A" w:rsidRDefault="006A5267" w:rsidP="00F335E2">
                            <w:pPr>
                              <w:jc w:val="center"/>
                              <w:rPr>
                                <w:rFonts w:ascii="ＭＳ ゴシック" w:eastAsia="ＭＳ ゴシック" w:hAnsi="ＭＳ ゴシック"/>
                                <w:sz w:val="20"/>
                                <w:szCs w:val="20"/>
                              </w:rPr>
                            </w:pPr>
                            <w:r>
                              <w:rPr>
                                <w:rFonts w:ascii="ＭＳ ゴシック" w:eastAsia="ＭＳ ゴシック" w:hAnsi="ＭＳ ゴシック" w:hint="eastAsia"/>
                                <w:sz w:val="20"/>
                                <w:szCs w:val="20"/>
                              </w:rPr>
                              <w:t>災害対策本部</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shape w14:anchorId="471D7488" id="Text Box 1977" o:spid="_x0000_s1058" type="#_x0000_t202" style="position:absolute;left:0;text-align:left;margin-left:2in;margin-top:9.75pt;width:135pt;height:18pt;z-index:254027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">
                <v:textbox inset="5.85pt,.7pt,5.85pt,.7pt">
                  <w:txbxContent>
                    <w:p w14:paraId="42EEF053" w14:textId="77777777" w:rsidR="006A5267" w:rsidRPr="00D9485A" w:rsidRDefault="006A5267" w:rsidP="00F335E2">
                      <w:pPr>
                        <w:jc w:val="center"/>
                        <w:rPr>
                          <w:rFonts w:ascii="ＭＳ ゴシック" w:eastAsia="ＭＳ ゴシック" w:hAnsi="ＭＳ ゴシック"/>
                          <w:sz w:val="20"/>
                          <w:szCs w:val="20"/>
                        </w:rPr>
                      </w:pPr>
                      <w:r>
                        <w:rPr>
                          <w:rFonts w:ascii="ＭＳ ゴシック" w:eastAsia="ＭＳ ゴシック" w:hAnsi="ＭＳ ゴシック" w:hint="eastAsia"/>
                          <w:sz w:val="20"/>
                          <w:szCs w:val="20"/>
                        </w:rPr>
                        <w:t>災害対策本部</w:t>
                      </w:r>
                    </w:p>
                  </w:txbxContent>
                </v:textbox>
              </v:shape>
            </w:pict>
          </mc:Fallback>
        </mc:AlternateContent>
      </w:r>
    </w:p>
    <w:p w14:paraId="0876D601" w14:textId="0CF9A5EF" w:rsidR="00F335E2" w:rsidRPr="001D6D10" w:rsidRDefault="00BA31B2" w:rsidP="00F335E2">
      <w:pPr>
        <w:rPr>
          <w:rFonts w:ascii="ＭＳ ゴシック" w:eastAsia="ＭＳ ゴシック" w:hAnsi="ＭＳ ゴシック"/>
          <w:sz w:val="22"/>
          <w:szCs w:val="22"/>
        </w:rPr>
      </w:pPr>
      <w:r w:rsidRPr="001D6D10">
        <w:rPr>
          <w:rFonts w:ascii="ＭＳ ゴシック" w:eastAsia="ＭＳ ゴシック" w:hAnsi="ＭＳ ゴシック" w:hint="eastAsia"/>
          <w:noProof/>
          <w:sz w:val="22"/>
          <w:szCs w:val="22"/>
        </w:rPr>
        <mc:AlternateContent>
          <mc:Choice Requires="wps">
            <w:drawing>
              <wp:anchor distT="0" distB="0" distL="114300" distR="114300" simplePos="0" relativeHeight="254038016" behindDoc="0" locked="0" layoutInCell="1" allowOverlap="1" wp14:anchorId="05C5C487" wp14:editId="5FA4CA35">
                <wp:simplePos x="0" y="0"/>
                <wp:positionH relativeFrom="column">
                  <wp:posOffset>2324100</wp:posOffset>
                </wp:positionH>
                <wp:positionV relativeFrom="paragraph">
                  <wp:posOffset>145415</wp:posOffset>
                </wp:positionV>
                <wp:extent cx="1600200" cy="1255395"/>
                <wp:effectExtent l="0" t="2540" r="0" b="0"/>
                <wp:wrapNone/>
                <wp:docPr id="4388" name="Text Box 198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00200" cy="1255395"/>
                        </a:xfrm>
                        <a:prstGeom prst="rect">
                          <a:avLst/>
                        </a:prstGeom>
                        <a:solidFill>
                          <a:srgbClr val="FFFFFF"/>
                        </a:solidFill>
                        <a:ln>
                          <a:noFill/>
                        </a:ln>
                        <a:effectLst/>
                        <a:extLst>
                          <a:ext uri="{91240B29-F687-4F45-9708-019B960494DF}">
                            <a14:hiddenLine xmlns:a14="http://schemas.microsoft.com/office/drawing/2010/main" w="9525" algn="ctr">
                              <a:solidFill>
                                <a:srgbClr val="000000"/>
                              </a:solidFill>
                              <a:miter lim="800000"/>
                              <a:headEnd/>
                              <a:tailEnd/>
                            </a14:hiddenLine>
                          </a:ex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14:paraId="3B5E7BCA" w14:textId="77777777" w:rsidR="006A5267" w:rsidRPr="000E36F0" w:rsidRDefault="006A5267" w:rsidP="00F335E2">
                            <w:pPr>
                              <w:spacing w:line="280" w:lineRule="exact"/>
                              <w:rPr>
                                <w:rFonts w:ascii="ＭＳ 明朝" w:hAnsi="ＭＳ 明朝"/>
                                <w:sz w:val="20"/>
                                <w:szCs w:val="20"/>
                              </w:rPr>
                            </w:pPr>
                            <w:r w:rsidRPr="000E36F0">
                              <w:rPr>
                                <w:rFonts w:ascii="ＭＳ 明朝" w:hAnsi="ＭＳ 明朝" w:hint="eastAsia"/>
                                <w:sz w:val="20"/>
                                <w:szCs w:val="20"/>
                              </w:rPr>
                              <w:t>本部長：知事</w:t>
                            </w:r>
                          </w:p>
                          <w:p w14:paraId="32BFB858" w14:textId="77777777" w:rsidR="006A5267" w:rsidRPr="000E36F0" w:rsidRDefault="006A5267" w:rsidP="00F335E2">
                            <w:pPr>
                              <w:spacing w:line="280" w:lineRule="exact"/>
                              <w:rPr>
                                <w:rFonts w:ascii="ＭＳ 明朝" w:hAnsi="ＭＳ 明朝"/>
                                <w:sz w:val="20"/>
                                <w:szCs w:val="20"/>
                              </w:rPr>
                            </w:pPr>
                            <w:r w:rsidRPr="000E36F0">
                              <w:rPr>
                                <w:rFonts w:ascii="ＭＳ 明朝" w:hAnsi="ＭＳ 明朝" w:hint="eastAsia"/>
                                <w:sz w:val="20"/>
                                <w:szCs w:val="20"/>
                              </w:rPr>
                              <w:t>副本部長：副知事</w:t>
                            </w:r>
                          </w:p>
                          <w:p w14:paraId="000FD825" w14:textId="77777777" w:rsidR="006A5267" w:rsidRPr="000E36F0" w:rsidRDefault="006A5267" w:rsidP="00F335E2">
                            <w:pPr>
                              <w:spacing w:line="280" w:lineRule="exact"/>
                              <w:rPr>
                                <w:rFonts w:ascii="ＭＳ 明朝" w:hAnsi="ＭＳ 明朝"/>
                                <w:sz w:val="20"/>
                                <w:szCs w:val="20"/>
                              </w:rPr>
                            </w:pPr>
                            <w:r w:rsidRPr="000E36F0">
                              <w:rPr>
                                <w:rFonts w:ascii="ＭＳ 明朝" w:hAnsi="ＭＳ 明朝" w:hint="eastAsia"/>
                                <w:sz w:val="20"/>
                                <w:szCs w:val="20"/>
                              </w:rPr>
                              <w:t xml:space="preserve">　　　　　危機管理監</w:t>
                            </w:r>
                          </w:p>
                          <w:p w14:paraId="7AE3C48D" w14:textId="77777777" w:rsidR="006A5267" w:rsidRPr="000E36F0" w:rsidRDefault="006A5267" w:rsidP="00F335E2">
                            <w:pPr>
                              <w:spacing w:line="280" w:lineRule="exact"/>
                              <w:ind w:left="804" w:hangingChars="400" w:hanging="804"/>
                              <w:rPr>
                                <w:rFonts w:ascii="ＭＳ 明朝" w:hAnsi="ＭＳ 明朝"/>
                                <w:sz w:val="20"/>
                                <w:szCs w:val="20"/>
                              </w:rPr>
                            </w:pPr>
                            <w:r w:rsidRPr="000E36F0">
                              <w:rPr>
                                <w:rFonts w:ascii="ＭＳ 明朝" w:hAnsi="ＭＳ 明朝" w:hint="eastAsia"/>
                                <w:sz w:val="20"/>
                                <w:szCs w:val="20"/>
                              </w:rPr>
                              <w:t>本部員：各部局長、警察本部</w:t>
                            </w:r>
                            <w:r w:rsidRPr="006D4A66">
                              <w:rPr>
                                <w:rFonts w:ascii="ＭＳ 明朝" w:hAnsi="ＭＳ 明朝" w:hint="eastAsia"/>
                                <w:sz w:val="20"/>
                                <w:szCs w:val="20"/>
                              </w:rPr>
                              <w:t>副本部長他</w:t>
                            </w:r>
                          </w:p>
                          <w:p w14:paraId="0EF84F83" w14:textId="77777777" w:rsidR="006A5267" w:rsidRPr="00045BEF" w:rsidRDefault="006A5267" w:rsidP="00F335E2">
                            <w:pPr>
                              <w:spacing w:line="280" w:lineRule="exact"/>
                              <w:rPr>
                                <w:rFonts w:ascii="ＭＳ ゴシック" w:eastAsia="ＭＳ ゴシック" w:hAnsi="ＭＳ ゴシック"/>
                                <w:sz w:val="20"/>
                                <w:szCs w:val="20"/>
                              </w:rPr>
                            </w:pP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shape w14:anchorId="05C5C487" id="Text Box 1987" o:spid="_x0000_s1059" type="#_x0000_t202" style="position:absolute;left:0;text-align:left;margin-left:183pt;margin-top:11.45pt;width:126pt;height:98.85pt;z-index:2540380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" stroked="f">
                <v:textbox inset="5.85pt,.7pt,5.85pt,.7pt">
                  <w:txbxContent>
                    <w:p w14:paraId="3B5E7BCA" w14:textId="77777777" w:rsidR="006A5267" w:rsidRPr="000E36F0" w:rsidRDefault="006A5267" w:rsidP="00F335E2">
                      <w:pPr>
                        <w:spacing w:line="280" w:lineRule="exact"/>
                        <w:rPr>
                          <w:rFonts w:ascii="ＭＳ 明朝" w:hAnsi="ＭＳ 明朝"/>
                          <w:sz w:val="20"/>
                          <w:szCs w:val="20"/>
                        </w:rPr>
                      </w:pPr>
                      <w:r w:rsidRPr="000E36F0">
                        <w:rPr>
                          <w:rFonts w:ascii="ＭＳ 明朝" w:hAnsi="ＭＳ 明朝" w:hint="eastAsia"/>
                          <w:sz w:val="20"/>
                          <w:szCs w:val="20"/>
                        </w:rPr>
                        <w:t>本部長：知事</w:t>
                      </w:r>
                    </w:p>
                    <w:p w14:paraId="32BFB858" w14:textId="77777777" w:rsidR="006A5267" w:rsidRPr="000E36F0" w:rsidRDefault="006A5267" w:rsidP="00F335E2">
                      <w:pPr>
                        <w:spacing w:line="280" w:lineRule="exact"/>
                        <w:rPr>
                          <w:rFonts w:ascii="ＭＳ 明朝" w:hAnsi="ＭＳ 明朝"/>
                          <w:sz w:val="20"/>
                          <w:szCs w:val="20"/>
                        </w:rPr>
                      </w:pPr>
                      <w:r w:rsidRPr="000E36F0">
                        <w:rPr>
                          <w:rFonts w:ascii="ＭＳ 明朝" w:hAnsi="ＭＳ 明朝" w:hint="eastAsia"/>
                          <w:sz w:val="20"/>
                          <w:szCs w:val="20"/>
                        </w:rPr>
                        <w:t>副本部長：副知事</w:t>
                      </w:r>
                    </w:p>
                    <w:p w14:paraId="000FD825" w14:textId="77777777" w:rsidR="006A5267" w:rsidRPr="000E36F0" w:rsidRDefault="006A5267" w:rsidP="00F335E2">
                      <w:pPr>
                        <w:spacing w:line="280" w:lineRule="exact"/>
                        <w:rPr>
                          <w:rFonts w:ascii="ＭＳ 明朝" w:hAnsi="ＭＳ 明朝"/>
                          <w:sz w:val="20"/>
                          <w:szCs w:val="20"/>
                        </w:rPr>
                      </w:pPr>
                      <w:r w:rsidRPr="000E36F0">
                        <w:rPr>
                          <w:rFonts w:ascii="ＭＳ 明朝" w:hAnsi="ＭＳ 明朝" w:hint="eastAsia"/>
                          <w:sz w:val="20"/>
                          <w:szCs w:val="20"/>
                        </w:rPr>
                        <w:t xml:space="preserve">　　　　　危機管理監</w:t>
                      </w:r>
                    </w:p>
                    <w:p w14:paraId="7AE3C48D" w14:textId="77777777" w:rsidR="006A5267" w:rsidRPr="000E36F0" w:rsidRDefault="006A5267" w:rsidP="00F335E2">
                      <w:pPr>
                        <w:spacing w:line="280" w:lineRule="exact"/>
                        <w:ind w:left="804" w:hangingChars="400" w:hanging="804"/>
                        <w:rPr>
                          <w:rFonts w:ascii="ＭＳ 明朝" w:hAnsi="ＭＳ 明朝"/>
                          <w:sz w:val="20"/>
                          <w:szCs w:val="20"/>
                        </w:rPr>
                      </w:pPr>
                      <w:r w:rsidRPr="000E36F0">
                        <w:rPr>
                          <w:rFonts w:ascii="ＭＳ 明朝" w:hAnsi="ＭＳ 明朝" w:hint="eastAsia"/>
                          <w:sz w:val="20"/>
                          <w:szCs w:val="20"/>
                        </w:rPr>
                        <w:t>本部員：各部局長、警察本部</w:t>
                      </w:r>
                      <w:r w:rsidRPr="006D4A66">
                        <w:rPr>
                          <w:rFonts w:ascii="ＭＳ 明朝" w:hAnsi="ＭＳ 明朝" w:hint="eastAsia"/>
                          <w:sz w:val="20"/>
                          <w:szCs w:val="20"/>
                        </w:rPr>
                        <w:t>副本部長他</w:t>
                      </w:r>
                    </w:p>
                    <w:p w14:paraId="0EF84F83" w14:textId="77777777" w:rsidR="006A5267" w:rsidRPr="00045BEF" w:rsidRDefault="006A5267" w:rsidP="00F335E2">
                      <w:pPr>
                        <w:spacing w:line="280" w:lineRule="exact"/>
                        <w:rPr>
                          <w:rFonts w:ascii="ＭＳ ゴシック" w:eastAsia="ＭＳ ゴシック" w:hAnsi="ＭＳ ゴシック"/>
                          <w:sz w:val="20"/>
                          <w:szCs w:val="20"/>
                        </w:rPr>
                      </w:pPr>
                    </w:p>
                  </w:txbxContent>
                </v:textbox>
              </v:shape>
            </w:pict>
          </mc:Fallback>
        </mc:AlternateContent>
      </w:r>
      <w:r w:rsidR="00F335E2" w:rsidRPr="001D6D10">
        <w:rPr>
          <w:rFonts w:ascii="ＭＳ ゴシック" w:eastAsia="ＭＳ ゴシック" w:hAnsi="ＭＳ ゴシック"/>
          <w:noProof/>
          <w:sz w:val="22"/>
          <w:szCs w:val="22"/>
        </w:rPr>
        <mc:AlternateContent>
          <mc:Choice Requires="wps">
            <w:drawing>
              <wp:anchor distT="0" distB="0" distL="114300" distR="114300" simplePos="0" relativeHeight="254063616" behindDoc="0" locked="0" layoutInCell="1" allowOverlap="1" wp14:anchorId="2023D174" wp14:editId="18C9421E">
                <wp:simplePos x="0" y="0"/>
                <wp:positionH relativeFrom="column">
                  <wp:posOffset>3543300</wp:posOffset>
                </wp:positionH>
                <wp:positionV relativeFrom="paragraph">
                  <wp:posOffset>50165</wp:posOffset>
                </wp:positionV>
                <wp:extent cx="381000" cy="0"/>
                <wp:effectExtent l="9525" t="12065" r="9525" b="6985"/>
                <wp:wrapNone/>
                <wp:docPr id="4387" name="Line 201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81000" cy="0"/>
                        </a:xfrm>
                        <a:prstGeom prst="line">
                          <a:avLst/>
                        </a:prstGeom>
                        <a:noFill/>
                        <a:ln w="9525">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line w14:anchorId="0A3D2927" id="Line 2012" o:spid="_x0000_s1026" style="position:absolute;left:0;text-align:left;z-index:2540636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79pt,3.95pt" to="309pt,3.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"/>
            </w:pict>
          </mc:Fallback>
        </mc:AlternateContent>
      </w:r>
      <w:r w:rsidR="00F335E2" w:rsidRPr="001D6D10">
        <w:rPr>
          <w:rFonts w:ascii="ＭＳ ゴシック" w:eastAsia="ＭＳ ゴシック" w:hAnsi="ＭＳ ゴシック" w:hint="eastAsia"/>
          <w:noProof/>
          <w:sz w:val="22"/>
          <w:szCs w:val="22"/>
        </w:rPr>
        <mc:AlternateContent>
          <mc:Choice Requires="wps">
            <w:drawing>
              <wp:anchor distT="0" distB="0" distL="114300" distR="114300" simplePos="0" relativeHeight="254034944" behindDoc="0" locked="0" layoutInCell="1" allowOverlap="1" wp14:anchorId="0DC67D95" wp14:editId="5BAFD499">
                <wp:simplePos x="0" y="0"/>
                <wp:positionH relativeFrom="column">
                  <wp:posOffset>1504950</wp:posOffset>
                </wp:positionH>
                <wp:positionV relativeFrom="paragraph">
                  <wp:posOffset>128270</wp:posOffset>
                </wp:positionV>
                <wp:extent cx="800100" cy="228600"/>
                <wp:effectExtent l="9525" t="13970" r="9525" b="5080"/>
                <wp:wrapNone/>
                <wp:docPr id="4386" name="Text Box 198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00100" cy="228600"/>
                        </a:xfrm>
                        <a:prstGeom prst="rect">
                          <a:avLst/>
                        </a:prstGeom>
                        <a:solidFill>
                          <a:srgbClr val="FFFFFF"/>
                        </a:solidFill>
                        <a:ln w="9525" algn="ctr">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14:paraId="458A534C" w14:textId="77777777" w:rsidR="006A5267" w:rsidRPr="00263DA4" w:rsidRDefault="006A5267" w:rsidP="00F335E2">
                            <w:pPr>
                              <w:rPr>
                                <w:rFonts w:ascii="ＭＳ ゴシック" w:eastAsia="ＭＳ ゴシック" w:hAnsi="ＭＳ ゴシック"/>
                                <w:sz w:val="20"/>
                                <w:szCs w:val="20"/>
                              </w:rPr>
                            </w:pPr>
                            <w:r>
                              <w:rPr>
                                <w:rFonts w:ascii="ＭＳ ゴシック" w:eastAsia="ＭＳ ゴシック" w:hAnsi="ＭＳ ゴシック" w:hint="eastAsia"/>
                                <w:sz w:val="20"/>
                                <w:szCs w:val="20"/>
                              </w:rPr>
                              <w:t>地域連絡部</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shape w14:anchorId="0DC67D95" id="Text Box 1984" o:spid="_x0000_s1060" type="#_x0000_t202" style="position:absolute;left:0;text-align:left;margin-left:118.5pt;margin-top:10.1pt;width:63pt;height:18pt;z-index:2540349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">
                <v:textbox inset="5.85pt,.7pt,5.85pt,.7pt">
                  <w:txbxContent>
                    <w:p w14:paraId="458A534C" w14:textId="77777777" w:rsidR="006A5267" w:rsidRPr="00263DA4" w:rsidRDefault="006A5267" w:rsidP="00F335E2">
                      <w:pPr>
                        <w:rPr>
                          <w:rFonts w:ascii="ＭＳ ゴシック" w:eastAsia="ＭＳ ゴシック" w:hAnsi="ＭＳ ゴシック"/>
                          <w:sz w:val="20"/>
                          <w:szCs w:val="20"/>
                        </w:rPr>
                      </w:pPr>
                      <w:r>
                        <w:rPr>
                          <w:rFonts w:ascii="ＭＳ ゴシック" w:eastAsia="ＭＳ ゴシック" w:hAnsi="ＭＳ ゴシック" w:hint="eastAsia"/>
                          <w:sz w:val="20"/>
                          <w:szCs w:val="20"/>
                        </w:rPr>
                        <w:t>地域連絡部</w:t>
                      </w:r>
                    </w:p>
                  </w:txbxContent>
                </v:textbox>
              </v:shape>
            </w:pict>
          </mc:Fallback>
        </mc:AlternateContent>
      </w:r>
    </w:p>
    <w:p w14:paraId="51FC9F2E" w14:textId="5304EB7F" w:rsidR="00F335E2" w:rsidRPr="001D6D10" w:rsidRDefault="00F335E2" w:rsidP="00F335E2">
      <w:pPr>
        <w:rPr>
          <w:rFonts w:ascii="ＭＳ ゴシック" w:eastAsia="ＭＳ ゴシック" w:hAnsi="ＭＳ ゴシック"/>
          <w:sz w:val="22"/>
          <w:szCs w:val="22"/>
        </w:rPr>
      </w:pPr>
      <w:r w:rsidRPr="001D6D10">
        <w:rPr>
          <w:rFonts w:ascii="ＭＳ ゴシック" w:eastAsia="ＭＳ ゴシック" w:hAnsi="ＭＳ ゴシック" w:hint="eastAsia"/>
          <w:noProof/>
          <w:sz w:val="22"/>
          <w:szCs w:val="22"/>
        </w:rPr>
        <mc:AlternateContent>
          <mc:Choice Requires="wps">
            <w:drawing>
              <wp:anchor distT="0" distB="0" distL="114300" distR="114300" simplePos="0" relativeHeight="254040064" behindDoc="0" locked="0" layoutInCell="1" allowOverlap="1" wp14:anchorId="4B55D5F5" wp14:editId="558B93DF">
                <wp:simplePos x="0" y="0"/>
                <wp:positionH relativeFrom="column">
                  <wp:posOffset>1714500</wp:posOffset>
                </wp:positionH>
                <wp:positionV relativeFrom="paragraph">
                  <wp:posOffset>165735</wp:posOffset>
                </wp:positionV>
                <wp:extent cx="0" cy="973455"/>
                <wp:effectExtent l="57150" t="13335" r="57150" b="22860"/>
                <wp:wrapNone/>
                <wp:docPr id="4385" name="Line 198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973455"/>
                        </a:xfrm>
                        <a:prstGeom prst="line">
                          <a:avLst/>
                        </a:prstGeom>
                        <a:noFill/>
                        <a:ln w="9525">
                          <a:solidFill>
                            <a:srgbClr val="000000"/>
                          </a:solidFill>
                          <a:round/>
                          <a:headEnd/>
                          <a:tailEnd type="triangle" w="med"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line w14:anchorId="7070AA74" id="Line 1989" o:spid="_x0000_s1026" style="position:absolute;left:0;text-align:left;z-index:2540400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35pt,13.05pt" to="135pt,89.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">
                <v:stroke endarrow="block"/>
              </v:line>
            </w:pict>
          </mc:Fallback>
        </mc:AlternateContent>
      </w:r>
    </w:p>
    <w:p w14:paraId="6373981A" w14:textId="6986366C" w:rsidR="00F335E2" w:rsidRPr="001D6D10" w:rsidRDefault="00F335E2" w:rsidP="00F335E2">
      <w:pPr>
        <w:rPr>
          <w:rFonts w:ascii="ＭＳ ゴシック" w:eastAsia="ＭＳ ゴシック" w:hAnsi="ＭＳ ゴシック"/>
          <w:sz w:val="22"/>
          <w:szCs w:val="22"/>
        </w:rPr>
      </w:pPr>
      <w:r w:rsidRPr="001D6D10">
        <w:rPr>
          <w:rFonts w:ascii="ＭＳ ゴシック" w:eastAsia="ＭＳ ゴシック" w:hAnsi="ＭＳ ゴシック"/>
          <w:noProof/>
          <w:sz w:val="22"/>
          <w:szCs w:val="22"/>
        </w:rPr>
        <mc:AlternateContent>
          <mc:Choice Requires="wps">
            <w:drawing>
              <wp:anchor distT="0" distB="0" distL="114300" distR="114300" simplePos="0" relativeHeight="254055424" behindDoc="0" locked="0" layoutInCell="1" allowOverlap="1" wp14:anchorId="4989A23E" wp14:editId="00A5D942">
                <wp:simplePos x="0" y="0"/>
                <wp:positionH relativeFrom="column">
                  <wp:posOffset>114300</wp:posOffset>
                </wp:positionH>
                <wp:positionV relativeFrom="paragraph">
                  <wp:posOffset>153035</wp:posOffset>
                </wp:positionV>
                <wp:extent cx="1600200" cy="655320"/>
                <wp:effectExtent l="38100" t="19050" r="38100" b="30480"/>
                <wp:wrapNone/>
                <wp:docPr id="4383" name="AutoShape 200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600200" cy="655320"/>
                        </a:xfrm>
                        <a:prstGeom prst="star16">
                          <a:avLst>
                            <a:gd name="adj" fmla="val 37500"/>
                          </a:avLst>
                        </a:prstGeom>
                        <a:solidFill>
                          <a:srgbClr val="FFFFFF"/>
                        </a:solidFill>
                        <a:ln w="9525" algn="ctr">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14:paraId="32C816D8" w14:textId="77777777" w:rsidR="006A5267" w:rsidRPr="00097649" w:rsidRDefault="006A5267" w:rsidP="00F335E2">
                            <w:pPr>
                              <w:spacing w:line="160" w:lineRule="exact"/>
                              <w:rPr>
                                <w:rFonts w:ascii="ＭＳ ゴシック" w:eastAsia="ＭＳ ゴシック" w:hAnsi="ＭＳ ゴシック"/>
                                <w:sz w:val="16"/>
                                <w:szCs w:val="16"/>
                              </w:rPr>
                            </w:pPr>
                            <w:r>
                              <w:rPr>
                                <w:rFonts w:ascii="ＭＳ ゴシック" w:eastAsia="ＭＳ ゴシック" w:hAnsi="ＭＳ ゴシック" w:hint="eastAsia"/>
                                <w:sz w:val="16"/>
                                <w:szCs w:val="16"/>
                              </w:rPr>
                              <w:t>風水害等による大規模災害発生</w:t>
                            </w:r>
                          </w:p>
                          <w:p w14:paraId="41213D34" w14:textId="77777777" w:rsidR="006A5267" w:rsidRPr="00B117FC" w:rsidRDefault="006A5267" w:rsidP="00F335E2"/>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shape w14:anchorId="4989A23E" id="AutoShape 2004" o:spid="_x0000_s1061" type="#_x0000_t59" style="position:absolute;left:0;text-align:left;margin-left:9pt;margin-top:12.05pt;width:126pt;height:51.6pt;z-index:2540554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">
                <v:textbox inset="5.85pt,.7pt,5.85pt,.7pt">
                  <w:txbxContent>
                    <w:p w14:paraId="32C816D8" w14:textId="77777777" w:rsidR="006A5267" w:rsidRPr="00097649" w:rsidRDefault="006A5267" w:rsidP="00F335E2">
                      <w:pPr>
                        <w:spacing w:line="160" w:lineRule="exact"/>
                        <w:rPr>
                          <w:rFonts w:ascii="ＭＳ ゴシック" w:eastAsia="ＭＳ ゴシック" w:hAnsi="ＭＳ ゴシック"/>
                          <w:sz w:val="16"/>
                          <w:szCs w:val="16"/>
                        </w:rPr>
                      </w:pPr>
                      <w:r>
                        <w:rPr>
                          <w:rFonts w:ascii="ＭＳ ゴシック" w:eastAsia="ＭＳ ゴシック" w:hAnsi="ＭＳ ゴシック" w:hint="eastAsia"/>
                          <w:sz w:val="16"/>
                          <w:szCs w:val="16"/>
                        </w:rPr>
                        <w:t>風水害等による大規模災害発生</w:t>
                      </w:r>
                    </w:p>
                    <w:p w14:paraId="41213D34" w14:textId="77777777" w:rsidR="006A5267" w:rsidRPr="00B117FC" w:rsidRDefault="006A5267" w:rsidP="00F335E2"/>
                  </w:txbxContent>
                </v:textbox>
              </v:shape>
            </w:pict>
          </mc:Fallback>
        </mc:AlternateContent>
      </w:r>
      <w:r w:rsidRPr="001D6D10">
        <w:rPr>
          <w:rFonts w:ascii="ＭＳ ゴシック" w:eastAsia="ＭＳ ゴシック" w:hAnsi="ＭＳ ゴシック"/>
          <w:noProof/>
          <w:sz w:val="22"/>
          <w:szCs w:val="22"/>
        </w:rPr>
        <mc:AlternateContent>
          <mc:Choice Requires="wps">
            <w:drawing>
              <wp:anchor distT="0" distB="0" distL="114300" distR="114300" simplePos="0" relativeHeight="254059520" behindDoc="0" locked="0" layoutInCell="1" allowOverlap="1" wp14:anchorId="711CDEFE" wp14:editId="40815A47">
                <wp:simplePos x="0" y="0"/>
                <wp:positionH relativeFrom="column">
                  <wp:posOffset>4689475</wp:posOffset>
                </wp:positionH>
                <wp:positionV relativeFrom="paragraph">
                  <wp:posOffset>211455</wp:posOffset>
                </wp:positionV>
                <wp:extent cx="342900" cy="685800"/>
                <wp:effectExtent l="22225" t="11430" r="25400" b="7620"/>
                <wp:wrapNone/>
                <wp:docPr id="4384" name="AutoShape 200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42900" cy="685800"/>
                        </a:xfrm>
                        <a:prstGeom prst="upDownArrow">
                          <a:avLst>
                            <a:gd name="adj1" fmla="val 50000"/>
                            <a:gd name="adj2" fmla="val 40000"/>
                          </a:avLst>
                        </a:prstGeom>
                        <a:solidFill>
                          <a:srgbClr val="FFFFFF"/>
                        </a:solidFill>
                        <a:ln w="9525" algn="ctr">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shapetype w14:anchorId="38453B13" id="_x0000_t70" coordsize="21600,21600" o:spt="70" adj="5400,4320" path="m10800,l21600@0@3@0@3@2,21600@2,10800,21600,0@2@1@2@1@0,0@0xe">
                <v:stroke joinstyle="miter"/>
                <v:formulas>
                  <v:f eqn="val #1"/>
                  <v:f eqn="val #0"/>
                  <v:f eqn="sum 21600 0 #1"/>
                  <v:f eqn="sum 21600 0 #0"/>
                  <v:f eqn="prod #1 #0 10800"/>
                  <v:f eqn="sum #1 0 @4"/>
                  <v:f eqn="sum 21600 0 @5"/>
                </v:formulas>
                <v:path o:connecttype="custom" o:connectlocs="10800,0;0,@0;@1,10800;0,@2;10800,21600;21600,@2;@3,10800;21600,@0" o:connectangles="270,180,180,180,90,0,0,0" textboxrect="@1,@5,@3,@6"/>
                <v:handles>
                  <v:h position="#0,#1" xrange="0,10800" yrange="0,10800"/>
                </v:handles>
              </v:shapetype>
              <v:shape id="AutoShape 2008" o:spid="_x0000_s1026" type="#_x0000_t70" style="position:absolute;left:0;text-align:left;margin-left:369.25pt;margin-top:16.65pt;width:27pt;height:54pt;z-index:2540595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">
                <v:textbox inset="5.85pt,.7pt,5.85pt,.7pt"/>
              </v:shape>
            </w:pict>
          </mc:Fallback>
        </mc:AlternateContent>
      </w:r>
    </w:p>
    <w:p w14:paraId="649F08F7" w14:textId="6A7921CE" w:rsidR="00F335E2" w:rsidRPr="001D6D10" w:rsidRDefault="00F335E2" w:rsidP="00F335E2">
      <w:pPr>
        <w:rPr>
          <w:rFonts w:ascii="ＭＳ ゴシック" w:eastAsia="ＭＳ ゴシック" w:hAnsi="ＭＳ ゴシック"/>
          <w:sz w:val="22"/>
          <w:szCs w:val="22"/>
        </w:rPr>
      </w:pPr>
    </w:p>
    <w:p w14:paraId="4427DEAC" w14:textId="503E7F86" w:rsidR="00F335E2" w:rsidRPr="001D6D10" w:rsidRDefault="00F335E2" w:rsidP="00F335E2">
      <w:pPr>
        <w:rPr>
          <w:rFonts w:ascii="ＭＳ ゴシック" w:eastAsia="ＭＳ ゴシック" w:hAnsi="ＭＳ ゴシック"/>
          <w:sz w:val="22"/>
          <w:szCs w:val="22"/>
        </w:rPr>
      </w:pPr>
      <w:r w:rsidRPr="001D6D10">
        <w:rPr>
          <w:rFonts w:ascii="ＭＳ ゴシック" w:eastAsia="ＭＳ ゴシック" w:hAnsi="ＭＳ ゴシック"/>
          <w:noProof/>
          <w:sz w:val="22"/>
          <w:szCs w:val="22"/>
        </w:rPr>
        <mc:AlternateContent>
          <mc:Choice Requires="wps">
            <w:drawing>
              <wp:anchor distT="0" distB="0" distL="114300" distR="114300" simplePos="0" relativeHeight="254060544" behindDoc="0" locked="0" layoutInCell="1" allowOverlap="1" wp14:anchorId="4FF5D696" wp14:editId="3F9908FB">
                <wp:simplePos x="0" y="0"/>
                <wp:positionH relativeFrom="column">
                  <wp:posOffset>5029200</wp:posOffset>
                </wp:positionH>
                <wp:positionV relativeFrom="paragraph">
                  <wp:posOffset>635</wp:posOffset>
                </wp:positionV>
                <wp:extent cx="457200" cy="228600"/>
                <wp:effectExtent l="0" t="635" r="0" b="0"/>
                <wp:wrapNone/>
                <wp:docPr id="4382" name="Text Box 200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57200" cy="228600"/>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lgn="ctr">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2F3F91D8" w14:textId="77777777" w:rsidR="006A5267" w:rsidRPr="000E36F0" w:rsidRDefault="006A5267" w:rsidP="00F335E2">
                            <w:pPr>
                              <w:rPr>
                                <w:rFonts w:ascii="ＭＳ 明朝" w:hAnsi="ＭＳ 明朝"/>
                                <w:sz w:val="18"/>
                                <w:szCs w:val="18"/>
                              </w:rPr>
                            </w:pPr>
                            <w:r w:rsidRPr="000E36F0">
                              <w:rPr>
                                <w:rFonts w:ascii="ＭＳ 明朝" w:hAnsi="ＭＳ 明朝" w:hint="eastAsia"/>
                                <w:sz w:val="18"/>
                                <w:szCs w:val="18"/>
                              </w:rPr>
                              <w:t>連携</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shape w14:anchorId="4FF5D696" id="Text Box 2009" o:spid="_x0000_s1062" type="#_x0000_t202" style="position:absolute;left:0;text-align:left;margin-left:396pt;margin-top:.05pt;width:36pt;height:18pt;z-index:2540605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" filled="f" stroked="f">
                <v:textbox inset="5.85pt,.7pt,5.85pt,.7pt">
                  <w:txbxContent>
                    <w:p w14:paraId="2F3F91D8" w14:textId="77777777" w:rsidR="006A5267" w:rsidRPr="000E36F0" w:rsidRDefault="006A5267" w:rsidP="00F335E2">
                      <w:pPr>
                        <w:rPr>
                          <w:rFonts w:ascii="ＭＳ 明朝" w:hAnsi="ＭＳ 明朝"/>
                          <w:sz w:val="18"/>
                          <w:szCs w:val="18"/>
                        </w:rPr>
                      </w:pPr>
                      <w:r w:rsidRPr="000E36F0">
                        <w:rPr>
                          <w:rFonts w:ascii="ＭＳ 明朝" w:hAnsi="ＭＳ 明朝" w:hint="eastAsia"/>
                          <w:sz w:val="18"/>
                          <w:szCs w:val="18"/>
                        </w:rPr>
                        <w:t>連携</w:t>
                      </w:r>
                    </w:p>
                  </w:txbxContent>
                </v:textbox>
              </v:shape>
            </w:pict>
          </mc:Fallback>
        </mc:AlternateContent>
      </w:r>
    </w:p>
    <w:p w14:paraId="48963863" w14:textId="6CCBCAAF" w:rsidR="00F335E2" w:rsidRPr="001D6D10" w:rsidRDefault="00F335E2" w:rsidP="00F335E2">
      <w:pPr>
        <w:rPr>
          <w:rFonts w:ascii="ＭＳ ゴシック" w:eastAsia="ＭＳ ゴシック" w:hAnsi="ＭＳ ゴシック"/>
          <w:sz w:val="22"/>
          <w:szCs w:val="22"/>
        </w:rPr>
      </w:pPr>
    </w:p>
    <w:p w14:paraId="45FE07E1" w14:textId="004B69BF" w:rsidR="00F335E2" w:rsidRPr="001D6D10" w:rsidRDefault="00F335E2" w:rsidP="00F335E2">
      <w:pPr>
        <w:rPr>
          <w:rFonts w:ascii="ＭＳ ゴシック" w:eastAsia="ＭＳ ゴシック" w:hAnsi="ＭＳ ゴシック"/>
          <w:sz w:val="22"/>
          <w:szCs w:val="22"/>
        </w:rPr>
      </w:pPr>
      <w:r w:rsidRPr="001D6D10">
        <w:rPr>
          <w:rFonts w:ascii="ＭＳ ゴシック" w:eastAsia="ＭＳ ゴシック" w:hAnsi="ＭＳ ゴシック" w:hint="eastAsia"/>
          <w:noProof/>
          <w:sz w:val="22"/>
          <w:szCs w:val="22"/>
        </w:rPr>
        <mc:AlternateContent>
          <mc:Choice Requires="wps">
            <w:drawing>
              <wp:anchor distT="0" distB="0" distL="114300" distR="114300" simplePos="0" relativeHeight="254045184" behindDoc="0" locked="0" layoutInCell="1" allowOverlap="1" wp14:anchorId="296C75E5" wp14:editId="6824729E">
                <wp:simplePos x="0" y="0"/>
                <wp:positionH relativeFrom="column">
                  <wp:posOffset>1583570</wp:posOffset>
                </wp:positionH>
                <wp:positionV relativeFrom="paragraph">
                  <wp:posOffset>288290</wp:posOffset>
                </wp:positionV>
                <wp:extent cx="2338070" cy="372745"/>
                <wp:effectExtent l="0" t="0" r="5080" b="8255"/>
                <wp:wrapNone/>
                <wp:docPr id="4379" name="Text Box 199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38070" cy="372745"/>
                        </a:xfrm>
                        <a:prstGeom prst="rect">
                          <a:avLst/>
                        </a:prstGeom>
                        <a:solidFill>
                          <a:srgbClr val="FFFFFF"/>
                        </a:solidFill>
                        <a:ln>
                          <a:noFill/>
                        </a:ln>
                        <a:effectLst/>
                        <a:extLst>
                          <a:ext uri="{91240B29-F687-4F45-9708-019B960494DF}">
                            <a14:hiddenLine xmlns:a14="http://schemas.microsoft.com/office/drawing/2010/main" w="9525" algn="ctr">
                              <a:solidFill>
                                <a:srgbClr val="000000"/>
                              </a:solidFill>
                              <a:miter lim="800000"/>
                              <a:headEnd/>
                              <a:tailEnd/>
                            </a14:hiddenLine>
                          </a:ex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14:paraId="6478D424" w14:textId="77777777" w:rsidR="006A5267" w:rsidRPr="000E36F0" w:rsidRDefault="006A5267" w:rsidP="00F335E2">
                            <w:pPr>
                              <w:spacing w:line="280" w:lineRule="exact"/>
                              <w:rPr>
                                <w:rFonts w:ascii="ＭＳ 明朝" w:hAnsi="ＭＳ 明朝"/>
                                <w:sz w:val="20"/>
                                <w:szCs w:val="20"/>
                              </w:rPr>
                            </w:pPr>
                            <w:r w:rsidRPr="000E36F0">
                              <w:rPr>
                                <w:rFonts w:ascii="ＭＳ 明朝" w:hAnsi="ＭＳ 明朝" w:hint="eastAsia"/>
                                <w:sz w:val="20"/>
                                <w:szCs w:val="20"/>
                              </w:rPr>
                              <w:t>本部長：災対本部長が指名する者</w:t>
                            </w:r>
                          </w:p>
                          <w:p w14:paraId="0A6F4B8A" w14:textId="77777777" w:rsidR="006A5267" w:rsidRPr="006D4A66" w:rsidRDefault="006A5267" w:rsidP="00F335E2">
                            <w:pPr>
                              <w:spacing w:line="280" w:lineRule="exact"/>
                              <w:rPr>
                                <w:rFonts w:ascii="ＭＳ 明朝" w:hAnsi="ＭＳ 明朝"/>
                                <w:sz w:val="20"/>
                                <w:szCs w:val="20"/>
                              </w:rPr>
                            </w:pPr>
                            <w:r w:rsidRPr="000E36F0">
                              <w:rPr>
                                <w:rFonts w:ascii="ＭＳ 明朝" w:hAnsi="ＭＳ 明朝" w:hint="eastAsia"/>
                                <w:sz w:val="20"/>
                                <w:szCs w:val="20"/>
                              </w:rPr>
                              <w:t>副本部長：</w:t>
                            </w:r>
                            <w:r w:rsidRPr="006D4A66">
                              <w:rPr>
                                <w:rFonts w:ascii="ＭＳ 明朝" w:hAnsi="ＭＳ 明朝" w:hint="eastAsia"/>
                                <w:sz w:val="20"/>
                                <w:szCs w:val="20"/>
                              </w:rPr>
                              <w:t>災対本部長が指名する者</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shape w14:anchorId="296C75E5" id="Text Box 1994" o:spid="_x0000_s1063" type="#_x0000_t202" style="position:absolute;left:0;text-align:left;margin-left:124.7pt;margin-top:22.7pt;width:184.1pt;height:29.35pt;z-index:2540451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" stroked="f">
                <v:textbox inset="5.85pt,.7pt,5.85pt,.7pt">
                  <w:txbxContent>
                    <w:p w14:paraId="6478D424" w14:textId="77777777" w:rsidR="006A5267" w:rsidRPr="000E36F0" w:rsidRDefault="006A5267" w:rsidP="00F335E2">
                      <w:pPr>
                        <w:spacing w:line="280" w:lineRule="exact"/>
                        <w:rPr>
                          <w:rFonts w:ascii="ＭＳ 明朝" w:hAnsi="ＭＳ 明朝"/>
                          <w:sz w:val="20"/>
                          <w:szCs w:val="20"/>
                        </w:rPr>
                      </w:pPr>
                      <w:r w:rsidRPr="000E36F0">
                        <w:rPr>
                          <w:rFonts w:ascii="ＭＳ 明朝" w:hAnsi="ＭＳ 明朝" w:hint="eastAsia"/>
                          <w:sz w:val="20"/>
                          <w:szCs w:val="20"/>
                        </w:rPr>
                        <w:t>本部長：災対本部長が指名する者</w:t>
                      </w:r>
                    </w:p>
                    <w:p w14:paraId="0A6F4B8A" w14:textId="77777777" w:rsidR="006A5267" w:rsidRPr="006D4A66" w:rsidRDefault="006A5267" w:rsidP="00F335E2">
                      <w:pPr>
                        <w:spacing w:line="280" w:lineRule="exact"/>
                        <w:rPr>
                          <w:rFonts w:ascii="ＭＳ 明朝" w:hAnsi="ＭＳ 明朝"/>
                          <w:sz w:val="20"/>
                          <w:szCs w:val="20"/>
                        </w:rPr>
                      </w:pPr>
                      <w:r w:rsidRPr="000E36F0">
                        <w:rPr>
                          <w:rFonts w:ascii="ＭＳ 明朝" w:hAnsi="ＭＳ 明朝" w:hint="eastAsia"/>
                          <w:sz w:val="20"/>
                          <w:szCs w:val="20"/>
                        </w:rPr>
                        <w:t>副本部長：</w:t>
                      </w:r>
                      <w:r w:rsidRPr="006D4A66">
                        <w:rPr>
                          <w:rFonts w:ascii="ＭＳ 明朝" w:hAnsi="ＭＳ 明朝" w:hint="eastAsia"/>
                          <w:sz w:val="20"/>
                          <w:szCs w:val="20"/>
                        </w:rPr>
                        <w:t>災対本部長が指名する者</w:t>
                      </w:r>
                    </w:p>
                  </w:txbxContent>
                </v:textbox>
              </v:shape>
            </w:pict>
          </mc:Fallback>
        </mc:AlternateContent>
      </w:r>
      <w:r w:rsidRPr="001D6D10">
        <w:rPr>
          <w:rFonts w:ascii="ＭＳ ゴシック" w:eastAsia="ＭＳ ゴシック" w:hAnsi="ＭＳ ゴシック" w:hint="eastAsia"/>
          <w:noProof/>
          <w:sz w:val="22"/>
          <w:szCs w:val="22"/>
        </w:rPr>
        <mc:AlternateContent>
          <mc:Choice Requires="wps">
            <w:drawing>
              <wp:anchor distT="0" distB="0" distL="114300" distR="114300" simplePos="0" relativeHeight="254064640" behindDoc="0" locked="0" layoutInCell="1" allowOverlap="1" wp14:anchorId="5A80F59A" wp14:editId="6704FB87">
                <wp:simplePos x="0" y="0"/>
                <wp:positionH relativeFrom="column">
                  <wp:posOffset>1504950</wp:posOffset>
                </wp:positionH>
                <wp:positionV relativeFrom="paragraph">
                  <wp:posOffset>18415</wp:posOffset>
                </wp:positionV>
                <wp:extent cx="1485900" cy="228600"/>
                <wp:effectExtent l="9525" t="8890" r="9525" b="10160"/>
                <wp:wrapNone/>
                <wp:docPr id="4381" name="Text Box 201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85900" cy="228600"/>
                        </a:xfrm>
                        <a:prstGeom prst="rect">
                          <a:avLst/>
                        </a:prstGeom>
                        <a:solidFill>
                          <a:srgbClr val="FFFFFF"/>
                        </a:solidFill>
                        <a:ln w="9525" algn="ctr">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14:paraId="398E27D0" w14:textId="77777777" w:rsidR="006A5267" w:rsidRPr="00263DA4" w:rsidRDefault="006A5267" w:rsidP="00F335E2">
                            <w:pPr>
                              <w:jc w:val="center"/>
                              <w:rPr>
                                <w:rFonts w:ascii="ＭＳ ゴシック" w:eastAsia="ＭＳ ゴシック" w:hAnsi="ＭＳ ゴシック"/>
                                <w:sz w:val="20"/>
                                <w:szCs w:val="20"/>
                              </w:rPr>
                            </w:pPr>
                            <w:r>
                              <w:rPr>
                                <w:rFonts w:ascii="ＭＳ ゴシック" w:eastAsia="ＭＳ ゴシック" w:hAnsi="ＭＳ ゴシック" w:hint="eastAsia"/>
                                <w:sz w:val="20"/>
                                <w:szCs w:val="20"/>
                              </w:rPr>
                              <w:t>現地災害対策本部</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shape w14:anchorId="5A80F59A" id="Text Box 2013" o:spid="_x0000_s1064" type="#_x0000_t202" style="position:absolute;left:0;text-align:left;margin-left:118.5pt;margin-top:1.45pt;width:117pt;height:18pt;z-index:2540646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">
                <v:textbox inset="5.85pt,.7pt,5.85pt,.7pt">
                  <w:txbxContent>
                    <w:p w14:paraId="398E27D0" w14:textId="77777777" w:rsidR="006A5267" w:rsidRPr="00263DA4" w:rsidRDefault="006A5267" w:rsidP="00F335E2">
                      <w:pPr>
                        <w:jc w:val="center"/>
                        <w:rPr>
                          <w:rFonts w:ascii="ＭＳ ゴシック" w:eastAsia="ＭＳ ゴシック" w:hAnsi="ＭＳ ゴシック"/>
                          <w:sz w:val="20"/>
                          <w:szCs w:val="20"/>
                        </w:rPr>
                      </w:pPr>
                      <w:r>
                        <w:rPr>
                          <w:rFonts w:ascii="ＭＳ ゴシック" w:eastAsia="ＭＳ ゴシック" w:hAnsi="ＭＳ ゴシック" w:hint="eastAsia"/>
                          <w:sz w:val="20"/>
                          <w:szCs w:val="20"/>
                        </w:rPr>
                        <w:t>現地災害対策本部</w:t>
                      </w:r>
                    </w:p>
                  </w:txbxContent>
                </v:textbox>
              </v:shape>
            </w:pict>
          </mc:Fallback>
        </mc:AlternateContent>
      </w:r>
      <w:r w:rsidRPr="001D6D10">
        <w:rPr>
          <w:rFonts w:ascii="ＭＳ ゴシック" w:eastAsia="ＭＳ ゴシック" w:hAnsi="ＭＳ ゴシック"/>
          <w:noProof/>
          <w:sz w:val="22"/>
          <w:szCs w:val="22"/>
        </w:rPr>
        <mc:AlternateContent>
          <mc:Choice Requires="wps">
            <w:drawing>
              <wp:anchor distT="0" distB="0" distL="114300" distR="114300" simplePos="0" relativeHeight="254058496" behindDoc="0" locked="0" layoutInCell="1" allowOverlap="1" wp14:anchorId="5BB5649F" wp14:editId="4532477B">
                <wp:simplePos x="0" y="0"/>
                <wp:positionH relativeFrom="column">
                  <wp:posOffset>3905250</wp:posOffset>
                </wp:positionH>
                <wp:positionV relativeFrom="paragraph">
                  <wp:posOffset>18415</wp:posOffset>
                </wp:positionV>
                <wp:extent cx="2057400" cy="228600"/>
                <wp:effectExtent l="9525" t="8890" r="9525" b="10160"/>
                <wp:wrapNone/>
                <wp:docPr id="4380" name="Text Box 200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57400" cy="228600"/>
                        </a:xfrm>
                        <a:prstGeom prst="rect">
                          <a:avLst/>
                        </a:prstGeom>
                        <a:solidFill>
                          <a:srgbClr val="FFFFFF"/>
                        </a:solidFill>
                        <a:ln w="9525" algn="ctr">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14:paraId="3E373CFD" w14:textId="77777777" w:rsidR="006A5267" w:rsidRPr="002F47E7" w:rsidRDefault="006A5267" w:rsidP="00F335E2">
                            <w:pPr>
                              <w:jc w:val="center"/>
                              <w:rPr>
                                <w:rFonts w:ascii="ＭＳ ゴシック" w:eastAsia="ＭＳ ゴシック" w:hAnsi="ＭＳ ゴシック"/>
                                <w:sz w:val="20"/>
                                <w:szCs w:val="20"/>
                              </w:rPr>
                            </w:pPr>
                            <w:r w:rsidRPr="002F47E7">
                              <w:rPr>
                                <w:rFonts w:ascii="ＭＳ ゴシック" w:eastAsia="ＭＳ ゴシック" w:hAnsi="ＭＳ ゴシック" w:hint="eastAsia"/>
                                <w:sz w:val="20"/>
                                <w:szCs w:val="20"/>
                              </w:rPr>
                              <w:t>国現地対策本部</w:t>
                            </w:r>
                          </w:p>
                          <w:p w14:paraId="682B8ACD" w14:textId="77777777" w:rsidR="006A5267" w:rsidRDefault="006A5267" w:rsidP="00F335E2"/>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shape w14:anchorId="5BB5649F" id="Text Box 2007" o:spid="_x0000_s1065" type="#_x0000_t202" style="position:absolute;left:0;text-align:left;margin-left:307.5pt;margin-top:1.45pt;width:162pt;height:18pt;z-index:2540584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">
                <v:textbox inset="5.85pt,.7pt,5.85pt,.7pt">
                  <w:txbxContent>
                    <w:p w14:paraId="3E373CFD" w14:textId="77777777" w:rsidR="006A5267" w:rsidRPr="002F47E7" w:rsidRDefault="006A5267" w:rsidP="00F335E2">
                      <w:pPr>
                        <w:jc w:val="center"/>
                        <w:rPr>
                          <w:rFonts w:ascii="ＭＳ ゴシック" w:eastAsia="ＭＳ ゴシック" w:hAnsi="ＭＳ ゴシック"/>
                          <w:sz w:val="20"/>
                          <w:szCs w:val="20"/>
                        </w:rPr>
                      </w:pPr>
                      <w:r w:rsidRPr="002F47E7">
                        <w:rPr>
                          <w:rFonts w:ascii="ＭＳ ゴシック" w:eastAsia="ＭＳ ゴシック" w:hAnsi="ＭＳ ゴシック" w:hint="eastAsia"/>
                          <w:sz w:val="20"/>
                          <w:szCs w:val="20"/>
                        </w:rPr>
                        <w:t>国現地対策本部</w:t>
                      </w:r>
                    </w:p>
                    <w:p w14:paraId="682B8ACD" w14:textId="77777777" w:rsidR="006A5267" w:rsidRDefault="006A5267" w:rsidP="00F335E2"/>
                  </w:txbxContent>
                </v:textbox>
              </v:shape>
            </w:pict>
          </mc:Fallback>
        </mc:AlternateContent>
      </w:r>
    </w:p>
    <w:p w14:paraId="3D811B61" w14:textId="77777777" w:rsidR="00F335E2" w:rsidRPr="001D6D10" w:rsidRDefault="00F335E2" w:rsidP="00F335E2">
      <w:pPr>
        <w:rPr>
          <w:rFonts w:ascii="ＭＳ ゴシック" w:eastAsia="ＭＳ ゴシック" w:hAnsi="ＭＳ ゴシック"/>
          <w:sz w:val="22"/>
          <w:szCs w:val="22"/>
        </w:rPr>
        <w:sectPr w:rsidR="00F335E2" w:rsidRPr="001D6D10" w:rsidSect="00462B47">
          <w:headerReference w:type="default" r:id="rId16"/>
          <w:pgSz w:w="11906" w:h="16838" w:code="9"/>
          <w:pgMar w:top="1701" w:right="1531" w:bottom="1701" w:left="1531" w:header="850" w:footer="850" w:gutter="0"/>
          <w:pgNumType w:fmt="numberInDash"/>
          <w:cols w:space="425"/>
          <w:docGrid w:type="linesAndChars" w:linePitch="353" w:charSpace="225"/>
        </w:sectPr>
      </w:pPr>
    </w:p>
    <w:p w14:paraId="1D042D82" w14:textId="77777777" w:rsidR="005D372A" w:rsidRPr="001D6D10" w:rsidRDefault="005D372A">
      <w:pPr>
        <w:pStyle w:val="2"/>
        <w:rPr>
          <w:b/>
          <w:sz w:val="22"/>
          <w:szCs w:val="22"/>
          <w:u w:val="double"/>
        </w:rPr>
      </w:pPr>
      <w:bookmarkStart w:id="31" w:name="_Toc122436874"/>
      <w:bookmarkStart w:id="32" w:name="_Toc222486564"/>
      <w:bookmarkStart w:id="33" w:name="_Toc242870233"/>
      <w:r w:rsidRPr="001D6D10">
        <w:rPr>
          <w:rFonts w:hint="eastAsia"/>
        </w:rPr>
        <w:lastRenderedPageBreak/>
        <w:t>第１節　組織動員</w:t>
      </w:r>
      <w:bookmarkEnd w:id="31"/>
      <w:bookmarkEnd w:id="32"/>
      <w:bookmarkEnd w:id="33"/>
    </w:p>
    <w:p w14:paraId="4452A2D4" w14:textId="77777777" w:rsidR="005D372A" w:rsidRPr="001D6D10" w:rsidRDefault="005D372A" w:rsidP="00E0548A">
      <w:pPr>
        <w:pStyle w:val="3"/>
        <w:ind w:firstLine="442"/>
      </w:pPr>
      <w:bookmarkStart w:id="34" w:name="_Toc122436875"/>
      <w:bookmarkStart w:id="35" w:name="_Toc222486565"/>
      <w:bookmarkStart w:id="36" w:name="_Toc242870234"/>
      <w:r w:rsidRPr="001D6D10">
        <w:rPr>
          <w:rFonts w:hint="eastAsia"/>
        </w:rPr>
        <w:t>第１　組織体制</w:t>
      </w:r>
      <w:bookmarkEnd w:id="34"/>
      <w:bookmarkEnd w:id="35"/>
      <w:bookmarkEnd w:id="36"/>
    </w:p>
    <w:p w14:paraId="313D673F" w14:textId="75434EF4" w:rsidR="005D372A" w:rsidRPr="001D6D10" w:rsidRDefault="005D372A" w:rsidP="00025B8E">
      <w:pPr>
        <w:pStyle w:val="4"/>
        <w:ind w:leftChars="189" w:left="399" w:firstLineChars="100" w:firstLine="221"/>
        <w:rPr>
          <w:rFonts w:ascii="ＭＳ ゴシック" w:eastAsia="ＭＳ ゴシック" w:hAnsi="ＭＳ ゴシック"/>
          <w:b w:val="0"/>
          <w:sz w:val="22"/>
          <w:szCs w:val="22"/>
          <w:u w:val="single"/>
        </w:rPr>
      </w:pPr>
      <w:bookmarkStart w:id="37" w:name="_Toc122436876"/>
      <w:bookmarkStart w:id="38" w:name="_Toc222486566"/>
      <w:bookmarkStart w:id="39" w:name="_Toc242870235"/>
      <w:r w:rsidRPr="001D6D10">
        <w:rPr>
          <w:rFonts w:ascii="ＭＳ ゴシック" w:eastAsia="ＭＳ ゴシック" w:hAnsi="ＭＳ ゴシック" w:hint="eastAsia"/>
          <w:b w:val="0"/>
          <w:sz w:val="22"/>
          <w:szCs w:val="22"/>
          <w:u w:val="single"/>
        </w:rPr>
        <w:t>１　防災・危機管理警戒体制の活動</w:t>
      </w:r>
      <w:bookmarkEnd w:id="37"/>
      <w:bookmarkEnd w:id="38"/>
      <w:bookmarkEnd w:id="39"/>
    </w:p>
    <w:p w14:paraId="1BAEB9A0" w14:textId="77777777" w:rsidR="005D372A" w:rsidRPr="001D6D10" w:rsidRDefault="005D372A" w:rsidP="005D372A">
      <w:pPr>
        <w:ind w:left="221" w:hangingChars="100" w:hanging="221"/>
        <w:rPr>
          <w:rFonts w:ascii="ＭＳ 明朝" w:hAnsi="ＭＳ 明朝"/>
          <w:sz w:val="22"/>
          <w:szCs w:val="22"/>
        </w:rPr>
      </w:pPr>
      <w:r w:rsidRPr="001D6D10">
        <w:rPr>
          <w:rFonts w:ascii="ＭＳ ゴシック" w:eastAsia="ＭＳ ゴシック" w:hAnsi="ＭＳ ゴシック" w:hint="eastAsia"/>
          <w:sz w:val="22"/>
          <w:szCs w:val="22"/>
        </w:rPr>
        <w:t xml:space="preserve">　　　　</w:t>
      </w:r>
      <w:r w:rsidRPr="001D6D10">
        <w:rPr>
          <w:rFonts w:ascii="ＭＳ 明朝" w:hAnsi="ＭＳ 明朝" w:hint="eastAsia"/>
          <w:sz w:val="22"/>
          <w:szCs w:val="22"/>
        </w:rPr>
        <w:t>(1)　防災・危機管理警戒班等の活動</w:t>
      </w:r>
    </w:p>
    <w:p w14:paraId="1913EB85" w14:textId="77777777" w:rsidR="005D372A" w:rsidRPr="001D6D10" w:rsidRDefault="005D372A" w:rsidP="005D372A">
      <w:pPr>
        <w:ind w:firstLineChars="650" w:firstLine="1437"/>
        <w:rPr>
          <w:rFonts w:ascii="ＭＳ ゴシック" w:eastAsia="ＭＳ ゴシック" w:hAnsi="ＭＳ ゴシック"/>
          <w:sz w:val="22"/>
          <w:szCs w:val="22"/>
        </w:rPr>
      </w:pPr>
      <w:r w:rsidRPr="001D6D10">
        <w:rPr>
          <w:rFonts w:ascii="ＭＳ ゴシック" w:eastAsia="ＭＳ ゴシック" w:hAnsi="ＭＳ ゴシック" w:hint="eastAsia"/>
          <w:sz w:val="22"/>
          <w:szCs w:val="22"/>
          <w:bdr w:val="single" w:sz="4" w:space="0" w:color="auto"/>
        </w:rPr>
        <w:t>主たる担当：危機管理室</w:t>
      </w:r>
    </w:p>
    <w:p w14:paraId="2C3F103B" w14:textId="77777777" w:rsidR="005D372A" w:rsidRPr="001D6D10" w:rsidRDefault="005D372A" w:rsidP="005D372A">
      <w:pPr>
        <w:ind w:left="1216" w:hangingChars="550" w:hanging="1216"/>
        <w:rPr>
          <w:rFonts w:ascii="ＭＳ 明朝" w:hAnsi="ＭＳ 明朝"/>
          <w:sz w:val="22"/>
          <w:szCs w:val="22"/>
        </w:rPr>
      </w:pPr>
      <w:r w:rsidRPr="001D6D10">
        <w:rPr>
          <w:rFonts w:ascii="ＭＳ 明朝" w:hAnsi="ＭＳ 明朝" w:hint="eastAsia"/>
          <w:sz w:val="22"/>
          <w:szCs w:val="22"/>
        </w:rPr>
        <w:t xml:space="preserve">　　　　　　 </w:t>
      </w:r>
      <w:r w:rsidR="00225502" w:rsidRPr="001D6D10">
        <w:rPr>
          <w:rFonts w:ascii="ＭＳ 明朝" w:hAnsi="ＭＳ 明朝" w:hint="eastAsia"/>
          <w:sz w:val="22"/>
          <w:szCs w:val="22"/>
        </w:rPr>
        <w:t>危機管理室長は、本要領</w:t>
      </w:r>
      <w:r w:rsidRPr="001D6D10">
        <w:rPr>
          <w:rFonts w:ascii="ＭＳ 明朝" w:hAnsi="ＭＳ 明朝" w:hint="eastAsia"/>
          <w:sz w:val="22"/>
          <w:szCs w:val="22"/>
        </w:rPr>
        <w:t>「第２章第１節第２動員配備体制」に定める配備基準には至らない段階で、次の開始又は解除基準に該当する場合には、防災・危機管理警戒班（以下「警戒班」という）に対し、活動の開始又は解除を指示する。</w:t>
      </w:r>
    </w:p>
    <w:p w14:paraId="0A5E62C8" w14:textId="4BD64285" w:rsidR="005D372A" w:rsidRPr="001D6D10" w:rsidRDefault="005D372A" w:rsidP="005D372A">
      <w:pPr>
        <w:ind w:left="1216" w:hangingChars="550" w:hanging="1216"/>
        <w:rPr>
          <w:rFonts w:ascii="ＭＳ 明朝" w:hAnsi="ＭＳ 明朝"/>
          <w:sz w:val="22"/>
          <w:szCs w:val="22"/>
        </w:rPr>
      </w:pPr>
      <w:r w:rsidRPr="001D6D10">
        <w:rPr>
          <w:rFonts w:ascii="ＭＳ 明朝" w:hAnsi="ＭＳ 明朝" w:hint="eastAsia"/>
          <w:sz w:val="22"/>
          <w:szCs w:val="22"/>
        </w:rPr>
        <w:t xml:space="preserve">　　　　　　 </w:t>
      </w:r>
      <w:r w:rsidR="00B84DF3" w:rsidRPr="00C3621B">
        <w:rPr>
          <w:rFonts w:ascii="ＭＳ 明朝" w:hAnsi="ＭＳ 明朝" w:hint="eastAsia"/>
          <w:sz w:val="22"/>
          <w:szCs w:val="22"/>
        </w:rPr>
        <w:t>レベル４</w:t>
      </w:r>
      <w:r w:rsidRPr="00C3621B">
        <w:rPr>
          <w:rFonts w:ascii="ＭＳ 明朝" w:hAnsi="ＭＳ 明朝" w:hint="eastAsia"/>
          <w:sz w:val="22"/>
          <w:szCs w:val="22"/>
        </w:rPr>
        <w:t>氾濫危険</w:t>
      </w:r>
      <w:r w:rsidR="00B84DF3" w:rsidRPr="00C3621B">
        <w:rPr>
          <w:rFonts w:ascii="ＭＳ 明朝" w:hAnsi="ＭＳ 明朝" w:hint="eastAsia"/>
          <w:sz w:val="22"/>
          <w:szCs w:val="22"/>
        </w:rPr>
        <w:t>警報</w:t>
      </w:r>
      <w:r w:rsidRPr="00C3621B">
        <w:rPr>
          <w:rFonts w:ascii="ＭＳ 明朝" w:hAnsi="ＭＳ 明朝" w:hint="eastAsia"/>
          <w:sz w:val="22"/>
          <w:szCs w:val="22"/>
        </w:rPr>
        <w:t>や</w:t>
      </w:r>
      <w:r w:rsidR="00A47BFD" w:rsidRPr="00C3621B">
        <w:rPr>
          <w:rFonts w:ascii="ＭＳ 明朝" w:hAnsi="ＭＳ 明朝" w:hint="eastAsia"/>
          <w:sz w:val="22"/>
          <w:szCs w:val="22"/>
        </w:rPr>
        <w:t>レベル４大雨危険警報、</w:t>
      </w:r>
      <w:r w:rsidR="00B84DF3" w:rsidRPr="00C3621B">
        <w:rPr>
          <w:rFonts w:ascii="ＭＳ 明朝" w:hAnsi="ＭＳ 明朝" w:hint="eastAsia"/>
          <w:sz w:val="22"/>
          <w:szCs w:val="22"/>
        </w:rPr>
        <w:t>レベル４</w:t>
      </w:r>
      <w:r w:rsidRPr="00C3621B">
        <w:rPr>
          <w:rFonts w:ascii="ＭＳ 明朝" w:hAnsi="ＭＳ 明朝" w:hint="eastAsia"/>
          <w:sz w:val="22"/>
          <w:szCs w:val="22"/>
        </w:rPr>
        <w:t>土砂災害</w:t>
      </w:r>
      <w:r w:rsidR="00B84DF3" w:rsidRPr="00C3621B">
        <w:rPr>
          <w:rFonts w:ascii="ＭＳ 明朝" w:hAnsi="ＭＳ 明朝" w:hint="eastAsia"/>
          <w:sz w:val="22"/>
          <w:szCs w:val="22"/>
        </w:rPr>
        <w:t>危険警報</w:t>
      </w:r>
      <w:r w:rsidR="00A47BFD" w:rsidRPr="00C3621B">
        <w:rPr>
          <w:rFonts w:ascii="ＭＳ 明朝" w:hAnsi="ＭＳ 明朝" w:hint="eastAsia"/>
          <w:sz w:val="22"/>
          <w:szCs w:val="22"/>
        </w:rPr>
        <w:t>、レベル４高潮危険警報</w:t>
      </w:r>
      <w:r w:rsidRPr="00C3621B">
        <w:rPr>
          <w:rFonts w:ascii="ＭＳ 明朝" w:hAnsi="ＭＳ 明朝" w:hint="eastAsia"/>
          <w:sz w:val="22"/>
          <w:szCs w:val="22"/>
        </w:rPr>
        <w:t>が発表され、または市町村から避難</w:t>
      </w:r>
      <w:r w:rsidR="00D02559" w:rsidRPr="00C3621B">
        <w:rPr>
          <w:rFonts w:ascii="ＭＳ 明朝" w:hAnsi="ＭＳ 明朝" w:hint="eastAsia"/>
          <w:sz w:val="22"/>
          <w:szCs w:val="22"/>
        </w:rPr>
        <w:t>指示</w:t>
      </w:r>
      <w:r w:rsidRPr="00C3621B">
        <w:rPr>
          <w:rFonts w:ascii="ＭＳ 明朝" w:hAnsi="ＭＳ 明朝" w:hint="eastAsia"/>
          <w:sz w:val="22"/>
          <w:szCs w:val="22"/>
        </w:rPr>
        <w:t>が出されるなど、府の支援の必要性が認められる場合、</w:t>
      </w:r>
      <w:r w:rsidR="00DA491B" w:rsidRPr="00C3621B">
        <w:rPr>
          <w:rFonts w:ascii="ＭＳ 明朝" w:hAnsi="ＭＳ 明朝" w:hint="eastAsia"/>
          <w:sz w:val="22"/>
          <w:szCs w:val="22"/>
        </w:rPr>
        <w:t>防災・危機管理指令部の設置に向け、</w:t>
      </w:r>
      <w:r w:rsidRPr="00C3621B">
        <w:rPr>
          <w:rFonts w:ascii="ＭＳ 明朝" w:hAnsi="ＭＳ 明朝" w:hint="eastAsia"/>
          <w:sz w:val="22"/>
          <w:szCs w:val="22"/>
        </w:rPr>
        <w:t>危</w:t>
      </w:r>
      <w:r w:rsidRPr="001D6D10">
        <w:rPr>
          <w:rFonts w:ascii="ＭＳ 明朝" w:hAnsi="ＭＳ 明朝" w:hint="eastAsia"/>
          <w:sz w:val="22"/>
          <w:szCs w:val="22"/>
        </w:rPr>
        <w:t>機管理室課長又は参事を部長とする防災・危機管理指令準備部を設置。なお、体制の強化については、部長が判断する。</w:t>
      </w:r>
    </w:p>
    <w:p w14:paraId="620040BC" w14:textId="77777777" w:rsidR="00A9283B" w:rsidRPr="001D6D10" w:rsidRDefault="00A9283B" w:rsidP="005D372A">
      <w:pPr>
        <w:ind w:left="1216" w:hangingChars="550" w:hanging="1216"/>
        <w:rPr>
          <w:rFonts w:ascii="ＭＳ 明朝" w:hAnsi="ＭＳ 明朝"/>
          <w:sz w:val="22"/>
          <w:szCs w:val="22"/>
        </w:rPr>
      </w:pPr>
    </w:p>
    <w:tbl>
      <w:tblPr>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68"/>
        <w:gridCol w:w="7654"/>
      </w:tblGrid>
      <w:tr w:rsidR="001D6D10" w:rsidRPr="00E0548A" w14:paraId="56C21D72" w14:textId="77777777" w:rsidTr="008B4B2B">
        <w:tc>
          <w:tcPr>
            <w:tcW w:w="1668" w:type="dxa"/>
          </w:tcPr>
          <w:p w14:paraId="3EC06156" w14:textId="77777777" w:rsidR="005D372A" w:rsidRPr="00E0548A" w:rsidRDefault="005D372A" w:rsidP="007E668F">
            <w:pPr>
              <w:numPr>
                <w:ilvl w:val="0"/>
                <w:numId w:val="30"/>
              </w:numPr>
              <w:rPr>
                <w:rFonts w:ascii="ＭＳ 明朝"/>
                <w:sz w:val="22"/>
                <w:szCs w:val="22"/>
              </w:rPr>
            </w:pPr>
            <w:r w:rsidRPr="00E0548A">
              <w:rPr>
                <w:rFonts w:ascii="ＭＳ 明朝" w:hint="eastAsia"/>
                <w:sz w:val="22"/>
                <w:szCs w:val="22"/>
              </w:rPr>
              <w:t>開始基準</w:t>
            </w:r>
          </w:p>
        </w:tc>
        <w:tc>
          <w:tcPr>
            <w:tcW w:w="7654" w:type="dxa"/>
          </w:tcPr>
          <w:p w14:paraId="7562EF70" w14:textId="46477E51" w:rsidR="005D372A" w:rsidRPr="00E0548A" w:rsidRDefault="005D372A" w:rsidP="005D372A">
            <w:pPr>
              <w:ind w:left="442" w:hangingChars="200" w:hanging="442"/>
              <w:rPr>
                <w:rFonts w:ascii="ＭＳ 明朝" w:hAnsi="ＭＳ 明朝"/>
                <w:sz w:val="22"/>
                <w:szCs w:val="22"/>
              </w:rPr>
            </w:pPr>
            <w:r w:rsidRPr="00E0548A">
              <w:rPr>
                <w:rFonts w:ascii="ＭＳ 明朝" w:hAnsi="ＭＳ 明朝" w:hint="eastAsia"/>
                <w:sz w:val="22"/>
                <w:szCs w:val="22"/>
              </w:rPr>
              <w:t>ア　府域に</w:t>
            </w:r>
            <w:r w:rsidR="00B84DF3" w:rsidRPr="00C3621B">
              <w:rPr>
                <w:rFonts w:ascii="ＭＳ 明朝" w:hAnsi="ＭＳ 明朝" w:hint="eastAsia"/>
                <w:sz w:val="22"/>
                <w:szCs w:val="22"/>
              </w:rPr>
              <w:t>レベル３氾濫警報またはレベル３大雨警報またはレベル３土砂災害警報またはレベル３高潮警報</w:t>
            </w:r>
            <w:r w:rsidRPr="00C3621B">
              <w:rPr>
                <w:rFonts w:ascii="ＭＳ 明朝" w:hAnsi="ＭＳ 明朝" w:hint="eastAsia"/>
                <w:sz w:val="22"/>
                <w:szCs w:val="22"/>
              </w:rPr>
              <w:t>が</w:t>
            </w:r>
            <w:r w:rsidRPr="00E0548A">
              <w:rPr>
                <w:rFonts w:ascii="ＭＳ 明朝" w:hAnsi="ＭＳ 明朝" w:hint="eastAsia"/>
                <w:sz w:val="22"/>
                <w:szCs w:val="22"/>
              </w:rPr>
              <w:t>発表された場合（自動設置）</w:t>
            </w:r>
          </w:p>
          <w:p w14:paraId="6F889BAA" w14:textId="77777777" w:rsidR="009549FC" w:rsidRPr="00E0548A" w:rsidRDefault="009549FC" w:rsidP="005D372A">
            <w:pPr>
              <w:ind w:left="442" w:hangingChars="200" w:hanging="442"/>
              <w:rPr>
                <w:rFonts w:ascii="ＭＳ 明朝" w:hAnsi="ＭＳ 明朝"/>
                <w:sz w:val="22"/>
                <w:szCs w:val="22"/>
              </w:rPr>
            </w:pPr>
            <w:r w:rsidRPr="00E0548A">
              <w:rPr>
                <w:rFonts w:ascii="ＭＳ 明朝" w:hAnsi="ＭＳ 明朝" w:hint="eastAsia"/>
                <w:sz w:val="22"/>
                <w:szCs w:val="22"/>
              </w:rPr>
              <w:t xml:space="preserve">イ　</w:t>
            </w:r>
            <w:r w:rsidRPr="00E0548A">
              <w:rPr>
                <w:rFonts w:hint="eastAsia"/>
                <w:sz w:val="22"/>
                <w:szCs w:val="22"/>
              </w:rPr>
              <w:t>・「</w:t>
            </w:r>
            <w:r w:rsidR="004F04A6" w:rsidRPr="00E0548A">
              <w:rPr>
                <w:rFonts w:hint="eastAsia"/>
                <w:sz w:val="22"/>
                <w:szCs w:val="22"/>
              </w:rPr>
              <w:t>南海トラフ地震臨時情報（調査中）」が発表された</w:t>
            </w:r>
            <w:r w:rsidRPr="00E0548A">
              <w:rPr>
                <w:rFonts w:hint="eastAsia"/>
                <w:sz w:val="22"/>
                <w:szCs w:val="22"/>
              </w:rPr>
              <w:t>とき</w:t>
            </w:r>
          </w:p>
          <w:p w14:paraId="66C8ABE3" w14:textId="77777777" w:rsidR="005D372A" w:rsidRPr="00E0548A" w:rsidRDefault="009549FC" w:rsidP="005D372A">
            <w:pPr>
              <w:ind w:left="442" w:hangingChars="200" w:hanging="442"/>
              <w:rPr>
                <w:rFonts w:ascii="ＭＳ 明朝" w:hAnsi="ＭＳ 明朝"/>
                <w:sz w:val="22"/>
                <w:szCs w:val="22"/>
              </w:rPr>
            </w:pPr>
            <w:r w:rsidRPr="00E0548A">
              <w:rPr>
                <w:rFonts w:ascii="ＭＳ 明朝" w:hAnsi="ＭＳ 明朝" w:hint="eastAsia"/>
                <w:sz w:val="22"/>
                <w:szCs w:val="22"/>
              </w:rPr>
              <w:t>ウ</w:t>
            </w:r>
            <w:r w:rsidR="005D372A" w:rsidRPr="00E0548A">
              <w:rPr>
                <w:rFonts w:ascii="ＭＳ 明朝" w:hAnsi="ＭＳ 明朝" w:hint="eastAsia"/>
                <w:sz w:val="22"/>
                <w:szCs w:val="22"/>
              </w:rPr>
              <w:t xml:space="preserve">　次の情報を受信した場合で、危機管理室長が活動を必要</w:t>
            </w:r>
          </w:p>
          <w:p w14:paraId="3B77094B" w14:textId="77777777" w:rsidR="005D372A" w:rsidRPr="00E0548A" w:rsidRDefault="005D372A" w:rsidP="005D372A">
            <w:pPr>
              <w:ind w:left="442" w:hangingChars="200" w:hanging="442"/>
              <w:rPr>
                <w:rFonts w:ascii="ＭＳ 明朝" w:hAnsi="ＭＳ 明朝"/>
                <w:sz w:val="22"/>
                <w:szCs w:val="22"/>
              </w:rPr>
            </w:pPr>
            <w:r w:rsidRPr="00E0548A">
              <w:rPr>
                <w:rFonts w:ascii="ＭＳ 明朝" w:hAnsi="ＭＳ 明朝" w:hint="eastAsia"/>
                <w:sz w:val="22"/>
                <w:szCs w:val="22"/>
              </w:rPr>
              <w:t xml:space="preserve">　　と認めたとき</w:t>
            </w:r>
          </w:p>
          <w:p w14:paraId="60AC5650" w14:textId="77777777" w:rsidR="005D372A" w:rsidRPr="00E0548A" w:rsidRDefault="005D372A" w:rsidP="005D372A">
            <w:pPr>
              <w:ind w:left="442" w:hangingChars="200" w:hanging="442"/>
              <w:rPr>
                <w:rFonts w:ascii="ＭＳ 明朝" w:hAnsi="ＭＳ 明朝"/>
                <w:sz w:val="22"/>
                <w:szCs w:val="22"/>
              </w:rPr>
            </w:pPr>
            <w:r w:rsidRPr="00E0548A">
              <w:rPr>
                <w:rFonts w:ascii="ＭＳ 明朝" w:hAnsi="ＭＳ 明朝" w:hint="eastAsia"/>
                <w:sz w:val="22"/>
                <w:szCs w:val="22"/>
              </w:rPr>
              <w:t xml:space="preserve">　　・府域に次の警報が発表されたとき</w:t>
            </w:r>
          </w:p>
          <w:p w14:paraId="4E78339F" w14:textId="3FC5D4F3" w:rsidR="005D372A" w:rsidRPr="00C3621B" w:rsidRDefault="005D372A" w:rsidP="005D372A">
            <w:pPr>
              <w:ind w:left="442" w:hangingChars="200" w:hanging="442"/>
              <w:rPr>
                <w:rFonts w:ascii="ＭＳ 明朝" w:hAnsi="ＭＳ 明朝"/>
                <w:sz w:val="22"/>
                <w:szCs w:val="22"/>
              </w:rPr>
            </w:pPr>
            <w:r w:rsidRPr="00E0548A">
              <w:rPr>
                <w:rFonts w:ascii="ＭＳ 明朝" w:hAnsi="ＭＳ 明朝" w:hint="eastAsia"/>
                <w:sz w:val="22"/>
                <w:szCs w:val="22"/>
              </w:rPr>
              <w:t xml:space="preserve">　　　大雪</w:t>
            </w:r>
            <w:r w:rsidR="00150446" w:rsidRPr="00C3621B">
              <w:rPr>
                <w:rFonts w:ascii="ＭＳ 明朝" w:hAnsi="ＭＳ 明朝" w:hint="eastAsia"/>
                <w:sz w:val="22"/>
                <w:szCs w:val="22"/>
              </w:rPr>
              <w:t>警報</w:t>
            </w:r>
            <w:r w:rsidRPr="00C3621B">
              <w:rPr>
                <w:rFonts w:ascii="ＭＳ 明朝" w:hAnsi="ＭＳ 明朝" w:hint="eastAsia"/>
                <w:sz w:val="22"/>
                <w:szCs w:val="22"/>
              </w:rPr>
              <w:t>、暴風</w:t>
            </w:r>
            <w:r w:rsidR="00150446" w:rsidRPr="00C3621B">
              <w:rPr>
                <w:rFonts w:ascii="ＭＳ 明朝" w:hAnsi="ＭＳ 明朝" w:hint="eastAsia"/>
                <w:sz w:val="22"/>
                <w:szCs w:val="22"/>
              </w:rPr>
              <w:t>警報</w:t>
            </w:r>
            <w:r w:rsidRPr="00C3621B">
              <w:rPr>
                <w:rFonts w:ascii="ＭＳ 明朝" w:hAnsi="ＭＳ 明朝" w:hint="eastAsia"/>
                <w:sz w:val="22"/>
                <w:szCs w:val="22"/>
              </w:rPr>
              <w:t>、暴風雪</w:t>
            </w:r>
            <w:r w:rsidR="00150446" w:rsidRPr="00C3621B">
              <w:rPr>
                <w:rFonts w:ascii="ＭＳ 明朝" w:hAnsi="ＭＳ 明朝" w:hint="eastAsia"/>
                <w:sz w:val="22"/>
                <w:szCs w:val="22"/>
              </w:rPr>
              <w:t>警報</w:t>
            </w:r>
            <w:r w:rsidRPr="00C3621B">
              <w:rPr>
                <w:rFonts w:ascii="ＭＳ 明朝" w:hAnsi="ＭＳ 明朝" w:hint="eastAsia"/>
                <w:sz w:val="22"/>
                <w:szCs w:val="22"/>
              </w:rPr>
              <w:t>、波浪</w:t>
            </w:r>
            <w:r w:rsidR="00150446" w:rsidRPr="00C3621B">
              <w:rPr>
                <w:rFonts w:ascii="ＭＳ 明朝" w:hAnsi="ＭＳ 明朝" w:hint="eastAsia"/>
                <w:sz w:val="22"/>
                <w:szCs w:val="22"/>
              </w:rPr>
              <w:t>警報</w:t>
            </w:r>
          </w:p>
          <w:p w14:paraId="74613E90" w14:textId="15E9AF77" w:rsidR="005D372A" w:rsidRPr="00E0548A" w:rsidRDefault="005D372A" w:rsidP="00EB3E1A">
            <w:pPr>
              <w:ind w:left="442" w:hangingChars="200" w:hanging="442"/>
              <w:rPr>
                <w:rFonts w:ascii="ＭＳ 明朝" w:hAnsi="ＭＳ 明朝"/>
                <w:sz w:val="22"/>
                <w:szCs w:val="22"/>
              </w:rPr>
            </w:pPr>
            <w:r w:rsidRPr="00E0548A">
              <w:rPr>
                <w:rFonts w:ascii="ＭＳ 明朝" w:hAnsi="ＭＳ 明朝" w:hint="eastAsia"/>
                <w:sz w:val="22"/>
                <w:szCs w:val="22"/>
              </w:rPr>
              <w:t xml:space="preserve">　　・台風情報により</w:t>
            </w:r>
            <w:r w:rsidR="00EB3E1A">
              <w:rPr>
                <w:rFonts w:ascii="ＭＳ 明朝" w:hAnsi="ＭＳ 明朝" w:hint="eastAsia"/>
                <w:sz w:val="22"/>
                <w:szCs w:val="22"/>
              </w:rPr>
              <w:t>、</w:t>
            </w:r>
            <w:r w:rsidR="00EB3E1A" w:rsidRPr="00C3621B">
              <w:rPr>
                <w:rFonts w:ascii="ＭＳ 明朝" w:hAnsi="ＭＳ 明朝" w:hint="eastAsia"/>
                <w:sz w:val="22"/>
                <w:szCs w:val="22"/>
              </w:rPr>
              <w:t>府域最接近の概ね７２時間前の時点で、大阪府域が暴風警戒域に入り、最接近時の</w:t>
            </w:r>
            <w:r w:rsidR="000F74D4" w:rsidRPr="00C3621B">
              <w:rPr>
                <w:rFonts w:ascii="ＭＳ 明朝" w:hAnsi="ＭＳ 明朝" w:hint="eastAsia"/>
                <w:sz w:val="22"/>
                <w:szCs w:val="22"/>
              </w:rPr>
              <w:t>台風の中心付近の</w:t>
            </w:r>
            <w:r w:rsidR="00EB3E1A" w:rsidRPr="00C3621B">
              <w:rPr>
                <w:rFonts w:ascii="ＭＳ 明朝" w:hAnsi="ＭＳ 明朝" w:hint="eastAsia"/>
                <w:sz w:val="22"/>
                <w:szCs w:val="22"/>
              </w:rPr>
              <w:t>最大風速が２５</w:t>
            </w:r>
            <w:r w:rsidR="00EB3E1A" w:rsidRPr="00C3621B">
              <w:rPr>
                <w:rFonts w:ascii="ＭＳ 明朝" w:hAnsi="ＭＳ 明朝"/>
                <w:sz w:val="22"/>
                <w:szCs w:val="22"/>
              </w:rPr>
              <w:t>m／s以上と予測されるとき</w:t>
            </w:r>
          </w:p>
          <w:p w14:paraId="51AA186B" w14:textId="3F42E859" w:rsidR="005D372A" w:rsidRPr="00E0548A" w:rsidRDefault="0099489F" w:rsidP="005D372A">
            <w:pPr>
              <w:ind w:left="442" w:hangingChars="200" w:hanging="442"/>
              <w:rPr>
                <w:rFonts w:ascii="ＭＳ 明朝" w:hAnsi="ＭＳ 明朝"/>
                <w:sz w:val="22"/>
                <w:szCs w:val="22"/>
              </w:rPr>
            </w:pPr>
            <w:r w:rsidRPr="00E0548A">
              <w:rPr>
                <w:rFonts w:ascii="ＭＳ 明朝" w:hAnsi="ＭＳ 明朝" w:hint="eastAsia"/>
                <w:sz w:val="22"/>
                <w:szCs w:val="22"/>
              </w:rPr>
              <w:t xml:space="preserve">　　・林野火災</w:t>
            </w:r>
            <w:r w:rsidR="005D372A" w:rsidRPr="00E0548A">
              <w:rPr>
                <w:rFonts w:ascii="ＭＳ 明朝" w:hAnsi="ＭＳ 明朝" w:hint="eastAsia"/>
                <w:sz w:val="22"/>
                <w:szCs w:val="22"/>
              </w:rPr>
              <w:t>において、</w:t>
            </w:r>
            <w:r w:rsidR="00F573D6" w:rsidRPr="00E0548A">
              <w:rPr>
                <w:rFonts w:ascii="ＭＳ 明朝" w:hAnsi="ＭＳ 明朝" w:hint="eastAsia"/>
                <w:sz w:val="22"/>
                <w:szCs w:val="22"/>
              </w:rPr>
              <w:t>焼損面積が５ｈａ未満であり、</w:t>
            </w:r>
            <w:r w:rsidR="005D372A" w:rsidRPr="00E0548A">
              <w:rPr>
                <w:rFonts w:ascii="ＭＳ 明朝" w:hAnsi="ＭＳ 明朝" w:hint="eastAsia"/>
                <w:sz w:val="22"/>
                <w:szCs w:val="22"/>
              </w:rPr>
              <w:t>拡大や住宅への延焼が懸念されるとき</w:t>
            </w:r>
          </w:p>
          <w:p w14:paraId="05778F53" w14:textId="77777777" w:rsidR="005D372A" w:rsidRPr="00E0548A" w:rsidRDefault="005D372A" w:rsidP="005D372A">
            <w:pPr>
              <w:ind w:left="442" w:hangingChars="200" w:hanging="442"/>
              <w:rPr>
                <w:rFonts w:ascii="ＭＳ 明朝" w:hAnsi="ＭＳ 明朝"/>
                <w:sz w:val="22"/>
                <w:szCs w:val="22"/>
              </w:rPr>
            </w:pPr>
            <w:r w:rsidRPr="00E0548A">
              <w:rPr>
                <w:rFonts w:ascii="ＭＳ 明朝" w:hAnsi="ＭＳ 明朝" w:hint="eastAsia"/>
                <w:sz w:val="22"/>
                <w:szCs w:val="22"/>
              </w:rPr>
              <w:t xml:space="preserve">　　・その他の災害・危機事象により府民生活への影響が予想されるとき</w:t>
            </w:r>
          </w:p>
        </w:tc>
      </w:tr>
      <w:tr w:rsidR="001D6D10" w:rsidRPr="00E0548A" w14:paraId="3673CC6A" w14:textId="77777777" w:rsidTr="008B4B2B">
        <w:tc>
          <w:tcPr>
            <w:tcW w:w="1668" w:type="dxa"/>
          </w:tcPr>
          <w:p w14:paraId="6FF08464" w14:textId="77777777" w:rsidR="005D372A" w:rsidRPr="00E0548A" w:rsidRDefault="005D372A" w:rsidP="005D372A">
            <w:pPr>
              <w:rPr>
                <w:rFonts w:ascii="ＭＳ 明朝" w:hAnsi="ＭＳ 明朝"/>
                <w:sz w:val="22"/>
                <w:szCs w:val="22"/>
              </w:rPr>
            </w:pPr>
            <w:r w:rsidRPr="00E0548A">
              <w:rPr>
                <w:rFonts w:ascii="ＭＳ 明朝" w:hAnsi="ＭＳ 明朝" w:hint="eastAsia"/>
                <w:sz w:val="22"/>
                <w:szCs w:val="22"/>
              </w:rPr>
              <w:t>②解除基準</w:t>
            </w:r>
          </w:p>
        </w:tc>
        <w:tc>
          <w:tcPr>
            <w:tcW w:w="7654" w:type="dxa"/>
          </w:tcPr>
          <w:p w14:paraId="7913D255" w14:textId="77777777" w:rsidR="005D372A" w:rsidRPr="00E0548A" w:rsidRDefault="005D372A" w:rsidP="005D372A">
            <w:pPr>
              <w:ind w:left="221" w:hangingChars="100" w:hanging="221"/>
              <w:rPr>
                <w:rFonts w:ascii="ＭＳ 明朝" w:hAnsi="ＭＳ 明朝"/>
                <w:sz w:val="22"/>
                <w:szCs w:val="22"/>
              </w:rPr>
            </w:pPr>
            <w:r w:rsidRPr="00E0548A">
              <w:rPr>
                <w:rFonts w:ascii="ＭＳ 明朝" w:hAnsi="ＭＳ 明朝" w:hint="eastAsia"/>
                <w:sz w:val="22"/>
                <w:szCs w:val="22"/>
              </w:rPr>
              <w:t>・災害等に係る情報収集・関係機関への連絡等の必要がなくなったと認められる場合</w:t>
            </w:r>
          </w:p>
          <w:p w14:paraId="0878F733" w14:textId="77777777" w:rsidR="005D372A" w:rsidRPr="00E0548A" w:rsidRDefault="005D372A" w:rsidP="005D372A">
            <w:pPr>
              <w:ind w:left="442" w:hangingChars="200" w:hanging="442"/>
              <w:rPr>
                <w:rFonts w:ascii="ＭＳ 明朝" w:hAnsi="ＭＳ 明朝"/>
                <w:sz w:val="22"/>
                <w:szCs w:val="22"/>
              </w:rPr>
            </w:pPr>
            <w:r w:rsidRPr="00E0548A">
              <w:rPr>
                <w:rFonts w:ascii="ＭＳ 明朝" w:hAnsi="ＭＳ 明朝" w:hint="eastAsia"/>
                <w:sz w:val="22"/>
                <w:szCs w:val="22"/>
              </w:rPr>
              <w:t>・防災・危機管理指令部が活動を開始したとき</w:t>
            </w:r>
          </w:p>
          <w:p w14:paraId="23B01DCB" w14:textId="77777777" w:rsidR="005D372A" w:rsidRPr="00E0548A" w:rsidRDefault="005D372A" w:rsidP="005D372A">
            <w:pPr>
              <w:ind w:left="442" w:hangingChars="200" w:hanging="442"/>
              <w:rPr>
                <w:rFonts w:ascii="ＭＳ 明朝" w:hAnsi="ＭＳ 明朝"/>
                <w:sz w:val="22"/>
                <w:szCs w:val="22"/>
              </w:rPr>
            </w:pPr>
            <w:r w:rsidRPr="00E0548A">
              <w:rPr>
                <w:rFonts w:ascii="ＭＳ 明朝" w:hAnsi="ＭＳ 明朝" w:hint="eastAsia"/>
                <w:sz w:val="22"/>
                <w:szCs w:val="22"/>
              </w:rPr>
              <w:t>・災害警戒本部が設置されたとき</w:t>
            </w:r>
          </w:p>
        </w:tc>
      </w:tr>
      <w:tr w:rsidR="001D6D10" w:rsidRPr="00E0548A" w14:paraId="1A85EB76" w14:textId="77777777" w:rsidTr="008B4B2B">
        <w:tc>
          <w:tcPr>
            <w:tcW w:w="1668" w:type="dxa"/>
          </w:tcPr>
          <w:p w14:paraId="1375C5EB" w14:textId="77777777" w:rsidR="005D372A" w:rsidRPr="00E0548A" w:rsidRDefault="005D372A" w:rsidP="005D372A">
            <w:pPr>
              <w:rPr>
                <w:rFonts w:ascii="ＭＳ 明朝" w:hAnsi="ＭＳ 明朝"/>
                <w:sz w:val="22"/>
                <w:szCs w:val="22"/>
              </w:rPr>
            </w:pPr>
            <w:r w:rsidRPr="00E0548A">
              <w:rPr>
                <w:rFonts w:ascii="ＭＳ 明朝" w:hAnsi="ＭＳ 明朝" w:hint="eastAsia"/>
                <w:sz w:val="22"/>
                <w:szCs w:val="22"/>
              </w:rPr>
              <w:t>③組織</w:t>
            </w:r>
          </w:p>
        </w:tc>
        <w:tc>
          <w:tcPr>
            <w:tcW w:w="7654" w:type="dxa"/>
          </w:tcPr>
          <w:p w14:paraId="28367FD2" w14:textId="77777777" w:rsidR="005D372A" w:rsidRPr="00E0548A" w:rsidRDefault="005D372A" w:rsidP="005D372A">
            <w:pPr>
              <w:ind w:left="442" w:hangingChars="200" w:hanging="442"/>
              <w:rPr>
                <w:rFonts w:ascii="ＭＳ 明朝" w:hAnsi="ＭＳ 明朝"/>
                <w:sz w:val="22"/>
                <w:szCs w:val="22"/>
              </w:rPr>
            </w:pPr>
            <w:r w:rsidRPr="00E0548A">
              <w:rPr>
                <w:rFonts w:ascii="ＭＳ 明朝" w:hAnsi="ＭＳ 明朝" w:hint="eastAsia"/>
                <w:sz w:val="22"/>
                <w:szCs w:val="22"/>
              </w:rPr>
              <w:t>・【班長】危機管理室課長補佐</w:t>
            </w:r>
          </w:p>
          <w:p w14:paraId="4DD25EA6" w14:textId="77777777" w:rsidR="005D372A" w:rsidRPr="00E0548A" w:rsidRDefault="005D372A" w:rsidP="005D372A">
            <w:pPr>
              <w:ind w:left="442" w:hangingChars="200" w:hanging="442"/>
              <w:rPr>
                <w:rFonts w:ascii="ＭＳ 明朝" w:hAnsi="ＭＳ 明朝"/>
                <w:sz w:val="22"/>
                <w:szCs w:val="22"/>
              </w:rPr>
            </w:pPr>
            <w:r w:rsidRPr="00E0548A">
              <w:rPr>
                <w:rFonts w:ascii="ＭＳ 明朝" w:hAnsi="ＭＳ 明朝" w:hint="eastAsia"/>
                <w:sz w:val="22"/>
                <w:szCs w:val="22"/>
              </w:rPr>
              <w:t>・【班員】危機管理室職員（管理職を除く）</w:t>
            </w:r>
          </w:p>
        </w:tc>
      </w:tr>
      <w:tr w:rsidR="001D6D10" w:rsidRPr="00E0548A" w14:paraId="5E69D2F0" w14:textId="77777777" w:rsidTr="008B4B2B">
        <w:tc>
          <w:tcPr>
            <w:tcW w:w="1668" w:type="dxa"/>
          </w:tcPr>
          <w:p w14:paraId="1EA6C996" w14:textId="77777777" w:rsidR="005D372A" w:rsidRPr="00E0548A" w:rsidRDefault="005D372A" w:rsidP="005D372A">
            <w:pPr>
              <w:rPr>
                <w:rFonts w:ascii="ＭＳ 明朝" w:hAnsi="ＭＳ 明朝"/>
                <w:sz w:val="22"/>
                <w:szCs w:val="22"/>
              </w:rPr>
            </w:pPr>
            <w:r w:rsidRPr="00E0548A">
              <w:rPr>
                <w:rFonts w:ascii="ＭＳ 明朝" w:hAnsi="ＭＳ 明朝" w:hint="eastAsia"/>
                <w:sz w:val="22"/>
                <w:szCs w:val="22"/>
              </w:rPr>
              <w:t>④</w:t>
            </w:r>
            <w:r w:rsidRPr="00E0548A">
              <w:rPr>
                <w:rFonts w:ascii="ＭＳ 明朝" w:hint="eastAsia"/>
                <w:sz w:val="22"/>
                <w:szCs w:val="22"/>
              </w:rPr>
              <w:t>編成</w:t>
            </w:r>
          </w:p>
        </w:tc>
        <w:tc>
          <w:tcPr>
            <w:tcW w:w="7654" w:type="dxa"/>
          </w:tcPr>
          <w:p w14:paraId="7F905069" w14:textId="77777777" w:rsidR="005D372A" w:rsidRPr="00E0548A" w:rsidRDefault="005D372A" w:rsidP="005D372A">
            <w:pPr>
              <w:ind w:left="442" w:hangingChars="200" w:hanging="442"/>
              <w:rPr>
                <w:rFonts w:ascii="ＭＳ 明朝" w:hAnsi="ＭＳ 明朝"/>
                <w:sz w:val="22"/>
                <w:szCs w:val="22"/>
              </w:rPr>
            </w:pPr>
            <w:r w:rsidRPr="00E0548A">
              <w:rPr>
                <w:rFonts w:ascii="ＭＳ 明朝" w:hint="eastAsia"/>
                <w:sz w:val="22"/>
                <w:szCs w:val="22"/>
              </w:rPr>
              <w:t>・警戒班の編成は、危機管理室長が毎年度当初に別に定める。</w:t>
            </w:r>
          </w:p>
        </w:tc>
      </w:tr>
      <w:tr w:rsidR="001D6D10" w:rsidRPr="001D6D10" w14:paraId="5EA55689" w14:textId="77777777" w:rsidTr="008B4B2B">
        <w:tc>
          <w:tcPr>
            <w:tcW w:w="1668" w:type="dxa"/>
          </w:tcPr>
          <w:p w14:paraId="1CCE38B3" w14:textId="77777777" w:rsidR="005D372A" w:rsidRPr="00E0548A" w:rsidRDefault="005D372A" w:rsidP="005D372A">
            <w:pPr>
              <w:rPr>
                <w:rFonts w:ascii="ＭＳ 明朝" w:hAnsi="ＭＳ 明朝"/>
                <w:sz w:val="22"/>
                <w:szCs w:val="22"/>
              </w:rPr>
            </w:pPr>
            <w:r w:rsidRPr="00E0548A">
              <w:rPr>
                <w:rFonts w:ascii="ＭＳ 明朝" w:hAnsi="ＭＳ 明朝" w:hint="eastAsia"/>
                <w:sz w:val="22"/>
                <w:szCs w:val="22"/>
              </w:rPr>
              <w:t>⑤活動内容</w:t>
            </w:r>
          </w:p>
        </w:tc>
        <w:tc>
          <w:tcPr>
            <w:tcW w:w="7654" w:type="dxa"/>
          </w:tcPr>
          <w:p w14:paraId="2E61FA01" w14:textId="77777777" w:rsidR="005D372A" w:rsidRPr="00E0548A" w:rsidRDefault="0099489F" w:rsidP="005D372A">
            <w:pPr>
              <w:ind w:left="442" w:hangingChars="200" w:hanging="442"/>
              <w:rPr>
                <w:rFonts w:ascii="ＭＳ 明朝"/>
                <w:sz w:val="22"/>
                <w:szCs w:val="22"/>
              </w:rPr>
            </w:pPr>
            <w:r w:rsidRPr="00E0548A">
              <w:rPr>
                <w:rFonts w:ascii="ＭＳ 明朝" w:hint="eastAsia"/>
                <w:sz w:val="22"/>
                <w:szCs w:val="22"/>
              </w:rPr>
              <w:t>・気象予警報</w:t>
            </w:r>
            <w:r w:rsidR="005D372A" w:rsidRPr="00E0548A">
              <w:rPr>
                <w:rFonts w:ascii="ＭＳ 明朝" w:hint="eastAsia"/>
                <w:sz w:val="22"/>
                <w:szCs w:val="22"/>
              </w:rPr>
              <w:t>などの収集</w:t>
            </w:r>
          </w:p>
          <w:p w14:paraId="7FC0BD12" w14:textId="77777777" w:rsidR="005D372A" w:rsidRPr="00E0548A" w:rsidRDefault="005D372A" w:rsidP="005D372A">
            <w:pPr>
              <w:ind w:left="442" w:hangingChars="200" w:hanging="442"/>
              <w:rPr>
                <w:rFonts w:ascii="ＭＳ 明朝"/>
                <w:sz w:val="22"/>
                <w:szCs w:val="22"/>
              </w:rPr>
            </w:pPr>
            <w:r w:rsidRPr="00E0548A">
              <w:rPr>
                <w:rFonts w:ascii="ＭＳ 明朝" w:hint="eastAsia"/>
                <w:sz w:val="22"/>
                <w:szCs w:val="22"/>
              </w:rPr>
              <w:t>・被害情報、災害対策情報などの収集</w:t>
            </w:r>
          </w:p>
          <w:p w14:paraId="20224B09" w14:textId="77777777" w:rsidR="005D372A" w:rsidRPr="001D6D10" w:rsidRDefault="005D372A" w:rsidP="005D372A">
            <w:pPr>
              <w:ind w:left="442" w:hangingChars="200" w:hanging="442"/>
              <w:rPr>
                <w:rFonts w:ascii="ＭＳ 明朝"/>
                <w:sz w:val="22"/>
                <w:szCs w:val="22"/>
              </w:rPr>
            </w:pPr>
            <w:r w:rsidRPr="00E0548A">
              <w:rPr>
                <w:rFonts w:ascii="ＭＳ 明朝" w:hint="eastAsia"/>
                <w:sz w:val="22"/>
                <w:szCs w:val="22"/>
              </w:rPr>
              <w:lastRenderedPageBreak/>
              <w:t>・消防、警察など関係機関への連絡　など</w:t>
            </w:r>
          </w:p>
        </w:tc>
      </w:tr>
    </w:tbl>
    <w:p w14:paraId="07F59D70" w14:textId="52C3E958" w:rsidR="005D372A" w:rsidRPr="001D6D10" w:rsidRDefault="005D372A" w:rsidP="005D372A">
      <w:pPr>
        <w:jc w:val="right"/>
        <w:rPr>
          <w:rFonts w:ascii="ＭＳ 明朝" w:hAnsi="ＭＳ 明朝"/>
          <w:sz w:val="22"/>
          <w:szCs w:val="22"/>
        </w:rPr>
      </w:pPr>
      <w:r w:rsidRPr="001D6D10">
        <w:rPr>
          <w:rFonts w:ascii="ＭＳ 明朝" w:hAnsi="ＭＳ 明朝" w:hint="eastAsia"/>
          <w:sz w:val="22"/>
          <w:szCs w:val="22"/>
        </w:rPr>
        <w:lastRenderedPageBreak/>
        <w:t>※原子力災害については</w:t>
      </w:r>
      <w:r w:rsidR="00472890" w:rsidRPr="001D6D10">
        <w:rPr>
          <w:rFonts w:ascii="ＭＳ 明朝" w:hAnsi="ＭＳ 明朝" w:hint="eastAsia"/>
          <w:sz w:val="22"/>
          <w:szCs w:val="22"/>
        </w:rPr>
        <w:t>本要領「第</w:t>
      </w:r>
      <w:r w:rsidR="00954FF1" w:rsidRPr="001D6D10">
        <w:rPr>
          <w:rFonts w:ascii="ＭＳ 明朝" w:hAnsi="ＭＳ 明朝" w:hint="eastAsia"/>
          <w:sz w:val="22"/>
          <w:szCs w:val="22"/>
        </w:rPr>
        <w:t>８</w:t>
      </w:r>
      <w:r w:rsidRPr="001D6D10">
        <w:rPr>
          <w:rFonts w:ascii="ＭＳ 明朝" w:hAnsi="ＭＳ 明朝" w:hint="eastAsia"/>
          <w:sz w:val="22"/>
          <w:szCs w:val="22"/>
        </w:rPr>
        <w:t>章第１節第１　組織体制」を参照</w:t>
      </w:r>
    </w:p>
    <w:p w14:paraId="74A59917" w14:textId="77777777" w:rsidR="00A9283B" w:rsidRPr="001D6D10" w:rsidRDefault="00A9283B" w:rsidP="00934E60">
      <w:pPr>
        <w:rPr>
          <w:rFonts w:ascii="ＭＳ 明朝" w:hAnsi="ＭＳ 明朝"/>
          <w:sz w:val="22"/>
          <w:szCs w:val="22"/>
        </w:rPr>
      </w:pPr>
    </w:p>
    <w:p w14:paraId="0FEF0B88" w14:textId="625D1326" w:rsidR="005B46E4" w:rsidRDefault="005B46E4">
      <w:pPr>
        <w:widowControl/>
        <w:jc w:val="left"/>
        <w:rPr>
          <w:rFonts w:ascii="ＭＳ 明朝" w:hAnsi="ＭＳ 明朝"/>
          <w:sz w:val="22"/>
          <w:szCs w:val="22"/>
        </w:rPr>
      </w:pPr>
      <w:r>
        <w:rPr>
          <w:rFonts w:ascii="ＭＳ 明朝" w:hAnsi="ＭＳ 明朝"/>
          <w:sz w:val="22"/>
          <w:szCs w:val="22"/>
        </w:rPr>
        <w:br w:type="page"/>
      </w:r>
    </w:p>
    <w:p w14:paraId="609A23C4" w14:textId="77777777" w:rsidR="005D372A" w:rsidRPr="001D6D10" w:rsidRDefault="005D372A" w:rsidP="00934E60">
      <w:pPr>
        <w:rPr>
          <w:rFonts w:ascii="ＭＳ 明朝" w:hAnsi="ＭＳ 明朝"/>
          <w:sz w:val="22"/>
          <w:szCs w:val="22"/>
        </w:rPr>
      </w:pPr>
      <w:r w:rsidRPr="001D6D10">
        <w:rPr>
          <w:rFonts w:ascii="ＭＳ 明朝" w:hAnsi="ＭＳ 明朝" w:hint="eastAsia"/>
          <w:noProof/>
          <w:sz w:val="22"/>
          <w:szCs w:val="22"/>
        </w:rPr>
        <w:lastRenderedPageBreak/>
        <mc:AlternateContent>
          <mc:Choice Requires="wps">
            <w:drawing>
              <wp:anchor distT="0" distB="0" distL="114300" distR="114300" simplePos="0" relativeHeight="252903424" behindDoc="0" locked="0" layoutInCell="1" allowOverlap="1" wp14:anchorId="72F0F0C4" wp14:editId="34ED0091">
                <wp:simplePos x="0" y="0"/>
                <wp:positionH relativeFrom="column">
                  <wp:posOffset>342900</wp:posOffset>
                </wp:positionH>
                <wp:positionV relativeFrom="paragraph">
                  <wp:posOffset>0</wp:posOffset>
                </wp:positionV>
                <wp:extent cx="0" cy="0"/>
                <wp:effectExtent l="9525" t="57150" r="19050" b="57150"/>
                <wp:wrapNone/>
                <wp:docPr id="4427" name="Line 202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line w14:anchorId="2F6BDACE" id="Line 2021" o:spid="_x0000_s1026" style="position:absolute;left:0;text-align:left;z-index:2529034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7pt,0" to="27pt,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">
                <v:stroke endarrow="block"/>
              </v:line>
            </w:pict>
          </mc:Fallback>
        </mc:AlternateContent>
      </w:r>
      <w:r w:rsidRPr="001D6D10">
        <w:rPr>
          <w:rFonts w:ascii="ＭＳ 明朝" w:hAnsi="ＭＳ 明朝" w:hint="eastAsia"/>
          <w:sz w:val="22"/>
          <w:szCs w:val="22"/>
        </w:rPr>
        <w:t>(2)　地域情報班の活動</w:t>
      </w:r>
    </w:p>
    <w:p w14:paraId="145AFB5C" w14:textId="77777777" w:rsidR="005D372A" w:rsidRPr="001D6D10" w:rsidRDefault="005D372A" w:rsidP="00BE1EB7">
      <w:pPr>
        <w:ind w:leftChars="650" w:left="1372"/>
        <w:rPr>
          <w:rFonts w:ascii="ＭＳ ゴシック" w:eastAsia="ＭＳ ゴシック" w:hAnsi="ＭＳ ゴシック"/>
          <w:sz w:val="22"/>
          <w:szCs w:val="22"/>
          <w:bdr w:val="single" w:sz="4" w:space="0" w:color="auto"/>
        </w:rPr>
      </w:pPr>
      <w:r w:rsidRPr="001D6D10">
        <w:rPr>
          <w:rFonts w:ascii="ＭＳ ゴシック" w:eastAsia="ＭＳ ゴシック" w:hAnsi="ＭＳ ゴシック" w:hint="eastAsia"/>
          <w:sz w:val="22"/>
          <w:szCs w:val="22"/>
          <w:bdr w:val="single" w:sz="4" w:space="0" w:color="auto"/>
        </w:rPr>
        <w:t>主たる担当：土木事務所</w:t>
      </w:r>
      <w:r w:rsidR="00BE1EB7" w:rsidRPr="001D6D10">
        <w:rPr>
          <w:rFonts w:ascii="ＭＳ ゴシック" w:eastAsia="ＭＳ ゴシック" w:hAnsi="ＭＳ ゴシック" w:hint="eastAsia"/>
          <w:sz w:val="22"/>
          <w:szCs w:val="22"/>
          <w:bdr w:val="single" w:sz="4" w:space="0" w:color="auto"/>
        </w:rPr>
        <w:t>参事（</w:t>
      </w:r>
      <w:r w:rsidRPr="001D6D10">
        <w:rPr>
          <w:rFonts w:ascii="ＭＳ ゴシック" w:eastAsia="ＭＳ ゴシック" w:hAnsi="ＭＳ ゴシック" w:hint="eastAsia"/>
          <w:sz w:val="22"/>
          <w:szCs w:val="22"/>
          <w:bdr w:val="single" w:sz="4" w:space="0" w:color="auto"/>
        </w:rPr>
        <w:t>地域防災監</w:t>
      </w:r>
      <w:r w:rsidR="00BE1EB7" w:rsidRPr="001D6D10">
        <w:rPr>
          <w:rFonts w:ascii="ＭＳ ゴシック" w:eastAsia="ＭＳ ゴシック" w:hAnsi="ＭＳ ゴシック" w:hint="eastAsia"/>
          <w:sz w:val="22"/>
          <w:szCs w:val="22"/>
          <w:bdr w:val="single" w:sz="4" w:space="0" w:color="auto"/>
        </w:rPr>
        <w:t xml:space="preserve">、以下「地域防災監」という。）　</w:t>
      </w:r>
      <w:r w:rsidRPr="001D6D10">
        <w:rPr>
          <w:rFonts w:ascii="ＭＳ ゴシック" w:eastAsia="ＭＳ ゴシック" w:hAnsi="ＭＳ ゴシック" w:hint="eastAsia"/>
          <w:sz w:val="22"/>
          <w:szCs w:val="22"/>
          <w:bdr w:val="single" w:sz="4" w:space="0" w:color="auto"/>
        </w:rPr>
        <w:t>関係室・課：関係出先機関</w:t>
      </w:r>
    </w:p>
    <w:p w14:paraId="0169B425" w14:textId="77777777" w:rsidR="005D372A" w:rsidRPr="001D6D10" w:rsidRDefault="005D372A" w:rsidP="005D372A">
      <w:pPr>
        <w:ind w:left="1216" w:hangingChars="550" w:hanging="1216"/>
        <w:rPr>
          <w:rFonts w:ascii="ＭＳ 明朝" w:hAnsi="ＭＳ 明朝"/>
          <w:sz w:val="22"/>
          <w:szCs w:val="22"/>
        </w:rPr>
      </w:pPr>
      <w:r w:rsidRPr="001D6D10">
        <w:rPr>
          <w:rFonts w:ascii="ＭＳ 明朝" w:hAnsi="ＭＳ 明朝" w:hint="eastAsia"/>
          <w:sz w:val="22"/>
          <w:szCs w:val="22"/>
        </w:rPr>
        <w:t xml:space="preserve">　　　　　　 当該地域防災監は、次の活動の開始又は解除基準に該当する場合は、地域情報班に対し、活動の開始又は解除を指示する。</w:t>
      </w:r>
    </w:p>
    <w:p w14:paraId="4F309A00" w14:textId="77777777" w:rsidR="005D372A" w:rsidRPr="001D6D10" w:rsidRDefault="005D372A" w:rsidP="005D372A">
      <w:pPr>
        <w:ind w:firstLineChars="650" w:firstLine="1437"/>
        <w:rPr>
          <w:rFonts w:ascii="ＭＳ 明朝" w:hAnsi="ＭＳ 明朝"/>
          <w:sz w:val="22"/>
          <w:szCs w:val="22"/>
        </w:rPr>
      </w:pPr>
      <w:r w:rsidRPr="001D6D10">
        <w:rPr>
          <w:rFonts w:ascii="ＭＳ 明朝" w:hAnsi="ＭＳ 明朝" w:hint="eastAsia"/>
          <w:sz w:val="22"/>
          <w:szCs w:val="22"/>
        </w:rPr>
        <w:t>なお、具体的な活動内容は、各地域防災マニュアルによるものとする。</w:t>
      </w:r>
    </w:p>
    <w:tbl>
      <w:tblPr>
        <w:tblW w:w="903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26"/>
        <w:gridCol w:w="7513"/>
      </w:tblGrid>
      <w:tr w:rsidR="001D6D10" w:rsidRPr="001D6D10" w14:paraId="13844646" w14:textId="77777777" w:rsidTr="008B4B2B">
        <w:tc>
          <w:tcPr>
            <w:tcW w:w="1526" w:type="dxa"/>
          </w:tcPr>
          <w:p w14:paraId="1690D270" w14:textId="40FD1BC8" w:rsidR="005D372A" w:rsidRPr="00493643" w:rsidRDefault="00B84DF3">
            <w:pPr>
              <w:rPr>
                <w:rFonts w:ascii="ＭＳ 明朝" w:hAnsi="ＭＳ 明朝"/>
                <w:sz w:val="22"/>
              </w:rPr>
            </w:pPr>
            <w:r>
              <w:rPr>
                <w:rFonts w:ascii="ＭＳ 明朝" w:hAnsi="ＭＳ 明朝" w:hint="eastAsia"/>
                <w:sz w:val="22"/>
              </w:rPr>
              <w:t>①</w:t>
            </w:r>
            <w:r w:rsidR="005D372A" w:rsidRPr="00493643">
              <w:rPr>
                <w:rFonts w:ascii="ＭＳ 明朝" w:hAnsi="ＭＳ 明朝" w:hint="eastAsia"/>
                <w:sz w:val="22"/>
              </w:rPr>
              <w:t>開始基準</w:t>
            </w:r>
          </w:p>
        </w:tc>
        <w:tc>
          <w:tcPr>
            <w:tcW w:w="7513" w:type="dxa"/>
          </w:tcPr>
          <w:p w14:paraId="4CE5C8DC" w14:textId="491FA04C" w:rsidR="005D372A" w:rsidRPr="001D6D10" w:rsidRDefault="005D372A" w:rsidP="005D372A">
            <w:pPr>
              <w:rPr>
                <w:rFonts w:ascii="ＭＳ 明朝" w:hAnsi="ＭＳ 明朝"/>
                <w:sz w:val="22"/>
                <w:szCs w:val="22"/>
              </w:rPr>
            </w:pPr>
            <w:r w:rsidRPr="001D6D10">
              <w:rPr>
                <w:rFonts w:ascii="ＭＳ 明朝" w:hAnsi="ＭＳ 明朝" w:hint="eastAsia"/>
                <w:sz w:val="22"/>
                <w:szCs w:val="22"/>
              </w:rPr>
              <w:t>・府域（対象地域）</w:t>
            </w:r>
            <w:r w:rsidRPr="00C3621B">
              <w:rPr>
                <w:rFonts w:ascii="ＭＳ 明朝" w:hAnsi="ＭＳ 明朝" w:hint="eastAsia"/>
                <w:sz w:val="22"/>
                <w:szCs w:val="22"/>
              </w:rPr>
              <w:t>に</w:t>
            </w:r>
            <w:r w:rsidR="00B84DF3" w:rsidRPr="00C3621B">
              <w:rPr>
                <w:rFonts w:ascii="ＭＳ 明朝" w:hAnsi="ＭＳ 明朝" w:hint="eastAsia"/>
                <w:sz w:val="22"/>
                <w:szCs w:val="22"/>
              </w:rPr>
              <w:t>レベル３氾濫警報またはレベル３大雨警報またはレベル３土砂災害警報またはレベル３高潮警報</w:t>
            </w:r>
            <w:r w:rsidRPr="001D6D10">
              <w:rPr>
                <w:rFonts w:ascii="ＭＳ 明朝" w:hAnsi="ＭＳ 明朝" w:hint="eastAsia"/>
                <w:sz w:val="22"/>
                <w:szCs w:val="22"/>
              </w:rPr>
              <w:t>が発表されたとき</w:t>
            </w:r>
          </w:p>
          <w:p w14:paraId="26578647" w14:textId="77777777" w:rsidR="005D372A" w:rsidRPr="001D6D10" w:rsidRDefault="005D372A" w:rsidP="005D372A">
            <w:pPr>
              <w:ind w:firstLineChars="100" w:firstLine="221"/>
              <w:rPr>
                <w:rFonts w:ascii="ＭＳ 明朝" w:hAnsi="ＭＳ 明朝"/>
                <w:sz w:val="22"/>
                <w:szCs w:val="22"/>
              </w:rPr>
            </w:pPr>
            <w:r w:rsidRPr="001D6D10">
              <w:rPr>
                <w:rFonts w:ascii="ＭＳ 明朝" w:hAnsi="ＭＳ 明朝" w:hint="eastAsia"/>
                <w:sz w:val="22"/>
                <w:szCs w:val="22"/>
              </w:rPr>
              <w:t>（自動設置）</w:t>
            </w:r>
          </w:p>
          <w:p w14:paraId="06C709EB" w14:textId="0FBEE632" w:rsidR="005D372A" w:rsidRDefault="005D372A" w:rsidP="005D372A">
            <w:pPr>
              <w:ind w:left="221" w:hangingChars="100" w:hanging="221"/>
              <w:rPr>
                <w:rFonts w:ascii="ＭＳ 明朝" w:hAnsi="ＭＳ 明朝"/>
                <w:sz w:val="22"/>
                <w:szCs w:val="22"/>
              </w:rPr>
            </w:pPr>
            <w:r w:rsidRPr="001D6D10">
              <w:rPr>
                <w:rFonts w:ascii="ＭＳ 明朝" w:hAnsi="ＭＳ 明朝" w:hint="eastAsia"/>
                <w:sz w:val="22"/>
                <w:szCs w:val="22"/>
              </w:rPr>
              <w:t>・警戒班（大雪注意報時を除く）又は防災・危機管理指令部が活動を開始したとき</w:t>
            </w:r>
          </w:p>
          <w:p w14:paraId="1CD431B9" w14:textId="77777777" w:rsidR="005D372A" w:rsidRPr="001D6D10" w:rsidRDefault="005D372A" w:rsidP="00B84BFC">
            <w:pPr>
              <w:rPr>
                <w:rFonts w:ascii="ＭＳ 明朝" w:hAnsi="ＭＳ 明朝"/>
                <w:sz w:val="22"/>
                <w:szCs w:val="22"/>
              </w:rPr>
            </w:pPr>
            <w:r w:rsidRPr="001D6D10">
              <w:rPr>
                <w:rFonts w:ascii="ＭＳ 明朝" w:hAnsi="ＭＳ 明朝" w:hint="eastAsia"/>
                <w:sz w:val="22"/>
                <w:szCs w:val="22"/>
              </w:rPr>
              <w:t>・その他当該地域防災監が必要と認めたとき</w:t>
            </w:r>
          </w:p>
        </w:tc>
      </w:tr>
      <w:tr w:rsidR="001D6D10" w:rsidRPr="001D6D10" w14:paraId="3426D428" w14:textId="77777777" w:rsidTr="008B4B2B">
        <w:tc>
          <w:tcPr>
            <w:tcW w:w="1526" w:type="dxa"/>
          </w:tcPr>
          <w:p w14:paraId="5488AA85" w14:textId="77777777" w:rsidR="005D372A" w:rsidRPr="001D6D10" w:rsidRDefault="005D372A" w:rsidP="005D372A">
            <w:pPr>
              <w:rPr>
                <w:rFonts w:ascii="ＭＳ 明朝" w:hAnsi="ＭＳ 明朝"/>
                <w:sz w:val="22"/>
                <w:szCs w:val="22"/>
              </w:rPr>
            </w:pPr>
            <w:r w:rsidRPr="001D6D10">
              <w:rPr>
                <w:rFonts w:ascii="ＭＳ 明朝" w:hAnsi="ＭＳ 明朝" w:hint="eastAsia"/>
                <w:sz w:val="22"/>
                <w:szCs w:val="22"/>
              </w:rPr>
              <w:t>②解除基準</w:t>
            </w:r>
          </w:p>
        </w:tc>
        <w:tc>
          <w:tcPr>
            <w:tcW w:w="7513" w:type="dxa"/>
          </w:tcPr>
          <w:p w14:paraId="1A0287E9" w14:textId="77777777" w:rsidR="005D372A" w:rsidRPr="001D6D10" w:rsidRDefault="005D372A" w:rsidP="005D372A">
            <w:pPr>
              <w:rPr>
                <w:rFonts w:ascii="ＭＳ 明朝" w:hAnsi="ＭＳ 明朝"/>
                <w:sz w:val="22"/>
                <w:szCs w:val="22"/>
              </w:rPr>
            </w:pPr>
            <w:r w:rsidRPr="001D6D10">
              <w:rPr>
                <w:rFonts w:ascii="ＭＳ 明朝" w:hAnsi="ＭＳ 明朝" w:hint="eastAsia"/>
                <w:sz w:val="22"/>
                <w:szCs w:val="22"/>
              </w:rPr>
              <w:t>・警戒班又は防災・危機管理指令部の活動が解除されたとき</w:t>
            </w:r>
          </w:p>
          <w:p w14:paraId="6E24B615" w14:textId="77777777" w:rsidR="005D372A" w:rsidRPr="001D6D10" w:rsidRDefault="005D372A" w:rsidP="005D372A">
            <w:pPr>
              <w:rPr>
                <w:rFonts w:ascii="ＭＳ 明朝" w:hAnsi="ＭＳ 明朝"/>
                <w:sz w:val="22"/>
                <w:szCs w:val="22"/>
              </w:rPr>
            </w:pPr>
            <w:r w:rsidRPr="001D6D10">
              <w:rPr>
                <w:rFonts w:ascii="ＭＳ 明朝" w:hAnsi="ＭＳ 明朝" w:hint="eastAsia"/>
                <w:sz w:val="22"/>
                <w:szCs w:val="22"/>
              </w:rPr>
              <w:t>・災害警戒本部が設置されたとき</w:t>
            </w:r>
          </w:p>
          <w:p w14:paraId="116A2590" w14:textId="77777777" w:rsidR="005D372A" w:rsidRPr="001D6D10" w:rsidRDefault="005D372A" w:rsidP="005D372A">
            <w:pPr>
              <w:rPr>
                <w:rFonts w:ascii="ＭＳ 明朝" w:hAnsi="ＭＳ 明朝"/>
                <w:sz w:val="22"/>
                <w:szCs w:val="22"/>
              </w:rPr>
            </w:pPr>
            <w:r w:rsidRPr="001D6D10">
              <w:rPr>
                <w:rFonts w:ascii="ＭＳ 明朝" w:hAnsi="ＭＳ 明朝" w:hint="eastAsia"/>
                <w:sz w:val="22"/>
                <w:szCs w:val="22"/>
              </w:rPr>
              <w:t>・地域警戒班又は地域連絡部が設置されたとき</w:t>
            </w:r>
          </w:p>
          <w:p w14:paraId="302FC860" w14:textId="73CD3525" w:rsidR="005D372A" w:rsidRPr="001D6D10" w:rsidRDefault="005D372A" w:rsidP="00B84BFC">
            <w:pPr>
              <w:rPr>
                <w:rFonts w:ascii="ＭＳ 明朝" w:hAnsi="ＭＳ 明朝"/>
                <w:sz w:val="22"/>
                <w:szCs w:val="22"/>
              </w:rPr>
            </w:pPr>
            <w:r w:rsidRPr="001D6D10">
              <w:rPr>
                <w:rFonts w:ascii="ＭＳ 明朝" w:hAnsi="ＭＳ 明朝" w:hint="eastAsia"/>
                <w:sz w:val="22"/>
                <w:szCs w:val="22"/>
              </w:rPr>
              <w:t>・その他当該地域防災監が認めたとき</w:t>
            </w:r>
          </w:p>
        </w:tc>
      </w:tr>
      <w:tr w:rsidR="001D6D10" w:rsidRPr="001D6D10" w14:paraId="3BA0BC8D" w14:textId="77777777" w:rsidTr="008B4B2B">
        <w:tc>
          <w:tcPr>
            <w:tcW w:w="1526" w:type="dxa"/>
          </w:tcPr>
          <w:p w14:paraId="50A5CEBC" w14:textId="77777777" w:rsidR="005D372A" w:rsidRPr="001D6D10" w:rsidRDefault="005D372A" w:rsidP="005D372A">
            <w:pPr>
              <w:rPr>
                <w:rFonts w:ascii="ＭＳ 明朝" w:hAnsi="ＭＳ 明朝"/>
                <w:sz w:val="22"/>
                <w:szCs w:val="22"/>
              </w:rPr>
            </w:pPr>
            <w:r w:rsidRPr="001D6D10">
              <w:rPr>
                <w:rFonts w:ascii="ＭＳ 明朝" w:hAnsi="ＭＳ 明朝" w:hint="eastAsia"/>
                <w:sz w:val="22"/>
                <w:szCs w:val="22"/>
              </w:rPr>
              <w:t>③対　　象</w:t>
            </w:r>
          </w:p>
        </w:tc>
        <w:tc>
          <w:tcPr>
            <w:tcW w:w="7513" w:type="dxa"/>
          </w:tcPr>
          <w:p w14:paraId="03F8D1BA" w14:textId="77777777" w:rsidR="005D372A" w:rsidRPr="001D6D10" w:rsidRDefault="005D372A" w:rsidP="005D372A">
            <w:pPr>
              <w:ind w:left="221" w:hangingChars="100" w:hanging="221"/>
              <w:rPr>
                <w:rFonts w:ascii="ＭＳ 明朝" w:hAnsi="ＭＳ 明朝"/>
                <w:sz w:val="22"/>
                <w:szCs w:val="22"/>
              </w:rPr>
            </w:pPr>
            <w:r w:rsidRPr="001D6D10">
              <w:rPr>
                <w:rFonts w:ascii="ＭＳ 明朝" w:hAnsi="ＭＳ 明朝" w:hint="eastAsia"/>
                <w:sz w:val="22"/>
                <w:szCs w:val="22"/>
              </w:rPr>
              <w:t>・風水害の場合、警報が発表された気象台の二次細分区域内の市町村を管内に有する土木事務所</w:t>
            </w:r>
          </w:p>
          <w:p w14:paraId="7B926E5C" w14:textId="77777777" w:rsidR="005D372A" w:rsidRPr="001D6D10" w:rsidRDefault="005D372A" w:rsidP="005D372A">
            <w:pPr>
              <w:ind w:left="221" w:hangingChars="100" w:hanging="221"/>
              <w:rPr>
                <w:rFonts w:ascii="ＭＳ 明朝" w:hAnsi="ＭＳ 明朝"/>
                <w:sz w:val="22"/>
                <w:szCs w:val="22"/>
              </w:rPr>
            </w:pPr>
            <w:r w:rsidRPr="001D6D10">
              <w:rPr>
                <w:rFonts w:ascii="ＭＳ 明朝" w:hAnsi="ＭＳ 明朝" w:hint="eastAsia"/>
                <w:sz w:val="22"/>
                <w:szCs w:val="22"/>
              </w:rPr>
              <w:t>・危機事象等の場合、事象が発生した市町村を管内に有る土木事務所及び前記に隣接する土木事務所</w:t>
            </w:r>
          </w:p>
        </w:tc>
      </w:tr>
      <w:tr w:rsidR="001D6D10" w:rsidRPr="001D6D10" w14:paraId="3680429A" w14:textId="77777777" w:rsidTr="008B4B2B">
        <w:tc>
          <w:tcPr>
            <w:tcW w:w="1526" w:type="dxa"/>
          </w:tcPr>
          <w:p w14:paraId="206E5440" w14:textId="77777777" w:rsidR="005D372A" w:rsidRPr="001D6D10" w:rsidRDefault="005D372A" w:rsidP="005D372A">
            <w:pPr>
              <w:rPr>
                <w:rFonts w:ascii="ＭＳ 明朝" w:hAnsi="ＭＳ 明朝"/>
                <w:sz w:val="22"/>
                <w:szCs w:val="22"/>
              </w:rPr>
            </w:pPr>
            <w:r w:rsidRPr="001D6D10">
              <w:rPr>
                <w:rFonts w:ascii="ＭＳ 明朝" w:hAnsi="ＭＳ 明朝" w:hint="eastAsia"/>
                <w:sz w:val="22"/>
                <w:szCs w:val="22"/>
              </w:rPr>
              <w:t>④組　　織</w:t>
            </w:r>
          </w:p>
        </w:tc>
        <w:tc>
          <w:tcPr>
            <w:tcW w:w="7513" w:type="dxa"/>
          </w:tcPr>
          <w:p w14:paraId="43A2EBB9" w14:textId="77777777" w:rsidR="005D372A" w:rsidRPr="001D6D10" w:rsidRDefault="005D372A" w:rsidP="005D372A">
            <w:pPr>
              <w:rPr>
                <w:rFonts w:ascii="ＭＳ 明朝" w:hAnsi="ＭＳ 明朝"/>
                <w:sz w:val="22"/>
                <w:szCs w:val="22"/>
              </w:rPr>
            </w:pPr>
            <w:r w:rsidRPr="001D6D10">
              <w:rPr>
                <w:rFonts w:ascii="ＭＳ 明朝" w:hAnsi="ＭＳ 明朝" w:hint="eastAsia"/>
                <w:sz w:val="22"/>
                <w:szCs w:val="22"/>
              </w:rPr>
              <w:t>【班長】地域防災監又は地域防災監の指名した職員</w:t>
            </w:r>
          </w:p>
          <w:p w14:paraId="5C39F531" w14:textId="2EB3B88A" w:rsidR="005D372A" w:rsidRPr="001D6D10" w:rsidRDefault="00065416" w:rsidP="00B84BFC">
            <w:pPr>
              <w:ind w:left="884" w:hangingChars="400" w:hanging="884"/>
              <w:rPr>
                <w:rFonts w:ascii="ＭＳ 明朝" w:hAnsi="ＭＳ 明朝"/>
                <w:sz w:val="22"/>
                <w:szCs w:val="22"/>
              </w:rPr>
            </w:pPr>
            <w:r w:rsidRPr="001D6D10">
              <w:rPr>
                <w:rFonts w:ascii="ＭＳ 明朝" w:hAnsi="ＭＳ 明朝" w:hint="eastAsia"/>
                <w:sz w:val="22"/>
                <w:szCs w:val="22"/>
              </w:rPr>
              <w:t>【班員】土木事務所主査及び土木事務所所管区域に所在する知事部局の</w:t>
            </w:r>
            <w:r w:rsidR="006842E1" w:rsidRPr="001D6D10">
              <w:rPr>
                <w:rFonts w:ascii="ＭＳ 明朝" w:hAnsi="ＭＳ 明朝" w:hint="eastAsia"/>
                <w:sz w:val="22"/>
                <w:szCs w:val="22"/>
              </w:rPr>
              <w:t>出先機関（以下「</w:t>
            </w:r>
            <w:r w:rsidR="00E2290D" w:rsidRPr="001D6D10">
              <w:rPr>
                <w:rFonts w:ascii="ＭＳ 明朝" w:hAnsi="ＭＳ 明朝" w:hint="eastAsia"/>
                <w:sz w:val="22"/>
                <w:szCs w:val="22"/>
              </w:rPr>
              <w:t>土木事務所所管区域</w:t>
            </w:r>
            <w:r w:rsidR="006842E1" w:rsidRPr="001D6D10">
              <w:rPr>
                <w:rFonts w:ascii="ＭＳ 明朝" w:hAnsi="ＭＳ 明朝" w:hint="eastAsia"/>
                <w:sz w:val="22"/>
                <w:szCs w:val="22"/>
              </w:rPr>
              <w:t>出先機関」という。）職員</w:t>
            </w:r>
            <w:r w:rsidR="007A0DA5" w:rsidRPr="001D6D10">
              <w:rPr>
                <w:rFonts w:ascii="ＭＳ 明朝" w:hAnsi="ＭＳ 明朝" w:hint="eastAsia"/>
                <w:sz w:val="22"/>
                <w:szCs w:val="22"/>
              </w:rPr>
              <w:t>で知事</w:t>
            </w:r>
            <w:r w:rsidR="00B84BFC" w:rsidRPr="001D6D10">
              <w:rPr>
                <w:rFonts w:ascii="ＭＳ 明朝" w:hAnsi="ＭＳ 明朝" w:hint="eastAsia"/>
                <w:sz w:val="22"/>
                <w:szCs w:val="22"/>
              </w:rPr>
              <w:t>の</w:t>
            </w:r>
            <w:r w:rsidR="007A0DA5" w:rsidRPr="001D6D10">
              <w:rPr>
                <w:rFonts w:ascii="ＭＳ 明朝" w:hAnsi="ＭＳ 明朝" w:hint="eastAsia"/>
                <w:sz w:val="22"/>
                <w:szCs w:val="22"/>
              </w:rPr>
              <w:t>指名</w:t>
            </w:r>
            <w:r w:rsidR="005D372A" w:rsidRPr="001D6D10">
              <w:rPr>
                <w:rFonts w:ascii="ＭＳ 明朝" w:hAnsi="ＭＳ 明朝" w:hint="eastAsia"/>
                <w:sz w:val="22"/>
                <w:szCs w:val="22"/>
              </w:rPr>
              <w:t>した職員</w:t>
            </w:r>
          </w:p>
        </w:tc>
      </w:tr>
      <w:tr w:rsidR="005D372A" w:rsidRPr="001D6D10" w14:paraId="2055DCB1" w14:textId="77777777" w:rsidTr="008B4B2B">
        <w:tc>
          <w:tcPr>
            <w:tcW w:w="1526" w:type="dxa"/>
          </w:tcPr>
          <w:p w14:paraId="7187D3B3" w14:textId="77777777" w:rsidR="005D372A" w:rsidRPr="001D6D10" w:rsidRDefault="005D372A" w:rsidP="005D372A">
            <w:pPr>
              <w:rPr>
                <w:rFonts w:ascii="ＭＳ 明朝" w:hAnsi="ＭＳ 明朝"/>
                <w:sz w:val="22"/>
                <w:szCs w:val="22"/>
              </w:rPr>
            </w:pPr>
            <w:r w:rsidRPr="001D6D10">
              <w:rPr>
                <w:rFonts w:ascii="ＭＳ 明朝" w:hAnsi="ＭＳ 明朝" w:hint="eastAsia"/>
                <w:sz w:val="22"/>
                <w:szCs w:val="22"/>
              </w:rPr>
              <w:t>⑤活動内容</w:t>
            </w:r>
          </w:p>
        </w:tc>
        <w:tc>
          <w:tcPr>
            <w:tcW w:w="7513" w:type="dxa"/>
          </w:tcPr>
          <w:p w14:paraId="02D17E5B" w14:textId="77777777" w:rsidR="005D372A" w:rsidRPr="001D6D10" w:rsidRDefault="005D372A" w:rsidP="005D372A">
            <w:pPr>
              <w:rPr>
                <w:rFonts w:ascii="ＭＳ 明朝" w:hAnsi="ＭＳ 明朝"/>
                <w:sz w:val="22"/>
                <w:szCs w:val="22"/>
              </w:rPr>
            </w:pPr>
            <w:r w:rsidRPr="001D6D10">
              <w:rPr>
                <w:rFonts w:ascii="ＭＳ 明朝" w:hAnsi="ＭＳ 明朝" w:hint="eastAsia"/>
                <w:sz w:val="22"/>
                <w:szCs w:val="22"/>
              </w:rPr>
              <w:t>・府民センタービルの被害把握</w:t>
            </w:r>
          </w:p>
          <w:p w14:paraId="39E91425" w14:textId="77777777" w:rsidR="005D372A" w:rsidRPr="001D6D10" w:rsidRDefault="005D372A" w:rsidP="005D372A">
            <w:pPr>
              <w:rPr>
                <w:rFonts w:ascii="ＭＳ 明朝" w:hAnsi="ＭＳ 明朝"/>
                <w:sz w:val="22"/>
                <w:szCs w:val="22"/>
              </w:rPr>
            </w:pPr>
            <w:r w:rsidRPr="001D6D10">
              <w:rPr>
                <w:rFonts w:ascii="ＭＳ 明朝" w:hAnsi="ＭＳ 明朝" w:hint="eastAsia"/>
                <w:sz w:val="22"/>
                <w:szCs w:val="22"/>
              </w:rPr>
              <w:t>・管内市町村防災体制の把握</w:t>
            </w:r>
          </w:p>
          <w:p w14:paraId="3DB693EE" w14:textId="77777777" w:rsidR="005D372A" w:rsidRPr="001D6D10" w:rsidRDefault="005D372A" w:rsidP="005D372A">
            <w:pPr>
              <w:rPr>
                <w:rFonts w:ascii="ＭＳ 明朝" w:hAnsi="ＭＳ 明朝"/>
                <w:sz w:val="22"/>
                <w:szCs w:val="22"/>
              </w:rPr>
            </w:pPr>
            <w:r w:rsidRPr="001D6D10">
              <w:rPr>
                <w:rFonts w:ascii="ＭＳ 明朝" w:hAnsi="ＭＳ 明朝" w:hint="eastAsia"/>
                <w:sz w:val="22"/>
                <w:szCs w:val="22"/>
              </w:rPr>
              <w:t>・管内市町村の被害状況・気象実況等の収集　など</w:t>
            </w:r>
          </w:p>
        </w:tc>
      </w:tr>
    </w:tbl>
    <w:p w14:paraId="3DB85BD1" w14:textId="77777777" w:rsidR="00065416" w:rsidRPr="001D6D10" w:rsidRDefault="00065416" w:rsidP="005D372A">
      <w:pPr>
        <w:rPr>
          <w:rFonts w:ascii="ＭＳ 明朝" w:hAnsi="ＭＳ 明朝"/>
          <w:sz w:val="22"/>
          <w:szCs w:val="22"/>
        </w:rPr>
      </w:pPr>
    </w:p>
    <w:p w14:paraId="64A72D21" w14:textId="77777777" w:rsidR="006842E1" w:rsidRPr="001D6D10" w:rsidRDefault="006842E1" w:rsidP="005D372A">
      <w:pPr>
        <w:rPr>
          <w:rFonts w:ascii="ＭＳ 明朝" w:hAnsi="ＭＳ 明朝"/>
          <w:sz w:val="22"/>
          <w:szCs w:val="22"/>
        </w:rPr>
      </w:pPr>
    </w:p>
    <w:p w14:paraId="08618F75" w14:textId="77777777" w:rsidR="00930C0D" w:rsidRDefault="00930C0D">
      <w:pPr>
        <w:widowControl/>
        <w:jc w:val="left"/>
        <w:rPr>
          <w:rFonts w:ascii="ＭＳ 明朝" w:hAnsi="ＭＳ 明朝"/>
          <w:sz w:val="22"/>
          <w:szCs w:val="22"/>
        </w:rPr>
      </w:pPr>
      <w:r>
        <w:rPr>
          <w:rFonts w:ascii="ＭＳ 明朝" w:hAnsi="ＭＳ 明朝"/>
          <w:sz w:val="22"/>
          <w:szCs w:val="22"/>
        </w:rPr>
        <w:br w:type="page"/>
      </w:r>
    </w:p>
    <w:p w14:paraId="7C7B25DF" w14:textId="7B5F0C23" w:rsidR="005D372A" w:rsidRPr="001D6D10" w:rsidRDefault="005D372A" w:rsidP="005D372A">
      <w:pPr>
        <w:rPr>
          <w:rFonts w:ascii="ＭＳ 明朝" w:hAnsi="ＭＳ 明朝"/>
          <w:sz w:val="22"/>
          <w:szCs w:val="22"/>
        </w:rPr>
      </w:pPr>
      <w:r w:rsidRPr="001D6D10">
        <w:rPr>
          <w:noProof/>
        </w:rPr>
        <w:lastRenderedPageBreak/>
        <mc:AlternateContent>
          <mc:Choice Requires="wps">
            <w:drawing>
              <wp:anchor distT="0" distB="0" distL="114300" distR="114300" simplePos="0" relativeHeight="252904448" behindDoc="0" locked="0" layoutInCell="1" allowOverlap="1" wp14:anchorId="74E8CFA9" wp14:editId="033B8E13">
                <wp:simplePos x="0" y="0"/>
                <wp:positionH relativeFrom="column">
                  <wp:posOffset>-158750</wp:posOffset>
                </wp:positionH>
                <wp:positionV relativeFrom="paragraph">
                  <wp:posOffset>175895</wp:posOffset>
                </wp:positionV>
                <wp:extent cx="2514600" cy="608330"/>
                <wp:effectExtent l="38100" t="19050" r="57150" b="20320"/>
                <wp:wrapNone/>
                <wp:docPr id="4428" name="AutoShape 1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514600" cy="608330"/>
                        </a:xfrm>
                        <a:prstGeom prst="star16">
                          <a:avLst>
                            <a:gd name="adj" fmla="val 37500"/>
                          </a:avLst>
                        </a:prstGeom>
                        <a:solidFill>
                          <a:srgbClr val="FFFFFF"/>
                        </a:solidFill>
                        <a:ln w="9525" algn="ctr">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14:paraId="5B41DDD7" w14:textId="77777777" w:rsidR="006A5267" w:rsidRPr="00E64C8D" w:rsidRDefault="006A5267" w:rsidP="005D372A">
                            <w:pPr>
                              <w:spacing w:line="200" w:lineRule="exact"/>
                              <w:rPr>
                                <w:rFonts w:ascii="ＭＳ ゴシック" w:eastAsia="ＭＳ ゴシック" w:hAnsi="ＭＳ ゴシック"/>
                                <w:sz w:val="20"/>
                                <w:szCs w:val="20"/>
                              </w:rPr>
                            </w:pPr>
                            <w:r>
                              <w:rPr>
                                <w:rFonts w:ascii="ＭＳ ゴシック" w:eastAsia="ＭＳ ゴシック" w:hAnsi="ＭＳ ゴシック" w:hint="eastAsia"/>
                                <w:sz w:val="20"/>
                                <w:szCs w:val="20"/>
                              </w:rPr>
                              <w:t>災害等発生のおそれがある情報</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shape w14:anchorId="74E8CFA9" id="AutoShape 14" o:spid="_x0000_s1066" type="#_x0000_t59" style="position:absolute;left:0;text-align:left;margin-left:-12.5pt;margin-top:13.85pt;width:198pt;height:47.9pt;z-index:2529044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">
                <v:textbox inset="5.85pt,.7pt,5.85pt,.7pt">
                  <w:txbxContent>
                    <w:p w14:paraId="5B41DDD7" w14:textId="77777777" w:rsidR="006A5267" w:rsidRPr="00E64C8D" w:rsidRDefault="006A5267" w:rsidP="005D372A">
                      <w:pPr>
                        <w:spacing w:line="200" w:lineRule="exact"/>
                        <w:rPr>
                          <w:rFonts w:ascii="ＭＳ ゴシック" w:eastAsia="ＭＳ ゴシック" w:hAnsi="ＭＳ ゴシック"/>
                          <w:sz w:val="20"/>
                          <w:szCs w:val="20"/>
                        </w:rPr>
                      </w:pPr>
                      <w:r>
                        <w:rPr>
                          <w:rFonts w:ascii="ＭＳ ゴシック" w:eastAsia="ＭＳ ゴシック" w:hAnsi="ＭＳ ゴシック" w:hint="eastAsia"/>
                          <w:sz w:val="20"/>
                          <w:szCs w:val="20"/>
                        </w:rPr>
                        <w:t>災害等発生のおそれがある情報</w:t>
                      </w:r>
                    </w:p>
                  </w:txbxContent>
                </v:textbox>
              </v:shape>
            </w:pict>
          </mc:Fallback>
        </mc:AlternateContent>
      </w:r>
    </w:p>
    <w:p w14:paraId="1B68E8E1" w14:textId="77777777" w:rsidR="00065416" w:rsidRPr="001D6D10" w:rsidRDefault="00065416" w:rsidP="005D372A">
      <w:pPr>
        <w:rPr>
          <w:rFonts w:ascii="ＭＳ 明朝" w:hAnsi="ＭＳ 明朝"/>
          <w:sz w:val="22"/>
          <w:szCs w:val="22"/>
        </w:rPr>
      </w:pPr>
    </w:p>
    <w:p w14:paraId="22BAC5CC" w14:textId="77777777" w:rsidR="005D372A" w:rsidRPr="001D6D10" w:rsidRDefault="005D372A" w:rsidP="005D372A">
      <w:pPr>
        <w:rPr>
          <w:rFonts w:ascii="ＭＳ 明朝" w:hAnsi="ＭＳ 明朝"/>
          <w:sz w:val="22"/>
          <w:szCs w:val="22"/>
        </w:rPr>
      </w:pPr>
    </w:p>
    <w:p w14:paraId="7242F694" w14:textId="77777777" w:rsidR="005D372A" w:rsidRPr="001D6D10" w:rsidRDefault="005D372A" w:rsidP="005D372A">
      <w:pPr>
        <w:rPr>
          <w:rFonts w:ascii="ＭＳ 明朝" w:hAnsi="ＭＳ 明朝"/>
          <w:sz w:val="22"/>
          <w:szCs w:val="22"/>
        </w:rPr>
      </w:pPr>
      <w:r w:rsidRPr="001D6D10">
        <w:rPr>
          <w:noProof/>
        </w:rPr>
        <mc:AlternateContent>
          <mc:Choice Requires="wps">
            <w:drawing>
              <wp:anchor distT="0" distB="0" distL="114299" distR="114299" simplePos="0" relativeHeight="252905472" behindDoc="0" locked="0" layoutInCell="1" allowOverlap="1" wp14:anchorId="45D703B4" wp14:editId="1EC628C0">
                <wp:simplePos x="0" y="0"/>
                <wp:positionH relativeFrom="column">
                  <wp:posOffset>420369</wp:posOffset>
                </wp:positionH>
                <wp:positionV relativeFrom="paragraph">
                  <wp:posOffset>5715</wp:posOffset>
                </wp:positionV>
                <wp:extent cx="0" cy="295910"/>
                <wp:effectExtent l="76200" t="0" r="38100" b="46990"/>
                <wp:wrapNone/>
                <wp:docPr id="4429" name="Line 7"/>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0" cy="29591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line w14:anchorId="3B492E8C" id="Line 7" o:spid="_x0000_s1026" style="position:absolute;left:0;text-align:left;z-index:252905472;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from="33.1pt,.45pt" to="33.1pt,23.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">
                <v:stroke endarrow="block"/>
                <o:lock v:ext="edit" shapetype="f"/>
              </v:line>
            </w:pict>
          </mc:Fallback>
        </mc:AlternateContent>
      </w:r>
    </w:p>
    <w:p w14:paraId="0DFA72F2" w14:textId="77777777" w:rsidR="005D372A" w:rsidRPr="001D6D10" w:rsidRDefault="005D372A" w:rsidP="005D372A">
      <w:pPr>
        <w:rPr>
          <w:rFonts w:ascii="ＭＳ 明朝" w:hAnsi="ＭＳ 明朝"/>
          <w:sz w:val="22"/>
          <w:szCs w:val="22"/>
        </w:rPr>
      </w:pPr>
      <w:r w:rsidRPr="001D6D10">
        <w:rPr>
          <w:rFonts w:ascii="ＭＳ 明朝" w:hAnsi="ＭＳ 明朝" w:hint="eastAsia"/>
          <w:noProof/>
          <w:sz w:val="22"/>
          <w:szCs w:val="22"/>
        </w:rPr>
        <mc:AlternateContent>
          <mc:Choice Requires="wps">
            <w:drawing>
              <wp:anchor distT="0" distB="0" distL="114300" distR="114300" simplePos="0" relativeHeight="252902400" behindDoc="0" locked="0" layoutInCell="1" allowOverlap="1" wp14:anchorId="3399B794" wp14:editId="331609EC">
                <wp:simplePos x="0" y="0"/>
                <wp:positionH relativeFrom="column">
                  <wp:posOffset>1524000</wp:posOffset>
                </wp:positionH>
                <wp:positionV relativeFrom="paragraph">
                  <wp:posOffset>125095</wp:posOffset>
                </wp:positionV>
                <wp:extent cx="783590" cy="297180"/>
                <wp:effectExtent l="0" t="0" r="0" b="7620"/>
                <wp:wrapNone/>
                <wp:docPr id="4430" name="Text Box 379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83590" cy="297180"/>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lgn="ctr">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55436418" w14:textId="77777777" w:rsidR="006A5267" w:rsidRDefault="006A5267" w:rsidP="005D372A">
                            <w:pPr>
                              <w:jc w:val="center"/>
                            </w:pPr>
                            <w:r>
                              <w:rPr>
                                <w:rFonts w:ascii="ＭＳ ゴシック" w:eastAsia="ＭＳ ゴシック" w:hAnsi="ＭＳ ゴシック" w:hint="eastAsia"/>
                                <w:sz w:val="20"/>
                                <w:szCs w:val="20"/>
                              </w:rPr>
                              <w:t>連絡</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shape w14:anchorId="3399B794" id="Text Box 3792" o:spid="_x0000_s1067" type="#_x0000_t202" style="position:absolute;left:0;text-align:left;margin-left:120pt;margin-top:9.85pt;width:61.7pt;height:23.4pt;z-index:2529024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" filled="f" stroked="f">
                <v:textbox inset="5.85pt,.7pt,5.85pt,.7pt">
                  <w:txbxContent>
                    <w:p w14:paraId="55436418" w14:textId="77777777" w:rsidR="006A5267" w:rsidRDefault="006A5267" w:rsidP="005D372A">
                      <w:pPr>
                        <w:jc w:val="center"/>
                      </w:pPr>
                      <w:r>
                        <w:rPr>
                          <w:rFonts w:ascii="ＭＳ ゴシック" w:eastAsia="ＭＳ ゴシック" w:hAnsi="ＭＳ ゴシック" w:hint="eastAsia"/>
                          <w:sz w:val="20"/>
                          <w:szCs w:val="20"/>
                        </w:rPr>
                        <w:t>連絡</w:t>
                      </w:r>
                    </w:p>
                  </w:txbxContent>
                </v:textbox>
              </v:shape>
            </w:pict>
          </mc:Fallback>
        </mc:AlternateContent>
      </w:r>
      <w:r w:rsidRPr="001D6D10">
        <w:rPr>
          <w:rFonts w:ascii="ＭＳ 明朝" w:hAnsi="ＭＳ 明朝" w:hint="eastAsia"/>
          <w:noProof/>
          <w:sz w:val="22"/>
          <w:szCs w:val="22"/>
        </w:rPr>
        <mc:AlternateContent>
          <mc:Choice Requires="wps">
            <w:drawing>
              <wp:anchor distT="0" distB="0" distL="114300" distR="114300" simplePos="0" relativeHeight="252907520" behindDoc="0" locked="0" layoutInCell="1" allowOverlap="1" wp14:anchorId="315D355F" wp14:editId="6F8767BE">
                <wp:simplePos x="0" y="0"/>
                <wp:positionH relativeFrom="column">
                  <wp:posOffset>2160905</wp:posOffset>
                </wp:positionH>
                <wp:positionV relativeFrom="paragraph">
                  <wp:posOffset>90805</wp:posOffset>
                </wp:positionV>
                <wp:extent cx="1127125" cy="531495"/>
                <wp:effectExtent l="0" t="0" r="15875" b="20955"/>
                <wp:wrapNone/>
                <wp:docPr id="4431" name="Text Box 378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27125" cy="531495"/>
                        </a:xfrm>
                        <a:prstGeom prst="rect">
                          <a:avLst/>
                        </a:prstGeom>
                        <a:solidFill>
                          <a:srgbClr val="FFFFFF"/>
                        </a:solidFill>
                        <a:ln w="9525" algn="ctr">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14:paraId="304687CD" w14:textId="77777777" w:rsidR="006A5267" w:rsidRDefault="006A5267" w:rsidP="005D372A">
                            <w:pPr>
                              <w:jc w:val="center"/>
                              <w:rPr>
                                <w:rFonts w:ascii="ＭＳ ゴシック" w:eastAsia="ＭＳ ゴシック" w:hAnsi="ＭＳ ゴシック"/>
                                <w:sz w:val="20"/>
                                <w:szCs w:val="20"/>
                              </w:rPr>
                            </w:pPr>
                            <w:r>
                              <w:rPr>
                                <w:rFonts w:ascii="ＭＳ ゴシック" w:eastAsia="ＭＳ ゴシック" w:hAnsi="ＭＳ ゴシック" w:hint="eastAsia"/>
                                <w:sz w:val="20"/>
                                <w:szCs w:val="20"/>
                              </w:rPr>
                              <w:t>危機管理室</w:t>
                            </w:r>
                          </w:p>
                          <w:p w14:paraId="1CD4A33C" w14:textId="77777777" w:rsidR="006A5267" w:rsidRDefault="006A5267" w:rsidP="005D372A">
                            <w:pPr>
                              <w:jc w:val="center"/>
                            </w:pPr>
                            <w:r>
                              <w:rPr>
                                <w:rFonts w:ascii="ＭＳ ゴシック" w:eastAsia="ＭＳ ゴシック" w:hAnsi="ＭＳ ゴシック" w:hint="eastAsia"/>
                                <w:sz w:val="20"/>
                                <w:szCs w:val="20"/>
                              </w:rPr>
                              <w:t>担当課長補佐</w:t>
                            </w:r>
                          </w:p>
                        </w:txbxContent>
                      </wps:txbx>
                      <wps:bodyPr rot="0" vert="horz" wrap="square" lIns="74295" tIns="8890" rIns="74295" bIns="8890" anchor="ctr" anchorCtr="0" upright="1">
                        <a:noAutofit/>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shape w14:anchorId="315D355F" id="Text Box 3788" o:spid="_x0000_s1068" type="#_x0000_t202" style="position:absolute;left:0;text-align:left;margin-left:170.15pt;margin-top:7.15pt;width:88.75pt;height:41.85pt;z-index:2529075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">
                <v:textbox inset="5.85pt,.7pt,5.85pt,.7pt">
                  <w:txbxContent>
                    <w:p w14:paraId="304687CD" w14:textId="77777777" w:rsidR="006A5267" w:rsidRDefault="006A5267" w:rsidP="005D372A">
                      <w:pPr>
                        <w:jc w:val="center"/>
                        <w:rPr>
                          <w:rFonts w:ascii="ＭＳ ゴシック" w:eastAsia="ＭＳ ゴシック" w:hAnsi="ＭＳ ゴシック"/>
                          <w:sz w:val="20"/>
                          <w:szCs w:val="20"/>
                        </w:rPr>
                      </w:pPr>
                      <w:r>
                        <w:rPr>
                          <w:rFonts w:ascii="ＭＳ ゴシック" w:eastAsia="ＭＳ ゴシック" w:hAnsi="ＭＳ ゴシック" w:hint="eastAsia"/>
                          <w:sz w:val="20"/>
                          <w:szCs w:val="20"/>
                        </w:rPr>
                        <w:t>危機管理室</w:t>
                      </w:r>
                    </w:p>
                    <w:p w14:paraId="1CD4A33C" w14:textId="77777777" w:rsidR="006A5267" w:rsidRDefault="006A5267" w:rsidP="005D372A">
                      <w:pPr>
                        <w:jc w:val="center"/>
                      </w:pPr>
                      <w:r>
                        <w:rPr>
                          <w:rFonts w:ascii="ＭＳ ゴシック" w:eastAsia="ＭＳ ゴシック" w:hAnsi="ＭＳ ゴシック" w:hint="eastAsia"/>
                          <w:sz w:val="20"/>
                          <w:szCs w:val="20"/>
                        </w:rPr>
                        <w:t>担当課長補佐</w:t>
                      </w:r>
                    </w:p>
                  </w:txbxContent>
                </v:textbox>
              </v:shape>
            </w:pict>
          </mc:Fallback>
        </mc:AlternateContent>
      </w:r>
      <w:r w:rsidRPr="001D6D10">
        <w:rPr>
          <w:noProof/>
        </w:rPr>
        <mc:AlternateContent>
          <mc:Choice Requires="wps">
            <w:drawing>
              <wp:anchor distT="0" distB="0" distL="114300" distR="114300" simplePos="0" relativeHeight="252906496" behindDoc="0" locked="0" layoutInCell="1" allowOverlap="1" wp14:anchorId="15349880" wp14:editId="38A3C907">
                <wp:simplePos x="0" y="0"/>
                <wp:positionH relativeFrom="column">
                  <wp:posOffset>-234315</wp:posOffset>
                </wp:positionH>
                <wp:positionV relativeFrom="paragraph">
                  <wp:posOffset>90805</wp:posOffset>
                </wp:positionV>
                <wp:extent cx="1905000" cy="537210"/>
                <wp:effectExtent l="0" t="0" r="19050" b="15240"/>
                <wp:wrapNone/>
                <wp:docPr id="4432" name="AutoShape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905000" cy="537210"/>
                        </a:xfrm>
                        <a:prstGeom prst="roundRect">
                          <a:avLst>
                            <a:gd name="adj" fmla="val 16667"/>
                          </a:avLst>
                        </a:prstGeom>
                        <a:solidFill>
                          <a:srgbClr val="FFFFFF"/>
                        </a:solidFill>
                        <a:ln w="9525">
                          <a:solidFill>
                            <a:srgbClr val="000000"/>
                          </a:solidFill>
                          <a:round/>
                          <a:headEnd/>
                          <a:tailEnd/>
                        </a:ln>
                      </wps:spPr>
                      <wps:txbx>
                        <w:txbxContent>
                          <w:p w14:paraId="6752CE0C" w14:textId="77777777" w:rsidR="006A5267" w:rsidRDefault="006A5267" w:rsidP="005D372A">
                            <w:pPr>
                              <w:jc w:val="left"/>
                              <w:rPr>
                                <w:rFonts w:ascii="ＭＳ ゴシック" w:eastAsia="ＭＳ ゴシック" w:hAnsi="ＭＳ ゴシック"/>
                                <w:sz w:val="20"/>
                                <w:szCs w:val="20"/>
                              </w:rPr>
                            </w:pPr>
                            <w:r>
                              <w:rPr>
                                <w:rFonts w:ascii="ＭＳ ゴシック" w:eastAsia="ＭＳ ゴシック" w:hAnsi="ＭＳ ゴシック" w:hint="eastAsia"/>
                                <w:sz w:val="20"/>
                                <w:szCs w:val="20"/>
                              </w:rPr>
                              <w:t>時間内：危機管理室他</w:t>
                            </w:r>
                          </w:p>
                          <w:p w14:paraId="6EB78E2E" w14:textId="77777777" w:rsidR="006A5267" w:rsidRPr="007574F0" w:rsidRDefault="006A5267" w:rsidP="005D372A">
                            <w:pPr>
                              <w:jc w:val="left"/>
                            </w:pPr>
                            <w:r>
                              <w:rPr>
                                <w:rFonts w:ascii="ＭＳ ゴシック" w:eastAsia="ＭＳ ゴシック" w:hAnsi="ＭＳ ゴシック" w:hint="eastAsia"/>
                                <w:sz w:val="20"/>
                                <w:szCs w:val="20"/>
                              </w:rPr>
                              <w:t>時間外：防災・危機管理当直</w:t>
                            </w:r>
                          </w:p>
                        </w:txbxContent>
                      </wps:txbx>
                      <wps:bodyPr rot="0" vert="horz" wrap="square" lIns="74295" tIns="8890" rIns="74295" bIns="8890" anchor="ctr" anchorCtr="0" upright="1">
                        <a:noAutofit/>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roundrect w14:anchorId="15349880" id="AutoShape 3" o:spid="_x0000_s1069" style="position:absolute;left:0;text-align:left;margin-left:-18.45pt;margin-top:7.15pt;width:150pt;height:42.3pt;z-index:2529064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">
                <v:textbox inset="5.85pt,.7pt,5.85pt,.7pt">
                  <w:txbxContent>
                    <w:p w14:paraId="6752CE0C" w14:textId="77777777" w:rsidR="006A5267" w:rsidRDefault="006A5267" w:rsidP="005D372A">
                      <w:pPr>
                        <w:jc w:val="left"/>
                        <w:rPr>
                          <w:rFonts w:ascii="ＭＳ ゴシック" w:eastAsia="ＭＳ ゴシック" w:hAnsi="ＭＳ ゴシック"/>
                          <w:sz w:val="20"/>
                          <w:szCs w:val="20"/>
                        </w:rPr>
                      </w:pPr>
                      <w:r>
                        <w:rPr>
                          <w:rFonts w:ascii="ＭＳ ゴシック" w:eastAsia="ＭＳ ゴシック" w:hAnsi="ＭＳ ゴシック" w:hint="eastAsia"/>
                          <w:sz w:val="20"/>
                          <w:szCs w:val="20"/>
                        </w:rPr>
                        <w:t>時間内：危機管理室他</w:t>
                      </w:r>
                    </w:p>
                    <w:p w14:paraId="6EB78E2E" w14:textId="77777777" w:rsidR="006A5267" w:rsidRPr="007574F0" w:rsidRDefault="006A5267" w:rsidP="005D372A">
                      <w:pPr>
                        <w:jc w:val="left"/>
                      </w:pPr>
                      <w:r>
                        <w:rPr>
                          <w:rFonts w:ascii="ＭＳ ゴシック" w:eastAsia="ＭＳ ゴシック" w:hAnsi="ＭＳ ゴシック" w:hint="eastAsia"/>
                          <w:sz w:val="20"/>
                          <w:szCs w:val="20"/>
                        </w:rPr>
                        <w:t>時間外：防災・危機管理当直</w:t>
                      </w:r>
                    </w:p>
                  </w:txbxContent>
                </v:textbox>
              </v:roundrect>
            </w:pict>
          </mc:Fallback>
        </mc:AlternateContent>
      </w:r>
    </w:p>
    <w:p w14:paraId="5C186609" w14:textId="77777777" w:rsidR="005D372A" w:rsidRPr="001D6D10" w:rsidRDefault="005D372A" w:rsidP="005D372A">
      <w:pPr>
        <w:rPr>
          <w:rFonts w:ascii="ＭＳ 明朝" w:hAnsi="ＭＳ 明朝"/>
          <w:sz w:val="22"/>
          <w:szCs w:val="22"/>
        </w:rPr>
      </w:pPr>
      <w:r w:rsidRPr="001D6D10">
        <w:rPr>
          <w:rFonts w:ascii="ＭＳ 明朝" w:hAnsi="ＭＳ 明朝" w:hint="eastAsia"/>
          <w:noProof/>
          <w:sz w:val="22"/>
          <w:szCs w:val="22"/>
        </w:rPr>
        <mc:AlternateContent>
          <mc:Choice Requires="wps">
            <w:drawing>
              <wp:anchor distT="0" distB="0" distL="114300" distR="114300" simplePos="0" relativeHeight="252911616" behindDoc="0" locked="0" layoutInCell="1" allowOverlap="1" wp14:anchorId="16E398A3" wp14:editId="7E63E5AF">
                <wp:simplePos x="0" y="0"/>
                <wp:positionH relativeFrom="column">
                  <wp:posOffset>1666240</wp:posOffset>
                </wp:positionH>
                <wp:positionV relativeFrom="paragraph">
                  <wp:posOffset>129540</wp:posOffset>
                </wp:positionV>
                <wp:extent cx="485775" cy="0"/>
                <wp:effectExtent l="0" t="76200" r="28575" b="95250"/>
                <wp:wrapNone/>
                <wp:docPr id="4433" name="AutoShape 379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85775" cy="0"/>
                        </a:xfrm>
                        <a:prstGeom prst="straightConnector1">
                          <a:avLst/>
                        </a:prstGeom>
                        <a:noFill/>
                        <a:ln w="9525">
                          <a:solidFill>
                            <a:srgbClr val="000000"/>
                          </a:solidFill>
                          <a:round/>
                          <a:headEnd/>
                          <a:tailEnd type="triangle" w="med"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shapetype w14:anchorId="5A97ADD5" id="_x0000_t32" coordsize="21600,21600" o:spt="32" o:oned="t" path="m,l21600,21600e" filled="f">
                <v:path arrowok="t" fillok="f" o:connecttype="none"/>
                <o:lock v:ext="edit" shapetype="t"/>
              </v:shapetype>
              <v:shape id="AutoShape 3796" o:spid="_x0000_s1026" type="#_x0000_t32" style="position:absolute;left:0;text-align:left;margin-left:131.2pt;margin-top:10.2pt;width:38.25pt;height:0;z-index:2529116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">
                <v:stroke endarrow="block"/>
              </v:shape>
            </w:pict>
          </mc:Fallback>
        </mc:AlternateContent>
      </w:r>
    </w:p>
    <w:p w14:paraId="2F0F42FC" w14:textId="77777777" w:rsidR="005D372A" w:rsidRPr="001D6D10" w:rsidRDefault="005D372A" w:rsidP="005D372A">
      <w:pPr>
        <w:rPr>
          <w:rFonts w:ascii="ＭＳ 明朝" w:hAnsi="ＭＳ 明朝"/>
          <w:sz w:val="22"/>
          <w:szCs w:val="22"/>
        </w:rPr>
      </w:pPr>
      <w:r w:rsidRPr="001D6D10">
        <w:rPr>
          <w:rFonts w:ascii="ＭＳ 明朝" w:hAnsi="ＭＳ 明朝" w:hint="eastAsia"/>
          <w:noProof/>
          <w:sz w:val="22"/>
          <w:szCs w:val="22"/>
        </w:rPr>
        <mc:AlternateContent>
          <mc:Choice Requires="wps">
            <w:drawing>
              <wp:anchor distT="0" distB="0" distL="114300" distR="114300" simplePos="0" relativeHeight="252910592" behindDoc="0" locked="0" layoutInCell="1" allowOverlap="1" wp14:anchorId="64735745" wp14:editId="596F6A1A">
                <wp:simplePos x="0" y="0"/>
                <wp:positionH relativeFrom="column">
                  <wp:posOffset>2698750</wp:posOffset>
                </wp:positionH>
                <wp:positionV relativeFrom="paragraph">
                  <wp:posOffset>179705</wp:posOffset>
                </wp:positionV>
                <wp:extent cx="0" cy="836295"/>
                <wp:effectExtent l="76200" t="0" r="57150" b="59055"/>
                <wp:wrapNone/>
                <wp:docPr id="4434" name="AutoShape 379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836295"/>
                        </a:xfrm>
                        <a:prstGeom prst="straightConnector1">
                          <a:avLst/>
                        </a:prstGeom>
                        <a:noFill/>
                        <a:ln w="9525">
                          <a:solidFill>
                            <a:srgbClr val="000000"/>
                          </a:solidFill>
                          <a:round/>
                          <a:headEnd/>
                          <a:tailEnd type="triangle" w="med"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shape w14:anchorId="1BC21CF6" id="AutoShape 3795" o:spid="_x0000_s1026" type="#_x0000_t32" style="position:absolute;left:0;text-align:left;margin-left:212.5pt;margin-top:14.15pt;width:0;height:65.85pt;z-index:2529105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">
                <v:stroke endarrow="block"/>
              </v:shape>
            </w:pict>
          </mc:Fallback>
        </mc:AlternateContent>
      </w:r>
    </w:p>
    <w:p w14:paraId="77897D9C" w14:textId="77777777" w:rsidR="005D372A" w:rsidRPr="001D6D10" w:rsidRDefault="005D372A" w:rsidP="005D372A">
      <w:pPr>
        <w:rPr>
          <w:rFonts w:ascii="ＭＳ 明朝" w:hAnsi="ＭＳ 明朝"/>
          <w:sz w:val="22"/>
          <w:szCs w:val="22"/>
        </w:rPr>
      </w:pPr>
      <w:r w:rsidRPr="001D6D10">
        <w:rPr>
          <w:noProof/>
        </w:rPr>
        <mc:AlternateContent>
          <mc:Choice Requires="wps">
            <w:drawing>
              <wp:anchor distT="0" distB="0" distL="114300" distR="114300" simplePos="0" relativeHeight="252913664" behindDoc="0" locked="0" layoutInCell="1" allowOverlap="1" wp14:anchorId="553B15C9" wp14:editId="22464748">
                <wp:simplePos x="0" y="0"/>
                <wp:positionH relativeFrom="column">
                  <wp:posOffset>1247140</wp:posOffset>
                </wp:positionH>
                <wp:positionV relativeFrom="paragraph">
                  <wp:posOffset>22225</wp:posOffset>
                </wp:positionV>
                <wp:extent cx="1461135" cy="712470"/>
                <wp:effectExtent l="0" t="0" r="0" b="0"/>
                <wp:wrapNone/>
                <wp:docPr id="4435" name="Text Box 379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61135" cy="712470"/>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lgn="ctr">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45A6FDD3" w14:textId="77777777" w:rsidR="006A5267" w:rsidRDefault="006A5267" w:rsidP="005D372A">
                            <w:pPr>
                              <w:rPr>
                                <w:rFonts w:ascii="ＭＳ ゴシック" w:eastAsia="ＭＳ ゴシック" w:hAnsi="ＭＳ ゴシック"/>
                                <w:sz w:val="20"/>
                                <w:szCs w:val="20"/>
                              </w:rPr>
                            </w:pPr>
                            <w:r>
                              <w:rPr>
                                <w:rFonts w:ascii="ＭＳ ゴシック" w:eastAsia="ＭＳ ゴシック" w:hAnsi="ＭＳ ゴシック" w:hint="eastAsia"/>
                                <w:sz w:val="20"/>
                                <w:szCs w:val="20"/>
                              </w:rPr>
                              <w:t>災害等の態様により、</w:t>
                            </w:r>
                          </w:p>
                          <w:p w14:paraId="32647101" w14:textId="77777777" w:rsidR="006A5267" w:rsidRDefault="006A5267" w:rsidP="005D372A">
                            <w:pPr>
                              <w:rPr>
                                <w:rFonts w:ascii="ＭＳ ゴシック" w:eastAsia="ＭＳ ゴシック" w:hAnsi="ＭＳ ゴシック"/>
                                <w:sz w:val="20"/>
                                <w:szCs w:val="20"/>
                              </w:rPr>
                            </w:pPr>
                            <w:r>
                              <w:rPr>
                                <w:rFonts w:ascii="ＭＳ ゴシック" w:eastAsia="ＭＳ ゴシック" w:hAnsi="ＭＳ ゴシック" w:hint="eastAsia"/>
                                <w:sz w:val="20"/>
                                <w:szCs w:val="20"/>
                              </w:rPr>
                              <w:t>災害対策グループ及び</w:t>
                            </w:r>
                          </w:p>
                          <w:p w14:paraId="524FF5AD" w14:textId="77777777" w:rsidR="006A5267" w:rsidRPr="00393364" w:rsidRDefault="006A5267" w:rsidP="005D372A">
                            <w:pPr>
                              <w:rPr>
                                <w:rFonts w:ascii="ＭＳ ゴシック" w:eastAsia="ＭＳ ゴシック" w:hAnsi="ＭＳ ゴシック"/>
                                <w:sz w:val="20"/>
                                <w:szCs w:val="20"/>
                              </w:rPr>
                            </w:pPr>
                            <w:r>
                              <w:rPr>
                                <w:rFonts w:ascii="ＭＳ ゴシック" w:eastAsia="ＭＳ ゴシック" w:hAnsi="ＭＳ ゴシック" w:hint="eastAsia"/>
                                <w:sz w:val="20"/>
                                <w:szCs w:val="20"/>
                              </w:rPr>
                              <w:t>関係グループが対応</w:t>
                            </w:r>
                          </w:p>
                          <w:p w14:paraId="6090BE2B" w14:textId="77777777" w:rsidR="006A5267" w:rsidRDefault="006A5267" w:rsidP="005D372A">
                            <w:pPr>
                              <w:jc w:val="center"/>
                            </w:pP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shape w14:anchorId="553B15C9" id="Text Box 3799" o:spid="_x0000_s1070" type="#_x0000_t202" style="position:absolute;left:0;text-align:left;margin-left:98.2pt;margin-top:1.75pt;width:115.05pt;height:56.1pt;z-index:2529136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" filled="f" stroked="f">
                <v:textbox inset="5.85pt,.7pt,5.85pt,.7pt">
                  <w:txbxContent>
                    <w:p w14:paraId="45A6FDD3" w14:textId="77777777" w:rsidR="006A5267" w:rsidRDefault="006A5267" w:rsidP="005D372A">
                      <w:pPr>
                        <w:rPr>
                          <w:rFonts w:ascii="ＭＳ ゴシック" w:eastAsia="ＭＳ ゴシック" w:hAnsi="ＭＳ ゴシック"/>
                          <w:sz w:val="20"/>
                          <w:szCs w:val="20"/>
                        </w:rPr>
                      </w:pPr>
                      <w:r>
                        <w:rPr>
                          <w:rFonts w:ascii="ＭＳ ゴシック" w:eastAsia="ＭＳ ゴシック" w:hAnsi="ＭＳ ゴシック" w:hint="eastAsia"/>
                          <w:sz w:val="20"/>
                          <w:szCs w:val="20"/>
                        </w:rPr>
                        <w:t>災害等の態様により、</w:t>
                      </w:r>
                    </w:p>
                    <w:p w14:paraId="32647101" w14:textId="77777777" w:rsidR="006A5267" w:rsidRDefault="006A5267" w:rsidP="005D372A">
                      <w:pPr>
                        <w:rPr>
                          <w:rFonts w:ascii="ＭＳ ゴシック" w:eastAsia="ＭＳ ゴシック" w:hAnsi="ＭＳ ゴシック"/>
                          <w:sz w:val="20"/>
                          <w:szCs w:val="20"/>
                        </w:rPr>
                      </w:pPr>
                      <w:r>
                        <w:rPr>
                          <w:rFonts w:ascii="ＭＳ ゴシック" w:eastAsia="ＭＳ ゴシック" w:hAnsi="ＭＳ ゴシック" w:hint="eastAsia"/>
                          <w:sz w:val="20"/>
                          <w:szCs w:val="20"/>
                        </w:rPr>
                        <w:t>災害対策グループ及び</w:t>
                      </w:r>
                    </w:p>
                    <w:p w14:paraId="524FF5AD" w14:textId="77777777" w:rsidR="006A5267" w:rsidRPr="00393364" w:rsidRDefault="006A5267" w:rsidP="005D372A">
                      <w:pPr>
                        <w:rPr>
                          <w:rFonts w:ascii="ＭＳ ゴシック" w:eastAsia="ＭＳ ゴシック" w:hAnsi="ＭＳ ゴシック"/>
                          <w:sz w:val="20"/>
                          <w:szCs w:val="20"/>
                        </w:rPr>
                      </w:pPr>
                      <w:r>
                        <w:rPr>
                          <w:rFonts w:ascii="ＭＳ ゴシック" w:eastAsia="ＭＳ ゴシック" w:hAnsi="ＭＳ ゴシック" w:hint="eastAsia"/>
                          <w:sz w:val="20"/>
                          <w:szCs w:val="20"/>
                        </w:rPr>
                        <w:t>関係グループが対応</w:t>
                      </w:r>
                    </w:p>
                    <w:p w14:paraId="6090BE2B" w14:textId="77777777" w:rsidR="006A5267" w:rsidRDefault="006A5267" w:rsidP="005D372A">
                      <w:pPr>
                        <w:jc w:val="center"/>
                      </w:pPr>
                    </w:p>
                  </w:txbxContent>
                </v:textbox>
              </v:shape>
            </w:pict>
          </mc:Fallback>
        </mc:AlternateContent>
      </w:r>
    </w:p>
    <w:p w14:paraId="70A4AF1F" w14:textId="77777777" w:rsidR="005D372A" w:rsidRPr="001D6D10" w:rsidRDefault="005D372A" w:rsidP="005D372A">
      <w:pPr>
        <w:rPr>
          <w:rFonts w:ascii="ＭＳ 明朝" w:hAnsi="ＭＳ 明朝"/>
          <w:sz w:val="22"/>
          <w:szCs w:val="22"/>
        </w:rPr>
      </w:pPr>
    </w:p>
    <w:p w14:paraId="78DF365D" w14:textId="77777777" w:rsidR="005D372A" w:rsidRPr="001D6D10" w:rsidRDefault="005D372A" w:rsidP="005D372A">
      <w:pPr>
        <w:rPr>
          <w:rFonts w:ascii="ＭＳ ゴシック" w:eastAsia="ＭＳ ゴシック" w:hAnsi="ＭＳ ゴシック"/>
          <w:sz w:val="22"/>
          <w:szCs w:val="22"/>
        </w:rPr>
      </w:pPr>
    </w:p>
    <w:p w14:paraId="2635829A" w14:textId="77777777" w:rsidR="005D372A" w:rsidRPr="001D6D10" w:rsidRDefault="005D372A" w:rsidP="005D372A">
      <w:pPr>
        <w:rPr>
          <w:rFonts w:ascii="ＭＳ ゴシック" w:eastAsia="ＭＳ ゴシック" w:hAnsi="ＭＳ ゴシック"/>
          <w:sz w:val="22"/>
          <w:szCs w:val="22"/>
        </w:rPr>
      </w:pPr>
      <w:r w:rsidRPr="001D6D10">
        <w:rPr>
          <w:rFonts w:ascii="ＭＳ 明朝" w:hAnsi="ＭＳ 明朝" w:hint="eastAsia"/>
          <w:noProof/>
          <w:sz w:val="22"/>
          <w:szCs w:val="22"/>
        </w:rPr>
        <mc:AlternateContent>
          <mc:Choice Requires="wps">
            <w:drawing>
              <wp:anchor distT="0" distB="0" distL="114300" distR="114300" simplePos="0" relativeHeight="252917760" behindDoc="0" locked="0" layoutInCell="1" allowOverlap="1" wp14:anchorId="1010F800" wp14:editId="7D2954D8">
                <wp:simplePos x="0" y="0"/>
                <wp:positionH relativeFrom="column">
                  <wp:posOffset>3557905</wp:posOffset>
                </wp:positionH>
                <wp:positionV relativeFrom="paragraph">
                  <wp:posOffset>81280</wp:posOffset>
                </wp:positionV>
                <wp:extent cx="783590" cy="297180"/>
                <wp:effectExtent l="0" t="0" r="0" b="7620"/>
                <wp:wrapNone/>
                <wp:docPr id="4439" name="Text Box 379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83590" cy="297180"/>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lgn="ctr">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424FBDF3" w14:textId="77777777" w:rsidR="006A5267" w:rsidRDefault="006A5267" w:rsidP="005D372A">
                            <w:pPr>
                              <w:jc w:val="center"/>
                            </w:pPr>
                            <w:r>
                              <w:rPr>
                                <w:rFonts w:ascii="ＭＳ ゴシック" w:eastAsia="ＭＳ ゴシック" w:hAnsi="ＭＳ ゴシック" w:hint="eastAsia"/>
                                <w:sz w:val="20"/>
                                <w:szCs w:val="20"/>
                              </w:rPr>
                              <w:t>連絡</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shape w14:anchorId="1010F800" id="_x0000_s1071" type="#_x0000_t202" style="position:absolute;left:0;text-align:left;margin-left:280.15pt;margin-top:6.4pt;width:61.7pt;height:23.4pt;z-index:2529177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" filled="f" stroked="f">
                <v:textbox inset="5.85pt,.7pt,5.85pt,.7pt">
                  <w:txbxContent>
                    <w:p w14:paraId="424FBDF3" w14:textId="77777777" w:rsidR="006A5267" w:rsidRDefault="006A5267" w:rsidP="005D372A">
                      <w:pPr>
                        <w:jc w:val="center"/>
                      </w:pPr>
                      <w:r>
                        <w:rPr>
                          <w:rFonts w:ascii="ＭＳ ゴシック" w:eastAsia="ＭＳ ゴシック" w:hAnsi="ＭＳ ゴシック" w:hint="eastAsia"/>
                          <w:sz w:val="20"/>
                          <w:szCs w:val="20"/>
                        </w:rPr>
                        <w:t>連絡</w:t>
                      </w:r>
                    </w:p>
                  </w:txbxContent>
                </v:textbox>
              </v:shape>
            </w:pict>
          </mc:Fallback>
        </mc:AlternateContent>
      </w:r>
      <w:r w:rsidRPr="001D6D10">
        <w:rPr>
          <w:noProof/>
        </w:rPr>
        <mc:AlternateContent>
          <mc:Choice Requires="wps">
            <w:drawing>
              <wp:anchor distT="0" distB="0" distL="114300" distR="114300" simplePos="0" relativeHeight="252916736" behindDoc="0" locked="0" layoutInCell="1" allowOverlap="1" wp14:anchorId="00A7173E" wp14:editId="35A8CB72">
                <wp:simplePos x="0" y="0"/>
                <wp:positionH relativeFrom="column">
                  <wp:posOffset>4428490</wp:posOffset>
                </wp:positionH>
                <wp:positionV relativeFrom="paragraph">
                  <wp:posOffset>178435</wp:posOffset>
                </wp:positionV>
                <wp:extent cx="1104900" cy="419100"/>
                <wp:effectExtent l="19050" t="19050" r="38100" b="38100"/>
                <wp:wrapNone/>
                <wp:docPr id="4440" name="AutoShape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04900" cy="419100"/>
                        </a:xfrm>
                        <a:prstGeom prst="roundRect">
                          <a:avLst>
                            <a:gd name="adj" fmla="val 16667"/>
                          </a:avLst>
                        </a:prstGeom>
                        <a:solidFill>
                          <a:srgbClr val="FFFFFF"/>
                        </a:solidFill>
                        <a:ln w="50800" cmpd="thickThin">
                          <a:solidFill>
                            <a:srgbClr val="000000"/>
                          </a:solidFill>
                          <a:round/>
                          <a:headEnd/>
                          <a:tailEnd/>
                        </a:ln>
                      </wps:spPr>
                      <wps:txbx>
                        <w:txbxContent>
                          <w:p w14:paraId="3B144D86" w14:textId="77777777" w:rsidR="006A5267" w:rsidRPr="007574F0" w:rsidRDefault="006A5267" w:rsidP="005D372A">
                            <w:pPr>
                              <w:jc w:val="center"/>
                            </w:pPr>
                            <w:r>
                              <w:rPr>
                                <w:rFonts w:ascii="ＭＳ ゴシック" w:eastAsia="ＭＳ ゴシック" w:hAnsi="ＭＳ ゴシック" w:hint="eastAsia"/>
                                <w:sz w:val="20"/>
                                <w:szCs w:val="20"/>
                              </w:rPr>
                              <w:t>地域情報班</w:t>
                            </w:r>
                          </w:p>
                        </w:txbxContent>
                      </wps:txbx>
                      <wps:bodyPr rot="0" vert="horz" wrap="square" lIns="0" tIns="0" rIns="0" bIns="0" anchor="ctr" anchorCtr="0" upright="1">
                        <a:noAutofit/>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roundrect w14:anchorId="00A7173E" id="_x0000_s1072" style="position:absolute;left:0;text-align:left;margin-left:348.7pt;margin-top:14.05pt;width:87pt;height:33pt;z-index:2529167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" strokeweight="4pt">
                <v:stroke linestyle="thickThin"/>
                <v:textbox inset="0,0,0,0">
                  <w:txbxContent>
                    <w:p w14:paraId="3B144D86" w14:textId="77777777" w:rsidR="006A5267" w:rsidRPr="007574F0" w:rsidRDefault="006A5267" w:rsidP="005D372A">
                      <w:pPr>
                        <w:jc w:val="center"/>
                      </w:pPr>
                      <w:r>
                        <w:rPr>
                          <w:rFonts w:ascii="ＭＳ ゴシック" w:eastAsia="ＭＳ ゴシック" w:hAnsi="ＭＳ ゴシック" w:hint="eastAsia"/>
                          <w:sz w:val="20"/>
                          <w:szCs w:val="20"/>
                        </w:rPr>
                        <w:t>地域情報班</w:t>
                      </w:r>
                    </w:p>
                  </w:txbxContent>
                </v:textbox>
              </v:roundrect>
            </w:pict>
          </mc:Fallback>
        </mc:AlternateContent>
      </w:r>
      <w:r w:rsidRPr="001D6D10">
        <w:rPr>
          <w:noProof/>
        </w:rPr>
        <mc:AlternateContent>
          <mc:Choice Requires="wps">
            <w:drawing>
              <wp:anchor distT="0" distB="0" distL="114300" distR="114300" simplePos="0" relativeHeight="252912640" behindDoc="0" locked="0" layoutInCell="1" allowOverlap="1" wp14:anchorId="3DA529C7" wp14:editId="27919A53">
                <wp:simplePos x="0" y="0"/>
                <wp:positionH relativeFrom="column">
                  <wp:posOffset>1419225</wp:posOffset>
                </wp:positionH>
                <wp:positionV relativeFrom="paragraph">
                  <wp:posOffset>119380</wp:posOffset>
                </wp:positionV>
                <wp:extent cx="2056130" cy="537210"/>
                <wp:effectExtent l="19050" t="19050" r="39370" b="34290"/>
                <wp:wrapNone/>
                <wp:docPr id="4441" name="AutoShape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056130" cy="537210"/>
                        </a:xfrm>
                        <a:prstGeom prst="roundRect">
                          <a:avLst>
                            <a:gd name="adj" fmla="val 16667"/>
                          </a:avLst>
                        </a:prstGeom>
                        <a:solidFill>
                          <a:srgbClr val="FFFFFF"/>
                        </a:solidFill>
                        <a:ln w="50800" cmpd="thickThin">
                          <a:solidFill>
                            <a:srgbClr val="000000"/>
                          </a:solidFill>
                          <a:round/>
                          <a:headEnd/>
                          <a:tailEnd/>
                        </a:ln>
                      </wps:spPr>
                      <wps:txbx>
                        <w:txbxContent>
                          <w:p w14:paraId="2B5A34D2" w14:textId="77777777" w:rsidR="006A5267" w:rsidRDefault="006A5267" w:rsidP="005D372A">
                            <w:pPr>
                              <w:jc w:val="center"/>
                              <w:rPr>
                                <w:rFonts w:ascii="ＭＳ ゴシック" w:eastAsia="ＭＳ ゴシック" w:hAnsi="ＭＳ ゴシック"/>
                                <w:sz w:val="20"/>
                                <w:szCs w:val="20"/>
                              </w:rPr>
                            </w:pPr>
                            <w:r>
                              <w:rPr>
                                <w:rFonts w:ascii="ＭＳ ゴシック" w:eastAsia="ＭＳ ゴシック" w:hAnsi="ＭＳ ゴシック" w:hint="eastAsia"/>
                                <w:sz w:val="20"/>
                                <w:szCs w:val="20"/>
                              </w:rPr>
                              <w:t>防災・危機管理警戒班又は</w:t>
                            </w:r>
                          </w:p>
                          <w:p w14:paraId="3EA9159C" w14:textId="77777777" w:rsidR="006A5267" w:rsidRPr="007574F0" w:rsidRDefault="006A5267" w:rsidP="005D372A">
                            <w:pPr>
                              <w:jc w:val="center"/>
                            </w:pPr>
                            <w:r>
                              <w:rPr>
                                <w:rFonts w:ascii="ＭＳ ゴシック" w:eastAsia="ＭＳ ゴシック" w:hAnsi="ＭＳ ゴシック" w:hint="eastAsia"/>
                                <w:sz w:val="20"/>
                                <w:szCs w:val="20"/>
                              </w:rPr>
                              <w:t>防災・危機管理指令準備部</w:t>
                            </w:r>
                          </w:p>
                        </w:txbxContent>
                      </wps:txbx>
                      <wps:bodyPr rot="0" vert="horz" wrap="square" lIns="74295" tIns="8890" rIns="74295" bIns="8890" anchor="ctr" anchorCtr="0" upright="1">
                        <a:noAutofit/>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roundrect w14:anchorId="3DA529C7" id="_x0000_s1073" style="position:absolute;left:0;text-align:left;margin-left:111.75pt;margin-top:9.4pt;width:161.9pt;height:42.3pt;z-index:2529126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" strokeweight="4pt">
                <v:stroke linestyle="thickThin"/>
                <v:textbox inset="5.85pt,.7pt,5.85pt,.7pt">
                  <w:txbxContent>
                    <w:p w14:paraId="2B5A34D2" w14:textId="77777777" w:rsidR="006A5267" w:rsidRDefault="006A5267" w:rsidP="005D372A">
                      <w:pPr>
                        <w:jc w:val="center"/>
                        <w:rPr>
                          <w:rFonts w:ascii="ＭＳ ゴシック" w:eastAsia="ＭＳ ゴシック" w:hAnsi="ＭＳ ゴシック"/>
                          <w:sz w:val="20"/>
                          <w:szCs w:val="20"/>
                        </w:rPr>
                      </w:pPr>
                      <w:r>
                        <w:rPr>
                          <w:rFonts w:ascii="ＭＳ ゴシック" w:eastAsia="ＭＳ ゴシック" w:hAnsi="ＭＳ ゴシック" w:hint="eastAsia"/>
                          <w:sz w:val="20"/>
                          <w:szCs w:val="20"/>
                        </w:rPr>
                        <w:t>防災・危機管理警戒班又は</w:t>
                      </w:r>
                    </w:p>
                    <w:p w14:paraId="3EA9159C" w14:textId="77777777" w:rsidR="006A5267" w:rsidRPr="007574F0" w:rsidRDefault="006A5267" w:rsidP="005D372A">
                      <w:pPr>
                        <w:jc w:val="center"/>
                      </w:pPr>
                      <w:r>
                        <w:rPr>
                          <w:rFonts w:ascii="ＭＳ ゴシック" w:eastAsia="ＭＳ ゴシック" w:hAnsi="ＭＳ ゴシック" w:hint="eastAsia"/>
                          <w:sz w:val="20"/>
                          <w:szCs w:val="20"/>
                        </w:rPr>
                        <w:t>防災・危機管理指令準備部</w:t>
                      </w:r>
                    </w:p>
                  </w:txbxContent>
                </v:textbox>
              </v:roundrect>
            </w:pict>
          </mc:Fallback>
        </mc:AlternateContent>
      </w:r>
    </w:p>
    <w:p w14:paraId="6DE00850" w14:textId="77777777" w:rsidR="005D372A" w:rsidRPr="001D6D10" w:rsidRDefault="005D372A" w:rsidP="005D372A">
      <w:pPr>
        <w:rPr>
          <w:rFonts w:ascii="ＭＳ ゴシック" w:eastAsia="ＭＳ ゴシック" w:hAnsi="ＭＳ ゴシック"/>
          <w:sz w:val="22"/>
          <w:szCs w:val="22"/>
        </w:rPr>
      </w:pPr>
      <w:r w:rsidRPr="001D6D10">
        <w:rPr>
          <w:rFonts w:ascii="ＭＳ 明朝" w:hAnsi="ＭＳ 明朝" w:hint="eastAsia"/>
          <w:noProof/>
          <w:sz w:val="22"/>
          <w:szCs w:val="22"/>
        </w:rPr>
        <mc:AlternateContent>
          <mc:Choice Requires="wps">
            <w:drawing>
              <wp:anchor distT="0" distB="0" distL="114300" distR="114300" simplePos="0" relativeHeight="252918784" behindDoc="0" locked="0" layoutInCell="1" allowOverlap="1" wp14:anchorId="3B47AFEC" wp14:editId="17DA27B0">
                <wp:simplePos x="0" y="0"/>
                <wp:positionH relativeFrom="column">
                  <wp:posOffset>3575050</wp:posOffset>
                </wp:positionH>
                <wp:positionV relativeFrom="paragraph">
                  <wp:posOffset>264795</wp:posOffset>
                </wp:positionV>
                <wp:extent cx="783590" cy="297180"/>
                <wp:effectExtent l="0" t="0" r="0" b="7620"/>
                <wp:wrapNone/>
                <wp:docPr id="4443" name="Text Box 379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83590" cy="297180"/>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lgn="ctr">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09E5E53D" w14:textId="77777777" w:rsidR="006A5267" w:rsidRDefault="006A5267" w:rsidP="005D372A">
                            <w:pPr>
                              <w:jc w:val="center"/>
                            </w:pPr>
                            <w:r>
                              <w:rPr>
                                <w:rFonts w:ascii="ＭＳ ゴシック" w:eastAsia="ＭＳ ゴシック" w:hAnsi="ＭＳ ゴシック" w:hint="eastAsia"/>
                                <w:sz w:val="20"/>
                                <w:szCs w:val="20"/>
                              </w:rPr>
                              <w:t>連携</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shape w14:anchorId="3B47AFEC" id="_x0000_s1074" type="#_x0000_t202" style="position:absolute;left:0;text-align:left;margin-left:281.5pt;margin-top:20.85pt;width:61.7pt;height:23.4pt;z-index:2529187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" filled="f" stroked="f">
                <v:textbox inset="5.85pt,.7pt,5.85pt,.7pt">
                  <w:txbxContent>
                    <w:p w14:paraId="09E5E53D" w14:textId="77777777" w:rsidR="006A5267" w:rsidRDefault="006A5267" w:rsidP="005D372A">
                      <w:pPr>
                        <w:jc w:val="center"/>
                      </w:pPr>
                      <w:r>
                        <w:rPr>
                          <w:rFonts w:ascii="ＭＳ ゴシック" w:eastAsia="ＭＳ ゴシック" w:hAnsi="ＭＳ ゴシック" w:hint="eastAsia"/>
                          <w:sz w:val="20"/>
                          <w:szCs w:val="20"/>
                        </w:rPr>
                        <w:t>連携</w:t>
                      </w:r>
                    </w:p>
                  </w:txbxContent>
                </v:textbox>
              </v:shape>
            </w:pict>
          </mc:Fallback>
        </mc:AlternateContent>
      </w:r>
      <w:r w:rsidRPr="001D6D10">
        <w:rPr>
          <w:rFonts w:ascii="ＭＳ ゴシック" w:eastAsia="ＭＳ ゴシック" w:hAnsi="ＭＳ ゴシック" w:hint="eastAsia"/>
          <w:noProof/>
          <w:sz w:val="22"/>
          <w:szCs w:val="22"/>
        </w:rPr>
        <mc:AlternateContent>
          <mc:Choice Requires="wps">
            <w:drawing>
              <wp:anchor distT="0" distB="0" distL="114300" distR="114300" simplePos="0" relativeHeight="252915712" behindDoc="0" locked="0" layoutInCell="1" allowOverlap="1" wp14:anchorId="29106052" wp14:editId="273153FF">
                <wp:simplePos x="0" y="0"/>
                <wp:positionH relativeFrom="column">
                  <wp:posOffset>3561080</wp:posOffset>
                </wp:positionH>
                <wp:positionV relativeFrom="paragraph">
                  <wp:posOffset>-7620</wp:posOffset>
                </wp:positionV>
                <wp:extent cx="781685" cy="342900"/>
                <wp:effectExtent l="19050" t="19050" r="18415" b="38100"/>
                <wp:wrapNone/>
                <wp:docPr id="4442" name="AutoShape 380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81685" cy="342900"/>
                        </a:xfrm>
                        <a:prstGeom prst="leftRightArrow">
                          <a:avLst>
                            <a:gd name="adj1" fmla="val 50000"/>
                            <a:gd name="adj2" fmla="val 45593"/>
                          </a:avLst>
                        </a:prstGeom>
                        <a:solidFill>
                          <a:srgbClr val="FFFFFF"/>
                        </a:solidFill>
                        <a:ln w="9525" cap="flat" cmpd="sng" algn="ctr">
                          <a:solidFill>
                            <a:sysClr val="windowText" lastClr="000000">
                              <a:lumMod val="100000"/>
                              <a:lumOff val="0"/>
                            </a:sysClr>
                          </a:solidFill>
                          <a:prstDash val="solid"/>
                          <a:miter lim="800000"/>
                          <a:headEnd type="none" w="med" len="med"/>
                          <a:tailEnd type="none" w="med" len="me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shapetype w14:anchorId="581ECE53" id="_x0000_t69" coordsize="21600,21600" o:spt="69" adj="4320,5400" path="m,10800l@0,21600@0@3@2@3@2,21600,21600,10800@2,0@2@1@0@1@0,xe">
                <v:stroke joinstyle="miter"/>
                <v:formulas>
                  <v:f eqn="val #0"/>
                  <v:f eqn="val #1"/>
                  <v:f eqn="sum 21600 0 #0"/>
                  <v:f eqn="sum 21600 0 #1"/>
                  <v:f eqn="prod #0 #1 10800"/>
                  <v:f eqn="sum #0 0 @4"/>
                  <v:f eqn="sum 21600 0 @5"/>
                </v:formulas>
                <v:path o:connecttype="custom" o:connectlocs="@2,0;10800,@1;@0,0;0,10800;@0,21600;10800,@3;@2,21600;21600,10800" o:connectangles="270,270,270,180,90,90,90,0" textboxrect="@5,@1,@6,@3"/>
                <v:handles>
                  <v:h position="#0,#1" xrange="0,10800" yrange="0,10800"/>
                </v:handles>
              </v:shapetype>
              <v:shape id="AutoShape 3801" o:spid="_x0000_s1026" type="#_x0000_t69" style="position:absolute;left:0;text-align:left;margin-left:280.4pt;margin-top:-.6pt;width:61.55pt;height:27pt;z-index:2529157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">
                <v:textbox inset="5.85pt,.7pt,5.85pt,.7pt"/>
              </v:shape>
            </w:pict>
          </mc:Fallback>
        </mc:AlternateContent>
      </w:r>
    </w:p>
    <w:p w14:paraId="46ABD202" w14:textId="77777777" w:rsidR="005D372A" w:rsidRPr="001D6D10" w:rsidRDefault="005D372A" w:rsidP="005D372A"/>
    <w:p w14:paraId="48A474C3" w14:textId="77777777" w:rsidR="005D372A" w:rsidRPr="001D6D10" w:rsidRDefault="005D372A" w:rsidP="005D372A"/>
    <w:p w14:paraId="6820351A" w14:textId="77777777" w:rsidR="005D372A" w:rsidRPr="001D6D10" w:rsidRDefault="005D372A" w:rsidP="005D372A">
      <w:r w:rsidRPr="001D6D10">
        <w:rPr>
          <w:rFonts w:hint="eastAsia"/>
        </w:rPr>
        <w:t>＜防災・危機管理警戒体制　組織図＞</w:t>
      </w:r>
    </w:p>
    <w:p w14:paraId="36A22599" w14:textId="77777777" w:rsidR="005D372A" w:rsidRPr="001D6D10" w:rsidRDefault="005D372A" w:rsidP="005D372A">
      <w:r w:rsidRPr="001D6D10">
        <w:rPr>
          <w:noProof/>
        </w:rPr>
        <mc:AlternateContent>
          <mc:Choice Requires="wpg">
            <w:drawing>
              <wp:anchor distT="0" distB="0" distL="114300" distR="114300" simplePos="0" relativeHeight="252937216" behindDoc="0" locked="0" layoutInCell="1" allowOverlap="1" wp14:anchorId="22C6CE14" wp14:editId="2A7014EF">
                <wp:simplePos x="0" y="0"/>
                <wp:positionH relativeFrom="column">
                  <wp:posOffset>275590</wp:posOffset>
                </wp:positionH>
                <wp:positionV relativeFrom="paragraph">
                  <wp:posOffset>90805</wp:posOffset>
                </wp:positionV>
                <wp:extent cx="5286375" cy="1717040"/>
                <wp:effectExtent l="0" t="0" r="28575" b="16510"/>
                <wp:wrapNone/>
                <wp:docPr id="4444" name="グループ化 4444"/>
                <wp:cNvGraphicFramePr/>
                <a:graphic xmlns:a="http://schemas.openxmlformats.org/drawingml/2006/main">
                  <a:graphicData uri="http://schemas.microsoft.com/office/word/2010/wordprocessingGroup">
                    <wpg:wgp>
                      <wpg:cNvGrpSpPr/>
                      <wpg:grpSpPr>
                        <a:xfrm>
                          <a:off x="0" y="0"/>
                          <a:ext cx="5286375" cy="1717040"/>
                          <a:chOff x="0" y="0"/>
                          <a:chExt cx="5210679" cy="1717233"/>
                        </a:xfrm>
                      </wpg:grpSpPr>
                      <wps:wsp>
                        <wps:cNvPr id="4445" name="直線コネクタ 4445"/>
                        <wps:cNvCnPr/>
                        <wps:spPr>
                          <a:xfrm>
                            <a:off x="1948070" y="922351"/>
                            <a:ext cx="1168400" cy="0"/>
                          </a:xfrm>
                          <a:prstGeom prst="line">
                            <a:avLst/>
                          </a:prstGeom>
                          <a:noFill/>
                          <a:ln w="9525" cap="flat" cmpd="sng" algn="ctr">
                            <a:solidFill>
                              <a:sysClr val="windowText" lastClr="000000"/>
                            </a:solidFill>
                            <a:prstDash val="solid"/>
                          </a:ln>
                          <a:effectLst/>
                        </wps:spPr>
                        <wps:bodyPr/>
                      </wps:wsp>
                      <wpg:grpSp>
                        <wpg:cNvPr id="4446" name="グループ化 4446"/>
                        <wpg:cNvGrpSpPr/>
                        <wpg:grpSpPr>
                          <a:xfrm>
                            <a:off x="0" y="0"/>
                            <a:ext cx="1939925" cy="1717233"/>
                            <a:chOff x="0" y="0"/>
                            <a:chExt cx="1939925" cy="1717233"/>
                          </a:xfrm>
                        </wpg:grpSpPr>
                        <wps:wsp>
                          <wps:cNvPr id="4447" name="正方形/長方形 4447"/>
                          <wps:cNvSpPr/>
                          <wps:spPr>
                            <a:xfrm>
                              <a:off x="0" y="111318"/>
                              <a:ext cx="1939925" cy="1605915"/>
                            </a:xfrm>
                            <a:prstGeom prst="rect">
                              <a:avLst/>
                            </a:prstGeom>
                            <a:solidFill>
                              <a:sysClr val="window" lastClr="FFFFFF"/>
                            </a:solidFill>
                            <a:ln w="6350" cap="flat" cmpd="sng" algn="ctr">
                              <a:solidFill>
                                <a:sysClr val="windowText" lastClr="000000"/>
                              </a:solidFill>
                              <a:prstDash val="dash"/>
                            </a:ln>
                            <a:effectLst/>
                          </wps:spPr>
                          <wps:bodyPr rot="0" spcFirstLastPara="0" vertOverflow="overflow" horzOverflow="overflow" vert="horz" wrap="square" lIns="0" tIns="0" rIns="0" bIns="0" numCol="1" spcCol="0" rtlCol="0" fromWordArt="0" anchor="ctr" anchorCtr="0" forceAA="0" compatLnSpc="1">
                            <a:prstTxWarp prst="textNoShape">
                              <a:avLst/>
                            </a:prstTxWarp>
                            <a:noAutofit/>
                          </wps:bodyPr>
                        </wps:wsp>
                        <wps:wsp>
                          <wps:cNvPr id="4800" name="直線コネクタ 4800"/>
                          <wps:cNvCnPr/>
                          <wps:spPr>
                            <a:xfrm>
                              <a:off x="970059" y="492981"/>
                              <a:ext cx="0" cy="962025"/>
                            </a:xfrm>
                            <a:prstGeom prst="line">
                              <a:avLst/>
                            </a:prstGeom>
                            <a:noFill/>
                            <a:ln w="9525" cap="flat" cmpd="sng" algn="ctr">
                              <a:solidFill>
                                <a:sysClr val="windowText" lastClr="000000"/>
                              </a:solidFill>
                              <a:prstDash val="solid"/>
                            </a:ln>
                            <a:effectLst/>
                          </wps:spPr>
                          <wps:bodyPr/>
                        </wps:wsp>
                        <wps:wsp>
                          <wps:cNvPr id="4801" name="正方形/長方形 4801"/>
                          <wps:cNvSpPr/>
                          <wps:spPr>
                            <a:xfrm>
                              <a:off x="357809" y="286247"/>
                              <a:ext cx="1222375" cy="466725"/>
                            </a:xfrm>
                            <a:prstGeom prst="rect">
                              <a:avLst/>
                            </a:prstGeom>
                            <a:solidFill>
                              <a:sysClr val="window" lastClr="FFFFFF"/>
                            </a:solidFill>
                            <a:ln w="9525" cap="flat" cmpd="sng" algn="ctr">
                              <a:solidFill>
                                <a:sysClr val="windowText" lastClr="000000"/>
                              </a:solidFill>
                              <a:prstDash val="solid"/>
                            </a:ln>
                            <a:effectLst/>
                          </wps:spPr>
                          <wps:txbx>
                            <w:txbxContent>
                              <w:p w14:paraId="0D36885F" w14:textId="77777777" w:rsidR="006A5267" w:rsidRPr="008572DC" w:rsidRDefault="006A5267" w:rsidP="005D372A">
                                <w:pPr>
                                  <w:spacing w:line="240" w:lineRule="exact"/>
                                  <w:jc w:val="center"/>
                                  <w:rPr>
                                    <w:rFonts w:asciiTheme="majorEastAsia" w:eastAsiaTheme="majorEastAsia" w:hAnsiTheme="majorEastAsia"/>
                                    <w:color w:val="000000" w:themeColor="text1"/>
                                    <w:sz w:val="16"/>
                                    <w:szCs w:val="16"/>
                                  </w:rPr>
                                </w:pPr>
                                <w:r w:rsidRPr="008572DC">
                                  <w:rPr>
                                    <w:rFonts w:asciiTheme="majorEastAsia" w:eastAsiaTheme="majorEastAsia" w:hAnsiTheme="majorEastAsia" w:hint="eastAsia"/>
                                    <w:color w:val="000000" w:themeColor="text1"/>
                                    <w:sz w:val="16"/>
                                    <w:szCs w:val="16"/>
                                  </w:rPr>
                                  <w:t>班長</w:t>
                                </w:r>
                              </w:p>
                              <w:p w14:paraId="001A4A0E" w14:textId="77777777" w:rsidR="006A5267" w:rsidRPr="00A8725A" w:rsidRDefault="006A5267" w:rsidP="005D372A">
                                <w:pPr>
                                  <w:spacing w:line="240" w:lineRule="exact"/>
                                  <w:jc w:val="center"/>
                                  <w:rPr>
                                    <w:color w:val="000000" w:themeColor="text1"/>
                                    <w:sz w:val="16"/>
                                    <w:szCs w:val="16"/>
                                  </w:rPr>
                                </w:pPr>
                                <w:r>
                                  <w:rPr>
                                    <w:rFonts w:hint="eastAsia"/>
                                    <w:color w:val="000000" w:themeColor="text1"/>
                                    <w:sz w:val="16"/>
                                    <w:szCs w:val="16"/>
                                  </w:rPr>
                                  <w:t>（危機管理室課長補佐</w:t>
                                </w:r>
                                <w:r w:rsidRPr="00A8725A">
                                  <w:rPr>
                                    <w:rFonts w:hint="eastAsia"/>
                                    <w:color w:val="000000" w:themeColor="text1"/>
                                    <w:sz w:val="16"/>
                                    <w:szCs w:val="16"/>
                                  </w:rPr>
                                  <w:t>）</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wps:wsp>
                          <wps:cNvPr id="4802" name="正方形/長方形 4802"/>
                          <wps:cNvSpPr/>
                          <wps:spPr>
                            <a:xfrm>
                              <a:off x="389614" y="922351"/>
                              <a:ext cx="1158875" cy="682625"/>
                            </a:xfrm>
                            <a:prstGeom prst="rect">
                              <a:avLst/>
                            </a:prstGeom>
                            <a:solidFill>
                              <a:sysClr val="window" lastClr="FFFFFF"/>
                            </a:solidFill>
                            <a:ln w="9525" cap="flat" cmpd="sng" algn="ctr">
                              <a:solidFill>
                                <a:sysClr val="windowText" lastClr="000000"/>
                              </a:solidFill>
                              <a:prstDash val="solid"/>
                            </a:ln>
                            <a:effectLst/>
                          </wps:spPr>
                          <wps:txbx>
                            <w:txbxContent>
                              <w:p w14:paraId="55137BDB" w14:textId="77777777" w:rsidR="006A5267" w:rsidRPr="00E9662B" w:rsidRDefault="006A5267" w:rsidP="005D372A">
                                <w:pPr>
                                  <w:spacing w:line="240" w:lineRule="exact"/>
                                  <w:jc w:val="center"/>
                                  <w:rPr>
                                    <w:rFonts w:asciiTheme="majorEastAsia" w:eastAsiaTheme="majorEastAsia" w:hAnsiTheme="majorEastAsia"/>
                                    <w:color w:val="000000" w:themeColor="text1"/>
                                    <w:sz w:val="16"/>
                                    <w:szCs w:val="16"/>
                                  </w:rPr>
                                </w:pPr>
                                <w:r w:rsidRPr="00E9662B">
                                  <w:rPr>
                                    <w:rFonts w:asciiTheme="majorEastAsia" w:eastAsiaTheme="majorEastAsia" w:hAnsiTheme="majorEastAsia" w:hint="eastAsia"/>
                                    <w:color w:val="000000" w:themeColor="text1"/>
                                    <w:sz w:val="16"/>
                                    <w:szCs w:val="16"/>
                                  </w:rPr>
                                  <w:t>班員</w:t>
                                </w:r>
                              </w:p>
                              <w:p w14:paraId="67836434" w14:textId="77777777" w:rsidR="006A5267" w:rsidRDefault="006A5267" w:rsidP="005D372A">
                                <w:pPr>
                                  <w:spacing w:line="240" w:lineRule="exact"/>
                                  <w:jc w:val="center"/>
                                  <w:rPr>
                                    <w:color w:val="000000" w:themeColor="text1"/>
                                    <w:sz w:val="16"/>
                                    <w:szCs w:val="16"/>
                                  </w:rPr>
                                </w:pPr>
                                <w:r w:rsidRPr="00A8725A">
                                  <w:rPr>
                                    <w:rFonts w:hint="eastAsia"/>
                                    <w:color w:val="000000" w:themeColor="text1"/>
                                    <w:sz w:val="16"/>
                                    <w:szCs w:val="16"/>
                                  </w:rPr>
                                  <w:t>（</w:t>
                                </w:r>
                                <w:r>
                                  <w:rPr>
                                    <w:rFonts w:hint="eastAsia"/>
                                    <w:color w:val="000000" w:themeColor="text1"/>
                                    <w:sz w:val="16"/>
                                    <w:szCs w:val="16"/>
                                  </w:rPr>
                                  <w:t>危機管理室職員</w:t>
                                </w:r>
                                <w:r w:rsidRPr="00A8725A">
                                  <w:rPr>
                                    <w:rFonts w:hint="eastAsia"/>
                                    <w:color w:val="000000" w:themeColor="text1"/>
                                    <w:sz w:val="16"/>
                                    <w:szCs w:val="16"/>
                                  </w:rPr>
                                  <w:t>）</w:t>
                                </w:r>
                              </w:p>
                              <w:p w14:paraId="36A7FFC6" w14:textId="77777777" w:rsidR="006A5267" w:rsidRPr="00A8725A" w:rsidRDefault="006A5267" w:rsidP="005D372A">
                                <w:pPr>
                                  <w:spacing w:line="240" w:lineRule="exact"/>
                                  <w:jc w:val="center"/>
                                  <w:rPr>
                                    <w:color w:val="000000" w:themeColor="text1"/>
                                    <w:sz w:val="16"/>
                                    <w:szCs w:val="16"/>
                                  </w:rPr>
                                </w:pPr>
                                <w:r>
                                  <w:rPr>
                                    <w:rFonts w:hint="eastAsia"/>
                                    <w:color w:val="000000" w:themeColor="text1"/>
                                    <w:sz w:val="16"/>
                                    <w:szCs w:val="16"/>
                                  </w:rPr>
                                  <w:t>※管理職を除く</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wps:wsp>
                          <wps:cNvPr id="4803" name="正方形/長方形 4803"/>
                          <wps:cNvSpPr/>
                          <wps:spPr>
                            <a:xfrm>
                              <a:off x="214685" y="0"/>
                              <a:ext cx="1510665" cy="230505"/>
                            </a:xfrm>
                            <a:prstGeom prst="rect">
                              <a:avLst/>
                            </a:prstGeom>
                            <a:solidFill>
                              <a:sysClr val="window" lastClr="FFFFFF"/>
                            </a:solidFill>
                            <a:ln w="9525" cap="flat" cmpd="sng" algn="ctr">
                              <a:noFill/>
                              <a:prstDash val="solid"/>
                            </a:ln>
                            <a:effectLst/>
                          </wps:spPr>
                          <wps:txbx>
                            <w:txbxContent>
                              <w:p w14:paraId="7AB8C86B" w14:textId="77777777" w:rsidR="006A5267" w:rsidRPr="00E9662B" w:rsidRDefault="006A5267" w:rsidP="005D372A">
                                <w:pPr>
                                  <w:spacing w:line="240" w:lineRule="exact"/>
                                  <w:jc w:val="center"/>
                                  <w:rPr>
                                    <w:rFonts w:asciiTheme="majorEastAsia" w:eastAsiaTheme="majorEastAsia" w:hAnsiTheme="majorEastAsia"/>
                                    <w:color w:val="000000" w:themeColor="text1"/>
                                    <w:sz w:val="16"/>
                                    <w:szCs w:val="16"/>
                                  </w:rPr>
                                </w:pPr>
                                <w:r w:rsidRPr="00E9662B">
                                  <w:rPr>
                                    <w:rFonts w:asciiTheme="majorEastAsia" w:eastAsiaTheme="majorEastAsia" w:hAnsiTheme="majorEastAsia" w:hint="eastAsia"/>
                                    <w:color w:val="000000" w:themeColor="text1"/>
                                    <w:sz w:val="16"/>
                                    <w:szCs w:val="16"/>
                                  </w:rPr>
                                  <w:t>防災・危機管理</w:t>
                                </w:r>
                                <w:r>
                                  <w:rPr>
                                    <w:rFonts w:asciiTheme="majorEastAsia" w:eastAsiaTheme="majorEastAsia" w:hAnsiTheme="majorEastAsia" w:hint="eastAsia"/>
                                    <w:color w:val="000000" w:themeColor="text1"/>
                                    <w:sz w:val="16"/>
                                    <w:szCs w:val="16"/>
                                  </w:rPr>
                                  <w:t>警戒</w:t>
                                </w:r>
                                <w:r w:rsidRPr="00E9662B">
                                  <w:rPr>
                                    <w:rFonts w:asciiTheme="majorEastAsia" w:eastAsiaTheme="majorEastAsia" w:hAnsiTheme="majorEastAsia" w:hint="eastAsia"/>
                                    <w:color w:val="000000" w:themeColor="text1"/>
                                    <w:sz w:val="16"/>
                                    <w:szCs w:val="16"/>
                                  </w:rPr>
                                  <w:t>体制</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wpg:grpSp>
                      <wpg:grpSp>
                        <wpg:cNvPr id="4804" name="グループ化 4804"/>
                        <wpg:cNvGrpSpPr/>
                        <wpg:grpSpPr>
                          <a:xfrm>
                            <a:off x="2297927" y="159026"/>
                            <a:ext cx="2912752" cy="1549136"/>
                            <a:chOff x="0" y="0"/>
                            <a:chExt cx="2912752" cy="1549136"/>
                          </a:xfrm>
                        </wpg:grpSpPr>
                        <wps:wsp>
                          <wps:cNvPr id="4805" name="正方形/長方形 4805"/>
                          <wps:cNvSpPr/>
                          <wps:spPr>
                            <a:xfrm>
                              <a:off x="0" y="111305"/>
                              <a:ext cx="2912752" cy="1437831"/>
                            </a:xfrm>
                            <a:prstGeom prst="rect">
                              <a:avLst/>
                            </a:prstGeom>
                            <a:solidFill>
                              <a:sysClr val="window" lastClr="FFFFFF"/>
                            </a:solidFill>
                            <a:ln w="6350" cap="flat" cmpd="sng" algn="ctr">
                              <a:solidFill>
                                <a:sysClr val="windowText" lastClr="000000"/>
                              </a:solidFill>
                              <a:prstDash val="dash"/>
                            </a:ln>
                            <a:effectLst/>
                          </wps:spPr>
                          <wps:bodyPr rot="0" spcFirstLastPara="0" vertOverflow="overflow" horzOverflow="overflow" vert="horz" wrap="square" lIns="0" tIns="0" rIns="0" bIns="0" numCol="1" spcCol="0" rtlCol="0" fromWordArt="0" anchor="ctr" anchorCtr="0" forceAA="0" compatLnSpc="1">
                            <a:prstTxWarp prst="textNoShape">
                              <a:avLst/>
                            </a:prstTxWarp>
                            <a:noAutofit/>
                          </wps:bodyPr>
                        </wps:wsp>
                        <wps:wsp>
                          <wps:cNvPr id="4806" name="直線コネクタ 4806"/>
                          <wps:cNvCnPr/>
                          <wps:spPr>
                            <a:xfrm>
                              <a:off x="1423283" y="699715"/>
                              <a:ext cx="0" cy="739140"/>
                            </a:xfrm>
                            <a:prstGeom prst="line">
                              <a:avLst/>
                            </a:prstGeom>
                            <a:noFill/>
                            <a:ln w="9525" cap="flat" cmpd="sng" algn="ctr">
                              <a:solidFill>
                                <a:sysClr val="windowText" lastClr="000000"/>
                              </a:solidFill>
                              <a:prstDash val="solid"/>
                            </a:ln>
                            <a:effectLst/>
                          </wps:spPr>
                          <wps:bodyPr/>
                        </wps:wsp>
                        <wps:wsp>
                          <wps:cNvPr id="4807" name="正方形/長方形 4807"/>
                          <wps:cNvSpPr/>
                          <wps:spPr>
                            <a:xfrm>
                              <a:off x="341906" y="270344"/>
                              <a:ext cx="2161723" cy="516187"/>
                            </a:xfrm>
                            <a:prstGeom prst="rect">
                              <a:avLst/>
                            </a:prstGeom>
                            <a:solidFill>
                              <a:sysClr val="window" lastClr="FFFFFF"/>
                            </a:solidFill>
                            <a:ln w="9525" cap="flat" cmpd="sng" algn="ctr">
                              <a:solidFill>
                                <a:sysClr val="windowText" lastClr="000000"/>
                              </a:solidFill>
                              <a:prstDash val="solid"/>
                            </a:ln>
                            <a:effectLst/>
                          </wps:spPr>
                          <wps:txbx>
                            <w:txbxContent>
                              <w:p w14:paraId="4078B134" w14:textId="77777777" w:rsidR="006A5267" w:rsidRPr="0093399E" w:rsidRDefault="006A5267" w:rsidP="005D372A">
                                <w:pPr>
                                  <w:spacing w:line="240" w:lineRule="exact"/>
                                  <w:jc w:val="center"/>
                                  <w:rPr>
                                    <w:rFonts w:asciiTheme="majorEastAsia" w:eastAsiaTheme="majorEastAsia" w:hAnsiTheme="majorEastAsia"/>
                                    <w:color w:val="000000" w:themeColor="text1"/>
                                    <w:sz w:val="16"/>
                                    <w:szCs w:val="16"/>
                                  </w:rPr>
                                </w:pPr>
                                <w:r w:rsidRPr="0093399E">
                                  <w:rPr>
                                    <w:rFonts w:asciiTheme="majorEastAsia" w:eastAsiaTheme="majorEastAsia" w:hAnsiTheme="majorEastAsia" w:hint="eastAsia"/>
                                    <w:color w:val="000000" w:themeColor="text1"/>
                                    <w:sz w:val="16"/>
                                    <w:szCs w:val="16"/>
                                  </w:rPr>
                                  <w:t>班長</w:t>
                                </w:r>
                              </w:p>
                              <w:p w14:paraId="7132DF12" w14:textId="77777777" w:rsidR="006A5267" w:rsidRPr="00D46C92" w:rsidRDefault="006A5267" w:rsidP="005D372A">
                                <w:pPr>
                                  <w:spacing w:line="240" w:lineRule="exact"/>
                                  <w:jc w:val="center"/>
                                  <w:rPr>
                                    <w:sz w:val="16"/>
                                    <w:szCs w:val="16"/>
                                  </w:rPr>
                                </w:pPr>
                                <w:r w:rsidRPr="00D46C92">
                                  <w:rPr>
                                    <w:rFonts w:hint="eastAsia"/>
                                    <w:sz w:val="16"/>
                                    <w:szCs w:val="16"/>
                                  </w:rPr>
                                  <w:t>（地域防災監、又は</w:t>
                                </w:r>
                              </w:p>
                              <w:p w14:paraId="47A4A4CF" w14:textId="77777777" w:rsidR="006A5267" w:rsidRPr="00D46C92" w:rsidRDefault="006A5267" w:rsidP="005D372A">
                                <w:pPr>
                                  <w:spacing w:line="240" w:lineRule="exact"/>
                                  <w:jc w:val="center"/>
                                  <w:rPr>
                                    <w:sz w:val="16"/>
                                    <w:szCs w:val="16"/>
                                  </w:rPr>
                                </w:pPr>
                                <w:r w:rsidRPr="00D46C92">
                                  <w:rPr>
                                    <w:rFonts w:hint="eastAsia"/>
                                    <w:sz w:val="16"/>
                                    <w:szCs w:val="16"/>
                                  </w:rPr>
                                  <w:t>同地域防災監が指名した職員）</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wps:wsp>
                          <wps:cNvPr id="4808" name="正方形/長方形 4808"/>
                          <wps:cNvSpPr/>
                          <wps:spPr>
                            <a:xfrm>
                              <a:off x="83553" y="922358"/>
                              <a:ext cx="2733939" cy="523875"/>
                            </a:xfrm>
                            <a:prstGeom prst="rect">
                              <a:avLst/>
                            </a:prstGeom>
                            <a:solidFill>
                              <a:sysClr val="window" lastClr="FFFFFF"/>
                            </a:solidFill>
                            <a:ln w="9525" cap="flat" cmpd="sng" algn="ctr">
                              <a:solidFill>
                                <a:sysClr val="windowText" lastClr="000000"/>
                              </a:solidFill>
                              <a:prstDash val="solid"/>
                            </a:ln>
                            <a:effectLst/>
                          </wps:spPr>
                          <wps:txbx>
                            <w:txbxContent>
                              <w:p w14:paraId="24EFE9A3" w14:textId="77777777" w:rsidR="006A5267" w:rsidRPr="00D46C92" w:rsidRDefault="006A5267" w:rsidP="005D372A">
                                <w:pPr>
                                  <w:spacing w:line="240" w:lineRule="exact"/>
                                  <w:jc w:val="center"/>
                                  <w:rPr>
                                    <w:rFonts w:asciiTheme="majorEastAsia" w:eastAsiaTheme="majorEastAsia" w:hAnsiTheme="majorEastAsia"/>
                                    <w:sz w:val="16"/>
                                    <w:szCs w:val="16"/>
                                  </w:rPr>
                                </w:pPr>
                                <w:r w:rsidRPr="00D46C92">
                                  <w:rPr>
                                    <w:rFonts w:asciiTheme="majorEastAsia" w:eastAsiaTheme="majorEastAsia" w:hAnsiTheme="majorEastAsia" w:hint="eastAsia"/>
                                    <w:sz w:val="16"/>
                                    <w:szCs w:val="16"/>
                                  </w:rPr>
                                  <w:t>班員</w:t>
                                </w:r>
                              </w:p>
                              <w:p w14:paraId="72FA4F9F" w14:textId="68B5ADAD" w:rsidR="006A5267" w:rsidRPr="00D46C92" w:rsidRDefault="006A5267" w:rsidP="00E2290D">
                                <w:pPr>
                                  <w:spacing w:line="240" w:lineRule="exact"/>
                                  <w:jc w:val="center"/>
                                  <w:rPr>
                                    <w:sz w:val="16"/>
                                    <w:szCs w:val="16"/>
                                  </w:rPr>
                                </w:pPr>
                                <w:r w:rsidRPr="00D46C92">
                                  <w:rPr>
                                    <w:rFonts w:hint="eastAsia"/>
                                    <w:sz w:val="16"/>
                                    <w:szCs w:val="16"/>
                                  </w:rPr>
                                  <w:t>（土木事務所主査及び土木事務所所管</w:t>
                                </w:r>
                                <w:r w:rsidRPr="00D46C92">
                                  <w:rPr>
                                    <w:sz w:val="16"/>
                                    <w:szCs w:val="16"/>
                                  </w:rPr>
                                  <w:t>区域</w:t>
                                </w:r>
                                <w:r w:rsidRPr="00D46C92">
                                  <w:rPr>
                                    <w:sz w:val="16"/>
                                    <w:szCs w:val="16"/>
                                  </w:rPr>
                                  <w:br/>
                                </w:r>
                                <w:r w:rsidRPr="00D46C92">
                                  <w:rPr>
                                    <w:rFonts w:hint="eastAsia"/>
                                    <w:sz w:val="16"/>
                                    <w:szCs w:val="16"/>
                                  </w:rPr>
                                  <w:t>出先機関職員で知事の指名した職員）</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wps:wsp>
                          <wps:cNvPr id="4809" name="正方形/長方形 4809"/>
                          <wps:cNvSpPr/>
                          <wps:spPr>
                            <a:xfrm>
                              <a:off x="993913" y="0"/>
                              <a:ext cx="850265" cy="230505"/>
                            </a:xfrm>
                            <a:prstGeom prst="rect">
                              <a:avLst/>
                            </a:prstGeom>
                            <a:solidFill>
                              <a:sysClr val="window" lastClr="FFFFFF"/>
                            </a:solidFill>
                            <a:ln w="9525" cap="flat" cmpd="sng" algn="ctr">
                              <a:noFill/>
                              <a:prstDash val="solid"/>
                            </a:ln>
                            <a:effectLst/>
                          </wps:spPr>
                          <wps:txbx>
                            <w:txbxContent>
                              <w:p w14:paraId="725DC7DF" w14:textId="77777777" w:rsidR="006A5267" w:rsidRPr="00055897" w:rsidRDefault="006A5267" w:rsidP="005D372A">
                                <w:pPr>
                                  <w:spacing w:line="240" w:lineRule="exact"/>
                                  <w:jc w:val="center"/>
                                  <w:rPr>
                                    <w:rFonts w:asciiTheme="majorEastAsia" w:eastAsiaTheme="majorEastAsia" w:hAnsiTheme="majorEastAsia"/>
                                    <w:color w:val="000000" w:themeColor="text1"/>
                                    <w:sz w:val="16"/>
                                    <w:szCs w:val="16"/>
                                  </w:rPr>
                                </w:pPr>
                                <w:r w:rsidRPr="00055897">
                                  <w:rPr>
                                    <w:rFonts w:asciiTheme="majorEastAsia" w:eastAsiaTheme="majorEastAsia" w:hAnsiTheme="majorEastAsia" w:hint="eastAsia"/>
                                    <w:color w:val="000000" w:themeColor="text1"/>
                                    <w:sz w:val="16"/>
                                    <w:szCs w:val="16"/>
                                  </w:rPr>
                                  <w:t>地域情報班</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wpg:grpSp>
                    </wpg:wgp>
                  </a:graphicData>
                </a:graphic>
                <wp14:sizeRelH relativeFrom="margin">
                  <wp14:pctWidth>0</wp14:pctWidth>
                </wp14:sizeRelH>
                <wp14:sizeRelV relativeFrom="margin">
                  <wp14:pctHeight>0</wp14:pctHeight>
                </wp14:sizeRelV>
              </wp:anchor>
            </w:drawing>
          </mc:Choice>
          <mc:Fallback xmlns:w16cei="http://schemas.microsoft.com/office/word/2026/wordml/cei">
            <w:pict>
              <v:group w14:anchorId="22C6CE14" id="グループ化 4444" o:spid="_x0000_s1075" style="position:absolute;left:0;text-align:left;margin-left:21.7pt;margin-top:7.15pt;width:416.25pt;height:135.2pt;z-index:252937216;mso-width-relative:margin;mso-height-relative:margin" coordsize="52106,1717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">
                <v:line id="直線コネクタ 4445" o:spid="_x0000_s1076" style="position:absolute;visibility:visible;mso-wrap-style:square" from="19480,9223" to="31164,922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" strokecolor="windowText"/>
                <v:group id="グループ化 4446" o:spid="_x0000_s1077" style="position:absolute;width:19399;height:17172" coordsize="19399,1717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">
                  <v:rect id="正方形/長方形 4447" o:spid="_x0000_s1078" style="position:absolute;top:1113;width:19399;height:1605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" fillcolor="window" strokecolor="windowText" strokeweight=".5pt">
                    <v:stroke dashstyle="dash"/>
                    <v:textbox inset="0,0,0,0"/>
                  </v:rect>
                  <v:line id="直線コネクタ 4800" o:spid="_x0000_s1079" style="position:absolute;visibility:visible;mso-wrap-style:square" from="9700,4929" to="9700,1455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" strokecolor="windowText"/>
                  <v:rect id="正方形/長方形 4801" o:spid="_x0000_s1080" style="position:absolute;left:3578;top:2862;width:12223;height:466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" fillcolor="window" strokecolor="windowText">
                    <v:textbox inset="0,0,0,0">
                      <w:txbxContent>
                        <w:p w14:paraId="0D36885F" w14:textId="77777777" w:rsidR="006A5267" w:rsidRPr="008572DC" w:rsidRDefault="006A5267" w:rsidP="005D372A">
                          <w:pPr>
                            <w:spacing w:line="240" w:lineRule="exact"/>
                            <w:jc w:val="center"/>
                            <w:rPr>
                              <w:rFonts w:asciiTheme="majorEastAsia" w:eastAsiaTheme="majorEastAsia" w:hAnsiTheme="majorEastAsia"/>
                              <w:color w:val="000000" w:themeColor="text1"/>
                              <w:sz w:val="16"/>
                              <w:szCs w:val="16"/>
                            </w:rPr>
                          </w:pPr>
                          <w:r w:rsidRPr="008572DC">
                            <w:rPr>
                              <w:rFonts w:asciiTheme="majorEastAsia" w:eastAsiaTheme="majorEastAsia" w:hAnsiTheme="majorEastAsia" w:hint="eastAsia"/>
                              <w:color w:val="000000" w:themeColor="text1"/>
                              <w:sz w:val="16"/>
                              <w:szCs w:val="16"/>
                            </w:rPr>
                            <w:t>班長</w:t>
                          </w:r>
                        </w:p>
                        <w:p w14:paraId="001A4A0E" w14:textId="77777777" w:rsidR="006A5267" w:rsidRPr="00A8725A" w:rsidRDefault="006A5267" w:rsidP="005D372A">
                          <w:pPr>
                            <w:spacing w:line="240" w:lineRule="exact"/>
                            <w:jc w:val="center"/>
                            <w:rPr>
                              <w:color w:val="000000" w:themeColor="text1"/>
                              <w:sz w:val="16"/>
                              <w:szCs w:val="16"/>
                            </w:rPr>
                          </w:pPr>
                          <w:r>
                            <w:rPr>
                              <w:rFonts w:hint="eastAsia"/>
                              <w:color w:val="000000" w:themeColor="text1"/>
                              <w:sz w:val="16"/>
                              <w:szCs w:val="16"/>
                            </w:rPr>
                            <w:t>（危機管理室課長補佐</w:t>
                          </w:r>
                          <w:r w:rsidRPr="00A8725A">
                            <w:rPr>
                              <w:rFonts w:hint="eastAsia"/>
                              <w:color w:val="000000" w:themeColor="text1"/>
                              <w:sz w:val="16"/>
                              <w:szCs w:val="16"/>
                            </w:rPr>
                            <w:t>）</w:t>
                          </w:r>
                        </w:p>
                      </w:txbxContent>
                    </v:textbox>
                  </v:rect>
                  <v:rect id="正方形/長方形 4802" o:spid="_x0000_s1081" style="position:absolute;left:3896;top:9223;width:11588;height:682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" fillcolor="window" strokecolor="windowText">
                    <v:textbox inset="0,0,0,0">
                      <w:txbxContent>
                        <w:p w14:paraId="55137BDB" w14:textId="77777777" w:rsidR="006A5267" w:rsidRPr="00E9662B" w:rsidRDefault="006A5267" w:rsidP="005D372A">
                          <w:pPr>
                            <w:spacing w:line="240" w:lineRule="exact"/>
                            <w:jc w:val="center"/>
                            <w:rPr>
                              <w:rFonts w:asciiTheme="majorEastAsia" w:eastAsiaTheme="majorEastAsia" w:hAnsiTheme="majorEastAsia"/>
                              <w:color w:val="000000" w:themeColor="text1"/>
                              <w:sz w:val="16"/>
                              <w:szCs w:val="16"/>
                            </w:rPr>
                          </w:pPr>
                          <w:r w:rsidRPr="00E9662B">
                            <w:rPr>
                              <w:rFonts w:asciiTheme="majorEastAsia" w:eastAsiaTheme="majorEastAsia" w:hAnsiTheme="majorEastAsia" w:hint="eastAsia"/>
                              <w:color w:val="000000" w:themeColor="text1"/>
                              <w:sz w:val="16"/>
                              <w:szCs w:val="16"/>
                            </w:rPr>
                            <w:t>班員</w:t>
                          </w:r>
                        </w:p>
                        <w:p w14:paraId="67836434" w14:textId="77777777" w:rsidR="006A5267" w:rsidRDefault="006A5267" w:rsidP="005D372A">
                          <w:pPr>
                            <w:spacing w:line="240" w:lineRule="exact"/>
                            <w:jc w:val="center"/>
                            <w:rPr>
                              <w:color w:val="000000" w:themeColor="text1"/>
                              <w:sz w:val="16"/>
                              <w:szCs w:val="16"/>
                            </w:rPr>
                          </w:pPr>
                          <w:r w:rsidRPr="00A8725A">
                            <w:rPr>
                              <w:rFonts w:hint="eastAsia"/>
                              <w:color w:val="000000" w:themeColor="text1"/>
                              <w:sz w:val="16"/>
                              <w:szCs w:val="16"/>
                            </w:rPr>
                            <w:t>（</w:t>
                          </w:r>
                          <w:r>
                            <w:rPr>
                              <w:rFonts w:hint="eastAsia"/>
                              <w:color w:val="000000" w:themeColor="text1"/>
                              <w:sz w:val="16"/>
                              <w:szCs w:val="16"/>
                            </w:rPr>
                            <w:t>危機管理室職員</w:t>
                          </w:r>
                          <w:r w:rsidRPr="00A8725A">
                            <w:rPr>
                              <w:rFonts w:hint="eastAsia"/>
                              <w:color w:val="000000" w:themeColor="text1"/>
                              <w:sz w:val="16"/>
                              <w:szCs w:val="16"/>
                            </w:rPr>
                            <w:t>）</w:t>
                          </w:r>
                        </w:p>
                        <w:p w14:paraId="36A7FFC6" w14:textId="77777777" w:rsidR="006A5267" w:rsidRPr="00A8725A" w:rsidRDefault="006A5267" w:rsidP="005D372A">
                          <w:pPr>
                            <w:spacing w:line="240" w:lineRule="exact"/>
                            <w:jc w:val="center"/>
                            <w:rPr>
                              <w:color w:val="000000" w:themeColor="text1"/>
                              <w:sz w:val="16"/>
                              <w:szCs w:val="16"/>
                            </w:rPr>
                          </w:pPr>
                          <w:r>
                            <w:rPr>
                              <w:rFonts w:hint="eastAsia"/>
                              <w:color w:val="000000" w:themeColor="text1"/>
                              <w:sz w:val="16"/>
                              <w:szCs w:val="16"/>
                            </w:rPr>
                            <w:t>※管理職を除く</w:t>
                          </w:r>
                        </w:p>
                      </w:txbxContent>
                    </v:textbox>
                  </v:rect>
                  <v:rect id="正方形/長方形 4803" o:spid="_x0000_s1082" style="position:absolute;left:2146;width:15107;height:230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" fillcolor="window" stroked="f">
                    <v:textbox inset="0,0,0,0">
                      <w:txbxContent>
                        <w:p w14:paraId="7AB8C86B" w14:textId="77777777" w:rsidR="006A5267" w:rsidRPr="00E9662B" w:rsidRDefault="006A5267" w:rsidP="005D372A">
                          <w:pPr>
                            <w:spacing w:line="240" w:lineRule="exact"/>
                            <w:jc w:val="center"/>
                            <w:rPr>
                              <w:rFonts w:asciiTheme="majorEastAsia" w:eastAsiaTheme="majorEastAsia" w:hAnsiTheme="majorEastAsia"/>
                              <w:color w:val="000000" w:themeColor="text1"/>
                              <w:sz w:val="16"/>
                              <w:szCs w:val="16"/>
                            </w:rPr>
                          </w:pPr>
                          <w:r w:rsidRPr="00E9662B">
                            <w:rPr>
                              <w:rFonts w:asciiTheme="majorEastAsia" w:eastAsiaTheme="majorEastAsia" w:hAnsiTheme="majorEastAsia" w:hint="eastAsia"/>
                              <w:color w:val="000000" w:themeColor="text1"/>
                              <w:sz w:val="16"/>
                              <w:szCs w:val="16"/>
                            </w:rPr>
                            <w:t>防災・危機管理</w:t>
                          </w:r>
                          <w:r>
                            <w:rPr>
                              <w:rFonts w:asciiTheme="majorEastAsia" w:eastAsiaTheme="majorEastAsia" w:hAnsiTheme="majorEastAsia" w:hint="eastAsia"/>
                              <w:color w:val="000000" w:themeColor="text1"/>
                              <w:sz w:val="16"/>
                              <w:szCs w:val="16"/>
                            </w:rPr>
                            <w:t>警戒</w:t>
                          </w:r>
                          <w:r w:rsidRPr="00E9662B">
                            <w:rPr>
                              <w:rFonts w:asciiTheme="majorEastAsia" w:eastAsiaTheme="majorEastAsia" w:hAnsiTheme="majorEastAsia" w:hint="eastAsia"/>
                              <w:color w:val="000000" w:themeColor="text1"/>
                              <w:sz w:val="16"/>
                              <w:szCs w:val="16"/>
                            </w:rPr>
                            <w:t>体制</w:t>
                          </w:r>
                        </w:p>
                      </w:txbxContent>
                    </v:textbox>
                  </v:rect>
                </v:group>
                <v:group id="グループ化 4804" o:spid="_x0000_s1083" style="position:absolute;left:22979;top:1590;width:29127;height:15491" coordsize="29127,1549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">
                  <v:rect id="正方形/長方形 4805" o:spid="_x0000_s1084" style="position:absolute;top:1113;width:29127;height:1437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" fillcolor="window" strokecolor="windowText" strokeweight=".5pt">
                    <v:stroke dashstyle="dash"/>
                    <v:textbox inset="0,0,0,0"/>
                  </v:rect>
                  <v:line id="直線コネクタ 4806" o:spid="_x0000_s1085" style="position:absolute;visibility:visible;mso-wrap-style:square" from="14232,6997" to="14232,1438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" strokecolor="windowText"/>
                  <v:rect id="正方形/長方形 4807" o:spid="_x0000_s1086" style="position:absolute;left:3419;top:2703;width:21617;height:516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" fillcolor="window" strokecolor="windowText">
                    <v:textbox inset="0,0,0,0">
                      <w:txbxContent>
                        <w:p w14:paraId="4078B134" w14:textId="77777777" w:rsidR="006A5267" w:rsidRPr="0093399E" w:rsidRDefault="006A5267" w:rsidP="005D372A">
                          <w:pPr>
                            <w:spacing w:line="240" w:lineRule="exact"/>
                            <w:jc w:val="center"/>
                            <w:rPr>
                              <w:rFonts w:asciiTheme="majorEastAsia" w:eastAsiaTheme="majorEastAsia" w:hAnsiTheme="majorEastAsia"/>
                              <w:color w:val="000000" w:themeColor="text1"/>
                              <w:sz w:val="16"/>
                              <w:szCs w:val="16"/>
                            </w:rPr>
                          </w:pPr>
                          <w:r w:rsidRPr="0093399E">
                            <w:rPr>
                              <w:rFonts w:asciiTheme="majorEastAsia" w:eastAsiaTheme="majorEastAsia" w:hAnsiTheme="majorEastAsia" w:hint="eastAsia"/>
                              <w:color w:val="000000" w:themeColor="text1"/>
                              <w:sz w:val="16"/>
                              <w:szCs w:val="16"/>
                            </w:rPr>
                            <w:t>班長</w:t>
                          </w:r>
                        </w:p>
                        <w:p w14:paraId="7132DF12" w14:textId="77777777" w:rsidR="006A5267" w:rsidRPr="00D46C92" w:rsidRDefault="006A5267" w:rsidP="005D372A">
                          <w:pPr>
                            <w:spacing w:line="240" w:lineRule="exact"/>
                            <w:jc w:val="center"/>
                            <w:rPr>
                              <w:sz w:val="16"/>
                              <w:szCs w:val="16"/>
                            </w:rPr>
                          </w:pPr>
                          <w:r w:rsidRPr="00D46C92">
                            <w:rPr>
                              <w:rFonts w:hint="eastAsia"/>
                              <w:sz w:val="16"/>
                              <w:szCs w:val="16"/>
                            </w:rPr>
                            <w:t>（地域防災監、又は</w:t>
                          </w:r>
                        </w:p>
                        <w:p w14:paraId="47A4A4CF" w14:textId="77777777" w:rsidR="006A5267" w:rsidRPr="00D46C92" w:rsidRDefault="006A5267" w:rsidP="005D372A">
                          <w:pPr>
                            <w:spacing w:line="240" w:lineRule="exact"/>
                            <w:jc w:val="center"/>
                            <w:rPr>
                              <w:sz w:val="16"/>
                              <w:szCs w:val="16"/>
                            </w:rPr>
                          </w:pPr>
                          <w:r w:rsidRPr="00D46C92">
                            <w:rPr>
                              <w:rFonts w:hint="eastAsia"/>
                              <w:sz w:val="16"/>
                              <w:szCs w:val="16"/>
                            </w:rPr>
                            <w:t>同地域防災監が指名した職員）</w:t>
                          </w:r>
                        </w:p>
                      </w:txbxContent>
                    </v:textbox>
                  </v:rect>
                  <v:rect id="正方形/長方形 4808" o:spid="_x0000_s1087" style="position:absolute;left:835;top:9223;width:27339;height:523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" fillcolor="window" strokecolor="windowText">
                    <v:textbox inset="0,0,0,0">
                      <w:txbxContent>
                        <w:p w14:paraId="24EFE9A3" w14:textId="77777777" w:rsidR="006A5267" w:rsidRPr="00D46C92" w:rsidRDefault="006A5267" w:rsidP="005D372A">
                          <w:pPr>
                            <w:spacing w:line="240" w:lineRule="exact"/>
                            <w:jc w:val="center"/>
                            <w:rPr>
                              <w:rFonts w:asciiTheme="majorEastAsia" w:eastAsiaTheme="majorEastAsia" w:hAnsiTheme="majorEastAsia"/>
                              <w:sz w:val="16"/>
                              <w:szCs w:val="16"/>
                            </w:rPr>
                          </w:pPr>
                          <w:r w:rsidRPr="00D46C92">
                            <w:rPr>
                              <w:rFonts w:asciiTheme="majorEastAsia" w:eastAsiaTheme="majorEastAsia" w:hAnsiTheme="majorEastAsia" w:hint="eastAsia"/>
                              <w:sz w:val="16"/>
                              <w:szCs w:val="16"/>
                            </w:rPr>
                            <w:t>班員</w:t>
                          </w:r>
                        </w:p>
                        <w:p w14:paraId="72FA4F9F" w14:textId="68B5ADAD" w:rsidR="006A5267" w:rsidRPr="00D46C92" w:rsidRDefault="006A5267" w:rsidP="00E2290D">
                          <w:pPr>
                            <w:spacing w:line="240" w:lineRule="exact"/>
                            <w:jc w:val="center"/>
                            <w:rPr>
                              <w:sz w:val="16"/>
                              <w:szCs w:val="16"/>
                            </w:rPr>
                          </w:pPr>
                          <w:r w:rsidRPr="00D46C92">
                            <w:rPr>
                              <w:rFonts w:hint="eastAsia"/>
                              <w:sz w:val="16"/>
                              <w:szCs w:val="16"/>
                            </w:rPr>
                            <w:t>（土木事務所主査及び土木事務所所管</w:t>
                          </w:r>
                          <w:r w:rsidRPr="00D46C92">
                            <w:rPr>
                              <w:sz w:val="16"/>
                              <w:szCs w:val="16"/>
                            </w:rPr>
                            <w:t>区域</w:t>
                          </w:r>
                          <w:r w:rsidRPr="00D46C92">
                            <w:rPr>
                              <w:sz w:val="16"/>
                              <w:szCs w:val="16"/>
                            </w:rPr>
                            <w:br/>
                          </w:r>
                          <w:r w:rsidRPr="00D46C92">
                            <w:rPr>
                              <w:rFonts w:hint="eastAsia"/>
                              <w:sz w:val="16"/>
                              <w:szCs w:val="16"/>
                            </w:rPr>
                            <w:t>出先機関職員で知事の指名した職員）</w:t>
                          </w:r>
                        </w:p>
                      </w:txbxContent>
                    </v:textbox>
                  </v:rect>
                  <v:rect id="正方形/長方形 4809" o:spid="_x0000_s1088" style="position:absolute;left:9939;width:8502;height:230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" fillcolor="window" stroked="f">
                    <v:textbox inset="0,0,0,0">
                      <w:txbxContent>
                        <w:p w14:paraId="725DC7DF" w14:textId="77777777" w:rsidR="006A5267" w:rsidRPr="00055897" w:rsidRDefault="006A5267" w:rsidP="005D372A">
                          <w:pPr>
                            <w:spacing w:line="240" w:lineRule="exact"/>
                            <w:jc w:val="center"/>
                            <w:rPr>
                              <w:rFonts w:asciiTheme="majorEastAsia" w:eastAsiaTheme="majorEastAsia" w:hAnsiTheme="majorEastAsia"/>
                              <w:color w:val="000000" w:themeColor="text1"/>
                              <w:sz w:val="16"/>
                              <w:szCs w:val="16"/>
                            </w:rPr>
                          </w:pPr>
                          <w:r w:rsidRPr="00055897">
                            <w:rPr>
                              <w:rFonts w:asciiTheme="majorEastAsia" w:eastAsiaTheme="majorEastAsia" w:hAnsiTheme="majorEastAsia" w:hint="eastAsia"/>
                              <w:color w:val="000000" w:themeColor="text1"/>
                              <w:sz w:val="16"/>
                              <w:szCs w:val="16"/>
                            </w:rPr>
                            <w:t>地域情報班</w:t>
                          </w:r>
                        </w:p>
                      </w:txbxContent>
                    </v:textbox>
                  </v:rect>
                </v:group>
              </v:group>
            </w:pict>
          </mc:Fallback>
        </mc:AlternateContent>
      </w:r>
    </w:p>
    <w:p w14:paraId="058941CA" w14:textId="530EC3EE" w:rsidR="005D372A" w:rsidRPr="001D6D10" w:rsidRDefault="005D372A" w:rsidP="005D372A"/>
    <w:p w14:paraId="7DADA8BD" w14:textId="77777777" w:rsidR="005D372A" w:rsidRPr="001D6D10" w:rsidRDefault="005D372A" w:rsidP="005D372A"/>
    <w:p w14:paraId="0A2F4A02" w14:textId="77777777" w:rsidR="005D372A" w:rsidRPr="001D6D10" w:rsidRDefault="005D372A" w:rsidP="005D372A"/>
    <w:p w14:paraId="5336DF34" w14:textId="77777777" w:rsidR="005D372A" w:rsidRPr="001D6D10" w:rsidRDefault="005D372A" w:rsidP="005D372A"/>
    <w:p w14:paraId="3EB80013" w14:textId="7564C209" w:rsidR="005D372A" w:rsidRPr="001D6D10" w:rsidRDefault="005D372A" w:rsidP="005D372A"/>
    <w:p w14:paraId="33E7BE95" w14:textId="4037977B" w:rsidR="005D372A" w:rsidRPr="001D6D10" w:rsidRDefault="005D372A" w:rsidP="005D372A"/>
    <w:p w14:paraId="5C872043" w14:textId="77777777" w:rsidR="005D372A" w:rsidRPr="001D6D10" w:rsidRDefault="005D372A" w:rsidP="005D372A"/>
    <w:p w14:paraId="46ED84C7" w14:textId="2767CC89" w:rsidR="005D372A" w:rsidRPr="001D6D10" w:rsidRDefault="005D372A" w:rsidP="005D372A"/>
    <w:p w14:paraId="210BA95A" w14:textId="7559C9D6" w:rsidR="00C96962" w:rsidRDefault="00C96962">
      <w:pPr>
        <w:widowControl/>
        <w:jc w:val="left"/>
      </w:pPr>
      <w:r>
        <w:br w:type="page"/>
      </w:r>
    </w:p>
    <w:p w14:paraId="4F285CA8" w14:textId="0EFA33AB" w:rsidR="005D372A" w:rsidRPr="001D6D10" w:rsidRDefault="005D372A" w:rsidP="0013387F">
      <w:pPr>
        <w:pStyle w:val="4"/>
        <w:ind w:leftChars="189" w:left="399" w:firstLineChars="100" w:firstLine="221"/>
        <w:rPr>
          <w:rFonts w:ascii="ＭＳ ゴシック" w:eastAsia="ＭＳ ゴシック" w:hAnsi="ＭＳ ゴシック"/>
          <w:b w:val="0"/>
          <w:sz w:val="22"/>
          <w:szCs w:val="22"/>
          <w:u w:val="single"/>
        </w:rPr>
      </w:pPr>
      <w:bookmarkStart w:id="40" w:name="_Toc122436877"/>
      <w:bookmarkStart w:id="41" w:name="_Toc222486567"/>
      <w:bookmarkStart w:id="42" w:name="_Toc242870236"/>
      <w:r w:rsidRPr="001D6D10">
        <w:rPr>
          <w:rFonts w:ascii="ＭＳ ゴシック" w:eastAsia="ＭＳ ゴシック" w:hAnsi="ＭＳ ゴシック" w:hint="eastAsia"/>
          <w:b w:val="0"/>
          <w:sz w:val="22"/>
          <w:szCs w:val="22"/>
          <w:u w:val="single"/>
        </w:rPr>
        <w:lastRenderedPageBreak/>
        <w:t>２　防災・危機管理指令部の活動</w:t>
      </w:r>
      <w:bookmarkEnd w:id="40"/>
      <w:bookmarkEnd w:id="41"/>
      <w:bookmarkEnd w:id="42"/>
    </w:p>
    <w:p w14:paraId="5A77769E" w14:textId="77777777" w:rsidR="005D372A" w:rsidRPr="001D6D10" w:rsidRDefault="005D372A" w:rsidP="005D372A">
      <w:pPr>
        <w:ind w:left="221" w:hangingChars="100" w:hanging="221"/>
        <w:rPr>
          <w:rFonts w:ascii="ＭＳ 明朝" w:hAnsi="ＭＳ 明朝"/>
          <w:sz w:val="22"/>
          <w:szCs w:val="22"/>
        </w:rPr>
      </w:pPr>
      <w:r w:rsidRPr="001D6D10">
        <w:rPr>
          <w:rFonts w:ascii="ＭＳ ゴシック" w:eastAsia="ＭＳ ゴシック" w:hAnsi="ＭＳ ゴシック" w:hint="eastAsia"/>
          <w:sz w:val="22"/>
          <w:szCs w:val="22"/>
        </w:rPr>
        <w:t xml:space="preserve">　　　　</w:t>
      </w:r>
      <w:r w:rsidRPr="001D6D10">
        <w:rPr>
          <w:rFonts w:ascii="ＭＳ 明朝" w:hAnsi="ＭＳ 明朝" w:hint="eastAsia"/>
          <w:sz w:val="22"/>
          <w:szCs w:val="22"/>
        </w:rPr>
        <w:t>(1)　防災・危機管理指令部の活動</w:t>
      </w:r>
    </w:p>
    <w:p w14:paraId="340E6038" w14:textId="77777777" w:rsidR="005D372A" w:rsidRPr="001D6D10" w:rsidRDefault="005D372A" w:rsidP="005D372A">
      <w:pPr>
        <w:ind w:firstLineChars="650" w:firstLine="1437"/>
        <w:rPr>
          <w:rFonts w:ascii="ＭＳ ゴシック" w:eastAsia="ＭＳ ゴシック" w:hAnsi="ＭＳ ゴシック"/>
          <w:sz w:val="22"/>
          <w:szCs w:val="22"/>
          <w:bdr w:val="single" w:sz="4" w:space="0" w:color="auto"/>
        </w:rPr>
      </w:pPr>
      <w:r w:rsidRPr="001D6D10">
        <w:rPr>
          <w:rFonts w:ascii="ＭＳ ゴシック" w:eastAsia="ＭＳ ゴシック" w:hAnsi="ＭＳ ゴシック" w:hint="eastAsia"/>
          <w:sz w:val="22"/>
          <w:szCs w:val="22"/>
          <w:bdr w:val="single" w:sz="4" w:space="0" w:color="auto"/>
        </w:rPr>
        <w:t>主たる担当：危機管理室、関係室・課：関係部局室・課</w:t>
      </w:r>
    </w:p>
    <w:p w14:paraId="268E0F80" w14:textId="77777777" w:rsidR="005D372A" w:rsidRPr="001D6D10" w:rsidRDefault="005D372A" w:rsidP="005D372A">
      <w:pPr>
        <w:ind w:left="1216" w:hangingChars="550" w:hanging="1216"/>
        <w:rPr>
          <w:rFonts w:ascii="ＭＳ 明朝" w:hAnsi="ＭＳ 明朝"/>
          <w:sz w:val="22"/>
          <w:szCs w:val="22"/>
        </w:rPr>
      </w:pPr>
      <w:r w:rsidRPr="001D6D10">
        <w:rPr>
          <w:rFonts w:ascii="ＭＳ 明朝" w:hAnsi="ＭＳ 明朝" w:hint="eastAsia"/>
          <w:sz w:val="22"/>
          <w:szCs w:val="22"/>
        </w:rPr>
        <w:t xml:space="preserve">　　　　　　 危機管理監は、</w:t>
      </w:r>
      <w:r w:rsidRPr="001D6D10">
        <w:rPr>
          <w:rFonts w:ascii="ＭＳ 明朝" w:hAnsi="ＭＳ 明朝" w:cs="ＭＳ 明朝" w:hint="eastAsia"/>
          <w:sz w:val="22"/>
          <w:szCs w:val="22"/>
        </w:rPr>
        <w:t>災害</w:t>
      </w:r>
      <w:r w:rsidRPr="001D6D10">
        <w:rPr>
          <w:rFonts w:ascii="ＭＳ 明朝" w:hAnsi="ＭＳ 明朝" w:hint="eastAsia"/>
          <w:sz w:val="22"/>
          <w:szCs w:val="22"/>
        </w:rPr>
        <w:t>等が発生した場合又は府域において震度４を観測した場合には直ちに、その他の場合には必要に応じて大阪府防災・危機管理指令部（以下「指令部」という）の活動を開始し、災害等応急対策の検討を行う。</w:t>
      </w:r>
    </w:p>
    <w:p w14:paraId="32F55C18" w14:textId="77777777" w:rsidR="005D372A" w:rsidRPr="001D6D10" w:rsidRDefault="005D372A" w:rsidP="005D372A">
      <w:pPr>
        <w:ind w:left="1216" w:hangingChars="550" w:hanging="1216"/>
        <w:rPr>
          <w:rFonts w:ascii="ＭＳ 明朝" w:hAnsi="ＭＳ 明朝"/>
          <w:sz w:val="22"/>
          <w:szCs w:val="22"/>
        </w:rPr>
      </w:pPr>
    </w:p>
    <w:tbl>
      <w:tblPr>
        <w:tblStyle w:val="ab"/>
        <w:tblW w:w="9180" w:type="dxa"/>
        <w:tblLook w:val="04A0" w:firstRow="1" w:lastRow="0" w:firstColumn="1" w:lastColumn="0" w:noHBand="0" w:noVBand="1"/>
      </w:tblPr>
      <w:tblGrid>
        <w:gridCol w:w="1526"/>
        <w:gridCol w:w="7654"/>
      </w:tblGrid>
      <w:tr w:rsidR="001D6D10" w:rsidRPr="001D6D10" w14:paraId="605C1E43" w14:textId="77777777" w:rsidTr="008B4B2B">
        <w:trPr>
          <w:trHeight w:val="3398"/>
        </w:trPr>
        <w:tc>
          <w:tcPr>
            <w:tcW w:w="1526" w:type="dxa"/>
          </w:tcPr>
          <w:p w14:paraId="09DAE036" w14:textId="77777777" w:rsidR="005D372A" w:rsidRPr="00E0548A" w:rsidRDefault="005D372A" w:rsidP="005D372A">
            <w:pPr>
              <w:tabs>
                <w:tab w:val="center" w:pos="4252"/>
                <w:tab w:val="right" w:pos="8504"/>
              </w:tabs>
              <w:snapToGrid w:val="0"/>
              <w:rPr>
                <w:rFonts w:hAnsi="ＭＳ 明朝"/>
                <w:sz w:val="22"/>
                <w:szCs w:val="22"/>
              </w:rPr>
            </w:pPr>
            <w:r w:rsidRPr="00E0548A">
              <w:rPr>
                <w:rFonts w:hAnsi="ＭＳ 明朝" w:hint="eastAsia"/>
                <w:sz w:val="22"/>
                <w:szCs w:val="22"/>
              </w:rPr>
              <w:t>①開始基準</w:t>
            </w:r>
          </w:p>
        </w:tc>
        <w:tc>
          <w:tcPr>
            <w:tcW w:w="7654" w:type="dxa"/>
          </w:tcPr>
          <w:p w14:paraId="2CD822C7" w14:textId="77777777" w:rsidR="005D372A" w:rsidRPr="00E0548A" w:rsidRDefault="005D372A" w:rsidP="005D372A">
            <w:pPr>
              <w:tabs>
                <w:tab w:val="center" w:pos="4252"/>
                <w:tab w:val="right" w:pos="8504"/>
              </w:tabs>
              <w:snapToGrid w:val="0"/>
              <w:rPr>
                <w:rFonts w:hAnsi="ＭＳ 明朝"/>
                <w:sz w:val="22"/>
                <w:szCs w:val="22"/>
              </w:rPr>
            </w:pPr>
            <w:r w:rsidRPr="00E0548A">
              <w:rPr>
                <w:rFonts w:hAnsi="ＭＳ 明朝" w:hint="eastAsia"/>
                <w:sz w:val="22"/>
                <w:szCs w:val="22"/>
              </w:rPr>
              <w:t>ア　・府域において震度４を観測したとき（自動開始）</w:t>
            </w:r>
          </w:p>
          <w:p w14:paraId="7ABAF7BE" w14:textId="77777777" w:rsidR="00FE472E" w:rsidRPr="00E0548A" w:rsidRDefault="005D372A" w:rsidP="005D372A">
            <w:pPr>
              <w:tabs>
                <w:tab w:val="center" w:pos="4252"/>
                <w:tab w:val="right" w:pos="8504"/>
              </w:tabs>
              <w:snapToGrid w:val="0"/>
              <w:rPr>
                <w:rFonts w:hAnsi="ＭＳ 明朝"/>
                <w:sz w:val="22"/>
                <w:szCs w:val="22"/>
              </w:rPr>
            </w:pPr>
            <w:r w:rsidRPr="00E0548A">
              <w:rPr>
                <w:rFonts w:hAnsi="ＭＳ 明朝" w:hint="eastAsia"/>
                <w:sz w:val="22"/>
                <w:szCs w:val="22"/>
              </w:rPr>
              <w:t xml:space="preserve">　　・府域において、津波注意報が発表されたとき（自動開始）</w:t>
            </w:r>
            <w:r w:rsidR="00FE472E" w:rsidRPr="00E0548A">
              <w:rPr>
                <w:rFonts w:hAnsi="ＭＳ 明朝" w:hint="eastAsia"/>
                <w:sz w:val="22"/>
                <w:szCs w:val="22"/>
              </w:rPr>
              <w:t xml:space="preserve">（遠地津波　　</w:t>
            </w:r>
          </w:p>
          <w:p w14:paraId="71BF30DA" w14:textId="77777777" w:rsidR="005D372A" w:rsidRPr="00E0548A" w:rsidRDefault="00FE472E" w:rsidP="005D372A">
            <w:pPr>
              <w:tabs>
                <w:tab w:val="center" w:pos="4252"/>
                <w:tab w:val="right" w:pos="8504"/>
              </w:tabs>
              <w:snapToGrid w:val="0"/>
              <w:rPr>
                <w:rFonts w:hAnsi="ＭＳ 明朝"/>
                <w:sz w:val="22"/>
                <w:szCs w:val="22"/>
              </w:rPr>
            </w:pPr>
            <w:r w:rsidRPr="00E0548A">
              <w:rPr>
                <w:rFonts w:hAnsi="ＭＳ 明朝" w:hint="eastAsia"/>
                <w:sz w:val="22"/>
                <w:szCs w:val="22"/>
              </w:rPr>
              <w:t xml:space="preserve">　　　含む）</w:t>
            </w:r>
          </w:p>
          <w:p w14:paraId="4A4A76BE" w14:textId="7E6854CB" w:rsidR="005D372A" w:rsidRPr="00E0548A" w:rsidRDefault="005D372A" w:rsidP="00E0548A">
            <w:pPr>
              <w:tabs>
                <w:tab w:val="center" w:pos="4252"/>
                <w:tab w:val="right" w:pos="8504"/>
              </w:tabs>
              <w:snapToGrid w:val="0"/>
              <w:ind w:left="663" w:hangingChars="300" w:hanging="663"/>
              <w:rPr>
                <w:rFonts w:hAnsi="ＭＳ 明朝"/>
                <w:sz w:val="22"/>
                <w:szCs w:val="22"/>
              </w:rPr>
            </w:pPr>
            <w:r w:rsidRPr="00E0548A">
              <w:rPr>
                <w:rFonts w:hAnsi="ＭＳ 明朝" w:hint="eastAsia"/>
                <w:sz w:val="22"/>
                <w:szCs w:val="22"/>
              </w:rPr>
              <w:t>イ　気象庁が発表する台風情報により、府域最接近の概ね２４時間前の</w:t>
            </w:r>
          </w:p>
          <w:p w14:paraId="25BA22ED" w14:textId="5D5558E0" w:rsidR="005D372A" w:rsidRPr="00E0548A" w:rsidRDefault="005D372A" w:rsidP="005D372A">
            <w:pPr>
              <w:tabs>
                <w:tab w:val="center" w:pos="4252"/>
                <w:tab w:val="right" w:pos="8504"/>
              </w:tabs>
              <w:snapToGrid w:val="0"/>
              <w:ind w:left="360" w:firstLineChars="100" w:firstLine="221"/>
              <w:rPr>
                <w:rFonts w:hAnsi="ＭＳ 明朝"/>
                <w:sz w:val="22"/>
                <w:szCs w:val="22"/>
              </w:rPr>
            </w:pPr>
            <w:r w:rsidRPr="00E0548A">
              <w:rPr>
                <w:rFonts w:hAnsi="ＭＳ 明朝" w:hint="eastAsia"/>
                <w:sz w:val="22"/>
                <w:szCs w:val="22"/>
              </w:rPr>
              <w:t>時点で府域が台風の暴風</w:t>
            </w:r>
            <w:r w:rsidR="00EB3E1A" w:rsidRPr="0075788C">
              <w:rPr>
                <w:rFonts w:hAnsi="ＭＳ 明朝" w:hint="eastAsia"/>
                <w:sz w:val="22"/>
                <w:szCs w:val="22"/>
              </w:rPr>
              <w:t>警戒</w:t>
            </w:r>
            <w:r w:rsidRPr="0075788C">
              <w:rPr>
                <w:rFonts w:hAnsi="ＭＳ 明朝" w:hint="eastAsia"/>
                <w:sz w:val="22"/>
                <w:szCs w:val="22"/>
              </w:rPr>
              <w:t>域に</w:t>
            </w:r>
            <w:r w:rsidR="00EA259F" w:rsidRPr="0075788C">
              <w:rPr>
                <w:rFonts w:hAnsi="ＭＳ 明朝" w:hint="eastAsia"/>
                <w:sz w:val="22"/>
                <w:szCs w:val="22"/>
              </w:rPr>
              <w:t>入っている</w:t>
            </w:r>
            <w:r w:rsidRPr="0075788C">
              <w:rPr>
                <w:rFonts w:hAnsi="ＭＳ 明朝" w:hint="eastAsia"/>
                <w:sz w:val="22"/>
                <w:szCs w:val="22"/>
              </w:rPr>
              <w:t>と</w:t>
            </w:r>
            <w:r w:rsidRPr="00E0548A">
              <w:rPr>
                <w:rFonts w:hAnsi="ＭＳ 明朝" w:hint="eastAsia"/>
                <w:sz w:val="22"/>
                <w:szCs w:val="22"/>
              </w:rPr>
              <w:t>き（※１）</w:t>
            </w:r>
          </w:p>
          <w:p w14:paraId="70DAB802" w14:textId="77777777" w:rsidR="005D372A" w:rsidRPr="00E0548A" w:rsidRDefault="005D372A" w:rsidP="005D372A">
            <w:pPr>
              <w:tabs>
                <w:tab w:val="center" w:pos="4252"/>
                <w:tab w:val="right" w:pos="8504"/>
              </w:tabs>
              <w:snapToGrid w:val="0"/>
              <w:rPr>
                <w:rFonts w:hAnsi="ＭＳ 明朝"/>
                <w:sz w:val="22"/>
                <w:szCs w:val="22"/>
              </w:rPr>
            </w:pPr>
            <w:r w:rsidRPr="00E0548A">
              <w:rPr>
                <w:rFonts w:hAnsi="ＭＳ 明朝" w:hint="eastAsia"/>
                <w:sz w:val="22"/>
                <w:szCs w:val="22"/>
              </w:rPr>
              <w:t xml:space="preserve">　　（府域への最接近予測時刻の3時間前までに活動開始）</w:t>
            </w:r>
          </w:p>
          <w:p w14:paraId="11D223BC" w14:textId="77777777" w:rsidR="005D372A" w:rsidRPr="00E0548A" w:rsidRDefault="005D372A" w:rsidP="005D372A">
            <w:pPr>
              <w:tabs>
                <w:tab w:val="center" w:pos="4252"/>
                <w:tab w:val="right" w:pos="8504"/>
              </w:tabs>
              <w:snapToGrid w:val="0"/>
              <w:rPr>
                <w:rFonts w:hAnsi="ＭＳ 明朝"/>
                <w:sz w:val="22"/>
                <w:szCs w:val="22"/>
              </w:rPr>
            </w:pPr>
            <w:r w:rsidRPr="00E0548A">
              <w:rPr>
                <w:rFonts w:hAnsi="ＭＳ 明朝" w:hint="eastAsia"/>
                <w:sz w:val="22"/>
                <w:szCs w:val="22"/>
              </w:rPr>
              <w:t>ウ　・「南海トラフ地震臨時情報（巨大地震注意）」の発表があったとき</w:t>
            </w:r>
          </w:p>
          <w:p w14:paraId="45B19247" w14:textId="77777777" w:rsidR="005D372A" w:rsidRPr="00E0548A" w:rsidRDefault="005D372A" w:rsidP="005D372A">
            <w:pPr>
              <w:tabs>
                <w:tab w:val="center" w:pos="4252"/>
                <w:tab w:val="right" w:pos="8504"/>
              </w:tabs>
              <w:snapToGrid w:val="0"/>
              <w:rPr>
                <w:rFonts w:hAnsi="ＭＳ 明朝"/>
                <w:sz w:val="22"/>
                <w:szCs w:val="22"/>
              </w:rPr>
            </w:pPr>
            <w:r w:rsidRPr="00E0548A">
              <w:rPr>
                <w:rFonts w:hAnsi="ＭＳ 明朝" w:hint="eastAsia"/>
                <w:sz w:val="22"/>
                <w:szCs w:val="22"/>
              </w:rPr>
              <w:t>エ　次の情報を受信した場合で、指令部長が活動を必要と認めたとき</w:t>
            </w:r>
          </w:p>
          <w:p w14:paraId="4845835C" w14:textId="77777777" w:rsidR="005D372A" w:rsidRPr="00E0548A" w:rsidRDefault="005D372A" w:rsidP="005D372A">
            <w:pPr>
              <w:tabs>
                <w:tab w:val="center" w:pos="4252"/>
                <w:tab w:val="right" w:pos="8504"/>
              </w:tabs>
              <w:snapToGrid w:val="0"/>
              <w:rPr>
                <w:rFonts w:hAnsi="ＭＳ 明朝"/>
                <w:sz w:val="22"/>
                <w:szCs w:val="22"/>
              </w:rPr>
            </w:pPr>
            <w:r w:rsidRPr="00E0548A">
              <w:rPr>
                <w:rFonts w:hAnsi="ＭＳ 明朝" w:hint="eastAsia"/>
                <w:sz w:val="22"/>
                <w:szCs w:val="22"/>
              </w:rPr>
              <w:t xml:space="preserve">　　・府域に次の警報が発表されたとき</w:t>
            </w:r>
          </w:p>
          <w:p w14:paraId="2DCD4AE5" w14:textId="7A73CA79" w:rsidR="005D372A" w:rsidRPr="0075788C" w:rsidRDefault="005D372A" w:rsidP="00493643">
            <w:pPr>
              <w:tabs>
                <w:tab w:val="center" w:pos="4252"/>
                <w:tab w:val="right" w:pos="8504"/>
              </w:tabs>
              <w:snapToGrid w:val="0"/>
              <w:ind w:left="663" w:hangingChars="300" w:hanging="663"/>
              <w:rPr>
                <w:rFonts w:hAnsi="ＭＳ 明朝"/>
                <w:sz w:val="22"/>
                <w:szCs w:val="22"/>
              </w:rPr>
            </w:pPr>
            <w:r w:rsidRPr="00E0548A">
              <w:rPr>
                <w:rFonts w:hAnsi="ＭＳ 明朝" w:hint="eastAsia"/>
                <w:sz w:val="22"/>
                <w:szCs w:val="22"/>
              </w:rPr>
              <w:t xml:space="preserve">　　　</w:t>
            </w:r>
            <w:r w:rsidR="00C656A2" w:rsidRPr="0075788C">
              <w:rPr>
                <w:rFonts w:hAnsi="ＭＳ 明朝" w:hint="eastAsia"/>
                <w:sz w:val="22"/>
                <w:szCs w:val="22"/>
              </w:rPr>
              <w:t>レベル３氾濫警報、レベル３大雨警報、レベル３土砂災害警報、レベル３高潮警報、</w:t>
            </w:r>
            <w:r w:rsidRPr="0075788C">
              <w:rPr>
                <w:rFonts w:hAnsi="ＭＳ 明朝" w:hint="eastAsia"/>
                <w:sz w:val="22"/>
                <w:szCs w:val="22"/>
              </w:rPr>
              <w:t>大雪</w:t>
            </w:r>
            <w:r w:rsidR="00EA259F" w:rsidRPr="0075788C">
              <w:rPr>
                <w:rFonts w:hAnsi="ＭＳ 明朝" w:hint="eastAsia"/>
                <w:sz w:val="22"/>
                <w:szCs w:val="22"/>
              </w:rPr>
              <w:t>警報</w:t>
            </w:r>
            <w:r w:rsidRPr="0075788C">
              <w:rPr>
                <w:rFonts w:hAnsi="ＭＳ 明朝" w:hint="eastAsia"/>
                <w:sz w:val="22"/>
                <w:szCs w:val="22"/>
              </w:rPr>
              <w:t>、暴風</w:t>
            </w:r>
            <w:r w:rsidR="00EA259F" w:rsidRPr="0075788C">
              <w:rPr>
                <w:rFonts w:hAnsi="ＭＳ 明朝" w:hint="eastAsia"/>
                <w:sz w:val="22"/>
                <w:szCs w:val="22"/>
              </w:rPr>
              <w:t>警報</w:t>
            </w:r>
            <w:r w:rsidRPr="0075788C">
              <w:rPr>
                <w:rFonts w:hAnsi="ＭＳ 明朝" w:hint="eastAsia"/>
                <w:sz w:val="22"/>
                <w:szCs w:val="22"/>
              </w:rPr>
              <w:t>、暴風雪</w:t>
            </w:r>
            <w:r w:rsidR="00EA259F" w:rsidRPr="0075788C">
              <w:rPr>
                <w:rFonts w:hAnsi="ＭＳ 明朝" w:hint="eastAsia"/>
                <w:sz w:val="22"/>
                <w:szCs w:val="22"/>
              </w:rPr>
              <w:t>警報</w:t>
            </w:r>
            <w:r w:rsidRPr="0075788C">
              <w:rPr>
                <w:rFonts w:hAnsi="ＭＳ 明朝" w:hint="eastAsia"/>
                <w:sz w:val="22"/>
                <w:szCs w:val="22"/>
              </w:rPr>
              <w:t>、波浪</w:t>
            </w:r>
            <w:r w:rsidR="00EA259F" w:rsidRPr="0075788C">
              <w:rPr>
                <w:rFonts w:hAnsi="ＭＳ 明朝" w:hint="eastAsia"/>
                <w:sz w:val="22"/>
                <w:szCs w:val="22"/>
              </w:rPr>
              <w:t>警報</w:t>
            </w:r>
            <w:r w:rsidRPr="0075788C">
              <w:rPr>
                <w:rFonts w:hAnsi="ＭＳ 明朝" w:hint="eastAsia"/>
                <w:sz w:val="22"/>
                <w:szCs w:val="22"/>
              </w:rPr>
              <w:t>、</w:t>
            </w:r>
          </w:p>
          <w:p w14:paraId="2B9FAE4F" w14:textId="5240CB19" w:rsidR="002D40BC" w:rsidRPr="0075788C" w:rsidRDefault="002D40BC" w:rsidP="00E0548A">
            <w:pPr>
              <w:tabs>
                <w:tab w:val="center" w:pos="4252"/>
                <w:tab w:val="right" w:pos="8504"/>
              </w:tabs>
              <w:snapToGrid w:val="0"/>
              <w:ind w:left="663" w:hangingChars="300" w:hanging="663"/>
              <w:rPr>
                <w:rFonts w:hAnsi="ＭＳ 明朝"/>
                <w:sz w:val="22"/>
                <w:szCs w:val="22"/>
              </w:rPr>
            </w:pPr>
            <w:r w:rsidRPr="0075788C">
              <w:rPr>
                <w:rFonts w:hAnsi="ＭＳ 明朝" w:hint="eastAsia"/>
                <w:sz w:val="22"/>
                <w:szCs w:val="22"/>
              </w:rPr>
              <w:t xml:space="preserve">　　・上記の警報に関わらず、気象台が発表する気象情報により、今後２４時間雨量が</w:t>
            </w:r>
            <w:r w:rsidRPr="0075788C">
              <w:rPr>
                <w:rFonts w:hAnsi="ＭＳ 明朝"/>
                <w:sz w:val="22"/>
                <w:szCs w:val="22"/>
              </w:rPr>
              <w:t xml:space="preserve">200mmを超えると予想されたとき　</w:t>
            </w:r>
          </w:p>
          <w:p w14:paraId="27EED84E" w14:textId="77777777" w:rsidR="002D40BC" w:rsidRPr="0075788C" w:rsidRDefault="002D40BC" w:rsidP="002D40BC">
            <w:pPr>
              <w:tabs>
                <w:tab w:val="center" w:pos="4252"/>
                <w:tab w:val="right" w:pos="8504"/>
              </w:tabs>
              <w:snapToGrid w:val="0"/>
              <w:rPr>
                <w:rFonts w:hAnsi="ＭＳ 明朝"/>
                <w:sz w:val="22"/>
                <w:szCs w:val="22"/>
              </w:rPr>
            </w:pPr>
            <w:r w:rsidRPr="0075788C">
              <w:rPr>
                <w:rFonts w:hAnsi="ＭＳ 明朝" w:hint="eastAsia"/>
                <w:sz w:val="22"/>
                <w:szCs w:val="22"/>
              </w:rPr>
              <w:t xml:space="preserve">　　・気象庁が発表する台風情報により、府域最接近の概ね７２時間前の</w:t>
            </w:r>
          </w:p>
          <w:p w14:paraId="53D2B254" w14:textId="14BC7B89" w:rsidR="002D40BC" w:rsidRPr="0075788C" w:rsidRDefault="002D40BC" w:rsidP="00E0548A">
            <w:pPr>
              <w:tabs>
                <w:tab w:val="center" w:pos="4252"/>
                <w:tab w:val="right" w:pos="8504"/>
              </w:tabs>
              <w:snapToGrid w:val="0"/>
              <w:ind w:left="663" w:hangingChars="300" w:hanging="663"/>
              <w:rPr>
                <w:rFonts w:hAnsi="ＭＳ 明朝"/>
                <w:sz w:val="22"/>
                <w:szCs w:val="22"/>
              </w:rPr>
            </w:pPr>
            <w:r w:rsidRPr="0075788C">
              <w:rPr>
                <w:rFonts w:hAnsi="ＭＳ 明朝" w:hint="eastAsia"/>
                <w:sz w:val="22"/>
                <w:szCs w:val="22"/>
              </w:rPr>
              <w:t xml:space="preserve">　　　時点で、大阪府域が暴風</w:t>
            </w:r>
            <w:r w:rsidR="00EB3E1A" w:rsidRPr="0075788C">
              <w:rPr>
                <w:rFonts w:hAnsi="ＭＳ 明朝" w:hint="eastAsia"/>
                <w:sz w:val="22"/>
                <w:szCs w:val="22"/>
              </w:rPr>
              <w:t>警戒</w:t>
            </w:r>
            <w:r w:rsidRPr="0075788C">
              <w:rPr>
                <w:rFonts w:hAnsi="ＭＳ 明朝" w:hint="eastAsia"/>
                <w:sz w:val="22"/>
                <w:szCs w:val="22"/>
              </w:rPr>
              <w:t>域に入り、かつ最接近時の</w:t>
            </w:r>
            <w:r w:rsidR="000F74D4" w:rsidRPr="0075788C">
              <w:rPr>
                <w:rFonts w:hAnsi="ＭＳ 明朝" w:hint="eastAsia"/>
                <w:sz w:val="22"/>
                <w:szCs w:val="22"/>
              </w:rPr>
              <w:t>台風の中心付近の</w:t>
            </w:r>
            <w:r w:rsidRPr="0075788C">
              <w:rPr>
                <w:rFonts w:hAnsi="ＭＳ 明朝" w:hint="eastAsia"/>
                <w:sz w:val="22"/>
                <w:szCs w:val="22"/>
              </w:rPr>
              <w:t>最大風速が３５</w:t>
            </w:r>
            <w:r w:rsidRPr="0075788C">
              <w:rPr>
                <w:rFonts w:hAnsi="ＭＳ 明朝"/>
                <w:sz w:val="22"/>
                <w:szCs w:val="22"/>
              </w:rPr>
              <w:t>m</w:t>
            </w:r>
            <w:r w:rsidRPr="0075788C">
              <w:rPr>
                <w:rFonts w:hAnsi="ＭＳ 明朝" w:hint="eastAsia"/>
                <w:sz w:val="22"/>
                <w:szCs w:val="22"/>
              </w:rPr>
              <w:t>／</w:t>
            </w:r>
            <w:r w:rsidRPr="0075788C">
              <w:rPr>
                <w:rFonts w:hAnsi="ＭＳ 明朝"/>
                <w:sz w:val="22"/>
                <w:szCs w:val="22"/>
              </w:rPr>
              <w:t>s</w:t>
            </w:r>
            <w:r w:rsidRPr="0075788C">
              <w:rPr>
                <w:rFonts w:hAnsi="ＭＳ 明朝" w:hint="eastAsia"/>
                <w:sz w:val="22"/>
                <w:szCs w:val="22"/>
              </w:rPr>
              <w:t>以上と予測されるとき</w:t>
            </w:r>
          </w:p>
          <w:p w14:paraId="37BF114D" w14:textId="77777777" w:rsidR="005D372A" w:rsidRPr="00E0548A" w:rsidRDefault="005D372A" w:rsidP="005D372A">
            <w:pPr>
              <w:tabs>
                <w:tab w:val="center" w:pos="4252"/>
                <w:tab w:val="right" w:pos="8504"/>
              </w:tabs>
              <w:snapToGrid w:val="0"/>
              <w:rPr>
                <w:rFonts w:hAnsi="ＭＳ 明朝"/>
                <w:sz w:val="22"/>
                <w:szCs w:val="22"/>
              </w:rPr>
            </w:pPr>
            <w:r w:rsidRPr="0075788C">
              <w:rPr>
                <w:rFonts w:hAnsi="ＭＳ 明朝" w:hint="eastAsia"/>
                <w:sz w:val="22"/>
                <w:szCs w:val="22"/>
              </w:rPr>
              <w:t xml:space="preserve">　　・集中豪雨等により局地的な災害が発生し</w:t>
            </w:r>
            <w:r w:rsidRPr="00E0548A">
              <w:rPr>
                <w:rFonts w:hAnsi="ＭＳ 明朝" w:hint="eastAsia"/>
                <w:sz w:val="22"/>
                <w:szCs w:val="22"/>
              </w:rPr>
              <w:t>たとき</w:t>
            </w:r>
          </w:p>
          <w:p w14:paraId="38079635" w14:textId="77777777" w:rsidR="005D372A" w:rsidRPr="00E0548A" w:rsidRDefault="005D372A" w:rsidP="005D372A">
            <w:pPr>
              <w:tabs>
                <w:tab w:val="center" w:pos="4252"/>
                <w:tab w:val="right" w:pos="8504"/>
              </w:tabs>
              <w:snapToGrid w:val="0"/>
              <w:rPr>
                <w:rFonts w:hAnsi="ＭＳ 明朝"/>
                <w:sz w:val="22"/>
                <w:szCs w:val="22"/>
              </w:rPr>
            </w:pPr>
            <w:r w:rsidRPr="00E0548A">
              <w:rPr>
                <w:rFonts w:hAnsi="ＭＳ 明朝" w:hint="eastAsia"/>
                <w:sz w:val="22"/>
                <w:szCs w:val="22"/>
              </w:rPr>
              <w:t xml:space="preserve">　　・府等が設置する雨量計で24時間雨量予測が200㎜を超えるとき</w:t>
            </w:r>
          </w:p>
          <w:p w14:paraId="161A43ED" w14:textId="77777777" w:rsidR="005D372A" w:rsidRPr="00E0548A" w:rsidRDefault="005D372A" w:rsidP="005D372A">
            <w:pPr>
              <w:tabs>
                <w:tab w:val="center" w:pos="4252"/>
                <w:tab w:val="right" w:pos="8504"/>
              </w:tabs>
              <w:snapToGrid w:val="0"/>
              <w:ind w:firstLineChars="300" w:firstLine="663"/>
              <w:rPr>
                <w:rFonts w:hAnsi="ＭＳ 明朝"/>
                <w:sz w:val="22"/>
                <w:szCs w:val="22"/>
              </w:rPr>
            </w:pPr>
            <w:r w:rsidRPr="00E0548A">
              <w:rPr>
                <w:rFonts w:hAnsi="ＭＳ 明朝" w:hint="eastAsia"/>
                <w:sz w:val="22"/>
                <w:szCs w:val="22"/>
              </w:rPr>
              <w:t>（※２）</w:t>
            </w:r>
          </w:p>
          <w:p w14:paraId="367A8C54" w14:textId="77777777" w:rsidR="00F573D6" w:rsidRPr="00E0548A" w:rsidRDefault="005D372A" w:rsidP="00F573D6">
            <w:pPr>
              <w:tabs>
                <w:tab w:val="center" w:pos="4252"/>
                <w:tab w:val="right" w:pos="8504"/>
              </w:tabs>
              <w:snapToGrid w:val="0"/>
              <w:ind w:left="663" w:hangingChars="300" w:hanging="663"/>
              <w:rPr>
                <w:rFonts w:hAnsi="ＭＳ 明朝"/>
                <w:sz w:val="22"/>
                <w:szCs w:val="22"/>
              </w:rPr>
            </w:pPr>
            <w:r w:rsidRPr="00E0548A">
              <w:rPr>
                <w:rFonts w:hAnsi="ＭＳ 明朝" w:hint="eastAsia"/>
                <w:sz w:val="22"/>
                <w:szCs w:val="22"/>
              </w:rPr>
              <w:t xml:space="preserve">　　・府域及びその周辺において、大規模な事故等発生の情報を受信したとき</w:t>
            </w:r>
          </w:p>
          <w:p w14:paraId="08AC9851" w14:textId="41ECA3A7" w:rsidR="00F573D6" w:rsidRPr="00E0548A" w:rsidRDefault="00F573D6" w:rsidP="00E0548A">
            <w:pPr>
              <w:tabs>
                <w:tab w:val="center" w:pos="4252"/>
                <w:tab w:val="right" w:pos="8504"/>
              </w:tabs>
              <w:snapToGrid w:val="0"/>
              <w:ind w:leftChars="200" w:left="643" w:hangingChars="100" w:hanging="221"/>
              <w:rPr>
                <w:rFonts w:hAnsi="ＭＳ 明朝"/>
                <w:sz w:val="22"/>
                <w:szCs w:val="22"/>
              </w:rPr>
            </w:pPr>
            <w:r w:rsidRPr="00E0548A">
              <w:rPr>
                <w:rFonts w:hAnsi="ＭＳ 明朝" w:hint="eastAsia"/>
                <w:sz w:val="22"/>
                <w:szCs w:val="22"/>
              </w:rPr>
              <w:t>・</w:t>
            </w:r>
            <w:r w:rsidRPr="00E0548A">
              <w:rPr>
                <w:rFonts w:hAnsi="ＭＳ 明朝" w:hint="eastAsia"/>
                <w:sz w:val="22"/>
              </w:rPr>
              <w:t>林野火災において、焼損面積が５ｈａを超えておりかつ拡大のおそれが懸念されるときや住宅への延焼など社会的な影響度が高いとき</w:t>
            </w:r>
          </w:p>
        </w:tc>
      </w:tr>
      <w:tr w:rsidR="001D6D10" w:rsidRPr="001D6D10" w14:paraId="6F6CF8AE" w14:textId="77777777" w:rsidTr="008B4B2B">
        <w:trPr>
          <w:trHeight w:val="921"/>
        </w:trPr>
        <w:tc>
          <w:tcPr>
            <w:tcW w:w="1526" w:type="dxa"/>
          </w:tcPr>
          <w:p w14:paraId="4901CB14" w14:textId="77777777" w:rsidR="005D372A" w:rsidRPr="001D6D10" w:rsidRDefault="005D372A" w:rsidP="007E668F">
            <w:pPr>
              <w:numPr>
                <w:ilvl w:val="0"/>
                <w:numId w:val="30"/>
              </w:numPr>
              <w:tabs>
                <w:tab w:val="center" w:pos="4252"/>
                <w:tab w:val="right" w:pos="8504"/>
              </w:tabs>
              <w:snapToGrid w:val="0"/>
              <w:rPr>
                <w:rFonts w:hAnsi="ＭＳ 明朝"/>
                <w:sz w:val="22"/>
                <w:szCs w:val="22"/>
              </w:rPr>
            </w:pPr>
            <w:r w:rsidRPr="001D6D10">
              <w:rPr>
                <w:rFonts w:hAnsi="ＭＳ 明朝" w:hint="eastAsia"/>
                <w:sz w:val="22"/>
                <w:szCs w:val="22"/>
              </w:rPr>
              <w:t>解除基準</w:t>
            </w:r>
          </w:p>
        </w:tc>
        <w:tc>
          <w:tcPr>
            <w:tcW w:w="7654" w:type="dxa"/>
          </w:tcPr>
          <w:p w14:paraId="64D896D4" w14:textId="77777777" w:rsidR="005D372A" w:rsidRPr="001D6D10" w:rsidRDefault="005D372A" w:rsidP="005D372A">
            <w:pPr>
              <w:tabs>
                <w:tab w:val="center" w:pos="4252"/>
                <w:tab w:val="right" w:pos="8504"/>
              </w:tabs>
              <w:snapToGrid w:val="0"/>
              <w:rPr>
                <w:rFonts w:hAnsi="ＭＳ 明朝"/>
                <w:sz w:val="22"/>
                <w:szCs w:val="22"/>
              </w:rPr>
            </w:pPr>
            <w:r w:rsidRPr="001D6D10">
              <w:rPr>
                <w:rFonts w:hAnsi="ＭＳ 明朝" w:hint="eastAsia"/>
                <w:sz w:val="22"/>
                <w:szCs w:val="22"/>
              </w:rPr>
              <w:t>・災害発生のおそれが解消したとき</w:t>
            </w:r>
          </w:p>
          <w:p w14:paraId="641F37AD" w14:textId="77777777" w:rsidR="005D372A" w:rsidRPr="001D6D10" w:rsidRDefault="005D372A" w:rsidP="005D372A">
            <w:pPr>
              <w:tabs>
                <w:tab w:val="center" w:pos="4252"/>
                <w:tab w:val="right" w:pos="8504"/>
              </w:tabs>
              <w:snapToGrid w:val="0"/>
              <w:rPr>
                <w:rFonts w:hAnsi="ＭＳ 明朝"/>
                <w:sz w:val="22"/>
                <w:szCs w:val="22"/>
              </w:rPr>
            </w:pPr>
            <w:r w:rsidRPr="001D6D10">
              <w:rPr>
                <w:rFonts w:hAnsi="ＭＳ 明朝" w:hint="eastAsia"/>
                <w:sz w:val="22"/>
                <w:szCs w:val="22"/>
              </w:rPr>
              <w:t>・災害応急対策が概ね完了したとき</w:t>
            </w:r>
          </w:p>
          <w:p w14:paraId="1CA7E0EF" w14:textId="77777777" w:rsidR="005D372A" w:rsidRPr="001D6D10" w:rsidRDefault="005D372A" w:rsidP="005D372A">
            <w:pPr>
              <w:tabs>
                <w:tab w:val="center" w:pos="4252"/>
                <w:tab w:val="right" w:pos="8504"/>
              </w:tabs>
              <w:snapToGrid w:val="0"/>
              <w:ind w:left="221" w:hangingChars="100" w:hanging="221"/>
              <w:rPr>
                <w:rFonts w:hAnsi="ＭＳ 明朝"/>
                <w:sz w:val="22"/>
                <w:szCs w:val="22"/>
              </w:rPr>
            </w:pPr>
            <w:r w:rsidRPr="001D6D10">
              <w:rPr>
                <w:rFonts w:hAnsi="ＭＳ 明朝" w:hint="eastAsia"/>
                <w:sz w:val="22"/>
                <w:szCs w:val="22"/>
              </w:rPr>
              <w:t>・国から、南海トラフ地震に関する防災対応解除の呼びかけが発せられたとき</w:t>
            </w:r>
          </w:p>
        </w:tc>
      </w:tr>
      <w:tr w:rsidR="001D6D10" w:rsidRPr="001D6D10" w14:paraId="5242BC84" w14:textId="77777777" w:rsidTr="008B4B2B">
        <w:trPr>
          <w:trHeight w:val="3912"/>
        </w:trPr>
        <w:tc>
          <w:tcPr>
            <w:tcW w:w="1526" w:type="dxa"/>
          </w:tcPr>
          <w:p w14:paraId="428D0C78" w14:textId="77777777" w:rsidR="005D372A" w:rsidRPr="001D6D10" w:rsidRDefault="005D372A" w:rsidP="005D372A">
            <w:pPr>
              <w:tabs>
                <w:tab w:val="center" w:pos="4252"/>
                <w:tab w:val="right" w:pos="8504"/>
              </w:tabs>
              <w:snapToGrid w:val="0"/>
              <w:rPr>
                <w:rFonts w:hAnsi="ＭＳ 明朝"/>
                <w:sz w:val="22"/>
                <w:szCs w:val="22"/>
              </w:rPr>
            </w:pPr>
            <w:r w:rsidRPr="001D6D10">
              <w:rPr>
                <w:rFonts w:hAnsi="ＭＳ 明朝" w:hint="eastAsia"/>
                <w:sz w:val="22"/>
                <w:szCs w:val="22"/>
              </w:rPr>
              <w:lastRenderedPageBreak/>
              <w:t>③組　織</w:t>
            </w:r>
          </w:p>
        </w:tc>
        <w:tc>
          <w:tcPr>
            <w:tcW w:w="7654" w:type="dxa"/>
          </w:tcPr>
          <w:p w14:paraId="382428BE" w14:textId="77777777" w:rsidR="005D372A" w:rsidRPr="00E0548A" w:rsidRDefault="005D372A" w:rsidP="005D372A">
            <w:pPr>
              <w:tabs>
                <w:tab w:val="center" w:pos="4252"/>
                <w:tab w:val="right" w:pos="8504"/>
              </w:tabs>
              <w:snapToGrid w:val="0"/>
              <w:rPr>
                <w:rFonts w:hAnsi="ＭＳ 明朝"/>
                <w:sz w:val="22"/>
                <w:szCs w:val="22"/>
              </w:rPr>
            </w:pPr>
            <w:r w:rsidRPr="00E0548A">
              <w:rPr>
                <w:rFonts w:hAnsi="ＭＳ 明朝" w:hint="eastAsia"/>
                <w:sz w:val="22"/>
                <w:szCs w:val="22"/>
              </w:rPr>
              <w:t>【部　長】危機管理監</w:t>
            </w:r>
          </w:p>
          <w:p w14:paraId="5E3BCFFF" w14:textId="77777777" w:rsidR="005D372A" w:rsidRPr="00E0548A" w:rsidRDefault="005D372A" w:rsidP="005D372A">
            <w:pPr>
              <w:tabs>
                <w:tab w:val="center" w:pos="4252"/>
                <w:tab w:val="right" w:pos="8504"/>
              </w:tabs>
              <w:snapToGrid w:val="0"/>
              <w:rPr>
                <w:rFonts w:hAnsi="ＭＳ 明朝"/>
                <w:sz w:val="22"/>
                <w:szCs w:val="22"/>
              </w:rPr>
            </w:pPr>
            <w:r w:rsidRPr="00E0548A">
              <w:rPr>
                <w:rFonts w:hAnsi="ＭＳ 明朝" w:hint="eastAsia"/>
                <w:sz w:val="22"/>
                <w:szCs w:val="22"/>
              </w:rPr>
              <w:t>【副部長】危機管理室長、事業</w:t>
            </w:r>
            <w:r w:rsidR="00C011F2" w:rsidRPr="00E0548A">
              <w:rPr>
                <w:rFonts w:hAnsi="ＭＳ 明朝" w:hint="eastAsia"/>
                <w:sz w:val="22"/>
                <w:szCs w:val="22"/>
              </w:rPr>
              <w:t>調整室</w:t>
            </w:r>
            <w:r w:rsidRPr="00E0548A">
              <w:rPr>
                <w:rFonts w:hAnsi="ＭＳ 明朝" w:hint="eastAsia"/>
                <w:sz w:val="22"/>
                <w:szCs w:val="22"/>
              </w:rPr>
              <w:t>長（風水害・台風）</w:t>
            </w:r>
          </w:p>
          <w:p w14:paraId="37A754B6" w14:textId="77777777" w:rsidR="005D372A" w:rsidRPr="00E0548A" w:rsidRDefault="005D372A" w:rsidP="005D372A">
            <w:pPr>
              <w:tabs>
                <w:tab w:val="center" w:pos="4252"/>
                <w:tab w:val="right" w:pos="8504"/>
              </w:tabs>
              <w:snapToGrid w:val="0"/>
              <w:ind w:leftChars="1" w:left="1567" w:hangingChars="708" w:hanging="1565"/>
              <w:rPr>
                <w:rFonts w:hAnsi="ＭＳ 明朝"/>
                <w:sz w:val="22"/>
                <w:szCs w:val="22"/>
              </w:rPr>
            </w:pPr>
            <w:r w:rsidRPr="00E0548A">
              <w:rPr>
                <w:rFonts w:hAnsi="ＭＳ 明朝" w:hint="eastAsia"/>
                <w:sz w:val="22"/>
                <w:szCs w:val="22"/>
              </w:rPr>
              <w:t>【部　員】関係課長</w:t>
            </w:r>
          </w:p>
          <w:p w14:paraId="29699340" w14:textId="0389E670" w:rsidR="005D372A" w:rsidRPr="00E0548A" w:rsidRDefault="005D372A" w:rsidP="00D90277">
            <w:pPr>
              <w:tabs>
                <w:tab w:val="center" w:pos="4252"/>
                <w:tab w:val="right" w:pos="8504"/>
              </w:tabs>
              <w:snapToGrid w:val="0"/>
              <w:ind w:left="221" w:hangingChars="100" w:hanging="221"/>
              <w:rPr>
                <w:sz w:val="22"/>
                <w:szCs w:val="22"/>
              </w:rPr>
            </w:pPr>
            <w:r w:rsidRPr="00E0548A">
              <w:rPr>
                <w:rFonts w:hint="eastAsia"/>
                <w:sz w:val="22"/>
                <w:szCs w:val="22"/>
              </w:rPr>
              <w:t>（防災企画課長、災害対策課長、消防保安課長、政策企画総務課長、企画室政策課参事、</w:t>
            </w:r>
            <w:r w:rsidR="00D90277" w:rsidRPr="00E0548A">
              <w:rPr>
                <w:rFonts w:hint="eastAsia"/>
                <w:sz w:val="22"/>
                <w:szCs w:val="22"/>
              </w:rPr>
              <w:t>企画室連携課長</w:t>
            </w:r>
            <w:r w:rsidRPr="00E0548A">
              <w:rPr>
                <w:rFonts w:hint="eastAsia"/>
                <w:sz w:val="22"/>
                <w:szCs w:val="22"/>
              </w:rPr>
              <w:t>、</w:t>
            </w:r>
            <w:r w:rsidR="00AB704E" w:rsidRPr="00E0548A">
              <w:rPr>
                <w:rFonts w:hint="eastAsia"/>
                <w:sz w:val="22"/>
                <w:szCs w:val="22"/>
              </w:rPr>
              <w:t>成長戦略局空港政策担当課長</w:t>
            </w:r>
            <w:r w:rsidRPr="00E0548A">
              <w:rPr>
                <w:rFonts w:hint="eastAsia"/>
                <w:sz w:val="22"/>
                <w:szCs w:val="22"/>
              </w:rPr>
              <w:t>、財政課長、スマートシティ戦略総務課長、法務課長、人事課長、庁舎室庁舎管理課長、府民文化総務課長、ＩＲ推進局企画課長、福祉総務課長、健康医療総務課長、</w:t>
            </w:r>
            <w:r w:rsidR="006D1D41" w:rsidRPr="00E0548A">
              <w:rPr>
                <w:rFonts w:hint="eastAsia"/>
                <w:sz w:val="22"/>
                <w:szCs w:val="22"/>
              </w:rPr>
              <w:t>医療・感染症対策課</w:t>
            </w:r>
            <w:r w:rsidRPr="00E0548A">
              <w:rPr>
                <w:rFonts w:hint="eastAsia"/>
                <w:sz w:val="22"/>
                <w:szCs w:val="22"/>
              </w:rPr>
              <w:t>長、商工労働総務課長、環境農林水産総務課長、みどり推進室森づくり課長、農政室整備課長、水産課長、都市整備総務課長、事業</w:t>
            </w:r>
            <w:r w:rsidR="00C011F2" w:rsidRPr="00E0548A">
              <w:rPr>
                <w:rFonts w:hint="eastAsia"/>
                <w:sz w:val="22"/>
                <w:szCs w:val="22"/>
              </w:rPr>
              <w:t>調整</w:t>
            </w:r>
            <w:r w:rsidRPr="00E0548A">
              <w:rPr>
                <w:rFonts w:hint="eastAsia"/>
                <w:sz w:val="22"/>
                <w:szCs w:val="22"/>
              </w:rPr>
              <w:t>室</w:t>
            </w:r>
            <w:r w:rsidR="00520A4B" w:rsidRPr="00E0548A">
              <w:rPr>
                <w:rFonts w:hint="eastAsia"/>
                <w:sz w:val="22"/>
                <w:szCs w:val="22"/>
              </w:rPr>
              <w:t>都市防災</w:t>
            </w:r>
            <w:r w:rsidRPr="00E0548A">
              <w:rPr>
                <w:rFonts w:hint="eastAsia"/>
                <w:sz w:val="22"/>
                <w:szCs w:val="22"/>
              </w:rPr>
              <w:t>課参事、</w:t>
            </w:r>
            <w:r w:rsidR="00E92C35" w:rsidRPr="00E0548A">
              <w:rPr>
                <w:rFonts w:hint="eastAsia"/>
                <w:sz w:val="22"/>
                <w:szCs w:val="22"/>
              </w:rPr>
              <w:t>道路室</w:t>
            </w:r>
            <w:r w:rsidRPr="00E0548A">
              <w:rPr>
                <w:rFonts w:hint="eastAsia"/>
                <w:sz w:val="22"/>
                <w:szCs w:val="22"/>
              </w:rPr>
              <w:t>道路環境課長、</w:t>
            </w:r>
            <w:r w:rsidR="00E92C35" w:rsidRPr="00E0548A">
              <w:rPr>
                <w:rFonts w:hint="eastAsia"/>
                <w:sz w:val="22"/>
                <w:szCs w:val="22"/>
              </w:rPr>
              <w:t>河川室</w:t>
            </w:r>
            <w:r w:rsidRPr="00E0548A">
              <w:rPr>
                <w:rFonts w:hint="eastAsia"/>
                <w:sz w:val="22"/>
                <w:szCs w:val="22"/>
              </w:rPr>
              <w:t>河川環境課長、</w:t>
            </w:r>
            <w:r w:rsidR="006754D0" w:rsidRPr="00E0548A">
              <w:rPr>
                <w:rFonts w:hint="eastAsia"/>
                <w:sz w:val="22"/>
                <w:szCs w:val="22"/>
              </w:rPr>
              <w:t>大阪都市計画局計画推進室総務企画課長、</w:t>
            </w:r>
            <w:r w:rsidRPr="00E0548A">
              <w:rPr>
                <w:rFonts w:hint="eastAsia"/>
                <w:sz w:val="22"/>
                <w:szCs w:val="22"/>
              </w:rPr>
              <w:t>大阪港湾局計画調整担当課長、会計総務課長、教育総務企画課長）</w:t>
            </w:r>
          </w:p>
        </w:tc>
      </w:tr>
      <w:tr w:rsidR="001D6D10" w:rsidRPr="001D6D10" w14:paraId="3F90B8BA" w14:textId="77777777" w:rsidTr="008B4B2B">
        <w:trPr>
          <w:trHeight w:val="416"/>
        </w:trPr>
        <w:tc>
          <w:tcPr>
            <w:tcW w:w="1526" w:type="dxa"/>
          </w:tcPr>
          <w:p w14:paraId="1197740C" w14:textId="77777777" w:rsidR="005D372A" w:rsidRDefault="005D372A" w:rsidP="005D372A">
            <w:pPr>
              <w:tabs>
                <w:tab w:val="center" w:pos="4252"/>
                <w:tab w:val="right" w:pos="8504"/>
              </w:tabs>
              <w:snapToGrid w:val="0"/>
              <w:rPr>
                <w:rFonts w:hAnsi="ＭＳ 明朝"/>
                <w:sz w:val="22"/>
                <w:szCs w:val="22"/>
              </w:rPr>
            </w:pPr>
            <w:r w:rsidRPr="001D6D10">
              <w:rPr>
                <w:rFonts w:hAnsi="ＭＳ 明朝" w:hint="eastAsia"/>
                <w:sz w:val="22"/>
                <w:szCs w:val="22"/>
              </w:rPr>
              <w:t>④参集場所</w:t>
            </w:r>
          </w:p>
          <w:p w14:paraId="6546EB9E" w14:textId="42C7F9A5" w:rsidR="007E228B" w:rsidRPr="00D705BF" w:rsidRDefault="007E228B" w:rsidP="005D372A">
            <w:pPr>
              <w:tabs>
                <w:tab w:val="center" w:pos="4252"/>
                <w:tab w:val="right" w:pos="8504"/>
              </w:tabs>
              <w:snapToGrid w:val="0"/>
              <w:rPr>
                <w:rFonts w:hAnsi="ＭＳ 明朝"/>
                <w:sz w:val="22"/>
                <w:szCs w:val="22"/>
              </w:rPr>
            </w:pPr>
            <w:r>
              <w:rPr>
                <w:rFonts w:hAnsi="ＭＳ 明朝" w:hint="eastAsia"/>
                <w:sz w:val="22"/>
                <w:szCs w:val="22"/>
              </w:rPr>
              <w:t xml:space="preserve">　</w:t>
            </w:r>
            <w:r w:rsidRPr="00D705BF">
              <w:rPr>
                <w:rFonts w:hAnsi="ＭＳ 明朝" w:hint="eastAsia"/>
                <w:sz w:val="22"/>
                <w:szCs w:val="22"/>
              </w:rPr>
              <w:t>（※３）</w:t>
            </w:r>
          </w:p>
        </w:tc>
        <w:tc>
          <w:tcPr>
            <w:tcW w:w="7654" w:type="dxa"/>
          </w:tcPr>
          <w:p w14:paraId="6CC9FA2A" w14:textId="77777777" w:rsidR="005D372A" w:rsidRPr="00E0548A" w:rsidRDefault="005D372A" w:rsidP="005D372A">
            <w:pPr>
              <w:tabs>
                <w:tab w:val="center" w:pos="4252"/>
                <w:tab w:val="right" w:pos="8504"/>
              </w:tabs>
              <w:snapToGrid w:val="0"/>
              <w:ind w:left="221" w:rightChars="-41" w:right="-87" w:hangingChars="100" w:hanging="221"/>
              <w:rPr>
                <w:rFonts w:hAnsi="ＭＳ 明朝"/>
                <w:sz w:val="22"/>
                <w:szCs w:val="22"/>
              </w:rPr>
            </w:pPr>
            <w:r w:rsidRPr="00E0548A">
              <w:rPr>
                <w:rFonts w:hAnsi="ＭＳ 明朝" w:hint="eastAsia"/>
                <w:sz w:val="22"/>
                <w:szCs w:val="22"/>
              </w:rPr>
              <w:t>・大手前に勤務する指令部員については、新別館北館1F災害対策本部会議室</w:t>
            </w:r>
          </w:p>
          <w:p w14:paraId="1B8F216F" w14:textId="54B41C87" w:rsidR="005D372A" w:rsidRPr="00E0548A" w:rsidRDefault="00F653A0" w:rsidP="005D372A">
            <w:pPr>
              <w:tabs>
                <w:tab w:val="center" w:pos="4252"/>
                <w:tab w:val="right" w:pos="8504"/>
              </w:tabs>
              <w:snapToGrid w:val="0"/>
              <w:ind w:leftChars="-18" w:left="-11" w:rightChars="-41" w:right="-87" w:hangingChars="12" w:hanging="27"/>
              <w:rPr>
                <w:rFonts w:hAnsi="ＭＳ 明朝"/>
                <w:sz w:val="22"/>
                <w:szCs w:val="22"/>
              </w:rPr>
            </w:pPr>
            <w:r w:rsidRPr="00E0548A">
              <w:rPr>
                <w:rFonts w:hAnsi="ＭＳ 明朝" w:hint="eastAsia"/>
                <w:sz w:val="22"/>
                <w:szCs w:val="22"/>
              </w:rPr>
              <w:t>・</w:t>
            </w:r>
            <w:r w:rsidR="005D372A" w:rsidRPr="00E0548A">
              <w:rPr>
                <w:rFonts w:hAnsi="ＭＳ 明朝" w:hint="eastAsia"/>
                <w:sz w:val="22"/>
                <w:szCs w:val="22"/>
              </w:rPr>
              <w:t>咲洲庁舎に勤務する指令部員及び大阪港湾局計画調整担当課長については、原則、咲洲庁舎20F共用会議室（海側）</w:t>
            </w:r>
          </w:p>
          <w:p w14:paraId="5D0262AF" w14:textId="77777777" w:rsidR="005D372A" w:rsidRPr="00E0548A" w:rsidRDefault="005D372A" w:rsidP="005D372A">
            <w:pPr>
              <w:tabs>
                <w:tab w:val="center" w:pos="4252"/>
                <w:tab w:val="right" w:pos="8504"/>
              </w:tabs>
              <w:snapToGrid w:val="0"/>
              <w:ind w:firstLineChars="100" w:firstLine="221"/>
              <w:rPr>
                <w:rFonts w:hAnsi="ＭＳ 明朝"/>
                <w:sz w:val="22"/>
                <w:szCs w:val="22"/>
              </w:rPr>
            </w:pPr>
            <w:r w:rsidRPr="00E0548A">
              <w:rPr>
                <w:rFonts w:hAnsi="ＭＳ 明朝" w:hint="eastAsia"/>
                <w:sz w:val="22"/>
                <w:szCs w:val="22"/>
              </w:rPr>
              <w:t>ただし、時間外に災害等が発生した場合で、かつ大阪府に（大）津波警報が発表されている場合は、災害対策本部会議室に参集する。</w:t>
            </w:r>
          </w:p>
        </w:tc>
      </w:tr>
      <w:tr w:rsidR="001D6D10" w:rsidRPr="001D6D10" w14:paraId="73DCBD49" w14:textId="77777777" w:rsidTr="008B4B2B">
        <w:tc>
          <w:tcPr>
            <w:tcW w:w="1526" w:type="dxa"/>
          </w:tcPr>
          <w:p w14:paraId="2E0B99A7" w14:textId="77777777" w:rsidR="005D372A" w:rsidRPr="001D6D10" w:rsidRDefault="005D372A" w:rsidP="005D372A">
            <w:pPr>
              <w:tabs>
                <w:tab w:val="center" w:pos="4252"/>
                <w:tab w:val="right" w:pos="8504"/>
              </w:tabs>
              <w:snapToGrid w:val="0"/>
              <w:rPr>
                <w:rFonts w:hAnsi="ＭＳ 明朝"/>
                <w:sz w:val="22"/>
                <w:szCs w:val="22"/>
              </w:rPr>
            </w:pPr>
            <w:r w:rsidRPr="001D6D10">
              <w:rPr>
                <w:rFonts w:hAnsi="ＭＳ 明朝" w:hint="eastAsia"/>
                <w:sz w:val="22"/>
                <w:szCs w:val="22"/>
              </w:rPr>
              <w:t>⑤</w:t>
            </w:r>
            <w:r w:rsidRPr="001D6D10">
              <w:rPr>
                <w:rFonts w:hint="eastAsia"/>
              </w:rPr>
              <w:t>指令部会議の開催</w:t>
            </w:r>
          </w:p>
        </w:tc>
        <w:tc>
          <w:tcPr>
            <w:tcW w:w="7654" w:type="dxa"/>
          </w:tcPr>
          <w:p w14:paraId="0E126C98" w14:textId="77777777" w:rsidR="005D372A" w:rsidRPr="001D6D10" w:rsidRDefault="005D372A" w:rsidP="005D372A">
            <w:pPr>
              <w:tabs>
                <w:tab w:val="center" w:pos="4252"/>
                <w:tab w:val="right" w:pos="8504"/>
              </w:tabs>
              <w:snapToGrid w:val="0"/>
              <w:ind w:firstLineChars="100" w:firstLine="211"/>
              <w:rPr>
                <w:rFonts w:hAnsi="ＭＳ 明朝"/>
                <w:sz w:val="22"/>
                <w:szCs w:val="22"/>
              </w:rPr>
            </w:pPr>
            <w:r w:rsidRPr="001D6D10">
              <w:rPr>
                <w:rFonts w:hint="eastAsia"/>
              </w:rPr>
              <w:t>指令部長は、活動基準に該当すると認めたときは、速やかに、指令部副部長、指令部員を招集して、指令部会議を開催し、次の事務を実施する。</w:t>
            </w:r>
          </w:p>
        </w:tc>
      </w:tr>
      <w:tr w:rsidR="001D6D10" w:rsidRPr="001D6D10" w14:paraId="02D4893F" w14:textId="77777777" w:rsidTr="008B4B2B">
        <w:tc>
          <w:tcPr>
            <w:tcW w:w="1526" w:type="dxa"/>
          </w:tcPr>
          <w:p w14:paraId="765690F4" w14:textId="77777777" w:rsidR="005D372A" w:rsidRPr="001D6D10" w:rsidRDefault="005D372A" w:rsidP="005D372A">
            <w:pPr>
              <w:tabs>
                <w:tab w:val="center" w:pos="4252"/>
                <w:tab w:val="right" w:pos="8504"/>
              </w:tabs>
              <w:snapToGrid w:val="0"/>
              <w:rPr>
                <w:rFonts w:hAnsi="ＭＳ 明朝"/>
                <w:sz w:val="22"/>
                <w:szCs w:val="22"/>
              </w:rPr>
            </w:pPr>
            <w:r w:rsidRPr="001D6D10">
              <w:rPr>
                <w:rFonts w:hAnsi="ＭＳ 明朝" w:hint="eastAsia"/>
                <w:sz w:val="22"/>
                <w:szCs w:val="22"/>
              </w:rPr>
              <w:t>⑥会議の内　　容</w:t>
            </w:r>
          </w:p>
        </w:tc>
        <w:tc>
          <w:tcPr>
            <w:tcW w:w="7654" w:type="dxa"/>
          </w:tcPr>
          <w:p w14:paraId="7203CF28" w14:textId="77777777" w:rsidR="005D372A" w:rsidRPr="001D6D10" w:rsidRDefault="005D372A" w:rsidP="005D372A">
            <w:pPr>
              <w:tabs>
                <w:tab w:val="center" w:pos="4252"/>
                <w:tab w:val="right" w:pos="8504"/>
              </w:tabs>
              <w:wordWrap w:val="0"/>
              <w:overflowPunct w:val="0"/>
              <w:autoSpaceDE w:val="0"/>
              <w:autoSpaceDN w:val="0"/>
              <w:adjustRightInd w:val="0"/>
              <w:snapToGrid w:val="0"/>
              <w:spacing w:line="320" w:lineRule="exact"/>
              <w:rPr>
                <w:rFonts w:hAnsi="ＭＳ 明朝" w:cs="ＭＳ 明朝"/>
                <w:sz w:val="22"/>
                <w:szCs w:val="22"/>
              </w:rPr>
            </w:pPr>
            <w:r w:rsidRPr="001D6D10">
              <w:rPr>
                <w:rFonts w:hAnsi="ＭＳ 明朝" w:cs="ＭＳ 明朝" w:hint="eastAsia"/>
                <w:sz w:val="22"/>
                <w:szCs w:val="22"/>
              </w:rPr>
              <w:t>ア　災害原因情報、被害情報及び対策情報等の収集・分析</w:t>
            </w:r>
          </w:p>
          <w:p w14:paraId="172F2EBD" w14:textId="77777777" w:rsidR="005D372A" w:rsidRPr="001D6D10" w:rsidRDefault="005D372A" w:rsidP="00934E60">
            <w:pPr>
              <w:tabs>
                <w:tab w:val="center" w:pos="4252"/>
                <w:tab w:val="right" w:pos="8504"/>
              </w:tabs>
              <w:wordWrap w:val="0"/>
              <w:overflowPunct w:val="0"/>
              <w:autoSpaceDE w:val="0"/>
              <w:autoSpaceDN w:val="0"/>
              <w:adjustRightInd w:val="0"/>
              <w:snapToGrid w:val="0"/>
              <w:spacing w:line="320" w:lineRule="exact"/>
              <w:ind w:firstLineChars="200" w:firstLine="442"/>
              <w:rPr>
                <w:rFonts w:hAnsi="ＭＳ 明朝" w:cs="ＭＳ 明朝"/>
                <w:sz w:val="22"/>
                <w:szCs w:val="22"/>
              </w:rPr>
            </w:pPr>
            <w:r w:rsidRPr="001D6D10">
              <w:rPr>
                <w:rFonts w:hAnsi="ＭＳ 明朝" w:cs="ＭＳ 明朝" w:hint="eastAsia"/>
                <w:sz w:val="22"/>
                <w:szCs w:val="22"/>
              </w:rPr>
              <w:t>・地震</w:t>
            </w:r>
          </w:p>
          <w:p w14:paraId="0820D038" w14:textId="77777777" w:rsidR="005D372A" w:rsidRPr="001D6D10" w:rsidRDefault="005D372A" w:rsidP="00934E60">
            <w:pPr>
              <w:tabs>
                <w:tab w:val="center" w:pos="4252"/>
                <w:tab w:val="right" w:pos="8504"/>
              </w:tabs>
              <w:wordWrap w:val="0"/>
              <w:overflowPunct w:val="0"/>
              <w:autoSpaceDE w:val="0"/>
              <w:autoSpaceDN w:val="0"/>
              <w:adjustRightInd w:val="0"/>
              <w:snapToGrid w:val="0"/>
              <w:spacing w:line="320" w:lineRule="exact"/>
              <w:ind w:firstLineChars="200" w:firstLine="442"/>
              <w:rPr>
                <w:rFonts w:hAnsi="ＭＳ 明朝" w:cs="ＭＳ 明朝"/>
                <w:sz w:val="22"/>
                <w:szCs w:val="22"/>
              </w:rPr>
            </w:pPr>
            <w:r w:rsidRPr="001D6D10">
              <w:rPr>
                <w:rFonts w:hAnsi="ＭＳ 明朝" w:cs="ＭＳ 明朝" w:hint="eastAsia"/>
                <w:sz w:val="22"/>
                <w:szCs w:val="22"/>
              </w:rPr>
              <w:t>・気象情報等</w:t>
            </w:r>
          </w:p>
          <w:p w14:paraId="6DE0B9BA" w14:textId="77777777" w:rsidR="005D372A" w:rsidRPr="001D6D10" w:rsidRDefault="005D372A" w:rsidP="00934E60">
            <w:pPr>
              <w:tabs>
                <w:tab w:val="center" w:pos="4252"/>
                <w:tab w:val="right" w:pos="8504"/>
              </w:tabs>
              <w:wordWrap w:val="0"/>
              <w:overflowPunct w:val="0"/>
              <w:autoSpaceDE w:val="0"/>
              <w:autoSpaceDN w:val="0"/>
              <w:adjustRightInd w:val="0"/>
              <w:snapToGrid w:val="0"/>
              <w:spacing w:line="320" w:lineRule="exact"/>
              <w:ind w:firstLineChars="200" w:firstLine="442"/>
              <w:rPr>
                <w:rFonts w:hAnsi="ＭＳ 明朝" w:cs="ＭＳ 明朝"/>
                <w:sz w:val="22"/>
                <w:szCs w:val="22"/>
              </w:rPr>
            </w:pPr>
            <w:r w:rsidRPr="001D6D10">
              <w:rPr>
                <w:rFonts w:hAnsi="ＭＳ 明朝" w:cs="ＭＳ 明朝" w:hint="eastAsia"/>
                <w:sz w:val="22"/>
                <w:szCs w:val="22"/>
              </w:rPr>
              <w:t>・庁内各部局からの情報</w:t>
            </w:r>
          </w:p>
          <w:p w14:paraId="6141F60D" w14:textId="77777777" w:rsidR="005D372A" w:rsidRPr="001D6D10" w:rsidRDefault="005D372A" w:rsidP="00934E60">
            <w:pPr>
              <w:tabs>
                <w:tab w:val="center" w:pos="4252"/>
                <w:tab w:val="right" w:pos="8504"/>
              </w:tabs>
              <w:wordWrap w:val="0"/>
              <w:overflowPunct w:val="0"/>
              <w:autoSpaceDE w:val="0"/>
              <w:autoSpaceDN w:val="0"/>
              <w:adjustRightInd w:val="0"/>
              <w:snapToGrid w:val="0"/>
              <w:spacing w:line="320" w:lineRule="exact"/>
              <w:ind w:firstLineChars="200" w:firstLine="442"/>
              <w:rPr>
                <w:rFonts w:hAnsi="ＭＳ 明朝" w:cs="ＭＳ 明朝"/>
                <w:sz w:val="22"/>
                <w:szCs w:val="22"/>
              </w:rPr>
            </w:pPr>
            <w:r w:rsidRPr="001D6D10">
              <w:rPr>
                <w:rFonts w:hAnsi="ＭＳ 明朝" w:cs="ＭＳ 明朝" w:hint="eastAsia"/>
                <w:sz w:val="22"/>
                <w:szCs w:val="22"/>
              </w:rPr>
              <w:t>・市町村からの情報</w:t>
            </w:r>
          </w:p>
          <w:p w14:paraId="3A8936B3" w14:textId="77777777" w:rsidR="005D372A" w:rsidRPr="001D6D10" w:rsidRDefault="005D372A" w:rsidP="00934E60">
            <w:pPr>
              <w:tabs>
                <w:tab w:val="center" w:pos="4252"/>
                <w:tab w:val="right" w:pos="8504"/>
              </w:tabs>
              <w:wordWrap w:val="0"/>
              <w:overflowPunct w:val="0"/>
              <w:autoSpaceDE w:val="0"/>
              <w:autoSpaceDN w:val="0"/>
              <w:adjustRightInd w:val="0"/>
              <w:snapToGrid w:val="0"/>
              <w:spacing w:line="320" w:lineRule="exact"/>
              <w:ind w:firstLineChars="200" w:firstLine="442"/>
              <w:rPr>
                <w:rFonts w:hAnsi="ＭＳ 明朝" w:cs="ＭＳ 明朝"/>
                <w:sz w:val="22"/>
                <w:szCs w:val="22"/>
              </w:rPr>
            </w:pPr>
            <w:r w:rsidRPr="001D6D10">
              <w:rPr>
                <w:rFonts w:hAnsi="ＭＳ 明朝" w:cs="ＭＳ 明朝" w:hint="eastAsia"/>
                <w:sz w:val="22"/>
                <w:szCs w:val="22"/>
              </w:rPr>
              <w:t>・消防、警察等からの情報</w:t>
            </w:r>
          </w:p>
          <w:p w14:paraId="3D045309" w14:textId="77777777" w:rsidR="005D372A" w:rsidRPr="001D6D10" w:rsidRDefault="005D372A" w:rsidP="00934E60">
            <w:pPr>
              <w:tabs>
                <w:tab w:val="center" w:pos="4252"/>
                <w:tab w:val="right" w:pos="8504"/>
              </w:tabs>
              <w:wordWrap w:val="0"/>
              <w:overflowPunct w:val="0"/>
              <w:autoSpaceDE w:val="0"/>
              <w:autoSpaceDN w:val="0"/>
              <w:adjustRightInd w:val="0"/>
              <w:snapToGrid w:val="0"/>
              <w:spacing w:line="320" w:lineRule="exact"/>
              <w:ind w:leftChars="200" w:left="643" w:hangingChars="100" w:hanging="221"/>
              <w:rPr>
                <w:rFonts w:hAnsi="ＭＳ 明朝" w:cs="ＭＳ 明朝"/>
                <w:sz w:val="22"/>
                <w:szCs w:val="22"/>
              </w:rPr>
            </w:pPr>
            <w:r w:rsidRPr="001D6D10">
              <w:rPr>
                <w:rFonts w:hAnsi="ＭＳ 明朝" w:cs="ＭＳ 明朝" w:hint="eastAsia"/>
                <w:sz w:val="22"/>
                <w:szCs w:val="22"/>
              </w:rPr>
              <w:t>・被害が甚大又は甚大と予測される市町村への先遣隊及び現地情報連絡員（リエゾン）の派遣に関すること</w:t>
            </w:r>
          </w:p>
          <w:p w14:paraId="69F24A39" w14:textId="77777777" w:rsidR="005D372A" w:rsidRPr="001D6D10" w:rsidRDefault="005D372A" w:rsidP="005D372A">
            <w:pPr>
              <w:tabs>
                <w:tab w:val="center" w:pos="4252"/>
                <w:tab w:val="right" w:pos="8504"/>
              </w:tabs>
              <w:wordWrap w:val="0"/>
              <w:overflowPunct w:val="0"/>
              <w:autoSpaceDE w:val="0"/>
              <w:autoSpaceDN w:val="0"/>
              <w:adjustRightInd w:val="0"/>
              <w:snapToGrid w:val="0"/>
              <w:spacing w:line="320" w:lineRule="exact"/>
              <w:rPr>
                <w:rFonts w:hAnsi="ＭＳ 明朝" w:cs="ＭＳ 明朝"/>
                <w:sz w:val="22"/>
                <w:szCs w:val="22"/>
              </w:rPr>
            </w:pPr>
            <w:r w:rsidRPr="001D6D10">
              <w:rPr>
                <w:rFonts w:hAnsi="ＭＳ 明朝" w:cs="ＭＳ 明朝" w:hint="eastAsia"/>
                <w:sz w:val="22"/>
                <w:szCs w:val="22"/>
              </w:rPr>
              <w:t>イ　消防、警察、自衛隊等防災関係機関との連絡調整</w:t>
            </w:r>
          </w:p>
          <w:p w14:paraId="0F165144" w14:textId="77777777" w:rsidR="005D372A" w:rsidRPr="001D6D10" w:rsidRDefault="005D372A" w:rsidP="00934E60">
            <w:pPr>
              <w:tabs>
                <w:tab w:val="center" w:pos="4252"/>
                <w:tab w:val="right" w:pos="8504"/>
              </w:tabs>
              <w:wordWrap w:val="0"/>
              <w:overflowPunct w:val="0"/>
              <w:autoSpaceDE w:val="0"/>
              <w:autoSpaceDN w:val="0"/>
              <w:adjustRightInd w:val="0"/>
              <w:snapToGrid w:val="0"/>
              <w:spacing w:line="320" w:lineRule="exact"/>
              <w:ind w:firstLineChars="200" w:firstLine="442"/>
              <w:rPr>
                <w:rFonts w:hAnsi="ＭＳ 明朝" w:cs="ＭＳ 明朝"/>
                <w:sz w:val="22"/>
                <w:szCs w:val="22"/>
              </w:rPr>
            </w:pPr>
            <w:r w:rsidRPr="001D6D10">
              <w:rPr>
                <w:rFonts w:hAnsi="ＭＳ 明朝" w:cs="ＭＳ 明朝" w:hint="eastAsia"/>
                <w:sz w:val="22"/>
                <w:szCs w:val="22"/>
              </w:rPr>
              <w:t>・緊急消防援助隊への応援要請準備</w:t>
            </w:r>
          </w:p>
          <w:p w14:paraId="66384809" w14:textId="77777777" w:rsidR="005D372A" w:rsidRPr="001D6D10" w:rsidRDefault="005D372A" w:rsidP="00934E60">
            <w:pPr>
              <w:tabs>
                <w:tab w:val="center" w:pos="4252"/>
                <w:tab w:val="right" w:pos="8504"/>
              </w:tabs>
              <w:wordWrap w:val="0"/>
              <w:overflowPunct w:val="0"/>
              <w:autoSpaceDE w:val="0"/>
              <w:autoSpaceDN w:val="0"/>
              <w:adjustRightInd w:val="0"/>
              <w:snapToGrid w:val="0"/>
              <w:spacing w:line="320" w:lineRule="exact"/>
              <w:ind w:firstLineChars="200" w:firstLine="442"/>
              <w:rPr>
                <w:rFonts w:hAnsi="ＭＳ 明朝" w:cs="ＭＳ 明朝"/>
                <w:sz w:val="22"/>
                <w:szCs w:val="22"/>
              </w:rPr>
            </w:pPr>
            <w:r w:rsidRPr="001D6D10">
              <w:rPr>
                <w:rFonts w:hAnsi="ＭＳ 明朝" w:cs="ＭＳ 明朝" w:hint="eastAsia"/>
                <w:sz w:val="22"/>
                <w:szCs w:val="22"/>
              </w:rPr>
              <w:t>・関西広域連合への応援要請準備</w:t>
            </w:r>
          </w:p>
          <w:p w14:paraId="1830732A" w14:textId="77777777" w:rsidR="005D372A" w:rsidRPr="001D6D10" w:rsidRDefault="005D372A" w:rsidP="00934E60">
            <w:pPr>
              <w:tabs>
                <w:tab w:val="center" w:pos="4252"/>
                <w:tab w:val="right" w:pos="8504"/>
              </w:tabs>
              <w:wordWrap w:val="0"/>
              <w:overflowPunct w:val="0"/>
              <w:autoSpaceDE w:val="0"/>
              <w:autoSpaceDN w:val="0"/>
              <w:adjustRightInd w:val="0"/>
              <w:snapToGrid w:val="0"/>
              <w:spacing w:line="320" w:lineRule="exact"/>
              <w:ind w:firstLineChars="200" w:firstLine="442"/>
              <w:rPr>
                <w:rFonts w:hAnsi="ＭＳ 明朝" w:cs="ＭＳ 明朝"/>
                <w:sz w:val="22"/>
                <w:szCs w:val="22"/>
              </w:rPr>
            </w:pPr>
            <w:r w:rsidRPr="001D6D10">
              <w:rPr>
                <w:rFonts w:hAnsi="ＭＳ 明朝" w:cs="ＭＳ 明朝" w:hint="eastAsia"/>
                <w:sz w:val="22"/>
                <w:szCs w:val="22"/>
              </w:rPr>
              <w:t>・警察災害派遣隊への応援要請の状況確認</w:t>
            </w:r>
          </w:p>
          <w:p w14:paraId="15BEC955" w14:textId="77777777" w:rsidR="005D372A" w:rsidRPr="001D6D10" w:rsidRDefault="005D372A" w:rsidP="00934E60">
            <w:pPr>
              <w:tabs>
                <w:tab w:val="center" w:pos="4252"/>
                <w:tab w:val="right" w:pos="8504"/>
              </w:tabs>
              <w:wordWrap w:val="0"/>
              <w:overflowPunct w:val="0"/>
              <w:autoSpaceDE w:val="0"/>
              <w:autoSpaceDN w:val="0"/>
              <w:adjustRightInd w:val="0"/>
              <w:snapToGrid w:val="0"/>
              <w:spacing w:line="320" w:lineRule="exact"/>
              <w:ind w:firstLineChars="200" w:firstLine="442"/>
              <w:rPr>
                <w:rFonts w:hAnsi="ＭＳ 明朝" w:cs="ＭＳ 明朝"/>
                <w:sz w:val="22"/>
                <w:szCs w:val="22"/>
              </w:rPr>
            </w:pPr>
            <w:r w:rsidRPr="001D6D10">
              <w:rPr>
                <w:rFonts w:hAnsi="ＭＳ 明朝" w:cs="ＭＳ 明朝" w:hint="eastAsia"/>
                <w:sz w:val="22"/>
                <w:szCs w:val="22"/>
              </w:rPr>
              <w:t>・自衛隊への災害派遣等の要請準備</w:t>
            </w:r>
          </w:p>
          <w:p w14:paraId="533E88C3" w14:textId="77777777" w:rsidR="005D372A" w:rsidRPr="001D6D10" w:rsidRDefault="005D372A" w:rsidP="005D372A">
            <w:pPr>
              <w:tabs>
                <w:tab w:val="center" w:pos="4252"/>
                <w:tab w:val="right" w:pos="8504"/>
              </w:tabs>
              <w:wordWrap w:val="0"/>
              <w:overflowPunct w:val="0"/>
              <w:autoSpaceDE w:val="0"/>
              <w:autoSpaceDN w:val="0"/>
              <w:adjustRightInd w:val="0"/>
              <w:snapToGrid w:val="0"/>
              <w:spacing w:line="320" w:lineRule="exact"/>
              <w:rPr>
                <w:rFonts w:hAnsi="ＭＳ 明朝" w:cs="ＭＳ 明朝"/>
                <w:sz w:val="22"/>
                <w:szCs w:val="22"/>
              </w:rPr>
            </w:pPr>
            <w:r w:rsidRPr="001D6D10">
              <w:rPr>
                <w:rFonts w:hAnsi="ＭＳ 明朝" w:cs="ＭＳ 明朝" w:hint="eastAsia"/>
                <w:sz w:val="22"/>
                <w:szCs w:val="22"/>
              </w:rPr>
              <w:t>ウ　職員の配備体制</w:t>
            </w:r>
          </w:p>
          <w:p w14:paraId="2111743D" w14:textId="77777777" w:rsidR="005D372A" w:rsidRPr="001D6D10" w:rsidRDefault="005D372A" w:rsidP="00934E60">
            <w:pPr>
              <w:tabs>
                <w:tab w:val="center" w:pos="4252"/>
                <w:tab w:val="right" w:pos="8504"/>
              </w:tabs>
              <w:wordWrap w:val="0"/>
              <w:overflowPunct w:val="0"/>
              <w:autoSpaceDE w:val="0"/>
              <w:autoSpaceDN w:val="0"/>
              <w:adjustRightInd w:val="0"/>
              <w:snapToGrid w:val="0"/>
              <w:spacing w:line="320" w:lineRule="exact"/>
              <w:ind w:firstLineChars="200" w:firstLine="442"/>
              <w:rPr>
                <w:rFonts w:hAnsi="ＭＳ 明朝" w:cs="ＭＳ 明朝"/>
                <w:sz w:val="22"/>
                <w:szCs w:val="22"/>
              </w:rPr>
            </w:pPr>
            <w:r w:rsidRPr="001D6D10">
              <w:rPr>
                <w:rFonts w:hAnsi="ＭＳ 明朝" w:cs="ＭＳ 明朝" w:hint="eastAsia"/>
                <w:sz w:val="22"/>
                <w:szCs w:val="22"/>
              </w:rPr>
              <w:t>・本庁、出先機関の職員配備体制の検討・準備</w:t>
            </w:r>
          </w:p>
          <w:p w14:paraId="35A50201" w14:textId="77777777" w:rsidR="005D372A" w:rsidRPr="001D6D10" w:rsidRDefault="005D372A" w:rsidP="00934E60">
            <w:pPr>
              <w:tabs>
                <w:tab w:val="center" w:pos="4252"/>
                <w:tab w:val="right" w:pos="8504"/>
              </w:tabs>
              <w:wordWrap w:val="0"/>
              <w:overflowPunct w:val="0"/>
              <w:autoSpaceDE w:val="0"/>
              <w:autoSpaceDN w:val="0"/>
              <w:adjustRightInd w:val="0"/>
              <w:snapToGrid w:val="0"/>
              <w:spacing w:line="320" w:lineRule="exact"/>
              <w:ind w:firstLineChars="200" w:firstLine="442"/>
              <w:rPr>
                <w:rFonts w:hAnsi="ＭＳ 明朝" w:cs="ＭＳ 明朝"/>
                <w:sz w:val="22"/>
                <w:szCs w:val="22"/>
              </w:rPr>
            </w:pPr>
            <w:r w:rsidRPr="001D6D10">
              <w:rPr>
                <w:rFonts w:hAnsi="ＭＳ 明朝" w:cs="ＭＳ 明朝" w:hint="eastAsia"/>
                <w:sz w:val="22"/>
                <w:szCs w:val="22"/>
              </w:rPr>
              <w:t>・災対本部等への関係機関の連絡員派遣要請の準備</w:t>
            </w:r>
          </w:p>
          <w:p w14:paraId="164AC2E6" w14:textId="77777777" w:rsidR="005D372A" w:rsidRPr="001D6D10" w:rsidRDefault="005D372A" w:rsidP="005D372A">
            <w:pPr>
              <w:tabs>
                <w:tab w:val="center" w:pos="4252"/>
                <w:tab w:val="right" w:pos="8504"/>
              </w:tabs>
              <w:wordWrap w:val="0"/>
              <w:overflowPunct w:val="0"/>
              <w:autoSpaceDE w:val="0"/>
              <w:autoSpaceDN w:val="0"/>
              <w:adjustRightInd w:val="0"/>
              <w:snapToGrid w:val="0"/>
              <w:spacing w:line="320" w:lineRule="exact"/>
              <w:rPr>
                <w:rFonts w:hAnsi="ＭＳ 明朝" w:cs="ＭＳ 明朝"/>
                <w:sz w:val="22"/>
                <w:szCs w:val="22"/>
              </w:rPr>
            </w:pPr>
            <w:r w:rsidRPr="001D6D10">
              <w:rPr>
                <w:rFonts w:hAnsi="ＭＳ 明朝" w:cs="ＭＳ 明朝" w:hint="eastAsia"/>
                <w:sz w:val="22"/>
                <w:szCs w:val="22"/>
              </w:rPr>
              <w:t>エ　府民への広報及び報道機関との連絡調整</w:t>
            </w:r>
          </w:p>
          <w:p w14:paraId="4D239F8F" w14:textId="77777777" w:rsidR="005D372A" w:rsidRPr="001D6D10" w:rsidRDefault="005D372A" w:rsidP="00934E60">
            <w:pPr>
              <w:tabs>
                <w:tab w:val="center" w:pos="4252"/>
                <w:tab w:val="right" w:pos="8504"/>
              </w:tabs>
              <w:wordWrap w:val="0"/>
              <w:overflowPunct w:val="0"/>
              <w:autoSpaceDE w:val="0"/>
              <w:autoSpaceDN w:val="0"/>
              <w:adjustRightInd w:val="0"/>
              <w:snapToGrid w:val="0"/>
              <w:spacing w:line="320" w:lineRule="exact"/>
              <w:ind w:firstLineChars="200" w:firstLine="442"/>
              <w:rPr>
                <w:rFonts w:hAnsi="ＭＳ 明朝" w:cs="ＭＳ 明朝"/>
                <w:sz w:val="22"/>
                <w:szCs w:val="22"/>
              </w:rPr>
            </w:pPr>
            <w:r w:rsidRPr="001D6D10">
              <w:rPr>
                <w:rFonts w:hAnsi="ＭＳ 明朝" w:cs="ＭＳ 明朝" w:hint="eastAsia"/>
                <w:sz w:val="22"/>
                <w:szCs w:val="22"/>
              </w:rPr>
              <w:t>・府広報媒体を活用した広報の準備、・報道機関への情報提供</w:t>
            </w:r>
          </w:p>
          <w:p w14:paraId="6AAD1F04" w14:textId="77777777" w:rsidR="005D372A" w:rsidRPr="001D6D10" w:rsidRDefault="005D372A" w:rsidP="005D372A">
            <w:pPr>
              <w:tabs>
                <w:tab w:val="center" w:pos="4252"/>
                <w:tab w:val="right" w:pos="8504"/>
              </w:tabs>
              <w:wordWrap w:val="0"/>
              <w:overflowPunct w:val="0"/>
              <w:autoSpaceDE w:val="0"/>
              <w:autoSpaceDN w:val="0"/>
              <w:adjustRightInd w:val="0"/>
              <w:snapToGrid w:val="0"/>
              <w:spacing w:line="320" w:lineRule="exact"/>
              <w:rPr>
                <w:rFonts w:hAnsi="ＭＳ 明朝" w:cs="ＭＳ 明朝"/>
                <w:sz w:val="22"/>
                <w:szCs w:val="22"/>
              </w:rPr>
            </w:pPr>
            <w:r w:rsidRPr="001D6D10">
              <w:rPr>
                <w:rFonts w:hAnsi="ＭＳ 明朝" w:cs="ＭＳ 明朝" w:hint="eastAsia"/>
                <w:sz w:val="22"/>
                <w:szCs w:val="22"/>
              </w:rPr>
              <w:t>オ　警戒本部、災対本部の設置の必要性の検討等</w:t>
            </w:r>
          </w:p>
          <w:p w14:paraId="0E8BD624" w14:textId="77777777" w:rsidR="005D372A" w:rsidRPr="001D6D10" w:rsidRDefault="005D372A" w:rsidP="00934E60">
            <w:pPr>
              <w:tabs>
                <w:tab w:val="center" w:pos="4252"/>
                <w:tab w:val="right" w:pos="8504"/>
              </w:tabs>
              <w:wordWrap w:val="0"/>
              <w:overflowPunct w:val="0"/>
              <w:autoSpaceDE w:val="0"/>
              <w:autoSpaceDN w:val="0"/>
              <w:adjustRightInd w:val="0"/>
              <w:snapToGrid w:val="0"/>
              <w:spacing w:line="320" w:lineRule="exact"/>
              <w:ind w:firstLineChars="200" w:firstLine="442"/>
              <w:rPr>
                <w:rFonts w:hAnsi="ＭＳ 明朝" w:cs="ＭＳ 明朝"/>
                <w:sz w:val="22"/>
                <w:szCs w:val="22"/>
              </w:rPr>
            </w:pPr>
            <w:r w:rsidRPr="001D6D10">
              <w:rPr>
                <w:rFonts w:hAnsi="ＭＳ 明朝" w:cs="ＭＳ 明朝" w:hint="eastAsia"/>
                <w:sz w:val="22"/>
                <w:szCs w:val="22"/>
              </w:rPr>
              <w:t>・知事、副知事への連絡（状況に応じ、知事の登庁手段の確保）</w:t>
            </w:r>
          </w:p>
          <w:p w14:paraId="25A2D5F5" w14:textId="77777777" w:rsidR="005D372A" w:rsidRPr="001D6D10" w:rsidRDefault="005D372A" w:rsidP="00934E60">
            <w:pPr>
              <w:tabs>
                <w:tab w:val="center" w:pos="4252"/>
                <w:tab w:val="right" w:pos="8504"/>
              </w:tabs>
              <w:wordWrap w:val="0"/>
              <w:overflowPunct w:val="0"/>
              <w:autoSpaceDE w:val="0"/>
              <w:autoSpaceDN w:val="0"/>
              <w:adjustRightInd w:val="0"/>
              <w:snapToGrid w:val="0"/>
              <w:spacing w:line="320" w:lineRule="exact"/>
              <w:ind w:firstLineChars="200" w:firstLine="442"/>
              <w:rPr>
                <w:rFonts w:hAnsi="ＭＳ 明朝" w:cs="ＭＳ 明朝"/>
                <w:sz w:val="22"/>
                <w:szCs w:val="22"/>
              </w:rPr>
            </w:pPr>
            <w:r w:rsidRPr="001D6D10">
              <w:rPr>
                <w:rFonts w:hAnsi="ＭＳ 明朝" w:cs="ＭＳ 明朝" w:hint="eastAsia"/>
                <w:sz w:val="22"/>
                <w:szCs w:val="22"/>
              </w:rPr>
              <w:t>・各部連絡責任者等への連絡</w:t>
            </w:r>
          </w:p>
          <w:p w14:paraId="72F6D84A" w14:textId="77777777" w:rsidR="005D372A" w:rsidRPr="001D6D10" w:rsidRDefault="005D372A" w:rsidP="005D372A">
            <w:pPr>
              <w:tabs>
                <w:tab w:val="center" w:pos="4252"/>
                <w:tab w:val="right" w:pos="8504"/>
              </w:tabs>
              <w:overflowPunct w:val="0"/>
              <w:autoSpaceDE w:val="0"/>
              <w:autoSpaceDN w:val="0"/>
              <w:adjustRightInd w:val="0"/>
              <w:snapToGrid w:val="0"/>
              <w:rPr>
                <w:rFonts w:hAnsi="ＭＳ 明朝" w:cs="ＭＳ 明朝"/>
                <w:sz w:val="22"/>
                <w:szCs w:val="22"/>
              </w:rPr>
            </w:pPr>
            <w:r w:rsidRPr="001D6D10">
              <w:rPr>
                <w:rFonts w:hAnsi="ＭＳ 明朝" w:hint="eastAsia"/>
                <w:sz w:val="22"/>
                <w:szCs w:val="22"/>
              </w:rPr>
              <w:t>カ　警戒本部、災対本部が設置されたときの当該本部事務局の運営</w:t>
            </w:r>
          </w:p>
        </w:tc>
      </w:tr>
    </w:tbl>
    <w:p w14:paraId="2D6F70C6" w14:textId="77777777" w:rsidR="00F573D6" w:rsidRPr="001D6D10" w:rsidRDefault="005D372A" w:rsidP="00F653A0">
      <w:pPr>
        <w:ind w:firstLineChars="100" w:firstLine="221"/>
        <w:rPr>
          <w:rFonts w:ascii="ＭＳ 明朝" w:hAnsi="ＭＳ 明朝"/>
          <w:sz w:val="22"/>
          <w:szCs w:val="22"/>
        </w:rPr>
      </w:pPr>
      <w:r w:rsidRPr="001D6D10">
        <w:rPr>
          <w:rFonts w:ascii="ＭＳ 明朝" w:hAnsi="ＭＳ 明朝" w:hint="eastAsia"/>
          <w:sz w:val="22"/>
          <w:szCs w:val="22"/>
        </w:rPr>
        <w:t>なお、災害等の態様に応じ指令部員を限定又は追加して、指令部会議を開催する。</w:t>
      </w:r>
    </w:p>
    <w:p w14:paraId="1254BF8D" w14:textId="741D2811" w:rsidR="00561391" w:rsidRDefault="005D372A" w:rsidP="00F653A0">
      <w:pPr>
        <w:ind w:firstLineChars="100" w:firstLine="221"/>
        <w:rPr>
          <w:rFonts w:ascii="ＭＳ 明朝" w:hAnsi="ＭＳ 明朝"/>
          <w:sz w:val="22"/>
          <w:szCs w:val="22"/>
        </w:rPr>
      </w:pPr>
      <w:r w:rsidRPr="001D6D10">
        <w:rPr>
          <w:rFonts w:ascii="ＭＳ 明朝" w:hAnsi="ＭＳ 明朝" w:hint="eastAsia"/>
          <w:sz w:val="22"/>
          <w:szCs w:val="22"/>
        </w:rPr>
        <w:lastRenderedPageBreak/>
        <w:t>指令部会議の構成は別表１のとおりとする。</w:t>
      </w:r>
    </w:p>
    <w:p w14:paraId="5845481B" w14:textId="77777777" w:rsidR="005D372A" w:rsidRPr="001D6D10" w:rsidRDefault="005D372A" w:rsidP="00F653A0">
      <w:pPr>
        <w:ind w:firstLineChars="100" w:firstLine="221"/>
        <w:rPr>
          <w:szCs w:val="22"/>
        </w:rPr>
      </w:pPr>
      <w:r w:rsidRPr="001D6D10">
        <w:rPr>
          <w:rFonts w:ascii="ＭＳ 明朝" w:hAnsi="ＭＳ 明朝" w:hint="eastAsia"/>
          <w:sz w:val="22"/>
          <w:szCs w:val="22"/>
        </w:rPr>
        <w:t>※原子力災害については本要領</w:t>
      </w:r>
      <w:r w:rsidR="001910D9" w:rsidRPr="001D6D10">
        <w:rPr>
          <w:rFonts w:ascii="ＭＳ 明朝" w:hAnsi="ＭＳ 明朝" w:hint="eastAsia"/>
          <w:sz w:val="22"/>
          <w:szCs w:val="22"/>
        </w:rPr>
        <w:t>「第</w:t>
      </w:r>
      <w:r w:rsidR="00B7587F" w:rsidRPr="001D6D10">
        <w:rPr>
          <w:rFonts w:ascii="ＭＳ 明朝" w:hAnsi="ＭＳ 明朝" w:hint="eastAsia"/>
          <w:sz w:val="22"/>
          <w:szCs w:val="22"/>
        </w:rPr>
        <w:t>８</w:t>
      </w:r>
      <w:r w:rsidRPr="001D6D10">
        <w:rPr>
          <w:rFonts w:ascii="ＭＳ 明朝" w:hAnsi="ＭＳ 明朝" w:hint="eastAsia"/>
          <w:sz w:val="22"/>
          <w:szCs w:val="22"/>
        </w:rPr>
        <w:t>章第１節第１　組織体制」を参照</w:t>
      </w:r>
    </w:p>
    <w:p w14:paraId="74EC2360" w14:textId="4D29E872" w:rsidR="005D372A" w:rsidRPr="001D6D10" w:rsidRDefault="005D372A" w:rsidP="00B110A7">
      <w:pPr>
        <w:ind w:firstLineChars="100" w:firstLine="221"/>
        <w:rPr>
          <w:rFonts w:ascii="ＭＳ 明朝" w:hAnsi="ＭＳ 明朝"/>
          <w:sz w:val="22"/>
        </w:rPr>
      </w:pPr>
      <w:r w:rsidRPr="001D6D10">
        <w:rPr>
          <w:rFonts w:ascii="ＭＳ 明朝" w:hAnsi="ＭＳ 明朝" w:hint="eastAsia"/>
          <w:sz w:val="22"/>
        </w:rPr>
        <w:t>(※１)大阪管区気象台の最新情報で</w:t>
      </w:r>
      <w:r w:rsidR="00DC5501" w:rsidRPr="0075788C">
        <w:rPr>
          <w:rFonts w:ascii="ＭＳ 明朝" w:hAnsi="ＭＳ 明朝" w:hint="eastAsia"/>
          <w:sz w:val="22"/>
        </w:rPr>
        <w:t>大阪府域に</w:t>
      </w:r>
      <w:r w:rsidR="00A85F2D" w:rsidRPr="0075788C">
        <w:rPr>
          <w:rFonts w:ascii="ＭＳ 明朝" w:hAnsi="ＭＳ 明朝" w:hint="eastAsia"/>
          <w:sz w:val="22"/>
        </w:rPr>
        <w:t>おいて</w:t>
      </w:r>
      <w:r w:rsidRPr="0075788C">
        <w:rPr>
          <w:rFonts w:ascii="ＭＳ 明朝" w:hAnsi="ＭＳ 明朝" w:hint="eastAsia"/>
          <w:sz w:val="22"/>
        </w:rPr>
        <w:t>最大風速</w:t>
      </w:r>
      <w:r w:rsidR="00B82EB7" w:rsidRPr="0075788C">
        <w:rPr>
          <w:rFonts w:ascii="ＭＳ 明朝" w:hAnsi="ＭＳ 明朝" w:hint="eastAsia"/>
          <w:sz w:val="22"/>
        </w:rPr>
        <w:t>（陸上）</w:t>
      </w:r>
      <w:r w:rsidR="008345A1">
        <w:rPr>
          <w:rFonts w:ascii="ＭＳ 明朝" w:hAnsi="ＭＳ 明朝" w:hint="eastAsia"/>
          <w:sz w:val="22"/>
        </w:rPr>
        <w:t>25</w:t>
      </w:r>
      <w:r w:rsidR="00DC5501" w:rsidRPr="0075788C">
        <w:rPr>
          <w:rFonts w:ascii="ＭＳ 明朝" w:hAnsi="ＭＳ 明朝" w:hint="eastAsia"/>
          <w:sz w:val="22"/>
        </w:rPr>
        <w:t>ｍ</w:t>
      </w:r>
      <w:r w:rsidR="00DC5501" w:rsidRPr="0075788C">
        <w:rPr>
          <w:rFonts w:ascii="ＭＳ 明朝" w:hAnsi="ＭＳ 明朝"/>
          <w:sz w:val="22"/>
        </w:rPr>
        <w:t>/s</w:t>
      </w:r>
      <w:r w:rsidRPr="001D6D10">
        <w:rPr>
          <w:rFonts w:ascii="ＭＳ 明朝" w:hAnsi="ＭＳ 明朝" w:hint="eastAsia"/>
          <w:sz w:val="22"/>
        </w:rPr>
        <w:t>が予想されるとき。</w:t>
      </w:r>
    </w:p>
    <w:p w14:paraId="22160579" w14:textId="58A9307A" w:rsidR="005D372A" w:rsidRPr="001D6D10" w:rsidRDefault="005D372A" w:rsidP="00B110A7">
      <w:pPr>
        <w:ind w:firstLineChars="100" w:firstLine="221"/>
        <w:rPr>
          <w:rFonts w:ascii="ＭＳ 明朝" w:hAnsi="ＭＳ 明朝"/>
          <w:sz w:val="22"/>
        </w:rPr>
      </w:pPr>
      <w:bookmarkStart w:id="43" w:name="_Hlk181039922"/>
      <w:r w:rsidRPr="001D6D10">
        <w:rPr>
          <w:rFonts w:ascii="ＭＳ 明朝" w:hAnsi="ＭＳ 明朝" w:hint="eastAsia"/>
          <w:sz w:val="22"/>
        </w:rPr>
        <w:t>(※２)</w:t>
      </w:r>
      <w:bookmarkEnd w:id="43"/>
      <w:r w:rsidRPr="001D6D10">
        <w:rPr>
          <w:rFonts w:ascii="ＭＳ 明朝" w:hAnsi="ＭＳ 明朝" w:hint="eastAsia"/>
          <w:sz w:val="22"/>
        </w:rPr>
        <w:t>「24時間雨量予測が200㎜を超えるとき」の判断については以下のとおりとする。</w:t>
      </w:r>
    </w:p>
    <w:p w14:paraId="41DCC681" w14:textId="24C3EB69" w:rsidR="005D372A" w:rsidRPr="001D6D10" w:rsidRDefault="005D372A" w:rsidP="00F653A0">
      <w:pPr>
        <w:ind w:leftChars="146" w:left="308" w:firstLineChars="100" w:firstLine="221"/>
        <w:rPr>
          <w:rFonts w:ascii="ＭＳ 明朝" w:hAnsi="ＭＳ 明朝"/>
          <w:sz w:val="22"/>
        </w:rPr>
      </w:pPr>
      <w:r w:rsidRPr="001D6D10">
        <w:rPr>
          <w:rFonts w:ascii="ＭＳ 明朝" w:hAnsi="ＭＳ 明朝" w:hint="eastAsia"/>
          <w:sz w:val="22"/>
        </w:rPr>
        <w:t>①水防災情報システムにおいて、雨量計のいずれかで実況（累積）雨量180㎜を超過</w:t>
      </w:r>
    </w:p>
    <w:p w14:paraId="54B02EA6" w14:textId="77777777" w:rsidR="00F653A0" w:rsidRDefault="00AA40BC" w:rsidP="00F653A0">
      <w:pPr>
        <w:ind w:leftChars="246" w:left="740" w:hangingChars="100" w:hanging="221"/>
        <w:rPr>
          <w:rFonts w:ascii="ＭＳ 明朝" w:hAnsi="ＭＳ 明朝"/>
          <w:sz w:val="22"/>
        </w:rPr>
      </w:pPr>
      <w:r w:rsidRPr="001D6D10">
        <w:rPr>
          <w:rFonts w:ascii="ＭＳ 明朝" w:hAnsi="ＭＳ 明朝" w:hint="eastAsia"/>
          <w:sz w:val="22"/>
        </w:rPr>
        <w:t>②</w:t>
      </w:r>
      <w:r w:rsidR="00D02559" w:rsidRPr="001D6D10">
        <w:rPr>
          <w:rFonts w:ascii="ＭＳ 明朝" w:hAnsi="ＭＳ 明朝" w:hint="eastAsia"/>
          <w:sz w:val="22"/>
        </w:rPr>
        <w:t>「雨雲の動き」</w:t>
      </w:r>
      <w:r w:rsidRPr="001D6D10">
        <w:rPr>
          <w:rFonts w:ascii="ＭＳ 明朝" w:hAnsi="ＭＳ 明朝" w:hint="eastAsia"/>
          <w:sz w:val="22"/>
        </w:rPr>
        <w:t>（気象庁</w:t>
      </w:r>
      <w:r w:rsidR="005D372A" w:rsidRPr="001D6D10">
        <w:rPr>
          <w:rFonts w:ascii="ＭＳ 明朝" w:hAnsi="ＭＳ 明朝" w:hint="eastAsia"/>
          <w:sz w:val="22"/>
        </w:rPr>
        <w:t>ＨＰ）において、上記①の雨量計の所在地域（市町村）の</w:t>
      </w:r>
      <w:r w:rsidR="00F653A0">
        <w:rPr>
          <w:rFonts w:ascii="ＭＳ 明朝" w:hAnsi="ＭＳ 明朝" w:hint="eastAsia"/>
          <w:sz w:val="22"/>
        </w:rPr>
        <w:t xml:space="preserve">　１</w:t>
      </w:r>
      <w:r w:rsidR="005D372A" w:rsidRPr="001D6D10">
        <w:rPr>
          <w:rFonts w:ascii="ＭＳ 明朝" w:hAnsi="ＭＳ 明朝" w:hint="eastAsia"/>
          <w:sz w:val="22"/>
        </w:rPr>
        <w:t>時間後の雨量予測が20㎜以上（黄色で着色）。</w:t>
      </w:r>
    </w:p>
    <w:p w14:paraId="74A22519" w14:textId="77777777" w:rsidR="007E228B" w:rsidRDefault="005D372A" w:rsidP="007E228B">
      <w:pPr>
        <w:ind w:leftChars="346" w:left="730"/>
        <w:rPr>
          <w:rFonts w:ascii="ＭＳ 明朝" w:hAnsi="ＭＳ 明朝"/>
          <w:sz w:val="22"/>
        </w:rPr>
      </w:pPr>
      <w:r w:rsidRPr="001D6D10">
        <w:rPr>
          <w:rFonts w:ascii="ＭＳ 明朝" w:hAnsi="ＭＳ 明朝" w:hint="eastAsia"/>
          <w:sz w:val="22"/>
        </w:rPr>
        <w:t>⇒</w:t>
      </w:r>
      <w:r w:rsidR="00F653A0">
        <w:rPr>
          <w:rFonts w:ascii="ＭＳ 明朝" w:hAnsi="ＭＳ 明朝" w:hint="eastAsia"/>
          <w:sz w:val="22"/>
        </w:rPr>
        <w:t xml:space="preserve">　</w:t>
      </w:r>
      <w:r w:rsidRPr="001D6D10">
        <w:rPr>
          <w:rFonts w:ascii="ＭＳ 明朝" w:hAnsi="ＭＳ 明朝" w:hint="eastAsia"/>
          <w:sz w:val="22"/>
        </w:rPr>
        <w:t>雨量計の実況で150㎜を超過した時点で警戒班から危機管理室幹部に連絡</w:t>
      </w:r>
    </w:p>
    <w:p w14:paraId="6549A904" w14:textId="0C901B2E" w:rsidR="007E228B" w:rsidRPr="00D705BF" w:rsidRDefault="00B110A7" w:rsidP="00B110A7">
      <w:pPr>
        <w:ind w:leftChars="105" w:left="883" w:hangingChars="299" w:hanging="661"/>
        <w:rPr>
          <w:rFonts w:ascii="ＭＳ 明朝" w:hAnsi="ＭＳ 明朝"/>
          <w:sz w:val="22"/>
        </w:rPr>
      </w:pPr>
      <w:r w:rsidRPr="00D705BF">
        <w:rPr>
          <w:rFonts w:ascii="ＭＳ 明朝" w:hAnsi="ＭＳ 明朝" w:hint="eastAsia"/>
          <w:sz w:val="22"/>
        </w:rPr>
        <w:t>(※３)</w:t>
      </w:r>
      <w:r w:rsidR="000F1878" w:rsidRPr="00D705BF">
        <w:rPr>
          <w:rFonts w:ascii="ＭＳ 明朝" w:hAnsi="ＭＳ 明朝" w:hint="eastAsia"/>
          <w:sz w:val="22"/>
          <w:szCs w:val="22"/>
        </w:rPr>
        <w:t xml:space="preserve"> 指令部会議は、原則、参集して行うものとしているが、通信環境の</w:t>
      </w:r>
      <w:r w:rsidR="001062B1" w:rsidRPr="00D705BF">
        <w:rPr>
          <w:rFonts w:ascii="ＭＳ 明朝" w:hAnsi="ＭＳ 明朝" w:hint="eastAsia"/>
          <w:sz w:val="22"/>
          <w:szCs w:val="22"/>
        </w:rPr>
        <w:t>向上</w:t>
      </w:r>
      <w:r w:rsidR="000F1878" w:rsidRPr="00D705BF">
        <w:rPr>
          <w:rFonts w:ascii="ＭＳ 明朝" w:hAnsi="ＭＳ 明朝" w:hint="eastAsia"/>
          <w:sz w:val="22"/>
          <w:szCs w:val="22"/>
        </w:rPr>
        <w:t>や機器の充足に伴い、会議の内容や参集に要する時間を考慮して、適宜リモートを併用した会議への参加が出来るものとする。</w:t>
      </w:r>
    </w:p>
    <w:p w14:paraId="66964A8D" w14:textId="77777777" w:rsidR="005D372A" w:rsidRPr="001D6D10" w:rsidRDefault="005D372A" w:rsidP="005D372A">
      <w:pPr>
        <w:ind w:firstLineChars="400" w:firstLine="884"/>
        <w:rPr>
          <w:rFonts w:ascii="ＭＳ 明朝" w:hAnsi="ＭＳ 明朝"/>
          <w:sz w:val="22"/>
          <w:szCs w:val="22"/>
        </w:rPr>
      </w:pPr>
      <w:r w:rsidRPr="001D6D10">
        <w:rPr>
          <w:rFonts w:ascii="ＭＳ 明朝" w:hAnsi="ＭＳ 明朝" w:hint="eastAsia"/>
          <w:sz w:val="22"/>
          <w:szCs w:val="22"/>
        </w:rPr>
        <w:t>(2)　地域情報班の活動</w:t>
      </w:r>
    </w:p>
    <w:p w14:paraId="2EB6EA40" w14:textId="77777777" w:rsidR="005D372A" w:rsidRPr="001D6D10" w:rsidRDefault="00B84BFC" w:rsidP="005D372A">
      <w:pPr>
        <w:ind w:firstLineChars="650" w:firstLine="1437"/>
        <w:rPr>
          <w:rFonts w:ascii="ＭＳ ゴシック" w:eastAsia="ＭＳ ゴシック" w:hAnsi="ＭＳ ゴシック"/>
          <w:sz w:val="22"/>
          <w:szCs w:val="22"/>
          <w:bdr w:val="single" w:sz="4" w:space="0" w:color="auto"/>
        </w:rPr>
      </w:pPr>
      <w:r w:rsidRPr="001D6D10">
        <w:rPr>
          <w:rFonts w:ascii="ＭＳ ゴシック" w:eastAsia="ＭＳ ゴシック" w:hAnsi="ＭＳ ゴシック" w:hint="eastAsia"/>
          <w:sz w:val="22"/>
          <w:szCs w:val="22"/>
          <w:bdr w:val="single" w:sz="4" w:space="0" w:color="auto"/>
        </w:rPr>
        <w:t>主たる担当：</w:t>
      </w:r>
      <w:r w:rsidR="005D372A" w:rsidRPr="001D6D10">
        <w:rPr>
          <w:rFonts w:ascii="ＭＳ ゴシック" w:eastAsia="ＭＳ ゴシック" w:hAnsi="ＭＳ ゴシック" w:hint="eastAsia"/>
          <w:sz w:val="22"/>
          <w:szCs w:val="22"/>
          <w:bdr w:val="single" w:sz="4" w:space="0" w:color="auto"/>
        </w:rPr>
        <w:t>地域防災監、関係室・課：関係出先機関</w:t>
      </w:r>
    </w:p>
    <w:p w14:paraId="3A4569B9" w14:textId="77777777" w:rsidR="005D372A" w:rsidRPr="001D6D10" w:rsidRDefault="004F04A6" w:rsidP="005D372A">
      <w:pPr>
        <w:ind w:leftChars="100" w:left="211" w:firstLineChars="550" w:firstLine="1216"/>
        <w:rPr>
          <w:rFonts w:ascii="ＭＳ 明朝" w:hAnsi="ＭＳ 明朝"/>
          <w:sz w:val="22"/>
          <w:szCs w:val="22"/>
        </w:rPr>
      </w:pPr>
      <w:r w:rsidRPr="001D6D10">
        <w:rPr>
          <w:rFonts w:ascii="ＭＳ 明朝" w:hAnsi="ＭＳ 明朝" w:hint="eastAsia"/>
          <w:sz w:val="22"/>
          <w:szCs w:val="22"/>
        </w:rPr>
        <w:t>警戒班における地域情報班の活動に同じ</w:t>
      </w:r>
      <w:r w:rsidR="005D372A" w:rsidRPr="001D6D10">
        <w:rPr>
          <w:rFonts w:ascii="ＭＳ 明朝" w:hAnsi="ＭＳ 明朝" w:hint="eastAsia"/>
          <w:sz w:val="22"/>
          <w:szCs w:val="22"/>
        </w:rPr>
        <w:t>。</w:t>
      </w:r>
    </w:p>
    <w:p w14:paraId="13F5BB32" w14:textId="77777777" w:rsidR="005D372A" w:rsidRPr="001D6D10" w:rsidRDefault="005D372A" w:rsidP="005D372A">
      <w:pPr>
        <w:ind w:leftChars="33" w:left="220" w:hangingChars="68" w:hanging="150"/>
        <w:rPr>
          <w:rFonts w:ascii="ＭＳ 明朝" w:hAnsi="ＭＳ 明朝"/>
          <w:sz w:val="22"/>
          <w:szCs w:val="22"/>
        </w:rPr>
      </w:pPr>
      <w:r w:rsidRPr="001D6D10">
        <w:rPr>
          <w:rFonts w:ascii="ＭＳ 明朝" w:hAnsi="ＭＳ 明朝" w:hint="eastAsia"/>
          <w:sz w:val="22"/>
          <w:szCs w:val="22"/>
        </w:rPr>
        <w:t xml:space="preserve">　　　　　　ただし、下記内容を追加する。</w:t>
      </w:r>
    </w:p>
    <w:tbl>
      <w:tblPr>
        <w:tblStyle w:val="ab"/>
        <w:tblW w:w="9214" w:type="dxa"/>
        <w:tblInd w:w="-34" w:type="dxa"/>
        <w:tblLook w:val="04A0" w:firstRow="1" w:lastRow="0" w:firstColumn="1" w:lastColumn="0" w:noHBand="0" w:noVBand="1"/>
      </w:tblPr>
      <w:tblGrid>
        <w:gridCol w:w="1560"/>
        <w:gridCol w:w="7654"/>
      </w:tblGrid>
      <w:tr w:rsidR="001D6D10" w:rsidRPr="001D6D10" w14:paraId="4FEF2242" w14:textId="77777777" w:rsidTr="004C5331">
        <w:tc>
          <w:tcPr>
            <w:tcW w:w="1560" w:type="dxa"/>
          </w:tcPr>
          <w:p w14:paraId="551B3099" w14:textId="77777777" w:rsidR="005D372A" w:rsidRPr="001D6D10" w:rsidRDefault="005D372A" w:rsidP="005D372A">
            <w:pPr>
              <w:tabs>
                <w:tab w:val="center" w:pos="4252"/>
                <w:tab w:val="right" w:pos="8504"/>
              </w:tabs>
              <w:snapToGrid w:val="0"/>
              <w:rPr>
                <w:rFonts w:hAnsi="ＭＳ 明朝"/>
                <w:sz w:val="22"/>
              </w:rPr>
            </w:pPr>
            <w:r w:rsidRPr="001D6D10">
              <w:rPr>
                <w:rFonts w:hAnsi="ＭＳ 明朝" w:hint="eastAsia"/>
                <w:sz w:val="22"/>
              </w:rPr>
              <w:t>①開始基準</w:t>
            </w:r>
          </w:p>
          <w:p w14:paraId="0F2449B5" w14:textId="77777777" w:rsidR="005D372A" w:rsidRPr="001D6D10" w:rsidRDefault="005D372A" w:rsidP="005D372A">
            <w:pPr>
              <w:tabs>
                <w:tab w:val="center" w:pos="4252"/>
                <w:tab w:val="right" w:pos="8504"/>
              </w:tabs>
              <w:snapToGrid w:val="0"/>
              <w:rPr>
                <w:rFonts w:hAnsi="ＭＳ 明朝"/>
                <w:sz w:val="22"/>
              </w:rPr>
            </w:pPr>
          </w:p>
        </w:tc>
        <w:tc>
          <w:tcPr>
            <w:tcW w:w="7654" w:type="dxa"/>
          </w:tcPr>
          <w:p w14:paraId="7E2C5C59" w14:textId="77777777" w:rsidR="005D372A" w:rsidRPr="001D6D10" w:rsidRDefault="005D372A" w:rsidP="005D372A">
            <w:pPr>
              <w:tabs>
                <w:tab w:val="center" w:pos="4252"/>
                <w:tab w:val="right" w:pos="8504"/>
              </w:tabs>
              <w:snapToGrid w:val="0"/>
              <w:ind w:rightChars="-309" w:right="-652"/>
              <w:rPr>
                <w:rFonts w:hAnsi="ＭＳ 明朝"/>
                <w:sz w:val="22"/>
                <w:szCs w:val="22"/>
              </w:rPr>
            </w:pPr>
            <w:r w:rsidRPr="001D6D10">
              <w:rPr>
                <w:rFonts w:hAnsi="ＭＳ 明朝" w:hint="eastAsia"/>
                <w:sz w:val="22"/>
                <w:szCs w:val="22"/>
              </w:rPr>
              <w:t>・府域(対象地域)において震度４を観測したとき（自動設置）</w:t>
            </w:r>
          </w:p>
          <w:p w14:paraId="123BF6ED" w14:textId="77777777" w:rsidR="005D372A" w:rsidRDefault="005D372A" w:rsidP="005D372A">
            <w:pPr>
              <w:tabs>
                <w:tab w:val="center" w:pos="4252"/>
                <w:tab w:val="right" w:pos="8504"/>
              </w:tabs>
              <w:snapToGrid w:val="0"/>
              <w:rPr>
                <w:rFonts w:hAnsi="ＭＳ 明朝"/>
                <w:sz w:val="22"/>
                <w:szCs w:val="22"/>
              </w:rPr>
            </w:pPr>
            <w:r w:rsidRPr="001D6D10">
              <w:rPr>
                <w:rFonts w:hAnsi="ＭＳ 明朝" w:hint="eastAsia"/>
                <w:sz w:val="22"/>
                <w:szCs w:val="22"/>
              </w:rPr>
              <w:t>・津波予報区「大阪府」に津波注意報が発表されたとき</w:t>
            </w:r>
          </w:p>
          <w:p w14:paraId="06DFB9FF" w14:textId="2DD8F7F4" w:rsidR="004C5331" w:rsidRPr="00D705BF" w:rsidRDefault="004C5331" w:rsidP="005D372A">
            <w:pPr>
              <w:tabs>
                <w:tab w:val="center" w:pos="4252"/>
                <w:tab w:val="right" w:pos="8504"/>
              </w:tabs>
              <w:snapToGrid w:val="0"/>
              <w:rPr>
                <w:rFonts w:hAnsi="ＭＳ 明朝"/>
                <w:sz w:val="22"/>
                <w:szCs w:val="22"/>
              </w:rPr>
            </w:pPr>
            <w:r w:rsidRPr="00D705BF">
              <w:rPr>
                <w:rFonts w:hAnsi="ＭＳ 明朝" w:hint="eastAsia"/>
                <w:sz w:val="22"/>
                <w:szCs w:val="22"/>
              </w:rPr>
              <w:t>・南海トラフ地震臨時情報（巨大地震注意）が発表されたとき</w:t>
            </w:r>
          </w:p>
        </w:tc>
      </w:tr>
      <w:tr w:rsidR="001D6D10" w:rsidRPr="001D6D10" w14:paraId="5894B5DF" w14:textId="77777777" w:rsidTr="004C5331">
        <w:tc>
          <w:tcPr>
            <w:tcW w:w="1560" w:type="dxa"/>
          </w:tcPr>
          <w:p w14:paraId="240227C7" w14:textId="410510F3" w:rsidR="005D372A" w:rsidRPr="004C5331" w:rsidRDefault="005D372A" w:rsidP="004C5331">
            <w:pPr>
              <w:pStyle w:val="af4"/>
              <w:numPr>
                <w:ilvl w:val="0"/>
                <w:numId w:val="30"/>
              </w:numPr>
              <w:tabs>
                <w:tab w:val="center" w:pos="4252"/>
                <w:tab w:val="right" w:pos="8504"/>
              </w:tabs>
              <w:snapToGrid w:val="0"/>
              <w:ind w:leftChars="0"/>
              <w:rPr>
                <w:rFonts w:hAnsi="ＭＳ 明朝"/>
                <w:sz w:val="22"/>
              </w:rPr>
            </w:pPr>
            <w:r w:rsidRPr="004C5331">
              <w:rPr>
                <w:rFonts w:hAnsi="ＭＳ 明朝" w:hint="eastAsia"/>
                <w:sz w:val="22"/>
              </w:rPr>
              <w:t>組織</w:t>
            </w:r>
          </w:p>
        </w:tc>
        <w:tc>
          <w:tcPr>
            <w:tcW w:w="7654" w:type="dxa"/>
          </w:tcPr>
          <w:p w14:paraId="01BCC30E" w14:textId="77777777" w:rsidR="005D372A" w:rsidRPr="001D6D10" w:rsidRDefault="005D372A" w:rsidP="005D372A">
            <w:pPr>
              <w:tabs>
                <w:tab w:val="center" w:pos="4252"/>
                <w:tab w:val="right" w:pos="8504"/>
              </w:tabs>
              <w:snapToGrid w:val="0"/>
              <w:rPr>
                <w:rFonts w:hAnsi="ＭＳ 明朝"/>
                <w:sz w:val="22"/>
                <w:szCs w:val="22"/>
              </w:rPr>
            </w:pPr>
            <w:r w:rsidRPr="001D6D10">
              <w:rPr>
                <w:rFonts w:hAnsi="ＭＳ 明朝" w:hint="eastAsia"/>
                <w:szCs w:val="21"/>
              </w:rPr>
              <w:t>・地震の場合、震度４を観測した市町村を管内に有する土木事務所</w:t>
            </w:r>
          </w:p>
          <w:p w14:paraId="4193A7AF" w14:textId="77777777" w:rsidR="005D372A" w:rsidRPr="001D6D10" w:rsidRDefault="005D372A" w:rsidP="005D372A">
            <w:pPr>
              <w:tabs>
                <w:tab w:val="center" w:pos="4252"/>
                <w:tab w:val="right" w:pos="8504"/>
              </w:tabs>
              <w:snapToGrid w:val="0"/>
              <w:ind w:left="2428" w:hangingChars="1150" w:hanging="2428"/>
              <w:rPr>
                <w:rFonts w:hAnsi="ＭＳ 明朝"/>
                <w:szCs w:val="21"/>
              </w:rPr>
            </w:pPr>
            <w:r w:rsidRPr="001D6D10">
              <w:rPr>
                <w:rFonts w:hAnsi="ＭＳ 明朝" w:hint="eastAsia"/>
                <w:szCs w:val="21"/>
              </w:rPr>
              <w:t>・津波の場合、注意報が発表された沿岸市町を管内に有する土木事務所</w:t>
            </w:r>
          </w:p>
        </w:tc>
      </w:tr>
      <w:tr w:rsidR="004C5331" w:rsidRPr="001D6D10" w14:paraId="0BB8B5F8" w14:textId="77777777" w:rsidTr="004C5331">
        <w:tc>
          <w:tcPr>
            <w:tcW w:w="1560" w:type="dxa"/>
          </w:tcPr>
          <w:p w14:paraId="52A626D8" w14:textId="3BB4984A" w:rsidR="004C5331" w:rsidRPr="00C641DB" w:rsidRDefault="004C5331" w:rsidP="00C641DB">
            <w:pPr>
              <w:pStyle w:val="af4"/>
              <w:numPr>
                <w:ilvl w:val="0"/>
                <w:numId w:val="30"/>
              </w:numPr>
              <w:ind w:leftChars="0"/>
              <w:rPr>
                <w:rFonts w:hAnsi="ＭＳ 明朝"/>
                <w:sz w:val="22"/>
              </w:rPr>
            </w:pPr>
            <w:r w:rsidRPr="00C641DB">
              <w:rPr>
                <w:rFonts w:hAnsi="ＭＳ 明朝" w:hint="eastAsia"/>
                <w:sz w:val="22"/>
              </w:rPr>
              <w:t>活動内容</w:t>
            </w:r>
          </w:p>
        </w:tc>
        <w:tc>
          <w:tcPr>
            <w:tcW w:w="7654" w:type="dxa"/>
          </w:tcPr>
          <w:p w14:paraId="3BEF855C" w14:textId="77777777" w:rsidR="00C641DB" w:rsidRPr="00D705BF" w:rsidRDefault="00C641DB" w:rsidP="00C641DB">
            <w:pPr>
              <w:ind w:left="221" w:rightChars="-175" w:right="-369" w:hangingChars="100" w:hanging="221"/>
              <w:rPr>
                <w:rFonts w:hAnsi="ＭＳ 明朝"/>
                <w:sz w:val="22"/>
                <w:szCs w:val="22"/>
              </w:rPr>
            </w:pPr>
            <w:r w:rsidRPr="00D705BF">
              <w:rPr>
                <w:rFonts w:hAnsi="ＭＳ 明朝" w:hint="eastAsia"/>
                <w:sz w:val="22"/>
                <w:szCs w:val="22"/>
              </w:rPr>
              <w:t>・</w:t>
            </w:r>
            <w:r w:rsidR="004C5331" w:rsidRPr="00D705BF">
              <w:rPr>
                <w:rFonts w:hAnsi="ＭＳ 明朝" w:hint="eastAsia"/>
                <w:sz w:val="22"/>
                <w:szCs w:val="22"/>
              </w:rPr>
              <w:t>南海トラフ地震臨時情報（巨大地震注意）が発表されたときは</w:t>
            </w:r>
            <w:r w:rsidRPr="00D705BF">
              <w:rPr>
                <w:rFonts w:hAnsi="ＭＳ 明朝" w:hint="eastAsia"/>
                <w:sz w:val="22"/>
                <w:szCs w:val="22"/>
              </w:rPr>
              <w:t>、警戒班に</w:t>
            </w:r>
          </w:p>
          <w:p w14:paraId="59E6F102" w14:textId="731B633C" w:rsidR="004C5331" w:rsidRPr="00D771F9" w:rsidRDefault="00C641DB" w:rsidP="00C641DB">
            <w:pPr>
              <w:ind w:leftChars="100" w:left="211" w:rightChars="-175" w:right="-369"/>
              <w:rPr>
                <w:rFonts w:hAnsi="ＭＳ 明朝"/>
                <w:color w:val="FF0000"/>
                <w:sz w:val="22"/>
                <w:szCs w:val="22"/>
              </w:rPr>
            </w:pPr>
            <w:r w:rsidRPr="00D705BF">
              <w:rPr>
                <w:rFonts w:hAnsi="ＭＳ 明朝" w:hint="eastAsia"/>
                <w:sz w:val="22"/>
                <w:szCs w:val="22"/>
              </w:rPr>
              <w:t>おける地域情報班の活動に加え、日頃からの地震への</w:t>
            </w:r>
            <w:r w:rsidR="004C5331" w:rsidRPr="00D705BF">
              <w:rPr>
                <w:rFonts w:hAnsi="ＭＳ 明朝" w:hint="eastAsia"/>
                <w:sz w:val="22"/>
                <w:szCs w:val="22"/>
              </w:rPr>
              <w:t>備えの再確認を行う</w:t>
            </w:r>
          </w:p>
        </w:tc>
      </w:tr>
    </w:tbl>
    <w:p w14:paraId="3E5FA0DD" w14:textId="26927466" w:rsidR="005D372A" w:rsidRPr="001D6D10" w:rsidRDefault="005D372A" w:rsidP="005D372A">
      <w:pPr>
        <w:rPr>
          <w:rFonts w:ascii="ＭＳ 明朝" w:hAnsi="ＭＳ 明朝"/>
          <w:sz w:val="22"/>
          <w:szCs w:val="22"/>
        </w:rPr>
      </w:pPr>
      <w:r w:rsidRPr="001D6D10">
        <w:rPr>
          <w:rFonts w:ascii="ＭＳ 明朝" w:hAnsi="ＭＳ 明朝" w:hint="eastAsia"/>
          <w:sz w:val="22"/>
          <w:szCs w:val="22"/>
        </w:rPr>
        <w:t>（１）活動基準アの場合</w:t>
      </w:r>
    </w:p>
    <w:p w14:paraId="75AB08FC" w14:textId="77777777" w:rsidR="005D372A" w:rsidRPr="001D6D10" w:rsidRDefault="005D372A" w:rsidP="005D372A">
      <w:pPr>
        <w:rPr>
          <w:rFonts w:ascii="ＭＳ 明朝" w:hAnsi="ＭＳ 明朝"/>
          <w:sz w:val="22"/>
          <w:szCs w:val="22"/>
        </w:rPr>
      </w:pPr>
      <w:r w:rsidRPr="001D6D10">
        <w:rPr>
          <w:rFonts w:ascii="ＭＳ 明朝" w:hAnsi="ＭＳ 明朝"/>
          <w:noProof/>
          <w:sz w:val="22"/>
          <w:szCs w:val="22"/>
        </w:rPr>
        <mc:AlternateContent>
          <mc:Choice Requires="wps">
            <w:drawing>
              <wp:anchor distT="0" distB="0" distL="114300" distR="114300" simplePos="0" relativeHeight="252919808" behindDoc="0" locked="0" layoutInCell="1" allowOverlap="1" wp14:anchorId="0ADE2E0B" wp14:editId="28DFF09D">
                <wp:simplePos x="0" y="0"/>
                <wp:positionH relativeFrom="column">
                  <wp:posOffset>-57785</wp:posOffset>
                </wp:positionH>
                <wp:positionV relativeFrom="paragraph">
                  <wp:posOffset>86360</wp:posOffset>
                </wp:positionV>
                <wp:extent cx="2110105" cy="685800"/>
                <wp:effectExtent l="0" t="0" r="23495" b="19050"/>
                <wp:wrapNone/>
                <wp:docPr id="4810" name="AutoShape 203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10105" cy="685800"/>
                        </a:xfrm>
                        <a:prstGeom prst="roundRect">
                          <a:avLst>
                            <a:gd name="adj" fmla="val 16667"/>
                          </a:avLst>
                        </a:prstGeom>
                        <a:solidFill>
                          <a:srgbClr val="FFFFFF"/>
                        </a:solidFill>
                        <a:ln w="9525">
                          <a:solidFill>
                            <a:srgbClr val="000000"/>
                          </a:solidFill>
                          <a:round/>
                          <a:headEnd/>
                          <a:tailEnd/>
                        </a:ln>
                      </wps:spPr>
                      <wps:txbx>
                        <w:txbxContent>
                          <w:p w14:paraId="5E5A996B" w14:textId="77777777" w:rsidR="006A5267" w:rsidRDefault="006A5267" w:rsidP="005D372A">
                            <w:pPr>
                              <w:ind w:firstLineChars="100" w:firstLine="201"/>
                              <w:rPr>
                                <w:rFonts w:ascii="ＭＳ ゴシック" w:eastAsia="ＭＳ ゴシック" w:hAnsi="ＭＳ ゴシック"/>
                                <w:sz w:val="20"/>
                                <w:szCs w:val="20"/>
                              </w:rPr>
                            </w:pPr>
                            <w:r>
                              <w:rPr>
                                <w:rFonts w:ascii="ＭＳ ゴシック" w:eastAsia="ＭＳ ゴシック" w:hAnsi="ＭＳ ゴシック" w:hint="eastAsia"/>
                                <w:sz w:val="20"/>
                                <w:szCs w:val="20"/>
                              </w:rPr>
                              <w:t>時間内：危機管理室他</w:t>
                            </w:r>
                          </w:p>
                          <w:p w14:paraId="54BC9502" w14:textId="77777777" w:rsidR="006A5267" w:rsidRPr="00C61A0B" w:rsidRDefault="006A5267" w:rsidP="005D372A">
                            <w:pPr>
                              <w:ind w:firstLineChars="100" w:firstLine="201"/>
                              <w:rPr>
                                <w:rFonts w:ascii="ＭＳ ゴシック" w:eastAsia="ＭＳ ゴシック" w:hAnsi="ＭＳ ゴシック"/>
                                <w:sz w:val="20"/>
                                <w:szCs w:val="20"/>
                              </w:rPr>
                            </w:pPr>
                            <w:r>
                              <w:rPr>
                                <w:rFonts w:ascii="ＭＳ ゴシック" w:eastAsia="ＭＳ ゴシック" w:hAnsi="ＭＳ ゴシック" w:hint="eastAsia"/>
                                <w:sz w:val="20"/>
                                <w:szCs w:val="20"/>
                              </w:rPr>
                              <w:t>時間外：防災・危機管理当直</w:t>
                            </w:r>
                          </w:p>
                        </w:txbxContent>
                      </wps:txbx>
                      <wps:bodyPr rot="0" vert="horz" wrap="square" lIns="74295" tIns="8890" rIns="74295" bIns="8890" anchor="ctr" anchorCtr="0" upright="1">
                        <a:noAutofit/>
                      </wps:bodyPr>
                    </wps:wsp>
                  </a:graphicData>
                </a:graphic>
              </wp:anchor>
            </w:drawing>
          </mc:Choice>
          <mc:Fallback xmlns:w16cei="http://schemas.microsoft.com/office/word/2026/wordml/cei">
            <w:pict>
              <v:roundrect w14:anchorId="0ADE2E0B" id="AutoShape 2035" o:spid="_x0000_s1089" style="position:absolute;left:0;text-align:left;margin-left:-4.55pt;margin-top:6.8pt;width:166.15pt;height:54pt;z-index:252919808;visibility:visible;mso-wrap-style:square;mso-wrap-distance-left:9pt;mso-wrap-distance-top:0;mso-wrap-distance-right:9pt;mso-wrap-distance-bottom:0;mso-position-horizontal:absolute;mso-position-horizontal-relative:text;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">
                <v:textbox inset="5.85pt,.7pt,5.85pt,.7pt">
                  <w:txbxContent>
                    <w:p w14:paraId="5E5A996B" w14:textId="77777777" w:rsidR="006A5267" w:rsidRDefault="006A5267" w:rsidP="005D372A">
                      <w:pPr>
                        <w:ind w:firstLineChars="100" w:firstLine="201"/>
                        <w:rPr>
                          <w:rFonts w:ascii="ＭＳ ゴシック" w:eastAsia="ＭＳ ゴシック" w:hAnsi="ＭＳ ゴシック"/>
                          <w:sz w:val="20"/>
                          <w:szCs w:val="20"/>
                        </w:rPr>
                      </w:pPr>
                      <w:r>
                        <w:rPr>
                          <w:rFonts w:ascii="ＭＳ ゴシック" w:eastAsia="ＭＳ ゴシック" w:hAnsi="ＭＳ ゴシック" w:hint="eastAsia"/>
                          <w:sz w:val="20"/>
                          <w:szCs w:val="20"/>
                        </w:rPr>
                        <w:t>時間内：危機管理室他</w:t>
                      </w:r>
                    </w:p>
                    <w:p w14:paraId="54BC9502" w14:textId="77777777" w:rsidR="006A5267" w:rsidRPr="00C61A0B" w:rsidRDefault="006A5267" w:rsidP="005D372A">
                      <w:pPr>
                        <w:ind w:firstLineChars="100" w:firstLine="201"/>
                        <w:rPr>
                          <w:rFonts w:ascii="ＭＳ ゴシック" w:eastAsia="ＭＳ ゴシック" w:hAnsi="ＭＳ ゴシック"/>
                          <w:sz w:val="20"/>
                          <w:szCs w:val="20"/>
                        </w:rPr>
                      </w:pPr>
                      <w:r>
                        <w:rPr>
                          <w:rFonts w:ascii="ＭＳ ゴシック" w:eastAsia="ＭＳ ゴシック" w:hAnsi="ＭＳ ゴシック" w:hint="eastAsia"/>
                          <w:sz w:val="20"/>
                          <w:szCs w:val="20"/>
                        </w:rPr>
                        <w:t>時間外：防災・危機管理当直</w:t>
                      </w:r>
                    </w:p>
                  </w:txbxContent>
                </v:textbox>
              </v:roundrect>
            </w:pict>
          </mc:Fallback>
        </mc:AlternateContent>
      </w:r>
      <w:r w:rsidRPr="001D6D10">
        <w:rPr>
          <w:rFonts w:ascii="ＭＳ 明朝" w:hAnsi="ＭＳ 明朝"/>
          <w:noProof/>
          <w:sz w:val="22"/>
          <w:szCs w:val="22"/>
        </w:rPr>
        <mc:AlternateContent>
          <mc:Choice Requires="wps">
            <w:drawing>
              <wp:anchor distT="0" distB="0" distL="114300" distR="114300" simplePos="0" relativeHeight="252920832" behindDoc="0" locked="0" layoutInCell="1" allowOverlap="1" wp14:anchorId="73A59E9C" wp14:editId="321E7E11">
                <wp:simplePos x="0" y="0"/>
                <wp:positionH relativeFrom="column">
                  <wp:posOffset>3428365</wp:posOffset>
                </wp:positionH>
                <wp:positionV relativeFrom="paragraph">
                  <wp:posOffset>200660</wp:posOffset>
                </wp:positionV>
                <wp:extent cx="1943100" cy="457200"/>
                <wp:effectExtent l="19050" t="19050" r="19050" b="19050"/>
                <wp:wrapNone/>
                <wp:docPr id="4811" name="AutoShape 204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943100" cy="457200"/>
                        </a:xfrm>
                        <a:prstGeom prst="roundRect">
                          <a:avLst>
                            <a:gd name="adj" fmla="val 16667"/>
                          </a:avLst>
                        </a:prstGeom>
                        <a:solidFill>
                          <a:srgbClr val="FFFFFF"/>
                        </a:solidFill>
                        <a:ln w="44450" cmpd="dbl">
                          <a:solidFill>
                            <a:srgbClr val="000000"/>
                          </a:solidFill>
                          <a:round/>
                          <a:headEnd/>
                          <a:tailEnd/>
                        </a:ln>
                      </wps:spPr>
                      <wps:txbx>
                        <w:txbxContent>
                          <w:p w14:paraId="4E85A405" w14:textId="77777777" w:rsidR="006A5267" w:rsidRDefault="006A5267" w:rsidP="005D372A">
                            <w:pPr>
                              <w:ind w:firstLineChars="100" w:firstLine="201"/>
                            </w:pPr>
                            <w:r w:rsidRPr="008C34B4">
                              <w:rPr>
                                <w:rFonts w:ascii="ＭＳ ゴシック" w:eastAsia="ＭＳ ゴシック" w:hAnsi="ＭＳ ゴシック" w:hint="eastAsia"/>
                                <w:sz w:val="20"/>
                                <w:szCs w:val="20"/>
                              </w:rPr>
                              <w:t>防災・危機管理</w:t>
                            </w:r>
                            <w:r>
                              <w:rPr>
                                <w:rFonts w:ascii="ＭＳ ゴシック" w:eastAsia="ＭＳ ゴシック" w:hAnsi="ＭＳ ゴシック" w:hint="eastAsia"/>
                                <w:sz w:val="20"/>
                                <w:szCs w:val="20"/>
                              </w:rPr>
                              <w:t>指令部</w:t>
                            </w:r>
                          </w:p>
                        </w:txbxContent>
                      </wps:txbx>
                      <wps:bodyPr rot="0" vert="horz" wrap="square" lIns="74295" tIns="8890" rIns="74295" bIns="8890" anchor="ctr" anchorCtr="0" upright="1">
                        <a:noAutofit/>
                      </wps:bodyPr>
                    </wps:wsp>
                  </a:graphicData>
                </a:graphic>
              </wp:anchor>
            </w:drawing>
          </mc:Choice>
          <mc:Fallback xmlns:w16cei="http://schemas.microsoft.com/office/word/2026/wordml/cei">
            <w:pict>
              <v:roundrect w14:anchorId="73A59E9C" id="AutoShape 2042" o:spid="_x0000_s1090" style="position:absolute;left:0;text-align:left;margin-left:269.95pt;margin-top:15.8pt;width:153pt;height:36pt;z-index:252920832;visibility:visible;mso-wrap-style:square;mso-wrap-distance-left:9pt;mso-wrap-distance-top:0;mso-wrap-distance-right:9pt;mso-wrap-distance-bottom:0;mso-position-horizontal:absolute;mso-position-horizontal-relative:text;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" strokeweight="3.5pt">
                <v:stroke linestyle="thinThin"/>
                <v:textbox inset="5.85pt,.7pt,5.85pt,.7pt">
                  <w:txbxContent>
                    <w:p w14:paraId="4E85A405" w14:textId="77777777" w:rsidR="006A5267" w:rsidRDefault="006A5267" w:rsidP="005D372A">
                      <w:pPr>
                        <w:ind w:firstLineChars="100" w:firstLine="201"/>
                      </w:pPr>
                      <w:r w:rsidRPr="008C34B4">
                        <w:rPr>
                          <w:rFonts w:ascii="ＭＳ ゴシック" w:eastAsia="ＭＳ ゴシック" w:hAnsi="ＭＳ ゴシック" w:hint="eastAsia"/>
                          <w:sz w:val="20"/>
                          <w:szCs w:val="20"/>
                        </w:rPr>
                        <w:t>防災・危機管理</w:t>
                      </w:r>
                      <w:r>
                        <w:rPr>
                          <w:rFonts w:ascii="ＭＳ ゴシック" w:eastAsia="ＭＳ ゴシック" w:hAnsi="ＭＳ ゴシック" w:hint="eastAsia"/>
                          <w:sz w:val="20"/>
                          <w:szCs w:val="20"/>
                        </w:rPr>
                        <w:t>指令部</w:t>
                      </w:r>
                    </w:p>
                  </w:txbxContent>
                </v:textbox>
              </v:roundrect>
            </w:pict>
          </mc:Fallback>
        </mc:AlternateContent>
      </w:r>
    </w:p>
    <w:p w14:paraId="3D84AF6C" w14:textId="77777777" w:rsidR="005D372A" w:rsidRPr="001D6D10" w:rsidRDefault="005D372A" w:rsidP="005D372A">
      <w:pPr>
        <w:rPr>
          <w:rFonts w:ascii="ＭＳ 明朝" w:hAnsi="ＭＳ 明朝"/>
          <w:sz w:val="22"/>
          <w:szCs w:val="22"/>
        </w:rPr>
      </w:pPr>
      <w:r w:rsidRPr="001D6D10">
        <w:rPr>
          <w:rFonts w:ascii="ＭＳ 明朝" w:hAnsi="ＭＳ 明朝"/>
          <w:noProof/>
          <w:sz w:val="22"/>
          <w:szCs w:val="22"/>
        </w:rPr>
        <mc:AlternateContent>
          <mc:Choice Requires="wps">
            <w:drawing>
              <wp:anchor distT="0" distB="0" distL="114300" distR="114300" simplePos="0" relativeHeight="252901376" behindDoc="0" locked="0" layoutInCell="1" allowOverlap="1" wp14:anchorId="4E777D9C" wp14:editId="56D73382">
                <wp:simplePos x="0" y="0"/>
                <wp:positionH relativeFrom="column">
                  <wp:posOffset>2047240</wp:posOffset>
                </wp:positionH>
                <wp:positionV relativeFrom="paragraph">
                  <wp:posOffset>205105</wp:posOffset>
                </wp:positionV>
                <wp:extent cx="1376045" cy="0"/>
                <wp:effectExtent l="0" t="76200" r="14605" b="95250"/>
                <wp:wrapNone/>
                <wp:docPr id="4813" name="直線矢印コネクタ 4813"/>
                <wp:cNvGraphicFramePr/>
                <a:graphic xmlns:a="http://schemas.openxmlformats.org/drawingml/2006/main">
                  <a:graphicData uri="http://schemas.microsoft.com/office/word/2010/wordprocessingShape">
                    <wps:wsp>
                      <wps:cNvCnPr/>
                      <wps:spPr>
                        <a:xfrm>
                          <a:off x="0" y="0"/>
                          <a:ext cx="1376045" cy="0"/>
                        </a:xfrm>
                        <a:prstGeom prst="straightConnector1">
                          <a:avLst/>
                        </a:prstGeom>
                        <a:noFill/>
                        <a:ln w="9525" cap="flat" cmpd="sng" algn="ctr">
                          <a:solidFill>
                            <a:sysClr val="windowText" lastClr="000000"/>
                          </a:solidFill>
                          <a:prstDash val="solid"/>
                          <a:tailEnd type="triangle"/>
                        </a:ln>
                        <a:effectLst/>
                      </wps:spPr>
                      <wps:bodyPr/>
                    </wps:wsp>
                  </a:graphicData>
                </a:graphic>
              </wp:anchor>
            </w:drawing>
          </mc:Choice>
          <mc:Fallback xmlns:w16cei="http://schemas.microsoft.com/office/word/2026/wordml/cei">
            <w:pict>
              <v:shape w14:anchorId="4D62F4C5" id="直線矢印コネクタ 4813" o:spid="_x0000_s1026" type="#_x0000_t32" style="position:absolute;left:0;text-align:left;margin-left:161.2pt;margin-top:16.15pt;width:108.35pt;height:0;z-index:25290137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" strokecolor="windowText">
                <v:stroke endarrow="block"/>
              </v:shape>
            </w:pict>
          </mc:Fallback>
        </mc:AlternateContent>
      </w:r>
    </w:p>
    <w:p w14:paraId="264A9016" w14:textId="77777777" w:rsidR="005D372A" w:rsidRPr="001D6D10" w:rsidRDefault="005D372A" w:rsidP="005D372A">
      <w:pPr>
        <w:rPr>
          <w:rFonts w:ascii="ＭＳ 明朝" w:hAnsi="ＭＳ 明朝"/>
          <w:sz w:val="22"/>
          <w:szCs w:val="22"/>
        </w:rPr>
      </w:pPr>
    </w:p>
    <w:p w14:paraId="15866B45" w14:textId="77777777" w:rsidR="005D372A" w:rsidRPr="001D6D10" w:rsidRDefault="005D372A" w:rsidP="005D372A">
      <w:pPr>
        <w:rPr>
          <w:rFonts w:ascii="ＭＳ 明朝" w:hAnsi="ＭＳ 明朝"/>
          <w:sz w:val="22"/>
          <w:szCs w:val="22"/>
        </w:rPr>
      </w:pPr>
      <w:r w:rsidRPr="001D6D10">
        <w:rPr>
          <w:rFonts w:ascii="ＭＳ 明朝" w:hAnsi="ＭＳ 明朝"/>
          <w:noProof/>
          <w:sz w:val="22"/>
          <w:szCs w:val="22"/>
        </w:rPr>
        <mc:AlternateContent>
          <mc:Choice Requires="wps">
            <w:drawing>
              <wp:anchor distT="0" distB="0" distL="114300" distR="114300" simplePos="0" relativeHeight="252921856" behindDoc="0" locked="0" layoutInCell="1" allowOverlap="1" wp14:anchorId="6EB4C21D" wp14:editId="18DFDA32">
                <wp:simplePos x="0" y="0"/>
                <wp:positionH relativeFrom="column">
                  <wp:posOffset>4104640</wp:posOffset>
                </wp:positionH>
                <wp:positionV relativeFrom="paragraph">
                  <wp:posOffset>52070</wp:posOffset>
                </wp:positionV>
                <wp:extent cx="571500" cy="523875"/>
                <wp:effectExtent l="38100" t="19050" r="19050" b="47625"/>
                <wp:wrapNone/>
                <wp:docPr id="4814" name="AutoShape 204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71500" cy="523875"/>
                        </a:xfrm>
                        <a:prstGeom prst="upDownArrow">
                          <a:avLst>
                            <a:gd name="adj1" fmla="val 50000"/>
                            <a:gd name="adj2" fmla="val 24000"/>
                          </a:avLst>
                        </a:prstGeom>
                        <a:solidFill>
                          <a:srgbClr val="FFFFFF"/>
                        </a:solidFill>
                        <a:ln w="9525">
                          <a:solidFill>
                            <a:srgbClr val="000000"/>
                          </a:solidFill>
                          <a:miter lim="800000"/>
                          <a:headEnd/>
                          <a:tailEnd/>
                        </a:ln>
                      </wps:spPr>
                      <wps:bodyPr rot="0" vert="horz" wrap="square" lIns="74295" tIns="8890" rIns="74295" bIns="8890" anchor="t" anchorCtr="0" upright="1">
                        <a:noAutofit/>
                      </wps:bodyPr>
                    </wps:wsp>
                  </a:graphicData>
                </a:graphic>
              </wp:anchor>
            </w:drawing>
          </mc:Choice>
          <mc:Fallback xmlns:w16cei="http://schemas.microsoft.com/office/word/2026/wordml/cei">
            <w:pict>
              <v:shape w14:anchorId="7710182A" id="AutoShape 2041" o:spid="_x0000_s1026" type="#_x0000_t70" style="position:absolute;left:0;text-align:left;margin-left:323.2pt;margin-top:4.1pt;width:45pt;height:41.25pt;z-index:25292185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" adj=",5184">
                <v:textbox inset="5.85pt,.7pt,5.85pt,.7pt"/>
              </v:shape>
            </w:pict>
          </mc:Fallback>
        </mc:AlternateContent>
      </w:r>
    </w:p>
    <w:p w14:paraId="60CDF049" w14:textId="77777777" w:rsidR="005D372A" w:rsidRPr="001D6D10" w:rsidRDefault="005D372A" w:rsidP="005D372A">
      <w:pPr>
        <w:rPr>
          <w:rFonts w:ascii="ＭＳ 明朝" w:hAnsi="ＭＳ 明朝"/>
          <w:sz w:val="22"/>
          <w:szCs w:val="22"/>
        </w:rPr>
      </w:pPr>
      <w:r w:rsidRPr="001D6D10">
        <w:rPr>
          <w:rFonts w:ascii="ＭＳ 明朝" w:hAnsi="ＭＳ 明朝" w:hint="eastAsia"/>
          <w:noProof/>
          <w:sz w:val="22"/>
          <w:szCs w:val="22"/>
        </w:rPr>
        <mc:AlternateContent>
          <mc:Choice Requires="wps">
            <w:drawing>
              <wp:anchor distT="0" distB="0" distL="114300" distR="114300" simplePos="0" relativeHeight="252936192" behindDoc="0" locked="0" layoutInCell="1" allowOverlap="1" wp14:anchorId="1C3181EF" wp14:editId="5EC26D14">
                <wp:simplePos x="0" y="0"/>
                <wp:positionH relativeFrom="column">
                  <wp:posOffset>4527550</wp:posOffset>
                </wp:positionH>
                <wp:positionV relativeFrom="paragraph">
                  <wp:posOffset>28575</wp:posOffset>
                </wp:positionV>
                <wp:extent cx="457200" cy="228600"/>
                <wp:effectExtent l="0" t="0" r="0" b="0"/>
                <wp:wrapNone/>
                <wp:docPr id="109" name="Text Box 208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57200" cy="2286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3C53590" w14:textId="77777777" w:rsidR="006A5267" w:rsidRPr="00A80169" w:rsidRDefault="006A5267" w:rsidP="005D372A">
                            <w:pPr>
                              <w:rPr>
                                <w:rFonts w:ascii="ＭＳ 明朝" w:hAnsi="ＭＳ 明朝"/>
                                <w:szCs w:val="21"/>
                              </w:rPr>
                            </w:pPr>
                            <w:r>
                              <w:rPr>
                                <w:rFonts w:ascii="ＭＳ 明朝" w:hAnsi="ＭＳ 明朝" w:hint="eastAsia"/>
                                <w:szCs w:val="21"/>
                              </w:rPr>
                              <w:t>連携</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shape w14:anchorId="1C3181EF" id="Text Box 2081" o:spid="_x0000_s1091" type="#_x0000_t202" style="position:absolute;left:0;text-align:left;margin-left:356.5pt;margin-top:2.25pt;width:36pt;height:18pt;z-index:25293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" filled="f" stroked="f">
                <v:textbox inset="5.85pt,.7pt,5.85pt,.7pt">
                  <w:txbxContent>
                    <w:p w14:paraId="23C53590" w14:textId="77777777" w:rsidR="006A5267" w:rsidRPr="00A80169" w:rsidRDefault="006A5267" w:rsidP="005D372A">
                      <w:pPr>
                        <w:rPr>
                          <w:rFonts w:ascii="ＭＳ 明朝" w:hAnsi="ＭＳ 明朝"/>
                          <w:szCs w:val="21"/>
                        </w:rPr>
                      </w:pPr>
                      <w:r>
                        <w:rPr>
                          <w:rFonts w:ascii="ＭＳ 明朝" w:hAnsi="ＭＳ 明朝" w:hint="eastAsia"/>
                          <w:szCs w:val="21"/>
                        </w:rPr>
                        <w:t>連携</w:t>
                      </w:r>
                    </w:p>
                  </w:txbxContent>
                </v:textbox>
              </v:shape>
            </w:pict>
          </mc:Fallback>
        </mc:AlternateContent>
      </w:r>
      <w:r w:rsidRPr="001D6D10">
        <w:rPr>
          <w:rFonts w:ascii="ＭＳ 明朝" w:hAnsi="ＭＳ 明朝" w:hint="eastAsia"/>
          <w:noProof/>
          <w:sz w:val="22"/>
          <w:szCs w:val="22"/>
        </w:rPr>
        <mc:AlternateContent>
          <mc:Choice Requires="wps">
            <w:drawing>
              <wp:anchor distT="0" distB="0" distL="114300" distR="114300" simplePos="0" relativeHeight="252935168" behindDoc="0" locked="0" layoutInCell="1" allowOverlap="1" wp14:anchorId="224E0064" wp14:editId="63DF8BF4">
                <wp:simplePos x="0" y="0"/>
                <wp:positionH relativeFrom="column">
                  <wp:posOffset>3746500</wp:posOffset>
                </wp:positionH>
                <wp:positionV relativeFrom="paragraph">
                  <wp:posOffset>28575</wp:posOffset>
                </wp:positionV>
                <wp:extent cx="457200" cy="228600"/>
                <wp:effectExtent l="0" t="0" r="0" b="0"/>
                <wp:wrapNone/>
                <wp:docPr id="108" name="Text Box 208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57200" cy="2286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9C3D527" w14:textId="77777777" w:rsidR="006A5267" w:rsidRPr="00A80169" w:rsidRDefault="006A5267" w:rsidP="005D372A">
                            <w:pPr>
                              <w:rPr>
                                <w:rFonts w:ascii="ＭＳ 明朝" w:hAnsi="ＭＳ 明朝"/>
                                <w:szCs w:val="21"/>
                              </w:rPr>
                            </w:pPr>
                            <w:r w:rsidRPr="00A80169">
                              <w:rPr>
                                <w:rFonts w:ascii="ＭＳ 明朝" w:hAnsi="ＭＳ 明朝" w:hint="eastAsia"/>
                                <w:szCs w:val="21"/>
                              </w:rPr>
                              <w:t>連絡</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shape w14:anchorId="224E0064" id="_x0000_s1092" type="#_x0000_t202" style="position:absolute;left:0;text-align:left;margin-left:295pt;margin-top:2.25pt;width:36pt;height:18pt;z-index:252935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" filled="f" stroked="f">
                <v:textbox inset="5.85pt,.7pt,5.85pt,.7pt">
                  <w:txbxContent>
                    <w:p w14:paraId="49C3D527" w14:textId="77777777" w:rsidR="006A5267" w:rsidRPr="00A80169" w:rsidRDefault="006A5267" w:rsidP="005D372A">
                      <w:pPr>
                        <w:rPr>
                          <w:rFonts w:ascii="ＭＳ 明朝" w:hAnsi="ＭＳ 明朝"/>
                          <w:szCs w:val="21"/>
                        </w:rPr>
                      </w:pPr>
                      <w:r w:rsidRPr="00A80169">
                        <w:rPr>
                          <w:rFonts w:ascii="ＭＳ 明朝" w:hAnsi="ＭＳ 明朝" w:hint="eastAsia"/>
                          <w:szCs w:val="21"/>
                        </w:rPr>
                        <w:t>連絡</w:t>
                      </w:r>
                    </w:p>
                  </w:txbxContent>
                </v:textbox>
              </v:shape>
            </w:pict>
          </mc:Fallback>
        </mc:AlternateContent>
      </w:r>
    </w:p>
    <w:p w14:paraId="5787FF87" w14:textId="77777777" w:rsidR="005D372A" w:rsidRPr="001D6D10" w:rsidRDefault="005D372A" w:rsidP="005D372A">
      <w:pPr>
        <w:rPr>
          <w:rFonts w:ascii="ＭＳ 明朝" w:hAnsi="ＭＳ 明朝"/>
          <w:sz w:val="22"/>
          <w:szCs w:val="22"/>
        </w:rPr>
      </w:pPr>
      <w:r w:rsidRPr="001D6D10">
        <w:rPr>
          <w:rFonts w:ascii="ＭＳ 明朝" w:hAnsi="ＭＳ 明朝"/>
          <w:noProof/>
          <w:sz w:val="22"/>
          <w:szCs w:val="22"/>
        </w:rPr>
        <mc:AlternateContent>
          <mc:Choice Requires="wps">
            <w:drawing>
              <wp:anchor distT="0" distB="0" distL="114300" distR="114300" simplePos="0" relativeHeight="252922880" behindDoc="0" locked="0" layoutInCell="1" allowOverlap="1" wp14:anchorId="16F0924F" wp14:editId="1208FADE">
                <wp:simplePos x="0" y="0"/>
                <wp:positionH relativeFrom="column">
                  <wp:posOffset>3428365</wp:posOffset>
                </wp:positionH>
                <wp:positionV relativeFrom="paragraph">
                  <wp:posOffset>213360</wp:posOffset>
                </wp:positionV>
                <wp:extent cx="1943100" cy="342900"/>
                <wp:effectExtent l="19050" t="19050" r="19050" b="19050"/>
                <wp:wrapNone/>
                <wp:docPr id="4815" name="AutoShape 203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943100" cy="342900"/>
                        </a:xfrm>
                        <a:prstGeom prst="roundRect">
                          <a:avLst>
                            <a:gd name="adj" fmla="val 16667"/>
                          </a:avLst>
                        </a:prstGeom>
                        <a:solidFill>
                          <a:srgbClr val="FFFFFF"/>
                        </a:solidFill>
                        <a:ln w="44450" cmpd="thinThick">
                          <a:solidFill>
                            <a:srgbClr val="000000"/>
                          </a:solidFill>
                          <a:round/>
                          <a:headEnd/>
                          <a:tailEnd/>
                        </a:ln>
                      </wps:spPr>
                      <wps:txbx>
                        <w:txbxContent>
                          <w:p w14:paraId="2255393E" w14:textId="77777777" w:rsidR="006A5267" w:rsidRDefault="006A5267" w:rsidP="005D372A">
                            <w:pPr>
                              <w:jc w:val="center"/>
                            </w:pPr>
                            <w:r>
                              <w:rPr>
                                <w:rFonts w:ascii="ＭＳ ゴシック" w:eastAsia="ＭＳ ゴシック" w:hAnsi="ＭＳ ゴシック" w:hint="eastAsia"/>
                                <w:sz w:val="20"/>
                                <w:szCs w:val="20"/>
                              </w:rPr>
                              <w:t>地域情報班</w:t>
                            </w:r>
                          </w:p>
                        </w:txbxContent>
                      </wps:txbx>
                      <wps:bodyPr rot="0" vert="horz" wrap="square" lIns="74295" tIns="8890" rIns="74295" bIns="8890" anchor="ctr" anchorCtr="0" upright="1">
                        <a:noAutofit/>
                      </wps:bodyPr>
                    </wps:wsp>
                  </a:graphicData>
                </a:graphic>
              </wp:anchor>
            </w:drawing>
          </mc:Choice>
          <mc:Fallback xmlns:w16cei="http://schemas.microsoft.com/office/word/2026/wordml/cei">
            <w:pict>
              <v:roundrect w14:anchorId="16F0924F" id="AutoShape 2039" o:spid="_x0000_s1093" style="position:absolute;left:0;text-align:left;margin-left:269.95pt;margin-top:16.8pt;width:153pt;height:27pt;z-index:252922880;visibility:visible;mso-wrap-style:square;mso-wrap-distance-left:9pt;mso-wrap-distance-top:0;mso-wrap-distance-right:9pt;mso-wrap-distance-bottom:0;mso-position-horizontal:absolute;mso-position-horizontal-relative:text;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" strokeweight="3.5pt">
                <v:stroke linestyle="thinThick"/>
                <v:textbox inset="5.85pt,.7pt,5.85pt,.7pt">
                  <w:txbxContent>
                    <w:p w14:paraId="2255393E" w14:textId="77777777" w:rsidR="006A5267" w:rsidRDefault="006A5267" w:rsidP="005D372A">
                      <w:pPr>
                        <w:jc w:val="center"/>
                      </w:pPr>
                      <w:r>
                        <w:rPr>
                          <w:rFonts w:ascii="ＭＳ ゴシック" w:eastAsia="ＭＳ ゴシック" w:hAnsi="ＭＳ ゴシック" w:hint="eastAsia"/>
                          <w:sz w:val="20"/>
                          <w:szCs w:val="20"/>
                        </w:rPr>
                        <w:t>地域情報班</w:t>
                      </w:r>
                    </w:p>
                  </w:txbxContent>
                </v:textbox>
              </v:roundrect>
            </w:pict>
          </mc:Fallback>
        </mc:AlternateContent>
      </w:r>
    </w:p>
    <w:p w14:paraId="54D29D63" w14:textId="391EEAB5" w:rsidR="005D372A" w:rsidRDefault="005D372A" w:rsidP="005D372A">
      <w:pPr>
        <w:rPr>
          <w:rFonts w:ascii="ＭＳ 明朝" w:hAnsi="ＭＳ 明朝"/>
          <w:sz w:val="22"/>
          <w:szCs w:val="22"/>
        </w:rPr>
      </w:pPr>
    </w:p>
    <w:p w14:paraId="721EEC61" w14:textId="77777777" w:rsidR="00916BEF" w:rsidRPr="001D6D10" w:rsidRDefault="00916BEF" w:rsidP="005D372A">
      <w:pPr>
        <w:rPr>
          <w:rFonts w:ascii="ＭＳ 明朝" w:hAnsi="ＭＳ 明朝"/>
          <w:sz w:val="22"/>
          <w:szCs w:val="22"/>
        </w:rPr>
      </w:pPr>
    </w:p>
    <w:p w14:paraId="2EECC445" w14:textId="77777777" w:rsidR="005D372A" w:rsidRPr="001D6D10" w:rsidRDefault="005D372A" w:rsidP="005D372A">
      <w:pPr>
        <w:rPr>
          <w:rFonts w:ascii="ＭＳ 明朝" w:hAnsi="ＭＳ 明朝"/>
          <w:sz w:val="22"/>
          <w:szCs w:val="22"/>
        </w:rPr>
      </w:pPr>
      <w:r w:rsidRPr="001D6D10">
        <w:rPr>
          <w:rFonts w:ascii="ＭＳ 明朝" w:hAnsi="ＭＳ 明朝" w:hint="eastAsia"/>
          <w:noProof/>
          <w:sz w:val="22"/>
          <w:szCs w:val="22"/>
        </w:rPr>
        <mc:AlternateContent>
          <mc:Choice Requires="wps">
            <w:drawing>
              <wp:anchor distT="0" distB="0" distL="114300" distR="114300" simplePos="0" relativeHeight="252929024" behindDoc="0" locked="0" layoutInCell="1" allowOverlap="1" wp14:anchorId="282E4598" wp14:editId="7D8CC759">
                <wp:simplePos x="0" y="0"/>
                <wp:positionH relativeFrom="column">
                  <wp:posOffset>2609215</wp:posOffset>
                </wp:positionH>
                <wp:positionV relativeFrom="paragraph">
                  <wp:posOffset>168910</wp:posOffset>
                </wp:positionV>
                <wp:extent cx="352425" cy="1466850"/>
                <wp:effectExtent l="0" t="0" r="28575" b="19050"/>
                <wp:wrapNone/>
                <wp:docPr id="4816" name="AutoShape 203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52425" cy="1466850"/>
                        </a:xfrm>
                        <a:prstGeom prst="roundRect">
                          <a:avLst>
                            <a:gd name="adj" fmla="val 16667"/>
                          </a:avLst>
                        </a:prstGeom>
                        <a:solidFill>
                          <a:srgbClr val="FFFFFF"/>
                        </a:solidFill>
                        <a:ln w="3175">
                          <a:solidFill>
                            <a:srgbClr val="000000"/>
                          </a:solidFill>
                          <a:round/>
                          <a:headEnd/>
                          <a:tailEnd/>
                        </a:ln>
                      </wps:spPr>
                      <wps:txbx>
                        <w:txbxContent>
                          <w:p w14:paraId="21DB9DB4" w14:textId="77777777" w:rsidR="006A5267" w:rsidRPr="00C04146" w:rsidRDefault="006A5267" w:rsidP="005D372A">
                            <w:pPr>
                              <w:jc w:val="center"/>
                              <w:rPr>
                                <w:rFonts w:ascii="ＭＳ ゴシック" w:eastAsia="ＭＳ ゴシック" w:hAnsi="ＭＳ ゴシック"/>
                                <w:sz w:val="20"/>
                                <w:szCs w:val="20"/>
                              </w:rPr>
                            </w:pPr>
                            <w:r w:rsidRPr="00C04146">
                              <w:rPr>
                                <w:rFonts w:ascii="ＭＳ ゴシック" w:eastAsia="ＭＳ ゴシック" w:hAnsi="ＭＳ ゴシック" w:hint="eastAsia"/>
                                <w:sz w:val="20"/>
                                <w:szCs w:val="20"/>
                              </w:rPr>
                              <w:t>防災・危機管理警戒班</w:t>
                            </w:r>
                          </w:p>
                        </w:txbxContent>
                      </wps:txbx>
                      <wps:bodyPr rot="0" vert="eaVert" wrap="square" lIns="0" tIns="8890" rIns="0" bIns="8890" anchor="ctr" anchorCtr="0" upright="1">
                        <a:noAutofit/>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roundrect w14:anchorId="282E4598" id="AutoShape 2037" o:spid="_x0000_s1094" style="position:absolute;left:0;text-align:left;margin-left:205.45pt;margin-top:13.3pt;width:27.75pt;height:115.5pt;z-index:2529290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" strokeweight=".25pt">
                <v:textbox style="layout-flow:vertical-ideographic" inset="0,.7pt,0,.7pt">
                  <w:txbxContent>
                    <w:p w14:paraId="21DB9DB4" w14:textId="77777777" w:rsidR="006A5267" w:rsidRPr="00C04146" w:rsidRDefault="006A5267" w:rsidP="005D372A">
                      <w:pPr>
                        <w:jc w:val="center"/>
                        <w:rPr>
                          <w:rFonts w:ascii="ＭＳ ゴシック" w:eastAsia="ＭＳ ゴシック" w:hAnsi="ＭＳ ゴシック"/>
                          <w:sz w:val="20"/>
                          <w:szCs w:val="20"/>
                        </w:rPr>
                      </w:pPr>
                      <w:r w:rsidRPr="00C04146">
                        <w:rPr>
                          <w:rFonts w:ascii="ＭＳ ゴシック" w:eastAsia="ＭＳ ゴシック" w:hAnsi="ＭＳ ゴシック" w:hint="eastAsia"/>
                          <w:sz w:val="20"/>
                          <w:szCs w:val="20"/>
                        </w:rPr>
                        <w:t>防災・危機管理警戒班</w:t>
                      </w:r>
                    </w:p>
                  </w:txbxContent>
                </v:textbox>
              </v:roundrect>
            </w:pict>
          </mc:Fallback>
        </mc:AlternateContent>
      </w:r>
      <w:r w:rsidRPr="001D6D10">
        <w:rPr>
          <w:rFonts w:ascii="ＭＳ 明朝" w:hAnsi="ＭＳ 明朝" w:hint="eastAsia"/>
          <w:sz w:val="22"/>
          <w:szCs w:val="22"/>
        </w:rPr>
        <w:t>（２）活動基準イまたはエの場合</w:t>
      </w:r>
    </w:p>
    <w:p w14:paraId="4C3254B8" w14:textId="77777777" w:rsidR="005D372A" w:rsidRPr="001D6D10" w:rsidRDefault="005D372A" w:rsidP="005D372A">
      <w:pPr>
        <w:rPr>
          <w:rFonts w:ascii="ＭＳ 明朝" w:hAnsi="ＭＳ 明朝"/>
          <w:sz w:val="22"/>
          <w:szCs w:val="22"/>
        </w:rPr>
      </w:pPr>
      <w:r w:rsidRPr="001D6D10">
        <w:rPr>
          <w:rFonts w:ascii="ＭＳ 明朝" w:hAnsi="ＭＳ 明朝" w:hint="eastAsia"/>
          <w:noProof/>
          <w:sz w:val="22"/>
          <w:szCs w:val="22"/>
        </w:rPr>
        <mc:AlternateContent>
          <mc:Choice Requires="wps">
            <w:drawing>
              <wp:anchor distT="0" distB="0" distL="114300" distR="114300" simplePos="0" relativeHeight="252923904" behindDoc="0" locked="0" layoutInCell="1" allowOverlap="1" wp14:anchorId="6DDBC145" wp14:editId="1CC8A416">
                <wp:simplePos x="0" y="0"/>
                <wp:positionH relativeFrom="column">
                  <wp:posOffset>-10160</wp:posOffset>
                </wp:positionH>
                <wp:positionV relativeFrom="paragraph">
                  <wp:posOffset>78105</wp:posOffset>
                </wp:positionV>
                <wp:extent cx="2110105" cy="685800"/>
                <wp:effectExtent l="0" t="0" r="23495" b="19050"/>
                <wp:wrapNone/>
                <wp:docPr id="4817" name="AutoShape 203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10105" cy="685800"/>
                        </a:xfrm>
                        <a:prstGeom prst="roundRect">
                          <a:avLst>
                            <a:gd name="adj" fmla="val 16667"/>
                          </a:avLst>
                        </a:prstGeom>
                        <a:solidFill>
                          <a:srgbClr val="FFFFFF"/>
                        </a:solidFill>
                        <a:ln w="9525">
                          <a:solidFill>
                            <a:srgbClr val="000000"/>
                          </a:solidFill>
                          <a:round/>
                          <a:headEnd/>
                          <a:tailEnd/>
                        </a:ln>
                      </wps:spPr>
                      <wps:txbx>
                        <w:txbxContent>
                          <w:p w14:paraId="377C9710" w14:textId="77777777" w:rsidR="006A5267" w:rsidRDefault="006A5267" w:rsidP="005D372A">
                            <w:pPr>
                              <w:ind w:firstLineChars="100" w:firstLine="201"/>
                              <w:rPr>
                                <w:rFonts w:ascii="ＭＳ ゴシック" w:eastAsia="ＭＳ ゴシック" w:hAnsi="ＭＳ ゴシック"/>
                                <w:sz w:val="20"/>
                                <w:szCs w:val="20"/>
                              </w:rPr>
                            </w:pPr>
                            <w:r>
                              <w:rPr>
                                <w:rFonts w:ascii="ＭＳ ゴシック" w:eastAsia="ＭＳ ゴシック" w:hAnsi="ＭＳ ゴシック" w:hint="eastAsia"/>
                                <w:sz w:val="20"/>
                                <w:szCs w:val="20"/>
                              </w:rPr>
                              <w:t>時間内：危機管理室他</w:t>
                            </w:r>
                          </w:p>
                          <w:p w14:paraId="41BC11F6" w14:textId="77777777" w:rsidR="006A5267" w:rsidRPr="00C61A0B" w:rsidRDefault="006A5267" w:rsidP="005D372A">
                            <w:pPr>
                              <w:ind w:firstLineChars="100" w:firstLine="201"/>
                              <w:rPr>
                                <w:rFonts w:ascii="ＭＳ ゴシック" w:eastAsia="ＭＳ ゴシック" w:hAnsi="ＭＳ ゴシック"/>
                                <w:sz w:val="20"/>
                                <w:szCs w:val="20"/>
                              </w:rPr>
                            </w:pPr>
                            <w:r>
                              <w:rPr>
                                <w:rFonts w:ascii="ＭＳ ゴシック" w:eastAsia="ＭＳ ゴシック" w:hAnsi="ＭＳ ゴシック" w:hint="eastAsia"/>
                                <w:sz w:val="20"/>
                                <w:szCs w:val="20"/>
                              </w:rPr>
                              <w:t>時間外：防災・危機管理当直</w:t>
                            </w:r>
                          </w:p>
                        </w:txbxContent>
                      </wps:txbx>
                      <wps:bodyPr rot="0" vert="horz" wrap="square" lIns="74295" tIns="8890" rIns="74295" bIns="8890" anchor="ctr" anchorCtr="0" upright="1">
                        <a:noAutofit/>
                      </wps:bodyPr>
                    </wps:wsp>
                  </a:graphicData>
                </a:graphic>
              </wp:anchor>
            </w:drawing>
          </mc:Choice>
          <mc:Fallback xmlns:w16cei="http://schemas.microsoft.com/office/word/2026/wordml/cei">
            <w:pict>
              <v:roundrect w14:anchorId="6DDBC145" id="_x0000_s1095" style="position:absolute;left:0;text-align:left;margin-left:-.8pt;margin-top:6.15pt;width:166.15pt;height:54pt;z-index:252923904;visibility:visible;mso-wrap-style:square;mso-wrap-distance-left:9pt;mso-wrap-distance-top:0;mso-wrap-distance-right:9pt;mso-wrap-distance-bottom:0;mso-position-horizontal:absolute;mso-position-horizontal-relative:text;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">
                <v:textbox inset="5.85pt,.7pt,5.85pt,.7pt">
                  <w:txbxContent>
                    <w:p w14:paraId="377C9710" w14:textId="77777777" w:rsidR="006A5267" w:rsidRDefault="006A5267" w:rsidP="005D372A">
                      <w:pPr>
                        <w:ind w:firstLineChars="100" w:firstLine="201"/>
                        <w:rPr>
                          <w:rFonts w:ascii="ＭＳ ゴシック" w:eastAsia="ＭＳ ゴシック" w:hAnsi="ＭＳ ゴシック"/>
                          <w:sz w:val="20"/>
                          <w:szCs w:val="20"/>
                        </w:rPr>
                      </w:pPr>
                      <w:r>
                        <w:rPr>
                          <w:rFonts w:ascii="ＭＳ ゴシック" w:eastAsia="ＭＳ ゴシック" w:hAnsi="ＭＳ ゴシック" w:hint="eastAsia"/>
                          <w:sz w:val="20"/>
                          <w:szCs w:val="20"/>
                        </w:rPr>
                        <w:t>時間内：危機管理室他</w:t>
                      </w:r>
                    </w:p>
                    <w:p w14:paraId="41BC11F6" w14:textId="77777777" w:rsidR="006A5267" w:rsidRPr="00C61A0B" w:rsidRDefault="006A5267" w:rsidP="005D372A">
                      <w:pPr>
                        <w:ind w:firstLineChars="100" w:firstLine="201"/>
                        <w:rPr>
                          <w:rFonts w:ascii="ＭＳ ゴシック" w:eastAsia="ＭＳ ゴシック" w:hAnsi="ＭＳ ゴシック"/>
                          <w:sz w:val="20"/>
                          <w:szCs w:val="20"/>
                        </w:rPr>
                      </w:pPr>
                      <w:r>
                        <w:rPr>
                          <w:rFonts w:ascii="ＭＳ ゴシック" w:eastAsia="ＭＳ ゴシック" w:hAnsi="ＭＳ ゴシック" w:hint="eastAsia"/>
                          <w:sz w:val="20"/>
                          <w:szCs w:val="20"/>
                        </w:rPr>
                        <w:t>時間外：防災・危機管理当直</w:t>
                      </w:r>
                    </w:p>
                  </w:txbxContent>
                </v:textbox>
              </v:roundrect>
            </w:pict>
          </mc:Fallback>
        </mc:AlternateContent>
      </w:r>
      <w:r w:rsidRPr="001D6D10">
        <w:rPr>
          <w:rFonts w:ascii="ＭＳ 明朝" w:hAnsi="ＭＳ 明朝" w:hint="eastAsia"/>
          <w:noProof/>
          <w:sz w:val="22"/>
          <w:szCs w:val="22"/>
        </w:rPr>
        <mc:AlternateContent>
          <mc:Choice Requires="wps">
            <w:drawing>
              <wp:anchor distT="0" distB="0" distL="114300" distR="114300" simplePos="0" relativeHeight="252924928" behindDoc="0" locked="0" layoutInCell="1" allowOverlap="1" wp14:anchorId="65A9023A" wp14:editId="584B921E">
                <wp:simplePos x="0" y="0"/>
                <wp:positionH relativeFrom="column">
                  <wp:posOffset>3475990</wp:posOffset>
                </wp:positionH>
                <wp:positionV relativeFrom="paragraph">
                  <wp:posOffset>192405</wp:posOffset>
                </wp:positionV>
                <wp:extent cx="1943100" cy="457200"/>
                <wp:effectExtent l="19050" t="19050" r="19050" b="19050"/>
                <wp:wrapNone/>
                <wp:docPr id="96" name="AutoShape 204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943100" cy="457200"/>
                        </a:xfrm>
                        <a:prstGeom prst="roundRect">
                          <a:avLst>
                            <a:gd name="adj" fmla="val 16667"/>
                          </a:avLst>
                        </a:prstGeom>
                        <a:solidFill>
                          <a:srgbClr val="FFFFFF"/>
                        </a:solidFill>
                        <a:ln w="44450" cmpd="dbl">
                          <a:solidFill>
                            <a:srgbClr val="000000"/>
                          </a:solidFill>
                          <a:round/>
                          <a:headEnd/>
                          <a:tailEnd/>
                        </a:ln>
                      </wps:spPr>
                      <wps:txbx>
                        <w:txbxContent>
                          <w:p w14:paraId="019B95E5" w14:textId="77777777" w:rsidR="006A5267" w:rsidRDefault="006A5267" w:rsidP="005D372A">
                            <w:pPr>
                              <w:ind w:firstLineChars="100" w:firstLine="201"/>
                            </w:pPr>
                            <w:r w:rsidRPr="008C34B4">
                              <w:rPr>
                                <w:rFonts w:ascii="ＭＳ ゴシック" w:eastAsia="ＭＳ ゴシック" w:hAnsi="ＭＳ ゴシック" w:hint="eastAsia"/>
                                <w:sz w:val="20"/>
                                <w:szCs w:val="20"/>
                              </w:rPr>
                              <w:t>防災・危機管理</w:t>
                            </w:r>
                            <w:r>
                              <w:rPr>
                                <w:rFonts w:ascii="ＭＳ ゴシック" w:eastAsia="ＭＳ ゴシック" w:hAnsi="ＭＳ ゴシック" w:hint="eastAsia"/>
                                <w:sz w:val="20"/>
                                <w:szCs w:val="20"/>
                              </w:rPr>
                              <w:t>指令部</w:t>
                            </w:r>
                          </w:p>
                        </w:txbxContent>
                      </wps:txbx>
                      <wps:bodyPr rot="0" vert="horz" wrap="square" lIns="74295" tIns="8890" rIns="74295" bIns="8890" anchor="ctr" anchorCtr="0" upright="1">
                        <a:noAutofit/>
                      </wps:bodyPr>
                    </wps:wsp>
                  </a:graphicData>
                </a:graphic>
              </wp:anchor>
            </w:drawing>
          </mc:Choice>
          <mc:Fallback xmlns:w16cei="http://schemas.microsoft.com/office/word/2026/wordml/cei">
            <w:pict>
              <v:roundrect w14:anchorId="65A9023A" id="_x0000_s1096" style="position:absolute;left:0;text-align:left;margin-left:273.7pt;margin-top:15.15pt;width:153pt;height:36pt;z-index:252924928;visibility:visible;mso-wrap-style:square;mso-wrap-distance-left:9pt;mso-wrap-distance-top:0;mso-wrap-distance-right:9pt;mso-wrap-distance-bottom:0;mso-position-horizontal:absolute;mso-position-horizontal-relative:text;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" strokeweight="3.5pt">
                <v:stroke linestyle="thinThin"/>
                <v:textbox inset="5.85pt,.7pt,5.85pt,.7pt">
                  <w:txbxContent>
                    <w:p w14:paraId="019B95E5" w14:textId="77777777" w:rsidR="006A5267" w:rsidRDefault="006A5267" w:rsidP="005D372A">
                      <w:pPr>
                        <w:ind w:firstLineChars="100" w:firstLine="201"/>
                      </w:pPr>
                      <w:r w:rsidRPr="008C34B4">
                        <w:rPr>
                          <w:rFonts w:ascii="ＭＳ ゴシック" w:eastAsia="ＭＳ ゴシック" w:hAnsi="ＭＳ ゴシック" w:hint="eastAsia"/>
                          <w:sz w:val="20"/>
                          <w:szCs w:val="20"/>
                        </w:rPr>
                        <w:t>防災・危機管理</w:t>
                      </w:r>
                      <w:r>
                        <w:rPr>
                          <w:rFonts w:ascii="ＭＳ ゴシック" w:eastAsia="ＭＳ ゴシック" w:hAnsi="ＭＳ ゴシック" w:hint="eastAsia"/>
                          <w:sz w:val="20"/>
                          <w:szCs w:val="20"/>
                        </w:rPr>
                        <w:t>指令部</w:t>
                      </w:r>
                    </w:p>
                  </w:txbxContent>
                </v:textbox>
              </v:roundrect>
            </w:pict>
          </mc:Fallback>
        </mc:AlternateContent>
      </w:r>
    </w:p>
    <w:p w14:paraId="41E905E3" w14:textId="77777777" w:rsidR="005D372A" w:rsidRPr="001D6D10" w:rsidRDefault="005D372A" w:rsidP="005D372A">
      <w:pPr>
        <w:rPr>
          <w:rFonts w:ascii="ＭＳ 明朝" w:hAnsi="ＭＳ 明朝"/>
          <w:sz w:val="22"/>
          <w:szCs w:val="22"/>
        </w:rPr>
      </w:pPr>
      <w:r w:rsidRPr="001D6D10">
        <w:rPr>
          <w:rFonts w:ascii="ＭＳ 明朝" w:hAnsi="ＭＳ 明朝" w:hint="eastAsia"/>
          <w:noProof/>
          <w:sz w:val="22"/>
          <w:szCs w:val="22"/>
        </w:rPr>
        <mc:AlternateContent>
          <mc:Choice Requires="wps">
            <w:drawing>
              <wp:anchor distT="0" distB="0" distL="114300" distR="114300" simplePos="0" relativeHeight="252930048" behindDoc="0" locked="0" layoutInCell="1" allowOverlap="1" wp14:anchorId="3B1B8B46" wp14:editId="66317697">
                <wp:simplePos x="0" y="0"/>
                <wp:positionH relativeFrom="column">
                  <wp:posOffset>2961640</wp:posOffset>
                </wp:positionH>
                <wp:positionV relativeFrom="paragraph">
                  <wp:posOffset>196850</wp:posOffset>
                </wp:positionV>
                <wp:extent cx="504825" cy="0"/>
                <wp:effectExtent l="0" t="76200" r="28575" b="95250"/>
                <wp:wrapNone/>
                <wp:docPr id="100" name="直線矢印コネクタ 100"/>
                <wp:cNvGraphicFramePr/>
                <a:graphic xmlns:a="http://schemas.openxmlformats.org/drawingml/2006/main">
                  <a:graphicData uri="http://schemas.microsoft.com/office/word/2010/wordprocessingShape">
                    <wps:wsp>
                      <wps:cNvCnPr/>
                      <wps:spPr>
                        <a:xfrm>
                          <a:off x="0" y="0"/>
                          <a:ext cx="504825" cy="0"/>
                        </a:xfrm>
                        <a:prstGeom prst="straightConnector1">
                          <a:avLst/>
                        </a:prstGeom>
                        <a:noFill/>
                        <a:ln w="9525" cap="flat" cmpd="sng" algn="ctr">
                          <a:solidFill>
                            <a:sysClr val="windowText" lastClr="000000"/>
                          </a:solidFill>
                          <a:prstDash val="solid"/>
                          <a:tailEnd type="triangle"/>
                        </a:ln>
                        <a:effectLst/>
                      </wps:spPr>
                      <wps:bodyPr/>
                    </wps:wsp>
                  </a:graphicData>
                </a:graphic>
                <wp14:sizeRelH relativeFrom="margin">
                  <wp14:pctWidth>0</wp14:pctWidth>
                </wp14:sizeRelH>
              </wp:anchor>
            </w:drawing>
          </mc:Choice>
          <mc:Fallback xmlns:w16cei="http://schemas.microsoft.com/office/word/2026/wordml/cei">
            <w:pict>
              <v:shape w14:anchorId="3D8ADC0C" id="直線矢印コネクタ 100" o:spid="_x0000_s1026" type="#_x0000_t32" style="position:absolute;left:0;text-align:left;margin-left:233.2pt;margin-top:15.5pt;width:39.75pt;height:0;z-index:25293004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" strokecolor="windowText">
                <v:stroke endarrow="block"/>
              </v:shape>
            </w:pict>
          </mc:Fallback>
        </mc:AlternateContent>
      </w:r>
      <w:r w:rsidRPr="001D6D10">
        <w:rPr>
          <w:rFonts w:ascii="ＭＳ 明朝" w:hAnsi="ＭＳ 明朝" w:hint="eastAsia"/>
          <w:noProof/>
          <w:sz w:val="22"/>
          <w:szCs w:val="22"/>
        </w:rPr>
        <mc:AlternateContent>
          <mc:Choice Requires="wps">
            <w:drawing>
              <wp:anchor distT="0" distB="0" distL="114300" distR="114300" simplePos="0" relativeHeight="252928000" behindDoc="0" locked="0" layoutInCell="1" allowOverlap="1" wp14:anchorId="5B92D40F" wp14:editId="129F7C10">
                <wp:simplePos x="0" y="0"/>
                <wp:positionH relativeFrom="column">
                  <wp:posOffset>2094865</wp:posOffset>
                </wp:positionH>
                <wp:positionV relativeFrom="paragraph">
                  <wp:posOffset>196850</wp:posOffset>
                </wp:positionV>
                <wp:extent cx="504825" cy="0"/>
                <wp:effectExtent l="0" t="76200" r="28575" b="95250"/>
                <wp:wrapNone/>
                <wp:docPr id="99" name="直線矢印コネクタ 99"/>
                <wp:cNvGraphicFramePr/>
                <a:graphic xmlns:a="http://schemas.openxmlformats.org/drawingml/2006/main">
                  <a:graphicData uri="http://schemas.microsoft.com/office/word/2010/wordprocessingShape">
                    <wps:wsp>
                      <wps:cNvCnPr/>
                      <wps:spPr>
                        <a:xfrm>
                          <a:off x="0" y="0"/>
                          <a:ext cx="504825" cy="0"/>
                        </a:xfrm>
                        <a:prstGeom prst="straightConnector1">
                          <a:avLst/>
                        </a:prstGeom>
                        <a:noFill/>
                        <a:ln w="9525" cap="flat" cmpd="sng" algn="ctr">
                          <a:solidFill>
                            <a:sysClr val="windowText" lastClr="000000"/>
                          </a:solidFill>
                          <a:prstDash val="solid"/>
                          <a:tailEnd type="triangle"/>
                        </a:ln>
                        <a:effectLst/>
                      </wps:spPr>
                      <wps:bodyPr/>
                    </wps:wsp>
                  </a:graphicData>
                </a:graphic>
                <wp14:sizeRelH relativeFrom="margin">
                  <wp14:pctWidth>0</wp14:pctWidth>
                </wp14:sizeRelH>
              </wp:anchor>
            </w:drawing>
          </mc:Choice>
          <mc:Fallback xmlns:w16cei="http://schemas.microsoft.com/office/word/2026/wordml/cei">
            <w:pict>
              <v:shape w14:anchorId="70106966" id="直線矢印コネクタ 99" o:spid="_x0000_s1026" type="#_x0000_t32" style="position:absolute;left:0;text-align:left;margin-left:164.95pt;margin-top:15.5pt;width:39.75pt;height:0;z-index:25292800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" strokecolor="windowText">
                <v:stroke endarrow="block"/>
              </v:shape>
            </w:pict>
          </mc:Fallback>
        </mc:AlternateContent>
      </w:r>
    </w:p>
    <w:p w14:paraId="2393B6A6" w14:textId="77777777" w:rsidR="005D372A" w:rsidRPr="001D6D10" w:rsidRDefault="005D372A" w:rsidP="005D372A">
      <w:pPr>
        <w:rPr>
          <w:rFonts w:ascii="ＭＳ 明朝" w:hAnsi="ＭＳ 明朝"/>
          <w:sz w:val="22"/>
          <w:szCs w:val="22"/>
        </w:rPr>
      </w:pPr>
      <w:r w:rsidRPr="001D6D10">
        <w:rPr>
          <w:rFonts w:ascii="ＭＳ 明朝" w:hAnsi="ＭＳ 明朝" w:hint="eastAsia"/>
          <w:noProof/>
          <w:sz w:val="22"/>
          <w:szCs w:val="22"/>
        </w:rPr>
        <mc:AlternateContent>
          <mc:Choice Requires="wps">
            <w:drawing>
              <wp:anchor distT="0" distB="0" distL="114300" distR="114300" simplePos="0" relativeHeight="252932096" behindDoc="0" locked="0" layoutInCell="1" allowOverlap="1" wp14:anchorId="26640E11" wp14:editId="0B67394C">
                <wp:simplePos x="0" y="0"/>
                <wp:positionH relativeFrom="column">
                  <wp:posOffset>2914015</wp:posOffset>
                </wp:positionH>
                <wp:positionV relativeFrom="paragraph">
                  <wp:posOffset>20320</wp:posOffset>
                </wp:positionV>
                <wp:extent cx="457200" cy="781050"/>
                <wp:effectExtent l="0" t="0" r="0" b="0"/>
                <wp:wrapNone/>
                <wp:docPr id="4818" name="Text Box 208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57200" cy="781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1B99A42" w14:textId="77777777" w:rsidR="006A5267" w:rsidRPr="00A80169" w:rsidRDefault="006A5267" w:rsidP="005D372A">
                            <w:pPr>
                              <w:rPr>
                                <w:rFonts w:ascii="ＭＳ 明朝" w:hAnsi="ＭＳ 明朝"/>
                                <w:szCs w:val="21"/>
                              </w:rPr>
                            </w:pPr>
                            <w:r>
                              <w:rPr>
                                <w:rFonts w:ascii="ＭＳ 明朝" w:hAnsi="ＭＳ 明朝" w:hint="eastAsia"/>
                                <w:szCs w:val="21"/>
                              </w:rPr>
                              <w:t>体制移行</w:t>
                            </w:r>
                          </w:p>
                        </w:txbxContent>
                      </wps:txbx>
                      <wps:bodyPr rot="0" vert="eaVert"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shape w14:anchorId="26640E11" id="_x0000_s1097" type="#_x0000_t202" style="position:absolute;left:0;text-align:left;margin-left:229.45pt;margin-top:1.6pt;width:36pt;height:61.5pt;z-index:2529320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" filled="f" stroked="f">
                <v:textbox style="layout-flow:vertical-ideographic" inset="5.85pt,.7pt,5.85pt,.7pt">
                  <w:txbxContent>
                    <w:p w14:paraId="41B99A42" w14:textId="77777777" w:rsidR="006A5267" w:rsidRPr="00A80169" w:rsidRDefault="006A5267" w:rsidP="005D372A">
                      <w:pPr>
                        <w:rPr>
                          <w:rFonts w:ascii="ＭＳ 明朝" w:hAnsi="ＭＳ 明朝"/>
                          <w:szCs w:val="21"/>
                        </w:rPr>
                      </w:pPr>
                      <w:r>
                        <w:rPr>
                          <w:rFonts w:ascii="ＭＳ 明朝" w:hAnsi="ＭＳ 明朝" w:hint="eastAsia"/>
                          <w:szCs w:val="21"/>
                        </w:rPr>
                        <w:t>体制移行</w:t>
                      </w:r>
                    </w:p>
                  </w:txbxContent>
                </v:textbox>
              </v:shape>
            </w:pict>
          </mc:Fallback>
        </mc:AlternateContent>
      </w:r>
      <w:r w:rsidRPr="001D6D10">
        <w:rPr>
          <w:rFonts w:ascii="ＭＳ 明朝" w:hAnsi="ＭＳ 明朝" w:hint="eastAsia"/>
          <w:noProof/>
          <w:sz w:val="22"/>
          <w:szCs w:val="22"/>
        </w:rPr>
        <mc:AlternateContent>
          <mc:Choice Requires="wps">
            <w:drawing>
              <wp:anchor distT="0" distB="0" distL="114300" distR="114300" simplePos="0" relativeHeight="252931072" behindDoc="0" locked="0" layoutInCell="1" allowOverlap="1" wp14:anchorId="28701386" wp14:editId="120DD707">
                <wp:simplePos x="0" y="0"/>
                <wp:positionH relativeFrom="column">
                  <wp:posOffset>2075815</wp:posOffset>
                </wp:positionH>
                <wp:positionV relativeFrom="paragraph">
                  <wp:posOffset>20320</wp:posOffset>
                </wp:positionV>
                <wp:extent cx="457200" cy="781050"/>
                <wp:effectExtent l="0" t="0" r="0" b="0"/>
                <wp:wrapNone/>
                <wp:docPr id="4819" name="Text Box 208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57200" cy="781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B0B0989" w14:textId="77777777" w:rsidR="006A5267" w:rsidRPr="00A80169" w:rsidRDefault="006A5267" w:rsidP="005D372A">
                            <w:pPr>
                              <w:rPr>
                                <w:rFonts w:ascii="ＭＳ 明朝" w:hAnsi="ＭＳ 明朝"/>
                                <w:szCs w:val="21"/>
                              </w:rPr>
                            </w:pPr>
                            <w:r w:rsidRPr="00A80169">
                              <w:rPr>
                                <w:rFonts w:ascii="ＭＳ 明朝" w:hAnsi="ＭＳ 明朝" w:hint="eastAsia"/>
                                <w:szCs w:val="21"/>
                              </w:rPr>
                              <w:t>連絡</w:t>
                            </w:r>
                          </w:p>
                        </w:txbxContent>
                      </wps:txbx>
                      <wps:bodyPr rot="0" vert="eaVert"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shape w14:anchorId="28701386" id="_x0000_s1098" type="#_x0000_t202" style="position:absolute;left:0;text-align:left;margin-left:163.45pt;margin-top:1.6pt;width:36pt;height:61.5pt;z-index:2529310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" filled="f" stroked="f">
                <v:textbox style="layout-flow:vertical-ideographic" inset="5.85pt,.7pt,5.85pt,.7pt">
                  <w:txbxContent>
                    <w:p w14:paraId="5B0B0989" w14:textId="77777777" w:rsidR="006A5267" w:rsidRPr="00A80169" w:rsidRDefault="006A5267" w:rsidP="005D372A">
                      <w:pPr>
                        <w:rPr>
                          <w:rFonts w:ascii="ＭＳ 明朝" w:hAnsi="ＭＳ 明朝"/>
                          <w:szCs w:val="21"/>
                        </w:rPr>
                      </w:pPr>
                      <w:r w:rsidRPr="00A80169">
                        <w:rPr>
                          <w:rFonts w:ascii="ＭＳ 明朝" w:hAnsi="ＭＳ 明朝" w:hint="eastAsia"/>
                          <w:szCs w:val="21"/>
                        </w:rPr>
                        <w:t>連絡</w:t>
                      </w:r>
                    </w:p>
                  </w:txbxContent>
                </v:textbox>
              </v:shape>
            </w:pict>
          </mc:Fallback>
        </mc:AlternateContent>
      </w:r>
    </w:p>
    <w:p w14:paraId="74D2C855" w14:textId="77777777" w:rsidR="005D372A" w:rsidRPr="001D6D10" w:rsidRDefault="005D372A" w:rsidP="005D372A">
      <w:pPr>
        <w:rPr>
          <w:rFonts w:ascii="ＭＳ 明朝" w:hAnsi="ＭＳ 明朝"/>
          <w:sz w:val="22"/>
          <w:szCs w:val="22"/>
        </w:rPr>
      </w:pPr>
      <w:r w:rsidRPr="001D6D10">
        <w:rPr>
          <w:rFonts w:ascii="ＭＳ 明朝" w:hAnsi="ＭＳ 明朝" w:hint="eastAsia"/>
          <w:noProof/>
          <w:sz w:val="22"/>
          <w:szCs w:val="22"/>
        </w:rPr>
        <mc:AlternateContent>
          <mc:Choice Requires="wps">
            <w:drawing>
              <wp:anchor distT="0" distB="0" distL="114300" distR="114300" simplePos="0" relativeHeight="252934144" behindDoc="0" locked="0" layoutInCell="1" allowOverlap="1" wp14:anchorId="7F9478FC" wp14:editId="37FEE6C9">
                <wp:simplePos x="0" y="0"/>
                <wp:positionH relativeFrom="column">
                  <wp:posOffset>4603750</wp:posOffset>
                </wp:positionH>
                <wp:positionV relativeFrom="paragraph">
                  <wp:posOffset>215900</wp:posOffset>
                </wp:positionV>
                <wp:extent cx="457200" cy="228600"/>
                <wp:effectExtent l="0" t="0" r="0" b="0"/>
                <wp:wrapNone/>
                <wp:docPr id="105" name="Text Box 208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57200" cy="2286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3C59729" w14:textId="77777777" w:rsidR="006A5267" w:rsidRPr="00A80169" w:rsidRDefault="006A5267" w:rsidP="005D372A">
                            <w:pPr>
                              <w:rPr>
                                <w:rFonts w:ascii="ＭＳ 明朝" w:hAnsi="ＭＳ 明朝"/>
                                <w:szCs w:val="21"/>
                              </w:rPr>
                            </w:pPr>
                            <w:r>
                              <w:rPr>
                                <w:rFonts w:ascii="ＭＳ 明朝" w:hAnsi="ＭＳ 明朝" w:hint="eastAsia"/>
                                <w:szCs w:val="21"/>
                              </w:rPr>
                              <w:t>連携</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shape w14:anchorId="7F9478FC" id="_x0000_s1099" type="#_x0000_t202" style="position:absolute;left:0;text-align:left;margin-left:362.5pt;margin-top:17pt;width:36pt;height:18pt;z-index:2529341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" filled="f" stroked="f">
                <v:textbox inset="5.85pt,.7pt,5.85pt,.7pt">
                  <w:txbxContent>
                    <w:p w14:paraId="43C59729" w14:textId="77777777" w:rsidR="006A5267" w:rsidRPr="00A80169" w:rsidRDefault="006A5267" w:rsidP="005D372A">
                      <w:pPr>
                        <w:rPr>
                          <w:rFonts w:ascii="ＭＳ 明朝" w:hAnsi="ＭＳ 明朝"/>
                          <w:szCs w:val="21"/>
                        </w:rPr>
                      </w:pPr>
                      <w:r>
                        <w:rPr>
                          <w:rFonts w:ascii="ＭＳ 明朝" w:hAnsi="ＭＳ 明朝" w:hint="eastAsia"/>
                          <w:szCs w:val="21"/>
                        </w:rPr>
                        <w:t>連携</w:t>
                      </w:r>
                    </w:p>
                  </w:txbxContent>
                </v:textbox>
              </v:shape>
            </w:pict>
          </mc:Fallback>
        </mc:AlternateContent>
      </w:r>
      <w:r w:rsidRPr="001D6D10">
        <w:rPr>
          <w:rFonts w:ascii="ＭＳ 明朝" w:hAnsi="ＭＳ 明朝" w:hint="eastAsia"/>
          <w:noProof/>
          <w:sz w:val="22"/>
          <w:szCs w:val="22"/>
        </w:rPr>
        <mc:AlternateContent>
          <mc:Choice Requires="wps">
            <w:drawing>
              <wp:anchor distT="0" distB="0" distL="114300" distR="114300" simplePos="0" relativeHeight="252933120" behindDoc="0" locked="0" layoutInCell="1" allowOverlap="1" wp14:anchorId="52DC8758" wp14:editId="48E86C2F">
                <wp:simplePos x="0" y="0"/>
                <wp:positionH relativeFrom="column">
                  <wp:posOffset>3822700</wp:posOffset>
                </wp:positionH>
                <wp:positionV relativeFrom="paragraph">
                  <wp:posOffset>215900</wp:posOffset>
                </wp:positionV>
                <wp:extent cx="457200" cy="228600"/>
                <wp:effectExtent l="0" t="0" r="0" b="0"/>
                <wp:wrapNone/>
                <wp:docPr id="104" name="Text Box 208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57200" cy="2286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4759B0C" w14:textId="77777777" w:rsidR="006A5267" w:rsidRPr="00A80169" w:rsidRDefault="006A5267" w:rsidP="005D372A">
                            <w:pPr>
                              <w:rPr>
                                <w:rFonts w:ascii="ＭＳ 明朝" w:hAnsi="ＭＳ 明朝"/>
                                <w:szCs w:val="21"/>
                              </w:rPr>
                            </w:pPr>
                            <w:r w:rsidRPr="00A80169">
                              <w:rPr>
                                <w:rFonts w:ascii="ＭＳ 明朝" w:hAnsi="ＭＳ 明朝" w:hint="eastAsia"/>
                                <w:szCs w:val="21"/>
                              </w:rPr>
                              <w:t>連絡</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shape w14:anchorId="52DC8758" id="_x0000_s1100" type="#_x0000_t202" style="position:absolute;left:0;text-align:left;margin-left:301pt;margin-top:17pt;width:36pt;height:18pt;z-index:2529331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" filled="f" stroked="f">
                <v:textbox inset="5.85pt,.7pt,5.85pt,.7pt">
                  <w:txbxContent>
                    <w:p w14:paraId="04759B0C" w14:textId="77777777" w:rsidR="006A5267" w:rsidRPr="00A80169" w:rsidRDefault="006A5267" w:rsidP="005D372A">
                      <w:pPr>
                        <w:rPr>
                          <w:rFonts w:ascii="ＭＳ 明朝" w:hAnsi="ＭＳ 明朝"/>
                          <w:szCs w:val="21"/>
                        </w:rPr>
                      </w:pPr>
                      <w:r w:rsidRPr="00A80169">
                        <w:rPr>
                          <w:rFonts w:ascii="ＭＳ 明朝" w:hAnsi="ＭＳ 明朝" w:hint="eastAsia"/>
                          <w:szCs w:val="21"/>
                        </w:rPr>
                        <w:t>連絡</w:t>
                      </w:r>
                    </w:p>
                  </w:txbxContent>
                </v:textbox>
              </v:shape>
            </w:pict>
          </mc:Fallback>
        </mc:AlternateContent>
      </w:r>
      <w:r w:rsidRPr="001D6D10">
        <w:rPr>
          <w:rFonts w:ascii="ＭＳ 明朝" w:hAnsi="ＭＳ 明朝" w:hint="eastAsia"/>
          <w:noProof/>
          <w:sz w:val="22"/>
          <w:szCs w:val="22"/>
        </w:rPr>
        <mc:AlternateContent>
          <mc:Choice Requires="wps">
            <w:drawing>
              <wp:anchor distT="0" distB="0" distL="114300" distR="114300" simplePos="0" relativeHeight="252925952" behindDoc="0" locked="0" layoutInCell="1" allowOverlap="1" wp14:anchorId="6B68BC9B" wp14:editId="178B25A3">
                <wp:simplePos x="0" y="0"/>
                <wp:positionH relativeFrom="column">
                  <wp:posOffset>4152265</wp:posOffset>
                </wp:positionH>
                <wp:positionV relativeFrom="paragraph">
                  <wp:posOffset>92075</wp:posOffset>
                </wp:positionV>
                <wp:extent cx="571500" cy="485775"/>
                <wp:effectExtent l="38100" t="19050" r="19050" b="47625"/>
                <wp:wrapNone/>
                <wp:docPr id="97" name="AutoShape 204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71500" cy="485775"/>
                        </a:xfrm>
                        <a:prstGeom prst="upDownArrow">
                          <a:avLst>
                            <a:gd name="adj1" fmla="val 50000"/>
                            <a:gd name="adj2" fmla="val 24000"/>
                          </a:avLst>
                        </a:prstGeom>
                        <a:solidFill>
                          <a:srgbClr val="FFFFFF"/>
                        </a:solidFill>
                        <a:ln w="9525">
                          <a:solidFill>
                            <a:srgbClr val="000000"/>
                          </a:solidFill>
                          <a:miter lim="800000"/>
                          <a:headEnd/>
                          <a:tailEnd/>
                        </a:ln>
                      </wps:spPr>
                      <wps:bodyPr rot="0" vert="horz" wrap="square" lIns="74295" tIns="8890" rIns="74295" bIns="8890" anchor="t" anchorCtr="0" upright="1">
                        <a:noAutofit/>
                      </wps:bodyPr>
                    </wps:wsp>
                  </a:graphicData>
                </a:graphic>
                <wp14:sizeRelV relativeFrom="margin">
                  <wp14:pctHeight>0</wp14:pctHeight>
                </wp14:sizeRelV>
              </wp:anchor>
            </w:drawing>
          </mc:Choice>
          <mc:Fallback xmlns:w16cei="http://schemas.microsoft.com/office/word/2026/wordml/cei">
            <w:pict>
              <v:shape w14:anchorId="20E40F7E" id="AutoShape 2041" o:spid="_x0000_s1026" type="#_x0000_t70" style="position:absolute;left:0;text-align:left;margin-left:326.95pt;margin-top:7.25pt;width:45pt;height:38.25pt;z-index:25292595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" adj=",5184">
                <v:textbox inset="5.85pt,.7pt,5.85pt,.7pt"/>
              </v:shape>
            </w:pict>
          </mc:Fallback>
        </mc:AlternateContent>
      </w:r>
    </w:p>
    <w:p w14:paraId="555C5066" w14:textId="77777777" w:rsidR="005D372A" w:rsidRPr="001D6D10" w:rsidRDefault="005D372A" w:rsidP="005D372A">
      <w:pPr>
        <w:rPr>
          <w:rFonts w:ascii="ＭＳ 明朝" w:hAnsi="ＭＳ 明朝"/>
          <w:sz w:val="22"/>
          <w:szCs w:val="22"/>
        </w:rPr>
      </w:pPr>
    </w:p>
    <w:p w14:paraId="51854C12" w14:textId="0E80F75C" w:rsidR="005D372A" w:rsidRPr="001D6D10" w:rsidRDefault="00916BEF" w:rsidP="005D372A">
      <w:pPr>
        <w:rPr>
          <w:rFonts w:ascii="ＭＳ 明朝" w:hAnsi="ＭＳ 明朝"/>
          <w:sz w:val="22"/>
          <w:szCs w:val="22"/>
        </w:rPr>
      </w:pPr>
      <w:r w:rsidRPr="001D6D10">
        <w:rPr>
          <w:rFonts w:ascii="ＭＳ 明朝" w:hAnsi="ＭＳ 明朝" w:hint="eastAsia"/>
          <w:noProof/>
          <w:sz w:val="22"/>
          <w:szCs w:val="22"/>
        </w:rPr>
        <mc:AlternateContent>
          <mc:Choice Requires="wps">
            <w:drawing>
              <wp:anchor distT="0" distB="0" distL="114300" distR="114300" simplePos="0" relativeHeight="252926976" behindDoc="0" locked="0" layoutInCell="1" allowOverlap="1" wp14:anchorId="4312AB2A" wp14:editId="6B554090">
                <wp:simplePos x="0" y="0"/>
                <wp:positionH relativeFrom="column">
                  <wp:posOffset>3475990</wp:posOffset>
                </wp:positionH>
                <wp:positionV relativeFrom="paragraph">
                  <wp:posOffset>222250</wp:posOffset>
                </wp:positionV>
                <wp:extent cx="1943100" cy="342900"/>
                <wp:effectExtent l="19050" t="19050" r="19050" b="19050"/>
                <wp:wrapNone/>
                <wp:docPr id="98" name="AutoShape 203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943100" cy="342900"/>
                        </a:xfrm>
                        <a:prstGeom prst="roundRect">
                          <a:avLst>
                            <a:gd name="adj" fmla="val 16667"/>
                          </a:avLst>
                        </a:prstGeom>
                        <a:solidFill>
                          <a:srgbClr val="FFFFFF"/>
                        </a:solidFill>
                        <a:ln w="44450" cmpd="thinThick">
                          <a:solidFill>
                            <a:srgbClr val="000000"/>
                          </a:solidFill>
                          <a:round/>
                          <a:headEnd/>
                          <a:tailEnd/>
                        </a:ln>
                      </wps:spPr>
                      <wps:txbx>
                        <w:txbxContent>
                          <w:p w14:paraId="0FBA51C9" w14:textId="77777777" w:rsidR="006A5267" w:rsidRDefault="006A5267" w:rsidP="005D372A">
                            <w:pPr>
                              <w:jc w:val="center"/>
                            </w:pPr>
                            <w:r>
                              <w:rPr>
                                <w:rFonts w:ascii="ＭＳ ゴシック" w:eastAsia="ＭＳ ゴシック" w:hAnsi="ＭＳ ゴシック" w:hint="eastAsia"/>
                                <w:sz w:val="20"/>
                                <w:szCs w:val="20"/>
                              </w:rPr>
                              <w:t>地域情報班</w:t>
                            </w:r>
                          </w:p>
                        </w:txbxContent>
                      </wps:txbx>
                      <wps:bodyPr rot="0" vert="horz" wrap="square" lIns="74295" tIns="8890" rIns="74295" bIns="8890" anchor="ctr" anchorCtr="0" upright="1">
                        <a:noAutofit/>
                      </wps:bodyPr>
                    </wps:wsp>
                  </a:graphicData>
                </a:graphic>
              </wp:anchor>
            </w:drawing>
          </mc:Choice>
          <mc:Fallback xmlns:w16cei="http://schemas.microsoft.com/office/word/2026/wordml/cei">
            <w:pict>
              <v:roundrect w14:anchorId="4312AB2A" id="_x0000_s1101" style="position:absolute;left:0;text-align:left;margin-left:273.7pt;margin-top:17.5pt;width:153pt;height:27pt;z-index:252926976;visibility:visible;mso-wrap-style:square;mso-wrap-distance-left:9pt;mso-wrap-distance-top:0;mso-wrap-distance-right:9pt;mso-wrap-distance-bottom:0;mso-position-horizontal:absolute;mso-position-horizontal-relative:text;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" strokeweight="3.5pt">
                <v:stroke linestyle="thinThick"/>
                <v:textbox inset="5.85pt,.7pt,5.85pt,.7pt">
                  <w:txbxContent>
                    <w:p w14:paraId="0FBA51C9" w14:textId="77777777" w:rsidR="006A5267" w:rsidRDefault="006A5267" w:rsidP="005D372A">
                      <w:pPr>
                        <w:jc w:val="center"/>
                      </w:pPr>
                      <w:r>
                        <w:rPr>
                          <w:rFonts w:ascii="ＭＳ ゴシック" w:eastAsia="ＭＳ ゴシック" w:hAnsi="ＭＳ ゴシック" w:hint="eastAsia"/>
                          <w:sz w:val="20"/>
                          <w:szCs w:val="20"/>
                        </w:rPr>
                        <w:t>地域情報班</w:t>
                      </w:r>
                    </w:p>
                  </w:txbxContent>
                </v:textbox>
              </v:roundrect>
            </w:pict>
          </mc:Fallback>
        </mc:AlternateContent>
      </w:r>
    </w:p>
    <w:p w14:paraId="5C428EF0" w14:textId="77777777" w:rsidR="005D372A" w:rsidRPr="001D6D10" w:rsidRDefault="005D372A" w:rsidP="005D372A">
      <w:r w:rsidRPr="001D6D10">
        <w:rPr>
          <w:rFonts w:hint="eastAsia"/>
        </w:rPr>
        <w:lastRenderedPageBreak/>
        <w:t>（３）活動基準ウの場合</w:t>
      </w:r>
    </w:p>
    <w:p w14:paraId="00726635" w14:textId="77777777" w:rsidR="005D372A" w:rsidRPr="001D6D10" w:rsidRDefault="005D372A" w:rsidP="005D372A">
      <w:pPr>
        <w:rPr>
          <w:rFonts w:ascii="ＭＳ 明朝" w:hAnsi="ＭＳ 明朝"/>
          <w:sz w:val="22"/>
          <w:szCs w:val="22"/>
        </w:rPr>
      </w:pPr>
      <w:r w:rsidRPr="001D6D10">
        <w:rPr>
          <w:rFonts w:ascii="ＭＳ 明朝" w:hAnsi="ＭＳ 明朝" w:hint="eastAsia"/>
          <w:noProof/>
          <w:sz w:val="22"/>
          <w:szCs w:val="22"/>
        </w:rPr>
        <mc:AlternateContent>
          <mc:Choice Requires="wps">
            <w:drawing>
              <wp:anchor distT="0" distB="0" distL="114300" distR="114300" simplePos="0" relativeHeight="252950528" behindDoc="0" locked="0" layoutInCell="1" allowOverlap="1" wp14:anchorId="5155CEA3" wp14:editId="4D4835B6">
                <wp:simplePos x="0" y="0"/>
                <wp:positionH relativeFrom="margin">
                  <wp:align>center</wp:align>
                </wp:positionH>
                <wp:positionV relativeFrom="paragraph">
                  <wp:posOffset>5667</wp:posOffset>
                </wp:positionV>
                <wp:extent cx="352425" cy="1485900"/>
                <wp:effectExtent l="0" t="0" r="28575" b="19050"/>
                <wp:wrapNone/>
                <wp:docPr id="255" name="AutoShape 203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52425" cy="1485900"/>
                        </a:xfrm>
                        <a:prstGeom prst="roundRect">
                          <a:avLst>
                            <a:gd name="adj" fmla="val 16667"/>
                          </a:avLst>
                        </a:prstGeom>
                        <a:solidFill>
                          <a:srgbClr val="FFFFFF"/>
                        </a:solidFill>
                        <a:ln w="3175">
                          <a:solidFill>
                            <a:srgbClr val="000000"/>
                          </a:solidFill>
                          <a:round/>
                          <a:headEnd/>
                          <a:tailEnd/>
                        </a:ln>
                      </wps:spPr>
                      <wps:txbx>
                        <w:txbxContent>
                          <w:p w14:paraId="2EADF1BF" w14:textId="77777777" w:rsidR="006A5267" w:rsidRPr="00C04146" w:rsidRDefault="006A5267" w:rsidP="005D372A">
                            <w:pPr>
                              <w:jc w:val="center"/>
                              <w:rPr>
                                <w:rFonts w:ascii="ＭＳ ゴシック" w:eastAsia="ＭＳ ゴシック" w:hAnsi="ＭＳ ゴシック"/>
                                <w:sz w:val="20"/>
                                <w:szCs w:val="20"/>
                              </w:rPr>
                            </w:pPr>
                            <w:r w:rsidRPr="00C04146">
                              <w:rPr>
                                <w:rFonts w:ascii="ＭＳ ゴシック" w:eastAsia="ＭＳ ゴシック" w:hAnsi="ＭＳ ゴシック" w:hint="eastAsia"/>
                                <w:sz w:val="20"/>
                                <w:szCs w:val="20"/>
                              </w:rPr>
                              <w:t>防災・危機管理警戒班</w:t>
                            </w:r>
                          </w:p>
                        </w:txbxContent>
                      </wps:txbx>
                      <wps:bodyPr rot="0" vert="eaVert" wrap="square" lIns="0" tIns="8890" rIns="0" bIns="8890" anchor="ctr" anchorCtr="0" upright="1">
                        <a:noAutofit/>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roundrect w14:anchorId="5155CEA3" id="_x0000_s1102" style="position:absolute;left:0;text-align:left;margin-left:0;margin-top:.45pt;width:27.75pt;height:117pt;z-index:252950528;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page;mso-height-relative:page;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" strokeweight=".25pt">
                <v:textbox style="layout-flow:vertical-ideographic" inset="0,.7pt,0,.7pt">
                  <w:txbxContent>
                    <w:p w14:paraId="2EADF1BF" w14:textId="77777777" w:rsidR="006A5267" w:rsidRPr="00C04146" w:rsidRDefault="006A5267" w:rsidP="005D372A">
                      <w:pPr>
                        <w:jc w:val="center"/>
                        <w:rPr>
                          <w:rFonts w:ascii="ＭＳ ゴシック" w:eastAsia="ＭＳ ゴシック" w:hAnsi="ＭＳ ゴシック"/>
                          <w:sz w:val="20"/>
                          <w:szCs w:val="20"/>
                        </w:rPr>
                      </w:pPr>
                      <w:r w:rsidRPr="00C04146">
                        <w:rPr>
                          <w:rFonts w:ascii="ＭＳ ゴシック" w:eastAsia="ＭＳ ゴシック" w:hAnsi="ＭＳ ゴシック" w:hint="eastAsia"/>
                          <w:sz w:val="20"/>
                          <w:szCs w:val="20"/>
                        </w:rPr>
                        <w:t>防災・危機管理警戒班</w:t>
                      </w:r>
                    </w:p>
                  </w:txbxContent>
                </v:textbox>
                <w10:wrap anchorx="margin"/>
              </v:roundrect>
            </w:pict>
          </mc:Fallback>
        </mc:AlternateContent>
      </w:r>
      <w:r w:rsidRPr="001D6D10">
        <w:rPr>
          <w:rFonts w:ascii="ＭＳ 明朝" w:hAnsi="ＭＳ 明朝"/>
          <w:noProof/>
          <w:sz w:val="22"/>
          <w:szCs w:val="22"/>
        </w:rPr>
        <mc:AlternateContent>
          <mc:Choice Requires="wps">
            <w:drawing>
              <wp:anchor distT="0" distB="0" distL="114300" distR="114300" simplePos="0" relativeHeight="252940288" behindDoc="0" locked="0" layoutInCell="1" allowOverlap="1" wp14:anchorId="6B27AAC2" wp14:editId="66416CF1">
                <wp:simplePos x="0" y="0"/>
                <wp:positionH relativeFrom="column">
                  <wp:posOffset>-10160</wp:posOffset>
                </wp:positionH>
                <wp:positionV relativeFrom="paragraph">
                  <wp:posOffset>78105</wp:posOffset>
                </wp:positionV>
                <wp:extent cx="2110105" cy="685800"/>
                <wp:effectExtent l="0" t="0" r="23495" b="19050"/>
                <wp:wrapNone/>
                <wp:docPr id="4469" name="AutoShape 203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10105" cy="685800"/>
                        </a:xfrm>
                        <a:prstGeom prst="roundRect">
                          <a:avLst>
                            <a:gd name="adj" fmla="val 16667"/>
                          </a:avLst>
                        </a:prstGeom>
                        <a:solidFill>
                          <a:srgbClr val="FFFFFF"/>
                        </a:solidFill>
                        <a:ln w="9525">
                          <a:solidFill>
                            <a:srgbClr val="000000"/>
                          </a:solidFill>
                          <a:round/>
                          <a:headEnd/>
                          <a:tailEnd/>
                        </a:ln>
                      </wps:spPr>
                      <wps:txbx>
                        <w:txbxContent>
                          <w:p w14:paraId="7D1DE478" w14:textId="77777777" w:rsidR="006A5267" w:rsidRPr="003A3484" w:rsidRDefault="006A5267" w:rsidP="005D372A">
                            <w:pPr>
                              <w:ind w:firstLineChars="100" w:firstLine="201"/>
                              <w:rPr>
                                <w:rFonts w:ascii="ＭＳ ゴシック" w:eastAsia="ＭＳ ゴシック" w:hAnsi="ＭＳ ゴシック"/>
                                <w:color w:val="000000" w:themeColor="text1"/>
                                <w:sz w:val="20"/>
                                <w:szCs w:val="20"/>
                              </w:rPr>
                            </w:pPr>
                            <w:r w:rsidRPr="003A3484">
                              <w:rPr>
                                <w:rFonts w:ascii="ＭＳ ゴシック" w:eastAsia="ＭＳ ゴシック" w:hAnsi="ＭＳ ゴシック" w:hint="eastAsia"/>
                                <w:color w:val="000000" w:themeColor="text1"/>
                                <w:sz w:val="20"/>
                                <w:szCs w:val="20"/>
                              </w:rPr>
                              <w:t>時間内：危機管理室他</w:t>
                            </w:r>
                          </w:p>
                          <w:p w14:paraId="7ED2CE25" w14:textId="77777777" w:rsidR="006A5267" w:rsidRPr="003A3484" w:rsidRDefault="006A5267" w:rsidP="005D372A">
                            <w:pPr>
                              <w:ind w:firstLineChars="100" w:firstLine="201"/>
                              <w:rPr>
                                <w:rFonts w:ascii="ＭＳ ゴシック" w:eastAsia="ＭＳ ゴシック" w:hAnsi="ＭＳ ゴシック"/>
                                <w:color w:val="000000" w:themeColor="text1"/>
                                <w:sz w:val="20"/>
                                <w:szCs w:val="20"/>
                              </w:rPr>
                            </w:pPr>
                            <w:r w:rsidRPr="003A3484">
                              <w:rPr>
                                <w:rFonts w:ascii="ＭＳ ゴシック" w:eastAsia="ＭＳ ゴシック" w:hAnsi="ＭＳ ゴシック" w:hint="eastAsia"/>
                                <w:color w:val="000000" w:themeColor="text1"/>
                                <w:sz w:val="20"/>
                                <w:szCs w:val="20"/>
                              </w:rPr>
                              <w:t>時間外：防災・危機管理当直</w:t>
                            </w:r>
                          </w:p>
                        </w:txbxContent>
                      </wps:txbx>
                      <wps:bodyPr rot="0" vert="horz" wrap="square" lIns="74295" tIns="8890" rIns="74295" bIns="8890" anchor="ctr" anchorCtr="0" upright="1">
                        <a:noAutofit/>
                      </wps:bodyPr>
                    </wps:wsp>
                  </a:graphicData>
                </a:graphic>
              </wp:anchor>
            </w:drawing>
          </mc:Choice>
          <mc:Fallback xmlns:w16cei="http://schemas.microsoft.com/office/word/2026/wordml/cei">
            <w:pict>
              <v:roundrect w14:anchorId="6B27AAC2" id="_x0000_s1103" style="position:absolute;left:0;text-align:left;margin-left:-.8pt;margin-top:6.15pt;width:166.15pt;height:54pt;z-index:252940288;visibility:visible;mso-wrap-style:square;mso-wrap-distance-left:9pt;mso-wrap-distance-top:0;mso-wrap-distance-right:9pt;mso-wrap-distance-bottom:0;mso-position-horizontal:absolute;mso-position-horizontal-relative:text;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">
                <v:textbox inset="5.85pt,.7pt,5.85pt,.7pt">
                  <w:txbxContent>
                    <w:p w14:paraId="7D1DE478" w14:textId="77777777" w:rsidR="006A5267" w:rsidRPr="003A3484" w:rsidRDefault="006A5267" w:rsidP="005D372A">
                      <w:pPr>
                        <w:ind w:firstLineChars="100" w:firstLine="201"/>
                        <w:rPr>
                          <w:rFonts w:ascii="ＭＳ ゴシック" w:eastAsia="ＭＳ ゴシック" w:hAnsi="ＭＳ ゴシック"/>
                          <w:color w:val="000000" w:themeColor="text1"/>
                          <w:sz w:val="20"/>
                          <w:szCs w:val="20"/>
                        </w:rPr>
                      </w:pPr>
                      <w:r w:rsidRPr="003A3484">
                        <w:rPr>
                          <w:rFonts w:ascii="ＭＳ ゴシック" w:eastAsia="ＭＳ ゴシック" w:hAnsi="ＭＳ ゴシック" w:hint="eastAsia"/>
                          <w:color w:val="000000" w:themeColor="text1"/>
                          <w:sz w:val="20"/>
                          <w:szCs w:val="20"/>
                        </w:rPr>
                        <w:t>時間内：危機管理室他</w:t>
                      </w:r>
                    </w:p>
                    <w:p w14:paraId="7ED2CE25" w14:textId="77777777" w:rsidR="006A5267" w:rsidRPr="003A3484" w:rsidRDefault="006A5267" w:rsidP="005D372A">
                      <w:pPr>
                        <w:ind w:firstLineChars="100" w:firstLine="201"/>
                        <w:rPr>
                          <w:rFonts w:ascii="ＭＳ ゴシック" w:eastAsia="ＭＳ ゴシック" w:hAnsi="ＭＳ ゴシック"/>
                          <w:color w:val="000000" w:themeColor="text1"/>
                          <w:sz w:val="20"/>
                          <w:szCs w:val="20"/>
                        </w:rPr>
                      </w:pPr>
                      <w:r w:rsidRPr="003A3484">
                        <w:rPr>
                          <w:rFonts w:ascii="ＭＳ ゴシック" w:eastAsia="ＭＳ ゴシック" w:hAnsi="ＭＳ ゴシック" w:hint="eastAsia"/>
                          <w:color w:val="000000" w:themeColor="text1"/>
                          <w:sz w:val="20"/>
                          <w:szCs w:val="20"/>
                        </w:rPr>
                        <w:t>時間外：防災・危機管理当直</w:t>
                      </w:r>
                    </w:p>
                  </w:txbxContent>
                </v:textbox>
              </v:roundrect>
            </w:pict>
          </mc:Fallback>
        </mc:AlternateContent>
      </w:r>
      <w:r w:rsidRPr="001D6D10">
        <w:rPr>
          <w:rFonts w:ascii="ＭＳ 明朝" w:hAnsi="ＭＳ 明朝"/>
          <w:noProof/>
          <w:sz w:val="22"/>
          <w:szCs w:val="22"/>
        </w:rPr>
        <mc:AlternateContent>
          <mc:Choice Requires="wps">
            <w:drawing>
              <wp:anchor distT="0" distB="0" distL="114300" distR="114300" simplePos="0" relativeHeight="252941312" behindDoc="0" locked="0" layoutInCell="1" allowOverlap="1" wp14:anchorId="78630D4C" wp14:editId="76FD53FB">
                <wp:simplePos x="0" y="0"/>
                <wp:positionH relativeFrom="column">
                  <wp:posOffset>3475990</wp:posOffset>
                </wp:positionH>
                <wp:positionV relativeFrom="paragraph">
                  <wp:posOffset>192405</wp:posOffset>
                </wp:positionV>
                <wp:extent cx="1943100" cy="457200"/>
                <wp:effectExtent l="19050" t="19050" r="19050" b="19050"/>
                <wp:wrapNone/>
                <wp:docPr id="4471" name="AutoShape 204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943100" cy="457200"/>
                        </a:xfrm>
                        <a:prstGeom prst="roundRect">
                          <a:avLst>
                            <a:gd name="adj" fmla="val 16667"/>
                          </a:avLst>
                        </a:prstGeom>
                        <a:solidFill>
                          <a:srgbClr val="FFFFFF"/>
                        </a:solidFill>
                        <a:ln w="44450" cmpd="dbl">
                          <a:solidFill>
                            <a:srgbClr val="000000"/>
                          </a:solidFill>
                          <a:round/>
                          <a:headEnd/>
                          <a:tailEnd/>
                        </a:ln>
                      </wps:spPr>
                      <wps:txbx>
                        <w:txbxContent>
                          <w:p w14:paraId="17ED1666" w14:textId="77777777" w:rsidR="006A5267" w:rsidRPr="003A3484" w:rsidRDefault="006A5267" w:rsidP="005D372A">
                            <w:pPr>
                              <w:ind w:firstLineChars="100" w:firstLine="201"/>
                              <w:rPr>
                                <w:color w:val="000000" w:themeColor="text1"/>
                              </w:rPr>
                            </w:pPr>
                            <w:r w:rsidRPr="003A3484">
                              <w:rPr>
                                <w:rFonts w:ascii="ＭＳ ゴシック" w:eastAsia="ＭＳ ゴシック" w:hAnsi="ＭＳ ゴシック" w:hint="eastAsia"/>
                                <w:color w:val="000000" w:themeColor="text1"/>
                                <w:sz w:val="20"/>
                                <w:szCs w:val="20"/>
                              </w:rPr>
                              <w:t>防災・危機管理指令部</w:t>
                            </w:r>
                          </w:p>
                        </w:txbxContent>
                      </wps:txbx>
                      <wps:bodyPr rot="0" vert="horz" wrap="square" lIns="74295" tIns="8890" rIns="74295" bIns="8890" anchor="ctr" anchorCtr="0" upright="1">
                        <a:noAutofit/>
                      </wps:bodyPr>
                    </wps:wsp>
                  </a:graphicData>
                </a:graphic>
              </wp:anchor>
            </w:drawing>
          </mc:Choice>
          <mc:Fallback xmlns:w16cei="http://schemas.microsoft.com/office/word/2026/wordml/cei">
            <w:pict>
              <v:roundrect w14:anchorId="78630D4C" id="_x0000_s1104" style="position:absolute;left:0;text-align:left;margin-left:273.7pt;margin-top:15.15pt;width:153pt;height:36pt;z-index:252941312;visibility:visible;mso-wrap-style:square;mso-wrap-distance-left:9pt;mso-wrap-distance-top:0;mso-wrap-distance-right:9pt;mso-wrap-distance-bottom:0;mso-position-horizontal:absolute;mso-position-horizontal-relative:text;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" strokeweight="3.5pt">
                <v:stroke linestyle="thinThin"/>
                <v:textbox inset="5.85pt,.7pt,5.85pt,.7pt">
                  <w:txbxContent>
                    <w:p w14:paraId="17ED1666" w14:textId="77777777" w:rsidR="006A5267" w:rsidRPr="003A3484" w:rsidRDefault="006A5267" w:rsidP="005D372A">
                      <w:pPr>
                        <w:ind w:firstLineChars="100" w:firstLine="201"/>
                        <w:rPr>
                          <w:color w:val="000000" w:themeColor="text1"/>
                        </w:rPr>
                      </w:pPr>
                      <w:r w:rsidRPr="003A3484">
                        <w:rPr>
                          <w:rFonts w:ascii="ＭＳ ゴシック" w:eastAsia="ＭＳ ゴシック" w:hAnsi="ＭＳ ゴシック" w:hint="eastAsia"/>
                          <w:color w:val="000000" w:themeColor="text1"/>
                          <w:sz w:val="20"/>
                          <w:szCs w:val="20"/>
                        </w:rPr>
                        <w:t>防災・危機管理指令部</w:t>
                      </w:r>
                    </w:p>
                  </w:txbxContent>
                </v:textbox>
              </v:roundrect>
            </w:pict>
          </mc:Fallback>
        </mc:AlternateContent>
      </w:r>
    </w:p>
    <w:p w14:paraId="3FC7C1A4" w14:textId="77777777" w:rsidR="005D372A" w:rsidRPr="001D6D10" w:rsidRDefault="005D372A" w:rsidP="005D372A">
      <w:pPr>
        <w:rPr>
          <w:rFonts w:ascii="ＭＳ 明朝" w:hAnsi="ＭＳ 明朝"/>
          <w:sz w:val="22"/>
          <w:szCs w:val="22"/>
        </w:rPr>
      </w:pPr>
      <w:r w:rsidRPr="001D6D10">
        <w:rPr>
          <w:rFonts w:ascii="ＭＳ 明朝" w:hAnsi="ＭＳ 明朝"/>
          <w:noProof/>
          <w:sz w:val="22"/>
          <w:szCs w:val="22"/>
        </w:rPr>
        <mc:AlternateContent>
          <mc:Choice Requires="wps">
            <w:drawing>
              <wp:anchor distT="0" distB="0" distL="114300" distR="114300" simplePos="0" relativeHeight="252945408" behindDoc="0" locked="0" layoutInCell="1" allowOverlap="1" wp14:anchorId="6A82B008" wp14:editId="6F8BBCBE">
                <wp:simplePos x="0" y="0"/>
                <wp:positionH relativeFrom="column">
                  <wp:posOffset>2961640</wp:posOffset>
                </wp:positionH>
                <wp:positionV relativeFrom="paragraph">
                  <wp:posOffset>196850</wp:posOffset>
                </wp:positionV>
                <wp:extent cx="504825" cy="0"/>
                <wp:effectExtent l="0" t="76200" r="28575" b="95250"/>
                <wp:wrapNone/>
                <wp:docPr id="4472" name="直線矢印コネクタ 4472"/>
                <wp:cNvGraphicFramePr/>
                <a:graphic xmlns:a="http://schemas.openxmlformats.org/drawingml/2006/main">
                  <a:graphicData uri="http://schemas.microsoft.com/office/word/2010/wordprocessingShape">
                    <wps:wsp>
                      <wps:cNvCnPr/>
                      <wps:spPr>
                        <a:xfrm>
                          <a:off x="0" y="0"/>
                          <a:ext cx="504825" cy="0"/>
                        </a:xfrm>
                        <a:prstGeom prst="straightConnector1">
                          <a:avLst/>
                        </a:prstGeom>
                        <a:noFill/>
                        <a:ln w="9525" cap="flat" cmpd="sng" algn="ctr">
                          <a:solidFill>
                            <a:sysClr val="windowText" lastClr="000000"/>
                          </a:solidFill>
                          <a:prstDash val="solid"/>
                          <a:tailEnd type="triangle"/>
                        </a:ln>
                        <a:effectLst/>
                      </wps:spPr>
                      <wps:bodyPr/>
                    </wps:wsp>
                  </a:graphicData>
                </a:graphic>
                <wp14:sizeRelH relativeFrom="margin">
                  <wp14:pctWidth>0</wp14:pctWidth>
                </wp14:sizeRelH>
              </wp:anchor>
            </w:drawing>
          </mc:Choice>
          <mc:Fallback xmlns:w16cei="http://schemas.microsoft.com/office/word/2026/wordml/cei">
            <w:pict>
              <v:shape w14:anchorId="51EE2AA1" id="直線矢印コネクタ 4472" o:spid="_x0000_s1026" type="#_x0000_t32" style="position:absolute;left:0;text-align:left;margin-left:233.2pt;margin-top:15.5pt;width:39.75pt;height:0;z-index:25294540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" strokecolor="windowText">
                <v:stroke endarrow="block"/>
              </v:shape>
            </w:pict>
          </mc:Fallback>
        </mc:AlternateContent>
      </w:r>
      <w:r w:rsidRPr="001D6D10">
        <w:rPr>
          <w:rFonts w:ascii="ＭＳ 明朝" w:hAnsi="ＭＳ 明朝"/>
          <w:noProof/>
          <w:sz w:val="22"/>
          <w:szCs w:val="22"/>
        </w:rPr>
        <mc:AlternateContent>
          <mc:Choice Requires="wps">
            <w:drawing>
              <wp:anchor distT="0" distB="0" distL="114300" distR="114300" simplePos="0" relativeHeight="252944384" behindDoc="0" locked="0" layoutInCell="1" allowOverlap="1" wp14:anchorId="75F06B02" wp14:editId="5ED4A8E7">
                <wp:simplePos x="0" y="0"/>
                <wp:positionH relativeFrom="column">
                  <wp:posOffset>2094865</wp:posOffset>
                </wp:positionH>
                <wp:positionV relativeFrom="paragraph">
                  <wp:posOffset>196850</wp:posOffset>
                </wp:positionV>
                <wp:extent cx="504825" cy="0"/>
                <wp:effectExtent l="0" t="76200" r="28575" b="95250"/>
                <wp:wrapNone/>
                <wp:docPr id="4473" name="直線矢印コネクタ 4473"/>
                <wp:cNvGraphicFramePr/>
                <a:graphic xmlns:a="http://schemas.openxmlformats.org/drawingml/2006/main">
                  <a:graphicData uri="http://schemas.microsoft.com/office/word/2010/wordprocessingShape">
                    <wps:wsp>
                      <wps:cNvCnPr/>
                      <wps:spPr>
                        <a:xfrm>
                          <a:off x="0" y="0"/>
                          <a:ext cx="504825" cy="0"/>
                        </a:xfrm>
                        <a:prstGeom prst="straightConnector1">
                          <a:avLst/>
                        </a:prstGeom>
                        <a:noFill/>
                        <a:ln w="9525" cap="flat" cmpd="sng" algn="ctr">
                          <a:solidFill>
                            <a:sysClr val="windowText" lastClr="000000"/>
                          </a:solidFill>
                          <a:prstDash val="solid"/>
                          <a:tailEnd type="triangle"/>
                        </a:ln>
                        <a:effectLst/>
                      </wps:spPr>
                      <wps:bodyPr/>
                    </wps:wsp>
                  </a:graphicData>
                </a:graphic>
                <wp14:sizeRelH relativeFrom="margin">
                  <wp14:pctWidth>0</wp14:pctWidth>
                </wp14:sizeRelH>
              </wp:anchor>
            </w:drawing>
          </mc:Choice>
          <mc:Fallback xmlns:w16cei="http://schemas.microsoft.com/office/word/2026/wordml/cei">
            <w:pict>
              <v:shape w14:anchorId="144DAF79" id="直線矢印コネクタ 4473" o:spid="_x0000_s1026" type="#_x0000_t32" style="position:absolute;left:0;text-align:left;margin-left:164.95pt;margin-top:15.5pt;width:39.75pt;height:0;z-index:25294438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" strokecolor="windowText">
                <v:stroke endarrow="block"/>
              </v:shape>
            </w:pict>
          </mc:Fallback>
        </mc:AlternateContent>
      </w:r>
    </w:p>
    <w:p w14:paraId="6D5C87DE" w14:textId="77777777" w:rsidR="005D372A" w:rsidRPr="001D6D10" w:rsidRDefault="005D372A" w:rsidP="005D372A">
      <w:pPr>
        <w:rPr>
          <w:rFonts w:ascii="ＭＳ 明朝" w:hAnsi="ＭＳ 明朝"/>
          <w:sz w:val="22"/>
          <w:szCs w:val="22"/>
        </w:rPr>
      </w:pPr>
      <w:r w:rsidRPr="001D6D10">
        <w:rPr>
          <w:rFonts w:ascii="ＭＳ 明朝" w:hAnsi="ＭＳ 明朝"/>
          <w:noProof/>
          <w:sz w:val="22"/>
          <w:szCs w:val="22"/>
        </w:rPr>
        <mc:AlternateContent>
          <mc:Choice Requires="wps">
            <w:drawing>
              <wp:anchor distT="0" distB="0" distL="114300" distR="114300" simplePos="0" relativeHeight="252947456" behindDoc="0" locked="0" layoutInCell="1" allowOverlap="1" wp14:anchorId="52B4A1CD" wp14:editId="1F6084B4">
                <wp:simplePos x="0" y="0"/>
                <wp:positionH relativeFrom="column">
                  <wp:posOffset>2914015</wp:posOffset>
                </wp:positionH>
                <wp:positionV relativeFrom="paragraph">
                  <wp:posOffset>20320</wp:posOffset>
                </wp:positionV>
                <wp:extent cx="457200" cy="781050"/>
                <wp:effectExtent l="0" t="0" r="0" b="0"/>
                <wp:wrapNone/>
                <wp:docPr id="4474" name="Text Box 208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57200" cy="781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B4E2017" w14:textId="77777777" w:rsidR="006A5267" w:rsidRPr="003A3484" w:rsidRDefault="006A5267" w:rsidP="005D372A">
                            <w:pPr>
                              <w:rPr>
                                <w:rFonts w:ascii="ＭＳ 明朝" w:hAnsi="ＭＳ 明朝"/>
                                <w:color w:val="000000" w:themeColor="text1"/>
                                <w:szCs w:val="21"/>
                              </w:rPr>
                            </w:pPr>
                            <w:r w:rsidRPr="003A3484">
                              <w:rPr>
                                <w:rFonts w:ascii="ＭＳ 明朝" w:hAnsi="ＭＳ 明朝" w:hint="eastAsia"/>
                                <w:color w:val="000000" w:themeColor="text1"/>
                                <w:szCs w:val="21"/>
                              </w:rPr>
                              <w:t>体制移行</w:t>
                            </w:r>
                          </w:p>
                        </w:txbxContent>
                      </wps:txbx>
                      <wps:bodyPr rot="0" vert="eaVert"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shape w14:anchorId="52B4A1CD" id="_x0000_s1105" type="#_x0000_t202" style="position:absolute;left:0;text-align:left;margin-left:229.45pt;margin-top:1.6pt;width:36pt;height:61.5pt;z-index:25294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" filled="f" stroked="f">
                <v:textbox style="layout-flow:vertical-ideographic" inset="5.85pt,.7pt,5.85pt,.7pt">
                  <w:txbxContent>
                    <w:p w14:paraId="5B4E2017" w14:textId="77777777" w:rsidR="006A5267" w:rsidRPr="003A3484" w:rsidRDefault="006A5267" w:rsidP="005D372A">
                      <w:pPr>
                        <w:rPr>
                          <w:rFonts w:ascii="ＭＳ 明朝" w:hAnsi="ＭＳ 明朝"/>
                          <w:color w:val="000000" w:themeColor="text1"/>
                          <w:szCs w:val="21"/>
                        </w:rPr>
                      </w:pPr>
                      <w:r w:rsidRPr="003A3484">
                        <w:rPr>
                          <w:rFonts w:ascii="ＭＳ 明朝" w:hAnsi="ＭＳ 明朝" w:hint="eastAsia"/>
                          <w:color w:val="000000" w:themeColor="text1"/>
                          <w:szCs w:val="21"/>
                        </w:rPr>
                        <w:t>体制移行</w:t>
                      </w:r>
                    </w:p>
                  </w:txbxContent>
                </v:textbox>
              </v:shape>
            </w:pict>
          </mc:Fallback>
        </mc:AlternateContent>
      </w:r>
      <w:r w:rsidRPr="001D6D10">
        <w:rPr>
          <w:rFonts w:ascii="ＭＳ 明朝" w:hAnsi="ＭＳ 明朝"/>
          <w:noProof/>
          <w:sz w:val="22"/>
          <w:szCs w:val="22"/>
        </w:rPr>
        <mc:AlternateContent>
          <mc:Choice Requires="wps">
            <w:drawing>
              <wp:anchor distT="0" distB="0" distL="114300" distR="114300" simplePos="0" relativeHeight="252946432" behindDoc="0" locked="0" layoutInCell="1" allowOverlap="1" wp14:anchorId="5BE65A9F" wp14:editId="54CFBE9D">
                <wp:simplePos x="0" y="0"/>
                <wp:positionH relativeFrom="column">
                  <wp:posOffset>2075815</wp:posOffset>
                </wp:positionH>
                <wp:positionV relativeFrom="paragraph">
                  <wp:posOffset>20320</wp:posOffset>
                </wp:positionV>
                <wp:extent cx="457200" cy="781050"/>
                <wp:effectExtent l="0" t="0" r="0" b="0"/>
                <wp:wrapNone/>
                <wp:docPr id="6" name="Text Box 208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57200" cy="781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AC5FA40" w14:textId="77777777" w:rsidR="006A5267" w:rsidRPr="003A3484" w:rsidRDefault="006A5267" w:rsidP="005D372A">
                            <w:pPr>
                              <w:rPr>
                                <w:rFonts w:ascii="ＭＳ 明朝" w:hAnsi="ＭＳ 明朝"/>
                                <w:color w:val="000000" w:themeColor="text1"/>
                                <w:szCs w:val="21"/>
                              </w:rPr>
                            </w:pPr>
                            <w:r w:rsidRPr="003A3484">
                              <w:rPr>
                                <w:rFonts w:ascii="ＭＳ 明朝" w:hAnsi="ＭＳ 明朝" w:hint="eastAsia"/>
                                <w:color w:val="000000" w:themeColor="text1"/>
                                <w:szCs w:val="21"/>
                              </w:rPr>
                              <w:t>連絡</w:t>
                            </w:r>
                          </w:p>
                        </w:txbxContent>
                      </wps:txbx>
                      <wps:bodyPr rot="0" vert="eaVert"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shape w14:anchorId="5BE65A9F" id="_x0000_s1106" type="#_x0000_t202" style="position:absolute;left:0;text-align:left;margin-left:163.45pt;margin-top:1.6pt;width:36pt;height:61.5pt;z-index:25294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" filled="f" stroked="f">
                <v:textbox style="layout-flow:vertical-ideographic" inset="5.85pt,.7pt,5.85pt,.7pt">
                  <w:txbxContent>
                    <w:p w14:paraId="1AC5FA40" w14:textId="77777777" w:rsidR="006A5267" w:rsidRPr="003A3484" w:rsidRDefault="006A5267" w:rsidP="005D372A">
                      <w:pPr>
                        <w:rPr>
                          <w:rFonts w:ascii="ＭＳ 明朝" w:hAnsi="ＭＳ 明朝"/>
                          <w:color w:val="000000" w:themeColor="text1"/>
                          <w:szCs w:val="21"/>
                        </w:rPr>
                      </w:pPr>
                      <w:r w:rsidRPr="003A3484">
                        <w:rPr>
                          <w:rFonts w:ascii="ＭＳ 明朝" w:hAnsi="ＭＳ 明朝" w:hint="eastAsia"/>
                          <w:color w:val="000000" w:themeColor="text1"/>
                          <w:szCs w:val="21"/>
                        </w:rPr>
                        <w:t>連絡</w:t>
                      </w:r>
                    </w:p>
                  </w:txbxContent>
                </v:textbox>
              </v:shape>
            </w:pict>
          </mc:Fallback>
        </mc:AlternateContent>
      </w:r>
    </w:p>
    <w:p w14:paraId="11D54C68" w14:textId="77777777" w:rsidR="005D372A" w:rsidRPr="001D6D10" w:rsidRDefault="005D372A" w:rsidP="005D372A">
      <w:pPr>
        <w:rPr>
          <w:rFonts w:ascii="ＭＳ 明朝" w:hAnsi="ＭＳ 明朝"/>
          <w:sz w:val="22"/>
          <w:szCs w:val="22"/>
        </w:rPr>
      </w:pPr>
      <w:r w:rsidRPr="001D6D10">
        <w:rPr>
          <w:rFonts w:ascii="ＭＳ 明朝" w:hAnsi="ＭＳ 明朝"/>
          <w:noProof/>
          <w:sz w:val="22"/>
          <w:szCs w:val="22"/>
        </w:rPr>
        <mc:AlternateContent>
          <mc:Choice Requires="wps">
            <w:drawing>
              <wp:anchor distT="0" distB="0" distL="114300" distR="114300" simplePos="0" relativeHeight="252949504" behindDoc="0" locked="0" layoutInCell="1" allowOverlap="1" wp14:anchorId="47EC232F" wp14:editId="40D062FA">
                <wp:simplePos x="0" y="0"/>
                <wp:positionH relativeFrom="column">
                  <wp:posOffset>4603750</wp:posOffset>
                </wp:positionH>
                <wp:positionV relativeFrom="paragraph">
                  <wp:posOffset>215900</wp:posOffset>
                </wp:positionV>
                <wp:extent cx="457200" cy="228600"/>
                <wp:effectExtent l="0" t="0" r="0" b="0"/>
                <wp:wrapNone/>
                <wp:docPr id="7" name="Text Box 208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57200" cy="2286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86E8426" w14:textId="77777777" w:rsidR="006A5267" w:rsidRPr="003A3484" w:rsidRDefault="006A5267" w:rsidP="005D372A">
                            <w:pPr>
                              <w:rPr>
                                <w:rFonts w:ascii="ＭＳ 明朝" w:hAnsi="ＭＳ 明朝"/>
                                <w:color w:val="000000" w:themeColor="text1"/>
                                <w:szCs w:val="21"/>
                              </w:rPr>
                            </w:pPr>
                            <w:r w:rsidRPr="003A3484">
                              <w:rPr>
                                <w:rFonts w:ascii="ＭＳ 明朝" w:hAnsi="ＭＳ 明朝" w:hint="eastAsia"/>
                                <w:color w:val="000000" w:themeColor="text1"/>
                                <w:szCs w:val="21"/>
                              </w:rPr>
                              <w:t>連携</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shape w14:anchorId="47EC232F" id="_x0000_s1107" type="#_x0000_t202" style="position:absolute;left:0;text-align:left;margin-left:362.5pt;margin-top:17pt;width:36pt;height:18pt;z-index:25294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" filled="f" stroked="f">
                <v:textbox inset="5.85pt,.7pt,5.85pt,.7pt">
                  <w:txbxContent>
                    <w:p w14:paraId="786E8426" w14:textId="77777777" w:rsidR="006A5267" w:rsidRPr="003A3484" w:rsidRDefault="006A5267" w:rsidP="005D372A">
                      <w:pPr>
                        <w:rPr>
                          <w:rFonts w:ascii="ＭＳ 明朝" w:hAnsi="ＭＳ 明朝"/>
                          <w:color w:val="000000" w:themeColor="text1"/>
                          <w:szCs w:val="21"/>
                        </w:rPr>
                      </w:pPr>
                      <w:r w:rsidRPr="003A3484">
                        <w:rPr>
                          <w:rFonts w:ascii="ＭＳ 明朝" w:hAnsi="ＭＳ 明朝" w:hint="eastAsia"/>
                          <w:color w:val="000000" w:themeColor="text1"/>
                          <w:szCs w:val="21"/>
                        </w:rPr>
                        <w:t>連携</w:t>
                      </w:r>
                    </w:p>
                  </w:txbxContent>
                </v:textbox>
              </v:shape>
            </w:pict>
          </mc:Fallback>
        </mc:AlternateContent>
      </w:r>
      <w:r w:rsidRPr="001D6D10">
        <w:rPr>
          <w:rFonts w:ascii="ＭＳ 明朝" w:hAnsi="ＭＳ 明朝"/>
          <w:noProof/>
          <w:sz w:val="22"/>
          <w:szCs w:val="22"/>
        </w:rPr>
        <mc:AlternateContent>
          <mc:Choice Requires="wps">
            <w:drawing>
              <wp:anchor distT="0" distB="0" distL="114300" distR="114300" simplePos="0" relativeHeight="252948480" behindDoc="0" locked="0" layoutInCell="1" allowOverlap="1" wp14:anchorId="533D9220" wp14:editId="1571F7C6">
                <wp:simplePos x="0" y="0"/>
                <wp:positionH relativeFrom="column">
                  <wp:posOffset>3822700</wp:posOffset>
                </wp:positionH>
                <wp:positionV relativeFrom="paragraph">
                  <wp:posOffset>215900</wp:posOffset>
                </wp:positionV>
                <wp:extent cx="457200" cy="228600"/>
                <wp:effectExtent l="0" t="0" r="0" b="0"/>
                <wp:wrapNone/>
                <wp:docPr id="4475" name="Text Box 208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57200" cy="2286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A57E2A5" w14:textId="77777777" w:rsidR="006A5267" w:rsidRPr="003A3484" w:rsidRDefault="006A5267" w:rsidP="005D372A">
                            <w:pPr>
                              <w:rPr>
                                <w:rFonts w:ascii="ＭＳ 明朝" w:hAnsi="ＭＳ 明朝"/>
                                <w:color w:val="000000" w:themeColor="text1"/>
                                <w:szCs w:val="21"/>
                              </w:rPr>
                            </w:pPr>
                            <w:r w:rsidRPr="003A3484">
                              <w:rPr>
                                <w:rFonts w:ascii="ＭＳ 明朝" w:hAnsi="ＭＳ 明朝" w:hint="eastAsia"/>
                                <w:color w:val="000000" w:themeColor="text1"/>
                                <w:szCs w:val="21"/>
                              </w:rPr>
                              <w:t>連絡</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shape w14:anchorId="533D9220" id="_x0000_s1108" type="#_x0000_t202" style="position:absolute;left:0;text-align:left;margin-left:301pt;margin-top:17pt;width:36pt;height:18pt;z-index:25294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" filled="f" stroked="f">
                <v:textbox inset="5.85pt,.7pt,5.85pt,.7pt">
                  <w:txbxContent>
                    <w:p w14:paraId="5A57E2A5" w14:textId="77777777" w:rsidR="006A5267" w:rsidRPr="003A3484" w:rsidRDefault="006A5267" w:rsidP="005D372A">
                      <w:pPr>
                        <w:rPr>
                          <w:rFonts w:ascii="ＭＳ 明朝" w:hAnsi="ＭＳ 明朝"/>
                          <w:color w:val="000000" w:themeColor="text1"/>
                          <w:szCs w:val="21"/>
                        </w:rPr>
                      </w:pPr>
                      <w:r w:rsidRPr="003A3484">
                        <w:rPr>
                          <w:rFonts w:ascii="ＭＳ 明朝" w:hAnsi="ＭＳ 明朝" w:hint="eastAsia"/>
                          <w:color w:val="000000" w:themeColor="text1"/>
                          <w:szCs w:val="21"/>
                        </w:rPr>
                        <w:t>連絡</w:t>
                      </w:r>
                    </w:p>
                  </w:txbxContent>
                </v:textbox>
              </v:shape>
            </w:pict>
          </mc:Fallback>
        </mc:AlternateContent>
      </w:r>
      <w:r w:rsidRPr="001D6D10">
        <w:rPr>
          <w:rFonts w:ascii="ＭＳ 明朝" w:hAnsi="ＭＳ 明朝"/>
          <w:noProof/>
          <w:sz w:val="22"/>
          <w:szCs w:val="22"/>
        </w:rPr>
        <mc:AlternateContent>
          <mc:Choice Requires="wps">
            <w:drawing>
              <wp:anchor distT="0" distB="0" distL="114300" distR="114300" simplePos="0" relativeHeight="252942336" behindDoc="0" locked="0" layoutInCell="1" allowOverlap="1" wp14:anchorId="4BDF88A5" wp14:editId="503B306F">
                <wp:simplePos x="0" y="0"/>
                <wp:positionH relativeFrom="column">
                  <wp:posOffset>4152265</wp:posOffset>
                </wp:positionH>
                <wp:positionV relativeFrom="paragraph">
                  <wp:posOffset>92075</wp:posOffset>
                </wp:positionV>
                <wp:extent cx="571500" cy="485775"/>
                <wp:effectExtent l="38100" t="19050" r="19050" b="47625"/>
                <wp:wrapNone/>
                <wp:docPr id="4476" name="AutoShape 204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71500" cy="485775"/>
                        </a:xfrm>
                        <a:prstGeom prst="upDownArrow">
                          <a:avLst>
                            <a:gd name="adj1" fmla="val 50000"/>
                            <a:gd name="adj2" fmla="val 24000"/>
                          </a:avLst>
                        </a:prstGeom>
                        <a:solidFill>
                          <a:srgbClr val="FFFFFF"/>
                        </a:solidFill>
                        <a:ln w="9525">
                          <a:solidFill>
                            <a:srgbClr val="000000"/>
                          </a:solidFill>
                          <a:miter lim="800000"/>
                          <a:headEnd/>
                          <a:tailEnd/>
                        </a:ln>
                      </wps:spPr>
                      <wps:bodyPr rot="0" vert="horz" wrap="square" lIns="74295" tIns="8890" rIns="74295" bIns="8890" anchor="t" anchorCtr="0" upright="1">
                        <a:noAutofit/>
                      </wps:bodyPr>
                    </wps:wsp>
                  </a:graphicData>
                </a:graphic>
                <wp14:sizeRelV relativeFrom="margin">
                  <wp14:pctHeight>0</wp14:pctHeight>
                </wp14:sizeRelV>
              </wp:anchor>
            </w:drawing>
          </mc:Choice>
          <mc:Fallback xmlns:w16cei="http://schemas.microsoft.com/office/word/2026/wordml/cei">
            <w:pict>
              <v:shape w14:anchorId="79C8B70F" id="AutoShape 2041" o:spid="_x0000_s1026" type="#_x0000_t70" style="position:absolute;left:0;text-align:left;margin-left:326.95pt;margin-top:7.25pt;width:45pt;height:38.25pt;z-index:25294233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" adj=",5184">
                <v:textbox inset="5.85pt,.7pt,5.85pt,.7pt"/>
              </v:shape>
            </w:pict>
          </mc:Fallback>
        </mc:AlternateContent>
      </w:r>
    </w:p>
    <w:p w14:paraId="3EE0F5E4" w14:textId="77777777" w:rsidR="005D372A" w:rsidRPr="001D6D10" w:rsidRDefault="005D372A" w:rsidP="005D372A">
      <w:pPr>
        <w:rPr>
          <w:rFonts w:ascii="ＭＳ 明朝" w:hAnsi="ＭＳ 明朝"/>
          <w:sz w:val="22"/>
          <w:szCs w:val="22"/>
        </w:rPr>
      </w:pPr>
    </w:p>
    <w:p w14:paraId="574609F0" w14:textId="77777777" w:rsidR="005D372A" w:rsidRPr="001D6D10" w:rsidRDefault="005D372A" w:rsidP="005D372A">
      <w:pPr>
        <w:rPr>
          <w:rFonts w:ascii="ＭＳ 明朝" w:hAnsi="ＭＳ 明朝"/>
          <w:sz w:val="22"/>
          <w:szCs w:val="22"/>
        </w:rPr>
      </w:pPr>
    </w:p>
    <w:p w14:paraId="34F81B6C" w14:textId="77777777" w:rsidR="005D372A" w:rsidRPr="001D6D10" w:rsidRDefault="005D372A" w:rsidP="005D372A">
      <w:pPr>
        <w:rPr>
          <w:rFonts w:ascii="ＭＳ 明朝" w:hAnsi="ＭＳ 明朝"/>
          <w:sz w:val="22"/>
          <w:szCs w:val="22"/>
        </w:rPr>
      </w:pPr>
      <w:r w:rsidRPr="001D6D10">
        <w:rPr>
          <w:rFonts w:ascii="ＭＳ 明朝" w:hAnsi="ＭＳ 明朝"/>
          <w:noProof/>
          <w:sz w:val="22"/>
          <w:szCs w:val="22"/>
        </w:rPr>
        <mc:AlternateContent>
          <mc:Choice Requires="wps">
            <w:drawing>
              <wp:anchor distT="0" distB="0" distL="114300" distR="114300" simplePos="0" relativeHeight="252943360" behindDoc="0" locked="0" layoutInCell="1" allowOverlap="1" wp14:anchorId="1EE5E9D0" wp14:editId="09BDF36F">
                <wp:simplePos x="0" y="0"/>
                <wp:positionH relativeFrom="column">
                  <wp:posOffset>3475990</wp:posOffset>
                </wp:positionH>
                <wp:positionV relativeFrom="paragraph">
                  <wp:posOffset>9525</wp:posOffset>
                </wp:positionV>
                <wp:extent cx="1943100" cy="342900"/>
                <wp:effectExtent l="19050" t="19050" r="19050" b="19050"/>
                <wp:wrapNone/>
                <wp:docPr id="4477" name="AutoShape 203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943100" cy="342900"/>
                        </a:xfrm>
                        <a:prstGeom prst="roundRect">
                          <a:avLst>
                            <a:gd name="adj" fmla="val 16667"/>
                          </a:avLst>
                        </a:prstGeom>
                        <a:solidFill>
                          <a:srgbClr val="FFFFFF"/>
                        </a:solidFill>
                        <a:ln w="44450" cmpd="thinThick">
                          <a:solidFill>
                            <a:srgbClr val="000000"/>
                          </a:solidFill>
                          <a:round/>
                          <a:headEnd/>
                          <a:tailEnd/>
                        </a:ln>
                      </wps:spPr>
                      <wps:txbx>
                        <w:txbxContent>
                          <w:p w14:paraId="7A8642F0" w14:textId="77777777" w:rsidR="006A5267" w:rsidRPr="003A3484" w:rsidRDefault="006A5267" w:rsidP="005D372A">
                            <w:pPr>
                              <w:jc w:val="center"/>
                              <w:rPr>
                                <w:color w:val="000000" w:themeColor="text1"/>
                              </w:rPr>
                            </w:pPr>
                            <w:r w:rsidRPr="003A3484">
                              <w:rPr>
                                <w:rFonts w:ascii="ＭＳ ゴシック" w:eastAsia="ＭＳ ゴシック" w:hAnsi="ＭＳ ゴシック" w:hint="eastAsia"/>
                                <w:color w:val="000000" w:themeColor="text1"/>
                                <w:sz w:val="20"/>
                                <w:szCs w:val="20"/>
                              </w:rPr>
                              <w:t>地域情報班</w:t>
                            </w:r>
                          </w:p>
                        </w:txbxContent>
                      </wps:txbx>
                      <wps:bodyPr rot="0" vert="horz" wrap="square" lIns="74295" tIns="8890" rIns="74295" bIns="8890" anchor="ctr" anchorCtr="0" upright="1">
                        <a:noAutofit/>
                      </wps:bodyPr>
                    </wps:wsp>
                  </a:graphicData>
                </a:graphic>
              </wp:anchor>
            </w:drawing>
          </mc:Choice>
          <mc:Fallback xmlns:w16cei="http://schemas.microsoft.com/office/word/2026/wordml/cei">
            <w:pict>
              <v:roundrect w14:anchorId="1EE5E9D0" id="_x0000_s1109" style="position:absolute;left:0;text-align:left;margin-left:273.7pt;margin-top:.75pt;width:153pt;height:27pt;z-index:252943360;visibility:visible;mso-wrap-style:square;mso-wrap-distance-left:9pt;mso-wrap-distance-top:0;mso-wrap-distance-right:9pt;mso-wrap-distance-bottom:0;mso-position-horizontal:absolute;mso-position-horizontal-relative:text;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" strokeweight="3.5pt">
                <v:stroke linestyle="thinThick"/>
                <v:textbox inset="5.85pt,.7pt,5.85pt,.7pt">
                  <w:txbxContent>
                    <w:p w14:paraId="7A8642F0" w14:textId="77777777" w:rsidR="006A5267" w:rsidRPr="003A3484" w:rsidRDefault="006A5267" w:rsidP="005D372A">
                      <w:pPr>
                        <w:jc w:val="center"/>
                        <w:rPr>
                          <w:color w:val="000000" w:themeColor="text1"/>
                        </w:rPr>
                      </w:pPr>
                      <w:r w:rsidRPr="003A3484">
                        <w:rPr>
                          <w:rFonts w:ascii="ＭＳ ゴシック" w:eastAsia="ＭＳ ゴシック" w:hAnsi="ＭＳ ゴシック" w:hint="eastAsia"/>
                          <w:color w:val="000000" w:themeColor="text1"/>
                          <w:sz w:val="20"/>
                          <w:szCs w:val="20"/>
                        </w:rPr>
                        <w:t>地域情報班</w:t>
                      </w:r>
                    </w:p>
                  </w:txbxContent>
                </v:textbox>
              </v:roundrect>
            </w:pict>
          </mc:Fallback>
        </mc:AlternateContent>
      </w:r>
    </w:p>
    <w:p w14:paraId="2D40D2E8" w14:textId="77777777" w:rsidR="005D372A" w:rsidRPr="003E0407" w:rsidRDefault="005D372A" w:rsidP="005D372A"/>
    <w:p w14:paraId="2AE7CB80" w14:textId="658A3711" w:rsidR="00934E60" w:rsidRPr="001D6D10" w:rsidRDefault="008901FF" w:rsidP="008901FF">
      <w:pPr>
        <w:ind w:firstLineChars="2700" w:firstLine="5700"/>
      </w:pPr>
      <w:r w:rsidRPr="001D6D10">
        <w:rPr>
          <w:rFonts w:hint="eastAsia"/>
        </w:rPr>
        <w:t>※時間外は、連絡体制の確立</w:t>
      </w:r>
    </w:p>
    <w:p w14:paraId="1976B057" w14:textId="4CA60400" w:rsidR="005D372A" w:rsidRPr="001D6D10" w:rsidRDefault="005D372A" w:rsidP="005D372A">
      <w:r w:rsidRPr="001D6D10">
        <w:rPr>
          <w:rFonts w:hint="eastAsia"/>
        </w:rPr>
        <w:t xml:space="preserve">　　　　　　　　　　　　　　　　　　　　　　　　　　　</w:t>
      </w:r>
    </w:p>
    <w:p w14:paraId="7957ADFA" w14:textId="77777777" w:rsidR="005D372A" w:rsidRPr="001D6D10" w:rsidRDefault="005D372A" w:rsidP="005D372A">
      <w:r w:rsidRPr="001D6D10">
        <w:rPr>
          <w:rFonts w:hint="eastAsia"/>
        </w:rPr>
        <w:t>＜防災・危機管理指令部　組織図＞</w:t>
      </w:r>
    </w:p>
    <w:p w14:paraId="33BA4EC0" w14:textId="77777777" w:rsidR="005D372A" w:rsidRPr="001D6D10" w:rsidRDefault="005D372A" w:rsidP="005D372A">
      <w:r w:rsidRPr="001D6D10">
        <w:rPr>
          <w:noProof/>
        </w:rPr>
        <mc:AlternateContent>
          <mc:Choice Requires="wpg">
            <w:drawing>
              <wp:anchor distT="0" distB="0" distL="114300" distR="114300" simplePos="0" relativeHeight="252891136" behindDoc="0" locked="0" layoutInCell="1" allowOverlap="1" wp14:anchorId="5430FED6" wp14:editId="5730AC62">
                <wp:simplePos x="0" y="0"/>
                <wp:positionH relativeFrom="column">
                  <wp:posOffset>2256790</wp:posOffset>
                </wp:positionH>
                <wp:positionV relativeFrom="paragraph">
                  <wp:posOffset>153035</wp:posOffset>
                </wp:positionV>
                <wp:extent cx="2924175" cy="1564005"/>
                <wp:effectExtent l="0" t="0" r="28575" b="17145"/>
                <wp:wrapNone/>
                <wp:docPr id="168" name="グループ化 168"/>
                <wp:cNvGraphicFramePr/>
                <a:graphic xmlns:a="http://schemas.openxmlformats.org/drawingml/2006/main">
                  <a:graphicData uri="http://schemas.microsoft.com/office/word/2010/wordprocessingGroup">
                    <wpg:wgp>
                      <wpg:cNvGrpSpPr/>
                      <wpg:grpSpPr>
                        <a:xfrm>
                          <a:off x="0" y="0"/>
                          <a:ext cx="2924175" cy="1564005"/>
                          <a:chOff x="0" y="0"/>
                          <a:chExt cx="2844800" cy="1564861"/>
                        </a:xfrm>
                      </wpg:grpSpPr>
                      <wps:wsp>
                        <wps:cNvPr id="169" name="正方形/長方形 169"/>
                        <wps:cNvSpPr/>
                        <wps:spPr>
                          <a:xfrm>
                            <a:off x="0" y="127221"/>
                            <a:ext cx="2844800" cy="1437640"/>
                          </a:xfrm>
                          <a:prstGeom prst="rect">
                            <a:avLst/>
                          </a:prstGeom>
                          <a:solidFill>
                            <a:sysClr val="window" lastClr="FFFFFF"/>
                          </a:solidFill>
                          <a:ln w="6350" cap="flat" cmpd="sng" algn="ctr">
                            <a:solidFill>
                              <a:sysClr val="windowText" lastClr="000000"/>
                            </a:solidFill>
                            <a:prstDash val="dash"/>
                          </a:ln>
                          <a:effectLst/>
                        </wps:spPr>
                        <wps:bodyPr rot="0" spcFirstLastPara="0" vertOverflow="overflow" horzOverflow="overflow" vert="horz" wrap="square" lIns="0" tIns="0" rIns="0" bIns="0" numCol="1" spcCol="0" rtlCol="0" fromWordArt="0" anchor="ctr" anchorCtr="0" forceAA="0" compatLnSpc="1">
                          <a:prstTxWarp prst="textNoShape">
                            <a:avLst/>
                          </a:prstTxWarp>
                          <a:noAutofit/>
                        </wps:bodyPr>
                      </wps:wsp>
                      <wps:wsp>
                        <wps:cNvPr id="170" name="正方形/長方形 170"/>
                        <wps:cNvSpPr/>
                        <wps:spPr>
                          <a:xfrm>
                            <a:off x="993913" y="0"/>
                            <a:ext cx="849630" cy="229870"/>
                          </a:xfrm>
                          <a:prstGeom prst="rect">
                            <a:avLst/>
                          </a:prstGeom>
                          <a:solidFill>
                            <a:sysClr val="window" lastClr="FFFFFF"/>
                          </a:solidFill>
                          <a:ln w="9525" cap="flat" cmpd="sng" algn="ctr">
                            <a:noFill/>
                            <a:prstDash val="solid"/>
                          </a:ln>
                          <a:effectLst/>
                        </wps:spPr>
                        <wps:txbx>
                          <w:txbxContent>
                            <w:p w14:paraId="4ECAB10F" w14:textId="77777777" w:rsidR="006A5267" w:rsidRPr="00055897" w:rsidRDefault="006A5267" w:rsidP="005D372A">
                              <w:pPr>
                                <w:spacing w:line="240" w:lineRule="exact"/>
                                <w:jc w:val="center"/>
                                <w:rPr>
                                  <w:rFonts w:asciiTheme="majorEastAsia" w:eastAsiaTheme="majorEastAsia" w:hAnsiTheme="majorEastAsia"/>
                                  <w:color w:val="000000" w:themeColor="text1"/>
                                  <w:sz w:val="16"/>
                                  <w:szCs w:val="16"/>
                                </w:rPr>
                              </w:pPr>
                              <w:r w:rsidRPr="00055897">
                                <w:rPr>
                                  <w:rFonts w:asciiTheme="majorEastAsia" w:eastAsiaTheme="majorEastAsia" w:hAnsiTheme="majorEastAsia" w:hint="eastAsia"/>
                                  <w:color w:val="000000" w:themeColor="text1"/>
                                  <w:sz w:val="16"/>
                                  <w:szCs w:val="16"/>
                                </w:rPr>
                                <w:t>地域情報班</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wps:wsp>
                        <wps:cNvPr id="171" name="直線コネクタ 171"/>
                        <wps:cNvCnPr/>
                        <wps:spPr>
                          <a:xfrm>
                            <a:off x="1423283" y="365760"/>
                            <a:ext cx="0" cy="962025"/>
                          </a:xfrm>
                          <a:prstGeom prst="line">
                            <a:avLst/>
                          </a:prstGeom>
                          <a:noFill/>
                          <a:ln w="9525" cap="flat" cmpd="sng" algn="ctr">
                            <a:solidFill>
                              <a:sysClr val="windowText" lastClr="000000"/>
                            </a:solidFill>
                            <a:prstDash val="solid"/>
                          </a:ln>
                          <a:effectLst/>
                        </wps:spPr>
                        <wps:bodyPr/>
                      </wps:wsp>
                      <wps:wsp>
                        <wps:cNvPr id="172" name="正方形/長方形 172"/>
                        <wps:cNvSpPr/>
                        <wps:spPr>
                          <a:xfrm>
                            <a:off x="341906" y="270344"/>
                            <a:ext cx="2160905" cy="515620"/>
                          </a:xfrm>
                          <a:prstGeom prst="rect">
                            <a:avLst/>
                          </a:prstGeom>
                          <a:solidFill>
                            <a:sysClr val="window" lastClr="FFFFFF"/>
                          </a:solidFill>
                          <a:ln w="9525" cap="flat" cmpd="sng" algn="ctr">
                            <a:solidFill>
                              <a:sysClr val="windowText" lastClr="000000"/>
                            </a:solidFill>
                            <a:prstDash val="solid"/>
                          </a:ln>
                          <a:effectLst/>
                        </wps:spPr>
                        <wps:txbx>
                          <w:txbxContent>
                            <w:p w14:paraId="409739F9" w14:textId="77777777" w:rsidR="006A5267" w:rsidRPr="0093399E" w:rsidRDefault="006A5267" w:rsidP="005D372A">
                              <w:pPr>
                                <w:spacing w:line="240" w:lineRule="exact"/>
                                <w:jc w:val="center"/>
                                <w:rPr>
                                  <w:rFonts w:asciiTheme="majorEastAsia" w:eastAsiaTheme="majorEastAsia" w:hAnsiTheme="majorEastAsia"/>
                                  <w:color w:val="000000" w:themeColor="text1"/>
                                  <w:sz w:val="16"/>
                                  <w:szCs w:val="16"/>
                                </w:rPr>
                              </w:pPr>
                              <w:r w:rsidRPr="0093399E">
                                <w:rPr>
                                  <w:rFonts w:asciiTheme="majorEastAsia" w:eastAsiaTheme="majorEastAsia" w:hAnsiTheme="majorEastAsia" w:hint="eastAsia"/>
                                  <w:color w:val="000000" w:themeColor="text1"/>
                                  <w:sz w:val="16"/>
                                  <w:szCs w:val="16"/>
                                </w:rPr>
                                <w:t>班長</w:t>
                              </w:r>
                            </w:p>
                            <w:p w14:paraId="0497E8D1" w14:textId="77777777" w:rsidR="006A5267" w:rsidRPr="00A8725A" w:rsidRDefault="006A5267" w:rsidP="00445858">
                              <w:pPr>
                                <w:spacing w:line="240" w:lineRule="exact"/>
                                <w:jc w:val="center"/>
                                <w:rPr>
                                  <w:color w:val="000000" w:themeColor="text1"/>
                                  <w:sz w:val="16"/>
                                  <w:szCs w:val="16"/>
                                </w:rPr>
                              </w:pPr>
                              <w:r w:rsidRPr="00D46C92">
                                <w:rPr>
                                  <w:rFonts w:hint="eastAsia"/>
                                  <w:sz w:val="16"/>
                                  <w:szCs w:val="16"/>
                                </w:rPr>
                                <w:t>（地域防災監、又は知事が指名した職員</w:t>
                              </w:r>
                              <w:r w:rsidRPr="00A8725A">
                                <w:rPr>
                                  <w:rFonts w:hint="eastAsia"/>
                                  <w:color w:val="000000" w:themeColor="text1"/>
                                  <w:sz w:val="16"/>
                                  <w:szCs w:val="16"/>
                                </w:rPr>
                                <w:t>）</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wps:wsp>
                        <wps:cNvPr id="173" name="正方形/長方形 173"/>
                        <wps:cNvSpPr/>
                        <wps:spPr>
                          <a:xfrm>
                            <a:off x="63669" y="922071"/>
                            <a:ext cx="2733495" cy="621355"/>
                          </a:xfrm>
                          <a:prstGeom prst="rect">
                            <a:avLst/>
                          </a:prstGeom>
                          <a:solidFill>
                            <a:sysClr val="window" lastClr="FFFFFF"/>
                          </a:solidFill>
                          <a:ln w="9525" cap="flat" cmpd="sng" algn="ctr">
                            <a:solidFill>
                              <a:sysClr val="windowText" lastClr="000000"/>
                            </a:solidFill>
                            <a:prstDash val="solid"/>
                          </a:ln>
                          <a:effectLst/>
                        </wps:spPr>
                        <wps:txbx>
                          <w:txbxContent>
                            <w:p w14:paraId="5B9083A9" w14:textId="77777777" w:rsidR="006A5267" w:rsidRPr="0093399E" w:rsidRDefault="006A5267" w:rsidP="005D372A">
                              <w:pPr>
                                <w:spacing w:line="240" w:lineRule="exact"/>
                                <w:jc w:val="center"/>
                                <w:rPr>
                                  <w:rFonts w:asciiTheme="majorEastAsia" w:eastAsiaTheme="majorEastAsia" w:hAnsiTheme="majorEastAsia"/>
                                  <w:color w:val="000000" w:themeColor="text1"/>
                                  <w:sz w:val="16"/>
                                  <w:szCs w:val="16"/>
                                </w:rPr>
                              </w:pPr>
                              <w:r w:rsidRPr="0093399E">
                                <w:rPr>
                                  <w:rFonts w:asciiTheme="majorEastAsia" w:eastAsiaTheme="majorEastAsia" w:hAnsiTheme="majorEastAsia" w:hint="eastAsia"/>
                                  <w:color w:val="000000" w:themeColor="text1"/>
                                  <w:sz w:val="16"/>
                                  <w:szCs w:val="16"/>
                                </w:rPr>
                                <w:t>班員</w:t>
                              </w:r>
                            </w:p>
                            <w:p w14:paraId="5217C1D6" w14:textId="7689DE1D" w:rsidR="006A5267" w:rsidRPr="00A8725A" w:rsidRDefault="006A5267" w:rsidP="00445858">
                              <w:pPr>
                                <w:spacing w:line="240" w:lineRule="exact"/>
                                <w:jc w:val="center"/>
                                <w:rPr>
                                  <w:color w:val="000000" w:themeColor="text1"/>
                                  <w:sz w:val="16"/>
                                  <w:szCs w:val="16"/>
                                </w:rPr>
                              </w:pPr>
                              <w:r>
                                <w:rPr>
                                  <w:rFonts w:hint="eastAsia"/>
                                  <w:color w:val="000000" w:themeColor="text1"/>
                                  <w:sz w:val="16"/>
                                  <w:szCs w:val="16"/>
                                </w:rPr>
                                <w:t>（土木事</w:t>
                              </w:r>
                              <w:r w:rsidRPr="00D46C92">
                                <w:rPr>
                                  <w:rFonts w:hint="eastAsia"/>
                                  <w:sz w:val="16"/>
                                  <w:szCs w:val="16"/>
                                </w:rPr>
                                <w:t>務所主査及び土木事務所所管区域</w:t>
                              </w:r>
                              <w:r w:rsidRPr="00D46C92">
                                <w:rPr>
                                  <w:sz w:val="16"/>
                                  <w:szCs w:val="16"/>
                                </w:rPr>
                                <w:br/>
                              </w:r>
                              <w:r w:rsidRPr="00D46C92">
                                <w:rPr>
                                  <w:rFonts w:hint="eastAsia"/>
                                  <w:sz w:val="16"/>
                                  <w:szCs w:val="16"/>
                                </w:rPr>
                                <w:t>出先機関職員で知事の指名</w:t>
                              </w:r>
                              <w:r w:rsidRPr="00905CF0">
                                <w:rPr>
                                  <w:rFonts w:hint="eastAsia"/>
                                  <w:color w:val="000000" w:themeColor="text1"/>
                                  <w:sz w:val="16"/>
                                  <w:szCs w:val="16"/>
                                </w:rPr>
                                <w:t>した職員</w:t>
                              </w:r>
                              <w:r w:rsidRPr="00A8725A">
                                <w:rPr>
                                  <w:rFonts w:hint="eastAsia"/>
                                  <w:color w:val="000000" w:themeColor="text1"/>
                                  <w:sz w:val="16"/>
                                  <w:szCs w:val="16"/>
                                </w:rPr>
                                <w:t>）</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wpg:wgp>
                  </a:graphicData>
                </a:graphic>
                <wp14:sizeRelH relativeFrom="margin">
                  <wp14:pctWidth>0</wp14:pctWidth>
                </wp14:sizeRelH>
              </wp:anchor>
            </w:drawing>
          </mc:Choice>
          <mc:Fallback xmlns:w16cei="http://schemas.microsoft.com/office/word/2026/wordml/cei">
            <w:pict>
              <v:group w14:anchorId="5430FED6" id="グループ化 168" o:spid="_x0000_s1110" style="position:absolute;left:0;text-align:left;margin-left:177.7pt;margin-top:12.05pt;width:230.25pt;height:123.15pt;z-index:252891136;mso-width-relative:margin" coordsize="28448,1564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">
                <v:rect id="正方形/長方形 169" o:spid="_x0000_s1111" style="position:absolute;top:1272;width:28448;height:1437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" fillcolor="window" strokecolor="windowText" strokeweight=".5pt">
                  <v:stroke dashstyle="dash"/>
                  <v:textbox inset="0,0,0,0"/>
                </v:rect>
                <v:rect id="正方形/長方形 170" o:spid="_x0000_s1112" style="position:absolute;left:9939;width:8496;height:229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" fillcolor="window" stroked="f">
                  <v:textbox inset="0,0,0,0">
                    <w:txbxContent>
                      <w:p w14:paraId="4ECAB10F" w14:textId="77777777" w:rsidR="006A5267" w:rsidRPr="00055897" w:rsidRDefault="006A5267" w:rsidP="005D372A">
                        <w:pPr>
                          <w:spacing w:line="240" w:lineRule="exact"/>
                          <w:jc w:val="center"/>
                          <w:rPr>
                            <w:rFonts w:asciiTheme="majorEastAsia" w:eastAsiaTheme="majorEastAsia" w:hAnsiTheme="majorEastAsia"/>
                            <w:color w:val="000000" w:themeColor="text1"/>
                            <w:sz w:val="16"/>
                            <w:szCs w:val="16"/>
                          </w:rPr>
                        </w:pPr>
                        <w:r w:rsidRPr="00055897">
                          <w:rPr>
                            <w:rFonts w:asciiTheme="majorEastAsia" w:eastAsiaTheme="majorEastAsia" w:hAnsiTheme="majorEastAsia" w:hint="eastAsia"/>
                            <w:color w:val="000000" w:themeColor="text1"/>
                            <w:sz w:val="16"/>
                            <w:szCs w:val="16"/>
                          </w:rPr>
                          <w:t>地域情報班</w:t>
                        </w:r>
                      </w:p>
                    </w:txbxContent>
                  </v:textbox>
                </v:rect>
                <v:line id="直線コネクタ 171" o:spid="_x0000_s1113" style="position:absolute;visibility:visible;mso-wrap-style:square" from="14232,3657" to="14232,1327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" strokecolor="windowText"/>
                <v:rect id="正方形/長方形 172" o:spid="_x0000_s1114" style="position:absolute;left:3419;top:2703;width:21609;height:515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" fillcolor="window" strokecolor="windowText">
                  <v:textbox inset="0,0,0,0">
                    <w:txbxContent>
                      <w:p w14:paraId="409739F9" w14:textId="77777777" w:rsidR="006A5267" w:rsidRPr="0093399E" w:rsidRDefault="006A5267" w:rsidP="005D372A">
                        <w:pPr>
                          <w:spacing w:line="240" w:lineRule="exact"/>
                          <w:jc w:val="center"/>
                          <w:rPr>
                            <w:rFonts w:asciiTheme="majorEastAsia" w:eastAsiaTheme="majorEastAsia" w:hAnsiTheme="majorEastAsia"/>
                            <w:color w:val="000000" w:themeColor="text1"/>
                            <w:sz w:val="16"/>
                            <w:szCs w:val="16"/>
                          </w:rPr>
                        </w:pPr>
                        <w:r w:rsidRPr="0093399E">
                          <w:rPr>
                            <w:rFonts w:asciiTheme="majorEastAsia" w:eastAsiaTheme="majorEastAsia" w:hAnsiTheme="majorEastAsia" w:hint="eastAsia"/>
                            <w:color w:val="000000" w:themeColor="text1"/>
                            <w:sz w:val="16"/>
                            <w:szCs w:val="16"/>
                          </w:rPr>
                          <w:t>班長</w:t>
                        </w:r>
                      </w:p>
                      <w:p w14:paraId="0497E8D1" w14:textId="77777777" w:rsidR="006A5267" w:rsidRPr="00A8725A" w:rsidRDefault="006A5267" w:rsidP="00445858">
                        <w:pPr>
                          <w:spacing w:line="240" w:lineRule="exact"/>
                          <w:jc w:val="center"/>
                          <w:rPr>
                            <w:color w:val="000000" w:themeColor="text1"/>
                            <w:sz w:val="16"/>
                            <w:szCs w:val="16"/>
                          </w:rPr>
                        </w:pPr>
                        <w:r w:rsidRPr="00D46C92">
                          <w:rPr>
                            <w:rFonts w:hint="eastAsia"/>
                            <w:sz w:val="16"/>
                            <w:szCs w:val="16"/>
                          </w:rPr>
                          <w:t>（地域防災監、又は知事が指名した職員</w:t>
                        </w:r>
                        <w:r w:rsidRPr="00A8725A">
                          <w:rPr>
                            <w:rFonts w:hint="eastAsia"/>
                            <w:color w:val="000000" w:themeColor="text1"/>
                            <w:sz w:val="16"/>
                            <w:szCs w:val="16"/>
                          </w:rPr>
                          <w:t>）</w:t>
                        </w:r>
                      </w:p>
                    </w:txbxContent>
                  </v:textbox>
                </v:rect>
                <v:rect id="正方形/長方形 173" o:spid="_x0000_s1115" style="position:absolute;left:636;top:9220;width:27335;height:621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" fillcolor="window" strokecolor="windowText">
                  <v:textbox inset="0,0,0,0">
                    <w:txbxContent>
                      <w:p w14:paraId="5B9083A9" w14:textId="77777777" w:rsidR="006A5267" w:rsidRPr="0093399E" w:rsidRDefault="006A5267" w:rsidP="005D372A">
                        <w:pPr>
                          <w:spacing w:line="240" w:lineRule="exact"/>
                          <w:jc w:val="center"/>
                          <w:rPr>
                            <w:rFonts w:asciiTheme="majorEastAsia" w:eastAsiaTheme="majorEastAsia" w:hAnsiTheme="majorEastAsia"/>
                            <w:color w:val="000000" w:themeColor="text1"/>
                            <w:sz w:val="16"/>
                            <w:szCs w:val="16"/>
                          </w:rPr>
                        </w:pPr>
                        <w:r w:rsidRPr="0093399E">
                          <w:rPr>
                            <w:rFonts w:asciiTheme="majorEastAsia" w:eastAsiaTheme="majorEastAsia" w:hAnsiTheme="majorEastAsia" w:hint="eastAsia"/>
                            <w:color w:val="000000" w:themeColor="text1"/>
                            <w:sz w:val="16"/>
                            <w:szCs w:val="16"/>
                          </w:rPr>
                          <w:t>班員</w:t>
                        </w:r>
                      </w:p>
                      <w:p w14:paraId="5217C1D6" w14:textId="7689DE1D" w:rsidR="006A5267" w:rsidRPr="00A8725A" w:rsidRDefault="006A5267" w:rsidP="00445858">
                        <w:pPr>
                          <w:spacing w:line="240" w:lineRule="exact"/>
                          <w:jc w:val="center"/>
                          <w:rPr>
                            <w:color w:val="000000" w:themeColor="text1"/>
                            <w:sz w:val="16"/>
                            <w:szCs w:val="16"/>
                          </w:rPr>
                        </w:pPr>
                        <w:r>
                          <w:rPr>
                            <w:rFonts w:hint="eastAsia"/>
                            <w:color w:val="000000" w:themeColor="text1"/>
                            <w:sz w:val="16"/>
                            <w:szCs w:val="16"/>
                          </w:rPr>
                          <w:t>（土木事</w:t>
                        </w:r>
                        <w:r w:rsidRPr="00D46C92">
                          <w:rPr>
                            <w:rFonts w:hint="eastAsia"/>
                            <w:sz w:val="16"/>
                            <w:szCs w:val="16"/>
                          </w:rPr>
                          <w:t>務所主査及び土木事務所所管区域</w:t>
                        </w:r>
                        <w:r w:rsidRPr="00D46C92">
                          <w:rPr>
                            <w:sz w:val="16"/>
                            <w:szCs w:val="16"/>
                          </w:rPr>
                          <w:br/>
                        </w:r>
                        <w:r w:rsidRPr="00D46C92">
                          <w:rPr>
                            <w:rFonts w:hint="eastAsia"/>
                            <w:sz w:val="16"/>
                            <w:szCs w:val="16"/>
                          </w:rPr>
                          <w:t>出先機関職員で知事の指名</w:t>
                        </w:r>
                        <w:r w:rsidRPr="00905CF0">
                          <w:rPr>
                            <w:rFonts w:hint="eastAsia"/>
                            <w:color w:val="000000" w:themeColor="text1"/>
                            <w:sz w:val="16"/>
                            <w:szCs w:val="16"/>
                          </w:rPr>
                          <w:t>した職員</w:t>
                        </w:r>
                        <w:r w:rsidRPr="00A8725A">
                          <w:rPr>
                            <w:rFonts w:hint="eastAsia"/>
                            <w:color w:val="000000" w:themeColor="text1"/>
                            <w:sz w:val="16"/>
                            <w:szCs w:val="16"/>
                          </w:rPr>
                          <w:t>）</w:t>
                        </w:r>
                      </w:p>
                    </w:txbxContent>
                  </v:textbox>
                </v:rect>
              </v:group>
            </w:pict>
          </mc:Fallback>
        </mc:AlternateContent>
      </w:r>
      <w:r w:rsidRPr="001D6D10">
        <w:rPr>
          <w:noProof/>
        </w:rPr>
        <mc:AlternateContent>
          <mc:Choice Requires="wps">
            <w:drawing>
              <wp:anchor distT="0" distB="0" distL="114300" distR="114300" simplePos="0" relativeHeight="252889088" behindDoc="0" locked="0" layoutInCell="1" allowOverlap="1" wp14:anchorId="70E049EE" wp14:editId="01521B40">
                <wp:simplePos x="0" y="0"/>
                <wp:positionH relativeFrom="column">
                  <wp:posOffset>37465</wp:posOffset>
                </wp:positionH>
                <wp:positionV relativeFrom="paragraph">
                  <wp:posOffset>143510</wp:posOffset>
                </wp:positionV>
                <wp:extent cx="4772025" cy="4438650"/>
                <wp:effectExtent l="0" t="0" r="28575" b="19050"/>
                <wp:wrapNone/>
                <wp:docPr id="2796" name="フリーフォーム 2796"/>
                <wp:cNvGraphicFramePr/>
                <a:graphic xmlns:a="http://schemas.openxmlformats.org/drawingml/2006/main">
                  <a:graphicData uri="http://schemas.microsoft.com/office/word/2010/wordprocessingShape">
                    <wps:wsp>
                      <wps:cNvSpPr/>
                      <wps:spPr>
                        <a:xfrm>
                          <a:off x="0" y="0"/>
                          <a:ext cx="4772025" cy="4438650"/>
                        </a:xfrm>
                        <a:custGeom>
                          <a:avLst/>
                          <a:gdLst>
                            <a:gd name="connsiteX0" fmla="*/ 4733925 w 4772025"/>
                            <a:gd name="connsiteY0" fmla="*/ 4429125 h 4438650"/>
                            <a:gd name="connsiteX1" fmla="*/ 0 w 4772025"/>
                            <a:gd name="connsiteY1" fmla="*/ 4429125 h 4438650"/>
                            <a:gd name="connsiteX2" fmla="*/ 0 w 4772025"/>
                            <a:gd name="connsiteY2" fmla="*/ 0 h 4438650"/>
                            <a:gd name="connsiteX3" fmla="*/ 1847850 w 4772025"/>
                            <a:gd name="connsiteY3" fmla="*/ 0 h 4438650"/>
                            <a:gd name="connsiteX4" fmla="*/ 1847850 w 4772025"/>
                            <a:gd name="connsiteY4" fmla="*/ 1762125 h 4438650"/>
                            <a:gd name="connsiteX5" fmla="*/ 4772025 w 4772025"/>
                            <a:gd name="connsiteY5" fmla="*/ 1762125 h 4438650"/>
                            <a:gd name="connsiteX6" fmla="*/ 4772025 w 4772025"/>
                            <a:gd name="connsiteY6" fmla="*/ 4438650 h 4438650"/>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Lst>
                          <a:rect l="l" t="t" r="r" b="b"/>
                          <a:pathLst>
                            <a:path w="4772025" h="4438650">
                              <a:moveTo>
                                <a:pt x="4733925" y="4429125"/>
                              </a:moveTo>
                              <a:lnTo>
                                <a:pt x="0" y="4429125"/>
                              </a:lnTo>
                              <a:lnTo>
                                <a:pt x="0" y="0"/>
                              </a:lnTo>
                              <a:lnTo>
                                <a:pt x="1847850" y="0"/>
                              </a:lnTo>
                              <a:lnTo>
                                <a:pt x="1847850" y="1762125"/>
                              </a:lnTo>
                              <a:lnTo>
                                <a:pt x="4772025" y="1762125"/>
                              </a:lnTo>
                              <a:lnTo>
                                <a:pt x="4772025" y="4438650"/>
                              </a:lnTo>
                            </a:path>
                          </a:pathLst>
                        </a:custGeom>
                        <a:noFill/>
                        <a:ln w="6350" cap="flat" cmpd="sng" algn="ctr">
                          <a:solidFill>
                            <a:sysClr val="windowText" lastClr="000000"/>
                          </a:solidFill>
                          <a:prstDash val="dash"/>
                          <a:tailEnd type="none"/>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6cei="http://schemas.microsoft.com/office/word/2026/wordml/cei">
            <w:pict>
              <v:shape w14:anchorId="27ED6B2F" id="フリーフォーム 2796" o:spid="_x0000_s1026" style="position:absolute;left:0;text-align:left;margin-left:2.95pt;margin-top:11.3pt;width:375.75pt;height:349.5pt;z-index:252889088;visibility:visible;mso-wrap-style:square;mso-wrap-distance-left:9pt;mso-wrap-distance-top:0;mso-wrap-distance-right:9pt;mso-wrap-distance-bottom:0;mso-position-horizontal:absolute;mso-position-horizontal-relative:text;mso-position-vertical:absolute;mso-position-vertical-relative:text;v-text-anchor:middle" coordsize="4772025,44386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" path="m4733925,4429125l,4429125,,,1847850,r,1762125l4772025,1762125r,2676525e" filled="f" strokecolor="windowText" strokeweight=".5pt">
                <v:stroke dashstyle="dash"/>
                <v:path arrowok="t" o:connecttype="custom" o:connectlocs="4733925,4429125;0,4429125;0,0;1847850,0;1847850,1762125;4772025,1762125;4772025,4438650" o:connectangles="0,0,0,0,0,0,0"/>
              </v:shape>
            </w:pict>
          </mc:Fallback>
        </mc:AlternateContent>
      </w:r>
      <w:r w:rsidRPr="001D6D10">
        <w:rPr>
          <w:noProof/>
        </w:rPr>
        <mc:AlternateContent>
          <mc:Choice Requires="wps">
            <w:drawing>
              <wp:anchor distT="0" distB="0" distL="114300" distR="114300" simplePos="0" relativeHeight="252896256" behindDoc="0" locked="0" layoutInCell="1" allowOverlap="1" wp14:anchorId="62535B66" wp14:editId="45EC0C17">
                <wp:simplePos x="0" y="0"/>
                <wp:positionH relativeFrom="column">
                  <wp:posOffset>467309</wp:posOffset>
                </wp:positionH>
                <wp:positionV relativeFrom="paragraph">
                  <wp:posOffset>23661</wp:posOffset>
                </wp:positionV>
                <wp:extent cx="1255457" cy="230481"/>
                <wp:effectExtent l="0" t="0" r="1905" b="0"/>
                <wp:wrapNone/>
                <wp:docPr id="182" name="正方形/長方形 182"/>
                <wp:cNvGraphicFramePr/>
                <a:graphic xmlns:a="http://schemas.openxmlformats.org/drawingml/2006/main">
                  <a:graphicData uri="http://schemas.microsoft.com/office/word/2010/wordprocessingShape">
                    <wps:wsp>
                      <wps:cNvSpPr/>
                      <wps:spPr>
                        <a:xfrm>
                          <a:off x="0" y="0"/>
                          <a:ext cx="1255457" cy="230481"/>
                        </a:xfrm>
                        <a:prstGeom prst="rect">
                          <a:avLst/>
                        </a:prstGeom>
                        <a:solidFill>
                          <a:sysClr val="window" lastClr="FFFFFF"/>
                        </a:solidFill>
                        <a:ln w="9525" cap="flat" cmpd="sng" algn="ctr">
                          <a:noFill/>
                          <a:prstDash val="solid"/>
                        </a:ln>
                        <a:effectLst/>
                      </wps:spPr>
                      <wps:txbx>
                        <w:txbxContent>
                          <w:p w14:paraId="2254AF7C" w14:textId="77777777" w:rsidR="006A5267" w:rsidRPr="00E9662B" w:rsidRDefault="006A5267" w:rsidP="005D372A">
                            <w:pPr>
                              <w:spacing w:line="240" w:lineRule="exact"/>
                              <w:jc w:val="center"/>
                              <w:rPr>
                                <w:rFonts w:asciiTheme="majorEastAsia" w:eastAsiaTheme="majorEastAsia" w:hAnsiTheme="majorEastAsia"/>
                                <w:color w:val="000000" w:themeColor="text1"/>
                                <w:sz w:val="16"/>
                                <w:szCs w:val="16"/>
                              </w:rPr>
                            </w:pPr>
                            <w:r w:rsidRPr="00E9662B">
                              <w:rPr>
                                <w:rFonts w:asciiTheme="majorEastAsia" w:eastAsiaTheme="majorEastAsia" w:hAnsiTheme="majorEastAsia" w:hint="eastAsia"/>
                                <w:color w:val="000000" w:themeColor="text1"/>
                                <w:sz w:val="16"/>
                                <w:szCs w:val="16"/>
                              </w:rPr>
                              <w:t>防災・危機管理</w:t>
                            </w:r>
                            <w:r>
                              <w:rPr>
                                <w:rFonts w:asciiTheme="majorEastAsia" w:eastAsiaTheme="majorEastAsia" w:hAnsiTheme="majorEastAsia" w:hint="eastAsia"/>
                                <w:color w:val="000000" w:themeColor="text1"/>
                                <w:sz w:val="16"/>
                                <w:szCs w:val="16"/>
                              </w:rPr>
                              <w:t>指令部</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a:graphicData>
                </a:graphic>
              </wp:anchor>
            </w:drawing>
          </mc:Choice>
          <mc:Fallback xmlns:w16cei="http://schemas.microsoft.com/office/word/2026/wordml/cei">
            <w:pict>
              <v:rect w14:anchorId="62535B66" id="正方形/長方形 182" o:spid="_x0000_s1116" style="position:absolute;left:0;text-align:left;margin-left:36.8pt;margin-top:1.85pt;width:98.85pt;height:18.15pt;z-index:25289625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" fillcolor="window" stroked="f">
                <v:textbox inset="0,0,0,0">
                  <w:txbxContent>
                    <w:p w14:paraId="2254AF7C" w14:textId="77777777" w:rsidR="006A5267" w:rsidRPr="00E9662B" w:rsidRDefault="006A5267" w:rsidP="005D372A">
                      <w:pPr>
                        <w:spacing w:line="240" w:lineRule="exact"/>
                        <w:jc w:val="center"/>
                        <w:rPr>
                          <w:rFonts w:asciiTheme="majorEastAsia" w:eastAsiaTheme="majorEastAsia" w:hAnsiTheme="majorEastAsia"/>
                          <w:color w:val="000000" w:themeColor="text1"/>
                          <w:sz w:val="16"/>
                          <w:szCs w:val="16"/>
                        </w:rPr>
                      </w:pPr>
                      <w:r w:rsidRPr="00E9662B">
                        <w:rPr>
                          <w:rFonts w:asciiTheme="majorEastAsia" w:eastAsiaTheme="majorEastAsia" w:hAnsiTheme="majorEastAsia" w:hint="eastAsia"/>
                          <w:color w:val="000000" w:themeColor="text1"/>
                          <w:sz w:val="16"/>
                          <w:szCs w:val="16"/>
                        </w:rPr>
                        <w:t>防災・危機管理</w:t>
                      </w:r>
                      <w:r>
                        <w:rPr>
                          <w:rFonts w:asciiTheme="majorEastAsia" w:eastAsiaTheme="majorEastAsia" w:hAnsiTheme="majorEastAsia" w:hint="eastAsia"/>
                          <w:color w:val="000000" w:themeColor="text1"/>
                          <w:sz w:val="16"/>
                          <w:szCs w:val="16"/>
                        </w:rPr>
                        <w:t>指令部</w:t>
                      </w:r>
                    </w:p>
                  </w:txbxContent>
                </v:textbox>
              </v:rect>
            </w:pict>
          </mc:Fallback>
        </mc:AlternateContent>
      </w:r>
    </w:p>
    <w:p w14:paraId="0D6BEA34" w14:textId="77777777" w:rsidR="005D372A" w:rsidRPr="001D6D10" w:rsidRDefault="005D372A" w:rsidP="005D372A">
      <w:r w:rsidRPr="001D6D10">
        <w:rPr>
          <w:noProof/>
        </w:rPr>
        <mc:AlternateContent>
          <mc:Choice Requires="wps">
            <w:drawing>
              <wp:anchor distT="0" distB="0" distL="114300" distR="114300" simplePos="0" relativeHeight="252893184" behindDoc="0" locked="0" layoutInCell="1" allowOverlap="1" wp14:anchorId="477BE8AD" wp14:editId="0B989DC9">
                <wp:simplePos x="0" y="0"/>
                <wp:positionH relativeFrom="column">
                  <wp:posOffset>569656</wp:posOffset>
                </wp:positionH>
                <wp:positionV relativeFrom="paragraph">
                  <wp:posOffset>67989</wp:posOffset>
                </wp:positionV>
                <wp:extent cx="1041286" cy="466677"/>
                <wp:effectExtent l="0" t="0" r="26035" b="10160"/>
                <wp:wrapNone/>
                <wp:docPr id="177" name="正方形/長方形 177"/>
                <wp:cNvGraphicFramePr/>
                <a:graphic xmlns:a="http://schemas.openxmlformats.org/drawingml/2006/main">
                  <a:graphicData uri="http://schemas.microsoft.com/office/word/2010/wordprocessingShape">
                    <wps:wsp>
                      <wps:cNvSpPr/>
                      <wps:spPr>
                        <a:xfrm>
                          <a:off x="0" y="0"/>
                          <a:ext cx="1041286" cy="466677"/>
                        </a:xfrm>
                        <a:prstGeom prst="rect">
                          <a:avLst/>
                        </a:prstGeom>
                        <a:solidFill>
                          <a:sysClr val="window" lastClr="FFFFFF"/>
                        </a:solidFill>
                        <a:ln w="9525" cap="flat" cmpd="sng" algn="ctr">
                          <a:solidFill>
                            <a:sysClr val="windowText" lastClr="000000"/>
                          </a:solidFill>
                          <a:prstDash val="solid"/>
                        </a:ln>
                        <a:effectLst/>
                      </wps:spPr>
                      <wps:txbx>
                        <w:txbxContent>
                          <w:p w14:paraId="27179BBF" w14:textId="77777777" w:rsidR="006A5267" w:rsidRPr="008572DC" w:rsidRDefault="006A5267" w:rsidP="005D372A">
                            <w:pPr>
                              <w:spacing w:line="240" w:lineRule="exact"/>
                              <w:jc w:val="center"/>
                              <w:rPr>
                                <w:rFonts w:asciiTheme="majorEastAsia" w:eastAsiaTheme="majorEastAsia" w:hAnsiTheme="majorEastAsia"/>
                                <w:color w:val="000000" w:themeColor="text1"/>
                                <w:sz w:val="16"/>
                                <w:szCs w:val="16"/>
                              </w:rPr>
                            </w:pPr>
                            <w:r>
                              <w:rPr>
                                <w:rFonts w:asciiTheme="majorEastAsia" w:eastAsiaTheme="majorEastAsia" w:hAnsiTheme="majorEastAsia" w:hint="eastAsia"/>
                                <w:color w:val="000000" w:themeColor="text1"/>
                                <w:sz w:val="16"/>
                                <w:szCs w:val="16"/>
                              </w:rPr>
                              <w:t>部長</w:t>
                            </w:r>
                          </w:p>
                          <w:p w14:paraId="4FBEBD6F" w14:textId="77777777" w:rsidR="006A5267" w:rsidRPr="00A8725A" w:rsidRDefault="006A5267" w:rsidP="005D372A">
                            <w:pPr>
                              <w:spacing w:line="240" w:lineRule="exact"/>
                              <w:jc w:val="center"/>
                              <w:rPr>
                                <w:color w:val="000000" w:themeColor="text1"/>
                                <w:sz w:val="16"/>
                                <w:szCs w:val="16"/>
                              </w:rPr>
                            </w:pPr>
                            <w:r>
                              <w:rPr>
                                <w:rFonts w:hint="eastAsia"/>
                                <w:color w:val="000000" w:themeColor="text1"/>
                                <w:sz w:val="16"/>
                                <w:szCs w:val="16"/>
                              </w:rPr>
                              <w:t>（危機管理監</w:t>
                            </w:r>
                            <w:r w:rsidRPr="00A8725A">
                              <w:rPr>
                                <w:rFonts w:hint="eastAsia"/>
                                <w:color w:val="000000" w:themeColor="text1"/>
                                <w:sz w:val="16"/>
                                <w:szCs w:val="16"/>
                              </w:rPr>
                              <w:t>）</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a:graphicData>
                </a:graphic>
              </wp:anchor>
            </w:drawing>
          </mc:Choice>
          <mc:Fallback xmlns:w16cei="http://schemas.microsoft.com/office/word/2026/wordml/cei">
            <w:pict>
              <v:rect w14:anchorId="477BE8AD" id="正方形/長方形 177" o:spid="_x0000_s1117" style="position:absolute;left:0;text-align:left;margin-left:44.85pt;margin-top:5.35pt;width:82pt;height:36.75pt;z-index:25289318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" fillcolor="window" strokecolor="windowText">
                <v:textbox inset="0,0,0,0">
                  <w:txbxContent>
                    <w:p w14:paraId="27179BBF" w14:textId="77777777" w:rsidR="006A5267" w:rsidRPr="008572DC" w:rsidRDefault="006A5267" w:rsidP="005D372A">
                      <w:pPr>
                        <w:spacing w:line="240" w:lineRule="exact"/>
                        <w:jc w:val="center"/>
                        <w:rPr>
                          <w:rFonts w:asciiTheme="majorEastAsia" w:eastAsiaTheme="majorEastAsia" w:hAnsiTheme="majorEastAsia"/>
                          <w:color w:val="000000" w:themeColor="text1"/>
                          <w:sz w:val="16"/>
                          <w:szCs w:val="16"/>
                        </w:rPr>
                      </w:pPr>
                      <w:r>
                        <w:rPr>
                          <w:rFonts w:asciiTheme="majorEastAsia" w:eastAsiaTheme="majorEastAsia" w:hAnsiTheme="majorEastAsia" w:hint="eastAsia"/>
                          <w:color w:val="000000" w:themeColor="text1"/>
                          <w:sz w:val="16"/>
                          <w:szCs w:val="16"/>
                        </w:rPr>
                        <w:t>部長</w:t>
                      </w:r>
                    </w:p>
                    <w:p w14:paraId="4FBEBD6F" w14:textId="77777777" w:rsidR="006A5267" w:rsidRPr="00A8725A" w:rsidRDefault="006A5267" w:rsidP="005D372A">
                      <w:pPr>
                        <w:spacing w:line="240" w:lineRule="exact"/>
                        <w:jc w:val="center"/>
                        <w:rPr>
                          <w:color w:val="000000" w:themeColor="text1"/>
                          <w:sz w:val="16"/>
                          <w:szCs w:val="16"/>
                        </w:rPr>
                      </w:pPr>
                      <w:r>
                        <w:rPr>
                          <w:rFonts w:hint="eastAsia"/>
                          <w:color w:val="000000" w:themeColor="text1"/>
                          <w:sz w:val="16"/>
                          <w:szCs w:val="16"/>
                        </w:rPr>
                        <w:t>（危機管理監</w:t>
                      </w:r>
                      <w:r w:rsidRPr="00A8725A">
                        <w:rPr>
                          <w:rFonts w:hint="eastAsia"/>
                          <w:color w:val="000000" w:themeColor="text1"/>
                          <w:sz w:val="16"/>
                          <w:szCs w:val="16"/>
                        </w:rPr>
                        <w:t>）</w:t>
                      </w:r>
                    </w:p>
                  </w:txbxContent>
                </v:textbox>
              </v:rect>
            </w:pict>
          </mc:Fallback>
        </mc:AlternateContent>
      </w:r>
    </w:p>
    <w:p w14:paraId="00048730" w14:textId="77777777" w:rsidR="005D372A" w:rsidRPr="001D6D10" w:rsidRDefault="005D372A" w:rsidP="005D372A">
      <w:r w:rsidRPr="001D6D10">
        <w:rPr>
          <w:noProof/>
        </w:rPr>
        <mc:AlternateContent>
          <mc:Choice Requires="wps">
            <w:drawing>
              <wp:anchor distT="0" distB="0" distL="114300" distR="114300" simplePos="0" relativeHeight="252892160" behindDoc="0" locked="0" layoutInCell="1" allowOverlap="1" wp14:anchorId="6EB90A82" wp14:editId="78E9D546">
                <wp:simplePos x="0" y="0"/>
                <wp:positionH relativeFrom="column">
                  <wp:posOffset>1108684</wp:posOffset>
                </wp:positionH>
                <wp:positionV relativeFrom="paragraph">
                  <wp:posOffset>44084</wp:posOffset>
                </wp:positionV>
                <wp:extent cx="0" cy="1876232"/>
                <wp:effectExtent l="0" t="0" r="19050" b="10160"/>
                <wp:wrapNone/>
                <wp:docPr id="176" name="直線コネクタ 176"/>
                <wp:cNvGraphicFramePr/>
                <a:graphic xmlns:a="http://schemas.openxmlformats.org/drawingml/2006/main">
                  <a:graphicData uri="http://schemas.microsoft.com/office/word/2010/wordprocessingShape">
                    <wps:wsp>
                      <wps:cNvCnPr/>
                      <wps:spPr>
                        <a:xfrm>
                          <a:off x="0" y="0"/>
                          <a:ext cx="0" cy="1876232"/>
                        </a:xfrm>
                        <a:prstGeom prst="line">
                          <a:avLst/>
                        </a:prstGeom>
                        <a:noFill/>
                        <a:ln w="9525" cap="flat" cmpd="sng" algn="ctr">
                          <a:solidFill>
                            <a:sysClr val="windowText" lastClr="000000"/>
                          </a:solidFill>
                          <a:prstDash val="solid"/>
                        </a:ln>
                        <a:effectLst/>
                      </wps:spPr>
                      <wps:bodyPr/>
                    </wps:wsp>
                  </a:graphicData>
                </a:graphic>
              </wp:anchor>
            </w:drawing>
          </mc:Choice>
          <mc:Fallback xmlns:w16cei="http://schemas.microsoft.com/office/word/2026/wordml/cei">
            <w:pict>
              <v:line w14:anchorId="7B4DDA57" id="直線コネクタ 176" o:spid="_x0000_s1026" style="position:absolute;left:0;text-align:left;z-index:252892160;visibility:visible;mso-wrap-style:square;mso-wrap-distance-left:9pt;mso-wrap-distance-top:0;mso-wrap-distance-right:9pt;mso-wrap-distance-bottom:0;mso-position-horizontal:absolute;mso-position-horizontal-relative:text;mso-position-vertical:absolute;mso-position-vertical-relative:text" from="87.3pt,3.45pt" to="87.3pt,151.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" strokecolor="windowText"/>
            </w:pict>
          </mc:Fallback>
        </mc:AlternateContent>
      </w:r>
    </w:p>
    <w:p w14:paraId="48C2FC0D" w14:textId="77777777" w:rsidR="005D372A" w:rsidRPr="001D6D10" w:rsidRDefault="005D372A" w:rsidP="005D372A"/>
    <w:p w14:paraId="7B4C60BA" w14:textId="77777777" w:rsidR="005D372A" w:rsidRPr="001D6D10" w:rsidRDefault="005D372A" w:rsidP="005D372A">
      <w:r w:rsidRPr="001D6D10">
        <w:rPr>
          <w:noProof/>
        </w:rPr>
        <mc:AlternateContent>
          <mc:Choice Requires="wps">
            <w:drawing>
              <wp:anchor distT="0" distB="0" distL="114300" distR="114300" simplePos="0" relativeHeight="252894208" behindDoc="0" locked="0" layoutInCell="1" allowOverlap="1" wp14:anchorId="48CE629B" wp14:editId="3DA7D38B">
                <wp:simplePos x="0" y="0"/>
                <wp:positionH relativeFrom="column">
                  <wp:posOffset>513715</wp:posOffset>
                </wp:positionH>
                <wp:positionV relativeFrom="paragraph">
                  <wp:posOffset>103505</wp:posOffset>
                </wp:positionV>
                <wp:extent cx="1158748" cy="682801"/>
                <wp:effectExtent l="0" t="0" r="22860" b="22225"/>
                <wp:wrapNone/>
                <wp:docPr id="178" name="正方形/長方形 178"/>
                <wp:cNvGraphicFramePr/>
                <a:graphic xmlns:a="http://schemas.openxmlformats.org/drawingml/2006/main">
                  <a:graphicData uri="http://schemas.microsoft.com/office/word/2010/wordprocessingShape">
                    <wps:wsp>
                      <wps:cNvSpPr/>
                      <wps:spPr>
                        <a:xfrm>
                          <a:off x="0" y="0"/>
                          <a:ext cx="1158748" cy="682801"/>
                        </a:xfrm>
                        <a:prstGeom prst="rect">
                          <a:avLst/>
                        </a:prstGeom>
                        <a:solidFill>
                          <a:sysClr val="window" lastClr="FFFFFF"/>
                        </a:solidFill>
                        <a:ln w="9525" cap="flat" cmpd="sng" algn="ctr">
                          <a:solidFill>
                            <a:sysClr val="windowText" lastClr="000000"/>
                          </a:solidFill>
                          <a:prstDash val="solid"/>
                        </a:ln>
                        <a:effectLst/>
                      </wps:spPr>
                      <wps:txbx>
                        <w:txbxContent>
                          <w:p w14:paraId="4A1D0428" w14:textId="77777777" w:rsidR="006A5267" w:rsidRPr="00E9662B" w:rsidRDefault="006A5267" w:rsidP="005D372A">
                            <w:pPr>
                              <w:spacing w:line="240" w:lineRule="exact"/>
                              <w:jc w:val="center"/>
                              <w:rPr>
                                <w:rFonts w:asciiTheme="majorEastAsia" w:eastAsiaTheme="majorEastAsia" w:hAnsiTheme="majorEastAsia"/>
                                <w:color w:val="000000" w:themeColor="text1"/>
                                <w:sz w:val="16"/>
                                <w:szCs w:val="16"/>
                              </w:rPr>
                            </w:pPr>
                            <w:r>
                              <w:rPr>
                                <w:rFonts w:asciiTheme="majorEastAsia" w:eastAsiaTheme="majorEastAsia" w:hAnsiTheme="majorEastAsia" w:hint="eastAsia"/>
                                <w:color w:val="000000" w:themeColor="text1"/>
                                <w:sz w:val="16"/>
                                <w:szCs w:val="16"/>
                              </w:rPr>
                              <w:t>副部長</w:t>
                            </w:r>
                          </w:p>
                          <w:p w14:paraId="56355789" w14:textId="77777777" w:rsidR="006A5267" w:rsidRDefault="006A5267" w:rsidP="005D372A">
                            <w:pPr>
                              <w:spacing w:line="240" w:lineRule="exact"/>
                              <w:jc w:val="center"/>
                              <w:rPr>
                                <w:color w:val="000000" w:themeColor="text1"/>
                                <w:sz w:val="16"/>
                                <w:szCs w:val="16"/>
                              </w:rPr>
                            </w:pPr>
                            <w:r w:rsidRPr="00A8725A">
                              <w:rPr>
                                <w:rFonts w:hint="eastAsia"/>
                                <w:color w:val="000000" w:themeColor="text1"/>
                                <w:sz w:val="16"/>
                                <w:szCs w:val="16"/>
                              </w:rPr>
                              <w:t>（</w:t>
                            </w:r>
                            <w:r>
                              <w:rPr>
                                <w:rFonts w:hint="eastAsia"/>
                                <w:color w:val="000000" w:themeColor="text1"/>
                                <w:sz w:val="16"/>
                                <w:szCs w:val="16"/>
                              </w:rPr>
                              <w:t>危機管理室長</w:t>
                            </w:r>
                            <w:r w:rsidRPr="00A8725A">
                              <w:rPr>
                                <w:rFonts w:hint="eastAsia"/>
                                <w:color w:val="000000" w:themeColor="text1"/>
                                <w:sz w:val="16"/>
                                <w:szCs w:val="16"/>
                              </w:rPr>
                              <w:t>）</w:t>
                            </w:r>
                          </w:p>
                          <w:p w14:paraId="576BF6EA" w14:textId="77777777" w:rsidR="006A5267" w:rsidRDefault="006A5267" w:rsidP="005D372A">
                            <w:pPr>
                              <w:spacing w:line="240" w:lineRule="exact"/>
                              <w:jc w:val="center"/>
                              <w:rPr>
                                <w:color w:val="000000" w:themeColor="text1"/>
                                <w:sz w:val="16"/>
                                <w:szCs w:val="16"/>
                              </w:rPr>
                            </w:pPr>
                            <w:r>
                              <w:rPr>
                                <w:rFonts w:hint="eastAsia"/>
                                <w:color w:val="000000" w:themeColor="text1"/>
                                <w:sz w:val="16"/>
                                <w:szCs w:val="16"/>
                              </w:rPr>
                              <w:t>（事業調整室長）</w:t>
                            </w:r>
                          </w:p>
                          <w:p w14:paraId="63EC482C" w14:textId="77777777" w:rsidR="006A5267" w:rsidRPr="00A8725A" w:rsidRDefault="006A5267" w:rsidP="005D372A">
                            <w:pPr>
                              <w:spacing w:line="240" w:lineRule="exact"/>
                              <w:jc w:val="center"/>
                              <w:rPr>
                                <w:color w:val="000000" w:themeColor="text1"/>
                                <w:sz w:val="16"/>
                                <w:szCs w:val="16"/>
                              </w:rPr>
                            </w:pPr>
                            <w:r>
                              <w:rPr>
                                <w:rFonts w:hint="eastAsia"/>
                                <w:color w:val="000000" w:themeColor="text1"/>
                                <w:sz w:val="16"/>
                                <w:szCs w:val="16"/>
                              </w:rPr>
                              <w:t>〔風水害</w:t>
                            </w:r>
                            <w:r>
                              <w:rPr>
                                <w:color w:val="000000" w:themeColor="text1"/>
                                <w:sz w:val="16"/>
                                <w:szCs w:val="16"/>
                              </w:rPr>
                              <w:t>・台風〕</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xmlns:w16cei="http://schemas.microsoft.com/office/word/2026/wordml/cei">
            <w:pict>
              <v:rect w14:anchorId="48CE629B" id="正方形/長方形 178" o:spid="_x0000_s1118" style="position:absolute;left:0;text-align:left;margin-left:40.45pt;margin-top:8.15pt;width:91.25pt;height:53.75pt;z-index:25289420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" fillcolor="window" strokecolor="windowText">
                <v:textbox inset="0,0,0,0">
                  <w:txbxContent>
                    <w:p w14:paraId="4A1D0428" w14:textId="77777777" w:rsidR="006A5267" w:rsidRPr="00E9662B" w:rsidRDefault="006A5267" w:rsidP="005D372A">
                      <w:pPr>
                        <w:spacing w:line="240" w:lineRule="exact"/>
                        <w:jc w:val="center"/>
                        <w:rPr>
                          <w:rFonts w:asciiTheme="majorEastAsia" w:eastAsiaTheme="majorEastAsia" w:hAnsiTheme="majorEastAsia"/>
                          <w:color w:val="000000" w:themeColor="text1"/>
                          <w:sz w:val="16"/>
                          <w:szCs w:val="16"/>
                        </w:rPr>
                      </w:pPr>
                      <w:r>
                        <w:rPr>
                          <w:rFonts w:asciiTheme="majorEastAsia" w:eastAsiaTheme="majorEastAsia" w:hAnsiTheme="majorEastAsia" w:hint="eastAsia"/>
                          <w:color w:val="000000" w:themeColor="text1"/>
                          <w:sz w:val="16"/>
                          <w:szCs w:val="16"/>
                        </w:rPr>
                        <w:t>副部長</w:t>
                      </w:r>
                    </w:p>
                    <w:p w14:paraId="56355789" w14:textId="77777777" w:rsidR="006A5267" w:rsidRDefault="006A5267" w:rsidP="005D372A">
                      <w:pPr>
                        <w:spacing w:line="240" w:lineRule="exact"/>
                        <w:jc w:val="center"/>
                        <w:rPr>
                          <w:color w:val="000000" w:themeColor="text1"/>
                          <w:sz w:val="16"/>
                          <w:szCs w:val="16"/>
                        </w:rPr>
                      </w:pPr>
                      <w:r w:rsidRPr="00A8725A">
                        <w:rPr>
                          <w:rFonts w:hint="eastAsia"/>
                          <w:color w:val="000000" w:themeColor="text1"/>
                          <w:sz w:val="16"/>
                          <w:szCs w:val="16"/>
                        </w:rPr>
                        <w:t>（</w:t>
                      </w:r>
                      <w:r>
                        <w:rPr>
                          <w:rFonts w:hint="eastAsia"/>
                          <w:color w:val="000000" w:themeColor="text1"/>
                          <w:sz w:val="16"/>
                          <w:szCs w:val="16"/>
                        </w:rPr>
                        <w:t>危機管理室長</w:t>
                      </w:r>
                      <w:r w:rsidRPr="00A8725A">
                        <w:rPr>
                          <w:rFonts w:hint="eastAsia"/>
                          <w:color w:val="000000" w:themeColor="text1"/>
                          <w:sz w:val="16"/>
                          <w:szCs w:val="16"/>
                        </w:rPr>
                        <w:t>）</w:t>
                      </w:r>
                    </w:p>
                    <w:p w14:paraId="576BF6EA" w14:textId="77777777" w:rsidR="006A5267" w:rsidRDefault="006A5267" w:rsidP="005D372A">
                      <w:pPr>
                        <w:spacing w:line="240" w:lineRule="exact"/>
                        <w:jc w:val="center"/>
                        <w:rPr>
                          <w:color w:val="000000" w:themeColor="text1"/>
                          <w:sz w:val="16"/>
                          <w:szCs w:val="16"/>
                        </w:rPr>
                      </w:pPr>
                      <w:r>
                        <w:rPr>
                          <w:rFonts w:hint="eastAsia"/>
                          <w:color w:val="000000" w:themeColor="text1"/>
                          <w:sz w:val="16"/>
                          <w:szCs w:val="16"/>
                        </w:rPr>
                        <w:t>（事業調整室長）</w:t>
                      </w:r>
                    </w:p>
                    <w:p w14:paraId="63EC482C" w14:textId="77777777" w:rsidR="006A5267" w:rsidRPr="00A8725A" w:rsidRDefault="006A5267" w:rsidP="005D372A">
                      <w:pPr>
                        <w:spacing w:line="240" w:lineRule="exact"/>
                        <w:jc w:val="center"/>
                        <w:rPr>
                          <w:color w:val="000000" w:themeColor="text1"/>
                          <w:sz w:val="16"/>
                          <w:szCs w:val="16"/>
                        </w:rPr>
                      </w:pPr>
                      <w:r>
                        <w:rPr>
                          <w:rFonts w:hint="eastAsia"/>
                          <w:color w:val="000000" w:themeColor="text1"/>
                          <w:sz w:val="16"/>
                          <w:szCs w:val="16"/>
                        </w:rPr>
                        <w:t>〔風水害</w:t>
                      </w:r>
                      <w:r>
                        <w:rPr>
                          <w:color w:val="000000" w:themeColor="text1"/>
                          <w:sz w:val="16"/>
                          <w:szCs w:val="16"/>
                        </w:rPr>
                        <w:t>・台風〕</w:t>
                      </w:r>
                    </w:p>
                  </w:txbxContent>
                </v:textbox>
              </v:rect>
            </w:pict>
          </mc:Fallback>
        </mc:AlternateContent>
      </w:r>
      <w:r w:rsidRPr="001D6D10">
        <w:rPr>
          <w:noProof/>
        </w:rPr>
        <mc:AlternateContent>
          <mc:Choice Requires="wps">
            <w:drawing>
              <wp:anchor distT="0" distB="0" distL="114300" distR="114300" simplePos="0" relativeHeight="252890112" behindDoc="0" locked="0" layoutInCell="1" allowOverlap="1" wp14:anchorId="78D855FB" wp14:editId="6A6B51BC">
                <wp:simplePos x="0" y="0"/>
                <wp:positionH relativeFrom="column">
                  <wp:posOffset>1852406</wp:posOffset>
                </wp:positionH>
                <wp:positionV relativeFrom="paragraph">
                  <wp:posOffset>57683</wp:posOffset>
                </wp:positionV>
                <wp:extent cx="1167637" cy="0"/>
                <wp:effectExtent l="0" t="0" r="13970" b="19050"/>
                <wp:wrapNone/>
                <wp:docPr id="167" name="直線コネクタ 167"/>
                <wp:cNvGraphicFramePr/>
                <a:graphic xmlns:a="http://schemas.openxmlformats.org/drawingml/2006/main">
                  <a:graphicData uri="http://schemas.microsoft.com/office/word/2010/wordprocessingShape">
                    <wps:wsp>
                      <wps:cNvCnPr/>
                      <wps:spPr>
                        <a:xfrm>
                          <a:off x="0" y="0"/>
                          <a:ext cx="1167637" cy="0"/>
                        </a:xfrm>
                        <a:prstGeom prst="line">
                          <a:avLst/>
                        </a:prstGeom>
                        <a:noFill/>
                        <a:ln w="9525" cap="flat" cmpd="sng" algn="ctr">
                          <a:solidFill>
                            <a:sysClr val="windowText" lastClr="000000"/>
                          </a:solidFill>
                          <a:prstDash val="solid"/>
                        </a:ln>
                        <a:effectLst/>
                      </wps:spPr>
                      <wps:bodyPr/>
                    </wps:wsp>
                  </a:graphicData>
                </a:graphic>
              </wp:anchor>
            </w:drawing>
          </mc:Choice>
          <mc:Fallback xmlns:w16cei="http://schemas.microsoft.com/office/word/2026/wordml/cei">
            <w:pict>
              <v:line w14:anchorId="396F46E6" id="直線コネクタ 167" o:spid="_x0000_s1026" style="position:absolute;left:0;text-align:left;z-index:252890112;visibility:visible;mso-wrap-style:square;mso-wrap-distance-left:9pt;mso-wrap-distance-top:0;mso-wrap-distance-right:9pt;mso-wrap-distance-bottom:0;mso-position-horizontal:absolute;mso-position-horizontal-relative:text;mso-position-vertical:absolute;mso-position-vertical-relative:text" from="145.85pt,4.55pt" to="237.8pt,4.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" strokecolor="windowText"/>
            </w:pict>
          </mc:Fallback>
        </mc:AlternateContent>
      </w:r>
    </w:p>
    <w:p w14:paraId="3C27BDC0" w14:textId="77777777" w:rsidR="005D372A" w:rsidRPr="001D6D10" w:rsidRDefault="005D372A" w:rsidP="005D372A"/>
    <w:p w14:paraId="5BA74418" w14:textId="77777777" w:rsidR="005D372A" w:rsidRPr="001D6D10" w:rsidRDefault="005D372A" w:rsidP="005D372A"/>
    <w:p w14:paraId="3AEC224A" w14:textId="77777777" w:rsidR="005D372A" w:rsidRPr="001D6D10" w:rsidRDefault="005D372A" w:rsidP="005D372A"/>
    <w:p w14:paraId="0FEC34FF" w14:textId="77777777" w:rsidR="005D372A" w:rsidRPr="001D6D10" w:rsidRDefault="005D372A" w:rsidP="005D372A">
      <w:r w:rsidRPr="001D6D10">
        <w:rPr>
          <w:noProof/>
        </w:rPr>
        <mc:AlternateContent>
          <mc:Choice Requires="wpg">
            <w:drawing>
              <wp:anchor distT="0" distB="0" distL="114300" distR="114300" simplePos="0" relativeHeight="252895232" behindDoc="0" locked="0" layoutInCell="1" allowOverlap="1" wp14:anchorId="03E9C7D2" wp14:editId="322B9C1F">
                <wp:simplePos x="0" y="0"/>
                <wp:positionH relativeFrom="column">
                  <wp:posOffset>104141</wp:posOffset>
                </wp:positionH>
                <wp:positionV relativeFrom="paragraph">
                  <wp:posOffset>212090</wp:posOffset>
                </wp:positionV>
                <wp:extent cx="4569460" cy="2505075"/>
                <wp:effectExtent l="0" t="0" r="21590" b="28575"/>
                <wp:wrapNone/>
                <wp:docPr id="179" name="グループ化 179"/>
                <wp:cNvGraphicFramePr/>
                <a:graphic xmlns:a="http://schemas.openxmlformats.org/drawingml/2006/main">
                  <a:graphicData uri="http://schemas.microsoft.com/office/word/2010/wordprocessingGroup">
                    <wpg:wgp>
                      <wpg:cNvGrpSpPr/>
                      <wpg:grpSpPr>
                        <a:xfrm>
                          <a:off x="0" y="0"/>
                          <a:ext cx="4569460" cy="2505075"/>
                          <a:chOff x="-149783" y="-25408"/>
                          <a:chExt cx="4491010" cy="2019300"/>
                        </a:xfrm>
                      </wpg:grpSpPr>
                      <wps:wsp>
                        <wps:cNvPr id="180" name="正方形/長方形 180"/>
                        <wps:cNvSpPr/>
                        <wps:spPr>
                          <a:xfrm>
                            <a:off x="-149783" y="-25408"/>
                            <a:ext cx="4491010" cy="2019300"/>
                          </a:xfrm>
                          <a:prstGeom prst="rect">
                            <a:avLst/>
                          </a:prstGeom>
                          <a:solidFill>
                            <a:sysClr val="window" lastClr="FFFFFF"/>
                          </a:solidFill>
                          <a:ln w="9525" cap="flat" cmpd="sng" algn="ctr">
                            <a:solidFill>
                              <a:sysClr val="windowText" lastClr="000000"/>
                            </a:solidFill>
                            <a:prstDash val="solid"/>
                          </a:ln>
                          <a:effectLst/>
                        </wps:spPr>
                        <wps:txbx>
                          <w:txbxContent>
                            <w:p w14:paraId="728F3B3C" w14:textId="77777777" w:rsidR="006A5267" w:rsidRDefault="006A5267" w:rsidP="005D372A">
                              <w:pPr>
                                <w:spacing w:line="220" w:lineRule="exact"/>
                                <w:ind w:firstLineChars="300" w:firstLine="483"/>
                                <w:rPr>
                                  <w:color w:val="000000" w:themeColor="text1"/>
                                  <w:sz w:val="16"/>
                                  <w:szCs w:val="16"/>
                                </w:rPr>
                              </w:pPr>
                              <w:r>
                                <w:rPr>
                                  <w:rFonts w:hint="eastAsia"/>
                                  <w:color w:val="000000" w:themeColor="text1"/>
                                  <w:sz w:val="16"/>
                                  <w:szCs w:val="16"/>
                                </w:rPr>
                                <w:t>教育総務企画課長</w:t>
                              </w:r>
                            </w:p>
                            <w:p w14:paraId="7BE05E03" w14:textId="77777777" w:rsidR="006A5267" w:rsidRPr="00D46C92" w:rsidRDefault="006A5267" w:rsidP="005D372A">
                              <w:pPr>
                                <w:spacing w:line="220" w:lineRule="exact"/>
                                <w:ind w:firstLineChars="300" w:firstLine="483"/>
                                <w:rPr>
                                  <w:sz w:val="16"/>
                                  <w:szCs w:val="16"/>
                                </w:rPr>
                              </w:pPr>
                              <w:r>
                                <w:rPr>
                                  <w:rFonts w:hint="eastAsia"/>
                                  <w:color w:val="000000" w:themeColor="text1"/>
                                  <w:sz w:val="16"/>
                                  <w:szCs w:val="16"/>
                                </w:rPr>
                                <w:t>会計総務課長</w:t>
                              </w:r>
                            </w:p>
                            <w:p w14:paraId="6983849C" w14:textId="77777777" w:rsidR="006A5267" w:rsidRPr="00D46C92" w:rsidRDefault="006A5267" w:rsidP="005D372A">
                              <w:pPr>
                                <w:spacing w:line="220" w:lineRule="exact"/>
                                <w:ind w:firstLineChars="300" w:firstLine="483"/>
                                <w:rPr>
                                  <w:sz w:val="16"/>
                                  <w:szCs w:val="16"/>
                                </w:rPr>
                              </w:pPr>
                              <w:r w:rsidRPr="00D46C92">
                                <w:rPr>
                                  <w:rFonts w:hint="eastAsia"/>
                                  <w:sz w:val="16"/>
                                  <w:szCs w:val="16"/>
                                </w:rPr>
                                <w:t>大阪都市計画局総務企画課長</w:t>
                              </w:r>
                            </w:p>
                            <w:p w14:paraId="758347AF" w14:textId="77777777" w:rsidR="006A5267" w:rsidRPr="00D46C92" w:rsidRDefault="006A5267" w:rsidP="005D372A">
                              <w:pPr>
                                <w:spacing w:line="220" w:lineRule="exact"/>
                                <w:ind w:firstLineChars="300" w:firstLine="483"/>
                                <w:rPr>
                                  <w:sz w:val="16"/>
                                  <w:szCs w:val="16"/>
                                </w:rPr>
                              </w:pPr>
                              <w:r w:rsidRPr="00D46C92">
                                <w:rPr>
                                  <w:rFonts w:hint="eastAsia"/>
                                  <w:sz w:val="16"/>
                                  <w:szCs w:val="16"/>
                                </w:rPr>
                                <w:t>大阪港湾局計画調整担当課長</w:t>
                              </w:r>
                            </w:p>
                            <w:p w14:paraId="4861FDCF" w14:textId="77777777" w:rsidR="006A5267" w:rsidRPr="00D46C92" w:rsidRDefault="006A5267" w:rsidP="005D372A">
                              <w:pPr>
                                <w:spacing w:line="220" w:lineRule="exact"/>
                                <w:ind w:firstLineChars="300" w:firstLine="483"/>
                                <w:rPr>
                                  <w:sz w:val="16"/>
                                  <w:szCs w:val="16"/>
                                </w:rPr>
                              </w:pPr>
                              <w:r w:rsidRPr="00D46C92">
                                <w:rPr>
                                  <w:rFonts w:hint="eastAsia"/>
                                  <w:sz w:val="16"/>
                                  <w:szCs w:val="16"/>
                                </w:rPr>
                                <w:t>河川室河川環境課長</w:t>
                              </w:r>
                            </w:p>
                            <w:p w14:paraId="7252C424" w14:textId="77777777" w:rsidR="006A5267" w:rsidRPr="00D46C92" w:rsidRDefault="006A5267" w:rsidP="005D372A">
                              <w:pPr>
                                <w:spacing w:line="220" w:lineRule="exact"/>
                                <w:ind w:firstLineChars="300" w:firstLine="483"/>
                                <w:rPr>
                                  <w:sz w:val="16"/>
                                  <w:szCs w:val="16"/>
                                </w:rPr>
                              </w:pPr>
                              <w:r w:rsidRPr="00D46C92">
                                <w:rPr>
                                  <w:rFonts w:hint="eastAsia"/>
                                  <w:sz w:val="16"/>
                                  <w:szCs w:val="16"/>
                                </w:rPr>
                                <w:t>道路室道路環境課長</w:t>
                              </w:r>
                            </w:p>
                            <w:p w14:paraId="6DA2607A" w14:textId="77777777" w:rsidR="006A5267" w:rsidRPr="00D46C92" w:rsidRDefault="006A5267" w:rsidP="005D372A">
                              <w:pPr>
                                <w:spacing w:line="220" w:lineRule="exact"/>
                                <w:ind w:firstLineChars="300" w:firstLine="483"/>
                                <w:rPr>
                                  <w:sz w:val="16"/>
                                  <w:szCs w:val="16"/>
                                </w:rPr>
                              </w:pPr>
                              <w:r w:rsidRPr="00D46C92">
                                <w:rPr>
                                  <w:rFonts w:hint="eastAsia"/>
                                  <w:sz w:val="16"/>
                                  <w:szCs w:val="16"/>
                                </w:rPr>
                                <w:t>事業調整室都市防災課参事</w:t>
                              </w:r>
                            </w:p>
                            <w:p w14:paraId="6C3B8007" w14:textId="2EC24373" w:rsidR="006A5267" w:rsidRPr="00D46C92" w:rsidRDefault="006A5267" w:rsidP="0053084D">
                              <w:pPr>
                                <w:spacing w:line="220" w:lineRule="exact"/>
                                <w:ind w:firstLineChars="500" w:firstLine="805"/>
                                <w:rPr>
                                  <w:sz w:val="16"/>
                                  <w:szCs w:val="16"/>
                                </w:rPr>
                              </w:pPr>
                              <w:r w:rsidRPr="00D46C92">
                                <w:rPr>
                                  <w:rFonts w:hint="eastAsia"/>
                                  <w:sz w:val="16"/>
                                  <w:szCs w:val="16"/>
                                </w:rPr>
                                <w:t>（</w:t>
                              </w:r>
                              <w:r w:rsidRPr="00D46C92">
                                <w:rPr>
                                  <w:sz w:val="16"/>
                                  <w:szCs w:val="16"/>
                                </w:rPr>
                                <w:t>防災計画グループ長）</w:t>
                              </w:r>
                            </w:p>
                            <w:p w14:paraId="41AB7C90" w14:textId="77777777" w:rsidR="006A5267" w:rsidRPr="00D46C92" w:rsidRDefault="006A5267" w:rsidP="005D372A">
                              <w:pPr>
                                <w:spacing w:line="220" w:lineRule="exact"/>
                                <w:ind w:firstLineChars="300" w:firstLine="483"/>
                                <w:rPr>
                                  <w:sz w:val="16"/>
                                  <w:szCs w:val="16"/>
                                </w:rPr>
                              </w:pPr>
                              <w:r w:rsidRPr="00D46C92">
                                <w:rPr>
                                  <w:rFonts w:hint="eastAsia"/>
                                  <w:sz w:val="16"/>
                                  <w:szCs w:val="16"/>
                                </w:rPr>
                                <w:t>都市整備総務課長</w:t>
                              </w:r>
                            </w:p>
                            <w:p w14:paraId="6AD66911" w14:textId="77777777" w:rsidR="006A5267" w:rsidRPr="00D46C92" w:rsidRDefault="006A5267" w:rsidP="005D372A">
                              <w:pPr>
                                <w:spacing w:line="220" w:lineRule="exact"/>
                                <w:ind w:firstLineChars="300" w:firstLine="483"/>
                                <w:rPr>
                                  <w:sz w:val="16"/>
                                  <w:szCs w:val="16"/>
                                </w:rPr>
                              </w:pPr>
                              <w:r w:rsidRPr="00D46C92">
                                <w:rPr>
                                  <w:rFonts w:hint="eastAsia"/>
                                  <w:sz w:val="16"/>
                                  <w:szCs w:val="16"/>
                                </w:rPr>
                                <w:t>水産課長</w:t>
                              </w:r>
                            </w:p>
                            <w:p w14:paraId="3E899954" w14:textId="77777777" w:rsidR="006A5267" w:rsidRPr="00D46C92" w:rsidRDefault="006A5267" w:rsidP="005D372A">
                              <w:pPr>
                                <w:spacing w:line="220" w:lineRule="exact"/>
                                <w:ind w:firstLineChars="300" w:firstLine="483"/>
                                <w:rPr>
                                  <w:sz w:val="16"/>
                                  <w:szCs w:val="16"/>
                                </w:rPr>
                              </w:pPr>
                              <w:r w:rsidRPr="00D46C92">
                                <w:rPr>
                                  <w:rFonts w:hint="eastAsia"/>
                                  <w:sz w:val="16"/>
                                  <w:szCs w:val="16"/>
                                </w:rPr>
                                <w:t>農政室整備課長</w:t>
                              </w:r>
                            </w:p>
                            <w:p w14:paraId="3FCBF193" w14:textId="77777777" w:rsidR="006A5267" w:rsidRPr="00D46C92" w:rsidRDefault="006A5267" w:rsidP="005D372A">
                              <w:pPr>
                                <w:spacing w:line="220" w:lineRule="exact"/>
                                <w:ind w:firstLineChars="300" w:firstLine="483"/>
                                <w:rPr>
                                  <w:sz w:val="16"/>
                                  <w:szCs w:val="16"/>
                                </w:rPr>
                              </w:pPr>
                              <w:r w:rsidRPr="00D46C92">
                                <w:rPr>
                                  <w:rFonts w:hint="eastAsia"/>
                                  <w:sz w:val="16"/>
                                  <w:szCs w:val="16"/>
                                </w:rPr>
                                <w:t>みどり推進室森づくり課長</w:t>
                              </w:r>
                            </w:p>
                            <w:p w14:paraId="0DFF67E0" w14:textId="77777777" w:rsidR="006A5267" w:rsidRPr="00D46C92" w:rsidRDefault="006A5267" w:rsidP="005D372A">
                              <w:pPr>
                                <w:spacing w:line="220" w:lineRule="exact"/>
                                <w:ind w:firstLineChars="300" w:firstLine="483"/>
                                <w:rPr>
                                  <w:sz w:val="16"/>
                                  <w:szCs w:val="16"/>
                                </w:rPr>
                              </w:pPr>
                              <w:r w:rsidRPr="00D46C92">
                                <w:rPr>
                                  <w:rFonts w:hint="eastAsia"/>
                                  <w:sz w:val="16"/>
                                  <w:szCs w:val="16"/>
                                </w:rPr>
                                <w:t>環境農林水産総務課長</w:t>
                              </w:r>
                            </w:p>
                            <w:p w14:paraId="1A40BD31" w14:textId="77777777" w:rsidR="006A5267" w:rsidRPr="00D46C92" w:rsidRDefault="006A5267" w:rsidP="005D372A">
                              <w:pPr>
                                <w:spacing w:line="220" w:lineRule="exact"/>
                                <w:ind w:firstLineChars="300" w:firstLine="483"/>
                                <w:rPr>
                                  <w:sz w:val="16"/>
                                  <w:szCs w:val="16"/>
                                </w:rPr>
                              </w:pPr>
                              <w:r w:rsidRPr="00D46C92">
                                <w:rPr>
                                  <w:rFonts w:hint="eastAsia"/>
                                  <w:sz w:val="16"/>
                                  <w:szCs w:val="16"/>
                                </w:rPr>
                                <w:t>商工労働総務課長</w:t>
                              </w:r>
                            </w:p>
                            <w:p w14:paraId="40A6B8D9" w14:textId="69E89A64" w:rsidR="006A5267" w:rsidRPr="00D46C92" w:rsidRDefault="006A5267" w:rsidP="005D372A">
                              <w:pPr>
                                <w:spacing w:line="220" w:lineRule="exact"/>
                                <w:ind w:firstLineChars="300" w:firstLine="483"/>
                                <w:rPr>
                                  <w:sz w:val="16"/>
                                  <w:szCs w:val="16"/>
                                </w:rPr>
                              </w:pPr>
                              <w:r w:rsidRPr="00D46C92">
                                <w:rPr>
                                  <w:rFonts w:hint="eastAsia"/>
                                  <w:sz w:val="16"/>
                                  <w:szCs w:val="16"/>
                                </w:rPr>
                                <w:t>医療</w:t>
                              </w:r>
                              <w:r w:rsidR="006D1D41">
                                <w:rPr>
                                  <w:rFonts w:hint="eastAsia"/>
                                  <w:sz w:val="16"/>
                                  <w:szCs w:val="16"/>
                                </w:rPr>
                                <w:t>・</w:t>
                              </w:r>
                              <w:r w:rsidR="006D1D41" w:rsidRPr="000D0AF1">
                                <w:rPr>
                                  <w:rFonts w:hint="eastAsia"/>
                                  <w:sz w:val="16"/>
                                  <w:szCs w:val="16"/>
                                </w:rPr>
                                <w:t>感染症</w:t>
                              </w:r>
                              <w:r w:rsidRPr="000D0AF1">
                                <w:rPr>
                                  <w:rFonts w:hint="eastAsia"/>
                                  <w:sz w:val="16"/>
                                  <w:szCs w:val="16"/>
                                </w:rPr>
                                <w:t>対策</w:t>
                              </w:r>
                              <w:r w:rsidRPr="00D46C92">
                                <w:rPr>
                                  <w:rFonts w:hint="eastAsia"/>
                                  <w:sz w:val="16"/>
                                  <w:szCs w:val="16"/>
                                </w:rPr>
                                <w:t>課長</w:t>
                              </w:r>
                            </w:p>
                            <w:p w14:paraId="570E3193" w14:textId="77777777" w:rsidR="006A5267" w:rsidRPr="00D46C92" w:rsidRDefault="006A5267" w:rsidP="005D372A">
                              <w:pPr>
                                <w:spacing w:line="220" w:lineRule="exact"/>
                                <w:ind w:firstLineChars="300" w:firstLine="483"/>
                                <w:rPr>
                                  <w:sz w:val="16"/>
                                  <w:szCs w:val="16"/>
                                </w:rPr>
                              </w:pPr>
                              <w:r w:rsidRPr="00D46C92">
                                <w:rPr>
                                  <w:rFonts w:hint="eastAsia"/>
                                  <w:sz w:val="16"/>
                                  <w:szCs w:val="16"/>
                                </w:rPr>
                                <w:t>健康医療総務課長</w:t>
                              </w:r>
                            </w:p>
                            <w:p w14:paraId="5690BEF3" w14:textId="77777777" w:rsidR="006A5267" w:rsidRPr="00D46C92" w:rsidRDefault="006A5267" w:rsidP="005D372A">
                              <w:pPr>
                                <w:spacing w:line="220" w:lineRule="exact"/>
                                <w:ind w:firstLineChars="300" w:firstLine="483"/>
                                <w:rPr>
                                  <w:sz w:val="16"/>
                                  <w:szCs w:val="16"/>
                                </w:rPr>
                              </w:pPr>
                              <w:r w:rsidRPr="00D46C92">
                                <w:rPr>
                                  <w:rFonts w:hint="eastAsia"/>
                                  <w:sz w:val="16"/>
                                  <w:szCs w:val="16"/>
                                </w:rPr>
                                <w:t>福祉総務課長</w:t>
                              </w:r>
                            </w:p>
                            <w:p w14:paraId="09FA555C" w14:textId="77777777" w:rsidR="006A5267" w:rsidRPr="00D46C92" w:rsidRDefault="006A5267" w:rsidP="005D372A">
                              <w:pPr>
                                <w:spacing w:line="220" w:lineRule="exact"/>
                                <w:ind w:firstLineChars="300" w:firstLine="483"/>
                                <w:rPr>
                                  <w:sz w:val="16"/>
                                  <w:szCs w:val="16"/>
                                </w:rPr>
                              </w:pPr>
                              <w:r w:rsidRPr="00D46C92">
                                <w:rPr>
                                  <w:rFonts w:hint="eastAsia"/>
                                  <w:sz w:val="16"/>
                                  <w:szCs w:val="16"/>
                                </w:rPr>
                                <w:t>IR</w:t>
                              </w:r>
                              <w:r w:rsidRPr="00D46C92">
                                <w:rPr>
                                  <w:rFonts w:hint="eastAsia"/>
                                  <w:sz w:val="16"/>
                                  <w:szCs w:val="16"/>
                                </w:rPr>
                                <w:t>推進局企画課長</w:t>
                              </w:r>
                            </w:p>
                            <w:p w14:paraId="63A95F2B" w14:textId="77777777" w:rsidR="006A5267" w:rsidRPr="00D46C92" w:rsidRDefault="006A5267" w:rsidP="005D372A">
                              <w:pPr>
                                <w:spacing w:line="220" w:lineRule="exact"/>
                                <w:ind w:firstLineChars="300" w:firstLine="483"/>
                                <w:rPr>
                                  <w:sz w:val="16"/>
                                  <w:szCs w:val="16"/>
                                </w:rPr>
                              </w:pPr>
                              <w:r w:rsidRPr="00D46C92">
                                <w:rPr>
                                  <w:rFonts w:hint="eastAsia"/>
                                  <w:sz w:val="16"/>
                                  <w:szCs w:val="16"/>
                                </w:rPr>
                                <w:t>府民文化総務課長</w:t>
                              </w:r>
                            </w:p>
                            <w:p w14:paraId="73B4F006" w14:textId="77777777" w:rsidR="006A5267" w:rsidRPr="00D46C92" w:rsidRDefault="006A5267" w:rsidP="005D372A">
                              <w:pPr>
                                <w:spacing w:line="220" w:lineRule="exact"/>
                                <w:ind w:firstLineChars="300" w:firstLine="483"/>
                                <w:rPr>
                                  <w:sz w:val="16"/>
                                  <w:szCs w:val="16"/>
                                </w:rPr>
                              </w:pPr>
                              <w:r w:rsidRPr="00D46C92">
                                <w:rPr>
                                  <w:rFonts w:hint="eastAsia"/>
                                  <w:sz w:val="16"/>
                                  <w:szCs w:val="16"/>
                                </w:rPr>
                                <w:t>スマートシティ戦略総務課長</w:t>
                              </w:r>
                            </w:p>
                            <w:p w14:paraId="7F691C99" w14:textId="77777777" w:rsidR="006A5267" w:rsidRPr="00D46C92" w:rsidRDefault="006A5267" w:rsidP="005D372A">
                              <w:pPr>
                                <w:spacing w:line="220" w:lineRule="exact"/>
                                <w:ind w:firstLineChars="300" w:firstLine="483"/>
                                <w:rPr>
                                  <w:sz w:val="16"/>
                                  <w:szCs w:val="16"/>
                                </w:rPr>
                              </w:pPr>
                              <w:r w:rsidRPr="00D46C92">
                                <w:rPr>
                                  <w:rFonts w:hint="eastAsia"/>
                                  <w:sz w:val="16"/>
                                  <w:szCs w:val="16"/>
                                </w:rPr>
                                <w:t>庁舎管理課長</w:t>
                              </w:r>
                            </w:p>
                            <w:p w14:paraId="7E7B14B0" w14:textId="77777777" w:rsidR="006A5267" w:rsidRPr="00D46C92" w:rsidRDefault="006A5267" w:rsidP="005D372A">
                              <w:pPr>
                                <w:spacing w:line="220" w:lineRule="exact"/>
                                <w:ind w:firstLineChars="300" w:firstLine="483"/>
                                <w:rPr>
                                  <w:sz w:val="16"/>
                                  <w:szCs w:val="16"/>
                                </w:rPr>
                              </w:pPr>
                              <w:r w:rsidRPr="00D46C92">
                                <w:rPr>
                                  <w:rFonts w:hint="eastAsia"/>
                                  <w:sz w:val="16"/>
                                  <w:szCs w:val="16"/>
                                </w:rPr>
                                <w:t>人事課長</w:t>
                              </w:r>
                            </w:p>
                            <w:p w14:paraId="52D58E8F" w14:textId="77777777" w:rsidR="006A5267" w:rsidRPr="00D46C92" w:rsidRDefault="006A5267" w:rsidP="005D372A">
                              <w:pPr>
                                <w:spacing w:line="220" w:lineRule="exact"/>
                                <w:ind w:firstLineChars="300" w:firstLine="483"/>
                                <w:rPr>
                                  <w:sz w:val="16"/>
                                  <w:szCs w:val="16"/>
                                </w:rPr>
                              </w:pPr>
                              <w:r w:rsidRPr="00D46C92">
                                <w:rPr>
                                  <w:rFonts w:hint="eastAsia"/>
                                  <w:sz w:val="16"/>
                                  <w:szCs w:val="16"/>
                                </w:rPr>
                                <w:t>法務課長</w:t>
                              </w:r>
                            </w:p>
                            <w:p w14:paraId="65CAF012" w14:textId="77777777" w:rsidR="006A5267" w:rsidRPr="00D46C92" w:rsidRDefault="006A5267" w:rsidP="005D372A">
                              <w:pPr>
                                <w:spacing w:line="220" w:lineRule="exact"/>
                                <w:ind w:firstLineChars="300" w:firstLine="483"/>
                                <w:rPr>
                                  <w:sz w:val="16"/>
                                  <w:szCs w:val="16"/>
                                </w:rPr>
                              </w:pPr>
                              <w:r w:rsidRPr="00D46C92">
                                <w:rPr>
                                  <w:rFonts w:hint="eastAsia"/>
                                  <w:sz w:val="16"/>
                                  <w:szCs w:val="16"/>
                                </w:rPr>
                                <w:t>財政課長</w:t>
                              </w:r>
                            </w:p>
                            <w:p w14:paraId="3568C080" w14:textId="77777777" w:rsidR="006A5267" w:rsidRPr="00D46C92" w:rsidRDefault="006A5267" w:rsidP="005D372A">
                              <w:pPr>
                                <w:spacing w:line="220" w:lineRule="exact"/>
                                <w:ind w:firstLineChars="300" w:firstLine="483"/>
                                <w:rPr>
                                  <w:sz w:val="16"/>
                                  <w:szCs w:val="16"/>
                                </w:rPr>
                              </w:pPr>
                              <w:r w:rsidRPr="00D46C92">
                                <w:rPr>
                                  <w:rFonts w:hint="eastAsia"/>
                                  <w:sz w:val="16"/>
                                  <w:szCs w:val="16"/>
                                </w:rPr>
                                <w:t>成長戦略局空港政策</w:t>
                              </w:r>
                              <w:r w:rsidRPr="00D46C92">
                                <w:rPr>
                                  <w:sz w:val="16"/>
                                  <w:szCs w:val="16"/>
                                </w:rPr>
                                <w:t>担当課長</w:t>
                              </w:r>
                            </w:p>
                            <w:p w14:paraId="0EADBFCD" w14:textId="38CA4801" w:rsidR="006A5267" w:rsidRPr="00D46C92" w:rsidRDefault="006A5267" w:rsidP="005D372A">
                              <w:pPr>
                                <w:spacing w:line="220" w:lineRule="exact"/>
                                <w:ind w:firstLineChars="300" w:firstLine="483"/>
                                <w:rPr>
                                  <w:sz w:val="16"/>
                                  <w:szCs w:val="16"/>
                                </w:rPr>
                              </w:pPr>
                              <w:r w:rsidRPr="00D46C92">
                                <w:rPr>
                                  <w:rFonts w:hint="eastAsia"/>
                                  <w:sz w:val="16"/>
                                  <w:szCs w:val="16"/>
                                </w:rPr>
                                <w:t>企画室</w:t>
                              </w:r>
                              <w:r w:rsidRPr="00D46C92">
                                <w:rPr>
                                  <w:sz w:val="16"/>
                                  <w:szCs w:val="16"/>
                                </w:rPr>
                                <w:t>連携</w:t>
                              </w:r>
                              <w:r w:rsidRPr="00D46C92">
                                <w:rPr>
                                  <w:rFonts w:hint="eastAsia"/>
                                  <w:sz w:val="16"/>
                                  <w:szCs w:val="16"/>
                                </w:rPr>
                                <w:t>課長</w:t>
                              </w:r>
                            </w:p>
                            <w:p w14:paraId="3AA3D205" w14:textId="77777777" w:rsidR="006A5267" w:rsidRDefault="006A5267" w:rsidP="005D372A">
                              <w:pPr>
                                <w:spacing w:line="220" w:lineRule="exact"/>
                                <w:rPr>
                                  <w:color w:val="000000" w:themeColor="text1"/>
                                  <w:sz w:val="16"/>
                                  <w:szCs w:val="16"/>
                                </w:rPr>
                              </w:pPr>
                              <w:r w:rsidRPr="00D46C92">
                                <w:rPr>
                                  <w:rFonts w:hint="eastAsia"/>
                                  <w:sz w:val="16"/>
                                  <w:szCs w:val="16"/>
                                </w:rPr>
                                <w:t xml:space="preserve">　　　</w:t>
                              </w:r>
                              <w:r>
                                <w:rPr>
                                  <w:rFonts w:hint="eastAsia"/>
                                  <w:color w:val="000000" w:themeColor="text1"/>
                                  <w:sz w:val="16"/>
                                  <w:szCs w:val="16"/>
                                </w:rPr>
                                <w:t>企画室政策課参事</w:t>
                              </w:r>
                            </w:p>
                            <w:p w14:paraId="39BCECA6" w14:textId="77777777" w:rsidR="006A5267" w:rsidRDefault="006A5267" w:rsidP="005D372A">
                              <w:pPr>
                                <w:spacing w:line="220" w:lineRule="exact"/>
                                <w:rPr>
                                  <w:color w:val="000000" w:themeColor="text1"/>
                                  <w:sz w:val="16"/>
                                  <w:szCs w:val="16"/>
                                </w:rPr>
                              </w:pPr>
                              <w:r>
                                <w:rPr>
                                  <w:rFonts w:hint="eastAsia"/>
                                  <w:color w:val="000000" w:themeColor="text1"/>
                                  <w:sz w:val="16"/>
                                  <w:szCs w:val="16"/>
                                </w:rPr>
                                <w:t xml:space="preserve">　　　政策企画総務課長</w:t>
                              </w:r>
                            </w:p>
                            <w:p w14:paraId="1FCF6630" w14:textId="77777777" w:rsidR="006A5267" w:rsidRDefault="006A5267" w:rsidP="005D372A">
                              <w:pPr>
                                <w:spacing w:line="220" w:lineRule="exact"/>
                                <w:rPr>
                                  <w:color w:val="000000" w:themeColor="text1"/>
                                  <w:sz w:val="16"/>
                                  <w:szCs w:val="16"/>
                                </w:rPr>
                              </w:pPr>
                              <w:r>
                                <w:rPr>
                                  <w:rFonts w:hint="eastAsia"/>
                                  <w:color w:val="000000" w:themeColor="text1"/>
                                  <w:sz w:val="16"/>
                                  <w:szCs w:val="16"/>
                                </w:rPr>
                                <w:t xml:space="preserve">　　　消防保安課長</w:t>
                              </w:r>
                            </w:p>
                            <w:p w14:paraId="728FF6A8" w14:textId="77777777" w:rsidR="006A5267" w:rsidRDefault="006A5267" w:rsidP="005D372A">
                              <w:pPr>
                                <w:spacing w:line="220" w:lineRule="exact"/>
                                <w:rPr>
                                  <w:color w:val="000000" w:themeColor="text1"/>
                                  <w:sz w:val="16"/>
                                  <w:szCs w:val="16"/>
                                </w:rPr>
                              </w:pPr>
                              <w:r>
                                <w:rPr>
                                  <w:rFonts w:hint="eastAsia"/>
                                  <w:color w:val="000000" w:themeColor="text1"/>
                                  <w:sz w:val="16"/>
                                  <w:szCs w:val="16"/>
                                </w:rPr>
                                <w:t xml:space="preserve">　　　災害対策課長</w:t>
                              </w:r>
                            </w:p>
                            <w:p w14:paraId="17F68637" w14:textId="77777777" w:rsidR="006A5267" w:rsidRPr="00871F12" w:rsidRDefault="006A5267" w:rsidP="005D372A">
                              <w:pPr>
                                <w:spacing w:line="220" w:lineRule="exact"/>
                                <w:rPr>
                                  <w:color w:val="000000" w:themeColor="text1"/>
                                  <w:sz w:val="16"/>
                                  <w:szCs w:val="16"/>
                                </w:rPr>
                              </w:pPr>
                              <w:r>
                                <w:rPr>
                                  <w:rFonts w:hint="eastAsia"/>
                                  <w:color w:val="000000" w:themeColor="text1"/>
                                  <w:sz w:val="16"/>
                                  <w:szCs w:val="16"/>
                                </w:rPr>
                                <w:t xml:space="preserve">　　　防災企画課長</w:t>
                              </w:r>
                            </w:p>
                          </w:txbxContent>
                        </wps:txbx>
                        <wps:bodyPr rot="0" spcFirstLastPara="0" vertOverflow="overflow" horzOverflow="overflow" vert="eaVert" wrap="square" lIns="0" tIns="0" rIns="0" bIns="0" numCol="1" spcCol="0" rtlCol="0" fromWordArt="0" anchor="ctr" anchorCtr="0" forceAA="0" compatLnSpc="1">
                          <a:prstTxWarp prst="textNoShape">
                            <a:avLst/>
                          </a:prstTxWarp>
                          <a:noAutofit/>
                        </wps:bodyPr>
                      </wps:wsp>
                      <wps:wsp>
                        <wps:cNvPr id="181" name="正方形/長方形 181"/>
                        <wps:cNvSpPr/>
                        <wps:spPr>
                          <a:xfrm>
                            <a:off x="1693628" y="23854"/>
                            <a:ext cx="612140" cy="230505"/>
                          </a:xfrm>
                          <a:prstGeom prst="rect">
                            <a:avLst/>
                          </a:prstGeom>
                          <a:noFill/>
                          <a:ln w="9525" cap="flat" cmpd="sng" algn="ctr">
                            <a:noFill/>
                            <a:prstDash val="solid"/>
                          </a:ln>
                          <a:effectLst/>
                        </wps:spPr>
                        <wps:txbx>
                          <w:txbxContent>
                            <w:p w14:paraId="5C89744F" w14:textId="77777777" w:rsidR="006A5267" w:rsidRPr="00E9662B" w:rsidRDefault="006A5267" w:rsidP="005D372A">
                              <w:pPr>
                                <w:spacing w:line="240" w:lineRule="exact"/>
                                <w:jc w:val="center"/>
                                <w:rPr>
                                  <w:rFonts w:asciiTheme="majorEastAsia" w:eastAsiaTheme="majorEastAsia" w:hAnsiTheme="majorEastAsia"/>
                                  <w:color w:val="000000" w:themeColor="text1"/>
                                  <w:sz w:val="16"/>
                                  <w:szCs w:val="16"/>
                                </w:rPr>
                              </w:pPr>
                              <w:r>
                                <w:rPr>
                                  <w:rFonts w:asciiTheme="majorEastAsia" w:eastAsiaTheme="majorEastAsia" w:hAnsiTheme="majorEastAsia" w:hint="eastAsia"/>
                                  <w:color w:val="000000" w:themeColor="text1"/>
                                  <w:sz w:val="16"/>
                                  <w:szCs w:val="16"/>
                                </w:rPr>
                                <w:t>部員</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xmlns:w16cei="http://schemas.microsoft.com/office/word/2026/wordml/cei">
            <w:pict>
              <v:group w14:anchorId="03E9C7D2" id="グループ化 179" o:spid="_x0000_s1119" style="position:absolute;left:0;text-align:left;margin-left:8.2pt;margin-top:16.7pt;width:359.8pt;height:197.25pt;z-index:252895232;mso-width-relative:margin;mso-height-relative:margin" coordorigin="-1497,-254" coordsize="44910,2019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">
                <v:rect id="正方形/長方形 180" o:spid="_x0000_s1120" style="position:absolute;left:-1497;top:-254;width:44909;height:2019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" fillcolor="window" strokecolor="windowText">
                  <v:textbox style="layout-flow:vertical-ideographic" inset="0,0,0,0">
                    <w:txbxContent>
                      <w:p w14:paraId="728F3B3C" w14:textId="77777777" w:rsidR="006A5267" w:rsidRDefault="006A5267" w:rsidP="005D372A">
                        <w:pPr>
                          <w:spacing w:line="220" w:lineRule="exact"/>
                          <w:ind w:firstLineChars="300" w:firstLine="483"/>
                          <w:rPr>
                            <w:color w:val="000000" w:themeColor="text1"/>
                            <w:sz w:val="16"/>
                            <w:szCs w:val="16"/>
                          </w:rPr>
                        </w:pPr>
                        <w:r>
                          <w:rPr>
                            <w:rFonts w:hint="eastAsia"/>
                            <w:color w:val="000000" w:themeColor="text1"/>
                            <w:sz w:val="16"/>
                            <w:szCs w:val="16"/>
                          </w:rPr>
                          <w:t>教育総務企画課長</w:t>
                        </w:r>
                      </w:p>
                      <w:p w14:paraId="7BE05E03" w14:textId="77777777" w:rsidR="006A5267" w:rsidRPr="00D46C92" w:rsidRDefault="006A5267" w:rsidP="005D372A">
                        <w:pPr>
                          <w:spacing w:line="220" w:lineRule="exact"/>
                          <w:ind w:firstLineChars="300" w:firstLine="483"/>
                          <w:rPr>
                            <w:sz w:val="16"/>
                            <w:szCs w:val="16"/>
                          </w:rPr>
                        </w:pPr>
                        <w:r>
                          <w:rPr>
                            <w:rFonts w:hint="eastAsia"/>
                            <w:color w:val="000000" w:themeColor="text1"/>
                            <w:sz w:val="16"/>
                            <w:szCs w:val="16"/>
                          </w:rPr>
                          <w:t>会計総務課長</w:t>
                        </w:r>
                      </w:p>
                      <w:p w14:paraId="6983849C" w14:textId="77777777" w:rsidR="006A5267" w:rsidRPr="00D46C92" w:rsidRDefault="006A5267" w:rsidP="005D372A">
                        <w:pPr>
                          <w:spacing w:line="220" w:lineRule="exact"/>
                          <w:ind w:firstLineChars="300" w:firstLine="483"/>
                          <w:rPr>
                            <w:sz w:val="16"/>
                            <w:szCs w:val="16"/>
                          </w:rPr>
                        </w:pPr>
                        <w:r w:rsidRPr="00D46C92">
                          <w:rPr>
                            <w:rFonts w:hint="eastAsia"/>
                            <w:sz w:val="16"/>
                            <w:szCs w:val="16"/>
                          </w:rPr>
                          <w:t>大阪都市計画局総務企画課長</w:t>
                        </w:r>
                      </w:p>
                      <w:p w14:paraId="758347AF" w14:textId="77777777" w:rsidR="006A5267" w:rsidRPr="00D46C92" w:rsidRDefault="006A5267" w:rsidP="005D372A">
                        <w:pPr>
                          <w:spacing w:line="220" w:lineRule="exact"/>
                          <w:ind w:firstLineChars="300" w:firstLine="483"/>
                          <w:rPr>
                            <w:sz w:val="16"/>
                            <w:szCs w:val="16"/>
                          </w:rPr>
                        </w:pPr>
                        <w:r w:rsidRPr="00D46C92">
                          <w:rPr>
                            <w:rFonts w:hint="eastAsia"/>
                            <w:sz w:val="16"/>
                            <w:szCs w:val="16"/>
                          </w:rPr>
                          <w:t>大阪港湾局計画調整担当課長</w:t>
                        </w:r>
                      </w:p>
                      <w:p w14:paraId="4861FDCF" w14:textId="77777777" w:rsidR="006A5267" w:rsidRPr="00D46C92" w:rsidRDefault="006A5267" w:rsidP="005D372A">
                        <w:pPr>
                          <w:spacing w:line="220" w:lineRule="exact"/>
                          <w:ind w:firstLineChars="300" w:firstLine="483"/>
                          <w:rPr>
                            <w:sz w:val="16"/>
                            <w:szCs w:val="16"/>
                          </w:rPr>
                        </w:pPr>
                        <w:r w:rsidRPr="00D46C92">
                          <w:rPr>
                            <w:rFonts w:hint="eastAsia"/>
                            <w:sz w:val="16"/>
                            <w:szCs w:val="16"/>
                          </w:rPr>
                          <w:t>河川室河川環境課長</w:t>
                        </w:r>
                      </w:p>
                      <w:p w14:paraId="7252C424" w14:textId="77777777" w:rsidR="006A5267" w:rsidRPr="00D46C92" w:rsidRDefault="006A5267" w:rsidP="005D372A">
                        <w:pPr>
                          <w:spacing w:line="220" w:lineRule="exact"/>
                          <w:ind w:firstLineChars="300" w:firstLine="483"/>
                          <w:rPr>
                            <w:sz w:val="16"/>
                            <w:szCs w:val="16"/>
                          </w:rPr>
                        </w:pPr>
                        <w:r w:rsidRPr="00D46C92">
                          <w:rPr>
                            <w:rFonts w:hint="eastAsia"/>
                            <w:sz w:val="16"/>
                            <w:szCs w:val="16"/>
                          </w:rPr>
                          <w:t>道路室道路環境課長</w:t>
                        </w:r>
                      </w:p>
                      <w:p w14:paraId="6DA2607A" w14:textId="77777777" w:rsidR="006A5267" w:rsidRPr="00D46C92" w:rsidRDefault="006A5267" w:rsidP="005D372A">
                        <w:pPr>
                          <w:spacing w:line="220" w:lineRule="exact"/>
                          <w:ind w:firstLineChars="300" w:firstLine="483"/>
                          <w:rPr>
                            <w:sz w:val="16"/>
                            <w:szCs w:val="16"/>
                          </w:rPr>
                        </w:pPr>
                        <w:r w:rsidRPr="00D46C92">
                          <w:rPr>
                            <w:rFonts w:hint="eastAsia"/>
                            <w:sz w:val="16"/>
                            <w:szCs w:val="16"/>
                          </w:rPr>
                          <w:t>事業調整室都市防災課参事</w:t>
                        </w:r>
                      </w:p>
                      <w:p w14:paraId="6C3B8007" w14:textId="2EC24373" w:rsidR="006A5267" w:rsidRPr="00D46C92" w:rsidRDefault="006A5267" w:rsidP="0053084D">
                        <w:pPr>
                          <w:spacing w:line="220" w:lineRule="exact"/>
                          <w:ind w:firstLineChars="500" w:firstLine="805"/>
                          <w:rPr>
                            <w:sz w:val="16"/>
                            <w:szCs w:val="16"/>
                          </w:rPr>
                        </w:pPr>
                        <w:r w:rsidRPr="00D46C92">
                          <w:rPr>
                            <w:rFonts w:hint="eastAsia"/>
                            <w:sz w:val="16"/>
                            <w:szCs w:val="16"/>
                          </w:rPr>
                          <w:t>（</w:t>
                        </w:r>
                        <w:r w:rsidRPr="00D46C92">
                          <w:rPr>
                            <w:sz w:val="16"/>
                            <w:szCs w:val="16"/>
                          </w:rPr>
                          <w:t>防災計画グループ長）</w:t>
                        </w:r>
                      </w:p>
                      <w:p w14:paraId="41AB7C90" w14:textId="77777777" w:rsidR="006A5267" w:rsidRPr="00D46C92" w:rsidRDefault="006A5267" w:rsidP="005D372A">
                        <w:pPr>
                          <w:spacing w:line="220" w:lineRule="exact"/>
                          <w:ind w:firstLineChars="300" w:firstLine="483"/>
                          <w:rPr>
                            <w:sz w:val="16"/>
                            <w:szCs w:val="16"/>
                          </w:rPr>
                        </w:pPr>
                        <w:r w:rsidRPr="00D46C92">
                          <w:rPr>
                            <w:rFonts w:hint="eastAsia"/>
                            <w:sz w:val="16"/>
                            <w:szCs w:val="16"/>
                          </w:rPr>
                          <w:t>都市整備総務課長</w:t>
                        </w:r>
                      </w:p>
                      <w:p w14:paraId="6AD66911" w14:textId="77777777" w:rsidR="006A5267" w:rsidRPr="00D46C92" w:rsidRDefault="006A5267" w:rsidP="005D372A">
                        <w:pPr>
                          <w:spacing w:line="220" w:lineRule="exact"/>
                          <w:ind w:firstLineChars="300" w:firstLine="483"/>
                          <w:rPr>
                            <w:sz w:val="16"/>
                            <w:szCs w:val="16"/>
                          </w:rPr>
                        </w:pPr>
                        <w:r w:rsidRPr="00D46C92">
                          <w:rPr>
                            <w:rFonts w:hint="eastAsia"/>
                            <w:sz w:val="16"/>
                            <w:szCs w:val="16"/>
                          </w:rPr>
                          <w:t>水産課長</w:t>
                        </w:r>
                      </w:p>
                      <w:p w14:paraId="3E899954" w14:textId="77777777" w:rsidR="006A5267" w:rsidRPr="00D46C92" w:rsidRDefault="006A5267" w:rsidP="005D372A">
                        <w:pPr>
                          <w:spacing w:line="220" w:lineRule="exact"/>
                          <w:ind w:firstLineChars="300" w:firstLine="483"/>
                          <w:rPr>
                            <w:sz w:val="16"/>
                            <w:szCs w:val="16"/>
                          </w:rPr>
                        </w:pPr>
                        <w:r w:rsidRPr="00D46C92">
                          <w:rPr>
                            <w:rFonts w:hint="eastAsia"/>
                            <w:sz w:val="16"/>
                            <w:szCs w:val="16"/>
                          </w:rPr>
                          <w:t>農政室整備課長</w:t>
                        </w:r>
                      </w:p>
                      <w:p w14:paraId="3FCBF193" w14:textId="77777777" w:rsidR="006A5267" w:rsidRPr="00D46C92" w:rsidRDefault="006A5267" w:rsidP="005D372A">
                        <w:pPr>
                          <w:spacing w:line="220" w:lineRule="exact"/>
                          <w:ind w:firstLineChars="300" w:firstLine="483"/>
                          <w:rPr>
                            <w:sz w:val="16"/>
                            <w:szCs w:val="16"/>
                          </w:rPr>
                        </w:pPr>
                        <w:r w:rsidRPr="00D46C92">
                          <w:rPr>
                            <w:rFonts w:hint="eastAsia"/>
                            <w:sz w:val="16"/>
                            <w:szCs w:val="16"/>
                          </w:rPr>
                          <w:t>みどり推進室森づくり課長</w:t>
                        </w:r>
                      </w:p>
                      <w:p w14:paraId="0DFF67E0" w14:textId="77777777" w:rsidR="006A5267" w:rsidRPr="00D46C92" w:rsidRDefault="006A5267" w:rsidP="005D372A">
                        <w:pPr>
                          <w:spacing w:line="220" w:lineRule="exact"/>
                          <w:ind w:firstLineChars="300" w:firstLine="483"/>
                          <w:rPr>
                            <w:sz w:val="16"/>
                            <w:szCs w:val="16"/>
                          </w:rPr>
                        </w:pPr>
                        <w:r w:rsidRPr="00D46C92">
                          <w:rPr>
                            <w:rFonts w:hint="eastAsia"/>
                            <w:sz w:val="16"/>
                            <w:szCs w:val="16"/>
                          </w:rPr>
                          <w:t>環境農林水産総務課長</w:t>
                        </w:r>
                      </w:p>
                      <w:p w14:paraId="1A40BD31" w14:textId="77777777" w:rsidR="006A5267" w:rsidRPr="00D46C92" w:rsidRDefault="006A5267" w:rsidP="005D372A">
                        <w:pPr>
                          <w:spacing w:line="220" w:lineRule="exact"/>
                          <w:ind w:firstLineChars="300" w:firstLine="483"/>
                          <w:rPr>
                            <w:sz w:val="16"/>
                            <w:szCs w:val="16"/>
                          </w:rPr>
                        </w:pPr>
                        <w:r w:rsidRPr="00D46C92">
                          <w:rPr>
                            <w:rFonts w:hint="eastAsia"/>
                            <w:sz w:val="16"/>
                            <w:szCs w:val="16"/>
                          </w:rPr>
                          <w:t>商工労働総務課長</w:t>
                        </w:r>
                      </w:p>
                      <w:p w14:paraId="40A6B8D9" w14:textId="69E89A64" w:rsidR="006A5267" w:rsidRPr="00D46C92" w:rsidRDefault="006A5267" w:rsidP="005D372A">
                        <w:pPr>
                          <w:spacing w:line="220" w:lineRule="exact"/>
                          <w:ind w:firstLineChars="300" w:firstLine="483"/>
                          <w:rPr>
                            <w:sz w:val="16"/>
                            <w:szCs w:val="16"/>
                          </w:rPr>
                        </w:pPr>
                        <w:r w:rsidRPr="00D46C92">
                          <w:rPr>
                            <w:rFonts w:hint="eastAsia"/>
                            <w:sz w:val="16"/>
                            <w:szCs w:val="16"/>
                          </w:rPr>
                          <w:t>医療</w:t>
                        </w:r>
                        <w:r w:rsidR="006D1D41">
                          <w:rPr>
                            <w:rFonts w:hint="eastAsia"/>
                            <w:sz w:val="16"/>
                            <w:szCs w:val="16"/>
                          </w:rPr>
                          <w:t>・</w:t>
                        </w:r>
                        <w:r w:rsidR="006D1D41" w:rsidRPr="000D0AF1">
                          <w:rPr>
                            <w:rFonts w:hint="eastAsia"/>
                            <w:sz w:val="16"/>
                            <w:szCs w:val="16"/>
                          </w:rPr>
                          <w:t>感染症</w:t>
                        </w:r>
                        <w:r w:rsidRPr="000D0AF1">
                          <w:rPr>
                            <w:rFonts w:hint="eastAsia"/>
                            <w:sz w:val="16"/>
                            <w:szCs w:val="16"/>
                          </w:rPr>
                          <w:t>対策</w:t>
                        </w:r>
                        <w:r w:rsidRPr="00D46C92">
                          <w:rPr>
                            <w:rFonts w:hint="eastAsia"/>
                            <w:sz w:val="16"/>
                            <w:szCs w:val="16"/>
                          </w:rPr>
                          <w:t>課長</w:t>
                        </w:r>
                      </w:p>
                      <w:p w14:paraId="570E3193" w14:textId="77777777" w:rsidR="006A5267" w:rsidRPr="00D46C92" w:rsidRDefault="006A5267" w:rsidP="005D372A">
                        <w:pPr>
                          <w:spacing w:line="220" w:lineRule="exact"/>
                          <w:ind w:firstLineChars="300" w:firstLine="483"/>
                          <w:rPr>
                            <w:sz w:val="16"/>
                            <w:szCs w:val="16"/>
                          </w:rPr>
                        </w:pPr>
                        <w:r w:rsidRPr="00D46C92">
                          <w:rPr>
                            <w:rFonts w:hint="eastAsia"/>
                            <w:sz w:val="16"/>
                            <w:szCs w:val="16"/>
                          </w:rPr>
                          <w:t>健康医療総務課長</w:t>
                        </w:r>
                      </w:p>
                      <w:p w14:paraId="5690BEF3" w14:textId="77777777" w:rsidR="006A5267" w:rsidRPr="00D46C92" w:rsidRDefault="006A5267" w:rsidP="005D372A">
                        <w:pPr>
                          <w:spacing w:line="220" w:lineRule="exact"/>
                          <w:ind w:firstLineChars="300" w:firstLine="483"/>
                          <w:rPr>
                            <w:sz w:val="16"/>
                            <w:szCs w:val="16"/>
                          </w:rPr>
                        </w:pPr>
                        <w:r w:rsidRPr="00D46C92">
                          <w:rPr>
                            <w:rFonts w:hint="eastAsia"/>
                            <w:sz w:val="16"/>
                            <w:szCs w:val="16"/>
                          </w:rPr>
                          <w:t>福祉総務課長</w:t>
                        </w:r>
                      </w:p>
                      <w:p w14:paraId="09FA555C" w14:textId="77777777" w:rsidR="006A5267" w:rsidRPr="00D46C92" w:rsidRDefault="006A5267" w:rsidP="005D372A">
                        <w:pPr>
                          <w:spacing w:line="220" w:lineRule="exact"/>
                          <w:ind w:firstLineChars="300" w:firstLine="483"/>
                          <w:rPr>
                            <w:sz w:val="16"/>
                            <w:szCs w:val="16"/>
                          </w:rPr>
                        </w:pPr>
                        <w:r w:rsidRPr="00D46C92">
                          <w:rPr>
                            <w:rFonts w:hint="eastAsia"/>
                            <w:sz w:val="16"/>
                            <w:szCs w:val="16"/>
                          </w:rPr>
                          <w:t>IR</w:t>
                        </w:r>
                        <w:r w:rsidRPr="00D46C92">
                          <w:rPr>
                            <w:rFonts w:hint="eastAsia"/>
                            <w:sz w:val="16"/>
                            <w:szCs w:val="16"/>
                          </w:rPr>
                          <w:t>推進局企画課長</w:t>
                        </w:r>
                      </w:p>
                      <w:p w14:paraId="63A95F2B" w14:textId="77777777" w:rsidR="006A5267" w:rsidRPr="00D46C92" w:rsidRDefault="006A5267" w:rsidP="005D372A">
                        <w:pPr>
                          <w:spacing w:line="220" w:lineRule="exact"/>
                          <w:ind w:firstLineChars="300" w:firstLine="483"/>
                          <w:rPr>
                            <w:sz w:val="16"/>
                            <w:szCs w:val="16"/>
                          </w:rPr>
                        </w:pPr>
                        <w:r w:rsidRPr="00D46C92">
                          <w:rPr>
                            <w:rFonts w:hint="eastAsia"/>
                            <w:sz w:val="16"/>
                            <w:szCs w:val="16"/>
                          </w:rPr>
                          <w:t>府民文化総務課長</w:t>
                        </w:r>
                      </w:p>
                      <w:p w14:paraId="73B4F006" w14:textId="77777777" w:rsidR="006A5267" w:rsidRPr="00D46C92" w:rsidRDefault="006A5267" w:rsidP="005D372A">
                        <w:pPr>
                          <w:spacing w:line="220" w:lineRule="exact"/>
                          <w:ind w:firstLineChars="300" w:firstLine="483"/>
                          <w:rPr>
                            <w:sz w:val="16"/>
                            <w:szCs w:val="16"/>
                          </w:rPr>
                        </w:pPr>
                        <w:r w:rsidRPr="00D46C92">
                          <w:rPr>
                            <w:rFonts w:hint="eastAsia"/>
                            <w:sz w:val="16"/>
                            <w:szCs w:val="16"/>
                          </w:rPr>
                          <w:t>スマートシティ戦略総務課長</w:t>
                        </w:r>
                      </w:p>
                      <w:p w14:paraId="7F691C99" w14:textId="77777777" w:rsidR="006A5267" w:rsidRPr="00D46C92" w:rsidRDefault="006A5267" w:rsidP="005D372A">
                        <w:pPr>
                          <w:spacing w:line="220" w:lineRule="exact"/>
                          <w:ind w:firstLineChars="300" w:firstLine="483"/>
                          <w:rPr>
                            <w:sz w:val="16"/>
                            <w:szCs w:val="16"/>
                          </w:rPr>
                        </w:pPr>
                        <w:r w:rsidRPr="00D46C92">
                          <w:rPr>
                            <w:rFonts w:hint="eastAsia"/>
                            <w:sz w:val="16"/>
                            <w:szCs w:val="16"/>
                          </w:rPr>
                          <w:t>庁舎管理課長</w:t>
                        </w:r>
                      </w:p>
                      <w:p w14:paraId="7E7B14B0" w14:textId="77777777" w:rsidR="006A5267" w:rsidRPr="00D46C92" w:rsidRDefault="006A5267" w:rsidP="005D372A">
                        <w:pPr>
                          <w:spacing w:line="220" w:lineRule="exact"/>
                          <w:ind w:firstLineChars="300" w:firstLine="483"/>
                          <w:rPr>
                            <w:sz w:val="16"/>
                            <w:szCs w:val="16"/>
                          </w:rPr>
                        </w:pPr>
                        <w:r w:rsidRPr="00D46C92">
                          <w:rPr>
                            <w:rFonts w:hint="eastAsia"/>
                            <w:sz w:val="16"/>
                            <w:szCs w:val="16"/>
                          </w:rPr>
                          <w:t>人事課長</w:t>
                        </w:r>
                      </w:p>
                      <w:p w14:paraId="52D58E8F" w14:textId="77777777" w:rsidR="006A5267" w:rsidRPr="00D46C92" w:rsidRDefault="006A5267" w:rsidP="005D372A">
                        <w:pPr>
                          <w:spacing w:line="220" w:lineRule="exact"/>
                          <w:ind w:firstLineChars="300" w:firstLine="483"/>
                          <w:rPr>
                            <w:sz w:val="16"/>
                            <w:szCs w:val="16"/>
                          </w:rPr>
                        </w:pPr>
                        <w:r w:rsidRPr="00D46C92">
                          <w:rPr>
                            <w:rFonts w:hint="eastAsia"/>
                            <w:sz w:val="16"/>
                            <w:szCs w:val="16"/>
                          </w:rPr>
                          <w:t>法務課長</w:t>
                        </w:r>
                      </w:p>
                      <w:p w14:paraId="65CAF012" w14:textId="77777777" w:rsidR="006A5267" w:rsidRPr="00D46C92" w:rsidRDefault="006A5267" w:rsidP="005D372A">
                        <w:pPr>
                          <w:spacing w:line="220" w:lineRule="exact"/>
                          <w:ind w:firstLineChars="300" w:firstLine="483"/>
                          <w:rPr>
                            <w:sz w:val="16"/>
                            <w:szCs w:val="16"/>
                          </w:rPr>
                        </w:pPr>
                        <w:r w:rsidRPr="00D46C92">
                          <w:rPr>
                            <w:rFonts w:hint="eastAsia"/>
                            <w:sz w:val="16"/>
                            <w:szCs w:val="16"/>
                          </w:rPr>
                          <w:t>財政課長</w:t>
                        </w:r>
                      </w:p>
                      <w:p w14:paraId="3568C080" w14:textId="77777777" w:rsidR="006A5267" w:rsidRPr="00D46C92" w:rsidRDefault="006A5267" w:rsidP="005D372A">
                        <w:pPr>
                          <w:spacing w:line="220" w:lineRule="exact"/>
                          <w:ind w:firstLineChars="300" w:firstLine="483"/>
                          <w:rPr>
                            <w:sz w:val="16"/>
                            <w:szCs w:val="16"/>
                          </w:rPr>
                        </w:pPr>
                        <w:r w:rsidRPr="00D46C92">
                          <w:rPr>
                            <w:rFonts w:hint="eastAsia"/>
                            <w:sz w:val="16"/>
                            <w:szCs w:val="16"/>
                          </w:rPr>
                          <w:t>成長戦略局空港政策</w:t>
                        </w:r>
                        <w:r w:rsidRPr="00D46C92">
                          <w:rPr>
                            <w:sz w:val="16"/>
                            <w:szCs w:val="16"/>
                          </w:rPr>
                          <w:t>担当課長</w:t>
                        </w:r>
                      </w:p>
                      <w:p w14:paraId="0EADBFCD" w14:textId="38CA4801" w:rsidR="006A5267" w:rsidRPr="00D46C92" w:rsidRDefault="006A5267" w:rsidP="005D372A">
                        <w:pPr>
                          <w:spacing w:line="220" w:lineRule="exact"/>
                          <w:ind w:firstLineChars="300" w:firstLine="483"/>
                          <w:rPr>
                            <w:sz w:val="16"/>
                            <w:szCs w:val="16"/>
                          </w:rPr>
                        </w:pPr>
                        <w:r w:rsidRPr="00D46C92">
                          <w:rPr>
                            <w:rFonts w:hint="eastAsia"/>
                            <w:sz w:val="16"/>
                            <w:szCs w:val="16"/>
                          </w:rPr>
                          <w:t>企画室</w:t>
                        </w:r>
                        <w:r w:rsidRPr="00D46C92">
                          <w:rPr>
                            <w:sz w:val="16"/>
                            <w:szCs w:val="16"/>
                          </w:rPr>
                          <w:t>連携</w:t>
                        </w:r>
                        <w:r w:rsidRPr="00D46C92">
                          <w:rPr>
                            <w:rFonts w:hint="eastAsia"/>
                            <w:sz w:val="16"/>
                            <w:szCs w:val="16"/>
                          </w:rPr>
                          <w:t>課長</w:t>
                        </w:r>
                      </w:p>
                      <w:p w14:paraId="3AA3D205" w14:textId="77777777" w:rsidR="006A5267" w:rsidRDefault="006A5267" w:rsidP="005D372A">
                        <w:pPr>
                          <w:spacing w:line="220" w:lineRule="exact"/>
                          <w:rPr>
                            <w:color w:val="000000" w:themeColor="text1"/>
                            <w:sz w:val="16"/>
                            <w:szCs w:val="16"/>
                          </w:rPr>
                        </w:pPr>
                        <w:r w:rsidRPr="00D46C92">
                          <w:rPr>
                            <w:rFonts w:hint="eastAsia"/>
                            <w:sz w:val="16"/>
                            <w:szCs w:val="16"/>
                          </w:rPr>
                          <w:t xml:space="preserve">　　　</w:t>
                        </w:r>
                        <w:r>
                          <w:rPr>
                            <w:rFonts w:hint="eastAsia"/>
                            <w:color w:val="000000" w:themeColor="text1"/>
                            <w:sz w:val="16"/>
                            <w:szCs w:val="16"/>
                          </w:rPr>
                          <w:t>企画室政策課参事</w:t>
                        </w:r>
                      </w:p>
                      <w:p w14:paraId="39BCECA6" w14:textId="77777777" w:rsidR="006A5267" w:rsidRDefault="006A5267" w:rsidP="005D372A">
                        <w:pPr>
                          <w:spacing w:line="220" w:lineRule="exact"/>
                          <w:rPr>
                            <w:color w:val="000000" w:themeColor="text1"/>
                            <w:sz w:val="16"/>
                            <w:szCs w:val="16"/>
                          </w:rPr>
                        </w:pPr>
                        <w:r>
                          <w:rPr>
                            <w:rFonts w:hint="eastAsia"/>
                            <w:color w:val="000000" w:themeColor="text1"/>
                            <w:sz w:val="16"/>
                            <w:szCs w:val="16"/>
                          </w:rPr>
                          <w:t xml:space="preserve">　　　政策企画総務課長</w:t>
                        </w:r>
                      </w:p>
                      <w:p w14:paraId="1FCF6630" w14:textId="77777777" w:rsidR="006A5267" w:rsidRDefault="006A5267" w:rsidP="005D372A">
                        <w:pPr>
                          <w:spacing w:line="220" w:lineRule="exact"/>
                          <w:rPr>
                            <w:color w:val="000000" w:themeColor="text1"/>
                            <w:sz w:val="16"/>
                            <w:szCs w:val="16"/>
                          </w:rPr>
                        </w:pPr>
                        <w:r>
                          <w:rPr>
                            <w:rFonts w:hint="eastAsia"/>
                            <w:color w:val="000000" w:themeColor="text1"/>
                            <w:sz w:val="16"/>
                            <w:szCs w:val="16"/>
                          </w:rPr>
                          <w:t xml:space="preserve">　　　消防保安課長</w:t>
                        </w:r>
                      </w:p>
                      <w:p w14:paraId="728FF6A8" w14:textId="77777777" w:rsidR="006A5267" w:rsidRDefault="006A5267" w:rsidP="005D372A">
                        <w:pPr>
                          <w:spacing w:line="220" w:lineRule="exact"/>
                          <w:rPr>
                            <w:color w:val="000000" w:themeColor="text1"/>
                            <w:sz w:val="16"/>
                            <w:szCs w:val="16"/>
                          </w:rPr>
                        </w:pPr>
                        <w:r>
                          <w:rPr>
                            <w:rFonts w:hint="eastAsia"/>
                            <w:color w:val="000000" w:themeColor="text1"/>
                            <w:sz w:val="16"/>
                            <w:szCs w:val="16"/>
                          </w:rPr>
                          <w:t xml:space="preserve">　　　災害対策課長</w:t>
                        </w:r>
                      </w:p>
                      <w:p w14:paraId="17F68637" w14:textId="77777777" w:rsidR="006A5267" w:rsidRPr="00871F12" w:rsidRDefault="006A5267" w:rsidP="005D372A">
                        <w:pPr>
                          <w:spacing w:line="220" w:lineRule="exact"/>
                          <w:rPr>
                            <w:color w:val="000000" w:themeColor="text1"/>
                            <w:sz w:val="16"/>
                            <w:szCs w:val="16"/>
                          </w:rPr>
                        </w:pPr>
                        <w:r>
                          <w:rPr>
                            <w:rFonts w:hint="eastAsia"/>
                            <w:color w:val="000000" w:themeColor="text1"/>
                            <w:sz w:val="16"/>
                            <w:szCs w:val="16"/>
                          </w:rPr>
                          <w:t xml:space="preserve">　　　防災企画課長</w:t>
                        </w:r>
                      </w:p>
                    </w:txbxContent>
                  </v:textbox>
                </v:rect>
                <v:rect id="正方形/長方形 181" o:spid="_x0000_s1121" style="position:absolute;left:16936;top:238;width:6121;height:230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" filled="f" stroked="f">
                  <v:textbox inset="0,0,0,0">
                    <w:txbxContent>
                      <w:p w14:paraId="5C89744F" w14:textId="77777777" w:rsidR="006A5267" w:rsidRPr="00E9662B" w:rsidRDefault="006A5267" w:rsidP="005D372A">
                        <w:pPr>
                          <w:spacing w:line="240" w:lineRule="exact"/>
                          <w:jc w:val="center"/>
                          <w:rPr>
                            <w:rFonts w:asciiTheme="majorEastAsia" w:eastAsiaTheme="majorEastAsia" w:hAnsiTheme="majorEastAsia"/>
                            <w:color w:val="000000" w:themeColor="text1"/>
                            <w:sz w:val="16"/>
                            <w:szCs w:val="16"/>
                          </w:rPr>
                        </w:pPr>
                        <w:r>
                          <w:rPr>
                            <w:rFonts w:asciiTheme="majorEastAsia" w:eastAsiaTheme="majorEastAsia" w:hAnsiTheme="majorEastAsia" w:hint="eastAsia"/>
                            <w:color w:val="000000" w:themeColor="text1"/>
                            <w:sz w:val="16"/>
                            <w:szCs w:val="16"/>
                          </w:rPr>
                          <w:t>部員</w:t>
                        </w:r>
                      </w:p>
                    </w:txbxContent>
                  </v:textbox>
                </v:rect>
              </v:group>
            </w:pict>
          </mc:Fallback>
        </mc:AlternateContent>
      </w:r>
    </w:p>
    <w:p w14:paraId="73B9D261" w14:textId="77777777" w:rsidR="005D372A" w:rsidRPr="001D6D10" w:rsidRDefault="005D372A" w:rsidP="005D372A">
      <w:r w:rsidRPr="001D6D10">
        <w:rPr>
          <w:noProof/>
        </w:rPr>
        <mc:AlternateContent>
          <mc:Choice Requires="wps">
            <w:drawing>
              <wp:anchor distT="0" distB="0" distL="114300" distR="114300" simplePos="0" relativeHeight="252897280" behindDoc="0" locked="0" layoutInCell="1" allowOverlap="1" wp14:anchorId="2CF324A9" wp14:editId="4E1130A5">
                <wp:simplePos x="0" y="0"/>
                <wp:positionH relativeFrom="column">
                  <wp:posOffset>4866640</wp:posOffset>
                </wp:positionH>
                <wp:positionV relativeFrom="paragraph">
                  <wp:posOffset>187325</wp:posOffset>
                </wp:positionV>
                <wp:extent cx="666750" cy="1076325"/>
                <wp:effectExtent l="0" t="0" r="0" b="0"/>
                <wp:wrapNone/>
                <wp:docPr id="4820" name="テキスト ボックス 4820"/>
                <wp:cNvGraphicFramePr/>
                <a:graphic xmlns:a="http://schemas.openxmlformats.org/drawingml/2006/main">
                  <a:graphicData uri="http://schemas.microsoft.com/office/word/2010/wordprocessingShape">
                    <wps:wsp>
                      <wps:cNvSpPr txBox="1"/>
                      <wps:spPr>
                        <a:xfrm>
                          <a:off x="0" y="0"/>
                          <a:ext cx="666750" cy="1076325"/>
                        </a:xfrm>
                        <a:prstGeom prst="rect">
                          <a:avLst/>
                        </a:prstGeom>
                        <a:noFill/>
                        <a:ln w="6350">
                          <a:noFill/>
                        </a:ln>
                        <a:effectLst/>
                      </wps:spPr>
                      <wps:txbx>
                        <w:txbxContent>
                          <w:p w14:paraId="4C08C0F6" w14:textId="77777777" w:rsidR="006A5267" w:rsidRDefault="006A5267" w:rsidP="005D372A">
                            <w:pPr>
                              <w:rPr>
                                <w:sz w:val="16"/>
                                <w:szCs w:val="16"/>
                              </w:rPr>
                            </w:pPr>
                            <w:r w:rsidRPr="0064766D">
                              <w:rPr>
                                <w:rFonts w:hint="eastAsia"/>
                                <w:sz w:val="16"/>
                                <w:szCs w:val="16"/>
                              </w:rPr>
                              <w:t>（必要に応じて</w:t>
                            </w:r>
                          </w:p>
                          <w:p w14:paraId="06DF68D3" w14:textId="77777777" w:rsidR="006A5267" w:rsidRPr="0064766D" w:rsidRDefault="006A5267" w:rsidP="005D372A">
                            <w:pPr>
                              <w:ind w:firstLineChars="200" w:firstLine="322"/>
                              <w:rPr>
                                <w:sz w:val="16"/>
                                <w:szCs w:val="16"/>
                              </w:rPr>
                            </w:pPr>
                            <w:r>
                              <w:rPr>
                                <w:rFonts w:hint="eastAsia"/>
                                <w:sz w:val="16"/>
                                <w:szCs w:val="16"/>
                              </w:rPr>
                              <w:t>派遣を要請</w:t>
                            </w:r>
                            <w:r w:rsidRPr="0064766D">
                              <w:rPr>
                                <w:rFonts w:hint="eastAsia"/>
                                <w:sz w:val="16"/>
                                <w:szCs w:val="16"/>
                              </w:rPr>
                              <w:t>）</w:t>
                            </w:r>
                          </w:p>
                        </w:txbxContent>
                      </wps:txbx>
                      <wps:bodyPr rot="0" spcFirstLastPara="0" vertOverflow="overflow" horzOverflow="overflow" vert="eaVert"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shape w14:anchorId="2CF324A9" id="テキスト ボックス 4820" o:spid="_x0000_s1122" type="#_x0000_t202" style="position:absolute;left:0;text-align:left;margin-left:383.2pt;margin-top:14.75pt;width:52.5pt;height:84.75pt;z-index:2528972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" filled="f" stroked="f" strokeweight=".5pt">
                <v:textbox style="layout-flow:vertical-ideographic">
                  <w:txbxContent>
                    <w:p w14:paraId="4C08C0F6" w14:textId="77777777" w:rsidR="006A5267" w:rsidRDefault="006A5267" w:rsidP="005D372A">
                      <w:pPr>
                        <w:rPr>
                          <w:sz w:val="16"/>
                          <w:szCs w:val="16"/>
                        </w:rPr>
                      </w:pPr>
                      <w:r w:rsidRPr="0064766D">
                        <w:rPr>
                          <w:rFonts w:hint="eastAsia"/>
                          <w:sz w:val="16"/>
                          <w:szCs w:val="16"/>
                        </w:rPr>
                        <w:t>（必要に応じて</w:t>
                      </w:r>
                    </w:p>
                    <w:p w14:paraId="06DF68D3" w14:textId="77777777" w:rsidR="006A5267" w:rsidRPr="0064766D" w:rsidRDefault="006A5267" w:rsidP="005D372A">
                      <w:pPr>
                        <w:ind w:firstLineChars="200" w:firstLine="322"/>
                        <w:rPr>
                          <w:sz w:val="16"/>
                          <w:szCs w:val="16"/>
                        </w:rPr>
                      </w:pPr>
                      <w:r>
                        <w:rPr>
                          <w:rFonts w:hint="eastAsia"/>
                          <w:sz w:val="16"/>
                          <w:szCs w:val="16"/>
                        </w:rPr>
                        <w:t>派遣を要請</w:t>
                      </w:r>
                      <w:r w:rsidRPr="0064766D">
                        <w:rPr>
                          <w:rFonts w:hint="eastAsia"/>
                          <w:sz w:val="16"/>
                          <w:szCs w:val="16"/>
                        </w:rPr>
                        <w:t>）</w:t>
                      </w:r>
                    </w:p>
                  </w:txbxContent>
                </v:textbox>
              </v:shape>
            </w:pict>
          </mc:Fallback>
        </mc:AlternateContent>
      </w:r>
    </w:p>
    <w:p w14:paraId="3AC8D8D6" w14:textId="77777777" w:rsidR="005D372A" w:rsidRPr="001D6D10" w:rsidRDefault="005D372A" w:rsidP="005D372A"/>
    <w:p w14:paraId="46335E7C" w14:textId="77777777" w:rsidR="005D372A" w:rsidRPr="001D6D10" w:rsidRDefault="005D372A" w:rsidP="005D372A"/>
    <w:p w14:paraId="3BBCA598" w14:textId="77777777" w:rsidR="005D372A" w:rsidRPr="001D6D10" w:rsidRDefault="005D372A" w:rsidP="005D372A"/>
    <w:p w14:paraId="4F299D4C" w14:textId="77777777" w:rsidR="005D372A" w:rsidRPr="001D6D10" w:rsidRDefault="005D372A" w:rsidP="005D372A">
      <w:r w:rsidRPr="001D6D10">
        <w:rPr>
          <w:rFonts w:hint="eastAsia"/>
          <w:noProof/>
        </w:rPr>
        <mc:AlternateContent>
          <mc:Choice Requires="wps">
            <w:drawing>
              <wp:anchor distT="0" distB="0" distL="114300" distR="114300" simplePos="0" relativeHeight="252900352" behindDoc="0" locked="0" layoutInCell="1" allowOverlap="1" wp14:anchorId="48406D72" wp14:editId="04840C8D">
                <wp:simplePos x="0" y="0"/>
                <wp:positionH relativeFrom="column">
                  <wp:posOffset>4985602</wp:posOffset>
                </wp:positionH>
                <wp:positionV relativeFrom="paragraph">
                  <wp:posOffset>191770</wp:posOffset>
                </wp:positionV>
                <wp:extent cx="397510" cy="1499870"/>
                <wp:effectExtent l="0" t="0" r="21590" b="24130"/>
                <wp:wrapNone/>
                <wp:docPr id="4821" name="正方形/長方形 4821"/>
                <wp:cNvGraphicFramePr/>
                <a:graphic xmlns:a="http://schemas.openxmlformats.org/drawingml/2006/main">
                  <a:graphicData uri="http://schemas.microsoft.com/office/word/2010/wordprocessingShape">
                    <wps:wsp>
                      <wps:cNvSpPr/>
                      <wps:spPr>
                        <a:xfrm>
                          <a:off x="0" y="0"/>
                          <a:ext cx="397510" cy="1499870"/>
                        </a:xfrm>
                        <a:prstGeom prst="rect">
                          <a:avLst/>
                        </a:prstGeom>
                        <a:solidFill>
                          <a:sysClr val="window" lastClr="FFFFFF"/>
                        </a:solidFill>
                        <a:ln w="9525" cap="flat" cmpd="sng" algn="ctr">
                          <a:solidFill>
                            <a:sysClr val="windowText" lastClr="000000"/>
                          </a:solidFill>
                          <a:prstDash val="solid"/>
                        </a:ln>
                        <a:effectLst/>
                      </wps:spPr>
                      <wps:txbx>
                        <w:txbxContent>
                          <w:p w14:paraId="7B06DB7A" w14:textId="77777777" w:rsidR="006A5267" w:rsidRPr="0049553C" w:rsidRDefault="006A5267" w:rsidP="005D372A">
                            <w:pPr>
                              <w:spacing w:line="240" w:lineRule="exact"/>
                              <w:jc w:val="center"/>
                              <w:rPr>
                                <w:rFonts w:asciiTheme="majorEastAsia" w:eastAsiaTheme="majorEastAsia" w:hAnsiTheme="majorEastAsia"/>
                                <w:color w:val="000000" w:themeColor="text1"/>
                                <w:sz w:val="16"/>
                                <w:szCs w:val="16"/>
                              </w:rPr>
                            </w:pPr>
                            <w:r w:rsidRPr="0049553C">
                              <w:rPr>
                                <w:rFonts w:asciiTheme="majorEastAsia" w:eastAsiaTheme="majorEastAsia" w:hAnsiTheme="majorEastAsia" w:hint="eastAsia"/>
                                <w:color w:val="000000" w:themeColor="text1"/>
                                <w:sz w:val="16"/>
                                <w:szCs w:val="16"/>
                              </w:rPr>
                              <w:t>派遣員【リエゾン】</w:t>
                            </w:r>
                          </w:p>
                          <w:p w14:paraId="511ED0B4" w14:textId="77777777" w:rsidR="006A5267" w:rsidRPr="006B2FD0" w:rsidRDefault="006A5267" w:rsidP="005D372A">
                            <w:pPr>
                              <w:spacing w:line="240" w:lineRule="exact"/>
                              <w:jc w:val="center"/>
                              <w:rPr>
                                <w:color w:val="000000" w:themeColor="text1"/>
                                <w:sz w:val="16"/>
                                <w:szCs w:val="16"/>
                              </w:rPr>
                            </w:pPr>
                            <w:r>
                              <w:rPr>
                                <w:rFonts w:hint="eastAsia"/>
                                <w:color w:val="000000" w:themeColor="text1"/>
                                <w:sz w:val="16"/>
                                <w:szCs w:val="16"/>
                              </w:rPr>
                              <w:t>（防災関係機関の職員等）</w:t>
                            </w:r>
                          </w:p>
                        </w:txbxContent>
                      </wps:txbx>
                      <wps:bodyPr rot="0" spcFirstLastPara="0" vertOverflow="overflow" horzOverflow="overflow" vert="eaVert" wrap="square" lIns="0" tIns="0" rIns="0" bIns="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rect w14:anchorId="48406D72" id="正方形/長方形 4821" o:spid="_x0000_s1123" style="position:absolute;left:0;text-align:left;margin-left:392.55pt;margin-top:15.1pt;width:31.3pt;height:118.1pt;z-index:2529003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" fillcolor="window" strokecolor="windowText">
                <v:textbox style="layout-flow:vertical-ideographic" inset="0,0,0,0">
                  <w:txbxContent>
                    <w:p w14:paraId="7B06DB7A" w14:textId="77777777" w:rsidR="006A5267" w:rsidRPr="0049553C" w:rsidRDefault="006A5267" w:rsidP="005D372A">
                      <w:pPr>
                        <w:spacing w:line="240" w:lineRule="exact"/>
                        <w:jc w:val="center"/>
                        <w:rPr>
                          <w:rFonts w:asciiTheme="majorEastAsia" w:eastAsiaTheme="majorEastAsia" w:hAnsiTheme="majorEastAsia"/>
                          <w:color w:val="000000" w:themeColor="text1"/>
                          <w:sz w:val="16"/>
                          <w:szCs w:val="16"/>
                        </w:rPr>
                      </w:pPr>
                      <w:r w:rsidRPr="0049553C">
                        <w:rPr>
                          <w:rFonts w:asciiTheme="majorEastAsia" w:eastAsiaTheme="majorEastAsia" w:hAnsiTheme="majorEastAsia" w:hint="eastAsia"/>
                          <w:color w:val="000000" w:themeColor="text1"/>
                          <w:sz w:val="16"/>
                          <w:szCs w:val="16"/>
                        </w:rPr>
                        <w:t>派遣員【リエゾン】</w:t>
                      </w:r>
                    </w:p>
                    <w:p w14:paraId="511ED0B4" w14:textId="77777777" w:rsidR="006A5267" w:rsidRPr="006B2FD0" w:rsidRDefault="006A5267" w:rsidP="005D372A">
                      <w:pPr>
                        <w:spacing w:line="240" w:lineRule="exact"/>
                        <w:jc w:val="center"/>
                        <w:rPr>
                          <w:color w:val="000000" w:themeColor="text1"/>
                          <w:sz w:val="16"/>
                          <w:szCs w:val="16"/>
                        </w:rPr>
                      </w:pPr>
                      <w:r>
                        <w:rPr>
                          <w:rFonts w:hint="eastAsia"/>
                          <w:color w:val="000000" w:themeColor="text1"/>
                          <w:sz w:val="16"/>
                          <w:szCs w:val="16"/>
                        </w:rPr>
                        <w:t>（防災関係機関の職員等）</w:t>
                      </w:r>
                    </w:p>
                  </w:txbxContent>
                </v:textbox>
              </v:rect>
            </w:pict>
          </mc:Fallback>
        </mc:AlternateContent>
      </w:r>
    </w:p>
    <w:p w14:paraId="0A8447BA" w14:textId="77777777" w:rsidR="005D372A" w:rsidRPr="001D6D10" w:rsidRDefault="005D372A" w:rsidP="005D372A"/>
    <w:p w14:paraId="0FC05941" w14:textId="77777777" w:rsidR="005D372A" w:rsidRPr="001D6D10" w:rsidRDefault="005D372A" w:rsidP="005D372A"/>
    <w:p w14:paraId="612CCC4E" w14:textId="77777777" w:rsidR="005D372A" w:rsidRPr="001D6D10" w:rsidRDefault="005D372A" w:rsidP="005D372A"/>
    <w:p w14:paraId="0EA6C74C" w14:textId="77777777" w:rsidR="005D372A" w:rsidRPr="001D6D10" w:rsidRDefault="005D372A" w:rsidP="005D372A"/>
    <w:p w14:paraId="2F3864DC" w14:textId="77777777" w:rsidR="005D372A" w:rsidRPr="001D6D10" w:rsidRDefault="005D372A" w:rsidP="005D372A">
      <w:r w:rsidRPr="001D6D10">
        <w:rPr>
          <w:noProof/>
        </w:rPr>
        <mc:AlternateContent>
          <mc:Choice Requires="wps">
            <w:drawing>
              <wp:anchor distT="0" distB="0" distL="114300" distR="114300" simplePos="0" relativeHeight="252898304" behindDoc="0" locked="0" layoutInCell="1" allowOverlap="1" wp14:anchorId="06AF7E12" wp14:editId="58E23232">
                <wp:simplePos x="0" y="0"/>
                <wp:positionH relativeFrom="column">
                  <wp:posOffset>4361815</wp:posOffset>
                </wp:positionH>
                <wp:positionV relativeFrom="paragraph">
                  <wp:posOffset>185420</wp:posOffset>
                </wp:positionV>
                <wp:extent cx="819150" cy="0"/>
                <wp:effectExtent l="0" t="19050" r="19050" b="19050"/>
                <wp:wrapNone/>
                <wp:docPr id="4307" name="直線コネクタ 4307"/>
                <wp:cNvGraphicFramePr/>
                <a:graphic xmlns:a="http://schemas.openxmlformats.org/drawingml/2006/main">
                  <a:graphicData uri="http://schemas.microsoft.com/office/word/2010/wordprocessingShape">
                    <wps:wsp>
                      <wps:cNvCnPr/>
                      <wps:spPr>
                        <a:xfrm>
                          <a:off x="0" y="0"/>
                          <a:ext cx="819150" cy="0"/>
                        </a:xfrm>
                        <a:prstGeom prst="line">
                          <a:avLst/>
                        </a:prstGeom>
                        <a:noFill/>
                        <a:ln w="34925" cap="flat" cmpd="dbl" algn="ctr">
                          <a:solidFill>
                            <a:sysClr val="windowText" lastClr="000000"/>
                          </a:solidFill>
                          <a:prstDash val="solid"/>
                          <a:tailEnd type="none" w="sm" len="sm"/>
                        </a:ln>
                        <a:effectLst/>
                      </wps:spPr>
                      <wps:bodyPr/>
                    </wps:wsp>
                  </a:graphicData>
                </a:graphic>
                <wp14:sizeRelH relativeFrom="margin">
                  <wp14:pctWidth>0</wp14:pctWidth>
                </wp14:sizeRelH>
              </wp:anchor>
            </w:drawing>
          </mc:Choice>
          <mc:Fallback xmlns:w16cei="http://schemas.microsoft.com/office/word/2026/wordml/cei">
            <w:pict>
              <v:line w14:anchorId="6F7F4556" id="直線コネクタ 4307" o:spid="_x0000_s1026" style="position:absolute;left:0;text-align:left;z-index:25289830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343.45pt,14.6pt" to="407.95pt,14.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" strokecolor="windowText" strokeweight="2.75pt">
                <v:stroke endarrowwidth="narrow" endarrowlength="short" linestyle="thinThin"/>
              </v:line>
            </w:pict>
          </mc:Fallback>
        </mc:AlternateContent>
      </w:r>
      <w:r w:rsidRPr="001D6D10">
        <w:rPr>
          <w:noProof/>
        </w:rPr>
        <mc:AlternateContent>
          <mc:Choice Requires="wps">
            <w:drawing>
              <wp:anchor distT="0" distB="0" distL="114300" distR="114300" simplePos="0" relativeHeight="252899328" behindDoc="0" locked="0" layoutInCell="1" allowOverlap="1" wp14:anchorId="0AD5C46A" wp14:editId="78AC921C">
                <wp:simplePos x="0" y="0"/>
                <wp:positionH relativeFrom="column">
                  <wp:posOffset>2561822</wp:posOffset>
                </wp:positionH>
                <wp:positionV relativeFrom="paragraph">
                  <wp:posOffset>90170</wp:posOffset>
                </wp:positionV>
                <wp:extent cx="1914525" cy="219075"/>
                <wp:effectExtent l="0" t="0" r="28575" b="28575"/>
                <wp:wrapNone/>
                <wp:docPr id="2795" name="正方形/長方形 2795"/>
                <wp:cNvGraphicFramePr/>
                <a:graphic xmlns:a="http://schemas.openxmlformats.org/drawingml/2006/main">
                  <a:graphicData uri="http://schemas.microsoft.com/office/word/2010/wordprocessingShape">
                    <wps:wsp>
                      <wps:cNvSpPr/>
                      <wps:spPr>
                        <a:xfrm>
                          <a:off x="0" y="0"/>
                          <a:ext cx="1914525" cy="219075"/>
                        </a:xfrm>
                        <a:prstGeom prst="rect">
                          <a:avLst/>
                        </a:prstGeom>
                        <a:solidFill>
                          <a:sysClr val="window" lastClr="FFFFFF"/>
                        </a:solidFill>
                        <a:ln w="9525" cap="flat" cmpd="sng" algn="ctr">
                          <a:solidFill>
                            <a:sysClr val="windowText" lastClr="000000"/>
                          </a:solidFill>
                          <a:prstDash val="dash"/>
                        </a:ln>
                        <a:effectLst/>
                      </wps:spPr>
                      <wps:txbx>
                        <w:txbxContent>
                          <w:p w14:paraId="041C0F0A" w14:textId="77777777" w:rsidR="006A5267" w:rsidRPr="00A8725A" w:rsidRDefault="006A5267" w:rsidP="005D372A">
                            <w:pPr>
                              <w:spacing w:line="240" w:lineRule="exact"/>
                              <w:jc w:val="center"/>
                              <w:rPr>
                                <w:color w:val="000000" w:themeColor="text1"/>
                                <w:sz w:val="16"/>
                                <w:szCs w:val="16"/>
                              </w:rPr>
                            </w:pPr>
                            <w:r>
                              <w:rPr>
                                <w:rFonts w:asciiTheme="majorEastAsia" w:eastAsiaTheme="majorEastAsia" w:hAnsiTheme="majorEastAsia" w:hint="eastAsia"/>
                                <w:color w:val="000000" w:themeColor="text1"/>
                                <w:sz w:val="16"/>
                                <w:szCs w:val="16"/>
                              </w:rPr>
                              <w:t>防災・危機管理指令部</w:t>
                            </w:r>
                            <w:r>
                              <w:rPr>
                                <w:rFonts w:asciiTheme="majorEastAsia" w:eastAsiaTheme="majorEastAsia" w:hAnsiTheme="majorEastAsia"/>
                                <w:color w:val="000000" w:themeColor="text1"/>
                                <w:sz w:val="16"/>
                                <w:szCs w:val="16"/>
                              </w:rPr>
                              <w:t>事務局</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rect w14:anchorId="0AD5C46A" id="正方形/長方形 2795" o:spid="_x0000_s1124" style="position:absolute;left:0;text-align:left;margin-left:201.7pt;margin-top:7.1pt;width:150.75pt;height:17.25pt;z-index:2528993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" fillcolor="window" strokecolor="windowText">
                <v:stroke dashstyle="dash"/>
                <v:textbox inset="0,0,0,0">
                  <w:txbxContent>
                    <w:p w14:paraId="041C0F0A" w14:textId="77777777" w:rsidR="006A5267" w:rsidRPr="00A8725A" w:rsidRDefault="006A5267" w:rsidP="005D372A">
                      <w:pPr>
                        <w:spacing w:line="240" w:lineRule="exact"/>
                        <w:jc w:val="center"/>
                        <w:rPr>
                          <w:color w:val="000000" w:themeColor="text1"/>
                          <w:sz w:val="16"/>
                          <w:szCs w:val="16"/>
                        </w:rPr>
                      </w:pPr>
                      <w:r>
                        <w:rPr>
                          <w:rFonts w:asciiTheme="majorEastAsia" w:eastAsiaTheme="majorEastAsia" w:hAnsiTheme="majorEastAsia" w:hint="eastAsia"/>
                          <w:color w:val="000000" w:themeColor="text1"/>
                          <w:sz w:val="16"/>
                          <w:szCs w:val="16"/>
                        </w:rPr>
                        <w:t>防災・危機管理指令部</w:t>
                      </w:r>
                      <w:r>
                        <w:rPr>
                          <w:rFonts w:asciiTheme="majorEastAsia" w:eastAsiaTheme="majorEastAsia" w:hAnsiTheme="majorEastAsia"/>
                          <w:color w:val="000000" w:themeColor="text1"/>
                          <w:sz w:val="16"/>
                          <w:szCs w:val="16"/>
                        </w:rPr>
                        <w:t>事務局</w:t>
                      </w:r>
                    </w:p>
                  </w:txbxContent>
                </v:textbox>
              </v:rect>
            </w:pict>
          </mc:Fallback>
        </mc:AlternateContent>
      </w:r>
    </w:p>
    <w:p w14:paraId="218212E2" w14:textId="77777777" w:rsidR="005D372A" w:rsidRPr="001D6D10" w:rsidRDefault="005D372A" w:rsidP="005D372A"/>
    <w:p w14:paraId="161B1C1B" w14:textId="77777777" w:rsidR="005D372A" w:rsidRPr="001D6D10" w:rsidRDefault="005D372A" w:rsidP="005D372A"/>
    <w:p w14:paraId="2911ED89" w14:textId="77777777" w:rsidR="005D372A" w:rsidRPr="001D6D10" w:rsidRDefault="005D372A" w:rsidP="005D372A"/>
    <w:p w14:paraId="2FD25D50" w14:textId="77777777" w:rsidR="005D372A" w:rsidRPr="001D6D10" w:rsidRDefault="005D372A" w:rsidP="005D372A"/>
    <w:p w14:paraId="345296E9" w14:textId="77777777" w:rsidR="005D372A" w:rsidRPr="001D6D10" w:rsidRDefault="005D372A" w:rsidP="005D372A"/>
    <w:p w14:paraId="5F74421B" w14:textId="6F59E765" w:rsidR="00B63B25" w:rsidRDefault="00B63B25">
      <w:pPr>
        <w:widowControl/>
        <w:jc w:val="left"/>
      </w:pPr>
      <w:r>
        <w:br w:type="page"/>
      </w:r>
    </w:p>
    <w:p w14:paraId="4E4FC74C" w14:textId="328C9CB2" w:rsidR="005D372A" w:rsidRPr="001D6D10" w:rsidRDefault="00D769E2" w:rsidP="005D372A">
      <w:pPr>
        <w:rPr>
          <w:sz w:val="22"/>
          <w:szCs w:val="22"/>
        </w:rPr>
      </w:pPr>
      <w:r w:rsidRPr="001D6D10">
        <w:rPr>
          <w:noProof/>
        </w:rPr>
        <w:lastRenderedPageBreak/>
        <mc:AlternateContent>
          <mc:Choice Requires="wps">
            <w:drawing>
              <wp:anchor distT="0" distB="0" distL="114300" distR="114300" simplePos="0" relativeHeight="254251008" behindDoc="0" locked="0" layoutInCell="1" allowOverlap="1" wp14:anchorId="0AD4EE90" wp14:editId="0F6E363C">
                <wp:simplePos x="0" y="0"/>
                <wp:positionH relativeFrom="column">
                  <wp:posOffset>-76835</wp:posOffset>
                </wp:positionH>
                <wp:positionV relativeFrom="paragraph">
                  <wp:posOffset>8387715</wp:posOffset>
                </wp:positionV>
                <wp:extent cx="5623560" cy="289560"/>
                <wp:effectExtent l="0" t="0" r="0" b="0"/>
                <wp:wrapNone/>
                <wp:docPr id="224" name="Text Box 375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623560" cy="2895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5620FFB" w14:textId="428A4B80" w:rsidR="00651F47" w:rsidRPr="00D705BF" w:rsidRDefault="00D769E2" w:rsidP="00651F47">
                            <w:pPr>
                              <w:ind w:firstLineChars="100" w:firstLine="161"/>
                              <w:jc w:val="left"/>
                              <w:rPr>
                                <w:sz w:val="16"/>
                                <w:szCs w:val="16"/>
                              </w:rPr>
                            </w:pPr>
                            <w:r w:rsidRPr="00D705BF">
                              <w:rPr>
                                <w:rFonts w:hint="eastAsia"/>
                                <w:sz w:val="16"/>
                                <w:szCs w:val="16"/>
                              </w:rPr>
                              <w:t>「南海トラフ地震臨時情報」</w:t>
                            </w:r>
                            <w:r w:rsidR="005076DF" w:rsidRPr="00D705BF">
                              <w:rPr>
                                <w:rFonts w:hint="eastAsia"/>
                                <w:sz w:val="16"/>
                                <w:szCs w:val="16"/>
                              </w:rPr>
                              <w:t>の発表に伴う指令部会議の構成は、自然災害の「地震」及び「津波」</w:t>
                            </w:r>
                            <w:r w:rsidR="00651F47" w:rsidRPr="00D705BF">
                              <w:rPr>
                                <w:rFonts w:hint="eastAsia"/>
                                <w:sz w:val="16"/>
                                <w:szCs w:val="16"/>
                              </w:rPr>
                              <w:t>を適用する。</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shape w14:anchorId="0AD4EE90" id="Text Box 3758" o:spid="_x0000_s1125" type="#_x0000_t202" style="position:absolute;left:0;text-align:left;margin-left:-6.05pt;margin-top:660.45pt;width:442.8pt;height:22.8pt;z-index:2542510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" filled="f" stroked="f">
                <v:textbox>
                  <w:txbxContent>
                    <w:p w14:paraId="15620FFB" w14:textId="428A4B80" w:rsidR="00651F47" w:rsidRPr="00D705BF" w:rsidRDefault="00D769E2" w:rsidP="00651F47">
                      <w:pPr>
                        <w:ind w:firstLineChars="100" w:firstLine="161"/>
                        <w:jc w:val="left"/>
                        <w:rPr>
                          <w:sz w:val="16"/>
                          <w:szCs w:val="16"/>
                        </w:rPr>
                      </w:pPr>
                      <w:r w:rsidRPr="00D705BF">
                        <w:rPr>
                          <w:rFonts w:hint="eastAsia"/>
                          <w:sz w:val="16"/>
                          <w:szCs w:val="16"/>
                        </w:rPr>
                        <w:t>「南海トラフ地震臨時情報」</w:t>
                      </w:r>
                      <w:r w:rsidR="005076DF" w:rsidRPr="00D705BF">
                        <w:rPr>
                          <w:rFonts w:hint="eastAsia"/>
                          <w:sz w:val="16"/>
                          <w:szCs w:val="16"/>
                        </w:rPr>
                        <w:t>の発表に伴う指令部会議の構成は、自然災害の「地震」及び「津波」</w:t>
                      </w:r>
                      <w:r w:rsidR="00651F47" w:rsidRPr="00D705BF">
                        <w:rPr>
                          <w:rFonts w:hint="eastAsia"/>
                          <w:sz w:val="16"/>
                          <w:szCs w:val="16"/>
                        </w:rPr>
                        <w:t>を適用する。</w:t>
                      </w:r>
                    </w:p>
                  </w:txbxContent>
                </v:textbox>
              </v:shape>
            </w:pict>
          </mc:Fallback>
        </mc:AlternateContent>
      </w:r>
      <w:r w:rsidR="005D372A" w:rsidRPr="001D6D10">
        <w:rPr>
          <w:rFonts w:hint="eastAsia"/>
          <w:sz w:val="22"/>
          <w:szCs w:val="22"/>
        </w:rPr>
        <w:t>別表１　防災・危機管理指令部会議の構成（</w:t>
      </w:r>
      <w:r w:rsidR="005D372A" w:rsidRPr="001D6D10">
        <w:rPr>
          <w:rFonts w:hint="eastAsia"/>
          <w:sz w:val="16"/>
          <w:szCs w:val="16"/>
        </w:rPr>
        <w:t>※その他、状況に応じて招集する。</w:t>
      </w:r>
      <w:r w:rsidR="005D372A" w:rsidRPr="001D6D10">
        <w:rPr>
          <w:rFonts w:hint="eastAsia"/>
          <w:sz w:val="22"/>
          <w:szCs w:val="22"/>
        </w:rPr>
        <w:t>）</w:t>
      </w:r>
    </w:p>
    <w:tbl>
      <w:tblPr>
        <w:tblpPr w:leftFromText="142" w:rightFromText="142" w:vertAnchor="text" w:tblpXSpec="center" w:tblpY="1"/>
        <w:tblOverlap w:val="never"/>
        <w:tblW w:w="5907"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509"/>
        <w:gridCol w:w="486"/>
        <w:gridCol w:w="2317"/>
        <w:gridCol w:w="478"/>
        <w:gridCol w:w="478"/>
        <w:gridCol w:w="497"/>
        <w:gridCol w:w="463"/>
        <w:gridCol w:w="463"/>
        <w:gridCol w:w="459"/>
        <w:gridCol w:w="476"/>
        <w:gridCol w:w="476"/>
        <w:gridCol w:w="476"/>
        <w:gridCol w:w="476"/>
        <w:gridCol w:w="476"/>
        <w:gridCol w:w="541"/>
        <w:gridCol w:w="440"/>
        <w:gridCol w:w="472"/>
        <w:gridCol w:w="453"/>
      </w:tblGrid>
      <w:tr w:rsidR="001D6D10" w:rsidRPr="00E0548A" w14:paraId="02B55ACF" w14:textId="77777777" w:rsidTr="008B4B2B">
        <w:trPr>
          <w:trHeight w:val="339"/>
        </w:trPr>
        <w:tc>
          <w:tcPr>
            <w:tcW w:w="1587" w:type="pct"/>
            <w:gridSpan w:val="3"/>
            <w:vMerge w:val="restart"/>
            <w:tcBorders>
              <w:top w:val="single" w:sz="4" w:space="0" w:color="auto"/>
              <w:left w:val="single" w:sz="4" w:space="0" w:color="auto"/>
              <w:bottom w:val="single" w:sz="4" w:space="0" w:color="auto"/>
              <w:right w:val="single" w:sz="4" w:space="0" w:color="auto"/>
            </w:tcBorders>
          </w:tcPr>
          <w:p w14:paraId="659D829A" w14:textId="77777777" w:rsidR="005D372A" w:rsidRPr="001D6D10" w:rsidRDefault="005D372A" w:rsidP="005D372A">
            <w:pPr>
              <w:rPr>
                <w:rFonts w:ascii="ＭＳ 明朝"/>
                <w:sz w:val="16"/>
                <w:szCs w:val="16"/>
              </w:rPr>
            </w:pPr>
            <w:bookmarkStart w:id="44" w:name="_Hlk179229906"/>
          </w:p>
        </w:tc>
        <w:tc>
          <w:tcPr>
            <w:tcW w:w="1140" w:type="pct"/>
            <w:gridSpan w:val="5"/>
            <w:tcBorders>
              <w:top w:val="single" w:sz="4" w:space="0" w:color="auto"/>
              <w:left w:val="single" w:sz="4" w:space="0" w:color="auto"/>
              <w:bottom w:val="single" w:sz="4" w:space="0" w:color="auto"/>
              <w:right w:val="single" w:sz="4" w:space="0" w:color="auto"/>
            </w:tcBorders>
            <w:shd w:val="clear" w:color="auto" w:fill="F2F2F2"/>
          </w:tcPr>
          <w:p w14:paraId="66A83F89" w14:textId="77777777" w:rsidR="005D372A" w:rsidRPr="00E0548A" w:rsidRDefault="005D372A" w:rsidP="005D372A">
            <w:pPr>
              <w:jc w:val="center"/>
              <w:rPr>
                <w:rFonts w:ascii="ＭＳ 明朝"/>
                <w:sz w:val="16"/>
                <w:szCs w:val="16"/>
              </w:rPr>
            </w:pPr>
            <w:r w:rsidRPr="00E0548A">
              <w:rPr>
                <w:rFonts w:ascii="ＭＳ 明朝" w:hint="eastAsia"/>
                <w:sz w:val="16"/>
                <w:szCs w:val="16"/>
              </w:rPr>
              <w:t>自然災害</w:t>
            </w:r>
          </w:p>
        </w:tc>
        <w:tc>
          <w:tcPr>
            <w:tcW w:w="1619" w:type="pct"/>
            <w:gridSpan w:val="7"/>
            <w:tcBorders>
              <w:top w:val="single" w:sz="4" w:space="0" w:color="auto"/>
              <w:left w:val="single" w:sz="4" w:space="0" w:color="auto"/>
              <w:bottom w:val="single" w:sz="4" w:space="0" w:color="auto"/>
              <w:right w:val="single" w:sz="4" w:space="0" w:color="auto"/>
            </w:tcBorders>
            <w:shd w:val="clear" w:color="auto" w:fill="F2F2F2"/>
            <w:vAlign w:val="center"/>
          </w:tcPr>
          <w:p w14:paraId="5F9A52B2" w14:textId="77777777" w:rsidR="005D372A" w:rsidRPr="00E0548A" w:rsidRDefault="005D372A" w:rsidP="005D372A">
            <w:pPr>
              <w:jc w:val="center"/>
              <w:rPr>
                <w:rFonts w:ascii="ＭＳ 明朝"/>
                <w:sz w:val="16"/>
                <w:szCs w:val="16"/>
              </w:rPr>
            </w:pPr>
            <w:r w:rsidRPr="00E0548A">
              <w:rPr>
                <w:rFonts w:ascii="ＭＳ 明朝" w:hint="eastAsia"/>
                <w:sz w:val="16"/>
                <w:szCs w:val="16"/>
              </w:rPr>
              <w:t>事故・事件等</w:t>
            </w:r>
          </w:p>
        </w:tc>
        <w:tc>
          <w:tcPr>
            <w:tcW w:w="654" w:type="pct"/>
            <w:gridSpan w:val="3"/>
            <w:tcBorders>
              <w:top w:val="single" w:sz="4" w:space="0" w:color="auto"/>
              <w:left w:val="single" w:sz="4" w:space="0" w:color="auto"/>
              <w:bottom w:val="single" w:sz="4" w:space="0" w:color="auto"/>
              <w:right w:val="single" w:sz="4" w:space="0" w:color="auto"/>
            </w:tcBorders>
            <w:shd w:val="clear" w:color="auto" w:fill="F2F2F2"/>
          </w:tcPr>
          <w:p w14:paraId="3E634E08" w14:textId="77777777" w:rsidR="005D372A" w:rsidRPr="00E0548A" w:rsidRDefault="005D372A" w:rsidP="005D372A">
            <w:pPr>
              <w:jc w:val="center"/>
              <w:rPr>
                <w:rFonts w:ascii="ＭＳ 明朝"/>
                <w:sz w:val="16"/>
                <w:szCs w:val="16"/>
              </w:rPr>
            </w:pPr>
            <w:r w:rsidRPr="00E0548A">
              <w:rPr>
                <w:rFonts w:ascii="ＭＳ 明朝" w:hint="eastAsia"/>
                <w:sz w:val="16"/>
                <w:szCs w:val="16"/>
              </w:rPr>
              <w:t>その他</w:t>
            </w:r>
          </w:p>
        </w:tc>
      </w:tr>
      <w:tr w:rsidR="001D6D10" w:rsidRPr="00E0548A" w14:paraId="7F804B65" w14:textId="77777777" w:rsidTr="00D46C92">
        <w:trPr>
          <w:cantSplit/>
          <w:trHeight w:val="1006"/>
        </w:trPr>
        <w:tc>
          <w:tcPr>
            <w:tcW w:w="1587" w:type="pct"/>
            <w:gridSpan w:val="3"/>
            <w:vMerge/>
            <w:tcBorders>
              <w:top w:val="single" w:sz="4" w:space="0" w:color="auto"/>
              <w:left w:val="single" w:sz="4" w:space="0" w:color="auto"/>
              <w:bottom w:val="single" w:sz="4" w:space="0" w:color="auto"/>
              <w:right w:val="single" w:sz="4" w:space="0" w:color="auto"/>
            </w:tcBorders>
            <w:vAlign w:val="center"/>
            <w:hideMark/>
          </w:tcPr>
          <w:p w14:paraId="026958C5" w14:textId="77777777" w:rsidR="005D372A" w:rsidRPr="00E0548A" w:rsidRDefault="005D372A" w:rsidP="005D372A">
            <w:pPr>
              <w:widowControl/>
              <w:jc w:val="left"/>
              <w:rPr>
                <w:rFonts w:ascii="ＭＳ 明朝"/>
                <w:sz w:val="16"/>
                <w:szCs w:val="16"/>
              </w:rPr>
            </w:pPr>
          </w:p>
        </w:tc>
        <w:tc>
          <w:tcPr>
            <w:tcW w:w="229" w:type="pct"/>
            <w:tcBorders>
              <w:top w:val="single" w:sz="4" w:space="0" w:color="auto"/>
              <w:left w:val="single" w:sz="4" w:space="0" w:color="auto"/>
              <w:bottom w:val="single" w:sz="4" w:space="0" w:color="auto"/>
              <w:right w:val="single" w:sz="4" w:space="0" w:color="auto"/>
            </w:tcBorders>
            <w:shd w:val="clear" w:color="auto" w:fill="F2F2F2"/>
            <w:textDirection w:val="tbRlV"/>
            <w:vAlign w:val="center"/>
            <w:hideMark/>
          </w:tcPr>
          <w:p w14:paraId="1E7F3F6F" w14:textId="77777777" w:rsidR="005D372A" w:rsidRPr="00E0548A" w:rsidRDefault="005D372A" w:rsidP="005D372A">
            <w:pPr>
              <w:ind w:left="113" w:right="113"/>
              <w:jc w:val="center"/>
              <w:rPr>
                <w:rFonts w:ascii="ＭＳ 明朝"/>
                <w:sz w:val="16"/>
                <w:szCs w:val="16"/>
              </w:rPr>
            </w:pPr>
            <w:r w:rsidRPr="00E0548A">
              <w:rPr>
                <w:rFonts w:ascii="ＭＳ 明朝" w:hint="eastAsia"/>
                <w:sz w:val="16"/>
                <w:szCs w:val="16"/>
              </w:rPr>
              <w:t>地震</w:t>
            </w:r>
          </w:p>
        </w:tc>
        <w:tc>
          <w:tcPr>
            <w:tcW w:w="229" w:type="pct"/>
            <w:tcBorders>
              <w:top w:val="single" w:sz="4" w:space="0" w:color="auto"/>
              <w:left w:val="single" w:sz="4" w:space="0" w:color="auto"/>
              <w:bottom w:val="single" w:sz="4" w:space="0" w:color="auto"/>
              <w:right w:val="single" w:sz="4" w:space="0" w:color="auto"/>
            </w:tcBorders>
            <w:shd w:val="clear" w:color="auto" w:fill="F2F2F2"/>
            <w:textDirection w:val="tbRlV"/>
            <w:vAlign w:val="center"/>
            <w:hideMark/>
          </w:tcPr>
          <w:p w14:paraId="12B142D7" w14:textId="77777777" w:rsidR="005D372A" w:rsidRPr="00E0548A" w:rsidRDefault="005D372A" w:rsidP="005D372A">
            <w:pPr>
              <w:ind w:left="113" w:right="113"/>
              <w:jc w:val="center"/>
              <w:rPr>
                <w:rFonts w:ascii="ＭＳ 明朝"/>
                <w:sz w:val="16"/>
                <w:szCs w:val="16"/>
              </w:rPr>
            </w:pPr>
            <w:r w:rsidRPr="00E0548A">
              <w:rPr>
                <w:rFonts w:ascii="ＭＳ 明朝" w:hint="eastAsia"/>
                <w:sz w:val="16"/>
                <w:szCs w:val="16"/>
              </w:rPr>
              <w:t>津波</w:t>
            </w:r>
          </w:p>
        </w:tc>
        <w:tc>
          <w:tcPr>
            <w:tcW w:w="238" w:type="pct"/>
            <w:tcBorders>
              <w:top w:val="single" w:sz="4" w:space="0" w:color="auto"/>
              <w:left w:val="single" w:sz="4" w:space="0" w:color="auto"/>
              <w:bottom w:val="single" w:sz="4" w:space="0" w:color="auto"/>
              <w:right w:val="single" w:sz="4" w:space="0" w:color="auto"/>
            </w:tcBorders>
            <w:shd w:val="clear" w:color="auto" w:fill="F2F2F2"/>
            <w:textDirection w:val="tbRlV"/>
            <w:vAlign w:val="center"/>
            <w:hideMark/>
          </w:tcPr>
          <w:p w14:paraId="355DE2CF" w14:textId="77777777" w:rsidR="005D372A" w:rsidRPr="00E0548A" w:rsidRDefault="005D372A" w:rsidP="005D372A">
            <w:pPr>
              <w:ind w:left="113" w:right="113"/>
              <w:jc w:val="center"/>
              <w:rPr>
                <w:rFonts w:ascii="ＭＳ 明朝"/>
                <w:sz w:val="16"/>
                <w:szCs w:val="16"/>
              </w:rPr>
            </w:pPr>
            <w:r w:rsidRPr="00E0548A">
              <w:rPr>
                <w:rFonts w:ascii="ＭＳ 明朝" w:hint="eastAsia"/>
                <w:sz w:val="16"/>
                <w:szCs w:val="16"/>
              </w:rPr>
              <w:t>風水害</w:t>
            </w:r>
          </w:p>
        </w:tc>
        <w:tc>
          <w:tcPr>
            <w:tcW w:w="222" w:type="pct"/>
            <w:tcBorders>
              <w:top w:val="single" w:sz="4" w:space="0" w:color="auto"/>
              <w:left w:val="single" w:sz="4" w:space="0" w:color="auto"/>
              <w:bottom w:val="single" w:sz="4" w:space="0" w:color="auto"/>
              <w:right w:val="single" w:sz="4" w:space="0" w:color="auto"/>
            </w:tcBorders>
            <w:shd w:val="clear" w:color="auto" w:fill="F2F2F2" w:themeFill="background1" w:themeFillShade="F2"/>
            <w:textDirection w:val="tbRlV"/>
            <w:vAlign w:val="center"/>
          </w:tcPr>
          <w:p w14:paraId="6DD2FB95" w14:textId="77777777" w:rsidR="005D372A" w:rsidRPr="00E0548A" w:rsidRDefault="005D372A" w:rsidP="005D372A">
            <w:pPr>
              <w:ind w:left="113" w:right="113"/>
              <w:jc w:val="center"/>
              <w:rPr>
                <w:rFonts w:ascii="ＭＳ 明朝"/>
                <w:sz w:val="16"/>
                <w:szCs w:val="16"/>
              </w:rPr>
            </w:pPr>
            <w:r w:rsidRPr="00E0548A">
              <w:rPr>
                <w:rFonts w:ascii="ＭＳ 明朝" w:hint="eastAsia"/>
                <w:sz w:val="16"/>
                <w:szCs w:val="16"/>
              </w:rPr>
              <w:t>台風</w:t>
            </w:r>
          </w:p>
        </w:tc>
        <w:tc>
          <w:tcPr>
            <w:tcW w:w="222" w:type="pct"/>
            <w:tcBorders>
              <w:top w:val="single" w:sz="4" w:space="0" w:color="auto"/>
              <w:left w:val="single" w:sz="4" w:space="0" w:color="auto"/>
              <w:bottom w:val="single" w:sz="4" w:space="0" w:color="auto"/>
              <w:right w:val="single" w:sz="4" w:space="0" w:color="auto"/>
            </w:tcBorders>
            <w:shd w:val="clear" w:color="auto" w:fill="F2F2F2"/>
            <w:textDirection w:val="tbRlV"/>
            <w:vAlign w:val="center"/>
          </w:tcPr>
          <w:p w14:paraId="520A81E8" w14:textId="77777777" w:rsidR="005D372A" w:rsidRPr="00E0548A" w:rsidRDefault="005D372A" w:rsidP="005D372A">
            <w:pPr>
              <w:ind w:left="113" w:right="113"/>
              <w:jc w:val="center"/>
              <w:rPr>
                <w:rFonts w:ascii="ＭＳ 明朝"/>
                <w:sz w:val="16"/>
                <w:szCs w:val="16"/>
              </w:rPr>
            </w:pPr>
            <w:r w:rsidRPr="00E0548A">
              <w:rPr>
                <w:rFonts w:ascii="ＭＳ 明朝" w:hint="eastAsia"/>
                <w:sz w:val="16"/>
                <w:szCs w:val="16"/>
              </w:rPr>
              <w:t>竜巻</w:t>
            </w:r>
          </w:p>
        </w:tc>
        <w:tc>
          <w:tcPr>
            <w:tcW w:w="220" w:type="pct"/>
            <w:tcBorders>
              <w:top w:val="single" w:sz="4" w:space="0" w:color="auto"/>
              <w:left w:val="single" w:sz="4" w:space="0" w:color="auto"/>
              <w:bottom w:val="single" w:sz="4" w:space="0" w:color="auto"/>
              <w:right w:val="single" w:sz="4" w:space="0" w:color="auto"/>
            </w:tcBorders>
            <w:shd w:val="clear" w:color="auto" w:fill="F2F2F2"/>
            <w:textDirection w:val="tbRlV"/>
            <w:vAlign w:val="center"/>
            <w:hideMark/>
          </w:tcPr>
          <w:p w14:paraId="78268801" w14:textId="77777777" w:rsidR="005D372A" w:rsidRPr="00E0548A" w:rsidRDefault="005D372A" w:rsidP="005D372A">
            <w:pPr>
              <w:ind w:left="113" w:right="113"/>
              <w:jc w:val="center"/>
              <w:rPr>
                <w:rFonts w:ascii="ＭＳ 明朝"/>
                <w:sz w:val="16"/>
                <w:szCs w:val="16"/>
              </w:rPr>
            </w:pPr>
            <w:r w:rsidRPr="00E0548A">
              <w:rPr>
                <w:rFonts w:ascii="ＭＳ 明朝" w:hint="eastAsia"/>
                <w:sz w:val="16"/>
                <w:szCs w:val="16"/>
              </w:rPr>
              <w:t>海上</w:t>
            </w:r>
          </w:p>
        </w:tc>
        <w:tc>
          <w:tcPr>
            <w:tcW w:w="228" w:type="pct"/>
            <w:tcBorders>
              <w:top w:val="single" w:sz="4" w:space="0" w:color="auto"/>
              <w:left w:val="single" w:sz="4" w:space="0" w:color="auto"/>
              <w:bottom w:val="single" w:sz="4" w:space="0" w:color="auto"/>
              <w:right w:val="single" w:sz="4" w:space="0" w:color="auto"/>
            </w:tcBorders>
            <w:shd w:val="clear" w:color="auto" w:fill="F2F2F2"/>
            <w:textDirection w:val="tbRlV"/>
            <w:vAlign w:val="center"/>
            <w:hideMark/>
          </w:tcPr>
          <w:p w14:paraId="793C8FB0" w14:textId="77777777" w:rsidR="005D372A" w:rsidRPr="00E0548A" w:rsidRDefault="005D372A" w:rsidP="005D372A">
            <w:pPr>
              <w:ind w:left="113" w:right="113"/>
              <w:jc w:val="center"/>
              <w:rPr>
                <w:rFonts w:ascii="ＭＳ 明朝"/>
                <w:sz w:val="16"/>
                <w:szCs w:val="16"/>
              </w:rPr>
            </w:pPr>
            <w:r w:rsidRPr="00E0548A">
              <w:rPr>
                <w:rFonts w:ascii="ＭＳ 明朝" w:hint="eastAsia"/>
                <w:sz w:val="16"/>
                <w:szCs w:val="16"/>
              </w:rPr>
              <w:t>航空</w:t>
            </w:r>
          </w:p>
        </w:tc>
        <w:tc>
          <w:tcPr>
            <w:tcW w:w="228" w:type="pct"/>
            <w:tcBorders>
              <w:top w:val="single" w:sz="4" w:space="0" w:color="auto"/>
              <w:left w:val="single" w:sz="4" w:space="0" w:color="auto"/>
              <w:bottom w:val="single" w:sz="4" w:space="0" w:color="auto"/>
              <w:right w:val="single" w:sz="4" w:space="0" w:color="auto"/>
            </w:tcBorders>
            <w:shd w:val="clear" w:color="auto" w:fill="F2F2F2"/>
            <w:textDirection w:val="tbRlV"/>
            <w:vAlign w:val="center"/>
            <w:hideMark/>
          </w:tcPr>
          <w:p w14:paraId="2361408F" w14:textId="77777777" w:rsidR="005D372A" w:rsidRPr="00E0548A" w:rsidRDefault="005D372A" w:rsidP="005D372A">
            <w:pPr>
              <w:ind w:left="113" w:right="113"/>
              <w:jc w:val="center"/>
              <w:rPr>
                <w:rFonts w:ascii="ＭＳ 明朝"/>
                <w:sz w:val="16"/>
                <w:szCs w:val="16"/>
              </w:rPr>
            </w:pPr>
            <w:r w:rsidRPr="00E0548A">
              <w:rPr>
                <w:rFonts w:ascii="ＭＳ 明朝" w:hint="eastAsia"/>
                <w:sz w:val="16"/>
                <w:szCs w:val="16"/>
              </w:rPr>
              <w:t>鉄道</w:t>
            </w:r>
          </w:p>
        </w:tc>
        <w:tc>
          <w:tcPr>
            <w:tcW w:w="228" w:type="pct"/>
            <w:tcBorders>
              <w:top w:val="single" w:sz="4" w:space="0" w:color="auto"/>
              <w:left w:val="single" w:sz="4" w:space="0" w:color="auto"/>
              <w:bottom w:val="single" w:sz="4" w:space="0" w:color="auto"/>
              <w:right w:val="single" w:sz="4" w:space="0" w:color="auto"/>
            </w:tcBorders>
            <w:shd w:val="clear" w:color="auto" w:fill="F2F2F2"/>
            <w:textDirection w:val="tbRlV"/>
            <w:vAlign w:val="center"/>
            <w:hideMark/>
          </w:tcPr>
          <w:p w14:paraId="64F67DE5" w14:textId="77777777" w:rsidR="005D372A" w:rsidRPr="00E0548A" w:rsidRDefault="005D372A" w:rsidP="005D372A">
            <w:pPr>
              <w:ind w:left="113" w:right="113"/>
              <w:jc w:val="center"/>
              <w:rPr>
                <w:rFonts w:ascii="ＭＳ 明朝"/>
                <w:sz w:val="16"/>
                <w:szCs w:val="16"/>
              </w:rPr>
            </w:pPr>
            <w:r w:rsidRPr="00E0548A">
              <w:rPr>
                <w:rFonts w:ascii="ＭＳ 明朝" w:hint="eastAsia"/>
                <w:sz w:val="16"/>
                <w:szCs w:val="16"/>
              </w:rPr>
              <w:t>道路</w:t>
            </w:r>
          </w:p>
        </w:tc>
        <w:tc>
          <w:tcPr>
            <w:tcW w:w="228" w:type="pct"/>
            <w:tcBorders>
              <w:top w:val="single" w:sz="4" w:space="0" w:color="auto"/>
              <w:left w:val="single" w:sz="4" w:space="0" w:color="auto"/>
              <w:bottom w:val="single" w:sz="4" w:space="0" w:color="auto"/>
              <w:right w:val="single" w:sz="4" w:space="0" w:color="auto"/>
            </w:tcBorders>
            <w:shd w:val="clear" w:color="auto" w:fill="F2F2F2"/>
            <w:textDirection w:val="tbRlV"/>
            <w:vAlign w:val="center"/>
            <w:hideMark/>
          </w:tcPr>
          <w:p w14:paraId="5F48B320" w14:textId="77777777" w:rsidR="005D372A" w:rsidRPr="00E0548A" w:rsidRDefault="005D372A" w:rsidP="005D372A">
            <w:pPr>
              <w:ind w:left="113" w:right="113"/>
              <w:jc w:val="center"/>
              <w:rPr>
                <w:rFonts w:ascii="ＭＳ 明朝"/>
                <w:sz w:val="16"/>
                <w:szCs w:val="16"/>
              </w:rPr>
            </w:pPr>
            <w:r w:rsidRPr="00E0548A">
              <w:rPr>
                <w:rFonts w:ascii="ＭＳ 明朝" w:hint="eastAsia"/>
                <w:sz w:val="16"/>
                <w:szCs w:val="16"/>
              </w:rPr>
              <w:t>危険物</w:t>
            </w:r>
          </w:p>
        </w:tc>
        <w:tc>
          <w:tcPr>
            <w:tcW w:w="228" w:type="pct"/>
            <w:tcBorders>
              <w:top w:val="single" w:sz="4" w:space="0" w:color="auto"/>
              <w:left w:val="single" w:sz="4" w:space="0" w:color="auto"/>
              <w:bottom w:val="single" w:sz="4" w:space="0" w:color="auto"/>
              <w:right w:val="single" w:sz="4" w:space="0" w:color="auto"/>
            </w:tcBorders>
            <w:shd w:val="clear" w:color="auto" w:fill="F2F2F2"/>
            <w:textDirection w:val="tbRlV"/>
            <w:vAlign w:val="center"/>
            <w:hideMark/>
          </w:tcPr>
          <w:p w14:paraId="030CB2E9" w14:textId="77777777" w:rsidR="005D372A" w:rsidRPr="00E0548A" w:rsidRDefault="005D372A" w:rsidP="005D372A">
            <w:pPr>
              <w:spacing w:line="0" w:lineRule="atLeast"/>
              <w:ind w:left="113" w:right="113"/>
              <w:jc w:val="center"/>
              <w:rPr>
                <w:rFonts w:ascii="ＭＳ 明朝"/>
                <w:sz w:val="14"/>
                <w:szCs w:val="16"/>
              </w:rPr>
            </w:pPr>
            <w:r w:rsidRPr="00E0548A">
              <w:rPr>
                <w:rFonts w:ascii="ＭＳ 明朝" w:hint="eastAsia"/>
                <w:sz w:val="14"/>
                <w:szCs w:val="16"/>
              </w:rPr>
              <w:t>高層建築物</w:t>
            </w:r>
          </w:p>
          <w:p w14:paraId="193857C8" w14:textId="77777777" w:rsidR="005D372A" w:rsidRPr="00E0548A" w:rsidRDefault="005D372A" w:rsidP="005D372A">
            <w:pPr>
              <w:spacing w:line="0" w:lineRule="atLeast"/>
              <w:ind w:left="113" w:right="113"/>
              <w:jc w:val="center"/>
              <w:rPr>
                <w:rFonts w:ascii="ＭＳ 明朝"/>
                <w:sz w:val="14"/>
                <w:szCs w:val="16"/>
              </w:rPr>
            </w:pPr>
            <w:r w:rsidRPr="00E0548A">
              <w:rPr>
                <w:rFonts w:ascii="ＭＳ 明朝" w:hint="eastAsia"/>
                <w:sz w:val="14"/>
                <w:szCs w:val="16"/>
              </w:rPr>
              <w:t>地下街火災</w:t>
            </w:r>
          </w:p>
        </w:tc>
        <w:tc>
          <w:tcPr>
            <w:tcW w:w="259" w:type="pct"/>
            <w:tcBorders>
              <w:top w:val="single" w:sz="4" w:space="0" w:color="auto"/>
              <w:left w:val="single" w:sz="4" w:space="0" w:color="auto"/>
              <w:bottom w:val="single" w:sz="4" w:space="0" w:color="auto"/>
              <w:right w:val="single" w:sz="4" w:space="0" w:color="auto"/>
            </w:tcBorders>
            <w:shd w:val="clear" w:color="auto" w:fill="F2F2F2"/>
            <w:textDirection w:val="tbRlV"/>
            <w:vAlign w:val="center"/>
            <w:hideMark/>
          </w:tcPr>
          <w:p w14:paraId="218C63E9" w14:textId="77777777" w:rsidR="005D372A" w:rsidRPr="00E0548A" w:rsidRDefault="005D372A" w:rsidP="005D372A">
            <w:pPr>
              <w:spacing w:line="0" w:lineRule="atLeast"/>
              <w:ind w:left="113" w:right="113"/>
              <w:jc w:val="center"/>
              <w:rPr>
                <w:rFonts w:ascii="ＭＳ 明朝"/>
                <w:sz w:val="16"/>
                <w:szCs w:val="16"/>
              </w:rPr>
            </w:pPr>
            <w:r w:rsidRPr="00E0548A">
              <w:rPr>
                <w:rFonts w:ascii="ＭＳ 明朝" w:hint="eastAsia"/>
                <w:sz w:val="16"/>
                <w:szCs w:val="16"/>
              </w:rPr>
              <w:t>林野火災</w:t>
            </w:r>
          </w:p>
        </w:tc>
        <w:tc>
          <w:tcPr>
            <w:tcW w:w="211" w:type="pct"/>
            <w:tcBorders>
              <w:top w:val="single" w:sz="4" w:space="0" w:color="auto"/>
              <w:left w:val="single" w:sz="4" w:space="0" w:color="auto"/>
              <w:bottom w:val="single" w:sz="4" w:space="0" w:color="auto"/>
              <w:right w:val="single" w:sz="4" w:space="0" w:color="auto"/>
            </w:tcBorders>
            <w:shd w:val="clear" w:color="auto" w:fill="F2F2F2"/>
            <w:textDirection w:val="tbRlV"/>
          </w:tcPr>
          <w:p w14:paraId="21E19A5E" w14:textId="77777777" w:rsidR="005D372A" w:rsidRPr="00E0548A" w:rsidRDefault="005D372A" w:rsidP="005D372A">
            <w:pPr>
              <w:ind w:left="113" w:right="113"/>
              <w:jc w:val="center"/>
              <w:rPr>
                <w:rFonts w:ascii="ＭＳ 明朝"/>
                <w:sz w:val="16"/>
                <w:szCs w:val="16"/>
              </w:rPr>
            </w:pPr>
            <w:r w:rsidRPr="00E0548A">
              <w:rPr>
                <w:rFonts w:ascii="ＭＳ 明朝" w:hint="eastAsia"/>
                <w:sz w:val="16"/>
                <w:szCs w:val="16"/>
              </w:rPr>
              <w:t>危機事象</w:t>
            </w:r>
          </w:p>
        </w:tc>
        <w:tc>
          <w:tcPr>
            <w:tcW w:w="226" w:type="pct"/>
            <w:tcBorders>
              <w:top w:val="single" w:sz="4" w:space="0" w:color="auto"/>
              <w:left w:val="single" w:sz="4" w:space="0" w:color="auto"/>
              <w:bottom w:val="single" w:sz="4" w:space="0" w:color="auto"/>
              <w:right w:val="single" w:sz="4" w:space="0" w:color="auto"/>
            </w:tcBorders>
            <w:shd w:val="clear" w:color="auto" w:fill="F2F2F2"/>
            <w:textDirection w:val="tbRlV"/>
          </w:tcPr>
          <w:p w14:paraId="66EBCEE1" w14:textId="77777777" w:rsidR="005D372A" w:rsidRPr="00E0548A" w:rsidRDefault="005D372A" w:rsidP="005D372A">
            <w:pPr>
              <w:ind w:left="113" w:right="113"/>
              <w:jc w:val="center"/>
              <w:rPr>
                <w:rFonts w:ascii="ＭＳ 明朝"/>
                <w:sz w:val="16"/>
                <w:szCs w:val="16"/>
              </w:rPr>
            </w:pPr>
            <w:r w:rsidRPr="00E0548A">
              <w:rPr>
                <w:rFonts w:ascii="ＭＳ 明朝" w:hint="eastAsia"/>
                <w:sz w:val="16"/>
                <w:szCs w:val="16"/>
              </w:rPr>
              <w:t>国民保護</w:t>
            </w:r>
          </w:p>
        </w:tc>
        <w:tc>
          <w:tcPr>
            <w:tcW w:w="217" w:type="pct"/>
            <w:tcBorders>
              <w:top w:val="single" w:sz="4" w:space="0" w:color="auto"/>
              <w:left w:val="single" w:sz="4" w:space="0" w:color="auto"/>
              <w:bottom w:val="single" w:sz="4" w:space="0" w:color="auto"/>
              <w:right w:val="single" w:sz="4" w:space="0" w:color="auto"/>
            </w:tcBorders>
            <w:shd w:val="clear" w:color="auto" w:fill="F2F2F2"/>
            <w:textDirection w:val="tbRlV"/>
            <w:vAlign w:val="center"/>
          </w:tcPr>
          <w:p w14:paraId="7F6C798E" w14:textId="77777777" w:rsidR="005D372A" w:rsidRPr="00E0548A" w:rsidRDefault="005D372A" w:rsidP="005D372A">
            <w:pPr>
              <w:ind w:left="113" w:right="113"/>
              <w:jc w:val="center"/>
              <w:rPr>
                <w:rFonts w:ascii="ＭＳ 明朝"/>
                <w:sz w:val="14"/>
                <w:szCs w:val="16"/>
              </w:rPr>
            </w:pPr>
            <w:r w:rsidRPr="00E0548A">
              <w:rPr>
                <w:rFonts w:ascii="ＭＳ 明朝" w:hint="eastAsia"/>
                <w:sz w:val="14"/>
                <w:szCs w:val="16"/>
              </w:rPr>
              <w:t>原子力災害</w:t>
            </w:r>
          </w:p>
        </w:tc>
      </w:tr>
      <w:tr w:rsidR="001D6D10" w:rsidRPr="00E0548A" w14:paraId="463858EB" w14:textId="77777777" w:rsidTr="008B4B2B">
        <w:trPr>
          <w:trHeight w:val="19"/>
        </w:trPr>
        <w:tc>
          <w:tcPr>
            <w:tcW w:w="244" w:type="pct"/>
            <w:tcBorders>
              <w:top w:val="single" w:sz="4" w:space="0" w:color="auto"/>
              <w:left w:val="single" w:sz="4" w:space="0" w:color="auto"/>
              <w:bottom w:val="single" w:sz="4" w:space="0" w:color="auto"/>
              <w:right w:val="single" w:sz="4" w:space="0" w:color="auto"/>
            </w:tcBorders>
            <w:vAlign w:val="center"/>
            <w:hideMark/>
          </w:tcPr>
          <w:p w14:paraId="77D969FC" w14:textId="77777777" w:rsidR="005D372A" w:rsidRPr="00E0548A" w:rsidRDefault="005D372A" w:rsidP="005D372A">
            <w:pPr>
              <w:jc w:val="center"/>
              <w:rPr>
                <w:rFonts w:ascii="ＭＳ 明朝"/>
                <w:sz w:val="16"/>
                <w:szCs w:val="16"/>
              </w:rPr>
            </w:pPr>
            <w:r w:rsidRPr="00E0548A">
              <w:rPr>
                <w:rFonts w:ascii="ＭＳ 明朝" w:hint="eastAsia"/>
                <w:sz w:val="16"/>
                <w:szCs w:val="16"/>
              </w:rPr>
              <w:t>１</w:t>
            </w:r>
          </w:p>
        </w:tc>
        <w:tc>
          <w:tcPr>
            <w:tcW w:w="233" w:type="pct"/>
            <w:tcBorders>
              <w:top w:val="single" w:sz="4" w:space="0" w:color="auto"/>
              <w:left w:val="single" w:sz="4" w:space="0" w:color="auto"/>
              <w:bottom w:val="single" w:sz="4" w:space="0" w:color="auto"/>
              <w:right w:val="single" w:sz="4" w:space="0" w:color="auto"/>
            </w:tcBorders>
            <w:vAlign w:val="center"/>
            <w:hideMark/>
          </w:tcPr>
          <w:p w14:paraId="6AC3D1F8" w14:textId="77777777" w:rsidR="005D372A" w:rsidRPr="00E0548A" w:rsidRDefault="005D372A" w:rsidP="005D372A">
            <w:pPr>
              <w:jc w:val="center"/>
              <w:rPr>
                <w:rFonts w:ascii="ＭＳ 明朝"/>
                <w:sz w:val="16"/>
                <w:szCs w:val="16"/>
              </w:rPr>
            </w:pPr>
            <w:r w:rsidRPr="00E0548A">
              <w:rPr>
                <w:rFonts w:ascii="ＭＳ 明朝" w:hint="eastAsia"/>
                <w:sz w:val="16"/>
                <w:szCs w:val="16"/>
              </w:rPr>
              <w:t>部長</w:t>
            </w:r>
          </w:p>
        </w:tc>
        <w:tc>
          <w:tcPr>
            <w:tcW w:w="1110" w:type="pct"/>
            <w:tcBorders>
              <w:top w:val="single" w:sz="4" w:space="0" w:color="auto"/>
              <w:left w:val="single" w:sz="4" w:space="0" w:color="auto"/>
              <w:bottom w:val="single" w:sz="4" w:space="0" w:color="auto"/>
              <w:right w:val="single" w:sz="4" w:space="0" w:color="auto"/>
            </w:tcBorders>
            <w:vAlign w:val="center"/>
            <w:hideMark/>
          </w:tcPr>
          <w:p w14:paraId="755B06CF" w14:textId="77777777" w:rsidR="005D372A" w:rsidRPr="00E0548A" w:rsidRDefault="005D372A" w:rsidP="005D372A">
            <w:pPr>
              <w:rPr>
                <w:rFonts w:ascii="ＭＳ 明朝"/>
                <w:sz w:val="16"/>
                <w:szCs w:val="16"/>
              </w:rPr>
            </w:pPr>
            <w:r w:rsidRPr="00E0548A">
              <w:rPr>
                <w:rFonts w:ascii="ＭＳ 明朝" w:hint="eastAsia"/>
                <w:sz w:val="16"/>
                <w:szCs w:val="16"/>
              </w:rPr>
              <w:t>危機管理監</w:t>
            </w:r>
          </w:p>
        </w:tc>
        <w:tc>
          <w:tcPr>
            <w:tcW w:w="229" w:type="pct"/>
            <w:tcBorders>
              <w:top w:val="single" w:sz="4" w:space="0" w:color="auto"/>
              <w:left w:val="single" w:sz="4" w:space="0" w:color="auto"/>
              <w:bottom w:val="single" w:sz="4" w:space="0" w:color="auto"/>
              <w:right w:val="single" w:sz="4" w:space="0" w:color="auto"/>
            </w:tcBorders>
            <w:vAlign w:val="center"/>
            <w:hideMark/>
          </w:tcPr>
          <w:p w14:paraId="40212CBC" w14:textId="77777777" w:rsidR="005D372A" w:rsidRPr="00E0548A" w:rsidRDefault="005D372A" w:rsidP="005D372A">
            <w:pPr>
              <w:jc w:val="center"/>
              <w:rPr>
                <w:rFonts w:ascii="ＭＳ 明朝"/>
                <w:sz w:val="16"/>
                <w:szCs w:val="16"/>
              </w:rPr>
            </w:pPr>
            <w:r w:rsidRPr="00E0548A">
              <w:rPr>
                <w:rFonts w:ascii="ＭＳ 明朝" w:hint="eastAsia"/>
                <w:sz w:val="16"/>
                <w:szCs w:val="16"/>
              </w:rPr>
              <w:t>○</w:t>
            </w:r>
          </w:p>
        </w:tc>
        <w:tc>
          <w:tcPr>
            <w:tcW w:w="229" w:type="pct"/>
            <w:tcBorders>
              <w:top w:val="single" w:sz="4" w:space="0" w:color="auto"/>
              <w:left w:val="single" w:sz="4" w:space="0" w:color="auto"/>
              <w:bottom w:val="single" w:sz="4" w:space="0" w:color="auto"/>
              <w:right w:val="single" w:sz="4" w:space="0" w:color="auto"/>
            </w:tcBorders>
            <w:vAlign w:val="center"/>
            <w:hideMark/>
          </w:tcPr>
          <w:p w14:paraId="53BDF3C0" w14:textId="77777777" w:rsidR="005D372A" w:rsidRPr="00E0548A" w:rsidRDefault="005D372A" w:rsidP="005D372A">
            <w:pPr>
              <w:jc w:val="center"/>
              <w:rPr>
                <w:rFonts w:ascii="ＭＳ 明朝"/>
                <w:sz w:val="16"/>
                <w:szCs w:val="16"/>
              </w:rPr>
            </w:pPr>
            <w:r w:rsidRPr="00E0548A">
              <w:rPr>
                <w:rFonts w:ascii="ＭＳ 明朝" w:hint="eastAsia"/>
                <w:sz w:val="16"/>
                <w:szCs w:val="16"/>
              </w:rPr>
              <w:t>○</w:t>
            </w:r>
          </w:p>
        </w:tc>
        <w:tc>
          <w:tcPr>
            <w:tcW w:w="238" w:type="pct"/>
            <w:tcBorders>
              <w:top w:val="single" w:sz="4" w:space="0" w:color="auto"/>
              <w:left w:val="single" w:sz="4" w:space="0" w:color="auto"/>
              <w:bottom w:val="single" w:sz="4" w:space="0" w:color="auto"/>
              <w:right w:val="single" w:sz="4" w:space="0" w:color="auto"/>
            </w:tcBorders>
            <w:vAlign w:val="center"/>
            <w:hideMark/>
          </w:tcPr>
          <w:p w14:paraId="393CE338" w14:textId="77777777" w:rsidR="005D372A" w:rsidRPr="00E0548A" w:rsidRDefault="005D372A" w:rsidP="005D372A">
            <w:pPr>
              <w:jc w:val="center"/>
              <w:rPr>
                <w:rFonts w:ascii="ＭＳ 明朝"/>
                <w:sz w:val="16"/>
                <w:szCs w:val="16"/>
              </w:rPr>
            </w:pPr>
            <w:r w:rsidRPr="00E0548A">
              <w:rPr>
                <w:rFonts w:ascii="ＭＳ 明朝" w:hint="eastAsia"/>
                <w:sz w:val="16"/>
                <w:szCs w:val="16"/>
              </w:rPr>
              <w:t>○</w:t>
            </w:r>
          </w:p>
        </w:tc>
        <w:tc>
          <w:tcPr>
            <w:tcW w:w="222" w:type="pct"/>
            <w:tcBorders>
              <w:top w:val="single" w:sz="4" w:space="0" w:color="auto"/>
              <w:left w:val="single" w:sz="4" w:space="0" w:color="auto"/>
              <w:bottom w:val="single" w:sz="4" w:space="0" w:color="auto"/>
              <w:right w:val="single" w:sz="4" w:space="0" w:color="auto"/>
            </w:tcBorders>
          </w:tcPr>
          <w:p w14:paraId="6FE5A658" w14:textId="77777777" w:rsidR="005D372A" w:rsidRPr="00E0548A" w:rsidRDefault="005D372A" w:rsidP="005D372A">
            <w:pPr>
              <w:jc w:val="center"/>
              <w:rPr>
                <w:rFonts w:ascii="ＭＳ 明朝"/>
                <w:sz w:val="16"/>
                <w:szCs w:val="16"/>
              </w:rPr>
            </w:pPr>
            <w:r w:rsidRPr="00E0548A">
              <w:rPr>
                <w:rFonts w:ascii="ＭＳ 明朝" w:hint="eastAsia"/>
                <w:sz w:val="16"/>
                <w:szCs w:val="16"/>
              </w:rPr>
              <w:t>○</w:t>
            </w:r>
          </w:p>
        </w:tc>
        <w:tc>
          <w:tcPr>
            <w:tcW w:w="222" w:type="pct"/>
            <w:tcBorders>
              <w:top w:val="single" w:sz="4" w:space="0" w:color="auto"/>
              <w:left w:val="single" w:sz="4" w:space="0" w:color="auto"/>
              <w:bottom w:val="single" w:sz="4" w:space="0" w:color="auto"/>
              <w:right w:val="single" w:sz="4" w:space="0" w:color="auto"/>
            </w:tcBorders>
            <w:shd w:val="clear" w:color="auto" w:fill="FFFFFF"/>
            <w:vAlign w:val="center"/>
          </w:tcPr>
          <w:p w14:paraId="582B775A" w14:textId="77777777" w:rsidR="005D372A" w:rsidRPr="00E0548A" w:rsidRDefault="005D372A" w:rsidP="005D372A">
            <w:pPr>
              <w:jc w:val="center"/>
              <w:rPr>
                <w:rFonts w:ascii="ＭＳ 明朝"/>
                <w:sz w:val="16"/>
                <w:szCs w:val="16"/>
              </w:rPr>
            </w:pPr>
            <w:r w:rsidRPr="00E0548A">
              <w:rPr>
                <w:rFonts w:ascii="ＭＳ 明朝" w:hint="eastAsia"/>
                <w:sz w:val="16"/>
                <w:szCs w:val="16"/>
              </w:rPr>
              <w:t>○</w:t>
            </w:r>
          </w:p>
        </w:tc>
        <w:tc>
          <w:tcPr>
            <w:tcW w:w="220" w:type="pct"/>
            <w:tcBorders>
              <w:top w:val="single" w:sz="4" w:space="0" w:color="auto"/>
              <w:left w:val="single" w:sz="4" w:space="0" w:color="auto"/>
              <w:bottom w:val="single" w:sz="4" w:space="0" w:color="auto"/>
              <w:right w:val="single" w:sz="4" w:space="0" w:color="auto"/>
            </w:tcBorders>
            <w:vAlign w:val="center"/>
            <w:hideMark/>
          </w:tcPr>
          <w:p w14:paraId="168E9B6D" w14:textId="77777777" w:rsidR="005D372A" w:rsidRPr="00E0548A" w:rsidRDefault="005D372A" w:rsidP="005D372A">
            <w:pPr>
              <w:jc w:val="center"/>
              <w:rPr>
                <w:rFonts w:ascii="ＭＳ 明朝"/>
                <w:sz w:val="16"/>
                <w:szCs w:val="16"/>
              </w:rPr>
            </w:pPr>
            <w:r w:rsidRPr="00E0548A">
              <w:rPr>
                <w:rFonts w:ascii="ＭＳ 明朝" w:hint="eastAsia"/>
                <w:sz w:val="16"/>
                <w:szCs w:val="16"/>
              </w:rPr>
              <w:t>○</w:t>
            </w:r>
          </w:p>
        </w:tc>
        <w:tc>
          <w:tcPr>
            <w:tcW w:w="228" w:type="pct"/>
            <w:tcBorders>
              <w:top w:val="single" w:sz="4" w:space="0" w:color="auto"/>
              <w:left w:val="single" w:sz="4" w:space="0" w:color="auto"/>
              <w:bottom w:val="single" w:sz="4" w:space="0" w:color="auto"/>
              <w:right w:val="single" w:sz="4" w:space="0" w:color="auto"/>
            </w:tcBorders>
            <w:vAlign w:val="center"/>
            <w:hideMark/>
          </w:tcPr>
          <w:p w14:paraId="77ED755E" w14:textId="77777777" w:rsidR="005D372A" w:rsidRPr="00E0548A" w:rsidRDefault="005D372A" w:rsidP="005D372A">
            <w:pPr>
              <w:jc w:val="center"/>
              <w:rPr>
                <w:rFonts w:ascii="ＭＳ 明朝"/>
                <w:sz w:val="16"/>
                <w:szCs w:val="16"/>
              </w:rPr>
            </w:pPr>
            <w:r w:rsidRPr="00E0548A">
              <w:rPr>
                <w:rFonts w:ascii="ＭＳ 明朝" w:hint="eastAsia"/>
                <w:sz w:val="16"/>
                <w:szCs w:val="16"/>
              </w:rPr>
              <w:t>○</w:t>
            </w:r>
          </w:p>
        </w:tc>
        <w:tc>
          <w:tcPr>
            <w:tcW w:w="228" w:type="pct"/>
            <w:tcBorders>
              <w:top w:val="single" w:sz="4" w:space="0" w:color="auto"/>
              <w:left w:val="single" w:sz="4" w:space="0" w:color="auto"/>
              <w:bottom w:val="single" w:sz="4" w:space="0" w:color="auto"/>
              <w:right w:val="single" w:sz="4" w:space="0" w:color="auto"/>
            </w:tcBorders>
            <w:vAlign w:val="center"/>
            <w:hideMark/>
          </w:tcPr>
          <w:p w14:paraId="6BBC9001" w14:textId="77777777" w:rsidR="005D372A" w:rsidRPr="00E0548A" w:rsidRDefault="005D372A" w:rsidP="005D372A">
            <w:pPr>
              <w:jc w:val="center"/>
              <w:rPr>
                <w:rFonts w:ascii="ＭＳ 明朝"/>
                <w:sz w:val="16"/>
                <w:szCs w:val="16"/>
              </w:rPr>
            </w:pPr>
            <w:r w:rsidRPr="00E0548A">
              <w:rPr>
                <w:rFonts w:ascii="ＭＳ 明朝" w:hint="eastAsia"/>
                <w:sz w:val="16"/>
                <w:szCs w:val="16"/>
              </w:rPr>
              <w:t>○</w:t>
            </w:r>
          </w:p>
        </w:tc>
        <w:tc>
          <w:tcPr>
            <w:tcW w:w="228" w:type="pct"/>
            <w:tcBorders>
              <w:top w:val="single" w:sz="4" w:space="0" w:color="auto"/>
              <w:left w:val="single" w:sz="4" w:space="0" w:color="auto"/>
              <w:bottom w:val="single" w:sz="4" w:space="0" w:color="auto"/>
              <w:right w:val="single" w:sz="4" w:space="0" w:color="auto"/>
            </w:tcBorders>
            <w:vAlign w:val="center"/>
            <w:hideMark/>
          </w:tcPr>
          <w:p w14:paraId="3BED761E" w14:textId="77777777" w:rsidR="005D372A" w:rsidRPr="00E0548A" w:rsidRDefault="005D372A" w:rsidP="005D372A">
            <w:pPr>
              <w:jc w:val="center"/>
              <w:rPr>
                <w:rFonts w:ascii="ＭＳ 明朝"/>
                <w:sz w:val="16"/>
                <w:szCs w:val="16"/>
              </w:rPr>
            </w:pPr>
            <w:r w:rsidRPr="00E0548A">
              <w:rPr>
                <w:rFonts w:ascii="ＭＳ 明朝" w:hint="eastAsia"/>
                <w:sz w:val="16"/>
                <w:szCs w:val="16"/>
              </w:rPr>
              <w:t>○</w:t>
            </w:r>
          </w:p>
        </w:tc>
        <w:tc>
          <w:tcPr>
            <w:tcW w:w="228" w:type="pct"/>
            <w:tcBorders>
              <w:top w:val="single" w:sz="4" w:space="0" w:color="auto"/>
              <w:left w:val="single" w:sz="4" w:space="0" w:color="auto"/>
              <w:bottom w:val="single" w:sz="4" w:space="0" w:color="auto"/>
              <w:right w:val="single" w:sz="4" w:space="0" w:color="auto"/>
            </w:tcBorders>
            <w:vAlign w:val="center"/>
            <w:hideMark/>
          </w:tcPr>
          <w:p w14:paraId="1FD92B33" w14:textId="77777777" w:rsidR="005D372A" w:rsidRPr="00E0548A" w:rsidRDefault="005D372A" w:rsidP="005D372A">
            <w:pPr>
              <w:jc w:val="center"/>
              <w:rPr>
                <w:rFonts w:ascii="ＭＳ 明朝"/>
                <w:sz w:val="16"/>
                <w:szCs w:val="16"/>
              </w:rPr>
            </w:pPr>
            <w:r w:rsidRPr="00E0548A">
              <w:rPr>
                <w:rFonts w:ascii="ＭＳ 明朝" w:hint="eastAsia"/>
                <w:sz w:val="16"/>
                <w:szCs w:val="16"/>
              </w:rPr>
              <w:t>○</w:t>
            </w:r>
          </w:p>
        </w:tc>
        <w:tc>
          <w:tcPr>
            <w:tcW w:w="228" w:type="pct"/>
            <w:tcBorders>
              <w:top w:val="single" w:sz="4" w:space="0" w:color="auto"/>
              <w:left w:val="single" w:sz="4" w:space="0" w:color="auto"/>
              <w:bottom w:val="single" w:sz="4" w:space="0" w:color="auto"/>
              <w:right w:val="single" w:sz="4" w:space="0" w:color="auto"/>
            </w:tcBorders>
            <w:vAlign w:val="center"/>
            <w:hideMark/>
          </w:tcPr>
          <w:p w14:paraId="695B163F" w14:textId="77777777" w:rsidR="005D372A" w:rsidRPr="00E0548A" w:rsidRDefault="005D372A" w:rsidP="005D372A">
            <w:pPr>
              <w:jc w:val="center"/>
              <w:rPr>
                <w:rFonts w:ascii="ＭＳ 明朝"/>
                <w:sz w:val="14"/>
                <w:szCs w:val="16"/>
              </w:rPr>
            </w:pPr>
            <w:r w:rsidRPr="00E0548A">
              <w:rPr>
                <w:rFonts w:ascii="ＭＳ 明朝" w:hint="eastAsia"/>
                <w:sz w:val="16"/>
                <w:szCs w:val="16"/>
              </w:rPr>
              <w:t>○</w:t>
            </w:r>
          </w:p>
        </w:tc>
        <w:tc>
          <w:tcPr>
            <w:tcW w:w="259" w:type="pct"/>
            <w:tcBorders>
              <w:top w:val="single" w:sz="4" w:space="0" w:color="auto"/>
              <w:left w:val="single" w:sz="4" w:space="0" w:color="auto"/>
              <w:bottom w:val="single" w:sz="4" w:space="0" w:color="auto"/>
              <w:right w:val="single" w:sz="4" w:space="0" w:color="auto"/>
            </w:tcBorders>
            <w:vAlign w:val="center"/>
            <w:hideMark/>
          </w:tcPr>
          <w:p w14:paraId="66715D1B" w14:textId="77777777" w:rsidR="005D372A" w:rsidRPr="00E0548A" w:rsidRDefault="005D372A" w:rsidP="005D372A">
            <w:pPr>
              <w:jc w:val="center"/>
              <w:rPr>
                <w:rFonts w:ascii="ＭＳ 明朝"/>
                <w:sz w:val="16"/>
                <w:szCs w:val="16"/>
              </w:rPr>
            </w:pPr>
            <w:r w:rsidRPr="00E0548A">
              <w:rPr>
                <w:rFonts w:ascii="ＭＳ 明朝" w:hint="eastAsia"/>
                <w:sz w:val="16"/>
                <w:szCs w:val="16"/>
              </w:rPr>
              <w:t>○</w:t>
            </w:r>
          </w:p>
        </w:tc>
        <w:tc>
          <w:tcPr>
            <w:tcW w:w="211" w:type="pct"/>
            <w:tcBorders>
              <w:top w:val="single" w:sz="4" w:space="0" w:color="auto"/>
              <w:left w:val="single" w:sz="4" w:space="0" w:color="auto"/>
              <w:bottom w:val="single" w:sz="4" w:space="0" w:color="auto"/>
              <w:right w:val="single" w:sz="4" w:space="0" w:color="auto"/>
            </w:tcBorders>
            <w:shd w:val="clear" w:color="auto" w:fill="FFFFFF"/>
            <w:vAlign w:val="center"/>
          </w:tcPr>
          <w:p w14:paraId="260DB611" w14:textId="77777777" w:rsidR="005D372A" w:rsidRPr="00E0548A" w:rsidRDefault="005D372A" w:rsidP="005D372A">
            <w:pPr>
              <w:jc w:val="center"/>
              <w:rPr>
                <w:rFonts w:ascii="ＭＳ 明朝"/>
                <w:sz w:val="16"/>
                <w:szCs w:val="16"/>
              </w:rPr>
            </w:pPr>
            <w:r w:rsidRPr="00E0548A">
              <w:rPr>
                <w:rFonts w:ascii="ＭＳ 明朝" w:hint="eastAsia"/>
                <w:sz w:val="16"/>
                <w:szCs w:val="16"/>
              </w:rPr>
              <w:t>○</w:t>
            </w:r>
          </w:p>
        </w:tc>
        <w:tc>
          <w:tcPr>
            <w:tcW w:w="226" w:type="pct"/>
            <w:tcBorders>
              <w:top w:val="single" w:sz="4" w:space="0" w:color="auto"/>
              <w:left w:val="single" w:sz="4" w:space="0" w:color="auto"/>
              <w:bottom w:val="single" w:sz="4" w:space="0" w:color="auto"/>
              <w:right w:val="single" w:sz="4" w:space="0" w:color="auto"/>
            </w:tcBorders>
            <w:shd w:val="clear" w:color="auto" w:fill="FFFFFF"/>
            <w:vAlign w:val="center"/>
          </w:tcPr>
          <w:p w14:paraId="770E7B2C" w14:textId="77777777" w:rsidR="005D372A" w:rsidRPr="00E0548A" w:rsidRDefault="005D372A" w:rsidP="005D372A">
            <w:pPr>
              <w:jc w:val="center"/>
              <w:rPr>
                <w:rFonts w:ascii="ＭＳ 明朝"/>
                <w:sz w:val="16"/>
                <w:szCs w:val="16"/>
              </w:rPr>
            </w:pPr>
            <w:r w:rsidRPr="00E0548A">
              <w:rPr>
                <w:rFonts w:ascii="ＭＳ 明朝" w:hint="eastAsia"/>
                <w:sz w:val="16"/>
                <w:szCs w:val="16"/>
              </w:rPr>
              <w:t>○</w:t>
            </w:r>
          </w:p>
        </w:tc>
        <w:tc>
          <w:tcPr>
            <w:tcW w:w="217" w:type="pct"/>
            <w:tcBorders>
              <w:top w:val="single" w:sz="4" w:space="0" w:color="auto"/>
              <w:left w:val="single" w:sz="4" w:space="0" w:color="auto"/>
              <w:bottom w:val="single" w:sz="4" w:space="0" w:color="auto"/>
              <w:right w:val="single" w:sz="4" w:space="0" w:color="auto"/>
            </w:tcBorders>
            <w:shd w:val="clear" w:color="auto" w:fill="FFFFFF"/>
            <w:vAlign w:val="center"/>
          </w:tcPr>
          <w:p w14:paraId="01982E64" w14:textId="77777777" w:rsidR="005D372A" w:rsidRPr="00E0548A" w:rsidRDefault="005D372A" w:rsidP="005D372A">
            <w:pPr>
              <w:jc w:val="center"/>
              <w:rPr>
                <w:rFonts w:ascii="ＭＳ 明朝"/>
                <w:sz w:val="14"/>
                <w:szCs w:val="16"/>
              </w:rPr>
            </w:pPr>
            <w:r w:rsidRPr="00E0548A">
              <w:rPr>
                <w:rFonts w:ascii="ＭＳ 明朝" w:hint="eastAsia"/>
                <w:sz w:val="16"/>
                <w:szCs w:val="16"/>
              </w:rPr>
              <w:t>○</w:t>
            </w:r>
          </w:p>
        </w:tc>
      </w:tr>
      <w:tr w:rsidR="001D6D10" w:rsidRPr="00E0548A" w14:paraId="6FDA80CD" w14:textId="77777777" w:rsidTr="008B4B2B">
        <w:trPr>
          <w:trHeight w:val="19"/>
        </w:trPr>
        <w:tc>
          <w:tcPr>
            <w:tcW w:w="244" w:type="pct"/>
            <w:tcBorders>
              <w:top w:val="single" w:sz="4" w:space="0" w:color="auto"/>
              <w:left w:val="single" w:sz="4" w:space="0" w:color="auto"/>
              <w:bottom w:val="single" w:sz="4" w:space="0" w:color="auto"/>
              <w:right w:val="single" w:sz="4" w:space="0" w:color="auto"/>
            </w:tcBorders>
            <w:vAlign w:val="center"/>
            <w:hideMark/>
          </w:tcPr>
          <w:p w14:paraId="7AB7F7C0" w14:textId="77777777" w:rsidR="005D372A" w:rsidRPr="00E0548A" w:rsidRDefault="005D372A" w:rsidP="005D372A">
            <w:pPr>
              <w:jc w:val="center"/>
              <w:rPr>
                <w:rFonts w:ascii="ＭＳ 明朝"/>
                <w:sz w:val="16"/>
                <w:szCs w:val="16"/>
              </w:rPr>
            </w:pPr>
            <w:r w:rsidRPr="00E0548A">
              <w:rPr>
                <w:rFonts w:ascii="ＭＳ 明朝" w:hint="eastAsia"/>
                <w:sz w:val="16"/>
                <w:szCs w:val="16"/>
              </w:rPr>
              <w:t>２</w:t>
            </w:r>
          </w:p>
        </w:tc>
        <w:tc>
          <w:tcPr>
            <w:tcW w:w="233" w:type="pct"/>
            <w:vMerge w:val="restart"/>
            <w:tcBorders>
              <w:top w:val="single" w:sz="4" w:space="0" w:color="auto"/>
              <w:left w:val="single" w:sz="4" w:space="0" w:color="auto"/>
              <w:right w:val="single" w:sz="4" w:space="0" w:color="auto"/>
            </w:tcBorders>
            <w:vAlign w:val="center"/>
            <w:hideMark/>
          </w:tcPr>
          <w:p w14:paraId="7EA877E2" w14:textId="77777777" w:rsidR="005D372A" w:rsidRPr="00E0548A" w:rsidRDefault="005D372A" w:rsidP="005D372A">
            <w:pPr>
              <w:snapToGrid w:val="0"/>
              <w:spacing w:line="160" w:lineRule="exact"/>
              <w:jc w:val="center"/>
              <w:rPr>
                <w:rFonts w:ascii="ＭＳ 明朝"/>
                <w:sz w:val="16"/>
                <w:szCs w:val="16"/>
              </w:rPr>
            </w:pPr>
            <w:r w:rsidRPr="00E0548A">
              <w:rPr>
                <w:rFonts w:ascii="ＭＳ 明朝" w:hint="eastAsia"/>
                <w:sz w:val="16"/>
                <w:szCs w:val="16"/>
              </w:rPr>
              <w:t>副</w:t>
            </w:r>
          </w:p>
          <w:p w14:paraId="200C121D" w14:textId="77777777" w:rsidR="005D372A" w:rsidRPr="00E0548A" w:rsidRDefault="005D372A" w:rsidP="005D372A">
            <w:pPr>
              <w:snapToGrid w:val="0"/>
              <w:spacing w:line="160" w:lineRule="exact"/>
              <w:jc w:val="center"/>
              <w:rPr>
                <w:rFonts w:ascii="ＭＳ 明朝"/>
                <w:sz w:val="16"/>
                <w:szCs w:val="16"/>
              </w:rPr>
            </w:pPr>
          </w:p>
          <w:p w14:paraId="0A1FA380" w14:textId="77777777" w:rsidR="005D372A" w:rsidRPr="00E0548A" w:rsidRDefault="005D372A" w:rsidP="005D372A">
            <w:pPr>
              <w:snapToGrid w:val="0"/>
              <w:spacing w:line="160" w:lineRule="exact"/>
              <w:jc w:val="center"/>
              <w:rPr>
                <w:rFonts w:ascii="ＭＳ 明朝"/>
                <w:sz w:val="16"/>
                <w:szCs w:val="16"/>
              </w:rPr>
            </w:pPr>
            <w:r w:rsidRPr="00E0548A">
              <w:rPr>
                <w:rFonts w:ascii="ＭＳ 明朝" w:hint="eastAsia"/>
                <w:sz w:val="16"/>
                <w:szCs w:val="16"/>
              </w:rPr>
              <w:t>部長</w:t>
            </w:r>
          </w:p>
        </w:tc>
        <w:tc>
          <w:tcPr>
            <w:tcW w:w="1110" w:type="pct"/>
            <w:tcBorders>
              <w:top w:val="single" w:sz="4" w:space="0" w:color="auto"/>
              <w:left w:val="single" w:sz="4" w:space="0" w:color="auto"/>
              <w:bottom w:val="single" w:sz="4" w:space="0" w:color="auto"/>
              <w:right w:val="single" w:sz="4" w:space="0" w:color="auto"/>
            </w:tcBorders>
            <w:vAlign w:val="center"/>
            <w:hideMark/>
          </w:tcPr>
          <w:p w14:paraId="7AD02B7B" w14:textId="77777777" w:rsidR="005D372A" w:rsidRPr="00E0548A" w:rsidRDefault="005D372A" w:rsidP="005D372A">
            <w:pPr>
              <w:rPr>
                <w:rFonts w:ascii="ＭＳ 明朝"/>
                <w:sz w:val="16"/>
                <w:szCs w:val="16"/>
              </w:rPr>
            </w:pPr>
            <w:r w:rsidRPr="00E0548A">
              <w:rPr>
                <w:rFonts w:ascii="ＭＳ 明朝" w:hint="eastAsia"/>
                <w:sz w:val="16"/>
                <w:szCs w:val="16"/>
              </w:rPr>
              <w:t>危機管理室長</w:t>
            </w:r>
          </w:p>
        </w:tc>
        <w:tc>
          <w:tcPr>
            <w:tcW w:w="229" w:type="pct"/>
            <w:tcBorders>
              <w:top w:val="single" w:sz="4" w:space="0" w:color="auto"/>
              <w:left w:val="single" w:sz="4" w:space="0" w:color="auto"/>
              <w:bottom w:val="single" w:sz="4" w:space="0" w:color="auto"/>
              <w:right w:val="single" w:sz="4" w:space="0" w:color="auto"/>
            </w:tcBorders>
            <w:vAlign w:val="center"/>
            <w:hideMark/>
          </w:tcPr>
          <w:p w14:paraId="1F21008D" w14:textId="77777777" w:rsidR="005D372A" w:rsidRPr="00E0548A" w:rsidRDefault="005D372A" w:rsidP="005D372A">
            <w:pPr>
              <w:jc w:val="center"/>
              <w:rPr>
                <w:rFonts w:ascii="ＭＳ 明朝"/>
                <w:sz w:val="16"/>
                <w:szCs w:val="16"/>
              </w:rPr>
            </w:pPr>
            <w:r w:rsidRPr="00E0548A">
              <w:rPr>
                <w:rFonts w:ascii="ＭＳ 明朝" w:hint="eastAsia"/>
                <w:sz w:val="16"/>
                <w:szCs w:val="16"/>
              </w:rPr>
              <w:t>○</w:t>
            </w:r>
          </w:p>
        </w:tc>
        <w:tc>
          <w:tcPr>
            <w:tcW w:w="229" w:type="pct"/>
            <w:tcBorders>
              <w:top w:val="single" w:sz="4" w:space="0" w:color="auto"/>
              <w:left w:val="single" w:sz="4" w:space="0" w:color="auto"/>
              <w:bottom w:val="single" w:sz="4" w:space="0" w:color="auto"/>
              <w:right w:val="single" w:sz="4" w:space="0" w:color="auto"/>
            </w:tcBorders>
            <w:vAlign w:val="center"/>
            <w:hideMark/>
          </w:tcPr>
          <w:p w14:paraId="501EE63B" w14:textId="77777777" w:rsidR="005D372A" w:rsidRPr="00E0548A" w:rsidRDefault="005D372A" w:rsidP="005D372A">
            <w:pPr>
              <w:jc w:val="center"/>
              <w:rPr>
                <w:rFonts w:ascii="ＭＳ 明朝"/>
                <w:sz w:val="16"/>
                <w:szCs w:val="16"/>
              </w:rPr>
            </w:pPr>
            <w:r w:rsidRPr="00E0548A">
              <w:rPr>
                <w:rFonts w:ascii="ＭＳ 明朝" w:hint="eastAsia"/>
                <w:sz w:val="16"/>
                <w:szCs w:val="16"/>
              </w:rPr>
              <w:t>○</w:t>
            </w:r>
          </w:p>
        </w:tc>
        <w:tc>
          <w:tcPr>
            <w:tcW w:w="238" w:type="pct"/>
            <w:tcBorders>
              <w:top w:val="single" w:sz="4" w:space="0" w:color="auto"/>
              <w:left w:val="single" w:sz="4" w:space="0" w:color="auto"/>
              <w:bottom w:val="single" w:sz="4" w:space="0" w:color="auto"/>
              <w:right w:val="single" w:sz="4" w:space="0" w:color="auto"/>
            </w:tcBorders>
            <w:vAlign w:val="center"/>
            <w:hideMark/>
          </w:tcPr>
          <w:p w14:paraId="4C734A70" w14:textId="77777777" w:rsidR="005D372A" w:rsidRPr="00E0548A" w:rsidRDefault="005D372A" w:rsidP="005D372A">
            <w:pPr>
              <w:jc w:val="center"/>
              <w:rPr>
                <w:rFonts w:ascii="ＭＳ 明朝"/>
                <w:sz w:val="16"/>
                <w:szCs w:val="16"/>
              </w:rPr>
            </w:pPr>
            <w:r w:rsidRPr="00E0548A">
              <w:rPr>
                <w:rFonts w:ascii="ＭＳ 明朝" w:hint="eastAsia"/>
                <w:sz w:val="16"/>
                <w:szCs w:val="16"/>
              </w:rPr>
              <w:t>○</w:t>
            </w:r>
          </w:p>
        </w:tc>
        <w:tc>
          <w:tcPr>
            <w:tcW w:w="222" w:type="pct"/>
            <w:tcBorders>
              <w:top w:val="single" w:sz="4" w:space="0" w:color="auto"/>
              <w:left w:val="single" w:sz="4" w:space="0" w:color="auto"/>
              <w:bottom w:val="single" w:sz="4" w:space="0" w:color="auto"/>
              <w:right w:val="single" w:sz="4" w:space="0" w:color="auto"/>
            </w:tcBorders>
          </w:tcPr>
          <w:p w14:paraId="7DFB7ED4" w14:textId="77777777" w:rsidR="005D372A" w:rsidRPr="00E0548A" w:rsidRDefault="005D372A" w:rsidP="005D372A">
            <w:pPr>
              <w:jc w:val="center"/>
              <w:rPr>
                <w:rFonts w:ascii="ＭＳ 明朝"/>
                <w:sz w:val="16"/>
                <w:szCs w:val="16"/>
              </w:rPr>
            </w:pPr>
            <w:r w:rsidRPr="00E0548A">
              <w:rPr>
                <w:rFonts w:ascii="ＭＳ 明朝" w:hint="eastAsia"/>
                <w:sz w:val="16"/>
                <w:szCs w:val="16"/>
              </w:rPr>
              <w:t>○</w:t>
            </w:r>
          </w:p>
        </w:tc>
        <w:tc>
          <w:tcPr>
            <w:tcW w:w="222" w:type="pct"/>
            <w:tcBorders>
              <w:top w:val="single" w:sz="4" w:space="0" w:color="auto"/>
              <w:left w:val="single" w:sz="4" w:space="0" w:color="auto"/>
              <w:bottom w:val="single" w:sz="4" w:space="0" w:color="auto"/>
              <w:right w:val="single" w:sz="4" w:space="0" w:color="auto"/>
            </w:tcBorders>
            <w:shd w:val="clear" w:color="auto" w:fill="FFFFFF"/>
            <w:vAlign w:val="center"/>
          </w:tcPr>
          <w:p w14:paraId="343D8A8B" w14:textId="77777777" w:rsidR="005D372A" w:rsidRPr="00E0548A" w:rsidRDefault="005D372A" w:rsidP="005D372A">
            <w:pPr>
              <w:jc w:val="center"/>
              <w:rPr>
                <w:rFonts w:ascii="ＭＳ 明朝"/>
                <w:sz w:val="16"/>
                <w:szCs w:val="16"/>
              </w:rPr>
            </w:pPr>
            <w:r w:rsidRPr="00E0548A">
              <w:rPr>
                <w:rFonts w:ascii="ＭＳ 明朝" w:hint="eastAsia"/>
                <w:sz w:val="16"/>
                <w:szCs w:val="16"/>
              </w:rPr>
              <w:t>○</w:t>
            </w:r>
          </w:p>
        </w:tc>
        <w:tc>
          <w:tcPr>
            <w:tcW w:w="220" w:type="pct"/>
            <w:tcBorders>
              <w:top w:val="single" w:sz="4" w:space="0" w:color="auto"/>
              <w:left w:val="single" w:sz="4" w:space="0" w:color="auto"/>
              <w:bottom w:val="single" w:sz="4" w:space="0" w:color="auto"/>
              <w:right w:val="single" w:sz="4" w:space="0" w:color="auto"/>
            </w:tcBorders>
            <w:vAlign w:val="center"/>
            <w:hideMark/>
          </w:tcPr>
          <w:p w14:paraId="37F8D655" w14:textId="77777777" w:rsidR="005D372A" w:rsidRPr="00E0548A" w:rsidRDefault="005D372A" w:rsidP="005D372A">
            <w:pPr>
              <w:jc w:val="center"/>
              <w:rPr>
                <w:rFonts w:ascii="ＭＳ 明朝"/>
                <w:sz w:val="16"/>
                <w:szCs w:val="16"/>
              </w:rPr>
            </w:pPr>
            <w:r w:rsidRPr="00E0548A">
              <w:rPr>
                <w:rFonts w:ascii="ＭＳ 明朝" w:hint="eastAsia"/>
                <w:sz w:val="16"/>
                <w:szCs w:val="16"/>
              </w:rPr>
              <w:t>○</w:t>
            </w:r>
          </w:p>
        </w:tc>
        <w:tc>
          <w:tcPr>
            <w:tcW w:w="228" w:type="pct"/>
            <w:tcBorders>
              <w:top w:val="single" w:sz="4" w:space="0" w:color="auto"/>
              <w:left w:val="single" w:sz="4" w:space="0" w:color="auto"/>
              <w:bottom w:val="single" w:sz="4" w:space="0" w:color="auto"/>
              <w:right w:val="single" w:sz="4" w:space="0" w:color="auto"/>
            </w:tcBorders>
            <w:vAlign w:val="center"/>
            <w:hideMark/>
          </w:tcPr>
          <w:p w14:paraId="60433A91" w14:textId="77777777" w:rsidR="005D372A" w:rsidRPr="00E0548A" w:rsidRDefault="005D372A" w:rsidP="005D372A">
            <w:pPr>
              <w:jc w:val="center"/>
              <w:rPr>
                <w:rFonts w:ascii="ＭＳ 明朝"/>
                <w:sz w:val="16"/>
                <w:szCs w:val="16"/>
              </w:rPr>
            </w:pPr>
            <w:r w:rsidRPr="00E0548A">
              <w:rPr>
                <w:rFonts w:ascii="ＭＳ 明朝" w:hint="eastAsia"/>
                <w:sz w:val="16"/>
                <w:szCs w:val="16"/>
              </w:rPr>
              <w:t>○</w:t>
            </w:r>
          </w:p>
        </w:tc>
        <w:tc>
          <w:tcPr>
            <w:tcW w:w="228" w:type="pct"/>
            <w:tcBorders>
              <w:top w:val="single" w:sz="4" w:space="0" w:color="auto"/>
              <w:left w:val="single" w:sz="4" w:space="0" w:color="auto"/>
              <w:bottom w:val="single" w:sz="4" w:space="0" w:color="auto"/>
              <w:right w:val="single" w:sz="4" w:space="0" w:color="auto"/>
            </w:tcBorders>
            <w:vAlign w:val="center"/>
            <w:hideMark/>
          </w:tcPr>
          <w:p w14:paraId="0E2AB5A7" w14:textId="77777777" w:rsidR="005D372A" w:rsidRPr="00E0548A" w:rsidRDefault="005D372A" w:rsidP="005D372A">
            <w:pPr>
              <w:jc w:val="center"/>
              <w:rPr>
                <w:rFonts w:ascii="ＭＳ 明朝"/>
                <w:sz w:val="16"/>
                <w:szCs w:val="16"/>
              </w:rPr>
            </w:pPr>
            <w:r w:rsidRPr="00E0548A">
              <w:rPr>
                <w:rFonts w:ascii="ＭＳ 明朝" w:hint="eastAsia"/>
                <w:sz w:val="16"/>
                <w:szCs w:val="16"/>
              </w:rPr>
              <w:t>○</w:t>
            </w:r>
          </w:p>
        </w:tc>
        <w:tc>
          <w:tcPr>
            <w:tcW w:w="228" w:type="pct"/>
            <w:tcBorders>
              <w:top w:val="single" w:sz="4" w:space="0" w:color="auto"/>
              <w:left w:val="single" w:sz="4" w:space="0" w:color="auto"/>
              <w:bottom w:val="single" w:sz="4" w:space="0" w:color="auto"/>
              <w:right w:val="single" w:sz="4" w:space="0" w:color="auto"/>
            </w:tcBorders>
            <w:vAlign w:val="center"/>
            <w:hideMark/>
          </w:tcPr>
          <w:p w14:paraId="17878D81" w14:textId="77777777" w:rsidR="005D372A" w:rsidRPr="00E0548A" w:rsidRDefault="005D372A" w:rsidP="005D372A">
            <w:pPr>
              <w:jc w:val="center"/>
              <w:rPr>
                <w:rFonts w:ascii="ＭＳ 明朝"/>
                <w:sz w:val="16"/>
                <w:szCs w:val="16"/>
              </w:rPr>
            </w:pPr>
            <w:r w:rsidRPr="00E0548A">
              <w:rPr>
                <w:rFonts w:ascii="ＭＳ 明朝" w:hint="eastAsia"/>
                <w:sz w:val="16"/>
                <w:szCs w:val="16"/>
              </w:rPr>
              <w:t>○</w:t>
            </w:r>
          </w:p>
        </w:tc>
        <w:tc>
          <w:tcPr>
            <w:tcW w:w="228" w:type="pct"/>
            <w:tcBorders>
              <w:top w:val="single" w:sz="4" w:space="0" w:color="auto"/>
              <w:left w:val="single" w:sz="4" w:space="0" w:color="auto"/>
              <w:bottom w:val="single" w:sz="4" w:space="0" w:color="auto"/>
              <w:right w:val="single" w:sz="4" w:space="0" w:color="auto"/>
            </w:tcBorders>
            <w:vAlign w:val="center"/>
            <w:hideMark/>
          </w:tcPr>
          <w:p w14:paraId="464C4C6E" w14:textId="77777777" w:rsidR="005D372A" w:rsidRPr="00E0548A" w:rsidRDefault="005D372A" w:rsidP="005D372A">
            <w:pPr>
              <w:jc w:val="center"/>
              <w:rPr>
                <w:rFonts w:ascii="ＭＳ 明朝"/>
                <w:sz w:val="16"/>
                <w:szCs w:val="16"/>
              </w:rPr>
            </w:pPr>
            <w:r w:rsidRPr="00E0548A">
              <w:rPr>
                <w:rFonts w:ascii="ＭＳ 明朝" w:hint="eastAsia"/>
                <w:sz w:val="16"/>
                <w:szCs w:val="16"/>
              </w:rPr>
              <w:t>○</w:t>
            </w:r>
          </w:p>
        </w:tc>
        <w:tc>
          <w:tcPr>
            <w:tcW w:w="228" w:type="pct"/>
            <w:tcBorders>
              <w:top w:val="single" w:sz="4" w:space="0" w:color="auto"/>
              <w:left w:val="single" w:sz="4" w:space="0" w:color="auto"/>
              <w:bottom w:val="single" w:sz="4" w:space="0" w:color="auto"/>
              <w:right w:val="single" w:sz="4" w:space="0" w:color="auto"/>
            </w:tcBorders>
            <w:vAlign w:val="center"/>
            <w:hideMark/>
          </w:tcPr>
          <w:p w14:paraId="781CE522" w14:textId="77777777" w:rsidR="005D372A" w:rsidRPr="00E0548A" w:rsidRDefault="005D372A" w:rsidP="005D372A">
            <w:pPr>
              <w:jc w:val="center"/>
              <w:rPr>
                <w:rFonts w:ascii="ＭＳ 明朝"/>
                <w:sz w:val="16"/>
                <w:szCs w:val="16"/>
              </w:rPr>
            </w:pPr>
            <w:r w:rsidRPr="00E0548A">
              <w:rPr>
                <w:rFonts w:ascii="ＭＳ 明朝" w:hint="eastAsia"/>
                <w:sz w:val="16"/>
                <w:szCs w:val="16"/>
              </w:rPr>
              <w:t>○</w:t>
            </w:r>
          </w:p>
        </w:tc>
        <w:tc>
          <w:tcPr>
            <w:tcW w:w="259" w:type="pct"/>
            <w:tcBorders>
              <w:top w:val="single" w:sz="4" w:space="0" w:color="auto"/>
              <w:left w:val="single" w:sz="4" w:space="0" w:color="auto"/>
              <w:bottom w:val="single" w:sz="4" w:space="0" w:color="auto"/>
              <w:right w:val="single" w:sz="4" w:space="0" w:color="auto"/>
            </w:tcBorders>
            <w:vAlign w:val="center"/>
            <w:hideMark/>
          </w:tcPr>
          <w:p w14:paraId="078F4D01" w14:textId="77777777" w:rsidR="005D372A" w:rsidRPr="00E0548A" w:rsidRDefault="005D372A" w:rsidP="005D372A">
            <w:pPr>
              <w:jc w:val="center"/>
              <w:rPr>
                <w:rFonts w:ascii="ＭＳ 明朝"/>
                <w:sz w:val="16"/>
                <w:szCs w:val="16"/>
              </w:rPr>
            </w:pPr>
            <w:r w:rsidRPr="00E0548A">
              <w:rPr>
                <w:rFonts w:ascii="ＭＳ 明朝" w:hint="eastAsia"/>
                <w:sz w:val="16"/>
                <w:szCs w:val="16"/>
              </w:rPr>
              <w:t>○</w:t>
            </w:r>
          </w:p>
        </w:tc>
        <w:tc>
          <w:tcPr>
            <w:tcW w:w="211" w:type="pct"/>
            <w:tcBorders>
              <w:top w:val="single" w:sz="4" w:space="0" w:color="auto"/>
              <w:left w:val="single" w:sz="4" w:space="0" w:color="auto"/>
              <w:bottom w:val="single" w:sz="4" w:space="0" w:color="auto"/>
              <w:right w:val="single" w:sz="4" w:space="0" w:color="auto"/>
            </w:tcBorders>
            <w:shd w:val="clear" w:color="auto" w:fill="FFFFFF"/>
            <w:vAlign w:val="center"/>
          </w:tcPr>
          <w:p w14:paraId="1F89D863" w14:textId="77777777" w:rsidR="005D372A" w:rsidRPr="00E0548A" w:rsidRDefault="005D372A" w:rsidP="005D372A">
            <w:pPr>
              <w:jc w:val="center"/>
              <w:rPr>
                <w:rFonts w:ascii="ＭＳ 明朝"/>
                <w:sz w:val="16"/>
                <w:szCs w:val="16"/>
              </w:rPr>
            </w:pPr>
            <w:r w:rsidRPr="00E0548A">
              <w:rPr>
                <w:rFonts w:ascii="ＭＳ 明朝" w:hint="eastAsia"/>
                <w:sz w:val="16"/>
                <w:szCs w:val="16"/>
              </w:rPr>
              <w:t>○</w:t>
            </w:r>
          </w:p>
        </w:tc>
        <w:tc>
          <w:tcPr>
            <w:tcW w:w="226" w:type="pct"/>
            <w:tcBorders>
              <w:top w:val="single" w:sz="4" w:space="0" w:color="auto"/>
              <w:left w:val="single" w:sz="4" w:space="0" w:color="auto"/>
              <w:bottom w:val="single" w:sz="4" w:space="0" w:color="auto"/>
              <w:right w:val="single" w:sz="4" w:space="0" w:color="auto"/>
            </w:tcBorders>
            <w:shd w:val="clear" w:color="auto" w:fill="FFFFFF"/>
            <w:vAlign w:val="center"/>
          </w:tcPr>
          <w:p w14:paraId="063F0A36" w14:textId="77777777" w:rsidR="005D372A" w:rsidRPr="00E0548A" w:rsidRDefault="005D372A" w:rsidP="005D372A">
            <w:pPr>
              <w:jc w:val="center"/>
              <w:rPr>
                <w:rFonts w:ascii="ＭＳ 明朝"/>
                <w:sz w:val="16"/>
                <w:szCs w:val="16"/>
              </w:rPr>
            </w:pPr>
            <w:r w:rsidRPr="00E0548A">
              <w:rPr>
                <w:rFonts w:ascii="ＭＳ 明朝" w:hint="eastAsia"/>
                <w:sz w:val="16"/>
                <w:szCs w:val="16"/>
              </w:rPr>
              <w:t>○</w:t>
            </w:r>
          </w:p>
        </w:tc>
        <w:tc>
          <w:tcPr>
            <w:tcW w:w="217" w:type="pct"/>
            <w:tcBorders>
              <w:top w:val="single" w:sz="4" w:space="0" w:color="auto"/>
              <w:left w:val="single" w:sz="4" w:space="0" w:color="auto"/>
              <w:bottom w:val="single" w:sz="4" w:space="0" w:color="auto"/>
              <w:right w:val="single" w:sz="4" w:space="0" w:color="auto"/>
            </w:tcBorders>
            <w:shd w:val="clear" w:color="auto" w:fill="FFFFFF"/>
            <w:vAlign w:val="center"/>
          </w:tcPr>
          <w:p w14:paraId="3B776E98" w14:textId="77777777" w:rsidR="005D372A" w:rsidRPr="00E0548A" w:rsidRDefault="005D372A" w:rsidP="005D372A">
            <w:pPr>
              <w:jc w:val="center"/>
              <w:rPr>
                <w:rFonts w:ascii="ＭＳ 明朝"/>
                <w:sz w:val="16"/>
                <w:szCs w:val="16"/>
              </w:rPr>
            </w:pPr>
            <w:r w:rsidRPr="00E0548A">
              <w:rPr>
                <w:rFonts w:ascii="ＭＳ 明朝" w:hint="eastAsia"/>
                <w:sz w:val="16"/>
                <w:szCs w:val="16"/>
              </w:rPr>
              <w:t>○</w:t>
            </w:r>
          </w:p>
        </w:tc>
      </w:tr>
      <w:tr w:rsidR="001D6D10" w:rsidRPr="00E0548A" w14:paraId="68515FCE" w14:textId="77777777" w:rsidTr="008B4B2B">
        <w:trPr>
          <w:trHeight w:val="19"/>
        </w:trPr>
        <w:tc>
          <w:tcPr>
            <w:tcW w:w="244" w:type="pct"/>
            <w:tcBorders>
              <w:top w:val="single" w:sz="4" w:space="0" w:color="auto"/>
              <w:left w:val="single" w:sz="4" w:space="0" w:color="auto"/>
              <w:bottom w:val="single" w:sz="4" w:space="0" w:color="auto"/>
              <w:right w:val="single" w:sz="4" w:space="0" w:color="auto"/>
            </w:tcBorders>
            <w:vAlign w:val="center"/>
          </w:tcPr>
          <w:p w14:paraId="2C8C3288" w14:textId="77777777" w:rsidR="005D372A" w:rsidRPr="00E0548A" w:rsidRDefault="005D372A" w:rsidP="005D372A">
            <w:pPr>
              <w:jc w:val="center"/>
              <w:rPr>
                <w:rFonts w:ascii="ＭＳ 明朝"/>
                <w:sz w:val="16"/>
                <w:szCs w:val="16"/>
              </w:rPr>
            </w:pPr>
            <w:r w:rsidRPr="00E0548A">
              <w:rPr>
                <w:rFonts w:ascii="ＭＳ 明朝" w:hint="eastAsia"/>
                <w:sz w:val="16"/>
                <w:szCs w:val="16"/>
              </w:rPr>
              <w:t>３</w:t>
            </w:r>
          </w:p>
        </w:tc>
        <w:tc>
          <w:tcPr>
            <w:tcW w:w="233" w:type="pct"/>
            <w:vMerge/>
            <w:tcBorders>
              <w:left w:val="single" w:sz="4" w:space="0" w:color="auto"/>
              <w:bottom w:val="single" w:sz="4" w:space="0" w:color="auto"/>
              <w:right w:val="single" w:sz="4" w:space="0" w:color="auto"/>
            </w:tcBorders>
            <w:vAlign w:val="center"/>
          </w:tcPr>
          <w:p w14:paraId="197B6134" w14:textId="77777777" w:rsidR="005D372A" w:rsidRPr="00E0548A" w:rsidRDefault="005D372A" w:rsidP="005D372A">
            <w:pPr>
              <w:jc w:val="center"/>
              <w:rPr>
                <w:rFonts w:ascii="ＭＳ 明朝"/>
                <w:sz w:val="16"/>
                <w:szCs w:val="16"/>
              </w:rPr>
            </w:pPr>
          </w:p>
        </w:tc>
        <w:tc>
          <w:tcPr>
            <w:tcW w:w="1110" w:type="pct"/>
            <w:tcBorders>
              <w:top w:val="single" w:sz="4" w:space="0" w:color="auto"/>
              <w:left w:val="single" w:sz="4" w:space="0" w:color="auto"/>
              <w:bottom w:val="single" w:sz="4" w:space="0" w:color="auto"/>
              <w:right w:val="single" w:sz="4" w:space="0" w:color="auto"/>
            </w:tcBorders>
            <w:vAlign w:val="center"/>
          </w:tcPr>
          <w:p w14:paraId="2D4CBA8B" w14:textId="142681C3" w:rsidR="005D372A" w:rsidRPr="00E0548A" w:rsidRDefault="005D372A" w:rsidP="00B35001">
            <w:pPr>
              <w:rPr>
                <w:rFonts w:ascii="ＭＳ 明朝"/>
                <w:sz w:val="16"/>
                <w:szCs w:val="16"/>
              </w:rPr>
            </w:pPr>
            <w:r w:rsidRPr="00E0548A">
              <w:rPr>
                <w:rFonts w:ascii="ＭＳ 明朝" w:hint="eastAsia"/>
                <w:sz w:val="16"/>
                <w:szCs w:val="16"/>
              </w:rPr>
              <w:t>事業</w:t>
            </w:r>
            <w:r w:rsidR="00C011F2" w:rsidRPr="00E0548A">
              <w:rPr>
                <w:rFonts w:ascii="ＭＳ 明朝" w:hint="eastAsia"/>
                <w:sz w:val="16"/>
                <w:szCs w:val="16"/>
              </w:rPr>
              <w:t>調整</w:t>
            </w:r>
            <w:r w:rsidRPr="00E0548A">
              <w:rPr>
                <w:rFonts w:ascii="ＭＳ 明朝" w:hint="eastAsia"/>
                <w:sz w:val="16"/>
                <w:szCs w:val="16"/>
              </w:rPr>
              <w:t>室長</w:t>
            </w:r>
          </w:p>
        </w:tc>
        <w:tc>
          <w:tcPr>
            <w:tcW w:w="229" w:type="pct"/>
            <w:tcBorders>
              <w:top w:val="single" w:sz="4" w:space="0" w:color="auto"/>
              <w:left w:val="single" w:sz="4" w:space="0" w:color="auto"/>
              <w:bottom w:val="single" w:sz="4" w:space="0" w:color="auto"/>
              <w:right w:val="single" w:sz="4" w:space="0" w:color="auto"/>
            </w:tcBorders>
            <w:vAlign w:val="center"/>
          </w:tcPr>
          <w:p w14:paraId="739D383D" w14:textId="77777777" w:rsidR="005D372A" w:rsidRPr="00E0548A" w:rsidRDefault="005D372A" w:rsidP="005D372A">
            <w:pPr>
              <w:jc w:val="center"/>
              <w:rPr>
                <w:rFonts w:ascii="ＭＳ 明朝"/>
                <w:sz w:val="16"/>
                <w:szCs w:val="16"/>
              </w:rPr>
            </w:pPr>
          </w:p>
        </w:tc>
        <w:tc>
          <w:tcPr>
            <w:tcW w:w="229" w:type="pct"/>
            <w:tcBorders>
              <w:top w:val="single" w:sz="4" w:space="0" w:color="auto"/>
              <w:left w:val="single" w:sz="4" w:space="0" w:color="auto"/>
              <w:bottom w:val="single" w:sz="4" w:space="0" w:color="auto"/>
              <w:right w:val="single" w:sz="4" w:space="0" w:color="auto"/>
            </w:tcBorders>
            <w:vAlign w:val="center"/>
          </w:tcPr>
          <w:p w14:paraId="718382E1" w14:textId="77777777" w:rsidR="005D372A" w:rsidRPr="00E0548A" w:rsidRDefault="005D372A" w:rsidP="005D372A">
            <w:pPr>
              <w:jc w:val="center"/>
              <w:rPr>
                <w:rFonts w:ascii="ＭＳ 明朝"/>
                <w:sz w:val="16"/>
                <w:szCs w:val="16"/>
              </w:rPr>
            </w:pPr>
          </w:p>
        </w:tc>
        <w:tc>
          <w:tcPr>
            <w:tcW w:w="238" w:type="pct"/>
            <w:tcBorders>
              <w:top w:val="single" w:sz="4" w:space="0" w:color="auto"/>
              <w:left w:val="single" w:sz="4" w:space="0" w:color="auto"/>
              <w:bottom w:val="single" w:sz="4" w:space="0" w:color="auto"/>
              <w:right w:val="single" w:sz="4" w:space="0" w:color="auto"/>
            </w:tcBorders>
            <w:vAlign w:val="center"/>
          </w:tcPr>
          <w:p w14:paraId="5D40E25B" w14:textId="77777777" w:rsidR="005D372A" w:rsidRPr="00E0548A" w:rsidRDefault="005D372A" w:rsidP="005D372A">
            <w:pPr>
              <w:jc w:val="center"/>
              <w:rPr>
                <w:rFonts w:ascii="ＭＳ 明朝"/>
                <w:sz w:val="16"/>
                <w:szCs w:val="16"/>
              </w:rPr>
            </w:pPr>
            <w:r w:rsidRPr="00E0548A">
              <w:rPr>
                <w:rFonts w:ascii="ＭＳ 明朝" w:hint="eastAsia"/>
                <w:sz w:val="16"/>
                <w:szCs w:val="16"/>
              </w:rPr>
              <w:t>○</w:t>
            </w:r>
          </w:p>
        </w:tc>
        <w:tc>
          <w:tcPr>
            <w:tcW w:w="222" w:type="pct"/>
            <w:tcBorders>
              <w:top w:val="single" w:sz="4" w:space="0" w:color="auto"/>
              <w:left w:val="single" w:sz="4" w:space="0" w:color="auto"/>
              <w:bottom w:val="single" w:sz="4" w:space="0" w:color="auto"/>
              <w:right w:val="single" w:sz="4" w:space="0" w:color="auto"/>
            </w:tcBorders>
          </w:tcPr>
          <w:p w14:paraId="1D389733" w14:textId="77777777" w:rsidR="005D372A" w:rsidRPr="00E0548A" w:rsidRDefault="005D372A" w:rsidP="005D372A">
            <w:pPr>
              <w:jc w:val="center"/>
              <w:rPr>
                <w:rFonts w:ascii="ＭＳ 明朝"/>
                <w:sz w:val="16"/>
                <w:szCs w:val="16"/>
              </w:rPr>
            </w:pPr>
            <w:r w:rsidRPr="00E0548A">
              <w:rPr>
                <w:rFonts w:ascii="ＭＳ 明朝" w:hint="eastAsia"/>
                <w:sz w:val="16"/>
                <w:szCs w:val="16"/>
              </w:rPr>
              <w:t>○</w:t>
            </w:r>
          </w:p>
        </w:tc>
        <w:tc>
          <w:tcPr>
            <w:tcW w:w="222" w:type="pct"/>
            <w:tcBorders>
              <w:top w:val="single" w:sz="4" w:space="0" w:color="auto"/>
              <w:left w:val="single" w:sz="4" w:space="0" w:color="auto"/>
              <w:bottom w:val="single" w:sz="4" w:space="0" w:color="auto"/>
              <w:right w:val="single" w:sz="4" w:space="0" w:color="auto"/>
            </w:tcBorders>
            <w:shd w:val="clear" w:color="auto" w:fill="FFFFFF"/>
            <w:vAlign w:val="center"/>
          </w:tcPr>
          <w:p w14:paraId="1F0D46B6" w14:textId="77777777" w:rsidR="005D372A" w:rsidRPr="00E0548A" w:rsidRDefault="005D372A" w:rsidP="005D372A">
            <w:pPr>
              <w:jc w:val="center"/>
              <w:rPr>
                <w:rFonts w:ascii="ＭＳ 明朝"/>
                <w:sz w:val="16"/>
                <w:szCs w:val="16"/>
              </w:rPr>
            </w:pPr>
          </w:p>
        </w:tc>
        <w:tc>
          <w:tcPr>
            <w:tcW w:w="220" w:type="pct"/>
            <w:tcBorders>
              <w:top w:val="single" w:sz="4" w:space="0" w:color="auto"/>
              <w:left w:val="single" w:sz="4" w:space="0" w:color="auto"/>
              <w:bottom w:val="single" w:sz="4" w:space="0" w:color="auto"/>
              <w:right w:val="single" w:sz="4" w:space="0" w:color="auto"/>
            </w:tcBorders>
            <w:vAlign w:val="center"/>
          </w:tcPr>
          <w:p w14:paraId="5B5E7D05" w14:textId="77777777" w:rsidR="005D372A" w:rsidRPr="00E0548A" w:rsidRDefault="005D372A" w:rsidP="005D372A">
            <w:pPr>
              <w:jc w:val="center"/>
              <w:rPr>
                <w:rFonts w:ascii="ＭＳ 明朝"/>
                <w:sz w:val="16"/>
                <w:szCs w:val="16"/>
              </w:rPr>
            </w:pPr>
          </w:p>
        </w:tc>
        <w:tc>
          <w:tcPr>
            <w:tcW w:w="228" w:type="pct"/>
            <w:tcBorders>
              <w:top w:val="single" w:sz="4" w:space="0" w:color="auto"/>
              <w:left w:val="single" w:sz="4" w:space="0" w:color="auto"/>
              <w:bottom w:val="single" w:sz="4" w:space="0" w:color="auto"/>
              <w:right w:val="single" w:sz="4" w:space="0" w:color="auto"/>
            </w:tcBorders>
            <w:vAlign w:val="center"/>
          </w:tcPr>
          <w:p w14:paraId="52EF1EE7" w14:textId="77777777" w:rsidR="005D372A" w:rsidRPr="00E0548A" w:rsidRDefault="005D372A" w:rsidP="005D372A">
            <w:pPr>
              <w:jc w:val="center"/>
              <w:rPr>
                <w:rFonts w:ascii="ＭＳ 明朝"/>
                <w:sz w:val="16"/>
                <w:szCs w:val="16"/>
              </w:rPr>
            </w:pPr>
          </w:p>
        </w:tc>
        <w:tc>
          <w:tcPr>
            <w:tcW w:w="228" w:type="pct"/>
            <w:tcBorders>
              <w:top w:val="single" w:sz="4" w:space="0" w:color="auto"/>
              <w:left w:val="single" w:sz="4" w:space="0" w:color="auto"/>
              <w:bottom w:val="single" w:sz="4" w:space="0" w:color="auto"/>
              <w:right w:val="single" w:sz="4" w:space="0" w:color="auto"/>
            </w:tcBorders>
            <w:vAlign w:val="center"/>
          </w:tcPr>
          <w:p w14:paraId="3A8167F3" w14:textId="77777777" w:rsidR="005D372A" w:rsidRPr="00E0548A" w:rsidRDefault="005D372A" w:rsidP="005D372A">
            <w:pPr>
              <w:jc w:val="center"/>
              <w:rPr>
                <w:rFonts w:ascii="ＭＳ 明朝"/>
                <w:sz w:val="16"/>
                <w:szCs w:val="16"/>
              </w:rPr>
            </w:pPr>
          </w:p>
        </w:tc>
        <w:tc>
          <w:tcPr>
            <w:tcW w:w="228" w:type="pct"/>
            <w:tcBorders>
              <w:top w:val="single" w:sz="4" w:space="0" w:color="auto"/>
              <w:left w:val="single" w:sz="4" w:space="0" w:color="auto"/>
              <w:bottom w:val="single" w:sz="4" w:space="0" w:color="auto"/>
              <w:right w:val="single" w:sz="4" w:space="0" w:color="auto"/>
            </w:tcBorders>
            <w:vAlign w:val="center"/>
          </w:tcPr>
          <w:p w14:paraId="117D9B90" w14:textId="77777777" w:rsidR="005D372A" w:rsidRPr="00E0548A" w:rsidRDefault="005D372A" w:rsidP="005D372A">
            <w:pPr>
              <w:jc w:val="center"/>
              <w:rPr>
                <w:rFonts w:ascii="ＭＳ 明朝"/>
                <w:sz w:val="16"/>
                <w:szCs w:val="16"/>
              </w:rPr>
            </w:pPr>
          </w:p>
        </w:tc>
        <w:tc>
          <w:tcPr>
            <w:tcW w:w="228" w:type="pct"/>
            <w:tcBorders>
              <w:top w:val="single" w:sz="4" w:space="0" w:color="auto"/>
              <w:left w:val="single" w:sz="4" w:space="0" w:color="auto"/>
              <w:bottom w:val="single" w:sz="4" w:space="0" w:color="auto"/>
              <w:right w:val="single" w:sz="4" w:space="0" w:color="auto"/>
            </w:tcBorders>
            <w:vAlign w:val="center"/>
          </w:tcPr>
          <w:p w14:paraId="1AC5A554" w14:textId="77777777" w:rsidR="005D372A" w:rsidRPr="00E0548A" w:rsidRDefault="005D372A" w:rsidP="005D372A">
            <w:pPr>
              <w:jc w:val="center"/>
              <w:rPr>
                <w:rFonts w:ascii="ＭＳ 明朝"/>
                <w:sz w:val="16"/>
                <w:szCs w:val="16"/>
              </w:rPr>
            </w:pPr>
          </w:p>
        </w:tc>
        <w:tc>
          <w:tcPr>
            <w:tcW w:w="228" w:type="pct"/>
            <w:tcBorders>
              <w:top w:val="single" w:sz="4" w:space="0" w:color="auto"/>
              <w:left w:val="single" w:sz="4" w:space="0" w:color="auto"/>
              <w:bottom w:val="single" w:sz="4" w:space="0" w:color="auto"/>
              <w:right w:val="single" w:sz="4" w:space="0" w:color="auto"/>
            </w:tcBorders>
            <w:vAlign w:val="center"/>
          </w:tcPr>
          <w:p w14:paraId="2B643BF8" w14:textId="77777777" w:rsidR="005D372A" w:rsidRPr="00E0548A" w:rsidRDefault="005D372A" w:rsidP="005D372A">
            <w:pPr>
              <w:jc w:val="center"/>
              <w:rPr>
                <w:rFonts w:ascii="ＭＳ 明朝"/>
                <w:sz w:val="16"/>
                <w:szCs w:val="16"/>
              </w:rPr>
            </w:pPr>
          </w:p>
        </w:tc>
        <w:tc>
          <w:tcPr>
            <w:tcW w:w="259" w:type="pct"/>
            <w:tcBorders>
              <w:top w:val="single" w:sz="4" w:space="0" w:color="auto"/>
              <w:left w:val="single" w:sz="4" w:space="0" w:color="auto"/>
              <w:bottom w:val="single" w:sz="4" w:space="0" w:color="auto"/>
              <w:right w:val="single" w:sz="4" w:space="0" w:color="auto"/>
            </w:tcBorders>
            <w:vAlign w:val="center"/>
          </w:tcPr>
          <w:p w14:paraId="3F5D5244" w14:textId="77777777" w:rsidR="005D372A" w:rsidRPr="00E0548A" w:rsidRDefault="005D372A" w:rsidP="005D372A">
            <w:pPr>
              <w:jc w:val="center"/>
              <w:rPr>
                <w:rFonts w:ascii="ＭＳ 明朝"/>
                <w:sz w:val="16"/>
                <w:szCs w:val="16"/>
              </w:rPr>
            </w:pPr>
          </w:p>
        </w:tc>
        <w:tc>
          <w:tcPr>
            <w:tcW w:w="211" w:type="pct"/>
            <w:tcBorders>
              <w:top w:val="single" w:sz="4" w:space="0" w:color="auto"/>
              <w:left w:val="single" w:sz="4" w:space="0" w:color="auto"/>
              <w:bottom w:val="single" w:sz="4" w:space="0" w:color="auto"/>
              <w:right w:val="single" w:sz="4" w:space="0" w:color="auto"/>
            </w:tcBorders>
            <w:shd w:val="clear" w:color="auto" w:fill="FFFFFF"/>
            <w:vAlign w:val="center"/>
          </w:tcPr>
          <w:p w14:paraId="7A29C4E1" w14:textId="77777777" w:rsidR="005D372A" w:rsidRPr="00E0548A" w:rsidRDefault="005D372A" w:rsidP="005D372A">
            <w:pPr>
              <w:jc w:val="center"/>
              <w:rPr>
                <w:rFonts w:ascii="ＭＳ 明朝"/>
                <w:sz w:val="16"/>
                <w:szCs w:val="16"/>
              </w:rPr>
            </w:pPr>
          </w:p>
        </w:tc>
        <w:tc>
          <w:tcPr>
            <w:tcW w:w="226" w:type="pct"/>
            <w:tcBorders>
              <w:top w:val="single" w:sz="4" w:space="0" w:color="auto"/>
              <w:left w:val="single" w:sz="4" w:space="0" w:color="auto"/>
              <w:bottom w:val="single" w:sz="4" w:space="0" w:color="auto"/>
              <w:right w:val="single" w:sz="4" w:space="0" w:color="auto"/>
            </w:tcBorders>
            <w:shd w:val="clear" w:color="auto" w:fill="FFFFFF"/>
            <w:vAlign w:val="center"/>
          </w:tcPr>
          <w:p w14:paraId="2F72E533" w14:textId="77777777" w:rsidR="005D372A" w:rsidRPr="00E0548A" w:rsidRDefault="005D372A" w:rsidP="005D372A">
            <w:pPr>
              <w:jc w:val="center"/>
              <w:rPr>
                <w:rFonts w:ascii="ＭＳ 明朝"/>
                <w:sz w:val="16"/>
                <w:szCs w:val="16"/>
              </w:rPr>
            </w:pPr>
          </w:p>
        </w:tc>
        <w:tc>
          <w:tcPr>
            <w:tcW w:w="217" w:type="pct"/>
            <w:tcBorders>
              <w:top w:val="single" w:sz="4" w:space="0" w:color="auto"/>
              <w:left w:val="single" w:sz="4" w:space="0" w:color="auto"/>
              <w:bottom w:val="single" w:sz="4" w:space="0" w:color="auto"/>
              <w:right w:val="single" w:sz="4" w:space="0" w:color="auto"/>
            </w:tcBorders>
            <w:shd w:val="clear" w:color="auto" w:fill="FFFFFF"/>
            <w:vAlign w:val="center"/>
          </w:tcPr>
          <w:p w14:paraId="65CF99EF" w14:textId="77777777" w:rsidR="005D372A" w:rsidRPr="00E0548A" w:rsidRDefault="005D372A" w:rsidP="005D372A">
            <w:pPr>
              <w:jc w:val="center"/>
              <w:rPr>
                <w:rFonts w:ascii="ＭＳ 明朝"/>
                <w:sz w:val="16"/>
                <w:szCs w:val="16"/>
              </w:rPr>
            </w:pPr>
          </w:p>
        </w:tc>
      </w:tr>
      <w:tr w:rsidR="001D6D10" w:rsidRPr="00E0548A" w14:paraId="3915C16F" w14:textId="77777777" w:rsidTr="008B4B2B">
        <w:trPr>
          <w:trHeight w:val="19"/>
        </w:trPr>
        <w:tc>
          <w:tcPr>
            <w:tcW w:w="244" w:type="pct"/>
            <w:tcBorders>
              <w:top w:val="single" w:sz="4" w:space="0" w:color="auto"/>
              <w:left w:val="single" w:sz="4" w:space="0" w:color="auto"/>
              <w:bottom w:val="single" w:sz="4" w:space="0" w:color="auto"/>
              <w:right w:val="single" w:sz="4" w:space="0" w:color="auto"/>
            </w:tcBorders>
            <w:vAlign w:val="center"/>
          </w:tcPr>
          <w:p w14:paraId="14D556F4" w14:textId="77777777" w:rsidR="005D372A" w:rsidRPr="00E0548A" w:rsidRDefault="005D372A" w:rsidP="005D372A">
            <w:pPr>
              <w:jc w:val="center"/>
              <w:rPr>
                <w:rFonts w:ascii="ＭＳ 明朝"/>
                <w:sz w:val="16"/>
                <w:szCs w:val="16"/>
              </w:rPr>
            </w:pPr>
            <w:r w:rsidRPr="00E0548A">
              <w:rPr>
                <w:rFonts w:ascii="ＭＳ 明朝" w:hint="eastAsia"/>
                <w:sz w:val="16"/>
                <w:szCs w:val="16"/>
              </w:rPr>
              <w:t>４</w:t>
            </w:r>
          </w:p>
        </w:tc>
        <w:tc>
          <w:tcPr>
            <w:tcW w:w="233" w:type="pct"/>
            <w:vMerge w:val="restart"/>
            <w:tcBorders>
              <w:top w:val="single" w:sz="4" w:space="0" w:color="auto"/>
              <w:left w:val="single" w:sz="4" w:space="0" w:color="auto"/>
              <w:right w:val="single" w:sz="4" w:space="0" w:color="auto"/>
            </w:tcBorders>
            <w:vAlign w:val="center"/>
            <w:hideMark/>
          </w:tcPr>
          <w:p w14:paraId="57757E72" w14:textId="77777777" w:rsidR="005D372A" w:rsidRPr="00E0548A" w:rsidRDefault="005D372A" w:rsidP="005D372A">
            <w:pPr>
              <w:jc w:val="center"/>
              <w:rPr>
                <w:rFonts w:ascii="ＭＳ 明朝"/>
                <w:sz w:val="16"/>
                <w:szCs w:val="16"/>
              </w:rPr>
            </w:pPr>
            <w:r w:rsidRPr="00E0548A">
              <w:rPr>
                <w:rFonts w:ascii="ＭＳ 明朝" w:hint="eastAsia"/>
                <w:sz w:val="16"/>
                <w:szCs w:val="16"/>
              </w:rPr>
              <w:t>部員</w:t>
            </w:r>
          </w:p>
        </w:tc>
        <w:tc>
          <w:tcPr>
            <w:tcW w:w="1110" w:type="pct"/>
            <w:tcBorders>
              <w:top w:val="single" w:sz="4" w:space="0" w:color="auto"/>
              <w:left w:val="single" w:sz="4" w:space="0" w:color="auto"/>
              <w:bottom w:val="single" w:sz="4" w:space="0" w:color="auto"/>
              <w:right w:val="single" w:sz="4" w:space="0" w:color="auto"/>
            </w:tcBorders>
            <w:vAlign w:val="center"/>
            <w:hideMark/>
          </w:tcPr>
          <w:p w14:paraId="5180B0E8" w14:textId="45D1A725" w:rsidR="005D372A" w:rsidRPr="00E0548A" w:rsidRDefault="005D372A" w:rsidP="005D372A">
            <w:pPr>
              <w:rPr>
                <w:rFonts w:ascii="ＭＳ 明朝"/>
                <w:sz w:val="16"/>
                <w:szCs w:val="16"/>
              </w:rPr>
            </w:pPr>
            <w:r w:rsidRPr="00E0548A">
              <w:rPr>
                <w:rFonts w:ascii="ＭＳ 明朝" w:hint="eastAsia"/>
                <w:sz w:val="16"/>
                <w:szCs w:val="16"/>
              </w:rPr>
              <w:t>防災企画課長</w:t>
            </w:r>
          </w:p>
        </w:tc>
        <w:tc>
          <w:tcPr>
            <w:tcW w:w="229" w:type="pct"/>
            <w:tcBorders>
              <w:top w:val="single" w:sz="4" w:space="0" w:color="auto"/>
              <w:left w:val="single" w:sz="4" w:space="0" w:color="auto"/>
              <w:bottom w:val="single" w:sz="4" w:space="0" w:color="auto"/>
              <w:right w:val="single" w:sz="4" w:space="0" w:color="auto"/>
            </w:tcBorders>
            <w:vAlign w:val="center"/>
            <w:hideMark/>
          </w:tcPr>
          <w:p w14:paraId="510F97C9" w14:textId="77777777" w:rsidR="005D372A" w:rsidRPr="00E0548A" w:rsidRDefault="005D372A" w:rsidP="005D372A">
            <w:pPr>
              <w:jc w:val="center"/>
              <w:rPr>
                <w:rFonts w:ascii="ＭＳ 明朝"/>
                <w:sz w:val="16"/>
                <w:szCs w:val="16"/>
              </w:rPr>
            </w:pPr>
            <w:r w:rsidRPr="00E0548A">
              <w:rPr>
                <w:rFonts w:ascii="ＭＳ 明朝" w:hint="eastAsia"/>
                <w:sz w:val="16"/>
                <w:szCs w:val="16"/>
              </w:rPr>
              <w:t>○</w:t>
            </w:r>
          </w:p>
        </w:tc>
        <w:tc>
          <w:tcPr>
            <w:tcW w:w="229" w:type="pct"/>
            <w:tcBorders>
              <w:top w:val="single" w:sz="4" w:space="0" w:color="auto"/>
              <w:left w:val="single" w:sz="4" w:space="0" w:color="auto"/>
              <w:bottom w:val="single" w:sz="4" w:space="0" w:color="auto"/>
              <w:right w:val="single" w:sz="4" w:space="0" w:color="auto"/>
            </w:tcBorders>
            <w:vAlign w:val="center"/>
            <w:hideMark/>
          </w:tcPr>
          <w:p w14:paraId="5E3EDC40" w14:textId="77777777" w:rsidR="005D372A" w:rsidRPr="00E0548A" w:rsidRDefault="005D372A" w:rsidP="005D372A">
            <w:pPr>
              <w:jc w:val="center"/>
              <w:rPr>
                <w:rFonts w:ascii="ＭＳ 明朝"/>
                <w:sz w:val="16"/>
                <w:szCs w:val="16"/>
              </w:rPr>
            </w:pPr>
            <w:r w:rsidRPr="00E0548A">
              <w:rPr>
                <w:rFonts w:ascii="ＭＳ 明朝" w:hint="eastAsia"/>
                <w:sz w:val="16"/>
                <w:szCs w:val="16"/>
              </w:rPr>
              <w:t>○</w:t>
            </w:r>
          </w:p>
        </w:tc>
        <w:tc>
          <w:tcPr>
            <w:tcW w:w="238" w:type="pct"/>
            <w:tcBorders>
              <w:top w:val="single" w:sz="4" w:space="0" w:color="auto"/>
              <w:left w:val="single" w:sz="4" w:space="0" w:color="auto"/>
              <w:bottom w:val="single" w:sz="4" w:space="0" w:color="auto"/>
              <w:right w:val="single" w:sz="4" w:space="0" w:color="auto"/>
            </w:tcBorders>
            <w:vAlign w:val="center"/>
            <w:hideMark/>
          </w:tcPr>
          <w:p w14:paraId="2C94621C" w14:textId="77777777" w:rsidR="005D372A" w:rsidRPr="00E0548A" w:rsidRDefault="005D372A" w:rsidP="005D372A">
            <w:pPr>
              <w:jc w:val="center"/>
              <w:rPr>
                <w:rFonts w:ascii="ＭＳ 明朝"/>
                <w:sz w:val="16"/>
                <w:szCs w:val="16"/>
              </w:rPr>
            </w:pPr>
            <w:r w:rsidRPr="00E0548A">
              <w:rPr>
                <w:rFonts w:ascii="ＭＳ 明朝" w:hint="eastAsia"/>
                <w:sz w:val="16"/>
                <w:szCs w:val="16"/>
              </w:rPr>
              <w:t>○</w:t>
            </w:r>
          </w:p>
        </w:tc>
        <w:tc>
          <w:tcPr>
            <w:tcW w:w="222" w:type="pct"/>
            <w:tcBorders>
              <w:top w:val="single" w:sz="4" w:space="0" w:color="auto"/>
              <w:left w:val="single" w:sz="4" w:space="0" w:color="auto"/>
              <w:bottom w:val="single" w:sz="4" w:space="0" w:color="auto"/>
              <w:right w:val="single" w:sz="4" w:space="0" w:color="auto"/>
            </w:tcBorders>
          </w:tcPr>
          <w:p w14:paraId="5384A45D" w14:textId="77777777" w:rsidR="005D372A" w:rsidRPr="00E0548A" w:rsidRDefault="005D372A" w:rsidP="005D372A">
            <w:pPr>
              <w:jc w:val="center"/>
              <w:rPr>
                <w:rFonts w:ascii="ＭＳ 明朝"/>
                <w:sz w:val="16"/>
                <w:szCs w:val="16"/>
              </w:rPr>
            </w:pPr>
            <w:r w:rsidRPr="00E0548A">
              <w:rPr>
                <w:rFonts w:ascii="ＭＳ 明朝" w:hint="eastAsia"/>
                <w:sz w:val="16"/>
                <w:szCs w:val="16"/>
              </w:rPr>
              <w:t>○</w:t>
            </w:r>
          </w:p>
        </w:tc>
        <w:tc>
          <w:tcPr>
            <w:tcW w:w="222" w:type="pct"/>
            <w:tcBorders>
              <w:top w:val="single" w:sz="4" w:space="0" w:color="auto"/>
              <w:left w:val="single" w:sz="4" w:space="0" w:color="auto"/>
              <w:bottom w:val="single" w:sz="4" w:space="0" w:color="auto"/>
              <w:right w:val="single" w:sz="4" w:space="0" w:color="auto"/>
            </w:tcBorders>
            <w:shd w:val="clear" w:color="auto" w:fill="FFFFFF"/>
            <w:vAlign w:val="center"/>
          </w:tcPr>
          <w:p w14:paraId="22A2559C" w14:textId="77777777" w:rsidR="005D372A" w:rsidRPr="00E0548A" w:rsidRDefault="005D372A" w:rsidP="005D372A">
            <w:pPr>
              <w:jc w:val="center"/>
              <w:rPr>
                <w:rFonts w:ascii="ＭＳ 明朝"/>
                <w:sz w:val="16"/>
                <w:szCs w:val="16"/>
              </w:rPr>
            </w:pPr>
            <w:r w:rsidRPr="00E0548A">
              <w:rPr>
                <w:rFonts w:ascii="ＭＳ 明朝" w:hint="eastAsia"/>
                <w:sz w:val="16"/>
                <w:szCs w:val="16"/>
              </w:rPr>
              <w:t>○</w:t>
            </w:r>
          </w:p>
        </w:tc>
        <w:tc>
          <w:tcPr>
            <w:tcW w:w="220" w:type="pct"/>
            <w:tcBorders>
              <w:top w:val="single" w:sz="4" w:space="0" w:color="auto"/>
              <w:left w:val="single" w:sz="4" w:space="0" w:color="auto"/>
              <w:bottom w:val="single" w:sz="4" w:space="0" w:color="auto"/>
              <w:right w:val="single" w:sz="4" w:space="0" w:color="auto"/>
            </w:tcBorders>
            <w:vAlign w:val="center"/>
            <w:hideMark/>
          </w:tcPr>
          <w:p w14:paraId="48BB02A2" w14:textId="77777777" w:rsidR="005D372A" w:rsidRPr="00E0548A" w:rsidRDefault="005D372A" w:rsidP="005D372A">
            <w:pPr>
              <w:jc w:val="center"/>
              <w:rPr>
                <w:rFonts w:ascii="ＭＳ 明朝"/>
                <w:sz w:val="16"/>
                <w:szCs w:val="16"/>
              </w:rPr>
            </w:pPr>
            <w:r w:rsidRPr="00E0548A">
              <w:rPr>
                <w:rFonts w:ascii="ＭＳ 明朝" w:hint="eastAsia"/>
                <w:sz w:val="16"/>
                <w:szCs w:val="16"/>
              </w:rPr>
              <w:t>○</w:t>
            </w:r>
          </w:p>
        </w:tc>
        <w:tc>
          <w:tcPr>
            <w:tcW w:w="228" w:type="pct"/>
            <w:tcBorders>
              <w:top w:val="single" w:sz="4" w:space="0" w:color="auto"/>
              <w:left w:val="single" w:sz="4" w:space="0" w:color="auto"/>
              <w:bottom w:val="single" w:sz="4" w:space="0" w:color="auto"/>
              <w:right w:val="single" w:sz="4" w:space="0" w:color="auto"/>
            </w:tcBorders>
            <w:vAlign w:val="center"/>
            <w:hideMark/>
          </w:tcPr>
          <w:p w14:paraId="4960ED33" w14:textId="77777777" w:rsidR="005D372A" w:rsidRPr="00E0548A" w:rsidRDefault="005D372A" w:rsidP="005D372A">
            <w:pPr>
              <w:jc w:val="center"/>
              <w:rPr>
                <w:rFonts w:ascii="ＭＳ 明朝"/>
                <w:sz w:val="16"/>
                <w:szCs w:val="16"/>
              </w:rPr>
            </w:pPr>
            <w:r w:rsidRPr="00E0548A">
              <w:rPr>
                <w:rFonts w:ascii="ＭＳ 明朝" w:hint="eastAsia"/>
                <w:sz w:val="16"/>
                <w:szCs w:val="16"/>
              </w:rPr>
              <w:t>○</w:t>
            </w:r>
          </w:p>
        </w:tc>
        <w:tc>
          <w:tcPr>
            <w:tcW w:w="228" w:type="pct"/>
            <w:tcBorders>
              <w:top w:val="single" w:sz="4" w:space="0" w:color="auto"/>
              <w:left w:val="single" w:sz="4" w:space="0" w:color="auto"/>
              <w:bottom w:val="single" w:sz="4" w:space="0" w:color="auto"/>
              <w:right w:val="single" w:sz="4" w:space="0" w:color="auto"/>
            </w:tcBorders>
            <w:vAlign w:val="center"/>
            <w:hideMark/>
          </w:tcPr>
          <w:p w14:paraId="26788A08" w14:textId="77777777" w:rsidR="005D372A" w:rsidRPr="00E0548A" w:rsidRDefault="005D372A" w:rsidP="005D372A">
            <w:pPr>
              <w:jc w:val="center"/>
              <w:rPr>
                <w:rFonts w:ascii="ＭＳ 明朝"/>
                <w:sz w:val="16"/>
                <w:szCs w:val="16"/>
              </w:rPr>
            </w:pPr>
            <w:r w:rsidRPr="00E0548A">
              <w:rPr>
                <w:rFonts w:ascii="ＭＳ 明朝" w:hint="eastAsia"/>
                <w:sz w:val="16"/>
                <w:szCs w:val="16"/>
              </w:rPr>
              <w:t>○</w:t>
            </w:r>
          </w:p>
        </w:tc>
        <w:tc>
          <w:tcPr>
            <w:tcW w:w="228" w:type="pct"/>
            <w:tcBorders>
              <w:top w:val="single" w:sz="4" w:space="0" w:color="auto"/>
              <w:left w:val="single" w:sz="4" w:space="0" w:color="auto"/>
              <w:bottom w:val="single" w:sz="4" w:space="0" w:color="auto"/>
              <w:right w:val="single" w:sz="4" w:space="0" w:color="auto"/>
            </w:tcBorders>
            <w:vAlign w:val="center"/>
            <w:hideMark/>
          </w:tcPr>
          <w:p w14:paraId="795419D6" w14:textId="77777777" w:rsidR="005D372A" w:rsidRPr="00E0548A" w:rsidRDefault="005D372A" w:rsidP="005D372A">
            <w:pPr>
              <w:jc w:val="center"/>
              <w:rPr>
                <w:rFonts w:ascii="ＭＳ 明朝"/>
                <w:sz w:val="16"/>
                <w:szCs w:val="16"/>
              </w:rPr>
            </w:pPr>
            <w:r w:rsidRPr="00E0548A">
              <w:rPr>
                <w:rFonts w:ascii="ＭＳ 明朝" w:hint="eastAsia"/>
                <w:sz w:val="16"/>
                <w:szCs w:val="16"/>
              </w:rPr>
              <w:t>○</w:t>
            </w:r>
          </w:p>
        </w:tc>
        <w:tc>
          <w:tcPr>
            <w:tcW w:w="228" w:type="pct"/>
            <w:tcBorders>
              <w:top w:val="single" w:sz="4" w:space="0" w:color="auto"/>
              <w:left w:val="single" w:sz="4" w:space="0" w:color="auto"/>
              <w:bottom w:val="single" w:sz="4" w:space="0" w:color="auto"/>
              <w:right w:val="single" w:sz="4" w:space="0" w:color="auto"/>
            </w:tcBorders>
            <w:vAlign w:val="center"/>
            <w:hideMark/>
          </w:tcPr>
          <w:p w14:paraId="2A702B24" w14:textId="77777777" w:rsidR="005D372A" w:rsidRPr="00E0548A" w:rsidRDefault="005D372A" w:rsidP="005D372A">
            <w:pPr>
              <w:jc w:val="center"/>
              <w:rPr>
                <w:rFonts w:ascii="ＭＳ 明朝"/>
                <w:sz w:val="16"/>
                <w:szCs w:val="16"/>
              </w:rPr>
            </w:pPr>
            <w:r w:rsidRPr="00E0548A">
              <w:rPr>
                <w:rFonts w:ascii="ＭＳ 明朝" w:hint="eastAsia"/>
                <w:sz w:val="16"/>
                <w:szCs w:val="16"/>
              </w:rPr>
              <w:t>○</w:t>
            </w:r>
          </w:p>
        </w:tc>
        <w:tc>
          <w:tcPr>
            <w:tcW w:w="228" w:type="pct"/>
            <w:tcBorders>
              <w:top w:val="single" w:sz="4" w:space="0" w:color="auto"/>
              <w:left w:val="single" w:sz="4" w:space="0" w:color="auto"/>
              <w:bottom w:val="single" w:sz="4" w:space="0" w:color="auto"/>
              <w:right w:val="single" w:sz="4" w:space="0" w:color="auto"/>
            </w:tcBorders>
            <w:vAlign w:val="center"/>
            <w:hideMark/>
          </w:tcPr>
          <w:p w14:paraId="2C33DC6C" w14:textId="77777777" w:rsidR="005D372A" w:rsidRPr="00E0548A" w:rsidRDefault="005D372A" w:rsidP="005D372A">
            <w:pPr>
              <w:jc w:val="center"/>
              <w:rPr>
                <w:rFonts w:ascii="ＭＳ 明朝"/>
                <w:sz w:val="16"/>
                <w:szCs w:val="16"/>
              </w:rPr>
            </w:pPr>
            <w:r w:rsidRPr="00E0548A">
              <w:rPr>
                <w:rFonts w:ascii="ＭＳ 明朝" w:hint="eastAsia"/>
                <w:sz w:val="16"/>
                <w:szCs w:val="16"/>
              </w:rPr>
              <w:t>○</w:t>
            </w:r>
          </w:p>
        </w:tc>
        <w:tc>
          <w:tcPr>
            <w:tcW w:w="259" w:type="pct"/>
            <w:tcBorders>
              <w:top w:val="single" w:sz="4" w:space="0" w:color="auto"/>
              <w:left w:val="single" w:sz="4" w:space="0" w:color="auto"/>
              <w:bottom w:val="single" w:sz="4" w:space="0" w:color="auto"/>
              <w:right w:val="single" w:sz="4" w:space="0" w:color="auto"/>
            </w:tcBorders>
            <w:vAlign w:val="center"/>
            <w:hideMark/>
          </w:tcPr>
          <w:p w14:paraId="5C9BD4A1" w14:textId="77777777" w:rsidR="005D372A" w:rsidRPr="00E0548A" w:rsidRDefault="005D372A" w:rsidP="005D372A">
            <w:pPr>
              <w:jc w:val="center"/>
              <w:rPr>
                <w:rFonts w:ascii="ＭＳ 明朝"/>
                <w:sz w:val="16"/>
                <w:szCs w:val="16"/>
              </w:rPr>
            </w:pPr>
            <w:r w:rsidRPr="00E0548A">
              <w:rPr>
                <w:rFonts w:ascii="ＭＳ 明朝" w:hint="eastAsia"/>
                <w:sz w:val="16"/>
                <w:szCs w:val="16"/>
              </w:rPr>
              <w:t>○</w:t>
            </w:r>
          </w:p>
        </w:tc>
        <w:tc>
          <w:tcPr>
            <w:tcW w:w="211" w:type="pct"/>
            <w:tcBorders>
              <w:top w:val="single" w:sz="4" w:space="0" w:color="auto"/>
              <w:left w:val="single" w:sz="4" w:space="0" w:color="auto"/>
              <w:bottom w:val="single" w:sz="4" w:space="0" w:color="auto"/>
              <w:right w:val="single" w:sz="4" w:space="0" w:color="auto"/>
            </w:tcBorders>
            <w:shd w:val="clear" w:color="auto" w:fill="FFFFFF"/>
            <w:vAlign w:val="center"/>
          </w:tcPr>
          <w:p w14:paraId="61390392" w14:textId="77777777" w:rsidR="005D372A" w:rsidRPr="00E0548A" w:rsidRDefault="005D372A" w:rsidP="005D372A">
            <w:pPr>
              <w:jc w:val="center"/>
              <w:rPr>
                <w:rFonts w:ascii="ＭＳ 明朝"/>
                <w:sz w:val="16"/>
                <w:szCs w:val="16"/>
              </w:rPr>
            </w:pPr>
            <w:r w:rsidRPr="00E0548A">
              <w:rPr>
                <w:rFonts w:ascii="ＭＳ 明朝" w:hint="eastAsia"/>
                <w:sz w:val="16"/>
                <w:szCs w:val="16"/>
              </w:rPr>
              <w:t>○</w:t>
            </w:r>
          </w:p>
        </w:tc>
        <w:tc>
          <w:tcPr>
            <w:tcW w:w="226" w:type="pct"/>
            <w:tcBorders>
              <w:top w:val="single" w:sz="4" w:space="0" w:color="auto"/>
              <w:left w:val="single" w:sz="4" w:space="0" w:color="auto"/>
              <w:bottom w:val="single" w:sz="4" w:space="0" w:color="auto"/>
              <w:right w:val="single" w:sz="4" w:space="0" w:color="auto"/>
            </w:tcBorders>
            <w:shd w:val="clear" w:color="auto" w:fill="FFFFFF"/>
            <w:vAlign w:val="center"/>
          </w:tcPr>
          <w:p w14:paraId="634AE522" w14:textId="77777777" w:rsidR="005D372A" w:rsidRPr="00E0548A" w:rsidRDefault="005D372A" w:rsidP="005D372A">
            <w:pPr>
              <w:jc w:val="center"/>
              <w:rPr>
                <w:rFonts w:ascii="ＭＳ 明朝"/>
                <w:sz w:val="16"/>
                <w:szCs w:val="16"/>
              </w:rPr>
            </w:pPr>
            <w:r w:rsidRPr="00E0548A">
              <w:rPr>
                <w:rFonts w:ascii="ＭＳ 明朝" w:hint="eastAsia"/>
                <w:sz w:val="16"/>
                <w:szCs w:val="16"/>
              </w:rPr>
              <w:t>○</w:t>
            </w:r>
          </w:p>
        </w:tc>
        <w:tc>
          <w:tcPr>
            <w:tcW w:w="217" w:type="pct"/>
            <w:tcBorders>
              <w:top w:val="single" w:sz="4" w:space="0" w:color="auto"/>
              <w:left w:val="single" w:sz="4" w:space="0" w:color="auto"/>
              <w:bottom w:val="single" w:sz="4" w:space="0" w:color="auto"/>
              <w:right w:val="single" w:sz="4" w:space="0" w:color="auto"/>
            </w:tcBorders>
            <w:shd w:val="clear" w:color="auto" w:fill="FFFFFF"/>
            <w:vAlign w:val="center"/>
          </w:tcPr>
          <w:p w14:paraId="4B45352C" w14:textId="77777777" w:rsidR="005D372A" w:rsidRPr="00E0548A" w:rsidRDefault="005D372A" w:rsidP="005D372A">
            <w:pPr>
              <w:jc w:val="center"/>
              <w:rPr>
                <w:rFonts w:ascii="ＭＳ 明朝"/>
                <w:sz w:val="16"/>
                <w:szCs w:val="16"/>
              </w:rPr>
            </w:pPr>
            <w:r w:rsidRPr="00E0548A">
              <w:rPr>
                <w:rFonts w:ascii="ＭＳ 明朝" w:hint="eastAsia"/>
                <w:sz w:val="16"/>
                <w:szCs w:val="16"/>
              </w:rPr>
              <w:t>○</w:t>
            </w:r>
          </w:p>
        </w:tc>
      </w:tr>
      <w:tr w:rsidR="001D6D10" w:rsidRPr="00E0548A" w14:paraId="7A0FAF97" w14:textId="77777777" w:rsidTr="008B4B2B">
        <w:trPr>
          <w:trHeight w:val="19"/>
        </w:trPr>
        <w:tc>
          <w:tcPr>
            <w:tcW w:w="244" w:type="pct"/>
            <w:tcBorders>
              <w:top w:val="single" w:sz="4" w:space="0" w:color="auto"/>
              <w:left w:val="single" w:sz="4" w:space="0" w:color="auto"/>
              <w:bottom w:val="single" w:sz="4" w:space="0" w:color="auto"/>
              <w:right w:val="single" w:sz="4" w:space="0" w:color="auto"/>
            </w:tcBorders>
            <w:vAlign w:val="center"/>
          </w:tcPr>
          <w:p w14:paraId="12AAA11C" w14:textId="77777777" w:rsidR="005D372A" w:rsidRPr="00E0548A" w:rsidRDefault="005D372A" w:rsidP="005D372A">
            <w:pPr>
              <w:jc w:val="center"/>
              <w:rPr>
                <w:rFonts w:ascii="ＭＳ 明朝"/>
                <w:sz w:val="16"/>
                <w:szCs w:val="16"/>
              </w:rPr>
            </w:pPr>
            <w:r w:rsidRPr="00E0548A">
              <w:rPr>
                <w:rFonts w:ascii="ＭＳ 明朝" w:hint="eastAsia"/>
                <w:sz w:val="16"/>
                <w:szCs w:val="16"/>
              </w:rPr>
              <w:t>５</w:t>
            </w:r>
          </w:p>
        </w:tc>
        <w:tc>
          <w:tcPr>
            <w:tcW w:w="233" w:type="pct"/>
            <w:vMerge/>
            <w:tcBorders>
              <w:left w:val="single" w:sz="4" w:space="0" w:color="auto"/>
              <w:right w:val="single" w:sz="4" w:space="0" w:color="auto"/>
            </w:tcBorders>
            <w:vAlign w:val="center"/>
          </w:tcPr>
          <w:p w14:paraId="36F36439" w14:textId="77777777" w:rsidR="005D372A" w:rsidRPr="00E0548A" w:rsidRDefault="005D372A" w:rsidP="005D372A">
            <w:pPr>
              <w:jc w:val="center"/>
              <w:rPr>
                <w:rFonts w:ascii="ＭＳ 明朝"/>
                <w:sz w:val="16"/>
                <w:szCs w:val="16"/>
              </w:rPr>
            </w:pPr>
          </w:p>
        </w:tc>
        <w:tc>
          <w:tcPr>
            <w:tcW w:w="1110" w:type="pct"/>
            <w:tcBorders>
              <w:top w:val="single" w:sz="4" w:space="0" w:color="auto"/>
              <w:left w:val="single" w:sz="4" w:space="0" w:color="auto"/>
              <w:bottom w:val="single" w:sz="4" w:space="0" w:color="auto"/>
              <w:right w:val="single" w:sz="4" w:space="0" w:color="auto"/>
            </w:tcBorders>
            <w:vAlign w:val="center"/>
            <w:hideMark/>
          </w:tcPr>
          <w:p w14:paraId="3258A943" w14:textId="77777777" w:rsidR="005D372A" w:rsidRPr="00E0548A" w:rsidRDefault="005D372A" w:rsidP="005D372A">
            <w:pPr>
              <w:rPr>
                <w:rFonts w:ascii="ＭＳ 明朝"/>
                <w:sz w:val="16"/>
                <w:szCs w:val="16"/>
              </w:rPr>
            </w:pPr>
            <w:r w:rsidRPr="00E0548A">
              <w:rPr>
                <w:rFonts w:ascii="ＭＳ 明朝" w:hint="eastAsia"/>
                <w:sz w:val="16"/>
                <w:szCs w:val="16"/>
              </w:rPr>
              <w:t>災害対策課長</w:t>
            </w:r>
          </w:p>
        </w:tc>
        <w:tc>
          <w:tcPr>
            <w:tcW w:w="229" w:type="pct"/>
            <w:tcBorders>
              <w:top w:val="single" w:sz="4" w:space="0" w:color="auto"/>
              <w:left w:val="single" w:sz="4" w:space="0" w:color="auto"/>
              <w:bottom w:val="single" w:sz="4" w:space="0" w:color="auto"/>
              <w:right w:val="single" w:sz="4" w:space="0" w:color="auto"/>
            </w:tcBorders>
            <w:vAlign w:val="center"/>
            <w:hideMark/>
          </w:tcPr>
          <w:p w14:paraId="0E623EEB" w14:textId="77777777" w:rsidR="005D372A" w:rsidRPr="00E0548A" w:rsidRDefault="005D372A" w:rsidP="005D372A">
            <w:pPr>
              <w:jc w:val="center"/>
              <w:rPr>
                <w:rFonts w:ascii="ＭＳ 明朝"/>
                <w:sz w:val="16"/>
                <w:szCs w:val="16"/>
              </w:rPr>
            </w:pPr>
            <w:r w:rsidRPr="00E0548A">
              <w:rPr>
                <w:rFonts w:ascii="ＭＳ 明朝" w:hint="eastAsia"/>
                <w:sz w:val="16"/>
                <w:szCs w:val="16"/>
              </w:rPr>
              <w:t>○</w:t>
            </w:r>
          </w:p>
        </w:tc>
        <w:tc>
          <w:tcPr>
            <w:tcW w:w="229" w:type="pct"/>
            <w:tcBorders>
              <w:top w:val="single" w:sz="4" w:space="0" w:color="auto"/>
              <w:left w:val="single" w:sz="4" w:space="0" w:color="auto"/>
              <w:bottom w:val="single" w:sz="4" w:space="0" w:color="auto"/>
              <w:right w:val="single" w:sz="4" w:space="0" w:color="auto"/>
            </w:tcBorders>
            <w:vAlign w:val="center"/>
            <w:hideMark/>
          </w:tcPr>
          <w:p w14:paraId="6A146D19" w14:textId="77777777" w:rsidR="005D372A" w:rsidRPr="00E0548A" w:rsidRDefault="005D372A" w:rsidP="005D372A">
            <w:pPr>
              <w:jc w:val="center"/>
              <w:rPr>
                <w:rFonts w:ascii="ＭＳ 明朝"/>
                <w:sz w:val="16"/>
                <w:szCs w:val="16"/>
              </w:rPr>
            </w:pPr>
            <w:r w:rsidRPr="00E0548A">
              <w:rPr>
                <w:rFonts w:ascii="ＭＳ 明朝" w:hint="eastAsia"/>
                <w:sz w:val="16"/>
                <w:szCs w:val="16"/>
              </w:rPr>
              <w:t>○</w:t>
            </w:r>
          </w:p>
        </w:tc>
        <w:tc>
          <w:tcPr>
            <w:tcW w:w="238" w:type="pct"/>
            <w:tcBorders>
              <w:top w:val="single" w:sz="4" w:space="0" w:color="auto"/>
              <w:left w:val="single" w:sz="4" w:space="0" w:color="auto"/>
              <w:bottom w:val="single" w:sz="4" w:space="0" w:color="auto"/>
              <w:right w:val="single" w:sz="4" w:space="0" w:color="auto"/>
            </w:tcBorders>
            <w:vAlign w:val="center"/>
            <w:hideMark/>
          </w:tcPr>
          <w:p w14:paraId="2CAA4CF9" w14:textId="77777777" w:rsidR="005D372A" w:rsidRPr="00E0548A" w:rsidRDefault="005D372A" w:rsidP="005D372A">
            <w:pPr>
              <w:jc w:val="center"/>
              <w:rPr>
                <w:rFonts w:ascii="ＭＳ 明朝"/>
                <w:sz w:val="16"/>
                <w:szCs w:val="16"/>
              </w:rPr>
            </w:pPr>
            <w:r w:rsidRPr="00E0548A">
              <w:rPr>
                <w:rFonts w:ascii="ＭＳ 明朝" w:hint="eastAsia"/>
                <w:sz w:val="16"/>
                <w:szCs w:val="16"/>
              </w:rPr>
              <w:t>○</w:t>
            </w:r>
          </w:p>
        </w:tc>
        <w:tc>
          <w:tcPr>
            <w:tcW w:w="222" w:type="pct"/>
            <w:tcBorders>
              <w:top w:val="single" w:sz="4" w:space="0" w:color="auto"/>
              <w:left w:val="single" w:sz="4" w:space="0" w:color="auto"/>
              <w:bottom w:val="single" w:sz="4" w:space="0" w:color="auto"/>
              <w:right w:val="single" w:sz="4" w:space="0" w:color="auto"/>
            </w:tcBorders>
          </w:tcPr>
          <w:p w14:paraId="1C57ADB9" w14:textId="77777777" w:rsidR="005D372A" w:rsidRPr="00E0548A" w:rsidRDefault="005D372A" w:rsidP="005D372A">
            <w:pPr>
              <w:jc w:val="center"/>
              <w:rPr>
                <w:rFonts w:ascii="ＭＳ 明朝"/>
                <w:sz w:val="16"/>
                <w:szCs w:val="16"/>
              </w:rPr>
            </w:pPr>
            <w:r w:rsidRPr="00E0548A">
              <w:rPr>
                <w:rFonts w:ascii="ＭＳ 明朝" w:hint="eastAsia"/>
                <w:sz w:val="16"/>
                <w:szCs w:val="16"/>
              </w:rPr>
              <w:t>○</w:t>
            </w:r>
          </w:p>
        </w:tc>
        <w:tc>
          <w:tcPr>
            <w:tcW w:w="222" w:type="pct"/>
            <w:tcBorders>
              <w:top w:val="single" w:sz="4" w:space="0" w:color="auto"/>
              <w:left w:val="single" w:sz="4" w:space="0" w:color="auto"/>
              <w:bottom w:val="single" w:sz="4" w:space="0" w:color="auto"/>
              <w:right w:val="single" w:sz="4" w:space="0" w:color="auto"/>
            </w:tcBorders>
            <w:shd w:val="clear" w:color="auto" w:fill="FFFFFF"/>
            <w:vAlign w:val="center"/>
          </w:tcPr>
          <w:p w14:paraId="6AB04DB3" w14:textId="77777777" w:rsidR="005D372A" w:rsidRPr="00E0548A" w:rsidRDefault="005D372A" w:rsidP="005D372A">
            <w:pPr>
              <w:jc w:val="center"/>
              <w:rPr>
                <w:rFonts w:ascii="ＭＳ 明朝"/>
                <w:sz w:val="16"/>
                <w:szCs w:val="16"/>
              </w:rPr>
            </w:pPr>
            <w:r w:rsidRPr="00E0548A">
              <w:rPr>
                <w:rFonts w:ascii="ＭＳ 明朝" w:hint="eastAsia"/>
                <w:sz w:val="16"/>
                <w:szCs w:val="16"/>
              </w:rPr>
              <w:t>○</w:t>
            </w:r>
          </w:p>
        </w:tc>
        <w:tc>
          <w:tcPr>
            <w:tcW w:w="220" w:type="pct"/>
            <w:tcBorders>
              <w:top w:val="single" w:sz="4" w:space="0" w:color="auto"/>
              <w:left w:val="single" w:sz="4" w:space="0" w:color="auto"/>
              <w:bottom w:val="single" w:sz="4" w:space="0" w:color="auto"/>
              <w:right w:val="single" w:sz="4" w:space="0" w:color="auto"/>
            </w:tcBorders>
            <w:vAlign w:val="center"/>
            <w:hideMark/>
          </w:tcPr>
          <w:p w14:paraId="08A1AE69" w14:textId="77777777" w:rsidR="005D372A" w:rsidRPr="00E0548A" w:rsidRDefault="005D372A" w:rsidP="005D372A">
            <w:pPr>
              <w:jc w:val="center"/>
              <w:rPr>
                <w:rFonts w:ascii="ＭＳ 明朝"/>
                <w:sz w:val="16"/>
                <w:szCs w:val="16"/>
              </w:rPr>
            </w:pPr>
            <w:r w:rsidRPr="00E0548A">
              <w:rPr>
                <w:rFonts w:ascii="ＭＳ 明朝" w:hint="eastAsia"/>
                <w:sz w:val="16"/>
                <w:szCs w:val="16"/>
              </w:rPr>
              <w:t>○</w:t>
            </w:r>
          </w:p>
        </w:tc>
        <w:tc>
          <w:tcPr>
            <w:tcW w:w="228" w:type="pct"/>
            <w:tcBorders>
              <w:top w:val="single" w:sz="4" w:space="0" w:color="auto"/>
              <w:left w:val="single" w:sz="4" w:space="0" w:color="auto"/>
              <w:bottom w:val="single" w:sz="4" w:space="0" w:color="auto"/>
              <w:right w:val="single" w:sz="4" w:space="0" w:color="auto"/>
            </w:tcBorders>
            <w:vAlign w:val="center"/>
            <w:hideMark/>
          </w:tcPr>
          <w:p w14:paraId="3DACB894" w14:textId="77777777" w:rsidR="005D372A" w:rsidRPr="00E0548A" w:rsidRDefault="005D372A" w:rsidP="005D372A">
            <w:pPr>
              <w:jc w:val="center"/>
              <w:rPr>
                <w:rFonts w:ascii="ＭＳ 明朝"/>
                <w:sz w:val="16"/>
                <w:szCs w:val="16"/>
              </w:rPr>
            </w:pPr>
            <w:r w:rsidRPr="00E0548A">
              <w:rPr>
                <w:rFonts w:ascii="ＭＳ 明朝" w:hint="eastAsia"/>
                <w:sz w:val="16"/>
                <w:szCs w:val="16"/>
              </w:rPr>
              <w:t>○</w:t>
            </w:r>
          </w:p>
        </w:tc>
        <w:tc>
          <w:tcPr>
            <w:tcW w:w="228" w:type="pct"/>
            <w:tcBorders>
              <w:top w:val="single" w:sz="4" w:space="0" w:color="auto"/>
              <w:left w:val="single" w:sz="4" w:space="0" w:color="auto"/>
              <w:bottom w:val="single" w:sz="4" w:space="0" w:color="auto"/>
              <w:right w:val="single" w:sz="4" w:space="0" w:color="auto"/>
            </w:tcBorders>
            <w:vAlign w:val="center"/>
            <w:hideMark/>
          </w:tcPr>
          <w:p w14:paraId="2631D5B7" w14:textId="77777777" w:rsidR="005D372A" w:rsidRPr="00E0548A" w:rsidRDefault="005D372A" w:rsidP="005D372A">
            <w:pPr>
              <w:jc w:val="center"/>
              <w:rPr>
                <w:rFonts w:ascii="ＭＳ 明朝"/>
                <w:sz w:val="16"/>
                <w:szCs w:val="16"/>
              </w:rPr>
            </w:pPr>
            <w:r w:rsidRPr="00E0548A">
              <w:rPr>
                <w:rFonts w:ascii="ＭＳ 明朝" w:hint="eastAsia"/>
                <w:sz w:val="16"/>
                <w:szCs w:val="16"/>
              </w:rPr>
              <w:t>○</w:t>
            </w:r>
          </w:p>
        </w:tc>
        <w:tc>
          <w:tcPr>
            <w:tcW w:w="228" w:type="pct"/>
            <w:tcBorders>
              <w:top w:val="single" w:sz="4" w:space="0" w:color="auto"/>
              <w:left w:val="single" w:sz="4" w:space="0" w:color="auto"/>
              <w:bottom w:val="single" w:sz="4" w:space="0" w:color="auto"/>
              <w:right w:val="single" w:sz="4" w:space="0" w:color="auto"/>
            </w:tcBorders>
            <w:vAlign w:val="center"/>
            <w:hideMark/>
          </w:tcPr>
          <w:p w14:paraId="60E0A00D" w14:textId="77777777" w:rsidR="005D372A" w:rsidRPr="00E0548A" w:rsidRDefault="005D372A" w:rsidP="005D372A">
            <w:pPr>
              <w:jc w:val="center"/>
              <w:rPr>
                <w:rFonts w:ascii="ＭＳ 明朝"/>
                <w:sz w:val="16"/>
                <w:szCs w:val="16"/>
              </w:rPr>
            </w:pPr>
            <w:r w:rsidRPr="00E0548A">
              <w:rPr>
                <w:rFonts w:ascii="ＭＳ 明朝" w:hint="eastAsia"/>
                <w:sz w:val="16"/>
                <w:szCs w:val="16"/>
              </w:rPr>
              <w:t>○</w:t>
            </w:r>
          </w:p>
        </w:tc>
        <w:tc>
          <w:tcPr>
            <w:tcW w:w="228" w:type="pct"/>
            <w:tcBorders>
              <w:top w:val="single" w:sz="4" w:space="0" w:color="auto"/>
              <w:left w:val="single" w:sz="4" w:space="0" w:color="auto"/>
              <w:bottom w:val="single" w:sz="4" w:space="0" w:color="auto"/>
              <w:right w:val="single" w:sz="4" w:space="0" w:color="auto"/>
            </w:tcBorders>
            <w:vAlign w:val="center"/>
            <w:hideMark/>
          </w:tcPr>
          <w:p w14:paraId="2468F302" w14:textId="77777777" w:rsidR="005D372A" w:rsidRPr="00E0548A" w:rsidRDefault="005D372A" w:rsidP="005D372A">
            <w:pPr>
              <w:jc w:val="center"/>
              <w:rPr>
                <w:rFonts w:ascii="ＭＳ 明朝"/>
                <w:sz w:val="16"/>
                <w:szCs w:val="16"/>
              </w:rPr>
            </w:pPr>
            <w:r w:rsidRPr="00E0548A">
              <w:rPr>
                <w:rFonts w:ascii="ＭＳ 明朝" w:hint="eastAsia"/>
                <w:sz w:val="16"/>
                <w:szCs w:val="16"/>
              </w:rPr>
              <w:t>○</w:t>
            </w:r>
          </w:p>
        </w:tc>
        <w:tc>
          <w:tcPr>
            <w:tcW w:w="228" w:type="pct"/>
            <w:tcBorders>
              <w:top w:val="single" w:sz="4" w:space="0" w:color="auto"/>
              <w:left w:val="single" w:sz="4" w:space="0" w:color="auto"/>
              <w:bottom w:val="single" w:sz="4" w:space="0" w:color="auto"/>
              <w:right w:val="single" w:sz="4" w:space="0" w:color="auto"/>
            </w:tcBorders>
            <w:vAlign w:val="center"/>
            <w:hideMark/>
          </w:tcPr>
          <w:p w14:paraId="693F56DC" w14:textId="77777777" w:rsidR="005D372A" w:rsidRPr="00E0548A" w:rsidRDefault="005D372A" w:rsidP="005D372A">
            <w:pPr>
              <w:jc w:val="center"/>
              <w:rPr>
                <w:rFonts w:ascii="ＭＳ 明朝"/>
                <w:sz w:val="16"/>
                <w:szCs w:val="16"/>
              </w:rPr>
            </w:pPr>
            <w:r w:rsidRPr="00E0548A">
              <w:rPr>
                <w:rFonts w:ascii="ＭＳ 明朝" w:hint="eastAsia"/>
                <w:sz w:val="16"/>
                <w:szCs w:val="16"/>
              </w:rPr>
              <w:t>○</w:t>
            </w:r>
          </w:p>
        </w:tc>
        <w:tc>
          <w:tcPr>
            <w:tcW w:w="259" w:type="pct"/>
            <w:tcBorders>
              <w:top w:val="single" w:sz="4" w:space="0" w:color="auto"/>
              <w:left w:val="single" w:sz="4" w:space="0" w:color="auto"/>
              <w:bottom w:val="single" w:sz="4" w:space="0" w:color="auto"/>
              <w:right w:val="single" w:sz="4" w:space="0" w:color="auto"/>
            </w:tcBorders>
            <w:vAlign w:val="center"/>
            <w:hideMark/>
          </w:tcPr>
          <w:p w14:paraId="3DF42C89" w14:textId="77777777" w:rsidR="005D372A" w:rsidRPr="00E0548A" w:rsidRDefault="005D372A" w:rsidP="005D372A">
            <w:pPr>
              <w:jc w:val="center"/>
              <w:rPr>
                <w:rFonts w:ascii="ＭＳ 明朝"/>
                <w:sz w:val="16"/>
                <w:szCs w:val="16"/>
              </w:rPr>
            </w:pPr>
            <w:r w:rsidRPr="00E0548A">
              <w:rPr>
                <w:rFonts w:ascii="ＭＳ 明朝" w:hint="eastAsia"/>
                <w:sz w:val="16"/>
                <w:szCs w:val="16"/>
              </w:rPr>
              <w:t>○</w:t>
            </w:r>
          </w:p>
        </w:tc>
        <w:tc>
          <w:tcPr>
            <w:tcW w:w="211" w:type="pct"/>
            <w:tcBorders>
              <w:top w:val="single" w:sz="4" w:space="0" w:color="auto"/>
              <w:left w:val="single" w:sz="4" w:space="0" w:color="auto"/>
              <w:bottom w:val="single" w:sz="4" w:space="0" w:color="auto"/>
              <w:right w:val="single" w:sz="4" w:space="0" w:color="auto"/>
            </w:tcBorders>
            <w:shd w:val="clear" w:color="auto" w:fill="FFFFFF"/>
            <w:vAlign w:val="center"/>
          </w:tcPr>
          <w:p w14:paraId="5B5D4BD9" w14:textId="77777777" w:rsidR="005D372A" w:rsidRPr="00E0548A" w:rsidRDefault="005D372A" w:rsidP="005D372A">
            <w:pPr>
              <w:jc w:val="center"/>
              <w:rPr>
                <w:rFonts w:ascii="ＭＳ 明朝"/>
                <w:sz w:val="16"/>
                <w:szCs w:val="16"/>
              </w:rPr>
            </w:pPr>
            <w:r w:rsidRPr="00E0548A">
              <w:rPr>
                <w:rFonts w:ascii="ＭＳ 明朝" w:hint="eastAsia"/>
                <w:sz w:val="16"/>
                <w:szCs w:val="16"/>
              </w:rPr>
              <w:t>○</w:t>
            </w:r>
          </w:p>
        </w:tc>
        <w:tc>
          <w:tcPr>
            <w:tcW w:w="226" w:type="pct"/>
            <w:tcBorders>
              <w:top w:val="single" w:sz="4" w:space="0" w:color="auto"/>
              <w:left w:val="single" w:sz="4" w:space="0" w:color="auto"/>
              <w:bottom w:val="single" w:sz="4" w:space="0" w:color="auto"/>
              <w:right w:val="single" w:sz="4" w:space="0" w:color="auto"/>
            </w:tcBorders>
            <w:shd w:val="clear" w:color="auto" w:fill="FFFFFF"/>
            <w:vAlign w:val="center"/>
          </w:tcPr>
          <w:p w14:paraId="2533B9FF" w14:textId="77777777" w:rsidR="005D372A" w:rsidRPr="00E0548A" w:rsidRDefault="005D372A" w:rsidP="005D372A">
            <w:pPr>
              <w:jc w:val="center"/>
              <w:rPr>
                <w:rFonts w:ascii="ＭＳ 明朝"/>
                <w:sz w:val="16"/>
                <w:szCs w:val="16"/>
              </w:rPr>
            </w:pPr>
            <w:r w:rsidRPr="00E0548A">
              <w:rPr>
                <w:rFonts w:ascii="ＭＳ 明朝" w:hint="eastAsia"/>
                <w:sz w:val="16"/>
                <w:szCs w:val="16"/>
              </w:rPr>
              <w:t>○</w:t>
            </w:r>
          </w:p>
        </w:tc>
        <w:tc>
          <w:tcPr>
            <w:tcW w:w="217" w:type="pct"/>
            <w:tcBorders>
              <w:top w:val="single" w:sz="4" w:space="0" w:color="auto"/>
              <w:left w:val="single" w:sz="4" w:space="0" w:color="auto"/>
              <w:bottom w:val="single" w:sz="4" w:space="0" w:color="auto"/>
              <w:right w:val="single" w:sz="4" w:space="0" w:color="auto"/>
            </w:tcBorders>
            <w:shd w:val="clear" w:color="auto" w:fill="FFFFFF"/>
            <w:vAlign w:val="center"/>
          </w:tcPr>
          <w:p w14:paraId="4C733045" w14:textId="77777777" w:rsidR="005D372A" w:rsidRPr="00E0548A" w:rsidRDefault="005D372A" w:rsidP="005D372A">
            <w:pPr>
              <w:jc w:val="center"/>
              <w:rPr>
                <w:rFonts w:ascii="ＭＳ 明朝"/>
                <w:sz w:val="16"/>
                <w:szCs w:val="16"/>
              </w:rPr>
            </w:pPr>
            <w:r w:rsidRPr="00E0548A">
              <w:rPr>
                <w:rFonts w:ascii="ＭＳ 明朝" w:hint="eastAsia"/>
                <w:sz w:val="16"/>
                <w:szCs w:val="16"/>
              </w:rPr>
              <w:t>○</w:t>
            </w:r>
          </w:p>
        </w:tc>
      </w:tr>
      <w:tr w:rsidR="001D6D10" w:rsidRPr="00E0548A" w14:paraId="540E2271" w14:textId="77777777" w:rsidTr="008B4B2B">
        <w:trPr>
          <w:trHeight w:val="19"/>
        </w:trPr>
        <w:tc>
          <w:tcPr>
            <w:tcW w:w="244" w:type="pct"/>
            <w:tcBorders>
              <w:top w:val="single" w:sz="4" w:space="0" w:color="auto"/>
              <w:left w:val="single" w:sz="4" w:space="0" w:color="auto"/>
              <w:bottom w:val="single" w:sz="4" w:space="0" w:color="auto"/>
              <w:right w:val="single" w:sz="4" w:space="0" w:color="auto"/>
            </w:tcBorders>
            <w:vAlign w:val="center"/>
          </w:tcPr>
          <w:p w14:paraId="46D01C9B" w14:textId="77777777" w:rsidR="005D372A" w:rsidRPr="00E0548A" w:rsidRDefault="005D372A" w:rsidP="005D372A">
            <w:pPr>
              <w:jc w:val="center"/>
              <w:rPr>
                <w:rFonts w:ascii="ＭＳ 明朝"/>
                <w:sz w:val="16"/>
                <w:szCs w:val="16"/>
              </w:rPr>
            </w:pPr>
            <w:r w:rsidRPr="00E0548A">
              <w:rPr>
                <w:rFonts w:ascii="ＭＳ 明朝" w:hint="eastAsia"/>
                <w:sz w:val="16"/>
                <w:szCs w:val="16"/>
              </w:rPr>
              <w:t>６</w:t>
            </w:r>
          </w:p>
        </w:tc>
        <w:tc>
          <w:tcPr>
            <w:tcW w:w="233" w:type="pct"/>
            <w:vMerge/>
            <w:tcBorders>
              <w:left w:val="single" w:sz="4" w:space="0" w:color="auto"/>
              <w:right w:val="single" w:sz="4" w:space="0" w:color="auto"/>
            </w:tcBorders>
            <w:vAlign w:val="center"/>
          </w:tcPr>
          <w:p w14:paraId="38E63DC0" w14:textId="77777777" w:rsidR="005D372A" w:rsidRPr="00E0548A" w:rsidRDefault="005D372A" w:rsidP="005D372A">
            <w:pPr>
              <w:jc w:val="center"/>
              <w:rPr>
                <w:rFonts w:ascii="ＭＳ 明朝"/>
                <w:sz w:val="16"/>
                <w:szCs w:val="16"/>
              </w:rPr>
            </w:pPr>
          </w:p>
        </w:tc>
        <w:tc>
          <w:tcPr>
            <w:tcW w:w="1110" w:type="pct"/>
            <w:tcBorders>
              <w:top w:val="single" w:sz="4" w:space="0" w:color="auto"/>
              <w:left w:val="single" w:sz="4" w:space="0" w:color="auto"/>
              <w:bottom w:val="single" w:sz="4" w:space="0" w:color="auto"/>
              <w:right w:val="single" w:sz="4" w:space="0" w:color="auto"/>
            </w:tcBorders>
            <w:vAlign w:val="center"/>
            <w:hideMark/>
          </w:tcPr>
          <w:p w14:paraId="73DBC79D" w14:textId="77777777" w:rsidR="005D372A" w:rsidRPr="00E0548A" w:rsidRDefault="005D372A" w:rsidP="005D372A">
            <w:pPr>
              <w:rPr>
                <w:rFonts w:ascii="ＭＳ 明朝"/>
                <w:sz w:val="16"/>
                <w:szCs w:val="16"/>
              </w:rPr>
            </w:pPr>
            <w:r w:rsidRPr="00E0548A">
              <w:rPr>
                <w:rFonts w:ascii="ＭＳ 明朝" w:hint="eastAsia"/>
                <w:sz w:val="16"/>
                <w:szCs w:val="16"/>
              </w:rPr>
              <w:t>消防保安課長</w:t>
            </w:r>
          </w:p>
        </w:tc>
        <w:tc>
          <w:tcPr>
            <w:tcW w:w="229" w:type="pct"/>
            <w:tcBorders>
              <w:top w:val="single" w:sz="4" w:space="0" w:color="auto"/>
              <w:left w:val="single" w:sz="4" w:space="0" w:color="auto"/>
              <w:bottom w:val="single" w:sz="4" w:space="0" w:color="auto"/>
              <w:right w:val="single" w:sz="4" w:space="0" w:color="auto"/>
            </w:tcBorders>
            <w:vAlign w:val="center"/>
            <w:hideMark/>
          </w:tcPr>
          <w:p w14:paraId="5185BC35" w14:textId="77777777" w:rsidR="005D372A" w:rsidRPr="00E0548A" w:rsidRDefault="005D372A" w:rsidP="005D372A">
            <w:pPr>
              <w:jc w:val="center"/>
              <w:rPr>
                <w:rFonts w:ascii="ＭＳ 明朝"/>
                <w:sz w:val="16"/>
                <w:szCs w:val="16"/>
              </w:rPr>
            </w:pPr>
            <w:r w:rsidRPr="00E0548A">
              <w:rPr>
                <w:rFonts w:ascii="ＭＳ 明朝" w:hint="eastAsia"/>
                <w:sz w:val="16"/>
                <w:szCs w:val="16"/>
              </w:rPr>
              <w:t>○</w:t>
            </w:r>
          </w:p>
        </w:tc>
        <w:tc>
          <w:tcPr>
            <w:tcW w:w="229" w:type="pct"/>
            <w:tcBorders>
              <w:top w:val="single" w:sz="4" w:space="0" w:color="auto"/>
              <w:left w:val="single" w:sz="4" w:space="0" w:color="auto"/>
              <w:bottom w:val="single" w:sz="4" w:space="0" w:color="auto"/>
              <w:right w:val="single" w:sz="4" w:space="0" w:color="auto"/>
            </w:tcBorders>
            <w:vAlign w:val="center"/>
            <w:hideMark/>
          </w:tcPr>
          <w:p w14:paraId="129225EF" w14:textId="77777777" w:rsidR="005D372A" w:rsidRPr="00E0548A" w:rsidRDefault="005D372A" w:rsidP="005D372A">
            <w:pPr>
              <w:jc w:val="center"/>
              <w:rPr>
                <w:rFonts w:ascii="ＭＳ 明朝"/>
                <w:sz w:val="16"/>
                <w:szCs w:val="16"/>
              </w:rPr>
            </w:pPr>
            <w:r w:rsidRPr="00E0548A">
              <w:rPr>
                <w:rFonts w:ascii="ＭＳ 明朝" w:hint="eastAsia"/>
                <w:sz w:val="16"/>
                <w:szCs w:val="16"/>
              </w:rPr>
              <w:t>○</w:t>
            </w:r>
          </w:p>
        </w:tc>
        <w:tc>
          <w:tcPr>
            <w:tcW w:w="238" w:type="pct"/>
            <w:tcBorders>
              <w:top w:val="single" w:sz="4" w:space="0" w:color="auto"/>
              <w:left w:val="single" w:sz="4" w:space="0" w:color="auto"/>
              <w:bottom w:val="single" w:sz="4" w:space="0" w:color="auto"/>
              <w:right w:val="single" w:sz="4" w:space="0" w:color="auto"/>
            </w:tcBorders>
            <w:vAlign w:val="center"/>
            <w:hideMark/>
          </w:tcPr>
          <w:p w14:paraId="0BC5EBCA" w14:textId="77777777" w:rsidR="005D372A" w:rsidRPr="00E0548A" w:rsidRDefault="005D372A" w:rsidP="005D372A">
            <w:pPr>
              <w:jc w:val="center"/>
              <w:rPr>
                <w:rFonts w:ascii="ＭＳ 明朝"/>
                <w:sz w:val="16"/>
                <w:szCs w:val="16"/>
              </w:rPr>
            </w:pPr>
            <w:r w:rsidRPr="00E0548A">
              <w:rPr>
                <w:rFonts w:ascii="ＭＳ 明朝" w:hint="eastAsia"/>
                <w:sz w:val="16"/>
                <w:szCs w:val="16"/>
              </w:rPr>
              <w:t>○</w:t>
            </w:r>
          </w:p>
        </w:tc>
        <w:tc>
          <w:tcPr>
            <w:tcW w:w="222" w:type="pct"/>
            <w:tcBorders>
              <w:top w:val="single" w:sz="4" w:space="0" w:color="auto"/>
              <w:left w:val="single" w:sz="4" w:space="0" w:color="auto"/>
              <w:bottom w:val="single" w:sz="4" w:space="0" w:color="auto"/>
              <w:right w:val="single" w:sz="4" w:space="0" w:color="auto"/>
            </w:tcBorders>
          </w:tcPr>
          <w:p w14:paraId="42F34D12" w14:textId="77777777" w:rsidR="005D372A" w:rsidRPr="00E0548A" w:rsidRDefault="005D372A" w:rsidP="005D372A">
            <w:pPr>
              <w:jc w:val="center"/>
              <w:rPr>
                <w:rFonts w:ascii="ＭＳ 明朝"/>
                <w:sz w:val="16"/>
                <w:szCs w:val="16"/>
              </w:rPr>
            </w:pPr>
            <w:r w:rsidRPr="00E0548A">
              <w:rPr>
                <w:rFonts w:ascii="ＭＳ 明朝" w:hint="eastAsia"/>
                <w:sz w:val="16"/>
                <w:szCs w:val="16"/>
              </w:rPr>
              <w:t>○</w:t>
            </w:r>
          </w:p>
        </w:tc>
        <w:tc>
          <w:tcPr>
            <w:tcW w:w="222" w:type="pct"/>
            <w:tcBorders>
              <w:top w:val="single" w:sz="4" w:space="0" w:color="auto"/>
              <w:left w:val="single" w:sz="4" w:space="0" w:color="auto"/>
              <w:bottom w:val="single" w:sz="4" w:space="0" w:color="auto"/>
              <w:right w:val="single" w:sz="4" w:space="0" w:color="auto"/>
            </w:tcBorders>
            <w:shd w:val="clear" w:color="auto" w:fill="FFFFFF"/>
            <w:vAlign w:val="center"/>
          </w:tcPr>
          <w:p w14:paraId="0AE07738" w14:textId="77777777" w:rsidR="005D372A" w:rsidRPr="00E0548A" w:rsidRDefault="005D372A" w:rsidP="005D372A">
            <w:pPr>
              <w:jc w:val="center"/>
              <w:rPr>
                <w:rFonts w:ascii="ＭＳ 明朝"/>
                <w:sz w:val="16"/>
                <w:szCs w:val="16"/>
              </w:rPr>
            </w:pPr>
            <w:r w:rsidRPr="00E0548A">
              <w:rPr>
                <w:rFonts w:ascii="ＭＳ 明朝" w:hint="eastAsia"/>
                <w:sz w:val="16"/>
                <w:szCs w:val="16"/>
              </w:rPr>
              <w:t>○</w:t>
            </w:r>
          </w:p>
        </w:tc>
        <w:tc>
          <w:tcPr>
            <w:tcW w:w="220" w:type="pct"/>
            <w:tcBorders>
              <w:top w:val="single" w:sz="4" w:space="0" w:color="auto"/>
              <w:left w:val="single" w:sz="4" w:space="0" w:color="auto"/>
              <w:bottom w:val="single" w:sz="4" w:space="0" w:color="auto"/>
              <w:right w:val="single" w:sz="4" w:space="0" w:color="auto"/>
            </w:tcBorders>
            <w:vAlign w:val="center"/>
            <w:hideMark/>
          </w:tcPr>
          <w:p w14:paraId="604A645A" w14:textId="77777777" w:rsidR="005D372A" w:rsidRPr="00E0548A" w:rsidRDefault="005D372A" w:rsidP="005D372A">
            <w:pPr>
              <w:jc w:val="center"/>
              <w:rPr>
                <w:rFonts w:ascii="ＭＳ 明朝"/>
                <w:sz w:val="16"/>
                <w:szCs w:val="16"/>
              </w:rPr>
            </w:pPr>
            <w:r w:rsidRPr="00E0548A">
              <w:rPr>
                <w:rFonts w:ascii="ＭＳ 明朝" w:hint="eastAsia"/>
                <w:sz w:val="16"/>
                <w:szCs w:val="16"/>
              </w:rPr>
              <w:t>○</w:t>
            </w:r>
          </w:p>
        </w:tc>
        <w:tc>
          <w:tcPr>
            <w:tcW w:w="228" w:type="pct"/>
            <w:tcBorders>
              <w:top w:val="single" w:sz="4" w:space="0" w:color="auto"/>
              <w:left w:val="single" w:sz="4" w:space="0" w:color="auto"/>
              <w:bottom w:val="single" w:sz="4" w:space="0" w:color="auto"/>
              <w:right w:val="single" w:sz="4" w:space="0" w:color="auto"/>
            </w:tcBorders>
            <w:vAlign w:val="center"/>
            <w:hideMark/>
          </w:tcPr>
          <w:p w14:paraId="20F8B5B3" w14:textId="77777777" w:rsidR="005D372A" w:rsidRPr="00E0548A" w:rsidRDefault="005D372A" w:rsidP="005D372A">
            <w:pPr>
              <w:jc w:val="center"/>
              <w:rPr>
                <w:rFonts w:ascii="ＭＳ 明朝"/>
                <w:sz w:val="16"/>
                <w:szCs w:val="16"/>
              </w:rPr>
            </w:pPr>
            <w:r w:rsidRPr="00E0548A">
              <w:rPr>
                <w:rFonts w:ascii="ＭＳ 明朝" w:hint="eastAsia"/>
                <w:sz w:val="16"/>
                <w:szCs w:val="16"/>
              </w:rPr>
              <w:t>○</w:t>
            </w:r>
          </w:p>
        </w:tc>
        <w:tc>
          <w:tcPr>
            <w:tcW w:w="228" w:type="pct"/>
            <w:tcBorders>
              <w:top w:val="single" w:sz="4" w:space="0" w:color="auto"/>
              <w:left w:val="single" w:sz="4" w:space="0" w:color="auto"/>
              <w:bottom w:val="single" w:sz="4" w:space="0" w:color="auto"/>
              <w:right w:val="single" w:sz="4" w:space="0" w:color="auto"/>
            </w:tcBorders>
            <w:vAlign w:val="center"/>
            <w:hideMark/>
          </w:tcPr>
          <w:p w14:paraId="005F682D" w14:textId="77777777" w:rsidR="005D372A" w:rsidRPr="00E0548A" w:rsidRDefault="005D372A" w:rsidP="005D372A">
            <w:pPr>
              <w:jc w:val="center"/>
              <w:rPr>
                <w:rFonts w:ascii="ＭＳ 明朝"/>
                <w:sz w:val="16"/>
                <w:szCs w:val="16"/>
              </w:rPr>
            </w:pPr>
            <w:r w:rsidRPr="00E0548A">
              <w:rPr>
                <w:rFonts w:ascii="ＭＳ 明朝" w:hint="eastAsia"/>
                <w:sz w:val="16"/>
                <w:szCs w:val="16"/>
              </w:rPr>
              <w:t>○</w:t>
            </w:r>
          </w:p>
        </w:tc>
        <w:tc>
          <w:tcPr>
            <w:tcW w:w="228" w:type="pct"/>
            <w:tcBorders>
              <w:top w:val="single" w:sz="4" w:space="0" w:color="auto"/>
              <w:left w:val="single" w:sz="4" w:space="0" w:color="auto"/>
              <w:bottom w:val="single" w:sz="4" w:space="0" w:color="auto"/>
              <w:right w:val="single" w:sz="4" w:space="0" w:color="auto"/>
            </w:tcBorders>
            <w:vAlign w:val="center"/>
            <w:hideMark/>
          </w:tcPr>
          <w:p w14:paraId="672C3926" w14:textId="77777777" w:rsidR="005D372A" w:rsidRPr="00E0548A" w:rsidRDefault="005D372A" w:rsidP="005D372A">
            <w:pPr>
              <w:jc w:val="center"/>
              <w:rPr>
                <w:rFonts w:ascii="ＭＳ 明朝"/>
                <w:sz w:val="16"/>
                <w:szCs w:val="16"/>
              </w:rPr>
            </w:pPr>
            <w:r w:rsidRPr="00E0548A">
              <w:rPr>
                <w:rFonts w:ascii="ＭＳ 明朝" w:hint="eastAsia"/>
                <w:sz w:val="16"/>
                <w:szCs w:val="16"/>
              </w:rPr>
              <w:t>○</w:t>
            </w:r>
          </w:p>
        </w:tc>
        <w:tc>
          <w:tcPr>
            <w:tcW w:w="228" w:type="pct"/>
            <w:tcBorders>
              <w:top w:val="single" w:sz="4" w:space="0" w:color="auto"/>
              <w:left w:val="single" w:sz="4" w:space="0" w:color="auto"/>
              <w:bottom w:val="single" w:sz="4" w:space="0" w:color="auto"/>
              <w:right w:val="single" w:sz="4" w:space="0" w:color="auto"/>
            </w:tcBorders>
            <w:vAlign w:val="center"/>
            <w:hideMark/>
          </w:tcPr>
          <w:p w14:paraId="2699467E" w14:textId="77777777" w:rsidR="005D372A" w:rsidRPr="00E0548A" w:rsidRDefault="005D372A" w:rsidP="005D372A">
            <w:pPr>
              <w:jc w:val="center"/>
              <w:rPr>
                <w:rFonts w:ascii="ＭＳ 明朝"/>
                <w:sz w:val="16"/>
                <w:szCs w:val="16"/>
              </w:rPr>
            </w:pPr>
            <w:r w:rsidRPr="00E0548A">
              <w:rPr>
                <w:rFonts w:ascii="ＭＳ 明朝" w:hint="eastAsia"/>
                <w:sz w:val="16"/>
                <w:szCs w:val="16"/>
              </w:rPr>
              <w:t>○</w:t>
            </w:r>
          </w:p>
        </w:tc>
        <w:tc>
          <w:tcPr>
            <w:tcW w:w="228" w:type="pct"/>
            <w:tcBorders>
              <w:top w:val="single" w:sz="4" w:space="0" w:color="auto"/>
              <w:left w:val="single" w:sz="4" w:space="0" w:color="auto"/>
              <w:bottom w:val="single" w:sz="4" w:space="0" w:color="auto"/>
              <w:right w:val="single" w:sz="4" w:space="0" w:color="auto"/>
            </w:tcBorders>
            <w:vAlign w:val="center"/>
            <w:hideMark/>
          </w:tcPr>
          <w:p w14:paraId="61320FE9" w14:textId="77777777" w:rsidR="005D372A" w:rsidRPr="00E0548A" w:rsidRDefault="005D372A" w:rsidP="005D372A">
            <w:pPr>
              <w:jc w:val="center"/>
              <w:rPr>
                <w:rFonts w:ascii="ＭＳ 明朝"/>
                <w:sz w:val="16"/>
                <w:szCs w:val="16"/>
              </w:rPr>
            </w:pPr>
            <w:r w:rsidRPr="00E0548A">
              <w:rPr>
                <w:rFonts w:ascii="ＭＳ 明朝" w:hint="eastAsia"/>
                <w:sz w:val="16"/>
                <w:szCs w:val="16"/>
              </w:rPr>
              <w:t>○</w:t>
            </w:r>
          </w:p>
        </w:tc>
        <w:tc>
          <w:tcPr>
            <w:tcW w:w="259" w:type="pct"/>
            <w:tcBorders>
              <w:top w:val="single" w:sz="4" w:space="0" w:color="auto"/>
              <w:left w:val="single" w:sz="4" w:space="0" w:color="auto"/>
              <w:bottom w:val="single" w:sz="4" w:space="0" w:color="auto"/>
              <w:right w:val="single" w:sz="4" w:space="0" w:color="auto"/>
            </w:tcBorders>
            <w:vAlign w:val="center"/>
            <w:hideMark/>
          </w:tcPr>
          <w:p w14:paraId="58994A11" w14:textId="77777777" w:rsidR="005D372A" w:rsidRPr="00E0548A" w:rsidRDefault="005D372A" w:rsidP="005D372A">
            <w:pPr>
              <w:jc w:val="center"/>
              <w:rPr>
                <w:rFonts w:ascii="ＭＳ 明朝"/>
                <w:sz w:val="16"/>
                <w:szCs w:val="16"/>
              </w:rPr>
            </w:pPr>
            <w:r w:rsidRPr="00E0548A">
              <w:rPr>
                <w:rFonts w:ascii="ＭＳ 明朝" w:hint="eastAsia"/>
                <w:sz w:val="16"/>
                <w:szCs w:val="16"/>
              </w:rPr>
              <w:t>○</w:t>
            </w:r>
          </w:p>
        </w:tc>
        <w:tc>
          <w:tcPr>
            <w:tcW w:w="211" w:type="pct"/>
            <w:tcBorders>
              <w:top w:val="single" w:sz="4" w:space="0" w:color="auto"/>
              <w:left w:val="single" w:sz="4" w:space="0" w:color="auto"/>
              <w:bottom w:val="single" w:sz="4" w:space="0" w:color="auto"/>
              <w:right w:val="single" w:sz="4" w:space="0" w:color="auto"/>
            </w:tcBorders>
            <w:shd w:val="clear" w:color="auto" w:fill="FFFFFF"/>
            <w:vAlign w:val="center"/>
          </w:tcPr>
          <w:p w14:paraId="0BBB41A6" w14:textId="77777777" w:rsidR="005D372A" w:rsidRPr="00E0548A" w:rsidRDefault="005D372A" w:rsidP="005D372A">
            <w:pPr>
              <w:jc w:val="center"/>
              <w:rPr>
                <w:rFonts w:ascii="ＭＳ 明朝"/>
                <w:sz w:val="16"/>
                <w:szCs w:val="16"/>
              </w:rPr>
            </w:pPr>
            <w:r w:rsidRPr="00E0548A">
              <w:rPr>
                <w:rFonts w:ascii="ＭＳ 明朝" w:hint="eastAsia"/>
                <w:sz w:val="16"/>
                <w:szCs w:val="16"/>
              </w:rPr>
              <w:t>○</w:t>
            </w:r>
          </w:p>
        </w:tc>
        <w:tc>
          <w:tcPr>
            <w:tcW w:w="226" w:type="pct"/>
            <w:tcBorders>
              <w:top w:val="single" w:sz="4" w:space="0" w:color="auto"/>
              <w:left w:val="single" w:sz="4" w:space="0" w:color="auto"/>
              <w:bottom w:val="single" w:sz="4" w:space="0" w:color="auto"/>
              <w:right w:val="single" w:sz="4" w:space="0" w:color="auto"/>
            </w:tcBorders>
            <w:shd w:val="clear" w:color="auto" w:fill="FFFFFF"/>
            <w:vAlign w:val="center"/>
          </w:tcPr>
          <w:p w14:paraId="29D23E1F" w14:textId="77777777" w:rsidR="005D372A" w:rsidRPr="00E0548A" w:rsidRDefault="005D372A" w:rsidP="005D372A">
            <w:pPr>
              <w:jc w:val="center"/>
              <w:rPr>
                <w:rFonts w:ascii="ＭＳ 明朝"/>
                <w:sz w:val="16"/>
                <w:szCs w:val="16"/>
              </w:rPr>
            </w:pPr>
            <w:r w:rsidRPr="00E0548A">
              <w:rPr>
                <w:rFonts w:ascii="ＭＳ 明朝" w:hint="eastAsia"/>
                <w:sz w:val="16"/>
                <w:szCs w:val="16"/>
              </w:rPr>
              <w:t>○</w:t>
            </w:r>
          </w:p>
        </w:tc>
        <w:tc>
          <w:tcPr>
            <w:tcW w:w="217" w:type="pct"/>
            <w:tcBorders>
              <w:top w:val="single" w:sz="4" w:space="0" w:color="auto"/>
              <w:left w:val="single" w:sz="4" w:space="0" w:color="auto"/>
              <w:bottom w:val="single" w:sz="4" w:space="0" w:color="auto"/>
              <w:right w:val="single" w:sz="4" w:space="0" w:color="auto"/>
            </w:tcBorders>
            <w:shd w:val="clear" w:color="auto" w:fill="FFFFFF"/>
            <w:vAlign w:val="center"/>
          </w:tcPr>
          <w:p w14:paraId="01A5E350" w14:textId="77777777" w:rsidR="005D372A" w:rsidRPr="00E0548A" w:rsidRDefault="005D372A" w:rsidP="005D372A">
            <w:pPr>
              <w:jc w:val="center"/>
              <w:rPr>
                <w:rFonts w:ascii="ＭＳ 明朝"/>
                <w:sz w:val="16"/>
                <w:szCs w:val="16"/>
              </w:rPr>
            </w:pPr>
            <w:r w:rsidRPr="00E0548A">
              <w:rPr>
                <w:rFonts w:ascii="ＭＳ 明朝" w:hint="eastAsia"/>
                <w:sz w:val="16"/>
                <w:szCs w:val="16"/>
              </w:rPr>
              <w:t>○</w:t>
            </w:r>
          </w:p>
        </w:tc>
      </w:tr>
      <w:tr w:rsidR="001D6D10" w:rsidRPr="00E0548A" w14:paraId="0610C7D9" w14:textId="77777777" w:rsidTr="008B4B2B">
        <w:trPr>
          <w:trHeight w:val="19"/>
        </w:trPr>
        <w:tc>
          <w:tcPr>
            <w:tcW w:w="244" w:type="pct"/>
            <w:tcBorders>
              <w:top w:val="single" w:sz="4" w:space="0" w:color="auto"/>
              <w:left w:val="single" w:sz="4" w:space="0" w:color="auto"/>
              <w:bottom w:val="single" w:sz="4" w:space="0" w:color="auto"/>
              <w:right w:val="single" w:sz="4" w:space="0" w:color="auto"/>
            </w:tcBorders>
            <w:vAlign w:val="center"/>
          </w:tcPr>
          <w:p w14:paraId="3D4C339A" w14:textId="77777777" w:rsidR="005D372A" w:rsidRPr="00E0548A" w:rsidRDefault="005D372A" w:rsidP="005D372A">
            <w:pPr>
              <w:jc w:val="center"/>
              <w:rPr>
                <w:rFonts w:ascii="ＭＳ 明朝"/>
                <w:sz w:val="16"/>
                <w:szCs w:val="16"/>
              </w:rPr>
            </w:pPr>
            <w:r w:rsidRPr="00E0548A">
              <w:rPr>
                <w:rFonts w:ascii="ＭＳ 明朝" w:hint="eastAsia"/>
                <w:sz w:val="16"/>
                <w:szCs w:val="16"/>
              </w:rPr>
              <w:t>７</w:t>
            </w:r>
          </w:p>
        </w:tc>
        <w:tc>
          <w:tcPr>
            <w:tcW w:w="233" w:type="pct"/>
            <w:vMerge/>
            <w:tcBorders>
              <w:left w:val="single" w:sz="4" w:space="0" w:color="auto"/>
              <w:right w:val="single" w:sz="4" w:space="0" w:color="auto"/>
            </w:tcBorders>
            <w:vAlign w:val="center"/>
          </w:tcPr>
          <w:p w14:paraId="2F646520" w14:textId="77777777" w:rsidR="005D372A" w:rsidRPr="00E0548A" w:rsidRDefault="005D372A" w:rsidP="005D372A">
            <w:pPr>
              <w:jc w:val="center"/>
              <w:rPr>
                <w:rFonts w:ascii="ＭＳ 明朝"/>
                <w:sz w:val="16"/>
                <w:szCs w:val="16"/>
              </w:rPr>
            </w:pPr>
          </w:p>
        </w:tc>
        <w:tc>
          <w:tcPr>
            <w:tcW w:w="1110" w:type="pct"/>
            <w:tcBorders>
              <w:top w:val="single" w:sz="4" w:space="0" w:color="auto"/>
              <w:left w:val="single" w:sz="4" w:space="0" w:color="auto"/>
              <w:bottom w:val="single" w:sz="4" w:space="0" w:color="auto"/>
              <w:right w:val="single" w:sz="4" w:space="0" w:color="auto"/>
            </w:tcBorders>
            <w:vAlign w:val="center"/>
            <w:hideMark/>
          </w:tcPr>
          <w:p w14:paraId="39884FB9" w14:textId="77777777" w:rsidR="005D372A" w:rsidRPr="00E0548A" w:rsidRDefault="005D372A" w:rsidP="005D372A">
            <w:pPr>
              <w:rPr>
                <w:rFonts w:ascii="ＭＳ 明朝"/>
                <w:sz w:val="16"/>
                <w:szCs w:val="16"/>
              </w:rPr>
            </w:pPr>
            <w:r w:rsidRPr="00E0548A">
              <w:rPr>
                <w:rFonts w:ascii="ＭＳ 明朝" w:hint="eastAsia"/>
                <w:sz w:val="16"/>
                <w:szCs w:val="16"/>
              </w:rPr>
              <w:t>政策企画総務課長</w:t>
            </w:r>
          </w:p>
        </w:tc>
        <w:tc>
          <w:tcPr>
            <w:tcW w:w="229" w:type="pct"/>
            <w:tcBorders>
              <w:top w:val="single" w:sz="4" w:space="0" w:color="auto"/>
              <w:left w:val="single" w:sz="4" w:space="0" w:color="auto"/>
              <w:bottom w:val="single" w:sz="4" w:space="0" w:color="auto"/>
              <w:right w:val="single" w:sz="4" w:space="0" w:color="auto"/>
            </w:tcBorders>
            <w:vAlign w:val="center"/>
            <w:hideMark/>
          </w:tcPr>
          <w:p w14:paraId="3D67308B" w14:textId="77777777" w:rsidR="005D372A" w:rsidRPr="00E0548A" w:rsidRDefault="005D372A" w:rsidP="005D372A">
            <w:pPr>
              <w:jc w:val="center"/>
              <w:rPr>
                <w:rFonts w:ascii="ＭＳ 明朝"/>
                <w:sz w:val="16"/>
                <w:szCs w:val="16"/>
              </w:rPr>
            </w:pPr>
            <w:r w:rsidRPr="00E0548A">
              <w:rPr>
                <w:rFonts w:ascii="ＭＳ 明朝" w:hint="eastAsia"/>
                <w:sz w:val="16"/>
                <w:szCs w:val="16"/>
              </w:rPr>
              <w:t>○</w:t>
            </w:r>
          </w:p>
        </w:tc>
        <w:tc>
          <w:tcPr>
            <w:tcW w:w="229" w:type="pct"/>
            <w:tcBorders>
              <w:top w:val="single" w:sz="4" w:space="0" w:color="auto"/>
              <w:left w:val="single" w:sz="4" w:space="0" w:color="auto"/>
              <w:bottom w:val="single" w:sz="4" w:space="0" w:color="auto"/>
              <w:right w:val="single" w:sz="4" w:space="0" w:color="auto"/>
            </w:tcBorders>
            <w:vAlign w:val="center"/>
          </w:tcPr>
          <w:p w14:paraId="3ABE1126" w14:textId="77777777" w:rsidR="005D372A" w:rsidRPr="00E0548A" w:rsidRDefault="005D372A" w:rsidP="005D372A">
            <w:pPr>
              <w:jc w:val="center"/>
              <w:rPr>
                <w:rFonts w:ascii="ＭＳ 明朝"/>
                <w:sz w:val="16"/>
                <w:szCs w:val="16"/>
              </w:rPr>
            </w:pPr>
          </w:p>
        </w:tc>
        <w:tc>
          <w:tcPr>
            <w:tcW w:w="238" w:type="pct"/>
            <w:tcBorders>
              <w:top w:val="single" w:sz="4" w:space="0" w:color="auto"/>
              <w:left w:val="single" w:sz="4" w:space="0" w:color="auto"/>
              <w:bottom w:val="single" w:sz="4" w:space="0" w:color="auto"/>
              <w:right w:val="single" w:sz="4" w:space="0" w:color="auto"/>
            </w:tcBorders>
            <w:vAlign w:val="center"/>
          </w:tcPr>
          <w:p w14:paraId="28A4B1AD" w14:textId="77777777" w:rsidR="005D372A" w:rsidRPr="00E0548A" w:rsidRDefault="005D372A" w:rsidP="005D372A">
            <w:pPr>
              <w:jc w:val="center"/>
              <w:rPr>
                <w:rFonts w:ascii="ＭＳ 明朝"/>
                <w:sz w:val="16"/>
                <w:szCs w:val="16"/>
              </w:rPr>
            </w:pPr>
          </w:p>
        </w:tc>
        <w:tc>
          <w:tcPr>
            <w:tcW w:w="222" w:type="pct"/>
            <w:tcBorders>
              <w:top w:val="single" w:sz="4" w:space="0" w:color="auto"/>
              <w:left w:val="single" w:sz="4" w:space="0" w:color="auto"/>
              <w:bottom w:val="single" w:sz="4" w:space="0" w:color="auto"/>
              <w:right w:val="single" w:sz="4" w:space="0" w:color="auto"/>
            </w:tcBorders>
          </w:tcPr>
          <w:p w14:paraId="51410FA4" w14:textId="77777777" w:rsidR="005D372A" w:rsidRPr="00E0548A" w:rsidRDefault="005D372A" w:rsidP="005D372A">
            <w:pPr>
              <w:jc w:val="center"/>
              <w:rPr>
                <w:rFonts w:ascii="ＭＳ 明朝"/>
                <w:sz w:val="16"/>
                <w:szCs w:val="16"/>
              </w:rPr>
            </w:pPr>
            <w:r w:rsidRPr="00E0548A">
              <w:rPr>
                <w:rFonts w:ascii="ＭＳ 明朝" w:hint="eastAsia"/>
                <w:sz w:val="16"/>
                <w:szCs w:val="16"/>
              </w:rPr>
              <w:t>○</w:t>
            </w:r>
          </w:p>
        </w:tc>
        <w:tc>
          <w:tcPr>
            <w:tcW w:w="222" w:type="pct"/>
            <w:tcBorders>
              <w:top w:val="single" w:sz="4" w:space="0" w:color="auto"/>
              <w:left w:val="single" w:sz="4" w:space="0" w:color="auto"/>
              <w:bottom w:val="single" w:sz="4" w:space="0" w:color="auto"/>
              <w:right w:val="single" w:sz="4" w:space="0" w:color="auto"/>
            </w:tcBorders>
            <w:shd w:val="clear" w:color="auto" w:fill="FFFFFF"/>
            <w:vAlign w:val="center"/>
          </w:tcPr>
          <w:p w14:paraId="4801DF98" w14:textId="77777777" w:rsidR="005D372A" w:rsidRPr="00E0548A" w:rsidRDefault="005D372A" w:rsidP="005D372A">
            <w:pPr>
              <w:jc w:val="center"/>
              <w:rPr>
                <w:rFonts w:ascii="ＭＳ 明朝"/>
                <w:sz w:val="16"/>
                <w:szCs w:val="16"/>
              </w:rPr>
            </w:pPr>
          </w:p>
        </w:tc>
        <w:tc>
          <w:tcPr>
            <w:tcW w:w="220" w:type="pct"/>
            <w:tcBorders>
              <w:top w:val="single" w:sz="4" w:space="0" w:color="auto"/>
              <w:left w:val="single" w:sz="4" w:space="0" w:color="auto"/>
              <w:bottom w:val="single" w:sz="4" w:space="0" w:color="auto"/>
              <w:right w:val="single" w:sz="4" w:space="0" w:color="auto"/>
            </w:tcBorders>
            <w:vAlign w:val="center"/>
          </w:tcPr>
          <w:p w14:paraId="0AEB9BF8" w14:textId="77777777" w:rsidR="005D372A" w:rsidRPr="00E0548A" w:rsidRDefault="005D372A" w:rsidP="005D372A">
            <w:pPr>
              <w:jc w:val="center"/>
              <w:rPr>
                <w:rFonts w:ascii="ＭＳ 明朝"/>
                <w:sz w:val="16"/>
                <w:szCs w:val="16"/>
              </w:rPr>
            </w:pPr>
          </w:p>
        </w:tc>
        <w:tc>
          <w:tcPr>
            <w:tcW w:w="228" w:type="pct"/>
            <w:tcBorders>
              <w:top w:val="single" w:sz="4" w:space="0" w:color="auto"/>
              <w:left w:val="single" w:sz="4" w:space="0" w:color="auto"/>
              <w:bottom w:val="single" w:sz="4" w:space="0" w:color="auto"/>
              <w:right w:val="single" w:sz="4" w:space="0" w:color="auto"/>
            </w:tcBorders>
            <w:vAlign w:val="center"/>
          </w:tcPr>
          <w:p w14:paraId="0BCB3317" w14:textId="77777777" w:rsidR="005D372A" w:rsidRPr="00E0548A" w:rsidRDefault="005D372A" w:rsidP="005D372A">
            <w:pPr>
              <w:jc w:val="center"/>
              <w:rPr>
                <w:rFonts w:ascii="ＭＳ 明朝"/>
                <w:sz w:val="16"/>
                <w:szCs w:val="16"/>
              </w:rPr>
            </w:pPr>
          </w:p>
        </w:tc>
        <w:tc>
          <w:tcPr>
            <w:tcW w:w="228" w:type="pct"/>
            <w:tcBorders>
              <w:top w:val="single" w:sz="4" w:space="0" w:color="auto"/>
              <w:left w:val="single" w:sz="4" w:space="0" w:color="auto"/>
              <w:bottom w:val="single" w:sz="4" w:space="0" w:color="auto"/>
              <w:right w:val="single" w:sz="4" w:space="0" w:color="auto"/>
            </w:tcBorders>
            <w:vAlign w:val="center"/>
          </w:tcPr>
          <w:p w14:paraId="0D73C377" w14:textId="77777777" w:rsidR="005D372A" w:rsidRPr="00E0548A" w:rsidRDefault="005D372A" w:rsidP="005D372A">
            <w:pPr>
              <w:jc w:val="center"/>
              <w:rPr>
                <w:rFonts w:ascii="ＭＳ 明朝"/>
                <w:sz w:val="16"/>
                <w:szCs w:val="16"/>
              </w:rPr>
            </w:pPr>
          </w:p>
        </w:tc>
        <w:tc>
          <w:tcPr>
            <w:tcW w:w="228" w:type="pct"/>
            <w:tcBorders>
              <w:top w:val="single" w:sz="4" w:space="0" w:color="auto"/>
              <w:left w:val="single" w:sz="4" w:space="0" w:color="auto"/>
              <w:bottom w:val="single" w:sz="4" w:space="0" w:color="auto"/>
              <w:right w:val="single" w:sz="4" w:space="0" w:color="auto"/>
            </w:tcBorders>
            <w:vAlign w:val="center"/>
          </w:tcPr>
          <w:p w14:paraId="2D1E51FF" w14:textId="77777777" w:rsidR="005D372A" w:rsidRPr="00E0548A" w:rsidRDefault="005D372A" w:rsidP="005D372A">
            <w:pPr>
              <w:jc w:val="center"/>
              <w:rPr>
                <w:rFonts w:ascii="ＭＳ 明朝"/>
                <w:sz w:val="16"/>
                <w:szCs w:val="16"/>
              </w:rPr>
            </w:pPr>
          </w:p>
        </w:tc>
        <w:tc>
          <w:tcPr>
            <w:tcW w:w="228" w:type="pct"/>
            <w:tcBorders>
              <w:top w:val="single" w:sz="4" w:space="0" w:color="auto"/>
              <w:left w:val="single" w:sz="4" w:space="0" w:color="auto"/>
              <w:bottom w:val="single" w:sz="4" w:space="0" w:color="auto"/>
              <w:right w:val="single" w:sz="4" w:space="0" w:color="auto"/>
            </w:tcBorders>
            <w:vAlign w:val="center"/>
          </w:tcPr>
          <w:p w14:paraId="7F3C6C17" w14:textId="77777777" w:rsidR="005D372A" w:rsidRPr="00E0548A" w:rsidRDefault="005D372A" w:rsidP="005D372A">
            <w:pPr>
              <w:jc w:val="center"/>
              <w:rPr>
                <w:rFonts w:ascii="ＭＳ 明朝"/>
                <w:sz w:val="16"/>
                <w:szCs w:val="16"/>
              </w:rPr>
            </w:pPr>
          </w:p>
        </w:tc>
        <w:tc>
          <w:tcPr>
            <w:tcW w:w="228" w:type="pct"/>
            <w:tcBorders>
              <w:top w:val="single" w:sz="4" w:space="0" w:color="auto"/>
              <w:left w:val="single" w:sz="4" w:space="0" w:color="auto"/>
              <w:bottom w:val="single" w:sz="4" w:space="0" w:color="auto"/>
              <w:right w:val="single" w:sz="4" w:space="0" w:color="auto"/>
            </w:tcBorders>
            <w:vAlign w:val="center"/>
          </w:tcPr>
          <w:p w14:paraId="4C0BA0FF" w14:textId="77777777" w:rsidR="005D372A" w:rsidRPr="00E0548A" w:rsidRDefault="005D372A" w:rsidP="005D372A">
            <w:pPr>
              <w:jc w:val="center"/>
              <w:rPr>
                <w:rFonts w:ascii="ＭＳ 明朝"/>
                <w:sz w:val="16"/>
                <w:szCs w:val="16"/>
              </w:rPr>
            </w:pPr>
          </w:p>
        </w:tc>
        <w:tc>
          <w:tcPr>
            <w:tcW w:w="259" w:type="pct"/>
            <w:tcBorders>
              <w:top w:val="single" w:sz="4" w:space="0" w:color="auto"/>
              <w:left w:val="single" w:sz="4" w:space="0" w:color="auto"/>
              <w:bottom w:val="single" w:sz="4" w:space="0" w:color="auto"/>
              <w:right w:val="single" w:sz="4" w:space="0" w:color="auto"/>
            </w:tcBorders>
            <w:vAlign w:val="center"/>
          </w:tcPr>
          <w:p w14:paraId="752C2D2D" w14:textId="77777777" w:rsidR="005D372A" w:rsidRPr="00E0548A" w:rsidRDefault="005D372A" w:rsidP="005D372A">
            <w:pPr>
              <w:jc w:val="center"/>
              <w:rPr>
                <w:rFonts w:ascii="ＭＳ 明朝"/>
                <w:sz w:val="16"/>
                <w:szCs w:val="16"/>
              </w:rPr>
            </w:pPr>
          </w:p>
        </w:tc>
        <w:tc>
          <w:tcPr>
            <w:tcW w:w="211" w:type="pct"/>
            <w:tcBorders>
              <w:top w:val="single" w:sz="4" w:space="0" w:color="auto"/>
              <w:left w:val="single" w:sz="4" w:space="0" w:color="auto"/>
              <w:bottom w:val="single" w:sz="4" w:space="0" w:color="auto"/>
              <w:right w:val="single" w:sz="4" w:space="0" w:color="auto"/>
            </w:tcBorders>
            <w:shd w:val="clear" w:color="auto" w:fill="FFFFFF"/>
            <w:vAlign w:val="center"/>
          </w:tcPr>
          <w:p w14:paraId="3ACE0FAF" w14:textId="77777777" w:rsidR="005D372A" w:rsidRPr="00E0548A" w:rsidRDefault="005D372A" w:rsidP="005D372A">
            <w:pPr>
              <w:jc w:val="center"/>
              <w:rPr>
                <w:rFonts w:ascii="ＭＳ 明朝"/>
                <w:sz w:val="16"/>
                <w:szCs w:val="16"/>
              </w:rPr>
            </w:pPr>
          </w:p>
        </w:tc>
        <w:tc>
          <w:tcPr>
            <w:tcW w:w="226" w:type="pct"/>
            <w:tcBorders>
              <w:top w:val="single" w:sz="4" w:space="0" w:color="auto"/>
              <w:left w:val="single" w:sz="4" w:space="0" w:color="auto"/>
              <w:bottom w:val="single" w:sz="4" w:space="0" w:color="auto"/>
              <w:right w:val="single" w:sz="4" w:space="0" w:color="auto"/>
            </w:tcBorders>
            <w:shd w:val="clear" w:color="auto" w:fill="FFFFFF"/>
            <w:vAlign w:val="center"/>
          </w:tcPr>
          <w:p w14:paraId="0E3C7BA0" w14:textId="77777777" w:rsidR="005D372A" w:rsidRPr="00E0548A" w:rsidRDefault="005D372A" w:rsidP="005D372A">
            <w:pPr>
              <w:jc w:val="center"/>
              <w:rPr>
                <w:rFonts w:ascii="ＭＳ 明朝"/>
                <w:sz w:val="16"/>
                <w:szCs w:val="16"/>
              </w:rPr>
            </w:pPr>
            <w:r w:rsidRPr="00E0548A">
              <w:rPr>
                <w:rFonts w:ascii="ＭＳ 明朝" w:hint="eastAsia"/>
                <w:sz w:val="16"/>
                <w:szCs w:val="16"/>
              </w:rPr>
              <w:t>○</w:t>
            </w:r>
          </w:p>
        </w:tc>
        <w:tc>
          <w:tcPr>
            <w:tcW w:w="217" w:type="pct"/>
            <w:tcBorders>
              <w:top w:val="single" w:sz="4" w:space="0" w:color="auto"/>
              <w:left w:val="single" w:sz="4" w:space="0" w:color="auto"/>
              <w:bottom w:val="single" w:sz="4" w:space="0" w:color="auto"/>
              <w:right w:val="single" w:sz="4" w:space="0" w:color="auto"/>
            </w:tcBorders>
            <w:shd w:val="clear" w:color="auto" w:fill="FFFFFF"/>
            <w:vAlign w:val="center"/>
          </w:tcPr>
          <w:p w14:paraId="415F74CE" w14:textId="77777777" w:rsidR="005D372A" w:rsidRPr="00E0548A" w:rsidRDefault="005D372A" w:rsidP="005D372A">
            <w:pPr>
              <w:jc w:val="center"/>
              <w:rPr>
                <w:rFonts w:ascii="ＭＳ 明朝"/>
                <w:sz w:val="16"/>
                <w:szCs w:val="16"/>
              </w:rPr>
            </w:pPr>
          </w:p>
        </w:tc>
      </w:tr>
      <w:tr w:rsidR="001D6D10" w:rsidRPr="00E0548A" w14:paraId="19849DC7" w14:textId="77777777" w:rsidTr="008B4B2B">
        <w:trPr>
          <w:trHeight w:val="19"/>
        </w:trPr>
        <w:tc>
          <w:tcPr>
            <w:tcW w:w="244" w:type="pct"/>
            <w:tcBorders>
              <w:top w:val="single" w:sz="4" w:space="0" w:color="auto"/>
              <w:left w:val="single" w:sz="4" w:space="0" w:color="auto"/>
              <w:bottom w:val="single" w:sz="4" w:space="0" w:color="auto"/>
              <w:right w:val="single" w:sz="4" w:space="0" w:color="auto"/>
            </w:tcBorders>
            <w:vAlign w:val="center"/>
          </w:tcPr>
          <w:p w14:paraId="4CCF8E79" w14:textId="77777777" w:rsidR="005D372A" w:rsidRPr="00E0548A" w:rsidRDefault="005D372A" w:rsidP="005D372A">
            <w:pPr>
              <w:jc w:val="center"/>
              <w:rPr>
                <w:rFonts w:ascii="ＭＳ 明朝"/>
                <w:sz w:val="16"/>
                <w:szCs w:val="16"/>
              </w:rPr>
            </w:pPr>
            <w:r w:rsidRPr="00E0548A">
              <w:rPr>
                <w:rFonts w:ascii="ＭＳ 明朝" w:hint="eastAsia"/>
                <w:sz w:val="16"/>
                <w:szCs w:val="16"/>
              </w:rPr>
              <w:t>８</w:t>
            </w:r>
          </w:p>
        </w:tc>
        <w:tc>
          <w:tcPr>
            <w:tcW w:w="233" w:type="pct"/>
            <w:vMerge/>
            <w:tcBorders>
              <w:left w:val="single" w:sz="4" w:space="0" w:color="auto"/>
              <w:right w:val="single" w:sz="4" w:space="0" w:color="auto"/>
            </w:tcBorders>
            <w:vAlign w:val="center"/>
          </w:tcPr>
          <w:p w14:paraId="51998C1A" w14:textId="77777777" w:rsidR="005D372A" w:rsidRPr="00E0548A" w:rsidRDefault="005D372A" w:rsidP="005D372A">
            <w:pPr>
              <w:jc w:val="center"/>
              <w:rPr>
                <w:rFonts w:ascii="ＭＳ 明朝"/>
                <w:sz w:val="16"/>
                <w:szCs w:val="16"/>
              </w:rPr>
            </w:pPr>
          </w:p>
        </w:tc>
        <w:tc>
          <w:tcPr>
            <w:tcW w:w="1110" w:type="pct"/>
            <w:tcBorders>
              <w:top w:val="single" w:sz="4" w:space="0" w:color="auto"/>
              <w:left w:val="single" w:sz="4" w:space="0" w:color="auto"/>
              <w:bottom w:val="single" w:sz="4" w:space="0" w:color="auto"/>
              <w:right w:val="single" w:sz="4" w:space="0" w:color="auto"/>
            </w:tcBorders>
            <w:vAlign w:val="center"/>
          </w:tcPr>
          <w:p w14:paraId="0AA09A9D" w14:textId="77777777" w:rsidR="005D372A" w:rsidRPr="00E0548A" w:rsidRDefault="005D372A" w:rsidP="005D372A">
            <w:pPr>
              <w:rPr>
                <w:rFonts w:ascii="ＭＳ 明朝"/>
                <w:sz w:val="16"/>
                <w:szCs w:val="16"/>
              </w:rPr>
            </w:pPr>
            <w:r w:rsidRPr="00E0548A">
              <w:rPr>
                <w:rFonts w:ascii="ＭＳ 明朝" w:hint="eastAsia"/>
                <w:sz w:val="16"/>
                <w:szCs w:val="16"/>
              </w:rPr>
              <w:t>企画室政策課参事</w:t>
            </w:r>
          </w:p>
        </w:tc>
        <w:tc>
          <w:tcPr>
            <w:tcW w:w="229" w:type="pct"/>
            <w:tcBorders>
              <w:top w:val="single" w:sz="4" w:space="0" w:color="auto"/>
              <w:left w:val="single" w:sz="4" w:space="0" w:color="auto"/>
              <w:bottom w:val="single" w:sz="4" w:space="0" w:color="auto"/>
              <w:right w:val="single" w:sz="4" w:space="0" w:color="auto"/>
            </w:tcBorders>
            <w:vAlign w:val="center"/>
          </w:tcPr>
          <w:p w14:paraId="4E58325B" w14:textId="77777777" w:rsidR="005D372A" w:rsidRPr="00E0548A" w:rsidRDefault="005D372A" w:rsidP="005D372A">
            <w:pPr>
              <w:jc w:val="center"/>
              <w:rPr>
                <w:rFonts w:ascii="ＭＳ 明朝"/>
                <w:sz w:val="16"/>
                <w:szCs w:val="16"/>
              </w:rPr>
            </w:pPr>
            <w:r w:rsidRPr="00E0548A">
              <w:rPr>
                <w:rFonts w:ascii="ＭＳ 明朝" w:hint="eastAsia"/>
                <w:sz w:val="16"/>
                <w:szCs w:val="16"/>
              </w:rPr>
              <w:t>○</w:t>
            </w:r>
          </w:p>
        </w:tc>
        <w:tc>
          <w:tcPr>
            <w:tcW w:w="229" w:type="pct"/>
            <w:tcBorders>
              <w:top w:val="single" w:sz="4" w:space="0" w:color="auto"/>
              <w:left w:val="single" w:sz="4" w:space="0" w:color="auto"/>
              <w:bottom w:val="single" w:sz="4" w:space="0" w:color="auto"/>
              <w:right w:val="single" w:sz="4" w:space="0" w:color="auto"/>
            </w:tcBorders>
            <w:vAlign w:val="center"/>
          </w:tcPr>
          <w:p w14:paraId="2890A52D" w14:textId="77777777" w:rsidR="005D372A" w:rsidRPr="00E0548A" w:rsidRDefault="005D372A" w:rsidP="005D372A">
            <w:pPr>
              <w:jc w:val="center"/>
              <w:rPr>
                <w:rFonts w:ascii="ＭＳ 明朝"/>
                <w:sz w:val="16"/>
                <w:szCs w:val="16"/>
              </w:rPr>
            </w:pPr>
            <w:r w:rsidRPr="00E0548A">
              <w:rPr>
                <w:rFonts w:ascii="ＭＳ 明朝" w:hint="eastAsia"/>
                <w:sz w:val="16"/>
                <w:szCs w:val="16"/>
              </w:rPr>
              <w:t>○</w:t>
            </w:r>
          </w:p>
        </w:tc>
        <w:tc>
          <w:tcPr>
            <w:tcW w:w="238" w:type="pct"/>
            <w:tcBorders>
              <w:top w:val="single" w:sz="4" w:space="0" w:color="auto"/>
              <w:left w:val="single" w:sz="4" w:space="0" w:color="auto"/>
              <w:bottom w:val="single" w:sz="4" w:space="0" w:color="auto"/>
              <w:right w:val="single" w:sz="4" w:space="0" w:color="auto"/>
            </w:tcBorders>
            <w:vAlign w:val="center"/>
          </w:tcPr>
          <w:p w14:paraId="501D7A33" w14:textId="77777777" w:rsidR="005D372A" w:rsidRPr="00E0548A" w:rsidRDefault="005D372A" w:rsidP="005D372A">
            <w:pPr>
              <w:jc w:val="center"/>
              <w:rPr>
                <w:rFonts w:ascii="ＭＳ 明朝"/>
                <w:sz w:val="16"/>
                <w:szCs w:val="16"/>
              </w:rPr>
            </w:pPr>
            <w:r w:rsidRPr="00E0548A">
              <w:rPr>
                <w:rFonts w:ascii="ＭＳ 明朝" w:hint="eastAsia"/>
                <w:sz w:val="16"/>
                <w:szCs w:val="16"/>
              </w:rPr>
              <w:t>○</w:t>
            </w:r>
          </w:p>
        </w:tc>
        <w:tc>
          <w:tcPr>
            <w:tcW w:w="222" w:type="pct"/>
            <w:tcBorders>
              <w:top w:val="single" w:sz="4" w:space="0" w:color="auto"/>
              <w:left w:val="single" w:sz="4" w:space="0" w:color="auto"/>
              <w:bottom w:val="single" w:sz="4" w:space="0" w:color="auto"/>
              <w:right w:val="single" w:sz="4" w:space="0" w:color="auto"/>
            </w:tcBorders>
          </w:tcPr>
          <w:p w14:paraId="15E5E1FA" w14:textId="77777777" w:rsidR="005D372A" w:rsidRPr="00E0548A" w:rsidRDefault="005D372A" w:rsidP="005D372A">
            <w:pPr>
              <w:jc w:val="center"/>
              <w:rPr>
                <w:rFonts w:ascii="ＭＳ 明朝"/>
                <w:sz w:val="16"/>
                <w:szCs w:val="16"/>
              </w:rPr>
            </w:pPr>
            <w:r w:rsidRPr="00E0548A">
              <w:rPr>
                <w:rFonts w:ascii="ＭＳ 明朝" w:hint="eastAsia"/>
                <w:sz w:val="16"/>
                <w:szCs w:val="16"/>
              </w:rPr>
              <w:t>○</w:t>
            </w:r>
          </w:p>
        </w:tc>
        <w:tc>
          <w:tcPr>
            <w:tcW w:w="222" w:type="pct"/>
            <w:tcBorders>
              <w:top w:val="single" w:sz="4" w:space="0" w:color="auto"/>
              <w:left w:val="single" w:sz="4" w:space="0" w:color="auto"/>
              <w:bottom w:val="single" w:sz="4" w:space="0" w:color="auto"/>
              <w:right w:val="single" w:sz="4" w:space="0" w:color="auto"/>
            </w:tcBorders>
            <w:shd w:val="clear" w:color="auto" w:fill="FFFFFF"/>
            <w:vAlign w:val="center"/>
          </w:tcPr>
          <w:p w14:paraId="2F1AF96E" w14:textId="77777777" w:rsidR="005D372A" w:rsidRPr="00E0548A" w:rsidRDefault="005D372A" w:rsidP="005D372A">
            <w:pPr>
              <w:jc w:val="center"/>
              <w:rPr>
                <w:rFonts w:ascii="ＭＳ 明朝"/>
                <w:sz w:val="16"/>
                <w:szCs w:val="16"/>
              </w:rPr>
            </w:pPr>
            <w:r w:rsidRPr="00E0548A">
              <w:rPr>
                <w:rFonts w:ascii="ＭＳ 明朝" w:hint="eastAsia"/>
                <w:sz w:val="16"/>
                <w:szCs w:val="16"/>
              </w:rPr>
              <w:t>○</w:t>
            </w:r>
          </w:p>
        </w:tc>
        <w:tc>
          <w:tcPr>
            <w:tcW w:w="220" w:type="pct"/>
            <w:tcBorders>
              <w:top w:val="single" w:sz="4" w:space="0" w:color="auto"/>
              <w:left w:val="single" w:sz="4" w:space="0" w:color="auto"/>
              <w:bottom w:val="single" w:sz="4" w:space="0" w:color="auto"/>
              <w:right w:val="single" w:sz="4" w:space="0" w:color="auto"/>
            </w:tcBorders>
            <w:vAlign w:val="center"/>
          </w:tcPr>
          <w:p w14:paraId="38DFC0FC" w14:textId="77777777" w:rsidR="005D372A" w:rsidRPr="00E0548A" w:rsidRDefault="005D372A" w:rsidP="005D372A">
            <w:pPr>
              <w:jc w:val="center"/>
              <w:rPr>
                <w:rFonts w:ascii="ＭＳ 明朝"/>
                <w:sz w:val="16"/>
                <w:szCs w:val="16"/>
              </w:rPr>
            </w:pPr>
            <w:r w:rsidRPr="00E0548A">
              <w:rPr>
                <w:rFonts w:ascii="ＭＳ 明朝" w:hint="eastAsia"/>
                <w:sz w:val="16"/>
                <w:szCs w:val="16"/>
              </w:rPr>
              <w:t>○</w:t>
            </w:r>
          </w:p>
        </w:tc>
        <w:tc>
          <w:tcPr>
            <w:tcW w:w="228" w:type="pct"/>
            <w:tcBorders>
              <w:top w:val="single" w:sz="4" w:space="0" w:color="auto"/>
              <w:left w:val="single" w:sz="4" w:space="0" w:color="auto"/>
              <w:bottom w:val="single" w:sz="4" w:space="0" w:color="auto"/>
              <w:right w:val="single" w:sz="4" w:space="0" w:color="auto"/>
            </w:tcBorders>
            <w:vAlign w:val="center"/>
          </w:tcPr>
          <w:p w14:paraId="7AFB5D15" w14:textId="77777777" w:rsidR="005D372A" w:rsidRPr="00E0548A" w:rsidRDefault="005D372A" w:rsidP="005D372A">
            <w:pPr>
              <w:jc w:val="center"/>
              <w:rPr>
                <w:rFonts w:ascii="ＭＳ 明朝"/>
                <w:sz w:val="16"/>
                <w:szCs w:val="16"/>
              </w:rPr>
            </w:pPr>
            <w:r w:rsidRPr="00E0548A">
              <w:rPr>
                <w:rFonts w:ascii="ＭＳ 明朝" w:hint="eastAsia"/>
                <w:sz w:val="16"/>
                <w:szCs w:val="16"/>
              </w:rPr>
              <w:t>○</w:t>
            </w:r>
          </w:p>
        </w:tc>
        <w:tc>
          <w:tcPr>
            <w:tcW w:w="228" w:type="pct"/>
            <w:tcBorders>
              <w:top w:val="single" w:sz="4" w:space="0" w:color="auto"/>
              <w:left w:val="single" w:sz="4" w:space="0" w:color="auto"/>
              <w:bottom w:val="single" w:sz="4" w:space="0" w:color="auto"/>
              <w:right w:val="single" w:sz="4" w:space="0" w:color="auto"/>
            </w:tcBorders>
            <w:vAlign w:val="center"/>
          </w:tcPr>
          <w:p w14:paraId="182EF128" w14:textId="77777777" w:rsidR="005D372A" w:rsidRPr="00E0548A" w:rsidRDefault="005D372A" w:rsidP="005D372A">
            <w:pPr>
              <w:jc w:val="center"/>
              <w:rPr>
                <w:rFonts w:ascii="ＭＳ 明朝"/>
                <w:sz w:val="16"/>
                <w:szCs w:val="16"/>
              </w:rPr>
            </w:pPr>
            <w:r w:rsidRPr="00E0548A">
              <w:rPr>
                <w:rFonts w:ascii="ＭＳ 明朝" w:hint="eastAsia"/>
                <w:sz w:val="16"/>
                <w:szCs w:val="16"/>
              </w:rPr>
              <w:t>○</w:t>
            </w:r>
          </w:p>
        </w:tc>
        <w:tc>
          <w:tcPr>
            <w:tcW w:w="228" w:type="pct"/>
            <w:tcBorders>
              <w:top w:val="single" w:sz="4" w:space="0" w:color="auto"/>
              <w:left w:val="single" w:sz="4" w:space="0" w:color="auto"/>
              <w:bottom w:val="single" w:sz="4" w:space="0" w:color="auto"/>
              <w:right w:val="single" w:sz="4" w:space="0" w:color="auto"/>
            </w:tcBorders>
            <w:vAlign w:val="center"/>
          </w:tcPr>
          <w:p w14:paraId="5BE64F31" w14:textId="77777777" w:rsidR="005D372A" w:rsidRPr="00E0548A" w:rsidRDefault="005D372A" w:rsidP="005D372A">
            <w:pPr>
              <w:jc w:val="center"/>
              <w:rPr>
                <w:rFonts w:ascii="ＭＳ 明朝"/>
                <w:sz w:val="16"/>
                <w:szCs w:val="16"/>
              </w:rPr>
            </w:pPr>
            <w:r w:rsidRPr="00E0548A">
              <w:rPr>
                <w:rFonts w:ascii="ＭＳ 明朝" w:hint="eastAsia"/>
                <w:sz w:val="16"/>
                <w:szCs w:val="16"/>
              </w:rPr>
              <w:t>○</w:t>
            </w:r>
          </w:p>
        </w:tc>
        <w:tc>
          <w:tcPr>
            <w:tcW w:w="228" w:type="pct"/>
            <w:tcBorders>
              <w:top w:val="single" w:sz="4" w:space="0" w:color="auto"/>
              <w:left w:val="single" w:sz="4" w:space="0" w:color="auto"/>
              <w:bottom w:val="single" w:sz="4" w:space="0" w:color="auto"/>
              <w:right w:val="single" w:sz="4" w:space="0" w:color="auto"/>
            </w:tcBorders>
            <w:vAlign w:val="center"/>
          </w:tcPr>
          <w:p w14:paraId="2D78E577" w14:textId="77777777" w:rsidR="005D372A" w:rsidRPr="00E0548A" w:rsidRDefault="005D372A" w:rsidP="005D372A">
            <w:pPr>
              <w:jc w:val="center"/>
              <w:rPr>
                <w:rFonts w:ascii="ＭＳ 明朝"/>
                <w:sz w:val="16"/>
                <w:szCs w:val="16"/>
              </w:rPr>
            </w:pPr>
            <w:r w:rsidRPr="00E0548A">
              <w:rPr>
                <w:rFonts w:ascii="ＭＳ 明朝" w:hint="eastAsia"/>
                <w:sz w:val="16"/>
                <w:szCs w:val="16"/>
              </w:rPr>
              <w:t>○</w:t>
            </w:r>
          </w:p>
        </w:tc>
        <w:tc>
          <w:tcPr>
            <w:tcW w:w="228" w:type="pct"/>
            <w:tcBorders>
              <w:top w:val="single" w:sz="4" w:space="0" w:color="auto"/>
              <w:left w:val="single" w:sz="4" w:space="0" w:color="auto"/>
              <w:bottom w:val="single" w:sz="4" w:space="0" w:color="auto"/>
              <w:right w:val="single" w:sz="4" w:space="0" w:color="auto"/>
            </w:tcBorders>
            <w:vAlign w:val="center"/>
          </w:tcPr>
          <w:p w14:paraId="1207D7D5" w14:textId="77777777" w:rsidR="005D372A" w:rsidRPr="00E0548A" w:rsidRDefault="005D372A" w:rsidP="005D372A">
            <w:pPr>
              <w:jc w:val="center"/>
              <w:rPr>
                <w:rFonts w:ascii="ＭＳ 明朝"/>
                <w:sz w:val="16"/>
                <w:szCs w:val="16"/>
              </w:rPr>
            </w:pPr>
            <w:r w:rsidRPr="00E0548A">
              <w:rPr>
                <w:rFonts w:ascii="ＭＳ 明朝" w:hint="eastAsia"/>
                <w:sz w:val="16"/>
                <w:szCs w:val="16"/>
              </w:rPr>
              <w:t>○</w:t>
            </w:r>
          </w:p>
        </w:tc>
        <w:tc>
          <w:tcPr>
            <w:tcW w:w="259" w:type="pct"/>
            <w:tcBorders>
              <w:top w:val="single" w:sz="4" w:space="0" w:color="auto"/>
              <w:left w:val="single" w:sz="4" w:space="0" w:color="auto"/>
              <w:bottom w:val="single" w:sz="4" w:space="0" w:color="auto"/>
              <w:right w:val="single" w:sz="4" w:space="0" w:color="auto"/>
            </w:tcBorders>
            <w:vAlign w:val="center"/>
          </w:tcPr>
          <w:p w14:paraId="51EFB270" w14:textId="77777777" w:rsidR="005D372A" w:rsidRPr="00E0548A" w:rsidRDefault="005D372A" w:rsidP="005D372A">
            <w:pPr>
              <w:jc w:val="center"/>
              <w:rPr>
                <w:rFonts w:ascii="ＭＳ 明朝"/>
                <w:sz w:val="16"/>
                <w:szCs w:val="16"/>
              </w:rPr>
            </w:pPr>
            <w:r w:rsidRPr="00E0548A">
              <w:rPr>
                <w:rFonts w:ascii="ＭＳ 明朝" w:hint="eastAsia"/>
                <w:sz w:val="16"/>
                <w:szCs w:val="16"/>
              </w:rPr>
              <w:t>○</w:t>
            </w:r>
          </w:p>
        </w:tc>
        <w:tc>
          <w:tcPr>
            <w:tcW w:w="211" w:type="pct"/>
            <w:tcBorders>
              <w:top w:val="single" w:sz="4" w:space="0" w:color="auto"/>
              <w:left w:val="single" w:sz="4" w:space="0" w:color="auto"/>
              <w:bottom w:val="single" w:sz="4" w:space="0" w:color="auto"/>
              <w:right w:val="single" w:sz="4" w:space="0" w:color="auto"/>
            </w:tcBorders>
            <w:shd w:val="clear" w:color="auto" w:fill="FFFFFF"/>
            <w:vAlign w:val="center"/>
          </w:tcPr>
          <w:p w14:paraId="739D4508" w14:textId="77777777" w:rsidR="005D372A" w:rsidRPr="00E0548A" w:rsidRDefault="005D372A" w:rsidP="005D372A">
            <w:pPr>
              <w:jc w:val="center"/>
              <w:rPr>
                <w:rFonts w:ascii="ＭＳ 明朝"/>
                <w:sz w:val="16"/>
                <w:szCs w:val="16"/>
              </w:rPr>
            </w:pPr>
            <w:r w:rsidRPr="00E0548A">
              <w:rPr>
                <w:rFonts w:ascii="ＭＳ 明朝" w:hint="eastAsia"/>
                <w:sz w:val="16"/>
                <w:szCs w:val="16"/>
              </w:rPr>
              <w:t>○</w:t>
            </w:r>
          </w:p>
        </w:tc>
        <w:tc>
          <w:tcPr>
            <w:tcW w:w="226" w:type="pct"/>
            <w:tcBorders>
              <w:top w:val="single" w:sz="4" w:space="0" w:color="auto"/>
              <w:left w:val="single" w:sz="4" w:space="0" w:color="auto"/>
              <w:bottom w:val="single" w:sz="4" w:space="0" w:color="auto"/>
              <w:right w:val="single" w:sz="4" w:space="0" w:color="auto"/>
            </w:tcBorders>
            <w:shd w:val="clear" w:color="auto" w:fill="FFFFFF"/>
            <w:vAlign w:val="center"/>
          </w:tcPr>
          <w:p w14:paraId="736E35A5" w14:textId="77777777" w:rsidR="005D372A" w:rsidRPr="00E0548A" w:rsidRDefault="005D372A" w:rsidP="005D372A">
            <w:pPr>
              <w:jc w:val="center"/>
              <w:rPr>
                <w:rFonts w:ascii="ＭＳ 明朝"/>
                <w:sz w:val="16"/>
                <w:szCs w:val="16"/>
              </w:rPr>
            </w:pPr>
            <w:r w:rsidRPr="00E0548A">
              <w:rPr>
                <w:rFonts w:ascii="ＭＳ 明朝" w:hint="eastAsia"/>
                <w:sz w:val="16"/>
                <w:szCs w:val="16"/>
              </w:rPr>
              <w:t>○</w:t>
            </w:r>
          </w:p>
        </w:tc>
        <w:tc>
          <w:tcPr>
            <w:tcW w:w="217" w:type="pct"/>
            <w:tcBorders>
              <w:top w:val="single" w:sz="4" w:space="0" w:color="auto"/>
              <w:left w:val="single" w:sz="4" w:space="0" w:color="auto"/>
              <w:bottom w:val="single" w:sz="4" w:space="0" w:color="auto"/>
              <w:right w:val="single" w:sz="4" w:space="0" w:color="auto"/>
            </w:tcBorders>
            <w:shd w:val="clear" w:color="auto" w:fill="FFFFFF"/>
            <w:vAlign w:val="center"/>
          </w:tcPr>
          <w:p w14:paraId="660CF0F4" w14:textId="77777777" w:rsidR="005D372A" w:rsidRPr="00E0548A" w:rsidRDefault="005D372A" w:rsidP="005D372A">
            <w:pPr>
              <w:jc w:val="center"/>
              <w:rPr>
                <w:rFonts w:ascii="ＭＳ 明朝"/>
                <w:sz w:val="16"/>
                <w:szCs w:val="16"/>
              </w:rPr>
            </w:pPr>
            <w:r w:rsidRPr="00E0548A">
              <w:rPr>
                <w:rFonts w:ascii="ＭＳ 明朝" w:hint="eastAsia"/>
                <w:sz w:val="16"/>
                <w:szCs w:val="16"/>
              </w:rPr>
              <w:t>○</w:t>
            </w:r>
          </w:p>
        </w:tc>
      </w:tr>
      <w:tr w:rsidR="001D6D10" w:rsidRPr="00E0548A" w14:paraId="52FA1F7A" w14:textId="77777777" w:rsidTr="008B4B2B">
        <w:trPr>
          <w:trHeight w:val="19"/>
        </w:trPr>
        <w:tc>
          <w:tcPr>
            <w:tcW w:w="244" w:type="pct"/>
            <w:tcBorders>
              <w:top w:val="single" w:sz="4" w:space="0" w:color="auto"/>
              <w:left w:val="single" w:sz="4" w:space="0" w:color="auto"/>
              <w:bottom w:val="single" w:sz="4" w:space="0" w:color="auto"/>
              <w:right w:val="single" w:sz="4" w:space="0" w:color="auto"/>
            </w:tcBorders>
            <w:vAlign w:val="center"/>
          </w:tcPr>
          <w:p w14:paraId="0FA5ACAB" w14:textId="77777777" w:rsidR="005D372A" w:rsidRPr="00E0548A" w:rsidRDefault="005D372A" w:rsidP="005D372A">
            <w:pPr>
              <w:jc w:val="center"/>
              <w:rPr>
                <w:rFonts w:ascii="ＭＳ 明朝"/>
                <w:sz w:val="16"/>
                <w:szCs w:val="16"/>
              </w:rPr>
            </w:pPr>
            <w:r w:rsidRPr="00E0548A">
              <w:rPr>
                <w:rFonts w:ascii="ＭＳ 明朝" w:hint="eastAsia"/>
                <w:sz w:val="16"/>
                <w:szCs w:val="16"/>
              </w:rPr>
              <w:t>９</w:t>
            </w:r>
          </w:p>
        </w:tc>
        <w:tc>
          <w:tcPr>
            <w:tcW w:w="233" w:type="pct"/>
            <w:vMerge/>
            <w:tcBorders>
              <w:left w:val="single" w:sz="4" w:space="0" w:color="auto"/>
              <w:right w:val="single" w:sz="4" w:space="0" w:color="auto"/>
            </w:tcBorders>
            <w:vAlign w:val="center"/>
          </w:tcPr>
          <w:p w14:paraId="61DDD9A3" w14:textId="77777777" w:rsidR="005D372A" w:rsidRPr="00E0548A" w:rsidRDefault="005D372A" w:rsidP="005D372A">
            <w:pPr>
              <w:jc w:val="center"/>
              <w:rPr>
                <w:rFonts w:ascii="ＭＳ 明朝"/>
                <w:sz w:val="16"/>
                <w:szCs w:val="16"/>
              </w:rPr>
            </w:pPr>
          </w:p>
        </w:tc>
        <w:tc>
          <w:tcPr>
            <w:tcW w:w="1110" w:type="pct"/>
            <w:tcBorders>
              <w:top w:val="single" w:sz="4" w:space="0" w:color="auto"/>
              <w:left w:val="single" w:sz="4" w:space="0" w:color="auto"/>
              <w:bottom w:val="single" w:sz="4" w:space="0" w:color="auto"/>
              <w:right w:val="single" w:sz="4" w:space="0" w:color="auto"/>
            </w:tcBorders>
            <w:vAlign w:val="center"/>
            <w:hideMark/>
          </w:tcPr>
          <w:p w14:paraId="16F320ED" w14:textId="1EC73A52" w:rsidR="005D372A" w:rsidRPr="00E0548A" w:rsidRDefault="00D90277" w:rsidP="005D372A">
            <w:pPr>
              <w:rPr>
                <w:rFonts w:ascii="ＭＳ 明朝"/>
                <w:sz w:val="16"/>
                <w:szCs w:val="16"/>
              </w:rPr>
            </w:pPr>
            <w:r w:rsidRPr="00E0548A">
              <w:rPr>
                <w:rFonts w:ascii="ＭＳ 明朝" w:hint="eastAsia"/>
                <w:sz w:val="16"/>
                <w:szCs w:val="16"/>
              </w:rPr>
              <w:t>企画室連携課長</w:t>
            </w:r>
          </w:p>
        </w:tc>
        <w:tc>
          <w:tcPr>
            <w:tcW w:w="229" w:type="pct"/>
            <w:tcBorders>
              <w:top w:val="single" w:sz="4" w:space="0" w:color="auto"/>
              <w:left w:val="single" w:sz="4" w:space="0" w:color="auto"/>
              <w:bottom w:val="single" w:sz="4" w:space="0" w:color="auto"/>
              <w:right w:val="single" w:sz="4" w:space="0" w:color="auto"/>
            </w:tcBorders>
            <w:vAlign w:val="center"/>
          </w:tcPr>
          <w:p w14:paraId="0842EE5B" w14:textId="77777777" w:rsidR="005D372A" w:rsidRPr="00E0548A" w:rsidRDefault="005D372A" w:rsidP="005D372A">
            <w:pPr>
              <w:jc w:val="center"/>
              <w:rPr>
                <w:rFonts w:ascii="ＭＳ 明朝"/>
                <w:sz w:val="16"/>
                <w:szCs w:val="16"/>
              </w:rPr>
            </w:pPr>
          </w:p>
        </w:tc>
        <w:tc>
          <w:tcPr>
            <w:tcW w:w="229" w:type="pct"/>
            <w:tcBorders>
              <w:top w:val="single" w:sz="4" w:space="0" w:color="auto"/>
              <w:left w:val="single" w:sz="4" w:space="0" w:color="auto"/>
              <w:bottom w:val="single" w:sz="4" w:space="0" w:color="auto"/>
              <w:right w:val="single" w:sz="4" w:space="0" w:color="auto"/>
            </w:tcBorders>
            <w:vAlign w:val="center"/>
          </w:tcPr>
          <w:p w14:paraId="0ABECCC3" w14:textId="77777777" w:rsidR="005D372A" w:rsidRPr="00E0548A" w:rsidRDefault="005D372A" w:rsidP="005D372A">
            <w:pPr>
              <w:jc w:val="center"/>
              <w:rPr>
                <w:rFonts w:ascii="ＭＳ 明朝"/>
                <w:sz w:val="16"/>
                <w:szCs w:val="16"/>
              </w:rPr>
            </w:pPr>
          </w:p>
        </w:tc>
        <w:tc>
          <w:tcPr>
            <w:tcW w:w="238" w:type="pct"/>
            <w:tcBorders>
              <w:top w:val="single" w:sz="4" w:space="0" w:color="auto"/>
              <w:left w:val="single" w:sz="4" w:space="0" w:color="auto"/>
              <w:bottom w:val="single" w:sz="4" w:space="0" w:color="auto"/>
              <w:right w:val="single" w:sz="4" w:space="0" w:color="auto"/>
            </w:tcBorders>
            <w:vAlign w:val="center"/>
          </w:tcPr>
          <w:p w14:paraId="54C2150D" w14:textId="77777777" w:rsidR="005D372A" w:rsidRPr="00E0548A" w:rsidRDefault="005D372A" w:rsidP="005D372A">
            <w:pPr>
              <w:jc w:val="center"/>
              <w:rPr>
                <w:rFonts w:ascii="ＭＳ 明朝"/>
                <w:sz w:val="16"/>
                <w:szCs w:val="16"/>
              </w:rPr>
            </w:pPr>
          </w:p>
        </w:tc>
        <w:tc>
          <w:tcPr>
            <w:tcW w:w="222" w:type="pct"/>
            <w:tcBorders>
              <w:top w:val="single" w:sz="4" w:space="0" w:color="auto"/>
              <w:left w:val="single" w:sz="4" w:space="0" w:color="auto"/>
              <w:bottom w:val="single" w:sz="4" w:space="0" w:color="auto"/>
              <w:right w:val="single" w:sz="4" w:space="0" w:color="auto"/>
            </w:tcBorders>
          </w:tcPr>
          <w:p w14:paraId="34AE871D" w14:textId="77777777" w:rsidR="005D372A" w:rsidRPr="00E0548A" w:rsidRDefault="005D372A" w:rsidP="005D372A">
            <w:pPr>
              <w:jc w:val="center"/>
              <w:rPr>
                <w:rFonts w:ascii="ＭＳ 明朝"/>
                <w:sz w:val="16"/>
                <w:szCs w:val="16"/>
              </w:rPr>
            </w:pPr>
          </w:p>
        </w:tc>
        <w:tc>
          <w:tcPr>
            <w:tcW w:w="222" w:type="pct"/>
            <w:tcBorders>
              <w:top w:val="single" w:sz="4" w:space="0" w:color="auto"/>
              <w:left w:val="single" w:sz="4" w:space="0" w:color="auto"/>
              <w:bottom w:val="single" w:sz="4" w:space="0" w:color="auto"/>
              <w:right w:val="single" w:sz="4" w:space="0" w:color="auto"/>
            </w:tcBorders>
            <w:shd w:val="clear" w:color="auto" w:fill="FFFFFF"/>
            <w:vAlign w:val="center"/>
          </w:tcPr>
          <w:p w14:paraId="268232E3" w14:textId="77777777" w:rsidR="005D372A" w:rsidRPr="00E0548A" w:rsidRDefault="005D372A" w:rsidP="005D372A">
            <w:pPr>
              <w:jc w:val="center"/>
              <w:rPr>
                <w:rFonts w:ascii="ＭＳ 明朝"/>
                <w:sz w:val="16"/>
                <w:szCs w:val="16"/>
              </w:rPr>
            </w:pPr>
          </w:p>
        </w:tc>
        <w:tc>
          <w:tcPr>
            <w:tcW w:w="220" w:type="pct"/>
            <w:tcBorders>
              <w:top w:val="single" w:sz="4" w:space="0" w:color="auto"/>
              <w:left w:val="single" w:sz="4" w:space="0" w:color="auto"/>
              <w:bottom w:val="single" w:sz="4" w:space="0" w:color="auto"/>
              <w:right w:val="single" w:sz="4" w:space="0" w:color="auto"/>
            </w:tcBorders>
            <w:vAlign w:val="center"/>
          </w:tcPr>
          <w:p w14:paraId="6BE6EFA6" w14:textId="77777777" w:rsidR="005D372A" w:rsidRPr="00E0548A" w:rsidRDefault="005D372A" w:rsidP="005D372A">
            <w:pPr>
              <w:jc w:val="center"/>
              <w:rPr>
                <w:rFonts w:ascii="ＭＳ 明朝"/>
                <w:sz w:val="16"/>
                <w:szCs w:val="16"/>
              </w:rPr>
            </w:pPr>
          </w:p>
        </w:tc>
        <w:tc>
          <w:tcPr>
            <w:tcW w:w="228" w:type="pct"/>
            <w:tcBorders>
              <w:top w:val="single" w:sz="4" w:space="0" w:color="auto"/>
              <w:left w:val="single" w:sz="4" w:space="0" w:color="auto"/>
              <w:bottom w:val="single" w:sz="4" w:space="0" w:color="auto"/>
              <w:right w:val="single" w:sz="4" w:space="0" w:color="auto"/>
            </w:tcBorders>
            <w:vAlign w:val="center"/>
          </w:tcPr>
          <w:p w14:paraId="1584B48F" w14:textId="77777777" w:rsidR="005D372A" w:rsidRPr="00E0548A" w:rsidRDefault="005D372A" w:rsidP="005D372A">
            <w:pPr>
              <w:jc w:val="center"/>
              <w:rPr>
                <w:rFonts w:ascii="ＭＳ 明朝"/>
                <w:sz w:val="16"/>
                <w:szCs w:val="16"/>
              </w:rPr>
            </w:pPr>
          </w:p>
        </w:tc>
        <w:tc>
          <w:tcPr>
            <w:tcW w:w="228" w:type="pct"/>
            <w:tcBorders>
              <w:top w:val="single" w:sz="4" w:space="0" w:color="auto"/>
              <w:left w:val="single" w:sz="4" w:space="0" w:color="auto"/>
              <w:bottom w:val="single" w:sz="4" w:space="0" w:color="auto"/>
              <w:right w:val="single" w:sz="4" w:space="0" w:color="auto"/>
            </w:tcBorders>
            <w:vAlign w:val="center"/>
          </w:tcPr>
          <w:p w14:paraId="1F0F922A" w14:textId="77777777" w:rsidR="005D372A" w:rsidRPr="00E0548A" w:rsidRDefault="005D372A" w:rsidP="005D372A">
            <w:pPr>
              <w:jc w:val="center"/>
              <w:rPr>
                <w:rFonts w:ascii="ＭＳ 明朝"/>
                <w:sz w:val="16"/>
                <w:szCs w:val="16"/>
              </w:rPr>
            </w:pPr>
          </w:p>
        </w:tc>
        <w:tc>
          <w:tcPr>
            <w:tcW w:w="228" w:type="pct"/>
            <w:tcBorders>
              <w:top w:val="single" w:sz="4" w:space="0" w:color="auto"/>
              <w:left w:val="single" w:sz="4" w:space="0" w:color="auto"/>
              <w:bottom w:val="single" w:sz="4" w:space="0" w:color="auto"/>
              <w:right w:val="single" w:sz="4" w:space="0" w:color="auto"/>
            </w:tcBorders>
            <w:vAlign w:val="center"/>
          </w:tcPr>
          <w:p w14:paraId="33672249" w14:textId="77777777" w:rsidR="005D372A" w:rsidRPr="00E0548A" w:rsidRDefault="005D372A" w:rsidP="005D372A">
            <w:pPr>
              <w:jc w:val="center"/>
              <w:rPr>
                <w:rFonts w:ascii="ＭＳ 明朝"/>
                <w:sz w:val="16"/>
                <w:szCs w:val="16"/>
              </w:rPr>
            </w:pPr>
          </w:p>
        </w:tc>
        <w:tc>
          <w:tcPr>
            <w:tcW w:w="228" w:type="pct"/>
            <w:tcBorders>
              <w:top w:val="single" w:sz="4" w:space="0" w:color="auto"/>
              <w:left w:val="single" w:sz="4" w:space="0" w:color="auto"/>
              <w:bottom w:val="single" w:sz="4" w:space="0" w:color="auto"/>
              <w:right w:val="single" w:sz="4" w:space="0" w:color="auto"/>
            </w:tcBorders>
            <w:vAlign w:val="center"/>
          </w:tcPr>
          <w:p w14:paraId="169B19DF" w14:textId="77777777" w:rsidR="005D372A" w:rsidRPr="00E0548A" w:rsidRDefault="005D372A" w:rsidP="005D372A">
            <w:pPr>
              <w:jc w:val="center"/>
              <w:rPr>
                <w:rFonts w:ascii="ＭＳ 明朝"/>
                <w:sz w:val="16"/>
                <w:szCs w:val="16"/>
              </w:rPr>
            </w:pPr>
          </w:p>
        </w:tc>
        <w:tc>
          <w:tcPr>
            <w:tcW w:w="228" w:type="pct"/>
            <w:tcBorders>
              <w:top w:val="single" w:sz="4" w:space="0" w:color="auto"/>
              <w:left w:val="single" w:sz="4" w:space="0" w:color="auto"/>
              <w:bottom w:val="single" w:sz="4" w:space="0" w:color="auto"/>
              <w:right w:val="single" w:sz="4" w:space="0" w:color="auto"/>
            </w:tcBorders>
            <w:vAlign w:val="center"/>
          </w:tcPr>
          <w:p w14:paraId="573C4133" w14:textId="77777777" w:rsidR="005D372A" w:rsidRPr="00E0548A" w:rsidRDefault="005D372A" w:rsidP="005D372A">
            <w:pPr>
              <w:jc w:val="center"/>
              <w:rPr>
                <w:rFonts w:ascii="ＭＳ 明朝"/>
                <w:sz w:val="16"/>
                <w:szCs w:val="16"/>
              </w:rPr>
            </w:pPr>
          </w:p>
        </w:tc>
        <w:tc>
          <w:tcPr>
            <w:tcW w:w="259" w:type="pct"/>
            <w:tcBorders>
              <w:top w:val="single" w:sz="4" w:space="0" w:color="auto"/>
              <w:left w:val="single" w:sz="4" w:space="0" w:color="auto"/>
              <w:bottom w:val="single" w:sz="4" w:space="0" w:color="auto"/>
              <w:right w:val="single" w:sz="4" w:space="0" w:color="auto"/>
            </w:tcBorders>
            <w:vAlign w:val="center"/>
            <w:hideMark/>
          </w:tcPr>
          <w:p w14:paraId="3D9E1C6A" w14:textId="77777777" w:rsidR="005D372A" w:rsidRPr="00E0548A" w:rsidRDefault="005D372A" w:rsidP="005D372A">
            <w:pPr>
              <w:jc w:val="center"/>
              <w:rPr>
                <w:rFonts w:ascii="ＭＳ 明朝"/>
                <w:sz w:val="16"/>
                <w:szCs w:val="16"/>
              </w:rPr>
            </w:pPr>
          </w:p>
        </w:tc>
        <w:tc>
          <w:tcPr>
            <w:tcW w:w="211" w:type="pct"/>
            <w:tcBorders>
              <w:top w:val="single" w:sz="4" w:space="0" w:color="auto"/>
              <w:left w:val="single" w:sz="4" w:space="0" w:color="auto"/>
              <w:bottom w:val="single" w:sz="4" w:space="0" w:color="auto"/>
              <w:right w:val="single" w:sz="4" w:space="0" w:color="auto"/>
            </w:tcBorders>
            <w:shd w:val="clear" w:color="auto" w:fill="FFFFFF"/>
            <w:vAlign w:val="center"/>
          </w:tcPr>
          <w:p w14:paraId="75B4F502" w14:textId="77777777" w:rsidR="005D372A" w:rsidRPr="00E0548A" w:rsidRDefault="005D372A" w:rsidP="005D372A">
            <w:pPr>
              <w:jc w:val="center"/>
              <w:rPr>
                <w:rFonts w:ascii="ＭＳ 明朝"/>
                <w:sz w:val="16"/>
                <w:szCs w:val="16"/>
              </w:rPr>
            </w:pPr>
          </w:p>
        </w:tc>
        <w:tc>
          <w:tcPr>
            <w:tcW w:w="226" w:type="pct"/>
            <w:tcBorders>
              <w:top w:val="single" w:sz="4" w:space="0" w:color="auto"/>
              <w:left w:val="single" w:sz="4" w:space="0" w:color="auto"/>
              <w:bottom w:val="single" w:sz="4" w:space="0" w:color="auto"/>
              <w:right w:val="single" w:sz="4" w:space="0" w:color="auto"/>
            </w:tcBorders>
            <w:shd w:val="clear" w:color="auto" w:fill="FFFFFF"/>
            <w:vAlign w:val="center"/>
          </w:tcPr>
          <w:p w14:paraId="3A283A26" w14:textId="77777777" w:rsidR="005D372A" w:rsidRPr="00E0548A" w:rsidRDefault="005D372A" w:rsidP="005D372A">
            <w:pPr>
              <w:jc w:val="center"/>
              <w:rPr>
                <w:rFonts w:ascii="ＭＳ 明朝"/>
                <w:sz w:val="16"/>
                <w:szCs w:val="16"/>
              </w:rPr>
            </w:pPr>
          </w:p>
        </w:tc>
        <w:tc>
          <w:tcPr>
            <w:tcW w:w="217" w:type="pct"/>
            <w:tcBorders>
              <w:top w:val="single" w:sz="4" w:space="0" w:color="auto"/>
              <w:left w:val="single" w:sz="4" w:space="0" w:color="auto"/>
              <w:bottom w:val="single" w:sz="4" w:space="0" w:color="auto"/>
              <w:right w:val="single" w:sz="4" w:space="0" w:color="auto"/>
            </w:tcBorders>
            <w:shd w:val="clear" w:color="auto" w:fill="FFFFFF"/>
            <w:vAlign w:val="center"/>
          </w:tcPr>
          <w:p w14:paraId="344B975A" w14:textId="77777777" w:rsidR="005D372A" w:rsidRPr="00E0548A" w:rsidRDefault="005D372A" w:rsidP="005D372A">
            <w:pPr>
              <w:jc w:val="center"/>
              <w:rPr>
                <w:rFonts w:ascii="ＭＳ 明朝"/>
                <w:sz w:val="16"/>
                <w:szCs w:val="16"/>
              </w:rPr>
            </w:pPr>
            <w:r w:rsidRPr="00E0548A">
              <w:rPr>
                <w:rFonts w:ascii="ＭＳ 明朝" w:hint="eastAsia"/>
                <w:sz w:val="16"/>
                <w:szCs w:val="16"/>
              </w:rPr>
              <w:t>○</w:t>
            </w:r>
          </w:p>
        </w:tc>
      </w:tr>
      <w:tr w:rsidR="001D6D10" w:rsidRPr="00E0548A" w14:paraId="609204F0" w14:textId="77777777" w:rsidTr="008B4B2B">
        <w:trPr>
          <w:trHeight w:val="19"/>
        </w:trPr>
        <w:tc>
          <w:tcPr>
            <w:tcW w:w="244" w:type="pct"/>
            <w:tcBorders>
              <w:top w:val="single" w:sz="4" w:space="0" w:color="auto"/>
              <w:left w:val="single" w:sz="4" w:space="0" w:color="auto"/>
              <w:bottom w:val="single" w:sz="4" w:space="0" w:color="auto"/>
              <w:right w:val="single" w:sz="4" w:space="0" w:color="auto"/>
            </w:tcBorders>
            <w:vAlign w:val="center"/>
          </w:tcPr>
          <w:p w14:paraId="6096659B" w14:textId="77777777" w:rsidR="005D372A" w:rsidRPr="00E0548A" w:rsidRDefault="005D372A" w:rsidP="005D372A">
            <w:pPr>
              <w:jc w:val="center"/>
              <w:rPr>
                <w:rFonts w:ascii="ＭＳ 明朝"/>
                <w:sz w:val="16"/>
                <w:szCs w:val="16"/>
              </w:rPr>
            </w:pPr>
            <w:r w:rsidRPr="00E0548A">
              <w:rPr>
                <w:rFonts w:ascii="ＭＳ 明朝" w:hint="eastAsia"/>
                <w:sz w:val="16"/>
                <w:szCs w:val="16"/>
              </w:rPr>
              <w:t>10</w:t>
            </w:r>
          </w:p>
        </w:tc>
        <w:tc>
          <w:tcPr>
            <w:tcW w:w="233" w:type="pct"/>
            <w:vMerge/>
            <w:tcBorders>
              <w:left w:val="single" w:sz="4" w:space="0" w:color="auto"/>
              <w:right w:val="single" w:sz="4" w:space="0" w:color="auto"/>
            </w:tcBorders>
            <w:vAlign w:val="center"/>
          </w:tcPr>
          <w:p w14:paraId="04C4E6CB" w14:textId="77777777" w:rsidR="005D372A" w:rsidRPr="00E0548A" w:rsidRDefault="005D372A" w:rsidP="005D372A">
            <w:pPr>
              <w:spacing w:line="240" w:lineRule="atLeast"/>
              <w:jc w:val="center"/>
              <w:rPr>
                <w:rFonts w:ascii="ＭＳ 明朝"/>
                <w:sz w:val="16"/>
                <w:szCs w:val="16"/>
              </w:rPr>
            </w:pPr>
          </w:p>
        </w:tc>
        <w:tc>
          <w:tcPr>
            <w:tcW w:w="1110" w:type="pct"/>
            <w:tcBorders>
              <w:top w:val="single" w:sz="4" w:space="0" w:color="auto"/>
              <w:left w:val="single" w:sz="4" w:space="0" w:color="auto"/>
              <w:bottom w:val="single" w:sz="4" w:space="0" w:color="auto"/>
              <w:right w:val="single" w:sz="4" w:space="0" w:color="auto"/>
            </w:tcBorders>
            <w:vAlign w:val="center"/>
            <w:hideMark/>
          </w:tcPr>
          <w:p w14:paraId="10D6BA6A" w14:textId="77777777" w:rsidR="005D372A" w:rsidRPr="00E0548A" w:rsidRDefault="00AB704E" w:rsidP="000E6D4C">
            <w:pPr>
              <w:spacing w:line="0" w:lineRule="atLeast"/>
              <w:rPr>
                <w:rFonts w:ascii="ＭＳ 明朝"/>
                <w:sz w:val="16"/>
                <w:szCs w:val="16"/>
              </w:rPr>
            </w:pPr>
            <w:r w:rsidRPr="00E0548A">
              <w:rPr>
                <w:rFonts w:ascii="ＭＳ 明朝" w:hint="eastAsia"/>
                <w:sz w:val="16"/>
                <w:szCs w:val="16"/>
              </w:rPr>
              <w:t>成長戦略局空港政策担当課長</w:t>
            </w:r>
          </w:p>
        </w:tc>
        <w:tc>
          <w:tcPr>
            <w:tcW w:w="229" w:type="pct"/>
            <w:tcBorders>
              <w:top w:val="single" w:sz="4" w:space="0" w:color="auto"/>
              <w:left w:val="single" w:sz="4" w:space="0" w:color="auto"/>
              <w:bottom w:val="single" w:sz="4" w:space="0" w:color="auto"/>
              <w:right w:val="single" w:sz="4" w:space="0" w:color="auto"/>
            </w:tcBorders>
            <w:vAlign w:val="center"/>
          </w:tcPr>
          <w:p w14:paraId="18BA1E9F" w14:textId="77777777" w:rsidR="005D372A" w:rsidRPr="00E0548A" w:rsidRDefault="005D372A" w:rsidP="005D372A">
            <w:pPr>
              <w:jc w:val="center"/>
              <w:rPr>
                <w:rFonts w:ascii="ＭＳ 明朝"/>
                <w:sz w:val="16"/>
                <w:szCs w:val="16"/>
              </w:rPr>
            </w:pPr>
          </w:p>
        </w:tc>
        <w:tc>
          <w:tcPr>
            <w:tcW w:w="229" w:type="pct"/>
            <w:tcBorders>
              <w:top w:val="single" w:sz="4" w:space="0" w:color="auto"/>
              <w:left w:val="single" w:sz="4" w:space="0" w:color="auto"/>
              <w:bottom w:val="single" w:sz="4" w:space="0" w:color="auto"/>
              <w:right w:val="single" w:sz="4" w:space="0" w:color="auto"/>
            </w:tcBorders>
            <w:vAlign w:val="center"/>
          </w:tcPr>
          <w:p w14:paraId="37357063" w14:textId="77777777" w:rsidR="005D372A" w:rsidRPr="00E0548A" w:rsidRDefault="005D372A" w:rsidP="005D372A">
            <w:pPr>
              <w:jc w:val="center"/>
              <w:rPr>
                <w:rFonts w:ascii="ＭＳ 明朝"/>
                <w:sz w:val="16"/>
                <w:szCs w:val="16"/>
              </w:rPr>
            </w:pPr>
          </w:p>
        </w:tc>
        <w:tc>
          <w:tcPr>
            <w:tcW w:w="238" w:type="pct"/>
            <w:tcBorders>
              <w:top w:val="single" w:sz="4" w:space="0" w:color="auto"/>
              <w:left w:val="single" w:sz="4" w:space="0" w:color="auto"/>
              <w:bottom w:val="single" w:sz="4" w:space="0" w:color="auto"/>
              <w:right w:val="single" w:sz="4" w:space="0" w:color="auto"/>
            </w:tcBorders>
            <w:vAlign w:val="center"/>
          </w:tcPr>
          <w:p w14:paraId="18254967" w14:textId="77777777" w:rsidR="005D372A" w:rsidRPr="00E0548A" w:rsidRDefault="005D372A" w:rsidP="005D372A">
            <w:pPr>
              <w:jc w:val="center"/>
              <w:rPr>
                <w:rFonts w:ascii="ＭＳ 明朝"/>
                <w:sz w:val="16"/>
                <w:szCs w:val="16"/>
              </w:rPr>
            </w:pPr>
          </w:p>
        </w:tc>
        <w:tc>
          <w:tcPr>
            <w:tcW w:w="222" w:type="pct"/>
            <w:tcBorders>
              <w:top w:val="single" w:sz="4" w:space="0" w:color="auto"/>
              <w:left w:val="single" w:sz="4" w:space="0" w:color="auto"/>
              <w:bottom w:val="single" w:sz="4" w:space="0" w:color="auto"/>
              <w:right w:val="single" w:sz="4" w:space="0" w:color="auto"/>
            </w:tcBorders>
          </w:tcPr>
          <w:p w14:paraId="697DBA2D" w14:textId="77777777" w:rsidR="005D372A" w:rsidRPr="00E0548A" w:rsidRDefault="005D372A" w:rsidP="005D372A">
            <w:pPr>
              <w:jc w:val="center"/>
              <w:rPr>
                <w:rFonts w:ascii="ＭＳ 明朝"/>
                <w:sz w:val="16"/>
                <w:szCs w:val="16"/>
              </w:rPr>
            </w:pPr>
            <w:r w:rsidRPr="00E0548A">
              <w:rPr>
                <w:rFonts w:ascii="ＭＳ 明朝" w:hint="eastAsia"/>
                <w:sz w:val="16"/>
                <w:szCs w:val="16"/>
              </w:rPr>
              <w:t>○</w:t>
            </w:r>
          </w:p>
        </w:tc>
        <w:tc>
          <w:tcPr>
            <w:tcW w:w="222" w:type="pct"/>
            <w:tcBorders>
              <w:top w:val="single" w:sz="4" w:space="0" w:color="auto"/>
              <w:left w:val="single" w:sz="4" w:space="0" w:color="auto"/>
              <w:bottom w:val="single" w:sz="4" w:space="0" w:color="auto"/>
              <w:right w:val="single" w:sz="4" w:space="0" w:color="auto"/>
            </w:tcBorders>
            <w:shd w:val="clear" w:color="auto" w:fill="FFFFFF"/>
            <w:vAlign w:val="center"/>
          </w:tcPr>
          <w:p w14:paraId="175C2E4F" w14:textId="77777777" w:rsidR="005D372A" w:rsidRPr="00E0548A" w:rsidRDefault="005D372A" w:rsidP="005D372A">
            <w:pPr>
              <w:jc w:val="center"/>
              <w:rPr>
                <w:rFonts w:ascii="ＭＳ 明朝"/>
                <w:sz w:val="16"/>
                <w:szCs w:val="16"/>
              </w:rPr>
            </w:pPr>
          </w:p>
        </w:tc>
        <w:tc>
          <w:tcPr>
            <w:tcW w:w="220" w:type="pct"/>
            <w:tcBorders>
              <w:top w:val="single" w:sz="4" w:space="0" w:color="auto"/>
              <w:left w:val="single" w:sz="4" w:space="0" w:color="auto"/>
              <w:bottom w:val="single" w:sz="4" w:space="0" w:color="auto"/>
              <w:right w:val="single" w:sz="4" w:space="0" w:color="auto"/>
            </w:tcBorders>
            <w:vAlign w:val="center"/>
          </w:tcPr>
          <w:p w14:paraId="46695DFF" w14:textId="77777777" w:rsidR="005D372A" w:rsidRPr="00E0548A" w:rsidRDefault="005D372A" w:rsidP="005D372A">
            <w:pPr>
              <w:jc w:val="center"/>
              <w:rPr>
                <w:rFonts w:ascii="ＭＳ 明朝"/>
                <w:sz w:val="16"/>
                <w:szCs w:val="16"/>
              </w:rPr>
            </w:pPr>
          </w:p>
        </w:tc>
        <w:tc>
          <w:tcPr>
            <w:tcW w:w="228" w:type="pct"/>
            <w:tcBorders>
              <w:top w:val="single" w:sz="4" w:space="0" w:color="auto"/>
              <w:left w:val="single" w:sz="4" w:space="0" w:color="auto"/>
              <w:bottom w:val="single" w:sz="4" w:space="0" w:color="auto"/>
              <w:right w:val="single" w:sz="4" w:space="0" w:color="auto"/>
            </w:tcBorders>
            <w:vAlign w:val="center"/>
            <w:hideMark/>
          </w:tcPr>
          <w:p w14:paraId="5347DC8C" w14:textId="77777777" w:rsidR="005D372A" w:rsidRPr="00E0548A" w:rsidRDefault="005D372A" w:rsidP="005D372A">
            <w:pPr>
              <w:jc w:val="center"/>
              <w:rPr>
                <w:rFonts w:ascii="ＭＳ 明朝"/>
                <w:sz w:val="16"/>
                <w:szCs w:val="16"/>
              </w:rPr>
            </w:pPr>
            <w:r w:rsidRPr="00E0548A">
              <w:rPr>
                <w:rFonts w:ascii="ＭＳ 明朝" w:hint="eastAsia"/>
                <w:sz w:val="16"/>
                <w:szCs w:val="16"/>
              </w:rPr>
              <w:t>○</w:t>
            </w:r>
          </w:p>
        </w:tc>
        <w:tc>
          <w:tcPr>
            <w:tcW w:w="228" w:type="pct"/>
            <w:tcBorders>
              <w:top w:val="single" w:sz="4" w:space="0" w:color="auto"/>
              <w:left w:val="single" w:sz="4" w:space="0" w:color="auto"/>
              <w:bottom w:val="single" w:sz="4" w:space="0" w:color="auto"/>
              <w:right w:val="single" w:sz="4" w:space="0" w:color="auto"/>
            </w:tcBorders>
            <w:vAlign w:val="center"/>
          </w:tcPr>
          <w:p w14:paraId="06E4C9B2" w14:textId="77777777" w:rsidR="005D372A" w:rsidRPr="00E0548A" w:rsidRDefault="005D372A" w:rsidP="005D372A">
            <w:pPr>
              <w:jc w:val="center"/>
              <w:rPr>
                <w:rFonts w:ascii="ＭＳ 明朝"/>
                <w:sz w:val="16"/>
                <w:szCs w:val="16"/>
              </w:rPr>
            </w:pPr>
          </w:p>
        </w:tc>
        <w:tc>
          <w:tcPr>
            <w:tcW w:w="228" w:type="pct"/>
            <w:tcBorders>
              <w:top w:val="single" w:sz="4" w:space="0" w:color="auto"/>
              <w:left w:val="single" w:sz="4" w:space="0" w:color="auto"/>
              <w:bottom w:val="single" w:sz="4" w:space="0" w:color="auto"/>
              <w:right w:val="single" w:sz="4" w:space="0" w:color="auto"/>
            </w:tcBorders>
            <w:vAlign w:val="center"/>
          </w:tcPr>
          <w:p w14:paraId="121A552F" w14:textId="77777777" w:rsidR="005D372A" w:rsidRPr="00E0548A" w:rsidRDefault="005D372A" w:rsidP="005D372A">
            <w:pPr>
              <w:jc w:val="center"/>
              <w:rPr>
                <w:rFonts w:ascii="ＭＳ 明朝"/>
                <w:sz w:val="16"/>
                <w:szCs w:val="16"/>
              </w:rPr>
            </w:pPr>
          </w:p>
        </w:tc>
        <w:tc>
          <w:tcPr>
            <w:tcW w:w="228" w:type="pct"/>
            <w:tcBorders>
              <w:top w:val="single" w:sz="4" w:space="0" w:color="auto"/>
              <w:left w:val="single" w:sz="4" w:space="0" w:color="auto"/>
              <w:bottom w:val="single" w:sz="4" w:space="0" w:color="auto"/>
              <w:right w:val="single" w:sz="4" w:space="0" w:color="auto"/>
            </w:tcBorders>
            <w:vAlign w:val="center"/>
          </w:tcPr>
          <w:p w14:paraId="1742A34D" w14:textId="77777777" w:rsidR="005D372A" w:rsidRPr="00E0548A" w:rsidRDefault="005D372A" w:rsidP="005D372A">
            <w:pPr>
              <w:jc w:val="center"/>
              <w:rPr>
                <w:rFonts w:ascii="ＭＳ 明朝"/>
                <w:sz w:val="16"/>
                <w:szCs w:val="16"/>
              </w:rPr>
            </w:pPr>
          </w:p>
        </w:tc>
        <w:tc>
          <w:tcPr>
            <w:tcW w:w="228" w:type="pct"/>
            <w:tcBorders>
              <w:top w:val="single" w:sz="4" w:space="0" w:color="auto"/>
              <w:left w:val="single" w:sz="4" w:space="0" w:color="auto"/>
              <w:bottom w:val="single" w:sz="4" w:space="0" w:color="auto"/>
              <w:right w:val="single" w:sz="4" w:space="0" w:color="auto"/>
            </w:tcBorders>
            <w:vAlign w:val="center"/>
          </w:tcPr>
          <w:p w14:paraId="727F6F6D" w14:textId="77777777" w:rsidR="005D372A" w:rsidRPr="00E0548A" w:rsidRDefault="005D372A" w:rsidP="005D372A">
            <w:pPr>
              <w:jc w:val="center"/>
              <w:rPr>
                <w:rFonts w:ascii="ＭＳ 明朝"/>
                <w:sz w:val="16"/>
                <w:szCs w:val="16"/>
              </w:rPr>
            </w:pPr>
          </w:p>
        </w:tc>
        <w:tc>
          <w:tcPr>
            <w:tcW w:w="259" w:type="pct"/>
            <w:tcBorders>
              <w:top w:val="single" w:sz="4" w:space="0" w:color="auto"/>
              <w:left w:val="single" w:sz="4" w:space="0" w:color="auto"/>
              <w:bottom w:val="single" w:sz="4" w:space="0" w:color="auto"/>
              <w:right w:val="single" w:sz="4" w:space="0" w:color="auto"/>
            </w:tcBorders>
            <w:vAlign w:val="center"/>
          </w:tcPr>
          <w:p w14:paraId="1DE29A1E" w14:textId="77777777" w:rsidR="005D372A" w:rsidRPr="00E0548A" w:rsidRDefault="005D372A" w:rsidP="005D372A">
            <w:pPr>
              <w:jc w:val="center"/>
              <w:rPr>
                <w:rFonts w:ascii="ＭＳ 明朝"/>
                <w:sz w:val="16"/>
                <w:szCs w:val="16"/>
              </w:rPr>
            </w:pPr>
          </w:p>
        </w:tc>
        <w:tc>
          <w:tcPr>
            <w:tcW w:w="211" w:type="pct"/>
            <w:tcBorders>
              <w:top w:val="single" w:sz="4" w:space="0" w:color="auto"/>
              <w:left w:val="single" w:sz="4" w:space="0" w:color="auto"/>
              <w:bottom w:val="single" w:sz="4" w:space="0" w:color="auto"/>
              <w:right w:val="single" w:sz="4" w:space="0" w:color="auto"/>
            </w:tcBorders>
            <w:shd w:val="clear" w:color="auto" w:fill="FFFFFF"/>
            <w:vAlign w:val="center"/>
          </w:tcPr>
          <w:p w14:paraId="193F2B92" w14:textId="77777777" w:rsidR="005D372A" w:rsidRPr="00E0548A" w:rsidRDefault="005D372A" w:rsidP="005D372A">
            <w:pPr>
              <w:jc w:val="center"/>
              <w:rPr>
                <w:rFonts w:ascii="ＭＳ 明朝"/>
                <w:sz w:val="16"/>
                <w:szCs w:val="16"/>
              </w:rPr>
            </w:pPr>
          </w:p>
        </w:tc>
        <w:tc>
          <w:tcPr>
            <w:tcW w:w="226" w:type="pct"/>
            <w:tcBorders>
              <w:top w:val="single" w:sz="4" w:space="0" w:color="auto"/>
              <w:left w:val="single" w:sz="4" w:space="0" w:color="auto"/>
              <w:bottom w:val="single" w:sz="4" w:space="0" w:color="auto"/>
              <w:right w:val="single" w:sz="4" w:space="0" w:color="auto"/>
            </w:tcBorders>
            <w:shd w:val="clear" w:color="auto" w:fill="FFFFFF"/>
            <w:vAlign w:val="center"/>
          </w:tcPr>
          <w:p w14:paraId="27773C22" w14:textId="77777777" w:rsidR="005D372A" w:rsidRPr="00E0548A" w:rsidRDefault="005D372A" w:rsidP="005D372A">
            <w:pPr>
              <w:jc w:val="center"/>
              <w:rPr>
                <w:rFonts w:ascii="ＭＳ 明朝"/>
                <w:sz w:val="16"/>
                <w:szCs w:val="16"/>
              </w:rPr>
            </w:pPr>
          </w:p>
        </w:tc>
        <w:tc>
          <w:tcPr>
            <w:tcW w:w="217" w:type="pct"/>
            <w:tcBorders>
              <w:top w:val="single" w:sz="4" w:space="0" w:color="auto"/>
              <w:left w:val="single" w:sz="4" w:space="0" w:color="auto"/>
              <w:bottom w:val="single" w:sz="4" w:space="0" w:color="auto"/>
              <w:right w:val="single" w:sz="4" w:space="0" w:color="auto"/>
            </w:tcBorders>
            <w:shd w:val="clear" w:color="auto" w:fill="FFFFFF"/>
            <w:vAlign w:val="center"/>
          </w:tcPr>
          <w:p w14:paraId="244AB1C1" w14:textId="77777777" w:rsidR="005D372A" w:rsidRPr="00E0548A" w:rsidRDefault="005D372A" w:rsidP="005D372A">
            <w:pPr>
              <w:jc w:val="center"/>
              <w:rPr>
                <w:rFonts w:ascii="ＭＳ 明朝"/>
                <w:sz w:val="16"/>
                <w:szCs w:val="16"/>
              </w:rPr>
            </w:pPr>
          </w:p>
        </w:tc>
      </w:tr>
      <w:tr w:rsidR="001D6D10" w:rsidRPr="00E0548A" w14:paraId="44DE7869" w14:textId="77777777" w:rsidTr="008B4B2B">
        <w:trPr>
          <w:trHeight w:hRule="exact" w:val="334"/>
        </w:trPr>
        <w:tc>
          <w:tcPr>
            <w:tcW w:w="244" w:type="pct"/>
            <w:tcBorders>
              <w:top w:val="single" w:sz="4" w:space="0" w:color="auto"/>
              <w:left w:val="single" w:sz="4" w:space="0" w:color="auto"/>
              <w:bottom w:val="single" w:sz="4" w:space="0" w:color="auto"/>
              <w:right w:val="single" w:sz="4" w:space="0" w:color="auto"/>
            </w:tcBorders>
            <w:vAlign w:val="center"/>
          </w:tcPr>
          <w:p w14:paraId="5CD4647F" w14:textId="77777777" w:rsidR="005D372A" w:rsidRPr="00E0548A" w:rsidRDefault="005D372A" w:rsidP="005D372A">
            <w:pPr>
              <w:jc w:val="center"/>
              <w:rPr>
                <w:rFonts w:ascii="ＭＳ 明朝"/>
                <w:sz w:val="16"/>
                <w:szCs w:val="16"/>
              </w:rPr>
            </w:pPr>
            <w:r w:rsidRPr="00E0548A">
              <w:rPr>
                <w:rFonts w:ascii="ＭＳ 明朝" w:hint="eastAsia"/>
                <w:sz w:val="16"/>
                <w:szCs w:val="16"/>
              </w:rPr>
              <w:t>11</w:t>
            </w:r>
          </w:p>
        </w:tc>
        <w:tc>
          <w:tcPr>
            <w:tcW w:w="233" w:type="pct"/>
            <w:vMerge/>
            <w:tcBorders>
              <w:left w:val="single" w:sz="4" w:space="0" w:color="auto"/>
              <w:right w:val="single" w:sz="4" w:space="0" w:color="auto"/>
            </w:tcBorders>
            <w:vAlign w:val="center"/>
          </w:tcPr>
          <w:p w14:paraId="5B2038E6" w14:textId="77777777" w:rsidR="005D372A" w:rsidRPr="00E0548A" w:rsidRDefault="005D372A" w:rsidP="005D372A">
            <w:pPr>
              <w:spacing w:line="240" w:lineRule="atLeast"/>
              <w:jc w:val="center"/>
              <w:rPr>
                <w:rFonts w:ascii="ＭＳ 明朝"/>
                <w:sz w:val="16"/>
                <w:szCs w:val="16"/>
              </w:rPr>
            </w:pPr>
          </w:p>
        </w:tc>
        <w:tc>
          <w:tcPr>
            <w:tcW w:w="1110" w:type="pct"/>
            <w:tcBorders>
              <w:top w:val="single" w:sz="4" w:space="0" w:color="auto"/>
              <w:left w:val="single" w:sz="4" w:space="0" w:color="auto"/>
              <w:bottom w:val="single" w:sz="4" w:space="0" w:color="auto"/>
              <w:right w:val="single" w:sz="4" w:space="0" w:color="auto"/>
            </w:tcBorders>
            <w:vAlign w:val="center"/>
            <w:hideMark/>
          </w:tcPr>
          <w:p w14:paraId="7E33A472" w14:textId="77777777" w:rsidR="005D372A" w:rsidRPr="00E0548A" w:rsidRDefault="005D372A" w:rsidP="005D372A">
            <w:pPr>
              <w:spacing w:line="240" w:lineRule="atLeast"/>
              <w:rPr>
                <w:rFonts w:ascii="ＭＳ 明朝"/>
                <w:sz w:val="16"/>
                <w:szCs w:val="16"/>
              </w:rPr>
            </w:pPr>
            <w:r w:rsidRPr="00E0548A">
              <w:rPr>
                <w:rFonts w:ascii="ＭＳ 明朝" w:hint="eastAsia"/>
                <w:sz w:val="16"/>
                <w:szCs w:val="16"/>
              </w:rPr>
              <w:t>財政課長</w:t>
            </w:r>
          </w:p>
        </w:tc>
        <w:tc>
          <w:tcPr>
            <w:tcW w:w="229" w:type="pct"/>
            <w:tcBorders>
              <w:top w:val="single" w:sz="4" w:space="0" w:color="auto"/>
              <w:left w:val="single" w:sz="4" w:space="0" w:color="auto"/>
              <w:bottom w:val="single" w:sz="4" w:space="0" w:color="auto"/>
              <w:right w:val="single" w:sz="4" w:space="0" w:color="auto"/>
            </w:tcBorders>
            <w:vAlign w:val="center"/>
          </w:tcPr>
          <w:p w14:paraId="1E38A1E7" w14:textId="64793A71" w:rsidR="005D372A" w:rsidRPr="00E0548A" w:rsidRDefault="0077356D" w:rsidP="005D372A">
            <w:pPr>
              <w:jc w:val="center"/>
              <w:rPr>
                <w:rFonts w:ascii="ＭＳ 明朝"/>
                <w:sz w:val="16"/>
                <w:szCs w:val="16"/>
              </w:rPr>
            </w:pPr>
            <w:r w:rsidRPr="00E0548A">
              <w:rPr>
                <w:rFonts w:ascii="ＭＳ 明朝" w:hint="eastAsia"/>
                <w:sz w:val="16"/>
                <w:szCs w:val="16"/>
              </w:rPr>
              <w:t>○</w:t>
            </w:r>
          </w:p>
        </w:tc>
        <w:tc>
          <w:tcPr>
            <w:tcW w:w="229" w:type="pct"/>
            <w:tcBorders>
              <w:top w:val="single" w:sz="4" w:space="0" w:color="auto"/>
              <w:left w:val="single" w:sz="4" w:space="0" w:color="auto"/>
              <w:bottom w:val="single" w:sz="4" w:space="0" w:color="auto"/>
              <w:right w:val="single" w:sz="4" w:space="0" w:color="auto"/>
            </w:tcBorders>
            <w:vAlign w:val="center"/>
          </w:tcPr>
          <w:p w14:paraId="7DA7D163" w14:textId="77777777" w:rsidR="005D372A" w:rsidRPr="00E0548A" w:rsidRDefault="005D372A" w:rsidP="005D372A">
            <w:pPr>
              <w:jc w:val="center"/>
              <w:rPr>
                <w:rFonts w:ascii="ＭＳ 明朝"/>
                <w:sz w:val="16"/>
                <w:szCs w:val="16"/>
              </w:rPr>
            </w:pPr>
          </w:p>
        </w:tc>
        <w:tc>
          <w:tcPr>
            <w:tcW w:w="238" w:type="pct"/>
            <w:tcBorders>
              <w:top w:val="single" w:sz="4" w:space="0" w:color="auto"/>
              <w:left w:val="single" w:sz="4" w:space="0" w:color="auto"/>
              <w:bottom w:val="single" w:sz="4" w:space="0" w:color="auto"/>
              <w:right w:val="single" w:sz="4" w:space="0" w:color="auto"/>
            </w:tcBorders>
            <w:vAlign w:val="center"/>
          </w:tcPr>
          <w:p w14:paraId="2A18C531" w14:textId="77777777" w:rsidR="005D372A" w:rsidRPr="00E0548A" w:rsidRDefault="005D372A" w:rsidP="005D372A">
            <w:pPr>
              <w:jc w:val="center"/>
              <w:rPr>
                <w:rFonts w:ascii="ＭＳ 明朝"/>
                <w:sz w:val="16"/>
                <w:szCs w:val="16"/>
              </w:rPr>
            </w:pPr>
          </w:p>
        </w:tc>
        <w:tc>
          <w:tcPr>
            <w:tcW w:w="222" w:type="pct"/>
            <w:tcBorders>
              <w:top w:val="single" w:sz="4" w:space="0" w:color="auto"/>
              <w:left w:val="single" w:sz="4" w:space="0" w:color="auto"/>
              <w:bottom w:val="single" w:sz="4" w:space="0" w:color="auto"/>
              <w:right w:val="single" w:sz="4" w:space="0" w:color="auto"/>
            </w:tcBorders>
          </w:tcPr>
          <w:p w14:paraId="1351B6F4" w14:textId="77777777" w:rsidR="005D372A" w:rsidRPr="00E0548A" w:rsidRDefault="005D372A" w:rsidP="005D372A">
            <w:pPr>
              <w:jc w:val="center"/>
              <w:rPr>
                <w:rFonts w:ascii="ＭＳ 明朝"/>
                <w:sz w:val="16"/>
                <w:szCs w:val="16"/>
              </w:rPr>
            </w:pPr>
            <w:r w:rsidRPr="00E0548A">
              <w:rPr>
                <w:rFonts w:ascii="ＭＳ 明朝" w:hint="eastAsia"/>
                <w:sz w:val="16"/>
                <w:szCs w:val="16"/>
              </w:rPr>
              <w:t>○</w:t>
            </w:r>
          </w:p>
        </w:tc>
        <w:tc>
          <w:tcPr>
            <w:tcW w:w="222" w:type="pct"/>
            <w:tcBorders>
              <w:top w:val="single" w:sz="4" w:space="0" w:color="auto"/>
              <w:left w:val="single" w:sz="4" w:space="0" w:color="auto"/>
              <w:bottom w:val="single" w:sz="4" w:space="0" w:color="auto"/>
              <w:right w:val="single" w:sz="4" w:space="0" w:color="auto"/>
            </w:tcBorders>
            <w:shd w:val="clear" w:color="auto" w:fill="FFFFFF"/>
            <w:vAlign w:val="center"/>
          </w:tcPr>
          <w:p w14:paraId="40E4736D" w14:textId="77777777" w:rsidR="005D372A" w:rsidRPr="00E0548A" w:rsidRDefault="005D372A" w:rsidP="005D372A">
            <w:pPr>
              <w:jc w:val="center"/>
              <w:rPr>
                <w:rFonts w:ascii="ＭＳ 明朝"/>
                <w:sz w:val="16"/>
                <w:szCs w:val="16"/>
              </w:rPr>
            </w:pPr>
          </w:p>
        </w:tc>
        <w:tc>
          <w:tcPr>
            <w:tcW w:w="220" w:type="pct"/>
            <w:tcBorders>
              <w:top w:val="single" w:sz="4" w:space="0" w:color="auto"/>
              <w:left w:val="single" w:sz="4" w:space="0" w:color="auto"/>
              <w:bottom w:val="single" w:sz="4" w:space="0" w:color="auto"/>
              <w:right w:val="single" w:sz="4" w:space="0" w:color="auto"/>
            </w:tcBorders>
            <w:vAlign w:val="center"/>
          </w:tcPr>
          <w:p w14:paraId="172CECB3" w14:textId="77777777" w:rsidR="005D372A" w:rsidRPr="00E0548A" w:rsidRDefault="005D372A" w:rsidP="005D372A">
            <w:pPr>
              <w:jc w:val="center"/>
              <w:rPr>
                <w:rFonts w:ascii="ＭＳ 明朝"/>
                <w:sz w:val="16"/>
                <w:szCs w:val="16"/>
              </w:rPr>
            </w:pPr>
          </w:p>
        </w:tc>
        <w:tc>
          <w:tcPr>
            <w:tcW w:w="228" w:type="pct"/>
            <w:tcBorders>
              <w:top w:val="single" w:sz="4" w:space="0" w:color="auto"/>
              <w:left w:val="single" w:sz="4" w:space="0" w:color="auto"/>
              <w:bottom w:val="single" w:sz="4" w:space="0" w:color="auto"/>
              <w:right w:val="single" w:sz="4" w:space="0" w:color="auto"/>
            </w:tcBorders>
            <w:vAlign w:val="center"/>
          </w:tcPr>
          <w:p w14:paraId="3181492C" w14:textId="77777777" w:rsidR="005D372A" w:rsidRPr="00E0548A" w:rsidRDefault="005D372A" w:rsidP="005D372A">
            <w:pPr>
              <w:jc w:val="center"/>
              <w:rPr>
                <w:rFonts w:ascii="ＭＳ 明朝"/>
                <w:sz w:val="16"/>
                <w:szCs w:val="16"/>
              </w:rPr>
            </w:pPr>
          </w:p>
        </w:tc>
        <w:tc>
          <w:tcPr>
            <w:tcW w:w="228" w:type="pct"/>
            <w:tcBorders>
              <w:top w:val="single" w:sz="4" w:space="0" w:color="auto"/>
              <w:left w:val="single" w:sz="4" w:space="0" w:color="auto"/>
              <w:bottom w:val="single" w:sz="4" w:space="0" w:color="auto"/>
              <w:right w:val="single" w:sz="4" w:space="0" w:color="auto"/>
            </w:tcBorders>
            <w:vAlign w:val="center"/>
          </w:tcPr>
          <w:p w14:paraId="47E0F506" w14:textId="77777777" w:rsidR="005D372A" w:rsidRPr="00E0548A" w:rsidRDefault="005D372A" w:rsidP="005D372A">
            <w:pPr>
              <w:jc w:val="center"/>
              <w:rPr>
                <w:rFonts w:ascii="ＭＳ 明朝"/>
                <w:sz w:val="16"/>
                <w:szCs w:val="16"/>
              </w:rPr>
            </w:pPr>
          </w:p>
        </w:tc>
        <w:tc>
          <w:tcPr>
            <w:tcW w:w="228" w:type="pct"/>
            <w:tcBorders>
              <w:top w:val="single" w:sz="4" w:space="0" w:color="auto"/>
              <w:left w:val="single" w:sz="4" w:space="0" w:color="auto"/>
              <w:bottom w:val="single" w:sz="4" w:space="0" w:color="auto"/>
              <w:right w:val="single" w:sz="4" w:space="0" w:color="auto"/>
            </w:tcBorders>
            <w:vAlign w:val="center"/>
          </w:tcPr>
          <w:p w14:paraId="1C24D16E" w14:textId="77777777" w:rsidR="005D372A" w:rsidRPr="00E0548A" w:rsidRDefault="005D372A" w:rsidP="005D372A">
            <w:pPr>
              <w:jc w:val="center"/>
              <w:rPr>
                <w:rFonts w:ascii="ＭＳ 明朝"/>
                <w:sz w:val="16"/>
                <w:szCs w:val="16"/>
              </w:rPr>
            </w:pPr>
          </w:p>
        </w:tc>
        <w:tc>
          <w:tcPr>
            <w:tcW w:w="228" w:type="pct"/>
            <w:tcBorders>
              <w:top w:val="single" w:sz="4" w:space="0" w:color="auto"/>
              <w:left w:val="single" w:sz="4" w:space="0" w:color="auto"/>
              <w:bottom w:val="single" w:sz="4" w:space="0" w:color="auto"/>
              <w:right w:val="single" w:sz="4" w:space="0" w:color="auto"/>
            </w:tcBorders>
            <w:vAlign w:val="center"/>
          </w:tcPr>
          <w:p w14:paraId="4B83322A" w14:textId="77777777" w:rsidR="005D372A" w:rsidRPr="00E0548A" w:rsidRDefault="005D372A" w:rsidP="005D372A">
            <w:pPr>
              <w:jc w:val="center"/>
              <w:rPr>
                <w:rFonts w:ascii="ＭＳ 明朝"/>
                <w:sz w:val="16"/>
                <w:szCs w:val="16"/>
              </w:rPr>
            </w:pPr>
          </w:p>
        </w:tc>
        <w:tc>
          <w:tcPr>
            <w:tcW w:w="228" w:type="pct"/>
            <w:tcBorders>
              <w:top w:val="single" w:sz="4" w:space="0" w:color="auto"/>
              <w:left w:val="single" w:sz="4" w:space="0" w:color="auto"/>
              <w:bottom w:val="single" w:sz="4" w:space="0" w:color="auto"/>
              <w:right w:val="single" w:sz="4" w:space="0" w:color="auto"/>
            </w:tcBorders>
            <w:vAlign w:val="center"/>
          </w:tcPr>
          <w:p w14:paraId="032860DC" w14:textId="77777777" w:rsidR="005D372A" w:rsidRPr="00E0548A" w:rsidRDefault="005D372A" w:rsidP="005D372A">
            <w:pPr>
              <w:jc w:val="center"/>
              <w:rPr>
                <w:rFonts w:ascii="ＭＳ 明朝"/>
                <w:sz w:val="16"/>
                <w:szCs w:val="16"/>
              </w:rPr>
            </w:pPr>
          </w:p>
        </w:tc>
        <w:tc>
          <w:tcPr>
            <w:tcW w:w="259" w:type="pct"/>
            <w:tcBorders>
              <w:top w:val="single" w:sz="4" w:space="0" w:color="auto"/>
              <w:left w:val="single" w:sz="4" w:space="0" w:color="auto"/>
              <w:bottom w:val="single" w:sz="4" w:space="0" w:color="auto"/>
              <w:right w:val="single" w:sz="4" w:space="0" w:color="auto"/>
            </w:tcBorders>
            <w:vAlign w:val="center"/>
          </w:tcPr>
          <w:p w14:paraId="3F18851B" w14:textId="77777777" w:rsidR="005D372A" w:rsidRPr="00E0548A" w:rsidRDefault="005D372A" w:rsidP="005D372A">
            <w:pPr>
              <w:jc w:val="center"/>
              <w:rPr>
                <w:rFonts w:ascii="ＭＳ 明朝"/>
                <w:sz w:val="16"/>
                <w:szCs w:val="16"/>
              </w:rPr>
            </w:pPr>
          </w:p>
        </w:tc>
        <w:tc>
          <w:tcPr>
            <w:tcW w:w="211" w:type="pct"/>
            <w:tcBorders>
              <w:top w:val="single" w:sz="4" w:space="0" w:color="auto"/>
              <w:left w:val="single" w:sz="4" w:space="0" w:color="auto"/>
              <w:bottom w:val="single" w:sz="4" w:space="0" w:color="auto"/>
              <w:right w:val="single" w:sz="4" w:space="0" w:color="auto"/>
            </w:tcBorders>
            <w:shd w:val="clear" w:color="auto" w:fill="FFFFFF"/>
            <w:vAlign w:val="center"/>
          </w:tcPr>
          <w:p w14:paraId="2AB72498" w14:textId="77777777" w:rsidR="005D372A" w:rsidRPr="00E0548A" w:rsidRDefault="005D372A" w:rsidP="005D372A">
            <w:pPr>
              <w:jc w:val="center"/>
              <w:rPr>
                <w:rFonts w:ascii="ＭＳ 明朝"/>
                <w:sz w:val="16"/>
                <w:szCs w:val="16"/>
              </w:rPr>
            </w:pPr>
          </w:p>
        </w:tc>
        <w:tc>
          <w:tcPr>
            <w:tcW w:w="226" w:type="pct"/>
            <w:tcBorders>
              <w:top w:val="single" w:sz="4" w:space="0" w:color="auto"/>
              <w:left w:val="single" w:sz="4" w:space="0" w:color="auto"/>
              <w:bottom w:val="single" w:sz="4" w:space="0" w:color="auto"/>
              <w:right w:val="single" w:sz="4" w:space="0" w:color="auto"/>
            </w:tcBorders>
            <w:shd w:val="clear" w:color="auto" w:fill="FFFFFF"/>
            <w:vAlign w:val="center"/>
          </w:tcPr>
          <w:p w14:paraId="4F03A625" w14:textId="77777777" w:rsidR="005D372A" w:rsidRPr="00E0548A" w:rsidRDefault="005D372A" w:rsidP="005D372A">
            <w:pPr>
              <w:jc w:val="center"/>
              <w:rPr>
                <w:rFonts w:ascii="ＭＳ 明朝"/>
                <w:sz w:val="16"/>
                <w:szCs w:val="16"/>
              </w:rPr>
            </w:pPr>
            <w:r w:rsidRPr="00E0548A">
              <w:rPr>
                <w:rFonts w:ascii="ＭＳ 明朝" w:hint="eastAsia"/>
                <w:sz w:val="16"/>
                <w:szCs w:val="16"/>
              </w:rPr>
              <w:t>○</w:t>
            </w:r>
          </w:p>
        </w:tc>
        <w:tc>
          <w:tcPr>
            <w:tcW w:w="217" w:type="pct"/>
            <w:tcBorders>
              <w:top w:val="single" w:sz="4" w:space="0" w:color="auto"/>
              <w:left w:val="single" w:sz="4" w:space="0" w:color="auto"/>
              <w:bottom w:val="single" w:sz="4" w:space="0" w:color="auto"/>
              <w:right w:val="single" w:sz="4" w:space="0" w:color="auto"/>
            </w:tcBorders>
            <w:shd w:val="clear" w:color="auto" w:fill="FFFFFF"/>
            <w:vAlign w:val="center"/>
          </w:tcPr>
          <w:p w14:paraId="5A09CBDB" w14:textId="77777777" w:rsidR="005D372A" w:rsidRPr="00E0548A" w:rsidRDefault="005D372A" w:rsidP="005D372A">
            <w:pPr>
              <w:jc w:val="center"/>
              <w:rPr>
                <w:rFonts w:ascii="ＭＳ 明朝"/>
                <w:sz w:val="16"/>
                <w:szCs w:val="16"/>
              </w:rPr>
            </w:pPr>
          </w:p>
        </w:tc>
      </w:tr>
      <w:tr w:rsidR="001D6D10" w:rsidRPr="00E0548A" w14:paraId="1985FC8F" w14:textId="77777777" w:rsidTr="008B4B2B">
        <w:trPr>
          <w:trHeight w:hRule="exact" w:val="334"/>
        </w:trPr>
        <w:tc>
          <w:tcPr>
            <w:tcW w:w="244" w:type="pct"/>
            <w:tcBorders>
              <w:top w:val="single" w:sz="4" w:space="0" w:color="auto"/>
              <w:left w:val="single" w:sz="4" w:space="0" w:color="auto"/>
              <w:bottom w:val="single" w:sz="4" w:space="0" w:color="auto"/>
              <w:right w:val="single" w:sz="4" w:space="0" w:color="auto"/>
            </w:tcBorders>
            <w:vAlign w:val="center"/>
          </w:tcPr>
          <w:p w14:paraId="25BE248B" w14:textId="77777777" w:rsidR="005D372A" w:rsidRPr="00E0548A" w:rsidRDefault="005D372A" w:rsidP="005D372A">
            <w:pPr>
              <w:jc w:val="center"/>
              <w:rPr>
                <w:rFonts w:ascii="ＭＳ 明朝"/>
                <w:sz w:val="16"/>
                <w:szCs w:val="16"/>
              </w:rPr>
            </w:pPr>
            <w:r w:rsidRPr="00E0548A">
              <w:rPr>
                <w:rFonts w:ascii="ＭＳ 明朝" w:hint="eastAsia"/>
                <w:sz w:val="16"/>
                <w:szCs w:val="16"/>
              </w:rPr>
              <w:t>12</w:t>
            </w:r>
          </w:p>
        </w:tc>
        <w:tc>
          <w:tcPr>
            <w:tcW w:w="233" w:type="pct"/>
            <w:vMerge/>
            <w:tcBorders>
              <w:left w:val="single" w:sz="4" w:space="0" w:color="auto"/>
              <w:right w:val="single" w:sz="4" w:space="0" w:color="auto"/>
            </w:tcBorders>
            <w:vAlign w:val="center"/>
          </w:tcPr>
          <w:p w14:paraId="0A8CBE84" w14:textId="77777777" w:rsidR="005D372A" w:rsidRPr="00E0548A" w:rsidRDefault="005D372A" w:rsidP="005D372A">
            <w:pPr>
              <w:jc w:val="center"/>
              <w:rPr>
                <w:rFonts w:ascii="ＭＳ 明朝"/>
                <w:sz w:val="16"/>
                <w:szCs w:val="16"/>
              </w:rPr>
            </w:pPr>
          </w:p>
        </w:tc>
        <w:tc>
          <w:tcPr>
            <w:tcW w:w="1110" w:type="pct"/>
            <w:tcBorders>
              <w:top w:val="single" w:sz="4" w:space="0" w:color="auto"/>
              <w:left w:val="single" w:sz="4" w:space="0" w:color="auto"/>
              <w:bottom w:val="single" w:sz="4" w:space="0" w:color="auto"/>
              <w:right w:val="single" w:sz="4" w:space="0" w:color="auto"/>
            </w:tcBorders>
            <w:vAlign w:val="center"/>
            <w:hideMark/>
          </w:tcPr>
          <w:p w14:paraId="54759582" w14:textId="32F88A7E" w:rsidR="005D372A" w:rsidRPr="00E0548A" w:rsidRDefault="005D372A" w:rsidP="005D372A">
            <w:pPr>
              <w:rPr>
                <w:rFonts w:ascii="ＭＳ 明朝"/>
                <w:sz w:val="16"/>
                <w:szCs w:val="16"/>
              </w:rPr>
            </w:pPr>
            <w:r w:rsidRPr="00E0548A">
              <w:rPr>
                <w:rFonts w:ascii="ＭＳ 明朝" w:hint="eastAsia"/>
                <w:sz w:val="16"/>
                <w:szCs w:val="16"/>
              </w:rPr>
              <w:t>法務課長</w:t>
            </w:r>
          </w:p>
        </w:tc>
        <w:tc>
          <w:tcPr>
            <w:tcW w:w="229" w:type="pct"/>
            <w:tcBorders>
              <w:top w:val="single" w:sz="4" w:space="0" w:color="auto"/>
              <w:left w:val="single" w:sz="4" w:space="0" w:color="auto"/>
              <w:bottom w:val="single" w:sz="4" w:space="0" w:color="auto"/>
              <w:right w:val="single" w:sz="4" w:space="0" w:color="auto"/>
            </w:tcBorders>
            <w:vAlign w:val="center"/>
          </w:tcPr>
          <w:p w14:paraId="3DF587F9" w14:textId="77777777" w:rsidR="005D372A" w:rsidRPr="00E0548A" w:rsidRDefault="005D372A" w:rsidP="005D372A">
            <w:pPr>
              <w:jc w:val="center"/>
              <w:rPr>
                <w:rFonts w:ascii="ＭＳ 明朝"/>
                <w:sz w:val="16"/>
                <w:szCs w:val="16"/>
              </w:rPr>
            </w:pPr>
          </w:p>
        </w:tc>
        <w:tc>
          <w:tcPr>
            <w:tcW w:w="229" w:type="pct"/>
            <w:tcBorders>
              <w:top w:val="single" w:sz="4" w:space="0" w:color="auto"/>
              <w:left w:val="single" w:sz="4" w:space="0" w:color="auto"/>
              <w:bottom w:val="single" w:sz="4" w:space="0" w:color="auto"/>
              <w:right w:val="single" w:sz="4" w:space="0" w:color="auto"/>
            </w:tcBorders>
            <w:vAlign w:val="center"/>
          </w:tcPr>
          <w:p w14:paraId="0F6E3CF1" w14:textId="77777777" w:rsidR="005D372A" w:rsidRPr="00E0548A" w:rsidRDefault="005D372A" w:rsidP="005D372A">
            <w:pPr>
              <w:jc w:val="center"/>
              <w:rPr>
                <w:rFonts w:ascii="ＭＳ 明朝"/>
                <w:sz w:val="16"/>
                <w:szCs w:val="16"/>
              </w:rPr>
            </w:pPr>
          </w:p>
        </w:tc>
        <w:tc>
          <w:tcPr>
            <w:tcW w:w="238" w:type="pct"/>
            <w:tcBorders>
              <w:top w:val="single" w:sz="4" w:space="0" w:color="auto"/>
              <w:left w:val="single" w:sz="4" w:space="0" w:color="auto"/>
              <w:bottom w:val="single" w:sz="4" w:space="0" w:color="auto"/>
              <w:right w:val="single" w:sz="4" w:space="0" w:color="auto"/>
            </w:tcBorders>
            <w:vAlign w:val="center"/>
          </w:tcPr>
          <w:p w14:paraId="1324A918" w14:textId="77777777" w:rsidR="005D372A" w:rsidRPr="00E0548A" w:rsidRDefault="005D372A" w:rsidP="005D372A">
            <w:pPr>
              <w:jc w:val="center"/>
              <w:rPr>
                <w:rFonts w:ascii="ＭＳ 明朝"/>
                <w:sz w:val="16"/>
                <w:szCs w:val="16"/>
              </w:rPr>
            </w:pPr>
          </w:p>
        </w:tc>
        <w:tc>
          <w:tcPr>
            <w:tcW w:w="222" w:type="pct"/>
            <w:tcBorders>
              <w:top w:val="single" w:sz="4" w:space="0" w:color="auto"/>
              <w:left w:val="single" w:sz="4" w:space="0" w:color="auto"/>
              <w:bottom w:val="single" w:sz="4" w:space="0" w:color="auto"/>
              <w:right w:val="single" w:sz="4" w:space="0" w:color="auto"/>
            </w:tcBorders>
          </w:tcPr>
          <w:p w14:paraId="0077B266" w14:textId="77777777" w:rsidR="005D372A" w:rsidRPr="00E0548A" w:rsidRDefault="005D372A" w:rsidP="005D372A">
            <w:pPr>
              <w:jc w:val="center"/>
              <w:rPr>
                <w:rFonts w:ascii="ＭＳ 明朝"/>
                <w:sz w:val="16"/>
                <w:szCs w:val="16"/>
              </w:rPr>
            </w:pPr>
            <w:r w:rsidRPr="00E0548A">
              <w:rPr>
                <w:rFonts w:ascii="ＭＳ 明朝" w:hint="eastAsia"/>
                <w:sz w:val="16"/>
                <w:szCs w:val="16"/>
              </w:rPr>
              <w:t>○</w:t>
            </w:r>
          </w:p>
        </w:tc>
        <w:tc>
          <w:tcPr>
            <w:tcW w:w="222" w:type="pct"/>
            <w:tcBorders>
              <w:top w:val="single" w:sz="4" w:space="0" w:color="auto"/>
              <w:left w:val="single" w:sz="4" w:space="0" w:color="auto"/>
              <w:bottom w:val="single" w:sz="4" w:space="0" w:color="auto"/>
              <w:right w:val="single" w:sz="4" w:space="0" w:color="auto"/>
            </w:tcBorders>
            <w:shd w:val="clear" w:color="auto" w:fill="FFFFFF"/>
            <w:vAlign w:val="center"/>
          </w:tcPr>
          <w:p w14:paraId="0B039AC5" w14:textId="77777777" w:rsidR="005D372A" w:rsidRPr="00E0548A" w:rsidRDefault="005D372A" w:rsidP="005D372A">
            <w:pPr>
              <w:jc w:val="center"/>
              <w:rPr>
                <w:rFonts w:ascii="ＭＳ 明朝"/>
                <w:sz w:val="16"/>
                <w:szCs w:val="16"/>
              </w:rPr>
            </w:pPr>
          </w:p>
        </w:tc>
        <w:tc>
          <w:tcPr>
            <w:tcW w:w="220" w:type="pct"/>
            <w:tcBorders>
              <w:top w:val="single" w:sz="4" w:space="0" w:color="auto"/>
              <w:left w:val="single" w:sz="4" w:space="0" w:color="auto"/>
              <w:bottom w:val="single" w:sz="4" w:space="0" w:color="auto"/>
              <w:right w:val="single" w:sz="4" w:space="0" w:color="auto"/>
            </w:tcBorders>
            <w:vAlign w:val="center"/>
          </w:tcPr>
          <w:p w14:paraId="24553563" w14:textId="77777777" w:rsidR="005D372A" w:rsidRPr="00E0548A" w:rsidRDefault="005D372A" w:rsidP="005D372A">
            <w:pPr>
              <w:jc w:val="center"/>
              <w:rPr>
                <w:rFonts w:ascii="ＭＳ 明朝"/>
                <w:sz w:val="16"/>
                <w:szCs w:val="16"/>
              </w:rPr>
            </w:pPr>
          </w:p>
        </w:tc>
        <w:tc>
          <w:tcPr>
            <w:tcW w:w="228" w:type="pct"/>
            <w:tcBorders>
              <w:top w:val="single" w:sz="4" w:space="0" w:color="auto"/>
              <w:left w:val="single" w:sz="4" w:space="0" w:color="auto"/>
              <w:bottom w:val="single" w:sz="4" w:space="0" w:color="auto"/>
              <w:right w:val="single" w:sz="4" w:space="0" w:color="auto"/>
            </w:tcBorders>
            <w:vAlign w:val="center"/>
          </w:tcPr>
          <w:p w14:paraId="73EDD052" w14:textId="77777777" w:rsidR="005D372A" w:rsidRPr="00E0548A" w:rsidRDefault="005D372A" w:rsidP="005D372A">
            <w:pPr>
              <w:jc w:val="center"/>
              <w:rPr>
                <w:rFonts w:ascii="ＭＳ 明朝"/>
                <w:sz w:val="16"/>
                <w:szCs w:val="16"/>
              </w:rPr>
            </w:pPr>
          </w:p>
        </w:tc>
        <w:tc>
          <w:tcPr>
            <w:tcW w:w="228" w:type="pct"/>
            <w:tcBorders>
              <w:top w:val="single" w:sz="4" w:space="0" w:color="auto"/>
              <w:left w:val="single" w:sz="4" w:space="0" w:color="auto"/>
              <w:bottom w:val="single" w:sz="4" w:space="0" w:color="auto"/>
              <w:right w:val="single" w:sz="4" w:space="0" w:color="auto"/>
            </w:tcBorders>
            <w:vAlign w:val="center"/>
          </w:tcPr>
          <w:p w14:paraId="055DC893" w14:textId="77777777" w:rsidR="005D372A" w:rsidRPr="00E0548A" w:rsidRDefault="005D372A" w:rsidP="005D372A">
            <w:pPr>
              <w:jc w:val="center"/>
              <w:rPr>
                <w:rFonts w:ascii="ＭＳ 明朝"/>
                <w:sz w:val="16"/>
                <w:szCs w:val="16"/>
              </w:rPr>
            </w:pPr>
          </w:p>
        </w:tc>
        <w:tc>
          <w:tcPr>
            <w:tcW w:w="228" w:type="pct"/>
            <w:tcBorders>
              <w:top w:val="single" w:sz="4" w:space="0" w:color="auto"/>
              <w:left w:val="single" w:sz="4" w:space="0" w:color="auto"/>
              <w:bottom w:val="single" w:sz="4" w:space="0" w:color="auto"/>
              <w:right w:val="single" w:sz="4" w:space="0" w:color="auto"/>
            </w:tcBorders>
            <w:vAlign w:val="center"/>
          </w:tcPr>
          <w:p w14:paraId="79E4651F" w14:textId="77777777" w:rsidR="005D372A" w:rsidRPr="00E0548A" w:rsidRDefault="005D372A" w:rsidP="005D372A">
            <w:pPr>
              <w:jc w:val="center"/>
              <w:rPr>
                <w:rFonts w:ascii="ＭＳ 明朝"/>
                <w:sz w:val="16"/>
                <w:szCs w:val="16"/>
              </w:rPr>
            </w:pPr>
          </w:p>
        </w:tc>
        <w:tc>
          <w:tcPr>
            <w:tcW w:w="228" w:type="pct"/>
            <w:tcBorders>
              <w:top w:val="single" w:sz="4" w:space="0" w:color="auto"/>
              <w:left w:val="single" w:sz="4" w:space="0" w:color="auto"/>
              <w:bottom w:val="single" w:sz="4" w:space="0" w:color="auto"/>
              <w:right w:val="single" w:sz="4" w:space="0" w:color="auto"/>
            </w:tcBorders>
            <w:vAlign w:val="center"/>
          </w:tcPr>
          <w:p w14:paraId="4A085F88" w14:textId="77777777" w:rsidR="005D372A" w:rsidRPr="00E0548A" w:rsidRDefault="005D372A" w:rsidP="005D372A">
            <w:pPr>
              <w:jc w:val="center"/>
              <w:rPr>
                <w:rFonts w:ascii="ＭＳ 明朝"/>
                <w:sz w:val="16"/>
                <w:szCs w:val="16"/>
              </w:rPr>
            </w:pPr>
          </w:p>
        </w:tc>
        <w:tc>
          <w:tcPr>
            <w:tcW w:w="228" w:type="pct"/>
            <w:tcBorders>
              <w:top w:val="single" w:sz="4" w:space="0" w:color="auto"/>
              <w:left w:val="single" w:sz="4" w:space="0" w:color="auto"/>
              <w:bottom w:val="single" w:sz="4" w:space="0" w:color="auto"/>
              <w:right w:val="single" w:sz="4" w:space="0" w:color="auto"/>
            </w:tcBorders>
            <w:vAlign w:val="center"/>
          </w:tcPr>
          <w:p w14:paraId="3E45B541" w14:textId="77777777" w:rsidR="005D372A" w:rsidRPr="00E0548A" w:rsidRDefault="005D372A" w:rsidP="005D372A">
            <w:pPr>
              <w:jc w:val="center"/>
              <w:rPr>
                <w:rFonts w:ascii="ＭＳ 明朝"/>
                <w:sz w:val="16"/>
                <w:szCs w:val="16"/>
              </w:rPr>
            </w:pPr>
          </w:p>
        </w:tc>
        <w:tc>
          <w:tcPr>
            <w:tcW w:w="259" w:type="pct"/>
            <w:tcBorders>
              <w:top w:val="single" w:sz="4" w:space="0" w:color="auto"/>
              <w:left w:val="single" w:sz="4" w:space="0" w:color="auto"/>
              <w:bottom w:val="single" w:sz="4" w:space="0" w:color="auto"/>
              <w:right w:val="single" w:sz="4" w:space="0" w:color="auto"/>
            </w:tcBorders>
            <w:vAlign w:val="center"/>
          </w:tcPr>
          <w:p w14:paraId="13475815" w14:textId="77777777" w:rsidR="005D372A" w:rsidRPr="00E0548A" w:rsidRDefault="005D372A" w:rsidP="005D372A">
            <w:pPr>
              <w:jc w:val="center"/>
              <w:rPr>
                <w:rFonts w:ascii="ＭＳ 明朝"/>
                <w:sz w:val="16"/>
                <w:szCs w:val="16"/>
              </w:rPr>
            </w:pPr>
          </w:p>
        </w:tc>
        <w:tc>
          <w:tcPr>
            <w:tcW w:w="211" w:type="pct"/>
            <w:tcBorders>
              <w:top w:val="single" w:sz="4" w:space="0" w:color="auto"/>
              <w:left w:val="single" w:sz="4" w:space="0" w:color="auto"/>
              <w:bottom w:val="single" w:sz="4" w:space="0" w:color="auto"/>
              <w:right w:val="single" w:sz="4" w:space="0" w:color="auto"/>
            </w:tcBorders>
            <w:shd w:val="clear" w:color="auto" w:fill="FFFFFF"/>
            <w:vAlign w:val="center"/>
          </w:tcPr>
          <w:p w14:paraId="330ACC76" w14:textId="77777777" w:rsidR="005D372A" w:rsidRPr="00E0548A" w:rsidRDefault="005D372A" w:rsidP="005D372A">
            <w:pPr>
              <w:jc w:val="center"/>
              <w:rPr>
                <w:rFonts w:ascii="ＭＳ 明朝"/>
                <w:sz w:val="16"/>
                <w:szCs w:val="16"/>
              </w:rPr>
            </w:pPr>
          </w:p>
        </w:tc>
        <w:tc>
          <w:tcPr>
            <w:tcW w:w="226" w:type="pct"/>
            <w:tcBorders>
              <w:top w:val="single" w:sz="4" w:space="0" w:color="auto"/>
              <w:left w:val="single" w:sz="4" w:space="0" w:color="auto"/>
              <w:bottom w:val="single" w:sz="4" w:space="0" w:color="auto"/>
              <w:right w:val="single" w:sz="4" w:space="0" w:color="auto"/>
            </w:tcBorders>
            <w:shd w:val="clear" w:color="auto" w:fill="FFFFFF"/>
            <w:vAlign w:val="center"/>
          </w:tcPr>
          <w:p w14:paraId="40529280" w14:textId="77777777" w:rsidR="005D372A" w:rsidRPr="00E0548A" w:rsidRDefault="005D372A" w:rsidP="005D372A">
            <w:pPr>
              <w:jc w:val="center"/>
              <w:rPr>
                <w:rFonts w:ascii="ＭＳ 明朝"/>
                <w:sz w:val="16"/>
                <w:szCs w:val="16"/>
              </w:rPr>
            </w:pPr>
            <w:r w:rsidRPr="00E0548A">
              <w:rPr>
                <w:rFonts w:ascii="ＭＳ 明朝" w:hint="eastAsia"/>
                <w:sz w:val="16"/>
                <w:szCs w:val="16"/>
              </w:rPr>
              <w:t>○</w:t>
            </w:r>
          </w:p>
        </w:tc>
        <w:tc>
          <w:tcPr>
            <w:tcW w:w="217" w:type="pct"/>
            <w:tcBorders>
              <w:top w:val="single" w:sz="4" w:space="0" w:color="auto"/>
              <w:left w:val="single" w:sz="4" w:space="0" w:color="auto"/>
              <w:bottom w:val="single" w:sz="4" w:space="0" w:color="auto"/>
              <w:right w:val="single" w:sz="4" w:space="0" w:color="auto"/>
            </w:tcBorders>
            <w:shd w:val="clear" w:color="auto" w:fill="FFFFFF"/>
            <w:vAlign w:val="center"/>
          </w:tcPr>
          <w:p w14:paraId="3ACB04DA" w14:textId="77777777" w:rsidR="005D372A" w:rsidRPr="00E0548A" w:rsidRDefault="005D372A" w:rsidP="005D372A">
            <w:pPr>
              <w:jc w:val="center"/>
              <w:rPr>
                <w:rFonts w:ascii="ＭＳ 明朝"/>
                <w:sz w:val="16"/>
                <w:szCs w:val="16"/>
              </w:rPr>
            </w:pPr>
          </w:p>
        </w:tc>
      </w:tr>
      <w:tr w:rsidR="001D6D10" w:rsidRPr="00E0548A" w14:paraId="0A99DC85" w14:textId="77777777" w:rsidTr="008B4B2B">
        <w:trPr>
          <w:trHeight w:hRule="exact" w:val="334"/>
        </w:trPr>
        <w:tc>
          <w:tcPr>
            <w:tcW w:w="244" w:type="pct"/>
            <w:tcBorders>
              <w:top w:val="single" w:sz="4" w:space="0" w:color="auto"/>
              <w:left w:val="single" w:sz="4" w:space="0" w:color="auto"/>
              <w:bottom w:val="single" w:sz="4" w:space="0" w:color="auto"/>
              <w:right w:val="single" w:sz="4" w:space="0" w:color="auto"/>
            </w:tcBorders>
            <w:vAlign w:val="center"/>
          </w:tcPr>
          <w:p w14:paraId="4436B9DD" w14:textId="77777777" w:rsidR="005D372A" w:rsidRPr="00E0548A" w:rsidRDefault="005D372A" w:rsidP="005D372A">
            <w:pPr>
              <w:jc w:val="center"/>
              <w:rPr>
                <w:rFonts w:ascii="ＭＳ 明朝"/>
                <w:sz w:val="16"/>
                <w:szCs w:val="16"/>
              </w:rPr>
            </w:pPr>
            <w:r w:rsidRPr="00E0548A">
              <w:rPr>
                <w:rFonts w:ascii="ＭＳ 明朝" w:hint="eastAsia"/>
                <w:sz w:val="16"/>
                <w:szCs w:val="16"/>
              </w:rPr>
              <w:t>13</w:t>
            </w:r>
          </w:p>
        </w:tc>
        <w:tc>
          <w:tcPr>
            <w:tcW w:w="233" w:type="pct"/>
            <w:vMerge/>
            <w:tcBorders>
              <w:left w:val="single" w:sz="4" w:space="0" w:color="auto"/>
              <w:right w:val="single" w:sz="4" w:space="0" w:color="auto"/>
            </w:tcBorders>
            <w:vAlign w:val="center"/>
          </w:tcPr>
          <w:p w14:paraId="02852ACE" w14:textId="77777777" w:rsidR="005D372A" w:rsidRPr="00E0548A" w:rsidRDefault="005D372A" w:rsidP="005D372A">
            <w:pPr>
              <w:jc w:val="center"/>
              <w:rPr>
                <w:rFonts w:ascii="ＭＳ 明朝"/>
                <w:sz w:val="16"/>
                <w:szCs w:val="16"/>
              </w:rPr>
            </w:pPr>
          </w:p>
        </w:tc>
        <w:tc>
          <w:tcPr>
            <w:tcW w:w="1110" w:type="pct"/>
            <w:tcBorders>
              <w:top w:val="single" w:sz="4" w:space="0" w:color="auto"/>
              <w:left w:val="single" w:sz="4" w:space="0" w:color="auto"/>
              <w:bottom w:val="single" w:sz="4" w:space="0" w:color="auto"/>
              <w:right w:val="single" w:sz="4" w:space="0" w:color="auto"/>
            </w:tcBorders>
            <w:vAlign w:val="center"/>
            <w:hideMark/>
          </w:tcPr>
          <w:p w14:paraId="49C7DA4E" w14:textId="77777777" w:rsidR="005D372A" w:rsidRPr="00E0548A" w:rsidRDefault="005D372A" w:rsidP="005D372A">
            <w:pPr>
              <w:rPr>
                <w:rFonts w:ascii="ＭＳ 明朝"/>
                <w:sz w:val="16"/>
                <w:szCs w:val="16"/>
              </w:rPr>
            </w:pPr>
            <w:r w:rsidRPr="00E0548A">
              <w:rPr>
                <w:rFonts w:ascii="ＭＳ 明朝" w:hint="eastAsia"/>
                <w:sz w:val="16"/>
                <w:szCs w:val="16"/>
              </w:rPr>
              <w:t>人事課長</w:t>
            </w:r>
          </w:p>
        </w:tc>
        <w:tc>
          <w:tcPr>
            <w:tcW w:w="229" w:type="pct"/>
            <w:tcBorders>
              <w:top w:val="single" w:sz="4" w:space="0" w:color="auto"/>
              <w:left w:val="single" w:sz="4" w:space="0" w:color="auto"/>
              <w:bottom w:val="single" w:sz="4" w:space="0" w:color="auto"/>
              <w:right w:val="single" w:sz="4" w:space="0" w:color="auto"/>
            </w:tcBorders>
            <w:vAlign w:val="center"/>
            <w:hideMark/>
          </w:tcPr>
          <w:p w14:paraId="130EC865" w14:textId="77777777" w:rsidR="005D372A" w:rsidRPr="00E0548A" w:rsidRDefault="005D372A" w:rsidP="005D372A">
            <w:pPr>
              <w:jc w:val="center"/>
              <w:rPr>
                <w:rFonts w:ascii="ＭＳ 明朝"/>
                <w:sz w:val="16"/>
                <w:szCs w:val="16"/>
              </w:rPr>
            </w:pPr>
            <w:r w:rsidRPr="00E0548A">
              <w:rPr>
                <w:rFonts w:ascii="ＭＳ 明朝" w:hint="eastAsia"/>
                <w:sz w:val="16"/>
                <w:szCs w:val="16"/>
              </w:rPr>
              <w:t>○</w:t>
            </w:r>
          </w:p>
        </w:tc>
        <w:tc>
          <w:tcPr>
            <w:tcW w:w="229" w:type="pct"/>
            <w:tcBorders>
              <w:top w:val="single" w:sz="4" w:space="0" w:color="auto"/>
              <w:left w:val="single" w:sz="4" w:space="0" w:color="auto"/>
              <w:bottom w:val="single" w:sz="4" w:space="0" w:color="auto"/>
              <w:right w:val="single" w:sz="4" w:space="0" w:color="auto"/>
            </w:tcBorders>
            <w:vAlign w:val="center"/>
          </w:tcPr>
          <w:p w14:paraId="392A7DF1" w14:textId="77777777" w:rsidR="005D372A" w:rsidRPr="00E0548A" w:rsidRDefault="005D372A" w:rsidP="005D372A">
            <w:pPr>
              <w:jc w:val="center"/>
              <w:rPr>
                <w:rFonts w:ascii="ＭＳ 明朝"/>
                <w:sz w:val="16"/>
                <w:szCs w:val="16"/>
              </w:rPr>
            </w:pPr>
          </w:p>
        </w:tc>
        <w:tc>
          <w:tcPr>
            <w:tcW w:w="238" w:type="pct"/>
            <w:tcBorders>
              <w:top w:val="single" w:sz="4" w:space="0" w:color="auto"/>
              <w:left w:val="single" w:sz="4" w:space="0" w:color="auto"/>
              <w:bottom w:val="single" w:sz="4" w:space="0" w:color="auto"/>
              <w:right w:val="single" w:sz="4" w:space="0" w:color="auto"/>
            </w:tcBorders>
            <w:vAlign w:val="center"/>
          </w:tcPr>
          <w:p w14:paraId="2E2E69AF" w14:textId="77777777" w:rsidR="005D372A" w:rsidRPr="00E0548A" w:rsidRDefault="005D372A" w:rsidP="005D372A">
            <w:pPr>
              <w:jc w:val="center"/>
              <w:rPr>
                <w:rFonts w:ascii="ＭＳ 明朝"/>
                <w:sz w:val="16"/>
                <w:szCs w:val="16"/>
              </w:rPr>
            </w:pPr>
          </w:p>
        </w:tc>
        <w:tc>
          <w:tcPr>
            <w:tcW w:w="222" w:type="pct"/>
            <w:tcBorders>
              <w:top w:val="single" w:sz="4" w:space="0" w:color="auto"/>
              <w:left w:val="single" w:sz="4" w:space="0" w:color="auto"/>
              <w:bottom w:val="single" w:sz="4" w:space="0" w:color="auto"/>
              <w:right w:val="single" w:sz="4" w:space="0" w:color="auto"/>
            </w:tcBorders>
          </w:tcPr>
          <w:p w14:paraId="45991DF7" w14:textId="77777777" w:rsidR="005D372A" w:rsidRPr="00E0548A" w:rsidRDefault="005D372A" w:rsidP="005D372A">
            <w:pPr>
              <w:jc w:val="center"/>
              <w:rPr>
                <w:rFonts w:ascii="ＭＳ 明朝"/>
                <w:sz w:val="16"/>
                <w:szCs w:val="16"/>
              </w:rPr>
            </w:pPr>
          </w:p>
        </w:tc>
        <w:tc>
          <w:tcPr>
            <w:tcW w:w="222" w:type="pct"/>
            <w:tcBorders>
              <w:top w:val="single" w:sz="4" w:space="0" w:color="auto"/>
              <w:left w:val="single" w:sz="4" w:space="0" w:color="auto"/>
              <w:bottom w:val="single" w:sz="4" w:space="0" w:color="auto"/>
              <w:right w:val="single" w:sz="4" w:space="0" w:color="auto"/>
            </w:tcBorders>
            <w:shd w:val="clear" w:color="auto" w:fill="FFFFFF"/>
            <w:vAlign w:val="center"/>
          </w:tcPr>
          <w:p w14:paraId="1E1F59D6" w14:textId="77777777" w:rsidR="005D372A" w:rsidRPr="00E0548A" w:rsidRDefault="005D372A" w:rsidP="005D372A">
            <w:pPr>
              <w:jc w:val="center"/>
              <w:rPr>
                <w:rFonts w:ascii="ＭＳ 明朝"/>
                <w:sz w:val="16"/>
                <w:szCs w:val="16"/>
              </w:rPr>
            </w:pPr>
          </w:p>
        </w:tc>
        <w:tc>
          <w:tcPr>
            <w:tcW w:w="220" w:type="pct"/>
            <w:tcBorders>
              <w:top w:val="single" w:sz="4" w:space="0" w:color="auto"/>
              <w:left w:val="single" w:sz="4" w:space="0" w:color="auto"/>
              <w:bottom w:val="single" w:sz="4" w:space="0" w:color="auto"/>
              <w:right w:val="single" w:sz="4" w:space="0" w:color="auto"/>
            </w:tcBorders>
            <w:vAlign w:val="center"/>
          </w:tcPr>
          <w:p w14:paraId="33C616B3" w14:textId="77777777" w:rsidR="005D372A" w:rsidRPr="00E0548A" w:rsidRDefault="005D372A" w:rsidP="005D372A">
            <w:pPr>
              <w:jc w:val="center"/>
              <w:rPr>
                <w:rFonts w:ascii="ＭＳ 明朝"/>
                <w:sz w:val="16"/>
                <w:szCs w:val="16"/>
              </w:rPr>
            </w:pPr>
          </w:p>
        </w:tc>
        <w:tc>
          <w:tcPr>
            <w:tcW w:w="228" w:type="pct"/>
            <w:tcBorders>
              <w:top w:val="single" w:sz="4" w:space="0" w:color="auto"/>
              <w:left w:val="single" w:sz="4" w:space="0" w:color="auto"/>
              <w:bottom w:val="single" w:sz="4" w:space="0" w:color="auto"/>
              <w:right w:val="single" w:sz="4" w:space="0" w:color="auto"/>
            </w:tcBorders>
            <w:vAlign w:val="center"/>
          </w:tcPr>
          <w:p w14:paraId="51618E18" w14:textId="77777777" w:rsidR="005D372A" w:rsidRPr="00E0548A" w:rsidRDefault="005D372A" w:rsidP="005D372A">
            <w:pPr>
              <w:jc w:val="center"/>
              <w:rPr>
                <w:rFonts w:ascii="ＭＳ 明朝"/>
                <w:sz w:val="16"/>
                <w:szCs w:val="16"/>
              </w:rPr>
            </w:pPr>
          </w:p>
        </w:tc>
        <w:tc>
          <w:tcPr>
            <w:tcW w:w="228" w:type="pct"/>
            <w:tcBorders>
              <w:top w:val="single" w:sz="4" w:space="0" w:color="auto"/>
              <w:left w:val="single" w:sz="4" w:space="0" w:color="auto"/>
              <w:bottom w:val="single" w:sz="4" w:space="0" w:color="auto"/>
              <w:right w:val="single" w:sz="4" w:space="0" w:color="auto"/>
            </w:tcBorders>
            <w:vAlign w:val="center"/>
          </w:tcPr>
          <w:p w14:paraId="269509FC" w14:textId="77777777" w:rsidR="005D372A" w:rsidRPr="00E0548A" w:rsidRDefault="005D372A" w:rsidP="005D372A">
            <w:pPr>
              <w:jc w:val="center"/>
              <w:rPr>
                <w:rFonts w:ascii="ＭＳ 明朝"/>
                <w:sz w:val="16"/>
                <w:szCs w:val="16"/>
              </w:rPr>
            </w:pPr>
          </w:p>
        </w:tc>
        <w:tc>
          <w:tcPr>
            <w:tcW w:w="228" w:type="pct"/>
            <w:tcBorders>
              <w:top w:val="single" w:sz="4" w:space="0" w:color="auto"/>
              <w:left w:val="single" w:sz="4" w:space="0" w:color="auto"/>
              <w:bottom w:val="single" w:sz="4" w:space="0" w:color="auto"/>
              <w:right w:val="single" w:sz="4" w:space="0" w:color="auto"/>
            </w:tcBorders>
            <w:vAlign w:val="center"/>
          </w:tcPr>
          <w:p w14:paraId="3EACC52A" w14:textId="77777777" w:rsidR="005D372A" w:rsidRPr="00E0548A" w:rsidRDefault="005D372A" w:rsidP="005D372A">
            <w:pPr>
              <w:jc w:val="center"/>
              <w:rPr>
                <w:rFonts w:ascii="ＭＳ 明朝"/>
                <w:sz w:val="16"/>
                <w:szCs w:val="16"/>
              </w:rPr>
            </w:pPr>
          </w:p>
        </w:tc>
        <w:tc>
          <w:tcPr>
            <w:tcW w:w="228" w:type="pct"/>
            <w:tcBorders>
              <w:top w:val="single" w:sz="4" w:space="0" w:color="auto"/>
              <w:left w:val="single" w:sz="4" w:space="0" w:color="auto"/>
              <w:bottom w:val="single" w:sz="4" w:space="0" w:color="auto"/>
              <w:right w:val="single" w:sz="4" w:space="0" w:color="auto"/>
            </w:tcBorders>
            <w:vAlign w:val="center"/>
          </w:tcPr>
          <w:p w14:paraId="0514B414" w14:textId="77777777" w:rsidR="005D372A" w:rsidRPr="00E0548A" w:rsidRDefault="005D372A" w:rsidP="005D372A">
            <w:pPr>
              <w:jc w:val="center"/>
              <w:rPr>
                <w:rFonts w:ascii="ＭＳ 明朝"/>
                <w:sz w:val="16"/>
                <w:szCs w:val="16"/>
              </w:rPr>
            </w:pPr>
          </w:p>
        </w:tc>
        <w:tc>
          <w:tcPr>
            <w:tcW w:w="228" w:type="pct"/>
            <w:tcBorders>
              <w:top w:val="single" w:sz="4" w:space="0" w:color="auto"/>
              <w:left w:val="single" w:sz="4" w:space="0" w:color="auto"/>
              <w:bottom w:val="single" w:sz="4" w:space="0" w:color="auto"/>
              <w:right w:val="single" w:sz="4" w:space="0" w:color="auto"/>
            </w:tcBorders>
            <w:vAlign w:val="center"/>
          </w:tcPr>
          <w:p w14:paraId="064D1240" w14:textId="77777777" w:rsidR="005D372A" w:rsidRPr="00E0548A" w:rsidRDefault="005D372A" w:rsidP="005D372A">
            <w:pPr>
              <w:jc w:val="center"/>
              <w:rPr>
                <w:rFonts w:ascii="ＭＳ 明朝"/>
                <w:sz w:val="16"/>
                <w:szCs w:val="16"/>
              </w:rPr>
            </w:pPr>
          </w:p>
        </w:tc>
        <w:tc>
          <w:tcPr>
            <w:tcW w:w="259" w:type="pct"/>
            <w:tcBorders>
              <w:top w:val="single" w:sz="4" w:space="0" w:color="auto"/>
              <w:left w:val="single" w:sz="4" w:space="0" w:color="auto"/>
              <w:bottom w:val="single" w:sz="4" w:space="0" w:color="auto"/>
              <w:right w:val="single" w:sz="4" w:space="0" w:color="auto"/>
            </w:tcBorders>
            <w:vAlign w:val="center"/>
          </w:tcPr>
          <w:p w14:paraId="55C1D074" w14:textId="77777777" w:rsidR="005D372A" w:rsidRPr="00E0548A" w:rsidRDefault="005D372A" w:rsidP="005D372A">
            <w:pPr>
              <w:jc w:val="center"/>
              <w:rPr>
                <w:rFonts w:ascii="ＭＳ 明朝"/>
                <w:sz w:val="16"/>
                <w:szCs w:val="16"/>
              </w:rPr>
            </w:pPr>
          </w:p>
        </w:tc>
        <w:tc>
          <w:tcPr>
            <w:tcW w:w="211" w:type="pct"/>
            <w:tcBorders>
              <w:top w:val="single" w:sz="4" w:space="0" w:color="auto"/>
              <w:left w:val="single" w:sz="4" w:space="0" w:color="auto"/>
              <w:bottom w:val="single" w:sz="4" w:space="0" w:color="auto"/>
              <w:right w:val="single" w:sz="4" w:space="0" w:color="auto"/>
            </w:tcBorders>
            <w:shd w:val="clear" w:color="auto" w:fill="FFFFFF"/>
            <w:vAlign w:val="center"/>
          </w:tcPr>
          <w:p w14:paraId="0766DC9E" w14:textId="77777777" w:rsidR="005D372A" w:rsidRPr="00E0548A" w:rsidRDefault="005D372A" w:rsidP="005D372A">
            <w:pPr>
              <w:jc w:val="center"/>
              <w:rPr>
                <w:rFonts w:ascii="ＭＳ 明朝"/>
                <w:sz w:val="16"/>
                <w:szCs w:val="16"/>
              </w:rPr>
            </w:pPr>
          </w:p>
        </w:tc>
        <w:tc>
          <w:tcPr>
            <w:tcW w:w="226" w:type="pct"/>
            <w:tcBorders>
              <w:top w:val="single" w:sz="4" w:space="0" w:color="auto"/>
              <w:left w:val="single" w:sz="4" w:space="0" w:color="auto"/>
              <w:bottom w:val="single" w:sz="4" w:space="0" w:color="auto"/>
              <w:right w:val="single" w:sz="4" w:space="0" w:color="auto"/>
            </w:tcBorders>
            <w:shd w:val="clear" w:color="auto" w:fill="FFFFFF"/>
            <w:vAlign w:val="center"/>
          </w:tcPr>
          <w:p w14:paraId="102A5126" w14:textId="77777777" w:rsidR="005D372A" w:rsidRPr="00E0548A" w:rsidRDefault="005D372A" w:rsidP="005D372A">
            <w:pPr>
              <w:jc w:val="center"/>
              <w:rPr>
                <w:rFonts w:ascii="ＭＳ 明朝"/>
                <w:sz w:val="16"/>
                <w:szCs w:val="16"/>
              </w:rPr>
            </w:pPr>
            <w:r w:rsidRPr="00E0548A">
              <w:rPr>
                <w:rFonts w:ascii="ＭＳ 明朝" w:hint="eastAsia"/>
                <w:sz w:val="16"/>
                <w:szCs w:val="16"/>
              </w:rPr>
              <w:t>○</w:t>
            </w:r>
          </w:p>
        </w:tc>
        <w:tc>
          <w:tcPr>
            <w:tcW w:w="217" w:type="pct"/>
            <w:tcBorders>
              <w:top w:val="single" w:sz="4" w:space="0" w:color="auto"/>
              <w:left w:val="single" w:sz="4" w:space="0" w:color="auto"/>
              <w:bottom w:val="single" w:sz="4" w:space="0" w:color="auto"/>
              <w:right w:val="single" w:sz="4" w:space="0" w:color="auto"/>
            </w:tcBorders>
            <w:shd w:val="clear" w:color="auto" w:fill="FFFFFF"/>
            <w:vAlign w:val="center"/>
          </w:tcPr>
          <w:p w14:paraId="4277D7AD" w14:textId="77777777" w:rsidR="005D372A" w:rsidRPr="00E0548A" w:rsidRDefault="005D372A" w:rsidP="005D372A">
            <w:pPr>
              <w:jc w:val="center"/>
              <w:rPr>
                <w:rFonts w:ascii="ＭＳ 明朝"/>
                <w:sz w:val="16"/>
                <w:szCs w:val="16"/>
              </w:rPr>
            </w:pPr>
          </w:p>
        </w:tc>
      </w:tr>
      <w:tr w:rsidR="001D6D10" w:rsidRPr="00E0548A" w14:paraId="45131DD7" w14:textId="77777777" w:rsidTr="008B4B2B">
        <w:trPr>
          <w:trHeight w:hRule="exact" w:val="334"/>
        </w:trPr>
        <w:tc>
          <w:tcPr>
            <w:tcW w:w="244" w:type="pct"/>
            <w:tcBorders>
              <w:top w:val="single" w:sz="4" w:space="0" w:color="auto"/>
              <w:left w:val="single" w:sz="4" w:space="0" w:color="auto"/>
              <w:bottom w:val="single" w:sz="4" w:space="0" w:color="auto"/>
              <w:right w:val="single" w:sz="4" w:space="0" w:color="auto"/>
            </w:tcBorders>
            <w:vAlign w:val="center"/>
          </w:tcPr>
          <w:p w14:paraId="4BAD9788" w14:textId="77777777" w:rsidR="005D372A" w:rsidRPr="00E0548A" w:rsidRDefault="005D372A" w:rsidP="005D372A">
            <w:pPr>
              <w:jc w:val="center"/>
              <w:rPr>
                <w:rFonts w:ascii="ＭＳ 明朝"/>
                <w:sz w:val="16"/>
                <w:szCs w:val="16"/>
              </w:rPr>
            </w:pPr>
            <w:r w:rsidRPr="00E0548A">
              <w:rPr>
                <w:rFonts w:ascii="ＭＳ 明朝" w:hint="eastAsia"/>
                <w:sz w:val="16"/>
                <w:szCs w:val="16"/>
              </w:rPr>
              <w:t>14</w:t>
            </w:r>
          </w:p>
        </w:tc>
        <w:tc>
          <w:tcPr>
            <w:tcW w:w="233" w:type="pct"/>
            <w:vMerge/>
            <w:tcBorders>
              <w:left w:val="single" w:sz="4" w:space="0" w:color="auto"/>
              <w:right w:val="single" w:sz="4" w:space="0" w:color="auto"/>
            </w:tcBorders>
            <w:vAlign w:val="center"/>
          </w:tcPr>
          <w:p w14:paraId="5D9B259B" w14:textId="77777777" w:rsidR="005D372A" w:rsidRPr="00E0548A" w:rsidRDefault="005D372A" w:rsidP="005D372A">
            <w:pPr>
              <w:jc w:val="center"/>
              <w:rPr>
                <w:rFonts w:ascii="ＭＳ 明朝"/>
                <w:sz w:val="16"/>
                <w:szCs w:val="16"/>
              </w:rPr>
            </w:pPr>
          </w:p>
        </w:tc>
        <w:tc>
          <w:tcPr>
            <w:tcW w:w="1110" w:type="pct"/>
            <w:tcBorders>
              <w:top w:val="single" w:sz="4" w:space="0" w:color="auto"/>
              <w:left w:val="single" w:sz="4" w:space="0" w:color="auto"/>
              <w:bottom w:val="single" w:sz="4" w:space="0" w:color="auto"/>
              <w:right w:val="single" w:sz="4" w:space="0" w:color="auto"/>
            </w:tcBorders>
            <w:vAlign w:val="center"/>
            <w:hideMark/>
          </w:tcPr>
          <w:p w14:paraId="23FE860C" w14:textId="77777777" w:rsidR="005D372A" w:rsidRPr="00E0548A" w:rsidRDefault="005D372A" w:rsidP="005D372A">
            <w:pPr>
              <w:rPr>
                <w:rFonts w:ascii="ＭＳ 明朝"/>
                <w:sz w:val="16"/>
                <w:szCs w:val="16"/>
              </w:rPr>
            </w:pPr>
            <w:r w:rsidRPr="00E0548A">
              <w:rPr>
                <w:rFonts w:ascii="ＭＳ 明朝" w:hint="eastAsia"/>
                <w:sz w:val="16"/>
                <w:szCs w:val="16"/>
              </w:rPr>
              <w:t>庁舎室庁舎管理課長</w:t>
            </w:r>
          </w:p>
        </w:tc>
        <w:tc>
          <w:tcPr>
            <w:tcW w:w="229" w:type="pct"/>
            <w:tcBorders>
              <w:top w:val="single" w:sz="4" w:space="0" w:color="auto"/>
              <w:left w:val="single" w:sz="4" w:space="0" w:color="auto"/>
              <w:bottom w:val="single" w:sz="4" w:space="0" w:color="auto"/>
              <w:right w:val="single" w:sz="4" w:space="0" w:color="auto"/>
            </w:tcBorders>
            <w:vAlign w:val="center"/>
            <w:hideMark/>
          </w:tcPr>
          <w:p w14:paraId="766952EC" w14:textId="77777777" w:rsidR="005D372A" w:rsidRPr="00E0548A" w:rsidRDefault="005D372A" w:rsidP="005D372A">
            <w:pPr>
              <w:jc w:val="center"/>
              <w:rPr>
                <w:rFonts w:ascii="ＭＳ 明朝"/>
                <w:sz w:val="16"/>
                <w:szCs w:val="16"/>
              </w:rPr>
            </w:pPr>
            <w:r w:rsidRPr="00E0548A">
              <w:rPr>
                <w:rFonts w:ascii="ＭＳ 明朝" w:hint="eastAsia"/>
                <w:sz w:val="16"/>
                <w:szCs w:val="16"/>
              </w:rPr>
              <w:t>○</w:t>
            </w:r>
          </w:p>
        </w:tc>
        <w:tc>
          <w:tcPr>
            <w:tcW w:w="229" w:type="pct"/>
            <w:tcBorders>
              <w:top w:val="single" w:sz="4" w:space="0" w:color="auto"/>
              <w:left w:val="single" w:sz="4" w:space="0" w:color="auto"/>
              <w:bottom w:val="single" w:sz="4" w:space="0" w:color="auto"/>
              <w:right w:val="single" w:sz="4" w:space="0" w:color="auto"/>
            </w:tcBorders>
            <w:vAlign w:val="center"/>
          </w:tcPr>
          <w:p w14:paraId="419F1C66" w14:textId="77777777" w:rsidR="005D372A" w:rsidRPr="00E0548A" w:rsidRDefault="005D372A" w:rsidP="005D372A">
            <w:pPr>
              <w:jc w:val="center"/>
              <w:rPr>
                <w:rFonts w:ascii="ＭＳ 明朝"/>
                <w:sz w:val="16"/>
                <w:szCs w:val="16"/>
              </w:rPr>
            </w:pPr>
          </w:p>
        </w:tc>
        <w:tc>
          <w:tcPr>
            <w:tcW w:w="238" w:type="pct"/>
            <w:tcBorders>
              <w:top w:val="single" w:sz="4" w:space="0" w:color="auto"/>
              <w:left w:val="single" w:sz="4" w:space="0" w:color="auto"/>
              <w:bottom w:val="single" w:sz="4" w:space="0" w:color="auto"/>
              <w:right w:val="single" w:sz="4" w:space="0" w:color="auto"/>
            </w:tcBorders>
            <w:vAlign w:val="center"/>
          </w:tcPr>
          <w:p w14:paraId="101147DB" w14:textId="77777777" w:rsidR="005D372A" w:rsidRPr="00E0548A" w:rsidRDefault="005D372A" w:rsidP="005D372A">
            <w:pPr>
              <w:jc w:val="center"/>
              <w:rPr>
                <w:rFonts w:ascii="ＭＳ 明朝"/>
                <w:sz w:val="16"/>
                <w:szCs w:val="16"/>
              </w:rPr>
            </w:pPr>
          </w:p>
        </w:tc>
        <w:tc>
          <w:tcPr>
            <w:tcW w:w="222" w:type="pct"/>
            <w:tcBorders>
              <w:top w:val="single" w:sz="4" w:space="0" w:color="auto"/>
              <w:left w:val="single" w:sz="4" w:space="0" w:color="auto"/>
              <w:bottom w:val="single" w:sz="4" w:space="0" w:color="auto"/>
              <w:right w:val="single" w:sz="4" w:space="0" w:color="auto"/>
            </w:tcBorders>
          </w:tcPr>
          <w:p w14:paraId="01FE4506" w14:textId="77777777" w:rsidR="005D372A" w:rsidRPr="00E0548A" w:rsidRDefault="005D372A" w:rsidP="005D372A">
            <w:pPr>
              <w:jc w:val="center"/>
              <w:rPr>
                <w:rFonts w:ascii="ＭＳ 明朝"/>
                <w:sz w:val="16"/>
                <w:szCs w:val="16"/>
              </w:rPr>
            </w:pPr>
          </w:p>
        </w:tc>
        <w:tc>
          <w:tcPr>
            <w:tcW w:w="222" w:type="pct"/>
            <w:tcBorders>
              <w:top w:val="single" w:sz="4" w:space="0" w:color="auto"/>
              <w:left w:val="single" w:sz="4" w:space="0" w:color="auto"/>
              <w:bottom w:val="single" w:sz="4" w:space="0" w:color="auto"/>
              <w:right w:val="single" w:sz="4" w:space="0" w:color="auto"/>
            </w:tcBorders>
            <w:shd w:val="clear" w:color="auto" w:fill="FFFFFF"/>
            <w:vAlign w:val="center"/>
          </w:tcPr>
          <w:p w14:paraId="12AAADF5" w14:textId="77777777" w:rsidR="005D372A" w:rsidRPr="00E0548A" w:rsidRDefault="005D372A" w:rsidP="005D372A">
            <w:pPr>
              <w:jc w:val="center"/>
              <w:rPr>
                <w:rFonts w:ascii="ＭＳ 明朝"/>
                <w:sz w:val="16"/>
                <w:szCs w:val="16"/>
              </w:rPr>
            </w:pPr>
          </w:p>
        </w:tc>
        <w:tc>
          <w:tcPr>
            <w:tcW w:w="220" w:type="pct"/>
            <w:tcBorders>
              <w:top w:val="single" w:sz="4" w:space="0" w:color="auto"/>
              <w:left w:val="single" w:sz="4" w:space="0" w:color="auto"/>
              <w:bottom w:val="single" w:sz="4" w:space="0" w:color="auto"/>
              <w:right w:val="single" w:sz="4" w:space="0" w:color="auto"/>
            </w:tcBorders>
            <w:vAlign w:val="center"/>
          </w:tcPr>
          <w:p w14:paraId="38E03B04" w14:textId="77777777" w:rsidR="005D372A" w:rsidRPr="00E0548A" w:rsidRDefault="005D372A" w:rsidP="005D372A">
            <w:pPr>
              <w:jc w:val="center"/>
              <w:rPr>
                <w:rFonts w:ascii="ＭＳ 明朝"/>
                <w:sz w:val="16"/>
                <w:szCs w:val="16"/>
              </w:rPr>
            </w:pPr>
          </w:p>
        </w:tc>
        <w:tc>
          <w:tcPr>
            <w:tcW w:w="228" w:type="pct"/>
            <w:tcBorders>
              <w:top w:val="single" w:sz="4" w:space="0" w:color="auto"/>
              <w:left w:val="single" w:sz="4" w:space="0" w:color="auto"/>
              <w:bottom w:val="single" w:sz="4" w:space="0" w:color="auto"/>
              <w:right w:val="single" w:sz="4" w:space="0" w:color="auto"/>
            </w:tcBorders>
            <w:vAlign w:val="center"/>
          </w:tcPr>
          <w:p w14:paraId="0D44DCFA" w14:textId="77777777" w:rsidR="005D372A" w:rsidRPr="00E0548A" w:rsidRDefault="005D372A" w:rsidP="005D372A">
            <w:pPr>
              <w:jc w:val="center"/>
              <w:rPr>
                <w:rFonts w:ascii="ＭＳ 明朝"/>
                <w:sz w:val="16"/>
                <w:szCs w:val="16"/>
              </w:rPr>
            </w:pPr>
          </w:p>
        </w:tc>
        <w:tc>
          <w:tcPr>
            <w:tcW w:w="228" w:type="pct"/>
            <w:tcBorders>
              <w:top w:val="single" w:sz="4" w:space="0" w:color="auto"/>
              <w:left w:val="single" w:sz="4" w:space="0" w:color="auto"/>
              <w:bottom w:val="single" w:sz="4" w:space="0" w:color="auto"/>
              <w:right w:val="single" w:sz="4" w:space="0" w:color="auto"/>
            </w:tcBorders>
            <w:vAlign w:val="center"/>
          </w:tcPr>
          <w:p w14:paraId="25DE121A" w14:textId="77777777" w:rsidR="005D372A" w:rsidRPr="00E0548A" w:rsidRDefault="005D372A" w:rsidP="005D372A">
            <w:pPr>
              <w:jc w:val="center"/>
              <w:rPr>
                <w:rFonts w:ascii="ＭＳ 明朝"/>
                <w:sz w:val="16"/>
                <w:szCs w:val="16"/>
              </w:rPr>
            </w:pPr>
          </w:p>
        </w:tc>
        <w:tc>
          <w:tcPr>
            <w:tcW w:w="228" w:type="pct"/>
            <w:tcBorders>
              <w:top w:val="single" w:sz="4" w:space="0" w:color="auto"/>
              <w:left w:val="single" w:sz="4" w:space="0" w:color="auto"/>
              <w:bottom w:val="single" w:sz="4" w:space="0" w:color="auto"/>
              <w:right w:val="single" w:sz="4" w:space="0" w:color="auto"/>
            </w:tcBorders>
            <w:vAlign w:val="center"/>
          </w:tcPr>
          <w:p w14:paraId="53693A86" w14:textId="77777777" w:rsidR="005D372A" w:rsidRPr="00E0548A" w:rsidRDefault="005D372A" w:rsidP="005D372A">
            <w:pPr>
              <w:jc w:val="center"/>
              <w:rPr>
                <w:rFonts w:ascii="ＭＳ 明朝"/>
                <w:sz w:val="16"/>
                <w:szCs w:val="16"/>
              </w:rPr>
            </w:pPr>
          </w:p>
        </w:tc>
        <w:tc>
          <w:tcPr>
            <w:tcW w:w="228" w:type="pct"/>
            <w:tcBorders>
              <w:top w:val="single" w:sz="4" w:space="0" w:color="auto"/>
              <w:left w:val="single" w:sz="4" w:space="0" w:color="auto"/>
              <w:bottom w:val="single" w:sz="4" w:space="0" w:color="auto"/>
              <w:right w:val="single" w:sz="4" w:space="0" w:color="auto"/>
            </w:tcBorders>
            <w:vAlign w:val="center"/>
          </w:tcPr>
          <w:p w14:paraId="06F700AC" w14:textId="77777777" w:rsidR="005D372A" w:rsidRPr="00E0548A" w:rsidRDefault="005D372A" w:rsidP="005D372A">
            <w:pPr>
              <w:jc w:val="center"/>
              <w:rPr>
                <w:rFonts w:ascii="ＭＳ 明朝"/>
                <w:sz w:val="16"/>
                <w:szCs w:val="16"/>
              </w:rPr>
            </w:pPr>
          </w:p>
        </w:tc>
        <w:tc>
          <w:tcPr>
            <w:tcW w:w="228" w:type="pct"/>
            <w:tcBorders>
              <w:top w:val="single" w:sz="4" w:space="0" w:color="auto"/>
              <w:left w:val="single" w:sz="4" w:space="0" w:color="auto"/>
              <w:bottom w:val="single" w:sz="4" w:space="0" w:color="auto"/>
              <w:right w:val="single" w:sz="4" w:space="0" w:color="auto"/>
            </w:tcBorders>
            <w:vAlign w:val="center"/>
          </w:tcPr>
          <w:p w14:paraId="4CE17FBB" w14:textId="77777777" w:rsidR="005D372A" w:rsidRPr="00E0548A" w:rsidRDefault="005D372A" w:rsidP="005D372A">
            <w:pPr>
              <w:jc w:val="center"/>
              <w:rPr>
                <w:rFonts w:ascii="ＭＳ 明朝"/>
                <w:sz w:val="16"/>
                <w:szCs w:val="16"/>
              </w:rPr>
            </w:pPr>
          </w:p>
        </w:tc>
        <w:tc>
          <w:tcPr>
            <w:tcW w:w="259" w:type="pct"/>
            <w:tcBorders>
              <w:top w:val="single" w:sz="4" w:space="0" w:color="auto"/>
              <w:left w:val="single" w:sz="4" w:space="0" w:color="auto"/>
              <w:bottom w:val="single" w:sz="4" w:space="0" w:color="auto"/>
              <w:right w:val="single" w:sz="4" w:space="0" w:color="auto"/>
            </w:tcBorders>
            <w:vAlign w:val="center"/>
          </w:tcPr>
          <w:p w14:paraId="01EDFA16" w14:textId="77777777" w:rsidR="005D372A" w:rsidRPr="00E0548A" w:rsidRDefault="005D372A" w:rsidP="005D372A">
            <w:pPr>
              <w:jc w:val="center"/>
              <w:rPr>
                <w:rFonts w:ascii="ＭＳ 明朝"/>
                <w:sz w:val="16"/>
                <w:szCs w:val="16"/>
              </w:rPr>
            </w:pPr>
          </w:p>
        </w:tc>
        <w:tc>
          <w:tcPr>
            <w:tcW w:w="211" w:type="pct"/>
            <w:tcBorders>
              <w:top w:val="single" w:sz="4" w:space="0" w:color="auto"/>
              <w:left w:val="single" w:sz="4" w:space="0" w:color="auto"/>
              <w:bottom w:val="single" w:sz="4" w:space="0" w:color="auto"/>
              <w:right w:val="single" w:sz="4" w:space="0" w:color="auto"/>
            </w:tcBorders>
            <w:shd w:val="clear" w:color="auto" w:fill="FFFFFF"/>
            <w:vAlign w:val="center"/>
          </w:tcPr>
          <w:p w14:paraId="219FC69B" w14:textId="77777777" w:rsidR="005D372A" w:rsidRPr="00E0548A" w:rsidRDefault="005D372A" w:rsidP="005D372A">
            <w:pPr>
              <w:jc w:val="center"/>
              <w:rPr>
                <w:rFonts w:ascii="ＭＳ 明朝"/>
                <w:sz w:val="16"/>
                <w:szCs w:val="16"/>
              </w:rPr>
            </w:pPr>
          </w:p>
        </w:tc>
        <w:tc>
          <w:tcPr>
            <w:tcW w:w="226" w:type="pct"/>
            <w:tcBorders>
              <w:top w:val="single" w:sz="4" w:space="0" w:color="auto"/>
              <w:left w:val="single" w:sz="4" w:space="0" w:color="auto"/>
              <w:bottom w:val="single" w:sz="4" w:space="0" w:color="auto"/>
              <w:right w:val="single" w:sz="4" w:space="0" w:color="auto"/>
            </w:tcBorders>
            <w:shd w:val="clear" w:color="auto" w:fill="FFFFFF"/>
            <w:vAlign w:val="center"/>
          </w:tcPr>
          <w:p w14:paraId="0992ED06" w14:textId="77777777" w:rsidR="005D372A" w:rsidRPr="00E0548A" w:rsidRDefault="005D372A" w:rsidP="005D372A">
            <w:pPr>
              <w:jc w:val="center"/>
              <w:rPr>
                <w:rFonts w:ascii="ＭＳ 明朝"/>
                <w:sz w:val="16"/>
                <w:szCs w:val="16"/>
              </w:rPr>
            </w:pPr>
            <w:r w:rsidRPr="00E0548A">
              <w:rPr>
                <w:rFonts w:ascii="ＭＳ 明朝" w:hint="eastAsia"/>
                <w:sz w:val="16"/>
                <w:szCs w:val="16"/>
              </w:rPr>
              <w:t>○</w:t>
            </w:r>
          </w:p>
        </w:tc>
        <w:tc>
          <w:tcPr>
            <w:tcW w:w="217" w:type="pct"/>
            <w:tcBorders>
              <w:top w:val="single" w:sz="4" w:space="0" w:color="auto"/>
              <w:left w:val="single" w:sz="4" w:space="0" w:color="auto"/>
              <w:bottom w:val="single" w:sz="4" w:space="0" w:color="auto"/>
              <w:right w:val="single" w:sz="4" w:space="0" w:color="auto"/>
            </w:tcBorders>
            <w:shd w:val="clear" w:color="auto" w:fill="FFFFFF"/>
            <w:vAlign w:val="center"/>
          </w:tcPr>
          <w:p w14:paraId="649BB8F3" w14:textId="77777777" w:rsidR="005D372A" w:rsidRPr="00E0548A" w:rsidRDefault="005D372A" w:rsidP="005D372A">
            <w:pPr>
              <w:jc w:val="center"/>
              <w:rPr>
                <w:rFonts w:ascii="ＭＳ 明朝"/>
                <w:sz w:val="16"/>
                <w:szCs w:val="16"/>
              </w:rPr>
            </w:pPr>
          </w:p>
        </w:tc>
      </w:tr>
      <w:tr w:rsidR="001D6D10" w:rsidRPr="00E0548A" w14:paraId="49A99E45" w14:textId="77777777" w:rsidTr="008B4B2B">
        <w:trPr>
          <w:trHeight w:hRule="exact" w:val="334"/>
        </w:trPr>
        <w:tc>
          <w:tcPr>
            <w:tcW w:w="244" w:type="pct"/>
            <w:tcBorders>
              <w:top w:val="single" w:sz="4" w:space="0" w:color="auto"/>
              <w:left w:val="single" w:sz="4" w:space="0" w:color="auto"/>
              <w:bottom w:val="single" w:sz="4" w:space="0" w:color="auto"/>
              <w:right w:val="single" w:sz="4" w:space="0" w:color="auto"/>
            </w:tcBorders>
            <w:vAlign w:val="center"/>
          </w:tcPr>
          <w:p w14:paraId="096C9999" w14:textId="77777777" w:rsidR="005D372A" w:rsidRPr="00E0548A" w:rsidRDefault="005D372A" w:rsidP="005D372A">
            <w:pPr>
              <w:jc w:val="center"/>
              <w:rPr>
                <w:rFonts w:ascii="ＭＳ 明朝"/>
                <w:sz w:val="16"/>
                <w:szCs w:val="16"/>
              </w:rPr>
            </w:pPr>
            <w:r w:rsidRPr="00E0548A">
              <w:rPr>
                <w:rFonts w:ascii="ＭＳ 明朝" w:hint="eastAsia"/>
                <w:sz w:val="16"/>
                <w:szCs w:val="16"/>
              </w:rPr>
              <w:t>15</w:t>
            </w:r>
          </w:p>
          <w:p w14:paraId="264D49EA" w14:textId="77777777" w:rsidR="005D372A" w:rsidRPr="00E0548A" w:rsidRDefault="005D372A" w:rsidP="005D372A">
            <w:pPr>
              <w:jc w:val="center"/>
              <w:rPr>
                <w:rFonts w:ascii="ＭＳ 明朝"/>
                <w:sz w:val="16"/>
                <w:szCs w:val="16"/>
              </w:rPr>
            </w:pPr>
          </w:p>
        </w:tc>
        <w:tc>
          <w:tcPr>
            <w:tcW w:w="233" w:type="pct"/>
            <w:vMerge/>
            <w:tcBorders>
              <w:left w:val="single" w:sz="4" w:space="0" w:color="auto"/>
              <w:right w:val="single" w:sz="4" w:space="0" w:color="auto"/>
            </w:tcBorders>
            <w:vAlign w:val="center"/>
          </w:tcPr>
          <w:p w14:paraId="7E196CD9" w14:textId="77777777" w:rsidR="005D372A" w:rsidRPr="00E0548A" w:rsidRDefault="005D372A" w:rsidP="005D372A">
            <w:pPr>
              <w:jc w:val="center"/>
              <w:rPr>
                <w:rFonts w:ascii="ＭＳ 明朝"/>
                <w:sz w:val="16"/>
                <w:szCs w:val="16"/>
              </w:rPr>
            </w:pPr>
          </w:p>
        </w:tc>
        <w:tc>
          <w:tcPr>
            <w:tcW w:w="1110" w:type="pct"/>
            <w:tcBorders>
              <w:top w:val="single" w:sz="4" w:space="0" w:color="auto"/>
              <w:left w:val="single" w:sz="4" w:space="0" w:color="auto"/>
              <w:bottom w:val="single" w:sz="4" w:space="0" w:color="auto"/>
              <w:right w:val="single" w:sz="4" w:space="0" w:color="auto"/>
            </w:tcBorders>
            <w:vAlign w:val="center"/>
          </w:tcPr>
          <w:p w14:paraId="3071AEAE" w14:textId="77777777" w:rsidR="005D372A" w:rsidRPr="00E0548A" w:rsidRDefault="005D372A" w:rsidP="005D372A">
            <w:pPr>
              <w:rPr>
                <w:rFonts w:ascii="ＭＳ 明朝"/>
                <w:sz w:val="16"/>
                <w:szCs w:val="16"/>
              </w:rPr>
            </w:pPr>
            <w:r w:rsidRPr="00E0548A">
              <w:rPr>
                <w:rFonts w:ascii="ＭＳ 明朝" w:hint="eastAsia"/>
                <w:sz w:val="16"/>
                <w:szCs w:val="16"/>
              </w:rPr>
              <w:t>スマートシティ戦略総務課長</w:t>
            </w:r>
          </w:p>
        </w:tc>
        <w:tc>
          <w:tcPr>
            <w:tcW w:w="229" w:type="pct"/>
            <w:tcBorders>
              <w:top w:val="single" w:sz="4" w:space="0" w:color="auto"/>
              <w:left w:val="single" w:sz="4" w:space="0" w:color="auto"/>
              <w:bottom w:val="single" w:sz="4" w:space="0" w:color="auto"/>
              <w:right w:val="single" w:sz="4" w:space="0" w:color="auto"/>
            </w:tcBorders>
            <w:vAlign w:val="center"/>
          </w:tcPr>
          <w:p w14:paraId="144707C7" w14:textId="77777777" w:rsidR="005D372A" w:rsidRPr="00E0548A" w:rsidRDefault="005D372A" w:rsidP="005D372A">
            <w:pPr>
              <w:jc w:val="center"/>
              <w:rPr>
                <w:rFonts w:ascii="ＭＳ 明朝"/>
                <w:sz w:val="16"/>
                <w:szCs w:val="16"/>
              </w:rPr>
            </w:pPr>
            <w:r w:rsidRPr="00E0548A">
              <w:rPr>
                <w:rFonts w:ascii="ＭＳ 明朝" w:hint="eastAsia"/>
                <w:sz w:val="16"/>
                <w:szCs w:val="16"/>
              </w:rPr>
              <w:t>〇</w:t>
            </w:r>
          </w:p>
        </w:tc>
        <w:tc>
          <w:tcPr>
            <w:tcW w:w="229" w:type="pct"/>
            <w:tcBorders>
              <w:top w:val="single" w:sz="4" w:space="0" w:color="auto"/>
              <w:left w:val="single" w:sz="4" w:space="0" w:color="auto"/>
              <w:bottom w:val="single" w:sz="4" w:space="0" w:color="auto"/>
              <w:right w:val="single" w:sz="4" w:space="0" w:color="auto"/>
            </w:tcBorders>
            <w:vAlign w:val="center"/>
          </w:tcPr>
          <w:p w14:paraId="04022A79" w14:textId="77777777" w:rsidR="005D372A" w:rsidRPr="00E0548A" w:rsidRDefault="005D372A" w:rsidP="005D372A">
            <w:pPr>
              <w:jc w:val="center"/>
              <w:rPr>
                <w:rFonts w:ascii="ＭＳ 明朝"/>
                <w:sz w:val="16"/>
                <w:szCs w:val="16"/>
              </w:rPr>
            </w:pPr>
          </w:p>
        </w:tc>
        <w:tc>
          <w:tcPr>
            <w:tcW w:w="238" w:type="pct"/>
            <w:tcBorders>
              <w:top w:val="single" w:sz="4" w:space="0" w:color="auto"/>
              <w:left w:val="single" w:sz="4" w:space="0" w:color="auto"/>
              <w:bottom w:val="single" w:sz="4" w:space="0" w:color="auto"/>
              <w:right w:val="single" w:sz="4" w:space="0" w:color="auto"/>
            </w:tcBorders>
            <w:vAlign w:val="center"/>
          </w:tcPr>
          <w:p w14:paraId="62241AE1" w14:textId="77777777" w:rsidR="005D372A" w:rsidRPr="00E0548A" w:rsidRDefault="005D372A" w:rsidP="005D372A">
            <w:pPr>
              <w:jc w:val="center"/>
              <w:rPr>
                <w:rFonts w:ascii="ＭＳ 明朝"/>
                <w:sz w:val="16"/>
                <w:szCs w:val="16"/>
              </w:rPr>
            </w:pPr>
          </w:p>
        </w:tc>
        <w:tc>
          <w:tcPr>
            <w:tcW w:w="222" w:type="pct"/>
            <w:tcBorders>
              <w:top w:val="single" w:sz="4" w:space="0" w:color="auto"/>
              <w:left w:val="single" w:sz="4" w:space="0" w:color="auto"/>
              <w:bottom w:val="single" w:sz="4" w:space="0" w:color="auto"/>
              <w:right w:val="single" w:sz="4" w:space="0" w:color="auto"/>
            </w:tcBorders>
          </w:tcPr>
          <w:p w14:paraId="1E28090D" w14:textId="77777777" w:rsidR="005D372A" w:rsidRPr="00E0548A" w:rsidRDefault="005D372A" w:rsidP="005D372A">
            <w:pPr>
              <w:jc w:val="center"/>
              <w:rPr>
                <w:rFonts w:ascii="ＭＳ 明朝"/>
                <w:sz w:val="16"/>
                <w:szCs w:val="16"/>
              </w:rPr>
            </w:pPr>
            <w:r w:rsidRPr="00E0548A">
              <w:rPr>
                <w:rFonts w:ascii="ＭＳ 明朝" w:hint="eastAsia"/>
                <w:sz w:val="16"/>
                <w:szCs w:val="16"/>
              </w:rPr>
              <w:t>○</w:t>
            </w:r>
          </w:p>
        </w:tc>
        <w:tc>
          <w:tcPr>
            <w:tcW w:w="222" w:type="pct"/>
            <w:tcBorders>
              <w:top w:val="single" w:sz="4" w:space="0" w:color="auto"/>
              <w:left w:val="single" w:sz="4" w:space="0" w:color="auto"/>
              <w:bottom w:val="single" w:sz="4" w:space="0" w:color="auto"/>
              <w:right w:val="single" w:sz="4" w:space="0" w:color="auto"/>
            </w:tcBorders>
            <w:shd w:val="clear" w:color="auto" w:fill="FFFFFF"/>
            <w:vAlign w:val="center"/>
          </w:tcPr>
          <w:p w14:paraId="00EFED00" w14:textId="77777777" w:rsidR="005D372A" w:rsidRPr="00E0548A" w:rsidRDefault="005D372A" w:rsidP="005D372A">
            <w:pPr>
              <w:jc w:val="center"/>
              <w:rPr>
                <w:rFonts w:ascii="ＭＳ 明朝"/>
                <w:sz w:val="16"/>
                <w:szCs w:val="16"/>
              </w:rPr>
            </w:pPr>
          </w:p>
        </w:tc>
        <w:tc>
          <w:tcPr>
            <w:tcW w:w="220" w:type="pct"/>
            <w:tcBorders>
              <w:top w:val="single" w:sz="4" w:space="0" w:color="auto"/>
              <w:left w:val="single" w:sz="4" w:space="0" w:color="auto"/>
              <w:bottom w:val="single" w:sz="4" w:space="0" w:color="auto"/>
              <w:right w:val="single" w:sz="4" w:space="0" w:color="auto"/>
            </w:tcBorders>
            <w:vAlign w:val="center"/>
          </w:tcPr>
          <w:p w14:paraId="0F63D219" w14:textId="77777777" w:rsidR="005D372A" w:rsidRPr="00E0548A" w:rsidRDefault="005D372A" w:rsidP="005D372A">
            <w:pPr>
              <w:jc w:val="center"/>
              <w:rPr>
                <w:rFonts w:ascii="ＭＳ 明朝"/>
                <w:sz w:val="16"/>
                <w:szCs w:val="16"/>
              </w:rPr>
            </w:pPr>
          </w:p>
        </w:tc>
        <w:tc>
          <w:tcPr>
            <w:tcW w:w="228" w:type="pct"/>
            <w:tcBorders>
              <w:top w:val="single" w:sz="4" w:space="0" w:color="auto"/>
              <w:left w:val="single" w:sz="4" w:space="0" w:color="auto"/>
              <w:bottom w:val="single" w:sz="4" w:space="0" w:color="auto"/>
              <w:right w:val="single" w:sz="4" w:space="0" w:color="auto"/>
            </w:tcBorders>
            <w:vAlign w:val="center"/>
          </w:tcPr>
          <w:p w14:paraId="037FCC4C" w14:textId="77777777" w:rsidR="005D372A" w:rsidRPr="00E0548A" w:rsidRDefault="005D372A" w:rsidP="005D372A">
            <w:pPr>
              <w:jc w:val="center"/>
              <w:rPr>
                <w:rFonts w:ascii="ＭＳ 明朝"/>
                <w:sz w:val="16"/>
                <w:szCs w:val="16"/>
              </w:rPr>
            </w:pPr>
          </w:p>
        </w:tc>
        <w:tc>
          <w:tcPr>
            <w:tcW w:w="228" w:type="pct"/>
            <w:tcBorders>
              <w:top w:val="single" w:sz="4" w:space="0" w:color="auto"/>
              <w:left w:val="single" w:sz="4" w:space="0" w:color="auto"/>
              <w:bottom w:val="single" w:sz="4" w:space="0" w:color="auto"/>
              <w:right w:val="single" w:sz="4" w:space="0" w:color="auto"/>
            </w:tcBorders>
            <w:vAlign w:val="center"/>
          </w:tcPr>
          <w:p w14:paraId="58CD3BF7" w14:textId="77777777" w:rsidR="005D372A" w:rsidRPr="00E0548A" w:rsidRDefault="005D372A" w:rsidP="005D372A">
            <w:pPr>
              <w:jc w:val="center"/>
              <w:rPr>
                <w:rFonts w:ascii="ＭＳ 明朝"/>
                <w:sz w:val="16"/>
                <w:szCs w:val="16"/>
              </w:rPr>
            </w:pPr>
          </w:p>
        </w:tc>
        <w:tc>
          <w:tcPr>
            <w:tcW w:w="228" w:type="pct"/>
            <w:tcBorders>
              <w:top w:val="single" w:sz="4" w:space="0" w:color="auto"/>
              <w:left w:val="single" w:sz="4" w:space="0" w:color="auto"/>
              <w:bottom w:val="single" w:sz="4" w:space="0" w:color="auto"/>
              <w:right w:val="single" w:sz="4" w:space="0" w:color="auto"/>
            </w:tcBorders>
            <w:vAlign w:val="center"/>
          </w:tcPr>
          <w:p w14:paraId="54824557" w14:textId="77777777" w:rsidR="005D372A" w:rsidRPr="00E0548A" w:rsidRDefault="005D372A" w:rsidP="005D372A">
            <w:pPr>
              <w:jc w:val="center"/>
              <w:rPr>
                <w:rFonts w:ascii="ＭＳ 明朝"/>
                <w:sz w:val="16"/>
                <w:szCs w:val="16"/>
              </w:rPr>
            </w:pPr>
          </w:p>
        </w:tc>
        <w:tc>
          <w:tcPr>
            <w:tcW w:w="228" w:type="pct"/>
            <w:tcBorders>
              <w:top w:val="single" w:sz="4" w:space="0" w:color="auto"/>
              <w:left w:val="single" w:sz="4" w:space="0" w:color="auto"/>
              <w:bottom w:val="single" w:sz="4" w:space="0" w:color="auto"/>
              <w:right w:val="single" w:sz="4" w:space="0" w:color="auto"/>
            </w:tcBorders>
            <w:vAlign w:val="center"/>
          </w:tcPr>
          <w:p w14:paraId="24AAEB3B" w14:textId="77777777" w:rsidR="005D372A" w:rsidRPr="00E0548A" w:rsidRDefault="005D372A" w:rsidP="005D372A">
            <w:pPr>
              <w:jc w:val="center"/>
              <w:rPr>
                <w:rFonts w:ascii="ＭＳ 明朝"/>
                <w:sz w:val="16"/>
                <w:szCs w:val="16"/>
              </w:rPr>
            </w:pPr>
          </w:p>
        </w:tc>
        <w:tc>
          <w:tcPr>
            <w:tcW w:w="228" w:type="pct"/>
            <w:tcBorders>
              <w:top w:val="single" w:sz="4" w:space="0" w:color="auto"/>
              <w:left w:val="single" w:sz="4" w:space="0" w:color="auto"/>
              <w:bottom w:val="single" w:sz="4" w:space="0" w:color="auto"/>
              <w:right w:val="single" w:sz="4" w:space="0" w:color="auto"/>
            </w:tcBorders>
            <w:vAlign w:val="center"/>
          </w:tcPr>
          <w:p w14:paraId="4C0EFAFE" w14:textId="77777777" w:rsidR="005D372A" w:rsidRPr="00E0548A" w:rsidRDefault="005D372A" w:rsidP="005D372A">
            <w:pPr>
              <w:jc w:val="center"/>
              <w:rPr>
                <w:rFonts w:ascii="ＭＳ 明朝"/>
                <w:sz w:val="16"/>
                <w:szCs w:val="16"/>
              </w:rPr>
            </w:pPr>
          </w:p>
        </w:tc>
        <w:tc>
          <w:tcPr>
            <w:tcW w:w="259" w:type="pct"/>
            <w:tcBorders>
              <w:top w:val="single" w:sz="4" w:space="0" w:color="auto"/>
              <w:left w:val="single" w:sz="4" w:space="0" w:color="auto"/>
              <w:bottom w:val="single" w:sz="4" w:space="0" w:color="auto"/>
              <w:right w:val="single" w:sz="4" w:space="0" w:color="auto"/>
            </w:tcBorders>
            <w:vAlign w:val="center"/>
          </w:tcPr>
          <w:p w14:paraId="75BFC3D4" w14:textId="77777777" w:rsidR="005D372A" w:rsidRPr="00E0548A" w:rsidRDefault="005D372A" w:rsidP="005D372A">
            <w:pPr>
              <w:jc w:val="center"/>
              <w:rPr>
                <w:rFonts w:ascii="ＭＳ 明朝"/>
                <w:sz w:val="16"/>
                <w:szCs w:val="16"/>
              </w:rPr>
            </w:pPr>
          </w:p>
        </w:tc>
        <w:tc>
          <w:tcPr>
            <w:tcW w:w="211" w:type="pct"/>
            <w:tcBorders>
              <w:top w:val="single" w:sz="4" w:space="0" w:color="auto"/>
              <w:left w:val="single" w:sz="4" w:space="0" w:color="auto"/>
              <w:bottom w:val="single" w:sz="4" w:space="0" w:color="auto"/>
              <w:right w:val="single" w:sz="4" w:space="0" w:color="auto"/>
            </w:tcBorders>
            <w:shd w:val="clear" w:color="auto" w:fill="FFFFFF"/>
            <w:vAlign w:val="center"/>
          </w:tcPr>
          <w:p w14:paraId="58C888E3" w14:textId="77777777" w:rsidR="005D372A" w:rsidRPr="00E0548A" w:rsidRDefault="005D372A" w:rsidP="005D372A">
            <w:pPr>
              <w:jc w:val="center"/>
              <w:rPr>
                <w:rFonts w:ascii="ＭＳ 明朝"/>
                <w:sz w:val="16"/>
                <w:szCs w:val="16"/>
              </w:rPr>
            </w:pPr>
          </w:p>
        </w:tc>
        <w:tc>
          <w:tcPr>
            <w:tcW w:w="226" w:type="pct"/>
            <w:tcBorders>
              <w:top w:val="single" w:sz="4" w:space="0" w:color="auto"/>
              <w:left w:val="single" w:sz="4" w:space="0" w:color="auto"/>
              <w:bottom w:val="single" w:sz="4" w:space="0" w:color="auto"/>
              <w:right w:val="single" w:sz="4" w:space="0" w:color="auto"/>
            </w:tcBorders>
            <w:shd w:val="clear" w:color="auto" w:fill="FFFFFF"/>
            <w:vAlign w:val="center"/>
          </w:tcPr>
          <w:p w14:paraId="20384375" w14:textId="77777777" w:rsidR="005D372A" w:rsidRPr="00E0548A" w:rsidRDefault="005D372A" w:rsidP="005D372A">
            <w:pPr>
              <w:jc w:val="center"/>
              <w:rPr>
                <w:rFonts w:ascii="ＭＳ 明朝"/>
                <w:sz w:val="16"/>
                <w:szCs w:val="16"/>
              </w:rPr>
            </w:pPr>
            <w:r w:rsidRPr="00E0548A">
              <w:rPr>
                <w:rFonts w:ascii="ＭＳ 明朝" w:hint="eastAsia"/>
                <w:sz w:val="16"/>
                <w:szCs w:val="16"/>
              </w:rPr>
              <w:t>○</w:t>
            </w:r>
          </w:p>
        </w:tc>
        <w:tc>
          <w:tcPr>
            <w:tcW w:w="217" w:type="pct"/>
            <w:tcBorders>
              <w:top w:val="single" w:sz="4" w:space="0" w:color="auto"/>
              <w:left w:val="single" w:sz="4" w:space="0" w:color="auto"/>
              <w:bottom w:val="single" w:sz="4" w:space="0" w:color="auto"/>
              <w:right w:val="single" w:sz="4" w:space="0" w:color="auto"/>
            </w:tcBorders>
            <w:shd w:val="clear" w:color="auto" w:fill="FFFFFF"/>
            <w:vAlign w:val="center"/>
          </w:tcPr>
          <w:p w14:paraId="2980B4ED" w14:textId="77777777" w:rsidR="005D372A" w:rsidRPr="00E0548A" w:rsidRDefault="005D372A" w:rsidP="005D372A">
            <w:pPr>
              <w:jc w:val="center"/>
              <w:rPr>
                <w:rFonts w:ascii="ＭＳ 明朝"/>
                <w:sz w:val="16"/>
                <w:szCs w:val="16"/>
              </w:rPr>
            </w:pPr>
          </w:p>
        </w:tc>
      </w:tr>
      <w:tr w:rsidR="001D6D10" w:rsidRPr="00E0548A" w14:paraId="75C3E914" w14:textId="77777777" w:rsidTr="008B4B2B">
        <w:trPr>
          <w:trHeight w:hRule="exact" w:val="334"/>
        </w:trPr>
        <w:tc>
          <w:tcPr>
            <w:tcW w:w="244" w:type="pct"/>
            <w:tcBorders>
              <w:top w:val="single" w:sz="4" w:space="0" w:color="auto"/>
              <w:left w:val="single" w:sz="4" w:space="0" w:color="auto"/>
              <w:bottom w:val="single" w:sz="4" w:space="0" w:color="auto"/>
              <w:right w:val="single" w:sz="4" w:space="0" w:color="auto"/>
            </w:tcBorders>
            <w:vAlign w:val="center"/>
          </w:tcPr>
          <w:p w14:paraId="0B29A36C" w14:textId="77777777" w:rsidR="005D372A" w:rsidRPr="00E0548A" w:rsidRDefault="005D372A" w:rsidP="005D372A">
            <w:pPr>
              <w:jc w:val="center"/>
              <w:rPr>
                <w:rFonts w:ascii="ＭＳ 明朝"/>
                <w:sz w:val="16"/>
                <w:szCs w:val="16"/>
              </w:rPr>
            </w:pPr>
            <w:r w:rsidRPr="00E0548A">
              <w:rPr>
                <w:rFonts w:ascii="ＭＳ 明朝" w:hint="eastAsia"/>
                <w:sz w:val="16"/>
                <w:szCs w:val="16"/>
              </w:rPr>
              <w:t>16</w:t>
            </w:r>
          </w:p>
          <w:p w14:paraId="576F1E5B" w14:textId="77777777" w:rsidR="005D372A" w:rsidRPr="00E0548A" w:rsidRDefault="005D372A" w:rsidP="005D372A">
            <w:pPr>
              <w:jc w:val="center"/>
              <w:rPr>
                <w:rFonts w:ascii="ＭＳ 明朝"/>
                <w:sz w:val="16"/>
                <w:szCs w:val="16"/>
              </w:rPr>
            </w:pPr>
          </w:p>
        </w:tc>
        <w:tc>
          <w:tcPr>
            <w:tcW w:w="233" w:type="pct"/>
            <w:vMerge/>
            <w:tcBorders>
              <w:left w:val="single" w:sz="4" w:space="0" w:color="auto"/>
              <w:right w:val="single" w:sz="4" w:space="0" w:color="auto"/>
            </w:tcBorders>
            <w:vAlign w:val="center"/>
          </w:tcPr>
          <w:p w14:paraId="5CEC64C5" w14:textId="77777777" w:rsidR="005D372A" w:rsidRPr="00E0548A" w:rsidRDefault="005D372A" w:rsidP="005D372A">
            <w:pPr>
              <w:jc w:val="center"/>
              <w:rPr>
                <w:rFonts w:ascii="ＭＳ 明朝"/>
                <w:sz w:val="16"/>
                <w:szCs w:val="16"/>
              </w:rPr>
            </w:pPr>
          </w:p>
        </w:tc>
        <w:tc>
          <w:tcPr>
            <w:tcW w:w="1110" w:type="pct"/>
            <w:tcBorders>
              <w:top w:val="single" w:sz="4" w:space="0" w:color="auto"/>
              <w:left w:val="single" w:sz="4" w:space="0" w:color="auto"/>
              <w:bottom w:val="single" w:sz="4" w:space="0" w:color="auto"/>
              <w:right w:val="single" w:sz="4" w:space="0" w:color="auto"/>
            </w:tcBorders>
            <w:vAlign w:val="center"/>
            <w:hideMark/>
          </w:tcPr>
          <w:p w14:paraId="73E2BFFE" w14:textId="77777777" w:rsidR="005D372A" w:rsidRPr="00E0548A" w:rsidRDefault="005D372A" w:rsidP="005D372A">
            <w:pPr>
              <w:rPr>
                <w:rFonts w:ascii="ＭＳ 明朝"/>
                <w:sz w:val="16"/>
                <w:szCs w:val="16"/>
              </w:rPr>
            </w:pPr>
            <w:r w:rsidRPr="00E0548A">
              <w:rPr>
                <w:rFonts w:ascii="ＭＳ 明朝" w:hint="eastAsia"/>
                <w:sz w:val="16"/>
                <w:szCs w:val="16"/>
              </w:rPr>
              <w:t>府民文化総務課長</w:t>
            </w:r>
          </w:p>
        </w:tc>
        <w:tc>
          <w:tcPr>
            <w:tcW w:w="229" w:type="pct"/>
            <w:tcBorders>
              <w:top w:val="single" w:sz="4" w:space="0" w:color="auto"/>
              <w:left w:val="single" w:sz="4" w:space="0" w:color="auto"/>
              <w:bottom w:val="single" w:sz="4" w:space="0" w:color="auto"/>
              <w:right w:val="single" w:sz="4" w:space="0" w:color="auto"/>
            </w:tcBorders>
            <w:vAlign w:val="center"/>
          </w:tcPr>
          <w:p w14:paraId="5CEC58BA" w14:textId="77777777" w:rsidR="005D372A" w:rsidRPr="00E0548A" w:rsidRDefault="005D372A" w:rsidP="005D372A">
            <w:pPr>
              <w:jc w:val="center"/>
              <w:rPr>
                <w:rFonts w:ascii="ＭＳ 明朝"/>
                <w:sz w:val="16"/>
                <w:szCs w:val="16"/>
              </w:rPr>
            </w:pPr>
          </w:p>
        </w:tc>
        <w:tc>
          <w:tcPr>
            <w:tcW w:w="229" w:type="pct"/>
            <w:tcBorders>
              <w:top w:val="single" w:sz="4" w:space="0" w:color="auto"/>
              <w:left w:val="single" w:sz="4" w:space="0" w:color="auto"/>
              <w:bottom w:val="single" w:sz="4" w:space="0" w:color="auto"/>
              <w:right w:val="single" w:sz="4" w:space="0" w:color="auto"/>
            </w:tcBorders>
            <w:vAlign w:val="center"/>
          </w:tcPr>
          <w:p w14:paraId="7214AF4F" w14:textId="77777777" w:rsidR="005D372A" w:rsidRPr="00E0548A" w:rsidRDefault="005D372A" w:rsidP="005D372A">
            <w:pPr>
              <w:jc w:val="center"/>
              <w:rPr>
                <w:rFonts w:ascii="ＭＳ 明朝"/>
                <w:sz w:val="16"/>
                <w:szCs w:val="16"/>
              </w:rPr>
            </w:pPr>
          </w:p>
        </w:tc>
        <w:tc>
          <w:tcPr>
            <w:tcW w:w="238" w:type="pct"/>
            <w:tcBorders>
              <w:top w:val="single" w:sz="4" w:space="0" w:color="auto"/>
              <w:left w:val="single" w:sz="4" w:space="0" w:color="auto"/>
              <w:bottom w:val="single" w:sz="4" w:space="0" w:color="auto"/>
              <w:right w:val="single" w:sz="4" w:space="0" w:color="auto"/>
            </w:tcBorders>
            <w:vAlign w:val="center"/>
          </w:tcPr>
          <w:p w14:paraId="1E965E71" w14:textId="77777777" w:rsidR="005D372A" w:rsidRPr="00E0548A" w:rsidRDefault="005D372A" w:rsidP="005D372A">
            <w:pPr>
              <w:jc w:val="center"/>
              <w:rPr>
                <w:rFonts w:ascii="ＭＳ 明朝"/>
                <w:sz w:val="16"/>
                <w:szCs w:val="16"/>
              </w:rPr>
            </w:pPr>
          </w:p>
        </w:tc>
        <w:tc>
          <w:tcPr>
            <w:tcW w:w="222" w:type="pct"/>
            <w:tcBorders>
              <w:top w:val="single" w:sz="4" w:space="0" w:color="auto"/>
              <w:left w:val="single" w:sz="4" w:space="0" w:color="auto"/>
              <w:bottom w:val="single" w:sz="4" w:space="0" w:color="auto"/>
              <w:right w:val="single" w:sz="4" w:space="0" w:color="auto"/>
            </w:tcBorders>
          </w:tcPr>
          <w:p w14:paraId="09B1C888" w14:textId="77777777" w:rsidR="005D372A" w:rsidRPr="00E0548A" w:rsidRDefault="005D372A" w:rsidP="005D372A">
            <w:pPr>
              <w:jc w:val="center"/>
              <w:rPr>
                <w:rFonts w:ascii="ＭＳ 明朝"/>
                <w:sz w:val="16"/>
                <w:szCs w:val="16"/>
              </w:rPr>
            </w:pPr>
            <w:r w:rsidRPr="00E0548A">
              <w:rPr>
                <w:rFonts w:ascii="ＭＳ 明朝" w:hint="eastAsia"/>
                <w:sz w:val="16"/>
                <w:szCs w:val="16"/>
              </w:rPr>
              <w:t>○</w:t>
            </w:r>
          </w:p>
        </w:tc>
        <w:tc>
          <w:tcPr>
            <w:tcW w:w="222" w:type="pct"/>
            <w:tcBorders>
              <w:top w:val="single" w:sz="4" w:space="0" w:color="auto"/>
              <w:left w:val="single" w:sz="4" w:space="0" w:color="auto"/>
              <w:bottom w:val="single" w:sz="4" w:space="0" w:color="auto"/>
              <w:right w:val="single" w:sz="4" w:space="0" w:color="auto"/>
            </w:tcBorders>
            <w:shd w:val="clear" w:color="auto" w:fill="FFFFFF"/>
            <w:vAlign w:val="center"/>
          </w:tcPr>
          <w:p w14:paraId="0466B4B8" w14:textId="77777777" w:rsidR="005D372A" w:rsidRPr="00E0548A" w:rsidRDefault="005D372A" w:rsidP="005D372A">
            <w:pPr>
              <w:jc w:val="center"/>
              <w:rPr>
                <w:rFonts w:ascii="ＭＳ 明朝"/>
                <w:sz w:val="16"/>
                <w:szCs w:val="16"/>
              </w:rPr>
            </w:pPr>
          </w:p>
        </w:tc>
        <w:tc>
          <w:tcPr>
            <w:tcW w:w="220" w:type="pct"/>
            <w:tcBorders>
              <w:top w:val="single" w:sz="4" w:space="0" w:color="auto"/>
              <w:left w:val="single" w:sz="4" w:space="0" w:color="auto"/>
              <w:bottom w:val="single" w:sz="4" w:space="0" w:color="auto"/>
              <w:right w:val="single" w:sz="4" w:space="0" w:color="auto"/>
            </w:tcBorders>
            <w:vAlign w:val="center"/>
          </w:tcPr>
          <w:p w14:paraId="732FA9DE" w14:textId="77777777" w:rsidR="005D372A" w:rsidRPr="00E0548A" w:rsidRDefault="005D372A" w:rsidP="005D372A">
            <w:pPr>
              <w:jc w:val="center"/>
              <w:rPr>
                <w:rFonts w:ascii="ＭＳ 明朝"/>
                <w:sz w:val="16"/>
                <w:szCs w:val="16"/>
              </w:rPr>
            </w:pPr>
          </w:p>
        </w:tc>
        <w:tc>
          <w:tcPr>
            <w:tcW w:w="228" w:type="pct"/>
            <w:tcBorders>
              <w:top w:val="single" w:sz="4" w:space="0" w:color="auto"/>
              <w:left w:val="single" w:sz="4" w:space="0" w:color="auto"/>
              <w:bottom w:val="single" w:sz="4" w:space="0" w:color="auto"/>
              <w:right w:val="single" w:sz="4" w:space="0" w:color="auto"/>
            </w:tcBorders>
            <w:vAlign w:val="center"/>
          </w:tcPr>
          <w:p w14:paraId="06949E3E" w14:textId="77777777" w:rsidR="005D372A" w:rsidRPr="00E0548A" w:rsidRDefault="005D372A" w:rsidP="005D372A">
            <w:pPr>
              <w:jc w:val="center"/>
              <w:rPr>
                <w:rFonts w:ascii="ＭＳ 明朝"/>
                <w:sz w:val="16"/>
                <w:szCs w:val="16"/>
              </w:rPr>
            </w:pPr>
          </w:p>
        </w:tc>
        <w:tc>
          <w:tcPr>
            <w:tcW w:w="228" w:type="pct"/>
            <w:tcBorders>
              <w:top w:val="single" w:sz="4" w:space="0" w:color="auto"/>
              <w:left w:val="single" w:sz="4" w:space="0" w:color="auto"/>
              <w:bottom w:val="single" w:sz="4" w:space="0" w:color="auto"/>
              <w:right w:val="single" w:sz="4" w:space="0" w:color="auto"/>
            </w:tcBorders>
            <w:vAlign w:val="center"/>
          </w:tcPr>
          <w:p w14:paraId="0E8755EA" w14:textId="77777777" w:rsidR="005D372A" w:rsidRPr="00E0548A" w:rsidRDefault="005D372A" w:rsidP="005D372A">
            <w:pPr>
              <w:jc w:val="center"/>
              <w:rPr>
                <w:rFonts w:ascii="ＭＳ 明朝"/>
                <w:sz w:val="16"/>
                <w:szCs w:val="16"/>
              </w:rPr>
            </w:pPr>
          </w:p>
        </w:tc>
        <w:tc>
          <w:tcPr>
            <w:tcW w:w="228" w:type="pct"/>
            <w:tcBorders>
              <w:top w:val="single" w:sz="4" w:space="0" w:color="auto"/>
              <w:left w:val="single" w:sz="4" w:space="0" w:color="auto"/>
              <w:bottom w:val="single" w:sz="4" w:space="0" w:color="auto"/>
              <w:right w:val="single" w:sz="4" w:space="0" w:color="auto"/>
            </w:tcBorders>
            <w:vAlign w:val="center"/>
          </w:tcPr>
          <w:p w14:paraId="78F7BDFB" w14:textId="77777777" w:rsidR="005D372A" w:rsidRPr="00E0548A" w:rsidRDefault="005D372A" w:rsidP="005D372A">
            <w:pPr>
              <w:jc w:val="center"/>
              <w:rPr>
                <w:rFonts w:ascii="ＭＳ 明朝"/>
                <w:sz w:val="16"/>
                <w:szCs w:val="16"/>
              </w:rPr>
            </w:pPr>
          </w:p>
        </w:tc>
        <w:tc>
          <w:tcPr>
            <w:tcW w:w="228" w:type="pct"/>
            <w:tcBorders>
              <w:top w:val="single" w:sz="4" w:space="0" w:color="auto"/>
              <w:left w:val="single" w:sz="4" w:space="0" w:color="auto"/>
              <w:bottom w:val="single" w:sz="4" w:space="0" w:color="auto"/>
              <w:right w:val="single" w:sz="4" w:space="0" w:color="auto"/>
            </w:tcBorders>
            <w:vAlign w:val="center"/>
          </w:tcPr>
          <w:p w14:paraId="53404D6E" w14:textId="77777777" w:rsidR="005D372A" w:rsidRPr="00E0548A" w:rsidRDefault="005D372A" w:rsidP="005D372A">
            <w:pPr>
              <w:jc w:val="center"/>
              <w:rPr>
                <w:rFonts w:ascii="ＭＳ 明朝"/>
                <w:sz w:val="16"/>
                <w:szCs w:val="16"/>
              </w:rPr>
            </w:pPr>
          </w:p>
        </w:tc>
        <w:tc>
          <w:tcPr>
            <w:tcW w:w="228" w:type="pct"/>
            <w:tcBorders>
              <w:top w:val="single" w:sz="4" w:space="0" w:color="auto"/>
              <w:left w:val="single" w:sz="4" w:space="0" w:color="auto"/>
              <w:bottom w:val="single" w:sz="4" w:space="0" w:color="auto"/>
              <w:right w:val="single" w:sz="4" w:space="0" w:color="auto"/>
            </w:tcBorders>
            <w:vAlign w:val="center"/>
          </w:tcPr>
          <w:p w14:paraId="64E7498E" w14:textId="77777777" w:rsidR="005D372A" w:rsidRPr="00E0548A" w:rsidRDefault="005D372A" w:rsidP="005D372A">
            <w:pPr>
              <w:jc w:val="center"/>
              <w:rPr>
                <w:rFonts w:ascii="ＭＳ 明朝"/>
                <w:sz w:val="16"/>
                <w:szCs w:val="16"/>
              </w:rPr>
            </w:pPr>
          </w:p>
        </w:tc>
        <w:tc>
          <w:tcPr>
            <w:tcW w:w="259" w:type="pct"/>
            <w:tcBorders>
              <w:top w:val="single" w:sz="4" w:space="0" w:color="auto"/>
              <w:left w:val="single" w:sz="4" w:space="0" w:color="auto"/>
              <w:bottom w:val="single" w:sz="4" w:space="0" w:color="auto"/>
              <w:right w:val="single" w:sz="4" w:space="0" w:color="auto"/>
            </w:tcBorders>
            <w:vAlign w:val="center"/>
          </w:tcPr>
          <w:p w14:paraId="17FDA933" w14:textId="77777777" w:rsidR="005D372A" w:rsidRPr="00E0548A" w:rsidRDefault="005D372A" w:rsidP="005D372A">
            <w:pPr>
              <w:jc w:val="center"/>
              <w:rPr>
                <w:rFonts w:ascii="ＭＳ 明朝"/>
                <w:sz w:val="16"/>
                <w:szCs w:val="16"/>
              </w:rPr>
            </w:pPr>
          </w:p>
        </w:tc>
        <w:tc>
          <w:tcPr>
            <w:tcW w:w="211" w:type="pct"/>
            <w:tcBorders>
              <w:top w:val="single" w:sz="4" w:space="0" w:color="auto"/>
              <w:left w:val="single" w:sz="4" w:space="0" w:color="auto"/>
              <w:bottom w:val="single" w:sz="4" w:space="0" w:color="auto"/>
              <w:right w:val="single" w:sz="4" w:space="0" w:color="auto"/>
            </w:tcBorders>
            <w:shd w:val="clear" w:color="auto" w:fill="FFFFFF"/>
            <w:vAlign w:val="center"/>
          </w:tcPr>
          <w:p w14:paraId="7950D07B" w14:textId="77777777" w:rsidR="005D372A" w:rsidRPr="00E0548A" w:rsidRDefault="005D372A" w:rsidP="005D372A">
            <w:pPr>
              <w:jc w:val="center"/>
              <w:rPr>
                <w:rFonts w:ascii="ＭＳ 明朝"/>
                <w:sz w:val="16"/>
                <w:szCs w:val="16"/>
              </w:rPr>
            </w:pPr>
          </w:p>
        </w:tc>
        <w:tc>
          <w:tcPr>
            <w:tcW w:w="226" w:type="pct"/>
            <w:tcBorders>
              <w:top w:val="single" w:sz="4" w:space="0" w:color="auto"/>
              <w:left w:val="single" w:sz="4" w:space="0" w:color="auto"/>
              <w:bottom w:val="single" w:sz="4" w:space="0" w:color="auto"/>
              <w:right w:val="single" w:sz="4" w:space="0" w:color="auto"/>
            </w:tcBorders>
            <w:shd w:val="clear" w:color="auto" w:fill="FFFFFF"/>
            <w:vAlign w:val="center"/>
          </w:tcPr>
          <w:p w14:paraId="2C5AFF69" w14:textId="77777777" w:rsidR="005D372A" w:rsidRPr="00E0548A" w:rsidRDefault="005D372A" w:rsidP="005D372A">
            <w:pPr>
              <w:jc w:val="center"/>
              <w:rPr>
                <w:rFonts w:ascii="ＭＳ 明朝"/>
                <w:sz w:val="16"/>
                <w:szCs w:val="16"/>
              </w:rPr>
            </w:pPr>
            <w:r w:rsidRPr="00E0548A">
              <w:rPr>
                <w:rFonts w:ascii="ＭＳ 明朝" w:hint="eastAsia"/>
                <w:sz w:val="16"/>
                <w:szCs w:val="16"/>
              </w:rPr>
              <w:t>○</w:t>
            </w:r>
          </w:p>
        </w:tc>
        <w:tc>
          <w:tcPr>
            <w:tcW w:w="217" w:type="pct"/>
            <w:tcBorders>
              <w:top w:val="single" w:sz="4" w:space="0" w:color="auto"/>
              <w:left w:val="single" w:sz="4" w:space="0" w:color="auto"/>
              <w:bottom w:val="single" w:sz="4" w:space="0" w:color="auto"/>
              <w:right w:val="single" w:sz="4" w:space="0" w:color="auto"/>
            </w:tcBorders>
            <w:shd w:val="clear" w:color="auto" w:fill="FFFFFF"/>
            <w:vAlign w:val="center"/>
          </w:tcPr>
          <w:p w14:paraId="3A053B62" w14:textId="77777777" w:rsidR="005D372A" w:rsidRPr="00E0548A" w:rsidRDefault="005D372A" w:rsidP="005D372A">
            <w:pPr>
              <w:jc w:val="center"/>
              <w:rPr>
                <w:rFonts w:ascii="ＭＳ 明朝"/>
                <w:sz w:val="16"/>
                <w:szCs w:val="16"/>
              </w:rPr>
            </w:pPr>
          </w:p>
        </w:tc>
      </w:tr>
      <w:tr w:rsidR="001D6D10" w:rsidRPr="00E0548A" w14:paraId="142BAA9F" w14:textId="77777777" w:rsidTr="008B4B2B">
        <w:trPr>
          <w:trHeight w:hRule="exact" w:val="334"/>
        </w:trPr>
        <w:tc>
          <w:tcPr>
            <w:tcW w:w="244" w:type="pct"/>
            <w:tcBorders>
              <w:top w:val="single" w:sz="4" w:space="0" w:color="auto"/>
              <w:left w:val="single" w:sz="4" w:space="0" w:color="auto"/>
              <w:bottom w:val="single" w:sz="4" w:space="0" w:color="auto"/>
              <w:right w:val="single" w:sz="4" w:space="0" w:color="auto"/>
            </w:tcBorders>
            <w:vAlign w:val="center"/>
          </w:tcPr>
          <w:p w14:paraId="77D1933B" w14:textId="77777777" w:rsidR="005D372A" w:rsidRPr="00E0548A" w:rsidRDefault="005D372A" w:rsidP="005D372A">
            <w:pPr>
              <w:jc w:val="center"/>
              <w:rPr>
                <w:rFonts w:ascii="ＭＳ 明朝"/>
                <w:sz w:val="16"/>
                <w:szCs w:val="16"/>
              </w:rPr>
            </w:pPr>
            <w:r w:rsidRPr="00E0548A">
              <w:rPr>
                <w:rFonts w:ascii="ＭＳ 明朝" w:hint="eastAsia"/>
                <w:sz w:val="16"/>
                <w:szCs w:val="16"/>
              </w:rPr>
              <w:t>17</w:t>
            </w:r>
          </w:p>
        </w:tc>
        <w:tc>
          <w:tcPr>
            <w:tcW w:w="233" w:type="pct"/>
            <w:vMerge/>
            <w:tcBorders>
              <w:left w:val="single" w:sz="4" w:space="0" w:color="auto"/>
              <w:right w:val="single" w:sz="4" w:space="0" w:color="auto"/>
            </w:tcBorders>
            <w:vAlign w:val="center"/>
          </w:tcPr>
          <w:p w14:paraId="3E0A3F16" w14:textId="77777777" w:rsidR="005D372A" w:rsidRPr="00E0548A" w:rsidRDefault="005D372A" w:rsidP="005D372A">
            <w:pPr>
              <w:jc w:val="center"/>
              <w:rPr>
                <w:rFonts w:ascii="ＭＳ 明朝"/>
                <w:sz w:val="16"/>
                <w:szCs w:val="16"/>
              </w:rPr>
            </w:pPr>
          </w:p>
        </w:tc>
        <w:tc>
          <w:tcPr>
            <w:tcW w:w="1110" w:type="pct"/>
            <w:tcBorders>
              <w:top w:val="single" w:sz="4" w:space="0" w:color="auto"/>
              <w:left w:val="single" w:sz="4" w:space="0" w:color="auto"/>
              <w:bottom w:val="single" w:sz="4" w:space="0" w:color="auto"/>
              <w:right w:val="single" w:sz="4" w:space="0" w:color="auto"/>
            </w:tcBorders>
            <w:vAlign w:val="center"/>
          </w:tcPr>
          <w:p w14:paraId="2A230430" w14:textId="77777777" w:rsidR="005D372A" w:rsidRPr="00E0548A" w:rsidRDefault="005D372A" w:rsidP="005D372A">
            <w:pPr>
              <w:rPr>
                <w:rFonts w:ascii="ＭＳ 明朝"/>
                <w:sz w:val="16"/>
                <w:szCs w:val="16"/>
              </w:rPr>
            </w:pPr>
            <w:r w:rsidRPr="00E0548A">
              <w:rPr>
                <w:rFonts w:ascii="ＭＳ 明朝" w:hint="eastAsia"/>
                <w:sz w:val="16"/>
                <w:szCs w:val="16"/>
              </w:rPr>
              <w:t>ＩＲ推進局企画課長</w:t>
            </w:r>
          </w:p>
        </w:tc>
        <w:tc>
          <w:tcPr>
            <w:tcW w:w="229" w:type="pct"/>
            <w:tcBorders>
              <w:top w:val="single" w:sz="4" w:space="0" w:color="auto"/>
              <w:left w:val="single" w:sz="4" w:space="0" w:color="auto"/>
              <w:bottom w:val="single" w:sz="4" w:space="0" w:color="auto"/>
              <w:right w:val="single" w:sz="4" w:space="0" w:color="auto"/>
            </w:tcBorders>
            <w:vAlign w:val="center"/>
          </w:tcPr>
          <w:p w14:paraId="1C646D12" w14:textId="77777777" w:rsidR="005D372A" w:rsidRPr="00E0548A" w:rsidRDefault="005D372A" w:rsidP="005D372A">
            <w:pPr>
              <w:jc w:val="center"/>
              <w:rPr>
                <w:rFonts w:ascii="ＭＳ 明朝"/>
                <w:sz w:val="16"/>
                <w:szCs w:val="16"/>
              </w:rPr>
            </w:pPr>
          </w:p>
        </w:tc>
        <w:tc>
          <w:tcPr>
            <w:tcW w:w="229" w:type="pct"/>
            <w:tcBorders>
              <w:top w:val="single" w:sz="4" w:space="0" w:color="auto"/>
              <w:left w:val="single" w:sz="4" w:space="0" w:color="auto"/>
              <w:bottom w:val="single" w:sz="4" w:space="0" w:color="auto"/>
              <w:right w:val="single" w:sz="4" w:space="0" w:color="auto"/>
            </w:tcBorders>
            <w:vAlign w:val="center"/>
          </w:tcPr>
          <w:p w14:paraId="53B917E4" w14:textId="77777777" w:rsidR="005D372A" w:rsidRPr="00E0548A" w:rsidRDefault="005D372A" w:rsidP="005D372A">
            <w:pPr>
              <w:jc w:val="center"/>
              <w:rPr>
                <w:rFonts w:ascii="ＭＳ 明朝"/>
                <w:sz w:val="16"/>
                <w:szCs w:val="16"/>
              </w:rPr>
            </w:pPr>
          </w:p>
        </w:tc>
        <w:tc>
          <w:tcPr>
            <w:tcW w:w="238" w:type="pct"/>
            <w:tcBorders>
              <w:top w:val="single" w:sz="4" w:space="0" w:color="auto"/>
              <w:left w:val="single" w:sz="4" w:space="0" w:color="auto"/>
              <w:bottom w:val="single" w:sz="4" w:space="0" w:color="auto"/>
              <w:right w:val="single" w:sz="4" w:space="0" w:color="auto"/>
            </w:tcBorders>
            <w:vAlign w:val="center"/>
          </w:tcPr>
          <w:p w14:paraId="7ED6632F" w14:textId="77777777" w:rsidR="005D372A" w:rsidRPr="00E0548A" w:rsidRDefault="005D372A" w:rsidP="005D372A">
            <w:pPr>
              <w:jc w:val="center"/>
              <w:rPr>
                <w:rFonts w:ascii="ＭＳ 明朝"/>
                <w:sz w:val="16"/>
                <w:szCs w:val="16"/>
              </w:rPr>
            </w:pPr>
          </w:p>
        </w:tc>
        <w:tc>
          <w:tcPr>
            <w:tcW w:w="222" w:type="pct"/>
            <w:tcBorders>
              <w:top w:val="single" w:sz="4" w:space="0" w:color="auto"/>
              <w:left w:val="single" w:sz="4" w:space="0" w:color="auto"/>
              <w:bottom w:val="single" w:sz="4" w:space="0" w:color="auto"/>
              <w:right w:val="single" w:sz="4" w:space="0" w:color="auto"/>
            </w:tcBorders>
          </w:tcPr>
          <w:p w14:paraId="01A80EB8" w14:textId="77777777" w:rsidR="005D372A" w:rsidRPr="00E0548A" w:rsidRDefault="005D372A" w:rsidP="005D372A">
            <w:pPr>
              <w:jc w:val="center"/>
              <w:rPr>
                <w:rFonts w:ascii="ＭＳ 明朝"/>
                <w:sz w:val="16"/>
                <w:szCs w:val="16"/>
              </w:rPr>
            </w:pPr>
          </w:p>
        </w:tc>
        <w:tc>
          <w:tcPr>
            <w:tcW w:w="222" w:type="pct"/>
            <w:tcBorders>
              <w:top w:val="single" w:sz="4" w:space="0" w:color="auto"/>
              <w:left w:val="single" w:sz="4" w:space="0" w:color="auto"/>
              <w:bottom w:val="single" w:sz="4" w:space="0" w:color="auto"/>
              <w:right w:val="single" w:sz="4" w:space="0" w:color="auto"/>
            </w:tcBorders>
            <w:shd w:val="clear" w:color="FFC000" w:fill="auto"/>
            <w:vAlign w:val="center"/>
          </w:tcPr>
          <w:p w14:paraId="27495A13" w14:textId="77777777" w:rsidR="005D372A" w:rsidRPr="00E0548A" w:rsidRDefault="005D372A" w:rsidP="005D372A">
            <w:pPr>
              <w:jc w:val="center"/>
              <w:rPr>
                <w:rFonts w:ascii="ＭＳ 明朝"/>
                <w:sz w:val="16"/>
                <w:szCs w:val="16"/>
              </w:rPr>
            </w:pPr>
          </w:p>
        </w:tc>
        <w:tc>
          <w:tcPr>
            <w:tcW w:w="220" w:type="pct"/>
            <w:tcBorders>
              <w:top w:val="single" w:sz="4" w:space="0" w:color="auto"/>
              <w:left w:val="single" w:sz="4" w:space="0" w:color="auto"/>
              <w:bottom w:val="single" w:sz="4" w:space="0" w:color="auto"/>
              <w:right w:val="single" w:sz="4" w:space="0" w:color="auto"/>
            </w:tcBorders>
            <w:shd w:val="clear" w:color="FFC000" w:fill="auto"/>
            <w:vAlign w:val="center"/>
          </w:tcPr>
          <w:p w14:paraId="44114B58" w14:textId="77777777" w:rsidR="005D372A" w:rsidRPr="00E0548A" w:rsidRDefault="005D372A" w:rsidP="005D372A">
            <w:pPr>
              <w:jc w:val="center"/>
              <w:rPr>
                <w:rFonts w:ascii="ＭＳ 明朝"/>
                <w:sz w:val="16"/>
                <w:szCs w:val="16"/>
              </w:rPr>
            </w:pPr>
          </w:p>
        </w:tc>
        <w:tc>
          <w:tcPr>
            <w:tcW w:w="228" w:type="pct"/>
            <w:tcBorders>
              <w:top w:val="single" w:sz="4" w:space="0" w:color="auto"/>
              <w:left w:val="single" w:sz="4" w:space="0" w:color="auto"/>
              <w:bottom w:val="single" w:sz="4" w:space="0" w:color="auto"/>
              <w:right w:val="single" w:sz="4" w:space="0" w:color="auto"/>
            </w:tcBorders>
            <w:shd w:val="clear" w:color="FFC000" w:fill="auto"/>
            <w:vAlign w:val="center"/>
          </w:tcPr>
          <w:p w14:paraId="66843609" w14:textId="77777777" w:rsidR="005D372A" w:rsidRPr="00E0548A" w:rsidRDefault="005D372A" w:rsidP="005D372A">
            <w:pPr>
              <w:jc w:val="center"/>
              <w:rPr>
                <w:rFonts w:ascii="ＭＳ 明朝"/>
                <w:sz w:val="16"/>
                <w:szCs w:val="16"/>
              </w:rPr>
            </w:pPr>
          </w:p>
        </w:tc>
        <w:tc>
          <w:tcPr>
            <w:tcW w:w="228" w:type="pct"/>
            <w:tcBorders>
              <w:top w:val="single" w:sz="4" w:space="0" w:color="auto"/>
              <w:left w:val="single" w:sz="4" w:space="0" w:color="auto"/>
              <w:bottom w:val="single" w:sz="4" w:space="0" w:color="auto"/>
              <w:right w:val="single" w:sz="4" w:space="0" w:color="auto"/>
            </w:tcBorders>
            <w:shd w:val="clear" w:color="FFC000" w:fill="auto"/>
            <w:vAlign w:val="center"/>
          </w:tcPr>
          <w:p w14:paraId="7919EF4D" w14:textId="77777777" w:rsidR="005D372A" w:rsidRPr="00E0548A" w:rsidRDefault="005D372A" w:rsidP="005D372A">
            <w:pPr>
              <w:jc w:val="center"/>
              <w:rPr>
                <w:rFonts w:ascii="ＭＳ 明朝"/>
                <w:sz w:val="16"/>
                <w:szCs w:val="16"/>
              </w:rPr>
            </w:pPr>
          </w:p>
        </w:tc>
        <w:tc>
          <w:tcPr>
            <w:tcW w:w="228" w:type="pct"/>
            <w:tcBorders>
              <w:top w:val="single" w:sz="4" w:space="0" w:color="auto"/>
              <w:left w:val="single" w:sz="4" w:space="0" w:color="auto"/>
              <w:bottom w:val="single" w:sz="4" w:space="0" w:color="auto"/>
              <w:right w:val="single" w:sz="4" w:space="0" w:color="auto"/>
            </w:tcBorders>
            <w:shd w:val="clear" w:color="FFC000" w:fill="auto"/>
            <w:vAlign w:val="center"/>
          </w:tcPr>
          <w:p w14:paraId="72FE5CB9" w14:textId="77777777" w:rsidR="005D372A" w:rsidRPr="00E0548A" w:rsidRDefault="005D372A" w:rsidP="005D372A">
            <w:pPr>
              <w:jc w:val="center"/>
              <w:rPr>
                <w:rFonts w:ascii="ＭＳ 明朝"/>
                <w:sz w:val="16"/>
                <w:szCs w:val="16"/>
              </w:rPr>
            </w:pPr>
          </w:p>
        </w:tc>
        <w:tc>
          <w:tcPr>
            <w:tcW w:w="228" w:type="pct"/>
            <w:tcBorders>
              <w:top w:val="single" w:sz="4" w:space="0" w:color="auto"/>
              <w:left w:val="single" w:sz="4" w:space="0" w:color="auto"/>
              <w:bottom w:val="single" w:sz="4" w:space="0" w:color="auto"/>
              <w:right w:val="single" w:sz="4" w:space="0" w:color="auto"/>
            </w:tcBorders>
            <w:shd w:val="clear" w:color="FFC000" w:fill="auto"/>
            <w:vAlign w:val="center"/>
          </w:tcPr>
          <w:p w14:paraId="233819DF" w14:textId="77777777" w:rsidR="005D372A" w:rsidRPr="00E0548A" w:rsidRDefault="005D372A" w:rsidP="005D372A">
            <w:pPr>
              <w:jc w:val="center"/>
              <w:rPr>
                <w:rFonts w:ascii="ＭＳ 明朝"/>
                <w:sz w:val="16"/>
                <w:szCs w:val="16"/>
              </w:rPr>
            </w:pPr>
          </w:p>
        </w:tc>
        <w:tc>
          <w:tcPr>
            <w:tcW w:w="228" w:type="pct"/>
            <w:tcBorders>
              <w:top w:val="single" w:sz="4" w:space="0" w:color="auto"/>
              <w:left w:val="single" w:sz="4" w:space="0" w:color="auto"/>
              <w:bottom w:val="single" w:sz="4" w:space="0" w:color="auto"/>
              <w:right w:val="single" w:sz="4" w:space="0" w:color="auto"/>
            </w:tcBorders>
            <w:shd w:val="clear" w:color="FFC000" w:fill="auto"/>
            <w:vAlign w:val="center"/>
          </w:tcPr>
          <w:p w14:paraId="3A4552CF" w14:textId="77777777" w:rsidR="005D372A" w:rsidRPr="00E0548A" w:rsidRDefault="005D372A" w:rsidP="005D372A">
            <w:pPr>
              <w:jc w:val="center"/>
              <w:rPr>
                <w:rFonts w:ascii="ＭＳ 明朝"/>
                <w:sz w:val="16"/>
                <w:szCs w:val="16"/>
              </w:rPr>
            </w:pPr>
          </w:p>
        </w:tc>
        <w:tc>
          <w:tcPr>
            <w:tcW w:w="259" w:type="pct"/>
            <w:tcBorders>
              <w:top w:val="single" w:sz="4" w:space="0" w:color="auto"/>
              <w:left w:val="single" w:sz="4" w:space="0" w:color="auto"/>
              <w:bottom w:val="single" w:sz="4" w:space="0" w:color="auto"/>
              <w:right w:val="single" w:sz="4" w:space="0" w:color="auto"/>
            </w:tcBorders>
            <w:shd w:val="clear" w:color="FFC000" w:fill="auto"/>
            <w:vAlign w:val="center"/>
          </w:tcPr>
          <w:p w14:paraId="10869E07" w14:textId="77777777" w:rsidR="005D372A" w:rsidRPr="00E0548A" w:rsidRDefault="005D372A" w:rsidP="005D372A">
            <w:pPr>
              <w:jc w:val="center"/>
              <w:rPr>
                <w:rFonts w:ascii="ＭＳ 明朝"/>
                <w:sz w:val="16"/>
                <w:szCs w:val="16"/>
              </w:rPr>
            </w:pPr>
          </w:p>
        </w:tc>
        <w:tc>
          <w:tcPr>
            <w:tcW w:w="211" w:type="pct"/>
            <w:tcBorders>
              <w:top w:val="single" w:sz="4" w:space="0" w:color="auto"/>
              <w:left w:val="single" w:sz="4" w:space="0" w:color="auto"/>
              <w:bottom w:val="single" w:sz="4" w:space="0" w:color="auto"/>
              <w:right w:val="single" w:sz="4" w:space="0" w:color="auto"/>
            </w:tcBorders>
            <w:shd w:val="clear" w:color="FFC000" w:fill="auto"/>
            <w:vAlign w:val="center"/>
          </w:tcPr>
          <w:p w14:paraId="17692951" w14:textId="77777777" w:rsidR="005D372A" w:rsidRPr="00E0548A" w:rsidRDefault="005D372A" w:rsidP="005D372A">
            <w:pPr>
              <w:jc w:val="center"/>
              <w:rPr>
                <w:sz w:val="16"/>
              </w:rPr>
            </w:pPr>
          </w:p>
        </w:tc>
        <w:tc>
          <w:tcPr>
            <w:tcW w:w="226" w:type="pct"/>
            <w:tcBorders>
              <w:top w:val="single" w:sz="4" w:space="0" w:color="auto"/>
              <w:left w:val="single" w:sz="4" w:space="0" w:color="auto"/>
              <w:bottom w:val="single" w:sz="4" w:space="0" w:color="auto"/>
              <w:right w:val="single" w:sz="4" w:space="0" w:color="auto"/>
            </w:tcBorders>
            <w:shd w:val="clear" w:color="FFC000" w:fill="auto"/>
            <w:vAlign w:val="center"/>
          </w:tcPr>
          <w:p w14:paraId="3862D9CC" w14:textId="77777777" w:rsidR="005D372A" w:rsidRPr="00E0548A" w:rsidRDefault="005D372A" w:rsidP="005D372A">
            <w:pPr>
              <w:jc w:val="center"/>
              <w:rPr>
                <w:sz w:val="16"/>
              </w:rPr>
            </w:pPr>
            <w:r w:rsidRPr="00E0548A">
              <w:rPr>
                <w:rFonts w:hint="eastAsia"/>
                <w:sz w:val="16"/>
              </w:rPr>
              <w:t>○</w:t>
            </w:r>
          </w:p>
        </w:tc>
        <w:tc>
          <w:tcPr>
            <w:tcW w:w="217" w:type="pct"/>
            <w:tcBorders>
              <w:top w:val="single" w:sz="4" w:space="0" w:color="auto"/>
              <w:left w:val="single" w:sz="4" w:space="0" w:color="auto"/>
              <w:bottom w:val="single" w:sz="4" w:space="0" w:color="auto"/>
              <w:right w:val="single" w:sz="4" w:space="0" w:color="auto"/>
            </w:tcBorders>
            <w:shd w:val="clear" w:color="FFC000" w:fill="auto"/>
            <w:vAlign w:val="center"/>
          </w:tcPr>
          <w:p w14:paraId="434A4AFD" w14:textId="77777777" w:rsidR="005D372A" w:rsidRPr="00E0548A" w:rsidRDefault="005D372A" w:rsidP="005D372A">
            <w:pPr>
              <w:jc w:val="center"/>
              <w:rPr>
                <w:rFonts w:ascii="ＭＳ 明朝"/>
                <w:sz w:val="16"/>
                <w:szCs w:val="16"/>
              </w:rPr>
            </w:pPr>
          </w:p>
        </w:tc>
      </w:tr>
      <w:tr w:rsidR="001D6D10" w:rsidRPr="00E0548A" w14:paraId="39970F29" w14:textId="77777777" w:rsidTr="008B4B2B">
        <w:trPr>
          <w:trHeight w:hRule="exact" w:val="334"/>
        </w:trPr>
        <w:tc>
          <w:tcPr>
            <w:tcW w:w="244" w:type="pct"/>
            <w:tcBorders>
              <w:top w:val="single" w:sz="4" w:space="0" w:color="auto"/>
              <w:left w:val="single" w:sz="4" w:space="0" w:color="auto"/>
              <w:bottom w:val="single" w:sz="4" w:space="0" w:color="auto"/>
              <w:right w:val="single" w:sz="4" w:space="0" w:color="auto"/>
            </w:tcBorders>
            <w:vAlign w:val="center"/>
          </w:tcPr>
          <w:p w14:paraId="6A3D6003" w14:textId="77777777" w:rsidR="005D372A" w:rsidRPr="00E0548A" w:rsidRDefault="005D372A" w:rsidP="005D372A">
            <w:pPr>
              <w:jc w:val="center"/>
              <w:rPr>
                <w:rFonts w:ascii="ＭＳ 明朝"/>
                <w:sz w:val="16"/>
                <w:szCs w:val="16"/>
              </w:rPr>
            </w:pPr>
            <w:r w:rsidRPr="00E0548A">
              <w:rPr>
                <w:rFonts w:ascii="ＭＳ 明朝" w:hint="eastAsia"/>
                <w:sz w:val="16"/>
                <w:szCs w:val="16"/>
              </w:rPr>
              <w:t>18</w:t>
            </w:r>
          </w:p>
        </w:tc>
        <w:tc>
          <w:tcPr>
            <w:tcW w:w="233" w:type="pct"/>
            <w:vMerge/>
            <w:tcBorders>
              <w:left w:val="single" w:sz="4" w:space="0" w:color="auto"/>
              <w:right w:val="single" w:sz="4" w:space="0" w:color="auto"/>
            </w:tcBorders>
            <w:vAlign w:val="center"/>
          </w:tcPr>
          <w:p w14:paraId="4F995384" w14:textId="77777777" w:rsidR="005D372A" w:rsidRPr="00E0548A" w:rsidRDefault="005D372A" w:rsidP="005D372A">
            <w:pPr>
              <w:jc w:val="center"/>
              <w:rPr>
                <w:rFonts w:ascii="ＭＳ 明朝"/>
                <w:sz w:val="16"/>
                <w:szCs w:val="16"/>
              </w:rPr>
            </w:pPr>
          </w:p>
        </w:tc>
        <w:tc>
          <w:tcPr>
            <w:tcW w:w="1110" w:type="pct"/>
            <w:tcBorders>
              <w:top w:val="single" w:sz="4" w:space="0" w:color="auto"/>
              <w:left w:val="single" w:sz="4" w:space="0" w:color="auto"/>
              <w:bottom w:val="single" w:sz="4" w:space="0" w:color="auto"/>
              <w:right w:val="single" w:sz="4" w:space="0" w:color="auto"/>
            </w:tcBorders>
            <w:vAlign w:val="center"/>
            <w:hideMark/>
          </w:tcPr>
          <w:p w14:paraId="4825D588" w14:textId="77777777" w:rsidR="005D372A" w:rsidRPr="00E0548A" w:rsidRDefault="005D372A" w:rsidP="005D372A">
            <w:pPr>
              <w:rPr>
                <w:rFonts w:ascii="ＭＳ 明朝"/>
                <w:sz w:val="16"/>
                <w:szCs w:val="16"/>
              </w:rPr>
            </w:pPr>
            <w:r w:rsidRPr="00E0548A">
              <w:rPr>
                <w:rFonts w:ascii="ＭＳ 明朝" w:hint="eastAsia"/>
                <w:sz w:val="16"/>
                <w:szCs w:val="16"/>
              </w:rPr>
              <w:t>福祉総務課長</w:t>
            </w:r>
          </w:p>
        </w:tc>
        <w:tc>
          <w:tcPr>
            <w:tcW w:w="229" w:type="pct"/>
            <w:tcBorders>
              <w:top w:val="single" w:sz="4" w:space="0" w:color="auto"/>
              <w:left w:val="single" w:sz="4" w:space="0" w:color="auto"/>
              <w:bottom w:val="single" w:sz="4" w:space="0" w:color="auto"/>
              <w:right w:val="single" w:sz="4" w:space="0" w:color="auto"/>
            </w:tcBorders>
            <w:vAlign w:val="center"/>
          </w:tcPr>
          <w:p w14:paraId="6E7D8F6E" w14:textId="77777777" w:rsidR="005D372A" w:rsidRPr="00E0548A" w:rsidRDefault="005D372A" w:rsidP="005D372A">
            <w:pPr>
              <w:jc w:val="center"/>
              <w:rPr>
                <w:rFonts w:ascii="ＭＳ 明朝"/>
                <w:sz w:val="16"/>
                <w:szCs w:val="16"/>
              </w:rPr>
            </w:pPr>
          </w:p>
        </w:tc>
        <w:tc>
          <w:tcPr>
            <w:tcW w:w="229" w:type="pct"/>
            <w:tcBorders>
              <w:top w:val="single" w:sz="4" w:space="0" w:color="auto"/>
              <w:left w:val="single" w:sz="4" w:space="0" w:color="auto"/>
              <w:bottom w:val="single" w:sz="4" w:space="0" w:color="auto"/>
              <w:right w:val="single" w:sz="4" w:space="0" w:color="auto"/>
            </w:tcBorders>
            <w:vAlign w:val="center"/>
          </w:tcPr>
          <w:p w14:paraId="61F464AC" w14:textId="77777777" w:rsidR="005D372A" w:rsidRPr="00E0548A" w:rsidRDefault="005D372A" w:rsidP="005D372A">
            <w:pPr>
              <w:jc w:val="center"/>
              <w:rPr>
                <w:rFonts w:ascii="ＭＳ 明朝"/>
                <w:sz w:val="16"/>
                <w:szCs w:val="16"/>
              </w:rPr>
            </w:pPr>
          </w:p>
        </w:tc>
        <w:tc>
          <w:tcPr>
            <w:tcW w:w="238" w:type="pct"/>
            <w:tcBorders>
              <w:top w:val="single" w:sz="4" w:space="0" w:color="auto"/>
              <w:left w:val="single" w:sz="4" w:space="0" w:color="auto"/>
              <w:bottom w:val="single" w:sz="4" w:space="0" w:color="auto"/>
              <w:right w:val="single" w:sz="4" w:space="0" w:color="auto"/>
            </w:tcBorders>
            <w:vAlign w:val="center"/>
          </w:tcPr>
          <w:p w14:paraId="77C7021B" w14:textId="77777777" w:rsidR="005D372A" w:rsidRPr="00E0548A" w:rsidRDefault="005D372A" w:rsidP="005D372A">
            <w:pPr>
              <w:jc w:val="center"/>
              <w:rPr>
                <w:rFonts w:ascii="ＭＳ 明朝"/>
                <w:sz w:val="16"/>
                <w:szCs w:val="16"/>
              </w:rPr>
            </w:pPr>
          </w:p>
        </w:tc>
        <w:tc>
          <w:tcPr>
            <w:tcW w:w="222" w:type="pct"/>
            <w:tcBorders>
              <w:top w:val="single" w:sz="4" w:space="0" w:color="auto"/>
              <w:left w:val="single" w:sz="4" w:space="0" w:color="auto"/>
              <w:bottom w:val="single" w:sz="4" w:space="0" w:color="auto"/>
              <w:right w:val="single" w:sz="4" w:space="0" w:color="auto"/>
            </w:tcBorders>
          </w:tcPr>
          <w:p w14:paraId="28A8CE08" w14:textId="77777777" w:rsidR="005D372A" w:rsidRPr="00E0548A" w:rsidRDefault="005D372A" w:rsidP="005D372A">
            <w:pPr>
              <w:jc w:val="center"/>
              <w:rPr>
                <w:rFonts w:ascii="ＭＳ 明朝"/>
                <w:sz w:val="16"/>
                <w:szCs w:val="16"/>
              </w:rPr>
            </w:pPr>
            <w:r w:rsidRPr="00E0548A">
              <w:rPr>
                <w:rFonts w:ascii="ＭＳ 明朝" w:hint="eastAsia"/>
                <w:sz w:val="16"/>
                <w:szCs w:val="16"/>
              </w:rPr>
              <w:t>○</w:t>
            </w:r>
          </w:p>
        </w:tc>
        <w:tc>
          <w:tcPr>
            <w:tcW w:w="222" w:type="pct"/>
            <w:tcBorders>
              <w:top w:val="single" w:sz="4" w:space="0" w:color="auto"/>
              <w:left w:val="single" w:sz="4" w:space="0" w:color="auto"/>
              <w:bottom w:val="single" w:sz="4" w:space="0" w:color="auto"/>
              <w:right w:val="single" w:sz="4" w:space="0" w:color="auto"/>
            </w:tcBorders>
            <w:shd w:val="clear" w:color="auto" w:fill="FFFFFF"/>
            <w:vAlign w:val="center"/>
          </w:tcPr>
          <w:p w14:paraId="6EF4C512" w14:textId="77777777" w:rsidR="005D372A" w:rsidRPr="00E0548A" w:rsidRDefault="005D372A" w:rsidP="005D372A">
            <w:pPr>
              <w:jc w:val="center"/>
              <w:rPr>
                <w:rFonts w:ascii="ＭＳ 明朝"/>
                <w:sz w:val="16"/>
                <w:szCs w:val="16"/>
              </w:rPr>
            </w:pPr>
          </w:p>
        </w:tc>
        <w:tc>
          <w:tcPr>
            <w:tcW w:w="220" w:type="pct"/>
            <w:tcBorders>
              <w:top w:val="single" w:sz="4" w:space="0" w:color="auto"/>
              <w:left w:val="single" w:sz="4" w:space="0" w:color="auto"/>
              <w:bottom w:val="single" w:sz="4" w:space="0" w:color="auto"/>
              <w:right w:val="single" w:sz="4" w:space="0" w:color="auto"/>
            </w:tcBorders>
            <w:vAlign w:val="center"/>
          </w:tcPr>
          <w:p w14:paraId="3F393E46" w14:textId="77777777" w:rsidR="005D372A" w:rsidRPr="00E0548A" w:rsidRDefault="005D372A" w:rsidP="005D372A">
            <w:pPr>
              <w:jc w:val="center"/>
              <w:rPr>
                <w:rFonts w:ascii="ＭＳ 明朝"/>
                <w:sz w:val="16"/>
                <w:szCs w:val="16"/>
              </w:rPr>
            </w:pPr>
          </w:p>
        </w:tc>
        <w:tc>
          <w:tcPr>
            <w:tcW w:w="228" w:type="pct"/>
            <w:tcBorders>
              <w:top w:val="single" w:sz="4" w:space="0" w:color="auto"/>
              <w:left w:val="single" w:sz="4" w:space="0" w:color="auto"/>
              <w:bottom w:val="single" w:sz="4" w:space="0" w:color="auto"/>
              <w:right w:val="single" w:sz="4" w:space="0" w:color="auto"/>
            </w:tcBorders>
            <w:vAlign w:val="center"/>
          </w:tcPr>
          <w:p w14:paraId="1216CB4A" w14:textId="77777777" w:rsidR="005D372A" w:rsidRPr="00E0548A" w:rsidRDefault="005D372A" w:rsidP="005D372A">
            <w:pPr>
              <w:jc w:val="center"/>
              <w:rPr>
                <w:rFonts w:ascii="ＭＳ 明朝"/>
                <w:sz w:val="16"/>
                <w:szCs w:val="16"/>
              </w:rPr>
            </w:pPr>
          </w:p>
        </w:tc>
        <w:tc>
          <w:tcPr>
            <w:tcW w:w="228" w:type="pct"/>
            <w:tcBorders>
              <w:top w:val="single" w:sz="4" w:space="0" w:color="auto"/>
              <w:left w:val="single" w:sz="4" w:space="0" w:color="auto"/>
              <w:bottom w:val="single" w:sz="4" w:space="0" w:color="auto"/>
              <w:right w:val="single" w:sz="4" w:space="0" w:color="auto"/>
            </w:tcBorders>
            <w:vAlign w:val="center"/>
          </w:tcPr>
          <w:p w14:paraId="0F8190C8" w14:textId="77777777" w:rsidR="005D372A" w:rsidRPr="00E0548A" w:rsidRDefault="005D372A" w:rsidP="005D372A">
            <w:pPr>
              <w:jc w:val="center"/>
              <w:rPr>
                <w:rFonts w:ascii="ＭＳ 明朝"/>
                <w:sz w:val="16"/>
                <w:szCs w:val="16"/>
              </w:rPr>
            </w:pPr>
          </w:p>
        </w:tc>
        <w:tc>
          <w:tcPr>
            <w:tcW w:w="228" w:type="pct"/>
            <w:tcBorders>
              <w:top w:val="single" w:sz="4" w:space="0" w:color="auto"/>
              <w:left w:val="single" w:sz="4" w:space="0" w:color="auto"/>
              <w:bottom w:val="single" w:sz="4" w:space="0" w:color="auto"/>
              <w:right w:val="single" w:sz="4" w:space="0" w:color="auto"/>
            </w:tcBorders>
            <w:vAlign w:val="center"/>
          </w:tcPr>
          <w:p w14:paraId="789BF34A" w14:textId="77777777" w:rsidR="005D372A" w:rsidRPr="00E0548A" w:rsidRDefault="005D372A" w:rsidP="005D372A">
            <w:pPr>
              <w:jc w:val="center"/>
              <w:rPr>
                <w:rFonts w:ascii="ＭＳ 明朝"/>
                <w:sz w:val="16"/>
                <w:szCs w:val="16"/>
              </w:rPr>
            </w:pPr>
          </w:p>
        </w:tc>
        <w:tc>
          <w:tcPr>
            <w:tcW w:w="228" w:type="pct"/>
            <w:tcBorders>
              <w:top w:val="single" w:sz="4" w:space="0" w:color="auto"/>
              <w:left w:val="single" w:sz="4" w:space="0" w:color="auto"/>
              <w:bottom w:val="single" w:sz="4" w:space="0" w:color="auto"/>
              <w:right w:val="single" w:sz="4" w:space="0" w:color="auto"/>
            </w:tcBorders>
            <w:vAlign w:val="center"/>
          </w:tcPr>
          <w:p w14:paraId="11D14549" w14:textId="77777777" w:rsidR="005D372A" w:rsidRPr="00E0548A" w:rsidRDefault="005D372A" w:rsidP="005D372A">
            <w:pPr>
              <w:jc w:val="center"/>
              <w:rPr>
                <w:rFonts w:ascii="ＭＳ 明朝"/>
                <w:sz w:val="16"/>
                <w:szCs w:val="16"/>
              </w:rPr>
            </w:pPr>
          </w:p>
        </w:tc>
        <w:tc>
          <w:tcPr>
            <w:tcW w:w="228" w:type="pct"/>
            <w:tcBorders>
              <w:top w:val="single" w:sz="4" w:space="0" w:color="auto"/>
              <w:left w:val="single" w:sz="4" w:space="0" w:color="auto"/>
              <w:bottom w:val="single" w:sz="4" w:space="0" w:color="auto"/>
              <w:right w:val="single" w:sz="4" w:space="0" w:color="auto"/>
            </w:tcBorders>
            <w:vAlign w:val="center"/>
          </w:tcPr>
          <w:p w14:paraId="245BCE79" w14:textId="77777777" w:rsidR="005D372A" w:rsidRPr="00E0548A" w:rsidRDefault="005D372A" w:rsidP="005D372A">
            <w:pPr>
              <w:jc w:val="center"/>
              <w:rPr>
                <w:rFonts w:ascii="ＭＳ 明朝"/>
                <w:sz w:val="16"/>
                <w:szCs w:val="16"/>
              </w:rPr>
            </w:pPr>
          </w:p>
        </w:tc>
        <w:tc>
          <w:tcPr>
            <w:tcW w:w="259" w:type="pct"/>
            <w:tcBorders>
              <w:top w:val="single" w:sz="4" w:space="0" w:color="auto"/>
              <w:left w:val="single" w:sz="4" w:space="0" w:color="auto"/>
              <w:bottom w:val="single" w:sz="4" w:space="0" w:color="auto"/>
              <w:right w:val="single" w:sz="4" w:space="0" w:color="auto"/>
            </w:tcBorders>
            <w:vAlign w:val="center"/>
          </w:tcPr>
          <w:p w14:paraId="710CC056" w14:textId="77777777" w:rsidR="005D372A" w:rsidRPr="00E0548A" w:rsidRDefault="005D372A" w:rsidP="005D372A">
            <w:pPr>
              <w:jc w:val="center"/>
              <w:rPr>
                <w:rFonts w:ascii="ＭＳ 明朝"/>
                <w:sz w:val="16"/>
                <w:szCs w:val="16"/>
              </w:rPr>
            </w:pPr>
          </w:p>
        </w:tc>
        <w:tc>
          <w:tcPr>
            <w:tcW w:w="211" w:type="pct"/>
            <w:tcBorders>
              <w:top w:val="single" w:sz="4" w:space="0" w:color="auto"/>
              <w:left w:val="single" w:sz="4" w:space="0" w:color="auto"/>
              <w:bottom w:val="single" w:sz="4" w:space="0" w:color="auto"/>
              <w:right w:val="single" w:sz="4" w:space="0" w:color="auto"/>
            </w:tcBorders>
            <w:shd w:val="clear" w:color="auto" w:fill="FFFFFF"/>
            <w:vAlign w:val="center"/>
          </w:tcPr>
          <w:p w14:paraId="113B8EEB" w14:textId="77777777" w:rsidR="005D372A" w:rsidRPr="00E0548A" w:rsidRDefault="005D372A" w:rsidP="005D372A">
            <w:pPr>
              <w:jc w:val="center"/>
              <w:rPr>
                <w:rFonts w:ascii="ＭＳ 明朝"/>
                <w:sz w:val="16"/>
                <w:szCs w:val="16"/>
              </w:rPr>
            </w:pPr>
          </w:p>
        </w:tc>
        <w:tc>
          <w:tcPr>
            <w:tcW w:w="226" w:type="pct"/>
            <w:tcBorders>
              <w:top w:val="single" w:sz="4" w:space="0" w:color="auto"/>
              <w:left w:val="single" w:sz="4" w:space="0" w:color="auto"/>
              <w:bottom w:val="single" w:sz="4" w:space="0" w:color="auto"/>
              <w:right w:val="single" w:sz="4" w:space="0" w:color="auto"/>
            </w:tcBorders>
            <w:shd w:val="clear" w:color="auto" w:fill="FFFFFF"/>
            <w:vAlign w:val="center"/>
          </w:tcPr>
          <w:p w14:paraId="34E68199" w14:textId="77777777" w:rsidR="005D372A" w:rsidRPr="00E0548A" w:rsidRDefault="005D372A" w:rsidP="005D372A">
            <w:pPr>
              <w:jc w:val="center"/>
              <w:rPr>
                <w:rFonts w:ascii="ＭＳ 明朝"/>
                <w:sz w:val="16"/>
                <w:szCs w:val="16"/>
              </w:rPr>
            </w:pPr>
            <w:r w:rsidRPr="00E0548A">
              <w:rPr>
                <w:rFonts w:ascii="ＭＳ 明朝" w:hint="eastAsia"/>
                <w:sz w:val="16"/>
                <w:szCs w:val="16"/>
              </w:rPr>
              <w:t>○</w:t>
            </w:r>
          </w:p>
        </w:tc>
        <w:tc>
          <w:tcPr>
            <w:tcW w:w="217" w:type="pct"/>
            <w:tcBorders>
              <w:top w:val="single" w:sz="4" w:space="0" w:color="auto"/>
              <w:left w:val="single" w:sz="4" w:space="0" w:color="auto"/>
              <w:bottom w:val="single" w:sz="4" w:space="0" w:color="auto"/>
              <w:right w:val="single" w:sz="4" w:space="0" w:color="auto"/>
            </w:tcBorders>
            <w:shd w:val="clear" w:color="auto" w:fill="FFFFFF"/>
            <w:vAlign w:val="center"/>
          </w:tcPr>
          <w:p w14:paraId="0A069537" w14:textId="77777777" w:rsidR="005D372A" w:rsidRPr="00E0548A" w:rsidRDefault="005D372A" w:rsidP="005D372A">
            <w:pPr>
              <w:jc w:val="center"/>
              <w:rPr>
                <w:rFonts w:ascii="ＭＳ 明朝"/>
                <w:sz w:val="16"/>
                <w:szCs w:val="16"/>
              </w:rPr>
            </w:pPr>
          </w:p>
        </w:tc>
      </w:tr>
      <w:tr w:rsidR="001D6D10" w:rsidRPr="00E0548A" w14:paraId="5DA8EDCE" w14:textId="77777777" w:rsidTr="008B4B2B">
        <w:trPr>
          <w:trHeight w:hRule="exact" w:val="334"/>
        </w:trPr>
        <w:tc>
          <w:tcPr>
            <w:tcW w:w="244" w:type="pct"/>
            <w:tcBorders>
              <w:top w:val="single" w:sz="4" w:space="0" w:color="auto"/>
              <w:left w:val="single" w:sz="4" w:space="0" w:color="auto"/>
              <w:bottom w:val="single" w:sz="4" w:space="0" w:color="auto"/>
              <w:right w:val="single" w:sz="4" w:space="0" w:color="auto"/>
            </w:tcBorders>
            <w:vAlign w:val="center"/>
          </w:tcPr>
          <w:p w14:paraId="732D69DD" w14:textId="77777777" w:rsidR="005D372A" w:rsidRPr="00E0548A" w:rsidRDefault="005D372A" w:rsidP="005D372A">
            <w:pPr>
              <w:jc w:val="center"/>
              <w:rPr>
                <w:rFonts w:ascii="ＭＳ 明朝"/>
                <w:sz w:val="16"/>
                <w:szCs w:val="16"/>
              </w:rPr>
            </w:pPr>
            <w:r w:rsidRPr="00E0548A">
              <w:rPr>
                <w:rFonts w:ascii="ＭＳ 明朝" w:hint="eastAsia"/>
                <w:sz w:val="16"/>
                <w:szCs w:val="16"/>
              </w:rPr>
              <w:t>19</w:t>
            </w:r>
          </w:p>
        </w:tc>
        <w:tc>
          <w:tcPr>
            <w:tcW w:w="233" w:type="pct"/>
            <w:vMerge/>
            <w:tcBorders>
              <w:left w:val="single" w:sz="4" w:space="0" w:color="auto"/>
              <w:right w:val="single" w:sz="4" w:space="0" w:color="auto"/>
            </w:tcBorders>
            <w:vAlign w:val="center"/>
          </w:tcPr>
          <w:p w14:paraId="3043388D" w14:textId="77777777" w:rsidR="005D372A" w:rsidRPr="00E0548A" w:rsidRDefault="005D372A" w:rsidP="005D372A">
            <w:pPr>
              <w:jc w:val="center"/>
              <w:rPr>
                <w:rFonts w:ascii="ＭＳ 明朝"/>
                <w:sz w:val="16"/>
                <w:szCs w:val="16"/>
              </w:rPr>
            </w:pPr>
          </w:p>
        </w:tc>
        <w:tc>
          <w:tcPr>
            <w:tcW w:w="1110" w:type="pct"/>
            <w:tcBorders>
              <w:top w:val="single" w:sz="4" w:space="0" w:color="auto"/>
              <w:left w:val="single" w:sz="4" w:space="0" w:color="auto"/>
              <w:bottom w:val="single" w:sz="4" w:space="0" w:color="auto"/>
              <w:right w:val="single" w:sz="4" w:space="0" w:color="auto"/>
            </w:tcBorders>
            <w:vAlign w:val="center"/>
            <w:hideMark/>
          </w:tcPr>
          <w:p w14:paraId="1DDD370A" w14:textId="77777777" w:rsidR="005D372A" w:rsidRPr="00E0548A" w:rsidRDefault="005D372A" w:rsidP="005D372A">
            <w:pPr>
              <w:rPr>
                <w:rFonts w:ascii="ＭＳ 明朝"/>
                <w:sz w:val="16"/>
                <w:szCs w:val="16"/>
              </w:rPr>
            </w:pPr>
            <w:r w:rsidRPr="00E0548A">
              <w:rPr>
                <w:rFonts w:ascii="ＭＳ 明朝" w:hint="eastAsia"/>
                <w:sz w:val="16"/>
                <w:szCs w:val="16"/>
              </w:rPr>
              <w:t>健康医療総務課長</w:t>
            </w:r>
          </w:p>
        </w:tc>
        <w:tc>
          <w:tcPr>
            <w:tcW w:w="229" w:type="pct"/>
            <w:tcBorders>
              <w:top w:val="single" w:sz="4" w:space="0" w:color="auto"/>
              <w:left w:val="single" w:sz="4" w:space="0" w:color="auto"/>
              <w:bottom w:val="single" w:sz="4" w:space="0" w:color="auto"/>
              <w:right w:val="single" w:sz="4" w:space="0" w:color="auto"/>
            </w:tcBorders>
            <w:vAlign w:val="center"/>
          </w:tcPr>
          <w:p w14:paraId="4A954EDA" w14:textId="77777777" w:rsidR="005D372A" w:rsidRPr="00E0548A" w:rsidRDefault="005D372A" w:rsidP="005D372A">
            <w:pPr>
              <w:jc w:val="center"/>
              <w:rPr>
                <w:rFonts w:ascii="ＭＳ 明朝"/>
                <w:sz w:val="16"/>
                <w:szCs w:val="16"/>
              </w:rPr>
            </w:pPr>
          </w:p>
        </w:tc>
        <w:tc>
          <w:tcPr>
            <w:tcW w:w="229" w:type="pct"/>
            <w:tcBorders>
              <w:top w:val="single" w:sz="4" w:space="0" w:color="auto"/>
              <w:left w:val="single" w:sz="4" w:space="0" w:color="auto"/>
              <w:bottom w:val="single" w:sz="4" w:space="0" w:color="auto"/>
              <w:right w:val="single" w:sz="4" w:space="0" w:color="auto"/>
            </w:tcBorders>
            <w:vAlign w:val="center"/>
          </w:tcPr>
          <w:p w14:paraId="5CFEE154" w14:textId="77777777" w:rsidR="005D372A" w:rsidRPr="00E0548A" w:rsidRDefault="005D372A" w:rsidP="005D372A">
            <w:pPr>
              <w:jc w:val="center"/>
              <w:rPr>
                <w:rFonts w:ascii="ＭＳ 明朝"/>
                <w:sz w:val="16"/>
                <w:szCs w:val="16"/>
              </w:rPr>
            </w:pPr>
          </w:p>
        </w:tc>
        <w:tc>
          <w:tcPr>
            <w:tcW w:w="238" w:type="pct"/>
            <w:tcBorders>
              <w:top w:val="single" w:sz="4" w:space="0" w:color="auto"/>
              <w:left w:val="single" w:sz="4" w:space="0" w:color="auto"/>
              <w:bottom w:val="single" w:sz="4" w:space="0" w:color="auto"/>
              <w:right w:val="single" w:sz="4" w:space="0" w:color="auto"/>
            </w:tcBorders>
            <w:vAlign w:val="center"/>
          </w:tcPr>
          <w:p w14:paraId="39172F14" w14:textId="77777777" w:rsidR="005D372A" w:rsidRPr="00E0548A" w:rsidRDefault="005D372A" w:rsidP="005D372A">
            <w:pPr>
              <w:jc w:val="center"/>
              <w:rPr>
                <w:rFonts w:ascii="ＭＳ 明朝"/>
                <w:sz w:val="16"/>
                <w:szCs w:val="16"/>
              </w:rPr>
            </w:pPr>
          </w:p>
        </w:tc>
        <w:tc>
          <w:tcPr>
            <w:tcW w:w="222" w:type="pct"/>
            <w:tcBorders>
              <w:top w:val="single" w:sz="4" w:space="0" w:color="auto"/>
              <w:left w:val="single" w:sz="4" w:space="0" w:color="auto"/>
              <w:bottom w:val="single" w:sz="4" w:space="0" w:color="auto"/>
              <w:right w:val="single" w:sz="4" w:space="0" w:color="auto"/>
            </w:tcBorders>
          </w:tcPr>
          <w:p w14:paraId="4975EAC1" w14:textId="77777777" w:rsidR="005D372A" w:rsidRPr="00E0548A" w:rsidRDefault="005D372A" w:rsidP="005D372A">
            <w:pPr>
              <w:jc w:val="center"/>
              <w:rPr>
                <w:rFonts w:ascii="ＭＳ 明朝"/>
                <w:sz w:val="16"/>
                <w:szCs w:val="16"/>
              </w:rPr>
            </w:pPr>
            <w:r w:rsidRPr="00E0548A">
              <w:rPr>
                <w:rFonts w:ascii="ＭＳ 明朝" w:hint="eastAsia"/>
                <w:sz w:val="16"/>
                <w:szCs w:val="16"/>
              </w:rPr>
              <w:t>○</w:t>
            </w:r>
          </w:p>
        </w:tc>
        <w:tc>
          <w:tcPr>
            <w:tcW w:w="222" w:type="pct"/>
            <w:tcBorders>
              <w:top w:val="single" w:sz="4" w:space="0" w:color="auto"/>
              <w:left w:val="single" w:sz="4" w:space="0" w:color="auto"/>
              <w:bottom w:val="single" w:sz="4" w:space="0" w:color="auto"/>
              <w:right w:val="single" w:sz="4" w:space="0" w:color="auto"/>
            </w:tcBorders>
            <w:shd w:val="clear" w:color="auto" w:fill="FFFFFF"/>
            <w:vAlign w:val="center"/>
          </w:tcPr>
          <w:p w14:paraId="4BBBDBCF" w14:textId="77777777" w:rsidR="005D372A" w:rsidRPr="00E0548A" w:rsidRDefault="005D372A" w:rsidP="005D372A">
            <w:pPr>
              <w:jc w:val="center"/>
              <w:rPr>
                <w:rFonts w:ascii="ＭＳ 明朝"/>
                <w:sz w:val="16"/>
                <w:szCs w:val="16"/>
              </w:rPr>
            </w:pPr>
          </w:p>
        </w:tc>
        <w:tc>
          <w:tcPr>
            <w:tcW w:w="220" w:type="pct"/>
            <w:tcBorders>
              <w:top w:val="single" w:sz="4" w:space="0" w:color="auto"/>
              <w:left w:val="single" w:sz="4" w:space="0" w:color="auto"/>
              <w:bottom w:val="single" w:sz="4" w:space="0" w:color="auto"/>
              <w:right w:val="single" w:sz="4" w:space="0" w:color="auto"/>
            </w:tcBorders>
            <w:vAlign w:val="center"/>
          </w:tcPr>
          <w:p w14:paraId="00EC6B0C" w14:textId="77777777" w:rsidR="005D372A" w:rsidRPr="00E0548A" w:rsidRDefault="005D372A" w:rsidP="005D372A">
            <w:pPr>
              <w:jc w:val="center"/>
              <w:rPr>
                <w:rFonts w:ascii="ＭＳ 明朝"/>
                <w:sz w:val="16"/>
                <w:szCs w:val="16"/>
              </w:rPr>
            </w:pPr>
          </w:p>
        </w:tc>
        <w:tc>
          <w:tcPr>
            <w:tcW w:w="228" w:type="pct"/>
            <w:tcBorders>
              <w:top w:val="single" w:sz="4" w:space="0" w:color="auto"/>
              <w:left w:val="single" w:sz="4" w:space="0" w:color="auto"/>
              <w:bottom w:val="single" w:sz="4" w:space="0" w:color="auto"/>
              <w:right w:val="single" w:sz="4" w:space="0" w:color="auto"/>
            </w:tcBorders>
            <w:vAlign w:val="center"/>
          </w:tcPr>
          <w:p w14:paraId="08D34C7B" w14:textId="77777777" w:rsidR="005D372A" w:rsidRPr="00E0548A" w:rsidRDefault="005D372A" w:rsidP="005D372A">
            <w:pPr>
              <w:jc w:val="center"/>
              <w:rPr>
                <w:rFonts w:ascii="ＭＳ 明朝"/>
                <w:sz w:val="16"/>
                <w:szCs w:val="16"/>
              </w:rPr>
            </w:pPr>
          </w:p>
        </w:tc>
        <w:tc>
          <w:tcPr>
            <w:tcW w:w="228" w:type="pct"/>
            <w:tcBorders>
              <w:top w:val="single" w:sz="4" w:space="0" w:color="auto"/>
              <w:left w:val="single" w:sz="4" w:space="0" w:color="auto"/>
              <w:bottom w:val="single" w:sz="4" w:space="0" w:color="auto"/>
              <w:right w:val="single" w:sz="4" w:space="0" w:color="auto"/>
            </w:tcBorders>
            <w:vAlign w:val="center"/>
          </w:tcPr>
          <w:p w14:paraId="2D29C91A" w14:textId="77777777" w:rsidR="005D372A" w:rsidRPr="00E0548A" w:rsidRDefault="005D372A" w:rsidP="005D372A">
            <w:pPr>
              <w:jc w:val="center"/>
              <w:rPr>
                <w:rFonts w:ascii="ＭＳ 明朝"/>
                <w:sz w:val="16"/>
                <w:szCs w:val="16"/>
              </w:rPr>
            </w:pPr>
          </w:p>
        </w:tc>
        <w:tc>
          <w:tcPr>
            <w:tcW w:w="228" w:type="pct"/>
            <w:tcBorders>
              <w:top w:val="single" w:sz="4" w:space="0" w:color="auto"/>
              <w:left w:val="single" w:sz="4" w:space="0" w:color="auto"/>
              <w:bottom w:val="single" w:sz="4" w:space="0" w:color="auto"/>
              <w:right w:val="single" w:sz="4" w:space="0" w:color="auto"/>
            </w:tcBorders>
            <w:vAlign w:val="center"/>
          </w:tcPr>
          <w:p w14:paraId="3714B530" w14:textId="77777777" w:rsidR="005D372A" w:rsidRPr="00E0548A" w:rsidRDefault="005D372A" w:rsidP="005D372A">
            <w:pPr>
              <w:jc w:val="center"/>
              <w:rPr>
                <w:rFonts w:ascii="ＭＳ 明朝"/>
                <w:sz w:val="16"/>
                <w:szCs w:val="16"/>
              </w:rPr>
            </w:pPr>
          </w:p>
        </w:tc>
        <w:tc>
          <w:tcPr>
            <w:tcW w:w="228" w:type="pct"/>
            <w:tcBorders>
              <w:top w:val="single" w:sz="4" w:space="0" w:color="auto"/>
              <w:left w:val="single" w:sz="4" w:space="0" w:color="auto"/>
              <w:bottom w:val="single" w:sz="4" w:space="0" w:color="auto"/>
              <w:right w:val="single" w:sz="4" w:space="0" w:color="auto"/>
            </w:tcBorders>
            <w:vAlign w:val="center"/>
          </w:tcPr>
          <w:p w14:paraId="3077C040" w14:textId="77777777" w:rsidR="005D372A" w:rsidRPr="00E0548A" w:rsidRDefault="005D372A" w:rsidP="005D372A">
            <w:pPr>
              <w:jc w:val="center"/>
              <w:rPr>
                <w:rFonts w:ascii="ＭＳ 明朝"/>
                <w:sz w:val="16"/>
                <w:szCs w:val="16"/>
              </w:rPr>
            </w:pPr>
          </w:p>
        </w:tc>
        <w:tc>
          <w:tcPr>
            <w:tcW w:w="228" w:type="pct"/>
            <w:tcBorders>
              <w:top w:val="single" w:sz="4" w:space="0" w:color="auto"/>
              <w:left w:val="single" w:sz="4" w:space="0" w:color="auto"/>
              <w:bottom w:val="single" w:sz="4" w:space="0" w:color="auto"/>
              <w:right w:val="single" w:sz="4" w:space="0" w:color="auto"/>
            </w:tcBorders>
            <w:vAlign w:val="center"/>
          </w:tcPr>
          <w:p w14:paraId="7D173641" w14:textId="77777777" w:rsidR="005D372A" w:rsidRPr="00E0548A" w:rsidRDefault="005D372A" w:rsidP="005D372A">
            <w:pPr>
              <w:jc w:val="center"/>
              <w:rPr>
                <w:rFonts w:ascii="ＭＳ 明朝"/>
                <w:sz w:val="16"/>
                <w:szCs w:val="16"/>
              </w:rPr>
            </w:pPr>
          </w:p>
        </w:tc>
        <w:tc>
          <w:tcPr>
            <w:tcW w:w="259" w:type="pct"/>
            <w:tcBorders>
              <w:top w:val="single" w:sz="4" w:space="0" w:color="auto"/>
              <w:left w:val="single" w:sz="4" w:space="0" w:color="auto"/>
              <w:bottom w:val="single" w:sz="4" w:space="0" w:color="auto"/>
              <w:right w:val="single" w:sz="4" w:space="0" w:color="auto"/>
            </w:tcBorders>
            <w:vAlign w:val="center"/>
          </w:tcPr>
          <w:p w14:paraId="7E89681A" w14:textId="77777777" w:rsidR="005D372A" w:rsidRPr="00E0548A" w:rsidRDefault="005D372A" w:rsidP="005D372A">
            <w:pPr>
              <w:jc w:val="center"/>
              <w:rPr>
                <w:rFonts w:ascii="ＭＳ 明朝"/>
                <w:sz w:val="16"/>
                <w:szCs w:val="16"/>
              </w:rPr>
            </w:pPr>
          </w:p>
        </w:tc>
        <w:tc>
          <w:tcPr>
            <w:tcW w:w="211" w:type="pct"/>
            <w:tcBorders>
              <w:top w:val="single" w:sz="4" w:space="0" w:color="auto"/>
              <w:left w:val="single" w:sz="4" w:space="0" w:color="auto"/>
              <w:bottom w:val="single" w:sz="4" w:space="0" w:color="auto"/>
              <w:right w:val="single" w:sz="4" w:space="0" w:color="auto"/>
            </w:tcBorders>
            <w:shd w:val="clear" w:color="auto" w:fill="FFFFFF"/>
            <w:vAlign w:val="center"/>
          </w:tcPr>
          <w:p w14:paraId="786B9D76" w14:textId="77777777" w:rsidR="005D372A" w:rsidRPr="00E0548A" w:rsidRDefault="005D372A" w:rsidP="005D372A">
            <w:pPr>
              <w:jc w:val="center"/>
              <w:rPr>
                <w:rFonts w:ascii="ＭＳ 明朝"/>
                <w:sz w:val="16"/>
                <w:szCs w:val="16"/>
              </w:rPr>
            </w:pPr>
          </w:p>
        </w:tc>
        <w:tc>
          <w:tcPr>
            <w:tcW w:w="226" w:type="pct"/>
            <w:tcBorders>
              <w:top w:val="single" w:sz="4" w:space="0" w:color="auto"/>
              <w:left w:val="single" w:sz="4" w:space="0" w:color="auto"/>
              <w:bottom w:val="single" w:sz="4" w:space="0" w:color="auto"/>
              <w:right w:val="single" w:sz="4" w:space="0" w:color="auto"/>
            </w:tcBorders>
            <w:shd w:val="clear" w:color="auto" w:fill="FFFFFF"/>
            <w:vAlign w:val="center"/>
          </w:tcPr>
          <w:p w14:paraId="5384A6FC" w14:textId="77777777" w:rsidR="005D372A" w:rsidRPr="00E0548A" w:rsidRDefault="005D372A" w:rsidP="005D372A">
            <w:pPr>
              <w:jc w:val="center"/>
              <w:rPr>
                <w:rFonts w:ascii="ＭＳ 明朝"/>
                <w:sz w:val="16"/>
                <w:szCs w:val="16"/>
              </w:rPr>
            </w:pPr>
            <w:r w:rsidRPr="00E0548A">
              <w:rPr>
                <w:rFonts w:ascii="ＭＳ 明朝" w:hint="eastAsia"/>
                <w:sz w:val="16"/>
                <w:szCs w:val="16"/>
              </w:rPr>
              <w:t>○</w:t>
            </w:r>
          </w:p>
        </w:tc>
        <w:tc>
          <w:tcPr>
            <w:tcW w:w="217" w:type="pct"/>
            <w:tcBorders>
              <w:top w:val="single" w:sz="4" w:space="0" w:color="auto"/>
              <w:left w:val="single" w:sz="4" w:space="0" w:color="auto"/>
              <w:bottom w:val="single" w:sz="4" w:space="0" w:color="auto"/>
              <w:right w:val="single" w:sz="4" w:space="0" w:color="auto"/>
            </w:tcBorders>
            <w:shd w:val="clear" w:color="auto" w:fill="FFFFFF"/>
            <w:vAlign w:val="center"/>
          </w:tcPr>
          <w:p w14:paraId="2306F9C6" w14:textId="77777777" w:rsidR="005D372A" w:rsidRPr="00E0548A" w:rsidRDefault="005D372A" w:rsidP="005D372A">
            <w:pPr>
              <w:jc w:val="center"/>
              <w:rPr>
                <w:rFonts w:ascii="ＭＳ 明朝"/>
                <w:sz w:val="16"/>
                <w:szCs w:val="16"/>
              </w:rPr>
            </w:pPr>
          </w:p>
        </w:tc>
      </w:tr>
      <w:tr w:rsidR="001D6D10" w:rsidRPr="00E0548A" w14:paraId="70198744" w14:textId="77777777" w:rsidTr="008B4B2B">
        <w:trPr>
          <w:trHeight w:hRule="exact" w:val="334"/>
        </w:trPr>
        <w:tc>
          <w:tcPr>
            <w:tcW w:w="244" w:type="pct"/>
            <w:tcBorders>
              <w:top w:val="single" w:sz="4" w:space="0" w:color="auto"/>
              <w:left w:val="single" w:sz="4" w:space="0" w:color="auto"/>
              <w:bottom w:val="single" w:sz="4" w:space="0" w:color="auto"/>
              <w:right w:val="single" w:sz="4" w:space="0" w:color="auto"/>
            </w:tcBorders>
            <w:vAlign w:val="center"/>
          </w:tcPr>
          <w:p w14:paraId="34B7DF9D" w14:textId="77777777" w:rsidR="005D372A" w:rsidRPr="00E0548A" w:rsidRDefault="005D372A" w:rsidP="005D372A">
            <w:pPr>
              <w:jc w:val="center"/>
              <w:rPr>
                <w:rFonts w:ascii="ＭＳ 明朝"/>
                <w:sz w:val="16"/>
                <w:szCs w:val="16"/>
              </w:rPr>
            </w:pPr>
            <w:r w:rsidRPr="00E0548A">
              <w:rPr>
                <w:rFonts w:ascii="ＭＳ 明朝" w:hint="eastAsia"/>
                <w:sz w:val="16"/>
                <w:szCs w:val="16"/>
              </w:rPr>
              <w:t>20</w:t>
            </w:r>
          </w:p>
        </w:tc>
        <w:tc>
          <w:tcPr>
            <w:tcW w:w="233" w:type="pct"/>
            <w:vMerge/>
            <w:tcBorders>
              <w:left w:val="single" w:sz="4" w:space="0" w:color="auto"/>
              <w:right w:val="single" w:sz="4" w:space="0" w:color="auto"/>
            </w:tcBorders>
            <w:vAlign w:val="center"/>
          </w:tcPr>
          <w:p w14:paraId="0D0A5378" w14:textId="77777777" w:rsidR="005D372A" w:rsidRPr="00E0548A" w:rsidRDefault="005D372A" w:rsidP="005D372A">
            <w:pPr>
              <w:jc w:val="center"/>
              <w:rPr>
                <w:rFonts w:ascii="ＭＳ 明朝"/>
                <w:sz w:val="16"/>
                <w:szCs w:val="16"/>
              </w:rPr>
            </w:pPr>
          </w:p>
        </w:tc>
        <w:tc>
          <w:tcPr>
            <w:tcW w:w="1110" w:type="pct"/>
            <w:tcBorders>
              <w:top w:val="single" w:sz="4" w:space="0" w:color="auto"/>
              <w:left w:val="single" w:sz="4" w:space="0" w:color="auto"/>
              <w:bottom w:val="single" w:sz="4" w:space="0" w:color="auto"/>
              <w:right w:val="single" w:sz="4" w:space="0" w:color="auto"/>
            </w:tcBorders>
            <w:vAlign w:val="center"/>
            <w:hideMark/>
          </w:tcPr>
          <w:p w14:paraId="6030D65E" w14:textId="5C59FF5F" w:rsidR="005D372A" w:rsidRPr="00E0548A" w:rsidRDefault="006D1D41" w:rsidP="005D372A">
            <w:pPr>
              <w:rPr>
                <w:rFonts w:ascii="ＭＳ 明朝"/>
                <w:sz w:val="16"/>
                <w:szCs w:val="16"/>
              </w:rPr>
            </w:pPr>
            <w:r w:rsidRPr="00E0548A">
              <w:rPr>
                <w:rFonts w:ascii="ＭＳ 明朝" w:hint="eastAsia"/>
                <w:sz w:val="16"/>
                <w:szCs w:val="16"/>
              </w:rPr>
              <w:t>医療・感染症対策課</w:t>
            </w:r>
            <w:r w:rsidR="005D372A" w:rsidRPr="00E0548A">
              <w:rPr>
                <w:rFonts w:ascii="ＭＳ 明朝" w:hint="eastAsia"/>
                <w:sz w:val="16"/>
                <w:szCs w:val="16"/>
              </w:rPr>
              <w:t>長</w:t>
            </w:r>
          </w:p>
        </w:tc>
        <w:tc>
          <w:tcPr>
            <w:tcW w:w="229" w:type="pct"/>
            <w:tcBorders>
              <w:top w:val="single" w:sz="4" w:space="0" w:color="auto"/>
              <w:left w:val="single" w:sz="4" w:space="0" w:color="auto"/>
              <w:bottom w:val="single" w:sz="4" w:space="0" w:color="auto"/>
              <w:right w:val="single" w:sz="4" w:space="0" w:color="auto"/>
            </w:tcBorders>
            <w:vAlign w:val="center"/>
            <w:hideMark/>
          </w:tcPr>
          <w:p w14:paraId="4C9CC1B1" w14:textId="77777777" w:rsidR="005D372A" w:rsidRPr="00E0548A" w:rsidRDefault="005D372A" w:rsidP="005D372A">
            <w:pPr>
              <w:jc w:val="center"/>
              <w:rPr>
                <w:rFonts w:ascii="ＭＳ 明朝"/>
                <w:sz w:val="16"/>
                <w:szCs w:val="16"/>
              </w:rPr>
            </w:pPr>
            <w:r w:rsidRPr="00E0548A">
              <w:rPr>
                <w:rFonts w:ascii="ＭＳ 明朝" w:hint="eastAsia"/>
                <w:sz w:val="16"/>
                <w:szCs w:val="16"/>
              </w:rPr>
              <w:t>○</w:t>
            </w:r>
          </w:p>
        </w:tc>
        <w:tc>
          <w:tcPr>
            <w:tcW w:w="229" w:type="pct"/>
            <w:tcBorders>
              <w:top w:val="single" w:sz="4" w:space="0" w:color="auto"/>
              <w:left w:val="single" w:sz="4" w:space="0" w:color="auto"/>
              <w:bottom w:val="single" w:sz="4" w:space="0" w:color="auto"/>
              <w:right w:val="single" w:sz="4" w:space="0" w:color="auto"/>
            </w:tcBorders>
            <w:vAlign w:val="center"/>
          </w:tcPr>
          <w:p w14:paraId="34BF9292" w14:textId="77777777" w:rsidR="005D372A" w:rsidRPr="00E0548A" w:rsidRDefault="005D372A" w:rsidP="005D372A">
            <w:pPr>
              <w:jc w:val="center"/>
              <w:rPr>
                <w:rFonts w:ascii="ＭＳ 明朝"/>
                <w:sz w:val="16"/>
                <w:szCs w:val="16"/>
              </w:rPr>
            </w:pPr>
            <w:r w:rsidRPr="00E0548A">
              <w:rPr>
                <w:rFonts w:ascii="ＭＳ 明朝" w:hint="eastAsia"/>
                <w:sz w:val="16"/>
                <w:szCs w:val="16"/>
              </w:rPr>
              <w:t>○</w:t>
            </w:r>
          </w:p>
        </w:tc>
        <w:tc>
          <w:tcPr>
            <w:tcW w:w="238" w:type="pct"/>
            <w:tcBorders>
              <w:top w:val="single" w:sz="4" w:space="0" w:color="auto"/>
              <w:left w:val="single" w:sz="4" w:space="0" w:color="auto"/>
              <w:bottom w:val="single" w:sz="4" w:space="0" w:color="auto"/>
              <w:right w:val="single" w:sz="4" w:space="0" w:color="auto"/>
            </w:tcBorders>
            <w:vAlign w:val="center"/>
          </w:tcPr>
          <w:p w14:paraId="3466BAC4" w14:textId="77777777" w:rsidR="005D372A" w:rsidRPr="00E0548A" w:rsidRDefault="005D372A" w:rsidP="005D372A">
            <w:pPr>
              <w:jc w:val="center"/>
              <w:rPr>
                <w:rFonts w:ascii="ＭＳ 明朝"/>
                <w:sz w:val="16"/>
                <w:szCs w:val="16"/>
              </w:rPr>
            </w:pPr>
          </w:p>
        </w:tc>
        <w:tc>
          <w:tcPr>
            <w:tcW w:w="222" w:type="pct"/>
            <w:tcBorders>
              <w:top w:val="single" w:sz="4" w:space="0" w:color="auto"/>
              <w:left w:val="single" w:sz="4" w:space="0" w:color="auto"/>
              <w:bottom w:val="single" w:sz="4" w:space="0" w:color="auto"/>
              <w:right w:val="single" w:sz="4" w:space="0" w:color="auto"/>
            </w:tcBorders>
          </w:tcPr>
          <w:p w14:paraId="6417AEDE" w14:textId="77777777" w:rsidR="005D372A" w:rsidRPr="00E0548A" w:rsidRDefault="005D372A" w:rsidP="005D372A">
            <w:pPr>
              <w:jc w:val="center"/>
              <w:rPr>
                <w:rFonts w:ascii="ＭＳ 明朝"/>
                <w:sz w:val="16"/>
                <w:szCs w:val="16"/>
              </w:rPr>
            </w:pPr>
            <w:r w:rsidRPr="00E0548A">
              <w:rPr>
                <w:rFonts w:ascii="ＭＳ 明朝" w:hint="eastAsia"/>
                <w:sz w:val="16"/>
                <w:szCs w:val="16"/>
              </w:rPr>
              <w:t>○</w:t>
            </w:r>
          </w:p>
        </w:tc>
        <w:tc>
          <w:tcPr>
            <w:tcW w:w="222" w:type="pct"/>
            <w:tcBorders>
              <w:top w:val="single" w:sz="4" w:space="0" w:color="auto"/>
              <w:left w:val="single" w:sz="4" w:space="0" w:color="auto"/>
              <w:bottom w:val="single" w:sz="4" w:space="0" w:color="auto"/>
              <w:right w:val="single" w:sz="4" w:space="0" w:color="auto"/>
            </w:tcBorders>
            <w:shd w:val="clear" w:color="auto" w:fill="FFFFFF"/>
            <w:vAlign w:val="center"/>
          </w:tcPr>
          <w:p w14:paraId="7B9C674B" w14:textId="77777777" w:rsidR="005D372A" w:rsidRPr="00E0548A" w:rsidRDefault="005D372A" w:rsidP="005D372A">
            <w:pPr>
              <w:jc w:val="center"/>
              <w:rPr>
                <w:rFonts w:ascii="ＭＳ 明朝"/>
                <w:sz w:val="16"/>
                <w:szCs w:val="16"/>
              </w:rPr>
            </w:pPr>
          </w:p>
        </w:tc>
        <w:tc>
          <w:tcPr>
            <w:tcW w:w="220" w:type="pct"/>
            <w:tcBorders>
              <w:top w:val="single" w:sz="4" w:space="0" w:color="auto"/>
              <w:left w:val="single" w:sz="4" w:space="0" w:color="auto"/>
              <w:bottom w:val="single" w:sz="4" w:space="0" w:color="auto"/>
              <w:right w:val="single" w:sz="4" w:space="0" w:color="auto"/>
            </w:tcBorders>
            <w:vAlign w:val="center"/>
            <w:hideMark/>
          </w:tcPr>
          <w:p w14:paraId="3A33909F" w14:textId="77777777" w:rsidR="005D372A" w:rsidRPr="00E0548A" w:rsidRDefault="005D372A" w:rsidP="005D372A">
            <w:pPr>
              <w:jc w:val="center"/>
              <w:rPr>
                <w:rFonts w:ascii="ＭＳ 明朝"/>
                <w:sz w:val="16"/>
                <w:szCs w:val="16"/>
              </w:rPr>
            </w:pPr>
            <w:r w:rsidRPr="00E0548A">
              <w:rPr>
                <w:rFonts w:ascii="ＭＳ 明朝" w:hint="eastAsia"/>
                <w:sz w:val="16"/>
                <w:szCs w:val="16"/>
              </w:rPr>
              <w:t>○</w:t>
            </w:r>
          </w:p>
        </w:tc>
        <w:tc>
          <w:tcPr>
            <w:tcW w:w="228" w:type="pct"/>
            <w:tcBorders>
              <w:top w:val="single" w:sz="4" w:space="0" w:color="auto"/>
              <w:left w:val="single" w:sz="4" w:space="0" w:color="auto"/>
              <w:bottom w:val="single" w:sz="4" w:space="0" w:color="auto"/>
              <w:right w:val="single" w:sz="4" w:space="0" w:color="auto"/>
            </w:tcBorders>
            <w:vAlign w:val="center"/>
            <w:hideMark/>
          </w:tcPr>
          <w:p w14:paraId="673FFEA6" w14:textId="77777777" w:rsidR="005D372A" w:rsidRPr="00E0548A" w:rsidRDefault="005D372A" w:rsidP="005D372A">
            <w:pPr>
              <w:jc w:val="center"/>
              <w:rPr>
                <w:rFonts w:ascii="ＭＳ 明朝"/>
                <w:sz w:val="16"/>
                <w:szCs w:val="16"/>
              </w:rPr>
            </w:pPr>
            <w:r w:rsidRPr="00E0548A">
              <w:rPr>
                <w:rFonts w:ascii="ＭＳ 明朝" w:hint="eastAsia"/>
                <w:sz w:val="16"/>
                <w:szCs w:val="16"/>
              </w:rPr>
              <w:t>○</w:t>
            </w:r>
          </w:p>
        </w:tc>
        <w:tc>
          <w:tcPr>
            <w:tcW w:w="228" w:type="pct"/>
            <w:tcBorders>
              <w:top w:val="single" w:sz="4" w:space="0" w:color="auto"/>
              <w:left w:val="single" w:sz="4" w:space="0" w:color="auto"/>
              <w:bottom w:val="single" w:sz="4" w:space="0" w:color="auto"/>
              <w:right w:val="single" w:sz="4" w:space="0" w:color="auto"/>
            </w:tcBorders>
            <w:vAlign w:val="center"/>
            <w:hideMark/>
          </w:tcPr>
          <w:p w14:paraId="1D190CCF" w14:textId="77777777" w:rsidR="005D372A" w:rsidRPr="00E0548A" w:rsidRDefault="005D372A" w:rsidP="005D372A">
            <w:pPr>
              <w:jc w:val="center"/>
              <w:rPr>
                <w:rFonts w:ascii="ＭＳ 明朝"/>
                <w:sz w:val="16"/>
                <w:szCs w:val="16"/>
              </w:rPr>
            </w:pPr>
            <w:r w:rsidRPr="00E0548A">
              <w:rPr>
                <w:rFonts w:ascii="ＭＳ 明朝" w:hint="eastAsia"/>
                <w:sz w:val="16"/>
                <w:szCs w:val="16"/>
              </w:rPr>
              <w:t>○</w:t>
            </w:r>
          </w:p>
        </w:tc>
        <w:tc>
          <w:tcPr>
            <w:tcW w:w="228" w:type="pct"/>
            <w:tcBorders>
              <w:top w:val="single" w:sz="4" w:space="0" w:color="auto"/>
              <w:left w:val="single" w:sz="4" w:space="0" w:color="auto"/>
              <w:bottom w:val="single" w:sz="4" w:space="0" w:color="auto"/>
              <w:right w:val="single" w:sz="4" w:space="0" w:color="auto"/>
            </w:tcBorders>
            <w:vAlign w:val="center"/>
            <w:hideMark/>
          </w:tcPr>
          <w:p w14:paraId="650D2741" w14:textId="77777777" w:rsidR="005D372A" w:rsidRPr="00E0548A" w:rsidRDefault="005D372A" w:rsidP="005D372A">
            <w:pPr>
              <w:jc w:val="center"/>
              <w:rPr>
                <w:rFonts w:ascii="ＭＳ 明朝"/>
                <w:sz w:val="16"/>
                <w:szCs w:val="16"/>
              </w:rPr>
            </w:pPr>
            <w:r w:rsidRPr="00E0548A">
              <w:rPr>
                <w:rFonts w:ascii="ＭＳ 明朝" w:hint="eastAsia"/>
                <w:sz w:val="16"/>
                <w:szCs w:val="16"/>
              </w:rPr>
              <w:t>○</w:t>
            </w:r>
          </w:p>
        </w:tc>
        <w:tc>
          <w:tcPr>
            <w:tcW w:w="228" w:type="pct"/>
            <w:tcBorders>
              <w:top w:val="single" w:sz="4" w:space="0" w:color="auto"/>
              <w:left w:val="single" w:sz="4" w:space="0" w:color="auto"/>
              <w:bottom w:val="single" w:sz="4" w:space="0" w:color="auto"/>
              <w:right w:val="single" w:sz="4" w:space="0" w:color="auto"/>
            </w:tcBorders>
            <w:vAlign w:val="center"/>
            <w:hideMark/>
          </w:tcPr>
          <w:p w14:paraId="44A7E272" w14:textId="77777777" w:rsidR="005D372A" w:rsidRPr="00E0548A" w:rsidRDefault="005D372A" w:rsidP="005D372A">
            <w:pPr>
              <w:jc w:val="center"/>
              <w:rPr>
                <w:rFonts w:ascii="ＭＳ 明朝"/>
                <w:sz w:val="16"/>
                <w:szCs w:val="16"/>
              </w:rPr>
            </w:pPr>
            <w:r w:rsidRPr="00E0548A">
              <w:rPr>
                <w:rFonts w:ascii="ＭＳ 明朝" w:hint="eastAsia"/>
                <w:sz w:val="16"/>
                <w:szCs w:val="16"/>
              </w:rPr>
              <w:t>○</w:t>
            </w:r>
          </w:p>
        </w:tc>
        <w:tc>
          <w:tcPr>
            <w:tcW w:w="228" w:type="pct"/>
            <w:tcBorders>
              <w:top w:val="single" w:sz="4" w:space="0" w:color="auto"/>
              <w:left w:val="single" w:sz="4" w:space="0" w:color="auto"/>
              <w:bottom w:val="single" w:sz="4" w:space="0" w:color="auto"/>
              <w:right w:val="single" w:sz="4" w:space="0" w:color="auto"/>
            </w:tcBorders>
            <w:vAlign w:val="center"/>
          </w:tcPr>
          <w:p w14:paraId="77A71696" w14:textId="77777777" w:rsidR="005D372A" w:rsidRPr="00E0548A" w:rsidRDefault="005D372A" w:rsidP="005D372A">
            <w:pPr>
              <w:jc w:val="center"/>
              <w:rPr>
                <w:rFonts w:ascii="ＭＳ 明朝"/>
                <w:sz w:val="16"/>
                <w:szCs w:val="16"/>
              </w:rPr>
            </w:pPr>
            <w:r w:rsidRPr="00E0548A">
              <w:rPr>
                <w:rFonts w:ascii="ＭＳ 明朝" w:hint="eastAsia"/>
                <w:sz w:val="16"/>
                <w:szCs w:val="16"/>
              </w:rPr>
              <w:t>○</w:t>
            </w:r>
          </w:p>
        </w:tc>
        <w:tc>
          <w:tcPr>
            <w:tcW w:w="259" w:type="pct"/>
            <w:tcBorders>
              <w:top w:val="single" w:sz="4" w:space="0" w:color="auto"/>
              <w:left w:val="single" w:sz="4" w:space="0" w:color="auto"/>
              <w:bottom w:val="single" w:sz="4" w:space="0" w:color="auto"/>
              <w:right w:val="single" w:sz="4" w:space="0" w:color="auto"/>
            </w:tcBorders>
            <w:vAlign w:val="center"/>
            <w:hideMark/>
          </w:tcPr>
          <w:p w14:paraId="601A7D43" w14:textId="77777777" w:rsidR="005D372A" w:rsidRPr="00E0548A" w:rsidRDefault="005D372A" w:rsidP="005D372A">
            <w:pPr>
              <w:jc w:val="center"/>
              <w:rPr>
                <w:rFonts w:ascii="ＭＳ 明朝"/>
                <w:sz w:val="16"/>
                <w:szCs w:val="16"/>
              </w:rPr>
            </w:pPr>
          </w:p>
        </w:tc>
        <w:tc>
          <w:tcPr>
            <w:tcW w:w="211" w:type="pct"/>
            <w:tcBorders>
              <w:top w:val="single" w:sz="4" w:space="0" w:color="auto"/>
              <w:left w:val="single" w:sz="4" w:space="0" w:color="auto"/>
              <w:bottom w:val="single" w:sz="4" w:space="0" w:color="auto"/>
              <w:right w:val="single" w:sz="4" w:space="0" w:color="auto"/>
            </w:tcBorders>
            <w:shd w:val="clear" w:color="auto" w:fill="FFFFFF"/>
            <w:vAlign w:val="center"/>
          </w:tcPr>
          <w:p w14:paraId="73446E72" w14:textId="77777777" w:rsidR="005D372A" w:rsidRPr="00E0548A" w:rsidRDefault="005D372A" w:rsidP="005D372A">
            <w:pPr>
              <w:jc w:val="center"/>
              <w:rPr>
                <w:rFonts w:ascii="ＭＳ 明朝"/>
                <w:sz w:val="16"/>
                <w:szCs w:val="16"/>
              </w:rPr>
            </w:pPr>
            <w:r w:rsidRPr="00E0548A">
              <w:rPr>
                <w:rFonts w:ascii="ＭＳ 明朝" w:hint="eastAsia"/>
                <w:sz w:val="16"/>
                <w:szCs w:val="16"/>
              </w:rPr>
              <w:t>○</w:t>
            </w:r>
          </w:p>
        </w:tc>
        <w:tc>
          <w:tcPr>
            <w:tcW w:w="226" w:type="pct"/>
            <w:tcBorders>
              <w:top w:val="single" w:sz="4" w:space="0" w:color="auto"/>
              <w:left w:val="single" w:sz="4" w:space="0" w:color="auto"/>
              <w:bottom w:val="single" w:sz="4" w:space="0" w:color="auto"/>
              <w:right w:val="single" w:sz="4" w:space="0" w:color="auto"/>
            </w:tcBorders>
            <w:shd w:val="clear" w:color="auto" w:fill="FFFFFF"/>
            <w:vAlign w:val="center"/>
          </w:tcPr>
          <w:p w14:paraId="234DF5F7" w14:textId="77777777" w:rsidR="005D372A" w:rsidRPr="00E0548A" w:rsidRDefault="005D372A" w:rsidP="005D372A">
            <w:pPr>
              <w:jc w:val="center"/>
              <w:rPr>
                <w:rFonts w:ascii="ＭＳ 明朝"/>
                <w:sz w:val="16"/>
                <w:szCs w:val="16"/>
              </w:rPr>
            </w:pPr>
            <w:r w:rsidRPr="00E0548A">
              <w:rPr>
                <w:rFonts w:ascii="ＭＳ 明朝" w:hint="eastAsia"/>
                <w:sz w:val="16"/>
                <w:szCs w:val="16"/>
              </w:rPr>
              <w:t>○</w:t>
            </w:r>
          </w:p>
        </w:tc>
        <w:tc>
          <w:tcPr>
            <w:tcW w:w="217" w:type="pct"/>
            <w:tcBorders>
              <w:top w:val="single" w:sz="4" w:space="0" w:color="auto"/>
              <w:left w:val="single" w:sz="4" w:space="0" w:color="auto"/>
              <w:bottom w:val="single" w:sz="4" w:space="0" w:color="auto"/>
              <w:right w:val="single" w:sz="4" w:space="0" w:color="auto"/>
            </w:tcBorders>
            <w:shd w:val="clear" w:color="auto" w:fill="FFFFFF"/>
            <w:vAlign w:val="center"/>
          </w:tcPr>
          <w:p w14:paraId="00E1C399" w14:textId="77777777" w:rsidR="005D372A" w:rsidRPr="00E0548A" w:rsidRDefault="005D372A" w:rsidP="005D372A">
            <w:pPr>
              <w:jc w:val="center"/>
              <w:rPr>
                <w:rFonts w:ascii="ＭＳ 明朝"/>
                <w:sz w:val="16"/>
                <w:szCs w:val="16"/>
              </w:rPr>
            </w:pPr>
            <w:r w:rsidRPr="00E0548A">
              <w:rPr>
                <w:rFonts w:ascii="ＭＳ 明朝" w:hint="eastAsia"/>
                <w:sz w:val="16"/>
                <w:szCs w:val="16"/>
              </w:rPr>
              <w:t>○</w:t>
            </w:r>
          </w:p>
        </w:tc>
      </w:tr>
      <w:tr w:rsidR="001D6D10" w:rsidRPr="00E0548A" w14:paraId="0BF60210" w14:textId="77777777" w:rsidTr="008B4B2B">
        <w:trPr>
          <w:trHeight w:hRule="exact" w:val="334"/>
        </w:trPr>
        <w:tc>
          <w:tcPr>
            <w:tcW w:w="244" w:type="pct"/>
            <w:tcBorders>
              <w:top w:val="single" w:sz="4" w:space="0" w:color="auto"/>
              <w:left w:val="single" w:sz="4" w:space="0" w:color="auto"/>
              <w:bottom w:val="single" w:sz="4" w:space="0" w:color="auto"/>
              <w:right w:val="single" w:sz="4" w:space="0" w:color="auto"/>
            </w:tcBorders>
            <w:vAlign w:val="center"/>
          </w:tcPr>
          <w:p w14:paraId="1E672EDF" w14:textId="77777777" w:rsidR="005D372A" w:rsidRPr="00E0548A" w:rsidRDefault="005D372A" w:rsidP="005D372A">
            <w:pPr>
              <w:jc w:val="center"/>
              <w:rPr>
                <w:rFonts w:ascii="ＭＳ 明朝"/>
                <w:sz w:val="16"/>
                <w:szCs w:val="16"/>
              </w:rPr>
            </w:pPr>
            <w:r w:rsidRPr="00E0548A">
              <w:rPr>
                <w:rFonts w:ascii="ＭＳ 明朝" w:hint="eastAsia"/>
                <w:sz w:val="16"/>
                <w:szCs w:val="16"/>
              </w:rPr>
              <w:t>21</w:t>
            </w:r>
          </w:p>
        </w:tc>
        <w:tc>
          <w:tcPr>
            <w:tcW w:w="233" w:type="pct"/>
            <w:vMerge/>
            <w:tcBorders>
              <w:left w:val="single" w:sz="4" w:space="0" w:color="auto"/>
              <w:right w:val="single" w:sz="4" w:space="0" w:color="auto"/>
            </w:tcBorders>
            <w:vAlign w:val="center"/>
          </w:tcPr>
          <w:p w14:paraId="777DE711" w14:textId="77777777" w:rsidR="005D372A" w:rsidRPr="00E0548A" w:rsidRDefault="005D372A" w:rsidP="005D372A">
            <w:pPr>
              <w:jc w:val="center"/>
              <w:rPr>
                <w:rFonts w:ascii="ＭＳ 明朝"/>
                <w:sz w:val="16"/>
                <w:szCs w:val="16"/>
              </w:rPr>
            </w:pPr>
          </w:p>
        </w:tc>
        <w:tc>
          <w:tcPr>
            <w:tcW w:w="1110" w:type="pct"/>
            <w:tcBorders>
              <w:top w:val="single" w:sz="4" w:space="0" w:color="auto"/>
              <w:left w:val="single" w:sz="4" w:space="0" w:color="auto"/>
              <w:bottom w:val="single" w:sz="4" w:space="0" w:color="auto"/>
              <w:right w:val="single" w:sz="4" w:space="0" w:color="auto"/>
            </w:tcBorders>
            <w:vAlign w:val="center"/>
            <w:hideMark/>
          </w:tcPr>
          <w:p w14:paraId="34167103" w14:textId="75B62C6E" w:rsidR="005D372A" w:rsidRPr="00E0548A" w:rsidRDefault="005D372A" w:rsidP="005D372A">
            <w:pPr>
              <w:rPr>
                <w:rFonts w:ascii="ＭＳ 明朝"/>
                <w:sz w:val="16"/>
                <w:szCs w:val="16"/>
              </w:rPr>
            </w:pPr>
            <w:r w:rsidRPr="00E0548A">
              <w:rPr>
                <w:rFonts w:ascii="ＭＳ 明朝" w:hint="eastAsia"/>
                <w:sz w:val="16"/>
                <w:szCs w:val="16"/>
              </w:rPr>
              <w:t>商工労働総務課長</w:t>
            </w:r>
          </w:p>
        </w:tc>
        <w:tc>
          <w:tcPr>
            <w:tcW w:w="229" w:type="pct"/>
            <w:tcBorders>
              <w:top w:val="single" w:sz="4" w:space="0" w:color="auto"/>
              <w:left w:val="single" w:sz="4" w:space="0" w:color="auto"/>
              <w:bottom w:val="single" w:sz="4" w:space="0" w:color="auto"/>
              <w:right w:val="single" w:sz="4" w:space="0" w:color="auto"/>
            </w:tcBorders>
            <w:vAlign w:val="center"/>
          </w:tcPr>
          <w:p w14:paraId="5BFA410D" w14:textId="77777777" w:rsidR="005D372A" w:rsidRPr="00E0548A" w:rsidRDefault="005D372A" w:rsidP="005D372A">
            <w:pPr>
              <w:jc w:val="center"/>
              <w:rPr>
                <w:rFonts w:ascii="ＭＳ 明朝"/>
                <w:sz w:val="16"/>
                <w:szCs w:val="16"/>
              </w:rPr>
            </w:pPr>
          </w:p>
        </w:tc>
        <w:tc>
          <w:tcPr>
            <w:tcW w:w="229" w:type="pct"/>
            <w:tcBorders>
              <w:top w:val="single" w:sz="4" w:space="0" w:color="auto"/>
              <w:left w:val="single" w:sz="4" w:space="0" w:color="auto"/>
              <w:bottom w:val="single" w:sz="4" w:space="0" w:color="auto"/>
              <w:right w:val="single" w:sz="4" w:space="0" w:color="auto"/>
            </w:tcBorders>
            <w:vAlign w:val="center"/>
          </w:tcPr>
          <w:p w14:paraId="2A9E7C12" w14:textId="77777777" w:rsidR="005D372A" w:rsidRPr="00E0548A" w:rsidRDefault="005D372A" w:rsidP="005D372A">
            <w:pPr>
              <w:jc w:val="center"/>
              <w:rPr>
                <w:rFonts w:ascii="ＭＳ 明朝"/>
                <w:sz w:val="16"/>
                <w:szCs w:val="16"/>
              </w:rPr>
            </w:pPr>
          </w:p>
        </w:tc>
        <w:tc>
          <w:tcPr>
            <w:tcW w:w="238" w:type="pct"/>
            <w:tcBorders>
              <w:top w:val="single" w:sz="4" w:space="0" w:color="auto"/>
              <w:left w:val="single" w:sz="4" w:space="0" w:color="auto"/>
              <w:bottom w:val="single" w:sz="4" w:space="0" w:color="auto"/>
              <w:right w:val="single" w:sz="4" w:space="0" w:color="auto"/>
            </w:tcBorders>
            <w:vAlign w:val="center"/>
          </w:tcPr>
          <w:p w14:paraId="1D0A8B0B" w14:textId="77777777" w:rsidR="005D372A" w:rsidRPr="00E0548A" w:rsidRDefault="005D372A" w:rsidP="005D372A">
            <w:pPr>
              <w:jc w:val="center"/>
              <w:rPr>
                <w:rFonts w:ascii="ＭＳ 明朝"/>
                <w:sz w:val="16"/>
                <w:szCs w:val="16"/>
              </w:rPr>
            </w:pPr>
          </w:p>
        </w:tc>
        <w:tc>
          <w:tcPr>
            <w:tcW w:w="222" w:type="pct"/>
            <w:tcBorders>
              <w:top w:val="single" w:sz="4" w:space="0" w:color="auto"/>
              <w:left w:val="single" w:sz="4" w:space="0" w:color="auto"/>
              <w:bottom w:val="single" w:sz="4" w:space="0" w:color="auto"/>
              <w:right w:val="single" w:sz="4" w:space="0" w:color="auto"/>
            </w:tcBorders>
          </w:tcPr>
          <w:p w14:paraId="3884E9EE" w14:textId="77777777" w:rsidR="005D372A" w:rsidRPr="00E0548A" w:rsidRDefault="005D372A" w:rsidP="005D372A">
            <w:pPr>
              <w:jc w:val="center"/>
              <w:rPr>
                <w:rFonts w:ascii="ＭＳ 明朝"/>
                <w:sz w:val="16"/>
                <w:szCs w:val="16"/>
              </w:rPr>
            </w:pPr>
            <w:r w:rsidRPr="00E0548A">
              <w:rPr>
                <w:rFonts w:ascii="ＭＳ 明朝" w:hint="eastAsia"/>
                <w:sz w:val="16"/>
                <w:szCs w:val="16"/>
              </w:rPr>
              <w:t>○</w:t>
            </w:r>
          </w:p>
        </w:tc>
        <w:tc>
          <w:tcPr>
            <w:tcW w:w="222" w:type="pct"/>
            <w:tcBorders>
              <w:top w:val="single" w:sz="4" w:space="0" w:color="auto"/>
              <w:left w:val="single" w:sz="4" w:space="0" w:color="auto"/>
              <w:bottom w:val="single" w:sz="4" w:space="0" w:color="auto"/>
              <w:right w:val="single" w:sz="4" w:space="0" w:color="auto"/>
            </w:tcBorders>
            <w:shd w:val="clear" w:color="auto" w:fill="FFFFFF"/>
            <w:vAlign w:val="center"/>
          </w:tcPr>
          <w:p w14:paraId="5E0F2D7F" w14:textId="77777777" w:rsidR="005D372A" w:rsidRPr="00E0548A" w:rsidRDefault="005D372A" w:rsidP="005D372A">
            <w:pPr>
              <w:jc w:val="center"/>
              <w:rPr>
                <w:rFonts w:ascii="ＭＳ 明朝"/>
                <w:sz w:val="16"/>
                <w:szCs w:val="16"/>
              </w:rPr>
            </w:pPr>
          </w:p>
        </w:tc>
        <w:tc>
          <w:tcPr>
            <w:tcW w:w="220" w:type="pct"/>
            <w:tcBorders>
              <w:top w:val="single" w:sz="4" w:space="0" w:color="auto"/>
              <w:left w:val="single" w:sz="4" w:space="0" w:color="auto"/>
              <w:bottom w:val="single" w:sz="4" w:space="0" w:color="auto"/>
              <w:right w:val="single" w:sz="4" w:space="0" w:color="auto"/>
            </w:tcBorders>
            <w:vAlign w:val="center"/>
          </w:tcPr>
          <w:p w14:paraId="07513968" w14:textId="77777777" w:rsidR="005D372A" w:rsidRPr="00E0548A" w:rsidRDefault="005D372A" w:rsidP="005D372A">
            <w:pPr>
              <w:jc w:val="center"/>
              <w:rPr>
                <w:rFonts w:ascii="ＭＳ 明朝"/>
                <w:sz w:val="16"/>
                <w:szCs w:val="16"/>
              </w:rPr>
            </w:pPr>
          </w:p>
        </w:tc>
        <w:tc>
          <w:tcPr>
            <w:tcW w:w="228" w:type="pct"/>
            <w:tcBorders>
              <w:top w:val="single" w:sz="4" w:space="0" w:color="auto"/>
              <w:left w:val="single" w:sz="4" w:space="0" w:color="auto"/>
              <w:bottom w:val="single" w:sz="4" w:space="0" w:color="auto"/>
              <w:right w:val="single" w:sz="4" w:space="0" w:color="auto"/>
            </w:tcBorders>
            <w:vAlign w:val="center"/>
          </w:tcPr>
          <w:p w14:paraId="5213FD35" w14:textId="77777777" w:rsidR="005D372A" w:rsidRPr="00E0548A" w:rsidRDefault="005D372A" w:rsidP="005D372A">
            <w:pPr>
              <w:jc w:val="center"/>
              <w:rPr>
                <w:rFonts w:ascii="ＭＳ 明朝"/>
                <w:sz w:val="16"/>
                <w:szCs w:val="16"/>
              </w:rPr>
            </w:pPr>
          </w:p>
        </w:tc>
        <w:tc>
          <w:tcPr>
            <w:tcW w:w="228" w:type="pct"/>
            <w:tcBorders>
              <w:top w:val="single" w:sz="4" w:space="0" w:color="auto"/>
              <w:left w:val="single" w:sz="4" w:space="0" w:color="auto"/>
              <w:bottom w:val="single" w:sz="4" w:space="0" w:color="auto"/>
              <w:right w:val="single" w:sz="4" w:space="0" w:color="auto"/>
            </w:tcBorders>
            <w:vAlign w:val="center"/>
          </w:tcPr>
          <w:p w14:paraId="63E5BD75" w14:textId="77777777" w:rsidR="005D372A" w:rsidRPr="00E0548A" w:rsidRDefault="005D372A" w:rsidP="005D372A">
            <w:pPr>
              <w:jc w:val="center"/>
              <w:rPr>
                <w:rFonts w:ascii="ＭＳ 明朝"/>
                <w:sz w:val="16"/>
                <w:szCs w:val="16"/>
              </w:rPr>
            </w:pPr>
          </w:p>
        </w:tc>
        <w:tc>
          <w:tcPr>
            <w:tcW w:w="228" w:type="pct"/>
            <w:tcBorders>
              <w:top w:val="single" w:sz="4" w:space="0" w:color="auto"/>
              <w:left w:val="single" w:sz="4" w:space="0" w:color="auto"/>
              <w:bottom w:val="single" w:sz="4" w:space="0" w:color="auto"/>
              <w:right w:val="single" w:sz="4" w:space="0" w:color="auto"/>
            </w:tcBorders>
            <w:vAlign w:val="center"/>
          </w:tcPr>
          <w:p w14:paraId="7FA21E39" w14:textId="77777777" w:rsidR="005D372A" w:rsidRPr="00E0548A" w:rsidRDefault="005D372A" w:rsidP="005D372A">
            <w:pPr>
              <w:jc w:val="center"/>
              <w:rPr>
                <w:rFonts w:ascii="ＭＳ 明朝"/>
                <w:sz w:val="16"/>
                <w:szCs w:val="16"/>
              </w:rPr>
            </w:pPr>
          </w:p>
        </w:tc>
        <w:tc>
          <w:tcPr>
            <w:tcW w:w="228" w:type="pct"/>
            <w:tcBorders>
              <w:top w:val="single" w:sz="4" w:space="0" w:color="auto"/>
              <w:left w:val="single" w:sz="4" w:space="0" w:color="auto"/>
              <w:bottom w:val="single" w:sz="4" w:space="0" w:color="auto"/>
              <w:right w:val="single" w:sz="4" w:space="0" w:color="auto"/>
            </w:tcBorders>
            <w:vAlign w:val="center"/>
          </w:tcPr>
          <w:p w14:paraId="096E600E" w14:textId="77777777" w:rsidR="005D372A" w:rsidRPr="00E0548A" w:rsidRDefault="005D372A" w:rsidP="005D372A">
            <w:pPr>
              <w:jc w:val="center"/>
              <w:rPr>
                <w:rFonts w:ascii="ＭＳ 明朝"/>
                <w:sz w:val="16"/>
                <w:szCs w:val="16"/>
              </w:rPr>
            </w:pPr>
          </w:p>
        </w:tc>
        <w:tc>
          <w:tcPr>
            <w:tcW w:w="228" w:type="pct"/>
            <w:tcBorders>
              <w:top w:val="single" w:sz="4" w:space="0" w:color="auto"/>
              <w:left w:val="single" w:sz="4" w:space="0" w:color="auto"/>
              <w:bottom w:val="single" w:sz="4" w:space="0" w:color="auto"/>
              <w:right w:val="single" w:sz="4" w:space="0" w:color="auto"/>
            </w:tcBorders>
            <w:vAlign w:val="center"/>
          </w:tcPr>
          <w:p w14:paraId="6A67A990" w14:textId="77777777" w:rsidR="005D372A" w:rsidRPr="00E0548A" w:rsidRDefault="005D372A" w:rsidP="005D372A">
            <w:pPr>
              <w:jc w:val="center"/>
              <w:rPr>
                <w:rFonts w:ascii="ＭＳ 明朝"/>
                <w:sz w:val="16"/>
                <w:szCs w:val="16"/>
              </w:rPr>
            </w:pPr>
          </w:p>
        </w:tc>
        <w:tc>
          <w:tcPr>
            <w:tcW w:w="259" w:type="pct"/>
            <w:tcBorders>
              <w:top w:val="single" w:sz="4" w:space="0" w:color="auto"/>
              <w:left w:val="single" w:sz="4" w:space="0" w:color="auto"/>
              <w:bottom w:val="single" w:sz="4" w:space="0" w:color="auto"/>
              <w:right w:val="single" w:sz="4" w:space="0" w:color="auto"/>
            </w:tcBorders>
            <w:vAlign w:val="center"/>
          </w:tcPr>
          <w:p w14:paraId="25E0E729" w14:textId="77777777" w:rsidR="005D372A" w:rsidRPr="00E0548A" w:rsidRDefault="005D372A" w:rsidP="005D372A">
            <w:pPr>
              <w:jc w:val="center"/>
              <w:rPr>
                <w:rFonts w:ascii="ＭＳ 明朝"/>
                <w:sz w:val="16"/>
                <w:szCs w:val="16"/>
              </w:rPr>
            </w:pPr>
          </w:p>
        </w:tc>
        <w:tc>
          <w:tcPr>
            <w:tcW w:w="211" w:type="pct"/>
            <w:tcBorders>
              <w:top w:val="single" w:sz="4" w:space="0" w:color="auto"/>
              <w:left w:val="single" w:sz="4" w:space="0" w:color="auto"/>
              <w:bottom w:val="single" w:sz="4" w:space="0" w:color="auto"/>
              <w:right w:val="single" w:sz="4" w:space="0" w:color="auto"/>
            </w:tcBorders>
            <w:shd w:val="clear" w:color="auto" w:fill="FFFFFF"/>
            <w:vAlign w:val="center"/>
          </w:tcPr>
          <w:p w14:paraId="4010CE4F" w14:textId="77777777" w:rsidR="005D372A" w:rsidRPr="00E0548A" w:rsidRDefault="005D372A" w:rsidP="005D372A">
            <w:pPr>
              <w:jc w:val="center"/>
              <w:rPr>
                <w:rFonts w:ascii="ＭＳ 明朝"/>
                <w:sz w:val="16"/>
                <w:szCs w:val="16"/>
              </w:rPr>
            </w:pPr>
          </w:p>
        </w:tc>
        <w:tc>
          <w:tcPr>
            <w:tcW w:w="226" w:type="pct"/>
            <w:tcBorders>
              <w:top w:val="single" w:sz="4" w:space="0" w:color="auto"/>
              <w:left w:val="single" w:sz="4" w:space="0" w:color="auto"/>
              <w:bottom w:val="single" w:sz="4" w:space="0" w:color="auto"/>
              <w:right w:val="single" w:sz="4" w:space="0" w:color="auto"/>
            </w:tcBorders>
            <w:shd w:val="clear" w:color="auto" w:fill="FFFFFF"/>
            <w:vAlign w:val="center"/>
          </w:tcPr>
          <w:p w14:paraId="5FC7924D" w14:textId="77777777" w:rsidR="005D372A" w:rsidRPr="00E0548A" w:rsidRDefault="005D372A" w:rsidP="005D372A">
            <w:pPr>
              <w:jc w:val="center"/>
              <w:rPr>
                <w:rFonts w:ascii="ＭＳ 明朝"/>
                <w:sz w:val="16"/>
                <w:szCs w:val="16"/>
              </w:rPr>
            </w:pPr>
            <w:r w:rsidRPr="00E0548A">
              <w:rPr>
                <w:rFonts w:ascii="ＭＳ 明朝" w:hint="eastAsia"/>
                <w:sz w:val="16"/>
                <w:szCs w:val="16"/>
              </w:rPr>
              <w:t>○</w:t>
            </w:r>
          </w:p>
        </w:tc>
        <w:tc>
          <w:tcPr>
            <w:tcW w:w="217" w:type="pct"/>
            <w:tcBorders>
              <w:top w:val="single" w:sz="4" w:space="0" w:color="auto"/>
              <w:left w:val="single" w:sz="4" w:space="0" w:color="auto"/>
              <w:bottom w:val="single" w:sz="4" w:space="0" w:color="auto"/>
              <w:right w:val="single" w:sz="4" w:space="0" w:color="auto"/>
            </w:tcBorders>
            <w:shd w:val="clear" w:color="auto" w:fill="FFFFFF"/>
            <w:vAlign w:val="center"/>
          </w:tcPr>
          <w:p w14:paraId="06447981" w14:textId="77777777" w:rsidR="005D372A" w:rsidRPr="00E0548A" w:rsidRDefault="005D372A" w:rsidP="005D372A">
            <w:pPr>
              <w:jc w:val="center"/>
              <w:rPr>
                <w:rFonts w:ascii="ＭＳ 明朝"/>
                <w:sz w:val="16"/>
                <w:szCs w:val="16"/>
              </w:rPr>
            </w:pPr>
          </w:p>
        </w:tc>
      </w:tr>
      <w:tr w:rsidR="001D6D10" w:rsidRPr="00E0548A" w14:paraId="3F59BE0B" w14:textId="77777777" w:rsidTr="008B4B2B">
        <w:trPr>
          <w:trHeight w:hRule="exact" w:val="334"/>
        </w:trPr>
        <w:tc>
          <w:tcPr>
            <w:tcW w:w="244" w:type="pct"/>
            <w:tcBorders>
              <w:top w:val="single" w:sz="4" w:space="0" w:color="auto"/>
              <w:left w:val="single" w:sz="4" w:space="0" w:color="auto"/>
              <w:bottom w:val="single" w:sz="4" w:space="0" w:color="auto"/>
              <w:right w:val="single" w:sz="4" w:space="0" w:color="auto"/>
            </w:tcBorders>
            <w:vAlign w:val="center"/>
          </w:tcPr>
          <w:p w14:paraId="77B9DC20" w14:textId="77777777" w:rsidR="005D372A" w:rsidRPr="00E0548A" w:rsidRDefault="005D372A" w:rsidP="005D372A">
            <w:pPr>
              <w:jc w:val="center"/>
              <w:rPr>
                <w:rFonts w:ascii="ＭＳ 明朝"/>
                <w:sz w:val="16"/>
                <w:szCs w:val="16"/>
              </w:rPr>
            </w:pPr>
            <w:r w:rsidRPr="00E0548A">
              <w:rPr>
                <w:rFonts w:ascii="ＭＳ 明朝" w:hint="eastAsia"/>
                <w:sz w:val="16"/>
                <w:szCs w:val="16"/>
              </w:rPr>
              <w:t>22</w:t>
            </w:r>
          </w:p>
        </w:tc>
        <w:tc>
          <w:tcPr>
            <w:tcW w:w="233" w:type="pct"/>
            <w:vMerge/>
            <w:tcBorders>
              <w:left w:val="single" w:sz="4" w:space="0" w:color="auto"/>
              <w:right w:val="single" w:sz="4" w:space="0" w:color="auto"/>
            </w:tcBorders>
            <w:vAlign w:val="center"/>
          </w:tcPr>
          <w:p w14:paraId="303EC04C" w14:textId="77777777" w:rsidR="005D372A" w:rsidRPr="00E0548A" w:rsidRDefault="005D372A" w:rsidP="005D372A">
            <w:pPr>
              <w:jc w:val="center"/>
              <w:rPr>
                <w:rFonts w:ascii="ＭＳ 明朝"/>
                <w:sz w:val="16"/>
                <w:szCs w:val="16"/>
              </w:rPr>
            </w:pPr>
          </w:p>
        </w:tc>
        <w:tc>
          <w:tcPr>
            <w:tcW w:w="1110" w:type="pct"/>
            <w:tcBorders>
              <w:top w:val="single" w:sz="4" w:space="0" w:color="auto"/>
              <w:left w:val="single" w:sz="4" w:space="0" w:color="auto"/>
              <w:bottom w:val="single" w:sz="4" w:space="0" w:color="auto"/>
              <w:right w:val="single" w:sz="4" w:space="0" w:color="auto"/>
            </w:tcBorders>
            <w:vAlign w:val="center"/>
            <w:hideMark/>
          </w:tcPr>
          <w:p w14:paraId="7263E312" w14:textId="44B97491" w:rsidR="005D372A" w:rsidRPr="00E0548A" w:rsidRDefault="005D372A" w:rsidP="005D372A">
            <w:pPr>
              <w:rPr>
                <w:rFonts w:ascii="ＭＳ 明朝"/>
                <w:sz w:val="16"/>
                <w:szCs w:val="16"/>
              </w:rPr>
            </w:pPr>
            <w:r w:rsidRPr="00E0548A">
              <w:rPr>
                <w:rFonts w:ascii="ＭＳ 明朝" w:hint="eastAsia"/>
                <w:sz w:val="16"/>
                <w:szCs w:val="16"/>
              </w:rPr>
              <w:t>環境農林水産総務課長</w:t>
            </w:r>
          </w:p>
        </w:tc>
        <w:tc>
          <w:tcPr>
            <w:tcW w:w="229" w:type="pct"/>
            <w:tcBorders>
              <w:top w:val="single" w:sz="4" w:space="0" w:color="auto"/>
              <w:left w:val="single" w:sz="4" w:space="0" w:color="auto"/>
              <w:bottom w:val="single" w:sz="4" w:space="0" w:color="auto"/>
              <w:right w:val="single" w:sz="4" w:space="0" w:color="auto"/>
            </w:tcBorders>
            <w:vAlign w:val="center"/>
          </w:tcPr>
          <w:p w14:paraId="7D0B23F8" w14:textId="77777777" w:rsidR="005D372A" w:rsidRPr="00E0548A" w:rsidRDefault="005D372A" w:rsidP="005D372A">
            <w:pPr>
              <w:jc w:val="center"/>
              <w:rPr>
                <w:rFonts w:ascii="ＭＳ 明朝"/>
                <w:sz w:val="16"/>
                <w:szCs w:val="16"/>
              </w:rPr>
            </w:pPr>
          </w:p>
        </w:tc>
        <w:tc>
          <w:tcPr>
            <w:tcW w:w="229" w:type="pct"/>
            <w:tcBorders>
              <w:top w:val="single" w:sz="4" w:space="0" w:color="auto"/>
              <w:left w:val="single" w:sz="4" w:space="0" w:color="auto"/>
              <w:bottom w:val="single" w:sz="4" w:space="0" w:color="auto"/>
              <w:right w:val="single" w:sz="4" w:space="0" w:color="auto"/>
            </w:tcBorders>
            <w:vAlign w:val="center"/>
          </w:tcPr>
          <w:p w14:paraId="2F6FD9CE" w14:textId="77777777" w:rsidR="005D372A" w:rsidRPr="00E0548A" w:rsidRDefault="005D372A" w:rsidP="005D372A">
            <w:pPr>
              <w:jc w:val="center"/>
              <w:rPr>
                <w:rFonts w:ascii="ＭＳ 明朝"/>
                <w:sz w:val="16"/>
                <w:szCs w:val="16"/>
              </w:rPr>
            </w:pPr>
          </w:p>
        </w:tc>
        <w:tc>
          <w:tcPr>
            <w:tcW w:w="238" w:type="pct"/>
            <w:tcBorders>
              <w:top w:val="single" w:sz="4" w:space="0" w:color="auto"/>
              <w:left w:val="single" w:sz="4" w:space="0" w:color="auto"/>
              <w:bottom w:val="single" w:sz="4" w:space="0" w:color="auto"/>
              <w:right w:val="single" w:sz="4" w:space="0" w:color="auto"/>
            </w:tcBorders>
            <w:vAlign w:val="center"/>
          </w:tcPr>
          <w:p w14:paraId="71037F49" w14:textId="77777777" w:rsidR="005D372A" w:rsidRPr="00E0548A" w:rsidRDefault="005D372A" w:rsidP="005D372A">
            <w:pPr>
              <w:jc w:val="center"/>
              <w:rPr>
                <w:rFonts w:ascii="ＭＳ 明朝"/>
                <w:sz w:val="16"/>
                <w:szCs w:val="16"/>
              </w:rPr>
            </w:pPr>
          </w:p>
        </w:tc>
        <w:tc>
          <w:tcPr>
            <w:tcW w:w="222" w:type="pct"/>
            <w:tcBorders>
              <w:top w:val="single" w:sz="4" w:space="0" w:color="auto"/>
              <w:left w:val="single" w:sz="4" w:space="0" w:color="auto"/>
              <w:bottom w:val="single" w:sz="4" w:space="0" w:color="auto"/>
              <w:right w:val="single" w:sz="4" w:space="0" w:color="auto"/>
            </w:tcBorders>
          </w:tcPr>
          <w:p w14:paraId="2E37105A" w14:textId="77777777" w:rsidR="005D372A" w:rsidRPr="00E0548A" w:rsidRDefault="005D372A" w:rsidP="005D372A">
            <w:pPr>
              <w:jc w:val="center"/>
              <w:rPr>
                <w:rFonts w:ascii="ＭＳ 明朝"/>
                <w:sz w:val="16"/>
                <w:szCs w:val="16"/>
              </w:rPr>
            </w:pPr>
            <w:r w:rsidRPr="00E0548A">
              <w:rPr>
                <w:rFonts w:ascii="ＭＳ 明朝" w:hint="eastAsia"/>
                <w:sz w:val="16"/>
                <w:szCs w:val="16"/>
              </w:rPr>
              <w:t>○</w:t>
            </w:r>
          </w:p>
        </w:tc>
        <w:tc>
          <w:tcPr>
            <w:tcW w:w="222" w:type="pct"/>
            <w:tcBorders>
              <w:top w:val="single" w:sz="4" w:space="0" w:color="auto"/>
              <w:left w:val="single" w:sz="4" w:space="0" w:color="auto"/>
              <w:bottom w:val="single" w:sz="4" w:space="0" w:color="auto"/>
              <w:right w:val="single" w:sz="4" w:space="0" w:color="auto"/>
            </w:tcBorders>
            <w:shd w:val="clear" w:color="auto" w:fill="FFFFFF"/>
            <w:vAlign w:val="center"/>
          </w:tcPr>
          <w:p w14:paraId="117B17DA" w14:textId="77777777" w:rsidR="005D372A" w:rsidRPr="00E0548A" w:rsidRDefault="005D372A" w:rsidP="005D372A">
            <w:pPr>
              <w:jc w:val="center"/>
              <w:rPr>
                <w:rFonts w:ascii="ＭＳ 明朝"/>
                <w:sz w:val="16"/>
                <w:szCs w:val="16"/>
              </w:rPr>
            </w:pPr>
          </w:p>
        </w:tc>
        <w:tc>
          <w:tcPr>
            <w:tcW w:w="220" w:type="pct"/>
            <w:tcBorders>
              <w:top w:val="single" w:sz="4" w:space="0" w:color="auto"/>
              <w:left w:val="single" w:sz="4" w:space="0" w:color="auto"/>
              <w:bottom w:val="single" w:sz="4" w:space="0" w:color="auto"/>
              <w:right w:val="single" w:sz="4" w:space="0" w:color="auto"/>
            </w:tcBorders>
            <w:vAlign w:val="center"/>
          </w:tcPr>
          <w:p w14:paraId="3A4EC0CA" w14:textId="77777777" w:rsidR="005D372A" w:rsidRPr="00E0548A" w:rsidRDefault="005D372A" w:rsidP="005D372A">
            <w:pPr>
              <w:jc w:val="center"/>
              <w:rPr>
                <w:rFonts w:ascii="ＭＳ 明朝"/>
                <w:sz w:val="16"/>
                <w:szCs w:val="16"/>
              </w:rPr>
            </w:pPr>
          </w:p>
        </w:tc>
        <w:tc>
          <w:tcPr>
            <w:tcW w:w="228" w:type="pct"/>
            <w:tcBorders>
              <w:top w:val="single" w:sz="4" w:space="0" w:color="auto"/>
              <w:left w:val="single" w:sz="4" w:space="0" w:color="auto"/>
              <w:bottom w:val="single" w:sz="4" w:space="0" w:color="auto"/>
              <w:right w:val="single" w:sz="4" w:space="0" w:color="auto"/>
            </w:tcBorders>
            <w:vAlign w:val="center"/>
          </w:tcPr>
          <w:p w14:paraId="7A46E0DE" w14:textId="77777777" w:rsidR="005D372A" w:rsidRPr="00E0548A" w:rsidRDefault="005D372A" w:rsidP="005D372A">
            <w:pPr>
              <w:jc w:val="center"/>
              <w:rPr>
                <w:rFonts w:ascii="ＭＳ 明朝"/>
                <w:sz w:val="16"/>
                <w:szCs w:val="16"/>
              </w:rPr>
            </w:pPr>
          </w:p>
        </w:tc>
        <w:tc>
          <w:tcPr>
            <w:tcW w:w="228" w:type="pct"/>
            <w:tcBorders>
              <w:top w:val="single" w:sz="4" w:space="0" w:color="auto"/>
              <w:left w:val="single" w:sz="4" w:space="0" w:color="auto"/>
              <w:bottom w:val="single" w:sz="4" w:space="0" w:color="auto"/>
              <w:right w:val="single" w:sz="4" w:space="0" w:color="auto"/>
            </w:tcBorders>
            <w:vAlign w:val="center"/>
          </w:tcPr>
          <w:p w14:paraId="0C2D9C8A" w14:textId="77777777" w:rsidR="005D372A" w:rsidRPr="00E0548A" w:rsidRDefault="005D372A" w:rsidP="005D372A">
            <w:pPr>
              <w:jc w:val="center"/>
              <w:rPr>
                <w:rFonts w:ascii="ＭＳ 明朝"/>
                <w:sz w:val="16"/>
                <w:szCs w:val="16"/>
              </w:rPr>
            </w:pPr>
          </w:p>
        </w:tc>
        <w:tc>
          <w:tcPr>
            <w:tcW w:w="228" w:type="pct"/>
            <w:tcBorders>
              <w:top w:val="single" w:sz="4" w:space="0" w:color="auto"/>
              <w:left w:val="single" w:sz="4" w:space="0" w:color="auto"/>
              <w:bottom w:val="single" w:sz="4" w:space="0" w:color="auto"/>
              <w:right w:val="single" w:sz="4" w:space="0" w:color="auto"/>
            </w:tcBorders>
            <w:vAlign w:val="center"/>
          </w:tcPr>
          <w:p w14:paraId="4CDAFF39" w14:textId="77777777" w:rsidR="005D372A" w:rsidRPr="00E0548A" w:rsidRDefault="005D372A" w:rsidP="005D372A">
            <w:pPr>
              <w:jc w:val="center"/>
              <w:rPr>
                <w:rFonts w:ascii="ＭＳ 明朝"/>
                <w:sz w:val="16"/>
                <w:szCs w:val="16"/>
              </w:rPr>
            </w:pPr>
          </w:p>
        </w:tc>
        <w:tc>
          <w:tcPr>
            <w:tcW w:w="228" w:type="pct"/>
            <w:tcBorders>
              <w:top w:val="single" w:sz="4" w:space="0" w:color="auto"/>
              <w:left w:val="single" w:sz="4" w:space="0" w:color="auto"/>
              <w:bottom w:val="single" w:sz="4" w:space="0" w:color="auto"/>
              <w:right w:val="single" w:sz="4" w:space="0" w:color="auto"/>
            </w:tcBorders>
            <w:vAlign w:val="center"/>
          </w:tcPr>
          <w:p w14:paraId="087E042E" w14:textId="77777777" w:rsidR="005D372A" w:rsidRPr="00E0548A" w:rsidRDefault="005D372A" w:rsidP="005D372A">
            <w:pPr>
              <w:jc w:val="center"/>
              <w:rPr>
                <w:rFonts w:ascii="ＭＳ 明朝"/>
                <w:sz w:val="16"/>
                <w:szCs w:val="16"/>
              </w:rPr>
            </w:pPr>
          </w:p>
        </w:tc>
        <w:tc>
          <w:tcPr>
            <w:tcW w:w="228" w:type="pct"/>
            <w:tcBorders>
              <w:top w:val="single" w:sz="4" w:space="0" w:color="auto"/>
              <w:left w:val="single" w:sz="4" w:space="0" w:color="auto"/>
              <w:bottom w:val="single" w:sz="4" w:space="0" w:color="auto"/>
              <w:right w:val="single" w:sz="4" w:space="0" w:color="auto"/>
            </w:tcBorders>
            <w:vAlign w:val="center"/>
          </w:tcPr>
          <w:p w14:paraId="6572FD59" w14:textId="77777777" w:rsidR="005D372A" w:rsidRPr="00E0548A" w:rsidRDefault="005D372A" w:rsidP="005D372A">
            <w:pPr>
              <w:jc w:val="center"/>
              <w:rPr>
                <w:rFonts w:ascii="ＭＳ 明朝"/>
                <w:sz w:val="16"/>
                <w:szCs w:val="16"/>
              </w:rPr>
            </w:pPr>
          </w:p>
        </w:tc>
        <w:tc>
          <w:tcPr>
            <w:tcW w:w="259" w:type="pct"/>
            <w:tcBorders>
              <w:top w:val="single" w:sz="4" w:space="0" w:color="auto"/>
              <w:left w:val="single" w:sz="4" w:space="0" w:color="auto"/>
              <w:bottom w:val="single" w:sz="4" w:space="0" w:color="auto"/>
              <w:right w:val="single" w:sz="4" w:space="0" w:color="auto"/>
            </w:tcBorders>
            <w:vAlign w:val="center"/>
          </w:tcPr>
          <w:p w14:paraId="076E38B8" w14:textId="77777777" w:rsidR="005D372A" w:rsidRPr="00E0548A" w:rsidRDefault="005D372A" w:rsidP="005D372A">
            <w:pPr>
              <w:jc w:val="center"/>
              <w:rPr>
                <w:rFonts w:ascii="ＭＳ 明朝"/>
                <w:sz w:val="16"/>
                <w:szCs w:val="16"/>
              </w:rPr>
            </w:pPr>
          </w:p>
        </w:tc>
        <w:tc>
          <w:tcPr>
            <w:tcW w:w="211" w:type="pct"/>
            <w:tcBorders>
              <w:top w:val="single" w:sz="4" w:space="0" w:color="auto"/>
              <w:left w:val="single" w:sz="4" w:space="0" w:color="auto"/>
              <w:bottom w:val="single" w:sz="4" w:space="0" w:color="auto"/>
              <w:right w:val="single" w:sz="4" w:space="0" w:color="auto"/>
            </w:tcBorders>
            <w:shd w:val="clear" w:color="auto" w:fill="FFFFFF"/>
            <w:vAlign w:val="center"/>
          </w:tcPr>
          <w:p w14:paraId="2A82A836" w14:textId="77777777" w:rsidR="005D372A" w:rsidRPr="00E0548A" w:rsidRDefault="005D372A" w:rsidP="005D372A">
            <w:pPr>
              <w:jc w:val="center"/>
              <w:rPr>
                <w:rFonts w:ascii="ＭＳ 明朝"/>
                <w:sz w:val="16"/>
                <w:szCs w:val="16"/>
              </w:rPr>
            </w:pPr>
          </w:p>
        </w:tc>
        <w:tc>
          <w:tcPr>
            <w:tcW w:w="226" w:type="pct"/>
            <w:tcBorders>
              <w:top w:val="single" w:sz="4" w:space="0" w:color="auto"/>
              <w:left w:val="single" w:sz="4" w:space="0" w:color="auto"/>
              <w:bottom w:val="single" w:sz="4" w:space="0" w:color="auto"/>
              <w:right w:val="single" w:sz="4" w:space="0" w:color="auto"/>
            </w:tcBorders>
            <w:shd w:val="clear" w:color="auto" w:fill="FFFFFF"/>
            <w:vAlign w:val="center"/>
          </w:tcPr>
          <w:p w14:paraId="717BF063" w14:textId="77777777" w:rsidR="005D372A" w:rsidRPr="00E0548A" w:rsidRDefault="005D372A" w:rsidP="005D372A">
            <w:pPr>
              <w:jc w:val="center"/>
              <w:rPr>
                <w:rFonts w:ascii="ＭＳ 明朝"/>
                <w:sz w:val="16"/>
                <w:szCs w:val="16"/>
              </w:rPr>
            </w:pPr>
            <w:r w:rsidRPr="00E0548A">
              <w:rPr>
                <w:rFonts w:ascii="ＭＳ 明朝" w:hint="eastAsia"/>
                <w:sz w:val="16"/>
                <w:szCs w:val="16"/>
              </w:rPr>
              <w:t>○</w:t>
            </w:r>
          </w:p>
        </w:tc>
        <w:tc>
          <w:tcPr>
            <w:tcW w:w="217" w:type="pct"/>
            <w:tcBorders>
              <w:top w:val="single" w:sz="4" w:space="0" w:color="auto"/>
              <w:left w:val="single" w:sz="4" w:space="0" w:color="auto"/>
              <w:bottom w:val="single" w:sz="4" w:space="0" w:color="auto"/>
              <w:right w:val="single" w:sz="4" w:space="0" w:color="auto"/>
            </w:tcBorders>
            <w:shd w:val="clear" w:color="auto" w:fill="FFFFFF"/>
            <w:vAlign w:val="center"/>
          </w:tcPr>
          <w:p w14:paraId="3AC1FED3" w14:textId="77777777" w:rsidR="005D372A" w:rsidRPr="00E0548A" w:rsidRDefault="005D372A" w:rsidP="005D372A">
            <w:pPr>
              <w:jc w:val="center"/>
              <w:rPr>
                <w:rFonts w:ascii="ＭＳ 明朝"/>
                <w:sz w:val="16"/>
                <w:szCs w:val="16"/>
              </w:rPr>
            </w:pPr>
          </w:p>
        </w:tc>
      </w:tr>
      <w:tr w:rsidR="001D6D10" w:rsidRPr="00E0548A" w14:paraId="20033EDD" w14:textId="77777777" w:rsidTr="008B4B2B">
        <w:trPr>
          <w:trHeight w:hRule="exact" w:val="334"/>
        </w:trPr>
        <w:tc>
          <w:tcPr>
            <w:tcW w:w="244" w:type="pct"/>
            <w:tcBorders>
              <w:top w:val="single" w:sz="4" w:space="0" w:color="auto"/>
              <w:left w:val="single" w:sz="4" w:space="0" w:color="auto"/>
              <w:bottom w:val="single" w:sz="4" w:space="0" w:color="auto"/>
              <w:right w:val="single" w:sz="4" w:space="0" w:color="auto"/>
            </w:tcBorders>
            <w:vAlign w:val="center"/>
          </w:tcPr>
          <w:p w14:paraId="70DC7A38" w14:textId="77777777" w:rsidR="005D372A" w:rsidRPr="00E0548A" w:rsidRDefault="005D372A" w:rsidP="005D372A">
            <w:pPr>
              <w:jc w:val="center"/>
              <w:rPr>
                <w:rFonts w:ascii="ＭＳ 明朝"/>
                <w:sz w:val="16"/>
                <w:szCs w:val="16"/>
              </w:rPr>
            </w:pPr>
            <w:r w:rsidRPr="00E0548A">
              <w:rPr>
                <w:rFonts w:ascii="ＭＳ 明朝" w:hint="eastAsia"/>
                <w:sz w:val="16"/>
                <w:szCs w:val="16"/>
              </w:rPr>
              <w:t>23</w:t>
            </w:r>
          </w:p>
        </w:tc>
        <w:tc>
          <w:tcPr>
            <w:tcW w:w="233" w:type="pct"/>
            <w:vMerge/>
            <w:tcBorders>
              <w:left w:val="single" w:sz="4" w:space="0" w:color="auto"/>
              <w:right w:val="single" w:sz="4" w:space="0" w:color="auto"/>
            </w:tcBorders>
            <w:vAlign w:val="center"/>
          </w:tcPr>
          <w:p w14:paraId="5549A875" w14:textId="77777777" w:rsidR="005D372A" w:rsidRPr="00E0548A" w:rsidRDefault="005D372A" w:rsidP="005D372A">
            <w:pPr>
              <w:jc w:val="center"/>
              <w:rPr>
                <w:rFonts w:ascii="ＭＳ 明朝"/>
                <w:sz w:val="16"/>
                <w:szCs w:val="16"/>
              </w:rPr>
            </w:pPr>
          </w:p>
        </w:tc>
        <w:tc>
          <w:tcPr>
            <w:tcW w:w="1110" w:type="pct"/>
            <w:tcBorders>
              <w:top w:val="single" w:sz="4" w:space="0" w:color="auto"/>
              <w:left w:val="single" w:sz="4" w:space="0" w:color="auto"/>
              <w:bottom w:val="single" w:sz="4" w:space="0" w:color="auto"/>
              <w:right w:val="single" w:sz="4" w:space="0" w:color="auto"/>
            </w:tcBorders>
            <w:vAlign w:val="center"/>
            <w:hideMark/>
          </w:tcPr>
          <w:p w14:paraId="05D082EC" w14:textId="77777777" w:rsidR="005D372A" w:rsidRPr="00E0548A" w:rsidRDefault="005D372A" w:rsidP="005D372A">
            <w:pPr>
              <w:rPr>
                <w:rFonts w:ascii="ＭＳ 明朝"/>
                <w:sz w:val="16"/>
                <w:szCs w:val="16"/>
              </w:rPr>
            </w:pPr>
            <w:r w:rsidRPr="00E0548A">
              <w:rPr>
                <w:rFonts w:ascii="ＭＳ 明朝" w:hint="eastAsia"/>
                <w:sz w:val="16"/>
                <w:szCs w:val="16"/>
              </w:rPr>
              <w:t>みどり推進室森づくり課長</w:t>
            </w:r>
          </w:p>
        </w:tc>
        <w:tc>
          <w:tcPr>
            <w:tcW w:w="229" w:type="pct"/>
            <w:tcBorders>
              <w:top w:val="single" w:sz="4" w:space="0" w:color="auto"/>
              <w:left w:val="single" w:sz="4" w:space="0" w:color="auto"/>
              <w:bottom w:val="single" w:sz="4" w:space="0" w:color="auto"/>
              <w:right w:val="single" w:sz="4" w:space="0" w:color="auto"/>
            </w:tcBorders>
            <w:vAlign w:val="center"/>
          </w:tcPr>
          <w:p w14:paraId="2B3B5939" w14:textId="77777777" w:rsidR="005D372A" w:rsidRPr="00E0548A" w:rsidRDefault="005D372A" w:rsidP="005D372A">
            <w:pPr>
              <w:jc w:val="center"/>
              <w:rPr>
                <w:rFonts w:ascii="ＭＳ 明朝"/>
                <w:sz w:val="16"/>
                <w:szCs w:val="16"/>
              </w:rPr>
            </w:pPr>
            <w:r w:rsidRPr="00E0548A">
              <w:rPr>
                <w:rFonts w:ascii="ＭＳ 明朝" w:hint="eastAsia"/>
                <w:sz w:val="16"/>
                <w:szCs w:val="16"/>
              </w:rPr>
              <w:t>○</w:t>
            </w:r>
          </w:p>
        </w:tc>
        <w:tc>
          <w:tcPr>
            <w:tcW w:w="229" w:type="pct"/>
            <w:tcBorders>
              <w:top w:val="single" w:sz="4" w:space="0" w:color="auto"/>
              <w:left w:val="single" w:sz="4" w:space="0" w:color="auto"/>
              <w:bottom w:val="single" w:sz="4" w:space="0" w:color="auto"/>
              <w:right w:val="single" w:sz="4" w:space="0" w:color="auto"/>
            </w:tcBorders>
            <w:vAlign w:val="center"/>
          </w:tcPr>
          <w:p w14:paraId="1EDAB01C" w14:textId="77777777" w:rsidR="005D372A" w:rsidRPr="00E0548A" w:rsidRDefault="005D372A" w:rsidP="005D372A">
            <w:pPr>
              <w:jc w:val="center"/>
              <w:rPr>
                <w:rFonts w:ascii="ＭＳ 明朝"/>
                <w:sz w:val="16"/>
                <w:szCs w:val="16"/>
              </w:rPr>
            </w:pPr>
          </w:p>
        </w:tc>
        <w:tc>
          <w:tcPr>
            <w:tcW w:w="238" w:type="pct"/>
            <w:tcBorders>
              <w:top w:val="single" w:sz="4" w:space="0" w:color="auto"/>
              <w:left w:val="single" w:sz="4" w:space="0" w:color="auto"/>
              <w:bottom w:val="single" w:sz="4" w:space="0" w:color="auto"/>
              <w:right w:val="single" w:sz="4" w:space="0" w:color="auto"/>
            </w:tcBorders>
            <w:vAlign w:val="center"/>
          </w:tcPr>
          <w:p w14:paraId="46A2D1D4" w14:textId="77777777" w:rsidR="005D372A" w:rsidRPr="00E0548A" w:rsidRDefault="005D372A" w:rsidP="005D372A">
            <w:pPr>
              <w:jc w:val="center"/>
              <w:rPr>
                <w:rFonts w:ascii="ＭＳ 明朝"/>
                <w:sz w:val="16"/>
                <w:szCs w:val="16"/>
              </w:rPr>
            </w:pPr>
            <w:r w:rsidRPr="00E0548A">
              <w:rPr>
                <w:rFonts w:ascii="ＭＳ 明朝" w:hint="eastAsia"/>
                <w:sz w:val="16"/>
                <w:szCs w:val="16"/>
              </w:rPr>
              <w:t>○</w:t>
            </w:r>
          </w:p>
        </w:tc>
        <w:tc>
          <w:tcPr>
            <w:tcW w:w="222" w:type="pct"/>
            <w:tcBorders>
              <w:top w:val="single" w:sz="4" w:space="0" w:color="auto"/>
              <w:left w:val="single" w:sz="4" w:space="0" w:color="auto"/>
              <w:bottom w:val="single" w:sz="4" w:space="0" w:color="auto"/>
              <w:right w:val="single" w:sz="4" w:space="0" w:color="auto"/>
            </w:tcBorders>
          </w:tcPr>
          <w:p w14:paraId="6F587992" w14:textId="77777777" w:rsidR="005D372A" w:rsidRPr="00E0548A" w:rsidRDefault="005D372A" w:rsidP="005D372A">
            <w:pPr>
              <w:jc w:val="center"/>
              <w:rPr>
                <w:rFonts w:ascii="ＭＳ 明朝"/>
                <w:sz w:val="16"/>
                <w:szCs w:val="16"/>
              </w:rPr>
            </w:pPr>
            <w:r w:rsidRPr="00E0548A">
              <w:rPr>
                <w:rFonts w:ascii="ＭＳ 明朝" w:hint="eastAsia"/>
                <w:sz w:val="16"/>
                <w:szCs w:val="16"/>
              </w:rPr>
              <w:t>○</w:t>
            </w:r>
          </w:p>
        </w:tc>
        <w:tc>
          <w:tcPr>
            <w:tcW w:w="222" w:type="pct"/>
            <w:tcBorders>
              <w:top w:val="single" w:sz="4" w:space="0" w:color="auto"/>
              <w:left w:val="single" w:sz="4" w:space="0" w:color="auto"/>
              <w:bottom w:val="single" w:sz="4" w:space="0" w:color="auto"/>
              <w:right w:val="single" w:sz="4" w:space="0" w:color="auto"/>
            </w:tcBorders>
            <w:shd w:val="clear" w:color="auto" w:fill="FFFFFF"/>
            <w:vAlign w:val="center"/>
          </w:tcPr>
          <w:p w14:paraId="303CC1CA" w14:textId="77777777" w:rsidR="005D372A" w:rsidRPr="00E0548A" w:rsidRDefault="005D372A" w:rsidP="005D372A">
            <w:pPr>
              <w:jc w:val="center"/>
              <w:rPr>
                <w:rFonts w:ascii="ＭＳ 明朝"/>
                <w:sz w:val="16"/>
                <w:szCs w:val="16"/>
              </w:rPr>
            </w:pPr>
          </w:p>
        </w:tc>
        <w:tc>
          <w:tcPr>
            <w:tcW w:w="220" w:type="pct"/>
            <w:tcBorders>
              <w:top w:val="single" w:sz="4" w:space="0" w:color="auto"/>
              <w:left w:val="single" w:sz="4" w:space="0" w:color="auto"/>
              <w:bottom w:val="single" w:sz="4" w:space="0" w:color="auto"/>
              <w:right w:val="single" w:sz="4" w:space="0" w:color="auto"/>
            </w:tcBorders>
            <w:vAlign w:val="center"/>
          </w:tcPr>
          <w:p w14:paraId="25E31DA7" w14:textId="77777777" w:rsidR="005D372A" w:rsidRPr="00E0548A" w:rsidRDefault="005D372A" w:rsidP="005D372A">
            <w:pPr>
              <w:jc w:val="center"/>
              <w:rPr>
                <w:rFonts w:ascii="ＭＳ 明朝"/>
                <w:sz w:val="16"/>
                <w:szCs w:val="16"/>
              </w:rPr>
            </w:pPr>
          </w:p>
        </w:tc>
        <w:tc>
          <w:tcPr>
            <w:tcW w:w="228" w:type="pct"/>
            <w:tcBorders>
              <w:top w:val="single" w:sz="4" w:space="0" w:color="auto"/>
              <w:left w:val="single" w:sz="4" w:space="0" w:color="auto"/>
              <w:bottom w:val="single" w:sz="4" w:space="0" w:color="auto"/>
              <w:right w:val="single" w:sz="4" w:space="0" w:color="auto"/>
            </w:tcBorders>
            <w:vAlign w:val="center"/>
          </w:tcPr>
          <w:p w14:paraId="14F55D26" w14:textId="77777777" w:rsidR="005D372A" w:rsidRPr="00E0548A" w:rsidRDefault="005D372A" w:rsidP="005D372A">
            <w:pPr>
              <w:jc w:val="center"/>
              <w:rPr>
                <w:rFonts w:ascii="ＭＳ 明朝"/>
                <w:sz w:val="16"/>
                <w:szCs w:val="16"/>
              </w:rPr>
            </w:pPr>
          </w:p>
        </w:tc>
        <w:tc>
          <w:tcPr>
            <w:tcW w:w="228" w:type="pct"/>
            <w:tcBorders>
              <w:top w:val="single" w:sz="4" w:space="0" w:color="auto"/>
              <w:left w:val="single" w:sz="4" w:space="0" w:color="auto"/>
              <w:bottom w:val="single" w:sz="4" w:space="0" w:color="auto"/>
              <w:right w:val="single" w:sz="4" w:space="0" w:color="auto"/>
            </w:tcBorders>
            <w:vAlign w:val="center"/>
          </w:tcPr>
          <w:p w14:paraId="2403273D" w14:textId="77777777" w:rsidR="005D372A" w:rsidRPr="00E0548A" w:rsidRDefault="005D372A" w:rsidP="005D372A">
            <w:pPr>
              <w:jc w:val="center"/>
              <w:rPr>
                <w:rFonts w:ascii="ＭＳ 明朝"/>
                <w:sz w:val="16"/>
                <w:szCs w:val="16"/>
              </w:rPr>
            </w:pPr>
          </w:p>
        </w:tc>
        <w:tc>
          <w:tcPr>
            <w:tcW w:w="228" w:type="pct"/>
            <w:tcBorders>
              <w:top w:val="single" w:sz="4" w:space="0" w:color="auto"/>
              <w:left w:val="single" w:sz="4" w:space="0" w:color="auto"/>
              <w:bottom w:val="single" w:sz="4" w:space="0" w:color="auto"/>
              <w:right w:val="single" w:sz="4" w:space="0" w:color="auto"/>
            </w:tcBorders>
            <w:vAlign w:val="center"/>
          </w:tcPr>
          <w:p w14:paraId="28051DFD" w14:textId="77777777" w:rsidR="005D372A" w:rsidRPr="00E0548A" w:rsidRDefault="005D372A" w:rsidP="005D372A">
            <w:pPr>
              <w:jc w:val="center"/>
              <w:rPr>
                <w:rFonts w:ascii="ＭＳ 明朝"/>
                <w:sz w:val="16"/>
                <w:szCs w:val="16"/>
              </w:rPr>
            </w:pPr>
          </w:p>
        </w:tc>
        <w:tc>
          <w:tcPr>
            <w:tcW w:w="228" w:type="pct"/>
            <w:tcBorders>
              <w:top w:val="single" w:sz="4" w:space="0" w:color="auto"/>
              <w:left w:val="single" w:sz="4" w:space="0" w:color="auto"/>
              <w:bottom w:val="single" w:sz="4" w:space="0" w:color="auto"/>
              <w:right w:val="single" w:sz="4" w:space="0" w:color="auto"/>
            </w:tcBorders>
            <w:vAlign w:val="center"/>
          </w:tcPr>
          <w:p w14:paraId="675C29AE" w14:textId="77777777" w:rsidR="005D372A" w:rsidRPr="00E0548A" w:rsidRDefault="005D372A" w:rsidP="005D372A">
            <w:pPr>
              <w:jc w:val="center"/>
              <w:rPr>
                <w:rFonts w:ascii="ＭＳ 明朝"/>
                <w:sz w:val="16"/>
                <w:szCs w:val="16"/>
              </w:rPr>
            </w:pPr>
          </w:p>
        </w:tc>
        <w:tc>
          <w:tcPr>
            <w:tcW w:w="228" w:type="pct"/>
            <w:tcBorders>
              <w:top w:val="single" w:sz="4" w:space="0" w:color="auto"/>
              <w:left w:val="single" w:sz="4" w:space="0" w:color="auto"/>
              <w:bottom w:val="single" w:sz="4" w:space="0" w:color="auto"/>
              <w:right w:val="single" w:sz="4" w:space="0" w:color="auto"/>
            </w:tcBorders>
            <w:vAlign w:val="center"/>
            <w:hideMark/>
          </w:tcPr>
          <w:p w14:paraId="55B7EFF2" w14:textId="77777777" w:rsidR="005D372A" w:rsidRPr="00E0548A" w:rsidRDefault="005D372A" w:rsidP="005D372A">
            <w:pPr>
              <w:jc w:val="center"/>
              <w:rPr>
                <w:rFonts w:ascii="ＭＳ 明朝"/>
                <w:sz w:val="16"/>
                <w:szCs w:val="16"/>
              </w:rPr>
            </w:pPr>
          </w:p>
        </w:tc>
        <w:tc>
          <w:tcPr>
            <w:tcW w:w="259" w:type="pct"/>
            <w:tcBorders>
              <w:top w:val="single" w:sz="4" w:space="0" w:color="auto"/>
              <w:left w:val="single" w:sz="4" w:space="0" w:color="auto"/>
              <w:bottom w:val="single" w:sz="4" w:space="0" w:color="auto"/>
              <w:right w:val="single" w:sz="4" w:space="0" w:color="auto"/>
            </w:tcBorders>
            <w:vAlign w:val="center"/>
          </w:tcPr>
          <w:p w14:paraId="0C7CFACC" w14:textId="77777777" w:rsidR="005D372A" w:rsidRPr="00E0548A" w:rsidRDefault="005D372A" w:rsidP="005D372A">
            <w:pPr>
              <w:jc w:val="center"/>
              <w:rPr>
                <w:rFonts w:ascii="ＭＳ 明朝"/>
                <w:sz w:val="16"/>
                <w:szCs w:val="16"/>
              </w:rPr>
            </w:pPr>
            <w:r w:rsidRPr="00E0548A">
              <w:rPr>
                <w:rFonts w:ascii="ＭＳ 明朝" w:hint="eastAsia"/>
                <w:sz w:val="16"/>
                <w:szCs w:val="16"/>
              </w:rPr>
              <w:t>○</w:t>
            </w:r>
          </w:p>
        </w:tc>
        <w:tc>
          <w:tcPr>
            <w:tcW w:w="211" w:type="pct"/>
            <w:tcBorders>
              <w:top w:val="single" w:sz="4" w:space="0" w:color="auto"/>
              <w:left w:val="single" w:sz="4" w:space="0" w:color="auto"/>
              <w:bottom w:val="single" w:sz="4" w:space="0" w:color="auto"/>
              <w:right w:val="single" w:sz="4" w:space="0" w:color="auto"/>
            </w:tcBorders>
            <w:shd w:val="clear" w:color="auto" w:fill="FFFFFF"/>
            <w:vAlign w:val="center"/>
          </w:tcPr>
          <w:p w14:paraId="31AE1C75" w14:textId="77777777" w:rsidR="005D372A" w:rsidRPr="00E0548A" w:rsidRDefault="005D372A" w:rsidP="005D372A">
            <w:pPr>
              <w:jc w:val="center"/>
              <w:rPr>
                <w:rFonts w:ascii="ＭＳ 明朝"/>
                <w:sz w:val="16"/>
                <w:szCs w:val="16"/>
              </w:rPr>
            </w:pPr>
          </w:p>
        </w:tc>
        <w:tc>
          <w:tcPr>
            <w:tcW w:w="226" w:type="pct"/>
            <w:tcBorders>
              <w:top w:val="single" w:sz="4" w:space="0" w:color="auto"/>
              <w:left w:val="single" w:sz="4" w:space="0" w:color="auto"/>
              <w:bottom w:val="single" w:sz="4" w:space="0" w:color="auto"/>
              <w:right w:val="single" w:sz="4" w:space="0" w:color="auto"/>
            </w:tcBorders>
            <w:shd w:val="clear" w:color="auto" w:fill="FFFFFF"/>
            <w:vAlign w:val="center"/>
          </w:tcPr>
          <w:p w14:paraId="7F867EC1" w14:textId="77777777" w:rsidR="005D372A" w:rsidRPr="00E0548A" w:rsidRDefault="005D372A" w:rsidP="005D372A">
            <w:pPr>
              <w:jc w:val="center"/>
              <w:rPr>
                <w:rFonts w:ascii="ＭＳ 明朝"/>
                <w:sz w:val="16"/>
                <w:szCs w:val="16"/>
              </w:rPr>
            </w:pPr>
          </w:p>
        </w:tc>
        <w:tc>
          <w:tcPr>
            <w:tcW w:w="217" w:type="pct"/>
            <w:tcBorders>
              <w:top w:val="single" w:sz="4" w:space="0" w:color="auto"/>
              <w:left w:val="single" w:sz="4" w:space="0" w:color="auto"/>
              <w:bottom w:val="single" w:sz="4" w:space="0" w:color="auto"/>
              <w:right w:val="single" w:sz="4" w:space="0" w:color="auto"/>
            </w:tcBorders>
            <w:shd w:val="clear" w:color="auto" w:fill="FFFFFF"/>
            <w:vAlign w:val="center"/>
          </w:tcPr>
          <w:p w14:paraId="65B9B28A" w14:textId="77777777" w:rsidR="005D372A" w:rsidRPr="00E0548A" w:rsidRDefault="005D372A" w:rsidP="005D372A">
            <w:pPr>
              <w:jc w:val="center"/>
              <w:rPr>
                <w:rFonts w:ascii="ＭＳ 明朝"/>
                <w:sz w:val="16"/>
                <w:szCs w:val="16"/>
              </w:rPr>
            </w:pPr>
          </w:p>
        </w:tc>
      </w:tr>
      <w:tr w:rsidR="001D6D10" w:rsidRPr="00E0548A" w14:paraId="05E7EB0A" w14:textId="77777777" w:rsidTr="008B4B2B">
        <w:trPr>
          <w:trHeight w:hRule="exact" w:val="334"/>
        </w:trPr>
        <w:tc>
          <w:tcPr>
            <w:tcW w:w="244" w:type="pct"/>
            <w:tcBorders>
              <w:top w:val="single" w:sz="4" w:space="0" w:color="auto"/>
              <w:left w:val="single" w:sz="4" w:space="0" w:color="auto"/>
              <w:bottom w:val="single" w:sz="4" w:space="0" w:color="auto"/>
              <w:right w:val="single" w:sz="4" w:space="0" w:color="auto"/>
            </w:tcBorders>
            <w:vAlign w:val="center"/>
          </w:tcPr>
          <w:p w14:paraId="378F58E3" w14:textId="77777777" w:rsidR="005D372A" w:rsidRPr="00E0548A" w:rsidRDefault="005D372A" w:rsidP="005D372A">
            <w:pPr>
              <w:jc w:val="center"/>
              <w:rPr>
                <w:rFonts w:ascii="ＭＳ 明朝"/>
                <w:sz w:val="16"/>
                <w:szCs w:val="16"/>
              </w:rPr>
            </w:pPr>
            <w:r w:rsidRPr="00E0548A">
              <w:rPr>
                <w:rFonts w:ascii="ＭＳ 明朝" w:hint="eastAsia"/>
                <w:sz w:val="16"/>
                <w:szCs w:val="16"/>
              </w:rPr>
              <w:t>24</w:t>
            </w:r>
          </w:p>
        </w:tc>
        <w:tc>
          <w:tcPr>
            <w:tcW w:w="233" w:type="pct"/>
            <w:vMerge/>
            <w:tcBorders>
              <w:left w:val="single" w:sz="4" w:space="0" w:color="auto"/>
              <w:right w:val="single" w:sz="4" w:space="0" w:color="auto"/>
            </w:tcBorders>
            <w:vAlign w:val="center"/>
          </w:tcPr>
          <w:p w14:paraId="1151C393" w14:textId="77777777" w:rsidR="005D372A" w:rsidRPr="00E0548A" w:rsidRDefault="005D372A" w:rsidP="005D372A">
            <w:pPr>
              <w:jc w:val="center"/>
              <w:rPr>
                <w:rFonts w:ascii="ＭＳ 明朝"/>
                <w:sz w:val="16"/>
                <w:szCs w:val="16"/>
              </w:rPr>
            </w:pPr>
          </w:p>
        </w:tc>
        <w:tc>
          <w:tcPr>
            <w:tcW w:w="1110" w:type="pct"/>
            <w:tcBorders>
              <w:top w:val="single" w:sz="4" w:space="0" w:color="auto"/>
              <w:left w:val="single" w:sz="4" w:space="0" w:color="auto"/>
              <w:bottom w:val="single" w:sz="4" w:space="0" w:color="auto"/>
              <w:right w:val="single" w:sz="4" w:space="0" w:color="auto"/>
            </w:tcBorders>
            <w:vAlign w:val="center"/>
            <w:hideMark/>
          </w:tcPr>
          <w:p w14:paraId="08C8A058" w14:textId="77777777" w:rsidR="005D372A" w:rsidRPr="00E0548A" w:rsidRDefault="005D372A" w:rsidP="005D372A">
            <w:pPr>
              <w:rPr>
                <w:rFonts w:ascii="ＭＳ 明朝"/>
                <w:sz w:val="16"/>
                <w:szCs w:val="16"/>
              </w:rPr>
            </w:pPr>
            <w:r w:rsidRPr="00E0548A">
              <w:rPr>
                <w:rFonts w:ascii="ＭＳ 明朝" w:hint="eastAsia"/>
                <w:sz w:val="16"/>
                <w:szCs w:val="16"/>
              </w:rPr>
              <w:t>農政室整備課長</w:t>
            </w:r>
          </w:p>
        </w:tc>
        <w:tc>
          <w:tcPr>
            <w:tcW w:w="229" w:type="pct"/>
            <w:tcBorders>
              <w:top w:val="single" w:sz="4" w:space="0" w:color="auto"/>
              <w:left w:val="single" w:sz="4" w:space="0" w:color="auto"/>
              <w:bottom w:val="single" w:sz="4" w:space="0" w:color="auto"/>
              <w:right w:val="single" w:sz="4" w:space="0" w:color="auto"/>
            </w:tcBorders>
            <w:vAlign w:val="center"/>
            <w:hideMark/>
          </w:tcPr>
          <w:p w14:paraId="13BBFD74" w14:textId="77777777" w:rsidR="005D372A" w:rsidRPr="00E0548A" w:rsidRDefault="005D372A" w:rsidP="005D372A">
            <w:pPr>
              <w:jc w:val="center"/>
              <w:rPr>
                <w:rFonts w:ascii="ＭＳ 明朝"/>
                <w:sz w:val="16"/>
                <w:szCs w:val="16"/>
              </w:rPr>
            </w:pPr>
            <w:r w:rsidRPr="00E0548A">
              <w:rPr>
                <w:rFonts w:ascii="ＭＳ 明朝" w:hint="eastAsia"/>
                <w:sz w:val="16"/>
                <w:szCs w:val="16"/>
              </w:rPr>
              <w:t>○</w:t>
            </w:r>
          </w:p>
        </w:tc>
        <w:tc>
          <w:tcPr>
            <w:tcW w:w="229" w:type="pct"/>
            <w:tcBorders>
              <w:top w:val="single" w:sz="4" w:space="0" w:color="auto"/>
              <w:left w:val="single" w:sz="4" w:space="0" w:color="auto"/>
              <w:bottom w:val="single" w:sz="4" w:space="0" w:color="auto"/>
              <w:right w:val="single" w:sz="4" w:space="0" w:color="auto"/>
            </w:tcBorders>
            <w:vAlign w:val="center"/>
            <w:hideMark/>
          </w:tcPr>
          <w:p w14:paraId="2DF7086F" w14:textId="77777777" w:rsidR="005D372A" w:rsidRPr="00E0548A" w:rsidRDefault="005D372A" w:rsidP="005D372A">
            <w:pPr>
              <w:jc w:val="center"/>
              <w:rPr>
                <w:rFonts w:ascii="ＭＳ 明朝"/>
                <w:sz w:val="16"/>
                <w:szCs w:val="16"/>
              </w:rPr>
            </w:pPr>
          </w:p>
        </w:tc>
        <w:tc>
          <w:tcPr>
            <w:tcW w:w="238" w:type="pct"/>
            <w:tcBorders>
              <w:top w:val="single" w:sz="4" w:space="0" w:color="auto"/>
              <w:left w:val="single" w:sz="4" w:space="0" w:color="auto"/>
              <w:bottom w:val="single" w:sz="4" w:space="0" w:color="auto"/>
              <w:right w:val="single" w:sz="4" w:space="0" w:color="auto"/>
            </w:tcBorders>
            <w:vAlign w:val="center"/>
          </w:tcPr>
          <w:p w14:paraId="790B5420" w14:textId="77777777" w:rsidR="005D372A" w:rsidRPr="00E0548A" w:rsidRDefault="005D372A" w:rsidP="005D372A">
            <w:pPr>
              <w:jc w:val="center"/>
              <w:rPr>
                <w:rFonts w:ascii="ＭＳ 明朝"/>
                <w:sz w:val="16"/>
                <w:szCs w:val="16"/>
              </w:rPr>
            </w:pPr>
            <w:r w:rsidRPr="00E0548A">
              <w:rPr>
                <w:rFonts w:ascii="ＭＳ 明朝" w:hint="eastAsia"/>
                <w:sz w:val="16"/>
                <w:szCs w:val="16"/>
              </w:rPr>
              <w:t>○</w:t>
            </w:r>
          </w:p>
        </w:tc>
        <w:tc>
          <w:tcPr>
            <w:tcW w:w="222" w:type="pct"/>
            <w:tcBorders>
              <w:top w:val="single" w:sz="4" w:space="0" w:color="auto"/>
              <w:left w:val="single" w:sz="4" w:space="0" w:color="auto"/>
              <w:bottom w:val="single" w:sz="4" w:space="0" w:color="auto"/>
              <w:right w:val="single" w:sz="4" w:space="0" w:color="auto"/>
            </w:tcBorders>
          </w:tcPr>
          <w:p w14:paraId="42A74C9B" w14:textId="77777777" w:rsidR="005D372A" w:rsidRPr="00E0548A" w:rsidRDefault="005D372A" w:rsidP="005D372A">
            <w:pPr>
              <w:jc w:val="center"/>
              <w:rPr>
                <w:rFonts w:ascii="ＭＳ 明朝"/>
                <w:sz w:val="16"/>
                <w:szCs w:val="16"/>
              </w:rPr>
            </w:pPr>
            <w:r w:rsidRPr="00E0548A">
              <w:rPr>
                <w:rFonts w:ascii="ＭＳ 明朝" w:hint="eastAsia"/>
                <w:sz w:val="16"/>
                <w:szCs w:val="16"/>
              </w:rPr>
              <w:t>○</w:t>
            </w:r>
          </w:p>
        </w:tc>
        <w:tc>
          <w:tcPr>
            <w:tcW w:w="222" w:type="pct"/>
            <w:tcBorders>
              <w:top w:val="single" w:sz="4" w:space="0" w:color="auto"/>
              <w:left w:val="single" w:sz="4" w:space="0" w:color="auto"/>
              <w:bottom w:val="single" w:sz="4" w:space="0" w:color="auto"/>
              <w:right w:val="single" w:sz="4" w:space="0" w:color="auto"/>
            </w:tcBorders>
            <w:shd w:val="clear" w:color="auto" w:fill="FFFFFF"/>
            <w:vAlign w:val="center"/>
          </w:tcPr>
          <w:p w14:paraId="2732AF40" w14:textId="77777777" w:rsidR="005D372A" w:rsidRPr="00E0548A" w:rsidRDefault="005D372A" w:rsidP="005D372A">
            <w:pPr>
              <w:jc w:val="center"/>
              <w:rPr>
                <w:rFonts w:ascii="ＭＳ 明朝"/>
                <w:sz w:val="16"/>
                <w:szCs w:val="16"/>
              </w:rPr>
            </w:pPr>
          </w:p>
        </w:tc>
        <w:tc>
          <w:tcPr>
            <w:tcW w:w="220" w:type="pct"/>
            <w:tcBorders>
              <w:top w:val="single" w:sz="4" w:space="0" w:color="auto"/>
              <w:left w:val="single" w:sz="4" w:space="0" w:color="auto"/>
              <w:bottom w:val="single" w:sz="4" w:space="0" w:color="auto"/>
              <w:right w:val="single" w:sz="4" w:space="0" w:color="auto"/>
            </w:tcBorders>
            <w:vAlign w:val="center"/>
          </w:tcPr>
          <w:p w14:paraId="5E79F507" w14:textId="77777777" w:rsidR="005D372A" w:rsidRPr="00E0548A" w:rsidRDefault="005D372A" w:rsidP="005D372A">
            <w:pPr>
              <w:jc w:val="center"/>
              <w:rPr>
                <w:rFonts w:ascii="ＭＳ 明朝"/>
                <w:sz w:val="16"/>
                <w:szCs w:val="16"/>
              </w:rPr>
            </w:pPr>
          </w:p>
        </w:tc>
        <w:tc>
          <w:tcPr>
            <w:tcW w:w="228" w:type="pct"/>
            <w:tcBorders>
              <w:top w:val="single" w:sz="4" w:space="0" w:color="auto"/>
              <w:left w:val="single" w:sz="4" w:space="0" w:color="auto"/>
              <w:bottom w:val="single" w:sz="4" w:space="0" w:color="auto"/>
              <w:right w:val="single" w:sz="4" w:space="0" w:color="auto"/>
            </w:tcBorders>
            <w:vAlign w:val="center"/>
          </w:tcPr>
          <w:p w14:paraId="07B9F207" w14:textId="77777777" w:rsidR="005D372A" w:rsidRPr="00E0548A" w:rsidRDefault="005D372A" w:rsidP="005D372A">
            <w:pPr>
              <w:jc w:val="center"/>
              <w:rPr>
                <w:rFonts w:ascii="ＭＳ 明朝"/>
                <w:sz w:val="16"/>
                <w:szCs w:val="16"/>
              </w:rPr>
            </w:pPr>
          </w:p>
        </w:tc>
        <w:tc>
          <w:tcPr>
            <w:tcW w:w="228" w:type="pct"/>
            <w:tcBorders>
              <w:top w:val="single" w:sz="4" w:space="0" w:color="auto"/>
              <w:left w:val="single" w:sz="4" w:space="0" w:color="auto"/>
              <w:bottom w:val="single" w:sz="4" w:space="0" w:color="auto"/>
              <w:right w:val="single" w:sz="4" w:space="0" w:color="auto"/>
            </w:tcBorders>
            <w:vAlign w:val="center"/>
          </w:tcPr>
          <w:p w14:paraId="038699EA" w14:textId="77777777" w:rsidR="005D372A" w:rsidRPr="00E0548A" w:rsidRDefault="005D372A" w:rsidP="005D372A">
            <w:pPr>
              <w:jc w:val="center"/>
              <w:rPr>
                <w:rFonts w:ascii="ＭＳ 明朝"/>
                <w:sz w:val="16"/>
                <w:szCs w:val="16"/>
              </w:rPr>
            </w:pPr>
          </w:p>
        </w:tc>
        <w:tc>
          <w:tcPr>
            <w:tcW w:w="228" w:type="pct"/>
            <w:tcBorders>
              <w:top w:val="single" w:sz="4" w:space="0" w:color="auto"/>
              <w:left w:val="single" w:sz="4" w:space="0" w:color="auto"/>
              <w:bottom w:val="single" w:sz="4" w:space="0" w:color="auto"/>
              <w:right w:val="single" w:sz="4" w:space="0" w:color="auto"/>
            </w:tcBorders>
            <w:vAlign w:val="center"/>
          </w:tcPr>
          <w:p w14:paraId="5DCB4F4B" w14:textId="77777777" w:rsidR="005D372A" w:rsidRPr="00E0548A" w:rsidRDefault="005D372A" w:rsidP="005D372A">
            <w:pPr>
              <w:jc w:val="center"/>
              <w:rPr>
                <w:rFonts w:ascii="ＭＳ 明朝"/>
                <w:sz w:val="16"/>
                <w:szCs w:val="16"/>
              </w:rPr>
            </w:pPr>
          </w:p>
        </w:tc>
        <w:tc>
          <w:tcPr>
            <w:tcW w:w="228" w:type="pct"/>
            <w:tcBorders>
              <w:top w:val="single" w:sz="4" w:space="0" w:color="auto"/>
              <w:left w:val="single" w:sz="4" w:space="0" w:color="auto"/>
              <w:bottom w:val="single" w:sz="4" w:space="0" w:color="auto"/>
              <w:right w:val="single" w:sz="4" w:space="0" w:color="auto"/>
            </w:tcBorders>
            <w:vAlign w:val="center"/>
          </w:tcPr>
          <w:p w14:paraId="5BADCD4E" w14:textId="77777777" w:rsidR="005D372A" w:rsidRPr="00E0548A" w:rsidRDefault="005D372A" w:rsidP="005D372A">
            <w:pPr>
              <w:jc w:val="center"/>
              <w:rPr>
                <w:rFonts w:ascii="ＭＳ 明朝"/>
                <w:sz w:val="16"/>
                <w:szCs w:val="16"/>
              </w:rPr>
            </w:pPr>
          </w:p>
        </w:tc>
        <w:tc>
          <w:tcPr>
            <w:tcW w:w="228" w:type="pct"/>
            <w:tcBorders>
              <w:top w:val="single" w:sz="4" w:space="0" w:color="auto"/>
              <w:left w:val="single" w:sz="4" w:space="0" w:color="auto"/>
              <w:bottom w:val="single" w:sz="4" w:space="0" w:color="auto"/>
              <w:right w:val="single" w:sz="4" w:space="0" w:color="auto"/>
            </w:tcBorders>
            <w:vAlign w:val="center"/>
          </w:tcPr>
          <w:p w14:paraId="35AA1A1B" w14:textId="77777777" w:rsidR="005D372A" w:rsidRPr="00E0548A" w:rsidRDefault="005D372A" w:rsidP="005D372A">
            <w:pPr>
              <w:jc w:val="center"/>
              <w:rPr>
                <w:rFonts w:ascii="ＭＳ 明朝"/>
                <w:sz w:val="16"/>
                <w:szCs w:val="16"/>
              </w:rPr>
            </w:pPr>
          </w:p>
        </w:tc>
        <w:tc>
          <w:tcPr>
            <w:tcW w:w="259" w:type="pct"/>
            <w:tcBorders>
              <w:top w:val="single" w:sz="4" w:space="0" w:color="auto"/>
              <w:left w:val="single" w:sz="4" w:space="0" w:color="auto"/>
              <w:bottom w:val="single" w:sz="4" w:space="0" w:color="auto"/>
              <w:right w:val="single" w:sz="4" w:space="0" w:color="auto"/>
            </w:tcBorders>
            <w:vAlign w:val="center"/>
          </w:tcPr>
          <w:p w14:paraId="59B83F72" w14:textId="77777777" w:rsidR="005D372A" w:rsidRPr="00E0548A" w:rsidRDefault="005D372A" w:rsidP="005D372A">
            <w:pPr>
              <w:jc w:val="center"/>
              <w:rPr>
                <w:rFonts w:ascii="ＭＳ 明朝"/>
                <w:sz w:val="16"/>
                <w:szCs w:val="16"/>
              </w:rPr>
            </w:pPr>
          </w:p>
        </w:tc>
        <w:tc>
          <w:tcPr>
            <w:tcW w:w="211" w:type="pct"/>
            <w:tcBorders>
              <w:top w:val="single" w:sz="4" w:space="0" w:color="auto"/>
              <w:left w:val="single" w:sz="4" w:space="0" w:color="auto"/>
              <w:bottom w:val="single" w:sz="4" w:space="0" w:color="auto"/>
              <w:right w:val="single" w:sz="4" w:space="0" w:color="auto"/>
            </w:tcBorders>
            <w:shd w:val="clear" w:color="auto" w:fill="FFFFFF"/>
            <w:vAlign w:val="center"/>
          </w:tcPr>
          <w:p w14:paraId="0C66D6C1" w14:textId="77777777" w:rsidR="005D372A" w:rsidRPr="00E0548A" w:rsidRDefault="005D372A" w:rsidP="005D372A">
            <w:pPr>
              <w:jc w:val="center"/>
              <w:rPr>
                <w:rFonts w:ascii="ＭＳ 明朝"/>
                <w:sz w:val="16"/>
                <w:szCs w:val="16"/>
              </w:rPr>
            </w:pPr>
          </w:p>
        </w:tc>
        <w:tc>
          <w:tcPr>
            <w:tcW w:w="226" w:type="pct"/>
            <w:tcBorders>
              <w:top w:val="single" w:sz="4" w:space="0" w:color="auto"/>
              <w:left w:val="single" w:sz="4" w:space="0" w:color="auto"/>
              <w:bottom w:val="single" w:sz="4" w:space="0" w:color="auto"/>
              <w:right w:val="single" w:sz="4" w:space="0" w:color="auto"/>
            </w:tcBorders>
            <w:shd w:val="clear" w:color="auto" w:fill="FFFFFF"/>
            <w:vAlign w:val="center"/>
          </w:tcPr>
          <w:p w14:paraId="60495186" w14:textId="77777777" w:rsidR="005D372A" w:rsidRPr="00E0548A" w:rsidRDefault="005D372A" w:rsidP="005D372A">
            <w:pPr>
              <w:jc w:val="center"/>
              <w:rPr>
                <w:rFonts w:ascii="ＭＳ 明朝"/>
                <w:sz w:val="16"/>
                <w:szCs w:val="16"/>
              </w:rPr>
            </w:pPr>
          </w:p>
        </w:tc>
        <w:tc>
          <w:tcPr>
            <w:tcW w:w="217" w:type="pct"/>
            <w:tcBorders>
              <w:top w:val="single" w:sz="4" w:space="0" w:color="auto"/>
              <w:left w:val="single" w:sz="4" w:space="0" w:color="auto"/>
              <w:bottom w:val="single" w:sz="4" w:space="0" w:color="auto"/>
              <w:right w:val="single" w:sz="4" w:space="0" w:color="auto"/>
            </w:tcBorders>
            <w:shd w:val="clear" w:color="auto" w:fill="FFFFFF"/>
            <w:vAlign w:val="center"/>
          </w:tcPr>
          <w:p w14:paraId="77C97058" w14:textId="77777777" w:rsidR="005D372A" w:rsidRPr="00E0548A" w:rsidRDefault="005D372A" w:rsidP="005D372A">
            <w:pPr>
              <w:jc w:val="center"/>
              <w:rPr>
                <w:rFonts w:ascii="ＭＳ 明朝"/>
                <w:sz w:val="16"/>
                <w:szCs w:val="16"/>
              </w:rPr>
            </w:pPr>
          </w:p>
        </w:tc>
      </w:tr>
      <w:tr w:rsidR="001D6D10" w:rsidRPr="00E0548A" w14:paraId="7E841DF9" w14:textId="77777777" w:rsidTr="008B4B2B">
        <w:trPr>
          <w:trHeight w:hRule="exact" w:val="429"/>
        </w:trPr>
        <w:tc>
          <w:tcPr>
            <w:tcW w:w="244" w:type="pct"/>
            <w:tcBorders>
              <w:top w:val="single" w:sz="4" w:space="0" w:color="auto"/>
              <w:left w:val="single" w:sz="4" w:space="0" w:color="auto"/>
              <w:bottom w:val="single" w:sz="4" w:space="0" w:color="auto"/>
              <w:right w:val="single" w:sz="4" w:space="0" w:color="auto"/>
            </w:tcBorders>
            <w:vAlign w:val="center"/>
          </w:tcPr>
          <w:p w14:paraId="2D3096E8" w14:textId="77777777" w:rsidR="005D372A" w:rsidRPr="00E0548A" w:rsidRDefault="005D372A" w:rsidP="005D372A">
            <w:pPr>
              <w:jc w:val="center"/>
              <w:rPr>
                <w:rFonts w:ascii="ＭＳ 明朝"/>
                <w:sz w:val="16"/>
                <w:szCs w:val="16"/>
              </w:rPr>
            </w:pPr>
            <w:r w:rsidRPr="00E0548A">
              <w:rPr>
                <w:rFonts w:ascii="ＭＳ 明朝" w:hint="eastAsia"/>
                <w:sz w:val="16"/>
                <w:szCs w:val="16"/>
              </w:rPr>
              <w:t>25</w:t>
            </w:r>
          </w:p>
        </w:tc>
        <w:tc>
          <w:tcPr>
            <w:tcW w:w="233" w:type="pct"/>
            <w:vMerge/>
            <w:tcBorders>
              <w:left w:val="single" w:sz="4" w:space="0" w:color="auto"/>
              <w:right w:val="single" w:sz="4" w:space="0" w:color="auto"/>
            </w:tcBorders>
            <w:vAlign w:val="center"/>
          </w:tcPr>
          <w:p w14:paraId="3C1A0591" w14:textId="77777777" w:rsidR="005D372A" w:rsidRPr="00E0548A" w:rsidRDefault="005D372A" w:rsidP="005D372A">
            <w:pPr>
              <w:jc w:val="center"/>
              <w:rPr>
                <w:rFonts w:ascii="ＭＳ 明朝"/>
                <w:sz w:val="16"/>
                <w:szCs w:val="16"/>
              </w:rPr>
            </w:pPr>
          </w:p>
        </w:tc>
        <w:tc>
          <w:tcPr>
            <w:tcW w:w="1110" w:type="pct"/>
            <w:tcBorders>
              <w:top w:val="single" w:sz="4" w:space="0" w:color="auto"/>
              <w:left w:val="single" w:sz="4" w:space="0" w:color="auto"/>
              <w:bottom w:val="single" w:sz="4" w:space="0" w:color="auto"/>
              <w:right w:val="single" w:sz="4" w:space="0" w:color="auto"/>
            </w:tcBorders>
            <w:vAlign w:val="center"/>
            <w:hideMark/>
          </w:tcPr>
          <w:p w14:paraId="4D5469DC" w14:textId="77777777" w:rsidR="005D372A" w:rsidRPr="00E0548A" w:rsidRDefault="005D372A" w:rsidP="005D372A">
            <w:pPr>
              <w:rPr>
                <w:rFonts w:ascii="ＭＳ 明朝"/>
                <w:sz w:val="16"/>
                <w:szCs w:val="16"/>
              </w:rPr>
            </w:pPr>
            <w:r w:rsidRPr="00E0548A">
              <w:rPr>
                <w:rFonts w:ascii="ＭＳ 明朝" w:hint="eastAsia"/>
                <w:sz w:val="16"/>
                <w:szCs w:val="16"/>
              </w:rPr>
              <w:t>水産課長</w:t>
            </w:r>
          </w:p>
        </w:tc>
        <w:tc>
          <w:tcPr>
            <w:tcW w:w="229" w:type="pct"/>
            <w:tcBorders>
              <w:top w:val="single" w:sz="4" w:space="0" w:color="auto"/>
              <w:left w:val="single" w:sz="4" w:space="0" w:color="auto"/>
              <w:bottom w:val="single" w:sz="4" w:space="0" w:color="auto"/>
              <w:right w:val="single" w:sz="4" w:space="0" w:color="auto"/>
            </w:tcBorders>
            <w:vAlign w:val="center"/>
            <w:hideMark/>
          </w:tcPr>
          <w:p w14:paraId="3A6E0320" w14:textId="77777777" w:rsidR="005D372A" w:rsidRPr="00E0548A" w:rsidRDefault="005D372A" w:rsidP="005D372A">
            <w:pPr>
              <w:jc w:val="center"/>
              <w:rPr>
                <w:rFonts w:ascii="ＭＳ 明朝"/>
                <w:sz w:val="16"/>
                <w:szCs w:val="16"/>
              </w:rPr>
            </w:pPr>
          </w:p>
        </w:tc>
        <w:tc>
          <w:tcPr>
            <w:tcW w:w="229" w:type="pct"/>
            <w:tcBorders>
              <w:top w:val="single" w:sz="4" w:space="0" w:color="auto"/>
              <w:left w:val="single" w:sz="4" w:space="0" w:color="auto"/>
              <w:bottom w:val="single" w:sz="4" w:space="0" w:color="auto"/>
              <w:right w:val="single" w:sz="4" w:space="0" w:color="auto"/>
            </w:tcBorders>
            <w:vAlign w:val="center"/>
            <w:hideMark/>
          </w:tcPr>
          <w:p w14:paraId="297AB32D" w14:textId="432F55CA" w:rsidR="005D372A" w:rsidRPr="00E0548A" w:rsidRDefault="005D372A" w:rsidP="005D372A">
            <w:pPr>
              <w:jc w:val="center"/>
              <w:rPr>
                <w:rFonts w:ascii="ＭＳ 明朝"/>
                <w:sz w:val="16"/>
                <w:szCs w:val="16"/>
              </w:rPr>
            </w:pPr>
            <w:r w:rsidRPr="00E0548A">
              <w:rPr>
                <w:rFonts w:ascii="ＭＳ 明朝" w:hint="eastAsia"/>
                <w:sz w:val="16"/>
                <w:szCs w:val="16"/>
              </w:rPr>
              <w:t>○</w:t>
            </w:r>
          </w:p>
        </w:tc>
        <w:tc>
          <w:tcPr>
            <w:tcW w:w="238" w:type="pct"/>
            <w:tcBorders>
              <w:top w:val="single" w:sz="4" w:space="0" w:color="auto"/>
              <w:left w:val="single" w:sz="4" w:space="0" w:color="auto"/>
              <w:bottom w:val="single" w:sz="4" w:space="0" w:color="auto"/>
              <w:right w:val="single" w:sz="4" w:space="0" w:color="auto"/>
            </w:tcBorders>
            <w:hideMark/>
          </w:tcPr>
          <w:p w14:paraId="633882F0" w14:textId="5880045F" w:rsidR="005D372A" w:rsidRPr="00E0548A" w:rsidRDefault="005D372A" w:rsidP="005D372A">
            <w:pPr>
              <w:spacing w:line="160" w:lineRule="atLeast"/>
              <w:jc w:val="center"/>
            </w:pPr>
            <w:r w:rsidRPr="00E0548A">
              <w:rPr>
                <w:rFonts w:ascii="ＭＳ 明朝" w:hint="eastAsia"/>
                <w:sz w:val="16"/>
                <w:szCs w:val="16"/>
              </w:rPr>
              <w:t>○</w:t>
            </w:r>
          </w:p>
        </w:tc>
        <w:tc>
          <w:tcPr>
            <w:tcW w:w="222" w:type="pct"/>
            <w:tcBorders>
              <w:top w:val="single" w:sz="4" w:space="0" w:color="auto"/>
              <w:left w:val="single" w:sz="4" w:space="0" w:color="auto"/>
              <w:bottom w:val="single" w:sz="4" w:space="0" w:color="auto"/>
              <w:right w:val="single" w:sz="4" w:space="0" w:color="auto"/>
            </w:tcBorders>
            <w:vAlign w:val="center"/>
          </w:tcPr>
          <w:p w14:paraId="0A0416DE" w14:textId="09FB028C" w:rsidR="005D372A" w:rsidRPr="00E0548A" w:rsidRDefault="00D769E2" w:rsidP="005D372A">
            <w:pPr>
              <w:jc w:val="center"/>
            </w:pPr>
            <w:r w:rsidRPr="00E0548A">
              <w:rPr>
                <w:noProof/>
              </w:rPr>
              <mc:AlternateContent>
                <mc:Choice Requires="wps">
                  <w:drawing>
                    <wp:anchor distT="0" distB="0" distL="114300" distR="114300" simplePos="0" relativeHeight="252939264" behindDoc="0" locked="0" layoutInCell="1" allowOverlap="1" wp14:anchorId="40B3CBF0" wp14:editId="12234B3B">
                      <wp:simplePos x="0" y="0"/>
                      <wp:positionH relativeFrom="column">
                        <wp:posOffset>-565150</wp:posOffset>
                      </wp:positionH>
                      <wp:positionV relativeFrom="paragraph">
                        <wp:posOffset>68580</wp:posOffset>
                      </wp:positionV>
                      <wp:extent cx="736600" cy="289560"/>
                      <wp:effectExtent l="1270" t="0" r="0" b="0"/>
                      <wp:wrapNone/>
                      <wp:docPr id="4343"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36600" cy="2895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BCC9E85" w14:textId="77777777" w:rsidR="006A5267" w:rsidRPr="00D32956" w:rsidRDefault="006A5267" w:rsidP="005D372A">
                                  <w:pPr>
                                    <w:ind w:firstLineChars="100" w:firstLine="161"/>
                                    <w:rPr>
                                      <w:sz w:val="16"/>
                                      <w:szCs w:val="16"/>
                                    </w:rPr>
                                  </w:pPr>
                                  <w:r w:rsidRPr="00D32956">
                                    <w:rPr>
                                      <w:rFonts w:hint="eastAsia"/>
                                      <w:sz w:val="16"/>
                                      <w:szCs w:val="16"/>
                                    </w:rPr>
                                    <w:t>（高潮）</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shape w14:anchorId="40B3CBF0" id="テキスト ボックス 2" o:spid="_x0000_s1126" type="#_x0000_t202" style="position:absolute;left:0;text-align:left;margin-left:-44.5pt;margin-top:5.4pt;width:58pt;height:22.8pt;z-index:25293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" filled="f" stroked="f">
                      <v:textbox>
                        <w:txbxContent>
                          <w:p w14:paraId="2BCC9E85" w14:textId="77777777" w:rsidR="006A5267" w:rsidRPr="00D32956" w:rsidRDefault="006A5267" w:rsidP="005D372A">
                            <w:pPr>
                              <w:ind w:firstLineChars="100" w:firstLine="161"/>
                              <w:rPr>
                                <w:sz w:val="16"/>
                                <w:szCs w:val="16"/>
                              </w:rPr>
                            </w:pPr>
                            <w:r w:rsidRPr="00D32956">
                              <w:rPr>
                                <w:rFonts w:hint="eastAsia"/>
                                <w:sz w:val="16"/>
                                <w:szCs w:val="16"/>
                              </w:rPr>
                              <w:t>（高潮）</w:t>
                            </w:r>
                          </w:p>
                        </w:txbxContent>
                      </v:textbox>
                    </v:shape>
                  </w:pict>
                </mc:Fallback>
              </mc:AlternateContent>
            </w:r>
            <w:r w:rsidR="005D372A" w:rsidRPr="00E0548A">
              <w:rPr>
                <w:rFonts w:ascii="ＭＳ 明朝" w:hint="eastAsia"/>
                <w:sz w:val="16"/>
                <w:szCs w:val="16"/>
              </w:rPr>
              <w:t>○</w:t>
            </w:r>
          </w:p>
        </w:tc>
        <w:tc>
          <w:tcPr>
            <w:tcW w:w="222" w:type="pct"/>
            <w:tcBorders>
              <w:top w:val="single" w:sz="4" w:space="0" w:color="auto"/>
              <w:left w:val="single" w:sz="4" w:space="0" w:color="auto"/>
              <w:bottom w:val="single" w:sz="4" w:space="0" w:color="auto"/>
              <w:right w:val="single" w:sz="4" w:space="0" w:color="auto"/>
            </w:tcBorders>
            <w:shd w:val="clear" w:color="auto" w:fill="FFFFFF"/>
            <w:vAlign w:val="center"/>
          </w:tcPr>
          <w:p w14:paraId="59EE08C8" w14:textId="77777777" w:rsidR="005D372A" w:rsidRPr="00E0548A" w:rsidRDefault="005D372A" w:rsidP="005D372A">
            <w:pPr>
              <w:jc w:val="center"/>
              <w:rPr>
                <w:rFonts w:ascii="ＭＳ 明朝"/>
                <w:sz w:val="16"/>
                <w:szCs w:val="16"/>
              </w:rPr>
            </w:pPr>
          </w:p>
        </w:tc>
        <w:tc>
          <w:tcPr>
            <w:tcW w:w="220" w:type="pct"/>
            <w:tcBorders>
              <w:top w:val="single" w:sz="4" w:space="0" w:color="auto"/>
              <w:left w:val="single" w:sz="4" w:space="0" w:color="auto"/>
              <w:bottom w:val="single" w:sz="4" w:space="0" w:color="auto"/>
              <w:right w:val="single" w:sz="4" w:space="0" w:color="auto"/>
            </w:tcBorders>
            <w:vAlign w:val="center"/>
            <w:hideMark/>
          </w:tcPr>
          <w:p w14:paraId="1BD3BB19" w14:textId="77777777" w:rsidR="005D372A" w:rsidRPr="00E0548A" w:rsidRDefault="005D372A" w:rsidP="005D372A">
            <w:pPr>
              <w:jc w:val="center"/>
              <w:rPr>
                <w:rFonts w:ascii="ＭＳ 明朝"/>
                <w:sz w:val="16"/>
                <w:szCs w:val="16"/>
              </w:rPr>
            </w:pPr>
            <w:r w:rsidRPr="00E0548A">
              <w:rPr>
                <w:rFonts w:ascii="ＭＳ 明朝" w:hint="eastAsia"/>
                <w:sz w:val="16"/>
                <w:szCs w:val="16"/>
              </w:rPr>
              <w:t>○</w:t>
            </w:r>
          </w:p>
        </w:tc>
        <w:tc>
          <w:tcPr>
            <w:tcW w:w="228" w:type="pct"/>
            <w:tcBorders>
              <w:top w:val="single" w:sz="4" w:space="0" w:color="auto"/>
              <w:left w:val="single" w:sz="4" w:space="0" w:color="auto"/>
              <w:bottom w:val="single" w:sz="4" w:space="0" w:color="auto"/>
              <w:right w:val="single" w:sz="4" w:space="0" w:color="auto"/>
            </w:tcBorders>
            <w:vAlign w:val="center"/>
          </w:tcPr>
          <w:p w14:paraId="24BD6AC7" w14:textId="77777777" w:rsidR="005D372A" w:rsidRPr="00E0548A" w:rsidRDefault="005D372A" w:rsidP="005D372A">
            <w:pPr>
              <w:jc w:val="center"/>
              <w:rPr>
                <w:rFonts w:ascii="ＭＳ 明朝"/>
                <w:sz w:val="16"/>
                <w:szCs w:val="16"/>
              </w:rPr>
            </w:pPr>
          </w:p>
        </w:tc>
        <w:tc>
          <w:tcPr>
            <w:tcW w:w="228" w:type="pct"/>
            <w:tcBorders>
              <w:top w:val="single" w:sz="4" w:space="0" w:color="auto"/>
              <w:left w:val="single" w:sz="4" w:space="0" w:color="auto"/>
              <w:bottom w:val="single" w:sz="4" w:space="0" w:color="auto"/>
              <w:right w:val="single" w:sz="4" w:space="0" w:color="auto"/>
            </w:tcBorders>
            <w:vAlign w:val="center"/>
          </w:tcPr>
          <w:p w14:paraId="11B60CB8" w14:textId="77777777" w:rsidR="005D372A" w:rsidRPr="00E0548A" w:rsidRDefault="005D372A" w:rsidP="005D372A">
            <w:pPr>
              <w:jc w:val="center"/>
              <w:rPr>
                <w:rFonts w:ascii="ＭＳ 明朝"/>
                <w:sz w:val="16"/>
                <w:szCs w:val="16"/>
              </w:rPr>
            </w:pPr>
          </w:p>
        </w:tc>
        <w:tc>
          <w:tcPr>
            <w:tcW w:w="228" w:type="pct"/>
            <w:tcBorders>
              <w:top w:val="single" w:sz="4" w:space="0" w:color="auto"/>
              <w:left w:val="single" w:sz="4" w:space="0" w:color="auto"/>
              <w:bottom w:val="single" w:sz="4" w:space="0" w:color="auto"/>
              <w:right w:val="single" w:sz="4" w:space="0" w:color="auto"/>
            </w:tcBorders>
            <w:vAlign w:val="center"/>
          </w:tcPr>
          <w:p w14:paraId="101299B5" w14:textId="77777777" w:rsidR="005D372A" w:rsidRPr="00E0548A" w:rsidRDefault="005D372A" w:rsidP="005D372A">
            <w:pPr>
              <w:jc w:val="center"/>
              <w:rPr>
                <w:rFonts w:ascii="ＭＳ 明朝"/>
                <w:sz w:val="16"/>
                <w:szCs w:val="16"/>
              </w:rPr>
            </w:pPr>
          </w:p>
        </w:tc>
        <w:tc>
          <w:tcPr>
            <w:tcW w:w="228" w:type="pct"/>
            <w:tcBorders>
              <w:top w:val="single" w:sz="4" w:space="0" w:color="auto"/>
              <w:left w:val="single" w:sz="4" w:space="0" w:color="auto"/>
              <w:bottom w:val="single" w:sz="4" w:space="0" w:color="auto"/>
              <w:right w:val="single" w:sz="4" w:space="0" w:color="auto"/>
            </w:tcBorders>
            <w:vAlign w:val="center"/>
          </w:tcPr>
          <w:p w14:paraId="349F6456" w14:textId="77777777" w:rsidR="005D372A" w:rsidRPr="00E0548A" w:rsidRDefault="005D372A" w:rsidP="005D372A">
            <w:pPr>
              <w:jc w:val="center"/>
              <w:rPr>
                <w:rFonts w:ascii="ＭＳ 明朝"/>
                <w:sz w:val="16"/>
                <w:szCs w:val="16"/>
              </w:rPr>
            </w:pPr>
          </w:p>
        </w:tc>
        <w:tc>
          <w:tcPr>
            <w:tcW w:w="228" w:type="pct"/>
            <w:tcBorders>
              <w:top w:val="single" w:sz="4" w:space="0" w:color="auto"/>
              <w:left w:val="single" w:sz="4" w:space="0" w:color="auto"/>
              <w:bottom w:val="single" w:sz="4" w:space="0" w:color="auto"/>
              <w:right w:val="single" w:sz="4" w:space="0" w:color="auto"/>
            </w:tcBorders>
            <w:vAlign w:val="center"/>
          </w:tcPr>
          <w:p w14:paraId="61D8F7D4" w14:textId="77777777" w:rsidR="005D372A" w:rsidRPr="00E0548A" w:rsidRDefault="005D372A" w:rsidP="005D372A">
            <w:pPr>
              <w:jc w:val="center"/>
              <w:rPr>
                <w:rFonts w:ascii="ＭＳ 明朝"/>
                <w:sz w:val="16"/>
                <w:szCs w:val="16"/>
              </w:rPr>
            </w:pPr>
          </w:p>
        </w:tc>
        <w:tc>
          <w:tcPr>
            <w:tcW w:w="259" w:type="pct"/>
            <w:tcBorders>
              <w:top w:val="single" w:sz="4" w:space="0" w:color="auto"/>
              <w:left w:val="single" w:sz="4" w:space="0" w:color="auto"/>
              <w:bottom w:val="single" w:sz="4" w:space="0" w:color="auto"/>
              <w:right w:val="single" w:sz="4" w:space="0" w:color="auto"/>
            </w:tcBorders>
            <w:vAlign w:val="center"/>
          </w:tcPr>
          <w:p w14:paraId="5BA86FE2" w14:textId="77777777" w:rsidR="005D372A" w:rsidRPr="00E0548A" w:rsidRDefault="005D372A" w:rsidP="005D372A">
            <w:pPr>
              <w:jc w:val="center"/>
              <w:rPr>
                <w:rFonts w:ascii="ＭＳ 明朝"/>
                <w:sz w:val="16"/>
                <w:szCs w:val="16"/>
              </w:rPr>
            </w:pPr>
          </w:p>
        </w:tc>
        <w:tc>
          <w:tcPr>
            <w:tcW w:w="211" w:type="pct"/>
            <w:tcBorders>
              <w:top w:val="single" w:sz="4" w:space="0" w:color="auto"/>
              <w:left w:val="single" w:sz="4" w:space="0" w:color="auto"/>
              <w:bottom w:val="single" w:sz="4" w:space="0" w:color="auto"/>
              <w:right w:val="single" w:sz="4" w:space="0" w:color="auto"/>
            </w:tcBorders>
            <w:shd w:val="clear" w:color="auto" w:fill="FFFFFF"/>
            <w:vAlign w:val="center"/>
          </w:tcPr>
          <w:p w14:paraId="67D91235" w14:textId="77777777" w:rsidR="005D372A" w:rsidRPr="00E0548A" w:rsidRDefault="005D372A" w:rsidP="005D372A">
            <w:pPr>
              <w:jc w:val="center"/>
              <w:rPr>
                <w:rFonts w:ascii="ＭＳ 明朝"/>
                <w:sz w:val="16"/>
                <w:szCs w:val="16"/>
              </w:rPr>
            </w:pPr>
          </w:p>
        </w:tc>
        <w:tc>
          <w:tcPr>
            <w:tcW w:w="226" w:type="pct"/>
            <w:tcBorders>
              <w:top w:val="single" w:sz="4" w:space="0" w:color="auto"/>
              <w:left w:val="single" w:sz="4" w:space="0" w:color="auto"/>
              <w:bottom w:val="single" w:sz="4" w:space="0" w:color="auto"/>
              <w:right w:val="single" w:sz="4" w:space="0" w:color="auto"/>
            </w:tcBorders>
            <w:shd w:val="clear" w:color="auto" w:fill="FFFFFF"/>
            <w:vAlign w:val="center"/>
          </w:tcPr>
          <w:p w14:paraId="0D9C64AE" w14:textId="77777777" w:rsidR="005D372A" w:rsidRPr="00E0548A" w:rsidRDefault="005D372A" w:rsidP="005D372A">
            <w:pPr>
              <w:jc w:val="center"/>
              <w:rPr>
                <w:rFonts w:ascii="ＭＳ 明朝"/>
                <w:sz w:val="16"/>
                <w:szCs w:val="16"/>
              </w:rPr>
            </w:pPr>
          </w:p>
        </w:tc>
        <w:tc>
          <w:tcPr>
            <w:tcW w:w="217" w:type="pct"/>
            <w:tcBorders>
              <w:top w:val="single" w:sz="4" w:space="0" w:color="auto"/>
              <w:left w:val="single" w:sz="4" w:space="0" w:color="auto"/>
              <w:bottom w:val="single" w:sz="4" w:space="0" w:color="auto"/>
              <w:right w:val="single" w:sz="4" w:space="0" w:color="auto"/>
            </w:tcBorders>
            <w:shd w:val="clear" w:color="auto" w:fill="FFFFFF"/>
            <w:vAlign w:val="center"/>
          </w:tcPr>
          <w:p w14:paraId="43CF307E" w14:textId="77777777" w:rsidR="005D372A" w:rsidRPr="00E0548A" w:rsidRDefault="005D372A" w:rsidP="005D372A">
            <w:pPr>
              <w:jc w:val="center"/>
              <w:rPr>
                <w:rFonts w:ascii="ＭＳ 明朝"/>
                <w:sz w:val="16"/>
                <w:szCs w:val="16"/>
              </w:rPr>
            </w:pPr>
          </w:p>
        </w:tc>
      </w:tr>
      <w:tr w:rsidR="001D6D10" w:rsidRPr="00E0548A" w14:paraId="5CF0F7E1" w14:textId="77777777" w:rsidTr="008B4B2B">
        <w:trPr>
          <w:trHeight w:hRule="exact" w:val="334"/>
        </w:trPr>
        <w:tc>
          <w:tcPr>
            <w:tcW w:w="244" w:type="pct"/>
            <w:tcBorders>
              <w:top w:val="single" w:sz="4" w:space="0" w:color="auto"/>
              <w:left w:val="single" w:sz="4" w:space="0" w:color="auto"/>
              <w:bottom w:val="single" w:sz="4" w:space="0" w:color="auto"/>
              <w:right w:val="single" w:sz="4" w:space="0" w:color="auto"/>
            </w:tcBorders>
            <w:vAlign w:val="center"/>
          </w:tcPr>
          <w:p w14:paraId="2D7ECF3F" w14:textId="77777777" w:rsidR="005D372A" w:rsidRPr="00E0548A" w:rsidRDefault="005D372A" w:rsidP="005D372A">
            <w:pPr>
              <w:jc w:val="center"/>
              <w:rPr>
                <w:rFonts w:ascii="ＭＳ 明朝"/>
                <w:sz w:val="16"/>
                <w:szCs w:val="16"/>
              </w:rPr>
            </w:pPr>
            <w:r w:rsidRPr="00E0548A">
              <w:rPr>
                <w:rFonts w:ascii="ＭＳ 明朝" w:hint="eastAsia"/>
                <w:sz w:val="16"/>
                <w:szCs w:val="16"/>
              </w:rPr>
              <w:t>26</w:t>
            </w:r>
          </w:p>
        </w:tc>
        <w:tc>
          <w:tcPr>
            <w:tcW w:w="233" w:type="pct"/>
            <w:vMerge/>
            <w:tcBorders>
              <w:left w:val="single" w:sz="4" w:space="0" w:color="auto"/>
              <w:right w:val="single" w:sz="4" w:space="0" w:color="auto"/>
            </w:tcBorders>
            <w:vAlign w:val="center"/>
          </w:tcPr>
          <w:p w14:paraId="74E16C0A" w14:textId="77777777" w:rsidR="005D372A" w:rsidRPr="00E0548A" w:rsidRDefault="005D372A" w:rsidP="005D372A">
            <w:pPr>
              <w:jc w:val="center"/>
              <w:rPr>
                <w:rFonts w:ascii="ＭＳ 明朝"/>
                <w:sz w:val="16"/>
                <w:szCs w:val="16"/>
              </w:rPr>
            </w:pPr>
          </w:p>
        </w:tc>
        <w:tc>
          <w:tcPr>
            <w:tcW w:w="1110" w:type="pct"/>
            <w:tcBorders>
              <w:top w:val="single" w:sz="4" w:space="0" w:color="auto"/>
              <w:left w:val="single" w:sz="4" w:space="0" w:color="auto"/>
              <w:bottom w:val="single" w:sz="4" w:space="0" w:color="auto"/>
              <w:right w:val="single" w:sz="4" w:space="0" w:color="auto"/>
            </w:tcBorders>
            <w:vAlign w:val="center"/>
            <w:hideMark/>
          </w:tcPr>
          <w:p w14:paraId="06FAB8C4" w14:textId="77777777" w:rsidR="005D372A" w:rsidRPr="00E0548A" w:rsidRDefault="005D372A" w:rsidP="005D372A">
            <w:pPr>
              <w:rPr>
                <w:rFonts w:ascii="ＭＳ 明朝"/>
                <w:sz w:val="16"/>
                <w:szCs w:val="16"/>
              </w:rPr>
            </w:pPr>
            <w:r w:rsidRPr="00E0548A">
              <w:rPr>
                <w:rFonts w:ascii="ＭＳ 明朝" w:hint="eastAsia"/>
                <w:sz w:val="16"/>
                <w:szCs w:val="16"/>
              </w:rPr>
              <w:t>都市整備総務課長</w:t>
            </w:r>
          </w:p>
        </w:tc>
        <w:tc>
          <w:tcPr>
            <w:tcW w:w="229" w:type="pct"/>
            <w:tcBorders>
              <w:top w:val="single" w:sz="4" w:space="0" w:color="auto"/>
              <w:left w:val="single" w:sz="4" w:space="0" w:color="auto"/>
              <w:bottom w:val="single" w:sz="4" w:space="0" w:color="auto"/>
              <w:right w:val="single" w:sz="4" w:space="0" w:color="auto"/>
            </w:tcBorders>
            <w:vAlign w:val="center"/>
          </w:tcPr>
          <w:p w14:paraId="5B8EF7DD" w14:textId="77777777" w:rsidR="005D372A" w:rsidRPr="00E0548A" w:rsidRDefault="005D372A" w:rsidP="005D372A">
            <w:pPr>
              <w:jc w:val="center"/>
              <w:rPr>
                <w:rFonts w:ascii="ＭＳ 明朝"/>
                <w:sz w:val="16"/>
                <w:szCs w:val="16"/>
              </w:rPr>
            </w:pPr>
          </w:p>
        </w:tc>
        <w:tc>
          <w:tcPr>
            <w:tcW w:w="229" w:type="pct"/>
            <w:tcBorders>
              <w:top w:val="single" w:sz="4" w:space="0" w:color="auto"/>
              <w:left w:val="single" w:sz="4" w:space="0" w:color="auto"/>
              <w:bottom w:val="single" w:sz="4" w:space="0" w:color="auto"/>
              <w:right w:val="single" w:sz="4" w:space="0" w:color="auto"/>
            </w:tcBorders>
            <w:vAlign w:val="center"/>
          </w:tcPr>
          <w:p w14:paraId="16C7D020" w14:textId="77777777" w:rsidR="005D372A" w:rsidRPr="00E0548A" w:rsidRDefault="005D372A" w:rsidP="005D372A">
            <w:pPr>
              <w:jc w:val="center"/>
              <w:rPr>
                <w:rFonts w:ascii="ＭＳ 明朝"/>
                <w:sz w:val="16"/>
                <w:szCs w:val="16"/>
              </w:rPr>
            </w:pPr>
          </w:p>
        </w:tc>
        <w:tc>
          <w:tcPr>
            <w:tcW w:w="238" w:type="pct"/>
            <w:tcBorders>
              <w:top w:val="single" w:sz="4" w:space="0" w:color="auto"/>
              <w:left w:val="single" w:sz="4" w:space="0" w:color="auto"/>
              <w:bottom w:val="single" w:sz="4" w:space="0" w:color="auto"/>
              <w:right w:val="single" w:sz="4" w:space="0" w:color="auto"/>
            </w:tcBorders>
            <w:vAlign w:val="center"/>
          </w:tcPr>
          <w:p w14:paraId="0A881240" w14:textId="77777777" w:rsidR="005D372A" w:rsidRPr="00E0548A" w:rsidRDefault="005D372A" w:rsidP="005D372A">
            <w:pPr>
              <w:jc w:val="center"/>
              <w:rPr>
                <w:rFonts w:ascii="ＭＳ 明朝"/>
                <w:sz w:val="16"/>
                <w:szCs w:val="16"/>
              </w:rPr>
            </w:pPr>
          </w:p>
        </w:tc>
        <w:tc>
          <w:tcPr>
            <w:tcW w:w="222" w:type="pct"/>
            <w:tcBorders>
              <w:top w:val="single" w:sz="4" w:space="0" w:color="auto"/>
              <w:left w:val="single" w:sz="4" w:space="0" w:color="auto"/>
              <w:bottom w:val="single" w:sz="4" w:space="0" w:color="auto"/>
              <w:right w:val="single" w:sz="4" w:space="0" w:color="auto"/>
            </w:tcBorders>
          </w:tcPr>
          <w:p w14:paraId="2130E4B0" w14:textId="77777777" w:rsidR="005D372A" w:rsidRPr="00E0548A" w:rsidRDefault="005D372A" w:rsidP="005D372A">
            <w:pPr>
              <w:jc w:val="center"/>
              <w:rPr>
                <w:rFonts w:ascii="ＭＳ 明朝"/>
                <w:sz w:val="16"/>
                <w:szCs w:val="16"/>
              </w:rPr>
            </w:pPr>
            <w:r w:rsidRPr="00E0548A">
              <w:rPr>
                <w:rFonts w:ascii="ＭＳ 明朝" w:hint="eastAsia"/>
                <w:sz w:val="16"/>
                <w:szCs w:val="16"/>
              </w:rPr>
              <w:t>○</w:t>
            </w:r>
          </w:p>
        </w:tc>
        <w:tc>
          <w:tcPr>
            <w:tcW w:w="222" w:type="pct"/>
            <w:tcBorders>
              <w:top w:val="single" w:sz="4" w:space="0" w:color="auto"/>
              <w:left w:val="single" w:sz="4" w:space="0" w:color="auto"/>
              <w:bottom w:val="single" w:sz="4" w:space="0" w:color="auto"/>
              <w:right w:val="single" w:sz="4" w:space="0" w:color="auto"/>
            </w:tcBorders>
            <w:shd w:val="clear" w:color="auto" w:fill="FFFFFF"/>
            <w:vAlign w:val="center"/>
          </w:tcPr>
          <w:p w14:paraId="6BC1F9B2" w14:textId="77777777" w:rsidR="005D372A" w:rsidRPr="00E0548A" w:rsidRDefault="005D372A" w:rsidP="005D372A">
            <w:pPr>
              <w:jc w:val="center"/>
              <w:rPr>
                <w:rFonts w:ascii="ＭＳ 明朝"/>
                <w:sz w:val="16"/>
                <w:szCs w:val="16"/>
              </w:rPr>
            </w:pPr>
          </w:p>
        </w:tc>
        <w:tc>
          <w:tcPr>
            <w:tcW w:w="220" w:type="pct"/>
            <w:tcBorders>
              <w:top w:val="single" w:sz="4" w:space="0" w:color="auto"/>
              <w:left w:val="single" w:sz="4" w:space="0" w:color="auto"/>
              <w:bottom w:val="single" w:sz="4" w:space="0" w:color="auto"/>
              <w:right w:val="single" w:sz="4" w:space="0" w:color="auto"/>
            </w:tcBorders>
            <w:vAlign w:val="center"/>
          </w:tcPr>
          <w:p w14:paraId="0B94FFA1" w14:textId="77777777" w:rsidR="005D372A" w:rsidRPr="00E0548A" w:rsidRDefault="005D372A" w:rsidP="005D372A">
            <w:pPr>
              <w:jc w:val="center"/>
              <w:rPr>
                <w:rFonts w:ascii="ＭＳ 明朝"/>
                <w:sz w:val="16"/>
                <w:szCs w:val="16"/>
              </w:rPr>
            </w:pPr>
          </w:p>
        </w:tc>
        <w:tc>
          <w:tcPr>
            <w:tcW w:w="228" w:type="pct"/>
            <w:tcBorders>
              <w:top w:val="single" w:sz="4" w:space="0" w:color="auto"/>
              <w:left w:val="single" w:sz="4" w:space="0" w:color="auto"/>
              <w:bottom w:val="single" w:sz="4" w:space="0" w:color="auto"/>
              <w:right w:val="single" w:sz="4" w:space="0" w:color="auto"/>
            </w:tcBorders>
            <w:vAlign w:val="center"/>
          </w:tcPr>
          <w:p w14:paraId="6E1F6E92" w14:textId="77777777" w:rsidR="005D372A" w:rsidRPr="00E0548A" w:rsidRDefault="005D372A" w:rsidP="005D372A">
            <w:pPr>
              <w:jc w:val="center"/>
              <w:rPr>
                <w:rFonts w:ascii="ＭＳ 明朝"/>
                <w:sz w:val="16"/>
                <w:szCs w:val="16"/>
              </w:rPr>
            </w:pPr>
          </w:p>
        </w:tc>
        <w:tc>
          <w:tcPr>
            <w:tcW w:w="228" w:type="pct"/>
            <w:tcBorders>
              <w:top w:val="single" w:sz="4" w:space="0" w:color="auto"/>
              <w:left w:val="single" w:sz="4" w:space="0" w:color="auto"/>
              <w:bottom w:val="single" w:sz="4" w:space="0" w:color="auto"/>
              <w:right w:val="single" w:sz="4" w:space="0" w:color="auto"/>
            </w:tcBorders>
            <w:vAlign w:val="center"/>
          </w:tcPr>
          <w:p w14:paraId="46E1C1E3" w14:textId="77777777" w:rsidR="005D372A" w:rsidRPr="00E0548A" w:rsidRDefault="005D372A" w:rsidP="005D372A">
            <w:pPr>
              <w:jc w:val="center"/>
              <w:rPr>
                <w:rFonts w:ascii="ＭＳ 明朝"/>
                <w:sz w:val="16"/>
                <w:szCs w:val="16"/>
              </w:rPr>
            </w:pPr>
          </w:p>
        </w:tc>
        <w:tc>
          <w:tcPr>
            <w:tcW w:w="228" w:type="pct"/>
            <w:tcBorders>
              <w:top w:val="single" w:sz="4" w:space="0" w:color="auto"/>
              <w:left w:val="single" w:sz="4" w:space="0" w:color="auto"/>
              <w:bottom w:val="single" w:sz="4" w:space="0" w:color="auto"/>
              <w:right w:val="single" w:sz="4" w:space="0" w:color="auto"/>
            </w:tcBorders>
            <w:vAlign w:val="center"/>
          </w:tcPr>
          <w:p w14:paraId="5DD7FC34" w14:textId="77777777" w:rsidR="005D372A" w:rsidRPr="00E0548A" w:rsidRDefault="005D372A" w:rsidP="005D372A">
            <w:pPr>
              <w:jc w:val="center"/>
              <w:rPr>
                <w:rFonts w:ascii="ＭＳ 明朝"/>
                <w:sz w:val="16"/>
                <w:szCs w:val="16"/>
              </w:rPr>
            </w:pPr>
          </w:p>
        </w:tc>
        <w:tc>
          <w:tcPr>
            <w:tcW w:w="228" w:type="pct"/>
            <w:tcBorders>
              <w:top w:val="single" w:sz="4" w:space="0" w:color="auto"/>
              <w:left w:val="single" w:sz="4" w:space="0" w:color="auto"/>
              <w:bottom w:val="single" w:sz="4" w:space="0" w:color="auto"/>
              <w:right w:val="single" w:sz="4" w:space="0" w:color="auto"/>
            </w:tcBorders>
            <w:vAlign w:val="center"/>
          </w:tcPr>
          <w:p w14:paraId="41F32F75" w14:textId="77777777" w:rsidR="005D372A" w:rsidRPr="00E0548A" w:rsidRDefault="005D372A" w:rsidP="005D372A">
            <w:pPr>
              <w:jc w:val="center"/>
              <w:rPr>
                <w:rFonts w:ascii="ＭＳ 明朝"/>
                <w:sz w:val="16"/>
                <w:szCs w:val="16"/>
              </w:rPr>
            </w:pPr>
          </w:p>
        </w:tc>
        <w:tc>
          <w:tcPr>
            <w:tcW w:w="228" w:type="pct"/>
            <w:tcBorders>
              <w:top w:val="single" w:sz="4" w:space="0" w:color="auto"/>
              <w:left w:val="single" w:sz="4" w:space="0" w:color="auto"/>
              <w:bottom w:val="single" w:sz="4" w:space="0" w:color="auto"/>
              <w:right w:val="single" w:sz="4" w:space="0" w:color="auto"/>
            </w:tcBorders>
            <w:vAlign w:val="center"/>
          </w:tcPr>
          <w:p w14:paraId="297069CE" w14:textId="77777777" w:rsidR="005D372A" w:rsidRPr="00E0548A" w:rsidRDefault="005D372A" w:rsidP="005D372A">
            <w:pPr>
              <w:jc w:val="center"/>
              <w:rPr>
                <w:rFonts w:ascii="ＭＳ 明朝"/>
                <w:sz w:val="16"/>
                <w:szCs w:val="16"/>
              </w:rPr>
            </w:pPr>
          </w:p>
        </w:tc>
        <w:tc>
          <w:tcPr>
            <w:tcW w:w="259" w:type="pct"/>
            <w:tcBorders>
              <w:top w:val="single" w:sz="4" w:space="0" w:color="auto"/>
              <w:left w:val="single" w:sz="4" w:space="0" w:color="auto"/>
              <w:bottom w:val="single" w:sz="4" w:space="0" w:color="auto"/>
              <w:right w:val="single" w:sz="4" w:space="0" w:color="auto"/>
            </w:tcBorders>
            <w:vAlign w:val="center"/>
          </w:tcPr>
          <w:p w14:paraId="5897D68E" w14:textId="77777777" w:rsidR="005D372A" w:rsidRPr="00E0548A" w:rsidRDefault="005D372A" w:rsidP="005D372A">
            <w:pPr>
              <w:jc w:val="center"/>
              <w:rPr>
                <w:rFonts w:ascii="ＭＳ 明朝"/>
                <w:sz w:val="16"/>
                <w:szCs w:val="16"/>
              </w:rPr>
            </w:pPr>
          </w:p>
        </w:tc>
        <w:tc>
          <w:tcPr>
            <w:tcW w:w="211" w:type="pct"/>
            <w:tcBorders>
              <w:top w:val="single" w:sz="4" w:space="0" w:color="auto"/>
              <w:left w:val="single" w:sz="4" w:space="0" w:color="auto"/>
              <w:bottom w:val="single" w:sz="4" w:space="0" w:color="auto"/>
              <w:right w:val="single" w:sz="4" w:space="0" w:color="auto"/>
            </w:tcBorders>
            <w:shd w:val="clear" w:color="auto" w:fill="FFFFFF"/>
            <w:vAlign w:val="center"/>
          </w:tcPr>
          <w:p w14:paraId="540EF3CE" w14:textId="77777777" w:rsidR="005D372A" w:rsidRPr="00E0548A" w:rsidRDefault="005D372A" w:rsidP="005D372A">
            <w:pPr>
              <w:jc w:val="center"/>
              <w:rPr>
                <w:rFonts w:ascii="ＭＳ 明朝"/>
                <w:sz w:val="16"/>
                <w:szCs w:val="16"/>
              </w:rPr>
            </w:pPr>
          </w:p>
        </w:tc>
        <w:tc>
          <w:tcPr>
            <w:tcW w:w="226" w:type="pct"/>
            <w:tcBorders>
              <w:top w:val="single" w:sz="4" w:space="0" w:color="auto"/>
              <w:left w:val="single" w:sz="4" w:space="0" w:color="auto"/>
              <w:bottom w:val="single" w:sz="4" w:space="0" w:color="auto"/>
              <w:right w:val="single" w:sz="4" w:space="0" w:color="auto"/>
            </w:tcBorders>
            <w:shd w:val="clear" w:color="auto" w:fill="FFFFFF"/>
            <w:vAlign w:val="center"/>
          </w:tcPr>
          <w:p w14:paraId="5CAC0717" w14:textId="77777777" w:rsidR="005D372A" w:rsidRPr="00E0548A" w:rsidRDefault="005D372A" w:rsidP="005D372A">
            <w:pPr>
              <w:jc w:val="center"/>
              <w:rPr>
                <w:rFonts w:ascii="ＭＳ 明朝"/>
                <w:sz w:val="16"/>
                <w:szCs w:val="16"/>
              </w:rPr>
            </w:pPr>
            <w:r w:rsidRPr="00E0548A">
              <w:rPr>
                <w:rFonts w:ascii="ＭＳ 明朝" w:hint="eastAsia"/>
                <w:sz w:val="16"/>
                <w:szCs w:val="16"/>
              </w:rPr>
              <w:t>○</w:t>
            </w:r>
          </w:p>
        </w:tc>
        <w:tc>
          <w:tcPr>
            <w:tcW w:w="217" w:type="pct"/>
            <w:tcBorders>
              <w:top w:val="single" w:sz="4" w:space="0" w:color="auto"/>
              <w:left w:val="single" w:sz="4" w:space="0" w:color="auto"/>
              <w:bottom w:val="single" w:sz="4" w:space="0" w:color="auto"/>
              <w:right w:val="single" w:sz="4" w:space="0" w:color="auto"/>
            </w:tcBorders>
            <w:shd w:val="clear" w:color="auto" w:fill="FFFFFF"/>
            <w:vAlign w:val="center"/>
          </w:tcPr>
          <w:p w14:paraId="4E98F4B7" w14:textId="77777777" w:rsidR="005D372A" w:rsidRPr="00E0548A" w:rsidRDefault="005D372A" w:rsidP="005D372A">
            <w:pPr>
              <w:jc w:val="center"/>
              <w:rPr>
                <w:rFonts w:ascii="ＭＳ 明朝"/>
                <w:sz w:val="16"/>
                <w:szCs w:val="16"/>
              </w:rPr>
            </w:pPr>
          </w:p>
        </w:tc>
      </w:tr>
      <w:tr w:rsidR="001D6D10" w:rsidRPr="00E0548A" w14:paraId="0FA7CB93" w14:textId="77777777" w:rsidTr="008B4B2B">
        <w:trPr>
          <w:trHeight w:hRule="exact" w:val="334"/>
        </w:trPr>
        <w:tc>
          <w:tcPr>
            <w:tcW w:w="244" w:type="pct"/>
            <w:tcBorders>
              <w:top w:val="single" w:sz="4" w:space="0" w:color="auto"/>
              <w:left w:val="single" w:sz="4" w:space="0" w:color="auto"/>
              <w:bottom w:val="single" w:sz="4" w:space="0" w:color="auto"/>
              <w:right w:val="single" w:sz="4" w:space="0" w:color="auto"/>
            </w:tcBorders>
            <w:vAlign w:val="center"/>
          </w:tcPr>
          <w:p w14:paraId="2362660E" w14:textId="77777777" w:rsidR="005D372A" w:rsidRPr="00E0548A" w:rsidRDefault="005D372A" w:rsidP="005D372A">
            <w:pPr>
              <w:jc w:val="center"/>
              <w:rPr>
                <w:rFonts w:ascii="ＭＳ 明朝"/>
                <w:sz w:val="16"/>
                <w:szCs w:val="16"/>
              </w:rPr>
            </w:pPr>
            <w:r w:rsidRPr="00E0548A">
              <w:rPr>
                <w:rFonts w:ascii="ＭＳ 明朝" w:hint="eastAsia"/>
                <w:sz w:val="16"/>
                <w:szCs w:val="16"/>
              </w:rPr>
              <w:t>27</w:t>
            </w:r>
          </w:p>
        </w:tc>
        <w:tc>
          <w:tcPr>
            <w:tcW w:w="233" w:type="pct"/>
            <w:vMerge/>
            <w:tcBorders>
              <w:left w:val="single" w:sz="4" w:space="0" w:color="auto"/>
              <w:right w:val="single" w:sz="4" w:space="0" w:color="auto"/>
            </w:tcBorders>
            <w:vAlign w:val="center"/>
          </w:tcPr>
          <w:p w14:paraId="10F1EF78" w14:textId="77777777" w:rsidR="005D372A" w:rsidRPr="00E0548A" w:rsidRDefault="005D372A" w:rsidP="005D372A">
            <w:pPr>
              <w:jc w:val="center"/>
              <w:rPr>
                <w:rFonts w:ascii="ＭＳ 明朝"/>
                <w:sz w:val="16"/>
                <w:szCs w:val="16"/>
              </w:rPr>
            </w:pPr>
          </w:p>
        </w:tc>
        <w:tc>
          <w:tcPr>
            <w:tcW w:w="1110" w:type="pct"/>
            <w:tcBorders>
              <w:top w:val="single" w:sz="4" w:space="0" w:color="auto"/>
              <w:left w:val="single" w:sz="4" w:space="0" w:color="auto"/>
              <w:bottom w:val="single" w:sz="4" w:space="0" w:color="auto"/>
              <w:right w:val="single" w:sz="4" w:space="0" w:color="auto"/>
            </w:tcBorders>
            <w:vAlign w:val="center"/>
            <w:hideMark/>
          </w:tcPr>
          <w:p w14:paraId="2C7C93E7" w14:textId="040D5215" w:rsidR="005D372A" w:rsidRPr="00E0548A" w:rsidRDefault="005D372A" w:rsidP="00B35001">
            <w:pPr>
              <w:rPr>
                <w:rFonts w:ascii="ＭＳ 明朝"/>
                <w:sz w:val="12"/>
                <w:szCs w:val="12"/>
              </w:rPr>
            </w:pPr>
            <w:r w:rsidRPr="00E0548A">
              <w:rPr>
                <w:rFonts w:ascii="ＭＳ 明朝" w:hint="eastAsia"/>
                <w:sz w:val="12"/>
                <w:szCs w:val="12"/>
              </w:rPr>
              <w:t>事業</w:t>
            </w:r>
            <w:r w:rsidR="00C011F2" w:rsidRPr="00E0548A">
              <w:rPr>
                <w:rFonts w:ascii="ＭＳ 明朝" w:hint="eastAsia"/>
                <w:sz w:val="12"/>
                <w:szCs w:val="12"/>
              </w:rPr>
              <w:t>調整</w:t>
            </w:r>
            <w:r w:rsidRPr="00E0548A">
              <w:rPr>
                <w:rFonts w:ascii="ＭＳ 明朝" w:hint="eastAsia"/>
                <w:sz w:val="12"/>
                <w:szCs w:val="12"/>
              </w:rPr>
              <w:t>室</w:t>
            </w:r>
            <w:r w:rsidR="00520A4B" w:rsidRPr="00E0548A">
              <w:rPr>
                <w:rFonts w:ascii="ＭＳ 明朝" w:hint="eastAsia"/>
                <w:sz w:val="12"/>
                <w:szCs w:val="12"/>
              </w:rPr>
              <w:t>都市防災</w:t>
            </w:r>
            <w:r w:rsidRPr="00E0548A">
              <w:rPr>
                <w:rFonts w:ascii="ＭＳ 明朝" w:hint="eastAsia"/>
                <w:sz w:val="12"/>
                <w:szCs w:val="12"/>
              </w:rPr>
              <w:t>課参事</w:t>
            </w:r>
            <w:r w:rsidR="0053084D" w:rsidRPr="00E0548A">
              <w:rPr>
                <w:rFonts w:ascii="ＭＳ 明朝" w:hint="eastAsia"/>
                <w:sz w:val="12"/>
                <w:szCs w:val="12"/>
              </w:rPr>
              <w:t>(防災計画G長）</w:t>
            </w:r>
            <w:r w:rsidR="0053084D" w:rsidRPr="00E0548A">
              <w:rPr>
                <w:rFonts w:ascii="ＭＳ 明朝"/>
                <w:sz w:val="12"/>
                <w:szCs w:val="12"/>
              </w:rPr>
              <w:br/>
            </w:r>
            <w:r w:rsidR="0053084D" w:rsidRPr="00E0548A">
              <w:rPr>
                <w:rFonts w:ascii="ＭＳ 明朝"/>
                <w:sz w:val="12"/>
                <w:szCs w:val="12"/>
              </w:rPr>
              <w:br/>
            </w:r>
          </w:p>
        </w:tc>
        <w:tc>
          <w:tcPr>
            <w:tcW w:w="229" w:type="pct"/>
            <w:tcBorders>
              <w:top w:val="single" w:sz="4" w:space="0" w:color="auto"/>
              <w:left w:val="single" w:sz="4" w:space="0" w:color="auto"/>
              <w:bottom w:val="single" w:sz="4" w:space="0" w:color="auto"/>
              <w:right w:val="single" w:sz="4" w:space="0" w:color="auto"/>
            </w:tcBorders>
            <w:vAlign w:val="center"/>
            <w:hideMark/>
          </w:tcPr>
          <w:p w14:paraId="4242DF6E" w14:textId="77777777" w:rsidR="005D372A" w:rsidRPr="00E0548A" w:rsidRDefault="005D372A" w:rsidP="005D372A">
            <w:pPr>
              <w:jc w:val="center"/>
              <w:rPr>
                <w:rFonts w:ascii="ＭＳ 明朝"/>
                <w:sz w:val="16"/>
                <w:szCs w:val="16"/>
              </w:rPr>
            </w:pPr>
            <w:r w:rsidRPr="00E0548A">
              <w:rPr>
                <w:rFonts w:ascii="ＭＳ 明朝" w:hint="eastAsia"/>
                <w:sz w:val="16"/>
                <w:szCs w:val="16"/>
              </w:rPr>
              <w:t>○</w:t>
            </w:r>
          </w:p>
        </w:tc>
        <w:tc>
          <w:tcPr>
            <w:tcW w:w="229" w:type="pct"/>
            <w:tcBorders>
              <w:top w:val="single" w:sz="4" w:space="0" w:color="auto"/>
              <w:left w:val="single" w:sz="4" w:space="0" w:color="auto"/>
              <w:bottom w:val="single" w:sz="4" w:space="0" w:color="auto"/>
              <w:right w:val="single" w:sz="4" w:space="0" w:color="auto"/>
            </w:tcBorders>
            <w:vAlign w:val="center"/>
            <w:hideMark/>
          </w:tcPr>
          <w:p w14:paraId="1A8268FD" w14:textId="77777777" w:rsidR="005D372A" w:rsidRPr="00E0548A" w:rsidRDefault="005D372A" w:rsidP="005D372A">
            <w:pPr>
              <w:jc w:val="center"/>
              <w:rPr>
                <w:rFonts w:ascii="ＭＳ 明朝"/>
                <w:sz w:val="16"/>
                <w:szCs w:val="16"/>
              </w:rPr>
            </w:pPr>
            <w:r w:rsidRPr="00E0548A">
              <w:rPr>
                <w:rFonts w:ascii="ＭＳ 明朝" w:hint="eastAsia"/>
                <w:sz w:val="16"/>
                <w:szCs w:val="16"/>
              </w:rPr>
              <w:t>○</w:t>
            </w:r>
          </w:p>
        </w:tc>
        <w:tc>
          <w:tcPr>
            <w:tcW w:w="238" w:type="pct"/>
            <w:tcBorders>
              <w:top w:val="single" w:sz="4" w:space="0" w:color="auto"/>
              <w:left w:val="single" w:sz="4" w:space="0" w:color="auto"/>
              <w:bottom w:val="single" w:sz="4" w:space="0" w:color="auto"/>
              <w:right w:val="single" w:sz="4" w:space="0" w:color="auto"/>
            </w:tcBorders>
            <w:vAlign w:val="center"/>
            <w:hideMark/>
          </w:tcPr>
          <w:p w14:paraId="18026636" w14:textId="77777777" w:rsidR="005D372A" w:rsidRPr="00E0548A" w:rsidRDefault="005D372A" w:rsidP="005D372A">
            <w:pPr>
              <w:jc w:val="center"/>
              <w:rPr>
                <w:rFonts w:ascii="ＭＳ 明朝"/>
                <w:sz w:val="16"/>
                <w:szCs w:val="16"/>
              </w:rPr>
            </w:pPr>
            <w:r w:rsidRPr="00E0548A">
              <w:rPr>
                <w:rFonts w:ascii="ＭＳ 明朝" w:hint="eastAsia"/>
                <w:sz w:val="16"/>
                <w:szCs w:val="16"/>
              </w:rPr>
              <w:t>○</w:t>
            </w:r>
          </w:p>
        </w:tc>
        <w:tc>
          <w:tcPr>
            <w:tcW w:w="222" w:type="pct"/>
            <w:tcBorders>
              <w:top w:val="single" w:sz="4" w:space="0" w:color="auto"/>
              <w:left w:val="single" w:sz="4" w:space="0" w:color="auto"/>
              <w:bottom w:val="single" w:sz="4" w:space="0" w:color="auto"/>
              <w:right w:val="single" w:sz="4" w:space="0" w:color="auto"/>
            </w:tcBorders>
          </w:tcPr>
          <w:p w14:paraId="2F17F737" w14:textId="77777777" w:rsidR="005D372A" w:rsidRPr="00E0548A" w:rsidRDefault="005D372A" w:rsidP="005D372A">
            <w:pPr>
              <w:jc w:val="center"/>
              <w:rPr>
                <w:rFonts w:ascii="ＭＳ 明朝"/>
                <w:sz w:val="16"/>
                <w:szCs w:val="16"/>
              </w:rPr>
            </w:pPr>
            <w:r w:rsidRPr="00E0548A">
              <w:rPr>
                <w:rFonts w:ascii="ＭＳ 明朝" w:hint="eastAsia"/>
                <w:sz w:val="16"/>
                <w:szCs w:val="16"/>
              </w:rPr>
              <w:t>○</w:t>
            </w:r>
          </w:p>
        </w:tc>
        <w:tc>
          <w:tcPr>
            <w:tcW w:w="222" w:type="pct"/>
            <w:tcBorders>
              <w:top w:val="single" w:sz="4" w:space="0" w:color="auto"/>
              <w:left w:val="single" w:sz="4" w:space="0" w:color="auto"/>
              <w:bottom w:val="single" w:sz="4" w:space="0" w:color="auto"/>
              <w:right w:val="single" w:sz="4" w:space="0" w:color="auto"/>
            </w:tcBorders>
            <w:shd w:val="clear" w:color="auto" w:fill="FFFFFF"/>
            <w:vAlign w:val="center"/>
          </w:tcPr>
          <w:p w14:paraId="4573CB67" w14:textId="77777777" w:rsidR="005D372A" w:rsidRPr="00E0548A" w:rsidRDefault="005D372A" w:rsidP="005D372A">
            <w:pPr>
              <w:jc w:val="center"/>
              <w:rPr>
                <w:rFonts w:ascii="ＭＳ 明朝"/>
                <w:sz w:val="16"/>
                <w:szCs w:val="16"/>
              </w:rPr>
            </w:pPr>
          </w:p>
        </w:tc>
        <w:tc>
          <w:tcPr>
            <w:tcW w:w="220" w:type="pct"/>
            <w:tcBorders>
              <w:top w:val="single" w:sz="4" w:space="0" w:color="auto"/>
              <w:left w:val="single" w:sz="4" w:space="0" w:color="auto"/>
              <w:bottom w:val="single" w:sz="4" w:space="0" w:color="auto"/>
              <w:right w:val="single" w:sz="4" w:space="0" w:color="auto"/>
            </w:tcBorders>
            <w:vAlign w:val="center"/>
            <w:hideMark/>
          </w:tcPr>
          <w:p w14:paraId="064F00C5" w14:textId="7381EFAF" w:rsidR="005D372A" w:rsidRPr="00E0548A" w:rsidRDefault="00841447" w:rsidP="00841447">
            <w:pPr>
              <w:jc w:val="left"/>
              <w:rPr>
                <w:rFonts w:ascii="ＭＳ 明朝"/>
                <w:sz w:val="16"/>
                <w:szCs w:val="16"/>
              </w:rPr>
            </w:pPr>
            <w:r w:rsidRPr="00E0548A">
              <w:rPr>
                <w:rFonts w:ascii="ＭＳ 明朝" w:hint="eastAsia"/>
                <w:sz w:val="16"/>
                <w:szCs w:val="16"/>
              </w:rPr>
              <w:t xml:space="preserve">　　　</w:t>
            </w:r>
          </w:p>
        </w:tc>
        <w:tc>
          <w:tcPr>
            <w:tcW w:w="228" w:type="pct"/>
            <w:tcBorders>
              <w:top w:val="single" w:sz="4" w:space="0" w:color="auto"/>
              <w:left w:val="single" w:sz="4" w:space="0" w:color="auto"/>
              <w:bottom w:val="single" w:sz="4" w:space="0" w:color="auto"/>
              <w:right w:val="single" w:sz="4" w:space="0" w:color="auto"/>
            </w:tcBorders>
            <w:vAlign w:val="center"/>
          </w:tcPr>
          <w:p w14:paraId="1FDD2A95" w14:textId="77777777" w:rsidR="005D372A" w:rsidRPr="00E0548A" w:rsidRDefault="005D372A" w:rsidP="005D372A">
            <w:pPr>
              <w:jc w:val="center"/>
              <w:rPr>
                <w:rFonts w:ascii="ＭＳ 明朝"/>
                <w:sz w:val="16"/>
                <w:szCs w:val="16"/>
              </w:rPr>
            </w:pPr>
          </w:p>
        </w:tc>
        <w:tc>
          <w:tcPr>
            <w:tcW w:w="228" w:type="pct"/>
            <w:tcBorders>
              <w:top w:val="single" w:sz="4" w:space="0" w:color="auto"/>
              <w:left w:val="single" w:sz="4" w:space="0" w:color="auto"/>
              <w:bottom w:val="single" w:sz="4" w:space="0" w:color="auto"/>
              <w:right w:val="single" w:sz="4" w:space="0" w:color="auto"/>
            </w:tcBorders>
            <w:vAlign w:val="center"/>
            <w:hideMark/>
          </w:tcPr>
          <w:p w14:paraId="02B765A2" w14:textId="77777777" w:rsidR="005D372A" w:rsidRPr="00E0548A" w:rsidRDefault="005D372A" w:rsidP="005D372A">
            <w:pPr>
              <w:jc w:val="center"/>
              <w:rPr>
                <w:rFonts w:ascii="ＭＳ 明朝"/>
                <w:sz w:val="16"/>
                <w:szCs w:val="16"/>
              </w:rPr>
            </w:pPr>
            <w:r w:rsidRPr="00E0548A">
              <w:rPr>
                <w:rFonts w:ascii="ＭＳ 明朝" w:hint="eastAsia"/>
                <w:sz w:val="16"/>
                <w:szCs w:val="16"/>
              </w:rPr>
              <w:t>○</w:t>
            </w:r>
          </w:p>
        </w:tc>
        <w:tc>
          <w:tcPr>
            <w:tcW w:w="228" w:type="pct"/>
            <w:tcBorders>
              <w:top w:val="single" w:sz="4" w:space="0" w:color="auto"/>
              <w:left w:val="single" w:sz="4" w:space="0" w:color="auto"/>
              <w:bottom w:val="single" w:sz="4" w:space="0" w:color="auto"/>
              <w:right w:val="single" w:sz="4" w:space="0" w:color="auto"/>
            </w:tcBorders>
            <w:vAlign w:val="center"/>
            <w:hideMark/>
          </w:tcPr>
          <w:p w14:paraId="50C2A09D" w14:textId="77777777" w:rsidR="005D372A" w:rsidRPr="00E0548A" w:rsidRDefault="005D372A" w:rsidP="005D372A">
            <w:pPr>
              <w:jc w:val="center"/>
              <w:rPr>
                <w:rFonts w:ascii="ＭＳ 明朝"/>
                <w:sz w:val="16"/>
                <w:szCs w:val="16"/>
              </w:rPr>
            </w:pPr>
            <w:r w:rsidRPr="00E0548A">
              <w:rPr>
                <w:rFonts w:ascii="ＭＳ 明朝" w:hint="eastAsia"/>
                <w:sz w:val="16"/>
                <w:szCs w:val="16"/>
              </w:rPr>
              <w:t>○</w:t>
            </w:r>
          </w:p>
        </w:tc>
        <w:tc>
          <w:tcPr>
            <w:tcW w:w="228" w:type="pct"/>
            <w:tcBorders>
              <w:top w:val="single" w:sz="4" w:space="0" w:color="auto"/>
              <w:left w:val="single" w:sz="4" w:space="0" w:color="auto"/>
              <w:bottom w:val="single" w:sz="4" w:space="0" w:color="auto"/>
              <w:right w:val="single" w:sz="4" w:space="0" w:color="auto"/>
            </w:tcBorders>
            <w:vAlign w:val="center"/>
          </w:tcPr>
          <w:p w14:paraId="559879AF" w14:textId="77777777" w:rsidR="005D372A" w:rsidRPr="00E0548A" w:rsidRDefault="005D372A" w:rsidP="005D372A">
            <w:pPr>
              <w:jc w:val="center"/>
              <w:rPr>
                <w:rFonts w:ascii="ＭＳ 明朝"/>
                <w:sz w:val="16"/>
                <w:szCs w:val="16"/>
              </w:rPr>
            </w:pPr>
          </w:p>
        </w:tc>
        <w:tc>
          <w:tcPr>
            <w:tcW w:w="228" w:type="pct"/>
            <w:tcBorders>
              <w:top w:val="single" w:sz="4" w:space="0" w:color="auto"/>
              <w:left w:val="single" w:sz="4" w:space="0" w:color="auto"/>
              <w:bottom w:val="single" w:sz="4" w:space="0" w:color="auto"/>
              <w:right w:val="single" w:sz="4" w:space="0" w:color="auto"/>
            </w:tcBorders>
            <w:vAlign w:val="center"/>
          </w:tcPr>
          <w:p w14:paraId="55810677" w14:textId="77777777" w:rsidR="005D372A" w:rsidRPr="00E0548A" w:rsidRDefault="005D372A" w:rsidP="005D372A">
            <w:pPr>
              <w:jc w:val="center"/>
              <w:rPr>
                <w:rFonts w:ascii="ＭＳ 明朝"/>
                <w:sz w:val="16"/>
                <w:szCs w:val="16"/>
              </w:rPr>
            </w:pPr>
          </w:p>
        </w:tc>
        <w:tc>
          <w:tcPr>
            <w:tcW w:w="259" w:type="pct"/>
            <w:tcBorders>
              <w:top w:val="single" w:sz="4" w:space="0" w:color="auto"/>
              <w:left w:val="single" w:sz="4" w:space="0" w:color="auto"/>
              <w:bottom w:val="single" w:sz="4" w:space="0" w:color="auto"/>
              <w:right w:val="single" w:sz="4" w:space="0" w:color="auto"/>
            </w:tcBorders>
            <w:vAlign w:val="center"/>
          </w:tcPr>
          <w:p w14:paraId="51E1DF8B" w14:textId="77777777" w:rsidR="005D372A" w:rsidRPr="00E0548A" w:rsidRDefault="005D372A" w:rsidP="005D372A">
            <w:pPr>
              <w:jc w:val="center"/>
              <w:rPr>
                <w:rFonts w:ascii="ＭＳ 明朝"/>
                <w:sz w:val="16"/>
                <w:szCs w:val="16"/>
              </w:rPr>
            </w:pPr>
          </w:p>
        </w:tc>
        <w:tc>
          <w:tcPr>
            <w:tcW w:w="211" w:type="pct"/>
            <w:tcBorders>
              <w:top w:val="single" w:sz="4" w:space="0" w:color="auto"/>
              <w:left w:val="single" w:sz="4" w:space="0" w:color="auto"/>
              <w:bottom w:val="single" w:sz="4" w:space="0" w:color="auto"/>
              <w:right w:val="single" w:sz="4" w:space="0" w:color="auto"/>
            </w:tcBorders>
            <w:shd w:val="clear" w:color="auto" w:fill="FFFFFF"/>
            <w:vAlign w:val="center"/>
          </w:tcPr>
          <w:p w14:paraId="6149A8F1" w14:textId="77777777" w:rsidR="005D372A" w:rsidRPr="00E0548A" w:rsidRDefault="005D372A" w:rsidP="005D372A">
            <w:pPr>
              <w:jc w:val="center"/>
              <w:rPr>
                <w:rFonts w:ascii="ＭＳ 明朝"/>
                <w:sz w:val="16"/>
                <w:szCs w:val="16"/>
              </w:rPr>
            </w:pPr>
          </w:p>
        </w:tc>
        <w:tc>
          <w:tcPr>
            <w:tcW w:w="226" w:type="pct"/>
            <w:tcBorders>
              <w:top w:val="single" w:sz="4" w:space="0" w:color="auto"/>
              <w:left w:val="single" w:sz="4" w:space="0" w:color="auto"/>
              <w:bottom w:val="single" w:sz="4" w:space="0" w:color="auto"/>
              <w:right w:val="single" w:sz="4" w:space="0" w:color="auto"/>
            </w:tcBorders>
            <w:shd w:val="clear" w:color="auto" w:fill="FFFFFF"/>
            <w:vAlign w:val="center"/>
          </w:tcPr>
          <w:p w14:paraId="61E31066" w14:textId="77777777" w:rsidR="005D372A" w:rsidRPr="00E0548A" w:rsidRDefault="005D372A" w:rsidP="005D372A">
            <w:pPr>
              <w:jc w:val="center"/>
              <w:rPr>
                <w:rFonts w:ascii="ＭＳ 明朝"/>
                <w:sz w:val="16"/>
                <w:szCs w:val="16"/>
              </w:rPr>
            </w:pPr>
          </w:p>
        </w:tc>
        <w:tc>
          <w:tcPr>
            <w:tcW w:w="217" w:type="pct"/>
            <w:tcBorders>
              <w:top w:val="single" w:sz="4" w:space="0" w:color="auto"/>
              <w:left w:val="single" w:sz="4" w:space="0" w:color="auto"/>
              <w:bottom w:val="single" w:sz="4" w:space="0" w:color="auto"/>
              <w:right w:val="single" w:sz="4" w:space="0" w:color="auto"/>
            </w:tcBorders>
            <w:shd w:val="clear" w:color="auto" w:fill="FFFFFF"/>
            <w:vAlign w:val="center"/>
          </w:tcPr>
          <w:p w14:paraId="5EF8F3A4" w14:textId="77777777" w:rsidR="005D372A" w:rsidRPr="00E0548A" w:rsidRDefault="005D372A" w:rsidP="005D372A">
            <w:pPr>
              <w:jc w:val="center"/>
              <w:rPr>
                <w:rFonts w:ascii="ＭＳ 明朝"/>
                <w:sz w:val="16"/>
                <w:szCs w:val="16"/>
              </w:rPr>
            </w:pPr>
          </w:p>
        </w:tc>
      </w:tr>
      <w:tr w:rsidR="001D6D10" w:rsidRPr="00E0548A" w14:paraId="7A1A5589" w14:textId="77777777" w:rsidTr="008B4B2B">
        <w:trPr>
          <w:trHeight w:hRule="exact" w:val="334"/>
        </w:trPr>
        <w:tc>
          <w:tcPr>
            <w:tcW w:w="244" w:type="pct"/>
            <w:tcBorders>
              <w:top w:val="single" w:sz="4" w:space="0" w:color="auto"/>
              <w:left w:val="single" w:sz="4" w:space="0" w:color="auto"/>
              <w:bottom w:val="single" w:sz="4" w:space="0" w:color="auto"/>
              <w:right w:val="single" w:sz="4" w:space="0" w:color="auto"/>
            </w:tcBorders>
            <w:vAlign w:val="center"/>
          </w:tcPr>
          <w:p w14:paraId="33397695" w14:textId="77777777" w:rsidR="005D372A" w:rsidRPr="00E0548A" w:rsidRDefault="005D372A" w:rsidP="005D372A">
            <w:pPr>
              <w:jc w:val="center"/>
              <w:rPr>
                <w:rFonts w:ascii="ＭＳ 明朝"/>
                <w:sz w:val="16"/>
                <w:szCs w:val="16"/>
              </w:rPr>
            </w:pPr>
            <w:r w:rsidRPr="00E0548A">
              <w:rPr>
                <w:rFonts w:ascii="ＭＳ 明朝" w:hint="eastAsia"/>
                <w:sz w:val="16"/>
                <w:szCs w:val="16"/>
              </w:rPr>
              <w:t>28</w:t>
            </w:r>
          </w:p>
        </w:tc>
        <w:tc>
          <w:tcPr>
            <w:tcW w:w="233" w:type="pct"/>
            <w:vMerge/>
            <w:tcBorders>
              <w:left w:val="single" w:sz="4" w:space="0" w:color="auto"/>
              <w:right w:val="single" w:sz="4" w:space="0" w:color="auto"/>
            </w:tcBorders>
            <w:vAlign w:val="center"/>
          </w:tcPr>
          <w:p w14:paraId="3E87041A" w14:textId="77777777" w:rsidR="005D372A" w:rsidRPr="00E0548A" w:rsidRDefault="005D372A" w:rsidP="005D372A">
            <w:pPr>
              <w:jc w:val="center"/>
              <w:rPr>
                <w:rFonts w:ascii="ＭＳ 明朝"/>
                <w:sz w:val="16"/>
                <w:szCs w:val="16"/>
              </w:rPr>
            </w:pPr>
          </w:p>
        </w:tc>
        <w:tc>
          <w:tcPr>
            <w:tcW w:w="1110" w:type="pct"/>
            <w:tcBorders>
              <w:top w:val="single" w:sz="4" w:space="0" w:color="auto"/>
              <w:left w:val="single" w:sz="4" w:space="0" w:color="auto"/>
              <w:bottom w:val="single" w:sz="4" w:space="0" w:color="auto"/>
              <w:right w:val="single" w:sz="4" w:space="0" w:color="auto"/>
            </w:tcBorders>
            <w:vAlign w:val="center"/>
            <w:hideMark/>
          </w:tcPr>
          <w:p w14:paraId="5CB52858" w14:textId="42015409" w:rsidR="005D372A" w:rsidRPr="00E0548A" w:rsidRDefault="00225795" w:rsidP="005D372A">
            <w:pPr>
              <w:rPr>
                <w:rFonts w:ascii="ＭＳ 明朝"/>
                <w:sz w:val="16"/>
                <w:szCs w:val="16"/>
              </w:rPr>
            </w:pPr>
            <w:r w:rsidRPr="00E0548A">
              <w:rPr>
                <w:rFonts w:ascii="ＭＳ 明朝" w:hint="eastAsia"/>
                <w:sz w:val="16"/>
                <w:szCs w:val="16"/>
              </w:rPr>
              <w:t>道路室</w:t>
            </w:r>
            <w:r w:rsidR="005D372A" w:rsidRPr="00E0548A">
              <w:rPr>
                <w:rFonts w:ascii="ＭＳ 明朝" w:hint="eastAsia"/>
                <w:sz w:val="16"/>
                <w:szCs w:val="16"/>
              </w:rPr>
              <w:t>道路環境課長</w:t>
            </w:r>
          </w:p>
        </w:tc>
        <w:tc>
          <w:tcPr>
            <w:tcW w:w="229" w:type="pct"/>
            <w:tcBorders>
              <w:top w:val="single" w:sz="4" w:space="0" w:color="auto"/>
              <w:left w:val="single" w:sz="4" w:space="0" w:color="auto"/>
              <w:bottom w:val="single" w:sz="4" w:space="0" w:color="auto"/>
              <w:right w:val="single" w:sz="4" w:space="0" w:color="auto"/>
            </w:tcBorders>
            <w:vAlign w:val="center"/>
            <w:hideMark/>
          </w:tcPr>
          <w:p w14:paraId="2CD99C13" w14:textId="77777777" w:rsidR="005D372A" w:rsidRPr="00E0548A" w:rsidRDefault="005D372A" w:rsidP="005D372A">
            <w:pPr>
              <w:jc w:val="center"/>
              <w:rPr>
                <w:rFonts w:ascii="ＭＳ 明朝"/>
                <w:sz w:val="16"/>
                <w:szCs w:val="16"/>
              </w:rPr>
            </w:pPr>
            <w:r w:rsidRPr="00E0548A">
              <w:rPr>
                <w:rFonts w:ascii="ＭＳ 明朝" w:hint="eastAsia"/>
                <w:sz w:val="16"/>
                <w:szCs w:val="16"/>
              </w:rPr>
              <w:t>○</w:t>
            </w:r>
          </w:p>
        </w:tc>
        <w:tc>
          <w:tcPr>
            <w:tcW w:w="229" w:type="pct"/>
            <w:tcBorders>
              <w:top w:val="single" w:sz="4" w:space="0" w:color="auto"/>
              <w:left w:val="single" w:sz="4" w:space="0" w:color="auto"/>
              <w:bottom w:val="single" w:sz="4" w:space="0" w:color="auto"/>
              <w:right w:val="single" w:sz="4" w:space="0" w:color="auto"/>
            </w:tcBorders>
            <w:vAlign w:val="center"/>
            <w:hideMark/>
          </w:tcPr>
          <w:p w14:paraId="33455228" w14:textId="77777777" w:rsidR="005D372A" w:rsidRPr="00E0548A" w:rsidRDefault="005D372A" w:rsidP="005D372A">
            <w:pPr>
              <w:jc w:val="center"/>
              <w:rPr>
                <w:rFonts w:ascii="ＭＳ 明朝"/>
                <w:sz w:val="16"/>
                <w:szCs w:val="16"/>
              </w:rPr>
            </w:pPr>
            <w:r w:rsidRPr="00E0548A">
              <w:rPr>
                <w:rFonts w:ascii="ＭＳ 明朝" w:hint="eastAsia"/>
                <w:sz w:val="16"/>
                <w:szCs w:val="16"/>
              </w:rPr>
              <w:t>○</w:t>
            </w:r>
          </w:p>
        </w:tc>
        <w:tc>
          <w:tcPr>
            <w:tcW w:w="238" w:type="pct"/>
            <w:tcBorders>
              <w:top w:val="single" w:sz="4" w:space="0" w:color="auto"/>
              <w:left w:val="single" w:sz="4" w:space="0" w:color="auto"/>
              <w:bottom w:val="single" w:sz="4" w:space="0" w:color="auto"/>
              <w:right w:val="single" w:sz="4" w:space="0" w:color="auto"/>
            </w:tcBorders>
            <w:vAlign w:val="center"/>
            <w:hideMark/>
          </w:tcPr>
          <w:p w14:paraId="056D866D" w14:textId="77777777" w:rsidR="005D372A" w:rsidRPr="00E0548A" w:rsidRDefault="005D372A" w:rsidP="005D372A">
            <w:pPr>
              <w:jc w:val="center"/>
              <w:rPr>
                <w:rFonts w:ascii="ＭＳ 明朝"/>
                <w:sz w:val="16"/>
                <w:szCs w:val="16"/>
              </w:rPr>
            </w:pPr>
            <w:r w:rsidRPr="00E0548A">
              <w:rPr>
                <w:rFonts w:ascii="ＭＳ 明朝" w:hint="eastAsia"/>
                <w:sz w:val="16"/>
                <w:szCs w:val="16"/>
              </w:rPr>
              <w:t>○</w:t>
            </w:r>
          </w:p>
        </w:tc>
        <w:tc>
          <w:tcPr>
            <w:tcW w:w="222" w:type="pct"/>
            <w:tcBorders>
              <w:top w:val="single" w:sz="4" w:space="0" w:color="auto"/>
              <w:left w:val="single" w:sz="4" w:space="0" w:color="auto"/>
              <w:bottom w:val="single" w:sz="4" w:space="0" w:color="auto"/>
              <w:right w:val="single" w:sz="4" w:space="0" w:color="auto"/>
            </w:tcBorders>
          </w:tcPr>
          <w:p w14:paraId="55CAB86C" w14:textId="77777777" w:rsidR="005D372A" w:rsidRPr="00E0548A" w:rsidRDefault="005D372A" w:rsidP="005D372A">
            <w:pPr>
              <w:jc w:val="center"/>
              <w:rPr>
                <w:rFonts w:ascii="ＭＳ 明朝"/>
                <w:sz w:val="16"/>
                <w:szCs w:val="16"/>
              </w:rPr>
            </w:pPr>
            <w:r w:rsidRPr="00E0548A">
              <w:rPr>
                <w:rFonts w:ascii="ＭＳ 明朝" w:hint="eastAsia"/>
                <w:sz w:val="16"/>
                <w:szCs w:val="16"/>
              </w:rPr>
              <w:t>○</w:t>
            </w:r>
          </w:p>
        </w:tc>
        <w:tc>
          <w:tcPr>
            <w:tcW w:w="222" w:type="pct"/>
            <w:tcBorders>
              <w:top w:val="single" w:sz="4" w:space="0" w:color="auto"/>
              <w:left w:val="single" w:sz="4" w:space="0" w:color="auto"/>
              <w:bottom w:val="single" w:sz="4" w:space="0" w:color="auto"/>
              <w:right w:val="single" w:sz="4" w:space="0" w:color="auto"/>
            </w:tcBorders>
            <w:shd w:val="clear" w:color="auto" w:fill="FFFFFF"/>
            <w:vAlign w:val="center"/>
          </w:tcPr>
          <w:p w14:paraId="5D11E33F" w14:textId="77777777" w:rsidR="005D372A" w:rsidRPr="00E0548A" w:rsidRDefault="005D372A" w:rsidP="005D372A">
            <w:pPr>
              <w:jc w:val="center"/>
              <w:rPr>
                <w:rFonts w:ascii="ＭＳ 明朝"/>
                <w:sz w:val="16"/>
                <w:szCs w:val="16"/>
              </w:rPr>
            </w:pPr>
          </w:p>
        </w:tc>
        <w:tc>
          <w:tcPr>
            <w:tcW w:w="220" w:type="pct"/>
            <w:tcBorders>
              <w:top w:val="single" w:sz="4" w:space="0" w:color="auto"/>
              <w:left w:val="single" w:sz="4" w:space="0" w:color="auto"/>
              <w:bottom w:val="single" w:sz="4" w:space="0" w:color="auto"/>
              <w:right w:val="single" w:sz="4" w:space="0" w:color="auto"/>
            </w:tcBorders>
            <w:vAlign w:val="center"/>
          </w:tcPr>
          <w:p w14:paraId="1247C3D4" w14:textId="77777777" w:rsidR="005D372A" w:rsidRPr="00E0548A" w:rsidRDefault="005D372A" w:rsidP="005D372A">
            <w:pPr>
              <w:jc w:val="center"/>
              <w:rPr>
                <w:rFonts w:ascii="ＭＳ 明朝"/>
                <w:sz w:val="16"/>
                <w:szCs w:val="16"/>
              </w:rPr>
            </w:pPr>
          </w:p>
        </w:tc>
        <w:tc>
          <w:tcPr>
            <w:tcW w:w="228" w:type="pct"/>
            <w:tcBorders>
              <w:top w:val="single" w:sz="4" w:space="0" w:color="auto"/>
              <w:left w:val="single" w:sz="4" w:space="0" w:color="auto"/>
              <w:bottom w:val="single" w:sz="4" w:space="0" w:color="auto"/>
              <w:right w:val="single" w:sz="4" w:space="0" w:color="auto"/>
            </w:tcBorders>
            <w:vAlign w:val="center"/>
          </w:tcPr>
          <w:p w14:paraId="66304A9E" w14:textId="77777777" w:rsidR="005D372A" w:rsidRPr="00E0548A" w:rsidRDefault="005D372A" w:rsidP="005D372A">
            <w:pPr>
              <w:jc w:val="center"/>
              <w:rPr>
                <w:rFonts w:ascii="ＭＳ 明朝"/>
                <w:sz w:val="16"/>
                <w:szCs w:val="16"/>
              </w:rPr>
            </w:pPr>
          </w:p>
        </w:tc>
        <w:tc>
          <w:tcPr>
            <w:tcW w:w="228" w:type="pct"/>
            <w:tcBorders>
              <w:top w:val="single" w:sz="4" w:space="0" w:color="auto"/>
              <w:left w:val="single" w:sz="4" w:space="0" w:color="auto"/>
              <w:bottom w:val="single" w:sz="4" w:space="0" w:color="auto"/>
              <w:right w:val="single" w:sz="4" w:space="0" w:color="auto"/>
            </w:tcBorders>
            <w:vAlign w:val="center"/>
            <w:hideMark/>
          </w:tcPr>
          <w:p w14:paraId="65AB8ED9" w14:textId="77777777" w:rsidR="005D372A" w:rsidRPr="00E0548A" w:rsidRDefault="005D372A" w:rsidP="005D372A">
            <w:pPr>
              <w:jc w:val="center"/>
              <w:rPr>
                <w:rFonts w:ascii="ＭＳ 明朝"/>
                <w:sz w:val="16"/>
                <w:szCs w:val="16"/>
              </w:rPr>
            </w:pPr>
            <w:r w:rsidRPr="00E0548A">
              <w:rPr>
                <w:rFonts w:ascii="ＭＳ 明朝" w:hint="eastAsia"/>
                <w:sz w:val="16"/>
                <w:szCs w:val="16"/>
              </w:rPr>
              <w:t>○</w:t>
            </w:r>
          </w:p>
        </w:tc>
        <w:tc>
          <w:tcPr>
            <w:tcW w:w="228" w:type="pct"/>
            <w:tcBorders>
              <w:top w:val="single" w:sz="4" w:space="0" w:color="auto"/>
              <w:left w:val="single" w:sz="4" w:space="0" w:color="auto"/>
              <w:bottom w:val="single" w:sz="4" w:space="0" w:color="auto"/>
              <w:right w:val="single" w:sz="4" w:space="0" w:color="auto"/>
            </w:tcBorders>
            <w:vAlign w:val="center"/>
            <w:hideMark/>
          </w:tcPr>
          <w:p w14:paraId="019419EA" w14:textId="77777777" w:rsidR="005D372A" w:rsidRPr="00E0548A" w:rsidRDefault="005D372A" w:rsidP="005D372A">
            <w:pPr>
              <w:jc w:val="center"/>
              <w:rPr>
                <w:rFonts w:ascii="ＭＳ 明朝"/>
                <w:sz w:val="16"/>
                <w:szCs w:val="16"/>
              </w:rPr>
            </w:pPr>
            <w:r w:rsidRPr="00E0548A">
              <w:rPr>
                <w:rFonts w:ascii="ＭＳ 明朝" w:hint="eastAsia"/>
                <w:sz w:val="16"/>
                <w:szCs w:val="16"/>
              </w:rPr>
              <w:t>○</w:t>
            </w:r>
          </w:p>
        </w:tc>
        <w:tc>
          <w:tcPr>
            <w:tcW w:w="228" w:type="pct"/>
            <w:tcBorders>
              <w:top w:val="single" w:sz="4" w:space="0" w:color="auto"/>
              <w:left w:val="single" w:sz="4" w:space="0" w:color="auto"/>
              <w:bottom w:val="single" w:sz="4" w:space="0" w:color="auto"/>
              <w:right w:val="single" w:sz="4" w:space="0" w:color="auto"/>
            </w:tcBorders>
            <w:vAlign w:val="center"/>
          </w:tcPr>
          <w:p w14:paraId="29B2DBE2" w14:textId="77777777" w:rsidR="005D372A" w:rsidRPr="00E0548A" w:rsidRDefault="005D372A" w:rsidP="005D372A">
            <w:pPr>
              <w:jc w:val="center"/>
              <w:rPr>
                <w:rFonts w:ascii="ＭＳ 明朝"/>
                <w:sz w:val="16"/>
                <w:szCs w:val="16"/>
              </w:rPr>
            </w:pPr>
          </w:p>
        </w:tc>
        <w:tc>
          <w:tcPr>
            <w:tcW w:w="228" w:type="pct"/>
            <w:tcBorders>
              <w:top w:val="single" w:sz="4" w:space="0" w:color="auto"/>
              <w:left w:val="single" w:sz="4" w:space="0" w:color="auto"/>
              <w:bottom w:val="single" w:sz="4" w:space="0" w:color="auto"/>
              <w:right w:val="single" w:sz="4" w:space="0" w:color="auto"/>
            </w:tcBorders>
            <w:vAlign w:val="center"/>
          </w:tcPr>
          <w:p w14:paraId="4DAA3795" w14:textId="77777777" w:rsidR="005D372A" w:rsidRPr="00E0548A" w:rsidRDefault="005D372A" w:rsidP="005D372A">
            <w:pPr>
              <w:jc w:val="center"/>
              <w:rPr>
                <w:rFonts w:ascii="ＭＳ 明朝"/>
                <w:sz w:val="16"/>
                <w:szCs w:val="16"/>
              </w:rPr>
            </w:pPr>
          </w:p>
        </w:tc>
        <w:tc>
          <w:tcPr>
            <w:tcW w:w="259" w:type="pct"/>
            <w:tcBorders>
              <w:top w:val="single" w:sz="4" w:space="0" w:color="auto"/>
              <w:left w:val="single" w:sz="4" w:space="0" w:color="auto"/>
              <w:bottom w:val="single" w:sz="4" w:space="0" w:color="auto"/>
              <w:right w:val="single" w:sz="4" w:space="0" w:color="auto"/>
            </w:tcBorders>
            <w:vAlign w:val="center"/>
          </w:tcPr>
          <w:p w14:paraId="1623233D" w14:textId="77777777" w:rsidR="005D372A" w:rsidRPr="00E0548A" w:rsidRDefault="005D372A" w:rsidP="005D372A">
            <w:pPr>
              <w:jc w:val="center"/>
              <w:rPr>
                <w:rFonts w:ascii="ＭＳ 明朝"/>
                <w:sz w:val="16"/>
                <w:szCs w:val="16"/>
              </w:rPr>
            </w:pPr>
          </w:p>
        </w:tc>
        <w:tc>
          <w:tcPr>
            <w:tcW w:w="211" w:type="pct"/>
            <w:tcBorders>
              <w:top w:val="single" w:sz="4" w:space="0" w:color="auto"/>
              <w:left w:val="single" w:sz="4" w:space="0" w:color="auto"/>
              <w:bottom w:val="single" w:sz="4" w:space="0" w:color="auto"/>
              <w:right w:val="single" w:sz="4" w:space="0" w:color="auto"/>
            </w:tcBorders>
            <w:shd w:val="clear" w:color="auto" w:fill="FFFFFF"/>
            <w:vAlign w:val="center"/>
          </w:tcPr>
          <w:p w14:paraId="5D0B9DB2" w14:textId="77777777" w:rsidR="005D372A" w:rsidRPr="00E0548A" w:rsidRDefault="005D372A" w:rsidP="005D372A">
            <w:pPr>
              <w:jc w:val="center"/>
              <w:rPr>
                <w:rFonts w:ascii="ＭＳ 明朝"/>
                <w:sz w:val="16"/>
                <w:szCs w:val="16"/>
              </w:rPr>
            </w:pPr>
          </w:p>
        </w:tc>
        <w:tc>
          <w:tcPr>
            <w:tcW w:w="226" w:type="pct"/>
            <w:tcBorders>
              <w:top w:val="single" w:sz="4" w:space="0" w:color="auto"/>
              <w:left w:val="single" w:sz="4" w:space="0" w:color="auto"/>
              <w:bottom w:val="single" w:sz="4" w:space="0" w:color="auto"/>
              <w:right w:val="single" w:sz="4" w:space="0" w:color="auto"/>
            </w:tcBorders>
            <w:shd w:val="clear" w:color="auto" w:fill="FFFFFF"/>
            <w:vAlign w:val="center"/>
          </w:tcPr>
          <w:p w14:paraId="21AD9AE5" w14:textId="77777777" w:rsidR="005D372A" w:rsidRPr="00E0548A" w:rsidRDefault="005D372A" w:rsidP="005D372A">
            <w:pPr>
              <w:jc w:val="center"/>
              <w:rPr>
                <w:rFonts w:ascii="ＭＳ 明朝"/>
                <w:sz w:val="16"/>
                <w:szCs w:val="16"/>
              </w:rPr>
            </w:pPr>
            <w:r w:rsidRPr="00E0548A">
              <w:rPr>
                <w:rFonts w:ascii="ＭＳ 明朝" w:hint="eastAsia"/>
                <w:sz w:val="16"/>
                <w:szCs w:val="16"/>
              </w:rPr>
              <w:t>○</w:t>
            </w:r>
          </w:p>
        </w:tc>
        <w:tc>
          <w:tcPr>
            <w:tcW w:w="217" w:type="pct"/>
            <w:tcBorders>
              <w:top w:val="single" w:sz="4" w:space="0" w:color="auto"/>
              <w:left w:val="single" w:sz="4" w:space="0" w:color="auto"/>
              <w:bottom w:val="single" w:sz="4" w:space="0" w:color="auto"/>
              <w:right w:val="single" w:sz="4" w:space="0" w:color="auto"/>
            </w:tcBorders>
            <w:shd w:val="clear" w:color="auto" w:fill="FFFFFF"/>
            <w:vAlign w:val="center"/>
          </w:tcPr>
          <w:p w14:paraId="1C1C05E1" w14:textId="77777777" w:rsidR="005D372A" w:rsidRPr="00E0548A" w:rsidRDefault="005D372A" w:rsidP="005D372A">
            <w:pPr>
              <w:jc w:val="center"/>
              <w:rPr>
                <w:rFonts w:ascii="ＭＳ 明朝"/>
                <w:sz w:val="16"/>
                <w:szCs w:val="16"/>
              </w:rPr>
            </w:pPr>
          </w:p>
        </w:tc>
      </w:tr>
      <w:tr w:rsidR="001D6D10" w:rsidRPr="00E0548A" w14:paraId="3241AC9A" w14:textId="77777777" w:rsidTr="008B4B2B">
        <w:trPr>
          <w:trHeight w:hRule="exact" w:val="334"/>
        </w:trPr>
        <w:tc>
          <w:tcPr>
            <w:tcW w:w="244" w:type="pct"/>
            <w:tcBorders>
              <w:top w:val="single" w:sz="4" w:space="0" w:color="auto"/>
              <w:left w:val="single" w:sz="4" w:space="0" w:color="auto"/>
              <w:bottom w:val="single" w:sz="4" w:space="0" w:color="auto"/>
              <w:right w:val="single" w:sz="4" w:space="0" w:color="auto"/>
            </w:tcBorders>
            <w:vAlign w:val="center"/>
          </w:tcPr>
          <w:p w14:paraId="5F506FF0" w14:textId="77777777" w:rsidR="005D372A" w:rsidRPr="00E0548A" w:rsidRDefault="005D372A" w:rsidP="005D372A">
            <w:pPr>
              <w:jc w:val="center"/>
              <w:rPr>
                <w:rFonts w:ascii="ＭＳ 明朝"/>
                <w:sz w:val="16"/>
                <w:szCs w:val="16"/>
              </w:rPr>
            </w:pPr>
            <w:r w:rsidRPr="00E0548A">
              <w:rPr>
                <w:rFonts w:ascii="ＭＳ 明朝" w:hint="eastAsia"/>
                <w:sz w:val="16"/>
                <w:szCs w:val="16"/>
              </w:rPr>
              <w:t>29</w:t>
            </w:r>
          </w:p>
        </w:tc>
        <w:tc>
          <w:tcPr>
            <w:tcW w:w="233" w:type="pct"/>
            <w:vMerge/>
            <w:tcBorders>
              <w:left w:val="single" w:sz="4" w:space="0" w:color="auto"/>
              <w:right w:val="single" w:sz="4" w:space="0" w:color="auto"/>
            </w:tcBorders>
            <w:vAlign w:val="center"/>
          </w:tcPr>
          <w:p w14:paraId="2BE33E1A" w14:textId="77777777" w:rsidR="005D372A" w:rsidRPr="00E0548A" w:rsidRDefault="005D372A" w:rsidP="005D372A">
            <w:pPr>
              <w:jc w:val="center"/>
              <w:rPr>
                <w:rFonts w:ascii="ＭＳ 明朝"/>
                <w:sz w:val="16"/>
                <w:szCs w:val="16"/>
              </w:rPr>
            </w:pPr>
          </w:p>
        </w:tc>
        <w:tc>
          <w:tcPr>
            <w:tcW w:w="1110" w:type="pct"/>
            <w:tcBorders>
              <w:top w:val="single" w:sz="4" w:space="0" w:color="auto"/>
              <w:left w:val="single" w:sz="4" w:space="0" w:color="auto"/>
              <w:bottom w:val="single" w:sz="4" w:space="0" w:color="auto"/>
              <w:right w:val="single" w:sz="4" w:space="0" w:color="auto"/>
            </w:tcBorders>
            <w:vAlign w:val="center"/>
            <w:hideMark/>
          </w:tcPr>
          <w:p w14:paraId="47D24536" w14:textId="77777777" w:rsidR="005D372A" w:rsidRPr="00E0548A" w:rsidRDefault="00225795" w:rsidP="005D372A">
            <w:pPr>
              <w:rPr>
                <w:rFonts w:ascii="ＭＳ 明朝"/>
                <w:sz w:val="16"/>
                <w:szCs w:val="16"/>
              </w:rPr>
            </w:pPr>
            <w:r w:rsidRPr="00E0548A">
              <w:rPr>
                <w:rFonts w:ascii="ＭＳ 明朝" w:hint="eastAsia"/>
                <w:sz w:val="16"/>
                <w:szCs w:val="16"/>
              </w:rPr>
              <w:t>河川室</w:t>
            </w:r>
            <w:r w:rsidR="005D372A" w:rsidRPr="00E0548A">
              <w:rPr>
                <w:rFonts w:ascii="ＭＳ 明朝" w:hint="eastAsia"/>
                <w:sz w:val="16"/>
                <w:szCs w:val="16"/>
              </w:rPr>
              <w:t>河川環境課長</w:t>
            </w:r>
          </w:p>
        </w:tc>
        <w:tc>
          <w:tcPr>
            <w:tcW w:w="229" w:type="pct"/>
            <w:tcBorders>
              <w:top w:val="single" w:sz="4" w:space="0" w:color="auto"/>
              <w:left w:val="single" w:sz="4" w:space="0" w:color="auto"/>
              <w:bottom w:val="single" w:sz="4" w:space="0" w:color="auto"/>
              <w:right w:val="single" w:sz="4" w:space="0" w:color="auto"/>
            </w:tcBorders>
            <w:vAlign w:val="center"/>
            <w:hideMark/>
          </w:tcPr>
          <w:p w14:paraId="68B5F352" w14:textId="77777777" w:rsidR="005D372A" w:rsidRPr="00E0548A" w:rsidRDefault="005D372A" w:rsidP="005D372A">
            <w:pPr>
              <w:jc w:val="center"/>
              <w:rPr>
                <w:rFonts w:ascii="ＭＳ 明朝"/>
                <w:sz w:val="16"/>
                <w:szCs w:val="16"/>
              </w:rPr>
            </w:pPr>
            <w:r w:rsidRPr="00E0548A">
              <w:rPr>
                <w:rFonts w:ascii="ＭＳ 明朝" w:hint="eastAsia"/>
                <w:sz w:val="16"/>
                <w:szCs w:val="16"/>
              </w:rPr>
              <w:t>○</w:t>
            </w:r>
          </w:p>
        </w:tc>
        <w:tc>
          <w:tcPr>
            <w:tcW w:w="229" w:type="pct"/>
            <w:tcBorders>
              <w:top w:val="single" w:sz="4" w:space="0" w:color="auto"/>
              <w:left w:val="single" w:sz="4" w:space="0" w:color="auto"/>
              <w:bottom w:val="single" w:sz="4" w:space="0" w:color="auto"/>
              <w:right w:val="single" w:sz="4" w:space="0" w:color="auto"/>
            </w:tcBorders>
            <w:vAlign w:val="center"/>
            <w:hideMark/>
          </w:tcPr>
          <w:p w14:paraId="27446E4D" w14:textId="77777777" w:rsidR="005D372A" w:rsidRPr="00E0548A" w:rsidRDefault="005D372A" w:rsidP="005D372A">
            <w:pPr>
              <w:jc w:val="center"/>
              <w:rPr>
                <w:rFonts w:ascii="ＭＳ 明朝"/>
                <w:sz w:val="16"/>
                <w:szCs w:val="16"/>
              </w:rPr>
            </w:pPr>
            <w:r w:rsidRPr="00E0548A">
              <w:rPr>
                <w:rFonts w:ascii="ＭＳ 明朝" w:hint="eastAsia"/>
                <w:sz w:val="16"/>
                <w:szCs w:val="16"/>
              </w:rPr>
              <w:t>○</w:t>
            </w:r>
          </w:p>
        </w:tc>
        <w:tc>
          <w:tcPr>
            <w:tcW w:w="238" w:type="pct"/>
            <w:tcBorders>
              <w:top w:val="single" w:sz="4" w:space="0" w:color="auto"/>
              <w:left w:val="single" w:sz="4" w:space="0" w:color="auto"/>
              <w:bottom w:val="single" w:sz="4" w:space="0" w:color="auto"/>
              <w:right w:val="single" w:sz="4" w:space="0" w:color="auto"/>
            </w:tcBorders>
            <w:vAlign w:val="center"/>
            <w:hideMark/>
          </w:tcPr>
          <w:p w14:paraId="07484DD4" w14:textId="77777777" w:rsidR="005D372A" w:rsidRPr="00E0548A" w:rsidRDefault="005D372A" w:rsidP="005D372A">
            <w:pPr>
              <w:jc w:val="center"/>
              <w:rPr>
                <w:rFonts w:ascii="ＭＳ 明朝"/>
                <w:sz w:val="16"/>
                <w:szCs w:val="16"/>
              </w:rPr>
            </w:pPr>
            <w:r w:rsidRPr="00E0548A">
              <w:rPr>
                <w:rFonts w:ascii="ＭＳ 明朝" w:hint="eastAsia"/>
                <w:sz w:val="16"/>
                <w:szCs w:val="16"/>
              </w:rPr>
              <w:t>○</w:t>
            </w:r>
          </w:p>
        </w:tc>
        <w:tc>
          <w:tcPr>
            <w:tcW w:w="222" w:type="pct"/>
            <w:tcBorders>
              <w:top w:val="single" w:sz="4" w:space="0" w:color="auto"/>
              <w:left w:val="single" w:sz="4" w:space="0" w:color="auto"/>
              <w:bottom w:val="single" w:sz="4" w:space="0" w:color="auto"/>
              <w:right w:val="single" w:sz="4" w:space="0" w:color="auto"/>
            </w:tcBorders>
          </w:tcPr>
          <w:p w14:paraId="7BDE66EC" w14:textId="77777777" w:rsidR="005D372A" w:rsidRPr="00E0548A" w:rsidRDefault="005D372A" w:rsidP="005D372A">
            <w:pPr>
              <w:jc w:val="center"/>
              <w:rPr>
                <w:rFonts w:ascii="ＭＳ 明朝"/>
                <w:sz w:val="16"/>
                <w:szCs w:val="16"/>
              </w:rPr>
            </w:pPr>
            <w:r w:rsidRPr="00E0548A">
              <w:rPr>
                <w:rFonts w:ascii="ＭＳ 明朝" w:hint="eastAsia"/>
                <w:sz w:val="16"/>
                <w:szCs w:val="16"/>
              </w:rPr>
              <w:t>○</w:t>
            </w:r>
          </w:p>
        </w:tc>
        <w:tc>
          <w:tcPr>
            <w:tcW w:w="222" w:type="pct"/>
            <w:tcBorders>
              <w:top w:val="single" w:sz="4" w:space="0" w:color="auto"/>
              <w:left w:val="single" w:sz="4" w:space="0" w:color="auto"/>
              <w:bottom w:val="single" w:sz="4" w:space="0" w:color="auto"/>
              <w:right w:val="single" w:sz="4" w:space="0" w:color="auto"/>
            </w:tcBorders>
            <w:shd w:val="clear" w:color="auto" w:fill="FFFFFF"/>
            <w:vAlign w:val="center"/>
          </w:tcPr>
          <w:p w14:paraId="1E1F72AF" w14:textId="77777777" w:rsidR="005D372A" w:rsidRPr="00E0548A" w:rsidRDefault="005D372A" w:rsidP="005D372A">
            <w:pPr>
              <w:jc w:val="center"/>
              <w:rPr>
                <w:rFonts w:ascii="ＭＳ 明朝"/>
                <w:sz w:val="16"/>
                <w:szCs w:val="16"/>
              </w:rPr>
            </w:pPr>
          </w:p>
        </w:tc>
        <w:tc>
          <w:tcPr>
            <w:tcW w:w="220" w:type="pct"/>
            <w:tcBorders>
              <w:top w:val="single" w:sz="4" w:space="0" w:color="auto"/>
              <w:left w:val="single" w:sz="4" w:space="0" w:color="auto"/>
              <w:bottom w:val="single" w:sz="4" w:space="0" w:color="auto"/>
              <w:right w:val="single" w:sz="4" w:space="0" w:color="auto"/>
            </w:tcBorders>
            <w:vAlign w:val="center"/>
          </w:tcPr>
          <w:p w14:paraId="377F5C4C" w14:textId="77777777" w:rsidR="005D372A" w:rsidRPr="00E0548A" w:rsidRDefault="005D372A" w:rsidP="005D372A">
            <w:pPr>
              <w:jc w:val="center"/>
              <w:rPr>
                <w:rFonts w:ascii="ＭＳ 明朝"/>
                <w:sz w:val="16"/>
                <w:szCs w:val="16"/>
              </w:rPr>
            </w:pPr>
          </w:p>
        </w:tc>
        <w:tc>
          <w:tcPr>
            <w:tcW w:w="228" w:type="pct"/>
            <w:tcBorders>
              <w:top w:val="single" w:sz="4" w:space="0" w:color="auto"/>
              <w:left w:val="single" w:sz="4" w:space="0" w:color="auto"/>
              <w:bottom w:val="single" w:sz="4" w:space="0" w:color="auto"/>
              <w:right w:val="single" w:sz="4" w:space="0" w:color="auto"/>
            </w:tcBorders>
            <w:vAlign w:val="center"/>
          </w:tcPr>
          <w:p w14:paraId="2C049658" w14:textId="77777777" w:rsidR="005D372A" w:rsidRPr="00E0548A" w:rsidRDefault="005D372A" w:rsidP="005D372A">
            <w:pPr>
              <w:jc w:val="center"/>
              <w:rPr>
                <w:rFonts w:ascii="ＭＳ 明朝"/>
                <w:sz w:val="16"/>
                <w:szCs w:val="16"/>
              </w:rPr>
            </w:pPr>
          </w:p>
        </w:tc>
        <w:tc>
          <w:tcPr>
            <w:tcW w:w="228" w:type="pct"/>
            <w:tcBorders>
              <w:top w:val="single" w:sz="4" w:space="0" w:color="auto"/>
              <w:left w:val="single" w:sz="4" w:space="0" w:color="auto"/>
              <w:bottom w:val="single" w:sz="4" w:space="0" w:color="auto"/>
              <w:right w:val="single" w:sz="4" w:space="0" w:color="auto"/>
            </w:tcBorders>
            <w:vAlign w:val="center"/>
          </w:tcPr>
          <w:p w14:paraId="4708736D" w14:textId="77777777" w:rsidR="005D372A" w:rsidRPr="00E0548A" w:rsidRDefault="005D372A" w:rsidP="005D372A">
            <w:pPr>
              <w:jc w:val="center"/>
              <w:rPr>
                <w:rFonts w:ascii="ＭＳ 明朝"/>
                <w:sz w:val="16"/>
                <w:szCs w:val="16"/>
              </w:rPr>
            </w:pPr>
          </w:p>
        </w:tc>
        <w:tc>
          <w:tcPr>
            <w:tcW w:w="228" w:type="pct"/>
            <w:tcBorders>
              <w:top w:val="single" w:sz="4" w:space="0" w:color="auto"/>
              <w:left w:val="single" w:sz="4" w:space="0" w:color="auto"/>
              <w:bottom w:val="single" w:sz="4" w:space="0" w:color="auto"/>
              <w:right w:val="single" w:sz="4" w:space="0" w:color="auto"/>
            </w:tcBorders>
            <w:vAlign w:val="center"/>
          </w:tcPr>
          <w:p w14:paraId="2A41050D" w14:textId="77777777" w:rsidR="005D372A" w:rsidRPr="00E0548A" w:rsidRDefault="005D372A" w:rsidP="005D372A">
            <w:pPr>
              <w:jc w:val="center"/>
              <w:rPr>
                <w:rFonts w:ascii="ＭＳ 明朝"/>
                <w:sz w:val="16"/>
                <w:szCs w:val="16"/>
              </w:rPr>
            </w:pPr>
          </w:p>
        </w:tc>
        <w:tc>
          <w:tcPr>
            <w:tcW w:w="228" w:type="pct"/>
            <w:tcBorders>
              <w:top w:val="single" w:sz="4" w:space="0" w:color="auto"/>
              <w:left w:val="single" w:sz="4" w:space="0" w:color="auto"/>
              <w:bottom w:val="single" w:sz="4" w:space="0" w:color="auto"/>
              <w:right w:val="single" w:sz="4" w:space="0" w:color="auto"/>
            </w:tcBorders>
            <w:vAlign w:val="center"/>
          </w:tcPr>
          <w:p w14:paraId="1B6B7F25" w14:textId="77777777" w:rsidR="005D372A" w:rsidRPr="00E0548A" w:rsidRDefault="005D372A" w:rsidP="005D372A">
            <w:pPr>
              <w:jc w:val="center"/>
              <w:rPr>
                <w:rFonts w:ascii="ＭＳ 明朝"/>
                <w:sz w:val="16"/>
                <w:szCs w:val="16"/>
              </w:rPr>
            </w:pPr>
          </w:p>
        </w:tc>
        <w:tc>
          <w:tcPr>
            <w:tcW w:w="228" w:type="pct"/>
            <w:tcBorders>
              <w:top w:val="single" w:sz="4" w:space="0" w:color="auto"/>
              <w:left w:val="single" w:sz="4" w:space="0" w:color="auto"/>
              <w:bottom w:val="single" w:sz="4" w:space="0" w:color="auto"/>
              <w:right w:val="single" w:sz="4" w:space="0" w:color="auto"/>
            </w:tcBorders>
            <w:vAlign w:val="center"/>
          </w:tcPr>
          <w:p w14:paraId="05F9637F" w14:textId="77777777" w:rsidR="005D372A" w:rsidRPr="00E0548A" w:rsidRDefault="005D372A" w:rsidP="005D372A">
            <w:pPr>
              <w:jc w:val="center"/>
              <w:rPr>
                <w:rFonts w:ascii="ＭＳ 明朝"/>
                <w:sz w:val="16"/>
                <w:szCs w:val="16"/>
              </w:rPr>
            </w:pPr>
          </w:p>
        </w:tc>
        <w:tc>
          <w:tcPr>
            <w:tcW w:w="259" w:type="pct"/>
            <w:tcBorders>
              <w:top w:val="single" w:sz="4" w:space="0" w:color="auto"/>
              <w:left w:val="single" w:sz="4" w:space="0" w:color="auto"/>
              <w:bottom w:val="single" w:sz="4" w:space="0" w:color="auto"/>
              <w:right w:val="single" w:sz="4" w:space="0" w:color="auto"/>
            </w:tcBorders>
            <w:vAlign w:val="center"/>
          </w:tcPr>
          <w:p w14:paraId="4B6AA354" w14:textId="77777777" w:rsidR="005D372A" w:rsidRPr="00E0548A" w:rsidRDefault="005D372A" w:rsidP="005D372A">
            <w:pPr>
              <w:jc w:val="center"/>
              <w:rPr>
                <w:rFonts w:ascii="ＭＳ 明朝"/>
                <w:sz w:val="16"/>
                <w:szCs w:val="16"/>
              </w:rPr>
            </w:pPr>
          </w:p>
        </w:tc>
        <w:tc>
          <w:tcPr>
            <w:tcW w:w="211" w:type="pct"/>
            <w:tcBorders>
              <w:top w:val="single" w:sz="4" w:space="0" w:color="auto"/>
              <w:left w:val="single" w:sz="4" w:space="0" w:color="auto"/>
              <w:bottom w:val="single" w:sz="4" w:space="0" w:color="auto"/>
              <w:right w:val="single" w:sz="4" w:space="0" w:color="auto"/>
            </w:tcBorders>
            <w:shd w:val="clear" w:color="auto" w:fill="FFFFFF"/>
            <w:vAlign w:val="center"/>
          </w:tcPr>
          <w:p w14:paraId="55089D17" w14:textId="77777777" w:rsidR="005D372A" w:rsidRPr="00E0548A" w:rsidRDefault="005D372A" w:rsidP="005D372A">
            <w:pPr>
              <w:jc w:val="center"/>
              <w:rPr>
                <w:rFonts w:ascii="ＭＳ 明朝"/>
                <w:sz w:val="16"/>
                <w:szCs w:val="16"/>
              </w:rPr>
            </w:pPr>
          </w:p>
        </w:tc>
        <w:tc>
          <w:tcPr>
            <w:tcW w:w="226" w:type="pct"/>
            <w:tcBorders>
              <w:top w:val="single" w:sz="4" w:space="0" w:color="auto"/>
              <w:left w:val="single" w:sz="4" w:space="0" w:color="auto"/>
              <w:bottom w:val="single" w:sz="4" w:space="0" w:color="auto"/>
              <w:right w:val="single" w:sz="4" w:space="0" w:color="auto"/>
            </w:tcBorders>
            <w:shd w:val="clear" w:color="auto" w:fill="FFFFFF"/>
            <w:vAlign w:val="center"/>
          </w:tcPr>
          <w:p w14:paraId="467F5173" w14:textId="77777777" w:rsidR="005D372A" w:rsidRPr="00E0548A" w:rsidRDefault="005D372A" w:rsidP="005D372A">
            <w:pPr>
              <w:jc w:val="center"/>
              <w:rPr>
                <w:rFonts w:ascii="ＭＳ 明朝"/>
                <w:sz w:val="16"/>
                <w:szCs w:val="16"/>
              </w:rPr>
            </w:pPr>
          </w:p>
        </w:tc>
        <w:tc>
          <w:tcPr>
            <w:tcW w:w="217" w:type="pct"/>
            <w:tcBorders>
              <w:top w:val="single" w:sz="4" w:space="0" w:color="auto"/>
              <w:left w:val="single" w:sz="4" w:space="0" w:color="auto"/>
              <w:bottom w:val="single" w:sz="4" w:space="0" w:color="auto"/>
              <w:right w:val="single" w:sz="4" w:space="0" w:color="auto"/>
            </w:tcBorders>
            <w:shd w:val="clear" w:color="auto" w:fill="FFFFFF"/>
            <w:vAlign w:val="center"/>
          </w:tcPr>
          <w:p w14:paraId="1D64774E" w14:textId="77777777" w:rsidR="005D372A" w:rsidRPr="00E0548A" w:rsidRDefault="005D372A" w:rsidP="005D372A">
            <w:pPr>
              <w:jc w:val="center"/>
              <w:rPr>
                <w:rFonts w:ascii="ＭＳ 明朝"/>
                <w:sz w:val="16"/>
                <w:szCs w:val="16"/>
              </w:rPr>
            </w:pPr>
          </w:p>
        </w:tc>
      </w:tr>
      <w:tr w:rsidR="001D6D10" w:rsidRPr="00E0548A" w14:paraId="5347D195" w14:textId="77777777" w:rsidTr="008B4B2B">
        <w:trPr>
          <w:trHeight w:hRule="exact" w:val="426"/>
        </w:trPr>
        <w:tc>
          <w:tcPr>
            <w:tcW w:w="244" w:type="pct"/>
            <w:tcBorders>
              <w:top w:val="single" w:sz="4" w:space="0" w:color="auto"/>
              <w:left w:val="single" w:sz="4" w:space="0" w:color="auto"/>
              <w:bottom w:val="single" w:sz="4" w:space="0" w:color="auto"/>
              <w:right w:val="single" w:sz="4" w:space="0" w:color="auto"/>
            </w:tcBorders>
            <w:vAlign w:val="center"/>
          </w:tcPr>
          <w:p w14:paraId="1C874B71" w14:textId="77777777" w:rsidR="00007E50" w:rsidRPr="00E0548A" w:rsidRDefault="00AA675F" w:rsidP="005D372A">
            <w:pPr>
              <w:jc w:val="center"/>
              <w:rPr>
                <w:rFonts w:ascii="ＭＳ 明朝"/>
                <w:sz w:val="16"/>
                <w:szCs w:val="16"/>
              </w:rPr>
            </w:pPr>
            <w:r w:rsidRPr="00E0548A">
              <w:rPr>
                <w:rFonts w:ascii="ＭＳ 明朝" w:hint="eastAsia"/>
                <w:sz w:val="16"/>
                <w:szCs w:val="16"/>
              </w:rPr>
              <w:t>3</w:t>
            </w:r>
            <w:r w:rsidRPr="00E0548A">
              <w:rPr>
                <w:rFonts w:ascii="ＭＳ 明朝"/>
                <w:sz w:val="16"/>
                <w:szCs w:val="16"/>
              </w:rPr>
              <w:t>0</w:t>
            </w:r>
          </w:p>
        </w:tc>
        <w:tc>
          <w:tcPr>
            <w:tcW w:w="233" w:type="pct"/>
            <w:vMerge/>
            <w:tcBorders>
              <w:left w:val="single" w:sz="4" w:space="0" w:color="auto"/>
              <w:right w:val="single" w:sz="4" w:space="0" w:color="auto"/>
            </w:tcBorders>
            <w:vAlign w:val="center"/>
          </w:tcPr>
          <w:p w14:paraId="0D65EA12" w14:textId="77777777" w:rsidR="00007E50" w:rsidRPr="00E0548A" w:rsidRDefault="00007E50" w:rsidP="005D372A">
            <w:pPr>
              <w:jc w:val="center"/>
              <w:rPr>
                <w:rFonts w:ascii="ＭＳ 明朝"/>
                <w:sz w:val="16"/>
                <w:szCs w:val="16"/>
              </w:rPr>
            </w:pPr>
          </w:p>
        </w:tc>
        <w:tc>
          <w:tcPr>
            <w:tcW w:w="1110" w:type="pct"/>
            <w:tcBorders>
              <w:top w:val="single" w:sz="4" w:space="0" w:color="auto"/>
              <w:left w:val="single" w:sz="4" w:space="0" w:color="auto"/>
              <w:bottom w:val="single" w:sz="4" w:space="0" w:color="auto"/>
              <w:right w:val="single" w:sz="4" w:space="0" w:color="auto"/>
            </w:tcBorders>
            <w:vAlign w:val="center"/>
          </w:tcPr>
          <w:p w14:paraId="19D17AF9" w14:textId="3B2E9C63" w:rsidR="00007E50" w:rsidRPr="00E0548A" w:rsidRDefault="00007E50" w:rsidP="005D372A">
            <w:pPr>
              <w:rPr>
                <w:rFonts w:ascii="ＭＳ 明朝"/>
                <w:sz w:val="16"/>
                <w:szCs w:val="16"/>
              </w:rPr>
            </w:pPr>
            <w:r w:rsidRPr="00E0548A">
              <w:rPr>
                <w:rFonts w:ascii="ＭＳ 明朝" w:hint="eastAsia"/>
                <w:sz w:val="16"/>
                <w:szCs w:val="16"/>
              </w:rPr>
              <w:t>計画推進室総務企画課長</w:t>
            </w:r>
          </w:p>
        </w:tc>
        <w:tc>
          <w:tcPr>
            <w:tcW w:w="229" w:type="pct"/>
            <w:tcBorders>
              <w:top w:val="single" w:sz="4" w:space="0" w:color="auto"/>
              <w:left w:val="single" w:sz="4" w:space="0" w:color="auto"/>
              <w:bottom w:val="single" w:sz="4" w:space="0" w:color="auto"/>
              <w:right w:val="single" w:sz="4" w:space="0" w:color="auto"/>
            </w:tcBorders>
            <w:vAlign w:val="center"/>
          </w:tcPr>
          <w:p w14:paraId="14677269" w14:textId="77777777" w:rsidR="00007E50" w:rsidRPr="00E0548A" w:rsidRDefault="00007E50" w:rsidP="005D372A">
            <w:pPr>
              <w:jc w:val="center"/>
              <w:rPr>
                <w:rFonts w:ascii="ＭＳ 明朝"/>
                <w:sz w:val="16"/>
                <w:szCs w:val="16"/>
              </w:rPr>
            </w:pPr>
          </w:p>
        </w:tc>
        <w:tc>
          <w:tcPr>
            <w:tcW w:w="229" w:type="pct"/>
            <w:tcBorders>
              <w:top w:val="single" w:sz="4" w:space="0" w:color="auto"/>
              <w:left w:val="single" w:sz="4" w:space="0" w:color="auto"/>
              <w:bottom w:val="single" w:sz="4" w:space="0" w:color="auto"/>
              <w:right w:val="single" w:sz="4" w:space="0" w:color="auto"/>
            </w:tcBorders>
            <w:vAlign w:val="center"/>
          </w:tcPr>
          <w:p w14:paraId="5F9CD25A" w14:textId="77777777" w:rsidR="00007E50" w:rsidRPr="00E0548A" w:rsidRDefault="00007E50" w:rsidP="005D372A">
            <w:pPr>
              <w:jc w:val="center"/>
              <w:rPr>
                <w:noProof/>
              </w:rPr>
            </w:pPr>
          </w:p>
        </w:tc>
        <w:tc>
          <w:tcPr>
            <w:tcW w:w="238" w:type="pct"/>
            <w:tcBorders>
              <w:top w:val="single" w:sz="4" w:space="0" w:color="auto"/>
              <w:left w:val="single" w:sz="4" w:space="0" w:color="auto"/>
              <w:bottom w:val="single" w:sz="4" w:space="0" w:color="auto"/>
              <w:right w:val="single" w:sz="4" w:space="0" w:color="auto"/>
            </w:tcBorders>
          </w:tcPr>
          <w:p w14:paraId="1E3EA6FB" w14:textId="77777777" w:rsidR="00007E50" w:rsidRPr="00E0548A" w:rsidRDefault="00007E50" w:rsidP="005D372A">
            <w:pPr>
              <w:jc w:val="center"/>
              <w:rPr>
                <w:rFonts w:ascii="ＭＳ 明朝"/>
                <w:sz w:val="16"/>
                <w:szCs w:val="16"/>
              </w:rPr>
            </w:pPr>
          </w:p>
        </w:tc>
        <w:tc>
          <w:tcPr>
            <w:tcW w:w="222" w:type="pct"/>
            <w:tcBorders>
              <w:top w:val="single" w:sz="4" w:space="0" w:color="auto"/>
              <w:left w:val="single" w:sz="4" w:space="0" w:color="auto"/>
              <w:bottom w:val="single" w:sz="4" w:space="0" w:color="auto"/>
              <w:right w:val="single" w:sz="4" w:space="0" w:color="auto"/>
            </w:tcBorders>
          </w:tcPr>
          <w:p w14:paraId="6498AE51" w14:textId="77777777" w:rsidR="00007E50" w:rsidRPr="00E0548A" w:rsidRDefault="00007E50" w:rsidP="005D372A">
            <w:pPr>
              <w:jc w:val="center"/>
              <w:rPr>
                <w:rFonts w:ascii="ＭＳ 明朝"/>
                <w:sz w:val="16"/>
                <w:szCs w:val="16"/>
              </w:rPr>
            </w:pPr>
            <w:r w:rsidRPr="00E0548A">
              <w:rPr>
                <w:rFonts w:ascii="ＭＳ 明朝" w:hint="eastAsia"/>
                <w:sz w:val="16"/>
                <w:szCs w:val="16"/>
              </w:rPr>
              <w:t>〇</w:t>
            </w:r>
          </w:p>
        </w:tc>
        <w:tc>
          <w:tcPr>
            <w:tcW w:w="222" w:type="pct"/>
            <w:tcBorders>
              <w:top w:val="single" w:sz="4" w:space="0" w:color="auto"/>
              <w:left w:val="single" w:sz="4" w:space="0" w:color="auto"/>
              <w:bottom w:val="single" w:sz="4" w:space="0" w:color="auto"/>
              <w:right w:val="single" w:sz="4" w:space="0" w:color="auto"/>
            </w:tcBorders>
            <w:shd w:val="clear" w:color="auto" w:fill="FFFFFF"/>
            <w:vAlign w:val="center"/>
          </w:tcPr>
          <w:p w14:paraId="50645009" w14:textId="77777777" w:rsidR="00007E50" w:rsidRPr="00E0548A" w:rsidRDefault="00007E50" w:rsidP="005D372A">
            <w:pPr>
              <w:jc w:val="center"/>
              <w:rPr>
                <w:rFonts w:ascii="ＭＳ 明朝"/>
                <w:sz w:val="16"/>
                <w:szCs w:val="16"/>
              </w:rPr>
            </w:pPr>
          </w:p>
        </w:tc>
        <w:tc>
          <w:tcPr>
            <w:tcW w:w="220" w:type="pct"/>
            <w:tcBorders>
              <w:top w:val="single" w:sz="4" w:space="0" w:color="auto"/>
              <w:left w:val="single" w:sz="4" w:space="0" w:color="auto"/>
              <w:bottom w:val="single" w:sz="4" w:space="0" w:color="auto"/>
              <w:right w:val="single" w:sz="4" w:space="0" w:color="auto"/>
            </w:tcBorders>
            <w:vAlign w:val="center"/>
          </w:tcPr>
          <w:p w14:paraId="335F57B7" w14:textId="77777777" w:rsidR="00007E50" w:rsidRPr="00E0548A" w:rsidRDefault="00007E50" w:rsidP="005D372A">
            <w:pPr>
              <w:jc w:val="center"/>
              <w:rPr>
                <w:rFonts w:ascii="ＭＳ 明朝"/>
                <w:sz w:val="16"/>
                <w:szCs w:val="16"/>
              </w:rPr>
            </w:pPr>
          </w:p>
        </w:tc>
        <w:tc>
          <w:tcPr>
            <w:tcW w:w="228" w:type="pct"/>
            <w:tcBorders>
              <w:top w:val="single" w:sz="4" w:space="0" w:color="auto"/>
              <w:left w:val="single" w:sz="4" w:space="0" w:color="auto"/>
              <w:bottom w:val="single" w:sz="4" w:space="0" w:color="auto"/>
              <w:right w:val="single" w:sz="4" w:space="0" w:color="auto"/>
            </w:tcBorders>
            <w:vAlign w:val="center"/>
          </w:tcPr>
          <w:p w14:paraId="6BB4D747" w14:textId="77777777" w:rsidR="00007E50" w:rsidRPr="00E0548A" w:rsidRDefault="00007E50" w:rsidP="005D372A">
            <w:pPr>
              <w:jc w:val="center"/>
              <w:rPr>
                <w:rFonts w:ascii="ＭＳ 明朝"/>
                <w:sz w:val="16"/>
                <w:szCs w:val="16"/>
              </w:rPr>
            </w:pPr>
          </w:p>
        </w:tc>
        <w:tc>
          <w:tcPr>
            <w:tcW w:w="228" w:type="pct"/>
            <w:tcBorders>
              <w:top w:val="single" w:sz="4" w:space="0" w:color="auto"/>
              <w:left w:val="single" w:sz="4" w:space="0" w:color="auto"/>
              <w:bottom w:val="single" w:sz="4" w:space="0" w:color="auto"/>
              <w:right w:val="single" w:sz="4" w:space="0" w:color="auto"/>
            </w:tcBorders>
            <w:vAlign w:val="center"/>
          </w:tcPr>
          <w:p w14:paraId="13B3A9CB" w14:textId="77777777" w:rsidR="00007E50" w:rsidRPr="00E0548A" w:rsidRDefault="00007E50" w:rsidP="005D372A">
            <w:pPr>
              <w:jc w:val="center"/>
              <w:rPr>
                <w:rFonts w:ascii="ＭＳ 明朝"/>
                <w:sz w:val="16"/>
                <w:szCs w:val="16"/>
              </w:rPr>
            </w:pPr>
          </w:p>
        </w:tc>
        <w:tc>
          <w:tcPr>
            <w:tcW w:w="228" w:type="pct"/>
            <w:tcBorders>
              <w:top w:val="single" w:sz="4" w:space="0" w:color="auto"/>
              <w:left w:val="single" w:sz="4" w:space="0" w:color="auto"/>
              <w:bottom w:val="single" w:sz="4" w:space="0" w:color="auto"/>
              <w:right w:val="single" w:sz="4" w:space="0" w:color="auto"/>
            </w:tcBorders>
            <w:vAlign w:val="center"/>
          </w:tcPr>
          <w:p w14:paraId="6E8592E8" w14:textId="77777777" w:rsidR="00007E50" w:rsidRPr="00E0548A" w:rsidRDefault="00007E50" w:rsidP="005D372A">
            <w:pPr>
              <w:jc w:val="center"/>
              <w:rPr>
                <w:rFonts w:ascii="ＭＳ 明朝"/>
                <w:sz w:val="16"/>
                <w:szCs w:val="16"/>
              </w:rPr>
            </w:pPr>
          </w:p>
        </w:tc>
        <w:tc>
          <w:tcPr>
            <w:tcW w:w="228" w:type="pct"/>
            <w:tcBorders>
              <w:top w:val="single" w:sz="4" w:space="0" w:color="auto"/>
              <w:left w:val="single" w:sz="4" w:space="0" w:color="auto"/>
              <w:bottom w:val="single" w:sz="4" w:space="0" w:color="auto"/>
              <w:right w:val="single" w:sz="4" w:space="0" w:color="auto"/>
            </w:tcBorders>
            <w:vAlign w:val="center"/>
          </w:tcPr>
          <w:p w14:paraId="1561B709" w14:textId="77777777" w:rsidR="00007E50" w:rsidRPr="00E0548A" w:rsidRDefault="00007E50" w:rsidP="005D372A">
            <w:pPr>
              <w:jc w:val="center"/>
              <w:rPr>
                <w:rFonts w:ascii="ＭＳ 明朝"/>
                <w:sz w:val="16"/>
                <w:szCs w:val="16"/>
              </w:rPr>
            </w:pPr>
          </w:p>
        </w:tc>
        <w:tc>
          <w:tcPr>
            <w:tcW w:w="228" w:type="pct"/>
            <w:tcBorders>
              <w:top w:val="single" w:sz="4" w:space="0" w:color="auto"/>
              <w:left w:val="single" w:sz="4" w:space="0" w:color="auto"/>
              <w:bottom w:val="single" w:sz="4" w:space="0" w:color="auto"/>
              <w:right w:val="single" w:sz="4" w:space="0" w:color="auto"/>
            </w:tcBorders>
            <w:vAlign w:val="center"/>
          </w:tcPr>
          <w:p w14:paraId="60B78559" w14:textId="77777777" w:rsidR="00007E50" w:rsidRPr="00E0548A" w:rsidRDefault="00007E50" w:rsidP="005D372A">
            <w:pPr>
              <w:jc w:val="center"/>
              <w:rPr>
                <w:rFonts w:ascii="ＭＳ 明朝"/>
                <w:sz w:val="16"/>
                <w:szCs w:val="16"/>
              </w:rPr>
            </w:pPr>
          </w:p>
        </w:tc>
        <w:tc>
          <w:tcPr>
            <w:tcW w:w="259" w:type="pct"/>
            <w:tcBorders>
              <w:top w:val="single" w:sz="4" w:space="0" w:color="auto"/>
              <w:left w:val="single" w:sz="4" w:space="0" w:color="auto"/>
              <w:bottom w:val="single" w:sz="4" w:space="0" w:color="auto"/>
              <w:right w:val="single" w:sz="4" w:space="0" w:color="auto"/>
            </w:tcBorders>
            <w:vAlign w:val="center"/>
          </w:tcPr>
          <w:p w14:paraId="7B838032" w14:textId="77777777" w:rsidR="00007E50" w:rsidRPr="00E0548A" w:rsidRDefault="00007E50" w:rsidP="005D372A">
            <w:pPr>
              <w:jc w:val="center"/>
              <w:rPr>
                <w:rFonts w:ascii="ＭＳ 明朝"/>
                <w:sz w:val="16"/>
                <w:szCs w:val="16"/>
              </w:rPr>
            </w:pPr>
          </w:p>
        </w:tc>
        <w:tc>
          <w:tcPr>
            <w:tcW w:w="211" w:type="pct"/>
            <w:tcBorders>
              <w:top w:val="single" w:sz="4" w:space="0" w:color="auto"/>
              <w:left w:val="single" w:sz="4" w:space="0" w:color="auto"/>
              <w:bottom w:val="single" w:sz="4" w:space="0" w:color="auto"/>
              <w:right w:val="single" w:sz="4" w:space="0" w:color="auto"/>
            </w:tcBorders>
            <w:shd w:val="clear" w:color="auto" w:fill="FFFFFF"/>
            <w:vAlign w:val="center"/>
          </w:tcPr>
          <w:p w14:paraId="7ED9E855" w14:textId="77777777" w:rsidR="00007E50" w:rsidRPr="00E0548A" w:rsidRDefault="00007E50" w:rsidP="005D372A">
            <w:pPr>
              <w:jc w:val="center"/>
              <w:rPr>
                <w:rFonts w:ascii="ＭＳ 明朝"/>
                <w:sz w:val="16"/>
                <w:szCs w:val="16"/>
              </w:rPr>
            </w:pPr>
          </w:p>
        </w:tc>
        <w:tc>
          <w:tcPr>
            <w:tcW w:w="226" w:type="pct"/>
            <w:tcBorders>
              <w:top w:val="single" w:sz="4" w:space="0" w:color="auto"/>
              <w:left w:val="single" w:sz="4" w:space="0" w:color="auto"/>
              <w:bottom w:val="single" w:sz="4" w:space="0" w:color="auto"/>
              <w:right w:val="single" w:sz="4" w:space="0" w:color="auto"/>
            </w:tcBorders>
            <w:shd w:val="clear" w:color="auto" w:fill="FFFFFF"/>
            <w:vAlign w:val="center"/>
          </w:tcPr>
          <w:p w14:paraId="08B313EC" w14:textId="77777777" w:rsidR="00007E50" w:rsidRPr="00E0548A" w:rsidRDefault="00007E50" w:rsidP="005D372A">
            <w:pPr>
              <w:jc w:val="center"/>
              <w:rPr>
                <w:rFonts w:ascii="ＭＳ 明朝"/>
                <w:sz w:val="16"/>
                <w:szCs w:val="16"/>
              </w:rPr>
            </w:pPr>
            <w:r w:rsidRPr="00E0548A">
              <w:rPr>
                <w:rFonts w:ascii="ＭＳ 明朝" w:hint="eastAsia"/>
                <w:sz w:val="16"/>
                <w:szCs w:val="16"/>
              </w:rPr>
              <w:t>〇</w:t>
            </w:r>
          </w:p>
        </w:tc>
        <w:tc>
          <w:tcPr>
            <w:tcW w:w="217" w:type="pct"/>
            <w:tcBorders>
              <w:top w:val="single" w:sz="4" w:space="0" w:color="auto"/>
              <w:left w:val="single" w:sz="4" w:space="0" w:color="auto"/>
              <w:bottom w:val="single" w:sz="4" w:space="0" w:color="auto"/>
              <w:right w:val="single" w:sz="4" w:space="0" w:color="auto"/>
            </w:tcBorders>
            <w:shd w:val="clear" w:color="auto" w:fill="FFFFFF"/>
            <w:vAlign w:val="center"/>
          </w:tcPr>
          <w:p w14:paraId="590FEEC5" w14:textId="77777777" w:rsidR="00007E50" w:rsidRPr="00E0548A" w:rsidRDefault="00007E50" w:rsidP="005D372A">
            <w:pPr>
              <w:jc w:val="center"/>
              <w:rPr>
                <w:rFonts w:ascii="ＭＳ 明朝"/>
                <w:sz w:val="16"/>
                <w:szCs w:val="16"/>
              </w:rPr>
            </w:pPr>
          </w:p>
        </w:tc>
      </w:tr>
      <w:tr w:rsidR="001D6D10" w:rsidRPr="00E0548A" w14:paraId="63862AA9" w14:textId="77777777" w:rsidTr="008B4B2B">
        <w:trPr>
          <w:trHeight w:hRule="exact" w:val="426"/>
        </w:trPr>
        <w:tc>
          <w:tcPr>
            <w:tcW w:w="244" w:type="pct"/>
            <w:tcBorders>
              <w:top w:val="single" w:sz="4" w:space="0" w:color="auto"/>
              <w:left w:val="single" w:sz="4" w:space="0" w:color="auto"/>
              <w:bottom w:val="single" w:sz="4" w:space="0" w:color="auto"/>
              <w:right w:val="single" w:sz="4" w:space="0" w:color="auto"/>
            </w:tcBorders>
            <w:vAlign w:val="center"/>
          </w:tcPr>
          <w:p w14:paraId="05402F0D" w14:textId="77777777" w:rsidR="005D372A" w:rsidRPr="00E0548A" w:rsidRDefault="005D372A" w:rsidP="005D372A">
            <w:pPr>
              <w:jc w:val="center"/>
              <w:rPr>
                <w:rFonts w:ascii="ＭＳ 明朝"/>
                <w:sz w:val="16"/>
                <w:szCs w:val="16"/>
              </w:rPr>
            </w:pPr>
            <w:r w:rsidRPr="00E0548A">
              <w:rPr>
                <w:rFonts w:ascii="ＭＳ 明朝" w:hint="eastAsia"/>
                <w:sz w:val="16"/>
                <w:szCs w:val="16"/>
              </w:rPr>
              <w:t>3</w:t>
            </w:r>
            <w:r w:rsidR="00AA675F" w:rsidRPr="00E0548A">
              <w:rPr>
                <w:rFonts w:ascii="ＭＳ 明朝"/>
                <w:sz w:val="16"/>
                <w:szCs w:val="16"/>
              </w:rPr>
              <w:t>1</w:t>
            </w:r>
          </w:p>
        </w:tc>
        <w:tc>
          <w:tcPr>
            <w:tcW w:w="233" w:type="pct"/>
            <w:vMerge/>
            <w:tcBorders>
              <w:left w:val="single" w:sz="4" w:space="0" w:color="auto"/>
              <w:right w:val="single" w:sz="4" w:space="0" w:color="auto"/>
            </w:tcBorders>
            <w:vAlign w:val="center"/>
          </w:tcPr>
          <w:p w14:paraId="0A59CB1C" w14:textId="77777777" w:rsidR="005D372A" w:rsidRPr="00E0548A" w:rsidRDefault="005D372A" w:rsidP="005D372A">
            <w:pPr>
              <w:jc w:val="center"/>
              <w:rPr>
                <w:rFonts w:ascii="ＭＳ 明朝"/>
                <w:sz w:val="16"/>
                <w:szCs w:val="16"/>
              </w:rPr>
            </w:pPr>
          </w:p>
        </w:tc>
        <w:tc>
          <w:tcPr>
            <w:tcW w:w="1110" w:type="pct"/>
            <w:tcBorders>
              <w:top w:val="single" w:sz="4" w:space="0" w:color="auto"/>
              <w:left w:val="single" w:sz="4" w:space="0" w:color="auto"/>
              <w:bottom w:val="single" w:sz="4" w:space="0" w:color="auto"/>
              <w:right w:val="single" w:sz="4" w:space="0" w:color="auto"/>
            </w:tcBorders>
            <w:vAlign w:val="center"/>
            <w:hideMark/>
          </w:tcPr>
          <w:p w14:paraId="31D1AC4B" w14:textId="0BE4F372" w:rsidR="005D372A" w:rsidRPr="00E0548A" w:rsidRDefault="005D372A" w:rsidP="005D372A">
            <w:pPr>
              <w:rPr>
                <w:rFonts w:ascii="ＭＳ 明朝"/>
                <w:sz w:val="16"/>
                <w:szCs w:val="16"/>
              </w:rPr>
            </w:pPr>
            <w:r w:rsidRPr="00E0548A">
              <w:rPr>
                <w:rFonts w:ascii="ＭＳ 明朝" w:hint="eastAsia"/>
                <w:sz w:val="16"/>
                <w:szCs w:val="16"/>
              </w:rPr>
              <w:t>大阪港湾局計画調整担当課長</w:t>
            </w:r>
          </w:p>
        </w:tc>
        <w:tc>
          <w:tcPr>
            <w:tcW w:w="229" w:type="pct"/>
            <w:tcBorders>
              <w:top w:val="single" w:sz="4" w:space="0" w:color="auto"/>
              <w:left w:val="single" w:sz="4" w:space="0" w:color="auto"/>
              <w:bottom w:val="single" w:sz="4" w:space="0" w:color="auto"/>
              <w:right w:val="single" w:sz="4" w:space="0" w:color="auto"/>
            </w:tcBorders>
            <w:vAlign w:val="center"/>
            <w:hideMark/>
          </w:tcPr>
          <w:p w14:paraId="53CB78C9" w14:textId="77777777" w:rsidR="005D372A" w:rsidRPr="00E0548A" w:rsidRDefault="005D372A" w:rsidP="005D372A">
            <w:pPr>
              <w:jc w:val="center"/>
              <w:rPr>
                <w:rFonts w:ascii="ＭＳ 明朝"/>
                <w:sz w:val="16"/>
                <w:szCs w:val="16"/>
              </w:rPr>
            </w:pPr>
          </w:p>
        </w:tc>
        <w:tc>
          <w:tcPr>
            <w:tcW w:w="229" w:type="pct"/>
            <w:tcBorders>
              <w:top w:val="single" w:sz="4" w:space="0" w:color="auto"/>
              <w:left w:val="single" w:sz="4" w:space="0" w:color="auto"/>
              <w:bottom w:val="single" w:sz="4" w:space="0" w:color="auto"/>
              <w:right w:val="single" w:sz="4" w:space="0" w:color="auto"/>
            </w:tcBorders>
            <w:vAlign w:val="center"/>
            <w:hideMark/>
          </w:tcPr>
          <w:p w14:paraId="3FE5920F" w14:textId="624FA756" w:rsidR="005D372A" w:rsidRPr="00E0548A" w:rsidRDefault="005D372A" w:rsidP="005D372A">
            <w:pPr>
              <w:jc w:val="center"/>
              <w:rPr>
                <w:rFonts w:ascii="ＭＳ 明朝"/>
                <w:sz w:val="16"/>
                <w:szCs w:val="16"/>
              </w:rPr>
            </w:pPr>
            <w:r w:rsidRPr="00E0548A">
              <w:rPr>
                <w:rFonts w:ascii="ＭＳ 明朝" w:hint="eastAsia"/>
                <w:sz w:val="16"/>
                <w:szCs w:val="16"/>
              </w:rPr>
              <w:t>○</w:t>
            </w:r>
          </w:p>
        </w:tc>
        <w:tc>
          <w:tcPr>
            <w:tcW w:w="238" w:type="pct"/>
            <w:tcBorders>
              <w:top w:val="single" w:sz="4" w:space="0" w:color="auto"/>
              <w:left w:val="single" w:sz="4" w:space="0" w:color="auto"/>
              <w:bottom w:val="single" w:sz="4" w:space="0" w:color="auto"/>
              <w:right w:val="single" w:sz="4" w:space="0" w:color="auto"/>
            </w:tcBorders>
            <w:hideMark/>
          </w:tcPr>
          <w:p w14:paraId="65211786" w14:textId="746C4BB7" w:rsidR="005D372A" w:rsidRPr="00E0548A" w:rsidRDefault="00D769E2" w:rsidP="005D372A">
            <w:pPr>
              <w:jc w:val="center"/>
              <w:rPr>
                <w:rFonts w:ascii="ＭＳ 明朝"/>
                <w:sz w:val="16"/>
                <w:szCs w:val="16"/>
              </w:rPr>
            </w:pPr>
            <w:r w:rsidRPr="00E0548A">
              <w:rPr>
                <w:noProof/>
              </w:rPr>
              <mc:AlternateContent>
                <mc:Choice Requires="wps">
                  <w:drawing>
                    <wp:anchor distT="0" distB="0" distL="114300" distR="114300" simplePos="0" relativeHeight="252938240" behindDoc="0" locked="0" layoutInCell="1" allowOverlap="1" wp14:anchorId="382721BE" wp14:editId="6F09C915">
                      <wp:simplePos x="0" y="0"/>
                      <wp:positionH relativeFrom="column">
                        <wp:posOffset>-248920</wp:posOffset>
                      </wp:positionH>
                      <wp:positionV relativeFrom="paragraph">
                        <wp:posOffset>48260</wp:posOffset>
                      </wp:positionV>
                      <wp:extent cx="684530" cy="289560"/>
                      <wp:effectExtent l="3175" t="2540" r="0" b="3175"/>
                      <wp:wrapNone/>
                      <wp:docPr id="4342" name="Text Box 375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4530" cy="2895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730A647" w14:textId="77777777" w:rsidR="006A5267" w:rsidRPr="00D32956" w:rsidRDefault="006A5267" w:rsidP="005D372A">
                                  <w:pPr>
                                    <w:ind w:firstLineChars="100" w:firstLine="161"/>
                                    <w:rPr>
                                      <w:sz w:val="16"/>
                                      <w:szCs w:val="16"/>
                                    </w:rPr>
                                  </w:pPr>
                                  <w:r w:rsidRPr="00D32956">
                                    <w:rPr>
                                      <w:rFonts w:hint="eastAsia"/>
                                      <w:sz w:val="16"/>
                                      <w:szCs w:val="16"/>
                                    </w:rPr>
                                    <w:t>（高潮）</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shape w14:anchorId="382721BE" id="_x0000_s1127" type="#_x0000_t202" style="position:absolute;left:0;text-align:left;margin-left:-19.6pt;margin-top:3.8pt;width:53.9pt;height:22.8pt;z-index:25293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" filled="f" stroked="f">
                      <v:textbox>
                        <w:txbxContent>
                          <w:p w14:paraId="2730A647" w14:textId="77777777" w:rsidR="006A5267" w:rsidRPr="00D32956" w:rsidRDefault="006A5267" w:rsidP="005D372A">
                            <w:pPr>
                              <w:ind w:firstLineChars="100" w:firstLine="161"/>
                              <w:rPr>
                                <w:sz w:val="16"/>
                                <w:szCs w:val="16"/>
                              </w:rPr>
                            </w:pPr>
                            <w:r w:rsidRPr="00D32956">
                              <w:rPr>
                                <w:rFonts w:hint="eastAsia"/>
                                <w:sz w:val="16"/>
                                <w:szCs w:val="16"/>
                              </w:rPr>
                              <w:t>（高潮）</w:t>
                            </w:r>
                          </w:p>
                        </w:txbxContent>
                      </v:textbox>
                    </v:shape>
                  </w:pict>
                </mc:Fallback>
              </mc:AlternateContent>
            </w:r>
            <w:r w:rsidR="005D372A" w:rsidRPr="00E0548A">
              <w:rPr>
                <w:rFonts w:ascii="ＭＳ 明朝" w:hint="eastAsia"/>
                <w:sz w:val="16"/>
                <w:szCs w:val="16"/>
              </w:rPr>
              <w:t>○</w:t>
            </w:r>
          </w:p>
        </w:tc>
        <w:tc>
          <w:tcPr>
            <w:tcW w:w="222" w:type="pct"/>
            <w:tcBorders>
              <w:top w:val="single" w:sz="4" w:space="0" w:color="auto"/>
              <w:left w:val="single" w:sz="4" w:space="0" w:color="auto"/>
              <w:bottom w:val="single" w:sz="4" w:space="0" w:color="auto"/>
              <w:right w:val="single" w:sz="4" w:space="0" w:color="auto"/>
            </w:tcBorders>
          </w:tcPr>
          <w:p w14:paraId="419053DC" w14:textId="77777777" w:rsidR="005D372A" w:rsidRPr="00E0548A" w:rsidRDefault="005D372A" w:rsidP="005D372A">
            <w:pPr>
              <w:jc w:val="center"/>
              <w:rPr>
                <w:rFonts w:ascii="ＭＳ 明朝"/>
                <w:sz w:val="16"/>
                <w:szCs w:val="16"/>
              </w:rPr>
            </w:pPr>
            <w:r w:rsidRPr="00E0548A">
              <w:rPr>
                <w:rFonts w:ascii="ＭＳ 明朝" w:hint="eastAsia"/>
                <w:sz w:val="16"/>
                <w:szCs w:val="16"/>
              </w:rPr>
              <w:t>○</w:t>
            </w:r>
          </w:p>
        </w:tc>
        <w:tc>
          <w:tcPr>
            <w:tcW w:w="222" w:type="pct"/>
            <w:tcBorders>
              <w:top w:val="single" w:sz="4" w:space="0" w:color="auto"/>
              <w:left w:val="single" w:sz="4" w:space="0" w:color="auto"/>
              <w:bottom w:val="single" w:sz="4" w:space="0" w:color="auto"/>
              <w:right w:val="single" w:sz="4" w:space="0" w:color="auto"/>
            </w:tcBorders>
            <w:shd w:val="clear" w:color="auto" w:fill="FFFFFF"/>
            <w:vAlign w:val="center"/>
          </w:tcPr>
          <w:p w14:paraId="58EDF324" w14:textId="77777777" w:rsidR="005D372A" w:rsidRPr="00E0548A" w:rsidRDefault="005D372A" w:rsidP="005D372A">
            <w:pPr>
              <w:jc w:val="center"/>
              <w:rPr>
                <w:rFonts w:ascii="ＭＳ 明朝"/>
                <w:sz w:val="16"/>
                <w:szCs w:val="16"/>
              </w:rPr>
            </w:pPr>
          </w:p>
        </w:tc>
        <w:tc>
          <w:tcPr>
            <w:tcW w:w="220" w:type="pct"/>
            <w:tcBorders>
              <w:top w:val="single" w:sz="4" w:space="0" w:color="auto"/>
              <w:left w:val="single" w:sz="4" w:space="0" w:color="auto"/>
              <w:bottom w:val="single" w:sz="4" w:space="0" w:color="auto"/>
              <w:right w:val="single" w:sz="4" w:space="0" w:color="auto"/>
            </w:tcBorders>
            <w:vAlign w:val="center"/>
            <w:hideMark/>
          </w:tcPr>
          <w:p w14:paraId="3B958C36" w14:textId="77777777" w:rsidR="005D372A" w:rsidRPr="00E0548A" w:rsidRDefault="005D372A" w:rsidP="005D372A">
            <w:pPr>
              <w:jc w:val="center"/>
              <w:rPr>
                <w:rFonts w:ascii="ＭＳ 明朝"/>
                <w:sz w:val="16"/>
                <w:szCs w:val="16"/>
              </w:rPr>
            </w:pPr>
            <w:r w:rsidRPr="00E0548A">
              <w:rPr>
                <w:rFonts w:ascii="ＭＳ 明朝" w:hint="eastAsia"/>
                <w:sz w:val="16"/>
                <w:szCs w:val="16"/>
              </w:rPr>
              <w:t>○</w:t>
            </w:r>
          </w:p>
        </w:tc>
        <w:tc>
          <w:tcPr>
            <w:tcW w:w="228" w:type="pct"/>
            <w:tcBorders>
              <w:top w:val="single" w:sz="4" w:space="0" w:color="auto"/>
              <w:left w:val="single" w:sz="4" w:space="0" w:color="auto"/>
              <w:bottom w:val="single" w:sz="4" w:space="0" w:color="auto"/>
              <w:right w:val="single" w:sz="4" w:space="0" w:color="auto"/>
            </w:tcBorders>
            <w:vAlign w:val="center"/>
          </w:tcPr>
          <w:p w14:paraId="7330CF2D" w14:textId="77777777" w:rsidR="005D372A" w:rsidRPr="00E0548A" w:rsidRDefault="005D372A" w:rsidP="005D372A">
            <w:pPr>
              <w:jc w:val="center"/>
              <w:rPr>
                <w:rFonts w:ascii="ＭＳ 明朝"/>
                <w:sz w:val="16"/>
                <w:szCs w:val="16"/>
              </w:rPr>
            </w:pPr>
          </w:p>
        </w:tc>
        <w:tc>
          <w:tcPr>
            <w:tcW w:w="228" w:type="pct"/>
            <w:tcBorders>
              <w:top w:val="single" w:sz="4" w:space="0" w:color="auto"/>
              <w:left w:val="single" w:sz="4" w:space="0" w:color="auto"/>
              <w:bottom w:val="single" w:sz="4" w:space="0" w:color="auto"/>
              <w:right w:val="single" w:sz="4" w:space="0" w:color="auto"/>
            </w:tcBorders>
            <w:vAlign w:val="center"/>
          </w:tcPr>
          <w:p w14:paraId="3288F034" w14:textId="77777777" w:rsidR="005D372A" w:rsidRPr="00E0548A" w:rsidRDefault="005D372A" w:rsidP="005D372A">
            <w:pPr>
              <w:jc w:val="center"/>
              <w:rPr>
                <w:rFonts w:ascii="ＭＳ 明朝"/>
                <w:sz w:val="16"/>
                <w:szCs w:val="16"/>
              </w:rPr>
            </w:pPr>
          </w:p>
        </w:tc>
        <w:tc>
          <w:tcPr>
            <w:tcW w:w="228" w:type="pct"/>
            <w:tcBorders>
              <w:top w:val="single" w:sz="4" w:space="0" w:color="auto"/>
              <w:left w:val="single" w:sz="4" w:space="0" w:color="auto"/>
              <w:bottom w:val="single" w:sz="4" w:space="0" w:color="auto"/>
              <w:right w:val="single" w:sz="4" w:space="0" w:color="auto"/>
            </w:tcBorders>
            <w:vAlign w:val="center"/>
          </w:tcPr>
          <w:p w14:paraId="4A73C24C" w14:textId="77777777" w:rsidR="005D372A" w:rsidRPr="00E0548A" w:rsidRDefault="005D372A" w:rsidP="005D372A">
            <w:pPr>
              <w:jc w:val="center"/>
              <w:rPr>
                <w:rFonts w:ascii="ＭＳ 明朝"/>
                <w:sz w:val="16"/>
                <w:szCs w:val="16"/>
              </w:rPr>
            </w:pPr>
          </w:p>
        </w:tc>
        <w:tc>
          <w:tcPr>
            <w:tcW w:w="228" w:type="pct"/>
            <w:tcBorders>
              <w:top w:val="single" w:sz="4" w:space="0" w:color="auto"/>
              <w:left w:val="single" w:sz="4" w:space="0" w:color="auto"/>
              <w:bottom w:val="single" w:sz="4" w:space="0" w:color="auto"/>
              <w:right w:val="single" w:sz="4" w:space="0" w:color="auto"/>
            </w:tcBorders>
            <w:vAlign w:val="center"/>
          </w:tcPr>
          <w:p w14:paraId="55F1BB6B" w14:textId="77777777" w:rsidR="005D372A" w:rsidRPr="00E0548A" w:rsidRDefault="005D372A" w:rsidP="005D372A">
            <w:pPr>
              <w:jc w:val="center"/>
              <w:rPr>
                <w:rFonts w:ascii="ＭＳ 明朝"/>
                <w:sz w:val="16"/>
                <w:szCs w:val="16"/>
              </w:rPr>
            </w:pPr>
          </w:p>
        </w:tc>
        <w:tc>
          <w:tcPr>
            <w:tcW w:w="228" w:type="pct"/>
            <w:tcBorders>
              <w:top w:val="single" w:sz="4" w:space="0" w:color="auto"/>
              <w:left w:val="single" w:sz="4" w:space="0" w:color="auto"/>
              <w:bottom w:val="single" w:sz="4" w:space="0" w:color="auto"/>
              <w:right w:val="single" w:sz="4" w:space="0" w:color="auto"/>
            </w:tcBorders>
            <w:vAlign w:val="center"/>
          </w:tcPr>
          <w:p w14:paraId="35AFE199" w14:textId="77777777" w:rsidR="005D372A" w:rsidRPr="00E0548A" w:rsidRDefault="005D372A" w:rsidP="005D372A">
            <w:pPr>
              <w:jc w:val="center"/>
              <w:rPr>
                <w:rFonts w:ascii="ＭＳ 明朝"/>
                <w:sz w:val="16"/>
                <w:szCs w:val="16"/>
              </w:rPr>
            </w:pPr>
          </w:p>
        </w:tc>
        <w:tc>
          <w:tcPr>
            <w:tcW w:w="259" w:type="pct"/>
            <w:tcBorders>
              <w:top w:val="single" w:sz="4" w:space="0" w:color="auto"/>
              <w:left w:val="single" w:sz="4" w:space="0" w:color="auto"/>
              <w:bottom w:val="single" w:sz="4" w:space="0" w:color="auto"/>
              <w:right w:val="single" w:sz="4" w:space="0" w:color="auto"/>
            </w:tcBorders>
            <w:vAlign w:val="center"/>
          </w:tcPr>
          <w:p w14:paraId="376E695F" w14:textId="77777777" w:rsidR="005D372A" w:rsidRPr="00E0548A" w:rsidRDefault="005D372A" w:rsidP="005D372A">
            <w:pPr>
              <w:jc w:val="center"/>
              <w:rPr>
                <w:rFonts w:ascii="ＭＳ 明朝"/>
                <w:sz w:val="16"/>
                <w:szCs w:val="16"/>
              </w:rPr>
            </w:pPr>
          </w:p>
        </w:tc>
        <w:tc>
          <w:tcPr>
            <w:tcW w:w="211" w:type="pct"/>
            <w:tcBorders>
              <w:top w:val="single" w:sz="4" w:space="0" w:color="auto"/>
              <w:left w:val="single" w:sz="4" w:space="0" w:color="auto"/>
              <w:bottom w:val="single" w:sz="4" w:space="0" w:color="auto"/>
              <w:right w:val="single" w:sz="4" w:space="0" w:color="auto"/>
            </w:tcBorders>
            <w:shd w:val="clear" w:color="auto" w:fill="FFFFFF"/>
            <w:vAlign w:val="center"/>
          </w:tcPr>
          <w:p w14:paraId="21CD4398" w14:textId="77777777" w:rsidR="005D372A" w:rsidRPr="00E0548A" w:rsidRDefault="005D372A" w:rsidP="005D372A">
            <w:pPr>
              <w:jc w:val="center"/>
              <w:rPr>
                <w:rFonts w:ascii="ＭＳ 明朝"/>
                <w:sz w:val="16"/>
                <w:szCs w:val="16"/>
              </w:rPr>
            </w:pPr>
          </w:p>
        </w:tc>
        <w:tc>
          <w:tcPr>
            <w:tcW w:w="226" w:type="pct"/>
            <w:tcBorders>
              <w:top w:val="single" w:sz="4" w:space="0" w:color="auto"/>
              <w:left w:val="single" w:sz="4" w:space="0" w:color="auto"/>
              <w:bottom w:val="single" w:sz="4" w:space="0" w:color="auto"/>
              <w:right w:val="single" w:sz="4" w:space="0" w:color="auto"/>
            </w:tcBorders>
            <w:shd w:val="clear" w:color="auto" w:fill="FFFFFF"/>
            <w:vAlign w:val="center"/>
          </w:tcPr>
          <w:p w14:paraId="5AA6EF24" w14:textId="77777777" w:rsidR="005D372A" w:rsidRPr="00E0548A" w:rsidRDefault="00F15F21" w:rsidP="005D372A">
            <w:pPr>
              <w:jc w:val="center"/>
              <w:rPr>
                <w:rFonts w:ascii="ＭＳ 明朝"/>
                <w:sz w:val="16"/>
                <w:szCs w:val="16"/>
              </w:rPr>
            </w:pPr>
            <w:r w:rsidRPr="00E0548A">
              <w:rPr>
                <w:rFonts w:ascii="ＭＳ 明朝" w:hint="eastAsia"/>
                <w:sz w:val="16"/>
                <w:szCs w:val="16"/>
              </w:rPr>
              <w:t>〇</w:t>
            </w:r>
          </w:p>
        </w:tc>
        <w:tc>
          <w:tcPr>
            <w:tcW w:w="217" w:type="pct"/>
            <w:tcBorders>
              <w:top w:val="single" w:sz="4" w:space="0" w:color="auto"/>
              <w:left w:val="single" w:sz="4" w:space="0" w:color="auto"/>
              <w:bottom w:val="single" w:sz="4" w:space="0" w:color="auto"/>
              <w:right w:val="single" w:sz="4" w:space="0" w:color="auto"/>
            </w:tcBorders>
            <w:shd w:val="clear" w:color="auto" w:fill="FFFFFF"/>
            <w:vAlign w:val="center"/>
          </w:tcPr>
          <w:p w14:paraId="51311883" w14:textId="77777777" w:rsidR="005D372A" w:rsidRPr="00E0548A" w:rsidRDefault="005D372A" w:rsidP="005D372A">
            <w:pPr>
              <w:jc w:val="center"/>
              <w:rPr>
                <w:rFonts w:ascii="ＭＳ 明朝"/>
                <w:sz w:val="16"/>
                <w:szCs w:val="16"/>
              </w:rPr>
            </w:pPr>
          </w:p>
        </w:tc>
      </w:tr>
      <w:tr w:rsidR="001D6D10" w:rsidRPr="00E0548A" w14:paraId="15C53179" w14:textId="77777777" w:rsidTr="008B4B2B">
        <w:trPr>
          <w:trHeight w:hRule="exact" w:val="311"/>
        </w:trPr>
        <w:tc>
          <w:tcPr>
            <w:tcW w:w="244" w:type="pct"/>
            <w:tcBorders>
              <w:top w:val="single" w:sz="4" w:space="0" w:color="auto"/>
              <w:left w:val="single" w:sz="4" w:space="0" w:color="auto"/>
              <w:bottom w:val="single" w:sz="4" w:space="0" w:color="auto"/>
              <w:right w:val="single" w:sz="4" w:space="0" w:color="auto"/>
            </w:tcBorders>
            <w:vAlign w:val="center"/>
          </w:tcPr>
          <w:p w14:paraId="2D1F83C4" w14:textId="77777777" w:rsidR="005D372A" w:rsidRPr="00E0548A" w:rsidRDefault="005D372A" w:rsidP="00B35001">
            <w:pPr>
              <w:jc w:val="center"/>
              <w:rPr>
                <w:rFonts w:ascii="ＭＳ 明朝"/>
                <w:sz w:val="16"/>
                <w:szCs w:val="16"/>
              </w:rPr>
            </w:pPr>
            <w:r w:rsidRPr="00E0548A">
              <w:rPr>
                <w:rFonts w:ascii="ＭＳ 明朝" w:hint="eastAsia"/>
                <w:sz w:val="16"/>
                <w:szCs w:val="16"/>
              </w:rPr>
              <w:t>3</w:t>
            </w:r>
            <w:r w:rsidR="00AA675F" w:rsidRPr="00E0548A">
              <w:rPr>
                <w:rFonts w:ascii="ＭＳ 明朝"/>
                <w:sz w:val="16"/>
                <w:szCs w:val="16"/>
              </w:rPr>
              <w:t>2</w:t>
            </w:r>
          </w:p>
        </w:tc>
        <w:tc>
          <w:tcPr>
            <w:tcW w:w="233" w:type="pct"/>
            <w:vMerge/>
            <w:tcBorders>
              <w:left w:val="single" w:sz="4" w:space="0" w:color="auto"/>
              <w:right w:val="single" w:sz="4" w:space="0" w:color="auto"/>
            </w:tcBorders>
            <w:vAlign w:val="center"/>
          </w:tcPr>
          <w:p w14:paraId="2D0EBF09" w14:textId="77777777" w:rsidR="005D372A" w:rsidRPr="00E0548A" w:rsidRDefault="005D372A" w:rsidP="005D372A">
            <w:pPr>
              <w:jc w:val="center"/>
              <w:rPr>
                <w:rFonts w:ascii="ＭＳ 明朝"/>
                <w:sz w:val="16"/>
                <w:szCs w:val="16"/>
              </w:rPr>
            </w:pPr>
          </w:p>
        </w:tc>
        <w:tc>
          <w:tcPr>
            <w:tcW w:w="1110" w:type="pct"/>
            <w:tcBorders>
              <w:top w:val="single" w:sz="4" w:space="0" w:color="auto"/>
              <w:left w:val="single" w:sz="4" w:space="0" w:color="auto"/>
              <w:bottom w:val="single" w:sz="4" w:space="0" w:color="auto"/>
              <w:right w:val="single" w:sz="4" w:space="0" w:color="auto"/>
            </w:tcBorders>
            <w:vAlign w:val="center"/>
            <w:hideMark/>
          </w:tcPr>
          <w:p w14:paraId="29C38507" w14:textId="33613074" w:rsidR="005D372A" w:rsidRPr="00E0548A" w:rsidRDefault="005D372A" w:rsidP="005D372A">
            <w:pPr>
              <w:rPr>
                <w:rFonts w:ascii="ＭＳ 明朝"/>
                <w:sz w:val="16"/>
                <w:szCs w:val="16"/>
              </w:rPr>
            </w:pPr>
            <w:r w:rsidRPr="00E0548A">
              <w:rPr>
                <w:rFonts w:ascii="ＭＳ 明朝" w:hint="eastAsia"/>
                <w:sz w:val="16"/>
                <w:szCs w:val="16"/>
              </w:rPr>
              <w:t>会計総務課長</w:t>
            </w:r>
          </w:p>
        </w:tc>
        <w:tc>
          <w:tcPr>
            <w:tcW w:w="229" w:type="pct"/>
            <w:tcBorders>
              <w:top w:val="single" w:sz="4" w:space="0" w:color="auto"/>
              <w:left w:val="single" w:sz="4" w:space="0" w:color="auto"/>
              <w:bottom w:val="single" w:sz="4" w:space="0" w:color="auto"/>
              <w:right w:val="single" w:sz="4" w:space="0" w:color="auto"/>
            </w:tcBorders>
            <w:vAlign w:val="center"/>
          </w:tcPr>
          <w:p w14:paraId="4CD31F54" w14:textId="68AD5177" w:rsidR="005D372A" w:rsidRPr="00E0548A" w:rsidRDefault="005D372A" w:rsidP="005D372A">
            <w:pPr>
              <w:jc w:val="center"/>
              <w:rPr>
                <w:rFonts w:ascii="ＭＳ 明朝"/>
                <w:sz w:val="16"/>
                <w:szCs w:val="16"/>
              </w:rPr>
            </w:pPr>
          </w:p>
        </w:tc>
        <w:tc>
          <w:tcPr>
            <w:tcW w:w="229" w:type="pct"/>
            <w:tcBorders>
              <w:top w:val="single" w:sz="4" w:space="0" w:color="auto"/>
              <w:left w:val="single" w:sz="4" w:space="0" w:color="auto"/>
              <w:bottom w:val="single" w:sz="4" w:space="0" w:color="auto"/>
              <w:right w:val="single" w:sz="4" w:space="0" w:color="auto"/>
            </w:tcBorders>
            <w:vAlign w:val="center"/>
          </w:tcPr>
          <w:p w14:paraId="5A65C5C9" w14:textId="588FE58A" w:rsidR="005D372A" w:rsidRPr="00E0548A" w:rsidRDefault="005D372A" w:rsidP="005D372A">
            <w:pPr>
              <w:jc w:val="center"/>
              <w:rPr>
                <w:rFonts w:ascii="ＭＳ 明朝"/>
                <w:sz w:val="16"/>
                <w:szCs w:val="16"/>
              </w:rPr>
            </w:pPr>
          </w:p>
        </w:tc>
        <w:tc>
          <w:tcPr>
            <w:tcW w:w="238" w:type="pct"/>
            <w:tcBorders>
              <w:top w:val="single" w:sz="4" w:space="0" w:color="auto"/>
              <w:left w:val="single" w:sz="4" w:space="0" w:color="auto"/>
              <w:bottom w:val="single" w:sz="4" w:space="0" w:color="auto"/>
              <w:right w:val="single" w:sz="4" w:space="0" w:color="auto"/>
            </w:tcBorders>
            <w:vAlign w:val="center"/>
          </w:tcPr>
          <w:p w14:paraId="0D619BEB" w14:textId="170F18A5" w:rsidR="005D372A" w:rsidRPr="00E0548A" w:rsidRDefault="005D372A" w:rsidP="005D372A">
            <w:pPr>
              <w:jc w:val="center"/>
              <w:rPr>
                <w:rFonts w:ascii="ＭＳ 明朝"/>
                <w:sz w:val="16"/>
                <w:szCs w:val="16"/>
              </w:rPr>
            </w:pPr>
          </w:p>
        </w:tc>
        <w:tc>
          <w:tcPr>
            <w:tcW w:w="222" w:type="pct"/>
            <w:tcBorders>
              <w:top w:val="single" w:sz="4" w:space="0" w:color="auto"/>
              <w:left w:val="single" w:sz="4" w:space="0" w:color="auto"/>
              <w:bottom w:val="single" w:sz="4" w:space="0" w:color="auto"/>
              <w:right w:val="single" w:sz="4" w:space="0" w:color="auto"/>
            </w:tcBorders>
          </w:tcPr>
          <w:p w14:paraId="74A74F6C" w14:textId="77777777" w:rsidR="005D372A" w:rsidRPr="00E0548A" w:rsidRDefault="005D372A" w:rsidP="005D372A">
            <w:pPr>
              <w:jc w:val="center"/>
              <w:rPr>
                <w:rFonts w:ascii="ＭＳ 明朝"/>
                <w:sz w:val="16"/>
                <w:szCs w:val="16"/>
              </w:rPr>
            </w:pPr>
          </w:p>
        </w:tc>
        <w:tc>
          <w:tcPr>
            <w:tcW w:w="222" w:type="pct"/>
            <w:tcBorders>
              <w:top w:val="single" w:sz="4" w:space="0" w:color="auto"/>
              <w:left w:val="single" w:sz="4" w:space="0" w:color="auto"/>
              <w:bottom w:val="single" w:sz="4" w:space="0" w:color="auto"/>
              <w:right w:val="single" w:sz="4" w:space="0" w:color="auto"/>
            </w:tcBorders>
            <w:shd w:val="clear" w:color="auto" w:fill="FFFFFF"/>
            <w:vAlign w:val="center"/>
          </w:tcPr>
          <w:p w14:paraId="519EE642" w14:textId="77777777" w:rsidR="005D372A" w:rsidRPr="00E0548A" w:rsidRDefault="005D372A" w:rsidP="005D372A">
            <w:pPr>
              <w:jc w:val="center"/>
              <w:rPr>
                <w:rFonts w:ascii="ＭＳ 明朝"/>
                <w:sz w:val="16"/>
                <w:szCs w:val="16"/>
              </w:rPr>
            </w:pPr>
          </w:p>
        </w:tc>
        <w:tc>
          <w:tcPr>
            <w:tcW w:w="220" w:type="pct"/>
            <w:tcBorders>
              <w:top w:val="single" w:sz="4" w:space="0" w:color="auto"/>
              <w:left w:val="single" w:sz="4" w:space="0" w:color="auto"/>
              <w:bottom w:val="single" w:sz="4" w:space="0" w:color="auto"/>
              <w:right w:val="single" w:sz="4" w:space="0" w:color="auto"/>
            </w:tcBorders>
            <w:vAlign w:val="center"/>
          </w:tcPr>
          <w:p w14:paraId="57F44DEA" w14:textId="77777777" w:rsidR="005D372A" w:rsidRPr="00E0548A" w:rsidRDefault="005D372A" w:rsidP="005D372A">
            <w:pPr>
              <w:jc w:val="center"/>
              <w:rPr>
                <w:rFonts w:ascii="ＭＳ 明朝"/>
                <w:sz w:val="16"/>
                <w:szCs w:val="16"/>
              </w:rPr>
            </w:pPr>
          </w:p>
        </w:tc>
        <w:tc>
          <w:tcPr>
            <w:tcW w:w="228" w:type="pct"/>
            <w:tcBorders>
              <w:top w:val="single" w:sz="4" w:space="0" w:color="auto"/>
              <w:left w:val="single" w:sz="4" w:space="0" w:color="auto"/>
              <w:bottom w:val="single" w:sz="4" w:space="0" w:color="auto"/>
              <w:right w:val="single" w:sz="4" w:space="0" w:color="auto"/>
            </w:tcBorders>
            <w:vAlign w:val="center"/>
          </w:tcPr>
          <w:p w14:paraId="525DDEFA" w14:textId="77777777" w:rsidR="005D372A" w:rsidRPr="00E0548A" w:rsidRDefault="005D372A" w:rsidP="005D372A">
            <w:pPr>
              <w:jc w:val="center"/>
              <w:rPr>
                <w:rFonts w:ascii="ＭＳ 明朝"/>
                <w:sz w:val="16"/>
                <w:szCs w:val="16"/>
              </w:rPr>
            </w:pPr>
          </w:p>
        </w:tc>
        <w:tc>
          <w:tcPr>
            <w:tcW w:w="228" w:type="pct"/>
            <w:tcBorders>
              <w:top w:val="single" w:sz="4" w:space="0" w:color="auto"/>
              <w:left w:val="single" w:sz="4" w:space="0" w:color="auto"/>
              <w:bottom w:val="single" w:sz="4" w:space="0" w:color="auto"/>
              <w:right w:val="single" w:sz="4" w:space="0" w:color="auto"/>
            </w:tcBorders>
            <w:vAlign w:val="center"/>
          </w:tcPr>
          <w:p w14:paraId="763FF5E8" w14:textId="77777777" w:rsidR="005D372A" w:rsidRPr="00E0548A" w:rsidRDefault="005D372A" w:rsidP="005D372A">
            <w:pPr>
              <w:jc w:val="center"/>
              <w:rPr>
                <w:rFonts w:ascii="ＭＳ 明朝"/>
                <w:sz w:val="16"/>
                <w:szCs w:val="16"/>
              </w:rPr>
            </w:pPr>
          </w:p>
        </w:tc>
        <w:tc>
          <w:tcPr>
            <w:tcW w:w="228" w:type="pct"/>
            <w:tcBorders>
              <w:top w:val="single" w:sz="4" w:space="0" w:color="auto"/>
              <w:left w:val="single" w:sz="4" w:space="0" w:color="auto"/>
              <w:bottom w:val="single" w:sz="4" w:space="0" w:color="auto"/>
              <w:right w:val="single" w:sz="4" w:space="0" w:color="auto"/>
            </w:tcBorders>
            <w:vAlign w:val="center"/>
          </w:tcPr>
          <w:p w14:paraId="0EC9C45D" w14:textId="77777777" w:rsidR="005D372A" w:rsidRPr="00E0548A" w:rsidRDefault="005D372A" w:rsidP="005D372A">
            <w:pPr>
              <w:jc w:val="center"/>
              <w:rPr>
                <w:rFonts w:ascii="ＭＳ 明朝"/>
                <w:sz w:val="16"/>
                <w:szCs w:val="16"/>
              </w:rPr>
            </w:pPr>
          </w:p>
        </w:tc>
        <w:tc>
          <w:tcPr>
            <w:tcW w:w="228" w:type="pct"/>
            <w:tcBorders>
              <w:top w:val="single" w:sz="4" w:space="0" w:color="auto"/>
              <w:left w:val="single" w:sz="4" w:space="0" w:color="auto"/>
              <w:bottom w:val="single" w:sz="4" w:space="0" w:color="auto"/>
              <w:right w:val="single" w:sz="4" w:space="0" w:color="auto"/>
            </w:tcBorders>
            <w:vAlign w:val="center"/>
          </w:tcPr>
          <w:p w14:paraId="6D7ED9A8" w14:textId="77777777" w:rsidR="005D372A" w:rsidRPr="00E0548A" w:rsidRDefault="005D372A" w:rsidP="005D372A">
            <w:pPr>
              <w:jc w:val="center"/>
              <w:rPr>
                <w:rFonts w:ascii="ＭＳ 明朝"/>
                <w:sz w:val="16"/>
                <w:szCs w:val="16"/>
              </w:rPr>
            </w:pPr>
          </w:p>
        </w:tc>
        <w:tc>
          <w:tcPr>
            <w:tcW w:w="228" w:type="pct"/>
            <w:tcBorders>
              <w:top w:val="single" w:sz="4" w:space="0" w:color="auto"/>
              <w:left w:val="single" w:sz="4" w:space="0" w:color="auto"/>
              <w:bottom w:val="single" w:sz="4" w:space="0" w:color="auto"/>
              <w:right w:val="single" w:sz="4" w:space="0" w:color="auto"/>
            </w:tcBorders>
            <w:vAlign w:val="center"/>
          </w:tcPr>
          <w:p w14:paraId="3670F2E0" w14:textId="77777777" w:rsidR="005D372A" w:rsidRPr="00E0548A" w:rsidRDefault="005D372A" w:rsidP="005D372A">
            <w:pPr>
              <w:jc w:val="center"/>
              <w:rPr>
                <w:rFonts w:ascii="ＭＳ 明朝"/>
                <w:sz w:val="16"/>
                <w:szCs w:val="16"/>
              </w:rPr>
            </w:pPr>
          </w:p>
        </w:tc>
        <w:tc>
          <w:tcPr>
            <w:tcW w:w="259" w:type="pct"/>
            <w:tcBorders>
              <w:top w:val="single" w:sz="4" w:space="0" w:color="auto"/>
              <w:left w:val="single" w:sz="4" w:space="0" w:color="auto"/>
              <w:bottom w:val="single" w:sz="4" w:space="0" w:color="auto"/>
              <w:right w:val="single" w:sz="4" w:space="0" w:color="auto"/>
            </w:tcBorders>
            <w:vAlign w:val="center"/>
          </w:tcPr>
          <w:p w14:paraId="26224422" w14:textId="77777777" w:rsidR="005D372A" w:rsidRPr="00E0548A" w:rsidRDefault="005D372A" w:rsidP="005D372A">
            <w:pPr>
              <w:jc w:val="center"/>
              <w:rPr>
                <w:rFonts w:ascii="ＭＳ 明朝"/>
                <w:sz w:val="16"/>
                <w:szCs w:val="16"/>
              </w:rPr>
            </w:pPr>
          </w:p>
        </w:tc>
        <w:tc>
          <w:tcPr>
            <w:tcW w:w="211" w:type="pct"/>
            <w:tcBorders>
              <w:top w:val="single" w:sz="4" w:space="0" w:color="auto"/>
              <w:left w:val="single" w:sz="4" w:space="0" w:color="auto"/>
              <w:bottom w:val="single" w:sz="4" w:space="0" w:color="auto"/>
              <w:right w:val="single" w:sz="4" w:space="0" w:color="auto"/>
            </w:tcBorders>
            <w:shd w:val="clear" w:color="auto" w:fill="FFFFFF"/>
            <w:vAlign w:val="center"/>
          </w:tcPr>
          <w:p w14:paraId="0B9C8E24" w14:textId="77777777" w:rsidR="005D372A" w:rsidRPr="00E0548A" w:rsidRDefault="005D372A" w:rsidP="005D372A">
            <w:pPr>
              <w:jc w:val="center"/>
              <w:rPr>
                <w:rFonts w:ascii="ＭＳ 明朝"/>
                <w:sz w:val="16"/>
                <w:szCs w:val="16"/>
              </w:rPr>
            </w:pPr>
          </w:p>
        </w:tc>
        <w:tc>
          <w:tcPr>
            <w:tcW w:w="226" w:type="pct"/>
            <w:tcBorders>
              <w:top w:val="single" w:sz="4" w:space="0" w:color="auto"/>
              <w:left w:val="single" w:sz="4" w:space="0" w:color="auto"/>
              <w:bottom w:val="single" w:sz="4" w:space="0" w:color="auto"/>
              <w:right w:val="single" w:sz="4" w:space="0" w:color="auto"/>
            </w:tcBorders>
            <w:shd w:val="clear" w:color="auto" w:fill="FFFFFF"/>
            <w:vAlign w:val="center"/>
          </w:tcPr>
          <w:p w14:paraId="1005C0FD" w14:textId="77777777" w:rsidR="005D372A" w:rsidRPr="00E0548A" w:rsidRDefault="005D372A" w:rsidP="005D372A">
            <w:pPr>
              <w:jc w:val="center"/>
              <w:rPr>
                <w:rFonts w:ascii="ＭＳ 明朝"/>
                <w:sz w:val="16"/>
                <w:szCs w:val="16"/>
              </w:rPr>
            </w:pPr>
            <w:r w:rsidRPr="00E0548A">
              <w:rPr>
                <w:rFonts w:ascii="ＭＳ 明朝" w:hint="eastAsia"/>
                <w:sz w:val="16"/>
                <w:szCs w:val="16"/>
              </w:rPr>
              <w:t>○</w:t>
            </w:r>
          </w:p>
        </w:tc>
        <w:tc>
          <w:tcPr>
            <w:tcW w:w="217" w:type="pct"/>
            <w:tcBorders>
              <w:top w:val="single" w:sz="4" w:space="0" w:color="auto"/>
              <w:left w:val="single" w:sz="4" w:space="0" w:color="auto"/>
              <w:bottom w:val="single" w:sz="4" w:space="0" w:color="auto"/>
              <w:right w:val="single" w:sz="4" w:space="0" w:color="auto"/>
            </w:tcBorders>
            <w:shd w:val="clear" w:color="auto" w:fill="FFFFFF"/>
            <w:vAlign w:val="center"/>
          </w:tcPr>
          <w:p w14:paraId="47C96F72" w14:textId="77777777" w:rsidR="005D372A" w:rsidRPr="00E0548A" w:rsidRDefault="005D372A" w:rsidP="005D372A">
            <w:pPr>
              <w:jc w:val="center"/>
              <w:rPr>
                <w:rFonts w:ascii="ＭＳ 明朝"/>
                <w:sz w:val="16"/>
                <w:szCs w:val="16"/>
              </w:rPr>
            </w:pPr>
          </w:p>
        </w:tc>
      </w:tr>
      <w:tr w:rsidR="001D6D10" w:rsidRPr="001D6D10" w14:paraId="4D6E3C85" w14:textId="77777777" w:rsidTr="008B4B2B">
        <w:trPr>
          <w:trHeight w:hRule="exact" w:val="334"/>
        </w:trPr>
        <w:tc>
          <w:tcPr>
            <w:tcW w:w="244" w:type="pct"/>
            <w:tcBorders>
              <w:top w:val="single" w:sz="4" w:space="0" w:color="auto"/>
              <w:left w:val="single" w:sz="4" w:space="0" w:color="auto"/>
              <w:bottom w:val="single" w:sz="4" w:space="0" w:color="auto"/>
              <w:right w:val="single" w:sz="4" w:space="0" w:color="auto"/>
            </w:tcBorders>
            <w:vAlign w:val="center"/>
            <w:hideMark/>
          </w:tcPr>
          <w:p w14:paraId="4907A641" w14:textId="77777777" w:rsidR="005D372A" w:rsidRPr="00E0548A" w:rsidRDefault="005D372A" w:rsidP="00B35001">
            <w:pPr>
              <w:jc w:val="center"/>
              <w:rPr>
                <w:rFonts w:ascii="ＭＳ 明朝"/>
                <w:sz w:val="16"/>
                <w:szCs w:val="16"/>
              </w:rPr>
            </w:pPr>
            <w:r w:rsidRPr="00E0548A">
              <w:rPr>
                <w:rFonts w:ascii="ＭＳ 明朝" w:hint="eastAsia"/>
                <w:sz w:val="16"/>
                <w:szCs w:val="16"/>
              </w:rPr>
              <w:t>3</w:t>
            </w:r>
            <w:r w:rsidR="00AA675F" w:rsidRPr="00E0548A">
              <w:rPr>
                <w:rFonts w:ascii="ＭＳ 明朝"/>
                <w:sz w:val="16"/>
                <w:szCs w:val="16"/>
              </w:rPr>
              <w:t>3</w:t>
            </w:r>
          </w:p>
        </w:tc>
        <w:tc>
          <w:tcPr>
            <w:tcW w:w="233" w:type="pct"/>
            <w:vMerge/>
            <w:tcBorders>
              <w:left w:val="single" w:sz="4" w:space="0" w:color="auto"/>
              <w:bottom w:val="single" w:sz="4" w:space="0" w:color="auto"/>
              <w:right w:val="single" w:sz="4" w:space="0" w:color="auto"/>
            </w:tcBorders>
            <w:vAlign w:val="center"/>
          </w:tcPr>
          <w:p w14:paraId="4581E767" w14:textId="77777777" w:rsidR="005D372A" w:rsidRPr="00E0548A" w:rsidRDefault="005D372A" w:rsidP="005D372A">
            <w:pPr>
              <w:jc w:val="center"/>
              <w:rPr>
                <w:rFonts w:ascii="ＭＳ 明朝"/>
                <w:sz w:val="16"/>
                <w:szCs w:val="16"/>
              </w:rPr>
            </w:pPr>
          </w:p>
        </w:tc>
        <w:tc>
          <w:tcPr>
            <w:tcW w:w="1110" w:type="pct"/>
            <w:tcBorders>
              <w:top w:val="single" w:sz="4" w:space="0" w:color="auto"/>
              <w:left w:val="single" w:sz="4" w:space="0" w:color="auto"/>
              <w:bottom w:val="single" w:sz="4" w:space="0" w:color="auto"/>
              <w:right w:val="single" w:sz="4" w:space="0" w:color="auto"/>
            </w:tcBorders>
            <w:vAlign w:val="center"/>
            <w:hideMark/>
          </w:tcPr>
          <w:p w14:paraId="23972174" w14:textId="31A5A431" w:rsidR="005D372A" w:rsidRPr="00E0548A" w:rsidRDefault="005D372A" w:rsidP="005D372A">
            <w:pPr>
              <w:rPr>
                <w:rFonts w:ascii="ＭＳ 明朝"/>
                <w:sz w:val="16"/>
                <w:szCs w:val="16"/>
              </w:rPr>
            </w:pPr>
            <w:r w:rsidRPr="00E0548A">
              <w:rPr>
                <w:rFonts w:ascii="ＭＳ 明朝" w:hint="eastAsia"/>
                <w:sz w:val="16"/>
                <w:szCs w:val="16"/>
              </w:rPr>
              <w:t>教育総務企画課長</w:t>
            </w:r>
          </w:p>
        </w:tc>
        <w:tc>
          <w:tcPr>
            <w:tcW w:w="229" w:type="pct"/>
            <w:tcBorders>
              <w:top w:val="single" w:sz="4" w:space="0" w:color="auto"/>
              <w:left w:val="single" w:sz="4" w:space="0" w:color="auto"/>
              <w:bottom w:val="single" w:sz="4" w:space="0" w:color="auto"/>
              <w:right w:val="single" w:sz="4" w:space="0" w:color="auto"/>
            </w:tcBorders>
            <w:vAlign w:val="center"/>
          </w:tcPr>
          <w:p w14:paraId="77EB1A1B" w14:textId="77777777" w:rsidR="005D372A" w:rsidRPr="00E0548A" w:rsidRDefault="005D372A" w:rsidP="005D372A">
            <w:pPr>
              <w:jc w:val="center"/>
              <w:rPr>
                <w:rFonts w:ascii="ＭＳ 明朝"/>
                <w:sz w:val="16"/>
                <w:szCs w:val="16"/>
              </w:rPr>
            </w:pPr>
          </w:p>
        </w:tc>
        <w:tc>
          <w:tcPr>
            <w:tcW w:w="229" w:type="pct"/>
            <w:tcBorders>
              <w:top w:val="single" w:sz="4" w:space="0" w:color="auto"/>
              <w:left w:val="single" w:sz="4" w:space="0" w:color="auto"/>
              <w:bottom w:val="single" w:sz="4" w:space="0" w:color="auto"/>
              <w:right w:val="single" w:sz="4" w:space="0" w:color="auto"/>
            </w:tcBorders>
            <w:vAlign w:val="center"/>
          </w:tcPr>
          <w:p w14:paraId="11557C24" w14:textId="77777777" w:rsidR="005D372A" w:rsidRPr="00E0548A" w:rsidRDefault="005D372A" w:rsidP="005D372A">
            <w:pPr>
              <w:jc w:val="center"/>
              <w:rPr>
                <w:rFonts w:ascii="ＭＳ 明朝"/>
                <w:sz w:val="16"/>
                <w:szCs w:val="16"/>
              </w:rPr>
            </w:pPr>
          </w:p>
        </w:tc>
        <w:tc>
          <w:tcPr>
            <w:tcW w:w="238" w:type="pct"/>
            <w:tcBorders>
              <w:top w:val="single" w:sz="4" w:space="0" w:color="auto"/>
              <w:left w:val="single" w:sz="4" w:space="0" w:color="auto"/>
              <w:bottom w:val="single" w:sz="4" w:space="0" w:color="auto"/>
              <w:right w:val="single" w:sz="4" w:space="0" w:color="auto"/>
            </w:tcBorders>
            <w:vAlign w:val="center"/>
          </w:tcPr>
          <w:p w14:paraId="17882E26" w14:textId="77777777" w:rsidR="005D372A" w:rsidRPr="00E0548A" w:rsidRDefault="005D372A" w:rsidP="005D372A">
            <w:pPr>
              <w:jc w:val="center"/>
              <w:rPr>
                <w:rFonts w:ascii="ＭＳ 明朝"/>
                <w:sz w:val="16"/>
                <w:szCs w:val="16"/>
              </w:rPr>
            </w:pPr>
          </w:p>
        </w:tc>
        <w:tc>
          <w:tcPr>
            <w:tcW w:w="222" w:type="pct"/>
            <w:tcBorders>
              <w:top w:val="single" w:sz="4" w:space="0" w:color="auto"/>
              <w:left w:val="single" w:sz="4" w:space="0" w:color="auto"/>
              <w:bottom w:val="single" w:sz="4" w:space="0" w:color="auto"/>
              <w:right w:val="single" w:sz="4" w:space="0" w:color="auto"/>
            </w:tcBorders>
          </w:tcPr>
          <w:p w14:paraId="5E5F1CB4" w14:textId="77777777" w:rsidR="005D372A" w:rsidRPr="00E0548A" w:rsidRDefault="005D372A" w:rsidP="005D372A">
            <w:pPr>
              <w:jc w:val="center"/>
              <w:rPr>
                <w:rFonts w:ascii="ＭＳ 明朝"/>
                <w:sz w:val="16"/>
                <w:szCs w:val="16"/>
              </w:rPr>
            </w:pPr>
            <w:r w:rsidRPr="00E0548A">
              <w:rPr>
                <w:rFonts w:ascii="ＭＳ 明朝" w:hint="eastAsia"/>
                <w:sz w:val="16"/>
                <w:szCs w:val="16"/>
              </w:rPr>
              <w:t>○</w:t>
            </w:r>
          </w:p>
        </w:tc>
        <w:tc>
          <w:tcPr>
            <w:tcW w:w="222" w:type="pct"/>
            <w:tcBorders>
              <w:top w:val="single" w:sz="4" w:space="0" w:color="auto"/>
              <w:left w:val="single" w:sz="4" w:space="0" w:color="auto"/>
              <w:bottom w:val="single" w:sz="4" w:space="0" w:color="auto"/>
              <w:right w:val="single" w:sz="4" w:space="0" w:color="auto"/>
            </w:tcBorders>
            <w:shd w:val="clear" w:color="auto" w:fill="FFFFFF"/>
            <w:vAlign w:val="center"/>
          </w:tcPr>
          <w:p w14:paraId="01DD0860" w14:textId="77777777" w:rsidR="005D372A" w:rsidRPr="00E0548A" w:rsidRDefault="005D372A" w:rsidP="005D372A">
            <w:pPr>
              <w:jc w:val="center"/>
              <w:rPr>
                <w:rFonts w:ascii="ＭＳ 明朝"/>
                <w:sz w:val="16"/>
                <w:szCs w:val="16"/>
              </w:rPr>
            </w:pPr>
          </w:p>
        </w:tc>
        <w:tc>
          <w:tcPr>
            <w:tcW w:w="220" w:type="pct"/>
            <w:tcBorders>
              <w:top w:val="single" w:sz="4" w:space="0" w:color="auto"/>
              <w:left w:val="single" w:sz="4" w:space="0" w:color="auto"/>
              <w:bottom w:val="single" w:sz="4" w:space="0" w:color="auto"/>
              <w:right w:val="single" w:sz="4" w:space="0" w:color="auto"/>
            </w:tcBorders>
            <w:vAlign w:val="center"/>
          </w:tcPr>
          <w:p w14:paraId="1796FC55" w14:textId="77777777" w:rsidR="005D372A" w:rsidRPr="00E0548A" w:rsidRDefault="005D372A" w:rsidP="005D372A">
            <w:pPr>
              <w:jc w:val="center"/>
              <w:rPr>
                <w:rFonts w:ascii="ＭＳ 明朝"/>
                <w:sz w:val="16"/>
                <w:szCs w:val="16"/>
              </w:rPr>
            </w:pPr>
          </w:p>
        </w:tc>
        <w:tc>
          <w:tcPr>
            <w:tcW w:w="228" w:type="pct"/>
            <w:tcBorders>
              <w:top w:val="single" w:sz="4" w:space="0" w:color="auto"/>
              <w:left w:val="single" w:sz="4" w:space="0" w:color="auto"/>
              <w:bottom w:val="single" w:sz="4" w:space="0" w:color="auto"/>
              <w:right w:val="single" w:sz="4" w:space="0" w:color="auto"/>
            </w:tcBorders>
            <w:vAlign w:val="center"/>
          </w:tcPr>
          <w:p w14:paraId="165AF7DD" w14:textId="77777777" w:rsidR="005D372A" w:rsidRPr="00E0548A" w:rsidRDefault="005D372A" w:rsidP="005D372A">
            <w:pPr>
              <w:jc w:val="center"/>
              <w:rPr>
                <w:rFonts w:ascii="ＭＳ 明朝"/>
                <w:sz w:val="16"/>
                <w:szCs w:val="16"/>
              </w:rPr>
            </w:pPr>
          </w:p>
        </w:tc>
        <w:tc>
          <w:tcPr>
            <w:tcW w:w="228" w:type="pct"/>
            <w:tcBorders>
              <w:top w:val="single" w:sz="4" w:space="0" w:color="auto"/>
              <w:left w:val="single" w:sz="4" w:space="0" w:color="auto"/>
              <w:bottom w:val="single" w:sz="4" w:space="0" w:color="auto"/>
              <w:right w:val="single" w:sz="4" w:space="0" w:color="auto"/>
            </w:tcBorders>
            <w:vAlign w:val="center"/>
          </w:tcPr>
          <w:p w14:paraId="3AE39F7E" w14:textId="77777777" w:rsidR="005D372A" w:rsidRPr="00E0548A" w:rsidRDefault="005D372A" w:rsidP="005D372A">
            <w:pPr>
              <w:jc w:val="center"/>
              <w:rPr>
                <w:rFonts w:ascii="ＭＳ 明朝"/>
                <w:sz w:val="16"/>
                <w:szCs w:val="16"/>
              </w:rPr>
            </w:pPr>
          </w:p>
        </w:tc>
        <w:tc>
          <w:tcPr>
            <w:tcW w:w="228" w:type="pct"/>
            <w:tcBorders>
              <w:top w:val="single" w:sz="4" w:space="0" w:color="auto"/>
              <w:left w:val="single" w:sz="4" w:space="0" w:color="auto"/>
              <w:bottom w:val="single" w:sz="4" w:space="0" w:color="auto"/>
              <w:right w:val="single" w:sz="4" w:space="0" w:color="auto"/>
            </w:tcBorders>
            <w:vAlign w:val="center"/>
          </w:tcPr>
          <w:p w14:paraId="496A862E" w14:textId="77777777" w:rsidR="005D372A" w:rsidRPr="00E0548A" w:rsidRDefault="005D372A" w:rsidP="005D372A">
            <w:pPr>
              <w:jc w:val="center"/>
              <w:rPr>
                <w:rFonts w:ascii="ＭＳ 明朝"/>
                <w:sz w:val="16"/>
                <w:szCs w:val="16"/>
              </w:rPr>
            </w:pPr>
          </w:p>
        </w:tc>
        <w:tc>
          <w:tcPr>
            <w:tcW w:w="228" w:type="pct"/>
            <w:tcBorders>
              <w:top w:val="single" w:sz="4" w:space="0" w:color="auto"/>
              <w:left w:val="single" w:sz="4" w:space="0" w:color="auto"/>
              <w:bottom w:val="single" w:sz="4" w:space="0" w:color="auto"/>
              <w:right w:val="single" w:sz="4" w:space="0" w:color="auto"/>
            </w:tcBorders>
            <w:vAlign w:val="center"/>
          </w:tcPr>
          <w:p w14:paraId="16AA71A6" w14:textId="77777777" w:rsidR="005D372A" w:rsidRPr="00E0548A" w:rsidRDefault="005D372A" w:rsidP="005D372A">
            <w:pPr>
              <w:jc w:val="center"/>
              <w:rPr>
                <w:rFonts w:ascii="ＭＳ 明朝"/>
                <w:sz w:val="16"/>
                <w:szCs w:val="16"/>
              </w:rPr>
            </w:pPr>
          </w:p>
        </w:tc>
        <w:tc>
          <w:tcPr>
            <w:tcW w:w="228" w:type="pct"/>
            <w:tcBorders>
              <w:top w:val="single" w:sz="4" w:space="0" w:color="auto"/>
              <w:left w:val="single" w:sz="4" w:space="0" w:color="auto"/>
              <w:bottom w:val="single" w:sz="4" w:space="0" w:color="auto"/>
              <w:right w:val="single" w:sz="4" w:space="0" w:color="auto"/>
            </w:tcBorders>
            <w:vAlign w:val="center"/>
          </w:tcPr>
          <w:p w14:paraId="23D6A61A" w14:textId="77777777" w:rsidR="005D372A" w:rsidRPr="00E0548A" w:rsidRDefault="005D372A" w:rsidP="005D372A">
            <w:pPr>
              <w:jc w:val="center"/>
              <w:rPr>
                <w:rFonts w:ascii="ＭＳ 明朝"/>
                <w:sz w:val="16"/>
                <w:szCs w:val="16"/>
              </w:rPr>
            </w:pPr>
          </w:p>
        </w:tc>
        <w:tc>
          <w:tcPr>
            <w:tcW w:w="259" w:type="pct"/>
            <w:tcBorders>
              <w:top w:val="single" w:sz="4" w:space="0" w:color="auto"/>
              <w:left w:val="single" w:sz="4" w:space="0" w:color="auto"/>
              <w:bottom w:val="single" w:sz="4" w:space="0" w:color="auto"/>
              <w:right w:val="single" w:sz="4" w:space="0" w:color="auto"/>
            </w:tcBorders>
            <w:vAlign w:val="center"/>
          </w:tcPr>
          <w:p w14:paraId="7CAF0124" w14:textId="77777777" w:rsidR="005D372A" w:rsidRPr="00E0548A" w:rsidRDefault="005D372A" w:rsidP="005D372A">
            <w:pPr>
              <w:jc w:val="center"/>
              <w:rPr>
                <w:rFonts w:ascii="ＭＳ 明朝"/>
                <w:sz w:val="16"/>
                <w:szCs w:val="16"/>
              </w:rPr>
            </w:pPr>
          </w:p>
        </w:tc>
        <w:tc>
          <w:tcPr>
            <w:tcW w:w="211" w:type="pct"/>
            <w:tcBorders>
              <w:top w:val="single" w:sz="4" w:space="0" w:color="auto"/>
              <w:left w:val="single" w:sz="4" w:space="0" w:color="auto"/>
              <w:bottom w:val="single" w:sz="4" w:space="0" w:color="auto"/>
              <w:right w:val="single" w:sz="4" w:space="0" w:color="auto"/>
            </w:tcBorders>
            <w:shd w:val="clear" w:color="auto" w:fill="FFFFFF"/>
            <w:vAlign w:val="center"/>
          </w:tcPr>
          <w:p w14:paraId="60CBD024" w14:textId="77777777" w:rsidR="005D372A" w:rsidRPr="00E0548A" w:rsidRDefault="005D372A" w:rsidP="005D372A">
            <w:pPr>
              <w:jc w:val="center"/>
              <w:rPr>
                <w:rFonts w:ascii="ＭＳ 明朝"/>
                <w:sz w:val="16"/>
                <w:szCs w:val="16"/>
              </w:rPr>
            </w:pPr>
          </w:p>
        </w:tc>
        <w:tc>
          <w:tcPr>
            <w:tcW w:w="226" w:type="pct"/>
            <w:tcBorders>
              <w:top w:val="single" w:sz="4" w:space="0" w:color="auto"/>
              <w:left w:val="single" w:sz="4" w:space="0" w:color="auto"/>
              <w:bottom w:val="single" w:sz="4" w:space="0" w:color="auto"/>
              <w:right w:val="single" w:sz="4" w:space="0" w:color="auto"/>
            </w:tcBorders>
            <w:shd w:val="clear" w:color="auto" w:fill="FFFFFF"/>
            <w:vAlign w:val="center"/>
          </w:tcPr>
          <w:p w14:paraId="05FCDDE8" w14:textId="77777777" w:rsidR="005D372A" w:rsidRPr="001D6D10" w:rsidRDefault="005D372A" w:rsidP="005D372A">
            <w:pPr>
              <w:jc w:val="center"/>
              <w:rPr>
                <w:rFonts w:ascii="ＭＳ 明朝"/>
                <w:sz w:val="16"/>
                <w:szCs w:val="16"/>
              </w:rPr>
            </w:pPr>
            <w:r w:rsidRPr="00E0548A">
              <w:rPr>
                <w:rFonts w:ascii="ＭＳ 明朝" w:hint="eastAsia"/>
                <w:sz w:val="16"/>
                <w:szCs w:val="16"/>
              </w:rPr>
              <w:t>○</w:t>
            </w:r>
          </w:p>
        </w:tc>
        <w:tc>
          <w:tcPr>
            <w:tcW w:w="217" w:type="pct"/>
            <w:tcBorders>
              <w:top w:val="single" w:sz="4" w:space="0" w:color="auto"/>
              <w:left w:val="single" w:sz="4" w:space="0" w:color="auto"/>
              <w:bottom w:val="single" w:sz="4" w:space="0" w:color="auto"/>
              <w:right w:val="single" w:sz="4" w:space="0" w:color="auto"/>
            </w:tcBorders>
            <w:shd w:val="clear" w:color="auto" w:fill="FFFFFF"/>
            <w:vAlign w:val="center"/>
          </w:tcPr>
          <w:p w14:paraId="50D9C52D" w14:textId="77777777" w:rsidR="005D372A" w:rsidRPr="001D6D10" w:rsidRDefault="005D372A" w:rsidP="005D372A">
            <w:pPr>
              <w:jc w:val="center"/>
              <w:rPr>
                <w:rFonts w:ascii="ＭＳ 明朝"/>
                <w:sz w:val="16"/>
                <w:szCs w:val="16"/>
              </w:rPr>
            </w:pPr>
          </w:p>
        </w:tc>
      </w:tr>
    </w:tbl>
    <w:p w14:paraId="191486BF" w14:textId="500E068E" w:rsidR="005D372A" w:rsidRPr="001D6D10" w:rsidRDefault="005D372A" w:rsidP="00A06EE7">
      <w:pPr>
        <w:pStyle w:val="4"/>
        <w:ind w:leftChars="0" w:left="0" w:firstLine="567"/>
        <w:rPr>
          <w:rFonts w:ascii="ＭＳ ゴシック" w:eastAsia="ＭＳ ゴシック" w:hAnsi="ＭＳ ゴシック"/>
          <w:b w:val="0"/>
          <w:sz w:val="22"/>
          <w:szCs w:val="22"/>
          <w:u w:val="single"/>
        </w:rPr>
      </w:pPr>
      <w:bookmarkStart w:id="45" w:name="_Toc122436878"/>
      <w:bookmarkStart w:id="46" w:name="_Toc222486568"/>
      <w:bookmarkStart w:id="47" w:name="_Toc242870237"/>
      <w:bookmarkEnd w:id="44"/>
      <w:r w:rsidRPr="001D6D10">
        <w:rPr>
          <w:rFonts w:ascii="ＭＳ ゴシック" w:eastAsia="ＭＳ ゴシック" w:hAnsi="ＭＳ ゴシック" w:hint="eastAsia"/>
          <w:b w:val="0"/>
          <w:sz w:val="22"/>
          <w:szCs w:val="22"/>
          <w:u w:val="single"/>
        </w:rPr>
        <w:lastRenderedPageBreak/>
        <w:t>３　災害警戒本部の活動</w:t>
      </w:r>
      <w:bookmarkEnd w:id="45"/>
      <w:bookmarkEnd w:id="46"/>
      <w:bookmarkEnd w:id="47"/>
    </w:p>
    <w:p w14:paraId="43820B5A" w14:textId="77777777" w:rsidR="005D372A" w:rsidRPr="001D6D10" w:rsidRDefault="005D372A" w:rsidP="005D372A">
      <w:pPr>
        <w:ind w:left="221" w:hangingChars="100" w:hanging="221"/>
        <w:rPr>
          <w:rFonts w:ascii="ＭＳ 明朝" w:hAnsi="ＭＳ 明朝"/>
          <w:sz w:val="22"/>
          <w:szCs w:val="22"/>
        </w:rPr>
      </w:pPr>
      <w:r w:rsidRPr="001D6D10">
        <w:rPr>
          <w:rFonts w:ascii="ＭＳ ゴシック" w:eastAsia="ＭＳ ゴシック" w:hAnsi="ＭＳ ゴシック" w:hint="eastAsia"/>
          <w:sz w:val="22"/>
          <w:szCs w:val="22"/>
        </w:rPr>
        <w:t xml:space="preserve">　　　　</w:t>
      </w:r>
      <w:r w:rsidRPr="001D6D10">
        <w:rPr>
          <w:rFonts w:ascii="ＭＳ 明朝" w:hAnsi="ＭＳ 明朝" w:hint="eastAsia"/>
          <w:sz w:val="22"/>
          <w:szCs w:val="22"/>
        </w:rPr>
        <w:t>(1)　災害警戒本部の活動</w:t>
      </w:r>
    </w:p>
    <w:p w14:paraId="6EFA5DD9" w14:textId="77777777" w:rsidR="005D372A" w:rsidRPr="001D6D10" w:rsidRDefault="005D372A" w:rsidP="005D372A">
      <w:pPr>
        <w:ind w:firstLineChars="650" w:firstLine="1437"/>
        <w:rPr>
          <w:rFonts w:ascii="ＭＳ ゴシック" w:eastAsia="ＭＳ ゴシック" w:hAnsi="ＭＳ ゴシック"/>
          <w:sz w:val="22"/>
          <w:szCs w:val="22"/>
          <w:bdr w:val="single" w:sz="4" w:space="0" w:color="auto"/>
        </w:rPr>
      </w:pPr>
      <w:r w:rsidRPr="001D6D10">
        <w:rPr>
          <w:rFonts w:ascii="ＭＳ ゴシック" w:eastAsia="ＭＳ ゴシック" w:hAnsi="ＭＳ ゴシック" w:hint="eastAsia"/>
          <w:sz w:val="22"/>
          <w:szCs w:val="22"/>
          <w:bdr w:val="single" w:sz="4" w:space="0" w:color="auto"/>
        </w:rPr>
        <w:t>主たる担当：危機管理室、関係室・課：全部局室・課</w:t>
      </w:r>
    </w:p>
    <w:p w14:paraId="15EF4C17" w14:textId="77777777" w:rsidR="005D372A" w:rsidRPr="001D6D10" w:rsidRDefault="005D372A" w:rsidP="005D372A">
      <w:pPr>
        <w:ind w:left="1327" w:rightChars="-108" w:right="-228" w:hangingChars="600" w:hanging="1327"/>
        <w:rPr>
          <w:rFonts w:ascii="ＭＳ 明朝" w:hAnsi="ＭＳ 明朝"/>
          <w:sz w:val="22"/>
          <w:szCs w:val="22"/>
        </w:rPr>
      </w:pPr>
      <w:r w:rsidRPr="001D6D10">
        <w:rPr>
          <w:rFonts w:ascii="ＭＳ 明朝" w:hAnsi="ＭＳ 明朝" w:hint="eastAsia"/>
          <w:sz w:val="22"/>
          <w:szCs w:val="22"/>
        </w:rPr>
        <w:t xml:space="preserve">　　　　　　知事は、次の設置基準に該当する場合には、</w:t>
      </w:r>
      <w:r w:rsidRPr="001D6D10">
        <w:rPr>
          <w:rFonts w:asciiTheme="minorEastAsia" w:eastAsiaTheme="minorEastAsia" w:hAnsiTheme="minorEastAsia" w:hint="eastAsia"/>
          <w:sz w:val="22"/>
          <w:szCs w:val="22"/>
        </w:rPr>
        <w:t>大阪府災害警戒本部</w:t>
      </w:r>
      <w:r w:rsidRPr="001D6D10">
        <w:rPr>
          <w:rFonts w:ascii="ＭＳ 明朝" w:hAnsi="ＭＳ 明朝" w:hint="eastAsia"/>
          <w:sz w:val="22"/>
          <w:szCs w:val="22"/>
        </w:rPr>
        <w:t>（以下「警戒本部」という）を設置する。</w:t>
      </w:r>
      <w:r w:rsidRPr="001D6D10">
        <w:rPr>
          <w:rFonts w:hint="eastAsia"/>
          <w:sz w:val="22"/>
          <w:szCs w:val="22"/>
        </w:rPr>
        <w:t>また、指令部長は、その旨を各部連絡責任者に通知する。</w:t>
      </w:r>
    </w:p>
    <w:tbl>
      <w:tblPr>
        <w:tblStyle w:val="ab"/>
        <w:tblW w:w="9180" w:type="dxa"/>
        <w:tblLook w:val="04A0" w:firstRow="1" w:lastRow="0" w:firstColumn="1" w:lastColumn="0" w:noHBand="0" w:noVBand="1"/>
      </w:tblPr>
      <w:tblGrid>
        <w:gridCol w:w="1526"/>
        <w:gridCol w:w="7654"/>
      </w:tblGrid>
      <w:tr w:rsidR="001D6D10" w:rsidRPr="00E0548A" w14:paraId="0119C129" w14:textId="77777777" w:rsidTr="008B4B2B">
        <w:tc>
          <w:tcPr>
            <w:tcW w:w="1526" w:type="dxa"/>
          </w:tcPr>
          <w:p w14:paraId="1846C462" w14:textId="77777777" w:rsidR="005D372A" w:rsidRPr="00E0548A" w:rsidRDefault="005D372A" w:rsidP="005D372A">
            <w:pPr>
              <w:tabs>
                <w:tab w:val="center" w:pos="4252"/>
                <w:tab w:val="right" w:pos="8504"/>
              </w:tabs>
              <w:snapToGrid w:val="0"/>
              <w:rPr>
                <w:rFonts w:hAnsi="ＭＳ 明朝"/>
                <w:sz w:val="22"/>
                <w:szCs w:val="22"/>
              </w:rPr>
            </w:pPr>
            <w:r w:rsidRPr="00E0548A">
              <w:rPr>
                <w:rFonts w:hAnsi="ＭＳ 明朝" w:hint="eastAsia"/>
                <w:sz w:val="22"/>
                <w:szCs w:val="22"/>
              </w:rPr>
              <w:t>①設置基準</w:t>
            </w:r>
          </w:p>
        </w:tc>
        <w:tc>
          <w:tcPr>
            <w:tcW w:w="7654" w:type="dxa"/>
          </w:tcPr>
          <w:p w14:paraId="6DE895A7" w14:textId="77777777" w:rsidR="005D372A" w:rsidRPr="00E0548A" w:rsidRDefault="005D372A" w:rsidP="005D372A">
            <w:pPr>
              <w:tabs>
                <w:tab w:val="center" w:pos="4252"/>
                <w:tab w:val="right" w:pos="8504"/>
              </w:tabs>
              <w:snapToGrid w:val="0"/>
              <w:rPr>
                <w:rFonts w:hAnsi="ＭＳ 明朝" w:cs="Courier New"/>
                <w:sz w:val="22"/>
                <w:szCs w:val="22"/>
              </w:rPr>
            </w:pPr>
            <w:r w:rsidRPr="00E0548A">
              <w:rPr>
                <w:rFonts w:hAnsi="ＭＳ 明朝" w:cs="Courier New" w:hint="eastAsia"/>
                <w:sz w:val="22"/>
                <w:szCs w:val="22"/>
              </w:rPr>
              <w:t>ア　・府域において、震度５弱又は震度５強を観測したとき（自動設置）</w:t>
            </w:r>
          </w:p>
          <w:p w14:paraId="0EC20E66" w14:textId="77777777" w:rsidR="000E0B1B" w:rsidRPr="00E0548A" w:rsidRDefault="005D372A" w:rsidP="005D372A">
            <w:pPr>
              <w:tabs>
                <w:tab w:val="center" w:pos="4252"/>
                <w:tab w:val="right" w:pos="8504"/>
              </w:tabs>
              <w:snapToGrid w:val="0"/>
              <w:rPr>
                <w:rFonts w:hAnsi="ＭＳ 明朝" w:cs="Courier New"/>
                <w:sz w:val="22"/>
                <w:szCs w:val="22"/>
              </w:rPr>
            </w:pPr>
            <w:r w:rsidRPr="00E0548A">
              <w:rPr>
                <w:rFonts w:hAnsi="ＭＳ 明朝" w:cs="Courier New" w:hint="eastAsia"/>
                <w:sz w:val="22"/>
                <w:szCs w:val="22"/>
              </w:rPr>
              <w:t xml:space="preserve">　　・府域において、津波警報が発表されたとき（自動設置）</w:t>
            </w:r>
            <w:r w:rsidR="000E0B1B" w:rsidRPr="00E0548A">
              <w:rPr>
                <w:rFonts w:hAnsi="ＭＳ 明朝" w:cs="Courier New" w:hint="eastAsia"/>
                <w:sz w:val="22"/>
                <w:szCs w:val="22"/>
              </w:rPr>
              <w:t xml:space="preserve">（遠地津波含　</w:t>
            </w:r>
          </w:p>
          <w:p w14:paraId="45AF13BB" w14:textId="77777777" w:rsidR="005D372A" w:rsidRPr="00E0548A" w:rsidRDefault="000E0B1B" w:rsidP="005D372A">
            <w:pPr>
              <w:tabs>
                <w:tab w:val="center" w:pos="4252"/>
                <w:tab w:val="right" w:pos="8504"/>
              </w:tabs>
              <w:snapToGrid w:val="0"/>
              <w:rPr>
                <w:rFonts w:hAnsi="ＭＳ 明朝" w:cs="Courier New"/>
                <w:sz w:val="22"/>
                <w:szCs w:val="22"/>
              </w:rPr>
            </w:pPr>
            <w:r w:rsidRPr="00E0548A">
              <w:rPr>
                <w:rFonts w:hAnsi="ＭＳ 明朝" w:cs="Courier New" w:hint="eastAsia"/>
                <w:sz w:val="22"/>
                <w:szCs w:val="22"/>
              </w:rPr>
              <w:t xml:space="preserve">　　　む）</w:t>
            </w:r>
          </w:p>
          <w:p w14:paraId="6894BB02" w14:textId="77777777" w:rsidR="005D372A" w:rsidRPr="00E0548A" w:rsidRDefault="005D372A" w:rsidP="005D372A">
            <w:pPr>
              <w:tabs>
                <w:tab w:val="center" w:pos="4252"/>
                <w:tab w:val="right" w:pos="8504"/>
              </w:tabs>
              <w:snapToGrid w:val="0"/>
              <w:rPr>
                <w:rFonts w:hAnsi="ＭＳ 明朝" w:cs="Courier New"/>
                <w:sz w:val="22"/>
                <w:szCs w:val="22"/>
              </w:rPr>
            </w:pPr>
            <w:r w:rsidRPr="00E0548A">
              <w:rPr>
                <w:rFonts w:hAnsi="ＭＳ 明朝" w:cs="Courier New" w:hint="eastAsia"/>
                <w:sz w:val="22"/>
                <w:szCs w:val="22"/>
              </w:rPr>
              <w:t>イ　下記の条件を満たすとき</w:t>
            </w:r>
          </w:p>
          <w:p w14:paraId="2CD71FE8" w14:textId="6CCFFB53" w:rsidR="005D372A" w:rsidRPr="00E0548A" w:rsidRDefault="005D372A" w:rsidP="005D372A">
            <w:pPr>
              <w:tabs>
                <w:tab w:val="center" w:pos="4252"/>
                <w:tab w:val="right" w:pos="8504"/>
              </w:tabs>
              <w:snapToGrid w:val="0"/>
              <w:ind w:left="663" w:hangingChars="300" w:hanging="663"/>
              <w:rPr>
                <w:rFonts w:hAnsi="ＭＳ 明朝" w:cs="Courier New"/>
                <w:sz w:val="22"/>
                <w:szCs w:val="22"/>
              </w:rPr>
            </w:pPr>
            <w:r w:rsidRPr="00E0548A">
              <w:rPr>
                <w:rFonts w:hAnsi="ＭＳ 明朝" w:cs="Courier New" w:hint="eastAsia"/>
                <w:sz w:val="22"/>
                <w:szCs w:val="22"/>
              </w:rPr>
              <w:t xml:space="preserve">　　・気象庁が発表する台風情報により、府域最接近の概ね４８時間前の時点で大阪府域</w:t>
            </w:r>
            <w:r w:rsidR="00FA6505" w:rsidRPr="00E0548A">
              <w:rPr>
                <w:rFonts w:hAnsi="ＭＳ 明朝" w:cs="Courier New" w:hint="eastAsia"/>
                <w:sz w:val="22"/>
                <w:szCs w:val="22"/>
              </w:rPr>
              <w:t>が暴</w:t>
            </w:r>
            <w:r w:rsidR="00FA6505" w:rsidRPr="0075788C">
              <w:rPr>
                <w:rFonts w:hAnsi="ＭＳ 明朝" w:cs="Courier New" w:hint="eastAsia"/>
                <w:sz w:val="22"/>
                <w:szCs w:val="22"/>
              </w:rPr>
              <w:t>風</w:t>
            </w:r>
            <w:r w:rsidR="00EB3E1A" w:rsidRPr="0075788C">
              <w:rPr>
                <w:rFonts w:hAnsi="ＭＳ 明朝" w:cs="Courier New" w:hint="eastAsia"/>
                <w:sz w:val="22"/>
                <w:szCs w:val="22"/>
              </w:rPr>
              <w:t>警戒</w:t>
            </w:r>
            <w:r w:rsidR="00FA6505" w:rsidRPr="0075788C">
              <w:rPr>
                <w:rFonts w:hAnsi="ＭＳ 明朝" w:cs="Courier New" w:hint="eastAsia"/>
                <w:sz w:val="22"/>
                <w:szCs w:val="22"/>
              </w:rPr>
              <w:t>域</w:t>
            </w:r>
            <w:r w:rsidRPr="0075788C">
              <w:rPr>
                <w:rFonts w:hAnsi="ＭＳ 明朝" w:cs="Courier New" w:hint="eastAsia"/>
                <w:sz w:val="22"/>
                <w:szCs w:val="22"/>
              </w:rPr>
              <w:t>に</w:t>
            </w:r>
            <w:r w:rsidR="00EA259F" w:rsidRPr="0075788C">
              <w:rPr>
                <w:rFonts w:hAnsi="ＭＳ 明朝" w:cs="Courier New" w:hint="eastAsia"/>
                <w:sz w:val="22"/>
                <w:szCs w:val="22"/>
              </w:rPr>
              <w:t>入り</w:t>
            </w:r>
            <w:r w:rsidRPr="0075788C">
              <w:rPr>
                <w:rFonts w:hAnsi="ＭＳ 明朝" w:cs="Courier New" w:hint="eastAsia"/>
                <w:sz w:val="22"/>
                <w:szCs w:val="22"/>
              </w:rPr>
              <w:t>、その中心が大阪府庁から１００km以内にあり、かつ</w:t>
            </w:r>
            <w:r w:rsidR="000F74D4" w:rsidRPr="0075788C">
              <w:rPr>
                <w:rFonts w:hAnsi="ＭＳ 明朝" w:cs="Courier New" w:hint="eastAsia"/>
                <w:sz w:val="22"/>
                <w:szCs w:val="22"/>
              </w:rPr>
              <w:t>大阪府域における</w:t>
            </w:r>
            <w:r w:rsidRPr="0075788C">
              <w:rPr>
                <w:rFonts w:hAnsi="ＭＳ 明朝" w:cs="Courier New" w:hint="eastAsia"/>
                <w:sz w:val="22"/>
                <w:szCs w:val="22"/>
              </w:rPr>
              <w:t>最</w:t>
            </w:r>
            <w:r w:rsidRPr="00E0548A">
              <w:rPr>
                <w:rFonts w:hAnsi="ＭＳ 明朝" w:cs="Courier New" w:hint="eastAsia"/>
                <w:sz w:val="22"/>
                <w:szCs w:val="22"/>
              </w:rPr>
              <w:t>大風速（陸上）３０ｍ/s以上の台風が府域に上陸・最接近することが見込まれるとき</w:t>
            </w:r>
          </w:p>
          <w:p w14:paraId="53EFDB80" w14:textId="77777777" w:rsidR="005D372A" w:rsidRPr="00E0548A" w:rsidRDefault="005D372A" w:rsidP="005D372A">
            <w:pPr>
              <w:tabs>
                <w:tab w:val="center" w:pos="4252"/>
                <w:tab w:val="right" w:pos="8504"/>
              </w:tabs>
              <w:snapToGrid w:val="0"/>
              <w:rPr>
                <w:rFonts w:hAnsi="ＭＳ 明朝" w:cs="Courier New"/>
                <w:sz w:val="22"/>
                <w:szCs w:val="22"/>
              </w:rPr>
            </w:pPr>
            <w:r w:rsidRPr="00E0548A">
              <w:rPr>
                <w:rFonts w:hAnsi="ＭＳ 明朝" w:cs="Courier New" w:hint="eastAsia"/>
                <w:sz w:val="22"/>
                <w:szCs w:val="22"/>
              </w:rPr>
              <w:t>ウ　・「南海トラフ地震臨時情報（巨大地震警戒）」の発表があったとき</w:t>
            </w:r>
          </w:p>
          <w:p w14:paraId="33C49DA2" w14:textId="77777777" w:rsidR="005D372A" w:rsidRPr="00E0548A" w:rsidRDefault="005D372A" w:rsidP="005D372A">
            <w:pPr>
              <w:tabs>
                <w:tab w:val="center" w:pos="4252"/>
                <w:tab w:val="right" w:pos="8504"/>
              </w:tabs>
              <w:snapToGrid w:val="0"/>
              <w:rPr>
                <w:rFonts w:hAnsi="ＭＳ 明朝" w:cs="Courier New"/>
                <w:sz w:val="22"/>
                <w:szCs w:val="22"/>
              </w:rPr>
            </w:pPr>
            <w:r w:rsidRPr="00E0548A">
              <w:rPr>
                <w:rFonts w:hAnsi="ＭＳ 明朝" w:cs="Courier New" w:hint="eastAsia"/>
                <w:sz w:val="22"/>
                <w:szCs w:val="22"/>
              </w:rPr>
              <w:t xml:space="preserve">　　・東海地震にかかる警戒宣言の発令を認知したとき</w:t>
            </w:r>
          </w:p>
          <w:p w14:paraId="18E02B6B" w14:textId="77777777" w:rsidR="005D372A" w:rsidRPr="00E0548A" w:rsidRDefault="005D372A" w:rsidP="005D372A">
            <w:pPr>
              <w:tabs>
                <w:tab w:val="center" w:pos="4252"/>
                <w:tab w:val="right" w:pos="8504"/>
              </w:tabs>
              <w:snapToGrid w:val="0"/>
              <w:rPr>
                <w:rFonts w:hAnsi="ＭＳ 明朝" w:cs="Courier New"/>
                <w:sz w:val="22"/>
                <w:szCs w:val="22"/>
              </w:rPr>
            </w:pPr>
            <w:r w:rsidRPr="00E0548A">
              <w:rPr>
                <w:rFonts w:hAnsi="ＭＳ 明朝" w:cs="Courier New" w:hint="eastAsia"/>
                <w:sz w:val="22"/>
                <w:szCs w:val="22"/>
              </w:rPr>
              <w:t>エ　下記の場合で、知事が必要と認めたとき</w:t>
            </w:r>
          </w:p>
          <w:p w14:paraId="6AEE59FF" w14:textId="77777777" w:rsidR="005D372A" w:rsidRPr="00E0548A" w:rsidRDefault="005D372A" w:rsidP="005D372A">
            <w:pPr>
              <w:tabs>
                <w:tab w:val="center" w:pos="4252"/>
                <w:tab w:val="right" w:pos="8504"/>
              </w:tabs>
              <w:snapToGrid w:val="0"/>
              <w:rPr>
                <w:rFonts w:hAnsi="ＭＳ 明朝" w:cs="Courier New"/>
                <w:sz w:val="22"/>
                <w:szCs w:val="22"/>
              </w:rPr>
            </w:pPr>
            <w:r w:rsidRPr="00E0548A">
              <w:rPr>
                <w:rFonts w:hAnsi="ＭＳ 明朝" w:cs="Courier New" w:hint="eastAsia"/>
                <w:sz w:val="22"/>
                <w:szCs w:val="22"/>
              </w:rPr>
              <w:t xml:space="preserve">　　・指令部が災害等の情報により、災害等が発生したと判断したとき</w:t>
            </w:r>
          </w:p>
          <w:p w14:paraId="54FF7955" w14:textId="77777777" w:rsidR="005D372A" w:rsidRPr="00E0548A" w:rsidRDefault="005D372A" w:rsidP="005D372A">
            <w:pPr>
              <w:tabs>
                <w:tab w:val="center" w:pos="4252"/>
                <w:tab w:val="right" w:pos="8504"/>
              </w:tabs>
              <w:snapToGrid w:val="0"/>
              <w:rPr>
                <w:rFonts w:hAnsi="ＭＳ 明朝" w:cs="Courier New"/>
                <w:sz w:val="22"/>
                <w:szCs w:val="22"/>
              </w:rPr>
            </w:pPr>
            <w:r w:rsidRPr="00E0548A">
              <w:rPr>
                <w:rFonts w:hAnsi="ＭＳ 明朝" w:cs="Courier New" w:hint="eastAsia"/>
                <w:sz w:val="22"/>
                <w:szCs w:val="22"/>
              </w:rPr>
              <w:t xml:space="preserve">　　・津波による災害の発生が予測され、対策を要すると認められるとき</w:t>
            </w:r>
          </w:p>
          <w:p w14:paraId="67DE88B8" w14:textId="77777777" w:rsidR="005D372A" w:rsidRPr="00E0548A" w:rsidRDefault="005D372A" w:rsidP="005D372A">
            <w:pPr>
              <w:tabs>
                <w:tab w:val="center" w:pos="4252"/>
                <w:tab w:val="right" w:pos="8504"/>
              </w:tabs>
              <w:snapToGrid w:val="0"/>
              <w:ind w:left="663" w:hangingChars="300" w:hanging="663"/>
              <w:rPr>
                <w:rFonts w:hAnsi="ＭＳ 明朝" w:cs="Courier New"/>
                <w:sz w:val="22"/>
                <w:szCs w:val="22"/>
              </w:rPr>
            </w:pPr>
            <w:r w:rsidRPr="00E0548A">
              <w:rPr>
                <w:rFonts w:hAnsi="ＭＳ 明朝" w:cs="Courier New" w:hint="eastAsia"/>
                <w:sz w:val="22"/>
                <w:szCs w:val="22"/>
              </w:rPr>
              <w:t xml:space="preserve">　　・指令部が災害等の情報により、府域及びその周辺において大規模な事故等による災害等が発生したと判断したとき</w:t>
            </w:r>
          </w:p>
          <w:p w14:paraId="00102006" w14:textId="77777777" w:rsidR="00D3523C" w:rsidRPr="00E0548A" w:rsidRDefault="005D372A" w:rsidP="00D3523C">
            <w:pPr>
              <w:tabs>
                <w:tab w:val="center" w:pos="4252"/>
                <w:tab w:val="right" w:pos="8504"/>
              </w:tabs>
              <w:snapToGrid w:val="0"/>
              <w:rPr>
                <w:rFonts w:hAnsi="ＭＳ 明朝" w:cs="Courier New"/>
                <w:sz w:val="22"/>
                <w:szCs w:val="22"/>
              </w:rPr>
            </w:pPr>
            <w:r w:rsidRPr="00E0548A">
              <w:rPr>
                <w:rFonts w:hAnsi="ＭＳ 明朝" w:cs="Courier New" w:hint="eastAsia"/>
                <w:sz w:val="22"/>
                <w:szCs w:val="22"/>
              </w:rPr>
              <w:t xml:space="preserve">　　・災害等の発生のおそれがあるが、時間、規模等の推測が困難なとき</w:t>
            </w:r>
          </w:p>
          <w:p w14:paraId="744F7393" w14:textId="1C4E39E7" w:rsidR="00D3523C" w:rsidRPr="00E0548A" w:rsidRDefault="00D3523C" w:rsidP="00E0548A">
            <w:pPr>
              <w:tabs>
                <w:tab w:val="center" w:pos="4252"/>
                <w:tab w:val="right" w:pos="8504"/>
              </w:tabs>
              <w:snapToGrid w:val="0"/>
              <w:ind w:leftChars="200" w:left="643" w:hangingChars="100" w:hanging="221"/>
              <w:rPr>
                <w:rFonts w:hAnsi="ＭＳ 明朝" w:cs="Courier New"/>
                <w:sz w:val="22"/>
                <w:szCs w:val="22"/>
              </w:rPr>
            </w:pPr>
            <w:r w:rsidRPr="00E0548A">
              <w:rPr>
                <w:rFonts w:hAnsi="ＭＳ 明朝" w:cs="Courier New" w:hint="eastAsia"/>
                <w:sz w:val="22"/>
                <w:szCs w:val="22"/>
              </w:rPr>
              <w:t>・林野火災において、焼損面積が１０ｈａを大きく超えるとき、または大阪市消防局航空隊及び近隣消防本部以上の応援が必要であると考えられるとき</w:t>
            </w:r>
          </w:p>
          <w:p w14:paraId="4BFE8CB7" w14:textId="77777777" w:rsidR="00D428B3" w:rsidRPr="00E0548A" w:rsidRDefault="00D428B3" w:rsidP="00B35001">
            <w:pPr>
              <w:tabs>
                <w:tab w:val="center" w:pos="4252"/>
                <w:tab w:val="right" w:pos="8504"/>
              </w:tabs>
              <w:snapToGrid w:val="0"/>
              <w:ind w:left="431" w:hangingChars="195" w:hanging="431"/>
              <w:rPr>
                <w:rFonts w:hAnsi="ＭＳ 明朝" w:cs="Courier New"/>
                <w:sz w:val="22"/>
                <w:szCs w:val="22"/>
              </w:rPr>
            </w:pPr>
            <w:r w:rsidRPr="00E0548A">
              <w:rPr>
                <w:rFonts w:hAnsi="ＭＳ 明朝" w:cs="Courier New" w:hint="eastAsia"/>
                <w:sz w:val="22"/>
                <w:szCs w:val="22"/>
              </w:rPr>
              <w:t>オ　特別警報級の台風が接近した際に、国において災害対策本部等が設置され、</w:t>
            </w:r>
            <w:r w:rsidR="00B85A2A" w:rsidRPr="00E0548A">
              <w:rPr>
                <w:rFonts w:hAnsi="ＭＳ 明朝" w:cs="Courier New" w:hint="eastAsia"/>
                <w:sz w:val="22"/>
                <w:szCs w:val="22"/>
              </w:rPr>
              <w:t>対象地域が大阪府</w:t>
            </w:r>
            <w:r w:rsidRPr="00E0548A">
              <w:rPr>
                <w:rFonts w:hAnsi="ＭＳ 明朝" w:cs="Courier New" w:hint="eastAsia"/>
                <w:sz w:val="22"/>
                <w:szCs w:val="22"/>
              </w:rPr>
              <w:t>と告示されたとき</w:t>
            </w:r>
          </w:p>
          <w:p w14:paraId="7F692E14" w14:textId="77777777" w:rsidR="005D372A" w:rsidRPr="00E0548A" w:rsidRDefault="00D428B3" w:rsidP="005D372A">
            <w:pPr>
              <w:tabs>
                <w:tab w:val="center" w:pos="4252"/>
                <w:tab w:val="right" w:pos="8504"/>
              </w:tabs>
              <w:snapToGrid w:val="0"/>
              <w:rPr>
                <w:rFonts w:hAnsi="ＭＳ 明朝" w:cs="Courier New"/>
                <w:sz w:val="22"/>
                <w:szCs w:val="22"/>
              </w:rPr>
            </w:pPr>
            <w:r w:rsidRPr="00E0548A">
              <w:rPr>
                <w:rFonts w:hAnsi="ＭＳ 明朝" w:hint="eastAsia"/>
                <w:sz w:val="22"/>
                <w:szCs w:val="22"/>
              </w:rPr>
              <w:t>カ</w:t>
            </w:r>
            <w:r w:rsidR="005D372A" w:rsidRPr="00E0548A">
              <w:rPr>
                <w:rFonts w:hAnsi="ＭＳ 明朝" w:hint="eastAsia"/>
                <w:sz w:val="22"/>
                <w:szCs w:val="22"/>
              </w:rPr>
              <w:t xml:space="preserve">　その他知事が必要と認めたとき</w:t>
            </w:r>
          </w:p>
        </w:tc>
      </w:tr>
      <w:tr w:rsidR="001D6D10" w:rsidRPr="00E0548A" w14:paraId="1B4787DE" w14:textId="77777777" w:rsidTr="008B4B2B">
        <w:tc>
          <w:tcPr>
            <w:tcW w:w="1526" w:type="dxa"/>
          </w:tcPr>
          <w:p w14:paraId="5413FA2A" w14:textId="77777777" w:rsidR="005D372A" w:rsidRPr="00E0548A" w:rsidRDefault="005D372A" w:rsidP="005D372A">
            <w:pPr>
              <w:tabs>
                <w:tab w:val="center" w:pos="4252"/>
                <w:tab w:val="right" w:pos="8504"/>
              </w:tabs>
              <w:snapToGrid w:val="0"/>
              <w:rPr>
                <w:rFonts w:hAnsi="ＭＳ 明朝"/>
                <w:sz w:val="22"/>
                <w:szCs w:val="22"/>
              </w:rPr>
            </w:pPr>
            <w:r w:rsidRPr="00E0548A">
              <w:rPr>
                <w:rFonts w:hAnsi="ＭＳ 明朝" w:hint="eastAsia"/>
                <w:sz w:val="22"/>
                <w:szCs w:val="22"/>
              </w:rPr>
              <w:t>②廃止基準</w:t>
            </w:r>
          </w:p>
        </w:tc>
        <w:tc>
          <w:tcPr>
            <w:tcW w:w="7654" w:type="dxa"/>
          </w:tcPr>
          <w:p w14:paraId="1D7106E9" w14:textId="77777777" w:rsidR="005D372A" w:rsidRPr="00E0548A" w:rsidRDefault="005D372A" w:rsidP="005D372A">
            <w:pPr>
              <w:tabs>
                <w:tab w:val="center" w:pos="4252"/>
                <w:tab w:val="right" w:pos="8504"/>
              </w:tabs>
              <w:snapToGrid w:val="0"/>
              <w:rPr>
                <w:rFonts w:hAnsi="ＭＳ 明朝" w:cs="Courier New"/>
                <w:sz w:val="22"/>
                <w:szCs w:val="22"/>
              </w:rPr>
            </w:pPr>
            <w:r w:rsidRPr="00E0548A">
              <w:rPr>
                <w:rFonts w:hAnsi="ＭＳ 明朝" w:cs="Courier New" w:hint="eastAsia"/>
                <w:sz w:val="22"/>
                <w:szCs w:val="22"/>
              </w:rPr>
              <w:t>・災害等発生のおそれが解消したとき</w:t>
            </w:r>
          </w:p>
          <w:p w14:paraId="1422DBEF" w14:textId="77777777" w:rsidR="005D372A" w:rsidRPr="00E0548A" w:rsidRDefault="005D372A" w:rsidP="005D372A">
            <w:pPr>
              <w:tabs>
                <w:tab w:val="center" w:pos="4252"/>
                <w:tab w:val="right" w:pos="8504"/>
              </w:tabs>
              <w:snapToGrid w:val="0"/>
              <w:rPr>
                <w:rFonts w:hAnsi="ＭＳ 明朝" w:cs="Courier New"/>
                <w:sz w:val="22"/>
                <w:szCs w:val="22"/>
              </w:rPr>
            </w:pPr>
            <w:r w:rsidRPr="00E0548A">
              <w:rPr>
                <w:rFonts w:hAnsi="ＭＳ 明朝" w:cs="Courier New" w:hint="eastAsia"/>
                <w:sz w:val="22"/>
                <w:szCs w:val="22"/>
              </w:rPr>
              <w:t>・災害応急対策がおおむね完了したとき</w:t>
            </w:r>
          </w:p>
          <w:p w14:paraId="185C17A6" w14:textId="77777777" w:rsidR="005D372A" w:rsidRPr="00E0548A" w:rsidRDefault="005D372A" w:rsidP="005D372A">
            <w:pPr>
              <w:tabs>
                <w:tab w:val="center" w:pos="4252"/>
                <w:tab w:val="right" w:pos="8504"/>
              </w:tabs>
              <w:snapToGrid w:val="0"/>
              <w:rPr>
                <w:rFonts w:hAnsi="ＭＳ 明朝" w:cs="Courier New"/>
                <w:sz w:val="22"/>
                <w:szCs w:val="22"/>
              </w:rPr>
            </w:pPr>
            <w:r w:rsidRPr="00E0548A">
              <w:rPr>
                <w:rFonts w:hAnsi="ＭＳ 明朝" w:cs="Courier New" w:hint="eastAsia"/>
                <w:sz w:val="22"/>
                <w:szCs w:val="22"/>
              </w:rPr>
              <w:t>・災害対策本部が設置されたとき</w:t>
            </w:r>
          </w:p>
          <w:p w14:paraId="2003FB25" w14:textId="77777777" w:rsidR="005D372A" w:rsidRPr="00E0548A" w:rsidRDefault="005D372A" w:rsidP="005D372A">
            <w:pPr>
              <w:tabs>
                <w:tab w:val="center" w:pos="4252"/>
                <w:tab w:val="right" w:pos="8504"/>
              </w:tabs>
              <w:snapToGrid w:val="0"/>
              <w:rPr>
                <w:rFonts w:hAnsi="ＭＳ 明朝" w:cs="Courier New"/>
                <w:sz w:val="22"/>
                <w:szCs w:val="22"/>
              </w:rPr>
            </w:pPr>
            <w:r w:rsidRPr="00E0548A">
              <w:rPr>
                <w:rFonts w:hAnsi="ＭＳ 明朝" w:cs="Courier New" w:hint="eastAsia"/>
                <w:sz w:val="22"/>
                <w:szCs w:val="22"/>
              </w:rPr>
              <w:t>・東海地震に係る警戒解除宣言の発令を認知したとき</w:t>
            </w:r>
          </w:p>
          <w:p w14:paraId="53C68AFD" w14:textId="77777777" w:rsidR="005D372A" w:rsidRPr="00E0548A" w:rsidRDefault="005D372A" w:rsidP="005D372A">
            <w:pPr>
              <w:tabs>
                <w:tab w:val="center" w:pos="4252"/>
                <w:tab w:val="right" w:pos="8504"/>
              </w:tabs>
              <w:snapToGrid w:val="0"/>
              <w:rPr>
                <w:rFonts w:hAnsi="ＭＳ 明朝" w:cs="Courier New"/>
                <w:sz w:val="22"/>
                <w:szCs w:val="22"/>
              </w:rPr>
            </w:pPr>
            <w:r w:rsidRPr="00E0548A">
              <w:rPr>
                <w:rFonts w:hAnsi="ＭＳ 明朝" w:cs="Courier New" w:hint="eastAsia"/>
                <w:sz w:val="22"/>
                <w:szCs w:val="22"/>
              </w:rPr>
              <w:t>・国から、南海トラフ地震に関する防災対応解除の呼びかけが発せられた</w:t>
            </w:r>
          </w:p>
          <w:p w14:paraId="02CEEFDE" w14:textId="77777777" w:rsidR="005D372A" w:rsidRPr="00E0548A" w:rsidRDefault="005D372A" w:rsidP="005D372A">
            <w:pPr>
              <w:tabs>
                <w:tab w:val="center" w:pos="4252"/>
                <w:tab w:val="right" w:pos="8504"/>
              </w:tabs>
              <w:snapToGrid w:val="0"/>
              <w:ind w:firstLineChars="100" w:firstLine="221"/>
              <w:rPr>
                <w:rFonts w:hAnsi="ＭＳ 明朝" w:cs="Courier New"/>
                <w:sz w:val="22"/>
                <w:szCs w:val="22"/>
              </w:rPr>
            </w:pPr>
            <w:r w:rsidRPr="00E0548A">
              <w:rPr>
                <w:rFonts w:hAnsi="ＭＳ 明朝" w:cs="Courier New" w:hint="eastAsia"/>
                <w:sz w:val="22"/>
                <w:szCs w:val="22"/>
              </w:rPr>
              <w:t>とき</w:t>
            </w:r>
          </w:p>
          <w:p w14:paraId="57D4D6F6" w14:textId="77777777" w:rsidR="005D372A" w:rsidRPr="00E0548A" w:rsidRDefault="005D372A" w:rsidP="005D372A">
            <w:pPr>
              <w:tabs>
                <w:tab w:val="center" w:pos="4252"/>
                <w:tab w:val="right" w:pos="8504"/>
              </w:tabs>
              <w:snapToGrid w:val="0"/>
              <w:rPr>
                <w:rFonts w:hAnsi="ＭＳ 明朝" w:cs="Courier New"/>
                <w:sz w:val="22"/>
                <w:szCs w:val="22"/>
              </w:rPr>
            </w:pPr>
            <w:r w:rsidRPr="00E0548A">
              <w:rPr>
                <w:rFonts w:hAnsi="Courier New" w:cs="Courier New" w:hint="eastAsia"/>
                <w:sz w:val="22"/>
                <w:szCs w:val="22"/>
              </w:rPr>
              <w:t>・その他知事が認めたとき</w:t>
            </w:r>
          </w:p>
        </w:tc>
      </w:tr>
      <w:tr w:rsidR="001D6D10" w:rsidRPr="00E0548A" w14:paraId="43D27DDE" w14:textId="77777777" w:rsidTr="008B4B2B">
        <w:tc>
          <w:tcPr>
            <w:tcW w:w="1526" w:type="dxa"/>
          </w:tcPr>
          <w:p w14:paraId="22341ABB" w14:textId="77777777" w:rsidR="005D372A" w:rsidRPr="00E0548A" w:rsidRDefault="005D372A" w:rsidP="005D372A">
            <w:pPr>
              <w:tabs>
                <w:tab w:val="center" w:pos="4252"/>
                <w:tab w:val="right" w:pos="8504"/>
              </w:tabs>
              <w:snapToGrid w:val="0"/>
              <w:rPr>
                <w:rFonts w:hAnsi="ＭＳ 明朝"/>
                <w:sz w:val="22"/>
                <w:szCs w:val="22"/>
              </w:rPr>
            </w:pPr>
            <w:r w:rsidRPr="00E0548A">
              <w:rPr>
                <w:rFonts w:hAnsi="ＭＳ 明朝" w:hint="eastAsia"/>
                <w:sz w:val="22"/>
                <w:szCs w:val="22"/>
              </w:rPr>
              <w:t>③組織</w:t>
            </w:r>
          </w:p>
        </w:tc>
        <w:tc>
          <w:tcPr>
            <w:tcW w:w="7654" w:type="dxa"/>
          </w:tcPr>
          <w:p w14:paraId="43F22B8F" w14:textId="77777777" w:rsidR="005D372A" w:rsidRPr="00E0548A" w:rsidRDefault="005D372A" w:rsidP="005D372A">
            <w:pPr>
              <w:tabs>
                <w:tab w:val="center" w:pos="4252"/>
                <w:tab w:val="right" w:pos="8504"/>
              </w:tabs>
              <w:snapToGrid w:val="0"/>
              <w:rPr>
                <w:rFonts w:hAnsi="ＭＳ 明朝" w:cs="Courier New"/>
                <w:sz w:val="22"/>
                <w:szCs w:val="22"/>
              </w:rPr>
            </w:pPr>
            <w:r w:rsidRPr="00E0548A">
              <w:rPr>
                <w:rFonts w:hAnsi="ＭＳ 明朝" w:cs="Courier New" w:hint="eastAsia"/>
                <w:sz w:val="22"/>
                <w:szCs w:val="22"/>
              </w:rPr>
              <w:t>・本 部 長　知事</w:t>
            </w:r>
          </w:p>
          <w:p w14:paraId="3C7DEC8F" w14:textId="77777777" w:rsidR="005D372A" w:rsidRPr="00E0548A" w:rsidRDefault="005D372A" w:rsidP="005D372A">
            <w:pPr>
              <w:tabs>
                <w:tab w:val="center" w:pos="4252"/>
                <w:tab w:val="right" w:pos="8504"/>
              </w:tabs>
              <w:snapToGrid w:val="0"/>
              <w:ind w:left="1327" w:hangingChars="600" w:hanging="1327"/>
              <w:rPr>
                <w:rFonts w:hAnsi="ＭＳ 明朝" w:cs="Courier New"/>
                <w:sz w:val="22"/>
                <w:szCs w:val="22"/>
              </w:rPr>
            </w:pPr>
            <w:r w:rsidRPr="00E0548A">
              <w:rPr>
                <w:rFonts w:hAnsi="ＭＳ 明朝" w:cs="Courier New" w:hint="eastAsia"/>
                <w:sz w:val="22"/>
                <w:szCs w:val="22"/>
              </w:rPr>
              <w:t xml:space="preserve">　　　　　　　ただし、災害等の状況により、副知事を本部長とすることができる。</w:t>
            </w:r>
          </w:p>
          <w:p w14:paraId="45E8FB19" w14:textId="77777777" w:rsidR="005D372A" w:rsidRPr="00E0548A" w:rsidRDefault="005D372A" w:rsidP="005D372A">
            <w:pPr>
              <w:tabs>
                <w:tab w:val="center" w:pos="4252"/>
                <w:tab w:val="right" w:pos="8504"/>
              </w:tabs>
              <w:snapToGrid w:val="0"/>
              <w:rPr>
                <w:rFonts w:hAnsi="ＭＳ 明朝" w:cs="Courier New"/>
                <w:sz w:val="22"/>
                <w:szCs w:val="22"/>
              </w:rPr>
            </w:pPr>
            <w:r w:rsidRPr="00E0548A">
              <w:rPr>
                <w:rFonts w:hAnsi="ＭＳ 明朝" w:cs="Courier New" w:hint="eastAsia"/>
                <w:sz w:val="22"/>
                <w:szCs w:val="22"/>
              </w:rPr>
              <w:t>・副本部長　副知事①～③、危機管理監④（</w:t>
            </w:r>
            <w:r w:rsidRPr="00E0548A">
              <w:rPr>
                <w:rFonts w:hAnsi="Courier New" w:cs="Courier New" w:hint="eastAsia"/>
                <w:sz w:val="22"/>
                <w:szCs w:val="22"/>
              </w:rPr>
              <w:t>※○数字は本部長の代理順序</w:t>
            </w:r>
            <w:r w:rsidRPr="00E0548A">
              <w:rPr>
                <w:rFonts w:hAnsi="ＭＳ 明朝" w:cs="Courier New" w:hint="eastAsia"/>
                <w:sz w:val="22"/>
                <w:szCs w:val="22"/>
              </w:rPr>
              <w:t>）</w:t>
            </w:r>
          </w:p>
          <w:p w14:paraId="15F5BD0F" w14:textId="77777777" w:rsidR="005D372A" w:rsidRPr="00E0548A" w:rsidRDefault="005D372A" w:rsidP="005D372A">
            <w:pPr>
              <w:tabs>
                <w:tab w:val="center" w:pos="4252"/>
                <w:tab w:val="right" w:pos="8504"/>
              </w:tabs>
              <w:snapToGrid w:val="0"/>
              <w:ind w:leftChars="600" w:left="1267" w:firstLineChars="100" w:firstLine="221"/>
              <w:rPr>
                <w:rFonts w:hAnsi="ＭＳ 明朝" w:cs="Courier New"/>
                <w:sz w:val="22"/>
                <w:szCs w:val="22"/>
              </w:rPr>
            </w:pPr>
            <w:r w:rsidRPr="00E0548A">
              <w:rPr>
                <w:rFonts w:hAnsi="ＭＳ 明朝" w:cs="Courier New" w:hint="eastAsia"/>
                <w:sz w:val="22"/>
                <w:szCs w:val="22"/>
              </w:rPr>
              <w:t>ただし、当該事象の担当副知事（他の副知事は出席を要しない）を本部長とした場合は、危機管理監のみを副本部長とすることができる。</w:t>
            </w:r>
          </w:p>
          <w:p w14:paraId="0F62AD29" w14:textId="77777777" w:rsidR="005D372A" w:rsidRPr="00E0548A" w:rsidRDefault="005D372A" w:rsidP="005D372A">
            <w:pPr>
              <w:tabs>
                <w:tab w:val="center" w:pos="4252"/>
                <w:tab w:val="right" w:pos="8504"/>
              </w:tabs>
              <w:snapToGrid w:val="0"/>
              <w:ind w:leftChars="32" w:left="68"/>
              <w:rPr>
                <w:rFonts w:hAnsi="Courier New" w:cs="Courier New"/>
                <w:sz w:val="22"/>
                <w:szCs w:val="22"/>
              </w:rPr>
            </w:pPr>
            <w:r w:rsidRPr="00E0548A">
              <w:rPr>
                <w:rFonts w:hAnsi="Courier New" w:cs="Courier New" w:hint="eastAsia"/>
                <w:szCs w:val="21"/>
              </w:rPr>
              <w:t xml:space="preserve">・本 部 員　</w:t>
            </w:r>
            <w:r w:rsidRPr="00E0548A">
              <w:rPr>
                <w:rFonts w:hAnsi="Courier New" w:cs="Courier New" w:hint="eastAsia"/>
                <w:sz w:val="22"/>
                <w:szCs w:val="22"/>
              </w:rPr>
              <w:t>政策企画部長、報道監、危機管理室長⑤、総務部長、財務部長、</w:t>
            </w:r>
          </w:p>
          <w:p w14:paraId="5799C706" w14:textId="77777777" w:rsidR="005D372A" w:rsidRPr="00E0548A" w:rsidRDefault="005D372A" w:rsidP="005D372A">
            <w:pPr>
              <w:tabs>
                <w:tab w:val="center" w:pos="4252"/>
                <w:tab w:val="right" w:pos="8504"/>
              </w:tabs>
              <w:snapToGrid w:val="0"/>
              <w:ind w:leftChars="600" w:left="1267"/>
              <w:rPr>
                <w:rFonts w:hAnsi="Courier New" w:cs="Courier New"/>
                <w:sz w:val="22"/>
                <w:szCs w:val="22"/>
              </w:rPr>
            </w:pPr>
            <w:r w:rsidRPr="00E0548A">
              <w:rPr>
                <w:rFonts w:hAnsi="Courier New" w:cs="Courier New" w:hint="eastAsia"/>
                <w:szCs w:val="21"/>
              </w:rPr>
              <w:t>スマートシティ戦略部長、</w:t>
            </w:r>
            <w:r w:rsidRPr="00E0548A">
              <w:rPr>
                <w:rFonts w:hAnsi="Courier New" w:cs="Courier New" w:hint="eastAsia"/>
                <w:sz w:val="22"/>
                <w:szCs w:val="22"/>
              </w:rPr>
              <w:t>府民文化部長、ＩＲ推進局長、</w:t>
            </w:r>
          </w:p>
          <w:p w14:paraId="417515CF" w14:textId="77777777" w:rsidR="005D372A" w:rsidRPr="00E0548A" w:rsidRDefault="005D372A">
            <w:pPr>
              <w:tabs>
                <w:tab w:val="center" w:pos="4252"/>
                <w:tab w:val="right" w:pos="8504"/>
              </w:tabs>
              <w:snapToGrid w:val="0"/>
              <w:ind w:leftChars="600" w:left="1267"/>
              <w:rPr>
                <w:rFonts w:hAnsi="Courier New" w:cs="Courier New"/>
                <w:sz w:val="22"/>
                <w:szCs w:val="22"/>
              </w:rPr>
            </w:pPr>
            <w:r w:rsidRPr="00E0548A">
              <w:rPr>
                <w:rFonts w:hAnsi="Courier New" w:cs="Courier New" w:hint="eastAsia"/>
                <w:sz w:val="22"/>
                <w:szCs w:val="22"/>
              </w:rPr>
              <w:t>福祉部長、健康医療部長、商工労働部長、環境農林水産部長、</w:t>
            </w:r>
            <w:r w:rsidRPr="00E0548A">
              <w:rPr>
                <w:rFonts w:hAnsi="Courier New" w:cs="Courier New" w:hint="eastAsia"/>
                <w:sz w:val="22"/>
                <w:szCs w:val="22"/>
              </w:rPr>
              <w:lastRenderedPageBreak/>
              <w:t>都市整備部長、</w:t>
            </w:r>
            <w:r w:rsidR="00007E50" w:rsidRPr="00E0548A">
              <w:rPr>
                <w:rFonts w:hAnsi="Courier New" w:cs="Courier New" w:hint="eastAsia"/>
                <w:sz w:val="22"/>
                <w:szCs w:val="22"/>
              </w:rPr>
              <w:t>大阪</w:t>
            </w:r>
            <w:r w:rsidR="008E3248" w:rsidRPr="00E0548A">
              <w:rPr>
                <w:rFonts w:hAnsi="Courier New" w:cs="Courier New" w:hint="eastAsia"/>
                <w:sz w:val="22"/>
                <w:szCs w:val="22"/>
              </w:rPr>
              <w:t>都市計画局長、</w:t>
            </w:r>
            <w:r w:rsidRPr="00E0548A">
              <w:rPr>
                <w:rFonts w:hAnsi="Courier New" w:cs="Courier New" w:hint="eastAsia"/>
                <w:sz w:val="22"/>
                <w:szCs w:val="22"/>
              </w:rPr>
              <w:t>大阪港湾局長、会計管理者、教育長</w:t>
            </w:r>
          </w:p>
        </w:tc>
      </w:tr>
      <w:tr w:rsidR="001D6D10" w:rsidRPr="00E0548A" w14:paraId="1A7A41FA" w14:textId="77777777" w:rsidTr="008B4B2B">
        <w:tc>
          <w:tcPr>
            <w:tcW w:w="1526" w:type="dxa"/>
          </w:tcPr>
          <w:p w14:paraId="7D33750D" w14:textId="37D42D8B" w:rsidR="005D372A" w:rsidRPr="00E0548A" w:rsidRDefault="005D372A" w:rsidP="005D372A">
            <w:pPr>
              <w:tabs>
                <w:tab w:val="center" w:pos="4252"/>
                <w:tab w:val="right" w:pos="8504"/>
              </w:tabs>
              <w:snapToGrid w:val="0"/>
              <w:rPr>
                <w:rFonts w:hAnsi="ＭＳ 明朝"/>
                <w:sz w:val="22"/>
                <w:szCs w:val="22"/>
              </w:rPr>
            </w:pPr>
            <w:r w:rsidRPr="00E0548A">
              <w:rPr>
                <w:rFonts w:hAnsi="ＭＳ 明朝" w:hint="eastAsia"/>
                <w:sz w:val="22"/>
                <w:szCs w:val="22"/>
              </w:rPr>
              <w:lastRenderedPageBreak/>
              <w:t>④参集場所</w:t>
            </w:r>
          </w:p>
        </w:tc>
        <w:tc>
          <w:tcPr>
            <w:tcW w:w="7654" w:type="dxa"/>
          </w:tcPr>
          <w:p w14:paraId="3A1E77E6" w14:textId="77777777" w:rsidR="005D372A" w:rsidRPr="00E0548A" w:rsidRDefault="005D372A" w:rsidP="005D372A">
            <w:pPr>
              <w:tabs>
                <w:tab w:val="center" w:pos="4252"/>
                <w:tab w:val="right" w:pos="8504"/>
              </w:tabs>
              <w:snapToGrid w:val="0"/>
              <w:rPr>
                <w:rFonts w:hAnsi="ＭＳ 明朝"/>
                <w:sz w:val="22"/>
                <w:szCs w:val="22"/>
              </w:rPr>
            </w:pPr>
            <w:r w:rsidRPr="00E0548A">
              <w:rPr>
                <w:rFonts w:hAnsi="ＭＳ 明朝" w:hint="eastAsia"/>
                <w:sz w:val="22"/>
                <w:szCs w:val="22"/>
              </w:rPr>
              <w:t>・大手前に勤務する本部員については、新別館北館1F災害対策本部会議室</w:t>
            </w:r>
          </w:p>
          <w:p w14:paraId="3DEA75EA" w14:textId="77777777" w:rsidR="005D372A" w:rsidRPr="00E0548A" w:rsidRDefault="005D372A" w:rsidP="005D372A">
            <w:pPr>
              <w:tabs>
                <w:tab w:val="center" w:pos="4252"/>
                <w:tab w:val="right" w:pos="8504"/>
              </w:tabs>
              <w:snapToGrid w:val="0"/>
              <w:rPr>
                <w:rFonts w:hAnsi="ＭＳ 明朝"/>
                <w:sz w:val="22"/>
                <w:szCs w:val="22"/>
              </w:rPr>
            </w:pPr>
            <w:r w:rsidRPr="00E0548A">
              <w:rPr>
                <w:rFonts w:hAnsi="ＭＳ 明朝" w:hint="eastAsia"/>
                <w:sz w:val="22"/>
                <w:szCs w:val="22"/>
              </w:rPr>
              <w:t>・咲洲庁舎に勤務する本部員及び大阪港湾局長については、原則、咲洲庁舎20F共用会議室（海側）</w:t>
            </w:r>
          </w:p>
          <w:p w14:paraId="66BA7729" w14:textId="77777777" w:rsidR="005D372A" w:rsidRPr="00E0548A" w:rsidRDefault="005D372A" w:rsidP="005D372A">
            <w:pPr>
              <w:tabs>
                <w:tab w:val="center" w:pos="4252"/>
                <w:tab w:val="right" w:pos="8504"/>
              </w:tabs>
              <w:snapToGrid w:val="0"/>
              <w:ind w:left="221" w:hangingChars="100" w:hanging="221"/>
              <w:rPr>
                <w:rFonts w:hAnsi="ＭＳ 明朝"/>
                <w:sz w:val="22"/>
                <w:szCs w:val="22"/>
              </w:rPr>
            </w:pPr>
            <w:r w:rsidRPr="00E0548A">
              <w:rPr>
                <w:rFonts w:hAnsi="ＭＳ 明朝" w:hint="eastAsia"/>
                <w:sz w:val="22"/>
                <w:szCs w:val="22"/>
              </w:rPr>
              <w:t xml:space="preserve">　　ただし、時間外に災害等が発生した場合で、大阪府に（大）津波警報が発表されている場合は、災害対策本部会議室に参集する。</w:t>
            </w:r>
          </w:p>
        </w:tc>
      </w:tr>
      <w:tr w:rsidR="001D6D10" w:rsidRPr="00E0548A" w14:paraId="79F49FEB" w14:textId="77777777" w:rsidTr="008B4B2B">
        <w:tc>
          <w:tcPr>
            <w:tcW w:w="1526" w:type="dxa"/>
          </w:tcPr>
          <w:p w14:paraId="5F41E4BE" w14:textId="77777777" w:rsidR="005D372A" w:rsidRPr="00E0548A" w:rsidRDefault="005D372A" w:rsidP="005D372A">
            <w:pPr>
              <w:tabs>
                <w:tab w:val="center" w:pos="4252"/>
                <w:tab w:val="right" w:pos="8504"/>
              </w:tabs>
              <w:snapToGrid w:val="0"/>
              <w:rPr>
                <w:rFonts w:hAnsi="ＭＳ 明朝"/>
                <w:sz w:val="22"/>
                <w:szCs w:val="22"/>
              </w:rPr>
            </w:pPr>
            <w:r w:rsidRPr="00E0548A">
              <w:rPr>
                <w:rFonts w:hAnsi="ＭＳ 明朝" w:hint="eastAsia"/>
                <w:sz w:val="22"/>
                <w:szCs w:val="22"/>
              </w:rPr>
              <w:t>⑤警戒本部会議の開催</w:t>
            </w:r>
          </w:p>
        </w:tc>
        <w:tc>
          <w:tcPr>
            <w:tcW w:w="7654" w:type="dxa"/>
          </w:tcPr>
          <w:p w14:paraId="7DF12D74" w14:textId="77777777" w:rsidR="005D372A" w:rsidRPr="00E0548A" w:rsidRDefault="005D372A" w:rsidP="005D372A">
            <w:pPr>
              <w:tabs>
                <w:tab w:val="center" w:pos="4252"/>
                <w:tab w:val="right" w:pos="8504"/>
              </w:tabs>
              <w:snapToGrid w:val="0"/>
              <w:ind w:firstLineChars="100" w:firstLine="221"/>
            </w:pPr>
            <w:r w:rsidRPr="00E0548A">
              <w:rPr>
                <w:rFonts w:hAnsi="ＭＳ 明朝" w:hint="eastAsia"/>
                <w:sz w:val="22"/>
                <w:szCs w:val="22"/>
              </w:rPr>
              <w:t>警戒本部の所掌事務について方針を策定し、それを実施するため、本部長は、</w:t>
            </w:r>
            <w:r w:rsidRPr="00E0548A">
              <w:rPr>
                <w:rFonts w:hint="eastAsia"/>
              </w:rPr>
              <w:t>必要の都度、副本部長及び本部員を招集し、本部会議を開催する。</w:t>
            </w:r>
          </w:p>
          <w:p w14:paraId="2869B294" w14:textId="77777777" w:rsidR="005D372A" w:rsidRPr="00E0548A" w:rsidRDefault="005D372A" w:rsidP="005D372A">
            <w:pPr>
              <w:tabs>
                <w:tab w:val="center" w:pos="4252"/>
                <w:tab w:val="right" w:pos="8504"/>
              </w:tabs>
              <w:snapToGrid w:val="0"/>
              <w:ind w:firstLineChars="100" w:firstLine="221"/>
              <w:rPr>
                <w:rFonts w:hAnsi="ＭＳ 明朝" w:cs="Courier New"/>
                <w:sz w:val="22"/>
                <w:szCs w:val="22"/>
              </w:rPr>
            </w:pPr>
            <w:r w:rsidRPr="00E0548A">
              <w:rPr>
                <w:rFonts w:hAnsi="ＭＳ 明朝" w:cs="Courier New" w:hint="eastAsia"/>
                <w:sz w:val="22"/>
                <w:szCs w:val="22"/>
              </w:rPr>
              <w:t>ただし、本部長は災害等の状況に応じ、会議の構成員を限定することができる。また、本部長は、指令部員及び各部連絡責任者を会議に出席させることができる。</w:t>
            </w:r>
            <w:r w:rsidRPr="00E0548A">
              <w:rPr>
                <w:rFonts w:hAnsi="Courier New" w:cs="Courier New" w:hint="eastAsia"/>
                <w:szCs w:val="21"/>
              </w:rPr>
              <w:t>なお、警戒本部会議の構成は、別表２のとおりとする。</w:t>
            </w:r>
          </w:p>
        </w:tc>
      </w:tr>
      <w:tr w:rsidR="001D6D10" w:rsidRPr="001D6D10" w14:paraId="11BA4CCB" w14:textId="77777777" w:rsidTr="008B4B2B">
        <w:tc>
          <w:tcPr>
            <w:tcW w:w="1526" w:type="dxa"/>
          </w:tcPr>
          <w:p w14:paraId="38A7F781" w14:textId="77777777" w:rsidR="005D372A" w:rsidRPr="00E0548A" w:rsidRDefault="005D372A" w:rsidP="005D372A">
            <w:pPr>
              <w:tabs>
                <w:tab w:val="center" w:pos="4252"/>
                <w:tab w:val="right" w:pos="8504"/>
              </w:tabs>
              <w:snapToGrid w:val="0"/>
              <w:rPr>
                <w:rFonts w:hAnsi="ＭＳ 明朝"/>
                <w:sz w:val="22"/>
                <w:szCs w:val="22"/>
              </w:rPr>
            </w:pPr>
            <w:r w:rsidRPr="00E0548A">
              <w:rPr>
                <w:rFonts w:hAnsi="ＭＳ 明朝" w:hint="eastAsia"/>
                <w:sz w:val="22"/>
                <w:szCs w:val="22"/>
              </w:rPr>
              <w:t>⑥警戒本部会議の内容</w:t>
            </w:r>
          </w:p>
        </w:tc>
        <w:tc>
          <w:tcPr>
            <w:tcW w:w="7654" w:type="dxa"/>
          </w:tcPr>
          <w:p w14:paraId="1ECED087" w14:textId="77777777" w:rsidR="005D372A" w:rsidRPr="00E0548A" w:rsidRDefault="005D372A" w:rsidP="005D372A">
            <w:pPr>
              <w:tabs>
                <w:tab w:val="center" w:pos="4252"/>
                <w:tab w:val="right" w:pos="8504"/>
              </w:tabs>
              <w:wordWrap w:val="0"/>
              <w:overflowPunct w:val="0"/>
              <w:autoSpaceDE w:val="0"/>
              <w:autoSpaceDN w:val="0"/>
              <w:adjustRightInd w:val="0"/>
              <w:snapToGrid w:val="0"/>
              <w:spacing w:line="320" w:lineRule="exact"/>
              <w:rPr>
                <w:rFonts w:hAnsi="ＭＳ 明朝" w:cs="ＭＳ 明朝"/>
                <w:sz w:val="22"/>
                <w:szCs w:val="22"/>
              </w:rPr>
            </w:pPr>
            <w:r w:rsidRPr="00E0548A">
              <w:rPr>
                <w:rFonts w:hAnsi="ＭＳ 明朝" w:cs="ＭＳ 明朝" w:hint="eastAsia"/>
                <w:sz w:val="22"/>
                <w:szCs w:val="22"/>
              </w:rPr>
              <w:t>ア　災害原因情報、被害情報及び対策情報等の収集・分析結果の確認</w:t>
            </w:r>
          </w:p>
          <w:p w14:paraId="7F229B83" w14:textId="77777777" w:rsidR="005D372A" w:rsidRPr="00E0548A" w:rsidRDefault="005D372A" w:rsidP="005D372A">
            <w:pPr>
              <w:tabs>
                <w:tab w:val="center" w:pos="4252"/>
                <w:tab w:val="right" w:pos="8504"/>
              </w:tabs>
              <w:wordWrap w:val="0"/>
              <w:overflowPunct w:val="0"/>
              <w:autoSpaceDE w:val="0"/>
              <w:autoSpaceDN w:val="0"/>
              <w:adjustRightInd w:val="0"/>
              <w:snapToGrid w:val="0"/>
              <w:spacing w:line="320" w:lineRule="exact"/>
              <w:rPr>
                <w:rFonts w:hAnsi="ＭＳ 明朝" w:cs="ＭＳ 明朝"/>
                <w:sz w:val="22"/>
                <w:szCs w:val="22"/>
              </w:rPr>
            </w:pPr>
            <w:r w:rsidRPr="00E0548A">
              <w:rPr>
                <w:rFonts w:hAnsi="ＭＳ 明朝" w:cs="ＭＳ 明朝" w:hint="eastAsia"/>
                <w:sz w:val="22"/>
                <w:szCs w:val="22"/>
              </w:rPr>
              <w:t xml:space="preserve">　・地震・気象情報等</w:t>
            </w:r>
          </w:p>
          <w:p w14:paraId="6DB4F3F0" w14:textId="77777777" w:rsidR="005D372A" w:rsidRPr="00E0548A" w:rsidRDefault="005D372A" w:rsidP="005D372A">
            <w:pPr>
              <w:tabs>
                <w:tab w:val="center" w:pos="4252"/>
                <w:tab w:val="right" w:pos="8504"/>
              </w:tabs>
              <w:wordWrap w:val="0"/>
              <w:overflowPunct w:val="0"/>
              <w:autoSpaceDE w:val="0"/>
              <w:autoSpaceDN w:val="0"/>
              <w:adjustRightInd w:val="0"/>
              <w:snapToGrid w:val="0"/>
              <w:spacing w:line="320" w:lineRule="exact"/>
              <w:rPr>
                <w:rFonts w:hAnsi="ＭＳ 明朝" w:cs="ＭＳ 明朝"/>
                <w:sz w:val="22"/>
                <w:szCs w:val="22"/>
              </w:rPr>
            </w:pPr>
            <w:r w:rsidRPr="00E0548A">
              <w:rPr>
                <w:rFonts w:hAnsi="ＭＳ 明朝" w:cs="ＭＳ 明朝" w:hint="eastAsia"/>
                <w:sz w:val="22"/>
                <w:szCs w:val="22"/>
              </w:rPr>
              <w:t xml:space="preserve">　・庁内各部局からの情報</w:t>
            </w:r>
          </w:p>
          <w:p w14:paraId="51FF280F" w14:textId="77777777" w:rsidR="005D372A" w:rsidRPr="00E0548A" w:rsidRDefault="005D372A" w:rsidP="005D372A">
            <w:pPr>
              <w:tabs>
                <w:tab w:val="center" w:pos="4252"/>
                <w:tab w:val="right" w:pos="8504"/>
              </w:tabs>
              <w:wordWrap w:val="0"/>
              <w:overflowPunct w:val="0"/>
              <w:autoSpaceDE w:val="0"/>
              <w:autoSpaceDN w:val="0"/>
              <w:adjustRightInd w:val="0"/>
              <w:snapToGrid w:val="0"/>
              <w:spacing w:line="320" w:lineRule="exact"/>
              <w:rPr>
                <w:rFonts w:hAnsi="ＭＳ 明朝" w:cs="ＭＳ 明朝"/>
                <w:sz w:val="22"/>
                <w:szCs w:val="22"/>
              </w:rPr>
            </w:pPr>
            <w:r w:rsidRPr="00E0548A">
              <w:rPr>
                <w:rFonts w:hAnsi="ＭＳ 明朝" w:cs="ＭＳ 明朝" w:hint="eastAsia"/>
                <w:sz w:val="22"/>
                <w:szCs w:val="22"/>
              </w:rPr>
              <w:t xml:space="preserve">　・市町村からの情報</w:t>
            </w:r>
          </w:p>
          <w:p w14:paraId="44B0BA9D" w14:textId="77777777" w:rsidR="005D372A" w:rsidRPr="00E0548A" w:rsidRDefault="005D372A" w:rsidP="005D372A">
            <w:pPr>
              <w:tabs>
                <w:tab w:val="center" w:pos="4252"/>
                <w:tab w:val="right" w:pos="8504"/>
              </w:tabs>
              <w:wordWrap w:val="0"/>
              <w:overflowPunct w:val="0"/>
              <w:autoSpaceDE w:val="0"/>
              <w:autoSpaceDN w:val="0"/>
              <w:adjustRightInd w:val="0"/>
              <w:snapToGrid w:val="0"/>
              <w:spacing w:line="320" w:lineRule="exact"/>
              <w:rPr>
                <w:rFonts w:hAnsi="ＭＳ 明朝" w:cs="ＭＳ 明朝"/>
                <w:sz w:val="22"/>
                <w:szCs w:val="22"/>
              </w:rPr>
            </w:pPr>
            <w:r w:rsidRPr="00E0548A">
              <w:rPr>
                <w:rFonts w:hAnsi="ＭＳ 明朝" w:cs="ＭＳ 明朝" w:hint="eastAsia"/>
                <w:sz w:val="22"/>
                <w:szCs w:val="22"/>
              </w:rPr>
              <w:t xml:space="preserve">　・消防、警察等からの情報</w:t>
            </w:r>
          </w:p>
          <w:p w14:paraId="4AF3F9D8" w14:textId="77777777" w:rsidR="005D372A" w:rsidRPr="00E0548A" w:rsidRDefault="005D372A" w:rsidP="005D372A">
            <w:pPr>
              <w:tabs>
                <w:tab w:val="center" w:pos="4252"/>
                <w:tab w:val="right" w:pos="8504"/>
              </w:tabs>
              <w:wordWrap w:val="0"/>
              <w:overflowPunct w:val="0"/>
              <w:autoSpaceDE w:val="0"/>
              <w:autoSpaceDN w:val="0"/>
              <w:adjustRightInd w:val="0"/>
              <w:snapToGrid w:val="0"/>
              <w:spacing w:line="320" w:lineRule="exact"/>
              <w:rPr>
                <w:rFonts w:hAnsi="ＭＳ 明朝" w:cs="ＭＳ 明朝"/>
                <w:sz w:val="22"/>
                <w:szCs w:val="22"/>
              </w:rPr>
            </w:pPr>
            <w:r w:rsidRPr="00E0548A">
              <w:rPr>
                <w:rFonts w:hAnsi="ＭＳ 明朝" w:cs="ＭＳ 明朝" w:hint="eastAsia"/>
                <w:sz w:val="22"/>
                <w:szCs w:val="22"/>
              </w:rPr>
              <w:t xml:space="preserve">　・市町村へ派遣された先遣隊及び現地情報連絡員（リエゾン）からの報告</w:t>
            </w:r>
          </w:p>
          <w:p w14:paraId="0CC4A106" w14:textId="77777777" w:rsidR="005D372A" w:rsidRPr="00E0548A" w:rsidRDefault="005D372A" w:rsidP="005D372A">
            <w:pPr>
              <w:tabs>
                <w:tab w:val="center" w:pos="4252"/>
                <w:tab w:val="right" w:pos="8504"/>
              </w:tabs>
              <w:wordWrap w:val="0"/>
              <w:overflowPunct w:val="0"/>
              <w:autoSpaceDE w:val="0"/>
              <w:autoSpaceDN w:val="0"/>
              <w:adjustRightInd w:val="0"/>
              <w:snapToGrid w:val="0"/>
              <w:spacing w:line="320" w:lineRule="exact"/>
              <w:rPr>
                <w:rFonts w:hAnsi="ＭＳ 明朝" w:cs="ＭＳ 明朝"/>
                <w:sz w:val="22"/>
                <w:szCs w:val="22"/>
              </w:rPr>
            </w:pPr>
            <w:r w:rsidRPr="00E0548A">
              <w:rPr>
                <w:rFonts w:hAnsi="ＭＳ 明朝" w:cs="ＭＳ 明朝" w:hint="eastAsia"/>
                <w:sz w:val="22"/>
                <w:szCs w:val="22"/>
              </w:rPr>
              <w:t>イ　職員の配備体制</w:t>
            </w:r>
          </w:p>
          <w:p w14:paraId="6E621694" w14:textId="77777777" w:rsidR="005D372A" w:rsidRPr="00E0548A" w:rsidRDefault="005D372A" w:rsidP="005D372A">
            <w:pPr>
              <w:tabs>
                <w:tab w:val="center" w:pos="4252"/>
                <w:tab w:val="right" w:pos="8504"/>
              </w:tabs>
              <w:wordWrap w:val="0"/>
              <w:overflowPunct w:val="0"/>
              <w:autoSpaceDE w:val="0"/>
              <w:autoSpaceDN w:val="0"/>
              <w:adjustRightInd w:val="0"/>
              <w:snapToGrid w:val="0"/>
              <w:spacing w:line="320" w:lineRule="exact"/>
              <w:rPr>
                <w:rFonts w:hAnsi="ＭＳ 明朝" w:cs="ＭＳ 明朝"/>
                <w:sz w:val="22"/>
                <w:szCs w:val="22"/>
              </w:rPr>
            </w:pPr>
            <w:r w:rsidRPr="00E0548A">
              <w:rPr>
                <w:rFonts w:hAnsi="ＭＳ 明朝" w:cs="ＭＳ 明朝" w:hint="eastAsia"/>
                <w:sz w:val="22"/>
                <w:szCs w:val="22"/>
              </w:rPr>
              <w:t>・本庁、出先機関の職員配備体制の決定、・関係機関の配備体制の確認</w:t>
            </w:r>
          </w:p>
          <w:p w14:paraId="44091CD5" w14:textId="77777777" w:rsidR="005D372A" w:rsidRPr="00E0548A" w:rsidRDefault="005D372A" w:rsidP="005D372A">
            <w:pPr>
              <w:tabs>
                <w:tab w:val="center" w:pos="4252"/>
                <w:tab w:val="right" w:pos="8504"/>
              </w:tabs>
              <w:wordWrap w:val="0"/>
              <w:overflowPunct w:val="0"/>
              <w:autoSpaceDE w:val="0"/>
              <w:autoSpaceDN w:val="0"/>
              <w:adjustRightInd w:val="0"/>
              <w:snapToGrid w:val="0"/>
              <w:spacing w:line="320" w:lineRule="exact"/>
              <w:rPr>
                <w:rFonts w:hAnsi="ＭＳ 明朝" w:cs="ＭＳ 明朝"/>
                <w:sz w:val="22"/>
                <w:szCs w:val="22"/>
              </w:rPr>
            </w:pPr>
            <w:r w:rsidRPr="00E0548A">
              <w:rPr>
                <w:rFonts w:hAnsi="ＭＳ 明朝" w:cs="ＭＳ 明朝" w:hint="eastAsia"/>
                <w:sz w:val="22"/>
                <w:szCs w:val="22"/>
              </w:rPr>
              <w:t>ウ　消防、警察、自衛隊等関係機関との連絡調整</w:t>
            </w:r>
          </w:p>
          <w:p w14:paraId="2CA3F4F7" w14:textId="77777777" w:rsidR="005D372A" w:rsidRPr="00E0548A" w:rsidRDefault="005D372A" w:rsidP="005D372A">
            <w:pPr>
              <w:tabs>
                <w:tab w:val="center" w:pos="4252"/>
                <w:tab w:val="right" w:pos="8504"/>
              </w:tabs>
              <w:wordWrap w:val="0"/>
              <w:overflowPunct w:val="0"/>
              <w:autoSpaceDE w:val="0"/>
              <w:autoSpaceDN w:val="0"/>
              <w:adjustRightInd w:val="0"/>
              <w:snapToGrid w:val="0"/>
              <w:spacing w:line="320" w:lineRule="exact"/>
              <w:rPr>
                <w:rFonts w:hAnsi="ＭＳ 明朝" w:cs="ＭＳ 明朝"/>
                <w:sz w:val="22"/>
                <w:szCs w:val="22"/>
              </w:rPr>
            </w:pPr>
            <w:r w:rsidRPr="00E0548A">
              <w:rPr>
                <w:rFonts w:hAnsi="ＭＳ 明朝" w:cs="ＭＳ 明朝" w:hint="eastAsia"/>
                <w:sz w:val="22"/>
                <w:szCs w:val="22"/>
              </w:rPr>
              <w:t>・緊急消防援助隊の応援要請の検討、・関西広域連合への応援要請の検討</w:t>
            </w:r>
          </w:p>
          <w:p w14:paraId="28F97C8D" w14:textId="77777777" w:rsidR="005D372A" w:rsidRPr="00E0548A" w:rsidRDefault="005D372A" w:rsidP="005D372A">
            <w:pPr>
              <w:tabs>
                <w:tab w:val="center" w:pos="4252"/>
                <w:tab w:val="right" w:pos="8504"/>
              </w:tabs>
              <w:wordWrap w:val="0"/>
              <w:overflowPunct w:val="0"/>
              <w:autoSpaceDE w:val="0"/>
              <w:autoSpaceDN w:val="0"/>
              <w:adjustRightInd w:val="0"/>
              <w:snapToGrid w:val="0"/>
              <w:spacing w:line="320" w:lineRule="exact"/>
              <w:ind w:left="221" w:hangingChars="100" w:hanging="221"/>
              <w:rPr>
                <w:rFonts w:hAnsi="ＭＳ 明朝" w:cs="ＭＳ 明朝"/>
                <w:sz w:val="22"/>
                <w:szCs w:val="22"/>
              </w:rPr>
            </w:pPr>
            <w:r w:rsidRPr="00E0548A">
              <w:rPr>
                <w:rFonts w:hAnsi="ＭＳ 明朝" w:cs="ＭＳ 明朝" w:hint="eastAsia"/>
                <w:sz w:val="22"/>
                <w:szCs w:val="22"/>
              </w:rPr>
              <w:t>・警察災害派遣隊への応援要請の状況確認、・自衛隊への災害派遣等要請の検討</w:t>
            </w:r>
          </w:p>
          <w:p w14:paraId="062BF861" w14:textId="77777777" w:rsidR="005D372A" w:rsidRPr="00E0548A" w:rsidRDefault="005D372A" w:rsidP="005D372A">
            <w:pPr>
              <w:tabs>
                <w:tab w:val="center" w:pos="4252"/>
                <w:tab w:val="right" w:pos="8504"/>
              </w:tabs>
              <w:wordWrap w:val="0"/>
              <w:overflowPunct w:val="0"/>
              <w:autoSpaceDE w:val="0"/>
              <w:autoSpaceDN w:val="0"/>
              <w:adjustRightInd w:val="0"/>
              <w:snapToGrid w:val="0"/>
              <w:spacing w:line="320" w:lineRule="exact"/>
              <w:rPr>
                <w:rFonts w:hAnsi="ＭＳ 明朝" w:cs="ＭＳ 明朝"/>
                <w:sz w:val="22"/>
                <w:szCs w:val="22"/>
              </w:rPr>
            </w:pPr>
            <w:r w:rsidRPr="00E0548A">
              <w:rPr>
                <w:rFonts w:hAnsi="ＭＳ 明朝" w:cs="ＭＳ 明朝" w:hint="eastAsia"/>
                <w:sz w:val="22"/>
                <w:szCs w:val="22"/>
              </w:rPr>
              <w:t>エ　府民への広報及び報道機関との連絡調整</w:t>
            </w:r>
          </w:p>
          <w:p w14:paraId="5FE45BD5" w14:textId="77777777" w:rsidR="005D372A" w:rsidRPr="00E0548A" w:rsidRDefault="005D372A" w:rsidP="005D372A">
            <w:pPr>
              <w:tabs>
                <w:tab w:val="center" w:pos="4252"/>
                <w:tab w:val="right" w:pos="8504"/>
              </w:tabs>
              <w:wordWrap w:val="0"/>
              <w:overflowPunct w:val="0"/>
              <w:autoSpaceDE w:val="0"/>
              <w:autoSpaceDN w:val="0"/>
              <w:adjustRightInd w:val="0"/>
              <w:snapToGrid w:val="0"/>
              <w:spacing w:line="320" w:lineRule="exact"/>
              <w:rPr>
                <w:rFonts w:hAnsi="ＭＳ 明朝" w:cs="ＭＳ 明朝"/>
                <w:sz w:val="22"/>
                <w:szCs w:val="22"/>
              </w:rPr>
            </w:pPr>
            <w:r w:rsidRPr="00E0548A">
              <w:rPr>
                <w:rFonts w:hAnsi="ＭＳ 明朝" w:cs="ＭＳ 明朝" w:hint="eastAsia"/>
                <w:sz w:val="22"/>
                <w:szCs w:val="22"/>
              </w:rPr>
              <w:t>・府広報媒体を活用した広報の実施、・報道機関への情報提供</w:t>
            </w:r>
          </w:p>
          <w:p w14:paraId="56A3D5DE" w14:textId="77777777" w:rsidR="005D372A" w:rsidRPr="00E0548A" w:rsidRDefault="005D372A" w:rsidP="005D372A">
            <w:pPr>
              <w:tabs>
                <w:tab w:val="center" w:pos="4252"/>
                <w:tab w:val="right" w:pos="8504"/>
              </w:tabs>
              <w:wordWrap w:val="0"/>
              <w:overflowPunct w:val="0"/>
              <w:autoSpaceDE w:val="0"/>
              <w:autoSpaceDN w:val="0"/>
              <w:adjustRightInd w:val="0"/>
              <w:snapToGrid w:val="0"/>
              <w:spacing w:line="320" w:lineRule="exact"/>
              <w:rPr>
                <w:rFonts w:hAnsi="ＭＳ 明朝" w:cs="ＭＳ 明朝"/>
                <w:sz w:val="22"/>
                <w:szCs w:val="22"/>
              </w:rPr>
            </w:pPr>
            <w:r w:rsidRPr="00E0548A">
              <w:rPr>
                <w:rFonts w:hAnsi="ＭＳ 明朝" w:cs="ＭＳ 明朝" w:hint="eastAsia"/>
                <w:sz w:val="22"/>
                <w:szCs w:val="22"/>
              </w:rPr>
              <w:t>・台風接近に関する災害モード宣言の発信</w:t>
            </w:r>
          </w:p>
          <w:p w14:paraId="6650772B" w14:textId="5AF6FDD7" w:rsidR="005D372A" w:rsidRPr="00E0548A" w:rsidRDefault="005D372A" w:rsidP="005D372A">
            <w:pPr>
              <w:tabs>
                <w:tab w:val="center" w:pos="4252"/>
                <w:tab w:val="right" w:pos="8504"/>
              </w:tabs>
              <w:wordWrap w:val="0"/>
              <w:overflowPunct w:val="0"/>
              <w:autoSpaceDE w:val="0"/>
              <w:autoSpaceDN w:val="0"/>
              <w:adjustRightInd w:val="0"/>
              <w:snapToGrid w:val="0"/>
              <w:spacing w:line="320" w:lineRule="exact"/>
              <w:rPr>
                <w:rFonts w:hAnsi="ＭＳ 明朝" w:cs="ＭＳ 明朝"/>
                <w:sz w:val="22"/>
                <w:szCs w:val="22"/>
              </w:rPr>
            </w:pPr>
            <w:r w:rsidRPr="00E0548A">
              <w:rPr>
                <w:rFonts w:hAnsi="ＭＳ 明朝" w:cs="ＭＳ 明朝" w:hint="eastAsia"/>
                <w:sz w:val="22"/>
                <w:szCs w:val="22"/>
              </w:rPr>
              <w:t>オ　災対本部の設置</w:t>
            </w:r>
            <w:r w:rsidR="006D6D97" w:rsidRPr="00E0548A">
              <w:rPr>
                <w:rFonts w:hAnsi="ＭＳ 明朝" w:cs="ＭＳ 明朝" w:hint="eastAsia"/>
                <w:sz w:val="22"/>
                <w:szCs w:val="22"/>
              </w:rPr>
              <w:t>。</w:t>
            </w:r>
          </w:p>
          <w:p w14:paraId="37F89E70" w14:textId="77777777" w:rsidR="005D372A" w:rsidRPr="00E0548A" w:rsidRDefault="005D372A" w:rsidP="005D372A">
            <w:pPr>
              <w:tabs>
                <w:tab w:val="center" w:pos="4252"/>
                <w:tab w:val="right" w:pos="8504"/>
              </w:tabs>
              <w:wordWrap w:val="0"/>
              <w:overflowPunct w:val="0"/>
              <w:autoSpaceDE w:val="0"/>
              <w:autoSpaceDN w:val="0"/>
              <w:adjustRightInd w:val="0"/>
              <w:snapToGrid w:val="0"/>
              <w:spacing w:line="320" w:lineRule="exact"/>
              <w:rPr>
                <w:rFonts w:hAnsi="ＭＳ 明朝" w:cs="ＭＳ 明朝"/>
                <w:sz w:val="22"/>
                <w:szCs w:val="22"/>
              </w:rPr>
            </w:pPr>
            <w:r w:rsidRPr="00E0548A">
              <w:rPr>
                <w:rFonts w:hAnsi="ＭＳ 明朝" w:cs="ＭＳ 明朝" w:hint="eastAsia"/>
                <w:sz w:val="22"/>
                <w:szCs w:val="22"/>
              </w:rPr>
              <w:t>・各部連絡責任者等への連絡</w:t>
            </w:r>
          </w:p>
          <w:p w14:paraId="57E30527" w14:textId="77777777" w:rsidR="005D372A" w:rsidRPr="00E0548A" w:rsidRDefault="005D372A" w:rsidP="005D372A">
            <w:pPr>
              <w:tabs>
                <w:tab w:val="center" w:pos="4252"/>
                <w:tab w:val="right" w:pos="8504"/>
              </w:tabs>
              <w:wordWrap w:val="0"/>
              <w:overflowPunct w:val="0"/>
              <w:autoSpaceDE w:val="0"/>
              <w:autoSpaceDN w:val="0"/>
              <w:adjustRightInd w:val="0"/>
              <w:snapToGrid w:val="0"/>
              <w:spacing w:line="320" w:lineRule="exact"/>
              <w:rPr>
                <w:rFonts w:hAnsi="ＭＳ 明朝" w:cs="ＭＳ 明朝"/>
                <w:sz w:val="22"/>
                <w:szCs w:val="22"/>
              </w:rPr>
            </w:pPr>
            <w:r w:rsidRPr="00E0548A">
              <w:rPr>
                <w:rFonts w:hAnsi="ＭＳ 明朝" w:cs="ＭＳ 明朝" w:hint="eastAsia"/>
                <w:sz w:val="22"/>
                <w:szCs w:val="22"/>
              </w:rPr>
              <w:t>・災対本部への移行</w:t>
            </w:r>
          </w:p>
          <w:p w14:paraId="3B499A89" w14:textId="77777777" w:rsidR="005D372A" w:rsidRPr="001D6D10" w:rsidRDefault="005D372A" w:rsidP="005D372A">
            <w:pPr>
              <w:tabs>
                <w:tab w:val="center" w:pos="4252"/>
                <w:tab w:val="right" w:pos="8504"/>
              </w:tabs>
              <w:overflowPunct w:val="0"/>
              <w:autoSpaceDE w:val="0"/>
              <w:autoSpaceDN w:val="0"/>
              <w:adjustRightInd w:val="0"/>
              <w:snapToGrid w:val="0"/>
              <w:rPr>
                <w:rFonts w:hAnsi="ＭＳ 明朝" w:cs="ＭＳ 明朝"/>
                <w:sz w:val="22"/>
                <w:szCs w:val="22"/>
              </w:rPr>
            </w:pPr>
            <w:r w:rsidRPr="00E0548A">
              <w:rPr>
                <w:rFonts w:hAnsi="ＭＳ 明朝" w:hint="eastAsia"/>
              </w:rPr>
              <w:t>カ　その他緊急に実施を要する災害応急対策の決定</w:t>
            </w:r>
          </w:p>
        </w:tc>
      </w:tr>
    </w:tbl>
    <w:p w14:paraId="67AFBD90" w14:textId="1D3CD954" w:rsidR="00AE3CDF" w:rsidRDefault="005D372A" w:rsidP="00AE3CDF">
      <w:pPr>
        <w:ind w:firstLineChars="700" w:firstLine="1548"/>
        <w:jc w:val="left"/>
        <w:rPr>
          <w:rFonts w:ascii="ＭＳ 明朝" w:hAnsi="ＭＳ 明朝"/>
          <w:sz w:val="22"/>
          <w:szCs w:val="22"/>
        </w:rPr>
      </w:pPr>
      <w:r w:rsidRPr="001D6D10">
        <w:rPr>
          <w:rFonts w:ascii="ＭＳ 明朝" w:hAnsi="ＭＳ 明朝" w:hint="eastAsia"/>
          <w:sz w:val="22"/>
          <w:szCs w:val="22"/>
        </w:rPr>
        <w:t>※原子力災害については本要領</w:t>
      </w:r>
      <w:r w:rsidR="004612DE" w:rsidRPr="001D6D10">
        <w:rPr>
          <w:rFonts w:ascii="ＭＳ 明朝" w:hAnsi="ＭＳ 明朝" w:hint="eastAsia"/>
          <w:sz w:val="22"/>
          <w:szCs w:val="22"/>
        </w:rPr>
        <w:t>「第</w:t>
      </w:r>
      <w:r w:rsidR="00B7587F" w:rsidRPr="001D6D10">
        <w:rPr>
          <w:rFonts w:ascii="ＭＳ 明朝" w:hAnsi="ＭＳ 明朝" w:hint="eastAsia"/>
          <w:sz w:val="22"/>
          <w:szCs w:val="22"/>
        </w:rPr>
        <w:t>８</w:t>
      </w:r>
      <w:r w:rsidRPr="001D6D10">
        <w:rPr>
          <w:rFonts w:ascii="ＭＳ 明朝" w:hAnsi="ＭＳ 明朝" w:hint="eastAsia"/>
          <w:sz w:val="22"/>
          <w:szCs w:val="22"/>
        </w:rPr>
        <w:t>章第１節第１　組織体制」を参照</w:t>
      </w:r>
    </w:p>
    <w:p w14:paraId="426A2F2D" w14:textId="60F25908" w:rsidR="00AE3CDF" w:rsidRPr="00D705BF" w:rsidRDefault="00AE3CDF" w:rsidP="00F1671E">
      <w:pPr>
        <w:ind w:leftChars="733" w:left="1777" w:rightChars="-41" w:right="-87" w:hangingChars="104" w:hanging="230"/>
        <w:jc w:val="left"/>
        <w:rPr>
          <w:rFonts w:ascii="ＭＳ 明朝" w:hAnsi="ＭＳ 明朝"/>
          <w:sz w:val="22"/>
          <w:szCs w:val="22"/>
        </w:rPr>
      </w:pPr>
      <w:r w:rsidRPr="00D705BF">
        <w:rPr>
          <w:rFonts w:ascii="ＭＳ 明朝" w:hAnsi="ＭＳ 明朝" w:hint="eastAsia"/>
          <w:sz w:val="22"/>
          <w:szCs w:val="22"/>
        </w:rPr>
        <w:t>※</w:t>
      </w:r>
      <w:r w:rsidR="00275165" w:rsidRPr="00D705BF">
        <w:rPr>
          <w:rFonts w:ascii="ＭＳ 明朝" w:hAnsi="ＭＳ 明朝" w:hint="eastAsia"/>
          <w:sz w:val="22"/>
          <w:szCs w:val="22"/>
        </w:rPr>
        <w:t>南海トラフ地震臨時情報（巨大地震警戒）が発表された後、１週間が経過し、巨大地震注意対応期間に移行した際は、災害警戒本部</w:t>
      </w:r>
      <w:r w:rsidR="00F1671E" w:rsidRPr="00D705BF">
        <w:rPr>
          <w:rFonts w:ascii="ＭＳ 明朝" w:hAnsi="ＭＳ 明朝" w:hint="eastAsia"/>
          <w:sz w:val="22"/>
          <w:szCs w:val="22"/>
        </w:rPr>
        <w:t>を設置した状態で、職員の配備体制を</w:t>
      </w:r>
      <w:r w:rsidR="00275165" w:rsidRPr="00D705BF">
        <w:rPr>
          <w:rFonts w:ascii="ＭＳ 明朝" w:hAnsi="ＭＳ 明朝" w:hint="eastAsia"/>
          <w:sz w:val="22"/>
          <w:szCs w:val="22"/>
        </w:rPr>
        <w:t>南海トラフ地震臨時情報（巨大地震注意）が発表された場合の非常１号配備の体制とすることを基本とする。</w:t>
      </w:r>
    </w:p>
    <w:p w14:paraId="4A9FA46D" w14:textId="60E85D0A" w:rsidR="00B63B25" w:rsidRPr="00E0548A" w:rsidRDefault="00B63B25">
      <w:pPr>
        <w:widowControl/>
        <w:jc w:val="left"/>
        <w:rPr>
          <w:rFonts w:ascii="ＭＳ ゴシック" w:eastAsia="ＭＳ ゴシック" w:hAnsi="ＭＳ ゴシック"/>
          <w:b/>
          <w:sz w:val="22"/>
          <w:szCs w:val="22"/>
        </w:rPr>
      </w:pPr>
      <w:r w:rsidRPr="00E0548A">
        <w:rPr>
          <w:rFonts w:ascii="ＭＳ ゴシック" w:eastAsia="ＭＳ ゴシック" w:hAnsi="ＭＳ ゴシック"/>
          <w:b/>
          <w:sz w:val="22"/>
          <w:szCs w:val="22"/>
        </w:rPr>
        <w:br w:type="page"/>
      </w:r>
    </w:p>
    <w:p w14:paraId="34633FC7" w14:textId="77777777" w:rsidR="005D372A" w:rsidRPr="001D6D10" w:rsidRDefault="005D372A" w:rsidP="005D372A">
      <w:pPr>
        <w:rPr>
          <w:rFonts w:ascii="ＭＳ 明朝" w:hAnsi="ＭＳ 明朝"/>
          <w:sz w:val="22"/>
          <w:szCs w:val="22"/>
        </w:rPr>
      </w:pPr>
      <w:r w:rsidRPr="001D6D10">
        <w:rPr>
          <w:rFonts w:ascii="ＭＳ 明朝" w:hAnsi="ＭＳ 明朝" w:hint="eastAsia"/>
          <w:sz w:val="22"/>
          <w:szCs w:val="22"/>
        </w:rPr>
        <w:lastRenderedPageBreak/>
        <w:t>（１）設置基準アの場合</w:t>
      </w:r>
    </w:p>
    <w:p w14:paraId="5E928863" w14:textId="77777777" w:rsidR="005D372A" w:rsidRPr="001D6D10" w:rsidRDefault="005D372A" w:rsidP="005D372A">
      <w:pPr>
        <w:rPr>
          <w:rFonts w:ascii="ＭＳ 明朝" w:hAnsi="ＭＳ 明朝"/>
          <w:sz w:val="22"/>
          <w:szCs w:val="22"/>
        </w:rPr>
      </w:pPr>
      <w:r w:rsidRPr="001D6D10">
        <w:rPr>
          <w:rFonts w:ascii="ＭＳ 明朝" w:hAnsi="ＭＳ 明朝" w:hint="eastAsia"/>
          <w:noProof/>
          <w:sz w:val="22"/>
          <w:szCs w:val="22"/>
        </w:rPr>
        <mc:AlternateContent>
          <mc:Choice Requires="wpg">
            <w:drawing>
              <wp:anchor distT="0" distB="0" distL="114300" distR="114300" simplePos="0" relativeHeight="252976128" behindDoc="0" locked="0" layoutInCell="1" allowOverlap="1" wp14:anchorId="35A6351F" wp14:editId="657422BD">
                <wp:simplePos x="0" y="0"/>
                <wp:positionH relativeFrom="column">
                  <wp:posOffset>-57785</wp:posOffset>
                </wp:positionH>
                <wp:positionV relativeFrom="paragraph">
                  <wp:posOffset>89789</wp:posOffset>
                </wp:positionV>
                <wp:extent cx="5429250" cy="1595628"/>
                <wp:effectExtent l="0" t="0" r="19050" b="24130"/>
                <wp:wrapNone/>
                <wp:docPr id="4822" name="グループ化 4822"/>
                <wp:cNvGraphicFramePr/>
                <a:graphic xmlns:a="http://schemas.openxmlformats.org/drawingml/2006/main">
                  <a:graphicData uri="http://schemas.microsoft.com/office/word/2010/wordprocessingGroup">
                    <wpg:wgp>
                      <wpg:cNvGrpSpPr/>
                      <wpg:grpSpPr>
                        <a:xfrm>
                          <a:off x="0" y="0"/>
                          <a:ext cx="5429250" cy="1595628"/>
                          <a:chOff x="0" y="0"/>
                          <a:chExt cx="5429250" cy="1595628"/>
                        </a:xfrm>
                      </wpg:grpSpPr>
                      <wps:wsp>
                        <wps:cNvPr id="101" name="AutoShape 2035"/>
                        <wps:cNvSpPr>
                          <a:spLocks noChangeArrowheads="1"/>
                        </wps:cNvSpPr>
                        <wps:spPr bwMode="auto">
                          <a:xfrm>
                            <a:off x="0" y="0"/>
                            <a:ext cx="2110105" cy="685800"/>
                          </a:xfrm>
                          <a:prstGeom prst="roundRect">
                            <a:avLst>
                              <a:gd name="adj" fmla="val 16667"/>
                            </a:avLst>
                          </a:prstGeom>
                          <a:solidFill>
                            <a:srgbClr val="FFFFFF"/>
                          </a:solidFill>
                          <a:ln w="9525">
                            <a:solidFill>
                              <a:srgbClr val="000000"/>
                            </a:solidFill>
                            <a:round/>
                            <a:headEnd/>
                            <a:tailEnd/>
                          </a:ln>
                        </wps:spPr>
                        <wps:txbx>
                          <w:txbxContent>
                            <w:p w14:paraId="76D9B018" w14:textId="77777777" w:rsidR="006A5267" w:rsidRDefault="006A5267" w:rsidP="005D372A">
                              <w:pPr>
                                <w:ind w:firstLineChars="100" w:firstLine="201"/>
                                <w:rPr>
                                  <w:rFonts w:ascii="ＭＳ ゴシック" w:eastAsia="ＭＳ ゴシック" w:hAnsi="ＭＳ ゴシック"/>
                                  <w:sz w:val="20"/>
                                  <w:szCs w:val="20"/>
                                </w:rPr>
                              </w:pPr>
                              <w:r>
                                <w:rPr>
                                  <w:rFonts w:ascii="ＭＳ ゴシック" w:eastAsia="ＭＳ ゴシック" w:hAnsi="ＭＳ ゴシック" w:hint="eastAsia"/>
                                  <w:sz w:val="20"/>
                                  <w:szCs w:val="20"/>
                                </w:rPr>
                                <w:t>時間内：危機管理室他</w:t>
                              </w:r>
                            </w:p>
                            <w:p w14:paraId="184571D9" w14:textId="77777777" w:rsidR="006A5267" w:rsidRPr="00C61A0B" w:rsidRDefault="006A5267" w:rsidP="005D372A">
                              <w:pPr>
                                <w:ind w:firstLineChars="100" w:firstLine="201"/>
                                <w:rPr>
                                  <w:rFonts w:ascii="ＭＳ ゴシック" w:eastAsia="ＭＳ ゴシック" w:hAnsi="ＭＳ ゴシック"/>
                                  <w:sz w:val="20"/>
                                  <w:szCs w:val="20"/>
                                </w:rPr>
                              </w:pPr>
                              <w:r>
                                <w:rPr>
                                  <w:rFonts w:ascii="ＭＳ ゴシック" w:eastAsia="ＭＳ ゴシック" w:hAnsi="ＭＳ ゴシック" w:hint="eastAsia"/>
                                  <w:sz w:val="20"/>
                                  <w:szCs w:val="20"/>
                                </w:rPr>
                                <w:t>時間外：防災・危機管理当直</w:t>
                              </w:r>
                            </w:p>
                          </w:txbxContent>
                        </wps:txbx>
                        <wps:bodyPr rot="0" vert="horz" wrap="square" lIns="74295" tIns="8890" rIns="74295" bIns="8890" anchor="ctr" anchorCtr="0" upright="1">
                          <a:noAutofit/>
                        </wps:bodyPr>
                      </wps:wsp>
                      <wps:wsp>
                        <wps:cNvPr id="102" name="AutoShape 2042"/>
                        <wps:cNvSpPr>
                          <a:spLocks noChangeArrowheads="1"/>
                        </wps:cNvSpPr>
                        <wps:spPr bwMode="auto">
                          <a:xfrm>
                            <a:off x="3486150" y="114300"/>
                            <a:ext cx="1943100" cy="457200"/>
                          </a:xfrm>
                          <a:prstGeom prst="roundRect">
                            <a:avLst>
                              <a:gd name="adj" fmla="val 16667"/>
                            </a:avLst>
                          </a:prstGeom>
                          <a:solidFill>
                            <a:srgbClr val="FFFFFF"/>
                          </a:solidFill>
                          <a:ln w="44450" cmpd="dbl">
                            <a:solidFill>
                              <a:srgbClr val="000000"/>
                            </a:solidFill>
                            <a:round/>
                            <a:headEnd/>
                            <a:tailEnd/>
                          </a:ln>
                        </wps:spPr>
                        <wps:txbx>
                          <w:txbxContent>
                            <w:p w14:paraId="51E2C3B7" w14:textId="77777777" w:rsidR="006A5267" w:rsidRDefault="006A5267" w:rsidP="005D372A">
                              <w:pPr>
                                <w:jc w:val="center"/>
                              </w:pPr>
                              <w:r>
                                <w:rPr>
                                  <w:rFonts w:ascii="ＭＳ ゴシック" w:eastAsia="ＭＳ ゴシック" w:hAnsi="ＭＳ ゴシック" w:hint="eastAsia"/>
                                  <w:sz w:val="20"/>
                                  <w:szCs w:val="20"/>
                                </w:rPr>
                                <w:t>災害警戒本部</w:t>
                              </w:r>
                            </w:p>
                          </w:txbxContent>
                        </wps:txbx>
                        <wps:bodyPr rot="0" vert="horz" wrap="square" lIns="74295" tIns="8890" rIns="74295" bIns="8890" anchor="ctr" anchorCtr="0" upright="1">
                          <a:noAutofit/>
                        </wps:bodyPr>
                      </wps:wsp>
                      <wps:wsp>
                        <wps:cNvPr id="103" name="AutoShape 2041"/>
                        <wps:cNvSpPr>
                          <a:spLocks noChangeArrowheads="1"/>
                        </wps:cNvSpPr>
                        <wps:spPr bwMode="auto">
                          <a:xfrm>
                            <a:off x="4162425" y="685800"/>
                            <a:ext cx="571500" cy="460248"/>
                          </a:xfrm>
                          <a:prstGeom prst="upDownArrow">
                            <a:avLst>
                              <a:gd name="adj1" fmla="val 50000"/>
                              <a:gd name="adj2" fmla="val 24000"/>
                            </a:avLst>
                          </a:prstGeom>
                          <a:solidFill>
                            <a:srgbClr val="FFFFFF"/>
                          </a:solidFill>
                          <a:ln w="9525">
                            <a:solidFill>
                              <a:srgbClr val="000000"/>
                            </a:solidFill>
                            <a:miter lim="800000"/>
                            <a:headEnd/>
                            <a:tailEnd/>
                          </a:ln>
                        </wps:spPr>
                        <wps:bodyPr rot="0" vert="horz" wrap="square" lIns="74295" tIns="8890" rIns="74295" bIns="8890" anchor="t" anchorCtr="0" upright="1">
                          <a:noAutofit/>
                        </wps:bodyPr>
                      </wps:wsp>
                      <wps:wsp>
                        <wps:cNvPr id="106" name="AutoShape 2039"/>
                        <wps:cNvSpPr>
                          <a:spLocks noChangeArrowheads="1"/>
                        </wps:cNvSpPr>
                        <wps:spPr bwMode="auto">
                          <a:xfrm>
                            <a:off x="3486150" y="1252728"/>
                            <a:ext cx="1943100" cy="342900"/>
                          </a:xfrm>
                          <a:prstGeom prst="roundRect">
                            <a:avLst>
                              <a:gd name="adj" fmla="val 16667"/>
                            </a:avLst>
                          </a:prstGeom>
                          <a:solidFill>
                            <a:srgbClr val="FFFFFF"/>
                          </a:solidFill>
                          <a:ln w="44450" cmpd="thinThick">
                            <a:solidFill>
                              <a:srgbClr val="000000"/>
                            </a:solidFill>
                            <a:round/>
                            <a:headEnd/>
                            <a:tailEnd/>
                          </a:ln>
                        </wps:spPr>
                        <wps:txbx>
                          <w:txbxContent>
                            <w:p w14:paraId="28793DEC" w14:textId="77777777" w:rsidR="006A5267" w:rsidRDefault="006A5267" w:rsidP="005D372A">
                              <w:pPr>
                                <w:jc w:val="center"/>
                              </w:pPr>
                              <w:r w:rsidRPr="001D1E9B">
                                <w:rPr>
                                  <w:rFonts w:ascii="ＭＳ ゴシック" w:eastAsia="ＭＳ ゴシック" w:hAnsi="ＭＳ ゴシック" w:hint="eastAsia"/>
                                  <w:sz w:val="20"/>
                                  <w:szCs w:val="20"/>
                                </w:rPr>
                                <w:t>地域警戒班</w:t>
                              </w:r>
                            </w:p>
                          </w:txbxContent>
                        </wps:txbx>
                        <wps:bodyPr rot="0" vert="horz" wrap="square" lIns="74295" tIns="8890" rIns="74295" bIns="8890" anchor="ctr" anchorCtr="0" upright="1">
                          <a:noAutofit/>
                        </wps:bodyPr>
                      </wps:wsp>
                      <wps:wsp>
                        <wps:cNvPr id="107" name="直線矢印コネクタ 107"/>
                        <wps:cNvCnPr/>
                        <wps:spPr>
                          <a:xfrm>
                            <a:off x="2105025" y="342900"/>
                            <a:ext cx="1376045" cy="0"/>
                          </a:xfrm>
                          <a:prstGeom prst="straightConnector1">
                            <a:avLst/>
                          </a:prstGeom>
                          <a:noFill/>
                          <a:ln w="9525" cap="flat" cmpd="sng" algn="ctr">
                            <a:solidFill>
                              <a:sysClr val="windowText" lastClr="000000"/>
                            </a:solidFill>
                            <a:prstDash val="solid"/>
                            <a:tailEnd type="triangle"/>
                          </a:ln>
                          <a:effectLst/>
                        </wps:spPr>
                        <wps:bodyPr/>
                      </wps:wsp>
                    </wpg:wgp>
                  </a:graphicData>
                </a:graphic>
                <wp14:sizeRelV relativeFrom="margin">
                  <wp14:pctHeight>0</wp14:pctHeight>
                </wp14:sizeRelV>
              </wp:anchor>
            </w:drawing>
          </mc:Choice>
          <mc:Fallback xmlns:w16cei="http://schemas.microsoft.com/office/word/2026/wordml/cei">
            <w:pict>
              <v:group w14:anchorId="35A6351F" id="グループ化 4822" o:spid="_x0000_s1128" style="position:absolute;left:0;text-align:left;margin-left:-4.55pt;margin-top:7.05pt;width:427.5pt;height:125.65pt;z-index:252976128;mso-height-relative:margin" coordsize="54292,1595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">
                <v:roundrect id="_x0000_s1129" style="position:absolute;width:21101;height:6858;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">
                  <v:textbox inset="5.85pt,.7pt,5.85pt,.7pt">
                    <w:txbxContent>
                      <w:p w14:paraId="76D9B018" w14:textId="77777777" w:rsidR="006A5267" w:rsidRDefault="006A5267" w:rsidP="005D372A">
                        <w:pPr>
                          <w:ind w:firstLineChars="100" w:firstLine="201"/>
                          <w:rPr>
                            <w:rFonts w:ascii="ＭＳ ゴシック" w:eastAsia="ＭＳ ゴシック" w:hAnsi="ＭＳ ゴシック"/>
                            <w:sz w:val="20"/>
                            <w:szCs w:val="20"/>
                          </w:rPr>
                        </w:pPr>
                        <w:r>
                          <w:rPr>
                            <w:rFonts w:ascii="ＭＳ ゴシック" w:eastAsia="ＭＳ ゴシック" w:hAnsi="ＭＳ ゴシック" w:hint="eastAsia"/>
                            <w:sz w:val="20"/>
                            <w:szCs w:val="20"/>
                          </w:rPr>
                          <w:t>時間内：危機管理室他</w:t>
                        </w:r>
                      </w:p>
                      <w:p w14:paraId="184571D9" w14:textId="77777777" w:rsidR="006A5267" w:rsidRPr="00C61A0B" w:rsidRDefault="006A5267" w:rsidP="005D372A">
                        <w:pPr>
                          <w:ind w:firstLineChars="100" w:firstLine="201"/>
                          <w:rPr>
                            <w:rFonts w:ascii="ＭＳ ゴシック" w:eastAsia="ＭＳ ゴシック" w:hAnsi="ＭＳ ゴシック"/>
                            <w:sz w:val="20"/>
                            <w:szCs w:val="20"/>
                          </w:rPr>
                        </w:pPr>
                        <w:r>
                          <w:rPr>
                            <w:rFonts w:ascii="ＭＳ ゴシック" w:eastAsia="ＭＳ ゴシック" w:hAnsi="ＭＳ ゴシック" w:hint="eastAsia"/>
                            <w:sz w:val="20"/>
                            <w:szCs w:val="20"/>
                          </w:rPr>
                          <w:t>時間外：防災・危機管理当直</w:t>
                        </w:r>
                      </w:p>
                    </w:txbxContent>
                  </v:textbox>
                </v:roundrect>
                <v:roundrect id="_x0000_s1130" style="position:absolute;left:34861;top:1143;width:19431;height:4572;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" strokeweight="3.5pt">
                  <v:stroke linestyle="thinThin"/>
                  <v:textbox inset="5.85pt,.7pt,5.85pt,.7pt">
                    <w:txbxContent>
                      <w:p w14:paraId="51E2C3B7" w14:textId="77777777" w:rsidR="006A5267" w:rsidRDefault="006A5267" w:rsidP="005D372A">
                        <w:pPr>
                          <w:jc w:val="center"/>
                        </w:pPr>
                        <w:r>
                          <w:rPr>
                            <w:rFonts w:ascii="ＭＳ ゴシック" w:eastAsia="ＭＳ ゴシック" w:hAnsi="ＭＳ ゴシック" w:hint="eastAsia"/>
                            <w:sz w:val="20"/>
                            <w:szCs w:val="20"/>
                          </w:rPr>
                          <w:t>災害警戒本部</w:t>
                        </w:r>
                      </w:p>
                    </w:txbxContent>
                  </v:textbox>
                </v:roundrect>
                <v:shapetype id="_x0000_t70" coordsize="21600,21600" o:spt="70" adj="5400,4320" path="m10800,l21600@0@3@0@3@2,21600@2,10800,21600,0@2@1@2@1@0,0@0xe">
                  <v:stroke joinstyle="miter"/>
                  <v:formulas>
                    <v:f eqn="val #1"/>
                    <v:f eqn="val #0"/>
                    <v:f eqn="sum 21600 0 #1"/>
                    <v:f eqn="sum 21600 0 #0"/>
                    <v:f eqn="prod #1 #0 10800"/>
                    <v:f eqn="sum #1 0 @4"/>
                    <v:f eqn="sum 21600 0 @5"/>
                  </v:formulas>
                  <v:path o:connecttype="custom" o:connectlocs="10800,0;0,@0;@1,10800;0,@2;10800,21600;21600,@2;@3,10800;21600,@0" o:connectangles="270,180,180,180,90,0,0,0" textboxrect="@1,@5,@3,@6"/>
                  <v:handles>
                    <v:h position="#0,#1" xrange="0,10800" yrange="0,10800"/>
                  </v:handles>
                </v:shapetype>
                <v:shape id="AutoShape 2041" o:spid="_x0000_s1131" type="#_x0000_t70" style="position:absolute;left:41624;top:6858;width:5715;height:460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" adj=",5184">
                  <v:textbox inset="5.85pt,.7pt,5.85pt,.7pt"/>
                </v:shape>
                <v:roundrect id="_x0000_s1132" style="position:absolute;left:34861;top:12527;width:19431;height:3429;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" strokeweight="3.5pt">
                  <v:stroke linestyle="thinThick"/>
                  <v:textbox inset="5.85pt,.7pt,5.85pt,.7pt">
                    <w:txbxContent>
                      <w:p w14:paraId="28793DEC" w14:textId="77777777" w:rsidR="006A5267" w:rsidRDefault="006A5267" w:rsidP="005D372A">
                        <w:pPr>
                          <w:jc w:val="center"/>
                        </w:pPr>
                        <w:r w:rsidRPr="001D1E9B">
                          <w:rPr>
                            <w:rFonts w:ascii="ＭＳ ゴシック" w:eastAsia="ＭＳ ゴシック" w:hAnsi="ＭＳ ゴシック" w:hint="eastAsia"/>
                            <w:sz w:val="20"/>
                            <w:szCs w:val="20"/>
                          </w:rPr>
                          <w:t>地域警戒班</w:t>
                        </w:r>
                      </w:p>
                    </w:txbxContent>
                  </v:textbox>
                </v:roundrect>
                <v:shapetype id="_x0000_t32" coordsize="21600,21600" o:spt="32" o:oned="t" path="m,l21600,21600e" filled="f">
                  <v:path arrowok="t" fillok="f" o:connecttype="none"/>
                  <o:lock v:ext="edit" shapetype="t"/>
                </v:shapetype>
                <v:shape id="直線矢印コネクタ 107" o:spid="_x0000_s1133" type="#_x0000_t32" style="position:absolute;left:21050;top:3429;width:13760;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" strokecolor="windowText">
                  <v:stroke endarrow="block"/>
                </v:shape>
              </v:group>
            </w:pict>
          </mc:Fallback>
        </mc:AlternateContent>
      </w:r>
    </w:p>
    <w:p w14:paraId="368728AA" w14:textId="77777777" w:rsidR="005D372A" w:rsidRPr="001D6D10" w:rsidRDefault="005D372A" w:rsidP="005D372A">
      <w:pPr>
        <w:rPr>
          <w:rFonts w:ascii="ＭＳ 明朝" w:hAnsi="ＭＳ 明朝"/>
          <w:sz w:val="22"/>
          <w:szCs w:val="22"/>
        </w:rPr>
      </w:pPr>
    </w:p>
    <w:p w14:paraId="7A2FCE68" w14:textId="77777777" w:rsidR="005D372A" w:rsidRPr="001D6D10" w:rsidRDefault="005D372A" w:rsidP="005D372A">
      <w:pPr>
        <w:rPr>
          <w:rFonts w:ascii="ＭＳ 明朝" w:hAnsi="ＭＳ 明朝"/>
          <w:sz w:val="22"/>
          <w:szCs w:val="22"/>
        </w:rPr>
      </w:pPr>
    </w:p>
    <w:p w14:paraId="170E6505" w14:textId="77777777" w:rsidR="005D372A" w:rsidRPr="001D6D10" w:rsidRDefault="005D372A" w:rsidP="005D372A">
      <w:pPr>
        <w:rPr>
          <w:rFonts w:ascii="ＭＳ 明朝" w:hAnsi="ＭＳ 明朝"/>
          <w:sz w:val="22"/>
          <w:szCs w:val="22"/>
        </w:rPr>
      </w:pPr>
    </w:p>
    <w:p w14:paraId="1E462066" w14:textId="77777777" w:rsidR="005D372A" w:rsidRPr="001D6D10" w:rsidRDefault="005D372A" w:rsidP="005D372A">
      <w:pPr>
        <w:rPr>
          <w:rFonts w:ascii="ＭＳ 明朝" w:hAnsi="ＭＳ 明朝"/>
          <w:sz w:val="22"/>
          <w:szCs w:val="22"/>
        </w:rPr>
      </w:pPr>
      <w:r w:rsidRPr="001D6D10">
        <w:rPr>
          <w:rFonts w:ascii="ＭＳ 明朝" w:hAnsi="ＭＳ 明朝" w:hint="eastAsia"/>
          <w:noProof/>
          <w:sz w:val="22"/>
          <w:szCs w:val="22"/>
        </w:rPr>
        <mc:AlternateContent>
          <mc:Choice Requires="wps">
            <w:drawing>
              <wp:anchor distT="0" distB="0" distL="114300" distR="114300" simplePos="0" relativeHeight="252979200" behindDoc="0" locked="0" layoutInCell="1" allowOverlap="1" wp14:anchorId="65FDF89C" wp14:editId="33658D18">
                <wp:simplePos x="0" y="0"/>
                <wp:positionH relativeFrom="column">
                  <wp:posOffset>3765550</wp:posOffset>
                </wp:positionH>
                <wp:positionV relativeFrom="paragraph">
                  <wp:posOffset>10795</wp:posOffset>
                </wp:positionV>
                <wp:extent cx="457200" cy="228600"/>
                <wp:effectExtent l="0" t="0" r="0" b="0"/>
                <wp:wrapNone/>
                <wp:docPr id="112" name="Text Box 208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57200" cy="2286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FE83AA0" w14:textId="77777777" w:rsidR="006A5267" w:rsidRPr="00A80169" w:rsidRDefault="006A5267" w:rsidP="005D372A">
                            <w:pPr>
                              <w:rPr>
                                <w:rFonts w:ascii="ＭＳ 明朝" w:hAnsi="ＭＳ 明朝"/>
                                <w:szCs w:val="21"/>
                              </w:rPr>
                            </w:pPr>
                            <w:r w:rsidRPr="00A80169">
                              <w:rPr>
                                <w:rFonts w:ascii="ＭＳ 明朝" w:hAnsi="ＭＳ 明朝" w:hint="eastAsia"/>
                                <w:szCs w:val="21"/>
                              </w:rPr>
                              <w:t>連絡</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shape w14:anchorId="65FDF89C" id="_x0000_s1134" type="#_x0000_t202" style="position:absolute;left:0;text-align:left;margin-left:296.5pt;margin-top:.85pt;width:36pt;height:18pt;z-index:2529792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" filled="f" stroked="f">
                <v:textbox inset="5.85pt,.7pt,5.85pt,.7pt">
                  <w:txbxContent>
                    <w:p w14:paraId="6FE83AA0" w14:textId="77777777" w:rsidR="006A5267" w:rsidRPr="00A80169" w:rsidRDefault="006A5267" w:rsidP="005D372A">
                      <w:pPr>
                        <w:rPr>
                          <w:rFonts w:ascii="ＭＳ 明朝" w:hAnsi="ＭＳ 明朝"/>
                          <w:szCs w:val="21"/>
                        </w:rPr>
                      </w:pPr>
                      <w:r w:rsidRPr="00A80169">
                        <w:rPr>
                          <w:rFonts w:ascii="ＭＳ 明朝" w:hAnsi="ＭＳ 明朝" w:hint="eastAsia"/>
                          <w:szCs w:val="21"/>
                        </w:rPr>
                        <w:t>連絡</w:t>
                      </w:r>
                    </w:p>
                  </w:txbxContent>
                </v:textbox>
              </v:shape>
            </w:pict>
          </mc:Fallback>
        </mc:AlternateContent>
      </w:r>
      <w:r w:rsidRPr="001D6D10">
        <w:rPr>
          <w:rFonts w:ascii="ＭＳ 明朝" w:hAnsi="ＭＳ 明朝" w:hint="eastAsia"/>
          <w:noProof/>
          <w:sz w:val="22"/>
          <w:szCs w:val="22"/>
        </w:rPr>
        <mc:AlternateContent>
          <mc:Choice Requires="wps">
            <w:drawing>
              <wp:anchor distT="0" distB="0" distL="114300" distR="114300" simplePos="0" relativeHeight="252980224" behindDoc="0" locked="0" layoutInCell="1" allowOverlap="1" wp14:anchorId="790E2797" wp14:editId="59E2A2CA">
                <wp:simplePos x="0" y="0"/>
                <wp:positionH relativeFrom="column">
                  <wp:posOffset>4546600</wp:posOffset>
                </wp:positionH>
                <wp:positionV relativeFrom="paragraph">
                  <wp:posOffset>11303</wp:posOffset>
                </wp:positionV>
                <wp:extent cx="457200" cy="228600"/>
                <wp:effectExtent l="0" t="0" r="0" b="0"/>
                <wp:wrapNone/>
                <wp:docPr id="111" name="Text Box 208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57200" cy="2286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6A4341E" w14:textId="77777777" w:rsidR="006A5267" w:rsidRPr="00A80169" w:rsidRDefault="006A5267" w:rsidP="005D372A">
                            <w:pPr>
                              <w:rPr>
                                <w:rFonts w:ascii="ＭＳ 明朝" w:hAnsi="ＭＳ 明朝"/>
                                <w:szCs w:val="21"/>
                              </w:rPr>
                            </w:pPr>
                            <w:r>
                              <w:rPr>
                                <w:rFonts w:ascii="ＭＳ 明朝" w:hAnsi="ＭＳ 明朝" w:hint="eastAsia"/>
                                <w:szCs w:val="21"/>
                              </w:rPr>
                              <w:t>連携</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shape w14:anchorId="790E2797" id="_x0000_s1135" type="#_x0000_t202" style="position:absolute;left:0;text-align:left;margin-left:358pt;margin-top:.9pt;width:36pt;height:18pt;z-index:2529802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" filled="f" stroked="f">
                <v:textbox inset="5.85pt,.7pt,5.85pt,.7pt">
                  <w:txbxContent>
                    <w:p w14:paraId="06A4341E" w14:textId="77777777" w:rsidR="006A5267" w:rsidRPr="00A80169" w:rsidRDefault="006A5267" w:rsidP="005D372A">
                      <w:pPr>
                        <w:rPr>
                          <w:rFonts w:ascii="ＭＳ 明朝" w:hAnsi="ＭＳ 明朝"/>
                          <w:szCs w:val="21"/>
                        </w:rPr>
                      </w:pPr>
                      <w:r>
                        <w:rPr>
                          <w:rFonts w:ascii="ＭＳ 明朝" w:hAnsi="ＭＳ 明朝" w:hint="eastAsia"/>
                          <w:szCs w:val="21"/>
                        </w:rPr>
                        <w:t>連携</w:t>
                      </w:r>
                    </w:p>
                  </w:txbxContent>
                </v:textbox>
              </v:shape>
            </w:pict>
          </mc:Fallback>
        </mc:AlternateContent>
      </w:r>
    </w:p>
    <w:p w14:paraId="0355A9A6" w14:textId="77777777" w:rsidR="005D372A" w:rsidRPr="001D6D10" w:rsidRDefault="005D372A" w:rsidP="005D372A">
      <w:pPr>
        <w:rPr>
          <w:rFonts w:ascii="ＭＳ 明朝" w:hAnsi="ＭＳ 明朝"/>
          <w:sz w:val="22"/>
          <w:szCs w:val="22"/>
        </w:rPr>
      </w:pPr>
    </w:p>
    <w:p w14:paraId="0859E873" w14:textId="77777777" w:rsidR="005D372A" w:rsidRPr="001D6D10" w:rsidRDefault="005D372A" w:rsidP="005D372A">
      <w:pPr>
        <w:rPr>
          <w:rFonts w:ascii="ＭＳ 明朝" w:hAnsi="ＭＳ 明朝"/>
          <w:sz w:val="22"/>
          <w:szCs w:val="22"/>
        </w:rPr>
      </w:pPr>
    </w:p>
    <w:p w14:paraId="7C373E85" w14:textId="77777777" w:rsidR="005D372A" w:rsidRPr="001D6D10" w:rsidRDefault="005D372A" w:rsidP="005D372A">
      <w:pPr>
        <w:rPr>
          <w:rFonts w:ascii="ＭＳ 明朝" w:hAnsi="ＭＳ 明朝"/>
          <w:sz w:val="22"/>
          <w:szCs w:val="22"/>
        </w:rPr>
      </w:pPr>
    </w:p>
    <w:p w14:paraId="6E665DBD" w14:textId="77777777" w:rsidR="005D372A" w:rsidRPr="001D6D10" w:rsidRDefault="005D372A" w:rsidP="005D372A">
      <w:pPr>
        <w:rPr>
          <w:rFonts w:ascii="ＭＳ 明朝" w:hAnsi="ＭＳ 明朝"/>
          <w:sz w:val="22"/>
          <w:szCs w:val="22"/>
        </w:rPr>
      </w:pPr>
      <w:r w:rsidRPr="001D6D10">
        <w:rPr>
          <w:rFonts w:ascii="ＭＳ 明朝" w:hAnsi="ＭＳ 明朝" w:hint="eastAsia"/>
          <w:noProof/>
          <w:sz w:val="22"/>
          <w:szCs w:val="22"/>
        </w:rPr>
        <mc:AlternateContent>
          <mc:Choice Requires="wpg">
            <w:drawing>
              <wp:anchor distT="0" distB="0" distL="114300" distR="114300" simplePos="0" relativeHeight="252978176" behindDoc="0" locked="0" layoutInCell="1" allowOverlap="1" wp14:anchorId="5567344E" wp14:editId="668C0DC0">
                <wp:simplePos x="0" y="0"/>
                <wp:positionH relativeFrom="column">
                  <wp:posOffset>-9017</wp:posOffset>
                </wp:positionH>
                <wp:positionV relativeFrom="paragraph">
                  <wp:posOffset>169418</wp:posOffset>
                </wp:positionV>
                <wp:extent cx="5429250" cy="1659636"/>
                <wp:effectExtent l="0" t="0" r="19050" b="17145"/>
                <wp:wrapNone/>
                <wp:docPr id="4306" name="グループ化 4306"/>
                <wp:cNvGraphicFramePr/>
                <a:graphic xmlns:a="http://schemas.openxmlformats.org/drawingml/2006/main">
                  <a:graphicData uri="http://schemas.microsoft.com/office/word/2010/wordprocessingGroup">
                    <wpg:wgp>
                      <wpg:cNvGrpSpPr/>
                      <wpg:grpSpPr>
                        <a:xfrm>
                          <a:off x="0" y="0"/>
                          <a:ext cx="5429250" cy="1659636"/>
                          <a:chOff x="0" y="0"/>
                          <a:chExt cx="5429250" cy="1659636"/>
                        </a:xfrm>
                      </wpg:grpSpPr>
                      <wps:wsp>
                        <wps:cNvPr id="115" name="AutoShape 2042"/>
                        <wps:cNvSpPr>
                          <a:spLocks noChangeArrowheads="1"/>
                        </wps:cNvSpPr>
                        <wps:spPr bwMode="auto">
                          <a:xfrm>
                            <a:off x="3657600" y="256032"/>
                            <a:ext cx="1771650" cy="457200"/>
                          </a:xfrm>
                          <a:prstGeom prst="roundRect">
                            <a:avLst>
                              <a:gd name="adj" fmla="val 16667"/>
                            </a:avLst>
                          </a:prstGeom>
                          <a:solidFill>
                            <a:srgbClr val="FFFFFF"/>
                          </a:solidFill>
                          <a:ln w="44450" cmpd="dbl">
                            <a:solidFill>
                              <a:srgbClr val="000000"/>
                            </a:solidFill>
                            <a:round/>
                            <a:headEnd/>
                            <a:tailEnd/>
                          </a:ln>
                        </wps:spPr>
                        <wps:txbx>
                          <w:txbxContent>
                            <w:p w14:paraId="3A9B981C" w14:textId="77777777" w:rsidR="006A5267" w:rsidRDefault="006A5267" w:rsidP="005D372A">
                              <w:pPr>
                                <w:jc w:val="center"/>
                              </w:pPr>
                              <w:r>
                                <w:rPr>
                                  <w:rFonts w:ascii="ＭＳ ゴシック" w:eastAsia="ＭＳ ゴシック" w:hAnsi="ＭＳ ゴシック" w:hint="eastAsia"/>
                                  <w:sz w:val="20"/>
                                  <w:szCs w:val="20"/>
                                </w:rPr>
                                <w:t>災害警戒本部</w:t>
                              </w:r>
                            </w:p>
                          </w:txbxContent>
                        </wps:txbx>
                        <wps:bodyPr rot="0" vert="horz" wrap="square" lIns="74295" tIns="8890" rIns="74295" bIns="8890" anchor="ctr" anchorCtr="0" upright="1">
                          <a:noAutofit/>
                        </wps:bodyPr>
                      </wps:wsp>
                      <wps:wsp>
                        <wps:cNvPr id="123" name="AutoShape 2041"/>
                        <wps:cNvSpPr>
                          <a:spLocks noChangeArrowheads="1"/>
                        </wps:cNvSpPr>
                        <wps:spPr bwMode="auto">
                          <a:xfrm>
                            <a:off x="4157472" y="768096"/>
                            <a:ext cx="571500" cy="499263"/>
                          </a:xfrm>
                          <a:prstGeom prst="upDownArrow">
                            <a:avLst>
                              <a:gd name="adj1" fmla="val 50000"/>
                              <a:gd name="adj2" fmla="val 24000"/>
                            </a:avLst>
                          </a:prstGeom>
                          <a:solidFill>
                            <a:srgbClr val="FFFFFF"/>
                          </a:solidFill>
                          <a:ln w="9525">
                            <a:solidFill>
                              <a:srgbClr val="000000"/>
                            </a:solidFill>
                            <a:miter lim="800000"/>
                            <a:headEnd/>
                            <a:tailEnd/>
                          </a:ln>
                        </wps:spPr>
                        <wps:bodyPr rot="0" vert="horz" wrap="square" lIns="74295" tIns="8890" rIns="74295" bIns="8890" anchor="t" anchorCtr="0" upright="1">
                          <a:noAutofit/>
                        </wps:bodyPr>
                      </wps:wsp>
                      <wps:wsp>
                        <wps:cNvPr id="126" name="AutoShape 2039"/>
                        <wps:cNvSpPr>
                          <a:spLocks noChangeArrowheads="1"/>
                        </wps:cNvSpPr>
                        <wps:spPr bwMode="auto">
                          <a:xfrm>
                            <a:off x="3657600" y="1316736"/>
                            <a:ext cx="1771650" cy="342900"/>
                          </a:xfrm>
                          <a:prstGeom prst="roundRect">
                            <a:avLst>
                              <a:gd name="adj" fmla="val 16667"/>
                            </a:avLst>
                          </a:prstGeom>
                          <a:solidFill>
                            <a:srgbClr val="FFFFFF"/>
                          </a:solidFill>
                          <a:ln w="44450" cmpd="thinThick">
                            <a:solidFill>
                              <a:srgbClr val="000000"/>
                            </a:solidFill>
                            <a:round/>
                            <a:headEnd/>
                            <a:tailEnd/>
                          </a:ln>
                        </wps:spPr>
                        <wps:txbx>
                          <w:txbxContent>
                            <w:p w14:paraId="412732C2" w14:textId="77777777" w:rsidR="006A5267" w:rsidRDefault="006A5267" w:rsidP="005D372A">
                              <w:pPr>
                                <w:jc w:val="center"/>
                              </w:pPr>
                              <w:r w:rsidRPr="001D1E9B">
                                <w:rPr>
                                  <w:rFonts w:ascii="ＭＳ ゴシック" w:eastAsia="ＭＳ ゴシック" w:hAnsi="ＭＳ ゴシック" w:hint="eastAsia"/>
                                  <w:sz w:val="20"/>
                                  <w:szCs w:val="20"/>
                                </w:rPr>
                                <w:t>地域警戒班</w:t>
                              </w:r>
                            </w:p>
                          </w:txbxContent>
                        </wps:txbx>
                        <wps:bodyPr rot="0" vert="horz" wrap="square" lIns="74295" tIns="8890" rIns="74295" bIns="8890" anchor="ctr" anchorCtr="0" upright="1">
                          <a:noAutofit/>
                        </wps:bodyPr>
                      </wps:wsp>
                      <wps:wsp>
                        <wps:cNvPr id="125" name="Text Box 2081"/>
                        <wps:cNvSpPr txBox="1">
                          <a:spLocks noChangeArrowheads="1"/>
                        </wps:cNvSpPr>
                        <wps:spPr bwMode="auto">
                          <a:xfrm>
                            <a:off x="3828288" y="914400"/>
                            <a:ext cx="457200" cy="2286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5A4CEC7" w14:textId="77777777" w:rsidR="006A5267" w:rsidRPr="00A80169" w:rsidRDefault="006A5267" w:rsidP="005D372A">
                              <w:pPr>
                                <w:rPr>
                                  <w:rFonts w:ascii="ＭＳ 明朝" w:hAnsi="ＭＳ 明朝"/>
                                  <w:szCs w:val="21"/>
                                </w:rPr>
                              </w:pPr>
                              <w:r w:rsidRPr="00A80169">
                                <w:rPr>
                                  <w:rFonts w:ascii="ＭＳ 明朝" w:hAnsi="ＭＳ 明朝" w:hint="eastAsia"/>
                                  <w:szCs w:val="21"/>
                                </w:rPr>
                                <w:t>連絡</w:t>
                              </w:r>
                            </w:p>
                          </w:txbxContent>
                        </wps:txbx>
                        <wps:bodyPr rot="0" vert="horz" wrap="square" lIns="74295" tIns="8890" rIns="74295" bIns="8890" anchor="t" anchorCtr="0" upright="1">
                          <a:noAutofit/>
                        </wps:bodyPr>
                      </wps:wsp>
                      <wps:wsp>
                        <wps:cNvPr id="124" name="Text Box 2081"/>
                        <wps:cNvSpPr txBox="1">
                          <a:spLocks noChangeArrowheads="1"/>
                        </wps:cNvSpPr>
                        <wps:spPr bwMode="auto">
                          <a:xfrm>
                            <a:off x="4608576" y="914400"/>
                            <a:ext cx="457200" cy="2286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5B3E7CB" w14:textId="77777777" w:rsidR="006A5267" w:rsidRPr="00A80169" w:rsidRDefault="006A5267" w:rsidP="005D372A">
                              <w:pPr>
                                <w:rPr>
                                  <w:rFonts w:ascii="ＭＳ 明朝" w:hAnsi="ＭＳ 明朝"/>
                                  <w:szCs w:val="21"/>
                                </w:rPr>
                              </w:pPr>
                              <w:r>
                                <w:rPr>
                                  <w:rFonts w:ascii="ＭＳ 明朝" w:hAnsi="ＭＳ 明朝" w:hint="eastAsia"/>
                                  <w:szCs w:val="21"/>
                                </w:rPr>
                                <w:t>連携</w:t>
                              </w:r>
                            </w:p>
                          </w:txbxContent>
                        </wps:txbx>
                        <wps:bodyPr rot="0" vert="horz" wrap="square" lIns="74295" tIns="8890" rIns="74295" bIns="8890" anchor="t" anchorCtr="0" upright="1">
                          <a:noAutofit/>
                        </wps:bodyPr>
                      </wps:wsp>
                      <wps:wsp>
                        <wps:cNvPr id="116" name="AutoShape 2035"/>
                        <wps:cNvSpPr>
                          <a:spLocks noChangeArrowheads="1"/>
                        </wps:cNvSpPr>
                        <wps:spPr bwMode="auto">
                          <a:xfrm>
                            <a:off x="0" y="134112"/>
                            <a:ext cx="1962150" cy="685800"/>
                          </a:xfrm>
                          <a:prstGeom prst="roundRect">
                            <a:avLst>
                              <a:gd name="adj" fmla="val 16667"/>
                            </a:avLst>
                          </a:prstGeom>
                          <a:solidFill>
                            <a:srgbClr val="FFFFFF"/>
                          </a:solidFill>
                          <a:ln w="9525">
                            <a:solidFill>
                              <a:srgbClr val="000000"/>
                            </a:solidFill>
                            <a:round/>
                            <a:headEnd/>
                            <a:tailEnd/>
                          </a:ln>
                        </wps:spPr>
                        <wps:txbx>
                          <w:txbxContent>
                            <w:p w14:paraId="26C2EBC2" w14:textId="77777777" w:rsidR="006A5267" w:rsidRDefault="006A5267" w:rsidP="005D372A">
                              <w:pPr>
                                <w:ind w:firstLineChars="100" w:firstLine="201"/>
                                <w:rPr>
                                  <w:rFonts w:ascii="ＭＳ ゴシック" w:eastAsia="ＭＳ ゴシック" w:hAnsi="ＭＳ ゴシック"/>
                                  <w:sz w:val="20"/>
                                  <w:szCs w:val="20"/>
                                </w:rPr>
                              </w:pPr>
                              <w:r>
                                <w:rPr>
                                  <w:rFonts w:ascii="ＭＳ ゴシック" w:eastAsia="ＭＳ ゴシック" w:hAnsi="ＭＳ ゴシック" w:hint="eastAsia"/>
                                  <w:sz w:val="20"/>
                                  <w:szCs w:val="20"/>
                                </w:rPr>
                                <w:t>時間内：危機管理室他</w:t>
                              </w:r>
                            </w:p>
                            <w:p w14:paraId="1EDB38E3" w14:textId="77777777" w:rsidR="006A5267" w:rsidRPr="00C61A0B" w:rsidRDefault="006A5267" w:rsidP="005D372A">
                              <w:pPr>
                                <w:ind w:firstLineChars="100" w:firstLine="201"/>
                                <w:rPr>
                                  <w:rFonts w:ascii="ＭＳ ゴシック" w:eastAsia="ＭＳ ゴシック" w:hAnsi="ＭＳ ゴシック"/>
                                  <w:sz w:val="20"/>
                                  <w:szCs w:val="20"/>
                                </w:rPr>
                              </w:pPr>
                              <w:r>
                                <w:rPr>
                                  <w:rFonts w:ascii="ＭＳ ゴシック" w:eastAsia="ＭＳ ゴシック" w:hAnsi="ＭＳ ゴシック" w:hint="eastAsia"/>
                                  <w:sz w:val="20"/>
                                  <w:szCs w:val="20"/>
                                </w:rPr>
                                <w:t>時間外：防災・危機管理当直</w:t>
                              </w:r>
                            </w:p>
                          </w:txbxContent>
                        </wps:txbx>
                        <wps:bodyPr rot="0" vert="horz" wrap="square" lIns="74295" tIns="8890" rIns="74295" bIns="8890" anchor="ctr" anchorCtr="0" upright="1">
                          <a:noAutofit/>
                        </wps:bodyPr>
                      </wps:wsp>
                      <wps:wsp>
                        <wps:cNvPr id="114" name="AutoShape 2037"/>
                        <wps:cNvSpPr>
                          <a:spLocks noChangeArrowheads="1"/>
                        </wps:cNvSpPr>
                        <wps:spPr bwMode="auto">
                          <a:xfrm>
                            <a:off x="2962656" y="0"/>
                            <a:ext cx="352425" cy="1466850"/>
                          </a:xfrm>
                          <a:prstGeom prst="roundRect">
                            <a:avLst>
                              <a:gd name="adj" fmla="val 16667"/>
                            </a:avLst>
                          </a:prstGeom>
                          <a:solidFill>
                            <a:srgbClr val="FFFFFF"/>
                          </a:solidFill>
                          <a:ln w="3175">
                            <a:solidFill>
                              <a:srgbClr val="000000"/>
                            </a:solidFill>
                            <a:round/>
                            <a:headEnd/>
                            <a:tailEnd/>
                          </a:ln>
                        </wps:spPr>
                        <wps:txbx>
                          <w:txbxContent>
                            <w:p w14:paraId="48D533AA" w14:textId="77777777" w:rsidR="006A5267" w:rsidRPr="00C04146" w:rsidRDefault="006A5267" w:rsidP="005D372A">
                              <w:pPr>
                                <w:jc w:val="center"/>
                                <w:rPr>
                                  <w:rFonts w:ascii="ＭＳ ゴシック" w:eastAsia="ＭＳ ゴシック" w:hAnsi="ＭＳ ゴシック"/>
                                  <w:sz w:val="20"/>
                                  <w:szCs w:val="20"/>
                                </w:rPr>
                              </w:pPr>
                              <w:r>
                                <w:rPr>
                                  <w:rFonts w:ascii="ＭＳ ゴシック" w:eastAsia="ＭＳ ゴシック" w:hAnsi="ＭＳ ゴシック" w:hint="eastAsia"/>
                                  <w:sz w:val="20"/>
                                  <w:szCs w:val="20"/>
                                </w:rPr>
                                <w:t>防災・危機管理指令部</w:t>
                              </w:r>
                            </w:p>
                          </w:txbxContent>
                        </wps:txbx>
                        <wps:bodyPr rot="0" vert="eaVert" wrap="square" lIns="0" tIns="8890" rIns="0" bIns="8890" anchor="ctr" anchorCtr="0" upright="1">
                          <a:noAutofit/>
                        </wps:bodyPr>
                      </wps:wsp>
                      <wps:wsp>
                        <wps:cNvPr id="113" name="AutoShape 2037"/>
                        <wps:cNvSpPr>
                          <a:spLocks noChangeArrowheads="1"/>
                        </wps:cNvSpPr>
                        <wps:spPr bwMode="auto">
                          <a:xfrm>
                            <a:off x="2292096" y="0"/>
                            <a:ext cx="352425" cy="1466850"/>
                          </a:xfrm>
                          <a:prstGeom prst="roundRect">
                            <a:avLst>
                              <a:gd name="adj" fmla="val 16667"/>
                            </a:avLst>
                          </a:prstGeom>
                          <a:solidFill>
                            <a:srgbClr val="FFFFFF"/>
                          </a:solidFill>
                          <a:ln w="3175">
                            <a:solidFill>
                              <a:srgbClr val="000000"/>
                            </a:solidFill>
                            <a:round/>
                            <a:headEnd/>
                            <a:tailEnd/>
                          </a:ln>
                        </wps:spPr>
                        <wps:txbx>
                          <w:txbxContent>
                            <w:p w14:paraId="4D3F9C4D" w14:textId="77777777" w:rsidR="006A5267" w:rsidRPr="00C04146" w:rsidRDefault="006A5267" w:rsidP="005D372A">
                              <w:pPr>
                                <w:jc w:val="center"/>
                                <w:rPr>
                                  <w:rFonts w:ascii="ＭＳ ゴシック" w:eastAsia="ＭＳ ゴシック" w:hAnsi="ＭＳ ゴシック"/>
                                  <w:sz w:val="20"/>
                                  <w:szCs w:val="20"/>
                                </w:rPr>
                              </w:pPr>
                              <w:r w:rsidRPr="00C04146">
                                <w:rPr>
                                  <w:rFonts w:ascii="ＭＳ ゴシック" w:eastAsia="ＭＳ ゴシック" w:hAnsi="ＭＳ ゴシック" w:hint="eastAsia"/>
                                  <w:sz w:val="20"/>
                                  <w:szCs w:val="20"/>
                                </w:rPr>
                                <w:t>防災・危機管理警戒班</w:t>
                              </w:r>
                            </w:p>
                          </w:txbxContent>
                        </wps:txbx>
                        <wps:bodyPr rot="0" vert="eaVert" wrap="square" lIns="0" tIns="8890" rIns="0" bIns="8890" anchor="ctr" anchorCtr="0" upright="1">
                          <a:noAutofit/>
                        </wps:bodyPr>
                      </wps:wsp>
                    </wpg:wgp>
                  </a:graphicData>
                </a:graphic>
              </wp:anchor>
            </w:drawing>
          </mc:Choice>
          <mc:Fallback xmlns:w16cei="http://schemas.microsoft.com/office/word/2026/wordml/cei">
            <w:pict>
              <v:group w14:anchorId="5567344E" id="グループ化 4306" o:spid="_x0000_s1136" style="position:absolute;left:0;text-align:left;margin-left:-.7pt;margin-top:13.35pt;width:427.5pt;height:130.7pt;z-index:252978176" coordsize="54292,1659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">
                <v:roundrect id="_x0000_s1137" style="position:absolute;left:36576;top:2560;width:17716;height:4572;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" strokeweight="3.5pt">
                  <v:stroke linestyle="thinThin"/>
                  <v:textbox inset="5.85pt,.7pt,5.85pt,.7pt">
                    <w:txbxContent>
                      <w:p w14:paraId="3A9B981C" w14:textId="77777777" w:rsidR="006A5267" w:rsidRDefault="006A5267" w:rsidP="005D372A">
                        <w:pPr>
                          <w:jc w:val="center"/>
                        </w:pPr>
                        <w:r>
                          <w:rPr>
                            <w:rFonts w:ascii="ＭＳ ゴシック" w:eastAsia="ＭＳ ゴシック" w:hAnsi="ＭＳ ゴシック" w:hint="eastAsia"/>
                            <w:sz w:val="20"/>
                            <w:szCs w:val="20"/>
                          </w:rPr>
                          <w:t>災害警戒本部</w:t>
                        </w:r>
                      </w:p>
                    </w:txbxContent>
                  </v:textbox>
                </v:roundrect>
                <v:shape id="AutoShape 2041" o:spid="_x0000_s1138" type="#_x0000_t70" style="position:absolute;left:41574;top:7680;width:5715;height:499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" adj=",5184">
                  <v:textbox inset="5.85pt,.7pt,5.85pt,.7pt"/>
                </v:shape>
                <v:roundrect id="_x0000_s1139" style="position:absolute;left:36576;top:13167;width:17716;height:3429;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" strokeweight="3.5pt">
                  <v:stroke linestyle="thinThick"/>
                  <v:textbox inset="5.85pt,.7pt,5.85pt,.7pt">
                    <w:txbxContent>
                      <w:p w14:paraId="412732C2" w14:textId="77777777" w:rsidR="006A5267" w:rsidRDefault="006A5267" w:rsidP="005D372A">
                        <w:pPr>
                          <w:jc w:val="center"/>
                        </w:pPr>
                        <w:r w:rsidRPr="001D1E9B">
                          <w:rPr>
                            <w:rFonts w:ascii="ＭＳ ゴシック" w:eastAsia="ＭＳ ゴシック" w:hAnsi="ＭＳ ゴシック" w:hint="eastAsia"/>
                            <w:sz w:val="20"/>
                            <w:szCs w:val="20"/>
                          </w:rPr>
                          <w:t>地域警戒班</w:t>
                        </w:r>
                      </w:p>
                    </w:txbxContent>
                  </v:textbox>
                </v:roundrect>
                <v:shape id="_x0000_s1140" type="#_x0000_t202" style="position:absolute;left:38282;top:9144;width:4572;height:228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" filled="f" stroked="f">
                  <v:textbox inset="5.85pt,.7pt,5.85pt,.7pt">
                    <w:txbxContent>
                      <w:p w14:paraId="15A4CEC7" w14:textId="77777777" w:rsidR="006A5267" w:rsidRPr="00A80169" w:rsidRDefault="006A5267" w:rsidP="005D372A">
                        <w:pPr>
                          <w:rPr>
                            <w:rFonts w:ascii="ＭＳ 明朝" w:hAnsi="ＭＳ 明朝"/>
                            <w:szCs w:val="21"/>
                          </w:rPr>
                        </w:pPr>
                        <w:r w:rsidRPr="00A80169">
                          <w:rPr>
                            <w:rFonts w:ascii="ＭＳ 明朝" w:hAnsi="ＭＳ 明朝" w:hint="eastAsia"/>
                            <w:szCs w:val="21"/>
                          </w:rPr>
                          <w:t>連絡</w:t>
                        </w:r>
                      </w:p>
                    </w:txbxContent>
                  </v:textbox>
                </v:shape>
                <v:shape id="_x0000_s1141" type="#_x0000_t202" style="position:absolute;left:46085;top:9144;width:4572;height:228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" filled="f" stroked="f">
                  <v:textbox inset="5.85pt,.7pt,5.85pt,.7pt">
                    <w:txbxContent>
                      <w:p w14:paraId="25B3E7CB" w14:textId="77777777" w:rsidR="006A5267" w:rsidRPr="00A80169" w:rsidRDefault="006A5267" w:rsidP="005D372A">
                        <w:pPr>
                          <w:rPr>
                            <w:rFonts w:ascii="ＭＳ 明朝" w:hAnsi="ＭＳ 明朝"/>
                            <w:szCs w:val="21"/>
                          </w:rPr>
                        </w:pPr>
                        <w:r>
                          <w:rPr>
                            <w:rFonts w:ascii="ＭＳ 明朝" w:hAnsi="ＭＳ 明朝" w:hint="eastAsia"/>
                            <w:szCs w:val="21"/>
                          </w:rPr>
                          <w:t>連携</w:t>
                        </w:r>
                      </w:p>
                    </w:txbxContent>
                  </v:textbox>
                </v:shape>
                <v:roundrect id="_x0000_s1142" style="position:absolute;top:1341;width:19621;height:6858;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">
                  <v:textbox inset="5.85pt,.7pt,5.85pt,.7pt">
                    <w:txbxContent>
                      <w:p w14:paraId="26C2EBC2" w14:textId="77777777" w:rsidR="006A5267" w:rsidRDefault="006A5267" w:rsidP="005D372A">
                        <w:pPr>
                          <w:ind w:firstLineChars="100" w:firstLine="201"/>
                          <w:rPr>
                            <w:rFonts w:ascii="ＭＳ ゴシック" w:eastAsia="ＭＳ ゴシック" w:hAnsi="ＭＳ ゴシック"/>
                            <w:sz w:val="20"/>
                            <w:szCs w:val="20"/>
                          </w:rPr>
                        </w:pPr>
                        <w:r>
                          <w:rPr>
                            <w:rFonts w:ascii="ＭＳ ゴシック" w:eastAsia="ＭＳ ゴシック" w:hAnsi="ＭＳ ゴシック" w:hint="eastAsia"/>
                            <w:sz w:val="20"/>
                            <w:szCs w:val="20"/>
                          </w:rPr>
                          <w:t>時間内：危機管理室他</w:t>
                        </w:r>
                      </w:p>
                      <w:p w14:paraId="1EDB38E3" w14:textId="77777777" w:rsidR="006A5267" w:rsidRPr="00C61A0B" w:rsidRDefault="006A5267" w:rsidP="005D372A">
                        <w:pPr>
                          <w:ind w:firstLineChars="100" w:firstLine="201"/>
                          <w:rPr>
                            <w:rFonts w:ascii="ＭＳ ゴシック" w:eastAsia="ＭＳ ゴシック" w:hAnsi="ＭＳ ゴシック"/>
                            <w:sz w:val="20"/>
                            <w:szCs w:val="20"/>
                          </w:rPr>
                        </w:pPr>
                        <w:r>
                          <w:rPr>
                            <w:rFonts w:ascii="ＭＳ ゴシック" w:eastAsia="ＭＳ ゴシック" w:hAnsi="ＭＳ ゴシック" w:hint="eastAsia"/>
                            <w:sz w:val="20"/>
                            <w:szCs w:val="20"/>
                          </w:rPr>
                          <w:t>時間外：防災・危機管理当直</w:t>
                        </w:r>
                      </w:p>
                    </w:txbxContent>
                  </v:textbox>
                </v:roundrect>
                <v:roundrect id="_x0000_s1143" style="position:absolute;left:29626;width:3524;height:14668;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" strokeweight=".25pt">
                  <v:textbox style="layout-flow:vertical-ideographic" inset="0,.7pt,0,.7pt">
                    <w:txbxContent>
                      <w:p w14:paraId="48D533AA" w14:textId="77777777" w:rsidR="006A5267" w:rsidRPr="00C04146" w:rsidRDefault="006A5267" w:rsidP="005D372A">
                        <w:pPr>
                          <w:jc w:val="center"/>
                          <w:rPr>
                            <w:rFonts w:ascii="ＭＳ ゴシック" w:eastAsia="ＭＳ ゴシック" w:hAnsi="ＭＳ ゴシック"/>
                            <w:sz w:val="20"/>
                            <w:szCs w:val="20"/>
                          </w:rPr>
                        </w:pPr>
                        <w:r>
                          <w:rPr>
                            <w:rFonts w:ascii="ＭＳ ゴシック" w:eastAsia="ＭＳ ゴシック" w:hAnsi="ＭＳ ゴシック" w:hint="eastAsia"/>
                            <w:sz w:val="20"/>
                            <w:szCs w:val="20"/>
                          </w:rPr>
                          <w:t>防災・危機管理指令部</w:t>
                        </w:r>
                      </w:p>
                    </w:txbxContent>
                  </v:textbox>
                </v:roundrect>
                <v:roundrect id="_x0000_s1144" style="position:absolute;left:22920;width:3525;height:14668;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" strokeweight=".25pt">
                  <v:textbox style="layout-flow:vertical-ideographic" inset="0,.7pt,0,.7pt">
                    <w:txbxContent>
                      <w:p w14:paraId="4D3F9C4D" w14:textId="77777777" w:rsidR="006A5267" w:rsidRPr="00C04146" w:rsidRDefault="006A5267" w:rsidP="005D372A">
                        <w:pPr>
                          <w:jc w:val="center"/>
                          <w:rPr>
                            <w:rFonts w:ascii="ＭＳ ゴシック" w:eastAsia="ＭＳ ゴシック" w:hAnsi="ＭＳ ゴシック"/>
                            <w:sz w:val="20"/>
                            <w:szCs w:val="20"/>
                          </w:rPr>
                        </w:pPr>
                        <w:r w:rsidRPr="00C04146">
                          <w:rPr>
                            <w:rFonts w:ascii="ＭＳ ゴシック" w:eastAsia="ＭＳ ゴシック" w:hAnsi="ＭＳ ゴシック" w:hint="eastAsia"/>
                            <w:sz w:val="20"/>
                            <w:szCs w:val="20"/>
                          </w:rPr>
                          <w:t>防災・危機管理警戒班</w:t>
                        </w:r>
                      </w:p>
                    </w:txbxContent>
                  </v:textbox>
                </v:roundrect>
              </v:group>
            </w:pict>
          </mc:Fallback>
        </mc:AlternateContent>
      </w:r>
      <w:r w:rsidRPr="001D6D10">
        <w:rPr>
          <w:rFonts w:ascii="ＭＳ 明朝" w:hAnsi="ＭＳ 明朝" w:hint="eastAsia"/>
          <w:sz w:val="22"/>
          <w:szCs w:val="22"/>
        </w:rPr>
        <w:t>（２）設置基準イの場合</w:t>
      </w:r>
    </w:p>
    <w:p w14:paraId="68270B60" w14:textId="77777777" w:rsidR="005D372A" w:rsidRPr="001D6D10" w:rsidRDefault="005D372A" w:rsidP="005D372A">
      <w:pPr>
        <w:rPr>
          <w:rFonts w:ascii="ＭＳ 明朝" w:hAnsi="ＭＳ 明朝"/>
          <w:sz w:val="22"/>
          <w:szCs w:val="22"/>
        </w:rPr>
      </w:pPr>
    </w:p>
    <w:p w14:paraId="3CEC5B7C" w14:textId="77777777" w:rsidR="005D372A" w:rsidRPr="001D6D10" w:rsidRDefault="005D372A" w:rsidP="005D372A">
      <w:pPr>
        <w:rPr>
          <w:rFonts w:ascii="ＭＳ 明朝" w:hAnsi="ＭＳ 明朝"/>
          <w:sz w:val="22"/>
          <w:szCs w:val="22"/>
        </w:rPr>
      </w:pPr>
      <w:r w:rsidRPr="001D6D10">
        <w:rPr>
          <w:rFonts w:ascii="ＭＳ 明朝" w:hAnsi="ＭＳ 明朝"/>
          <w:noProof/>
          <w:sz w:val="22"/>
          <w:szCs w:val="22"/>
        </w:rPr>
        <mc:AlternateContent>
          <mc:Choice Requires="wpg">
            <w:drawing>
              <wp:anchor distT="0" distB="0" distL="114300" distR="114300" simplePos="0" relativeHeight="252977152" behindDoc="0" locked="0" layoutInCell="1" allowOverlap="1" wp14:anchorId="25FC0275" wp14:editId="25F86DF2">
                <wp:simplePos x="0" y="0"/>
                <wp:positionH relativeFrom="column">
                  <wp:posOffset>1783207</wp:posOffset>
                </wp:positionH>
                <wp:positionV relativeFrom="paragraph">
                  <wp:posOffset>196596</wp:posOffset>
                </wp:positionV>
                <wp:extent cx="1845945" cy="0"/>
                <wp:effectExtent l="0" t="76200" r="1905" b="95250"/>
                <wp:wrapNone/>
                <wp:docPr id="4314" name="グループ化 4314"/>
                <wp:cNvGraphicFramePr/>
                <a:graphic xmlns:a="http://schemas.openxmlformats.org/drawingml/2006/main">
                  <a:graphicData uri="http://schemas.microsoft.com/office/word/2010/wordprocessingGroup">
                    <wpg:wgp>
                      <wpg:cNvGrpSpPr/>
                      <wpg:grpSpPr>
                        <a:xfrm>
                          <a:off x="0" y="0"/>
                          <a:ext cx="1845945" cy="0"/>
                          <a:chOff x="0" y="0"/>
                          <a:chExt cx="1845945" cy="0"/>
                        </a:xfrm>
                      </wpg:grpSpPr>
                      <wps:wsp>
                        <wps:cNvPr id="119" name="直線矢印コネクタ 119"/>
                        <wps:cNvCnPr/>
                        <wps:spPr>
                          <a:xfrm>
                            <a:off x="0" y="0"/>
                            <a:ext cx="504825" cy="0"/>
                          </a:xfrm>
                          <a:prstGeom prst="straightConnector1">
                            <a:avLst/>
                          </a:prstGeom>
                          <a:noFill/>
                          <a:ln w="9525" cap="flat" cmpd="sng" algn="ctr">
                            <a:solidFill>
                              <a:sysClr val="windowText" lastClr="000000"/>
                            </a:solidFill>
                            <a:prstDash val="solid"/>
                            <a:tailEnd type="triangle"/>
                          </a:ln>
                          <a:effectLst/>
                        </wps:spPr>
                        <wps:bodyPr/>
                      </wps:wsp>
                      <wps:wsp>
                        <wps:cNvPr id="118" name="直線矢印コネクタ 118"/>
                        <wps:cNvCnPr/>
                        <wps:spPr>
                          <a:xfrm>
                            <a:off x="1341120" y="0"/>
                            <a:ext cx="504825" cy="0"/>
                          </a:xfrm>
                          <a:prstGeom prst="straightConnector1">
                            <a:avLst/>
                          </a:prstGeom>
                          <a:noFill/>
                          <a:ln w="9525" cap="flat" cmpd="sng" algn="ctr">
                            <a:solidFill>
                              <a:sysClr val="windowText" lastClr="000000"/>
                            </a:solidFill>
                            <a:prstDash val="solid"/>
                            <a:tailEnd type="triangle"/>
                          </a:ln>
                          <a:effectLst/>
                        </wps:spPr>
                        <wps:bodyPr/>
                      </wps:wsp>
                      <wps:wsp>
                        <wps:cNvPr id="117" name="直線矢印コネクタ 117"/>
                        <wps:cNvCnPr/>
                        <wps:spPr>
                          <a:xfrm>
                            <a:off x="658368" y="0"/>
                            <a:ext cx="504825" cy="0"/>
                          </a:xfrm>
                          <a:prstGeom prst="straightConnector1">
                            <a:avLst/>
                          </a:prstGeom>
                          <a:noFill/>
                          <a:ln w="9525" cap="flat" cmpd="sng" algn="ctr">
                            <a:solidFill>
                              <a:sysClr val="windowText" lastClr="000000"/>
                            </a:solidFill>
                            <a:prstDash val="solid"/>
                            <a:tailEnd type="triangle"/>
                          </a:ln>
                          <a:effectLst/>
                        </wps:spPr>
                        <wps:bodyPr/>
                      </wps:wsp>
                    </wpg:wgp>
                  </a:graphicData>
                </a:graphic>
              </wp:anchor>
            </w:drawing>
          </mc:Choice>
          <mc:Fallback xmlns:w16cei="http://schemas.microsoft.com/office/word/2026/wordml/cei">
            <w:pict>
              <v:group w14:anchorId="1254E253" id="グループ化 4314" o:spid="_x0000_s1026" style="position:absolute;left:0;text-align:left;margin-left:140.4pt;margin-top:15.5pt;width:145.35pt;height:0;z-index:252977152" coordsize="18459,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">
                <v:shape id="直線矢印コネクタ 119" o:spid="_x0000_s1027" type="#_x0000_t32" style="position:absolute;width:5048;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" strokecolor="windowText">
                  <v:stroke endarrow="block"/>
                </v:shape>
                <v:shape id="直線矢印コネクタ 118" o:spid="_x0000_s1028" type="#_x0000_t32" style="position:absolute;left:13411;width:5048;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" strokecolor="windowText">
                  <v:stroke endarrow="block"/>
                </v:shape>
                <v:shape id="直線矢印コネクタ 117" o:spid="_x0000_s1029" type="#_x0000_t32" style="position:absolute;left:6583;width:5048;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" strokecolor="windowText">
                  <v:stroke endarrow="block"/>
                </v:shape>
              </v:group>
            </w:pict>
          </mc:Fallback>
        </mc:AlternateContent>
      </w:r>
    </w:p>
    <w:p w14:paraId="527E7651" w14:textId="77777777" w:rsidR="005D372A" w:rsidRPr="001D6D10" w:rsidRDefault="005D372A" w:rsidP="005D372A">
      <w:pPr>
        <w:rPr>
          <w:rFonts w:ascii="ＭＳ 明朝" w:hAnsi="ＭＳ 明朝"/>
          <w:sz w:val="22"/>
          <w:szCs w:val="22"/>
        </w:rPr>
      </w:pPr>
      <w:r w:rsidRPr="001D6D10">
        <w:rPr>
          <w:rFonts w:ascii="ＭＳ 明朝" w:hAnsi="ＭＳ 明朝"/>
          <w:noProof/>
          <w:sz w:val="22"/>
          <w:szCs w:val="22"/>
        </w:rPr>
        <mc:AlternateContent>
          <mc:Choice Requires="wpg">
            <w:drawing>
              <wp:anchor distT="0" distB="0" distL="114300" distR="114300" simplePos="0" relativeHeight="252954624" behindDoc="0" locked="0" layoutInCell="1" allowOverlap="1" wp14:anchorId="52DC921C" wp14:editId="469EA5AB">
                <wp:simplePos x="0" y="0"/>
                <wp:positionH relativeFrom="column">
                  <wp:posOffset>1831975</wp:posOffset>
                </wp:positionH>
                <wp:positionV relativeFrom="paragraph">
                  <wp:posOffset>21209</wp:posOffset>
                </wp:positionV>
                <wp:extent cx="1810512" cy="781050"/>
                <wp:effectExtent l="0" t="0" r="0" b="0"/>
                <wp:wrapNone/>
                <wp:docPr id="4310" name="グループ化 4310"/>
                <wp:cNvGraphicFramePr/>
                <a:graphic xmlns:a="http://schemas.openxmlformats.org/drawingml/2006/main">
                  <a:graphicData uri="http://schemas.microsoft.com/office/word/2010/wordprocessingGroup">
                    <wpg:wgp>
                      <wpg:cNvGrpSpPr/>
                      <wpg:grpSpPr>
                        <a:xfrm>
                          <a:off x="0" y="0"/>
                          <a:ext cx="1810512" cy="781050"/>
                          <a:chOff x="0" y="0"/>
                          <a:chExt cx="1810512" cy="781050"/>
                        </a:xfrm>
                      </wpg:grpSpPr>
                      <wps:wsp>
                        <wps:cNvPr id="121" name="Text Box 2081"/>
                        <wps:cNvSpPr txBox="1">
                          <a:spLocks noChangeArrowheads="1"/>
                        </wps:cNvSpPr>
                        <wps:spPr bwMode="auto">
                          <a:xfrm>
                            <a:off x="1353312" y="0"/>
                            <a:ext cx="457200" cy="781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635C971" w14:textId="77777777" w:rsidR="006A5267" w:rsidRPr="00A80169" w:rsidRDefault="006A5267" w:rsidP="005D372A">
                              <w:pPr>
                                <w:rPr>
                                  <w:rFonts w:ascii="ＭＳ 明朝" w:hAnsi="ＭＳ 明朝"/>
                                  <w:szCs w:val="21"/>
                                </w:rPr>
                              </w:pPr>
                              <w:r>
                                <w:rPr>
                                  <w:rFonts w:ascii="ＭＳ 明朝" w:hAnsi="ＭＳ 明朝" w:hint="eastAsia"/>
                                  <w:szCs w:val="21"/>
                                </w:rPr>
                                <w:t>体制移行</w:t>
                              </w:r>
                            </w:p>
                          </w:txbxContent>
                        </wps:txbx>
                        <wps:bodyPr rot="0" vert="eaVert" wrap="square" lIns="74295" tIns="8890" rIns="74295" bIns="8890" anchor="t" anchorCtr="0" upright="1">
                          <a:noAutofit/>
                        </wps:bodyPr>
                      </wps:wsp>
                      <wps:wsp>
                        <wps:cNvPr id="122" name="Text Box 2081"/>
                        <wps:cNvSpPr txBox="1">
                          <a:spLocks noChangeArrowheads="1"/>
                        </wps:cNvSpPr>
                        <wps:spPr bwMode="auto">
                          <a:xfrm>
                            <a:off x="0" y="0"/>
                            <a:ext cx="457200" cy="781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632077D" w14:textId="77777777" w:rsidR="006A5267" w:rsidRPr="00A80169" w:rsidRDefault="006A5267" w:rsidP="005D372A">
                              <w:pPr>
                                <w:rPr>
                                  <w:rFonts w:ascii="ＭＳ 明朝" w:hAnsi="ＭＳ 明朝"/>
                                  <w:szCs w:val="21"/>
                                </w:rPr>
                              </w:pPr>
                              <w:r w:rsidRPr="00A80169">
                                <w:rPr>
                                  <w:rFonts w:ascii="ＭＳ 明朝" w:hAnsi="ＭＳ 明朝" w:hint="eastAsia"/>
                                  <w:szCs w:val="21"/>
                                </w:rPr>
                                <w:t>連絡</w:t>
                              </w:r>
                            </w:p>
                          </w:txbxContent>
                        </wps:txbx>
                        <wps:bodyPr rot="0" vert="eaVert" wrap="square" lIns="74295" tIns="8890" rIns="74295" bIns="8890" anchor="t" anchorCtr="0" upright="1">
                          <a:noAutofit/>
                        </wps:bodyPr>
                      </wps:wsp>
                      <wps:wsp>
                        <wps:cNvPr id="120" name="Text Box 2081"/>
                        <wps:cNvSpPr txBox="1">
                          <a:spLocks noChangeArrowheads="1"/>
                        </wps:cNvSpPr>
                        <wps:spPr bwMode="auto">
                          <a:xfrm>
                            <a:off x="694944" y="0"/>
                            <a:ext cx="457200" cy="781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169C094" w14:textId="77777777" w:rsidR="006A5267" w:rsidRPr="00A80169" w:rsidRDefault="006A5267" w:rsidP="005D372A">
                              <w:pPr>
                                <w:rPr>
                                  <w:rFonts w:ascii="ＭＳ 明朝" w:hAnsi="ＭＳ 明朝"/>
                                  <w:szCs w:val="21"/>
                                </w:rPr>
                              </w:pPr>
                              <w:r>
                                <w:rPr>
                                  <w:rFonts w:ascii="ＭＳ 明朝" w:hAnsi="ＭＳ 明朝" w:hint="eastAsia"/>
                                  <w:szCs w:val="21"/>
                                </w:rPr>
                                <w:t>体制移行</w:t>
                              </w:r>
                            </w:p>
                          </w:txbxContent>
                        </wps:txbx>
                        <wps:bodyPr rot="0" vert="eaVert" wrap="square" lIns="74295" tIns="8890" rIns="74295" bIns="8890" anchor="t" anchorCtr="0" upright="1">
                          <a:noAutofit/>
                        </wps:bodyPr>
                      </wps:wsp>
                    </wpg:wgp>
                  </a:graphicData>
                </a:graphic>
              </wp:anchor>
            </w:drawing>
          </mc:Choice>
          <mc:Fallback xmlns:w16cei="http://schemas.microsoft.com/office/word/2026/wordml/cei">
            <w:pict>
              <v:group w14:anchorId="52DC921C" id="グループ化 4310" o:spid="_x0000_s1145" style="position:absolute;left:0;text-align:left;margin-left:144.25pt;margin-top:1.65pt;width:142.55pt;height:61.5pt;z-index:252954624" coordsize="18105,781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">
                <v:shape id="_x0000_s1146" type="#_x0000_t202" style="position:absolute;left:13533;width:4572;height:781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" filled="f" stroked="f">
                  <v:textbox style="layout-flow:vertical-ideographic" inset="5.85pt,.7pt,5.85pt,.7pt">
                    <w:txbxContent>
                      <w:p w14:paraId="1635C971" w14:textId="77777777" w:rsidR="006A5267" w:rsidRPr="00A80169" w:rsidRDefault="006A5267" w:rsidP="005D372A">
                        <w:pPr>
                          <w:rPr>
                            <w:rFonts w:ascii="ＭＳ 明朝" w:hAnsi="ＭＳ 明朝"/>
                            <w:szCs w:val="21"/>
                          </w:rPr>
                        </w:pPr>
                        <w:r>
                          <w:rPr>
                            <w:rFonts w:ascii="ＭＳ 明朝" w:hAnsi="ＭＳ 明朝" w:hint="eastAsia"/>
                            <w:szCs w:val="21"/>
                          </w:rPr>
                          <w:t>体制移行</w:t>
                        </w:r>
                      </w:p>
                    </w:txbxContent>
                  </v:textbox>
                </v:shape>
                <v:shape id="_x0000_s1147" type="#_x0000_t202" style="position:absolute;width:4572;height:781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" filled="f" stroked="f">
                  <v:textbox style="layout-flow:vertical-ideographic" inset="5.85pt,.7pt,5.85pt,.7pt">
                    <w:txbxContent>
                      <w:p w14:paraId="7632077D" w14:textId="77777777" w:rsidR="006A5267" w:rsidRPr="00A80169" w:rsidRDefault="006A5267" w:rsidP="005D372A">
                        <w:pPr>
                          <w:rPr>
                            <w:rFonts w:ascii="ＭＳ 明朝" w:hAnsi="ＭＳ 明朝"/>
                            <w:szCs w:val="21"/>
                          </w:rPr>
                        </w:pPr>
                        <w:r w:rsidRPr="00A80169">
                          <w:rPr>
                            <w:rFonts w:ascii="ＭＳ 明朝" w:hAnsi="ＭＳ 明朝" w:hint="eastAsia"/>
                            <w:szCs w:val="21"/>
                          </w:rPr>
                          <w:t>連絡</w:t>
                        </w:r>
                      </w:p>
                    </w:txbxContent>
                  </v:textbox>
                </v:shape>
                <v:shape id="_x0000_s1148" type="#_x0000_t202" style="position:absolute;left:6949;width:4572;height:781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" filled="f" stroked="f">
                  <v:textbox style="layout-flow:vertical-ideographic" inset="5.85pt,.7pt,5.85pt,.7pt">
                    <w:txbxContent>
                      <w:p w14:paraId="2169C094" w14:textId="77777777" w:rsidR="006A5267" w:rsidRPr="00A80169" w:rsidRDefault="006A5267" w:rsidP="005D372A">
                        <w:pPr>
                          <w:rPr>
                            <w:rFonts w:ascii="ＭＳ 明朝" w:hAnsi="ＭＳ 明朝"/>
                            <w:szCs w:val="21"/>
                          </w:rPr>
                        </w:pPr>
                        <w:r>
                          <w:rPr>
                            <w:rFonts w:ascii="ＭＳ 明朝" w:hAnsi="ＭＳ 明朝" w:hint="eastAsia"/>
                            <w:szCs w:val="21"/>
                          </w:rPr>
                          <w:t>体制移行</w:t>
                        </w:r>
                      </w:p>
                    </w:txbxContent>
                  </v:textbox>
                </v:shape>
              </v:group>
            </w:pict>
          </mc:Fallback>
        </mc:AlternateContent>
      </w:r>
    </w:p>
    <w:p w14:paraId="588DEC33" w14:textId="77777777" w:rsidR="005D372A" w:rsidRPr="001D6D10" w:rsidRDefault="005D372A" w:rsidP="005D372A">
      <w:pPr>
        <w:rPr>
          <w:rFonts w:ascii="ＭＳ 明朝" w:hAnsi="ＭＳ 明朝"/>
          <w:sz w:val="22"/>
          <w:szCs w:val="22"/>
        </w:rPr>
      </w:pPr>
    </w:p>
    <w:p w14:paraId="57AB3425" w14:textId="77777777" w:rsidR="005D372A" w:rsidRPr="001D6D10" w:rsidRDefault="005D372A" w:rsidP="005D372A">
      <w:pPr>
        <w:rPr>
          <w:rFonts w:ascii="ＭＳ 明朝" w:hAnsi="ＭＳ 明朝"/>
          <w:sz w:val="22"/>
          <w:szCs w:val="22"/>
        </w:rPr>
      </w:pPr>
    </w:p>
    <w:p w14:paraId="5DFC648E" w14:textId="77777777" w:rsidR="005D372A" w:rsidRPr="001D6D10" w:rsidRDefault="005D372A" w:rsidP="005D372A">
      <w:pPr>
        <w:rPr>
          <w:rFonts w:ascii="ＭＳ 明朝" w:hAnsi="ＭＳ 明朝"/>
          <w:sz w:val="22"/>
          <w:szCs w:val="22"/>
        </w:rPr>
      </w:pPr>
    </w:p>
    <w:p w14:paraId="36AA71C1" w14:textId="7D9CD6FB" w:rsidR="00B63B25" w:rsidRDefault="00B63B25">
      <w:pPr>
        <w:widowControl/>
        <w:jc w:val="left"/>
        <w:rPr>
          <w:rFonts w:ascii="ＭＳ 明朝" w:hAnsi="ＭＳ 明朝"/>
          <w:sz w:val="22"/>
          <w:szCs w:val="22"/>
        </w:rPr>
      </w:pPr>
      <w:r>
        <w:rPr>
          <w:rFonts w:ascii="ＭＳ 明朝" w:hAnsi="ＭＳ 明朝"/>
          <w:sz w:val="22"/>
          <w:szCs w:val="22"/>
        </w:rPr>
        <w:br w:type="page"/>
      </w:r>
    </w:p>
    <w:p w14:paraId="3A2E13B8" w14:textId="77777777" w:rsidR="005D372A" w:rsidRPr="001D6D10" w:rsidRDefault="005D372A" w:rsidP="005D372A">
      <w:pPr>
        <w:ind w:firstLineChars="400" w:firstLine="884"/>
        <w:rPr>
          <w:rFonts w:ascii="ＭＳ 明朝" w:hAnsi="ＭＳ 明朝"/>
          <w:sz w:val="22"/>
          <w:szCs w:val="22"/>
        </w:rPr>
      </w:pPr>
      <w:r w:rsidRPr="001D6D10">
        <w:rPr>
          <w:rFonts w:ascii="ＭＳ 明朝" w:hAnsi="ＭＳ 明朝" w:hint="eastAsia"/>
          <w:sz w:val="22"/>
          <w:szCs w:val="22"/>
        </w:rPr>
        <w:lastRenderedPageBreak/>
        <w:t>(2)　地域警戒班の活動</w:t>
      </w:r>
    </w:p>
    <w:p w14:paraId="14B746A6" w14:textId="77777777" w:rsidR="005D372A" w:rsidRPr="001D6D10" w:rsidRDefault="00B84BFC" w:rsidP="005D372A">
      <w:pPr>
        <w:ind w:firstLineChars="650" w:firstLine="1437"/>
        <w:rPr>
          <w:rFonts w:ascii="ＭＳ ゴシック" w:eastAsia="ＭＳ ゴシック" w:hAnsi="ＭＳ ゴシック"/>
          <w:sz w:val="22"/>
          <w:szCs w:val="22"/>
          <w:bdr w:val="single" w:sz="4" w:space="0" w:color="auto"/>
        </w:rPr>
      </w:pPr>
      <w:r w:rsidRPr="001D6D10">
        <w:rPr>
          <w:rFonts w:ascii="ＭＳ ゴシック" w:eastAsia="ＭＳ ゴシック" w:hAnsi="ＭＳ ゴシック" w:hint="eastAsia"/>
          <w:sz w:val="22"/>
          <w:szCs w:val="22"/>
          <w:bdr w:val="single" w:sz="4" w:space="0" w:color="auto"/>
        </w:rPr>
        <w:t>主たる担当：</w:t>
      </w:r>
      <w:r w:rsidR="005D372A" w:rsidRPr="001D6D10">
        <w:rPr>
          <w:rFonts w:ascii="ＭＳ ゴシック" w:eastAsia="ＭＳ ゴシック" w:hAnsi="ＭＳ ゴシック" w:hint="eastAsia"/>
          <w:sz w:val="22"/>
          <w:szCs w:val="22"/>
          <w:bdr w:val="single" w:sz="4" w:space="0" w:color="auto"/>
        </w:rPr>
        <w:t>地域防災監、関係室・課：関係出先機関</w:t>
      </w:r>
    </w:p>
    <w:p w14:paraId="561E08BF" w14:textId="77777777" w:rsidR="005D372A" w:rsidRPr="001D6D10" w:rsidRDefault="005D372A" w:rsidP="005D372A">
      <w:pPr>
        <w:ind w:left="1216" w:hangingChars="550" w:hanging="1216"/>
        <w:rPr>
          <w:rFonts w:ascii="ＭＳ 明朝" w:hAnsi="ＭＳ 明朝"/>
          <w:sz w:val="22"/>
          <w:szCs w:val="22"/>
        </w:rPr>
      </w:pPr>
      <w:r w:rsidRPr="001D6D10">
        <w:rPr>
          <w:rFonts w:ascii="ＭＳ 明朝" w:hAnsi="ＭＳ 明朝" w:hint="eastAsia"/>
          <w:sz w:val="22"/>
          <w:szCs w:val="22"/>
        </w:rPr>
        <w:t xml:space="preserve">　　　　　　 地域防災監は、次の設置基準に該当する場合は、地域警戒班を設置する。</w:t>
      </w:r>
    </w:p>
    <w:p w14:paraId="59427B4D" w14:textId="77777777" w:rsidR="005D372A" w:rsidRPr="001D6D10" w:rsidRDefault="005D372A" w:rsidP="005D372A">
      <w:pPr>
        <w:ind w:firstLineChars="650" w:firstLine="1437"/>
        <w:rPr>
          <w:rFonts w:ascii="ＭＳ 明朝" w:hAnsi="ＭＳ 明朝"/>
          <w:sz w:val="22"/>
          <w:szCs w:val="22"/>
        </w:rPr>
      </w:pPr>
      <w:r w:rsidRPr="001D6D10">
        <w:rPr>
          <w:rFonts w:ascii="ＭＳ 明朝" w:hAnsi="ＭＳ 明朝" w:hint="eastAsia"/>
          <w:sz w:val="22"/>
          <w:szCs w:val="22"/>
        </w:rPr>
        <w:t>なお、具体的な活動内容は、各地域防災マニュアルによるものとする。</w:t>
      </w:r>
    </w:p>
    <w:p w14:paraId="668112BC" w14:textId="77777777" w:rsidR="00B84BFC" w:rsidRPr="001D6D10" w:rsidRDefault="00B84BFC" w:rsidP="005D372A">
      <w:pPr>
        <w:ind w:firstLineChars="650" w:firstLine="1437"/>
        <w:rPr>
          <w:rFonts w:ascii="ＭＳ 明朝" w:hAnsi="ＭＳ 明朝"/>
          <w:sz w:val="22"/>
          <w:szCs w:val="22"/>
        </w:rPr>
      </w:pPr>
    </w:p>
    <w:tbl>
      <w:tblPr>
        <w:tblStyle w:val="ab"/>
        <w:tblW w:w="9180" w:type="dxa"/>
        <w:tblLook w:val="04A0" w:firstRow="1" w:lastRow="0" w:firstColumn="1" w:lastColumn="0" w:noHBand="0" w:noVBand="1"/>
      </w:tblPr>
      <w:tblGrid>
        <w:gridCol w:w="1413"/>
        <w:gridCol w:w="7767"/>
      </w:tblGrid>
      <w:tr w:rsidR="001D6D10" w:rsidRPr="001D6D10" w14:paraId="5F5CA8F2" w14:textId="77777777" w:rsidTr="00651F47">
        <w:tc>
          <w:tcPr>
            <w:tcW w:w="1413" w:type="dxa"/>
          </w:tcPr>
          <w:p w14:paraId="00B8A75E" w14:textId="77777777" w:rsidR="005D372A" w:rsidRPr="001D6D10" w:rsidRDefault="005D372A" w:rsidP="008B4B2B">
            <w:pPr>
              <w:rPr>
                <w:rFonts w:hAnsi="ＭＳ 明朝"/>
                <w:sz w:val="22"/>
                <w:szCs w:val="22"/>
              </w:rPr>
            </w:pPr>
            <w:r w:rsidRPr="001D6D10">
              <w:rPr>
                <w:rFonts w:hAnsi="ＭＳ 明朝" w:hint="eastAsia"/>
                <w:sz w:val="22"/>
                <w:szCs w:val="22"/>
              </w:rPr>
              <w:t>①設置基準</w:t>
            </w:r>
          </w:p>
        </w:tc>
        <w:tc>
          <w:tcPr>
            <w:tcW w:w="7767" w:type="dxa"/>
          </w:tcPr>
          <w:p w14:paraId="46F9784C" w14:textId="77777777" w:rsidR="005D372A" w:rsidRPr="001D6D10" w:rsidRDefault="005D372A" w:rsidP="008B4B2B">
            <w:pPr>
              <w:rPr>
                <w:rFonts w:hAnsi="ＭＳ 明朝"/>
                <w:sz w:val="22"/>
                <w:szCs w:val="22"/>
              </w:rPr>
            </w:pPr>
            <w:r w:rsidRPr="001D6D10">
              <w:rPr>
                <w:rFonts w:hAnsi="ＭＳ 明朝" w:hint="eastAsia"/>
                <w:sz w:val="22"/>
                <w:szCs w:val="22"/>
              </w:rPr>
              <w:t>・府域において震度５弱・５強を観測したとき（自動設置）</w:t>
            </w:r>
          </w:p>
          <w:p w14:paraId="6B88C975" w14:textId="620DB0FE" w:rsidR="005D372A" w:rsidRDefault="005D372A" w:rsidP="008B4B2B">
            <w:pPr>
              <w:ind w:left="1548" w:hangingChars="700" w:hanging="1548"/>
              <w:rPr>
                <w:rFonts w:hAnsi="ＭＳ 明朝"/>
                <w:sz w:val="22"/>
                <w:szCs w:val="22"/>
              </w:rPr>
            </w:pPr>
            <w:r w:rsidRPr="001D6D10">
              <w:rPr>
                <w:rFonts w:hAnsi="ＭＳ 明朝" w:hint="eastAsia"/>
                <w:sz w:val="22"/>
                <w:szCs w:val="22"/>
              </w:rPr>
              <w:t>・警戒本部が設置されたとき</w:t>
            </w:r>
          </w:p>
          <w:p w14:paraId="741DAF24" w14:textId="77777777" w:rsidR="00E91AF6" w:rsidRPr="00D705BF" w:rsidRDefault="00E91AF6" w:rsidP="00E91AF6">
            <w:pPr>
              <w:ind w:left="1548" w:hangingChars="700" w:hanging="1548"/>
              <w:rPr>
                <w:rFonts w:hAnsi="ＭＳ 明朝"/>
                <w:sz w:val="22"/>
                <w:szCs w:val="22"/>
              </w:rPr>
            </w:pPr>
            <w:r w:rsidRPr="00D705BF">
              <w:rPr>
                <w:rFonts w:hAnsi="ＭＳ 明朝" w:hint="eastAsia"/>
                <w:sz w:val="22"/>
                <w:szCs w:val="22"/>
              </w:rPr>
              <w:t>・南海トラフ地震臨時情報（巨大地震警戒）が発表されたとき</w:t>
            </w:r>
          </w:p>
          <w:p w14:paraId="79A58E9A" w14:textId="77777777" w:rsidR="005D372A" w:rsidRPr="001D6D10" w:rsidRDefault="005D372A" w:rsidP="00091DC6">
            <w:pPr>
              <w:rPr>
                <w:rFonts w:hAnsi="ＭＳ 明朝"/>
                <w:sz w:val="22"/>
                <w:szCs w:val="22"/>
              </w:rPr>
            </w:pPr>
            <w:r w:rsidRPr="001D6D10">
              <w:rPr>
                <w:rFonts w:hAnsi="ＭＳ 明朝" w:hint="eastAsia"/>
                <w:sz w:val="22"/>
                <w:szCs w:val="22"/>
              </w:rPr>
              <w:t>・その他当該地域防災監が必要と認めたとき</w:t>
            </w:r>
          </w:p>
        </w:tc>
      </w:tr>
      <w:tr w:rsidR="001D6D10" w:rsidRPr="001D6D10" w14:paraId="446F67A2" w14:textId="77777777" w:rsidTr="00651F47">
        <w:tc>
          <w:tcPr>
            <w:tcW w:w="1413" w:type="dxa"/>
          </w:tcPr>
          <w:p w14:paraId="00CA47A0" w14:textId="77777777" w:rsidR="005D372A" w:rsidRPr="001D6D10" w:rsidRDefault="005D372A" w:rsidP="008B4B2B">
            <w:pPr>
              <w:rPr>
                <w:rFonts w:hAnsi="ＭＳ 明朝"/>
                <w:sz w:val="22"/>
                <w:szCs w:val="22"/>
              </w:rPr>
            </w:pPr>
            <w:r w:rsidRPr="001D6D10">
              <w:rPr>
                <w:rFonts w:hAnsi="ＭＳ 明朝" w:hint="eastAsia"/>
                <w:sz w:val="22"/>
                <w:szCs w:val="22"/>
              </w:rPr>
              <w:t>②廃止基準</w:t>
            </w:r>
          </w:p>
        </w:tc>
        <w:tc>
          <w:tcPr>
            <w:tcW w:w="7767" w:type="dxa"/>
          </w:tcPr>
          <w:p w14:paraId="6B2A7454" w14:textId="77777777" w:rsidR="005D372A" w:rsidRPr="001D6D10" w:rsidRDefault="005D372A" w:rsidP="008B4B2B">
            <w:pPr>
              <w:rPr>
                <w:rFonts w:hAnsi="ＭＳ 明朝"/>
                <w:sz w:val="22"/>
                <w:szCs w:val="22"/>
              </w:rPr>
            </w:pPr>
            <w:r w:rsidRPr="001D6D10">
              <w:rPr>
                <w:rFonts w:hAnsi="ＭＳ 明朝" w:hint="eastAsia"/>
                <w:sz w:val="22"/>
                <w:szCs w:val="22"/>
              </w:rPr>
              <w:t>・地域連絡部が設置されたとき</w:t>
            </w:r>
          </w:p>
          <w:p w14:paraId="56BDA4FD" w14:textId="77777777" w:rsidR="005D372A" w:rsidRPr="001D6D10" w:rsidRDefault="005D372A" w:rsidP="00091DC6">
            <w:pPr>
              <w:ind w:left="442" w:hangingChars="200" w:hanging="442"/>
              <w:rPr>
                <w:rFonts w:hAnsi="ＭＳ 明朝"/>
                <w:sz w:val="22"/>
                <w:szCs w:val="22"/>
              </w:rPr>
            </w:pPr>
            <w:r w:rsidRPr="001D6D10">
              <w:rPr>
                <w:rFonts w:hAnsi="ＭＳ 明朝" w:hint="eastAsia"/>
                <w:sz w:val="22"/>
                <w:szCs w:val="22"/>
              </w:rPr>
              <w:t>・その他当該地域防災監が認めたとき</w:t>
            </w:r>
          </w:p>
        </w:tc>
      </w:tr>
      <w:tr w:rsidR="001D6D10" w:rsidRPr="001D6D10" w14:paraId="57C86622" w14:textId="77777777" w:rsidTr="00651F47">
        <w:tc>
          <w:tcPr>
            <w:tcW w:w="1413" w:type="dxa"/>
          </w:tcPr>
          <w:p w14:paraId="00E79702" w14:textId="77777777" w:rsidR="005D372A" w:rsidRPr="001D6D10" w:rsidRDefault="005D372A" w:rsidP="008B4B2B">
            <w:pPr>
              <w:rPr>
                <w:rFonts w:hAnsi="ＭＳ 明朝"/>
                <w:sz w:val="22"/>
                <w:szCs w:val="22"/>
              </w:rPr>
            </w:pPr>
            <w:r w:rsidRPr="001D6D10">
              <w:rPr>
                <w:rFonts w:hAnsi="ＭＳ 明朝" w:hint="eastAsia"/>
                <w:sz w:val="22"/>
                <w:szCs w:val="22"/>
              </w:rPr>
              <w:t>③対象</w:t>
            </w:r>
          </w:p>
        </w:tc>
        <w:tc>
          <w:tcPr>
            <w:tcW w:w="7767" w:type="dxa"/>
          </w:tcPr>
          <w:p w14:paraId="4F98E372" w14:textId="77777777" w:rsidR="005D372A" w:rsidRPr="001D6D10" w:rsidRDefault="005D372A" w:rsidP="008B4B2B">
            <w:pPr>
              <w:ind w:left="1548" w:hangingChars="700" w:hanging="1548"/>
              <w:rPr>
                <w:rFonts w:hAnsi="ＭＳ 明朝"/>
                <w:sz w:val="22"/>
                <w:szCs w:val="22"/>
              </w:rPr>
            </w:pPr>
            <w:r w:rsidRPr="001D6D10">
              <w:rPr>
                <w:rFonts w:hAnsi="ＭＳ 明朝" w:hint="eastAsia"/>
                <w:sz w:val="22"/>
                <w:szCs w:val="22"/>
              </w:rPr>
              <w:t>・地震・津波においては、全土木事務所</w:t>
            </w:r>
          </w:p>
          <w:p w14:paraId="375A5D57" w14:textId="77777777" w:rsidR="005D372A" w:rsidRPr="001D6D10" w:rsidRDefault="005D372A" w:rsidP="008B4B2B">
            <w:pPr>
              <w:ind w:left="221" w:hangingChars="100" w:hanging="221"/>
              <w:rPr>
                <w:rFonts w:hAnsi="ＭＳ 明朝"/>
              </w:rPr>
            </w:pPr>
            <w:r w:rsidRPr="001D6D10">
              <w:rPr>
                <w:rFonts w:hAnsi="ＭＳ 明朝" w:hint="eastAsia"/>
                <w:sz w:val="22"/>
                <w:szCs w:val="22"/>
              </w:rPr>
              <w:t>・</w:t>
            </w:r>
            <w:r w:rsidRPr="001D6D10">
              <w:rPr>
                <w:rFonts w:hAnsi="ＭＳ 明朝" w:hint="eastAsia"/>
              </w:rPr>
              <w:t>風水害においては、警報が発表された気象台の二次細分区域又は被害が発生している市町村を管内に有する土木事務所</w:t>
            </w:r>
          </w:p>
          <w:p w14:paraId="20BB9824" w14:textId="77777777" w:rsidR="005D372A" w:rsidRPr="001D6D10" w:rsidRDefault="005D372A" w:rsidP="008B4B2B">
            <w:pPr>
              <w:ind w:left="221" w:hangingChars="100" w:hanging="221"/>
              <w:rPr>
                <w:rFonts w:hAnsi="ＭＳ 明朝"/>
                <w:sz w:val="22"/>
                <w:szCs w:val="22"/>
              </w:rPr>
            </w:pPr>
            <w:r w:rsidRPr="001D6D10">
              <w:rPr>
                <w:rFonts w:hAnsi="ＭＳ 明朝" w:hint="eastAsia"/>
                <w:sz w:val="22"/>
                <w:szCs w:val="22"/>
              </w:rPr>
              <w:t>・危機事象等の場合、事象が発生した市町村を管内に有する土木事務所及び前記に隣接する土木事務所</w:t>
            </w:r>
          </w:p>
        </w:tc>
      </w:tr>
      <w:tr w:rsidR="001D6D10" w:rsidRPr="001D6D10" w14:paraId="7E861584" w14:textId="77777777" w:rsidTr="00651F47">
        <w:tc>
          <w:tcPr>
            <w:tcW w:w="1413" w:type="dxa"/>
          </w:tcPr>
          <w:p w14:paraId="3E030403" w14:textId="77777777" w:rsidR="005D372A" w:rsidRPr="001D6D10" w:rsidRDefault="005D372A" w:rsidP="008B4B2B">
            <w:pPr>
              <w:rPr>
                <w:rFonts w:hAnsi="ＭＳ 明朝"/>
                <w:sz w:val="22"/>
                <w:szCs w:val="22"/>
              </w:rPr>
            </w:pPr>
            <w:r w:rsidRPr="001D6D10">
              <w:rPr>
                <w:rFonts w:hAnsi="ＭＳ 明朝" w:hint="eastAsia"/>
                <w:sz w:val="22"/>
                <w:szCs w:val="22"/>
              </w:rPr>
              <w:t>④組織</w:t>
            </w:r>
          </w:p>
        </w:tc>
        <w:tc>
          <w:tcPr>
            <w:tcW w:w="7767" w:type="dxa"/>
          </w:tcPr>
          <w:p w14:paraId="14BDC2E1" w14:textId="77777777" w:rsidR="005D372A" w:rsidRPr="001D6D10" w:rsidRDefault="00091DC6" w:rsidP="008B4B2B">
            <w:pPr>
              <w:ind w:rightChars="-242" w:right="-511"/>
              <w:rPr>
                <w:rFonts w:hAnsi="ＭＳ 明朝"/>
                <w:sz w:val="22"/>
                <w:szCs w:val="22"/>
              </w:rPr>
            </w:pPr>
            <w:r w:rsidRPr="001D6D10">
              <w:rPr>
                <w:rFonts w:hAnsi="ＭＳ 明朝" w:hint="eastAsia"/>
                <w:sz w:val="22"/>
                <w:szCs w:val="22"/>
              </w:rPr>
              <w:t>・班　　長　地域防災監又は地域防災監の</w:t>
            </w:r>
            <w:r w:rsidR="002708F2" w:rsidRPr="001D6D10">
              <w:rPr>
                <w:rFonts w:hAnsi="ＭＳ 明朝" w:hint="eastAsia"/>
                <w:sz w:val="22"/>
                <w:szCs w:val="22"/>
              </w:rPr>
              <w:t>指名</w:t>
            </w:r>
            <w:r w:rsidR="005D372A" w:rsidRPr="001D6D10">
              <w:rPr>
                <w:rFonts w:hAnsi="ＭＳ 明朝" w:hint="eastAsia"/>
                <w:sz w:val="22"/>
                <w:szCs w:val="22"/>
              </w:rPr>
              <w:t>した職員</w:t>
            </w:r>
          </w:p>
          <w:p w14:paraId="4EE9F8C5" w14:textId="1ADFFA4E" w:rsidR="005D372A" w:rsidRPr="001D6D10" w:rsidRDefault="005D372A" w:rsidP="00920D47">
            <w:pPr>
              <w:ind w:left="1327" w:hangingChars="600" w:hanging="1327"/>
              <w:jc w:val="left"/>
              <w:rPr>
                <w:rFonts w:hAnsi="ＭＳ 明朝"/>
                <w:sz w:val="22"/>
                <w:szCs w:val="22"/>
              </w:rPr>
            </w:pPr>
            <w:r w:rsidRPr="001D6D10">
              <w:rPr>
                <w:rFonts w:hAnsi="ＭＳ 明朝" w:hint="eastAsia"/>
                <w:sz w:val="22"/>
                <w:szCs w:val="22"/>
              </w:rPr>
              <w:t>・班　　員　土木事務所主査及び</w:t>
            </w:r>
            <w:r w:rsidR="00E2290D" w:rsidRPr="001D6D10">
              <w:rPr>
                <w:rFonts w:hAnsi="ＭＳ 明朝" w:hint="eastAsia"/>
                <w:sz w:val="22"/>
                <w:szCs w:val="22"/>
              </w:rPr>
              <w:t>土木事務所所管区域</w:t>
            </w:r>
            <w:r w:rsidRPr="001D6D10">
              <w:rPr>
                <w:rFonts w:hAnsi="ＭＳ 明朝" w:hint="eastAsia"/>
                <w:sz w:val="22"/>
                <w:szCs w:val="22"/>
              </w:rPr>
              <w:t>出先機関職員</w:t>
            </w:r>
            <w:r w:rsidR="002708F2" w:rsidRPr="001D6D10">
              <w:rPr>
                <w:rFonts w:hAnsi="ＭＳ 明朝" w:hint="eastAsia"/>
                <w:sz w:val="22"/>
                <w:szCs w:val="22"/>
              </w:rPr>
              <w:t>で知事</w:t>
            </w:r>
            <w:r w:rsidRPr="001D6D10">
              <w:rPr>
                <w:rFonts w:hAnsi="ＭＳ 明朝" w:hint="eastAsia"/>
                <w:sz w:val="22"/>
                <w:szCs w:val="22"/>
              </w:rPr>
              <w:t>の</w:t>
            </w:r>
            <w:r w:rsidR="002708F2" w:rsidRPr="001D6D10">
              <w:rPr>
                <w:rFonts w:hAnsi="ＭＳ 明朝" w:hint="eastAsia"/>
                <w:sz w:val="22"/>
                <w:szCs w:val="22"/>
              </w:rPr>
              <w:t>指名</w:t>
            </w:r>
            <w:r w:rsidRPr="001D6D10">
              <w:rPr>
                <w:rFonts w:hAnsi="ＭＳ 明朝" w:hint="eastAsia"/>
                <w:sz w:val="22"/>
                <w:szCs w:val="22"/>
              </w:rPr>
              <w:t>した職員</w:t>
            </w:r>
          </w:p>
          <w:p w14:paraId="00F97EE7" w14:textId="77777777" w:rsidR="005D372A" w:rsidRPr="001D6D10" w:rsidRDefault="005D372A" w:rsidP="008B4B2B">
            <w:pPr>
              <w:rPr>
                <w:rFonts w:hAnsi="ＭＳ 明朝"/>
                <w:sz w:val="22"/>
                <w:szCs w:val="22"/>
              </w:rPr>
            </w:pPr>
            <w:r w:rsidRPr="001D6D10">
              <w:rPr>
                <w:rFonts w:hAnsi="ＭＳ 明朝" w:hint="eastAsia"/>
                <w:sz w:val="22"/>
                <w:szCs w:val="22"/>
              </w:rPr>
              <w:t>・支援要員　緊急防災推進員（地震の場合のみ）</w:t>
            </w:r>
          </w:p>
        </w:tc>
      </w:tr>
      <w:tr w:rsidR="005D372A" w:rsidRPr="001D6D10" w14:paraId="5FD23A2A" w14:textId="77777777" w:rsidTr="00651F47">
        <w:trPr>
          <w:trHeight w:val="832"/>
        </w:trPr>
        <w:tc>
          <w:tcPr>
            <w:tcW w:w="1413" w:type="dxa"/>
          </w:tcPr>
          <w:p w14:paraId="78F47298" w14:textId="77777777" w:rsidR="005D372A" w:rsidRPr="001D6D10" w:rsidRDefault="005D372A" w:rsidP="008B4B2B">
            <w:pPr>
              <w:rPr>
                <w:rFonts w:hAnsi="ＭＳ 明朝"/>
                <w:sz w:val="22"/>
                <w:szCs w:val="22"/>
              </w:rPr>
            </w:pPr>
            <w:r w:rsidRPr="001D6D10">
              <w:rPr>
                <w:rFonts w:hAnsi="ＭＳ 明朝" w:hint="eastAsia"/>
                <w:sz w:val="22"/>
                <w:szCs w:val="22"/>
              </w:rPr>
              <w:t>⑤活動内容</w:t>
            </w:r>
          </w:p>
        </w:tc>
        <w:tc>
          <w:tcPr>
            <w:tcW w:w="7767" w:type="dxa"/>
          </w:tcPr>
          <w:p w14:paraId="54DD3085" w14:textId="77777777" w:rsidR="005D372A" w:rsidRPr="001D6D10" w:rsidRDefault="005D372A" w:rsidP="008B4B2B">
            <w:pPr>
              <w:rPr>
                <w:rFonts w:hAnsi="ＭＳ 明朝"/>
                <w:sz w:val="22"/>
                <w:szCs w:val="22"/>
              </w:rPr>
            </w:pPr>
            <w:r w:rsidRPr="001D6D10">
              <w:rPr>
                <w:rFonts w:hAnsi="ＭＳ 明朝" w:hint="eastAsia"/>
                <w:sz w:val="22"/>
                <w:szCs w:val="22"/>
              </w:rPr>
              <w:t>・府民センタービルの被害把握</w:t>
            </w:r>
          </w:p>
          <w:p w14:paraId="449B4F88" w14:textId="77777777" w:rsidR="005D372A" w:rsidRPr="001D6D10" w:rsidRDefault="005D372A" w:rsidP="008B4B2B">
            <w:pPr>
              <w:rPr>
                <w:rFonts w:hAnsi="ＭＳ 明朝"/>
                <w:sz w:val="22"/>
                <w:szCs w:val="22"/>
              </w:rPr>
            </w:pPr>
            <w:r w:rsidRPr="001D6D10">
              <w:rPr>
                <w:rFonts w:hAnsi="ＭＳ 明朝" w:hint="eastAsia"/>
                <w:sz w:val="22"/>
                <w:szCs w:val="22"/>
              </w:rPr>
              <w:t>・管内市町村防災体制の把握</w:t>
            </w:r>
          </w:p>
          <w:p w14:paraId="5311CACC" w14:textId="7D30DBB0" w:rsidR="005D372A" w:rsidRDefault="005D372A" w:rsidP="008B4B2B">
            <w:pPr>
              <w:rPr>
                <w:rFonts w:hAnsi="ＭＳ 明朝"/>
                <w:sz w:val="22"/>
                <w:szCs w:val="22"/>
              </w:rPr>
            </w:pPr>
            <w:r w:rsidRPr="001D6D10">
              <w:rPr>
                <w:rFonts w:hAnsi="ＭＳ 明朝" w:hint="eastAsia"/>
                <w:sz w:val="22"/>
                <w:szCs w:val="22"/>
              </w:rPr>
              <w:t>・管内市町村の被害状況・気象実況等の収集</w:t>
            </w:r>
          </w:p>
          <w:p w14:paraId="1546FFDB" w14:textId="74D7416B" w:rsidR="00E91AF6" w:rsidRPr="00D705BF" w:rsidRDefault="00E91AF6" w:rsidP="00651F47">
            <w:pPr>
              <w:ind w:left="221" w:hangingChars="100" w:hanging="221"/>
              <w:rPr>
                <w:rFonts w:hAnsi="ＭＳ 明朝"/>
                <w:sz w:val="22"/>
                <w:szCs w:val="22"/>
              </w:rPr>
            </w:pPr>
            <w:r w:rsidRPr="00D705BF">
              <w:rPr>
                <w:rFonts w:hAnsi="ＭＳ 明朝" w:hint="eastAsia"/>
                <w:sz w:val="22"/>
                <w:szCs w:val="22"/>
              </w:rPr>
              <w:t>・</w:t>
            </w:r>
            <w:r w:rsidR="00651F47" w:rsidRPr="00D705BF">
              <w:rPr>
                <w:rFonts w:hAnsi="ＭＳ 明朝" w:hint="eastAsia"/>
                <w:sz w:val="22"/>
                <w:szCs w:val="22"/>
              </w:rPr>
              <w:t>南海トラフ地震臨時情報（巨大地震警戒）が発表されたときは、日頃からの地震への備えの再確認に加え、市町村</w:t>
            </w:r>
            <w:r w:rsidR="00C86399" w:rsidRPr="00D705BF">
              <w:rPr>
                <w:rFonts w:hAnsi="ＭＳ 明朝" w:hint="eastAsia"/>
                <w:sz w:val="22"/>
                <w:szCs w:val="22"/>
              </w:rPr>
              <w:t>が行う</w:t>
            </w:r>
            <w:r w:rsidR="00651F47" w:rsidRPr="00D705BF">
              <w:rPr>
                <w:rFonts w:hAnsi="ＭＳ 明朝" w:hint="eastAsia"/>
                <w:sz w:val="22"/>
                <w:szCs w:val="22"/>
              </w:rPr>
              <w:t>住民等への呼びかけ</w:t>
            </w:r>
            <w:r w:rsidR="00785FF0" w:rsidRPr="00D705BF">
              <w:rPr>
                <w:rFonts w:hAnsi="ＭＳ 明朝" w:hint="eastAsia"/>
                <w:sz w:val="22"/>
                <w:szCs w:val="22"/>
              </w:rPr>
              <w:t>を促す</w:t>
            </w:r>
            <w:r w:rsidR="00651F47" w:rsidRPr="00D705BF">
              <w:rPr>
                <w:rFonts w:hAnsi="ＭＳ 明朝" w:hint="eastAsia"/>
                <w:sz w:val="22"/>
                <w:szCs w:val="22"/>
              </w:rPr>
              <w:t xml:space="preserve"> など</w:t>
            </w:r>
          </w:p>
        </w:tc>
      </w:tr>
    </w:tbl>
    <w:p w14:paraId="1F0E53A6" w14:textId="2919C754" w:rsidR="00091DC6" w:rsidRDefault="00091DC6" w:rsidP="007B5749"/>
    <w:p w14:paraId="5D00A6AC" w14:textId="6B322C0B" w:rsidR="00B63B25" w:rsidRDefault="00B63B25">
      <w:pPr>
        <w:widowControl/>
        <w:jc w:val="left"/>
      </w:pPr>
      <w:r>
        <w:br w:type="page"/>
      </w:r>
    </w:p>
    <w:p w14:paraId="03ABBA7C" w14:textId="77777777" w:rsidR="005D372A" w:rsidRPr="001D6D10" w:rsidRDefault="005D372A" w:rsidP="00091DC6">
      <w:pPr>
        <w:ind w:firstLineChars="100" w:firstLine="211"/>
      </w:pPr>
      <w:r w:rsidRPr="001D6D10">
        <w:rPr>
          <w:rFonts w:hint="eastAsia"/>
        </w:rPr>
        <w:lastRenderedPageBreak/>
        <w:t>＜災害警戒本部　組織図＞</w:t>
      </w:r>
    </w:p>
    <w:p w14:paraId="6E1DDCD8" w14:textId="77777777" w:rsidR="005D372A" w:rsidRPr="001D6D10" w:rsidRDefault="008E3248" w:rsidP="005D372A">
      <w:pPr>
        <w:ind w:firstLineChars="300" w:firstLine="633"/>
      </w:pPr>
      <w:r w:rsidRPr="001D6D10">
        <w:rPr>
          <w:noProof/>
        </w:rPr>
        <mc:AlternateContent>
          <mc:Choice Requires="wps">
            <w:drawing>
              <wp:anchor distT="0" distB="0" distL="114300" distR="114300" simplePos="0" relativeHeight="252955648" behindDoc="0" locked="0" layoutInCell="1" allowOverlap="1" wp14:anchorId="4E9D3023" wp14:editId="4F467945">
                <wp:simplePos x="0" y="0"/>
                <wp:positionH relativeFrom="margin">
                  <wp:posOffset>-219710</wp:posOffset>
                </wp:positionH>
                <wp:positionV relativeFrom="paragraph">
                  <wp:posOffset>220981</wp:posOffset>
                </wp:positionV>
                <wp:extent cx="2705100" cy="3162300"/>
                <wp:effectExtent l="0" t="0" r="19050" b="19050"/>
                <wp:wrapNone/>
                <wp:docPr id="194" name="正方形/長方形 194"/>
                <wp:cNvGraphicFramePr/>
                <a:graphic xmlns:a="http://schemas.openxmlformats.org/drawingml/2006/main">
                  <a:graphicData uri="http://schemas.microsoft.com/office/word/2010/wordprocessingShape">
                    <wps:wsp>
                      <wps:cNvSpPr/>
                      <wps:spPr>
                        <a:xfrm>
                          <a:off x="0" y="0"/>
                          <a:ext cx="2705100" cy="3162300"/>
                        </a:xfrm>
                        <a:prstGeom prst="rect">
                          <a:avLst/>
                        </a:prstGeom>
                        <a:solidFill>
                          <a:sysClr val="window" lastClr="FFFFFF"/>
                        </a:solidFill>
                        <a:ln w="6350" cap="flat" cmpd="sng" algn="ctr">
                          <a:solidFill>
                            <a:sysClr val="windowText" lastClr="000000"/>
                          </a:solidFill>
                          <a:prstDash val="dash"/>
                        </a:ln>
                        <a:effectLst/>
                      </wps:spPr>
                      <wps:bodyPr rot="0" spcFirstLastPara="0" vertOverflow="overflow" horzOverflow="overflow" vert="horz" wrap="square" lIns="0" tIns="0" rIns="0" bIns="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rect w14:anchorId="2720CF26" id="正方形/長方形 194" o:spid="_x0000_s1026" style="position:absolute;left:0;text-align:left;margin-left:-17.3pt;margin-top:17.4pt;width:213pt;height:249pt;z-index:25295564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" fillcolor="window" strokecolor="windowText" strokeweight=".5pt">
                <v:stroke dashstyle="dash"/>
                <v:textbox inset="0,0,0,0"/>
                <w10:wrap anchorx="margin"/>
              </v:rect>
            </w:pict>
          </mc:Fallback>
        </mc:AlternateContent>
      </w:r>
      <w:r w:rsidR="005D372A" w:rsidRPr="001D6D10">
        <w:rPr>
          <w:noProof/>
        </w:rPr>
        <mc:AlternateContent>
          <mc:Choice Requires="wps">
            <w:drawing>
              <wp:anchor distT="0" distB="0" distL="114300" distR="114300" simplePos="0" relativeHeight="253024256" behindDoc="0" locked="0" layoutInCell="1" allowOverlap="1" wp14:anchorId="3921DE99" wp14:editId="5DA73856">
                <wp:simplePos x="0" y="0"/>
                <wp:positionH relativeFrom="column">
                  <wp:posOffset>3067050</wp:posOffset>
                </wp:positionH>
                <wp:positionV relativeFrom="paragraph">
                  <wp:posOffset>127635</wp:posOffset>
                </wp:positionV>
                <wp:extent cx="848995" cy="228600"/>
                <wp:effectExtent l="0" t="0" r="8255" b="0"/>
                <wp:wrapNone/>
                <wp:docPr id="3906" name="正方形/長方形 3906"/>
                <wp:cNvGraphicFramePr/>
                <a:graphic xmlns:a="http://schemas.openxmlformats.org/drawingml/2006/main">
                  <a:graphicData uri="http://schemas.microsoft.com/office/word/2010/wordprocessingShape">
                    <wps:wsp>
                      <wps:cNvSpPr/>
                      <wps:spPr>
                        <a:xfrm>
                          <a:off x="0" y="0"/>
                          <a:ext cx="848995" cy="228600"/>
                        </a:xfrm>
                        <a:prstGeom prst="rect">
                          <a:avLst/>
                        </a:prstGeom>
                        <a:solidFill>
                          <a:sysClr val="window" lastClr="FFFFFF"/>
                        </a:solidFill>
                        <a:ln w="9525" cap="flat" cmpd="sng" algn="ctr">
                          <a:noFill/>
                          <a:prstDash val="solid"/>
                        </a:ln>
                        <a:effectLst/>
                      </wps:spPr>
                      <wps:txbx>
                        <w:txbxContent>
                          <w:p w14:paraId="33069829" w14:textId="77777777" w:rsidR="006A5267" w:rsidRPr="00055897" w:rsidRDefault="006A5267" w:rsidP="005D372A">
                            <w:pPr>
                              <w:spacing w:line="240" w:lineRule="exact"/>
                              <w:jc w:val="center"/>
                              <w:rPr>
                                <w:rFonts w:asciiTheme="majorEastAsia" w:eastAsiaTheme="majorEastAsia" w:hAnsiTheme="majorEastAsia"/>
                                <w:color w:val="000000" w:themeColor="text1"/>
                                <w:sz w:val="16"/>
                                <w:szCs w:val="16"/>
                              </w:rPr>
                            </w:pPr>
                            <w:r>
                              <w:rPr>
                                <w:rFonts w:asciiTheme="majorEastAsia" w:eastAsiaTheme="majorEastAsia" w:hAnsiTheme="majorEastAsia" w:hint="eastAsia"/>
                                <w:color w:val="000000" w:themeColor="text1"/>
                                <w:sz w:val="16"/>
                                <w:szCs w:val="16"/>
                              </w:rPr>
                              <w:t>水防本部</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a:graphicData>
                </a:graphic>
              </wp:anchor>
            </w:drawing>
          </mc:Choice>
          <mc:Fallback xmlns:w16cei="http://schemas.microsoft.com/office/word/2026/wordml/cei">
            <w:pict>
              <v:rect w14:anchorId="3921DE99" id="正方形/長方形 3906" o:spid="_x0000_s1149" style="position:absolute;left:0;text-align:left;margin-left:241.5pt;margin-top:10.05pt;width:66.85pt;height:18pt;z-index:25302425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" fillcolor="window" stroked="f">
                <v:textbox inset="0,0,0,0">
                  <w:txbxContent>
                    <w:p w14:paraId="33069829" w14:textId="77777777" w:rsidR="006A5267" w:rsidRPr="00055897" w:rsidRDefault="006A5267" w:rsidP="005D372A">
                      <w:pPr>
                        <w:spacing w:line="240" w:lineRule="exact"/>
                        <w:jc w:val="center"/>
                        <w:rPr>
                          <w:rFonts w:asciiTheme="majorEastAsia" w:eastAsiaTheme="majorEastAsia" w:hAnsiTheme="majorEastAsia"/>
                          <w:color w:val="000000" w:themeColor="text1"/>
                          <w:sz w:val="16"/>
                          <w:szCs w:val="16"/>
                        </w:rPr>
                      </w:pPr>
                      <w:r>
                        <w:rPr>
                          <w:rFonts w:asciiTheme="majorEastAsia" w:eastAsiaTheme="majorEastAsia" w:hAnsiTheme="majorEastAsia" w:hint="eastAsia"/>
                          <w:color w:val="000000" w:themeColor="text1"/>
                          <w:sz w:val="16"/>
                          <w:szCs w:val="16"/>
                        </w:rPr>
                        <w:t>水防本部</w:t>
                      </w:r>
                    </w:p>
                  </w:txbxContent>
                </v:textbox>
              </v:rect>
            </w:pict>
          </mc:Fallback>
        </mc:AlternateContent>
      </w:r>
      <w:r w:rsidR="005D372A" w:rsidRPr="001D6D10">
        <w:rPr>
          <w:noProof/>
        </w:rPr>
        <mc:AlternateContent>
          <mc:Choice Requires="wps">
            <w:drawing>
              <wp:anchor distT="0" distB="0" distL="114300" distR="114300" simplePos="0" relativeHeight="252956672" behindDoc="0" locked="0" layoutInCell="1" allowOverlap="1" wp14:anchorId="464E8C75" wp14:editId="73292723">
                <wp:simplePos x="0" y="0"/>
                <wp:positionH relativeFrom="column">
                  <wp:posOffset>510540</wp:posOffset>
                </wp:positionH>
                <wp:positionV relativeFrom="paragraph">
                  <wp:posOffset>34290</wp:posOffset>
                </wp:positionV>
                <wp:extent cx="1363980" cy="227965"/>
                <wp:effectExtent l="0" t="0" r="7620" b="635"/>
                <wp:wrapNone/>
                <wp:docPr id="202" name="正方形/長方形 202"/>
                <wp:cNvGraphicFramePr/>
                <a:graphic xmlns:a="http://schemas.openxmlformats.org/drawingml/2006/main">
                  <a:graphicData uri="http://schemas.microsoft.com/office/word/2010/wordprocessingShape">
                    <wps:wsp>
                      <wps:cNvSpPr/>
                      <wps:spPr>
                        <a:xfrm>
                          <a:off x="0" y="0"/>
                          <a:ext cx="1363980" cy="227965"/>
                        </a:xfrm>
                        <a:prstGeom prst="rect">
                          <a:avLst/>
                        </a:prstGeom>
                        <a:solidFill>
                          <a:sysClr val="window" lastClr="FFFFFF"/>
                        </a:solidFill>
                        <a:ln w="9525" cap="flat" cmpd="sng" algn="ctr">
                          <a:noFill/>
                          <a:prstDash val="solid"/>
                        </a:ln>
                        <a:effectLst/>
                      </wps:spPr>
                      <wps:txbx>
                        <w:txbxContent>
                          <w:p w14:paraId="19EC132D" w14:textId="77777777" w:rsidR="006A5267" w:rsidRPr="00055897" w:rsidRDefault="006A5267" w:rsidP="005D372A">
                            <w:pPr>
                              <w:spacing w:line="240" w:lineRule="exact"/>
                              <w:jc w:val="center"/>
                              <w:rPr>
                                <w:rFonts w:asciiTheme="majorEastAsia" w:eastAsiaTheme="majorEastAsia" w:hAnsiTheme="majorEastAsia"/>
                                <w:color w:val="000000" w:themeColor="text1"/>
                                <w:sz w:val="16"/>
                                <w:szCs w:val="16"/>
                              </w:rPr>
                            </w:pPr>
                            <w:r>
                              <w:rPr>
                                <w:rFonts w:asciiTheme="majorEastAsia" w:eastAsiaTheme="majorEastAsia" w:hAnsiTheme="majorEastAsia" w:hint="eastAsia"/>
                                <w:color w:val="000000" w:themeColor="text1"/>
                                <w:sz w:val="16"/>
                                <w:szCs w:val="16"/>
                              </w:rPr>
                              <w:t>災害警戒本部</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a:graphicData>
                </a:graphic>
              </wp:anchor>
            </w:drawing>
          </mc:Choice>
          <mc:Fallback xmlns:w16cei="http://schemas.microsoft.com/office/word/2026/wordml/cei">
            <w:pict>
              <v:rect w14:anchorId="464E8C75" id="正方形/長方形 202" o:spid="_x0000_s1150" style="position:absolute;left:0;text-align:left;margin-left:40.2pt;margin-top:2.7pt;width:107.4pt;height:17.95pt;z-index:25295667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" fillcolor="window" stroked="f">
                <v:textbox inset="0,0,0,0">
                  <w:txbxContent>
                    <w:p w14:paraId="19EC132D" w14:textId="77777777" w:rsidR="006A5267" w:rsidRPr="00055897" w:rsidRDefault="006A5267" w:rsidP="005D372A">
                      <w:pPr>
                        <w:spacing w:line="240" w:lineRule="exact"/>
                        <w:jc w:val="center"/>
                        <w:rPr>
                          <w:rFonts w:asciiTheme="majorEastAsia" w:eastAsiaTheme="majorEastAsia" w:hAnsiTheme="majorEastAsia"/>
                          <w:color w:val="000000" w:themeColor="text1"/>
                          <w:sz w:val="16"/>
                          <w:szCs w:val="16"/>
                        </w:rPr>
                      </w:pPr>
                      <w:r>
                        <w:rPr>
                          <w:rFonts w:asciiTheme="majorEastAsia" w:eastAsiaTheme="majorEastAsia" w:hAnsiTheme="majorEastAsia" w:hint="eastAsia"/>
                          <w:color w:val="000000" w:themeColor="text1"/>
                          <w:sz w:val="16"/>
                          <w:szCs w:val="16"/>
                        </w:rPr>
                        <w:t>災害警戒本部</w:t>
                      </w:r>
                    </w:p>
                  </w:txbxContent>
                </v:textbox>
              </v:rect>
            </w:pict>
          </mc:Fallback>
        </mc:AlternateContent>
      </w:r>
    </w:p>
    <w:p w14:paraId="0AAE3459" w14:textId="77777777" w:rsidR="005D372A" w:rsidRPr="001D6D10" w:rsidRDefault="005D372A" w:rsidP="005D372A">
      <w:r w:rsidRPr="001D6D10">
        <w:rPr>
          <w:noProof/>
        </w:rPr>
        <mc:AlternateContent>
          <mc:Choice Requires="wps">
            <w:drawing>
              <wp:anchor distT="0" distB="0" distL="114300" distR="114300" simplePos="0" relativeHeight="253025280" behindDoc="0" locked="0" layoutInCell="1" allowOverlap="1" wp14:anchorId="1BA953CD" wp14:editId="0CCF5923">
                <wp:simplePos x="0" y="0"/>
                <wp:positionH relativeFrom="column">
                  <wp:posOffset>2504439</wp:posOffset>
                </wp:positionH>
                <wp:positionV relativeFrom="paragraph">
                  <wp:posOffset>212090</wp:posOffset>
                </wp:positionV>
                <wp:extent cx="342900" cy="0"/>
                <wp:effectExtent l="0" t="0" r="19050" b="19050"/>
                <wp:wrapNone/>
                <wp:docPr id="4153" name="直線コネクタ 4153"/>
                <wp:cNvGraphicFramePr/>
                <a:graphic xmlns:a="http://schemas.openxmlformats.org/drawingml/2006/main">
                  <a:graphicData uri="http://schemas.microsoft.com/office/word/2010/wordprocessingShape">
                    <wps:wsp>
                      <wps:cNvCnPr/>
                      <wps:spPr>
                        <a:xfrm flipH="1">
                          <a:off x="0" y="0"/>
                          <a:ext cx="342900" cy="0"/>
                        </a:xfrm>
                        <a:prstGeom prst="line">
                          <a:avLst/>
                        </a:prstGeom>
                        <a:noFill/>
                        <a:ln w="9525" cap="flat" cmpd="sng" algn="ctr">
                          <a:solidFill>
                            <a:sysClr val="windowText" lastClr="000000">
                              <a:shade val="95000"/>
                              <a:satMod val="105000"/>
                            </a:sysClr>
                          </a:solidFill>
                          <a:prstDash val="solid"/>
                          <a:tailEnd type="none" w="sm" len="sm"/>
                        </a:ln>
                        <a:effectLst/>
                      </wps:spPr>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line w14:anchorId="6F6B8C1C" id="直線コネクタ 4153" o:spid="_x0000_s1026" style="position:absolute;left:0;text-align:left;flip:x;z-index:2530252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97.2pt,16.7pt" to="224.2pt,16.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">
                <v:stroke endarrowwidth="narrow" endarrowlength="short"/>
              </v:line>
            </w:pict>
          </mc:Fallback>
        </mc:AlternateContent>
      </w:r>
      <w:r w:rsidRPr="001D6D10">
        <w:rPr>
          <w:noProof/>
        </w:rPr>
        <mc:AlternateContent>
          <mc:Choice Requires="wps">
            <w:drawing>
              <wp:anchor distT="0" distB="0" distL="114300" distR="114300" simplePos="0" relativeHeight="253023232" behindDoc="0" locked="0" layoutInCell="1" allowOverlap="1" wp14:anchorId="1390C043" wp14:editId="099B4B17">
                <wp:simplePos x="0" y="0"/>
                <wp:positionH relativeFrom="column">
                  <wp:posOffset>2833375</wp:posOffset>
                </wp:positionH>
                <wp:positionV relativeFrom="paragraph">
                  <wp:posOffset>21590</wp:posOffset>
                </wp:positionV>
                <wp:extent cx="1323975" cy="342900"/>
                <wp:effectExtent l="0" t="0" r="28575" b="19050"/>
                <wp:wrapNone/>
                <wp:docPr id="320" name="正方形/長方形 320"/>
                <wp:cNvGraphicFramePr/>
                <a:graphic xmlns:a="http://schemas.openxmlformats.org/drawingml/2006/main">
                  <a:graphicData uri="http://schemas.microsoft.com/office/word/2010/wordprocessingShape">
                    <wps:wsp>
                      <wps:cNvSpPr/>
                      <wps:spPr>
                        <a:xfrm>
                          <a:off x="0" y="0"/>
                          <a:ext cx="1323975" cy="342900"/>
                        </a:xfrm>
                        <a:prstGeom prst="rect">
                          <a:avLst/>
                        </a:prstGeom>
                        <a:noFill/>
                        <a:ln w="9525" cap="flat" cmpd="sng" algn="ctr">
                          <a:solidFill>
                            <a:sysClr val="windowText" lastClr="000000"/>
                          </a:solidFill>
                          <a:prstDash val="dash"/>
                          <a:tailEnd type="triangle"/>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6cei="http://schemas.microsoft.com/office/word/2026/wordml/cei">
            <w:pict>
              <v:rect w14:anchorId="4D0B68C3" id="正方形/長方形 320" o:spid="_x0000_s1026" style="position:absolute;left:0;text-align:left;margin-left:223.1pt;margin-top:1.7pt;width:104.25pt;height:27pt;z-index:25302323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" filled="f" strokecolor="windowText">
                <v:stroke dashstyle="dash" endarrow="block"/>
              </v:rect>
            </w:pict>
          </mc:Fallback>
        </mc:AlternateContent>
      </w:r>
      <w:r w:rsidRPr="001D6D10">
        <w:rPr>
          <w:noProof/>
        </w:rPr>
        <mc:AlternateContent>
          <mc:Choice Requires="wps">
            <w:drawing>
              <wp:anchor distT="0" distB="0" distL="114300" distR="114300" simplePos="0" relativeHeight="252983296" behindDoc="0" locked="0" layoutInCell="1" allowOverlap="1" wp14:anchorId="4E64BB44" wp14:editId="259C6DC0">
                <wp:simplePos x="0" y="0"/>
                <wp:positionH relativeFrom="column">
                  <wp:posOffset>696885</wp:posOffset>
                </wp:positionH>
                <wp:positionV relativeFrom="paragraph">
                  <wp:posOffset>87271</wp:posOffset>
                </wp:positionV>
                <wp:extent cx="1041078" cy="466525"/>
                <wp:effectExtent l="0" t="0" r="26035" b="10160"/>
                <wp:wrapNone/>
                <wp:docPr id="197" name="正方形/長方形 197"/>
                <wp:cNvGraphicFramePr/>
                <a:graphic xmlns:a="http://schemas.openxmlformats.org/drawingml/2006/main">
                  <a:graphicData uri="http://schemas.microsoft.com/office/word/2010/wordprocessingShape">
                    <wps:wsp>
                      <wps:cNvSpPr/>
                      <wps:spPr>
                        <a:xfrm>
                          <a:off x="0" y="0"/>
                          <a:ext cx="1041078" cy="466525"/>
                        </a:xfrm>
                        <a:prstGeom prst="rect">
                          <a:avLst/>
                        </a:prstGeom>
                        <a:solidFill>
                          <a:sysClr val="window" lastClr="FFFFFF"/>
                        </a:solidFill>
                        <a:ln w="9525" cap="flat" cmpd="sng" algn="ctr">
                          <a:solidFill>
                            <a:sysClr val="windowText" lastClr="000000"/>
                          </a:solidFill>
                          <a:prstDash val="solid"/>
                        </a:ln>
                        <a:effectLst/>
                      </wps:spPr>
                      <wps:txbx>
                        <w:txbxContent>
                          <w:p w14:paraId="29527B10" w14:textId="77777777" w:rsidR="006A5267" w:rsidRPr="008572DC" w:rsidRDefault="006A5267" w:rsidP="005D372A">
                            <w:pPr>
                              <w:spacing w:line="240" w:lineRule="exact"/>
                              <w:jc w:val="center"/>
                              <w:rPr>
                                <w:rFonts w:asciiTheme="majorEastAsia" w:eastAsiaTheme="majorEastAsia" w:hAnsiTheme="majorEastAsia"/>
                                <w:color w:val="000000" w:themeColor="text1"/>
                                <w:sz w:val="16"/>
                                <w:szCs w:val="16"/>
                              </w:rPr>
                            </w:pPr>
                            <w:r>
                              <w:rPr>
                                <w:rFonts w:asciiTheme="majorEastAsia" w:eastAsiaTheme="majorEastAsia" w:hAnsiTheme="majorEastAsia" w:hint="eastAsia"/>
                                <w:color w:val="000000" w:themeColor="text1"/>
                                <w:sz w:val="16"/>
                                <w:szCs w:val="16"/>
                              </w:rPr>
                              <w:t>部長</w:t>
                            </w:r>
                          </w:p>
                          <w:p w14:paraId="5C47D746" w14:textId="77777777" w:rsidR="006A5267" w:rsidRPr="00A8725A" w:rsidRDefault="006A5267" w:rsidP="005D372A">
                            <w:pPr>
                              <w:spacing w:line="240" w:lineRule="exact"/>
                              <w:jc w:val="center"/>
                              <w:rPr>
                                <w:color w:val="000000" w:themeColor="text1"/>
                                <w:sz w:val="16"/>
                                <w:szCs w:val="16"/>
                              </w:rPr>
                            </w:pPr>
                            <w:r>
                              <w:rPr>
                                <w:rFonts w:hint="eastAsia"/>
                                <w:color w:val="000000" w:themeColor="text1"/>
                                <w:sz w:val="16"/>
                                <w:szCs w:val="16"/>
                              </w:rPr>
                              <w:t>（知事</w:t>
                            </w:r>
                            <w:r w:rsidRPr="00A8725A">
                              <w:rPr>
                                <w:rFonts w:hint="eastAsia"/>
                                <w:color w:val="000000" w:themeColor="text1"/>
                                <w:sz w:val="16"/>
                                <w:szCs w:val="16"/>
                              </w:rPr>
                              <w:t>）</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a:graphicData>
                </a:graphic>
              </wp:anchor>
            </w:drawing>
          </mc:Choice>
          <mc:Fallback xmlns:w16cei="http://schemas.microsoft.com/office/word/2026/wordml/cei">
            <w:pict>
              <v:rect w14:anchorId="4E64BB44" id="正方形/長方形 197" o:spid="_x0000_s1151" style="position:absolute;left:0;text-align:left;margin-left:54.85pt;margin-top:6.85pt;width:81.95pt;height:36.75pt;z-index:25298329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" fillcolor="window" strokecolor="windowText">
                <v:textbox inset="0,0,0,0">
                  <w:txbxContent>
                    <w:p w14:paraId="29527B10" w14:textId="77777777" w:rsidR="006A5267" w:rsidRPr="008572DC" w:rsidRDefault="006A5267" w:rsidP="005D372A">
                      <w:pPr>
                        <w:spacing w:line="240" w:lineRule="exact"/>
                        <w:jc w:val="center"/>
                        <w:rPr>
                          <w:rFonts w:asciiTheme="majorEastAsia" w:eastAsiaTheme="majorEastAsia" w:hAnsiTheme="majorEastAsia"/>
                          <w:color w:val="000000" w:themeColor="text1"/>
                          <w:sz w:val="16"/>
                          <w:szCs w:val="16"/>
                        </w:rPr>
                      </w:pPr>
                      <w:r>
                        <w:rPr>
                          <w:rFonts w:asciiTheme="majorEastAsia" w:eastAsiaTheme="majorEastAsia" w:hAnsiTheme="majorEastAsia" w:hint="eastAsia"/>
                          <w:color w:val="000000" w:themeColor="text1"/>
                          <w:sz w:val="16"/>
                          <w:szCs w:val="16"/>
                        </w:rPr>
                        <w:t>部長</w:t>
                      </w:r>
                    </w:p>
                    <w:p w14:paraId="5C47D746" w14:textId="77777777" w:rsidR="006A5267" w:rsidRPr="00A8725A" w:rsidRDefault="006A5267" w:rsidP="005D372A">
                      <w:pPr>
                        <w:spacing w:line="240" w:lineRule="exact"/>
                        <w:jc w:val="center"/>
                        <w:rPr>
                          <w:color w:val="000000" w:themeColor="text1"/>
                          <w:sz w:val="16"/>
                          <w:szCs w:val="16"/>
                        </w:rPr>
                      </w:pPr>
                      <w:r>
                        <w:rPr>
                          <w:rFonts w:hint="eastAsia"/>
                          <w:color w:val="000000" w:themeColor="text1"/>
                          <w:sz w:val="16"/>
                          <w:szCs w:val="16"/>
                        </w:rPr>
                        <w:t>（知事</w:t>
                      </w:r>
                      <w:r w:rsidRPr="00A8725A">
                        <w:rPr>
                          <w:rFonts w:hint="eastAsia"/>
                          <w:color w:val="000000" w:themeColor="text1"/>
                          <w:sz w:val="16"/>
                          <w:szCs w:val="16"/>
                        </w:rPr>
                        <w:t>）</w:t>
                      </w:r>
                    </w:p>
                  </w:txbxContent>
                </v:textbox>
              </v:rect>
            </w:pict>
          </mc:Fallback>
        </mc:AlternateContent>
      </w:r>
    </w:p>
    <w:p w14:paraId="581AE0C5" w14:textId="77777777" w:rsidR="005D372A" w:rsidRPr="001D6D10" w:rsidRDefault="005D372A" w:rsidP="005D372A">
      <w:r w:rsidRPr="001D6D10">
        <w:rPr>
          <w:noProof/>
        </w:rPr>
        <mc:AlternateContent>
          <mc:Choice Requires="wpg">
            <w:drawing>
              <wp:anchor distT="0" distB="0" distL="114300" distR="114300" simplePos="0" relativeHeight="252981248" behindDoc="0" locked="0" layoutInCell="1" allowOverlap="1" wp14:anchorId="518BF3DA" wp14:editId="7D2B21A8">
                <wp:simplePos x="0" y="0"/>
                <wp:positionH relativeFrom="column">
                  <wp:posOffset>2799715</wp:posOffset>
                </wp:positionH>
                <wp:positionV relativeFrom="paragraph">
                  <wp:posOffset>121285</wp:posOffset>
                </wp:positionV>
                <wp:extent cx="2905125" cy="2048926"/>
                <wp:effectExtent l="0" t="0" r="28575" b="27940"/>
                <wp:wrapNone/>
                <wp:docPr id="185" name="グループ化 185"/>
                <wp:cNvGraphicFramePr/>
                <a:graphic xmlns:a="http://schemas.openxmlformats.org/drawingml/2006/main">
                  <a:graphicData uri="http://schemas.microsoft.com/office/word/2010/wordprocessingGroup">
                    <wpg:wgp>
                      <wpg:cNvGrpSpPr/>
                      <wpg:grpSpPr>
                        <a:xfrm>
                          <a:off x="0" y="0"/>
                          <a:ext cx="2905125" cy="2048926"/>
                          <a:chOff x="0" y="0"/>
                          <a:chExt cx="2722245" cy="2049406"/>
                        </a:xfrm>
                      </wpg:grpSpPr>
                      <wps:wsp>
                        <wps:cNvPr id="186" name="正方形/長方形 186"/>
                        <wps:cNvSpPr/>
                        <wps:spPr>
                          <a:xfrm>
                            <a:off x="0" y="129655"/>
                            <a:ext cx="2722245" cy="1919751"/>
                          </a:xfrm>
                          <a:prstGeom prst="rect">
                            <a:avLst/>
                          </a:prstGeom>
                          <a:solidFill>
                            <a:sysClr val="window" lastClr="FFFFFF"/>
                          </a:solidFill>
                          <a:ln w="6350" cap="flat" cmpd="sng" algn="ctr">
                            <a:solidFill>
                              <a:sysClr val="windowText" lastClr="000000"/>
                            </a:solidFill>
                            <a:prstDash val="dash"/>
                          </a:ln>
                          <a:effectLst/>
                        </wps:spPr>
                        <wps:bodyPr rot="0" spcFirstLastPara="0" vertOverflow="overflow" horzOverflow="overflow" vert="horz" wrap="square" lIns="0" tIns="0" rIns="0" bIns="0" numCol="1" spcCol="0" rtlCol="0" fromWordArt="0" anchor="ctr" anchorCtr="0" forceAA="0" compatLnSpc="1">
                          <a:prstTxWarp prst="textNoShape">
                            <a:avLst/>
                          </a:prstTxWarp>
                          <a:noAutofit/>
                        </wps:bodyPr>
                      </wps:wsp>
                      <wps:wsp>
                        <wps:cNvPr id="187" name="直線コネクタ 187"/>
                        <wps:cNvCnPr/>
                        <wps:spPr>
                          <a:xfrm>
                            <a:off x="1357952" y="368471"/>
                            <a:ext cx="0" cy="1385266"/>
                          </a:xfrm>
                          <a:prstGeom prst="line">
                            <a:avLst/>
                          </a:prstGeom>
                          <a:noFill/>
                          <a:ln w="9525" cap="flat" cmpd="sng" algn="ctr">
                            <a:solidFill>
                              <a:sysClr val="windowText" lastClr="000000"/>
                            </a:solidFill>
                            <a:prstDash val="solid"/>
                          </a:ln>
                          <a:effectLst/>
                        </wps:spPr>
                        <wps:bodyPr/>
                      </wps:wsp>
                      <wps:wsp>
                        <wps:cNvPr id="188" name="正方形/長方形 188"/>
                        <wps:cNvSpPr/>
                        <wps:spPr>
                          <a:xfrm>
                            <a:off x="934872" y="0"/>
                            <a:ext cx="849630" cy="229235"/>
                          </a:xfrm>
                          <a:prstGeom prst="rect">
                            <a:avLst/>
                          </a:prstGeom>
                          <a:solidFill>
                            <a:sysClr val="window" lastClr="FFFFFF"/>
                          </a:solidFill>
                          <a:ln w="9525" cap="flat" cmpd="sng" algn="ctr">
                            <a:noFill/>
                            <a:prstDash val="solid"/>
                          </a:ln>
                          <a:effectLst/>
                        </wps:spPr>
                        <wps:txbx>
                          <w:txbxContent>
                            <w:p w14:paraId="51482B1B" w14:textId="77777777" w:rsidR="006A5267" w:rsidRPr="00055897" w:rsidRDefault="006A5267" w:rsidP="005D372A">
                              <w:pPr>
                                <w:spacing w:line="240" w:lineRule="exact"/>
                                <w:jc w:val="center"/>
                                <w:rPr>
                                  <w:rFonts w:asciiTheme="majorEastAsia" w:eastAsiaTheme="majorEastAsia" w:hAnsiTheme="majorEastAsia"/>
                                  <w:color w:val="000000" w:themeColor="text1"/>
                                  <w:sz w:val="16"/>
                                  <w:szCs w:val="16"/>
                                </w:rPr>
                              </w:pPr>
                              <w:r w:rsidRPr="00055897">
                                <w:rPr>
                                  <w:rFonts w:asciiTheme="majorEastAsia" w:eastAsiaTheme="majorEastAsia" w:hAnsiTheme="majorEastAsia" w:hint="eastAsia"/>
                                  <w:color w:val="000000" w:themeColor="text1"/>
                                  <w:sz w:val="16"/>
                                  <w:szCs w:val="16"/>
                                </w:rPr>
                                <w:t>地域</w:t>
                              </w:r>
                              <w:r>
                                <w:rPr>
                                  <w:rFonts w:asciiTheme="majorEastAsia" w:eastAsiaTheme="majorEastAsia" w:hAnsiTheme="majorEastAsia" w:hint="eastAsia"/>
                                  <w:color w:val="000000" w:themeColor="text1"/>
                                  <w:sz w:val="16"/>
                                  <w:szCs w:val="16"/>
                                </w:rPr>
                                <w:t>警戒</w:t>
                              </w:r>
                              <w:r w:rsidRPr="00055897">
                                <w:rPr>
                                  <w:rFonts w:asciiTheme="majorEastAsia" w:eastAsiaTheme="majorEastAsia" w:hAnsiTheme="majorEastAsia" w:hint="eastAsia"/>
                                  <w:color w:val="000000" w:themeColor="text1"/>
                                  <w:sz w:val="16"/>
                                  <w:szCs w:val="16"/>
                                </w:rPr>
                                <w:t>班</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wps:wsp>
                        <wps:cNvPr id="189" name="正方形/長方形 189"/>
                        <wps:cNvSpPr/>
                        <wps:spPr>
                          <a:xfrm>
                            <a:off x="249912" y="272845"/>
                            <a:ext cx="2249199" cy="514985"/>
                          </a:xfrm>
                          <a:prstGeom prst="rect">
                            <a:avLst/>
                          </a:prstGeom>
                          <a:solidFill>
                            <a:sysClr val="window" lastClr="FFFFFF"/>
                          </a:solidFill>
                          <a:ln w="9525" cap="flat" cmpd="sng" algn="ctr">
                            <a:solidFill>
                              <a:sysClr val="windowText" lastClr="000000"/>
                            </a:solidFill>
                            <a:prstDash val="solid"/>
                          </a:ln>
                          <a:effectLst/>
                        </wps:spPr>
                        <wps:txbx>
                          <w:txbxContent>
                            <w:p w14:paraId="246CDAEA" w14:textId="77777777" w:rsidR="006A5267" w:rsidRPr="00D46C92" w:rsidRDefault="006A5267" w:rsidP="005D372A">
                              <w:pPr>
                                <w:spacing w:line="240" w:lineRule="exact"/>
                                <w:jc w:val="center"/>
                                <w:rPr>
                                  <w:rFonts w:asciiTheme="majorEastAsia" w:eastAsiaTheme="majorEastAsia" w:hAnsiTheme="majorEastAsia"/>
                                  <w:sz w:val="16"/>
                                  <w:szCs w:val="16"/>
                                </w:rPr>
                              </w:pPr>
                              <w:r w:rsidRPr="00D46C92">
                                <w:rPr>
                                  <w:rFonts w:asciiTheme="majorEastAsia" w:eastAsiaTheme="majorEastAsia" w:hAnsiTheme="majorEastAsia" w:hint="eastAsia"/>
                                  <w:sz w:val="16"/>
                                  <w:szCs w:val="16"/>
                                </w:rPr>
                                <w:t>班長</w:t>
                              </w:r>
                            </w:p>
                            <w:p w14:paraId="7F16FECC" w14:textId="77777777" w:rsidR="006A5267" w:rsidRPr="00A8725A" w:rsidRDefault="006A5267" w:rsidP="00091DC6">
                              <w:pPr>
                                <w:spacing w:line="240" w:lineRule="exact"/>
                                <w:jc w:val="center"/>
                                <w:rPr>
                                  <w:color w:val="000000" w:themeColor="text1"/>
                                  <w:sz w:val="16"/>
                                  <w:szCs w:val="16"/>
                                </w:rPr>
                              </w:pPr>
                              <w:r w:rsidRPr="00D46C92">
                                <w:rPr>
                                  <w:rFonts w:hint="eastAsia"/>
                                  <w:sz w:val="16"/>
                                  <w:szCs w:val="16"/>
                                </w:rPr>
                                <w:t>（地域防災監、又は同</w:t>
                              </w:r>
                              <w:r w:rsidRPr="00D83AA2">
                                <w:rPr>
                                  <w:rFonts w:hint="eastAsia"/>
                                  <w:sz w:val="16"/>
                                  <w:szCs w:val="16"/>
                                </w:rPr>
                                <w:t>地域防災監</w:t>
                              </w:r>
                              <w:r w:rsidRPr="00D03601">
                                <w:rPr>
                                  <w:rFonts w:hint="eastAsia"/>
                                  <w:color w:val="000000" w:themeColor="text1"/>
                                  <w:sz w:val="16"/>
                                  <w:szCs w:val="16"/>
                                </w:rPr>
                                <w:t>が</w:t>
                              </w:r>
                              <w:r w:rsidRPr="002708F2">
                                <w:rPr>
                                  <w:rFonts w:hint="eastAsia"/>
                                  <w:sz w:val="16"/>
                                  <w:szCs w:val="16"/>
                                </w:rPr>
                                <w:t>指名</w:t>
                              </w:r>
                              <w:r>
                                <w:rPr>
                                  <w:rFonts w:hint="eastAsia"/>
                                  <w:color w:val="000000" w:themeColor="text1"/>
                                  <w:sz w:val="16"/>
                                  <w:szCs w:val="16"/>
                                </w:rPr>
                                <w:t>した職員</w:t>
                              </w:r>
                              <w:r w:rsidRPr="00A8725A">
                                <w:rPr>
                                  <w:rFonts w:hint="eastAsia"/>
                                  <w:color w:val="000000" w:themeColor="text1"/>
                                  <w:sz w:val="16"/>
                                  <w:szCs w:val="16"/>
                                </w:rPr>
                                <w:t>）</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wps:wsp>
                        <wps:cNvPr id="190" name="正方形/長方形 190"/>
                        <wps:cNvSpPr/>
                        <wps:spPr>
                          <a:xfrm>
                            <a:off x="19052" y="915506"/>
                            <a:ext cx="2669967" cy="522605"/>
                          </a:xfrm>
                          <a:prstGeom prst="rect">
                            <a:avLst/>
                          </a:prstGeom>
                          <a:solidFill>
                            <a:sysClr val="window" lastClr="FFFFFF"/>
                          </a:solidFill>
                          <a:ln w="9525" cap="flat" cmpd="sng" algn="ctr">
                            <a:solidFill>
                              <a:sysClr val="windowText" lastClr="000000"/>
                            </a:solidFill>
                            <a:prstDash val="solid"/>
                          </a:ln>
                          <a:effectLst/>
                        </wps:spPr>
                        <wps:txbx>
                          <w:txbxContent>
                            <w:p w14:paraId="35E18A2C" w14:textId="77777777" w:rsidR="006A5267" w:rsidRPr="0093399E" w:rsidRDefault="006A5267" w:rsidP="005D372A">
                              <w:pPr>
                                <w:spacing w:line="240" w:lineRule="exact"/>
                                <w:jc w:val="center"/>
                                <w:rPr>
                                  <w:rFonts w:asciiTheme="majorEastAsia" w:eastAsiaTheme="majorEastAsia" w:hAnsiTheme="majorEastAsia"/>
                                  <w:color w:val="000000" w:themeColor="text1"/>
                                  <w:sz w:val="16"/>
                                  <w:szCs w:val="16"/>
                                </w:rPr>
                              </w:pPr>
                              <w:r w:rsidRPr="0093399E">
                                <w:rPr>
                                  <w:rFonts w:asciiTheme="majorEastAsia" w:eastAsiaTheme="majorEastAsia" w:hAnsiTheme="majorEastAsia" w:hint="eastAsia"/>
                                  <w:color w:val="000000" w:themeColor="text1"/>
                                  <w:sz w:val="16"/>
                                  <w:szCs w:val="16"/>
                                </w:rPr>
                                <w:t>班員</w:t>
                              </w:r>
                            </w:p>
                            <w:p w14:paraId="287E9267" w14:textId="2BF46841" w:rsidR="006A5267" w:rsidRPr="00A8725A" w:rsidRDefault="006A5267" w:rsidP="002708F2">
                              <w:pPr>
                                <w:spacing w:line="240" w:lineRule="exact"/>
                                <w:jc w:val="center"/>
                                <w:rPr>
                                  <w:color w:val="000000" w:themeColor="text1"/>
                                  <w:sz w:val="16"/>
                                  <w:szCs w:val="16"/>
                                </w:rPr>
                              </w:pPr>
                              <w:r>
                                <w:rPr>
                                  <w:rFonts w:hint="eastAsia"/>
                                  <w:color w:val="000000" w:themeColor="text1"/>
                                  <w:sz w:val="16"/>
                                  <w:szCs w:val="16"/>
                                </w:rPr>
                                <w:t>（土木事務</w:t>
                              </w:r>
                              <w:r w:rsidRPr="00D03601">
                                <w:rPr>
                                  <w:rFonts w:hint="eastAsia"/>
                                  <w:color w:val="000000" w:themeColor="text1"/>
                                  <w:sz w:val="16"/>
                                  <w:szCs w:val="16"/>
                                </w:rPr>
                                <w:t>所主査</w:t>
                              </w:r>
                              <w:r w:rsidRPr="00D46C92">
                                <w:rPr>
                                  <w:rFonts w:hint="eastAsia"/>
                                  <w:sz w:val="16"/>
                                  <w:szCs w:val="16"/>
                                </w:rPr>
                                <w:t>及び土木事務所所管区域</w:t>
                              </w:r>
                              <w:r w:rsidRPr="00D46C92">
                                <w:rPr>
                                  <w:sz w:val="16"/>
                                  <w:szCs w:val="16"/>
                                </w:rPr>
                                <w:br/>
                              </w:r>
                              <w:r w:rsidRPr="00D46C92">
                                <w:rPr>
                                  <w:rFonts w:hint="eastAsia"/>
                                  <w:sz w:val="16"/>
                                  <w:szCs w:val="16"/>
                                </w:rPr>
                                <w:t>出先機関職員で知事の指名</w:t>
                              </w:r>
                              <w:r w:rsidRPr="007B5749">
                                <w:rPr>
                                  <w:rFonts w:hint="eastAsia"/>
                                  <w:color w:val="000000" w:themeColor="text1"/>
                                  <w:sz w:val="16"/>
                                  <w:szCs w:val="16"/>
                                </w:rPr>
                                <w:t>した</w:t>
                              </w:r>
                              <w:r>
                                <w:rPr>
                                  <w:rFonts w:hint="eastAsia"/>
                                  <w:color w:val="000000" w:themeColor="text1"/>
                                  <w:sz w:val="16"/>
                                  <w:szCs w:val="16"/>
                                </w:rPr>
                                <w:t>職員</w:t>
                              </w:r>
                              <w:r w:rsidRPr="00A8725A">
                                <w:rPr>
                                  <w:rFonts w:hint="eastAsia"/>
                                  <w:color w:val="000000" w:themeColor="text1"/>
                                  <w:sz w:val="16"/>
                                  <w:szCs w:val="16"/>
                                </w:rPr>
                                <w:t>）</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wps:wsp>
                        <wps:cNvPr id="191" name="正方形/長方形 191"/>
                        <wps:cNvSpPr/>
                        <wps:spPr>
                          <a:xfrm>
                            <a:off x="436728" y="1514902"/>
                            <a:ext cx="1844040" cy="466090"/>
                          </a:xfrm>
                          <a:prstGeom prst="rect">
                            <a:avLst/>
                          </a:prstGeom>
                          <a:solidFill>
                            <a:sysClr val="window" lastClr="FFFFFF"/>
                          </a:solidFill>
                          <a:ln w="9525" cap="flat" cmpd="sng" algn="ctr">
                            <a:solidFill>
                              <a:sysClr val="windowText" lastClr="000000"/>
                            </a:solidFill>
                            <a:prstDash val="solid"/>
                          </a:ln>
                          <a:effectLst/>
                        </wps:spPr>
                        <wps:txbx>
                          <w:txbxContent>
                            <w:p w14:paraId="4E8C889E" w14:textId="77777777" w:rsidR="006A5267" w:rsidRPr="00A8725A" w:rsidRDefault="006A5267" w:rsidP="005D372A">
                              <w:pPr>
                                <w:spacing w:line="240" w:lineRule="exact"/>
                                <w:jc w:val="center"/>
                                <w:rPr>
                                  <w:color w:val="000000" w:themeColor="text1"/>
                                  <w:sz w:val="16"/>
                                  <w:szCs w:val="16"/>
                                </w:rPr>
                              </w:pPr>
                              <w:r>
                                <w:rPr>
                                  <w:rFonts w:hint="eastAsia"/>
                                  <w:color w:val="000000" w:themeColor="text1"/>
                                  <w:sz w:val="16"/>
                                  <w:szCs w:val="16"/>
                                </w:rPr>
                                <w:t>支援要員【地震の場合のみ】</w:t>
                              </w:r>
                            </w:p>
                            <w:p w14:paraId="006202DF" w14:textId="77777777" w:rsidR="006A5267" w:rsidRPr="00A8725A" w:rsidRDefault="006A5267" w:rsidP="005D372A">
                              <w:pPr>
                                <w:spacing w:line="240" w:lineRule="exact"/>
                                <w:jc w:val="center"/>
                                <w:rPr>
                                  <w:color w:val="000000" w:themeColor="text1"/>
                                  <w:sz w:val="16"/>
                                  <w:szCs w:val="16"/>
                                </w:rPr>
                              </w:pPr>
                              <w:r>
                                <w:rPr>
                                  <w:rFonts w:hint="eastAsia"/>
                                  <w:color w:val="000000" w:themeColor="text1"/>
                                  <w:sz w:val="16"/>
                                  <w:szCs w:val="16"/>
                                </w:rPr>
                                <w:t>（緊急防災推進員</w:t>
                              </w:r>
                              <w:r w:rsidRPr="00A8725A">
                                <w:rPr>
                                  <w:rFonts w:hint="eastAsia"/>
                                  <w:color w:val="000000" w:themeColor="text1"/>
                                  <w:sz w:val="16"/>
                                  <w:szCs w:val="16"/>
                                </w:rPr>
                                <w:t>）</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xmlns:w16cei="http://schemas.microsoft.com/office/word/2026/wordml/cei">
            <w:pict>
              <v:group w14:anchorId="518BF3DA" id="グループ化 185" o:spid="_x0000_s1152" style="position:absolute;left:0;text-align:left;margin-left:220.45pt;margin-top:9.55pt;width:228.75pt;height:161.35pt;z-index:252981248;mso-width-relative:margin;mso-height-relative:margin" coordsize="27222,2049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">
                <v:rect id="正方形/長方形 186" o:spid="_x0000_s1153" style="position:absolute;top:1296;width:27222;height:1919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" fillcolor="window" strokecolor="windowText" strokeweight=".5pt">
                  <v:stroke dashstyle="dash"/>
                  <v:textbox inset="0,0,0,0"/>
                </v:rect>
                <v:line id="直線コネクタ 187" o:spid="_x0000_s1154" style="position:absolute;visibility:visible;mso-wrap-style:square" from="13579,3684" to="13579,1753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" strokecolor="windowText"/>
                <v:rect id="正方形/長方形 188" o:spid="_x0000_s1155" style="position:absolute;left:9348;width:8497;height:229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" fillcolor="window" stroked="f">
                  <v:textbox inset="0,0,0,0">
                    <w:txbxContent>
                      <w:p w14:paraId="51482B1B" w14:textId="77777777" w:rsidR="006A5267" w:rsidRPr="00055897" w:rsidRDefault="006A5267" w:rsidP="005D372A">
                        <w:pPr>
                          <w:spacing w:line="240" w:lineRule="exact"/>
                          <w:jc w:val="center"/>
                          <w:rPr>
                            <w:rFonts w:asciiTheme="majorEastAsia" w:eastAsiaTheme="majorEastAsia" w:hAnsiTheme="majorEastAsia"/>
                            <w:color w:val="000000" w:themeColor="text1"/>
                            <w:sz w:val="16"/>
                            <w:szCs w:val="16"/>
                          </w:rPr>
                        </w:pPr>
                        <w:r w:rsidRPr="00055897">
                          <w:rPr>
                            <w:rFonts w:asciiTheme="majorEastAsia" w:eastAsiaTheme="majorEastAsia" w:hAnsiTheme="majorEastAsia" w:hint="eastAsia"/>
                            <w:color w:val="000000" w:themeColor="text1"/>
                            <w:sz w:val="16"/>
                            <w:szCs w:val="16"/>
                          </w:rPr>
                          <w:t>地域</w:t>
                        </w:r>
                        <w:r>
                          <w:rPr>
                            <w:rFonts w:asciiTheme="majorEastAsia" w:eastAsiaTheme="majorEastAsia" w:hAnsiTheme="majorEastAsia" w:hint="eastAsia"/>
                            <w:color w:val="000000" w:themeColor="text1"/>
                            <w:sz w:val="16"/>
                            <w:szCs w:val="16"/>
                          </w:rPr>
                          <w:t>警戒</w:t>
                        </w:r>
                        <w:r w:rsidRPr="00055897">
                          <w:rPr>
                            <w:rFonts w:asciiTheme="majorEastAsia" w:eastAsiaTheme="majorEastAsia" w:hAnsiTheme="majorEastAsia" w:hint="eastAsia"/>
                            <w:color w:val="000000" w:themeColor="text1"/>
                            <w:sz w:val="16"/>
                            <w:szCs w:val="16"/>
                          </w:rPr>
                          <w:t>班</w:t>
                        </w:r>
                      </w:p>
                    </w:txbxContent>
                  </v:textbox>
                </v:rect>
                <v:rect id="正方形/長方形 189" o:spid="_x0000_s1156" style="position:absolute;left:2499;top:2728;width:22492;height:515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" fillcolor="window" strokecolor="windowText">
                  <v:textbox inset="0,0,0,0">
                    <w:txbxContent>
                      <w:p w14:paraId="246CDAEA" w14:textId="77777777" w:rsidR="006A5267" w:rsidRPr="00D46C92" w:rsidRDefault="006A5267" w:rsidP="005D372A">
                        <w:pPr>
                          <w:spacing w:line="240" w:lineRule="exact"/>
                          <w:jc w:val="center"/>
                          <w:rPr>
                            <w:rFonts w:asciiTheme="majorEastAsia" w:eastAsiaTheme="majorEastAsia" w:hAnsiTheme="majorEastAsia"/>
                            <w:sz w:val="16"/>
                            <w:szCs w:val="16"/>
                          </w:rPr>
                        </w:pPr>
                        <w:r w:rsidRPr="00D46C92">
                          <w:rPr>
                            <w:rFonts w:asciiTheme="majorEastAsia" w:eastAsiaTheme="majorEastAsia" w:hAnsiTheme="majorEastAsia" w:hint="eastAsia"/>
                            <w:sz w:val="16"/>
                            <w:szCs w:val="16"/>
                          </w:rPr>
                          <w:t>班長</w:t>
                        </w:r>
                      </w:p>
                      <w:p w14:paraId="7F16FECC" w14:textId="77777777" w:rsidR="006A5267" w:rsidRPr="00A8725A" w:rsidRDefault="006A5267" w:rsidP="00091DC6">
                        <w:pPr>
                          <w:spacing w:line="240" w:lineRule="exact"/>
                          <w:jc w:val="center"/>
                          <w:rPr>
                            <w:color w:val="000000" w:themeColor="text1"/>
                            <w:sz w:val="16"/>
                            <w:szCs w:val="16"/>
                          </w:rPr>
                        </w:pPr>
                        <w:r w:rsidRPr="00D46C92">
                          <w:rPr>
                            <w:rFonts w:hint="eastAsia"/>
                            <w:sz w:val="16"/>
                            <w:szCs w:val="16"/>
                          </w:rPr>
                          <w:t>（地域防災監、又は同</w:t>
                        </w:r>
                        <w:r w:rsidRPr="00D83AA2">
                          <w:rPr>
                            <w:rFonts w:hint="eastAsia"/>
                            <w:sz w:val="16"/>
                            <w:szCs w:val="16"/>
                          </w:rPr>
                          <w:t>地域防災監</w:t>
                        </w:r>
                        <w:r w:rsidRPr="00D03601">
                          <w:rPr>
                            <w:rFonts w:hint="eastAsia"/>
                            <w:color w:val="000000" w:themeColor="text1"/>
                            <w:sz w:val="16"/>
                            <w:szCs w:val="16"/>
                          </w:rPr>
                          <w:t>が</w:t>
                        </w:r>
                        <w:r w:rsidRPr="002708F2">
                          <w:rPr>
                            <w:rFonts w:hint="eastAsia"/>
                            <w:sz w:val="16"/>
                            <w:szCs w:val="16"/>
                          </w:rPr>
                          <w:t>指名</w:t>
                        </w:r>
                        <w:r>
                          <w:rPr>
                            <w:rFonts w:hint="eastAsia"/>
                            <w:color w:val="000000" w:themeColor="text1"/>
                            <w:sz w:val="16"/>
                            <w:szCs w:val="16"/>
                          </w:rPr>
                          <w:t>した職員</w:t>
                        </w:r>
                        <w:r w:rsidRPr="00A8725A">
                          <w:rPr>
                            <w:rFonts w:hint="eastAsia"/>
                            <w:color w:val="000000" w:themeColor="text1"/>
                            <w:sz w:val="16"/>
                            <w:szCs w:val="16"/>
                          </w:rPr>
                          <w:t>）</w:t>
                        </w:r>
                      </w:p>
                    </w:txbxContent>
                  </v:textbox>
                </v:rect>
                <v:rect id="正方形/長方形 190" o:spid="_x0000_s1157" style="position:absolute;left:190;top:9155;width:26700;height:522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" fillcolor="window" strokecolor="windowText">
                  <v:textbox inset="0,0,0,0">
                    <w:txbxContent>
                      <w:p w14:paraId="35E18A2C" w14:textId="77777777" w:rsidR="006A5267" w:rsidRPr="0093399E" w:rsidRDefault="006A5267" w:rsidP="005D372A">
                        <w:pPr>
                          <w:spacing w:line="240" w:lineRule="exact"/>
                          <w:jc w:val="center"/>
                          <w:rPr>
                            <w:rFonts w:asciiTheme="majorEastAsia" w:eastAsiaTheme="majorEastAsia" w:hAnsiTheme="majorEastAsia"/>
                            <w:color w:val="000000" w:themeColor="text1"/>
                            <w:sz w:val="16"/>
                            <w:szCs w:val="16"/>
                          </w:rPr>
                        </w:pPr>
                        <w:r w:rsidRPr="0093399E">
                          <w:rPr>
                            <w:rFonts w:asciiTheme="majorEastAsia" w:eastAsiaTheme="majorEastAsia" w:hAnsiTheme="majorEastAsia" w:hint="eastAsia"/>
                            <w:color w:val="000000" w:themeColor="text1"/>
                            <w:sz w:val="16"/>
                            <w:szCs w:val="16"/>
                          </w:rPr>
                          <w:t>班員</w:t>
                        </w:r>
                      </w:p>
                      <w:p w14:paraId="287E9267" w14:textId="2BF46841" w:rsidR="006A5267" w:rsidRPr="00A8725A" w:rsidRDefault="006A5267" w:rsidP="002708F2">
                        <w:pPr>
                          <w:spacing w:line="240" w:lineRule="exact"/>
                          <w:jc w:val="center"/>
                          <w:rPr>
                            <w:color w:val="000000" w:themeColor="text1"/>
                            <w:sz w:val="16"/>
                            <w:szCs w:val="16"/>
                          </w:rPr>
                        </w:pPr>
                        <w:r>
                          <w:rPr>
                            <w:rFonts w:hint="eastAsia"/>
                            <w:color w:val="000000" w:themeColor="text1"/>
                            <w:sz w:val="16"/>
                            <w:szCs w:val="16"/>
                          </w:rPr>
                          <w:t>（土木事務</w:t>
                        </w:r>
                        <w:r w:rsidRPr="00D03601">
                          <w:rPr>
                            <w:rFonts w:hint="eastAsia"/>
                            <w:color w:val="000000" w:themeColor="text1"/>
                            <w:sz w:val="16"/>
                            <w:szCs w:val="16"/>
                          </w:rPr>
                          <w:t>所主査</w:t>
                        </w:r>
                        <w:r w:rsidRPr="00D46C92">
                          <w:rPr>
                            <w:rFonts w:hint="eastAsia"/>
                            <w:sz w:val="16"/>
                            <w:szCs w:val="16"/>
                          </w:rPr>
                          <w:t>及び土木事務所所管区域</w:t>
                        </w:r>
                        <w:r w:rsidRPr="00D46C92">
                          <w:rPr>
                            <w:sz w:val="16"/>
                            <w:szCs w:val="16"/>
                          </w:rPr>
                          <w:br/>
                        </w:r>
                        <w:r w:rsidRPr="00D46C92">
                          <w:rPr>
                            <w:rFonts w:hint="eastAsia"/>
                            <w:sz w:val="16"/>
                            <w:szCs w:val="16"/>
                          </w:rPr>
                          <w:t>出先機関職員で知事の指名</w:t>
                        </w:r>
                        <w:r w:rsidRPr="007B5749">
                          <w:rPr>
                            <w:rFonts w:hint="eastAsia"/>
                            <w:color w:val="000000" w:themeColor="text1"/>
                            <w:sz w:val="16"/>
                            <w:szCs w:val="16"/>
                          </w:rPr>
                          <w:t>した</w:t>
                        </w:r>
                        <w:r>
                          <w:rPr>
                            <w:rFonts w:hint="eastAsia"/>
                            <w:color w:val="000000" w:themeColor="text1"/>
                            <w:sz w:val="16"/>
                            <w:szCs w:val="16"/>
                          </w:rPr>
                          <w:t>職員</w:t>
                        </w:r>
                        <w:r w:rsidRPr="00A8725A">
                          <w:rPr>
                            <w:rFonts w:hint="eastAsia"/>
                            <w:color w:val="000000" w:themeColor="text1"/>
                            <w:sz w:val="16"/>
                            <w:szCs w:val="16"/>
                          </w:rPr>
                          <w:t>）</w:t>
                        </w:r>
                      </w:p>
                    </w:txbxContent>
                  </v:textbox>
                </v:rect>
                <v:rect id="正方形/長方形 191" o:spid="_x0000_s1158" style="position:absolute;left:4367;top:15149;width:18440;height:466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" fillcolor="window" strokecolor="windowText">
                  <v:textbox inset="0,0,0,0">
                    <w:txbxContent>
                      <w:p w14:paraId="4E8C889E" w14:textId="77777777" w:rsidR="006A5267" w:rsidRPr="00A8725A" w:rsidRDefault="006A5267" w:rsidP="005D372A">
                        <w:pPr>
                          <w:spacing w:line="240" w:lineRule="exact"/>
                          <w:jc w:val="center"/>
                          <w:rPr>
                            <w:color w:val="000000" w:themeColor="text1"/>
                            <w:sz w:val="16"/>
                            <w:szCs w:val="16"/>
                          </w:rPr>
                        </w:pPr>
                        <w:r>
                          <w:rPr>
                            <w:rFonts w:hint="eastAsia"/>
                            <w:color w:val="000000" w:themeColor="text1"/>
                            <w:sz w:val="16"/>
                            <w:szCs w:val="16"/>
                          </w:rPr>
                          <w:t>支援要員【地震の場合のみ】</w:t>
                        </w:r>
                      </w:p>
                      <w:p w14:paraId="006202DF" w14:textId="77777777" w:rsidR="006A5267" w:rsidRPr="00A8725A" w:rsidRDefault="006A5267" w:rsidP="005D372A">
                        <w:pPr>
                          <w:spacing w:line="240" w:lineRule="exact"/>
                          <w:jc w:val="center"/>
                          <w:rPr>
                            <w:color w:val="000000" w:themeColor="text1"/>
                            <w:sz w:val="16"/>
                            <w:szCs w:val="16"/>
                          </w:rPr>
                        </w:pPr>
                        <w:r>
                          <w:rPr>
                            <w:rFonts w:hint="eastAsia"/>
                            <w:color w:val="000000" w:themeColor="text1"/>
                            <w:sz w:val="16"/>
                            <w:szCs w:val="16"/>
                          </w:rPr>
                          <w:t>（緊急防災推進員</w:t>
                        </w:r>
                        <w:r w:rsidRPr="00A8725A">
                          <w:rPr>
                            <w:rFonts w:hint="eastAsia"/>
                            <w:color w:val="000000" w:themeColor="text1"/>
                            <w:sz w:val="16"/>
                            <w:szCs w:val="16"/>
                          </w:rPr>
                          <w:t>）</w:t>
                        </w:r>
                      </w:p>
                    </w:txbxContent>
                  </v:textbox>
                </v:rect>
              </v:group>
            </w:pict>
          </mc:Fallback>
        </mc:AlternateContent>
      </w:r>
      <w:r w:rsidRPr="001D6D10">
        <w:rPr>
          <w:noProof/>
        </w:rPr>
        <mc:AlternateContent>
          <mc:Choice Requires="wps">
            <w:drawing>
              <wp:anchor distT="0" distB="0" distL="114300" distR="114300" simplePos="0" relativeHeight="252982272" behindDoc="0" locked="0" layoutInCell="1" allowOverlap="1" wp14:anchorId="6486F0F4" wp14:editId="7AB73219">
                <wp:simplePos x="0" y="0"/>
                <wp:positionH relativeFrom="column">
                  <wp:posOffset>1215340</wp:posOffset>
                </wp:positionH>
                <wp:positionV relativeFrom="paragraph">
                  <wp:posOffset>104226</wp:posOffset>
                </wp:positionV>
                <wp:extent cx="0" cy="1875620"/>
                <wp:effectExtent l="0" t="0" r="19050" b="10795"/>
                <wp:wrapNone/>
                <wp:docPr id="196" name="直線コネクタ 196"/>
                <wp:cNvGraphicFramePr/>
                <a:graphic xmlns:a="http://schemas.openxmlformats.org/drawingml/2006/main">
                  <a:graphicData uri="http://schemas.microsoft.com/office/word/2010/wordprocessingShape">
                    <wps:wsp>
                      <wps:cNvCnPr/>
                      <wps:spPr>
                        <a:xfrm>
                          <a:off x="0" y="0"/>
                          <a:ext cx="0" cy="1875620"/>
                        </a:xfrm>
                        <a:prstGeom prst="line">
                          <a:avLst/>
                        </a:prstGeom>
                        <a:noFill/>
                        <a:ln w="9525" cap="flat" cmpd="sng" algn="ctr">
                          <a:solidFill>
                            <a:sysClr val="windowText" lastClr="000000"/>
                          </a:solidFill>
                          <a:prstDash val="solid"/>
                        </a:ln>
                        <a:effectLst/>
                      </wps:spPr>
                      <wps:bodyPr/>
                    </wps:wsp>
                  </a:graphicData>
                </a:graphic>
              </wp:anchor>
            </w:drawing>
          </mc:Choice>
          <mc:Fallback xmlns:w16cei="http://schemas.microsoft.com/office/word/2026/wordml/cei">
            <w:pict>
              <v:line w14:anchorId="76A8221C" id="直線コネクタ 196" o:spid="_x0000_s1026" style="position:absolute;left:0;text-align:left;z-index:252982272;visibility:visible;mso-wrap-style:square;mso-wrap-distance-left:9pt;mso-wrap-distance-top:0;mso-wrap-distance-right:9pt;mso-wrap-distance-bottom:0;mso-position-horizontal:absolute;mso-position-horizontal-relative:text;mso-position-vertical:absolute;mso-position-vertical-relative:text" from="95.7pt,8.2pt" to="95.7pt,155.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" strokecolor="windowText"/>
            </w:pict>
          </mc:Fallback>
        </mc:AlternateContent>
      </w:r>
    </w:p>
    <w:p w14:paraId="1A2DC660" w14:textId="77777777" w:rsidR="005D372A" w:rsidRPr="001D6D10" w:rsidRDefault="005D372A" w:rsidP="005D372A">
      <w:r w:rsidRPr="001D6D10">
        <w:rPr>
          <w:noProof/>
        </w:rPr>
        <mc:AlternateContent>
          <mc:Choice Requires="wps">
            <w:drawing>
              <wp:anchor distT="0" distB="0" distL="114300" distR="114300" simplePos="0" relativeHeight="252987392" behindDoc="0" locked="0" layoutInCell="1" allowOverlap="1" wp14:anchorId="731E8DB5" wp14:editId="6109E3E3">
                <wp:simplePos x="0" y="0"/>
                <wp:positionH relativeFrom="column">
                  <wp:posOffset>1811020</wp:posOffset>
                </wp:positionH>
                <wp:positionV relativeFrom="paragraph">
                  <wp:posOffset>200965</wp:posOffset>
                </wp:positionV>
                <wp:extent cx="601345" cy="690245"/>
                <wp:effectExtent l="0" t="0" r="8255" b="0"/>
                <wp:wrapNone/>
                <wp:docPr id="203" name="正方形/長方形 203"/>
                <wp:cNvGraphicFramePr/>
                <a:graphic xmlns:a="http://schemas.openxmlformats.org/drawingml/2006/main">
                  <a:graphicData uri="http://schemas.microsoft.com/office/word/2010/wordprocessingShape">
                    <wps:wsp>
                      <wps:cNvSpPr/>
                      <wps:spPr>
                        <a:xfrm>
                          <a:off x="0" y="0"/>
                          <a:ext cx="601345" cy="690245"/>
                        </a:xfrm>
                        <a:prstGeom prst="rect">
                          <a:avLst/>
                        </a:prstGeom>
                        <a:noFill/>
                        <a:ln w="9525" cap="flat" cmpd="sng" algn="ctr">
                          <a:noFill/>
                          <a:prstDash val="solid"/>
                        </a:ln>
                        <a:effectLst/>
                      </wps:spPr>
                      <wps:txbx>
                        <w:txbxContent>
                          <w:p w14:paraId="7BECCC1F" w14:textId="77777777" w:rsidR="006A5267" w:rsidRPr="00393C0C" w:rsidRDefault="006A5267" w:rsidP="005D372A">
                            <w:pPr>
                              <w:rPr>
                                <w:rFonts w:asciiTheme="majorEastAsia" w:eastAsiaTheme="majorEastAsia" w:hAnsiTheme="majorEastAsia"/>
                                <w:color w:val="000000" w:themeColor="text1"/>
                                <w:sz w:val="16"/>
                                <w:szCs w:val="16"/>
                              </w:rPr>
                            </w:pPr>
                            <w:r w:rsidRPr="00393C0C">
                              <w:rPr>
                                <w:rFonts w:asciiTheme="majorEastAsia" w:eastAsiaTheme="majorEastAsia" w:hAnsiTheme="majorEastAsia" w:hint="eastAsia"/>
                                <w:color w:val="000000" w:themeColor="text1"/>
                                <w:sz w:val="16"/>
                                <w:szCs w:val="16"/>
                              </w:rPr>
                              <w:t>○数字は</w:t>
                            </w:r>
                          </w:p>
                          <w:p w14:paraId="465FB34D" w14:textId="77777777" w:rsidR="006A5267" w:rsidRPr="00393C0C" w:rsidRDefault="006A5267" w:rsidP="005D372A">
                            <w:pPr>
                              <w:rPr>
                                <w:rFonts w:asciiTheme="majorEastAsia" w:eastAsiaTheme="majorEastAsia" w:hAnsiTheme="majorEastAsia"/>
                                <w:color w:val="000000" w:themeColor="text1"/>
                                <w:sz w:val="16"/>
                                <w:szCs w:val="16"/>
                              </w:rPr>
                            </w:pPr>
                            <w:r w:rsidRPr="00393C0C">
                              <w:rPr>
                                <w:rFonts w:asciiTheme="majorEastAsia" w:eastAsiaTheme="majorEastAsia" w:hAnsiTheme="majorEastAsia" w:hint="eastAsia"/>
                                <w:color w:val="000000" w:themeColor="text1"/>
                                <w:sz w:val="16"/>
                                <w:szCs w:val="16"/>
                              </w:rPr>
                              <w:t>本部長の</w:t>
                            </w:r>
                          </w:p>
                          <w:p w14:paraId="606E7C7E" w14:textId="77777777" w:rsidR="006A5267" w:rsidRPr="00393C0C" w:rsidRDefault="006A5267" w:rsidP="005D372A">
                            <w:pPr>
                              <w:rPr>
                                <w:rFonts w:asciiTheme="majorEastAsia" w:eastAsiaTheme="majorEastAsia" w:hAnsiTheme="majorEastAsia"/>
                                <w:color w:val="000000" w:themeColor="text1"/>
                                <w:sz w:val="16"/>
                                <w:szCs w:val="16"/>
                              </w:rPr>
                            </w:pPr>
                            <w:r w:rsidRPr="00393C0C">
                              <w:rPr>
                                <w:rFonts w:asciiTheme="majorEastAsia" w:eastAsiaTheme="majorEastAsia" w:hAnsiTheme="majorEastAsia" w:hint="eastAsia"/>
                                <w:color w:val="000000" w:themeColor="text1"/>
                                <w:sz w:val="16"/>
                                <w:szCs w:val="16"/>
                              </w:rPr>
                              <w:t>代理順序</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rect w14:anchorId="731E8DB5" id="正方形/長方形 203" o:spid="_x0000_s1159" style="position:absolute;left:0;text-align:left;margin-left:142.6pt;margin-top:15.8pt;width:47.35pt;height:54.35pt;z-index:2529873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" filled="f" stroked="f">
                <v:textbox inset="0,0,0,0">
                  <w:txbxContent>
                    <w:p w14:paraId="7BECCC1F" w14:textId="77777777" w:rsidR="006A5267" w:rsidRPr="00393C0C" w:rsidRDefault="006A5267" w:rsidP="005D372A">
                      <w:pPr>
                        <w:rPr>
                          <w:rFonts w:asciiTheme="majorEastAsia" w:eastAsiaTheme="majorEastAsia" w:hAnsiTheme="majorEastAsia"/>
                          <w:color w:val="000000" w:themeColor="text1"/>
                          <w:sz w:val="16"/>
                          <w:szCs w:val="16"/>
                        </w:rPr>
                      </w:pPr>
                      <w:r w:rsidRPr="00393C0C">
                        <w:rPr>
                          <w:rFonts w:asciiTheme="majorEastAsia" w:eastAsiaTheme="majorEastAsia" w:hAnsiTheme="majorEastAsia" w:hint="eastAsia"/>
                          <w:color w:val="000000" w:themeColor="text1"/>
                          <w:sz w:val="16"/>
                          <w:szCs w:val="16"/>
                        </w:rPr>
                        <w:t>○数字は</w:t>
                      </w:r>
                    </w:p>
                    <w:p w14:paraId="465FB34D" w14:textId="77777777" w:rsidR="006A5267" w:rsidRPr="00393C0C" w:rsidRDefault="006A5267" w:rsidP="005D372A">
                      <w:pPr>
                        <w:rPr>
                          <w:rFonts w:asciiTheme="majorEastAsia" w:eastAsiaTheme="majorEastAsia" w:hAnsiTheme="majorEastAsia"/>
                          <w:color w:val="000000" w:themeColor="text1"/>
                          <w:sz w:val="16"/>
                          <w:szCs w:val="16"/>
                        </w:rPr>
                      </w:pPr>
                      <w:r w:rsidRPr="00393C0C">
                        <w:rPr>
                          <w:rFonts w:asciiTheme="majorEastAsia" w:eastAsiaTheme="majorEastAsia" w:hAnsiTheme="majorEastAsia" w:hint="eastAsia"/>
                          <w:color w:val="000000" w:themeColor="text1"/>
                          <w:sz w:val="16"/>
                          <w:szCs w:val="16"/>
                        </w:rPr>
                        <w:t>本部長の</w:t>
                      </w:r>
                    </w:p>
                    <w:p w14:paraId="606E7C7E" w14:textId="77777777" w:rsidR="006A5267" w:rsidRPr="00393C0C" w:rsidRDefault="006A5267" w:rsidP="005D372A">
                      <w:pPr>
                        <w:rPr>
                          <w:rFonts w:asciiTheme="majorEastAsia" w:eastAsiaTheme="majorEastAsia" w:hAnsiTheme="majorEastAsia"/>
                          <w:color w:val="000000" w:themeColor="text1"/>
                          <w:sz w:val="16"/>
                          <w:szCs w:val="16"/>
                        </w:rPr>
                      </w:pPr>
                      <w:r w:rsidRPr="00393C0C">
                        <w:rPr>
                          <w:rFonts w:asciiTheme="majorEastAsia" w:eastAsiaTheme="majorEastAsia" w:hAnsiTheme="majorEastAsia" w:hint="eastAsia"/>
                          <w:color w:val="000000" w:themeColor="text1"/>
                          <w:sz w:val="16"/>
                          <w:szCs w:val="16"/>
                        </w:rPr>
                        <w:t>代理順序</w:t>
                      </w:r>
                    </w:p>
                  </w:txbxContent>
                </v:textbox>
              </v:rect>
            </w:pict>
          </mc:Fallback>
        </mc:AlternateContent>
      </w:r>
      <w:r w:rsidRPr="001D6D10">
        <w:rPr>
          <w:noProof/>
        </w:rPr>
        <mc:AlternateContent>
          <mc:Choice Requires="wps">
            <w:drawing>
              <wp:anchor distT="0" distB="0" distL="114300" distR="114300" simplePos="0" relativeHeight="252986368" behindDoc="0" locked="0" layoutInCell="1" allowOverlap="1" wp14:anchorId="10692CDB" wp14:editId="53787094">
                <wp:simplePos x="0" y="0"/>
                <wp:positionH relativeFrom="column">
                  <wp:posOffset>635000</wp:posOffset>
                </wp:positionH>
                <wp:positionV relativeFrom="paragraph">
                  <wp:posOffset>197790</wp:posOffset>
                </wp:positionV>
                <wp:extent cx="1158240" cy="681355"/>
                <wp:effectExtent l="0" t="0" r="22860" b="23495"/>
                <wp:wrapNone/>
                <wp:docPr id="201" name="正方形/長方形 201"/>
                <wp:cNvGraphicFramePr/>
                <a:graphic xmlns:a="http://schemas.openxmlformats.org/drawingml/2006/main">
                  <a:graphicData uri="http://schemas.microsoft.com/office/word/2010/wordprocessingShape">
                    <wps:wsp>
                      <wps:cNvSpPr/>
                      <wps:spPr>
                        <a:xfrm>
                          <a:off x="0" y="0"/>
                          <a:ext cx="1158240" cy="681355"/>
                        </a:xfrm>
                        <a:prstGeom prst="rect">
                          <a:avLst/>
                        </a:prstGeom>
                        <a:solidFill>
                          <a:sysClr val="window" lastClr="FFFFFF"/>
                        </a:solidFill>
                        <a:ln w="9525" cap="flat" cmpd="sng" algn="ctr">
                          <a:solidFill>
                            <a:sysClr val="windowText" lastClr="000000"/>
                          </a:solidFill>
                          <a:prstDash val="solid"/>
                        </a:ln>
                        <a:effectLst/>
                      </wps:spPr>
                      <wps:txbx>
                        <w:txbxContent>
                          <w:p w14:paraId="7B7B9861" w14:textId="77777777" w:rsidR="006A5267" w:rsidRPr="007F6D0D" w:rsidRDefault="006A5267" w:rsidP="005D372A">
                            <w:pPr>
                              <w:spacing w:line="240" w:lineRule="exact"/>
                              <w:jc w:val="center"/>
                              <w:rPr>
                                <w:rFonts w:asciiTheme="majorEastAsia" w:eastAsiaTheme="majorEastAsia" w:hAnsiTheme="majorEastAsia"/>
                                <w:color w:val="000000" w:themeColor="text1"/>
                                <w:sz w:val="16"/>
                                <w:szCs w:val="16"/>
                              </w:rPr>
                            </w:pPr>
                            <w:r w:rsidRPr="007F6D0D">
                              <w:rPr>
                                <w:rFonts w:asciiTheme="majorEastAsia" w:eastAsiaTheme="majorEastAsia" w:hAnsiTheme="majorEastAsia" w:hint="eastAsia"/>
                                <w:color w:val="000000" w:themeColor="text1"/>
                                <w:sz w:val="16"/>
                                <w:szCs w:val="16"/>
                              </w:rPr>
                              <w:t>副本部長</w:t>
                            </w:r>
                          </w:p>
                          <w:p w14:paraId="4F91C184" w14:textId="77777777" w:rsidR="006A5267" w:rsidRDefault="006A5267" w:rsidP="005D372A">
                            <w:pPr>
                              <w:spacing w:line="240" w:lineRule="exact"/>
                              <w:jc w:val="center"/>
                              <w:rPr>
                                <w:color w:val="000000" w:themeColor="text1"/>
                                <w:sz w:val="16"/>
                                <w:szCs w:val="16"/>
                              </w:rPr>
                            </w:pPr>
                            <w:r w:rsidRPr="00A8725A">
                              <w:rPr>
                                <w:rFonts w:hint="eastAsia"/>
                                <w:color w:val="000000" w:themeColor="text1"/>
                                <w:sz w:val="16"/>
                                <w:szCs w:val="16"/>
                              </w:rPr>
                              <w:t>（</w:t>
                            </w:r>
                            <w:r>
                              <w:rPr>
                                <w:rFonts w:hint="eastAsia"/>
                                <w:color w:val="000000" w:themeColor="text1"/>
                                <w:sz w:val="16"/>
                                <w:szCs w:val="16"/>
                              </w:rPr>
                              <w:t>①～③副知事</w:t>
                            </w:r>
                            <w:r w:rsidRPr="00A8725A">
                              <w:rPr>
                                <w:rFonts w:hint="eastAsia"/>
                                <w:color w:val="000000" w:themeColor="text1"/>
                                <w:sz w:val="16"/>
                                <w:szCs w:val="16"/>
                              </w:rPr>
                              <w:t>）</w:t>
                            </w:r>
                          </w:p>
                          <w:p w14:paraId="25B9BD98" w14:textId="77777777" w:rsidR="006A5267" w:rsidRDefault="006A5267" w:rsidP="005D372A">
                            <w:pPr>
                              <w:spacing w:line="240" w:lineRule="exact"/>
                              <w:jc w:val="center"/>
                              <w:rPr>
                                <w:color w:val="000000" w:themeColor="text1"/>
                                <w:sz w:val="16"/>
                                <w:szCs w:val="16"/>
                              </w:rPr>
                            </w:pPr>
                            <w:r>
                              <w:rPr>
                                <w:rFonts w:hint="eastAsia"/>
                                <w:color w:val="000000" w:themeColor="text1"/>
                                <w:sz w:val="16"/>
                                <w:szCs w:val="16"/>
                              </w:rPr>
                              <w:t>（④危機管理監</w:t>
                            </w:r>
                          </w:p>
                          <w:p w14:paraId="61AB457C" w14:textId="77777777" w:rsidR="006A5267" w:rsidRPr="00A8725A" w:rsidRDefault="006A5267" w:rsidP="005D372A">
                            <w:pPr>
                              <w:spacing w:line="240" w:lineRule="exact"/>
                              <w:jc w:val="center"/>
                              <w:rPr>
                                <w:color w:val="000000" w:themeColor="text1"/>
                                <w:sz w:val="16"/>
                                <w:szCs w:val="16"/>
                              </w:rPr>
                            </w:pPr>
                            <w:r>
                              <w:rPr>
                                <w:rFonts w:hint="eastAsia"/>
                                <w:color w:val="000000" w:themeColor="text1"/>
                                <w:sz w:val="16"/>
                                <w:szCs w:val="16"/>
                              </w:rPr>
                              <w:t>（⑤危機管理室長</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a:graphicData>
                </a:graphic>
              </wp:anchor>
            </w:drawing>
          </mc:Choice>
          <mc:Fallback xmlns:w16cei="http://schemas.microsoft.com/office/word/2026/wordml/cei">
            <w:pict>
              <v:rect w14:anchorId="10692CDB" id="正方形/長方形 201" o:spid="_x0000_s1160" style="position:absolute;left:0;text-align:left;margin-left:50pt;margin-top:15.55pt;width:91.2pt;height:53.65pt;z-index:25298636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" fillcolor="window" strokecolor="windowText">
                <v:textbox inset="0,0,0,0">
                  <w:txbxContent>
                    <w:p w14:paraId="7B7B9861" w14:textId="77777777" w:rsidR="006A5267" w:rsidRPr="007F6D0D" w:rsidRDefault="006A5267" w:rsidP="005D372A">
                      <w:pPr>
                        <w:spacing w:line="240" w:lineRule="exact"/>
                        <w:jc w:val="center"/>
                        <w:rPr>
                          <w:rFonts w:asciiTheme="majorEastAsia" w:eastAsiaTheme="majorEastAsia" w:hAnsiTheme="majorEastAsia"/>
                          <w:color w:val="000000" w:themeColor="text1"/>
                          <w:sz w:val="16"/>
                          <w:szCs w:val="16"/>
                        </w:rPr>
                      </w:pPr>
                      <w:r w:rsidRPr="007F6D0D">
                        <w:rPr>
                          <w:rFonts w:asciiTheme="majorEastAsia" w:eastAsiaTheme="majorEastAsia" w:hAnsiTheme="majorEastAsia" w:hint="eastAsia"/>
                          <w:color w:val="000000" w:themeColor="text1"/>
                          <w:sz w:val="16"/>
                          <w:szCs w:val="16"/>
                        </w:rPr>
                        <w:t>副本部長</w:t>
                      </w:r>
                    </w:p>
                    <w:p w14:paraId="4F91C184" w14:textId="77777777" w:rsidR="006A5267" w:rsidRDefault="006A5267" w:rsidP="005D372A">
                      <w:pPr>
                        <w:spacing w:line="240" w:lineRule="exact"/>
                        <w:jc w:val="center"/>
                        <w:rPr>
                          <w:color w:val="000000" w:themeColor="text1"/>
                          <w:sz w:val="16"/>
                          <w:szCs w:val="16"/>
                        </w:rPr>
                      </w:pPr>
                      <w:r w:rsidRPr="00A8725A">
                        <w:rPr>
                          <w:rFonts w:hint="eastAsia"/>
                          <w:color w:val="000000" w:themeColor="text1"/>
                          <w:sz w:val="16"/>
                          <w:szCs w:val="16"/>
                        </w:rPr>
                        <w:t>（</w:t>
                      </w:r>
                      <w:r>
                        <w:rPr>
                          <w:rFonts w:hint="eastAsia"/>
                          <w:color w:val="000000" w:themeColor="text1"/>
                          <w:sz w:val="16"/>
                          <w:szCs w:val="16"/>
                        </w:rPr>
                        <w:t>①～③副知事</w:t>
                      </w:r>
                      <w:r w:rsidRPr="00A8725A">
                        <w:rPr>
                          <w:rFonts w:hint="eastAsia"/>
                          <w:color w:val="000000" w:themeColor="text1"/>
                          <w:sz w:val="16"/>
                          <w:szCs w:val="16"/>
                        </w:rPr>
                        <w:t>）</w:t>
                      </w:r>
                    </w:p>
                    <w:p w14:paraId="25B9BD98" w14:textId="77777777" w:rsidR="006A5267" w:rsidRDefault="006A5267" w:rsidP="005D372A">
                      <w:pPr>
                        <w:spacing w:line="240" w:lineRule="exact"/>
                        <w:jc w:val="center"/>
                        <w:rPr>
                          <w:color w:val="000000" w:themeColor="text1"/>
                          <w:sz w:val="16"/>
                          <w:szCs w:val="16"/>
                        </w:rPr>
                      </w:pPr>
                      <w:r>
                        <w:rPr>
                          <w:rFonts w:hint="eastAsia"/>
                          <w:color w:val="000000" w:themeColor="text1"/>
                          <w:sz w:val="16"/>
                          <w:szCs w:val="16"/>
                        </w:rPr>
                        <w:t>（④危機管理監</w:t>
                      </w:r>
                    </w:p>
                    <w:p w14:paraId="61AB457C" w14:textId="77777777" w:rsidR="006A5267" w:rsidRPr="00A8725A" w:rsidRDefault="006A5267" w:rsidP="005D372A">
                      <w:pPr>
                        <w:spacing w:line="240" w:lineRule="exact"/>
                        <w:jc w:val="center"/>
                        <w:rPr>
                          <w:color w:val="000000" w:themeColor="text1"/>
                          <w:sz w:val="16"/>
                          <w:szCs w:val="16"/>
                        </w:rPr>
                      </w:pPr>
                      <w:r>
                        <w:rPr>
                          <w:rFonts w:hint="eastAsia"/>
                          <w:color w:val="000000" w:themeColor="text1"/>
                          <w:sz w:val="16"/>
                          <w:szCs w:val="16"/>
                        </w:rPr>
                        <w:t>（⑤危機管理室長</w:t>
                      </w:r>
                    </w:p>
                  </w:txbxContent>
                </v:textbox>
              </v:rect>
            </w:pict>
          </mc:Fallback>
        </mc:AlternateContent>
      </w:r>
    </w:p>
    <w:p w14:paraId="69201E6C" w14:textId="77777777" w:rsidR="005D372A" w:rsidRPr="001D6D10" w:rsidRDefault="005D372A" w:rsidP="005D372A"/>
    <w:p w14:paraId="103C155D" w14:textId="77777777" w:rsidR="005D372A" w:rsidRPr="001D6D10" w:rsidRDefault="005D372A" w:rsidP="005D372A"/>
    <w:p w14:paraId="6C0C5B7C" w14:textId="77777777" w:rsidR="005D372A" w:rsidRPr="001D6D10" w:rsidRDefault="005D372A" w:rsidP="005D372A"/>
    <w:p w14:paraId="311EA7EC" w14:textId="77777777" w:rsidR="005D372A" w:rsidRPr="001D6D10" w:rsidRDefault="005D372A" w:rsidP="005D372A">
      <w:r w:rsidRPr="001D6D10">
        <w:rPr>
          <w:noProof/>
        </w:rPr>
        <mc:AlternateContent>
          <mc:Choice Requires="wps">
            <w:drawing>
              <wp:anchor distT="0" distB="0" distL="114300" distR="114300" simplePos="0" relativeHeight="252984320" behindDoc="0" locked="0" layoutInCell="1" allowOverlap="1" wp14:anchorId="1A5EF12F" wp14:editId="4E83B3EF">
                <wp:simplePos x="0" y="0"/>
                <wp:positionH relativeFrom="column">
                  <wp:posOffset>-181610</wp:posOffset>
                </wp:positionH>
                <wp:positionV relativeFrom="paragraph">
                  <wp:posOffset>99695</wp:posOffset>
                </wp:positionV>
                <wp:extent cx="2657475" cy="1667185"/>
                <wp:effectExtent l="0" t="0" r="28575" b="28575"/>
                <wp:wrapNone/>
                <wp:docPr id="199" name="正方形/長方形 199"/>
                <wp:cNvGraphicFramePr/>
                <a:graphic xmlns:a="http://schemas.openxmlformats.org/drawingml/2006/main">
                  <a:graphicData uri="http://schemas.microsoft.com/office/word/2010/wordprocessingShape">
                    <wps:wsp>
                      <wps:cNvSpPr/>
                      <wps:spPr>
                        <a:xfrm>
                          <a:off x="0" y="0"/>
                          <a:ext cx="2657475" cy="1667185"/>
                        </a:xfrm>
                        <a:prstGeom prst="rect">
                          <a:avLst/>
                        </a:prstGeom>
                        <a:solidFill>
                          <a:sysClr val="window" lastClr="FFFFFF"/>
                        </a:solidFill>
                        <a:ln w="9525" cap="flat" cmpd="sng" algn="ctr">
                          <a:solidFill>
                            <a:sysClr val="windowText" lastClr="000000"/>
                          </a:solidFill>
                          <a:prstDash val="solid"/>
                        </a:ln>
                        <a:effectLst/>
                      </wps:spPr>
                      <wps:txbx>
                        <w:txbxContent>
                          <w:p w14:paraId="40688A52" w14:textId="77777777" w:rsidR="006A5267" w:rsidRDefault="006A5267" w:rsidP="005D372A">
                            <w:pPr>
                              <w:spacing w:line="220" w:lineRule="exact"/>
                              <w:ind w:firstLineChars="300" w:firstLine="483"/>
                              <w:rPr>
                                <w:color w:val="000000" w:themeColor="text1"/>
                                <w:sz w:val="16"/>
                                <w:szCs w:val="16"/>
                              </w:rPr>
                            </w:pPr>
                            <w:r>
                              <w:rPr>
                                <w:rFonts w:hint="eastAsia"/>
                                <w:color w:val="000000" w:themeColor="text1"/>
                                <w:sz w:val="16"/>
                                <w:szCs w:val="16"/>
                              </w:rPr>
                              <w:t>教育長</w:t>
                            </w:r>
                          </w:p>
                          <w:p w14:paraId="058F4988" w14:textId="77777777" w:rsidR="006A5267" w:rsidRDefault="006A5267" w:rsidP="005D372A">
                            <w:pPr>
                              <w:spacing w:line="220" w:lineRule="exact"/>
                              <w:ind w:firstLineChars="300" w:firstLine="483"/>
                              <w:rPr>
                                <w:color w:val="000000" w:themeColor="text1"/>
                                <w:sz w:val="16"/>
                                <w:szCs w:val="16"/>
                              </w:rPr>
                            </w:pPr>
                            <w:r>
                              <w:rPr>
                                <w:rFonts w:hint="eastAsia"/>
                                <w:color w:val="000000" w:themeColor="text1"/>
                                <w:sz w:val="16"/>
                                <w:szCs w:val="16"/>
                              </w:rPr>
                              <w:t>会計管理者</w:t>
                            </w:r>
                          </w:p>
                          <w:p w14:paraId="65049370" w14:textId="77777777" w:rsidR="006A5267" w:rsidRDefault="006A5267" w:rsidP="005D372A">
                            <w:pPr>
                              <w:spacing w:line="220" w:lineRule="exact"/>
                              <w:ind w:firstLineChars="300" w:firstLine="483"/>
                              <w:rPr>
                                <w:color w:val="000000" w:themeColor="text1"/>
                                <w:sz w:val="16"/>
                                <w:szCs w:val="16"/>
                              </w:rPr>
                            </w:pPr>
                            <w:r w:rsidRPr="00806B54">
                              <w:rPr>
                                <w:rFonts w:hint="eastAsia"/>
                                <w:color w:val="000000" w:themeColor="text1"/>
                                <w:sz w:val="16"/>
                                <w:szCs w:val="16"/>
                              </w:rPr>
                              <w:t>大阪港湾局長</w:t>
                            </w:r>
                          </w:p>
                          <w:p w14:paraId="7B990FE4" w14:textId="77777777" w:rsidR="006A5267" w:rsidRPr="00806B54" w:rsidRDefault="006A5267" w:rsidP="005D372A">
                            <w:pPr>
                              <w:spacing w:line="220" w:lineRule="exact"/>
                              <w:ind w:firstLineChars="300" w:firstLine="483"/>
                              <w:rPr>
                                <w:color w:val="000000" w:themeColor="text1"/>
                                <w:sz w:val="16"/>
                                <w:szCs w:val="16"/>
                              </w:rPr>
                            </w:pPr>
                            <w:r>
                              <w:rPr>
                                <w:rFonts w:hint="eastAsia"/>
                                <w:color w:val="000000" w:themeColor="text1"/>
                                <w:sz w:val="16"/>
                                <w:szCs w:val="16"/>
                              </w:rPr>
                              <w:t>大阪都市計画</w:t>
                            </w:r>
                            <w:r>
                              <w:rPr>
                                <w:color w:val="000000" w:themeColor="text1"/>
                                <w:sz w:val="16"/>
                                <w:szCs w:val="16"/>
                              </w:rPr>
                              <w:t>局長</w:t>
                            </w:r>
                          </w:p>
                          <w:p w14:paraId="3A03A6B9" w14:textId="77777777" w:rsidR="006A5267" w:rsidRPr="00806B54" w:rsidRDefault="006A5267" w:rsidP="005D372A">
                            <w:pPr>
                              <w:spacing w:line="220" w:lineRule="exact"/>
                              <w:ind w:firstLineChars="300" w:firstLine="483"/>
                              <w:rPr>
                                <w:color w:val="000000" w:themeColor="text1"/>
                                <w:sz w:val="16"/>
                                <w:szCs w:val="16"/>
                              </w:rPr>
                            </w:pPr>
                            <w:r w:rsidRPr="00806B54">
                              <w:rPr>
                                <w:rFonts w:hint="eastAsia"/>
                                <w:color w:val="000000" w:themeColor="text1"/>
                                <w:sz w:val="16"/>
                                <w:szCs w:val="16"/>
                              </w:rPr>
                              <w:t>都市整備部長</w:t>
                            </w:r>
                          </w:p>
                          <w:p w14:paraId="391FDBA7" w14:textId="77777777" w:rsidR="006A5267" w:rsidRPr="00806B54" w:rsidRDefault="006A5267" w:rsidP="005D372A">
                            <w:pPr>
                              <w:spacing w:line="220" w:lineRule="exact"/>
                              <w:ind w:firstLineChars="300" w:firstLine="483"/>
                              <w:rPr>
                                <w:color w:val="000000" w:themeColor="text1"/>
                                <w:sz w:val="16"/>
                                <w:szCs w:val="16"/>
                              </w:rPr>
                            </w:pPr>
                            <w:r w:rsidRPr="00806B54">
                              <w:rPr>
                                <w:rFonts w:hint="eastAsia"/>
                                <w:color w:val="000000" w:themeColor="text1"/>
                                <w:sz w:val="16"/>
                                <w:szCs w:val="16"/>
                              </w:rPr>
                              <w:t>環境農林水産部長</w:t>
                            </w:r>
                          </w:p>
                          <w:p w14:paraId="163A6458" w14:textId="77777777" w:rsidR="006A5267" w:rsidRPr="00806B54" w:rsidRDefault="006A5267" w:rsidP="005D372A">
                            <w:pPr>
                              <w:spacing w:line="220" w:lineRule="exact"/>
                              <w:ind w:firstLineChars="200" w:firstLine="322"/>
                              <w:rPr>
                                <w:color w:val="000000" w:themeColor="text1"/>
                                <w:sz w:val="16"/>
                                <w:szCs w:val="16"/>
                              </w:rPr>
                            </w:pPr>
                            <w:r w:rsidRPr="00806B54">
                              <w:rPr>
                                <w:rFonts w:hint="eastAsia"/>
                                <w:color w:val="000000" w:themeColor="text1"/>
                                <w:sz w:val="16"/>
                                <w:szCs w:val="16"/>
                              </w:rPr>
                              <w:t xml:space="preserve">　商工労働部長</w:t>
                            </w:r>
                          </w:p>
                          <w:p w14:paraId="5928532B" w14:textId="77777777" w:rsidR="006A5267" w:rsidRPr="00806B54" w:rsidRDefault="006A5267" w:rsidP="005D372A">
                            <w:pPr>
                              <w:spacing w:line="220" w:lineRule="exact"/>
                              <w:ind w:firstLineChars="200" w:firstLine="322"/>
                              <w:rPr>
                                <w:color w:val="000000" w:themeColor="text1"/>
                                <w:sz w:val="16"/>
                                <w:szCs w:val="16"/>
                              </w:rPr>
                            </w:pPr>
                            <w:r w:rsidRPr="00806B54">
                              <w:rPr>
                                <w:rFonts w:hint="eastAsia"/>
                                <w:color w:val="000000" w:themeColor="text1"/>
                                <w:sz w:val="16"/>
                                <w:szCs w:val="16"/>
                              </w:rPr>
                              <w:t xml:space="preserve">　健康医療部長</w:t>
                            </w:r>
                          </w:p>
                          <w:p w14:paraId="7B0B723B" w14:textId="77777777" w:rsidR="006A5267" w:rsidRPr="00806B54" w:rsidRDefault="006A5267" w:rsidP="005D372A">
                            <w:pPr>
                              <w:spacing w:line="220" w:lineRule="exact"/>
                              <w:ind w:firstLineChars="200" w:firstLine="322"/>
                              <w:rPr>
                                <w:color w:val="000000" w:themeColor="text1"/>
                                <w:sz w:val="16"/>
                                <w:szCs w:val="16"/>
                              </w:rPr>
                            </w:pPr>
                            <w:r w:rsidRPr="00806B54">
                              <w:rPr>
                                <w:rFonts w:hint="eastAsia"/>
                                <w:color w:val="000000" w:themeColor="text1"/>
                                <w:sz w:val="16"/>
                                <w:szCs w:val="16"/>
                              </w:rPr>
                              <w:t xml:space="preserve">　福祉部長</w:t>
                            </w:r>
                          </w:p>
                          <w:p w14:paraId="012A4AEE" w14:textId="77777777" w:rsidR="006A5267" w:rsidRPr="00806B54" w:rsidRDefault="006A5267" w:rsidP="005D372A">
                            <w:pPr>
                              <w:spacing w:line="220" w:lineRule="exact"/>
                              <w:ind w:firstLineChars="200" w:firstLine="322"/>
                              <w:rPr>
                                <w:color w:val="000000" w:themeColor="text1"/>
                                <w:sz w:val="16"/>
                                <w:szCs w:val="16"/>
                              </w:rPr>
                            </w:pPr>
                            <w:r w:rsidRPr="00806B54">
                              <w:rPr>
                                <w:rFonts w:hint="eastAsia"/>
                                <w:color w:val="000000" w:themeColor="text1"/>
                                <w:sz w:val="16"/>
                                <w:szCs w:val="16"/>
                              </w:rPr>
                              <w:t xml:space="preserve">　</w:t>
                            </w:r>
                            <w:r w:rsidRPr="00806B54">
                              <w:rPr>
                                <w:rFonts w:hint="eastAsia"/>
                                <w:color w:val="000000" w:themeColor="text1"/>
                                <w:sz w:val="16"/>
                                <w:szCs w:val="16"/>
                              </w:rPr>
                              <w:t>IR</w:t>
                            </w:r>
                            <w:r w:rsidRPr="00806B54">
                              <w:rPr>
                                <w:rFonts w:hint="eastAsia"/>
                                <w:color w:val="000000" w:themeColor="text1"/>
                                <w:sz w:val="16"/>
                                <w:szCs w:val="16"/>
                              </w:rPr>
                              <w:t>推進局長</w:t>
                            </w:r>
                          </w:p>
                          <w:p w14:paraId="4E894BED" w14:textId="77777777" w:rsidR="006A5267" w:rsidRPr="00806B54" w:rsidRDefault="006A5267" w:rsidP="005D372A">
                            <w:pPr>
                              <w:spacing w:line="220" w:lineRule="exact"/>
                              <w:ind w:firstLineChars="300" w:firstLine="483"/>
                              <w:rPr>
                                <w:color w:val="000000" w:themeColor="text1"/>
                                <w:sz w:val="16"/>
                                <w:szCs w:val="16"/>
                              </w:rPr>
                            </w:pPr>
                            <w:r w:rsidRPr="00806B54">
                              <w:rPr>
                                <w:rFonts w:hint="eastAsia"/>
                                <w:color w:val="000000" w:themeColor="text1"/>
                                <w:sz w:val="16"/>
                                <w:szCs w:val="16"/>
                              </w:rPr>
                              <w:t>府民文化部長</w:t>
                            </w:r>
                          </w:p>
                          <w:p w14:paraId="0432972C" w14:textId="77777777" w:rsidR="006A5267" w:rsidRPr="00806B54" w:rsidRDefault="006A5267" w:rsidP="005D372A">
                            <w:pPr>
                              <w:spacing w:line="220" w:lineRule="exact"/>
                              <w:ind w:firstLineChars="300" w:firstLine="423"/>
                              <w:rPr>
                                <w:color w:val="000000" w:themeColor="text1"/>
                                <w:sz w:val="14"/>
                                <w:szCs w:val="14"/>
                              </w:rPr>
                            </w:pPr>
                            <w:r w:rsidRPr="00806B54">
                              <w:rPr>
                                <w:rFonts w:hint="eastAsia"/>
                                <w:color w:val="000000" w:themeColor="text1"/>
                                <w:sz w:val="14"/>
                                <w:szCs w:val="14"/>
                              </w:rPr>
                              <w:t xml:space="preserve"> </w:t>
                            </w:r>
                            <w:r w:rsidRPr="00806B54">
                              <w:rPr>
                                <w:rFonts w:hint="eastAsia"/>
                                <w:color w:val="000000" w:themeColor="text1"/>
                                <w:sz w:val="14"/>
                                <w:szCs w:val="14"/>
                              </w:rPr>
                              <w:t>スマートシティ戦略部長</w:t>
                            </w:r>
                          </w:p>
                          <w:p w14:paraId="23DE2A49" w14:textId="77777777" w:rsidR="006A5267" w:rsidRDefault="006A5267" w:rsidP="005D372A">
                            <w:pPr>
                              <w:spacing w:line="220" w:lineRule="exact"/>
                              <w:ind w:firstLineChars="300" w:firstLine="483"/>
                              <w:rPr>
                                <w:color w:val="000000" w:themeColor="text1"/>
                                <w:sz w:val="16"/>
                                <w:szCs w:val="16"/>
                              </w:rPr>
                            </w:pPr>
                            <w:r w:rsidRPr="00806B54">
                              <w:rPr>
                                <w:rFonts w:hint="eastAsia"/>
                                <w:color w:val="000000" w:themeColor="text1"/>
                                <w:sz w:val="16"/>
                                <w:szCs w:val="16"/>
                              </w:rPr>
                              <w:t>財務部長</w:t>
                            </w:r>
                          </w:p>
                          <w:p w14:paraId="1D08E7F2" w14:textId="77777777" w:rsidR="006A5267" w:rsidRDefault="006A5267" w:rsidP="005D372A">
                            <w:pPr>
                              <w:spacing w:line="220" w:lineRule="exact"/>
                              <w:ind w:firstLineChars="300" w:firstLine="483"/>
                              <w:rPr>
                                <w:color w:val="000000" w:themeColor="text1"/>
                                <w:sz w:val="16"/>
                                <w:szCs w:val="16"/>
                              </w:rPr>
                            </w:pPr>
                            <w:r>
                              <w:rPr>
                                <w:rFonts w:hint="eastAsia"/>
                                <w:color w:val="000000" w:themeColor="text1"/>
                                <w:sz w:val="16"/>
                                <w:szCs w:val="16"/>
                              </w:rPr>
                              <w:t>総務部長</w:t>
                            </w:r>
                          </w:p>
                          <w:p w14:paraId="79B6F5F1" w14:textId="77777777" w:rsidR="006A5267" w:rsidRDefault="006A5267" w:rsidP="005D372A">
                            <w:pPr>
                              <w:spacing w:line="220" w:lineRule="exact"/>
                              <w:ind w:firstLineChars="300" w:firstLine="483"/>
                              <w:rPr>
                                <w:color w:val="000000" w:themeColor="text1"/>
                                <w:sz w:val="16"/>
                                <w:szCs w:val="16"/>
                              </w:rPr>
                            </w:pPr>
                            <w:r>
                              <w:rPr>
                                <w:rFonts w:hint="eastAsia"/>
                                <w:color w:val="000000" w:themeColor="text1"/>
                                <w:sz w:val="16"/>
                                <w:szCs w:val="16"/>
                              </w:rPr>
                              <w:t>危機管理室長</w:t>
                            </w:r>
                          </w:p>
                          <w:p w14:paraId="7B06263E" w14:textId="77777777" w:rsidR="006A5267" w:rsidRDefault="006A5267" w:rsidP="005D372A">
                            <w:pPr>
                              <w:spacing w:line="220" w:lineRule="exact"/>
                              <w:ind w:firstLineChars="300" w:firstLine="483"/>
                              <w:rPr>
                                <w:color w:val="000000" w:themeColor="text1"/>
                                <w:sz w:val="16"/>
                                <w:szCs w:val="16"/>
                              </w:rPr>
                            </w:pPr>
                            <w:r>
                              <w:rPr>
                                <w:rFonts w:hint="eastAsia"/>
                                <w:color w:val="000000" w:themeColor="text1"/>
                                <w:sz w:val="16"/>
                                <w:szCs w:val="16"/>
                              </w:rPr>
                              <w:t>報道監</w:t>
                            </w:r>
                          </w:p>
                          <w:p w14:paraId="35F616EE" w14:textId="77777777" w:rsidR="006A5267" w:rsidRPr="00A8725A" w:rsidRDefault="006A5267" w:rsidP="005D372A">
                            <w:pPr>
                              <w:spacing w:line="220" w:lineRule="exact"/>
                              <w:ind w:firstLineChars="300" w:firstLine="483"/>
                              <w:rPr>
                                <w:color w:val="000000" w:themeColor="text1"/>
                                <w:sz w:val="16"/>
                                <w:szCs w:val="16"/>
                              </w:rPr>
                            </w:pPr>
                            <w:r>
                              <w:rPr>
                                <w:rFonts w:hint="eastAsia"/>
                                <w:color w:val="000000" w:themeColor="text1"/>
                                <w:sz w:val="16"/>
                                <w:szCs w:val="16"/>
                              </w:rPr>
                              <w:t>政策企画部長</w:t>
                            </w:r>
                          </w:p>
                        </w:txbxContent>
                      </wps:txbx>
                      <wps:bodyPr rot="0" spcFirstLastPara="0" vertOverflow="overflow" horzOverflow="overflow" vert="eaVert" wrap="square" lIns="0" tIns="0" rIns="0" bIns="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rect w14:anchorId="1A5EF12F" id="正方形/長方形 199" o:spid="_x0000_s1161" style="position:absolute;left:0;text-align:left;margin-left:-14.3pt;margin-top:7.85pt;width:209.25pt;height:131.25pt;z-index:2529843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" fillcolor="window" strokecolor="windowText">
                <v:textbox style="layout-flow:vertical-ideographic" inset="0,0,0,0">
                  <w:txbxContent>
                    <w:p w14:paraId="40688A52" w14:textId="77777777" w:rsidR="006A5267" w:rsidRDefault="006A5267" w:rsidP="005D372A">
                      <w:pPr>
                        <w:spacing w:line="220" w:lineRule="exact"/>
                        <w:ind w:firstLineChars="300" w:firstLine="483"/>
                        <w:rPr>
                          <w:color w:val="000000" w:themeColor="text1"/>
                          <w:sz w:val="16"/>
                          <w:szCs w:val="16"/>
                        </w:rPr>
                      </w:pPr>
                      <w:r>
                        <w:rPr>
                          <w:rFonts w:hint="eastAsia"/>
                          <w:color w:val="000000" w:themeColor="text1"/>
                          <w:sz w:val="16"/>
                          <w:szCs w:val="16"/>
                        </w:rPr>
                        <w:t>教育長</w:t>
                      </w:r>
                    </w:p>
                    <w:p w14:paraId="058F4988" w14:textId="77777777" w:rsidR="006A5267" w:rsidRDefault="006A5267" w:rsidP="005D372A">
                      <w:pPr>
                        <w:spacing w:line="220" w:lineRule="exact"/>
                        <w:ind w:firstLineChars="300" w:firstLine="483"/>
                        <w:rPr>
                          <w:color w:val="000000" w:themeColor="text1"/>
                          <w:sz w:val="16"/>
                          <w:szCs w:val="16"/>
                        </w:rPr>
                      </w:pPr>
                      <w:r>
                        <w:rPr>
                          <w:rFonts w:hint="eastAsia"/>
                          <w:color w:val="000000" w:themeColor="text1"/>
                          <w:sz w:val="16"/>
                          <w:szCs w:val="16"/>
                        </w:rPr>
                        <w:t>会計管理者</w:t>
                      </w:r>
                    </w:p>
                    <w:p w14:paraId="65049370" w14:textId="77777777" w:rsidR="006A5267" w:rsidRDefault="006A5267" w:rsidP="005D372A">
                      <w:pPr>
                        <w:spacing w:line="220" w:lineRule="exact"/>
                        <w:ind w:firstLineChars="300" w:firstLine="483"/>
                        <w:rPr>
                          <w:color w:val="000000" w:themeColor="text1"/>
                          <w:sz w:val="16"/>
                          <w:szCs w:val="16"/>
                        </w:rPr>
                      </w:pPr>
                      <w:r w:rsidRPr="00806B54">
                        <w:rPr>
                          <w:rFonts w:hint="eastAsia"/>
                          <w:color w:val="000000" w:themeColor="text1"/>
                          <w:sz w:val="16"/>
                          <w:szCs w:val="16"/>
                        </w:rPr>
                        <w:t>大阪港湾局長</w:t>
                      </w:r>
                    </w:p>
                    <w:p w14:paraId="7B990FE4" w14:textId="77777777" w:rsidR="006A5267" w:rsidRPr="00806B54" w:rsidRDefault="006A5267" w:rsidP="005D372A">
                      <w:pPr>
                        <w:spacing w:line="220" w:lineRule="exact"/>
                        <w:ind w:firstLineChars="300" w:firstLine="483"/>
                        <w:rPr>
                          <w:color w:val="000000" w:themeColor="text1"/>
                          <w:sz w:val="16"/>
                          <w:szCs w:val="16"/>
                        </w:rPr>
                      </w:pPr>
                      <w:r>
                        <w:rPr>
                          <w:rFonts w:hint="eastAsia"/>
                          <w:color w:val="000000" w:themeColor="text1"/>
                          <w:sz w:val="16"/>
                          <w:szCs w:val="16"/>
                        </w:rPr>
                        <w:t>大阪都市計画</w:t>
                      </w:r>
                      <w:r>
                        <w:rPr>
                          <w:color w:val="000000" w:themeColor="text1"/>
                          <w:sz w:val="16"/>
                          <w:szCs w:val="16"/>
                        </w:rPr>
                        <w:t>局長</w:t>
                      </w:r>
                    </w:p>
                    <w:p w14:paraId="3A03A6B9" w14:textId="77777777" w:rsidR="006A5267" w:rsidRPr="00806B54" w:rsidRDefault="006A5267" w:rsidP="005D372A">
                      <w:pPr>
                        <w:spacing w:line="220" w:lineRule="exact"/>
                        <w:ind w:firstLineChars="300" w:firstLine="483"/>
                        <w:rPr>
                          <w:color w:val="000000" w:themeColor="text1"/>
                          <w:sz w:val="16"/>
                          <w:szCs w:val="16"/>
                        </w:rPr>
                      </w:pPr>
                      <w:r w:rsidRPr="00806B54">
                        <w:rPr>
                          <w:rFonts w:hint="eastAsia"/>
                          <w:color w:val="000000" w:themeColor="text1"/>
                          <w:sz w:val="16"/>
                          <w:szCs w:val="16"/>
                        </w:rPr>
                        <w:t>都市整備部長</w:t>
                      </w:r>
                    </w:p>
                    <w:p w14:paraId="391FDBA7" w14:textId="77777777" w:rsidR="006A5267" w:rsidRPr="00806B54" w:rsidRDefault="006A5267" w:rsidP="005D372A">
                      <w:pPr>
                        <w:spacing w:line="220" w:lineRule="exact"/>
                        <w:ind w:firstLineChars="300" w:firstLine="483"/>
                        <w:rPr>
                          <w:color w:val="000000" w:themeColor="text1"/>
                          <w:sz w:val="16"/>
                          <w:szCs w:val="16"/>
                        </w:rPr>
                      </w:pPr>
                      <w:r w:rsidRPr="00806B54">
                        <w:rPr>
                          <w:rFonts w:hint="eastAsia"/>
                          <w:color w:val="000000" w:themeColor="text1"/>
                          <w:sz w:val="16"/>
                          <w:szCs w:val="16"/>
                        </w:rPr>
                        <w:t>環境農林水産部長</w:t>
                      </w:r>
                    </w:p>
                    <w:p w14:paraId="163A6458" w14:textId="77777777" w:rsidR="006A5267" w:rsidRPr="00806B54" w:rsidRDefault="006A5267" w:rsidP="005D372A">
                      <w:pPr>
                        <w:spacing w:line="220" w:lineRule="exact"/>
                        <w:ind w:firstLineChars="200" w:firstLine="322"/>
                        <w:rPr>
                          <w:color w:val="000000" w:themeColor="text1"/>
                          <w:sz w:val="16"/>
                          <w:szCs w:val="16"/>
                        </w:rPr>
                      </w:pPr>
                      <w:r w:rsidRPr="00806B54">
                        <w:rPr>
                          <w:rFonts w:hint="eastAsia"/>
                          <w:color w:val="000000" w:themeColor="text1"/>
                          <w:sz w:val="16"/>
                          <w:szCs w:val="16"/>
                        </w:rPr>
                        <w:t xml:space="preserve">　商工労働部長</w:t>
                      </w:r>
                    </w:p>
                    <w:p w14:paraId="5928532B" w14:textId="77777777" w:rsidR="006A5267" w:rsidRPr="00806B54" w:rsidRDefault="006A5267" w:rsidP="005D372A">
                      <w:pPr>
                        <w:spacing w:line="220" w:lineRule="exact"/>
                        <w:ind w:firstLineChars="200" w:firstLine="322"/>
                        <w:rPr>
                          <w:color w:val="000000" w:themeColor="text1"/>
                          <w:sz w:val="16"/>
                          <w:szCs w:val="16"/>
                        </w:rPr>
                      </w:pPr>
                      <w:r w:rsidRPr="00806B54">
                        <w:rPr>
                          <w:rFonts w:hint="eastAsia"/>
                          <w:color w:val="000000" w:themeColor="text1"/>
                          <w:sz w:val="16"/>
                          <w:szCs w:val="16"/>
                        </w:rPr>
                        <w:t xml:space="preserve">　健康医療部長</w:t>
                      </w:r>
                    </w:p>
                    <w:p w14:paraId="7B0B723B" w14:textId="77777777" w:rsidR="006A5267" w:rsidRPr="00806B54" w:rsidRDefault="006A5267" w:rsidP="005D372A">
                      <w:pPr>
                        <w:spacing w:line="220" w:lineRule="exact"/>
                        <w:ind w:firstLineChars="200" w:firstLine="322"/>
                        <w:rPr>
                          <w:color w:val="000000" w:themeColor="text1"/>
                          <w:sz w:val="16"/>
                          <w:szCs w:val="16"/>
                        </w:rPr>
                      </w:pPr>
                      <w:r w:rsidRPr="00806B54">
                        <w:rPr>
                          <w:rFonts w:hint="eastAsia"/>
                          <w:color w:val="000000" w:themeColor="text1"/>
                          <w:sz w:val="16"/>
                          <w:szCs w:val="16"/>
                        </w:rPr>
                        <w:t xml:space="preserve">　福祉部長</w:t>
                      </w:r>
                    </w:p>
                    <w:p w14:paraId="012A4AEE" w14:textId="77777777" w:rsidR="006A5267" w:rsidRPr="00806B54" w:rsidRDefault="006A5267" w:rsidP="005D372A">
                      <w:pPr>
                        <w:spacing w:line="220" w:lineRule="exact"/>
                        <w:ind w:firstLineChars="200" w:firstLine="322"/>
                        <w:rPr>
                          <w:color w:val="000000" w:themeColor="text1"/>
                          <w:sz w:val="16"/>
                          <w:szCs w:val="16"/>
                        </w:rPr>
                      </w:pPr>
                      <w:r w:rsidRPr="00806B54">
                        <w:rPr>
                          <w:rFonts w:hint="eastAsia"/>
                          <w:color w:val="000000" w:themeColor="text1"/>
                          <w:sz w:val="16"/>
                          <w:szCs w:val="16"/>
                        </w:rPr>
                        <w:t xml:space="preserve">　</w:t>
                      </w:r>
                      <w:r w:rsidRPr="00806B54">
                        <w:rPr>
                          <w:rFonts w:hint="eastAsia"/>
                          <w:color w:val="000000" w:themeColor="text1"/>
                          <w:sz w:val="16"/>
                          <w:szCs w:val="16"/>
                        </w:rPr>
                        <w:t>IR</w:t>
                      </w:r>
                      <w:r w:rsidRPr="00806B54">
                        <w:rPr>
                          <w:rFonts w:hint="eastAsia"/>
                          <w:color w:val="000000" w:themeColor="text1"/>
                          <w:sz w:val="16"/>
                          <w:szCs w:val="16"/>
                        </w:rPr>
                        <w:t>推進局長</w:t>
                      </w:r>
                    </w:p>
                    <w:p w14:paraId="4E894BED" w14:textId="77777777" w:rsidR="006A5267" w:rsidRPr="00806B54" w:rsidRDefault="006A5267" w:rsidP="005D372A">
                      <w:pPr>
                        <w:spacing w:line="220" w:lineRule="exact"/>
                        <w:ind w:firstLineChars="300" w:firstLine="483"/>
                        <w:rPr>
                          <w:color w:val="000000" w:themeColor="text1"/>
                          <w:sz w:val="16"/>
                          <w:szCs w:val="16"/>
                        </w:rPr>
                      </w:pPr>
                      <w:r w:rsidRPr="00806B54">
                        <w:rPr>
                          <w:rFonts w:hint="eastAsia"/>
                          <w:color w:val="000000" w:themeColor="text1"/>
                          <w:sz w:val="16"/>
                          <w:szCs w:val="16"/>
                        </w:rPr>
                        <w:t>府民文化部長</w:t>
                      </w:r>
                    </w:p>
                    <w:p w14:paraId="0432972C" w14:textId="77777777" w:rsidR="006A5267" w:rsidRPr="00806B54" w:rsidRDefault="006A5267" w:rsidP="005D372A">
                      <w:pPr>
                        <w:spacing w:line="220" w:lineRule="exact"/>
                        <w:ind w:firstLineChars="300" w:firstLine="423"/>
                        <w:rPr>
                          <w:color w:val="000000" w:themeColor="text1"/>
                          <w:sz w:val="14"/>
                          <w:szCs w:val="14"/>
                        </w:rPr>
                      </w:pPr>
                      <w:r w:rsidRPr="00806B54">
                        <w:rPr>
                          <w:rFonts w:hint="eastAsia"/>
                          <w:color w:val="000000" w:themeColor="text1"/>
                          <w:sz w:val="14"/>
                          <w:szCs w:val="14"/>
                        </w:rPr>
                        <w:t xml:space="preserve"> </w:t>
                      </w:r>
                      <w:r w:rsidRPr="00806B54">
                        <w:rPr>
                          <w:rFonts w:hint="eastAsia"/>
                          <w:color w:val="000000" w:themeColor="text1"/>
                          <w:sz w:val="14"/>
                          <w:szCs w:val="14"/>
                        </w:rPr>
                        <w:t>スマートシティ戦略部長</w:t>
                      </w:r>
                    </w:p>
                    <w:p w14:paraId="23DE2A49" w14:textId="77777777" w:rsidR="006A5267" w:rsidRDefault="006A5267" w:rsidP="005D372A">
                      <w:pPr>
                        <w:spacing w:line="220" w:lineRule="exact"/>
                        <w:ind w:firstLineChars="300" w:firstLine="483"/>
                        <w:rPr>
                          <w:color w:val="000000" w:themeColor="text1"/>
                          <w:sz w:val="16"/>
                          <w:szCs w:val="16"/>
                        </w:rPr>
                      </w:pPr>
                      <w:r w:rsidRPr="00806B54">
                        <w:rPr>
                          <w:rFonts w:hint="eastAsia"/>
                          <w:color w:val="000000" w:themeColor="text1"/>
                          <w:sz w:val="16"/>
                          <w:szCs w:val="16"/>
                        </w:rPr>
                        <w:t>財務部長</w:t>
                      </w:r>
                    </w:p>
                    <w:p w14:paraId="1D08E7F2" w14:textId="77777777" w:rsidR="006A5267" w:rsidRDefault="006A5267" w:rsidP="005D372A">
                      <w:pPr>
                        <w:spacing w:line="220" w:lineRule="exact"/>
                        <w:ind w:firstLineChars="300" w:firstLine="483"/>
                        <w:rPr>
                          <w:color w:val="000000" w:themeColor="text1"/>
                          <w:sz w:val="16"/>
                          <w:szCs w:val="16"/>
                        </w:rPr>
                      </w:pPr>
                      <w:r>
                        <w:rPr>
                          <w:rFonts w:hint="eastAsia"/>
                          <w:color w:val="000000" w:themeColor="text1"/>
                          <w:sz w:val="16"/>
                          <w:szCs w:val="16"/>
                        </w:rPr>
                        <w:t>総務部長</w:t>
                      </w:r>
                    </w:p>
                    <w:p w14:paraId="79B6F5F1" w14:textId="77777777" w:rsidR="006A5267" w:rsidRDefault="006A5267" w:rsidP="005D372A">
                      <w:pPr>
                        <w:spacing w:line="220" w:lineRule="exact"/>
                        <w:ind w:firstLineChars="300" w:firstLine="483"/>
                        <w:rPr>
                          <w:color w:val="000000" w:themeColor="text1"/>
                          <w:sz w:val="16"/>
                          <w:szCs w:val="16"/>
                        </w:rPr>
                      </w:pPr>
                      <w:r>
                        <w:rPr>
                          <w:rFonts w:hint="eastAsia"/>
                          <w:color w:val="000000" w:themeColor="text1"/>
                          <w:sz w:val="16"/>
                          <w:szCs w:val="16"/>
                        </w:rPr>
                        <w:t>危機管理室長</w:t>
                      </w:r>
                    </w:p>
                    <w:p w14:paraId="7B06263E" w14:textId="77777777" w:rsidR="006A5267" w:rsidRDefault="006A5267" w:rsidP="005D372A">
                      <w:pPr>
                        <w:spacing w:line="220" w:lineRule="exact"/>
                        <w:ind w:firstLineChars="300" w:firstLine="483"/>
                        <w:rPr>
                          <w:color w:val="000000" w:themeColor="text1"/>
                          <w:sz w:val="16"/>
                          <w:szCs w:val="16"/>
                        </w:rPr>
                      </w:pPr>
                      <w:r>
                        <w:rPr>
                          <w:rFonts w:hint="eastAsia"/>
                          <w:color w:val="000000" w:themeColor="text1"/>
                          <w:sz w:val="16"/>
                          <w:szCs w:val="16"/>
                        </w:rPr>
                        <w:t>報道監</w:t>
                      </w:r>
                    </w:p>
                    <w:p w14:paraId="35F616EE" w14:textId="77777777" w:rsidR="006A5267" w:rsidRPr="00A8725A" w:rsidRDefault="006A5267" w:rsidP="005D372A">
                      <w:pPr>
                        <w:spacing w:line="220" w:lineRule="exact"/>
                        <w:ind w:firstLineChars="300" w:firstLine="483"/>
                        <w:rPr>
                          <w:color w:val="000000" w:themeColor="text1"/>
                          <w:sz w:val="16"/>
                          <w:szCs w:val="16"/>
                        </w:rPr>
                      </w:pPr>
                      <w:r>
                        <w:rPr>
                          <w:rFonts w:hint="eastAsia"/>
                          <w:color w:val="000000" w:themeColor="text1"/>
                          <w:sz w:val="16"/>
                          <w:szCs w:val="16"/>
                        </w:rPr>
                        <w:t>政策企画部長</w:t>
                      </w:r>
                    </w:p>
                  </w:txbxContent>
                </v:textbox>
              </v:rect>
            </w:pict>
          </mc:Fallback>
        </mc:AlternateContent>
      </w:r>
      <w:r w:rsidRPr="001D6D10">
        <w:rPr>
          <w:noProof/>
        </w:rPr>
        <mc:AlternateContent>
          <mc:Choice Requires="wps">
            <w:drawing>
              <wp:anchor distT="0" distB="0" distL="114300" distR="114300" simplePos="0" relativeHeight="252985344" behindDoc="0" locked="0" layoutInCell="1" allowOverlap="1" wp14:anchorId="7B72EC76" wp14:editId="2D9AAD52">
                <wp:simplePos x="0" y="0"/>
                <wp:positionH relativeFrom="column">
                  <wp:posOffset>969645</wp:posOffset>
                </wp:positionH>
                <wp:positionV relativeFrom="paragraph">
                  <wp:posOffset>137465</wp:posOffset>
                </wp:positionV>
                <wp:extent cx="502920" cy="229870"/>
                <wp:effectExtent l="0" t="0" r="11430" b="0"/>
                <wp:wrapNone/>
                <wp:docPr id="200" name="正方形/長方形 200"/>
                <wp:cNvGraphicFramePr/>
                <a:graphic xmlns:a="http://schemas.openxmlformats.org/drawingml/2006/main">
                  <a:graphicData uri="http://schemas.microsoft.com/office/word/2010/wordprocessingShape">
                    <wps:wsp>
                      <wps:cNvSpPr/>
                      <wps:spPr>
                        <a:xfrm>
                          <a:off x="0" y="0"/>
                          <a:ext cx="502920" cy="229870"/>
                        </a:xfrm>
                        <a:prstGeom prst="rect">
                          <a:avLst/>
                        </a:prstGeom>
                        <a:noFill/>
                        <a:ln w="9525" cap="flat" cmpd="sng" algn="ctr">
                          <a:noFill/>
                          <a:prstDash val="solid"/>
                        </a:ln>
                        <a:effectLst/>
                      </wps:spPr>
                      <wps:txbx>
                        <w:txbxContent>
                          <w:p w14:paraId="227E3B69" w14:textId="77777777" w:rsidR="006A5267" w:rsidRPr="00E9662B" w:rsidRDefault="006A5267" w:rsidP="005D372A">
                            <w:pPr>
                              <w:spacing w:line="240" w:lineRule="exact"/>
                              <w:jc w:val="center"/>
                              <w:rPr>
                                <w:rFonts w:asciiTheme="majorEastAsia" w:eastAsiaTheme="majorEastAsia" w:hAnsiTheme="majorEastAsia"/>
                                <w:color w:val="000000" w:themeColor="text1"/>
                                <w:sz w:val="16"/>
                                <w:szCs w:val="16"/>
                              </w:rPr>
                            </w:pPr>
                            <w:r>
                              <w:rPr>
                                <w:rFonts w:asciiTheme="majorEastAsia" w:eastAsiaTheme="majorEastAsia" w:hAnsiTheme="majorEastAsia" w:hint="eastAsia"/>
                                <w:color w:val="000000" w:themeColor="text1"/>
                                <w:sz w:val="16"/>
                                <w:szCs w:val="16"/>
                              </w:rPr>
                              <w:t>本部員</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a:graphicData>
                </a:graphic>
              </wp:anchor>
            </w:drawing>
          </mc:Choice>
          <mc:Fallback xmlns:w16cei="http://schemas.microsoft.com/office/word/2026/wordml/cei">
            <w:pict>
              <v:rect w14:anchorId="7B72EC76" id="正方形/長方形 200" o:spid="_x0000_s1162" style="position:absolute;left:0;text-align:left;margin-left:76.35pt;margin-top:10.8pt;width:39.6pt;height:18.1pt;z-index:25298534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" filled="f" stroked="f">
                <v:textbox inset="0,0,0,0">
                  <w:txbxContent>
                    <w:p w14:paraId="227E3B69" w14:textId="77777777" w:rsidR="006A5267" w:rsidRPr="00E9662B" w:rsidRDefault="006A5267" w:rsidP="005D372A">
                      <w:pPr>
                        <w:spacing w:line="240" w:lineRule="exact"/>
                        <w:jc w:val="center"/>
                        <w:rPr>
                          <w:rFonts w:asciiTheme="majorEastAsia" w:eastAsiaTheme="majorEastAsia" w:hAnsiTheme="majorEastAsia"/>
                          <w:color w:val="000000" w:themeColor="text1"/>
                          <w:sz w:val="16"/>
                          <w:szCs w:val="16"/>
                        </w:rPr>
                      </w:pPr>
                      <w:r>
                        <w:rPr>
                          <w:rFonts w:asciiTheme="majorEastAsia" w:eastAsiaTheme="majorEastAsia" w:hAnsiTheme="majorEastAsia" w:hint="eastAsia"/>
                          <w:color w:val="000000" w:themeColor="text1"/>
                          <w:sz w:val="16"/>
                          <w:szCs w:val="16"/>
                        </w:rPr>
                        <w:t>本部員</w:t>
                      </w:r>
                    </w:p>
                  </w:txbxContent>
                </v:textbox>
              </v:rect>
            </w:pict>
          </mc:Fallback>
        </mc:AlternateContent>
      </w:r>
      <w:r w:rsidRPr="001D6D10">
        <w:rPr>
          <w:noProof/>
        </w:rPr>
        <mc:AlternateContent>
          <mc:Choice Requires="wps">
            <w:drawing>
              <wp:anchor distT="0" distB="0" distL="114300" distR="114300" simplePos="0" relativeHeight="252952576" behindDoc="0" locked="0" layoutInCell="1" allowOverlap="1" wp14:anchorId="59A405F2" wp14:editId="21F7DFEF">
                <wp:simplePos x="0" y="0"/>
                <wp:positionH relativeFrom="column">
                  <wp:posOffset>2168595</wp:posOffset>
                </wp:positionH>
                <wp:positionV relativeFrom="paragraph">
                  <wp:posOffset>42953</wp:posOffset>
                </wp:positionV>
                <wp:extent cx="614617" cy="0"/>
                <wp:effectExtent l="0" t="0" r="14605" b="19050"/>
                <wp:wrapNone/>
                <wp:docPr id="184" name="直線コネクタ 184"/>
                <wp:cNvGraphicFramePr/>
                <a:graphic xmlns:a="http://schemas.openxmlformats.org/drawingml/2006/main">
                  <a:graphicData uri="http://schemas.microsoft.com/office/word/2010/wordprocessingShape">
                    <wps:wsp>
                      <wps:cNvCnPr/>
                      <wps:spPr>
                        <a:xfrm>
                          <a:off x="0" y="0"/>
                          <a:ext cx="614617" cy="0"/>
                        </a:xfrm>
                        <a:prstGeom prst="line">
                          <a:avLst/>
                        </a:prstGeom>
                        <a:noFill/>
                        <a:ln w="9525" cap="flat" cmpd="sng" algn="ctr">
                          <a:solidFill>
                            <a:sysClr val="windowText" lastClr="000000"/>
                          </a:solidFill>
                          <a:prstDash val="solid"/>
                        </a:ln>
                        <a:effectLst/>
                      </wps:spPr>
                      <wps:bodyPr/>
                    </wps:wsp>
                  </a:graphicData>
                </a:graphic>
              </wp:anchor>
            </w:drawing>
          </mc:Choice>
          <mc:Fallback xmlns:w16cei="http://schemas.microsoft.com/office/word/2026/wordml/cei">
            <w:pict>
              <v:line w14:anchorId="150109CA" id="直線コネクタ 184" o:spid="_x0000_s1026" style="position:absolute;left:0;text-align:left;z-index:252952576;visibility:visible;mso-wrap-style:square;mso-wrap-distance-left:9pt;mso-wrap-distance-top:0;mso-wrap-distance-right:9pt;mso-wrap-distance-bottom:0;mso-position-horizontal:absolute;mso-position-horizontal-relative:text;mso-position-vertical:absolute;mso-position-vertical-relative:text" from="170.75pt,3.4pt" to="219.15pt,3.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" strokecolor="windowText"/>
            </w:pict>
          </mc:Fallback>
        </mc:AlternateContent>
      </w:r>
    </w:p>
    <w:p w14:paraId="001CD697" w14:textId="77777777" w:rsidR="005D372A" w:rsidRPr="001D6D10" w:rsidRDefault="005D372A" w:rsidP="005D372A"/>
    <w:p w14:paraId="6D6107C4" w14:textId="77777777" w:rsidR="005D372A" w:rsidRPr="001D6D10" w:rsidRDefault="005D372A" w:rsidP="005D372A"/>
    <w:p w14:paraId="3E73CACA" w14:textId="77777777" w:rsidR="005D372A" w:rsidRPr="001D6D10" w:rsidRDefault="005D372A" w:rsidP="005D372A"/>
    <w:p w14:paraId="7B376E7D" w14:textId="77777777" w:rsidR="005D372A" w:rsidRPr="001D6D10" w:rsidRDefault="005D372A" w:rsidP="005D372A">
      <w:r w:rsidRPr="001D6D10">
        <w:rPr>
          <w:noProof/>
        </w:rPr>
        <mc:AlternateContent>
          <mc:Choice Requires="wps">
            <w:drawing>
              <wp:anchor distT="0" distB="0" distL="114300" distR="114300" simplePos="0" relativeHeight="253018112" behindDoc="0" locked="0" layoutInCell="1" allowOverlap="1" wp14:anchorId="7A8BED80" wp14:editId="3D568FB1">
                <wp:simplePos x="0" y="0"/>
                <wp:positionH relativeFrom="column">
                  <wp:posOffset>2713990</wp:posOffset>
                </wp:positionH>
                <wp:positionV relativeFrom="paragraph">
                  <wp:posOffset>41275</wp:posOffset>
                </wp:positionV>
                <wp:extent cx="1619250" cy="690245"/>
                <wp:effectExtent l="0" t="0" r="0" b="0"/>
                <wp:wrapNone/>
                <wp:docPr id="4301" name="正方形/長方形 4301"/>
                <wp:cNvGraphicFramePr/>
                <a:graphic xmlns:a="http://schemas.openxmlformats.org/drawingml/2006/main">
                  <a:graphicData uri="http://schemas.microsoft.com/office/word/2010/wordprocessingShape">
                    <wps:wsp>
                      <wps:cNvSpPr/>
                      <wps:spPr>
                        <a:xfrm>
                          <a:off x="0" y="0"/>
                          <a:ext cx="1619250" cy="690245"/>
                        </a:xfrm>
                        <a:prstGeom prst="rect">
                          <a:avLst/>
                        </a:prstGeom>
                        <a:noFill/>
                        <a:ln w="9525" cap="flat" cmpd="sng" algn="ctr">
                          <a:noFill/>
                          <a:prstDash val="solid"/>
                        </a:ln>
                        <a:effectLst/>
                      </wps:spPr>
                      <wps:txbx>
                        <w:txbxContent>
                          <w:p w14:paraId="7AA973E5" w14:textId="77777777" w:rsidR="006A5267" w:rsidRPr="00393C0C" w:rsidRDefault="006A5267" w:rsidP="005D372A">
                            <w:pPr>
                              <w:rPr>
                                <w:rFonts w:asciiTheme="majorEastAsia" w:eastAsiaTheme="majorEastAsia" w:hAnsiTheme="majorEastAsia"/>
                                <w:color w:val="000000" w:themeColor="text1"/>
                                <w:sz w:val="16"/>
                                <w:szCs w:val="16"/>
                              </w:rPr>
                            </w:pPr>
                            <w:r>
                              <w:rPr>
                                <w:rFonts w:asciiTheme="majorEastAsia" w:eastAsiaTheme="majorEastAsia" w:hAnsiTheme="majorEastAsia" w:hint="eastAsia"/>
                                <w:color w:val="000000" w:themeColor="text1"/>
                                <w:sz w:val="16"/>
                                <w:szCs w:val="16"/>
                              </w:rPr>
                              <w:t>（必要に応じて派遣を要請）</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rect w14:anchorId="7A8BED80" id="正方形/長方形 4301" o:spid="_x0000_s1163" style="position:absolute;left:0;text-align:left;margin-left:213.7pt;margin-top:3.25pt;width:127.5pt;height:54.35pt;z-index:2530181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" filled="f" stroked="f">
                <v:textbox inset="0,0,0,0">
                  <w:txbxContent>
                    <w:p w14:paraId="7AA973E5" w14:textId="77777777" w:rsidR="006A5267" w:rsidRPr="00393C0C" w:rsidRDefault="006A5267" w:rsidP="005D372A">
                      <w:pPr>
                        <w:rPr>
                          <w:rFonts w:asciiTheme="majorEastAsia" w:eastAsiaTheme="majorEastAsia" w:hAnsiTheme="majorEastAsia"/>
                          <w:color w:val="000000" w:themeColor="text1"/>
                          <w:sz w:val="16"/>
                          <w:szCs w:val="16"/>
                        </w:rPr>
                      </w:pPr>
                      <w:r>
                        <w:rPr>
                          <w:rFonts w:asciiTheme="majorEastAsia" w:eastAsiaTheme="majorEastAsia" w:hAnsiTheme="majorEastAsia" w:hint="eastAsia"/>
                          <w:color w:val="000000" w:themeColor="text1"/>
                          <w:sz w:val="16"/>
                          <w:szCs w:val="16"/>
                        </w:rPr>
                        <w:t>（必要に応じて派遣を要請）</w:t>
                      </w:r>
                    </w:p>
                  </w:txbxContent>
                </v:textbox>
              </v:rect>
            </w:pict>
          </mc:Fallback>
        </mc:AlternateContent>
      </w:r>
    </w:p>
    <w:p w14:paraId="189699B7" w14:textId="77777777" w:rsidR="005D372A" w:rsidRPr="001D6D10" w:rsidRDefault="005D372A" w:rsidP="005D372A"/>
    <w:p w14:paraId="6493AEF6" w14:textId="77777777" w:rsidR="005D372A" w:rsidRPr="001D6D10" w:rsidRDefault="005D372A" w:rsidP="005D372A">
      <w:r w:rsidRPr="001D6D10">
        <w:rPr>
          <w:noProof/>
        </w:rPr>
        <mc:AlternateContent>
          <mc:Choice Requires="wps">
            <w:drawing>
              <wp:anchor distT="0" distB="0" distL="114300" distR="114300" simplePos="0" relativeHeight="252988416" behindDoc="0" locked="0" layoutInCell="1" allowOverlap="1" wp14:anchorId="158E159F" wp14:editId="3CD35829">
                <wp:simplePos x="0" y="0"/>
                <wp:positionH relativeFrom="column">
                  <wp:posOffset>232071</wp:posOffset>
                </wp:positionH>
                <wp:positionV relativeFrom="paragraph">
                  <wp:posOffset>112114</wp:posOffset>
                </wp:positionV>
                <wp:extent cx="1931670" cy="262255"/>
                <wp:effectExtent l="0" t="0" r="11430" b="23495"/>
                <wp:wrapNone/>
                <wp:docPr id="161" name="正方形/長方形 161"/>
                <wp:cNvGraphicFramePr/>
                <a:graphic xmlns:a="http://schemas.openxmlformats.org/drawingml/2006/main">
                  <a:graphicData uri="http://schemas.microsoft.com/office/word/2010/wordprocessingShape">
                    <wps:wsp>
                      <wps:cNvSpPr/>
                      <wps:spPr>
                        <a:xfrm>
                          <a:off x="0" y="0"/>
                          <a:ext cx="1931670" cy="262255"/>
                        </a:xfrm>
                        <a:prstGeom prst="rect">
                          <a:avLst/>
                        </a:prstGeom>
                        <a:solidFill>
                          <a:sysClr val="window" lastClr="FFFFFF"/>
                        </a:solidFill>
                        <a:ln w="9525" cap="flat" cmpd="sng" algn="ctr">
                          <a:solidFill>
                            <a:sysClr val="windowText" lastClr="000000"/>
                          </a:solidFill>
                          <a:prstDash val="dash"/>
                        </a:ln>
                        <a:effectLst/>
                      </wps:spPr>
                      <wps:txbx>
                        <w:txbxContent>
                          <w:p w14:paraId="3408D1AF" w14:textId="77777777" w:rsidR="006A5267" w:rsidRPr="001142F1" w:rsidRDefault="006A5267" w:rsidP="005D372A">
                            <w:pPr>
                              <w:jc w:val="center"/>
                              <w:rPr>
                                <w:color w:val="000000" w:themeColor="text1"/>
                                <w:sz w:val="18"/>
                              </w:rPr>
                            </w:pPr>
                            <w:r>
                              <w:rPr>
                                <w:rFonts w:hint="eastAsia"/>
                                <w:color w:val="000000" w:themeColor="text1"/>
                                <w:sz w:val="18"/>
                              </w:rPr>
                              <w:t>災害警戒本部事務局</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rect w14:anchorId="158E159F" id="正方形/長方形 161" o:spid="_x0000_s1164" style="position:absolute;left:0;text-align:left;margin-left:18.25pt;margin-top:8.85pt;width:152.1pt;height:20.65pt;z-index:2529884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" fillcolor="window" strokecolor="windowText">
                <v:stroke dashstyle="dash"/>
                <v:textbox inset="0,0,0,0">
                  <w:txbxContent>
                    <w:p w14:paraId="3408D1AF" w14:textId="77777777" w:rsidR="006A5267" w:rsidRPr="001142F1" w:rsidRDefault="006A5267" w:rsidP="005D372A">
                      <w:pPr>
                        <w:jc w:val="center"/>
                        <w:rPr>
                          <w:color w:val="000000" w:themeColor="text1"/>
                          <w:sz w:val="18"/>
                        </w:rPr>
                      </w:pPr>
                      <w:r>
                        <w:rPr>
                          <w:rFonts w:hint="eastAsia"/>
                          <w:color w:val="000000" w:themeColor="text1"/>
                          <w:sz w:val="18"/>
                        </w:rPr>
                        <w:t>災害警戒本部事務局</w:t>
                      </w:r>
                    </w:p>
                  </w:txbxContent>
                </v:textbox>
              </v:rect>
            </w:pict>
          </mc:Fallback>
        </mc:AlternateContent>
      </w:r>
      <w:r w:rsidRPr="001D6D10">
        <w:rPr>
          <w:noProof/>
        </w:rPr>
        <mc:AlternateContent>
          <mc:Choice Requires="wps">
            <w:drawing>
              <wp:anchor distT="0" distB="0" distL="114300" distR="114300" simplePos="0" relativeHeight="253017088" behindDoc="0" locked="0" layoutInCell="1" allowOverlap="1" wp14:anchorId="64B5ECD1" wp14:editId="12E9F517">
                <wp:simplePos x="0" y="0"/>
                <wp:positionH relativeFrom="column">
                  <wp:posOffset>2692400</wp:posOffset>
                </wp:positionH>
                <wp:positionV relativeFrom="paragraph">
                  <wp:posOffset>24460</wp:posOffset>
                </wp:positionV>
                <wp:extent cx="1350010" cy="386080"/>
                <wp:effectExtent l="0" t="0" r="21590" b="13970"/>
                <wp:wrapNone/>
                <wp:docPr id="4308" name="正方形/長方形 4308"/>
                <wp:cNvGraphicFramePr/>
                <a:graphic xmlns:a="http://schemas.openxmlformats.org/drawingml/2006/main">
                  <a:graphicData uri="http://schemas.microsoft.com/office/word/2010/wordprocessingShape">
                    <wps:wsp>
                      <wps:cNvSpPr/>
                      <wps:spPr>
                        <a:xfrm>
                          <a:off x="0" y="0"/>
                          <a:ext cx="1350010" cy="386080"/>
                        </a:xfrm>
                        <a:prstGeom prst="rect">
                          <a:avLst/>
                        </a:prstGeom>
                        <a:solidFill>
                          <a:sysClr val="window" lastClr="FFFFFF"/>
                        </a:solidFill>
                        <a:ln w="9525" cap="flat" cmpd="sng" algn="ctr">
                          <a:solidFill>
                            <a:sysClr val="windowText" lastClr="000000"/>
                          </a:solidFill>
                          <a:prstDash val="solid"/>
                        </a:ln>
                        <a:effectLst/>
                      </wps:spPr>
                      <wps:txbx>
                        <w:txbxContent>
                          <w:p w14:paraId="11F7CD12" w14:textId="77777777" w:rsidR="006A5267" w:rsidRPr="0049553C" w:rsidRDefault="006A5267" w:rsidP="005D372A">
                            <w:pPr>
                              <w:spacing w:line="240" w:lineRule="exact"/>
                              <w:jc w:val="center"/>
                              <w:rPr>
                                <w:rFonts w:asciiTheme="majorEastAsia" w:eastAsiaTheme="majorEastAsia" w:hAnsiTheme="majorEastAsia"/>
                                <w:color w:val="000000" w:themeColor="text1"/>
                                <w:sz w:val="16"/>
                                <w:szCs w:val="16"/>
                              </w:rPr>
                            </w:pPr>
                            <w:r w:rsidRPr="0049553C">
                              <w:rPr>
                                <w:rFonts w:asciiTheme="majorEastAsia" w:eastAsiaTheme="majorEastAsia" w:hAnsiTheme="majorEastAsia" w:hint="eastAsia"/>
                                <w:color w:val="000000" w:themeColor="text1"/>
                                <w:sz w:val="16"/>
                                <w:szCs w:val="16"/>
                              </w:rPr>
                              <w:t>本部派遣員【リエゾン】</w:t>
                            </w:r>
                          </w:p>
                          <w:p w14:paraId="6A82E216" w14:textId="77777777" w:rsidR="006A5267" w:rsidRPr="0067572F" w:rsidRDefault="006A5267" w:rsidP="005D372A">
                            <w:pPr>
                              <w:spacing w:line="240" w:lineRule="exact"/>
                              <w:jc w:val="center"/>
                              <w:rPr>
                                <w:color w:val="000000" w:themeColor="text1"/>
                                <w:sz w:val="16"/>
                                <w:szCs w:val="16"/>
                              </w:rPr>
                            </w:pPr>
                            <w:r>
                              <w:rPr>
                                <w:rFonts w:hint="eastAsia"/>
                                <w:color w:val="000000" w:themeColor="text1"/>
                                <w:sz w:val="16"/>
                                <w:szCs w:val="16"/>
                              </w:rPr>
                              <w:t>（防災関係機関の職員等）</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rect w14:anchorId="64B5ECD1" id="正方形/長方形 4308" o:spid="_x0000_s1165" style="position:absolute;left:0;text-align:left;margin-left:212pt;margin-top:1.95pt;width:106.3pt;height:30.4pt;z-index:2530170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" fillcolor="window" strokecolor="windowText">
                <v:textbox inset="0,0,0,0">
                  <w:txbxContent>
                    <w:p w14:paraId="11F7CD12" w14:textId="77777777" w:rsidR="006A5267" w:rsidRPr="0049553C" w:rsidRDefault="006A5267" w:rsidP="005D372A">
                      <w:pPr>
                        <w:spacing w:line="240" w:lineRule="exact"/>
                        <w:jc w:val="center"/>
                        <w:rPr>
                          <w:rFonts w:asciiTheme="majorEastAsia" w:eastAsiaTheme="majorEastAsia" w:hAnsiTheme="majorEastAsia"/>
                          <w:color w:val="000000" w:themeColor="text1"/>
                          <w:sz w:val="16"/>
                          <w:szCs w:val="16"/>
                        </w:rPr>
                      </w:pPr>
                      <w:r w:rsidRPr="0049553C">
                        <w:rPr>
                          <w:rFonts w:asciiTheme="majorEastAsia" w:eastAsiaTheme="majorEastAsia" w:hAnsiTheme="majorEastAsia" w:hint="eastAsia"/>
                          <w:color w:val="000000" w:themeColor="text1"/>
                          <w:sz w:val="16"/>
                          <w:szCs w:val="16"/>
                        </w:rPr>
                        <w:t>本部派遣員【リエゾン】</w:t>
                      </w:r>
                    </w:p>
                    <w:p w14:paraId="6A82E216" w14:textId="77777777" w:rsidR="006A5267" w:rsidRPr="0067572F" w:rsidRDefault="006A5267" w:rsidP="005D372A">
                      <w:pPr>
                        <w:spacing w:line="240" w:lineRule="exact"/>
                        <w:jc w:val="center"/>
                        <w:rPr>
                          <w:color w:val="000000" w:themeColor="text1"/>
                          <w:sz w:val="16"/>
                          <w:szCs w:val="16"/>
                        </w:rPr>
                      </w:pPr>
                      <w:r>
                        <w:rPr>
                          <w:rFonts w:hint="eastAsia"/>
                          <w:color w:val="000000" w:themeColor="text1"/>
                          <w:sz w:val="16"/>
                          <w:szCs w:val="16"/>
                        </w:rPr>
                        <w:t>（防災関係機関の職員等）</w:t>
                      </w:r>
                    </w:p>
                  </w:txbxContent>
                </v:textbox>
              </v:rect>
            </w:pict>
          </mc:Fallback>
        </mc:AlternateContent>
      </w:r>
      <w:r w:rsidRPr="001D6D10">
        <w:rPr>
          <w:noProof/>
        </w:rPr>
        <mc:AlternateContent>
          <mc:Choice Requires="wps">
            <w:drawing>
              <wp:anchor distT="0" distB="0" distL="114300" distR="114300" simplePos="0" relativeHeight="252989440" behindDoc="0" locked="0" layoutInCell="1" allowOverlap="1" wp14:anchorId="003F69A5" wp14:editId="346C1ED1">
                <wp:simplePos x="0" y="0"/>
                <wp:positionH relativeFrom="column">
                  <wp:posOffset>2171700</wp:posOffset>
                </wp:positionH>
                <wp:positionV relativeFrom="paragraph">
                  <wp:posOffset>205105</wp:posOffset>
                </wp:positionV>
                <wp:extent cx="516255" cy="0"/>
                <wp:effectExtent l="0" t="19050" r="17145" b="19050"/>
                <wp:wrapNone/>
                <wp:docPr id="127" name="直線コネクタ 127"/>
                <wp:cNvGraphicFramePr/>
                <a:graphic xmlns:a="http://schemas.openxmlformats.org/drawingml/2006/main">
                  <a:graphicData uri="http://schemas.microsoft.com/office/word/2010/wordprocessingShape">
                    <wps:wsp>
                      <wps:cNvCnPr/>
                      <wps:spPr>
                        <a:xfrm flipH="1">
                          <a:off x="0" y="0"/>
                          <a:ext cx="516255" cy="0"/>
                        </a:xfrm>
                        <a:prstGeom prst="line">
                          <a:avLst/>
                        </a:prstGeom>
                        <a:noFill/>
                        <a:ln w="38100" cap="flat" cmpd="dbl" algn="ctr">
                          <a:solidFill>
                            <a:sysClr val="windowText" lastClr="000000"/>
                          </a:solidFill>
                          <a:prstDash val="solid"/>
                        </a:ln>
                        <a:effectLst/>
                      </wps:spPr>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line w14:anchorId="2D1648AB" id="直線コネクタ 127" o:spid="_x0000_s1026" style="position:absolute;left:0;text-align:left;flip:x;z-index:2529894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71pt,16.15pt" to="211.65pt,16.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" strokecolor="windowText" strokeweight="3pt">
                <v:stroke linestyle="thinThin"/>
              </v:line>
            </w:pict>
          </mc:Fallback>
        </mc:AlternateContent>
      </w:r>
    </w:p>
    <w:p w14:paraId="10ABF706" w14:textId="3578B44E" w:rsidR="00934E60" w:rsidRDefault="00934E60" w:rsidP="005D372A">
      <w:pPr>
        <w:jc w:val="left"/>
        <w:rPr>
          <w:sz w:val="22"/>
          <w:szCs w:val="22"/>
        </w:rPr>
      </w:pPr>
    </w:p>
    <w:p w14:paraId="72A9D452" w14:textId="784352A2" w:rsidR="00B2777F" w:rsidRDefault="00B2777F" w:rsidP="005D372A">
      <w:pPr>
        <w:jc w:val="left"/>
        <w:rPr>
          <w:sz w:val="22"/>
          <w:szCs w:val="22"/>
        </w:rPr>
      </w:pPr>
    </w:p>
    <w:p w14:paraId="49C61300" w14:textId="4ED3D478" w:rsidR="00B2777F" w:rsidRDefault="00B2777F" w:rsidP="005D372A">
      <w:pPr>
        <w:jc w:val="left"/>
        <w:rPr>
          <w:sz w:val="22"/>
          <w:szCs w:val="22"/>
        </w:rPr>
      </w:pPr>
    </w:p>
    <w:p w14:paraId="6EF733F4" w14:textId="1C911599" w:rsidR="00B2777F" w:rsidRDefault="00B2777F" w:rsidP="005D372A">
      <w:pPr>
        <w:jc w:val="left"/>
        <w:rPr>
          <w:sz w:val="22"/>
          <w:szCs w:val="22"/>
        </w:rPr>
      </w:pPr>
    </w:p>
    <w:p w14:paraId="04F64F19" w14:textId="7845349E" w:rsidR="00B2777F" w:rsidRDefault="00B2777F" w:rsidP="005D372A">
      <w:pPr>
        <w:jc w:val="left"/>
        <w:rPr>
          <w:sz w:val="22"/>
          <w:szCs w:val="22"/>
        </w:rPr>
      </w:pPr>
    </w:p>
    <w:p w14:paraId="120076A1" w14:textId="1E08B257" w:rsidR="00930C0D" w:rsidRDefault="00930C0D">
      <w:pPr>
        <w:widowControl/>
        <w:jc w:val="left"/>
        <w:rPr>
          <w:sz w:val="22"/>
          <w:szCs w:val="22"/>
        </w:rPr>
      </w:pPr>
      <w:r>
        <w:rPr>
          <w:sz w:val="22"/>
          <w:szCs w:val="22"/>
        </w:rPr>
        <w:br w:type="page"/>
      </w:r>
    </w:p>
    <w:p w14:paraId="30306AFC" w14:textId="77777777" w:rsidR="005D372A" w:rsidRPr="001D6D10" w:rsidRDefault="005D372A" w:rsidP="005D372A">
      <w:pPr>
        <w:jc w:val="left"/>
        <w:rPr>
          <w:sz w:val="22"/>
          <w:szCs w:val="22"/>
        </w:rPr>
      </w:pPr>
      <w:r w:rsidRPr="001D6D10">
        <w:rPr>
          <w:rFonts w:hint="eastAsia"/>
          <w:sz w:val="22"/>
          <w:szCs w:val="22"/>
        </w:rPr>
        <w:lastRenderedPageBreak/>
        <w:t>別表２　災害警戒本部会議の構成（※その他、状況に応じて招集する。）</w:t>
      </w:r>
    </w:p>
    <w:tbl>
      <w:tblPr>
        <w:tblpPr w:leftFromText="142" w:rightFromText="142" w:vertAnchor="text" w:horzAnchor="margin" w:tblpXSpec="center" w:tblpY="496"/>
        <w:tblOverlap w:val="never"/>
        <w:tblW w:w="557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69"/>
        <w:gridCol w:w="769"/>
        <w:gridCol w:w="1745"/>
        <w:gridCol w:w="494"/>
        <w:gridCol w:w="499"/>
        <w:gridCol w:w="499"/>
        <w:gridCol w:w="499"/>
        <w:gridCol w:w="483"/>
        <w:gridCol w:w="516"/>
        <w:gridCol w:w="499"/>
        <w:gridCol w:w="499"/>
        <w:gridCol w:w="499"/>
        <w:gridCol w:w="499"/>
        <w:gridCol w:w="499"/>
        <w:gridCol w:w="504"/>
        <w:gridCol w:w="499"/>
        <w:gridCol w:w="481"/>
      </w:tblGrid>
      <w:tr w:rsidR="001D6D10" w:rsidRPr="001D6D10" w14:paraId="717F96A7" w14:textId="77777777" w:rsidTr="001F5915">
        <w:trPr>
          <w:cantSplit/>
          <w:trHeight w:val="275"/>
        </w:trPr>
        <w:tc>
          <w:tcPr>
            <w:tcW w:w="1465" w:type="pct"/>
            <w:gridSpan w:val="3"/>
            <w:tcBorders>
              <w:top w:val="single" w:sz="4" w:space="0" w:color="auto"/>
              <w:left w:val="single" w:sz="4" w:space="0" w:color="auto"/>
              <w:bottom w:val="single" w:sz="4" w:space="0" w:color="auto"/>
              <w:right w:val="single" w:sz="4" w:space="0" w:color="auto"/>
            </w:tcBorders>
            <w:vAlign w:val="center"/>
          </w:tcPr>
          <w:p w14:paraId="4C851C2A" w14:textId="77777777" w:rsidR="005D372A" w:rsidRPr="001D6D10" w:rsidRDefault="005D372A" w:rsidP="008B4B2B">
            <w:pPr>
              <w:widowControl/>
              <w:jc w:val="left"/>
              <w:rPr>
                <w:rFonts w:ascii="ＭＳ 明朝"/>
                <w:sz w:val="16"/>
                <w:szCs w:val="16"/>
              </w:rPr>
            </w:pPr>
          </w:p>
        </w:tc>
        <w:tc>
          <w:tcPr>
            <w:tcW w:w="1255" w:type="pct"/>
            <w:gridSpan w:val="5"/>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29965033" w14:textId="77777777" w:rsidR="005D372A" w:rsidRPr="001D6D10" w:rsidRDefault="005D372A" w:rsidP="008B4B2B">
            <w:pPr>
              <w:jc w:val="center"/>
              <w:rPr>
                <w:rFonts w:ascii="ＭＳ 明朝"/>
                <w:sz w:val="16"/>
                <w:szCs w:val="16"/>
              </w:rPr>
            </w:pPr>
            <w:r w:rsidRPr="001D6D10">
              <w:rPr>
                <w:rFonts w:ascii="ＭＳ 明朝" w:hint="eastAsia"/>
                <w:sz w:val="16"/>
                <w:szCs w:val="16"/>
              </w:rPr>
              <w:t>自然災害</w:t>
            </w:r>
          </w:p>
        </w:tc>
        <w:tc>
          <w:tcPr>
            <w:tcW w:w="1783" w:type="pct"/>
            <w:gridSpan w:val="7"/>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068F7F4F" w14:textId="77777777" w:rsidR="005D372A" w:rsidRPr="001D6D10" w:rsidRDefault="005D372A" w:rsidP="008B4B2B">
            <w:pPr>
              <w:jc w:val="center"/>
              <w:rPr>
                <w:rFonts w:ascii="ＭＳ 明朝"/>
                <w:sz w:val="16"/>
                <w:szCs w:val="16"/>
              </w:rPr>
            </w:pPr>
            <w:r w:rsidRPr="001D6D10">
              <w:rPr>
                <w:rFonts w:ascii="ＭＳ 明朝" w:hint="eastAsia"/>
                <w:sz w:val="16"/>
                <w:szCs w:val="16"/>
              </w:rPr>
              <w:t>事故・事件等</w:t>
            </w:r>
          </w:p>
        </w:tc>
        <w:tc>
          <w:tcPr>
            <w:tcW w:w="497" w:type="pct"/>
            <w:gridSpan w:val="2"/>
            <w:tcBorders>
              <w:top w:val="single" w:sz="4" w:space="0" w:color="auto"/>
              <w:left w:val="single" w:sz="4" w:space="0" w:color="auto"/>
              <w:bottom w:val="single" w:sz="4" w:space="0" w:color="auto"/>
              <w:right w:val="single" w:sz="4" w:space="0" w:color="auto"/>
            </w:tcBorders>
            <w:shd w:val="clear" w:color="auto" w:fill="DBE5F1" w:themeFill="accent1" w:themeFillTint="33"/>
            <w:vAlign w:val="center"/>
          </w:tcPr>
          <w:p w14:paraId="4A13B7D1" w14:textId="77777777" w:rsidR="005D372A" w:rsidRPr="001D6D10" w:rsidRDefault="005D372A" w:rsidP="008B4B2B">
            <w:pPr>
              <w:jc w:val="center"/>
              <w:rPr>
                <w:rFonts w:ascii="ＭＳ 明朝"/>
                <w:sz w:val="16"/>
                <w:szCs w:val="16"/>
              </w:rPr>
            </w:pPr>
            <w:r w:rsidRPr="001D6D10">
              <w:rPr>
                <w:rFonts w:ascii="ＭＳ 明朝" w:hint="eastAsia"/>
                <w:sz w:val="16"/>
                <w:szCs w:val="16"/>
              </w:rPr>
              <w:t>その他</w:t>
            </w:r>
          </w:p>
        </w:tc>
      </w:tr>
      <w:tr w:rsidR="001D6D10" w:rsidRPr="001D6D10" w14:paraId="6C71146B" w14:textId="77777777" w:rsidTr="001F5915">
        <w:trPr>
          <w:cantSplit/>
          <w:trHeight w:val="1134"/>
        </w:trPr>
        <w:tc>
          <w:tcPr>
            <w:tcW w:w="1465" w:type="pct"/>
            <w:gridSpan w:val="3"/>
            <w:tcBorders>
              <w:top w:val="single" w:sz="4" w:space="0" w:color="auto"/>
              <w:left w:val="single" w:sz="4" w:space="0" w:color="auto"/>
              <w:bottom w:val="single" w:sz="4" w:space="0" w:color="auto"/>
              <w:right w:val="single" w:sz="4" w:space="0" w:color="auto"/>
            </w:tcBorders>
            <w:vAlign w:val="center"/>
            <w:hideMark/>
          </w:tcPr>
          <w:p w14:paraId="46C37AAE" w14:textId="77777777" w:rsidR="005D372A" w:rsidRPr="001D6D10" w:rsidRDefault="005D372A" w:rsidP="008B4B2B">
            <w:pPr>
              <w:widowControl/>
              <w:jc w:val="left"/>
              <w:rPr>
                <w:rFonts w:ascii="ＭＳ 明朝"/>
                <w:sz w:val="16"/>
                <w:szCs w:val="16"/>
              </w:rPr>
            </w:pPr>
          </w:p>
        </w:tc>
        <w:tc>
          <w:tcPr>
            <w:tcW w:w="251" w:type="pct"/>
            <w:tcBorders>
              <w:top w:val="single" w:sz="4" w:space="0" w:color="auto"/>
              <w:left w:val="single" w:sz="4" w:space="0" w:color="auto"/>
              <w:bottom w:val="single" w:sz="4" w:space="0" w:color="auto"/>
              <w:right w:val="single" w:sz="4" w:space="0" w:color="auto"/>
            </w:tcBorders>
            <w:shd w:val="clear" w:color="auto" w:fill="DBE5F1" w:themeFill="accent1" w:themeFillTint="33"/>
            <w:textDirection w:val="tbRlV"/>
            <w:vAlign w:val="center"/>
            <w:hideMark/>
          </w:tcPr>
          <w:p w14:paraId="54464259" w14:textId="77777777" w:rsidR="005D372A" w:rsidRPr="001D6D10" w:rsidRDefault="005D372A" w:rsidP="008B4B2B">
            <w:pPr>
              <w:ind w:left="113" w:right="113"/>
              <w:jc w:val="center"/>
              <w:rPr>
                <w:rFonts w:ascii="ＭＳ 明朝"/>
                <w:sz w:val="16"/>
                <w:szCs w:val="16"/>
              </w:rPr>
            </w:pPr>
            <w:r w:rsidRPr="001D6D10">
              <w:rPr>
                <w:rFonts w:ascii="ＭＳ 明朝" w:hint="eastAsia"/>
                <w:sz w:val="16"/>
                <w:szCs w:val="16"/>
              </w:rPr>
              <w:t>地震</w:t>
            </w:r>
          </w:p>
        </w:tc>
        <w:tc>
          <w:tcPr>
            <w:tcW w:w="253" w:type="pct"/>
            <w:tcBorders>
              <w:top w:val="single" w:sz="4" w:space="0" w:color="auto"/>
              <w:left w:val="single" w:sz="4" w:space="0" w:color="auto"/>
              <w:bottom w:val="single" w:sz="4" w:space="0" w:color="auto"/>
              <w:right w:val="single" w:sz="4" w:space="0" w:color="auto"/>
            </w:tcBorders>
            <w:shd w:val="clear" w:color="auto" w:fill="DBE5F1" w:themeFill="accent1" w:themeFillTint="33"/>
            <w:textDirection w:val="tbRlV"/>
            <w:vAlign w:val="center"/>
            <w:hideMark/>
          </w:tcPr>
          <w:p w14:paraId="266C21B5" w14:textId="77777777" w:rsidR="005D372A" w:rsidRPr="001D6D10" w:rsidRDefault="005D372A" w:rsidP="008B4B2B">
            <w:pPr>
              <w:ind w:left="113" w:right="113"/>
              <w:jc w:val="center"/>
              <w:rPr>
                <w:rFonts w:ascii="ＭＳ 明朝"/>
                <w:sz w:val="16"/>
                <w:szCs w:val="16"/>
              </w:rPr>
            </w:pPr>
            <w:r w:rsidRPr="001D6D10">
              <w:rPr>
                <w:rFonts w:ascii="ＭＳ 明朝" w:hint="eastAsia"/>
                <w:sz w:val="16"/>
                <w:szCs w:val="16"/>
              </w:rPr>
              <w:t>津波</w:t>
            </w:r>
          </w:p>
        </w:tc>
        <w:tc>
          <w:tcPr>
            <w:tcW w:w="253" w:type="pct"/>
            <w:tcBorders>
              <w:top w:val="single" w:sz="4" w:space="0" w:color="auto"/>
              <w:left w:val="single" w:sz="4" w:space="0" w:color="auto"/>
              <w:bottom w:val="single" w:sz="4" w:space="0" w:color="auto"/>
              <w:right w:val="single" w:sz="4" w:space="0" w:color="auto"/>
            </w:tcBorders>
            <w:shd w:val="clear" w:color="auto" w:fill="DBE5F1" w:themeFill="accent1" w:themeFillTint="33"/>
            <w:textDirection w:val="tbRlV"/>
            <w:vAlign w:val="center"/>
            <w:hideMark/>
          </w:tcPr>
          <w:p w14:paraId="1D55DA46" w14:textId="77777777" w:rsidR="005D372A" w:rsidRPr="001D6D10" w:rsidRDefault="005D372A" w:rsidP="008B4B2B">
            <w:pPr>
              <w:ind w:left="113" w:right="113"/>
              <w:jc w:val="center"/>
              <w:rPr>
                <w:rFonts w:ascii="ＭＳ 明朝"/>
                <w:sz w:val="16"/>
                <w:szCs w:val="16"/>
              </w:rPr>
            </w:pPr>
            <w:r w:rsidRPr="001D6D10">
              <w:rPr>
                <w:rFonts w:ascii="ＭＳ 明朝" w:hint="eastAsia"/>
                <w:sz w:val="16"/>
                <w:szCs w:val="16"/>
              </w:rPr>
              <w:t>風水害</w:t>
            </w:r>
          </w:p>
        </w:tc>
        <w:tc>
          <w:tcPr>
            <w:tcW w:w="253" w:type="pct"/>
            <w:tcBorders>
              <w:top w:val="single" w:sz="4" w:space="0" w:color="auto"/>
              <w:left w:val="single" w:sz="4" w:space="0" w:color="auto"/>
              <w:bottom w:val="single" w:sz="4" w:space="0" w:color="auto"/>
              <w:right w:val="single" w:sz="4" w:space="0" w:color="auto"/>
            </w:tcBorders>
            <w:shd w:val="clear" w:color="auto" w:fill="DBE5F1" w:themeFill="accent1" w:themeFillTint="33"/>
            <w:textDirection w:val="tbRlV"/>
          </w:tcPr>
          <w:p w14:paraId="01A367C8" w14:textId="77777777" w:rsidR="005D372A" w:rsidRPr="001D6D10" w:rsidRDefault="005D372A" w:rsidP="008B4B2B">
            <w:pPr>
              <w:ind w:left="113" w:right="113"/>
              <w:jc w:val="center"/>
              <w:rPr>
                <w:rFonts w:ascii="ＭＳ 明朝"/>
                <w:sz w:val="16"/>
                <w:szCs w:val="16"/>
              </w:rPr>
            </w:pPr>
            <w:r w:rsidRPr="001D6D10">
              <w:rPr>
                <w:rFonts w:ascii="ＭＳ 明朝" w:hint="eastAsia"/>
                <w:sz w:val="16"/>
                <w:szCs w:val="16"/>
              </w:rPr>
              <w:t>台風</w:t>
            </w:r>
          </w:p>
        </w:tc>
        <w:tc>
          <w:tcPr>
            <w:tcW w:w="244" w:type="pct"/>
            <w:tcBorders>
              <w:top w:val="single" w:sz="4" w:space="0" w:color="auto"/>
              <w:left w:val="single" w:sz="4" w:space="0" w:color="auto"/>
              <w:bottom w:val="single" w:sz="4" w:space="0" w:color="auto"/>
              <w:right w:val="single" w:sz="4" w:space="0" w:color="auto"/>
            </w:tcBorders>
            <w:shd w:val="clear" w:color="auto" w:fill="DBE5F1" w:themeFill="accent1" w:themeFillTint="33"/>
            <w:textDirection w:val="tbRlV"/>
          </w:tcPr>
          <w:p w14:paraId="74D1078B" w14:textId="77777777" w:rsidR="005D372A" w:rsidRPr="001D6D10" w:rsidRDefault="005D372A" w:rsidP="008B4B2B">
            <w:pPr>
              <w:ind w:left="113" w:right="113"/>
              <w:jc w:val="center"/>
              <w:rPr>
                <w:rFonts w:ascii="ＭＳ 明朝"/>
                <w:sz w:val="16"/>
                <w:szCs w:val="16"/>
              </w:rPr>
            </w:pPr>
            <w:r w:rsidRPr="001D6D10">
              <w:rPr>
                <w:rFonts w:ascii="ＭＳ 明朝" w:hint="eastAsia"/>
                <w:sz w:val="16"/>
                <w:szCs w:val="16"/>
              </w:rPr>
              <w:t>竜巻</w:t>
            </w:r>
          </w:p>
        </w:tc>
        <w:tc>
          <w:tcPr>
            <w:tcW w:w="262" w:type="pct"/>
            <w:tcBorders>
              <w:top w:val="single" w:sz="4" w:space="0" w:color="auto"/>
              <w:left w:val="single" w:sz="4" w:space="0" w:color="auto"/>
              <w:bottom w:val="single" w:sz="4" w:space="0" w:color="auto"/>
              <w:right w:val="single" w:sz="4" w:space="0" w:color="auto"/>
            </w:tcBorders>
            <w:shd w:val="clear" w:color="auto" w:fill="DBE5F1" w:themeFill="accent1" w:themeFillTint="33"/>
            <w:textDirection w:val="tbRlV"/>
            <w:vAlign w:val="center"/>
            <w:hideMark/>
          </w:tcPr>
          <w:p w14:paraId="121B5FED" w14:textId="77777777" w:rsidR="005D372A" w:rsidRPr="001D6D10" w:rsidRDefault="005D372A" w:rsidP="008B4B2B">
            <w:pPr>
              <w:ind w:left="113" w:right="113"/>
              <w:jc w:val="center"/>
              <w:rPr>
                <w:rFonts w:ascii="ＭＳ 明朝"/>
                <w:sz w:val="16"/>
                <w:szCs w:val="16"/>
              </w:rPr>
            </w:pPr>
            <w:r w:rsidRPr="001D6D10">
              <w:rPr>
                <w:rFonts w:ascii="ＭＳ 明朝" w:hint="eastAsia"/>
                <w:sz w:val="16"/>
                <w:szCs w:val="16"/>
              </w:rPr>
              <w:t>海上</w:t>
            </w:r>
          </w:p>
        </w:tc>
        <w:tc>
          <w:tcPr>
            <w:tcW w:w="253" w:type="pct"/>
            <w:tcBorders>
              <w:top w:val="single" w:sz="4" w:space="0" w:color="auto"/>
              <w:left w:val="single" w:sz="4" w:space="0" w:color="auto"/>
              <w:bottom w:val="single" w:sz="4" w:space="0" w:color="auto"/>
              <w:right w:val="single" w:sz="4" w:space="0" w:color="auto"/>
            </w:tcBorders>
            <w:shd w:val="clear" w:color="auto" w:fill="DBE5F1" w:themeFill="accent1" w:themeFillTint="33"/>
            <w:textDirection w:val="tbRlV"/>
            <w:vAlign w:val="center"/>
            <w:hideMark/>
          </w:tcPr>
          <w:p w14:paraId="3F3BD2DA" w14:textId="77777777" w:rsidR="005D372A" w:rsidRPr="001D6D10" w:rsidRDefault="005D372A" w:rsidP="008B4B2B">
            <w:pPr>
              <w:ind w:left="113" w:right="113"/>
              <w:jc w:val="center"/>
              <w:rPr>
                <w:rFonts w:ascii="ＭＳ 明朝"/>
                <w:sz w:val="16"/>
                <w:szCs w:val="16"/>
              </w:rPr>
            </w:pPr>
            <w:r w:rsidRPr="001D6D10">
              <w:rPr>
                <w:rFonts w:ascii="ＭＳ 明朝" w:hint="eastAsia"/>
                <w:sz w:val="16"/>
                <w:szCs w:val="16"/>
              </w:rPr>
              <w:t>航空</w:t>
            </w:r>
          </w:p>
        </w:tc>
        <w:tc>
          <w:tcPr>
            <w:tcW w:w="253" w:type="pct"/>
            <w:tcBorders>
              <w:top w:val="single" w:sz="4" w:space="0" w:color="auto"/>
              <w:left w:val="single" w:sz="4" w:space="0" w:color="auto"/>
              <w:bottom w:val="single" w:sz="4" w:space="0" w:color="auto"/>
              <w:right w:val="single" w:sz="4" w:space="0" w:color="auto"/>
            </w:tcBorders>
            <w:shd w:val="clear" w:color="auto" w:fill="DBE5F1" w:themeFill="accent1" w:themeFillTint="33"/>
            <w:textDirection w:val="tbRlV"/>
            <w:vAlign w:val="center"/>
            <w:hideMark/>
          </w:tcPr>
          <w:p w14:paraId="7514C12B" w14:textId="77777777" w:rsidR="005D372A" w:rsidRPr="001D6D10" w:rsidRDefault="005D372A" w:rsidP="008B4B2B">
            <w:pPr>
              <w:ind w:left="113" w:right="113"/>
              <w:jc w:val="center"/>
              <w:rPr>
                <w:rFonts w:ascii="ＭＳ 明朝"/>
                <w:sz w:val="16"/>
                <w:szCs w:val="16"/>
              </w:rPr>
            </w:pPr>
            <w:r w:rsidRPr="001D6D10">
              <w:rPr>
                <w:rFonts w:ascii="ＭＳ 明朝" w:hint="eastAsia"/>
                <w:sz w:val="16"/>
                <w:szCs w:val="16"/>
              </w:rPr>
              <w:t>鉄道</w:t>
            </w:r>
          </w:p>
        </w:tc>
        <w:tc>
          <w:tcPr>
            <w:tcW w:w="253" w:type="pct"/>
            <w:tcBorders>
              <w:top w:val="single" w:sz="4" w:space="0" w:color="auto"/>
              <w:left w:val="single" w:sz="4" w:space="0" w:color="auto"/>
              <w:bottom w:val="single" w:sz="4" w:space="0" w:color="auto"/>
              <w:right w:val="single" w:sz="4" w:space="0" w:color="auto"/>
            </w:tcBorders>
            <w:shd w:val="clear" w:color="auto" w:fill="DBE5F1" w:themeFill="accent1" w:themeFillTint="33"/>
            <w:textDirection w:val="tbRlV"/>
            <w:vAlign w:val="center"/>
            <w:hideMark/>
          </w:tcPr>
          <w:p w14:paraId="384395DE" w14:textId="77777777" w:rsidR="005D372A" w:rsidRPr="001D6D10" w:rsidRDefault="005D372A" w:rsidP="008B4B2B">
            <w:pPr>
              <w:ind w:left="113" w:right="113"/>
              <w:jc w:val="center"/>
              <w:rPr>
                <w:rFonts w:ascii="ＭＳ 明朝"/>
                <w:sz w:val="16"/>
                <w:szCs w:val="16"/>
              </w:rPr>
            </w:pPr>
            <w:r w:rsidRPr="001D6D10">
              <w:rPr>
                <w:rFonts w:ascii="ＭＳ 明朝" w:hint="eastAsia"/>
                <w:sz w:val="16"/>
                <w:szCs w:val="16"/>
              </w:rPr>
              <w:t>道路</w:t>
            </w:r>
          </w:p>
        </w:tc>
        <w:tc>
          <w:tcPr>
            <w:tcW w:w="253" w:type="pct"/>
            <w:tcBorders>
              <w:top w:val="single" w:sz="4" w:space="0" w:color="auto"/>
              <w:left w:val="single" w:sz="4" w:space="0" w:color="auto"/>
              <w:bottom w:val="single" w:sz="4" w:space="0" w:color="auto"/>
              <w:right w:val="single" w:sz="4" w:space="0" w:color="auto"/>
            </w:tcBorders>
            <w:shd w:val="clear" w:color="auto" w:fill="DBE5F1" w:themeFill="accent1" w:themeFillTint="33"/>
            <w:textDirection w:val="tbRlV"/>
            <w:vAlign w:val="center"/>
            <w:hideMark/>
          </w:tcPr>
          <w:p w14:paraId="13D93A3F" w14:textId="77777777" w:rsidR="005D372A" w:rsidRPr="001D6D10" w:rsidRDefault="005D372A" w:rsidP="008B4B2B">
            <w:pPr>
              <w:ind w:left="113" w:right="113"/>
              <w:jc w:val="center"/>
              <w:rPr>
                <w:rFonts w:ascii="ＭＳ 明朝"/>
                <w:sz w:val="16"/>
                <w:szCs w:val="16"/>
              </w:rPr>
            </w:pPr>
            <w:r w:rsidRPr="001D6D10">
              <w:rPr>
                <w:rFonts w:ascii="ＭＳ 明朝" w:hint="eastAsia"/>
                <w:sz w:val="16"/>
                <w:szCs w:val="16"/>
              </w:rPr>
              <w:t>危険物</w:t>
            </w:r>
          </w:p>
        </w:tc>
        <w:tc>
          <w:tcPr>
            <w:tcW w:w="253" w:type="pct"/>
            <w:tcBorders>
              <w:top w:val="single" w:sz="4" w:space="0" w:color="auto"/>
              <w:left w:val="single" w:sz="4" w:space="0" w:color="auto"/>
              <w:bottom w:val="single" w:sz="4" w:space="0" w:color="auto"/>
              <w:right w:val="single" w:sz="4" w:space="0" w:color="auto"/>
            </w:tcBorders>
            <w:shd w:val="clear" w:color="auto" w:fill="DBE5F1" w:themeFill="accent1" w:themeFillTint="33"/>
            <w:textDirection w:val="tbRlV"/>
            <w:vAlign w:val="center"/>
            <w:hideMark/>
          </w:tcPr>
          <w:p w14:paraId="0F9C3923" w14:textId="77777777" w:rsidR="005D372A" w:rsidRPr="001D6D10" w:rsidRDefault="005D372A" w:rsidP="008B4B2B">
            <w:pPr>
              <w:spacing w:line="160" w:lineRule="exact"/>
              <w:ind w:left="113" w:right="113"/>
              <w:jc w:val="center"/>
              <w:rPr>
                <w:rFonts w:ascii="ＭＳ 明朝"/>
                <w:sz w:val="16"/>
                <w:szCs w:val="16"/>
              </w:rPr>
            </w:pPr>
            <w:r w:rsidRPr="001D6D10">
              <w:rPr>
                <w:rFonts w:ascii="ＭＳ 明朝" w:hint="eastAsia"/>
                <w:sz w:val="16"/>
                <w:szCs w:val="16"/>
              </w:rPr>
              <w:t>高層建築物</w:t>
            </w:r>
          </w:p>
          <w:p w14:paraId="7748BAAB" w14:textId="77777777" w:rsidR="005D372A" w:rsidRPr="001D6D10" w:rsidRDefault="005D372A" w:rsidP="008B4B2B">
            <w:pPr>
              <w:spacing w:line="160" w:lineRule="exact"/>
              <w:ind w:left="113" w:right="113"/>
              <w:jc w:val="center"/>
              <w:rPr>
                <w:rFonts w:ascii="ＭＳ 明朝"/>
                <w:sz w:val="16"/>
                <w:szCs w:val="16"/>
              </w:rPr>
            </w:pPr>
            <w:r w:rsidRPr="001D6D10">
              <w:rPr>
                <w:rFonts w:ascii="ＭＳ 明朝" w:hint="eastAsia"/>
                <w:sz w:val="16"/>
                <w:szCs w:val="16"/>
              </w:rPr>
              <w:t>地下街火災</w:t>
            </w:r>
          </w:p>
        </w:tc>
        <w:tc>
          <w:tcPr>
            <w:tcW w:w="255" w:type="pct"/>
            <w:tcBorders>
              <w:top w:val="single" w:sz="4" w:space="0" w:color="auto"/>
              <w:left w:val="single" w:sz="4" w:space="0" w:color="auto"/>
              <w:bottom w:val="single" w:sz="4" w:space="0" w:color="auto"/>
              <w:right w:val="single" w:sz="4" w:space="0" w:color="auto"/>
            </w:tcBorders>
            <w:shd w:val="clear" w:color="auto" w:fill="DBE5F1" w:themeFill="accent1" w:themeFillTint="33"/>
            <w:textDirection w:val="tbRlV"/>
            <w:vAlign w:val="center"/>
            <w:hideMark/>
          </w:tcPr>
          <w:p w14:paraId="3C2E32D9" w14:textId="77777777" w:rsidR="005D372A" w:rsidRPr="001D6D10" w:rsidRDefault="005D372A" w:rsidP="008B4B2B">
            <w:pPr>
              <w:ind w:left="113" w:right="113"/>
              <w:jc w:val="center"/>
              <w:rPr>
                <w:rFonts w:ascii="ＭＳ 明朝"/>
                <w:sz w:val="16"/>
                <w:szCs w:val="16"/>
              </w:rPr>
            </w:pPr>
            <w:r w:rsidRPr="001D6D10">
              <w:rPr>
                <w:rFonts w:ascii="ＭＳ 明朝" w:hint="eastAsia"/>
                <w:sz w:val="16"/>
                <w:szCs w:val="16"/>
              </w:rPr>
              <w:t>林野火災</w:t>
            </w:r>
          </w:p>
        </w:tc>
        <w:tc>
          <w:tcPr>
            <w:tcW w:w="253" w:type="pct"/>
            <w:tcBorders>
              <w:top w:val="single" w:sz="4" w:space="0" w:color="auto"/>
              <w:left w:val="single" w:sz="4" w:space="0" w:color="auto"/>
              <w:bottom w:val="single" w:sz="4" w:space="0" w:color="auto"/>
              <w:right w:val="single" w:sz="4" w:space="0" w:color="auto"/>
            </w:tcBorders>
            <w:shd w:val="clear" w:color="auto" w:fill="DBE5F1" w:themeFill="accent1" w:themeFillTint="33"/>
            <w:textDirection w:val="tbRlV"/>
          </w:tcPr>
          <w:p w14:paraId="53618B11" w14:textId="77777777" w:rsidR="005D372A" w:rsidRPr="001D6D10" w:rsidRDefault="005D372A" w:rsidP="008B4B2B">
            <w:pPr>
              <w:ind w:left="113" w:right="113"/>
              <w:jc w:val="center"/>
              <w:rPr>
                <w:rFonts w:ascii="ＭＳ 明朝"/>
                <w:sz w:val="16"/>
                <w:szCs w:val="16"/>
              </w:rPr>
            </w:pPr>
            <w:r w:rsidRPr="001D6D10">
              <w:rPr>
                <w:rFonts w:ascii="ＭＳ 明朝" w:hint="eastAsia"/>
                <w:sz w:val="16"/>
                <w:szCs w:val="16"/>
              </w:rPr>
              <w:t>原子力災害</w:t>
            </w:r>
          </w:p>
        </w:tc>
        <w:tc>
          <w:tcPr>
            <w:tcW w:w="244" w:type="pct"/>
            <w:tcBorders>
              <w:top w:val="single" w:sz="4" w:space="0" w:color="auto"/>
              <w:left w:val="single" w:sz="4" w:space="0" w:color="auto"/>
              <w:bottom w:val="single" w:sz="4" w:space="0" w:color="auto"/>
              <w:right w:val="single" w:sz="4" w:space="0" w:color="auto"/>
            </w:tcBorders>
            <w:shd w:val="clear" w:color="auto" w:fill="DBE5F1" w:themeFill="accent1" w:themeFillTint="33"/>
            <w:textDirection w:val="tbRlV"/>
          </w:tcPr>
          <w:p w14:paraId="6020FC04" w14:textId="77777777" w:rsidR="005D372A" w:rsidRPr="001D6D10" w:rsidRDefault="005D372A" w:rsidP="008B4B2B">
            <w:pPr>
              <w:ind w:left="113" w:right="113"/>
              <w:jc w:val="center"/>
              <w:rPr>
                <w:rFonts w:ascii="ＭＳ 明朝"/>
                <w:sz w:val="16"/>
                <w:szCs w:val="16"/>
              </w:rPr>
            </w:pPr>
            <w:r w:rsidRPr="001D6D10">
              <w:rPr>
                <w:rFonts w:ascii="ＭＳ 明朝" w:hint="eastAsia"/>
                <w:sz w:val="16"/>
                <w:szCs w:val="16"/>
              </w:rPr>
              <w:t>危機事象</w:t>
            </w:r>
          </w:p>
        </w:tc>
      </w:tr>
      <w:tr w:rsidR="001D6D10" w:rsidRPr="001D6D10" w14:paraId="44C171A9" w14:textId="77777777" w:rsidTr="001F5915">
        <w:trPr>
          <w:trHeight w:val="338"/>
        </w:trPr>
        <w:tc>
          <w:tcPr>
            <w:tcW w:w="188" w:type="pct"/>
            <w:tcBorders>
              <w:top w:val="single" w:sz="4" w:space="0" w:color="auto"/>
              <w:left w:val="single" w:sz="4" w:space="0" w:color="auto"/>
              <w:bottom w:val="single" w:sz="4" w:space="0" w:color="auto"/>
              <w:right w:val="single" w:sz="4" w:space="0" w:color="auto"/>
            </w:tcBorders>
            <w:vAlign w:val="center"/>
            <w:hideMark/>
          </w:tcPr>
          <w:p w14:paraId="49294D73" w14:textId="77777777" w:rsidR="005D372A" w:rsidRPr="001D6D10" w:rsidRDefault="005D372A" w:rsidP="008B4B2B">
            <w:pPr>
              <w:jc w:val="center"/>
              <w:rPr>
                <w:rFonts w:ascii="ＭＳ 明朝"/>
                <w:sz w:val="16"/>
                <w:szCs w:val="16"/>
              </w:rPr>
            </w:pPr>
            <w:r w:rsidRPr="001D6D10">
              <w:rPr>
                <w:rFonts w:ascii="ＭＳ 明朝" w:hint="eastAsia"/>
                <w:sz w:val="16"/>
                <w:szCs w:val="16"/>
              </w:rPr>
              <w:t>１</w:t>
            </w:r>
          </w:p>
        </w:tc>
        <w:tc>
          <w:tcPr>
            <w:tcW w:w="391" w:type="pct"/>
            <w:tcBorders>
              <w:top w:val="single" w:sz="4" w:space="0" w:color="auto"/>
              <w:left w:val="single" w:sz="4" w:space="0" w:color="auto"/>
              <w:bottom w:val="single" w:sz="4" w:space="0" w:color="auto"/>
              <w:right w:val="single" w:sz="4" w:space="0" w:color="auto"/>
            </w:tcBorders>
            <w:vAlign w:val="center"/>
            <w:hideMark/>
          </w:tcPr>
          <w:p w14:paraId="508D02ED" w14:textId="77777777" w:rsidR="005D372A" w:rsidRPr="001D6D10" w:rsidRDefault="005D372A" w:rsidP="008B4B2B">
            <w:pPr>
              <w:jc w:val="center"/>
              <w:rPr>
                <w:rFonts w:ascii="ＭＳ 明朝"/>
                <w:sz w:val="16"/>
                <w:szCs w:val="16"/>
              </w:rPr>
            </w:pPr>
            <w:r w:rsidRPr="001D6D10">
              <w:rPr>
                <w:rFonts w:ascii="ＭＳ 明朝" w:hint="eastAsia"/>
                <w:sz w:val="16"/>
                <w:szCs w:val="16"/>
              </w:rPr>
              <w:t>本部長</w:t>
            </w:r>
          </w:p>
        </w:tc>
        <w:tc>
          <w:tcPr>
            <w:tcW w:w="886" w:type="pct"/>
            <w:tcBorders>
              <w:top w:val="single" w:sz="4" w:space="0" w:color="auto"/>
              <w:left w:val="single" w:sz="4" w:space="0" w:color="auto"/>
              <w:bottom w:val="single" w:sz="4" w:space="0" w:color="auto"/>
              <w:right w:val="single" w:sz="4" w:space="0" w:color="auto"/>
            </w:tcBorders>
            <w:vAlign w:val="center"/>
            <w:hideMark/>
          </w:tcPr>
          <w:p w14:paraId="4CB6293F" w14:textId="77777777" w:rsidR="005D372A" w:rsidRPr="001D6D10" w:rsidRDefault="005D372A" w:rsidP="008B4B2B">
            <w:pPr>
              <w:jc w:val="left"/>
              <w:rPr>
                <w:rFonts w:ascii="ＭＳ 明朝"/>
                <w:sz w:val="16"/>
                <w:szCs w:val="16"/>
              </w:rPr>
            </w:pPr>
            <w:r w:rsidRPr="001D6D10">
              <w:rPr>
                <w:rFonts w:ascii="ＭＳ 明朝" w:hint="eastAsia"/>
                <w:sz w:val="16"/>
                <w:szCs w:val="16"/>
              </w:rPr>
              <w:t>知事</w:t>
            </w:r>
          </w:p>
        </w:tc>
        <w:tc>
          <w:tcPr>
            <w:tcW w:w="251" w:type="pct"/>
            <w:tcBorders>
              <w:top w:val="single" w:sz="4" w:space="0" w:color="auto"/>
              <w:left w:val="single" w:sz="4" w:space="0" w:color="auto"/>
              <w:bottom w:val="single" w:sz="4" w:space="0" w:color="auto"/>
              <w:right w:val="single" w:sz="4" w:space="0" w:color="auto"/>
            </w:tcBorders>
            <w:vAlign w:val="center"/>
            <w:hideMark/>
          </w:tcPr>
          <w:p w14:paraId="035925FD" w14:textId="77777777" w:rsidR="005D372A" w:rsidRPr="001D6D10" w:rsidRDefault="005D372A" w:rsidP="008B4B2B">
            <w:pPr>
              <w:jc w:val="center"/>
              <w:rPr>
                <w:rFonts w:ascii="ＭＳ 明朝"/>
                <w:sz w:val="16"/>
                <w:szCs w:val="16"/>
              </w:rPr>
            </w:pPr>
            <w:r w:rsidRPr="001D6D10">
              <w:rPr>
                <w:rFonts w:ascii="ＭＳ 明朝" w:hint="eastAsia"/>
                <w:sz w:val="16"/>
                <w:szCs w:val="16"/>
              </w:rPr>
              <w:t>○</w:t>
            </w:r>
          </w:p>
        </w:tc>
        <w:tc>
          <w:tcPr>
            <w:tcW w:w="253" w:type="pct"/>
            <w:tcBorders>
              <w:top w:val="single" w:sz="4" w:space="0" w:color="auto"/>
              <w:left w:val="single" w:sz="4" w:space="0" w:color="auto"/>
              <w:bottom w:val="single" w:sz="4" w:space="0" w:color="auto"/>
              <w:right w:val="single" w:sz="4" w:space="0" w:color="auto"/>
            </w:tcBorders>
            <w:vAlign w:val="center"/>
            <w:hideMark/>
          </w:tcPr>
          <w:p w14:paraId="0E13150F" w14:textId="77777777" w:rsidR="005D372A" w:rsidRPr="001D6D10" w:rsidRDefault="005D372A" w:rsidP="008B4B2B">
            <w:pPr>
              <w:jc w:val="center"/>
              <w:rPr>
                <w:rFonts w:ascii="ＭＳ 明朝"/>
                <w:sz w:val="16"/>
                <w:szCs w:val="16"/>
              </w:rPr>
            </w:pPr>
            <w:r w:rsidRPr="001D6D10">
              <w:rPr>
                <w:rFonts w:ascii="ＭＳ 明朝" w:hint="eastAsia"/>
                <w:sz w:val="16"/>
                <w:szCs w:val="16"/>
              </w:rPr>
              <w:t>○</w:t>
            </w:r>
          </w:p>
        </w:tc>
        <w:tc>
          <w:tcPr>
            <w:tcW w:w="253" w:type="pct"/>
            <w:tcBorders>
              <w:top w:val="single" w:sz="4" w:space="0" w:color="auto"/>
              <w:left w:val="single" w:sz="4" w:space="0" w:color="auto"/>
              <w:bottom w:val="single" w:sz="4" w:space="0" w:color="auto"/>
              <w:right w:val="single" w:sz="4" w:space="0" w:color="auto"/>
            </w:tcBorders>
            <w:vAlign w:val="center"/>
            <w:hideMark/>
          </w:tcPr>
          <w:p w14:paraId="0D1B9221" w14:textId="77777777" w:rsidR="005D372A" w:rsidRPr="001D6D10" w:rsidRDefault="005D372A" w:rsidP="008B4B2B">
            <w:pPr>
              <w:jc w:val="center"/>
              <w:rPr>
                <w:rFonts w:ascii="ＭＳ 明朝"/>
                <w:sz w:val="16"/>
                <w:szCs w:val="16"/>
              </w:rPr>
            </w:pPr>
            <w:r w:rsidRPr="001D6D10">
              <w:rPr>
                <w:rFonts w:ascii="ＭＳ 明朝" w:hint="eastAsia"/>
                <w:sz w:val="16"/>
                <w:szCs w:val="16"/>
              </w:rPr>
              <w:t>○</w:t>
            </w:r>
          </w:p>
        </w:tc>
        <w:tc>
          <w:tcPr>
            <w:tcW w:w="253" w:type="pct"/>
            <w:tcBorders>
              <w:top w:val="single" w:sz="4" w:space="0" w:color="auto"/>
              <w:left w:val="single" w:sz="4" w:space="0" w:color="auto"/>
              <w:bottom w:val="single" w:sz="4" w:space="0" w:color="auto"/>
              <w:right w:val="single" w:sz="4" w:space="0" w:color="auto"/>
            </w:tcBorders>
            <w:vAlign w:val="center"/>
          </w:tcPr>
          <w:p w14:paraId="75C1BFDF" w14:textId="77777777" w:rsidR="005D372A" w:rsidRPr="001D6D10" w:rsidRDefault="005D372A" w:rsidP="008B4B2B">
            <w:pPr>
              <w:jc w:val="center"/>
              <w:rPr>
                <w:rFonts w:ascii="ＭＳ 明朝"/>
                <w:sz w:val="16"/>
                <w:szCs w:val="16"/>
              </w:rPr>
            </w:pPr>
            <w:r w:rsidRPr="001D6D10">
              <w:rPr>
                <w:rFonts w:ascii="ＭＳ 明朝" w:hint="eastAsia"/>
                <w:sz w:val="16"/>
                <w:szCs w:val="16"/>
              </w:rPr>
              <w:t>○</w:t>
            </w:r>
          </w:p>
        </w:tc>
        <w:tc>
          <w:tcPr>
            <w:tcW w:w="244" w:type="pct"/>
            <w:tcBorders>
              <w:top w:val="single" w:sz="4" w:space="0" w:color="auto"/>
              <w:left w:val="single" w:sz="4" w:space="0" w:color="auto"/>
              <w:bottom w:val="single" w:sz="4" w:space="0" w:color="auto"/>
              <w:right w:val="single" w:sz="4" w:space="0" w:color="auto"/>
            </w:tcBorders>
            <w:shd w:val="clear" w:color="auto" w:fill="FFFFFF"/>
            <w:vAlign w:val="center"/>
          </w:tcPr>
          <w:p w14:paraId="24EABD95" w14:textId="77777777" w:rsidR="005D372A" w:rsidRPr="001D6D10" w:rsidRDefault="005D372A" w:rsidP="008B4B2B">
            <w:pPr>
              <w:jc w:val="center"/>
              <w:rPr>
                <w:rFonts w:ascii="ＭＳ 明朝"/>
                <w:sz w:val="16"/>
                <w:szCs w:val="16"/>
              </w:rPr>
            </w:pPr>
            <w:r w:rsidRPr="001D6D10">
              <w:rPr>
                <w:rFonts w:ascii="ＭＳ 明朝" w:hint="eastAsia"/>
                <w:sz w:val="16"/>
                <w:szCs w:val="16"/>
              </w:rPr>
              <w:t>○</w:t>
            </w:r>
          </w:p>
        </w:tc>
        <w:tc>
          <w:tcPr>
            <w:tcW w:w="262" w:type="pct"/>
            <w:tcBorders>
              <w:top w:val="single" w:sz="4" w:space="0" w:color="auto"/>
              <w:left w:val="single" w:sz="4" w:space="0" w:color="auto"/>
              <w:bottom w:val="single" w:sz="4" w:space="0" w:color="auto"/>
              <w:right w:val="single" w:sz="4" w:space="0" w:color="auto"/>
            </w:tcBorders>
            <w:vAlign w:val="center"/>
            <w:hideMark/>
          </w:tcPr>
          <w:p w14:paraId="5C77C270" w14:textId="77777777" w:rsidR="005D372A" w:rsidRPr="001D6D10" w:rsidRDefault="005D372A" w:rsidP="008B4B2B">
            <w:pPr>
              <w:jc w:val="center"/>
              <w:rPr>
                <w:rFonts w:ascii="ＭＳ 明朝"/>
                <w:sz w:val="16"/>
                <w:szCs w:val="16"/>
              </w:rPr>
            </w:pPr>
            <w:r w:rsidRPr="001D6D10">
              <w:rPr>
                <w:rFonts w:ascii="ＭＳ 明朝" w:hint="eastAsia"/>
                <w:sz w:val="16"/>
                <w:szCs w:val="16"/>
              </w:rPr>
              <w:t>○</w:t>
            </w:r>
          </w:p>
        </w:tc>
        <w:tc>
          <w:tcPr>
            <w:tcW w:w="253" w:type="pct"/>
            <w:tcBorders>
              <w:top w:val="single" w:sz="4" w:space="0" w:color="auto"/>
              <w:left w:val="single" w:sz="4" w:space="0" w:color="auto"/>
              <w:bottom w:val="single" w:sz="4" w:space="0" w:color="auto"/>
              <w:right w:val="single" w:sz="4" w:space="0" w:color="auto"/>
            </w:tcBorders>
            <w:vAlign w:val="center"/>
            <w:hideMark/>
          </w:tcPr>
          <w:p w14:paraId="796B1D33" w14:textId="77777777" w:rsidR="005D372A" w:rsidRPr="001D6D10" w:rsidRDefault="005D372A" w:rsidP="008B4B2B">
            <w:pPr>
              <w:jc w:val="center"/>
              <w:rPr>
                <w:rFonts w:ascii="ＭＳ 明朝"/>
                <w:sz w:val="16"/>
                <w:szCs w:val="16"/>
              </w:rPr>
            </w:pPr>
            <w:r w:rsidRPr="001D6D10">
              <w:rPr>
                <w:rFonts w:ascii="ＭＳ 明朝" w:hint="eastAsia"/>
                <w:sz w:val="16"/>
                <w:szCs w:val="16"/>
              </w:rPr>
              <w:t>○</w:t>
            </w:r>
          </w:p>
        </w:tc>
        <w:tc>
          <w:tcPr>
            <w:tcW w:w="253" w:type="pct"/>
            <w:tcBorders>
              <w:top w:val="single" w:sz="4" w:space="0" w:color="auto"/>
              <w:left w:val="single" w:sz="4" w:space="0" w:color="auto"/>
              <w:bottom w:val="single" w:sz="4" w:space="0" w:color="auto"/>
              <w:right w:val="single" w:sz="4" w:space="0" w:color="auto"/>
            </w:tcBorders>
            <w:vAlign w:val="center"/>
            <w:hideMark/>
          </w:tcPr>
          <w:p w14:paraId="1D4C178E" w14:textId="77777777" w:rsidR="005D372A" w:rsidRPr="001D6D10" w:rsidRDefault="005D372A" w:rsidP="008B4B2B">
            <w:pPr>
              <w:jc w:val="center"/>
              <w:rPr>
                <w:rFonts w:ascii="ＭＳ 明朝"/>
                <w:sz w:val="16"/>
                <w:szCs w:val="16"/>
              </w:rPr>
            </w:pPr>
            <w:r w:rsidRPr="001D6D10">
              <w:rPr>
                <w:rFonts w:ascii="ＭＳ 明朝" w:hint="eastAsia"/>
                <w:sz w:val="16"/>
                <w:szCs w:val="16"/>
              </w:rPr>
              <w:t>○</w:t>
            </w:r>
          </w:p>
        </w:tc>
        <w:tc>
          <w:tcPr>
            <w:tcW w:w="253" w:type="pct"/>
            <w:tcBorders>
              <w:top w:val="single" w:sz="4" w:space="0" w:color="auto"/>
              <w:left w:val="single" w:sz="4" w:space="0" w:color="auto"/>
              <w:bottom w:val="single" w:sz="4" w:space="0" w:color="auto"/>
              <w:right w:val="single" w:sz="4" w:space="0" w:color="auto"/>
            </w:tcBorders>
            <w:vAlign w:val="center"/>
            <w:hideMark/>
          </w:tcPr>
          <w:p w14:paraId="0B3056F7" w14:textId="77777777" w:rsidR="005D372A" w:rsidRPr="001D6D10" w:rsidRDefault="005D372A" w:rsidP="008B4B2B">
            <w:pPr>
              <w:jc w:val="center"/>
              <w:rPr>
                <w:rFonts w:ascii="ＭＳ 明朝"/>
                <w:sz w:val="16"/>
                <w:szCs w:val="16"/>
              </w:rPr>
            </w:pPr>
            <w:r w:rsidRPr="001D6D10">
              <w:rPr>
                <w:rFonts w:ascii="ＭＳ 明朝" w:hint="eastAsia"/>
                <w:sz w:val="16"/>
                <w:szCs w:val="16"/>
              </w:rPr>
              <w:t>○</w:t>
            </w:r>
          </w:p>
        </w:tc>
        <w:tc>
          <w:tcPr>
            <w:tcW w:w="253" w:type="pct"/>
            <w:tcBorders>
              <w:top w:val="single" w:sz="4" w:space="0" w:color="auto"/>
              <w:left w:val="single" w:sz="4" w:space="0" w:color="auto"/>
              <w:bottom w:val="single" w:sz="4" w:space="0" w:color="auto"/>
              <w:right w:val="single" w:sz="4" w:space="0" w:color="auto"/>
            </w:tcBorders>
            <w:vAlign w:val="center"/>
            <w:hideMark/>
          </w:tcPr>
          <w:p w14:paraId="5884F3EE" w14:textId="77777777" w:rsidR="005D372A" w:rsidRPr="001D6D10" w:rsidRDefault="005D372A" w:rsidP="008B4B2B">
            <w:pPr>
              <w:jc w:val="center"/>
              <w:rPr>
                <w:rFonts w:ascii="ＭＳ 明朝"/>
                <w:sz w:val="16"/>
                <w:szCs w:val="16"/>
              </w:rPr>
            </w:pPr>
            <w:r w:rsidRPr="001D6D10">
              <w:rPr>
                <w:rFonts w:ascii="ＭＳ 明朝" w:hint="eastAsia"/>
                <w:sz w:val="16"/>
                <w:szCs w:val="16"/>
              </w:rPr>
              <w:t>○</w:t>
            </w:r>
          </w:p>
        </w:tc>
        <w:tc>
          <w:tcPr>
            <w:tcW w:w="253" w:type="pct"/>
            <w:tcBorders>
              <w:top w:val="single" w:sz="4" w:space="0" w:color="auto"/>
              <w:left w:val="single" w:sz="4" w:space="0" w:color="auto"/>
              <w:bottom w:val="single" w:sz="4" w:space="0" w:color="auto"/>
              <w:right w:val="single" w:sz="4" w:space="0" w:color="auto"/>
            </w:tcBorders>
            <w:vAlign w:val="center"/>
            <w:hideMark/>
          </w:tcPr>
          <w:p w14:paraId="7F8EE61F" w14:textId="77777777" w:rsidR="005D372A" w:rsidRPr="001D6D10" w:rsidRDefault="005D372A" w:rsidP="008B4B2B">
            <w:pPr>
              <w:jc w:val="center"/>
              <w:rPr>
                <w:rFonts w:ascii="ＭＳ 明朝"/>
                <w:sz w:val="16"/>
                <w:szCs w:val="16"/>
              </w:rPr>
            </w:pPr>
            <w:r w:rsidRPr="001D6D10">
              <w:rPr>
                <w:rFonts w:ascii="ＭＳ 明朝" w:hint="eastAsia"/>
                <w:sz w:val="16"/>
                <w:szCs w:val="16"/>
              </w:rPr>
              <w:t>○</w:t>
            </w:r>
          </w:p>
        </w:tc>
        <w:tc>
          <w:tcPr>
            <w:tcW w:w="255" w:type="pct"/>
            <w:tcBorders>
              <w:top w:val="single" w:sz="4" w:space="0" w:color="auto"/>
              <w:left w:val="single" w:sz="4" w:space="0" w:color="auto"/>
              <w:bottom w:val="single" w:sz="4" w:space="0" w:color="auto"/>
              <w:right w:val="single" w:sz="4" w:space="0" w:color="auto"/>
            </w:tcBorders>
            <w:vAlign w:val="center"/>
            <w:hideMark/>
          </w:tcPr>
          <w:p w14:paraId="281F2C59" w14:textId="77777777" w:rsidR="005D372A" w:rsidRPr="001D6D10" w:rsidRDefault="005D372A" w:rsidP="008B4B2B">
            <w:pPr>
              <w:jc w:val="center"/>
              <w:rPr>
                <w:rFonts w:ascii="ＭＳ 明朝"/>
                <w:sz w:val="16"/>
                <w:szCs w:val="16"/>
              </w:rPr>
            </w:pPr>
            <w:r w:rsidRPr="001D6D10">
              <w:rPr>
                <w:rFonts w:ascii="ＭＳ 明朝" w:hint="eastAsia"/>
                <w:sz w:val="16"/>
                <w:szCs w:val="16"/>
              </w:rPr>
              <w:t>○</w:t>
            </w:r>
          </w:p>
        </w:tc>
        <w:tc>
          <w:tcPr>
            <w:tcW w:w="253" w:type="pct"/>
            <w:tcBorders>
              <w:top w:val="single" w:sz="4" w:space="0" w:color="auto"/>
              <w:left w:val="single" w:sz="4" w:space="0" w:color="auto"/>
              <w:bottom w:val="single" w:sz="4" w:space="0" w:color="auto"/>
              <w:right w:val="single" w:sz="4" w:space="0" w:color="auto"/>
            </w:tcBorders>
            <w:shd w:val="clear" w:color="auto" w:fill="FFFFFF"/>
            <w:vAlign w:val="center"/>
          </w:tcPr>
          <w:p w14:paraId="4EF51A30" w14:textId="77777777" w:rsidR="005D372A" w:rsidRPr="001D6D10" w:rsidRDefault="005D372A" w:rsidP="008B4B2B">
            <w:pPr>
              <w:jc w:val="center"/>
              <w:rPr>
                <w:rFonts w:ascii="ＭＳ 明朝"/>
                <w:sz w:val="16"/>
                <w:szCs w:val="16"/>
              </w:rPr>
            </w:pPr>
            <w:r w:rsidRPr="001D6D10">
              <w:rPr>
                <w:rFonts w:ascii="ＭＳ 明朝" w:hint="eastAsia"/>
                <w:sz w:val="16"/>
                <w:szCs w:val="16"/>
              </w:rPr>
              <w:t>○</w:t>
            </w:r>
          </w:p>
        </w:tc>
        <w:tc>
          <w:tcPr>
            <w:tcW w:w="244" w:type="pct"/>
            <w:tcBorders>
              <w:top w:val="single" w:sz="4" w:space="0" w:color="auto"/>
              <w:left w:val="single" w:sz="4" w:space="0" w:color="auto"/>
              <w:bottom w:val="single" w:sz="4" w:space="0" w:color="auto"/>
              <w:right w:val="single" w:sz="4" w:space="0" w:color="auto"/>
            </w:tcBorders>
            <w:shd w:val="clear" w:color="auto" w:fill="FFFFFF"/>
            <w:vAlign w:val="center"/>
          </w:tcPr>
          <w:p w14:paraId="2BFA84B2" w14:textId="77777777" w:rsidR="005D372A" w:rsidRPr="001D6D10" w:rsidRDefault="005D372A" w:rsidP="008B4B2B">
            <w:pPr>
              <w:jc w:val="center"/>
              <w:rPr>
                <w:rFonts w:ascii="ＭＳ 明朝"/>
                <w:sz w:val="16"/>
                <w:szCs w:val="16"/>
              </w:rPr>
            </w:pPr>
            <w:r w:rsidRPr="001D6D10">
              <w:rPr>
                <w:rFonts w:ascii="ＭＳ 明朝" w:hint="eastAsia"/>
                <w:sz w:val="16"/>
                <w:szCs w:val="16"/>
              </w:rPr>
              <w:t>○</w:t>
            </w:r>
          </w:p>
        </w:tc>
      </w:tr>
      <w:tr w:rsidR="001D6D10" w:rsidRPr="001D6D10" w14:paraId="1E924440" w14:textId="77777777" w:rsidTr="001F5915">
        <w:trPr>
          <w:trHeight w:val="527"/>
        </w:trPr>
        <w:tc>
          <w:tcPr>
            <w:tcW w:w="188" w:type="pct"/>
            <w:vMerge w:val="restart"/>
            <w:tcBorders>
              <w:top w:val="single" w:sz="4" w:space="0" w:color="auto"/>
              <w:left w:val="single" w:sz="4" w:space="0" w:color="auto"/>
              <w:bottom w:val="single" w:sz="4" w:space="0" w:color="auto"/>
              <w:right w:val="single" w:sz="4" w:space="0" w:color="auto"/>
            </w:tcBorders>
            <w:vAlign w:val="center"/>
            <w:hideMark/>
          </w:tcPr>
          <w:p w14:paraId="4C3247CC" w14:textId="77777777" w:rsidR="005D372A" w:rsidRPr="001D6D10" w:rsidRDefault="005D372A" w:rsidP="008B4B2B">
            <w:pPr>
              <w:jc w:val="center"/>
              <w:rPr>
                <w:rFonts w:ascii="ＭＳ 明朝"/>
                <w:sz w:val="16"/>
                <w:szCs w:val="16"/>
              </w:rPr>
            </w:pPr>
            <w:r w:rsidRPr="001D6D10">
              <w:rPr>
                <w:rFonts w:ascii="ＭＳ 明朝" w:hint="eastAsia"/>
                <w:sz w:val="16"/>
                <w:szCs w:val="16"/>
              </w:rPr>
              <w:t>２</w:t>
            </w:r>
          </w:p>
        </w:tc>
        <w:tc>
          <w:tcPr>
            <w:tcW w:w="391" w:type="pct"/>
            <w:vMerge w:val="restart"/>
            <w:tcBorders>
              <w:top w:val="single" w:sz="4" w:space="0" w:color="auto"/>
              <w:left w:val="single" w:sz="4" w:space="0" w:color="auto"/>
              <w:bottom w:val="single" w:sz="4" w:space="0" w:color="auto"/>
              <w:right w:val="single" w:sz="4" w:space="0" w:color="auto"/>
            </w:tcBorders>
            <w:vAlign w:val="center"/>
            <w:hideMark/>
          </w:tcPr>
          <w:p w14:paraId="3FF92A10" w14:textId="77777777" w:rsidR="005D372A" w:rsidRPr="001D6D10" w:rsidRDefault="005D372A" w:rsidP="008B4B2B">
            <w:pPr>
              <w:jc w:val="center"/>
              <w:rPr>
                <w:rFonts w:ascii="ＭＳ 明朝"/>
                <w:sz w:val="16"/>
                <w:szCs w:val="16"/>
              </w:rPr>
            </w:pPr>
            <w:r w:rsidRPr="001D6D10">
              <w:rPr>
                <w:rFonts w:ascii="ＭＳ 明朝" w:hint="eastAsia"/>
                <w:sz w:val="16"/>
                <w:szCs w:val="16"/>
              </w:rPr>
              <w:t>副本部長</w:t>
            </w:r>
          </w:p>
        </w:tc>
        <w:tc>
          <w:tcPr>
            <w:tcW w:w="886" w:type="pct"/>
            <w:tcBorders>
              <w:top w:val="single" w:sz="4" w:space="0" w:color="auto"/>
              <w:left w:val="single" w:sz="4" w:space="0" w:color="auto"/>
              <w:bottom w:val="single" w:sz="4" w:space="0" w:color="auto"/>
              <w:right w:val="single" w:sz="4" w:space="0" w:color="auto"/>
            </w:tcBorders>
            <w:vAlign w:val="center"/>
            <w:hideMark/>
          </w:tcPr>
          <w:p w14:paraId="54CF7031" w14:textId="77777777" w:rsidR="005D372A" w:rsidRPr="001D6D10" w:rsidRDefault="005D372A" w:rsidP="008B4B2B">
            <w:pPr>
              <w:jc w:val="left"/>
              <w:rPr>
                <w:rFonts w:ascii="ＭＳ 明朝"/>
                <w:sz w:val="16"/>
                <w:szCs w:val="16"/>
              </w:rPr>
            </w:pPr>
            <w:r w:rsidRPr="001D6D10">
              <w:rPr>
                <w:rFonts w:ascii="ＭＳ 明朝" w:hint="eastAsia"/>
                <w:sz w:val="16"/>
                <w:szCs w:val="16"/>
              </w:rPr>
              <w:t>副知事</w:t>
            </w:r>
            <w:r w:rsidRPr="001D6D10">
              <w:rPr>
                <w:rFonts w:ascii="ＭＳ 明朝" w:hint="eastAsia"/>
                <w:sz w:val="12"/>
                <w:szCs w:val="12"/>
              </w:rPr>
              <w:t>(危機管理担当)</w:t>
            </w:r>
          </w:p>
        </w:tc>
        <w:tc>
          <w:tcPr>
            <w:tcW w:w="251" w:type="pct"/>
            <w:tcBorders>
              <w:top w:val="single" w:sz="4" w:space="0" w:color="auto"/>
              <w:left w:val="single" w:sz="4" w:space="0" w:color="auto"/>
              <w:bottom w:val="single" w:sz="4" w:space="0" w:color="auto"/>
              <w:right w:val="single" w:sz="4" w:space="0" w:color="auto"/>
            </w:tcBorders>
            <w:vAlign w:val="center"/>
            <w:hideMark/>
          </w:tcPr>
          <w:p w14:paraId="350FF379" w14:textId="77777777" w:rsidR="005D372A" w:rsidRPr="001D6D10" w:rsidRDefault="005D372A" w:rsidP="008B4B2B">
            <w:pPr>
              <w:jc w:val="center"/>
              <w:rPr>
                <w:rFonts w:ascii="ＭＳ 明朝"/>
                <w:sz w:val="16"/>
                <w:szCs w:val="16"/>
              </w:rPr>
            </w:pPr>
            <w:r w:rsidRPr="001D6D10">
              <w:rPr>
                <w:rFonts w:ascii="ＭＳ 明朝" w:hint="eastAsia"/>
                <w:sz w:val="16"/>
                <w:szCs w:val="16"/>
              </w:rPr>
              <w:t>○</w:t>
            </w:r>
          </w:p>
        </w:tc>
        <w:tc>
          <w:tcPr>
            <w:tcW w:w="253" w:type="pct"/>
            <w:tcBorders>
              <w:top w:val="single" w:sz="4" w:space="0" w:color="auto"/>
              <w:left w:val="single" w:sz="4" w:space="0" w:color="auto"/>
              <w:bottom w:val="single" w:sz="4" w:space="0" w:color="auto"/>
              <w:right w:val="single" w:sz="4" w:space="0" w:color="auto"/>
            </w:tcBorders>
            <w:vAlign w:val="center"/>
            <w:hideMark/>
          </w:tcPr>
          <w:p w14:paraId="3FFC4379" w14:textId="77777777" w:rsidR="005D372A" w:rsidRPr="001D6D10" w:rsidRDefault="005D372A" w:rsidP="008B4B2B">
            <w:pPr>
              <w:jc w:val="center"/>
              <w:rPr>
                <w:rFonts w:ascii="ＭＳ 明朝"/>
                <w:sz w:val="16"/>
                <w:szCs w:val="16"/>
              </w:rPr>
            </w:pPr>
            <w:r w:rsidRPr="001D6D10">
              <w:rPr>
                <w:rFonts w:ascii="ＭＳ 明朝" w:hint="eastAsia"/>
                <w:sz w:val="16"/>
                <w:szCs w:val="16"/>
              </w:rPr>
              <w:t>○</w:t>
            </w:r>
          </w:p>
        </w:tc>
        <w:tc>
          <w:tcPr>
            <w:tcW w:w="253" w:type="pct"/>
            <w:tcBorders>
              <w:top w:val="single" w:sz="4" w:space="0" w:color="auto"/>
              <w:left w:val="single" w:sz="4" w:space="0" w:color="auto"/>
              <w:bottom w:val="single" w:sz="4" w:space="0" w:color="auto"/>
              <w:right w:val="single" w:sz="4" w:space="0" w:color="auto"/>
            </w:tcBorders>
            <w:vAlign w:val="center"/>
            <w:hideMark/>
          </w:tcPr>
          <w:p w14:paraId="4BB53C9E" w14:textId="77777777" w:rsidR="005D372A" w:rsidRPr="001D6D10" w:rsidRDefault="005D372A" w:rsidP="008B4B2B">
            <w:pPr>
              <w:jc w:val="center"/>
              <w:rPr>
                <w:rFonts w:ascii="ＭＳ 明朝"/>
                <w:sz w:val="16"/>
                <w:szCs w:val="16"/>
              </w:rPr>
            </w:pPr>
            <w:r w:rsidRPr="001D6D10">
              <w:rPr>
                <w:rFonts w:ascii="ＭＳ 明朝" w:hint="eastAsia"/>
                <w:sz w:val="16"/>
                <w:szCs w:val="16"/>
              </w:rPr>
              <w:t>○</w:t>
            </w:r>
          </w:p>
        </w:tc>
        <w:tc>
          <w:tcPr>
            <w:tcW w:w="253" w:type="pct"/>
            <w:tcBorders>
              <w:top w:val="single" w:sz="4" w:space="0" w:color="auto"/>
              <w:left w:val="single" w:sz="4" w:space="0" w:color="auto"/>
              <w:bottom w:val="single" w:sz="4" w:space="0" w:color="auto"/>
              <w:right w:val="single" w:sz="4" w:space="0" w:color="auto"/>
            </w:tcBorders>
            <w:vAlign w:val="center"/>
          </w:tcPr>
          <w:p w14:paraId="02E35411" w14:textId="77777777" w:rsidR="005D372A" w:rsidRPr="001D6D10" w:rsidRDefault="005D372A" w:rsidP="008B4B2B">
            <w:pPr>
              <w:jc w:val="center"/>
              <w:rPr>
                <w:rFonts w:ascii="ＭＳ 明朝"/>
                <w:sz w:val="16"/>
                <w:szCs w:val="16"/>
              </w:rPr>
            </w:pPr>
            <w:r w:rsidRPr="001D6D10">
              <w:rPr>
                <w:rFonts w:ascii="ＭＳ 明朝" w:hint="eastAsia"/>
                <w:sz w:val="16"/>
                <w:szCs w:val="16"/>
              </w:rPr>
              <w:t>○</w:t>
            </w:r>
          </w:p>
        </w:tc>
        <w:tc>
          <w:tcPr>
            <w:tcW w:w="244" w:type="pct"/>
            <w:tcBorders>
              <w:top w:val="single" w:sz="4" w:space="0" w:color="auto"/>
              <w:left w:val="single" w:sz="4" w:space="0" w:color="auto"/>
              <w:bottom w:val="single" w:sz="4" w:space="0" w:color="auto"/>
              <w:right w:val="single" w:sz="4" w:space="0" w:color="auto"/>
            </w:tcBorders>
            <w:shd w:val="clear" w:color="auto" w:fill="FFFFFF"/>
            <w:vAlign w:val="center"/>
          </w:tcPr>
          <w:p w14:paraId="661CBB68" w14:textId="77777777" w:rsidR="005D372A" w:rsidRPr="001D6D10" w:rsidRDefault="005D372A" w:rsidP="008B4B2B">
            <w:pPr>
              <w:jc w:val="center"/>
              <w:rPr>
                <w:rFonts w:ascii="ＭＳ 明朝"/>
                <w:sz w:val="16"/>
                <w:szCs w:val="16"/>
              </w:rPr>
            </w:pPr>
            <w:r w:rsidRPr="001D6D10">
              <w:rPr>
                <w:rFonts w:ascii="ＭＳ 明朝" w:hint="eastAsia"/>
                <w:sz w:val="16"/>
                <w:szCs w:val="16"/>
              </w:rPr>
              <w:t>○</w:t>
            </w:r>
          </w:p>
        </w:tc>
        <w:tc>
          <w:tcPr>
            <w:tcW w:w="262" w:type="pct"/>
            <w:tcBorders>
              <w:top w:val="single" w:sz="4" w:space="0" w:color="auto"/>
              <w:left w:val="single" w:sz="4" w:space="0" w:color="auto"/>
              <w:bottom w:val="single" w:sz="4" w:space="0" w:color="auto"/>
              <w:right w:val="single" w:sz="4" w:space="0" w:color="auto"/>
            </w:tcBorders>
            <w:vAlign w:val="center"/>
          </w:tcPr>
          <w:p w14:paraId="774E7D91" w14:textId="77777777" w:rsidR="005D372A" w:rsidRPr="001D6D10" w:rsidRDefault="005D372A" w:rsidP="008B4B2B">
            <w:pPr>
              <w:jc w:val="center"/>
              <w:rPr>
                <w:rFonts w:ascii="ＭＳ 明朝"/>
                <w:sz w:val="16"/>
                <w:szCs w:val="16"/>
              </w:rPr>
            </w:pPr>
          </w:p>
        </w:tc>
        <w:tc>
          <w:tcPr>
            <w:tcW w:w="253" w:type="pct"/>
            <w:tcBorders>
              <w:top w:val="single" w:sz="4" w:space="0" w:color="auto"/>
              <w:left w:val="single" w:sz="4" w:space="0" w:color="auto"/>
              <w:bottom w:val="single" w:sz="4" w:space="0" w:color="auto"/>
              <w:right w:val="single" w:sz="4" w:space="0" w:color="auto"/>
            </w:tcBorders>
            <w:vAlign w:val="center"/>
          </w:tcPr>
          <w:p w14:paraId="19340D07" w14:textId="77777777" w:rsidR="005D372A" w:rsidRPr="001D6D10" w:rsidRDefault="005D372A" w:rsidP="008B4B2B">
            <w:pPr>
              <w:jc w:val="center"/>
              <w:rPr>
                <w:rFonts w:ascii="ＭＳ 明朝"/>
                <w:sz w:val="16"/>
                <w:szCs w:val="16"/>
              </w:rPr>
            </w:pPr>
          </w:p>
        </w:tc>
        <w:tc>
          <w:tcPr>
            <w:tcW w:w="253" w:type="pct"/>
            <w:tcBorders>
              <w:top w:val="single" w:sz="4" w:space="0" w:color="auto"/>
              <w:left w:val="single" w:sz="4" w:space="0" w:color="auto"/>
              <w:bottom w:val="single" w:sz="4" w:space="0" w:color="auto"/>
              <w:right w:val="single" w:sz="4" w:space="0" w:color="auto"/>
            </w:tcBorders>
            <w:vAlign w:val="center"/>
          </w:tcPr>
          <w:p w14:paraId="7CE48800" w14:textId="77777777" w:rsidR="005D372A" w:rsidRPr="001D6D10" w:rsidRDefault="005D372A" w:rsidP="008B4B2B">
            <w:pPr>
              <w:jc w:val="center"/>
              <w:rPr>
                <w:rFonts w:ascii="ＭＳ 明朝"/>
                <w:sz w:val="16"/>
                <w:szCs w:val="16"/>
              </w:rPr>
            </w:pPr>
          </w:p>
        </w:tc>
        <w:tc>
          <w:tcPr>
            <w:tcW w:w="253" w:type="pct"/>
            <w:tcBorders>
              <w:top w:val="single" w:sz="4" w:space="0" w:color="auto"/>
              <w:left w:val="single" w:sz="4" w:space="0" w:color="auto"/>
              <w:bottom w:val="single" w:sz="4" w:space="0" w:color="auto"/>
              <w:right w:val="single" w:sz="4" w:space="0" w:color="auto"/>
            </w:tcBorders>
            <w:vAlign w:val="center"/>
          </w:tcPr>
          <w:p w14:paraId="66426C9F" w14:textId="77777777" w:rsidR="005D372A" w:rsidRPr="001D6D10" w:rsidRDefault="005D372A" w:rsidP="008B4B2B">
            <w:pPr>
              <w:jc w:val="center"/>
              <w:rPr>
                <w:rFonts w:ascii="ＭＳ 明朝"/>
                <w:sz w:val="16"/>
                <w:szCs w:val="16"/>
              </w:rPr>
            </w:pPr>
          </w:p>
        </w:tc>
        <w:tc>
          <w:tcPr>
            <w:tcW w:w="253" w:type="pct"/>
            <w:tcBorders>
              <w:top w:val="single" w:sz="4" w:space="0" w:color="auto"/>
              <w:left w:val="single" w:sz="4" w:space="0" w:color="auto"/>
              <w:bottom w:val="single" w:sz="4" w:space="0" w:color="auto"/>
              <w:right w:val="single" w:sz="4" w:space="0" w:color="auto"/>
            </w:tcBorders>
            <w:vAlign w:val="center"/>
          </w:tcPr>
          <w:p w14:paraId="1D4DFD16" w14:textId="77777777" w:rsidR="005D372A" w:rsidRPr="001D6D10" w:rsidRDefault="005D372A" w:rsidP="008B4B2B">
            <w:pPr>
              <w:jc w:val="center"/>
              <w:rPr>
                <w:rFonts w:ascii="ＭＳ 明朝"/>
                <w:sz w:val="16"/>
                <w:szCs w:val="16"/>
              </w:rPr>
            </w:pPr>
          </w:p>
        </w:tc>
        <w:tc>
          <w:tcPr>
            <w:tcW w:w="253" w:type="pct"/>
            <w:tcBorders>
              <w:top w:val="single" w:sz="4" w:space="0" w:color="auto"/>
              <w:left w:val="single" w:sz="4" w:space="0" w:color="auto"/>
              <w:bottom w:val="single" w:sz="4" w:space="0" w:color="auto"/>
              <w:right w:val="single" w:sz="4" w:space="0" w:color="auto"/>
            </w:tcBorders>
            <w:vAlign w:val="center"/>
          </w:tcPr>
          <w:p w14:paraId="53F2E8FE" w14:textId="77777777" w:rsidR="005D372A" w:rsidRPr="001D6D10" w:rsidRDefault="005D372A" w:rsidP="008B4B2B">
            <w:pPr>
              <w:jc w:val="center"/>
              <w:rPr>
                <w:rFonts w:ascii="ＭＳ 明朝"/>
                <w:sz w:val="16"/>
                <w:szCs w:val="16"/>
              </w:rPr>
            </w:pPr>
          </w:p>
        </w:tc>
        <w:tc>
          <w:tcPr>
            <w:tcW w:w="255" w:type="pct"/>
            <w:tcBorders>
              <w:top w:val="single" w:sz="4" w:space="0" w:color="auto"/>
              <w:left w:val="single" w:sz="4" w:space="0" w:color="auto"/>
              <w:bottom w:val="single" w:sz="4" w:space="0" w:color="auto"/>
              <w:right w:val="single" w:sz="4" w:space="0" w:color="auto"/>
            </w:tcBorders>
            <w:vAlign w:val="center"/>
          </w:tcPr>
          <w:p w14:paraId="28E1345D" w14:textId="77777777" w:rsidR="005D372A" w:rsidRPr="001D6D10" w:rsidRDefault="005D372A" w:rsidP="008B4B2B">
            <w:pPr>
              <w:jc w:val="center"/>
              <w:rPr>
                <w:rFonts w:ascii="ＭＳ 明朝"/>
                <w:sz w:val="16"/>
                <w:szCs w:val="16"/>
              </w:rPr>
            </w:pPr>
          </w:p>
        </w:tc>
        <w:tc>
          <w:tcPr>
            <w:tcW w:w="253" w:type="pct"/>
            <w:tcBorders>
              <w:top w:val="single" w:sz="4" w:space="0" w:color="auto"/>
              <w:left w:val="single" w:sz="4" w:space="0" w:color="auto"/>
              <w:bottom w:val="single" w:sz="4" w:space="0" w:color="auto"/>
              <w:right w:val="single" w:sz="4" w:space="0" w:color="auto"/>
            </w:tcBorders>
            <w:shd w:val="clear" w:color="auto" w:fill="FFFFFF"/>
            <w:vAlign w:val="center"/>
          </w:tcPr>
          <w:p w14:paraId="62A29053" w14:textId="77777777" w:rsidR="005D372A" w:rsidRPr="001D6D10" w:rsidRDefault="005D372A" w:rsidP="008B4B2B">
            <w:pPr>
              <w:jc w:val="center"/>
              <w:rPr>
                <w:rFonts w:ascii="ＭＳ 明朝"/>
                <w:sz w:val="16"/>
                <w:szCs w:val="16"/>
              </w:rPr>
            </w:pPr>
            <w:r w:rsidRPr="001D6D10">
              <w:rPr>
                <w:rFonts w:ascii="ＭＳ 明朝" w:hint="eastAsia"/>
                <w:sz w:val="16"/>
                <w:szCs w:val="16"/>
              </w:rPr>
              <w:t>○</w:t>
            </w:r>
          </w:p>
        </w:tc>
        <w:tc>
          <w:tcPr>
            <w:tcW w:w="244" w:type="pct"/>
            <w:tcBorders>
              <w:top w:val="single" w:sz="4" w:space="0" w:color="auto"/>
              <w:left w:val="single" w:sz="4" w:space="0" w:color="auto"/>
              <w:bottom w:val="single" w:sz="4" w:space="0" w:color="auto"/>
              <w:right w:val="single" w:sz="4" w:space="0" w:color="auto"/>
            </w:tcBorders>
            <w:shd w:val="clear" w:color="auto" w:fill="FFFFFF"/>
            <w:vAlign w:val="center"/>
          </w:tcPr>
          <w:p w14:paraId="1187B75E" w14:textId="77777777" w:rsidR="005D372A" w:rsidRPr="001D6D10" w:rsidRDefault="005D372A" w:rsidP="008B4B2B">
            <w:pPr>
              <w:jc w:val="center"/>
              <w:rPr>
                <w:rFonts w:ascii="ＭＳ 明朝"/>
                <w:sz w:val="16"/>
                <w:szCs w:val="16"/>
              </w:rPr>
            </w:pPr>
          </w:p>
        </w:tc>
      </w:tr>
      <w:tr w:rsidR="001D6D10" w:rsidRPr="001D6D10" w14:paraId="78BF718A" w14:textId="77777777" w:rsidTr="001F5915">
        <w:trPr>
          <w:trHeight w:val="380"/>
        </w:trPr>
        <w:tc>
          <w:tcPr>
            <w:tcW w:w="188" w:type="pct"/>
            <w:vMerge/>
            <w:tcBorders>
              <w:top w:val="single" w:sz="4" w:space="0" w:color="auto"/>
              <w:left w:val="single" w:sz="4" w:space="0" w:color="auto"/>
              <w:bottom w:val="single" w:sz="4" w:space="0" w:color="auto"/>
              <w:right w:val="single" w:sz="4" w:space="0" w:color="auto"/>
            </w:tcBorders>
            <w:vAlign w:val="center"/>
            <w:hideMark/>
          </w:tcPr>
          <w:p w14:paraId="6C512071" w14:textId="77777777" w:rsidR="005D372A" w:rsidRPr="001D6D10" w:rsidRDefault="005D372A" w:rsidP="008B4B2B">
            <w:pPr>
              <w:widowControl/>
              <w:jc w:val="center"/>
              <w:rPr>
                <w:rFonts w:ascii="ＭＳ 明朝"/>
                <w:sz w:val="16"/>
                <w:szCs w:val="16"/>
              </w:rPr>
            </w:pPr>
          </w:p>
        </w:tc>
        <w:tc>
          <w:tcPr>
            <w:tcW w:w="391" w:type="pct"/>
            <w:vMerge/>
            <w:tcBorders>
              <w:top w:val="single" w:sz="4" w:space="0" w:color="auto"/>
              <w:left w:val="single" w:sz="4" w:space="0" w:color="auto"/>
              <w:bottom w:val="single" w:sz="4" w:space="0" w:color="auto"/>
              <w:right w:val="single" w:sz="4" w:space="0" w:color="auto"/>
            </w:tcBorders>
            <w:vAlign w:val="center"/>
            <w:hideMark/>
          </w:tcPr>
          <w:p w14:paraId="7F567D0B" w14:textId="77777777" w:rsidR="005D372A" w:rsidRPr="001D6D10" w:rsidRDefault="005D372A" w:rsidP="008B4B2B">
            <w:pPr>
              <w:widowControl/>
              <w:jc w:val="center"/>
              <w:rPr>
                <w:rFonts w:ascii="ＭＳ 明朝"/>
                <w:sz w:val="16"/>
                <w:szCs w:val="16"/>
              </w:rPr>
            </w:pPr>
          </w:p>
        </w:tc>
        <w:tc>
          <w:tcPr>
            <w:tcW w:w="886" w:type="pct"/>
            <w:tcBorders>
              <w:top w:val="single" w:sz="4" w:space="0" w:color="auto"/>
              <w:left w:val="single" w:sz="4" w:space="0" w:color="auto"/>
              <w:bottom w:val="single" w:sz="4" w:space="0" w:color="auto"/>
              <w:right w:val="single" w:sz="4" w:space="0" w:color="auto"/>
            </w:tcBorders>
            <w:vAlign w:val="center"/>
            <w:hideMark/>
          </w:tcPr>
          <w:p w14:paraId="340801B6" w14:textId="77777777" w:rsidR="005D372A" w:rsidRPr="001D6D10" w:rsidRDefault="005D372A" w:rsidP="008B4B2B">
            <w:pPr>
              <w:jc w:val="left"/>
            </w:pPr>
            <w:r w:rsidRPr="001D6D10">
              <w:rPr>
                <w:rFonts w:ascii="ＭＳ 明朝" w:hint="eastAsia"/>
                <w:sz w:val="16"/>
                <w:szCs w:val="16"/>
              </w:rPr>
              <w:t>副知事</w:t>
            </w:r>
          </w:p>
        </w:tc>
        <w:tc>
          <w:tcPr>
            <w:tcW w:w="251" w:type="pct"/>
            <w:tcBorders>
              <w:top w:val="single" w:sz="4" w:space="0" w:color="auto"/>
              <w:left w:val="single" w:sz="4" w:space="0" w:color="auto"/>
              <w:bottom w:val="single" w:sz="4" w:space="0" w:color="auto"/>
              <w:right w:val="single" w:sz="4" w:space="0" w:color="auto"/>
            </w:tcBorders>
            <w:vAlign w:val="center"/>
            <w:hideMark/>
          </w:tcPr>
          <w:p w14:paraId="3236808E" w14:textId="77777777" w:rsidR="005D372A" w:rsidRPr="001D6D10" w:rsidRDefault="005D372A" w:rsidP="008B4B2B">
            <w:pPr>
              <w:jc w:val="center"/>
              <w:rPr>
                <w:rFonts w:ascii="ＭＳ 明朝"/>
                <w:sz w:val="16"/>
                <w:szCs w:val="16"/>
              </w:rPr>
            </w:pPr>
            <w:r w:rsidRPr="001D6D10">
              <w:rPr>
                <w:rFonts w:ascii="ＭＳ 明朝" w:hint="eastAsia"/>
                <w:sz w:val="16"/>
                <w:szCs w:val="16"/>
              </w:rPr>
              <w:t>○</w:t>
            </w:r>
          </w:p>
        </w:tc>
        <w:tc>
          <w:tcPr>
            <w:tcW w:w="253" w:type="pct"/>
            <w:tcBorders>
              <w:top w:val="single" w:sz="4" w:space="0" w:color="auto"/>
              <w:left w:val="single" w:sz="4" w:space="0" w:color="auto"/>
              <w:bottom w:val="single" w:sz="4" w:space="0" w:color="auto"/>
              <w:right w:val="single" w:sz="4" w:space="0" w:color="auto"/>
            </w:tcBorders>
            <w:vAlign w:val="center"/>
          </w:tcPr>
          <w:p w14:paraId="6FEE8E77" w14:textId="77777777" w:rsidR="005D372A" w:rsidRPr="001D6D10" w:rsidRDefault="005D372A" w:rsidP="008B4B2B">
            <w:pPr>
              <w:jc w:val="center"/>
              <w:rPr>
                <w:rFonts w:ascii="ＭＳ 明朝"/>
                <w:sz w:val="16"/>
                <w:szCs w:val="16"/>
              </w:rPr>
            </w:pPr>
          </w:p>
        </w:tc>
        <w:tc>
          <w:tcPr>
            <w:tcW w:w="253" w:type="pct"/>
            <w:tcBorders>
              <w:top w:val="single" w:sz="4" w:space="0" w:color="auto"/>
              <w:left w:val="single" w:sz="4" w:space="0" w:color="auto"/>
              <w:bottom w:val="single" w:sz="4" w:space="0" w:color="auto"/>
              <w:right w:val="single" w:sz="4" w:space="0" w:color="auto"/>
            </w:tcBorders>
            <w:vAlign w:val="center"/>
          </w:tcPr>
          <w:p w14:paraId="2DDC64FE" w14:textId="77777777" w:rsidR="005D372A" w:rsidRPr="001D6D10" w:rsidRDefault="005D372A" w:rsidP="008B4B2B">
            <w:pPr>
              <w:jc w:val="center"/>
              <w:rPr>
                <w:rFonts w:ascii="ＭＳ 明朝"/>
                <w:sz w:val="16"/>
                <w:szCs w:val="16"/>
                <w:highlight w:val="cyan"/>
              </w:rPr>
            </w:pPr>
          </w:p>
        </w:tc>
        <w:tc>
          <w:tcPr>
            <w:tcW w:w="253" w:type="pct"/>
            <w:tcBorders>
              <w:top w:val="single" w:sz="4" w:space="0" w:color="auto"/>
              <w:left w:val="single" w:sz="4" w:space="0" w:color="auto"/>
              <w:bottom w:val="single" w:sz="4" w:space="0" w:color="auto"/>
              <w:right w:val="single" w:sz="4" w:space="0" w:color="auto"/>
            </w:tcBorders>
            <w:vAlign w:val="center"/>
          </w:tcPr>
          <w:p w14:paraId="7B1B1E31" w14:textId="77777777" w:rsidR="005D372A" w:rsidRPr="001D6D10" w:rsidRDefault="005D372A" w:rsidP="008B4B2B">
            <w:pPr>
              <w:jc w:val="center"/>
              <w:rPr>
                <w:rFonts w:ascii="ＭＳ 明朝"/>
                <w:sz w:val="16"/>
                <w:szCs w:val="16"/>
              </w:rPr>
            </w:pPr>
            <w:r w:rsidRPr="001D6D10">
              <w:rPr>
                <w:rFonts w:ascii="ＭＳ 明朝" w:hint="eastAsia"/>
                <w:sz w:val="16"/>
                <w:szCs w:val="16"/>
              </w:rPr>
              <w:t>〇</w:t>
            </w:r>
          </w:p>
        </w:tc>
        <w:tc>
          <w:tcPr>
            <w:tcW w:w="244" w:type="pct"/>
            <w:tcBorders>
              <w:top w:val="single" w:sz="4" w:space="0" w:color="auto"/>
              <w:left w:val="single" w:sz="4" w:space="0" w:color="auto"/>
              <w:bottom w:val="single" w:sz="4" w:space="0" w:color="auto"/>
              <w:right w:val="single" w:sz="4" w:space="0" w:color="auto"/>
            </w:tcBorders>
            <w:shd w:val="clear" w:color="auto" w:fill="FFFFFF"/>
            <w:vAlign w:val="center"/>
          </w:tcPr>
          <w:p w14:paraId="5A62274C" w14:textId="77777777" w:rsidR="005D372A" w:rsidRPr="001D6D10" w:rsidRDefault="005D372A" w:rsidP="008B4B2B">
            <w:pPr>
              <w:jc w:val="center"/>
              <w:rPr>
                <w:rFonts w:ascii="ＭＳ 明朝"/>
                <w:sz w:val="16"/>
                <w:szCs w:val="16"/>
              </w:rPr>
            </w:pPr>
          </w:p>
        </w:tc>
        <w:tc>
          <w:tcPr>
            <w:tcW w:w="262" w:type="pct"/>
            <w:tcBorders>
              <w:top w:val="single" w:sz="4" w:space="0" w:color="auto"/>
              <w:left w:val="single" w:sz="4" w:space="0" w:color="auto"/>
              <w:bottom w:val="single" w:sz="4" w:space="0" w:color="auto"/>
              <w:right w:val="single" w:sz="4" w:space="0" w:color="auto"/>
            </w:tcBorders>
            <w:vAlign w:val="center"/>
          </w:tcPr>
          <w:p w14:paraId="028A853A" w14:textId="77777777" w:rsidR="005D372A" w:rsidRPr="001D6D10" w:rsidRDefault="005D372A" w:rsidP="008B4B2B">
            <w:pPr>
              <w:jc w:val="center"/>
              <w:rPr>
                <w:rFonts w:ascii="ＭＳ 明朝"/>
                <w:sz w:val="16"/>
                <w:szCs w:val="16"/>
              </w:rPr>
            </w:pPr>
          </w:p>
        </w:tc>
        <w:tc>
          <w:tcPr>
            <w:tcW w:w="253" w:type="pct"/>
            <w:tcBorders>
              <w:top w:val="single" w:sz="4" w:space="0" w:color="auto"/>
              <w:left w:val="single" w:sz="4" w:space="0" w:color="auto"/>
              <w:bottom w:val="single" w:sz="4" w:space="0" w:color="auto"/>
              <w:right w:val="single" w:sz="4" w:space="0" w:color="auto"/>
            </w:tcBorders>
            <w:vAlign w:val="center"/>
          </w:tcPr>
          <w:p w14:paraId="1725A3CA" w14:textId="77777777" w:rsidR="005D372A" w:rsidRPr="001D6D10" w:rsidRDefault="005D372A" w:rsidP="008B4B2B">
            <w:pPr>
              <w:jc w:val="center"/>
              <w:rPr>
                <w:rFonts w:ascii="ＭＳ 明朝"/>
                <w:sz w:val="16"/>
                <w:szCs w:val="16"/>
              </w:rPr>
            </w:pPr>
          </w:p>
        </w:tc>
        <w:tc>
          <w:tcPr>
            <w:tcW w:w="253" w:type="pct"/>
            <w:tcBorders>
              <w:top w:val="single" w:sz="4" w:space="0" w:color="auto"/>
              <w:left w:val="single" w:sz="4" w:space="0" w:color="auto"/>
              <w:bottom w:val="single" w:sz="4" w:space="0" w:color="auto"/>
              <w:right w:val="single" w:sz="4" w:space="0" w:color="auto"/>
            </w:tcBorders>
            <w:vAlign w:val="center"/>
          </w:tcPr>
          <w:p w14:paraId="1A094C30" w14:textId="77777777" w:rsidR="005D372A" w:rsidRPr="001D6D10" w:rsidRDefault="005D372A" w:rsidP="008B4B2B">
            <w:pPr>
              <w:jc w:val="center"/>
              <w:rPr>
                <w:rFonts w:ascii="ＭＳ 明朝"/>
                <w:sz w:val="16"/>
                <w:szCs w:val="16"/>
              </w:rPr>
            </w:pPr>
          </w:p>
        </w:tc>
        <w:tc>
          <w:tcPr>
            <w:tcW w:w="253" w:type="pct"/>
            <w:tcBorders>
              <w:top w:val="single" w:sz="4" w:space="0" w:color="auto"/>
              <w:left w:val="single" w:sz="4" w:space="0" w:color="auto"/>
              <w:bottom w:val="single" w:sz="4" w:space="0" w:color="auto"/>
              <w:right w:val="single" w:sz="4" w:space="0" w:color="auto"/>
            </w:tcBorders>
            <w:vAlign w:val="center"/>
          </w:tcPr>
          <w:p w14:paraId="71BC82B5" w14:textId="77777777" w:rsidR="005D372A" w:rsidRPr="001D6D10" w:rsidRDefault="005D372A" w:rsidP="008B4B2B">
            <w:pPr>
              <w:jc w:val="center"/>
              <w:rPr>
                <w:rFonts w:ascii="ＭＳ 明朝"/>
                <w:sz w:val="16"/>
                <w:szCs w:val="16"/>
              </w:rPr>
            </w:pPr>
          </w:p>
        </w:tc>
        <w:tc>
          <w:tcPr>
            <w:tcW w:w="253" w:type="pct"/>
            <w:tcBorders>
              <w:top w:val="single" w:sz="4" w:space="0" w:color="auto"/>
              <w:left w:val="single" w:sz="4" w:space="0" w:color="auto"/>
              <w:bottom w:val="single" w:sz="4" w:space="0" w:color="auto"/>
              <w:right w:val="single" w:sz="4" w:space="0" w:color="auto"/>
            </w:tcBorders>
            <w:vAlign w:val="center"/>
          </w:tcPr>
          <w:p w14:paraId="67EF5F93" w14:textId="77777777" w:rsidR="005D372A" w:rsidRPr="001D6D10" w:rsidRDefault="005D372A" w:rsidP="008B4B2B">
            <w:pPr>
              <w:jc w:val="center"/>
              <w:rPr>
                <w:rFonts w:ascii="ＭＳ 明朝"/>
                <w:sz w:val="16"/>
                <w:szCs w:val="16"/>
              </w:rPr>
            </w:pPr>
          </w:p>
        </w:tc>
        <w:tc>
          <w:tcPr>
            <w:tcW w:w="253" w:type="pct"/>
            <w:tcBorders>
              <w:top w:val="single" w:sz="4" w:space="0" w:color="auto"/>
              <w:left w:val="single" w:sz="4" w:space="0" w:color="auto"/>
              <w:bottom w:val="single" w:sz="4" w:space="0" w:color="auto"/>
              <w:right w:val="single" w:sz="4" w:space="0" w:color="auto"/>
            </w:tcBorders>
            <w:vAlign w:val="center"/>
          </w:tcPr>
          <w:p w14:paraId="65327420" w14:textId="77777777" w:rsidR="005D372A" w:rsidRPr="001D6D10" w:rsidRDefault="005D372A" w:rsidP="008B4B2B">
            <w:pPr>
              <w:jc w:val="center"/>
              <w:rPr>
                <w:rFonts w:ascii="ＭＳ 明朝"/>
                <w:sz w:val="16"/>
                <w:szCs w:val="16"/>
              </w:rPr>
            </w:pPr>
          </w:p>
        </w:tc>
        <w:tc>
          <w:tcPr>
            <w:tcW w:w="255" w:type="pct"/>
            <w:tcBorders>
              <w:top w:val="single" w:sz="4" w:space="0" w:color="auto"/>
              <w:left w:val="single" w:sz="4" w:space="0" w:color="auto"/>
              <w:bottom w:val="single" w:sz="4" w:space="0" w:color="auto"/>
              <w:right w:val="single" w:sz="4" w:space="0" w:color="auto"/>
            </w:tcBorders>
            <w:vAlign w:val="center"/>
          </w:tcPr>
          <w:p w14:paraId="5B9DD4C7" w14:textId="77777777" w:rsidR="005D372A" w:rsidRPr="001D6D10" w:rsidRDefault="005D372A" w:rsidP="008B4B2B">
            <w:pPr>
              <w:jc w:val="center"/>
              <w:rPr>
                <w:rFonts w:ascii="ＭＳ 明朝"/>
                <w:sz w:val="16"/>
                <w:szCs w:val="16"/>
              </w:rPr>
            </w:pPr>
          </w:p>
        </w:tc>
        <w:tc>
          <w:tcPr>
            <w:tcW w:w="253" w:type="pct"/>
            <w:tcBorders>
              <w:top w:val="single" w:sz="4" w:space="0" w:color="auto"/>
              <w:left w:val="single" w:sz="4" w:space="0" w:color="auto"/>
              <w:bottom w:val="single" w:sz="4" w:space="0" w:color="auto"/>
              <w:right w:val="single" w:sz="4" w:space="0" w:color="auto"/>
            </w:tcBorders>
            <w:shd w:val="clear" w:color="auto" w:fill="FFFFFF"/>
            <w:vAlign w:val="center"/>
          </w:tcPr>
          <w:p w14:paraId="50F8B860" w14:textId="77777777" w:rsidR="005D372A" w:rsidRPr="001D6D10" w:rsidRDefault="005D372A" w:rsidP="008B4B2B">
            <w:pPr>
              <w:jc w:val="center"/>
              <w:rPr>
                <w:rFonts w:ascii="ＭＳ 明朝"/>
                <w:sz w:val="16"/>
                <w:szCs w:val="16"/>
              </w:rPr>
            </w:pPr>
            <w:r w:rsidRPr="001D6D10">
              <w:rPr>
                <w:rFonts w:ascii="ＭＳ 明朝" w:hint="eastAsia"/>
                <w:sz w:val="16"/>
                <w:szCs w:val="16"/>
              </w:rPr>
              <w:t>○</w:t>
            </w:r>
          </w:p>
        </w:tc>
        <w:tc>
          <w:tcPr>
            <w:tcW w:w="244" w:type="pct"/>
            <w:tcBorders>
              <w:top w:val="single" w:sz="4" w:space="0" w:color="auto"/>
              <w:left w:val="single" w:sz="4" w:space="0" w:color="auto"/>
              <w:bottom w:val="single" w:sz="4" w:space="0" w:color="auto"/>
              <w:right w:val="single" w:sz="4" w:space="0" w:color="auto"/>
            </w:tcBorders>
            <w:shd w:val="clear" w:color="auto" w:fill="FFFFFF"/>
            <w:vAlign w:val="center"/>
          </w:tcPr>
          <w:p w14:paraId="70C60BCB" w14:textId="77777777" w:rsidR="005D372A" w:rsidRPr="001D6D10" w:rsidRDefault="005D372A" w:rsidP="008B4B2B">
            <w:pPr>
              <w:jc w:val="center"/>
              <w:rPr>
                <w:rFonts w:ascii="ＭＳ 明朝"/>
                <w:sz w:val="16"/>
                <w:szCs w:val="16"/>
              </w:rPr>
            </w:pPr>
          </w:p>
        </w:tc>
      </w:tr>
      <w:tr w:rsidR="001D6D10" w:rsidRPr="001D6D10" w14:paraId="75FD7FA8" w14:textId="77777777" w:rsidTr="001F5915">
        <w:trPr>
          <w:trHeight w:val="189"/>
        </w:trPr>
        <w:tc>
          <w:tcPr>
            <w:tcW w:w="188" w:type="pct"/>
            <w:vMerge/>
            <w:tcBorders>
              <w:top w:val="single" w:sz="4" w:space="0" w:color="auto"/>
              <w:left w:val="single" w:sz="4" w:space="0" w:color="auto"/>
              <w:bottom w:val="single" w:sz="4" w:space="0" w:color="auto"/>
              <w:right w:val="single" w:sz="4" w:space="0" w:color="auto"/>
            </w:tcBorders>
            <w:vAlign w:val="center"/>
            <w:hideMark/>
          </w:tcPr>
          <w:p w14:paraId="6373B2A4" w14:textId="77777777" w:rsidR="005D372A" w:rsidRPr="001D6D10" w:rsidRDefault="005D372A" w:rsidP="008B4B2B">
            <w:pPr>
              <w:widowControl/>
              <w:jc w:val="center"/>
              <w:rPr>
                <w:rFonts w:ascii="ＭＳ 明朝"/>
                <w:sz w:val="16"/>
                <w:szCs w:val="16"/>
              </w:rPr>
            </w:pPr>
          </w:p>
        </w:tc>
        <w:tc>
          <w:tcPr>
            <w:tcW w:w="391" w:type="pct"/>
            <w:vMerge/>
            <w:tcBorders>
              <w:top w:val="single" w:sz="4" w:space="0" w:color="auto"/>
              <w:left w:val="single" w:sz="4" w:space="0" w:color="auto"/>
              <w:bottom w:val="single" w:sz="4" w:space="0" w:color="auto"/>
              <w:right w:val="single" w:sz="4" w:space="0" w:color="auto"/>
            </w:tcBorders>
            <w:vAlign w:val="center"/>
            <w:hideMark/>
          </w:tcPr>
          <w:p w14:paraId="689932FD" w14:textId="77777777" w:rsidR="005D372A" w:rsidRPr="001D6D10" w:rsidRDefault="005D372A" w:rsidP="008B4B2B">
            <w:pPr>
              <w:widowControl/>
              <w:jc w:val="center"/>
              <w:rPr>
                <w:rFonts w:ascii="ＭＳ 明朝"/>
                <w:sz w:val="16"/>
                <w:szCs w:val="16"/>
              </w:rPr>
            </w:pPr>
          </w:p>
        </w:tc>
        <w:tc>
          <w:tcPr>
            <w:tcW w:w="886" w:type="pct"/>
            <w:tcBorders>
              <w:top w:val="single" w:sz="4" w:space="0" w:color="auto"/>
              <w:left w:val="single" w:sz="4" w:space="0" w:color="auto"/>
              <w:bottom w:val="single" w:sz="4" w:space="0" w:color="auto"/>
              <w:right w:val="single" w:sz="4" w:space="0" w:color="auto"/>
            </w:tcBorders>
            <w:vAlign w:val="center"/>
            <w:hideMark/>
          </w:tcPr>
          <w:p w14:paraId="584605F3" w14:textId="77777777" w:rsidR="005D372A" w:rsidRPr="001D6D10" w:rsidRDefault="005D372A" w:rsidP="008B4B2B">
            <w:pPr>
              <w:jc w:val="left"/>
            </w:pPr>
            <w:r w:rsidRPr="001D6D10">
              <w:rPr>
                <w:rFonts w:ascii="ＭＳ 明朝" w:hint="eastAsia"/>
                <w:sz w:val="16"/>
                <w:szCs w:val="16"/>
              </w:rPr>
              <w:t>副知事</w:t>
            </w:r>
          </w:p>
        </w:tc>
        <w:tc>
          <w:tcPr>
            <w:tcW w:w="251" w:type="pct"/>
            <w:tcBorders>
              <w:top w:val="single" w:sz="4" w:space="0" w:color="auto"/>
              <w:left w:val="single" w:sz="4" w:space="0" w:color="auto"/>
              <w:bottom w:val="single" w:sz="4" w:space="0" w:color="auto"/>
              <w:right w:val="single" w:sz="4" w:space="0" w:color="auto"/>
            </w:tcBorders>
            <w:vAlign w:val="center"/>
            <w:hideMark/>
          </w:tcPr>
          <w:p w14:paraId="115F26A7" w14:textId="77777777" w:rsidR="005D372A" w:rsidRPr="001D6D10" w:rsidRDefault="005D372A" w:rsidP="008B4B2B">
            <w:pPr>
              <w:jc w:val="center"/>
              <w:rPr>
                <w:rFonts w:ascii="ＭＳ 明朝"/>
                <w:sz w:val="16"/>
                <w:szCs w:val="16"/>
              </w:rPr>
            </w:pPr>
            <w:r w:rsidRPr="001D6D10">
              <w:rPr>
                <w:rFonts w:ascii="ＭＳ 明朝" w:hint="eastAsia"/>
                <w:sz w:val="16"/>
                <w:szCs w:val="16"/>
              </w:rPr>
              <w:t>○</w:t>
            </w:r>
          </w:p>
        </w:tc>
        <w:tc>
          <w:tcPr>
            <w:tcW w:w="253" w:type="pct"/>
            <w:tcBorders>
              <w:top w:val="single" w:sz="4" w:space="0" w:color="auto"/>
              <w:left w:val="single" w:sz="4" w:space="0" w:color="auto"/>
              <w:bottom w:val="single" w:sz="4" w:space="0" w:color="auto"/>
              <w:right w:val="single" w:sz="4" w:space="0" w:color="auto"/>
            </w:tcBorders>
            <w:vAlign w:val="center"/>
          </w:tcPr>
          <w:p w14:paraId="0A5A9350" w14:textId="77777777" w:rsidR="005D372A" w:rsidRPr="001D6D10" w:rsidRDefault="005D372A" w:rsidP="008B4B2B">
            <w:pPr>
              <w:jc w:val="center"/>
              <w:rPr>
                <w:rFonts w:ascii="ＭＳ 明朝"/>
                <w:sz w:val="16"/>
                <w:szCs w:val="16"/>
              </w:rPr>
            </w:pPr>
          </w:p>
        </w:tc>
        <w:tc>
          <w:tcPr>
            <w:tcW w:w="253" w:type="pct"/>
            <w:tcBorders>
              <w:top w:val="single" w:sz="4" w:space="0" w:color="auto"/>
              <w:left w:val="single" w:sz="4" w:space="0" w:color="auto"/>
              <w:bottom w:val="single" w:sz="4" w:space="0" w:color="auto"/>
              <w:right w:val="single" w:sz="4" w:space="0" w:color="auto"/>
            </w:tcBorders>
            <w:vAlign w:val="center"/>
          </w:tcPr>
          <w:p w14:paraId="4FD211D8" w14:textId="77777777" w:rsidR="005D372A" w:rsidRPr="001D6D10" w:rsidRDefault="005D372A" w:rsidP="008B4B2B">
            <w:pPr>
              <w:jc w:val="center"/>
              <w:rPr>
                <w:rFonts w:ascii="ＭＳ 明朝"/>
                <w:sz w:val="16"/>
                <w:szCs w:val="16"/>
                <w:highlight w:val="cyan"/>
              </w:rPr>
            </w:pPr>
          </w:p>
        </w:tc>
        <w:tc>
          <w:tcPr>
            <w:tcW w:w="253" w:type="pct"/>
            <w:tcBorders>
              <w:top w:val="single" w:sz="4" w:space="0" w:color="auto"/>
              <w:left w:val="single" w:sz="4" w:space="0" w:color="auto"/>
              <w:bottom w:val="single" w:sz="4" w:space="0" w:color="auto"/>
              <w:right w:val="single" w:sz="4" w:space="0" w:color="auto"/>
            </w:tcBorders>
            <w:vAlign w:val="center"/>
          </w:tcPr>
          <w:p w14:paraId="490364A2" w14:textId="77777777" w:rsidR="005D372A" w:rsidRPr="001D6D10" w:rsidRDefault="005D372A" w:rsidP="008B4B2B">
            <w:pPr>
              <w:jc w:val="center"/>
              <w:rPr>
                <w:rFonts w:ascii="ＭＳ 明朝"/>
                <w:sz w:val="16"/>
                <w:szCs w:val="16"/>
                <w:highlight w:val="cyan"/>
              </w:rPr>
            </w:pPr>
            <w:r w:rsidRPr="001D6D10">
              <w:rPr>
                <w:rFonts w:ascii="ＭＳ 明朝" w:hint="eastAsia"/>
                <w:sz w:val="16"/>
                <w:szCs w:val="16"/>
              </w:rPr>
              <w:t>〇</w:t>
            </w:r>
          </w:p>
        </w:tc>
        <w:tc>
          <w:tcPr>
            <w:tcW w:w="244" w:type="pct"/>
            <w:tcBorders>
              <w:top w:val="single" w:sz="4" w:space="0" w:color="auto"/>
              <w:left w:val="single" w:sz="4" w:space="0" w:color="auto"/>
              <w:bottom w:val="single" w:sz="4" w:space="0" w:color="auto"/>
              <w:right w:val="single" w:sz="4" w:space="0" w:color="auto"/>
            </w:tcBorders>
            <w:shd w:val="clear" w:color="auto" w:fill="FFFFFF"/>
            <w:vAlign w:val="center"/>
          </w:tcPr>
          <w:p w14:paraId="22387A8A" w14:textId="77777777" w:rsidR="005D372A" w:rsidRPr="001D6D10" w:rsidRDefault="005D372A" w:rsidP="008B4B2B">
            <w:pPr>
              <w:jc w:val="center"/>
              <w:rPr>
                <w:rFonts w:ascii="ＭＳ 明朝"/>
                <w:sz w:val="16"/>
                <w:szCs w:val="16"/>
              </w:rPr>
            </w:pPr>
          </w:p>
        </w:tc>
        <w:tc>
          <w:tcPr>
            <w:tcW w:w="262" w:type="pct"/>
            <w:tcBorders>
              <w:top w:val="single" w:sz="4" w:space="0" w:color="auto"/>
              <w:left w:val="single" w:sz="4" w:space="0" w:color="auto"/>
              <w:bottom w:val="single" w:sz="4" w:space="0" w:color="auto"/>
              <w:right w:val="single" w:sz="4" w:space="0" w:color="auto"/>
            </w:tcBorders>
            <w:vAlign w:val="center"/>
          </w:tcPr>
          <w:p w14:paraId="6BC1B1E2" w14:textId="77777777" w:rsidR="005D372A" w:rsidRPr="001D6D10" w:rsidRDefault="005D372A" w:rsidP="008B4B2B">
            <w:pPr>
              <w:jc w:val="center"/>
              <w:rPr>
                <w:rFonts w:ascii="ＭＳ 明朝"/>
                <w:sz w:val="16"/>
                <w:szCs w:val="16"/>
              </w:rPr>
            </w:pPr>
          </w:p>
        </w:tc>
        <w:tc>
          <w:tcPr>
            <w:tcW w:w="253" w:type="pct"/>
            <w:tcBorders>
              <w:top w:val="single" w:sz="4" w:space="0" w:color="auto"/>
              <w:left w:val="single" w:sz="4" w:space="0" w:color="auto"/>
              <w:bottom w:val="single" w:sz="4" w:space="0" w:color="auto"/>
              <w:right w:val="single" w:sz="4" w:space="0" w:color="auto"/>
            </w:tcBorders>
            <w:vAlign w:val="center"/>
          </w:tcPr>
          <w:p w14:paraId="00D21C53" w14:textId="77777777" w:rsidR="005D372A" w:rsidRPr="001D6D10" w:rsidRDefault="005D372A" w:rsidP="008B4B2B">
            <w:pPr>
              <w:jc w:val="center"/>
              <w:rPr>
                <w:rFonts w:ascii="ＭＳ 明朝"/>
                <w:sz w:val="16"/>
                <w:szCs w:val="16"/>
              </w:rPr>
            </w:pPr>
          </w:p>
        </w:tc>
        <w:tc>
          <w:tcPr>
            <w:tcW w:w="253" w:type="pct"/>
            <w:tcBorders>
              <w:top w:val="single" w:sz="4" w:space="0" w:color="auto"/>
              <w:left w:val="single" w:sz="4" w:space="0" w:color="auto"/>
              <w:bottom w:val="single" w:sz="4" w:space="0" w:color="auto"/>
              <w:right w:val="single" w:sz="4" w:space="0" w:color="auto"/>
            </w:tcBorders>
            <w:vAlign w:val="center"/>
          </w:tcPr>
          <w:p w14:paraId="17953AF3" w14:textId="77777777" w:rsidR="005D372A" w:rsidRPr="001D6D10" w:rsidRDefault="005D372A" w:rsidP="008B4B2B">
            <w:pPr>
              <w:jc w:val="center"/>
              <w:rPr>
                <w:rFonts w:ascii="ＭＳ 明朝"/>
                <w:sz w:val="16"/>
                <w:szCs w:val="16"/>
              </w:rPr>
            </w:pPr>
          </w:p>
        </w:tc>
        <w:tc>
          <w:tcPr>
            <w:tcW w:w="253" w:type="pct"/>
            <w:tcBorders>
              <w:top w:val="single" w:sz="4" w:space="0" w:color="auto"/>
              <w:left w:val="single" w:sz="4" w:space="0" w:color="auto"/>
              <w:bottom w:val="single" w:sz="4" w:space="0" w:color="auto"/>
              <w:right w:val="single" w:sz="4" w:space="0" w:color="auto"/>
            </w:tcBorders>
            <w:vAlign w:val="center"/>
          </w:tcPr>
          <w:p w14:paraId="530348DB" w14:textId="77777777" w:rsidR="005D372A" w:rsidRPr="001D6D10" w:rsidRDefault="005D372A" w:rsidP="008B4B2B">
            <w:pPr>
              <w:jc w:val="center"/>
              <w:rPr>
                <w:rFonts w:ascii="ＭＳ 明朝"/>
                <w:sz w:val="16"/>
                <w:szCs w:val="16"/>
              </w:rPr>
            </w:pPr>
          </w:p>
        </w:tc>
        <w:tc>
          <w:tcPr>
            <w:tcW w:w="253" w:type="pct"/>
            <w:tcBorders>
              <w:top w:val="single" w:sz="4" w:space="0" w:color="auto"/>
              <w:left w:val="single" w:sz="4" w:space="0" w:color="auto"/>
              <w:bottom w:val="single" w:sz="4" w:space="0" w:color="auto"/>
              <w:right w:val="single" w:sz="4" w:space="0" w:color="auto"/>
            </w:tcBorders>
            <w:vAlign w:val="center"/>
          </w:tcPr>
          <w:p w14:paraId="400ED0F6" w14:textId="77777777" w:rsidR="005D372A" w:rsidRPr="001D6D10" w:rsidRDefault="005D372A" w:rsidP="008B4B2B">
            <w:pPr>
              <w:jc w:val="center"/>
              <w:rPr>
                <w:rFonts w:ascii="ＭＳ 明朝"/>
                <w:sz w:val="16"/>
                <w:szCs w:val="16"/>
              </w:rPr>
            </w:pPr>
          </w:p>
        </w:tc>
        <w:tc>
          <w:tcPr>
            <w:tcW w:w="253" w:type="pct"/>
            <w:tcBorders>
              <w:top w:val="single" w:sz="4" w:space="0" w:color="auto"/>
              <w:left w:val="single" w:sz="4" w:space="0" w:color="auto"/>
              <w:bottom w:val="single" w:sz="4" w:space="0" w:color="auto"/>
              <w:right w:val="single" w:sz="4" w:space="0" w:color="auto"/>
            </w:tcBorders>
            <w:vAlign w:val="center"/>
          </w:tcPr>
          <w:p w14:paraId="137355F8" w14:textId="77777777" w:rsidR="005D372A" w:rsidRPr="001D6D10" w:rsidRDefault="005D372A" w:rsidP="008B4B2B">
            <w:pPr>
              <w:jc w:val="center"/>
              <w:rPr>
                <w:rFonts w:ascii="ＭＳ 明朝"/>
                <w:sz w:val="16"/>
                <w:szCs w:val="16"/>
              </w:rPr>
            </w:pPr>
          </w:p>
        </w:tc>
        <w:tc>
          <w:tcPr>
            <w:tcW w:w="255" w:type="pct"/>
            <w:tcBorders>
              <w:top w:val="single" w:sz="4" w:space="0" w:color="auto"/>
              <w:left w:val="single" w:sz="4" w:space="0" w:color="auto"/>
              <w:bottom w:val="single" w:sz="4" w:space="0" w:color="auto"/>
              <w:right w:val="single" w:sz="4" w:space="0" w:color="auto"/>
            </w:tcBorders>
            <w:vAlign w:val="center"/>
          </w:tcPr>
          <w:p w14:paraId="4AB5D473" w14:textId="77777777" w:rsidR="005D372A" w:rsidRPr="001D6D10" w:rsidRDefault="005D372A" w:rsidP="008B4B2B">
            <w:pPr>
              <w:jc w:val="center"/>
              <w:rPr>
                <w:rFonts w:ascii="ＭＳ 明朝"/>
                <w:sz w:val="16"/>
                <w:szCs w:val="16"/>
              </w:rPr>
            </w:pPr>
          </w:p>
        </w:tc>
        <w:tc>
          <w:tcPr>
            <w:tcW w:w="253" w:type="pct"/>
            <w:tcBorders>
              <w:top w:val="single" w:sz="4" w:space="0" w:color="auto"/>
              <w:left w:val="single" w:sz="4" w:space="0" w:color="auto"/>
              <w:bottom w:val="single" w:sz="4" w:space="0" w:color="auto"/>
              <w:right w:val="single" w:sz="4" w:space="0" w:color="auto"/>
            </w:tcBorders>
            <w:shd w:val="clear" w:color="auto" w:fill="FFFFFF"/>
            <w:vAlign w:val="center"/>
          </w:tcPr>
          <w:p w14:paraId="3CA412F3" w14:textId="77777777" w:rsidR="005D372A" w:rsidRPr="001D6D10" w:rsidRDefault="005D372A" w:rsidP="008B4B2B">
            <w:pPr>
              <w:jc w:val="center"/>
              <w:rPr>
                <w:rFonts w:ascii="ＭＳ 明朝"/>
                <w:sz w:val="16"/>
                <w:szCs w:val="16"/>
              </w:rPr>
            </w:pPr>
            <w:r w:rsidRPr="001D6D10">
              <w:rPr>
                <w:rFonts w:ascii="ＭＳ 明朝" w:hint="eastAsia"/>
                <w:sz w:val="16"/>
                <w:szCs w:val="16"/>
              </w:rPr>
              <w:t>○</w:t>
            </w:r>
          </w:p>
        </w:tc>
        <w:tc>
          <w:tcPr>
            <w:tcW w:w="244" w:type="pct"/>
            <w:tcBorders>
              <w:top w:val="single" w:sz="4" w:space="0" w:color="auto"/>
              <w:left w:val="single" w:sz="4" w:space="0" w:color="auto"/>
              <w:bottom w:val="single" w:sz="4" w:space="0" w:color="auto"/>
              <w:right w:val="single" w:sz="4" w:space="0" w:color="auto"/>
            </w:tcBorders>
            <w:shd w:val="clear" w:color="auto" w:fill="FFFFFF"/>
            <w:vAlign w:val="center"/>
          </w:tcPr>
          <w:p w14:paraId="7D77BF94" w14:textId="77777777" w:rsidR="005D372A" w:rsidRPr="001D6D10" w:rsidRDefault="005D372A" w:rsidP="008B4B2B">
            <w:pPr>
              <w:jc w:val="center"/>
              <w:rPr>
                <w:rFonts w:ascii="ＭＳ 明朝"/>
                <w:sz w:val="16"/>
                <w:szCs w:val="16"/>
              </w:rPr>
            </w:pPr>
          </w:p>
        </w:tc>
      </w:tr>
      <w:tr w:rsidR="001D6D10" w:rsidRPr="001D6D10" w14:paraId="7E13F268" w14:textId="77777777" w:rsidTr="001F5915">
        <w:trPr>
          <w:trHeight w:val="324"/>
        </w:trPr>
        <w:tc>
          <w:tcPr>
            <w:tcW w:w="188" w:type="pct"/>
            <w:tcBorders>
              <w:top w:val="single" w:sz="4" w:space="0" w:color="auto"/>
              <w:left w:val="single" w:sz="4" w:space="0" w:color="auto"/>
              <w:bottom w:val="single" w:sz="4" w:space="0" w:color="auto"/>
              <w:right w:val="single" w:sz="4" w:space="0" w:color="auto"/>
            </w:tcBorders>
            <w:vAlign w:val="center"/>
            <w:hideMark/>
          </w:tcPr>
          <w:p w14:paraId="191749A4" w14:textId="77777777" w:rsidR="005D372A" w:rsidRPr="001D6D10" w:rsidRDefault="005D372A" w:rsidP="008B4B2B">
            <w:pPr>
              <w:jc w:val="center"/>
              <w:rPr>
                <w:rFonts w:ascii="ＭＳ 明朝"/>
                <w:sz w:val="16"/>
                <w:szCs w:val="16"/>
              </w:rPr>
            </w:pPr>
            <w:r w:rsidRPr="001D6D10">
              <w:rPr>
                <w:rFonts w:ascii="ＭＳ 明朝" w:hint="eastAsia"/>
                <w:sz w:val="16"/>
                <w:szCs w:val="16"/>
              </w:rPr>
              <w:t>３</w:t>
            </w:r>
          </w:p>
        </w:tc>
        <w:tc>
          <w:tcPr>
            <w:tcW w:w="391" w:type="pct"/>
            <w:vMerge/>
            <w:tcBorders>
              <w:top w:val="single" w:sz="4" w:space="0" w:color="auto"/>
              <w:left w:val="single" w:sz="4" w:space="0" w:color="auto"/>
              <w:bottom w:val="single" w:sz="4" w:space="0" w:color="auto"/>
              <w:right w:val="single" w:sz="4" w:space="0" w:color="auto"/>
            </w:tcBorders>
            <w:vAlign w:val="center"/>
            <w:hideMark/>
          </w:tcPr>
          <w:p w14:paraId="2D70EAED" w14:textId="77777777" w:rsidR="005D372A" w:rsidRPr="001D6D10" w:rsidRDefault="005D372A" w:rsidP="008B4B2B">
            <w:pPr>
              <w:widowControl/>
              <w:jc w:val="center"/>
              <w:rPr>
                <w:rFonts w:ascii="ＭＳ 明朝"/>
                <w:sz w:val="16"/>
                <w:szCs w:val="16"/>
              </w:rPr>
            </w:pPr>
          </w:p>
        </w:tc>
        <w:tc>
          <w:tcPr>
            <w:tcW w:w="886" w:type="pct"/>
            <w:tcBorders>
              <w:top w:val="single" w:sz="4" w:space="0" w:color="auto"/>
              <w:left w:val="single" w:sz="4" w:space="0" w:color="auto"/>
              <w:bottom w:val="single" w:sz="4" w:space="0" w:color="auto"/>
              <w:right w:val="single" w:sz="4" w:space="0" w:color="auto"/>
            </w:tcBorders>
            <w:vAlign w:val="center"/>
            <w:hideMark/>
          </w:tcPr>
          <w:p w14:paraId="5FF15179" w14:textId="77777777" w:rsidR="005D372A" w:rsidRPr="001D6D10" w:rsidRDefault="005D372A" w:rsidP="008B4B2B">
            <w:pPr>
              <w:jc w:val="left"/>
              <w:rPr>
                <w:rFonts w:ascii="ＭＳ 明朝"/>
                <w:sz w:val="16"/>
                <w:szCs w:val="16"/>
              </w:rPr>
            </w:pPr>
            <w:r w:rsidRPr="001D6D10">
              <w:rPr>
                <w:rFonts w:ascii="ＭＳ 明朝" w:hint="eastAsia"/>
                <w:sz w:val="16"/>
                <w:szCs w:val="16"/>
              </w:rPr>
              <w:t>危機管理監</w:t>
            </w:r>
          </w:p>
        </w:tc>
        <w:tc>
          <w:tcPr>
            <w:tcW w:w="251" w:type="pct"/>
            <w:tcBorders>
              <w:top w:val="single" w:sz="4" w:space="0" w:color="auto"/>
              <w:left w:val="single" w:sz="4" w:space="0" w:color="auto"/>
              <w:bottom w:val="single" w:sz="4" w:space="0" w:color="auto"/>
              <w:right w:val="single" w:sz="4" w:space="0" w:color="auto"/>
            </w:tcBorders>
            <w:vAlign w:val="center"/>
            <w:hideMark/>
          </w:tcPr>
          <w:p w14:paraId="47CF84D2" w14:textId="77777777" w:rsidR="005D372A" w:rsidRPr="001D6D10" w:rsidRDefault="005D372A" w:rsidP="008B4B2B">
            <w:pPr>
              <w:jc w:val="center"/>
              <w:rPr>
                <w:rFonts w:ascii="ＭＳ 明朝"/>
                <w:sz w:val="16"/>
                <w:szCs w:val="16"/>
              </w:rPr>
            </w:pPr>
            <w:r w:rsidRPr="001D6D10">
              <w:rPr>
                <w:rFonts w:ascii="ＭＳ 明朝" w:hint="eastAsia"/>
                <w:sz w:val="16"/>
                <w:szCs w:val="16"/>
              </w:rPr>
              <w:t>○</w:t>
            </w:r>
          </w:p>
        </w:tc>
        <w:tc>
          <w:tcPr>
            <w:tcW w:w="253" w:type="pct"/>
            <w:tcBorders>
              <w:top w:val="single" w:sz="4" w:space="0" w:color="auto"/>
              <w:left w:val="single" w:sz="4" w:space="0" w:color="auto"/>
              <w:bottom w:val="single" w:sz="4" w:space="0" w:color="auto"/>
              <w:right w:val="single" w:sz="4" w:space="0" w:color="auto"/>
            </w:tcBorders>
            <w:vAlign w:val="center"/>
            <w:hideMark/>
          </w:tcPr>
          <w:p w14:paraId="7F273B69" w14:textId="77777777" w:rsidR="005D372A" w:rsidRPr="001D6D10" w:rsidRDefault="005D372A" w:rsidP="008B4B2B">
            <w:pPr>
              <w:jc w:val="center"/>
              <w:rPr>
                <w:rFonts w:ascii="ＭＳ 明朝"/>
                <w:sz w:val="16"/>
                <w:szCs w:val="16"/>
              </w:rPr>
            </w:pPr>
            <w:r w:rsidRPr="001D6D10">
              <w:rPr>
                <w:rFonts w:ascii="ＭＳ 明朝" w:hint="eastAsia"/>
                <w:sz w:val="16"/>
                <w:szCs w:val="16"/>
              </w:rPr>
              <w:t>○</w:t>
            </w:r>
          </w:p>
        </w:tc>
        <w:tc>
          <w:tcPr>
            <w:tcW w:w="253" w:type="pct"/>
            <w:tcBorders>
              <w:top w:val="single" w:sz="4" w:space="0" w:color="auto"/>
              <w:left w:val="single" w:sz="4" w:space="0" w:color="auto"/>
              <w:bottom w:val="single" w:sz="4" w:space="0" w:color="auto"/>
              <w:right w:val="single" w:sz="4" w:space="0" w:color="auto"/>
            </w:tcBorders>
            <w:vAlign w:val="center"/>
            <w:hideMark/>
          </w:tcPr>
          <w:p w14:paraId="1F1F2428" w14:textId="77777777" w:rsidR="005D372A" w:rsidRPr="001D6D10" w:rsidRDefault="005D372A" w:rsidP="008B4B2B">
            <w:pPr>
              <w:jc w:val="center"/>
              <w:rPr>
                <w:rFonts w:ascii="ＭＳ 明朝"/>
                <w:sz w:val="16"/>
                <w:szCs w:val="16"/>
              </w:rPr>
            </w:pPr>
            <w:r w:rsidRPr="001D6D10">
              <w:rPr>
                <w:rFonts w:ascii="ＭＳ 明朝" w:hint="eastAsia"/>
                <w:sz w:val="16"/>
                <w:szCs w:val="16"/>
              </w:rPr>
              <w:t>○</w:t>
            </w:r>
          </w:p>
        </w:tc>
        <w:tc>
          <w:tcPr>
            <w:tcW w:w="253" w:type="pct"/>
            <w:tcBorders>
              <w:top w:val="single" w:sz="4" w:space="0" w:color="auto"/>
              <w:left w:val="single" w:sz="4" w:space="0" w:color="auto"/>
              <w:bottom w:val="single" w:sz="4" w:space="0" w:color="auto"/>
              <w:right w:val="single" w:sz="4" w:space="0" w:color="auto"/>
            </w:tcBorders>
            <w:vAlign w:val="center"/>
          </w:tcPr>
          <w:p w14:paraId="08BAD37F" w14:textId="77777777" w:rsidR="005D372A" w:rsidRPr="001D6D10" w:rsidRDefault="005D372A" w:rsidP="008B4B2B">
            <w:pPr>
              <w:jc w:val="center"/>
              <w:rPr>
                <w:rFonts w:ascii="ＭＳ 明朝"/>
                <w:sz w:val="16"/>
                <w:szCs w:val="16"/>
              </w:rPr>
            </w:pPr>
            <w:r w:rsidRPr="001D6D10">
              <w:rPr>
                <w:rFonts w:ascii="ＭＳ 明朝" w:hint="eastAsia"/>
                <w:sz w:val="16"/>
                <w:szCs w:val="16"/>
              </w:rPr>
              <w:t>○</w:t>
            </w:r>
          </w:p>
        </w:tc>
        <w:tc>
          <w:tcPr>
            <w:tcW w:w="244" w:type="pct"/>
            <w:tcBorders>
              <w:top w:val="single" w:sz="4" w:space="0" w:color="auto"/>
              <w:left w:val="single" w:sz="4" w:space="0" w:color="auto"/>
              <w:bottom w:val="single" w:sz="4" w:space="0" w:color="auto"/>
              <w:right w:val="single" w:sz="4" w:space="0" w:color="auto"/>
            </w:tcBorders>
            <w:shd w:val="clear" w:color="auto" w:fill="FFFFFF"/>
            <w:vAlign w:val="center"/>
          </w:tcPr>
          <w:p w14:paraId="02507520" w14:textId="77777777" w:rsidR="005D372A" w:rsidRPr="001D6D10" w:rsidRDefault="005D372A" w:rsidP="008B4B2B">
            <w:pPr>
              <w:jc w:val="center"/>
              <w:rPr>
                <w:rFonts w:ascii="ＭＳ 明朝"/>
                <w:sz w:val="16"/>
                <w:szCs w:val="16"/>
              </w:rPr>
            </w:pPr>
            <w:r w:rsidRPr="001D6D10">
              <w:rPr>
                <w:rFonts w:ascii="ＭＳ 明朝" w:hint="eastAsia"/>
                <w:sz w:val="16"/>
                <w:szCs w:val="16"/>
              </w:rPr>
              <w:t>○</w:t>
            </w:r>
          </w:p>
        </w:tc>
        <w:tc>
          <w:tcPr>
            <w:tcW w:w="262" w:type="pct"/>
            <w:tcBorders>
              <w:top w:val="single" w:sz="4" w:space="0" w:color="auto"/>
              <w:left w:val="single" w:sz="4" w:space="0" w:color="auto"/>
              <w:bottom w:val="single" w:sz="4" w:space="0" w:color="auto"/>
              <w:right w:val="single" w:sz="4" w:space="0" w:color="auto"/>
            </w:tcBorders>
            <w:vAlign w:val="center"/>
            <w:hideMark/>
          </w:tcPr>
          <w:p w14:paraId="63A9F2C3" w14:textId="77777777" w:rsidR="005D372A" w:rsidRPr="001D6D10" w:rsidRDefault="005D372A" w:rsidP="008B4B2B">
            <w:pPr>
              <w:jc w:val="center"/>
              <w:rPr>
                <w:rFonts w:ascii="ＭＳ 明朝"/>
                <w:sz w:val="16"/>
                <w:szCs w:val="16"/>
              </w:rPr>
            </w:pPr>
            <w:r w:rsidRPr="001D6D10">
              <w:rPr>
                <w:rFonts w:ascii="ＭＳ 明朝" w:hint="eastAsia"/>
                <w:sz w:val="16"/>
                <w:szCs w:val="16"/>
              </w:rPr>
              <w:t>○</w:t>
            </w:r>
          </w:p>
        </w:tc>
        <w:tc>
          <w:tcPr>
            <w:tcW w:w="253" w:type="pct"/>
            <w:tcBorders>
              <w:top w:val="single" w:sz="4" w:space="0" w:color="auto"/>
              <w:left w:val="single" w:sz="4" w:space="0" w:color="auto"/>
              <w:bottom w:val="single" w:sz="4" w:space="0" w:color="auto"/>
              <w:right w:val="single" w:sz="4" w:space="0" w:color="auto"/>
            </w:tcBorders>
            <w:vAlign w:val="center"/>
            <w:hideMark/>
          </w:tcPr>
          <w:p w14:paraId="09D30E25" w14:textId="77777777" w:rsidR="005D372A" w:rsidRPr="001D6D10" w:rsidRDefault="005D372A" w:rsidP="008B4B2B">
            <w:pPr>
              <w:jc w:val="center"/>
              <w:rPr>
                <w:rFonts w:ascii="ＭＳ 明朝"/>
                <w:sz w:val="16"/>
                <w:szCs w:val="16"/>
              </w:rPr>
            </w:pPr>
            <w:r w:rsidRPr="001D6D10">
              <w:rPr>
                <w:rFonts w:ascii="ＭＳ 明朝" w:hint="eastAsia"/>
                <w:sz w:val="16"/>
                <w:szCs w:val="16"/>
              </w:rPr>
              <w:t>○</w:t>
            </w:r>
          </w:p>
        </w:tc>
        <w:tc>
          <w:tcPr>
            <w:tcW w:w="253" w:type="pct"/>
            <w:tcBorders>
              <w:top w:val="single" w:sz="4" w:space="0" w:color="auto"/>
              <w:left w:val="single" w:sz="4" w:space="0" w:color="auto"/>
              <w:bottom w:val="single" w:sz="4" w:space="0" w:color="auto"/>
              <w:right w:val="single" w:sz="4" w:space="0" w:color="auto"/>
            </w:tcBorders>
            <w:vAlign w:val="center"/>
            <w:hideMark/>
          </w:tcPr>
          <w:p w14:paraId="00D249C2" w14:textId="77777777" w:rsidR="005D372A" w:rsidRPr="001D6D10" w:rsidRDefault="005D372A" w:rsidP="008B4B2B">
            <w:pPr>
              <w:jc w:val="center"/>
              <w:rPr>
                <w:rFonts w:ascii="ＭＳ 明朝"/>
                <w:sz w:val="16"/>
                <w:szCs w:val="16"/>
              </w:rPr>
            </w:pPr>
            <w:r w:rsidRPr="001D6D10">
              <w:rPr>
                <w:rFonts w:ascii="ＭＳ 明朝" w:hint="eastAsia"/>
                <w:sz w:val="16"/>
                <w:szCs w:val="16"/>
              </w:rPr>
              <w:t>○</w:t>
            </w:r>
          </w:p>
        </w:tc>
        <w:tc>
          <w:tcPr>
            <w:tcW w:w="253" w:type="pct"/>
            <w:tcBorders>
              <w:top w:val="single" w:sz="4" w:space="0" w:color="auto"/>
              <w:left w:val="single" w:sz="4" w:space="0" w:color="auto"/>
              <w:bottom w:val="single" w:sz="4" w:space="0" w:color="auto"/>
              <w:right w:val="single" w:sz="4" w:space="0" w:color="auto"/>
            </w:tcBorders>
            <w:vAlign w:val="center"/>
            <w:hideMark/>
          </w:tcPr>
          <w:p w14:paraId="1E644051" w14:textId="77777777" w:rsidR="005D372A" w:rsidRPr="001D6D10" w:rsidRDefault="005D372A" w:rsidP="008B4B2B">
            <w:pPr>
              <w:jc w:val="center"/>
              <w:rPr>
                <w:rFonts w:ascii="ＭＳ 明朝"/>
                <w:sz w:val="16"/>
                <w:szCs w:val="16"/>
              </w:rPr>
            </w:pPr>
            <w:r w:rsidRPr="001D6D10">
              <w:rPr>
                <w:rFonts w:ascii="ＭＳ 明朝" w:hint="eastAsia"/>
                <w:sz w:val="16"/>
                <w:szCs w:val="16"/>
              </w:rPr>
              <w:t>○</w:t>
            </w:r>
          </w:p>
        </w:tc>
        <w:tc>
          <w:tcPr>
            <w:tcW w:w="253" w:type="pct"/>
            <w:tcBorders>
              <w:top w:val="single" w:sz="4" w:space="0" w:color="auto"/>
              <w:left w:val="single" w:sz="4" w:space="0" w:color="auto"/>
              <w:bottom w:val="single" w:sz="4" w:space="0" w:color="auto"/>
              <w:right w:val="single" w:sz="4" w:space="0" w:color="auto"/>
            </w:tcBorders>
            <w:vAlign w:val="center"/>
            <w:hideMark/>
          </w:tcPr>
          <w:p w14:paraId="070416AF" w14:textId="77777777" w:rsidR="005D372A" w:rsidRPr="001D6D10" w:rsidRDefault="005D372A" w:rsidP="008B4B2B">
            <w:pPr>
              <w:jc w:val="center"/>
              <w:rPr>
                <w:rFonts w:ascii="ＭＳ 明朝"/>
                <w:sz w:val="16"/>
                <w:szCs w:val="16"/>
              </w:rPr>
            </w:pPr>
            <w:r w:rsidRPr="001D6D10">
              <w:rPr>
                <w:rFonts w:ascii="ＭＳ 明朝" w:hint="eastAsia"/>
                <w:sz w:val="16"/>
                <w:szCs w:val="16"/>
              </w:rPr>
              <w:t>○</w:t>
            </w:r>
          </w:p>
        </w:tc>
        <w:tc>
          <w:tcPr>
            <w:tcW w:w="253" w:type="pct"/>
            <w:tcBorders>
              <w:top w:val="single" w:sz="4" w:space="0" w:color="auto"/>
              <w:left w:val="single" w:sz="4" w:space="0" w:color="auto"/>
              <w:bottom w:val="single" w:sz="4" w:space="0" w:color="auto"/>
              <w:right w:val="single" w:sz="4" w:space="0" w:color="auto"/>
            </w:tcBorders>
            <w:vAlign w:val="center"/>
            <w:hideMark/>
          </w:tcPr>
          <w:p w14:paraId="42E6D97B" w14:textId="77777777" w:rsidR="005D372A" w:rsidRPr="001D6D10" w:rsidRDefault="005D372A" w:rsidP="008B4B2B">
            <w:pPr>
              <w:jc w:val="center"/>
              <w:rPr>
                <w:rFonts w:ascii="ＭＳ 明朝"/>
                <w:sz w:val="16"/>
                <w:szCs w:val="16"/>
              </w:rPr>
            </w:pPr>
            <w:r w:rsidRPr="001D6D10">
              <w:rPr>
                <w:rFonts w:ascii="ＭＳ 明朝" w:hint="eastAsia"/>
                <w:sz w:val="16"/>
                <w:szCs w:val="16"/>
              </w:rPr>
              <w:t>○</w:t>
            </w:r>
          </w:p>
        </w:tc>
        <w:tc>
          <w:tcPr>
            <w:tcW w:w="255" w:type="pct"/>
            <w:tcBorders>
              <w:top w:val="single" w:sz="4" w:space="0" w:color="auto"/>
              <w:left w:val="single" w:sz="4" w:space="0" w:color="auto"/>
              <w:bottom w:val="single" w:sz="4" w:space="0" w:color="auto"/>
              <w:right w:val="single" w:sz="4" w:space="0" w:color="auto"/>
            </w:tcBorders>
            <w:vAlign w:val="center"/>
            <w:hideMark/>
          </w:tcPr>
          <w:p w14:paraId="2D3211B9" w14:textId="77777777" w:rsidR="005D372A" w:rsidRPr="001D6D10" w:rsidRDefault="005D372A" w:rsidP="008B4B2B">
            <w:pPr>
              <w:jc w:val="center"/>
              <w:rPr>
                <w:rFonts w:ascii="ＭＳ 明朝"/>
                <w:sz w:val="16"/>
                <w:szCs w:val="16"/>
              </w:rPr>
            </w:pPr>
            <w:r w:rsidRPr="001D6D10">
              <w:rPr>
                <w:rFonts w:ascii="ＭＳ 明朝" w:hint="eastAsia"/>
                <w:sz w:val="16"/>
                <w:szCs w:val="16"/>
              </w:rPr>
              <w:t>○</w:t>
            </w:r>
          </w:p>
        </w:tc>
        <w:tc>
          <w:tcPr>
            <w:tcW w:w="253" w:type="pct"/>
            <w:tcBorders>
              <w:top w:val="single" w:sz="4" w:space="0" w:color="auto"/>
              <w:left w:val="single" w:sz="4" w:space="0" w:color="auto"/>
              <w:bottom w:val="single" w:sz="4" w:space="0" w:color="auto"/>
              <w:right w:val="single" w:sz="4" w:space="0" w:color="auto"/>
            </w:tcBorders>
            <w:shd w:val="clear" w:color="auto" w:fill="FFFFFF"/>
            <w:vAlign w:val="center"/>
          </w:tcPr>
          <w:p w14:paraId="74DEB3AE" w14:textId="77777777" w:rsidR="005D372A" w:rsidRPr="001D6D10" w:rsidRDefault="005D372A" w:rsidP="008B4B2B">
            <w:pPr>
              <w:jc w:val="center"/>
              <w:rPr>
                <w:rFonts w:ascii="ＭＳ 明朝"/>
                <w:sz w:val="16"/>
                <w:szCs w:val="16"/>
              </w:rPr>
            </w:pPr>
            <w:r w:rsidRPr="001D6D10">
              <w:rPr>
                <w:rFonts w:ascii="ＭＳ 明朝" w:hint="eastAsia"/>
                <w:sz w:val="16"/>
                <w:szCs w:val="16"/>
              </w:rPr>
              <w:t>○</w:t>
            </w:r>
          </w:p>
        </w:tc>
        <w:tc>
          <w:tcPr>
            <w:tcW w:w="244" w:type="pct"/>
            <w:tcBorders>
              <w:top w:val="single" w:sz="4" w:space="0" w:color="auto"/>
              <w:left w:val="single" w:sz="4" w:space="0" w:color="auto"/>
              <w:bottom w:val="single" w:sz="4" w:space="0" w:color="auto"/>
              <w:right w:val="single" w:sz="4" w:space="0" w:color="auto"/>
            </w:tcBorders>
            <w:shd w:val="clear" w:color="auto" w:fill="FFFFFF"/>
            <w:vAlign w:val="center"/>
          </w:tcPr>
          <w:p w14:paraId="1EA0135F" w14:textId="77777777" w:rsidR="005D372A" w:rsidRPr="001D6D10" w:rsidRDefault="005D372A" w:rsidP="008B4B2B">
            <w:pPr>
              <w:jc w:val="center"/>
              <w:rPr>
                <w:rFonts w:ascii="ＭＳ 明朝"/>
                <w:sz w:val="16"/>
                <w:szCs w:val="16"/>
              </w:rPr>
            </w:pPr>
            <w:r w:rsidRPr="001D6D10">
              <w:rPr>
                <w:rFonts w:ascii="ＭＳ 明朝" w:hint="eastAsia"/>
                <w:sz w:val="16"/>
                <w:szCs w:val="16"/>
              </w:rPr>
              <w:t>○</w:t>
            </w:r>
          </w:p>
        </w:tc>
      </w:tr>
      <w:tr w:rsidR="001D6D10" w:rsidRPr="001D6D10" w14:paraId="07393525" w14:textId="77777777" w:rsidTr="001F5915">
        <w:trPr>
          <w:trHeight w:val="285"/>
        </w:trPr>
        <w:tc>
          <w:tcPr>
            <w:tcW w:w="188" w:type="pct"/>
            <w:tcBorders>
              <w:top w:val="single" w:sz="4" w:space="0" w:color="auto"/>
              <w:left w:val="single" w:sz="4" w:space="0" w:color="auto"/>
              <w:bottom w:val="single" w:sz="4" w:space="0" w:color="auto"/>
              <w:right w:val="single" w:sz="4" w:space="0" w:color="auto"/>
            </w:tcBorders>
            <w:vAlign w:val="center"/>
            <w:hideMark/>
          </w:tcPr>
          <w:p w14:paraId="5E478A3F" w14:textId="77777777" w:rsidR="005D372A" w:rsidRPr="001D6D10" w:rsidRDefault="005D372A" w:rsidP="008B4B2B">
            <w:pPr>
              <w:jc w:val="center"/>
              <w:rPr>
                <w:rFonts w:ascii="ＭＳ 明朝"/>
                <w:sz w:val="16"/>
                <w:szCs w:val="16"/>
              </w:rPr>
            </w:pPr>
            <w:r w:rsidRPr="001D6D10">
              <w:rPr>
                <w:rFonts w:ascii="ＭＳ 明朝" w:hint="eastAsia"/>
                <w:sz w:val="16"/>
                <w:szCs w:val="16"/>
              </w:rPr>
              <w:t>４</w:t>
            </w:r>
          </w:p>
        </w:tc>
        <w:tc>
          <w:tcPr>
            <w:tcW w:w="391" w:type="pct"/>
            <w:vMerge w:val="restart"/>
            <w:tcBorders>
              <w:top w:val="single" w:sz="4" w:space="0" w:color="auto"/>
              <w:left w:val="single" w:sz="4" w:space="0" w:color="auto"/>
              <w:right w:val="single" w:sz="4" w:space="0" w:color="auto"/>
            </w:tcBorders>
            <w:vAlign w:val="center"/>
            <w:hideMark/>
          </w:tcPr>
          <w:p w14:paraId="798F867F" w14:textId="77777777" w:rsidR="005D372A" w:rsidRPr="001D6D10" w:rsidRDefault="005D372A" w:rsidP="008B4B2B">
            <w:pPr>
              <w:jc w:val="center"/>
              <w:rPr>
                <w:rFonts w:ascii="ＭＳ 明朝"/>
                <w:sz w:val="16"/>
                <w:szCs w:val="16"/>
              </w:rPr>
            </w:pPr>
            <w:r w:rsidRPr="001D6D10">
              <w:rPr>
                <w:rFonts w:ascii="ＭＳ 明朝" w:hint="eastAsia"/>
                <w:sz w:val="16"/>
                <w:szCs w:val="16"/>
              </w:rPr>
              <w:t>本部員</w:t>
            </w:r>
          </w:p>
        </w:tc>
        <w:tc>
          <w:tcPr>
            <w:tcW w:w="886" w:type="pct"/>
            <w:tcBorders>
              <w:top w:val="single" w:sz="4" w:space="0" w:color="auto"/>
              <w:left w:val="single" w:sz="4" w:space="0" w:color="auto"/>
              <w:bottom w:val="single" w:sz="4" w:space="0" w:color="auto"/>
              <w:right w:val="single" w:sz="4" w:space="0" w:color="auto"/>
            </w:tcBorders>
            <w:vAlign w:val="center"/>
            <w:hideMark/>
          </w:tcPr>
          <w:p w14:paraId="1227C0C2" w14:textId="77777777" w:rsidR="005D372A" w:rsidRPr="001D6D10" w:rsidRDefault="005D372A" w:rsidP="008B4B2B">
            <w:pPr>
              <w:jc w:val="left"/>
              <w:rPr>
                <w:rFonts w:ascii="ＭＳ 明朝"/>
                <w:sz w:val="16"/>
                <w:szCs w:val="16"/>
              </w:rPr>
            </w:pPr>
            <w:r w:rsidRPr="001D6D10">
              <w:rPr>
                <w:rFonts w:ascii="ＭＳ 明朝" w:hint="eastAsia"/>
                <w:sz w:val="16"/>
                <w:szCs w:val="16"/>
              </w:rPr>
              <w:t>政策企画部長</w:t>
            </w:r>
          </w:p>
        </w:tc>
        <w:tc>
          <w:tcPr>
            <w:tcW w:w="251" w:type="pct"/>
            <w:tcBorders>
              <w:top w:val="single" w:sz="4" w:space="0" w:color="auto"/>
              <w:left w:val="single" w:sz="4" w:space="0" w:color="auto"/>
              <w:bottom w:val="single" w:sz="4" w:space="0" w:color="auto"/>
              <w:right w:val="single" w:sz="4" w:space="0" w:color="auto"/>
            </w:tcBorders>
            <w:vAlign w:val="center"/>
            <w:hideMark/>
          </w:tcPr>
          <w:p w14:paraId="1A1A8774" w14:textId="77777777" w:rsidR="005D372A" w:rsidRPr="001D6D10" w:rsidRDefault="005D372A" w:rsidP="008B4B2B">
            <w:pPr>
              <w:jc w:val="center"/>
              <w:rPr>
                <w:rFonts w:ascii="ＭＳ 明朝"/>
                <w:sz w:val="16"/>
                <w:szCs w:val="16"/>
              </w:rPr>
            </w:pPr>
            <w:r w:rsidRPr="001D6D10">
              <w:rPr>
                <w:rFonts w:ascii="ＭＳ 明朝" w:hint="eastAsia"/>
                <w:sz w:val="16"/>
                <w:szCs w:val="16"/>
              </w:rPr>
              <w:t>○</w:t>
            </w:r>
          </w:p>
        </w:tc>
        <w:tc>
          <w:tcPr>
            <w:tcW w:w="253" w:type="pct"/>
            <w:tcBorders>
              <w:top w:val="single" w:sz="4" w:space="0" w:color="auto"/>
              <w:left w:val="single" w:sz="4" w:space="0" w:color="auto"/>
              <w:bottom w:val="single" w:sz="4" w:space="0" w:color="auto"/>
              <w:right w:val="single" w:sz="4" w:space="0" w:color="auto"/>
            </w:tcBorders>
            <w:vAlign w:val="center"/>
          </w:tcPr>
          <w:p w14:paraId="06CB30BB" w14:textId="77777777" w:rsidR="005D372A" w:rsidRPr="001D6D10" w:rsidRDefault="005D372A" w:rsidP="008B4B2B">
            <w:pPr>
              <w:jc w:val="center"/>
              <w:rPr>
                <w:rFonts w:ascii="ＭＳ 明朝"/>
                <w:sz w:val="16"/>
                <w:szCs w:val="16"/>
              </w:rPr>
            </w:pPr>
          </w:p>
        </w:tc>
        <w:tc>
          <w:tcPr>
            <w:tcW w:w="253" w:type="pct"/>
            <w:tcBorders>
              <w:top w:val="single" w:sz="4" w:space="0" w:color="auto"/>
              <w:left w:val="single" w:sz="4" w:space="0" w:color="auto"/>
              <w:bottom w:val="single" w:sz="4" w:space="0" w:color="auto"/>
              <w:right w:val="single" w:sz="4" w:space="0" w:color="auto"/>
            </w:tcBorders>
            <w:vAlign w:val="center"/>
          </w:tcPr>
          <w:p w14:paraId="3C192344" w14:textId="77777777" w:rsidR="005D372A" w:rsidRPr="001D6D10" w:rsidRDefault="005D372A" w:rsidP="008B4B2B">
            <w:pPr>
              <w:jc w:val="center"/>
              <w:rPr>
                <w:rFonts w:ascii="ＭＳ 明朝"/>
                <w:sz w:val="16"/>
                <w:szCs w:val="16"/>
              </w:rPr>
            </w:pPr>
          </w:p>
        </w:tc>
        <w:tc>
          <w:tcPr>
            <w:tcW w:w="253" w:type="pct"/>
            <w:tcBorders>
              <w:top w:val="single" w:sz="4" w:space="0" w:color="auto"/>
              <w:left w:val="single" w:sz="4" w:space="0" w:color="auto"/>
              <w:bottom w:val="single" w:sz="4" w:space="0" w:color="auto"/>
              <w:right w:val="single" w:sz="4" w:space="0" w:color="auto"/>
            </w:tcBorders>
            <w:vAlign w:val="center"/>
          </w:tcPr>
          <w:p w14:paraId="2B6ABD6C" w14:textId="77777777" w:rsidR="005D372A" w:rsidRPr="001D6D10" w:rsidRDefault="005D372A" w:rsidP="008B4B2B">
            <w:pPr>
              <w:jc w:val="center"/>
              <w:rPr>
                <w:rFonts w:ascii="ＭＳ 明朝"/>
                <w:sz w:val="16"/>
                <w:szCs w:val="16"/>
              </w:rPr>
            </w:pPr>
            <w:r w:rsidRPr="001D6D10">
              <w:rPr>
                <w:rFonts w:ascii="ＭＳ 明朝" w:hint="eastAsia"/>
                <w:sz w:val="16"/>
                <w:szCs w:val="16"/>
              </w:rPr>
              <w:t>○</w:t>
            </w:r>
          </w:p>
        </w:tc>
        <w:tc>
          <w:tcPr>
            <w:tcW w:w="244" w:type="pct"/>
            <w:tcBorders>
              <w:top w:val="single" w:sz="4" w:space="0" w:color="auto"/>
              <w:left w:val="single" w:sz="4" w:space="0" w:color="auto"/>
              <w:bottom w:val="single" w:sz="4" w:space="0" w:color="auto"/>
              <w:right w:val="single" w:sz="4" w:space="0" w:color="auto"/>
            </w:tcBorders>
            <w:shd w:val="clear" w:color="auto" w:fill="FFFFFF"/>
            <w:vAlign w:val="center"/>
          </w:tcPr>
          <w:p w14:paraId="38F1AA48" w14:textId="77777777" w:rsidR="005D372A" w:rsidRPr="001D6D10" w:rsidRDefault="005D372A" w:rsidP="008B4B2B">
            <w:pPr>
              <w:jc w:val="center"/>
              <w:rPr>
                <w:rFonts w:ascii="ＭＳ 明朝"/>
                <w:sz w:val="16"/>
                <w:szCs w:val="16"/>
              </w:rPr>
            </w:pPr>
          </w:p>
        </w:tc>
        <w:tc>
          <w:tcPr>
            <w:tcW w:w="262" w:type="pct"/>
            <w:tcBorders>
              <w:top w:val="single" w:sz="4" w:space="0" w:color="auto"/>
              <w:left w:val="single" w:sz="4" w:space="0" w:color="auto"/>
              <w:bottom w:val="single" w:sz="4" w:space="0" w:color="auto"/>
              <w:right w:val="single" w:sz="4" w:space="0" w:color="auto"/>
            </w:tcBorders>
            <w:vAlign w:val="center"/>
          </w:tcPr>
          <w:p w14:paraId="2A1E6207" w14:textId="77777777" w:rsidR="005D372A" w:rsidRPr="001D6D10" w:rsidRDefault="005D372A" w:rsidP="008B4B2B">
            <w:pPr>
              <w:jc w:val="center"/>
              <w:rPr>
                <w:rFonts w:ascii="ＭＳ 明朝"/>
                <w:sz w:val="16"/>
                <w:szCs w:val="16"/>
              </w:rPr>
            </w:pPr>
          </w:p>
        </w:tc>
        <w:tc>
          <w:tcPr>
            <w:tcW w:w="253" w:type="pct"/>
            <w:tcBorders>
              <w:top w:val="single" w:sz="4" w:space="0" w:color="auto"/>
              <w:left w:val="single" w:sz="4" w:space="0" w:color="auto"/>
              <w:bottom w:val="single" w:sz="4" w:space="0" w:color="auto"/>
              <w:right w:val="single" w:sz="4" w:space="0" w:color="auto"/>
            </w:tcBorders>
            <w:vAlign w:val="center"/>
            <w:hideMark/>
          </w:tcPr>
          <w:p w14:paraId="6AA36029" w14:textId="77777777" w:rsidR="005D372A" w:rsidRPr="001D6D10" w:rsidRDefault="005D372A" w:rsidP="008B4B2B">
            <w:pPr>
              <w:jc w:val="center"/>
              <w:rPr>
                <w:rFonts w:ascii="ＭＳ 明朝"/>
                <w:sz w:val="16"/>
                <w:szCs w:val="16"/>
              </w:rPr>
            </w:pPr>
            <w:r w:rsidRPr="001D6D10">
              <w:rPr>
                <w:rFonts w:ascii="ＭＳ 明朝" w:hint="eastAsia"/>
                <w:sz w:val="16"/>
                <w:szCs w:val="16"/>
              </w:rPr>
              <w:t>○</w:t>
            </w:r>
          </w:p>
        </w:tc>
        <w:tc>
          <w:tcPr>
            <w:tcW w:w="253" w:type="pct"/>
            <w:tcBorders>
              <w:top w:val="single" w:sz="4" w:space="0" w:color="auto"/>
              <w:left w:val="single" w:sz="4" w:space="0" w:color="auto"/>
              <w:bottom w:val="single" w:sz="4" w:space="0" w:color="auto"/>
              <w:right w:val="single" w:sz="4" w:space="0" w:color="auto"/>
            </w:tcBorders>
            <w:vAlign w:val="center"/>
          </w:tcPr>
          <w:p w14:paraId="18ACF8E3" w14:textId="77777777" w:rsidR="005D372A" w:rsidRPr="001D6D10" w:rsidRDefault="005D372A" w:rsidP="008B4B2B">
            <w:pPr>
              <w:jc w:val="center"/>
              <w:rPr>
                <w:rFonts w:ascii="ＭＳ 明朝"/>
                <w:sz w:val="16"/>
                <w:szCs w:val="16"/>
              </w:rPr>
            </w:pPr>
          </w:p>
        </w:tc>
        <w:tc>
          <w:tcPr>
            <w:tcW w:w="253" w:type="pct"/>
            <w:tcBorders>
              <w:top w:val="single" w:sz="4" w:space="0" w:color="auto"/>
              <w:left w:val="single" w:sz="4" w:space="0" w:color="auto"/>
              <w:bottom w:val="single" w:sz="4" w:space="0" w:color="auto"/>
              <w:right w:val="single" w:sz="4" w:space="0" w:color="auto"/>
            </w:tcBorders>
            <w:vAlign w:val="center"/>
          </w:tcPr>
          <w:p w14:paraId="3ED4D6D6" w14:textId="77777777" w:rsidR="005D372A" w:rsidRPr="001D6D10" w:rsidRDefault="005D372A" w:rsidP="008B4B2B">
            <w:pPr>
              <w:jc w:val="center"/>
              <w:rPr>
                <w:rFonts w:ascii="ＭＳ 明朝"/>
                <w:sz w:val="16"/>
                <w:szCs w:val="16"/>
              </w:rPr>
            </w:pPr>
          </w:p>
        </w:tc>
        <w:tc>
          <w:tcPr>
            <w:tcW w:w="253" w:type="pct"/>
            <w:tcBorders>
              <w:top w:val="single" w:sz="4" w:space="0" w:color="auto"/>
              <w:left w:val="single" w:sz="4" w:space="0" w:color="auto"/>
              <w:bottom w:val="single" w:sz="4" w:space="0" w:color="auto"/>
              <w:right w:val="single" w:sz="4" w:space="0" w:color="auto"/>
            </w:tcBorders>
            <w:vAlign w:val="center"/>
          </w:tcPr>
          <w:p w14:paraId="06429654" w14:textId="77777777" w:rsidR="005D372A" w:rsidRPr="001D6D10" w:rsidRDefault="005D372A" w:rsidP="008B4B2B">
            <w:pPr>
              <w:jc w:val="center"/>
              <w:rPr>
                <w:rFonts w:ascii="ＭＳ 明朝"/>
                <w:sz w:val="16"/>
                <w:szCs w:val="16"/>
              </w:rPr>
            </w:pPr>
          </w:p>
        </w:tc>
        <w:tc>
          <w:tcPr>
            <w:tcW w:w="253" w:type="pct"/>
            <w:tcBorders>
              <w:top w:val="single" w:sz="4" w:space="0" w:color="auto"/>
              <w:left w:val="single" w:sz="4" w:space="0" w:color="auto"/>
              <w:bottom w:val="single" w:sz="4" w:space="0" w:color="auto"/>
              <w:right w:val="single" w:sz="4" w:space="0" w:color="auto"/>
            </w:tcBorders>
            <w:vAlign w:val="center"/>
          </w:tcPr>
          <w:p w14:paraId="438DCC0A" w14:textId="77777777" w:rsidR="005D372A" w:rsidRPr="001D6D10" w:rsidRDefault="005D372A" w:rsidP="008B4B2B">
            <w:pPr>
              <w:jc w:val="center"/>
              <w:rPr>
                <w:rFonts w:ascii="ＭＳ 明朝"/>
                <w:sz w:val="16"/>
                <w:szCs w:val="16"/>
              </w:rPr>
            </w:pPr>
          </w:p>
        </w:tc>
        <w:tc>
          <w:tcPr>
            <w:tcW w:w="255" w:type="pct"/>
            <w:tcBorders>
              <w:top w:val="single" w:sz="4" w:space="0" w:color="auto"/>
              <w:left w:val="single" w:sz="4" w:space="0" w:color="auto"/>
              <w:bottom w:val="single" w:sz="4" w:space="0" w:color="auto"/>
              <w:right w:val="single" w:sz="4" w:space="0" w:color="auto"/>
            </w:tcBorders>
            <w:vAlign w:val="center"/>
          </w:tcPr>
          <w:p w14:paraId="31D965F6" w14:textId="77777777" w:rsidR="005D372A" w:rsidRPr="001D6D10" w:rsidRDefault="005D372A" w:rsidP="008B4B2B">
            <w:pPr>
              <w:jc w:val="center"/>
              <w:rPr>
                <w:rFonts w:ascii="ＭＳ 明朝"/>
                <w:sz w:val="16"/>
                <w:szCs w:val="16"/>
              </w:rPr>
            </w:pPr>
          </w:p>
        </w:tc>
        <w:tc>
          <w:tcPr>
            <w:tcW w:w="253" w:type="pct"/>
            <w:tcBorders>
              <w:top w:val="single" w:sz="4" w:space="0" w:color="auto"/>
              <w:left w:val="single" w:sz="4" w:space="0" w:color="auto"/>
              <w:bottom w:val="single" w:sz="4" w:space="0" w:color="auto"/>
              <w:right w:val="single" w:sz="4" w:space="0" w:color="auto"/>
            </w:tcBorders>
            <w:shd w:val="clear" w:color="auto" w:fill="FFFFFF"/>
            <w:vAlign w:val="center"/>
          </w:tcPr>
          <w:p w14:paraId="7C296F65" w14:textId="77777777" w:rsidR="005D372A" w:rsidRPr="001D6D10" w:rsidRDefault="005D372A" w:rsidP="008B4B2B">
            <w:pPr>
              <w:jc w:val="center"/>
              <w:rPr>
                <w:rFonts w:ascii="ＭＳ 明朝"/>
                <w:sz w:val="16"/>
                <w:szCs w:val="16"/>
              </w:rPr>
            </w:pPr>
            <w:r w:rsidRPr="001D6D10">
              <w:rPr>
                <w:rFonts w:ascii="ＭＳ 明朝" w:hint="eastAsia"/>
                <w:sz w:val="16"/>
                <w:szCs w:val="16"/>
              </w:rPr>
              <w:t>○</w:t>
            </w:r>
          </w:p>
        </w:tc>
        <w:tc>
          <w:tcPr>
            <w:tcW w:w="244" w:type="pct"/>
            <w:tcBorders>
              <w:top w:val="single" w:sz="4" w:space="0" w:color="auto"/>
              <w:left w:val="single" w:sz="4" w:space="0" w:color="auto"/>
              <w:bottom w:val="single" w:sz="4" w:space="0" w:color="auto"/>
              <w:right w:val="single" w:sz="4" w:space="0" w:color="auto"/>
            </w:tcBorders>
            <w:shd w:val="clear" w:color="auto" w:fill="FFFFFF"/>
            <w:vAlign w:val="center"/>
          </w:tcPr>
          <w:p w14:paraId="5CA37E82" w14:textId="77777777" w:rsidR="005D372A" w:rsidRPr="001D6D10" w:rsidRDefault="005D372A" w:rsidP="008B4B2B">
            <w:pPr>
              <w:jc w:val="center"/>
              <w:rPr>
                <w:rFonts w:ascii="ＭＳ 明朝"/>
                <w:sz w:val="16"/>
                <w:szCs w:val="16"/>
              </w:rPr>
            </w:pPr>
          </w:p>
        </w:tc>
      </w:tr>
      <w:tr w:rsidR="001D6D10" w:rsidRPr="001D6D10" w14:paraId="7DA17BAC" w14:textId="77777777" w:rsidTr="001F5915">
        <w:trPr>
          <w:trHeight w:val="361"/>
        </w:trPr>
        <w:tc>
          <w:tcPr>
            <w:tcW w:w="188" w:type="pct"/>
            <w:tcBorders>
              <w:top w:val="single" w:sz="4" w:space="0" w:color="auto"/>
              <w:left w:val="single" w:sz="4" w:space="0" w:color="auto"/>
              <w:bottom w:val="single" w:sz="4" w:space="0" w:color="auto"/>
              <w:right w:val="single" w:sz="4" w:space="0" w:color="auto"/>
            </w:tcBorders>
            <w:vAlign w:val="center"/>
            <w:hideMark/>
          </w:tcPr>
          <w:p w14:paraId="38B87FD8" w14:textId="77777777" w:rsidR="005D372A" w:rsidRPr="001D6D10" w:rsidRDefault="005D372A" w:rsidP="008B4B2B">
            <w:pPr>
              <w:jc w:val="center"/>
              <w:rPr>
                <w:rFonts w:ascii="ＭＳ 明朝"/>
                <w:sz w:val="16"/>
                <w:szCs w:val="16"/>
              </w:rPr>
            </w:pPr>
            <w:r w:rsidRPr="001D6D10">
              <w:rPr>
                <w:rFonts w:ascii="ＭＳ 明朝" w:hint="eastAsia"/>
                <w:sz w:val="16"/>
                <w:szCs w:val="16"/>
              </w:rPr>
              <w:t>５</w:t>
            </w:r>
          </w:p>
        </w:tc>
        <w:tc>
          <w:tcPr>
            <w:tcW w:w="391" w:type="pct"/>
            <w:vMerge/>
            <w:tcBorders>
              <w:left w:val="single" w:sz="4" w:space="0" w:color="auto"/>
              <w:right w:val="single" w:sz="4" w:space="0" w:color="auto"/>
            </w:tcBorders>
            <w:vAlign w:val="center"/>
          </w:tcPr>
          <w:p w14:paraId="190D4C2D" w14:textId="77777777" w:rsidR="005D372A" w:rsidRPr="001D6D10" w:rsidRDefault="005D372A" w:rsidP="008B4B2B">
            <w:pPr>
              <w:jc w:val="center"/>
              <w:rPr>
                <w:rFonts w:ascii="ＭＳ 明朝"/>
                <w:sz w:val="16"/>
                <w:szCs w:val="16"/>
              </w:rPr>
            </w:pPr>
          </w:p>
        </w:tc>
        <w:tc>
          <w:tcPr>
            <w:tcW w:w="886" w:type="pct"/>
            <w:tcBorders>
              <w:top w:val="single" w:sz="4" w:space="0" w:color="auto"/>
              <w:left w:val="single" w:sz="4" w:space="0" w:color="auto"/>
              <w:bottom w:val="single" w:sz="4" w:space="0" w:color="auto"/>
              <w:right w:val="single" w:sz="4" w:space="0" w:color="auto"/>
            </w:tcBorders>
            <w:vAlign w:val="center"/>
            <w:hideMark/>
          </w:tcPr>
          <w:p w14:paraId="2E30117F" w14:textId="77777777" w:rsidR="005D372A" w:rsidRPr="001D6D10" w:rsidRDefault="005D372A" w:rsidP="008B4B2B">
            <w:pPr>
              <w:jc w:val="left"/>
              <w:rPr>
                <w:rFonts w:ascii="ＭＳ 明朝"/>
                <w:sz w:val="16"/>
                <w:szCs w:val="16"/>
              </w:rPr>
            </w:pPr>
            <w:r w:rsidRPr="001D6D10">
              <w:rPr>
                <w:rFonts w:ascii="ＭＳ 明朝" w:hint="eastAsia"/>
                <w:sz w:val="16"/>
                <w:szCs w:val="16"/>
              </w:rPr>
              <w:t>報道監</w:t>
            </w:r>
          </w:p>
        </w:tc>
        <w:tc>
          <w:tcPr>
            <w:tcW w:w="251" w:type="pct"/>
            <w:tcBorders>
              <w:top w:val="single" w:sz="4" w:space="0" w:color="auto"/>
              <w:left w:val="single" w:sz="4" w:space="0" w:color="auto"/>
              <w:bottom w:val="single" w:sz="4" w:space="0" w:color="auto"/>
              <w:right w:val="single" w:sz="4" w:space="0" w:color="auto"/>
            </w:tcBorders>
            <w:vAlign w:val="center"/>
            <w:hideMark/>
          </w:tcPr>
          <w:p w14:paraId="051C02FE" w14:textId="77777777" w:rsidR="005D372A" w:rsidRPr="001D6D10" w:rsidRDefault="005D372A" w:rsidP="008B4B2B">
            <w:pPr>
              <w:jc w:val="center"/>
              <w:rPr>
                <w:rFonts w:ascii="ＭＳ 明朝"/>
                <w:sz w:val="16"/>
                <w:szCs w:val="16"/>
              </w:rPr>
            </w:pPr>
            <w:r w:rsidRPr="001D6D10">
              <w:rPr>
                <w:rFonts w:ascii="ＭＳ 明朝" w:hint="eastAsia"/>
                <w:sz w:val="16"/>
                <w:szCs w:val="16"/>
              </w:rPr>
              <w:t>○</w:t>
            </w:r>
          </w:p>
        </w:tc>
        <w:tc>
          <w:tcPr>
            <w:tcW w:w="253" w:type="pct"/>
            <w:tcBorders>
              <w:top w:val="single" w:sz="4" w:space="0" w:color="auto"/>
              <w:left w:val="single" w:sz="4" w:space="0" w:color="auto"/>
              <w:bottom w:val="single" w:sz="4" w:space="0" w:color="auto"/>
              <w:right w:val="single" w:sz="4" w:space="0" w:color="auto"/>
            </w:tcBorders>
            <w:vAlign w:val="center"/>
            <w:hideMark/>
          </w:tcPr>
          <w:p w14:paraId="1EAB7330" w14:textId="77777777" w:rsidR="005D372A" w:rsidRPr="001D6D10" w:rsidRDefault="005D372A" w:rsidP="008B4B2B">
            <w:pPr>
              <w:jc w:val="center"/>
              <w:rPr>
                <w:rFonts w:ascii="ＭＳ 明朝"/>
                <w:sz w:val="16"/>
                <w:szCs w:val="16"/>
              </w:rPr>
            </w:pPr>
            <w:r w:rsidRPr="001D6D10">
              <w:rPr>
                <w:rFonts w:ascii="ＭＳ 明朝" w:hint="eastAsia"/>
                <w:sz w:val="16"/>
                <w:szCs w:val="16"/>
              </w:rPr>
              <w:t>○</w:t>
            </w:r>
          </w:p>
        </w:tc>
        <w:tc>
          <w:tcPr>
            <w:tcW w:w="253" w:type="pct"/>
            <w:tcBorders>
              <w:top w:val="single" w:sz="4" w:space="0" w:color="auto"/>
              <w:left w:val="single" w:sz="4" w:space="0" w:color="auto"/>
              <w:bottom w:val="single" w:sz="4" w:space="0" w:color="auto"/>
              <w:right w:val="single" w:sz="4" w:space="0" w:color="auto"/>
            </w:tcBorders>
            <w:vAlign w:val="center"/>
            <w:hideMark/>
          </w:tcPr>
          <w:p w14:paraId="326EB2A8" w14:textId="77777777" w:rsidR="005D372A" w:rsidRPr="001D6D10" w:rsidRDefault="005D372A" w:rsidP="008B4B2B">
            <w:pPr>
              <w:jc w:val="center"/>
              <w:rPr>
                <w:rFonts w:ascii="ＭＳ 明朝"/>
                <w:sz w:val="16"/>
                <w:szCs w:val="16"/>
              </w:rPr>
            </w:pPr>
            <w:r w:rsidRPr="001D6D10">
              <w:rPr>
                <w:rFonts w:ascii="ＭＳ 明朝" w:hint="eastAsia"/>
                <w:sz w:val="16"/>
                <w:szCs w:val="16"/>
              </w:rPr>
              <w:t>○</w:t>
            </w:r>
          </w:p>
        </w:tc>
        <w:tc>
          <w:tcPr>
            <w:tcW w:w="253" w:type="pct"/>
            <w:tcBorders>
              <w:top w:val="single" w:sz="4" w:space="0" w:color="auto"/>
              <w:left w:val="single" w:sz="4" w:space="0" w:color="auto"/>
              <w:bottom w:val="single" w:sz="4" w:space="0" w:color="auto"/>
              <w:right w:val="single" w:sz="4" w:space="0" w:color="auto"/>
            </w:tcBorders>
            <w:vAlign w:val="center"/>
          </w:tcPr>
          <w:p w14:paraId="5BC8B60A" w14:textId="77777777" w:rsidR="005D372A" w:rsidRPr="001D6D10" w:rsidRDefault="005D372A" w:rsidP="008B4B2B">
            <w:pPr>
              <w:jc w:val="center"/>
              <w:rPr>
                <w:rFonts w:ascii="ＭＳ 明朝"/>
                <w:sz w:val="16"/>
                <w:szCs w:val="16"/>
              </w:rPr>
            </w:pPr>
            <w:r w:rsidRPr="001D6D10">
              <w:rPr>
                <w:rFonts w:ascii="ＭＳ 明朝" w:hint="eastAsia"/>
                <w:sz w:val="16"/>
                <w:szCs w:val="16"/>
              </w:rPr>
              <w:t>○</w:t>
            </w:r>
          </w:p>
        </w:tc>
        <w:tc>
          <w:tcPr>
            <w:tcW w:w="244" w:type="pct"/>
            <w:tcBorders>
              <w:top w:val="single" w:sz="4" w:space="0" w:color="auto"/>
              <w:left w:val="single" w:sz="4" w:space="0" w:color="auto"/>
              <w:bottom w:val="single" w:sz="4" w:space="0" w:color="auto"/>
              <w:right w:val="single" w:sz="4" w:space="0" w:color="auto"/>
            </w:tcBorders>
            <w:shd w:val="clear" w:color="auto" w:fill="FFFFFF"/>
            <w:vAlign w:val="center"/>
          </w:tcPr>
          <w:p w14:paraId="3DFC83C3" w14:textId="77777777" w:rsidR="005D372A" w:rsidRPr="001D6D10" w:rsidRDefault="005D372A" w:rsidP="008B4B2B">
            <w:pPr>
              <w:jc w:val="center"/>
              <w:rPr>
                <w:rFonts w:ascii="ＭＳ 明朝"/>
                <w:sz w:val="16"/>
                <w:szCs w:val="16"/>
              </w:rPr>
            </w:pPr>
            <w:r w:rsidRPr="001D6D10">
              <w:rPr>
                <w:rFonts w:ascii="ＭＳ 明朝" w:hint="eastAsia"/>
                <w:sz w:val="16"/>
                <w:szCs w:val="16"/>
              </w:rPr>
              <w:t>○</w:t>
            </w:r>
          </w:p>
        </w:tc>
        <w:tc>
          <w:tcPr>
            <w:tcW w:w="262" w:type="pct"/>
            <w:tcBorders>
              <w:top w:val="single" w:sz="4" w:space="0" w:color="auto"/>
              <w:left w:val="single" w:sz="4" w:space="0" w:color="auto"/>
              <w:bottom w:val="single" w:sz="4" w:space="0" w:color="auto"/>
              <w:right w:val="single" w:sz="4" w:space="0" w:color="auto"/>
            </w:tcBorders>
            <w:vAlign w:val="center"/>
            <w:hideMark/>
          </w:tcPr>
          <w:p w14:paraId="1B57996C" w14:textId="77777777" w:rsidR="005D372A" w:rsidRPr="001D6D10" w:rsidRDefault="005D372A" w:rsidP="008B4B2B">
            <w:pPr>
              <w:jc w:val="center"/>
              <w:rPr>
                <w:rFonts w:ascii="ＭＳ 明朝"/>
                <w:sz w:val="16"/>
                <w:szCs w:val="16"/>
              </w:rPr>
            </w:pPr>
            <w:r w:rsidRPr="001D6D10">
              <w:rPr>
                <w:rFonts w:ascii="ＭＳ 明朝" w:hint="eastAsia"/>
                <w:sz w:val="16"/>
                <w:szCs w:val="16"/>
              </w:rPr>
              <w:t>○</w:t>
            </w:r>
          </w:p>
        </w:tc>
        <w:tc>
          <w:tcPr>
            <w:tcW w:w="253" w:type="pct"/>
            <w:tcBorders>
              <w:top w:val="single" w:sz="4" w:space="0" w:color="auto"/>
              <w:left w:val="single" w:sz="4" w:space="0" w:color="auto"/>
              <w:bottom w:val="single" w:sz="4" w:space="0" w:color="auto"/>
              <w:right w:val="single" w:sz="4" w:space="0" w:color="auto"/>
            </w:tcBorders>
            <w:vAlign w:val="center"/>
            <w:hideMark/>
          </w:tcPr>
          <w:p w14:paraId="0AA585F3" w14:textId="77777777" w:rsidR="005D372A" w:rsidRPr="001D6D10" w:rsidRDefault="005D372A" w:rsidP="008B4B2B">
            <w:pPr>
              <w:jc w:val="center"/>
              <w:rPr>
                <w:rFonts w:ascii="ＭＳ 明朝"/>
                <w:sz w:val="16"/>
                <w:szCs w:val="16"/>
              </w:rPr>
            </w:pPr>
            <w:r w:rsidRPr="001D6D10">
              <w:rPr>
                <w:rFonts w:ascii="ＭＳ 明朝" w:hint="eastAsia"/>
                <w:sz w:val="16"/>
                <w:szCs w:val="16"/>
              </w:rPr>
              <w:t>○</w:t>
            </w:r>
          </w:p>
        </w:tc>
        <w:tc>
          <w:tcPr>
            <w:tcW w:w="253" w:type="pct"/>
            <w:tcBorders>
              <w:top w:val="single" w:sz="4" w:space="0" w:color="auto"/>
              <w:left w:val="single" w:sz="4" w:space="0" w:color="auto"/>
              <w:bottom w:val="single" w:sz="4" w:space="0" w:color="auto"/>
              <w:right w:val="single" w:sz="4" w:space="0" w:color="auto"/>
            </w:tcBorders>
            <w:vAlign w:val="center"/>
            <w:hideMark/>
          </w:tcPr>
          <w:p w14:paraId="0B107A38" w14:textId="77777777" w:rsidR="005D372A" w:rsidRPr="001D6D10" w:rsidRDefault="005D372A" w:rsidP="008B4B2B">
            <w:pPr>
              <w:jc w:val="center"/>
              <w:rPr>
                <w:rFonts w:ascii="ＭＳ 明朝"/>
                <w:sz w:val="16"/>
                <w:szCs w:val="16"/>
              </w:rPr>
            </w:pPr>
            <w:r w:rsidRPr="001D6D10">
              <w:rPr>
                <w:rFonts w:ascii="ＭＳ 明朝" w:hint="eastAsia"/>
                <w:sz w:val="16"/>
                <w:szCs w:val="16"/>
              </w:rPr>
              <w:t>○</w:t>
            </w:r>
          </w:p>
        </w:tc>
        <w:tc>
          <w:tcPr>
            <w:tcW w:w="253" w:type="pct"/>
            <w:tcBorders>
              <w:top w:val="single" w:sz="4" w:space="0" w:color="auto"/>
              <w:left w:val="single" w:sz="4" w:space="0" w:color="auto"/>
              <w:bottom w:val="single" w:sz="4" w:space="0" w:color="auto"/>
              <w:right w:val="single" w:sz="4" w:space="0" w:color="auto"/>
            </w:tcBorders>
            <w:vAlign w:val="center"/>
            <w:hideMark/>
          </w:tcPr>
          <w:p w14:paraId="122D8000" w14:textId="77777777" w:rsidR="005D372A" w:rsidRPr="001D6D10" w:rsidRDefault="005D372A" w:rsidP="008B4B2B">
            <w:pPr>
              <w:jc w:val="center"/>
              <w:rPr>
                <w:rFonts w:ascii="ＭＳ 明朝"/>
                <w:sz w:val="16"/>
                <w:szCs w:val="16"/>
              </w:rPr>
            </w:pPr>
            <w:r w:rsidRPr="001D6D10">
              <w:rPr>
                <w:rFonts w:ascii="ＭＳ 明朝" w:hint="eastAsia"/>
                <w:sz w:val="16"/>
                <w:szCs w:val="16"/>
              </w:rPr>
              <w:t>○</w:t>
            </w:r>
          </w:p>
        </w:tc>
        <w:tc>
          <w:tcPr>
            <w:tcW w:w="253" w:type="pct"/>
            <w:tcBorders>
              <w:top w:val="single" w:sz="4" w:space="0" w:color="auto"/>
              <w:left w:val="single" w:sz="4" w:space="0" w:color="auto"/>
              <w:bottom w:val="single" w:sz="4" w:space="0" w:color="auto"/>
              <w:right w:val="single" w:sz="4" w:space="0" w:color="auto"/>
            </w:tcBorders>
            <w:vAlign w:val="center"/>
            <w:hideMark/>
          </w:tcPr>
          <w:p w14:paraId="769448AD" w14:textId="77777777" w:rsidR="005D372A" w:rsidRPr="001D6D10" w:rsidRDefault="005D372A" w:rsidP="008B4B2B">
            <w:pPr>
              <w:jc w:val="center"/>
              <w:rPr>
                <w:rFonts w:ascii="ＭＳ 明朝"/>
                <w:sz w:val="16"/>
                <w:szCs w:val="16"/>
              </w:rPr>
            </w:pPr>
            <w:r w:rsidRPr="001D6D10">
              <w:rPr>
                <w:rFonts w:ascii="ＭＳ 明朝" w:hint="eastAsia"/>
                <w:sz w:val="16"/>
                <w:szCs w:val="16"/>
              </w:rPr>
              <w:t>○</w:t>
            </w:r>
          </w:p>
        </w:tc>
        <w:tc>
          <w:tcPr>
            <w:tcW w:w="253" w:type="pct"/>
            <w:tcBorders>
              <w:top w:val="single" w:sz="4" w:space="0" w:color="auto"/>
              <w:left w:val="single" w:sz="4" w:space="0" w:color="auto"/>
              <w:bottom w:val="single" w:sz="4" w:space="0" w:color="auto"/>
              <w:right w:val="single" w:sz="4" w:space="0" w:color="auto"/>
            </w:tcBorders>
            <w:vAlign w:val="center"/>
            <w:hideMark/>
          </w:tcPr>
          <w:p w14:paraId="31B51C65" w14:textId="77777777" w:rsidR="005D372A" w:rsidRPr="001D6D10" w:rsidRDefault="005D372A" w:rsidP="008B4B2B">
            <w:pPr>
              <w:jc w:val="center"/>
              <w:rPr>
                <w:rFonts w:ascii="ＭＳ 明朝"/>
                <w:sz w:val="16"/>
                <w:szCs w:val="16"/>
              </w:rPr>
            </w:pPr>
            <w:r w:rsidRPr="001D6D10">
              <w:rPr>
                <w:rFonts w:ascii="ＭＳ 明朝" w:hint="eastAsia"/>
                <w:sz w:val="16"/>
                <w:szCs w:val="16"/>
              </w:rPr>
              <w:t>○</w:t>
            </w:r>
          </w:p>
        </w:tc>
        <w:tc>
          <w:tcPr>
            <w:tcW w:w="255" w:type="pct"/>
            <w:tcBorders>
              <w:top w:val="single" w:sz="4" w:space="0" w:color="auto"/>
              <w:left w:val="single" w:sz="4" w:space="0" w:color="auto"/>
              <w:bottom w:val="single" w:sz="4" w:space="0" w:color="auto"/>
              <w:right w:val="single" w:sz="4" w:space="0" w:color="auto"/>
            </w:tcBorders>
            <w:vAlign w:val="center"/>
            <w:hideMark/>
          </w:tcPr>
          <w:p w14:paraId="0C0F18CD" w14:textId="77777777" w:rsidR="005D372A" w:rsidRPr="001D6D10" w:rsidRDefault="005D372A" w:rsidP="008B4B2B">
            <w:pPr>
              <w:jc w:val="center"/>
              <w:rPr>
                <w:rFonts w:ascii="ＭＳ 明朝"/>
                <w:sz w:val="16"/>
                <w:szCs w:val="16"/>
              </w:rPr>
            </w:pPr>
            <w:r w:rsidRPr="001D6D10">
              <w:rPr>
                <w:rFonts w:ascii="ＭＳ 明朝" w:hint="eastAsia"/>
                <w:sz w:val="16"/>
                <w:szCs w:val="16"/>
              </w:rPr>
              <w:t>○</w:t>
            </w:r>
          </w:p>
        </w:tc>
        <w:tc>
          <w:tcPr>
            <w:tcW w:w="253" w:type="pct"/>
            <w:tcBorders>
              <w:top w:val="single" w:sz="4" w:space="0" w:color="auto"/>
              <w:left w:val="single" w:sz="4" w:space="0" w:color="auto"/>
              <w:bottom w:val="single" w:sz="4" w:space="0" w:color="auto"/>
              <w:right w:val="single" w:sz="4" w:space="0" w:color="auto"/>
            </w:tcBorders>
            <w:shd w:val="clear" w:color="auto" w:fill="FFFFFF"/>
            <w:vAlign w:val="center"/>
          </w:tcPr>
          <w:p w14:paraId="3A37163D" w14:textId="77777777" w:rsidR="005D372A" w:rsidRPr="001D6D10" w:rsidRDefault="005D372A" w:rsidP="008B4B2B">
            <w:pPr>
              <w:jc w:val="center"/>
              <w:rPr>
                <w:rFonts w:ascii="ＭＳ 明朝"/>
                <w:sz w:val="16"/>
                <w:szCs w:val="16"/>
              </w:rPr>
            </w:pPr>
            <w:r w:rsidRPr="001D6D10">
              <w:rPr>
                <w:rFonts w:ascii="ＭＳ 明朝" w:hint="eastAsia"/>
                <w:sz w:val="16"/>
                <w:szCs w:val="16"/>
              </w:rPr>
              <w:t>○</w:t>
            </w:r>
          </w:p>
        </w:tc>
        <w:tc>
          <w:tcPr>
            <w:tcW w:w="244" w:type="pct"/>
            <w:tcBorders>
              <w:top w:val="single" w:sz="4" w:space="0" w:color="auto"/>
              <w:left w:val="single" w:sz="4" w:space="0" w:color="auto"/>
              <w:bottom w:val="single" w:sz="4" w:space="0" w:color="auto"/>
              <w:right w:val="single" w:sz="4" w:space="0" w:color="auto"/>
            </w:tcBorders>
            <w:shd w:val="clear" w:color="auto" w:fill="FFFFFF"/>
            <w:vAlign w:val="center"/>
          </w:tcPr>
          <w:p w14:paraId="6E5CEA9D" w14:textId="77777777" w:rsidR="005D372A" w:rsidRPr="001D6D10" w:rsidRDefault="005D372A" w:rsidP="008B4B2B">
            <w:pPr>
              <w:jc w:val="center"/>
              <w:rPr>
                <w:rFonts w:ascii="ＭＳ 明朝"/>
                <w:sz w:val="16"/>
                <w:szCs w:val="16"/>
              </w:rPr>
            </w:pPr>
            <w:r w:rsidRPr="001D6D10">
              <w:rPr>
                <w:rFonts w:ascii="ＭＳ 明朝" w:hint="eastAsia"/>
                <w:sz w:val="16"/>
                <w:szCs w:val="16"/>
              </w:rPr>
              <w:t>○</w:t>
            </w:r>
          </w:p>
        </w:tc>
      </w:tr>
      <w:tr w:rsidR="001D6D10" w:rsidRPr="001D6D10" w14:paraId="454AB97C" w14:textId="77777777" w:rsidTr="001F5915">
        <w:trPr>
          <w:trHeight w:val="409"/>
        </w:trPr>
        <w:tc>
          <w:tcPr>
            <w:tcW w:w="188" w:type="pct"/>
            <w:tcBorders>
              <w:top w:val="single" w:sz="4" w:space="0" w:color="auto"/>
              <w:left w:val="single" w:sz="4" w:space="0" w:color="auto"/>
              <w:bottom w:val="single" w:sz="4" w:space="0" w:color="auto"/>
              <w:right w:val="single" w:sz="4" w:space="0" w:color="auto"/>
            </w:tcBorders>
            <w:vAlign w:val="center"/>
            <w:hideMark/>
          </w:tcPr>
          <w:p w14:paraId="37127264" w14:textId="77777777" w:rsidR="005D372A" w:rsidRPr="001D6D10" w:rsidRDefault="005D372A" w:rsidP="008B4B2B">
            <w:pPr>
              <w:jc w:val="center"/>
              <w:rPr>
                <w:rFonts w:ascii="ＭＳ 明朝"/>
                <w:sz w:val="16"/>
                <w:szCs w:val="16"/>
              </w:rPr>
            </w:pPr>
            <w:r w:rsidRPr="001D6D10">
              <w:rPr>
                <w:rFonts w:ascii="ＭＳ 明朝" w:hint="eastAsia"/>
                <w:sz w:val="16"/>
                <w:szCs w:val="16"/>
              </w:rPr>
              <w:t>６</w:t>
            </w:r>
          </w:p>
        </w:tc>
        <w:tc>
          <w:tcPr>
            <w:tcW w:w="391" w:type="pct"/>
            <w:vMerge/>
            <w:tcBorders>
              <w:left w:val="single" w:sz="4" w:space="0" w:color="auto"/>
              <w:right w:val="single" w:sz="4" w:space="0" w:color="auto"/>
            </w:tcBorders>
            <w:vAlign w:val="center"/>
          </w:tcPr>
          <w:p w14:paraId="59BB3860" w14:textId="77777777" w:rsidR="005D372A" w:rsidRPr="001D6D10" w:rsidRDefault="005D372A" w:rsidP="008B4B2B">
            <w:pPr>
              <w:jc w:val="center"/>
              <w:rPr>
                <w:rFonts w:ascii="ＭＳ 明朝"/>
                <w:sz w:val="16"/>
                <w:szCs w:val="16"/>
              </w:rPr>
            </w:pPr>
          </w:p>
        </w:tc>
        <w:tc>
          <w:tcPr>
            <w:tcW w:w="886" w:type="pct"/>
            <w:tcBorders>
              <w:top w:val="single" w:sz="4" w:space="0" w:color="auto"/>
              <w:left w:val="single" w:sz="4" w:space="0" w:color="auto"/>
              <w:bottom w:val="single" w:sz="4" w:space="0" w:color="auto"/>
              <w:right w:val="single" w:sz="4" w:space="0" w:color="auto"/>
            </w:tcBorders>
            <w:vAlign w:val="center"/>
            <w:hideMark/>
          </w:tcPr>
          <w:p w14:paraId="7E6E90BD" w14:textId="77777777" w:rsidR="005D372A" w:rsidRPr="001D6D10" w:rsidRDefault="005D372A" w:rsidP="008B4B2B">
            <w:pPr>
              <w:jc w:val="left"/>
              <w:rPr>
                <w:rFonts w:ascii="ＭＳ 明朝"/>
                <w:sz w:val="16"/>
                <w:szCs w:val="16"/>
              </w:rPr>
            </w:pPr>
            <w:r w:rsidRPr="001D6D10">
              <w:rPr>
                <w:rFonts w:ascii="ＭＳ 明朝" w:hint="eastAsia"/>
                <w:sz w:val="16"/>
                <w:szCs w:val="16"/>
              </w:rPr>
              <w:t>危機管理室長</w:t>
            </w:r>
          </w:p>
        </w:tc>
        <w:tc>
          <w:tcPr>
            <w:tcW w:w="251" w:type="pct"/>
            <w:tcBorders>
              <w:top w:val="single" w:sz="4" w:space="0" w:color="auto"/>
              <w:left w:val="single" w:sz="4" w:space="0" w:color="auto"/>
              <w:bottom w:val="single" w:sz="4" w:space="0" w:color="auto"/>
              <w:right w:val="single" w:sz="4" w:space="0" w:color="auto"/>
            </w:tcBorders>
            <w:vAlign w:val="center"/>
            <w:hideMark/>
          </w:tcPr>
          <w:p w14:paraId="72B3A901" w14:textId="77777777" w:rsidR="005D372A" w:rsidRPr="001D6D10" w:rsidRDefault="005D372A" w:rsidP="008B4B2B">
            <w:pPr>
              <w:jc w:val="center"/>
              <w:rPr>
                <w:rFonts w:ascii="ＭＳ 明朝"/>
                <w:sz w:val="16"/>
                <w:szCs w:val="16"/>
              </w:rPr>
            </w:pPr>
            <w:r w:rsidRPr="001D6D10">
              <w:rPr>
                <w:rFonts w:ascii="ＭＳ 明朝" w:hint="eastAsia"/>
                <w:sz w:val="16"/>
                <w:szCs w:val="16"/>
              </w:rPr>
              <w:t>○</w:t>
            </w:r>
          </w:p>
        </w:tc>
        <w:tc>
          <w:tcPr>
            <w:tcW w:w="253" w:type="pct"/>
            <w:tcBorders>
              <w:top w:val="single" w:sz="4" w:space="0" w:color="auto"/>
              <w:left w:val="single" w:sz="4" w:space="0" w:color="auto"/>
              <w:bottom w:val="single" w:sz="4" w:space="0" w:color="auto"/>
              <w:right w:val="single" w:sz="4" w:space="0" w:color="auto"/>
            </w:tcBorders>
            <w:vAlign w:val="center"/>
            <w:hideMark/>
          </w:tcPr>
          <w:p w14:paraId="71677F6D" w14:textId="77777777" w:rsidR="005D372A" w:rsidRPr="001D6D10" w:rsidRDefault="005D372A" w:rsidP="008B4B2B">
            <w:pPr>
              <w:jc w:val="center"/>
              <w:rPr>
                <w:rFonts w:ascii="ＭＳ 明朝"/>
                <w:sz w:val="16"/>
                <w:szCs w:val="16"/>
              </w:rPr>
            </w:pPr>
            <w:r w:rsidRPr="001D6D10">
              <w:rPr>
                <w:rFonts w:ascii="ＭＳ 明朝" w:hint="eastAsia"/>
                <w:sz w:val="16"/>
                <w:szCs w:val="16"/>
              </w:rPr>
              <w:t>○</w:t>
            </w:r>
          </w:p>
        </w:tc>
        <w:tc>
          <w:tcPr>
            <w:tcW w:w="253" w:type="pct"/>
            <w:tcBorders>
              <w:top w:val="single" w:sz="4" w:space="0" w:color="auto"/>
              <w:left w:val="single" w:sz="4" w:space="0" w:color="auto"/>
              <w:bottom w:val="single" w:sz="4" w:space="0" w:color="auto"/>
              <w:right w:val="single" w:sz="4" w:space="0" w:color="auto"/>
            </w:tcBorders>
            <w:vAlign w:val="center"/>
            <w:hideMark/>
          </w:tcPr>
          <w:p w14:paraId="2A906060" w14:textId="77777777" w:rsidR="005D372A" w:rsidRPr="001D6D10" w:rsidRDefault="005D372A" w:rsidP="008B4B2B">
            <w:pPr>
              <w:jc w:val="center"/>
              <w:rPr>
                <w:rFonts w:ascii="ＭＳ 明朝"/>
                <w:sz w:val="16"/>
                <w:szCs w:val="16"/>
              </w:rPr>
            </w:pPr>
            <w:r w:rsidRPr="001D6D10">
              <w:rPr>
                <w:rFonts w:ascii="ＭＳ 明朝" w:hint="eastAsia"/>
                <w:sz w:val="16"/>
                <w:szCs w:val="16"/>
              </w:rPr>
              <w:t>○</w:t>
            </w:r>
          </w:p>
        </w:tc>
        <w:tc>
          <w:tcPr>
            <w:tcW w:w="253" w:type="pct"/>
            <w:tcBorders>
              <w:top w:val="single" w:sz="4" w:space="0" w:color="auto"/>
              <w:left w:val="single" w:sz="4" w:space="0" w:color="auto"/>
              <w:bottom w:val="single" w:sz="4" w:space="0" w:color="auto"/>
              <w:right w:val="single" w:sz="4" w:space="0" w:color="auto"/>
            </w:tcBorders>
            <w:vAlign w:val="center"/>
          </w:tcPr>
          <w:p w14:paraId="7FCE0C60" w14:textId="77777777" w:rsidR="005D372A" w:rsidRPr="001D6D10" w:rsidRDefault="005D372A" w:rsidP="008B4B2B">
            <w:pPr>
              <w:jc w:val="center"/>
              <w:rPr>
                <w:rFonts w:ascii="ＭＳ 明朝"/>
                <w:sz w:val="16"/>
                <w:szCs w:val="16"/>
              </w:rPr>
            </w:pPr>
            <w:r w:rsidRPr="001D6D10">
              <w:rPr>
                <w:rFonts w:ascii="ＭＳ 明朝" w:hint="eastAsia"/>
                <w:sz w:val="16"/>
                <w:szCs w:val="16"/>
              </w:rPr>
              <w:t>○</w:t>
            </w:r>
          </w:p>
        </w:tc>
        <w:tc>
          <w:tcPr>
            <w:tcW w:w="244" w:type="pct"/>
            <w:tcBorders>
              <w:top w:val="single" w:sz="4" w:space="0" w:color="auto"/>
              <w:left w:val="single" w:sz="4" w:space="0" w:color="auto"/>
              <w:bottom w:val="single" w:sz="4" w:space="0" w:color="auto"/>
              <w:right w:val="single" w:sz="4" w:space="0" w:color="auto"/>
            </w:tcBorders>
            <w:shd w:val="clear" w:color="auto" w:fill="FFFFFF"/>
            <w:vAlign w:val="center"/>
          </w:tcPr>
          <w:p w14:paraId="1EBDC659" w14:textId="77777777" w:rsidR="005D372A" w:rsidRPr="001D6D10" w:rsidRDefault="005D372A" w:rsidP="008B4B2B">
            <w:pPr>
              <w:jc w:val="center"/>
              <w:rPr>
                <w:rFonts w:ascii="ＭＳ 明朝"/>
                <w:sz w:val="16"/>
                <w:szCs w:val="16"/>
              </w:rPr>
            </w:pPr>
            <w:r w:rsidRPr="001D6D10">
              <w:rPr>
                <w:rFonts w:ascii="ＭＳ 明朝" w:hint="eastAsia"/>
                <w:sz w:val="16"/>
                <w:szCs w:val="16"/>
              </w:rPr>
              <w:t>○</w:t>
            </w:r>
          </w:p>
        </w:tc>
        <w:tc>
          <w:tcPr>
            <w:tcW w:w="262" w:type="pct"/>
            <w:tcBorders>
              <w:top w:val="single" w:sz="4" w:space="0" w:color="auto"/>
              <w:left w:val="single" w:sz="4" w:space="0" w:color="auto"/>
              <w:bottom w:val="single" w:sz="4" w:space="0" w:color="auto"/>
              <w:right w:val="single" w:sz="4" w:space="0" w:color="auto"/>
            </w:tcBorders>
            <w:vAlign w:val="center"/>
            <w:hideMark/>
          </w:tcPr>
          <w:p w14:paraId="716F0764" w14:textId="77777777" w:rsidR="005D372A" w:rsidRPr="001D6D10" w:rsidRDefault="005D372A" w:rsidP="008B4B2B">
            <w:pPr>
              <w:jc w:val="center"/>
              <w:rPr>
                <w:rFonts w:ascii="ＭＳ 明朝"/>
                <w:sz w:val="16"/>
                <w:szCs w:val="16"/>
              </w:rPr>
            </w:pPr>
            <w:r w:rsidRPr="001D6D10">
              <w:rPr>
                <w:rFonts w:ascii="ＭＳ 明朝" w:hint="eastAsia"/>
                <w:sz w:val="16"/>
                <w:szCs w:val="16"/>
              </w:rPr>
              <w:t>○</w:t>
            </w:r>
          </w:p>
        </w:tc>
        <w:tc>
          <w:tcPr>
            <w:tcW w:w="253" w:type="pct"/>
            <w:tcBorders>
              <w:top w:val="single" w:sz="4" w:space="0" w:color="auto"/>
              <w:left w:val="single" w:sz="4" w:space="0" w:color="auto"/>
              <w:bottom w:val="single" w:sz="4" w:space="0" w:color="auto"/>
              <w:right w:val="single" w:sz="4" w:space="0" w:color="auto"/>
            </w:tcBorders>
            <w:vAlign w:val="center"/>
            <w:hideMark/>
          </w:tcPr>
          <w:p w14:paraId="4B7B76F9" w14:textId="77777777" w:rsidR="005D372A" w:rsidRPr="001D6D10" w:rsidRDefault="005D372A" w:rsidP="008B4B2B">
            <w:pPr>
              <w:jc w:val="center"/>
              <w:rPr>
                <w:rFonts w:ascii="ＭＳ 明朝"/>
                <w:sz w:val="16"/>
                <w:szCs w:val="16"/>
              </w:rPr>
            </w:pPr>
            <w:r w:rsidRPr="001D6D10">
              <w:rPr>
                <w:rFonts w:ascii="ＭＳ 明朝" w:hint="eastAsia"/>
                <w:sz w:val="16"/>
                <w:szCs w:val="16"/>
              </w:rPr>
              <w:t>○</w:t>
            </w:r>
          </w:p>
        </w:tc>
        <w:tc>
          <w:tcPr>
            <w:tcW w:w="253" w:type="pct"/>
            <w:tcBorders>
              <w:top w:val="single" w:sz="4" w:space="0" w:color="auto"/>
              <w:left w:val="single" w:sz="4" w:space="0" w:color="auto"/>
              <w:bottom w:val="single" w:sz="4" w:space="0" w:color="auto"/>
              <w:right w:val="single" w:sz="4" w:space="0" w:color="auto"/>
            </w:tcBorders>
            <w:vAlign w:val="center"/>
            <w:hideMark/>
          </w:tcPr>
          <w:p w14:paraId="5A8FFACF" w14:textId="77777777" w:rsidR="005D372A" w:rsidRPr="001D6D10" w:rsidRDefault="005D372A" w:rsidP="008B4B2B">
            <w:pPr>
              <w:jc w:val="center"/>
              <w:rPr>
                <w:rFonts w:ascii="ＭＳ 明朝"/>
                <w:sz w:val="16"/>
                <w:szCs w:val="16"/>
              </w:rPr>
            </w:pPr>
            <w:r w:rsidRPr="001D6D10">
              <w:rPr>
                <w:rFonts w:ascii="ＭＳ 明朝" w:hint="eastAsia"/>
                <w:sz w:val="16"/>
                <w:szCs w:val="16"/>
              </w:rPr>
              <w:t>○</w:t>
            </w:r>
          </w:p>
        </w:tc>
        <w:tc>
          <w:tcPr>
            <w:tcW w:w="253" w:type="pct"/>
            <w:tcBorders>
              <w:top w:val="single" w:sz="4" w:space="0" w:color="auto"/>
              <w:left w:val="single" w:sz="4" w:space="0" w:color="auto"/>
              <w:bottom w:val="single" w:sz="4" w:space="0" w:color="auto"/>
              <w:right w:val="single" w:sz="4" w:space="0" w:color="auto"/>
            </w:tcBorders>
            <w:vAlign w:val="center"/>
            <w:hideMark/>
          </w:tcPr>
          <w:p w14:paraId="6095B48F" w14:textId="77777777" w:rsidR="005D372A" w:rsidRPr="001D6D10" w:rsidRDefault="005D372A" w:rsidP="008B4B2B">
            <w:pPr>
              <w:jc w:val="center"/>
              <w:rPr>
                <w:rFonts w:ascii="ＭＳ 明朝"/>
                <w:sz w:val="16"/>
                <w:szCs w:val="16"/>
              </w:rPr>
            </w:pPr>
            <w:r w:rsidRPr="001D6D10">
              <w:rPr>
                <w:rFonts w:ascii="ＭＳ 明朝" w:hint="eastAsia"/>
                <w:sz w:val="16"/>
                <w:szCs w:val="16"/>
              </w:rPr>
              <w:t>○</w:t>
            </w:r>
          </w:p>
        </w:tc>
        <w:tc>
          <w:tcPr>
            <w:tcW w:w="253" w:type="pct"/>
            <w:tcBorders>
              <w:top w:val="single" w:sz="4" w:space="0" w:color="auto"/>
              <w:left w:val="single" w:sz="4" w:space="0" w:color="auto"/>
              <w:bottom w:val="single" w:sz="4" w:space="0" w:color="auto"/>
              <w:right w:val="single" w:sz="4" w:space="0" w:color="auto"/>
            </w:tcBorders>
            <w:vAlign w:val="center"/>
            <w:hideMark/>
          </w:tcPr>
          <w:p w14:paraId="6A3CB839" w14:textId="77777777" w:rsidR="005D372A" w:rsidRPr="001D6D10" w:rsidRDefault="005D372A" w:rsidP="008B4B2B">
            <w:pPr>
              <w:jc w:val="center"/>
              <w:rPr>
                <w:rFonts w:ascii="ＭＳ 明朝"/>
                <w:sz w:val="16"/>
                <w:szCs w:val="16"/>
              </w:rPr>
            </w:pPr>
            <w:r w:rsidRPr="001D6D10">
              <w:rPr>
                <w:rFonts w:ascii="ＭＳ 明朝" w:hint="eastAsia"/>
                <w:sz w:val="16"/>
                <w:szCs w:val="16"/>
              </w:rPr>
              <w:t>○</w:t>
            </w:r>
          </w:p>
        </w:tc>
        <w:tc>
          <w:tcPr>
            <w:tcW w:w="253" w:type="pct"/>
            <w:tcBorders>
              <w:top w:val="single" w:sz="4" w:space="0" w:color="auto"/>
              <w:left w:val="single" w:sz="4" w:space="0" w:color="auto"/>
              <w:bottom w:val="single" w:sz="4" w:space="0" w:color="auto"/>
              <w:right w:val="single" w:sz="4" w:space="0" w:color="auto"/>
            </w:tcBorders>
            <w:vAlign w:val="center"/>
            <w:hideMark/>
          </w:tcPr>
          <w:p w14:paraId="36746096" w14:textId="77777777" w:rsidR="005D372A" w:rsidRPr="001D6D10" w:rsidRDefault="005D372A" w:rsidP="008B4B2B">
            <w:pPr>
              <w:jc w:val="center"/>
              <w:rPr>
                <w:rFonts w:ascii="ＭＳ 明朝"/>
                <w:sz w:val="16"/>
                <w:szCs w:val="16"/>
              </w:rPr>
            </w:pPr>
            <w:r w:rsidRPr="001D6D10">
              <w:rPr>
                <w:rFonts w:ascii="ＭＳ 明朝" w:hint="eastAsia"/>
                <w:sz w:val="16"/>
                <w:szCs w:val="16"/>
              </w:rPr>
              <w:t>○</w:t>
            </w:r>
          </w:p>
        </w:tc>
        <w:tc>
          <w:tcPr>
            <w:tcW w:w="255" w:type="pct"/>
            <w:tcBorders>
              <w:top w:val="single" w:sz="4" w:space="0" w:color="auto"/>
              <w:left w:val="single" w:sz="4" w:space="0" w:color="auto"/>
              <w:bottom w:val="single" w:sz="4" w:space="0" w:color="auto"/>
              <w:right w:val="single" w:sz="4" w:space="0" w:color="auto"/>
            </w:tcBorders>
            <w:vAlign w:val="center"/>
            <w:hideMark/>
          </w:tcPr>
          <w:p w14:paraId="29AA3A54" w14:textId="77777777" w:rsidR="005D372A" w:rsidRPr="001D6D10" w:rsidRDefault="005D372A" w:rsidP="008B4B2B">
            <w:pPr>
              <w:jc w:val="center"/>
              <w:rPr>
                <w:rFonts w:ascii="ＭＳ 明朝"/>
                <w:sz w:val="16"/>
                <w:szCs w:val="16"/>
              </w:rPr>
            </w:pPr>
            <w:r w:rsidRPr="001D6D10">
              <w:rPr>
                <w:rFonts w:ascii="ＭＳ 明朝" w:hint="eastAsia"/>
                <w:sz w:val="16"/>
                <w:szCs w:val="16"/>
              </w:rPr>
              <w:t>○</w:t>
            </w:r>
          </w:p>
        </w:tc>
        <w:tc>
          <w:tcPr>
            <w:tcW w:w="253" w:type="pct"/>
            <w:tcBorders>
              <w:top w:val="single" w:sz="4" w:space="0" w:color="auto"/>
              <w:left w:val="single" w:sz="4" w:space="0" w:color="auto"/>
              <w:bottom w:val="single" w:sz="4" w:space="0" w:color="auto"/>
              <w:right w:val="single" w:sz="4" w:space="0" w:color="auto"/>
            </w:tcBorders>
            <w:shd w:val="clear" w:color="auto" w:fill="FFFFFF"/>
            <w:vAlign w:val="center"/>
          </w:tcPr>
          <w:p w14:paraId="028C6835" w14:textId="77777777" w:rsidR="005D372A" w:rsidRPr="001D6D10" w:rsidRDefault="005D372A" w:rsidP="008B4B2B">
            <w:pPr>
              <w:jc w:val="center"/>
              <w:rPr>
                <w:rFonts w:ascii="ＭＳ 明朝"/>
                <w:sz w:val="16"/>
                <w:szCs w:val="16"/>
              </w:rPr>
            </w:pPr>
            <w:r w:rsidRPr="001D6D10">
              <w:rPr>
                <w:rFonts w:ascii="ＭＳ 明朝" w:hint="eastAsia"/>
                <w:sz w:val="16"/>
                <w:szCs w:val="16"/>
              </w:rPr>
              <w:t>○</w:t>
            </w:r>
          </w:p>
        </w:tc>
        <w:tc>
          <w:tcPr>
            <w:tcW w:w="244" w:type="pct"/>
            <w:tcBorders>
              <w:top w:val="single" w:sz="4" w:space="0" w:color="auto"/>
              <w:left w:val="single" w:sz="4" w:space="0" w:color="auto"/>
              <w:bottom w:val="single" w:sz="4" w:space="0" w:color="auto"/>
              <w:right w:val="single" w:sz="4" w:space="0" w:color="auto"/>
            </w:tcBorders>
            <w:shd w:val="clear" w:color="auto" w:fill="FFFFFF"/>
            <w:vAlign w:val="center"/>
          </w:tcPr>
          <w:p w14:paraId="5F867BDD" w14:textId="77777777" w:rsidR="005D372A" w:rsidRPr="001D6D10" w:rsidRDefault="005D372A" w:rsidP="008B4B2B">
            <w:pPr>
              <w:jc w:val="center"/>
              <w:rPr>
                <w:rFonts w:ascii="ＭＳ 明朝"/>
                <w:sz w:val="16"/>
                <w:szCs w:val="16"/>
              </w:rPr>
            </w:pPr>
            <w:r w:rsidRPr="001D6D10">
              <w:rPr>
                <w:rFonts w:ascii="ＭＳ 明朝" w:hint="eastAsia"/>
                <w:sz w:val="16"/>
                <w:szCs w:val="16"/>
              </w:rPr>
              <w:t>○</w:t>
            </w:r>
          </w:p>
        </w:tc>
      </w:tr>
      <w:tr w:rsidR="001D6D10" w:rsidRPr="001D6D10" w14:paraId="19BBF16E" w14:textId="77777777" w:rsidTr="001F5915">
        <w:trPr>
          <w:trHeight w:val="415"/>
        </w:trPr>
        <w:tc>
          <w:tcPr>
            <w:tcW w:w="188" w:type="pct"/>
            <w:tcBorders>
              <w:top w:val="single" w:sz="4" w:space="0" w:color="auto"/>
              <w:left w:val="single" w:sz="4" w:space="0" w:color="auto"/>
              <w:bottom w:val="single" w:sz="4" w:space="0" w:color="auto"/>
              <w:right w:val="single" w:sz="4" w:space="0" w:color="auto"/>
            </w:tcBorders>
            <w:vAlign w:val="center"/>
            <w:hideMark/>
          </w:tcPr>
          <w:p w14:paraId="5EBA9F9D" w14:textId="77777777" w:rsidR="005D372A" w:rsidRPr="001D6D10" w:rsidRDefault="005D372A" w:rsidP="008B4B2B">
            <w:pPr>
              <w:jc w:val="center"/>
              <w:rPr>
                <w:rFonts w:ascii="ＭＳ 明朝"/>
                <w:sz w:val="16"/>
                <w:szCs w:val="16"/>
              </w:rPr>
            </w:pPr>
            <w:r w:rsidRPr="001D6D10">
              <w:rPr>
                <w:rFonts w:ascii="ＭＳ 明朝" w:hint="eastAsia"/>
                <w:sz w:val="16"/>
                <w:szCs w:val="16"/>
              </w:rPr>
              <w:t>７</w:t>
            </w:r>
          </w:p>
        </w:tc>
        <w:tc>
          <w:tcPr>
            <w:tcW w:w="391" w:type="pct"/>
            <w:vMerge/>
            <w:tcBorders>
              <w:left w:val="single" w:sz="4" w:space="0" w:color="auto"/>
              <w:right w:val="single" w:sz="4" w:space="0" w:color="auto"/>
            </w:tcBorders>
            <w:vAlign w:val="center"/>
          </w:tcPr>
          <w:p w14:paraId="388A3482" w14:textId="77777777" w:rsidR="005D372A" w:rsidRPr="001D6D10" w:rsidRDefault="005D372A" w:rsidP="008B4B2B">
            <w:pPr>
              <w:jc w:val="center"/>
              <w:rPr>
                <w:rFonts w:ascii="ＭＳ 明朝"/>
                <w:sz w:val="16"/>
                <w:szCs w:val="16"/>
              </w:rPr>
            </w:pPr>
          </w:p>
        </w:tc>
        <w:tc>
          <w:tcPr>
            <w:tcW w:w="886" w:type="pct"/>
            <w:tcBorders>
              <w:top w:val="single" w:sz="4" w:space="0" w:color="auto"/>
              <w:left w:val="single" w:sz="4" w:space="0" w:color="auto"/>
              <w:bottom w:val="single" w:sz="4" w:space="0" w:color="auto"/>
              <w:right w:val="single" w:sz="4" w:space="0" w:color="auto"/>
            </w:tcBorders>
            <w:vAlign w:val="center"/>
            <w:hideMark/>
          </w:tcPr>
          <w:p w14:paraId="290D3D57" w14:textId="77777777" w:rsidR="005D372A" w:rsidRPr="001D6D10" w:rsidRDefault="005D372A" w:rsidP="008B4B2B">
            <w:pPr>
              <w:jc w:val="left"/>
              <w:rPr>
                <w:rFonts w:ascii="ＭＳ 明朝"/>
                <w:sz w:val="16"/>
                <w:szCs w:val="16"/>
              </w:rPr>
            </w:pPr>
            <w:r w:rsidRPr="001D6D10">
              <w:rPr>
                <w:rFonts w:ascii="ＭＳ 明朝" w:hint="eastAsia"/>
                <w:sz w:val="16"/>
                <w:szCs w:val="16"/>
              </w:rPr>
              <w:t>総務部長</w:t>
            </w:r>
          </w:p>
        </w:tc>
        <w:tc>
          <w:tcPr>
            <w:tcW w:w="251" w:type="pct"/>
            <w:tcBorders>
              <w:top w:val="single" w:sz="4" w:space="0" w:color="auto"/>
              <w:left w:val="single" w:sz="4" w:space="0" w:color="auto"/>
              <w:bottom w:val="single" w:sz="4" w:space="0" w:color="auto"/>
              <w:right w:val="single" w:sz="4" w:space="0" w:color="auto"/>
            </w:tcBorders>
            <w:vAlign w:val="center"/>
            <w:hideMark/>
          </w:tcPr>
          <w:p w14:paraId="7BF6EB79" w14:textId="77777777" w:rsidR="005D372A" w:rsidRPr="001D6D10" w:rsidRDefault="005D372A" w:rsidP="008B4B2B">
            <w:pPr>
              <w:jc w:val="center"/>
              <w:rPr>
                <w:rFonts w:ascii="ＭＳ 明朝"/>
                <w:sz w:val="16"/>
                <w:szCs w:val="16"/>
              </w:rPr>
            </w:pPr>
            <w:r w:rsidRPr="001D6D10">
              <w:rPr>
                <w:rFonts w:ascii="ＭＳ 明朝" w:hint="eastAsia"/>
                <w:sz w:val="16"/>
                <w:szCs w:val="16"/>
              </w:rPr>
              <w:t>○</w:t>
            </w:r>
          </w:p>
        </w:tc>
        <w:tc>
          <w:tcPr>
            <w:tcW w:w="253" w:type="pct"/>
            <w:tcBorders>
              <w:top w:val="single" w:sz="4" w:space="0" w:color="auto"/>
              <w:left w:val="single" w:sz="4" w:space="0" w:color="auto"/>
              <w:bottom w:val="single" w:sz="4" w:space="0" w:color="auto"/>
              <w:right w:val="single" w:sz="4" w:space="0" w:color="auto"/>
            </w:tcBorders>
            <w:vAlign w:val="center"/>
          </w:tcPr>
          <w:p w14:paraId="4AB47BFD" w14:textId="77777777" w:rsidR="005D372A" w:rsidRPr="001D6D10" w:rsidRDefault="005D372A" w:rsidP="008B4B2B">
            <w:pPr>
              <w:jc w:val="center"/>
              <w:rPr>
                <w:rFonts w:ascii="ＭＳ 明朝"/>
                <w:sz w:val="16"/>
                <w:szCs w:val="16"/>
              </w:rPr>
            </w:pPr>
          </w:p>
        </w:tc>
        <w:tc>
          <w:tcPr>
            <w:tcW w:w="253" w:type="pct"/>
            <w:tcBorders>
              <w:top w:val="single" w:sz="4" w:space="0" w:color="auto"/>
              <w:left w:val="single" w:sz="4" w:space="0" w:color="auto"/>
              <w:bottom w:val="single" w:sz="4" w:space="0" w:color="auto"/>
              <w:right w:val="single" w:sz="4" w:space="0" w:color="auto"/>
            </w:tcBorders>
            <w:vAlign w:val="center"/>
          </w:tcPr>
          <w:p w14:paraId="09057CA5" w14:textId="77777777" w:rsidR="005D372A" w:rsidRPr="001D6D10" w:rsidRDefault="005D372A" w:rsidP="008B4B2B">
            <w:pPr>
              <w:jc w:val="center"/>
              <w:rPr>
                <w:rFonts w:ascii="ＭＳ 明朝"/>
                <w:sz w:val="16"/>
                <w:szCs w:val="16"/>
              </w:rPr>
            </w:pPr>
          </w:p>
        </w:tc>
        <w:tc>
          <w:tcPr>
            <w:tcW w:w="253" w:type="pct"/>
            <w:tcBorders>
              <w:top w:val="single" w:sz="4" w:space="0" w:color="auto"/>
              <w:left w:val="single" w:sz="4" w:space="0" w:color="auto"/>
              <w:bottom w:val="single" w:sz="4" w:space="0" w:color="auto"/>
              <w:right w:val="single" w:sz="4" w:space="0" w:color="auto"/>
            </w:tcBorders>
            <w:vAlign w:val="center"/>
          </w:tcPr>
          <w:p w14:paraId="328B705A" w14:textId="77777777" w:rsidR="005D372A" w:rsidRPr="001D6D10" w:rsidRDefault="005D372A" w:rsidP="008B4B2B">
            <w:pPr>
              <w:jc w:val="center"/>
              <w:rPr>
                <w:rFonts w:ascii="ＭＳ 明朝"/>
                <w:sz w:val="16"/>
                <w:szCs w:val="16"/>
              </w:rPr>
            </w:pPr>
            <w:r w:rsidRPr="001D6D10">
              <w:rPr>
                <w:rFonts w:ascii="ＭＳ 明朝" w:hint="eastAsia"/>
                <w:sz w:val="16"/>
                <w:szCs w:val="16"/>
              </w:rPr>
              <w:t>○</w:t>
            </w:r>
          </w:p>
        </w:tc>
        <w:tc>
          <w:tcPr>
            <w:tcW w:w="244" w:type="pct"/>
            <w:tcBorders>
              <w:top w:val="single" w:sz="4" w:space="0" w:color="auto"/>
              <w:left w:val="single" w:sz="4" w:space="0" w:color="auto"/>
              <w:bottom w:val="single" w:sz="4" w:space="0" w:color="auto"/>
              <w:right w:val="single" w:sz="4" w:space="0" w:color="auto"/>
            </w:tcBorders>
            <w:shd w:val="clear" w:color="auto" w:fill="FFFFFF"/>
            <w:vAlign w:val="center"/>
          </w:tcPr>
          <w:p w14:paraId="2A61FF31" w14:textId="77777777" w:rsidR="005D372A" w:rsidRPr="001D6D10" w:rsidRDefault="005D372A" w:rsidP="008B4B2B">
            <w:pPr>
              <w:jc w:val="center"/>
              <w:rPr>
                <w:rFonts w:ascii="ＭＳ 明朝"/>
                <w:sz w:val="16"/>
                <w:szCs w:val="16"/>
              </w:rPr>
            </w:pPr>
          </w:p>
        </w:tc>
        <w:tc>
          <w:tcPr>
            <w:tcW w:w="262" w:type="pct"/>
            <w:tcBorders>
              <w:top w:val="single" w:sz="4" w:space="0" w:color="auto"/>
              <w:left w:val="single" w:sz="4" w:space="0" w:color="auto"/>
              <w:bottom w:val="single" w:sz="4" w:space="0" w:color="auto"/>
              <w:right w:val="single" w:sz="4" w:space="0" w:color="auto"/>
            </w:tcBorders>
            <w:vAlign w:val="center"/>
          </w:tcPr>
          <w:p w14:paraId="0C87D41E" w14:textId="77777777" w:rsidR="005D372A" w:rsidRPr="001D6D10" w:rsidRDefault="005D372A" w:rsidP="008B4B2B">
            <w:pPr>
              <w:jc w:val="center"/>
              <w:rPr>
                <w:rFonts w:ascii="ＭＳ 明朝"/>
                <w:sz w:val="16"/>
                <w:szCs w:val="16"/>
              </w:rPr>
            </w:pPr>
          </w:p>
        </w:tc>
        <w:tc>
          <w:tcPr>
            <w:tcW w:w="253" w:type="pct"/>
            <w:tcBorders>
              <w:top w:val="single" w:sz="4" w:space="0" w:color="auto"/>
              <w:left w:val="single" w:sz="4" w:space="0" w:color="auto"/>
              <w:bottom w:val="single" w:sz="4" w:space="0" w:color="auto"/>
              <w:right w:val="single" w:sz="4" w:space="0" w:color="auto"/>
            </w:tcBorders>
            <w:vAlign w:val="center"/>
          </w:tcPr>
          <w:p w14:paraId="51E14A28" w14:textId="77777777" w:rsidR="005D372A" w:rsidRPr="001D6D10" w:rsidRDefault="005D372A" w:rsidP="008B4B2B">
            <w:pPr>
              <w:jc w:val="center"/>
              <w:rPr>
                <w:rFonts w:ascii="ＭＳ 明朝"/>
                <w:sz w:val="16"/>
                <w:szCs w:val="16"/>
              </w:rPr>
            </w:pPr>
          </w:p>
        </w:tc>
        <w:tc>
          <w:tcPr>
            <w:tcW w:w="253" w:type="pct"/>
            <w:tcBorders>
              <w:top w:val="single" w:sz="4" w:space="0" w:color="auto"/>
              <w:left w:val="single" w:sz="4" w:space="0" w:color="auto"/>
              <w:bottom w:val="single" w:sz="4" w:space="0" w:color="auto"/>
              <w:right w:val="single" w:sz="4" w:space="0" w:color="auto"/>
            </w:tcBorders>
            <w:vAlign w:val="center"/>
          </w:tcPr>
          <w:p w14:paraId="4AE6B068" w14:textId="77777777" w:rsidR="005D372A" w:rsidRPr="001D6D10" w:rsidRDefault="005D372A" w:rsidP="008B4B2B">
            <w:pPr>
              <w:jc w:val="center"/>
              <w:rPr>
                <w:rFonts w:ascii="ＭＳ 明朝"/>
                <w:sz w:val="16"/>
                <w:szCs w:val="16"/>
              </w:rPr>
            </w:pPr>
          </w:p>
        </w:tc>
        <w:tc>
          <w:tcPr>
            <w:tcW w:w="253" w:type="pct"/>
            <w:tcBorders>
              <w:top w:val="single" w:sz="4" w:space="0" w:color="auto"/>
              <w:left w:val="single" w:sz="4" w:space="0" w:color="auto"/>
              <w:bottom w:val="single" w:sz="4" w:space="0" w:color="auto"/>
              <w:right w:val="single" w:sz="4" w:space="0" w:color="auto"/>
            </w:tcBorders>
            <w:vAlign w:val="center"/>
          </w:tcPr>
          <w:p w14:paraId="0F0A5163" w14:textId="77777777" w:rsidR="005D372A" w:rsidRPr="001D6D10" w:rsidRDefault="005D372A" w:rsidP="008B4B2B">
            <w:pPr>
              <w:jc w:val="center"/>
              <w:rPr>
                <w:rFonts w:ascii="ＭＳ 明朝"/>
                <w:sz w:val="16"/>
                <w:szCs w:val="16"/>
              </w:rPr>
            </w:pPr>
          </w:p>
        </w:tc>
        <w:tc>
          <w:tcPr>
            <w:tcW w:w="253" w:type="pct"/>
            <w:tcBorders>
              <w:top w:val="single" w:sz="4" w:space="0" w:color="auto"/>
              <w:left w:val="single" w:sz="4" w:space="0" w:color="auto"/>
              <w:bottom w:val="single" w:sz="4" w:space="0" w:color="auto"/>
              <w:right w:val="single" w:sz="4" w:space="0" w:color="auto"/>
            </w:tcBorders>
            <w:vAlign w:val="center"/>
          </w:tcPr>
          <w:p w14:paraId="19E10102" w14:textId="77777777" w:rsidR="005D372A" w:rsidRPr="001D6D10" w:rsidRDefault="005D372A" w:rsidP="008B4B2B">
            <w:pPr>
              <w:jc w:val="center"/>
              <w:rPr>
                <w:rFonts w:ascii="ＭＳ 明朝"/>
                <w:sz w:val="16"/>
                <w:szCs w:val="16"/>
              </w:rPr>
            </w:pPr>
          </w:p>
        </w:tc>
        <w:tc>
          <w:tcPr>
            <w:tcW w:w="253" w:type="pct"/>
            <w:tcBorders>
              <w:top w:val="single" w:sz="4" w:space="0" w:color="auto"/>
              <w:left w:val="single" w:sz="4" w:space="0" w:color="auto"/>
              <w:bottom w:val="single" w:sz="4" w:space="0" w:color="auto"/>
              <w:right w:val="single" w:sz="4" w:space="0" w:color="auto"/>
            </w:tcBorders>
            <w:vAlign w:val="center"/>
          </w:tcPr>
          <w:p w14:paraId="67F06C7C" w14:textId="77777777" w:rsidR="005D372A" w:rsidRPr="001D6D10" w:rsidRDefault="005D372A" w:rsidP="008B4B2B">
            <w:pPr>
              <w:jc w:val="center"/>
              <w:rPr>
                <w:rFonts w:ascii="ＭＳ 明朝"/>
                <w:sz w:val="16"/>
                <w:szCs w:val="16"/>
              </w:rPr>
            </w:pPr>
          </w:p>
        </w:tc>
        <w:tc>
          <w:tcPr>
            <w:tcW w:w="255" w:type="pct"/>
            <w:tcBorders>
              <w:top w:val="single" w:sz="4" w:space="0" w:color="auto"/>
              <w:left w:val="single" w:sz="4" w:space="0" w:color="auto"/>
              <w:bottom w:val="single" w:sz="4" w:space="0" w:color="auto"/>
              <w:right w:val="single" w:sz="4" w:space="0" w:color="auto"/>
            </w:tcBorders>
            <w:vAlign w:val="center"/>
          </w:tcPr>
          <w:p w14:paraId="0D7ECB2F" w14:textId="77777777" w:rsidR="005D372A" w:rsidRPr="001D6D10" w:rsidRDefault="005D372A" w:rsidP="008B4B2B">
            <w:pPr>
              <w:jc w:val="center"/>
              <w:rPr>
                <w:rFonts w:ascii="ＭＳ 明朝"/>
                <w:sz w:val="16"/>
                <w:szCs w:val="16"/>
              </w:rPr>
            </w:pPr>
          </w:p>
        </w:tc>
        <w:tc>
          <w:tcPr>
            <w:tcW w:w="253" w:type="pct"/>
            <w:tcBorders>
              <w:top w:val="single" w:sz="4" w:space="0" w:color="auto"/>
              <w:left w:val="single" w:sz="4" w:space="0" w:color="auto"/>
              <w:bottom w:val="single" w:sz="4" w:space="0" w:color="auto"/>
              <w:right w:val="single" w:sz="4" w:space="0" w:color="auto"/>
            </w:tcBorders>
            <w:shd w:val="clear" w:color="auto" w:fill="FFFFFF"/>
            <w:vAlign w:val="center"/>
          </w:tcPr>
          <w:p w14:paraId="54458065" w14:textId="77777777" w:rsidR="005D372A" w:rsidRPr="001D6D10" w:rsidRDefault="005D372A" w:rsidP="008B4B2B">
            <w:pPr>
              <w:jc w:val="center"/>
              <w:rPr>
                <w:rFonts w:ascii="ＭＳ 明朝"/>
                <w:sz w:val="16"/>
                <w:szCs w:val="16"/>
              </w:rPr>
            </w:pPr>
            <w:r w:rsidRPr="001D6D10">
              <w:rPr>
                <w:rFonts w:ascii="ＭＳ 明朝" w:hint="eastAsia"/>
                <w:sz w:val="16"/>
                <w:szCs w:val="16"/>
              </w:rPr>
              <w:t>○</w:t>
            </w:r>
          </w:p>
        </w:tc>
        <w:tc>
          <w:tcPr>
            <w:tcW w:w="244" w:type="pct"/>
            <w:tcBorders>
              <w:top w:val="single" w:sz="4" w:space="0" w:color="auto"/>
              <w:left w:val="single" w:sz="4" w:space="0" w:color="auto"/>
              <w:bottom w:val="single" w:sz="4" w:space="0" w:color="auto"/>
              <w:right w:val="single" w:sz="4" w:space="0" w:color="auto"/>
            </w:tcBorders>
            <w:shd w:val="clear" w:color="auto" w:fill="FFFFFF"/>
            <w:vAlign w:val="center"/>
          </w:tcPr>
          <w:p w14:paraId="095B96FC" w14:textId="77777777" w:rsidR="005D372A" w:rsidRPr="001D6D10" w:rsidRDefault="005D372A" w:rsidP="008B4B2B">
            <w:pPr>
              <w:jc w:val="center"/>
              <w:rPr>
                <w:rFonts w:ascii="ＭＳ 明朝"/>
                <w:sz w:val="16"/>
                <w:szCs w:val="16"/>
              </w:rPr>
            </w:pPr>
          </w:p>
        </w:tc>
      </w:tr>
      <w:tr w:rsidR="001D6D10" w:rsidRPr="001D6D10" w14:paraId="07B74F28" w14:textId="77777777" w:rsidTr="001F5915">
        <w:trPr>
          <w:trHeight w:val="278"/>
        </w:trPr>
        <w:tc>
          <w:tcPr>
            <w:tcW w:w="188" w:type="pct"/>
            <w:tcBorders>
              <w:top w:val="single" w:sz="4" w:space="0" w:color="auto"/>
              <w:left w:val="single" w:sz="4" w:space="0" w:color="auto"/>
              <w:bottom w:val="single" w:sz="4" w:space="0" w:color="auto"/>
              <w:right w:val="single" w:sz="4" w:space="0" w:color="auto"/>
            </w:tcBorders>
            <w:vAlign w:val="center"/>
            <w:hideMark/>
          </w:tcPr>
          <w:p w14:paraId="5A29BF0F" w14:textId="77777777" w:rsidR="005D372A" w:rsidRPr="001D6D10" w:rsidRDefault="005D372A" w:rsidP="008B4B2B">
            <w:pPr>
              <w:jc w:val="center"/>
              <w:rPr>
                <w:rFonts w:ascii="ＭＳ 明朝"/>
                <w:sz w:val="16"/>
                <w:szCs w:val="16"/>
              </w:rPr>
            </w:pPr>
            <w:r w:rsidRPr="001D6D10">
              <w:rPr>
                <w:rFonts w:ascii="ＭＳ 明朝" w:hint="eastAsia"/>
                <w:sz w:val="16"/>
                <w:szCs w:val="16"/>
              </w:rPr>
              <w:t>８</w:t>
            </w:r>
          </w:p>
        </w:tc>
        <w:tc>
          <w:tcPr>
            <w:tcW w:w="391" w:type="pct"/>
            <w:vMerge/>
            <w:tcBorders>
              <w:left w:val="single" w:sz="4" w:space="0" w:color="auto"/>
              <w:right w:val="single" w:sz="4" w:space="0" w:color="auto"/>
            </w:tcBorders>
            <w:vAlign w:val="center"/>
          </w:tcPr>
          <w:p w14:paraId="0E9381D6" w14:textId="77777777" w:rsidR="005D372A" w:rsidRPr="001D6D10" w:rsidRDefault="005D372A" w:rsidP="008B4B2B">
            <w:pPr>
              <w:jc w:val="center"/>
              <w:rPr>
                <w:rFonts w:ascii="ＭＳ 明朝"/>
                <w:sz w:val="16"/>
                <w:szCs w:val="16"/>
              </w:rPr>
            </w:pPr>
          </w:p>
        </w:tc>
        <w:tc>
          <w:tcPr>
            <w:tcW w:w="886" w:type="pct"/>
            <w:tcBorders>
              <w:top w:val="single" w:sz="4" w:space="0" w:color="auto"/>
              <w:left w:val="single" w:sz="4" w:space="0" w:color="auto"/>
              <w:bottom w:val="single" w:sz="4" w:space="0" w:color="auto"/>
              <w:right w:val="single" w:sz="4" w:space="0" w:color="auto"/>
            </w:tcBorders>
            <w:vAlign w:val="center"/>
            <w:hideMark/>
          </w:tcPr>
          <w:p w14:paraId="4BE8AAFC" w14:textId="77777777" w:rsidR="005D372A" w:rsidRPr="001D6D10" w:rsidRDefault="005D372A" w:rsidP="008B4B2B">
            <w:pPr>
              <w:jc w:val="left"/>
              <w:rPr>
                <w:rFonts w:ascii="ＭＳ 明朝"/>
                <w:sz w:val="16"/>
                <w:szCs w:val="16"/>
              </w:rPr>
            </w:pPr>
            <w:r w:rsidRPr="001D6D10">
              <w:rPr>
                <w:rFonts w:ascii="ＭＳ 明朝" w:hint="eastAsia"/>
                <w:sz w:val="16"/>
                <w:szCs w:val="16"/>
              </w:rPr>
              <w:t>財務部長</w:t>
            </w:r>
          </w:p>
        </w:tc>
        <w:tc>
          <w:tcPr>
            <w:tcW w:w="251" w:type="pct"/>
            <w:tcBorders>
              <w:top w:val="single" w:sz="4" w:space="0" w:color="auto"/>
              <w:left w:val="single" w:sz="4" w:space="0" w:color="auto"/>
              <w:bottom w:val="single" w:sz="4" w:space="0" w:color="auto"/>
              <w:right w:val="single" w:sz="4" w:space="0" w:color="auto"/>
            </w:tcBorders>
            <w:vAlign w:val="center"/>
            <w:hideMark/>
          </w:tcPr>
          <w:p w14:paraId="37F460E3" w14:textId="77777777" w:rsidR="005D372A" w:rsidRPr="001D6D10" w:rsidRDefault="005D372A" w:rsidP="008B4B2B">
            <w:pPr>
              <w:jc w:val="center"/>
              <w:rPr>
                <w:rFonts w:ascii="ＭＳ 明朝"/>
                <w:sz w:val="16"/>
                <w:szCs w:val="16"/>
              </w:rPr>
            </w:pPr>
            <w:r w:rsidRPr="001D6D10">
              <w:rPr>
                <w:rFonts w:ascii="ＭＳ 明朝" w:hint="eastAsia"/>
                <w:sz w:val="16"/>
                <w:szCs w:val="16"/>
              </w:rPr>
              <w:t>○</w:t>
            </w:r>
          </w:p>
        </w:tc>
        <w:tc>
          <w:tcPr>
            <w:tcW w:w="253" w:type="pct"/>
            <w:tcBorders>
              <w:top w:val="single" w:sz="4" w:space="0" w:color="auto"/>
              <w:left w:val="single" w:sz="4" w:space="0" w:color="auto"/>
              <w:bottom w:val="single" w:sz="4" w:space="0" w:color="auto"/>
              <w:right w:val="single" w:sz="4" w:space="0" w:color="auto"/>
            </w:tcBorders>
            <w:vAlign w:val="center"/>
          </w:tcPr>
          <w:p w14:paraId="3535A80D" w14:textId="77777777" w:rsidR="005D372A" w:rsidRPr="001D6D10" w:rsidRDefault="005D372A" w:rsidP="008B4B2B">
            <w:pPr>
              <w:jc w:val="center"/>
              <w:rPr>
                <w:rFonts w:ascii="ＭＳ 明朝"/>
                <w:sz w:val="16"/>
                <w:szCs w:val="16"/>
              </w:rPr>
            </w:pPr>
          </w:p>
        </w:tc>
        <w:tc>
          <w:tcPr>
            <w:tcW w:w="253" w:type="pct"/>
            <w:tcBorders>
              <w:top w:val="single" w:sz="4" w:space="0" w:color="auto"/>
              <w:left w:val="single" w:sz="4" w:space="0" w:color="auto"/>
              <w:bottom w:val="single" w:sz="4" w:space="0" w:color="auto"/>
              <w:right w:val="single" w:sz="4" w:space="0" w:color="auto"/>
            </w:tcBorders>
            <w:vAlign w:val="center"/>
          </w:tcPr>
          <w:p w14:paraId="667CCE6A" w14:textId="77777777" w:rsidR="005D372A" w:rsidRPr="001D6D10" w:rsidRDefault="005D372A" w:rsidP="008B4B2B">
            <w:pPr>
              <w:jc w:val="center"/>
              <w:rPr>
                <w:rFonts w:ascii="ＭＳ 明朝"/>
                <w:sz w:val="16"/>
                <w:szCs w:val="16"/>
              </w:rPr>
            </w:pPr>
          </w:p>
        </w:tc>
        <w:tc>
          <w:tcPr>
            <w:tcW w:w="253" w:type="pct"/>
            <w:tcBorders>
              <w:top w:val="single" w:sz="4" w:space="0" w:color="auto"/>
              <w:left w:val="single" w:sz="4" w:space="0" w:color="auto"/>
              <w:bottom w:val="single" w:sz="4" w:space="0" w:color="auto"/>
              <w:right w:val="single" w:sz="4" w:space="0" w:color="auto"/>
            </w:tcBorders>
            <w:vAlign w:val="center"/>
          </w:tcPr>
          <w:p w14:paraId="5D07B496" w14:textId="77777777" w:rsidR="005D372A" w:rsidRPr="001D6D10" w:rsidRDefault="005D372A" w:rsidP="008B4B2B">
            <w:pPr>
              <w:jc w:val="center"/>
              <w:rPr>
                <w:rFonts w:ascii="ＭＳ 明朝"/>
                <w:sz w:val="16"/>
                <w:szCs w:val="16"/>
              </w:rPr>
            </w:pPr>
            <w:r w:rsidRPr="001D6D10">
              <w:rPr>
                <w:rFonts w:ascii="ＭＳ 明朝" w:hint="eastAsia"/>
                <w:sz w:val="16"/>
                <w:szCs w:val="16"/>
              </w:rPr>
              <w:t>○</w:t>
            </w:r>
          </w:p>
        </w:tc>
        <w:tc>
          <w:tcPr>
            <w:tcW w:w="244" w:type="pct"/>
            <w:tcBorders>
              <w:top w:val="single" w:sz="4" w:space="0" w:color="auto"/>
              <w:left w:val="single" w:sz="4" w:space="0" w:color="auto"/>
              <w:bottom w:val="single" w:sz="4" w:space="0" w:color="auto"/>
              <w:right w:val="single" w:sz="4" w:space="0" w:color="auto"/>
            </w:tcBorders>
            <w:shd w:val="clear" w:color="auto" w:fill="FFFFFF"/>
            <w:vAlign w:val="center"/>
          </w:tcPr>
          <w:p w14:paraId="0BA7D6E8" w14:textId="77777777" w:rsidR="005D372A" w:rsidRPr="001D6D10" w:rsidRDefault="005D372A" w:rsidP="008B4B2B">
            <w:pPr>
              <w:jc w:val="center"/>
              <w:rPr>
                <w:rFonts w:ascii="ＭＳ 明朝"/>
                <w:sz w:val="16"/>
                <w:szCs w:val="16"/>
              </w:rPr>
            </w:pPr>
          </w:p>
        </w:tc>
        <w:tc>
          <w:tcPr>
            <w:tcW w:w="262" w:type="pct"/>
            <w:tcBorders>
              <w:top w:val="single" w:sz="4" w:space="0" w:color="auto"/>
              <w:left w:val="single" w:sz="4" w:space="0" w:color="auto"/>
              <w:bottom w:val="single" w:sz="4" w:space="0" w:color="auto"/>
              <w:right w:val="single" w:sz="4" w:space="0" w:color="auto"/>
            </w:tcBorders>
            <w:vAlign w:val="center"/>
          </w:tcPr>
          <w:p w14:paraId="40EC31C9" w14:textId="77777777" w:rsidR="005D372A" w:rsidRPr="001D6D10" w:rsidRDefault="005D372A" w:rsidP="008B4B2B">
            <w:pPr>
              <w:jc w:val="center"/>
              <w:rPr>
                <w:rFonts w:ascii="ＭＳ 明朝"/>
                <w:sz w:val="16"/>
                <w:szCs w:val="16"/>
              </w:rPr>
            </w:pPr>
          </w:p>
        </w:tc>
        <w:tc>
          <w:tcPr>
            <w:tcW w:w="253" w:type="pct"/>
            <w:tcBorders>
              <w:top w:val="single" w:sz="4" w:space="0" w:color="auto"/>
              <w:left w:val="single" w:sz="4" w:space="0" w:color="auto"/>
              <w:bottom w:val="single" w:sz="4" w:space="0" w:color="auto"/>
              <w:right w:val="single" w:sz="4" w:space="0" w:color="auto"/>
            </w:tcBorders>
            <w:vAlign w:val="center"/>
          </w:tcPr>
          <w:p w14:paraId="403ECC01" w14:textId="77777777" w:rsidR="005D372A" w:rsidRPr="001D6D10" w:rsidRDefault="005D372A" w:rsidP="008B4B2B">
            <w:pPr>
              <w:jc w:val="center"/>
              <w:rPr>
                <w:rFonts w:ascii="ＭＳ 明朝"/>
                <w:sz w:val="16"/>
                <w:szCs w:val="16"/>
              </w:rPr>
            </w:pPr>
          </w:p>
        </w:tc>
        <w:tc>
          <w:tcPr>
            <w:tcW w:w="253" w:type="pct"/>
            <w:tcBorders>
              <w:top w:val="single" w:sz="4" w:space="0" w:color="auto"/>
              <w:left w:val="single" w:sz="4" w:space="0" w:color="auto"/>
              <w:bottom w:val="single" w:sz="4" w:space="0" w:color="auto"/>
              <w:right w:val="single" w:sz="4" w:space="0" w:color="auto"/>
            </w:tcBorders>
            <w:vAlign w:val="center"/>
          </w:tcPr>
          <w:p w14:paraId="44250FFD" w14:textId="77777777" w:rsidR="005D372A" w:rsidRPr="001D6D10" w:rsidRDefault="005D372A" w:rsidP="008B4B2B">
            <w:pPr>
              <w:jc w:val="center"/>
              <w:rPr>
                <w:rFonts w:ascii="ＭＳ 明朝"/>
                <w:sz w:val="16"/>
                <w:szCs w:val="16"/>
              </w:rPr>
            </w:pPr>
          </w:p>
        </w:tc>
        <w:tc>
          <w:tcPr>
            <w:tcW w:w="253" w:type="pct"/>
            <w:tcBorders>
              <w:top w:val="single" w:sz="4" w:space="0" w:color="auto"/>
              <w:left w:val="single" w:sz="4" w:space="0" w:color="auto"/>
              <w:bottom w:val="single" w:sz="4" w:space="0" w:color="auto"/>
              <w:right w:val="single" w:sz="4" w:space="0" w:color="auto"/>
            </w:tcBorders>
            <w:vAlign w:val="center"/>
          </w:tcPr>
          <w:p w14:paraId="5CE33DA4" w14:textId="77777777" w:rsidR="005D372A" w:rsidRPr="001D6D10" w:rsidRDefault="005D372A" w:rsidP="008B4B2B">
            <w:pPr>
              <w:jc w:val="center"/>
              <w:rPr>
                <w:rFonts w:ascii="ＭＳ 明朝"/>
                <w:sz w:val="16"/>
                <w:szCs w:val="16"/>
              </w:rPr>
            </w:pPr>
          </w:p>
        </w:tc>
        <w:tc>
          <w:tcPr>
            <w:tcW w:w="253" w:type="pct"/>
            <w:tcBorders>
              <w:top w:val="single" w:sz="4" w:space="0" w:color="auto"/>
              <w:left w:val="single" w:sz="4" w:space="0" w:color="auto"/>
              <w:bottom w:val="single" w:sz="4" w:space="0" w:color="auto"/>
              <w:right w:val="single" w:sz="4" w:space="0" w:color="auto"/>
            </w:tcBorders>
            <w:vAlign w:val="center"/>
          </w:tcPr>
          <w:p w14:paraId="14C0A987" w14:textId="77777777" w:rsidR="005D372A" w:rsidRPr="001D6D10" w:rsidRDefault="005D372A" w:rsidP="008B4B2B">
            <w:pPr>
              <w:jc w:val="center"/>
              <w:rPr>
                <w:rFonts w:ascii="ＭＳ 明朝"/>
                <w:sz w:val="16"/>
                <w:szCs w:val="16"/>
              </w:rPr>
            </w:pPr>
          </w:p>
        </w:tc>
        <w:tc>
          <w:tcPr>
            <w:tcW w:w="253" w:type="pct"/>
            <w:tcBorders>
              <w:top w:val="single" w:sz="4" w:space="0" w:color="auto"/>
              <w:left w:val="single" w:sz="4" w:space="0" w:color="auto"/>
              <w:bottom w:val="single" w:sz="4" w:space="0" w:color="auto"/>
              <w:right w:val="single" w:sz="4" w:space="0" w:color="auto"/>
            </w:tcBorders>
            <w:vAlign w:val="center"/>
          </w:tcPr>
          <w:p w14:paraId="3E345791" w14:textId="77777777" w:rsidR="005D372A" w:rsidRPr="001D6D10" w:rsidRDefault="005D372A" w:rsidP="008B4B2B">
            <w:pPr>
              <w:jc w:val="center"/>
              <w:rPr>
                <w:rFonts w:ascii="ＭＳ 明朝"/>
                <w:sz w:val="16"/>
                <w:szCs w:val="16"/>
              </w:rPr>
            </w:pPr>
          </w:p>
        </w:tc>
        <w:tc>
          <w:tcPr>
            <w:tcW w:w="255" w:type="pct"/>
            <w:tcBorders>
              <w:top w:val="single" w:sz="4" w:space="0" w:color="auto"/>
              <w:left w:val="single" w:sz="4" w:space="0" w:color="auto"/>
              <w:bottom w:val="single" w:sz="4" w:space="0" w:color="auto"/>
              <w:right w:val="single" w:sz="4" w:space="0" w:color="auto"/>
            </w:tcBorders>
            <w:vAlign w:val="center"/>
          </w:tcPr>
          <w:p w14:paraId="79102000" w14:textId="77777777" w:rsidR="005D372A" w:rsidRPr="001D6D10" w:rsidRDefault="005D372A" w:rsidP="008B4B2B">
            <w:pPr>
              <w:jc w:val="center"/>
              <w:rPr>
                <w:rFonts w:ascii="ＭＳ 明朝"/>
                <w:sz w:val="16"/>
                <w:szCs w:val="16"/>
              </w:rPr>
            </w:pPr>
          </w:p>
        </w:tc>
        <w:tc>
          <w:tcPr>
            <w:tcW w:w="253" w:type="pct"/>
            <w:tcBorders>
              <w:top w:val="single" w:sz="4" w:space="0" w:color="auto"/>
              <w:left w:val="single" w:sz="4" w:space="0" w:color="auto"/>
              <w:bottom w:val="single" w:sz="4" w:space="0" w:color="auto"/>
              <w:right w:val="single" w:sz="4" w:space="0" w:color="auto"/>
            </w:tcBorders>
            <w:shd w:val="clear" w:color="auto" w:fill="FFFFFF"/>
            <w:vAlign w:val="center"/>
          </w:tcPr>
          <w:p w14:paraId="7AA8A764" w14:textId="77777777" w:rsidR="005D372A" w:rsidRPr="001D6D10" w:rsidRDefault="005D372A" w:rsidP="008B4B2B">
            <w:pPr>
              <w:jc w:val="center"/>
              <w:rPr>
                <w:rFonts w:ascii="ＭＳ 明朝"/>
                <w:sz w:val="16"/>
                <w:szCs w:val="16"/>
              </w:rPr>
            </w:pPr>
            <w:r w:rsidRPr="001D6D10">
              <w:rPr>
                <w:rFonts w:ascii="ＭＳ 明朝" w:hint="eastAsia"/>
                <w:sz w:val="16"/>
                <w:szCs w:val="16"/>
              </w:rPr>
              <w:t>○</w:t>
            </w:r>
          </w:p>
        </w:tc>
        <w:tc>
          <w:tcPr>
            <w:tcW w:w="244" w:type="pct"/>
            <w:tcBorders>
              <w:top w:val="single" w:sz="4" w:space="0" w:color="auto"/>
              <w:left w:val="single" w:sz="4" w:space="0" w:color="auto"/>
              <w:bottom w:val="single" w:sz="4" w:space="0" w:color="auto"/>
              <w:right w:val="single" w:sz="4" w:space="0" w:color="auto"/>
            </w:tcBorders>
            <w:shd w:val="clear" w:color="auto" w:fill="FFFFFF"/>
            <w:vAlign w:val="center"/>
          </w:tcPr>
          <w:p w14:paraId="332AB039" w14:textId="77777777" w:rsidR="005D372A" w:rsidRPr="001D6D10" w:rsidRDefault="005D372A" w:rsidP="008B4B2B">
            <w:pPr>
              <w:jc w:val="center"/>
              <w:rPr>
                <w:rFonts w:ascii="ＭＳ 明朝"/>
                <w:sz w:val="16"/>
                <w:szCs w:val="16"/>
              </w:rPr>
            </w:pPr>
          </w:p>
        </w:tc>
      </w:tr>
      <w:tr w:rsidR="001D6D10" w:rsidRPr="001D6D10" w14:paraId="42042F14" w14:textId="77777777" w:rsidTr="001F5915">
        <w:trPr>
          <w:trHeight w:val="327"/>
        </w:trPr>
        <w:tc>
          <w:tcPr>
            <w:tcW w:w="188" w:type="pct"/>
            <w:tcBorders>
              <w:top w:val="single" w:sz="4" w:space="0" w:color="auto"/>
              <w:left w:val="single" w:sz="4" w:space="0" w:color="auto"/>
              <w:bottom w:val="single" w:sz="4" w:space="0" w:color="auto"/>
              <w:right w:val="single" w:sz="4" w:space="0" w:color="auto"/>
            </w:tcBorders>
            <w:vAlign w:val="center"/>
          </w:tcPr>
          <w:p w14:paraId="1E6459D8" w14:textId="77777777" w:rsidR="005D372A" w:rsidRPr="001D6D10" w:rsidRDefault="005D372A" w:rsidP="008B4B2B">
            <w:pPr>
              <w:jc w:val="center"/>
              <w:rPr>
                <w:rFonts w:ascii="ＭＳ 明朝"/>
                <w:sz w:val="16"/>
                <w:szCs w:val="16"/>
              </w:rPr>
            </w:pPr>
            <w:r w:rsidRPr="001D6D10">
              <w:rPr>
                <w:rFonts w:ascii="ＭＳ 明朝" w:hint="eastAsia"/>
                <w:sz w:val="16"/>
                <w:szCs w:val="16"/>
              </w:rPr>
              <w:t>９</w:t>
            </w:r>
          </w:p>
        </w:tc>
        <w:tc>
          <w:tcPr>
            <w:tcW w:w="391" w:type="pct"/>
            <w:vMerge/>
            <w:tcBorders>
              <w:left w:val="single" w:sz="4" w:space="0" w:color="auto"/>
              <w:right w:val="single" w:sz="4" w:space="0" w:color="auto"/>
            </w:tcBorders>
            <w:vAlign w:val="center"/>
          </w:tcPr>
          <w:p w14:paraId="0AD782AC" w14:textId="77777777" w:rsidR="005D372A" w:rsidRPr="001D6D10" w:rsidRDefault="005D372A" w:rsidP="008B4B2B">
            <w:pPr>
              <w:jc w:val="center"/>
              <w:rPr>
                <w:rFonts w:ascii="ＭＳ 明朝"/>
                <w:sz w:val="16"/>
                <w:szCs w:val="16"/>
              </w:rPr>
            </w:pPr>
          </w:p>
        </w:tc>
        <w:tc>
          <w:tcPr>
            <w:tcW w:w="886" w:type="pct"/>
            <w:tcBorders>
              <w:top w:val="single" w:sz="4" w:space="0" w:color="auto"/>
              <w:left w:val="single" w:sz="4" w:space="0" w:color="auto"/>
              <w:bottom w:val="single" w:sz="4" w:space="0" w:color="auto"/>
              <w:right w:val="single" w:sz="4" w:space="0" w:color="auto"/>
            </w:tcBorders>
            <w:vAlign w:val="center"/>
          </w:tcPr>
          <w:p w14:paraId="08BCB3BD" w14:textId="77777777" w:rsidR="005D372A" w:rsidRPr="001D6D10" w:rsidRDefault="005D372A" w:rsidP="008B4B2B">
            <w:pPr>
              <w:jc w:val="left"/>
              <w:rPr>
                <w:rFonts w:ascii="ＭＳ 明朝"/>
                <w:sz w:val="12"/>
                <w:szCs w:val="12"/>
              </w:rPr>
            </w:pPr>
            <w:r w:rsidRPr="001D6D10">
              <w:rPr>
                <w:rFonts w:hint="eastAsia"/>
                <w:sz w:val="12"/>
                <w:szCs w:val="12"/>
              </w:rPr>
              <w:t>スマートシティ戦略部長</w:t>
            </w:r>
          </w:p>
        </w:tc>
        <w:tc>
          <w:tcPr>
            <w:tcW w:w="251" w:type="pct"/>
            <w:tcBorders>
              <w:top w:val="single" w:sz="4" w:space="0" w:color="auto"/>
              <w:left w:val="single" w:sz="4" w:space="0" w:color="auto"/>
              <w:bottom w:val="single" w:sz="4" w:space="0" w:color="auto"/>
              <w:right w:val="single" w:sz="4" w:space="0" w:color="auto"/>
            </w:tcBorders>
            <w:vAlign w:val="center"/>
          </w:tcPr>
          <w:p w14:paraId="4A48166D" w14:textId="77777777" w:rsidR="005D372A" w:rsidRPr="001D6D10" w:rsidRDefault="005D372A" w:rsidP="008B4B2B">
            <w:pPr>
              <w:jc w:val="center"/>
              <w:rPr>
                <w:rFonts w:ascii="ＭＳ 明朝"/>
                <w:sz w:val="16"/>
                <w:szCs w:val="16"/>
              </w:rPr>
            </w:pPr>
            <w:r w:rsidRPr="001D6D10">
              <w:rPr>
                <w:rFonts w:ascii="ＭＳ 明朝" w:hint="eastAsia"/>
                <w:sz w:val="16"/>
                <w:szCs w:val="16"/>
              </w:rPr>
              <w:t>○</w:t>
            </w:r>
          </w:p>
        </w:tc>
        <w:tc>
          <w:tcPr>
            <w:tcW w:w="253" w:type="pct"/>
            <w:tcBorders>
              <w:top w:val="single" w:sz="4" w:space="0" w:color="auto"/>
              <w:left w:val="single" w:sz="4" w:space="0" w:color="auto"/>
              <w:bottom w:val="single" w:sz="4" w:space="0" w:color="auto"/>
              <w:right w:val="single" w:sz="4" w:space="0" w:color="auto"/>
            </w:tcBorders>
            <w:vAlign w:val="center"/>
          </w:tcPr>
          <w:p w14:paraId="4A91395A" w14:textId="77777777" w:rsidR="005D372A" w:rsidRPr="001D6D10" w:rsidRDefault="005D372A" w:rsidP="008B4B2B">
            <w:pPr>
              <w:jc w:val="center"/>
              <w:rPr>
                <w:rFonts w:ascii="ＭＳ 明朝"/>
                <w:sz w:val="16"/>
                <w:szCs w:val="16"/>
              </w:rPr>
            </w:pPr>
          </w:p>
        </w:tc>
        <w:tc>
          <w:tcPr>
            <w:tcW w:w="253" w:type="pct"/>
            <w:tcBorders>
              <w:top w:val="single" w:sz="4" w:space="0" w:color="auto"/>
              <w:left w:val="single" w:sz="4" w:space="0" w:color="auto"/>
              <w:bottom w:val="single" w:sz="4" w:space="0" w:color="auto"/>
              <w:right w:val="single" w:sz="4" w:space="0" w:color="auto"/>
            </w:tcBorders>
            <w:vAlign w:val="center"/>
          </w:tcPr>
          <w:p w14:paraId="4051FECC" w14:textId="77777777" w:rsidR="005D372A" w:rsidRPr="001D6D10" w:rsidRDefault="005D372A" w:rsidP="008B4B2B">
            <w:pPr>
              <w:jc w:val="center"/>
              <w:rPr>
                <w:rFonts w:ascii="ＭＳ 明朝"/>
                <w:sz w:val="16"/>
                <w:szCs w:val="16"/>
              </w:rPr>
            </w:pPr>
          </w:p>
        </w:tc>
        <w:tc>
          <w:tcPr>
            <w:tcW w:w="253" w:type="pct"/>
            <w:tcBorders>
              <w:top w:val="single" w:sz="4" w:space="0" w:color="auto"/>
              <w:left w:val="single" w:sz="4" w:space="0" w:color="auto"/>
              <w:bottom w:val="single" w:sz="4" w:space="0" w:color="auto"/>
              <w:right w:val="single" w:sz="4" w:space="0" w:color="auto"/>
            </w:tcBorders>
            <w:vAlign w:val="center"/>
          </w:tcPr>
          <w:p w14:paraId="24A8AE6E" w14:textId="77777777" w:rsidR="005D372A" w:rsidRPr="001D6D10" w:rsidRDefault="005D372A" w:rsidP="008B4B2B">
            <w:pPr>
              <w:jc w:val="center"/>
              <w:rPr>
                <w:rFonts w:ascii="ＭＳ 明朝"/>
                <w:sz w:val="16"/>
                <w:szCs w:val="16"/>
              </w:rPr>
            </w:pPr>
            <w:r w:rsidRPr="001D6D10">
              <w:rPr>
                <w:rFonts w:ascii="ＭＳ 明朝" w:hint="eastAsia"/>
                <w:sz w:val="16"/>
                <w:szCs w:val="16"/>
              </w:rPr>
              <w:t>○</w:t>
            </w:r>
          </w:p>
        </w:tc>
        <w:tc>
          <w:tcPr>
            <w:tcW w:w="244" w:type="pct"/>
            <w:tcBorders>
              <w:top w:val="single" w:sz="4" w:space="0" w:color="auto"/>
              <w:left w:val="single" w:sz="4" w:space="0" w:color="auto"/>
              <w:bottom w:val="single" w:sz="4" w:space="0" w:color="auto"/>
              <w:right w:val="single" w:sz="4" w:space="0" w:color="auto"/>
            </w:tcBorders>
            <w:shd w:val="clear" w:color="auto" w:fill="FFFFFF"/>
            <w:vAlign w:val="center"/>
          </w:tcPr>
          <w:p w14:paraId="76386F06" w14:textId="77777777" w:rsidR="005D372A" w:rsidRPr="001D6D10" w:rsidRDefault="005D372A" w:rsidP="008B4B2B">
            <w:pPr>
              <w:jc w:val="center"/>
              <w:rPr>
                <w:rFonts w:ascii="ＭＳ 明朝"/>
                <w:sz w:val="16"/>
                <w:szCs w:val="16"/>
              </w:rPr>
            </w:pPr>
          </w:p>
        </w:tc>
        <w:tc>
          <w:tcPr>
            <w:tcW w:w="262" w:type="pct"/>
            <w:tcBorders>
              <w:top w:val="single" w:sz="4" w:space="0" w:color="auto"/>
              <w:left w:val="single" w:sz="4" w:space="0" w:color="auto"/>
              <w:bottom w:val="single" w:sz="4" w:space="0" w:color="auto"/>
              <w:right w:val="single" w:sz="4" w:space="0" w:color="auto"/>
            </w:tcBorders>
            <w:vAlign w:val="center"/>
          </w:tcPr>
          <w:p w14:paraId="6E083ACE" w14:textId="77777777" w:rsidR="005D372A" w:rsidRPr="001D6D10" w:rsidRDefault="005D372A" w:rsidP="008B4B2B">
            <w:pPr>
              <w:jc w:val="center"/>
              <w:rPr>
                <w:rFonts w:ascii="ＭＳ 明朝"/>
                <w:sz w:val="16"/>
                <w:szCs w:val="16"/>
              </w:rPr>
            </w:pPr>
          </w:p>
        </w:tc>
        <w:tc>
          <w:tcPr>
            <w:tcW w:w="253" w:type="pct"/>
            <w:tcBorders>
              <w:top w:val="single" w:sz="4" w:space="0" w:color="auto"/>
              <w:left w:val="single" w:sz="4" w:space="0" w:color="auto"/>
              <w:bottom w:val="single" w:sz="4" w:space="0" w:color="auto"/>
              <w:right w:val="single" w:sz="4" w:space="0" w:color="auto"/>
            </w:tcBorders>
            <w:vAlign w:val="center"/>
          </w:tcPr>
          <w:p w14:paraId="4CC4D3F7" w14:textId="77777777" w:rsidR="005D372A" w:rsidRPr="001D6D10" w:rsidRDefault="005D372A" w:rsidP="008B4B2B">
            <w:pPr>
              <w:jc w:val="center"/>
              <w:rPr>
                <w:rFonts w:ascii="ＭＳ 明朝"/>
                <w:sz w:val="16"/>
                <w:szCs w:val="16"/>
              </w:rPr>
            </w:pPr>
          </w:p>
        </w:tc>
        <w:tc>
          <w:tcPr>
            <w:tcW w:w="253" w:type="pct"/>
            <w:tcBorders>
              <w:top w:val="single" w:sz="4" w:space="0" w:color="auto"/>
              <w:left w:val="single" w:sz="4" w:space="0" w:color="auto"/>
              <w:bottom w:val="single" w:sz="4" w:space="0" w:color="auto"/>
              <w:right w:val="single" w:sz="4" w:space="0" w:color="auto"/>
            </w:tcBorders>
            <w:vAlign w:val="center"/>
          </w:tcPr>
          <w:p w14:paraId="3604908F" w14:textId="77777777" w:rsidR="005D372A" w:rsidRPr="001D6D10" w:rsidRDefault="005D372A" w:rsidP="008B4B2B">
            <w:pPr>
              <w:jc w:val="center"/>
              <w:rPr>
                <w:rFonts w:ascii="ＭＳ 明朝"/>
                <w:sz w:val="16"/>
                <w:szCs w:val="16"/>
              </w:rPr>
            </w:pPr>
          </w:p>
        </w:tc>
        <w:tc>
          <w:tcPr>
            <w:tcW w:w="253" w:type="pct"/>
            <w:tcBorders>
              <w:top w:val="single" w:sz="4" w:space="0" w:color="auto"/>
              <w:left w:val="single" w:sz="4" w:space="0" w:color="auto"/>
              <w:bottom w:val="single" w:sz="4" w:space="0" w:color="auto"/>
              <w:right w:val="single" w:sz="4" w:space="0" w:color="auto"/>
            </w:tcBorders>
            <w:vAlign w:val="center"/>
          </w:tcPr>
          <w:p w14:paraId="682A9204" w14:textId="77777777" w:rsidR="005D372A" w:rsidRPr="001D6D10" w:rsidRDefault="005D372A" w:rsidP="008B4B2B">
            <w:pPr>
              <w:jc w:val="center"/>
              <w:rPr>
                <w:rFonts w:ascii="ＭＳ 明朝"/>
                <w:sz w:val="16"/>
                <w:szCs w:val="16"/>
              </w:rPr>
            </w:pPr>
          </w:p>
        </w:tc>
        <w:tc>
          <w:tcPr>
            <w:tcW w:w="253" w:type="pct"/>
            <w:tcBorders>
              <w:top w:val="single" w:sz="4" w:space="0" w:color="auto"/>
              <w:left w:val="single" w:sz="4" w:space="0" w:color="auto"/>
              <w:bottom w:val="single" w:sz="4" w:space="0" w:color="auto"/>
              <w:right w:val="single" w:sz="4" w:space="0" w:color="auto"/>
            </w:tcBorders>
            <w:vAlign w:val="center"/>
          </w:tcPr>
          <w:p w14:paraId="44309C03" w14:textId="77777777" w:rsidR="005D372A" w:rsidRPr="001D6D10" w:rsidRDefault="005D372A" w:rsidP="008B4B2B">
            <w:pPr>
              <w:jc w:val="center"/>
              <w:rPr>
                <w:rFonts w:ascii="ＭＳ 明朝"/>
                <w:sz w:val="16"/>
                <w:szCs w:val="16"/>
              </w:rPr>
            </w:pPr>
          </w:p>
        </w:tc>
        <w:tc>
          <w:tcPr>
            <w:tcW w:w="253" w:type="pct"/>
            <w:tcBorders>
              <w:top w:val="single" w:sz="4" w:space="0" w:color="auto"/>
              <w:left w:val="single" w:sz="4" w:space="0" w:color="auto"/>
              <w:bottom w:val="single" w:sz="4" w:space="0" w:color="auto"/>
              <w:right w:val="single" w:sz="4" w:space="0" w:color="auto"/>
            </w:tcBorders>
            <w:vAlign w:val="center"/>
          </w:tcPr>
          <w:p w14:paraId="17DE02E6" w14:textId="77777777" w:rsidR="005D372A" w:rsidRPr="001D6D10" w:rsidRDefault="005D372A" w:rsidP="008B4B2B">
            <w:pPr>
              <w:jc w:val="center"/>
              <w:rPr>
                <w:rFonts w:ascii="ＭＳ 明朝"/>
                <w:sz w:val="16"/>
                <w:szCs w:val="16"/>
              </w:rPr>
            </w:pPr>
          </w:p>
        </w:tc>
        <w:tc>
          <w:tcPr>
            <w:tcW w:w="255" w:type="pct"/>
            <w:tcBorders>
              <w:top w:val="single" w:sz="4" w:space="0" w:color="auto"/>
              <w:left w:val="single" w:sz="4" w:space="0" w:color="auto"/>
              <w:bottom w:val="single" w:sz="4" w:space="0" w:color="auto"/>
              <w:right w:val="single" w:sz="4" w:space="0" w:color="auto"/>
            </w:tcBorders>
            <w:vAlign w:val="center"/>
          </w:tcPr>
          <w:p w14:paraId="3B21E2EF" w14:textId="77777777" w:rsidR="005D372A" w:rsidRPr="001D6D10" w:rsidRDefault="005D372A" w:rsidP="008B4B2B">
            <w:pPr>
              <w:jc w:val="center"/>
              <w:rPr>
                <w:rFonts w:ascii="ＭＳ 明朝"/>
                <w:sz w:val="16"/>
                <w:szCs w:val="16"/>
              </w:rPr>
            </w:pPr>
          </w:p>
        </w:tc>
        <w:tc>
          <w:tcPr>
            <w:tcW w:w="253" w:type="pct"/>
            <w:tcBorders>
              <w:top w:val="single" w:sz="4" w:space="0" w:color="auto"/>
              <w:left w:val="single" w:sz="4" w:space="0" w:color="auto"/>
              <w:bottom w:val="single" w:sz="4" w:space="0" w:color="auto"/>
              <w:right w:val="single" w:sz="4" w:space="0" w:color="auto"/>
            </w:tcBorders>
            <w:shd w:val="clear" w:color="auto" w:fill="FFFFFF"/>
            <w:vAlign w:val="center"/>
          </w:tcPr>
          <w:p w14:paraId="1E0BB934" w14:textId="77777777" w:rsidR="005D372A" w:rsidRPr="001D6D10" w:rsidRDefault="005D372A" w:rsidP="008B4B2B">
            <w:pPr>
              <w:jc w:val="center"/>
              <w:rPr>
                <w:rFonts w:ascii="ＭＳ 明朝"/>
                <w:sz w:val="16"/>
                <w:szCs w:val="16"/>
              </w:rPr>
            </w:pPr>
            <w:r w:rsidRPr="001D6D10">
              <w:rPr>
                <w:rFonts w:ascii="ＭＳ 明朝" w:hint="eastAsia"/>
                <w:sz w:val="16"/>
                <w:szCs w:val="16"/>
              </w:rPr>
              <w:t>○</w:t>
            </w:r>
          </w:p>
        </w:tc>
        <w:tc>
          <w:tcPr>
            <w:tcW w:w="244" w:type="pct"/>
            <w:tcBorders>
              <w:top w:val="single" w:sz="4" w:space="0" w:color="auto"/>
              <w:left w:val="single" w:sz="4" w:space="0" w:color="auto"/>
              <w:bottom w:val="single" w:sz="4" w:space="0" w:color="auto"/>
              <w:right w:val="single" w:sz="4" w:space="0" w:color="auto"/>
            </w:tcBorders>
            <w:shd w:val="clear" w:color="auto" w:fill="FFFFFF"/>
            <w:vAlign w:val="center"/>
          </w:tcPr>
          <w:p w14:paraId="42CCB337" w14:textId="77777777" w:rsidR="005D372A" w:rsidRPr="001D6D10" w:rsidRDefault="005D372A" w:rsidP="008B4B2B">
            <w:pPr>
              <w:jc w:val="center"/>
              <w:rPr>
                <w:rFonts w:ascii="ＭＳ 明朝"/>
                <w:sz w:val="16"/>
                <w:szCs w:val="16"/>
              </w:rPr>
            </w:pPr>
          </w:p>
        </w:tc>
      </w:tr>
      <w:tr w:rsidR="001D6D10" w:rsidRPr="001D6D10" w14:paraId="7AE09365" w14:textId="77777777" w:rsidTr="001F5915">
        <w:trPr>
          <w:trHeight w:val="247"/>
        </w:trPr>
        <w:tc>
          <w:tcPr>
            <w:tcW w:w="188" w:type="pct"/>
            <w:tcBorders>
              <w:top w:val="single" w:sz="4" w:space="0" w:color="auto"/>
              <w:left w:val="single" w:sz="4" w:space="0" w:color="auto"/>
              <w:bottom w:val="single" w:sz="4" w:space="0" w:color="auto"/>
              <w:right w:val="single" w:sz="4" w:space="0" w:color="auto"/>
            </w:tcBorders>
            <w:vAlign w:val="center"/>
            <w:hideMark/>
          </w:tcPr>
          <w:p w14:paraId="358EF3E6" w14:textId="77777777" w:rsidR="005D372A" w:rsidRPr="001D6D10" w:rsidRDefault="005D372A" w:rsidP="008B4B2B">
            <w:pPr>
              <w:jc w:val="center"/>
              <w:rPr>
                <w:rFonts w:ascii="ＭＳ 明朝"/>
                <w:sz w:val="14"/>
                <w:szCs w:val="16"/>
              </w:rPr>
            </w:pPr>
            <w:r w:rsidRPr="001D6D10">
              <w:rPr>
                <w:rFonts w:ascii="ＭＳ 明朝"/>
                <w:sz w:val="14"/>
                <w:szCs w:val="16"/>
              </w:rPr>
              <w:t>10</w:t>
            </w:r>
          </w:p>
        </w:tc>
        <w:tc>
          <w:tcPr>
            <w:tcW w:w="391" w:type="pct"/>
            <w:vMerge/>
            <w:tcBorders>
              <w:left w:val="single" w:sz="4" w:space="0" w:color="auto"/>
              <w:right w:val="single" w:sz="4" w:space="0" w:color="auto"/>
            </w:tcBorders>
            <w:vAlign w:val="center"/>
          </w:tcPr>
          <w:p w14:paraId="482F8C08" w14:textId="77777777" w:rsidR="005D372A" w:rsidRPr="001D6D10" w:rsidRDefault="005D372A" w:rsidP="008B4B2B">
            <w:pPr>
              <w:jc w:val="center"/>
              <w:rPr>
                <w:rFonts w:ascii="ＭＳ 明朝"/>
                <w:sz w:val="16"/>
                <w:szCs w:val="16"/>
              </w:rPr>
            </w:pPr>
          </w:p>
        </w:tc>
        <w:tc>
          <w:tcPr>
            <w:tcW w:w="886" w:type="pct"/>
            <w:tcBorders>
              <w:top w:val="single" w:sz="4" w:space="0" w:color="auto"/>
              <w:left w:val="single" w:sz="4" w:space="0" w:color="auto"/>
              <w:bottom w:val="single" w:sz="4" w:space="0" w:color="auto"/>
              <w:right w:val="single" w:sz="4" w:space="0" w:color="auto"/>
            </w:tcBorders>
            <w:vAlign w:val="center"/>
            <w:hideMark/>
          </w:tcPr>
          <w:p w14:paraId="631BE1B3" w14:textId="77777777" w:rsidR="005D372A" w:rsidRPr="001D6D10" w:rsidRDefault="005D372A" w:rsidP="008B4B2B">
            <w:pPr>
              <w:jc w:val="left"/>
              <w:rPr>
                <w:rFonts w:ascii="ＭＳ 明朝"/>
                <w:sz w:val="16"/>
                <w:szCs w:val="16"/>
              </w:rPr>
            </w:pPr>
            <w:r w:rsidRPr="001D6D10">
              <w:rPr>
                <w:rFonts w:ascii="ＭＳ 明朝" w:hint="eastAsia"/>
                <w:sz w:val="16"/>
                <w:szCs w:val="16"/>
              </w:rPr>
              <w:t>府民文化部長</w:t>
            </w:r>
          </w:p>
        </w:tc>
        <w:tc>
          <w:tcPr>
            <w:tcW w:w="251" w:type="pct"/>
            <w:tcBorders>
              <w:top w:val="single" w:sz="4" w:space="0" w:color="auto"/>
              <w:left w:val="single" w:sz="4" w:space="0" w:color="auto"/>
              <w:bottom w:val="single" w:sz="4" w:space="0" w:color="auto"/>
              <w:right w:val="single" w:sz="4" w:space="0" w:color="auto"/>
            </w:tcBorders>
            <w:vAlign w:val="center"/>
            <w:hideMark/>
          </w:tcPr>
          <w:p w14:paraId="3FAE8537" w14:textId="77777777" w:rsidR="005D372A" w:rsidRPr="001D6D10" w:rsidRDefault="005D372A" w:rsidP="008B4B2B">
            <w:pPr>
              <w:jc w:val="center"/>
              <w:rPr>
                <w:rFonts w:ascii="ＭＳ 明朝"/>
                <w:sz w:val="16"/>
                <w:szCs w:val="16"/>
              </w:rPr>
            </w:pPr>
            <w:r w:rsidRPr="001D6D10">
              <w:rPr>
                <w:rFonts w:ascii="ＭＳ 明朝" w:hint="eastAsia"/>
                <w:sz w:val="16"/>
                <w:szCs w:val="16"/>
              </w:rPr>
              <w:t>○</w:t>
            </w:r>
          </w:p>
        </w:tc>
        <w:tc>
          <w:tcPr>
            <w:tcW w:w="253" w:type="pct"/>
            <w:tcBorders>
              <w:top w:val="single" w:sz="4" w:space="0" w:color="auto"/>
              <w:left w:val="single" w:sz="4" w:space="0" w:color="auto"/>
              <w:bottom w:val="single" w:sz="4" w:space="0" w:color="auto"/>
              <w:right w:val="single" w:sz="4" w:space="0" w:color="auto"/>
            </w:tcBorders>
            <w:vAlign w:val="center"/>
          </w:tcPr>
          <w:p w14:paraId="25396C1E" w14:textId="77777777" w:rsidR="005D372A" w:rsidRPr="001D6D10" w:rsidRDefault="005D372A" w:rsidP="008B4B2B">
            <w:pPr>
              <w:jc w:val="center"/>
              <w:rPr>
                <w:rFonts w:ascii="ＭＳ 明朝"/>
                <w:sz w:val="16"/>
                <w:szCs w:val="16"/>
              </w:rPr>
            </w:pPr>
          </w:p>
        </w:tc>
        <w:tc>
          <w:tcPr>
            <w:tcW w:w="253" w:type="pct"/>
            <w:tcBorders>
              <w:top w:val="single" w:sz="4" w:space="0" w:color="auto"/>
              <w:left w:val="single" w:sz="4" w:space="0" w:color="auto"/>
              <w:bottom w:val="single" w:sz="4" w:space="0" w:color="auto"/>
              <w:right w:val="single" w:sz="4" w:space="0" w:color="auto"/>
            </w:tcBorders>
            <w:vAlign w:val="center"/>
          </w:tcPr>
          <w:p w14:paraId="26F58C46" w14:textId="77777777" w:rsidR="005D372A" w:rsidRPr="001D6D10" w:rsidRDefault="005D372A" w:rsidP="008B4B2B">
            <w:pPr>
              <w:jc w:val="center"/>
              <w:rPr>
                <w:rFonts w:ascii="ＭＳ 明朝"/>
                <w:sz w:val="16"/>
                <w:szCs w:val="16"/>
              </w:rPr>
            </w:pPr>
          </w:p>
        </w:tc>
        <w:tc>
          <w:tcPr>
            <w:tcW w:w="253" w:type="pct"/>
            <w:tcBorders>
              <w:top w:val="single" w:sz="4" w:space="0" w:color="auto"/>
              <w:left w:val="single" w:sz="4" w:space="0" w:color="auto"/>
              <w:bottom w:val="single" w:sz="4" w:space="0" w:color="auto"/>
              <w:right w:val="single" w:sz="4" w:space="0" w:color="auto"/>
            </w:tcBorders>
            <w:vAlign w:val="center"/>
          </w:tcPr>
          <w:p w14:paraId="351316F2" w14:textId="77777777" w:rsidR="005D372A" w:rsidRPr="001D6D10" w:rsidRDefault="005D372A" w:rsidP="008B4B2B">
            <w:pPr>
              <w:jc w:val="center"/>
              <w:rPr>
                <w:rFonts w:ascii="ＭＳ 明朝"/>
                <w:sz w:val="16"/>
                <w:szCs w:val="16"/>
              </w:rPr>
            </w:pPr>
            <w:r w:rsidRPr="001D6D10">
              <w:rPr>
                <w:rFonts w:ascii="ＭＳ 明朝" w:hint="eastAsia"/>
                <w:sz w:val="16"/>
                <w:szCs w:val="16"/>
              </w:rPr>
              <w:t>○</w:t>
            </w:r>
          </w:p>
        </w:tc>
        <w:tc>
          <w:tcPr>
            <w:tcW w:w="244" w:type="pct"/>
            <w:tcBorders>
              <w:top w:val="single" w:sz="4" w:space="0" w:color="auto"/>
              <w:left w:val="single" w:sz="4" w:space="0" w:color="auto"/>
              <w:bottom w:val="single" w:sz="4" w:space="0" w:color="auto"/>
              <w:right w:val="single" w:sz="4" w:space="0" w:color="auto"/>
            </w:tcBorders>
            <w:shd w:val="clear" w:color="auto" w:fill="FFFFFF"/>
            <w:vAlign w:val="center"/>
          </w:tcPr>
          <w:p w14:paraId="386420A0" w14:textId="77777777" w:rsidR="005D372A" w:rsidRPr="001D6D10" w:rsidRDefault="005D372A" w:rsidP="008B4B2B">
            <w:pPr>
              <w:jc w:val="center"/>
              <w:rPr>
                <w:rFonts w:ascii="ＭＳ 明朝"/>
                <w:sz w:val="16"/>
                <w:szCs w:val="16"/>
              </w:rPr>
            </w:pPr>
          </w:p>
        </w:tc>
        <w:tc>
          <w:tcPr>
            <w:tcW w:w="262" w:type="pct"/>
            <w:tcBorders>
              <w:top w:val="single" w:sz="4" w:space="0" w:color="auto"/>
              <w:left w:val="single" w:sz="4" w:space="0" w:color="auto"/>
              <w:bottom w:val="single" w:sz="4" w:space="0" w:color="auto"/>
              <w:right w:val="single" w:sz="4" w:space="0" w:color="auto"/>
            </w:tcBorders>
            <w:vAlign w:val="center"/>
          </w:tcPr>
          <w:p w14:paraId="74446460" w14:textId="77777777" w:rsidR="005D372A" w:rsidRPr="001D6D10" w:rsidRDefault="005D372A" w:rsidP="008B4B2B">
            <w:pPr>
              <w:jc w:val="center"/>
              <w:rPr>
                <w:rFonts w:ascii="ＭＳ 明朝"/>
                <w:sz w:val="16"/>
                <w:szCs w:val="16"/>
              </w:rPr>
            </w:pPr>
          </w:p>
        </w:tc>
        <w:tc>
          <w:tcPr>
            <w:tcW w:w="253" w:type="pct"/>
            <w:tcBorders>
              <w:top w:val="single" w:sz="4" w:space="0" w:color="auto"/>
              <w:left w:val="single" w:sz="4" w:space="0" w:color="auto"/>
              <w:bottom w:val="single" w:sz="4" w:space="0" w:color="auto"/>
              <w:right w:val="single" w:sz="4" w:space="0" w:color="auto"/>
            </w:tcBorders>
            <w:vAlign w:val="center"/>
          </w:tcPr>
          <w:p w14:paraId="7ECBB74C" w14:textId="77777777" w:rsidR="005D372A" w:rsidRPr="001D6D10" w:rsidRDefault="005D372A" w:rsidP="008B4B2B">
            <w:pPr>
              <w:jc w:val="center"/>
              <w:rPr>
                <w:rFonts w:ascii="ＭＳ 明朝"/>
                <w:sz w:val="16"/>
                <w:szCs w:val="16"/>
              </w:rPr>
            </w:pPr>
          </w:p>
        </w:tc>
        <w:tc>
          <w:tcPr>
            <w:tcW w:w="253" w:type="pct"/>
            <w:tcBorders>
              <w:top w:val="single" w:sz="4" w:space="0" w:color="auto"/>
              <w:left w:val="single" w:sz="4" w:space="0" w:color="auto"/>
              <w:bottom w:val="single" w:sz="4" w:space="0" w:color="auto"/>
              <w:right w:val="single" w:sz="4" w:space="0" w:color="auto"/>
            </w:tcBorders>
            <w:vAlign w:val="center"/>
          </w:tcPr>
          <w:p w14:paraId="6843EBB2" w14:textId="77777777" w:rsidR="005D372A" w:rsidRPr="001D6D10" w:rsidRDefault="005D372A" w:rsidP="008B4B2B">
            <w:pPr>
              <w:jc w:val="center"/>
              <w:rPr>
                <w:rFonts w:ascii="ＭＳ 明朝"/>
                <w:sz w:val="16"/>
                <w:szCs w:val="16"/>
              </w:rPr>
            </w:pPr>
          </w:p>
        </w:tc>
        <w:tc>
          <w:tcPr>
            <w:tcW w:w="253" w:type="pct"/>
            <w:tcBorders>
              <w:top w:val="single" w:sz="4" w:space="0" w:color="auto"/>
              <w:left w:val="single" w:sz="4" w:space="0" w:color="auto"/>
              <w:bottom w:val="single" w:sz="4" w:space="0" w:color="auto"/>
              <w:right w:val="single" w:sz="4" w:space="0" w:color="auto"/>
            </w:tcBorders>
            <w:vAlign w:val="center"/>
          </w:tcPr>
          <w:p w14:paraId="10B60D12" w14:textId="77777777" w:rsidR="005D372A" w:rsidRPr="001D6D10" w:rsidRDefault="005D372A" w:rsidP="008B4B2B">
            <w:pPr>
              <w:jc w:val="center"/>
              <w:rPr>
                <w:rFonts w:ascii="ＭＳ 明朝"/>
                <w:sz w:val="16"/>
                <w:szCs w:val="16"/>
              </w:rPr>
            </w:pPr>
          </w:p>
        </w:tc>
        <w:tc>
          <w:tcPr>
            <w:tcW w:w="253" w:type="pct"/>
            <w:tcBorders>
              <w:top w:val="single" w:sz="4" w:space="0" w:color="auto"/>
              <w:left w:val="single" w:sz="4" w:space="0" w:color="auto"/>
              <w:bottom w:val="single" w:sz="4" w:space="0" w:color="auto"/>
              <w:right w:val="single" w:sz="4" w:space="0" w:color="auto"/>
            </w:tcBorders>
            <w:vAlign w:val="center"/>
          </w:tcPr>
          <w:p w14:paraId="33201341" w14:textId="77777777" w:rsidR="005D372A" w:rsidRPr="001D6D10" w:rsidRDefault="005D372A" w:rsidP="008B4B2B">
            <w:pPr>
              <w:jc w:val="center"/>
              <w:rPr>
                <w:rFonts w:ascii="ＭＳ 明朝"/>
                <w:sz w:val="16"/>
                <w:szCs w:val="16"/>
              </w:rPr>
            </w:pPr>
          </w:p>
        </w:tc>
        <w:tc>
          <w:tcPr>
            <w:tcW w:w="253" w:type="pct"/>
            <w:tcBorders>
              <w:top w:val="single" w:sz="4" w:space="0" w:color="auto"/>
              <w:left w:val="single" w:sz="4" w:space="0" w:color="auto"/>
              <w:bottom w:val="single" w:sz="4" w:space="0" w:color="auto"/>
              <w:right w:val="single" w:sz="4" w:space="0" w:color="auto"/>
            </w:tcBorders>
            <w:vAlign w:val="center"/>
          </w:tcPr>
          <w:p w14:paraId="708F626D" w14:textId="77777777" w:rsidR="005D372A" w:rsidRPr="001D6D10" w:rsidRDefault="005D372A" w:rsidP="008B4B2B">
            <w:pPr>
              <w:jc w:val="center"/>
              <w:rPr>
                <w:rFonts w:ascii="ＭＳ 明朝"/>
                <w:sz w:val="16"/>
                <w:szCs w:val="16"/>
              </w:rPr>
            </w:pPr>
          </w:p>
        </w:tc>
        <w:tc>
          <w:tcPr>
            <w:tcW w:w="255" w:type="pct"/>
            <w:tcBorders>
              <w:top w:val="single" w:sz="4" w:space="0" w:color="auto"/>
              <w:left w:val="single" w:sz="4" w:space="0" w:color="auto"/>
              <w:bottom w:val="single" w:sz="4" w:space="0" w:color="auto"/>
              <w:right w:val="single" w:sz="4" w:space="0" w:color="auto"/>
            </w:tcBorders>
            <w:vAlign w:val="center"/>
          </w:tcPr>
          <w:p w14:paraId="47BFEA2E" w14:textId="77777777" w:rsidR="005D372A" w:rsidRPr="001D6D10" w:rsidRDefault="005D372A" w:rsidP="008B4B2B">
            <w:pPr>
              <w:jc w:val="center"/>
              <w:rPr>
                <w:rFonts w:ascii="ＭＳ 明朝"/>
                <w:sz w:val="16"/>
                <w:szCs w:val="16"/>
              </w:rPr>
            </w:pPr>
          </w:p>
        </w:tc>
        <w:tc>
          <w:tcPr>
            <w:tcW w:w="253" w:type="pct"/>
            <w:tcBorders>
              <w:top w:val="single" w:sz="4" w:space="0" w:color="auto"/>
              <w:left w:val="single" w:sz="4" w:space="0" w:color="auto"/>
              <w:bottom w:val="single" w:sz="4" w:space="0" w:color="auto"/>
              <w:right w:val="single" w:sz="4" w:space="0" w:color="auto"/>
            </w:tcBorders>
            <w:shd w:val="clear" w:color="auto" w:fill="FFFFFF"/>
            <w:vAlign w:val="center"/>
          </w:tcPr>
          <w:p w14:paraId="2887C6D8" w14:textId="77777777" w:rsidR="005D372A" w:rsidRPr="001D6D10" w:rsidRDefault="005D372A" w:rsidP="008B4B2B">
            <w:pPr>
              <w:jc w:val="center"/>
              <w:rPr>
                <w:rFonts w:ascii="ＭＳ 明朝"/>
                <w:sz w:val="16"/>
                <w:szCs w:val="16"/>
              </w:rPr>
            </w:pPr>
            <w:r w:rsidRPr="001D6D10">
              <w:rPr>
                <w:rFonts w:ascii="ＭＳ 明朝" w:hint="eastAsia"/>
                <w:sz w:val="16"/>
                <w:szCs w:val="16"/>
              </w:rPr>
              <w:t>○</w:t>
            </w:r>
          </w:p>
        </w:tc>
        <w:tc>
          <w:tcPr>
            <w:tcW w:w="244" w:type="pct"/>
            <w:tcBorders>
              <w:top w:val="single" w:sz="4" w:space="0" w:color="auto"/>
              <w:left w:val="single" w:sz="4" w:space="0" w:color="auto"/>
              <w:bottom w:val="single" w:sz="4" w:space="0" w:color="auto"/>
              <w:right w:val="single" w:sz="4" w:space="0" w:color="auto"/>
            </w:tcBorders>
            <w:shd w:val="clear" w:color="auto" w:fill="FFFFFF"/>
            <w:vAlign w:val="center"/>
          </w:tcPr>
          <w:p w14:paraId="7BE42807" w14:textId="77777777" w:rsidR="005D372A" w:rsidRPr="001D6D10" w:rsidRDefault="005D372A" w:rsidP="008B4B2B">
            <w:pPr>
              <w:jc w:val="center"/>
              <w:rPr>
                <w:rFonts w:ascii="ＭＳ 明朝"/>
                <w:sz w:val="16"/>
                <w:szCs w:val="16"/>
              </w:rPr>
            </w:pPr>
          </w:p>
        </w:tc>
      </w:tr>
      <w:tr w:rsidR="001D6D10" w:rsidRPr="001D6D10" w14:paraId="491171A9" w14:textId="77777777" w:rsidTr="001F5915">
        <w:trPr>
          <w:trHeight w:val="243"/>
        </w:trPr>
        <w:tc>
          <w:tcPr>
            <w:tcW w:w="188" w:type="pct"/>
            <w:tcBorders>
              <w:top w:val="single" w:sz="4" w:space="0" w:color="auto"/>
              <w:left w:val="single" w:sz="4" w:space="0" w:color="auto"/>
              <w:bottom w:val="single" w:sz="4" w:space="0" w:color="auto"/>
              <w:right w:val="single" w:sz="4" w:space="0" w:color="auto"/>
            </w:tcBorders>
            <w:vAlign w:val="center"/>
          </w:tcPr>
          <w:p w14:paraId="14837777" w14:textId="77777777" w:rsidR="005D372A" w:rsidRPr="001D6D10" w:rsidRDefault="005D372A" w:rsidP="008B4B2B">
            <w:pPr>
              <w:jc w:val="center"/>
              <w:rPr>
                <w:rFonts w:ascii="ＭＳ 明朝"/>
                <w:sz w:val="14"/>
                <w:szCs w:val="16"/>
              </w:rPr>
            </w:pPr>
            <w:r w:rsidRPr="001D6D10">
              <w:rPr>
                <w:rFonts w:ascii="ＭＳ 明朝"/>
                <w:sz w:val="14"/>
                <w:szCs w:val="16"/>
              </w:rPr>
              <w:t>11</w:t>
            </w:r>
          </w:p>
        </w:tc>
        <w:tc>
          <w:tcPr>
            <w:tcW w:w="391" w:type="pct"/>
            <w:vMerge/>
            <w:tcBorders>
              <w:left w:val="single" w:sz="4" w:space="0" w:color="auto"/>
              <w:right w:val="single" w:sz="4" w:space="0" w:color="auto"/>
            </w:tcBorders>
            <w:vAlign w:val="center"/>
          </w:tcPr>
          <w:p w14:paraId="128AC7C1" w14:textId="77777777" w:rsidR="005D372A" w:rsidRPr="001D6D10" w:rsidRDefault="005D372A" w:rsidP="008B4B2B">
            <w:pPr>
              <w:jc w:val="center"/>
              <w:rPr>
                <w:rFonts w:ascii="ＭＳ 明朝"/>
                <w:sz w:val="16"/>
                <w:szCs w:val="16"/>
              </w:rPr>
            </w:pPr>
          </w:p>
        </w:tc>
        <w:tc>
          <w:tcPr>
            <w:tcW w:w="886" w:type="pct"/>
            <w:tcBorders>
              <w:top w:val="single" w:sz="4" w:space="0" w:color="auto"/>
              <w:left w:val="single" w:sz="4" w:space="0" w:color="auto"/>
              <w:bottom w:val="single" w:sz="4" w:space="0" w:color="auto"/>
              <w:right w:val="single" w:sz="4" w:space="0" w:color="auto"/>
            </w:tcBorders>
            <w:shd w:val="clear" w:color="FFC000" w:fill="auto"/>
            <w:vAlign w:val="center"/>
          </w:tcPr>
          <w:p w14:paraId="711E0171" w14:textId="77777777" w:rsidR="005D372A" w:rsidRPr="001D6D10" w:rsidRDefault="005D372A" w:rsidP="008B4B2B">
            <w:pPr>
              <w:jc w:val="left"/>
              <w:rPr>
                <w:rFonts w:ascii="ＭＳ 明朝"/>
                <w:sz w:val="16"/>
                <w:szCs w:val="16"/>
              </w:rPr>
            </w:pPr>
            <w:r w:rsidRPr="001D6D10">
              <w:rPr>
                <w:rFonts w:ascii="ＭＳ 明朝" w:hint="eastAsia"/>
                <w:sz w:val="16"/>
                <w:szCs w:val="16"/>
              </w:rPr>
              <w:t>ＩＲ推進局長</w:t>
            </w:r>
          </w:p>
        </w:tc>
        <w:tc>
          <w:tcPr>
            <w:tcW w:w="251" w:type="pct"/>
            <w:tcBorders>
              <w:top w:val="single" w:sz="4" w:space="0" w:color="auto"/>
              <w:left w:val="single" w:sz="4" w:space="0" w:color="auto"/>
              <w:bottom w:val="single" w:sz="4" w:space="0" w:color="auto"/>
              <w:right w:val="single" w:sz="4" w:space="0" w:color="auto"/>
            </w:tcBorders>
            <w:shd w:val="clear" w:color="FFC000" w:fill="auto"/>
            <w:vAlign w:val="center"/>
          </w:tcPr>
          <w:p w14:paraId="272A2D16" w14:textId="77777777" w:rsidR="005D372A" w:rsidRPr="001D6D10" w:rsidRDefault="005D372A" w:rsidP="008B4B2B">
            <w:pPr>
              <w:jc w:val="center"/>
              <w:rPr>
                <w:rFonts w:ascii="ＭＳ 明朝"/>
                <w:sz w:val="16"/>
                <w:szCs w:val="16"/>
              </w:rPr>
            </w:pPr>
            <w:r w:rsidRPr="001D6D10">
              <w:rPr>
                <w:rFonts w:ascii="ＭＳ 明朝" w:hint="eastAsia"/>
                <w:sz w:val="16"/>
                <w:szCs w:val="16"/>
              </w:rPr>
              <w:t>〇</w:t>
            </w:r>
          </w:p>
        </w:tc>
        <w:tc>
          <w:tcPr>
            <w:tcW w:w="253" w:type="pct"/>
            <w:tcBorders>
              <w:top w:val="single" w:sz="4" w:space="0" w:color="auto"/>
              <w:left w:val="single" w:sz="4" w:space="0" w:color="auto"/>
              <w:bottom w:val="single" w:sz="4" w:space="0" w:color="auto"/>
              <w:right w:val="single" w:sz="4" w:space="0" w:color="auto"/>
            </w:tcBorders>
            <w:shd w:val="clear" w:color="FFC000" w:fill="auto"/>
            <w:vAlign w:val="center"/>
          </w:tcPr>
          <w:p w14:paraId="1810612A" w14:textId="77777777" w:rsidR="005D372A" w:rsidRPr="001D6D10" w:rsidRDefault="005D372A" w:rsidP="008B4B2B">
            <w:pPr>
              <w:jc w:val="center"/>
              <w:rPr>
                <w:rFonts w:ascii="ＭＳ 明朝"/>
                <w:sz w:val="16"/>
                <w:szCs w:val="16"/>
              </w:rPr>
            </w:pPr>
          </w:p>
        </w:tc>
        <w:tc>
          <w:tcPr>
            <w:tcW w:w="253" w:type="pct"/>
            <w:tcBorders>
              <w:top w:val="single" w:sz="4" w:space="0" w:color="auto"/>
              <w:left w:val="single" w:sz="4" w:space="0" w:color="auto"/>
              <w:bottom w:val="single" w:sz="4" w:space="0" w:color="auto"/>
              <w:right w:val="single" w:sz="4" w:space="0" w:color="auto"/>
            </w:tcBorders>
            <w:shd w:val="clear" w:color="FFC000" w:fill="auto"/>
            <w:vAlign w:val="center"/>
          </w:tcPr>
          <w:p w14:paraId="476C3643" w14:textId="77777777" w:rsidR="005D372A" w:rsidRPr="001D6D10" w:rsidRDefault="005D372A" w:rsidP="008B4B2B">
            <w:pPr>
              <w:jc w:val="center"/>
              <w:rPr>
                <w:rFonts w:ascii="ＭＳ 明朝"/>
                <w:sz w:val="16"/>
                <w:szCs w:val="16"/>
              </w:rPr>
            </w:pPr>
          </w:p>
        </w:tc>
        <w:tc>
          <w:tcPr>
            <w:tcW w:w="253" w:type="pct"/>
            <w:tcBorders>
              <w:top w:val="single" w:sz="4" w:space="0" w:color="auto"/>
              <w:left w:val="single" w:sz="4" w:space="0" w:color="auto"/>
              <w:bottom w:val="single" w:sz="4" w:space="0" w:color="auto"/>
              <w:right w:val="single" w:sz="4" w:space="0" w:color="auto"/>
            </w:tcBorders>
            <w:vAlign w:val="center"/>
          </w:tcPr>
          <w:p w14:paraId="1D6A9669" w14:textId="77777777" w:rsidR="005D372A" w:rsidRPr="001D6D10" w:rsidRDefault="005D372A" w:rsidP="008B4B2B">
            <w:pPr>
              <w:jc w:val="center"/>
              <w:rPr>
                <w:rFonts w:ascii="ＭＳ 明朝"/>
                <w:sz w:val="16"/>
                <w:szCs w:val="16"/>
              </w:rPr>
            </w:pPr>
          </w:p>
        </w:tc>
        <w:tc>
          <w:tcPr>
            <w:tcW w:w="244" w:type="pct"/>
            <w:tcBorders>
              <w:top w:val="single" w:sz="4" w:space="0" w:color="auto"/>
              <w:left w:val="single" w:sz="4" w:space="0" w:color="auto"/>
              <w:bottom w:val="single" w:sz="4" w:space="0" w:color="auto"/>
              <w:right w:val="single" w:sz="4" w:space="0" w:color="auto"/>
            </w:tcBorders>
            <w:shd w:val="clear" w:color="FFC000" w:fill="auto"/>
            <w:vAlign w:val="center"/>
          </w:tcPr>
          <w:p w14:paraId="1D190D78" w14:textId="77777777" w:rsidR="005D372A" w:rsidRPr="001D6D10" w:rsidRDefault="005D372A" w:rsidP="008B4B2B">
            <w:pPr>
              <w:jc w:val="center"/>
              <w:rPr>
                <w:rFonts w:ascii="ＭＳ 明朝"/>
                <w:sz w:val="16"/>
                <w:szCs w:val="16"/>
              </w:rPr>
            </w:pPr>
          </w:p>
        </w:tc>
        <w:tc>
          <w:tcPr>
            <w:tcW w:w="262" w:type="pct"/>
            <w:tcBorders>
              <w:top w:val="single" w:sz="4" w:space="0" w:color="auto"/>
              <w:left w:val="single" w:sz="4" w:space="0" w:color="auto"/>
              <w:bottom w:val="single" w:sz="4" w:space="0" w:color="auto"/>
              <w:right w:val="single" w:sz="4" w:space="0" w:color="auto"/>
            </w:tcBorders>
            <w:shd w:val="clear" w:color="FFC000" w:fill="auto"/>
            <w:vAlign w:val="center"/>
          </w:tcPr>
          <w:p w14:paraId="65266778" w14:textId="77777777" w:rsidR="005D372A" w:rsidRPr="001D6D10" w:rsidRDefault="005D372A" w:rsidP="008B4B2B">
            <w:pPr>
              <w:jc w:val="center"/>
              <w:rPr>
                <w:rFonts w:ascii="ＭＳ 明朝"/>
                <w:sz w:val="16"/>
                <w:szCs w:val="16"/>
              </w:rPr>
            </w:pPr>
          </w:p>
        </w:tc>
        <w:tc>
          <w:tcPr>
            <w:tcW w:w="253" w:type="pct"/>
            <w:tcBorders>
              <w:top w:val="single" w:sz="4" w:space="0" w:color="auto"/>
              <w:left w:val="single" w:sz="4" w:space="0" w:color="auto"/>
              <w:bottom w:val="single" w:sz="4" w:space="0" w:color="auto"/>
              <w:right w:val="single" w:sz="4" w:space="0" w:color="auto"/>
            </w:tcBorders>
            <w:shd w:val="clear" w:color="FFC000" w:fill="auto"/>
            <w:vAlign w:val="center"/>
          </w:tcPr>
          <w:p w14:paraId="0D5C4D40" w14:textId="77777777" w:rsidR="005D372A" w:rsidRPr="001D6D10" w:rsidRDefault="005D372A" w:rsidP="008B4B2B">
            <w:pPr>
              <w:jc w:val="center"/>
              <w:rPr>
                <w:rFonts w:ascii="ＭＳ 明朝"/>
                <w:sz w:val="16"/>
                <w:szCs w:val="16"/>
              </w:rPr>
            </w:pPr>
          </w:p>
        </w:tc>
        <w:tc>
          <w:tcPr>
            <w:tcW w:w="253" w:type="pct"/>
            <w:tcBorders>
              <w:top w:val="single" w:sz="4" w:space="0" w:color="auto"/>
              <w:left w:val="single" w:sz="4" w:space="0" w:color="auto"/>
              <w:bottom w:val="single" w:sz="4" w:space="0" w:color="auto"/>
              <w:right w:val="single" w:sz="4" w:space="0" w:color="auto"/>
            </w:tcBorders>
            <w:shd w:val="clear" w:color="FFC000" w:fill="auto"/>
            <w:vAlign w:val="center"/>
          </w:tcPr>
          <w:p w14:paraId="290C3DE2" w14:textId="77777777" w:rsidR="005D372A" w:rsidRPr="001D6D10" w:rsidRDefault="005D372A" w:rsidP="008B4B2B">
            <w:pPr>
              <w:jc w:val="center"/>
              <w:rPr>
                <w:rFonts w:ascii="ＭＳ 明朝"/>
                <w:sz w:val="16"/>
                <w:szCs w:val="16"/>
              </w:rPr>
            </w:pPr>
          </w:p>
        </w:tc>
        <w:tc>
          <w:tcPr>
            <w:tcW w:w="253" w:type="pct"/>
            <w:tcBorders>
              <w:top w:val="single" w:sz="4" w:space="0" w:color="auto"/>
              <w:left w:val="single" w:sz="4" w:space="0" w:color="auto"/>
              <w:bottom w:val="single" w:sz="4" w:space="0" w:color="auto"/>
              <w:right w:val="single" w:sz="4" w:space="0" w:color="auto"/>
            </w:tcBorders>
            <w:shd w:val="clear" w:color="FFC000" w:fill="auto"/>
            <w:vAlign w:val="center"/>
          </w:tcPr>
          <w:p w14:paraId="55AED254" w14:textId="77777777" w:rsidR="005D372A" w:rsidRPr="001D6D10" w:rsidRDefault="005D372A" w:rsidP="008B4B2B">
            <w:pPr>
              <w:jc w:val="center"/>
              <w:rPr>
                <w:rFonts w:ascii="ＭＳ 明朝"/>
                <w:sz w:val="16"/>
                <w:szCs w:val="16"/>
              </w:rPr>
            </w:pPr>
          </w:p>
        </w:tc>
        <w:tc>
          <w:tcPr>
            <w:tcW w:w="253" w:type="pct"/>
            <w:tcBorders>
              <w:top w:val="single" w:sz="4" w:space="0" w:color="auto"/>
              <w:left w:val="single" w:sz="4" w:space="0" w:color="auto"/>
              <w:bottom w:val="single" w:sz="4" w:space="0" w:color="auto"/>
              <w:right w:val="single" w:sz="4" w:space="0" w:color="auto"/>
            </w:tcBorders>
            <w:shd w:val="clear" w:color="FFC000" w:fill="auto"/>
            <w:vAlign w:val="center"/>
          </w:tcPr>
          <w:p w14:paraId="2EC7C871" w14:textId="77777777" w:rsidR="005D372A" w:rsidRPr="001D6D10" w:rsidRDefault="005D372A" w:rsidP="008B4B2B">
            <w:pPr>
              <w:jc w:val="center"/>
              <w:rPr>
                <w:rFonts w:ascii="ＭＳ 明朝"/>
                <w:sz w:val="16"/>
                <w:szCs w:val="16"/>
              </w:rPr>
            </w:pPr>
          </w:p>
        </w:tc>
        <w:tc>
          <w:tcPr>
            <w:tcW w:w="253" w:type="pct"/>
            <w:tcBorders>
              <w:top w:val="single" w:sz="4" w:space="0" w:color="auto"/>
              <w:left w:val="single" w:sz="4" w:space="0" w:color="auto"/>
              <w:bottom w:val="single" w:sz="4" w:space="0" w:color="auto"/>
              <w:right w:val="single" w:sz="4" w:space="0" w:color="auto"/>
            </w:tcBorders>
            <w:shd w:val="clear" w:color="FFC000" w:fill="auto"/>
            <w:vAlign w:val="center"/>
          </w:tcPr>
          <w:p w14:paraId="41616E6B" w14:textId="77777777" w:rsidR="005D372A" w:rsidRPr="001D6D10" w:rsidRDefault="005D372A" w:rsidP="008B4B2B">
            <w:pPr>
              <w:jc w:val="center"/>
              <w:rPr>
                <w:rFonts w:ascii="ＭＳ 明朝"/>
                <w:sz w:val="16"/>
                <w:szCs w:val="16"/>
              </w:rPr>
            </w:pPr>
          </w:p>
        </w:tc>
        <w:tc>
          <w:tcPr>
            <w:tcW w:w="255" w:type="pct"/>
            <w:tcBorders>
              <w:top w:val="single" w:sz="4" w:space="0" w:color="auto"/>
              <w:left w:val="single" w:sz="4" w:space="0" w:color="auto"/>
              <w:bottom w:val="single" w:sz="4" w:space="0" w:color="auto"/>
              <w:right w:val="single" w:sz="4" w:space="0" w:color="auto"/>
            </w:tcBorders>
            <w:shd w:val="clear" w:color="FFC000" w:fill="auto"/>
            <w:vAlign w:val="center"/>
          </w:tcPr>
          <w:p w14:paraId="51D5D0C4" w14:textId="77777777" w:rsidR="005D372A" w:rsidRPr="001D6D10" w:rsidRDefault="005D372A" w:rsidP="008B4B2B">
            <w:pPr>
              <w:jc w:val="center"/>
              <w:rPr>
                <w:rFonts w:ascii="ＭＳ 明朝"/>
                <w:sz w:val="16"/>
                <w:szCs w:val="16"/>
              </w:rPr>
            </w:pPr>
          </w:p>
        </w:tc>
        <w:tc>
          <w:tcPr>
            <w:tcW w:w="253" w:type="pct"/>
            <w:tcBorders>
              <w:top w:val="single" w:sz="4" w:space="0" w:color="auto"/>
              <w:left w:val="single" w:sz="4" w:space="0" w:color="auto"/>
              <w:bottom w:val="single" w:sz="4" w:space="0" w:color="auto"/>
              <w:right w:val="single" w:sz="4" w:space="0" w:color="auto"/>
            </w:tcBorders>
            <w:shd w:val="clear" w:color="FFC000" w:fill="auto"/>
            <w:vAlign w:val="center"/>
          </w:tcPr>
          <w:p w14:paraId="12B6DD80" w14:textId="77777777" w:rsidR="005D372A" w:rsidRPr="001D6D10" w:rsidRDefault="005D372A" w:rsidP="008B4B2B">
            <w:pPr>
              <w:jc w:val="center"/>
              <w:rPr>
                <w:rFonts w:ascii="ＭＳ 明朝"/>
                <w:sz w:val="16"/>
                <w:szCs w:val="16"/>
              </w:rPr>
            </w:pPr>
            <w:r w:rsidRPr="001D6D10">
              <w:rPr>
                <w:rFonts w:ascii="ＭＳ 明朝" w:hint="eastAsia"/>
                <w:sz w:val="16"/>
                <w:szCs w:val="16"/>
              </w:rPr>
              <w:t>○</w:t>
            </w:r>
          </w:p>
        </w:tc>
        <w:tc>
          <w:tcPr>
            <w:tcW w:w="244" w:type="pct"/>
            <w:tcBorders>
              <w:top w:val="single" w:sz="4" w:space="0" w:color="auto"/>
              <w:left w:val="single" w:sz="4" w:space="0" w:color="auto"/>
              <w:bottom w:val="single" w:sz="4" w:space="0" w:color="auto"/>
              <w:right w:val="single" w:sz="4" w:space="0" w:color="auto"/>
            </w:tcBorders>
            <w:shd w:val="clear" w:color="FFC000" w:fill="auto"/>
            <w:vAlign w:val="center"/>
          </w:tcPr>
          <w:p w14:paraId="0C5C395E" w14:textId="77777777" w:rsidR="005D372A" w:rsidRPr="001D6D10" w:rsidRDefault="005D372A" w:rsidP="008B4B2B">
            <w:pPr>
              <w:jc w:val="center"/>
              <w:rPr>
                <w:rFonts w:ascii="ＭＳ 明朝"/>
                <w:sz w:val="16"/>
                <w:szCs w:val="16"/>
              </w:rPr>
            </w:pPr>
          </w:p>
        </w:tc>
      </w:tr>
      <w:tr w:rsidR="001D6D10" w:rsidRPr="001D6D10" w14:paraId="2AF0B72F" w14:textId="77777777" w:rsidTr="001F5915">
        <w:trPr>
          <w:trHeight w:val="457"/>
        </w:trPr>
        <w:tc>
          <w:tcPr>
            <w:tcW w:w="188" w:type="pct"/>
            <w:tcBorders>
              <w:top w:val="single" w:sz="4" w:space="0" w:color="auto"/>
              <w:left w:val="single" w:sz="4" w:space="0" w:color="auto"/>
              <w:bottom w:val="single" w:sz="4" w:space="0" w:color="auto"/>
              <w:right w:val="single" w:sz="4" w:space="0" w:color="auto"/>
            </w:tcBorders>
            <w:vAlign w:val="center"/>
            <w:hideMark/>
          </w:tcPr>
          <w:p w14:paraId="3D42482C" w14:textId="77777777" w:rsidR="005D372A" w:rsidRPr="001D6D10" w:rsidRDefault="005D372A" w:rsidP="008B4B2B">
            <w:pPr>
              <w:jc w:val="center"/>
              <w:rPr>
                <w:rFonts w:ascii="ＭＳ 明朝"/>
                <w:sz w:val="14"/>
                <w:szCs w:val="16"/>
              </w:rPr>
            </w:pPr>
            <w:r w:rsidRPr="001D6D10">
              <w:rPr>
                <w:rFonts w:ascii="ＭＳ 明朝"/>
                <w:sz w:val="14"/>
                <w:szCs w:val="16"/>
              </w:rPr>
              <w:t>12</w:t>
            </w:r>
          </w:p>
        </w:tc>
        <w:tc>
          <w:tcPr>
            <w:tcW w:w="391" w:type="pct"/>
            <w:vMerge/>
            <w:tcBorders>
              <w:left w:val="single" w:sz="4" w:space="0" w:color="auto"/>
              <w:right w:val="single" w:sz="4" w:space="0" w:color="auto"/>
            </w:tcBorders>
            <w:vAlign w:val="center"/>
          </w:tcPr>
          <w:p w14:paraId="32D7896A" w14:textId="77777777" w:rsidR="005D372A" w:rsidRPr="001D6D10" w:rsidRDefault="005D372A" w:rsidP="008B4B2B">
            <w:pPr>
              <w:jc w:val="center"/>
              <w:rPr>
                <w:rFonts w:ascii="ＭＳ 明朝"/>
                <w:sz w:val="16"/>
                <w:szCs w:val="16"/>
              </w:rPr>
            </w:pPr>
          </w:p>
        </w:tc>
        <w:tc>
          <w:tcPr>
            <w:tcW w:w="886" w:type="pct"/>
            <w:tcBorders>
              <w:top w:val="single" w:sz="4" w:space="0" w:color="auto"/>
              <w:left w:val="single" w:sz="4" w:space="0" w:color="auto"/>
              <w:bottom w:val="single" w:sz="4" w:space="0" w:color="auto"/>
              <w:right w:val="single" w:sz="4" w:space="0" w:color="auto"/>
            </w:tcBorders>
            <w:vAlign w:val="center"/>
            <w:hideMark/>
          </w:tcPr>
          <w:p w14:paraId="11BF81A6" w14:textId="77777777" w:rsidR="005D372A" w:rsidRPr="001D6D10" w:rsidRDefault="005D372A" w:rsidP="008B4B2B">
            <w:pPr>
              <w:jc w:val="left"/>
              <w:rPr>
                <w:rFonts w:ascii="ＭＳ 明朝"/>
                <w:sz w:val="16"/>
                <w:szCs w:val="16"/>
              </w:rPr>
            </w:pPr>
            <w:r w:rsidRPr="001D6D10">
              <w:rPr>
                <w:rFonts w:ascii="ＭＳ 明朝" w:hint="eastAsia"/>
                <w:sz w:val="16"/>
                <w:szCs w:val="16"/>
              </w:rPr>
              <w:t>福祉部長</w:t>
            </w:r>
          </w:p>
        </w:tc>
        <w:tc>
          <w:tcPr>
            <w:tcW w:w="251" w:type="pct"/>
            <w:tcBorders>
              <w:top w:val="single" w:sz="4" w:space="0" w:color="auto"/>
              <w:left w:val="single" w:sz="4" w:space="0" w:color="auto"/>
              <w:bottom w:val="single" w:sz="4" w:space="0" w:color="auto"/>
              <w:right w:val="single" w:sz="4" w:space="0" w:color="auto"/>
            </w:tcBorders>
            <w:vAlign w:val="center"/>
            <w:hideMark/>
          </w:tcPr>
          <w:p w14:paraId="7ADD847C" w14:textId="77777777" w:rsidR="005D372A" w:rsidRPr="001D6D10" w:rsidRDefault="005D372A" w:rsidP="008B4B2B">
            <w:pPr>
              <w:jc w:val="center"/>
              <w:rPr>
                <w:rFonts w:ascii="ＭＳ 明朝"/>
                <w:sz w:val="16"/>
                <w:szCs w:val="16"/>
              </w:rPr>
            </w:pPr>
            <w:r w:rsidRPr="001D6D10">
              <w:rPr>
                <w:rFonts w:ascii="ＭＳ 明朝" w:hint="eastAsia"/>
                <w:sz w:val="16"/>
                <w:szCs w:val="16"/>
              </w:rPr>
              <w:t>○</w:t>
            </w:r>
          </w:p>
        </w:tc>
        <w:tc>
          <w:tcPr>
            <w:tcW w:w="253" w:type="pct"/>
            <w:tcBorders>
              <w:top w:val="single" w:sz="4" w:space="0" w:color="auto"/>
              <w:left w:val="single" w:sz="4" w:space="0" w:color="auto"/>
              <w:bottom w:val="single" w:sz="4" w:space="0" w:color="auto"/>
              <w:right w:val="single" w:sz="4" w:space="0" w:color="auto"/>
            </w:tcBorders>
            <w:vAlign w:val="center"/>
          </w:tcPr>
          <w:p w14:paraId="1F307851" w14:textId="77777777" w:rsidR="005D372A" w:rsidRPr="001D6D10" w:rsidRDefault="005D372A" w:rsidP="008B4B2B">
            <w:pPr>
              <w:jc w:val="center"/>
              <w:rPr>
                <w:rFonts w:ascii="ＭＳ 明朝"/>
                <w:sz w:val="16"/>
                <w:szCs w:val="16"/>
              </w:rPr>
            </w:pPr>
          </w:p>
        </w:tc>
        <w:tc>
          <w:tcPr>
            <w:tcW w:w="253" w:type="pct"/>
            <w:tcBorders>
              <w:top w:val="single" w:sz="4" w:space="0" w:color="auto"/>
              <w:left w:val="single" w:sz="4" w:space="0" w:color="auto"/>
              <w:bottom w:val="single" w:sz="4" w:space="0" w:color="auto"/>
              <w:right w:val="single" w:sz="4" w:space="0" w:color="auto"/>
            </w:tcBorders>
            <w:vAlign w:val="center"/>
          </w:tcPr>
          <w:p w14:paraId="21848B3A" w14:textId="77777777" w:rsidR="005D372A" w:rsidRPr="001D6D10" w:rsidRDefault="005D372A" w:rsidP="008B4B2B">
            <w:pPr>
              <w:jc w:val="center"/>
              <w:rPr>
                <w:rFonts w:ascii="ＭＳ 明朝"/>
                <w:sz w:val="16"/>
                <w:szCs w:val="16"/>
              </w:rPr>
            </w:pPr>
          </w:p>
        </w:tc>
        <w:tc>
          <w:tcPr>
            <w:tcW w:w="253" w:type="pct"/>
            <w:tcBorders>
              <w:top w:val="single" w:sz="4" w:space="0" w:color="auto"/>
              <w:left w:val="single" w:sz="4" w:space="0" w:color="auto"/>
              <w:bottom w:val="single" w:sz="4" w:space="0" w:color="auto"/>
              <w:right w:val="single" w:sz="4" w:space="0" w:color="auto"/>
            </w:tcBorders>
            <w:vAlign w:val="center"/>
          </w:tcPr>
          <w:p w14:paraId="74DDF4B4" w14:textId="77777777" w:rsidR="005D372A" w:rsidRPr="001D6D10" w:rsidRDefault="005D372A" w:rsidP="008B4B2B">
            <w:pPr>
              <w:jc w:val="center"/>
              <w:rPr>
                <w:rFonts w:ascii="ＭＳ 明朝"/>
                <w:sz w:val="16"/>
                <w:szCs w:val="16"/>
              </w:rPr>
            </w:pPr>
            <w:r w:rsidRPr="001D6D10">
              <w:rPr>
                <w:rFonts w:ascii="ＭＳ 明朝" w:hint="eastAsia"/>
                <w:sz w:val="16"/>
                <w:szCs w:val="16"/>
              </w:rPr>
              <w:t>○</w:t>
            </w:r>
          </w:p>
        </w:tc>
        <w:tc>
          <w:tcPr>
            <w:tcW w:w="244" w:type="pct"/>
            <w:tcBorders>
              <w:top w:val="single" w:sz="4" w:space="0" w:color="auto"/>
              <w:left w:val="single" w:sz="4" w:space="0" w:color="auto"/>
              <w:bottom w:val="single" w:sz="4" w:space="0" w:color="auto"/>
              <w:right w:val="single" w:sz="4" w:space="0" w:color="auto"/>
            </w:tcBorders>
            <w:shd w:val="clear" w:color="auto" w:fill="FFFFFF"/>
            <w:vAlign w:val="center"/>
          </w:tcPr>
          <w:p w14:paraId="020185EB" w14:textId="77777777" w:rsidR="005D372A" w:rsidRPr="001D6D10" w:rsidRDefault="005D372A" w:rsidP="008B4B2B">
            <w:pPr>
              <w:jc w:val="center"/>
              <w:rPr>
                <w:rFonts w:ascii="ＭＳ 明朝"/>
                <w:sz w:val="16"/>
                <w:szCs w:val="16"/>
              </w:rPr>
            </w:pPr>
          </w:p>
        </w:tc>
        <w:tc>
          <w:tcPr>
            <w:tcW w:w="262" w:type="pct"/>
            <w:tcBorders>
              <w:top w:val="single" w:sz="4" w:space="0" w:color="auto"/>
              <w:left w:val="single" w:sz="4" w:space="0" w:color="auto"/>
              <w:bottom w:val="single" w:sz="4" w:space="0" w:color="auto"/>
              <w:right w:val="single" w:sz="4" w:space="0" w:color="auto"/>
            </w:tcBorders>
            <w:vAlign w:val="center"/>
          </w:tcPr>
          <w:p w14:paraId="0F7B4AD6" w14:textId="77777777" w:rsidR="005D372A" w:rsidRPr="001D6D10" w:rsidRDefault="005D372A" w:rsidP="008B4B2B">
            <w:pPr>
              <w:jc w:val="center"/>
              <w:rPr>
                <w:rFonts w:ascii="ＭＳ 明朝"/>
                <w:sz w:val="16"/>
                <w:szCs w:val="16"/>
              </w:rPr>
            </w:pPr>
          </w:p>
        </w:tc>
        <w:tc>
          <w:tcPr>
            <w:tcW w:w="253" w:type="pct"/>
            <w:tcBorders>
              <w:top w:val="single" w:sz="4" w:space="0" w:color="auto"/>
              <w:left w:val="single" w:sz="4" w:space="0" w:color="auto"/>
              <w:bottom w:val="single" w:sz="4" w:space="0" w:color="auto"/>
              <w:right w:val="single" w:sz="4" w:space="0" w:color="auto"/>
            </w:tcBorders>
            <w:vAlign w:val="center"/>
          </w:tcPr>
          <w:p w14:paraId="07F2ABA5" w14:textId="77777777" w:rsidR="005D372A" w:rsidRPr="001D6D10" w:rsidRDefault="005D372A" w:rsidP="008B4B2B">
            <w:pPr>
              <w:jc w:val="center"/>
              <w:rPr>
                <w:rFonts w:ascii="ＭＳ 明朝"/>
                <w:sz w:val="16"/>
                <w:szCs w:val="16"/>
              </w:rPr>
            </w:pPr>
          </w:p>
        </w:tc>
        <w:tc>
          <w:tcPr>
            <w:tcW w:w="253" w:type="pct"/>
            <w:tcBorders>
              <w:top w:val="single" w:sz="4" w:space="0" w:color="auto"/>
              <w:left w:val="single" w:sz="4" w:space="0" w:color="auto"/>
              <w:bottom w:val="single" w:sz="4" w:space="0" w:color="auto"/>
              <w:right w:val="single" w:sz="4" w:space="0" w:color="auto"/>
            </w:tcBorders>
            <w:vAlign w:val="center"/>
          </w:tcPr>
          <w:p w14:paraId="03AF9064" w14:textId="77777777" w:rsidR="005D372A" w:rsidRPr="001D6D10" w:rsidRDefault="005D372A" w:rsidP="008B4B2B">
            <w:pPr>
              <w:jc w:val="center"/>
              <w:rPr>
                <w:rFonts w:ascii="ＭＳ 明朝"/>
                <w:sz w:val="16"/>
                <w:szCs w:val="16"/>
              </w:rPr>
            </w:pPr>
          </w:p>
        </w:tc>
        <w:tc>
          <w:tcPr>
            <w:tcW w:w="253" w:type="pct"/>
            <w:tcBorders>
              <w:top w:val="single" w:sz="4" w:space="0" w:color="auto"/>
              <w:left w:val="single" w:sz="4" w:space="0" w:color="auto"/>
              <w:bottom w:val="single" w:sz="4" w:space="0" w:color="auto"/>
              <w:right w:val="single" w:sz="4" w:space="0" w:color="auto"/>
            </w:tcBorders>
            <w:vAlign w:val="center"/>
          </w:tcPr>
          <w:p w14:paraId="01430FB1" w14:textId="77777777" w:rsidR="005D372A" w:rsidRPr="001D6D10" w:rsidRDefault="005D372A" w:rsidP="008B4B2B">
            <w:pPr>
              <w:jc w:val="center"/>
              <w:rPr>
                <w:rFonts w:ascii="ＭＳ 明朝"/>
                <w:sz w:val="16"/>
                <w:szCs w:val="16"/>
              </w:rPr>
            </w:pPr>
          </w:p>
        </w:tc>
        <w:tc>
          <w:tcPr>
            <w:tcW w:w="253" w:type="pct"/>
            <w:tcBorders>
              <w:top w:val="single" w:sz="4" w:space="0" w:color="auto"/>
              <w:left w:val="single" w:sz="4" w:space="0" w:color="auto"/>
              <w:bottom w:val="single" w:sz="4" w:space="0" w:color="auto"/>
              <w:right w:val="single" w:sz="4" w:space="0" w:color="auto"/>
            </w:tcBorders>
            <w:vAlign w:val="center"/>
          </w:tcPr>
          <w:p w14:paraId="04BDB818" w14:textId="77777777" w:rsidR="005D372A" w:rsidRPr="001D6D10" w:rsidRDefault="005D372A" w:rsidP="008B4B2B">
            <w:pPr>
              <w:jc w:val="center"/>
              <w:rPr>
                <w:rFonts w:ascii="ＭＳ 明朝"/>
                <w:sz w:val="16"/>
                <w:szCs w:val="16"/>
              </w:rPr>
            </w:pPr>
          </w:p>
        </w:tc>
        <w:tc>
          <w:tcPr>
            <w:tcW w:w="253" w:type="pct"/>
            <w:tcBorders>
              <w:top w:val="single" w:sz="4" w:space="0" w:color="auto"/>
              <w:left w:val="single" w:sz="4" w:space="0" w:color="auto"/>
              <w:bottom w:val="single" w:sz="4" w:space="0" w:color="auto"/>
              <w:right w:val="single" w:sz="4" w:space="0" w:color="auto"/>
            </w:tcBorders>
            <w:vAlign w:val="center"/>
          </w:tcPr>
          <w:p w14:paraId="7D4C2C6F" w14:textId="77777777" w:rsidR="005D372A" w:rsidRPr="001D6D10" w:rsidRDefault="005D372A" w:rsidP="008B4B2B">
            <w:pPr>
              <w:jc w:val="center"/>
              <w:rPr>
                <w:rFonts w:ascii="ＭＳ 明朝"/>
                <w:sz w:val="16"/>
                <w:szCs w:val="16"/>
              </w:rPr>
            </w:pPr>
          </w:p>
        </w:tc>
        <w:tc>
          <w:tcPr>
            <w:tcW w:w="255" w:type="pct"/>
            <w:tcBorders>
              <w:top w:val="single" w:sz="4" w:space="0" w:color="auto"/>
              <w:left w:val="single" w:sz="4" w:space="0" w:color="auto"/>
              <w:bottom w:val="single" w:sz="4" w:space="0" w:color="auto"/>
              <w:right w:val="single" w:sz="4" w:space="0" w:color="auto"/>
            </w:tcBorders>
            <w:vAlign w:val="center"/>
          </w:tcPr>
          <w:p w14:paraId="6E51A11B" w14:textId="77777777" w:rsidR="005D372A" w:rsidRPr="001D6D10" w:rsidRDefault="005D372A" w:rsidP="008B4B2B">
            <w:pPr>
              <w:jc w:val="center"/>
              <w:rPr>
                <w:rFonts w:ascii="ＭＳ 明朝"/>
                <w:sz w:val="16"/>
                <w:szCs w:val="16"/>
              </w:rPr>
            </w:pPr>
          </w:p>
        </w:tc>
        <w:tc>
          <w:tcPr>
            <w:tcW w:w="253" w:type="pct"/>
            <w:tcBorders>
              <w:top w:val="single" w:sz="4" w:space="0" w:color="auto"/>
              <w:left w:val="single" w:sz="4" w:space="0" w:color="auto"/>
              <w:bottom w:val="single" w:sz="4" w:space="0" w:color="auto"/>
              <w:right w:val="single" w:sz="4" w:space="0" w:color="auto"/>
            </w:tcBorders>
            <w:shd w:val="clear" w:color="auto" w:fill="FFFFFF"/>
            <w:vAlign w:val="center"/>
          </w:tcPr>
          <w:p w14:paraId="4C9E7049" w14:textId="77777777" w:rsidR="005D372A" w:rsidRPr="001D6D10" w:rsidRDefault="005D372A" w:rsidP="008B4B2B">
            <w:pPr>
              <w:jc w:val="center"/>
              <w:rPr>
                <w:rFonts w:ascii="ＭＳ 明朝"/>
                <w:sz w:val="16"/>
                <w:szCs w:val="16"/>
              </w:rPr>
            </w:pPr>
            <w:r w:rsidRPr="001D6D10">
              <w:rPr>
                <w:rFonts w:ascii="ＭＳ 明朝" w:hint="eastAsia"/>
                <w:sz w:val="16"/>
                <w:szCs w:val="16"/>
              </w:rPr>
              <w:t>○</w:t>
            </w:r>
          </w:p>
        </w:tc>
        <w:tc>
          <w:tcPr>
            <w:tcW w:w="244" w:type="pct"/>
            <w:tcBorders>
              <w:top w:val="single" w:sz="4" w:space="0" w:color="auto"/>
              <w:left w:val="single" w:sz="4" w:space="0" w:color="auto"/>
              <w:bottom w:val="single" w:sz="4" w:space="0" w:color="auto"/>
              <w:right w:val="single" w:sz="4" w:space="0" w:color="auto"/>
            </w:tcBorders>
            <w:shd w:val="clear" w:color="auto" w:fill="FFFFFF"/>
            <w:vAlign w:val="center"/>
          </w:tcPr>
          <w:p w14:paraId="75467483" w14:textId="77777777" w:rsidR="005D372A" w:rsidRPr="001D6D10" w:rsidRDefault="005D372A" w:rsidP="008B4B2B">
            <w:pPr>
              <w:jc w:val="center"/>
              <w:rPr>
                <w:rFonts w:ascii="ＭＳ 明朝"/>
                <w:sz w:val="16"/>
                <w:szCs w:val="16"/>
              </w:rPr>
            </w:pPr>
          </w:p>
        </w:tc>
      </w:tr>
      <w:tr w:rsidR="001D6D10" w:rsidRPr="001D6D10" w14:paraId="2725A589" w14:textId="77777777" w:rsidTr="001F5915">
        <w:trPr>
          <w:trHeight w:val="457"/>
        </w:trPr>
        <w:tc>
          <w:tcPr>
            <w:tcW w:w="188" w:type="pct"/>
            <w:tcBorders>
              <w:top w:val="single" w:sz="4" w:space="0" w:color="auto"/>
              <w:left w:val="single" w:sz="4" w:space="0" w:color="auto"/>
              <w:bottom w:val="single" w:sz="4" w:space="0" w:color="auto"/>
              <w:right w:val="single" w:sz="4" w:space="0" w:color="auto"/>
            </w:tcBorders>
            <w:vAlign w:val="center"/>
            <w:hideMark/>
          </w:tcPr>
          <w:p w14:paraId="6FB047A2" w14:textId="77777777" w:rsidR="005D372A" w:rsidRPr="001D6D10" w:rsidRDefault="005D372A" w:rsidP="008B4B2B">
            <w:pPr>
              <w:jc w:val="center"/>
              <w:rPr>
                <w:rFonts w:ascii="ＭＳ 明朝"/>
                <w:sz w:val="14"/>
                <w:szCs w:val="16"/>
              </w:rPr>
            </w:pPr>
            <w:r w:rsidRPr="001D6D10">
              <w:rPr>
                <w:rFonts w:ascii="ＭＳ 明朝"/>
                <w:sz w:val="14"/>
                <w:szCs w:val="16"/>
              </w:rPr>
              <w:t>13</w:t>
            </w:r>
          </w:p>
        </w:tc>
        <w:tc>
          <w:tcPr>
            <w:tcW w:w="391" w:type="pct"/>
            <w:vMerge/>
            <w:tcBorders>
              <w:left w:val="single" w:sz="4" w:space="0" w:color="auto"/>
              <w:right w:val="single" w:sz="4" w:space="0" w:color="auto"/>
            </w:tcBorders>
            <w:vAlign w:val="center"/>
          </w:tcPr>
          <w:p w14:paraId="58B90F94" w14:textId="77777777" w:rsidR="005D372A" w:rsidRPr="001D6D10" w:rsidRDefault="005D372A" w:rsidP="008B4B2B">
            <w:pPr>
              <w:jc w:val="center"/>
              <w:rPr>
                <w:rFonts w:ascii="ＭＳ 明朝"/>
                <w:sz w:val="16"/>
                <w:szCs w:val="16"/>
              </w:rPr>
            </w:pPr>
          </w:p>
        </w:tc>
        <w:tc>
          <w:tcPr>
            <w:tcW w:w="886" w:type="pct"/>
            <w:tcBorders>
              <w:top w:val="single" w:sz="4" w:space="0" w:color="auto"/>
              <w:left w:val="single" w:sz="4" w:space="0" w:color="auto"/>
              <w:bottom w:val="single" w:sz="4" w:space="0" w:color="auto"/>
              <w:right w:val="single" w:sz="4" w:space="0" w:color="auto"/>
            </w:tcBorders>
            <w:vAlign w:val="center"/>
            <w:hideMark/>
          </w:tcPr>
          <w:p w14:paraId="4E97992D" w14:textId="77777777" w:rsidR="005D372A" w:rsidRPr="001D6D10" w:rsidRDefault="005D372A" w:rsidP="008B4B2B">
            <w:pPr>
              <w:jc w:val="left"/>
              <w:rPr>
                <w:rFonts w:ascii="ＭＳ 明朝"/>
                <w:sz w:val="16"/>
                <w:szCs w:val="16"/>
              </w:rPr>
            </w:pPr>
            <w:r w:rsidRPr="001D6D10">
              <w:rPr>
                <w:rFonts w:ascii="ＭＳ 明朝" w:hint="eastAsia"/>
                <w:sz w:val="16"/>
                <w:szCs w:val="16"/>
              </w:rPr>
              <w:t>健康医療部長</w:t>
            </w:r>
          </w:p>
        </w:tc>
        <w:tc>
          <w:tcPr>
            <w:tcW w:w="251" w:type="pct"/>
            <w:tcBorders>
              <w:top w:val="single" w:sz="4" w:space="0" w:color="auto"/>
              <w:left w:val="single" w:sz="4" w:space="0" w:color="auto"/>
              <w:bottom w:val="single" w:sz="4" w:space="0" w:color="auto"/>
              <w:right w:val="single" w:sz="4" w:space="0" w:color="auto"/>
            </w:tcBorders>
            <w:vAlign w:val="center"/>
            <w:hideMark/>
          </w:tcPr>
          <w:p w14:paraId="28DC2938" w14:textId="77777777" w:rsidR="005D372A" w:rsidRPr="001D6D10" w:rsidRDefault="005D372A" w:rsidP="008B4B2B">
            <w:pPr>
              <w:jc w:val="center"/>
              <w:rPr>
                <w:rFonts w:ascii="ＭＳ 明朝"/>
                <w:sz w:val="16"/>
                <w:szCs w:val="16"/>
              </w:rPr>
            </w:pPr>
            <w:r w:rsidRPr="001D6D10">
              <w:rPr>
                <w:rFonts w:ascii="ＭＳ 明朝" w:hint="eastAsia"/>
                <w:sz w:val="16"/>
                <w:szCs w:val="16"/>
              </w:rPr>
              <w:t>○</w:t>
            </w:r>
          </w:p>
        </w:tc>
        <w:tc>
          <w:tcPr>
            <w:tcW w:w="253" w:type="pct"/>
            <w:tcBorders>
              <w:top w:val="single" w:sz="4" w:space="0" w:color="auto"/>
              <w:left w:val="single" w:sz="4" w:space="0" w:color="auto"/>
              <w:bottom w:val="single" w:sz="4" w:space="0" w:color="auto"/>
              <w:right w:val="single" w:sz="4" w:space="0" w:color="auto"/>
            </w:tcBorders>
            <w:vAlign w:val="center"/>
            <w:hideMark/>
          </w:tcPr>
          <w:p w14:paraId="212602F7" w14:textId="77777777" w:rsidR="005D372A" w:rsidRPr="001D6D10" w:rsidRDefault="005D372A" w:rsidP="008B4B2B">
            <w:pPr>
              <w:jc w:val="center"/>
              <w:rPr>
                <w:rFonts w:ascii="ＭＳ 明朝"/>
                <w:sz w:val="16"/>
                <w:szCs w:val="16"/>
              </w:rPr>
            </w:pPr>
            <w:r w:rsidRPr="001D6D10">
              <w:rPr>
                <w:rFonts w:ascii="ＭＳ 明朝" w:hint="eastAsia"/>
                <w:sz w:val="16"/>
                <w:szCs w:val="16"/>
              </w:rPr>
              <w:t>○</w:t>
            </w:r>
          </w:p>
        </w:tc>
        <w:tc>
          <w:tcPr>
            <w:tcW w:w="253" w:type="pct"/>
            <w:tcBorders>
              <w:top w:val="single" w:sz="4" w:space="0" w:color="auto"/>
              <w:left w:val="single" w:sz="4" w:space="0" w:color="auto"/>
              <w:bottom w:val="single" w:sz="4" w:space="0" w:color="auto"/>
              <w:right w:val="single" w:sz="4" w:space="0" w:color="auto"/>
            </w:tcBorders>
            <w:vAlign w:val="center"/>
            <w:hideMark/>
          </w:tcPr>
          <w:p w14:paraId="4A4C8B5B" w14:textId="77777777" w:rsidR="005D372A" w:rsidRPr="001D6D10" w:rsidRDefault="005D372A" w:rsidP="008B4B2B">
            <w:pPr>
              <w:jc w:val="center"/>
              <w:rPr>
                <w:rFonts w:ascii="ＭＳ 明朝"/>
                <w:sz w:val="16"/>
                <w:szCs w:val="16"/>
              </w:rPr>
            </w:pPr>
          </w:p>
        </w:tc>
        <w:tc>
          <w:tcPr>
            <w:tcW w:w="253" w:type="pct"/>
            <w:tcBorders>
              <w:top w:val="single" w:sz="4" w:space="0" w:color="auto"/>
              <w:left w:val="single" w:sz="4" w:space="0" w:color="auto"/>
              <w:bottom w:val="single" w:sz="4" w:space="0" w:color="auto"/>
              <w:right w:val="single" w:sz="4" w:space="0" w:color="auto"/>
            </w:tcBorders>
            <w:vAlign w:val="center"/>
          </w:tcPr>
          <w:p w14:paraId="758B02CA" w14:textId="77777777" w:rsidR="005D372A" w:rsidRPr="001D6D10" w:rsidRDefault="005D372A" w:rsidP="008B4B2B">
            <w:pPr>
              <w:jc w:val="center"/>
              <w:rPr>
                <w:rFonts w:ascii="ＭＳ 明朝"/>
                <w:sz w:val="16"/>
                <w:szCs w:val="16"/>
              </w:rPr>
            </w:pPr>
            <w:r w:rsidRPr="001D6D10">
              <w:rPr>
                <w:rFonts w:ascii="ＭＳ 明朝" w:hint="eastAsia"/>
                <w:sz w:val="16"/>
                <w:szCs w:val="16"/>
              </w:rPr>
              <w:t>○</w:t>
            </w:r>
          </w:p>
        </w:tc>
        <w:tc>
          <w:tcPr>
            <w:tcW w:w="244" w:type="pct"/>
            <w:tcBorders>
              <w:top w:val="single" w:sz="4" w:space="0" w:color="auto"/>
              <w:left w:val="single" w:sz="4" w:space="0" w:color="auto"/>
              <w:bottom w:val="single" w:sz="4" w:space="0" w:color="auto"/>
              <w:right w:val="single" w:sz="4" w:space="0" w:color="auto"/>
            </w:tcBorders>
            <w:shd w:val="clear" w:color="auto" w:fill="FFFFFF"/>
            <w:vAlign w:val="center"/>
          </w:tcPr>
          <w:p w14:paraId="70F6EC53" w14:textId="77777777" w:rsidR="005D372A" w:rsidRPr="001D6D10" w:rsidRDefault="005D372A" w:rsidP="008B4B2B">
            <w:pPr>
              <w:jc w:val="center"/>
              <w:rPr>
                <w:rFonts w:ascii="ＭＳ 明朝"/>
                <w:sz w:val="16"/>
                <w:szCs w:val="16"/>
              </w:rPr>
            </w:pPr>
          </w:p>
        </w:tc>
        <w:tc>
          <w:tcPr>
            <w:tcW w:w="262" w:type="pct"/>
            <w:tcBorders>
              <w:top w:val="single" w:sz="4" w:space="0" w:color="auto"/>
              <w:left w:val="single" w:sz="4" w:space="0" w:color="auto"/>
              <w:bottom w:val="single" w:sz="4" w:space="0" w:color="auto"/>
              <w:right w:val="single" w:sz="4" w:space="0" w:color="auto"/>
            </w:tcBorders>
            <w:vAlign w:val="center"/>
            <w:hideMark/>
          </w:tcPr>
          <w:p w14:paraId="4BD5308D" w14:textId="77777777" w:rsidR="005D372A" w:rsidRPr="001D6D10" w:rsidRDefault="005D372A" w:rsidP="008B4B2B">
            <w:pPr>
              <w:jc w:val="center"/>
              <w:rPr>
                <w:rFonts w:ascii="ＭＳ 明朝"/>
                <w:sz w:val="16"/>
                <w:szCs w:val="16"/>
              </w:rPr>
            </w:pPr>
            <w:r w:rsidRPr="001D6D10">
              <w:rPr>
                <w:rFonts w:ascii="ＭＳ 明朝" w:hint="eastAsia"/>
                <w:sz w:val="16"/>
                <w:szCs w:val="16"/>
              </w:rPr>
              <w:t>○</w:t>
            </w:r>
          </w:p>
        </w:tc>
        <w:tc>
          <w:tcPr>
            <w:tcW w:w="253" w:type="pct"/>
            <w:tcBorders>
              <w:top w:val="single" w:sz="4" w:space="0" w:color="auto"/>
              <w:left w:val="single" w:sz="4" w:space="0" w:color="auto"/>
              <w:bottom w:val="single" w:sz="4" w:space="0" w:color="auto"/>
              <w:right w:val="single" w:sz="4" w:space="0" w:color="auto"/>
            </w:tcBorders>
            <w:vAlign w:val="center"/>
            <w:hideMark/>
          </w:tcPr>
          <w:p w14:paraId="4CB46990" w14:textId="77777777" w:rsidR="005D372A" w:rsidRPr="001D6D10" w:rsidRDefault="005D372A" w:rsidP="008B4B2B">
            <w:pPr>
              <w:jc w:val="center"/>
              <w:rPr>
                <w:rFonts w:ascii="ＭＳ 明朝"/>
                <w:sz w:val="16"/>
                <w:szCs w:val="16"/>
              </w:rPr>
            </w:pPr>
            <w:r w:rsidRPr="001D6D10">
              <w:rPr>
                <w:rFonts w:ascii="ＭＳ 明朝" w:hint="eastAsia"/>
                <w:sz w:val="16"/>
                <w:szCs w:val="16"/>
              </w:rPr>
              <w:t>○</w:t>
            </w:r>
          </w:p>
        </w:tc>
        <w:tc>
          <w:tcPr>
            <w:tcW w:w="253" w:type="pct"/>
            <w:tcBorders>
              <w:top w:val="single" w:sz="4" w:space="0" w:color="auto"/>
              <w:left w:val="single" w:sz="4" w:space="0" w:color="auto"/>
              <w:bottom w:val="single" w:sz="4" w:space="0" w:color="auto"/>
              <w:right w:val="single" w:sz="4" w:space="0" w:color="auto"/>
            </w:tcBorders>
            <w:vAlign w:val="center"/>
            <w:hideMark/>
          </w:tcPr>
          <w:p w14:paraId="40429912" w14:textId="77777777" w:rsidR="005D372A" w:rsidRPr="001D6D10" w:rsidRDefault="005D372A" w:rsidP="008B4B2B">
            <w:pPr>
              <w:jc w:val="center"/>
              <w:rPr>
                <w:rFonts w:ascii="ＭＳ 明朝"/>
                <w:sz w:val="16"/>
                <w:szCs w:val="16"/>
              </w:rPr>
            </w:pPr>
            <w:r w:rsidRPr="001D6D10">
              <w:rPr>
                <w:rFonts w:ascii="ＭＳ 明朝" w:hint="eastAsia"/>
                <w:sz w:val="16"/>
                <w:szCs w:val="16"/>
              </w:rPr>
              <w:t>○</w:t>
            </w:r>
          </w:p>
        </w:tc>
        <w:tc>
          <w:tcPr>
            <w:tcW w:w="253" w:type="pct"/>
            <w:tcBorders>
              <w:top w:val="single" w:sz="4" w:space="0" w:color="auto"/>
              <w:left w:val="single" w:sz="4" w:space="0" w:color="auto"/>
              <w:bottom w:val="single" w:sz="4" w:space="0" w:color="auto"/>
              <w:right w:val="single" w:sz="4" w:space="0" w:color="auto"/>
            </w:tcBorders>
            <w:vAlign w:val="center"/>
            <w:hideMark/>
          </w:tcPr>
          <w:p w14:paraId="55F7269F" w14:textId="77777777" w:rsidR="005D372A" w:rsidRPr="001D6D10" w:rsidRDefault="005D372A" w:rsidP="008B4B2B">
            <w:pPr>
              <w:jc w:val="center"/>
              <w:rPr>
                <w:rFonts w:ascii="ＭＳ 明朝"/>
                <w:sz w:val="16"/>
                <w:szCs w:val="16"/>
              </w:rPr>
            </w:pPr>
            <w:r w:rsidRPr="001D6D10">
              <w:rPr>
                <w:rFonts w:ascii="ＭＳ 明朝" w:hint="eastAsia"/>
                <w:sz w:val="16"/>
                <w:szCs w:val="16"/>
              </w:rPr>
              <w:t>○</w:t>
            </w:r>
          </w:p>
        </w:tc>
        <w:tc>
          <w:tcPr>
            <w:tcW w:w="253" w:type="pct"/>
            <w:tcBorders>
              <w:top w:val="single" w:sz="4" w:space="0" w:color="auto"/>
              <w:left w:val="single" w:sz="4" w:space="0" w:color="auto"/>
              <w:bottom w:val="single" w:sz="4" w:space="0" w:color="auto"/>
              <w:right w:val="single" w:sz="4" w:space="0" w:color="auto"/>
            </w:tcBorders>
            <w:vAlign w:val="center"/>
            <w:hideMark/>
          </w:tcPr>
          <w:p w14:paraId="05918EDC" w14:textId="77777777" w:rsidR="005D372A" w:rsidRPr="001D6D10" w:rsidRDefault="005D372A" w:rsidP="008B4B2B">
            <w:pPr>
              <w:jc w:val="center"/>
              <w:rPr>
                <w:rFonts w:ascii="ＭＳ 明朝"/>
                <w:sz w:val="16"/>
                <w:szCs w:val="16"/>
              </w:rPr>
            </w:pPr>
            <w:r w:rsidRPr="001D6D10">
              <w:rPr>
                <w:rFonts w:ascii="ＭＳ 明朝" w:hint="eastAsia"/>
                <w:sz w:val="16"/>
                <w:szCs w:val="16"/>
              </w:rPr>
              <w:t>○</w:t>
            </w:r>
          </w:p>
        </w:tc>
        <w:tc>
          <w:tcPr>
            <w:tcW w:w="253" w:type="pct"/>
            <w:tcBorders>
              <w:top w:val="single" w:sz="4" w:space="0" w:color="auto"/>
              <w:left w:val="single" w:sz="4" w:space="0" w:color="auto"/>
              <w:bottom w:val="single" w:sz="4" w:space="0" w:color="auto"/>
              <w:right w:val="single" w:sz="4" w:space="0" w:color="auto"/>
            </w:tcBorders>
            <w:vAlign w:val="center"/>
            <w:hideMark/>
          </w:tcPr>
          <w:p w14:paraId="3C225362" w14:textId="77777777" w:rsidR="005D372A" w:rsidRPr="001D6D10" w:rsidRDefault="005D372A" w:rsidP="008B4B2B">
            <w:pPr>
              <w:jc w:val="center"/>
              <w:rPr>
                <w:rFonts w:ascii="ＭＳ 明朝"/>
                <w:sz w:val="16"/>
                <w:szCs w:val="16"/>
              </w:rPr>
            </w:pPr>
            <w:r w:rsidRPr="001D6D10">
              <w:rPr>
                <w:rFonts w:ascii="ＭＳ 明朝" w:hint="eastAsia"/>
                <w:sz w:val="16"/>
                <w:szCs w:val="16"/>
              </w:rPr>
              <w:t>○</w:t>
            </w:r>
          </w:p>
        </w:tc>
        <w:tc>
          <w:tcPr>
            <w:tcW w:w="255" w:type="pct"/>
            <w:tcBorders>
              <w:top w:val="single" w:sz="4" w:space="0" w:color="auto"/>
              <w:left w:val="single" w:sz="4" w:space="0" w:color="auto"/>
              <w:bottom w:val="single" w:sz="4" w:space="0" w:color="auto"/>
              <w:right w:val="single" w:sz="4" w:space="0" w:color="auto"/>
            </w:tcBorders>
            <w:vAlign w:val="center"/>
          </w:tcPr>
          <w:p w14:paraId="0BE598B1" w14:textId="77777777" w:rsidR="005D372A" w:rsidRPr="001D6D10" w:rsidRDefault="005D372A" w:rsidP="008B4B2B">
            <w:pPr>
              <w:jc w:val="center"/>
              <w:rPr>
                <w:rFonts w:ascii="ＭＳ 明朝"/>
                <w:sz w:val="16"/>
                <w:szCs w:val="16"/>
              </w:rPr>
            </w:pPr>
          </w:p>
        </w:tc>
        <w:tc>
          <w:tcPr>
            <w:tcW w:w="253" w:type="pct"/>
            <w:tcBorders>
              <w:top w:val="single" w:sz="4" w:space="0" w:color="auto"/>
              <w:left w:val="single" w:sz="4" w:space="0" w:color="auto"/>
              <w:bottom w:val="single" w:sz="4" w:space="0" w:color="auto"/>
              <w:right w:val="single" w:sz="4" w:space="0" w:color="auto"/>
            </w:tcBorders>
            <w:shd w:val="clear" w:color="auto" w:fill="FFFFFF"/>
            <w:vAlign w:val="center"/>
          </w:tcPr>
          <w:p w14:paraId="021F79B9" w14:textId="77777777" w:rsidR="005D372A" w:rsidRPr="001D6D10" w:rsidRDefault="005D372A" w:rsidP="008B4B2B">
            <w:pPr>
              <w:jc w:val="center"/>
              <w:rPr>
                <w:rFonts w:ascii="ＭＳ 明朝"/>
                <w:sz w:val="16"/>
                <w:szCs w:val="16"/>
              </w:rPr>
            </w:pPr>
            <w:r w:rsidRPr="001D6D10">
              <w:rPr>
                <w:rFonts w:ascii="ＭＳ 明朝" w:hint="eastAsia"/>
                <w:sz w:val="16"/>
                <w:szCs w:val="16"/>
              </w:rPr>
              <w:t>○</w:t>
            </w:r>
          </w:p>
        </w:tc>
        <w:tc>
          <w:tcPr>
            <w:tcW w:w="244" w:type="pct"/>
            <w:tcBorders>
              <w:top w:val="single" w:sz="4" w:space="0" w:color="auto"/>
              <w:left w:val="single" w:sz="4" w:space="0" w:color="auto"/>
              <w:bottom w:val="single" w:sz="4" w:space="0" w:color="auto"/>
              <w:right w:val="single" w:sz="4" w:space="0" w:color="auto"/>
            </w:tcBorders>
            <w:shd w:val="clear" w:color="auto" w:fill="FFFFFF"/>
            <w:vAlign w:val="center"/>
          </w:tcPr>
          <w:p w14:paraId="0C8D6342" w14:textId="77777777" w:rsidR="005D372A" w:rsidRPr="001D6D10" w:rsidRDefault="005D372A" w:rsidP="008B4B2B">
            <w:pPr>
              <w:jc w:val="center"/>
              <w:rPr>
                <w:rFonts w:ascii="ＭＳ 明朝"/>
                <w:sz w:val="16"/>
                <w:szCs w:val="16"/>
              </w:rPr>
            </w:pPr>
            <w:r w:rsidRPr="001D6D10">
              <w:rPr>
                <w:rFonts w:ascii="ＭＳ 明朝" w:hint="eastAsia"/>
                <w:sz w:val="16"/>
                <w:szCs w:val="16"/>
              </w:rPr>
              <w:t>○</w:t>
            </w:r>
          </w:p>
        </w:tc>
      </w:tr>
      <w:tr w:rsidR="001D6D10" w:rsidRPr="001D6D10" w14:paraId="2DE0A5E3" w14:textId="77777777" w:rsidTr="001F5915">
        <w:trPr>
          <w:trHeight w:val="457"/>
        </w:trPr>
        <w:tc>
          <w:tcPr>
            <w:tcW w:w="188" w:type="pct"/>
            <w:tcBorders>
              <w:top w:val="single" w:sz="4" w:space="0" w:color="auto"/>
              <w:left w:val="single" w:sz="4" w:space="0" w:color="auto"/>
              <w:bottom w:val="single" w:sz="4" w:space="0" w:color="auto"/>
              <w:right w:val="single" w:sz="4" w:space="0" w:color="auto"/>
            </w:tcBorders>
            <w:vAlign w:val="center"/>
          </w:tcPr>
          <w:p w14:paraId="6A4C38F9" w14:textId="77777777" w:rsidR="005D372A" w:rsidRPr="001D6D10" w:rsidRDefault="005D372A" w:rsidP="008B4B2B">
            <w:pPr>
              <w:jc w:val="center"/>
              <w:rPr>
                <w:rFonts w:ascii="ＭＳ 明朝"/>
                <w:sz w:val="14"/>
                <w:szCs w:val="16"/>
              </w:rPr>
            </w:pPr>
            <w:r w:rsidRPr="001D6D10">
              <w:rPr>
                <w:rFonts w:ascii="ＭＳ 明朝"/>
                <w:sz w:val="14"/>
                <w:szCs w:val="16"/>
              </w:rPr>
              <w:t>14</w:t>
            </w:r>
          </w:p>
        </w:tc>
        <w:tc>
          <w:tcPr>
            <w:tcW w:w="391" w:type="pct"/>
            <w:vMerge/>
            <w:tcBorders>
              <w:left w:val="single" w:sz="4" w:space="0" w:color="auto"/>
              <w:right w:val="single" w:sz="4" w:space="0" w:color="auto"/>
            </w:tcBorders>
            <w:vAlign w:val="center"/>
          </w:tcPr>
          <w:p w14:paraId="09328C9A" w14:textId="77777777" w:rsidR="005D372A" w:rsidRPr="001D6D10" w:rsidRDefault="005D372A" w:rsidP="008B4B2B">
            <w:pPr>
              <w:jc w:val="center"/>
              <w:rPr>
                <w:rFonts w:ascii="ＭＳ 明朝"/>
                <w:sz w:val="16"/>
                <w:szCs w:val="16"/>
              </w:rPr>
            </w:pPr>
          </w:p>
        </w:tc>
        <w:tc>
          <w:tcPr>
            <w:tcW w:w="886" w:type="pct"/>
            <w:tcBorders>
              <w:top w:val="single" w:sz="4" w:space="0" w:color="auto"/>
              <w:left w:val="single" w:sz="4" w:space="0" w:color="auto"/>
              <w:bottom w:val="single" w:sz="4" w:space="0" w:color="auto"/>
              <w:right w:val="single" w:sz="4" w:space="0" w:color="auto"/>
            </w:tcBorders>
            <w:vAlign w:val="center"/>
            <w:hideMark/>
          </w:tcPr>
          <w:p w14:paraId="7348AD89" w14:textId="77777777" w:rsidR="005D372A" w:rsidRPr="001D6D10" w:rsidRDefault="005D372A" w:rsidP="008B4B2B">
            <w:pPr>
              <w:jc w:val="left"/>
              <w:rPr>
                <w:rFonts w:ascii="ＭＳ 明朝"/>
                <w:sz w:val="16"/>
                <w:szCs w:val="16"/>
              </w:rPr>
            </w:pPr>
            <w:r w:rsidRPr="001D6D10">
              <w:rPr>
                <w:rFonts w:ascii="ＭＳ 明朝" w:hint="eastAsia"/>
                <w:sz w:val="16"/>
                <w:szCs w:val="16"/>
              </w:rPr>
              <w:t>商工労働部長</w:t>
            </w:r>
          </w:p>
        </w:tc>
        <w:tc>
          <w:tcPr>
            <w:tcW w:w="251" w:type="pct"/>
            <w:tcBorders>
              <w:top w:val="single" w:sz="4" w:space="0" w:color="auto"/>
              <w:left w:val="single" w:sz="4" w:space="0" w:color="auto"/>
              <w:bottom w:val="single" w:sz="4" w:space="0" w:color="auto"/>
              <w:right w:val="single" w:sz="4" w:space="0" w:color="auto"/>
            </w:tcBorders>
            <w:vAlign w:val="center"/>
            <w:hideMark/>
          </w:tcPr>
          <w:p w14:paraId="46364672" w14:textId="77777777" w:rsidR="005D372A" w:rsidRPr="001D6D10" w:rsidRDefault="005D372A" w:rsidP="008B4B2B">
            <w:pPr>
              <w:jc w:val="center"/>
              <w:rPr>
                <w:rFonts w:ascii="ＭＳ 明朝"/>
                <w:sz w:val="16"/>
                <w:szCs w:val="16"/>
              </w:rPr>
            </w:pPr>
            <w:r w:rsidRPr="001D6D10">
              <w:rPr>
                <w:rFonts w:ascii="ＭＳ 明朝" w:hint="eastAsia"/>
                <w:sz w:val="16"/>
                <w:szCs w:val="16"/>
              </w:rPr>
              <w:t>○</w:t>
            </w:r>
          </w:p>
        </w:tc>
        <w:tc>
          <w:tcPr>
            <w:tcW w:w="253" w:type="pct"/>
            <w:tcBorders>
              <w:top w:val="single" w:sz="4" w:space="0" w:color="auto"/>
              <w:left w:val="single" w:sz="4" w:space="0" w:color="auto"/>
              <w:bottom w:val="single" w:sz="4" w:space="0" w:color="auto"/>
              <w:right w:val="single" w:sz="4" w:space="0" w:color="auto"/>
            </w:tcBorders>
            <w:vAlign w:val="center"/>
          </w:tcPr>
          <w:p w14:paraId="2B396FFD" w14:textId="77777777" w:rsidR="005D372A" w:rsidRPr="001D6D10" w:rsidRDefault="005D372A" w:rsidP="008B4B2B">
            <w:pPr>
              <w:jc w:val="center"/>
              <w:rPr>
                <w:rFonts w:ascii="ＭＳ 明朝"/>
                <w:sz w:val="16"/>
                <w:szCs w:val="16"/>
              </w:rPr>
            </w:pPr>
          </w:p>
        </w:tc>
        <w:tc>
          <w:tcPr>
            <w:tcW w:w="253" w:type="pct"/>
            <w:tcBorders>
              <w:top w:val="single" w:sz="4" w:space="0" w:color="auto"/>
              <w:left w:val="single" w:sz="4" w:space="0" w:color="auto"/>
              <w:bottom w:val="single" w:sz="4" w:space="0" w:color="auto"/>
              <w:right w:val="single" w:sz="4" w:space="0" w:color="auto"/>
            </w:tcBorders>
            <w:vAlign w:val="center"/>
          </w:tcPr>
          <w:p w14:paraId="5589F7F4" w14:textId="77777777" w:rsidR="005D372A" w:rsidRPr="001D6D10" w:rsidRDefault="005D372A" w:rsidP="008B4B2B">
            <w:pPr>
              <w:jc w:val="center"/>
              <w:rPr>
                <w:rFonts w:ascii="ＭＳ 明朝"/>
                <w:sz w:val="16"/>
                <w:szCs w:val="16"/>
              </w:rPr>
            </w:pPr>
          </w:p>
        </w:tc>
        <w:tc>
          <w:tcPr>
            <w:tcW w:w="253" w:type="pct"/>
            <w:tcBorders>
              <w:top w:val="single" w:sz="4" w:space="0" w:color="auto"/>
              <w:left w:val="single" w:sz="4" w:space="0" w:color="auto"/>
              <w:bottom w:val="single" w:sz="4" w:space="0" w:color="auto"/>
              <w:right w:val="single" w:sz="4" w:space="0" w:color="auto"/>
            </w:tcBorders>
            <w:vAlign w:val="center"/>
          </w:tcPr>
          <w:p w14:paraId="28FA2A94" w14:textId="77777777" w:rsidR="005D372A" w:rsidRPr="001D6D10" w:rsidRDefault="005D372A" w:rsidP="008B4B2B">
            <w:pPr>
              <w:jc w:val="center"/>
              <w:rPr>
                <w:rFonts w:ascii="ＭＳ 明朝"/>
                <w:sz w:val="16"/>
                <w:szCs w:val="16"/>
              </w:rPr>
            </w:pPr>
            <w:r w:rsidRPr="001D6D10">
              <w:rPr>
                <w:rFonts w:ascii="ＭＳ 明朝" w:hint="eastAsia"/>
                <w:sz w:val="16"/>
                <w:szCs w:val="16"/>
              </w:rPr>
              <w:t>○</w:t>
            </w:r>
          </w:p>
        </w:tc>
        <w:tc>
          <w:tcPr>
            <w:tcW w:w="244" w:type="pct"/>
            <w:tcBorders>
              <w:top w:val="single" w:sz="4" w:space="0" w:color="auto"/>
              <w:left w:val="single" w:sz="4" w:space="0" w:color="auto"/>
              <w:bottom w:val="single" w:sz="4" w:space="0" w:color="auto"/>
              <w:right w:val="single" w:sz="4" w:space="0" w:color="auto"/>
            </w:tcBorders>
            <w:shd w:val="clear" w:color="auto" w:fill="FFFFFF"/>
            <w:vAlign w:val="center"/>
          </w:tcPr>
          <w:p w14:paraId="20402890" w14:textId="77777777" w:rsidR="005D372A" w:rsidRPr="001D6D10" w:rsidRDefault="005D372A" w:rsidP="008B4B2B">
            <w:pPr>
              <w:jc w:val="center"/>
              <w:rPr>
                <w:rFonts w:ascii="ＭＳ 明朝"/>
                <w:sz w:val="16"/>
                <w:szCs w:val="16"/>
              </w:rPr>
            </w:pPr>
          </w:p>
        </w:tc>
        <w:tc>
          <w:tcPr>
            <w:tcW w:w="262" w:type="pct"/>
            <w:tcBorders>
              <w:top w:val="single" w:sz="4" w:space="0" w:color="auto"/>
              <w:left w:val="single" w:sz="4" w:space="0" w:color="auto"/>
              <w:bottom w:val="single" w:sz="4" w:space="0" w:color="auto"/>
              <w:right w:val="single" w:sz="4" w:space="0" w:color="auto"/>
            </w:tcBorders>
            <w:vAlign w:val="center"/>
          </w:tcPr>
          <w:p w14:paraId="5860EA03" w14:textId="77777777" w:rsidR="005D372A" w:rsidRPr="001D6D10" w:rsidRDefault="005D372A" w:rsidP="008B4B2B">
            <w:pPr>
              <w:jc w:val="center"/>
              <w:rPr>
                <w:rFonts w:ascii="ＭＳ 明朝"/>
                <w:sz w:val="16"/>
                <w:szCs w:val="16"/>
              </w:rPr>
            </w:pPr>
          </w:p>
        </w:tc>
        <w:tc>
          <w:tcPr>
            <w:tcW w:w="253" w:type="pct"/>
            <w:tcBorders>
              <w:top w:val="single" w:sz="4" w:space="0" w:color="auto"/>
              <w:left w:val="single" w:sz="4" w:space="0" w:color="auto"/>
              <w:bottom w:val="single" w:sz="4" w:space="0" w:color="auto"/>
              <w:right w:val="single" w:sz="4" w:space="0" w:color="auto"/>
            </w:tcBorders>
            <w:vAlign w:val="center"/>
          </w:tcPr>
          <w:p w14:paraId="18FE5CCB" w14:textId="77777777" w:rsidR="005D372A" w:rsidRPr="001D6D10" w:rsidRDefault="005D372A" w:rsidP="008B4B2B">
            <w:pPr>
              <w:jc w:val="center"/>
              <w:rPr>
                <w:rFonts w:ascii="ＭＳ 明朝"/>
                <w:sz w:val="16"/>
                <w:szCs w:val="16"/>
              </w:rPr>
            </w:pPr>
          </w:p>
        </w:tc>
        <w:tc>
          <w:tcPr>
            <w:tcW w:w="253" w:type="pct"/>
            <w:tcBorders>
              <w:top w:val="single" w:sz="4" w:space="0" w:color="auto"/>
              <w:left w:val="single" w:sz="4" w:space="0" w:color="auto"/>
              <w:bottom w:val="single" w:sz="4" w:space="0" w:color="auto"/>
              <w:right w:val="single" w:sz="4" w:space="0" w:color="auto"/>
            </w:tcBorders>
            <w:vAlign w:val="center"/>
          </w:tcPr>
          <w:p w14:paraId="713A9A34" w14:textId="77777777" w:rsidR="005D372A" w:rsidRPr="001D6D10" w:rsidRDefault="005D372A" w:rsidP="008B4B2B">
            <w:pPr>
              <w:jc w:val="center"/>
              <w:rPr>
                <w:rFonts w:ascii="ＭＳ 明朝"/>
                <w:sz w:val="16"/>
                <w:szCs w:val="16"/>
              </w:rPr>
            </w:pPr>
          </w:p>
        </w:tc>
        <w:tc>
          <w:tcPr>
            <w:tcW w:w="253" w:type="pct"/>
            <w:tcBorders>
              <w:top w:val="single" w:sz="4" w:space="0" w:color="auto"/>
              <w:left w:val="single" w:sz="4" w:space="0" w:color="auto"/>
              <w:bottom w:val="single" w:sz="4" w:space="0" w:color="auto"/>
              <w:right w:val="single" w:sz="4" w:space="0" w:color="auto"/>
            </w:tcBorders>
            <w:vAlign w:val="center"/>
          </w:tcPr>
          <w:p w14:paraId="703AC183" w14:textId="77777777" w:rsidR="005D372A" w:rsidRPr="001D6D10" w:rsidRDefault="005D372A" w:rsidP="008B4B2B">
            <w:pPr>
              <w:jc w:val="center"/>
              <w:rPr>
                <w:rFonts w:ascii="ＭＳ 明朝"/>
                <w:sz w:val="16"/>
                <w:szCs w:val="16"/>
              </w:rPr>
            </w:pPr>
          </w:p>
        </w:tc>
        <w:tc>
          <w:tcPr>
            <w:tcW w:w="253" w:type="pct"/>
            <w:tcBorders>
              <w:top w:val="single" w:sz="4" w:space="0" w:color="auto"/>
              <w:left w:val="single" w:sz="4" w:space="0" w:color="auto"/>
              <w:bottom w:val="single" w:sz="4" w:space="0" w:color="auto"/>
              <w:right w:val="single" w:sz="4" w:space="0" w:color="auto"/>
            </w:tcBorders>
            <w:vAlign w:val="center"/>
          </w:tcPr>
          <w:p w14:paraId="191EABEA" w14:textId="77777777" w:rsidR="005D372A" w:rsidRPr="001D6D10" w:rsidRDefault="005D372A" w:rsidP="008B4B2B">
            <w:pPr>
              <w:jc w:val="center"/>
              <w:rPr>
                <w:rFonts w:ascii="ＭＳ 明朝"/>
                <w:sz w:val="16"/>
                <w:szCs w:val="16"/>
              </w:rPr>
            </w:pPr>
          </w:p>
        </w:tc>
        <w:tc>
          <w:tcPr>
            <w:tcW w:w="253" w:type="pct"/>
            <w:tcBorders>
              <w:top w:val="single" w:sz="4" w:space="0" w:color="auto"/>
              <w:left w:val="single" w:sz="4" w:space="0" w:color="auto"/>
              <w:bottom w:val="single" w:sz="4" w:space="0" w:color="auto"/>
              <w:right w:val="single" w:sz="4" w:space="0" w:color="auto"/>
            </w:tcBorders>
            <w:vAlign w:val="center"/>
          </w:tcPr>
          <w:p w14:paraId="48B5E415" w14:textId="77777777" w:rsidR="005D372A" w:rsidRPr="001D6D10" w:rsidRDefault="005D372A" w:rsidP="008B4B2B">
            <w:pPr>
              <w:jc w:val="center"/>
              <w:rPr>
                <w:rFonts w:ascii="ＭＳ 明朝"/>
                <w:sz w:val="16"/>
                <w:szCs w:val="16"/>
              </w:rPr>
            </w:pPr>
          </w:p>
        </w:tc>
        <w:tc>
          <w:tcPr>
            <w:tcW w:w="255" w:type="pct"/>
            <w:tcBorders>
              <w:top w:val="single" w:sz="4" w:space="0" w:color="auto"/>
              <w:left w:val="single" w:sz="4" w:space="0" w:color="auto"/>
              <w:bottom w:val="single" w:sz="4" w:space="0" w:color="auto"/>
              <w:right w:val="single" w:sz="4" w:space="0" w:color="auto"/>
            </w:tcBorders>
            <w:vAlign w:val="center"/>
          </w:tcPr>
          <w:p w14:paraId="04FBDCB0" w14:textId="77777777" w:rsidR="005D372A" w:rsidRPr="001D6D10" w:rsidRDefault="005D372A" w:rsidP="008B4B2B">
            <w:pPr>
              <w:jc w:val="center"/>
              <w:rPr>
                <w:rFonts w:ascii="ＭＳ 明朝"/>
                <w:sz w:val="16"/>
                <w:szCs w:val="16"/>
              </w:rPr>
            </w:pPr>
          </w:p>
        </w:tc>
        <w:tc>
          <w:tcPr>
            <w:tcW w:w="253" w:type="pct"/>
            <w:tcBorders>
              <w:top w:val="single" w:sz="4" w:space="0" w:color="auto"/>
              <w:left w:val="single" w:sz="4" w:space="0" w:color="auto"/>
              <w:bottom w:val="single" w:sz="4" w:space="0" w:color="auto"/>
              <w:right w:val="single" w:sz="4" w:space="0" w:color="auto"/>
            </w:tcBorders>
            <w:shd w:val="clear" w:color="auto" w:fill="FFFFFF"/>
            <w:vAlign w:val="center"/>
          </w:tcPr>
          <w:p w14:paraId="4D4E045C" w14:textId="77777777" w:rsidR="005D372A" w:rsidRPr="001D6D10" w:rsidRDefault="005D372A" w:rsidP="008B4B2B">
            <w:pPr>
              <w:jc w:val="center"/>
              <w:rPr>
                <w:rFonts w:ascii="ＭＳ 明朝"/>
                <w:sz w:val="16"/>
                <w:szCs w:val="16"/>
              </w:rPr>
            </w:pPr>
            <w:r w:rsidRPr="001D6D10">
              <w:rPr>
                <w:rFonts w:ascii="ＭＳ 明朝" w:hint="eastAsia"/>
                <w:sz w:val="16"/>
                <w:szCs w:val="16"/>
              </w:rPr>
              <w:t>○</w:t>
            </w:r>
          </w:p>
        </w:tc>
        <w:tc>
          <w:tcPr>
            <w:tcW w:w="244" w:type="pct"/>
            <w:tcBorders>
              <w:top w:val="single" w:sz="4" w:space="0" w:color="auto"/>
              <w:left w:val="single" w:sz="4" w:space="0" w:color="auto"/>
              <w:bottom w:val="single" w:sz="4" w:space="0" w:color="auto"/>
              <w:right w:val="single" w:sz="4" w:space="0" w:color="auto"/>
            </w:tcBorders>
            <w:shd w:val="clear" w:color="auto" w:fill="FFFFFF"/>
          </w:tcPr>
          <w:p w14:paraId="450A0EA5" w14:textId="77777777" w:rsidR="005D372A" w:rsidRPr="001D6D10" w:rsidRDefault="005D372A" w:rsidP="008B4B2B">
            <w:pPr>
              <w:jc w:val="center"/>
              <w:rPr>
                <w:rFonts w:ascii="ＭＳ 明朝"/>
                <w:sz w:val="16"/>
                <w:szCs w:val="16"/>
              </w:rPr>
            </w:pPr>
          </w:p>
        </w:tc>
      </w:tr>
      <w:tr w:rsidR="001D6D10" w:rsidRPr="001D6D10" w14:paraId="2B7EF59F" w14:textId="77777777" w:rsidTr="001F5915">
        <w:trPr>
          <w:trHeight w:val="457"/>
        </w:trPr>
        <w:tc>
          <w:tcPr>
            <w:tcW w:w="188" w:type="pct"/>
            <w:tcBorders>
              <w:top w:val="single" w:sz="4" w:space="0" w:color="auto"/>
              <w:left w:val="single" w:sz="4" w:space="0" w:color="auto"/>
              <w:bottom w:val="single" w:sz="4" w:space="0" w:color="auto"/>
              <w:right w:val="single" w:sz="4" w:space="0" w:color="auto"/>
            </w:tcBorders>
            <w:vAlign w:val="center"/>
          </w:tcPr>
          <w:p w14:paraId="1E48B60E" w14:textId="77777777" w:rsidR="005D372A" w:rsidRPr="001D6D10" w:rsidRDefault="005D372A" w:rsidP="008B4B2B">
            <w:pPr>
              <w:jc w:val="center"/>
              <w:rPr>
                <w:rFonts w:ascii="ＭＳ 明朝"/>
                <w:sz w:val="14"/>
                <w:szCs w:val="16"/>
              </w:rPr>
            </w:pPr>
            <w:r w:rsidRPr="001D6D10">
              <w:rPr>
                <w:rFonts w:ascii="ＭＳ 明朝"/>
                <w:sz w:val="14"/>
                <w:szCs w:val="16"/>
              </w:rPr>
              <w:t>15</w:t>
            </w:r>
          </w:p>
        </w:tc>
        <w:tc>
          <w:tcPr>
            <w:tcW w:w="391" w:type="pct"/>
            <w:vMerge/>
            <w:tcBorders>
              <w:left w:val="single" w:sz="4" w:space="0" w:color="auto"/>
              <w:right w:val="single" w:sz="4" w:space="0" w:color="auto"/>
            </w:tcBorders>
            <w:vAlign w:val="center"/>
          </w:tcPr>
          <w:p w14:paraId="667D0097" w14:textId="77777777" w:rsidR="005D372A" w:rsidRPr="001D6D10" w:rsidRDefault="005D372A" w:rsidP="008B4B2B">
            <w:pPr>
              <w:jc w:val="center"/>
              <w:rPr>
                <w:rFonts w:ascii="ＭＳ 明朝"/>
                <w:sz w:val="16"/>
                <w:szCs w:val="16"/>
              </w:rPr>
            </w:pPr>
          </w:p>
        </w:tc>
        <w:tc>
          <w:tcPr>
            <w:tcW w:w="886" w:type="pct"/>
            <w:tcBorders>
              <w:top w:val="single" w:sz="4" w:space="0" w:color="auto"/>
              <w:left w:val="single" w:sz="4" w:space="0" w:color="auto"/>
              <w:bottom w:val="single" w:sz="4" w:space="0" w:color="auto"/>
              <w:right w:val="single" w:sz="4" w:space="0" w:color="auto"/>
            </w:tcBorders>
            <w:vAlign w:val="center"/>
            <w:hideMark/>
          </w:tcPr>
          <w:p w14:paraId="648C81F6" w14:textId="77777777" w:rsidR="005D372A" w:rsidRPr="001D6D10" w:rsidRDefault="005D372A" w:rsidP="008B4B2B">
            <w:pPr>
              <w:jc w:val="left"/>
              <w:rPr>
                <w:rFonts w:ascii="ＭＳ 明朝"/>
                <w:sz w:val="16"/>
                <w:szCs w:val="16"/>
              </w:rPr>
            </w:pPr>
            <w:r w:rsidRPr="001D6D10">
              <w:rPr>
                <w:rFonts w:ascii="ＭＳ 明朝" w:hint="eastAsia"/>
                <w:sz w:val="16"/>
                <w:szCs w:val="16"/>
              </w:rPr>
              <w:t>環境農林水産部長</w:t>
            </w:r>
          </w:p>
        </w:tc>
        <w:tc>
          <w:tcPr>
            <w:tcW w:w="251" w:type="pct"/>
            <w:tcBorders>
              <w:top w:val="single" w:sz="4" w:space="0" w:color="auto"/>
              <w:left w:val="single" w:sz="4" w:space="0" w:color="auto"/>
              <w:bottom w:val="single" w:sz="4" w:space="0" w:color="auto"/>
              <w:right w:val="single" w:sz="4" w:space="0" w:color="auto"/>
            </w:tcBorders>
            <w:vAlign w:val="center"/>
            <w:hideMark/>
          </w:tcPr>
          <w:p w14:paraId="7D62A3CA" w14:textId="77777777" w:rsidR="005D372A" w:rsidRPr="001D6D10" w:rsidRDefault="005D372A" w:rsidP="008B4B2B">
            <w:pPr>
              <w:jc w:val="center"/>
              <w:rPr>
                <w:rFonts w:ascii="ＭＳ 明朝"/>
                <w:sz w:val="16"/>
                <w:szCs w:val="16"/>
              </w:rPr>
            </w:pPr>
            <w:r w:rsidRPr="001D6D10">
              <w:rPr>
                <w:rFonts w:ascii="ＭＳ 明朝" w:hint="eastAsia"/>
                <w:sz w:val="16"/>
                <w:szCs w:val="16"/>
              </w:rPr>
              <w:t>○</w:t>
            </w:r>
          </w:p>
        </w:tc>
        <w:tc>
          <w:tcPr>
            <w:tcW w:w="253" w:type="pct"/>
            <w:tcBorders>
              <w:top w:val="single" w:sz="4" w:space="0" w:color="auto"/>
              <w:left w:val="single" w:sz="4" w:space="0" w:color="auto"/>
              <w:bottom w:val="single" w:sz="4" w:space="0" w:color="auto"/>
              <w:right w:val="single" w:sz="4" w:space="0" w:color="auto"/>
            </w:tcBorders>
            <w:vAlign w:val="center"/>
            <w:hideMark/>
          </w:tcPr>
          <w:p w14:paraId="4C326C07" w14:textId="77777777" w:rsidR="005D372A" w:rsidRPr="001D6D10" w:rsidRDefault="005D372A" w:rsidP="008B4B2B">
            <w:pPr>
              <w:jc w:val="center"/>
              <w:rPr>
                <w:rFonts w:ascii="ＭＳ 明朝"/>
                <w:sz w:val="16"/>
                <w:szCs w:val="16"/>
              </w:rPr>
            </w:pPr>
            <w:r w:rsidRPr="001D6D10">
              <w:rPr>
                <w:rFonts w:ascii="ＭＳ 明朝" w:hint="eastAsia"/>
                <w:sz w:val="16"/>
                <w:szCs w:val="16"/>
              </w:rPr>
              <w:t>○</w:t>
            </w:r>
          </w:p>
        </w:tc>
        <w:tc>
          <w:tcPr>
            <w:tcW w:w="253" w:type="pct"/>
            <w:tcBorders>
              <w:top w:val="single" w:sz="4" w:space="0" w:color="auto"/>
              <w:left w:val="single" w:sz="4" w:space="0" w:color="auto"/>
              <w:bottom w:val="single" w:sz="4" w:space="0" w:color="auto"/>
              <w:right w:val="single" w:sz="4" w:space="0" w:color="auto"/>
            </w:tcBorders>
            <w:vAlign w:val="center"/>
            <w:hideMark/>
          </w:tcPr>
          <w:p w14:paraId="456714E5" w14:textId="77777777" w:rsidR="005D372A" w:rsidRPr="001D6D10" w:rsidRDefault="005D372A" w:rsidP="008B4B2B">
            <w:pPr>
              <w:jc w:val="center"/>
              <w:rPr>
                <w:rFonts w:ascii="ＭＳ 明朝"/>
                <w:sz w:val="16"/>
                <w:szCs w:val="16"/>
              </w:rPr>
            </w:pPr>
            <w:r w:rsidRPr="001D6D10">
              <w:rPr>
                <w:rFonts w:ascii="ＭＳ 明朝" w:hint="eastAsia"/>
                <w:sz w:val="16"/>
                <w:szCs w:val="16"/>
              </w:rPr>
              <w:t>○</w:t>
            </w:r>
          </w:p>
        </w:tc>
        <w:tc>
          <w:tcPr>
            <w:tcW w:w="253" w:type="pct"/>
            <w:tcBorders>
              <w:top w:val="single" w:sz="4" w:space="0" w:color="auto"/>
              <w:left w:val="single" w:sz="4" w:space="0" w:color="auto"/>
              <w:bottom w:val="single" w:sz="4" w:space="0" w:color="auto"/>
              <w:right w:val="single" w:sz="4" w:space="0" w:color="auto"/>
            </w:tcBorders>
            <w:vAlign w:val="center"/>
          </w:tcPr>
          <w:p w14:paraId="1E99728E" w14:textId="77777777" w:rsidR="005D372A" w:rsidRPr="001D6D10" w:rsidRDefault="005D372A" w:rsidP="008B4B2B">
            <w:pPr>
              <w:jc w:val="center"/>
              <w:rPr>
                <w:rFonts w:ascii="ＭＳ 明朝"/>
                <w:sz w:val="16"/>
                <w:szCs w:val="16"/>
              </w:rPr>
            </w:pPr>
            <w:r w:rsidRPr="001D6D10">
              <w:rPr>
                <w:rFonts w:ascii="ＭＳ 明朝" w:hint="eastAsia"/>
                <w:sz w:val="16"/>
                <w:szCs w:val="16"/>
              </w:rPr>
              <w:t>○</w:t>
            </w:r>
          </w:p>
        </w:tc>
        <w:tc>
          <w:tcPr>
            <w:tcW w:w="244" w:type="pct"/>
            <w:tcBorders>
              <w:top w:val="single" w:sz="4" w:space="0" w:color="auto"/>
              <w:left w:val="single" w:sz="4" w:space="0" w:color="auto"/>
              <w:bottom w:val="single" w:sz="4" w:space="0" w:color="auto"/>
              <w:right w:val="single" w:sz="4" w:space="0" w:color="auto"/>
            </w:tcBorders>
            <w:shd w:val="clear" w:color="auto" w:fill="FFFFFF"/>
            <w:vAlign w:val="center"/>
          </w:tcPr>
          <w:p w14:paraId="7FCC717F" w14:textId="77777777" w:rsidR="005D372A" w:rsidRPr="001D6D10" w:rsidRDefault="005D372A" w:rsidP="008B4B2B">
            <w:pPr>
              <w:jc w:val="center"/>
              <w:rPr>
                <w:rFonts w:ascii="ＭＳ 明朝"/>
                <w:sz w:val="16"/>
                <w:szCs w:val="16"/>
              </w:rPr>
            </w:pPr>
          </w:p>
        </w:tc>
        <w:tc>
          <w:tcPr>
            <w:tcW w:w="262" w:type="pct"/>
            <w:tcBorders>
              <w:top w:val="single" w:sz="4" w:space="0" w:color="auto"/>
              <w:left w:val="single" w:sz="4" w:space="0" w:color="auto"/>
              <w:bottom w:val="single" w:sz="4" w:space="0" w:color="auto"/>
              <w:right w:val="single" w:sz="4" w:space="0" w:color="auto"/>
            </w:tcBorders>
            <w:vAlign w:val="center"/>
            <w:hideMark/>
          </w:tcPr>
          <w:p w14:paraId="612B1304" w14:textId="77777777" w:rsidR="005D372A" w:rsidRPr="001D6D10" w:rsidRDefault="005D372A" w:rsidP="008B4B2B">
            <w:pPr>
              <w:jc w:val="center"/>
              <w:rPr>
                <w:rFonts w:ascii="ＭＳ 明朝"/>
                <w:sz w:val="16"/>
                <w:szCs w:val="16"/>
              </w:rPr>
            </w:pPr>
            <w:r w:rsidRPr="001D6D10">
              <w:rPr>
                <w:rFonts w:ascii="ＭＳ 明朝" w:hint="eastAsia"/>
                <w:sz w:val="16"/>
                <w:szCs w:val="16"/>
              </w:rPr>
              <w:t>○</w:t>
            </w:r>
          </w:p>
        </w:tc>
        <w:tc>
          <w:tcPr>
            <w:tcW w:w="253" w:type="pct"/>
            <w:tcBorders>
              <w:top w:val="single" w:sz="4" w:space="0" w:color="auto"/>
              <w:left w:val="single" w:sz="4" w:space="0" w:color="auto"/>
              <w:bottom w:val="single" w:sz="4" w:space="0" w:color="auto"/>
              <w:right w:val="single" w:sz="4" w:space="0" w:color="auto"/>
            </w:tcBorders>
            <w:vAlign w:val="center"/>
          </w:tcPr>
          <w:p w14:paraId="4C856049" w14:textId="77777777" w:rsidR="005D372A" w:rsidRPr="001D6D10" w:rsidRDefault="005D372A" w:rsidP="008B4B2B">
            <w:pPr>
              <w:jc w:val="center"/>
              <w:rPr>
                <w:rFonts w:ascii="ＭＳ 明朝"/>
                <w:sz w:val="16"/>
                <w:szCs w:val="16"/>
              </w:rPr>
            </w:pPr>
          </w:p>
        </w:tc>
        <w:tc>
          <w:tcPr>
            <w:tcW w:w="253" w:type="pct"/>
            <w:tcBorders>
              <w:top w:val="single" w:sz="4" w:space="0" w:color="auto"/>
              <w:left w:val="single" w:sz="4" w:space="0" w:color="auto"/>
              <w:bottom w:val="single" w:sz="4" w:space="0" w:color="auto"/>
              <w:right w:val="single" w:sz="4" w:space="0" w:color="auto"/>
            </w:tcBorders>
            <w:vAlign w:val="center"/>
          </w:tcPr>
          <w:p w14:paraId="33CBB693" w14:textId="77777777" w:rsidR="005D372A" w:rsidRPr="001D6D10" w:rsidRDefault="005D372A" w:rsidP="008B4B2B">
            <w:pPr>
              <w:jc w:val="center"/>
              <w:rPr>
                <w:rFonts w:ascii="ＭＳ 明朝"/>
                <w:sz w:val="16"/>
                <w:szCs w:val="16"/>
              </w:rPr>
            </w:pPr>
          </w:p>
        </w:tc>
        <w:tc>
          <w:tcPr>
            <w:tcW w:w="253" w:type="pct"/>
            <w:tcBorders>
              <w:top w:val="single" w:sz="4" w:space="0" w:color="auto"/>
              <w:left w:val="single" w:sz="4" w:space="0" w:color="auto"/>
              <w:bottom w:val="single" w:sz="4" w:space="0" w:color="auto"/>
              <w:right w:val="single" w:sz="4" w:space="0" w:color="auto"/>
            </w:tcBorders>
            <w:vAlign w:val="center"/>
          </w:tcPr>
          <w:p w14:paraId="2927E804" w14:textId="77777777" w:rsidR="005D372A" w:rsidRPr="001D6D10" w:rsidRDefault="005D372A" w:rsidP="008B4B2B">
            <w:pPr>
              <w:jc w:val="center"/>
              <w:rPr>
                <w:rFonts w:ascii="ＭＳ 明朝"/>
                <w:sz w:val="16"/>
                <w:szCs w:val="16"/>
              </w:rPr>
            </w:pPr>
          </w:p>
        </w:tc>
        <w:tc>
          <w:tcPr>
            <w:tcW w:w="253" w:type="pct"/>
            <w:tcBorders>
              <w:top w:val="single" w:sz="4" w:space="0" w:color="auto"/>
              <w:left w:val="single" w:sz="4" w:space="0" w:color="auto"/>
              <w:bottom w:val="single" w:sz="4" w:space="0" w:color="auto"/>
              <w:right w:val="single" w:sz="4" w:space="0" w:color="auto"/>
            </w:tcBorders>
            <w:vAlign w:val="center"/>
          </w:tcPr>
          <w:p w14:paraId="7AFCA748" w14:textId="77777777" w:rsidR="005D372A" w:rsidRPr="001D6D10" w:rsidRDefault="005D372A" w:rsidP="008B4B2B">
            <w:pPr>
              <w:jc w:val="center"/>
              <w:rPr>
                <w:rFonts w:ascii="ＭＳ 明朝"/>
                <w:sz w:val="16"/>
                <w:szCs w:val="16"/>
              </w:rPr>
            </w:pPr>
          </w:p>
        </w:tc>
        <w:tc>
          <w:tcPr>
            <w:tcW w:w="253" w:type="pct"/>
            <w:tcBorders>
              <w:top w:val="single" w:sz="4" w:space="0" w:color="auto"/>
              <w:left w:val="single" w:sz="4" w:space="0" w:color="auto"/>
              <w:bottom w:val="single" w:sz="4" w:space="0" w:color="auto"/>
              <w:right w:val="single" w:sz="4" w:space="0" w:color="auto"/>
            </w:tcBorders>
            <w:vAlign w:val="center"/>
          </w:tcPr>
          <w:p w14:paraId="49AA8073" w14:textId="77777777" w:rsidR="005D372A" w:rsidRPr="001D6D10" w:rsidRDefault="005D372A" w:rsidP="008B4B2B">
            <w:pPr>
              <w:jc w:val="center"/>
              <w:rPr>
                <w:rFonts w:ascii="ＭＳ 明朝"/>
                <w:sz w:val="16"/>
                <w:szCs w:val="16"/>
              </w:rPr>
            </w:pPr>
          </w:p>
        </w:tc>
        <w:tc>
          <w:tcPr>
            <w:tcW w:w="255" w:type="pct"/>
            <w:tcBorders>
              <w:top w:val="single" w:sz="4" w:space="0" w:color="auto"/>
              <w:left w:val="single" w:sz="4" w:space="0" w:color="auto"/>
              <w:bottom w:val="single" w:sz="4" w:space="0" w:color="auto"/>
              <w:right w:val="single" w:sz="4" w:space="0" w:color="auto"/>
            </w:tcBorders>
            <w:vAlign w:val="center"/>
            <w:hideMark/>
          </w:tcPr>
          <w:p w14:paraId="2D0E8908" w14:textId="77777777" w:rsidR="005D372A" w:rsidRPr="001D6D10" w:rsidRDefault="005D372A" w:rsidP="008B4B2B">
            <w:pPr>
              <w:jc w:val="center"/>
              <w:rPr>
                <w:rFonts w:ascii="ＭＳ 明朝"/>
                <w:sz w:val="16"/>
                <w:szCs w:val="16"/>
              </w:rPr>
            </w:pPr>
            <w:r w:rsidRPr="001D6D10">
              <w:rPr>
                <w:rFonts w:ascii="ＭＳ 明朝" w:hint="eastAsia"/>
                <w:sz w:val="16"/>
                <w:szCs w:val="16"/>
              </w:rPr>
              <w:t>○</w:t>
            </w:r>
          </w:p>
        </w:tc>
        <w:tc>
          <w:tcPr>
            <w:tcW w:w="253" w:type="pct"/>
            <w:tcBorders>
              <w:top w:val="single" w:sz="4" w:space="0" w:color="auto"/>
              <w:left w:val="single" w:sz="4" w:space="0" w:color="auto"/>
              <w:bottom w:val="single" w:sz="4" w:space="0" w:color="auto"/>
              <w:right w:val="single" w:sz="4" w:space="0" w:color="auto"/>
            </w:tcBorders>
            <w:shd w:val="clear" w:color="auto" w:fill="FFFFFF"/>
            <w:vAlign w:val="center"/>
          </w:tcPr>
          <w:p w14:paraId="21ABB5CD" w14:textId="77777777" w:rsidR="005D372A" w:rsidRPr="001D6D10" w:rsidRDefault="005D372A" w:rsidP="008B4B2B">
            <w:pPr>
              <w:jc w:val="center"/>
              <w:rPr>
                <w:rFonts w:ascii="ＭＳ 明朝"/>
                <w:sz w:val="16"/>
                <w:szCs w:val="16"/>
              </w:rPr>
            </w:pPr>
            <w:r w:rsidRPr="001D6D10">
              <w:rPr>
                <w:rFonts w:ascii="ＭＳ 明朝" w:hint="eastAsia"/>
                <w:sz w:val="16"/>
                <w:szCs w:val="16"/>
              </w:rPr>
              <w:t>○</w:t>
            </w:r>
          </w:p>
        </w:tc>
        <w:tc>
          <w:tcPr>
            <w:tcW w:w="244" w:type="pct"/>
            <w:tcBorders>
              <w:top w:val="single" w:sz="4" w:space="0" w:color="auto"/>
              <w:left w:val="single" w:sz="4" w:space="0" w:color="auto"/>
              <w:bottom w:val="single" w:sz="4" w:space="0" w:color="auto"/>
              <w:right w:val="single" w:sz="4" w:space="0" w:color="auto"/>
            </w:tcBorders>
            <w:shd w:val="clear" w:color="auto" w:fill="FFFFFF"/>
          </w:tcPr>
          <w:p w14:paraId="536A2E4C" w14:textId="77777777" w:rsidR="005D372A" w:rsidRPr="001D6D10" w:rsidRDefault="005D372A" w:rsidP="008B4B2B">
            <w:pPr>
              <w:jc w:val="center"/>
              <w:rPr>
                <w:rFonts w:ascii="ＭＳ 明朝"/>
                <w:sz w:val="16"/>
                <w:szCs w:val="16"/>
              </w:rPr>
            </w:pPr>
          </w:p>
        </w:tc>
      </w:tr>
      <w:tr w:rsidR="001D6D10" w:rsidRPr="001D6D10" w14:paraId="754D0D03" w14:textId="77777777" w:rsidTr="001F5915">
        <w:trPr>
          <w:trHeight w:val="457"/>
        </w:trPr>
        <w:tc>
          <w:tcPr>
            <w:tcW w:w="188" w:type="pct"/>
            <w:tcBorders>
              <w:top w:val="single" w:sz="4" w:space="0" w:color="auto"/>
              <w:left w:val="single" w:sz="4" w:space="0" w:color="auto"/>
              <w:bottom w:val="single" w:sz="4" w:space="0" w:color="auto"/>
              <w:right w:val="single" w:sz="4" w:space="0" w:color="auto"/>
            </w:tcBorders>
            <w:vAlign w:val="center"/>
          </w:tcPr>
          <w:p w14:paraId="40A1B0B3" w14:textId="77777777" w:rsidR="005D372A" w:rsidRPr="001D6D10" w:rsidRDefault="005D372A" w:rsidP="008B4B2B">
            <w:pPr>
              <w:jc w:val="center"/>
              <w:rPr>
                <w:rFonts w:ascii="ＭＳ 明朝"/>
                <w:sz w:val="14"/>
                <w:szCs w:val="16"/>
              </w:rPr>
            </w:pPr>
            <w:r w:rsidRPr="001D6D10">
              <w:rPr>
                <w:rFonts w:ascii="ＭＳ 明朝"/>
                <w:sz w:val="14"/>
                <w:szCs w:val="16"/>
              </w:rPr>
              <w:t>16</w:t>
            </w:r>
          </w:p>
        </w:tc>
        <w:tc>
          <w:tcPr>
            <w:tcW w:w="391" w:type="pct"/>
            <w:vMerge/>
            <w:tcBorders>
              <w:left w:val="single" w:sz="4" w:space="0" w:color="auto"/>
              <w:right w:val="single" w:sz="4" w:space="0" w:color="auto"/>
            </w:tcBorders>
            <w:vAlign w:val="center"/>
          </w:tcPr>
          <w:p w14:paraId="16049800" w14:textId="77777777" w:rsidR="005D372A" w:rsidRPr="001D6D10" w:rsidRDefault="005D372A" w:rsidP="008B4B2B">
            <w:pPr>
              <w:jc w:val="center"/>
              <w:rPr>
                <w:rFonts w:ascii="ＭＳ 明朝"/>
                <w:sz w:val="16"/>
                <w:szCs w:val="16"/>
              </w:rPr>
            </w:pPr>
          </w:p>
        </w:tc>
        <w:tc>
          <w:tcPr>
            <w:tcW w:w="886" w:type="pct"/>
            <w:tcBorders>
              <w:top w:val="single" w:sz="4" w:space="0" w:color="auto"/>
              <w:left w:val="single" w:sz="4" w:space="0" w:color="auto"/>
              <w:bottom w:val="single" w:sz="4" w:space="0" w:color="auto"/>
              <w:right w:val="single" w:sz="4" w:space="0" w:color="auto"/>
            </w:tcBorders>
            <w:vAlign w:val="center"/>
            <w:hideMark/>
          </w:tcPr>
          <w:p w14:paraId="4947EABA" w14:textId="77777777" w:rsidR="005D372A" w:rsidRPr="001D6D10" w:rsidRDefault="005D372A" w:rsidP="008B4B2B">
            <w:pPr>
              <w:jc w:val="left"/>
              <w:rPr>
                <w:rFonts w:ascii="ＭＳ 明朝"/>
                <w:sz w:val="16"/>
                <w:szCs w:val="16"/>
              </w:rPr>
            </w:pPr>
            <w:r w:rsidRPr="001D6D10">
              <w:rPr>
                <w:rFonts w:ascii="ＭＳ 明朝" w:hint="eastAsia"/>
                <w:sz w:val="16"/>
                <w:szCs w:val="16"/>
              </w:rPr>
              <w:t>都市整備部長</w:t>
            </w:r>
          </w:p>
        </w:tc>
        <w:tc>
          <w:tcPr>
            <w:tcW w:w="251" w:type="pct"/>
            <w:tcBorders>
              <w:top w:val="single" w:sz="4" w:space="0" w:color="auto"/>
              <w:left w:val="single" w:sz="4" w:space="0" w:color="auto"/>
              <w:bottom w:val="single" w:sz="4" w:space="0" w:color="auto"/>
              <w:right w:val="single" w:sz="4" w:space="0" w:color="auto"/>
            </w:tcBorders>
            <w:vAlign w:val="center"/>
            <w:hideMark/>
          </w:tcPr>
          <w:p w14:paraId="6704BA49" w14:textId="77777777" w:rsidR="005D372A" w:rsidRPr="001D6D10" w:rsidRDefault="005D372A" w:rsidP="008B4B2B">
            <w:pPr>
              <w:jc w:val="center"/>
              <w:rPr>
                <w:rFonts w:ascii="ＭＳ 明朝"/>
                <w:sz w:val="16"/>
                <w:szCs w:val="16"/>
              </w:rPr>
            </w:pPr>
            <w:r w:rsidRPr="001D6D10">
              <w:rPr>
                <w:rFonts w:ascii="ＭＳ 明朝" w:hint="eastAsia"/>
                <w:sz w:val="16"/>
                <w:szCs w:val="16"/>
              </w:rPr>
              <w:t>○</w:t>
            </w:r>
          </w:p>
        </w:tc>
        <w:tc>
          <w:tcPr>
            <w:tcW w:w="253" w:type="pct"/>
            <w:tcBorders>
              <w:top w:val="single" w:sz="4" w:space="0" w:color="auto"/>
              <w:left w:val="single" w:sz="4" w:space="0" w:color="auto"/>
              <w:bottom w:val="single" w:sz="4" w:space="0" w:color="auto"/>
              <w:right w:val="single" w:sz="4" w:space="0" w:color="auto"/>
            </w:tcBorders>
            <w:vAlign w:val="center"/>
            <w:hideMark/>
          </w:tcPr>
          <w:p w14:paraId="3B6B5EC2" w14:textId="77777777" w:rsidR="005D372A" w:rsidRPr="001D6D10" w:rsidRDefault="005D372A" w:rsidP="008B4B2B">
            <w:pPr>
              <w:jc w:val="center"/>
              <w:rPr>
                <w:rFonts w:ascii="ＭＳ 明朝"/>
                <w:sz w:val="16"/>
                <w:szCs w:val="16"/>
              </w:rPr>
            </w:pPr>
            <w:r w:rsidRPr="001D6D10">
              <w:rPr>
                <w:rFonts w:ascii="ＭＳ 明朝" w:hint="eastAsia"/>
                <w:sz w:val="16"/>
                <w:szCs w:val="16"/>
              </w:rPr>
              <w:t>○</w:t>
            </w:r>
          </w:p>
        </w:tc>
        <w:tc>
          <w:tcPr>
            <w:tcW w:w="253" w:type="pct"/>
            <w:tcBorders>
              <w:top w:val="single" w:sz="4" w:space="0" w:color="auto"/>
              <w:left w:val="single" w:sz="4" w:space="0" w:color="auto"/>
              <w:bottom w:val="single" w:sz="4" w:space="0" w:color="auto"/>
              <w:right w:val="single" w:sz="4" w:space="0" w:color="auto"/>
            </w:tcBorders>
            <w:vAlign w:val="center"/>
            <w:hideMark/>
          </w:tcPr>
          <w:p w14:paraId="211F02F5" w14:textId="77777777" w:rsidR="005D372A" w:rsidRPr="001D6D10" w:rsidRDefault="005D372A" w:rsidP="008B4B2B">
            <w:pPr>
              <w:jc w:val="center"/>
              <w:rPr>
                <w:rFonts w:ascii="ＭＳ 明朝"/>
                <w:sz w:val="16"/>
                <w:szCs w:val="16"/>
              </w:rPr>
            </w:pPr>
            <w:r w:rsidRPr="001D6D10">
              <w:rPr>
                <w:rFonts w:ascii="ＭＳ 明朝" w:hint="eastAsia"/>
                <w:sz w:val="16"/>
                <w:szCs w:val="16"/>
              </w:rPr>
              <w:t>○</w:t>
            </w:r>
          </w:p>
        </w:tc>
        <w:tc>
          <w:tcPr>
            <w:tcW w:w="253" w:type="pct"/>
            <w:tcBorders>
              <w:top w:val="single" w:sz="4" w:space="0" w:color="auto"/>
              <w:left w:val="single" w:sz="4" w:space="0" w:color="auto"/>
              <w:bottom w:val="single" w:sz="4" w:space="0" w:color="auto"/>
              <w:right w:val="single" w:sz="4" w:space="0" w:color="auto"/>
            </w:tcBorders>
            <w:vAlign w:val="center"/>
          </w:tcPr>
          <w:p w14:paraId="3DC1399C" w14:textId="77777777" w:rsidR="005D372A" w:rsidRPr="001D6D10" w:rsidRDefault="005D372A" w:rsidP="008B4B2B">
            <w:pPr>
              <w:jc w:val="center"/>
              <w:rPr>
                <w:rFonts w:ascii="ＭＳ 明朝"/>
                <w:sz w:val="16"/>
                <w:szCs w:val="16"/>
              </w:rPr>
            </w:pPr>
            <w:r w:rsidRPr="001D6D10">
              <w:rPr>
                <w:rFonts w:ascii="ＭＳ 明朝" w:hint="eastAsia"/>
                <w:sz w:val="16"/>
                <w:szCs w:val="16"/>
              </w:rPr>
              <w:t>○</w:t>
            </w:r>
          </w:p>
        </w:tc>
        <w:tc>
          <w:tcPr>
            <w:tcW w:w="244" w:type="pct"/>
            <w:tcBorders>
              <w:top w:val="single" w:sz="4" w:space="0" w:color="auto"/>
              <w:left w:val="single" w:sz="4" w:space="0" w:color="auto"/>
              <w:bottom w:val="single" w:sz="4" w:space="0" w:color="auto"/>
              <w:right w:val="single" w:sz="4" w:space="0" w:color="auto"/>
            </w:tcBorders>
            <w:shd w:val="clear" w:color="auto" w:fill="FFFFFF"/>
            <w:vAlign w:val="center"/>
          </w:tcPr>
          <w:p w14:paraId="38CBEFE3" w14:textId="77777777" w:rsidR="005D372A" w:rsidRPr="001D6D10" w:rsidRDefault="005D372A" w:rsidP="008B4B2B">
            <w:pPr>
              <w:jc w:val="center"/>
              <w:rPr>
                <w:rFonts w:ascii="ＭＳ 明朝"/>
                <w:sz w:val="16"/>
                <w:szCs w:val="16"/>
              </w:rPr>
            </w:pPr>
          </w:p>
        </w:tc>
        <w:tc>
          <w:tcPr>
            <w:tcW w:w="262" w:type="pct"/>
            <w:tcBorders>
              <w:top w:val="single" w:sz="4" w:space="0" w:color="auto"/>
              <w:left w:val="single" w:sz="4" w:space="0" w:color="auto"/>
              <w:bottom w:val="single" w:sz="4" w:space="0" w:color="auto"/>
              <w:right w:val="single" w:sz="4" w:space="0" w:color="auto"/>
            </w:tcBorders>
            <w:vAlign w:val="center"/>
            <w:hideMark/>
          </w:tcPr>
          <w:p w14:paraId="02BEA59E" w14:textId="2B1A8D93" w:rsidR="005D372A" w:rsidRPr="001D6D10" w:rsidRDefault="00D02441" w:rsidP="00D02441">
            <w:pPr>
              <w:jc w:val="left"/>
              <w:rPr>
                <w:rFonts w:ascii="ＭＳ 明朝"/>
                <w:sz w:val="16"/>
                <w:szCs w:val="16"/>
              </w:rPr>
            </w:pPr>
            <w:r w:rsidRPr="001D6D10">
              <w:rPr>
                <w:rFonts w:ascii="ＭＳ 明朝" w:hint="eastAsia"/>
                <w:sz w:val="16"/>
                <w:szCs w:val="16"/>
              </w:rPr>
              <w:t xml:space="preserve">　　　</w:t>
            </w:r>
            <w:r w:rsidR="00841447" w:rsidRPr="001D6D10">
              <w:rPr>
                <w:rFonts w:ascii="ＭＳ 明朝" w:hint="eastAsia"/>
                <w:sz w:val="16"/>
                <w:szCs w:val="16"/>
              </w:rPr>
              <w:t xml:space="preserve">　　</w:t>
            </w:r>
          </w:p>
        </w:tc>
        <w:tc>
          <w:tcPr>
            <w:tcW w:w="253" w:type="pct"/>
            <w:tcBorders>
              <w:top w:val="single" w:sz="4" w:space="0" w:color="auto"/>
              <w:left w:val="single" w:sz="4" w:space="0" w:color="auto"/>
              <w:bottom w:val="single" w:sz="4" w:space="0" w:color="auto"/>
              <w:right w:val="single" w:sz="4" w:space="0" w:color="auto"/>
            </w:tcBorders>
            <w:vAlign w:val="center"/>
          </w:tcPr>
          <w:p w14:paraId="66E4632E" w14:textId="77777777" w:rsidR="005D372A" w:rsidRPr="001D6D10" w:rsidRDefault="005D372A" w:rsidP="008B4B2B">
            <w:pPr>
              <w:jc w:val="center"/>
              <w:rPr>
                <w:rFonts w:ascii="ＭＳ 明朝"/>
                <w:sz w:val="16"/>
                <w:szCs w:val="16"/>
              </w:rPr>
            </w:pPr>
          </w:p>
        </w:tc>
        <w:tc>
          <w:tcPr>
            <w:tcW w:w="253" w:type="pct"/>
            <w:tcBorders>
              <w:top w:val="single" w:sz="4" w:space="0" w:color="auto"/>
              <w:left w:val="single" w:sz="4" w:space="0" w:color="auto"/>
              <w:bottom w:val="single" w:sz="4" w:space="0" w:color="auto"/>
              <w:right w:val="single" w:sz="4" w:space="0" w:color="auto"/>
            </w:tcBorders>
            <w:vAlign w:val="center"/>
            <w:hideMark/>
          </w:tcPr>
          <w:p w14:paraId="62BDD22C" w14:textId="77777777" w:rsidR="005D372A" w:rsidRPr="001D6D10" w:rsidRDefault="005D372A" w:rsidP="008B4B2B">
            <w:pPr>
              <w:jc w:val="center"/>
              <w:rPr>
                <w:rFonts w:ascii="ＭＳ 明朝"/>
                <w:sz w:val="16"/>
                <w:szCs w:val="16"/>
              </w:rPr>
            </w:pPr>
            <w:r w:rsidRPr="001D6D10">
              <w:rPr>
                <w:rFonts w:ascii="ＭＳ 明朝" w:hint="eastAsia"/>
                <w:sz w:val="16"/>
                <w:szCs w:val="16"/>
              </w:rPr>
              <w:t>○</w:t>
            </w:r>
          </w:p>
        </w:tc>
        <w:tc>
          <w:tcPr>
            <w:tcW w:w="253" w:type="pct"/>
            <w:tcBorders>
              <w:top w:val="single" w:sz="4" w:space="0" w:color="auto"/>
              <w:left w:val="single" w:sz="4" w:space="0" w:color="auto"/>
              <w:bottom w:val="single" w:sz="4" w:space="0" w:color="auto"/>
              <w:right w:val="single" w:sz="4" w:space="0" w:color="auto"/>
            </w:tcBorders>
            <w:vAlign w:val="center"/>
            <w:hideMark/>
          </w:tcPr>
          <w:p w14:paraId="2734D97F" w14:textId="77777777" w:rsidR="005D372A" w:rsidRPr="001D6D10" w:rsidRDefault="005D372A" w:rsidP="008B4B2B">
            <w:pPr>
              <w:jc w:val="center"/>
              <w:rPr>
                <w:rFonts w:ascii="ＭＳ 明朝"/>
                <w:sz w:val="16"/>
                <w:szCs w:val="16"/>
              </w:rPr>
            </w:pPr>
            <w:r w:rsidRPr="001D6D10">
              <w:rPr>
                <w:rFonts w:ascii="ＭＳ 明朝" w:hint="eastAsia"/>
                <w:sz w:val="16"/>
                <w:szCs w:val="16"/>
              </w:rPr>
              <w:t>○</w:t>
            </w:r>
          </w:p>
        </w:tc>
        <w:tc>
          <w:tcPr>
            <w:tcW w:w="253" w:type="pct"/>
            <w:tcBorders>
              <w:top w:val="single" w:sz="4" w:space="0" w:color="auto"/>
              <w:left w:val="single" w:sz="4" w:space="0" w:color="auto"/>
              <w:bottom w:val="single" w:sz="4" w:space="0" w:color="auto"/>
              <w:right w:val="single" w:sz="4" w:space="0" w:color="auto"/>
            </w:tcBorders>
            <w:vAlign w:val="center"/>
          </w:tcPr>
          <w:p w14:paraId="3188AC1D" w14:textId="77777777" w:rsidR="005D372A" w:rsidRPr="001D6D10" w:rsidRDefault="005D372A" w:rsidP="008B4B2B">
            <w:pPr>
              <w:jc w:val="center"/>
              <w:rPr>
                <w:rFonts w:ascii="ＭＳ 明朝"/>
                <w:sz w:val="16"/>
                <w:szCs w:val="16"/>
              </w:rPr>
            </w:pPr>
          </w:p>
        </w:tc>
        <w:tc>
          <w:tcPr>
            <w:tcW w:w="253" w:type="pct"/>
            <w:tcBorders>
              <w:top w:val="single" w:sz="4" w:space="0" w:color="auto"/>
              <w:left w:val="single" w:sz="4" w:space="0" w:color="auto"/>
              <w:bottom w:val="single" w:sz="4" w:space="0" w:color="auto"/>
              <w:right w:val="single" w:sz="4" w:space="0" w:color="auto"/>
            </w:tcBorders>
            <w:vAlign w:val="center"/>
          </w:tcPr>
          <w:p w14:paraId="633F993E" w14:textId="77777777" w:rsidR="005D372A" w:rsidRPr="001D6D10" w:rsidRDefault="005D372A" w:rsidP="008B4B2B">
            <w:pPr>
              <w:jc w:val="center"/>
              <w:rPr>
                <w:rFonts w:ascii="ＭＳ 明朝"/>
                <w:sz w:val="16"/>
                <w:szCs w:val="16"/>
              </w:rPr>
            </w:pPr>
          </w:p>
        </w:tc>
        <w:tc>
          <w:tcPr>
            <w:tcW w:w="255" w:type="pct"/>
            <w:tcBorders>
              <w:top w:val="single" w:sz="4" w:space="0" w:color="auto"/>
              <w:left w:val="single" w:sz="4" w:space="0" w:color="auto"/>
              <w:bottom w:val="single" w:sz="4" w:space="0" w:color="auto"/>
              <w:right w:val="single" w:sz="4" w:space="0" w:color="auto"/>
            </w:tcBorders>
            <w:vAlign w:val="center"/>
          </w:tcPr>
          <w:p w14:paraId="19E6CF05" w14:textId="77777777" w:rsidR="005D372A" w:rsidRPr="001D6D10" w:rsidRDefault="005D372A" w:rsidP="008B4B2B">
            <w:pPr>
              <w:jc w:val="center"/>
              <w:rPr>
                <w:rFonts w:ascii="ＭＳ 明朝"/>
                <w:sz w:val="16"/>
                <w:szCs w:val="16"/>
              </w:rPr>
            </w:pPr>
          </w:p>
        </w:tc>
        <w:tc>
          <w:tcPr>
            <w:tcW w:w="253" w:type="pct"/>
            <w:tcBorders>
              <w:top w:val="single" w:sz="4" w:space="0" w:color="auto"/>
              <w:left w:val="single" w:sz="4" w:space="0" w:color="auto"/>
              <w:bottom w:val="single" w:sz="4" w:space="0" w:color="auto"/>
              <w:right w:val="single" w:sz="4" w:space="0" w:color="auto"/>
            </w:tcBorders>
            <w:shd w:val="clear" w:color="auto" w:fill="FFFFFF"/>
            <w:vAlign w:val="center"/>
          </w:tcPr>
          <w:p w14:paraId="46A0B115" w14:textId="77777777" w:rsidR="005D372A" w:rsidRPr="001D6D10" w:rsidRDefault="005D372A" w:rsidP="008B4B2B">
            <w:pPr>
              <w:jc w:val="center"/>
              <w:rPr>
                <w:rFonts w:ascii="ＭＳ 明朝"/>
                <w:sz w:val="16"/>
                <w:szCs w:val="16"/>
              </w:rPr>
            </w:pPr>
            <w:r w:rsidRPr="001D6D10">
              <w:rPr>
                <w:rFonts w:ascii="ＭＳ 明朝" w:hint="eastAsia"/>
                <w:sz w:val="16"/>
                <w:szCs w:val="16"/>
              </w:rPr>
              <w:t>○</w:t>
            </w:r>
          </w:p>
        </w:tc>
        <w:tc>
          <w:tcPr>
            <w:tcW w:w="244" w:type="pct"/>
            <w:tcBorders>
              <w:top w:val="single" w:sz="4" w:space="0" w:color="auto"/>
              <w:left w:val="single" w:sz="4" w:space="0" w:color="auto"/>
              <w:bottom w:val="single" w:sz="4" w:space="0" w:color="auto"/>
              <w:right w:val="single" w:sz="4" w:space="0" w:color="auto"/>
            </w:tcBorders>
            <w:shd w:val="clear" w:color="auto" w:fill="FFFFFF"/>
          </w:tcPr>
          <w:p w14:paraId="1DB64A4C" w14:textId="77777777" w:rsidR="005D372A" w:rsidRPr="001D6D10" w:rsidRDefault="005D372A" w:rsidP="008B4B2B">
            <w:pPr>
              <w:jc w:val="center"/>
              <w:rPr>
                <w:rFonts w:ascii="ＭＳ 明朝"/>
                <w:sz w:val="16"/>
                <w:szCs w:val="16"/>
              </w:rPr>
            </w:pPr>
          </w:p>
        </w:tc>
      </w:tr>
      <w:tr w:rsidR="001D6D10" w:rsidRPr="001D6D10" w14:paraId="6A2BCC9C" w14:textId="77777777" w:rsidTr="001F5915">
        <w:trPr>
          <w:trHeight w:val="457"/>
        </w:trPr>
        <w:tc>
          <w:tcPr>
            <w:tcW w:w="188" w:type="pct"/>
            <w:tcBorders>
              <w:top w:val="single" w:sz="4" w:space="0" w:color="auto"/>
              <w:left w:val="single" w:sz="4" w:space="0" w:color="auto"/>
              <w:bottom w:val="single" w:sz="4" w:space="0" w:color="auto"/>
              <w:right w:val="single" w:sz="4" w:space="0" w:color="auto"/>
            </w:tcBorders>
            <w:vAlign w:val="center"/>
          </w:tcPr>
          <w:p w14:paraId="27F93044" w14:textId="77777777" w:rsidR="00A321D3" w:rsidRPr="001D6D10" w:rsidRDefault="00AA675F" w:rsidP="008B4B2B">
            <w:pPr>
              <w:jc w:val="center"/>
              <w:rPr>
                <w:rFonts w:ascii="ＭＳ 明朝"/>
                <w:sz w:val="14"/>
                <w:szCs w:val="16"/>
              </w:rPr>
            </w:pPr>
            <w:r w:rsidRPr="001D6D10">
              <w:rPr>
                <w:rFonts w:ascii="ＭＳ 明朝" w:hint="eastAsia"/>
                <w:sz w:val="14"/>
                <w:szCs w:val="16"/>
              </w:rPr>
              <w:t>1</w:t>
            </w:r>
            <w:r w:rsidRPr="001D6D10">
              <w:rPr>
                <w:rFonts w:ascii="ＭＳ 明朝"/>
                <w:sz w:val="14"/>
                <w:szCs w:val="16"/>
              </w:rPr>
              <w:t>7</w:t>
            </w:r>
          </w:p>
        </w:tc>
        <w:tc>
          <w:tcPr>
            <w:tcW w:w="391" w:type="pct"/>
            <w:vMerge/>
            <w:tcBorders>
              <w:left w:val="single" w:sz="4" w:space="0" w:color="auto"/>
              <w:right w:val="single" w:sz="4" w:space="0" w:color="auto"/>
            </w:tcBorders>
            <w:vAlign w:val="center"/>
          </w:tcPr>
          <w:p w14:paraId="1DBD6411" w14:textId="77777777" w:rsidR="00A321D3" w:rsidRPr="001D6D10" w:rsidRDefault="00A321D3" w:rsidP="008B4B2B">
            <w:pPr>
              <w:jc w:val="center"/>
              <w:rPr>
                <w:rFonts w:ascii="ＭＳ 明朝"/>
                <w:sz w:val="16"/>
                <w:szCs w:val="16"/>
                <w:highlight w:val="yellow"/>
              </w:rPr>
            </w:pPr>
          </w:p>
        </w:tc>
        <w:tc>
          <w:tcPr>
            <w:tcW w:w="886" w:type="pct"/>
            <w:tcBorders>
              <w:top w:val="single" w:sz="4" w:space="0" w:color="auto"/>
              <w:left w:val="single" w:sz="4" w:space="0" w:color="auto"/>
              <w:bottom w:val="single" w:sz="4" w:space="0" w:color="auto"/>
              <w:right w:val="single" w:sz="4" w:space="0" w:color="auto"/>
            </w:tcBorders>
            <w:vAlign w:val="center"/>
          </w:tcPr>
          <w:p w14:paraId="05B49EF8" w14:textId="77777777" w:rsidR="00A321D3" w:rsidRPr="001D6D10" w:rsidRDefault="000A7EB2" w:rsidP="008B4B2B">
            <w:pPr>
              <w:jc w:val="left"/>
              <w:rPr>
                <w:rFonts w:ascii="ＭＳ 明朝"/>
                <w:sz w:val="16"/>
                <w:szCs w:val="16"/>
              </w:rPr>
            </w:pPr>
            <w:r w:rsidRPr="001D6D10">
              <w:rPr>
                <w:rFonts w:ascii="ＭＳ 明朝" w:hint="eastAsia"/>
                <w:sz w:val="16"/>
                <w:szCs w:val="16"/>
              </w:rPr>
              <w:t>大阪</w:t>
            </w:r>
            <w:r w:rsidR="00A321D3" w:rsidRPr="001D6D10">
              <w:rPr>
                <w:rFonts w:ascii="ＭＳ 明朝" w:hint="eastAsia"/>
                <w:sz w:val="16"/>
                <w:szCs w:val="16"/>
              </w:rPr>
              <w:t>都市計画局長</w:t>
            </w:r>
          </w:p>
        </w:tc>
        <w:tc>
          <w:tcPr>
            <w:tcW w:w="251" w:type="pct"/>
            <w:tcBorders>
              <w:top w:val="single" w:sz="4" w:space="0" w:color="auto"/>
              <w:left w:val="single" w:sz="4" w:space="0" w:color="auto"/>
              <w:bottom w:val="single" w:sz="4" w:space="0" w:color="auto"/>
              <w:right w:val="single" w:sz="4" w:space="0" w:color="auto"/>
            </w:tcBorders>
            <w:vAlign w:val="center"/>
          </w:tcPr>
          <w:p w14:paraId="7D434BCF" w14:textId="77777777" w:rsidR="00A321D3" w:rsidRPr="001D6D10" w:rsidRDefault="008E3248" w:rsidP="008B4B2B">
            <w:pPr>
              <w:jc w:val="center"/>
              <w:rPr>
                <w:rFonts w:ascii="ＭＳ 明朝"/>
                <w:sz w:val="16"/>
                <w:szCs w:val="16"/>
              </w:rPr>
            </w:pPr>
            <w:r w:rsidRPr="001D6D10">
              <w:rPr>
                <w:rFonts w:ascii="ＭＳ 明朝" w:hint="eastAsia"/>
                <w:sz w:val="16"/>
                <w:szCs w:val="16"/>
              </w:rPr>
              <w:t>〇</w:t>
            </w:r>
          </w:p>
        </w:tc>
        <w:tc>
          <w:tcPr>
            <w:tcW w:w="253" w:type="pct"/>
            <w:tcBorders>
              <w:top w:val="single" w:sz="4" w:space="0" w:color="auto"/>
              <w:left w:val="single" w:sz="4" w:space="0" w:color="auto"/>
              <w:bottom w:val="single" w:sz="4" w:space="0" w:color="auto"/>
              <w:right w:val="single" w:sz="4" w:space="0" w:color="auto"/>
            </w:tcBorders>
            <w:vAlign w:val="center"/>
          </w:tcPr>
          <w:p w14:paraId="19C03B7D" w14:textId="77777777" w:rsidR="00A321D3" w:rsidRPr="001D6D10" w:rsidRDefault="00007E50" w:rsidP="008B4B2B">
            <w:pPr>
              <w:jc w:val="center"/>
              <w:rPr>
                <w:rFonts w:ascii="ＭＳ 明朝"/>
                <w:sz w:val="16"/>
                <w:szCs w:val="16"/>
              </w:rPr>
            </w:pPr>
            <w:r w:rsidRPr="001D6D10">
              <w:rPr>
                <w:rFonts w:ascii="ＭＳ 明朝" w:hint="eastAsia"/>
                <w:sz w:val="16"/>
                <w:szCs w:val="16"/>
              </w:rPr>
              <w:t>〇</w:t>
            </w:r>
          </w:p>
        </w:tc>
        <w:tc>
          <w:tcPr>
            <w:tcW w:w="253" w:type="pct"/>
            <w:tcBorders>
              <w:top w:val="single" w:sz="4" w:space="0" w:color="auto"/>
              <w:left w:val="single" w:sz="4" w:space="0" w:color="auto"/>
              <w:bottom w:val="single" w:sz="4" w:space="0" w:color="auto"/>
              <w:right w:val="single" w:sz="4" w:space="0" w:color="auto"/>
            </w:tcBorders>
            <w:vAlign w:val="center"/>
          </w:tcPr>
          <w:p w14:paraId="7EB6E47A" w14:textId="77777777" w:rsidR="00A321D3" w:rsidRPr="001D6D10" w:rsidRDefault="00A321D3" w:rsidP="008B4B2B">
            <w:pPr>
              <w:jc w:val="center"/>
              <w:rPr>
                <w:rFonts w:ascii="ＭＳ 明朝"/>
                <w:sz w:val="16"/>
                <w:szCs w:val="16"/>
              </w:rPr>
            </w:pPr>
          </w:p>
        </w:tc>
        <w:tc>
          <w:tcPr>
            <w:tcW w:w="253" w:type="pct"/>
            <w:tcBorders>
              <w:top w:val="single" w:sz="4" w:space="0" w:color="auto"/>
              <w:left w:val="single" w:sz="4" w:space="0" w:color="auto"/>
              <w:bottom w:val="single" w:sz="4" w:space="0" w:color="auto"/>
              <w:right w:val="single" w:sz="4" w:space="0" w:color="auto"/>
            </w:tcBorders>
            <w:vAlign w:val="center"/>
          </w:tcPr>
          <w:p w14:paraId="496813C1" w14:textId="77777777" w:rsidR="00A321D3" w:rsidRPr="001D6D10" w:rsidRDefault="008E3248" w:rsidP="008B4B2B">
            <w:pPr>
              <w:jc w:val="center"/>
              <w:rPr>
                <w:rFonts w:ascii="ＭＳ 明朝"/>
                <w:sz w:val="16"/>
                <w:szCs w:val="16"/>
              </w:rPr>
            </w:pPr>
            <w:r w:rsidRPr="001D6D10">
              <w:rPr>
                <w:rFonts w:ascii="ＭＳ 明朝" w:hint="eastAsia"/>
                <w:sz w:val="16"/>
                <w:szCs w:val="16"/>
              </w:rPr>
              <w:t>〇</w:t>
            </w:r>
          </w:p>
        </w:tc>
        <w:tc>
          <w:tcPr>
            <w:tcW w:w="244" w:type="pct"/>
            <w:tcBorders>
              <w:top w:val="single" w:sz="4" w:space="0" w:color="auto"/>
              <w:left w:val="single" w:sz="4" w:space="0" w:color="auto"/>
              <w:bottom w:val="single" w:sz="4" w:space="0" w:color="auto"/>
              <w:right w:val="single" w:sz="4" w:space="0" w:color="auto"/>
            </w:tcBorders>
            <w:shd w:val="clear" w:color="auto" w:fill="FFFFFF"/>
            <w:vAlign w:val="center"/>
          </w:tcPr>
          <w:p w14:paraId="38CAC1A2" w14:textId="77777777" w:rsidR="00A321D3" w:rsidRPr="001D6D10" w:rsidRDefault="00A321D3" w:rsidP="008B4B2B">
            <w:pPr>
              <w:jc w:val="center"/>
              <w:rPr>
                <w:rFonts w:ascii="ＭＳ 明朝"/>
                <w:sz w:val="16"/>
                <w:szCs w:val="16"/>
              </w:rPr>
            </w:pPr>
          </w:p>
        </w:tc>
        <w:tc>
          <w:tcPr>
            <w:tcW w:w="262" w:type="pct"/>
            <w:tcBorders>
              <w:top w:val="single" w:sz="4" w:space="0" w:color="auto"/>
              <w:left w:val="single" w:sz="4" w:space="0" w:color="auto"/>
              <w:bottom w:val="single" w:sz="4" w:space="0" w:color="auto"/>
              <w:right w:val="single" w:sz="4" w:space="0" w:color="auto"/>
            </w:tcBorders>
            <w:vAlign w:val="center"/>
          </w:tcPr>
          <w:p w14:paraId="55733A9E" w14:textId="77777777" w:rsidR="00A321D3" w:rsidRPr="001D6D10" w:rsidRDefault="00A321D3" w:rsidP="008B4B2B">
            <w:pPr>
              <w:jc w:val="center"/>
              <w:rPr>
                <w:rFonts w:ascii="ＭＳ 明朝"/>
                <w:sz w:val="16"/>
                <w:szCs w:val="16"/>
              </w:rPr>
            </w:pPr>
          </w:p>
        </w:tc>
        <w:tc>
          <w:tcPr>
            <w:tcW w:w="253" w:type="pct"/>
            <w:tcBorders>
              <w:top w:val="single" w:sz="4" w:space="0" w:color="auto"/>
              <w:left w:val="single" w:sz="4" w:space="0" w:color="auto"/>
              <w:bottom w:val="single" w:sz="4" w:space="0" w:color="auto"/>
              <w:right w:val="single" w:sz="4" w:space="0" w:color="auto"/>
            </w:tcBorders>
            <w:vAlign w:val="center"/>
          </w:tcPr>
          <w:p w14:paraId="409CA646" w14:textId="77777777" w:rsidR="00A321D3" w:rsidRPr="001D6D10" w:rsidRDefault="00A321D3" w:rsidP="008B4B2B">
            <w:pPr>
              <w:jc w:val="center"/>
              <w:rPr>
                <w:rFonts w:ascii="ＭＳ 明朝"/>
                <w:sz w:val="16"/>
                <w:szCs w:val="16"/>
              </w:rPr>
            </w:pPr>
          </w:p>
        </w:tc>
        <w:tc>
          <w:tcPr>
            <w:tcW w:w="253" w:type="pct"/>
            <w:tcBorders>
              <w:top w:val="single" w:sz="4" w:space="0" w:color="auto"/>
              <w:left w:val="single" w:sz="4" w:space="0" w:color="auto"/>
              <w:bottom w:val="single" w:sz="4" w:space="0" w:color="auto"/>
              <w:right w:val="single" w:sz="4" w:space="0" w:color="auto"/>
            </w:tcBorders>
            <w:vAlign w:val="center"/>
          </w:tcPr>
          <w:p w14:paraId="54A3B454" w14:textId="77777777" w:rsidR="00A321D3" w:rsidRPr="001D6D10" w:rsidRDefault="00A321D3" w:rsidP="008B4B2B">
            <w:pPr>
              <w:jc w:val="center"/>
              <w:rPr>
                <w:rFonts w:ascii="ＭＳ 明朝"/>
                <w:sz w:val="16"/>
                <w:szCs w:val="16"/>
              </w:rPr>
            </w:pPr>
          </w:p>
        </w:tc>
        <w:tc>
          <w:tcPr>
            <w:tcW w:w="253" w:type="pct"/>
            <w:tcBorders>
              <w:top w:val="single" w:sz="4" w:space="0" w:color="auto"/>
              <w:left w:val="single" w:sz="4" w:space="0" w:color="auto"/>
              <w:bottom w:val="single" w:sz="4" w:space="0" w:color="auto"/>
              <w:right w:val="single" w:sz="4" w:space="0" w:color="auto"/>
            </w:tcBorders>
            <w:vAlign w:val="center"/>
          </w:tcPr>
          <w:p w14:paraId="2749DFBF" w14:textId="77777777" w:rsidR="00A321D3" w:rsidRPr="001D6D10" w:rsidRDefault="00A321D3" w:rsidP="008B4B2B">
            <w:pPr>
              <w:jc w:val="center"/>
              <w:rPr>
                <w:rFonts w:ascii="ＭＳ 明朝"/>
                <w:sz w:val="16"/>
                <w:szCs w:val="16"/>
              </w:rPr>
            </w:pPr>
          </w:p>
        </w:tc>
        <w:tc>
          <w:tcPr>
            <w:tcW w:w="253" w:type="pct"/>
            <w:tcBorders>
              <w:top w:val="single" w:sz="4" w:space="0" w:color="auto"/>
              <w:left w:val="single" w:sz="4" w:space="0" w:color="auto"/>
              <w:bottom w:val="single" w:sz="4" w:space="0" w:color="auto"/>
              <w:right w:val="single" w:sz="4" w:space="0" w:color="auto"/>
            </w:tcBorders>
            <w:vAlign w:val="center"/>
          </w:tcPr>
          <w:p w14:paraId="58196512" w14:textId="77777777" w:rsidR="00A321D3" w:rsidRPr="001D6D10" w:rsidRDefault="00A321D3" w:rsidP="008B4B2B">
            <w:pPr>
              <w:jc w:val="center"/>
              <w:rPr>
                <w:rFonts w:ascii="ＭＳ 明朝"/>
                <w:sz w:val="16"/>
                <w:szCs w:val="16"/>
              </w:rPr>
            </w:pPr>
          </w:p>
        </w:tc>
        <w:tc>
          <w:tcPr>
            <w:tcW w:w="253" w:type="pct"/>
            <w:tcBorders>
              <w:top w:val="single" w:sz="4" w:space="0" w:color="auto"/>
              <w:left w:val="single" w:sz="4" w:space="0" w:color="auto"/>
              <w:bottom w:val="single" w:sz="4" w:space="0" w:color="auto"/>
              <w:right w:val="single" w:sz="4" w:space="0" w:color="auto"/>
            </w:tcBorders>
            <w:vAlign w:val="center"/>
          </w:tcPr>
          <w:p w14:paraId="614756B4" w14:textId="77777777" w:rsidR="00A321D3" w:rsidRPr="001D6D10" w:rsidRDefault="00A321D3" w:rsidP="008B4B2B">
            <w:pPr>
              <w:jc w:val="center"/>
              <w:rPr>
                <w:rFonts w:ascii="ＭＳ 明朝"/>
                <w:sz w:val="16"/>
                <w:szCs w:val="16"/>
              </w:rPr>
            </w:pPr>
          </w:p>
        </w:tc>
        <w:tc>
          <w:tcPr>
            <w:tcW w:w="255" w:type="pct"/>
            <w:tcBorders>
              <w:top w:val="single" w:sz="4" w:space="0" w:color="auto"/>
              <w:left w:val="single" w:sz="4" w:space="0" w:color="auto"/>
              <w:bottom w:val="single" w:sz="4" w:space="0" w:color="auto"/>
              <w:right w:val="single" w:sz="4" w:space="0" w:color="auto"/>
            </w:tcBorders>
            <w:vAlign w:val="center"/>
          </w:tcPr>
          <w:p w14:paraId="08D61834" w14:textId="77777777" w:rsidR="00A321D3" w:rsidRPr="001D6D10" w:rsidRDefault="00A321D3" w:rsidP="008B4B2B">
            <w:pPr>
              <w:jc w:val="center"/>
              <w:rPr>
                <w:rFonts w:ascii="ＭＳ 明朝"/>
                <w:sz w:val="16"/>
                <w:szCs w:val="16"/>
              </w:rPr>
            </w:pPr>
          </w:p>
        </w:tc>
        <w:tc>
          <w:tcPr>
            <w:tcW w:w="253" w:type="pct"/>
            <w:tcBorders>
              <w:top w:val="single" w:sz="4" w:space="0" w:color="auto"/>
              <w:left w:val="single" w:sz="4" w:space="0" w:color="auto"/>
              <w:bottom w:val="single" w:sz="4" w:space="0" w:color="auto"/>
              <w:right w:val="single" w:sz="4" w:space="0" w:color="auto"/>
            </w:tcBorders>
            <w:shd w:val="clear" w:color="auto" w:fill="FFFFFF"/>
            <w:vAlign w:val="center"/>
          </w:tcPr>
          <w:p w14:paraId="186B2A15" w14:textId="77777777" w:rsidR="00A321D3" w:rsidRPr="001D6D10" w:rsidRDefault="008E3248" w:rsidP="008B4B2B">
            <w:pPr>
              <w:jc w:val="center"/>
              <w:rPr>
                <w:rFonts w:ascii="ＭＳ 明朝"/>
                <w:sz w:val="16"/>
                <w:szCs w:val="16"/>
              </w:rPr>
            </w:pPr>
            <w:r w:rsidRPr="001D6D10">
              <w:rPr>
                <w:rFonts w:ascii="ＭＳ 明朝" w:hint="eastAsia"/>
                <w:sz w:val="16"/>
                <w:szCs w:val="16"/>
              </w:rPr>
              <w:t>〇</w:t>
            </w:r>
          </w:p>
        </w:tc>
        <w:tc>
          <w:tcPr>
            <w:tcW w:w="244" w:type="pct"/>
            <w:tcBorders>
              <w:top w:val="single" w:sz="4" w:space="0" w:color="auto"/>
              <w:left w:val="single" w:sz="4" w:space="0" w:color="auto"/>
              <w:bottom w:val="single" w:sz="4" w:space="0" w:color="auto"/>
              <w:right w:val="single" w:sz="4" w:space="0" w:color="auto"/>
            </w:tcBorders>
            <w:shd w:val="clear" w:color="auto" w:fill="FFFFFF"/>
          </w:tcPr>
          <w:p w14:paraId="623A1B07" w14:textId="77777777" w:rsidR="00A321D3" w:rsidRPr="001D6D10" w:rsidRDefault="00A321D3" w:rsidP="008B4B2B">
            <w:pPr>
              <w:jc w:val="center"/>
              <w:rPr>
                <w:rFonts w:ascii="ＭＳ 明朝"/>
                <w:sz w:val="16"/>
                <w:szCs w:val="16"/>
                <w:highlight w:val="yellow"/>
              </w:rPr>
            </w:pPr>
          </w:p>
        </w:tc>
      </w:tr>
      <w:tr w:rsidR="001D6D10" w:rsidRPr="001D6D10" w14:paraId="0E31C063" w14:textId="77777777" w:rsidTr="001F5915">
        <w:trPr>
          <w:trHeight w:val="457"/>
        </w:trPr>
        <w:tc>
          <w:tcPr>
            <w:tcW w:w="188" w:type="pct"/>
            <w:tcBorders>
              <w:top w:val="single" w:sz="4" w:space="0" w:color="auto"/>
              <w:left w:val="single" w:sz="4" w:space="0" w:color="auto"/>
              <w:bottom w:val="single" w:sz="4" w:space="0" w:color="auto"/>
              <w:right w:val="single" w:sz="4" w:space="0" w:color="auto"/>
            </w:tcBorders>
            <w:vAlign w:val="center"/>
          </w:tcPr>
          <w:p w14:paraId="2D555A2F" w14:textId="77777777" w:rsidR="005D372A" w:rsidRPr="001D6D10" w:rsidRDefault="005D372A" w:rsidP="008B4B2B">
            <w:pPr>
              <w:jc w:val="center"/>
              <w:rPr>
                <w:rFonts w:ascii="ＭＳ 明朝"/>
                <w:sz w:val="14"/>
                <w:szCs w:val="16"/>
              </w:rPr>
            </w:pPr>
            <w:r w:rsidRPr="001D6D10">
              <w:rPr>
                <w:rFonts w:ascii="ＭＳ 明朝"/>
                <w:sz w:val="14"/>
                <w:szCs w:val="16"/>
              </w:rPr>
              <w:t>1</w:t>
            </w:r>
            <w:r w:rsidR="00AA675F" w:rsidRPr="001D6D10">
              <w:rPr>
                <w:rFonts w:ascii="ＭＳ 明朝"/>
                <w:sz w:val="14"/>
                <w:szCs w:val="16"/>
              </w:rPr>
              <w:t>8</w:t>
            </w:r>
          </w:p>
        </w:tc>
        <w:tc>
          <w:tcPr>
            <w:tcW w:w="391" w:type="pct"/>
            <w:vMerge/>
            <w:tcBorders>
              <w:left w:val="single" w:sz="4" w:space="0" w:color="auto"/>
              <w:right w:val="single" w:sz="4" w:space="0" w:color="auto"/>
            </w:tcBorders>
            <w:vAlign w:val="center"/>
          </w:tcPr>
          <w:p w14:paraId="3E718AED" w14:textId="77777777" w:rsidR="005D372A" w:rsidRPr="001D6D10" w:rsidRDefault="005D372A" w:rsidP="008B4B2B">
            <w:pPr>
              <w:jc w:val="center"/>
              <w:rPr>
                <w:rFonts w:ascii="ＭＳ 明朝"/>
                <w:sz w:val="16"/>
                <w:szCs w:val="16"/>
                <w:highlight w:val="yellow"/>
              </w:rPr>
            </w:pPr>
          </w:p>
        </w:tc>
        <w:tc>
          <w:tcPr>
            <w:tcW w:w="886" w:type="pct"/>
            <w:tcBorders>
              <w:top w:val="single" w:sz="4" w:space="0" w:color="auto"/>
              <w:left w:val="single" w:sz="4" w:space="0" w:color="auto"/>
              <w:bottom w:val="single" w:sz="4" w:space="0" w:color="auto"/>
              <w:right w:val="single" w:sz="4" w:space="0" w:color="auto"/>
            </w:tcBorders>
            <w:vAlign w:val="center"/>
          </w:tcPr>
          <w:p w14:paraId="24EB7560" w14:textId="77777777" w:rsidR="005D372A" w:rsidRPr="001D6D10" w:rsidRDefault="005D372A" w:rsidP="008B4B2B">
            <w:pPr>
              <w:jc w:val="left"/>
              <w:rPr>
                <w:rFonts w:ascii="ＭＳ 明朝"/>
                <w:sz w:val="16"/>
                <w:szCs w:val="16"/>
              </w:rPr>
            </w:pPr>
            <w:r w:rsidRPr="001D6D10">
              <w:rPr>
                <w:rFonts w:ascii="ＭＳ 明朝" w:hint="eastAsia"/>
                <w:sz w:val="16"/>
                <w:szCs w:val="16"/>
              </w:rPr>
              <w:t>大阪港湾局長</w:t>
            </w:r>
          </w:p>
        </w:tc>
        <w:tc>
          <w:tcPr>
            <w:tcW w:w="251" w:type="pct"/>
            <w:tcBorders>
              <w:top w:val="single" w:sz="4" w:space="0" w:color="auto"/>
              <w:left w:val="single" w:sz="4" w:space="0" w:color="auto"/>
              <w:bottom w:val="single" w:sz="4" w:space="0" w:color="auto"/>
              <w:right w:val="single" w:sz="4" w:space="0" w:color="auto"/>
            </w:tcBorders>
            <w:vAlign w:val="center"/>
          </w:tcPr>
          <w:p w14:paraId="78029E17" w14:textId="77777777" w:rsidR="005D372A" w:rsidRPr="001D6D10" w:rsidRDefault="005D372A" w:rsidP="008B4B2B">
            <w:pPr>
              <w:jc w:val="center"/>
              <w:rPr>
                <w:rFonts w:ascii="ＭＳ 明朝"/>
                <w:sz w:val="16"/>
                <w:szCs w:val="16"/>
              </w:rPr>
            </w:pPr>
            <w:r w:rsidRPr="001D6D10">
              <w:rPr>
                <w:rFonts w:ascii="ＭＳ 明朝" w:hint="eastAsia"/>
                <w:sz w:val="16"/>
                <w:szCs w:val="16"/>
              </w:rPr>
              <w:t>○</w:t>
            </w:r>
          </w:p>
        </w:tc>
        <w:tc>
          <w:tcPr>
            <w:tcW w:w="253" w:type="pct"/>
            <w:tcBorders>
              <w:top w:val="single" w:sz="4" w:space="0" w:color="auto"/>
              <w:left w:val="single" w:sz="4" w:space="0" w:color="auto"/>
              <w:bottom w:val="single" w:sz="4" w:space="0" w:color="auto"/>
              <w:right w:val="single" w:sz="4" w:space="0" w:color="auto"/>
            </w:tcBorders>
            <w:vAlign w:val="center"/>
          </w:tcPr>
          <w:p w14:paraId="1777DDBB" w14:textId="77777777" w:rsidR="005D372A" w:rsidRPr="001D6D10" w:rsidRDefault="005D372A" w:rsidP="008B4B2B">
            <w:pPr>
              <w:jc w:val="center"/>
              <w:rPr>
                <w:rFonts w:ascii="ＭＳ 明朝"/>
                <w:sz w:val="16"/>
                <w:szCs w:val="16"/>
              </w:rPr>
            </w:pPr>
            <w:r w:rsidRPr="001D6D10">
              <w:rPr>
                <w:rFonts w:ascii="ＭＳ 明朝" w:hint="eastAsia"/>
                <w:sz w:val="16"/>
                <w:szCs w:val="16"/>
              </w:rPr>
              <w:t>○</w:t>
            </w:r>
          </w:p>
        </w:tc>
        <w:tc>
          <w:tcPr>
            <w:tcW w:w="253" w:type="pct"/>
            <w:tcBorders>
              <w:top w:val="single" w:sz="4" w:space="0" w:color="auto"/>
              <w:left w:val="single" w:sz="4" w:space="0" w:color="auto"/>
              <w:bottom w:val="single" w:sz="4" w:space="0" w:color="auto"/>
              <w:right w:val="single" w:sz="4" w:space="0" w:color="auto"/>
            </w:tcBorders>
            <w:vAlign w:val="center"/>
          </w:tcPr>
          <w:p w14:paraId="6C820EB2" w14:textId="77777777" w:rsidR="005D372A" w:rsidRPr="001D6D10" w:rsidRDefault="005D372A" w:rsidP="008B4B2B">
            <w:pPr>
              <w:jc w:val="center"/>
              <w:rPr>
                <w:rFonts w:ascii="ＭＳ 明朝"/>
                <w:sz w:val="16"/>
                <w:szCs w:val="16"/>
              </w:rPr>
            </w:pPr>
            <w:r w:rsidRPr="001D6D10">
              <w:rPr>
                <w:rFonts w:ascii="ＭＳ 明朝" w:hint="eastAsia"/>
                <w:sz w:val="16"/>
                <w:szCs w:val="16"/>
              </w:rPr>
              <w:t>○</w:t>
            </w:r>
          </w:p>
        </w:tc>
        <w:tc>
          <w:tcPr>
            <w:tcW w:w="253" w:type="pct"/>
            <w:tcBorders>
              <w:top w:val="single" w:sz="4" w:space="0" w:color="auto"/>
              <w:left w:val="single" w:sz="4" w:space="0" w:color="auto"/>
              <w:bottom w:val="single" w:sz="4" w:space="0" w:color="auto"/>
              <w:right w:val="single" w:sz="4" w:space="0" w:color="auto"/>
            </w:tcBorders>
            <w:vAlign w:val="center"/>
          </w:tcPr>
          <w:p w14:paraId="547AB29B" w14:textId="77777777" w:rsidR="005D372A" w:rsidRPr="001D6D10" w:rsidRDefault="005D372A" w:rsidP="008B4B2B">
            <w:pPr>
              <w:jc w:val="center"/>
              <w:rPr>
                <w:rFonts w:ascii="ＭＳ 明朝"/>
                <w:sz w:val="16"/>
                <w:szCs w:val="16"/>
              </w:rPr>
            </w:pPr>
            <w:r w:rsidRPr="001D6D10">
              <w:rPr>
                <w:rFonts w:ascii="ＭＳ 明朝" w:hint="eastAsia"/>
                <w:sz w:val="16"/>
                <w:szCs w:val="16"/>
              </w:rPr>
              <w:t>○</w:t>
            </w:r>
          </w:p>
        </w:tc>
        <w:tc>
          <w:tcPr>
            <w:tcW w:w="244" w:type="pct"/>
            <w:tcBorders>
              <w:top w:val="single" w:sz="4" w:space="0" w:color="auto"/>
              <w:left w:val="single" w:sz="4" w:space="0" w:color="auto"/>
              <w:bottom w:val="single" w:sz="4" w:space="0" w:color="auto"/>
              <w:right w:val="single" w:sz="4" w:space="0" w:color="auto"/>
            </w:tcBorders>
            <w:shd w:val="clear" w:color="auto" w:fill="FFFFFF"/>
            <w:vAlign w:val="center"/>
          </w:tcPr>
          <w:p w14:paraId="0222CC8A" w14:textId="77777777" w:rsidR="005D372A" w:rsidRPr="001D6D10" w:rsidRDefault="005D372A" w:rsidP="008B4B2B">
            <w:pPr>
              <w:jc w:val="center"/>
              <w:rPr>
                <w:rFonts w:ascii="ＭＳ 明朝"/>
                <w:sz w:val="16"/>
                <w:szCs w:val="16"/>
              </w:rPr>
            </w:pPr>
          </w:p>
        </w:tc>
        <w:tc>
          <w:tcPr>
            <w:tcW w:w="262" w:type="pct"/>
            <w:tcBorders>
              <w:top w:val="single" w:sz="4" w:space="0" w:color="auto"/>
              <w:left w:val="single" w:sz="4" w:space="0" w:color="auto"/>
              <w:bottom w:val="single" w:sz="4" w:space="0" w:color="auto"/>
              <w:right w:val="single" w:sz="4" w:space="0" w:color="auto"/>
            </w:tcBorders>
            <w:vAlign w:val="center"/>
          </w:tcPr>
          <w:p w14:paraId="0C0D70A6" w14:textId="77777777" w:rsidR="005D372A" w:rsidRPr="001D6D10" w:rsidRDefault="005D372A" w:rsidP="008B4B2B">
            <w:pPr>
              <w:jc w:val="center"/>
              <w:rPr>
                <w:rFonts w:ascii="ＭＳ 明朝"/>
                <w:sz w:val="16"/>
                <w:szCs w:val="16"/>
              </w:rPr>
            </w:pPr>
            <w:r w:rsidRPr="001D6D10">
              <w:rPr>
                <w:rFonts w:ascii="ＭＳ 明朝" w:hint="eastAsia"/>
                <w:sz w:val="16"/>
                <w:szCs w:val="16"/>
              </w:rPr>
              <w:t>○</w:t>
            </w:r>
          </w:p>
        </w:tc>
        <w:tc>
          <w:tcPr>
            <w:tcW w:w="253" w:type="pct"/>
            <w:tcBorders>
              <w:top w:val="single" w:sz="4" w:space="0" w:color="auto"/>
              <w:left w:val="single" w:sz="4" w:space="0" w:color="auto"/>
              <w:bottom w:val="single" w:sz="4" w:space="0" w:color="auto"/>
              <w:right w:val="single" w:sz="4" w:space="0" w:color="auto"/>
            </w:tcBorders>
            <w:vAlign w:val="center"/>
          </w:tcPr>
          <w:p w14:paraId="7AA751B7" w14:textId="77777777" w:rsidR="005D372A" w:rsidRPr="001D6D10" w:rsidRDefault="005D372A" w:rsidP="008B4B2B">
            <w:pPr>
              <w:jc w:val="center"/>
              <w:rPr>
                <w:rFonts w:ascii="ＭＳ 明朝"/>
                <w:sz w:val="16"/>
                <w:szCs w:val="16"/>
              </w:rPr>
            </w:pPr>
          </w:p>
        </w:tc>
        <w:tc>
          <w:tcPr>
            <w:tcW w:w="253" w:type="pct"/>
            <w:tcBorders>
              <w:top w:val="single" w:sz="4" w:space="0" w:color="auto"/>
              <w:left w:val="single" w:sz="4" w:space="0" w:color="auto"/>
              <w:bottom w:val="single" w:sz="4" w:space="0" w:color="auto"/>
              <w:right w:val="single" w:sz="4" w:space="0" w:color="auto"/>
            </w:tcBorders>
            <w:vAlign w:val="center"/>
          </w:tcPr>
          <w:p w14:paraId="7FF6E043" w14:textId="77777777" w:rsidR="005D372A" w:rsidRPr="001D6D10" w:rsidRDefault="005D372A" w:rsidP="008B4B2B">
            <w:pPr>
              <w:jc w:val="center"/>
              <w:rPr>
                <w:rFonts w:ascii="ＭＳ 明朝"/>
                <w:sz w:val="16"/>
                <w:szCs w:val="16"/>
              </w:rPr>
            </w:pPr>
          </w:p>
        </w:tc>
        <w:tc>
          <w:tcPr>
            <w:tcW w:w="253" w:type="pct"/>
            <w:tcBorders>
              <w:top w:val="single" w:sz="4" w:space="0" w:color="auto"/>
              <w:left w:val="single" w:sz="4" w:space="0" w:color="auto"/>
              <w:bottom w:val="single" w:sz="4" w:space="0" w:color="auto"/>
              <w:right w:val="single" w:sz="4" w:space="0" w:color="auto"/>
            </w:tcBorders>
            <w:vAlign w:val="center"/>
          </w:tcPr>
          <w:p w14:paraId="3D0678EE" w14:textId="77777777" w:rsidR="005D372A" w:rsidRPr="001D6D10" w:rsidRDefault="005D372A" w:rsidP="008B4B2B">
            <w:pPr>
              <w:jc w:val="center"/>
              <w:rPr>
                <w:rFonts w:ascii="ＭＳ 明朝"/>
                <w:sz w:val="16"/>
                <w:szCs w:val="16"/>
              </w:rPr>
            </w:pPr>
          </w:p>
        </w:tc>
        <w:tc>
          <w:tcPr>
            <w:tcW w:w="253" w:type="pct"/>
            <w:tcBorders>
              <w:top w:val="single" w:sz="4" w:space="0" w:color="auto"/>
              <w:left w:val="single" w:sz="4" w:space="0" w:color="auto"/>
              <w:bottom w:val="single" w:sz="4" w:space="0" w:color="auto"/>
              <w:right w:val="single" w:sz="4" w:space="0" w:color="auto"/>
            </w:tcBorders>
            <w:vAlign w:val="center"/>
          </w:tcPr>
          <w:p w14:paraId="3C5A0F6A" w14:textId="77777777" w:rsidR="005D372A" w:rsidRPr="001D6D10" w:rsidRDefault="005D372A" w:rsidP="008B4B2B">
            <w:pPr>
              <w:jc w:val="center"/>
              <w:rPr>
                <w:rFonts w:ascii="ＭＳ 明朝"/>
                <w:sz w:val="16"/>
                <w:szCs w:val="16"/>
              </w:rPr>
            </w:pPr>
          </w:p>
        </w:tc>
        <w:tc>
          <w:tcPr>
            <w:tcW w:w="253" w:type="pct"/>
            <w:tcBorders>
              <w:top w:val="single" w:sz="4" w:space="0" w:color="auto"/>
              <w:left w:val="single" w:sz="4" w:space="0" w:color="auto"/>
              <w:bottom w:val="single" w:sz="4" w:space="0" w:color="auto"/>
              <w:right w:val="single" w:sz="4" w:space="0" w:color="auto"/>
            </w:tcBorders>
            <w:vAlign w:val="center"/>
          </w:tcPr>
          <w:p w14:paraId="660E1DE3" w14:textId="77777777" w:rsidR="005D372A" w:rsidRPr="001D6D10" w:rsidRDefault="005D372A" w:rsidP="008B4B2B">
            <w:pPr>
              <w:jc w:val="center"/>
              <w:rPr>
                <w:rFonts w:ascii="ＭＳ 明朝"/>
                <w:sz w:val="16"/>
                <w:szCs w:val="16"/>
              </w:rPr>
            </w:pPr>
          </w:p>
        </w:tc>
        <w:tc>
          <w:tcPr>
            <w:tcW w:w="255" w:type="pct"/>
            <w:tcBorders>
              <w:top w:val="single" w:sz="4" w:space="0" w:color="auto"/>
              <w:left w:val="single" w:sz="4" w:space="0" w:color="auto"/>
              <w:bottom w:val="single" w:sz="4" w:space="0" w:color="auto"/>
              <w:right w:val="single" w:sz="4" w:space="0" w:color="auto"/>
            </w:tcBorders>
            <w:vAlign w:val="center"/>
          </w:tcPr>
          <w:p w14:paraId="469D7923" w14:textId="77777777" w:rsidR="005D372A" w:rsidRPr="001D6D10" w:rsidRDefault="005D372A" w:rsidP="008B4B2B">
            <w:pPr>
              <w:jc w:val="center"/>
              <w:rPr>
                <w:rFonts w:ascii="ＭＳ 明朝"/>
                <w:sz w:val="16"/>
                <w:szCs w:val="16"/>
              </w:rPr>
            </w:pPr>
          </w:p>
        </w:tc>
        <w:tc>
          <w:tcPr>
            <w:tcW w:w="253" w:type="pct"/>
            <w:tcBorders>
              <w:top w:val="single" w:sz="4" w:space="0" w:color="auto"/>
              <w:left w:val="single" w:sz="4" w:space="0" w:color="auto"/>
              <w:bottom w:val="single" w:sz="4" w:space="0" w:color="auto"/>
              <w:right w:val="single" w:sz="4" w:space="0" w:color="auto"/>
            </w:tcBorders>
            <w:shd w:val="clear" w:color="auto" w:fill="FFFFFF"/>
            <w:vAlign w:val="center"/>
          </w:tcPr>
          <w:p w14:paraId="223D0E3B" w14:textId="77777777" w:rsidR="005D372A" w:rsidRPr="001D6D10" w:rsidRDefault="005D372A" w:rsidP="008B4B2B">
            <w:pPr>
              <w:jc w:val="center"/>
              <w:rPr>
                <w:rFonts w:ascii="ＭＳ 明朝"/>
                <w:sz w:val="16"/>
                <w:szCs w:val="16"/>
              </w:rPr>
            </w:pPr>
            <w:r w:rsidRPr="001D6D10">
              <w:rPr>
                <w:rFonts w:ascii="ＭＳ 明朝" w:hint="eastAsia"/>
                <w:sz w:val="16"/>
                <w:szCs w:val="16"/>
              </w:rPr>
              <w:t>○</w:t>
            </w:r>
          </w:p>
        </w:tc>
        <w:tc>
          <w:tcPr>
            <w:tcW w:w="244" w:type="pct"/>
            <w:tcBorders>
              <w:top w:val="single" w:sz="4" w:space="0" w:color="auto"/>
              <w:left w:val="single" w:sz="4" w:space="0" w:color="auto"/>
              <w:bottom w:val="single" w:sz="4" w:space="0" w:color="auto"/>
              <w:right w:val="single" w:sz="4" w:space="0" w:color="auto"/>
            </w:tcBorders>
            <w:shd w:val="clear" w:color="auto" w:fill="FFFFFF"/>
          </w:tcPr>
          <w:p w14:paraId="1B57B119" w14:textId="77777777" w:rsidR="005D372A" w:rsidRPr="001D6D10" w:rsidRDefault="005D372A" w:rsidP="008B4B2B">
            <w:pPr>
              <w:jc w:val="center"/>
              <w:rPr>
                <w:rFonts w:ascii="ＭＳ 明朝"/>
                <w:sz w:val="16"/>
                <w:szCs w:val="16"/>
                <w:highlight w:val="yellow"/>
              </w:rPr>
            </w:pPr>
          </w:p>
        </w:tc>
      </w:tr>
      <w:tr w:rsidR="001D6D10" w:rsidRPr="001D6D10" w14:paraId="53637CD0" w14:textId="77777777" w:rsidTr="001F5915">
        <w:trPr>
          <w:trHeight w:val="457"/>
        </w:trPr>
        <w:tc>
          <w:tcPr>
            <w:tcW w:w="188" w:type="pct"/>
            <w:tcBorders>
              <w:top w:val="single" w:sz="4" w:space="0" w:color="auto"/>
              <w:left w:val="single" w:sz="4" w:space="0" w:color="auto"/>
              <w:bottom w:val="single" w:sz="4" w:space="0" w:color="auto"/>
              <w:right w:val="single" w:sz="4" w:space="0" w:color="auto"/>
            </w:tcBorders>
            <w:vAlign w:val="center"/>
          </w:tcPr>
          <w:p w14:paraId="25AE4133" w14:textId="77777777" w:rsidR="005D372A" w:rsidRPr="001D6D10" w:rsidRDefault="005D372A" w:rsidP="00B35001">
            <w:pPr>
              <w:jc w:val="center"/>
              <w:rPr>
                <w:rFonts w:ascii="ＭＳ 明朝"/>
                <w:sz w:val="14"/>
                <w:szCs w:val="16"/>
              </w:rPr>
            </w:pPr>
            <w:r w:rsidRPr="001D6D10">
              <w:rPr>
                <w:rFonts w:ascii="ＭＳ 明朝"/>
                <w:sz w:val="14"/>
                <w:szCs w:val="16"/>
              </w:rPr>
              <w:t>1</w:t>
            </w:r>
            <w:r w:rsidR="00882F04" w:rsidRPr="001D6D10">
              <w:rPr>
                <w:rFonts w:ascii="ＭＳ 明朝"/>
                <w:sz w:val="14"/>
                <w:szCs w:val="16"/>
              </w:rPr>
              <w:t>9</w:t>
            </w:r>
          </w:p>
        </w:tc>
        <w:tc>
          <w:tcPr>
            <w:tcW w:w="391" w:type="pct"/>
            <w:vMerge/>
            <w:tcBorders>
              <w:left w:val="single" w:sz="4" w:space="0" w:color="auto"/>
              <w:right w:val="single" w:sz="4" w:space="0" w:color="auto"/>
            </w:tcBorders>
            <w:vAlign w:val="center"/>
          </w:tcPr>
          <w:p w14:paraId="290813F3" w14:textId="77777777" w:rsidR="005D372A" w:rsidRPr="001D6D10" w:rsidRDefault="005D372A" w:rsidP="008B4B2B">
            <w:pPr>
              <w:jc w:val="center"/>
              <w:rPr>
                <w:rFonts w:ascii="ＭＳ 明朝"/>
                <w:sz w:val="16"/>
                <w:szCs w:val="16"/>
              </w:rPr>
            </w:pPr>
          </w:p>
        </w:tc>
        <w:tc>
          <w:tcPr>
            <w:tcW w:w="886" w:type="pct"/>
            <w:tcBorders>
              <w:top w:val="single" w:sz="4" w:space="0" w:color="auto"/>
              <w:left w:val="single" w:sz="4" w:space="0" w:color="auto"/>
              <w:bottom w:val="single" w:sz="4" w:space="0" w:color="auto"/>
              <w:right w:val="single" w:sz="4" w:space="0" w:color="auto"/>
            </w:tcBorders>
            <w:vAlign w:val="center"/>
            <w:hideMark/>
          </w:tcPr>
          <w:p w14:paraId="35F223A0" w14:textId="77777777" w:rsidR="005D372A" w:rsidRPr="001D6D10" w:rsidRDefault="005D372A" w:rsidP="008B4B2B">
            <w:pPr>
              <w:jc w:val="left"/>
              <w:rPr>
                <w:rFonts w:ascii="ＭＳ 明朝"/>
                <w:sz w:val="16"/>
                <w:szCs w:val="16"/>
              </w:rPr>
            </w:pPr>
            <w:r w:rsidRPr="001D6D10">
              <w:rPr>
                <w:rFonts w:ascii="ＭＳ 明朝" w:hint="eastAsia"/>
                <w:sz w:val="16"/>
                <w:szCs w:val="16"/>
              </w:rPr>
              <w:t>会計管理者</w:t>
            </w:r>
          </w:p>
        </w:tc>
        <w:tc>
          <w:tcPr>
            <w:tcW w:w="251" w:type="pct"/>
            <w:tcBorders>
              <w:top w:val="single" w:sz="4" w:space="0" w:color="auto"/>
              <w:left w:val="single" w:sz="4" w:space="0" w:color="auto"/>
              <w:bottom w:val="single" w:sz="4" w:space="0" w:color="auto"/>
              <w:right w:val="single" w:sz="4" w:space="0" w:color="auto"/>
            </w:tcBorders>
            <w:vAlign w:val="center"/>
            <w:hideMark/>
          </w:tcPr>
          <w:p w14:paraId="254D7C81" w14:textId="77777777" w:rsidR="005D372A" w:rsidRPr="001D6D10" w:rsidRDefault="005D372A" w:rsidP="008B4B2B">
            <w:pPr>
              <w:jc w:val="center"/>
              <w:rPr>
                <w:rFonts w:ascii="ＭＳ 明朝"/>
                <w:sz w:val="16"/>
                <w:szCs w:val="16"/>
              </w:rPr>
            </w:pPr>
            <w:r w:rsidRPr="001D6D10">
              <w:rPr>
                <w:rFonts w:ascii="ＭＳ 明朝" w:hint="eastAsia"/>
                <w:sz w:val="16"/>
                <w:szCs w:val="16"/>
              </w:rPr>
              <w:t>○</w:t>
            </w:r>
          </w:p>
        </w:tc>
        <w:tc>
          <w:tcPr>
            <w:tcW w:w="253" w:type="pct"/>
            <w:tcBorders>
              <w:top w:val="single" w:sz="4" w:space="0" w:color="auto"/>
              <w:left w:val="single" w:sz="4" w:space="0" w:color="auto"/>
              <w:bottom w:val="single" w:sz="4" w:space="0" w:color="auto"/>
              <w:right w:val="single" w:sz="4" w:space="0" w:color="auto"/>
            </w:tcBorders>
            <w:vAlign w:val="center"/>
          </w:tcPr>
          <w:p w14:paraId="28AE305D" w14:textId="77777777" w:rsidR="005D372A" w:rsidRPr="001D6D10" w:rsidRDefault="005D372A" w:rsidP="008B4B2B">
            <w:pPr>
              <w:jc w:val="center"/>
              <w:rPr>
                <w:rFonts w:ascii="ＭＳ 明朝"/>
                <w:sz w:val="16"/>
                <w:szCs w:val="16"/>
              </w:rPr>
            </w:pPr>
          </w:p>
        </w:tc>
        <w:tc>
          <w:tcPr>
            <w:tcW w:w="253" w:type="pct"/>
            <w:tcBorders>
              <w:top w:val="single" w:sz="4" w:space="0" w:color="auto"/>
              <w:left w:val="single" w:sz="4" w:space="0" w:color="auto"/>
              <w:bottom w:val="single" w:sz="4" w:space="0" w:color="auto"/>
              <w:right w:val="single" w:sz="4" w:space="0" w:color="auto"/>
            </w:tcBorders>
            <w:vAlign w:val="center"/>
          </w:tcPr>
          <w:p w14:paraId="3D822EE9" w14:textId="77777777" w:rsidR="005D372A" w:rsidRPr="001D6D10" w:rsidRDefault="005D372A" w:rsidP="008B4B2B">
            <w:pPr>
              <w:jc w:val="center"/>
              <w:rPr>
                <w:rFonts w:ascii="ＭＳ 明朝"/>
                <w:sz w:val="16"/>
                <w:szCs w:val="16"/>
              </w:rPr>
            </w:pPr>
          </w:p>
        </w:tc>
        <w:tc>
          <w:tcPr>
            <w:tcW w:w="253" w:type="pct"/>
            <w:tcBorders>
              <w:top w:val="single" w:sz="4" w:space="0" w:color="auto"/>
              <w:left w:val="single" w:sz="4" w:space="0" w:color="auto"/>
              <w:bottom w:val="single" w:sz="4" w:space="0" w:color="auto"/>
              <w:right w:val="single" w:sz="4" w:space="0" w:color="auto"/>
            </w:tcBorders>
            <w:vAlign w:val="center"/>
          </w:tcPr>
          <w:p w14:paraId="464E734A" w14:textId="77777777" w:rsidR="005D372A" w:rsidRPr="001D6D10" w:rsidRDefault="005D372A" w:rsidP="008B4B2B">
            <w:pPr>
              <w:jc w:val="center"/>
              <w:rPr>
                <w:rFonts w:ascii="ＭＳ 明朝"/>
                <w:sz w:val="16"/>
                <w:szCs w:val="16"/>
              </w:rPr>
            </w:pPr>
          </w:p>
        </w:tc>
        <w:tc>
          <w:tcPr>
            <w:tcW w:w="244" w:type="pct"/>
            <w:tcBorders>
              <w:top w:val="single" w:sz="4" w:space="0" w:color="auto"/>
              <w:left w:val="single" w:sz="4" w:space="0" w:color="auto"/>
              <w:bottom w:val="single" w:sz="4" w:space="0" w:color="auto"/>
              <w:right w:val="single" w:sz="4" w:space="0" w:color="auto"/>
            </w:tcBorders>
            <w:shd w:val="clear" w:color="auto" w:fill="FFFFFF"/>
            <w:vAlign w:val="center"/>
          </w:tcPr>
          <w:p w14:paraId="4AA9C522" w14:textId="77777777" w:rsidR="005D372A" w:rsidRPr="001D6D10" w:rsidRDefault="005D372A" w:rsidP="008B4B2B">
            <w:pPr>
              <w:jc w:val="center"/>
              <w:rPr>
                <w:rFonts w:ascii="ＭＳ 明朝"/>
                <w:sz w:val="16"/>
                <w:szCs w:val="16"/>
              </w:rPr>
            </w:pPr>
          </w:p>
        </w:tc>
        <w:tc>
          <w:tcPr>
            <w:tcW w:w="262" w:type="pct"/>
            <w:tcBorders>
              <w:top w:val="single" w:sz="4" w:space="0" w:color="auto"/>
              <w:left w:val="single" w:sz="4" w:space="0" w:color="auto"/>
              <w:bottom w:val="single" w:sz="4" w:space="0" w:color="auto"/>
              <w:right w:val="single" w:sz="4" w:space="0" w:color="auto"/>
            </w:tcBorders>
            <w:vAlign w:val="center"/>
          </w:tcPr>
          <w:p w14:paraId="6DFC8EBA" w14:textId="77777777" w:rsidR="005D372A" w:rsidRPr="001D6D10" w:rsidRDefault="005D372A" w:rsidP="008B4B2B">
            <w:pPr>
              <w:jc w:val="center"/>
              <w:rPr>
                <w:rFonts w:ascii="ＭＳ 明朝"/>
                <w:sz w:val="16"/>
                <w:szCs w:val="16"/>
              </w:rPr>
            </w:pPr>
          </w:p>
        </w:tc>
        <w:tc>
          <w:tcPr>
            <w:tcW w:w="253" w:type="pct"/>
            <w:tcBorders>
              <w:top w:val="single" w:sz="4" w:space="0" w:color="auto"/>
              <w:left w:val="single" w:sz="4" w:space="0" w:color="auto"/>
              <w:bottom w:val="single" w:sz="4" w:space="0" w:color="auto"/>
              <w:right w:val="single" w:sz="4" w:space="0" w:color="auto"/>
            </w:tcBorders>
            <w:vAlign w:val="center"/>
          </w:tcPr>
          <w:p w14:paraId="0CFC6C8F" w14:textId="77777777" w:rsidR="005D372A" w:rsidRPr="001D6D10" w:rsidRDefault="005D372A" w:rsidP="008B4B2B">
            <w:pPr>
              <w:jc w:val="center"/>
              <w:rPr>
                <w:rFonts w:ascii="ＭＳ 明朝"/>
                <w:sz w:val="16"/>
                <w:szCs w:val="16"/>
              </w:rPr>
            </w:pPr>
          </w:p>
        </w:tc>
        <w:tc>
          <w:tcPr>
            <w:tcW w:w="253" w:type="pct"/>
            <w:tcBorders>
              <w:top w:val="single" w:sz="4" w:space="0" w:color="auto"/>
              <w:left w:val="single" w:sz="4" w:space="0" w:color="auto"/>
              <w:bottom w:val="single" w:sz="4" w:space="0" w:color="auto"/>
              <w:right w:val="single" w:sz="4" w:space="0" w:color="auto"/>
            </w:tcBorders>
            <w:vAlign w:val="center"/>
          </w:tcPr>
          <w:p w14:paraId="4ADD6E82" w14:textId="77777777" w:rsidR="005D372A" w:rsidRPr="001D6D10" w:rsidRDefault="005D372A" w:rsidP="008B4B2B">
            <w:pPr>
              <w:jc w:val="center"/>
              <w:rPr>
                <w:rFonts w:ascii="ＭＳ 明朝"/>
                <w:sz w:val="16"/>
                <w:szCs w:val="16"/>
              </w:rPr>
            </w:pPr>
          </w:p>
        </w:tc>
        <w:tc>
          <w:tcPr>
            <w:tcW w:w="253" w:type="pct"/>
            <w:tcBorders>
              <w:top w:val="single" w:sz="4" w:space="0" w:color="auto"/>
              <w:left w:val="single" w:sz="4" w:space="0" w:color="auto"/>
              <w:bottom w:val="single" w:sz="4" w:space="0" w:color="auto"/>
              <w:right w:val="single" w:sz="4" w:space="0" w:color="auto"/>
            </w:tcBorders>
            <w:vAlign w:val="center"/>
          </w:tcPr>
          <w:p w14:paraId="2BE552C9" w14:textId="77777777" w:rsidR="005D372A" w:rsidRPr="001D6D10" w:rsidRDefault="005D372A" w:rsidP="008B4B2B">
            <w:pPr>
              <w:jc w:val="center"/>
              <w:rPr>
                <w:rFonts w:ascii="ＭＳ 明朝"/>
                <w:sz w:val="16"/>
                <w:szCs w:val="16"/>
              </w:rPr>
            </w:pPr>
          </w:p>
        </w:tc>
        <w:tc>
          <w:tcPr>
            <w:tcW w:w="253" w:type="pct"/>
            <w:tcBorders>
              <w:top w:val="single" w:sz="4" w:space="0" w:color="auto"/>
              <w:left w:val="single" w:sz="4" w:space="0" w:color="auto"/>
              <w:bottom w:val="single" w:sz="4" w:space="0" w:color="auto"/>
              <w:right w:val="single" w:sz="4" w:space="0" w:color="auto"/>
            </w:tcBorders>
            <w:vAlign w:val="center"/>
          </w:tcPr>
          <w:p w14:paraId="17A5AF88" w14:textId="77777777" w:rsidR="005D372A" w:rsidRPr="001D6D10" w:rsidRDefault="005D372A" w:rsidP="008B4B2B">
            <w:pPr>
              <w:jc w:val="center"/>
              <w:rPr>
                <w:rFonts w:ascii="ＭＳ 明朝"/>
                <w:sz w:val="16"/>
                <w:szCs w:val="16"/>
              </w:rPr>
            </w:pPr>
          </w:p>
        </w:tc>
        <w:tc>
          <w:tcPr>
            <w:tcW w:w="253" w:type="pct"/>
            <w:tcBorders>
              <w:top w:val="single" w:sz="4" w:space="0" w:color="auto"/>
              <w:left w:val="single" w:sz="4" w:space="0" w:color="auto"/>
              <w:bottom w:val="single" w:sz="4" w:space="0" w:color="auto"/>
              <w:right w:val="single" w:sz="4" w:space="0" w:color="auto"/>
            </w:tcBorders>
            <w:vAlign w:val="center"/>
          </w:tcPr>
          <w:p w14:paraId="4A4BA4F6" w14:textId="77777777" w:rsidR="005D372A" w:rsidRPr="001D6D10" w:rsidRDefault="005D372A" w:rsidP="008B4B2B">
            <w:pPr>
              <w:jc w:val="center"/>
              <w:rPr>
                <w:rFonts w:ascii="ＭＳ 明朝"/>
                <w:sz w:val="16"/>
                <w:szCs w:val="16"/>
              </w:rPr>
            </w:pPr>
          </w:p>
        </w:tc>
        <w:tc>
          <w:tcPr>
            <w:tcW w:w="255" w:type="pct"/>
            <w:tcBorders>
              <w:top w:val="single" w:sz="4" w:space="0" w:color="auto"/>
              <w:left w:val="single" w:sz="4" w:space="0" w:color="auto"/>
              <w:bottom w:val="single" w:sz="4" w:space="0" w:color="auto"/>
              <w:right w:val="single" w:sz="4" w:space="0" w:color="auto"/>
            </w:tcBorders>
            <w:vAlign w:val="center"/>
          </w:tcPr>
          <w:p w14:paraId="53043FD1" w14:textId="77777777" w:rsidR="005D372A" w:rsidRPr="001D6D10" w:rsidRDefault="005D372A" w:rsidP="008B4B2B">
            <w:pPr>
              <w:jc w:val="center"/>
              <w:rPr>
                <w:rFonts w:ascii="ＭＳ 明朝"/>
                <w:sz w:val="16"/>
                <w:szCs w:val="16"/>
              </w:rPr>
            </w:pPr>
          </w:p>
        </w:tc>
        <w:tc>
          <w:tcPr>
            <w:tcW w:w="253" w:type="pct"/>
            <w:tcBorders>
              <w:top w:val="single" w:sz="4" w:space="0" w:color="auto"/>
              <w:left w:val="single" w:sz="4" w:space="0" w:color="auto"/>
              <w:bottom w:val="single" w:sz="4" w:space="0" w:color="auto"/>
              <w:right w:val="single" w:sz="4" w:space="0" w:color="auto"/>
            </w:tcBorders>
            <w:shd w:val="clear" w:color="auto" w:fill="FFFFFF"/>
            <w:vAlign w:val="center"/>
          </w:tcPr>
          <w:p w14:paraId="65111595" w14:textId="77777777" w:rsidR="005D372A" w:rsidRPr="001D6D10" w:rsidRDefault="005D372A" w:rsidP="008B4B2B">
            <w:pPr>
              <w:jc w:val="center"/>
              <w:rPr>
                <w:rFonts w:ascii="ＭＳ 明朝"/>
                <w:sz w:val="16"/>
                <w:szCs w:val="16"/>
              </w:rPr>
            </w:pPr>
            <w:r w:rsidRPr="001D6D10">
              <w:rPr>
                <w:rFonts w:ascii="ＭＳ 明朝" w:hint="eastAsia"/>
                <w:sz w:val="16"/>
                <w:szCs w:val="16"/>
              </w:rPr>
              <w:t>○</w:t>
            </w:r>
          </w:p>
        </w:tc>
        <w:tc>
          <w:tcPr>
            <w:tcW w:w="244" w:type="pct"/>
            <w:tcBorders>
              <w:top w:val="single" w:sz="4" w:space="0" w:color="auto"/>
              <w:left w:val="single" w:sz="4" w:space="0" w:color="auto"/>
              <w:bottom w:val="single" w:sz="4" w:space="0" w:color="auto"/>
              <w:right w:val="single" w:sz="4" w:space="0" w:color="auto"/>
            </w:tcBorders>
            <w:shd w:val="clear" w:color="auto" w:fill="FFFFFF"/>
          </w:tcPr>
          <w:p w14:paraId="5B75DB1B" w14:textId="77777777" w:rsidR="005D372A" w:rsidRPr="001D6D10" w:rsidRDefault="005D372A" w:rsidP="008B4B2B">
            <w:pPr>
              <w:jc w:val="center"/>
              <w:rPr>
                <w:rFonts w:ascii="ＭＳ 明朝"/>
                <w:sz w:val="16"/>
                <w:szCs w:val="16"/>
              </w:rPr>
            </w:pPr>
          </w:p>
        </w:tc>
      </w:tr>
      <w:tr w:rsidR="001D6D10" w:rsidRPr="001D6D10" w14:paraId="1244B67E" w14:textId="77777777" w:rsidTr="001F5915">
        <w:trPr>
          <w:trHeight w:val="457"/>
        </w:trPr>
        <w:tc>
          <w:tcPr>
            <w:tcW w:w="188" w:type="pct"/>
            <w:tcBorders>
              <w:top w:val="single" w:sz="4" w:space="0" w:color="auto"/>
              <w:left w:val="single" w:sz="4" w:space="0" w:color="auto"/>
              <w:bottom w:val="single" w:sz="4" w:space="0" w:color="auto"/>
              <w:right w:val="single" w:sz="4" w:space="0" w:color="auto"/>
            </w:tcBorders>
            <w:vAlign w:val="center"/>
          </w:tcPr>
          <w:p w14:paraId="2AB827E2" w14:textId="77777777" w:rsidR="005D372A" w:rsidRPr="001D6D10" w:rsidRDefault="00882F04" w:rsidP="00B35001">
            <w:pPr>
              <w:jc w:val="center"/>
              <w:rPr>
                <w:rFonts w:ascii="ＭＳ 明朝"/>
                <w:sz w:val="14"/>
                <w:szCs w:val="16"/>
              </w:rPr>
            </w:pPr>
            <w:r w:rsidRPr="001D6D10">
              <w:rPr>
                <w:rFonts w:ascii="ＭＳ 明朝" w:hint="eastAsia"/>
                <w:sz w:val="14"/>
                <w:szCs w:val="16"/>
              </w:rPr>
              <w:t>2</w:t>
            </w:r>
            <w:r w:rsidRPr="001D6D10">
              <w:rPr>
                <w:rFonts w:ascii="ＭＳ 明朝"/>
                <w:sz w:val="14"/>
                <w:szCs w:val="16"/>
              </w:rPr>
              <w:t>0</w:t>
            </w:r>
          </w:p>
        </w:tc>
        <w:tc>
          <w:tcPr>
            <w:tcW w:w="391" w:type="pct"/>
            <w:vMerge/>
            <w:tcBorders>
              <w:left w:val="single" w:sz="4" w:space="0" w:color="auto"/>
              <w:bottom w:val="single" w:sz="4" w:space="0" w:color="auto"/>
              <w:right w:val="single" w:sz="4" w:space="0" w:color="auto"/>
            </w:tcBorders>
            <w:vAlign w:val="center"/>
          </w:tcPr>
          <w:p w14:paraId="75DEC74A" w14:textId="77777777" w:rsidR="005D372A" w:rsidRPr="001D6D10" w:rsidRDefault="005D372A" w:rsidP="008B4B2B">
            <w:pPr>
              <w:jc w:val="center"/>
              <w:rPr>
                <w:rFonts w:ascii="ＭＳ 明朝"/>
                <w:sz w:val="16"/>
                <w:szCs w:val="16"/>
              </w:rPr>
            </w:pPr>
          </w:p>
        </w:tc>
        <w:tc>
          <w:tcPr>
            <w:tcW w:w="886" w:type="pct"/>
            <w:tcBorders>
              <w:top w:val="single" w:sz="4" w:space="0" w:color="auto"/>
              <w:left w:val="single" w:sz="4" w:space="0" w:color="auto"/>
              <w:bottom w:val="single" w:sz="4" w:space="0" w:color="auto"/>
              <w:right w:val="single" w:sz="4" w:space="0" w:color="auto"/>
            </w:tcBorders>
            <w:vAlign w:val="center"/>
            <w:hideMark/>
          </w:tcPr>
          <w:p w14:paraId="7E9058F1" w14:textId="77777777" w:rsidR="005D372A" w:rsidRPr="001D6D10" w:rsidRDefault="005D372A" w:rsidP="008B4B2B">
            <w:pPr>
              <w:jc w:val="left"/>
              <w:rPr>
                <w:rFonts w:ascii="ＭＳ 明朝"/>
                <w:sz w:val="16"/>
                <w:szCs w:val="16"/>
              </w:rPr>
            </w:pPr>
            <w:r w:rsidRPr="001D6D10">
              <w:rPr>
                <w:rFonts w:ascii="ＭＳ 明朝" w:hint="eastAsia"/>
                <w:sz w:val="16"/>
                <w:szCs w:val="16"/>
              </w:rPr>
              <w:t>教育長</w:t>
            </w:r>
          </w:p>
        </w:tc>
        <w:tc>
          <w:tcPr>
            <w:tcW w:w="251" w:type="pct"/>
            <w:tcBorders>
              <w:top w:val="single" w:sz="4" w:space="0" w:color="auto"/>
              <w:left w:val="single" w:sz="4" w:space="0" w:color="auto"/>
              <w:bottom w:val="single" w:sz="4" w:space="0" w:color="auto"/>
              <w:right w:val="single" w:sz="4" w:space="0" w:color="auto"/>
            </w:tcBorders>
            <w:vAlign w:val="center"/>
            <w:hideMark/>
          </w:tcPr>
          <w:p w14:paraId="02B10785" w14:textId="77777777" w:rsidR="005D372A" w:rsidRPr="001D6D10" w:rsidRDefault="005D372A" w:rsidP="008B4B2B">
            <w:pPr>
              <w:jc w:val="center"/>
              <w:rPr>
                <w:rFonts w:ascii="ＭＳ 明朝"/>
                <w:sz w:val="16"/>
                <w:szCs w:val="16"/>
              </w:rPr>
            </w:pPr>
            <w:r w:rsidRPr="001D6D10">
              <w:rPr>
                <w:rFonts w:ascii="ＭＳ 明朝" w:hint="eastAsia"/>
                <w:sz w:val="16"/>
                <w:szCs w:val="16"/>
              </w:rPr>
              <w:t>○</w:t>
            </w:r>
          </w:p>
        </w:tc>
        <w:tc>
          <w:tcPr>
            <w:tcW w:w="253" w:type="pct"/>
            <w:tcBorders>
              <w:top w:val="single" w:sz="4" w:space="0" w:color="auto"/>
              <w:left w:val="single" w:sz="4" w:space="0" w:color="auto"/>
              <w:bottom w:val="single" w:sz="4" w:space="0" w:color="auto"/>
              <w:right w:val="single" w:sz="4" w:space="0" w:color="auto"/>
            </w:tcBorders>
            <w:vAlign w:val="center"/>
          </w:tcPr>
          <w:p w14:paraId="5C7A376E" w14:textId="77777777" w:rsidR="005D372A" w:rsidRPr="001D6D10" w:rsidRDefault="005D372A" w:rsidP="008B4B2B">
            <w:pPr>
              <w:jc w:val="center"/>
              <w:rPr>
                <w:rFonts w:ascii="ＭＳ 明朝"/>
                <w:sz w:val="16"/>
                <w:szCs w:val="16"/>
              </w:rPr>
            </w:pPr>
          </w:p>
        </w:tc>
        <w:tc>
          <w:tcPr>
            <w:tcW w:w="253" w:type="pct"/>
            <w:tcBorders>
              <w:top w:val="single" w:sz="4" w:space="0" w:color="auto"/>
              <w:left w:val="single" w:sz="4" w:space="0" w:color="auto"/>
              <w:bottom w:val="single" w:sz="4" w:space="0" w:color="auto"/>
              <w:right w:val="single" w:sz="4" w:space="0" w:color="auto"/>
            </w:tcBorders>
            <w:vAlign w:val="center"/>
          </w:tcPr>
          <w:p w14:paraId="57AD670E" w14:textId="77777777" w:rsidR="005D372A" w:rsidRPr="001D6D10" w:rsidRDefault="005D372A" w:rsidP="008B4B2B">
            <w:pPr>
              <w:jc w:val="center"/>
              <w:rPr>
                <w:rFonts w:ascii="ＭＳ 明朝"/>
                <w:sz w:val="16"/>
                <w:szCs w:val="16"/>
              </w:rPr>
            </w:pPr>
          </w:p>
        </w:tc>
        <w:tc>
          <w:tcPr>
            <w:tcW w:w="253" w:type="pct"/>
            <w:tcBorders>
              <w:top w:val="single" w:sz="4" w:space="0" w:color="auto"/>
              <w:left w:val="single" w:sz="4" w:space="0" w:color="auto"/>
              <w:bottom w:val="single" w:sz="4" w:space="0" w:color="auto"/>
              <w:right w:val="single" w:sz="4" w:space="0" w:color="auto"/>
            </w:tcBorders>
            <w:vAlign w:val="center"/>
          </w:tcPr>
          <w:p w14:paraId="32576ABD" w14:textId="77777777" w:rsidR="005D372A" w:rsidRPr="001D6D10" w:rsidRDefault="005D372A" w:rsidP="008B4B2B">
            <w:pPr>
              <w:jc w:val="center"/>
              <w:rPr>
                <w:rFonts w:ascii="ＭＳ 明朝"/>
                <w:sz w:val="16"/>
                <w:szCs w:val="16"/>
              </w:rPr>
            </w:pPr>
            <w:r w:rsidRPr="001D6D10">
              <w:rPr>
                <w:rFonts w:ascii="ＭＳ 明朝" w:hint="eastAsia"/>
                <w:sz w:val="16"/>
                <w:szCs w:val="16"/>
              </w:rPr>
              <w:t>○</w:t>
            </w:r>
          </w:p>
        </w:tc>
        <w:tc>
          <w:tcPr>
            <w:tcW w:w="244" w:type="pct"/>
            <w:tcBorders>
              <w:top w:val="single" w:sz="4" w:space="0" w:color="auto"/>
              <w:left w:val="single" w:sz="4" w:space="0" w:color="auto"/>
              <w:bottom w:val="single" w:sz="4" w:space="0" w:color="auto"/>
              <w:right w:val="single" w:sz="4" w:space="0" w:color="auto"/>
            </w:tcBorders>
            <w:shd w:val="clear" w:color="auto" w:fill="FFFFFF"/>
            <w:vAlign w:val="center"/>
          </w:tcPr>
          <w:p w14:paraId="5EA6A8A7" w14:textId="77777777" w:rsidR="005D372A" w:rsidRPr="001D6D10" w:rsidRDefault="005D372A" w:rsidP="008B4B2B">
            <w:pPr>
              <w:jc w:val="center"/>
              <w:rPr>
                <w:rFonts w:ascii="ＭＳ 明朝"/>
                <w:sz w:val="16"/>
                <w:szCs w:val="16"/>
              </w:rPr>
            </w:pPr>
          </w:p>
        </w:tc>
        <w:tc>
          <w:tcPr>
            <w:tcW w:w="262" w:type="pct"/>
            <w:tcBorders>
              <w:top w:val="single" w:sz="4" w:space="0" w:color="auto"/>
              <w:left w:val="single" w:sz="4" w:space="0" w:color="auto"/>
              <w:bottom w:val="single" w:sz="4" w:space="0" w:color="auto"/>
              <w:right w:val="single" w:sz="4" w:space="0" w:color="auto"/>
            </w:tcBorders>
            <w:vAlign w:val="center"/>
          </w:tcPr>
          <w:p w14:paraId="3AA10043" w14:textId="77777777" w:rsidR="005D372A" w:rsidRPr="001D6D10" w:rsidRDefault="005D372A" w:rsidP="008B4B2B">
            <w:pPr>
              <w:jc w:val="center"/>
              <w:rPr>
                <w:rFonts w:ascii="ＭＳ 明朝"/>
                <w:sz w:val="16"/>
                <w:szCs w:val="16"/>
              </w:rPr>
            </w:pPr>
          </w:p>
        </w:tc>
        <w:tc>
          <w:tcPr>
            <w:tcW w:w="253" w:type="pct"/>
            <w:tcBorders>
              <w:top w:val="single" w:sz="4" w:space="0" w:color="auto"/>
              <w:left w:val="single" w:sz="4" w:space="0" w:color="auto"/>
              <w:bottom w:val="single" w:sz="4" w:space="0" w:color="auto"/>
              <w:right w:val="single" w:sz="4" w:space="0" w:color="auto"/>
            </w:tcBorders>
            <w:vAlign w:val="center"/>
          </w:tcPr>
          <w:p w14:paraId="4D93CBE7" w14:textId="77777777" w:rsidR="005D372A" w:rsidRPr="001D6D10" w:rsidRDefault="005D372A" w:rsidP="008B4B2B">
            <w:pPr>
              <w:jc w:val="center"/>
              <w:rPr>
                <w:rFonts w:ascii="ＭＳ 明朝"/>
                <w:sz w:val="16"/>
                <w:szCs w:val="16"/>
              </w:rPr>
            </w:pPr>
          </w:p>
        </w:tc>
        <w:tc>
          <w:tcPr>
            <w:tcW w:w="253" w:type="pct"/>
            <w:tcBorders>
              <w:top w:val="single" w:sz="4" w:space="0" w:color="auto"/>
              <w:left w:val="single" w:sz="4" w:space="0" w:color="auto"/>
              <w:bottom w:val="single" w:sz="4" w:space="0" w:color="auto"/>
              <w:right w:val="single" w:sz="4" w:space="0" w:color="auto"/>
            </w:tcBorders>
            <w:vAlign w:val="center"/>
          </w:tcPr>
          <w:p w14:paraId="3A023449" w14:textId="77777777" w:rsidR="005D372A" w:rsidRPr="001D6D10" w:rsidRDefault="005D372A" w:rsidP="008B4B2B">
            <w:pPr>
              <w:jc w:val="center"/>
              <w:rPr>
                <w:rFonts w:ascii="ＭＳ 明朝"/>
                <w:sz w:val="16"/>
                <w:szCs w:val="16"/>
              </w:rPr>
            </w:pPr>
          </w:p>
        </w:tc>
        <w:tc>
          <w:tcPr>
            <w:tcW w:w="253" w:type="pct"/>
            <w:tcBorders>
              <w:top w:val="single" w:sz="4" w:space="0" w:color="auto"/>
              <w:left w:val="single" w:sz="4" w:space="0" w:color="auto"/>
              <w:bottom w:val="single" w:sz="4" w:space="0" w:color="auto"/>
              <w:right w:val="single" w:sz="4" w:space="0" w:color="auto"/>
            </w:tcBorders>
            <w:vAlign w:val="center"/>
          </w:tcPr>
          <w:p w14:paraId="019CA66C" w14:textId="77777777" w:rsidR="005D372A" w:rsidRPr="001D6D10" w:rsidRDefault="005D372A" w:rsidP="008B4B2B">
            <w:pPr>
              <w:jc w:val="center"/>
              <w:rPr>
                <w:rFonts w:ascii="ＭＳ 明朝"/>
                <w:sz w:val="16"/>
                <w:szCs w:val="16"/>
              </w:rPr>
            </w:pPr>
          </w:p>
        </w:tc>
        <w:tc>
          <w:tcPr>
            <w:tcW w:w="253" w:type="pct"/>
            <w:tcBorders>
              <w:top w:val="single" w:sz="4" w:space="0" w:color="auto"/>
              <w:left w:val="single" w:sz="4" w:space="0" w:color="auto"/>
              <w:bottom w:val="single" w:sz="4" w:space="0" w:color="auto"/>
              <w:right w:val="single" w:sz="4" w:space="0" w:color="auto"/>
            </w:tcBorders>
            <w:vAlign w:val="center"/>
          </w:tcPr>
          <w:p w14:paraId="71A91ECD" w14:textId="77777777" w:rsidR="005D372A" w:rsidRPr="001D6D10" w:rsidRDefault="005D372A" w:rsidP="008B4B2B">
            <w:pPr>
              <w:jc w:val="center"/>
              <w:rPr>
                <w:rFonts w:ascii="ＭＳ 明朝"/>
                <w:sz w:val="16"/>
                <w:szCs w:val="16"/>
              </w:rPr>
            </w:pPr>
          </w:p>
        </w:tc>
        <w:tc>
          <w:tcPr>
            <w:tcW w:w="253" w:type="pct"/>
            <w:tcBorders>
              <w:top w:val="single" w:sz="4" w:space="0" w:color="auto"/>
              <w:left w:val="single" w:sz="4" w:space="0" w:color="auto"/>
              <w:bottom w:val="single" w:sz="4" w:space="0" w:color="auto"/>
              <w:right w:val="single" w:sz="4" w:space="0" w:color="auto"/>
            </w:tcBorders>
            <w:vAlign w:val="center"/>
          </w:tcPr>
          <w:p w14:paraId="000F86B4" w14:textId="77777777" w:rsidR="005D372A" w:rsidRPr="001D6D10" w:rsidRDefault="005D372A" w:rsidP="008B4B2B">
            <w:pPr>
              <w:jc w:val="center"/>
              <w:rPr>
                <w:rFonts w:ascii="ＭＳ 明朝"/>
                <w:sz w:val="16"/>
                <w:szCs w:val="16"/>
              </w:rPr>
            </w:pPr>
          </w:p>
        </w:tc>
        <w:tc>
          <w:tcPr>
            <w:tcW w:w="255" w:type="pct"/>
            <w:tcBorders>
              <w:top w:val="single" w:sz="4" w:space="0" w:color="auto"/>
              <w:left w:val="single" w:sz="4" w:space="0" w:color="auto"/>
              <w:bottom w:val="single" w:sz="4" w:space="0" w:color="auto"/>
              <w:right w:val="single" w:sz="4" w:space="0" w:color="auto"/>
            </w:tcBorders>
            <w:vAlign w:val="center"/>
          </w:tcPr>
          <w:p w14:paraId="6EAF5984" w14:textId="77777777" w:rsidR="005D372A" w:rsidRPr="001D6D10" w:rsidRDefault="005D372A" w:rsidP="008B4B2B">
            <w:pPr>
              <w:jc w:val="center"/>
              <w:rPr>
                <w:rFonts w:ascii="ＭＳ 明朝"/>
                <w:sz w:val="16"/>
                <w:szCs w:val="16"/>
              </w:rPr>
            </w:pPr>
          </w:p>
        </w:tc>
        <w:tc>
          <w:tcPr>
            <w:tcW w:w="253" w:type="pct"/>
            <w:tcBorders>
              <w:top w:val="single" w:sz="4" w:space="0" w:color="auto"/>
              <w:left w:val="single" w:sz="4" w:space="0" w:color="auto"/>
              <w:bottom w:val="single" w:sz="4" w:space="0" w:color="auto"/>
              <w:right w:val="single" w:sz="4" w:space="0" w:color="auto"/>
            </w:tcBorders>
            <w:shd w:val="clear" w:color="auto" w:fill="FFFFFF"/>
            <w:vAlign w:val="center"/>
          </w:tcPr>
          <w:p w14:paraId="580A0AA6" w14:textId="77777777" w:rsidR="005D372A" w:rsidRPr="001D6D10" w:rsidRDefault="005D372A" w:rsidP="008B4B2B">
            <w:pPr>
              <w:jc w:val="center"/>
              <w:rPr>
                <w:rFonts w:ascii="ＭＳ 明朝"/>
                <w:sz w:val="16"/>
                <w:szCs w:val="16"/>
              </w:rPr>
            </w:pPr>
            <w:r w:rsidRPr="001D6D10">
              <w:rPr>
                <w:rFonts w:ascii="ＭＳ 明朝" w:hint="eastAsia"/>
                <w:sz w:val="16"/>
                <w:szCs w:val="16"/>
              </w:rPr>
              <w:t>○</w:t>
            </w:r>
          </w:p>
        </w:tc>
        <w:tc>
          <w:tcPr>
            <w:tcW w:w="244" w:type="pct"/>
            <w:tcBorders>
              <w:top w:val="single" w:sz="4" w:space="0" w:color="auto"/>
              <w:left w:val="single" w:sz="4" w:space="0" w:color="auto"/>
              <w:bottom w:val="single" w:sz="4" w:space="0" w:color="auto"/>
              <w:right w:val="single" w:sz="4" w:space="0" w:color="auto"/>
            </w:tcBorders>
            <w:shd w:val="clear" w:color="auto" w:fill="FFFFFF"/>
          </w:tcPr>
          <w:p w14:paraId="144766F0" w14:textId="77777777" w:rsidR="005D372A" w:rsidRPr="001D6D10" w:rsidRDefault="005D372A" w:rsidP="008B4B2B">
            <w:pPr>
              <w:jc w:val="center"/>
              <w:rPr>
                <w:rFonts w:ascii="ＭＳ 明朝"/>
                <w:sz w:val="16"/>
                <w:szCs w:val="16"/>
              </w:rPr>
            </w:pPr>
          </w:p>
        </w:tc>
      </w:tr>
    </w:tbl>
    <w:p w14:paraId="7119C72D" w14:textId="5555F450" w:rsidR="005D372A" w:rsidRPr="001D6D10" w:rsidRDefault="005076DF" w:rsidP="005D372A">
      <w:pPr>
        <w:rPr>
          <w:rFonts w:ascii="ＭＳ 明朝" w:hAnsi="ＭＳ 明朝" w:cs="ＭＳ 明朝"/>
          <w:kern w:val="0"/>
          <w:sz w:val="22"/>
          <w:szCs w:val="22"/>
        </w:rPr>
      </w:pPr>
      <w:r w:rsidRPr="001D6D10">
        <w:rPr>
          <w:noProof/>
        </w:rPr>
        <mc:AlternateContent>
          <mc:Choice Requires="wps">
            <w:drawing>
              <wp:anchor distT="0" distB="0" distL="114300" distR="114300" simplePos="0" relativeHeight="254253056" behindDoc="0" locked="0" layoutInCell="1" allowOverlap="1" wp14:anchorId="45CB8648" wp14:editId="28B7B1AE">
                <wp:simplePos x="0" y="0"/>
                <wp:positionH relativeFrom="column">
                  <wp:posOffset>232361</wp:posOffset>
                </wp:positionH>
                <wp:positionV relativeFrom="paragraph">
                  <wp:posOffset>7101156</wp:posOffset>
                </wp:positionV>
                <wp:extent cx="5767754" cy="289560"/>
                <wp:effectExtent l="0" t="0" r="0" b="0"/>
                <wp:wrapNone/>
                <wp:docPr id="225" name="Text Box 375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67754" cy="2895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85F6964" w14:textId="4898C08F" w:rsidR="005076DF" w:rsidRPr="00D705BF" w:rsidRDefault="005076DF" w:rsidP="00651F47">
                            <w:pPr>
                              <w:ind w:firstLineChars="100" w:firstLine="161"/>
                              <w:jc w:val="left"/>
                              <w:rPr>
                                <w:sz w:val="16"/>
                                <w:szCs w:val="16"/>
                              </w:rPr>
                            </w:pPr>
                            <w:r w:rsidRPr="00D705BF">
                              <w:rPr>
                                <w:rFonts w:hint="eastAsia"/>
                                <w:sz w:val="16"/>
                                <w:szCs w:val="16"/>
                              </w:rPr>
                              <w:t>「南海トラフ地震臨時情報」の発表に伴う災害警戒本部会議の構成は、自然災害の「地震」及び「津波」</w:t>
                            </w:r>
                            <w:r w:rsidR="00651F47" w:rsidRPr="00D705BF">
                              <w:rPr>
                                <w:rFonts w:hint="eastAsia"/>
                                <w:sz w:val="16"/>
                                <w:szCs w:val="16"/>
                              </w:rPr>
                              <w:t>を適用する</w:t>
                            </w:r>
                            <w:r w:rsidRPr="00D705BF">
                              <w:rPr>
                                <w:rFonts w:hint="eastAsia"/>
                                <w:sz w:val="16"/>
                                <w:szCs w:val="16"/>
                              </w:rPr>
                              <w:t>。</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shape w14:anchorId="45CB8648" id="_x0000_s1166" type="#_x0000_t202" style="position:absolute;left:0;text-align:left;margin-left:18.3pt;margin-top:559.15pt;width:454.15pt;height:22.8pt;z-index:2542530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" filled="f" stroked="f">
                <v:textbox>
                  <w:txbxContent>
                    <w:p w14:paraId="085F6964" w14:textId="4898C08F" w:rsidR="005076DF" w:rsidRPr="00D705BF" w:rsidRDefault="005076DF" w:rsidP="00651F47">
                      <w:pPr>
                        <w:ind w:firstLineChars="100" w:firstLine="161"/>
                        <w:jc w:val="left"/>
                        <w:rPr>
                          <w:sz w:val="16"/>
                          <w:szCs w:val="16"/>
                        </w:rPr>
                      </w:pPr>
                      <w:r w:rsidRPr="00D705BF">
                        <w:rPr>
                          <w:rFonts w:hint="eastAsia"/>
                          <w:sz w:val="16"/>
                          <w:szCs w:val="16"/>
                        </w:rPr>
                        <w:t>「南海トラフ地震臨時情報」の発表に伴う災害警戒本部会議の構成は、自然災害の「地震」及び「津波」</w:t>
                      </w:r>
                      <w:r w:rsidR="00651F47" w:rsidRPr="00D705BF">
                        <w:rPr>
                          <w:rFonts w:hint="eastAsia"/>
                          <w:sz w:val="16"/>
                          <w:szCs w:val="16"/>
                        </w:rPr>
                        <w:t>を適用する</w:t>
                      </w:r>
                      <w:r w:rsidRPr="00D705BF">
                        <w:rPr>
                          <w:rFonts w:hint="eastAsia"/>
                          <w:sz w:val="16"/>
                          <w:szCs w:val="16"/>
                        </w:rPr>
                        <w:t>。</w:t>
                      </w:r>
                    </w:p>
                  </w:txbxContent>
                </v:textbox>
              </v:shape>
            </w:pict>
          </mc:Fallback>
        </mc:AlternateContent>
      </w:r>
      <w:r w:rsidR="005D372A" w:rsidRPr="001D6D10">
        <w:rPr>
          <w:rFonts w:ascii="ＭＳ 明朝" w:hAnsi="ＭＳ 明朝" w:cs="ＭＳ 明朝" w:hint="eastAsia"/>
          <w:kern w:val="0"/>
          <w:sz w:val="22"/>
          <w:szCs w:val="22"/>
        </w:rPr>
        <w:t xml:space="preserve">      </w:t>
      </w:r>
    </w:p>
    <w:p w14:paraId="04FB0D86" w14:textId="5D77BB36" w:rsidR="005D372A" w:rsidRPr="001D6D10" w:rsidRDefault="005D372A" w:rsidP="005D372A">
      <w:pPr>
        <w:rPr>
          <w:rFonts w:ascii="ＭＳ 明朝" w:hAnsi="ＭＳ 明朝" w:cs="ＭＳ 明朝"/>
          <w:kern w:val="0"/>
          <w:sz w:val="22"/>
          <w:szCs w:val="22"/>
        </w:rPr>
      </w:pPr>
    </w:p>
    <w:p w14:paraId="2E42910B" w14:textId="77777777" w:rsidR="005D372A" w:rsidRPr="001D6D10" w:rsidRDefault="005D372A" w:rsidP="005D372A">
      <w:pPr>
        <w:rPr>
          <w:rFonts w:ascii="ＭＳ 明朝" w:hAnsi="ＭＳ 明朝" w:cs="ＭＳ 明朝"/>
          <w:kern w:val="0"/>
          <w:sz w:val="22"/>
          <w:szCs w:val="22"/>
        </w:rPr>
      </w:pPr>
    </w:p>
    <w:p w14:paraId="4AC311C9" w14:textId="77777777" w:rsidR="005D372A" w:rsidRPr="001D6D10" w:rsidRDefault="005D372A" w:rsidP="005D372A">
      <w:pPr>
        <w:rPr>
          <w:rFonts w:ascii="ＭＳ 明朝" w:hAnsi="ＭＳ 明朝" w:cs="ＭＳ 明朝"/>
          <w:kern w:val="0"/>
          <w:sz w:val="22"/>
          <w:szCs w:val="22"/>
        </w:rPr>
      </w:pPr>
    </w:p>
    <w:p w14:paraId="388E2E1A" w14:textId="77777777" w:rsidR="00934E60" w:rsidRPr="001D6D10" w:rsidRDefault="00934E60" w:rsidP="005D372A">
      <w:pPr>
        <w:rPr>
          <w:rFonts w:ascii="ＭＳ 明朝" w:hAnsi="ＭＳ 明朝" w:cs="ＭＳ 明朝"/>
          <w:kern w:val="0"/>
          <w:sz w:val="22"/>
          <w:szCs w:val="22"/>
        </w:rPr>
      </w:pPr>
    </w:p>
    <w:p w14:paraId="418B6C5E" w14:textId="77777777" w:rsidR="005D372A" w:rsidRPr="001D6D10" w:rsidRDefault="005D372A" w:rsidP="002879FF">
      <w:pPr>
        <w:pStyle w:val="4"/>
        <w:ind w:leftChars="0" w:left="840" w:hangingChars="380" w:hanging="840"/>
        <w:rPr>
          <w:rFonts w:ascii="ＭＳ ゴシック" w:eastAsia="ＭＳ ゴシック" w:hAnsi="ＭＳ ゴシック"/>
          <w:b w:val="0"/>
          <w:sz w:val="22"/>
          <w:szCs w:val="22"/>
          <w:u w:val="single"/>
        </w:rPr>
      </w:pPr>
      <w:bookmarkStart w:id="48" w:name="_Toc122436879"/>
      <w:bookmarkStart w:id="49" w:name="_Toc222486569"/>
      <w:bookmarkStart w:id="50" w:name="_Toc242870238"/>
      <w:r w:rsidRPr="001D6D10">
        <w:rPr>
          <w:rFonts w:ascii="ＭＳ ゴシック" w:eastAsia="ＭＳ ゴシック" w:hAnsi="ＭＳ ゴシック" w:hint="eastAsia"/>
          <w:b w:val="0"/>
          <w:sz w:val="22"/>
          <w:szCs w:val="22"/>
          <w:u w:val="single"/>
        </w:rPr>
        <w:lastRenderedPageBreak/>
        <w:t>４-１　災害対策本部の活動</w:t>
      </w:r>
      <w:bookmarkEnd w:id="48"/>
      <w:bookmarkEnd w:id="49"/>
      <w:bookmarkEnd w:id="50"/>
    </w:p>
    <w:p w14:paraId="1CC93295" w14:textId="77777777" w:rsidR="005D372A" w:rsidRPr="001D6D10" w:rsidRDefault="005D372A" w:rsidP="005D372A">
      <w:pPr>
        <w:ind w:left="221" w:hangingChars="100" w:hanging="221"/>
        <w:rPr>
          <w:rFonts w:ascii="ＭＳ 明朝" w:hAnsi="ＭＳ 明朝"/>
          <w:sz w:val="22"/>
          <w:szCs w:val="22"/>
        </w:rPr>
      </w:pPr>
      <w:r w:rsidRPr="001D6D10">
        <w:rPr>
          <w:rFonts w:ascii="ＭＳ ゴシック" w:eastAsia="ＭＳ ゴシック" w:hAnsi="ＭＳ ゴシック" w:hint="eastAsia"/>
          <w:sz w:val="22"/>
          <w:szCs w:val="22"/>
        </w:rPr>
        <w:t xml:space="preserve">　　　　</w:t>
      </w:r>
      <w:r w:rsidRPr="001D6D10">
        <w:rPr>
          <w:rFonts w:ascii="ＭＳ 明朝" w:hAnsi="ＭＳ 明朝" w:hint="eastAsia"/>
          <w:sz w:val="22"/>
          <w:szCs w:val="22"/>
        </w:rPr>
        <w:t>(1)　災害対策本部の活動</w:t>
      </w:r>
    </w:p>
    <w:p w14:paraId="6DA64F33" w14:textId="77777777" w:rsidR="005D372A" w:rsidRPr="001D6D10" w:rsidRDefault="005D372A" w:rsidP="005D372A">
      <w:pPr>
        <w:ind w:firstLineChars="650" w:firstLine="1437"/>
        <w:rPr>
          <w:rFonts w:ascii="ＭＳ ゴシック" w:eastAsia="ＭＳ ゴシック" w:hAnsi="ＭＳ ゴシック"/>
          <w:sz w:val="22"/>
          <w:szCs w:val="22"/>
          <w:bdr w:val="single" w:sz="4" w:space="0" w:color="auto"/>
        </w:rPr>
      </w:pPr>
      <w:r w:rsidRPr="001D6D10">
        <w:rPr>
          <w:rFonts w:ascii="ＭＳ ゴシック" w:eastAsia="ＭＳ ゴシック" w:hAnsi="ＭＳ ゴシック" w:hint="eastAsia"/>
          <w:sz w:val="22"/>
          <w:szCs w:val="22"/>
          <w:bdr w:val="single" w:sz="4" w:space="0" w:color="auto"/>
        </w:rPr>
        <w:t>主たる担当：危機管理室、関係室・課：全部局室・課</w:t>
      </w:r>
    </w:p>
    <w:p w14:paraId="203945E6" w14:textId="77777777" w:rsidR="005D372A" w:rsidRPr="001D6D10" w:rsidRDefault="005D372A" w:rsidP="005D372A">
      <w:pPr>
        <w:ind w:leftChars="-50" w:left="1221" w:hangingChars="600" w:hanging="1327"/>
        <w:rPr>
          <w:sz w:val="22"/>
          <w:szCs w:val="22"/>
        </w:rPr>
      </w:pPr>
      <w:r w:rsidRPr="001D6D10">
        <w:rPr>
          <w:rFonts w:ascii="ＭＳ 明朝" w:hAnsi="ＭＳ 明朝" w:hint="eastAsia"/>
          <w:sz w:val="22"/>
          <w:szCs w:val="22"/>
        </w:rPr>
        <w:t xml:space="preserve">　　　　　　  </w:t>
      </w:r>
      <w:r w:rsidRPr="001D6D10">
        <w:rPr>
          <w:rFonts w:hint="eastAsia"/>
          <w:sz w:val="22"/>
          <w:szCs w:val="22"/>
        </w:rPr>
        <w:t>知事は、次の設置基準に該当する場合には、大阪府災害対策本部</w:t>
      </w:r>
      <w:r w:rsidRPr="001D6D10">
        <w:rPr>
          <w:rFonts w:ascii="ＭＳ 明朝" w:hAnsi="ＭＳ 明朝" w:hint="eastAsia"/>
          <w:sz w:val="22"/>
          <w:szCs w:val="22"/>
        </w:rPr>
        <w:t>（以下、「災対本部」という）</w:t>
      </w:r>
      <w:r w:rsidRPr="001D6D10">
        <w:rPr>
          <w:rFonts w:hint="eastAsia"/>
          <w:sz w:val="22"/>
          <w:szCs w:val="22"/>
        </w:rPr>
        <w:t>を設置し、災害応急対策等を実施する。</w:t>
      </w:r>
    </w:p>
    <w:p w14:paraId="503B5176" w14:textId="77777777" w:rsidR="005D372A" w:rsidRPr="001D6D10" w:rsidRDefault="005D372A" w:rsidP="005D372A">
      <w:pPr>
        <w:ind w:leftChars="550" w:left="1161" w:firstLineChars="100" w:firstLine="221"/>
        <w:rPr>
          <w:rFonts w:ascii="ＭＳ 明朝" w:hAnsi="ＭＳ 明朝"/>
          <w:sz w:val="22"/>
          <w:szCs w:val="22"/>
        </w:rPr>
      </w:pPr>
      <w:r w:rsidRPr="001D6D10">
        <w:rPr>
          <w:rFonts w:hint="eastAsia"/>
          <w:sz w:val="22"/>
          <w:szCs w:val="22"/>
        </w:rPr>
        <w:t>また、指令部長は、その旨を各部連絡責任者に通知する。</w:t>
      </w:r>
    </w:p>
    <w:tbl>
      <w:tblPr>
        <w:tblStyle w:val="ab"/>
        <w:tblW w:w="9776" w:type="dxa"/>
        <w:tblLook w:val="04A0" w:firstRow="1" w:lastRow="0" w:firstColumn="1" w:lastColumn="0" w:noHBand="0" w:noVBand="1"/>
      </w:tblPr>
      <w:tblGrid>
        <w:gridCol w:w="1413"/>
        <w:gridCol w:w="8363"/>
      </w:tblGrid>
      <w:tr w:rsidR="001D6D10" w:rsidRPr="00E0548A" w14:paraId="2EF4B38D" w14:textId="77777777" w:rsidTr="008B4B2B">
        <w:trPr>
          <w:trHeight w:val="3049"/>
        </w:trPr>
        <w:tc>
          <w:tcPr>
            <w:tcW w:w="1413" w:type="dxa"/>
          </w:tcPr>
          <w:p w14:paraId="0EB0EB98" w14:textId="77777777" w:rsidR="005D372A" w:rsidRPr="00E0548A" w:rsidRDefault="005D372A" w:rsidP="008B4B2B">
            <w:pPr>
              <w:rPr>
                <w:rFonts w:hAnsi="ＭＳ 明朝"/>
                <w:sz w:val="22"/>
                <w:szCs w:val="22"/>
              </w:rPr>
            </w:pPr>
            <w:r w:rsidRPr="00E0548A">
              <w:rPr>
                <w:rFonts w:hAnsi="ＭＳ 明朝" w:hint="eastAsia"/>
                <w:sz w:val="22"/>
                <w:szCs w:val="22"/>
              </w:rPr>
              <w:t>①設置基準</w:t>
            </w:r>
          </w:p>
        </w:tc>
        <w:tc>
          <w:tcPr>
            <w:tcW w:w="8363" w:type="dxa"/>
          </w:tcPr>
          <w:p w14:paraId="344AE3E3" w14:textId="77777777" w:rsidR="005D372A" w:rsidRPr="00E0548A" w:rsidRDefault="005D372A" w:rsidP="008B4B2B">
            <w:pPr>
              <w:pStyle w:val="ad"/>
              <w:overflowPunct w:val="0"/>
              <w:spacing w:line="340" w:lineRule="exact"/>
              <w:rPr>
                <w:rFonts w:hAnsi="ＭＳ 明朝"/>
              </w:rPr>
            </w:pPr>
            <w:r w:rsidRPr="00E0548A">
              <w:rPr>
                <w:rFonts w:hAnsi="ＭＳ 明朝" w:hint="eastAsia"/>
              </w:rPr>
              <w:t>ア　・府域において、震度６弱以上を観測したとき（自動設置）</w:t>
            </w:r>
          </w:p>
          <w:p w14:paraId="381541C0" w14:textId="77777777" w:rsidR="005D372A" w:rsidRPr="00E0548A" w:rsidRDefault="005D372A" w:rsidP="008B4B2B">
            <w:pPr>
              <w:pStyle w:val="ad"/>
              <w:overflowPunct w:val="0"/>
              <w:spacing w:line="340" w:lineRule="exact"/>
              <w:rPr>
                <w:rFonts w:hAnsi="ＭＳ 明朝"/>
              </w:rPr>
            </w:pPr>
            <w:r w:rsidRPr="00E0548A">
              <w:rPr>
                <w:rFonts w:hAnsi="ＭＳ 明朝" w:hint="eastAsia"/>
              </w:rPr>
              <w:t xml:space="preserve">　　・府域において、大津波警報が発表されたとき（自動設置）</w:t>
            </w:r>
            <w:r w:rsidR="000E0B1B" w:rsidRPr="00E0548A">
              <w:rPr>
                <w:rFonts w:hAnsi="ＭＳ 明朝" w:hint="eastAsia"/>
              </w:rPr>
              <w:t>（遠地津波含む）</w:t>
            </w:r>
          </w:p>
          <w:p w14:paraId="228824C4" w14:textId="77777777" w:rsidR="005D372A" w:rsidRPr="00E0548A" w:rsidRDefault="005D372A" w:rsidP="008B4B2B">
            <w:pPr>
              <w:pStyle w:val="ad"/>
              <w:overflowPunct w:val="0"/>
              <w:spacing w:line="340" w:lineRule="exact"/>
              <w:rPr>
                <w:rFonts w:hAnsi="ＭＳ 明朝"/>
              </w:rPr>
            </w:pPr>
            <w:r w:rsidRPr="00E0548A">
              <w:rPr>
                <w:rFonts w:hAnsi="ＭＳ 明朝" w:hint="eastAsia"/>
              </w:rPr>
              <w:t>イ　次の条件を満たしたとき</w:t>
            </w:r>
          </w:p>
          <w:p w14:paraId="5BF727A7" w14:textId="77777777" w:rsidR="005D372A" w:rsidRPr="00E0548A" w:rsidRDefault="005D372A" w:rsidP="008B4B2B">
            <w:pPr>
              <w:pStyle w:val="ad"/>
              <w:overflowPunct w:val="0"/>
              <w:spacing w:line="340" w:lineRule="exact"/>
              <w:rPr>
                <w:rFonts w:hAnsi="ＭＳ 明朝"/>
              </w:rPr>
            </w:pPr>
            <w:r w:rsidRPr="00E0548A">
              <w:rPr>
                <w:rFonts w:hAnsi="ＭＳ 明朝" w:hint="eastAsia"/>
              </w:rPr>
              <w:t xml:space="preserve">　　・府域において、特別警報が発表されたとき</w:t>
            </w:r>
          </w:p>
          <w:p w14:paraId="33B91134" w14:textId="77777777" w:rsidR="005D372A" w:rsidRPr="00E0548A" w:rsidRDefault="005D372A" w:rsidP="008B4B2B">
            <w:pPr>
              <w:pStyle w:val="ad"/>
              <w:overflowPunct w:val="0"/>
              <w:spacing w:line="340" w:lineRule="exact"/>
              <w:rPr>
                <w:rFonts w:hAnsi="ＭＳ 明朝"/>
              </w:rPr>
            </w:pPr>
            <w:r w:rsidRPr="00E0548A">
              <w:rPr>
                <w:rFonts w:hAnsi="ＭＳ 明朝" w:hint="eastAsia"/>
              </w:rPr>
              <w:t xml:space="preserve">　　・「災害モード宣言」を発信したとき（自動設置）</w:t>
            </w:r>
          </w:p>
          <w:p w14:paraId="5DD5C211" w14:textId="77777777" w:rsidR="005D372A" w:rsidRPr="00E0548A" w:rsidRDefault="005D372A" w:rsidP="008B4B2B">
            <w:pPr>
              <w:pStyle w:val="ad"/>
              <w:overflowPunct w:val="0"/>
              <w:spacing w:line="340" w:lineRule="exact"/>
              <w:rPr>
                <w:rFonts w:hAnsi="ＭＳ 明朝"/>
              </w:rPr>
            </w:pPr>
            <w:r w:rsidRPr="00E0548A">
              <w:rPr>
                <w:rFonts w:hAnsi="ＭＳ 明朝" w:hint="eastAsia"/>
              </w:rPr>
              <w:t>ウ　下記の場合で、知事が必要と認めたとき</w:t>
            </w:r>
          </w:p>
          <w:p w14:paraId="6C82FFA2" w14:textId="77777777" w:rsidR="005D372A" w:rsidRPr="00E0548A" w:rsidRDefault="005D372A" w:rsidP="008B4B2B">
            <w:pPr>
              <w:pStyle w:val="ad"/>
              <w:overflowPunct w:val="0"/>
              <w:spacing w:line="340" w:lineRule="exact"/>
              <w:ind w:left="663" w:hangingChars="300" w:hanging="663"/>
              <w:rPr>
                <w:rFonts w:hAnsi="ＭＳ 明朝"/>
              </w:rPr>
            </w:pPr>
            <w:r w:rsidRPr="00E0548A">
              <w:rPr>
                <w:rFonts w:hAnsi="ＭＳ 明朝" w:hint="eastAsia"/>
              </w:rPr>
              <w:t xml:space="preserve">　　・指令部または警戒本部が災害等の情報により大規模な災害等が発生したと判断したとき</w:t>
            </w:r>
          </w:p>
          <w:p w14:paraId="7895D48C" w14:textId="77777777" w:rsidR="005D372A" w:rsidRPr="00E0548A" w:rsidRDefault="005D372A" w:rsidP="008B4B2B">
            <w:pPr>
              <w:pStyle w:val="ad"/>
              <w:overflowPunct w:val="0"/>
              <w:spacing w:line="340" w:lineRule="exact"/>
              <w:rPr>
                <w:rFonts w:hAnsi="ＭＳ 明朝"/>
              </w:rPr>
            </w:pPr>
            <w:r w:rsidRPr="00E0548A">
              <w:rPr>
                <w:rFonts w:hAnsi="ＭＳ 明朝" w:hint="eastAsia"/>
              </w:rPr>
              <w:t xml:space="preserve">　　・津波による大規模な災害の発生が予測され、対策を要すると認められるとき</w:t>
            </w:r>
          </w:p>
          <w:p w14:paraId="2707F1E0" w14:textId="7C211EBC" w:rsidR="005D372A" w:rsidRPr="00E0548A" w:rsidRDefault="005D372A" w:rsidP="008B4B2B">
            <w:pPr>
              <w:pStyle w:val="ad"/>
              <w:overflowPunct w:val="0"/>
              <w:spacing w:line="340" w:lineRule="exact"/>
              <w:ind w:left="663" w:hangingChars="300" w:hanging="663"/>
              <w:rPr>
                <w:rFonts w:hAnsi="ＭＳ 明朝"/>
              </w:rPr>
            </w:pPr>
            <w:r w:rsidRPr="00E0548A">
              <w:rPr>
                <w:rFonts w:hAnsi="ＭＳ 明朝" w:hint="eastAsia"/>
              </w:rPr>
              <w:t xml:space="preserve">　　・指令部または警戒本部が災害等の情報により府域及びその周辺において社会的影響が大きいと認められる程度の大規模な事故等による災害等が発生したと判断したとき</w:t>
            </w:r>
          </w:p>
          <w:p w14:paraId="1DA505EA" w14:textId="7848E368" w:rsidR="00041FFF" w:rsidRPr="00E0548A" w:rsidRDefault="00041FFF" w:rsidP="00FD0556">
            <w:pPr>
              <w:pStyle w:val="ad"/>
              <w:overflowPunct w:val="0"/>
              <w:spacing w:line="340" w:lineRule="exact"/>
              <w:ind w:left="663" w:hangingChars="300" w:hanging="663"/>
              <w:rPr>
                <w:rFonts w:hAnsi="ＭＳ 明朝"/>
              </w:rPr>
            </w:pPr>
            <w:r w:rsidRPr="00E0548A">
              <w:rPr>
                <w:rFonts w:hAnsi="ＭＳ 明朝" w:hint="eastAsia"/>
              </w:rPr>
              <w:t xml:space="preserve">　　・林野火災において、焼損面積が２０ｈａを超えており、自衛隊の災害派遣要請等が必要なとき</w:t>
            </w:r>
          </w:p>
          <w:p w14:paraId="76D6F151" w14:textId="77777777" w:rsidR="005D372A" w:rsidRPr="00E0548A" w:rsidRDefault="005D372A" w:rsidP="008B4B2B">
            <w:pPr>
              <w:pStyle w:val="a0"/>
              <w:spacing w:line="340" w:lineRule="exact"/>
              <w:rPr>
                <w:rFonts w:hAnsi="ＭＳ 明朝"/>
                <w:sz w:val="22"/>
                <w:szCs w:val="22"/>
              </w:rPr>
            </w:pPr>
            <w:r w:rsidRPr="00E0548A">
              <w:rPr>
                <w:rFonts w:ascii="Century" w:hAnsi="ＭＳ 明朝" w:cs="Times New Roman" w:hint="eastAsia"/>
                <w:szCs w:val="24"/>
              </w:rPr>
              <w:t>エ　その他知事が必要と認めたとき</w:t>
            </w:r>
          </w:p>
        </w:tc>
      </w:tr>
      <w:tr w:rsidR="001D6D10" w:rsidRPr="00E0548A" w14:paraId="6EE878AD" w14:textId="77777777" w:rsidTr="008B4B2B">
        <w:trPr>
          <w:trHeight w:val="701"/>
        </w:trPr>
        <w:tc>
          <w:tcPr>
            <w:tcW w:w="1413" w:type="dxa"/>
          </w:tcPr>
          <w:p w14:paraId="7C98FD43" w14:textId="77777777" w:rsidR="005D372A" w:rsidRPr="00E0548A" w:rsidRDefault="005D372A" w:rsidP="008B4B2B">
            <w:pPr>
              <w:rPr>
                <w:rFonts w:hAnsi="ＭＳ 明朝"/>
                <w:sz w:val="22"/>
                <w:szCs w:val="22"/>
              </w:rPr>
            </w:pPr>
            <w:r w:rsidRPr="00E0548A">
              <w:rPr>
                <w:rFonts w:hAnsi="ＭＳ 明朝" w:hint="eastAsia"/>
                <w:sz w:val="22"/>
                <w:szCs w:val="22"/>
              </w:rPr>
              <w:t>②廃止基準</w:t>
            </w:r>
          </w:p>
        </w:tc>
        <w:tc>
          <w:tcPr>
            <w:tcW w:w="8363" w:type="dxa"/>
          </w:tcPr>
          <w:p w14:paraId="1438F9C4" w14:textId="77777777" w:rsidR="005D372A" w:rsidRPr="00E0548A" w:rsidRDefault="005D372A" w:rsidP="008B4B2B">
            <w:pPr>
              <w:pStyle w:val="a0"/>
              <w:rPr>
                <w:rFonts w:hAnsi="ＭＳ 明朝"/>
                <w:sz w:val="22"/>
                <w:szCs w:val="22"/>
              </w:rPr>
            </w:pPr>
            <w:r w:rsidRPr="00E0548A">
              <w:rPr>
                <w:rFonts w:hAnsi="ＭＳ 明朝" w:hint="eastAsia"/>
                <w:sz w:val="22"/>
                <w:szCs w:val="22"/>
              </w:rPr>
              <w:t>・災害等応急対策がおおむね完了したとき</w:t>
            </w:r>
          </w:p>
          <w:p w14:paraId="68D28295" w14:textId="77777777" w:rsidR="005D372A" w:rsidRPr="00E0548A" w:rsidRDefault="005D372A" w:rsidP="008B4B2B">
            <w:pPr>
              <w:pStyle w:val="a0"/>
              <w:rPr>
                <w:sz w:val="22"/>
                <w:szCs w:val="22"/>
              </w:rPr>
            </w:pPr>
            <w:r w:rsidRPr="00E0548A">
              <w:rPr>
                <w:rFonts w:hint="eastAsia"/>
                <w:sz w:val="22"/>
                <w:szCs w:val="22"/>
              </w:rPr>
              <w:t>・その他、災害対策本部長が認めたとき</w:t>
            </w:r>
          </w:p>
        </w:tc>
      </w:tr>
      <w:tr w:rsidR="001D6D10" w:rsidRPr="00E0548A" w14:paraId="368AE947" w14:textId="77777777" w:rsidTr="008B4B2B">
        <w:trPr>
          <w:trHeight w:val="2116"/>
        </w:trPr>
        <w:tc>
          <w:tcPr>
            <w:tcW w:w="1413" w:type="dxa"/>
          </w:tcPr>
          <w:p w14:paraId="676A69ED" w14:textId="77777777" w:rsidR="005D372A" w:rsidRPr="00E0548A" w:rsidRDefault="005D372A" w:rsidP="008B4B2B">
            <w:pPr>
              <w:rPr>
                <w:rFonts w:hAnsi="ＭＳ 明朝"/>
                <w:sz w:val="22"/>
                <w:szCs w:val="22"/>
              </w:rPr>
            </w:pPr>
            <w:r w:rsidRPr="00E0548A">
              <w:rPr>
                <w:rFonts w:hAnsi="ＭＳ 明朝" w:hint="eastAsia"/>
                <w:sz w:val="22"/>
                <w:szCs w:val="22"/>
              </w:rPr>
              <w:t>③組織</w:t>
            </w:r>
          </w:p>
        </w:tc>
        <w:tc>
          <w:tcPr>
            <w:tcW w:w="8363" w:type="dxa"/>
          </w:tcPr>
          <w:p w14:paraId="786E8448" w14:textId="77777777" w:rsidR="005D372A" w:rsidRPr="00E0548A" w:rsidRDefault="005D372A" w:rsidP="008B4B2B">
            <w:pPr>
              <w:pStyle w:val="a0"/>
              <w:rPr>
                <w:sz w:val="22"/>
                <w:szCs w:val="22"/>
              </w:rPr>
            </w:pPr>
            <w:r w:rsidRPr="00E0548A">
              <w:rPr>
                <w:rFonts w:hint="eastAsia"/>
                <w:sz w:val="22"/>
                <w:szCs w:val="22"/>
              </w:rPr>
              <w:t>・本 部 長　知事</w:t>
            </w:r>
          </w:p>
          <w:p w14:paraId="42D5C088" w14:textId="77777777" w:rsidR="005D372A" w:rsidRPr="00E0548A" w:rsidRDefault="005D372A" w:rsidP="008B4B2B">
            <w:pPr>
              <w:pStyle w:val="a0"/>
              <w:rPr>
                <w:sz w:val="22"/>
                <w:szCs w:val="22"/>
              </w:rPr>
            </w:pPr>
            <w:r w:rsidRPr="00E0548A">
              <w:rPr>
                <w:rFonts w:hint="eastAsia"/>
                <w:sz w:val="22"/>
                <w:szCs w:val="22"/>
              </w:rPr>
              <w:t>・副本部長　副知事①～③、危機管理監④（※○数字は本部長の代理順序）</w:t>
            </w:r>
          </w:p>
          <w:p w14:paraId="1D47FD59" w14:textId="77777777" w:rsidR="005D372A" w:rsidRPr="00E0548A" w:rsidRDefault="005D372A" w:rsidP="008B4B2B">
            <w:pPr>
              <w:pStyle w:val="a0"/>
              <w:rPr>
                <w:sz w:val="22"/>
                <w:szCs w:val="22"/>
              </w:rPr>
            </w:pPr>
            <w:r w:rsidRPr="00E0548A">
              <w:rPr>
                <w:rFonts w:hint="eastAsia"/>
                <w:sz w:val="22"/>
                <w:szCs w:val="22"/>
              </w:rPr>
              <w:t>・本 部 員　政策企画部長、報道監、危機管理室長⑤、総務部長、</w:t>
            </w:r>
          </w:p>
          <w:p w14:paraId="6DCEEDEF" w14:textId="77777777" w:rsidR="005D372A" w:rsidRPr="00E0548A" w:rsidRDefault="005D372A">
            <w:pPr>
              <w:pStyle w:val="a0"/>
              <w:ind w:leftChars="600" w:left="1267"/>
              <w:rPr>
                <w:sz w:val="22"/>
                <w:szCs w:val="22"/>
              </w:rPr>
            </w:pPr>
            <w:r w:rsidRPr="00E0548A">
              <w:rPr>
                <w:rFonts w:hint="eastAsia"/>
                <w:sz w:val="22"/>
                <w:szCs w:val="22"/>
              </w:rPr>
              <w:t>財務部長、スマートシティ戦略部長、府民文化部長、</w:t>
            </w:r>
            <w:r w:rsidRPr="00E0548A">
              <w:rPr>
                <w:rFonts w:asciiTheme="minorEastAsia" w:eastAsiaTheme="minorEastAsia" w:hAnsiTheme="minorEastAsia" w:hint="eastAsia"/>
                <w:sz w:val="22"/>
                <w:szCs w:val="22"/>
              </w:rPr>
              <w:t>ＩＲ推進局長、</w:t>
            </w:r>
            <w:r w:rsidRPr="00E0548A">
              <w:rPr>
                <w:rFonts w:hint="eastAsia"/>
                <w:sz w:val="22"/>
                <w:szCs w:val="22"/>
              </w:rPr>
              <w:t>福祉部長、健康医療部長、商工労働部長、環境農林水産部長、都市整備部長、</w:t>
            </w:r>
            <w:r w:rsidR="00007E50" w:rsidRPr="00E0548A">
              <w:rPr>
                <w:rFonts w:hint="eastAsia"/>
                <w:sz w:val="22"/>
                <w:szCs w:val="22"/>
              </w:rPr>
              <w:t>大阪</w:t>
            </w:r>
            <w:r w:rsidR="008E3248" w:rsidRPr="00E0548A">
              <w:rPr>
                <w:rFonts w:hint="eastAsia"/>
                <w:sz w:val="22"/>
                <w:szCs w:val="22"/>
              </w:rPr>
              <w:t>都市計画局長、</w:t>
            </w:r>
            <w:r w:rsidRPr="00E0548A">
              <w:rPr>
                <w:rFonts w:hint="eastAsia"/>
                <w:sz w:val="22"/>
                <w:szCs w:val="22"/>
              </w:rPr>
              <w:t>大阪港湾局長、会計管理者、教育長、警察本部副本部長</w:t>
            </w:r>
          </w:p>
        </w:tc>
      </w:tr>
      <w:tr w:rsidR="001D6D10" w:rsidRPr="00E0548A" w14:paraId="6A37FBF0" w14:textId="77777777" w:rsidTr="008B4B2B">
        <w:trPr>
          <w:trHeight w:val="1413"/>
        </w:trPr>
        <w:tc>
          <w:tcPr>
            <w:tcW w:w="1413" w:type="dxa"/>
          </w:tcPr>
          <w:p w14:paraId="0A242196" w14:textId="77777777" w:rsidR="005D372A" w:rsidRPr="00E0548A" w:rsidRDefault="005D372A" w:rsidP="008B4B2B">
            <w:pPr>
              <w:rPr>
                <w:rFonts w:hAnsi="ＭＳ 明朝"/>
                <w:sz w:val="22"/>
                <w:szCs w:val="22"/>
              </w:rPr>
            </w:pPr>
            <w:r w:rsidRPr="00E0548A">
              <w:rPr>
                <w:rFonts w:hAnsi="ＭＳ 明朝" w:hint="eastAsia"/>
                <w:sz w:val="22"/>
                <w:szCs w:val="22"/>
              </w:rPr>
              <w:t>④参集場所</w:t>
            </w:r>
          </w:p>
        </w:tc>
        <w:tc>
          <w:tcPr>
            <w:tcW w:w="8363" w:type="dxa"/>
          </w:tcPr>
          <w:p w14:paraId="27293456" w14:textId="77777777" w:rsidR="005D372A" w:rsidRPr="00E0548A" w:rsidRDefault="005D372A" w:rsidP="008B4B2B">
            <w:pPr>
              <w:rPr>
                <w:rFonts w:hAnsi="ＭＳ 明朝"/>
                <w:sz w:val="22"/>
                <w:szCs w:val="22"/>
              </w:rPr>
            </w:pPr>
            <w:r w:rsidRPr="00E0548A">
              <w:rPr>
                <w:rFonts w:hAnsi="ＭＳ 明朝" w:hint="eastAsia"/>
                <w:sz w:val="22"/>
                <w:szCs w:val="22"/>
              </w:rPr>
              <w:t>・大手前に勤務する本部員については、新別館北館1F災害対策本部会議室</w:t>
            </w:r>
          </w:p>
          <w:p w14:paraId="72C98D99" w14:textId="77777777" w:rsidR="005D372A" w:rsidRPr="00E0548A" w:rsidRDefault="005D372A" w:rsidP="008B4B2B">
            <w:pPr>
              <w:rPr>
                <w:rFonts w:hAnsi="ＭＳ 明朝"/>
                <w:sz w:val="22"/>
                <w:szCs w:val="22"/>
              </w:rPr>
            </w:pPr>
            <w:r w:rsidRPr="00E0548A">
              <w:rPr>
                <w:rFonts w:hAnsi="ＭＳ 明朝" w:hint="eastAsia"/>
                <w:sz w:val="22"/>
                <w:szCs w:val="22"/>
              </w:rPr>
              <w:t>・咲洲庁舎に勤務する本部員及び大阪港湾局長については、原則、咲洲庁舎20F共用会議室（海側）</w:t>
            </w:r>
          </w:p>
          <w:p w14:paraId="394A15ED" w14:textId="77777777" w:rsidR="005D372A" w:rsidRPr="00E0548A" w:rsidRDefault="005D372A" w:rsidP="008B4B2B">
            <w:pPr>
              <w:ind w:leftChars="100" w:left="211" w:firstLineChars="100" w:firstLine="221"/>
              <w:rPr>
                <w:rFonts w:hAnsi="ＭＳ 明朝"/>
                <w:sz w:val="22"/>
                <w:szCs w:val="22"/>
              </w:rPr>
            </w:pPr>
            <w:r w:rsidRPr="00E0548A">
              <w:rPr>
                <w:rFonts w:hAnsi="ＭＳ 明朝" w:hint="eastAsia"/>
                <w:sz w:val="22"/>
                <w:szCs w:val="22"/>
              </w:rPr>
              <w:t>ただし、時間外に災害等が発生した場合で、かつ大阪府に（大）津波警報が発表されている場合は、災害対策本部会議室に参集する。</w:t>
            </w:r>
          </w:p>
        </w:tc>
      </w:tr>
      <w:tr w:rsidR="001D6D10" w:rsidRPr="00E0548A" w14:paraId="2C7C6557" w14:textId="77777777" w:rsidTr="008B4B2B">
        <w:tc>
          <w:tcPr>
            <w:tcW w:w="1413" w:type="dxa"/>
          </w:tcPr>
          <w:p w14:paraId="00C91409" w14:textId="77777777" w:rsidR="005D372A" w:rsidRPr="00E0548A" w:rsidRDefault="005D372A" w:rsidP="008B4B2B">
            <w:pPr>
              <w:rPr>
                <w:rFonts w:hAnsi="ＭＳ 明朝"/>
                <w:sz w:val="22"/>
                <w:szCs w:val="22"/>
              </w:rPr>
            </w:pPr>
            <w:r w:rsidRPr="00E0548A">
              <w:rPr>
                <w:rFonts w:hAnsi="ＭＳ 明朝" w:hint="eastAsia"/>
                <w:sz w:val="22"/>
                <w:szCs w:val="22"/>
              </w:rPr>
              <w:t>⑤災害対策本部会議の開催</w:t>
            </w:r>
          </w:p>
        </w:tc>
        <w:tc>
          <w:tcPr>
            <w:tcW w:w="8363" w:type="dxa"/>
          </w:tcPr>
          <w:p w14:paraId="3D125BAF" w14:textId="77777777" w:rsidR="005D372A" w:rsidRPr="00E0548A" w:rsidRDefault="005D372A" w:rsidP="008B4B2B">
            <w:pPr>
              <w:ind w:firstLineChars="100" w:firstLine="221"/>
              <w:rPr>
                <w:sz w:val="22"/>
                <w:szCs w:val="22"/>
              </w:rPr>
            </w:pPr>
            <w:r w:rsidRPr="00E0548A">
              <w:rPr>
                <w:rFonts w:hint="eastAsia"/>
                <w:sz w:val="22"/>
                <w:szCs w:val="22"/>
              </w:rPr>
              <w:t>災対本部の所掌事務について方針を策定し、それを実施するため本部長は、必要の都度、副本部長及び本部員を招集し災対本部会議を開催する。また、本部長は、指令部員及び各部連絡責任者を会議に出席させることができる。災対本部会議の運</w:t>
            </w:r>
            <w:r w:rsidRPr="00E0548A">
              <w:rPr>
                <w:rFonts w:hint="eastAsia"/>
                <w:sz w:val="22"/>
                <w:szCs w:val="22"/>
              </w:rPr>
              <w:lastRenderedPageBreak/>
              <w:t>営・議事進行は危機管理監が行う。</w:t>
            </w:r>
          </w:p>
          <w:p w14:paraId="04542E2F" w14:textId="77777777" w:rsidR="005D372A" w:rsidRPr="00E0548A" w:rsidRDefault="005D372A" w:rsidP="008B4B2B">
            <w:pPr>
              <w:rPr>
                <w:rFonts w:hAnsi="ＭＳ 明朝"/>
                <w:sz w:val="22"/>
                <w:szCs w:val="22"/>
              </w:rPr>
            </w:pPr>
            <w:r w:rsidRPr="00E0548A">
              <w:rPr>
                <w:rFonts w:hint="eastAsia"/>
                <w:sz w:val="22"/>
                <w:szCs w:val="22"/>
              </w:rPr>
              <w:t xml:space="preserve">　なお、第１回災害対策本部会議は、発災後１時間から１時間半を目途に開催する。</w:t>
            </w:r>
          </w:p>
        </w:tc>
      </w:tr>
      <w:tr w:rsidR="001D6D10" w:rsidRPr="001D6D10" w14:paraId="6EEE0D2A" w14:textId="77777777" w:rsidTr="008B4B2B">
        <w:tc>
          <w:tcPr>
            <w:tcW w:w="1413" w:type="dxa"/>
          </w:tcPr>
          <w:p w14:paraId="3B489126" w14:textId="77777777" w:rsidR="005D372A" w:rsidRPr="00E0548A" w:rsidRDefault="005D372A" w:rsidP="008B4B2B">
            <w:pPr>
              <w:rPr>
                <w:rFonts w:hAnsi="ＭＳ 明朝"/>
                <w:sz w:val="22"/>
                <w:szCs w:val="22"/>
              </w:rPr>
            </w:pPr>
            <w:r w:rsidRPr="00E0548A">
              <w:rPr>
                <w:rFonts w:hAnsi="ＭＳ 明朝" w:hint="eastAsia"/>
                <w:sz w:val="22"/>
                <w:szCs w:val="22"/>
              </w:rPr>
              <w:lastRenderedPageBreak/>
              <w:t>⑥災害対策本部会議の内容</w:t>
            </w:r>
          </w:p>
        </w:tc>
        <w:tc>
          <w:tcPr>
            <w:tcW w:w="8363" w:type="dxa"/>
          </w:tcPr>
          <w:p w14:paraId="69F530C6" w14:textId="77777777" w:rsidR="005D372A" w:rsidRPr="00E0548A" w:rsidRDefault="005D372A" w:rsidP="008B4B2B">
            <w:pPr>
              <w:pStyle w:val="ad"/>
              <w:wordWrap/>
              <w:overflowPunct w:val="0"/>
              <w:spacing w:line="240" w:lineRule="auto"/>
              <w:rPr>
                <w:rFonts w:hAnsi="ＭＳ 明朝"/>
              </w:rPr>
            </w:pPr>
            <w:r w:rsidRPr="00E0548A">
              <w:rPr>
                <w:rFonts w:hAnsi="ＭＳ 明朝" w:hint="eastAsia"/>
              </w:rPr>
              <w:t>ア　災害原因情報、被害情報及び対策情報等の収集・分析結果の確認</w:t>
            </w:r>
          </w:p>
          <w:p w14:paraId="7E5D1130" w14:textId="77777777" w:rsidR="005D372A" w:rsidRPr="00E0548A" w:rsidRDefault="005D372A" w:rsidP="008B4B2B">
            <w:pPr>
              <w:pStyle w:val="ad"/>
              <w:wordWrap/>
              <w:overflowPunct w:val="0"/>
              <w:spacing w:line="240" w:lineRule="auto"/>
              <w:ind w:firstLineChars="100" w:firstLine="221"/>
              <w:rPr>
                <w:rFonts w:hAnsi="ＭＳ 明朝"/>
              </w:rPr>
            </w:pPr>
            <w:r w:rsidRPr="00E0548A">
              <w:rPr>
                <w:rFonts w:hAnsi="ＭＳ 明朝" w:hint="eastAsia"/>
              </w:rPr>
              <w:t xml:space="preserve">・地震・気象情報等、・市町村からの情報、・消防、警察等からの情報　</w:t>
            </w:r>
          </w:p>
          <w:p w14:paraId="536968E7" w14:textId="77777777" w:rsidR="005D372A" w:rsidRPr="00E0548A" w:rsidRDefault="005D372A" w:rsidP="008B4B2B">
            <w:pPr>
              <w:pStyle w:val="ad"/>
              <w:wordWrap/>
              <w:overflowPunct w:val="0"/>
              <w:spacing w:line="240" w:lineRule="auto"/>
              <w:ind w:firstLineChars="100" w:firstLine="221"/>
              <w:rPr>
                <w:rFonts w:hAnsi="ＭＳ 明朝"/>
              </w:rPr>
            </w:pPr>
            <w:r w:rsidRPr="00E0548A">
              <w:rPr>
                <w:rFonts w:hAnsi="ＭＳ 明朝" w:hint="eastAsia"/>
              </w:rPr>
              <w:t>・市町村へ派遣された先遣隊及び現地情報連絡員（リエゾン）からの報告</w:t>
            </w:r>
          </w:p>
          <w:p w14:paraId="0DEA5989" w14:textId="77777777" w:rsidR="005D372A" w:rsidRPr="00E0548A" w:rsidRDefault="005D372A" w:rsidP="008B4B2B">
            <w:pPr>
              <w:pStyle w:val="ad"/>
              <w:wordWrap/>
              <w:overflowPunct w:val="0"/>
              <w:spacing w:line="240" w:lineRule="auto"/>
              <w:rPr>
                <w:rFonts w:hAnsi="ＭＳ 明朝"/>
              </w:rPr>
            </w:pPr>
            <w:r w:rsidRPr="00E0548A">
              <w:rPr>
                <w:rFonts w:hAnsi="ＭＳ 明朝" w:hint="eastAsia"/>
              </w:rPr>
              <w:t>イ　職員の配備体制</w:t>
            </w:r>
          </w:p>
          <w:p w14:paraId="72799AA8" w14:textId="77777777" w:rsidR="005D372A" w:rsidRPr="00E0548A" w:rsidRDefault="005D372A" w:rsidP="008B4B2B">
            <w:pPr>
              <w:pStyle w:val="ad"/>
              <w:wordWrap/>
              <w:overflowPunct w:val="0"/>
              <w:spacing w:line="240" w:lineRule="auto"/>
              <w:ind w:firstLineChars="100" w:firstLine="221"/>
              <w:rPr>
                <w:rFonts w:hAnsi="ＭＳ 明朝"/>
              </w:rPr>
            </w:pPr>
            <w:r w:rsidRPr="00E0548A">
              <w:rPr>
                <w:rFonts w:hAnsi="ＭＳ 明朝" w:hint="eastAsia"/>
              </w:rPr>
              <w:t>・本庁、出先機関の職員配備体制の決定、・関係機関の配備体制の確認</w:t>
            </w:r>
          </w:p>
          <w:p w14:paraId="3E2F2095" w14:textId="77777777" w:rsidR="005D372A" w:rsidRPr="00E0548A" w:rsidRDefault="005D372A" w:rsidP="008B4B2B">
            <w:pPr>
              <w:pStyle w:val="ad"/>
              <w:wordWrap/>
              <w:overflowPunct w:val="0"/>
              <w:spacing w:line="240" w:lineRule="auto"/>
              <w:rPr>
                <w:rFonts w:hAnsi="ＭＳ 明朝"/>
              </w:rPr>
            </w:pPr>
            <w:r w:rsidRPr="00E0548A">
              <w:rPr>
                <w:rFonts w:hAnsi="ＭＳ 明朝" w:hint="eastAsia"/>
              </w:rPr>
              <w:t>ウ　応急対策の実施</w:t>
            </w:r>
          </w:p>
          <w:p w14:paraId="3101D038" w14:textId="77777777" w:rsidR="005D372A" w:rsidRPr="00E0548A" w:rsidRDefault="005D372A" w:rsidP="008B4B2B">
            <w:pPr>
              <w:pStyle w:val="ad"/>
              <w:wordWrap/>
              <w:overflowPunct w:val="0"/>
              <w:spacing w:line="240" w:lineRule="auto"/>
              <w:ind w:leftChars="100" w:left="211"/>
              <w:rPr>
                <w:rFonts w:hAnsi="ＭＳ 明朝"/>
              </w:rPr>
            </w:pPr>
            <w:r w:rsidRPr="00E0548A">
              <w:rPr>
                <w:rFonts w:hAnsi="ＭＳ 明朝" w:hint="eastAsia"/>
              </w:rPr>
              <w:t>・救助活動の実施、・道路、施設等の応急復旧、・被災建築物応急危険度判定士等の派遣、・被災者支援の決定など</w:t>
            </w:r>
          </w:p>
          <w:p w14:paraId="2D9DB0E3" w14:textId="77777777" w:rsidR="005D372A" w:rsidRPr="00E0548A" w:rsidRDefault="005D372A" w:rsidP="008B4B2B">
            <w:pPr>
              <w:pStyle w:val="ad"/>
              <w:wordWrap/>
              <w:overflowPunct w:val="0"/>
              <w:spacing w:line="240" w:lineRule="auto"/>
              <w:rPr>
                <w:rFonts w:hAnsi="ＭＳ 明朝"/>
              </w:rPr>
            </w:pPr>
            <w:r w:rsidRPr="00E0548A">
              <w:rPr>
                <w:rFonts w:hAnsi="ＭＳ 明朝" w:hint="eastAsia"/>
              </w:rPr>
              <w:t>エ　関係機関に対する応援の要請及び実施</w:t>
            </w:r>
          </w:p>
          <w:p w14:paraId="1597C551" w14:textId="77777777" w:rsidR="005D372A" w:rsidRPr="00E0548A" w:rsidRDefault="005D372A" w:rsidP="008B4B2B">
            <w:pPr>
              <w:pStyle w:val="ad"/>
              <w:wordWrap/>
              <w:overflowPunct w:val="0"/>
              <w:spacing w:line="240" w:lineRule="auto"/>
              <w:ind w:firstLineChars="100" w:firstLine="221"/>
              <w:rPr>
                <w:rFonts w:hAnsi="ＭＳ 明朝"/>
              </w:rPr>
            </w:pPr>
            <w:r w:rsidRPr="00E0548A">
              <w:rPr>
                <w:rFonts w:hAnsi="ＭＳ 明朝" w:hint="eastAsia"/>
              </w:rPr>
              <w:t>・緊急消防援助隊の応援要請の決定、・関西広域連合への応援要請の決定</w:t>
            </w:r>
          </w:p>
          <w:p w14:paraId="7A796786" w14:textId="77777777" w:rsidR="005D372A" w:rsidRPr="00E0548A" w:rsidRDefault="005D372A" w:rsidP="008B4B2B">
            <w:pPr>
              <w:pStyle w:val="ad"/>
              <w:wordWrap/>
              <w:overflowPunct w:val="0"/>
              <w:spacing w:line="240" w:lineRule="auto"/>
              <w:ind w:leftChars="100" w:left="432" w:hangingChars="100" w:hanging="221"/>
              <w:rPr>
                <w:rFonts w:hAnsi="ＭＳ 明朝"/>
              </w:rPr>
            </w:pPr>
            <w:r w:rsidRPr="00E0548A">
              <w:rPr>
                <w:rFonts w:hAnsi="ＭＳ 明朝" w:hint="eastAsia"/>
              </w:rPr>
              <w:t>・警察災害派遣隊の応援要請の状況確認、・自衛隊への災害派遣等要請の決定</w:t>
            </w:r>
          </w:p>
          <w:p w14:paraId="1E857B3D" w14:textId="77777777" w:rsidR="005D372A" w:rsidRPr="00E0548A" w:rsidRDefault="005D372A" w:rsidP="008B4B2B">
            <w:pPr>
              <w:pStyle w:val="ad"/>
              <w:wordWrap/>
              <w:overflowPunct w:val="0"/>
              <w:spacing w:line="240" w:lineRule="auto"/>
              <w:rPr>
                <w:rFonts w:hAnsi="ＭＳ 明朝"/>
              </w:rPr>
            </w:pPr>
            <w:r w:rsidRPr="00E0548A">
              <w:rPr>
                <w:rFonts w:hAnsi="ＭＳ 明朝" w:hint="eastAsia"/>
              </w:rPr>
              <w:t>オ　府民への広報及び報道機関との連絡調整</w:t>
            </w:r>
          </w:p>
          <w:p w14:paraId="01D59ADF" w14:textId="77777777" w:rsidR="005D372A" w:rsidRPr="00E0548A" w:rsidRDefault="005D372A" w:rsidP="008B4B2B">
            <w:pPr>
              <w:pStyle w:val="ad"/>
              <w:wordWrap/>
              <w:overflowPunct w:val="0"/>
              <w:spacing w:line="240" w:lineRule="auto"/>
              <w:ind w:firstLineChars="100" w:firstLine="221"/>
              <w:rPr>
                <w:rFonts w:hAnsi="ＭＳ 明朝"/>
              </w:rPr>
            </w:pPr>
            <w:r w:rsidRPr="00E0548A">
              <w:rPr>
                <w:rFonts w:hAnsi="ＭＳ 明朝" w:hint="eastAsia"/>
              </w:rPr>
              <w:t>・府広報媒体を活用した広報の実施、・報道機関への情報提供</w:t>
            </w:r>
          </w:p>
          <w:p w14:paraId="7AA309F7" w14:textId="77777777" w:rsidR="005D372A" w:rsidRPr="00E0548A" w:rsidRDefault="005D372A" w:rsidP="008B4B2B">
            <w:pPr>
              <w:pStyle w:val="ad"/>
              <w:wordWrap/>
              <w:overflowPunct w:val="0"/>
              <w:spacing w:line="240" w:lineRule="auto"/>
              <w:rPr>
                <w:rFonts w:hAnsi="ＭＳ 明朝"/>
              </w:rPr>
            </w:pPr>
            <w:r w:rsidRPr="00E0548A">
              <w:rPr>
                <w:rFonts w:hAnsi="ＭＳ 明朝" w:hint="eastAsia"/>
              </w:rPr>
              <w:t>カ　市町村への応援又は職員派遣に関すること</w:t>
            </w:r>
          </w:p>
          <w:p w14:paraId="5BC24856" w14:textId="77777777" w:rsidR="005D372A" w:rsidRPr="00E0548A" w:rsidRDefault="005D372A" w:rsidP="008B4B2B">
            <w:pPr>
              <w:pStyle w:val="ad"/>
              <w:wordWrap/>
              <w:overflowPunct w:val="0"/>
              <w:spacing w:line="240" w:lineRule="auto"/>
              <w:rPr>
                <w:rFonts w:hAnsi="ＭＳ 明朝"/>
              </w:rPr>
            </w:pPr>
            <w:r w:rsidRPr="00E0548A">
              <w:rPr>
                <w:rFonts w:hAnsi="ＭＳ 明朝" w:hint="eastAsia"/>
              </w:rPr>
              <w:t>キ　現地災害対策本部の設置</w:t>
            </w:r>
          </w:p>
          <w:p w14:paraId="475DE289" w14:textId="77777777" w:rsidR="005D372A" w:rsidRPr="00E0548A" w:rsidRDefault="005D372A" w:rsidP="008B4B2B">
            <w:pPr>
              <w:pStyle w:val="ad"/>
              <w:wordWrap/>
              <w:overflowPunct w:val="0"/>
              <w:spacing w:line="240" w:lineRule="auto"/>
              <w:ind w:firstLineChars="100" w:firstLine="221"/>
              <w:rPr>
                <w:rFonts w:hAnsi="ＭＳ 明朝"/>
              </w:rPr>
            </w:pPr>
            <w:r w:rsidRPr="00E0548A">
              <w:rPr>
                <w:rFonts w:hAnsi="ＭＳ 明朝" w:hint="eastAsia"/>
              </w:rPr>
              <w:t>・現地災害対策本部長、副本部長、本部員の指名</w:t>
            </w:r>
          </w:p>
          <w:p w14:paraId="77C86CB2" w14:textId="77777777" w:rsidR="005D372A" w:rsidRPr="00E0548A" w:rsidRDefault="005D372A" w:rsidP="008B4B2B">
            <w:pPr>
              <w:pStyle w:val="ad"/>
              <w:wordWrap/>
              <w:overflowPunct w:val="0"/>
              <w:spacing w:line="240" w:lineRule="auto"/>
              <w:rPr>
                <w:rFonts w:hAnsi="ＭＳ 明朝"/>
              </w:rPr>
            </w:pPr>
            <w:r w:rsidRPr="00E0548A">
              <w:rPr>
                <w:rFonts w:hAnsi="ＭＳ 明朝" w:hint="eastAsia"/>
              </w:rPr>
              <w:t>ク　国の現地災害対策本部との連携</w:t>
            </w:r>
          </w:p>
          <w:p w14:paraId="5EFEDB14" w14:textId="77777777" w:rsidR="005D372A" w:rsidRPr="00E0548A" w:rsidRDefault="005D372A" w:rsidP="008B4B2B">
            <w:pPr>
              <w:pStyle w:val="ad"/>
              <w:wordWrap/>
              <w:overflowPunct w:val="0"/>
              <w:spacing w:line="240" w:lineRule="auto"/>
              <w:ind w:firstLineChars="100" w:firstLine="221"/>
              <w:rPr>
                <w:rFonts w:hAnsi="ＭＳ 明朝"/>
              </w:rPr>
            </w:pPr>
            <w:r w:rsidRPr="00E0548A">
              <w:rPr>
                <w:rFonts w:hAnsi="ＭＳ 明朝" w:hint="eastAsia"/>
              </w:rPr>
              <w:t>・連絡員の派遣要請の決定</w:t>
            </w:r>
          </w:p>
          <w:p w14:paraId="72277630" w14:textId="77777777" w:rsidR="005D372A" w:rsidRPr="001D6D10" w:rsidRDefault="005D372A" w:rsidP="008B4B2B">
            <w:pPr>
              <w:pStyle w:val="ad"/>
              <w:wordWrap/>
              <w:overflowPunct w:val="0"/>
              <w:spacing w:line="240" w:lineRule="auto"/>
              <w:rPr>
                <w:rFonts w:hAnsi="ＭＳ 明朝"/>
              </w:rPr>
            </w:pPr>
            <w:r w:rsidRPr="00E0548A">
              <w:rPr>
                <w:rFonts w:hAnsi="ＭＳ 明朝" w:hint="eastAsia"/>
              </w:rPr>
              <w:t xml:space="preserve">ケ　</w:t>
            </w:r>
            <w:r w:rsidRPr="00E0548A">
              <w:rPr>
                <w:rFonts w:hint="eastAsia"/>
              </w:rPr>
              <w:t>その他災害に関する重要な事項の決定</w:t>
            </w:r>
          </w:p>
        </w:tc>
      </w:tr>
    </w:tbl>
    <w:p w14:paraId="3D7BFCAB" w14:textId="77777777" w:rsidR="005D372A" w:rsidRPr="001D6D10" w:rsidRDefault="005D372A" w:rsidP="005D372A">
      <w:pPr>
        <w:jc w:val="right"/>
        <w:rPr>
          <w:rFonts w:ascii="ＭＳ 明朝" w:hAnsi="ＭＳ 明朝"/>
          <w:sz w:val="22"/>
          <w:szCs w:val="22"/>
        </w:rPr>
      </w:pPr>
      <w:r w:rsidRPr="001D6D10">
        <w:rPr>
          <w:rFonts w:ascii="ＭＳ 明朝" w:hAnsi="ＭＳ 明朝" w:hint="eastAsia"/>
          <w:sz w:val="22"/>
          <w:szCs w:val="22"/>
        </w:rPr>
        <w:t>※原子力災害については本要領</w:t>
      </w:r>
      <w:r w:rsidR="003C765F" w:rsidRPr="001D6D10">
        <w:rPr>
          <w:rFonts w:ascii="ＭＳ 明朝" w:hAnsi="ＭＳ 明朝" w:hint="eastAsia"/>
          <w:sz w:val="22"/>
          <w:szCs w:val="22"/>
        </w:rPr>
        <w:t>203</w:t>
      </w:r>
      <w:r w:rsidRPr="001D6D10">
        <w:rPr>
          <w:rFonts w:ascii="ＭＳ 明朝" w:hAnsi="ＭＳ 明朝" w:hint="eastAsia"/>
          <w:sz w:val="22"/>
          <w:szCs w:val="22"/>
        </w:rPr>
        <w:t>頁「第８章第１節第１　組織体制」を参照</w:t>
      </w:r>
    </w:p>
    <w:p w14:paraId="58990210" w14:textId="77777777" w:rsidR="005D372A" w:rsidRPr="001D6D10" w:rsidRDefault="005D372A" w:rsidP="005D372A">
      <w:pPr>
        <w:rPr>
          <w:rFonts w:ascii="ＭＳ 明朝" w:hAnsi="ＭＳ 明朝"/>
          <w:sz w:val="22"/>
          <w:szCs w:val="22"/>
        </w:rPr>
      </w:pPr>
      <w:r w:rsidRPr="001D6D10">
        <w:rPr>
          <w:rFonts w:ascii="ＭＳ 明朝" w:hAnsi="ＭＳ 明朝" w:hint="eastAsia"/>
          <w:noProof/>
          <w:sz w:val="22"/>
          <w:szCs w:val="22"/>
        </w:rPr>
        <mc:AlternateContent>
          <mc:Choice Requires="wps">
            <w:drawing>
              <wp:anchor distT="0" distB="0" distL="114300" distR="114300" simplePos="0" relativeHeight="252998656" behindDoc="0" locked="0" layoutInCell="1" allowOverlap="1" wp14:anchorId="5E490F05" wp14:editId="61E708CF">
                <wp:simplePos x="0" y="0"/>
                <wp:positionH relativeFrom="column">
                  <wp:posOffset>3760017</wp:posOffset>
                </wp:positionH>
                <wp:positionV relativeFrom="paragraph">
                  <wp:posOffset>79919</wp:posOffset>
                </wp:positionV>
                <wp:extent cx="1562100" cy="390525"/>
                <wp:effectExtent l="0" t="0" r="19050" b="28575"/>
                <wp:wrapNone/>
                <wp:docPr id="193" name="正方形/長方形 193"/>
                <wp:cNvGraphicFramePr/>
                <a:graphic xmlns:a="http://schemas.openxmlformats.org/drawingml/2006/main">
                  <a:graphicData uri="http://schemas.microsoft.com/office/word/2010/wordprocessingShape">
                    <wps:wsp>
                      <wps:cNvSpPr/>
                      <wps:spPr>
                        <a:xfrm>
                          <a:off x="0" y="0"/>
                          <a:ext cx="1562100" cy="390525"/>
                        </a:xfrm>
                        <a:prstGeom prst="rect">
                          <a:avLst/>
                        </a:prstGeom>
                        <a:solidFill>
                          <a:sysClr val="window" lastClr="FFFFFF"/>
                        </a:solidFill>
                        <a:ln w="25400" cap="flat" cmpd="dbl" algn="ctr">
                          <a:solidFill>
                            <a:sysClr val="windowText" lastClr="000000"/>
                          </a:solidFill>
                          <a:prstDash val="solid"/>
                        </a:ln>
                        <a:effectLst/>
                      </wps:spPr>
                      <wps:txbx>
                        <w:txbxContent>
                          <w:p w14:paraId="367E9088" w14:textId="77777777" w:rsidR="006A5267" w:rsidRPr="006B1896" w:rsidRDefault="006A5267" w:rsidP="005D372A">
                            <w:pPr>
                              <w:jc w:val="center"/>
                              <w:rPr>
                                <w:color w:val="000000" w:themeColor="text1"/>
                                <w:sz w:val="20"/>
                                <w:szCs w:val="20"/>
                              </w:rPr>
                            </w:pPr>
                            <w:r w:rsidRPr="006B1896">
                              <w:rPr>
                                <w:rFonts w:hint="eastAsia"/>
                                <w:color w:val="000000" w:themeColor="text1"/>
                                <w:sz w:val="20"/>
                                <w:szCs w:val="20"/>
                              </w:rPr>
                              <w:t>震災</w:t>
                            </w:r>
                            <w:r>
                              <w:rPr>
                                <w:rFonts w:hint="eastAsia"/>
                                <w:color w:val="000000" w:themeColor="text1"/>
                                <w:sz w:val="20"/>
                                <w:szCs w:val="20"/>
                              </w:rPr>
                              <w:t>応急対策連絡会議</w:t>
                            </w:r>
                          </w:p>
                        </w:txbxContent>
                      </wps:txbx>
                      <wps:bodyPr rot="0" spcFirstLastPara="0" vertOverflow="overflow" horzOverflow="overflow" vert="horz" wrap="square" lIns="91440" tIns="0" rIns="91440" bIns="0" numCol="1" spcCol="0" rtlCol="0" fromWordArt="0" anchor="ctr" anchorCtr="0" forceAA="0" compatLnSpc="1">
                        <a:prstTxWarp prst="textNoShape">
                          <a:avLst/>
                        </a:prstTxWarp>
                        <a:noAutofit/>
                      </wps:bodyPr>
                    </wps:wsp>
                  </a:graphicData>
                </a:graphic>
              </wp:anchor>
            </w:drawing>
          </mc:Choice>
          <mc:Fallback xmlns:w16cei="http://schemas.microsoft.com/office/word/2026/wordml/cei">
            <w:pict>
              <v:rect w14:anchorId="5E490F05" id="正方形/長方形 193" o:spid="_x0000_s1167" style="position:absolute;left:0;text-align:left;margin-left:296.05pt;margin-top:6.3pt;width:123pt;height:30.75pt;z-index:25299865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" fillcolor="window" strokecolor="windowText" strokeweight="2pt">
                <v:stroke linestyle="thinThin"/>
                <v:textbox inset=",0,,0">
                  <w:txbxContent>
                    <w:p w14:paraId="367E9088" w14:textId="77777777" w:rsidR="006A5267" w:rsidRPr="006B1896" w:rsidRDefault="006A5267" w:rsidP="005D372A">
                      <w:pPr>
                        <w:jc w:val="center"/>
                        <w:rPr>
                          <w:color w:val="000000" w:themeColor="text1"/>
                          <w:sz w:val="20"/>
                          <w:szCs w:val="20"/>
                        </w:rPr>
                      </w:pPr>
                      <w:r w:rsidRPr="006B1896">
                        <w:rPr>
                          <w:rFonts w:hint="eastAsia"/>
                          <w:color w:val="000000" w:themeColor="text1"/>
                          <w:sz w:val="20"/>
                          <w:szCs w:val="20"/>
                        </w:rPr>
                        <w:t>震災</w:t>
                      </w:r>
                      <w:r>
                        <w:rPr>
                          <w:rFonts w:hint="eastAsia"/>
                          <w:color w:val="000000" w:themeColor="text1"/>
                          <w:sz w:val="20"/>
                          <w:szCs w:val="20"/>
                        </w:rPr>
                        <w:t>応急対策連絡会議</w:t>
                      </w:r>
                    </w:p>
                  </w:txbxContent>
                </v:textbox>
              </v:rect>
            </w:pict>
          </mc:Fallback>
        </mc:AlternateContent>
      </w:r>
    </w:p>
    <w:p w14:paraId="00F106C5" w14:textId="77777777" w:rsidR="005D372A" w:rsidRPr="001D6D10" w:rsidRDefault="005D372A" w:rsidP="005D372A">
      <w:pPr>
        <w:rPr>
          <w:rFonts w:ascii="ＭＳ 明朝" w:hAnsi="ＭＳ 明朝"/>
          <w:sz w:val="22"/>
          <w:szCs w:val="22"/>
        </w:rPr>
      </w:pPr>
      <w:r w:rsidRPr="001D6D10">
        <w:rPr>
          <w:rFonts w:ascii="ＭＳ 明朝" w:hAnsi="ＭＳ 明朝" w:hint="eastAsia"/>
          <w:noProof/>
          <w:sz w:val="22"/>
          <w:szCs w:val="22"/>
        </w:rPr>
        <mc:AlternateContent>
          <mc:Choice Requires="wps">
            <w:drawing>
              <wp:anchor distT="0" distB="0" distL="114300" distR="114300" simplePos="0" relativeHeight="252957696" behindDoc="0" locked="0" layoutInCell="1" allowOverlap="1" wp14:anchorId="1C9B3670" wp14:editId="7749E010">
                <wp:simplePos x="0" y="0"/>
                <wp:positionH relativeFrom="column">
                  <wp:posOffset>3588567</wp:posOffset>
                </wp:positionH>
                <wp:positionV relativeFrom="paragraph">
                  <wp:posOffset>37374</wp:posOffset>
                </wp:positionV>
                <wp:extent cx="428625" cy="504825"/>
                <wp:effectExtent l="0" t="0" r="28575" b="28575"/>
                <wp:wrapNone/>
                <wp:docPr id="198" name="フリーフォーム 198"/>
                <wp:cNvGraphicFramePr/>
                <a:graphic xmlns:a="http://schemas.openxmlformats.org/drawingml/2006/main">
                  <a:graphicData uri="http://schemas.microsoft.com/office/word/2010/wordprocessingShape">
                    <wps:wsp>
                      <wps:cNvSpPr/>
                      <wps:spPr>
                        <a:xfrm>
                          <a:off x="0" y="0"/>
                          <a:ext cx="428625" cy="504825"/>
                        </a:xfrm>
                        <a:custGeom>
                          <a:avLst/>
                          <a:gdLst>
                            <a:gd name="connsiteX0" fmla="*/ 0 w 428625"/>
                            <a:gd name="connsiteY0" fmla="*/ 504825 h 504825"/>
                            <a:gd name="connsiteX1" fmla="*/ 0 w 428625"/>
                            <a:gd name="connsiteY1" fmla="*/ 0 h 504825"/>
                            <a:gd name="connsiteX2" fmla="*/ 428625 w 428625"/>
                            <a:gd name="connsiteY2" fmla="*/ 0 h 504825"/>
                          </a:gdLst>
                          <a:ahLst/>
                          <a:cxnLst>
                            <a:cxn ang="0">
                              <a:pos x="connsiteX0" y="connsiteY0"/>
                            </a:cxn>
                            <a:cxn ang="0">
                              <a:pos x="connsiteX1" y="connsiteY1"/>
                            </a:cxn>
                            <a:cxn ang="0">
                              <a:pos x="connsiteX2" y="connsiteY2"/>
                            </a:cxn>
                          </a:cxnLst>
                          <a:rect l="l" t="t" r="r" b="b"/>
                          <a:pathLst>
                            <a:path w="428625" h="504825">
                              <a:moveTo>
                                <a:pt x="0" y="504825"/>
                              </a:moveTo>
                              <a:lnTo>
                                <a:pt x="0" y="0"/>
                              </a:lnTo>
                              <a:lnTo>
                                <a:pt x="428625" y="0"/>
                              </a:lnTo>
                            </a:path>
                          </a:pathLst>
                        </a:custGeom>
                        <a:noFill/>
                        <a:ln w="9525"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6cei="http://schemas.microsoft.com/office/word/2026/wordml/cei">
            <w:pict>
              <v:shape w14:anchorId="5F1851A7" id="フリーフォーム 198" o:spid="_x0000_s1026" style="position:absolute;left:0;text-align:left;margin-left:282.55pt;margin-top:2.95pt;width:33.75pt;height:39.75pt;z-index:252957696;visibility:visible;mso-wrap-style:square;mso-wrap-distance-left:9pt;mso-wrap-distance-top:0;mso-wrap-distance-right:9pt;mso-wrap-distance-bottom:0;mso-position-horizontal:absolute;mso-position-horizontal-relative:text;mso-position-vertical:absolute;mso-position-vertical-relative:text;v-text-anchor:middle" coordsize="428625,5048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" path="m,504825l,,428625,e" filled="f" strokecolor="windowText">
                <v:path arrowok="t" o:connecttype="custom" o:connectlocs="0,504825;0,0;428625,0" o:connectangles="0,0,0"/>
              </v:shape>
            </w:pict>
          </mc:Fallback>
        </mc:AlternateContent>
      </w:r>
      <w:r w:rsidRPr="001D6D10">
        <w:rPr>
          <w:rFonts w:ascii="ＭＳ 明朝" w:hAnsi="ＭＳ 明朝" w:hint="eastAsia"/>
          <w:sz w:val="22"/>
          <w:szCs w:val="22"/>
        </w:rPr>
        <w:t>（１）設置基準アの場合</w:t>
      </w:r>
    </w:p>
    <w:p w14:paraId="399D56B5" w14:textId="77777777" w:rsidR="005D372A" w:rsidRPr="001D6D10" w:rsidRDefault="005D372A" w:rsidP="005D372A">
      <w:pPr>
        <w:rPr>
          <w:rFonts w:ascii="ＭＳ 明朝" w:hAnsi="ＭＳ 明朝"/>
          <w:sz w:val="22"/>
          <w:szCs w:val="22"/>
        </w:rPr>
      </w:pPr>
      <w:r w:rsidRPr="001D6D10">
        <w:rPr>
          <w:rFonts w:ascii="ＭＳ 明朝" w:hAnsi="ＭＳ 明朝"/>
          <w:noProof/>
          <w:sz w:val="22"/>
          <w:szCs w:val="22"/>
        </w:rPr>
        <mc:AlternateContent>
          <mc:Choice Requires="wps">
            <w:drawing>
              <wp:anchor distT="0" distB="0" distL="114300" distR="114300" simplePos="0" relativeHeight="252991488" behindDoc="0" locked="0" layoutInCell="1" allowOverlap="1" wp14:anchorId="2E791193" wp14:editId="6825B11C">
                <wp:simplePos x="0" y="0"/>
                <wp:positionH relativeFrom="column">
                  <wp:posOffset>-57785</wp:posOffset>
                </wp:positionH>
                <wp:positionV relativeFrom="paragraph">
                  <wp:posOffset>82550</wp:posOffset>
                </wp:positionV>
                <wp:extent cx="2110105" cy="685800"/>
                <wp:effectExtent l="0" t="0" r="23495" b="19050"/>
                <wp:wrapNone/>
                <wp:docPr id="162" name="AutoShape 203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10105" cy="685800"/>
                        </a:xfrm>
                        <a:prstGeom prst="roundRect">
                          <a:avLst>
                            <a:gd name="adj" fmla="val 16667"/>
                          </a:avLst>
                        </a:prstGeom>
                        <a:solidFill>
                          <a:srgbClr val="FFFFFF"/>
                        </a:solidFill>
                        <a:ln w="9525">
                          <a:solidFill>
                            <a:srgbClr val="000000"/>
                          </a:solidFill>
                          <a:round/>
                          <a:headEnd/>
                          <a:tailEnd/>
                        </a:ln>
                      </wps:spPr>
                      <wps:txbx>
                        <w:txbxContent>
                          <w:p w14:paraId="0F297B18" w14:textId="77777777" w:rsidR="006A5267" w:rsidRDefault="006A5267" w:rsidP="005D372A">
                            <w:pPr>
                              <w:ind w:firstLineChars="100" w:firstLine="201"/>
                              <w:rPr>
                                <w:rFonts w:ascii="ＭＳ ゴシック" w:eastAsia="ＭＳ ゴシック" w:hAnsi="ＭＳ ゴシック"/>
                                <w:sz w:val="20"/>
                                <w:szCs w:val="20"/>
                              </w:rPr>
                            </w:pPr>
                            <w:r>
                              <w:rPr>
                                <w:rFonts w:ascii="ＭＳ ゴシック" w:eastAsia="ＭＳ ゴシック" w:hAnsi="ＭＳ ゴシック" w:hint="eastAsia"/>
                                <w:sz w:val="20"/>
                                <w:szCs w:val="20"/>
                              </w:rPr>
                              <w:t>時間内：危機管理室他</w:t>
                            </w:r>
                          </w:p>
                          <w:p w14:paraId="456412DF" w14:textId="77777777" w:rsidR="006A5267" w:rsidRPr="00C61A0B" w:rsidRDefault="006A5267" w:rsidP="005D372A">
                            <w:pPr>
                              <w:ind w:firstLineChars="100" w:firstLine="201"/>
                              <w:rPr>
                                <w:rFonts w:ascii="ＭＳ ゴシック" w:eastAsia="ＭＳ ゴシック" w:hAnsi="ＭＳ ゴシック"/>
                                <w:sz w:val="20"/>
                                <w:szCs w:val="20"/>
                              </w:rPr>
                            </w:pPr>
                            <w:r>
                              <w:rPr>
                                <w:rFonts w:ascii="ＭＳ ゴシック" w:eastAsia="ＭＳ ゴシック" w:hAnsi="ＭＳ ゴシック" w:hint="eastAsia"/>
                                <w:sz w:val="20"/>
                                <w:szCs w:val="20"/>
                              </w:rPr>
                              <w:t>時間外：防災・危機管理当直</w:t>
                            </w:r>
                          </w:p>
                        </w:txbxContent>
                      </wps:txbx>
                      <wps:bodyPr rot="0" vert="horz" wrap="square" lIns="74295" tIns="8890" rIns="74295" bIns="8890" anchor="ctr" anchorCtr="0" upright="1">
                        <a:noAutofit/>
                      </wps:bodyPr>
                    </wps:wsp>
                  </a:graphicData>
                </a:graphic>
              </wp:anchor>
            </w:drawing>
          </mc:Choice>
          <mc:Fallback xmlns:w16cei="http://schemas.microsoft.com/office/word/2026/wordml/cei">
            <w:pict>
              <v:roundrect w14:anchorId="2E791193" id="_x0000_s1168" style="position:absolute;left:0;text-align:left;margin-left:-4.55pt;margin-top:6.5pt;width:166.15pt;height:54pt;z-index:252991488;visibility:visible;mso-wrap-style:square;mso-wrap-distance-left:9pt;mso-wrap-distance-top:0;mso-wrap-distance-right:9pt;mso-wrap-distance-bottom:0;mso-position-horizontal:absolute;mso-position-horizontal-relative:text;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">
                <v:textbox inset="5.85pt,.7pt,5.85pt,.7pt">
                  <w:txbxContent>
                    <w:p w14:paraId="0F297B18" w14:textId="77777777" w:rsidR="006A5267" w:rsidRDefault="006A5267" w:rsidP="005D372A">
                      <w:pPr>
                        <w:ind w:firstLineChars="100" w:firstLine="201"/>
                        <w:rPr>
                          <w:rFonts w:ascii="ＭＳ ゴシック" w:eastAsia="ＭＳ ゴシック" w:hAnsi="ＭＳ ゴシック"/>
                          <w:sz w:val="20"/>
                          <w:szCs w:val="20"/>
                        </w:rPr>
                      </w:pPr>
                      <w:r>
                        <w:rPr>
                          <w:rFonts w:ascii="ＭＳ ゴシック" w:eastAsia="ＭＳ ゴシック" w:hAnsi="ＭＳ ゴシック" w:hint="eastAsia"/>
                          <w:sz w:val="20"/>
                          <w:szCs w:val="20"/>
                        </w:rPr>
                        <w:t>時間内：危機管理室他</w:t>
                      </w:r>
                    </w:p>
                    <w:p w14:paraId="456412DF" w14:textId="77777777" w:rsidR="006A5267" w:rsidRPr="00C61A0B" w:rsidRDefault="006A5267" w:rsidP="005D372A">
                      <w:pPr>
                        <w:ind w:firstLineChars="100" w:firstLine="201"/>
                        <w:rPr>
                          <w:rFonts w:ascii="ＭＳ ゴシック" w:eastAsia="ＭＳ ゴシック" w:hAnsi="ＭＳ ゴシック"/>
                          <w:sz w:val="20"/>
                          <w:szCs w:val="20"/>
                        </w:rPr>
                      </w:pPr>
                      <w:r>
                        <w:rPr>
                          <w:rFonts w:ascii="ＭＳ ゴシック" w:eastAsia="ＭＳ ゴシック" w:hAnsi="ＭＳ ゴシック" w:hint="eastAsia"/>
                          <w:sz w:val="20"/>
                          <w:szCs w:val="20"/>
                        </w:rPr>
                        <w:t>時間外：防災・危機管理当直</w:t>
                      </w:r>
                    </w:p>
                  </w:txbxContent>
                </v:textbox>
              </v:roundrect>
            </w:pict>
          </mc:Fallback>
        </mc:AlternateContent>
      </w:r>
      <w:r w:rsidRPr="001D6D10">
        <w:rPr>
          <w:rFonts w:ascii="ＭＳ 明朝" w:hAnsi="ＭＳ 明朝"/>
          <w:noProof/>
          <w:sz w:val="22"/>
          <w:szCs w:val="22"/>
        </w:rPr>
        <mc:AlternateContent>
          <mc:Choice Requires="wps">
            <w:drawing>
              <wp:anchor distT="0" distB="0" distL="114300" distR="114300" simplePos="0" relativeHeight="252992512" behindDoc="0" locked="0" layoutInCell="1" allowOverlap="1" wp14:anchorId="2F7BAC73" wp14:editId="09085D36">
                <wp:simplePos x="0" y="0"/>
                <wp:positionH relativeFrom="column">
                  <wp:posOffset>3428365</wp:posOffset>
                </wp:positionH>
                <wp:positionV relativeFrom="paragraph">
                  <wp:posOffset>196850</wp:posOffset>
                </wp:positionV>
                <wp:extent cx="1943100" cy="457200"/>
                <wp:effectExtent l="19050" t="19050" r="19050" b="19050"/>
                <wp:wrapNone/>
                <wp:docPr id="163" name="AutoShape 204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943100" cy="457200"/>
                        </a:xfrm>
                        <a:prstGeom prst="roundRect">
                          <a:avLst>
                            <a:gd name="adj" fmla="val 16667"/>
                          </a:avLst>
                        </a:prstGeom>
                        <a:solidFill>
                          <a:srgbClr val="FFFFFF"/>
                        </a:solidFill>
                        <a:ln w="44450" cmpd="dbl">
                          <a:solidFill>
                            <a:srgbClr val="000000"/>
                          </a:solidFill>
                          <a:round/>
                          <a:headEnd/>
                          <a:tailEnd/>
                        </a:ln>
                      </wps:spPr>
                      <wps:txbx>
                        <w:txbxContent>
                          <w:p w14:paraId="25016695" w14:textId="77777777" w:rsidR="006A5267" w:rsidRDefault="006A5267" w:rsidP="005D372A">
                            <w:pPr>
                              <w:jc w:val="center"/>
                            </w:pPr>
                            <w:r>
                              <w:rPr>
                                <w:rFonts w:hint="eastAsia"/>
                              </w:rPr>
                              <w:t>災害対策本部</w:t>
                            </w:r>
                          </w:p>
                        </w:txbxContent>
                      </wps:txbx>
                      <wps:bodyPr rot="0" vert="horz" wrap="square" lIns="74295" tIns="8890" rIns="74295" bIns="8890" anchor="ctr" anchorCtr="0" upright="1">
                        <a:noAutofit/>
                      </wps:bodyPr>
                    </wps:wsp>
                  </a:graphicData>
                </a:graphic>
              </wp:anchor>
            </w:drawing>
          </mc:Choice>
          <mc:Fallback xmlns:w16cei="http://schemas.microsoft.com/office/word/2026/wordml/cei">
            <w:pict>
              <v:roundrect w14:anchorId="2F7BAC73" id="_x0000_s1169" style="position:absolute;left:0;text-align:left;margin-left:269.95pt;margin-top:15.5pt;width:153pt;height:36pt;z-index:252992512;visibility:visible;mso-wrap-style:square;mso-wrap-distance-left:9pt;mso-wrap-distance-top:0;mso-wrap-distance-right:9pt;mso-wrap-distance-bottom:0;mso-position-horizontal:absolute;mso-position-horizontal-relative:text;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" strokeweight="3.5pt">
                <v:stroke linestyle="thinThin"/>
                <v:textbox inset="5.85pt,.7pt,5.85pt,.7pt">
                  <w:txbxContent>
                    <w:p w14:paraId="25016695" w14:textId="77777777" w:rsidR="006A5267" w:rsidRDefault="006A5267" w:rsidP="005D372A">
                      <w:pPr>
                        <w:jc w:val="center"/>
                      </w:pPr>
                      <w:r>
                        <w:rPr>
                          <w:rFonts w:hint="eastAsia"/>
                        </w:rPr>
                        <w:t>災害対策本部</w:t>
                      </w:r>
                    </w:p>
                  </w:txbxContent>
                </v:textbox>
              </v:roundrect>
            </w:pict>
          </mc:Fallback>
        </mc:AlternateContent>
      </w:r>
    </w:p>
    <w:p w14:paraId="64143EDC" w14:textId="77777777" w:rsidR="005D372A" w:rsidRPr="001D6D10" w:rsidRDefault="005D372A" w:rsidP="005D372A">
      <w:pPr>
        <w:rPr>
          <w:rFonts w:ascii="ＭＳ 明朝" w:hAnsi="ＭＳ 明朝"/>
          <w:sz w:val="22"/>
          <w:szCs w:val="22"/>
        </w:rPr>
      </w:pPr>
      <w:r w:rsidRPr="001D6D10">
        <w:rPr>
          <w:rFonts w:ascii="ＭＳ 明朝" w:hAnsi="ＭＳ 明朝"/>
          <w:noProof/>
          <w:sz w:val="22"/>
          <w:szCs w:val="22"/>
        </w:rPr>
        <mc:AlternateContent>
          <mc:Choice Requires="wps">
            <w:drawing>
              <wp:anchor distT="0" distB="0" distL="114300" distR="114300" simplePos="0" relativeHeight="252995584" behindDoc="0" locked="0" layoutInCell="1" allowOverlap="1" wp14:anchorId="551B3985" wp14:editId="20EC9286">
                <wp:simplePos x="0" y="0"/>
                <wp:positionH relativeFrom="column">
                  <wp:posOffset>2047240</wp:posOffset>
                </wp:positionH>
                <wp:positionV relativeFrom="paragraph">
                  <wp:posOffset>201295</wp:posOffset>
                </wp:positionV>
                <wp:extent cx="1376045" cy="0"/>
                <wp:effectExtent l="0" t="76200" r="14605" b="95250"/>
                <wp:wrapNone/>
                <wp:docPr id="164" name="直線矢印コネクタ 164"/>
                <wp:cNvGraphicFramePr/>
                <a:graphic xmlns:a="http://schemas.openxmlformats.org/drawingml/2006/main">
                  <a:graphicData uri="http://schemas.microsoft.com/office/word/2010/wordprocessingShape">
                    <wps:wsp>
                      <wps:cNvCnPr/>
                      <wps:spPr>
                        <a:xfrm>
                          <a:off x="0" y="0"/>
                          <a:ext cx="1376045" cy="0"/>
                        </a:xfrm>
                        <a:prstGeom prst="straightConnector1">
                          <a:avLst/>
                        </a:prstGeom>
                        <a:noFill/>
                        <a:ln w="9525" cap="flat" cmpd="sng" algn="ctr">
                          <a:solidFill>
                            <a:sysClr val="windowText" lastClr="000000"/>
                          </a:solidFill>
                          <a:prstDash val="solid"/>
                          <a:tailEnd type="triangle"/>
                        </a:ln>
                        <a:effectLst/>
                      </wps:spPr>
                      <wps:bodyPr/>
                    </wps:wsp>
                  </a:graphicData>
                </a:graphic>
              </wp:anchor>
            </w:drawing>
          </mc:Choice>
          <mc:Fallback xmlns:w16cei="http://schemas.microsoft.com/office/word/2026/wordml/cei">
            <w:pict>
              <v:shape w14:anchorId="1896DBAF" id="直線矢印コネクタ 164" o:spid="_x0000_s1026" type="#_x0000_t32" style="position:absolute;left:0;text-align:left;margin-left:161.2pt;margin-top:15.85pt;width:108.35pt;height:0;z-index:25299558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" strokecolor="windowText">
                <v:stroke endarrow="block"/>
              </v:shape>
            </w:pict>
          </mc:Fallback>
        </mc:AlternateContent>
      </w:r>
    </w:p>
    <w:p w14:paraId="77BC72CF" w14:textId="77777777" w:rsidR="005D372A" w:rsidRPr="001D6D10" w:rsidRDefault="005D372A" w:rsidP="005D372A">
      <w:pPr>
        <w:rPr>
          <w:rFonts w:ascii="ＭＳ 明朝" w:hAnsi="ＭＳ 明朝"/>
          <w:sz w:val="22"/>
          <w:szCs w:val="22"/>
        </w:rPr>
      </w:pPr>
    </w:p>
    <w:p w14:paraId="138D56D4" w14:textId="77777777" w:rsidR="005D372A" w:rsidRPr="001D6D10" w:rsidRDefault="005D372A" w:rsidP="005D372A">
      <w:pPr>
        <w:rPr>
          <w:rFonts w:ascii="ＭＳ 明朝" w:hAnsi="ＭＳ 明朝"/>
          <w:sz w:val="22"/>
          <w:szCs w:val="22"/>
        </w:rPr>
      </w:pPr>
      <w:r w:rsidRPr="001D6D10">
        <w:rPr>
          <w:rFonts w:ascii="ＭＳ 明朝" w:hAnsi="ＭＳ 明朝" w:hint="eastAsia"/>
          <w:noProof/>
          <w:sz w:val="22"/>
          <w:szCs w:val="22"/>
        </w:rPr>
        <mc:AlternateContent>
          <mc:Choice Requires="wps">
            <w:drawing>
              <wp:anchor distT="0" distB="0" distL="114300" distR="114300" simplePos="0" relativeHeight="252997632" behindDoc="0" locked="0" layoutInCell="1" allowOverlap="1" wp14:anchorId="470BEE99" wp14:editId="2EBDD11C">
                <wp:simplePos x="0" y="0"/>
                <wp:positionH relativeFrom="column">
                  <wp:posOffset>4546600</wp:posOffset>
                </wp:positionH>
                <wp:positionV relativeFrom="paragraph">
                  <wp:posOffset>190500</wp:posOffset>
                </wp:positionV>
                <wp:extent cx="457200" cy="228600"/>
                <wp:effectExtent l="0" t="0" r="0" b="0"/>
                <wp:wrapNone/>
                <wp:docPr id="166" name="Text Box 208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57200" cy="2286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ECF591F" w14:textId="77777777" w:rsidR="006A5267" w:rsidRPr="00A80169" w:rsidRDefault="006A5267" w:rsidP="005D372A">
                            <w:pPr>
                              <w:rPr>
                                <w:rFonts w:ascii="ＭＳ 明朝" w:hAnsi="ＭＳ 明朝"/>
                                <w:szCs w:val="21"/>
                              </w:rPr>
                            </w:pPr>
                            <w:r>
                              <w:rPr>
                                <w:rFonts w:ascii="ＭＳ 明朝" w:hAnsi="ＭＳ 明朝" w:hint="eastAsia"/>
                                <w:szCs w:val="21"/>
                              </w:rPr>
                              <w:t>連携</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shape w14:anchorId="470BEE99" id="_x0000_s1170" type="#_x0000_t202" style="position:absolute;left:0;text-align:left;margin-left:358pt;margin-top:15pt;width:36pt;height:18pt;z-index:2529976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" filled="f" stroked="f">
                <v:textbox inset="5.85pt,.7pt,5.85pt,.7pt">
                  <w:txbxContent>
                    <w:p w14:paraId="5ECF591F" w14:textId="77777777" w:rsidR="006A5267" w:rsidRPr="00A80169" w:rsidRDefault="006A5267" w:rsidP="005D372A">
                      <w:pPr>
                        <w:rPr>
                          <w:rFonts w:ascii="ＭＳ 明朝" w:hAnsi="ＭＳ 明朝"/>
                          <w:szCs w:val="21"/>
                        </w:rPr>
                      </w:pPr>
                      <w:r>
                        <w:rPr>
                          <w:rFonts w:ascii="ＭＳ 明朝" w:hAnsi="ＭＳ 明朝" w:hint="eastAsia"/>
                          <w:szCs w:val="21"/>
                        </w:rPr>
                        <w:t>連携</w:t>
                      </w:r>
                    </w:p>
                  </w:txbxContent>
                </v:textbox>
              </v:shape>
            </w:pict>
          </mc:Fallback>
        </mc:AlternateContent>
      </w:r>
      <w:r w:rsidRPr="001D6D10">
        <w:rPr>
          <w:rFonts w:ascii="ＭＳ 明朝" w:hAnsi="ＭＳ 明朝" w:hint="eastAsia"/>
          <w:noProof/>
          <w:sz w:val="22"/>
          <w:szCs w:val="22"/>
        </w:rPr>
        <mc:AlternateContent>
          <mc:Choice Requires="wps">
            <w:drawing>
              <wp:anchor distT="0" distB="0" distL="114300" distR="114300" simplePos="0" relativeHeight="252996608" behindDoc="0" locked="0" layoutInCell="1" allowOverlap="1" wp14:anchorId="70C29E01" wp14:editId="430BDC04">
                <wp:simplePos x="0" y="0"/>
                <wp:positionH relativeFrom="column">
                  <wp:posOffset>3765550</wp:posOffset>
                </wp:positionH>
                <wp:positionV relativeFrom="paragraph">
                  <wp:posOffset>190500</wp:posOffset>
                </wp:positionV>
                <wp:extent cx="457200" cy="228600"/>
                <wp:effectExtent l="0" t="0" r="0" b="0"/>
                <wp:wrapNone/>
                <wp:docPr id="174" name="Text Box 208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57200" cy="2286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54660EF" w14:textId="77777777" w:rsidR="006A5267" w:rsidRPr="00A80169" w:rsidRDefault="006A5267" w:rsidP="005D372A">
                            <w:pPr>
                              <w:rPr>
                                <w:rFonts w:ascii="ＭＳ 明朝" w:hAnsi="ＭＳ 明朝"/>
                                <w:szCs w:val="21"/>
                              </w:rPr>
                            </w:pPr>
                            <w:r w:rsidRPr="00A80169">
                              <w:rPr>
                                <w:rFonts w:ascii="ＭＳ 明朝" w:hAnsi="ＭＳ 明朝" w:hint="eastAsia"/>
                                <w:szCs w:val="21"/>
                              </w:rPr>
                              <w:t>連絡</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shape w14:anchorId="70C29E01" id="_x0000_s1171" type="#_x0000_t202" style="position:absolute;left:0;text-align:left;margin-left:296.5pt;margin-top:15pt;width:36pt;height:18pt;z-index:2529966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" filled="f" stroked="f">
                <v:textbox inset="5.85pt,.7pt,5.85pt,.7pt">
                  <w:txbxContent>
                    <w:p w14:paraId="754660EF" w14:textId="77777777" w:rsidR="006A5267" w:rsidRPr="00A80169" w:rsidRDefault="006A5267" w:rsidP="005D372A">
                      <w:pPr>
                        <w:rPr>
                          <w:rFonts w:ascii="ＭＳ 明朝" w:hAnsi="ＭＳ 明朝"/>
                          <w:szCs w:val="21"/>
                        </w:rPr>
                      </w:pPr>
                      <w:r w:rsidRPr="00A80169">
                        <w:rPr>
                          <w:rFonts w:ascii="ＭＳ 明朝" w:hAnsi="ＭＳ 明朝" w:hint="eastAsia"/>
                          <w:szCs w:val="21"/>
                        </w:rPr>
                        <w:t>連絡</w:t>
                      </w:r>
                    </w:p>
                  </w:txbxContent>
                </v:textbox>
              </v:shape>
            </w:pict>
          </mc:Fallback>
        </mc:AlternateContent>
      </w:r>
      <w:r w:rsidRPr="001D6D10">
        <w:rPr>
          <w:rFonts w:ascii="ＭＳ 明朝" w:hAnsi="ＭＳ 明朝"/>
          <w:noProof/>
          <w:sz w:val="22"/>
          <w:szCs w:val="22"/>
        </w:rPr>
        <mc:AlternateContent>
          <mc:Choice Requires="wps">
            <w:drawing>
              <wp:anchor distT="0" distB="0" distL="114300" distR="114300" simplePos="0" relativeHeight="252993536" behindDoc="0" locked="0" layoutInCell="1" allowOverlap="1" wp14:anchorId="7C9CA170" wp14:editId="39044BD0">
                <wp:simplePos x="0" y="0"/>
                <wp:positionH relativeFrom="column">
                  <wp:posOffset>4104640</wp:posOffset>
                </wp:positionH>
                <wp:positionV relativeFrom="paragraph">
                  <wp:posOffset>48260</wp:posOffset>
                </wp:positionV>
                <wp:extent cx="571500" cy="533400"/>
                <wp:effectExtent l="38100" t="19050" r="19050" b="38100"/>
                <wp:wrapNone/>
                <wp:docPr id="183" name="AutoShape 204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71500" cy="533400"/>
                        </a:xfrm>
                        <a:prstGeom prst="upDownArrow">
                          <a:avLst>
                            <a:gd name="adj1" fmla="val 50000"/>
                            <a:gd name="adj2" fmla="val 24000"/>
                          </a:avLst>
                        </a:prstGeom>
                        <a:solidFill>
                          <a:srgbClr val="FFFFFF"/>
                        </a:solidFill>
                        <a:ln w="9525">
                          <a:solidFill>
                            <a:srgbClr val="000000"/>
                          </a:solidFill>
                          <a:miter lim="800000"/>
                          <a:headEnd/>
                          <a:tailEnd/>
                        </a:ln>
                      </wps:spPr>
                      <wps:bodyPr rot="0" vert="horz" wrap="square" lIns="74295" tIns="8890" rIns="74295" bIns="8890" anchor="t" anchorCtr="0" upright="1">
                        <a:noAutofit/>
                      </wps:bodyPr>
                    </wps:wsp>
                  </a:graphicData>
                </a:graphic>
                <wp14:sizeRelV relativeFrom="margin">
                  <wp14:pctHeight>0</wp14:pctHeight>
                </wp14:sizeRelV>
              </wp:anchor>
            </w:drawing>
          </mc:Choice>
          <mc:Fallback xmlns:w16cei="http://schemas.microsoft.com/office/word/2026/wordml/cei">
            <w:pict>
              <v:shape w14:anchorId="5E7E2E75" id="AutoShape 2041" o:spid="_x0000_s1026" type="#_x0000_t70" style="position:absolute;left:0;text-align:left;margin-left:323.2pt;margin-top:3.8pt;width:45pt;height:42pt;z-index:25299353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" adj=",5184">
                <v:textbox inset="5.85pt,.7pt,5.85pt,.7pt"/>
              </v:shape>
            </w:pict>
          </mc:Fallback>
        </mc:AlternateContent>
      </w:r>
    </w:p>
    <w:p w14:paraId="3048BE96" w14:textId="77777777" w:rsidR="005D372A" w:rsidRPr="001D6D10" w:rsidRDefault="005D372A" w:rsidP="005D372A">
      <w:pPr>
        <w:rPr>
          <w:rFonts w:ascii="ＭＳ 明朝" w:hAnsi="ＭＳ 明朝"/>
          <w:sz w:val="22"/>
          <w:szCs w:val="22"/>
        </w:rPr>
      </w:pPr>
    </w:p>
    <w:p w14:paraId="71C4437A" w14:textId="77777777" w:rsidR="005D372A" w:rsidRPr="001D6D10" w:rsidRDefault="005D372A" w:rsidP="005D372A">
      <w:pPr>
        <w:rPr>
          <w:rFonts w:ascii="ＭＳ 明朝" w:hAnsi="ＭＳ 明朝"/>
          <w:sz w:val="22"/>
          <w:szCs w:val="22"/>
        </w:rPr>
      </w:pPr>
      <w:r w:rsidRPr="001D6D10">
        <w:rPr>
          <w:rFonts w:ascii="ＭＳ 明朝" w:hAnsi="ＭＳ 明朝"/>
          <w:noProof/>
          <w:sz w:val="22"/>
          <w:szCs w:val="22"/>
        </w:rPr>
        <mc:AlternateContent>
          <mc:Choice Requires="wps">
            <w:drawing>
              <wp:anchor distT="0" distB="0" distL="114300" distR="114300" simplePos="0" relativeHeight="252994560" behindDoc="0" locked="0" layoutInCell="1" allowOverlap="1" wp14:anchorId="75EA7737" wp14:editId="74DD338A">
                <wp:simplePos x="0" y="0"/>
                <wp:positionH relativeFrom="column">
                  <wp:posOffset>3428365</wp:posOffset>
                </wp:positionH>
                <wp:positionV relativeFrom="paragraph">
                  <wp:posOffset>219075</wp:posOffset>
                </wp:positionV>
                <wp:extent cx="1943100" cy="342900"/>
                <wp:effectExtent l="19050" t="19050" r="19050" b="19050"/>
                <wp:wrapNone/>
                <wp:docPr id="192" name="AutoShape 203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943100" cy="342900"/>
                        </a:xfrm>
                        <a:prstGeom prst="roundRect">
                          <a:avLst>
                            <a:gd name="adj" fmla="val 16667"/>
                          </a:avLst>
                        </a:prstGeom>
                        <a:solidFill>
                          <a:srgbClr val="FFFFFF"/>
                        </a:solidFill>
                        <a:ln w="44450" cmpd="thinThick">
                          <a:solidFill>
                            <a:srgbClr val="000000"/>
                          </a:solidFill>
                          <a:round/>
                          <a:headEnd/>
                          <a:tailEnd/>
                        </a:ln>
                      </wps:spPr>
                      <wps:txbx>
                        <w:txbxContent>
                          <w:p w14:paraId="62EB96FB" w14:textId="77777777" w:rsidR="006A5267" w:rsidRDefault="006A5267" w:rsidP="005D372A">
                            <w:pPr>
                              <w:jc w:val="center"/>
                            </w:pPr>
                            <w:r>
                              <w:rPr>
                                <w:rFonts w:ascii="ＭＳ ゴシック" w:eastAsia="ＭＳ ゴシック" w:hAnsi="ＭＳ ゴシック" w:hint="eastAsia"/>
                                <w:sz w:val="20"/>
                                <w:szCs w:val="20"/>
                              </w:rPr>
                              <w:t>地</w:t>
                            </w:r>
                            <w:r w:rsidRPr="00BB4422">
                              <w:rPr>
                                <w:rFonts w:ascii="ＭＳ ゴシック" w:eastAsia="ＭＳ ゴシック" w:hAnsi="ＭＳ ゴシック" w:hint="eastAsia"/>
                                <w:sz w:val="20"/>
                                <w:szCs w:val="20"/>
                              </w:rPr>
                              <w:t>域連絡部</w:t>
                            </w:r>
                          </w:p>
                        </w:txbxContent>
                      </wps:txbx>
                      <wps:bodyPr rot="0" vert="horz" wrap="square" lIns="74295" tIns="8890" rIns="74295" bIns="8890" anchor="ctr" anchorCtr="0" upright="1">
                        <a:noAutofit/>
                      </wps:bodyPr>
                    </wps:wsp>
                  </a:graphicData>
                </a:graphic>
              </wp:anchor>
            </w:drawing>
          </mc:Choice>
          <mc:Fallback xmlns:w16cei="http://schemas.microsoft.com/office/word/2026/wordml/cei">
            <w:pict>
              <v:roundrect w14:anchorId="75EA7737" id="_x0000_s1172" style="position:absolute;left:0;text-align:left;margin-left:269.95pt;margin-top:17.25pt;width:153pt;height:27pt;z-index:252994560;visibility:visible;mso-wrap-style:square;mso-wrap-distance-left:9pt;mso-wrap-distance-top:0;mso-wrap-distance-right:9pt;mso-wrap-distance-bottom:0;mso-position-horizontal:absolute;mso-position-horizontal-relative:text;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" strokeweight="3.5pt">
                <v:stroke linestyle="thinThick"/>
                <v:textbox inset="5.85pt,.7pt,5.85pt,.7pt">
                  <w:txbxContent>
                    <w:p w14:paraId="62EB96FB" w14:textId="77777777" w:rsidR="006A5267" w:rsidRDefault="006A5267" w:rsidP="005D372A">
                      <w:pPr>
                        <w:jc w:val="center"/>
                      </w:pPr>
                      <w:r>
                        <w:rPr>
                          <w:rFonts w:ascii="ＭＳ ゴシック" w:eastAsia="ＭＳ ゴシック" w:hAnsi="ＭＳ ゴシック" w:hint="eastAsia"/>
                          <w:sz w:val="20"/>
                          <w:szCs w:val="20"/>
                        </w:rPr>
                        <w:t>地</w:t>
                      </w:r>
                      <w:r w:rsidRPr="00BB4422">
                        <w:rPr>
                          <w:rFonts w:ascii="ＭＳ ゴシック" w:eastAsia="ＭＳ ゴシック" w:hAnsi="ＭＳ ゴシック" w:hint="eastAsia"/>
                          <w:sz w:val="20"/>
                          <w:szCs w:val="20"/>
                        </w:rPr>
                        <w:t>域連絡部</w:t>
                      </w:r>
                    </w:p>
                  </w:txbxContent>
                </v:textbox>
              </v:roundrect>
            </w:pict>
          </mc:Fallback>
        </mc:AlternateContent>
      </w:r>
    </w:p>
    <w:p w14:paraId="115D8800" w14:textId="77777777" w:rsidR="005D372A" w:rsidRPr="001D6D10" w:rsidRDefault="005D372A" w:rsidP="005D372A">
      <w:pPr>
        <w:rPr>
          <w:rFonts w:ascii="ＭＳ 明朝" w:hAnsi="ＭＳ 明朝"/>
          <w:sz w:val="22"/>
          <w:szCs w:val="22"/>
        </w:rPr>
      </w:pPr>
    </w:p>
    <w:p w14:paraId="4C371209" w14:textId="77777777" w:rsidR="005D372A" w:rsidRPr="001D6D10" w:rsidRDefault="005D372A" w:rsidP="005D372A">
      <w:pPr>
        <w:rPr>
          <w:rFonts w:ascii="ＭＳ 明朝" w:hAnsi="ＭＳ 明朝"/>
          <w:sz w:val="22"/>
          <w:szCs w:val="22"/>
        </w:rPr>
      </w:pPr>
    </w:p>
    <w:p w14:paraId="77BBB949" w14:textId="77777777" w:rsidR="005D372A" w:rsidRPr="001D6D10" w:rsidRDefault="005D372A" w:rsidP="005D372A">
      <w:pPr>
        <w:rPr>
          <w:rFonts w:ascii="ＭＳ 明朝" w:hAnsi="ＭＳ 明朝"/>
          <w:sz w:val="22"/>
          <w:szCs w:val="22"/>
        </w:rPr>
      </w:pPr>
      <w:r w:rsidRPr="001D6D10">
        <w:rPr>
          <w:rFonts w:ascii="ＭＳ 明朝" w:hAnsi="ＭＳ 明朝" w:hint="eastAsia"/>
          <w:noProof/>
          <w:sz w:val="22"/>
          <w:szCs w:val="22"/>
        </w:rPr>
        <mc:AlternateContent>
          <mc:Choice Requires="wps">
            <w:drawing>
              <wp:anchor distT="0" distB="0" distL="114300" distR="114300" simplePos="0" relativeHeight="253021184" behindDoc="0" locked="0" layoutInCell="1" allowOverlap="1" wp14:anchorId="0F9041A8" wp14:editId="650F3230">
                <wp:simplePos x="0" y="0"/>
                <wp:positionH relativeFrom="column">
                  <wp:posOffset>3650615</wp:posOffset>
                </wp:positionH>
                <wp:positionV relativeFrom="paragraph">
                  <wp:posOffset>8890</wp:posOffset>
                </wp:positionV>
                <wp:extent cx="1562100" cy="390525"/>
                <wp:effectExtent l="0" t="0" r="19050" b="28575"/>
                <wp:wrapNone/>
                <wp:docPr id="343" name="正方形/長方形 343"/>
                <wp:cNvGraphicFramePr/>
                <a:graphic xmlns:a="http://schemas.openxmlformats.org/drawingml/2006/main">
                  <a:graphicData uri="http://schemas.microsoft.com/office/word/2010/wordprocessingShape">
                    <wps:wsp>
                      <wps:cNvSpPr/>
                      <wps:spPr>
                        <a:xfrm>
                          <a:off x="0" y="0"/>
                          <a:ext cx="1562100" cy="390525"/>
                        </a:xfrm>
                        <a:prstGeom prst="rect">
                          <a:avLst/>
                        </a:prstGeom>
                        <a:noFill/>
                        <a:ln w="25400" cap="flat" cmpd="dbl" algn="ctr">
                          <a:solidFill>
                            <a:sysClr val="windowText" lastClr="000000"/>
                          </a:solidFill>
                          <a:prstDash val="solid"/>
                        </a:ln>
                        <a:effectLst/>
                      </wps:spPr>
                      <wps:txbx>
                        <w:txbxContent>
                          <w:p w14:paraId="0127A64A" w14:textId="77777777" w:rsidR="006A5267" w:rsidRPr="006B1896" w:rsidRDefault="006A5267" w:rsidP="005D372A">
                            <w:pPr>
                              <w:jc w:val="center"/>
                              <w:rPr>
                                <w:color w:val="000000" w:themeColor="text1"/>
                                <w:sz w:val="20"/>
                                <w:szCs w:val="20"/>
                              </w:rPr>
                            </w:pPr>
                            <w:r>
                              <w:rPr>
                                <w:rFonts w:hint="eastAsia"/>
                                <w:color w:val="000000" w:themeColor="text1"/>
                                <w:sz w:val="20"/>
                                <w:szCs w:val="20"/>
                              </w:rPr>
                              <w:t>現地災害対策本部</w:t>
                            </w:r>
                          </w:p>
                        </w:txbxContent>
                      </wps:txbx>
                      <wps:bodyPr rot="0" spcFirstLastPara="0" vertOverflow="overflow" horzOverflow="overflow" vert="horz" wrap="square" lIns="91440" tIns="0" rIns="91440" bIns="0" numCol="1" spcCol="0" rtlCol="0" fromWordArt="0" anchor="ctr" anchorCtr="0" forceAA="0" compatLnSpc="1">
                        <a:prstTxWarp prst="textNoShape">
                          <a:avLst/>
                        </a:prstTxWarp>
                        <a:noAutofit/>
                      </wps:bodyPr>
                    </wps:wsp>
                  </a:graphicData>
                </a:graphic>
              </wp:anchor>
            </w:drawing>
          </mc:Choice>
          <mc:Fallback xmlns:w16cei="http://schemas.microsoft.com/office/word/2026/wordml/cei">
            <w:pict>
              <v:rect w14:anchorId="0F9041A8" id="正方形/長方形 343" o:spid="_x0000_s1173" style="position:absolute;left:0;text-align:left;margin-left:287.45pt;margin-top:.7pt;width:123pt;height:30.75pt;z-index:25302118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" filled="f" strokecolor="windowText" strokeweight="2pt">
                <v:stroke linestyle="thinThin"/>
                <v:textbox inset=",0,,0">
                  <w:txbxContent>
                    <w:p w14:paraId="0127A64A" w14:textId="77777777" w:rsidR="006A5267" w:rsidRPr="006B1896" w:rsidRDefault="006A5267" w:rsidP="005D372A">
                      <w:pPr>
                        <w:jc w:val="center"/>
                        <w:rPr>
                          <w:color w:val="000000" w:themeColor="text1"/>
                          <w:sz w:val="20"/>
                          <w:szCs w:val="20"/>
                        </w:rPr>
                      </w:pPr>
                      <w:r>
                        <w:rPr>
                          <w:rFonts w:hint="eastAsia"/>
                          <w:color w:val="000000" w:themeColor="text1"/>
                          <w:sz w:val="20"/>
                          <w:szCs w:val="20"/>
                        </w:rPr>
                        <w:t>現地災害対策本部</w:t>
                      </w:r>
                    </w:p>
                  </w:txbxContent>
                </v:textbox>
              </v:rect>
            </w:pict>
          </mc:Fallback>
        </mc:AlternateContent>
      </w:r>
    </w:p>
    <w:p w14:paraId="77C01370" w14:textId="77777777" w:rsidR="005D372A" w:rsidRPr="001D6D10" w:rsidRDefault="005D372A" w:rsidP="005D372A">
      <w:pPr>
        <w:rPr>
          <w:rFonts w:ascii="ＭＳ 明朝" w:hAnsi="ＭＳ 明朝"/>
          <w:sz w:val="22"/>
          <w:szCs w:val="22"/>
        </w:rPr>
      </w:pPr>
    </w:p>
    <w:p w14:paraId="1EB69B83" w14:textId="77777777" w:rsidR="00E410D6" w:rsidRPr="001D6D10" w:rsidRDefault="00E410D6" w:rsidP="005D372A">
      <w:pPr>
        <w:rPr>
          <w:rFonts w:ascii="ＭＳ 明朝" w:hAnsi="ＭＳ 明朝"/>
          <w:sz w:val="22"/>
          <w:szCs w:val="22"/>
        </w:rPr>
      </w:pPr>
    </w:p>
    <w:p w14:paraId="5E78B2C0" w14:textId="77777777" w:rsidR="00E410D6" w:rsidRPr="001D6D10" w:rsidRDefault="00E410D6" w:rsidP="005D372A">
      <w:pPr>
        <w:rPr>
          <w:rFonts w:ascii="ＭＳ 明朝" w:hAnsi="ＭＳ 明朝"/>
          <w:sz w:val="22"/>
          <w:szCs w:val="22"/>
        </w:rPr>
      </w:pPr>
    </w:p>
    <w:p w14:paraId="576E5880" w14:textId="77777777" w:rsidR="00E410D6" w:rsidRPr="001D6D10" w:rsidRDefault="00E410D6" w:rsidP="005D372A">
      <w:pPr>
        <w:rPr>
          <w:rFonts w:ascii="ＭＳ 明朝" w:hAnsi="ＭＳ 明朝"/>
          <w:sz w:val="22"/>
          <w:szCs w:val="22"/>
        </w:rPr>
      </w:pPr>
    </w:p>
    <w:p w14:paraId="0099FBE7" w14:textId="77777777" w:rsidR="00E410D6" w:rsidRPr="001D6D10" w:rsidRDefault="00E410D6" w:rsidP="005D372A">
      <w:pPr>
        <w:rPr>
          <w:rFonts w:ascii="ＭＳ 明朝" w:hAnsi="ＭＳ 明朝"/>
          <w:sz w:val="22"/>
          <w:szCs w:val="22"/>
        </w:rPr>
      </w:pPr>
    </w:p>
    <w:p w14:paraId="2E618E7B" w14:textId="77777777" w:rsidR="005D372A" w:rsidRPr="001D6D10" w:rsidRDefault="005D372A" w:rsidP="005D372A">
      <w:pPr>
        <w:rPr>
          <w:rFonts w:ascii="ＭＳ 明朝" w:hAnsi="ＭＳ 明朝"/>
          <w:sz w:val="22"/>
          <w:szCs w:val="22"/>
        </w:rPr>
      </w:pPr>
      <w:r w:rsidRPr="001D6D10">
        <w:rPr>
          <w:rFonts w:ascii="ＭＳ 明朝" w:hAnsi="ＭＳ 明朝" w:hint="eastAsia"/>
          <w:sz w:val="22"/>
          <w:szCs w:val="22"/>
        </w:rPr>
        <w:lastRenderedPageBreak/>
        <w:t>（２）設置基準イの場合</w:t>
      </w:r>
      <w:r w:rsidRPr="001D6D10">
        <w:rPr>
          <w:rFonts w:ascii="ＭＳ 明朝" w:hAnsi="ＭＳ 明朝" w:hint="eastAsia"/>
          <w:noProof/>
          <w:sz w:val="22"/>
          <w:szCs w:val="22"/>
        </w:rPr>
        <mc:AlternateContent>
          <mc:Choice Requires="wps">
            <w:drawing>
              <wp:anchor distT="0" distB="0" distL="114300" distR="114300" simplePos="0" relativeHeight="252974080" behindDoc="0" locked="0" layoutInCell="1" allowOverlap="1" wp14:anchorId="4F8AC894" wp14:editId="13053B6C">
                <wp:simplePos x="0" y="0"/>
                <wp:positionH relativeFrom="column">
                  <wp:posOffset>2694940</wp:posOffset>
                </wp:positionH>
                <wp:positionV relativeFrom="paragraph">
                  <wp:posOffset>168910</wp:posOffset>
                </wp:positionV>
                <wp:extent cx="352425" cy="1466850"/>
                <wp:effectExtent l="0" t="0" r="28575" b="19050"/>
                <wp:wrapNone/>
                <wp:docPr id="204" name="AutoShape 203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52425" cy="1466850"/>
                        </a:xfrm>
                        <a:prstGeom prst="roundRect">
                          <a:avLst>
                            <a:gd name="adj" fmla="val 16667"/>
                          </a:avLst>
                        </a:prstGeom>
                        <a:solidFill>
                          <a:srgbClr val="FFFFFF"/>
                        </a:solidFill>
                        <a:ln w="3175">
                          <a:solidFill>
                            <a:srgbClr val="000000"/>
                          </a:solidFill>
                          <a:round/>
                          <a:headEnd/>
                          <a:tailEnd/>
                        </a:ln>
                      </wps:spPr>
                      <wps:txbx>
                        <w:txbxContent>
                          <w:p w14:paraId="02564B00" w14:textId="77777777" w:rsidR="006A5267" w:rsidRPr="00C04146" w:rsidRDefault="006A5267" w:rsidP="005D372A">
                            <w:pPr>
                              <w:jc w:val="center"/>
                              <w:rPr>
                                <w:rFonts w:ascii="ＭＳ ゴシック" w:eastAsia="ＭＳ ゴシック" w:hAnsi="ＭＳ ゴシック"/>
                                <w:sz w:val="20"/>
                                <w:szCs w:val="20"/>
                              </w:rPr>
                            </w:pPr>
                            <w:r>
                              <w:rPr>
                                <w:rFonts w:ascii="ＭＳ ゴシック" w:eastAsia="ＭＳ ゴシック" w:hAnsi="ＭＳ ゴシック" w:hint="eastAsia"/>
                                <w:sz w:val="20"/>
                                <w:szCs w:val="20"/>
                              </w:rPr>
                              <w:t>防災・危機管理指令部</w:t>
                            </w:r>
                          </w:p>
                        </w:txbxContent>
                      </wps:txbx>
                      <wps:bodyPr rot="0" vert="eaVert" wrap="square" lIns="0" tIns="8890" rIns="0" bIns="8890" anchor="ctr" anchorCtr="0" upright="1">
                        <a:noAutofit/>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roundrect w14:anchorId="4F8AC894" id="_x0000_s1174" style="position:absolute;left:0;text-align:left;margin-left:212.2pt;margin-top:13.3pt;width:27.75pt;height:115.5pt;z-index:2529740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" strokeweight=".25pt">
                <v:textbox style="layout-flow:vertical-ideographic" inset="0,.7pt,0,.7pt">
                  <w:txbxContent>
                    <w:p w14:paraId="02564B00" w14:textId="77777777" w:rsidR="006A5267" w:rsidRPr="00C04146" w:rsidRDefault="006A5267" w:rsidP="005D372A">
                      <w:pPr>
                        <w:jc w:val="center"/>
                        <w:rPr>
                          <w:rFonts w:ascii="ＭＳ ゴシック" w:eastAsia="ＭＳ ゴシック" w:hAnsi="ＭＳ ゴシック"/>
                          <w:sz w:val="20"/>
                          <w:szCs w:val="20"/>
                        </w:rPr>
                      </w:pPr>
                      <w:r>
                        <w:rPr>
                          <w:rFonts w:ascii="ＭＳ ゴシック" w:eastAsia="ＭＳ ゴシック" w:hAnsi="ＭＳ ゴシック" w:hint="eastAsia"/>
                          <w:sz w:val="20"/>
                          <w:szCs w:val="20"/>
                        </w:rPr>
                        <w:t>防災・危機管理指令部</w:t>
                      </w:r>
                    </w:p>
                  </w:txbxContent>
                </v:textbox>
              </v:roundrect>
            </w:pict>
          </mc:Fallback>
        </mc:AlternateContent>
      </w:r>
      <w:r w:rsidRPr="001D6D10">
        <w:rPr>
          <w:rFonts w:ascii="ＭＳ 明朝" w:hAnsi="ＭＳ 明朝" w:hint="eastAsia"/>
          <w:noProof/>
          <w:sz w:val="22"/>
          <w:szCs w:val="22"/>
        </w:rPr>
        <mc:AlternateContent>
          <mc:Choice Requires="wps">
            <w:drawing>
              <wp:anchor distT="0" distB="0" distL="114300" distR="114300" simplePos="0" relativeHeight="252969984" behindDoc="0" locked="0" layoutInCell="1" allowOverlap="1" wp14:anchorId="4B168406" wp14:editId="4AC56BDC">
                <wp:simplePos x="0" y="0"/>
                <wp:positionH relativeFrom="column">
                  <wp:posOffset>2056765</wp:posOffset>
                </wp:positionH>
                <wp:positionV relativeFrom="paragraph">
                  <wp:posOffset>168910</wp:posOffset>
                </wp:positionV>
                <wp:extent cx="352425" cy="1466850"/>
                <wp:effectExtent l="0" t="0" r="28575" b="19050"/>
                <wp:wrapNone/>
                <wp:docPr id="205" name="AutoShape 203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52425" cy="1466850"/>
                        </a:xfrm>
                        <a:prstGeom prst="roundRect">
                          <a:avLst>
                            <a:gd name="adj" fmla="val 16667"/>
                          </a:avLst>
                        </a:prstGeom>
                        <a:solidFill>
                          <a:srgbClr val="FFFFFF"/>
                        </a:solidFill>
                        <a:ln w="3175">
                          <a:solidFill>
                            <a:srgbClr val="000000"/>
                          </a:solidFill>
                          <a:round/>
                          <a:headEnd/>
                          <a:tailEnd/>
                        </a:ln>
                      </wps:spPr>
                      <wps:txbx>
                        <w:txbxContent>
                          <w:p w14:paraId="5176A39B" w14:textId="77777777" w:rsidR="006A5267" w:rsidRPr="00C04146" w:rsidRDefault="006A5267" w:rsidP="005D372A">
                            <w:pPr>
                              <w:jc w:val="center"/>
                              <w:rPr>
                                <w:rFonts w:ascii="ＭＳ ゴシック" w:eastAsia="ＭＳ ゴシック" w:hAnsi="ＭＳ ゴシック"/>
                                <w:sz w:val="20"/>
                                <w:szCs w:val="20"/>
                              </w:rPr>
                            </w:pPr>
                            <w:r w:rsidRPr="00C04146">
                              <w:rPr>
                                <w:rFonts w:ascii="ＭＳ ゴシック" w:eastAsia="ＭＳ ゴシック" w:hAnsi="ＭＳ ゴシック" w:hint="eastAsia"/>
                                <w:sz w:val="20"/>
                                <w:szCs w:val="20"/>
                              </w:rPr>
                              <w:t>防災・危機管理警戒班</w:t>
                            </w:r>
                          </w:p>
                        </w:txbxContent>
                      </wps:txbx>
                      <wps:bodyPr rot="0" vert="eaVert" wrap="square" lIns="0" tIns="8890" rIns="0" bIns="8890" anchor="ctr" anchorCtr="0" upright="1">
                        <a:noAutofit/>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roundrect w14:anchorId="4B168406" id="_x0000_s1175" style="position:absolute;left:0;text-align:left;margin-left:161.95pt;margin-top:13.3pt;width:27.75pt;height:115.5pt;z-index:2529699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" strokeweight=".25pt">
                <v:textbox style="layout-flow:vertical-ideographic" inset="0,.7pt,0,.7pt">
                  <w:txbxContent>
                    <w:p w14:paraId="5176A39B" w14:textId="77777777" w:rsidR="006A5267" w:rsidRPr="00C04146" w:rsidRDefault="006A5267" w:rsidP="005D372A">
                      <w:pPr>
                        <w:jc w:val="center"/>
                        <w:rPr>
                          <w:rFonts w:ascii="ＭＳ ゴシック" w:eastAsia="ＭＳ ゴシック" w:hAnsi="ＭＳ ゴシック"/>
                          <w:sz w:val="20"/>
                          <w:szCs w:val="20"/>
                        </w:rPr>
                      </w:pPr>
                      <w:r w:rsidRPr="00C04146">
                        <w:rPr>
                          <w:rFonts w:ascii="ＭＳ ゴシック" w:eastAsia="ＭＳ ゴシック" w:hAnsi="ＭＳ ゴシック" w:hint="eastAsia"/>
                          <w:sz w:val="20"/>
                          <w:szCs w:val="20"/>
                        </w:rPr>
                        <w:t>防災・危機管理警戒班</w:t>
                      </w:r>
                    </w:p>
                  </w:txbxContent>
                </v:textbox>
              </v:roundrect>
            </w:pict>
          </mc:Fallback>
        </mc:AlternateContent>
      </w:r>
      <w:r w:rsidRPr="001D6D10">
        <w:rPr>
          <w:rFonts w:ascii="ＭＳ 明朝" w:hAnsi="ＭＳ 明朝" w:hint="eastAsia"/>
          <w:noProof/>
          <w:sz w:val="22"/>
          <w:szCs w:val="22"/>
        </w:rPr>
        <mc:AlternateContent>
          <mc:Choice Requires="wps">
            <w:drawing>
              <wp:anchor distT="0" distB="0" distL="114300" distR="114300" simplePos="0" relativeHeight="252962816" behindDoc="0" locked="0" layoutInCell="1" allowOverlap="1" wp14:anchorId="0AB389B9" wp14:editId="12C7B7A8">
                <wp:simplePos x="0" y="0"/>
                <wp:positionH relativeFrom="column">
                  <wp:posOffset>1551940</wp:posOffset>
                </wp:positionH>
                <wp:positionV relativeFrom="paragraph">
                  <wp:posOffset>645160</wp:posOffset>
                </wp:positionV>
                <wp:extent cx="504825" cy="0"/>
                <wp:effectExtent l="0" t="76200" r="28575" b="95250"/>
                <wp:wrapNone/>
                <wp:docPr id="206" name="直線矢印コネクタ 206"/>
                <wp:cNvGraphicFramePr/>
                <a:graphic xmlns:a="http://schemas.openxmlformats.org/drawingml/2006/main">
                  <a:graphicData uri="http://schemas.microsoft.com/office/word/2010/wordprocessingShape">
                    <wps:wsp>
                      <wps:cNvCnPr/>
                      <wps:spPr>
                        <a:xfrm>
                          <a:off x="0" y="0"/>
                          <a:ext cx="504825" cy="0"/>
                        </a:xfrm>
                        <a:prstGeom prst="straightConnector1">
                          <a:avLst/>
                        </a:prstGeom>
                        <a:noFill/>
                        <a:ln w="9525" cap="flat" cmpd="sng" algn="ctr">
                          <a:solidFill>
                            <a:sysClr val="windowText" lastClr="000000"/>
                          </a:solidFill>
                          <a:prstDash val="solid"/>
                          <a:tailEnd type="triangle"/>
                        </a:ln>
                        <a:effectLst/>
                      </wps:spPr>
                      <wps:bodyPr/>
                    </wps:wsp>
                  </a:graphicData>
                </a:graphic>
                <wp14:sizeRelH relativeFrom="margin">
                  <wp14:pctWidth>0</wp14:pctWidth>
                </wp14:sizeRelH>
              </wp:anchor>
            </w:drawing>
          </mc:Choice>
          <mc:Fallback xmlns:w16cei="http://schemas.microsoft.com/office/word/2026/wordml/cei">
            <w:pict>
              <v:shape w14:anchorId="68444930" id="直線矢印コネクタ 206" o:spid="_x0000_s1026" type="#_x0000_t32" style="position:absolute;left:0;text-align:left;margin-left:122.2pt;margin-top:50.8pt;width:39.75pt;height:0;z-index:25296281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" strokecolor="windowText">
                <v:stroke endarrow="block"/>
              </v:shape>
            </w:pict>
          </mc:Fallback>
        </mc:AlternateContent>
      </w:r>
      <w:r w:rsidRPr="001D6D10">
        <w:rPr>
          <w:rFonts w:ascii="ＭＳ 明朝" w:hAnsi="ＭＳ 明朝" w:hint="eastAsia"/>
          <w:noProof/>
          <w:sz w:val="22"/>
          <w:szCs w:val="22"/>
        </w:rPr>
        <mc:AlternateContent>
          <mc:Choice Requires="wps">
            <w:drawing>
              <wp:anchor distT="0" distB="0" distL="114300" distR="114300" simplePos="0" relativeHeight="252958720" behindDoc="0" locked="0" layoutInCell="1" allowOverlap="1" wp14:anchorId="24332A27" wp14:editId="12DD6E9E">
                <wp:simplePos x="0" y="0"/>
                <wp:positionH relativeFrom="column">
                  <wp:posOffset>1675765</wp:posOffset>
                </wp:positionH>
                <wp:positionV relativeFrom="paragraph">
                  <wp:posOffset>692785</wp:posOffset>
                </wp:positionV>
                <wp:extent cx="457200" cy="781050"/>
                <wp:effectExtent l="0" t="0" r="0" b="0"/>
                <wp:wrapNone/>
                <wp:docPr id="207" name="Text Box 208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57200" cy="781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D29B0E3" w14:textId="77777777" w:rsidR="006A5267" w:rsidRPr="00A80169" w:rsidRDefault="006A5267" w:rsidP="005D372A">
                            <w:pPr>
                              <w:rPr>
                                <w:rFonts w:ascii="ＭＳ 明朝" w:hAnsi="ＭＳ 明朝"/>
                                <w:szCs w:val="21"/>
                              </w:rPr>
                            </w:pPr>
                            <w:r w:rsidRPr="00A80169">
                              <w:rPr>
                                <w:rFonts w:ascii="ＭＳ 明朝" w:hAnsi="ＭＳ 明朝" w:hint="eastAsia"/>
                                <w:szCs w:val="21"/>
                              </w:rPr>
                              <w:t>連絡</w:t>
                            </w:r>
                          </w:p>
                        </w:txbxContent>
                      </wps:txbx>
                      <wps:bodyPr rot="0" vert="eaVert"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shape w14:anchorId="24332A27" id="_x0000_s1176" type="#_x0000_t202" style="position:absolute;left:0;text-align:left;margin-left:131.95pt;margin-top:54.55pt;width:36pt;height:61.5pt;z-index:252958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" filled="f" stroked="f">
                <v:textbox style="layout-flow:vertical-ideographic" inset="5.85pt,.7pt,5.85pt,.7pt">
                  <w:txbxContent>
                    <w:p w14:paraId="7D29B0E3" w14:textId="77777777" w:rsidR="006A5267" w:rsidRPr="00A80169" w:rsidRDefault="006A5267" w:rsidP="005D372A">
                      <w:pPr>
                        <w:rPr>
                          <w:rFonts w:ascii="ＭＳ 明朝" w:hAnsi="ＭＳ 明朝"/>
                          <w:szCs w:val="21"/>
                        </w:rPr>
                      </w:pPr>
                      <w:r w:rsidRPr="00A80169">
                        <w:rPr>
                          <w:rFonts w:ascii="ＭＳ 明朝" w:hAnsi="ＭＳ 明朝" w:hint="eastAsia"/>
                          <w:szCs w:val="21"/>
                        </w:rPr>
                        <w:t>連絡</w:t>
                      </w:r>
                    </w:p>
                  </w:txbxContent>
                </v:textbox>
              </v:shape>
            </w:pict>
          </mc:Fallback>
        </mc:AlternateContent>
      </w:r>
      <w:r w:rsidRPr="001D6D10">
        <w:rPr>
          <w:rFonts w:ascii="ＭＳ 明朝" w:hAnsi="ＭＳ 明朝"/>
          <w:sz w:val="22"/>
          <w:szCs w:val="22"/>
        </w:rPr>
        <w:t xml:space="preserve"> </w:t>
      </w:r>
    </w:p>
    <w:p w14:paraId="6FA3DC0C" w14:textId="77777777" w:rsidR="005D372A" w:rsidRPr="001D6D10" w:rsidRDefault="005D372A" w:rsidP="005D372A">
      <w:pPr>
        <w:rPr>
          <w:rFonts w:ascii="ＭＳ 明朝" w:hAnsi="ＭＳ 明朝"/>
          <w:sz w:val="22"/>
          <w:szCs w:val="22"/>
        </w:rPr>
      </w:pPr>
      <w:r w:rsidRPr="001D6D10">
        <w:rPr>
          <w:rFonts w:ascii="ＭＳ 明朝" w:hAnsi="ＭＳ 明朝" w:hint="eastAsia"/>
          <w:noProof/>
          <w:sz w:val="22"/>
          <w:szCs w:val="22"/>
        </w:rPr>
        <mc:AlternateContent>
          <mc:Choice Requires="wps">
            <w:drawing>
              <wp:anchor distT="0" distB="0" distL="114300" distR="114300" simplePos="0" relativeHeight="252973056" behindDoc="0" locked="0" layoutInCell="1" allowOverlap="1" wp14:anchorId="3B4D121F" wp14:editId="53E95AEB">
                <wp:simplePos x="0" y="0"/>
                <wp:positionH relativeFrom="column">
                  <wp:posOffset>3171190</wp:posOffset>
                </wp:positionH>
                <wp:positionV relativeFrom="paragraph">
                  <wp:posOffset>103505</wp:posOffset>
                </wp:positionV>
                <wp:extent cx="695325" cy="276225"/>
                <wp:effectExtent l="0" t="0" r="0" b="9525"/>
                <wp:wrapNone/>
                <wp:docPr id="2798" name="Text Box 208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95325" cy="2762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EEBFEFE" w14:textId="77777777" w:rsidR="006A5267" w:rsidRPr="00A80169" w:rsidRDefault="006A5267" w:rsidP="005D372A">
                            <w:pPr>
                              <w:rPr>
                                <w:rFonts w:ascii="ＭＳ 明朝" w:hAnsi="ＭＳ 明朝"/>
                                <w:szCs w:val="21"/>
                              </w:rPr>
                            </w:pPr>
                            <w:r>
                              <w:rPr>
                                <w:rFonts w:ascii="ＭＳ 明朝" w:hAnsi="ＭＳ 明朝" w:hint="eastAsia"/>
                                <w:szCs w:val="21"/>
                              </w:rPr>
                              <w:t>体制移行</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shape w14:anchorId="3B4D121F" id="_x0000_s1177" type="#_x0000_t202" style="position:absolute;left:0;text-align:left;margin-left:249.7pt;margin-top:8.15pt;width:54.75pt;height:21.75pt;z-index:2529730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" filled="f" stroked="f">
                <v:textbox inset="5.85pt,.7pt,5.85pt,.7pt">
                  <w:txbxContent>
                    <w:p w14:paraId="4EEBFEFE" w14:textId="77777777" w:rsidR="006A5267" w:rsidRPr="00A80169" w:rsidRDefault="006A5267" w:rsidP="005D372A">
                      <w:pPr>
                        <w:rPr>
                          <w:rFonts w:ascii="ＭＳ 明朝" w:hAnsi="ＭＳ 明朝"/>
                          <w:szCs w:val="21"/>
                        </w:rPr>
                      </w:pPr>
                      <w:r>
                        <w:rPr>
                          <w:rFonts w:ascii="ＭＳ 明朝" w:hAnsi="ＭＳ 明朝" w:hint="eastAsia"/>
                          <w:szCs w:val="21"/>
                        </w:rPr>
                        <w:t>体制移行</w:t>
                      </w:r>
                    </w:p>
                  </w:txbxContent>
                </v:textbox>
              </v:shape>
            </w:pict>
          </mc:Fallback>
        </mc:AlternateContent>
      </w:r>
      <w:r w:rsidRPr="001D6D10">
        <w:rPr>
          <w:rFonts w:ascii="ＭＳ 明朝" w:hAnsi="ＭＳ 明朝" w:hint="eastAsia"/>
          <w:noProof/>
          <w:sz w:val="22"/>
          <w:szCs w:val="22"/>
        </w:rPr>
        <mc:AlternateContent>
          <mc:Choice Requires="wps">
            <w:drawing>
              <wp:anchor distT="0" distB="0" distL="114300" distR="114300" simplePos="0" relativeHeight="252959744" behindDoc="0" locked="0" layoutInCell="1" allowOverlap="1" wp14:anchorId="6AEDF4D1" wp14:editId="3A51DA10">
                <wp:simplePos x="0" y="0"/>
                <wp:positionH relativeFrom="column">
                  <wp:posOffset>4018280</wp:posOffset>
                </wp:positionH>
                <wp:positionV relativeFrom="paragraph">
                  <wp:posOffset>193040</wp:posOffset>
                </wp:positionV>
                <wp:extent cx="1609725" cy="457200"/>
                <wp:effectExtent l="19050" t="19050" r="28575" b="19050"/>
                <wp:wrapNone/>
                <wp:docPr id="208" name="AutoShape 204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609725" cy="457200"/>
                        </a:xfrm>
                        <a:prstGeom prst="roundRect">
                          <a:avLst>
                            <a:gd name="adj" fmla="val 16667"/>
                          </a:avLst>
                        </a:prstGeom>
                        <a:solidFill>
                          <a:srgbClr val="FFFFFF"/>
                        </a:solidFill>
                        <a:ln w="44450" cmpd="dbl">
                          <a:solidFill>
                            <a:srgbClr val="000000"/>
                          </a:solidFill>
                          <a:round/>
                          <a:headEnd/>
                          <a:tailEnd/>
                        </a:ln>
                      </wps:spPr>
                      <wps:txbx>
                        <w:txbxContent>
                          <w:p w14:paraId="4102645A" w14:textId="77777777" w:rsidR="006A5267" w:rsidRDefault="006A5267" w:rsidP="005D372A">
                            <w:pPr>
                              <w:jc w:val="center"/>
                            </w:pPr>
                            <w:r>
                              <w:rPr>
                                <w:rFonts w:ascii="ＭＳ ゴシック" w:eastAsia="ＭＳ ゴシック" w:hAnsi="ＭＳ ゴシック" w:hint="eastAsia"/>
                                <w:sz w:val="20"/>
                                <w:szCs w:val="20"/>
                              </w:rPr>
                              <w:t>災害対策本部</w:t>
                            </w:r>
                          </w:p>
                        </w:txbxContent>
                      </wps:txbx>
                      <wps:bodyPr rot="0" vert="horz" wrap="square" lIns="74295" tIns="8890" rIns="74295" bIns="8890" anchor="ctr" anchorCtr="0" upright="1">
                        <a:noAutofit/>
                      </wps:bodyPr>
                    </wps:wsp>
                  </a:graphicData>
                </a:graphic>
                <wp14:sizeRelH relativeFrom="margin">
                  <wp14:pctWidth>0</wp14:pctWidth>
                </wp14:sizeRelH>
              </wp:anchor>
            </w:drawing>
          </mc:Choice>
          <mc:Fallback xmlns:w16cei="http://schemas.microsoft.com/office/word/2026/wordml/cei">
            <w:pict>
              <v:roundrect w14:anchorId="6AEDF4D1" id="_x0000_s1178" style="position:absolute;left:0;text-align:left;margin-left:316.4pt;margin-top:15.2pt;width:126.75pt;height:36pt;z-index:25295974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" strokeweight="3.5pt">
                <v:stroke linestyle="thinThin"/>
                <v:textbox inset="5.85pt,.7pt,5.85pt,.7pt">
                  <w:txbxContent>
                    <w:p w14:paraId="4102645A" w14:textId="77777777" w:rsidR="006A5267" w:rsidRDefault="006A5267" w:rsidP="005D372A">
                      <w:pPr>
                        <w:jc w:val="center"/>
                      </w:pPr>
                      <w:r>
                        <w:rPr>
                          <w:rFonts w:ascii="ＭＳ ゴシック" w:eastAsia="ＭＳ ゴシック" w:hAnsi="ＭＳ ゴシック" w:hint="eastAsia"/>
                          <w:sz w:val="20"/>
                          <w:szCs w:val="20"/>
                        </w:rPr>
                        <w:t>災害対策本部</w:t>
                      </w:r>
                    </w:p>
                  </w:txbxContent>
                </v:textbox>
              </v:roundrect>
            </w:pict>
          </mc:Fallback>
        </mc:AlternateContent>
      </w:r>
      <w:r w:rsidRPr="001D6D10">
        <w:rPr>
          <w:rFonts w:ascii="ＭＳ 明朝" w:hAnsi="ＭＳ 明朝" w:hint="eastAsia"/>
          <w:noProof/>
          <w:sz w:val="22"/>
          <w:szCs w:val="22"/>
        </w:rPr>
        <mc:AlternateContent>
          <mc:Choice Requires="wps">
            <w:drawing>
              <wp:anchor distT="0" distB="0" distL="114300" distR="114300" simplePos="0" relativeHeight="252966912" behindDoc="0" locked="0" layoutInCell="1" allowOverlap="1" wp14:anchorId="3978E288" wp14:editId="712778D8">
                <wp:simplePos x="0" y="0"/>
                <wp:positionH relativeFrom="column">
                  <wp:posOffset>-210185</wp:posOffset>
                </wp:positionH>
                <wp:positionV relativeFrom="paragraph">
                  <wp:posOffset>78740</wp:posOffset>
                </wp:positionV>
                <wp:extent cx="2000250" cy="685800"/>
                <wp:effectExtent l="0" t="0" r="19050" b="19050"/>
                <wp:wrapNone/>
                <wp:docPr id="209" name="AutoShape 203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000250" cy="685800"/>
                        </a:xfrm>
                        <a:prstGeom prst="roundRect">
                          <a:avLst>
                            <a:gd name="adj" fmla="val 16667"/>
                          </a:avLst>
                        </a:prstGeom>
                        <a:solidFill>
                          <a:srgbClr val="FFFFFF"/>
                        </a:solidFill>
                        <a:ln w="9525">
                          <a:solidFill>
                            <a:srgbClr val="000000"/>
                          </a:solidFill>
                          <a:round/>
                          <a:headEnd/>
                          <a:tailEnd/>
                        </a:ln>
                      </wps:spPr>
                      <wps:txbx>
                        <w:txbxContent>
                          <w:p w14:paraId="4636C66F" w14:textId="77777777" w:rsidR="006A5267" w:rsidRDefault="006A5267" w:rsidP="005D372A">
                            <w:pPr>
                              <w:ind w:firstLineChars="100" w:firstLine="201"/>
                              <w:rPr>
                                <w:rFonts w:ascii="ＭＳ ゴシック" w:eastAsia="ＭＳ ゴシック" w:hAnsi="ＭＳ ゴシック"/>
                                <w:sz w:val="20"/>
                                <w:szCs w:val="20"/>
                              </w:rPr>
                            </w:pPr>
                            <w:r>
                              <w:rPr>
                                <w:rFonts w:ascii="ＭＳ ゴシック" w:eastAsia="ＭＳ ゴシック" w:hAnsi="ＭＳ ゴシック" w:hint="eastAsia"/>
                                <w:sz w:val="20"/>
                                <w:szCs w:val="20"/>
                              </w:rPr>
                              <w:t>時間内：危機管理室他</w:t>
                            </w:r>
                          </w:p>
                          <w:p w14:paraId="3E676EBC" w14:textId="77777777" w:rsidR="006A5267" w:rsidRPr="00C61A0B" w:rsidRDefault="006A5267" w:rsidP="005D372A">
                            <w:pPr>
                              <w:ind w:firstLineChars="100" w:firstLine="201"/>
                              <w:rPr>
                                <w:rFonts w:ascii="ＭＳ ゴシック" w:eastAsia="ＭＳ ゴシック" w:hAnsi="ＭＳ ゴシック"/>
                                <w:sz w:val="20"/>
                                <w:szCs w:val="20"/>
                              </w:rPr>
                            </w:pPr>
                            <w:r>
                              <w:rPr>
                                <w:rFonts w:ascii="ＭＳ ゴシック" w:eastAsia="ＭＳ ゴシック" w:hAnsi="ＭＳ ゴシック" w:hint="eastAsia"/>
                                <w:sz w:val="20"/>
                                <w:szCs w:val="20"/>
                              </w:rPr>
                              <w:t>時間外：防災・危機管理当直</w:t>
                            </w:r>
                          </w:p>
                        </w:txbxContent>
                      </wps:txbx>
                      <wps:bodyPr rot="0" vert="horz" wrap="square" lIns="74295" tIns="8890" rIns="74295" bIns="8890" anchor="ctr" anchorCtr="0" upright="1">
                        <a:noAutofit/>
                      </wps:bodyPr>
                    </wps:wsp>
                  </a:graphicData>
                </a:graphic>
                <wp14:sizeRelH relativeFrom="margin">
                  <wp14:pctWidth>0</wp14:pctWidth>
                </wp14:sizeRelH>
              </wp:anchor>
            </w:drawing>
          </mc:Choice>
          <mc:Fallback xmlns:w16cei="http://schemas.microsoft.com/office/word/2026/wordml/cei">
            <w:pict>
              <v:roundrect w14:anchorId="3978E288" id="_x0000_s1179" style="position:absolute;left:0;text-align:left;margin-left:-16.55pt;margin-top:6.2pt;width:157.5pt;height:54pt;z-index:25296691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">
                <v:textbox inset="5.85pt,.7pt,5.85pt,.7pt">
                  <w:txbxContent>
                    <w:p w14:paraId="4636C66F" w14:textId="77777777" w:rsidR="006A5267" w:rsidRDefault="006A5267" w:rsidP="005D372A">
                      <w:pPr>
                        <w:ind w:firstLineChars="100" w:firstLine="201"/>
                        <w:rPr>
                          <w:rFonts w:ascii="ＭＳ ゴシック" w:eastAsia="ＭＳ ゴシック" w:hAnsi="ＭＳ ゴシック"/>
                          <w:sz w:val="20"/>
                          <w:szCs w:val="20"/>
                        </w:rPr>
                      </w:pPr>
                      <w:r>
                        <w:rPr>
                          <w:rFonts w:ascii="ＭＳ ゴシック" w:eastAsia="ＭＳ ゴシック" w:hAnsi="ＭＳ ゴシック" w:hint="eastAsia"/>
                          <w:sz w:val="20"/>
                          <w:szCs w:val="20"/>
                        </w:rPr>
                        <w:t>時間内：危機管理室他</w:t>
                      </w:r>
                    </w:p>
                    <w:p w14:paraId="3E676EBC" w14:textId="77777777" w:rsidR="006A5267" w:rsidRPr="00C61A0B" w:rsidRDefault="006A5267" w:rsidP="005D372A">
                      <w:pPr>
                        <w:ind w:firstLineChars="100" w:firstLine="201"/>
                        <w:rPr>
                          <w:rFonts w:ascii="ＭＳ ゴシック" w:eastAsia="ＭＳ ゴシック" w:hAnsi="ＭＳ ゴシック"/>
                          <w:sz w:val="20"/>
                          <w:szCs w:val="20"/>
                        </w:rPr>
                      </w:pPr>
                      <w:r>
                        <w:rPr>
                          <w:rFonts w:ascii="ＭＳ ゴシック" w:eastAsia="ＭＳ ゴシック" w:hAnsi="ＭＳ ゴシック" w:hint="eastAsia"/>
                          <w:sz w:val="20"/>
                          <w:szCs w:val="20"/>
                        </w:rPr>
                        <w:t>時間外：防災・危機管理当直</w:t>
                      </w:r>
                    </w:p>
                  </w:txbxContent>
                </v:textbox>
              </v:roundrect>
            </w:pict>
          </mc:Fallback>
        </mc:AlternateContent>
      </w:r>
    </w:p>
    <w:p w14:paraId="7C3DBC1E" w14:textId="77777777" w:rsidR="005D372A" w:rsidRPr="001D6D10" w:rsidRDefault="005D372A" w:rsidP="005D372A">
      <w:pPr>
        <w:rPr>
          <w:rFonts w:ascii="ＭＳ 明朝" w:hAnsi="ＭＳ 明朝"/>
          <w:sz w:val="22"/>
          <w:szCs w:val="22"/>
        </w:rPr>
      </w:pPr>
      <w:r w:rsidRPr="001D6D10">
        <w:rPr>
          <w:rFonts w:ascii="ＭＳ 明朝" w:hAnsi="ＭＳ 明朝" w:hint="eastAsia"/>
          <w:noProof/>
          <w:sz w:val="22"/>
          <w:szCs w:val="22"/>
        </w:rPr>
        <mc:AlternateContent>
          <mc:Choice Requires="wps">
            <w:drawing>
              <wp:anchor distT="0" distB="0" distL="114300" distR="114300" simplePos="0" relativeHeight="252972032" behindDoc="0" locked="0" layoutInCell="1" allowOverlap="1" wp14:anchorId="5EF962B9" wp14:editId="1253D8ED">
                <wp:simplePos x="0" y="0"/>
                <wp:positionH relativeFrom="column">
                  <wp:posOffset>3009265</wp:posOffset>
                </wp:positionH>
                <wp:positionV relativeFrom="paragraph">
                  <wp:posOffset>88265</wp:posOffset>
                </wp:positionV>
                <wp:extent cx="981075" cy="9525"/>
                <wp:effectExtent l="0" t="57150" r="28575" b="85725"/>
                <wp:wrapNone/>
                <wp:docPr id="2797" name="直線矢印コネクタ 2797"/>
                <wp:cNvGraphicFramePr/>
                <a:graphic xmlns:a="http://schemas.openxmlformats.org/drawingml/2006/main">
                  <a:graphicData uri="http://schemas.microsoft.com/office/word/2010/wordprocessingShape">
                    <wps:wsp>
                      <wps:cNvCnPr/>
                      <wps:spPr>
                        <a:xfrm>
                          <a:off x="0" y="0"/>
                          <a:ext cx="981075" cy="9525"/>
                        </a:xfrm>
                        <a:prstGeom prst="straightConnector1">
                          <a:avLst/>
                        </a:prstGeom>
                        <a:noFill/>
                        <a:ln w="9525" cap="flat" cmpd="sng" algn="ctr">
                          <a:solidFill>
                            <a:sysClr val="windowText" lastClr="000000"/>
                          </a:solidFill>
                          <a:prstDash val="solid"/>
                          <a:tailEnd type="triangle"/>
                        </a:ln>
                        <a:effectLst/>
                      </wps:spPr>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shape w14:anchorId="021B964F" id="直線矢印コネクタ 2797" o:spid="_x0000_s1026" type="#_x0000_t32" style="position:absolute;left:0;text-align:left;margin-left:236.95pt;margin-top:6.95pt;width:77.25pt;height:.75pt;z-index:2529720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" strokecolor="windowText">
                <v:stroke endarrow="block"/>
              </v:shape>
            </w:pict>
          </mc:Fallback>
        </mc:AlternateContent>
      </w:r>
      <w:r w:rsidRPr="001D6D10">
        <w:rPr>
          <w:rFonts w:ascii="ＭＳ 明朝" w:hAnsi="ＭＳ 明朝" w:hint="eastAsia"/>
          <w:noProof/>
          <w:sz w:val="22"/>
          <w:szCs w:val="22"/>
        </w:rPr>
        <mc:AlternateContent>
          <mc:Choice Requires="wps">
            <w:drawing>
              <wp:anchor distT="0" distB="0" distL="114300" distR="114300" simplePos="0" relativeHeight="252968960" behindDoc="0" locked="0" layoutInCell="1" allowOverlap="1" wp14:anchorId="50D37CD5" wp14:editId="35B5C9A6">
                <wp:simplePos x="0" y="0"/>
                <wp:positionH relativeFrom="column">
                  <wp:posOffset>2180590</wp:posOffset>
                </wp:positionH>
                <wp:positionV relativeFrom="paragraph">
                  <wp:posOffset>196850</wp:posOffset>
                </wp:positionV>
                <wp:extent cx="504825" cy="0"/>
                <wp:effectExtent l="0" t="76200" r="28575" b="95250"/>
                <wp:wrapNone/>
                <wp:docPr id="212" name="直線矢印コネクタ 212"/>
                <wp:cNvGraphicFramePr/>
                <a:graphic xmlns:a="http://schemas.openxmlformats.org/drawingml/2006/main">
                  <a:graphicData uri="http://schemas.microsoft.com/office/word/2010/wordprocessingShape">
                    <wps:wsp>
                      <wps:cNvCnPr/>
                      <wps:spPr>
                        <a:xfrm>
                          <a:off x="0" y="0"/>
                          <a:ext cx="504825" cy="0"/>
                        </a:xfrm>
                        <a:prstGeom prst="straightConnector1">
                          <a:avLst/>
                        </a:prstGeom>
                        <a:noFill/>
                        <a:ln w="9525" cap="flat" cmpd="sng" algn="ctr">
                          <a:solidFill>
                            <a:sysClr val="windowText" lastClr="000000"/>
                          </a:solidFill>
                          <a:prstDash val="solid"/>
                          <a:tailEnd type="triangle"/>
                        </a:ln>
                        <a:effectLst/>
                      </wps:spPr>
                      <wps:bodyPr/>
                    </wps:wsp>
                  </a:graphicData>
                </a:graphic>
                <wp14:sizeRelH relativeFrom="margin">
                  <wp14:pctWidth>0</wp14:pctWidth>
                </wp14:sizeRelH>
              </wp:anchor>
            </w:drawing>
          </mc:Choice>
          <mc:Fallback xmlns:w16cei="http://schemas.microsoft.com/office/word/2026/wordml/cei">
            <w:pict>
              <v:shape w14:anchorId="44041D3D" id="直線矢印コネクタ 212" o:spid="_x0000_s1026" type="#_x0000_t32" style="position:absolute;left:0;text-align:left;margin-left:171.7pt;margin-top:15.5pt;width:39.75pt;height:0;z-index:25296896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" strokecolor="windowText">
                <v:stroke endarrow="block"/>
              </v:shape>
            </w:pict>
          </mc:Fallback>
        </mc:AlternateContent>
      </w:r>
    </w:p>
    <w:p w14:paraId="6766C7F4" w14:textId="77777777" w:rsidR="005D372A" w:rsidRPr="001D6D10" w:rsidRDefault="005D372A" w:rsidP="005D372A">
      <w:pPr>
        <w:rPr>
          <w:rFonts w:ascii="ＭＳ 明朝" w:hAnsi="ＭＳ 明朝"/>
          <w:sz w:val="22"/>
          <w:szCs w:val="22"/>
        </w:rPr>
      </w:pPr>
      <w:r w:rsidRPr="001D6D10">
        <w:rPr>
          <w:rFonts w:ascii="ＭＳ 明朝" w:hAnsi="ＭＳ 明朝" w:hint="eastAsia"/>
          <w:noProof/>
          <w:sz w:val="22"/>
          <w:szCs w:val="22"/>
        </w:rPr>
        <mc:AlternateContent>
          <mc:Choice Requires="wps">
            <w:drawing>
              <wp:anchor distT="0" distB="0" distL="114300" distR="114300" simplePos="0" relativeHeight="252953600" behindDoc="0" locked="0" layoutInCell="1" allowOverlap="1" wp14:anchorId="3FE97814" wp14:editId="1A05BF12">
                <wp:simplePos x="0" y="0"/>
                <wp:positionH relativeFrom="column">
                  <wp:posOffset>3371215</wp:posOffset>
                </wp:positionH>
                <wp:positionV relativeFrom="paragraph">
                  <wp:posOffset>26670</wp:posOffset>
                </wp:positionV>
                <wp:extent cx="628650" cy="276225"/>
                <wp:effectExtent l="0" t="76200" r="0" b="28575"/>
                <wp:wrapNone/>
                <wp:docPr id="2799" name="フリーフォーム 2799"/>
                <wp:cNvGraphicFramePr/>
                <a:graphic xmlns:a="http://schemas.openxmlformats.org/drawingml/2006/main">
                  <a:graphicData uri="http://schemas.microsoft.com/office/word/2010/wordprocessingShape">
                    <wps:wsp>
                      <wps:cNvSpPr/>
                      <wps:spPr>
                        <a:xfrm>
                          <a:off x="0" y="0"/>
                          <a:ext cx="628650" cy="276225"/>
                        </a:xfrm>
                        <a:custGeom>
                          <a:avLst/>
                          <a:gdLst>
                            <a:gd name="connsiteX0" fmla="*/ 0 w 628650"/>
                            <a:gd name="connsiteY0" fmla="*/ 276225 h 276225"/>
                            <a:gd name="connsiteX1" fmla="*/ 504825 w 628650"/>
                            <a:gd name="connsiteY1" fmla="*/ 276225 h 276225"/>
                            <a:gd name="connsiteX2" fmla="*/ 504825 w 628650"/>
                            <a:gd name="connsiteY2" fmla="*/ 0 h 276225"/>
                            <a:gd name="connsiteX3" fmla="*/ 628650 w 628650"/>
                            <a:gd name="connsiteY3" fmla="*/ 0 h 276225"/>
                          </a:gdLst>
                          <a:ahLst/>
                          <a:cxnLst>
                            <a:cxn ang="0">
                              <a:pos x="connsiteX0" y="connsiteY0"/>
                            </a:cxn>
                            <a:cxn ang="0">
                              <a:pos x="connsiteX1" y="connsiteY1"/>
                            </a:cxn>
                            <a:cxn ang="0">
                              <a:pos x="connsiteX2" y="connsiteY2"/>
                            </a:cxn>
                            <a:cxn ang="0">
                              <a:pos x="connsiteX3" y="connsiteY3"/>
                            </a:cxn>
                          </a:cxnLst>
                          <a:rect l="l" t="t" r="r" b="b"/>
                          <a:pathLst>
                            <a:path w="628650" h="276225">
                              <a:moveTo>
                                <a:pt x="0" y="276225"/>
                              </a:moveTo>
                              <a:lnTo>
                                <a:pt x="504825" y="276225"/>
                              </a:lnTo>
                              <a:lnTo>
                                <a:pt x="504825" y="0"/>
                              </a:lnTo>
                              <a:lnTo>
                                <a:pt x="628650" y="0"/>
                              </a:lnTo>
                            </a:path>
                          </a:pathLst>
                        </a:custGeom>
                        <a:noFill/>
                        <a:ln w="9525" cap="flat" cmpd="sng" algn="ctr">
                          <a:solidFill>
                            <a:sysClr val="windowText" lastClr="000000"/>
                          </a:solidFill>
                          <a:prstDash val="solid"/>
                          <a:tailEnd type="triangle"/>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6cei="http://schemas.microsoft.com/office/word/2026/wordml/cei">
            <w:pict>
              <v:shape w14:anchorId="688B4135" id="フリーフォーム 2799" o:spid="_x0000_s1026" style="position:absolute;left:0;text-align:left;margin-left:265.45pt;margin-top:2.1pt;width:49.5pt;height:21.75pt;z-index:252953600;visibility:visible;mso-wrap-style:square;mso-wrap-distance-left:9pt;mso-wrap-distance-top:0;mso-wrap-distance-right:9pt;mso-wrap-distance-bottom:0;mso-position-horizontal:absolute;mso-position-horizontal-relative:text;mso-position-vertical:absolute;mso-position-vertical-relative:text;v-text-anchor:middle" coordsize="628650,2762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" path="m,276225r504825,l504825,,628650,e" filled="f" strokecolor="windowText">
                <v:stroke endarrow="block"/>
                <v:path arrowok="t" o:connecttype="custom" o:connectlocs="0,276225;504825,276225;504825,0;628650,0" o:connectangles="0,0,0,0"/>
              </v:shape>
            </w:pict>
          </mc:Fallback>
        </mc:AlternateContent>
      </w:r>
      <w:r w:rsidRPr="001D6D10">
        <w:rPr>
          <w:rFonts w:ascii="ＭＳ 明朝" w:hAnsi="ＭＳ 明朝" w:hint="eastAsia"/>
          <w:noProof/>
          <w:sz w:val="22"/>
          <w:szCs w:val="22"/>
        </w:rPr>
        <mc:AlternateContent>
          <mc:Choice Requires="wps">
            <w:drawing>
              <wp:anchor distT="0" distB="0" distL="114300" distR="114300" simplePos="0" relativeHeight="252975104" behindDoc="0" locked="0" layoutInCell="1" allowOverlap="1" wp14:anchorId="5FCD1503" wp14:editId="697FE03E">
                <wp:simplePos x="0" y="0"/>
                <wp:positionH relativeFrom="column">
                  <wp:posOffset>3323590</wp:posOffset>
                </wp:positionH>
                <wp:positionV relativeFrom="paragraph">
                  <wp:posOffset>64770</wp:posOffset>
                </wp:positionV>
                <wp:extent cx="352425" cy="990600"/>
                <wp:effectExtent l="0" t="0" r="28575" b="19050"/>
                <wp:wrapNone/>
                <wp:docPr id="195" name="AutoShape 203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52425" cy="990600"/>
                        </a:xfrm>
                        <a:prstGeom prst="roundRect">
                          <a:avLst>
                            <a:gd name="adj" fmla="val 16667"/>
                          </a:avLst>
                        </a:prstGeom>
                        <a:solidFill>
                          <a:srgbClr val="FFFFFF"/>
                        </a:solidFill>
                        <a:ln w="3175">
                          <a:solidFill>
                            <a:srgbClr val="000000"/>
                          </a:solidFill>
                          <a:round/>
                          <a:headEnd/>
                          <a:tailEnd/>
                        </a:ln>
                      </wps:spPr>
                      <wps:txbx>
                        <w:txbxContent>
                          <w:p w14:paraId="7C85252D" w14:textId="77777777" w:rsidR="006A5267" w:rsidRPr="00C04146" w:rsidRDefault="006A5267" w:rsidP="005D372A">
                            <w:pPr>
                              <w:jc w:val="center"/>
                              <w:rPr>
                                <w:rFonts w:ascii="ＭＳ ゴシック" w:eastAsia="ＭＳ ゴシック" w:hAnsi="ＭＳ ゴシック"/>
                                <w:sz w:val="20"/>
                                <w:szCs w:val="20"/>
                              </w:rPr>
                            </w:pPr>
                            <w:r>
                              <w:rPr>
                                <w:rFonts w:ascii="ＭＳ ゴシック" w:eastAsia="ＭＳ ゴシック" w:hAnsi="ＭＳ ゴシック" w:hint="eastAsia"/>
                                <w:sz w:val="20"/>
                                <w:szCs w:val="20"/>
                              </w:rPr>
                              <w:t>災害警戒本部</w:t>
                            </w:r>
                          </w:p>
                        </w:txbxContent>
                      </wps:txbx>
                      <wps:bodyPr rot="0" vert="eaVert" wrap="square" lIns="0" tIns="8890" rIns="0" bIns="8890" anchor="ctr" anchorCtr="0" upright="1">
                        <a:noAutofit/>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roundrect w14:anchorId="5FCD1503" id="_x0000_s1180" style="position:absolute;left:0;text-align:left;margin-left:261.7pt;margin-top:5.1pt;width:27.75pt;height:78pt;z-index:2529751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" strokeweight=".25pt">
                <v:textbox style="layout-flow:vertical-ideographic" inset="0,.7pt,0,.7pt">
                  <w:txbxContent>
                    <w:p w14:paraId="7C85252D" w14:textId="77777777" w:rsidR="006A5267" w:rsidRPr="00C04146" w:rsidRDefault="006A5267" w:rsidP="005D372A">
                      <w:pPr>
                        <w:jc w:val="center"/>
                        <w:rPr>
                          <w:rFonts w:ascii="ＭＳ ゴシック" w:eastAsia="ＭＳ ゴシック" w:hAnsi="ＭＳ ゴシック"/>
                          <w:sz w:val="20"/>
                          <w:szCs w:val="20"/>
                        </w:rPr>
                      </w:pPr>
                      <w:r>
                        <w:rPr>
                          <w:rFonts w:ascii="ＭＳ ゴシック" w:eastAsia="ＭＳ ゴシック" w:hAnsi="ＭＳ ゴシック" w:hint="eastAsia"/>
                          <w:sz w:val="20"/>
                          <w:szCs w:val="20"/>
                        </w:rPr>
                        <w:t>災害警戒本部</w:t>
                      </w:r>
                    </w:p>
                  </w:txbxContent>
                </v:textbox>
              </v:roundrect>
            </w:pict>
          </mc:Fallback>
        </mc:AlternateContent>
      </w:r>
      <w:r w:rsidRPr="001D6D10">
        <w:rPr>
          <w:rFonts w:ascii="ＭＳ 明朝" w:hAnsi="ＭＳ 明朝" w:hint="eastAsia"/>
          <w:noProof/>
          <w:sz w:val="22"/>
          <w:szCs w:val="22"/>
        </w:rPr>
        <mc:AlternateContent>
          <mc:Choice Requires="wps">
            <w:drawing>
              <wp:anchor distT="0" distB="0" distL="114300" distR="114300" simplePos="0" relativeHeight="252967936" behindDoc="0" locked="0" layoutInCell="1" allowOverlap="1" wp14:anchorId="34B98ACA" wp14:editId="69CA8808">
                <wp:simplePos x="0" y="0"/>
                <wp:positionH relativeFrom="column">
                  <wp:posOffset>2285365</wp:posOffset>
                </wp:positionH>
                <wp:positionV relativeFrom="paragraph">
                  <wp:posOffset>20320</wp:posOffset>
                </wp:positionV>
                <wp:extent cx="457200" cy="781050"/>
                <wp:effectExtent l="0" t="0" r="0" b="0"/>
                <wp:wrapNone/>
                <wp:docPr id="215" name="Text Box 208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57200" cy="781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D0C3293" w14:textId="77777777" w:rsidR="006A5267" w:rsidRPr="00A80169" w:rsidRDefault="006A5267" w:rsidP="005D372A">
                            <w:pPr>
                              <w:rPr>
                                <w:rFonts w:ascii="ＭＳ 明朝" w:hAnsi="ＭＳ 明朝"/>
                                <w:szCs w:val="21"/>
                              </w:rPr>
                            </w:pPr>
                            <w:r>
                              <w:rPr>
                                <w:rFonts w:ascii="ＭＳ 明朝" w:hAnsi="ＭＳ 明朝" w:hint="eastAsia"/>
                                <w:szCs w:val="21"/>
                              </w:rPr>
                              <w:t>体制移行</w:t>
                            </w:r>
                          </w:p>
                        </w:txbxContent>
                      </wps:txbx>
                      <wps:bodyPr rot="0" vert="eaVert"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shape w14:anchorId="34B98ACA" id="_x0000_s1181" type="#_x0000_t202" style="position:absolute;left:0;text-align:left;margin-left:179.95pt;margin-top:1.6pt;width:36pt;height:61.5pt;z-index:2529679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" filled="f" stroked="f">
                <v:textbox style="layout-flow:vertical-ideographic" inset="5.85pt,.7pt,5.85pt,.7pt">
                  <w:txbxContent>
                    <w:p w14:paraId="0D0C3293" w14:textId="77777777" w:rsidR="006A5267" w:rsidRPr="00A80169" w:rsidRDefault="006A5267" w:rsidP="005D372A">
                      <w:pPr>
                        <w:rPr>
                          <w:rFonts w:ascii="ＭＳ 明朝" w:hAnsi="ＭＳ 明朝"/>
                          <w:szCs w:val="21"/>
                        </w:rPr>
                      </w:pPr>
                      <w:r>
                        <w:rPr>
                          <w:rFonts w:ascii="ＭＳ 明朝" w:hAnsi="ＭＳ 明朝" w:hint="eastAsia"/>
                          <w:szCs w:val="21"/>
                        </w:rPr>
                        <w:t>体制移行</w:t>
                      </w:r>
                    </w:p>
                  </w:txbxContent>
                </v:textbox>
              </v:shape>
            </w:pict>
          </mc:Fallback>
        </mc:AlternateContent>
      </w:r>
    </w:p>
    <w:p w14:paraId="6D11BB9F" w14:textId="77777777" w:rsidR="005D372A" w:rsidRPr="001D6D10" w:rsidRDefault="005D372A" w:rsidP="005D372A">
      <w:pPr>
        <w:rPr>
          <w:rFonts w:ascii="ＭＳ 明朝" w:hAnsi="ＭＳ 明朝"/>
          <w:sz w:val="22"/>
          <w:szCs w:val="22"/>
        </w:rPr>
      </w:pPr>
      <w:r w:rsidRPr="001D6D10">
        <w:rPr>
          <w:rFonts w:ascii="ＭＳ 明朝" w:hAnsi="ＭＳ 明朝" w:hint="eastAsia"/>
          <w:noProof/>
          <w:sz w:val="22"/>
          <w:szCs w:val="22"/>
        </w:rPr>
        <mc:AlternateContent>
          <mc:Choice Requires="wps">
            <w:drawing>
              <wp:anchor distT="0" distB="0" distL="114300" distR="114300" simplePos="0" relativeHeight="252963840" behindDoc="0" locked="0" layoutInCell="1" allowOverlap="1" wp14:anchorId="336DE179" wp14:editId="19D18F1F">
                <wp:simplePos x="0" y="0"/>
                <wp:positionH relativeFrom="column">
                  <wp:posOffset>2837815</wp:posOffset>
                </wp:positionH>
                <wp:positionV relativeFrom="paragraph">
                  <wp:posOffset>72390</wp:posOffset>
                </wp:positionV>
                <wp:extent cx="504825" cy="0"/>
                <wp:effectExtent l="0" t="76200" r="9525" b="95250"/>
                <wp:wrapNone/>
                <wp:docPr id="211" name="直線矢印コネクタ 211"/>
                <wp:cNvGraphicFramePr/>
                <a:graphic xmlns:a="http://schemas.openxmlformats.org/drawingml/2006/main">
                  <a:graphicData uri="http://schemas.microsoft.com/office/word/2010/wordprocessingShape">
                    <wps:wsp>
                      <wps:cNvCnPr/>
                      <wps:spPr>
                        <a:xfrm>
                          <a:off x="0" y="0"/>
                          <a:ext cx="504825" cy="0"/>
                        </a:xfrm>
                        <a:prstGeom prst="straightConnector1">
                          <a:avLst/>
                        </a:prstGeom>
                        <a:noFill/>
                        <a:ln w="9525" cap="flat" cmpd="sng" algn="ctr">
                          <a:solidFill>
                            <a:sysClr val="windowText" lastClr="000000"/>
                          </a:solidFill>
                          <a:prstDash val="solid"/>
                          <a:tailEnd type="triangle"/>
                        </a:ln>
                        <a:effectLst/>
                      </wps:spPr>
                      <wps:bodyPr/>
                    </wps:wsp>
                  </a:graphicData>
                </a:graphic>
                <wp14:sizeRelH relativeFrom="margin">
                  <wp14:pctWidth>0</wp14:pctWidth>
                </wp14:sizeRelH>
              </wp:anchor>
            </w:drawing>
          </mc:Choice>
          <mc:Fallback xmlns:w16cei="http://schemas.microsoft.com/office/word/2026/wordml/cei">
            <w:pict>
              <v:shape w14:anchorId="5A74D9D1" id="直線矢印コネクタ 211" o:spid="_x0000_s1026" type="#_x0000_t32" style="position:absolute;left:0;text-align:left;margin-left:223.45pt;margin-top:5.7pt;width:39.75pt;height:0;z-index:25296384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" strokecolor="windowText">
                <v:stroke endarrow="block"/>
              </v:shape>
            </w:pict>
          </mc:Fallback>
        </mc:AlternateContent>
      </w:r>
      <w:r w:rsidRPr="001D6D10">
        <w:rPr>
          <w:rFonts w:ascii="ＭＳ 明朝" w:hAnsi="ＭＳ 明朝" w:hint="eastAsia"/>
          <w:noProof/>
          <w:sz w:val="22"/>
          <w:szCs w:val="22"/>
        </w:rPr>
        <mc:AlternateContent>
          <mc:Choice Requires="wps">
            <w:drawing>
              <wp:anchor distT="0" distB="0" distL="114300" distR="114300" simplePos="0" relativeHeight="252960768" behindDoc="0" locked="0" layoutInCell="1" allowOverlap="1" wp14:anchorId="69FAEADB" wp14:editId="176C678A">
                <wp:simplePos x="0" y="0"/>
                <wp:positionH relativeFrom="column">
                  <wp:posOffset>4361815</wp:posOffset>
                </wp:positionH>
                <wp:positionV relativeFrom="paragraph">
                  <wp:posOffset>11430</wp:posOffset>
                </wp:positionV>
                <wp:extent cx="571500" cy="542925"/>
                <wp:effectExtent l="38100" t="19050" r="19050" b="47625"/>
                <wp:wrapNone/>
                <wp:docPr id="216" name="AutoShape 204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71500" cy="542925"/>
                        </a:xfrm>
                        <a:prstGeom prst="upDownArrow">
                          <a:avLst>
                            <a:gd name="adj1" fmla="val 50000"/>
                            <a:gd name="adj2" fmla="val 24000"/>
                          </a:avLst>
                        </a:prstGeom>
                        <a:solidFill>
                          <a:srgbClr val="FFFFFF"/>
                        </a:solidFill>
                        <a:ln w="9525">
                          <a:solidFill>
                            <a:srgbClr val="000000"/>
                          </a:solidFill>
                          <a:miter lim="800000"/>
                          <a:headEnd/>
                          <a:tailEnd/>
                        </a:ln>
                      </wps:spPr>
                      <wps:bodyPr rot="0" vert="horz" wrap="square" lIns="74295" tIns="8890" rIns="74295" bIns="8890" anchor="t" anchorCtr="0" upright="1">
                        <a:noAutofit/>
                      </wps:bodyPr>
                    </wps:wsp>
                  </a:graphicData>
                </a:graphic>
                <wp14:sizeRelV relativeFrom="margin">
                  <wp14:pctHeight>0</wp14:pctHeight>
                </wp14:sizeRelV>
              </wp:anchor>
            </w:drawing>
          </mc:Choice>
          <mc:Fallback xmlns:w16cei="http://schemas.microsoft.com/office/word/2026/wordml/cei">
            <w:pict>
              <v:shape w14:anchorId="334D8DFA" id="AutoShape 2041" o:spid="_x0000_s1026" type="#_x0000_t70" style="position:absolute;left:0;text-align:left;margin-left:343.45pt;margin-top:.9pt;width:45pt;height:42.75pt;z-index:25296076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" adj=",5184">
                <v:textbox inset="5.85pt,.7pt,5.85pt,.7pt"/>
              </v:shape>
            </w:pict>
          </mc:Fallback>
        </mc:AlternateContent>
      </w:r>
      <w:r w:rsidRPr="001D6D10">
        <w:rPr>
          <w:rFonts w:ascii="ＭＳ 明朝" w:hAnsi="ＭＳ 明朝" w:hint="eastAsia"/>
          <w:noProof/>
          <w:sz w:val="22"/>
          <w:szCs w:val="22"/>
        </w:rPr>
        <mc:AlternateContent>
          <mc:Choice Requires="wps">
            <w:drawing>
              <wp:anchor distT="0" distB="0" distL="114300" distR="114300" simplePos="0" relativeHeight="252964864" behindDoc="0" locked="0" layoutInCell="1" allowOverlap="1" wp14:anchorId="4D5D2DC7" wp14:editId="34CCD35A">
                <wp:simplePos x="0" y="0"/>
                <wp:positionH relativeFrom="column">
                  <wp:posOffset>4022725</wp:posOffset>
                </wp:positionH>
                <wp:positionV relativeFrom="paragraph">
                  <wp:posOffset>182245</wp:posOffset>
                </wp:positionV>
                <wp:extent cx="457200" cy="228600"/>
                <wp:effectExtent l="0" t="0" r="0" b="0"/>
                <wp:wrapNone/>
                <wp:docPr id="217" name="Text Box 208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57200" cy="2286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C38B9A9" w14:textId="77777777" w:rsidR="006A5267" w:rsidRPr="00A80169" w:rsidRDefault="006A5267" w:rsidP="005D372A">
                            <w:pPr>
                              <w:rPr>
                                <w:rFonts w:ascii="ＭＳ 明朝" w:hAnsi="ＭＳ 明朝"/>
                                <w:szCs w:val="21"/>
                              </w:rPr>
                            </w:pPr>
                            <w:r w:rsidRPr="00A80169">
                              <w:rPr>
                                <w:rFonts w:ascii="ＭＳ 明朝" w:hAnsi="ＭＳ 明朝" w:hint="eastAsia"/>
                                <w:szCs w:val="21"/>
                              </w:rPr>
                              <w:t>連絡</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shape w14:anchorId="4D5D2DC7" id="_x0000_s1182" type="#_x0000_t202" style="position:absolute;left:0;text-align:left;margin-left:316.75pt;margin-top:14.35pt;width:36pt;height:18pt;z-index:2529648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" filled="f" stroked="f">
                <v:textbox inset="5.85pt,.7pt,5.85pt,.7pt">
                  <w:txbxContent>
                    <w:p w14:paraId="2C38B9A9" w14:textId="77777777" w:rsidR="006A5267" w:rsidRPr="00A80169" w:rsidRDefault="006A5267" w:rsidP="005D372A">
                      <w:pPr>
                        <w:rPr>
                          <w:rFonts w:ascii="ＭＳ 明朝" w:hAnsi="ＭＳ 明朝"/>
                          <w:szCs w:val="21"/>
                        </w:rPr>
                      </w:pPr>
                      <w:r w:rsidRPr="00A80169">
                        <w:rPr>
                          <w:rFonts w:ascii="ＭＳ 明朝" w:hAnsi="ＭＳ 明朝" w:hint="eastAsia"/>
                          <w:szCs w:val="21"/>
                        </w:rPr>
                        <w:t>連絡</w:t>
                      </w:r>
                    </w:p>
                  </w:txbxContent>
                </v:textbox>
              </v:shape>
            </w:pict>
          </mc:Fallback>
        </mc:AlternateContent>
      </w:r>
      <w:r w:rsidRPr="001D6D10">
        <w:rPr>
          <w:rFonts w:ascii="ＭＳ 明朝" w:hAnsi="ＭＳ 明朝" w:hint="eastAsia"/>
          <w:noProof/>
          <w:sz w:val="22"/>
          <w:szCs w:val="22"/>
        </w:rPr>
        <mc:AlternateContent>
          <mc:Choice Requires="wps">
            <w:drawing>
              <wp:anchor distT="0" distB="0" distL="114300" distR="114300" simplePos="0" relativeHeight="252965888" behindDoc="0" locked="0" layoutInCell="1" allowOverlap="1" wp14:anchorId="6AC0B7EB" wp14:editId="30D502B5">
                <wp:simplePos x="0" y="0"/>
                <wp:positionH relativeFrom="column">
                  <wp:posOffset>4803775</wp:posOffset>
                </wp:positionH>
                <wp:positionV relativeFrom="paragraph">
                  <wp:posOffset>182245</wp:posOffset>
                </wp:positionV>
                <wp:extent cx="457200" cy="228600"/>
                <wp:effectExtent l="0" t="0" r="0" b="0"/>
                <wp:wrapNone/>
                <wp:docPr id="218" name="Text Box 208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57200" cy="2286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20591E0" w14:textId="77777777" w:rsidR="006A5267" w:rsidRPr="00A80169" w:rsidRDefault="006A5267" w:rsidP="005D372A">
                            <w:pPr>
                              <w:rPr>
                                <w:rFonts w:ascii="ＭＳ 明朝" w:hAnsi="ＭＳ 明朝"/>
                                <w:szCs w:val="21"/>
                              </w:rPr>
                            </w:pPr>
                            <w:r>
                              <w:rPr>
                                <w:rFonts w:ascii="ＭＳ 明朝" w:hAnsi="ＭＳ 明朝" w:hint="eastAsia"/>
                                <w:szCs w:val="21"/>
                              </w:rPr>
                              <w:t>連携</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shape w14:anchorId="6AC0B7EB" id="_x0000_s1183" type="#_x0000_t202" style="position:absolute;left:0;text-align:left;margin-left:378.25pt;margin-top:14.35pt;width:36pt;height:18pt;z-index:2529658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" filled="f" stroked="f">
                <v:textbox inset="5.85pt,.7pt,5.85pt,.7pt">
                  <w:txbxContent>
                    <w:p w14:paraId="420591E0" w14:textId="77777777" w:rsidR="006A5267" w:rsidRPr="00A80169" w:rsidRDefault="006A5267" w:rsidP="005D372A">
                      <w:pPr>
                        <w:rPr>
                          <w:rFonts w:ascii="ＭＳ 明朝" w:hAnsi="ＭＳ 明朝"/>
                          <w:szCs w:val="21"/>
                        </w:rPr>
                      </w:pPr>
                      <w:r>
                        <w:rPr>
                          <w:rFonts w:ascii="ＭＳ 明朝" w:hAnsi="ＭＳ 明朝" w:hint="eastAsia"/>
                          <w:szCs w:val="21"/>
                        </w:rPr>
                        <w:t>連携</w:t>
                      </w:r>
                    </w:p>
                  </w:txbxContent>
                </v:textbox>
              </v:shape>
            </w:pict>
          </mc:Fallback>
        </mc:AlternateContent>
      </w:r>
    </w:p>
    <w:p w14:paraId="5C57B6C0" w14:textId="77777777" w:rsidR="005D372A" w:rsidRPr="001D6D10" w:rsidRDefault="005D372A" w:rsidP="005D372A">
      <w:pPr>
        <w:rPr>
          <w:rFonts w:ascii="ＭＳ 明朝" w:hAnsi="ＭＳ 明朝"/>
          <w:sz w:val="22"/>
          <w:szCs w:val="22"/>
        </w:rPr>
      </w:pPr>
    </w:p>
    <w:p w14:paraId="2C0AC47C" w14:textId="77777777" w:rsidR="005D372A" w:rsidRPr="001D6D10" w:rsidRDefault="005D372A" w:rsidP="005D372A">
      <w:pPr>
        <w:rPr>
          <w:rFonts w:ascii="ＭＳ 明朝" w:hAnsi="ＭＳ 明朝"/>
          <w:sz w:val="22"/>
          <w:szCs w:val="22"/>
        </w:rPr>
      </w:pPr>
      <w:r w:rsidRPr="001D6D10">
        <w:rPr>
          <w:rFonts w:ascii="ＭＳ 明朝" w:hAnsi="ＭＳ 明朝" w:hint="eastAsia"/>
          <w:noProof/>
          <w:sz w:val="22"/>
          <w:szCs w:val="22"/>
        </w:rPr>
        <mc:AlternateContent>
          <mc:Choice Requires="wps">
            <w:drawing>
              <wp:anchor distT="0" distB="0" distL="114300" distR="114300" simplePos="0" relativeHeight="252961792" behindDoc="0" locked="0" layoutInCell="1" allowOverlap="1" wp14:anchorId="41D76A21" wp14:editId="76D59984">
                <wp:simplePos x="0" y="0"/>
                <wp:positionH relativeFrom="column">
                  <wp:posOffset>4018280</wp:posOffset>
                </wp:positionH>
                <wp:positionV relativeFrom="paragraph">
                  <wp:posOffset>158115</wp:posOffset>
                </wp:positionV>
                <wp:extent cx="1609725" cy="342900"/>
                <wp:effectExtent l="19050" t="19050" r="28575" b="19050"/>
                <wp:wrapNone/>
                <wp:docPr id="219" name="AutoShape 203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609725" cy="342900"/>
                        </a:xfrm>
                        <a:prstGeom prst="roundRect">
                          <a:avLst>
                            <a:gd name="adj" fmla="val 16667"/>
                          </a:avLst>
                        </a:prstGeom>
                        <a:solidFill>
                          <a:srgbClr val="FFFFFF"/>
                        </a:solidFill>
                        <a:ln w="44450" cmpd="thinThick">
                          <a:solidFill>
                            <a:srgbClr val="000000"/>
                          </a:solidFill>
                          <a:round/>
                          <a:headEnd/>
                          <a:tailEnd/>
                        </a:ln>
                      </wps:spPr>
                      <wps:txbx>
                        <w:txbxContent>
                          <w:p w14:paraId="0014A999" w14:textId="77777777" w:rsidR="006A5267" w:rsidRDefault="006A5267" w:rsidP="005D372A">
                            <w:pPr>
                              <w:jc w:val="center"/>
                            </w:pPr>
                            <w:r>
                              <w:rPr>
                                <w:rFonts w:ascii="ＭＳ ゴシック" w:eastAsia="ＭＳ ゴシック" w:hAnsi="ＭＳ ゴシック" w:hint="eastAsia"/>
                                <w:sz w:val="20"/>
                                <w:szCs w:val="20"/>
                              </w:rPr>
                              <w:t>地域連絡部</w:t>
                            </w:r>
                          </w:p>
                        </w:txbxContent>
                      </wps:txbx>
                      <wps:bodyPr rot="0" vert="horz" wrap="square" lIns="74295" tIns="8890" rIns="74295" bIns="8890" anchor="ctr" anchorCtr="0" upright="1">
                        <a:noAutofit/>
                      </wps:bodyPr>
                    </wps:wsp>
                  </a:graphicData>
                </a:graphic>
                <wp14:sizeRelH relativeFrom="margin">
                  <wp14:pctWidth>0</wp14:pctWidth>
                </wp14:sizeRelH>
              </wp:anchor>
            </w:drawing>
          </mc:Choice>
          <mc:Fallback xmlns:w16cei="http://schemas.microsoft.com/office/word/2026/wordml/cei">
            <w:pict>
              <v:roundrect w14:anchorId="41D76A21" id="_x0000_s1184" style="position:absolute;left:0;text-align:left;margin-left:316.4pt;margin-top:12.45pt;width:126.75pt;height:27pt;z-index:25296179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" strokeweight="3.5pt">
                <v:stroke linestyle="thinThick"/>
                <v:textbox inset="5.85pt,.7pt,5.85pt,.7pt">
                  <w:txbxContent>
                    <w:p w14:paraId="0014A999" w14:textId="77777777" w:rsidR="006A5267" w:rsidRDefault="006A5267" w:rsidP="005D372A">
                      <w:pPr>
                        <w:jc w:val="center"/>
                      </w:pPr>
                      <w:r>
                        <w:rPr>
                          <w:rFonts w:ascii="ＭＳ ゴシック" w:eastAsia="ＭＳ ゴシック" w:hAnsi="ＭＳ ゴシック" w:hint="eastAsia"/>
                          <w:sz w:val="20"/>
                          <w:szCs w:val="20"/>
                        </w:rPr>
                        <w:t>地域連絡部</w:t>
                      </w:r>
                    </w:p>
                  </w:txbxContent>
                </v:textbox>
              </v:roundrect>
            </w:pict>
          </mc:Fallback>
        </mc:AlternateContent>
      </w:r>
    </w:p>
    <w:p w14:paraId="34208FA1" w14:textId="77777777" w:rsidR="005D372A" w:rsidRPr="001D6D10" w:rsidRDefault="005D372A" w:rsidP="005D372A">
      <w:pPr>
        <w:rPr>
          <w:rFonts w:ascii="ＭＳ 明朝" w:hAnsi="ＭＳ 明朝"/>
          <w:sz w:val="22"/>
          <w:szCs w:val="22"/>
        </w:rPr>
      </w:pPr>
    </w:p>
    <w:p w14:paraId="6032F15F" w14:textId="77777777" w:rsidR="00E410D6" w:rsidRPr="001D6D10" w:rsidRDefault="00E410D6" w:rsidP="005D372A">
      <w:pPr>
        <w:rPr>
          <w:rFonts w:ascii="ＭＳ 明朝" w:hAnsi="ＭＳ 明朝"/>
          <w:sz w:val="22"/>
          <w:szCs w:val="22"/>
        </w:rPr>
      </w:pPr>
      <w:r w:rsidRPr="001D6D10">
        <w:rPr>
          <w:rFonts w:ascii="ＭＳ 明朝" w:hAnsi="ＭＳ 明朝" w:hint="eastAsia"/>
          <w:noProof/>
          <w:sz w:val="22"/>
          <w:szCs w:val="22"/>
        </w:rPr>
        <mc:AlternateContent>
          <mc:Choice Requires="wps">
            <w:drawing>
              <wp:anchor distT="0" distB="0" distL="114300" distR="114300" simplePos="0" relativeHeight="252971008" behindDoc="0" locked="0" layoutInCell="1" allowOverlap="1" wp14:anchorId="68A1F33C" wp14:editId="7B6F4CE5">
                <wp:simplePos x="0" y="0"/>
                <wp:positionH relativeFrom="margin">
                  <wp:align>right</wp:align>
                </wp:positionH>
                <wp:positionV relativeFrom="paragraph">
                  <wp:posOffset>168275</wp:posOffset>
                </wp:positionV>
                <wp:extent cx="1562100" cy="390525"/>
                <wp:effectExtent l="0" t="0" r="19050" b="28575"/>
                <wp:wrapNone/>
                <wp:docPr id="220" name="正方形/長方形 220"/>
                <wp:cNvGraphicFramePr/>
                <a:graphic xmlns:a="http://schemas.openxmlformats.org/drawingml/2006/main">
                  <a:graphicData uri="http://schemas.microsoft.com/office/word/2010/wordprocessingShape">
                    <wps:wsp>
                      <wps:cNvSpPr/>
                      <wps:spPr>
                        <a:xfrm>
                          <a:off x="0" y="0"/>
                          <a:ext cx="1562100" cy="390525"/>
                        </a:xfrm>
                        <a:prstGeom prst="rect">
                          <a:avLst/>
                        </a:prstGeom>
                        <a:noFill/>
                        <a:ln w="25400" cap="flat" cmpd="dbl" algn="ctr">
                          <a:solidFill>
                            <a:sysClr val="windowText" lastClr="000000"/>
                          </a:solidFill>
                          <a:prstDash val="solid"/>
                        </a:ln>
                        <a:effectLst/>
                      </wps:spPr>
                      <wps:txbx>
                        <w:txbxContent>
                          <w:p w14:paraId="2696F9A3" w14:textId="77777777" w:rsidR="006A5267" w:rsidRPr="006B1896" w:rsidRDefault="006A5267" w:rsidP="005D372A">
                            <w:pPr>
                              <w:jc w:val="center"/>
                              <w:rPr>
                                <w:color w:val="000000" w:themeColor="text1"/>
                                <w:sz w:val="20"/>
                                <w:szCs w:val="20"/>
                              </w:rPr>
                            </w:pPr>
                            <w:r>
                              <w:rPr>
                                <w:rFonts w:hint="eastAsia"/>
                                <w:color w:val="000000" w:themeColor="text1"/>
                                <w:sz w:val="20"/>
                                <w:szCs w:val="20"/>
                              </w:rPr>
                              <w:t>現地災害対策本部</w:t>
                            </w:r>
                          </w:p>
                        </w:txbxContent>
                      </wps:txbx>
                      <wps:bodyPr rot="0" spcFirstLastPara="0" vertOverflow="overflow" horzOverflow="overflow" vert="horz" wrap="square" lIns="91440" tIns="0" rIns="91440" bIns="0" numCol="1" spcCol="0" rtlCol="0" fromWordArt="0" anchor="ctr" anchorCtr="0" forceAA="0" compatLnSpc="1">
                        <a:prstTxWarp prst="textNoShape">
                          <a:avLst/>
                        </a:prstTxWarp>
                        <a:noAutofit/>
                      </wps:bodyPr>
                    </wps:wsp>
                  </a:graphicData>
                </a:graphic>
              </wp:anchor>
            </w:drawing>
          </mc:Choice>
          <mc:Fallback xmlns:w16cei="http://schemas.microsoft.com/office/word/2026/wordml/cei">
            <w:pict>
              <v:rect w14:anchorId="68A1F33C" id="正方形/長方形 220" o:spid="_x0000_s1185" style="position:absolute;left:0;text-align:left;margin-left:71.8pt;margin-top:13.25pt;width:123pt;height:30.75pt;z-index:252971008;visibility:visible;mso-wrap-style:square;mso-wrap-distance-left:9pt;mso-wrap-distance-top:0;mso-wrap-distance-right:9pt;mso-wrap-distance-bottom:0;mso-position-horizontal:right;mso-position-horizontal-relative:margin;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" filled="f" strokecolor="windowText" strokeweight="2pt">
                <v:stroke linestyle="thinThin"/>
                <v:textbox inset=",0,,0">
                  <w:txbxContent>
                    <w:p w14:paraId="2696F9A3" w14:textId="77777777" w:rsidR="006A5267" w:rsidRPr="006B1896" w:rsidRDefault="006A5267" w:rsidP="005D372A">
                      <w:pPr>
                        <w:jc w:val="center"/>
                        <w:rPr>
                          <w:color w:val="000000" w:themeColor="text1"/>
                          <w:sz w:val="20"/>
                          <w:szCs w:val="20"/>
                        </w:rPr>
                      </w:pPr>
                      <w:r>
                        <w:rPr>
                          <w:rFonts w:hint="eastAsia"/>
                          <w:color w:val="000000" w:themeColor="text1"/>
                          <w:sz w:val="20"/>
                          <w:szCs w:val="20"/>
                        </w:rPr>
                        <w:t>現地災害対策本部</w:t>
                      </w:r>
                    </w:p>
                  </w:txbxContent>
                </v:textbox>
                <w10:wrap anchorx="margin"/>
              </v:rect>
            </w:pict>
          </mc:Fallback>
        </mc:AlternateContent>
      </w:r>
    </w:p>
    <w:p w14:paraId="1D62BA35" w14:textId="77777777" w:rsidR="00E410D6" w:rsidRPr="001D6D10" w:rsidRDefault="00E410D6" w:rsidP="005D372A">
      <w:pPr>
        <w:rPr>
          <w:rFonts w:ascii="ＭＳ 明朝" w:hAnsi="ＭＳ 明朝"/>
          <w:sz w:val="22"/>
          <w:szCs w:val="22"/>
        </w:rPr>
      </w:pPr>
    </w:p>
    <w:p w14:paraId="6F8E3DEC" w14:textId="77777777" w:rsidR="005D372A" w:rsidRPr="001D6D10" w:rsidRDefault="005D372A" w:rsidP="005D372A">
      <w:pPr>
        <w:rPr>
          <w:rFonts w:ascii="ＭＳ 明朝" w:hAnsi="ＭＳ 明朝"/>
          <w:sz w:val="22"/>
          <w:szCs w:val="22"/>
        </w:rPr>
      </w:pPr>
    </w:p>
    <w:p w14:paraId="3EEA6931" w14:textId="77777777" w:rsidR="005D372A" w:rsidRPr="001D6D10" w:rsidRDefault="005D372A" w:rsidP="005D372A">
      <w:pPr>
        <w:rPr>
          <w:rFonts w:ascii="ＭＳ 明朝" w:hAnsi="ＭＳ 明朝"/>
          <w:sz w:val="22"/>
          <w:szCs w:val="22"/>
        </w:rPr>
      </w:pPr>
      <w:r w:rsidRPr="001D6D10">
        <w:rPr>
          <w:rFonts w:ascii="ＭＳ 明朝" w:hAnsi="ＭＳ 明朝" w:hint="eastAsia"/>
          <w:noProof/>
          <w:sz w:val="22"/>
          <w:szCs w:val="22"/>
        </w:rPr>
        <mc:AlternateContent>
          <mc:Choice Requires="wps">
            <w:drawing>
              <wp:anchor distT="0" distB="0" distL="114300" distR="114300" simplePos="0" relativeHeight="252990464" behindDoc="0" locked="0" layoutInCell="1" allowOverlap="1" wp14:anchorId="36985AFD" wp14:editId="77E5D56A">
                <wp:simplePos x="0" y="0"/>
                <wp:positionH relativeFrom="column">
                  <wp:posOffset>342900</wp:posOffset>
                </wp:positionH>
                <wp:positionV relativeFrom="paragraph">
                  <wp:posOffset>0</wp:posOffset>
                </wp:positionV>
                <wp:extent cx="0" cy="0"/>
                <wp:effectExtent l="9525" t="57150" r="19050" b="57150"/>
                <wp:wrapNone/>
                <wp:docPr id="221" name="Line 208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line w14:anchorId="4B275346" id="Line 2088" o:spid="_x0000_s1026" style="position:absolute;left:0;text-align:left;z-index:2529904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7pt,0" to="27pt,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">
                <v:stroke endarrow="block"/>
              </v:line>
            </w:pict>
          </mc:Fallback>
        </mc:AlternateContent>
      </w:r>
      <w:r w:rsidRPr="001D6D10">
        <w:rPr>
          <w:rFonts w:ascii="ＭＳ ゴシック" w:eastAsia="ＭＳ ゴシック" w:hAnsi="ＭＳ ゴシック" w:hint="eastAsia"/>
          <w:sz w:val="22"/>
          <w:szCs w:val="22"/>
        </w:rPr>
        <w:t xml:space="preserve">　　　　</w:t>
      </w:r>
      <w:r w:rsidRPr="001D6D10">
        <w:rPr>
          <w:rFonts w:ascii="ＭＳ 明朝" w:hAnsi="ＭＳ 明朝" w:hint="eastAsia"/>
          <w:sz w:val="22"/>
          <w:szCs w:val="22"/>
        </w:rPr>
        <w:t>(2)地域連絡部の活動</w:t>
      </w:r>
    </w:p>
    <w:p w14:paraId="41D24A5A" w14:textId="77777777" w:rsidR="005D372A" w:rsidRPr="001D6D10" w:rsidRDefault="005D372A" w:rsidP="005D372A">
      <w:pPr>
        <w:ind w:firstLineChars="600" w:firstLine="1327"/>
        <w:rPr>
          <w:rFonts w:ascii="ＭＳ ゴシック" w:eastAsia="ＭＳ ゴシック" w:hAnsi="ＭＳ ゴシック"/>
          <w:sz w:val="22"/>
          <w:szCs w:val="22"/>
          <w:bdr w:val="single" w:sz="4" w:space="0" w:color="auto"/>
        </w:rPr>
      </w:pPr>
      <w:r w:rsidRPr="001D6D10">
        <w:rPr>
          <w:rFonts w:ascii="ＭＳ ゴシック" w:eastAsia="ＭＳ ゴシック" w:hAnsi="ＭＳ ゴシック" w:hint="eastAsia"/>
          <w:sz w:val="22"/>
          <w:szCs w:val="22"/>
          <w:bdr w:val="single" w:sz="4" w:space="0" w:color="auto"/>
        </w:rPr>
        <w:t>主たる担当：地域防災監、関係室・課：関係出先機関</w:t>
      </w:r>
    </w:p>
    <w:p w14:paraId="3B7B3876" w14:textId="77777777" w:rsidR="005D372A" w:rsidRPr="001D6D10" w:rsidRDefault="005D372A" w:rsidP="005D372A">
      <w:pPr>
        <w:ind w:leftChars="-1" w:left="1134" w:hangingChars="514" w:hanging="1136"/>
        <w:rPr>
          <w:rFonts w:ascii="ＭＳ 明朝" w:hAnsi="ＭＳ 明朝"/>
          <w:sz w:val="22"/>
          <w:szCs w:val="22"/>
        </w:rPr>
      </w:pPr>
      <w:r w:rsidRPr="001D6D10">
        <w:rPr>
          <w:rFonts w:ascii="ＭＳ 明朝" w:hAnsi="ＭＳ 明朝" w:hint="eastAsia"/>
          <w:sz w:val="22"/>
          <w:szCs w:val="22"/>
        </w:rPr>
        <w:t xml:space="preserve">　　　　　　地域防災監は、次の設置基準に該当する場合は、地域連絡部を設置する。</w:t>
      </w:r>
    </w:p>
    <w:p w14:paraId="0131D193" w14:textId="77777777" w:rsidR="005D372A" w:rsidRPr="001D6D10" w:rsidRDefault="005D372A" w:rsidP="005D372A">
      <w:pPr>
        <w:ind w:firstLineChars="608" w:firstLine="1344"/>
        <w:rPr>
          <w:rFonts w:ascii="ＭＳ 明朝" w:hAnsi="ＭＳ 明朝"/>
          <w:sz w:val="22"/>
          <w:szCs w:val="22"/>
        </w:rPr>
      </w:pPr>
      <w:r w:rsidRPr="001D6D10">
        <w:rPr>
          <w:rFonts w:ascii="ＭＳ 明朝" w:hAnsi="ＭＳ 明朝" w:hint="eastAsia"/>
          <w:sz w:val="22"/>
          <w:szCs w:val="22"/>
        </w:rPr>
        <w:t>なお、具体的な活動内容は、各地域防災マニュアルによるものとする。</w:t>
      </w:r>
    </w:p>
    <w:p w14:paraId="6F41AB8C" w14:textId="77777777" w:rsidR="00B84BFC" w:rsidRPr="001D6D10" w:rsidRDefault="00B84BFC" w:rsidP="005D372A">
      <w:pPr>
        <w:ind w:firstLineChars="608" w:firstLine="1344"/>
        <w:rPr>
          <w:rFonts w:ascii="ＭＳ 明朝" w:hAnsi="ＭＳ 明朝"/>
          <w:sz w:val="22"/>
          <w:szCs w:val="22"/>
        </w:rPr>
      </w:pPr>
    </w:p>
    <w:tbl>
      <w:tblPr>
        <w:tblStyle w:val="ab"/>
        <w:tblW w:w="9180" w:type="dxa"/>
        <w:tblLook w:val="04A0" w:firstRow="1" w:lastRow="0" w:firstColumn="1" w:lastColumn="0" w:noHBand="0" w:noVBand="1"/>
      </w:tblPr>
      <w:tblGrid>
        <w:gridCol w:w="1526"/>
        <w:gridCol w:w="7654"/>
      </w:tblGrid>
      <w:tr w:rsidR="001D6D10" w:rsidRPr="001D6D10" w14:paraId="2B22FA27" w14:textId="77777777" w:rsidTr="008B4B2B">
        <w:tc>
          <w:tcPr>
            <w:tcW w:w="1526" w:type="dxa"/>
          </w:tcPr>
          <w:p w14:paraId="455F0E13" w14:textId="77777777" w:rsidR="005D372A" w:rsidRPr="001D6D10" w:rsidRDefault="005D372A" w:rsidP="008B4B2B">
            <w:pPr>
              <w:rPr>
                <w:rFonts w:hAnsi="ＭＳ 明朝"/>
                <w:sz w:val="22"/>
                <w:szCs w:val="22"/>
              </w:rPr>
            </w:pPr>
            <w:r w:rsidRPr="001D6D10">
              <w:rPr>
                <w:rFonts w:hAnsi="ＭＳ 明朝" w:hint="eastAsia"/>
                <w:sz w:val="22"/>
                <w:szCs w:val="22"/>
              </w:rPr>
              <w:t>①設置基準</w:t>
            </w:r>
          </w:p>
        </w:tc>
        <w:tc>
          <w:tcPr>
            <w:tcW w:w="7654" w:type="dxa"/>
          </w:tcPr>
          <w:p w14:paraId="6AABC9CA" w14:textId="77777777" w:rsidR="005D372A" w:rsidRPr="001D6D10" w:rsidRDefault="005D372A" w:rsidP="008B4B2B">
            <w:pPr>
              <w:rPr>
                <w:rFonts w:hAnsi="ＭＳ 明朝"/>
                <w:sz w:val="22"/>
                <w:szCs w:val="22"/>
              </w:rPr>
            </w:pPr>
            <w:r w:rsidRPr="001D6D10">
              <w:rPr>
                <w:rFonts w:hAnsi="ＭＳ 明朝" w:hint="eastAsia"/>
                <w:sz w:val="22"/>
                <w:szCs w:val="22"/>
              </w:rPr>
              <w:t>・府域において震度６弱以上を観測したとき（自動設置）</w:t>
            </w:r>
          </w:p>
          <w:p w14:paraId="5B6930E2" w14:textId="3688E8A6" w:rsidR="005D372A" w:rsidRDefault="005D372A" w:rsidP="008B4B2B">
            <w:pPr>
              <w:ind w:left="1548" w:hangingChars="700" w:hanging="1548"/>
              <w:rPr>
                <w:rFonts w:hAnsi="ＭＳ 明朝"/>
                <w:sz w:val="22"/>
                <w:szCs w:val="22"/>
              </w:rPr>
            </w:pPr>
            <w:r w:rsidRPr="001D6D10">
              <w:rPr>
                <w:rFonts w:hAnsi="ＭＳ 明朝" w:hint="eastAsia"/>
                <w:sz w:val="22"/>
                <w:szCs w:val="22"/>
              </w:rPr>
              <w:t>・災対本部が設置されたとき</w:t>
            </w:r>
          </w:p>
          <w:p w14:paraId="6D853A85" w14:textId="77777777" w:rsidR="005D372A" w:rsidRPr="001D6D10" w:rsidRDefault="005D372A" w:rsidP="00B84BFC">
            <w:pPr>
              <w:rPr>
                <w:rFonts w:hAnsi="ＭＳ 明朝"/>
                <w:sz w:val="22"/>
                <w:szCs w:val="22"/>
              </w:rPr>
            </w:pPr>
            <w:r w:rsidRPr="001D6D10">
              <w:rPr>
                <w:rFonts w:hAnsi="ＭＳ 明朝" w:hint="eastAsia"/>
                <w:sz w:val="22"/>
                <w:szCs w:val="22"/>
              </w:rPr>
              <w:t>・その他当該地域防災監が必要と認めたとき</w:t>
            </w:r>
          </w:p>
        </w:tc>
      </w:tr>
      <w:tr w:rsidR="001D6D10" w:rsidRPr="001D6D10" w14:paraId="006567C2" w14:textId="77777777" w:rsidTr="008B4B2B">
        <w:tc>
          <w:tcPr>
            <w:tcW w:w="1526" w:type="dxa"/>
          </w:tcPr>
          <w:p w14:paraId="77E36B21" w14:textId="77777777" w:rsidR="005D372A" w:rsidRPr="001D6D10" w:rsidRDefault="005D372A" w:rsidP="008B4B2B">
            <w:pPr>
              <w:rPr>
                <w:rFonts w:hAnsi="ＭＳ 明朝"/>
                <w:sz w:val="22"/>
                <w:szCs w:val="22"/>
              </w:rPr>
            </w:pPr>
            <w:r w:rsidRPr="001D6D10">
              <w:rPr>
                <w:rFonts w:hAnsi="ＭＳ 明朝" w:hint="eastAsia"/>
                <w:sz w:val="22"/>
                <w:szCs w:val="22"/>
              </w:rPr>
              <w:t>②廃止基準</w:t>
            </w:r>
          </w:p>
        </w:tc>
        <w:tc>
          <w:tcPr>
            <w:tcW w:w="7654" w:type="dxa"/>
          </w:tcPr>
          <w:p w14:paraId="6A91BD55" w14:textId="77777777" w:rsidR="005D372A" w:rsidRPr="001D6D10" w:rsidRDefault="005D372A" w:rsidP="008B4B2B">
            <w:pPr>
              <w:rPr>
                <w:rFonts w:hAnsi="ＭＳ 明朝"/>
                <w:sz w:val="22"/>
                <w:szCs w:val="22"/>
              </w:rPr>
            </w:pPr>
            <w:r w:rsidRPr="001D6D10">
              <w:rPr>
                <w:rFonts w:hAnsi="ＭＳ 明朝" w:hint="eastAsia"/>
                <w:sz w:val="22"/>
                <w:szCs w:val="22"/>
              </w:rPr>
              <w:t>・災害応急対策がおおむね完了したとき</w:t>
            </w:r>
          </w:p>
          <w:p w14:paraId="741958E4" w14:textId="77777777" w:rsidR="005D372A" w:rsidRPr="001D6D10" w:rsidRDefault="005D372A" w:rsidP="008B4B2B">
            <w:pPr>
              <w:rPr>
                <w:rFonts w:hAnsi="ＭＳ 明朝"/>
                <w:sz w:val="22"/>
                <w:szCs w:val="22"/>
              </w:rPr>
            </w:pPr>
            <w:r w:rsidRPr="001D6D10">
              <w:rPr>
                <w:rFonts w:hAnsi="ＭＳ 明朝" w:hint="eastAsia"/>
                <w:sz w:val="22"/>
                <w:szCs w:val="22"/>
              </w:rPr>
              <w:t>・現地災害対策本部が設置されたとき</w:t>
            </w:r>
          </w:p>
          <w:p w14:paraId="0B741C11" w14:textId="77777777" w:rsidR="005D372A" w:rsidRPr="001D6D10" w:rsidRDefault="00B84BFC" w:rsidP="008B4B2B">
            <w:pPr>
              <w:ind w:left="442" w:hangingChars="200" w:hanging="442"/>
              <w:rPr>
                <w:rFonts w:hAnsi="ＭＳ 明朝"/>
                <w:sz w:val="22"/>
                <w:szCs w:val="22"/>
              </w:rPr>
            </w:pPr>
            <w:r w:rsidRPr="001D6D10">
              <w:rPr>
                <w:rFonts w:hAnsi="ＭＳ 明朝" w:hint="eastAsia"/>
                <w:sz w:val="22"/>
                <w:szCs w:val="22"/>
              </w:rPr>
              <w:t>・その他当該</w:t>
            </w:r>
            <w:r w:rsidR="005D372A" w:rsidRPr="001D6D10">
              <w:rPr>
                <w:rFonts w:hAnsi="ＭＳ 明朝" w:hint="eastAsia"/>
                <w:sz w:val="22"/>
                <w:szCs w:val="22"/>
              </w:rPr>
              <w:t>地域防災監が認めたとき</w:t>
            </w:r>
          </w:p>
        </w:tc>
      </w:tr>
      <w:tr w:rsidR="001D6D10" w:rsidRPr="001D6D10" w14:paraId="5B4D8B05" w14:textId="77777777" w:rsidTr="008B4B2B">
        <w:tc>
          <w:tcPr>
            <w:tcW w:w="1526" w:type="dxa"/>
          </w:tcPr>
          <w:p w14:paraId="4D4A3E10" w14:textId="77777777" w:rsidR="005D372A" w:rsidRPr="001D6D10" w:rsidRDefault="005D372A" w:rsidP="008B4B2B">
            <w:pPr>
              <w:rPr>
                <w:rFonts w:hAnsi="ＭＳ 明朝"/>
                <w:sz w:val="22"/>
                <w:szCs w:val="22"/>
              </w:rPr>
            </w:pPr>
            <w:r w:rsidRPr="001D6D10">
              <w:rPr>
                <w:rFonts w:hAnsi="ＭＳ 明朝" w:hint="eastAsia"/>
                <w:sz w:val="22"/>
                <w:szCs w:val="22"/>
              </w:rPr>
              <w:t>③対象地域</w:t>
            </w:r>
          </w:p>
        </w:tc>
        <w:tc>
          <w:tcPr>
            <w:tcW w:w="7654" w:type="dxa"/>
          </w:tcPr>
          <w:p w14:paraId="343BDBAF" w14:textId="77777777" w:rsidR="005D372A" w:rsidRPr="001D6D10" w:rsidRDefault="005D372A" w:rsidP="008B4B2B">
            <w:pPr>
              <w:rPr>
                <w:rFonts w:hAnsi="ＭＳ 明朝"/>
                <w:sz w:val="22"/>
                <w:szCs w:val="22"/>
              </w:rPr>
            </w:pPr>
            <w:r w:rsidRPr="001D6D10">
              <w:rPr>
                <w:rFonts w:hAnsi="ＭＳ 明朝" w:hint="eastAsia"/>
                <w:sz w:val="22"/>
                <w:szCs w:val="22"/>
              </w:rPr>
              <w:t>・全土木事務所</w:t>
            </w:r>
          </w:p>
          <w:p w14:paraId="776791B4" w14:textId="77777777" w:rsidR="005D372A" w:rsidRPr="001D6D10" w:rsidRDefault="005D372A" w:rsidP="008B4B2B">
            <w:pPr>
              <w:rPr>
                <w:rFonts w:hAnsi="ＭＳ 明朝"/>
                <w:sz w:val="22"/>
                <w:szCs w:val="22"/>
              </w:rPr>
            </w:pPr>
          </w:p>
        </w:tc>
      </w:tr>
      <w:tr w:rsidR="001D6D10" w:rsidRPr="001D6D10" w14:paraId="0643EC55" w14:textId="77777777" w:rsidTr="008B4B2B">
        <w:tc>
          <w:tcPr>
            <w:tcW w:w="1526" w:type="dxa"/>
          </w:tcPr>
          <w:p w14:paraId="48DB168F" w14:textId="77777777" w:rsidR="005D372A" w:rsidRPr="001D6D10" w:rsidRDefault="005D372A" w:rsidP="008B4B2B">
            <w:pPr>
              <w:rPr>
                <w:rFonts w:hAnsi="ＭＳ 明朝"/>
                <w:sz w:val="22"/>
                <w:szCs w:val="22"/>
              </w:rPr>
            </w:pPr>
            <w:r w:rsidRPr="001D6D10">
              <w:rPr>
                <w:rFonts w:hAnsi="ＭＳ 明朝" w:hint="eastAsia"/>
                <w:sz w:val="22"/>
                <w:szCs w:val="22"/>
              </w:rPr>
              <w:t>④組織</w:t>
            </w:r>
          </w:p>
        </w:tc>
        <w:tc>
          <w:tcPr>
            <w:tcW w:w="7654" w:type="dxa"/>
          </w:tcPr>
          <w:p w14:paraId="17FD3A54" w14:textId="77777777" w:rsidR="005D372A" w:rsidRPr="001D6D10" w:rsidRDefault="005D372A" w:rsidP="006A5F30">
            <w:pPr>
              <w:jc w:val="left"/>
              <w:rPr>
                <w:rFonts w:hAnsi="ＭＳ 明朝"/>
                <w:sz w:val="22"/>
                <w:szCs w:val="22"/>
              </w:rPr>
            </w:pPr>
            <w:r w:rsidRPr="001D6D10">
              <w:rPr>
                <w:rFonts w:hAnsi="ＭＳ 明朝" w:hint="eastAsia"/>
                <w:sz w:val="22"/>
                <w:szCs w:val="22"/>
              </w:rPr>
              <w:t>・部　　長　地域防災監</w:t>
            </w:r>
            <w:r w:rsidR="00B84BFC" w:rsidRPr="001D6D10">
              <w:rPr>
                <w:rFonts w:hAnsi="ＭＳ 明朝" w:hint="eastAsia"/>
                <w:sz w:val="22"/>
                <w:szCs w:val="22"/>
              </w:rPr>
              <w:t>又は地域防災監</w:t>
            </w:r>
            <w:r w:rsidR="001126BB" w:rsidRPr="001D6D10">
              <w:rPr>
                <w:rFonts w:hAnsi="ＭＳ 明朝" w:hint="eastAsia"/>
                <w:sz w:val="22"/>
                <w:szCs w:val="22"/>
              </w:rPr>
              <w:t>の指名</w:t>
            </w:r>
            <w:r w:rsidR="00B84BFC" w:rsidRPr="001D6D10">
              <w:rPr>
                <w:rFonts w:hAnsi="ＭＳ 明朝" w:hint="eastAsia"/>
                <w:sz w:val="22"/>
                <w:szCs w:val="22"/>
              </w:rPr>
              <w:t>した</w:t>
            </w:r>
            <w:r w:rsidRPr="001D6D10">
              <w:rPr>
                <w:rFonts w:hAnsi="ＭＳ 明朝" w:hint="eastAsia"/>
                <w:sz w:val="22"/>
                <w:szCs w:val="22"/>
              </w:rPr>
              <w:t>職員</w:t>
            </w:r>
          </w:p>
          <w:p w14:paraId="68B35BD7" w14:textId="77777777" w:rsidR="00B84BFC" w:rsidRPr="001D6D10" w:rsidRDefault="00B84BFC" w:rsidP="008B4B2B">
            <w:pPr>
              <w:rPr>
                <w:rFonts w:hAnsi="ＭＳ 明朝"/>
                <w:sz w:val="22"/>
                <w:szCs w:val="22"/>
              </w:rPr>
            </w:pPr>
          </w:p>
          <w:p w14:paraId="43D73134" w14:textId="1F4C1859" w:rsidR="005D372A" w:rsidRPr="001D6D10" w:rsidRDefault="005D372A" w:rsidP="006A5F30">
            <w:pPr>
              <w:ind w:left="1331" w:hangingChars="602" w:hanging="1331"/>
              <w:jc w:val="left"/>
              <w:rPr>
                <w:rFonts w:hAnsi="ＭＳ 明朝"/>
                <w:sz w:val="22"/>
                <w:szCs w:val="22"/>
              </w:rPr>
            </w:pPr>
            <w:r w:rsidRPr="001D6D10">
              <w:rPr>
                <w:rFonts w:hAnsi="ＭＳ 明朝" w:hint="eastAsia"/>
                <w:sz w:val="22"/>
                <w:szCs w:val="22"/>
              </w:rPr>
              <w:t xml:space="preserve">・部　　員　</w:t>
            </w:r>
            <w:r w:rsidR="00E2290D" w:rsidRPr="001D6D10">
              <w:rPr>
                <w:rFonts w:hAnsi="ＭＳ 明朝" w:hint="eastAsia"/>
                <w:sz w:val="22"/>
                <w:szCs w:val="22"/>
              </w:rPr>
              <w:t>土木事務所所管区域</w:t>
            </w:r>
            <w:r w:rsidRPr="001D6D10">
              <w:rPr>
                <w:rFonts w:hAnsi="ＭＳ 明朝" w:hint="eastAsia"/>
                <w:sz w:val="22"/>
                <w:szCs w:val="22"/>
              </w:rPr>
              <w:t>出先機関</w:t>
            </w:r>
            <w:r w:rsidR="00DD355D" w:rsidRPr="001D6D10">
              <w:rPr>
                <w:rFonts w:hAnsi="ＭＳ 明朝" w:hint="eastAsia"/>
                <w:sz w:val="22"/>
                <w:szCs w:val="22"/>
              </w:rPr>
              <w:t>の</w:t>
            </w:r>
            <w:r w:rsidR="0057085B" w:rsidRPr="001D6D10">
              <w:rPr>
                <w:rFonts w:hAnsi="ＭＳ 明朝" w:hint="eastAsia"/>
                <w:sz w:val="22"/>
                <w:szCs w:val="22"/>
              </w:rPr>
              <w:t>長又は</w:t>
            </w:r>
            <w:r w:rsidR="007A6193" w:rsidRPr="001D6D10">
              <w:rPr>
                <w:rFonts w:hAnsi="ＭＳ 明朝" w:hint="eastAsia"/>
                <w:sz w:val="22"/>
                <w:szCs w:val="22"/>
              </w:rPr>
              <w:t>そ</w:t>
            </w:r>
            <w:r w:rsidR="00D619CB" w:rsidRPr="001D6D10">
              <w:rPr>
                <w:rFonts w:hAnsi="ＭＳ 明朝" w:hint="eastAsia"/>
                <w:sz w:val="22"/>
                <w:szCs w:val="22"/>
              </w:rPr>
              <w:t>の長が選出した者で知事が指名</w:t>
            </w:r>
            <w:r w:rsidRPr="001D6D10">
              <w:rPr>
                <w:rFonts w:hAnsi="ＭＳ 明朝" w:hint="eastAsia"/>
                <w:sz w:val="22"/>
                <w:szCs w:val="22"/>
              </w:rPr>
              <w:t>した職員</w:t>
            </w:r>
            <w:r w:rsidR="0057085B" w:rsidRPr="001D6D10">
              <w:rPr>
                <w:rFonts w:hAnsi="ＭＳ 明朝" w:hint="eastAsia"/>
                <w:sz w:val="22"/>
                <w:szCs w:val="22"/>
              </w:rPr>
              <w:t>又は地域防災監</w:t>
            </w:r>
            <w:proofErr w:type="gramStart"/>
            <w:r w:rsidR="0057085B" w:rsidRPr="001D6D10">
              <w:rPr>
                <w:rFonts w:hAnsi="ＭＳ 明朝" w:hint="eastAsia"/>
                <w:sz w:val="22"/>
                <w:szCs w:val="22"/>
              </w:rPr>
              <w:t>が</w:t>
            </w:r>
            <w:proofErr w:type="gramEnd"/>
            <w:r w:rsidR="0057085B" w:rsidRPr="001D6D10">
              <w:rPr>
                <w:rFonts w:hAnsi="ＭＳ 明朝" w:hint="eastAsia"/>
                <w:sz w:val="22"/>
                <w:szCs w:val="22"/>
              </w:rPr>
              <w:t>選出し知事</w:t>
            </w:r>
            <w:proofErr w:type="gramStart"/>
            <w:r w:rsidR="0057085B" w:rsidRPr="001D6D10">
              <w:rPr>
                <w:rFonts w:hAnsi="ＭＳ 明朝" w:hint="eastAsia"/>
                <w:sz w:val="22"/>
                <w:szCs w:val="22"/>
              </w:rPr>
              <w:t>が</w:t>
            </w:r>
            <w:proofErr w:type="gramEnd"/>
            <w:r w:rsidR="0057085B" w:rsidRPr="001D6D10">
              <w:rPr>
                <w:rFonts w:hAnsi="ＭＳ 明朝" w:hint="eastAsia"/>
                <w:sz w:val="22"/>
                <w:szCs w:val="22"/>
              </w:rPr>
              <w:t>指名した職員</w:t>
            </w:r>
          </w:p>
          <w:p w14:paraId="31877986" w14:textId="10A5B344" w:rsidR="005D372A" w:rsidRPr="001D6D10" w:rsidRDefault="005D372A" w:rsidP="006A5F30">
            <w:pPr>
              <w:ind w:left="1327" w:hangingChars="600" w:hanging="1327"/>
              <w:jc w:val="left"/>
              <w:rPr>
                <w:rFonts w:hAnsi="ＭＳ 明朝"/>
                <w:sz w:val="22"/>
                <w:szCs w:val="22"/>
              </w:rPr>
            </w:pPr>
            <w:r w:rsidRPr="001D6D10">
              <w:rPr>
                <w:rFonts w:hAnsi="ＭＳ 明朝" w:hint="eastAsia"/>
                <w:sz w:val="22"/>
                <w:szCs w:val="22"/>
              </w:rPr>
              <w:t>・事務局員　土木事務所主査及び</w:t>
            </w:r>
            <w:r w:rsidR="00255775" w:rsidRPr="001D6D10">
              <w:rPr>
                <w:rFonts w:hAnsi="ＭＳ 明朝" w:hint="eastAsia"/>
                <w:sz w:val="22"/>
                <w:szCs w:val="22"/>
              </w:rPr>
              <w:t>土木事務所所管区域</w:t>
            </w:r>
            <w:r w:rsidR="00F3725D" w:rsidRPr="001D6D10">
              <w:rPr>
                <w:rFonts w:hAnsi="ＭＳ 明朝" w:hint="eastAsia"/>
                <w:sz w:val="22"/>
                <w:szCs w:val="22"/>
              </w:rPr>
              <w:t>出先機関</w:t>
            </w:r>
            <w:r w:rsidR="00230767" w:rsidRPr="001D6D10">
              <w:rPr>
                <w:rFonts w:hAnsi="ＭＳ 明朝" w:hint="eastAsia"/>
                <w:sz w:val="22"/>
                <w:szCs w:val="22"/>
              </w:rPr>
              <w:t>職員で知事の</w:t>
            </w:r>
            <w:r w:rsidR="00D619CB" w:rsidRPr="001D6D10">
              <w:rPr>
                <w:rFonts w:hAnsi="ＭＳ 明朝" w:hint="eastAsia"/>
                <w:sz w:val="22"/>
                <w:szCs w:val="22"/>
              </w:rPr>
              <w:t>指名</w:t>
            </w:r>
            <w:r w:rsidR="00DD355D" w:rsidRPr="001D6D10">
              <w:rPr>
                <w:rFonts w:hAnsi="ＭＳ 明朝" w:hint="eastAsia"/>
                <w:sz w:val="22"/>
                <w:szCs w:val="22"/>
              </w:rPr>
              <w:t>した職員</w:t>
            </w:r>
          </w:p>
          <w:p w14:paraId="354DD728" w14:textId="77777777" w:rsidR="005D372A" w:rsidRPr="001D6D10" w:rsidRDefault="005D372A" w:rsidP="008B4B2B">
            <w:pPr>
              <w:rPr>
                <w:rFonts w:hAnsi="ＭＳ 明朝"/>
                <w:sz w:val="22"/>
                <w:szCs w:val="22"/>
              </w:rPr>
            </w:pPr>
            <w:r w:rsidRPr="001D6D10">
              <w:rPr>
                <w:rFonts w:hAnsi="ＭＳ 明朝" w:hint="eastAsia"/>
                <w:sz w:val="22"/>
                <w:szCs w:val="22"/>
              </w:rPr>
              <w:t>・支援要員　緊急防災推進員（地震の場合のみ）</w:t>
            </w:r>
          </w:p>
        </w:tc>
      </w:tr>
      <w:tr w:rsidR="000D65E5" w:rsidRPr="001D6D10" w14:paraId="32FCCDCC" w14:textId="77777777" w:rsidTr="008B4B2B">
        <w:tc>
          <w:tcPr>
            <w:tcW w:w="1526" w:type="dxa"/>
          </w:tcPr>
          <w:p w14:paraId="76CE2156" w14:textId="77777777" w:rsidR="000D65E5" w:rsidRPr="001D6D10" w:rsidRDefault="000D65E5" w:rsidP="008B4B2B">
            <w:pPr>
              <w:rPr>
                <w:rFonts w:hAnsi="ＭＳ 明朝"/>
                <w:sz w:val="22"/>
                <w:szCs w:val="22"/>
              </w:rPr>
            </w:pPr>
            <w:r w:rsidRPr="001D6D10">
              <w:rPr>
                <w:rFonts w:hAnsi="ＭＳ 明朝" w:hint="eastAsia"/>
                <w:sz w:val="22"/>
                <w:szCs w:val="22"/>
              </w:rPr>
              <w:t>⑤活動内容</w:t>
            </w:r>
          </w:p>
        </w:tc>
        <w:tc>
          <w:tcPr>
            <w:tcW w:w="7654" w:type="dxa"/>
          </w:tcPr>
          <w:p w14:paraId="5CE1E3BD" w14:textId="77777777" w:rsidR="000D65E5" w:rsidRPr="001D6D10" w:rsidRDefault="000D65E5" w:rsidP="000D65E5">
            <w:pPr>
              <w:rPr>
                <w:rFonts w:hAnsi="ＭＳ 明朝"/>
                <w:sz w:val="22"/>
                <w:szCs w:val="22"/>
              </w:rPr>
            </w:pPr>
            <w:r w:rsidRPr="001D6D10">
              <w:rPr>
                <w:rFonts w:hAnsi="ＭＳ 明朝" w:hint="eastAsia"/>
                <w:sz w:val="22"/>
                <w:szCs w:val="22"/>
              </w:rPr>
              <w:t>・府民センタービルの被害把握</w:t>
            </w:r>
          </w:p>
          <w:p w14:paraId="60EAC178" w14:textId="77777777" w:rsidR="000D65E5" w:rsidRPr="001D6D10" w:rsidRDefault="000D65E5" w:rsidP="000D65E5">
            <w:pPr>
              <w:rPr>
                <w:rFonts w:hAnsi="ＭＳ 明朝"/>
                <w:sz w:val="22"/>
                <w:szCs w:val="22"/>
              </w:rPr>
            </w:pPr>
            <w:r w:rsidRPr="001D6D10">
              <w:rPr>
                <w:rFonts w:hAnsi="ＭＳ 明朝" w:hint="eastAsia"/>
                <w:sz w:val="22"/>
                <w:szCs w:val="22"/>
              </w:rPr>
              <w:t>・管内市町村防災体制の把握</w:t>
            </w:r>
          </w:p>
          <w:p w14:paraId="290D0371" w14:textId="77777777" w:rsidR="000D65E5" w:rsidRPr="001D6D10" w:rsidRDefault="001126BB" w:rsidP="000D65E5">
            <w:pPr>
              <w:jc w:val="left"/>
              <w:rPr>
                <w:rFonts w:hAnsi="ＭＳ 明朝"/>
                <w:sz w:val="22"/>
                <w:szCs w:val="22"/>
              </w:rPr>
            </w:pPr>
            <w:r w:rsidRPr="001D6D10">
              <w:rPr>
                <w:rFonts w:hAnsi="ＭＳ 明朝" w:hint="eastAsia"/>
                <w:sz w:val="22"/>
                <w:szCs w:val="22"/>
              </w:rPr>
              <w:t>・管内市町村の被害状況・気象実況等の収集</w:t>
            </w:r>
          </w:p>
          <w:p w14:paraId="7349E0A3" w14:textId="77777777" w:rsidR="001126BB" w:rsidRPr="001D6D10" w:rsidRDefault="001126BB" w:rsidP="000D65E5">
            <w:pPr>
              <w:jc w:val="left"/>
              <w:rPr>
                <w:sz w:val="22"/>
                <w:szCs w:val="22"/>
              </w:rPr>
            </w:pPr>
            <w:r w:rsidRPr="001D6D10">
              <w:rPr>
                <w:rFonts w:hAnsi="ＭＳ 明朝" w:hint="eastAsia"/>
                <w:sz w:val="22"/>
                <w:szCs w:val="22"/>
              </w:rPr>
              <w:t>・管内市町村の</w:t>
            </w:r>
            <w:r w:rsidRPr="001D6D10">
              <w:rPr>
                <w:sz w:val="22"/>
                <w:szCs w:val="22"/>
              </w:rPr>
              <w:t>災害対策状況の情報収集</w:t>
            </w:r>
          </w:p>
          <w:p w14:paraId="743BBE34" w14:textId="77777777" w:rsidR="001126BB" w:rsidRPr="001D6D10" w:rsidRDefault="001126BB" w:rsidP="000D65E5">
            <w:pPr>
              <w:jc w:val="left"/>
              <w:rPr>
                <w:rFonts w:hAnsi="ＭＳ 明朝"/>
                <w:sz w:val="22"/>
                <w:szCs w:val="22"/>
              </w:rPr>
            </w:pPr>
            <w:r w:rsidRPr="001D6D10">
              <w:rPr>
                <w:rFonts w:hint="eastAsia"/>
                <w:sz w:val="22"/>
                <w:szCs w:val="22"/>
              </w:rPr>
              <w:t>・その他必要な事項の把握　など</w:t>
            </w:r>
          </w:p>
        </w:tc>
      </w:tr>
    </w:tbl>
    <w:p w14:paraId="09841D67" w14:textId="459DC147" w:rsidR="005D372A" w:rsidRPr="001D6D10" w:rsidRDefault="001F5965" w:rsidP="002879FF">
      <w:pPr>
        <w:pStyle w:val="4"/>
        <w:ind w:leftChars="0" w:left="0" w:firstLineChars="306" w:firstLine="677"/>
        <w:rPr>
          <w:rFonts w:ascii="ＭＳ ゴシック" w:eastAsia="ＭＳ ゴシック" w:hAnsi="ＭＳ ゴシック"/>
          <w:b w:val="0"/>
          <w:sz w:val="22"/>
          <w:szCs w:val="22"/>
          <w:u w:val="single"/>
        </w:rPr>
      </w:pPr>
      <w:bookmarkStart w:id="51" w:name="_Toc122436880"/>
      <w:bookmarkStart w:id="52" w:name="_Toc222486570"/>
      <w:bookmarkStart w:id="53" w:name="_Toc242870239"/>
      <w:r w:rsidRPr="001D6D10">
        <w:rPr>
          <w:rFonts w:ascii="ＭＳ ゴシック" w:eastAsia="ＭＳ ゴシック" w:hAnsi="ＭＳ ゴシック" w:hint="eastAsia"/>
          <w:b w:val="0"/>
          <w:sz w:val="22"/>
          <w:szCs w:val="22"/>
          <w:u w:val="single"/>
        </w:rPr>
        <w:lastRenderedPageBreak/>
        <w:t>４-</w:t>
      </w:r>
      <w:r w:rsidR="005D372A" w:rsidRPr="001D6D10">
        <w:rPr>
          <w:rFonts w:ascii="ＭＳ ゴシック" w:eastAsia="ＭＳ ゴシック" w:hAnsi="ＭＳ ゴシック" w:hint="eastAsia"/>
          <w:b w:val="0"/>
          <w:sz w:val="22"/>
          <w:szCs w:val="22"/>
          <w:u w:val="single"/>
        </w:rPr>
        <w:t>２　現地災害対策本部の活動</w:t>
      </w:r>
      <w:bookmarkEnd w:id="51"/>
      <w:bookmarkEnd w:id="52"/>
      <w:bookmarkEnd w:id="53"/>
    </w:p>
    <w:p w14:paraId="2C68B20A" w14:textId="77777777" w:rsidR="005D372A" w:rsidRPr="001D6D10" w:rsidRDefault="005D372A" w:rsidP="005D372A">
      <w:pPr>
        <w:ind w:firstLineChars="500" w:firstLine="1105"/>
        <w:rPr>
          <w:rFonts w:ascii="ＭＳ ゴシック" w:eastAsia="ＭＳ ゴシック" w:hAnsi="ＭＳ ゴシック"/>
          <w:sz w:val="22"/>
          <w:szCs w:val="22"/>
          <w:bdr w:val="single" w:sz="4" w:space="0" w:color="auto"/>
        </w:rPr>
      </w:pPr>
      <w:r w:rsidRPr="001D6D10">
        <w:rPr>
          <w:rFonts w:ascii="ＭＳ ゴシック" w:eastAsia="ＭＳ ゴシック" w:hAnsi="ＭＳ ゴシック" w:hint="eastAsia"/>
          <w:sz w:val="22"/>
          <w:szCs w:val="22"/>
          <w:bdr w:val="single" w:sz="4" w:space="0" w:color="auto"/>
        </w:rPr>
        <w:t>主たる担当：危機管理室、関係室・課：全部局室・課</w:t>
      </w:r>
    </w:p>
    <w:p w14:paraId="4782F742" w14:textId="77777777" w:rsidR="005D372A" w:rsidRPr="001D6D10" w:rsidRDefault="005D372A" w:rsidP="005D372A">
      <w:pPr>
        <w:ind w:left="884" w:hangingChars="400" w:hanging="884"/>
        <w:rPr>
          <w:sz w:val="22"/>
          <w:szCs w:val="22"/>
        </w:rPr>
      </w:pPr>
      <w:r w:rsidRPr="001D6D10">
        <w:rPr>
          <w:rFonts w:hAnsi="ＭＳ 明朝" w:hint="eastAsia"/>
          <w:sz w:val="22"/>
          <w:szCs w:val="22"/>
        </w:rPr>
        <w:t xml:space="preserve">　　　　　</w:t>
      </w:r>
      <w:r w:rsidRPr="001D6D10">
        <w:rPr>
          <w:rFonts w:hint="eastAsia"/>
          <w:sz w:val="22"/>
          <w:szCs w:val="22"/>
        </w:rPr>
        <w:t>災対本部長は、</w:t>
      </w:r>
      <w:r w:rsidRPr="001D6D10">
        <w:rPr>
          <w:rFonts w:ascii="ＭＳ 明朝" w:hAnsi="ＭＳ 明朝" w:hint="eastAsia"/>
          <w:sz w:val="22"/>
          <w:szCs w:val="22"/>
        </w:rPr>
        <w:t>次の設置基準に該当する場合は、</w:t>
      </w:r>
      <w:r w:rsidRPr="001D6D10">
        <w:rPr>
          <w:rFonts w:hint="eastAsia"/>
          <w:sz w:val="22"/>
          <w:szCs w:val="22"/>
        </w:rPr>
        <w:t>原則として被災地近接の府民センタービル、又は、状況により被災地の市町村庁舎等に、</w:t>
      </w:r>
    </w:p>
    <w:p w14:paraId="06547FB6" w14:textId="77777777" w:rsidR="005D372A" w:rsidRPr="001D6D10" w:rsidRDefault="005D372A" w:rsidP="005D372A">
      <w:pPr>
        <w:ind w:leftChars="400" w:left="845" w:hanging="1"/>
        <w:rPr>
          <w:rFonts w:ascii="ＭＳ 明朝" w:hAnsi="ＭＳ 明朝"/>
          <w:sz w:val="22"/>
          <w:szCs w:val="22"/>
        </w:rPr>
      </w:pPr>
      <w:r w:rsidRPr="001D6D10">
        <w:rPr>
          <w:rFonts w:hint="eastAsia"/>
          <w:sz w:val="22"/>
          <w:szCs w:val="22"/>
        </w:rPr>
        <w:t>大阪府現地災害対策本部（以下「現対本部」という。）</w:t>
      </w:r>
      <w:r w:rsidRPr="001D6D10">
        <w:rPr>
          <w:rFonts w:ascii="ＭＳ 明朝" w:hAnsi="ＭＳ 明朝" w:hint="eastAsia"/>
          <w:sz w:val="22"/>
          <w:szCs w:val="22"/>
        </w:rPr>
        <w:t>を設置する。</w:t>
      </w:r>
    </w:p>
    <w:tbl>
      <w:tblPr>
        <w:tblStyle w:val="ab"/>
        <w:tblW w:w="9299" w:type="dxa"/>
        <w:tblInd w:w="-176" w:type="dxa"/>
        <w:tblLook w:val="04A0" w:firstRow="1" w:lastRow="0" w:firstColumn="1" w:lastColumn="0" w:noHBand="0" w:noVBand="1"/>
      </w:tblPr>
      <w:tblGrid>
        <w:gridCol w:w="1361"/>
        <w:gridCol w:w="7938"/>
      </w:tblGrid>
      <w:tr w:rsidR="001D6D10" w:rsidRPr="001D6D10" w14:paraId="44574E25" w14:textId="77777777" w:rsidTr="008B4B2B">
        <w:tc>
          <w:tcPr>
            <w:tcW w:w="1361" w:type="dxa"/>
          </w:tcPr>
          <w:p w14:paraId="72B42FB2" w14:textId="77777777" w:rsidR="005D372A" w:rsidRPr="001D6D10" w:rsidRDefault="005D372A" w:rsidP="008B4B2B">
            <w:pPr>
              <w:rPr>
                <w:rFonts w:hAnsi="ＭＳ 明朝"/>
                <w:sz w:val="22"/>
                <w:szCs w:val="22"/>
              </w:rPr>
            </w:pPr>
            <w:r w:rsidRPr="001D6D10">
              <w:rPr>
                <w:rFonts w:hAnsi="ＭＳ 明朝" w:hint="eastAsia"/>
                <w:sz w:val="22"/>
                <w:szCs w:val="22"/>
              </w:rPr>
              <w:t>①設置基準</w:t>
            </w:r>
          </w:p>
        </w:tc>
        <w:tc>
          <w:tcPr>
            <w:tcW w:w="7938" w:type="dxa"/>
          </w:tcPr>
          <w:p w14:paraId="0596C3EB" w14:textId="77777777" w:rsidR="005D372A" w:rsidRPr="001D6D10" w:rsidRDefault="005D372A" w:rsidP="008B4B2B">
            <w:pPr>
              <w:rPr>
                <w:sz w:val="22"/>
                <w:szCs w:val="22"/>
              </w:rPr>
            </w:pPr>
            <w:r w:rsidRPr="001D6D10">
              <w:rPr>
                <w:rFonts w:hAnsi="ＭＳ 明朝" w:hint="eastAsia"/>
                <w:sz w:val="22"/>
                <w:szCs w:val="22"/>
              </w:rPr>
              <w:t>・</w:t>
            </w:r>
            <w:r w:rsidRPr="001D6D10">
              <w:rPr>
                <w:rFonts w:hint="eastAsia"/>
                <w:sz w:val="22"/>
                <w:szCs w:val="22"/>
              </w:rPr>
              <w:t>災害等の地域的特性に応じた災害等応急対策の実施を局地的又は重点的</w:t>
            </w:r>
          </w:p>
          <w:p w14:paraId="03E6B26A" w14:textId="77777777" w:rsidR="005D372A" w:rsidRPr="001D6D10" w:rsidRDefault="005D372A" w:rsidP="008B4B2B">
            <w:pPr>
              <w:ind w:firstLineChars="100" w:firstLine="221"/>
              <w:rPr>
                <w:rFonts w:hAnsi="ＭＳ 明朝"/>
                <w:sz w:val="22"/>
                <w:szCs w:val="22"/>
              </w:rPr>
            </w:pPr>
            <w:r w:rsidRPr="001D6D10">
              <w:rPr>
                <w:rFonts w:hint="eastAsia"/>
                <w:sz w:val="22"/>
                <w:szCs w:val="22"/>
              </w:rPr>
              <w:t>に推進する必要を認めたとき</w:t>
            </w:r>
          </w:p>
        </w:tc>
      </w:tr>
      <w:tr w:rsidR="001D6D10" w:rsidRPr="001D6D10" w14:paraId="51E991D8" w14:textId="77777777" w:rsidTr="008B4B2B">
        <w:tc>
          <w:tcPr>
            <w:tcW w:w="1361" w:type="dxa"/>
          </w:tcPr>
          <w:p w14:paraId="645DBFC6" w14:textId="77777777" w:rsidR="005D372A" w:rsidRPr="001D6D10" w:rsidRDefault="005D372A" w:rsidP="008B4B2B">
            <w:pPr>
              <w:rPr>
                <w:rFonts w:hAnsi="ＭＳ 明朝"/>
                <w:sz w:val="22"/>
                <w:szCs w:val="22"/>
              </w:rPr>
            </w:pPr>
            <w:r w:rsidRPr="001D6D10">
              <w:rPr>
                <w:rFonts w:hAnsi="ＭＳ 明朝" w:hint="eastAsia"/>
                <w:sz w:val="22"/>
                <w:szCs w:val="22"/>
              </w:rPr>
              <w:t>②廃止基準</w:t>
            </w:r>
          </w:p>
        </w:tc>
        <w:tc>
          <w:tcPr>
            <w:tcW w:w="7938" w:type="dxa"/>
          </w:tcPr>
          <w:p w14:paraId="7B930311" w14:textId="77777777" w:rsidR="005D372A" w:rsidRPr="001D6D10" w:rsidRDefault="005D372A" w:rsidP="008B4B2B">
            <w:pPr>
              <w:rPr>
                <w:rFonts w:hAnsi="ＭＳ 明朝"/>
                <w:sz w:val="22"/>
                <w:szCs w:val="22"/>
              </w:rPr>
            </w:pPr>
            <w:r w:rsidRPr="001D6D10">
              <w:rPr>
                <w:rFonts w:hAnsi="ＭＳ 明朝" w:hint="eastAsia"/>
                <w:sz w:val="22"/>
                <w:szCs w:val="22"/>
              </w:rPr>
              <w:t>・災害対策本部長が認めたとき</w:t>
            </w:r>
          </w:p>
        </w:tc>
      </w:tr>
      <w:tr w:rsidR="001D6D10" w:rsidRPr="001D6D10" w14:paraId="75366B7B" w14:textId="77777777" w:rsidTr="008B4B2B">
        <w:tc>
          <w:tcPr>
            <w:tcW w:w="1361" w:type="dxa"/>
          </w:tcPr>
          <w:p w14:paraId="088CF040" w14:textId="77777777" w:rsidR="005D372A" w:rsidRPr="001D6D10" w:rsidRDefault="005D372A" w:rsidP="008B4B2B">
            <w:pPr>
              <w:rPr>
                <w:rFonts w:hAnsi="ＭＳ 明朝"/>
                <w:sz w:val="22"/>
                <w:szCs w:val="22"/>
              </w:rPr>
            </w:pPr>
            <w:r w:rsidRPr="001D6D10">
              <w:rPr>
                <w:rFonts w:hAnsi="ＭＳ 明朝" w:hint="eastAsia"/>
                <w:sz w:val="22"/>
                <w:szCs w:val="22"/>
              </w:rPr>
              <w:t>③組織</w:t>
            </w:r>
          </w:p>
        </w:tc>
        <w:tc>
          <w:tcPr>
            <w:tcW w:w="7938" w:type="dxa"/>
          </w:tcPr>
          <w:p w14:paraId="21E9867E" w14:textId="77777777" w:rsidR="005D372A" w:rsidRPr="001D6D10" w:rsidRDefault="005D372A" w:rsidP="008B4B2B">
            <w:pPr>
              <w:pStyle w:val="a0"/>
              <w:rPr>
                <w:sz w:val="22"/>
                <w:szCs w:val="22"/>
              </w:rPr>
            </w:pPr>
            <w:r w:rsidRPr="001D6D10">
              <w:rPr>
                <w:rFonts w:hAnsi="ＭＳ 明朝" w:hint="eastAsia"/>
                <w:sz w:val="22"/>
                <w:szCs w:val="22"/>
              </w:rPr>
              <w:t>・</w:t>
            </w:r>
            <w:r w:rsidRPr="001D6D10">
              <w:rPr>
                <w:rFonts w:hint="eastAsia"/>
                <w:sz w:val="22"/>
                <w:szCs w:val="22"/>
              </w:rPr>
              <w:t>本 部 長　災対本部長が指名する者</w:t>
            </w:r>
          </w:p>
          <w:p w14:paraId="16D94EF1" w14:textId="77777777" w:rsidR="005D372A" w:rsidRPr="001D6D10" w:rsidRDefault="005D372A" w:rsidP="008B4B2B">
            <w:pPr>
              <w:pStyle w:val="a0"/>
              <w:rPr>
                <w:sz w:val="22"/>
                <w:szCs w:val="22"/>
              </w:rPr>
            </w:pPr>
            <w:r w:rsidRPr="001D6D10">
              <w:rPr>
                <w:rFonts w:hint="eastAsia"/>
                <w:sz w:val="22"/>
                <w:szCs w:val="22"/>
              </w:rPr>
              <w:t>・副本部長　災対本部長が指名する者</w:t>
            </w:r>
          </w:p>
          <w:p w14:paraId="4CB92111" w14:textId="06EFA734" w:rsidR="006C53EA" w:rsidRPr="001D6D10" w:rsidRDefault="005D372A" w:rsidP="00331E52">
            <w:pPr>
              <w:pStyle w:val="a0"/>
              <w:ind w:left="1327" w:hangingChars="600" w:hanging="1327"/>
              <w:rPr>
                <w:rFonts w:hAnsi="ＭＳ 明朝"/>
                <w:sz w:val="22"/>
                <w:szCs w:val="22"/>
              </w:rPr>
            </w:pPr>
            <w:r w:rsidRPr="001D6D10">
              <w:rPr>
                <w:rFonts w:hAnsi="ＭＳ 明朝" w:hint="eastAsia"/>
                <w:sz w:val="22"/>
                <w:szCs w:val="22"/>
              </w:rPr>
              <w:t xml:space="preserve">・本 部 </w:t>
            </w:r>
            <w:r w:rsidR="00B863C3" w:rsidRPr="001D6D10">
              <w:rPr>
                <w:rFonts w:hAnsi="ＭＳ 明朝" w:hint="eastAsia"/>
                <w:sz w:val="22"/>
                <w:szCs w:val="22"/>
              </w:rPr>
              <w:t>員　地域防災監、</w:t>
            </w:r>
            <w:r w:rsidR="009A1321" w:rsidRPr="001D6D10">
              <w:rPr>
                <w:rFonts w:hAnsi="ＭＳ 明朝" w:hint="eastAsia"/>
                <w:sz w:val="22"/>
                <w:szCs w:val="22"/>
              </w:rPr>
              <w:t>土木事務所所管区域</w:t>
            </w:r>
            <w:r w:rsidRPr="001D6D10">
              <w:rPr>
                <w:rFonts w:hAnsi="ＭＳ 明朝" w:hint="eastAsia"/>
                <w:sz w:val="22"/>
                <w:szCs w:val="22"/>
              </w:rPr>
              <w:t>出先機関の長</w:t>
            </w:r>
            <w:r w:rsidR="00331E52" w:rsidRPr="001D6D10">
              <w:rPr>
                <w:rFonts w:hAnsi="ＭＳ 明朝" w:hint="eastAsia"/>
                <w:sz w:val="22"/>
                <w:szCs w:val="22"/>
              </w:rPr>
              <w:t>のうち災対本部長が指名するもの</w:t>
            </w:r>
          </w:p>
        </w:tc>
      </w:tr>
      <w:tr w:rsidR="001D6D10" w:rsidRPr="001D6D10" w14:paraId="5E969176" w14:textId="77777777" w:rsidTr="008B4B2B">
        <w:tc>
          <w:tcPr>
            <w:tcW w:w="1361" w:type="dxa"/>
          </w:tcPr>
          <w:p w14:paraId="43C63383" w14:textId="77777777" w:rsidR="005D372A" w:rsidRPr="001D6D10" w:rsidRDefault="005D372A" w:rsidP="008B4B2B">
            <w:pPr>
              <w:rPr>
                <w:rFonts w:hAnsi="ＭＳ 明朝"/>
                <w:sz w:val="22"/>
                <w:szCs w:val="22"/>
              </w:rPr>
            </w:pPr>
            <w:r w:rsidRPr="001D6D10">
              <w:rPr>
                <w:rFonts w:hAnsi="ＭＳ 明朝" w:hint="eastAsia"/>
                <w:sz w:val="22"/>
                <w:szCs w:val="22"/>
              </w:rPr>
              <w:t>④現地災害対策本部会議の開催</w:t>
            </w:r>
          </w:p>
        </w:tc>
        <w:tc>
          <w:tcPr>
            <w:tcW w:w="7938" w:type="dxa"/>
          </w:tcPr>
          <w:p w14:paraId="25B2FCBC" w14:textId="77777777" w:rsidR="005D372A" w:rsidRPr="001D6D10" w:rsidRDefault="005D372A" w:rsidP="008B4B2B">
            <w:pPr>
              <w:rPr>
                <w:rFonts w:hAnsi="ＭＳ 明朝"/>
                <w:sz w:val="22"/>
                <w:szCs w:val="22"/>
              </w:rPr>
            </w:pPr>
            <w:r w:rsidRPr="001D6D10">
              <w:rPr>
                <w:rFonts w:hint="eastAsia"/>
                <w:sz w:val="22"/>
                <w:szCs w:val="22"/>
              </w:rPr>
              <w:t>現地災害対策本部長は、応急対策の実施を推進するため、副本部長及び本部員を招集し、現地災害対策本部会議を開催する。</w:t>
            </w:r>
          </w:p>
        </w:tc>
      </w:tr>
      <w:tr w:rsidR="001D6D10" w:rsidRPr="001D6D10" w14:paraId="5B67293C" w14:textId="77777777" w:rsidTr="008B4B2B">
        <w:tc>
          <w:tcPr>
            <w:tcW w:w="1361" w:type="dxa"/>
          </w:tcPr>
          <w:p w14:paraId="51573B8D" w14:textId="77777777" w:rsidR="005D372A" w:rsidRPr="001D6D10" w:rsidRDefault="005D372A" w:rsidP="008B4B2B">
            <w:pPr>
              <w:rPr>
                <w:rFonts w:hAnsi="ＭＳ 明朝"/>
                <w:sz w:val="22"/>
                <w:szCs w:val="22"/>
              </w:rPr>
            </w:pPr>
            <w:r w:rsidRPr="001D6D10">
              <w:rPr>
                <w:rFonts w:hAnsi="ＭＳ 明朝" w:hint="eastAsia"/>
                <w:sz w:val="22"/>
                <w:szCs w:val="22"/>
              </w:rPr>
              <w:t>⑤現地災害対策本部会議の内容</w:t>
            </w:r>
          </w:p>
        </w:tc>
        <w:tc>
          <w:tcPr>
            <w:tcW w:w="7938" w:type="dxa"/>
          </w:tcPr>
          <w:p w14:paraId="1A946857" w14:textId="77777777" w:rsidR="005D372A" w:rsidRPr="001D6D10" w:rsidRDefault="005D372A" w:rsidP="008B4B2B">
            <w:pPr>
              <w:pStyle w:val="ad"/>
              <w:wordWrap/>
              <w:overflowPunct w:val="0"/>
              <w:spacing w:line="240" w:lineRule="auto"/>
              <w:rPr>
                <w:rFonts w:hAnsi="ＭＳ 明朝"/>
                <w:sz w:val="21"/>
              </w:rPr>
            </w:pPr>
            <w:r w:rsidRPr="001D6D10">
              <w:rPr>
                <w:rFonts w:hAnsi="ＭＳ 明朝" w:hint="eastAsia"/>
                <w:sz w:val="21"/>
              </w:rPr>
              <w:t>ア　被害状況等の把握</w:t>
            </w:r>
          </w:p>
          <w:p w14:paraId="4A739C75" w14:textId="77777777" w:rsidR="005D372A" w:rsidRPr="001D6D10" w:rsidRDefault="005D372A" w:rsidP="008B4B2B">
            <w:pPr>
              <w:pStyle w:val="ad"/>
              <w:wordWrap/>
              <w:overflowPunct w:val="0"/>
              <w:spacing w:line="240" w:lineRule="auto"/>
              <w:ind w:firstLineChars="100" w:firstLine="211"/>
              <w:rPr>
                <w:rFonts w:hAnsi="ＭＳ 明朝"/>
                <w:sz w:val="21"/>
              </w:rPr>
            </w:pPr>
            <w:r w:rsidRPr="001D6D10">
              <w:rPr>
                <w:rFonts w:hAnsi="ＭＳ 明朝" w:hint="eastAsia"/>
                <w:sz w:val="21"/>
              </w:rPr>
              <w:t>・市町村との連絡調整など</w:t>
            </w:r>
          </w:p>
          <w:p w14:paraId="50461FF3" w14:textId="77777777" w:rsidR="005D372A" w:rsidRPr="001D6D10" w:rsidRDefault="005D372A" w:rsidP="008B4B2B">
            <w:pPr>
              <w:pStyle w:val="ad"/>
              <w:wordWrap/>
              <w:overflowPunct w:val="0"/>
              <w:spacing w:line="240" w:lineRule="auto"/>
              <w:rPr>
                <w:rFonts w:hAnsi="ＭＳ 明朝"/>
                <w:sz w:val="21"/>
              </w:rPr>
            </w:pPr>
            <w:r w:rsidRPr="001D6D10">
              <w:rPr>
                <w:rFonts w:hAnsi="ＭＳ 明朝" w:hint="eastAsia"/>
                <w:sz w:val="21"/>
              </w:rPr>
              <w:t>イ　市町村への支援</w:t>
            </w:r>
          </w:p>
          <w:p w14:paraId="2D449940" w14:textId="77777777" w:rsidR="005D372A" w:rsidRPr="001D6D10" w:rsidRDefault="005D372A" w:rsidP="008B4B2B">
            <w:pPr>
              <w:pStyle w:val="ad"/>
              <w:wordWrap/>
              <w:overflowPunct w:val="0"/>
              <w:spacing w:line="240" w:lineRule="auto"/>
              <w:ind w:leftChars="100" w:left="422" w:hangingChars="100" w:hanging="211"/>
              <w:rPr>
                <w:rFonts w:hAnsi="ＭＳ 明朝"/>
                <w:sz w:val="21"/>
              </w:rPr>
            </w:pPr>
            <w:r w:rsidRPr="001D6D10">
              <w:rPr>
                <w:rFonts w:hAnsi="ＭＳ 明朝" w:hint="eastAsia"/>
                <w:sz w:val="21"/>
              </w:rPr>
              <w:t>・市町村</w:t>
            </w:r>
            <w:r w:rsidRPr="001D6D10">
              <w:rPr>
                <w:rFonts w:asciiTheme="minorEastAsia" w:hAnsiTheme="minorEastAsia" w:hint="eastAsia"/>
                <w:sz w:val="21"/>
              </w:rPr>
              <w:t>へ派遣する災害時先遣隊や現地情報連絡員（リエゾン）</w:t>
            </w:r>
            <w:r w:rsidRPr="001D6D10">
              <w:rPr>
                <w:rFonts w:hAnsi="ＭＳ 明朝" w:hint="eastAsia"/>
                <w:sz w:val="21"/>
              </w:rPr>
              <w:t>との連絡調整</w:t>
            </w:r>
          </w:p>
          <w:p w14:paraId="3BB7FC46" w14:textId="77777777" w:rsidR="005D372A" w:rsidRPr="001D6D10" w:rsidRDefault="005D372A" w:rsidP="008B4B2B">
            <w:pPr>
              <w:pStyle w:val="ad"/>
              <w:wordWrap/>
              <w:overflowPunct w:val="0"/>
              <w:spacing w:line="240" w:lineRule="auto"/>
              <w:ind w:firstLineChars="100" w:firstLine="211"/>
              <w:rPr>
                <w:rFonts w:hAnsi="ＭＳ 明朝"/>
                <w:sz w:val="21"/>
              </w:rPr>
            </w:pPr>
            <w:r w:rsidRPr="001D6D10">
              <w:rPr>
                <w:rFonts w:hAnsi="ＭＳ 明朝" w:hint="eastAsia"/>
                <w:sz w:val="21"/>
              </w:rPr>
              <w:t>・被災建築物応急危険度判定士等の派遣など</w:t>
            </w:r>
          </w:p>
          <w:p w14:paraId="1C55E2F9" w14:textId="77777777" w:rsidR="005D372A" w:rsidRPr="001D6D10" w:rsidRDefault="005D372A" w:rsidP="008B4B2B">
            <w:pPr>
              <w:pStyle w:val="ad"/>
              <w:wordWrap/>
              <w:overflowPunct w:val="0"/>
              <w:spacing w:line="240" w:lineRule="auto"/>
              <w:rPr>
                <w:rFonts w:hAnsi="ＭＳ 明朝"/>
                <w:sz w:val="21"/>
              </w:rPr>
            </w:pPr>
            <w:r w:rsidRPr="001D6D10">
              <w:rPr>
                <w:rFonts w:hAnsi="ＭＳ 明朝" w:hint="eastAsia"/>
                <w:sz w:val="21"/>
              </w:rPr>
              <w:t>ウ　府が実施する応急対策に関する現地調整及び推進</w:t>
            </w:r>
          </w:p>
          <w:p w14:paraId="25F12042" w14:textId="77777777" w:rsidR="005D372A" w:rsidRPr="001D6D10" w:rsidRDefault="005D372A" w:rsidP="008B4B2B">
            <w:pPr>
              <w:pStyle w:val="ad"/>
              <w:wordWrap/>
              <w:overflowPunct w:val="0"/>
              <w:spacing w:line="240" w:lineRule="auto"/>
              <w:ind w:firstLineChars="100" w:firstLine="211"/>
              <w:rPr>
                <w:rFonts w:hAnsi="ＭＳ 明朝"/>
                <w:sz w:val="21"/>
              </w:rPr>
            </w:pPr>
            <w:r w:rsidRPr="001D6D10">
              <w:rPr>
                <w:rFonts w:hAnsi="ＭＳ 明朝" w:hint="eastAsia"/>
                <w:sz w:val="21"/>
              </w:rPr>
              <w:t>・市町村が実施する応急対策に関する連絡調整</w:t>
            </w:r>
          </w:p>
          <w:p w14:paraId="2E6F477D" w14:textId="77777777" w:rsidR="005D372A" w:rsidRPr="001D6D10" w:rsidRDefault="005D372A" w:rsidP="008B4B2B">
            <w:pPr>
              <w:pStyle w:val="ad"/>
              <w:wordWrap/>
              <w:overflowPunct w:val="0"/>
              <w:spacing w:line="240" w:lineRule="auto"/>
              <w:ind w:firstLineChars="100" w:firstLine="211"/>
              <w:rPr>
                <w:rFonts w:hAnsi="ＭＳ 明朝"/>
                <w:sz w:val="21"/>
              </w:rPr>
            </w:pPr>
            <w:r w:rsidRPr="001D6D10">
              <w:rPr>
                <w:rFonts w:hAnsi="ＭＳ 明朝" w:hint="eastAsia"/>
                <w:sz w:val="21"/>
              </w:rPr>
              <w:t>・関係機関が実施する応急対策に関する連絡調整</w:t>
            </w:r>
          </w:p>
          <w:p w14:paraId="7E165322" w14:textId="77777777" w:rsidR="005D372A" w:rsidRPr="001D6D10" w:rsidRDefault="005D372A" w:rsidP="008B4B2B">
            <w:pPr>
              <w:pStyle w:val="ad"/>
              <w:wordWrap/>
              <w:overflowPunct w:val="0"/>
              <w:spacing w:line="240" w:lineRule="auto"/>
              <w:rPr>
                <w:rFonts w:hAnsi="ＭＳ 明朝"/>
                <w:sz w:val="21"/>
              </w:rPr>
            </w:pPr>
            <w:r w:rsidRPr="001D6D10">
              <w:rPr>
                <w:rFonts w:hAnsi="ＭＳ 明朝" w:hint="eastAsia"/>
                <w:sz w:val="21"/>
              </w:rPr>
              <w:t>エ　現地における関係機関等との連絡</w:t>
            </w:r>
          </w:p>
          <w:p w14:paraId="39803F8E" w14:textId="77777777" w:rsidR="005D372A" w:rsidRPr="001D6D10" w:rsidRDefault="005D372A" w:rsidP="008B4B2B">
            <w:pPr>
              <w:pStyle w:val="ad"/>
              <w:wordWrap/>
              <w:overflowPunct w:val="0"/>
              <w:spacing w:line="240" w:lineRule="auto"/>
              <w:ind w:firstLineChars="100" w:firstLine="211"/>
              <w:rPr>
                <w:rFonts w:hAnsi="ＭＳ 明朝"/>
                <w:sz w:val="21"/>
              </w:rPr>
            </w:pPr>
            <w:r w:rsidRPr="001D6D10">
              <w:rPr>
                <w:rFonts w:hAnsi="ＭＳ 明朝" w:hint="eastAsia"/>
                <w:sz w:val="21"/>
              </w:rPr>
              <w:t>・消防・警察・自衛隊等関係機関との連絡調整</w:t>
            </w:r>
          </w:p>
          <w:p w14:paraId="0812FC56" w14:textId="77777777" w:rsidR="005D372A" w:rsidRPr="001D6D10" w:rsidRDefault="005D372A" w:rsidP="008B4B2B">
            <w:pPr>
              <w:pStyle w:val="ad"/>
              <w:wordWrap/>
              <w:overflowPunct w:val="0"/>
              <w:spacing w:line="240" w:lineRule="auto"/>
              <w:rPr>
                <w:rFonts w:hAnsi="ＭＳ 明朝"/>
                <w:sz w:val="21"/>
              </w:rPr>
            </w:pPr>
            <w:r w:rsidRPr="001D6D10">
              <w:rPr>
                <w:rFonts w:hAnsi="ＭＳ 明朝" w:hint="eastAsia"/>
                <w:sz w:val="21"/>
              </w:rPr>
              <w:t>オ　その他必要な事項</w:t>
            </w:r>
          </w:p>
        </w:tc>
      </w:tr>
      <w:tr w:rsidR="001D6D10" w:rsidRPr="001D6D10" w14:paraId="7228E004" w14:textId="77777777" w:rsidTr="008B4B2B">
        <w:tc>
          <w:tcPr>
            <w:tcW w:w="1361" w:type="dxa"/>
          </w:tcPr>
          <w:p w14:paraId="1FA5D344" w14:textId="77777777" w:rsidR="005D372A" w:rsidRPr="001D6D10" w:rsidRDefault="005D372A" w:rsidP="008B4B2B">
            <w:pPr>
              <w:rPr>
                <w:rFonts w:hAnsi="ＭＳ 明朝"/>
                <w:sz w:val="22"/>
                <w:szCs w:val="22"/>
              </w:rPr>
            </w:pPr>
            <w:r w:rsidRPr="001D6D10">
              <w:rPr>
                <w:rFonts w:hAnsi="ＭＳ 明朝" w:hint="eastAsia"/>
                <w:sz w:val="22"/>
                <w:szCs w:val="22"/>
              </w:rPr>
              <w:t>⑥現地災害対策事務局</w:t>
            </w:r>
          </w:p>
        </w:tc>
        <w:tc>
          <w:tcPr>
            <w:tcW w:w="7938" w:type="dxa"/>
          </w:tcPr>
          <w:p w14:paraId="37A6A3D5" w14:textId="77777777" w:rsidR="005D372A" w:rsidRPr="001D6D10" w:rsidRDefault="005D372A" w:rsidP="008B4B2B">
            <w:pPr>
              <w:rPr>
                <w:rFonts w:hAnsi="ＭＳ 明朝"/>
                <w:szCs w:val="22"/>
              </w:rPr>
            </w:pPr>
            <w:r w:rsidRPr="001D6D10">
              <w:rPr>
                <w:rFonts w:hAnsi="ＭＳ 明朝" w:hint="eastAsia"/>
                <w:szCs w:val="22"/>
              </w:rPr>
              <w:t>・現対本部の事務を処理するため、事務局をおく。</w:t>
            </w:r>
          </w:p>
          <w:p w14:paraId="0EE7EAD6" w14:textId="2CE74659" w:rsidR="005D372A" w:rsidRPr="001D6D10" w:rsidRDefault="005D372A" w:rsidP="0047474F">
            <w:pPr>
              <w:ind w:left="211" w:hangingChars="100" w:hanging="211"/>
              <w:rPr>
                <w:rFonts w:hAnsi="ＭＳ 明朝"/>
                <w:szCs w:val="22"/>
              </w:rPr>
            </w:pPr>
            <w:r w:rsidRPr="001D6D10">
              <w:rPr>
                <w:rFonts w:hAnsi="ＭＳ 明朝" w:hint="eastAsia"/>
                <w:szCs w:val="22"/>
              </w:rPr>
              <w:t>・事務局長は、当該府民センタービル内の地域防災監とし、事務局員は、危機管理室、</w:t>
            </w:r>
            <w:r w:rsidR="0047474F" w:rsidRPr="001D6D10">
              <w:rPr>
                <w:rFonts w:hAnsi="ＭＳ 明朝" w:hint="eastAsia"/>
                <w:szCs w:val="22"/>
              </w:rPr>
              <w:t>土木事務所所管区域</w:t>
            </w:r>
            <w:r w:rsidRPr="001D6D10">
              <w:rPr>
                <w:rFonts w:hAnsi="ＭＳ 明朝" w:hint="eastAsia"/>
                <w:szCs w:val="22"/>
              </w:rPr>
              <w:t>出先機関の職員のほか、</w:t>
            </w:r>
            <w:r w:rsidR="00CF0ED4" w:rsidRPr="001D6D10">
              <w:rPr>
                <w:rFonts w:hAnsi="ＭＳ 明朝" w:hint="eastAsia"/>
                <w:szCs w:val="22"/>
              </w:rPr>
              <w:t>現対本部長</w:t>
            </w:r>
            <w:r w:rsidRPr="001D6D10">
              <w:rPr>
                <w:rFonts w:hAnsi="ＭＳ 明朝" w:hint="eastAsia"/>
                <w:szCs w:val="22"/>
              </w:rPr>
              <w:t>が指名した職員とする。</w:t>
            </w:r>
          </w:p>
        </w:tc>
      </w:tr>
    </w:tbl>
    <w:p w14:paraId="2526F636" w14:textId="77777777" w:rsidR="005D372A" w:rsidRPr="001D6D10" w:rsidRDefault="005D372A" w:rsidP="005D372A">
      <w:pPr>
        <w:pStyle w:val="ad"/>
        <w:wordWrap/>
        <w:overflowPunct w:val="0"/>
        <w:spacing w:line="240" w:lineRule="auto"/>
        <w:rPr>
          <w:rFonts w:ascii="ＭＳ 明朝" w:hAnsi="ＭＳ 明朝"/>
        </w:rPr>
      </w:pPr>
    </w:p>
    <w:p w14:paraId="03A0D835" w14:textId="4C932845" w:rsidR="00E410D6" w:rsidRPr="00B63B25" w:rsidRDefault="00B63B25" w:rsidP="00E0548A">
      <w:pPr>
        <w:widowControl/>
        <w:jc w:val="left"/>
        <w:rPr>
          <w:rFonts w:ascii="ＭＳ 明朝" w:hAnsi="ＭＳ 明朝"/>
        </w:rPr>
      </w:pPr>
      <w:r>
        <w:rPr>
          <w:rFonts w:ascii="ＭＳ 明朝" w:hAnsi="ＭＳ 明朝"/>
        </w:rPr>
        <w:br w:type="page"/>
      </w:r>
    </w:p>
    <w:tbl>
      <w:tblPr>
        <w:tblpPr w:leftFromText="142" w:rightFromText="142" w:vertAnchor="text" w:tblpXSpec="center" w:tblpY="1"/>
        <w:tblOverlap w:val="never"/>
        <w:tblW w:w="944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1361"/>
        <w:gridCol w:w="8080"/>
      </w:tblGrid>
      <w:tr w:rsidR="001D6D10" w:rsidRPr="00E0548A" w14:paraId="15C87CC0" w14:textId="77777777" w:rsidTr="008B4B2B">
        <w:trPr>
          <w:trHeight w:val="307"/>
          <w:jc w:val="center"/>
        </w:trPr>
        <w:tc>
          <w:tcPr>
            <w:tcW w:w="1361" w:type="dxa"/>
            <w:shd w:val="clear" w:color="auto" w:fill="F2F2F2"/>
            <w:vAlign w:val="center"/>
          </w:tcPr>
          <w:p w14:paraId="429289B6" w14:textId="77777777" w:rsidR="005D372A" w:rsidRPr="00E0548A" w:rsidRDefault="005D372A" w:rsidP="008B4B2B">
            <w:pPr>
              <w:pStyle w:val="a0"/>
              <w:jc w:val="center"/>
            </w:pPr>
            <w:r w:rsidRPr="00E0548A">
              <w:rPr>
                <w:rFonts w:hint="eastAsia"/>
              </w:rPr>
              <w:lastRenderedPageBreak/>
              <w:t>班　　名</w:t>
            </w:r>
          </w:p>
        </w:tc>
        <w:tc>
          <w:tcPr>
            <w:tcW w:w="8080" w:type="dxa"/>
            <w:shd w:val="clear" w:color="auto" w:fill="F2F2F2"/>
            <w:vAlign w:val="center"/>
          </w:tcPr>
          <w:p w14:paraId="0AB9D261" w14:textId="77777777" w:rsidR="005D372A" w:rsidRPr="00E0548A" w:rsidRDefault="005D372A" w:rsidP="008B4B2B">
            <w:pPr>
              <w:pStyle w:val="a0"/>
              <w:jc w:val="center"/>
            </w:pPr>
            <w:r w:rsidRPr="00E0548A">
              <w:rPr>
                <w:rFonts w:hint="eastAsia"/>
                <w:spacing w:val="49"/>
                <w:kern w:val="0"/>
                <w:fitText w:val="4220" w:id="-1954281969"/>
              </w:rPr>
              <w:t>現地災害対策事務局の事務分</w:t>
            </w:r>
            <w:r w:rsidRPr="00E0548A">
              <w:rPr>
                <w:rFonts w:hint="eastAsia"/>
                <w:spacing w:val="3"/>
                <w:kern w:val="0"/>
                <w:fitText w:val="4220" w:id="-1954281969"/>
              </w:rPr>
              <w:t>掌</w:t>
            </w:r>
          </w:p>
        </w:tc>
      </w:tr>
      <w:tr w:rsidR="001D6D10" w:rsidRPr="00E0548A" w14:paraId="6BFE07FB" w14:textId="77777777" w:rsidTr="008B4B2B">
        <w:trPr>
          <w:trHeight w:val="1380"/>
          <w:jc w:val="center"/>
        </w:trPr>
        <w:tc>
          <w:tcPr>
            <w:tcW w:w="1361" w:type="dxa"/>
            <w:vAlign w:val="center"/>
          </w:tcPr>
          <w:p w14:paraId="47669D5A" w14:textId="77777777" w:rsidR="005D372A" w:rsidRPr="00E0548A" w:rsidRDefault="005D372A" w:rsidP="008B4B2B">
            <w:pPr>
              <w:pStyle w:val="a0"/>
              <w:spacing w:line="360" w:lineRule="exact"/>
              <w:jc w:val="center"/>
              <w:rPr>
                <w:sz w:val="22"/>
                <w:szCs w:val="22"/>
              </w:rPr>
            </w:pPr>
            <w:r w:rsidRPr="00E0548A">
              <w:rPr>
                <w:rFonts w:hint="eastAsia"/>
                <w:sz w:val="22"/>
                <w:szCs w:val="22"/>
              </w:rPr>
              <w:t>対　策　班</w:t>
            </w:r>
          </w:p>
        </w:tc>
        <w:tc>
          <w:tcPr>
            <w:tcW w:w="8080" w:type="dxa"/>
          </w:tcPr>
          <w:p w14:paraId="46AF6A19" w14:textId="77777777" w:rsidR="005D372A" w:rsidRPr="00E0548A" w:rsidRDefault="005D372A" w:rsidP="008B4B2B">
            <w:pPr>
              <w:pStyle w:val="a0"/>
              <w:spacing w:line="360" w:lineRule="exact"/>
              <w:ind w:left="57"/>
            </w:pPr>
            <w:r w:rsidRPr="00E0548A">
              <w:rPr>
                <w:rFonts w:hint="eastAsia"/>
              </w:rPr>
              <w:t>１　応急対策の検討・立案に関すること。</w:t>
            </w:r>
          </w:p>
          <w:p w14:paraId="52862A35" w14:textId="77777777" w:rsidR="005D372A" w:rsidRPr="00E0548A" w:rsidRDefault="005D372A" w:rsidP="008B4B2B">
            <w:pPr>
              <w:pStyle w:val="a0"/>
              <w:spacing w:line="360" w:lineRule="exact"/>
              <w:ind w:left="57"/>
            </w:pPr>
            <w:r w:rsidRPr="00E0548A">
              <w:rPr>
                <w:rFonts w:hint="eastAsia"/>
              </w:rPr>
              <w:t>２　災対本部との連絡調整に関すること。</w:t>
            </w:r>
          </w:p>
          <w:p w14:paraId="000E0707" w14:textId="77777777" w:rsidR="005D372A" w:rsidRPr="00E0548A" w:rsidRDefault="005D372A" w:rsidP="008B4B2B">
            <w:pPr>
              <w:pStyle w:val="a0"/>
              <w:spacing w:line="360" w:lineRule="exact"/>
              <w:ind w:left="57"/>
            </w:pPr>
            <w:r w:rsidRPr="00E0548A">
              <w:rPr>
                <w:rFonts w:hint="eastAsia"/>
              </w:rPr>
              <w:t>３　市町村支援に関する連絡調整に関すること。</w:t>
            </w:r>
          </w:p>
          <w:p w14:paraId="35304DDE" w14:textId="77777777" w:rsidR="005D372A" w:rsidRPr="00E0548A" w:rsidRDefault="005D372A" w:rsidP="008B4B2B">
            <w:pPr>
              <w:pStyle w:val="a0"/>
              <w:spacing w:line="360" w:lineRule="exact"/>
              <w:ind w:left="57"/>
            </w:pPr>
            <w:r w:rsidRPr="00E0548A">
              <w:rPr>
                <w:rFonts w:hint="eastAsia"/>
              </w:rPr>
              <w:t>４　関係機関との連絡調整に関すること。</w:t>
            </w:r>
          </w:p>
          <w:p w14:paraId="19280B94" w14:textId="77777777" w:rsidR="005D372A" w:rsidRPr="00E0548A" w:rsidRDefault="005D372A" w:rsidP="008B4B2B">
            <w:pPr>
              <w:pStyle w:val="a0"/>
              <w:spacing w:line="360" w:lineRule="exact"/>
              <w:ind w:leftChars="17" w:left="209" w:hangingChars="82" w:hanging="173"/>
            </w:pPr>
            <w:r w:rsidRPr="00E0548A">
              <w:rPr>
                <w:rFonts w:hint="eastAsia"/>
              </w:rPr>
              <w:t>５　市町村</w:t>
            </w:r>
            <w:r w:rsidRPr="00E0548A">
              <w:rPr>
                <w:rFonts w:asciiTheme="minorEastAsia" w:hAnsiTheme="minorEastAsia" w:hint="eastAsia"/>
              </w:rPr>
              <w:t>へ派遣する災害時先遣隊や現地情報連絡員（リエゾン）</w:t>
            </w:r>
            <w:r w:rsidRPr="00E0548A">
              <w:rPr>
                <w:rFonts w:hint="eastAsia"/>
              </w:rPr>
              <w:t>との連絡調整に関すること。</w:t>
            </w:r>
          </w:p>
          <w:p w14:paraId="3050EA48" w14:textId="77777777" w:rsidR="005D372A" w:rsidRPr="00E0548A" w:rsidRDefault="005D372A" w:rsidP="008B4B2B">
            <w:pPr>
              <w:pStyle w:val="a0"/>
              <w:spacing w:line="360" w:lineRule="exact"/>
              <w:ind w:left="57"/>
            </w:pPr>
            <w:r w:rsidRPr="00E0548A">
              <w:rPr>
                <w:rFonts w:hint="eastAsia"/>
              </w:rPr>
              <w:t>６　報道機関への対応に関すること。</w:t>
            </w:r>
          </w:p>
          <w:p w14:paraId="2B38AADE" w14:textId="77777777" w:rsidR="005D372A" w:rsidRPr="00E0548A" w:rsidRDefault="005D372A" w:rsidP="008B4B2B">
            <w:pPr>
              <w:pStyle w:val="a0"/>
              <w:spacing w:line="360" w:lineRule="exact"/>
              <w:ind w:left="57"/>
            </w:pPr>
            <w:r w:rsidRPr="00E0548A">
              <w:rPr>
                <w:rFonts w:hint="eastAsia"/>
              </w:rPr>
              <w:t>７　災害用備蓄物資の出庫に関すること。</w:t>
            </w:r>
          </w:p>
          <w:p w14:paraId="37FFD0E7" w14:textId="77777777" w:rsidR="00E410D6" w:rsidRPr="00E0548A" w:rsidRDefault="00E410D6" w:rsidP="008B4B2B">
            <w:pPr>
              <w:pStyle w:val="a0"/>
              <w:spacing w:line="360" w:lineRule="exact"/>
              <w:ind w:left="57"/>
            </w:pPr>
          </w:p>
        </w:tc>
      </w:tr>
      <w:tr w:rsidR="001D6D10" w:rsidRPr="00E0548A" w14:paraId="4996B49A" w14:textId="77777777" w:rsidTr="008B4B2B">
        <w:trPr>
          <w:trHeight w:val="405"/>
          <w:jc w:val="center"/>
        </w:trPr>
        <w:tc>
          <w:tcPr>
            <w:tcW w:w="1361" w:type="dxa"/>
            <w:vAlign w:val="center"/>
          </w:tcPr>
          <w:p w14:paraId="0B850EC4" w14:textId="44D83F7C" w:rsidR="005D372A" w:rsidRPr="00E0548A" w:rsidRDefault="00560891" w:rsidP="00851AB0">
            <w:pPr>
              <w:pStyle w:val="a0"/>
              <w:spacing w:line="360" w:lineRule="exact"/>
            </w:pPr>
            <w:r w:rsidRPr="00E0548A">
              <w:rPr>
                <w:rFonts w:hint="eastAsia"/>
                <w:sz w:val="22"/>
                <w:szCs w:val="22"/>
              </w:rPr>
              <w:t>情　報</w:t>
            </w:r>
            <w:r w:rsidR="00851AB0" w:rsidRPr="00E0548A">
              <w:rPr>
                <w:rFonts w:hint="eastAsia"/>
                <w:sz w:val="22"/>
                <w:szCs w:val="22"/>
              </w:rPr>
              <w:t xml:space="preserve">　班</w:t>
            </w:r>
          </w:p>
        </w:tc>
        <w:tc>
          <w:tcPr>
            <w:tcW w:w="8080" w:type="dxa"/>
          </w:tcPr>
          <w:p w14:paraId="0A941BF2" w14:textId="77777777" w:rsidR="005D372A" w:rsidRPr="00E0548A" w:rsidRDefault="005D372A" w:rsidP="008B4B2B">
            <w:pPr>
              <w:pStyle w:val="a0"/>
              <w:spacing w:line="360" w:lineRule="exact"/>
              <w:ind w:leftChars="5" w:left="222" w:hangingChars="100" w:hanging="211"/>
            </w:pPr>
            <w:r w:rsidRPr="00E0548A">
              <w:rPr>
                <w:rFonts w:hint="eastAsia"/>
              </w:rPr>
              <w:t>１　市町村の被害状況、対策実施状況の収集及び災対本部への報告に関すること。</w:t>
            </w:r>
          </w:p>
          <w:p w14:paraId="6F00C2DE" w14:textId="77777777" w:rsidR="005D372A" w:rsidRPr="00E0548A" w:rsidRDefault="005D372A" w:rsidP="008B4B2B">
            <w:pPr>
              <w:pStyle w:val="a0"/>
              <w:spacing w:line="360" w:lineRule="exact"/>
              <w:ind w:leftChars="5" w:left="222" w:hangingChars="100" w:hanging="211"/>
            </w:pPr>
            <w:r w:rsidRPr="00E0548A">
              <w:rPr>
                <w:rFonts w:hint="eastAsia"/>
              </w:rPr>
              <w:t>２　安全情報、ライフライン情報、交通情報、道路情報、避難所の運営状況等情報の収集伝達に関すること。</w:t>
            </w:r>
          </w:p>
          <w:p w14:paraId="0B40A215" w14:textId="0A7C0617" w:rsidR="005D372A" w:rsidRPr="00E0548A" w:rsidRDefault="005D372A" w:rsidP="008B4B2B">
            <w:pPr>
              <w:pStyle w:val="a0"/>
              <w:spacing w:line="360" w:lineRule="exact"/>
              <w:ind w:left="211" w:hangingChars="100" w:hanging="211"/>
            </w:pPr>
            <w:r w:rsidRPr="00E0548A">
              <w:rPr>
                <w:rFonts w:hint="eastAsia"/>
              </w:rPr>
              <w:t xml:space="preserve">３　</w:t>
            </w:r>
            <w:r w:rsidR="00AB6FBD" w:rsidRPr="00E0548A">
              <w:rPr>
                <w:rFonts w:hint="eastAsia"/>
              </w:rPr>
              <w:t>大阪府</w:t>
            </w:r>
            <w:r w:rsidRPr="00E0548A">
              <w:rPr>
                <w:rFonts w:hint="eastAsia"/>
              </w:rPr>
              <w:t>防災情報システム・防災行政無線の利用調整並びにその他通信の確保に関すること。</w:t>
            </w:r>
          </w:p>
        </w:tc>
      </w:tr>
      <w:tr w:rsidR="001D6D10" w:rsidRPr="00E0548A" w14:paraId="224BB616" w14:textId="77777777" w:rsidTr="008B4B2B">
        <w:trPr>
          <w:trHeight w:val="225"/>
          <w:jc w:val="center"/>
        </w:trPr>
        <w:tc>
          <w:tcPr>
            <w:tcW w:w="1361" w:type="dxa"/>
            <w:tcBorders>
              <w:bottom w:val="single" w:sz="4" w:space="0" w:color="auto"/>
            </w:tcBorders>
            <w:vAlign w:val="center"/>
          </w:tcPr>
          <w:p w14:paraId="359B61E5" w14:textId="1732D898" w:rsidR="005D372A" w:rsidRPr="00E0548A" w:rsidRDefault="00560891" w:rsidP="008B4B2B">
            <w:pPr>
              <w:pStyle w:val="a0"/>
              <w:spacing w:line="360" w:lineRule="exact"/>
              <w:jc w:val="center"/>
            </w:pPr>
            <w:r w:rsidRPr="00E0548A">
              <w:rPr>
                <w:rFonts w:hint="eastAsia"/>
                <w:sz w:val="22"/>
                <w:szCs w:val="22"/>
              </w:rPr>
              <w:t>総　務　班</w:t>
            </w:r>
          </w:p>
        </w:tc>
        <w:tc>
          <w:tcPr>
            <w:tcW w:w="8080" w:type="dxa"/>
            <w:tcBorders>
              <w:bottom w:val="single" w:sz="4" w:space="0" w:color="auto"/>
            </w:tcBorders>
          </w:tcPr>
          <w:p w14:paraId="250761E3" w14:textId="77777777" w:rsidR="005D372A" w:rsidRPr="00E0548A" w:rsidRDefault="005D372A" w:rsidP="008B4B2B">
            <w:pPr>
              <w:pStyle w:val="a0"/>
              <w:spacing w:line="360" w:lineRule="exact"/>
              <w:ind w:left="57"/>
            </w:pPr>
            <w:r w:rsidRPr="00E0548A">
              <w:rPr>
                <w:rFonts w:hint="eastAsia"/>
              </w:rPr>
              <w:t>１　現対本部の開設及び運営に関すること。</w:t>
            </w:r>
          </w:p>
          <w:p w14:paraId="2743172F" w14:textId="77777777" w:rsidR="005D372A" w:rsidRPr="00E0548A" w:rsidRDefault="005D372A" w:rsidP="008B4B2B">
            <w:pPr>
              <w:pStyle w:val="a0"/>
              <w:spacing w:line="360" w:lineRule="exact"/>
              <w:ind w:left="57"/>
            </w:pPr>
            <w:r w:rsidRPr="00E0548A">
              <w:rPr>
                <w:rFonts w:hint="eastAsia"/>
              </w:rPr>
              <w:t>２　各種会議資料、記録に関すること。</w:t>
            </w:r>
          </w:p>
          <w:p w14:paraId="53DD381F" w14:textId="77777777" w:rsidR="005D372A" w:rsidRPr="00E0548A" w:rsidRDefault="005D372A" w:rsidP="008B4B2B">
            <w:pPr>
              <w:pStyle w:val="a0"/>
              <w:spacing w:line="360" w:lineRule="exact"/>
              <w:ind w:left="57"/>
            </w:pPr>
            <w:r w:rsidRPr="00E0548A">
              <w:rPr>
                <w:rFonts w:hint="eastAsia"/>
              </w:rPr>
              <w:t>３　現対本部事務局職員の服務に関すること。</w:t>
            </w:r>
          </w:p>
          <w:p w14:paraId="68BED321" w14:textId="77777777" w:rsidR="005D372A" w:rsidRPr="00E0548A" w:rsidRDefault="005D372A" w:rsidP="008B4B2B">
            <w:pPr>
              <w:pStyle w:val="a0"/>
              <w:spacing w:line="360" w:lineRule="exact"/>
              <w:ind w:left="57"/>
            </w:pPr>
            <w:r w:rsidRPr="00E0548A">
              <w:rPr>
                <w:rFonts w:hint="eastAsia"/>
              </w:rPr>
              <w:t>４　国の機関、国会議員等の視察・調査の受入に関すること。</w:t>
            </w:r>
          </w:p>
          <w:p w14:paraId="7BB678F8" w14:textId="77777777" w:rsidR="005D372A" w:rsidRPr="00E0548A" w:rsidRDefault="005D372A" w:rsidP="008B4B2B">
            <w:pPr>
              <w:pStyle w:val="a0"/>
              <w:spacing w:line="360" w:lineRule="exact"/>
              <w:ind w:leftChars="26" w:left="266" w:hangingChars="100" w:hanging="211"/>
            </w:pPr>
            <w:r w:rsidRPr="00E0548A">
              <w:rPr>
                <w:rFonts w:hint="eastAsia"/>
              </w:rPr>
              <w:t>５　現対本部事務局の他の班の事務分掌に属しないこと。</w:t>
            </w:r>
          </w:p>
        </w:tc>
      </w:tr>
      <w:tr w:rsidR="001D6D10" w:rsidRPr="001D6D10" w14:paraId="727161AC" w14:textId="77777777" w:rsidTr="008B4B2B">
        <w:trPr>
          <w:trHeight w:val="70"/>
          <w:jc w:val="center"/>
        </w:trPr>
        <w:tc>
          <w:tcPr>
            <w:tcW w:w="1361" w:type="dxa"/>
            <w:tcBorders>
              <w:bottom w:val="single" w:sz="4" w:space="0" w:color="auto"/>
            </w:tcBorders>
            <w:vAlign w:val="center"/>
          </w:tcPr>
          <w:p w14:paraId="4D95245C" w14:textId="77777777" w:rsidR="005D372A" w:rsidRPr="00E0548A" w:rsidRDefault="005D372A" w:rsidP="008B4B2B">
            <w:pPr>
              <w:pStyle w:val="a0"/>
              <w:spacing w:line="360" w:lineRule="exact"/>
              <w:jc w:val="center"/>
              <w:rPr>
                <w:sz w:val="22"/>
                <w:szCs w:val="22"/>
              </w:rPr>
            </w:pPr>
            <w:r w:rsidRPr="00E0548A">
              <w:rPr>
                <w:rFonts w:hint="eastAsia"/>
                <w:kern w:val="0"/>
                <w:sz w:val="22"/>
                <w:szCs w:val="22"/>
              </w:rPr>
              <w:t>住民対応班</w:t>
            </w:r>
          </w:p>
        </w:tc>
        <w:tc>
          <w:tcPr>
            <w:tcW w:w="8080" w:type="dxa"/>
            <w:tcBorders>
              <w:bottom w:val="single" w:sz="4" w:space="0" w:color="auto"/>
            </w:tcBorders>
          </w:tcPr>
          <w:p w14:paraId="6DA0CA5D" w14:textId="77777777" w:rsidR="005D372A" w:rsidRPr="00E0548A" w:rsidRDefault="005D372A" w:rsidP="008B4B2B">
            <w:pPr>
              <w:pStyle w:val="a0"/>
              <w:spacing w:line="360" w:lineRule="exact"/>
              <w:ind w:leftChars="26" w:left="266" w:hangingChars="100" w:hanging="211"/>
            </w:pPr>
            <w:r w:rsidRPr="00E0548A">
              <w:rPr>
                <w:rFonts w:hint="eastAsia"/>
              </w:rPr>
              <w:t>１　住民対応に関すること。</w:t>
            </w:r>
          </w:p>
          <w:p w14:paraId="4C805608" w14:textId="77777777" w:rsidR="005D372A" w:rsidRPr="001D6D10" w:rsidRDefault="005D372A" w:rsidP="008B4B2B">
            <w:pPr>
              <w:pStyle w:val="a0"/>
              <w:spacing w:line="360" w:lineRule="exact"/>
              <w:ind w:leftChars="26" w:left="266" w:hangingChars="100" w:hanging="211"/>
            </w:pPr>
            <w:r w:rsidRPr="00E0548A">
              <w:rPr>
                <w:rFonts w:hint="eastAsia"/>
              </w:rPr>
              <w:t>２　住民対応に関する市町村との連絡調整に関すること。</w:t>
            </w:r>
          </w:p>
        </w:tc>
      </w:tr>
    </w:tbl>
    <w:p w14:paraId="11C68326" w14:textId="77777777" w:rsidR="00E410D6" w:rsidRPr="00E0548A" w:rsidRDefault="00E410D6" w:rsidP="005D372A">
      <w:pPr>
        <w:ind w:leftChars="105" w:left="222" w:firstLineChars="200" w:firstLine="442"/>
        <w:rPr>
          <w:rFonts w:ascii="ＭＳ ゴシック" w:eastAsia="ＭＳ ゴシック" w:hAnsi="ＭＳ ゴシック"/>
          <w:sz w:val="22"/>
          <w:szCs w:val="22"/>
        </w:rPr>
      </w:pPr>
    </w:p>
    <w:p w14:paraId="07A20E7E" w14:textId="743B251D" w:rsidR="00C96962" w:rsidRDefault="00C96962">
      <w:pPr>
        <w:widowControl/>
        <w:jc w:val="left"/>
        <w:rPr>
          <w:rFonts w:ascii="ＭＳ ゴシック" w:eastAsia="ＭＳ ゴシック" w:hAnsi="ＭＳ ゴシック"/>
          <w:sz w:val="22"/>
          <w:szCs w:val="22"/>
        </w:rPr>
      </w:pPr>
      <w:r>
        <w:rPr>
          <w:rFonts w:ascii="ＭＳ ゴシック" w:eastAsia="ＭＳ ゴシック" w:hAnsi="ＭＳ ゴシック"/>
          <w:sz w:val="22"/>
          <w:szCs w:val="22"/>
        </w:rPr>
        <w:br w:type="page"/>
      </w:r>
    </w:p>
    <w:p w14:paraId="39D34CD6" w14:textId="71F20996" w:rsidR="005D372A" w:rsidRPr="001D6D10" w:rsidRDefault="005D372A" w:rsidP="002879FF">
      <w:pPr>
        <w:pStyle w:val="4"/>
        <w:ind w:leftChars="159" w:left="336" w:firstLineChars="150" w:firstLine="332"/>
        <w:rPr>
          <w:rFonts w:ascii="ＭＳ ゴシック" w:eastAsia="ＭＳ ゴシック" w:hAnsi="ＭＳ ゴシック"/>
          <w:b w:val="0"/>
          <w:sz w:val="22"/>
          <w:szCs w:val="22"/>
          <w:u w:val="single"/>
        </w:rPr>
      </w:pPr>
      <w:bookmarkStart w:id="54" w:name="_Toc122436881"/>
      <w:bookmarkStart w:id="55" w:name="_Toc222486571"/>
      <w:bookmarkStart w:id="56" w:name="_Toc242870240"/>
      <w:r w:rsidRPr="001D6D10">
        <w:rPr>
          <w:rFonts w:ascii="ＭＳ ゴシック" w:eastAsia="ＭＳ ゴシック" w:hAnsi="ＭＳ ゴシック" w:hint="eastAsia"/>
          <w:b w:val="0"/>
          <w:sz w:val="22"/>
          <w:szCs w:val="22"/>
          <w:u w:val="single"/>
        </w:rPr>
        <w:lastRenderedPageBreak/>
        <w:t>４-３　大阪府防災会議の運営</w:t>
      </w:r>
      <w:bookmarkEnd w:id="54"/>
      <w:bookmarkEnd w:id="55"/>
      <w:bookmarkEnd w:id="56"/>
    </w:p>
    <w:p w14:paraId="7A378A47" w14:textId="77777777" w:rsidR="005D372A" w:rsidRPr="001D6D10" w:rsidRDefault="005D372A" w:rsidP="005D372A">
      <w:pPr>
        <w:ind w:firstLineChars="650" w:firstLine="1437"/>
        <w:rPr>
          <w:rFonts w:ascii="ＭＳ ゴシック" w:eastAsia="ＭＳ ゴシック" w:hAnsi="ＭＳ ゴシック"/>
          <w:sz w:val="22"/>
          <w:szCs w:val="22"/>
          <w:bdr w:val="single" w:sz="4" w:space="0" w:color="auto"/>
        </w:rPr>
      </w:pPr>
      <w:r w:rsidRPr="001D6D10">
        <w:rPr>
          <w:rFonts w:ascii="ＭＳ ゴシック" w:eastAsia="ＭＳ ゴシック" w:hAnsi="ＭＳ ゴシック" w:hint="eastAsia"/>
          <w:sz w:val="22"/>
          <w:szCs w:val="22"/>
          <w:bdr w:val="single" w:sz="4" w:space="0" w:color="auto"/>
        </w:rPr>
        <w:t>主たる担当：危機管理室、関係室・課：全部局室・課</w:t>
      </w:r>
    </w:p>
    <w:p w14:paraId="3FC0AC25" w14:textId="77777777" w:rsidR="005D372A" w:rsidRPr="001D6D10" w:rsidRDefault="005D372A" w:rsidP="005D372A">
      <w:pPr>
        <w:ind w:left="1216" w:hangingChars="550" w:hanging="1216"/>
      </w:pPr>
      <w:r w:rsidRPr="001D6D10">
        <w:rPr>
          <w:rFonts w:ascii="ＭＳ 明朝" w:hAnsi="ＭＳ 明朝" w:hint="eastAsia"/>
          <w:sz w:val="22"/>
          <w:szCs w:val="22"/>
        </w:rPr>
        <w:t xml:space="preserve">             知事は、府域で災害等が発生した場合において、災害等応急対策を円滑に実施するため、必要に応じ防災会議を開催する。</w:t>
      </w:r>
      <w:r w:rsidRPr="001D6D10">
        <w:rPr>
          <w:rFonts w:hint="eastAsia"/>
        </w:rPr>
        <w:t>また、その旨を各部連絡責任者に通知する。</w:t>
      </w:r>
    </w:p>
    <w:tbl>
      <w:tblPr>
        <w:tblStyle w:val="ab"/>
        <w:tblW w:w="9180" w:type="dxa"/>
        <w:tblLook w:val="04A0" w:firstRow="1" w:lastRow="0" w:firstColumn="1" w:lastColumn="0" w:noHBand="0" w:noVBand="1"/>
      </w:tblPr>
      <w:tblGrid>
        <w:gridCol w:w="1526"/>
        <w:gridCol w:w="7654"/>
      </w:tblGrid>
      <w:tr w:rsidR="001D6D10" w:rsidRPr="001D6D10" w14:paraId="7B95EEFB" w14:textId="77777777" w:rsidTr="008B4B2B">
        <w:tc>
          <w:tcPr>
            <w:tcW w:w="1526" w:type="dxa"/>
          </w:tcPr>
          <w:p w14:paraId="5D98E613" w14:textId="77777777" w:rsidR="005D372A" w:rsidRPr="001D6D10" w:rsidRDefault="005D372A" w:rsidP="008B4B2B">
            <w:r w:rsidRPr="001D6D10">
              <w:rPr>
                <w:rFonts w:hint="eastAsia"/>
              </w:rPr>
              <w:t>①大阪府防災会議の開催</w:t>
            </w:r>
          </w:p>
        </w:tc>
        <w:tc>
          <w:tcPr>
            <w:tcW w:w="7654" w:type="dxa"/>
          </w:tcPr>
          <w:p w14:paraId="4DBF508D" w14:textId="77777777" w:rsidR="005D372A" w:rsidRPr="001D6D10" w:rsidRDefault="005D372A" w:rsidP="008B4B2B">
            <w:pPr>
              <w:pStyle w:val="a0"/>
              <w:ind w:leftChars="100" w:left="1206" w:hangingChars="450" w:hanging="995"/>
              <w:rPr>
                <w:sz w:val="22"/>
                <w:szCs w:val="22"/>
              </w:rPr>
            </w:pPr>
            <w:r w:rsidRPr="001D6D10">
              <w:rPr>
                <w:rFonts w:hAnsi="ＭＳ 明朝" w:hint="eastAsia"/>
                <w:sz w:val="22"/>
                <w:szCs w:val="22"/>
              </w:rPr>
              <w:t>知事は、次の所掌事務を処理するため、防災</w:t>
            </w:r>
            <w:r w:rsidRPr="001D6D10">
              <w:rPr>
                <w:rFonts w:hint="eastAsia"/>
                <w:sz w:val="22"/>
                <w:szCs w:val="22"/>
              </w:rPr>
              <w:t>会議を開催する。</w:t>
            </w:r>
          </w:p>
          <w:p w14:paraId="3F820F68" w14:textId="77777777" w:rsidR="005D372A" w:rsidRPr="001D6D10" w:rsidRDefault="005D372A" w:rsidP="008B4B2B">
            <w:pPr>
              <w:rPr>
                <w:rFonts w:hAnsi="ＭＳ 明朝"/>
                <w:sz w:val="22"/>
                <w:szCs w:val="22"/>
              </w:rPr>
            </w:pPr>
            <w:r w:rsidRPr="001D6D10">
              <w:rPr>
                <w:rFonts w:hAnsi="ＭＳ 明朝" w:hint="eastAsia"/>
                <w:sz w:val="22"/>
                <w:szCs w:val="22"/>
              </w:rPr>
              <w:t>なお、防災会議の構成は、別表３のとおりとする。</w:t>
            </w:r>
          </w:p>
        </w:tc>
      </w:tr>
      <w:tr w:rsidR="005D372A" w:rsidRPr="001D6D10" w14:paraId="2E2B8CBE" w14:textId="77777777" w:rsidTr="008B4B2B">
        <w:tc>
          <w:tcPr>
            <w:tcW w:w="1526" w:type="dxa"/>
          </w:tcPr>
          <w:p w14:paraId="41FE0A18" w14:textId="77777777" w:rsidR="005D372A" w:rsidRPr="001D6D10" w:rsidRDefault="005D372A" w:rsidP="008B4B2B">
            <w:r w:rsidRPr="001D6D10">
              <w:rPr>
                <w:rFonts w:hint="eastAsia"/>
              </w:rPr>
              <w:t>②所掌事務</w:t>
            </w:r>
          </w:p>
        </w:tc>
        <w:tc>
          <w:tcPr>
            <w:tcW w:w="7654" w:type="dxa"/>
          </w:tcPr>
          <w:p w14:paraId="49D61EBF" w14:textId="77777777" w:rsidR="005D372A" w:rsidRPr="001D6D10" w:rsidRDefault="005D372A" w:rsidP="008B4B2B">
            <w:pPr>
              <w:ind w:left="1216" w:hangingChars="550" w:hanging="1216"/>
              <w:rPr>
                <w:rFonts w:hAnsi="ＭＳ 明朝"/>
                <w:sz w:val="22"/>
                <w:szCs w:val="22"/>
              </w:rPr>
            </w:pPr>
            <w:r w:rsidRPr="001D6D10">
              <w:rPr>
                <w:rFonts w:hAnsi="ＭＳ 明朝" w:hint="eastAsia"/>
                <w:sz w:val="22"/>
                <w:szCs w:val="22"/>
              </w:rPr>
              <w:t>・府地域防災計画に基づき、その実施を推進すること。</w:t>
            </w:r>
          </w:p>
          <w:p w14:paraId="36667209" w14:textId="77777777" w:rsidR="005D372A" w:rsidRPr="001D6D10" w:rsidRDefault="005D372A" w:rsidP="008B4B2B">
            <w:pPr>
              <w:ind w:left="221" w:hangingChars="100" w:hanging="221"/>
              <w:rPr>
                <w:rFonts w:hAnsi="ＭＳ 明朝"/>
                <w:sz w:val="22"/>
                <w:szCs w:val="22"/>
              </w:rPr>
            </w:pPr>
            <w:r w:rsidRPr="001D6D10">
              <w:rPr>
                <w:rFonts w:hAnsi="ＭＳ 明朝" w:hint="eastAsia"/>
                <w:sz w:val="22"/>
                <w:szCs w:val="22"/>
              </w:rPr>
              <w:t>・府域に係る災害等が発生した場合において、当該災害等に関する情報を収集すること。</w:t>
            </w:r>
          </w:p>
          <w:p w14:paraId="13318549" w14:textId="77777777" w:rsidR="005D372A" w:rsidRPr="001D6D10" w:rsidRDefault="005D372A" w:rsidP="008B4B2B">
            <w:pPr>
              <w:ind w:left="221" w:hangingChars="100" w:hanging="221"/>
              <w:rPr>
                <w:rFonts w:hAnsi="ＭＳ 明朝"/>
                <w:sz w:val="22"/>
                <w:szCs w:val="22"/>
              </w:rPr>
            </w:pPr>
            <w:r w:rsidRPr="001D6D10">
              <w:rPr>
                <w:rFonts w:hAnsi="ＭＳ 明朝" w:hint="eastAsia"/>
                <w:sz w:val="22"/>
                <w:szCs w:val="22"/>
              </w:rPr>
              <w:t>・府域に係る災害等が発生した場合において、当該災害等に係る災害応急対策及び災害復旧に関し、府並びに関係指定地方行政機関、関係市町村、関係指定公共機関及び関係指定地方公共機関相互間の連絡調整を図ること。</w:t>
            </w:r>
          </w:p>
          <w:p w14:paraId="6DD2F5F8" w14:textId="2264BE62" w:rsidR="005D372A" w:rsidRPr="001D6D10" w:rsidRDefault="005D372A" w:rsidP="008B4B2B">
            <w:pPr>
              <w:ind w:left="221" w:hangingChars="100" w:hanging="221"/>
              <w:rPr>
                <w:rFonts w:hAnsi="ＭＳ 明朝"/>
                <w:sz w:val="22"/>
                <w:szCs w:val="22"/>
              </w:rPr>
            </w:pPr>
            <w:r w:rsidRPr="001D6D10">
              <w:rPr>
                <w:rFonts w:hAnsi="ＭＳ 明朝" w:hint="eastAsia"/>
                <w:sz w:val="22"/>
                <w:szCs w:val="22"/>
              </w:rPr>
              <w:t>・非常災害等に際し、緊急措置に関する計画を作成し、かつ、その実施を</w:t>
            </w:r>
            <w:r w:rsidR="00353501">
              <w:rPr>
                <w:rFonts w:hAnsi="ＭＳ 明朝" w:hint="eastAsia"/>
                <w:sz w:val="22"/>
                <w:szCs w:val="22"/>
              </w:rPr>
              <w:t>推進</w:t>
            </w:r>
            <w:r w:rsidRPr="001D6D10">
              <w:rPr>
                <w:rFonts w:hAnsi="ＭＳ 明朝" w:hint="eastAsia"/>
                <w:sz w:val="22"/>
                <w:szCs w:val="22"/>
              </w:rPr>
              <w:t>すること。</w:t>
            </w:r>
          </w:p>
          <w:p w14:paraId="51330AA0" w14:textId="77777777" w:rsidR="005D372A" w:rsidRPr="001D6D10" w:rsidRDefault="005D372A" w:rsidP="008B4B2B">
            <w:pPr>
              <w:ind w:left="221" w:hangingChars="100" w:hanging="221"/>
              <w:rPr>
                <w:rFonts w:hAnsi="ＭＳ 明朝"/>
                <w:sz w:val="22"/>
                <w:szCs w:val="22"/>
              </w:rPr>
            </w:pPr>
            <w:r w:rsidRPr="001D6D10">
              <w:rPr>
                <w:rFonts w:hAnsi="ＭＳ 明朝" w:hint="eastAsia"/>
                <w:sz w:val="22"/>
                <w:szCs w:val="22"/>
              </w:rPr>
              <w:t>・その他、法律又はこれに基づく政令によりその権限に属する事務</w:t>
            </w:r>
          </w:p>
        </w:tc>
      </w:tr>
    </w:tbl>
    <w:p w14:paraId="57C32F16" w14:textId="77777777" w:rsidR="005D372A" w:rsidRPr="001D6D10" w:rsidRDefault="005D372A" w:rsidP="005D372A"/>
    <w:p w14:paraId="75F24591" w14:textId="77777777" w:rsidR="005D372A" w:rsidRPr="001D6D10" w:rsidRDefault="005D372A" w:rsidP="002879FF">
      <w:pPr>
        <w:pStyle w:val="a0"/>
        <w:ind w:firstLineChars="300" w:firstLine="663"/>
        <w:outlineLvl w:val="3"/>
        <w:rPr>
          <w:rFonts w:ascii="ＭＳ ゴシック" w:eastAsia="ＭＳ ゴシック"/>
          <w:sz w:val="22"/>
          <w:szCs w:val="22"/>
          <w:u w:val="single"/>
        </w:rPr>
      </w:pPr>
      <w:bookmarkStart w:id="57" w:name="_Toc122436882"/>
      <w:bookmarkStart w:id="58" w:name="_Toc222486572"/>
      <w:bookmarkStart w:id="59" w:name="_Toc242870241"/>
      <w:r w:rsidRPr="001D6D10">
        <w:rPr>
          <w:rFonts w:ascii="ＭＳ ゴシック" w:eastAsia="ＭＳ ゴシック" w:hint="eastAsia"/>
          <w:sz w:val="22"/>
          <w:szCs w:val="22"/>
          <w:u w:val="single"/>
        </w:rPr>
        <w:t>４-４　震災応急対策連絡会議の設置及び運営</w:t>
      </w:r>
      <w:bookmarkEnd w:id="57"/>
      <w:bookmarkEnd w:id="58"/>
      <w:bookmarkEnd w:id="59"/>
    </w:p>
    <w:p w14:paraId="6A63BF10" w14:textId="77777777" w:rsidR="005D372A" w:rsidRPr="001D6D10" w:rsidRDefault="005D372A" w:rsidP="005D372A">
      <w:pPr>
        <w:ind w:firstLineChars="650" w:firstLine="1437"/>
        <w:rPr>
          <w:rFonts w:ascii="ＭＳ ゴシック" w:eastAsia="ＭＳ ゴシック" w:hAnsi="ＭＳ ゴシック"/>
          <w:sz w:val="22"/>
          <w:szCs w:val="22"/>
          <w:bdr w:val="single" w:sz="4" w:space="0" w:color="auto"/>
        </w:rPr>
      </w:pPr>
      <w:r w:rsidRPr="001D6D10">
        <w:rPr>
          <w:rFonts w:ascii="ＭＳ ゴシック" w:eastAsia="ＭＳ ゴシック" w:hAnsi="ＭＳ ゴシック" w:hint="eastAsia"/>
          <w:sz w:val="22"/>
          <w:szCs w:val="22"/>
          <w:bdr w:val="single" w:sz="4" w:space="0" w:color="auto"/>
        </w:rPr>
        <w:t>主たる担当：危機管理室</w:t>
      </w:r>
    </w:p>
    <w:p w14:paraId="0FA5BE87" w14:textId="77777777" w:rsidR="005D372A" w:rsidRPr="001D6D10" w:rsidRDefault="005D372A" w:rsidP="005D372A">
      <w:pPr>
        <w:ind w:leftChars="578" w:left="1220" w:rightChars="-108" w:right="-228" w:firstLineChars="100" w:firstLine="221"/>
        <w:rPr>
          <w:sz w:val="22"/>
          <w:szCs w:val="22"/>
        </w:rPr>
      </w:pPr>
      <w:r w:rsidRPr="001D6D10">
        <w:rPr>
          <w:rFonts w:hint="eastAsia"/>
          <w:sz w:val="22"/>
          <w:szCs w:val="22"/>
        </w:rPr>
        <w:t>指令部長（危機管理監）は、災対本部の設置後速やかに、災対本部長の指示のもと、大阪府防災会議と災対本部との間の連絡を緊密に行うため、震災応急対策連絡会議を設置する。また、その旨を各部連絡責任者に通知する。</w:t>
      </w:r>
    </w:p>
    <w:tbl>
      <w:tblPr>
        <w:tblStyle w:val="ab"/>
        <w:tblW w:w="9180" w:type="dxa"/>
        <w:tblLook w:val="04A0" w:firstRow="1" w:lastRow="0" w:firstColumn="1" w:lastColumn="0" w:noHBand="0" w:noVBand="1"/>
      </w:tblPr>
      <w:tblGrid>
        <w:gridCol w:w="1526"/>
        <w:gridCol w:w="7654"/>
      </w:tblGrid>
      <w:tr w:rsidR="001D6D10" w:rsidRPr="001D6D10" w14:paraId="3A056C4B" w14:textId="77777777" w:rsidTr="008B4B2B">
        <w:tc>
          <w:tcPr>
            <w:tcW w:w="1526" w:type="dxa"/>
          </w:tcPr>
          <w:p w14:paraId="648B023B" w14:textId="77777777" w:rsidR="005D372A" w:rsidRPr="001D6D10" w:rsidRDefault="005D372A" w:rsidP="008B4B2B">
            <w:pPr>
              <w:ind w:rightChars="-108" w:right="-228"/>
              <w:rPr>
                <w:rFonts w:asciiTheme="minorEastAsia" w:eastAsiaTheme="minorEastAsia" w:hAnsiTheme="minorEastAsia"/>
                <w:szCs w:val="22"/>
              </w:rPr>
            </w:pPr>
            <w:r w:rsidRPr="001D6D10">
              <w:rPr>
                <w:rFonts w:asciiTheme="minorEastAsia" w:eastAsiaTheme="minorEastAsia" w:hAnsiTheme="minorEastAsia" w:hint="eastAsia"/>
                <w:szCs w:val="22"/>
              </w:rPr>
              <w:t>①会議の構成</w:t>
            </w:r>
          </w:p>
        </w:tc>
        <w:tc>
          <w:tcPr>
            <w:tcW w:w="7654" w:type="dxa"/>
          </w:tcPr>
          <w:p w14:paraId="43E16C52" w14:textId="77777777" w:rsidR="005D372A" w:rsidRPr="001D6D10" w:rsidRDefault="005D372A">
            <w:pPr>
              <w:pStyle w:val="a0"/>
              <w:rPr>
                <w:sz w:val="22"/>
                <w:szCs w:val="22"/>
              </w:rPr>
            </w:pPr>
            <w:r w:rsidRPr="001D6D10">
              <w:rPr>
                <w:rFonts w:hint="eastAsia"/>
                <w:sz w:val="22"/>
                <w:szCs w:val="22"/>
              </w:rPr>
              <w:t>大阪府危機管理室、大阪府警察本部警備部、陸上自衛隊第３師団第３部、大阪海上保安監部警備救難課、大阪管区気象台気象防災部、近畿地方整備局企画部、大阪市消防局警防部、関西電力</w:t>
            </w:r>
            <w:r w:rsidR="00FC222F" w:rsidRPr="001D6D10">
              <w:rPr>
                <w:rFonts w:hint="eastAsia"/>
                <w:sz w:val="22"/>
                <w:szCs w:val="22"/>
              </w:rPr>
              <w:t>送配電</w:t>
            </w:r>
            <w:r w:rsidRPr="001D6D10">
              <w:rPr>
                <w:rFonts w:hint="eastAsia"/>
                <w:sz w:val="22"/>
                <w:szCs w:val="22"/>
              </w:rPr>
              <w:t>株式会社、大阪ガス株式会社、西日本電信電話株式会社</w:t>
            </w:r>
            <w:r w:rsidR="001062D2" w:rsidRPr="001D6D10">
              <w:rPr>
                <w:rFonts w:hint="eastAsia"/>
                <w:sz w:val="22"/>
                <w:szCs w:val="22"/>
              </w:rPr>
              <w:t>関西</w:t>
            </w:r>
            <w:r w:rsidRPr="001D6D10">
              <w:rPr>
                <w:rFonts w:hint="eastAsia"/>
                <w:sz w:val="22"/>
                <w:szCs w:val="22"/>
              </w:rPr>
              <w:t>支店の各職員で構成する。</w:t>
            </w:r>
          </w:p>
        </w:tc>
      </w:tr>
      <w:tr w:rsidR="005D372A" w:rsidRPr="001D6D10" w14:paraId="0F0CB807" w14:textId="77777777" w:rsidTr="008B4B2B">
        <w:tc>
          <w:tcPr>
            <w:tcW w:w="1526" w:type="dxa"/>
          </w:tcPr>
          <w:p w14:paraId="7D183F4D" w14:textId="77777777" w:rsidR="005D372A" w:rsidRPr="001D6D10" w:rsidRDefault="005D372A" w:rsidP="008B4B2B">
            <w:pPr>
              <w:ind w:rightChars="-108" w:right="-228"/>
              <w:rPr>
                <w:rFonts w:asciiTheme="minorEastAsia" w:eastAsiaTheme="minorEastAsia" w:hAnsiTheme="minorEastAsia"/>
                <w:szCs w:val="22"/>
              </w:rPr>
            </w:pPr>
            <w:r w:rsidRPr="001D6D10">
              <w:rPr>
                <w:rFonts w:asciiTheme="minorEastAsia" w:eastAsiaTheme="minorEastAsia" w:hAnsiTheme="minorEastAsia" w:hint="eastAsia"/>
                <w:szCs w:val="22"/>
              </w:rPr>
              <w:t>②会議の内容</w:t>
            </w:r>
          </w:p>
        </w:tc>
        <w:tc>
          <w:tcPr>
            <w:tcW w:w="7654" w:type="dxa"/>
          </w:tcPr>
          <w:p w14:paraId="264166CF" w14:textId="77777777" w:rsidR="005D372A" w:rsidRPr="001D6D10" w:rsidRDefault="005D372A" w:rsidP="008B4B2B">
            <w:pPr>
              <w:pStyle w:val="a0"/>
              <w:rPr>
                <w:sz w:val="22"/>
                <w:szCs w:val="22"/>
              </w:rPr>
            </w:pPr>
            <w:r w:rsidRPr="001D6D10">
              <w:rPr>
                <w:rFonts w:hint="eastAsia"/>
                <w:sz w:val="22"/>
                <w:szCs w:val="22"/>
              </w:rPr>
              <w:t>・被害情報及び災害応急対策に関する情報交換</w:t>
            </w:r>
          </w:p>
          <w:p w14:paraId="3611D42A" w14:textId="77777777" w:rsidR="005D372A" w:rsidRPr="001D6D10" w:rsidRDefault="005D372A" w:rsidP="008B4B2B">
            <w:pPr>
              <w:pStyle w:val="a0"/>
              <w:rPr>
                <w:sz w:val="22"/>
                <w:szCs w:val="22"/>
              </w:rPr>
            </w:pPr>
            <w:r w:rsidRPr="001D6D10">
              <w:rPr>
                <w:rFonts w:hint="eastAsia"/>
                <w:sz w:val="22"/>
                <w:szCs w:val="22"/>
              </w:rPr>
              <w:t>・相互協力及び応援要請の調整</w:t>
            </w:r>
          </w:p>
          <w:p w14:paraId="6505153D" w14:textId="77777777" w:rsidR="005D372A" w:rsidRPr="001D6D10" w:rsidRDefault="005D372A" w:rsidP="008B4B2B">
            <w:pPr>
              <w:pStyle w:val="a0"/>
              <w:rPr>
                <w:sz w:val="22"/>
                <w:szCs w:val="22"/>
              </w:rPr>
            </w:pPr>
            <w:r w:rsidRPr="001D6D10">
              <w:rPr>
                <w:rFonts w:hint="eastAsia"/>
                <w:sz w:val="22"/>
                <w:szCs w:val="22"/>
              </w:rPr>
              <w:t>・その他相互協力に関し必要な事項</w:t>
            </w:r>
          </w:p>
        </w:tc>
      </w:tr>
    </w:tbl>
    <w:p w14:paraId="75FCA979" w14:textId="77777777" w:rsidR="005D372A" w:rsidRPr="001D6D10" w:rsidRDefault="005D372A" w:rsidP="005D372A">
      <w:pPr>
        <w:ind w:rightChars="-108" w:right="-228"/>
        <w:rPr>
          <w:rFonts w:ascii="ＭＳ ゴシック" w:eastAsia="ＭＳ ゴシック" w:hAnsi="ＭＳ ゴシック"/>
          <w:sz w:val="22"/>
          <w:szCs w:val="22"/>
          <w:bdr w:val="single" w:sz="4" w:space="0" w:color="auto"/>
        </w:rPr>
      </w:pPr>
    </w:p>
    <w:p w14:paraId="78FE8B5A" w14:textId="30717484" w:rsidR="00C96962" w:rsidRDefault="00C96962">
      <w:pPr>
        <w:widowControl/>
        <w:jc w:val="left"/>
        <w:rPr>
          <w:rFonts w:ascii="ＭＳ ゴシック" w:eastAsia="ＭＳ ゴシック" w:hAnsi="ＭＳ ゴシック"/>
          <w:sz w:val="22"/>
          <w:szCs w:val="22"/>
          <w:bdr w:val="single" w:sz="4" w:space="0" w:color="auto"/>
        </w:rPr>
      </w:pPr>
      <w:r>
        <w:rPr>
          <w:rFonts w:ascii="ＭＳ ゴシック" w:eastAsia="ＭＳ ゴシック" w:hAnsi="ＭＳ ゴシック"/>
          <w:sz w:val="22"/>
          <w:szCs w:val="22"/>
          <w:bdr w:val="single" w:sz="4" w:space="0" w:color="auto"/>
        </w:rPr>
        <w:br w:type="page"/>
      </w:r>
    </w:p>
    <w:p w14:paraId="56E2EED6" w14:textId="77777777" w:rsidR="005D372A" w:rsidRPr="001D6D10" w:rsidRDefault="005D372A" w:rsidP="005D372A">
      <w:r w:rsidRPr="001D6D10">
        <w:rPr>
          <w:rFonts w:hint="eastAsia"/>
          <w:noProof/>
        </w:rPr>
        <w:lastRenderedPageBreak/>
        <mc:AlternateContent>
          <mc:Choice Requires="wps">
            <w:drawing>
              <wp:anchor distT="0" distB="0" distL="114300" distR="114300" simplePos="0" relativeHeight="253005824" behindDoc="0" locked="0" layoutInCell="1" allowOverlap="1" wp14:anchorId="00B779CB" wp14:editId="473936D3">
                <wp:simplePos x="0" y="0"/>
                <wp:positionH relativeFrom="column">
                  <wp:posOffset>1111885</wp:posOffset>
                </wp:positionH>
                <wp:positionV relativeFrom="paragraph">
                  <wp:posOffset>-81281</wp:posOffset>
                </wp:positionV>
                <wp:extent cx="397510" cy="1572260"/>
                <wp:effectExtent l="3175" t="0" r="24765" b="24765"/>
                <wp:wrapNone/>
                <wp:docPr id="4898" name="正方形/長方形 4898"/>
                <wp:cNvGraphicFramePr/>
                <a:graphic xmlns:a="http://schemas.openxmlformats.org/drawingml/2006/main">
                  <a:graphicData uri="http://schemas.microsoft.com/office/word/2010/wordprocessingShape">
                    <wps:wsp>
                      <wps:cNvSpPr/>
                      <wps:spPr>
                        <a:xfrm rot="16200000">
                          <a:off x="0" y="0"/>
                          <a:ext cx="397510" cy="1572260"/>
                        </a:xfrm>
                        <a:prstGeom prst="rect">
                          <a:avLst/>
                        </a:prstGeom>
                        <a:solidFill>
                          <a:sysClr val="window" lastClr="FFFFFF"/>
                        </a:solidFill>
                        <a:ln w="9525" cap="flat" cmpd="sng" algn="ctr">
                          <a:solidFill>
                            <a:sysClr val="windowText" lastClr="000000"/>
                          </a:solidFill>
                          <a:prstDash val="solid"/>
                        </a:ln>
                        <a:effectLst/>
                      </wps:spPr>
                      <wps:txbx>
                        <w:txbxContent>
                          <w:p w14:paraId="05DC00CB" w14:textId="77777777" w:rsidR="006A5267" w:rsidRPr="0049553C" w:rsidRDefault="006A5267" w:rsidP="005D372A">
                            <w:pPr>
                              <w:spacing w:line="240" w:lineRule="exact"/>
                              <w:jc w:val="center"/>
                              <w:rPr>
                                <w:rFonts w:asciiTheme="majorEastAsia" w:eastAsiaTheme="majorEastAsia" w:hAnsiTheme="majorEastAsia"/>
                                <w:color w:val="000000" w:themeColor="text1"/>
                                <w:sz w:val="16"/>
                                <w:szCs w:val="16"/>
                              </w:rPr>
                            </w:pPr>
                            <w:r w:rsidRPr="0049553C">
                              <w:rPr>
                                <w:rFonts w:asciiTheme="majorEastAsia" w:eastAsiaTheme="majorEastAsia" w:hAnsiTheme="majorEastAsia" w:hint="eastAsia"/>
                                <w:color w:val="000000" w:themeColor="text1"/>
                                <w:sz w:val="16"/>
                                <w:szCs w:val="16"/>
                              </w:rPr>
                              <w:t>大阪府防災会議</w:t>
                            </w:r>
                          </w:p>
                          <w:p w14:paraId="64171B66" w14:textId="77777777" w:rsidR="006A5267" w:rsidRPr="00A8725A" w:rsidRDefault="006A5267" w:rsidP="005D372A">
                            <w:pPr>
                              <w:spacing w:line="240" w:lineRule="exact"/>
                              <w:jc w:val="center"/>
                              <w:rPr>
                                <w:color w:val="000000" w:themeColor="text1"/>
                                <w:sz w:val="16"/>
                                <w:szCs w:val="16"/>
                              </w:rPr>
                            </w:pPr>
                            <w:r>
                              <w:rPr>
                                <w:rFonts w:hint="eastAsia"/>
                                <w:color w:val="000000" w:themeColor="text1"/>
                                <w:sz w:val="16"/>
                                <w:szCs w:val="16"/>
                              </w:rPr>
                              <w:t>（構成員は別表３のとおり）</w:t>
                            </w:r>
                          </w:p>
                        </w:txbxContent>
                      </wps:txbx>
                      <wps:bodyPr rot="0" spcFirstLastPara="0" vertOverflow="overflow" horzOverflow="overflow" vert="eaVert" wrap="square" lIns="0" tIns="0" rIns="0" bIns="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rect w14:anchorId="00B779CB" id="正方形/長方形 4898" o:spid="_x0000_s1186" style="position:absolute;left:0;text-align:left;margin-left:87.55pt;margin-top:-6.4pt;width:31.3pt;height:123.8pt;rotation:-90;z-index:2530058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" fillcolor="window" strokecolor="windowText">
                <v:textbox style="layout-flow:vertical-ideographic" inset="0,0,0,0">
                  <w:txbxContent>
                    <w:p w14:paraId="05DC00CB" w14:textId="77777777" w:rsidR="006A5267" w:rsidRPr="0049553C" w:rsidRDefault="006A5267" w:rsidP="005D372A">
                      <w:pPr>
                        <w:spacing w:line="240" w:lineRule="exact"/>
                        <w:jc w:val="center"/>
                        <w:rPr>
                          <w:rFonts w:asciiTheme="majorEastAsia" w:eastAsiaTheme="majorEastAsia" w:hAnsiTheme="majorEastAsia"/>
                          <w:color w:val="000000" w:themeColor="text1"/>
                          <w:sz w:val="16"/>
                          <w:szCs w:val="16"/>
                        </w:rPr>
                      </w:pPr>
                      <w:r w:rsidRPr="0049553C">
                        <w:rPr>
                          <w:rFonts w:asciiTheme="majorEastAsia" w:eastAsiaTheme="majorEastAsia" w:hAnsiTheme="majorEastAsia" w:hint="eastAsia"/>
                          <w:color w:val="000000" w:themeColor="text1"/>
                          <w:sz w:val="16"/>
                          <w:szCs w:val="16"/>
                        </w:rPr>
                        <w:t>大阪府防災会議</w:t>
                      </w:r>
                    </w:p>
                    <w:p w14:paraId="64171B66" w14:textId="77777777" w:rsidR="006A5267" w:rsidRPr="00A8725A" w:rsidRDefault="006A5267" w:rsidP="005D372A">
                      <w:pPr>
                        <w:spacing w:line="240" w:lineRule="exact"/>
                        <w:jc w:val="center"/>
                        <w:rPr>
                          <w:color w:val="000000" w:themeColor="text1"/>
                          <w:sz w:val="16"/>
                          <w:szCs w:val="16"/>
                        </w:rPr>
                      </w:pPr>
                      <w:r>
                        <w:rPr>
                          <w:rFonts w:hint="eastAsia"/>
                          <w:color w:val="000000" w:themeColor="text1"/>
                          <w:sz w:val="16"/>
                          <w:szCs w:val="16"/>
                        </w:rPr>
                        <w:t>（構成員は別表３のとおり）</w:t>
                      </w:r>
                    </w:p>
                  </w:txbxContent>
                </v:textbox>
              </v:rect>
            </w:pict>
          </mc:Fallback>
        </mc:AlternateContent>
      </w:r>
      <w:r w:rsidRPr="001D6D10">
        <w:rPr>
          <w:rFonts w:hint="eastAsia"/>
        </w:rPr>
        <w:t>＜災害対策本部　組織体制図＞</w:t>
      </w:r>
      <w:r w:rsidRPr="001D6D10">
        <w:rPr>
          <w:noProof/>
        </w:rPr>
        <mc:AlternateContent>
          <mc:Choice Requires="wps">
            <w:drawing>
              <wp:anchor distT="0" distB="0" distL="114300" distR="114300" simplePos="0" relativeHeight="253011968" behindDoc="0" locked="0" layoutInCell="1" allowOverlap="1" wp14:anchorId="2A07B40A" wp14:editId="78F9051B">
                <wp:simplePos x="0" y="0"/>
                <wp:positionH relativeFrom="column">
                  <wp:posOffset>4303076</wp:posOffset>
                </wp:positionH>
                <wp:positionV relativeFrom="paragraph">
                  <wp:posOffset>-14127</wp:posOffset>
                </wp:positionV>
                <wp:extent cx="278130" cy="1319530"/>
                <wp:effectExtent l="0" t="6350" r="1270" b="1270"/>
                <wp:wrapNone/>
                <wp:docPr id="4876" name="正方形/長方形 4876"/>
                <wp:cNvGraphicFramePr/>
                <a:graphic xmlns:a="http://schemas.openxmlformats.org/drawingml/2006/main">
                  <a:graphicData uri="http://schemas.microsoft.com/office/word/2010/wordprocessingShape">
                    <wps:wsp>
                      <wps:cNvSpPr/>
                      <wps:spPr>
                        <a:xfrm rot="16200000">
                          <a:off x="0" y="0"/>
                          <a:ext cx="278130" cy="1319530"/>
                        </a:xfrm>
                        <a:prstGeom prst="rect">
                          <a:avLst/>
                        </a:prstGeom>
                        <a:solidFill>
                          <a:sysClr val="window" lastClr="FFFFFF"/>
                        </a:solidFill>
                        <a:ln w="9525" cap="flat" cmpd="sng" algn="ctr">
                          <a:noFill/>
                          <a:prstDash val="solid"/>
                        </a:ln>
                        <a:effectLst/>
                      </wps:spPr>
                      <wps:txbx>
                        <w:txbxContent>
                          <w:p w14:paraId="6E890D34" w14:textId="77777777" w:rsidR="006A5267" w:rsidRPr="00A8725A" w:rsidRDefault="006A5267" w:rsidP="005D372A">
                            <w:pPr>
                              <w:spacing w:line="240" w:lineRule="exact"/>
                              <w:jc w:val="center"/>
                              <w:rPr>
                                <w:color w:val="000000" w:themeColor="text1"/>
                                <w:sz w:val="16"/>
                                <w:szCs w:val="16"/>
                              </w:rPr>
                            </w:pPr>
                            <w:r>
                              <w:rPr>
                                <w:rFonts w:hint="eastAsia"/>
                                <w:color w:val="000000" w:themeColor="text1"/>
                                <w:sz w:val="16"/>
                                <w:szCs w:val="16"/>
                              </w:rPr>
                              <w:t>（府民センタービル内）</w:t>
                            </w:r>
                          </w:p>
                        </w:txbxContent>
                      </wps:txbx>
                      <wps:bodyPr rot="0" spcFirstLastPara="0" vertOverflow="overflow" horzOverflow="overflow" vert="eaVert" wrap="square" lIns="0" tIns="0" rIns="0" bIns="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rect w14:anchorId="2A07B40A" id="正方形/長方形 4876" o:spid="_x0000_s1187" style="position:absolute;left:0;text-align:left;margin-left:338.8pt;margin-top:-1.1pt;width:21.9pt;height:103.9pt;rotation:-90;z-index:2530119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" fillcolor="window" stroked="f">
                <v:textbox style="layout-flow:vertical-ideographic" inset="0,0,0,0">
                  <w:txbxContent>
                    <w:p w14:paraId="6E890D34" w14:textId="77777777" w:rsidR="006A5267" w:rsidRPr="00A8725A" w:rsidRDefault="006A5267" w:rsidP="005D372A">
                      <w:pPr>
                        <w:spacing w:line="240" w:lineRule="exact"/>
                        <w:jc w:val="center"/>
                        <w:rPr>
                          <w:color w:val="000000" w:themeColor="text1"/>
                          <w:sz w:val="16"/>
                          <w:szCs w:val="16"/>
                        </w:rPr>
                      </w:pPr>
                      <w:r>
                        <w:rPr>
                          <w:rFonts w:hint="eastAsia"/>
                          <w:color w:val="000000" w:themeColor="text1"/>
                          <w:sz w:val="16"/>
                          <w:szCs w:val="16"/>
                        </w:rPr>
                        <w:t>（府民センタービル内）</w:t>
                      </w:r>
                    </w:p>
                  </w:txbxContent>
                </v:textbox>
              </v:rect>
            </w:pict>
          </mc:Fallback>
        </mc:AlternateContent>
      </w:r>
      <w:r w:rsidRPr="001D6D10">
        <w:rPr>
          <w:noProof/>
        </w:rPr>
        <mc:AlternateContent>
          <mc:Choice Requires="wps">
            <w:drawing>
              <wp:anchor distT="0" distB="0" distL="114300" distR="114300" simplePos="0" relativeHeight="253009920" behindDoc="0" locked="0" layoutInCell="1" allowOverlap="1" wp14:anchorId="0A46C60C" wp14:editId="0445CF74">
                <wp:simplePos x="0" y="0"/>
                <wp:positionH relativeFrom="column">
                  <wp:posOffset>3272993</wp:posOffset>
                </wp:positionH>
                <wp:positionV relativeFrom="paragraph">
                  <wp:posOffset>1064436</wp:posOffset>
                </wp:positionV>
                <wp:extent cx="2503805" cy="2449830"/>
                <wp:effectExtent l="7938" t="0" r="18732" b="18733"/>
                <wp:wrapNone/>
                <wp:docPr id="4878" name="大かっこ 4878"/>
                <wp:cNvGraphicFramePr/>
                <a:graphic xmlns:a="http://schemas.openxmlformats.org/drawingml/2006/main">
                  <a:graphicData uri="http://schemas.microsoft.com/office/word/2010/wordprocessingShape">
                    <wps:wsp>
                      <wps:cNvSpPr/>
                      <wps:spPr>
                        <a:xfrm rot="5400000">
                          <a:off x="0" y="0"/>
                          <a:ext cx="2503805" cy="2449830"/>
                        </a:xfrm>
                        <a:prstGeom prst="bracketPair">
                          <a:avLst>
                            <a:gd name="adj" fmla="val 5179"/>
                          </a:avLst>
                        </a:prstGeom>
                        <a:noFill/>
                        <a:ln w="6350"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shapetype w14:anchorId="1559240E" id="_x0000_t185" coordsize="21600,21600" o:spt="185" adj="3600" path="m@0,nfqx0@0l0@2qy@0,21600em@1,nfqx21600@0l21600@2qy@1,21600em@0,nsqx0@0l0@2qy@0,21600l@1,21600qx21600@2l21600@0qy@1,xe" filled="f">
                <v:formulas>
                  <v:f eqn="val #0"/>
                  <v:f eqn="sum width 0 #0"/>
                  <v:f eqn="sum height 0 #0"/>
                  <v:f eqn="prod @0 2929 10000"/>
                  <v:f eqn="sum width 0 @3"/>
                  <v:f eqn="sum height 0 @3"/>
                  <v:f eqn="val width"/>
                  <v:f eqn="val height"/>
                  <v:f eqn="prod width 1 2"/>
                  <v:f eqn="prod height 1 2"/>
                </v:formulas>
                <v:path o:extrusionok="f" gradientshapeok="t" limo="10800,10800" o:connecttype="custom" o:connectlocs="@8,0;0,@9;@8,@7;@6,@9" textboxrect="@3,@3,@4,@5"/>
                <v:handles>
                  <v:h position="#0,topLeft" switch="" xrange="0,10800"/>
                </v:handles>
              </v:shapetype>
              <v:shape id="大かっこ 4878" o:spid="_x0000_s1026" type="#_x0000_t185" style="position:absolute;left:0;text-align:left;margin-left:257.7pt;margin-top:83.8pt;width:197.15pt;height:192.9pt;rotation:90;z-index:2530099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" adj="1119" strokecolor="windowText" strokeweight=".5pt"/>
            </w:pict>
          </mc:Fallback>
        </mc:AlternateContent>
      </w:r>
    </w:p>
    <w:p w14:paraId="5AF162EE" w14:textId="77777777" w:rsidR="005D372A" w:rsidRPr="001D6D10" w:rsidRDefault="005D372A" w:rsidP="005D372A"/>
    <w:p w14:paraId="796D2078" w14:textId="77777777" w:rsidR="005D372A" w:rsidRPr="001D6D10" w:rsidRDefault="005D372A" w:rsidP="005D372A"/>
    <w:p w14:paraId="6A839DE4" w14:textId="77777777" w:rsidR="005D372A" w:rsidRPr="001D6D10" w:rsidRDefault="005D372A" w:rsidP="005D372A">
      <w:r w:rsidRPr="001D6D10">
        <w:rPr>
          <w:noProof/>
        </w:rPr>
        <mc:AlternateContent>
          <mc:Choice Requires="wps">
            <w:drawing>
              <wp:anchor distT="0" distB="0" distL="114300" distR="114300" simplePos="0" relativeHeight="252999680" behindDoc="0" locked="0" layoutInCell="1" allowOverlap="1" wp14:anchorId="1FB8E71F" wp14:editId="05344553">
                <wp:simplePos x="0" y="0"/>
                <wp:positionH relativeFrom="column">
                  <wp:posOffset>2864485</wp:posOffset>
                </wp:positionH>
                <wp:positionV relativeFrom="paragraph">
                  <wp:posOffset>5715</wp:posOffset>
                </wp:positionV>
                <wp:extent cx="2866390" cy="6458585"/>
                <wp:effectExtent l="0" t="0" r="10160" b="18415"/>
                <wp:wrapNone/>
                <wp:docPr id="222" name="正方形/長方形 222"/>
                <wp:cNvGraphicFramePr/>
                <a:graphic xmlns:a="http://schemas.openxmlformats.org/drawingml/2006/main">
                  <a:graphicData uri="http://schemas.microsoft.com/office/word/2010/wordprocessingShape">
                    <wps:wsp>
                      <wps:cNvSpPr/>
                      <wps:spPr>
                        <a:xfrm>
                          <a:off x="0" y="0"/>
                          <a:ext cx="2866390" cy="6458585"/>
                        </a:xfrm>
                        <a:prstGeom prst="rect">
                          <a:avLst/>
                        </a:prstGeom>
                        <a:solidFill>
                          <a:sysClr val="window" lastClr="FFFFFF"/>
                        </a:solidFill>
                        <a:ln w="9525" cap="flat" cmpd="sng" algn="ctr">
                          <a:solidFill>
                            <a:sysClr val="windowText" lastClr="000000"/>
                          </a:solidFill>
                          <a:prstDash val="lgDashDot"/>
                        </a:ln>
                        <a:effectLst/>
                      </wps:spPr>
                      <wps:bodyPr rot="0" spcFirstLastPara="0" vertOverflow="overflow" horzOverflow="overflow" vert="horz" wrap="square" lIns="0" tIns="0" rIns="0" bIns="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rect w14:anchorId="4AA3B2AF" id="正方形/長方形 222" o:spid="_x0000_s1026" style="position:absolute;left:0;text-align:left;margin-left:225.55pt;margin-top:.45pt;width:225.7pt;height:508.55pt;z-index:252999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" fillcolor="window" strokecolor="windowText">
                <v:stroke dashstyle="longDashDot"/>
                <v:textbox inset="0,0,0,0"/>
              </v:rect>
            </w:pict>
          </mc:Fallback>
        </mc:AlternateContent>
      </w:r>
      <w:r w:rsidRPr="001D6D10">
        <w:rPr>
          <w:noProof/>
        </w:rPr>
        <mc:AlternateContent>
          <mc:Choice Requires="wps">
            <w:drawing>
              <wp:anchor distT="0" distB="0" distL="114300" distR="114300" simplePos="0" relativeHeight="253001728" behindDoc="0" locked="0" layoutInCell="1" allowOverlap="1" wp14:anchorId="4B186EF9" wp14:editId="41542CC3">
                <wp:simplePos x="0" y="0"/>
                <wp:positionH relativeFrom="column">
                  <wp:posOffset>1118235</wp:posOffset>
                </wp:positionH>
                <wp:positionV relativeFrom="paragraph">
                  <wp:posOffset>181610</wp:posOffset>
                </wp:positionV>
                <wp:extent cx="0" cy="3092450"/>
                <wp:effectExtent l="19050" t="0" r="19050" b="12700"/>
                <wp:wrapNone/>
                <wp:docPr id="4877" name="直線コネクタ 4877"/>
                <wp:cNvGraphicFramePr/>
                <a:graphic xmlns:a="http://schemas.openxmlformats.org/drawingml/2006/main">
                  <a:graphicData uri="http://schemas.microsoft.com/office/word/2010/wordprocessingShape">
                    <wps:wsp>
                      <wps:cNvCnPr/>
                      <wps:spPr>
                        <a:xfrm>
                          <a:off x="0" y="0"/>
                          <a:ext cx="0" cy="3092450"/>
                        </a:xfrm>
                        <a:prstGeom prst="line">
                          <a:avLst/>
                        </a:prstGeom>
                        <a:noFill/>
                        <a:ln w="38100" cap="flat" cmpd="dbl" algn="ctr">
                          <a:solidFill>
                            <a:sysClr val="windowText" lastClr="000000"/>
                          </a:solidFill>
                          <a:prstDash val="solid"/>
                        </a:ln>
                        <a:effectLst/>
                      </wps:spPr>
                      <wps:bodyPr/>
                    </wps:wsp>
                  </a:graphicData>
                </a:graphic>
                <wp14:sizeRelV relativeFrom="margin">
                  <wp14:pctHeight>0</wp14:pctHeight>
                </wp14:sizeRelV>
              </wp:anchor>
            </w:drawing>
          </mc:Choice>
          <mc:Fallback xmlns:w16cei="http://schemas.microsoft.com/office/word/2026/wordml/cei">
            <w:pict>
              <v:line w14:anchorId="48A7D757" id="直線コネクタ 4877" o:spid="_x0000_s1026" style="position:absolute;left:0;text-align:left;z-index:25300172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88.05pt,14.3pt" to="88.05pt,257.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" strokecolor="windowText" strokeweight="3pt">
                <v:stroke linestyle="thinThin"/>
              </v:line>
            </w:pict>
          </mc:Fallback>
        </mc:AlternateContent>
      </w:r>
    </w:p>
    <w:p w14:paraId="564D2F3C" w14:textId="77777777" w:rsidR="005D372A" w:rsidRPr="001D6D10" w:rsidRDefault="006C53EA" w:rsidP="005D372A">
      <w:r w:rsidRPr="001D6D10">
        <w:rPr>
          <w:noProof/>
        </w:rPr>
        <mc:AlternateContent>
          <mc:Choice Requires="wpg">
            <w:drawing>
              <wp:anchor distT="0" distB="0" distL="114300" distR="114300" simplePos="0" relativeHeight="253007872" behindDoc="0" locked="0" layoutInCell="1" allowOverlap="1" wp14:anchorId="00C3ABD8" wp14:editId="554603BD">
                <wp:simplePos x="0" y="0"/>
                <wp:positionH relativeFrom="column">
                  <wp:posOffset>3345335</wp:posOffset>
                </wp:positionH>
                <wp:positionV relativeFrom="paragraph">
                  <wp:posOffset>201415</wp:posOffset>
                </wp:positionV>
                <wp:extent cx="2273935" cy="2362200"/>
                <wp:effectExtent l="0" t="6032" r="25082" b="25083"/>
                <wp:wrapNone/>
                <wp:docPr id="4879" name="グループ化 4879"/>
                <wp:cNvGraphicFramePr/>
                <a:graphic xmlns:a="http://schemas.openxmlformats.org/drawingml/2006/main">
                  <a:graphicData uri="http://schemas.microsoft.com/office/word/2010/wordprocessingGroup">
                    <wpg:wgp>
                      <wpg:cNvGrpSpPr/>
                      <wpg:grpSpPr>
                        <a:xfrm rot="16200000">
                          <a:off x="0" y="0"/>
                          <a:ext cx="2273935" cy="2362200"/>
                          <a:chOff x="0" y="0"/>
                          <a:chExt cx="2273935" cy="2362856"/>
                        </a:xfrm>
                      </wpg:grpSpPr>
                      <wps:wsp>
                        <wps:cNvPr id="4880" name="正方形/長方形 4880"/>
                        <wps:cNvSpPr/>
                        <wps:spPr>
                          <a:xfrm>
                            <a:off x="0" y="119271"/>
                            <a:ext cx="2273935" cy="2243585"/>
                          </a:xfrm>
                          <a:prstGeom prst="rect">
                            <a:avLst/>
                          </a:prstGeom>
                          <a:solidFill>
                            <a:sysClr val="window" lastClr="FFFFFF"/>
                          </a:solidFill>
                          <a:ln w="6350" cap="flat" cmpd="sng" algn="ctr">
                            <a:solidFill>
                              <a:sysClr val="windowText" lastClr="000000"/>
                            </a:solidFill>
                            <a:prstDash val="dash"/>
                          </a:ln>
                          <a:effectLst/>
                        </wps:spPr>
                        <wps:bodyPr rot="0" spcFirstLastPara="0" vertOverflow="overflow" horzOverflow="overflow" vert="horz" wrap="square" lIns="0" tIns="0" rIns="0" bIns="0" numCol="1" spcCol="0" rtlCol="0" fromWordArt="0" anchor="ctr" anchorCtr="0" forceAA="0" compatLnSpc="1">
                          <a:prstTxWarp prst="textNoShape">
                            <a:avLst/>
                          </a:prstTxWarp>
                          <a:noAutofit/>
                        </wps:bodyPr>
                      </wps:wsp>
                      <wpg:grpSp>
                        <wpg:cNvPr id="4881" name="グループ化 4881"/>
                        <wpg:cNvGrpSpPr/>
                        <wpg:grpSpPr>
                          <a:xfrm>
                            <a:off x="159023" y="333955"/>
                            <a:ext cx="1963420" cy="1932110"/>
                            <a:chOff x="-3" y="0"/>
                            <a:chExt cx="1963420" cy="1932288"/>
                          </a:xfrm>
                        </wpg:grpSpPr>
                        <wps:wsp>
                          <wps:cNvPr id="4882" name="直線コネクタ 4882"/>
                          <wps:cNvCnPr/>
                          <wps:spPr>
                            <a:xfrm rot="5400000">
                              <a:off x="119105" y="914564"/>
                              <a:ext cx="1717809" cy="0"/>
                            </a:xfrm>
                            <a:prstGeom prst="line">
                              <a:avLst/>
                            </a:prstGeom>
                            <a:noFill/>
                            <a:ln w="9525" cap="flat" cmpd="sng" algn="ctr">
                              <a:solidFill>
                                <a:sysClr val="windowText" lastClr="000000"/>
                              </a:solidFill>
                              <a:prstDash val="solid"/>
                            </a:ln>
                            <a:effectLst/>
                          </wps:spPr>
                          <wps:bodyPr/>
                        </wps:wsp>
                        <wps:wsp>
                          <wps:cNvPr id="4883" name="正方形/長方形 4883"/>
                          <wps:cNvSpPr/>
                          <wps:spPr>
                            <a:xfrm>
                              <a:off x="103367" y="0"/>
                              <a:ext cx="1748155" cy="467360"/>
                            </a:xfrm>
                            <a:prstGeom prst="rect">
                              <a:avLst/>
                            </a:prstGeom>
                            <a:solidFill>
                              <a:sysClr val="window" lastClr="FFFFFF"/>
                            </a:solidFill>
                            <a:ln w="9525" cap="flat" cmpd="sng" algn="ctr">
                              <a:solidFill>
                                <a:sysClr val="windowText" lastClr="000000"/>
                              </a:solidFill>
                              <a:prstDash val="solid"/>
                            </a:ln>
                            <a:effectLst/>
                          </wps:spPr>
                          <wps:txbx>
                            <w:txbxContent>
                              <w:p w14:paraId="2E59D37E" w14:textId="77777777" w:rsidR="006A5267" w:rsidRPr="0049553C" w:rsidRDefault="006A5267" w:rsidP="005D372A">
                                <w:pPr>
                                  <w:spacing w:line="240" w:lineRule="exact"/>
                                  <w:jc w:val="center"/>
                                  <w:rPr>
                                    <w:rFonts w:asciiTheme="majorEastAsia" w:eastAsiaTheme="majorEastAsia" w:hAnsiTheme="majorEastAsia"/>
                                    <w:color w:val="000000" w:themeColor="text1"/>
                                    <w:sz w:val="16"/>
                                    <w:szCs w:val="16"/>
                                  </w:rPr>
                                </w:pPr>
                                <w:r w:rsidRPr="0049553C">
                                  <w:rPr>
                                    <w:rFonts w:asciiTheme="majorEastAsia" w:eastAsiaTheme="majorEastAsia" w:hAnsiTheme="majorEastAsia" w:hint="eastAsia"/>
                                    <w:color w:val="000000" w:themeColor="text1"/>
                                    <w:sz w:val="16"/>
                                    <w:szCs w:val="16"/>
                                  </w:rPr>
                                  <w:t>本部長</w:t>
                                </w:r>
                              </w:p>
                              <w:p w14:paraId="4713446B" w14:textId="77777777" w:rsidR="006A5267" w:rsidRPr="00A8725A" w:rsidRDefault="006A5267" w:rsidP="005D372A">
                                <w:pPr>
                                  <w:spacing w:line="240" w:lineRule="exact"/>
                                  <w:jc w:val="center"/>
                                  <w:rPr>
                                    <w:color w:val="000000" w:themeColor="text1"/>
                                    <w:sz w:val="16"/>
                                    <w:szCs w:val="16"/>
                                  </w:rPr>
                                </w:pPr>
                                <w:r>
                                  <w:rPr>
                                    <w:rFonts w:hint="eastAsia"/>
                                    <w:color w:val="000000" w:themeColor="text1"/>
                                    <w:sz w:val="16"/>
                                    <w:szCs w:val="16"/>
                                  </w:rPr>
                                  <w:t>（災害対策本部長が指名する者</w:t>
                                </w:r>
                                <w:r w:rsidRPr="00A8725A">
                                  <w:rPr>
                                    <w:rFonts w:hint="eastAsia"/>
                                    <w:color w:val="000000" w:themeColor="text1"/>
                                    <w:sz w:val="16"/>
                                    <w:szCs w:val="16"/>
                                  </w:rPr>
                                  <w:t>）</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wps:wsp>
                          <wps:cNvPr id="4884" name="正方形/長方形 4884"/>
                          <wps:cNvSpPr/>
                          <wps:spPr>
                            <a:xfrm>
                              <a:off x="103367" y="532362"/>
                              <a:ext cx="1748155" cy="467360"/>
                            </a:xfrm>
                            <a:prstGeom prst="rect">
                              <a:avLst/>
                            </a:prstGeom>
                            <a:solidFill>
                              <a:sysClr val="window" lastClr="FFFFFF"/>
                            </a:solidFill>
                            <a:ln w="9525" cap="flat" cmpd="sng" algn="ctr">
                              <a:solidFill>
                                <a:sysClr val="windowText" lastClr="000000"/>
                              </a:solidFill>
                              <a:prstDash val="solid"/>
                            </a:ln>
                            <a:effectLst/>
                          </wps:spPr>
                          <wps:txbx>
                            <w:txbxContent>
                              <w:p w14:paraId="7F253134" w14:textId="77777777" w:rsidR="006A5267" w:rsidRPr="0049553C" w:rsidRDefault="006A5267" w:rsidP="005D372A">
                                <w:pPr>
                                  <w:spacing w:line="240" w:lineRule="exact"/>
                                  <w:jc w:val="center"/>
                                  <w:rPr>
                                    <w:rFonts w:asciiTheme="majorEastAsia" w:eastAsiaTheme="majorEastAsia" w:hAnsiTheme="majorEastAsia"/>
                                    <w:color w:val="000000" w:themeColor="text1"/>
                                    <w:sz w:val="16"/>
                                    <w:szCs w:val="16"/>
                                  </w:rPr>
                                </w:pPr>
                                <w:r w:rsidRPr="0049553C">
                                  <w:rPr>
                                    <w:rFonts w:asciiTheme="majorEastAsia" w:eastAsiaTheme="majorEastAsia" w:hAnsiTheme="majorEastAsia" w:hint="eastAsia"/>
                                    <w:color w:val="000000" w:themeColor="text1"/>
                                    <w:sz w:val="16"/>
                                    <w:szCs w:val="16"/>
                                  </w:rPr>
                                  <w:t>副本部長</w:t>
                                </w:r>
                              </w:p>
                              <w:p w14:paraId="50DD8EF3" w14:textId="77777777" w:rsidR="006A5267" w:rsidRPr="00A8725A" w:rsidRDefault="006A5267" w:rsidP="005D372A">
                                <w:pPr>
                                  <w:spacing w:line="240" w:lineRule="exact"/>
                                  <w:jc w:val="center"/>
                                  <w:rPr>
                                    <w:color w:val="000000" w:themeColor="text1"/>
                                    <w:sz w:val="16"/>
                                    <w:szCs w:val="16"/>
                                  </w:rPr>
                                </w:pPr>
                                <w:r>
                                  <w:rPr>
                                    <w:rFonts w:hint="eastAsia"/>
                                    <w:color w:val="000000" w:themeColor="text1"/>
                                    <w:sz w:val="16"/>
                                    <w:szCs w:val="16"/>
                                  </w:rPr>
                                  <w:t>（災害対策本部長が指名する者</w:t>
                                </w:r>
                                <w:r w:rsidRPr="00A8725A">
                                  <w:rPr>
                                    <w:rFonts w:hint="eastAsia"/>
                                    <w:color w:val="000000" w:themeColor="text1"/>
                                    <w:sz w:val="16"/>
                                    <w:szCs w:val="16"/>
                                  </w:rPr>
                                  <w:t>）</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wps:wsp>
                          <wps:cNvPr id="4885" name="正方形/長方形 4885"/>
                          <wps:cNvSpPr/>
                          <wps:spPr>
                            <a:xfrm>
                              <a:off x="-3" y="1074999"/>
                              <a:ext cx="1963420" cy="857289"/>
                            </a:xfrm>
                            <a:prstGeom prst="rect">
                              <a:avLst/>
                            </a:prstGeom>
                            <a:solidFill>
                              <a:sysClr val="window" lastClr="FFFFFF"/>
                            </a:solidFill>
                            <a:ln w="9525" cap="flat" cmpd="sng" algn="ctr">
                              <a:solidFill>
                                <a:sysClr val="windowText" lastClr="000000"/>
                              </a:solidFill>
                              <a:prstDash val="solid"/>
                            </a:ln>
                            <a:effectLst/>
                          </wps:spPr>
                          <wps:txbx>
                            <w:txbxContent>
                              <w:p w14:paraId="517718ED" w14:textId="77777777" w:rsidR="006A5267" w:rsidRPr="004B567F" w:rsidRDefault="006A5267" w:rsidP="005D372A">
                                <w:pPr>
                                  <w:spacing w:line="240" w:lineRule="exact"/>
                                  <w:jc w:val="center"/>
                                  <w:rPr>
                                    <w:rFonts w:asciiTheme="majorEastAsia" w:eastAsiaTheme="majorEastAsia" w:hAnsiTheme="majorEastAsia"/>
                                    <w:sz w:val="16"/>
                                    <w:szCs w:val="16"/>
                                  </w:rPr>
                                </w:pPr>
                                <w:r w:rsidRPr="004B567F">
                                  <w:rPr>
                                    <w:rFonts w:asciiTheme="majorEastAsia" w:eastAsiaTheme="majorEastAsia" w:hAnsiTheme="majorEastAsia" w:hint="eastAsia"/>
                                    <w:sz w:val="16"/>
                                    <w:szCs w:val="16"/>
                                  </w:rPr>
                                  <w:t>本部員</w:t>
                                </w:r>
                              </w:p>
                              <w:p w14:paraId="61042538" w14:textId="4BE3AAB7" w:rsidR="006A5267" w:rsidRPr="004B567F" w:rsidRDefault="006A5267" w:rsidP="00091DC6">
                                <w:pPr>
                                  <w:spacing w:line="240" w:lineRule="exact"/>
                                  <w:jc w:val="center"/>
                                  <w:rPr>
                                    <w:sz w:val="16"/>
                                    <w:szCs w:val="16"/>
                                  </w:rPr>
                                </w:pPr>
                                <w:r w:rsidRPr="004B567F">
                                  <w:rPr>
                                    <w:rFonts w:hint="eastAsia"/>
                                    <w:sz w:val="16"/>
                                    <w:szCs w:val="16"/>
                                  </w:rPr>
                                  <w:t>（地域防災監、土木事務所</w:t>
                                </w:r>
                                <w:r w:rsidRPr="004B567F">
                                  <w:rPr>
                                    <w:sz w:val="16"/>
                                    <w:szCs w:val="16"/>
                                  </w:rPr>
                                  <w:br/>
                                </w:r>
                                <w:r w:rsidRPr="004B567F">
                                  <w:rPr>
                                    <w:rFonts w:hint="eastAsia"/>
                                    <w:sz w:val="16"/>
                                    <w:szCs w:val="16"/>
                                  </w:rPr>
                                  <w:t>所管区域出先機関の長）</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wpg:grpSp>
                      <wps:wsp>
                        <wps:cNvPr id="4886" name="正方形/長方形 4886"/>
                        <wps:cNvSpPr/>
                        <wps:spPr>
                          <a:xfrm>
                            <a:off x="644055" y="0"/>
                            <a:ext cx="985520" cy="230505"/>
                          </a:xfrm>
                          <a:prstGeom prst="rect">
                            <a:avLst/>
                          </a:prstGeom>
                          <a:solidFill>
                            <a:sysClr val="window" lastClr="FFFFFF"/>
                          </a:solidFill>
                          <a:ln w="9525" cap="flat" cmpd="sng" algn="ctr">
                            <a:noFill/>
                            <a:prstDash val="solid"/>
                          </a:ln>
                          <a:effectLst/>
                        </wps:spPr>
                        <wps:txbx>
                          <w:txbxContent>
                            <w:p w14:paraId="74685801" w14:textId="77777777" w:rsidR="006A5267" w:rsidRPr="0049553C" w:rsidRDefault="006A5267" w:rsidP="005D372A">
                              <w:pPr>
                                <w:spacing w:line="240" w:lineRule="exact"/>
                                <w:jc w:val="center"/>
                                <w:rPr>
                                  <w:rFonts w:asciiTheme="majorEastAsia" w:eastAsiaTheme="majorEastAsia" w:hAnsiTheme="majorEastAsia"/>
                                  <w:color w:val="000000" w:themeColor="text1"/>
                                  <w:sz w:val="16"/>
                                  <w:szCs w:val="16"/>
                                </w:rPr>
                              </w:pPr>
                              <w:r w:rsidRPr="0049553C">
                                <w:rPr>
                                  <w:rFonts w:asciiTheme="majorEastAsia" w:eastAsiaTheme="majorEastAsia" w:hAnsiTheme="majorEastAsia" w:hint="eastAsia"/>
                                  <w:color w:val="000000" w:themeColor="text1"/>
                                  <w:sz w:val="16"/>
                                  <w:szCs w:val="16"/>
                                </w:rPr>
                                <w:t>現地災害対策本部</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wpg:wgp>
                  </a:graphicData>
                </a:graphic>
                <wp14:sizeRelV relativeFrom="margin">
                  <wp14:pctHeight>0</wp14:pctHeight>
                </wp14:sizeRelV>
              </wp:anchor>
            </w:drawing>
          </mc:Choice>
          <mc:Fallback xmlns:w16cei="http://schemas.microsoft.com/office/word/2026/wordml/cei">
            <w:pict>
              <v:group w14:anchorId="00C3ABD8" id="グループ化 4879" o:spid="_x0000_s1188" style="position:absolute;left:0;text-align:left;margin-left:263.4pt;margin-top:15.85pt;width:179.05pt;height:186pt;rotation:-90;z-index:253007872;mso-height-relative:margin" coordsize="22739,2362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">
                <v:rect id="正方形/長方形 4880" o:spid="_x0000_s1189" style="position:absolute;top:1192;width:22739;height:2243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" fillcolor="window" strokecolor="windowText" strokeweight=".5pt">
                  <v:stroke dashstyle="dash"/>
                  <v:textbox inset="0,0,0,0"/>
                </v:rect>
                <v:group id="グループ化 4881" o:spid="_x0000_s1190" style="position:absolute;left:1590;top:3339;width:19634;height:19321" coordorigin="" coordsize="19634,1932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">
                  <v:line id="直線コネクタ 4882" o:spid="_x0000_s1191" style="position:absolute;rotation:90;visibility:visible;mso-wrap-style:square" from="1191,9145" to="18369,914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" strokecolor="windowText"/>
                  <v:rect id="正方形/長方形 4883" o:spid="_x0000_s1192" style="position:absolute;left:1033;width:17482;height:467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" fillcolor="window" strokecolor="windowText">
                    <v:textbox inset="0,0,0,0">
                      <w:txbxContent>
                        <w:p w14:paraId="2E59D37E" w14:textId="77777777" w:rsidR="006A5267" w:rsidRPr="0049553C" w:rsidRDefault="006A5267" w:rsidP="005D372A">
                          <w:pPr>
                            <w:spacing w:line="240" w:lineRule="exact"/>
                            <w:jc w:val="center"/>
                            <w:rPr>
                              <w:rFonts w:asciiTheme="majorEastAsia" w:eastAsiaTheme="majorEastAsia" w:hAnsiTheme="majorEastAsia"/>
                              <w:color w:val="000000" w:themeColor="text1"/>
                              <w:sz w:val="16"/>
                              <w:szCs w:val="16"/>
                            </w:rPr>
                          </w:pPr>
                          <w:r w:rsidRPr="0049553C">
                            <w:rPr>
                              <w:rFonts w:asciiTheme="majorEastAsia" w:eastAsiaTheme="majorEastAsia" w:hAnsiTheme="majorEastAsia" w:hint="eastAsia"/>
                              <w:color w:val="000000" w:themeColor="text1"/>
                              <w:sz w:val="16"/>
                              <w:szCs w:val="16"/>
                            </w:rPr>
                            <w:t>本部長</w:t>
                          </w:r>
                        </w:p>
                        <w:p w14:paraId="4713446B" w14:textId="77777777" w:rsidR="006A5267" w:rsidRPr="00A8725A" w:rsidRDefault="006A5267" w:rsidP="005D372A">
                          <w:pPr>
                            <w:spacing w:line="240" w:lineRule="exact"/>
                            <w:jc w:val="center"/>
                            <w:rPr>
                              <w:color w:val="000000" w:themeColor="text1"/>
                              <w:sz w:val="16"/>
                              <w:szCs w:val="16"/>
                            </w:rPr>
                          </w:pPr>
                          <w:r>
                            <w:rPr>
                              <w:rFonts w:hint="eastAsia"/>
                              <w:color w:val="000000" w:themeColor="text1"/>
                              <w:sz w:val="16"/>
                              <w:szCs w:val="16"/>
                            </w:rPr>
                            <w:t>（災害対策本部長が指名する者</w:t>
                          </w:r>
                          <w:r w:rsidRPr="00A8725A">
                            <w:rPr>
                              <w:rFonts w:hint="eastAsia"/>
                              <w:color w:val="000000" w:themeColor="text1"/>
                              <w:sz w:val="16"/>
                              <w:szCs w:val="16"/>
                            </w:rPr>
                            <w:t>）</w:t>
                          </w:r>
                        </w:p>
                      </w:txbxContent>
                    </v:textbox>
                  </v:rect>
                  <v:rect id="正方形/長方形 4884" o:spid="_x0000_s1193" style="position:absolute;left:1033;top:5323;width:17482;height:467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" fillcolor="window" strokecolor="windowText">
                    <v:textbox inset="0,0,0,0">
                      <w:txbxContent>
                        <w:p w14:paraId="7F253134" w14:textId="77777777" w:rsidR="006A5267" w:rsidRPr="0049553C" w:rsidRDefault="006A5267" w:rsidP="005D372A">
                          <w:pPr>
                            <w:spacing w:line="240" w:lineRule="exact"/>
                            <w:jc w:val="center"/>
                            <w:rPr>
                              <w:rFonts w:asciiTheme="majorEastAsia" w:eastAsiaTheme="majorEastAsia" w:hAnsiTheme="majorEastAsia"/>
                              <w:color w:val="000000" w:themeColor="text1"/>
                              <w:sz w:val="16"/>
                              <w:szCs w:val="16"/>
                            </w:rPr>
                          </w:pPr>
                          <w:r w:rsidRPr="0049553C">
                            <w:rPr>
                              <w:rFonts w:asciiTheme="majorEastAsia" w:eastAsiaTheme="majorEastAsia" w:hAnsiTheme="majorEastAsia" w:hint="eastAsia"/>
                              <w:color w:val="000000" w:themeColor="text1"/>
                              <w:sz w:val="16"/>
                              <w:szCs w:val="16"/>
                            </w:rPr>
                            <w:t>副本部長</w:t>
                          </w:r>
                        </w:p>
                        <w:p w14:paraId="50DD8EF3" w14:textId="77777777" w:rsidR="006A5267" w:rsidRPr="00A8725A" w:rsidRDefault="006A5267" w:rsidP="005D372A">
                          <w:pPr>
                            <w:spacing w:line="240" w:lineRule="exact"/>
                            <w:jc w:val="center"/>
                            <w:rPr>
                              <w:color w:val="000000" w:themeColor="text1"/>
                              <w:sz w:val="16"/>
                              <w:szCs w:val="16"/>
                            </w:rPr>
                          </w:pPr>
                          <w:r>
                            <w:rPr>
                              <w:rFonts w:hint="eastAsia"/>
                              <w:color w:val="000000" w:themeColor="text1"/>
                              <w:sz w:val="16"/>
                              <w:szCs w:val="16"/>
                            </w:rPr>
                            <w:t>（災害対策本部長が指名する者</w:t>
                          </w:r>
                          <w:r w:rsidRPr="00A8725A">
                            <w:rPr>
                              <w:rFonts w:hint="eastAsia"/>
                              <w:color w:val="000000" w:themeColor="text1"/>
                              <w:sz w:val="16"/>
                              <w:szCs w:val="16"/>
                            </w:rPr>
                            <w:t>）</w:t>
                          </w:r>
                        </w:p>
                      </w:txbxContent>
                    </v:textbox>
                  </v:rect>
                  <v:rect id="正方形/長方形 4885" o:spid="_x0000_s1194" style="position:absolute;top:10749;width:19634;height:857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" fillcolor="window" strokecolor="windowText">
                    <v:textbox inset="0,0,0,0">
                      <w:txbxContent>
                        <w:p w14:paraId="517718ED" w14:textId="77777777" w:rsidR="006A5267" w:rsidRPr="004B567F" w:rsidRDefault="006A5267" w:rsidP="005D372A">
                          <w:pPr>
                            <w:spacing w:line="240" w:lineRule="exact"/>
                            <w:jc w:val="center"/>
                            <w:rPr>
                              <w:rFonts w:asciiTheme="majorEastAsia" w:eastAsiaTheme="majorEastAsia" w:hAnsiTheme="majorEastAsia"/>
                              <w:sz w:val="16"/>
                              <w:szCs w:val="16"/>
                            </w:rPr>
                          </w:pPr>
                          <w:r w:rsidRPr="004B567F">
                            <w:rPr>
                              <w:rFonts w:asciiTheme="majorEastAsia" w:eastAsiaTheme="majorEastAsia" w:hAnsiTheme="majorEastAsia" w:hint="eastAsia"/>
                              <w:sz w:val="16"/>
                              <w:szCs w:val="16"/>
                            </w:rPr>
                            <w:t>本部員</w:t>
                          </w:r>
                        </w:p>
                        <w:p w14:paraId="61042538" w14:textId="4BE3AAB7" w:rsidR="006A5267" w:rsidRPr="004B567F" w:rsidRDefault="006A5267" w:rsidP="00091DC6">
                          <w:pPr>
                            <w:spacing w:line="240" w:lineRule="exact"/>
                            <w:jc w:val="center"/>
                            <w:rPr>
                              <w:sz w:val="16"/>
                              <w:szCs w:val="16"/>
                            </w:rPr>
                          </w:pPr>
                          <w:r w:rsidRPr="004B567F">
                            <w:rPr>
                              <w:rFonts w:hint="eastAsia"/>
                              <w:sz w:val="16"/>
                              <w:szCs w:val="16"/>
                            </w:rPr>
                            <w:t>（地域防災監、土木事務所</w:t>
                          </w:r>
                          <w:r w:rsidRPr="004B567F">
                            <w:rPr>
                              <w:sz w:val="16"/>
                              <w:szCs w:val="16"/>
                            </w:rPr>
                            <w:br/>
                          </w:r>
                          <w:r w:rsidRPr="004B567F">
                            <w:rPr>
                              <w:rFonts w:hint="eastAsia"/>
                              <w:sz w:val="16"/>
                              <w:szCs w:val="16"/>
                            </w:rPr>
                            <w:t>所管区域出先機関の長）</w:t>
                          </w:r>
                        </w:p>
                      </w:txbxContent>
                    </v:textbox>
                  </v:rect>
                </v:group>
                <v:rect id="正方形/長方形 4886" o:spid="_x0000_s1195" style="position:absolute;left:6440;width:9855;height:230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" fillcolor="window" stroked="f">
                  <v:textbox inset="0,0,0,0">
                    <w:txbxContent>
                      <w:p w14:paraId="74685801" w14:textId="77777777" w:rsidR="006A5267" w:rsidRPr="0049553C" w:rsidRDefault="006A5267" w:rsidP="005D372A">
                        <w:pPr>
                          <w:spacing w:line="240" w:lineRule="exact"/>
                          <w:jc w:val="center"/>
                          <w:rPr>
                            <w:rFonts w:asciiTheme="majorEastAsia" w:eastAsiaTheme="majorEastAsia" w:hAnsiTheme="majorEastAsia"/>
                            <w:color w:val="000000" w:themeColor="text1"/>
                            <w:sz w:val="16"/>
                            <w:szCs w:val="16"/>
                          </w:rPr>
                        </w:pPr>
                        <w:r w:rsidRPr="0049553C">
                          <w:rPr>
                            <w:rFonts w:asciiTheme="majorEastAsia" w:eastAsiaTheme="majorEastAsia" w:hAnsiTheme="majorEastAsia" w:hint="eastAsia"/>
                            <w:color w:val="000000" w:themeColor="text1"/>
                            <w:sz w:val="16"/>
                            <w:szCs w:val="16"/>
                          </w:rPr>
                          <w:t>現地災害対策本部</w:t>
                        </w:r>
                      </w:p>
                    </w:txbxContent>
                  </v:textbox>
                </v:rect>
              </v:group>
            </w:pict>
          </mc:Fallback>
        </mc:AlternateContent>
      </w:r>
      <w:r w:rsidR="005D372A" w:rsidRPr="001D6D10">
        <w:rPr>
          <w:rFonts w:hint="eastAsia"/>
          <w:noProof/>
        </w:rPr>
        <mc:AlternateContent>
          <mc:Choice Requires="wpg">
            <w:drawing>
              <wp:anchor distT="0" distB="0" distL="114300" distR="114300" simplePos="0" relativeHeight="253004800" behindDoc="0" locked="0" layoutInCell="1" allowOverlap="1" wp14:anchorId="4FCE1BE3" wp14:editId="7A0A4DC3">
                <wp:simplePos x="0" y="0"/>
                <wp:positionH relativeFrom="column">
                  <wp:posOffset>77311</wp:posOffset>
                </wp:positionH>
                <wp:positionV relativeFrom="paragraph">
                  <wp:posOffset>130016</wp:posOffset>
                </wp:positionV>
                <wp:extent cx="2178050" cy="2613244"/>
                <wp:effectExtent l="11112" t="7938" r="23813" b="23812"/>
                <wp:wrapNone/>
                <wp:docPr id="4887" name="グループ化 4887"/>
                <wp:cNvGraphicFramePr/>
                <a:graphic xmlns:a="http://schemas.openxmlformats.org/drawingml/2006/main">
                  <a:graphicData uri="http://schemas.microsoft.com/office/word/2010/wordprocessingGroup">
                    <wpg:wgp>
                      <wpg:cNvGrpSpPr/>
                      <wpg:grpSpPr>
                        <a:xfrm rot="16200000">
                          <a:off x="0" y="0"/>
                          <a:ext cx="2178050" cy="2613244"/>
                          <a:chOff x="-127401" y="224957"/>
                          <a:chExt cx="3434963" cy="2409347"/>
                        </a:xfrm>
                      </wpg:grpSpPr>
                      <wps:wsp>
                        <wps:cNvPr id="4888" name="正方形/長方形 4888"/>
                        <wps:cNvSpPr/>
                        <wps:spPr>
                          <a:xfrm>
                            <a:off x="-127401" y="256864"/>
                            <a:ext cx="3434963" cy="2377440"/>
                          </a:xfrm>
                          <a:prstGeom prst="rect">
                            <a:avLst/>
                          </a:prstGeom>
                          <a:solidFill>
                            <a:sysClr val="window" lastClr="FFFFFF"/>
                          </a:solidFill>
                          <a:ln w="9525" cap="flat" cmpd="sng" algn="ctr">
                            <a:solidFill>
                              <a:sysClr val="windowText" lastClr="000000"/>
                            </a:solidFill>
                            <a:prstDash val="solid"/>
                          </a:ln>
                          <a:effectLst/>
                        </wps:spPr>
                        <wps:txbx>
                          <w:txbxContent>
                            <w:p w14:paraId="77AC46DA" w14:textId="77777777" w:rsidR="006A5267" w:rsidRPr="004B567F" w:rsidRDefault="006A5267" w:rsidP="005D372A">
                              <w:pPr>
                                <w:spacing w:line="240" w:lineRule="exact"/>
                                <w:ind w:firstLineChars="300" w:firstLine="483"/>
                                <w:rPr>
                                  <w:sz w:val="16"/>
                                  <w:szCs w:val="16"/>
                                </w:rPr>
                              </w:pPr>
                              <w:r w:rsidRPr="004B567F">
                                <w:rPr>
                                  <w:rFonts w:hint="eastAsia"/>
                                  <w:sz w:val="16"/>
                                  <w:szCs w:val="16"/>
                                </w:rPr>
                                <w:t>西日本電信電話株式会社関西支店</w:t>
                              </w:r>
                            </w:p>
                            <w:p w14:paraId="27271EDF" w14:textId="77777777" w:rsidR="006A5267" w:rsidRPr="004B567F" w:rsidRDefault="006A5267" w:rsidP="005D372A">
                              <w:pPr>
                                <w:spacing w:line="240" w:lineRule="exact"/>
                                <w:ind w:firstLineChars="300" w:firstLine="483"/>
                                <w:rPr>
                                  <w:sz w:val="16"/>
                                  <w:szCs w:val="16"/>
                                </w:rPr>
                              </w:pPr>
                              <w:r w:rsidRPr="004B567F">
                                <w:rPr>
                                  <w:rFonts w:hint="eastAsia"/>
                                  <w:sz w:val="16"/>
                                  <w:szCs w:val="16"/>
                                </w:rPr>
                                <w:t>大阪ガス株式会社</w:t>
                              </w:r>
                            </w:p>
                            <w:p w14:paraId="22D8064A" w14:textId="77777777" w:rsidR="006A5267" w:rsidRPr="004B567F" w:rsidRDefault="006A5267" w:rsidP="005D372A">
                              <w:pPr>
                                <w:spacing w:line="240" w:lineRule="exact"/>
                                <w:ind w:firstLineChars="300" w:firstLine="483"/>
                                <w:rPr>
                                  <w:sz w:val="16"/>
                                  <w:szCs w:val="16"/>
                                </w:rPr>
                              </w:pPr>
                              <w:r w:rsidRPr="004B567F">
                                <w:rPr>
                                  <w:rFonts w:hint="eastAsia"/>
                                  <w:sz w:val="16"/>
                                  <w:szCs w:val="16"/>
                                </w:rPr>
                                <w:t>関西電力送配電株式会社</w:t>
                              </w:r>
                            </w:p>
                            <w:p w14:paraId="5475FDFA" w14:textId="77777777" w:rsidR="006A5267" w:rsidRPr="004B567F" w:rsidRDefault="006A5267" w:rsidP="005D372A">
                              <w:pPr>
                                <w:spacing w:line="240" w:lineRule="exact"/>
                                <w:ind w:firstLineChars="300" w:firstLine="483"/>
                                <w:rPr>
                                  <w:sz w:val="16"/>
                                  <w:szCs w:val="16"/>
                                </w:rPr>
                              </w:pPr>
                              <w:r w:rsidRPr="004B567F">
                                <w:rPr>
                                  <w:rFonts w:hint="eastAsia"/>
                                  <w:sz w:val="16"/>
                                  <w:szCs w:val="16"/>
                                </w:rPr>
                                <w:t>大阪市消防局警防部</w:t>
                              </w:r>
                            </w:p>
                            <w:p w14:paraId="4D9D4965" w14:textId="77777777" w:rsidR="006A5267" w:rsidRPr="004B567F" w:rsidRDefault="006A5267" w:rsidP="005D372A">
                              <w:pPr>
                                <w:spacing w:line="240" w:lineRule="exact"/>
                                <w:ind w:firstLineChars="300" w:firstLine="483"/>
                                <w:rPr>
                                  <w:sz w:val="16"/>
                                  <w:szCs w:val="16"/>
                                </w:rPr>
                              </w:pPr>
                              <w:r w:rsidRPr="004B567F">
                                <w:rPr>
                                  <w:rFonts w:hint="eastAsia"/>
                                  <w:sz w:val="16"/>
                                  <w:szCs w:val="16"/>
                                </w:rPr>
                                <w:t>近畿地方整備局企画部</w:t>
                              </w:r>
                            </w:p>
                            <w:p w14:paraId="26157EE9" w14:textId="77777777" w:rsidR="006A5267" w:rsidRPr="004B567F" w:rsidRDefault="006A5267" w:rsidP="005D372A">
                              <w:pPr>
                                <w:spacing w:line="240" w:lineRule="exact"/>
                                <w:ind w:firstLineChars="300" w:firstLine="483"/>
                                <w:rPr>
                                  <w:sz w:val="16"/>
                                  <w:szCs w:val="16"/>
                                </w:rPr>
                              </w:pPr>
                              <w:r w:rsidRPr="004B567F">
                                <w:rPr>
                                  <w:rFonts w:hint="eastAsia"/>
                                  <w:sz w:val="16"/>
                                  <w:szCs w:val="16"/>
                                </w:rPr>
                                <w:t>大阪管区気象台気象防災部</w:t>
                              </w:r>
                            </w:p>
                            <w:p w14:paraId="21B2749B" w14:textId="77777777" w:rsidR="006A5267" w:rsidRDefault="006A5267" w:rsidP="005D372A">
                              <w:pPr>
                                <w:spacing w:line="240" w:lineRule="exact"/>
                                <w:ind w:firstLineChars="300" w:firstLine="483"/>
                                <w:rPr>
                                  <w:color w:val="000000" w:themeColor="text1"/>
                                  <w:sz w:val="16"/>
                                  <w:szCs w:val="16"/>
                                </w:rPr>
                              </w:pPr>
                              <w:r>
                                <w:rPr>
                                  <w:rFonts w:hint="eastAsia"/>
                                  <w:color w:val="000000" w:themeColor="text1"/>
                                  <w:sz w:val="16"/>
                                  <w:szCs w:val="16"/>
                                </w:rPr>
                                <w:t>大阪海上保安監部警備救難課</w:t>
                              </w:r>
                            </w:p>
                            <w:p w14:paraId="56302E7B" w14:textId="77777777" w:rsidR="006A5267" w:rsidRDefault="006A5267" w:rsidP="005D372A">
                              <w:pPr>
                                <w:spacing w:line="240" w:lineRule="exact"/>
                                <w:ind w:firstLineChars="300" w:firstLine="483"/>
                                <w:rPr>
                                  <w:color w:val="000000" w:themeColor="text1"/>
                                  <w:sz w:val="16"/>
                                  <w:szCs w:val="16"/>
                                </w:rPr>
                              </w:pPr>
                              <w:r>
                                <w:rPr>
                                  <w:rFonts w:hint="eastAsia"/>
                                  <w:color w:val="000000" w:themeColor="text1"/>
                                  <w:sz w:val="16"/>
                                  <w:szCs w:val="16"/>
                                </w:rPr>
                                <w:t>陸上自衛隊第３師団第３部</w:t>
                              </w:r>
                            </w:p>
                            <w:p w14:paraId="11740C2A" w14:textId="77777777" w:rsidR="006A5267" w:rsidRDefault="006A5267" w:rsidP="005D372A">
                              <w:pPr>
                                <w:spacing w:line="240" w:lineRule="exact"/>
                                <w:ind w:firstLineChars="300" w:firstLine="483"/>
                                <w:rPr>
                                  <w:color w:val="000000" w:themeColor="text1"/>
                                  <w:sz w:val="16"/>
                                  <w:szCs w:val="16"/>
                                </w:rPr>
                              </w:pPr>
                              <w:r>
                                <w:rPr>
                                  <w:rFonts w:hint="eastAsia"/>
                                  <w:color w:val="000000" w:themeColor="text1"/>
                                  <w:sz w:val="16"/>
                                  <w:szCs w:val="16"/>
                                </w:rPr>
                                <w:t>大阪府警察本部警備部</w:t>
                              </w:r>
                            </w:p>
                            <w:p w14:paraId="2C0354D1" w14:textId="77777777" w:rsidR="006A5267" w:rsidRPr="000503AB" w:rsidRDefault="006A5267" w:rsidP="005D372A">
                              <w:pPr>
                                <w:spacing w:line="240" w:lineRule="exact"/>
                                <w:ind w:firstLineChars="300" w:firstLine="483"/>
                                <w:rPr>
                                  <w:color w:val="000000" w:themeColor="text1"/>
                                  <w:sz w:val="16"/>
                                  <w:szCs w:val="16"/>
                                </w:rPr>
                              </w:pPr>
                              <w:r>
                                <w:rPr>
                                  <w:rFonts w:hint="eastAsia"/>
                                  <w:color w:val="000000" w:themeColor="text1"/>
                                  <w:sz w:val="16"/>
                                  <w:szCs w:val="16"/>
                                </w:rPr>
                                <w:t>大阪府危機管理室</w:t>
                              </w:r>
                            </w:p>
                          </w:txbxContent>
                        </wps:txbx>
                        <wps:bodyPr rot="0" spcFirstLastPara="0" vertOverflow="overflow" horzOverflow="overflow" vert="eaVert" wrap="square" lIns="0" tIns="0" rIns="0" bIns="0" numCol="1" spcCol="0" rtlCol="0" fromWordArt="0" anchor="ctr" anchorCtr="0" forceAA="0" compatLnSpc="1">
                          <a:prstTxWarp prst="textNoShape">
                            <a:avLst/>
                          </a:prstTxWarp>
                          <a:noAutofit/>
                        </wps:bodyPr>
                      </wps:wsp>
                      <wps:wsp>
                        <wps:cNvPr id="4889" name="正方形/長方形 4889"/>
                        <wps:cNvSpPr/>
                        <wps:spPr>
                          <a:xfrm>
                            <a:off x="583920" y="224957"/>
                            <a:ext cx="2160829" cy="318052"/>
                          </a:xfrm>
                          <a:prstGeom prst="rect">
                            <a:avLst/>
                          </a:prstGeom>
                          <a:noFill/>
                          <a:ln w="9525" cap="flat" cmpd="sng" algn="ctr">
                            <a:noFill/>
                            <a:prstDash val="solid"/>
                          </a:ln>
                          <a:effectLst/>
                        </wps:spPr>
                        <wps:txbx>
                          <w:txbxContent>
                            <w:p w14:paraId="34FCE91F" w14:textId="77777777" w:rsidR="006A5267" w:rsidRPr="0049553C" w:rsidRDefault="006A5267" w:rsidP="005D372A">
                              <w:pPr>
                                <w:jc w:val="center"/>
                                <w:rPr>
                                  <w:rFonts w:asciiTheme="majorEastAsia" w:eastAsiaTheme="majorEastAsia" w:hAnsiTheme="majorEastAsia"/>
                                  <w:color w:val="000000" w:themeColor="text1"/>
                                  <w:sz w:val="16"/>
                                  <w:szCs w:val="16"/>
                                </w:rPr>
                              </w:pPr>
                              <w:r w:rsidRPr="0049553C">
                                <w:rPr>
                                  <w:rFonts w:asciiTheme="majorEastAsia" w:eastAsiaTheme="majorEastAsia" w:hAnsiTheme="majorEastAsia" w:hint="eastAsia"/>
                                  <w:color w:val="000000" w:themeColor="text1"/>
                                  <w:sz w:val="16"/>
                                  <w:szCs w:val="16"/>
                                </w:rPr>
                                <w:t>震災応急対策連絡会議</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xmlns:w16cei="http://schemas.microsoft.com/office/word/2026/wordml/cei">
            <w:pict>
              <v:group w14:anchorId="4FCE1BE3" id="グループ化 4887" o:spid="_x0000_s1196" style="position:absolute;left:0;text-align:left;margin-left:6.1pt;margin-top:10.25pt;width:171.5pt;height:205.75pt;rotation:-90;z-index:253004800;mso-width-relative:margin;mso-height-relative:margin" coordorigin="-1274,2249" coordsize="34349,2409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">
                <v:rect id="正方形/長方形 4888" o:spid="_x0000_s1197" style="position:absolute;left:-1274;top:2568;width:34349;height:2377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" fillcolor="window" strokecolor="windowText">
                  <v:textbox style="layout-flow:vertical-ideographic" inset="0,0,0,0">
                    <w:txbxContent>
                      <w:p w14:paraId="77AC46DA" w14:textId="77777777" w:rsidR="006A5267" w:rsidRPr="004B567F" w:rsidRDefault="006A5267" w:rsidP="005D372A">
                        <w:pPr>
                          <w:spacing w:line="240" w:lineRule="exact"/>
                          <w:ind w:firstLineChars="300" w:firstLine="483"/>
                          <w:rPr>
                            <w:sz w:val="16"/>
                            <w:szCs w:val="16"/>
                          </w:rPr>
                        </w:pPr>
                        <w:r w:rsidRPr="004B567F">
                          <w:rPr>
                            <w:rFonts w:hint="eastAsia"/>
                            <w:sz w:val="16"/>
                            <w:szCs w:val="16"/>
                          </w:rPr>
                          <w:t>西日本電信電話株式会社関西支店</w:t>
                        </w:r>
                      </w:p>
                      <w:p w14:paraId="27271EDF" w14:textId="77777777" w:rsidR="006A5267" w:rsidRPr="004B567F" w:rsidRDefault="006A5267" w:rsidP="005D372A">
                        <w:pPr>
                          <w:spacing w:line="240" w:lineRule="exact"/>
                          <w:ind w:firstLineChars="300" w:firstLine="483"/>
                          <w:rPr>
                            <w:sz w:val="16"/>
                            <w:szCs w:val="16"/>
                          </w:rPr>
                        </w:pPr>
                        <w:r w:rsidRPr="004B567F">
                          <w:rPr>
                            <w:rFonts w:hint="eastAsia"/>
                            <w:sz w:val="16"/>
                            <w:szCs w:val="16"/>
                          </w:rPr>
                          <w:t>大阪ガス株式会社</w:t>
                        </w:r>
                      </w:p>
                      <w:p w14:paraId="22D8064A" w14:textId="77777777" w:rsidR="006A5267" w:rsidRPr="004B567F" w:rsidRDefault="006A5267" w:rsidP="005D372A">
                        <w:pPr>
                          <w:spacing w:line="240" w:lineRule="exact"/>
                          <w:ind w:firstLineChars="300" w:firstLine="483"/>
                          <w:rPr>
                            <w:sz w:val="16"/>
                            <w:szCs w:val="16"/>
                          </w:rPr>
                        </w:pPr>
                        <w:r w:rsidRPr="004B567F">
                          <w:rPr>
                            <w:rFonts w:hint="eastAsia"/>
                            <w:sz w:val="16"/>
                            <w:szCs w:val="16"/>
                          </w:rPr>
                          <w:t>関西電力送配電株式会社</w:t>
                        </w:r>
                      </w:p>
                      <w:p w14:paraId="5475FDFA" w14:textId="77777777" w:rsidR="006A5267" w:rsidRPr="004B567F" w:rsidRDefault="006A5267" w:rsidP="005D372A">
                        <w:pPr>
                          <w:spacing w:line="240" w:lineRule="exact"/>
                          <w:ind w:firstLineChars="300" w:firstLine="483"/>
                          <w:rPr>
                            <w:sz w:val="16"/>
                            <w:szCs w:val="16"/>
                          </w:rPr>
                        </w:pPr>
                        <w:r w:rsidRPr="004B567F">
                          <w:rPr>
                            <w:rFonts w:hint="eastAsia"/>
                            <w:sz w:val="16"/>
                            <w:szCs w:val="16"/>
                          </w:rPr>
                          <w:t>大阪市消防局警防部</w:t>
                        </w:r>
                      </w:p>
                      <w:p w14:paraId="4D9D4965" w14:textId="77777777" w:rsidR="006A5267" w:rsidRPr="004B567F" w:rsidRDefault="006A5267" w:rsidP="005D372A">
                        <w:pPr>
                          <w:spacing w:line="240" w:lineRule="exact"/>
                          <w:ind w:firstLineChars="300" w:firstLine="483"/>
                          <w:rPr>
                            <w:sz w:val="16"/>
                            <w:szCs w:val="16"/>
                          </w:rPr>
                        </w:pPr>
                        <w:r w:rsidRPr="004B567F">
                          <w:rPr>
                            <w:rFonts w:hint="eastAsia"/>
                            <w:sz w:val="16"/>
                            <w:szCs w:val="16"/>
                          </w:rPr>
                          <w:t>近畿地方整備局企画部</w:t>
                        </w:r>
                      </w:p>
                      <w:p w14:paraId="26157EE9" w14:textId="77777777" w:rsidR="006A5267" w:rsidRPr="004B567F" w:rsidRDefault="006A5267" w:rsidP="005D372A">
                        <w:pPr>
                          <w:spacing w:line="240" w:lineRule="exact"/>
                          <w:ind w:firstLineChars="300" w:firstLine="483"/>
                          <w:rPr>
                            <w:sz w:val="16"/>
                            <w:szCs w:val="16"/>
                          </w:rPr>
                        </w:pPr>
                        <w:r w:rsidRPr="004B567F">
                          <w:rPr>
                            <w:rFonts w:hint="eastAsia"/>
                            <w:sz w:val="16"/>
                            <w:szCs w:val="16"/>
                          </w:rPr>
                          <w:t>大阪管区気象台気象防災部</w:t>
                        </w:r>
                      </w:p>
                      <w:p w14:paraId="21B2749B" w14:textId="77777777" w:rsidR="006A5267" w:rsidRDefault="006A5267" w:rsidP="005D372A">
                        <w:pPr>
                          <w:spacing w:line="240" w:lineRule="exact"/>
                          <w:ind w:firstLineChars="300" w:firstLine="483"/>
                          <w:rPr>
                            <w:color w:val="000000" w:themeColor="text1"/>
                            <w:sz w:val="16"/>
                            <w:szCs w:val="16"/>
                          </w:rPr>
                        </w:pPr>
                        <w:r>
                          <w:rPr>
                            <w:rFonts w:hint="eastAsia"/>
                            <w:color w:val="000000" w:themeColor="text1"/>
                            <w:sz w:val="16"/>
                            <w:szCs w:val="16"/>
                          </w:rPr>
                          <w:t>大阪海上保安監部警備救難課</w:t>
                        </w:r>
                      </w:p>
                      <w:p w14:paraId="56302E7B" w14:textId="77777777" w:rsidR="006A5267" w:rsidRDefault="006A5267" w:rsidP="005D372A">
                        <w:pPr>
                          <w:spacing w:line="240" w:lineRule="exact"/>
                          <w:ind w:firstLineChars="300" w:firstLine="483"/>
                          <w:rPr>
                            <w:color w:val="000000" w:themeColor="text1"/>
                            <w:sz w:val="16"/>
                            <w:szCs w:val="16"/>
                          </w:rPr>
                        </w:pPr>
                        <w:r>
                          <w:rPr>
                            <w:rFonts w:hint="eastAsia"/>
                            <w:color w:val="000000" w:themeColor="text1"/>
                            <w:sz w:val="16"/>
                            <w:szCs w:val="16"/>
                          </w:rPr>
                          <w:t>陸上自衛隊第３師団第３部</w:t>
                        </w:r>
                      </w:p>
                      <w:p w14:paraId="11740C2A" w14:textId="77777777" w:rsidR="006A5267" w:rsidRDefault="006A5267" w:rsidP="005D372A">
                        <w:pPr>
                          <w:spacing w:line="240" w:lineRule="exact"/>
                          <w:ind w:firstLineChars="300" w:firstLine="483"/>
                          <w:rPr>
                            <w:color w:val="000000" w:themeColor="text1"/>
                            <w:sz w:val="16"/>
                            <w:szCs w:val="16"/>
                          </w:rPr>
                        </w:pPr>
                        <w:r>
                          <w:rPr>
                            <w:rFonts w:hint="eastAsia"/>
                            <w:color w:val="000000" w:themeColor="text1"/>
                            <w:sz w:val="16"/>
                            <w:szCs w:val="16"/>
                          </w:rPr>
                          <w:t>大阪府警察本部警備部</w:t>
                        </w:r>
                      </w:p>
                      <w:p w14:paraId="2C0354D1" w14:textId="77777777" w:rsidR="006A5267" w:rsidRPr="000503AB" w:rsidRDefault="006A5267" w:rsidP="005D372A">
                        <w:pPr>
                          <w:spacing w:line="240" w:lineRule="exact"/>
                          <w:ind w:firstLineChars="300" w:firstLine="483"/>
                          <w:rPr>
                            <w:color w:val="000000" w:themeColor="text1"/>
                            <w:sz w:val="16"/>
                            <w:szCs w:val="16"/>
                          </w:rPr>
                        </w:pPr>
                        <w:r>
                          <w:rPr>
                            <w:rFonts w:hint="eastAsia"/>
                            <w:color w:val="000000" w:themeColor="text1"/>
                            <w:sz w:val="16"/>
                            <w:szCs w:val="16"/>
                          </w:rPr>
                          <w:t>大阪府危機管理室</w:t>
                        </w:r>
                      </w:p>
                    </w:txbxContent>
                  </v:textbox>
                </v:rect>
                <v:rect id="正方形/長方形 4889" o:spid="_x0000_s1198" style="position:absolute;left:5839;top:2249;width:21608;height:318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" filled="f" stroked="f">
                  <v:textbox inset="0,0,0,0">
                    <w:txbxContent>
                      <w:p w14:paraId="34FCE91F" w14:textId="77777777" w:rsidR="006A5267" w:rsidRPr="0049553C" w:rsidRDefault="006A5267" w:rsidP="005D372A">
                        <w:pPr>
                          <w:jc w:val="center"/>
                          <w:rPr>
                            <w:rFonts w:asciiTheme="majorEastAsia" w:eastAsiaTheme="majorEastAsia" w:hAnsiTheme="majorEastAsia"/>
                            <w:color w:val="000000" w:themeColor="text1"/>
                            <w:sz w:val="16"/>
                            <w:szCs w:val="16"/>
                          </w:rPr>
                        </w:pPr>
                        <w:r w:rsidRPr="0049553C">
                          <w:rPr>
                            <w:rFonts w:asciiTheme="majorEastAsia" w:eastAsiaTheme="majorEastAsia" w:hAnsiTheme="majorEastAsia" w:hint="eastAsia"/>
                            <w:color w:val="000000" w:themeColor="text1"/>
                            <w:sz w:val="16"/>
                            <w:szCs w:val="16"/>
                          </w:rPr>
                          <w:t>震災応急対策連絡会議</w:t>
                        </w:r>
                      </w:p>
                    </w:txbxContent>
                  </v:textbox>
                </v:rect>
              </v:group>
            </w:pict>
          </mc:Fallback>
        </mc:AlternateContent>
      </w:r>
    </w:p>
    <w:p w14:paraId="6A19F0DA" w14:textId="77777777" w:rsidR="005D372A" w:rsidRPr="001D6D10" w:rsidRDefault="005D372A" w:rsidP="005D372A"/>
    <w:p w14:paraId="0039D628" w14:textId="77777777" w:rsidR="005D372A" w:rsidRPr="001D6D10" w:rsidRDefault="005D372A" w:rsidP="005D372A"/>
    <w:p w14:paraId="45D972C8" w14:textId="77777777" w:rsidR="005D372A" w:rsidRPr="001D6D10" w:rsidRDefault="005D372A" w:rsidP="005D372A"/>
    <w:p w14:paraId="4215299D" w14:textId="77777777" w:rsidR="005D372A" w:rsidRPr="001D6D10" w:rsidRDefault="005D372A" w:rsidP="005D372A">
      <w:r w:rsidRPr="001D6D10">
        <w:rPr>
          <w:noProof/>
        </w:rPr>
        <mc:AlternateContent>
          <mc:Choice Requires="wps">
            <w:drawing>
              <wp:anchor distT="0" distB="0" distL="114300" distR="114300" simplePos="0" relativeHeight="253010944" behindDoc="0" locked="0" layoutInCell="1" allowOverlap="1" wp14:anchorId="692E4B7D" wp14:editId="78562573">
                <wp:simplePos x="0" y="0"/>
                <wp:positionH relativeFrom="column">
                  <wp:posOffset>1867853</wp:posOffset>
                </wp:positionH>
                <wp:positionV relativeFrom="paragraph">
                  <wp:posOffset>166052</wp:posOffset>
                </wp:positionV>
                <wp:extent cx="2501900" cy="334645"/>
                <wp:effectExtent l="0" t="2223" r="10478" b="10477"/>
                <wp:wrapNone/>
                <wp:docPr id="4899" name="正方形/長方形 4899"/>
                <wp:cNvGraphicFramePr/>
                <a:graphic xmlns:a="http://schemas.openxmlformats.org/drawingml/2006/main">
                  <a:graphicData uri="http://schemas.microsoft.com/office/word/2010/wordprocessingShape">
                    <wps:wsp>
                      <wps:cNvSpPr/>
                      <wps:spPr>
                        <a:xfrm rot="16200000">
                          <a:off x="0" y="0"/>
                          <a:ext cx="2501900" cy="334645"/>
                        </a:xfrm>
                        <a:prstGeom prst="rect">
                          <a:avLst/>
                        </a:prstGeom>
                        <a:noFill/>
                        <a:ln w="9525" cap="flat" cmpd="sng" algn="ctr">
                          <a:noFill/>
                          <a:prstDash val="solid"/>
                        </a:ln>
                        <a:effectLst/>
                      </wps:spPr>
                      <wps:txbx>
                        <w:txbxContent>
                          <w:p w14:paraId="32709008" w14:textId="77777777" w:rsidR="006A5267" w:rsidRPr="00A8725A" w:rsidRDefault="006A5267" w:rsidP="005D372A">
                            <w:pPr>
                              <w:spacing w:line="240" w:lineRule="exact"/>
                              <w:jc w:val="center"/>
                              <w:rPr>
                                <w:color w:val="000000" w:themeColor="text1"/>
                                <w:sz w:val="16"/>
                                <w:szCs w:val="16"/>
                              </w:rPr>
                            </w:pPr>
                            <w:r>
                              <w:rPr>
                                <w:rFonts w:hint="eastAsia"/>
                                <w:color w:val="000000" w:themeColor="text1"/>
                                <w:sz w:val="16"/>
                                <w:szCs w:val="16"/>
                              </w:rPr>
                              <w:t>【※災害対策本部長が必要性を認めたとき】</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rect w14:anchorId="692E4B7D" id="正方形/長方形 4899" o:spid="_x0000_s1199" style="position:absolute;left:0;text-align:left;margin-left:147.1pt;margin-top:13.05pt;width:197pt;height:26.35pt;rotation:-90;z-index:2530109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" filled="f" stroked="f">
                <v:textbox inset="0,0,0,0">
                  <w:txbxContent>
                    <w:p w14:paraId="32709008" w14:textId="77777777" w:rsidR="006A5267" w:rsidRPr="00A8725A" w:rsidRDefault="006A5267" w:rsidP="005D372A">
                      <w:pPr>
                        <w:spacing w:line="240" w:lineRule="exact"/>
                        <w:jc w:val="center"/>
                        <w:rPr>
                          <w:color w:val="000000" w:themeColor="text1"/>
                          <w:sz w:val="16"/>
                          <w:szCs w:val="16"/>
                        </w:rPr>
                      </w:pPr>
                      <w:r>
                        <w:rPr>
                          <w:rFonts w:hint="eastAsia"/>
                          <w:color w:val="000000" w:themeColor="text1"/>
                          <w:sz w:val="16"/>
                          <w:szCs w:val="16"/>
                        </w:rPr>
                        <w:t>【※災害対策本部長が必要性を認めたとき】</w:t>
                      </w:r>
                    </w:p>
                  </w:txbxContent>
                </v:textbox>
              </v:rect>
            </w:pict>
          </mc:Fallback>
        </mc:AlternateContent>
      </w:r>
    </w:p>
    <w:p w14:paraId="40EA54C9" w14:textId="77777777" w:rsidR="005D372A" w:rsidRPr="001D6D10" w:rsidRDefault="005D372A" w:rsidP="005D372A"/>
    <w:p w14:paraId="78C37A4F" w14:textId="77777777" w:rsidR="005D372A" w:rsidRPr="001D6D10" w:rsidRDefault="005D372A" w:rsidP="005D372A"/>
    <w:p w14:paraId="7E3819FD" w14:textId="77777777" w:rsidR="005D372A" w:rsidRPr="001D6D10" w:rsidRDefault="005D372A" w:rsidP="005D372A"/>
    <w:p w14:paraId="4949F153" w14:textId="77777777" w:rsidR="005D372A" w:rsidRPr="001D6D10" w:rsidRDefault="005D372A" w:rsidP="005D372A"/>
    <w:p w14:paraId="34BBE514" w14:textId="77777777" w:rsidR="005D372A" w:rsidRPr="001D6D10" w:rsidRDefault="005D372A" w:rsidP="005D372A"/>
    <w:p w14:paraId="275007A2" w14:textId="77777777" w:rsidR="005D372A" w:rsidRPr="001D6D10" w:rsidRDefault="005D372A" w:rsidP="005D372A">
      <w:r w:rsidRPr="001D6D10">
        <w:rPr>
          <w:rFonts w:hint="eastAsia"/>
          <w:noProof/>
        </w:rPr>
        <mc:AlternateContent>
          <mc:Choice Requires="wps">
            <w:drawing>
              <wp:anchor distT="0" distB="0" distL="114300" distR="114300" simplePos="0" relativeHeight="253014016" behindDoc="0" locked="0" layoutInCell="1" allowOverlap="1" wp14:anchorId="5DF52674" wp14:editId="1BE7B779">
                <wp:simplePos x="0" y="0"/>
                <wp:positionH relativeFrom="column">
                  <wp:posOffset>2875915</wp:posOffset>
                </wp:positionH>
                <wp:positionV relativeFrom="paragraph">
                  <wp:posOffset>39370</wp:posOffset>
                </wp:positionV>
                <wp:extent cx="535940" cy="1752600"/>
                <wp:effectExtent l="0" t="0" r="16510" b="19050"/>
                <wp:wrapNone/>
                <wp:docPr id="4900" name="フリーフォーム 4900"/>
                <wp:cNvGraphicFramePr/>
                <a:graphic xmlns:a="http://schemas.openxmlformats.org/drawingml/2006/main">
                  <a:graphicData uri="http://schemas.microsoft.com/office/word/2010/wordprocessingShape">
                    <wps:wsp>
                      <wps:cNvSpPr/>
                      <wps:spPr>
                        <a:xfrm>
                          <a:off x="0" y="0"/>
                          <a:ext cx="535940" cy="1752600"/>
                        </a:xfrm>
                        <a:custGeom>
                          <a:avLst/>
                          <a:gdLst>
                            <a:gd name="connsiteX0" fmla="*/ 0 w 526774"/>
                            <a:gd name="connsiteY0" fmla="*/ 1659835 h 1659835"/>
                            <a:gd name="connsiteX1" fmla="*/ 0 w 526774"/>
                            <a:gd name="connsiteY1" fmla="*/ 0 h 1659835"/>
                            <a:gd name="connsiteX2" fmla="*/ 526774 w 526774"/>
                            <a:gd name="connsiteY2" fmla="*/ 0 h 1659835"/>
                          </a:gdLst>
                          <a:ahLst/>
                          <a:cxnLst>
                            <a:cxn ang="0">
                              <a:pos x="connsiteX0" y="connsiteY0"/>
                            </a:cxn>
                            <a:cxn ang="0">
                              <a:pos x="connsiteX1" y="connsiteY1"/>
                            </a:cxn>
                            <a:cxn ang="0">
                              <a:pos x="connsiteX2" y="connsiteY2"/>
                            </a:cxn>
                          </a:cxnLst>
                          <a:rect l="l" t="t" r="r" b="b"/>
                          <a:pathLst>
                            <a:path w="526774" h="1659835">
                              <a:moveTo>
                                <a:pt x="0" y="1659835"/>
                              </a:moveTo>
                              <a:lnTo>
                                <a:pt x="0" y="0"/>
                              </a:lnTo>
                              <a:lnTo>
                                <a:pt x="526774" y="0"/>
                              </a:lnTo>
                            </a:path>
                          </a:pathLst>
                        </a:custGeom>
                        <a:noFill/>
                        <a:ln w="9525"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shape w14:anchorId="7285E5F9" id="フリーフォーム 4900" o:spid="_x0000_s1026" style="position:absolute;left:0;text-align:left;margin-left:226.45pt;margin-top:3.1pt;width:42.2pt;height:138pt;z-index:2530140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coordsize="526774,165983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" path="m,1659835l,,526774,e" filled="f" strokecolor="windowText">
                <v:path arrowok="t" o:connecttype="custom" o:connectlocs="0,1752600;0,0;535940,0" o:connectangles="0,0,0"/>
              </v:shape>
            </w:pict>
          </mc:Fallback>
        </mc:AlternateContent>
      </w:r>
    </w:p>
    <w:p w14:paraId="4441A3C0" w14:textId="77777777" w:rsidR="005D372A" w:rsidRPr="001D6D10" w:rsidRDefault="00B63D83" w:rsidP="005D372A">
      <w:r w:rsidRPr="001D6D10">
        <w:rPr>
          <w:rFonts w:hint="eastAsia"/>
          <w:noProof/>
        </w:rPr>
        <mc:AlternateContent>
          <mc:Choice Requires="wpg">
            <w:drawing>
              <wp:anchor distT="0" distB="0" distL="114300" distR="114300" simplePos="0" relativeHeight="253003776" behindDoc="0" locked="0" layoutInCell="1" allowOverlap="1" wp14:anchorId="12050AFE" wp14:editId="237658D4">
                <wp:simplePos x="0" y="0"/>
                <wp:positionH relativeFrom="column">
                  <wp:posOffset>-114935</wp:posOffset>
                </wp:positionH>
                <wp:positionV relativeFrom="paragraph">
                  <wp:posOffset>175220</wp:posOffset>
                </wp:positionV>
                <wp:extent cx="2719073" cy="3152847"/>
                <wp:effectExtent l="0" t="0" r="24130" b="28575"/>
                <wp:wrapNone/>
                <wp:docPr id="4893" name="グループ化 4893"/>
                <wp:cNvGraphicFramePr/>
                <a:graphic xmlns:a="http://schemas.openxmlformats.org/drawingml/2006/main">
                  <a:graphicData uri="http://schemas.microsoft.com/office/word/2010/wordprocessingGroup">
                    <wpg:wgp>
                      <wpg:cNvGrpSpPr/>
                      <wpg:grpSpPr>
                        <a:xfrm>
                          <a:off x="0" y="0"/>
                          <a:ext cx="2719073" cy="3152847"/>
                          <a:chOff x="-151295" y="-480357"/>
                          <a:chExt cx="2720152" cy="3153676"/>
                        </a:xfrm>
                      </wpg:grpSpPr>
                      <wps:wsp>
                        <wps:cNvPr id="4894" name="直線コネクタ 4894"/>
                        <wps:cNvCnPr/>
                        <wps:spPr>
                          <a:xfrm rot="16200000">
                            <a:off x="1056566" y="282388"/>
                            <a:ext cx="0" cy="1892194"/>
                          </a:xfrm>
                          <a:prstGeom prst="line">
                            <a:avLst/>
                          </a:prstGeom>
                          <a:noFill/>
                          <a:ln w="9525" cap="flat" cmpd="sng" algn="ctr">
                            <a:solidFill>
                              <a:sysClr val="windowText" lastClr="000000"/>
                            </a:solidFill>
                            <a:prstDash val="solid"/>
                          </a:ln>
                          <a:effectLst/>
                        </wps:spPr>
                        <wps:bodyPr/>
                      </wps:wsp>
                      <wps:wsp>
                        <wps:cNvPr id="4895" name="正方形/長方形 2"/>
                        <wps:cNvSpPr/>
                        <wps:spPr>
                          <a:xfrm rot="16200000">
                            <a:off x="-343065" y="1001475"/>
                            <a:ext cx="850265" cy="466725"/>
                          </a:xfrm>
                          <a:prstGeom prst="rect">
                            <a:avLst/>
                          </a:prstGeom>
                          <a:solidFill>
                            <a:sysClr val="window" lastClr="FFFFFF"/>
                          </a:solidFill>
                          <a:ln w="9525" cap="flat" cmpd="sng" algn="ctr">
                            <a:solidFill>
                              <a:sysClr val="windowText" lastClr="000000"/>
                            </a:solidFill>
                            <a:prstDash val="solid"/>
                          </a:ln>
                          <a:effectLst/>
                        </wps:spPr>
                        <wps:txbx>
                          <w:txbxContent>
                            <w:p w14:paraId="2A245868" w14:textId="77777777" w:rsidR="006A5267" w:rsidRPr="0049553C" w:rsidRDefault="006A5267" w:rsidP="005D372A">
                              <w:pPr>
                                <w:spacing w:line="240" w:lineRule="exact"/>
                                <w:jc w:val="center"/>
                                <w:rPr>
                                  <w:rFonts w:asciiTheme="majorEastAsia" w:eastAsiaTheme="majorEastAsia" w:hAnsiTheme="majorEastAsia"/>
                                  <w:color w:val="000000" w:themeColor="text1"/>
                                  <w:sz w:val="16"/>
                                  <w:szCs w:val="16"/>
                                </w:rPr>
                              </w:pPr>
                              <w:r w:rsidRPr="0049553C">
                                <w:rPr>
                                  <w:rFonts w:asciiTheme="majorEastAsia" w:eastAsiaTheme="majorEastAsia" w:hAnsiTheme="majorEastAsia" w:hint="eastAsia"/>
                                  <w:color w:val="000000" w:themeColor="text1"/>
                                  <w:sz w:val="16"/>
                                  <w:szCs w:val="16"/>
                                </w:rPr>
                                <w:t>本部長</w:t>
                              </w:r>
                            </w:p>
                            <w:p w14:paraId="4F6045E7" w14:textId="77777777" w:rsidR="006A5267" w:rsidRPr="00A8725A" w:rsidRDefault="006A5267" w:rsidP="005D372A">
                              <w:pPr>
                                <w:spacing w:line="240" w:lineRule="exact"/>
                                <w:jc w:val="center"/>
                                <w:rPr>
                                  <w:color w:val="000000" w:themeColor="text1"/>
                                  <w:sz w:val="16"/>
                                  <w:szCs w:val="16"/>
                                </w:rPr>
                              </w:pPr>
                              <w:r w:rsidRPr="00A8725A">
                                <w:rPr>
                                  <w:rFonts w:hint="eastAsia"/>
                                  <w:color w:val="000000" w:themeColor="text1"/>
                                  <w:sz w:val="16"/>
                                  <w:szCs w:val="16"/>
                                </w:rPr>
                                <w:t>（知事）</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wps:wsp>
                        <wps:cNvPr id="4896" name="正方形/長方形 3"/>
                        <wps:cNvSpPr/>
                        <wps:spPr>
                          <a:xfrm rot="16200000">
                            <a:off x="168451" y="907676"/>
                            <a:ext cx="1158875" cy="682625"/>
                          </a:xfrm>
                          <a:prstGeom prst="rect">
                            <a:avLst/>
                          </a:prstGeom>
                          <a:solidFill>
                            <a:sysClr val="window" lastClr="FFFFFF"/>
                          </a:solidFill>
                          <a:ln w="9525" cap="flat" cmpd="sng" algn="ctr">
                            <a:solidFill>
                              <a:sysClr val="windowText" lastClr="000000"/>
                            </a:solidFill>
                            <a:prstDash val="solid"/>
                          </a:ln>
                          <a:effectLst/>
                        </wps:spPr>
                        <wps:txbx>
                          <w:txbxContent>
                            <w:p w14:paraId="67E128EA" w14:textId="77777777" w:rsidR="006A5267" w:rsidRPr="0049553C" w:rsidRDefault="006A5267" w:rsidP="005D372A">
                              <w:pPr>
                                <w:spacing w:line="240" w:lineRule="exact"/>
                                <w:jc w:val="center"/>
                                <w:rPr>
                                  <w:rFonts w:asciiTheme="majorEastAsia" w:eastAsiaTheme="majorEastAsia" w:hAnsiTheme="majorEastAsia"/>
                                  <w:color w:val="000000" w:themeColor="text1"/>
                                  <w:sz w:val="16"/>
                                  <w:szCs w:val="16"/>
                                </w:rPr>
                              </w:pPr>
                              <w:r w:rsidRPr="0049553C">
                                <w:rPr>
                                  <w:rFonts w:asciiTheme="majorEastAsia" w:eastAsiaTheme="majorEastAsia" w:hAnsiTheme="majorEastAsia" w:hint="eastAsia"/>
                                  <w:color w:val="000000" w:themeColor="text1"/>
                                  <w:sz w:val="16"/>
                                  <w:szCs w:val="16"/>
                                </w:rPr>
                                <w:t>副本部長</w:t>
                              </w:r>
                            </w:p>
                            <w:p w14:paraId="43EB7E76" w14:textId="77777777" w:rsidR="006A5267" w:rsidRDefault="006A5267" w:rsidP="005D372A">
                              <w:pPr>
                                <w:spacing w:line="240" w:lineRule="exact"/>
                                <w:jc w:val="center"/>
                                <w:rPr>
                                  <w:color w:val="000000" w:themeColor="text1"/>
                                  <w:sz w:val="16"/>
                                  <w:szCs w:val="16"/>
                                </w:rPr>
                              </w:pPr>
                              <w:r w:rsidRPr="00A8725A">
                                <w:rPr>
                                  <w:rFonts w:hint="eastAsia"/>
                                  <w:color w:val="000000" w:themeColor="text1"/>
                                  <w:sz w:val="16"/>
                                  <w:szCs w:val="16"/>
                                </w:rPr>
                                <w:t>（</w:t>
                              </w:r>
                              <w:r>
                                <w:rPr>
                                  <w:rFonts w:hint="eastAsia"/>
                                  <w:color w:val="000000" w:themeColor="text1"/>
                                  <w:sz w:val="16"/>
                                  <w:szCs w:val="16"/>
                                </w:rPr>
                                <w:t>①～③副知事</w:t>
                              </w:r>
                              <w:r w:rsidRPr="00A8725A">
                                <w:rPr>
                                  <w:rFonts w:hint="eastAsia"/>
                                  <w:color w:val="000000" w:themeColor="text1"/>
                                  <w:sz w:val="16"/>
                                  <w:szCs w:val="16"/>
                                </w:rPr>
                                <w:t>）</w:t>
                              </w:r>
                            </w:p>
                            <w:p w14:paraId="3C5F4C75" w14:textId="77777777" w:rsidR="006A5267" w:rsidRDefault="006A5267" w:rsidP="005D372A">
                              <w:pPr>
                                <w:spacing w:line="240" w:lineRule="exact"/>
                                <w:jc w:val="center"/>
                                <w:rPr>
                                  <w:color w:val="000000" w:themeColor="text1"/>
                                  <w:sz w:val="16"/>
                                  <w:szCs w:val="16"/>
                                </w:rPr>
                              </w:pPr>
                              <w:r>
                                <w:rPr>
                                  <w:rFonts w:hint="eastAsia"/>
                                  <w:color w:val="000000" w:themeColor="text1"/>
                                  <w:sz w:val="16"/>
                                  <w:szCs w:val="16"/>
                                </w:rPr>
                                <w:t>（④危機管理監</w:t>
                              </w:r>
                            </w:p>
                            <w:p w14:paraId="2F050B4F" w14:textId="77777777" w:rsidR="006A5267" w:rsidRPr="00A8725A" w:rsidRDefault="006A5267" w:rsidP="005D372A">
                              <w:pPr>
                                <w:spacing w:line="240" w:lineRule="exact"/>
                                <w:jc w:val="center"/>
                                <w:rPr>
                                  <w:color w:val="000000" w:themeColor="text1"/>
                                  <w:sz w:val="16"/>
                                  <w:szCs w:val="16"/>
                                </w:rPr>
                              </w:pPr>
                              <w:r>
                                <w:rPr>
                                  <w:rFonts w:hint="eastAsia"/>
                                  <w:color w:val="000000" w:themeColor="text1"/>
                                  <w:sz w:val="16"/>
                                  <w:szCs w:val="16"/>
                                </w:rPr>
                                <w:t>（⑤危機管理室長</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wps:wsp>
                        <wps:cNvPr id="4897" name="正方形/長方形 4"/>
                        <wps:cNvSpPr/>
                        <wps:spPr>
                          <a:xfrm rot="16200000">
                            <a:off x="298707" y="403169"/>
                            <a:ext cx="3153676" cy="1386624"/>
                          </a:xfrm>
                          <a:prstGeom prst="rect">
                            <a:avLst/>
                          </a:prstGeom>
                          <a:solidFill>
                            <a:sysClr val="window" lastClr="FFFFFF"/>
                          </a:solidFill>
                          <a:ln w="9525" cap="flat" cmpd="sng" algn="ctr">
                            <a:solidFill>
                              <a:sysClr val="windowText" lastClr="000000"/>
                            </a:solidFill>
                            <a:prstDash val="solid"/>
                          </a:ln>
                          <a:effectLst/>
                        </wps:spPr>
                        <wps:txbx>
                          <w:txbxContent>
                            <w:p w14:paraId="71C4C70D" w14:textId="77777777" w:rsidR="006A5267" w:rsidRDefault="006A5267" w:rsidP="005D372A">
                              <w:pPr>
                                <w:spacing w:line="240" w:lineRule="exact"/>
                                <w:ind w:firstLineChars="300" w:firstLine="483"/>
                                <w:rPr>
                                  <w:color w:val="000000" w:themeColor="text1"/>
                                  <w:sz w:val="16"/>
                                  <w:szCs w:val="16"/>
                                </w:rPr>
                              </w:pPr>
                              <w:r>
                                <w:rPr>
                                  <w:rFonts w:hint="eastAsia"/>
                                  <w:color w:val="000000" w:themeColor="text1"/>
                                  <w:sz w:val="16"/>
                                  <w:szCs w:val="16"/>
                                </w:rPr>
                                <w:t>警察本部副本部長</w:t>
                              </w:r>
                            </w:p>
                            <w:p w14:paraId="2515268D" w14:textId="77777777" w:rsidR="006A5267" w:rsidRDefault="006A5267" w:rsidP="005D372A">
                              <w:pPr>
                                <w:spacing w:line="240" w:lineRule="exact"/>
                                <w:ind w:firstLineChars="300" w:firstLine="483"/>
                                <w:rPr>
                                  <w:color w:val="000000" w:themeColor="text1"/>
                                  <w:sz w:val="16"/>
                                  <w:szCs w:val="16"/>
                                </w:rPr>
                              </w:pPr>
                              <w:r>
                                <w:rPr>
                                  <w:rFonts w:hint="eastAsia"/>
                                  <w:color w:val="000000" w:themeColor="text1"/>
                                  <w:sz w:val="16"/>
                                  <w:szCs w:val="16"/>
                                </w:rPr>
                                <w:t>教育長</w:t>
                              </w:r>
                            </w:p>
                            <w:p w14:paraId="3774A732" w14:textId="77777777" w:rsidR="006A5267" w:rsidRDefault="006A5267" w:rsidP="005D372A">
                              <w:pPr>
                                <w:spacing w:line="240" w:lineRule="exact"/>
                                <w:ind w:firstLineChars="300" w:firstLine="483"/>
                                <w:rPr>
                                  <w:color w:val="000000" w:themeColor="text1"/>
                                  <w:sz w:val="16"/>
                                  <w:szCs w:val="16"/>
                                </w:rPr>
                              </w:pPr>
                              <w:r>
                                <w:rPr>
                                  <w:rFonts w:hint="eastAsia"/>
                                  <w:color w:val="000000" w:themeColor="text1"/>
                                  <w:sz w:val="16"/>
                                  <w:szCs w:val="16"/>
                                </w:rPr>
                                <w:t>会計管理者</w:t>
                              </w:r>
                            </w:p>
                            <w:p w14:paraId="113EF6F1" w14:textId="77777777" w:rsidR="006A5267" w:rsidRDefault="006A5267" w:rsidP="005D372A">
                              <w:pPr>
                                <w:spacing w:line="240" w:lineRule="exact"/>
                                <w:ind w:firstLineChars="300" w:firstLine="483"/>
                                <w:rPr>
                                  <w:color w:val="000000" w:themeColor="text1"/>
                                  <w:sz w:val="16"/>
                                  <w:szCs w:val="16"/>
                                </w:rPr>
                              </w:pPr>
                            </w:p>
                            <w:p w14:paraId="379443DC" w14:textId="77777777" w:rsidR="006A5267" w:rsidRDefault="006A5267" w:rsidP="005D372A">
                              <w:pPr>
                                <w:spacing w:line="240" w:lineRule="exact"/>
                                <w:ind w:firstLineChars="300" w:firstLine="483"/>
                                <w:rPr>
                                  <w:color w:val="000000" w:themeColor="text1"/>
                                  <w:sz w:val="16"/>
                                  <w:szCs w:val="16"/>
                                </w:rPr>
                              </w:pPr>
                              <w:r w:rsidRPr="00806B54">
                                <w:rPr>
                                  <w:rFonts w:hint="eastAsia"/>
                                  <w:color w:val="000000" w:themeColor="text1"/>
                                  <w:sz w:val="16"/>
                                  <w:szCs w:val="16"/>
                                </w:rPr>
                                <w:t>大阪港湾局長</w:t>
                              </w:r>
                            </w:p>
                            <w:p w14:paraId="4DFC0D43" w14:textId="77777777" w:rsidR="006A5267" w:rsidRPr="00806B54" w:rsidRDefault="006A5267" w:rsidP="005D372A">
                              <w:pPr>
                                <w:spacing w:line="240" w:lineRule="exact"/>
                                <w:ind w:firstLineChars="300" w:firstLine="483"/>
                                <w:rPr>
                                  <w:color w:val="000000" w:themeColor="text1"/>
                                  <w:sz w:val="16"/>
                                  <w:szCs w:val="16"/>
                                </w:rPr>
                              </w:pPr>
                              <w:r>
                                <w:rPr>
                                  <w:rFonts w:hint="eastAsia"/>
                                  <w:color w:val="000000" w:themeColor="text1"/>
                                  <w:sz w:val="16"/>
                                  <w:szCs w:val="16"/>
                                </w:rPr>
                                <w:t>大阪都市計画局長</w:t>
                              </w:r>
                            </w:p>
                            <w:p w14:paraId="5995A1F9" w14:textId="77777777" w:rsidR="006A5267" w:rsidRPr="00806B54" w:rsidRDefault="006A5267" w:rsidP="005D372A">
                              <w:pPr>
                                <w:spacing w:line="240" w:lineRule="exact"/>
                                <w:ind w:firstLineChars="300" w:firstLine="483"/>
                                <w:rPr>
                                  <w:color w:val="000000" w:themeColor="text1"/>
                                  <w:sz w:val="16"/>
                                  <w:szCs w:val="16"/>
                                </w:rPr>
                              </w:pPr>
                              <w:r w:rsidRPr="00806B54">
                                <w:rPr>
                                  <w:rFonts w:hint="eastAsia"/>
                                  <w:color w:val="000000" w:themeColor="text1"/>
                                  <w:sz w:val="16"/>
                                  <w:szCs w:val="16"/>
                                </w:rPr>
                                <w:t>都市整備部長</w:t>
                              </w:r>
                            </w:p>
                            <w:p w14:paraId="5C73B71B" w14:textId="77777777" w:rsidR="006A5267" w:rsidRPr="00806B54" w:rsidRDefault="006A5267" w:rsidP="005D372A">
                              <w:pPr>
                                <w:spacing w:line="240" w:lineRule="exact"/>
                                <w:ind w:firstLineChars="300" w:firstLine="483"/>
                                <w:rPr>
                                  <w:color w:val="000000" w:themeColor="text1"/>
                                  <w:sz w:val="16"/>
                                  <w:szCs w:val="16"/>
                                </w:rPr>
                              </w:pPr>
                              <w:r w:rsidRPr="00806B54">
                                <w:rPr>
                                  <w:rFonts w:hint="eastAsia"/>
                                  <w:color w:val="000000" w:themeColor="text1"/>
                                  <w:sz w:val="16"/>
                                  <w:szCs w:val="16"/>
                                </w:rPr>
                                <w:t>環境農林水産部長</w:t>
                              </w:r>
                            </w:p>
                            <w:p w14:paraId="5E4464FE" w14:textId="77777777" w:rsidR="006A5267" w:rsidRPr="00806B54" w:rsidRDefault="006A5267" w:rsidP="005D372A">
                              <w:pPr>
                                <w:spacing w:line="240" w:lineRule="exact"/>
                                <w:ind w:firstLineChars="100" w:firstLine="161"/>
                                <w:rPr>
                                  <w:color w:val="000000" w:themeColor="text1"/>
                                  <w:sz w:val="16"/>
                                  <w:szCs w:val="16"/>
                                </w:rPr>
                              </w:pPr>
                              <w:r w:rsidRPr="00806B54">
                                <w:rPr>
                                  <w:rFonts w:asciiTheme="majorEastAsia" w:eastAsiaTheme="majorEastAsia" w:hAnsiTheme="majorEastAsia" w:hint="eastAsia"/>
                                  <w:color w:val="000000" w:themeColor="text1"/>
                                  <w:sz w:val="16"/>
                                  <w:szCs w:val="16"/>
                                </w:rPr>
                                <w:t>員</w:t>
                              </w:r>
                              <w:r w:rsidRPr="00806B54">
                                <w:rPr>
                                  <w:rFonts w:hint="eastAsia"/>
                                  <w:color w:val="000000" w:themeColor="text1"/>
                                  <w:sz w:val="16"/>
                                  <w:szCs w:val="16"/>
                                </w:rPr>
                                <w:t xml:space="preserve">　商工労働部長</w:t>
                              </w:r>
                            </w:p>
                            <w:p w14:paraId="00E34A7B" w14:textId="77777777" w:rsidR="006A5267" w:rsidRPr="00806B54" w:rsidRDefault="006A5267" w:rsidP="005D372A">
                              <w:pPr>
                                <w:spacing w:line="240" w:lineRule="exact"/>
                                <w:ind w:firstLineChars="100" w:firstLine="161"/>
                                <w:rPr>
                                  <w:color w:val="000000" w:themeColor="text1"/>
                                  <w:sz w:val="16"/>
                                  <w:szCs w:val="16"/>
                                </w:rPr>
                              </w:pPr>
                              <w:r w:rsidRPr="00806B54">
                                <w:rPr>
                                  <w:rFonts w:asciiTheme="majorEastAsia" w:eastAsiaTheme="majorEastAsia" w:hAnsiTheme="majorEastAsia" w:hint="eastAsia"/>
                                  <w:color w:val="000000" w:themeColor="text1"/>
                                  <w:sz w:val="16"/>
                                  <w:szCs w:val="16"/>
                                </w:rPr>
                                <w:t>部</w:t>
                              </w:r>
                              <w:r w:rsidRPr="00806B54">
                                <w:rPr>
                                  <w:rFonts w:hint="eastAsia"/>
                                  <w:color w:val="000000" w:themeColor="text1"/>
                                  <w:sz w:val="16"/>
                                  <w:szCs w:val="16"/>
                                </w:rPr>
                                <w:t xml:space="preserve">　健康医療部長</w:t>
                              </w:r>
                            </w:p>
                            <w:p w14:paraId="2AACFADF" w14:textId="77777777" w:rsidR="006A5267" w:rsidRPr="00806B54" w:rsidRDefault="006A5267" w:rsidP="005D372A">
                              <w:pPr>
                                <w:spacing w:line="240" w:lineRule="exact"/>
                                <w:ind w:firstLineChars="100" w:firstLine="161"/>
                                <w:rPr>
                                  <w:color w:val="000000" w:themeColor="text1"/>
                                  <w:sz w:val="16"/>
                                  <w:szCs w:val="16"/>
                                </w:rPr>
                              </w:pPr>
                              <w:r w:rsidRPr="00806B54">
                                <w:rPr>
                                  <w:rFonts w:asciiTheme="majorEastAsia" w:eastAsiaTheme="majorEastAsia" w:hAnsiTheme="majorEastAsia" w:hint="eastAsia"/>
                                  <w:color w:val="000000" w:themeColor="text1"/>
                                  <w:sz w:val="16"/>
                                  <w:szCs w:val="16"/>
                                </w:rPr>
                                <w:t>本</w:t>
                              </w:r>
                              <w:r w:rsidRPr="00806B54">
                                <w:rPr>
                                  <w:rFonts w:hint="eastAsia"/>
                                  <w:color w:val="000000" w:themeColor="text1"/>
                                  <w:sz w:val="16"/>
                                  <w:szCs w:val="16"/>
                                </w:rPr>
                                <w:t xml:space="preserve">　福祉部長</w:t>
                              </w:r>
                            </w:p>
                            <w:p w14:paraId="4920FA9B" w14:textId="77777777" w:rsidR="006A5267" w:rsidRPr="00806B54" w:rsidRDefault="006A5267" w:rsidP="005D372A">
                              <w:pPr>
                                <w:spacing w:line="240" w:lineRule="exact"/>
                                <w:ind w:firstLineChars="100" w:firstLine="161"/>
                                <w:rPr>
                                  <w:color w:val="000000" w:themeColor="text1"/>
                                  <w:sz w:val="16"/>
                                  <w:szCs w:val="16"/>
                                </w:rPr>
                              </w:pPr>
                              <w:r w:rsidRPr="00806B54">
                                <w:rPr>
                                  <w:rFonts w:hint="eastAsia"/>
                                  <w:color w:val="000000" w:themeColor="text1"/>
                                  <w:sz w:val="16"/>
                                  <w:szCs w:val="16"/>
                                </w:rPr>
                                <w:t xml:space="preserve">　　</w:t>
                              </w:r>
                              <w:r w:rsidRPr="00806B54">
                                <w:rPr>
                                  <w:rFonts w:hint="eastAsia"/>
                                  <w:color w:val="000000" w:themeColor="text1"/>
                                  <w:sz w:val="16"/>
                                  <w:szCs w:val="16"/>
                                </w:rPr>
                                <w:t>IR</w:t>
                              </w:r>
                              <w:r w:rsidRPr="00806B54">
                                <w:rPr>
                                  <w:rFonts w:hint="eastAsia"/>
                                  <w:color w:val="000000" w:themeColor="text1"/>
                                  <w:sz w:val="16"/>
                                  <w:szCs w:val="16"/>
                                </w:rPr>
                                <w:t>推進局長</w:t>
                              </w:r>
                            </w:p>
                            <w:p w14:paraId="113AD721" w14:textId="77777777" w:rsidR="006A5267" w:rsidRPr="00806B54" w:rsidRDefault="006A5267" w:rsidP="005D372A">
                              <w:pPr>
                                <w:spacing w:line="240" w:lineRule="exact"/>
                                <w:ind w:firstLineChars="300" w:firstLine="483"/>
                                <w:rPr>
                                  <w:color w:val="000000" w:themeColor="text1"/>
                                  <w:sz w:val="16"/>
                                  <w:szCs w:val="16"/>
                                </w:rPr>
                              </w:pPr>
                              <w:r w:rsidRPr="00806B54">
                                <w:rPr>
                                  <w:rFonts w:hint="eastAsia"/>
                                  <w:color w:val="000000" w:themeColor="text1"/>
                                  <w:sz w:val="16"/>
                                  <w:szCs w:val="16"/>
                                </w:rPr>
                                <w:t>府民文化部長</w:t>
                              </w:r>
                            </w:p>
                            <w:p w14:paraId="195BBB72" w14:textId="77777777" w:rsidR="006A5267" w:rsidRPr="00FC78F9" w:rsidRDefault="006A5267" w:rsidP="005D372A">
                              <w:pPr>
                                <w:spacing w:line="240" w:lineRule="exact"/>
                                <w:ind w:firstLineChars="300" w:firstLine="363"/>
                                <w:rPr>
                                  <w:color w:val="000000" w:themeColor="text1"/>
                                  <w:sz w:val="12"/>
                                  <w:szCs w:val="12"/>
                                </w:rPr>
                              </w:pPr>
                              <w:r w:rsidRPr="00806B54">
                                <w:rPr>
                                  <w:rFonts w:hint="eastAsia"/>
                                  <w:color w:val="000000" w:themeColor="text1"/>
                                  <w:sz w:val="12"/>
                                  <w:szCs w:val="12"/>
                                </w:rPr>
                                <w:t xml:space="preserve">　スマートシティ戦略部長</w:t>
                              </w:r>
                            </w:p>
                            <w:p w14:paraId="6F32CF91" w14:textId="77777777" w:rsidR="006A5267" w:rsidRDefault="006A5267" w:rsidP="005D372A">
                              <w:pPr>
                                <w:spacing w:line="240" w:lineRule="exact"/>
                                <w:ind w:firstLineChars="300" w:firstLine="483"/>
                                <w:rPr>
                                  <w:color w:val="000000" w:themeColor="text1"/>
                                  <w:sz w:val="16"/>
                                  <w:szCs w:val="16"/>
                                </w:rPr>
                              </w:pPr>
                              <w:r>
                                <w:rPr>
                                  <w:rFonts w:hint="eastAsia"/>
                                  <w:color w:val="000000" w:themeColor="text1"/>
                                  <w:sz w:val="16"/>
                                  <w:szCs w:val="16"/>
                                </w:rPr>
                                <w:t>財務部長</w:t>
                              </w:r>
                            </w:p>
                            <w:p w14:paraId="0B51CEA3" w14:textId="77777777" w:rsidR="006A5267" w:rsidRDefault="006A5267" w:rsidP="005D372A">
                              <w:pPr>
                                <w:spacing w:line="240" w:lineRule="exact"/>
                                <w:ind w:firstLineChars="300" w:firstLine="483"/>
                                <w:rPr>
                                  <w:color w:val="000000" w:themeColor="text1"/>
                                  <w:sz w:val="16"/>
                                  <w:szCs w:val="16"/>
                                </w:rPr>
                              </w:pPr>
                              <w:r>
                                <w:rPr>
                                  <w:rFonts w:hint="eastAsia"/>
                                  <w:color w:val="000000" w:themeColor="text1"/>
                                  <w:sz w:val="16"/>
                                  <w:szCs w:val="16"/>
                                </w:rPr>
                                <w:t>総務部長</w:t>
                              </w:r>
                            </w:p>
                            <w:p w14:paraId="5C70F87D" w14:textId="77777777" w:rsidR="006A5267" w:rsidRDefault="006A5267" w:rsidP="005D372A">
                              <w:pPr>
                                <w:spacing w:line="240" w:lineRule="exact"/>
                                <w:ind w:firstLineChars="300" w:firstLine="483"/>
                                <w:rPr>
                                  <w:color w:val="000000" w:themeColor="text1"/>
                                  <w:sz w:val="16"/>
                                  <w:szCs w:val="16"/>
                                </w:rPr>
                              </w:pPr>
                              <w:r>
                                <w:rPr>
                                  <w:rFonts w:hint="eastAsia"/>
                                  <w:color w:val="000000" w:themeColor="text1"/>
                                  <w:sz w:val="16"/>
                                  <w:szCs w:val="16"/>
                                </w:rPr>
                                <w:t>危機管理室長⑤</w:t>
                              </w:r>
                            </w:p>
                            <w:p w14:paraId="74F9B2DE" w14:textId="77777777" w:rsidR="006A5267" w:rsidRDefault="006A5267" w:rsidP="005D372A">
                              <w:pPr>
                                <w:spacing w:line="240" w:lineRule="exact"/>
                                <w:ind w:firstLineChars="300" w:firstLine="483"/>
                                <w:rPr>
                                  <w:color w:val="000000" w:themeColor="text1"/>
                                  <w:sz w:val="16"/>
                                  <w:szCs w:val="16"/>
                                </w:rPr>
                              </w:pPr>
                              <w:r>
                                <w:rPr>
                                  <w:rFonts w:hint="eastAsia"/>
                                  <w:color w:val="000000" w:themeColor="text1"/>
                                  <w:sz w:val="16"/>
                                  <w:szCs w:val="16"/>
                                </w:rPr>
                                <w:t>報道監</w:t>
                              </w:r>
                            </w:p>
                            <w:p w14:paraId="2A4FD839" w14:textId="77777777" w:rsidR="006A5267" w:rsidRPr="00A8725A" w:rsidRDefault="006A5267" w:rsidP="005D372A">
                              <w:pPr>
                                <w:spacing w:line="240" w:lineRule="exact"/>
                                <w:ind w:firstLineChars="300" w:firstLine="483"/>
                                <w:rPr>
                                  <w:color w:val="000000" w:themeColor="text1"/>
                                  <w:sz w:val="16"/>
                                  <w:szCs w:val="16"/>
                                </w:rPr>
                              </w:pPr>
                              <w:r>
                                <w:rPr>
                                  <w:rFonts w:hint="eastAsia"/>
                                  <w:color w:val="000000" w:themeColor="text1"/>
                                  <w:sz w:val="16"/>
                                  <w:szCs w:val="16"/>
                                </w:rPr>
                                <w:t>政策企画部長</w:t>
                              </w:r>
                            </w:p>
                          </w:txbxContent>
                        </wps:txbx>
                        <wps:bodyPr rot="0" spcFirstLastPara="0" vertOverflow="overflow" horzOverflow="overflow" vert="eaVert" wrap="square" lIns="0" tIns="0" rIns="0" bIns="0" numCol="1" spcCol="0" rtlCol="0" fromWordArt="0" anchor="ctr"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xmlns:w16cei="http://schemas.microsoft.com/office/word/2026/wordml/cei">
            <w:pict>
              <v:group w14:anchorId="12050AFE" id="グループ化 4893" o:spid="_x0000_s1200" style="position:absolute;left:0;text-align:left;margin-left:-9.05pt;margin-top:13.8pt;width:214.1pt;height:248.25pt;z-index:253003776;mso-width-relative:margin;mso-height-relative:margin" coordorigin="-1512,-4803" coordsize="27201,3153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">
                <v:line id="直線コネクタ 4894" o:spid="_x0000_s1201" style="position:absolute;rotation:-90;visibility:visible;mso-wrap-style:square" from="10565,2823" to="10565,2174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" strokecolor="windowText"/>
                <v:rect id="正方形/長方形 2" o:spid="_x0000_s1202" style="position:absolute;left:-3430;top:10015;width:8502;height:4666;rotation:-9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" fillcolor="window" strokecolor="windowText">
                  <v:textbox inset="0,0,0,0">
                    <w:txbxContent>
                      <w:p w14:paraId="2A245868" w14:textId="77777777" w:rsidR="006A5267" w:rsidRPr="0049553C" w:rsidRDefault="006A5267" w:rsidP="005D372A">
                        <w:pPr>
                          <w:spacing w:line="240" w:lineRule="exact"/>
                          <w:jc w:val="center"/>
                          <w:rPr>
                            <w:rFonts w:asciiTheme="majorEastAsia" w:eastAsiaTheme="majorEastAsia" w:hAnsiTheme="majorEastAsia"/>
                            <w:color w:val="000000" w:themeColor="text1"/>
                            <w:sz w:val="16"/>
                            <w:szCs w:val="16"/>
                          </w:rPr>
                        </w:pPr>
                        <w:r w:rsidRPr="0049553C">
                          <w:rPr>
                            <w:rFonts w:asciiTheme="majorEastAsia" w:eastAsiaTheme="majorEastAsia" w:hAnsiTheme="majorEastAsia" w:hint="eastAsia"/>
                            <w:color w:val="000000" w:themeColor="text1"/>
                            <w:sz w:val="16"/>
                            <w:szCs w:val="16"/>
                          </w:rPr>
                          <w:t>本部長</w:t>
                        </w:r>
                      </w:p>
                      <w:p w14:paraId="4F6045E7" w14:textId="77777777" w:rsidR="006A5267" w:rsidRPr="00A8725A" w:rsidRDefault="006A5267" w:rsidP="005D372A">
                        <w:pPr>
                          <w:spacing w:line="240" w:lineRule="exact"/>
                          <w:jc w:val="center"/>
                          <w:rPr>
                            <w:color w:val="000000" w:themeColor="text1"/>
                            <w:sz w:val="16"/>
                            <w:szCs w:val="16"/>
                          </w:rPr>
                        </w:pPr>
                        <w:r w:rsidRPr="00A8725A">
                          <w:rPr>
                            <w:rFonts w:hint="eastAsia"/>
                            <w:color w:val="000000" w:themeColor="text1"/>
                            <w:sz w:val="16"/>
                            <w:szCs w:val="16"/>
                          </w:rPr>
                          <w:t>（知事）</w:t>
                        </w:r>
                      </w:p>
                    </w:txbxContent>
                  </v:textbox>
                </v:rect>
                <v:rect id="正方形/長方形 3" o:spid="_x0000_s1203" style="position:absolute;left:1684;top:9076;width:11589;height:6827;rotation:-9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" fillcolor="window" strokecolor="windowText">
                  <v:textbox inset="0,0,0,0">
                    <w:txbxContent>
                      <w:p w14:paraId="67E128EA" w14:textId="77777777" w:rsidR="006A5267" w:rsidRPr="0049553C" w:rsidRDefault="006A5267" w:rsidP="005D372A">
                        <w:pPr>
                          <w:spacing w:line="240" w:lineRule="exact"/>
                          <w:jc w:val="center"/>
                          <w:rPr>
                            <w:rFonts w:asciiTheme="majorEastAsia" w:eastAsiaTheme="majorEastAsia" w:hAnsiTheme="majorEastAsia"/>
                            <w:color w:val="000000" w:themeColor="text1"/>
                            <w:sz w:val="16"/>
                            <w:szCs w:val="16"/>
                          </w:rPr>
                        </w:pPr>
                        <w:r w:rsidRPr="0049553C">
                          <w:rPr>
                            <w:rFonts w:asciiTheme="majorEastAsia" w:eastAsiaTheme="majorEastAsia" w:hAnsiTheme="majorEastAsia" w:hint="eastAsia"/>
                            <w:color w:val="000000" w:themeColor="text1"/>
                            <w:sz w:val="16"/>
                            <w:szCs w:val="16"/>
                          </w:rPr>
                          <w:t>副本部長</w:t>
                        </w:r>
                      </w:p>
                      <w:p w14:paraId="43EB7E76" w14:textId="77777777" w:rsidR="006A5267" w:rsidRDefault="006A5267" w:rsidP="005D372A">
                        <w:pPr>
                          <w:spacing w:line="240" w:lineRule="exact"/>
                          <w:jc w:val="center"/>
                          <w:rPr>
                            <w:color w:val="000000" w:themeColor="text1"/>
                            <w:sz w:val="16"/>
                            <w:szCs w:val="16"/>
                          </w:rPr>
                        </w:pPr>
                        <w:r w:rsidRPr="00A8725A">
                          <w:rPr>
                            <w:rFonts w:hint="eastAsia"/>
                            <w:color w:val="000000" w:themeColor="text1"/>
                            <w:sz w:val="16"/>
                            <w:szCs w:val="16"/>
                          </w:rPr>
                          <w:t>（</w:t>
                        </w:r>
                        <w:r>
                          <w:rPr>
                            <w:rFonts w:hint="eastAsia"/>
                            <w:color w:val="000000" w:themeColor="text1"/>
                            <w:sz w:val="16"/>
                            <w:szCs w:val="16"/>
                          </w:rPr>
                          <w:t>①～③副知事</w:t>
                        </w:r>
                        <w:r w:rsidRPr="00A8725A">
                          <w:rPr>
                            <w:rFonts w:hint="eastAsia"/>
                            <w:color w:val="000000" w:themeColor="text1"/>
                            <w:sz w:val="16"/>
                            <w:szCs w:val="16"/>
                          </w:rPr>
                          <w:t>）</w:t>
                        </w:r>
                      </w:p>
                      <w:p w14:paraId="3C5F4C75" w14:textId="77777777" w:rsidR="006A5267" w:rsidRDefault="006A5267" w:rsidP="005D372A">
                        <w:pPr>
                          <w:spacing w:line="240" w:lineRule="exact"/>
                          <w:jc w:val="center"/>
                          <w:rPr>
                            <w:color w:val="000000" w:themeColor="text1"/>
                            <w:sz w:val="16"/>
                            <w:szCs w:val="16"/>
                          </w:rPr>
                        </w:pPr>
                        <w:r>
                          <w:rPr>
                            <w:rFonts w:hint="eastAsia"/>
                            <w:color w:val="000000" w:themeColor="text1"/>
                            <w:sz w:val="16"/>
                            <w:szCs w:val="16"/>
                          </w:rPr>
                          <w:t>（④危機管理監</w:t>
                        </w:r>
                      </w:p>
                      <w:p w14:paraId="2F050B4F" w14:textId="77777777" w:rsidR="006A5267" w:rsidRPr="00A8725A" w:rsidRDefault="006A5267" w:rsidP="005D372A">
                        <w:pPr>
                          <w:spacing w:line="240" w:lineRule="exact"/>
                          <w:jc w:val="center"/>
                          <w:rPr>
                            <w:color w:val="000000" w:themeColor="text1"/>
                            <w:sz w:val="16"/>
                            <w:szCs w:val="16"/>
                          </w:rPr>
                        </w:pPr>
                        <w:r>
                          <w:rPr>
                            <w:rFonts w:hint="eastAsia"/>
                            <w:color w:val="000000" w:themeColor="text1"/>
                            <w:sz w:val="16"/>
                            <w:szCs w:val="16"/>
                          </w:rPr>
                          <w:t>（⑤危機管理室長</w:t>
                        </w:r>
                      </w:p>
                    </w:txbxContent>
                  </v:textbox>
                </v:rect>
                <v:rect id="正方形/長方形 4" o:spid="_x0000_s1204" style="position:absolute;left:2987;top:4032;width:31536;height:13866;rotation:-9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" fillcolor="window" strokecolor="windowText">
                  <v:textbox style="layout-flow:vertical-ideographic" inset="0,0,0,0">
                    <w:txbxContent>
                      <w:p w14:paraId="71C4C70D" w14:textId="77777777" w:rsidR="006A5267" w:rsidRDefault="006A5267" w:rsidP="005D372A">
                        <w:pPr>
                          <w:spacing w:line="240" w:lineRule="exact"/>
                          <w:ind w:firstLineChars="300" w:firstLine="483"/>
                          <w:rPr>
                            <w:color w:val="000000" w:themeColor="text1"/>
                            <w:sz w:val="16"/>
                            <w:szCs w:val="16"/>
                          </w:rPr>
                        </w:pPr>
                        <w:r>
                          <w:rPr>
                            <w:rFonts w:hint="eastAsia"/>
                            <w:color w:val="000000" w:themeColor="text1"/>
                            <w:sz w:val="16"/>
                            <w:szCs w:val="16"/>
                          </w:rPr>
                          <w:t>警察本部副本部長</w:t>
                        </w:r>
                      </w:p>
                      <w:p w14:paraId="2515268D" w14:textId="77777777" w:rsidR="006A5267" w:rsidRDefault="006A5267" w:rsidP="005D372A">
                        <w:pPr>
                          <w:spacing w:line="240" w:lineRule="exact"/>
                          <w:ind w:firstLineChars="300" w:firstLine="483"/>
                          <w:rPr>
                            <w:color w:val="000000" w:themeColor="text1"/>
                            <w:sz w:val="16"/>
                            <w:szCs w:val="16"/>
                          </w:rPr>
                        </w:pPr>
                        <w:r>
                          <w:rPr>
                            <w:rFonts w:hint="eastAsia"/>
                            <w:color w:val="000000" w:themeColor="text1"/>
                            <w:sz w:val="16"/>
                            <w:szCs w:val="16"/>
                          </w:rPr>
                          <w:t>教育長</w:t>
                        </w:r>
                      </w:p>
                      <w:p w14:paraId="3774A732" w14:textId="77777777" w:rsidR="006A5267" w:rsidRDefault="006A5267" w:rsidP="005D372A">
                        <w:pPr>
                          <w:spacing w:line="240" w:lineRule="exact"/>
                          <w:ind w:firstLineChars="300" w:firstLine="483"/>
                          <w:rPr>
                            <w:color w:val="000000" w:themeColor="text1"/>
                            <w:sz w:val="16"/>
                            <w:szCs w:val="16"/>
                          </w:rPr>
                        </w:pPr>
                        <w:r>
                          <w:rPr>
                            <w:rFonts w:hint="eastAsia"/>
                            <w:color w:val="000000" w:themeColor="text1"/>
                            <w:sz w:val="16"/>
                            <w:szCs w:val="16"/>
                          </w:rPr>
                          <w:t>会計管理者</w:t>
                        </w:r>
                      </w:p>
                      <w:p w14:paraId="113EF6F1" w14:textId="77777777" w:rsidR="006A5267" w:rsidRDefault="006A5267" w:rsidP="005D372A">
                        <w:pPr>
                          <w:spacing w:line="240" w:lineRule="exact"/>
                          <w:ind w:firstLineChars="300" w:firstLine="483"/>
                          <w:rPr>
                            <w:color w:val="000000" w:themeColor="text1"/>
                            <w:sz w:val="16"/>
                            <w:szCs w:val="16"/>
                          </w:rPr>
                        </w:pPr>
                      </w:p>
                      <w:p w14:paraId="379443DC" w14:textId="77777777" w:rsidR="006A5267" w:rsidRDefault="006A5267" w:rsidP="005D372A">
                        <w:pPr>
                          <w:spacing w:line="240" w:lineRule="exact"/>
                          <w:ind w:firstLineChars="300" w:firstLine="483"/>
                          <w:rPr>
                            <w:color w:val="000000" w:themeColor="text1"/>
                            <w:sz w:val="16"/>
                            <w:szCs w:val="16"/>
                          </w:rPr>
                        </w:pPr>
                        <w:r w:rsidRPr="00806B54">
                          <w:rPr>
                            <w:rFonts w:hint="eastAsia"/>
                            <w:color w:val="000000" w:themeColor="text1"/>
                            <w:sz w:val="16"/>
                            <w:szCs w:val="16"/>
                          </w:rPr>
                          <w:t>大阪港湾局長</w:t>
                        </w:r>
                      </w:p>
                      <w:p w14:paraId="4DFC0D43" w14:textId="77777777" w:rsidR="006A5267" w:rsidRPr="00806B54" w:rsidRDefault="006A5267" w:rsidP="005D372A">
                        <w:pPr>
                          <w:spacing w:line="240" w:lineRule="exact"/>
                          <w:ind w:firstLineChars="300" w:firstLine="483"/>
                          <w:rPr>
                            <w:color w:val="000000" w:themeColor="text1"/>
                            <w:sz w:val="16"/>
                            <w:szCs w:val="16"/>
                          </w:rPr>
                        </w:pPr>
                        <w:r>
                          <w:rPr>
                            <w:rFonts w:hint="eastAsia"/>
                            <w:color w:val="000000" w:themeColor="text1"/>
                            <w:sz w:val="16"/>
                            <w:szCs w:val="16"/>
                          </w:rPr>
                          <w:t>大阪都市計画局長</w:t>
                        </w:r>
                      </w:p>
                      <w:p w14:paraId="5995A1F9" w14:textId="77777777" w:rsidR="006A5267" w:rsidRPr="00806B54" w:rsidRDefault="006A5267" w:rsidP="005D372A">
                        <w:pPr>
                          <w:spacing w:line="240" w:lineRule="exact"/>
                          <w:ind w:firstLineChars="300" w:firstLine="483"/>
                          <w:rPr>
                            <w:color w:val="000000" w:themeColor="text1"/>
                            <w:sz w:val="16"/>
                            <w:szCs w:val="16"/>
                          </w:rPr>
                        </w:pPr>
                        <w:r w:rsidRPr="00806B54">
                          <w:rPr>
                            <w:rFonts w:hint="eastAsia"/>
                            <w:color w:val="000000" w:themeColor="text1"/>
                            <w:sz w:val="16"/>
                            <w:szCs w:val="16"/>
                          </w:rPr>
                          <w:t>都市整備部長</w:t>
                        </w:r>
                      </w:p>
                      <w:p w14:paraId="5C73B71B" w14:textId="77777777" w:rsidR="006A5267" w:rsidRPr="00806B54" w:rsidRDefault="006A5267" w:rsidP="005D372A">
                        <w:pPr>
                          <w:spacing w:line="240" w:lineRule="exact"/>
                          <w:ind w:firstLineChars="300" w:firstLine="483"/>
                          <w:rPr>
                            <w:color w:val="000000" w:themeColor="text1"/>
                            <w:sz w:val="16"/>
                            <w:szCs w:val="16"/>
                          </w:rPr>
                        </w:pPr>
                        <w:r w:rsidRPr="00806B54">
                          <w:rPr>
                            <w:rFonts w:hint="eastAsia"/>
                            <w:color w:val="000000" w:themeColor="text1"/>
                            <w:sz w:val="16"/>
                            <w:szCs w:val="16"/>
                          </w:rPr>
                          <w:t>環境農林水産部長</w:t>
                        </w:r>
                      </w:p>
                      <w:p w14:paraId="5E4464FE" w14:textId="77777777" w:rsidR="006A5267" w:rsidRPr="00806B54" w:rsidRDefault="006A5267" w:rsidP="005D372A">
                        <w:pPr>
                          <w:spacing w:line="240" w:lineRule="exact"/>
                          <w:ind w:firstLineChars="100" w:firstLine="161"/>
                          <w:rPr>
                            <w:color w:val="000000" w:themeColor="text1"/>
                            <w:sz w:val="16"/>
                            <w:szCs w:val="16"/>
                          </w:rPr>
                        </w:pPr>
                        <w:r w:rsidRPr="00806B54">
                          <w:rPr>
                            <w:rFonts w:asciiTheme="majorEastAsia" w:eastAsiaTheme="majorEastAsia" w:hAnsiTheme="majorEastAsia" w:hint="eastAsia"/>
                            <w:color w:val="000000" w:themeColor="text1"/>
                            <w:sz w:val="16"/>
                            <w:szCs w:val="16"/>
                          </w:rPr>
                          <w:t>員</w:t>
                        </w:r>
                        <w:r w:rsidRPr="00806B54">
                          <w:rPr>
                            <w:rFonts w:hint="eastAsia"/>
                            <w:color w:val="000000" w:themeColor="text1"/>
                            <w:sz w:val="16"/>
                            <w:szCs w:val="16"/>
                          </w:rPr>
                          <w:t xml:space="preserve">　商工労働部長</w:t>
                        </w:r>
                      </w:p>
                      <w:p w14:paraId="00E34A7B" w14:textId="77777777" w:rsidR="006A5267" w:rsidRPr="00806B54" w:rsidRDefault="006A5267" w:rsidP="005D372A">
                        <w:pPr>
                          <w:spacing w:line="240" w:lineRule="exact"/>
                          <w:ind w:firstLineChars="100" w:firstLine="161"/>
                          <w:rPr>
                            <w:color w:val="000000" w:themeColor="text1"/>
                            <w:sz w:val="16"/>
                            <w:szCs w:val="16"/>
                          </w:rPr>
                        </w:pPr>
                        <w:r w:rsidRPr="00806B54">
                          <w:rPr>
                            <w:rFonts w:asciiTheme="majorEastAsia" w:eastAsiaTheme="majorEastAsia" w:hAnsiTheme="majorEastAsia" w:hint="eastAsia"/>
                            <w:color w:val="000000" w:themeColor="text1"/>
                            <w:sz w:val="16"/>
                            <w:szCs w:val="16"/>
                          </w:rPr>
                          <w:t>部</w:t>
                        </w:r>
                        <w:r w:rsidRPr="00806B54">
                          <w:rPr>
                            <w:rFonts w:hint="eastAsia"/>
                            <w:color w:val="000000" w:themeColor="text1"/>
                            <w:sz w:val="16"/>
                            <w:szCs w:val="16"/>
                          </w:rPr>
                          <w:t xml:space="preserve">　健康医療部長</w:t>
                        </w:r>
                      </w:p>
                      <w:p w14:paraId="2AACFADF" w14:textId="77777777" w:rsidR="006A5267" w:rsidRPr="00806B54" w:rsidRDefault="006A5267" w:rsidP="005D372A">
                        <w:pPr>
                          <w:spacing w:line="240" w:lineRule="exact"/>
                          <w:ind w:firstLineChars="100" w:firstLine="161"/>
                          <w:rPr>
                            <w:color w:val="000000" w:themeColor="text1"/>
                            <w:sz w:val="16"/>
                            <w:szCs w:val="16"/>
                          </w:rPr>
                        </w:pPr>
                        <w:r w:rsidRPr="00806B54">
                          <w:rPr>
                            <w:rFonts w:asciiTheme="majorEastAsia" w:eastAsiaTheme="majorEastAsia" w:hAnsiTheme="majorEastAsia" w:hint="eastAsia"/>
                            <w:color w:val="000000" w:themeColor="text1"/>
                            <w:sz w:val="16"/>
                            <w:szCs w:val="16"/>
                          </w:rPr>
                          <w:t>本</w:t>
                        </w:r>
                        <w:r w:rsidRPr="00806B54">
                          <w:rPr>
                            <w:rFonts w:hint="eastAsia"/>
                            <w:color w:val="000000" w:themeColor="text1"/>
                            <w:sz w:val="16"/>
                            <w:szCs w:val="16"/>
                          </w:rPr>
                          <w:t xml:space="preserve">　福祉部長</w:t>
                        </w:r>
                      </w:p>
                      <w:p w14:paraId="4920FA9B" w14:textId="77777777" w:rsidR="006A5267" w:rsidRPr="00806B54" w:rsidRDefault="006A5267" w:rsidP="005D372A">
                        <w:pPr>
                          <w:spacing w:line="240" w:lineRule="exact"/>
                          <w:ind w:firstLineChars="100" w:firstLine="161"/>
                          <w:rPr>
                            <w:color w:val="000000" w:themeColor="text1"/>
                            <w:sz w:val="16"/>
                            <w:szCs w:val="16"/>
                          </w:rPr>
                        </w:pPr>
                        <w:r w:rsidRPr="00806B54">
                          <w:rPr>
                            <w:rFonts w:hint="eastAsia"/>
                            <w:color w:val="000000" w:themeColor="text1"/>
                            <w:sz w:val="16"/>
                            <w:szCs w:val="16"/>
                          </w:rPr>
                          <w:t xml:space="preserve">　　</w:t>
                        </w:r>
                        <w:r w:rsidRPr="00806B54">
                          <w:rPr>
                            <w:rFonts w:hint="eastAsia"/>
                            <w:color w:val="000000" w:themeColor="text1"/>
                            <w:sz w:val="16"/>
                            <w:szCs w:val="16"/>
                          </w:rPr>
                          <w:t>IR</w:t>
                        </w:r>
                        <w:r w:rsidRPr="00806B54">
                          <w:rPr>
                            <w:rFonts w:hint="eastAsia"/>
                            <w:color w:val="000000" w:themeColor="text1"/>
                            <w:sz w:val="16"/>
                            <w:szCs w:val="16"/>
                          </w:rPr>
                          <w:t>推進局長</w:t>
                        </w:r>
                      </w:p>
                      <w:p w14:paraId="113AD721" w14:textId="77777777" w:rsidR="006A5267" w:rsidRPr="00806B54" w:rsidRDefault="006A5267" w:rsidP="005D372A">
                        <w:pPr>
                          <w:spacing w:line="240" w:lineRule="exact"/>
                          <w:ind w:firstLineChars="300" w:firstLine="483"/>
                          <w:rPr>
                            <w:color w:val="000000" w:themeColor="text1"/>
                            <w:sz w:val="16"/>
                            <w:szCs w:val="16"/>
                          </w:rPr>
                        </w:pPr>
                        <w:r w:rsidRPr="00806B54">
                          <w:rPr>
                            <w:rFonts w:hint="eastAsia"/>
                            <w:color w:val="000000" w:themeColor="text1"/>
                            <w:sz w:val="16"/>
                            <w:szCs w:val="16"/>
                          </w:rPr>
                          <w:t>府民文化部長</w:t>
                        </w:r>
                      </w:p>
                      <w:p w14:paraId="195BBB72" w14:textId="77777777" w:rsidR="006A5267" w:rsidRPr="00FC78F9" w:rsidRDefault="006A5267" w:rsidP="005D372A">
                        <w:pPr>
                          <w:spacing w:line="240" w:lineRule="exact"/>
                          <w:ind w:firstLineChars="300" w:firstLine="363"/>
                          <w:rPr>
                            <w:color w:val="000000" w:themeColor="text1"/>
                            <w:sz w:val="12"/>
                            <w:szCs w:val="12"/>
                          </w:rPr>
                        </w:pPr>
                        <w:r w:rsidRPr="00806B54">
                          <w:rPr>
                            <w:rFonts w:hint="eastAsia"/>
                            <w:color w:val="000000" w:themeColor="text1"/>
                            <w:sz w:val="12"/>
                            <w:szCs w:val="12"/>
                          </w:rPr>
                          <w:t xml:space="preserve">　スマートシティ戦略部長</w:t>
                        </w:r>
                      </w:p>
                      <w:p w14:paraId="6F32CF91" w14:textId="77777777" w:rsidR="006A5267" w:rsidRDefault="006A5267" w:rsidP="005D372A">
                        <w:pPr>
                          <w:spacing w:line="240" w:lineRule="exact"/>
                          <w:ind w:firstLineChars="300" w:firstLine="483"/>
                          <w:rPr>
                            <w:color w:val="000000" w:themeColor="text1"/>
                            <w:sz w:val="16"/>
                            <w:szCs w:val="16"/>
                          </w:rPr>
                        </w:pPr>
                        <w:r>
                          <w:rPr>
                            <w:rFonts w:hint="eastAsia"/>
                            <w:color w:val="000000" w:themeColor="text1"/>
                            <w:sz w:val="16"/>
                            <w:szCs w:val="16"/>
                          </w:rPr>
                          <w:t>財務部長</w:t>
                        </w:r>
                      </w:p>
                      <w:p w14:paraId="0B51CEA3" w14:textId="77777777" w:rsidR="006A5267" w:rsidRDefault="006A5267" w:rsidP="005D372A">
                        <w:pPr>
                          <w:spacing w:line="240" w:lineRule="exact"/>
                          <w:ind w:firstLineChars="300" w:firstLine="483"/>
                          <w:rPr>
                            <w:color w:val="000000" w:themeColor="text1"/>
                            <w:sz w:val="16"/>
                            <w:szCs w:val="16"/>
                          </w:rPr>
                        </w:pPr>
                        <w:r>
                          <w:rPr>
                            <w:rFonts w:hint="eastAsia"/>
                            <w:color w:val="000000" w:themeColor="text1"/>
                            <w:sz w:val="16"/>
                            <w:szCs w:val="16"/>
                          </w:rPr>
                          <w:t>総務部長</w:t>
                        </w:r>
                      </w:p>
                      <w:p w14:paraId="5C70F87D" w14:textId="77777777" w:rsidR="006A5267" w:rsidRDefault="006A5267" w:rsidP="005D372A">
                        <w:pPr>
                          <w:spacing w:line="240" w:lineRule="exact"/>
                          <w:ind w:firstLineChars="300" w:firstLine="483"/>
                          <w:rPr>
                            <w:color w:val="000000" w:themeColor="text1"/>
                            <w:sz w:val="16"/>
                            <w:szCs w:val="16"/>
                          </w:rPr>
                        </w:pPr>
                        <w:r>
                          <w:rPr>
                            <w:rFonts w:hint="eastAsia"/>
                            <w:color w:val="000000" w:themeColor="text1"/>
                            <w:sz w:val="16"/>
                            <w:szCs w:val="16"/>
                          </w:rPr>
                          <w:t>危機管理室長⑤</w:t>
                        </w:r>
                      </w:p>
                      <w:p w14:paraId="74F9B2DE" w14:textId="77777777" w:rsidR="006A5267" w:rsidRDefault="006A5267" w:rsidP="005D372A">
                        <w:pPr>
                          <w:spacing w:line="240" w:lineRule="exact"/>
                          <w:ind w:firstLineChars="300" w:firstLine="483"/>
                          <w:rPr>
                            <w:color w:val="000000" w:themeColor="text1"/>
                            <w:sz w:val="16"/>
                            <w:szCs w:val="16"/>
                          </w:rPr>
                        </w:pPr>
                        <w:r>
                          <w:rPr>
                            <w:rFonts w:hint="eastAsia"/>
                            <w:color w:val="000000" w:themeColor="text1"/>
                            <w:sz w:val="16"/>
                            <w:szCs w:val="16"/>
                          </w:rPr>
                          <w:t>報道監</w:t>
                        </w:r>
                      </w:p>
                      <w:p w14:paraId="2A4FD839" w14:textId="77777777" w:rsidR="006A5267" w:rsidRPr="00A8725A" w:rsidRDefault="006A5267" w:rsidP="005D372A">
                        <w:pPr>
                          <w:spacing w:line="240" w:lineRule="exact"/>
                          <w:ind w:firstLineChars="300" w:firstLine="483"/>
                          <w:rPr>
                            <w:color w:val="000000" w:themeColor="text1"/>
                            <w:sz w:val="16"/>
                            <w:szCs w:val="16"/>
                          </w:rPr>
                        </w:pPr>
                        <w:r>
                          <w:rPr>
                            <w:rFonts w:hint="eastAsia"/>
                            <w:color w:val="000000" w:themeColor="text1"/>
                            <w:sz w:val="16"/>
                            <w:szCs w:val="16"/>
                          </w:rPr>
                          <w:t>政策企画部長</w:t>
                        </w:r>
                      </w:p>
                    </w:txbxContent>
                  </v:textbox>
                </v:rect>
              </v:group>
            </w:pict>
          </mc:Fallback>
        </mc:AlternateContent>
      </w:r>
    </w:p>
    <w:p w14:paraId="2533C4AF" w14:textId="77777777" w:rsidR="005D372A" w:rsidRPr="001D6D10" w:rsidRDefault="005D372A" w:rsidP="005D372A">
      <w:r w:rsidRPr="001D6D10">
        <w:rPr>
          <w:noProof/>
        </w:rPr>
        <mc:AlternateContent>
          <mc:Choice Requires="wpg">
            <w:drawing>
              <wp:anchor distT="0" distB="0" distL="114300" distR="114300" simplePos="0" relativeHeight="253002752" behindDoc="0" locked="0" layoutInCell="1" allowOverlap="1" wp14:anchorId="5A228593" wp14:editId="0E3A7584">
                <wp:simplePos x="0" y="0"/>
                <wp:positionH relativeFrom="column">
                  <wp:posOffset>-121284</wp:posOffset>
                </wp:positionH>
                <wp:positionV relativeFrom="paragraph">
                  <wp:posOffset>227330</wp:posOffset>
                </wp:positionV>
                <wp:extent cx="2702560" cy="2884170"/>
                <wp:effectExtent l="4445" t="0" r="26035" b="26035"/>
                <wp:wrapNone/>
                <wp:docPr id="4890" name="グループ化 4890"/>
                <wp:cNvGraphicFramePr/>
                <a:graphic xmlns:a="http://schemas.openxmlformats.org/drawingml/2006/main">
                  <a:graphicData uri="http://schemas.microsoft.com/office/word/2010/wordprocessingGroup">
                    <wpg:wgp>
                      <wpg:cNvGrpSpPr/>
                      <wpg:grpSpPr>
                        <a:xfrm rot="16200000">
                          <a:off x="0" y="0"/>
                          <a:ext cx="2702560" cy="2884170"/>
                          <a:chOff x="-1" y="-6184"/>
                          <a:chExt cx="2973070" cy="3340498"/>
                        </a:xfrm>
                      </wpg:grpSpPr>
                      <wps:wsp>
                        <wps:cNvPr id="4891" name="正方形/長方形 4891"/>
                        <wps:cNvSpPr/>
                        <wps:spPr>
                          <a:xfrm>
                            <a:off x="-1" y="111320"/>
                            <a:ext cx="2973070" cy="3222994"/>
                          </a:xfrm>
                          <a:prstGeom prst="rect">
                            <a:avLst/>
                          </a:prstGeom>
                          <a:solidFill>
                            <a:sysClr val="window" lastClr="FFFFFF"/>
                          </a:solidFill>
                          <a:ln w="6350" cap="flat" cmpd="sng" algn="ctr">
                            <a:solidFill>
                              <a:sysClr val="windowText" lastClr="000000"/>
                            </a:solidFill>
                            <a:prstDash val="dash"/>
                          </a:ln>
                          <a:effectLst/>
                        </wps:spPr>
                        <wps:bodyPr rot="0" spcFirstLastPara="0" vertOverflow="overflow" horzOverflow="overflow" vert="horz" wrap="square" lIns="0" tIns="0" rIns="0" bIns="0" numCol="1" spcCol="0" rtlCol="0" fromWordArt="0" anchor="ctr" anchorCtr="0" forceAA="0" compatLnSpc="1">
                          <a:prstTxWarp prst="textNoShape">
                            <a:avLst/>
                          </a:prstTxWarp>
                          <a:noAutofit/>
                        </wps:bodyPr>
                      </wps:wsp>
                      <wps:wsp>
                        <wps:cNvPr id="4892" name="正方形/長方形 4892"/>
                        <wps:cNvSpPr/>
                        <wps:spPr>
                          <a:xfrm>
                            <a:off x="98409" y="-6184"/>
                            <a:ext cx="850265" cy="230505"/>
                          </a:xfrm>
                          <a:prstGeom prst="rect">
                            <a:avLst/>
                          </a:prstGeom>
                          <a:solidFill>
                            <a:sysClr val="window" lastClr="FFFFFF"/>
                          </a:solidFill>
                          <a:ln w="9525" cap="flat" cmpd="sng" algn="ctr">
                            <a:noFill/>
                            <a:prstDash val="solid"/>
                          </a:ln>
                          <a:effectLst/>
                        </wps:spPr>
                        <wps:txbx>
                          <w:txbxContent>
                            <w:p w14:paraId="7185FCED" w14:textId="77777777" w:rsidR="006A5267" w:rsidRPr="0049553C" w:rsidRDefault="006A5267" w:rsidP="005D372A">
                              <w:pPr>
                                <w:spacing w:line="240" w:lineRule="exact"/>
                                <w:jc w:val="center"/>
                                <w:rPr>
                                  <w:rFonts w:asciiTheme="majorEastAsia" w:eastAsiaTheme="majorEastAsia" w:hAnsiTheme="majorEastAsia"/>
                                  <w:color w:val="000000" w:themeColor="text1"/>
                                  <w:sz w:val="16"/>
                                  <w:szCs w:val="16"/>
                                </w:rPr>
                              </w:pPr>
                              <w:r w:rsidRPr="0049553C">
                                <w:rPr>
                                  <w:rFonts w:asciiTheme="majorEastAsia" w:eastAsiaTheme="majorEastAsia" w:hAnsiTheme="majorEastAsia" w:hint="eastAsia"/>
                                  <w:color w:val="000000" w:themeColor="text1"/>
                                  <w:sz w:val="16"/>
                                  <w:szCs w:val="16"/>
                                </w:rPr>
                                <w:t>災害対策本部</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xmlns:w16cei="http://schemas.microsoft.com/office/word/2026/wordml/cei">
            <w:pict>
              <v:group w14:anchorId="5A228593" id="グループ化 4890" o:spid="_x0000_s1205" style="position:absolute;left:0;text-align:left;margin-left:-9.55pt;margin-top:17.9pt;width:212.8pt;height:227.1pt;rotation:-90;z-index:253002752;mso-width-relative:margin;mso-height-relative:margin" coordorigin=",-61" coordsize="29730,3340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">
                <v:rect id="正方形/長方形 4891" o:spid="_x0000_s1206" style="position:absolute;top:1113;width:29730;height:3223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" fillcolor="window" strokecolor="windowText" strokeweight=".5pt">
                  <v:stroke dashstyle="dash"/>
                  <v:textbox inset="0,0,0,0"/>
                </v:rect>
                <v:rect id="正方形/長方形 4892" o:spid="_x0000_s1207" style="position:absolute;left:984;top:-61;width:8502;height:230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" fillcolor="window" stroked="f">
                  <v:textbox inset="0,0,0,0">
                    <w:txbxContent>
                      <w:p w14:paraId="7185FCED" w14:textId="77777777" w:rsidR="006A5267" w:rsidRPr="0049553C" w:rsidRDefault="006A5267" w:rsidP="005D372A">
                        <w:pPr>
                          <w:spacing w:line="240" w:lineRule="exact"/>
                          <w:jc w:val="center"/>
                          <w:rPr>
                            <w:rFonts w:asciiTheme="majorEastAsia" w:eastAsiaTheme="majorEastAsia" w:hAnsiTheme="majorEastAsia"/>
                            <w:color w:val="000000" w:themeColor="text1"/>
                            <w:sz w:val="16"/>
                            <w:szCs w:val="16"/>
                          </w:rPr>
                        </w:pPr>
                        <w:r w:rsidRPr="0049553C">
                          <w:rPr>
                            <w:rFonts w:asciiTheme="majorEastAsia" w:eastAsiaTheme="majorEastAsia" w:hAnsiTheme="majorEastAsia" w:hint="eastAsia"/>
                            <w:color w:val="000000" w:themeColor="text1"/>
                            <w:sz w:val="16"/>
                            <w:szCs w:val="16"/>
                          </w:rPr>
                          <w:t>災害対策本部</w:t>
                        </w:r>
                      </w:p>
                    </w:txbxContent>
                  </v:textbox>
                </v:rect>
              </v:group>
            </w:pict>
          </mc:Fallback>
        </mc:AlternateContent>
      </w:r>
    </w:p>
    <w:p w14:paraId="4E0D2F70" w14:textId="77777777" w:rsidR="005D372A" w:rsidRPr="001D6D10" w:rsidRDefault="005D372A" w:rsidP="005D372A">
      <w:r w:rsidRPr="001D6D10">
        <w:rPr>
          <w:noProof/>
        </w:rPr>
        <mc:AlternateContent>
          <mc:Choice Requires="wps">
            <w:drawing>
              <wp:anchor distT="0" distB="0" distL="114300" distR="114300" simplePos="0" relativeHeight="253015040" behindDoc="0" locked="0" layoutInCell="1" allowOverlap="1" wp14:anchorId="240B1CD0" wp14:editId="73BAFAC7">
                <wp:simplePos x="0" y="0"/>
                <wp:positionH relativeFrom="column">
                  <wp:posOffset>551815</wp:posOffset>
                </wp:positionH>
                <wp:positionV relativeFrom="paragraph">
                  <wp:posOffset>85090</wp:posOffset>
                </wp:positionV>
                <wp:extent cx="601345" cy="690245"/>
                <wp:effectExtent l="12700" t="6350" r="1905" b="1905"/>
                <wp:wrapNone/>
                <wp:docPr id="4901" name="正方形/長方形 4901"/>
                <wp:cNvGraphicFramePr/>
                <a:graphic xmlns:a="http://schemas.openxmlformats.org/drawingml/2006/main">
                  <a:graphicData uri="http://schemas.microsoft.com/office/word/2010/wordprocessingShape">
                    <wps:wsp>
                      <wps:cNvSpPr/>
                      <wps:spPr>
                        <a:xfrm rot="16200000">
                          <a:off x="0" y="0"/>
                          <a:ext cx="601345" cy="690245"/>
                        </a:xfrm>
                        <a:prstGeom prst="rect">
                          <a:avLst/>
                        </a:prstGeom>
                        <a:noFill/>
                        <a:ln w="9525" cap="flat" cmpd="sng" algn="ctr">
                          <a:noFill/>
                          <a:prstDash val="solid"/>
                        </a:ln>
                        <a:effectLst/>
                      </wps:spPr>
                      <wps:txbx>
                        <w:txbxContent>
                          <w:p w14:paraId="3E7E4384" w14:textId="77777777" w:rsidR="006A5267" w:rsidRDefault="006A5267" w:rsidP="005D372A">
                            <w:pPr>
                              <w:rPr>
                                <w:rFonts w:asciiTheme="majorEastAsia" w:eastAsiaTheme="majorEastAsia" w:hAnsiTheme="majorEastAsia"/>
                                <w:color w:val="000000" w:themeColor="text1"/>
                                <w:sz w:val="16"/>
                                <w:szCs w:val="16"/>
                              </w:rPr>
                            </w:pPr>
                            <w:r>
                              <w:rPr>
                                <w:rFonts w:asciiTheme="majorEastAsia" w:eastAsiaTheme="majorEastAsia" w:hAnsiTheme="majorEastAsia" w:hint="eastAsia"/>
                                <w:color w:val="000000" w:themeColor="text1"/>
                                <w:sz w:val="16"/>
                                <w:szCs w:val="16"/>
                              </w:rPr>
                              <w:t>○数字は</w:t>
                            </w:r>
                          </w:p>
                          <w:p w14:paraId="0CF0F653" w14:textId="77777777" w:rsidR="006A5267" w:rsidRDefault="006A5267" w:rsidP="005D372A">
                            <w:pPr>
                              <w:rPr>
                                <w:rFonts w:asciiTheme="majorEastAsia" w:eastAsiaTheme="majorEastAsia" w:hAnsiTheme="majorEastAsia"/>
                                <w:color w:val="000000" w:themeColor="text1"/>
                                <w:sz w:val="16"/>
                                <w:szCs w:val="16"/>
                              </w:rPr>
                            </w:pPr>
                            <w:r>
                              <w:rPr>
                                <w:rFonts w:asciiTheme="majorEastAsia" w:eastAsiaTheme="majorEastAsia" w:hAnsiTheme="majorEastAsia" w:hint="eastAsia"/>
                                <w:color w:val="000000" w:themeColor="text1"/>
                                <w:sz w:val="16"/>
                                <w:szCs w:val="16"/>
                              </w:rPr>
                              <w:t>本部長の</w:t>
                            </w:r>
                          </w:p>
                          <w:p w14:paraId="132679B0" w14:textId="77777777" w:rsidR="006A5267" w:rsidRPr="0049553C" w:rsidRDefault="006A5267" w:rsidP="005D372A">
                            <w:pPr>
                              <w:rPr>
                                <w:rFonts w:asciiTheme="majorEastAsia" w:eastAsiaTheme="majorEastAsia" w:hAnsiTheme="majorEastAsia"/>
                                <w:color w:val="000000" w:themeColor="text1"/>
                                <w:sz w:val="16"/>
                                <w:szCs w:val="16"/>
                              </w:rPr>
                            </w:pPr>
                            <w:r>
                              <w:rPr>
                                <w:rFonts w:asciiTheme="majorEastAsia" w:eastAsiaTheme="majorEastAsia" w:hAnsiTheme="majorEastAsia" w:hint="eastAsia"/>
                                <w:color w:val="000000" w:themeColor="text1"/>
                                <w:sz w:val="16"/>
                                <w:szCs w:val="16"/>
                              </w:rPr>
                              <w:t>代理順序</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rect w14:anchorId="240B1CD0" id="正方形/長方形 4901" o:spid="_x0000_s1208" style="position:absolute;left:0;text-align:left;margin-left:43.45pt;margin-top:6.7pt;width:47.35pt;height:54.35pt;rotation:-90;z-index:2530150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" filled="f" stroked="f">
                <v:textbox inset="0,0,0,0">
                  <w:txbxContent>
                    <w:p w14:paraId="3E7E4384" w14:textId="77777777" w:rsidR="006A5267" w:rsidRDefault="006A5267" w:rsidP="005D372A">
                      <w:pPr>
                        <w:rPr>
                          <w:rFonts w:asciiTheme="majorEastAsia" w:eastAsiaTheme="majorEastAsia" w:hAnsiTheme="majorEastAsia"/>
                          <w:color w:val="000000" w:themeColor="text1"/>
                          <w:sz w:val="16"/>
                          <w:szCs w:val="16"/>
                        </w:rPr>
                      </w:pPr>
                      <w:r>
                        <w:rPr>
                          <w:rFonts w:asciiTheme="majorEastAsia" w:eastAsiaTheme="majorEastAsia" w:hAnsiTheme="majorEastAsia" w:hint="eastAsia"/>
                          <w:color w:val="000000" w:themeColor="text1"/>
                          <w:sz w:val="16"/>
                          <w:szCs w:val="16"/>
                        </w:rPr>
                        <w:t>○数字は</w:t>
                      </w:r>
                    </w:p>
                    <w:p w14:paraId="0CF0F653" w14:textId="77777777" w:rsidR="006A5267" w:rsidRDefault="006A5267" w:rsidP="005D372A">
                      <w:pPr>
                        <w:rPr>
                          <w:rFonts w:asciiTheme="majorEastAsia" w:eastAsiaTheme="majorEastAsia" w:hAnsiTheme="majorEastAsia"/>
                          <w:color w:val="000000" w:themeColor="text1"/>
                          <w:sz w:val="16"/>
                          <w:szCs w:val="16"/>
                        </w:rPr>
                      </w:pPr>
                      <w:r>
                        <w:rPr>
                          <w:rFonts w:asciiTheme="majorEastAsia" w:eastAsiaTheme="majorEastAsia" w:hAnsiTheme="majorEastAsia" w:hint="eastAsia"/>
                          <w:color w:val="000000" w:themeColor="text1"/>
                          <w:sz w:val="16"/>
                          <w:szCs w:val="16"/>
                        </w:rPr>
                        <w:t>本部長の</w:t>
                      </w:r>
                    </w:p>
                    <w:p w14:paraId="132679B0" w14:textId="77777777" w:rsidR="006A5267" w:rsidRPr="0049553C" w:rsidRDefault="006A5267" w:rsidP="005D372A">
                      <w:pPr>
                        <w:rPr>
                          <w:rFonts w:asciiTheme="majorEastAsia" w:eastAsiaTheme="majorEastAsia" w:hAnsiTheme="majorEastAsia"/>
                          <w:color w:val="000000" w:themeColor="text1"/>
                          <w:sz w:val="16"/>
                          <w:szCs w:val="16"/>
                        </w:rPr>
                      </w:pPr>
                      <w:r>
                        <w:rPr>
                          <w:rFonts w:asciiTheme="majorEastAsia" w:eastAsiaTheme="majorEastAsia" w:hAnsiTheme="majorEastAsia" w:hint="eastAsia"/>
                          <w:color w:val="000000" w:themeColor="text1"/>
                          <w:sz w:val="16"/>
                          <w:szCs w:val="16"/>
                        </w:rPr>
                        <w:t>代理順序</w:t>
                      </w:r>
                    </w:p>
                  </w:txbxContent>
                </v:textbox>
              </v:rect>
            </w:pict>
          </mc:Fallback>
        </mc:AlternateContent>
      </w:r>
    </w:p>
    <w:p w14:paraId="6AE1A890" w14:textId="77777777" w:rsidR="005D372A" w:rsidRPr="001D6D10" w:rsidRDefault="005D372A" w:rsidP="005D372A">
      <w:r w:rsidRPr="001D6D10">
        <w:rPr>
          <w:noProof/>
        </w:rPr>
        <mc:AlternateContent>
          <mc:Choice Requires="wpg">
            <w:drawing>
              <wp:anchor distT="0" distB="0" distL="114300" distR="114300" simplePos="0" relativeHeight="253008896" behindDoc="0" locked="0" layoutInCell="1" allowOverlap="1" wp14:anchorId="6509A770" wp14:editId="7C766924">
                <wp:simplePos x="0" y="0"/>
                <wp:positionH relativeFrom="column">
                  <wp:posOffset>2956877</wp:posOffset>
                </wp:positionH>
                <wp:positionV relativeFrom="paragraph">
                  <wp:posOffset>70485</wp:posOffset>
                </wp:positionV>
                <wp:extent cx="2719074" cy="2880360"/>
                <wp:effectExtent l="0" t="0" r="24130" b="15240"/>
                <wp:wrapNone/>
                <wp:docPr id="223" name="グループ化 223"/>
                <wp:cNvGraphicFramePr/>
                <a:graphic xmlns:a="http://schemas.openxmlformats.org/drawingml/2006/main">
                  <a:graphicData uri="http://schemas.microsoft.com/office/word/2010/wordprocessingGroup">
                    <wpg:wgp>
                      <wpg:cNvGrpSpPr/>
                      <wpg:grpSpPr>
                        <a:xfrm>
                          <a:off x="0" y="0"/>
                          <a:ext cx="2719074" cy="2880360"/>
                          <a:chOff x="-27838" y="0"/>
                          <a:chExt cx="2719715" cy="2880360"/>
                        </a:xfrm>
                      </wpg:grpSpPr>
                      <wpg:grpSp>
                        <wpg:cNvPr id="4834" name="グループ化 4834"/>
                        <wpg:cNvGrpSpPr/>
                        <wpg:grpSpPr>
                          <a:xfrm>
                            <a:off x="-27838" y="0"/>
                            <a:ext cx="2719715" cy="2880360"/>
                            <a:chOff x="-27838" y="0"/>
                            <a:chExt cx="2719715" cy="2880360"/>
                          </a:xfrm>
                        </wpg:grpSpPr>
                        <wps:wsp>
                          <wps:cNvPr id="4838" name="正方形/長方形 4838"/>
                          <wps:cNvSpPr/>
                          <wps:spPr>
                            <a:xfrm rot="16200000">
                              <a:off x="-337718" y="1312167"/>
                              <a:ext cx="850265" cy="230505"/>
                            </a:xfrm>
                            <a:prstGeom prst="rect">
                              <a:avLst/>
                            </a:prstGeom>
                            <a:solidFill>
                              <a:sysClr val="window" lastClr="FFFFFF"/>
                            </a:solidFill>
                            <a:ln w="9525" cap="flat" cmpd="sng" algn="ctr">
                              <a:noFill/>
                              <a:prstDash val="solid"/>
                            </a:ln>
                            <a:effectLst/>
                          </wps:spPr>
                          <wps:txbx>
                            <w:txbxContent>
                              <w:p w14:paraId="7FBB58DF" w14:textId="77777777" w:rsidR="006A5267" w:rsidRPr="0049553C" w:rsidRDefault="006A5267" w:rsidP="005D372A">
                                <w:pPr>
                                  <w:spacing w:line="240" w:lineRule="exact"/>
                                  <w:jc w:val="center"/>
                                  <w:rPr>
                                    <w:rFonts w:asciiTheme="majorEastAsia" w:eastAsiaTheme="majorEastAsia" w:hAnsiTheme="majorEastAsia"/>
                                    <w:color w:val="000000" w:themeColor="text1"/>
                                    <w:sz w:val="16"/>
                                    <w:szCs w:val="16"/>
                                  </w:rPr>
                                </w:pPr>
                                <w:r w:rsidRPr="0049553C">
                                  <w:rPr>
                                    <w:rFonts w:asciiTheme="majorEastAsia" w:eastAsiaTheme="majorEastAsia" w:hAnsiTheme="majorEastAsia" w:hint="eastAsia"/>
                                    <w:color w:val="000000" w:themeColor="text1"/>
                                    <w:sz w:val="16"/>
                                    <w:szCs w:val="16"/>
                                  </w:rPr>
                                  <w:t>地域連絡部</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wps:wsp>
                          <wps:cNvPr id="4835" name="正方形/長方形 4835"/>
                          <wps:cNvSpPr/>
                          <wps:spPr>
                            <a:xfrm rot="16200000">
                              <a:off x="-15128" y="173355"/>
                              <a:ext cx="2880360" cy="2533650"/>
                            </a:xfrm>
                            <a:prstGeom prst="rect">
                              <a:avLst/>
                            </a:prstGeom>
                            <a:solidFill>
                              <a:sysClr val="window" lastClr="FFFFFF"/>
                            </a:solidFill>
                            <a:ln w="6350" cap="flat" cmpd="sng" algn="ctr">
                              <a:solidFill>
                                <a:sysClr val="windowText" lastClr="000000"/>
                              </a:solidFill>
                              <a:prstDash val="dash"/>
                            </a:ln>
                            <a:effectLst/>
                          </wps:spPr>
                          <wps:bodyPr rot="0" spcFirstLastPara="0" vertOverflow="overflow" horzOverflow="overflow" vert="horz" wrap="square" lIns="0" tIns="0" rIns="0" bIns="0" numCol="1" spcCol="0" rtlCol="0" fromWordArt="0" anchor="ctr" anchorCtr="0" forceAA="0" compatLnSpc="1">
                            <a:prstTxWarp prst="textNoShape">
                              <a:avLst/>
                            </a:prstTxWarp>
                            <a:noAutofit/>
                          </wps:bodyPr>
                        </wps:wsp>
                      </wpg:grpSp>
                      <wpg:grpSp>
                        <wpg:cNvPr id="4859" name="グループ化 4859"/>
                        <wpg:cNvGrpSpPr/>
                        <wpg:grpSpPr>
                          <a:xfrm>
                            <a:off x="211015" y="337653"/>
                            <a:ext cx="2434388" cy="2166726"/>
                            <a:chOff x="0" y="230471"/>
                            <a:chExt cx="2434388" cy="2166726"/>
                          </a:xfrm>
                        </wpg:grpSpPr>
                        <wps:wsp>
                          <wps:cNvPr id="4864" name="直線コネクタ 4864"/>
                          <wps:cNvCnPr/>
                          <wps:spPr>
                            <a:xfrm rot="16200000">
                              <a:off x="1431406" y="311102"/>
                              <a:ext cx="0" cy="2002192"/>
                            </a:xfrm>
                            <a:prstGeom prst="line">
                              <a:avLst/>
                            </a:prstGeom>
                            <a:noFill/>
                            <a:ln w="9525" cap="flat" cmpd="sng" algn="ctr">
                              <a:solidFill>
                                <a:sysClr val="windowText" lastClr="000000"/>
                              </a:solidFill>
                              <a:prstDash val="solid"/>
                            </a:ln>
                            <a:effectLst/>
                          </wps:spPr>
                          <wps:bodyPr/>
                        </wps:wsp>
                        <wps:wsp>
                          <wps:cNvPr id="4873" name="正方形/長方形 4873"/>
                          <wps:cNvSpPr/>
                          <wps:spPr>
                            <a:xfrm rot="16200000">
                              <a:off x="1279006" y="1076451"/>
                              <a:ext cx="1844040" cy="466725"/>
                            </a:xfrm>
                            <a:prstGeom prst="rect">
                              <a:avLst/>
                            </a:prstGeom>
                            <a:solidFill>
                              <a:sysClr val="window" lastClr="FFFFFF"/>
                            </a:solidFill>
                            <a:ln w="9525" cap="flat" cmpd="sng" algn="ctr">
                              <a:solidFill>
                                <a:sysClr val="windowText" lastClr="000000"/>
                              </a:solidFill>
                              <a:prstDash val="solid"/>
                            </a:ln>
                            <a:effectLst/>
                          </wps:spPr>
                          <wps:txbx>
                            <w:txbxContent>
                              <w:p w14:paraId="1EF2BD2E" w14:textId="77777777" w:rsidR="006A5267" w:rsidRPr="004B567F" w:rsidRDefault="006A5267" w:rsidP="005D372A">
                                <w:pPr>
                                  <w:spacing w:line="240" w:lineRule="exact"/>
                                  <w:jc w:val="center"/>
                                  <w:rPr>
                                    <w:sz w:val="16"/>
                                    <w:szCs w:val="16"/>
                                  </w:rPr>
                                </w:pPr>
                                <w:r w:rsidRPr="004B567F">
                                  <w:rPr>
                                    <w:rFonts w:asciiTheme="majorEastAsia" w:eastAsiaTheme="majorEastAsia" w:hAnsiTheme="majorEastAsia" w:hint="eastAsia"/>
                                    <w:sz w:val="16"/>
                                    <w:szCs w:val="16"/>
                                  </w:rPr>
                                  <w:t>支援要員</w:t>
                                </w:r>
                                <w:r w:rsidRPr="004B567F">
                                  <w:rPr>
                                    <w:rFonts w:hint="eastAsia"/>
                                    <w:sz w:val="16"/>
                                    <w:szCs w:val="16"/>
                                  </w:rPr>
                                  <w:t>【地震の場合のみ】</w:t>
                                </w:r>
                              </w:p>
                              <w:p w14:paraId="61503EB6" w14:textId="77777777" w:rsidR="006A5267" w:rsidRPr="004B567F" w:rsidRDefault="006A5267" w:rsidP="005D372A">
                                <w:pPr>
                                  <w:spacing w:line="240" w:lineRule="exact"/>
                                  <w:jc w:val="center"/>
                                  <w:rPr>
                                    <w:sz w:val="16"/>
                                    <w:szCs w:val="16"/>
                                  </w:rPr>
                                </w:pPr>
                                <w:r w:rsidRPr="004B567F">
                                  <w:rPr>
                                    <w:rFonts w:hint="eastAsia"/>
                                    <w:sz w:val="16"/>
                                    <w:szCs w:val="16"/>
                                  </w:rPr>
                                  <w:t>（緊急防災推進員）</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wps:wsp>
                          <wps:cNvPr id="4875" name="正方形/長方形 4875"/>
                          <wps:cNvSpPr/>
                          <wps:spPr>
                            <a:xfrm rot="16200000">
                              <a:off x="-822775" y="1054680"/>
                              <a:ext cx="2161652" cy="516101"/>
                            </a:xfrm>
                            <a:prstGeom prst="rect">
                              <a:avLst/>
                            </a:prstGeom>
                            <a:solidFill>
                              <a:sysClr val="window" lastClr="FFFFFF"/>
                            </a:solidFill>
                            <a:ln w="9525" cap="flat" cmpd="sng" algn="ctr">
                              <a:solidFill>
                                <a:sysClr val="windowText" lastClr="000000"/>
                              </a:solidFill>
                              <a:prstDash val="solid"/>
                            </a:ln>
                            <a:effectLst/>
                          </wps:spPr>
                          <wps:txbx>
                            <w:txbxContent>
                              <w:p w14:paraId="59B4852B" w14:textId="77777777" w:rsidR="006A5267" w:rsidRPr="004B567F" w:rsidRDefault="006A5267" w:rsidP="005D372A">
                                <w:pPr>
                                  <w:spacing w:line="240" w:lineRule="exact"/>
                                  <w:jc w:val="center"/>
                                  <w:rPr>
                                    <w:rFonts w:asciiTheme="majorEastAsia" w:eastAsiaTheme="majorEastAsia" w:hAnsiTheme="majorEastAsia"/>
                                    <w:sz w:val="16"/>
                                    <w:szCs w:val="16"/>
                                  </w:rPr>
                                </w:pPr>
                                <w:r w:rsidRPr="004B567F">
                                  <w:rPr>
                                    <w:rFonts w:asciiTheme="majorEastAsia" w:eastAsiaTheme="majorEastAsia" w:hAnsiTheme="majorEastAsia" w:hint="eastAsia"/>
                                    <w:sz w:val="16"/>
                                    <w:szCs w:val="16"/>
                                  </w:rPr>
                                  <w:t>部長</w:t>
                                </w:r>
                              </w:p>
                              <w:p w14:paraId="7D65AAD8" w14:textId="77777777" w:rsidR="006A5267" w:rsidRPr="004B567F" w:rsidRDefault="006A5267" w:rsidP="009D611A">
                                <w:pPr>
                                  <w:spacing w:line="240" w:lineRule="exact"/>
                                  <w:jc w:val="center"/>
                                  <w:rPr>
                                    <w:sz w:val="16"/>
                                    <w:szCs w:val="16"/>
                                  </w:rPr>
                                </w:pPr>
                                <w:r w:rsidRPr="004B567F">
                                  <w:rPr>
                                    <w:rFonts w:hint="eastAsia"/>
                                    <w:sz w:val="16"/>
                                    <w:szCs w:val="16"/>
                                  </w:rPr>
                                  <w:t>（地域防災監、又は知事が指名した職員）</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wps:wsp>
                          <wps:cNvPr id="4872" name="正方形/長方形 4872"/>
                          <wps:cNvSpPr/>
                          <wps:spPr>
                            <a:xfrm rot="16200000">
                              <a:off x="-139487" y="957546"/>
                              <a:ext cx="2160905" cy="706755"/>
                            </a:xfrm>
                            <a:prstGeom prst="rect">
                              <a:avLst/>
                            </a:prstGeom>
                            <a:solidFill>
                              <a:sysClr val="window" lastClr="FFFFFF"/>
                            </a:solidFill>
                            <a:ln w="9525" cap="flat" cmpd="sng" algn="ctr">
                              <a:solidFill>
                                <a:sysClr val="windowText" lastClr="000000"/>
                              </a:solidFill>
                              <a:prstDash val="solid"/>
                            </a:ln>
                            <a:effectLst/>
                          </wps:spPr>
                          <wps:txbx>
                            <w:txbxContent>
                              <w:p w14:paraId="0DF8EEAF" w14:textId="77777777" w:rsidR="006A5267" w:rsidRPr="004B567F" w:rsidRDefault="006A5267" w:rsidP="005D372A">
                                <w:pPr>
                                  <w:spacing w:line="240" w:lineRule="exact"/>
                                  <w:jc w:val="center"/>
                                  <w:rPr>
                                    <w:rFonts w:asciiTheme="majorEastAsia" w:eastAsiaTheme="majorEastAsia" w:hAnsiTheme="majorEastAsia"/>
                                    <w:sz w:val="16"/>
                                    <w:szCs w:val="16"/>
                                  </w:rPr>
                                </w:pPr>
                                <w:r w:rsidRPr="004B567F">
                                  <w:rPr>
                                    <w:rFonts w:asciiTheme="majorEastAsia" w:eastAsiaTheme="majorEastAsia" w:hAnsiTheme="majorEastAsia" w:hint="eastAsia"/>
                                    <w:sz w:val="16"/>
                                    <w:szCs w:val="16"/>
                                  </w:rPr>
                                  <w:t>部員</w:t>
                                </w:r>
                              </w:p>
                              <w:p w14:paraId="335A7323" w14:textId="77777777" w:rsidR="006A5267" w:rsidRPr="004B567F" w:rsidRDefault="006A5267" w:rsidP="00AA30FD">
                                <w:pPr>
                                  <w:spacing w:line="240" w:lineRule="exact"/>
                                  <w:jc w:val="center"/>
                                  <w:rPr>
                                    <w:sz w:val="16"/>
                                    <w:szCs w:val="16"/>
                                  </w:rPr>
                                </w:pPr>
                                <w:r w:rsidRPr="004B567F">
                                  <w:rPr>
                                    <w:rFonts w:hint="eastAsia"/>
                                    <w:sz w:val="16"/>
                                    <w:szCs w:val="16"/>
                                  </w:rPr>
                                  <w:t>（土木事務所所管区域出先機関の長、</w:t>
                                </w:r>
                              </w:p>
                              <w:p w14:paraId="112ADFAA" w14:textId="3D56E5E2" w:rsidR="006A5267" w:rsidRPr="004B567F" w:rsidRDefault="006A5267" w:rsidP="009A1321">
                                <w:pPr>
                                  <w:spacing w:line="240" w:lineRule="exact"/>
                                  <w:jc w:val="center"/>
                                  <w:rPr>
                                    <w:sz w:val="16"/>
                                    <w:szCs w:val="16"/>
                                  </w:rPr>
                                </w:pPr>
                                <w:r w:rsidRPr="004B567F">
                                  <w:rPr>
                                    <w:rFonts w:hint="eastAsia"/>
                                    <w:sz w:val="16"/>
                                    <w:szCs w:val="16"/>
                                  </w:rPr>
                                  <w:t>又はその長が選出し、知事が指名した職員）</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wps:wsp>
                          <wps:cNvPr id="4874" name="正方形/長方形 4874"/>
                          <wps:cNvSpPr/>
                          <wps:spPr>
                            <a:xfrm rot="16200000">
                              <a:off x="546661" y="1052612"/>
                              <a:ext cx="2165295" cy="523875"/>
                            </a:xfrm>
                            <a:prstGeom prst="rect">
                              <a:avLst/>
                            </a:prstGeom>
                            <a:solidFill>
                              <a:sysClr val="window" lastClr="FFFFFF"/>
                            </a:solidFill>
                            <a:ln w="9525" cap="flat" cmpd="sng" algn="ctr">
                              <a:solidFill>
                                <a:sysClr val="windowText" lastClr="000000"/>
                              </a:solidFill>
                              <a:prstDash val="solid"/>
                            </a:ln>
                            <a:effectLst/>
                          </wps:spPr>
                          <wps:txbx>
                            <w:txbxContent>
                              <w:p w14:paraId="27FEFC2A" w14:textId="77777777" w:rsidR="006A5267" w:rsidRPr="004B567F" w:rsidRDefault="006A5267" w:rsidP="005D372A">
                                <w:pPr>
                                  <w:spacing w:line="240" w:lineRule="exact"/>
                                  <w:jc w:val="center"/>
                                  <w:rPr>
                                    <w:rFonts w:asciiTheme="majorEastAsia" w:eastAsiaTheme="majorEastAsia" w:hAnsiTheme="majorEastAsia"/>
                                    <w:sz w:val="16"/>
                                    <w:szCs w:val="16"/>
                                  </w:rPr>
                                </w:pPr>
                                <w:r w:rsidRPr="004B567F">
                                  <w:rPr>
                                    <w:rFonts w:asciiTheme="majorEastAsia" w:eastAsiaTheme="majorEastAsia" w:hAnsiTheme="majorEastAsia" w:hint="eastAsia"/>
                                    <w:sz w:val="16"/>
                                    <w:szCs w:val="16"/>
                                  </w:rPr>
                                  <w:t>事務局員</w:t>
                                </w:r>
                              </w:p>
                              <w:p w14:paraId="71D19420" w14:textId="58FD42BB" w:rsidR="006A5267" w:rsidRPr="004B567F" w:rsidRDefault="006A5267" w:rsidP="00255775">
                                <w:pPr>
                                  <w:spacing w:line="240" w:lineRule="exact"/>
                                  <w:jc w:val="center"/>
                                  <w:rPr>
                                    <w:sz w:val="16"/>
                                    <w:szCs w:val="16"/>
                                  </w:rPr>
                                </w:pPr>
                                <w:r w:rsidRPr="004B567F">
                                  <w:rPr>
                                    <w:rFonts w:hint="eastAsia"/>
                                    <w:sz w:val="16"/>
                                    <w:szCs w:val="16"/>
                                  </w:rPr>
                                  <w:t>（土木事務所主査及び土木事務所所管区域</w:t>
                                </w:r>
                                <w:r w:rsidRPr="004B567F">
                                  <w:rPr>
                                    <w:sz w:val="16"/>
                                    <w:szCs w:val="16"/>
                                  </w:rPr>
                                  <w:br/>
                                </w:r>
                                <w:r w:rsidRPr="004B567F">
                                  <w:rPr>
                                    <w:rFonts w:hint="eastAsia"/>
                                    <w:sz w:val="16"/>
                                    <w:szCs w:val="16"/>
                                  </w:rPr>
                                  <w:t>出先機関職員で知事が指名した職員）</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wpg:grpSp>
                    </wpg:wgp>
                  </a:graphicData>
                </a:graphic>
                <wp14:sizeRelH relativeFrom="margin">
                  <wp14:pctWidth>0</wp14:pctWidth>
                </wp14:sizeRelH>
              </wp:anchor>
            </w:drawing>
          </mc:Choice>
          <mc:Fallback xmlns:w16cei="http://schemas.microsoft.com/office/word/2026/wordml/cei">
            <w:pict>
              <v:group w14:anchorId="6509A770" id="グループ化 223" o:spid="_x0000_s1209" style="position:absolute;left:0;text-align:left;margin-left:232.8pt;margin-top:5.55pt;width:214.1pt;height:226.8pt;z-index:253008896;mso-width-relative:margin" coordorigin="-278" coordsize="27197,2880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">
                <v:group id="グループ化 4834" o:spid="_x0000_s1210" style="position:absolute;left:-278;width:27196;height:28803" coordorigin="-278" coordsize="27197,2880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">
                  <v:rect id="正方形/長方形 4838" o:spid="_x0000_s1211" style="position:absolute;left:-3378;top:13122;width:8503;height:2304;rotation:-9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" fillcolor="window" stroked="f">
                    <v:textbox inset="0,0,0,0">
                      <w:txbxContent>
                        <w:p w14:paraId="7FBB58DF" w14:textId="77777777" w:rsidR="006A5267" w:rsidRPr="0049553C" w:rsidRDefault="006A5267" w:rsidP="005D372A">
                          <w:pPr>
                            <w:spacing w:line="240" w:lineRule="exact"/>
                            <w:jc w:val="center"/>
                            <w:rPr>
                              <w:rFonts w:asciiTheme="majorEastAsia" w:eastAsiaTheme="majorEastAsia" w:hAnsiTheme="majorEastAsia"/>
                              <w:color w:val="000000" w:themeColor="text1"/>
                              <w:sz w:val="16"/>
                              <w:szCs w:val="16"/>
                            </w:rPr>
                          </w:pPr>
                          <w:r w:rsidRPr="0049553C">
                            <w:rPr>
                              <w:rFonts w:asciiTheme="majorEastAsia" w:eastAsiaTheme="majorEastAsia" w:hAnsiTheme="majorEastAsia" w:hint="eastAsia"/>
                              <w:color w:val="000000" w:themeColor="text1"/>
                              <w:sz w:val="16"/>
                              <w:szCs w:val="16"/>
                            </w:rPr>
                            <w:t>地域連絡部</w:t>
                          </w:r>
                        </w:p>
                      </w:txbxContent>
                    </v:textbox>
                  </v:rect>
                  <v:rect id="正方形/長方形 4835" o:spid="_x0000_s1212" style="position:absolute;left:-152;top:1734;width:28803;height:25336;rotation:-9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" fillcolor="window" strokecolor="windowText" strokeweight=".5pt">
                    <v:stroke dashstyle="dash"/>
                    <v:textbox inset="0,0,0,0"/>
                  </v:rect>
                </v:group>
                <v:group id="グループ化 4859" o:spid="_x0000_s1213" style="position:absolute;left:2110;top:3376;width:24344;height:21667" coordorigin=",2304" coordsize="24343,2166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">
                  <v:line id="直線コネクタ 4864" o:spid="_x0000_s1214" style="position:absolute;rotation:-90;visibility:visible;mso-wrap-style:square" from="14314,3110" to="14314,2313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" strokecolor="windowText"/>
                  <v:rect id="正方形/長方形 4873" o:spid="_x0000_s1215" style="position:absolute;left:12789;top:10764;width:18441;height:4667;rotation:-9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" fillcolor="window" strokecolor="windowText">
                    <v:textbox inset="0,0,0,0">
                      <w:txbxContent>
                        <w:p w14:paraId="1EF2BD2E" w14:textId="77777777" w:rsidR="006A5267" w:rsidRPr="004B567F" w:rsidRDefault="006A5267" w:rsidP="005D372A">
                          <w:pPr>
                            <w:spacing w:line="240" w:lineRule="exact"/>
                            <w:jc w:val="center"/>
                            <w:rPr>
                              <w:sz w:val="16"/>
                              <w:szCs w:val="16"/>
                            </w:rPr>
                          </w:pPr>
                          <w:r w:rsidRPr="004B567F">
                            <w:rPr>
                              <w:rFonts w:asciiTheme="majorEastAsia" w:eastAsiaTheme="majorEastAsia" w:hAnsiTheme="majorEastAsia" w:hint="eastAsia"/>
                              <w:sz w:val="16"/>
                              <w:szCs w:val="16"/>
                            </w:rPr>
                            <w:t>支援要員</w:t>
                          </w:r>
                          <w:r w:rsidRPr="004B567F">
                            <w:rPr>
                              <w:rFonts w:hint="eastAsia"/>
                              <w:sz w:val="16"/>
                              <w:szCs w:val="16"/>
                            </w:rPr>
                            <w:t>【地震の場合のみ】</w:t>
                          </w:r>
                        </w:p>
                        <w:p w14:paraId="61503EB6" w14:textId="77777777" w:rsidR="006A5267" w:rsidRPr="004B567F" w:rsidRDefault="006A5267" w:rsidP="005D372A">
                          <w:pPr>
                            <w:spacing w:line="240" w:lineRule="exact"/>
                            <w:jc w:val="center"/>
                            <w:rPr>
                              <w:sz w:val="16"/>
                              <w:szCs w:val="16"/>
                            </w:rPr>
                          </w:pPr>
                          <w:r w:rsidRPr="004B567F">
                            <w:rPr>
                              <w:rFonts w:hint="eastAsia"/>
                              <w:sz w:val="16"/>
                              <w:szCs w:val="16"/>
                            </w:rPr>
                            <w:t>（緊急防災推進員）</w:t>
                          </w:r>
                        </w:p>
                      </w:txbxContent>
                    </v:textbox>
                  </v:rect>
                  <v:rect id="正方形/長方形 4875" o:spid="_x0000_s1216" style="position:absolute;left:-8227;top:10546;width:21616;height:5161;rotation:-9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" fillcolor="window" strokecolor="windowText">
                    <v:textbox inset="0,0,0,0">
                      <w:txbxContent>
                        <w:p w14:paraId="59B4852B" w14:textId="77777777" w:rsidR="006A5267" w:rsidRPr="004B567F" w:rsidRDefault="006A5267" w:rsidP="005D372A">
                          <w:pPr>
                            <w:spacing w:line="240" w:lineRule="exact"/>
                            <w:jc w:val="center"/>
                            <w:rPr>
                              <w:rFonts w:asciiTheme="majorEastAsia" w:eastAsiaTheme="majorEastAsia" w:hAnsiTheme="majorEastAsia"/>
                              <w:sz w:val="16"/>
                              <w:szCs w:val="16"/>
                            </w:rPr>
                          </w:pPr>
                          <w:r w:rsidRPr="004B567F">
                            <w:rPr>
                              <w:rFonts w:asciiTheme="majorEastAsia" w:eastAsiaTheme="majorEastAsia" w:hAnsiTheme="majorEastAsia" w:hint="eastAsia"/>
                              <w:sz w:val="16"/>
                              <w:szCs w:val="16"/>
                            </w:rPr>
                            <w:t>部長</w:t>
                          </w:r>
                        </w:p>
                        <w:p w14:paraId="7D65AAD8" w14:textId="77777777" w:rsidR="006A5267" w:rsidRPr="004B567F" w:rsidRDefault="006A5267" w:rsidP="009D611A">
                          <w:pPr>
                            <w:spacing w:line="240" w:lineRule="exact"/>
                            <w:jc w:val="center"/>
                            <w:rPr>
                              <w:sz w:val="16"/>
                              <w:szCs w:val="16"/>
                            </w:rPr>
                          </w:pPr>
                          <w:r w:rsidRPr="004B567F">
                            <w:rPr>
                              <w:rFonts w:hint="eastAsia"/>
                              <w:sz w:val="16"/>
                              <w:szCs w:val="16"/>
                            </w:rPr>
                            <w:t>（地域防災監、又は知事が指名した職員）</w:t>
                          </w:r>
                        </w:p>
                      </w:txbxContent>
                    </v:textbox>
                  </v:rect>
                  <v:rect id="正方形/長方形 4872" o:spid="_x0000_s1217" style="position:absolute;left:-1396;top:9575;width:21609;height:7068;rotation:-9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" fillcolor="window" strokecolor="windowText">
                    <v:textbox inset="0,0,0,0">
                      <w:txbxContent>
                        <w:p w14:paraId="0DF8EEAF" w14:textId="77777777" w:rsidR="006A5267" w:rsidRPr="004B567F" w:rsidRDefault="006A5267" w:rsidP="005D372A">
                          <w:pPr>
                            <w:spacing w:line="240" w:lineRule="exact"/>
                            <w:jc w:val="center"/>
                            <w:rPr>
                              <w:rFonts w:asciiTheme="majorEastAsia" w:eastAsiaTheme="majorEastAsia" w:hAnsiTheme="majorEastAsia"/>
                              <w:sz w:val="16"/>
                              <w:szCs w:val="16"/>
                            </w:rPr>
                          </w:pPr>
                          <w:r w:rsidRPr="004B567F">
                            <w:rPr>
                              <w:rFonts w:asciiTheme="majorEastAsia" w:eastAsiaTheme="majorEastAsia" w:hAnsiTheme="majorEastAsia" w:hint="eastAsia"/>
                              <w:sz w:val="16"/>
                              <w:szCs w:val="16"/>
                            </w:rPr>
                            <w:t>部員</w:t>
                          </w:r>
                        </w:p>
                        <w:p w14:paraId="335A7323" w14:textId="77777777" w:rsidR="006A5267" w:rsidRPr="004B567F" w:rsidRDefault="006A5267" w:rsidP="00AA30FD">
                          <w:pPr>
                            <w:spacing w:line="240" w:lineRule="exact"/>
                            <w:jc w:val="center"/>
                            <w:rPr>
                              <w:sz w:val="16"/>
                              <w:szCs w:val="16"/>
                            </w:rPr>
                          </w:pPr>
                          <w:r w:rsidRPr="004B567F">
                            <w:rPr>
                              <w:rFonts w:hint="eastAsia"/>
                              <w:sz w:val="16"/>
                              <w:szCs w:val="16"/>
                            </w:rPr>
                            <w:t>（土木事務所所管区域出先機関の長、</w:t>
                          </w:r>
                        </w:p>
                        <w:p w14:paraId="112ADFAA" w14:textId="3D56E5E2" w:rsidR="006A5267" w:rsidRPr="004B567F" w:rsidRDefault="006A5267" w:rsidP="009A1321">
                          <w:pPr>
                            <w:spacing w:line="240" w:lineRule="exact"/>
                            <w:jc w:val="center"/>
                            <w:rPr>
                              <w:sz w:val="16"/>
                              <w:szCs w:val="16"/>
                            </w:rPr>
                          </w:pPr>
                          <w:r w:rsidRPr="004B567F">
                            <w:rPr>
                              <w:rFonts w:hint="eastAsia"/>
                              <w:sz w:val="16"/>
                              <w:szCs w:val="16"/>
                            </w:rPr>
                            <w:t>又はその長が選出し、知事が指名した職員）</w:t>
                          </w:r>
                        </w:p>
                      </w:txbxContent>
                    </v:textbox>
                  </v:rect>
                  <v:rect id="正方形/長方形 4874" o:spid="_x0000_s1218" style="position:absolute;left:5467;top:10525;width:21652;height:5239;rotation:-9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" fillcolor="window" strokecolor="windowText">
                    <v:textbox inset="0,0,0,0">
                      <w:txbxContent>
                        <w:p w14:paraId="27FEFC2A" w14:textId="77777777" w:rsidR="006A5267" w:rsidRPr="004B567F" w:rsidRDefault="006A5267" w:rsidP="005D372A">
                          <w:pPr>
                            <w:spacing w:line="240" w:lineRule="exact"/>
                            <w:jc w:val="center"/>
                            <w:rPr>
                              <w:rFonts w:asciiTheme="majorEastAsia" w:eastAsiaTheme="majorEastAsia" w:hAnsiTheme="majorEastAsia"/>
                              <w:sz w:val="16"/>
                              <w:szCs w:val="16"/>
                            </w:rPr>
                          </w:pPr>
                          <w:r w:rsidRPr="004B567F">
                            <w:rPr>
                              <w:rFonts w:asciiTheme="majorEastAsia" w:eastAsiaTheme="majorEastAsia" w:hAnsiTheme="majorEastAsia" w:hint="eastAsia"/>
                              <w:sz w:val="16"/>
                              <w:szCs w:val="16"/>
                            </w:rPr>
                            <w:t>事務局員</w:t>
                          </w:r>
                        </w:p>
                        <w:p w14:paraId="71D19420" w14:textId="58FD42BB" w:rsidR="006A5267" w:rsidRPr="004B567F" w:rsidRDefault="006A5267" w:rsidP="00255775">
                          <w:pPr>
                            <w:spacing w:line="240" w:lineRule="exact"/>
                            <w:jc w:val="center"/>
                            <w:rPr>
                              <w:sz w:val="16"/>
                              <w:szCs w:val="16"/>
                            </w:rPr>
                          </w:pPr>
                          <w:r w:rsidRPr="004B567F">
                            <w:rPr>
                              <w:rFonts w:hint="eastAsia"/>
                              <w:sz w:val="16"/>
                              <w:szCs w:val="16"/>
                            </w:rPr>
                            <w:t>（土木事務所主査及び土木事務所所管区域</w:t>
                          </w:r>
                          <w:r w:rsidRPr="004B567F">
                            <w:rPr>
                              <w:sz w:val="16"/>
                              <w:szCs w:val="16"/>
                            </w:rPr>
                            <w:br/>
                          </w:r>
                          <w:r w:rsidRPr="004B567F">
                            <w:rPr>
                              <w:rFonts w:hint="eastAsia"/>
                              <w:sz w:val="16"/>
                              <w:szCs w:val="16"/>
                            </w:rPr>
                            <w:t>出先機関職員で知事が指名した職員）</w:t>
                          </w:r>
                        </w:p>
                      </w:txbxContent>
                    </v:textbox>
                  </v:rect>
                </v:group>
              </v:group>
            </w:pict>
          </mc:Fallback>
        </mc:AlternateContent>
      </w:r>
      <w:r w:rsidRPr="001D6D10">
        <w:rPr>
          <w:noProof/>
        </w:rPr>
        <mc:AlternateContent>
          <mc:Choice Requires="wps">
            <w:drawing>
              <wp:anchor distT="0" distB="0" distL="114300" distR="114300" simplePos="0" relativeHeight="253000704" behindDoc="0" locked="0" layoutInCell="1" allowOverlap="1" wp14:anchorId="690F42DE" wp14:editId="4206DBA6">
                <wp:simplePos x="0" y="0"/>
                <wp:positionH relativeFrom="column">
                  <wp:posOffset>1559560</wp:posOffset>
                </wp:positionH>
                <wp:positionV relativeFrom="paragraph">
                  <wp:posOffset>39370</wp:posOffset>
                </wp:positionV>
                <wp:extent cx="0" cy="740410"/>
                <wp:effectExtent l="19050" t="0" r="19050" b="2540"/>
                <wp:wrapNone/>
                <wp:docPr id="4902" name="直線コネクタ 4902"/>
                <wp:cNvGraphicFramePr/>
                <a:graphic xmlns:a="http://schemas.openxmlformats.org/drawingml/2006/main">
                  <a:graphicData uri="http://schemas.microsoft.com/office/word/2010/wordprocessingShape">
                    <wps:wsp>
                      <wps:cNvCnPr/>
                      <wps:spPr>
                        <a:xfrm>
                          <a:off x="0" y="0"/>
                          <a:ext cx="0" cy="740410"/>
                        </a:xfrm>
                        <a:prstGeom prst="line">
                          <a:avLst/>
                        </a:prstGeom>
                        <a:noFill/>
                        <a:ln w="38100" cap="flat" cmpd="dbl" algn="ctr">
                          <a:solidFill>
                            <a:sysClr val="windowText" lastClr="000000"/>
                          </a:solidFill>
                          <a:prstDash val="solid"/>
                        </a:ln>
                        <a:effectLst/>
                      </wps:spPr>
                      <wps:bodyPr/>
                    </wps:wsp>
                  </a:graphicData>
                </a:graphic>
                <wp14:sizeRelV relativeFrom="margin">
                  <wp14:pctHeight>0</wp14:pctHeight>
                </wp14:sizeRelV>
              </wp:anchor>
            </w:drawing>
          </mc:Choice>
          <mc:Fallback xmlns:w16cei="http://schemas.microsoft.com/office/word/2026/wordml/cei">
            <w:pict>
              <v:line w14:anchorId="3A145E46" id="直線コネクタ 4902" o:spid="_x0000_s1026" style="position:absolute;left:0;text-align:left;z-index:25300070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122.8pt,3.1pt" to="122.8pt,61.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" strokecolor="windowText" strokeweight="3pt">
                <v:stroke linestyle="thinThin"/>
              </v:line>
            </w:pict>
          </mc:Fallback>
        </mc:AlternateContent>
      </w:r>
    </w:p>
    <w:p w14:paraId="6E0C8416" w14:textId="77777777" w:rsidR="005D372A" w:rsidRPr="001D6D10" w:rsidRDefault="005D372A" w:rsidP="005D372A"/>
    <w:p w14:paraId="71342FDC" w14:textId="77777777" w:rsidR="005D372A" w:rsidRPr="001D6D10" w:rsidRDefault="005D372A" w:rsidP="005D372A"/>
    <w:p w14:paraId="7A1CEC1A" w14:textId="77777777" w:rsidR="005D372A" w:rsidRPr="001D6D10" w:rsidRDefault="005D372A" w:rsidP="005D372A"/>
    <w:p w14:paraId="429A91EA" w14:textId="77777777" w:rsidR="005D372A" w:rsidRPr="001D6D10" w:rsidRDefault="005D372A" w:rsidP="005D372A">
      <w:r w:rsidRPr="001D6D10">
        <w:rPr>
          <w:rFonts w:hint="eastAsia"/>
          <w:noProof/>
        </w:rPr>
        <mc:AlternateContent>
          <mc:Choice Requires="wps">
            <w:drawing>
              <wp:anchor distT="0" distB="0" distL="114300" distR="114300" simplePos="0" relativeHeight="253027328" behindDoc="0" locked="0" layoutInCell="1" allowOverlap="1" wp14:anchorId="55A11BB2" wp14:editId="1C25354A">
                <wp:simplePos x="0" y="0"/>
                <wp:positionH relativeFrom="column">
                  <wp:posOffset>2875915</wp:posOffset>
                </wp:positionH>
                <wp:positionV relativeFrom="paragraph">
                  <wp:posOffset>8255</wp:posOffset>
                </wp:positionV>
                <wp:extent cx="307975" cy="2628900"/>
                <wp:effectExtent l="19050" t="0" r="15875" b="19050"/>
                <wp:wrapNone/>
                <wp:docPr id="4467" name="カギ線コネクタ 4467"/>
                <wp:cNvGraphicFramePr/>
                <a:graphic xmlns:a="http://schemas.openxmlformats.org/drawingml/2006/main">
                  <a:graphicData uri="http://schemas.microsoft.com/office/word/2010/wordprocessingShape">
                    <wps:wsp>
                      <wps:cNvCnPr/>
                      <wps:spPr>
                        <a:xfrm>
                          <a:off x="0" y="0"/>
                          <a:ext cx="307975" cy="2628900"/>
                        </a:xfrm>
                        <a:prstGeom prst="bentConnector3">
                          <a:avLst>
                            <a:gd name="adj1" fmla="val -2577"/>
                          </a:avLst>
                        </a:prstGeom>
                        <a:noFill/>
                        <a:ln w="9525" cap="flat" cmpd="sng" algn="ctr">
                          <a:solidFill>
                            <a:sysClr val="windowText" lastClr="000000"/>
                          </a:solidFill>
                          <a:prstDash val="solid"/>
                          <a:tailEnd type="none" w="sm" len="sm"/>
                        </a:ln>
                        <a:effectLst/>
                      </wps:spPr>
                      <wps:bodyPr/>
                    </wps:wsp>
                  </a:graphicData>
                </a:graphic>
              </wp:anchor>
            </w:drawing>
          </mc:Choice>
          <mc:Fallback xmlns:w16cei="http://schemas.microsoft.com/office/word/2026/wordml/cei">
            <w:pict>
              <v:shapetype w14:anchorId="494FA872" id="_x0000_t34" coordsize="21600,21600" o:spt="34" o:oned="t" adj="10800" path="m,l@0,0@0,21600,21600,21600e" filled="f">
                <v:stroke joinstyle="miter"/>
                <v:formulas>
                  <v:f eqn="val #0"/>
                </v:formulas>
                <v:path arrowok="t" fillok="f" o:connecttype="none"/>
                <v:handles>
                  <v:h position="#0,center"/>
                </v:handles>
                <o:lock v:ext="edit" shapetype="t"/>
              </v:shapetype>
              <v:shape id="カギ線コネクタ 4467" o:spid="_x0000_s1026" type="#_x0000_t34" style="position:absolute;left:0;text-align:left;margin-left:226.45pt;margin-top:.65pt;width:24.25pt;height:207pt;z-index:25302732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" adj="-557" strokecolor="windowText">
                <v:stroke endarrowwidth="narrow" endarrowlength="short"/>
              </v:shape>
            </w:pict>
          </mc:Fallback>
        </mc:AlternateContent>
      </w:r>
      <w:r w:rsidRPr="001D6D10">
        <w:rPr>
          <w:rFonts w:hint="eastAsia"/>
          <w:noProof/>
        </w:rPr>
        <mc:AlternateContent>
          <mc:Choice Requires="wps">
            <w:drawing>
              <wp:anchor distT="0" distB="0" distL="114300" distR="114300" simplePos="0" relativeHeight="253012992" behindDoc="0" locked="0" layoutInCell="1" allowOverlap="1" wp14:anchorId="2B539EEE" wp14:editId="5A7A2462">
                <wp:simplePos x="0" y="0"/>
                <wp:positionH relativeFrom="column">
                  <wp:posOffset>2637791</wp:posOffset>
                </wp:positionH>
                <wp:positionV relativeFrom="paragraph">
                  <wp:posOffset>8255</wp:posOffset>
                </wp:positionV>
                <wp:extent cx="546100" cy="0"/>
                <wp:effectExtent l="0" t="0" r="25400" b="19050"/>
                <wp:wrapNone/>
                <wp:docPr id="4903" name="直線コネクタ 4903"/>
                <wp:cNvGraphicFramePr/>
                <a:graphic xmlns:a="http://schemas.openxmlformats.org/drawingml/2006/main">
                  <a:graphicData uri="http://schemas.microsoft.com/office/word/2010/wordprocessingShape">
                    <wps:wsp>
                      <wps:cNvCnPr/>
                      <wps:spPr>
                        <a:xfrm flipV="1">
                          <a:off x="0" y="0"/>
                          <a:ext cx="546100" cy="0"/>
                        </a:xfrm>
                        <a:prstGeom prst="line">
                          <a:avLst/>
                        </a:prstGeom>
                        <a:noFill/>
                        <a:ln w="6350" cap="flat" cmpd="sng" algn="ctr">
                          <a:solidFill>
                            <a:sysClr val="windowText" lastClr="000000"/>
                          </a:solidFill>
                          <a:prstDash val="solid"/>
                        </a:ln>
                        <a:effectLst/>
                      </wps:spPr>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line w14:anchorId="6FD41FA7" id="直線コネクタ 4903" o:spid="_x0000_s1026" style="position:absolute;left:0;text-align:left;flip:y;z-index:2530129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07.7pt,.65pt" to="250.7pt,.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" strokecolor="windowText" strokeweight=".5pt"/>
            </w:pict>
          </mc:Fallback>
        </mc:AlternateContent>
      </w:r>
    </w:p>
    <w:p w14:paraId="3EDC8A36" w14:textId="77777777" w:rsidR="005D372A" w:rsidRPr="001D6D10" w:rsidRDefault="005D372A" w:rsidP="005D372A"/>
    <w:p w14:paraId="2DAF090B" w14:textId="77777777" w:rsidR="005D372A" w:rsidRPr="001D6D10" w:rsidRDefault="005D372A" w:rsidP="005D372A">
      <w:r w:rsidRPr="001D6D10">
        <w:rPr>
          <w:noProof/>
        </w:rPr>
        <mc:AlternateContent>
          <mc:Choice Requires="wps">
            <w:drawing>
              <wp:anchor distT="0" distB="0" distL="114300" distR="114300" simplePos="0" relativeHeight="253020160" behindDoc="0" locked="0" layoutInCell="1" allowOverlap="1" wp14:anchorId="4D590ECA" wp14:editId="1AD2AEE7">
                <wp:simplePos x="0" y="0"/>
                <wp:positionH relativeFrom="column">
                  <wp:posOffset>1909749</wp:posOffset>
                </wp:positionH>
                <wp:positionV relativeFrom="paragraph">
                  <wp:posOffset>212090</wp:posOffset>
                </wp:positionV>
                <wp:extent cx="1299210" cy="218440"/>
                <wp:effectExtent l="6985" t="0" r="22225" b="22225"/>
                <wp:wrapNone/>
                <wp:docPr id="4904" name="正方形/長方形 4904"/>
                <wp:cNvGraphicFramePr/>
                <a:graphic xmlns:a="http://schemas.openxmlformats.org/drawingml/2006/main">
                  <a:graphicData uri="http://schemas.microsoft.com/office/word/2010/wordprocessingShape">
                    <wps:wsp>
                      <wps:cNvSpPr/>
                      <wps:spPr>
                        <a:xfrm rot="16200000">
                          <a:off x="0" y="0"/>
                          <a:ext cx="1299210" cy="218440"/>
                        </a:xfrm>
                        <a:prstGeom prst="rect">
                          <a:avLst/>
                        </a:prstGeom>
                        <a:solidFill>
                          <a:sysClr val="window" lastClr="FFFFFF"/>
                        </a:solidFill>
                        <a:ln w="9525" cap="flat" cmpd="sng" algn="ctr">
                          <a:solidFill>
                            <a:sysClr val="windowText" lastClr="000000"/>
                          </a:solidFill>
                          <a:prstDash val="dash"/>
                        </a:ln>
                        <a:effectLst/>
                      </wps:spPr>
                      <wps:txbx>
                        <w:txbxContent>
                          <w:p w14:paraId="1623E5F5" w14:textId="77777777" w:rsidR="006A5267" w:rsidRPr="001142F1" w:rsidRDefault="006A5267" w:rsidP="005D372A">
                            <w:pPr>
                              <w:jc w:val="center"/>
                              <w:rPr>
                                <w:color w:val="000000" w:themeColor="text1"/>
                                <w:sz w:val="18"/>
                              </w:rPr>
                            </w:pPr>
                            <w:r>
                              <w:rPr>
                                <w:rFonts w:hint="eastAsia"/>
                                <w:color w:val="000000" w:themeColor="text1"/>
                                <w:sz w:val="18"/>
                              </w:rPr>
                              <w:t>災害対策本部</w:t>
                            </w:r>
                            <w:r>
                              <w:rPr>
                                <w:color w:val="000000" w:themeColor="text1"/>
                                <w:sz w:val="18"/>
                              </w:rPr>
                              <w:t>事務局</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rect w14:anchorId="4D590ECA" id="正方形/長方形 4904" o:spid="_x0000_s1219" style="position:absolute;left:0;text-align:left;margin-left:150.35pt;margin-top:16.7pt;width:102.3pt;height:17.2pt;rotation:-90;z-index:2530201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" fillcolor="window" strokecolor="windowText">
                <v:stroke dashstyle="dash"/>
                <v:textbox inset="0,0,0,0">
                  <w:txbxContent>
                    <w:p w14:paraId="1623E5F5" w14:textId="77777777" w:rsidR="006A5267" w:rsidRPr="001142F1" w:rsidRDefault="006A5267" w:rsidP="005D372A">
                      <w:pPr>
                        <w:jc w:val="center"/>
                        <w:rPr>
                          <w:color w:val="000000" w:themeColor="text1"/>
                          <w:sz w:val="18"/>
                        </w:rPr>
                      </w:pPr>
                      <w:r>
                        <w:rPr>
                          <w:rFonts w:hint="eastAsia"/>
                          <w:color w:val="000000" w:themeColor="text1"/>
                          <w:sz w:val="18"/>
                        </w:rPr>
                        <w:t>災害対策本部</w:t>
                      </w:r>
                      <w:r>
                        <w:rPr>
                          <w:color w:val="000000" w:themeColor="text1"/>
                          <w:sz w:val="18"/>
                        </w:rPr>
                        <w:t>事務局</w:t>
                      </w:r>
                    </w:p>
                  </w:txbxContent>
                </v:textbox>
              </v:rect>
            </w:pict>
          </mc:Fallback>
        </mc:AlternateContent>
      </w:r>
    </w:p>
    <w:p w14:paraId="2EFAB327" w14:textId="77777777" w:rsidR="005D372A" w:rsidRPr="001D6D10" w:rsidRDefault="005D372A" w:rsidP="005D372A"/>
    <w:p w14:paraId="62B7B5EF" w14:textId="77777777" w:rsidR="005D372A" w:rsidRPr="001D6D10" w:rsidRDefault="005D372A" w:rsidP="005D372A"/>
    <w:p w14:paraId="3CCB78B4" w14:textId="77777777" w:rsidR="005D372A" w:rsidRPr="001D6D10" w:rsidRDefault="005D372A" w:rsidP="005D372A"/>
    <w:p w14:paraId="64E253ED" w14:textId="77777777" w:rsidR="005D372A" w:rsidRPr="001D6D10" w:rsidRDefault="005D372A" w:rsidP="005D372A">
      <w:r w:rsidRPr="001D6D10">
        <w:rPr>
          <w:rFonts w:hint="eastAsia"/>
          <w:noProof/>
        </w:rPr>
        <mc:AlternateContent>
          <mc:Choice Requires="wps">
            <w:drawing>
              <wp:anchor distT="0" distB="0" distL="114300" distR="114300" simplePos="0" relativeHeight="253006848" behindDoc="0" locked="0" layoutInCell="1" allowOverlap="1" wp14:anchorId="4B81EA0D" wp14:editId="1F8C8B98">
                <wp:simplePos x="0" y="0"/>
                <wp:positionH relativeFrom="column">
                  <wp:posOffset>1620520</wp:posOffset>
                </wp:positionH>
                <wp:positionV relativeFrom="paragraph">
                  <wp:posOffset>4311</wp:posOffset>
                </wp:positionV>
                <wp:extent cx="397510" cy="1499870"/>
                <wp:effectExtent l="1270" t="0" r="22860" b="22860"/>
                <wp:wrapNone/>
                <wp:docPr id="4905" name="正方形/長方形 4905"/>
                <wp:cNvGraphicFramePr/>
                <a:graphic xmlns:a="http://schemas.openxmlformats.org/drawingml/2006/main">
                  <a:graphicData uri="http://schemas.microsoft.com/office/word/2010/wordprocessingShape">
                    <wps:wsp>
                      <wps:cNvSpPr/>
                      <wps:spPr>
                        <a:xfrm rot="16200000">
                          <a:off x="0" y="0"/>
                          <a:ext cx="397510" cy="1499870"/>
                        </a:xfrm>
                        <a:prstGeom prst="rect">
                          <a:avLst/>
                        </a:prstGeom>
                        <a:solidFill>
                          <a:sysClr val="window" lastClr="FFFFFF"/>
                        </a:solidFill>
                        <a:ln w="9525" cap="flat" cmpd="sng" algn="ctr">
                          <a:solidFill>
                            <a:sysClr val="windowText" lastClr="000000"/>
                          </a:solidFill>
                          <a:prstDash val="solid"/>
                        </a:ln>
                        <a:effectLst/>
                      </wps:spPr>
                      <wps:txbx>
                        <w:txbxContent>
                          <w:p w14:paraId="126FC86E" w14:textId="77777777" w:rsidR="006A5267" w:rsidRPr="0049553C" w:rsidRDefault="006A5267" w:rsidP="005D372A">
                            <w:pPr>
                              <w:spacing w:line="240" w:lineRule="exact"/>
                              <w:jc w:val="center"/>
                              <w:rPr>
                                <w:rFonts w:asciiTheme="majorEastAsia" w:eastAsiaTheme="majorEastAsia" w:hAnsiTheme="majorEastAsia"/>
                                <w:color w:val="000000" w:themeColor="text1"/>
                                <w:sz w:val="16"/>
                                <w:szCs w:val="16"/>
                              </w:rPr>
                            </w:pPr>
                            <w:r w:rsidRPr="0049553C">
                              <w:rPr>
                                <w:rFonts w:asciiTheme="majorEastAsia" w:eastAsiaTheme="majorEastAsia" w:hAnsiTheme="majorEastAsia" w:hint="eastAsia"/>
                                <w:color w:val="000000" w:themeColor="text1"/>
                                <w:sz w:val="16"/>
                                <w:szCs w:val="16"/>
                              </w:rPr>
                              <w:t>本部派遣員【リエゾン】</w:t>
                            </w:r>
                          </w:p>
                          <w:p w14:paraId="6568F09C" w14:textId="77777777" w:rsidR="006A5267" w:rsidRPr="006B2FD0" w:rsidRDefault="006A5267" w:rsidP="005D372A">
                            <w:pPr>
                              <w:spacing w:line="240" w:lineRule="exact"/>
                              <w:jc w:val="center"/>
                              <w:rPr>
                                <w:color w:val="000000" w:themeColor="text1"/>
                                <w:sz w:val="16"/>
                                <w:szCs w:val="16"/>
                              </w:rPr>
                            </w:pPr>
                            <w:r>
                              <w:rPr>
                                <w:rFonts w:hint="eastAsia"/>
                                <w:color w:val="000000" w:themeColor="text1"/>
                                <w:sz w:val="16"/>
                                <w:szCs w:val="16"/>
                              </w:rPr>
                              <w:t>（防災関係機関の職員等）</w:t>
                            </w:r>
                          </w:p>
                        </w:txbxContent>
                      </wps:txbx>
                      <wps:bodyPr rot="0" spcFirstLastPara="0" vertOverflow="overflow" horzOverflow="overflow" vert="eaVert" wrap="square" lIns="0" tIns="0" rIns="0" bIns="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rect w14:anchorId="4B81EA0D" id="正方形/長方形 4905" o:spid="_x0000_s1220" style="position:absolute;left:0;text-align:left;margin-left:127.6pt;margin-top:.35pt;width:31.3pt;height:118.1pt;rotation:-90;z-index:2530068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" fillcolor="window" strokecolor="windowText">
                <v:textbox style="layout-flow:vertical-ideographic" inset="0,0,0,0">
                  <w:txbxContent>
                    <w:p w14:paraId="126FC86E" w14:textId="77777777" w:rsidR="006A5267" w:rsidRPr="0049553C" w:rsidRDefault="006A5267" w:rsidP="005D372A">
                      <w:pPr>
                        <w:spacing w:line="240" w:lineRule="exact"/>
                        <w:jc w:val="center"/>
                        <w:rPr>
                          <w:rFonts w:asciiTheme="majorEastAsia" w:eastAsiaTheme="majorEastAsia" w:hAnsiTheme="majorEastAsia"/>
                          <w:color w:val="000000" w:themeColor="text1"/>
                          <w:sz w:val="16"/>
                          <w:szCs w:val="16"/>
                        </w:rPr>
                      </w:pPr>
                      <w:r w:rsidRPr="0049553C">
                        <w:rPr>
                          <w:rFonts w:asciiTheme="majorEastAsia" w:eastAsiaTheme="majorEastAsia" w:hAnsiTheme="majorEastAsia" w:hint="eastAsia"/>
                          <w:color w:val="000000" w:themeColor="text1"/>
                          <w:sz w:val="16"/>
                          <w:szCs w:val="16"/>
                        </w:rPr>
                        <w:t>本部派遣員【リエゾン】</w:t>
                      </w:r>
                    </w:p>
                    <w:p w14:paraId="6568F09C" w14:textId="77777777" w:rsidR="006A5267" w:rsidRPr="006B2FD0" w:rsidRDefault="006A5267" w:rsidP="005D372A">
                      <w:pPr>
                        <w:spacing w:line="240" w:lineRule="exact"/>
                        <w:jc w:val="center"/>
                        <w:rPr>
                          <w:color w:val="000000" w:themeColor="text1"/>
                          <w:sz w:val="16"/>
                          <w:szCs w:val="16"/>
                        </w:rPr>
                      </w:pPr>
                      <w:r>
                        <w:rPr>
                          <w:rFonts w:hint="eastAsia"/>
                          <w:color w:val="000000" w:themeColor="text1"/>
                          <w:sz w:val="16"/>
                          <w:szCs w:val="16"/>
                        </w:rPr>
                        <w:t>（防災関係機関の職員等）</w:t>
                      </w:r>
                    </w:p>
                  </w:txbxContent>
                </v:textbox>
              </v:rect>
            </w:pict>
          </mc:Fallback>
        </mc:AlternateContent>
      </w:r>
      <w:r w:rsidRPr="001D6D10">
        <w:rPr>
          <w:noProof/>
        </w:rPr>
        <mc:AlternateContent>
          <mc:Choice Requires="wps">
            <w:drawing>
              <wp:anchor distT="0" distB="0" distL="114300" distR="114300" simplePos="0" relativeHeight="253016064" behindDoc="0" locked="0" layoutInCell="1" allowOverlap="1" wp14:anchorId="6D8419D7" wp14:editId="6DD3F81E">
                <wp:simplePos x="0" y="0"/>
                <wp:positionH relativeFrom="column">
                  <wp:posOffset>2569210</wp:posOffset>
                </wp:positionH>
                <wp:positionV relativeFrom="paragraph">
                  <wp:posOffset>54610</wp:posOffset>
                </wp:positionV>
                <wp:extent cx="0" cy="574675"/>
                <wp:effectExtent l="19050" t="0" r="19050" b="15875"/>
                <wp:wrapNone/>
                <wp:docPr id="4906" name="直線コネクタ 4906"/>
                <wp:cNvGraphicFramePr/>
                <a:graphic xmlns:a="http://schemas.openxmlformats.org/drawingml/2006/main">
                  <a:graphicData uri="http://schemas.microsoft.com/office/word/2010/wordprocessingShape">
                    <wps:wsp>
                      <wps:cNvCnPr/>
                      <wps:spPr>
                        <a:xfrm>
                          <a:off x="0" y="0"/>
                          <a:ext cx="0" cy="574675"/>
                        </a:xfrm>
                        <a:prstGeom prst="line">
                          <a:avLst/>
                        </a:prstGeom>
                        <a:noFill/>
                        <a:ln w="38100" cap="flat" cmpd="dbl" algn="ctr">
                          <a:solidFill>
                            <a:sysClr val="windowText" lastClr="000000"/>
                          </a:solidFill>
                          <a:prstDash val="solid"/>
                        </a:ln>
                        <a:effectLst/>
                      </wps:spPr>
                      <wps:bodyPr/>
                    </wps:wsp>
                  </a:graphicData>
                </a:graphic>
                <wp14:sizeRelV relativeFrom="margin">
                  <wp14:pctHeight>0</wp14:pctHeight>
                </wp14:sizeRelV>
              </wp:anchor>
            </w:drawing>
          </mc:Choice>
          <mc:Fallback xmlns:w16cei="http://schemas.microsoft.com/office/word/2026/wordml/cei">
            <w:pict>
              <v:line w14:anchorId="09786EE0" id="直線コネクタ 4906" o:spid="_x0000_s1026" style="position:absolute;left:0;text-align:left;z-index:25301606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202.3pt,4.3pt" to="202.3pt,49.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" strokecolor="windowText" strokeweight="3pt">
                <v:stroke linestyle="thinThin"/>
              </v:line>
            </w:pict>
          </mc:Fallback>
        </mc:AlternateContent>
      </w:r>
    </w:p>
    <w:p w14:paraId="59BA9053" w14:textId="77777777" w:rsidR="005D372A" w:rsidRPr="001D6D10" w:rsidRDefault="005D372A" w:rsidP="005D372A">
      <w:r w:rsidRPr="001D6D10">
        <w:rPr>
          <w:noProof/>
        </w:rPr>
        <mc:AlternateContent>
          <mc:Choice Requires="wps">
            <w:drawing>
              <wp:anchor distT="0" distB="0" distL="114300" distR="114300" simplePos="0" relativeHeight="253019136" behindDoc="0" locked="0" layoutInCell="1" allowOverlap="1" wp14:anchorId="58E07A04" wp14:editId="77E2960C">
                <wp:simplePos x="0" y="0"/>
                <wp:positionH relativeFrom="column">
                  <wp:posOffset>1850390</wp:posOffset>
                </wp:positionH>
                <wp:positionV relativeFrom="paragraph">
                  <wp:posOffset>158434</wp:posOffset>
                </wp:positionV>
                <wp:extent cx="601345" cy="1488440"/>
                <wp:effectExtent l="13653" t="5397" r="2857" b="2858"/>
                <wp:wrapNone/>
                <wp:docPr id="4302" name="正方形/長方形 4302"/>
                <wp:cNvGraphicFramePr/>
                <a:graphic xmlns:a="http://schemas.openxmlformats.org/drawingml/2006/main">
                  <a:graphicData uri="http://schemas.microsoft.com/office/word/2010/wordprocessingShape">
                    <wps:wsp>
                      <wps:cNvSpPr/>
                      <wps:spPr>
                        <a:xfrm rot="16200000">
                          <a:off x="0" y="0"/>
                          <a:ext cx="601345" cy="1488440"/>
                        </a:xfrm>
                        <a:prstGeom prst="rect">
                          <a:avLst/>
                        </a:prstGeom>
                        <a:noFill/>
                        <a:ln w="9525" cap="flat" cmpd="sng" algn="ctr">
                          <a:noFill/>
                          <a:prstDash val="solid"/>
                        </a:ln>
                        <a:effectLst/>
                      </wps:spPr>
                      <wps:txbx>
                        <w:txbxContent>
                          <w:p w14:paraId="052E5F14" w14:textId="77777777" w:rsidR="006A5267" w:rsidRPr="0049553C" w:rsidRDefault="006A5267" w:rsidP="005D372A">
                            <w:pPr>
                              <w:rPr>
                                <w:rFonts w:asciiTheme="majorEastAsia" w:eastAsiaTheme="majorEastAsia" w:hAnsiTheme="majorEastAsia"/>
                                <w:color w:val="000000" w:themeColor="text1"/>
                                <w:sz w:val="16"/>
                                <w:szCs w:val="16"/>
                              </w:rPr>
                            </w:pPr>
                            <w:r>
                              <w:rPr>
                                <w:rFonts w:asciiTheme="majorEastAsia" w:eastAsiaTheme="majorEastAsia" w:hAnsiTheme="majorEastAsia" w:hint="eastAsia"/>
                                <w:color w:val="000000" w:themeColor="text1"/>
                                <w:sz w:val="16"/>
                                <w:szCs w:val="16"/>
                              </w:rPr>
                              <w:t>（必要に応じて派遣を要請）</w:t>
                            </w:r>
                          </w:p>
                        </w:txbxContent>
                      </wps:txbx>
                      <wps:bodyPr rot="0" spcFirstLastPara="0" vertOverflow="overflow" horzOverflow="overflow" vert="eaVert" wrap="square" lIns="0" tIns="0" rIns="0" bIns="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rect w14:anchorId="58E07A04" id="正方形/長方形 4302" o:spid="_x0000_s1221" style="position:absolute;left:0;text-align:left;margin-left:145.7pt;margin-top:12.5pt;width:47.35pt;height:117.2pt;rotation:-90;z-index:2530191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" filled="f" stroked="f">
                <v:textbox style="layout-flow:vertical-ideographic" inset="0,0,0,0">
                  <w:txbxContent>
                    <w:p w14:paraId="052E5F14" w14:textId="77777777" w:rsidR="006A5267" w:rsidRPr="0049553C" w:rsidRDefault="006A5267" w:rsidP="005D372A">
                      <w:pPr>
                        <w:rPr>
                          <w:rFonts w:asciiTheme="majorEastAsia" w:eastAsiaTheme="majorEastAsia" w:hAnsiTheme="majorEastAsia"/>
                          <w:color w:val="000000" w:themeColor="text1"/>
                          <w:sz w:val="16"/>
                          <w:szCs w:val="16"/>
                        </w:rPr>
                      </w:pPr>
                      <w:r>
                        <w:rPr>
                          <w:rFonts w:asciiTheme="majorEastAsia" w:eastAsiaTheme="majorEastAsia" w:hAnsiTheme="majorEastAsia" w:hint="eastAsia"/>
                          <w:color w:val="000000" w:themeColor="text1"/>
                          <w:sz w:val="16"/>
                          <w:szCs w:val="16"/>
                        </w:rPr>
                        <w:t>（必要に応じて派遣を要請）</w:t>
                      </w:r>
                    </w:p>
                  </w:txbxContent>
                </v:textbox>
              </v:rect>
            </w:pict>
          </mc:Fallback>
        </mc:AlternateContent>
      </w:r>
    </w:p>
    <w:p w14:paraId="653FA933" w14:textId="77777777" w:rsidR="005D372A" w:rsidRPr="001D6D10" w:rsidRDefault="005D372A" w:rsidP="005D372A"/>
    <w:p w14:paraId="564AFCB1" w14:textId="77777777" w:rsidR="005D372A" w:rsidRPr="001D6D10" w:rsidRDefault="005D372A" w:rsidP="005D372A"/>
    <w:p w14:paraId="15CCF31C" w14:textId="77777777" w:rsidR="005D372A" w:rsidRPr="001D6D10" w:rsidRDefault="005D372A" w:rsidP="005D372A">
      <w:r w:rsidRPr="001D6D10">
        <w:rPr>
          <w:rFonts w:hint="eastAsia"/>
          <w:noProof/>
        </w:rPr>
        <mc:AlternateContent>
          <mc:Choice Requires="wps">
            <w:drawing>
              <wp:anchor distT="0" distB="0" distL="114300" distR="114300" simplePos="0" relativeHeight="253026304" behindDoc="0" locked="0" layoutInCell="1" allowOverlap="1" wp14:anchorId="79B73960" wp14:editId="4AA35401">
                <wp:simplePos x="0" y="0"/>
                <wp:positionH relativeFrom="column">
                  <wp:posOffset>3382045</wp:posOffset>
                </wp:positionH>
                <wp:positionV relativeFrom="paragraph">
                  <wp:posOffset>3492</wp:posOffset>
                </wp:positionV>
                <wp:extent cx="397510" cy="750110"/>
                <wp:effectExtent l="0" t="4763" r="16828" b="16827"/>
                <wp:wrapNone/>
                <wp:docPr id="4466" name="正方形/長方形 4466"/>
                <wp:cNvGraphicFramePr/>
                <a:graphic xmlns:a="http://schemas.openxmlformats.org/drawingml/2006/main">
                  <a:graphicData uri="http://schemas.microsoft.com/office/word/2010/wordprocessingShape">
                    <wps:wsp>
                      <wps:cNvSpPr/>
                      <wps:spPr>
                        <a:xfrm rot="16200000">
                          <a:off x="0" y="0"/>
                          <a:ext cx="397510" cy="750110"/>
                        </a:xfrm>
                        <a:prstGeom prst="rect">
                          <a:avLst/>
                        </a:prstGeom>
                        <a:solidFill>
                          <a:sysClr val="window" lastClr="FFFFFF"/>
                        </a:solidFill>
                        <a:ln w="9525" cap="flat" cmpd="sng" algn="ctr">
                          <a:solidFill>
                            <a:sysClr val="windowText" lastClr="000000"/>
                          </a:solidFill>
                          <a:prstDash val="dash"/>
                        </a:ln>
                        <a:effectLst/>
                      </wps:spPr>
                      <wps:txbx>
                        <w:txbxContent>
                          <w:p w14:paraId="72B4ED1D" w14:textId="77777777" w:rsidR="006A5267" w:rsidRPr="00C42EDF" w:rsidRDefault="006A5267" w:rsidP="005D372A">
                            <w:pPr>
                              <w:spacing w:line="240" w:lineRule="exact"/>
                              <w:jc w:val="center"/>
                              <w:rPr>
                                <w:rFonts w:asciiTheme="majorEastAsia" w:eastAsiaTheme="majorEastAsia" w:hAnsiTheme="majorEastAsia"/>
                                <w:color w:val="000000" w:themeColor="text1"/>
                                <w:sz w:val="16"/>
                                <w:szCs w:val="16"/>
                              </w:rPr>
                            </w:pPr>
                            <w:r>
                              <w:rPr>
                                <w:rFonts w:asciiTheme="majorEastAsia" w:eastAsiaTheme="majorEastAsia" w:hAnsiTheme="majorEastAsia" w:hint="eastAsia"/>
                                <w:color w:val="000000" w:themeColor="text1"/>
                                <w:sz w:val="16"/>
                                <w:szCs w:val="16"/>
                              </w:rPr>
                              <w:t>水防</w:t>
                            </w:r>
                            <w:r>
                              <w:rPr>
                                <w:rFonts w:asciiTheme="majorEastAsia" w:eastAsiaTheme="majorEastAsia" w:hAnsiTheme="majorEastAsia"/>
                                <w:color w:val="000000" w:themeColor="text1"/>
                                <w:sz w:val="16"/>
                                <w:szCs w:val="16"/>
                              </w:rPr>
                              <w:t>本部</w:t>
                            </w:r>
                          </w:p>
                        </w:txbxContent>
                      </wps:txbx>
                      <wps:bodyPr rot="0" spcFirstLastPara="0" vertOverflow="overflow" horzOverflow="overflow" vert="eaVert" wrap="square" lIns="0" tIns="0" rIns="0" bIns="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rect w14:anchorId="79B73960" id="正方形/長方形 4466" o:spid="_x0000_s1222" style="position:absolute;left:0;text-align:left;margin-left:266.3pt;margin-top:.25pt;width:31.3pt;height:59.05pt;rotation:-90;z-index:2530263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" fillcolor="window" strokecolor="windowText">
                <v:stroke dashstyle="dash"/>
                <v:textbox style="layout-flow:vertical-ideographic" inset="0,0,0,0">
                  <w:txbxContent>
                    <w:p w14:paraId="72B4ED1D" w14:textId="77777777" w:rsidR="006A5267" w:rsidRPr="00C42EDF" w:rsidRDefault="006A5267" w:rsidP="005D372A">
                      <w:pPr>
                        <w:spacing w:line="240" w:lineRule="exact"/>
                        <w:jc w:val="center"/>
                        <w:rPr>
                          <w:rFonts w:asciiTheme="majorEastAsia" w:eastAsiaTheme="majorEastAsia" w:hAnsiTheme="majorEastAsia"/>
                          <w:color w:val="000000" w:themeColor="text1"/>
                          <w:sz w:val="16"/>
                          <w:szCs w:val="16"/>
                        </w:rPr>
                      </w:pPr>
                      <w:r>
                        <w:rPr>
                          <w:rFonts w:asciiTheme="majorEastAsia" w:eastAsiaTheme="majorEastAsia" w:hAnsiTheme="majorEastAsia" w:hint="eastAsia"/>
                          <w:color w:val="000000" w:themeColor="text1"/>
                          <w:sz w:val="16"/>
                          <w:szCs w:val="16"/>
                        </w:rPr>
                        <w:t>水防</w:t>
                      </w:r>
                      <w:r>
                        <w:rPr>
                          <w:rFonts w:asciiTheme="majorEastAsia" w:eastAsiaTheme="majorEastAsia" w:hAnsiTheme="majorEastAsia"/>
                          <w:color w:val="000000" w:themeColor="text1"/>
                          <w:sz w:val="16"/>
                          <w:szCs w:val="16"/>
                        </w:rPr>
                        <w:t>本部</w:t>
                      </w:r>
                    </w:p>
                  </w:txbxContent>
                </v:textbox>
              </v:rect>
            </w:pict>
          </mc:Fallback>
        </mc:AlternateContent>
      </w:r>
    </w:p>
    <w:p w14:paraId="729746B8" w14:textId="77777777" w:rsidR="005D372A" w:rsidRPr="001D6D10" w:rsidRDefault="005D372A" w:rsidP="005D372A">
      <w:pPr>
        <w:rPr>
          <w:rFonts w:ascii="ＭＳ ゴシック" w:eastAsia="ＭＳ ゴシック" w:hAnsi="ＭＳ ゴシック"/>
          <w:sz w:val="22"/>
          <w:szCs w:val="22"/>
        </w:rPr>
      </w:pPr>
    </w:p>
    <w:p w14:paraId="57A82469" w14:textId="426C8510" w:rsidR="005D372A" w:rsidRPr="001D6D10" w:rsidRDefault="005D372A" w:rsidP="005D372A">
      <w:pPr>
        <w:rPr>
          <w:sz w:val="18"/>
          <w:szCs w:val="18"/>
        </w:rPr>
      </w:pPr>
    </w:p>
    <w:tbl>
      <w:tblPr>
        <w:tblpPr w:leftFromText="142" w:rightFromText="142" w:horzAnchor="margin" w:tblpY="205"/>
        <w:tblW w:w="85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80" w:firstRow="0" w:lastRow="0" w:firstColumn="1" w:lastColumn="0" w:noHBand="0" w:noVBand="1"/>
      </w:tblPr>
      <w:tblGrid>
        <w:gridCol w:w="536"/>
        <w:gridCol w:w="3415"/>
        <w:gridCol w:w="4549"/>
      </w:tblGrid>
      <w:tr w:rsidR="001D6D10" w:rsidRPr="001D6D10" w14:paraId="40F1CAC7" w14:textId="77777777" w:rsidTr="002264AA">
        <w:trPr>
          <w:trHeight w:hRule="exact" w:val="168"/>
        </w:trPr>
        <w:tc>
          <w:tcPr>
            <w:tcW w:w="536" w:type="dxa"/>
            <w:tcBorders>
              <w:top w:val="single" w:sz="4" w:space="0" w:color="auto"/>
              <w:left w:val="single" w:sz="4" w:space="0" w:color="auto"/>
              <w:bottom w:val="single" w:sz="4" w:space="0" w:color="auto"/>
              <w:right w:val="single" w:sz="4" w:space="0" w:color="auto"/>
            </w:tcBorders>
            <w:shd w:val="clear" w:color="auto" w:fill="F2F2F2"/>
            <w:vAlign w:val="center"/>
          </w:tcPr>
          <w:bookmarkStart w:id="60" w:name="_Toc122436883"/>
          <w:p w14:paraId="6889C687" w14:textId="77777777" w:rsidR="009800C7" w:rsidRPr="001D6D10" w:rsidRDefault="009800C7" w:rsidP="002264AA">
            <w:pPr>
              <w:spacing w:line="120" w:lineRule="exact"/>
              <w:jc w:val="center"/>
              <w:rPr>
                <w:rFonts w:ascii="ＭＳ 明朝"/>
                <w:b/>
                <w:sz w:val="12"/>
                <w:szCs w:val="12"/>
              </w:rPr>
            </w:pPr>
            <w:r w:rsidRPr="001D6D10">
              <w:rPr>
                <w:rFonts w:ascii="ＭＳ 明朝"/>
                <w:b/>
                <w:noProof/>
                <w:sz w:val="12"/>
                <w:szCs w:val="12"/>
              </w:rPr>
              <w:lastRenderedPageBreak/>
              <mc:AlternateContent>
                <mc:Choice Requires="wps">
                  <w:drawing>
                    <wp:anchor distT="0" distB="0" distL="114300" distR="114300" simplePos="0" relativeHeight="254166016" behindDoc="0" locked="0" layoutInCell="1" allowOverlap="1" wp14:anchorId="61830A90" wp14:editId="76DA77C3">
                      <wp:simplePos x="0" y="0"/>
                      <wp:positionH relativeFrom="column">
                        <wp:posOffset>1270</wp:posOffset>
                      </wp:positionH>
                      <wp:positionV relativeFrom="paragraph">
                        <wp:posOffset>-340360</wp:posOffset>
                      </wp:positionV>
                      <wp:extent cx="4832985" cy="260985"/>
                      <wp:effectExtent l="0" t="0" r="5715" b="5715"/>
                      <wp:wrapNone/>
                      <wp:docPr id="3779" name="正方形/長方形 3779"/>
                      <wp:cNvGraphicFramePr/>
                      <a:graphic xmlns:a="http://schemas.openxmlformats.org/drawingml/2006/main">
                        <a:graphicData uri="http://schemas.microsoft.com/office/word/2010/wordprocessingShape">
                          <wps:wsp>
                            <wps:cNvSpPr/>
                            <wps:spPr>
                              <a:xfrm>
                                <a:off x="0" y="0"/>
                                <a:ext cx="4832985" cy="260985"/>
                              </a:xfrm>
                              <a:prstGeom prst="rect">
                                <a:avLst/>
                              </a:prstGeom>
                              <a:solidFill>
                                <a:sysClr val="window" lastClr="FFFFFF"/>
                              </a:solidFill>
                              <a:ln w="9525" cap="flat" cmpd="sng" algn="ctr">
                                <a:noFill/>
                                <a:prstDash val="solid"/>
                              </a:ln>
                              <a:effectLst/>
                            </wps:spPr>
                            <wps:txbx>
                              <w:txbxContent>
                                <w:p w14:paraId="7A87463A" w14:textId="56BC2DC8" w:rsidR="006A5267" w:rsidRPr="004B567F" w:rsidRDefault="006A5267" w:rsidP="009800C7">
                                  <w:pPr>
                                    <w:jc w:val="left"/>
                                    <w:rPr>
                                      <w:sz w:val="16"/>
                                      <w:szCs w:val="16"/>
                                    </w:rPr>
                                  </w:pPr>
                                  <w:r w:rsidRPr="00B97A7F">
                                    <w:rPr>
                                      <w:rFonts w:hint="eastAsia"/>
                                      <w:sz w:val="16"/>
                                      <w:szCs w:val="16"/>
                                    </w:rPr>
                                    <w:t>別表３</w:t>
                                  </w:r>
                                  <w:r w:rsidRPr="00B97A7F">
                                    <w:rPr>
                                      <w:sz w:val="16"/>
                                      <w:szCs w:val="16"/>
                                    </w:rPr>
                                    <w:t xml:space="preserve">　</w:t>
                                  </w:r>
                                  <w:r w:rsidRPr="001633C8">
                                    <w:rPr>
                                      <w:sz w:val="16"/>
                                      <w:szCs w:val="16"/>
                                    </w:rPr>
                                    <w:t>大阪府防災会議委員名簿</w:t>
                                  </w:r>
                                  <w:r w:rsidRPr="001633C8">
                                    <w:rPr>
                                      <w:rFonts w:hint="eastAsia"/>
                                      <w:sz w:val="16"/>
                                      <w:szCs w:val="16"/>
                                    </w:rPr>
                                    <w:t>（令和</w:t>
                                  </w:r>
                                  <w:r w:rsidR="00C358AD" w:rsidRPr="001633C8">
                                    <w:rPr>
                                      <w:rFonts w:hint="eastAsia"/>
                                      <w:sz w:val="16"/>
                                      <w:szCs w:val="16"/>
                                    </w:rPr>
                                    <w:t>５</w:t>
                                  </w:r>
                                  <w:r w:rsidRPr="001633C8">
                                    <w:rPr>
                                      <w:rFonts w:hint="eastAsia"/>
                                      <w:sz w:val="16"/>
                                      <w:szCs w:val="16"/>
                                    </w:rPr>
                                    <w:t>年１</w:t>
                                  </w:r>
                                  <w:r w:rsidR="00C358AD" w:rsidRPr="001633C8">
                                    <w:rPr>
                                      <w:rFonts w:hint="eastAsia"/>
                                      <w:sz w:val="16"/>
                                      <w:szCs w:val="16"/>
                                    </w:rPr>
                                    <w:t>０</w:t>
                                  </w:r>
                                  <w:r w:rsidRPr="001633C8">
                                    <w:rPr>
                                      <w:rFonts w:hint="eastAsia"/>
                                      <w:sz w:val="16"/>
                                      <w:szCs w:val="16"/>
                                    </w:rPr>
                                    <w:t>月１日</w:t>
                                  </w:r>
                                  <w:r w:rsidRPr="001633C8">
                                    <w:rPr>
                                      <w:sz w:val="16"/>
                                      <w:szCs w:val="16"/>
                                    </w:rPr>
                                    <w:t>）</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rect w14:anchorId="61830A90" id="正方形/長方形 3779" o:spid="_x0000_s1223" style="position:absolute;left:0;text-align:left;margin-left:.1pt;margin-top:-26.8pt;width:380.55pt;height:20.55pt;z-index:2541660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" fillcolor="window" stroked="f">
                      <v:textbox inset="0,0,0,0">
                        <w:txbxContent>
                          <w:p w14:paraId="7A87463A" w14:textId="56BC2DC8" w:rsidR="006A5267" w:rsidRPr="004B567F" w:rsidRDefault="006A5267" w:rsidP="009800C7">
                            <w:pPr>
                              <w:jc w:val="left"/>
                              <w:rPr>
                                <w:sz w:val="16"/>
                                <w:szCs w:val="16"/>
                              </w:rPr>
                            </w:pPr>
                            <w:r w:rsidRPr="00B97A7F">
                              <w:rPr>
                                <w:rFonts w:hint="eastAsia"/>
                                <w:sz w:val="16"/>
                                <w:szCs w:val="16"/>
                              </w:rPr>
                              <w:t>別表３</w:t>
                            </w:r>
                            <w:r w:rsidRPr="00B97A7F">
                              <w:rPr>
                                <w:sz w:val="16"/>
                                <w:szCs w:val="16"/>
                              </w:rPr>
                              <w:t xml:space="preserve">　</w:t>
                            </w:r>
                            <w:r w:rsidRPr="001633C8">
                              <w:rPr>
                                <w:sz w:val="16"/>
                                <w:szCs w:val="16"/>
                              </w:rPr>
                              <w:t>大阪府防災会議委員名簿</w:t>
                            </w:r>
                            <w:r w:rsidRPr="001633C8">
                              <w:rPr>
                                <w:rFonts w:hint="eastAsia"/>
                                <w:sz w:val="16"/>
                                <w:szCs w:val="16"/>
                              </w:rPr>
                              <w:t>（令和</w:t>
                            </w:r>
                            <w:r w:rsidR="00C358AD" w:rsidRPr="001633C8">
                              <w:rPr>
                                <w:rFonts w:hint="eastAsia"/>
                                <w:sz w:val="16"/>
                                <w:szCs w:val="16"/>
                              </w:rPr>
                              <w:t>５</w:t>
                            </w:r>
                            <w:r w:rsidRPr="001633C8">
                              <w:rPr>
                                <w:rFonts w:hint="eastAsia"/>
                                <w:sz w:val="16"/>
                                <w:szCs w:val="16"/>
                              </w:rPr>
                              <w:t>年１</w:t>
                            </w:r>
                            <w:r w:rsidR="00C358AD" w:rsidRPr="001633C8">
                              <w:rPr>
                                <w:rFonts w:hint="eastAsia"/>
                                <w:sz w:val="16"/>
                                <w:szCs w:val="16"/>
                              </w:rPr>
                              <w:t>０</w:t>
                            </w:r>
                            <w:r w:rsidRPr="001633C8">
                              <w:rPr>
                                <w:rFonts w:hint="eastAsia"/>
                                <w:sz w:val="16"/>
                                <w:szCs w:val="16"/>
                              </w:rPr>
                              <w:t>月１日</w:t>
                            </w:r>
                            <w:r w:rsidRPr="001633C8">
                              <w:rPr>
                                <w:sz w:val="16"/>
                                <w:szCs w:val="16"/>
                              </w:rPr>
                              <w:t>）</w:t>
                            </w:r>
                          </w:p>
                        </w:txbxContent>
                      </v:textbox>
                    </v:rect>
                  </w:pict>
                </mc:Fallback>
              </mc:AlternateContent>
            </w:r>
          </w:p>
        </w:tc>
        <w:tc>
          <w:tcPr>
            <w:tcW w:w="3415" w:type="dxa"/>
            <w:tcBorders>
              <w:top w:val="single" w:sz="4" w:space="0" w:color="auto"/>
              <w:left w:val="single" w:sz="4" w:space="0" w:color="auto"/>
              <w:bottom w:val="single" w:sz="4" w:space="0" w:color="auto"/>
              <w:right w:val="single" w:sz="4" w:space="0" w:color="auto"/>
            </w:tcBorders>
            <w:shd w:val="clear" w:color="auto" w:fill="F2F2F2"/>
            <w:vAlign w:val="center"/>
            <w:hideMark/>
          </w:tcPr>
          <w:p w14:paraId="089228F3" w14:textId="77777777" w:rsidR="009800C7" w:rsidRPr="001D6D10" w:rsidRDefault="009800C7" w:rsidP="002264AA">
            <w:pPr>
              <w:spacing w:line="120" w:lineRule="exact"/>
              <w:jc w:val="center"/>
              <w:rPr>
                <w:rFonts w:ascii="ＭＳ 明朝"/>
                <w:b/>
                <w:sz w:val="12"/>
                <w:szCs w:val="12"/>
              </w:rPr>
            </w:pPr>
            <w:r w:rsidRPr="001D6D10">
              <w:rPr>
                <w:rFonts w:ascii="ＭＳ 明朝" w:hint="eastAsia"/>
                <w:b/>
                <w:sz w:val="12"/>
                <w:szCs w:val="12"/>
              </w:rPr>
              <w:t>機関名</w:t>
            </w:r>
          </w:p>
        </w:tc>
        <w:tc>
          <w:tcPr>
            <w:tcW w:w="4549" w:type="dxa"/>
            <w:tcBorders>
              <w:top w:val="single" w:sz="4" w:space="0" w:color="auto"/>
              <w:left w:val="single" w:sz="4" w:space="0" w:color="auto"/>
              <w:bottom w:val="single" w:sz="4" w:space="0" w:color="auto"/>
              <w:right w:val="single" w:sz="4" w:space="0" w:color="auto"/>
            </w:tcBorders>
            <w:shd w:val="clear" w:color="auto" w:fill="F2F2F2"/>
            <w:vAlign w:val="center"/>
            <w:hideMark/>
          </w:tcPr>
          <w:p w14:paraId="6A39A813" w14:textId="77777777" w:rsidR="009800C7" w:rsidRPr="001D6D10" w:rsidRDefault="009800C7" w:rsidP="002264AA">
            <w:pPr>
              <w:spacing w:line="120" w:lineRule="exact"/>
              <w:jc w:val="center"/>
              <w:rPr>
                <w:rFonts w:ascii="ＭＳ 明朝"/>
                <w:b/>
                <w:sz w:val="12"/>
                <w:szCs w:val="12"/>
              </w:rPr>
            </w:pPr>
            <w:r w:rsidRPr="001D6D10">
              <w:rPr>
                <w:rFonts w:ascii="ＭＳ 明朝" w:hint="eastAsia"/>
                <w:b/>
                <w:sz w:val="12"/>
                <w:szCs w:val="12"/>
              </w:rPr>
              <w:t>委員</w:t>
            </w:r>
          </w:p>
        </w:tc>
      </w:tr>
      <w:tr w:rsidR="001D6D10" w:rsidRPr="001D6D10" w14:paraId="79043EC7" w14:textId="77777777" w:rsidTr="002264AA">
        <w:trPr>
          <w:trHeight w:hRule="exact" w:val="168"/>
        </w:trPr>
        <w:tc>
          <w:tcPr>
            <w:tcW w:w="536" w:type="dxa"/>
            <w:tcBorders>
              <w:top w:val="single" w:sz="4" w:space="0" w:color="auto"/>
              <w:left w:val="single" w:sz="4" w:space="0" w:color="auto"/>
              <w:bottom w:val="single" w:sz="4" w:space="0" w:color="auto"/>
              <w:right w:val="single" w:sz="4" w:space="0" w:color="auto"/>
            </w:tcBorders>
            <w:vAlign w:val="center"/>
          </w:tcPr>
          <w:p w14:paraId="16FD0106" w14:textId="77777777" w:rsidR="009800C7" w:rsidRPr="001D6D10" w:rsidRDefault="009800C7" w:rsidP="002264AA">
            <w:pPr>
              <w:spacing w:line="120" w:lineRule="exact"/>
              <w:rPr>
                <w:rFonts w:ascii="ＭＳ 明朝"/>
                <w:sz w:val="12"/>
                <w:szCs w:val="12"/>
              </w:rPr>
            </w:pPr>
          </w:p>
        </w:tc>
        <w:tc>
          <w:tcPr>
            <w:tcW w:w="3415" w:type="dxa"/>
            <w:tcBorders>
              <w:top w:val="single" w:sz="4" w:space="0" w:color="auto"/>
              <w:left w:val="single" w:sz="4" w:space="0" w:color="auto"/>
              <w:bottom w:val="single" w:sz="4" w:space="0" w:color="auto"/>
              <w:right w:val="single" w:sz="4" w:space="0" w:color="auto"/>
            </w:tcBorders>
            <w:vAlign w:val="center"/>
            <w:hideMark/>
          </w:tcPr>
          <w:p w14:paraId="031CF6A9" w14:textId="77777777" w:rsidR="009800C7" w:rsidRPr="001D6D10" w:rsidRDefault="009800C7" w:rsidP="002264AA">
            <w:pPr>
              <w:spacing w:line="120" w:lineRule="exact"/>
              <w:rPr>
                <w:rFonts w:ascii="ＭＳ 明朝"/>
                <w:sz w:val="12"/>
                <w:szCs w:val="12"/>
              </w:rPr>
            </w:pPr>
            <w:r w:rsidRPr="001D6D10">
              <w:rPr>
                <w:rFonts w:ascii="ＭＳ 明朝" w:hint="eastAsia"/>
                <w:sz w:val="12"/>
                <w:szCs w:val="12"/>
              </w:rPr>
              <w:t>会長</w:t>
            </w:r>
          </w:p>
        </w:tc>
        <w:tc>
          <w:tcPr>
            <w:tcW w:w="4549" w:type="dxa"/>
            <w:tcBorders>
              <w:top w:val="single" w:sz="4" w:space="0" w:color="auto"/>
              <w:left w:val="single" w:sz="4" w:space="0" w:color="auto"/>
              <w:bottom w:val="single" w:sz="4" w:space="0" w:color="auto"/>
              <w:right w:val="single" w:sz="4" w:space="0" w:color="auto"/>
            </w:tcBorders>
            <w:vAlign w:val="center"/>
            <w:hideMark/>
          </w:tcPr>
          <w:p w14:paraId="092F5CB5" w14:textId="77777777" w:rsidR="009800C7" w:rsidRPr="001D6D10" w:rsidRDefault="009800C7" w:rsidP="002264AA">
            <w:pPr>
              <w:spacing w:line="120" w:lineRule="exact"/>
              <w:rPr>
                <w:rFonts w:ascii="ＭＳ 明朝"/>
                <w:sz w:val="12"/>
                <w:szCs w:val="12"/>
              </w:rPr>
            </w:pPr>
            <w:r w:rsidRPr="001D6D10">
              <w:rPr>
                <w:rFonts w:ascii="ＭＳ 明朝" w:hint="eastAsia"/>
                <w:sz w:val="12"/>
                <w:szCs w:val="12"/>
              </w:rPr>
              <w:t>知事</w:t>
            </w:r>
          </w:p>
        </w:tc>
      </w:tr>
      <w:tr w:rsidR="001D6D10" w:rsidRPr="001D6D10" w14:paraId="705E450E" w14:textId="77777777" w:rsidTr="002264AA">
        <w:trPr>
          <w:trHeight w:hRule="exact" w:val="170"/>
        </w:trPr>
        <w:tc>
          <w:tcPr>
            <w:tcW w:w="536" w:type="dxa"/>
            <w:vMerge w:val="restart"/>
            <w:tcBorders>
              <w:top w:val="single" w:sz="4" w:space="0" w:color="auto"/>
              <w:left w:val="single" w:sz="4" w:space="0" w:color="auto"/>
              <w:right w:val="single" w:sz="4" w:space="0" w:color="auto"/>
            </w:tcBorders>
            <w:vAlign w:val="center"/>
            <w:hideMark/>
          </w:tcPr>
          <w:p w14:paraId="32E963E0" w14:textId="77777777" w:rsidR="009800C7" w:rsidRPr="001D6D10" w:rsidRDefault="009800C7" w:rsidP="002264AA">
            <w:pPr>
              <w:spacing w:line="120" w:lineRule="exact"/>
              <w:rPr>
                <w:rFonts w:ascii="ＭＳ 明朝"/>
                <w:sz w:val="12"/>
                <w:szCs w:val="12"/>
              </w:rPr>
            </w:pPr>
            <w:r w:rsidRPr="001D6D10">
              <w:rPr>
                <w:rFonts w:ascii="ＭＳ 明朝" w:hint="eastAsia"/>
                <w:sz w:val="12"/>
                <w:szCs w:val="12"/>
              </w:rPr>
              <w:t>1号</w:t>
            </w:r>
          </w:p>
        </w:tc>
        <w:tc>
          <w:tcPr>
            <w:tcW w:w="3415" w:type="dxa"/>
            <w:tcBorders>
              <w:top w:val="single" w:sz="4" w:space="0" w:color="auto"/>
              <w:left w:val="single" w:sz="4" w:space="0" w:color="auto"/>
              <w:bottom w:val="single" w:sz="4" w:space="0" w:color="auto"/>
              <w:right w:val="single" w:sz="4" w:space="0" w:color="auto"/>
            </w:tcBorders>
            <w:vAlign w:val="center"/>
            <w:hideMark/>
          </w:tcPr>
          <w:p w14:paraId="3EA96237" w14:textId="77777777" w:rsidR="009800C7" w:rsidRPr="001D6D10" w:rsidRDefault="009800C7" w:rsidP="002264AA">
            <w:pPr>
              <w:spacing w:line="120" w:lineRule="exact"/>
              <w:rPr>
                <w:rFonts w:ascii="ＭＳ 明朝"/>
                <w:sz w:val="12"/>
                <w:szCs w:val="12"/>
              </w:rPr>
            </w:pPr>
            <w:r w:rsidRPr="001D6D10">
              <w:rPr>
                <w:rFonts w:ascii="ＭＳ 明朝" w:hint="eastAsia"/>
                <w:sz w:val="12"/>
                <w:szCs w:val="12"/>
              </w:rPr>
              <w:t>近畿管区警察局</w:t>
            </w:r>
          </w:p>
        </w:tc>
        <w:tc>
          <w:tcPr>
            <w:tcW w:w="4549" w:type="dxa"/>
            <w:tcBorders>
              <w:top w:val="single" w:sz="4" w:space="0" w:color="auto"/>
              <w:left w:val="single" w:sz="4" w:space="0" w:color="auto"/>
              <w:bottom w:val="single" w:sz="4" w:space="0" w:color="auto"/>
              <w:right w:val="single" w:sz="4" w:space="0" w:color="auto"/>
            </w:tcBorders>
            <w:vAlign w:val="center"/>
            <w:hideMark/>
          </w:tcPr>
          <w:p w14:paraId="0329A9A8" w14:textId="77777777" w:rsidR="009800C7" w:rsidRPr="001D6D10" w:rsidRDefault="009800C7" w:rsidP="002264AA">
            <w:pPr>
              <w:spacing w:line="120" w:lineRule="exact"/>
              <w:rPr>
                <w:rFonts w:ascii="ＭＳ 明朝"/>
                <w:sz w:val="12"/>
                <w:szCs w:val="12"/>
              </w:rPr>
            </w:pPr>
            <w:r w:rsidRPr="001D6D10">
              <w:rPr>
                <w:rFonts w:ascii="ＭＳ 明朝" w:hint="eastAsia"/>
                <w:sz w:val="12"/>
                <w:szCs w:val="12"/>
              </w:rPr>
              <w:t>局長</w:t>
            </w:r>
          </w:p>
        </w:tc>
      </w:tr>
      <w:tr w:rsidR="001D6D10" w:rsidRPr="001D6D10" w14:paraId="717795E2" w14:textId="77777777" w:rsidTr="002264AA">
        <w:trPr>
          <w:trHeight w:hRule="exact" w:val="170"/>
        </w:trPr>
        <w:tc>
          <w:tcPr>
            <w:tcW w:w="536" w:type="dxa"/>
            <w:vMerge/>
            <w:tcBorders>
              <w:left w:val="single" w:sz="4" w:space="0" w:color="auto"/>
              <w:right w:val="single" w:sz="4" w:space="0" w:color="auto"/>
            </w:tcBorders>
            <w:vAlign w:val="center"/>
            <w:hideMark/>
          </w:tcPr>
          <w:p w14:paraId="6B8C1EAD" w14:textId="77777777" w:rsidR="009800C7" w:rsidRPr="001D6D10" w:rsidRDefault="009800C7" w:rsidP="002264AA">
            <w:pPr>
              <w:widowControl/>
              <w:jc w:val="left"/>
              <w:rPr>
                <w:rFonts w:ascii="ＭＳ 明朝"/>
                <w:sz w:val="12"/>
                <w:szCs w:val="12"/>
              </w:rPr>
            </w:pPr>
          </w:p>
        </w:tc>
        <w:tc>
          <w:tcPr>
            <w:tcW w:w="3415" w:type="dxa"/>
            <w:tcBorders>
              <w:top w:val="single" w:sz="4" w:space="0" w:color="auto"/>
              <w:left w:val="single" w:sz="4" w:space="0" w:color="auto"/>
              <w:bottom w:val="single" w:sz="4" w:space="0" w:color="auto"/>
              <w:right w:val="single" w:sz="4" w:space="0" w:color="auto"/>
            </w:tcBorders>
            <w:vAlign w:val="center"/>
            <w:hideMark/>
          </w:tcPr>
          <w:p w14:paraId="7981B5AD" w14:textId="77777777" w:rsidR="009800C7" w:rsidRPr="001D6D10" w:rsidRDefault="009800C7" w:rsidP="002264AA">
            <w:pPr>
              <w:spacing w:line="120" w:lineRule="exact"/>
              <w:rPr>
                <w:rFonts w:ascii="ＭＳ 明朝"/>
                <w:sz w:val="12"/>
                <w:szCs w:val="12"/>
              </w:rPr>
            </w:pPr>
            <w:r w:rsidRPr="001D6D10">
              <w:rPr>
                <w:rFonts w:ascii="ＭＳ 明朝" w:hint="eastAsia"/>
                <w:sz w:val="12"/>
                <w:szCs w:val="12"/>
              </w:rPr>
              <w:t>近畿総合通信局</w:t>
            </w:r>
          </w:p>
        </w:tc>
        <w:tc>
          <w:tcPr>
            <w:tcW w:w="4549" w:type="dxa"/>
            <w:tcBorders>
              <w:top w:val="single" w:sz="4" w:space="0" w:color="auto"/>
              <w:left w:val="single" w:sz="4" w:space="0" w:color="auto"/>
              <w:bottom w:val="single" w:sz="4" w:space="0" w:color="auto"/>
              <w:right w:val="single" w:sz="4" w:space="0" w:color="auto"/>
            </w:tcBorders>
            <w:vAlign w:val="center"/>
            <w:hideMark/>
          </w:tcPr>
          <w:p w14:paraId="00239E2B" w14:textId="77777777" w:rsidR="009800C7" w:rsidRPr="001D6D10" w:rsidRDefault="009800C7" w:rsidP="002264AA">
            <w:pPr>
              <w:spacing w:line="120" w:lineRule="exact"/>
              <w:rPr>
                <w:sz w:val="12"/>
                <w:szCs w:val="12"/>
              </w:rPr>
            </w:pPr>
            <w:r w:rsidRPr="001D6D10">
              <w:rPr>
                <w:rFonts w:hint="eastAsia"/>
                <w:sz w:val="12"/>
                <w:szCs w:val="12"/>
              </w:rPr>
              <w:t>局長</w:t>
            </w:r>
          </w:p>
        </w:tc>
      </w:tr>
      <w:tr w:rsidR="001D6D10" w:rsidRPr="001D6D10" w14:paraId="12CC7D41" w14:textId="77777777" w:rsidTr="002264AA">
        <w:trPr>
          <w:trHeight w:hRule="exact" w:val="170"/>
        </w:trPr>
        <w:tc>
          <w:tcPr>
            <w:tcW w:w="536" w:type="dxa"/>
            <w:vMerge/>
            <w:tcBorders>
              <w:left w:val="single" w:sz="4" w:space="0" w:color="auto"/>
              <w:right w:val="single" w:sz="4" w:space="0" w:color="auto"/>
            </w:tcBorders>
            <w:vAlign w:val="center"/>
            <w:hideMark/>
          </w:tcPr>
          <w:p w14:paraId="13BDFD23" w14:textId="77777777" w:rsidR="009800C7" w:rsidRPr="001D6D10" w:rsidRDefault="009800C7" w:rsidP="002264AA">
            <w:pPr>
              <w:widowControl/>
              <w:jc w:val="left"/>
              <w:rPr>
                <w:rFonts w:ascii="ＭＳ 明朝"/>
                <w:sz w:val="12"/>
                <w:szCs w:val="12"/>
              </w:rPr>
            </w:pPr>
          </w:p>
        </w:tc>
        <w:tc>
          <w:tcPr>
            <w:tcW w:w="3415" w:type="dxa"/>
            <w:tcBorders>
              <w:top w:val="single" w:sz="4" w:space="0" w:color="auto"/>
              <w:left w:val="single" w:sz="4" w:space="0" w:color="auto"/>
              <w:bottom w:val="single" w:sz="4" w:space="0" w:color="auto"/>
              <w:right w:val="single" w:sz="4" w:space="0" w:color="auto"/>
            </w:tcBorders>
            <w:vAlign w:val="center"/>
            <w:hideMark/>
          </w:tcPr>
          <w:p w14:paraId="7AA4D724" w14:textId="77777777" w:rsidR="009800C7" w:rsidRPr="001D6D10" w:rsidRDefault="009800C7" w:rsidP="002264AA">
            <w:pPr>
              <w:spacing w:line="120" w:lineRule="exact"/>
              <w:rPr>
                <w:rFonts w:ascii="ＭＳ 明朝"/>
                <w:sz w:val="12"/>
                <w:szCs w:val="12"/>
              </w:rPr>
            </w:pPr>
            <w:r w:rsidRPr="001D6D10">
              <w:rPr>
                <w:rFonts w:ascii="ＭＳ 明朝" w:hint="eastAsia"/>
                <w:sz w:val="12"/>
                <w:szCs w:val="12"/>
              </w:rPr>
              <w:t>近畿財務局</w:t>
            </w:r>
          </w:p>
        </w:tc>
        <w:tc>
          <w:tcPr>
            <w:tcW w:w="4549" w:type="dxa"/>
            <w:tcBorders>
              <w:top w:val="single" w:sz="4" w:space="0" w:color="auto"/>
              <w:left w:val="single" w:sz="4" w:space="0" w:color="auto"/>
              <w:bottom w:val="single" w:sz="4" w:space="0" w:color="auto"/>
              <w:right w:val="single" w:sz="4" w:space="0" w:color="auto"/>
            </w:tcBorders>
            <w:vAlign w:val="center"/>
            <w:hideMark/>
          </w:tcPr>
          <w:p w14:paraId="20DE7F75" w14:textId="77777777" w:rsidR="009800C7" w:rsidRPr="001D6D10" w:rsidRDefault="009800C7" w:rsidP="002264AA">
            <w:pPr>
              <w:spacing w:line="120" w:lineRule="exact"/>
              <w:rPr>
                <w:rFonts w:ascii="ＭＳ 明朝"/>
                <w:sz w:val="12"/>
                <w:szCs w:val="12"/>
              </w:rPr>
            </w:pPr>
            <w:r w:rsidRPr="001D6D10">
              <w:rPr>
                <w:rFonts w:ascii="ＭＳ 明朝" w:hint="eastAsia"/>
                <w:sz w:val="12"/>
                <w:szCs w:val="12"/>
              </w:rPr>
              <w:t>局長</w:t>
            </w:r>
          </w:p>
        </w:tc>
      </w:tr>
      <w:tr w:rsidR="001D6D10" w:rsidRPr="001D6D10" w14:paraId="0E18B7B2" w14:textId="77777777" w:rsidTr="002264AA">
        <w:trPr>
          <w:trHeight w:hRule="exact" w:val="170"/>
        </w:trPr>
        <w:tc>
          <w:tcPr>
            <w:tcW w:w="536" w:type="dxa"/>
            <w:vMerge/>
            <w:tcBorders>
              <w:left w:val="single" w:sz="4" w:space="0" w:color="auto"/>
              <w:right w:val="single" w:sz="4" w:space="0" w:color="auto"/>
            </w:tcBorders>
            <w:vAlign w:val="center"/>
            <w:hideMark/>
          </w:tcPr>
          <w:p w14:paraId="49EDE09C" w14:textId="77777777" w:rsidR="009800C7" w:rsidRPr="001D6D10" w:rsidRDefault="009800C7" w:rsidP="002264AA">
            <w:pPr>
              <w:widowControl/>
              <w:jc w:val="left"/>
              <w:rPr>
                <w:rFonts w:ascii="ＭＳ 明朝"/>
                <w:sz w:val="12"/>
                <w:szCs w:val="12"/>
              </w:rPr>
            </w:pPr>
          </w:p>
        </w:tc>
        <w:tc>
          <w:tcPr>
            <w:tcW w:w="3415" w:type="dxa"/>
            <w:tcBorders>
              <w:top w:val="single" w:sz="4" w:space="0" w:color="auto"/>
              <w:left w:val="single" w:sz="4" w:space="0" w:color="auto"/>
              <w:bottom w:val="single" w:sz="4" w:space="0" w:color="auto"/>
              <w:right w:val="single" w:sz="4" w:space="0" w:color="auto"/>
            </w:tcBorders>
            <w:vAlign w:val="center"/>
            <w:hideMark/>
          </w:tcPr>
          <w:p w14:paraId="45CE8AC7" w14:textId="77777777" w:rsidR="009800C7" w:rsidRPr="001D6D10" w:rsidRDefault="009800C7" w:rsidP="002264AA">
            <w:pPr>
              <w:spacing w:line="120" w:lineRule="exact"/>
              <w:rPr>
                <w:rFonts w:ascii="ＭＳ 明朝"/>
                <w:sz w:val="12"/>
                <w:szCs w:val="12"/>
              </w:rPr>
            </w:pPr>
            <w:r w:rsidRPr="001D6D10">
              <w:rPr>
                <w:rFonts w:ascii="ＭＳ 明朝" w:hint="eastAsia"/>
                <w:sz w:val="12"/>
                <w:szCs w:val="12"/>
              </w:rPr>
              <w:t>近畿厚生局</w:t>
            </w:r>
          </w:p>
        </w:tc>
        <w:tc>
          <w:tcPr>
            <w:tcW w:w="4549" w:type="dxa"/>
            <w:tcBorders>
              <w:top w:val="single" w:sz="4" w:space="0" w:color="auto"/>
              <w:left w:val="single" w:sz="4" w:space="0" w:color="auto"/>
              <w:bottom w:val="single" w:sz="4" w:space="0" w:color="auto"/>
              <w:right w:val="single" w:sz="4" w:space="0" w:color="auto"/>
            </w:tcBorders>
            <w:vAlign w:val="center"/>
            <w:hideMark/>
          </w:tcPr>
          <w:p w14:paraId="1FAEC06C" w14:textId="77777777" w:rsidR="009800C7" w:rsidRPr="001D6D10" w:rsidRDefault="009800C7" w:rsidP="002264AA">
            <w:pPr>
              <w:spacing w:line="120" w:lineRule="exact"/>
              <w:rPr>
                <w:sz w:val="12"/>
                <w:szCs w:val="12"/>
              </w:rPr>
            </w:pPr>
            <w:r w:rsidRPr="001D6D10">
              <w:rPr>
                <w:rFonts w:hint="eastAsia"/>
                <w:sz w:val="12"/>
                <w:szCs w:val="12"/>
              </w:rPr>
              <w:t>局長</w:t>
            </w:r>
          </w:p>
        </w:tc>
      </w:tr>
      <w:tr w:rsidR="001D6D10" w:rsidRPr="001D6D10" w14:paraId="0D93EE9B" w14:textId="77777777" w:rsidTr="002264AA">
        <w:trPr>
          <w:trHeight w:hRule="exact" w:val="170"/>
        </w:trPr>
        <w:tc>
          <w:tcPr>
            <w:tcW w:w="536" w:type="dxa"/>
            <w:vMerge/>
            <w:tcBorders>
              <w:left w:val="single" w:sz="4" w:space="0" w:color="auto"/>
              <w:right w:val="single" w:sz="4" w:space="0" w:color="auto"/>
            </w:tcBorders>
            <w:vAlign w:val="center"/>
            <w:hideMark/>
          </w:tcPr>
          <w:p w14:paraId="654BCD93" w14:textId="77777777" w:rsidR="009800C7" w:rsidRPr="001D6D10" w:rsidRDefault="009800C7" w:rsidP="002264AA">
            <w:pPr>
              <w:widowControl/>
              <w:jc w:val="left"/>
              <w:rPr>
                <w:rFonts w:ascii="ＭＳ 明朝"/>
                <w:sz w:val="12"/>
                <w:szCs w:val="12"/>
              </w:rPr>
            </w:pPr>
          </w:p>
        </w:tc>
        <w:tc>
          <w:tcPr>
            <w:tcW w:w="3415" w:type="dxa"/>
            <w:tcBorders>
              <w:top w:val="single" w:sz="4" w:space="0" w:color="auto"/>
              <w:left w:val="single" w:sz="4" w:space="0" w:color="auto"/>
              <w:bottom w:val="single" w:sz="4" w:space="0" w:color="auto"/>
              <w:right w:val="single" w:sz="4" w:space="0" w:color="auto"/>
            </w:tcBorders>
            <w:vAlign w:val="center"/>
            <w:hideMark/>
          </w:tcPr>
          <w:p w14:paraId="281A7D29" w14:textId="77777777" w:rsidR="009800C7" w:rsidRPr="001D6D10" w:rsidRDefault="009800C7" w:rsidP="002264AA">
            <w:pPr>
              <w:spacing w:line="120" w:lineRule="exact"/>
              <w:rPr>
                <w:rFonts w:ascii="ＭＳ 明朝"/>
                <w:sz w:val="12"/>
                <w:szCs w:val="12"/>
              </w:rPr>
            </w:pPr>
            <w:r w:rsidRPr="001D6D10">
              <w:rPr>
                <w:rFonts w:ascii="ＭＳ 明朝" w:hint="eastAsia"/>
                <w:sz w:val="12"/>
                <w:szCs w:val="12"/>
              </w:rPr>
              <w:t>大阪労働局</w:t>
            </w:r>
          </w:p>
        </w:tc>
        <w:tc>
          <w:tcPr>
            <w:tcW w:w="4549" w:type="dxa"/>
            <w:tcBorders>
              <w:top w:val="single" w:sz="4" w:space="0" w:color="auto"/>
              <w:left w:val="single" w:sz="4" w:space="0" w:color="auto"/>
              <w:bottom w:val="single" w:sz="4" w:space="0" w:color="auto"/>
              <w:right w:val="single" w:sz="4" w:space="0" w:color="auto"/>
            </w:tcBorders>
            <w:vAlign w:val="center"/>
            <w:hideMark/>
          </w:tcPr>
          <w:p w14:paraId="1B4051EF" w14:textId="77777777" w:rsidR="009800C7" w:rsidRPr="001D6D10" w:rsidRDefault="009800C7" w:rsidP="002264AA">
            <w:pPr>
              <w:spacing w:line="120" w:lineRule="exact"/>
              <w:rPr>
                <w:rFonts w:ascii="ＭＳ 明朝"/>
                <w:sz w:val="12"/>
                <w:szCs w:val="12"/>
              </w:rPr>
            </w:pPr>
            <w:r w:rsidRPr="001D6D10">
              <w:rPr>
                <w:rFonts w:ascii="ＭＳ 明朝" w:hint="eastAsia"/>
                <w:sz w:val="12"/>
                <w:szCs w:val="12"/>
              </w:rPr>
              <w:t>局長</w:t>
            </w:r>
          </w:p>
        </w:tc>
      </w:tr>
      <w:tr w:rsidR="001D6D10" w:rsidRPr="001D6D10" w14:paraId="55B6E026" w14:textId="77777777" w:rsidTr="002264AA">
        <w:trPr>
          <w:trHeight w:hRule="exact" w:val="170"/>
        </w:trPr>
        <w:tc>
          <w:tcPr>
            <w:tcW w:w="536" w:type="dxa"/>
            <w:vMerge/>
            <w:tcBorders>
              <w:left w:val="single" w:sz="4" w:space="0" w:color="auto"/>
              <w:right w:val="single" w:sz="4" w:space="0" w:color="auto"/>
            </w:tcBorders>
            <w:vAlign w:val="center"/>
            <w:hideMark/>
          </w:tcPr>
          <w:p w14:paraId="7F356D4C" w14:textId="77777777" w:rsidR="009800C7" w:rsidRPr="001D6D10" w:rsidRDefault="009800C7" w:rsidP="002264AA">
            <w:pPr>
              <w:widowControl/>
              <w:jc w:val="left"/>
              <w:rPr>
                <w:rFonts w:ascii="ＭＳ 明朝"/>
                <w:sz w:val="12"/>
                <w:szCs w:val="12"/>
              </w:rPr>
            </w:pPr>
          </w:p>
        </w:tc>
        <w:tc>
          <w:tcPr>
            <w:tcW w:w="3415" w:type="dxa"/>
            <w:vMerge w:val="restart"/>
            <w:tcBorders>
              <w:top w:val="single" w:sz="4" w:space="0" w:color="auto"/>
              <w:left w:val="single" w:sz="4" w:space="0" w:color="auto"/>
              <w:bottom w:val="single" w:sz="4" w:space="0" w:color="auto"/>
              <w:right w:val="single" w:sz="4" w:space="0" w:color="auto"/>
            </w:tcBorders>
            <w:vAlign w:val="center"/>
            <w:hideMark/>
          </w:tcPr>
          <w:p w14:paraId="3FAEF744" w14:textId="77777777" w:rsidR="009800C7" w:rsidRPr="001D6D10" w:rsidRDefault="009800C7" w:rsidP="002264AA">
            <w:pPr>
              <w:spacing w:line="120" w:lineRule="exact"/>
              <w:rPr>
                <w:rFonts w:ascii="ＭＳ 明朝"/>
                <w:sz w:val="12"/>
                <w:szCs w:val="12"/>
              </w:rPr>
            </w:pPr>
            <w:r w:rsidRPr="001D6D10">
              <w:rPr>
                <w:rFonts w:ascii="ＭＳ 明朝" w:hint="eastAsia"/>
                <w:sz w:val="12"/>
                <w:szCs w:val="12"/>
              </w:rPr>
              <w:t>近畿農政局</w:t>
            </w:r>
          </w:p>
        </w:tc>
        <w:tc>
          <w:tcPr>
            <w:tcW w:w="4549" w:type="dxa"/>
            <w:vMerge w:val="restart"/>
            <w:tcBorders>
              <w:top w:val="single" w:sz="4" w:space="0" w:color="auto"/>
              <w:left w:val="single" w:sz="4" w:space="0" w:color="auto"/>
              <w:bottom w:val="single" w:sz="4" w:space="0" w:color="auto"/>
              <w:right w:val="single" w:sz="4" w:space="0" w:color="auto"/>
            </w:tcBorders>
            <w:vAlign w:val="center"/>
            <w:hideMark/>
          </w:tcPr>
          <w:p w14:paraId="3650D2E1" w14:textId="77777777" w:rsidR="009800C7" w:rsidRPr="001D6D10" w:rsidRDefault="009800C7" w:rsidP="002264AA">
            <w:pPr>
              <w:spacing w:line="120" w:lineRule="exact"/>
              <w:rPr>
                <w:sz w:val="12"/>
                <w:szCs w:val="12"/>
              </w:rPr>
            </w:pPr>
            <w:r w:rsidRPr="001D6D10">
              <w:rPr>
                <w:rFonts w:hint="eastAsia"/>
                <w:sz w:val="12"/>
                <w:szCs w:val="12"/>
              </w:rPr>
              <w:t>局長</w:t>
            </w:r>
          </w:p>
        </w:tc>
      </w:tr>
      <w:tr w:rsidR="001D6D10" w:rsidRPr="001D6D10" w14:paraId="5DC97008" w14:textId="77777777" w:rsidTr="002365BE">
        <w:trPr>
          <w:trHeight w:hRule="exact" w:val="80"/>
        </w:trPr>
        <w:tc>
          <w:tcPr>
            <w:tcW w:w="536" w:type="dxa"/>
            <w:vMerge/>
            <w:tcBorders>
              <w:left w:val="single" w:sz="4" w:space="0" w:color="auto"/>
              <w:right w:val="single" w:sz="4" w:space="0" w:color="auto"/>
            </w:tcBorders>
            <w:vAlign w:val="center"/>
            <w:hideMark/>
          </w:tcPr>
          <w:p w14:paraId="63C1E68C" w14:textId="77777777" w:rsidR="009800C7" w:rsidRPr="001D6D10" w:rsidRDefault="009800C7" w:rsidP="002264AA">
            <w:pPr>
              <w:widowControl/>
              <w:jc w:val="left"/>
              <w:rPr>
                <w:rFonts w:ascii="ＭＳ 明朝"/>
                <w:sz w:val="12"/>
                <w:szCs w:val="12"/>
              </w:rPr>
            </w:pPr>
          </w:p>
        </w:tc>
        <w:tc>
          <w:tcPr>
            <w:tcW w:w="3415" w:type="dxa"/>
            <w:vMerge/>
            <w:tcBorders>
              <w:top w:val="single" w:sz="4" w:space="0" w:color="auto"/>
              <w:left w:val="single" w:sz="4" w:space="0" w:color="auto"/>
              <w:bottom w:val="single" w:sz="4" w:space="0" w:color="auto"/>
              <w:right w:val="single" w:sz="4" w:space="0" w:color="auto"/>
            </w:tcBorders>
            <w:vAlign w:val="center"/>
            <w:hideMark/>
          </w:tcPr>
          <w:p w14:paraId="20B67369" w14:textId="77777777" w:rsidR="009800C7" w:rsidRPr="001D6D10" w:rsidRDefault="009800C7" w:rsidP="002264AA">
            <w:pPr>
              <w:widowControl/>
              <w:jc w:val="left"/>
              <w:rPr>
                <w:rFonts w:ascii="ＭＳ 明朝"/>
                <w:sz w:val="12"/>
                <w:szCs w:val="12"/>
              </w:rPr>
            </w:pPr>
          </w:p>
        </w:tc>
        <w:tc>
          <w:tcPr>
            <w:tcW w:w="4549" w:type="dxa"/>
            <w:vMerge/>
            <w:tcBorders>
              <w:top w:val="single" w:sz="4" w:space="0" w:color="auto"/>
              <w:left w:val="single" w:sz="4" w:space="0" w:color="auto"/>
              <w:bottom w:val="single" w:sz="4" w:space="0" w:color="auto"/>
              <w:right w:val="single" w:sz="4" w:space="0" w:color="auto"/>
            </w:tcBorders>
            <w:vAlign w:val="center"/>
            <w:hideMark/>
          </w:tcPr>
          <w:p w14:paraId="127641DD" w14:textId="77777777" w:rsidR="009800C7" w:rsidRPr="001D6D10" w:rsidRDefault="009800C7" w:rsidP="002264AA">
            <w:pPr>
              <w:widowControl/>
              <w:jc w:val="left"/>
              <w:rPr>
                <w:sz w:val="12"/>
                <w:szCs w:val="12"/>
              </w:rPr>
            </w:pPr>
          </w:p>
        </w:tc>
      </w:tr>
      <w:tr w:rsidR="001D6D10" w:rsidRPr="001D6D10" w14:paraId="2FE67E3F" w14:textId="77777777" w:rsidTr="002264AA">
        <w:trPr>
          <w:trHeight w:hRule="exact" w:val="170"/>
        </w:trPr>
        <w:tc>
          <w:tcPr>
            <w:tcW w:w="536" w:type="dxa"/>
            <w:vMerge/>
            <w:tcBorders>
              <w:left w:val="single" w:sz="4" w:space="0" w:color="auto"/>
              <w:right w:val="single" w:sz="4" w:space="0" w:color="auto"/>
            </w:tcBorders>
            <w:vAlign w:val="center"/>
            <w:hideMark/>
          </w:tcPr>
          <w:p w14:paraId="13DBDE51" w14:textId="77777777" w:rsidR="009800C7" w:rsidRPr="001D6D10" w:rsidRDefault="009800C7" w:rsidP="002264AA">
            <w:pPr>
              <w:widowControl/>
              <w:jc w:val="left"/>
              <w:rPr>
                <w:rFonts w:ascii="ＭＳ 明朝"/>
                <w:sz w:val="12"/>
                <w:szCs w:val="12"/>
              </w:rPr>
            </w:pPr>
          </w:p>
        </w:tc>
        <w:tc>
          <w:tcPr>
            <w:tcW w:w="3415" w:type="dxa"/>
            <w:tcBorders>
              <w:top w:val="single" w:sz="4" w:space="0" w:color="auto"/>
              <w:left w:val="single" w:sz="4" w:space="0" w:color="auto"/>
              <w:bottom w:val="single" w:sz="4" w:space="0" w:color="auto"/>
              <w:right w:val="single" w:sz="4" w:space="0" w:color="auto"/>
            </w:tcBorders>
            <w:vAlign w:val="center"/>
            <w:hideMark/>
          </w:tcPr>
          <w:p w14:paraId="74EC831E" w14:textId="77777777" w:rsidR="009800C7" w:rsidRPr="001D6D10" w:rsidRDefault="009800C7" w:rsidP="002264AA">
            <w:pPr>
              <w:spacing w:line="120" w:lineRule="exact"/>
              <w:rPr>
                <w:rFonts w:ascii="ＭＳ 明朝"/>
                <w:sz w:val="12"/>
                <w:szCs w:val="12"/>
              </w:rPr>
            </w:pPr>
            <w:r w:rsidRPr="001D6D10">
              <w:rPr>
                <w:rFonts w:ascii="ＭＳ 明朝" w:hint="eastAsia"/>
                <w:sz w:val="12"/>
                <w:szCs w:val="12"/>
              </w:rPr>
              <w:t>近畿中国森林管理局</w:t>
            </w:r>
          </w:p>
        </w:tc>
        <w:tc>
          <w:tcPr>
            <w:tcW w:w="4549" w:type="dxa"/>
            <w:tcBorders>
              <w:top w:val="single" w:sz="4" w:space="0" w:color="auto"/>
              <w:left w:val="single" w:sz="4" w:space="0" w:color="auto"/>
              <w:bottom w:val="single" w:sz="4" w:space="0" w:color="auto"/>
              <w:right w:val="single" w:sz="4" w:space="0" w:color="auto"/>
            </w:tcBorders>
            <w:vAlign w:val="center"/>
            <w:hideMark/>
          </w:tcPr>
          <w:p w14:paraId="306F10DB" w14:textId="77777777" w:rsidR="009800C7" w:rsidRPr="001D6D10" w:rsidRDefault="009800C7" w:rsidP="002264AA">
            <w:pPr>
              <w:spacing w:line="120" w:lineRule="exact"/>
              <w:rPr>
                <w:sz w:val="12"/>
                <w:szCs w:val="12"/>
              </w:rPr>
            </w:pPr>
            <w:r w:rsidRPr="001D6D10">
              <w:rPr>
                <w:rFonts w:hint="eastAsia"/>
                <w:sz w:val="12"/>
                <w:szCs w:val="12"/>
              </w:rPr>
              <w:t>局長</w:t>
            </w:r>
          </w:p>
        </w:tc>
      </w:tr>
      <w:tr w:rsidR="001D6D10" w:rsidRPr="001D6D10" w14:paraId="22C50EFF" w14:textId="77777777" w:rsidTr="002264AA">
        <w:trPr>
          <w:trHeight w:hRule="exact" w:val="170"/>
        </w:trPr>
        <w:tc>
          <w:tcPr>
            <w:tcW w:w="536" w:type="dxa"/>
            <w:vMerge/>
            <w:tcBorders>
              <w:left w:val="single" w:sz="4" w:space="0" w:color="auto"/>
              <w:right w:val="single" w:sz="4" w:space="0" w:color="auto"/>
            </w:tcBorders>
            <w:vAlign w:val="center"/>
            <w:hideMark/>
          </w:tcPr>
          <w:p w14:paraId="388604D0" w14:textId="77777777" w:rsidR="009800C7" w:rsidRPr="001D6D10" w:rsidRDefault="009800C7" w:rsidP="002264AA">
            <w:pPr>
              <w:widowControl/>
              <w:jc w:val="left"/>
              <w:rPr>
                <w:rFonts w:ascii="ＭＳ 明朝"/>
                <w:sz w:val="12"/>
                <w:szCs w:val="12"/>
              </w:rPr>
            </w:pPr>
          </w:p>
        </w:tc>
        <w:tc>
          <w:tcPr>
            <w:tcW w:w="3415" w:type="dxa"/>
            <w:tcBorders>
              <w:top w:val="single" w:sz="4" w:space="0" w:color="auto"/>
              <w:left w:val="single" w:sz="4" w:space="0" w:color="auto"/>
              <w:bottom w:val="single" w:sz="4" w:space="0" w:color="auto"/>
              <w:right w:val="single" w:sz="4" w:space="0" w:color="auto"/>
            </w:tcBorders>
            <w:vAlign w:val="center"/>
            <w:hideMark/>
          </w:tcPr>
          <w:p w14:paraId="087375CF" w14:textId="77777777" w:rsidR="009800C7" w:rsidRPr="001D6D10" w:rsidRDefault="009800C7" w:rsidP="002264AA">
            <w:pPr>
              <w:spacing w:line="120" w:lineRule="exact"/>
              <w:rPr>
                <w:rFonts w:ascii="ＭＳ 明朝"/>
                <w:sz w:val="12"/>
                <w:szCs w:val="12"/>
              </w:rPr>
            </w:pPr>
            <w:r w:rsidRPr="001D6D10">
              <w:rPr>
                <w:rFonts w:ascii="ＭＳ 明朝" w:hint="eastAsia"/>
                <w:sz w:val="12"/>
                <w:szCs w:val="12"/>
              </w:rPr>
              <w:t>近畿経済産業局</w:t>
            </w:r>
          </w:p>
        </w:tc>
        <w:tc>
          <w:tcPr>
            <w:tcW w:w="4549" w:type="dxa"/>
            <w:tcBorders>
              <w:top w:val="single" w:sz="4" w:space="0" w:color="auto"/>
              <w:left w:val="single" w:sz="4" w:space="0" w:color="auto"/>
              <w:bottom w:val="single" w:sz="4" w:space="0" w:color="auto"/>
              <w:right w:val="single" w:sz="4" w:space="0" w:color="auto"/>
            </w:tcBorders>
            <w:vAlign w:val="center"/>
            <w:hideMark/>
          </w:tcPr>
          <w:p w14:paraId="507B3C4C" w14:textId="77777777" w:rsidR="009800C7" w:rsidRPr="001D6D10" w:rsidRDefault="009800C7" w:rsidP="002264AA">
            <w:pPr>
              <w:spacing w:line="120" w:lineRule="exact"/>
              <w:rPr>
                <w:rFonts w:ascii="ＭＳ 明朝"/>
                <w:sz w:val="12"/>
                <w:szCs w:val="12"/>
              </w:rPr>
            </w:pPr>
            <w:r w:rsidRPr="001D6D10">
              <w:rPr>
                <w:rFonts w:ascii="ＭＳ 明朝" w:hint="eastAsia"/>
                <w:sz w:val="12"/>
                <w:szCs w:val="12"/>
              </w:rPr>
              <w:t>局長</w:t>
            </w:r>
          </w:p>
        </w:tc>
      </w:tr>
      <w:tr w:rsidR="001D6D10" w:rsidRPr="001D6D10" w14:paraId="645F6BC2" w14:textId="77777777" w:rsidTr="002264AA">
        <w:trPr>
          <w:trHeight w:hRule="exact" w:val="170"/>
        </w:trPr>
        <w:tc>
          <w:tcPr>
            <w:tcW w:w="536" w:type="dxa"/>
            <w:vMerge/>
            <w:tcBorders>
              <w:left w:val="single" w:sz="4" w:space="0" w:color="auto"/>
              <w:right w:val="single" w:sz="4" w:space="0" w:color="auto"/>
            </w:tcBorders>
            <w:vAlign w:val="center"/>
            <w:hideMark/>
          </w:tcPr>
          <w:p w14:paraId="7CDD08E0" w14:textId="77777777" w:rsidR="009800C7" w:rsidRPr="001D6D10" w:rsidRDefault="009800C7" w:rsidP="002264AA">
            <w:pPr>
              <w:widowControl/>
              <w:jc w:val="left"/>
              <w:rPr>
                <w:rFonts w:ascii="ＭＳ 明朝"/>
                <w:sz w:val="12"/>
                <w:szCs w:val="12"/>
              </w:rPr>
            </w:pPr>
          </w:p>
        </w:tc>
        <w:tc>
          <w:tcPr>
            <w:tcW w:w="3415" w:type="dxa"/>
            <w:tcBorders>
              <w:top w:val="single" w:sz="4" w:space="0" w:color="auto"/>
              <w:left w:val="single" w:sz="4" w:space="0" w:color="auto"/>
              <w:bottom w:val="single" w:sz="4" w:space="0" w:color="auto"/>
              <w:right w:val="single" w:sz="4" w:space="0" w:color="auto"/>
            </w:tcBorders>
            <w:vAlign w:val="center"/>
            <w:hideMark/>
          </w:tcPr>
          <w:p w14:paraId="46AA7B13" w14:textId="77777777" w:rsidR="009800C7" w:rsidRPr="001D6D10" w:rsidRDefault="009800C7" w:rsidP="002264AA">
            <w:pPr>
              <w:spacing w:line="120" w:lineRule="exact"/>
              <w:rPr>
                <w:rFonts w:ascii="ＭＳ 明朝"/>
                <w:sz w:val="12"/>
                <w:szCs w:val="12"/>
              </w:rPr>
            </w:pPr>
            <w:r w:rsidRPr="001D6D10">
              <w:rPr>
                <w:rFonts w:ascii="ＭＳ 明朝" w:hint="eastAsia"/>
                <w:sz w:val="12"/>
                <w:szCs w:val="12"/>
              </w:rPr>
              <w:t>中部近畿産業保安監督部近畿支部</w:t>
            </w:r>
          </w:p>
        </w:tc>
        <w:tc>
          <w:tcPr>
            <w:tcW w:w="4549" w:type="dxa"/>
            <w:tcBorders>
              <w:top w:val="single" w:sz="4" w:space="0" w:color="auto"/>
              <w:left w:val="single" w:sz="4" w:space="0" w:color="auto"/>
              <w:bottom w:val="single" w:sz="4" w:space="0" w:color="auto"/>
              <w:right w:val="single" w:sz="4" w:space="0" w:color="auto"/>
            </w:tcBorders>
            <w:vAlign w:val="center"/>
            <w:hideMark/>
          </w:tcPr>
          <w:p w14:paraId="154071EE" w14:textId="77777777" w:rsidR="009800C7" w:rsidRPr="001D6D10" w:rsidRDefault="009800C7" w:rsidP="002264AA">
            <w:pPr>
              <w:spacing w:line="120" w:lineRule="exact"/>
              <w:rPr>
                <w:rFonts w:ascii="ＭＳ 明朝"/>
                <w:sz w:val="12"/>
                <w:szCs w:val="12"/>
              </w:rPr>
            </w:pPr>
            <w:r w:rsidRPr="001D6D10">
              <w:rPr>
                <w:rFonts w:ascii="ＭＳ 明朝" w:hint="eastAsia"/>
                <w:sz w:val="12"/>
                <w:szCs w:val="12"/>
              </w:rPr>
              <w:t>支部長</w:t>
            </w:r>
          </w:p>
        </w:tc>
      </w:tr>
      <w:tr w:rsidR="001D6D10" w:rsidRPr="001D6D10" w14:paraId="152A6DB2" w14:textId="77777777" w:rsidTr="002264AA">
        <w:trPr>
          <w:trHeight w:hRule="exact" w:val="170"/>
        </w:trPr>
        <w:tc>
          <w:tcPr>
            <w:tcW w:w="536" w:type="dxa"/>
            <w:vMerge/>
            <w:tcBorders>
              <w:left w:val="single" w:sz="4" w:space="0" w:color="auto"/>
              <w:right w:val="single" w:sz="4" w:space="0" w:color="auto"/>
            </w:tcBorders>
            <w:vAlign w:val="center"/>
            <w:hideMark/>
          </w:tcPr>
          <w:p w14:paraId="3BB5E970" w14:textId="77777777" w:rsidR="009800C7" w:rsidRPr="001D6D10" w:rsidRDefault="009800C7" w:rsidP="002264AA">
            <w:pPr>
              <w:widowControl/>
              <w:jc w:val="left"/>
              <w:rPr>
                <w:rFonts w:ascii="ＭＳ 明朝"/>
                <w:sz w:val="12"/>
                <w:szCs w:val="12"/>
              </w:rPr>
            </w:pPr>
          </w:p>
        </w:tc>
        <w:tc>
          <w:tcPr>
            <w:tcW w:w="3415" w:type="dxa"/>
            <w:vMerge w:val="restart"/>
            <w:tcBorders>
              <w:top w:val="single" w:sz="4" w:space="0" w:color="auto"/>
              <w:left w:val="single" w:sz="4" w:space="0" w:color="auto"/>
              <w:bottom w:val="single" w:sz="4" w:space="0" w:color="auto"/>
              <w:right w:val="single" w:sz="4" w:space="0" w:color="auto"/>
            </w:tcBorders>
            <w:vAlign w:val="center"/>
            <w:hideMark/>
          </w:tcPr>
          <w:p w14:paraId="4CC9401C" w14:textId="77777777" w:rsidR="009800C7" w:rsidRPr="001D6D10" w:rsidRDefault="009800C7" w:rsidP="002264AA">
            <w:pPr>
              <w:spacing w:line="120" w:lineRule="exact"/>
              <w:rPr>
                <w:rFonts w:ascii="ＭＳ 明朝"/>
                <w:sz w:val="12"/>
                <w:szCs w:val="12"/>
              </w:rPr>
            </w:pPr>
            <w:r w:rsidRPr="001D6D10">
              <w:rPr>
                <w:rFonts w:ascii="ＭＳ 明朝" w:hint="eastAsia"/>
                <w:sz w:val="12"/>
                <w:szCs w:val="12"/>
              </w:rPr>
              <w:t>近畿地方整備局</w:t>
            </w:r>
          </w:p>
        </w:tc>
        <w:tc>
          <w:tcPr>
            <w:tcW w:w="4549" w:type="dxa"/>
            <w:vMerge w:val="restart"/>
            <w:tcBorders>
              <w:top w:val="single" w:sz="4" w:space="0" w:color="auto"/>
              <w:left w:val="single" w:sz="4" w:space="0" w:color="auto"/>
              <w:bottom w:val="single" w:sz="4" w:space="0" w:color="auto"/>
              <w:right w:val="single" w:sz="4" w:space="0" w:color="auto"/>
            </w:tcBorders>
            <w:vAlign w:val="center"/>
            <w:hideMark/>
          </w:tcPr>
          <w:p w14:paraId="5FAD4484" w14:textId="77777777" w:rsidR="009800C7" w:rsidRPr="001D6D10" w:rsidRDefault="009800C7" w:rsidP="002264AA">
            <w:pPr>
              <w:spacing w:line="120" w:lineRule="exact"/>
              <w:rPr>
                <w:rFonts w:ascii="ＭＳ 明朝"/>
                <w:sz w:val="12"/>
                <w:szCs w:val="12"/>
              </w:rPr>
            </w:pPr>
            <w:r w:rsidRPr="001D6D10">
              <w:rPr>
                <w:rFonts w:ascii="ＭＳ 明朝" w:hint="eastAsia"/>
                <w:sz w:val="12"/>
                <w:szCs w:val="12"/>
              </w:rPr>
              <w:t>局長</w:t>
            </w:r>
          </w:p>
        </w:tc>
      </w:tr>
      <w:tr w:rsidR="001D6D10" w:rsidRPr="001D6D10" w14:paraId="59B56523" w14:textId="77777777" w:rsidTr="002365BE">
        <w:trPr>
          <w:trHeight w:hRule="exact" w:val="70"/>
        </w:trPr>
        <w:tc>
          <w:tcPr>
            <w:tcW w:w="536" w:type="dxa"/>
            <w:vMerge/>
            <w:tcBorders>
              <w:left w:val="single" w:sz="4" w:space="0" w:color="auto"/>
              <w:right w:val="single" w:sz="4" w:space="0" w:color="auto"/>
            </w:tcBorders>
            <w:vAlign w:val="center"/>
            <w:hideMark/>
          </w:tcPr>
          <w:p w14:paraId="17BF152A" w14:textId="77777777" w:rsidR="009800C7" w:rsidRPr="001D6D10" w:rsidRDefault="009800C7" w:rsidP="002264AA">
            <w:pPr>
              <w:widowControl/>
              <w:jc w:val="left"/>
              <w:rPr>
                <w:rFonts w:ascii="ＭＳ 明朝"/>
                <w:sz w:val="12"/>
                <w:szCs w:val="12"/>
              </w:rPr>
            </w:pPr>
          </w:p>
        </w:tc>
        <w:tc>
          <w:tcPr>
            <w:tcW w:w="3415" w:type="dxa"/>
            <w:vMerge/>
            <w:tcBorders>
              <w:top w:val="single" w:sz="4" w:space="0" w:color="auto"/>
              <w:left w:val="single" w:sz="4" w:space="0" w:color="auto"/>
              <w:bottom w:val="single" w:sz="4" w:space="0" w:color="auto"/>
              <w:right w:val="single" w:sz="4" w:space="0" w:color="auto"/>
            </w:tcBorders>
            <w:vAlign w:val="center"/>
            <w:hideMark/>
          </w:tcPr>
          <w:p w14:paraId="189BBB63" w14:textId="77777777" w:rsidR="009800C7" w:rsidRPr="001D6D10" w:rsidRDefault="009800C7" w:rsidP="002264AA">
            <w:pPr>
              <w:widowControl/>
              <w:jc w:val="left"/>
              <w:rPr>
                <w:rFonts w:ascii="ＭＳ 明朝"/>
                <w:sz w:val="12"/>
                <w:szCs w:val="12"/>
              </w:rPr>
            </w:pPr>
          </w:p>
        </w:tc>
        <w:tc>
          <w:tcPr>
            <w:tcW w:w="4549" w:type="dxa"/>
            <w:vMerge/>
            <w:tcBorders>
              <w:top w:val="single" w:sz="4" w:space="0" w:color="auto"/>
              <w:left w:val="single" w:sz="4" w:space="0" w:color="auto"/>
              <w:bottom w:val="single" w:sz="4" w:space="0" w:color="auto"/>
              <w:right w:val="single" w:sz="4" w:space="0" w:color="auto"/>
            </w:tcBorders>
            <w:vAlign w:val="center"/>
            <w:hideMark/>
          </w:tcPr>
          <w:p w14:paraId="29707140" w14:textId="77777777" w:rsidR="009800C7" w:rsidRPr="001D6D10" w:rsidRDefault="009800C7" w:rsidP="002264AA">
            <w:pPr>
              <w:widowControl/>
              <w:jc w:val="left"/>
              <w:rPr>
                <w:rFonts w:ascii="ＭＳ 明朝"/>
                <w:sz w:val="12"/>
                <w:szCs w:val="12"/>
              </w:rPr>
            </w:pPr>
          </w:p>
        </w:tc>
      </w:tr>
      <w:tr w:rsidR="001D6D10" w:rsidRPr="001D6D10" w14:paraId="3A635A9A" w14:textId="77777777" w:rsidTr="002264AA">
        <w:trPr>
          <w:trHeight w:hRule="exact" w:val="170"/>
        </w:trPr>
        <w:tc>
          <w:tcPr>
            <w:tcW w:w="536" w:type="dxa"/>
            <w:vMerge/>
            <w:tcBorders>
              <w:left w:val="single" w:sz="4" w:space="0" w:color="auto"/>
              <w:right w:val="single" w:sz="4" w:space="0" w:color="auto"/>
            </w:tcBorders>
            <w:vAlign w:val="center"/>
            <w:hideMark/>
          </w:tcPr>
          <w:p w14:paraId="1EF5D518" w14:textId="77777777" w:rsidR="009800C7" w:rsidRPr="001D6D10" w:rsidRDefault="009800C7" w:rsidP="002264AA">
            <w:pPr>
              <w:widowControl/>
              <w:jc w:val="left"/>
              <w:rPr>
                <w:rFonts w:ascii="ＭＳ 明朝"/>
                <w:sz w:val="12"/>
                <w:szCs w:val="12"/>
              </w:rPr>
            </w:pPr>
          </w:p>
        </w:tc>
        <w:tc>
          <w:tcPr>
            <w:tcW w:w="3415" w:type="dxa"/>
            <w:vMerge w:val="restart"/>
            <w:tcBorders>
              <w:top w:val="single" w:sz="4" w:space="0" w:color="auto"/>
              <w:left w:val="single" w:sz="4" w:space="0" w:color="auto"/>
              <w:bottom w:val="single" w:sz="4" w:space="0" w:color="auto"/>
              <w:right w:val="single" w:sz="4" w:space="0" w:color="auto"/>
            </w:tcBorders>
            <w:vAlign w:val="center"/>
            <w:hideMark/>
          </w:tcPr>
          <w:p w14:paraId="57FCCA57" w14:textId="77777777" w:rsidR="009800C7" w:rsidRPr="001D6D10" w:rsidRDefault="009800C7" w:rsidP="002264AA">
            <w:pPr>
              <w:spacing w:line="120" w:lineRule="exact"/>
              <w:rPr>
                <w:rFonts w:ascii="ＭＳ 明朝"/>
                <w:sz w:val="12"/>
                <w:szCs w:val="12"/>
              </w:rPr>
            </w:pPr>
            <w:r w:rsidRPr="001D6D10">
              <w:rPr>
                <w:rFonts w:ascii="ＭＳ 明朝" w:hint="eastAsia"/>
                <w:sz w:val="12"/>
                <w:szCs w:val="12"/>
              </w:rPr>
              <w:t>近畿運輸局</w:t>
            </w:r>
          </w:p>
        </w:tc>
        <w:tc>
          <w:tcPr>
            <w:tcW w:w="4549" w:type="dxa"/>
            <w:vMerge w:val="restart"/>
            <w:tcBorders>
              <w:top w:val="single" w:sz="4" w:space="0" w:color="auto"/>
              <w:left w:val="single" w:sz="4" w:space="0" w:color="auto"/>
              <w:bottom w:val="single" w:sz="4" w:space="0" w:color="auto"/>
              <w:right w:val="single" w:sz="4" w:space="0" w:color="auto"/>
            </w:tcBorders>
            <w:vAlign w:val="center"/>
            <w:hideMark/>
          </w:tcPr>
          <w:p w14:paraId="17EB5688" w14:textId="77777777" w:rsidR="009800C7" w:rsidRPr="001D6D10" w:rsidRDefault="009800C7" w:rsidP="002264AA">
            <w:pPr>
              <w:spacing w:line="120" w:lineRule="exact"/>
              <w:rPr>
                <w:rFonts w:ascii="ＭＳ 明朝"/>
                <w:sz w:val="12"/>
                <w:szCs w:val="12"/>
              </w:rPr>
            </w:pPr>
            <w:r w:rsidRPr="001D6D10">
              <w:rPr>
                <w:rFonts w:ascii="ＭＳ 明朝" w:hint="eastAsia"/>
                <w:sz w:val="12"/>
                <w:szCs w:val="12"/>
              </w:rPr>
              <w:t>局長</w:t>
            </w:r>
          </w:p>
        </w:tc>
      </w:tr>
      <w:tr w:rsidR="001D6D10" w:rsidRPr="001D6D10" w14:paraId="69BA8E36" w14:textId="77777777" w:rsidTr="002365BE">
        <w:trPr>
          <w:trHeight w:hRule="exact" w:val="70"/>
        </w:trPr>
        <w:tc>
          <w:tcPr>
            <w:tcW w:w="536" w:type="dxa"/>
            <w:vMerge/>
            <w:tcBorders>
              <w:left w:val="single" w:sz="4" w:space="0" w:color="auto"/>
              <w:right w:val="single" w:sz="4" w:space="0" w:color="auto"/>
            </w:tcBorders>
            <w:vAlign w:val="center"/>
            <w:hideMark/>
          </w:tcPr>
          <w:p w14:paraId="10978C75" w14:textId="77777777" w:rsidR="009800C7" w:rsidRPr="001D6D10" w:rsidRDefault="009800C7" w:rsidP="002264AA">
            <w:pPr>
              <w:widowControl/>
              <w:jc w:val="left"/>
              <w:rPr>
                <w:rFonts w:ascii="ＭＳ 明朝"/>
                <w:sz w:val="12"/>
                <w:szCs w:val="12"/>
              </w:rPr>
            </w:pPr>
          </w:p>
        </w:tc>
        <w:tc>
          <w:tcPr>
            <w:tcW w:w="3415" w:type="dxa"/>
            <w:vMerge/>
            <w:tcBorders>
              <w:top w:val="single" w:sz="4" w:space="0" w:color="auto"/>
              <w:left w:val="single" w:sz="4" w:space="0" w:color="auto"/>
              <w:bottom w:val="single" w:sz="4" w:space="0" w:color="auto"/>
              <w:right w:val="single" w:sz="4" w:space="0" w:color="auto"/>
            </w:tcBorders>
            <w:vAlign w:val="center"/>
            <w:hideMark/>
          </w:tcPr>
          <w:p w14:paraId="20F4150F" w14:textId="77777777" w:rsidR="009800C7" w:rsidRPr="001D6D10" w:rsidRDefault="009800C7" w:rsidP="002264AA">
            <w:pPr>
              <w:widowControl/>
              <w:jc w:val="left"/>
              <w:rPr>
                <w:rFonts w:ascii="ＭＳ 明朝"/>
                <w:sz w:val="12"/>
                <w:szCs w:val="12"/>
              </w:rPr>
            </w:pPr>
          </w:p>
        </w:tc>
        <w:tc>
          <w:tcPr>
            <w:tcW w:w="4549" w:type="dxa"/>
            <w:vMerge/>
            <w:tcBorders>
              <w:top w:val="single" w:sz="4" w:space="0" w:color="auto"/>
              <w:left w:val="single" w:sz="4" w:space="0" w:color="auto"/>
              <w:bottom w:val="single" w:sz="4" w:space="0" w:color="auto"/>
              <w:right w:val="single" w:sz="4" w:space="0" w:color="auto"/>
            </w:tcBorders>
            <w:vAlign w:val="center"/>
            <w:hideMark/>
          </w:tcPr>
          <w:p w14:paraId="4ED8AEE6" w14:textId="77777777" w:rsidR="009800C7" w:rsidRPr="001D6D10" w:rsidRDefault="009800C7" w:rsidP="002264AA">
            <w:pPr>
              <w:widowControl/>
              <w:jc w:val="left"/>
              <w:rPr>
                <w:rFonts w:ascii="ＭＳ 明朝"/>
                <w:sz w:val="12"/>
                <w:szCs w:val="12"/>
              </w:rPr>
            </w:pPr>
          </w:p>
        </w:tc>
      </w:tr>
      <w:tr w:rsidR="001D6D10" w:rsidRPr="001D6D10" w14:paraId="706309BB" w14:textId="77777777" w:rsidTr="002264AA">
        <w:trPr>
          <w:trHeight w:hRule="exact" w:val="170"/>
        </w:trPr>
        <w:tc>
          <w:tcPr>
            <w:tcW w:w="536" w:type="dxa"/>
            <w:vMerge/>
            <w:tcBorders>
              <w:left w:val="single" w:sz="4" w:space="0" w:color="auto"/>
              <w:right w:val="single" w:sz="4" w:space="0" w:color="auto"/>
            </w:tcBorders>
            <w:vAlign w:val="center"/>
            <w:hideMark/>
          </w:tcPr>
          <w:p w14:paraId="34EE9398" w14:textId="77777777" w:rsidR="009800C7" w:rsidRPr="001D6D10" w:rsidRDefault="009800C7" w:rsidP="002264AA">
            <w:pPr>
              <w:widowControl/>
              <w:jc w:val="left"/>
              <w:rPr>
                <w:rFonts w:ascii="ＭＳ 明朝"/>
                <w:sz w:val="12"/>
                <w:szCs w:val="12"/>
              </w:rPr>
            </w:pPr>
          </w:p>
        </w:tc>
        <w:tc>
          <w:tcPr>
            <w:tcW w:w="3415" w:type="dxa"/>
            <w:tcBorders>
              <w:top w:val="single" w:sz="4" w:space="0" w:color="auto"/>
              <w:left w:val="single" w:sz="4" w:space="0" w:color="auto"/>
              <w:bottom w:val="single" w:sz="4" w:space="0" w:color="auto"/>
              <w:right w:val="single" w:sz="4" w:space="0" w:color="auto"/>
            </w:tcBorders>
            <w:vAlign w:val="center"/>
            <w:hideMark/>
          </w:tcPr>
          <w:p w14:paraId="3FA1103A" w14:textId="77777777" w:rsidR="009800C7" w:rsidRPr="001D6D10" w:rsidRDefault="009800C7" w:rsidP="002264AA">
            <w:pPr>
              <w:spacing w:line="120" w:lineRule="exact"/>
              <w:rPr>
                <w:rFonts w:ascii="ＭＳ 明朝"/>
                <w:sz w:val="12"/>
                <w:szCs w:val="12"/>
              </w:rPr>
            </w:pPr>
            <w:r w:rsidRPr="001D6D10">
              <w:rPr>
                <w:rFonts w:ascii="ＭＳ 明朝" w:hint="eastAsia"/>
                <w:sz w:val="12"/>
                <w:szCs w:val="12"/>
              </w:rPr>
              <w:t>大阪航空局</w:t>
            </w:r>
          </w:p>
        </w:tc>
        <w:tc>
          <w:tcPr>
            <w:tcW w:w="4549" w:type="dxa"/>
            <w:tcBorders>
              <w:top w:val="single" w:sz="4" w:space="0" w:color="auto"/>
              <w:left w:val="single" w:sz="4" w:space="0" w:color="auto"/>
              <w:bottom w:val="single" w:sz="4" w:space="0" w:color="auto"/>
              <w:right w:val="single" w:sz="4" w:space="0" w:color="auto"/>
            </w:tcBorders>
            <w:vAlign w:val="center"/>
            <w:hideMark/>
          </w:tcPr>
          <w:p w14:paraId="20F84B07" w14:textId="77777777" w:rsidR="009800C7" w:rsidRPr="001D6D10" w:rsidRDefault="009800C7" w:rsidP="002264AA">
            <w:pPr>
              <w:spacing w:line="120" w:lineRule="exact"/>
              <w:rPr>
                <w:rFonts w:ascii="ＭＳ 明朝"/>
                <w:sz w:val="12"/>
                <w:szCs w:val="12"/>
              </w:rPr>
            </w:pPr>
            <w:r w:rsidRPr="001D6D10">
              <w:rPr>
                <w:rFonts w:ascii="ＭＳ 明朝" w:hint="eastAsia"/>
                <w:sz w:val="12"/>
                <w:szCs w:val="12"/>
              </w:rPr>
              <w:t>局長</w:t>
            </w:r>
          </w:p>
        </w:tc>
      </w:tr>
      <w:tr w:rsidR="001D6D10" w:rsidRPr="001D6D10" w14:paraId="33003C70" w14:textId="77777777" w:rsidTr="002264AA">
        <w:trPr>
          <w:trHeight w:hRule="exact" w:val="170"/>
        </w:trPr>
        <w:tc>
          <w:tcPr>
            <w:tcW w:w="536" w:type="dxa"/>
            <w:vMerge/>
            <w:tcBorders>
              <w:left w:val="single" w:sz="4" w:space="0" w:color="auto"/>
              <w:right w:val="single" w:sz="4" w:space="0" w:color="auto"/>
            </w:tcBorders>
            <w:vAlign w:val="center"/>
          </w:tcPr>
          <w:p w14:paraId="227941FF" w14:textId="77777777" w:rsidR="009800C7" w:rsidRPr="001D6D10" w:rsidRDefault="009800C7" w:rsidP="002264AA">
            <w:pPr>
              <w:widowControl/>
              <w:jc w:val="left"/>
              <w:rPr>
                <w:rFonts w:ascii="ＭＳ 明朝"/>
                <w:sz w:val="12"/>
                <w:szCs w:val="12"/>
              </w:rPr>
            </w:pPr>
          </w:p>
        </w:tc>
        <w:tc>
          <w:tcPr>
            <w:tcW w:w="3415" w:type="dxa"/>
            <w:tcBorders>
              <w:top w:val="single" w:sz="4" w:space="0" w:color="auto"/>
              <w:left w:val="single" w:sz="4" w:space="0" w:color="auto"/>
              <w:bottom w:val="single" w:sz="4" w:space="0" w:color="auto"/>
              <w:right w:val="single" w:sz="4" w:space="0" w:color="auto"/>
            </w:tcBorders>
            <w:vAlign w:val="center"/>
          </w:tcPr>
          <w:p w14:paraId="20E59F3E" w14:textId="77777777" w:rsidR="009800C7" w:rsidRPr="001D6D10" w:rsidRDefault="009800C7" w:rsidP="002264AA">
            <w:pPr>
              <w:spacing w:line="120" w:lineRule="exact"/>
              <w:rPr>
                <w:rFonts w:ascii="ＭＳ 明朝"/>
                <w:sz w:val="12"/>
                <w:szCs w:val="12"/>
              </w:rPr>
            </w:pPr>
            <w:r w:rsidRPr="001D6D10">
              <w:rPr>
                <w:rFonts w:ascii="ＭＳ 明朝" w:hint="eastAsia"/>
                <w:sz w:val="12"/>
                <w:szCs w:val="12"/>
              </w:rPr>
              <w:t>近畿地方測量部</w:t>
            </w:r>
          </w:p>
        </w:tc>
        <w:tc>
          <w:tcPr>
            <w:tcW w:w="4549" w:type="dxa"/>
            <w:tcBorders>
              <w:top w:val="single" w:sz="4" w:space="0" w:color="auto"/>
              <w:left w:val="single" w:sz="4" w:space="0" w:color="auto"/>
              <w:bottom w:val="single" w:sz="4" w:space="0" w:color="auto"/>
              <w:right w:val="single" w:sz="4" w:space="0" w:color="auto"/>
            </w:tcBorders>
            <w:vAlign w:val="center"/>
          </w:tcPr>
          <w:p w14:paraId="241ACB91" w14:textId="77777777" w:rsidR="009800C7" w:rsidRPr="001D6D10" w:rsidRDefault="009800C7" w:rsidP="002264AA">
            <w:pPr>
              <w:spacing w:line="120" w:lineRule="exact"/>
              <w:rPr>
                <w:rFonts w:ascii="ＭＳ 明朝"/>
                <w:sz w:val="12"/>
                <w:szCs w:val="12"/>
              </w:rPr>
            </w:pPr>
            <w:r w:rsidRPr="001D6D10">
              <w:rPr>
                <w:rFonts w:ascii="ＭＳ 明朝" w:hint="eastAsia"/>
                <w:sz w:val="12"/>
                <w:szCs w:val="12"/>
              </w:rPr>
              <w:t>部長</w:t>
            </w:r>
          </w:p>
        </w:tc>
      </w:tr>
      <w:tr w:rsidR="001D6D10" w:rsidRPr="001D6D10" w14:paraId="7E2F7BCF" w14:textId="77777777" w:rsidTr="002264AA">
        <w:trPr>
          <w:trHeight w:hRule="exact" w:val="170"/>
        </w:trPr>
        <w:tc>
          <w:tcPr>
            <w:tcW w:w="536" w:type="dxa"/>
            <w:vMerge/>
            <w:tcBorders>
              <w:left w:val="single" w:sz="4" w:space="0" w:color="auto"/>
              <w:right w:val="single" w:sz="4" w:space="0" w:color="auto"/>
            </w:tcBorders>
            <w:vAlign w:val="center"/>
            <w:hideMark/>
          </w:tcPr>
          <w:p w14:paraId="2B1B6875" w14:textId="77777777" w:rsidR="009800C7" w:rsidRPr="001D6D10" w:rsidRDefault="009800C7" w:rsidP="002264AA">
            <w:pPr>
              <w:widowControl/>
              <w:jc w:val="left"/>
              <w:rPr>
                <w:rFonts w:ascii="ＭＳ 明朝"/>
                <w:sz w:val="12"/>
                <w:szCs w:val="12"/>
              </w:rPr>
            </w:pPr>
          </w:p>
        </w:tc>
        <w:tc>
          <w:tcPr>
            <w:tcW w:w="3415" w:type="dxa"/>
            <w:tcBorders>
              <w:top w:val="single" w:sz="4" w:space="0" w:color="auto"/>
              <w:left w:val="single" w:sz="4" w:space="0" w:color="auto"/>
              <w:bottom w:val="single" w:sz="4" w:space="0" w:color="auto"/>
              <w:right w:val="single" w:sz="4" w:space="0" w:color="auto"/>
            </w:tcBorders>
            <w:vAlign w:val="center"/>
            <w:hideMark/>
          </w:tcPr>
          <w:p w14:paraId="55832D30" w14:textId="77777777" w:rsidR="009800C7" w:rsidRPr="001D6D10" w:rsidRDefault="009800C7" w:rsidP="002264AA">
            <w:pPr>
              <w:spacing w:line="120" w:lineRule="exact"/>
              <w:rPr>
                <w:rFonts w:ascii="ＭＳ 明朝"/>
                <w:sz w:val="12"/>
                <w:szCs w:val="12"/>
              </w:rPr>
            </w:pPr>
            <w:r w:rsidRPr="001D6D10">
              <w:rPr>
                <w:rFonts w:ascii="ＭＳ 明朝" w:hint="eastAsia"/>
                <w:sz w:val="12"/>
                <w:szCs w:val="12"/>
              </w:rPr>
              <w:t>大阪管区気象台</w:t>
            </w:r>
          </w:p>
        </w:tc>
        <w:tc>
          <w:tcPr>
            <w:tcW w:w="4549" w:type="dxa"/>
            <w:tcBorders>
              <w:top w:val="single" w:sz="4" w:space="0" w:color="auto"/>
              <w:left w:val="single" w:sz="4" w:space="0" w:color="auto"/>
              <w:bottom w:val="single" w:sz="4" w:space="0" w:color="auto"/>
              <w:right w:val="single" w:sz="4" w:space="0" w:color="auto"/>
            </w:tcBorders>
            <w:vAlign w:val="center"/>
            <w:hideMark/>
          </w:tcPr>
          <w:p w14:paraId="24697EBA" w14:textId="77777777" w:rsidR="009800C7" w:rsidRPr="001D6D10" w:rsidRDefault="009800C7" w:rsidP="002264AA">
            <w:pPr>
              <w:spacing w:line="120" w:lineRule="exact"/>
              <w:rPr>
                <w:rFonts w:ascii="ＭＳ 明朝"/>
                <w:sz w:val="12"/>
                <w:szCs w:val="12"/>
              </w:rPr>
            </w:pPr>
            <w:r w:rsidRPr="001D6D10">
              <w:rPr>
                <w:rFonts w:ascii="ＭＳ 明朝" w:hint="eastAsia"/>
                <w:sz w:val="12"/>
                <w:szCs w:val="12"/>
              </w:rPr>
              <w:t>台長</w:t>
            </w:r>
          </w:p>
        </w:tc>
      </w:tr>
      <w:tr w:rsidR="001D6D10" w:rsidRPr="001D6D10" w14:paraId="5965E45C" w14:textId="77777777" w:rsidTr="002264AA">
        <w:trPr>
          <w:trHeight w:hRule="exact" w:val="170"/>
        </w:trPr>
        <w:tc>
          <w:tcPr>
            <w:tcW w:w="536" w:type="dxa"/>
            <w:vMerge/>
            <w:tcBorders>
              <w:left w:val="single" w:sz="4" w:space="0" w:color="auto"/>
              <w:right w:val="single" w:sz="4" w:space="0" w:color="auto"/>
            </w:tcBorders>
            <w:vAlign w:val="center"/>
            <w:hideMark/>
          </w:tcPr>
          <w:p w14:paraId="7EADB705" w14:textId="77777777" w:rsidR="009800C7" w:rsidRPr="001D6D10" w:rsidRDefault="009800C7" w:rsidP="002264AA">
            <w:pPr>
              <w:widowControl/>
              <w:jc w:val="left"/>
              <w:rPr>
                <w:rFonts w:ascii="ＭＳ 明朝"/>
                <w:sz w:val="12"/>
                <w:szCs w:val="12"/>
              </w:rPr>
            </w:pPr>
          </w:p>
        </w:tc>
        <w:tc>
          <w:tcPr>
            <w:tcW w:w="3415" w:type="dxa"/>
            <w:tcBorders>
              <w:top w:val="single" w:sz="4" w:space="0" w:color="auto"/>
              <w:left w:val="single" w:sz="4" w:space="0" w:color="auto"/>
              <w:bottom w:val="nil"/>
              <w:right w:val="single" w:sz="4" w:space="0" w:color="auto"/>
            </w:tcBorders>
            <w:vAlign w:val="center"/>
            <w:hideMark/>
          </w:tcPr>
          <w:p w14:paraId="695340B6" w14:textId="77777777" w:rsidR="009800C7" w:rsidRPr="001D6D10" w:rsidRDefault="009800C7" w:rsidP="002264AA">
            <w:pPr>
              <w:spacing w:line="120" w:lineRule="exact"/>
              <w:rPr>
                <w:rFonts w:ascii="ＭＳ 明朝"/>
                <w:sz w:val="12"/>
                <w:szCs w:val="12"/>
              </w:rPr>
            </w:pPr>
            <w:r w:rsidRPr="001D6D10">
              <w:rPr>
                <w:rFonts w:ascii="ＭＳ 明朝" w:hint="eastAsia"/>
                <w:sz w:val="12"/>
                <w:szCs w:val="12"/>
              </w:rPr>
              <w:t>第五管区海上保安本部（大阪海上保安監部）</w:t>
            </w:r>
          </w:p>
        </w:tc>
        <w:tc>
          <w:tcPr>
            <w:tcW w:w="4549" w:type="dxa"/>
            <w:tcBorders>
              <w:top w:val="single" w:sz="4" w:space="0" w:color="auto"/>
              <w:left w:val="single" w:sz="4" w:space="0" w:color="auto"/>
              <w:bottom w:val="single" w:sz="4" w:space="0" w:color="auto"/>
              <w:right w:val="single" w:sz="4" w:space="0" w:color="auto"/>
            </w:tcBorders>
            <w:vAlign w:val="center"/>
            <w:hideMark/>
          </w:tcPr>
          <w:p w14:paraId="39E676BC" w14:textId="77777777" w:rsidR="009800C7" w:rsidRPr="001D6D10" w:rsidRDefault="009800C7" w:rsidP="002264AA">
            <w:pPr>
              <w:spacing w:line="120" w:lineRule="exact"/>
              <w:rPr>
                <w:rFonts w:ascii="ＭＳ 明朝"/>
                <w:sz w:val="12"/>
                <w:szCs w:val="12"/>
              </w:rPr>
            </w:pPr>
            <w:r w:rsidRPr="001D6D10">
              <w:rPr>
                <w:rFonts w:ascii="ＭＳ 明朝" w:hint="eastAsia"/>
                <w:sz w:val="12"/>
                <w:szCs w:val="12"/>
              </w:rPr>
              <w:t>監部長</w:t>
            </w:r>
          </w:p>
        </w:tc>
      </w:tr>
      <w:tr w:rsidR="001D6D10" w:rsidRPr="001D6D10" w14:paraId="0D102A75" w14:textId="77777777" w:rsidTr="002264AA">
        <w:trPr>
          <w:trHeight w:hRule="exact" w:val="170"/>
        </w:trPr>
        <w:tc>
          <w:tcPr>
            <w:tcW w:w="536" w:type="dxa"/>
            <w:vMerge/>
            <w:tcBorders>
              <w:left w:val="single" w:sz="4" w:space="0" w:color="auto"/>
              <w:right w:val="single" w:sz="4" w:space="0" w:color="auto"/>
            </w:tcBorders>
            <w:vAlign w:val="center"/>
            <w:hideMark/>
          </w:tcPr>
          <w:p w14:paraId="34F68400" w14:textId="77777777" w:rsidR="009800C7" w:rsidRPr="001D6D10" w:rsidRDefault="009800C7" w:rsidP="002264AA">
            <w:pPr>
              <w:widowControl/>
              <w:jc w:val="left"/>
              <w:rPr>
                <w:rFonts w:ascii="ＭＳ 明朝"/>
                <w:sz w:val="12"/>
                <w:szCs w:val="12"/>
              </w:rPr>
            </w:pPr>
          </w:p>
        </w:tc>
        <w:tc>
          <w:tcPr>
            <w:tcW w:w="3415" w:type="dxa"/>
            <w:tcBorders>
              <w:top w:val="single" w:sz="4" w:space="0" w:color="auto"/>
              <w:left w:val="single" w:sz="4" w:space="0" w:color="auto"/>
              <w:bottom w:val="single" w:sz="4" w:space="0" w:color="auto"/>
              <w:right w:val="single" w:sz="4" w:space="0" w:color="auto"/>
            </w:tcBorders>
            <w:vAlign w:val="center"/>
            <w:hideMark/>
          </w:tcPr>
          <w:p w14:paraId="7032C106" w14:textId="77777777" w:rsidR="009800C7" w:rsidRPr="001D6D10" w:rsidRDefault="009800C7" w:rsidP="002264AA">
            <w:pPr>
              <w:spacing w:line="120" w:lineRule="exact"/>
              <w:rPr>
                <w:rFonts w:ascii="ＭＳ 明朝"/>
                <w:sz w:val="12"/>
                <w:szCs w:val="12"/>
              </w:rPr>
            </w:pPr>
            <w:r w:rsidRPr="001D6D10">
              <w:rPr>
                <w:rFonts w:ascii="ＭＳ 明朝" w:hint="eastAsia"/>
                <w:sz w:val="12"/>
                <w:szCs w:val="12"/>
              </w:rPr>
              <w:t>近畿地方環境事務所</w:t>
            </w:r>
          </w:p>
        </w:tc>
        <w:tc>
          <w:tcPr>
            <w:tcW w:w="4549" w:type="dxa"/>
            <w:tcBorders>
              <w:top w:val="single" w:sz="4" w:space="0" w:color="auto"/>
              <w:left w:val="single" w:sz="4" w:space="0" w:color="auto"/>
              <w:bottom w:val="single" w:sz="4" w:space="0" w:color="auto"/>
              <w:right w:val="single" w:sz="4" w:space="0" w:color="auto"/>
            </w:tcBorders>
            <w:vAlign w:val="center"/>
            <w:hideMark/>
          </w:tcPr>
          <w:p w14:paraId="6623F8E4" w14:textId="77777777" w:rsidR="009800C7" w:rsidRPr="001D6D10" w:rsidRDefault="009800C7" w:rsidP="002264AA">
            <w:pPr>
              <w:spacing w:line="120" w:lineRule="exact"/>
              <w:rPr>
                <w:rFonts w:ascii="ＭＳ 明朝"/>
                <w:sz w:val="12"/>
                <w:szCs w:val="12"/>
              </w:rPr>
            </w:pPr>
            <w:r w:rsidRPr="001D6D10">
              <w:rPr>
                <w:rFonts w:ascii="ＭＳ 明朝" w:hint="eastAsia"/>
                <w:sz w:val="12"/>
                <w:szCs w:val="12"/>
              </w:rPr>
              <w:t>所長</w:t>
            </w:r>
          </w:p>
        </w:tc>
      </w:tr>
      <w:tr w:rsidR="001D6D10" w:rsidRPr="001D6D10" w14:paraId="7C7F4F32" w14:textId="77777777" w:rsidTr="002264AA">
        <w:trPr>
          <w:trHeight w:hRule="exact" w:val="170"/>
        </w:trPr>
        <w:tc>
          <w:tcPr>
            <w:tcW w:w="536" w:type="dxa"/>
            <w:vMerge/>
            <w:tcBorders>
              <w:left w:val="single" w:sz="4" w:space="0" w:color="auto"/>
              <w:bottom w:val="single" w:sz="4" w:space="0" w:color="auto"/>
              <w:right w:val="single" w:sz="4" w:space="0" w:color="auto"/>
            </w:tcBorders>
            <w:vAlign w:val="center"/>
          </w:tcPr>
          <w:p w14:paraId="403985FF" w14:textId="77777777" w:rsidR="009800C7" w:rsidRPr="001D6D10" w:rsidRDefault="009800C7" w:rsidP="002264AA">
            <w:pPr>
              <w:widowControl/>
              <w:jc w:val="left"/>
              <w:rPr>
                <w:rFonts w:ascii="ＭＳ 明朝"/>
                <w:sz w:val="12"/>
                <w:szCs w:val="12"/>
              </w:rPr>
            </w:pPr>
          </w:p>
        </w:tc>
        <w:tc>
          <w:tcPr>
            <w:tcW w:w="3415" w:type="dxa"/>
            <w:tcBorders>
              <w:top w:val="single" w:sz="4" w:space="0" w:color="auto"/>
              <w:left w:val="single" w:sz="4" w:space="0" w:color="auto"/>
              <w:bottom w:val="single" w:sz="4" w:space="0" w:color="auto"/>
              <w:right w:val="single" w:sz="4" w:space="0" w:color="auto"/>
            </w:tcBorders>
            <w:vAlign w:val="center"/>
          </w:tcPr>
          <w:p w14:paraId="79D66A04" w14:textId="77777777" w:rsidR="009800C7" w:rsidRPr="001D6D10" w:rsidRDefault="009800C7" w:rsidP="002264AA">
            <w:pPr>
              <w:spacing w:line="120" w:lineRule="exact"/>
              <w:rPr>
                <w:rFonts w:ascii="ＭＳ 明朝"/>
                <w:sz w:val="12"/>
                <w:szCs w:val="12"/>
              </w:rPr>
            </w:pPr>
            <w:r w:rsidRPr="001D6D10">
              <w:rPr>
                <w:rFonts w:ascii="ＭＳ 明朝" w:hint="eastAsia"/>
                <w:sz w:val="12"/>
                <w:szCs w:val="12"/>
              </w:rPr>
              <w:t>近畿中部防衛局</w:t>
            </w:r>
          </w:p>
        </w:tc>
        <w:tc>
          <w:tcPr>
            <w:tcW w:w="4549" w:type="dxa"/>
            <w:tcBorders>
              <w:top w:val="single" w:sz="4" w:space="0" w:color="auto"/>
              <w:left w:val="single" w:sz="4" w:space="0" w:color="auto"/>
              <w:bottom w:val="single" w:sz="4" w:space="0" w:color="auto"/>
              <w:right w:val="single" w:sz="4" w:space="0" w:color="auto"/>
            </w:tcBorders>
            <w:vAlign w:val="center"/>
          </w:tcPr>
          <w:p w14:paraId="31AE0840" w14:textId="77777777" w:rsidR="009800C7" w:rsidRPr="001D6D10" w:rsidRDefault="009800C7" w:rsidP="002264AA">
            <w:pPr>
              <w:spacing w:line="120" w:lineRule="exact"/>
              <w:rPr>
                <w:rFonts w:ascii="ＭＳ 明朝"/>
                <w:sz w:val="12"/>
                <w:szCs w:val="12"/>
              </w:rPr>
            </w:pPr>
            <w:r w:rsidRPr="001D6D10">
              <w:rPr>
                <w:rFonts w:ascii="ＭＳ 明朝" w:hint="eastAsia"/>
                <w:sz w:val="12"/>
                <w:szCs w:val="12"/>
              </w:rPr>
              <w:t>局長</w:t>
            </w:r>
          </w:p>
        </w:tc>
      </w:tr>
      <w:tr w:rsidR="001D6D10" w:rsidRPr="001D6D10" w14:paraId="4922128C" w14:textId="77777777" w:rsidTr="002264AA">
        <w:trPr>
          <w:trHeight w:hRule="exact" w:val="170"/>
        </w:trPr>
        <w:tc>
          <w:tcPr>
            <w:tcW w:w="536" w:type="dxa"/>
            <w:tcBorders>
              <w:top w:val="single" w:sz="4" w:space="0" w:color="auto"/>
              <w:left w:val="single" w:sz="4" w:space="0" w:color="auto"/>
              <w:bottom w:val="single" w:sz="4" w:space="0" w:color="auto"/>
              <w:right w:val="single" w:sz="4" w:space="0" w:color="auto"/>
            </w:tcBorders>
            <w:vAlign w:val="center"/>
            <w:hideMark/>
          </w:tcPr>
          <w:p w14:paraId="3B0E2A19" w14:textId="77777777" w:rsidR="009800C7" w:rsidRPr="001D6D10" w:rsidRDefault="009800C7" w:rsidP="002264AA">
            <w:pPr>
              <w:spacing w:line="120" w:lineRule="exact"/>
              <w:rPr>
                <w:rFonts w:ascii="ＭＳ 明朝"/>
                <w:sz w:val="12"/>
                <w:szCs w:val="12"/>
              </w:rPr>
            </w:pPr>
            <w:r w:rsidRPr="001D6D10">
              <w:rPr>
                <w:rFonts w:ascii="ＭＳ 明朝" w:hint="eastAsia"/>
                <w:sz w:val="12"/>
                <w:szCs w:val="12"/>
              </w:rPr>
              <w:t>2号</w:t>
            </w:r>
          </w:p>
        </w:tc>
        <w:tc>
          <w:tcPr>
            <w:tcW w:w="3415" w:type="dxa"/>
            <w:tcBorders>
              <w:top w:val="single" w:sz="4" w:space="0" w:color="auto"/>
              <w:left w:val="single" w:sz="4" w:space="0" w:color="auto"/>
              <w:bottom w:val="single" w:sz="4" w:space="0" w:color="auto"/>
              <w:right w:val="single" w:sz="4" w:space="0" w:color="auto"/>
            </w:tcBorders>
            <w:vAlign w:val="center"/>
            <w:hideMark/>
          </w:tcPr>
          <w:p w14:paraId="2971E184" w14:textId="77777777" w:rsidR="009800C7" w:rsidRPr="001D6D10" w:rsidRDefault="009800C7" w:rsidP="002264AA">
            <w:pPr>
              <w:spacing w:line="120" w:lineRule="exact"/>
              <w:rPr>
                <w:rFonts w:ascii="ＭＳ 明朝"/>
                <w:sz w:val="12"/>
                <w:szCs w:val="12"/>
              </w:rPr>
            </w:pPr>
            <w:r w:rsidRPr="001D6D10">
              <w:rPr>
                <w:rFonts w:ascii="ＭＳ 明朝" w:hint="eastAsia"/>
                <w:sz w:val="12"/>
                <w:szCs w:val="12"/>
              </w:rPr>
              <w:t>陸上自衛隊第3師団</w:t>
            </w:r>
          </w:p>
        </w:tc>
        <w:tc>
          <w:tcPr>
            <w:tcW w:w="4549" w:type="dxa"/>
            <w:tcBorders>
              <w:top w:val="single" w:sz="4" w:space="0" w:color="auto"/>
              <w:left w:val="single" w:sz="4" w:space="0" w:color="auto"/>
              <w:bottom w:val="single" w:sz="4" w:space="0" w:color="auto"/>
              <w:right w:val="single" w:sz="4" w:space="0" w:color="auto"/>
            </w:tcBorders>
            <w:vAlign w:val="center"/>
            <w:hideMark/>
          </w:tcPr>
          <w:p w14:paraId="10E55607" w14:textId="77777777" w:rsidR="009800C7" w:rsidRPr="001D6D10" w:rsidRDefault="009800C7" w:rsidP="002264AA">
            <w:pPr>
              <w:spacing w:line="120" w:lineRule="exact"/>
              <w:rPr>
                <w:rFonts w:ascii="ＭＳ 明朝"/>
                <w:sz w:val="12"/>
                <w:szCs w:val="12"/>
              </w:rPr>
            </w:pPr>
            <w:r w:rsidRPr="001D6D10">
              <w:rPr>
                <w:rFonts w:ascii="ＭＳ 明朝" w:hint="eastAsia"/>
                <w:sz w:val="12"/>
                <w:szCs w:val="12"/>
              </w:rPr>
              <w:t>師団長</w:t>
            </w:r>
          </w:p>
        </w:tc>
      </w:tr>
      <w:tr w:rsidR="001D6D10" w:rsidRPr="001D6D10" w14:paraId="558F36E3" w14:textId="77777777" w:rsidTr="002264AA">
        <w:trPr>
          <w:trHeight w:hRule="exact" w:val="170"/>
        </w:trPr>
        <w:tc>
          <w:tcPr>
            <w:tcW w:w="536" w:type="dxa"/>
            <w:tcBorders>
              <w:top w:val="single" w:sz="4" w:space="0" w:color="auto"/>
              <w:left w:val="single" w:sz="4" w:space="0" w:color="auto"/>
              <w:bottom w:val="single" w:sz="4" w:space="0" w:color="auto"/>
              <w:right w:val="single" w:sz="4" w:space="0" w:color="auto"/>
            </w:tcBorders>
            <w:vAlign w:val="center"/>
            <w:hideMark/>
          </w:tcPr>
          <w:p w14:paraId="3B2E740E" w14:textId="77777777" w:rsidR="009800C7" w:rsidRPr="001D6D10" w:rsidRDefault="009800C7" w:rsidP="002264AA">
            <w:pPr>
              <w:spacing w:line="120" w:lineRule="exact"/>
              <w:rPr>
                <w:rFonts w:ascii="ＭＳ 明朝"/>
                <w:sz w:val="12"/>
                <w:szCs w:val="12"/>
              </w:rPr>
            </w:pPr>
            <w:r w:rsidRPr="001D6D10">
              <w:rPr>
                <w:rFonts w:ascii="ＭＳ 明朝" w:hint="eastAsia"/>
                <w:sz w:val="12"/>
                <w:szCs w:val="12"/>
              </w:rPr>
              <w:t>3号</w:t>
            </w:r>
          </w:p>
        </w:tc>
        <w:tc>
          <w:tcPr>
            <w:tcW w:w="3415" w:type="dxa"/>
            <w:tcBorders>
              <w:top w:val="single" w:sz="4" w:space="0" w:color="auto"/>
              <w:left w:val="single" w:sz="4" w:space="0" w:color="auto"/>
              <w:bottom w:val="single" w:sz="4" w:space="0" w:color="auto"/>
              <w:right w:val="single" w:sz="4" w:space="0" w:color="auto"/>
            </w:tcBorders>
            <w:vAlign w:val="center"/>
            <w:hideMark/>
          </w:tcPr>
          <w:p w14:paraId="002705D8" w14:textId="77777777" w:rsidR="009800C7" w:rsidRPr="001D6D10" w:rsidRDefault="009800C7" w:rsidP="002264AA">
            <w:pPr>
              <w:spacing w:line="120" w:lineRule="exact"/>
              <w:rPr>
                <w:rFonts w:ascii="ＭＳ 明朝"/>
                <w:sz w:val="12"/>
                <w:szCs w:val="12"/>
              </w:rPr>
            </w:pPr>
            <w:r w:rsidRPr="001D6D10">
              <w:rPr>
                <w:rFonts w:ascii="ＭＳ 明朝" w:hint="eastAsia"/>
                <w:sz w:val="12"/>
                <w:szCs w:val="12"/>
              </w:rPr>
              <w:t>大阪府教育委員会</w:t>
            </w:r>
          </w:p>
        </w:tc>
        <w:tc>
          <w:tcPr>
            <w:tcW w:w="4549" w:type="dxa"/>
            <w:tcBorders>
              <w:top w:val="single" w:sz="4" w:space="0" w:color="auto"/>
              <w:left w:val="single" w:sz="4" w:space="0" w:color="auto"/>
              <w:bottom w:val="single" w:sz="4" w:space="0" w:color="auto"/>
              <w:right w:val="single" w:sz="4" w:space="0" w:color="auto"/>
            </w:tcBorders>
            <w:vAlign w:val="center"/>
            <w:hideMark/>
          </w:tcPr>
          <w:p w14:paraId="7417F141" w14:textId="77777777" w:rsidR="009800C7" w:rsidRPr="001D6D10" w:rsidRDefault="009800C7" w:rsidP="002264AA">
            <w:pPr>
              <w:spacing w:line="120" w:lineRule="exact"/>
              <w:rPr>
                <w:rFonts w:ascii="ＭＳ 明朝"/>
                <w:sz w:val="12"/>
                <w:szCs w:val="12"/>
              </w:rPr>
            </w:pPr>
            <w:r w:rsidRPr="001D6D10">
              <w:rPr>
                <w:rFonts w:ascii="ＭＳ 明朝" w:hint="eastAsia"/>
                <w:sz w:val="12"/>
                <w:szCs w:val="12"/>
              </w:rPr>
              <w:t>教育長</w:t>
            </w:r>
          </w:p>
        </w:tc>
      </w:tr>
      <w:tr w:rsidR="001D6D10" w:rsidRPr="001D6D10" w14:paraId="15732950" w14:textId="77777777" w:rsidTr="002264AA">
        <w:trPr>
          <w:trHeight w:hRule="exact" w:val="170"/>
        </w:trPr>
        <w:tc>
          <w:tcPr>
            <w:tcW w:w="536" w:type="dxa"/>
            <w:tcBorders>
              <w:top w:val="single" w:sz="4" w:space="0" w:color="auto"/>
              <w:left w:val="single" w:sz="4" w:space="0" w:color="auto"/>
              <w:bottom w:val="single" w:sz="4" w:space="0" w:color="auto"/>
              <w:right w:val="single" w:sz="4" w:space="0" w:color="auto"/>
            </w:tcBorders>
            <w:vAlign w:val="center"/>
            <w:hideMark/>
          </w:tcPr>
          <w:p w14:paraId="72397675" w14:textId="77777777" w:rsidR="009800C7" w:rsidRPr="001D6D10" w:rsidRDefault="009800C7" w:rsidP="002264AA">
            <w:pPr>
              <w:spacing w:line="120" w:lineRule="exact"/>
              <w:rPr>
                <w:rFonts w:ascii="ＭＳ 明朝"/>
                <w:sz w:val="12"/>
                <w:szCs w:val="12"/>
              </w:rPr>
            </w:pPr>
            <w:r w:rsidRPr="001D6D10">
              <w:rPr>
                <w:rFonts w:ascii="ＭＳ 明朝" w:hint="eastAsia"/>
                <w:sz w:val="12"/>
                <w:szCs w:val="12"/>
              </w:rPr>
              <w:t>4号</w:t>
            </w:r>
          </w:p>
        </w:tc>
        <w:tc>
          <w:tcPr>
            <w:tcW w:w="3415" w:type="dxa"/>
            <w:tcBorders>
              <w:top w:val="single" w:sz="4" w:space="0" w:color="auto"/>
              <w:left w:val="single" w:sz="4" w:space="0" w:color="auto"/>
              <w:bottom w:val="single" w:sz="4" w:space="0" w:color="auto"/>
              <w:right w:val="single" w:sz="4" w:space="0" w:color="auto"/>
            </w:tcBorders>
            <w:vAlign w:val="center"/>
            <w:hideMark/>
          </w:tcPr>
          <w:p w14:paraId="21825819" w14:textId="77777777" w:rsidR="009800C7" w:rsidRPr="001D6D10" w:rsidRDefault="009800C7" w:rsidP="002264AA">
            <w:pPr>
              <w:spacing w:line="120" w:lineRule="exact"/>
              <w:rPr>
                <w:rFonts w:ascii="ＭＳ 明朝"/>
                <w:sz w:val="12"/>
                <w:szCs w:val="12"/>
              </w:rPr>
            </w:pPr>
            <w:r w:rsidRPr="001D6D10">
              <w:rPr>
                <w:rFonts w:ascii="ＭＳ 明朝" w:hint="eastAsia"/>
                <w:sz w:val="12"/>
                <w:szCs w:val="12"/>
              </w:rPr>
              <w:t>大阪府警察本部</w:t>
            </w:r>
          </w:p>
        </w:tc>
        <w:tc>
          <w:tcPr>
            <w:tcW w:w="4549" w:type="dxa"/>
            <w:tcBorders>
              <w:top w:val="single" w:sz="4" w:space="0" w:color="auto"/>
              <w:left w:val="single" w:sz="4" w:space="0" w:color="auto"/>
              <w:bottom w:val="single" w:sz="4" w:space="0" w:color="auto"/>
              <w:right w:val="single" w:sz="4" w:space="0" w:color="auto"/>
            </w:tcBorders>
            <w:vAlign w:val="center"/>
            <w:hideMark/>
          </w:tcPr>
          <w:p w14:paraId="207A78A6" w14:textId="77777777" w:rsidR="009800C7" w:rsidRPr="001D6D10" w:rsidRDefault="009800C7" w:rsidP="002264AA">
            <w:pPr>
              <w:spacing w:line="120" w:lineRule="exact"/>
              <w:rPr>
                <w:rFonts w:ascii="ＭＳ 明朝"/>
                <w:sz w:val="12"/>
                <w:szCs w:val="12"/>
              </w:rPr>
            </w:pPr>
            <w:r w:rsidRPr="001D6D10">
              <w:rPr>
                <w:rFonts w:ascii="ＭＳ 明朝" w:hint="eastAsia"/>
                <w:sz w:val="12"/>
                <w:szCs w:val="12"/>
              </w:rPr>
              <w:t>本部長</w:t>
            </w:r>
          </w:p>
        </w:tc>
      </w:tr>
      <w:tr w:rsidR="001D6D10" w:rsidRPr="001D6D10" w14:paraId="3C3CC1CE" w14:textId="77777777" w:rsidTr="002264AA">
        <w:trPr>
          <w:trHeight w:hRule="exact" w:val="170"/>
        </w:trPr>
        <w:tc>
          <w:tcPr>
            <w:tcW w:w="536" w:type="dxa"/>
            <w:vMerge w:val="restart"/>
            <w:tcBorders>
              <w:top w:val="single" w:sz="4" w:space="0" w:color="auto"/>
              <w:left w:val="single" w:sz="4" w:space="0" w:color="auto"/>
              <w:bottom w:val="single" w:sz="4" w:space="0" w:color="auto"/>
              <w:right w:val="single" w:sz="4" w:space="0" w:color="auto"/>
            </w:tcBorders>
            <w:vAlign w:val="center"/>
            <w:hideMark/>
          </w:tcPr>
          <w:p w14:paraId="7E048D98" w14:textId="77777777" w:rsidR="009800C7" w:rsidRPr="001D6D10" w:rsidRDefault="009800C7" w:rsidP="002264AA">
            <w:pPr>
              <w:spacing w:line="120" w:lineRule="exact"/>
              <w:rPr>
                <w:rFonts w:ascii="ＭＳ 明朝"/>
                <w:sz w:val="12"/>
                <w:szCs w:val="12"/>
              </w:rPr>
            </w:pPr>
            <w:r w:rsidRPr="001D6D10">
              <w:rPr>
                <w:rFonts w:ascii="ＭＳ 明朝" w:hint="eastAsia"/>
                <w:sz w:val="12"/>
                <w:szCs w:val="12"/>
              </w:rPr>
              <w:t>5号</w:t>
            </w:r>
          </w:p>
        </w:tc>
        <w:tc>
          <w:tcPr>
            <w:tcW w:w="3415" w:type="dxa"/>
            <w:vMerge w:val="restart"/>
            <w:tcBorders>
              <w:top w:val="single" w:sz="4" w:space="0" w:color="auto"/>
              <w:left w:val="single" w:sz="4" w:space="0" w:color="auto"/>
              <w:bottom w:val="single" w:sz="4" w:space="0" w:color="auto"/>
              <w:right w:val="single" w:sz="4" w:space="0" w:color="auto"/>
            </w:tcBorders>
            <w:vAlign w:val="center"/>
            <w:hideMark/>
          </w:tcPr>
          <w:p w14:paraId="0FB8EE84" w14:textId="77777777" w:rsidR="009800C7" w:rsidRPr="001D6D10" w:rsidRDefault="009800C7" w:rsidP="002264AA">
            <w:pPr>
              <w:spacing w:line="120" w:lineRule="exact"/>
              <w:rPr>
                <w:rFonts w:ascii="ＭＳ 明朝"/>
                <w:sz w:val="12"/>
                <w:szCs w:val="12"/>
              </w:rPr>
            </w:pPr>
            <w:r w:rsidRPr="001D6D10">
              <w:rPr>
                <w:rFonts w:ascii="ＭＳ 明朝" w:hint="eastAsia"/>
                <w:sz w:val="12"/>
                <w:szCs w:val="12"/>
              </w:rPr>
              <w:t>大阪府</w:t>
            </w:r>
          </w:p>
        </w:tc>
        <w:tc>
          <w:tcPr>
            <w:tcW w:w="4549" w:type="dxa"/>
            <w:tcBorders>
              <w:top w:val="single" w:sz="4" w:space="0" w:color="auto"/>
              <w:left w:val="single" w:sz="4" w:space="0" w:color="auto"/>
              <w:bottom w:val="single" w:sz="4" w:space="0" w:color="auto"/>
              <w:right w:val="single" w:sz="4" w:space="0" w:color="auto"/>
            </w:tcBorders>
            <w:vAlign w:val="center"/>
            <w:hideMark/>
          </w:tcPr>
          <w:p w14:paraId="44A2FFD1" w14:textId="77777777" w:rsidR="009800C7" w:rsidRPr="001D6D10" w:rsidRDefault="009800C7" w:rsidP="002264AA">
            <w:pPr>
              <w:spacing w:line="120" w:lineRule="exact"/>
              <w:rPr>
                <w:rFonts w:ascii="ＭＳ 明朝"/>
                <w:sz w:val="12"/>
                <w:szCs w:val="12"/>
              </w:rPr>
            </w:pPr>
            <w:r w:rsidRPr="001D6D10">
              <w:rPr>
                <w:rFonts w:ascii="ＭＳ 明朝" w:hint="eastAsia"/>
                <w:sz w:val="12"/>
                <w:szCs w:val="12"/>
              </w:rPr>
              <w:t>副知事</w:t>
            </w:r>
          </w:p>
        </w:tc>
      </w:tr>
      <w:tr w:rsidR="001D6D10" w:rsidRPr="001D6D10" w14:paraId="64F884E1" w14:textId="77777777" w:rsidTr="002264AA">
        <w:trPr>
          <w:trHeight w:hRule="exact" w:val="170"/>
        </w:trPr>
        <w:tc>
          <w:tcPr>
            <w:tcW w:w="536" w:type="dxa"/>
            <w:vMerge/>
            <w:tcBorders>
              <w:top w:val="single" w:sz="4" w:space="0" w:color="auto"/>
              <w:left w:val="single" w:sz="4" w:space="0" w:color="auto"/>
              <w:bottom w:val="single" w:sz="4" w:space="0" w:color="auto"/>
              <w:right w:val="single" w:sz="4" w:space="0" w:color="auto"/>
            </w:tcBorders>
            <w:vAlign w:val="center"/>
            <w:hideMark/>
          </w:tcPr>
          <w:p w14:paraId="01E3BD41" w14:textId="77777777" w:rsidR="009800C7" w:rsidRPr="001D6D10" w:rsidRDefault="009800C7" w:rsidP="002264AA">
            <w:pPr>
              <w:widowControl/>
              <w:jc w:val="left"/>
              <w:rPr>
                <w:rFonts w:ascii="ＭＳ 明朝"/>
                <w:sz w:val="12"/>
                <w:szCs w:val="12"/>
              </w:rPr>
            </w:pPr>
          </w:p>
        </w:tc>
        <w:tc>
          <w:tcPr>
            <w:tcW w:w="3415" w:type="dxa"/>
            <w:vMerge/>
            <w:tcBorders>
              <w:top w:val="single" w:sz="4" w:space="0" w:color="auto"/>
              <w:left w:val="single" w:sz="4" w:space="0" w:color="auto"/>
              <w:bottom w:val="single" w:sz="4" w:space="0" w:color="auto"/>
              <w:right w:val="single" w:sz="4" w:space="0" w:color="auto"/>
            </w:tcBorders>
            <w:vAlign w:val="center"/>
            <w:hideMark/>
          </w:tcPr>
          <w:p w14:paraId="18E009AF" w14:textId="77777777" w:rsidR="009800C7" w:rsidRPr="001D6D10" w:rsidRDefault="009800C7" w:rsidP="002264AA">
            <w:pPr>
              <w:widowControl/>
              <w:jc w:val="left"/>
              <w:rPr>
                <w:rFonts w:ascii="ＭＳ 明朝"/>
                <w:sz w:val="12"/>
                <w:szCs w:val="12"/>
              </w:rPr>
            </w:pPr>
          </w:p>
        </w:tc>
        <w:tc>
          <w:tcPr>
            <w:tcW w:w="4549" w:type="dxa"/>
            <w:tcBorders>
              <w:left w:val="single" w:sz="4" w:space="0" w:color="auto"/>
              <w:right w:val="single" w:sz="4" w:space="0" w:color="auto"/>
            </w:tcBorders>
            <w:vAlign w:val="center"/>
          </w:tcPr>
          <w:p w14:paraId="65E0325A" w14:textId="77777777" w:rsidR="009800C7" w:rsidRPr="001D6D10" w:rsidRDefault="009800C7" w:rsidP="002264AA">
            <w:pPr>
              <w:spacing w:line="120" w:lineRule="exact"/>
              <w:rPr>
                <w:rFonts w:ascii="ＭＳ 明朝"/>
                <w:sz w:val="12"/>
                <w:szCs w:val="12"/>
              </w:rPr>
            </w:pPr>
            <w:r w:rsidRPr="001D6D10">
              <w:rPr>
                <w:rFonts w:ascii="ＭＳ 明朝" w:hint="eastAsia"/>
                <w:sz w:val="12"/>
                <w:szCs w:val="12"/>
              </w:rPr>
              <w:t>危機管理監</w:t>
            </w:r>
          </w:p>
        </w:tc>
      </w:tr>
      <w:tr w:rsidR="001D6D10" w:rsidRPr="001D6D10" w14:paraId="38FD28F3" w14:textId="77777777" w:rsidTr="002264AA">
        <w:trPr>
          <w:trHeight w:hRule="exact" w:val="170"/>
        </w:trPr>
        <w:tc>
          <w:tcPr>
            <w:tcW w:w="536" w:type="dxa"/>
            <w:vMerge/>
            <w:tcBorders>
              <w:top w:val="single" w:sz="4" w:space="0" w:color="auto"/>
              <w:left w:val="single" w:sz="4" w:space="0" w:color="auto"/>
              <w:bottom w:val="single" w:sz="4" w:space="0" w:color="auto"/>
              <w:right w:val="single" w:sz="4" w:space="0" w:color="auto"/>
            </w:tcBorders>
            <w:vAlign w:val="center"/>
            <w:hideMark/>
          </w:tcPr>
          <w:p w14:paraId="2D0E91F1" w14:textId="77777777" w:rsidR="009800C7" w:rsidRPr="001D6D10" w:rsidRDefault="009800C7" w:rsidP="002264AA">
            <w:pPr>
              <w:widowControl/>
              <w:jc w:val="left"/>
              <w:rPr>
                <w:rFonts w:ascii="ＭＳ 明朝"/>
                <w:sz w:val="12"/>
                <w:szCs w:val="12"/>
              </w:rPr>
            </w:pPr>
          </w:p>
        </w:tc>
        <w:tc>
          <w:tcPr>
            <w:tcW w:w="3415" w:type="dxa"/>
            <w:vMerge/>
            <w:tcBorders>
              <w:top w:val="single" w:sz="4" w:space="0" w:color="auto"/>
              <w:left w:val="single" w:sz="4" w:space="0" w:color="auto"/>
              <w:bottom w:val="single" w:sz="4" w:space="0" w:color="auto"/>
              <w:right w:val="single" w:sz="4" w:space="0" w:color="auto"/>
            </w:tcBorders>
            <w:vAlign w:val="center"/>
            <w:hideMark/>
          </w:tcPr>
          <w:p w14:paraId="23019B1A" w14:textId="77777777" w:rsidR="009800C7" w:rsidRPr="001D6D10" w:rsidRDefault="009800C7" w:rsidP="002264AA">
            <w:pPr>
              <w:widowControl/>
              <w:jc w:val="left"/>
              <w:rPr>
                <w:rFonts w:ascii="ＭＳ 明朝"/>
                <w:sz w:val="12"/>
                <w:szCs w:val="12"/>
              </w:rPr>
            </w:pPr>
          </w:p>
        </w:tc>
        <w:tc>
          <w:tcPr>
            <w:tcW w:w="4549" w:type="dxa"/>
            <w:tcBorders>
              <w:left w:val="single" w:sz="4" w:space="0" w:color="auto"/>
              <w:right w:val="single" w:sz="4" w:space="0" w:color="auto"/>
            </w:tcBorders>
            <w:vAlign w:val="center"/>
          </w:tcPr>
          <w:p w14:paraId="0FA7F20A" w14:textId="77777777" w:rsidR="009800C7" w:rsidRPr="001D6D10" w:rsidRDefault="009800C7" w:rsidP="002264AA">
            <w:pPr>
              <w:spacing w:line="120" w:lineRule="exact"/>
              <w:rPr>
                <w:rFonts w:ascii="ＭＳ 明朝"/>
                <w:sz w:val="12"/>
                <w:szCs w:val="12"/>
              </w:rPr>
            </w:pPr>
            <w:r w:rsidRPr="001D6D10">
              <w:rPr>
                <w:rFonts w:ascii="ＭＳ 明朝" w:hint="eastAsia"/>
                <w:sz w:val="12"/>
                <w:szCs w:val="12"/>
              </w:rPr>
              <w:t>都市整備部長</w:t>
            </w:r>
          </w:p>
        </w:tc>
      </w:tr>
      <w:tr w:rsidR="001D6D10" w:rsidRPr="001D6D10" w14:paraId="667442DB" w14:textId="77777777" w:rsidTr="002264AA">
        <w:trPr>
          <w:trHeight w:hRule="exact" w:val="170"/>
        </w:trPr>
        <w:tc>
          <w:tcPr>
            <w:tcW w:w="536" w:type="dxa"/>
            <w:vMerge w:val="restart"/>
            <w:tcBorders>
              <w:top w:val="single" w:sz="4" w:space="0" w:color="auto"/>
              <w:left w:val="single" w:sz="4" w:space="0" w:color="auto"/>
              <w:bottom w:val="single" w:sz="4" w:space="0" w:color="auto"/>
              <w:right w:val="single" w:sz="4" w:space="0" w:color="auto"/>
            </w:tcBorders>
            <w:vAlign w:val="center"/>
            <w:hideMark/>
          </w:tcPr>
          <w:p w14:paraId="6318B869" w14:textId="77777777" w:rsidR="009800C7" w:rsidRPr="001D6D10" w:rsidRDefault="009800C7" w:rsidP="002264AA">
            <w:pPr>
              <w:spacing w:line="120" w:lineRule="exact"/>
              <w:rPr>
                <w:rFonts w:ascii="ＭＳ 明朝"/>
                <w:sz w:val="12"/>
                <w:szCs w:val="12"/>
              </w:rPr>
            </w:pPr>
            <w:r w:rsidRPr="001D6D10">
              <w:rPr>
                <w:rFonts w:ascii="ＭＳ 明朝" w:hint="eastAsia"/>
                <w:sz w:val="12"/>
                <w:szCs w:val="12"/>
              </w:rPr>
              <w:t>6号</w:t>
            </w:r>
          </w:p>
        </w:tc>
        <w:tc>
          <w:tcPr>
            <w:tcW w:w="3415" w:type="dxa"/>
            <w:tcBorders>
              <w:top w:val="single" w:sz="4" w:space="0" w:color="auto"/>
              <w:left w:val="single" w:sz="4" w:space="0" w:color="auto"/>
              <w:bottom w:val="single" w:sz="4" w:space="0" w:color="auto"/>
              <w:right w:val="single" w:sz="4" w:space="0" w:color="auto"/>
            </w:tcBorders>
            <w:vAlign w:val="center"/>
            <w:hideMark/>
          </w:tcPr>
          <w:p w14:paraId="46676E95" w14:textId="77777777" w:rsidR="009800C7" w:rsidRPr="001D6D10" w:rsidRDefault="009800C7" w:rsidP="002264AA">
            <w:pPr>
              <w:spacing w:line="120" w:lineRule="exact"/>
              <w:rPr>
                <w:rFonts w:ascii="ＭＳ 明朝"/>
                <w:sz w:val="12"/>
                <w:szCs w:val="12"/>
              </w:rPr>
            </w:pPr>
            <w:r w:rsidRPr="001D6D10">
              <w:rPr>
                <w:rFonts w:ascii="ＭＳ 明朝" w:hint="eastAsia"/>
                <w:sz w:val="12"/>
                <w:szCs w:val="12"/>
              </w:rPr>
              <w:t>大阪市</w:t>
            </w:r>
          </w:p>
        </w:tc>
        <w:tc>
          <w:tcPr>
            <w:tcW w:w="4549" w:type="dxa"/>
            <w:tcBorders>
              <w:top w:val="single" w:sz="4" w:space="0" w:color="auto"/>
              <w:left w:val="single" w:sz="4" w:space="0" w:color="auto"/>
              <w:bottom w:val="single" w:sz="4" w:space="0" w:color="auto"/>
              <w:right w:val="single" w:sz="4" w:space="0" w:color="auto"/>
            </w:tcBorders>
            <w:vAlign w:val="center"/>
            <w:hideMark/>
          </w:tcPr>
          <w:p w14:paraId="090A2D30" w14:textId="77777777" w:rsidR="009800C7" w:rsidRPr="001D6D10" w:rsidRDefault="009800C7" w:rsidP="002264AA">
            <w:pPr>
              <w:spacing w:line="120" w:lineRule="exact"/>
              <w:rPr>
                <w:rFonts w:ascii="ＭＳ 明朝"/>
                <w:sz w:val="12"/>
                <w:szCs w:val="12"/>
              </w:rPr>
            </w:pPr>
            <w:r w:rsidRPr="001D6D10">
              <w:rPr>
                <w:rFonts w:ascii="ＭＳ 明朝" w:hint="eastAsia"/>
                <w:sz w:val="12"/>
                <w:szCs w:val="12"/>
              </w:rPr>
              <w:t>市長</w:t>
            </w:r>
          </w:p>
        </w:tc>
      </w:tr>
      <w:tr w:rsidR="001D6D10" w:rsidRPr="001D6D10" w14:paraId="61DB8717" w14:textId="77777777" w:rsidTr="002264AA">
        <w:trPr>
          <w:trHeight w:hRule="exact" w:val="170"/>
        </w:trPr>
        <w:tc>
          <w:tcPr>
            <w:tcW w:w="536" w:type="dxa"/>
            <w:vMerge/>
            <w:tcBorders>
              <w:top w:val="single" w:sz="4" w:space="0" w:color="auto"/>
              <w:left w:val="single" w:sz="4" w:space="0" w:color="auto"/>
              <w:bottom w:val="single" w:sz="4" w:space="0" w:color="auto"/>
              <w:right w:val="single" w:sz="4" w:space="0" w:color="auto"/>
            </w:tcBorders>
            <w:vAlign w:val="center"/>
            <w:hideMark/>
          </w:tcPr>
          <w:p w14:paraId="1535C326" w14:textId="77777777" w:rsidR="009800C7" w:rsidRPr="001D6D10" w:rsidRDefault="009800C7" w:rsidP="002264AA">
            <w:pPr>
              <w:widowControl/>
              <w:jc w:val="left"/>
              <w:rPr>
                <w:rFonts w:ascii="ＭＳ 明朝"/>
                <w:sz w:val="12"/>
                <w:szCs w:val="12"/>
              </w:rPr>
            </w:pPr>
          </w:p>
        </w:tc>
        <w:tc>
          <w:tcPr>
            <w:tcW w:w="3415" w:type="dxa"/>
            <w:tcBorders>
              <w:top w:val="single" w:sz="4" w:space="0" w:color="auto"/>
              <w:left w:val="single" w:sz="4" w:space="0" w:color="auto"/>
              <w:bottom w:val="single" w:sz="4" w:space="0" w:color="auto"/>
              <w:right w:val="single" w:sz="4" w:space="0" w:color="auto"/>
            </w:tcBorders>
            <w:vAlign w:val="center"/>
            <w:hideMark/>
          </w:tcPr>
          <w:p w14:paraId="4A8C3862" w14:textId="77777777" w:rsidR="009800C7" w:rsidRPr="001D6D10" w:rsidRDefault="009800C7" w:rsidP="002264AA">
            <w:pPr>
              <w:spacing w:line="120" w:lineRule="exact"/>
              <w:rPr>
                <w:rFonts w:ascii="ＭＳ 明朝"/>
                <w:sz w:val="12"/>
                <w:szCs w:val="12"/>
              </w:rPr>
            </w:pPr>
            <w:r w:rsidRPr="001D6D10">
              <w:rPr>
                <w:rFonts w:ascii="ＭＳ 明朝" w:hint="eastAsia"/>
                <w:sz w:val="12"/>
                <w:szCs w:val="12"/>
              </w:rPr>
              <w:t>堺市</w:t>
            </w:r>
          </w:p>
        </w:tc>
        <w:tc>
          <w:tcPr>
            <w:tcW w:w="4549" w:type="dxa"/>
            <w:tcBorders>
              <w:top w:val="single" w:sz="4" w:space="0" w:color="auto"/>
              <w:left w:val="single" w:sz="4" w:space="0" w:color="auto"/>
              <w:bottom w:val="single" w:sz="4" w:space="0" w:color="auto"/>
              <w:right w:val="single" w:sz="4" w:space="0" w:color="auto"/>
            </w:tcBorders>
            <w:vAlign w:val="center"/>
            <w:hideMark/>
          </w:tcPr>
          <w:p w14:paraId="005BEE8F" w14:textId="77777777" w:rsidR="009800C7" w:rsidRPr="001D6D10" w:rsidRDefault="009800C7" w:rsidP="002264AA">
            <w:pPr>
              <w:spacing w:line="120" w:lineRule="exact"/>
              <w:rPr>
                <w:rFonts w:ascii="ＭＳ 明朝"/>
                <w:sz w:val="12"/>
                <w:szCs w:val="12"/>
              </w:rPr>
            </w:pPr>
            <w:r w:rsidRPr="001D6D10">
              <w:rPr>
                <w:rFonts w:ascii="ＭＳ 明朝" w:hint="eastAsia"/>
                <w:sz w:val="12"/>
                <w:szCs w:val="12"/>
              </w:rPr>
              <w:t>市長</w:t>
            </w:r>
          </w:p>
        </w:tc>
      </w:tr>
      <w:tr w:rsidR="001D6D10" w:rsidRPr="001D6D10" w14:paraId="4A7FCE67" w14:textId="77777777" w:rsidTr="002264AA">
        <w:trPr>
          <w:trHeight w:hRule="exact" w:val="170"/>
        </w:trPr>
        <w:tc>
          <w:tcPr>
            <w:tcW w:w="536" w:type="dxa"/>
            <w:vMerge/>
            <w:tcBorders>
              <w:top w:val="single" w:sz="4" w:space="0" w:color="auto"/>
              <w:left w:val="single" w:sz="4" w:space="0" w:color="auto"/>
              <w:bottom w:val="single" w:sz="4" w:space="0" w:color="auto"/>
              <w:right w:val="single" w:sz="4" w:space="0" w:color="auto"/>
            </w:tcBorders>
            <w:vAlign w:val="center"/>
            <w:hideMark/>
          </w:tcPr>
          <w:p w14:paraId="3DDA5E77" w14:textId="77777777" w:rsidR="009800C7" w:rsidRPr="001D6D10" w:rsidRDefault="009800C7" w:rsidP="002264AA">
            <w:pPr>
              <w:widowControl/>
              <w:jc w:val="left"/>
              <w:rPr>
                <w:rFonts w:ascii="ＭＳ 明朝"/>
                <w:sz w:val="12"/>
                <w:szCs w:val="12"/>
              </w:rPr>
            </w:pPr>
          </w:p>
        </w:tc>
        <w:tc>
          <w:tcPr>
            <w:tcW w:w="3415" w:type="dxa"/>
            <w:tcBorders>
              <w:top w:val="single" w:sz="4" w:space="0" w:color="auto"/>
              <w:left w:val="single" w:sz="4" w:space="0" w:color="auto"/>
              <w:bottom w:val="single" w:sz="4" w:space="0" w:color="auto"/>
              <w:right w:val="single" w:sz="4" w:space="0" w:color="auto"/>
            </w:tcBorders>
            <w:vAlign w:val="center"/>
            <w:hideMark/>
          </w:tcPr>
          <w:p w14:paraId="7D66CCAD" w14:textId="77777777" w:rsidR="009800C7" w:rsidRPr="001D6D10" w:rsidRDefault="009800C7" w:rsidP="002264AA">
            <w:pPr>
              <w:spacing w:line="120" w:lineRule="exact"/>
              <w:rPr>
                <w:rFonts w:ascii="ＭＳ 明朝"/>
                <w:sz w:val="12"/>
                <w:szCs w:val="12"/>
              </w:rPr>
            </w:pPr>
            <w:r w:rsidRPr="001D6D10">
              <w:rPr>
                <w:rFonts w:ascii="ＭＳ 明朝" w:hint="eastAsia"/>
                <w:sz w:val="12"/>
                <w:szCs w:val="12"/>
              </w:rPr>
              <w:t>大阪府市長会</w:t>
            </w:r>
          </w:p>
        </w:tc>
        <w:tc>
          <w:tcPr>
            <w:tcW w:w="4549" w:type="dxa"/>
            <w:tcBorders>
              <w:top w:val="single" w:sz="4" w:space="0" w:color="auto"/>
              <w:left w:val="single" w:sz="4" w:space="0" w:color="auto"/>
              <w:bottom w:val="single" w:sz="4" w:space="0" w:color="auto"/>
              <w:right w:val="single" w:sz="4" w:space="0" w:color="auto"/>
            </w:tcBorders>
            <w:vAlign w:val="center"/>
            <w:hideMark/>
          </w:tcPr>
          <w:p w14:paraId="6BC6F3B1" w14:textId="77777777" w:rsidR="009800C7" w:rsidRPr="001D6D10" w:rsidRDefault="009800C7" w:rsidP="002264AA">
            <w:pPr>
              <w:spacing w:line="120" w:lineRule="exact"/>
              <w:rPr>
                <w:rFonts w:ascii="ＭＳ 明朝"/>
                <w:sz w:val="12"/>
                <w:szCs w:val="12"/>
              </w:rPr>
            </w:pPr>
            <w:r w:rsidRPr="001D6D10">
              <w:rPr>
                <w:rFonts w:ascii="ＭＳ 明朝" w:hint="eastAsia"/>
                <w:sz w:val="12"/>
                <w:szCs w:val="12"/>
              </w:rPr>
              <w:t>会長</w:t>
            </w:r>
          </w:p>
        </w:tc>
      </w:tr>
      <w:tr w:rsidR="001D6D10" w:rsidRPr="001D6D10" w14:paraId="39D064A5" w14:textId="77777777" w:rsidTr="002264AA">
        <w:trPr>
          <w:trHeight w:hRule="exact" w:val="170"/>
        </w:trPr>
        <w:tc>
          <w:tcPr>
            <w:tcW w:w="536" w:type="dxa"/>
            <w:vMerge/>
            <w:tcBorders>
              <w:top w:val="single" w:sz="4" w:space="0" w:color="auto"/>
              <w:left w:val="single" w:sz="4" w:space="0" w:color="auto"/>
              <w:bottom w:val="single" w:sz="4" w:space="0" w:color="auto"/>
              <w:right w:val="single" w:sz="4" w:space="0" w:color="auto"/>
            </w:tcBorders>
            <w:vAlign w:val="center"/>
            <w:hideMark/>
          </w:tcPr>
          <w:p w14:paraId="241E1E0F" w14:textId="77777777" w:rsidR="009800C7" w:rsidRPr="001D6D10" w:rsidRDefault="009800C7" w:rsidP="002264AA">
            <w:pPr>
              <w:widowControl/>
              <w:jc w:val="left"/>
              <w:rPr>
                <w:rFonts w:ascii="ＭＳ 明朝"/>
                <w:sz w:val="12"/>
                <w:szCs w:val="12"/>
              </w:rPr>
            </w:pPr>
          </w:p>
        </w:tc>
        <w:tc>
          <w:tcPr>
            <w:tcW w:w="3415" w:type="dxa"/>
            <w:tcBorders>
              <w:top w:val="single" w:sz="4" w:space="0" w:color="auto"/>
              <w:left w:val="single" w:sz="4" w:space="0" w:color="auto"/>
              <w:bottom w:val="single" w:sz="4" w:space="0" w:color="auto"/>
              <w:right w:val="single" w:sz="4" w:space="0" w:color="auto"/>
            </w:tcBorders>
            <w:vAlign w:val="center"/>
            <w:hideMark/>
          </w:tcPr>
          <w:p w14:paraId="3273FAB8" w14:textId="77777777" w:rsidR="009800C7" w:rsidRPr="001D6D10" w:rsidRDefault="009800C7" w:rsidP="002264AA">
            <w:pPr>
              <w:spacing w:line="120" w:lineRule="exact"/>
              <w:rPr>
                <w:rFonts w:ascii="ＭＳ 明朝"/>
                <w:sz w:val="12"/>
                <w:szCs w:val="12"/>
              </w:rPr>
            </w:pPr>
            <w:r w:rsidRPr="001D6D10">
              <w:rPr>
                <w:rFonts w:ascii="ＭＳ 明朝" w:hint="eastAsia"/>
                <w:sz w:val="12"/>
                <w:szCs w:val="12"/>
              </w:rPr>
              <w:t>大阪府町村長会</w:t>
            </w:r>
          </w:p>
        </w:tc>
        <w:tc>
          <w:tcPr>
            <w:tcW w:w="4549" w:type="dxa"/>
            <w:tcBorders>
              <w:top w:val="single" w:sz="4" w:space="0" w:color="auto"/>
              <w:left w:val="single" w:sz="4" w:space="0" w:color="auto"/>
              <w:bottom w:val="single" w:sz="4" w:space="0" w:color="auto"/>
              <w:right w:val="single" w:sz="4" w:space="0" w:color="auto"/>
            </w:tcBorders>
            <w:vAlign w:val="center"/>
            <w:hideMark/>
          </w:tcPr>
          <w:p w14:paraId="26663372" w14:textId="77777777" w:rsidR="009800C7" w:rsidRPr="001D6D10" w:rsidRDefault="009800C7" w:rsidP="002264AA">
            <w:pPr>
              <w:spacing w:line="120" w:lineRule="exact"/>
              <w:rPr>
                <w:rFonts w:ascii="ＭＳ 明朝"/>
                <w:sz w:val="12"/>
                <w:szCs w:val="12"/>
              </w:rPr>
            </w:pPr>
            <w:r w:rsidRPr="001D6D10">
              <w:rPr>
                <w:rFonts w:ascii="ＭＳ 明朝" w:hint="eastAsia"/>
                <w:sz w:val="12"/>
                <w:szCs w:val="12"/>
              </w:rPr>
              <w:t>会長</w:t>
            </w:r>
          </w:p>
        </w:tc>
      </w:tr>
      <w:tr w:rsidR="001D6D10" w:rsidRPr="001D6D10" w14:paraId="1E134D0D" w14:textId="77777777" w:rsidTr="002264AA">
        <w:trPr>
          <w:trHeight w:hRule="exact" w:val="170"/>
        </w:trPr>
        <w:tc>
          <w:tcPr>
            <w:tcW w:w="536" w:type="dxa"/>
            <w:vMerge/>
            <w:tcBorders>
              <w:top w:val="single" w:sz="4" w:space="0" w:color="auto"/>
              <w:left w:val="single" w:sz="4" w:space="0" w:color="auto"/>
              <w:bottom w:val="single" w:sz="4" w:space="0" w:color="auto"/>
              <w:right w:val="single" w:sz="4" w:space="0" w:color="auto"/>
            </w:tcBorders>
            <w:vAlign w:val="center"/>
            <w:hideMark/>
          </w:tcPr>
          <w:p w14:paraId="0AB1EBAE" w14:textId="77777777" w:rsidR="009800C7" w:rsidRPr="001D6D10" w:rsidRDefault="009800C7" w:rsidP="002264AA">
            <w:pPr>
              <w:widowControl/>
              <w:jc w:val="left"/>
              <w:rPr>
                <w:rFonts w:ascii="ＭＳ 明朝"/>
                <w:sz w:val="12"/>
                <w:szCs w:val="12"/>
              </w:rPr>
            </w:pPr>
          </w:p>
        </w:tc>
        <w:tc>
          <w:tcPr>
            <w:tcW w:w="3415" w:type="dxa"/>
            <w:tcBorders>
              <w:top w:val="single" w:sz="4" w:space="0" w:color="auto"/>
              <w:left w:val="single" w:sz="4" w:space="0" w:color="auto"/>
              <w:bottom w:val="single" w:sz="4" w:space="0" w:color="auto"/>
              <w:right w:val="single" w:sz="4" w:space="0" w:color="auto"/>
            </w:tcBorders>
            <w:vAlign w:val="center"/>
            <w:hideMark/>
          </w:tcPr>
          <w:p w14:paraId="66AB2E9A" w14:textId="77777777" w:rsidR="009800C7" w:rsidRPr="001D6D10" w:rsidRDefault="009800C7" w:rsidP="002264AA">
            <w:pPr>
              <w:spacing w:line="120" w:lineRule="exact"/>
              <w:rPr>
                <w:rFonts w:ascii="ＭＳ 明朝"/>
                <w:sz w:val="12"/>
                <w:szCs w:val="12"/>
              </w:rPr>
            </w:pPr>
            <w:r w:rsidRPr="001D6D10">
              <w:rPr>
                <w:rFonts w:ascii="ＭＳ 明朝" w:hint="eastAsia"/>
                <w:sz w:val="12"/>
                <w:szCs w:val="12"/>
              </w:rPr>
              <w:t>大阪市消防局</w:t>
            </w:r>
          </w:p>
        </w:tc>
        <w:tc>
          <w:tcPr>
            <w:tcW w:w="4549" w:type="dxa"/>
            <w:tcBorders>
              <w:top w:val="single" w:sz="4" w:space="0" w:color="auto"/>
              <w:left w:val="single" w:sz="4" w:space="0" w:color="auto"/>
              <w:bottom w:val="single" w:sz="4" w:space="0" w:color="auto"/>
              <w:right w:val="single" w:sz="4" w:space="0" w:color="auto"/>
            </w:tcBorders>
            <w:vAlign w:val="center"/>
            <w:hideMark/>
          </w:tcPr>
          <w:p w14:paraId="5027B338" w14:textId="77777777" w:rsidR="009800C7" w:rsidRPr="001D6D10" w:rsidRDefault="009800C7" w:rsidP="002264AA">
            <w:pPr>
              <w:spacing w:line="120" w:lineRule="exact"/>
              <w:rPr>
                <w:rFonts w:ascii="ＭＳ 明朝"/>
                <w:sz w:val="12"/>
                <w:szCs w:val="12"/>
              </w:rPr>
            </w:pPr>
            <w:r w:rsidRPr="001D6D10">
              <w:rPr>
                <w:rFonts w:ascii="ＭＳ 明朝" w:hint="eastAsia"/>
                <w:sz w:val="12"/>
                <w:szCs w:val="12"/>
              </w:rPr>
              <w:t>消防局長</w:t>
            </w:r>
          </w:p>
        </w:tc>
      </w:tr>
      <w:tr w:rsidR="001D6D10" w:rsidRPr="001D6D10" w14:paraId="4C3E08E3" w14:textId="77777777" w:rsidTr="002264AA">
        <w:trPr>
          <w:trHeight w:hRule="exact" w:val="170"/>
        </w:trPr>
        <w:tc>
          <w:tcPr>
            <w:tcW w:w="536" w:type="dxa"/>
            <w:vMerge/>
            <w:tcBorders>
              <w:top w:val="single" w:sz="4" w:space="0" w:color="auto"/>
              <w:left w:val="single" w:sz="4" w:space="0" w:color="auto"/>
              <w:bottom w:val="single" w:sz="4" w:space="0" w:color="auto"/>
              <w:right w:val="single" w:sz="4" w:space="0" w:color="auto"/>
            </w:tcBorders>
            <w:vAlign w:val="center"/>
            <w:hideMark/>
          </w:tcPr>
          <w:p w14:paraId="657FC02A" w14:textId="77777777" w:rsidR="009800C7" w:rsidRPr="001D6D10" w:rsidRDefault="009800C7" w:rsidP="002264AA">
            <w:pPr>
              <w:widowControl/>
              <w:jc w:val="left"/>
              <w:rPr>
                <w:rFonts w:ascii="ＭＳ 明朝"/>
                <w:sz w:val="12"/>
                <w:szCs w:val="12"/>
              </w:rPr>
            </w:pPr>
          </w:p>
        </w:tc>
        <w:tc>
          <w:tcPr>
            <w:tcW w:w="3415" w:type="dxa"/>
            <w:tcBorders>
              <w:top w:val="single" w:sz="4" w:space="0" w:color="auto"/>
              <w:left w:val="single" w:sz="4" w:space="0" w:color="auto"/>
              <w:bottom w:val="single" w:sz="4" w:space="0" w:color="auto"/>
              <w:right w:val="single" w:sz="4" w:space="0" w:color="auto"/>
            </w:tcBorders>
            <w:vAlign w:val="center"/>
            <w:hideMark/>
          </w:tcPr>
          <w:p w14:paraId="70FC004B" w14:textId="77777777" w:rsidR="009800C7" w:rsidRPr="001D6D10" w:rsidRDefault="009800C7" w:rsidP="002264AA">
            <w:pPr>
              <w:spacing w:line="120" w:lineRule="exact"/>
              <w:rPr>
                <w:rFonts w:ascii="ＭＳ 明朝"/>
                <w:sz w:val="12"/>
                <w:szCs w:val="12"/>
              </w:rPr>
            </w:pPr>
            <w:r w:rsidRPr="001D6D10">
              <w:rPr>
                <w:rFonts w:ascii="ＭＳ 明朝" w:hint="eastAsia"/>
                <w:sz w:val="12"/>
                <w:szCs w:val="12"/>
              </w:rPr>
              <w:t>堺市消防局</w:t>
            </w:r>
          </w:p>
        </w:tc>
        <w:tc>
          <w:tcPr>
            <w:tcW w:w="4549" w:type="dxa"/>
            <w:tcBorders>
              <w:top w:val="single" w:sz="4" w:space="0" w:color="auto"/>
              <w:left w:val="single" w:sz="4" w:space="0" w:color="auto"/>
              <w:bottom w:val="single" w:sz="4" w:space="0" w:color="auto"/>
              <w:right w:val="single" w:sz="4" w:space="0" w:color="auto"/>
            </w:tcBorders>
            <w:vAlign w:val="center"/>
            <w:hideMark/>
          </w:tcPr>
          <w:p w14:paraId="0EA432D0" w14:textId="77777777" w:rsidR="009800C7" w:rsidRPr="001D6D10" w:rsidRDefault="009800C7" w:rsidP="002264AA">
            <w:pPr>
              <w:spacing w:line="120" w:lineRule="exact"/>
              <w:rPr>
                <w:rFonts w:ascii="ＭＳ 明朝"/>
                <w:sz w:val="12"/>
                <w:szCs w:val="12"/>
              </w:rPr>
            </w:pPr>
            <w:r w:rsidRPr="001D6D10">
              <w:rPr>
                <w:rFonts w:ascii="ＭＳ 明朝" w:hint="eastAsia"/>
                <w:sz w:val="12"/>
                <w:szCs w:val="12"/>
              </w:rPr>
              <w:t>消防局長</w:t>
            </w:r>
          </w:p>
        </w:tc>
      </w:tr>
      <w:tr w:rsidR="001D6D10" w:rsidRPr="001D6D10" w14:paraId="5D9B1E20" w14:textId="77777777" w:rsidTr="002264AA">
        <w:trPr>
          <w:trHeight w:hRule="exact" w:val="170"/>
        </w:trPr>
        <w:tc>
          <w:tcPr>
            <w:tcW w:w="536" w:type="dxa"/>
            <w:vMerge w:val="restart"/>
            <w:tcBorders>
              <w:top w:val="single" w:sz="4" w:space="0" w:color="auto"/>
              <w:left w:val="single" w:sz="4" w:space="0" w:color="auto"/>
              <w:right w:val="single" w:sz="4" w:space="0" w:color="auto"/>
            </w:tcBorders>
            <w:vAlign w:val="center"/>
            <w:hideMark/>
          </w:tcPr>
          <w:p w14:paraId="02E7D691" w14:textId="77777777" w:rsidR="009800C7" w:rsidRPr="001D6D10" w:rsidRDefault="009800C7" w:rsidP="002264AA">
            <w:pPr>
              <w:spacing w:line="120" w:lineRule="exact"/>
              <w:rPr>
                <w:rFonts w:ascii="ＭＳ 明朝"/>
                <w:sz w:val="12"/>
                <w:szCs w:val="12"/>
              </w:rPr>
            </w:pPr>
            <w:r w:rsidRPr="001D6D10">
              <w:rPr>
                <w:rFonts w:ascii="ＭＳ 明朝" w:hint="eastAsia"/>
                <w:sz w:val="12"/>
                <w:szCs w:val="12"/>
              </w:rPr>
              <w:t>7号</w:t>
            </w:r>
          </w:p>
        </w:tc>
        <w:tc>
          <w:tcPr>
            <w:tcW w:w="3415" w:type="dxa"/>
            <w:tcBorders>
              <w:top w:val="single" w:sz="4" w:space="0" w:color="auto"/>
              <w:left w:val="single" w:sz="4" w:space="0" w:color="auto"/>
              <w:bottom w:val="single" w:sz="4" w:space="0" w:color="auto"/>
              <w:right w:val="single" w:sz="4" w:space="0" w:color="auto"/>
            </w:tcBorders>
            <w:vAlign w:val="center"/>
            <w:hideMark/>
          </w:tcPr>
          <w:p w14:paraId="131F33F2" w14:textId="77777777" w:rsidR="009800C7" w:rsidRPr="001D6D10" w:rsidRDefault="009800C7" w:rsidP="002264AA">
            <w:pPr>
              <w:spacing w:line="120" w:lineRule="exact"/>
              <w:rPr>
                <w:rFonts w:ascii="ＭＳ 明朝"/>
                <w:sz w:val="12"/>
                <w:szCs w:val="12"/>
              </w:rPr>
            </w:pPr>
            <w:r w:rsidRPr="001D6D10">
              <w:rPr>
                <w:rFonts w:ascii="ＭＳ 明朝" w:hAnsi="ＭＳ 明朝" w:hint="eastAsia"/>
                <w:sz w:val="12"/>
                <w:szCs w:val="12"/>
              </w:rPr>
              <w:t>独立行政法人水資源機構（関西・吉野川支社）</w:t>
            </w:r>
          </w:p>
        </w:tc>
        <w:tc>
          <w:tcPr>
            <w:tcW w:w="4549" w:type="dxa"/>
            <w:tcBorders>
              <w:top w:val="single" w:sz="4" w:space="0" w:color="auto"/>
              <w:left w:val="single" w:sz="4" w:space="0" w:color="auto"/>
              <w:bottom w:val="single" w:sz="4" w:space="0" w:color="auto"/>
              <w:right w:val="single" w:sz="4" w:space="0" w:color="auto"/>
            </w:tcBorders>
            <w:vAlign w:val="center"/>
            <w:hideMark/>
          </w:tcPr>
          <w:p w14:paraId="2F189865" w14:textId="77777777" w:rsidR="009800C7" w:rsidRPr="001D6D10" w:rsidRDefault="009800C7" w:rsidP="002264AA">
            <w:pPr>
              <w:spacing w:line="120" w:lineRule="exact"/>
              <w:rPr>
                <w:rFonts w:ascii="ＭＳ 明朝"/>
                <w:sz w:val="12"/>
                <w:szCs w:val="12"/>
              </w:rPr>
            </w:pPr>
            <w:r w:rsidRPr="001D6D10">
              <w:rPr>
                <w:rFonts w:ascii="ＭＳ 明朝" w:hAnsi="ＭＳ 明朝" w:hint="eastAsia"/>
                <w:sz w:val="12"/>
                <w:szCs w:val="12"/>
              </w:rPr>
              <w:t>支社長</w:t>
            </w:r>
          </w:p>
        </w:tc>
      </w:tr>
      <w:tr w:rsidR="001D6D10" w:rsidRPr="001D6D10" w14:paraId="55515E79" w14:textId="77777777" w:rsidTr="002264AA">
        <w:trPr>
          <w:trHeight w:hRule="exact" w:val="170"/>
        </w:trPr>
        <w:tc>
          <w:tcPr>
            <w:tcW w:w="536" w:type="dxa"/>
            <w:vMerge/>
            <w:tcBorders>
              <w:left w:val="single" w:sz="4" w:space="0" w:color="auto"/>
              <w:right w:val="single" w:sz="4" w:space="0" w:color="auto"/>
            </w:tcBorders>
            <w:vAlign w:val="center"/>
            <w:hideMark/>
          </w:tcPr>
          <w:p w14:paraId="22DF9DC0" w14:textId="77777777" w:rsidR="009800C7" w:rsidRPr="001D6D10" w:rsidRDefault="009800C7" w:rsidP="002264AA">
            <w:pPr>
              <w:widowControl/>
              <w:jc w:val="left"/>
              <w:rPr>
                <w:rFonts w:ascii="ＭＳ 明朝"/>
                <w:sz w:val="12"/>
                <w:szCs w:val="12"/>
              </w:rPr>
            </w:pPr>
          </w:p>
        </w:tc>
        <w:tc>
          <w:tcPr>
            <w:tcW w:w="3415" w:type="dxa"/>
            <w:tcBorders>
              <w:top w:val="single" w:sz="4" w:space="0" w:color="auto"/>
              <w:left w:val="single" w:sz="4" w:space="0" w:color="auto"/>
              <w:bottom w:val="single" w:sz="4" w:space="0" w:color="auto"/>
              <w:right w:val="single" w:sz="4" w:space="0" w:color="auto"/>
            </w:tcBorders>
            <w:vAlign w:val="center"/>
            <w:hideMark/>
          </w:tcPr>
          <w:p w14:paraId="77B38658" w14:textId="77777777" w:rsidR="009800C7" w:rsidRPr="001D6D10" w:rsidRDefault="009800C7" w:rsidP="002264AA">
            <w:pPr>
              <w:spacing w:line="120" w:lineRule="exact"/>
              <w:rPr>
                <w:rFonts w:ascii="ＭＳ 明朝"/>
                <w:sz w:val="12"/>
                <w:szCs w:val="12"/>
              </w:rPr>
            </w:pPr>
            <w:r w:rsidRPr="001D6D10">
              <w:rPr>
                <w:rFonts w:ascii="ＭＳ 明朝" w:hAnsi="ＭＳ 明朝" w:hint="eastAsia"/>
                <w:sz w:val="12"/>
                <w:szCs w:val="12"/>
              </w:rPr>
              <w:t>日本銀行（大阪支店）</w:t>
            </w:r>
          </w:p>
        </w:tc>
        <w:tc>
          <w:tcPr>
            <w:tcW w:w="4549" w:type="dxa"/>
            <w:tcBorders>
              <w:top w:val="single" w:sz="4" w:space="0" w:color="auto"/>
              <w:left w:val="single" w:sz="4" w:space="0" w:color="auto"/>
              <w:bottom w:val="single" w:sz="4" w:space="0" w:color="auto"/>
              <w:right w:val="single" w:sz="4" w:space="0" w:color="auto"/>
            </w:tcBorders>
            <w:vAlign w:val="center"/>
            <w:hideMark/>
          </w:tcPr>
          <w:p w14:paraId="3D35D5A1" w14:textId="77777777" w:rsidR="009800C7" w:rsidRPr="001D6D10" w:rsidRDefault="009800C7" w:rsidP="002264AA">
            <w:pPr>
              <w:spacing w:line="120" w:lineRule="exact"/>
              <w:rPr>
                <w:rFonts w:ascii="ＭＳ 明朝"/>
                <w:sz w:val="12"/>
                <w:szCs w:val="12"/>
              </w:rPr>
            </w:pPr>
            <w:r w:rsidRPr="001D6D10">
              <w:rPr>
                <w:rFonts w:ascii="ＭＳ 明朝" w:hAnsi="ＭＳ 明朝" w:hint="eastAsia"/>
                <w:sz w:val="12"/>
                <w:szCs w:val="12"/>
              </w:rPr>
              <w:t>理事・大阪支店長</w:t>
            </w:r>
          </w:p>
        </w:tc>
      </w:tr>
      <w:tr w:rsidR="001D6D10" w:rsidRPr="001D6D10" w14:paraId="0E61FFC7" w14:textId="77777777" w:rsidTr="002264AA">
        <w:trPr>
          <w:trHeight w:hRule="exact" w:val="170"/>
        </w:trPr>
        <w:tc>
          <w:tcPr>
            <w:tcW w:w="536" w:type="dxa"/>
            <w:vMerge/>
            <w:tcBorders>
              <w:left w:val="single" w:sz="4" w:space="0" w:color="auto"/>
              <w:right w:val="single" w:sz="4" w:space="0" w:color="auto"/>
            </w:tcBorders>
            <w:vAlign w:val="center"/>
            <w:hideMark/>
          </w:tcPr>
          <w:p w14:paraId="2DA231C2" w14:textId="77777777" w:rsidR="009800C7" w:rsidRPr="001D6D10" w:rsidRDefault="009800C7" w:rsidP="002264AA">
            <w:pPr>
              <w:widowControl/>
              <w:jc w:val="left"/>
              <w:rPr>
                <w:rFonts w:ascii="ＭＳ 明朝"/>
                <w:sz w:val="12"/>
                <w:szCs w:val="12"/>
              </w:rPr>
            </w:pPr>
          </w:p>
        </w:tc>
        <w:tc>
          <w:tcPr>
            <w:tcW w:w="3415" w:type="dxa"/>
            <w:tcBorders>
              <w:top w:val="single" w:sz="4" w:space="0" w:color="auto"/>
              <w:left w:val="single" w:sz="4" w:space="0" w:color="auto"/>
              <w:bottom w:val="single" w:sz="4" w:space="0" w:color="auto"/>
              <w:right w:val="single" w:sz="4" w:space="0" w:color="auto"/>
            </w:tcBorders>
            <w:vAlign w:val="center"/>
            <w:hideMark/>
          </w:tcPr>
          <w:p w14:paraId="425BA53C" w14:textId="77777777" w:rsidR="009800C7" w:rsidRPr="001D6D10" w:rsidRDefault="009800C7" w:rsidP="002264AA">
            <w:pPr>
              <w:spacing w:line="120" w:lineRule="exact"/>
              <w:rPr>
                <w:rFonts w:ascii="ＭＳ 明朝"/>
                <w:sz w:val="12"/>
                <w:szCs w:val="12"/>
              </w:rPr>
            </w:pPr>
            <w:r w:rsidRPr="001D6D10">
              <w:rPr>
                <w:rFonts w:ascii="ＭＳ 明朝" w:hAnsi="ＭＳ 明朝" w:hint="eastAsia"/>
                <w:sz w:val="12"/>
                <w:szCs w:val="12"/>
              </w:rPr>
              <w:t>日本赤十字社（大阪府支部）</w:t>
            </w:r>
          </w:p>
        </w:tc>
        <w:tc>
          <w:tcPr>
            <w:tcW w:w="4549" w:type="dxa"/>
            <w:tcBorders>
              <w:top w:val="single" w:sz="4" w:space="0" w:color="auto"/>
              <w:left w:val="single" w:sz="4" w:space="0" w:color="auto"/>
              <w:bottom w:val="single" w:sz="4" w:space="0" w:color="auto"/>
              <w:right w:val="single" w:sz="4" w:space="0" w:color="auto"/>
            </w:tcBorders>
            <w:vAlign w:val="center"/>
            <w:hideMark/>
          </w:tcPr>
          <w:p w14:paraId="50DECCC2" w14:textId="77777777" w:rsidR="009800C7" w:rsidRPr="001D6D10" w:rsidRDefault="009800C7" w:rsidP="002264AA">
            <w:pPr>
              <w:spacing w:line="120" w:lineRule="exact"/>
              <w:rPr>
                <w:rFonts w:ascii="ＭＳ 明朝"/>
                <w:sz w:val="12"/>
                <w:szCs w:val="12"/>
              </w:rPr>
            </w:pPr>
            <w:r w:rsidRPr="001D6D10">
              <w:rPr>
                <w:rFonts w:ascii="ＭＳ 明朝" w:hAnsi="ＭＳ 明朝" w:hint="eastAsia"/>
                <w:sz w:val="12"/>
                <w:szCs w:val="12"/>
              </w:rPr>
              <w:t>事務局長</w:t>
            </w:r>
          </w:p>
        </w:tc>
      </w:tr>
      <w:tr w:rsidR="001D6D10" w:rsidRPr="001D6D10" w14:paraId="26B5C7C3" w14:textId="77777777" w:rsidTr="002264AA">
        <w:trPr>
          <w:trHeight w:hRule="exact" w:val="170"/>
        </w:trPr>
        <w:tc>
          <w:tcPr>
            <w:tcW w:w="536" w:type="dxa"/>
            <w:vMerge/>
            <w:tcBorders>
              <w:left w:val="single" w:sz="4" w:space="0" w:color="auto"/>
              <w:right w:val="single" w:sz="4" w:space="0" w:color="auto"/>
            </w:tcBorders>
            <w:vAlign w:val="center"/>
            <w:hideMark/>
          </w:tcPr>
          <w:p w14:paraId="609E2BD7" w14:textId="77777777" w:rsidR="009800C7" w:rsidRPr="001D6D10" w:rsidRDefault="009800C7" w:rsidP="002264AA">
            <w:pPr>
              <w:widowControl/>
              <w:jc w:val="left"/>
              <w:rPr>
                <w:rFonts w:ascii="ＭＳ 明朝"/>
                <w:sz w:val="12"/>
                <w:szCs w:val="12"/>
              </w:rPr>
            </w:pPr>
          </w:p>
        </w:tc>
        <w:tc>
          <w:tcPr>
            <w:tcW w:w="3415" w:type="dxa"/>
            <w:tcBorders>
              <w:top w:val="single" w:sz="4" w:space="0" w:color="auto"/>
              <w:left w:val="single" w:sz="4" w:space="0" w:color="auto"/>
              <w:bottom w:val="single" w:sz="4" w:space="0" w:color="auto"/>
              <w:right w:val="single" w:sz="4" w:space="0" w:color="auto"/>
            </w:tcBorders>
            <w:vAlign w:val="center"/>
            <w:hideMark/>
          </w:tcPr>
          <w:p w14:paraId="2F04B9F0" w14:textId="77777777" w:rsidR="009800C7" w:rsidRPr="001D6D10" w:rsidRDefault="009800C7" w:rsidP="002264AA">
            <w:pPr>
              <w:spacing w:line="120" w:lineRule="exact"/>
              <w:rPr>
                <w:rFonts w:ascii="ＭＳ 明朝"/>
                <w:sz w:val="12"/>
                <w:szCs w:val="12"/>
              </w:rPr>
            </w:pPr>
            <w:r w:rsidRPr="001D6D10">
              <w:rPr>
                <w:rFonts w:ascii="ＭＳ 明朝" w:hAnsi="ＭＳ 明朝" w:hint="eastAsia"/>
                <w:sz w:val="12"/>
                <w:szCs w:val="12"/>
              </w:rPr>
              <w:t>日本放送協会（大阪放送局）</w:t>
            </w:r>
          </w:p>
        </w:tc>
        <w:tc>
          <w:tcPr>
            <w:tcW w:w="4549" w:type="dxa"/>
            <w:tcBorders>
              <w:top w:val="single" w:sz="4" w:space="0" w:color="auto"/>
              <w:left w:val="single" w:sz="4" w:space="0" w:color="auto"/>
              <w:bottom w:val="single" w:sz="4" w:space="0" w:color="auto"/>
              <w:right w:val="single" w:sz="4" w:space="0" w:color="auto"/>
            </w:tcBorders>
            <w:vAlign w:val="center"/>
            <w:hideMark/>
          </w:tcPr>
          <w:p w14:paraId="635DF611" w14:textId="77777777" w:rsidR="009800C7" w:rsidRPr="001D6D10" w:rsidRDefault="009800C7" w:rsidP="002264AA">
            <w:pPr>
              <w:spacing w:line="120" w:lineRule="exact"/>
              <w:rPr>
                <w:rFonts w:ascii="ＭＳ 明朝"/>
                <w:sz w:val="12"/>
                <w:szCs w:val="12"/>
              </w:rPr>
            </w:pPr>
            <w:r w:rsidRPr="001D6D10">
              <w:rPr>
                <w:rFonts w:ascii="ＭＳ 明朝" w:hAnsi="ＭＳ 明朝" w:hint="eastAsia"/>
                <w:sz w:val="12"/>
                <w:szCs w:val="12"/>
              </w:rPr>
              <w:t>専務理事　大阪放送局長</w:t>
            </w:r>
          </w:p>
        </w:tc>
      </w:tr>
      <w:tr w:rsidR="001D6D10" w:rsidRPr="001D6D10" w14:paraId="0A81026B" w14:textId="77777777" w:rsidTr="002264AA">
        <w:trPr>
          <w:trHeight w:hRule="exact" w:val="170"/>
        </w:trPr>
        <w:tc>
          <w:tcPr>
            <w:tcW w:w="536" w:type="dxa"/>
            <w:vMerge/>
            <w:tcBorders>
              <w:left w:val="single" w:sz="4" w:space="0" w:color="auto"/>
              <w:right w:val="single" w:sz="4" w:space="0" w:color="auto"/>
            </w:tcBorders>
            <w:vAlign w:val="center"/>
            <w:hideMark/>
          </w:tcPr>
          <w:p w14:paraId="26BD58A9" w14:textId="77777777" w:rsidR="009800C7" w:rsidRPr="001D6D10" w:rsidRDefault="009800C7" w:rsidP="002264AA">
            <w:pPr>
              <w:widowControl/>
              <w:jc w:val="left"/>
              <w:rPr>
                <w:rFonts w:ascii="ＭＳ 明朝"/>
                <w:sz w:val="12"/>
                <w:szCs w:val="12"/>
              </w:rPr>
            </w:pPr>
          </w:p>
        </w:tc>
        <w:tc>
          <w:tcPr>
            <w:tcW w:w="3415" w:type="dxa"/>
            <w:tcBorders>
              <w:top w:val="single" w:sz="4" w:space="0" w:color="auto"/>
              <w:left w:val="single" w:sz="4" w:space="0" w:color="auto"/>
              <w:bottom w:val="single" w:sz="4" w:space="0" w:color="auto"/>
              <w:right w:val="single" w:sz="4" w:space="0" w:color="auto"/>
            </w:tcBorders>
            <w:vAlign w:val="center"/>
            <w:hideMark/>
          </w:tcPr>
          <w:p w14:paraId="48FF168C" w14:textId="77777777" w:rsidR="009800C7" w:rsidRPr="001D6D10" w:rsidRDefault="009800C7" w:rsidP="002264AA">
            <w:pPr>
              <w:spacing w:line="120" w:lineRule="exact"/>
              <w:rPr>
                <w:rFonts w:ascii="ＭＳ 明朝"/>
                <w:sz w:val="12"/>
                <w:szCs w:val="12"/>
              </w:rPr>
            </w:pPr>
            <w:r w:rsidRPr="001D6D10">
              <w:rPr>
                <w:rFonts w:ascii="ＭＳ 明朝" w:hAnsi="ＭＳ 明朝" w:hint="eastAsia"/>
                <w:sz w:val="12"/>
                <w:szCs w:val="12"/>
              </w:rPr>
              <w:t>西日本高速道路株式会社（関西支社）</w:t>
            </w:r>
          </w:p>
        </w:tc>
        <w:tc>
          <w:tcPr>
            <w:tcW w:w="4549" w:type="dxa"/>
            <w:tcBorders>
              <w:top w:val="single" w:sz="4" w:space="0" w:color="auto"/>
              <w:left w:val="single" w:sz="4" w:space="0" w:color="auto"/>
              <w:bottom w:val="single" w:sz="4" w:space="0" w:color="auto"/>
              <w:right w:val="single" w:sz="4" w:space="0" w:color="auto"/>
            </w:tcBorders>
            <w:vAlign w:val="center"/>
            <w:hideMark/>
          </w:tcPr>
          <w:p w14:paraId="7D10D9D0" w14:textId="77777777" w:rsidR="009800C7" w:rsidRPr="001D6D10" w:rsidRDefault="009800C7" w:rsidP="002264AA">
            <w:pPr>
              <w:spacing w:line="120" w:lineRule="exact"/>
              <w:rPr>
                <w:rFonts w:ascii="ＭＳ 明朝"/>
                <w:sz w:val="12"/>
                <w:szCs w:val="12"/>
              </w:rPr>
            </w:pPr>
            <w:r w:rsidRPr="001D6D10">
              <w:rPr>
                <w:rFonts w:ascii="ＭＳ 明朝" w:hAnsi="ＭＳ 明朝" w:hint="eastAsia"/>
                <w:sz w:val="12"/>
                <w:szCs w:val="12"/>
              </w:rPr>
              <w:t>支社長</w:t>
            </w:r>
          </w:p>
        </w:tc>
      </w:tr>
      <w:tr w:rsidR="001D6D10" w:rsidRPr="001D6D10" w14:paraId="0A939D0A" w14:textId="77777777" w:rsidTr="002264AA">
        <w:trPr>
          <w:trHeight w:hRule="exact" w:val="170"/>
        </w:trPr>
        <w:tc>
          <w:tcPr>
            <w:tcW w:w="536" w:type="dxa"/>
            <w:vMerge/>
            <w:tcBorders>
              <w:left w:val="single" w:sz="4" w:space="0" w:color="auto"/>
              <w:right w:val="single" w:sz="4" w:space="0" w:color="auto"/>
            </w:tcBorders>
            <w:vAlign w:val="center"/>
            <w:hideMark/>
          </w:tcPr>
          <w:p w14:paraId="12466E1C" w14:textId="77777777" w:rsidR="009800C7" w:rsidRPr="001D6D10" w:rsidRDefault="009800C7" w:rsidP="002264AA">
            <w:pPr>
              <w:widowControl/>
              <w:jc w:val="left"/>
              <w:rPr>
                <w:rFonts w:ascii="ＭＳ 明朝"/>
                <w:sz w:val="12"/>
                <w:szCs w:val="12"/>
              </w:rPr>
            </w:pPr>
          </w:p>
        </w:tc>
        <w:tc>
          <w:tcPr>
            <w:tcW w:w="3415" w:type="dxa"/>
            <w:tcBorders>
              <w:top w:val="single" w:sz="4" w:space="0" w:color="auto"/>
              <w:left w:val="single" w:sz="4" w:space="0" w:color="auto"/>
              <w:bottom w:val="single" w:sz="4" w:space="0" w:color="auto"/>
              <w:right w:val="single" w:sz="4" w:space="0" w:color="auto"/>
            </w:tcBorders>
            <w:vAlign w:val="center"/>
            <w:hideMark/>
          </w:tcPr>
          <w:p w14:paraId="32FAD43B" w14:textId="77777777" w:rsidR="009800C7" w:rsidRPr="001D6D10" w:rsidRDefault="009800C7" w:rsidP="002264AA">
            <w:pPr>
              <w:spacing w:line="120" w:lineRule="exact"/>
              <w:rPr>
                <w:rFonts w:ascii="ＭＳ 明朝"/>
                <w:sz w:val="12"/>
                <w:szCs w:val="12"/>
              </w:rPr>
            </w:pPr>
            <w:r w:rsidRPr="001D6D10">
              <w:rPr>
                <w:rFonts w:ascii="ＭＳ 明朝" w:hAnsi="ＭＳ 明朝" w:hint="eastAsia"/>
                <w:sz w:val="12"/>
                <w:szCs w:val="12"/>
              </w:rPr>
              <w:t>阪神高速道路株式会社</w:t>
            </w:r>
          </w:p>
        </w:tc>
        <w:tc>
          <w:tcPr>
            <w:tcW w:w="4549" w:type="dxa"/>
            <w:tcBorders>
              <w:top w:val="single" w:sz="4" w:space="0" w:color="auto"/>
              <w:left w:val="single" w:sz="4" w:space="0" w:color="auto"/>
              <w:bottom w:val="single" w:sz="4" w:space="0" w:color="auto"/>
              <w:right w:val="single" w:sz="4" w:space="0" w:color="auto"/>
            </w:tcBorders>
            <w:vAlign w:val="center"/>
            <w:hideMark/>
          </w:tcPr>
          <w:p w14:paraId="5BACADC7" w14:textId="52310B8B" w:rsidR="009800C7" w:rsidRPr="001D6D10" w:rsidRDefault="00A70E18" w:rsidP="002264AA">
            <w:pPr>
              <w:spacing w:line="120" w:lineRule="exact"/>
              <w:rPr>
                <w:rFonts w:ascii="ＭＳ 明朝"/>
                <w:sz w:val="12"/>
                <w:szCs w:val="12"/>
              </w:rPr>
            </w:pPr>
            <w:r w:rsidRPr="001D6D10">
              <w:rPr>
                <w:rFonts w:ascii="ＭＳ 明朝" w:hAnsi="ＭＳ 明朝" w:hint="eastAsia"/>
                <w:sz w:val="12"/>
                <w:szCs w:val="12"/>
              </w:rPr>
              <w:t>取締役兼</w:t>
            </w:r>
            <w:r w:rsidR="009800C7" w:rsidRPr="001D6D10">
              <w:rPr>
                <w:rFonts w:ascii="ＭＳ 明朝" w:hAnsi="ＭＳ 明朝" w:hint="eastAsia"/>
                <w:sz w:val="12"/>
                <w:szCs w:val="12"/>
              </w:rPr>
              <w:t>執行役員</w:t>
            </w:r>
          </w:p>
        </w:tc>
      </w:tr>
      <w:tr w:rsidR="001D6D10" w:rsidRPr="001D6D10" w14:paraId="45010C3D" w14:textId="77777777" w:rsidTr="002264AA">
        <w:trPr>
          <w:trHeight w:hRule="exact" w:val="170"/>
        </w:trPr>
        <w:tc>
          <w:tcPr>
            <w:tcW w:w="536" w:type="dxa"/>
            <w:vMerge/>
            <w:tcBorders>
              <w:left w:val="single" w:sz="4" w:space="0" w:color="auto"/>
              <w:right w:val="single" w:sz="4" w:space="0" w:color="auto"/>
            </w:tcBorders>
            <w:vAlign w:val="center"/>
            <w:hideMark/>
          </w:tcPr>
          <w:p w14:paraId="5BFC31C4" w14:textId="77777777" w:rsidR="009800C7" w:rsidRPr="001D6D10" w:rsidRDefault="009800C7" w:rsidP="002264AA">
            <w:pPr>
              <w:widowControl/>
              <w:jc w:val="left"/>
              <w:rPr>
                <w:rFonts w:ascii="ＭＳ 明朝"/>
                <w:sz w:val="12"/>
                <w:szCs w:val="12"/>
              </w:rPr>
            </w:pPr>
          </w:p>
        </w:tc>
        <w:tc>
          <w:tcPr>
            <w:tcW w:w="3415" w:type="dxa"/>
            <w:tcBorders>
              <w:top w:val="single" w:sz="4" w:space="0" w:color="auto"/>
              <w:left w:val="single" w:sz="4" w:space="0" w:color="auto"/>
              <w:bottom w:val="single" w:sz="4" w:space="0" w:color="auto"/>
              <w:right w:val="single" w:sz="4" w:space="0" w:color="auto"/>
            </w:tcBorders>
            <w:vAlign w:val="center"/>
            <w:hideMark/>
          </w:tcPr>
          <w:p w14:paraId="750E21B0" w14:textId="77777777" w:rsidR="009800C7" w:rsidRPr="001D6D10" w:rsidRDefault="009800C7" w:rsidP="002264AA">
            <w:pPr>
              <w:spacing w:line="120" w:lineRule="exact"/>
              <w:rPr>
                <w:rFonts w:ascii="ＭＳ 明朝"/>
                <w:sz w:val="12"/>
                <w:szCs w:val="12"/>
              </w:rPr>
            </w:pPr>
            <w:r w:rsidRPr="001D6D10">
              <w:rPr>
                <w:rFonts w:ascii="ＭＳ 明朝" w:hAnsi="ＭＳ 明朝" w:hint="eastAsia"/>
                <w:sz w:val="12"/>
                <w:szCs w:val="12"/>
              </w:rPr>
              <w:t>新関西国際空港株式会社</w:t>
            </w:r>
          </w:p>
        </w:tc>
        <w:tc>
          <w:tcPr>
            <w:tcW w:w="4549" w:type="dxa"/>
            <w:tcBorders>
              <w:top w:val="single" w:sz="4" w:space="0" w:color="auto"/>
              <w:left w:val="single" w:sz="4" w:space="0" w:color="auto"/>
              <w:bottom w:val="single" w:sz="4" w:space="0" w:color="auto"/>
              <w:right w:val="single" w:sz="4" w:space="0" w:color="auto"/>
            </w:tcBorders>
            <w:vAlign w:val="center"/>
            <w:hideMark/>
          </w:tcPr>
          <w:p w14:paraId="3A2F55F3" w14:textId="77777777" w:rsidR="009800C7" w:rsidRPr="001D6D10" w:rsidRDefault="009800C7" w:rsidP="002264AA">
            <w:pPr>
              <w:spacing w:line="120" w:lineRule="exact"/>
              <w:rPr>
                <w:rFonts w:ascii="ＭＳ 明朝"/>
                <w:sz w:val="12"/>
                <w:szCs w:val="12"/>
              </w:rPr>
            </w:pPr>
            <w:r w:rsidRPr="001D6D10">
              <w:rPr>
                <w:rFonts w:ascii="ＭＳ 明朝" w:hAnsi="ＭＳ 明朝" w:hint="eastAsia"/>
                <w:sz w:val="12"/>
                <w:szCs w:val="12"/>
              </w:rPr>
              <w:t>総務部長</w:t>
            </w:r>
          </w:p>
        </w:tc>
      </w:tr>
      <w:tr w:rsidR="001D6D10" w:rsidRPr="001D6D10" w14:paraId="565B5FAF" w14:textId="77777777" w:rsidTr="002264AA">
        <w:trPr>
          <w:trHeight w:hRule="exact" w:val="170"/>
        </w:trPr>
        <w:tc>
          <w:tcPr>
            <w:tcW w:w="536" w:type="dxa"/>
            <w:vMerge/>
            <w:tcBorders>
              <w:left w:val="single" w:sz="4" w:space="0" w:color="auto"/>
              <w:right w:val="single" w:sz="4" w:space="0" w:color="auto"/>
            </w:tcBorders>
            <w:vAlign w:val="center"/>
            <w:hideMark/>
          </w:tcPr>
          <w:p w14:paraId="543F6C81" w14:textId="77777777" w:rsidR="009800C7" w:rsidRPr="001D6D10" w:rsidRDefault="009800C7" w:rsidP="002264AA">
            <w:pPr>
              <w:widowControl/>
              <w:jc w:val="left"/>
              <w:rPr>
                <w:rFonts w:ascii="ＭＳ 明朝"/>
                <w:sz w:val="12"/>
                <w:szCs w:val="12"/>
              </w:rPr>
            </w:pPr>
          </w:p>
        </w:tc>
        <w:tc>
          <w:tcPr>
            <w:tcW w:w="3415" w:type="dxa"/>
            <w:tcBorders>
              <w:top w:val="single" w:sz="4" w:space="0" w:color="auto"/>
              <w:left w:val="single" w:sz="4" w:space="0" w:color="auto"/>
              <w:bottom w:val="single" w:sz="4" w:space="0" w:color="auto"/>
              <w:right w:val="single" w:sz="4" w:space="0" w:color="auto"/>
            </w:tcBorders>
            <w:vAlign w:val="center"/>
            <w:hideMark/>
          </w:tcPr>
          <w:p w14:paraId="203283BB" w14:textId="77777777" w:rsidR="009800C7" w:rsidRPr="001D6D10" w:rsidRDefault="009800C7" w:rsidP="002264AA">
            <w:pPr>
              <w:spacing w:line="120" w:lineRule="exact"/>
              <w:rPr>
                <w:rFonts w:ascii="ＭＳ 明朝"/>
                <w:sz w:val="12"/>
                <w:szCs w:val="12"/>
              </w:rPr>
            </w:pPr>
            <w:r w:rsidRPr="001D6D10">
              <w:rPr>
                <w:rFonts w:ascii="ＭＳ 明朝" w:hAnsi="ＭＳ 明朝" w:hint="eastAsia"/>
                <w:sz w:val="12"/>
                <w:szCs w:val="12"/>
              </w:rPr>
              <w:t>西日本旅客鉄道株式会社（近畿統括本部阪奈支社）</w:t>
            </w:r>
          </w:p>
        </w:tc>
        <w:tc>
          <w:tcPr>
            <w:tcW w:w="4549" w:type="dxa"/>
            <w:tcBorders>
              <w:top w:val="single" w:sz="4" w:space="0" w:color="auto"/>
              <w:left w:val="single" w:sz="4" w:space="0" w:color="auto"/>
              <w:bottom w:val="single" w:sz="4" w:space="0" w:color="auto"/>
              <w:right w:val="single" w:sz="4" w:space="0" w:color="auto"/>
            </w:tcBorders>
            <w:vAlign w:val="center"/>
            <w:hideMark/>
          </w:tcPr>
          <w:p w14:paraId="4CF461DE" w14:textId="77777777" w:rsidR="009800C7" w:rsidRPr="001D6D10" w:rsidRDefault="009800C7" w:rsidP="002264AA">
            <w:pPr>
              <w:spacing w:line="120" w:lineRule="exact"/>
              <w:rPr>
                <w:rFonts w:ascii="ＭＳ 明朝"/>
                <w:sz w:val="12"/>
                <w:szCs w:val="12"/>
              </w:rPr>
            </w:pPr>
            <w:r w:rsidRPr="001D6D10">
              <w:rPr>
                <w:rFonts w:ascii="ＭＳ 明朝" w:hAnsi="ＭＳ 明朝" w:hint="eastAsia"/>
                <w:sz w:val="12"/>
                <w:szCs w:val="12"/>
              </w:rPr>
              <w:t>常務理事近畿統括本部　阪奈支社長</w:t>
            </w:r>
          </w:p>
        </w:tc>
      </w:tr>
      <w:tr w:rsidR="001D6D10" w:rsidRPr="001D6D10" w14:paraId="3C08676A" w14:textId="77777777" w:rsidTr="002264AA">
        <w:trPr>
          <w:trHeight w:hRule="exact" w:val="170"/>
        </w:trPr>
        <w:tc>
          <w:tcPr>
            <w:tcW w:w="536" w:type="dxa"/>
            <w:vMerge/>
            <w:tcBorders>
              <w:left w:val="single" w:sz="4" w:space="0" w:color="auto"/>
              <w:right w:val="single" w:sz="4" w:space="0" w:color="auto"/>
            </w:tcBorders>
            <w:vAlign w:val="center"/>
            <w:hideMark/>
          </w:tcPr>
          <w:p w14:paraId="0A7294D8" w14:textId="77777777" w:rsidR="009800C7" w:rsidRPr="001D6D10" w:rsidRDefault="009800C7" w:rsidP="002264AA">
            <w:pPr>
              <w:widowControl/>
              <w:jc w:val="left"/>
              <w:rPr>
                <w:rFonts w:ascii="ＭＳ 明朝"/>
                <w:sz w:val="12"/>
                <w:szCs w:val="12"/>
              </w:rPr>
            </w:pPr>
          </w:p>
        </w:tc>
        <w:tc>
          <w:tcPr>
            <w:tcW w:w="3415" w:type="dxa"/>
            <w:tcBorders>
              <w:top w:val="single" w:sz="4" w:space="0" w:color="auto"/>
              <w:left w:val="single" w:sz="4" w:space="0" w:color="auto"/>
              <w:bottom w:val="single" w:sz="4" w:space="0" w:color="auto"/>
              <w:right w:val="single" w:sz="4" w:space="0" w:color="auto"/>
            </w:tcBorders>
            <w:vAlign w:val="center"/>
            <w:hideMark/>
          </w:tcPr>
          <w:p w14:paraId="68C4D4E5" w14:textId="77777777" w:rsidR="009800C7" w:rsidRPr="001D6D10" w:rsidRDefault="009800C7" w:rsidP="002264AA">
            <w:pPr>
              <w:spacing w:line="120" w:lineRule="exact"/>
              <w:rPr>
                <w:rFonts w:ascii="ＭＳ 明朝"/>
                <w:sz w:val="12"/>
                <w:szCs w:val="12"/>
              </w:rPr>
            </w:pPr>
            <w:r w:rsidRPr="001D6D10">
              <w:rPr>
                <w:rFonts w:ascii="ＭＳ 明朝" w:hAnsi="ＭＳ 明朝" w:hint="eastAsia"/>
                <w:sz w:val="12"/>
                <w:szCs w:val="12"/>
              </w:rPr>
              <w:t>西日本電信電話株式会社（関西支店）</w:t>
            </w:r>
          </w:p>
        </w:tc>
        <w:tc>
          <w:tcPr>
            <w:tcW w:w="4549" w:type="dxa"/>
            <w:tcBorders>
              <w:top w:val="single" w:sz="4" w:space="0" w:color="auto"/>
              <w:left w:val="single" w:sz="4" w:space="0" w:color="auto"/>
              <w:bottom w:val="single" w:sz="4" w:space="0" w:color="auto"/>
              <w:right w:val="single" w:sz="4" w:space="0" w:color="auto"/>
            </w:tcBorders>
            <w:vAlign w:val="center"/>
            <w:hideMark/>
          </w:tcPr>
          <w:p w14:paraId="62283865" w14:textId="77777777" w:rsidR="009800C7" w:rsidRPr="001D6D10" w:rsidRDefault="009800C7" w:rsidP="002264AA">
            <w:pPr>
              <w:spacing w:line="120" w:lineRule="exact"/>
              <w:rPr>
                <w:rFonts w:ascii="ＭＳ 明朝"/>
                <w:sz w:val="12"/>
                <w:szCs w:val="12"/>
              </w:rPr>
            </w:pPr>
            <w:r w:rsidRPr="001D6D10">
              <w:rPr>
                <w:rFonts w:ascii="ＭＳ 明朝" w:hAnsi="ＭＳ 明朝" w:hint="eastAsia"/>
                <w:sz w:val="12"/>
                <w:szCs w:val="12"/>
              </w:rPr>
              <w:t>執行役員関西支店長</w:t>
            </w:r>
          </w:p>
        </w:tc>
      </w:tr>
      <w:tr w:rsidR="001D6D10" w:rsidRPr="001D6D10" w14:paraId="18780AB8" w14:textId="77777777" w:rsidTr="002264AA">
        <w:trPr>
          <w:trHeight w:hRule="exact" w:val="170"/>
        </w:trPr>
        <w:tc>
          <w:tcPr>
            <w:tcW w:w="536" w:type="dxa"/>
            <w:vMerge/>
            <w:tcBorders>
              <w:left w:val="single" w:sz="4" w:space="0" w:color="auto"/>
              <w:right w:val="single" w:sz="4" w:space="0" w:color="auto"/>
            </w:tcBorders>
            <w:vAlign w:val="center"/>
            <w:hideMark/>
          </w:tcPr>
          <w:p w14:paraId="2974167D" w14:textId="77777777" w:rsidR="009800C7" w:rsidRPr="001D6D10" w:rsidRDefault="009800C7" w:rsidP="002264AA">
            <w:pPr>
              <w:widowControl/>
              <w:jc w:val="left"/>
              <w:rPr>
                <w:rFonts w:ascii="ＭＳ 明朝"/>
                <w:sz w:val="12"/>
                <w:szCs w:val="12"/>
              </w:rPr>
            </w:pPr>
          </w:p>
        </w:tc>
        <w:tc>
          <w:tcPr>
            <w:tcW w:w="3415" w:type="dxa"/>
            <w:tcBorders>
              <w:top w:val="single" w:sz="4" w:space="0" w:color="auto"/>
              <w:left w:val="single" w:sz="4" w:space="0" w:color="auto"/>
              <w:bottom w:val="single" w:sz="4" w:space="0" w:color="auto"/>
              <w:right w:val="single" w:sz="4" w:space="0" w:color="auto"/>
            </w:tcBorders>
            <w:vAlign w:val="center"/>
            <w:hideMark/>
          </w:tcPr>
          <w:p w14:paraId="658F901A" w14:textId="77777777" w:rsidR="009800C7" w:rsidRPr="001D6D10" w:rsidRDefault="009800C7" w:rsidP="002264AA">
            <w:pPr>
              <w:spacing w:line="120" w:lineRule="exact"/>
              <w:rPr>
                <w:rFonts w:ascii="ＭＳ 明朝"/>
                <w:sz w:val="12"/>
                <w:szCs w:val="12"/>
              </w:rPr>
            </w:pPr>
            <w:r w:rsidRPr="001D6D10">
              <w:rPr>
                <w:rFonts w:ascii="ＭＳ 明朝" w:hAnsi="ＭＳ 明朝" w:hint="eastAsia"/>
                <w:sz w:val="12"/>
                <w:szCs w:val="12"/>
              </w:rPr>
              <w:t>日本郵便株式会社（近畿支社）</w:t>
            </w:r>
          </w:p>
        </w:tc>
        <w:tc>
          <w:tcPr>
            <w:tcW w:w="4549" w:type="dxa"/>
            <w:tcBorders>
              <w:top w:val="single" w:sz="4" w:space="0" w:color="auto"/>
              <w:left w:val="single" w:sz="4" w:space="0" w:color="auto"/>
              <w:bottom w:val="single" w:sz="4" w:space="0" w:color="auto"/>
              <w:right w:val="single" w:sz="4" w:space="0" w:color="auto"/>
            </w:tcBorders>
            <w:vAlign w:val="center"/>
            <w:hideMark/>
          </w:tcPr>
          <w:p w14:paraId="4F98155A" w14:textId="77777777" w:rsidR="009800C7" w:rsidRPr="001D6D10" w:rsidRDefault="009800C7" w:rsidP="002264AA">
            <w:pPr>
              <w:spacing w:line="120" w:lineRule="exact"/>
              <w:rPr>
                <w:rFonts w:ascii="ＭＳ 明朝"/>
                <w:sz w:val="12"/>
                <w:szCs w:val="12"/>
              </w:rPr>
            </w:pPr>
            <w:r w:rsidRPr="001D6D10">
              <w:rPr>
                <w:rFonts w:ascii="ＭＳ 明朝" w:hAnsi="ＭＳ 明朝" w:hint="eastAsia"/>
                <w:sz w:val="12"/>
                <w:szCs w:val="12"/>
              </w:rPr>
              <w:t>常務執行役員近畿支社長</w:t>
            </w:r>
          </w:p>
        </w:tc>
      </w:tr>
      <w:tr w:rsidR="001D6D10" w:rsidRPr="001D6D10" w14:paraId="0D54E303" w14:textId="77777777" w:rsidTr="0050558B">
        <w:trPr>
          <w:trHeight w:hRule="exact" w:val="216"/>
        </w:trPr>
        <w:tc>
          <w:tcPr>
            <w:tcW w:w="536" w:type="dxa"/>
            <w:vMerge/>
            <w:tcBorders>
              <w:left w:val="single" w:sz="4" w:space="0" w:color="auto"/>
              <w:right w:val="single" w:sz="4" w:space="0" w:color="auto"/>
            </w:tcBorders>
            <w:vAlign w:val="center"/>
            <w:hideMark/>
          </w:tcPr>
          <w:p w14:paraId="503FF355" w14:textId="77777777" w:rsidR="009800C7" w:rsidRPr="001D6D10" w:rsidRDefault="009800C7" w:rsidP="002264AA">
            <w:pPr>
              <w:widowControl/>
              <w:jc w:val="left"/>
              <w:rPr>
                <w:rFonts w:ascii="ＭＳ 明朝"/>
                <w:sz w:val="12"/>
                <w:szCs w:val="12"/>
              </w:rPr>
            </w:pPr>
          </w:p>
        </w:tc>
        <w:tc>
          <w:tcPr>
            <w:tcW w:w="3415" w:type="dxa"/>
            <w:tcBorders>
              <w:top w:val="single" w:sz="4" w:space="0" w:color="auto"/>
              <w:left w:val="single" w:sz="4" w:space="0" w:color="auto"/>
              <w:bottom w:val="single" w:sz="4" w:space="0" w:color="auto"/>
              <w:right w:val="single" w:sz="4" w:space="0" w:color="auto"/>
            </w:tcBorders>
            <w:vAlign w:val="center"/>
            <w:hideMark/>
          </w:tcPr>
          <w:p w14:paraId="4066F073" w14:textId="77777777" w:rsidR="009800C7" w:rsidRPr="001D6D10" w:rsidRDefault="009800C7" w:rsidP="002264AA">
            <w:pPr>
              <w:spacing w:line="120" w:lineRule="exact"/>
              <w:rPr>
                <w:rFonts w:ascii="ＭＳ 明朝"/>
                <w:sz w:val="12"/>
                <w:szCs w:val="12"/>
              </w:rPr>
            </w:pPr>
            <w:r w:rsidRPr="001D6D10">
              <w:rPr>
                <w:rFonts w:ascii="ＭＳ 明朝" w:hAnsi="ＭＳ 明朝" w:hint="eastAsia"/>
                <w:sz w:val="12"/>
                <w:szCs w:val="12"/>
              </w:rPr>
              <w:t>大阪ガスネットワーク株式会社</w:t>
            </w:r>
          </w:p>
        </w:tc>
        <w:tc>
          <w:tcPr>
            <w:tcW w:w="4549" w:type="dxa"/>
            <w:tcBorders>
              <w:top w:val="single" w:sz="4" w:space="0" w:color="auto"/>
              <w:left w:val="single" w:sz="4" w:space="0" w:color="auto"/>
              <w:bottom w:val="single" w:sz="4" w:space="0" w:color="auto"/>
              <w:right w:val="single" w:sz="4" w:space="0" w:color="auto"/>
            </w:tcBorders>
            <w:vAlign w:val="center"/>
            <w:hideMark/>
          </w:tcPr>
          <w:p w14:paraId="48234D2F" w14:textId="77777777" w:rsidR="009800C7" w:rsidRPr="001D6D10" w:rsidRDefault="009800C7" w:rsidP="002264AA">
            <w:pPr>
              <w:spacing w:line="120" w:lineRule="exact"/>
              <w:rPr>
                <w:rFonts w:ascii="ＭＳ 明朝"/>
                <w:sz w:val="12"/>
                <w:szCs w:val="12"/>
              </w:rPr>
            </w:pPr>
            <w:r w:rsidRPr="001D6D10">
              <w:rPr>
                <w:rFonts w:ascii="ＭＳ 明朝" w:hAnsi="ＭＳ 明朝" w:hint="eastAsia"/>
                <w:sz w:val="12"/>
                <w:szCs w:val="12"/>
              </w:rPr>
              <w:t>供給指令部長</w:t>
            </w:r>
          </w:p>
        </w:tc>
      </w:tr>
      <w:tr w:rsidR="001D6D10" w:rsidRPr="001D6D10" w14:paraId="0CDFD5D5" w14:textId="77777777" w:rsidTr="002365BE">
        <w:trPr>
          <w:trHeight w:hRule="exact" w:val="153"/>
        </w:trPr>
        <w:tc>
          <w:tcPr>
            <w:tcW w:w="536" w:type="dxa"/>
            <w:vMerge/>
            <w:tcBorders>
              <w:left w:val="single" w:sz="4" w:space="0" w:color="auto"/>
              <w:right w:val="single" w:sz="4" w:space="0" w:color="auto"/>
            </w:tcBorders>
            <w:vAlign w:val="center"/>
            <w:hideMark/>
          </w:tcPr>
          <w:p w14:paraId="0C95A2E4" w14:textId="77777777" w:rsidR="009800C7" w:rsidRPr="001D6D10" w:rsidRDefault="009800C7" w:rsidP="002264AA">
            <w:pPr>
              <w:widowControl/>
              <w:jc w:val="left"/>
              <w:rPr>
                <w:rFonts w:ascii="ＭＳ 明朝"/>
                <w:sz w:val="12"/>
                <w:szCs w:val="12"/>
              </w:rPr>
            </w:pPr>
          </w:p>
        </w:tc>
        <w:tc>
          <w:tcPr>
            <w:tcW w:w="3415" w:type="dxa"/>
            <w:tcBorders>
              <w:top w:val="single" w:sz="4" w:space="0" w:color="auto"/>
              <w:left w:val="single" w:sz="4" w:space="0" w:color="auto"/>
              <w:bottom w:val="single" w:sz="4" w:space="0" w:color="auto"/>
              <w:right w:val="single" w:sz="4" w:space="0" w:color="auto"/>
            </w:tcBorders>
            <w:vAlign w:val="center"/>
            <w:hideMark/>
          </w:tcPr>
          <w:p w14:paraId="6396AC2A" w14:textId="77777777" w:rsidR="009800C7" w:rsidRPr="001D6D10" w:rsidRDefault="009800C7" w:rsidP="002264AA">
            <w:pPr>
              <w:spacing w:line="120" w:lineRule="exact"/>
              <w:rPr>
                <w:rFonts w:ascii="ＭＳ 明朝"/>
                <w:sz w:val="12"/>
                <w:szCs w:val="12"/>
              </w:rPr>
            </w:pPr>
            <w:r w:rsidRPr="001D6D10">
              <w:rPr>
                <w:rFonts w:ascii="ＭＳ 明朝" w:hAnsi="ＭＳ 明朝" w:hint="eastAsia"/>
                <w:sz w:val="12"/>
                <w:szCs w:val="12"/>
              </w:rPr>
              <w:t>日本通運株式会社（大阪支店）</w:t>
            </w:r>
          </w:p>
        </w:tc>
        <w:tc>
          <w:tcPr>
            <w:tcW w:w="4549" w:type="dxa"/>
            <w:tcBorders>
              <w:top w:val="single" w:sz="4" w:space="0" w:color="auto"/>
              <w:left w:val="single" w:sz="4" w:space="0" w:color="auto"/>
              <w:bottom w:val="single" w:sz="4" w:space="0" w:color="auto"/>
              <w:right w:val="single" w:sz="4" w:space="0" w:color="auto"/>
            </w:tcBorders>
            <w:vAlign w:val="center"/>
            <w:hideMark/>
          </w:tcPr>
          <w:p w14:paraId="2657AEF6" w14:textId="77777777" w:rsidR="009800C7" w:rsidRPr="001D6D10" w:rsidRDefault="009800C7" w:rsidP="002264AA">
            <w:pPr>
              <w:spacing w:line="120" w:lineRule="exact"/>
              <w:rPr>
                <w:rFonts w:ascii="ＭＳ 明朝"/>
                <w:sz w:val="12"/>
                <w:szCs w:val="12"/>
              </w:rPr>
            </w:pPr>
            <w:r w:rsidRPr="001D6D10">
              <w:rPr>
                <w:rFonts w:ascii="ＭＳ 明朝" w:hAnsi="ＭＳ 明朝" w:hint="eastAsia"/>
                <w:sz w:val="12"/>
                <w:szCs w:val="12"/>
              </w:rPr>
              <w:t>部長</w:t>
            </w:r>
          </w:p>
        </w:tc>
      </w:tr>
      <w:tr w:rsidR="001D6D10" w:rsidRPr="001D6D10" w14:paraId="60AEE5D8" w14:textId="77777777" w:rsidTr="002365BE">
        <w:trPr>
          <w:trHeight w:hRule="exact" w:val="142"/>
        </w:trPr>
        <w:tc>
          <w:tcPr>
            <w:tcW w:w="536" w:type="dxa"/>
            <w:vMerge/>
            <w:tcBorders>
              <w:left w:val="single" w:sz="4" w:space="0" w:color="auto"/>
              <w:right w:val="single" w:sz="4" w:space="0" w:color="auto"/>
            </w:tcBorders>
            <w:vAlign w:val="center"/>
            <w:hideMark/>
          </w:tcPr>
          <w:p w14:paraId="021B0448" w14:textId="77777777" w:rsidR="009800C7" w:rsidRPr="001D6D10" w:rsidRDefault="009800C7" w:rsidP="002264AA">
            <w:pPr>
              <w:widowControl/>
              <w:jc w:val="left"/>
              <w:rPr>
                <w:rFonts w:ascii="ＭＳ 明朝"/>
                <w:sz w:val="12"/>
                <w:szCs w:val="12"/>
              </w:rPr>
            </w:pPr>
          </w:p>
        </w:tc>
        <w:tc>
          <w:tcPr>
            <w:tcW w:w="3415" w:type="dxa"/>
            <w:tcBorders>
              <w:top w:val="single" w:sz="4" w:space="0" w:color="auto"/>
              <w:left w:val="single" w:sz="4" w:space="0" w:color="auto"/>
              <w:bottom w:val="single" w:sz="4" w:space="0" w:color="auto"/>
              <w:right w:val="single" w:sz="4" w:space="0" w:color="auto"/>
            </w:tcBorders>
            <w:vAlign w:val="center"/>
            <w:hideMark/>
          </w:tcPr>
          <w:p w14:paraId="617FDE99" w14:textId="77777777" w:rsidR="009800C7" w:rsidRPr="001D6D10" w:rsidRDefault="009800C7" w:rsidP="002264AA">
            <w:pPr>
              <w:spacing w:line="120" w:lineRule="exact"/>
              <w:rPr>
                <w:rFonts w:ascii="ＭＳ 明朝"/>
                <w:sz w:val="12"/>
                <w:szCs w:val="12"/>
              </w:rPr>
            </w:pPr>
            <w:r w:rsidRPr="001D6D10">
              <w:rPr>
                <w:rFonts w:ascii="ＭＳ 明朝" w:hAnsi="ＭＳ 明朝" w:hint="eastAsia"/>
                <w:sz w:val="12"/>
                <w:szCs w:val="12"/>
              </w:rPr>
              <w:t>関西電力送配電株式会社</w:t>
            </w:r>
          </w:p>
        </w:tc>
        <w:tc>
          <w:tcPr>
            <w:tcW w:w="4549" w:type="dxa"/>
            <w:tcBorders>
              <w:top w:val="single" w:sz="4" w:space="0" w:color="auto"/>
              <w:left w:val="single" w:sz="4" w:space="0" w:color="auto"/>
              <w:bottom w:val="single" w:sz="4" w:space="0" w:color="auto"/>
              <w:right w:val="single" w:sz="4" w:space="0" w:color="auto"/>
            </w:tcBorders>
            <w:vAlign w:val="center"/>
            <w:hideMark/>
          </w:tcPr>
          <w:p w14:paraId="018B8661" w14:textId="77777777" w:rsidR="009800C7" w:rsidRPr="001D6D10" w:rsidRDefault="009800C7" w:rsidP="002264AA">
            <w:pPr>
              <w:spacing w:line="120" w:lineRule="exact"/>
              <w:rPr>
                <w:rFonts w:ascii="ＭＳ 明朝"/>
                <w:sz w:val="12"/>
                <w:szCs w:val="12"/>
              </w:rPr>
            </w:pPr>
            <w:r w:rsidRPr="001D6D10">
              <w:rPr>
                <w:rFonts w:ascii="ＭＳ 明朝" w:hAnsi="ＭＳ 明朝" w:hint="eastAsia"/>
                <w:sz w:val="12"/>
                <w:szCs w:val="12"/>
              </w:rPr>
              <w:t>地域コミュニケーション部長</w:t>
            </w:r>
          </w:p>
        </w:tc>
      </w:tr>
      <w:tr w:rsidR="001D6D10" w:rsidRPr="001D6D10" w14:paraId="03302964" w14:textId="77777777" w:rsidTr="002365BE">
        <w:trPr>
          <w:trHeight w:hRule="exact" w:val="147"/>
        </w:trPr>
        <w:tc>
          <w:tcPr>
            <w:tcW w:w="536" w:type="dxa"/>
            <w:vMerge/>
            <w:tcBorders>
              <w:left w:val="single" w:sz="4" w:space="0" w:color="auto"/>
              <w:right w:val="single" w:sz="4" w:space="0" w:color="auto"/>
            </w:tcBorders>
            <w:vAlign w:val="center"/>
            <w:hideMark/>
          </w:tcPr>
          <w:p w14:paraId="30B46890" w14:textId="77777777" w:rsidR="009800C7" w:rsidRPr="001D6D10" w:rsidRDefault="009800C7" w:rsidP="002264AA">
            <w:pPr>
              <w:widowControl/>
              <w:jc w:val="left"/>
              <w:rPr>
                <w:rFonts w:ascii="ＭＳ 明朝"/>
                <w:sz w:val="12"/>
                <w:szCs w:val="12"/>
              </w:rPr>
            </w:pPr>
          </w:p>
        </w:tc>
        <w:tc>
          <w:tcPr>
            <w:tcW w:w="3415" w:type="dxa"/>
            <w:tcBorders>
              <w:top w:val="single" w:sz="4" w:space="0" w:color="auto"/>
              <w:left w:val="single" w:sz="4" w:space="0" w:color="auto"/>
              <w:bottom w:val="single" w:sz="4" w:space="0" w:color="auto"/>
              <w:right w:val="single" w:sz="4" w:space="0" w:color="auto"/>
            </w:tcBorders>
            <w:vAlign w:val="center"/>
            <w:hideMark/>
          </w:tcPr>
          <w:p w14:paraId="141C1A22" w14:textId="77777777" w:rsidR="009800C7" w:rsidRPr="001D6D10" w:rsidRDefault="009800C7" w:rsidP="002264AA">
            <w:pPr>
              <w:spacing w:line="120" w:lineRule="exact"/>
              <w:rPr>
                <w:rFonts w:ascii="ＭＳ 明朝"/>
                <w:sz w:val="12"/>
                <w:szCs w:val="12"/>
              </w:rPr>
            </w:pPr>
            <w:r w:rsidRPr="001D6D10">
              <w:rPr>
                <w:rFonts w:ascii="ＭＳ 明朝" w:hAnsi="ＭＳ 明朝" w:hint="eastAsia"/>
                <w:sz w:val="12"/>
                <w:szCs w:val="12"/>
              </w:rPr>
              <w:t>ＫＤＤＩ株式会社（関西総支社）</w:t>
            </w:r>
          </w:p>
        </w:tc>
        <w:tc>
          <w:tcPr>
            <w:tcW w:w="4549" w:type="dxa"/>
            <w:tcBorders>
              <w:top w:val="single" w:sz="4" w:space="0" w:color="auto"/>
              <w:left w:val="single" w:sz="4" w:space="0" w:color="auto"/>
              <w:bottom w:val="single" w:sz="4" w:space="0" w:color="auto"/>
              <w:right w:val="single" w:sz="4" w:space="0" w:color="auto"/>
            </w:tcBorders>
            <w:vAlign w:val="center"/>
            <w:hideMark/>
          </w:tcPr>
          <w:p w14:paraId="15233836" w14:textId="77777777" w:rsidR="009800C7" w:rsidRPr="001D6D10" w:rsidRDefault="009800C7" w:rsidP="002264AA">
            <w:pPr>
              <w:spacing w:line="120" w:lineRule="exact"/>
              <w:rPr>
                <w:rFonts w:ascii="ＭＳ 明朝"/>
                <w:sz w:val="12"/>
                <w:szCs w:val="12"/>
              </w:rPr>
            </w:pPr>
            <w:r w:rsidRPr="001D6D10">
              <w:rPr>
                <w:rFonts w:ascii="ＭＳ 明朝" w:hAnsi="ＭＳ 明朝" w:hint="eastAsia"/>
                <w:sz w:val="12"/>
                <w:szCs w:val="12"/>
              </w:rPr>
              <w:t>関西総支社管理部長</w:t>
            </w:r>
          </w:p>
        </w:tc>
      </w:tr>
      <w:tr w:rsidR="001D6D10" w:rsidRPr="001D6D10" w14:paraId="77F8C095" w14:textId="77777777" w:rsidTr="002264AA">
        <w:trPr>
          <w:trHeight w:hRule="exact" w:val="168"/>
        </w:trPr>
        <w:tc>
          <w:tcPr>
            <w:tcW w:w="536" w:type="dxa"/>
            <w:vMerge/>
            <w:tcBorders>
              <w:left w:val="single" w:sz="4" w:space="0" w:color="auto"/>
              <w:right w:val="single" w:sz="4" w:space="0" w:color="auto"/>
            </w:tcBorders>
            <w:vAlign w:val="center"/>
            <w:hideMark/>
          </w:tcPr>
          <w:p w14:paraId="69B09686" w14:textId="77777777" w:rsidR="009800C7" w:rsidRPr="001D6D10" w:rsidRDefault="009800C7" w:rsidP="002264AA">
            <w:pPr>
              <w:widowControl/>
              <w:jc w:val="left"/>
              <w:rPr>
                <w:rFonts w:ascii="ＭＳ 明朝"/>
                <w:sz w:val="12"/>
                <w:szCs w:val="12"/>
              </w:rPr>
            </w:pPr>
          </w:p>
        </w:tc>
        <w:tc>
          <w:tcPr>
            <w:tcW w:w="3415" w:type="dxa"/>
            <w:tcBorders>
              <w:top w:val="single" w:sz="4" w:space="0" w:color="auto"/>
              <w:left w:val="single" w:sz="4" w:space="0" w:color="auto"/>
              <w:bottom w:val="single" w:sz="4" w:space="0" w:color="auto"/>
              <w:right w:val="single" w:sz="4" w:space="0" w:color="auto"/>
            </w:tcBorders>
            <w:vAlign w:val="center"/>
            <w:hideMark/>
          </w:tcPr>
          <w:p w14:paraId="368B9189" w14:textId="77777777" w:rsidR="009800C7" w:rsidRPr="001D6D10" w:rsidRDefault="009800C7" w:rsidP="002264AA">
            <w:pPr>
              <w:spacing w:line="120" w:lineRule="exact"/>
              <w:rPr>
                <w:rFonts w:ascii="ＭＳ 明朝"/>
                <w:sz w:val="12"/>
                <w:szCs w:val="12"/>
              </w:rPr>
            </w:pPr>
            <w:r w:rsidRPr="001D6D10">
              <w:rPr>
                <w:rFonts w:ascii="ＭＳ 明朝" w:hAnsi="ＭＳ 明朝" w:hint="eastAsia"/>
                <w:sz w:val="12"/>
                <w:szCs w:val="12"/>
              </w:rPr>
              <w:t>大阪府土地改良事業団体連合会</w:t>
            </w:r>
          </w:p>
        </w:tc>
        <w:tc>
          <w:tcPr>
            <w:tcW w:w="4549" w:type="dxa"/>
            <w:tcBorders>
              <w:top w:val="single" w:sz="4" w:space="0" w:color="auto"/>
              <w:left w:val="single" w:sz="4" w:space="0" w:color="auto"/>
              <w:bottom w:val="single" w:sz="4" w:space="0" w:color="auto"/>
              <w:right w:val="single" w:sz="4" w:space="0" w:color="auto"/>
            </w:tcBorders>
            <w:vAlign w:val="center"/>
            <w:hideMark/>
          </w:tcPr>
          <w:p w14:paraId="235B131B" w14:textId="77777777" w:rsidR="009800C7" w:rsidRPr="001D6D10" w:rsidRDefault="009800C7" w:rsidP="002264AA">
            <w:pPr>
              <w:spacing w:line="120" w:lineRule="exact"/>
              <w:rPr>
                <w:rFonts w:ascii="ＭＳ 明朝"/>
                <w:sz w:val="12"/>
                <w:szCs w:val="12"/>
              </w:rPr>
            </w:pPr>
            <w:r w:rsidRPr="001D6D10">
              <w:rPr>
                <w:rFonts w:ascii="ＭＳ 明朝" w:hAnsi="ＭＳ 明朝" w:hint="eastAsia"/>
                <w:sz w:val="12"/>
                <w:szCs w:val="12"/>
              </w:rPr>
              <w:t>会長</w:t>
            </w:r>
          </w:p>
        </w:tc>
      </w:tr>
      <w:tr w:rsidR="001D6D10" w:rsidRPr="001D6D10" w14:paraId="67A923B4" w14:textId="77777777" w:rsidTr="002264AA">
        <w:trPr>
          <w:trHeight w:hRule="exact" w:val="168"/>
        </w:trPr>
        <w:tc>
          <w:tcPr>
            <w:tcW w:w="536" w:type="dxa"/>
            <w:vMerge/>
            <w:tcBorders>
              <w:left w:val="single" w:sz="4" w:space="0" w:color="auto"/>
              <w:right w:val="single" w:sz="4" w:space="0" w:color="auto"/>
            </w:tcBorders>
            <w:vAlign w:val="center"/>
            <w:hideMark/>
          </w:tcPr>
          <w:p w14:paraId="1D0102CD" w14:textId="77777777" w:rsidR="009800C7" w:rsidRPr="001D6D10" w:rsidRDefault="009800C7" w:rsidP="002264AA">
            <w:pPr>
              <w:widowControl/>
              <w:jc w:val="left"/>
              <w:rPr>
                <w:rFonts w:ascii="ＭＳ 明朝"/>
                <w:sz w:val="12"/>
                <w:szCs w:val="12"/>
              </w:rPr>
            </w:pPr>
          </w:p>
        </w:tc>
        <w:tc>
          <w:tcPr>
            <w:tcW w:w="3415" w:type="dxa"/>
            <w:tcBorders>
              <w:top w:val="single" w:sz="4" w:space="0" w:color="auto"/>
              <w:left w:val="single" w:sz="4" w:space="0" w:color="auto"/>
              <w:bottom w:val="single" w:sz="4" w:space="0" w:color="auto"/>
              <w:right w:val="single" w:sz="4" w:space="0" w:color="auto"/>
            </w:tcBorders>
            <w:vAlign w:val="center"/>
            <w:hideMark/>
          </w:tcPr>
          <w:p w14:paraId="4AD530E3" w14:textId="77777777" w:rsidR="009800C7" w:rsidRPr="001D6D10" w:rsidRDefault="009800C7" w:rsidP="002264AA">
            <w:pPr>
              <w:spacing w:line="120" w:lineRule="exact"/>
              <w:rPr>
                <w:rFonts w:ascii="ＭＳ 明朝"/>
                <w:sz w:val="12"/>
                <w:szCs w:val="12"/>
              </w:rPr>
            </w:pPr>
            <w:r w:rsidRPr="001D6D10">
              <w:rPr>
                <w:rFonts w:ascii="ＭＳ 明朝" w:hAnsi="ＭＳ 明朝" w:hint="eastAsia"/>
                <w:sz w:val="12"/>
                <w:szCs w:val="12"/>
              </w:rPr>
              <w:t>関西鉄道協会</w:t>
            </w:r>
          </w:p>
        </w:tc>
        <w:tc>
          <w:tcPr>
            <w:tcW w:w="4549" w:type="dxa"/>
            <w:tcBorders>
              <w:top w:val="single" w:sz="4" w:space="0" w:color="auto"/>
              <w:left w:val="single" w:sz="4" w:space="0" w:color="auto"/>
              <w:bottom w:val="single" w:sz="4" w:space="0" w:color="auto"/>
              <w:right w:val="single" w:sz="4" w:space="0" w:color="auto"/>
            </w:tcBorders>
            <w:vAlign w:val="center"/>
            <w:hideMark/>
          </w:tcPr>
          <w:p w14:paraId="6FC15A11" w14:textId="77777777" w:rsidR="009800C7" w:rsidRPr="001D6D10" w:rsidRDefault="009800C7" w:rsidP="002264AA">
            <w:pPr>
              <w:spacing w:line="120" w:lineRule="exact"/>
              <w:rPr>
                <w:rFonts w:ascii="ＭＳ 明朝"/>
                <w:sz w:val="12"/>
                <w:szCs w:val="12"/>
              </w:rPr>
            </w:pPr>
            <w:r w:rsidRPr="001D6D10">
              <w:rPr>
                <w:rFonts w:ascii="ＭＳ 明朝" w:hAnsi="ＭＳ 明朝" w:hint="eastAsia"/>
                <w:sz w:val="12"/>
                <w:szCs w:val="12"/>
              </w:rPr>
              <w:t>専務理事</w:t>
            </w:r>
          </w:p>
        </w:tc>
      </w:tr>
      <w:tr w:rsidR="001D6D10" w:rsidRPr="001D6D10" w14:paraId="39DA13BB" w14:textId="77777777" w:rsidTr="002264AA">
        <w:trPr>
          <w:trHeight w:hRule="exact" w:val="168"/>
        </w:trPr>
        <w:tc>
          <w:tcPr>
            <w:tcW w:w="536" w:type="dxa"/>
            <w:vMerge/>
            <w:tcBorders>
              <w:left w:val="single" w:sz="4" w:space="0" w:color="auto"/>
              <w:right w:val="single" w:sz="4" w:space="0" w:color="auto"/>
            </w:tcBorders>
            <w:vAlign w:val="center"/>
            <w:hideMark/>
          </w:tcPr>
          <w:p w14:paraId="5ECB8F06" w14:textId="77777777" w:rsidR="009800C7" w:rsidRPr="001D6D10" w:rsidRDefault="009800C7" w:rsidP="002264AA">
            <w:pPr>
              <w:widowControl/>
              <w:jc w:val="left"/>
              <w:rPr>
                <w:rFonts w:ascii="ＭＳ 明朝"/>
                <w:sz w:val="12"/>
                <w:szCs w:val="12"/>
              </w:rPr>
            </w:pPr>
          </w:p>
        </w:tc>
        <w:tc>
          <w:tcPr>
            <w:tcW w:w="3415" w:type="dxa"/>
            <w:tcBorders>
              <w:top w:val="single" w:sz="4" w:space="0" w:color="auto"/>
              <w:left w:val="single" w:sz="4" w:space="0" w:color="auto"/>
              <w:bottom w:val="single" w:sz="4" w:space="0" w:color="auto"/>
              <w:right w:val="single" w:sz="4" w:space="0" w:color="auto"/>
            </w:tcBorders>
            <w:vAlign w:val="center"/>
            <w:hideMark/>
          </w:tcPr>
          <w:p w14:paraId="423AC2D4" w14:textId="77777777" w:rsidR="009800C7" w:rsidRPr="001D6D10" w:rsidRDefault="009800C7" w:rsidP="002264AA">
            <w:pPr>
              <w:spacing w:line="120" w:lineRule="exact"/>
              <w:rPr>
                <w:rFonts w:ascii="ＭＳ 明朝"/>
                <w:sz w:val="12"/>
                <w:szCs w:val="12"/>
              </w:rPr>
            </w:pPr>
            <w:r w:rsidRPr="001D6D10">
              <w:rPr>
                <w:rFonts w:ascii="ＭＳ 明朝" w:hAnsi="ＭＳ 明朝" w:hint="eastAsia"/>
                <w:sz w:val="12"/>
                <w:szCs w:val="12"/>
              </w:rPr>
              <w:t>一般社団法人大阪府医師会</w:t>
            </w:r>
          </w:p>
        </w:tc>
        <w:tc>
          <w:tcPr>
            <w:tcW w:w="4549" w:type="dxa"/>
            <w:tcBorders>
              <w:top w:val="single" w:sz="4" w:space="0" w:color="auto"/>
              <w:left w:val="single" w:sz="4" w:space="0" w:color="auto"/>
              <w:bottom w:val="single" w:sz="4" w:space="0" w:color="auto"/>
              <w:right w:val="single" w:sz="4" w:space="0" w:color="auto"/>
            </w:tcBorders>
            <w:vAlign w:val="center"/>
            <w:hideMark/>
          </w:tcPr>
          <w:p w14:paraId="63511D33" w14:textId="77777777" w:rsidR="009800C7" w:rsidRPr="001D6D10" w:rsidRDefault="009800C7" w:rsidP="002264AA">
            <w:pPr>
              <w:spacing w:line="120" w:lineRule="exact"/>
              <w:rPr>
                <w:rFonts w:ascii="ＭＳ 明朝"/>
                <w:sz w:val="12"/>
                <w:szCs w:val="12"/>
              </w:rPr>
            </w:pPr>
            <w:r w:rsidRPr="001D6D10">
              <w:rPr>
                <w:rFonts w:ascii="ＭＳ 明朝" w:hAnsi="ＭＳ 明朝" w:hint="eastAsia"/>
                <w:sz w:val="12"/>
                <w:szCs w:val="12"/>
              </w:rPr>
              <w:t>会長</w:t>
            </w:r>
          </w:p>
        </w:tc>
      </w:tr>
      <w:tr w:rsidR="001D6D10" w:rsidRPr="001D6D10" w14:paraId="44BBB411" w14:textId="77777777" w:rsidTr="002264AA">
        <w:trPr>
          <w:trHeight w:hRule="exact" w:val="168"/>
        </w:trPr>
        <w:tc>
          <w:tcPr>
            <w:tcW w:w="536" w:type="dxa"/>
            <w:vMerge/>
            <w:tcBorders>
              <w:left w:val="single" w:sz="4" w:space="0" w:color="auto"/>
              <w:right w:val="single" w:sz="4" w:space="0" w:color="auto"/>
            </w:tcBorders>
            <w:vAlign w:val="center"/>
            <w:hideMark/>
          </w:tcPr>
          <w:p w14:paraId="7E33BD7A" w14:textId="77777777" w:rsidR="009800C7" w:rsidRPr="001D6D10" w:rsidRDefault="009800C7" w:rsidP="002264AA">
            <w:pPr>
              <w:widowControl/>
              <w:jc w:val="left"/>
              <w:rPr>
                <w:rFonts w:ascii="ＭＳ 明朝"/>
                <w:sz w:val="12"/>
                <w:szCs w:val="12"/>
              </w:rPr>
            </w:pPr>
          </w:p>
        </w:tc>
        <w:tc>
          <w:tcPr>
            <w:tcW w:w="3415" w:type="dxa"/>
            <w:tcBorders>
              <w:top w:val="single" w:sz="4" w:space="0" w:color="auto"/>
              <w:left w:val="single" w:sz="4" w:space="0" w:color="auto"/>
              <w:bottom w:val="single" w:sz="4" w:space="0" w:color="auto"/>
              <w:right w:val="single" w:sz="4" w:space="0" w:color="auto"/>
            </w:tcBorders>
            <w:vAlign w:val="center"/>
            <w:hideMark/>
          </w:tcPr>
          <w:p w14:paraId="21F8FBA4" w14:textId="77777777" w:rsidR="009800C7" w:rsidRPr="001D6D10" w:rsidRDefault="009800C7" w:rsidP="002264AA">
            <w:pPr>
              <w:spacing w:line="120" w:lineRule="exact"/>
              <w:rPr>
                <w:rFonts w:ascii="ＭＳ 明朝"/>
                <w:sz w:val="12"/>
                <w:szCs w:val="12"/>
              </w:rPr>
            </w:pPr>
            <w:r w:rsidRPr="001D6D10">
              <w:rPr>
                <w:rFonts w:ascii="ＭＳ 明朝" w:hAnsi="ＭＳ 明朝" w:hint="eastAsia"/>
                <w:sz w:val="12"/>
                <w:szCs w:val="12"/>
              </w:rPr>
              <w:t>一般社団法人大阪府歯科医師会</w:t>
            </w:r>
          </w:p>
        </w:tc>
        <w:tc>
          <w:tcPr>
            <w:tcW w:w="4549" w:type="dxa"/>
            <w:tcBorders>
              <w:top w:val="single" w:sz="4" w:space="0" w:color="auto"/>
              <w:left w:val="single" w:sz="4" w:space="0" w:color="auto"/>
              <w:bottom w:val="single" w:sz="4" w:space="0" w:color="auto"/>
              <w:right w:val="single" w:sz="4" w:space="0" w:color="auto"/>
            </w:tcBorders>
            <w:vAlign w:val="center"/>
            <w:hideMark/>
          </w:tcPr>
          <w:p w14:paraId="67DA820A" w14:textId="77777777" w:rsidR="009800C7" w:rsidRPr="001D6D10" w:rsidRDefault="009800C7" w:rsidP="002264AA">
            <w:pPr>
              <w:spacing w:line="120" w:lineRule="exact"/>
              <w:rPr>
                <w:rFonts w:ascii="ＭＳ 明朝"/>
                <w:sz w:val="12"/>
                <w:szCs w:val="12"/>
              </w:rPr>
            </w:pPr>
            <w:r w:rsidRPr="001D6D10">
              <w:rPr>
                <w:rFonts w:ascii="ＭＳ 明朝" w:hAnsi="ＭＳ 明朝" w:hint="eastAsia"/>
                <w:sz w:val="12"/>
                <w:szCs w:val="12"/>
              </w:rPr>
              <w:t>会長</w:t>
            </w:r>
          </w:p>
        </w:tc>
      </w:tr>
      <w:tr w:rsidR="001D6D10" w:rsidRPr="001D6D10" w14:paraId="7CBB58FE" w14:textId="77777777" w:rsidTr="002264AA">
        <w:trPr>
          <w:trHeight w:hRule="exact" w:val="168"/>
        </w:trPr>
        <w:tc>
          <w:tcPr>
            <w:tcW w:w="536" w:type="dxa"/>
            <w:vMerge/>
            <w:tcBorders>
              <w:left w:val="single" w:sz="4" w:space="0" w:color="auto"/>
              <w:right w:val="single" w:sz="4" w:space="0" w:color="auto"/>
            </w:tcBorders>
            <w:vAlign w:val="center"/>
            <w:hideMark/>
          </w:tcPr>
          <w:p w14:paraId="6FF7C25F" w14:textId="77777777" w:rsidR="009800C7" w:rsidRPr="001D6D10" w:rsidRDefault="009800C7" w:rsidP="002264AA">
            <w:pPr>
              <w:widowControl/>
              <w:jc w:val="left"/>
              <w:rPr>
                <w:rFonts w:ascii="ＭＳ 明朝"/>
                <w:sz w:val="12"/>
                <w:szCs w:val="12"/>
              </w:rPr>
            </w:pPr>
          </w:p>
        </w:tc>
        <w:tc>
          <w:tcPr>
            <w:tcW w:w="3415" w:type="dxa"/>
            <w:tcBorders>
              <w:top w:val="single" w:sz="4" w:space="0" w:color="auto"/>
              <w:left w:val="single" w:sz="4" w:space="0" w:color="auto"/>
              <w:bottom w:val="single" w:sz="4" w:space="0" w:color="auto"/>
              <w:right w:val="single" w:sz="4" w:space="0" w:color="auto"/>
            </w:tcBorders>
            <w:vAlign w:val="center"/>
            <w:hideMark/>
          </w:tcPr>
          <w:p w14:paraId="0EE89A52" w14:textId="77777777" w:rsidR="009800C7" w:rsidRPr="001D6D10" w:rsidRDefault="009800C7" w:rsidP="002264AA">
            <w:pPr>
              <w:spacing w:line="120" w:lineRule="exact"/>
              <w:rPr>
                <w:rFonts w:ascii="ＭＳ 明朝"/>
                <w:sz w:val="12"/>
                <w:szCs w:val="12"/>
              </w:rPr>
            </w:pPr>
            <w:r w:rsidRPr="001D6D10">
              <w:rPr>
                <w:rFonts w:ascii="ＭＳ 明朝" w:hAnsi="ＭＳ 明朝" w:hint="eastAsia"/>
                <w:sz w:val="12"/>
                <w:szCs w:val="12"/>
              </w:rPr>
              <w:t>一般社団法人大阪府薬剤師会</w:t>
            </w:r>
          </w:p>
        </w:tc>
        <w:tc>
          <w:tcPr>
            <w:tcW w:w="4549" w:type="dxa"/>
            <w:tcBorders>
              <w:top w:val="single" w:sz="4" w:space="0" w:color="auto"/>
              <w:left w:val="single" w:sz="4" w:space="0" w:color="auto"/>
              <w:bottom w:val="single" w:sz="4" w:space="0" w:color="auto"/>
              <w:right w:val="single" w:sz="4" w:space="0" w:color="auto"/>
            </w:tcBorders>
            <w:vAlign w:val="center"/>
            <w:hideMark/>
          </w:tcPr>
          <w:p w14:paraId="0C74ED2C" w14:textId="77777777" w:rsidR="009800C7" w:rsidRPr="001D6D10" w:rsidRDefault="009800C7" w:rsidP="002264AA">
            <w:pPr>
              <w:spacing w:line="120" w:lineRule="exact"/>
              <w:rPr>
                <w:rFonts w:ascii="ＭＳ 明朝"/>
                <w:sz w:val="12"/>
                <w:szCs w:val="12"/>
              </w:rPr>
            </w:pPr>
            <w:r w:rsidRPr="001D6D10">
              <w:rPr>
                <w:rFonts w:ascii="ＭＳ 明朝" w:hAnsi="ＭＳ 明朝" w:hint="eastAsia"/>
                <w:sz w:val="12"/>
                <w:szCs w:val="12"/>
              </w:rPr>
              <w:t>会長</w:t>
            </w:r>
          </w:p>
        </w:tc>
      </w:tr>
      <w:tr w:rsidR="001D6D10" w:rsidRPr="001D6D10" w14:paraId="2CA27F78" w14:textId="77777777" w:rsidTr="002264AA">
        <w:trPr>
          <w:trHeight w:hRule="exact" w:val="168"/>
        </w:trPr>
        <w:tc>
          <w:tcPr>
            <w:tcW w:w="536" w:type="dxa"/>
            <w:vMerge/>
            <w:tcBorders>
              <w:left w:val="single" w:sz="4" w:space="0" w:color="auto"/>
              <w:right w:val="single" w:sz="4" w:space="0" w:color="auto"/>
            </w:tcBorders>
            <w:vAlign w:val="center"/>
            <w:hideMark/>
          </w:tcPr>
          <w:p w14:paraId="3A520854" w14:textId="77777777" w:rsidR="009800C7" w:rsidRPr="001D6D10" w:rsidRDefault="009800C7" w:rsidP="002264AA">
            <w:pPr>
              <w:widowControl/>
              <w:jc w:val="left"/>
              <w:rPr>
                <w:rFonts w:ascii="ＭＳ 明朝"/>
                <w:sz w:val="12"/>
                <w:szCs w:val="12"/>
              </w:rPr>
            </w:pPr>
          </w:p>
        </w:tc>
        <w:tc>
          <w:tcPr>
            <w:tcW w:w="3415" w:type="dxa"/>
            <w:tcBorders>
              <w:top w:val="single" w:sz="4" w:space="0" w:color="auto"/>
              <w:left w:val="single" w:sz="4" w:space="0" w:color="auto"/>
              <w:bottom w:val="single" w:sz="4" w:space="0" w:color="auto"/>
              <w:right w:val="single" w:sz="4" w:space="0" w:color="auto"/>
            </w:tcBorders>
            <w:vAlign w:val="center"/>
            <w:hideMark/>
          </w:tcPr>
          <w:p w14:paraId="78164253" w14:textId="77777777" w:rsidR="009800C7" w:rsidRPr="001D6D10" w:rsidRDefault="009800C7" w:rsidP="002264AA">
            <w:pPr>
              <w:spacing w:line="120" w:lineRule="exact"/>
              <w:rPr>
                <w:rFonts w:ascii="ＭＳ 明朝"/>
                <w:sz w:val="12"/>
                <w:szCs w:val="12"/>
              </w:rPr>
            </w:pPr>
            <w:r w:rsidRPr="001D6D10">
              <w:rPr>
                <w:rFonts w:ascii="ＭＳ 明朝" w:hAnsi="ＭＳ 明朝" w:hint="eastAsia"/>
                <w:sz w:val="12"/>
                <w:szCs w:val="12"/>
              </w:rPr>
              <w:t>公益財団法人大阪府消防協会</w:t>
            </w:r>
          </w:p>
        </w:tc>
        <w:tc>
          <w:tcPr>
            <w:tcW w:w="4549" w:type="dxa"/>
            <w:tcBorders>
              <w:top w:val="single" w:sz="4" w:space="0" w:color="auto"/>
              <w:left w:val="single" w:sz="4" w:space="0" w:color="auto"/>
              <w:bottom w:val="single" w:sz="4" w:space="0" w:color="auto"/>
              <w:right w:val="single" w:sz="4" w:space="0" w:color="auto"/>
            </w:tcBorders>
            <w:vAlign w:val="center"/>
            <w:hideMark/>
          </w:tcPr>
          <w:p w14:paraId="08FB52C2" w14:textId="77777777" w:rsidR="009800C7" w:rsidRPr="001D6D10" w:rsidRDefault="009800C7" w:rsidP="002264AA">
            <w:pPr>
              <w:spacing w:line="120" w:lineRule="exact"/>
              <w:rPr>
                <w:rFonts w:ascii="ＭＳ 明朝"/>
                <w:sz w:val="12"/>
                <w:szCs w:val="12"/>
              </w:rPr>
            </w:pPr>
            <w:r w:rsidRPr="001D6D10">
              <w:rPr>
                <w:rFonts w:ascii="ＭＳ 明朝" w:hAnsi="ＭＳ 明朝" w:hint="eastAsia"/>
                <w:sz w:val="12"/>
                <w:szCs w:val="12"/>
              </w:rPr>
              <w:t>会長</w:t>
            </w:r>
          </w:p>
        </w:tc>
      </w:tr>
      <w:tr w:rsidR="001D6D10" w:rsidRPr="001D6D10" w14:paraId="1F40CB98" w14:textId="77777777" w:rsidTr="002264AA">
        <w:trPr>
          <w:trHeight w:hRule="exact" w:val="168"/>
        </w:trPr>
        <w:tc>
          <w:tcPr>
            <w:tcW w:w="536" w:type="dxa"/>
            <w:vMerge/>
            <w:tcBorders>
              <w:left w:val="single" w:sz="4" w:space="0" w:color="auto"/>
              <w:right w:val="single" w:sz="4" w:space="0" w:color="auto"/>
            </w:tcBorders>
            <w:vAlign w:val="center"/>
            <w:hideMark/>
          </w:tcPr>
          <w:p w14:paraId="7100F1C3" w14:textId="77777777" w:rsidR="009800C7" w:rsidRPr="001D6D10" w:rsidRDefault="009800C7" w:rsidP="002264AA">
            <w:pPr>
              <w:widowControl/>
              <w:jc w:val="left"/>
              <w:rPr>
                <w:rFonts w:ascii="ＭＳ 明朝"/>
                <w:sz w:val="12"/>
                <w:szCs w:val="12"/>
              </w:rPr>
            </w:pPr>
          </w:p>
        </w:tc>
        <w:tc>
          <w:tcPr>
            <w:tcW w:w="3415" w:type="dxa"/>
            <w:tcBorders>
              <w:top w:val="single" w:sz="4" w:space="0" w:color="auto"/>
              <w:left w:val="single" w:sz="4" w:space="0" w:color="auto"/>
              <w:bottom w:val="single" w:sz="4" w:space="0" w:color="auto"/>
              <w:right w:val="single" w:sz="4" w:space="0" w:color="auto"/>
            </w:tcBorders>
            <w:vAlign w:val="center"/>
            <w:hideMark/>
          </w:tcPr>
          <w:p w14:paraId="4C47B781" w14:textId="4717744B" w:rsidR="009800C7" w:rsidRPr="001D6D10" w:rsidRDefault="00A70E18" w:rsidP="002264AA">
            <w:pPr>
              <w:spacing w:line="120" w:lineRule="exact"/>
              <w:rPr>
                <w:rFonts w:ascii="ＭＳ 明朝"/>
                <w:sz w:val="12"/>
                <w:szCs w:val="12"/>
              </w:rPr>
            </w:pPr>
            <w:r w:rsidRPr="001D6D10">
              <w:rPr>
                <w:rFonts w:ascii="ＭＳ 明朝" w:hAnsi="ＭＳ 明朝" w:hint="eastAsia"/>
                <w:sz w:val="12"/>
                <w:szCs w:val="12"/>
              </w:rPr>
              <w:t>株式会社毎日放送</w:t>
            </w:r>
          </w:p>
        </w:tc>
        <w:tc>
          <w:tcPr>
            <w:tcW w:w="4549" w:type="dxa"/>
            <w:tcBorders>
              <w:top w:val="single" w:sz="4" w:space="0" w:color="auto"/>
              <w:left w:val="single" w:sz="4" w:space="0" w:color="auto"/>
              <w:bottom w:val="single" w:sz="4" w:space="0" w:color="auto"/>
              <w:right w:val="single" w:sz="4" w:space="0" w:color="auto"/>
            </w:tcBorders>
            <w:vAlign w:val="center"/>
            <w:hideMark/>
          </w:tcPr>
          <w:p w14:paraId="7657BED4" w14:textId="3E75BFE3" w:rsidR="009800C7" w:rsidRPr="001D6D10" w:rsidRDefault="00A70E18" w:rsidP="002264AA">
            <w:pPr>
              <w:spacing w:line="120" w:lineRule="exact"/>
              <w:rPr>
                <w:rFonts w:ascii="ＭＳ 明朝"/>
                <w:sz w:val="12"/>
                <w:szCs w:val="12"/>
              </w:rPr>
            </w:pPr>
            <w:r w:rsidRPr="001D6D10">
              <w:rPr>
                <w:rFonts w:ascii="ＭＳ 明朝" w:hAnsi="ＭＳ 明朝" w:hint="eastAsia"/>
                <w:sz w:val="12"/>
                <w:szCs w:val="12"/>
              </w:rPr>
              <w:t>報道情報局長</w:t>
            </w:r>
          </w:p>
        </w:tc>
      </w:tr>
      <w:tr w:rsidR="001D6D10" w:rsidRPr="001D6D10" w14:paraId="1A21F444" w14:textId="77777777" w:rsidTr="002264AA">
        <w:trPr>
          <w:trHeight w:hRule="exact" w:val="168"/>
        </w:trPr>
        <w:tc>
          <w:tcPr>
            <w:tcW w:w="536" w:type="dxa"/>
            <w:vMerge/>
            <w:tcBorders>
              <w:left w:val="single" w:sz="4" w:space="0" w:color="auto"/>
              <w:right w:val="single" w:sz="4" w:space="0" w:color="auto"/>
            </w:tcBorders>
            <w:vAlign w:val="center"/>
            <w:hideMark/>
          </w:tcPr>
          <w:p w14:paraId="13CF545F" w14:textId="77777777" w:rsidR="009800C7" w:rsidRPr="001D6D10" w:rsidRDefault="009800C7" w:rsidP="002264AA">
            <w:pPr>
              <w:widowControl/>
              <w:jc w:val="left"/>
              <w:rPr>
                <w:rFonts w:ascii="ＭＳ 明朝"/>
                <w:sz w:val="12"/>
                <w:szCs w:val="12"/>
              </w:rPr>
            </w:pPr>
          </w:p>
        </w:tc>
        <w:tc>
          <w:tcPr>
            <w:tcW w:w="3415" w:type="dxa"/>
            <w:tcBorders>
              <w:top w:val="single" w:sz="4" w:space="0" w:color="auto"/>
              <w:left w:val="single" w:sz="4" w:space="0" w:color="auto"/>
              <w:bottom w:val="single" w:sz="4" w:space="0" w:color="auto"/>
              <w:right w:val="single" w:sz="4" w:space="0" w:color="auto"/>
            </w:tcBorders>
            <w:vAlign w:val="center"/>
            <w:hideMark/>
          </w:tcPr>
          <w:p w14:paraId="13E4854D" w14:textId="2899453F" w:rsidR="009800C7" w:rsidRPr="001D6D10" w:rsidRDefault="00A70E18" w:rsidP="002264AA">
            <w:pPr>
              <w:spacing w:line="120" w:lineRule="exact"/>
              <w:rPr>
                <w:rFonts w:ascii="ＭＳ 明朝"/>
                <w:sz w:val="12"/>
                <w:szCs w:val="12"/>
              </w:rPr>
            </w:pPr>
            <w:r w:rsidRPr="001D6D10">
              <w:rPr>
                <w:rFonts w:ascii="ＭＳ 明朝" w:hAnsi="ＭＳ 明朝" w:hint="eastAsia"/>
                <w:sz w:val="12"/>
                <w:szCs w:val="12"/>
              </w:rPr>
              <w:t>朝日放送ラジオ株式会社</w:t>
            </w:r>
          </w:p>
        </w:tc>
        <w:tc>
          <w:tcPr>
            <w:tcW w:w="4549" w:type="dxa"/>
            <w:tcBorders>
              <w:top w:val="single" w:sz="4" w:space="0" w:color="auto"/>
              <w:left w:val="single" w:sz="4" w:space="0" w:color="auto"/>
              <w:bottom w:val="single" w:sz="4" w:space="0" w:color="auto"/>
              <w:right w:val="single" w:sz="4" w:space="0" w:color="auto"/>
            </w:tcBorders>
            <w:vAlign w:val="center"/>
            <w:hideMark/>
          </w:tcPr>
          <w:p w14:paraId="40DA84B5" w14:textId="77777777" w:rsidR="009800C7" w:rsidRPr="001D6D10" w:rsidRDefault="009800C7" w:rsidP="002264AA">
            <w:pPr>
              <w:spacing w:line="120" w:lineRule="exact"/>
              <w:rPr>
                <w:rFonts w:ascii="ＭＳ 明朝"/>
                <w:sz w:val="12"/>
                <w:szCs w:val="12"/>
              </w:rPr>
            </w:pPr>
            <w:r w:rsidRPr="001D6D10">
              <w:rPr>
                <w:rFonts w:ascii="ＭＳ 明朝" w:hAnsi="ＭＳ 明朝" w:hint="eastAsia"/>
                <w:sz w:val="12"/>
                <w:szCs w:val="12"/>
              </w:rPr>
              <w:t>常務取締役</w:t>
            </w:r>
          </w:p>
        </w:tc>
      </w:tr>
      <w:tr w:rsidR="001D6D10" w:rsidRPr="001D6D10" w14:paraId="298A4FB5" w14:textId="77777777" w:rsidTr="002264AA">
        <w:trPr>
          <w:trHeight w:hRule="exact" w:val="168"/>
        </w:trPr>
        <w:tc>
          <w:tcPr>
            <w:tcW w:w="536" w:type="dxa"/>
            <w:vMerge/>
            <w:tcBorders>
              <w:left w:val="single" w:sz="4" w:space="0" w:color="auto"/>
              <w:right w:val="single" w:sz="4" w:space="0" w:color="auto"/>
            </w:tcBorders>
            <w:vAlign w:val="center"/>
            <w:hideMark/>
          </w:tcPr>
          <w:p w14:paraId="23A48662" w14:textId="77777777" w:rsidR="009800C7" w:rsidRPr="001D6D10" w:rsidRDefault="009800C7" w:rsidP="002264AA">
            <w:pPr>
              <w:widowControl/>
              <w:jc w:val="left"/>
              <w:rPr>
                <w:rFonts w:ascii="ＭＳ 明朝"/>
                <w:sz w:val="12"/>
                <w:szCs w:val="12"/>
              </w:rPr>
            </w:pPr>
          </w:p>
        </w:tc>
        <w:tc>
          <w:tcPr>
            <w:tcW w:w="3415" w:type="dxa"/>
            <w:tcBorders>
              <w:top w:val="single" w:sz="4" w:space="0" w:color="auto"/>
              <w:left w:val="single" w:sz="4" w:space="0" w:color="auto"/>
              <w:bottom w:val="single" w:sz="4" w:space="0" w:color="auto"/>
              <w:right w:val="single" w:sz="4" w:space="0" w:color="auto"/>
            </w:tcBorders>
            <w:vAlign w:val="center"/>
            <w:hideMark/>
          </w:tcPr>
          <w:p w14:paraId="79C4217C" w14:textId="77777777" w:rsidR="009800C7" w:rsidRPr="001D6D10" w:rsidRDefault="009800C7" w:rsidP="002264AA">
            <w:pPr>
              <w:spacing w:line="120" w:lineRule="exact"/>
              <w:rPr>
                <w:rFonts w:ascii="ＭＳ 明朝"/>
                <w:sz w:val="12"/>
                <w:szCs w:val="12"/>
              </w:rPr>
            </w:pPr>
            <w:r w:rsidRPr="001D6D10">
              <w:rPr>
                <w:rFonts w:ascii="ＭＳ 明朝" w:hAnsi="ＭＳ 明朝" w:hint="eastAsia"/>
                <w:sz w:val="12"/>
                <w:szCs w:val="12"/>
              </w:rPr>
              <w:t>一般社団法人大阪府トラック協会</w:t>
            </w:r>
          </w:p>
        </w:tc>
        <w:tc>
          <w:tcPr>
            <w:tcW w:w="4549" w:type="dxa"/>
            <w:tcBorders>
              <w:top w:val="single" w:sz="4" w:space="0" w:color="auto"/>
              <w:left w:val="single" w:sz="4" w:space="0" w:color="auto"/>
              <w:bottom w:val="single" w:sz="4" w:space="0" w:color="auto"/>
              <w:right w:val="single" w:sz="4" w:space="0" w:color="auto"/>
            </w:tcBorders>
            <w:vAlign w:val="center"/>
            <w:hideMark/>
          </w:tcPr>
          <w:p w14:paraId="7445819D" w14:textId="77777777" w:rsidR="009800C7" w:rsidRPr="001D6D10" w:rsidRDefault="009800C7" w:rsidP="002264AA">
            <w:pPr>
              <w:spacing w:line="120" w:lineRule="exact"/>
              <w:rPr>
                <w:rFonts w:ascii="ＭＳ 明朝"/>
                <w:sz w:val="12"/>
                <w:szCs w:val="12"/>
              </w:rPr>
            </w:pPr>
            <w:r w:rsidRPr="001D6D10">
              <w:rPr>
                <w:rFonts w:ascii="ＭＳ 明朝" w:hAnsi="ＭＳ 明朝" w:hint="eastAsia"/>
                <w:sz w:val="12"/>
                <w:szCs w:val="12"/>
              </w:rPr>
              <w:t>会長</w:t>
            </w:r>
          </w:p>
        </w:tc>
      </w:tr>
      <w:tr w:rsidR="001D6D10" w:rsidRPr="001D6D10" w14:paraId="01EA7C9A" w14:textId="77777777" w:rsidTr="002264AA">
        <w:trPr>
          <w:trHeight w:hRule="exact" w:val="168"/>
        </w:trPr>
        <w:tc>
          <w:tcPr>
            <w:tcW w:w="536" w:type="dxa"/>
            <w:vMerge/>
            <w:tcBorders>
              <w:left w:val="single" w:sz="4" w:space="0" w:color="auto"/>
              <w:right w:val="single" w:sz="4" w:space="0" w:color="auto"/>
            </w:tcBorders>
            <w:vAlign w:val="center"/>
            <w:hideMark/>
          </w:tcPr>
          <w:p w14:paraId="3A20AD58" w14:textId="77777777" w:rsidR="009800C7" w:rsidRPr="001D6D10" w:rsidRDefault="009800C7" w:rsidP="002264AA">
            <w:pPr>
              <w:widowControl/>
              <w:jc w:val="left"/>
              <w:rPr>
                <w:rFonts w:ascii="ＭＳ 明朝"/>
                <w:sz w:val="12"/>
                <w:szCs w:val="12"/>
              </w:rPr>
            </w:pPr>
          </w:p>
        </w:tc>
        <w:tc>
          <w:tcPr>
            <w:tcW w:w="3415" w:type="dxa"/>
            <w:tcBorders>
              <w:top w:val="single" w:sz="4" w:space="0" w:color="auto"/>
              <w:left w:val="single" w:sz="4" w:space="0" w:color="auto"/>
              <w:bottom w:val="single" w:sz="4" w:space="0" w:color="auto"/>
              <w:right w:val="single" w:sz="4" w:space="0" w:color="auto"/>
            </w:tcBorders>
            <w:vAlign w:val="center"/>
            <w:hideMark/>
          </w:tcPr>
          <w:p w14:paraId="12A6D39A" w14:textId="77777777" w:rsidR="009800C7" w:rsidRPr="001D6D10" w:rsidRDefault="009800C7" w:rsidP="002264AA">
            <w:pPr>
              <w:spacing w:line="120" w:lineRule="exact"/>
              <w:rPr>
                <w:rFonts w:ascii="ＭＳ 明朝"/>
                <w:sz w:val="12"/>
                <w:szCs w:val="12"/>
              </w:rPr>
            </w:pPr>
            <w:r w:rsidRPr="001D6D10">
              <w:rPr>
                <w:rFonts w:ascii="ＭＳ 明朝" w:hAnsi="ＭＳ 明朝" w:hint="eastAsia"/>
                <w:sz w:val="12"/>
                <w:szCs w:val="12"/>
              </w:rPr>
              <w:t>大阪広域水道企業団</w:t>
            </w:r>
          </w:p>
        </w:tc>
        <w:tc>
          <w:tcPr>
            <w:tcW w:w="4549" w:type="dxa"/>
            <w:tcBorders>
              <w:top w:val="single" w:sz="4" w:space="0" w:color="auto"/>
              <w:left w:val="single" w:sz="4" w:space="0" w:color="auto"/>
              <w:bottom w:val="single" w:sz="4" w:space="0" w:color="auto"/>
              <w:right w:val="single" w:sz="4" w:space="0" w:color="auto"/>
            </w:tcBorders>
            <w:vAlign w:val="center"/>
            <w:hideMark/>
          </w:tcPr>
          <w:p w14:paraId="25106B20" w14:textId="77777777" w:rsidR="009800C7" w:rsidRPr="001D6D10" w:rsidRDefault="009800C7" w:rsidP="002264AA">
            <w:pPr>
              <w:spacing w:line="120" w:lineRule="exact"/>
              <w:rPr>
                <w:rFonts w:ascii="ＭＳ 明朝"/>
                <w:sz w:val="12"/>
                <w:szCs w:val="12"/>
              </w:rPr>
            </w:pPr>
            <w:r w:rsidRPr="001D6D10">
              <w:rPr>
                <w:rFonts w:ascii="ＭＳ 明朝" w:hAnsi="ＭＳ 明朝" w:hint="eastAsia"/>
                <w:sz w:val="12"/>
                <w:szCs w:val="12"/>
              </w:rPr>
              <w:t>副企業長</w:t>
            </w:r>
          </w:p>
        </w:tc>
      </w:tr>
      <w:tr w:rsidR="001D6D10" w:rsidRPr="001D6D10" w14:paraId="49F07767" w14:textId="77777777" w:rsidTr="002264AA">
        <w:trPr>
          <w:trHeight w:hRule="exact" w:val="168"/>
        </w:trPr>
        <w:tc>
          <w:tcPr>
            <w:tcW w:w="536" w:type="dxa"/>
            <w:vMerge/>
            <w:tcBorders>
              <w:left w:val="single" w:sz="4" w:space="0" w:color="auto"/>
              <w:bottom w:val="single" w:sz="4" w:space="0" w:color="auto"/>
              <w:right w:val="single" w:sz="4" w:space="0" w:color="auto"/>
            </w:tcBorders>
            <w:vAlign w:val="center"/>
          </w:tcPr>
          <w:p w14:paraId="1BBAC87C" w14:textId="77777777" w:rsidR="009800C7" w:rsidRPr="001D6D10" w:rsidRDefault="009800C7" w:rsidP="002264AA">
            <w:pPr>
              <w:widowControl/>
              <w:jc w:val="left"/>
              <w:rPr>
                <w:rFonts w:ascii="ＭＳ 明朝"/>
                <w:sz w:val="12"/>
                <w:szCs w:val="12"/>
              </w:rPr>
            </w:pPr>
          </w:p>
        </w:tc>
        <w:tc>
          <w:tcPr>
            <w:tcW w:w="3415" w:type="dxa"/>
            <w:tcBorders>
              <w:top w:val="single" w:sz="4" w:space="0" w:color="auto"/>
              <w:left w:val="single" w:sz="4" w:space="0" w:color="auto"/>
              <w:bottom w:val="single" w:sz="4" w:space="0" w:color="auto"/>
              <w:right w:val="single" w:sz="4" w:space="0" w:color="auto"/>
            </w:tcBorders>
            <w:vAlign w:val="center"/>
          </w:tcPr>
          <w:p w14:paraId="67A9FACA" w14:textId="77777777" w:rsidR="009800C7" w:rsidRPr="001D6D10" w:rsidRDefault="009800C7" w:rsidP="002264AA">
            <w:pPr>
              <w:spacing w:line="120" w:lineRule="exact"/>
              <w:rPr>
                <w:rFonts w:ascii="ＭＳ 明朝"/>
                <w:sz w:val="12"/>
                <w:szCs w:val="12"/>
              </w:rPr>
            </w:pPr>
            <w:r w:rsidRPr="001D6D10">
              <w:rPr>
                <w:rFonts w:ascii="ＭＳ 明朝" w:hAnsi="ＭＳ 明朝" w:hint="eastAsia"/>
                <w:sz w:val="12"/>
                <w:szCs w:val="12"/>
              </w:rPr>
              <w:t>公益社団法人大阪府看護協会</w:t>
            </w:r>
          </w:p>
        </w:tc>
        <w:tc>
          <w:tcPr>
            <w:tcW w:w="4549" w:type="dxa"/>
            <w:tcBorders>
              <w:top w:val="single" w:sz="4" w:space="0" w:color="auto"/>
              <w:left w:val="single" w:sz="4" w:space="0" w:color="auto"/>
              <w:bottom w:val="single" w:sz="4" w:space="0" w:color="auto"/>
              <w:right w:val="single" w:sz="4" w:space="0" w:color="auto"/>
            </w:tcBorders>
            <w:vAlign w:val="center"/>
          </w:tcPr>
          <w:p w14:paraId="7F06FBA2" w14:textId="77777777" w:rsidR="009800C7" w:rsidRPr="001D6D10" w:rsidRDefault="009800C7" w:rsidP="002264AA">
            <w:pPr>
              <w:spacing w:line="120" w:lineRule="exact"/>
              <w:rPr>
                <w:rFonts w:ascii="ＭＳ 明朝"/>
                <w:sz w:val="12"/>
                <w:szCs w:val="12"/>
              </w:rPr>
            </w:pPr>
            <w:r w:rsidRPr="001D6D10">
              <w:rPr>
                <w:rFonts w:ascii="ＭＳ 明朝" w:hAnsi="ＭＳ 明朝" w:hint="eastAsia"/>
                <w:sz w:val="12"/>
                <w:szCs w:val="12"/>
              </w:rPr>
              <w:t>会長</w:t>
            </w:r>
          </w:p>
        </w:tc>
      </w:tr>
      <w:tr w:rsidR="001D6D10" w:rsidRPr="001D6D10" w14:paraId="510113A6" w14:textId="77777777" w:rsidTr="002264AA">
        <w:trPr>
          <w:trHeight w:hRule="exact" w:val="436"/>
        </w:trPr>
        <w:tc>
          <w:tcPr>
            <w:tcW w:w="536" w:type="dxa"/>
            <w:tcBorders>
              <w:top w:val="single" w:sz="4" w:space="0" w:color="auto"/>
              <w:left w:val="single" w:sz="4" w:space="0" w:color="auto"/>
              <w:right w:val="single" w:sz="4" w:space="0" w:color="auto"/>
            </w:tcBorders>
            <w:vAlign w:val="center"/>
            <w:hideMark/>
          </w:tcPr>
          <w:p w14:paraId="29218682" w14:textId="77777777" w:rsidR="009800C7" w:rsidRPr="001D6D10" w:rsidRDefault="009800C7" w:rsidP="002264AA">
            <w:pPr>
              <w:spacing w:line="120" w:lineRule="exact"/>
              <w:rPr>
                <w:rFonts w:ascii="ＭＳ 明朝"/>
                <w:sz w:val="12"/>
                <w:szCs w:val="12"/>
              </w:rPr>
            </w:pPr>
            <w:r w:rsidRPr="001D6D10">
              <w:rPr>
                <w:rFonts w:ascii="ＭＳ 明朝" w:hint="eastAsia"/>
                <w:sz w:val="12"/>
                <w:szCs w:val="12"/>
              </w:rPr>
              <w:t>8号</w:t>
            </w:r>
          </w:p>
        </w:tc>
        <w:tc>
          <w:tcPr>
            <w:tcW w:w="3415" w:type="dxa"/>
            <w:tcBorders>
              <w:top w:val="single" w:sz="4" w:space="0" w:color="auto"/>
              <w:left w:val="single" w:sz="4" w:space="0" w:color="auto"/>
              <w:bottom w:val="single" w:sz="4" w:space="0" w:color="auto"/>
              <w:right w:val="single" w:sz="4" w:space="0" w:color="auto"/>
            </w:tcBorders>
            <w:vAlign w:val="center"/>
            <w:hideMark/>
          </w:tcPr>
          <w:p w14:paraId="0631E5C6" w14:textId="77777777" w:rsidR="009800C7" w:rsidRPr="001D6D10" w:rsidRDefault="009800C7" w:rsidP="002264AA">
            <w:pPr>
              <w:spacing w:line="120" w:lineRule="exact"/>
              <w:rPr>
                <w:rFonts w:ascii="ＭＳ 明朝"/>
                <w:sz w:val="12"/>
                <w:szCs w:val="12"/>
              </w:rPr>
            </w:pPr>
            <w:r w:rsidRPr="001D6D10">
              <w:rPr>
                <w:rFonts w:ascii="ＭＳ 明朝" w:hint="eastAsia"/>
                <w:sz w:val="12"/>
                <w:szCs w:val="12"/>
              </w:rPr>
              <w:t>学識経験者</w:t>
            </w:r>
          </w:p>
        </w:tc>
        <w:tc>
          <w:tcPr>
            <w:tcW w:w="4549" w:type="dxa"/>
            <w:tcBorders>
              <w:top w:val="single" w:sz="4" w:space="0" w:color="auto"/>
              <w:left w:val="single" w:sz="4" w:space="0" w:color="auto"/>
              <w:bottom w:val="single" w:sz="4" w:space="0" w:color="auto"/>
              <w:right w:val="single" w:sz="4" w:space="0" w:color="auto"/>
            </w:tcBorders>
            <w:vAlign w:val="center"/>
          </w:tcPr>
          <w:p w14:paraId="4348876A" w14:textId="77777777" w:rsidR="009800C7" w:rsidRPr="001D6D10" w:rsidRDefault="009800C7" w:rsidP="002365BE">
            <w:pPr>
              <w:spacing w:line="120" w:lineRule="exact"/>
              <w:rPr>
                <w:rFonts w:ascii="ＭＳ 明朝"/>
                <w:sz w:val="10"/>
                <w:szCs w:val="10"/>
              </w:rPr>
            </w:pPr>
            <w:r w:rsidRPr="001D6D10">
              <w:rPr>
                <w:rFonts w:ascii="ＭＳ 明朝" w:hint="eastAsia"/>
                <w:sz w:val="10"/>
                <w:szCs w:val="10"/>
              </w:rPr>
              <w:t>関西大学社会安全研究センター長</w:t>
            </w:r>
          </w:p>
          <w:p w14:paraId="507FC6F9" w14:textId="77777777" w:rsidR="009800C7" w:rsidRPr="001D6D10" w:rsidRDefault="009800C7" w:rsidP="002365BE">
            <w:pPr>
              <w:spacing w:line="120" w:lineRule="exact"/>
              <w:rPr>
                <w:rFonts w:ascii="ＭＳ 明朝"/>
                <w:sz w:val="10"/>
                <w:szCs w:val="10"/>
              </w:rPr>
            </w:pPr>
            <w:r w:rsidRPr="001D6D10">
              <w:rPr>
                <w:rFonts w:ascii="ＭＳ 明朝" w:hint="eastAsia"/>
                <w:sz w:val="10"/>
                <w:szCs w:val="10"/>
              </w:rPr>
              <w:t>特別任命教授</w:t>
            </w:r>
          </w:p>
        </w:tc>
      </w:tr>
      <w:tr w:rsidR="001D6D10" w:rsidRPr="001D6D10" w14:paraId="701B0F29" w14:textId="77777777" w:rsidTr="002264AA">
        <w:trPr>
          <w:trHeight w:hRule="exact" w:val="428"/>
        </w:trPr>
        <w:tc>
          <w:tcPr>
            <w:tcW w:w="536" w:type="dxa"/>
            <w:tcBorders>
              <w:left w:val="single" w:sz="4" w:space="0" w:color="auto"/>
              <w:right w:val="single" w:sz="4" w:space="0" w:color="auto"/>
            </w:tcBorders>
            <w:vAlign w:val="center"/>
          </w:tcPr>
          <w:p w14:paraId="315BB54D" w14:textId="77777777" w:rsidR="009800C7" w:rsidRPr="001D6D10" w:rsidRDefault="009800C7" w:rsidP="002264AA">
            <w:pPr>
              <w:widowControl/>
              <w:jc w:val="left"/>
              <w:rPr>
                <w:rFonts w:ascii="ＭＳ 明朝"/>
                <w:sz w:val="12"/>
                <w:szCs w:val="12"/>
              </w:rPr>
            </w:pPr>
          </w:p>
        </w:tc>
        <w:tc>
          <w:tcPr>
            <w:tcW w:w="3415" w:type="dxa"/>
            <w:tcBorders>
              <w:top w:val="single" w:sz="4" w:space="0" w:color="auto"/>
              <w:left w:val="single" w:sz="4" w:space="0" w:color="auto"/>
              <w:bottom w:val="single" w:sz="4" w:space="0" w:color="auto"/>
              <w:right w:val="single" w:sz="4" w:space="0" w:color="auto"/>
            </w:tcBorders>
            <w:vAlign w:val="center"/>
          </w:tcPr>
          <w:p w14:paraId="26471754" w14:textId="77777777" w:rsidR="009800C7" w:rsidRPr="001D6D10" w:rsidRDefault="009800C7" w:rsidP="002264AA">
            <w:pPr>
              <w:spacing w:line="120" w:lineRule="exact"/>
              <w:rPr>
                <w:rFonts w:ascii="ＭＳ 明朝"/>
                <w:sz w:val="12"/>
                <w:szCs w:val="12"/>
              </w:rPr>
            </w:pPr>
          </w:p>
        </w:tc>
        <w:tc>
          <w:tcPr>
            <w:tcW w:w="4549" w:type="dxa"/>
            <w:tcBorders>
              <w:top w:val="single" w:sz="4" w:space="0" w:color="auto"/>
              <w:left w:val="single" w:sz="4" w:space="0" w:color="auto"/>
              <w:bottom w:val="single" w:sz="4" w:space="0" w:color="auto"/>
              <w:right w:val="single" w:sz="4" w:space="0" w:color="auto"/>
            </w:tcBorders>
            <w:vAlign w:val="center"/>
          </w:tcPr>
          <w:p w14:paraId="1056A884" w14:textId="77777777" w:rsidR="009800C7" w:rsidRPr="001D6D10" w:rsidRDefault="009800C7" w:rsidP="002264AA">
            <w:pPr>
              <w:spacing w:line="120" w:lineRule="exact"/>
              <w:rPr>
                <w:rFonts w:ascii="ＭＳ 明朝"/>
                <w:sz w:val="12"/>
                <w:szCs w:val="12"/>
              </w:rPr>
            </w:pPr>
            <w:r w:rsidRPr="001D6D10">
              <w:rPr>
                <w:rFonts w:ascii="ＭＳ 明朝" w:hint="eastAsia"/>
                <w:sz w:val="12"/>
                <w:szCs w:val="12"/>
              </w:rPr>
              <w:t xml:space="preserve">兵庫県立大学大学院　</w:t>
            </w:r>
          </w:p>
          <w:p w14:paraId="678B8FDD" w14:textId="77777777" w:rsidR="009800C7" w:rsidRPr="001D6D10" w:rsidRDefault="009800C7" w:rsidP="002264AA">
            <w:pPr>
              <w:spacing w:line="120" w:lineRule="exact"/>
              <w:rPr>
                <w:rFonts w:ascii="ＭＳ 明朝"/>
                <w:sz w:val="12"/>
                <w:szCs w:val="12"/>
              </w:rPr>
            </w:pPr>
            <w:r w:rsidRPr="001D6D10">
              <w:rPr>
                <w:rFonts w:ascii="ＭＳ 明朝" w:hint="eastAsia"/>
                <w:sz w:val="12"/>
                <w:szCs w:val="12"/>
              </w:rPr>
              <w:t>減災復興政策研究科　教授</w:t>
            </w:r>
          </w:p>
        </w:tc>
      </w:tr>
      <w:tr w:rsidR="001D6D10" w:rsidRPr="001D6D10" w14:paraId="51633659" w14:textId="77777777" w:rsidTr="002264AA">
        <w:trPr>
          <w:trHeight w:hRule="exact" w:val="420"/>
        </w:trPr>
        <w:tc>
          <w:tcPr>
            <w:tcW w:w="536" w:type="dxa"/>
            <w:tcBorders>
              <w:left w:val="single" w:sz="4" w:space="0" w:color="auto"/>
              <w:right w:val="single" w:sz="4" w:space="0" w:color="auto"/>
            </w:tcBorders>
            <w:vAlign w:val="center"/>
          </w:tcPr>
          <w:p w14:paraId="59219E17" w14:textId="77777777" w:rsidR="009800C7" w:rsidRPr="001D6D10" w:rsidRDefault="009800C7" w:rsidP="002264AA">
            <w:pPr>
              <w:widowControl/>
              <w:jc w:val="left"/>
              <w:rPr>
                <w:rFonts w:ascii="ＭＳ 明朝"/>
                <w:sz w:val="12"/>
                <w:szCs w:val="12"/>
              </w:rPr>
            </w:pPr>
          </w:p>
        </w:tc>
        <w:tc>
          <w:tcPr>
            <w:tcW w:w="3415" w:type="dxa"/>
            <w:tcBorders>
              <w:top w:val="single" w:sz="4" w:space="0" w:color="auto"/>
              <w:left w:val="single" w:sz="4" w:space="0" w:color="auto"/>
              <w:bottom w:val="single" w:sz="4" w:space="0" w:color="auto"/>
              <w:right w:val="single" w:sz="4" w:space="0" w:color="auto"/>
            </w:tcBorders>
            <w:vAlign w:val="center"/>
          </w:tcPr>
          <w:p w14:paraId="79BABE7B" w14:textId="77777777" w:rsidR="009800C7" w:rsidRPr="001D6D10" w:rsidRDefault="009800C7" w:rsidP="002264AA">
            <w:pPr>
              <w:spacing w:line="120" w:lineRule="exact"/>
              <w:rPr>
                <w:rFonts w:ascii="ＭＳ 明朝"/>
                <w:sz w:val="12"/>
                <w:szCs w:val="12"/>
              </w:rPr>
            </w:pPr>
          </w:p>
        </w:tc>
        <w:tc>
          <w:tcPr>
            <w:tcW w:w="4549" w:type="dxa"/>
            <w:tcBorders>
              <w:top w:val="single" w:sz="4" w:space="0" w:color="auto"/>
              <w:left w:val="single" w:sz="4" w:space="0" w:color="auto"/>
              <w:bottom w:val="single" w:sz="4" w:space="0" w:color="auto"/>
              <w:right w:val="single" w:sz="4" w:space="0" w:color="auto"/>
            </w:tcBorders>
            <w:vAlign w:val="center"/>
          </w:tcPr>
          <w:p w14:paraId="0C2A64A1" w14:textId="77777777" w:rsidR="009800C7" w:rsidRPr="001D6D10" w:rsidRDefault="009800C7" w:rsidP="002264AA">
            <w:pPr>
              <w:spacing w:line="120" w:lineRule="exact"/>
              <w:rPr>
                <w:rFonts w:ascii="ＭＳ 明朝"/>
                <w:sz w:val="12"/>
                <w:szCs w:val="12"/>
              </w:rPr>
            </w:pPr>
            <w:r w:rsidRPr="001D6D10">
              <w:rPr>
                <w:rFonts w:ascii="ＭＳ 明朝" w:hint="eastAsia"/>
                <w:sz w:val="12"/>
                <w:szCs w:val="12"/>
              </w:rPr>
              <w:t>大阪公立大学現代システム科学研究科客員研究員／神戸大学地域連携推進本部特命准教授</w:t>
            </w:r>
          </w:p>
        </w:tc>
      </w:tr>
      <w:tr w:rsidR="001D6D10" w:rsidRPr="001D6D10" w14:paraId="125DD733" w14:textId="77777777" w:rsidTr="002264AA">
        <w:trPr>
          <w:trHeight w:hRule="exact" w:val="420"/>
        </w:trPr>
        <w:tc>
          <w:tcPr>
            <w:tcW w:w="536" w:type="dxa"/>
            <w:tcBorders>
              <w:left w:val="single" w:sz="4" w:space="0" w:color="auto"/>
              <w:right w:val="single" w:sz="4" w:space="0" w:color="auto"/>
            </w:tcBorders>
            <w:vAlign w:val="center"/>
          </w:tcPr>
          <w:p w14:paraId="6628E792" w14:textId="77777777" w:rsidR="009800C7" w:rsidRPr="001D6D10" w:rsidRDefault="009800C7" w:rsidP="002264AA">
            <w:pPr>
              <w:widowControl/>
              <w:jc w:val="left"/>
              <w:rPr>
                <w:rFonts w:ascii="ＭＳ 明朝"/>
                <w:sz w:val="12"/>
                <w:szCs w:val="12"/>
              </w:rPr>
            </w:pPr>
          </w:p>
        </w:tc>
        <w:tc>
          <w:tcPr>
            <w:tcW w:w="3415" w:type="dxa"/>
            <w:tcBorders>
              <w:top w:val="single" w:sz="4" w:space="0" w:color="auto"/>
              <w:left w:val="single" w:sz="4" w:space="0" w:color="auto"/>
              <w:bottom w:val="single" w:sz="4" w:space="0" w:color="auto"/>
              <w:right w:val="single" w:sz="4" w:space="0" w:color="auto"/>
            </w:tcBorders>
            <w:vAlign w:val="center"/>
          </w:tcPr>
          <w:p w14:paraId="4A48B3D0" w14:textId="77777777" w:rsidR="009800C7" w:rsidRPr="001D6D10" w:rsidRDefault="009800C7" w:rsidP="002264AA">
            <w:pPr>
              <w:spacing w:line="120" w:lineRule="exact"/>
              <w:rPr>
                <w:rFonts w:ascii="ＭＳ 明朝"/>
                <w:sz w:val="12"/>
                <w:szCs w:val="12"/>
              </w:rPr>
            </w:pPr>
          </w:p>
        </w:tc>
        <w:tc>
          <w:tcPr>
            <w:tcW w:w="4549" w:type="dxa"/>
            <w:tcBorders>
              <w:top w:val="single" w:sz="4" w:space="0" w:color="auto"/>
              <w:left w:val="single" w:sz="4" w:space="0" w:color="auto"/>
              <w:bottom w:val="single" w:sz="4" w:space="0" w:color="auto"/>
              <w:right w:val="single" w:sz="4" w:space="0" w:color="auto"/>
            </w:tcBorders>
            <w:vAlign w:val="center"/>
          </w:tcPr>
          <w:p w14:paraId="6227225B" w14:textId="77777777" w:rsidR="009800C7" w:rsidRPr="001D6D10" w:rsidRDefault="009800C7" w:rsidP="002264AA">
            <w:pPr>
              <w:spacing w:line="120" w:lineRule="exact"/>
              <w:rPr>
                <w:rFonts w:ascii="ＭＳ 明朝"/>
                <w:sz w:val="12"/>
                <w:szCs w:val="12"/>
              </w:rPr>
            </w:pPr>
            <w:r w:rsidRPr="001D6D10">
              <w:rPr>
                <w:rFonts w:ascii="ＭＳ 明朝" w:hint="eastAsia"/>
                <w:sz w:val="12"/>
                <w:szCs w:val="12"/>
              </w:rPr>
              <w:t>神戸大学大学院　工学研究科　准教授</w:t>
            </w:r>
          </w:p>
        </w:tc>
      </w:tr>
      <w:tr w:rsidR="001D6D10" w:rsidRPr="001D6D10" w14:paraId="5AAAA7F2" w14:textId="77777777" w:rsidTr="002264AA">
        <w:trPr>
          <w:trHeight w:hRule="exact" w:val="420"/>
        </w:trPr>
        <w:tc>
          <w:tcPr>
            <w:tcW w:w="536" w:type="dxa"/>
            <w:tcBorders>
              <w:left w:val="single" w:sz="4" w:space="0" w:color="auto"/>
              <w:right w:val="single" w:sz="4" w:space="0" w:color="auto"/>
            </w:tcBorders>
            <w:vAlign w:val="center"/>
          </w:tcPr>
          <w:p w14:paraId="351586B6" w14:textId="77777777" w:rsidR="009800C7" w:rsidRPr="001D6D10" w:rsidRDefault="009800C7" w:rsidP="002264AA">
            <w:pPr>
              <w:widowControl/>
              <w:jc w:val="left"/>
              <w:rPr>
                <w:rFonts w:ascii="ＭＳ 明朝"/>
                <w:sz w:val="12"/>
                <w:szCs w:val="12"/>
              </w:rPr>
            </w:pPr>
          </w:p>
        </w:tc>
        <w:tc>
          <w:tcPr>
            <w:tcW w:w="3415" w:type="dxa"/>
            <w:tcBorders>
              <w:top w:val="single" w:sz="4" w:space="0" w:color="auto"/>
              <w:left w:val="single" w:sz="4" w:space="0" w:color="auto"/>
              <w:bottom w:val="single" w:sz="4" w:space="0" w:color="auto"/>
              <w:right w:val="single" w:sz="4" w:space="0" w:color="auto"/>
            </w:tcBorders>
            <w:vAlign w:val="center"/>
          </w:tcPr>
          <w:p w14:paraId="15DDBD06" w14:textId="77777777" w:rsidR="009800C7" w:rsidRPr="001D6D10" w:rsidRDefault="009800C7" w:rsidP="002264AA">
            <w:pPr>
              <w:spacing w:line="120" w:lineRule="exact"/>
              <w:rPr>
                <w:rFonts w:ascii="ＭＳ 明朝"/>
                <w:sz w:val="12"/>
                <w:szCs w:val="12"/>
              </w:rPr>
            </w:pPr>
          </w:p>
        </w:tc>
        <w:tc>
          <w:tcPr>
            <w:tcW w:w="4549" w:type="dxa"/>
            <w:tcBorders>
              <w:top w:val="single" w:sz="4" w:space="0" w:color="auto"/>
              <w:left w:val="single" w:sz="4" w:space="0" w:color="auto"/>
              <w:bottom w:val="single" w:sz="4" w:space="0" w:color="auto"/>
              <w:right w:val="single" w:sz="4" w:space="0" w:color="auto"/>
            </w:tcBorders>
            <w:vAlign w:val="center"/>
          </w:tcPr>
          <w:p w14:paraId="76A95EE6" w14:textId="77777777" w:rsidR="009800C7" w:rsidRPr="001D6D10" w:rsidRDefault="009800C7" w:rsidP="002264AA">
            <w:pPr>
              <w:spacing w:line="120" w:lineRule="exact"/>
              <w:rPr>
                <w:rFonts w:ascii="ＭＳ 明朝"/>
                <w:sz w:val="12"/>
                <w:szCs w:val="12"/>
              </w:rPr>
            </w:pPr>
            <w:r w:rsidRPr="001D6D10">
              <w:rPr>
                <w:rFonts w:ascii="ＭＳ 明朝" w:hint="eastAsia"/>
                <w:sz w:val="12"/>
                <w:szCs w:val="12"/>
              </w:rPr>
              <w:t>京都大学防災研究所　社会防災研究部門　准教授</w:t>
            </w:r>
          </w:p>
        </w:tc>
      </w:tr>
      <w:tr w:rsidR="001D6D10" w:rsidRPr="001D6D10" w14:paraId="11FADC41" w14:textId="77777777" w:rsidTr="002264AA">
        <w:trPr>
          <w:trHeight w:hRule="exact" w:val="420"/>
        </w:trPr>
        <w:tc>
          <w:tcPr>
            <w:tcW w:w="536" w:type="dxa"/>
            <w:tcBorders>
              <w:left w:val="single" w:sz="4" w:space="0" w:color="auto"/>
              <w:right w:val="single" w:sz="4" w:space="0" w:color="auto"/>
            </w:tcBorders>
            <w:vAlign w:val="center"/>
          </w:tcPr>
          <w:p w14:paraId="5FF9DBA2" w14:textId="77777777" w:rsidR="009800C7" w:rsidRPr="001D6D10" w:rsidRDefault="009800C7" w:rsidP="002264AA">
            <w:pPr>
              <w:widowControl/>
              <w:jc w:val="left"/>
              <w:rPr>
                <w:rFonts w:ascii="ＭＳ 明朝"/>
                <w:sz w:val="12"/>
                <w:szCs w:val="12"/>
              </w:rPr>
            </w:pPr>
          </w:p>
        </w:tc>
        <w:tc>
          <w:tcPr>
            <w:tcW w:w="3415" w:type="dxa"/>
            <w:tcBorders>
              <w:top w:val="single" w:sz="4" w:space="0" w:color="auto"/>
              <w:left w:val="single" w:sz="4" w:space="0" w:color="auto"/>
              <w:bottom w:val="single" w:sz="4" w:space="0" w:color="auto"/>
              <w:right w:val="single" w:sz="4" w:space="0" w:color="auto"/>
            </w:tcBorders>
            <w:vAlign w:val="center"/>
          </w:tcPr>
          <w:p w14:paraId="0F6BC533" w14:textId="77777777" w:rsidR="009800C7" w:rsidRPr="001D6D10" w:rsidRDefault="009800C7" w:rsidP="002264AA">
            <w:pPr>
              <w:spacing w:line="120" w:lineRule="exact"/>
              <w:rPr>
                <w:rFonts w:ascii="ＭＳ 明朝"/>
                <w:sz w:val="12"/>
                <w:szCs w:val="12"/>
              </w:rPr>
            </w:pPr>
          </w:p>
        </w:tc>
        <w:tc>
          <w:tcPr>
            <w:tcW w:w="4549" w:type="dxa"/>
            <w:tcBorders>
              <w:top w:val="single" w:sz="4" w:space="0" w:color="auto"/>
              <w:left w:val="single" w:sz="4" w:space="0" w:color="auto"/>
              <w:bottom w:val="single" w:sz="4" w:space="0" w:color="auto"/>
              <w:right w:val="single" w:sz="4" w:space="0" w:color="auto"/>
            </w:tcBorders>
            <w:vAlign w:val="center"/>
          </w:tcPr>
          <w:p w14:paraId="3478E5DB" w14:textId="77777777" w:rsidR="009800C7" w:rsidRPr="001D6D10" w:rsidRDefault="009800C7" w:rsidP="002264AA">
            <w:pPr>
              <w:spacing w:line="120" w:lineRule="exact"/>
              <w:rPr>
                <w:rFonts w:ascii="ＭＳ 明朝"/>
                <w:sz w:val="12"/>
                <w:szCs w:val="12"/>
              </w:rPr>
            </w:pPr>
            <w:r w:rsidRPr="001D6D10">
              <w:rPr>
                <w:rFonts w:ascii="ＭＳ 明朝" w:hint="eastAsia"/>
                <w:sz w:val="12"/>
                <w:szCs w:val="12"/>
              </w:rPr>
              <w:t>大阪府婦人防火クラブ連絡協議会</w:t>
            </w:r>
          </w:p>
          <w:p w14:paraId="1D16E278" w14:textId="77777777" w:rsidR="009800C7" w:rsidRPr="001D6D10" w:rsidRDefault="009800C7" w:rsidP="002264AA">
            <w:pPr>
              <w:spacing w:line="120" w:lineRule="exact"/>
              <w:rPr>
                <w:rFonts w:ascii="ＭＳ 明朝"/>
                <w:sz w:val="12"/>
                <w:szCs w:val="12"/>
              </w:rPr>
            </w:pPr>
            <w:r w:rsidRPr="001D6D10">
              <w:rPr>
                <w:rFonts w:ascii="ＭＳ 明朝" w:hint="eastAsia"/>
                <w:sz w:val="12"/>
                <w:szCs w:val="12"/>
              </w:rPr>
              <w:t>会長</w:t>
            </w:r>
          </w:p>
        </w:tc>
      </w:tr>
      <w:tr w:rsidR="001D6D10" w:rsidRPr="001D6D10" w14:paraId="50B03ACB" w14:textId="77777777" w:rsidTr="002264AA">
        <w:trPr>
          <w:trHeight w:hRule="exact" w:val="426"/>
        </w:trPr>
        <w:tc>
          <w:tcPr>
            <w:tcW w:w="536" w:type="dxa"/>
            <w:tcBorders>
              <w:left w:val="single" w:sz="4" w:space="0" w:color="auto"/>
              <w:right w:val="single" w:sz="4" w:space="0" w:color="auto"/>
            </w:tcBorders>
            <w:vAlign w:val="center"/>
            <w:hideMark/>
          </w:tcPr>
          <w:p w14:paraId="5FE0681A" w14:textId="77777777" w:rsidR="009800C7" w:rsidRPr="001D6D10" w:rsidRDefault="009800C7" w:rsidP="002264AA">
            <w:pPr>
              <w:widowControl/>
              <w:jc w:val="left"/>
              <w:rPr>
                <w:rFonts w:ascii="ＭＳ 明朝"/>
                <w:sz w:val="12"/>
                <w:szCs w:val="12"/>
              </w:rPr>
            </w:pPr>
          </w:p>
        </w:tc>
        <w:tc>
          <w:tcPr>
            <w:tcW w:w="3415" w:type="dxa"/>
            <w:tcBorders>
              <w:top w:val="single" w:sz="4" w:space="0" w:color="auto"/>
              <w:left w:val="single" w:sz="4" w:space="0" w:color="auto"/>
              <w:bottom w:val="single" w:sz="4" w:space="0" w:color="auto"/>
              <w:right w:val="single" w:sz="4" w:space="0" w:color="auto"/>
            </w:tcBorders>
            <w:vAlign w:val="center"/>
            <w:hideMark/>
          </w:tcPr>
          <w:p w14:paraId="3F069A04" w14:textId="77777777" w:rsidR="009800C7" w:rsidRPr="001D6D10" w:rsidRDefault="009800C7" w:rsidP="002264AA">
            <w:pPr>
              <w:spacing w:line="120" w:lineRule="exact"/>
              <w:rPr>
                <w:rFonts w:ascii="ＭＳ 明朝"/>
                <w:sz w:val="12"/>
                <w:szCs w:val="12"/>
              </w:rPr>
            </w:pPr>
          </w:p>
        </w:tc>
        <w:tc>
          <w:tcPr>
            <w:tcW w:w="4549" w:type="dxa"/>
            <w:tcBorders>
              <w:top w:val="single" w:sz="4" w:space="0" w:color="auto"/>
              <w:left w:val="single" w:sz="4" w:space="0" w:color="auto"/>
              <w:bottom w:val="single" w:sz="4" w:space="0" w:color="auto"/>
              <w:right w:val="single" w:sz="4" w:space="0" w:color="auto"/>
            </w:tcBorders>
            <w:vAlign w:val="center"/>
          </w:tcPr>
          <w:p w14:paraId="7B4F6CDB" w14:textId="77777777" w:rsidR="009800C7" w:rsidRPr="001D6D10" w:rsidRDefault="009800C7" w:rsidP="002264AA">
            <w:pPr>
              <w:spacing w:line="120" w:lineRule="exact"/>
              <w:rPr>
                <w:rFonts w:ascii="ＭＳ 明朝"/>
                <w:sz w:val="10"/>
                <w:szCs w:val="10"/>
              </w:rPr>
            </w:pPr>
            <w:r w:rsidRPr="001D6D10">
              <w:rPr>
                <w:rFonts w:ascii="ＭＳ 明朝" w:hint="eastAsia"/>
                <w:sz w:val="10"/>
                <w:szCs w:val="10"/>
              </w:rPr>
              <w:t>大阪府民生委員児童委員協議会連合会</w:t>
            </w:r>
          </w:p>
          <w:p w14:paraId="311012DB" w14:textId="77777777" w:rsidR="009800C7" w:rsidRPr="001D6D10" w:rsidRDefault="009800C7" w:rsidP="002264AA">
            <w:pPr>
              <w:spacing w:line="120" w:lineRule="exact"/>
              <w:rPr>
                <w:rFonts w:ascii="ＭＳ 明朝"/>
                <w:sz w:val="10"/>
                <w:szCs w:val="10"/>
              </w:rPr>
            </w:pPr>
            <w:r w:rsidRPr="001D6D10">
              <w:rPr>
                <w:rFonts w:ascii="ＭＳ 明朝" w:hint="eastAsia"/>
                <w:sz w:val="10"/>
                <w:szCs w:val="10"/>
              </w:rPr>
              <w:t>副会長</w:t>
            </w:r>
          </w:p>
        </w:tc>
      </w:tr>
      <w:tr w:rsidR="001D6D10" w:rsidRPr="001D6D10" w14:paraId="05CB1DB4" w14:textId="77777777" w:rsidTr="002264AA">
        <w:trPr>
          <w:trHeight w:hRule="exact" w:val="423"/>
        </w:trPr>
        <w:tc>
          <w:tcPr>
            <w:tcW w:w="536" w:type="dxa"/>
            <w:tcBorders>
              <w:left w:val="single" w:sz="4" w:space="0" w:color="auto"/>
              <w:bottom w:val="single" w:sz="4" w:space="0" w:color="auto"/>
              <w:right w:val="single" w:sz="4" w:space="0" w:color="auto"/>
            </w:tcBorders>
            <w:vAlign w:val="center"/>
          </w:tcPr>
          <w:p w14:paraId="13CC526B" w14:textId="77777777" w:rsidR="009800C7" w:rsidRPr="001D6D10" w:rsidRDefault="009800C7" w:rsidP="002264AA">
            <w:pPr>
              <w:widowControl/>
              <w:jc w:val="left"/>
              <w:rPr>
                <w:rFonts w:ascii="ＭＳ 明朝"/>
                <w:sz w:val="12"/>
                <w:szCs w:val="12"/>
              </w:rPr>
            </w:pPr>
          </w:p>
        </w:tc>
        <w:tc>
          <w:tcPr>
            <w:tcW w:w="3415" w:type="dxa"/>
            <w:tcBorders>
              <w:top w:val="single" w:sz="4" w:space="0" w:color="auto"/>
              <w:left w:val="single" w:sz="4" w:space="0" w:color="auto"/>
              <w:bottom w:val="single" w:sz="4" w:space="0" w:color="auto"/>
              <w:right w:val="single" w:sz="4" w:space="0" w:color="auto"/>
            </w:tcBorders>
            <w:vAlign w:val="center"/>
          </w:tcPr>
          <w:p w14:paraId="20829017" w14:textId="77777777" w:rsidR="009800C7" w:rsidRPr="001D6D10" w:rsidRDefault="009800C7" w:rsidP="002264AA">
            <w:pPr>
              <w:spacing w:line="120" w:lineRule="exact"/>
              <w:rPr>
                <w:rFonts w:ascii="ＭＳ 明朝"/>
                <w:sz w:val="12"/>
                <w:szCs w:val="12"/>
              </w:rPr>
            </w:pPr>
          </w:p>
        </w:tc>
        <w:tc>
          <w:tcPr>
            <w:tcW w:w="4549" w:type="dxa"/>
            <w:tcBorders>
              <w:top w:val="single" w:sz="4" w:space="0" w:color="auto"/>
              <w:left w:val="single" w:sz="4" w:space="0" w:color="auto"/>
              <w:bottom w:val="single" w:sz="4" w:space="0" w:color="auto"/>
              <w:right w:val="single" w:sz="4" w:space="0" w:color="auto"/>
            </w:tcBorders>
            <w:vAlign w:val="center"/>
          </w:tcPr>
          <w:p w14:paraId="4BDE8531" w14:textId="77777777" w:rsidR="009800C7" w:rsidRPr="001D6D10" w:rsidRDefault="009800C7" w:rsidP="002264AA">
            <w:pPr>
              <w:spacing w:line="120" w:lineRule="exact"/>
              <w:rPr>
                <w:rFonts w:ascii="ＭＳ 明朝"/>
                <w:sz w:val="12"/>
                <w:szCs w:val="12"/>
              </w:rPr>
            </w:pPr>
            <w:r w:rsidRPr="001D6D10">
              <w:rPr>
                <w:rFonts w:ascii="ＭＳ 明朝" w:hint="eastAsia"/>
                <w:sz w:val="12"/>
                <w:szCs w:val="12"/>
              </w:rPr>
              <w:t>大阪府女性消防団員連絡会議</w:t>
            </w:r>
          </w:p>
          <w:p w14:paraId="32A8838A" w14:textId="77777777" w:rsidR="009800C7" w:rsidRPr="001D6D10" w:rsidRDefault="009800C7" w:rsidP="002365BE">
            <w:pPr>
              <w:spacing w:line="120" w:lineRule="exact"/>
              <w:rPr>
                <w:rFonts w:ascii="ＭＳ 明朝"/>
                <w:sz w:val="12"/>
                <w:szCs w:val="12"/>
              </w:rPr>
            </w:pPr>
            <w:r w:rsidRPr="001D6D10">
              <w:rPr>
                <w:rFonts w:ascii="ＭＳ 明朝" w:hint="eastAsia"/>
                <w:sz w:val="10"/>
                <w:szCs w:val="10"/>
              </w:rPr>
              <w:t>代表幹事</w:t>
            </w:r>
          </w:p>
        </w:tc>
      </w:tr>
    </w:tbl>
    <w:bookmarkStart w:id="61" w:name="_Toc222486573"/>
    <w:bookmarkStart w:id="62" w:name="_Toc242870242"/>
    <w:p w14:paraId="5C3F2A53" w14:textId="77777777" w:rsidR="005D372A" w:rsidRPr="001D6D10" w:rsidRDefault="005D372A" w:rsidP="002879FF">
      <w:pPr>
        <w:pStyle w:val="4"/>
        <w:ind w:leftChars="189" w:left="399" w:firstLineChars="100" w:firstLine="181"/>
        <w:rPr>
          <w:rFonts w:ascii="ＭＳ ゴシック" w:eastAsia="ＭＳ ゴシック" w:hAnsi="ＭＳ ゴシック"/>
          <w:b w:val="0"/>
          <w:sz w:val="22"/>
          <w:szCs w:val="22"/>
          <w:u w:val="single"/>
        </w:rPr>
      </w:pPr>
      <w:r w:rsidRPr="001D6D10">
        <w:rPr>
          <w:rFonts w:hint="eastAsia"/>
          <w:b w:val="0"/>
          <w:noProof/>
          <w:sz w:val="18"/>
          <w:szCs w:val="18"/>
        </w:rPr>
        <w:lastRenderedPageBreak/>
        <mc:AlternateContent>
          <mc:Choice Requires="wps">
            <w:drawing>
              <wp:anchor distT="0" distB="0" distL="114300" distR="114300" simplePos="0" relativeHeight="253022208" behindDoc="0" locked="0" layoutInCell="1" allowOverlap="1" wp14:anchorId="59D0FB72" wp14:editId="36316608">
                <wp:simplePos x="0" y="0"/>
                <wp:positionH relativeFrom="margin">
                  <wp:align>left</wp:align>
                </wp:positionH>
                <wp:positionV relativeFrom="paragraph">
                  <wp:posOffset>-8637815</wp:posOffset>
                </wp:positionV>
                <wp:extent cx="4907915" cy="292100"/>
                <wp:effectExtent l="0" t="0" r="0" b="0"/>
                <wp:wrapNone/>
                <wp:docPr id="244" name="正方形/長方形 244"/>
                <wp:cNvGraphicFramePr/>
                <a:graphic xmlns:a="http://schemas.openxmlformats.org/drawingml/2006/main">
                  <a:graphicData uri="http://schemas.microsoft.com/office/word/2010/wordprocessingShape">
                    <wps:wsp>
                      <wps:cNvSpPr/>
                      <wps:spPr>
                        <a:xfrm>
                          <a:off x="0" y="0"/>
                          <a:ext cx="4907915" cy="292100"/>
                        </a:xfrm>
                        <a:prstGeom prst="rect">
                          <a:avLst/>
                        </a:prstGeom>
                        <a:noFill/>
                        <a:ln w="9525" cap="flat" cmpd="sng" algn="ctr">
                          <a:noFill/>
                          <a:prstDash val="solid"/>
                          <a:tailEnd type="triangle"/>
                        </a:ln>
                        <a:effectLst/>
                      </wps:spPr>
                      <wps:txbx>
                        <w:txbxContent>
                          <w:p w14:paraId="772B31DC" w14:textId="77777777" w:rsidR="006A5267" w:rsidRPr="00387AA3" w:rsidRDefault="006A5267" w:rsidP="005D372A">
                            <w:pPr>
                              <w:jc w:val="left"/>
                              <w:rPr>
                                <w:rFonts w:asciiTheme="minorEastAsia" w:eastAsiaTheme="minorEastAsia" w:hAnsiTheme="minorEastAsia"/>
                                <w:sz w:val="16"/>
                                <w:szCs w:val="16"/>
                              </w:rPr>
                            </w:pPr>
                            <w:r w:rsidRPr="00387AA3">
                              <w:rPr>
                                <w:rFonts w:asciiTheme="minorEastAsia" w:eastAsiaTheme="minorEastAsia" w:hAnsiTheme="minorEastAsia" w:hint="eastAsia"/>
                                <w:color w:val="000000" w:themeColor="text1"/>
                                <w:sz w:val="16"/>
                                <w:szCs w:val="1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別表３　大阪府防災会議委員・幹事会名簿（令和2年9月1日</w:t>
                            </w:r>
                            <w:r w:rsidRPr="00387AA3">
                              <w:rPr>
                                <w:rFonts w:asciiTheme="minorEastAsia" w:eastAsiaTheme="minorEastAsia" w:hAnsiTheme="minorEastAsia"/>
                                <w:color w:val="000000" w:themeColor="text1"/>
                                <w:sz w:val="16"/>
                                <w:szCs w:val="1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rect w14:anchorId="59D0FB72" id="正方形/長方形 244" o:spid="_x0000_s1224" style="position:absolute;left:0;text-align:left;margin-left:0;margin-top:-680.15pt;width:386.45pt;height:23pt;z-index:253022208;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" filled="f" stroked="f">
                <v:stroke endarrow="block"/>
                <v:textbox>
                  <w:txbxContent>
                    <w:p w14:paraId="772B31DC" w14:textId="77777777" w:rsidR="006A5267" w:rsidRPr="00387AA3" w:rsidRDefault="006A5267" w:rsidP="005D372A">
                      <w:pPr>
                        <w:jc w:val="left"/>
                        <w:rPr>
                          <w:rFonts w:asciiTheme="minorEastAsia" w:eastAsiaTheme="minorEastAsia" w:hAnsiTheme="minorEastAsia"/>
                          <w:sz w:val="16"/>
                          <w:szCs w:val="16"/>
                        </w:rPr>
                      </w:pPr>
                      <w:r w:rsidRPr="00387AA3">
                        <w:rPr>
                          <w:rFonts w:asciiTheme="minorEastAsia" w:eastAsiaTheme="minorEastAsia" w:hAnsiTheme="minorEastAsia" w:hint="eastAsia"/>
                          <w:color w:val="000000" w:themeColor="text1"/>
                          <w:sz w:val="16"/>
                          <w:szCs w:val="1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別表３　大阪府防災会議委員・幹事会名簿（令和2年9月1日</w:t>
                      </w:r>
                      <w:r w:rsidRPr="00387AA3">
                        <w:rPr>
                          <w:rFonts w:asciiTheme="minorEastAsia" w:eastAsiaTheme="minorEastAsia" w:hAnsiTheme="minorEastAsia"/>
                          <w:color w:val="000000" w:themeColor="text1"/>
                          <w:sz w:val="16"/>
                          <w:szCs w:val="1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txbxContent>
                </v:textbox>
                <w10:wrap anchorx="margin"/>
              </v:rect>
            </w:pict>
          </mc:Fallback>
        </mc:AlternateContent>
      </w:r>
      <w:r w:rsidRPr="001D6D10">
        <w:rPr>
          <w:rFonts w:ascii="ＭＳ ゴシック" w:eastAsia="ＭＳ ゴシック" w:hAnsi="ＭＳ ゴシック" w:hint="eastAsia"/>
          <w:b w:val="0"/>
          <w:sz w:val="22"/>
          <w:szCs w:val="22"/>
          <w:u w:val="single"/>
        </w:rPr>
        <w:t>５　地震発生時における災害対策本部等の事務局体制</w:t>
      </w:r>
      <w:bookmarkEnd w:id="60"/>
      <w:bookmarkEnd w:id="61"/>
      <w:bookmarkEnd w:id="62"/>
    </w:p>
    <w:p w14:paraId="7E47AB3C" w14:textId="2CCE86C9" w:rsidR="005D372A" w:rsidRPr="001D6D10" w:rsidRDefault="005D372A" w:rsidP="005D372A">
      <w:pPr>
        <w:adjustRightInd w:val="0"/>
        <w:snapToGrid w:val="0"/>
        <w:ind w:left="867" w:rightChars="-108" w:right="-228" w:hangingChars="392" w:hanging="867"/>
        <w:rPr>
          <w:rFonts w:ascii="ＭＳ 明朝" w:hAnsi="ＭＳ 明朝"/>
          <w:sz w:val="22"/>
          <w:szCs w:val="22"/>
        </w:rPr>
      </w:pPr>
      <w:r w:rsidRPr="001D6D10">
        <w:rPr>
          <w:rFonts w:ascii="ＭＳ 明朝" w:hAnsi="ＭＳ 明朝" w:hint="eastAsia"/>
          <w:sz w:val="22"/>
          <w:szCs w:val="22"/>
        </w:rPr>
        <w:t xml:space="preserve">          指令部長は、地震発生時には、指令部（非常１号配備）、警戒本部（非常２号配備）及び災対本部（非常３号配備）の運営を円滑に行うため、次表のとおり事務局職員を招集する。</w:t>
      </w:r>
    </w:p>
    <w:p w14:paraId="1E810B05" w14:textId="77777777" w:rsidR="005D372A" w:rsidRPr="001D6D10" w:rsidRDefault="005D372A" w:rsidP="005D372A">
      <w:pPr>
        <w:adjustRightInd w:val="0"/>
        <w:snapToGrid w:val="0"/>
        <w:ind w:left="867" w:rightChars="-108" w:right="-228" w:hangingChars="392" w:hanging="867"/>
        <w:rPr>
          <w:rFonts w:ascii="ＭＳ 明朝" w:hAnsi="ＭＳ 明朝"/>
          <w:sz w:val="22"/>
          <w:szCs w:val="22"/>
        </w:rPr>
      </w:pPr>
      <w:r w:rsidRPr="001D6D10">
        <w:rPr>
          <w:rFonts w:ascii="ＭＳ 明朝" w:hAnsi="ＭＳ 明朝" w:hint="eastAsia"/>
          <w:sz w:val="22"/>
          <w:szCs w:val="22"/>
        </w:rPr>
        <w:t xml:space="preserve">　　　　　なお、事務局体制については、時間経過によって変化する応急対策業務に柔軟に対応するため、フェーズごとに班体制の人員等を定める。</w:t>
      </w:r>
    </w:p>
    <w:p w14:paraId="579079C9" w14:textId="77777777" w:rsidR="005D372A" w:rsidRPr="001D6D10" w:rsidRDefault="005D372A" w:rsidP="005D372A">
      <w:pPr>
        <w:adjustRightInd w:val="0"/>
        <w:snapToGrid w:val="0"/>
        <w:ind w:leftChars="400" w:left="844" w:rightChars="-108" w:right="-228" w:firstLineChars="100" w:firstLine="221"/>
        <w:rPr>
          <w:rFonts w:ascii="ＭＳ 明朝" w:hAnsi="ＭＳ 明朝"/>
          <w:sz w:val="22"/>
          <w:szCs w:val="22"/>
        </w:rPr>
      </w:pPr>
      <w:r w:rsidRPr="001D6D10">
        <w:rPr>
          <w:rFonts w:ascii="ＭＳ 明朝" w:hAnsi="ＭＳ 明朝" w:hint="eastAsia"/>
          <w:sz w:val="22"/>
          <w:szCs w:val="22"/>
        </w:rPr>
        <w:t>また、指令部長は、必要に応じ、事務局職員の員数を増減することができるものとし、増員する場合は、災対本部各班から応援する職員を指名できるものとするほか、時間外に発災した場合は、不足する人員部分に緊急防災推進員を配置する。</w:t>
      </w:r>
    </w:p>
    <w:p w14:paraId="5C9CEBFC" w14:textId="77777777" w:rsidR="005D372A" w:rsidRPr="001D6D10" w:rsidRDefault="005D372A" w:rsidP="005D372A">
      <w:pPr>
        <w:adjustRightInd w:val="0"/>
        <w:snapToGrid w:val="0"/>
        <w:rPr>
          <w:rFonts w:ascii="ＭＳ 明朝" w:hAnsi="ＭＳ 明朝"/>
          <w:sz w:val="22"/>
          <w:szCs w:val="22"/>
        </w:rPr>
      </w:pPr>
    </w:p>
    <w:p w14:paraId="0B1605D5" w14:textId="77777777" w:rsidR="005D372A" w:rsidRPr="001D6D10" w:rsidRDefault="005D372A" w:rsidP="005D372A">
      <w:pPr>
        <w:adjustRightInd w:val="0"/>
        <w:snapToGrid w:val="0"/>
        <w:ind w:rightChars="-309" w:right="-652"/>
        <w:rPr>
          <w:rFonts w:ascii="ＭＳ 明朝" w:hAnsi="ＭＳ 明朝"/>
          <w:sz w:val="22"/>
          <w:szCs w:val="22"/>
        </w:rPr>
      </w:pPr>
      <w:r w:rsidRPr="001D6D10">
        <w:rPr>
          <w:rFonts w:ascii="ＭＳ ゴシック" w:eastAsia="ＭＳ ゴシック" w:hAnsi="ＭＳ ゴシック" w:hint="eastAsia"/>
          <w:b/>
        </w:rPr>
        <w:t>(1)第１フェーズ（発災後3時間まで）～第２フェーズ（発災後24時間まで）※時間は目安です。</w:t>
      </w:r>
    </w:p>
    <w:tbl>
      <w:tblPr>
        <w:tblW w:w="9012" w:type="dxa"/>
        <w:jc w:val="center"/>
        <w:tblBorders>
          <w:top w:val="thinThickSmallGap" w:sz="24" w:space="0" w:color="auto"/>
          <w:left w:val="thinThickSmallGap" w:sz="24" w:space="0" w:color="auto"/>
          <w:bottom w:val="thinThickSmallGap" w:sz="24" w:space="0" w:color="auto"/>
          <w:right w:val="thinThickSmallGap" w:sz="24" w:space="0" w:color="auto"/>
          <w:insideH w:val="thinThickSmallGap" w:sz="24" w:space="0" w:color="auto"/>
          <w:insideV w:val="thinThickSmallGap" w:sz="24" w:space="0" w:color="auto"/>
        </w:tblBorders>
        <w:tblLook w:val="04A0" w:firstRow="1" w:lastRow="0" w:firstColumn="1" w:lastColumn="0" w:noHBand="0" w:noVBand="1"/>
      </w:tblPr>
      <w:tblGrid>
        <w:gridCol w:w="1644"/>
        <w:gridCol w:w="7368"/>
      </w:tblGrid>
      <w:tr w:rsidR="005D372A" w:rsidRPr="001D6D10" w14:paraId="16AE3EDF" w14:textId="77777777" w:rsidTr="008B4B2B">
        <w:trPr>
          <w:trHeight w:val="705"/>
          <w:jc w:val="center"/>
        </w:trPr>
        <w:tc>
          <w:tcPr>
            <w:tcW w:w="1644" w:type="dxa"/>
            <w:tcBorders>
              <w:top w:val="thinThickSmallGap" w:sz="24" w:space="0" w:color="auto"/>
              <w:left w:val="thinThickSmallGap" w:sz="24" w:space="0" w:color="auto"/>
              <w:bottom w:val="thinThickSmallGap" w:sz="24" w:space="0" w:color="auto"/>
              <w:right w:val="thinThickSmallGap" w:sz="24" w:space="0" w:color="auto"/>
            </w:tcBorders>
            <w:vAlign w:val="center"/>
            <w:hideMark/>
          </w:tcPr>
          <w:p w14:paraId="66EA6357" w14:textId="77777777" w:rsidR="005D372A" w:rsidRPr="001D6D10" w:rsidRDefault="005D372A" w:rsidP="008B4B2B">
            <w:pPr>
              <w:adjustRightInd w:val="0"/>
              <w:snapToGrid w:val="0"/>
              <w:jc w:val="center"/>
              <w:rPr>
                <w:rFonts w:ascii="ＭＳ ゴシック" w:eastAsia="ＭＳ ゴシック" w:hAnsi="ＭＳ ゴシック"/>
                <w:b/>
                <w:sz w:val="28"/>
                <w:szCs w:val="28"/>
              </w:rPr>
            </w:pPr>
            <w:r w:rsidRPr="001D6D10">
              <w:rPr>
                <w:rFonts w:ascii="ＭＳ ゴシック" w:eastAsia="ＭＳ ゴシック" w:hAnsi="ＭＳ ゴシック" w:hint="eastAsia"/>
                <w:b/>
                <w:sz w:val="28"/>
                <w:szCs w:val="28"/>
              </w:rPr>
              <w:t>目　標</w:t>
            </w:r>
          </w:p>
        </w:tc>
        <w:tc>
          <w:tcPr>
            <w:tcW w:w="7368" w:type="dxa"/>
            <w:tcBorders>
              <w:top w:val="thinThickSmallGap" w:sz="24" w:space="0" w:color="auto"/>
              <w:left w:val="thinThickSmallGap" w:sz="24" w:space="0" w:color="auto"/>
              <w:bottom w:val="thinThickSmallGap" w:sz="24" w:space="0" w:color="auto"/>
              <w:right w:val="thinThickSmallGap" w:sz="24" w:space="0" w:color="auto"/>
            </w:tcBorders>
            <w:vAlign w:val="center"/>
            <w:hideMark/>
          </w:tcPr>
          <w:p w14:paraId="48F1EBD4" w14:textId="77777777" w:rsidR="005D372A" w:rsidRPr="001D6D10" w:rsidRDefault="005D372A" w:rsidP="008B4B2B">
            <w:pPr>
              <w:adjustRightInd w:val="0"/>
              <w:snapToGrid w:val="0"/>
              <w:ind w:firstLineChars="100" w:firstLine="212"/>
              <w:jc w:val="left"/>
              <w:rPr>
                <w:rFonts w:ascii="ＭＳ ゴシック" w:eastAsia="ＭＳ ゴシック" w:hAnsi="ＭＳ ゴシック"/>
                <w:b/>
              </w:rPr>
            </w:pPr>
            <w:r w:rsidRPr="001D6D10">
              <w:rPr>
                <w:rFonts w:ascii="ＭＳ ゴシック" w:eastAsia="ＭＳ ゴシック" w:hAnsi="ＭＳ ゴシック" w:hint="eastAsia"/>
                <w:b/>
              </w:rPr>
              <w:t>・迅速な体制確立と情報収集　・的確な府民への緊急情報の発信</w:t>
            </w:r>
          </w:p>
          <w:p w14:paraId="03F0FB16" w14:textId="77777777" w:rsidR="00AA40BC" w:rsidRPr="001D6D10" w:rsidRDefault="005D372A" w:rsidP="008B4B2B">
            <w:pPr>
              <w:adjustRightInd w:val="0"/>
              <w:snapToGrid w:val="0"/>
              <w:ind w:firstLineChars="100" w:firstLine="212"/>
              <w:jc w:val="left"/>
              <w:rPr>
                <w:rFonts w:ascii="ＭＳ ゴシック" w:eastAsia="ＭＳ ゴシック" w:hAnsi="ＭＳ ゴシック"/>
                <w:b/>
              </w:rPr>
            </w:pPr>
            <w:r w:rsidRPr="001D6D10">
              <w:rPr>
                <w:rFonts w:ascii="ＭＳ ゴシック" w:eastAsia="ＭＳ ゴシック" w:hAnsi="ＭＳ ゴシック" w:hint="eastAsia"/>
                <w:b/>
              </w:rPr>
              <w:t>・防災機関への速やかな応援要請　・全庁的な情報共有と対応方針の統</w:t>
            </w:r>
            <w:r w:rsidR="00AA40BC" w:rsidRPr="001D6D10">
              <w:rPr>
                <w:rFonts w:ascii="ＭＳ ゴシック" w:eastAsia="ＭＳ ゴシック" w:hAnsi="ＭＳ ゴシック" w:hint="eastAsia"/>
                <w:b/>
              </w:rPr>
              <w:t xml:space="preserve">　　　</w:t>
            </w:r>
          </w:p>
          <w:p w14:paraId="4EDD3104" w14:textId="77777777" w:rsidR="005D372A" w:rsidRPr="001D6D10" w:rsidRDefault="00AA40BC" w:rsidP="008B4B2B">
            <w:pPr>
              <w:adjustRightInd w:val="0"/>
              <w:snapToGrid w:val="0"/>
              <w:ind w:firstLineChars="100" w:firstLine="212"/>
              <w:jc w:val="left"/>
              <w:rPr>
                <w:rFonts w:ascii="ＭＳ ゴシック" w:eastAsia="ＭＳ ゴシック" w:hAnsi="ＭＳ ゴシック"/>
                <w:b/>
                <w:sz w:val="24"/>
              </w:rPr>
            </w:pPr>
            <w:r w:rsidRPr="001D6D10">
              <w:rPr>
                <w:rFonts w:ascii="ＭＳ ゴシック" w:eastAsia="ＭＳ ゴシック" w:hAnsi="ＭＳ ゴシック" w:hint="eastAsia"/>
                <w:b/>
              </w:rPr>
              <w:t xml:space="preserve">　</w:t>
            </w:r>
            <w:r w:rsidR="005D372A" w:rsidRPr="001D6D10">
              <w:rPr>
                <w:rFonts w:ascii="ＭＳ ゴシック" w:eastAsia="ＭＳ ゴシック" w:hAnsi="ＭＳ ゴシック" w:hint="eastAsia"/>
                <w:b/>
              </w:rPr>
              <w:t>一</w:t>
            </w:r>
          </w:p>
        </w:tc>
      </w:tr>
    </w:tbl>
    <w:p w14:paraId="35AEB160" w14:textId="77777777" w:rsidR="005D372A" w:rsidRPr="001D6D10" w:rsidRDefault="005D372A" w:rsidP="005D372A">
      <w:pPr>
        <w:adjustRightInd w:val="0"/>
        <w:snapToGrid w:val="0"/>
      </w:pPr>
    </w:p>
    <w:tbl>
      <w:tblPr>
        <w:tblW w:w="8921"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696"/>
        <w:gridCol w:w="4112"/>
        <w:gridCol w:w="1111"/>
        <w:gridCol w:w="1014"/>
        <w:gridCol w:w="992"/>
        <w:gridCol w:w="996"/>
      </w:tblGrid>
      <w:tr w:rsidR="001D6D10" w:rsidRPr="00E0548A" w14:paraId="32479738" w14:textId="77777777" w:rsidTr="006E52DA">
        <w:trPr>
          <w:trHeight w:val="285"/>
        </w:trPr>
        <w:tc>
          <w:tcPr>
            <w:tcW w:w="696" w:type="dxa"/>
            <w:vMerge w:val="restart"/>
            <w:tcBorders>
              <w:top w:val="single" w:sz="4" w:space="0" w:color="auto"/>
              <w:left w:val="single" w:sz="4" w:space="0" w:color="auto"/>
              <w:bottom w:val="single" w:sz="4" w:space="0" w:color="auto"/>
              <w:right w:val="single" w:sz="4" w:space="0" w:color="auto"/>
            </w:tcBorders>
            <w:shd w:val="clear" w:color="auto" w:fill="F2F2F2"/>
            <w:vAlign w:val="center"/>
            <w:hideMark/>
          </w:tcPr>
          <w:p w14:paraId="09D78AD7" w14:textId="77777777" w:rsidR="00E5017E" w:rsidRPr="00E0548A" w:rsidRDefault="00E5017E" w:rsidP="008B4B2B">
            <w:pPr>
              <w:adjustRightInd w:val="0"/>
              <w:snapToGrid w:val="0"/>
              <w:spacing w:line="240" w:lineRule="exact"/>
              <w:jc w:val="center"/>
              <w:rPr>
                <w:rFonts w:ascii="ＭＳ ゴシック" w:eastAsia="ＭＳ ゴシック" w:hAnsi="ＭＳ ゴシック"/>
                <w:w w:val="50"/>
                <w:sz w:val="18"/>
                <w:szCs w:val="18"/>
              </w:rPr>
            </w:pPr>
            <w:r w:rsidRPr="00E0548A">
              <w:rPr>
                <w:rFonts w:ascii="ＭＳ ゴシック" w:eastAsia="ＭＳ ゴシック" w:hAnsi="ＭＳ ゴシック" w:hint="eastAsia"/>
                <w:w w:val="50"/>
                <w:sz w:val="18"/>
                <w:szCs w:val="18"/>
              </w:rPr>
              <w:t>班</w:t>
            </w:r>
          </w:p>
        </w:tc>
        <w:tc>
          <w:tcPr>
            <w:tcW w:w="5223" w:type="dxa"/>
            <w:gridSpan w:val="2"/>
            <w:vMerge w:val="restart"/>
            <w:tcBorders>
              <w:top w:val="single" w:sz="4" w:space="0" w:color="auto"/>
              <w:left w:val="single" w:sz="4" w:space="0" w:color="auto"/>
              <w:right w:val="single" w:sz="4" w:space="0" w:color="auto"/>
            </w:tcBorders>
            <w:shd w:val="clear" w:color="auto" w:fill="F2F2F2"/>
            <w:vAlign w:val="center"/>
            <w:hideMark/>
          </w:tcPr>
          <w:p w14:paraId="2CF62137" w14:textId="77777777" w:rsidR="00E5017E" w:rsidRPr="00E0548A" w:rsidRDefault="00E5017E" w:rsidP="008B4B2B">
            <w:pPr>
              <w:adjustRightInd w:val="0"/>
              <w:snapToGrid w:val="0"/>
              <w:spacing w:line="240" w:lineRule="exact"/>
              <w:jc w:val="center"/>
              <w:rPr>
                <w:rFonts w:ascii="ＭＳ ゴシック" w:eastAsia="ＭＳ ゴシック" w:hAnsi="ＭＳ ゴシック"/>
                <w:w w:val="50"/>
                <w:sz w:val="18"/>
                <w:szCs w:val="18"/>
              </w:rPr>
            </w:pPr>
            <w:r w:rsidRPr="00E0548A">
              <w:rPr>
                <w:rFonts w:ascii="ＭＳ ゴシック" w:eastAsia="ＭＳ ゴシック" w:hAnsi="ＭＳ ゴシック" w:hint="eastAsia"/>
                <w:w w:val="50"/>
                <w:sz w:val="18"/>
                <w:szCs w:val="18"/>
              </w:rPr>
              <w:t>主な業務項目</w:t>
            </w:r>
          </w:p>
        </w:tc>
        <w:tc>
          <w:tcPr>
            <w:tcW w:w="3002" w:type="dxa"/>
            <w:gridSpan w:val="3"/>
            <w:tcBorders>
              <w:top w:val="single" w:sz="4" w:space="0" w:color="auto"/>
              <w:left w:val="single" w:sz="4" w:space="0" w:color="auto"/>
              <w:right w:val="single" w:sz="4" w:space="0" w:color="auto"/>
            </w:tcBorders>
            <w:shd w:val="clear" w:color="auto" w:fill="F2F2F2"/>
            <w:vAlign w:val="center"/>
          </w:tcPr>
          <w:p w14:paraId="7964FCEA" w14:textId="77777777" w:rsidR="00E5017E" w:rsidRPr="00E0548A" w:rsidRDefault="00E5017E" w:rsidP="008B4B2B">
            <w:pPr>
              <w:adjustRightInd w:val="0"/>
              <w:snapToGrid w:val="0"/>
              <w:spacing w:line="240" w:lineRule="exact"/>
              <w:jc w:val="center"/>
              <w:rPr>
                <w:rFonts w:ascii="ＭＳ ゴシック" w:eastAsia="ＭＳ ゴシック" w:hAnsi="ＭＳ ゴシック"/>
                <w:w w:val="50"/>
                <w:sz w:val="18"/>
                <w:szCs w:val="18"/>
              </w:rPr>
            </w:pPr>
            <w:r w:rsidRPr="00E0548A">
              <w:rPr>
                <w:rFonts w:ascii="ＭＳ ゴシック" w:eastAsia="ＭＳ ゴシック" w:hAnsi="ＭＳ ゴシック" w:hint="eastAsia"/>
                <w:w w:val="50"/>
                <w:sz w:val="18"/>
                <w:szCs w:val="18"/>
              </w:rPr>
              <w:t>構成員</w:t>
            </w:r>
          </w:p>
        </w:tc>
      </w:tr>
      <w:tr w:rsidR="001D6D10" w:rsidRPr="00E0548A" w14:paraId="521E1979" w14:textId="77777777" w:rsidTr="006E52DA">
        <w:trPr>
          <w:trHeight w:val="275"/>
        </w:trPr>
        <w:tc>
          <w:tcPr>
            <w:tcW w:w="696" w:type="dxa"/>
            <w:vMerge/>
            <w:tcBorders>
              <w:top w:val="single" w:sz="4" w:space="0" w:color="auto"/>
              <w:left w:val="single" w:sz="4" w:space="0" w:color="auto"/>
              <w:bottom w:val="single" w:sz="4" w:space="0" w:color="auto"/>
              <w:right w:val="single" w:sz="4" w:space="0" w:color="auto"/>
            </w:tcBorders>
            <w:shd w:val="clear" w:color="auto" w:fill="F2F2F2"/>
            <w:vAlign w:val="center"/>
            <w:hideMark/>
          </w:tcPr>
          <w:p w14:paraId="7F80FCB5" w14:textId="77777777" w:rsidR="00E5017E" w:rsidRPr="00E0548A" w:rsidRDefault="00E5017E" w:rsidP="008B4B2B">
            <w:pPr>
              <w:widowControl/>
              <w:adjustRightInd w:val="0"/>
              <w:snapToGrid w:val="0"/>
              <w:spacing w:line="240" w:lineRule="exact"/>
              <w:jc w:val="center"/>
              <w:rPr>
                <w:rFonts w:ascii="ＭＳ ゴシック" w:eastAsia="ＭＳ ゴシック" w:hAnsi="ＭＳ ゴシック"/>
                <w:w w:val="50"/>
                <w:sz w:val="18"/>
                <w:szCs w:val="18"/>
              </w:rPr>
            </w:pPr>
          </w:p>
        </w:tc>
        <w:tc>
          <w:tcPr>
            <w:tcW w:w="5223" w:type="dxa"/>
            <w:gridSpan w:val="2"/>
            <w:vMerge/>
            <w:tcBorders>
              <w:left w:val="single" w:sz="4" w:space="0" w:color="auto"/>
              <w:bottom w:val="single" w:sz="4" w:space="0" w:color="auto"/>
              <w:right w:val="single" w:sz="4" w:space="0" w:color="auto"/>
            </w:tcBorders>
            <w:shd w:val="clear" w:color="auto" w:fill="F2F2F2"/>
            <w:vAlign w:val="center"/>
            <w:hideMark/>
          </w:tcPr>
          <w:p w14:paraId="126BA2E5" w14:textId="77777777" w:rsidR="00E5017E" w:rsidRPr="00E0548A" w:rsidRDefault="00E5017E" w:rsidP="008B4B2B">
            <w:pPr>
              <w:widowControl/>
              <w:adjustRightInd w:val="0"/>
              <w:snapToGrid w:val="0"/>
              <w:spacing w:line="240" w:lineRule="exact"/>
              <w:jc w:val="left"/>
              <w:rPr>
                <w:rFonts w:ascii="ＭＳ ゴシック" w:eastAsia="ＭＳ ゴシック" w:hAnsi="ＭＳ ゴシック"/>
                <w:w w:val="50"/>
                <w:sz w:val="18"/>
                <w:szCs w:val="18"/>
              </w:rPr>
            </w:pPr>
          </w:p>
        </w:tc>
        <w:tc>
          <w:tcPr>
            <w:tcW w:w="1014" w:type="dxa"/>
            <w:tcBorders>
              <w:top w:val="single" w:sz="4" w:space="0" w:color="auto"/>
              <w:left w:val="single" w:sz="4" w:space="0" w:color="auto"/>
              <w:bottom w:val="single" w:sz="4" w:space="0" w:color="auto"/>
              <w:right w:val="single" w:sz="4" w:space="0" w:color="auto"/>
            </w:tcBorders>
            <w:shd w:val="clear" w:color="auto" w:fill="F2F2F2"/>
            <w:vAlign w:val="center"/>
            <w:hideMark/>
          </w:tcPr>
          <w:p w14:paraId="4654D779" w14:textId="77777777" w:rsidR="00E5017E" w:rsidRPr="00E0548A" w:rsidRDefault="00E5017E" w:rsidP="008B4B2B">
            <w:pPr>
              <w:adjustRightInd w:val="0"/>
              <w:snapToGrid w:val="0"/>
              <w:spacing w:line="240" w:lineRule="exact"/>
              <w:jc w:val="center"/>
              <w:rPr>
                <w:rFonts w:ascii="ＭＳ ゴシック" w:eastAsia="ＭＳ ゴシック" w:hAnsi="ＭＳ ゴシック"/>
                <w:w w:val="50"/>
                <w:sz w:val="18"/>
                <w:szCs w:val="18"/>
              </w:rPr>
            </w:pPr>
            <w:r w:rsidRPr="00E0548A">
              <w:rPr>
                <w:rFonts w:ascii="ＭＳ ゴシック" w:eastAsia="ＭＳ ゴシック" w:hAnsi="ＭＳ ゴシック" w:hint="eastAsia"/>
                <w:w w:val="50"/>
                <w:sz w:val="18"/>
                <w:szCs w:val="18"/>
              </w:rPr>
              <w:t>非常1号（指令部）</w:t>
            </w:r>
          </w:p>
        </w:tc>
        <w:tc>
          <w:tcPr>
            <w:tcW w:w="992" w:type="dxa"/>
            <w:tcBorders>
              <w:top w:val="single" w:sz="4" w:space="0" w:color="auto"/>
              <w:left w:val="single" w:sz="4" w:space="0" w:color="auto"/>
              <w:bottom w:val="single" w:sz="4" w:space="0" w:color="auto"/>
              <w:right w:val="single" w:sz="4" w:space="0" w:color="auto"/>
            </w:tcBorders>
            <w:shd w:val="clear" w:color="auto" w:fill="F2F2F2"/>
            <w:vAlign w:val="center"/>
            <w:hideMark/>
          </w:tcPr>
          <w:p w14:paraId="3FDB2435" w14:textId="77777777" w:rsidR="00E5017E" w:rsidRPr="00E0548A" w:rsidRDefault="00E5017E" w:rsidP="008B4B2B">
            <w:pPr>
              <w:adjustRightInd w:val="0"/>
              <w:snapToGrid w:val="0"/>
              <w:spacing w:line="240" w:lineRule="exact"/>
              <w:jc w:val="center"/>
              <w:rPr>
                <w:rFonts w:ascii="ＭＳ ゴシック" w:eastAsia="ＭＳ ゴシック" w:hAnsi="ＭＳ ゴシック"/>
                <w:w w:val="50"/>
                <w:sz w:val="18"/>
                <w:szCs w:val="18"/>
              </w:rPr>
            </w:pPr>
            <w:r w:rsidRPr="00E0548A">
              <w:rPr>
                <w:rFonts w:ascii="ＭＳ ゴシック" w:eastAsia="ＭＳ ゴシック" w:hAnsi="ＭＳ ゴシック" w:hint="eastAsia"/>
                <w:w w:val="50"/>
                <w:sz w:val="18"/>
                <w:szCs w:val="18"/>
              </w:rPr>
              <w:t>非常2号（警戒本部）</w:t>
            </w:r>
          </w:p>
        </w:tc>
        <w:tc>
          <w:tcPr>
            <w:tcW w:w="996" w:type="dxa"/>
            <w:tcBorders>
              <w:top w:val="single" w:sz="4" w:space="0" w:color="auto"/>
              <w:left w:val="single" w:sz="4" w:space="0" w:color="auto"/>
              <w:bottom w:val="single" w:sz="4" w:space="0" w:color="auto"/>
              <w:right w:val="single" w:sz="4" w:space="0" w:color="auto"/>
            </w:tcBorders>
            <w:shd w:val="clear" w:color="auto" w:fill="F2F2F2"/>
            <w:vAlign w:val="center"/>
            <w:hideMark/>
          </w:tcPr>
          <w:p w14:paraId="5508EAA2" w14:textId="77777777" w:rsidR="00E5017E" w:rsidRPr="00E0548A" w:rsidRDefault="00E5017E" w:rsidP="008B4B2B">
            <w:pPr>
              <w:adjustRightInd w:val="0"/>
              <w:snapToGrid w:val="0"/>
              <w:spacing w:line="240" w:lineRule="exact"/>
              <w:jc w:val="center"/>
              <w:rPr>
                <w:rFonts w:ascii="ＭＳ ゴシック" w:eastAsia="ＭＳ ゴシック" w:hAnsi="ＭＳ ゴシック"/>
                <w:w w:val="50"/>
                <w:sz w:val="18"/>
                <w:szCs w:val="18"/>
              </w:rPr>
            </w:pPr>
            <w:r w:rsidRPr="00E0548A">
              <w:rPr>
                <w:rFonts w:ascii="ＭＳ ゴシック" w:eastAsia="ＭＳ ゴシック" w:hAnsi="ＭＳ ゴシック" w:hint="eastAsia"/>
                <w:w w:val="50"/>
                <w:sz w:val="18"/>
                <w:szCs w:val="18"/>
              </w:rPr>
              <w:t>非常3号（災対本部）</w:t>
            </w:r>
          </w:p>
        </w:tc>
      </w:tr>
      <w:tr w:rsidR="001D6D10" w:rsidRPr="00E0548A" w14:paraId="443A0EF9" w14:textId="77777777" w:rsidTr="006E52DA">
        <w:trPr>
          <w:trHeight w:val="623"/>
        </w:trPr>
        <w:tc>
          <w:tcPr>
            <w:tcW w:w="696" w:type="dxa"/>
            <w:vMerge w:val="restart"/>
            <w:tcBorders>
              <w:top w:val="single" w:sz="4" w:space="0" w:color="auto"/>
              <w:left w:val="single" w:sz="4" w:space="0" w:color="auto"/>
              <w:right w:val="single" w:sz="4" w:space="0" w:color="auto"/>
            </w:tcBorders>
            <w:textDirection w:val="tbRlV"/>
            <w:vAlign w:val="center"/>
            <w:hideMark/>
          </w:tcPr>
          <w:p w14:paraId="67C421E1" w14:textId="77777777" w:rsidR="00E5017E" w:rsidRPr="00E0548A" w:rsidRDefault="00E5017E" w:rsidP="008B4B2B">
            <w:pPr>
              <w:adjustRightInd w:val="0"/>
              <w:snapToGrid w:val="0"/>
              <w:spacing w:line="240" w:lineRule="exact"/>
              <w:ind w:left="113" w:right="113"/>
              <w:jc w:val="center"/>
              <w:rPr>
                <w:rFonts w:ascii="ＭＳ ゴシック" w:eastAsia="ＭＳ ゴシック" w:hAnsi="ＭＳ ゴシック"/>
                <w:w w:val="50"/>
                <w:sz w:val="18"/>
                <w:szCs w:val="18"/>
              </w:rPr>
            </w:pPr>
            <w:r w:rsidRPr="00E0548A">
              <w:rPr>
                <w:rFonts w:ascii="ＭＳ ゴシック" w:eastAsia="ＭＳ ゴシック" w:hAnsi="ＭＳ ゴシック" w:hint="eastAsia"/>
                <w:spacing w:val="46"/>
                <w:kern w:val="0"/>
                <w:sz w:val="18"/>
                <w:szCs w:val="18"/>
                <w:fitText w:val="724" w:id="-1575691263"/>
              </w:rPr>
              <w:t>統括</w:t>
            </w:r>
            <w:r w:rsidRPr="00E0548A">
              <w:rPr>
                <w:rFonts w:ascii="ＭＳ ゴシック" w:eastAsia="ＭＳ ゴシック" w:hAnsi="ＭＳ ゴシック" w:hint="eastAsia"/>
                <w:kern w:val="0"/>
                <w:sz w:val="18"/>
                <w:szCs w:val="18"/>
                <w:fitText w:val="724" w:id="-1575691263"/>
              </w:rPr>
              <w:t>班</w:t>
            </w:r>
          </w:p>
        </w:tc>
        <w:tc>
          <w:tcPr>
            <w:tcW w:w="5223" w:type="dxa"/>
            <w:gridSpan w:val="2"/>
            <w:vMerge w:val="restart"/>
            <w:tcBorders>
              <w:top w:val="single" w:sz="4" w:space="0" w:color="auto"/>
              <w:left w:val="single" w:sz="4" w:space="0" w:color="auto"/>
              <w:right w:val="single" w:sz="4" w:space="0" w:color="auto"/>
            </w:tcBorders>
            <w:vAlign w:val="center"/>
            <w:hideMark/>
          </w:tcPr>
          <w:p w14:paraId="6A54964B" w14:textId="77777777" w:rsidR="00E447A0" w:rsidRPr="00E0548A" w:rsidRDefault="00E447A0" w:rsidP="008B4B2B">
            <w:pPr>
              <w:adjustRightInd w:val="0"/>
              <w:snapToGrid w:val="0"/>
              <w:spacing w:line="240" w:lineRule="exact"/>
              <w:jc w:val="left"/>
              <w:rPr>
                <w:rFonts w:ascii="ＭＳ ゴシック" w:eastAsia="ＭＳ ゴシック" w:hAnsi="ＭＳ ゴシック"/>
                <w:w w:val="50"/>
                <w:sz w:val="18"/>
                <w:szCs w:val="18"/>
              </w:rPr>
            </w:pPr>
            <w:r w:rsidRPr="00E0548A">
              <w:rPr>
                <w:rFonts w:ascii="ＭＳ ゴシック" w:eastAsia="ＭＳ ゴシック" w:hAnsi="ＭＳ ゴシック" w:hint="eastAsia"/>
                <w:w w:val="50"/>
                <w:sz w:val="18"/>
                <w:szCs w:val="18"/>
              </w:rPr>
              <w:t>〇災害対策本部会議の資料及び報道提供資料作成</w:t>
            </w:r>
          </w:p>
          <w:p w14:paraId="4A16A81E" w14:textId="77777777" w:rsidR="00E447A0" w:rsidRPr="00E0548A" w:rsidRDefault="00E447A0" w:rsidP="008B4B2B">
            <w:pPr>
              <w:adjustRightInd w:val="0"/>
              <w:snapToGrid w:val="0"/>
              <w:spacing w:line="240" w:lineRule="exact"/>
              <w:jc w:val="left"/>
              <w:rPr>
                <w:rFonts w:ascii="ＭＳ ゴシック" w:eastAsia="ＭＳ ゴシック" w:hAnsi="ＭＳ ゴシック"/>
                <w:w w:val="50"/>
                <w:sz w:val="18"/>
                <w:szCs w:val="18"/>
              </w:rPr>
            </w:pPr>
            <w:r w:rsidRPr="00E0548A">
              <w:rPr>
                <w:rFonts w:ascii="ＭＳ ゴシック" w:eastAsia="ＭＳ ゴシック" w:hAnsi="ＭＳ ゴシック" w:hint="eastAsia"/>
                <w:w w:val="50"/>
                <w:sz w:val="18"/>
                <w:szCs w:val="18"/>
              </w:rPr>
              <w:t>〇先遣隊の編成及び指示</w:t>
            </w:r>
          </w:p>
          <w:p w14:paraId="623C5DD0" w14:textId="77777777" w:rsidR="00E447A0" w:rsidRPr="00E0548A" w:rsidRDefault="00E447A0" w:rsidP="008B4B2B">
            <w:pPr>
              <w:adjustRightInd w:val="0"/>
              <w:snapToGrid w:val="0"/>
              <w:spacing w:line="240" w:lineRule="exact"/>
              <w:jc w:val="left"/>
              <w:rPr>
                <w:rFonts w:ascii="ＭＳ ゴシック" w:eastAsia="ＭＳ ゴシック" w:hAnsi="ＭＳ ゴシック"/>
                <w:w w:val="50"/>
                <w:sz w:val="18"/>
                <w:szCs w:val="18"/>
              </w:rPr>
            </w:pPr>
            <w:r w:rsidRPr="00E0548A">
              <w:rPr>
                <w:rFonts w:ascii="ＭＳ ゴシック" w:eastAsia="ＭＳ ゴシック" w:hAnsi="ＭＳ ゴシック" w:hint="eastAsia"/>
                <w:w w:val="50"/>
                <w:sz w:val="18"/>
                <w:szCs w:val="18"/>
              </w:rPr>
              <w:t>〇先遣隊からの情報に基づき市町村への現地連絡員派遣編成内容を検討</w:t>
            </w:r>
          </w:p>
          <w:p w14:paraId="40E7E960" w14:textId="77777777" w:rsidR="00E5017E" w:rsidRPr="00E0548A" w:rsidRDefault="00E5017E" w:rsidP="008B4B2B">
            <w:pPr>
              <w:adjustRightInd w:val="0"/>
              <w:snapToGrid w:val="0"/>
              <w:spacing w:line="240" w:lineRule="exact"/>
              <w:jc w:val="left"/>
              <w:rPr>
                <w:rFonts w:ascii="ＭＳ ゴシック" w:eastAsia="ＭＳ ゴシック" w:hAnsi="ＭＳ ゴシック"/>
                <w:w w:val="50"/>
                <w:sz w:val="18"/>
                <w:szCs w:val="18"/>
              </w:rPr>
            </w:pPr>
            <w:r w:rsidRPr="00E0548A">
              <w:rPr>
                <w:rFonts w:ascii="ＭＳ ゴシック" w:eastAsia="ＭＳ ゴシック" w:hAnsi="ＭＳ ゴシック" w:hint="eastAsia"/>
                <w:w w:val="50"/>
                <w:sz w:val="18"/>
                <w:szCs w:val="18"/>
              </w:rPr>
              <w:t>○災害対策に関する基本方針の作成</w:t>
            </w:r>
          </w:p>
          <w:p w14:paraId="1BF0E889" w14:textId="77777777" w:rsidR="00E5017E" w:rsidRPr="00E0548A" w:rsidRDefault="00E5017E" w:rsidP="008B4B2B">
            <w:pPr>
              <w:adjustRightInd w:val="0"/>
              <w:snapToGrid w:val="0"/>
              <w:spacing w:line="240" w:lineRule="exact"/>
              <w:jc w:val="left"/>
              <w:rPr>
                <w:rFonts w:ascii="ＭＳ ゴシック" w:eastAsia="ＭＳ ゴシック" w:hAnsi="ＭＳ ゴシック"/>
                <w:w w:val="50"/>
                <w:sz w:val="18"/>
                <w:szCs w:val="18"/>
              </w:rPr>
            </w:pPr>
            <w:r w:rsidRPr="00E0548A">
              <w:rPr>
                <w:rFonts w:ascii="ＭＳ ゴシック" w:eastAsia="ＭＳ ゴシック" w:hAnsi="ＭＳ ゴシック" w:hint="eastAsia"/>
                <w:w w:val="50"/>
                <w:sz w:val="18"/>
                <w:szCs w:val="18"/>
              </w:rPr>
              <w:t>○情報の総合集約(事務局班長会議の主催)</w:t>
            </w:r>
          </w:p>
          <w:p w14:paraId="04158F63" w14:textId="77777777" w:rsidR="00E5017E" w:rsidRPr="00E0548A" w:rsidRDefault="00E5017E" w:rsidP="008B4B2B">
            <w:pPr>
              <w:adjustRightInd w:val="0"/>
              <w:snapToGrid w:val="0"/>
              <w:spacing w:line="240" w:lineRule="exact"/>
              <w:jc w:val="left"/>
              <w:rPr>
                <w:rFonts w:ascii="ＭＳ ゴシック" w:eastAsia="ＭＳ ゴシック" w:hAnsi="ＭＳ ゴシック"/>
                <w:w w:val="50"/>
                <w:sz w:val="18"/>
                <w:szCs w:val="18"/>
              </w:rPr>
            </w:pPr>
            <w:r w:rsidRPr="00E0548A">
              <w:rPr>
                <w:rFonts w:ascii="ＭＳ ゴシック" w:eastAsia="ＭＳ ゴシック" w:hAnsi="ＭＳ ゴシック" w:hint="eastAsia"/>
                <w:w w:val="50"/>
                <w:sz w:val="18"/>
                <w:szCs w:val="18"/>
              </w:rPr>
              <w:t>○対策に関する総合調整</w:t>
            </w:r>
          </w:p>
          <w:p w14:paraId="4A2A849C" w14:textId="77777777" w:rsidR="00E5017E" w:rsidRPr="00E0548A" w:rsidRDefault="00E5017E" w:rsidP="008B4B2B">
            <w:pPr>
              <w:adjustRightInd w:val="0"/>
              <w:snapToGrid w:val="0"/>
              <w:spacing w:line="240" w:lineRule="exact"/>
              <w:jc w:val="left"/>
              <w:rPr>
                <w:rFonts w:ascii="ＭＳ ゴシック" w:eastAsia="ＭＳ ゴシック" w:hAnsi="ＭＳ ゴシック"/>
                <w:w w:val="50"/>
                <w:sz w:val="18"/>
                <w:szCs w:val="18"/>
              </w:rPr>
            </w:pPr>
            <w:r w:rsidRPr="00E0548A">
              <w:rPr>
                <w:rFonts w:ascii="ＭＳ ゴシック" w:eastAsia="ＭＳ ゴシック" w:hAnsi="ＭＳ ゴシック" w:hint="eastAsia"/>
                <w:w w:val="50"/>
                <w:sz w:val="18"/>
                <w:szCs w:val="18"/>
              </w:rPr>
              <w:t>○事務局内の人員調整</w:t>
            </w:r>
          </w:p>
          <w:p w14:paraId="40522D20" w14:textId="77777777" w:rsidR="000940DF" w:rsidRPr="00E0548A" w:rsidRDefault="00E447A0" w:rsidP="000940DF">
            <w:pPr>
              <w:adjustRightInd w:val="0"/>
              <w:snapToGrid w:val="0"/>
              <w:spacing w:line="240" w:lineRule="exact"/>
              <w:jc w:val="left"/>
              <w:rPr>
                <w:rFonts w:ascii="ＭＳ ゴシック" w:eastAsia="ＭＳ ゴシック" w:hAnsi="ＭＳ ゴシック"/>
                <w:w w:val="50"/>
                <w:sz w:val="18"/>
                <w:szCs w:val="18"/>
              </w:rPr>
            </w:pPr>
            <w:r w:rsidRPr="00E0548A">
              <w:rPr>
                <w:rFonts w:ascii="ＭＳ ゴシック" w:eastAsia="ＭＳ ゴシック" w:hAnsi="ＭＳ ゴシック" w:hint="eastAsia"/>
                <w:w w:val="50"/>
                <w:sz w:val="18"/>
                <w:szCs w:val="18"/>
              </w:rPr>
              <w:t>〇国関係省庁情報連絡会議の開催（毎日夕方実施）</w:t>
            </w:r>
          </w:p>
          <w:p w14:paraId="0422B2B7" w14:textId="1EC9D737" w:rsidR="000940DF" w:rsidRPr="00E0548A" w:rsidRDefault="000940DF" w:rsidP="000940DF">
            <w:pPr>
              <w:adjustRightInd w:val="0"/>
              <w:snapToGrid w:val="0"/>
              <w:spacing w:line="240" w:lineRule="exact"/>
              <w:jc w:val="left"/>
              <w:rPr>
                <w:rFonts w:ascii="ＭＳ ゴシック" w:eastAsia="ＭＳ ゴシック" w:hAnsi="ＭＳ ゴシック"/>
                <w:w w:val="50"/>
                <w:sz w:val="18"/>
                <w:szCs w:val="18"/>
              </w:rPr>
            </w:pPr>
            <w:r w:rsidRPr="00E0548A">
              <w:rPr>
                <w:rFonts w:ascii="ＭＳ ゴシック" w:eastAsia="ＭＳ ゴシック" w:hAnsi="ＭＳ ゴシック" w:hint="eastAsia"/>
                <w:w w:val="50"/>
                <w:sz w:val="18"/>
                <w:szCs w:val="18"/>
              </w:rPr>
              <w:t>○リエゾン間の情報共有会議の開催</w:t>
            </w:r>
          </w:p>
          <w:p w14:paraId="7059C4AD" w14:textId="422EC888" w:rsidR="00E447A0" w:rsidRPr="00E0548A" w:rsidRDefault="00E447A0">
            <w:pPr>
              <w:adjustRightInd w:val="0"/>
              <w:snapToGrid w:val="0"/>
              <w:spacing w:line="240" w:lineRule="exact"/>
              <w:jc w:val="left"/>
              <w:rPr>
                <w:rFonts w:ascii="ＭＳ ゴシック" w:eastAsia="ＭＳ ゴシック" w:hAnsi="ＭＳ ゴシック"/>
                <w:w w:val="50"/>
                <w:sz w:val="18"/>
                <w:szCs w:val="18"/>
              </w:rPr>
            </w:pPr>
          </w:p>
        </w:tc>
        <w:tc>
          <w:tcPr>
            <w:tcW w:w="3002" w:type="dxa"/>
            <w:gridSpan w:val="3"/>
            <w:tcBorders>
              <w:top w:val="single" w:sz="4" w:space="0" w:color="auto"/>
              <w:left w:val="single" w:sz="4" w:space="0" w:color="auto"/>
              <w:bottom w:val="single" w:sz="4" w:space="0" w:color="auto"/>
              <w:right w:val="single" w:sz="4" w:space="0" w:color="auto"/>
            </w:tcBorders>
            <w:vAlign w:val="center"/>
          </w:tcPr>
          <w:p w14:paraId="3EDB17E9" w14:textId="77777777" w:rsidR="00E5017E" w:rsidRPr="00E0548A" w:rsidRDefault="00E5017E" w:rsidP="00D6130A">
            <w:pPr>
              <w:adjustRightInd w:val="0"/>
              <w:snapToGrid w:val="0"/>
              <w:spacing w:line="240" w:lineRule="exact"/>
              <w:jc w:val="left"/>
              <w:rPr>
                <w:rFonts w:ascii="ＭＳ ゴシック" w:eastAsia="ＭＳ ゴシック" w:hAnsi="ＭＳ ゴシック"/>
                <w:w w:val="50"/>
                <w:sz w:val="18"/>
                <w:szCs w:val="18"/>
              </w:rPr>
            </w:pPr>
            <w:r w:rsidRPr="00E0548A">
              <w:rPr>
                <w:rFonts w:ascii="ＭＳ ゴシック" w:eastAsia="ＭＳ ゴシック" w:hAnsi="ＭＳ ゴシック" w:hint="eastAsia"/>
                <w:w w:val="50"/>
                <w:sz w:val="18"/>
                <w:szCs w:val="18"/>
              </w:rPr>
              <w:t>危機管理監</w:t>
            </w:r>
          </w:p>
          <w:p w14:paraId="7631113F" w14:textId="77777777" w:rsidR="00E5017E" w:rsidRPr="00E0548A" w:rsidRDefault="00E5017E" w:rsidP="00D6130A">
            <w:pPr>
              <w:adjustRightInd w:val="0"/>
              <w:snapToGrid w:val="0"/>
              <w:spacing w:line="240" w:lineRule="exact"/>
              <w:ind w:firstLineChars="100" w:firstLine="91"/>
              <w:jc w:val="left"/>
              <w:rPr>
                <w:rFonts w:ascii="ＭＳ ゴシック" w:eastAsia="ＭＳ ゴシック" w:hAnsi="ＭＳ ゴシック"/>
                <w:w w:val="50"/>
                <w:sz w:val="18"/>
                <w:szCs w:val="18"/>
              </w:rPr>
            </w:pPr>
            <w:r w:rsidRPr="00E0548A">
              <w:rPr>
                <w:rFonts w:ascii="ＭＳ ゴシック" w:eastAsia="ＭＳ ゴシック" w:hAnsi="ＭＳ ゴシック" w:hint="eastAsia"/>
                <w:w w:val="50"/>
                <w:sz w:val="18"/>
                <w:szCs w:val="18"/>
              </w:rPr>
              <w:t>危機管理室長</w:t>
            </w:r>
          </w:p>
          <w:p w14:paraId="536F824A" w14:textId="77777777" w:rsidR="00E5017E" w:rsidRPr="00E0548A" w:rsidRDefault="00E5017E" w:rsidP="00D6130A">
            <w:pPr>
              <w:adjustRightInd w:val="0"/>
              <w:snapToGrid w:val="0"/>
              <w:spacing w:line="240" w:lineRule="exact"/>
              <w:ind w:firstLineChars="100" w:firstLine="91"/>
              <w:jc w:val="left"/>
              <w:rPr>
                <w:rFonts w:ascii="ＭＳ ゴシック" w:eastAsia="ＭＳ ゴシック" w:hAnsi="ＭＳ ゴシック"/>
                <w:w w:val="50"/>
                <w:sz w:val="18"/>
                <w:szCs w:val="18"/>
              </w:rPr>
            </w:pPr>
            <w:r w:rsidRPr="00E0548A">
              <w:rPr>
                <w:rFonts w:ascii="ＭＳ ゴシック" w:eastAsia="ＭＳ ゴシック" w:hAnsi="ＭＳ ゴシック" w:hint="eastAsia"/>
                <w:w w:val="50"/>
                <w:sz w:val="18"/>
                <w:szCs w:val="18"/>
              </w:rPr>
              <w:t xml:space="preserve">　危機管理センター長</w:t>
            </w:r>
          </w:p>
          <w:p w14:paraId="77E63A01" w14:textId="77777777" w:rsidR="00E5017E" w:rsidRPr="00E0548A" w:rsidRDefault="00E5017E" w:rsidP="00D6130A">
            <w:pPr>
              <w:adjustRightInd w:val="0"/>
              <w:snapToGrid w:val="0"/>
              <w:spacing w:line="240" w:lineRule="exact"/>
              <w:ind w:firstLineChars="200" w:firstLine="182"/>
              <w:jc w:val="left"/>
              <w:rPr>
                <w:rFonts w:ascii="ＭＳ ゴシック" w:eastAsia="ＭＳ ゴシック" w:hAnsi="ＭＳ ゴシック"/>
                <w:w w:val="50"/>
                <w:sz w:val="18"/>
                <w:szCs w:val="18"/>
              </w:rPr>
            </w:pPr>
            <w:r w:rsidRPr="00E0548A">
              <w:rPr>
                <w:rFonts w:ascii="ＭＳ ゴシック" w:eastAsia="ＭＳ ゴシック" w:hAnsi="ＭＳ ゴシック" w:hint="eastAsia"/>
                <w:w w:val="50"/>
                <w:sz w:val="18"/>
                <w:szCs w:val="18"/>
              </w:rPr>
              <w:t>消防保安課参</w:t>
            </w:r>
            <w:r w:rsidR="0056779E" w:rsidRPr="00E0548A">
              <w:rPr>
                <w:rFonts w:ascii="ＭＳ ゴシック" w:eastAsia="ＭＳ ゴシック" w:hAnsi="ＭＳ ゴシック" w:hint="eastAsia"/>
                <w:w w:val="50"/>
                <w:sz w:val="18"/>
                <w:szCs w:val="18"/>
              </w:rPr>
              <w:t>事</w:t>
            </w:r>
          </w:p>
          <w:p w14:paraId="564C327F" w14:textId="77777777" w:rsidR="00E5017E" w:rsidRPr="00E0548A" w:rsidRDefault="00E5017E" w:rsidP="008B4B2B">
            <w:pPr>
              <w:adjustRightInd w:val="0"/>
              <w:snapToGrid w:val="0"/>
              <w:spacing w:line="240" w:lineRule="exact"/>
              <w:ind w:firstLineChars="200" w:firstLine="182"/>
              <w:jc w:val="left"/>
              <w:rPr>
                <w:rFonts w:ascii="ＭＳ ゴシック" w:eastAsia="ＭＳ ゴシック" w:hAnsi="ＭＳ ゴシック"/>
                <w:w w:val="50"/>
                <w:sz w:val="18"/>
                <w:szCs w:val="18"/>
              </w:rPr>
            </w:pPr>
          </w:p>
        </w:tc>
      </w:tr>
      <w:tr w:rsidR="001D6D10" w:rsidRPr="00E0548A" w14:paraId="69CA5645" w14:textId="77777777" w:rsidTr="006E52DA">
        <w:trPr>
          <w:trHeight w:val="416"/>
        </w:trPr>
        <w:tc>
          <w:tcPr>
            <w:tcW w:w="696" w:type="dxa"/>
            <w:vMerge/>
            <w:tcBorders>
              <w:top w:val="single" w:sz="4" w:space="0" w:color="auto"/>
              <w:left w:val="single" w:sz="4" w:space="0" w:color="auto"/>
              <w:right w:val="single" w:sz="4" w:space="0" w:color="auto"/>
            </w:tcBorders>
            <w:vAlign w:val="center"/>
          </w:tcPr>
          <w:p w14:paraId="025D4253" w14:textId="77777777" w:rsidR="00E5017E" w:rsidRPr="00E0548A" w:rsidRDefault="00E5017E" w:rsidP="008B4B2B">
            <w:pPr>
              <w:adjustRightInd w:val="0"/>
              <w:snapToGrid w:val="0"/>
              <w:spacing w:line="240" w:lineRule="exact"/>
              <w:jc w:val="center"/>
              <w:rPr>
                <w:rFonts w:ascii="ＭＳ ゴシック" w:eastAsia="ＭＳ ゴシック" w:hAnsi="ＭＳ ゴシック"/>
                <w:w w:val="50"/>
                <w:sz w:val="18"/>
                <w:szCs w:val="18"/>
              </w:rPr>
            </w:pPr>
          </w:p>
        </w:tc>
        <w:tc>
          <w:tcPr>
            <w:tcW w:w="5223" w:type="dxa"/>
            <w:gridSpan w:val="2"/>
            <w:vMerge/>
            <w:tcBorders>
              <w:left w:val="single" w:sz="4" w:space="0" w:color="auto"/>
              <w:bottom w:val="single" w:sz="4" w:space="0" w:color="auto"/>
              <w:right w:val="single" w:sz="4" w:space="0" w:color="auto"/>
            </w:tcBorders>
            <w:vAlign w:val="center"/>
          </w:tcPr>
          <w:p w14:paraId="4EC611CA" w14:textId="77777777" w:rsidR="00E5017E" w:rsidRPr="00E0548A" w:rsidRDefault="00E5017E" w:rsidP="008B4B2B">
            <w:pPr>
              <w:adjustRightInd w:val="0"/>
              <w:snapToGrid w:val="0"/>
              <w:spacing w:line="240" w:lineRule="exact"/>
              <w:jc w:val="left"/>
              <w:rPr>
                <w:rFonts w:ascii="ＭＳ ゴシック" w:eastAsia="ＭＳ ゴシック" w:hAnsi="ＭＳ ゴシック"/>
                <w:w w:val="50"/>
                <w:sz w:val="18"/>
                <w:szCs w:val="18"/>
              </w:rPr>
            </w:pPr>
          </w:p>
        </w:tc>
        <w:tc>
          <w:tcPr>
            <w:tcW w:w="1014" w:type="dxa"/>
            <w:tcBorders>
              <w:top w:val="single" w:sz="4" w:space="0" w:color="auto"/>
              <w:left w:val="single" w:sz="4" w:space="0" w:color="auto"/>
              <w:bottom w:val="single" w:sz="4" w:space="0" w:color="auto"/>
              <w:right w:val="single" w:sz="4" w:space="0" w:color="auto"/>
            </w:tcBorders>
            <w:vAlign w:val="center"/>
          </w:tcPr>
          <w:p w14:paraId="1FA54F99" w14:textId="01E98ECD" w:rsidR="00E5017E" w:rsidRPr="00E0548A" w:rsidRDefault="00E5017E" w:rsidP="008B4B2B">
            <w:pPr>
              <w:adjustRightInd w:val="0"/>
              <w:snapToGrid w:val="0"/>
              <w:spacing w:line="240" w:lineRule="exact"/>
              <w:jc w:val="left"/>
              <w:rPr>
                <w:rFonts w:ascii="ＭＳ ゴシック" w:eastAsia="ＭＳ ゴシック" w:hAnsi="ＭＳ ゴシック"/>
                <w:w w:val="50"/>
                <w:sz w:val="18"/>
                <w:szCs w:val="18"/>
              </w:rPr>
            </w:pPr>
            <w:r w:rsidRPr="00E0548A">
              <w:rPr>
                <w:rFonts w:ascii="ＭＳ ゴシック" w:eastAsia="ＭＳ ゴシック" w:hAnsi="ＭＳ ゴシック" w:hint="eastAsia"/>
                <w:w w:val="50"/>
                <w:sz w:val="18"/>
                <w:szCs w:val="18"/>
              </w:rPr>
              <w:t>危機管理室（</w:t>
            </w:r>
            <w:r w:rsidR="00753E6D">
              <w:rPr>
                <w:rFonts w:ascii="ＭＳ ゴシック" w:eastAsia="ＭＳ ゴシック" w:hAnsi="ＭＳ ゴシック" w:hint="eastAsia"/>
                <w:w w:val="50"/>
                <w:sz w:val="18"/>
                <w:szCs w:val="18"/>
              </w:rPr>
              <w:t>３</w:t>
            </w:r>
            <w:r w:rsidRPr="00E0548A">
              <w:rPr>
                <w:rFonts w:ascii="ＭＳ ゴシック" w:eastAsia="ＭＳ ゴシック" w:hAnsi="ＭＳ ゴシック" w:hint="eastAsia"/>
                <w:w w:val="50"/>
                <w:sz w:val="18"/>
                <w:szCs w:val="18"/>
              </w:rPr>
              <w:t>名）</w:t>
            </w:r>
          </w:p>
        </w:tc>
        <w:tc>
          <w:tcPr>
            <w:tcW w:w="992" w:type="dxa"/>
            <w:tcBorders>
              <w:top w:val="single" w:sz="4" w:space="0" w:color="auto"/>
              <w:left w:val="single" w:sz="4" w:space="0" w:color="auto"/>
              <w:bottom w:val="single" w:sz="4" w:space="0" w:color="auto"/>
              <w:right w:val="single" w:sz="4" w:space="0" w:color="auto"/>
            </w:tcBorders>
            <w:vAlign w:val="center"/>
          </w:tcPr>
          <w:p w14:paraId="23EB6990" w14:textId="7817F475" w:rsidR="00E5017E" w:rsidRPr="00E0548A" w:rsidRDefault="00E5017E" w:rsidP="008B4B2B">
            <w:pPr>
              <w:adjustRightInd w:val="0"/>
              <w:snapToGrid w:val="0"/>
              <w:spacing w:line="240" w:lineRule="exact"/>
              <w:jc w:val="left"/>
              <w:rPr>
                <w:rFonts w:ascii="ＭＳ ゴシック" w:eastAsia="ＭＳ ゴシック" w:hAnsi="ＭＳ ゴシック"/>
                <w:w w:val="50"/>
                <w:sz w:val="18"/>
                <w:szCs w:val="18"/>
              </w:rPr>
            </w:pPr>
            <w:r w:rsidRPr="00E0548A">
              <w:rPr>
                <w:rFonts w:ascii="ＭＳ ゴシック" w:eastAsia="ＭＳ ゴシック" w:hAnsi="ＭＳ ゴシック" w:hint="eastAsia"/>
                <w:w w:val="50"/>
                <w:sz w:val="18"/>
                <w:szCs w:val="18"/>
              </w:rPr>
              <w:t>危機管理室（</w:t>
            </w:r>
            <w:r w:rsidR="00753E6D">
              <w:rPr>
                <w:rFonts w:ascii="ＭＳ ゴシック" w:eastAsia="ＭＳ ゴシック" w:hAnsi="ＭＳ ゴシック" w:hint="eastAsia"/>
                <w:w w:val="50"/>
                <w:sz w:val="18"/>
                <w:szCs w:val="18"/>
              </w:rPr>
              <w:t>４</w:t>
            </w:r>
            <w:r w:rsidRPr="00E0548A">
              <w:rPr>
                <w:rFonts w:ascii="ＭＳ ゴシック" w:eastAsia="ＭＳ ゴシック" w:hAnsi="ＭＳ ゴシック" w:hint="eastAsia"/>
                <w:w w:val="50"/>
                <w:sz w:val="18"/>
                <w:szCs w:val="18"/>
              </w:rPr>
              <w:t>名）</w:t>
            </w:r>
          </w:p>
        </w:tc>
        <w:tc>
          <w:tcPr>
            <w:tcW w:w="996" w:type="dxa"/>
            <w:tcBorders>
              <w:top w:val="single" w:sz="4" w:space="0" w:color="auto"/>
              <w:left w:val="single" w:sz="4" w:space="0" w:color="auto"/>
              <w:bottom w:val="single" w:sz="4" w:space="0" w:color="auto"/>
              <w:right w:val="single" w:sz="4" w:space="0" w:color="auto"/>
            </w:tcBorders>
            <w:vAlign w:val="center"/>
          </w:tcPr>
          <w:p w14:paraId="193D9002" w14:textId="76D09A47" w:rsidR="00E5017E" w:rsidRPr="00E0548A" w:rsidRDefault="00E5017E" w:rsidP="008B4B2B">
            <w:pPr>
              <w:adjustRightInd w:val="0"/>
              <w:snapToGrid w:val="0"/>
              <w:spacing w:line="240" w:lineRule="exact"/>
              <w:jc w:val="left"/>
              <w:rPr>
                <w:rFonts w:ascii="ＭＳ ゴシック" w:eastAsia="ＭＳ ゴシック" w:hAnsi="ＭＳ ゴシック"/>
                <w:w w:val="50"/>
                <w:sz w:val="18"/>
                <w:szCs w:val="18"/>
              </w:rPr>
            </w:pPr>
            <w:r w:rsidRPr="00E0548A">
              <w:rPr>
                <w:rFonts w:ascii="ＭＳ ゴシック" w:eastAsia="ＭＳ ゴシック" w:hAnsi="ＭＳ ゴシック" w:hint="eastAsia"/>
                <w:w w:val="50"/>
                <w:sz w:val="18"/>
                <w:szCs w:val="18"/>
              </w:rPr>
              <w:t>危機管理室(</w:t>
            </w:r>
            <w:r w:rsidR="0075788C">
              <w:rPr>
                <w:rFonts w:ascii="ＭＳ ゴシック" w:eastAsia="ＭＳ ゴシック" w:hAnsi="ＭＳ ゴシック" w:hint="eastAsia"/>
                <w:w w:val="50"/>
                <w:sz w:val="18"/>
                <w:szCs w:val="18"/>
              </w:rPr>
              <w:t>５</w:t>
            </w:r>
            <w:r w:rsidRPr="00E0548A">
              <w:rPr>
                <w:rFonts w:ascii="ＭＳ ゴシック" w:eastAsia="ＭＳ ゴシック" w:hAnsi="ＭＳ ゴシック" w:hint="eastAsia"/>
                <w:w w:val="50"/>
                <w:sz w:val="18"/>
                <w:szCs w:val="18"/>
              </w:rPr>
              <w:t>名)</w:t>
            </w:r>
          </w:p>
        </w:tc>
      </w:tr>
      <w:tr w:rsidR="001D6D10" w:rsidRPr="00E0548A" w14:paraId="22499EB6" w14:textId="77777777" w:rsidTr="006E52DA">
        <w:trPr>
          <w:trHeight w:val="629"/>
        </w:trPr>
        <w:tc>
          <w:tcPr>
            <w:tcW w:w="696" w:type="dxa"/>
            <w:vMerge w:val="restart"/>
            <w:tcBorders>
              <w:top w:val="single" w:sz="4" w:space="0" w:color="auto"/>
              <w:left w:val="single" w:sz="4" w:space="0" w:color="auto"/>
              <w:bottom w:val="single" w:sz="4" w:space="0" w:color="auto"/>
              <w:right w:val="single" w:sz="4" w:space="0" w:color="auto"/>
            </w:tcBorders>
            <w:textDirection w:val="tbRlV"/>
            <w:vAlign w:val="center"/>
            <w:hideMark/>
          </w:tcPr>
          <w:p w14:paraId="125C8217" w14:textId="77777777" w:rsidR="00E5017E" w:rsidRPr="00E0548A" w:rsidRDefault="00E5017E" w:rsidP="00D6130A">
            <w:pPr>
              <w:adjustRightInd w:val="0"/>
              <w:snapToGrid w:val="0"/>
              <w:spacing w:line="240" w:lineRule="exact"/>
              <w:ind w:left="113" w:right="113"/>
              <w:jc w:val="center"/>
              <w:rPr>
                <w:rFonts w:ascii="ＭＳ ゴシック" w:eastAsia="ＭＳ ゴシック" w:hAnsi="ＭＳ ゴシック"/>
                <w:w w:val="50"/>
                <w:sz w:val="18"/>
                <w:szCs w:val="18"/>
              </w:rPr>
            </w:pPr>
            <w:r w:rsidRPr="00E0548A">
              <w:rPr>
                <w:rFonts w:ascii="ＭＳ ゴシック" w:eastAsia="ＭＳ ゴシック" w:hAnsi="ＭＳ ゴシック" w:hint="eastAsia"/>
                <w:spacing w:val="12"/>
                <w:kern w:val="0"/>
                <w:sz w:val="18"/>
                <w:szCs w:val="18"/>
                <w:fitText w:val="1224" w:id="-1954281984"/>
              </w:rPr>
              <w:t>総務・広報班</w:t>
            </w:r>
          </w:p>
        </w:tc>
        <w:tc>
          <w:tcPr>
            <w:tcW w:w="5223" w:type="dxa"/>
            <w:gridSpan w:val="2"/>
            <w:vMerge w:val="restart"/>
            <w:tcBorders>
              <w:top w:val="single" w:sz="4" w:space="0" w:color="auto"/>
              <w:left w:val="single" w:sz="4" w:space="0" w:color="auto"/>
              <w:right w:val="single" w:sz="4" w:space="0" w:color="auto"/>
            </w:tcBorders>
            <w:vAlign w:val="center"/>
          </w:tcPr>
          <w:p w14:paraId="01F76ADA" w14:textId="77777777" w:rsidR="00E5017E" w:rsidRPr="00E0548A" w:rsidRDefault="00E5017E" w:rsidP="00D6130A">
            <w:pPr>
              <w:adjustRightInd w:val="0"/>
              <w:snapToGrid w:val="0"/>
              <w:spacing w:line="240" w:lineRule="exact"/>
              <w:jc w:val="left"/>
              <w:rPr>
                <w:rFonts w:ascii="ＭＳ ゴシック" w:eastAsia="ＭＳ ゴシック" w:hAnsi="ＭＳ ゴシック"/>
                <w:w w:val="50"/>
                <w:sz w:val="18"/>
                <w:szCs w:val="18"/>
              </w:rPr>
            </w:pPr>
            <w:r w:rsidRPr="00E0548A">
              <w:rPr>
                <w:rFonts w:ascii="ＭＳ ゴシック" w:eastAsia="ＭＳ ゴシック" w:hAnsi="ＭＳ ゴシック" w:hint="eastAsia"/>
                <w:w w:val="50"/>
                <w:sz w:val="18"/>
                <w:szCs w:val="18"/>
              </w:rPr>
              <w:t>○危機管理室職員及び緊急防災推進員の安否確認</w:t>
            </w:r>
          </w:p>
          <w:p w14:paraId="3B9DA33A" w14:textId="249A6D01" w:rsidR="00451F91" w:rsidRPr="00E0548A" w:rsidRDefault="00E5017E" w:rsidP="00D6130A">
            <w:pPr>
              <w:adjustRightInd w:val="0"/>
              <w:snapToGrid w:val="0"/>
              <w:spacing w:line="240" w:lineRule="exact"/>
              <w:ind w:left="91" w:hangingChars="100" w:hanging="91"/>
              <w:jc w:val="left"/>
              <w:rPr>
                <w:rFonts w:ascii="ＭＳ ゴシック" w:eastAsia="ＭＳ ゴシック" w:hAnsi="ＭＳ ゴシック"/>
                <w:w w:val="50"/>
                <w:sz w:val="18"/>
                <w:szCs w:val="18"/>
              </w:rPr>
            </w:pPr>
            <w:r w:rsidRPr="00E0548A">
              <w:rPr>
                <w:rFonts w:ascii="ＭＳ ゴシック" w:eastAsia="ＭＳ ゴシック" w:hAnsi="ＭＳ ゴシック" w:hint="eastAsia"/>
                <w:w w:val="50"/>
                <w:sz w:val="18"/>
                <w:szCs w:val="18"/>
              </w:rPr>
              <w:t>○庁内各部局との連絡調整</w:t>
            </w:r>
            <w:r w:rsidR="00451F91" w:rsidRPr="00E0548A">
              <w:rPr>
                <w:rFonts w:ascii="ＭＳ ゴシック" w:eastAsia="ＭＳ ゴシック" w:hAnsi="ＭＳ ゴシック" w:hint="eastAsia"/>
                <w:w w:val="50"/>
                <w:sz w:val="18"/>
                <w:szCs w:val="18"/>
              </w:rPr>
              <w:t>（副首都推進局、万博推進局含む）</w:t>
            </w:r>
          </w:p>
          <w:p w14:paraId="0BCACD0B" w14:textId="05D7BECB" w:rsidR="00E5017E" w:rsidRPr="00E0548A" w:rsidRDefault="00451F91" w:rsidP="00D6130A">
            <w:pPr>
              <w:adjustRightInd w:val="0"/>
              <w:snapToGrid w:val="0"/>
              <w:spacing w:line="240" w:lineRule="exact"/>
              <w:ind w:left="91" w:hangingChars="100" w:hanging="91"/>
              <w:jc w:val="left"/>
              <w:rPr>
                <w:rFonts w:ascii="ＭＳ ゴシック" w:eastAsia="ＭＳ ゴシック" w:hAnsi="ＭＳ ゴシック"/>
                <w:w w:val="50"/>
                <w:sz w:val="18"/>
                <w:szCs w:val="18"/>
              </w:rPr>
            </w:pPr>
            <w:r w:rsidRPr="00E0548A">
              <w:rPr>
                <w:rFonts w:ascii="ＭＳ ゴシック" w:eastAsia="ＭＳ ゴシック" w:hAnsi="ＭＳ ゴシック" w:hint="eastAsia"/>
                <w:w w:val="50"/>
                <w:sz w:val="18"/>
                <w:szCs w:val="18"/>
              </w:rPr>
              <w:t>※</w:t>
            </w:r>
            <w:r w:rsidR="00E5017E" w:rsidRPr="00E0548A">
              <w:rPr>
                <w:rFonts w:ascii="ＭＳ ゴシック" w:eastAsia="ＭＳ ゴシック" w:hAnsi="ＭＳ ゴシック" w:hint="eastAsia"/>
                <w:w w:val="50"/>
                <w:sz w:val="18"/>
                <w:szCs w:val="18"/>
              </w:rPr>
              <w:t>体制連絡、本部会議開催通知、BCP関連業務など)</w:t>
            </w:r>
          </w:p>
          <w:p w14:paraId="7E28DA0A" w14:textId="77777777" w:rsidR="00E5017E" w:rsidRPr="00E0548A" w:rsidRDefault="00E5017E" w:rsidP="00D6130A">
            <w:pPr>
              <w:adjustRightInd w:val="0"/>
              <w:snapToGrid w:val="0"/>
              <w:spacing w:line="240" w:lineRule="exact"/>
              <w:ind w:left="91" w:hangingChars="100" w:hanging="91"/>
              <w:jc w:val="left"/>
              <w:rPr>
                <w:rFonts w:ascii="ＭＳ ゴシック" w:eastAsia="ＭＳ ゴシック" w:hAnsi="ＭＳ ゴシック"/>
                <w:w w:val="50"/>
                <w:sz w:val="18"/>
                <w:szCs w:val="18"/>
              </w:rPr>
            </w:pPr>
            <w:r w:rsidRPr="00E0548A">
              <w:rPr>
                <w:rFonts w:ascii="ＭＳ ゴシック" w:eastAsia="ＭＳ ゴシック" w:hAnsi="ＭＳ ゴシック" w:hint="eastAsia"/>
                <w:w w:val="50"/>
                <w:sz w:val="18"/>
                <w:szCs w:val="18"/>
              </w:rPr>
              <w:t>○リエゾン派遣要請に関すること（庁内・関係機関）</w:t>
            </w:r>
          </w:p>
          <w:p w14:paraId="0041A791" w14:textId="77777777" w:rsidR="00E5017E" w:rsidRPr="00E0548A" w:rsidRDefault="00E5017E" w:rsidP="00D6130A">
            <w:pPr>
              <w:adjustRightInd w:val="0"/>
              <w:snapToGrid w:val="0"/>
              <w:spacing w:line="240" w:lineRule="exact"/>
              <w:jc w:val="left"/>
              <w:rPr>
                <w:rFonts w:ascii="ＭＳ ゴシック" w:eastAsia="ＭＳ ゴシック" w:hAnsi="ＭＳ ゴシック"/>
                <w:w w:val="50"/>
                <w:sz w:val="18"/>
                <w:szCs w:val="18"/>
              </w:rPr>
            </w:pPr>
            <w:r w:rsidRPr="00E0548A">
              <w:rPr>
                <w:rFonts w:ascii="ＭＳ ゴシック" w:eastAsia="ＭＳ ゴシック" w:hAnsi="ＭＳ ゴシック" w:hint="eastAsia"/>
                <w:w w:val="50"/>
                <w:sz w:val="18"/>
                <w:szCs w:val="18"/>
              </w:rPr>
              <w:t>○災対本部会議の準備・運営・会議録作成</w:t>
            </w:r>
          </w:p>
          <w:p w14:paraId="71C60644" w14:textId="77777777" w:rsidR="00E5017E" w:rsidRPr="00E0548A" w:rsidRDefault="00E5017E" w:rsidP="00D6130A">
            <w:pPr>
              <w:adjustRightInd w:val="0"/>
              <w:snapToGrid w:val="0"/>
              <w:spacing w:line="240" w:lineRule="exact"/>
              <w:jc w:val="left"/>
              <w:rPr>
                <w:rFonts w:ascii="ＭＳ ゴシック" w:eastAsia="ＭＳ ゴシック" w:hAnsi="ＭＳ ゴシック"/>
                <w:w w:val="50"/>
                <w:sz w:val="18"/>
                <w:szCs w:val="18"/>
              </w:rPr>
            </w:pPr>
            <w:r w:rsidRPr="00E0548A">
              <w:rPr>
                <w:rFonts w:ascii="ＭＳ ゴシック" w:eastAsia="ＭＳ ゴシック" w:hAnsi="ＭＳ ゴシック" w:hint="eastAsia"/>
                <w:w w:val="50"/>
                <w:sz w:val="18"/>
                <w:szCs w:val="18"/>
              </w:rPr>
              <w:t>○議会対応</w:t>
            </w:r>
          </w:p>
          <w:p w14:paraId="54EB5F6E" w14:textId="77777777" w:rsidR="00E5017E" w:rsidRPr="00E0548A" w:rsidRDefault="00E5017E" w:rsidP="00D6130A">
            <w:pPr>
              <w:adjustRightInd w:val="0"/>
              <w:snapToGrid w:val="0"/>
              <w:spacing w:line="240" w:lineRule="exact"/>
              <w:jc w:val="left"/>
              <w:rPr>
                <w:rFonts w:ascii="ＭＳ ゴシック" w:eastAsia="ＭＳ ゴシック" w:hAnsi="ＭＳ ゴシック"/>
                <w:w w:val="50"/>
                <w:sz w:val="18"/>
                <w:szCs w:val="18"/>
              </w:rPr>
            </w:pPr>
            <w:r w:rsidRPr="00E0548A">
              <w:rPr>
                <w:rFonts w:ascii="ＭＳ ゴシック" w:eastAsia="ＭＳ ゴシック" w:hAnsi="ＭＳ ゴシック" w:hint="eastAsia"/>
                <w:w w:val="50"/>
                <w:sz w:val="18"/>
                <w:szCs w:val="18"/>
              </w:rPr>
              <w:t>○事務局班長会議の決定事項の記録</w:t>
            </w:r>
          </w:p>
          <w:p w14:paraId="64B8E96F" w14:textId="77777777" w:rsidR="00E5017E" w:rsidRPr="00E0548A" w:rsidRDefault="00E5017E" w:rsidP="00D6130A">
            <w:pPr>
              <w:adjustRightInd w:val="0"/>
              <w:snapToGrid w:val="0"/>
              <w:spacing w:line="240" w:lineRule="exact"/>
              <w:jc w:val="left"/>
              <w:rPr>
                <w:rFonts w:ascii="ＭＳ ゴシック" w:eastAsia="ＭＳ ゴシック" w:hAnsi="ＭＳ ゴシック"/>
                <w:w w:val="50"/>
                <w:sz w:val="18"/>
                <w:szCs w:val="18"/>
              </w:rPr>
            </w:pPr>
            <w:r w:rsidRPr="00E0548A">
              <w:rPr>
                <w:rFonts w:ascii="ＭＳ ゴシック" w:eastAsia="ＭＳ ゴシック" w:hAnsi="ＭＳ ゴシック" w:hint="eastAsia"/>
                <w:w w:val="50"/>
                <w:sz w:val="18"/>
                <w:szCs w:val="18"/>
              </w:rPr>
              <w:t>○事務局、関係機関要員の執務環境対応</w:t>
            </w:r>
          </w:p>
          <w:p w14:paraId="24E02570" w14:textId="77777777" w:rsidR="00E5017E" w:rsidRPr="00E0548A" w:rsidRDefault="00E5017E" w:rsidP="00D6130A">
            <w:pPr>
              <w:adjustRightInd w:val="0"/>
              <w:snapToGrid w:val="0"/>
              <w:spacing w:line="240" w:lineRule="exact"/>
              <w:jc w:val="left"/>
              <w:rPr>
                <w:rFonts w:ascii="ＭＳ ゴシック" w:eastAsia="ＭＳ ゴシック" w:hAnsi="ＭＳ ゴシック"/>
                <w:w w:val="50"/>
                <w:sz w:val="18"/>
                <w:szCs w:val="18"/>
              </w:rPr>
            </w:pPr>
            <w:r w:rsidRPr="00E0548A">
              <w:rPr>
                <w:rFonts w:ascii="ＭＳ ゴシック" w:eastAsia="ＭＳ ゴシック" w:hAnsi="ＭＳ ゴシック" w:hint="eastAsia"/>
                <w:w w:val="50"/>
                <w:sz w:val="18"/>
                <w:szCs w:val="18"/>
              </w:rPr>
              <w:t>○文書管理</w:t>
            </w:r>
          </w:p>
          <w:p w14:paraId="4608F28F" w14:textId="77777777" w:rsidR="00E5017E" w:rsidRPr="00E0548A" w:rsidRDefault="00E5017E" w:rsidP="00D6130A">
            <w:pPr>
              <w:adjustRightInd w:val="0"/>
              <w:snapToGrid w:val="0"/>
              <w:spacing w:line="240" w:lineRule="exact"/>
              <w:jc w:val="left"/>
              <w:rPr>
                <w:rFonts w:ascii="ＭＳ ゴシック" w:eastAsia="ＭＳ ゴシック" w:hAnsi="ＭＳ ゴシック"/>
                <w:w w:val="50"/>
                <w:sz w:val="18"/>
                <w:szCs w:val="18"/>
              </w:rPr>
            </w:pPr>
            <w:r w:rsidRPr="00E0548A">
              <w:rPr>
                <w:rFonts w:ascii="ＭＳ ゴシック" w:eastAsia="ＭＳ ゴシック" w:hAnsi="ＭＳ ゴシック" w:hint="eastAsia"/>
                <w:w w:val="50"/>
                <w:sz w:val="18"/>
                <w:szCs w:val="18"/>
              </w:rPr>
              <w:t>○消防学校の被害状況確認</w:t>
            </w:r>
          </w:p>
          <w:p w14:paraId="604E2C9E" w14:textId="77777777" w:rsidR="00E5017E" w:rsidRPr="00E0548A" w:rsidRDefault="00E5017E" w:rsidP="00D6130A">
            <w:pPr>
              <w:adjustRightInd w:val="0"/>
              <w:snapToGrid w:val="0"/>
              <w:spacing w:line="240" w:lineRule="exact"/>
              <w:jc w:val="left"/>
              <w:rPr>
                <w:rFonts w:ascii="ＭＳ ゴシック" w:eastAsia="ＭＳ ゴシック" w:hAnsi="ＭＳ ゴシック"/>
                <w:w w:val="50"/>
                <w:sz w:val="18"/>
                <w:szCs w:val="18"/>
              </w:rPr>
            </w:pPr>
            <w:r w:rsidRPr="00E0548A">
              <w:rPr>
                <w:rFonts w:ascii="ＭＳ ゴシック" w:eastAsia="ＭＳ ゴシック" w:hAnsi="ＭＳ ゴシック" w:hint="eastAsia"/>
                <w:w w:val="50"/>
                <w:sz w:val="18"/>
                <w:szCs w:val="18"/>
              </w:rPr>
              <w:t>○知事緊急放送(マスコミ以外)対応※</w:t>
            </w:r>
          </w:p>
          <w:p w14:paraId="32128CFB" w14:textId="6F999552" w:rsidR="00E5017E" w:rsidRPr="00E0548A" w:rsidRDefault="00E5017E" w:rsidP="00D6130A">
            <w:pPr>
              <w:adjustRightInd w:val="0"/>
              <w:snapToGrid w:val="0"/>
              <w:spacing w:line="240" w:lineRule="exact"/>
              <w:ind w:left="91" w:hangingChars="100" w:hanging="91"/>
              <w:jc w:val="left"/>
              <w:rPr>
                <w:rFonts w:ascii="ＭＳ ゴシック" w:eastAsia="ＭＳ ゴシック" w:hAnsi="ＭＳ ゴシック"/>
                <w:w w:val="50"/>
                <w:sz w:val="18"/>
                <w:szCs w:val="18"/>
              </w:rPr>
            </w:pPr>
            <w:r w:rsidRPr="00E0548A">
              <w:rPr>
                <w:rFonts w:ascii="ＭＳ ゴシック" w:eastAsia="ＭＳ ゴシック" w:hAnsi="ＭＳ ゴシック" w:hint="eastAsia"/>
                <w:w w:val="50"/>
                <w:sz w:val="18"/>
                <w:szCs w:val="18"/>
              </w:rPr>
              <w:t>○府民向け広報の実施(府HP※、</w:t>
            </w:r>
            <w:r w:rsidR="00AB6FBD" w:rsidRPr="00E0548A">
              <w:rPr>
                <w:rFonts w:ascii="ＭＳ ゴシック" w:eastAsia="ＭＳ ゴシック" w:hAnsi="ＭＳ ゴシック" w:hint="eastAsia"/>
                <w:w w:val="50"/>
                <w:sz w:val="18"/>
                <w:szCs w:val="18"/>
              </w:rPr>
              <w:t>おおさか</w:t>
            </w:r>
            <w:r w:rsidRPr="00E0548A">
              <w:rPr>
                <w:rFonts w:ascii="ＭＳ ゴシック" w:eastAsia="ＭＳ ゴシック" w:hAnsi="ＭＳ ゴシック" w:hint="eastAsia"/>
                <w:w w:val="50"/>
                <w:sz w:val="18"/>
                <w:szCs w:val="18"/>
              </w:rPr>
              <w:t>防災ネットの更新、防災情報メール、その他SNS※の発信など)</w:t>
            </w:r>
          </w:p>
          <w:p w14:paraId="0CB73C06" w14:textId="04DC2165" w:rsidR="00E5017E" w:rsidRPr="00E0548A" w:rsidRDefault="00E5017E" w:rsidP="00D6130A">
            <w:pPr>
              <w:adjustRightInd w:val="0"/>
              <w:snapToGrid w:val="0"/>
              <w:spacing w:line="240" w:lineRule="exact"/>
              <w:jc w:val="left"/>
              <w:rPr>
                <w:rFonts w:ascii="ＭＳ ゴシック" w:eastAsia="ＭＳ ゴシック" w:hAnsi="ＭＳ ゴシック"/>
                <w:strike/>
                <w:w w:val="50"/>
                <w:sz w:val="18"/>
                <w:szCs w:val="18"/>
              </w:rPr>
            </w:pPr>
            <w:r w:rsidRPr="00E0548A">
              <w:rPr>
                <w:rFonts w:ascii="ＭＳ ゴシック" w:eastAsia="ＭＳ ゴシック" w:hAnsi="ＭＳ ゴシック" w:hint="eastAsia"/>
                <w:w w:val="50"/>
                <w:sz w:val="18"/>
                <w:szCs w:val="18"/>
              </w:rPr>
              <w:t>○府民からの問い合わせ対応</w:t>
            </w:r>
          </w:p>
          <w:p w14:paraId="6C86668D" w14:textId="77777777" w:rsidR="00E5017E" w:rsidRPr="00E0548A" w:rsidRDefault="00E5017E" w:rsidP="00D6130A">
            <w:pPr>
              <w:adjustRightInd w:val="0"/>
              <w:snapToGrid w:val="0"/>
              <w:spacing w:line="240" w:lineRule="exact"/>
              <w:jc w:val="left"/>
              <w:rPr>
                <w:rFonts w:ascii="ＭＳ ゴシック" w:eastAsia="ＭＳ ゴシック" w:hAnsi="ＭＳ ゴシック"/>
                <w:w w:val="50"/>
                <w:sz w:val="18"/>
                <w:szCs w:val="18"/>
              </w:rPr>
            </w:pPr>
            <w:r w:rsidRPr="00E0548A">
              <w:rPr>
                <w:rFonts w:ascii="ＭＳ ゴシック" w:eastAsia="ＭＳ ゴシック" w:hAnsi="ＭＳ ゴシック" w:hint="eastAsia"/>
                <w:w w:val="50"/>
                <w:sz w:val="18"/>
                <w:szCs w:val="18"/>
              </w:rPr>
              <w:t>○総務・広報班活動記録(画像、文書)作成</w:t>
            </w:r>
          </w:p>
          <w:p w14:paraId="7B192E26" w14:textId="77777777" w:rsidR="00E5017E" w:rsidRPr="00E0548A" w:rsidRDefault="00E5017E" w:rsidP="00D6130A">
            <w:pPr>
              <w:adjustRightInd w:val="0"/>
              <w:snapToGrid w:val="0"/>
              <w:spacing w:line="240" w:lineRule="exact"/>
              <w:jc w:val="left"/>
              <w:rPr>
                <w:rFonts w:ascii="ＭＳ ゴシック" w:eastAsia="ＭＳ ゴシック" w:hAnsi="ＭＳ ゴシック"/>
                <w:w w:val="50"/>
                <w:sz w:val="18"/>
                <w:szCs w:val="18"/>
              </w:rPr>
            </w:pPr>
            <w:r w:rsidRPr="00E0548A">
              <w:rPr>
                <w:rFonts w:ascii="ＭＳ ゴシック" w:eastAsia="ＭＳ ゴシック" w:hAnsi="ＭＳ ゴシック" w:hint="eastAsia"/>
                <w:w w:val="50"/>
                <w:sz w:val="18"/>
                <w:szCs w:val="18"/>
              </w:rPr>
              <w:t>※</w:t>
            </w:r>
            <w:r w:rsidR="00144675" w:rsidRPr="00E0548A">
              <w:rPr>
                <w:rFonts w:ascii="ＭＳ ゴシック" w:eastAsia="ＭＳ ゴシック" w:hAnsi="ＭＳ ゴシック" w:hint="eastAsia"/>
                <w:w w:val="50"/>
                <w:sz w:val="18"/>
                <w:szCs w:val="18"/>
              </w:rPr>
              <w:t>印は広報広聴課</w:t>
            </w:r>
            <w:r w:rsidRPr="00E0548A">
              <w:rPr>
                <w:rFonts w:ascii="ＭＳ ゴシック" w:eastAsia="ＭＳ ゴシック" w:hAnsi="ＭＳ ゴシック" w:hint="eastAsia"/>
                <w:w w:val="50"/>
                <w:sz w:val="18"/>
                <w:szCs w:val="18"/>
              </w:rPr>
              <w:t>と連携</w:t>
            </w:r>
          </w:p>
          <w:p w14:paraId="100C5C9F" w14:textId="77777777" w:rsidR="00E447A0" w:rsidRPr="00E0548A" w:rsidRDefault="00E447A0" w:rsidP="00D6130A">
            <w:pPr>
              <w:adjustRightInd w:val="0"/>
              <w:snapToGrid w:val="0"/>
              <w:spacing w:line="240" w:lineRule="exact"/>
              <w:jc w:val="left"/>
              <w:rPr>
                <w:rFonts w:ascii="ＭＳ ゴシック" w:eastAsia="ＭＳ ゴシック" w:hAnsi="ＭＳ ゴシック"/>
                <w:w w:val="50"/>
                <w:sz w:val="18"/>
                <w:szCs w:val="18"/>
              </w:rPr>
            </w:pPr>
            <w:r w:rsidRPr="00E0548A">
              <w:rPr>
                <w:rFonts w:ascii="ＭＳ ゴシック" w:eastAsia="ＭＳ ゴシック" w:hAnsi="ＭＳ ゴシック" w:hint="eastAsia"/>
                <w:w w:val="50"/>
                <w:sz w:val="18"/>
                <w:szCs w:val="18"/>
              </w:rPr>
              <w:t>〇災害モード宣言の発信情報広報</w:t>
            </w:r>
          </w:p>
          <w:p w14:paraId="4549FA22" w14:textId="77777777" w:rsidR="00E447A0" w:rsidRPr="00E0548A" w:rsidRDefault="00E447A0" w:rsidP="00D6130A">
            <w:pPr>
              <w:adjustRightInd w:val="0"/>
              <w:snapToGrid w:val="0"/>
              <w:spacing w:line="240" w:lineRule="exact"/>
              <w:jc w:val="left"/>
              <w:rPr>
                <w:rFonts w:ascii="ＭＳ ゴシック" w:eastAsia="ＭＳ ゴシック" w:hAnsi="ＭＳ ゴシック"/>
                <w:w w:val="50"/>
                <w:sz w:val="18"/>
                <w:szCs w:val="18"/>
              </w:rPr>
            </w:pPr>
            <w:r w:rsidRPr="00E0548A">
              <w:rPr>
                <w:rFonts w:ascii="ＭＳ ゴシック" w:eastAsia="ＭＳ ゴシック" w:hAnsi="ＭＳ ゴシック" w:hint="eastAsia"/>
                <w:w w:val="50"/>
                <w:sz w:val="18"/>
                <w:szCs w:val="18"/>
              </w:rPr>
              <w:t>〇住民の安否不明者情報の広報</w:t>
            </w:r>
          </w:p>
        </w:tc>
        <w:tc>
          <w:tcPr>
            <w:tcW w:w="3002" w:type="dxa"/>
            <w:gridSpan w:val="3"/>
            <w:tcBorders>
              <w:top w:val="single" w:sz="4" w:space="0" w:color="auto"/>
              <w:left w:val="single" w:sz="4" w:space="0" w:color="auto"/>
              <w:right w:val="single" w:sz="4" w:space="0" w:color="auto"/>
            </w:tcBorders>
            <w:vAlign w:val="center"/>
          </w:tcPr>
          <w:p w14:paraId="420DB0EF" w14:textId="03E91E6E" w:rsidR="00F236FB" w:rsidRPr="00E0548A" w:rsidRDefault="00E5017E" w:rsidP="000D247D">
            <w:pPr>
              <w:adjustRightInd w:val="0"/>
              <w:snapToGrid w:val="0"/>
              <w:spacing w:line="240" w:lineRule="exact"/>
              <w:jc w:val="left"/>
              <w:rPr>
                <w:rFonts w:ascii="ＭＳ ゴシック" w:eastAsia="ＭＳ ゴシック" w:hAnsi="ＭＳ ゴシック"/>
                <w:w w:val="50"/>
                <w:sz w:val="18"/>
                <w:szCs w:val="18"/>
              </w:rPr>
            </w:pPr>
            <w:r w:rsidRPr="00E0548A">
              <w:rPr>
                <w:rFonts w:ascii="ＭＳ ゴシック" w:eastAsia="ＭＳ ゴシック" w:hAnsi="ＭＳ ゴシック" w:hint="eastAsia"/>
                <w:w w:val="50"/>
                <w:sz w:val="18"/>
                <w:szCs w:val="18"/>
              </w:rPr>
              <w:t>班長：消防保安課長　　副班長：</w:t>
            </w:r>
            <w:r w:rsidR="00753E6D">
              <w:rPr>
                <w:rFonts w:ascii="ＭＳ ゴシック" w:eastAsia="ＭＳ ゴシック" w:hAnsi="ＭＳ ゴシック" w:hint="eastAsia"/>
                <w:w w:val="50"/>
                <w:sz w:val="18"/>
                <w:szCs w:val="18"/>
              </w:rPr>
              <w:t>治安対策課参事</w:t>
            </w:r>
          </w:p>
        </w:tc>
      </w:tr>
      <w:tr w:rsidR="001D6D10" w:rsidRPr="00E0548A" w14:paraId="1EAC1B65" w14:textId="77777777" w:rsidTr="006E52DA">
        <w:trPr>
          <w:trHeight w:val="1482"/>
        </w:trPr>
        <w:tc>
          <w:tcPr>
            <w:tcW w:w="696" w:type="dxa"/>
            <w:vMerge/>
            <w:tcBorders>
              <w:top w:val="single" w:sz="4" w:space="0" w:color="auto"/>
              <w:left w:val="single" w:sz="4" w:space="0" w:color="auto"/>
              <w:bottom w:val="single" w:sz="4" w:space="0" w:color="auto"/>
              <w:right w:val="single" w:sz="4" w:space="0" w:color="auto"/>
            </w:tcBorders>
            <w:vAlign w:val="center"/>
            <w:hideMark/>
          </w:tcPr>
          <w:p w14:paraId="7D5A7671" w14:textId="77777777" w:rsidR="00E5017E" w:rsidRPr="00E0548A" w:rsidRDefault="00E5017E" w:rsidP="00D6130A">
            <w:pPr>
              <w:widowControl/>
              <w:adjustRightInd w:val="0"/>
              <w:snapToGrid w:val="0"/>
              <w:spacing w:line="240" w:lineRule="exact"/>
              <w:jc w:val="center"/>
              <w:rPr>
                <w:rFonts w:ascii="ＭＳ ゴシック" w:eastAsia="ＭＳ ゴシック" w:hAnsi="ＭＳ ゴシック"/>
                <w:w w:val="50"/>
                <w:sz w:val="18"/>
                <w:szCs w:val="18"/>
              </w:rPr>
            </w:pPr>
          </w:p>
        </w:tc>
        <w:tc>
          <w:tcPr>
            <w:tcW w:w="5223" w:type="dxa"/>
            <w:gridSpan w:val="2"/>
            <w:vMerge/>
            <w:tcBorders>
              <w:left w:val="single" w:sz="4" w:space="0" w:color="auto"/>
              <w:right w:val="single" w:sz="4" w:space="0" w:color="auto"/>
            </w:tcBorders>
            <w:vAlign w:val="center"/>
          </w:tcPr>
          <w:p w14:paraId="127ED473" w14:textId="77777777" w:rsidR="00E5017E" w:rsidRPr="00E0548A" w:rsidRDefault="00E5017E" w:rsidP="00D6130A">
            <w:pPr>
              <w:widowControl/>
              <w:adjustRightInd w:val="0"/>
              <w:snapToGrid w:val="0"/>
              <w:spacing w:line="240" w:lineRule="exact"/>
              <w:jc w:val="left"/>
              <w:rPr>
                <w:rFonts w:ascii="ＭＳ ゴシック" w:eastAsia="ＭＳ ゴシック" w:hAnsi="ＭＳ ゴシック"/>
                <w:w w:val="50"/>
                <w:sz w:val="18"/>
                <w:szCs w:val="18"/>
              </w:rPr>
            </w:pPr>
          </w:p>
        </w:tc>
        <w:tc>
          <w:tcPr>
            <w:tcW w:w="1014" w:type="dxa"/>
            <w:vMerge w:val="restart"/>
            <w:tcBorders>
              <w:top w:val="single" w:sz="4" w:space="0" w:color="auto"/>
              <w:left w:val="single" w:sz="4" w:space="0" w:color="auto"/>
              <w:right w:val="single" w:sz="4" w:space="0" w:color="auto"/>
            </w:tcBorders>
            <w:vAlign w:val="center"/>
          </w:tcPr>
          <w:p w14:paraId="26A8FBF2" w14:textId="21411105" w:rsidR="00E5017E" w:rsidRPr="00E0548A" w:rsidRDefault="00E5017E" w:rsidP="00753E6D">
            <w:pPr>
              <w:adjustRightInd w:val="0"/>
              <w:snapToGrid w:val="0"/>
              <w:spacing w:line="240" w:lineRule="exact"/>
              <w:jc w:val="center"/>
              <w:rPr>
                <w:rFonts w:ascii="ＭＳ ゴシック" w:eastAsia="ＭＳ ゴシック" w:hAnsi="ＭＳ ゴシック"/>
                <w:w w:val="50"/>
                <w:sz w:val="18"/>
                <w:szCs w:val="18"/>
              </w:rPr>
            </w:pPr>
            <w:r w:rsidRPr="00E0548A">
              <w:rPr>
                <w:rFonts w:ascii="ＭＳ ゴシック" w:eastAsia="ＭＳ ゴシック" w:hAnsi="ＭＳ ゴシック" w:hint="eastAsia"/>
                <w:w w:val="50"/>
                <w:sz w:val="18"/>
                <w:szCs w:val="18"/>
              </w:rPr>
              <w:t>危機管理室（</w:t>
            </w:r>
            <w:r w:rsidR="00753E6D">
              <w:rPr>
                <w:rFonts w:ascii="ＭＳ ゴシック" w:eastAsia="ＭＳ ゴシック" w:hAnsi="ＭＳ ゴシック" w:hint="eastAsia"/>
                <w:w w:val="50"/>
                <w:sz w:val="18"/>
                <w:szCs w:val="18"/>
              </w:rPr>
              <w:t>７</w:t>
            </w:r>
            <w:r w:rsidRPr="00E0548A">
              <w:rPr>
                <w:rFonts w:ascii="ＭＳ ゴシック" w:eastAsia="ＭＳ ゴシック" w:hAnsi="ＭＳ ゴシック" w:hint="eastAsia"/>
                <w:w w:val="50"/>
                <w:sz w:val="18"/>
                <w:szCs w:val="18"/>
              </w:rPr>
              <w:t>名）</w:t>
            </w:r>
          </w:p>
        </w:tc>
        <w:tc>
          <w:tcPr>
            <w:tcW w:w="992" w:type="dxa"/>
            <w:vMerge w:val="restart"/>
            <w:tcBorders>
              <w:top w:val="single" w:sz="4" w:space="0" w:color="auto"/>
              <w:left w:val="single" w:sz="4" w:space="0" w:color="auto"/>
              <w:right w:val="single" w:sz="4" w:space="0" w:color="auto"/>
            </w:tcBorders>
            <w:vAlign w:val="center"/>
          </w:tcPr>
          <w:p w14:paraId="3BD64749" w14:textId="5836A2FD" w:rsidR="00E5017E" w:rsidRPr="00E0548A" w:rsidRDefault="00E5017E" w:rsidP="00D6130A">
            <w:pPr>
              <w:adjustRightInd w:val="0"/>
              <w:snapToGrid w:val="0"/>
              <w:spacing w:line="240" w:lineRule="exact"/>
              <w:jc w:val="center"/>
              <w:rPr>
                <w:rFonts w:ascii="ＭＳ ゴシック" w:eastAsia="ＭＳ ゴシック" w:hAnsi="ＭＳ ゴシック"/>
                <w:w w:val="50"/>
                <w:sz w:val="18"/>
                <w:szCs w:val="18"/>
              </w:rPr>
            </w:pPr>
            <w:r w:rsidRPr="00E0548A">
              <w:rPr>
                <w:rFonts w:ascii="ＭＳ ゴシック" w:eastAsia="ＭＳ ゴシック" w:hAnsi="ＭＳ ゴシック" w:hint="eastAsia"/>
                <w:w w:val="50"/>
                <w:sz w:val="18"/>
                <w:szCs w:val="18"/>
              </w:rPr>
              <w:t>危機管理室（</w:t>
            </w:r>
            <w:r w:rsidR="00753E6D">
              <w:rPr>
                <w:rFonts w:ascii="ＭＳ ゴシック" w:eastAsia="ＭＳ ゴシック" w:hAnsi="ＭＳ ゴシック" w:hint="eastAsia"/>
                <w:w w:val="50"/>
                <w:sz w:val="18"/>
                <w:szCs w:val="18"/>
              </w:rPr>
              <w:t>11</w:t>
            </w:r>
            <w:r w:rsidRPr="00E0548A">
              <w:rPr>
                <w:rFonts w:ascii="ＭＳ ゴシック" w:eastAsia="ＭＳ ゴシック" w:hAnsi="ＭＳ ゴシック" w:hint="eastAsia"/>
                <w:w w:val="50"/>
                <w:sz w:val="18"/>
                <w:szCs w:val="18"/>
              </w:rPr>
              <w:t>名）</w:t>
            </w:r>
          </w:p>
        </w:tc>
        <w:tc>
          <w:tcPr>
            <w:tcW w:w="996" w:type="dxa"/>
            <w:vMerge w:val="restart"/>
            <w:tcBorders>
              <w:top w:val="single" w:sz="4" w:space="0" w:color="auto"/>
              <w:left w:val="single" w:sz="4" w:space="0" w:color="auto"/>
              <w:right w:val="single" w:sz="4" w:space="0" w:color="auto"/>
            </w:tcBorders>
            <w:vAlign w:val="center"/>
          </w:tcPr>
          <w:p w14:paraId="25C1575B" w14:textId="4317AA43" w:rsidR="00E5017E" w:rsidRPr="00E0548A" w:rsidRDefault="00E5017E" w:rsidP="00D6130A">
            <w:pPr>
              <w:adjustRightInd w:val="0"/>
              <w:snapToGrid w:val="0"/>
              <w:spacing w:line="240" w:lineRule="exact"/>
              <w:jc w:val="center"/>
              <w:rPr>
                <w:rFonts w:ascii="ＭＳ ゴシック" w:eastAsia="ＭＳ ゴシック" w:hAnsi="ＭＳ ゴシック"/>
                <w:w w:val="50"/>
                <w:sz w:val="18"/>
                <w:szCs w:val="18"/>
              </w:rPr>
            </w:pPr>
            <w:r w:rsidRPr="00E0548A">
              <w:rPr>
                <w:rFonts w:ascii="ＭＳ ゴシック" w:eastAsia="ＭＳ ゴシック" w:hAnsi="ＭＳ ゴシック" w:hint="eastAsia"/>
                <w:w w:val="50"/>
                <w:sz w:val="18"/>
                <w:szCs w:val="18"/>
              </w:rPr>
              <w:t>危機管理室(</w:t>
            </w:r>
            <w:r w:rsidR="00753E6D">
              <w:rPr>
                <w:rFonts w:ascii="ＭＳ ゴシック" w:eastAsia="ＭＳ ゴシック" w:hAnsi="ＭＳ ゴシック" w:hint="eastAsia"/>
                <w:w w:val="50"/>
                <w:sz w:val="18"/>
                <w:szCs w:val="18"/>
              </w:rPr>
              <w:t>12</w:t>
            </w:r>
            <w:r w:rsidRPr="00E0548A">
              <w:rPr>
                <w:rFonts w:ascii="ＭＳ ゴシック" w:eastAsia="ＭＳ ゴシック" w:hAnsi="ＭＳ ゴシック" w:hint="eastAsia"/>
                <w:w w:val="50"/>
                <w:sz w:val="18"/>
                <w:szCs w:val="18"/>
              </w:rPr>
              <w:t>名)</w:t>
            </w:r>
          </w:p>
          <w:p w14:paraId="76A01024" w14:textId="77777777" w:rsidR="00F236FB" w:rsidRPr="00E0548A" w:rsidRDefault="00F236FB" w:rsidP="00D6130A">
            <w:pPr>
              <w:adjustRightInd w:val="0"/>
              <w:snapToGrid w:val="0"/>
              <w:spacing w:line="240" w:lineRule="exact"/>
              <w:jc w:val="center"/>
              <w:rPr>
                <w:rFonts w:ascii="ＭＳ ゴシック" w:eastAsia="ＭＳ ゴシック" w:hAnsi="ＭＳ ゴシック"/>
                <w:w w:val="50"/>
                <w:sz w:val="18"/>
                <w:szCs w:val="18"/>
              </w:rPr>
            </w:pPr>
          </w:p>
          <w:p w14:paraId="2679833A" w14:textId="7B6E29A6" w:rsidR="00F236FB" w:rsidRPr="00E0548A" w:rsidRDefault="00F236FB" w:rsidP="00A331D5">
            <w:pPr>
              <w:adjustRightInd w:val="0"/>
              <w:snapToGrid w:val="0"/>
              <w:spacing w:line="240" w:lineRule="exact"/>
              <w:jc w:val="center"/>
              <w:rPr>
                <w:rFonts w:ascii="ＭＳ ゴシック" w:eastAsia="ＭＳ ゴシック" w:hAnsi="ＭＳ ゴシック"/>
                <w:w w:val="50"/>
                <w:sz w:val="18"/>
                <w:szCs w:val="18"/>
              </w:rPr>
            </w:pPr>
            <w:r w:rsidRPr="00E0548A">
              <w:rPr>
                <w:rFonts w:ascii="ＭＳ ゴシック" w:eastAsia="ＭＳ ゴシック" w:hAnsi="ＭＳ ゴシック" w:hint="eastAsia"/>
                <w:w w:val="50"/>
                <w:sz w:val="18"/>
                <w:szCs w:val="18"/>
              </w:rPr>
              <w:t>人事課（</w:t>
            </w:r>
            <w:r w:rsidR="00A331D5" w:rsidRPr="00E0548A">
              <w:rPr>
                <w:rFonts w:ascii="ＭＳ ゴシック" w:eastAsia="ＭＳ ゴシック" w:hAnsi="ＭＳ ゴシック" w:hint="eastAsia"/>
                <w:w w:val="50"/>
                <w:sz w:val="18"/>
                <w:szCs w:val="18"/>
              </w:rPr>
              <w:t>1</w:t>
            </w:r>
            <w:r w:rsidRPr="00E0548A">
              <w:rPr>
                <w:rFonts w:ascii="ＭＳ ゴシック" w:eastAsia="ＭＳ ゴシック" w:hAnsi="ＭＳ ゴシック" w:hint="eastAsia"/>
                <w:w w:val="50"/>
                <w:sz w:val="18"/>
                <w:szCs w:val="18"/>
              </w:rPr>
              <w:t>名）</w:t>
            </w:r>
          </w:p>
        </w:tc>
      </w:tr>
      <w:tr w:rsidR="001D6D10" w:rsidRPr="00E0548A" w14:paraId="7C2F5A8F" w14:textId="77777777" w:rsidTr="006E52DA">
        <w:trPr>
          <w:trHeight w:val="2551"/>
        </w:trPr>
        <w:tc>
          <w:tcPr>
            <w:tcW w:w="696" w:type="dxa"/>
            <w:vMerge/>
            <w:tcBorders>
              <w:top w:val="single" w:sz="4" w:space="0" w:color="auto"/>
              <w:left w:val="single" w:sz="4" w:space="0" w:color="auto"/>
              <w:bottom w:val="single" w:sz="4" w:space="0" w:color="auto"/>
              <w:right w:val="single" w:sz="4" w:space="0" w:color="auto"/>
            </w:tcBorders>
            <w:vAlign w:val="center"/>
            <w:hideMark/>
          </w:tcPr>
          <w:p w14:paraId="4BA3A491" w14:textId="77777777" w:rsidR="00E5017E" w:rsidRPr="00E0548A" w:rsidRDefault="00E5017E" w:rsidP="00D6130A">
            <w:pPr>
              <w:widowControl/>
              <w:adjustRightInd w:val="0"/>
              <w:snapToGrid w:val="0"/>
              <w:spacing w:line="240" w:lineRule="exact"/>
              <w:jc w:val="center"/>
              <w:rPr>
                <w:rFonts w:ascii="ＭＳ ゴシック" w:eastAsia="ＭＳ ゴシック" w:hAnsi="ＭＳ ゴシック"/>
                <w:w w:val="50"/>
                <w:sz w:val="18"/>
                <w:szCs w:val="18"/>
              </w:rPr>
            </w:pPr>
          </w:p>
        </w:tc>
        <w:tc>
          <w:tcPr>
            <w:tcW w:w="5223" w:type="dxa"/>
            <w:gridSpan w:val="2"/>
            <w:vMerge/>
            <w:tcBorders>
              <w:left w:val="single" w:sz="4" w:space="0" w:color="auto"/>
              <w:bottom w:val="single" w:sz="4" w:space="0" w:color="auto"/>
              <w:right w:val="single" w:sz="4" w:space="0" w:color="auto"/>
            </w:tcBorders>
            <w:vAlign w:val="center"/>
          </w:tcPr>
          <w:p w14:paraId="5FED3553" w14:textId="77777777" w:rsidR="00E5017E" w:rsidRPr="00E0548A" w:rsidRDefault="00E5017E" w:rsidP="00D6130A">
            <w:pPr>
              <w:adjustRightInd w:val="0"/>
              <w:snapToGrid w:val="0"/>
              <w:spacing w:line="240" w:lineRule="exact"/>
              <w:jc w:val="left"/>
              <w:rPr>
                <w:rFonts w:ascii="ＭＳ ゴシック" w:eastAsia="ＭＳ ゴシック" w:hAnsi="ＭＳ ゴシック"/>
                <w:w w:val="50"/>
                <w:sz w:val="18"/>
                <w:szCs w:val="18"/>
              </w:rPr>
            </w:pPr>
          </w:p>
        </w:tc>
        <w:tc>
          <w:tcPr>
            <w:tcW w:w="1014" w:type="dxa"/>
            <w:vMerge/>
            <w:tcBorders>
              <w:left w:val="single" w:sz="4" w:space="0" w:color="auto"/>
              <w:bottom w:val="single" w:sz="4" w:space="0" w:color="auto"/>
              <w:right w:val="single" w:sz="4" w:space="0" w:color="auto"/>
            </w:tcBorders>
            <w:vAlign w:val="center"/>
          </w:tcPr>
          <w:p w14:paraId="2A23AB83" w14:textId="77777777" w:rsidR="00E5017E" w:rsidRPr="00E0548A" w:rsidRDefault="00E5017E" w:rsidP="00D6130A">
            <w:pPr>
              <w:adjustRightInd w:val="0"/>
              <w:snapToGrid w:val="0"/>
              <w:spacing w:line="240" w:lineRule="exact"/>
              <w:jc w:val="center"/>
              <w:rPr>
                <w:rFonts w:ascii="ＭＳ ゴシック" w:eastAsia="ＭＳ ゴシック" w:hAnsi="ＭＳ ゴシック"/>
                <w:w w:val="50"/>
                <w:sz w:val="18"/>
                <w:szCs w:val="18"/>
              </w:rPr>
            </w:pPr>
          </w:p>
        </w:tc>
        <w:tc>
          <w:tcPr>
            <w:tcW w:w="992" w:type="dxa"/>
            <w:vMerge/>
            <w:tcBorders>
              <w:left w:val="single" w:sz="4" w:space="0" w:color="auto"/>
              <w:bottom w:val="single" w:sz="4" w:space="0" w:color="auto"/>
              <w:right w:val="single" w:sz="4" w:space="0" w:color="auto"/>
            </w:tcBorders>
            <w:vAlign w:val="center"/>
          </w:tcPr>
          <w:p w14:paraId="35778BD2" w14:textId="77777777" w:rsidR="00E5017E" w:rsidRPr="00E0548A" w:rsidRDefault="00E5017E" w:rsidP="00D6130A">
            <w:pPr>
              <w:adjustRightInd w:val="0"/>
              <w:snapToGrid w:val="0"/>
              <w:spacing w:line="240" w:lineRule="exact"/>
              <w:jc w:val="center"/>
              <w:rPr>
                <w:rFonts w:ascii="ＭＳ ゴシック" w:eastAsia="ＭＳ ゴシック" w:hAnsi="ＭＳ ゴシック"/>
                <w:w w:val="50"/>
                <w:sz w:val="18"/>
                <w:szCs w:val="18"/>
              </w:rPr>
            </w:pPr>
          </w:p>
        </w:tc>
        <w:tc>
          <w:tcPr>
            <w:tcW w:w="996" w:type="dxa"/>
            <w:vMerge/>
            <w:tcBorders>
              <w:left w:val="single" w:sz="4" w:space="0" w:color="auto"/>
              <w:bottom w:val="single" w:sz="4" w:space="0" w:color="auto"/>
              <w:right w:val="single" w:sz="4" w:space="0" w:color="auto"/>
            </w:tcBorders>
            <w:vAlign w:val="center"/>
          </w:tcPr>
          <w:p w14:paraId="463BB8DA" w14:textId="77777777" w:rsidR="00E5017E" w:rsidRPr="00E0548A" w:rsidRDefault="00E5017E" w:rsidP="00D6130A">
            <w:pPr>
              <w:adjustRightInd w:val="0"/>
              <w:snapToGrid w:val="0"/>
              <w:spacing w:line="240" w:lineRule="exact"/>
              <w:jc w:val="center"/>
              <w:rPr>
                <w:rFonts w:ascii="ＭＳ ゴシック" w:eastAsia="ＭＳ ゴシック" w:hAnsi="ＭＳ ゴシック"/>
                <w:w w:val="50"/>
                <w:sz w:val="18"/>
                <w:szCs w:val="18"/>
              </w:rPr>
            </w:pPr>
          </w:p>
        </w:tc>
      </w:tr>
      <w:tr w:rsidR="001D6D10" w:rsidRPr="00E0548A" w14:paraId="47DC5030" w14:textId="77777777" w:rsidTr="006E52DA">
        <w:trPr>
          <w:cantSplit/>
          <w:trHeight w:val="541"/>
        </w:trPr>
        <w:tc>
          <w:tcPr>
            <w:tcW w:w="696" w:type="dxa"/>
            <w:vMerge w:val="restart"/>
            <w:tcBorders>
              <w:top w:val="single" w:sz="4" w:space="0" w:color="auto"/>
              <w:left w:val="single" w:sz="4" w:space="0" w:color="auto"/>
              <w:bottom w:val="single" w:sz="4" w:space="0" w:color="auto"/>
              <w:right w:val="single" w:sz="4" w:space="0" w:color="auto"/>
            </w:tcBorders>
            <w:textDirection w:val="tbRlV"/>
            <w:vAlign w:val="center"/>
            <w:hideMark/>
          </w:tcPr>
          <w:p w14:paraId="3FB21836" w14:textId="77777777" w:rsidR="00E5017E" w:rsidRPr="00E0548A" w:rsidRDefault="00E5017E" w:rsidP="00D6130A">
            <w:pPr>
              <w:adjustRightInd w:val="0"/>
              <w:snapToGrid w:val="0"/>
              <w:spacing w:line="240" w:lineRule="exact"/>
              <w:ind w:left="113" w:right="113"/>
              <w:jc w:val="center"/>
              <w:rPr>
                <w:rFonts w:ascii="ＭＳ ゴシック" w:eastAsia="ＭＳ ゴシック" w:hAnsi="ＭＳ ゴシック"/>
                <w:w w:val="50"/>
                <w:sz w:val="18"/>
                <w:szCs w:val="18"/>
              </w:rPr>
            </w:pPr>
            <w:r w:rsidRPr="00E0548A">
              <w:rPr>
                <w:rFonts w:ascii="ＭＳ ゴシック" w:eastAsia="ＭＳ ゴシック" w:hAnsi="ＭＳ ゴシック" w:hint="eastAsia"/>
                <w:spacing w:val="48"/>
                <w:kern w:val="0"/>
                <w:sz w:val="18"/>
                <w:szCs w:val="18"/>
                <w:fitText w:val="760" w:id="-1954281983"/>
              </w:rPr>
              <w:t>報道</w:t>
            </w:r>
            <w:r w:rsidRPr="00E0548A">
              <w:rPr>
                <w:rFonts w:ascii="ＭＳ ゴシック" w:eastAsia="ＭＳ ゴシック" w:hAnsi="ＭＳ ゴシック" w:hint="eastAsia"/>
                <w:spacing w:val="12"/>
                <w:kern w:val="0"/>
                <w:sz w:val="18"/>
                <w:szCs w:val="18"/>
                <w:fitText w:val="760" w:id="-1954281983"/>
              </w:rPr>
              <w:t>班</w:t>
            </w:r>
          </w:p>
        </w:tc>
        <w:tc>
          <w:tcPr>
            <w:tcW w:w="5223" w:type="dxa"/>
            <w:gridSpan w:val="2"/>
            <w:vMerge w:val="restart"/>
            <w:tcBorders>
              <w:top w:val="single" w:sz="4" w:space="0" w:color="auto"/>
              <w:left w:val="single" w:sz="4" w:space="0" w:color="auto"/>
              <w:right w:val="single" w:sz="4" w:space="0" w:color="auto"/>
            </w:tcBorders>
            <w:vAlign w:val="center"/>
          </w:tcPr>
          <w:p w14:paraId="2E5797A0" w14:textId="77777777" w:rsidR="00E5017E" w:rsidRPr="00E0548A" w:rsidRDefault="00E5017E" w:rsidP="00D6130A">
            <w:pPr>
              <w:adjustRightInd w:val="0"/>
              <w:snapToGrid w:val="0"/>
              <w:spacing w:line="240" w:lineRule="exact"/>
              <w:jc w:val="left"/>
              <w:rPr>
                <w:rFonts w:ascii="ＭＳ ゴシック" w:eastAsia="ＭＳ ゴシック" w:hAnsi="ＭＳ ゴシック"/>
                <w:w w:val="50"/>
                <w:sz w:val="18"/>
                <w:szCs w:val="18"/>
              </w:rPr>
            </w:pPr>
            <w:r w:rsidRPr="00E0548A">
              <w:rPr>
                <w:rFonts w:ascii="ＭＳ ゴシック" w:eastAsia="ＭＳ ゴシック" w:hAnsi="ＭＳ ゴシック" w:hint="eastAsia"/>
                <w:w w:val="50"/>
                <w:sz w:val="18"/>
                <w:szCs w:val="18"/>
              </w:rPr>
              <w:t>○報道機関への緊急放送要請の実施</w:t>
            </w:r>
          </w:p>
          <w:p w14:paraId="71609DF4" w14:textId="77777777" w:rsidR="00E447A0" w:rsidRPr="00E0548A" w:rsidRDefault="00E447A0" w:rsidP="00E447A0">
            <w:pPr>
              <w:adjustRightInd w:val="0"/>
              <w:snapToGrid w:val="0"/>
              <w:spacing w:line="240" w:lineRule="exact"/>
              <w:jc w:val="left"/>
              <w:rPr>
                <w:rFonts w:ascii="ＭＳ ゴシック" w:eastAsia="ＭＳ ゴシック" w:hAnsi="ＭＳ ゴシック"/>
                <w:w w:val="50"/>
                <w:sz w:val="18"/>
                <w:szCs w:val="18"/>
              </w:rPr>
            </w:pPr>
            <w:r w:rsidRPr="00E0548A">
              <w:rPr>
                <w:rFonts w:ascii="ＭＳ ゴシック" w:eastAsia="ＭＳ ゴシック" w:hAnsi="ＭＳ ゴシック" w:hint="eastAsia"/>
                <w:w w:val="50"/>
                <w:sz w:val="18"/>
                <w:szCs w:val="18"/>
              </w:rPr>
              <w:t>○報道機関対応</w:t>
            </w:r>
          </w:p>
          <w:p w14:paraId="229888C3" w14:textId="77777777" w:rsidR="00E5017E" w:rsidRPr="00E0548A" w:rsidRDefault="00E5017E" w:rsidP="00D6130A">
            <w:pPr>
              <w:adjustRightInd w:val="0"/>
              <w:snapToGrid w:val="0"/>
              <w:spacing w:line="240" w:lineRule="exact"/>
              <w:jc w:val="left"/>
              <w:rPr>
                <w:rFonts w:ascii="ＭＳ ゴシック" w:eastAsia="ＭＳ ゴシック" w:hAnsi="ＭＳ ゴシック"/>
                <w:w w:val="50"/>
                <w:sz w:val="18"/>
                <w:szCs w:val="18"/>
              </w:rPr>
            </w:pPr>
            <w:r w:rsidRPr="00E0548A">
              <w:rPr>
                <w:rFonts w:ascii="ＭＳ ゴシック" w:eastAsia="ＭＳ ゴシック" w:hAnsi="ＭＳ ゴシック" w:hint="eastAsia"/>
                <w:w w:val="50"/>
                <w:sz w:val="18"/>
                <w:szCs w:val="18"/>
              </w:rPr>
              <w:t>○プレスセンター開設・運営</w:t>
            </w:r>
          </w:p>
          <w:p w14:paraId="50C362B3" w14:textId="77777777" w:rsidR="00E5017E" w:rsidRPr="00E0548A" w:rsidRDefault="00E5017E" w:rsidP="00D6130A">
            <w:pPr>
              <w:adjustRightInd w:val="0"/>
              <w:snapToGrid w:val="0"/>
              <w:spacing w:line="240" w:lineRule="exact"/>
              <w:jc w:val="left"/>
              <w:rPr>
                <w:rFonts w:ascii="ＭＳ ゴシック" w:eastAsia="ＭＳ ゴシック" w:hAnsi="ＭＳ ゴシック"/>
                <w:w w:val="50"/>
                <w:sz w:val="18"/>
                <w:szCs w:val="18"/>
              </w:rPr>
            </w:pPr>
            <w:r w:rsidRPr="00E0548A">
              <w:rPr>
                <w:rFonts w:ascii="ＭＳ ゴシック" w:eastAsia="ＭＳ ゴシック" w:hAnsi="ＭＳ ゴシック" w:hint="eastAsia"/>
                <w:w w:val="50"/>
                <w:sz w:val="18"/>
                <w:szCs w:val="18"/>
              </w:rPr>
              <w:t>○報道班活動記録(画像、文書)作成</w:t>
            </w:r>
          </w:p>
          <w:p w14:paraId="72AE6044" w14:textId="77777777" w:rsidR="00E447A0" w:rsidRPr="00E0548A" w:rsidRDefault="00E447A0" w:rsidP="00D6130A">
            <w:pPr>
              <w:adjustRightInd w:val="0"/>
              <w:snapToGrid w:val="0"/>
              <w:spacing w:line="240" w:lineRule="exact"/>
              <w:jc w:val="left"/>
              <w:rPr>
                <w:rFonts w:ascii="ＭＳ ゴシック" w:eastAsia="ＭＳ ゴシック" w:hAnsi="ＭＳ ゴシック"/>
                <w:w w:val="50"/>
                <w:sz w:val="18"/>
                <w:szCs w:val="18"/>
              </w:rPr>
            </w:pPr>
            <w:r w:rsidRPr="00E0548A">
              <w:rPr>
                <w:rFonts w:ascii="ＭＳ ゴシック" w:eastAsia="ＭＳ ゴシック" w:hAnsi="ＭＳ ゴシック" w:hint="eastAsia"/>
                <w:w w:val="50"/>
                <w:sz w:val="18"/>
                <w:szCs w:val="18"/>
              </w:rPr>
              <w:t>〇被害情報の公表</w:t>
            </w:r>
          </w:p>
        </w:tc>
        <w:tc>
          <w:tcPr>
            <w:tcW w:w="3002" w:type="dxa"/>
            <w:gridSpan w:val="3"/>
            <w:tcBorders>
              <w:top w:val="single" w:sz="4" w:space="0" w:color="auto"/>
              <w:left w:val="single" w:sz="4" w:space="0" w:color="auto"/>
              <w:right w:val="single" w:sz="4" w:space="0" w:color="auto"/>
            </w:tcBorders>
            <w:vAlign w:val="center"/>
          </w:tcPr>
          <w:p w14:paraId="26AFF87B" w14:textId="77777777" w:rsidR="00E5017E" w:rsidRPr="00E0548A" w:rsidRDefault="00E5017E" w:rsidP="00D6130A">
            <w:pPr>
              <w:adjustRightInd w:val="0"/>
              <w:snapToGrid w:val="0"/>
              <w:spacing w:line="240" w:lineRule="exact"/>
              <w:jc w:val="left"/>
              <w:rPr>
                <w:rFonts w:ascii="ＭＳ ゴシック" w:eastAsia="ＭＳ ゴシック" w:hAnsi="ＭＳ ゴシック"/>
                <w:w w:val="50"/>
                <w:sz w:val="18"/>
                <w:szCs w:val="18"/>
              </w:rPr>
            </w:pPr>
            <w:r w:rsidRPr="00E0548A">
              <w:rPr>
                <w:rFonts w:ascii="ＭＳ ゴシック" w:eastAsia="ＭＳ ゴシック" w:hAnsi="ＭＳ ゴシック" w:hint="eastAsia"/>
                <w:w w:val="50"/>
                <w:sz w:val="18"/>
                <w:szCs w:val="18"/>
              </w:rPr>
              <w:t>班長：防災企画課参事　　副班長：企画室政策課参事</w:t>
            </w:r>
          </w:p>
        </w:tc>
      </w:tr>
      <w:tr w:rsidR="001D6D10" w:rsidRPr="00E0548A" w14:paraId="7BBFBDFB" w14:textId="77777777" w:rsidTr="006E52DA">
        <w:trPr>
          <w:cantSplit/>
          <w:trHeight w:val="951"/>
        </w:trPr>
        <w:tc>
          <w:tcPr>
            <w:tcW w:w="696" w:type="dxa"/>
            <w:vMerge/>
            <w:tcBorders>
              <w:top w:val="single" w:sz="4" w:space="0" w:color="auto"/>
              <w:left w:val="single" w:sz="4" w:space="0" w:color="auto"/>
              <w:bottom w:val="single" w:sz="4" w:space="0" w:color="auto"/>
              <w:right w:val="single" w:sz="4" w:space="0" w:color="auto"/>
            </w:tcBorders>
            <w:vAlign w:val="center"/>
            <w:hideMark/>
          </w:tcPr>
          <w:p w14:paraId="69FD228B" w14:textId="77777777" w:rsidR="00E5017E" w:rsidRPr="00E0548A" w:rsidRDefault="00E5017E" w:rsidP="00D6130A">
            <w:pPr>
              <w:widowControl/>
              <w:adjustRightInd w:val="0"/>
              <w:snapToGrid w:val="0"/>
              <w:spacing w:line="240" w:lineRule="exact"/>
              <w:jc w:val="center"/>
              <w:rPr>
                <w:rFonts w:ascii="ＭＳ ゴシック" w:eastAsia="ＭＳ ゴシック" w:hAnsi="ＭＳ ゴシック"/>
                <w:w w:val="50"/>
                <w:sz w:val="18"/>
                <w:szCs w:val="18"/>
              </w:rPr>
            </w:pPr>
          </w:p>
        </w:tc>
        <w:tc>
          <w:tcPr>
            <w:tcW w:w="5223" w:type="dxa"/>
            <w:gridSpan w:val="2"/>
            <w:vMerge/>
            <w:tcBorders>
              <w:left w:val="single" w:sz="4" w:space="0" w:color="auto"/>
              <w:bottom w:val="single" w:sz="4" w:space="0" w:color="auto"/>
              <w:right w:val="single" w:sz="4" w:space="0" w:color="auto"/>
            </w:tcBorders>
            <w:vAlign w:val="center"/>
          </w:tcPr>
          <w:p w14:paraId="2F2317EC" w14:textId="77777777" w:rsidR="00E5017E" w:rsidRPr="00E0548A" w:rsidRDefault="00E5017E" w:rsidP="00D6130A">
            <w:pPr>
              <w:widowControl/>
              <w:adjustRightInd w:val="0"/>
              <w:snapToGrid w:val="0"/>
              <w:spacing w:line="240" w:lineRule="exact"/>
              <w:jc w:val="left"/>
              <w:rPr>
                <w:rFonts w:ascii="ＭＳ ゴシック" w:eastAsia="ＭＳ ゴシック" w:hAnsi="ＭＳ ゴシック"/>
                <w:w w:val="50"/>
                <w:sz w:val="18"/>
                <w:szCs w:val="18"/>
              </w:rPr>
            </w:pPr>
          </w:p>
        </w:tc>
        <w:tc>
          <w:tcPr>
            <w:tcW w:w="1014" w:type="dxa"/>
            <w:tcBorders>
              <w:top w:val="single" w:sz="4" w:space="0" w:color="auto"/>
              <w:left w:val="single" w:sz="4" w:space="0" w:color="auto"/>
              <w:bottom w:val="single" w:sz="4" w:space="0" w:color="auto"/>
              <w:right w:val="single" w:sz="4" w:space="0" w:color="auto"/>
            </w:tcBorders>
            <w:vAlign w:val="center"/>
            <w:hideMark/>
          </w:tcPr>
          <w:p w14:paraId="70598203" w14:textId="77777777" w:rsidR="00E5017E" w:rsidRPr="00E0548A" w:rsidRDefault="00E5017E" w:rsidP="00D6130A">
            <w:pPr>
              <w:adjustRightInd w:val="0"/>
              <w:snapToGrid w:val="0"/>
              <w:spacing w:line="240" w:lineRule="exact"/>
              <w:jc w:val="center"/>
              <w:rPr>
                <w:rFonts w:ascii="ＭＳ ゴシック" w:eastAsia="ＭＳ ゴシック" w:hAnsi="ＭＳ ゴシック"/>
                <w:w w:val="50"/>
                <w:sz w:val="18"/>
                <w:szCs w:val="18"/>
              </w:rPr>
            </w:pPr>
            <w:r w:rsidRPr="00E0548A">
              <w:rPr>
                <w:rFonts w:ascii="ＭＳ ゴシック" w:eastAsia="ＭＳ ゴシック" w:hAnsi="ＭＳ ゴシック" w:hint="eastAsia"/>
                <w:w w:val="50"/>
                <w:sz w:val="18"/>
                <w:szCs w:val="18"/>
              </w:rPr>
              <w:t>企画室報道G(1名)</w:t>
            </w:r>
          </w:p>
          <w:p w14:paraId="34DD9FA8" w14:textId="77777777" w:rsidR="00E5017E" w:rsidRPr="00E0548A" w:rsidRDefault="00E5017E" w:rsidP="00D6130A">
            <w:pPr>
              <w:adjustRightInd w:val="0"/>
              <w:snapToGrid w:val="0"/>
              <w:spacing w:line="240" w:lineRule="exact"/>
              <w:jc w:val="center"/>
              <w:rPr>
                <w:rFonts w:ascii="ＭＳ ゴシック" w:eastAsia="ＭＳ ゴシック" w:hAnsi="ＭＳ ゴシック"/>
                <w:w w:val="50"/>
                <w:sz w:val="18"/>
                <w:szCs w:val="18"/>
              </w:rPr>
            </w:pPr>
            <w:r w:rsidRPr="00E0548A">
              <w:rPr>
                <w:rFonts w:ascii="ＭＳ ゴシック" w:eastAsia="ＭＳ ゴシック" w:hAnsi="ＭＳ ゴシック" w:hint="eastAsia"/>
                <w:w w:val="50"/>
                <w:sz w:val="18"/>
                <w:szCs w:val="18"/>
              </w:rPr>
              <w:t>危機管理室（1名）</w:t>
            </w:r>
          </w:p>
        </w:tc>
        <w:tc>
          <w:tcPr>
            <w:tcW w:w="992" w:type="dxa"/>
            <w:tcBorders>
              <w:top w:val="single" w:sz="4" w:space="0" w:color="auto"/>
              <w:left w:val="single" w:sz="4" w:space="0" w:color="auto"/>
              <w:bottom w:val="single" w:sz="4" w:space="0" w:color="auto"/>
              <w:right w:val="single" w:sz="4" w:space="0" w:color="auto"/>
            </w:tcBorders>
            <w:vAlign w:val="center"/>
            <w:hideMark/>
          </w:tcPr>
          <w:p w14:paraId="3542BF88" w14:textId="77777777" w:rsidR="00E5017E" w:rsidRPr="00E0548A" w:rsidRDefault="00E5017E" w:rsidP="00D6130A">
            <w:pPr>
              <w:adjustRightInd w:val="0"/>
              <w:snapToGrid w:val="0"/>
              <w:spacing w:line="240" w:lineRule="exact"/>
              <w:jc w:val="center"/>
              <w:rPr>
                <w:rFonts w:ascii="ＭＳ ゴシック" w:eastAsia="ＭＳ ゴシック" w:hAnsi="ＭＳ ゴシック"/>
                <w:w w:val="50"/>
                <w:sz w:val="18"/>
                <w:szCs w:val="18"/>
              </w:rPr>
            </w:pPr>
            <w:r w:rsidRPr="00E0548A">
              <w:rPr>
                <w:rFonts w:ascii="ＭＳ ゴシック" w:eastAsia="ＭＳ ゴシック" w:hAnsi="ＭＳ ゴシック" w:hint="eastAsia"/>
                <w:w w:val="50"/>
                <w:sz w:val="18"/>
                <w:szCs w:val="18"/>
              </w:rPr>
              <w:t>企画室報道G(1名)</w:t>
            </w:r>
          </w:p>
          <w:p w14:paraId="5CBA9387" w14:textId="3F16C011" w:rsidR="00E5017E" w:rsidRPr="00E0548A" w:rsidRDefault="00E5017E" w:rsidP="00D6130A">
            <w:pPr>
              <w:adjustRightInd w:val="0"/>
              <w:snapToGrid w:val="0"/>
              <w:spacing w:line="240" w:lineRule="exact"/>
              <w:jc w:val="center"/>
              <w:rPr>
                <w:rFonts w:ascii="ＭＳ ゴシック" w:eastAsia="ＭＳ ゴシック" w:hAnsi="ＭＳ ゴシック"/>
                <w:w w:val="50"/>
                <w:sz w:val="18"/>
                <w:szCs w:val="18"/>
              </w:rPr>
            </w:pPr>
            <w:r w:rsidRPr="00E0548A">
              <w:rPr>
                <w:rFonts w:ascii="ＭＳ ゴシック" w:eastAsia="ＭＳ ゴシック" w:hAnsi="ＭＳ ゴシック" w:hint="eastAsia"/>
                <w:w w:val="50"/>
                <w:sz w:val="18"/>
                <w:szCs w:val="18"/>
              </w:rPr>
              <w:t>危機管理室（</w:t>
            </w:r>
            <w:r w:rsidR="00FB13C8">
              <w:rPr>
                <w:rFonts w:ascii="ＭＳ ゴシック" w:eastAsia="ＭＳ ゴシック" w:hAnsi="ＭＳ ゴシック" w:hint="eastAsia"/>
                <w:w w:val="50"/>
                <w:sz w:val="18"/>
                <w:szCs w:val="18"/>
              </w:rPr>
              <w:t>２</w:t>
            </w:r>
            <w:r w:rsidRPr="00E0548A">
              <w:rPr>
                <w:rFonts w:ascii="ＭＳ ゴシック" w:eastAsia="ＭＳ ゴシック" w:hAnsi="ＭＳ ゴシック" w:hint="eastAsia"/>
                <w:w w:val="50"/>
                <w:sz w:val="18"/>
                <w:szCs w:val="18"/>
              </w:rPr>
              <w:t>名）</w:t>
            </w:r>
          </w:p>
        </w:tc>
        <w:tc>
          <w:tcPr>
            <w:tcW w:w="996" w:type="dxa"/>
            <w:tcBorders>
              <w:top w:val="single" w:sz="4" w:space="0" w:color="auto"/>
              <w:left w:val="single" w:sz="4" w:space="0" w:color="auto"/>
              <w:bottom w:val="single" w:sz="4" w:space="0" w:color="auto"/>
              <w:right w:val="single" w:sz="4" w:space="0" w:color="auto"/>
            </w:tcBorders>
            <w:vAlign w:val="center"/>
            <w:hideMark/>
          </w:tcPr>
          <w:p w14:paraId="7CBA9B0C" w14:textId="77777777" w:rsidR="00E5017E" w:rsidRPr="00E0548A" w:rsidRDefault="00E5017E" w:rsidP="00D6130A">
            <w:pPr>
              <w:adjustRightInd w:val="0"/>
              <w:snapToGrid w:val="0"/>
              <w:spacing w:line="240" w:lineRule="exact"/>
              <w:jc w:val="center"/>
              <w:rPr>
                <w:rFonts w:ascii="ＭＳ ゴシック" w:eastAsia="ＭＳ ゴシック" w:hAnsi="ＭＳ ゴシック"/>
                <w:w w:val="50"/>
                <w:sz w:val="18"/>
                <w:szCs w:val="18"/>
              </w:rPr>
            </w:pPr>
            <w:r w:rsidRPr="00E0548A">
              <w:rPr>
                <w:rFonts w:ascii="ＭＳ ゴシック" w:eastAsia="ＭＳ ゴシック" w:hAnsi="ＭＳ ゴシック" w:hint="eastAsia"/>
                <w:w w:val="50"/>
                <w:sz w:val="18"/>
                <w:szCs w:val="18"/>
              </w:rPr>
              <w:t>企画室報道G(1名)</w:t>
            </w:r>
          </w:p>
          <w:p w14:paraId="1DDB28FA" w14:textId="55053C5D" w:rsidR="00E5017E" w:rsidRPr="00E0548A" w:rsidRDefault="00E5017E" w:rsidP="00D6130A">
            <w:pPr>
              <w:adjustRightInd w:val="0"/>
              <w:snapToGrid w:val="0"/>
              <w:spacing w:line="240" w:lineRule="exact"/>
              <w:jc w:val="center"/>
              <w:rPr>
                <w:rFonts w:ascii="ＭＳ ゴシック" w:eastAsia="ＭＳ ゴシック" w:hAnsi="ＭＳ ゴシック"/>
                <w:w w:val="50"/>
                <w:sz w:val="18"/>
                <w:szCs w:val="18"/>
              </w:rPr>
            </w:pPr>
            <w:r w:rsidRPr="00E0548A">
              <w:rPr>
                <w:rFonts w:ascii="ＭＳ ゴシック" w:eastAsia="ＭＳ ゴシック" w:hAnsi="ＭＳ ゴシック" w:hint="eastAsia"/>
                <w:w w:val="50"/>
                <w:sz w:val="18"/>
                <w:szCs w:val="18"/>
              </w:rPr>
              <w:t>危機管理室(</w:t>
            </w:r>
            <w:r w:rsidR="00753E6D">
              <w:rPr>
                <w:rFonts w:ascii="ＭＳ ゴシック" w:eastAsia="ＭＳ ゴシック" w:hAnsi="ＭＳ ゴシック" w:hint="eastAsia"/>
                <w:w w:val="50"/>
                <w:sz w:val="18"/>
                <w:szCs w:val="18"/>
              </w:rPr>
              <w:t>３</w:t>
            </w:r>
            <w:r w:rsidRPr="00E0548A">
              <w:rPr>
                <w:rFonts w:ascii="ＭＳ ゴシック" w:eastAsia="ＭＳ ゴシック" w:hAnsi="ＭＳ ゴシック" w:hint="eastAsia"/>
                <w:w w:val="50"/>
                <w:sz w:val="18"/>
                <w:szCs w:val="18"/>
              </w:rPr>
              <w:t>名)</w:t>
            </w:r>
          </w:p>
        </w:tc>
      </w:tr>
      <w:tr w:rsidR="001D6D10" w:rsidRPr="00E0548A" w14:paraId="1554A853" w14:textId="77777777" w:rsidTr="006E52DA">
        <w:trPr>
          <w:cantSplit/>
          <w:trHeight w:val="384"/>
        </w:trPr>
        <w:tc>
          <w:tcPr>
            <w:tcW w:w="696" w:type="dxa"/>
            <w:vMerge w:val="restart"/>
            <w:tcBorders>
              <w:top w:val="single" w:sz="4" w:space="0" w:color="auto"/>
              <w:left w:val="single" w:sz="4" w:space="0" w:color="auto"/>
              <w:right w:val="single" w:sz="4" w:space="0" w:color="auto"/>
            </w:tcBorders>
            <w:textDirection w:val="tbRlV"/>
            <w:vAlign w:val="center"/>
            <w:hideMark/>
          </w:tcPr>
          <w:p w14:paraId="05E84B1C" w14:textId="77777777" w:rsidR="00E5017E" w:rsidRPr="00E0548A" w:rsidRDefault="00E5017E" w:rsidP="00D6130A">
            <w:pPr>
              <w:adjustRightInd w:val="0"/>
              <w:snapToGrid w:val="0"/>
              <w:spacing w:line="240" w:lineRule="exact"/>
              <w:ind w:left="113" w:right="113"/>
              <w:jc w:val="center"/>
              <w:rPr>
                <w:rFonts w:ascii="ＭＳ ゴシック" w:eastAsia="ＭＳ ゴシック" w:hAnsi="ＭＳ ゴシック"/>
                <w:w w:val="50"/>
                <w:sz w:val="18"/>
                <w:szCs w:val="18"/>
              </w:rPr>
            </w:pPr>
            <w:r w:rsidRPr="00E0548A">
              <w:rPr>
                <w:rFonts w:ascii="ＭＳ ゴシック" w:eastAsia="ＭＳ ゴシック" w:hAnsi="ＭＳ ゴシック" w:hint="eastAsia"/>
                <w:spacing w:val="86"/>
                <w:kern w:val="0"/>
                <w:sz w:val="18"/>
                <w:szCs w:val="18"/>
                <w:fitText w:val="884" w:id="-1954281982"/>
              </w:rPr>
              <w:lastRenderedPageBreak/>
              <w:t>情報</w:t>
            </w:r>
            <w:r w:rsidRPr="00E0548A">
              <w:rPr>
                <w:rFonts w:ascii="ＭＳ ゴシック" w:eastAsia="ＭＳ ゴシック" w:hAnsi="ＭＳ ゴシック" w:hint="eastAsia"/>
                <w:kern w:val="0"/>
                <w:sz w:val="18"/>
                <w:szCs w:val="18"/>
                <w:fitText w:val="884" w:id="-1954281982"/>
              </w:rPr>
              <w:t>班</w:t>
            </w:r>
          </w:p>
        </w:tc>
        <w:tc>
          <w:tcPr>
            <w:tcW w:w="5223" w:type="dxa"/>
            <w:gridSpan w:val="2"/>
            <w:vMerge w:val="restart"/>
            <w:tcBorders>
              <w:top w:val="single" w:sz="4" w:space="0" w:color="auto"/>
              <w:left w:val="single" w:sz="4" w:space="0" w:color="auto"/>
              <w:right w:val="single" w:sz="4" w:space="0" w:color="auto"/>
            </w:tcBorders>
            <w:vAlign w:val="center"/>
          </w:tcPr>
          <w:p w14:paraId="3B962DA4" w14:textId="77777777" w:rsidR="00E5017E" w:rsidRPr="00E0548A" w:rsidRDefault="00E5017E" w:rsidP="00D6130A">
            <w:pPr>
              <w:adjustRightInd w:val="0"/>
              <w:snapToGrid w:val="0"/>
              <w:spacing w:line="240" w:lineRule="exact"/>
              <w:ind w:left="91" w:hangingChars="100" w:hanging="91"/>
              <w:jc w:val="left"/>
              <w:rPr>
                <w:rFonts w:ascii="ＭＳ ゴシック" w:eastAsia="ＭＳ ゴシック" w:hAnsi="ＭＳ ゴシック"/>
                <w:w w:val="50"/>
                <w:sz w:val="18"/>
                <w:szCs w:val="18"/>
              </w:rPr>
            </w:pPr>
            <w:r w:rsidRPr="00E0548A">
              <w:rPr>
                <w:rFonts w:ascii="ＭＳ ゴシック" w:eastAsia="ＭＳ ゴシック" w:hAnsi="ＭＳ ゴシック" w:hint="eastAsia"/>
                <w:w w:val="50"/>
                <w:sz w:val="18"/>
                <w:szCs w:val="18"/>
              </w:rPr>
              <w:t>○以下の被害情報等を収集・整理し、モニターやホワイトボードに記載(事務局内の情報共有)</w:t>
            </w:r>
          </w:p>
          <w:p w14:paraId="0B61B676" w14:textId="77777777" w:rsidR="00E5017E" w:rsidRPr="00E0548A" w:rsidRDefault="00E5017E" w:rsidP="00D6130A">
            <w:pPr>
              <w:adjustRightInd w:val="0"/>
              <w:snapToGrid w:val="0"/>
              <w:spacing w:line="240" w:lineRule="exact"/>
              <w:ind w:left="91" w:hangingChars="100" w:hanging="91"/>
              <w:jc w:val="left"/>
              <w:rPr>
                <w:rFonts w:ascii="ＭＳ ゴシック" w:eastAsia="ＭＳ ゴシック" w:hAnsi="ＭＳ ゴシック"/>
                <w:w w:val="50"/>
                <w:sz w:val="18"/>
                <w:szCs w:val="18"/>
              </w:rPr>
            </w:pPr>
            <w:r w:rsidRPr="00E0548A">
              <w:rPr>
                <w:rFonts w:ascii="ＭＳ ゴシック" w:eastAsia="ＭＳ ゴシック" w:hAnsi="ＭＳ ゴシック" w:hint="eastAsia"/>
                <w:w w:val="50"/>
                <w:sz w:val="18"/>
                <w:szCs w:val="18"/>
              </w:rPr>
              <w:t>①気象台情報(地震、津波、気象等)を収集・整理</w:t>
            </w:r>
          </w:p>
          <w:p w14:paraId="3EA18417" w14:textId="77777777" w:rsidR="00E5017E" w:rsidRPr="00E0548A" w:rsidRDefault="00E5017E" w:rsidP="00D6130A">
            <w:pPr>
              <w:adjustRightInd w:val="0"/>
              <w:snapToGrid w:val="0"/>
              <w:spacing w:line="240" w:lineRule="exact"/>
              <w:ind w:left="91" w:hangingChars="100" w:hanging="91"/>
              <w:jc w:val="left"/>
              <w:rPr>
                <w:rFonts w:ascii="ＭＳ ゴシック" w:eastAsia="ＭＳ ゴシック" w:hAnsi="ＭＳ ゴシック"/>
                <w:w w:val="50"/>
                <w:sz w:val="18"/>
                <w:szCs w:val="18"/>
              </w:rPr>
            </w:pPr>
            <w:r w:rsidRPr="00E0548A">
              <w:rPr>
                <w:rFonts w:ascii="ＭＳ ゴシック" w:eastAsia="ＭＳ ゴシック" w:hAnsi="ＭＳ ゴシック" w:hint="eastAsia"/>
                <w:w w:val="50"/>
                <w:sz w:val="18"/>
                <w:szCs w:val="18"/>
              </w:rPr>
              <w:t>②</w:t>
            </w:r>
            <w:r w:rsidRPr="00E0548A">
              <w:rPr>
                <w:rFonts w:ascii="ＭＳ ゴシック" w:eastAsia="ＭＳ ゴシック" w:hAnsi="ＭＳ ゴシック"/>
                <w:w w:val="50"/>
                <w:sz w:val="18"/>
                <w:szCs w:val="18"/>
              </w:rPr>
              <w:t xml:space="preserve"> </w:t>
            </w:r>
            <w:r w:rsidRPr="00E0548A">
              <w:rPr>
                <w:rFonts w:ascii="ＭＳ ゴシック" w:eastAsia="ＭＳ ゴシック" w:hAnsi="ＭＳ ゴシック" w:hint="eastAsia"/>
                <w:w w:val="50"/>
                <w:sz w:val="18"/>
                <w:szCs w:val="18"/>
              </w:rPr>
              <w:t>交通・ライフライン企業から被害情報等を収集・整理</w:t>
            </w:r>
          </w:p>
          <w:p w14:paraId="55553B2C" w14:textId="77777777" w:rsidR="00E5017E" w:rsidRPr="00E0548A" w:rsidRDefault="00E5017E" w:rsidP="00D6130A">
            <w:pPr>
              <w:adjustRightInd w:val="0"/>
              <w:snapToGrid w:val="0"/>
              <w:spacing w:line="240" w:lineRule="exact"/>
              <w:ind w:left="91" w:hangingChars="100" w:hanging="91"/>
              <w:jc w:val="left"/>
              <w:rPr>
                <w:rFonts w:ascii="ＭＳ ゴシック" w:eastAsia="ＭＳ ゴシック" w:hAnsi="ＭＳ ゴシック"/>
                <w:w w:val="50"/>
                <w:sz w:val="18"/>
                <w:szCs w:val="18"/>
              </w:rPr>
            </w:pPr>
            <w:r w:rsidRPr="00E0548A">
              <w:rPr>
                <w:rFonts w:ascii="ＭＳ ゴシック" w:eastAsia="ＭＳ ゴシック" w:hAnsi="ＭＳ ゴシック" w:hint="eastAsia"/>
                <w:w w:val="50"/>
                <w:sz w:val="18"/>
                <w:szCs w:val="18"/>
              </w:rPr>
              <w:t>③都市整備部や警察から道路被害情報を収集・整理</w:t>
            </w:r>
          </w:p>
          <w:p w14:paraId="41CBF880" w14:textId="77777777" w:rsidR="00E5017E" w:rsidRPr="00E0548A" w:rsidRDefault="00E5017E" w:rsidP="00D6130A">
            <w:pPr>
              <w:adjustRightInd w:val="0"/>
              <w:snapToGrid w:val="0"/>
              <w:spacing w:line="240" w:lineRule="exact"/>
              <w:ind w:left="91" w:hangingChars="100" w:hanging="91"/>
              <w:jc w:val="left"/>
              <w:rPr>
                <w:rFonts w:ascii="ＭＳ ゴシック" w:eastAsia="ＭＳ ゴシック" w:hAnsi="ＭＳ ゴシック"/>
                <w:w w:val="50"/>
                <w:sz w:val="18"/>
                <w:szCs w:val="18"/>
              </w:rPr>
            </w:pPr>
            <w:r w:rsidRPr="00E0548A">
              <w:rPr>
                <w:rFonts w:ascii="ＭＳ ゴシック" w:eastAsia="ＭＳ ゴシック" w:hAnsi="ＭＳ ゴシック" w:hint="eastAsia"/>
                <w:w w:val="50"/>
                <w:sz w:val="18"/>
                <w:szCs w:val="18"/>
              </w:rPr>
              <w:t>④市町村からO</w:t>
            </w:r>
            <w:r w:rsidRPr="00E0548A">
              <w:rPr>
                <w:rFonts w:ascii="ＭＳ ゴシック" w:eastAsia="ＭＳ ゴシック" w:hAnsi="ＭＳ ゴシック"/>
                <w:w w:val="50"/>
                <w:sz w:val="18"/>
                <w:szCs w:val="18"/>
              </w:rPr>
              <w:t>-</w:t>
            </w:r>
            <w:r w:rsidRPr="00E0548A">
              <w:rPr>
                <w:rFonts w:ascii="ＭＳ ゴシック" w:eastAsia="ＭＳ ゴシック" w:hAnsi="ＭＳ ゴシック" w:hint="eastAsia"/>
                <w:w w:val="50"/>
                <w:sz w:val="18"/>
                <w:szCs w:val="18"/>
              </w:rPr>
              <w:t>DISを通じて情報収集(避難情報の発令状況確認含む)</w:t>
            </w:r>
          </w:p>
          <w:p w14:paraId="49092775" w14:textId="031EEF53" w:rsidR="00E5017E" w:rsidRPr="00E0548A" w:rsidRDefault="00E5017E" w:rsidP="00D6130A">
            <w:pPr>
              <w:adjustRightInd w:val="0"/>
              <w:snapToGrid w:val="0"/>
              <w:spacing w:line="240" w:lineRule="exact"/>
              <w:ind w:leftChars="100" w:left="211"/>
              <w:jc w:val="left"/>
              <w:rPr>
                <w:rFonts w:ascii="ＭＳ ゴシック" w:eastAsia="ＭＳ ゴシック" w:hAnsi="ＭＳ ゴシック"/>
                <w:w w:val="50"/>
                <w:sz w:val="18"/>
                <w:szCs w:val="18"/>
              </w:rPr>
            </w:pPr>
            <w:r w:rsidRPr="00E0548A">
              <w:rPr>
                <w:rFonts w:ascii="ＭＳ ゴシック" w:eastAsia="ＭＳ ゴシック" w:hAnsi="ＭＳ ゴシック" w:hint="eastAsia"/>
                <w:w w:val="50"/>
                <w:sz w:val="18"/>
                <w:szCs w:val="18"/>
              </w:rPr>
              <w:t>注：O</w:t>
            </w:r>
            <w:r w:rsidR="00AB6FBD" w:rsidRPr="00E0548A">
              <w:rPr>
                <w:rFonts w:ascii="ＭＳ ゴシック" w:eastAsia="ＭＳ ゴシック" w:hAnsi="ＭＳ ゴシック"/>
                <w:w w:val="50"/>
                <w:sz w:val="18"/>
                <w:szCs w:val="18"/>
              </w:rPr>
              <w:t>-</w:t>
            </w:r>
            <w:r w:rsidRPr="00E0548A">
              <w:rPr>
                <w:rFonts w:ascii="ＭＳ ゴシック" w:eastAsia="ＭＳ ゴシック" w:hAnsi="ＭＳ ゴシック" w:hint="eastAsia"/>
                <w:w w:val="50"/>
                <w:sz w:val="18"/>
                <w:szCs w:val="18"/>
              </w:rPr>
              <w:t>DIS未入力の被害については、市町村に確認するとともにO</w:t>
            </w:r>
            <w:r w:rsidR="00AB6FBD" w:rsidRPr="00E0548A">
              <w:rPr>
                <w:rFonts w:ascii="ＭＳ ゴシック" w:eastAsia="ＭＳ ゴシック" w:hAnsi="ＭＳ ゴシック" w:hint="eastAsia"/>
                <w:w w:val="50"/>
                <w:sz w:val="18"/>
                <w:szCs w:val="18"/>
              </w:rPr>
              <w:t>-</w:t>
            </w:r>
            <w:r w:rsidRPr="00E0548A">
              <w:rPr>
                <w:rFonts w:ascii="ＭＳ ゴシック" w:eastAsia="ＭＳ ゴシック" w:hAnsi="ＭＳ ゴシック" w:hint="eastAsia"/>
                <w:w w:val="50"/>
                <w:sz w:val="18"/>
                <w:szCs w:val="18"/>
              </w:rPr>
              <w:t>DIS入力を促す</w:t>
            </w:r>
          </w:p>
          <w:p w14:paraId="7F3B8EFD" w14:textId="77777777" w:rsidR="00E5017E" w:rsidRPr="00E0548A" w:rsidRDefault="00E5017E" w:rsidP="00D6130A">
            <w:pPr>
              <w:adjustRightInd w:val="0"/>
              <w:snapToGrid w:val="0"/>
              <w:spacing w:line="240" w:lineRule="exact"/>
              <w:ind w:left="91" w:hangingChars="100" w:hanging="91"/>
              <w:jc w:val="left"/>
              <w:rPr>
                <w:rFonts w:ascii="ＭＳ ゴシック" w:eastAsia="ＭＳ ゴシック" w:hAnsi="ＭＳ ゴシック"/>
                <w:w w:val="50"/>
                <w:sz w:val="18"/>
                <w:szCs w:val="18"/>
              </w:rPr>
            </w:pPr>
            <w:r w:rsidRPr="00E0548A">
              <w:rPr>
                <w:rFonts w:ascii="ＭＳ ゴシック" w:eastAsia="ＭＳ ゴシック" w:hAnsi="ＭＳ ゴシック" w:hint="eastAsia"/>
                <w:w w:val="50"/>
                <w:sz w:val="18"/>
                <w:szCs w:val="18"/>
              </w:rPr>
              <w:t>⑤被害情報(TV・各機関等)を収集・整理</w:t>
            </w:r>
          </w:p>
          <w:p w14:paraId="2AE977CC" w14:textId="77777777" w:rsidR="00E5017E" w:rsidRPr="00E0548A" w:rsidRDefault="00E5017E" w:rsidP="00D6130A">
            <w:pPr>
              <w:adjustRightInd w:val="0"/>
              <w:snapToGrid w:val="0"/>
              <w:spacing w:line="240" w:lineRule="exact"/>
              <w:jc w:val="left"/>
              <w:rPr>
                <w:rFonts w:ascii="ＭＳ ゴシック" w:eastAsia="ＭＳ ゴシック" w:hAnsi="ＭＳ ゴシック"/>
                <w:w w:val="50"/>
                <w:sz w:val="18"/>
                <w:szCs w:val="18"/>
              </w:rPr>
            </w:pPr>
            <w:r w:rsidRPr="00E0548A">
              <w:rPr>
                <w:rFonts w:ascii="ＭＳ ゴシック" w:eastAsia="ＭＳ ゴシック" w:hAnsi="ＭＳ ゴシック" w:hint="eastAsia"/>
                <w:w w:val="50"/>
                <w:sz w:val="18"/>
                <w:szCs w:val="18"/>
              </w:rPr>
              <w:t>⑥ヘリテレ映像の収集・配信</w:t>
            </w:r>
          </w:p>
          <w:p w14:paraId="59A59890" w14:textId="77777777" w:rsidR="00E5017E" w:rsidRPr="00E0548A" w:rsidRDefault="00E5017E" w:rsidP="00D6130A">
            <w:pPr>
              <w:adjustRightInd w:val="0"/>
              <w:snapToGrid w:val="0"/>
              <w:spacing w:line="240" w:lineRule="exact"/>
              <w:jc w:val="left"/>
              <w:rPr>
                <w:rFonts w:ascii="ＭＳ ゴシック" w:eastAsia="ＭＳ ゴシック" w:hAnsi="ＭＳ ゴシック"/>
                <w:w w:val="50"/>
                <w:sz w:val="18"/>
                <w:szCs w:val="18"/>
              </w:rPr>
            </w:pPr>
            <w:r w:rsidRPr="00E0548A">
              <w:rPr>
                <w:rFonts w:ascii="ＭＳ ゴシック" w:eastAsia="ＭＳ ゴシック" w:hAnsi="ＭＳ ゴシック" w:hint="eastAsia"/>
                <w:w w:val="50"/>
                <w:sz w:val="18"/>
                <w:szCs w:val="18"/>
              </w:rPr>
              <w:t>⑦国、関西広域連合等の情報等を収集・整理 (対応の必要性を判断し対策班に引き継ぐ、状況地図を作成)</w:t>
            </w:r>
          </w:p>
          <w:p w14:paraId="40DAA2C8" w14:textId="77777777" w:rsidR="00E5017E" w:rsidRPr="00E0548A" w:rsidRDefault="00E5017E" w:rsidP="00D6130A">
            <w:pPr>
              <w:adjustRightInd w:val="0"/>
              <w:snapToGrid w:val="0"/>
              <w:spacing w:line="240" w:lineRule="exact"/>
              <w:jc w:val="left"/>
              <w:rPr>
                <w:rFonts w:ascii="ＭＳ ゴシック" w:eastAsia="ＭＳ ゴシック" w:hAnsi="ＭＳ ゴシック"/>
                <w:w w:val="50"/>
                <w:sz w:val="18"/>
                <w:szCs w:val="18"/>
              </w:rPr>
            </w:pPr>
            <w:r w:rsidRPr="00E0548A">
              <w:rPr>
                <w:rFonts w:ascii="ＭＳ ゴシック" w:eastAsia="ＭＳ ゴシック" w:hAnsi="ＭＳ ゴシック" w:hint="eastAsia"/>
                <w:w w:val="50"/>
                <w:sz w:val="18"/>
                <w:szCs w:val="18"/>
              </w:rPr>
              <w:t>○地震・津波等の情報や各種被害情報等を評価・分析し、被害の全体像を想定する。(被害想定及び地域防災計画担当が専任)</w:t>
            </w:r>
          </w:p>
          <w:p w14:paraId="1EA39DA9" w14:textId="77777777" w:rsidR="00E5017E" w:rsidRPr="00E0548A" w:rsidRDefault="00E5017E" w:rsidP="00D6130A">
            <w:pPr>
              <w:adjustRightInd w:val="0"/>
              <w:snapToGrid w:val="0"/>
              <w:spacing w:line="240" w:lineRule="exact"/>
              <w:jc w:val="left"/>
              <w:rPr>
                <w:rFonts w:ascii="ＭＳ ゴシック" w:eastAsia="ＭＳ ゴシック" w:hAnsi="ＭＳ ゴシック"/>
                <w:w w:val="50"/>
                <w:sz w:val="18"/>
                <w:szCs w:val="18"/>
              </w:rPr>
            </w:pPr>
            <w:r w:rsidRPr="00E0548A">
              <w:rPr>
                <w:rFonts w:ascii="ＭＳ ゴシック" w:eastAsia="ＭＳ ゴシック" w:hAnsi="ＭＳ ゴシック" w:hint="eastAsia"/>
                <w:w w:val="50"/>
                <w:sz w:val="18"/>
                <w:szCs w:val="18"/>
              </w:rPr>
              <w:t>○情報班活動記録(画像、文書)作成</w:t>
            </w:r>
          </w:p>
          <w:p w14:paraId="05E42F6B" w14:textId="77777777" w:rsidR="00E5017E" w:rsidRPr="00E0548A" w:rsidRDefault="00E5017E" w:rsidP="00D6130A">
            <w:pPr>
              <w:adjustRightInd w:val="0"/>
              <w:snapToGrid w:val="0"/>
              <w:spacing w:line="240" w:lineRule="exact"/>
              <w:jc w:val="left"/>
              <w:rPr>
                <w:rFonts w:ascii="ＭＳ ゴシック" w:eastAsia="ＭＳ ゴシック" w:hAnsi="ＭＳ ゴシック"/>
                <w:w w:val="50"/>
                <w:sz w:val="18"/>
                <w:szCs w:val="18"/>
              </w:rPr>
            </w:pPr>
            <w:r w:rsidRPr="00E0548A">
              <w:rPr>
                <w:rFonts w:ascii="ＭＳ ゴシック" w:eastAsia="ＭＳ ゴシック" w:hAnsi="ＭＳ ゴシック" w:hint="eastAsia"/>
                <w:w w:val="50"/>
                <w:sz w:val="18"/>
                <w:szCs w:val="18"/>
              </w:rPr>
              <w:t>※原子力災害が発生した場合は緊急時モニタリング体制等を設置する。(自然災害等との複合災害の場合は調整する。)</w:t>
            </w:r>
          </w:p>
          <w:p w14:paraId="7879E5F8" w14:textId="77777777" w:rsidR="00E447A0" w:rsidRDefault="00E447A0" w:rsidP="00D6130A">
            <w:pPr>
              <w:adjustRightInd w:val="0"/>
              <w:snapToGrid w:val="0"/>
              <w:spacing w:line="240" w:lineRule="exact"/>
              <w:jc w:val="left"/>
              <w:rPr>
                <w:rFonts w:ascii="ＭＳ ゴシック" w:eastAsia="ＭＳ ゴシック" w:hAnsi="ＭＳ ゴシック"/>
                <w:w w:val="50"/>
                <w:sz w:val="18"/>
                <w:szCs w:val="18"/>
              </w:rPr>
            </w:pPr>
            <w:r w:rsidRPr="00E0548A">
              <w:rPr>
                <w:rFonts w:ascii="ＭＳ ゴシック" w:eastAsia="ＭＳ ゴシック" w:hAnsi="ＭＳ ゴシック" w:hint="eastAsia"/>
                <w:w w:val="50"/>
                <w:sz w:val="18"/>
                <w:szCs w:val="18"/>
              </w:rPr>
              <w:t>〇住民の安否不明者情報の収集（府警、市町村）と、府警情報の市町村提供</w:t>
            </w:r>
          </w:p>
          <w:p w14:paraId="1DFBD93D" w14:textId="27993A36" w:rsidR="00523F74" w:rsidRPr="00E0548A" w:rsidRDefault="00523F74" w:rsidP="00D6130A">
            <w:pPr>
              <w:adjustRightInd w:val="0"/>
              <w:snapToGrid w:val="0"/>
              <w:spacing w:line="240" w:lineRule="exact"/>
              <w:jc w:val="left"/>
              <w:rPr>
                <w:rFonts w:ascii="ＭＳ ゴシック" w:eastAsia="ＭＳ ゴシック" w:hAnsi="ＭＳ ゴシック"/>
                <w:w w:val="50"/>
                <w:sz w:val="18"/>
                <w:szCs w:val="18"/>
              </w:rPr>
            </w:pPr>
            <w:r>
              <w:rPr>
                <w:rFonts w:ascii="ＭＳ ゴシック" w:eastAsia="ＭＳ ゴシック" w:hAnsi="ＭＳ ゴシック" w:hint="eastAsia"/>
                <w:w w:val="50"/>
                <w:sz w:val="18"/>
                <w:szCs w:val="18"/>
              </w:rPr>
              <w:t>〇府警本部との連絡調整</w:t>
            </w:r>
          </w:p>
        </w:tc>
        <w:tc>
          <w:tcPr>
            <w:tcW w:w="3002" w:type="dxa"/>
            <w:gridSpan w:val="3"/>
            <w:tcBorders>
              <w:top w:val="single" w:sz="4" w:space="0" w:color="auto"/>
              <w:left w:val="single" w:sz="4" w:space="0" w:color="auto"/>
              <w:right w:val="single" w:sz="4" w:space="0" w:color="auto"/>
            </w:tcBorders>
            <w:vAlign w:val="center"/>
          </w:tcPr>
          <w:p w14:paraId="45B89648" w14:textId="77777777" w:rsidR="00E5017E" w:rsidRDefault="00E5017E" w:rsidP="00D6130A">
            <w:pPr>
              <w:adjustRightInd w:val="0"/>
              <w:snapToGrid w:val="0"/>
              <w:spacing w:line="240" w:lineRule="exact"/>
              <w:jc w:val="left"/>
              <w:rPr>
                <w:rFonts w:ascii="ＭＳ ゴシック" w:eastAsia="ＭＳ ゴシック" w:hAnsi="ＭＳ ゴシック"/>
                <w:w w:val="50"/>
                <w:sz w:val="18"/>
                <w:szCs w:val="18"/>
              </w:rPr>
            </w:pPr>
            <w:r w:rsidRPr="00E0548A">
              <w:rPr>
                <w:rFonts w:ascii="ＭＳ ゴシック" w:eastAsia="ＭＳ ゴシック" w:hAnsi="ＭＳ ゴシック" w:hint="eastAsia"/>
                <w:w w:val="50"/>
                <w:sz w:val="18"/>
                <w:szCs w:val="18"/>
              </w:rPr>
              <w:t>班長：防災企画課長　　副班長：消防指導G長</w:t>
            </w:r>
          </w:p>
          <w:p w14:paraId="61C9C9EE" w14:textId="7AD29A4D" w:rsidR="00523F74" w:rsidRPr="00E0548A" w:rsidRDefault="00523F74" w:rsidP="00D6130A">
            <w:pPr>
              <w:adjustRightInd w:val="0"/>
              <w:snapToGrid w:val="0"/>
              <w:spacing w:line="240" w:lineRule="exact"/>
              <w:jc w:val="left"/>
              <w:rPr>
                <w:rFonts w:ascii="ＭＳ ゴシック" w:eastAsia="ＭＳ ゴシック" w:hAnsi="ＭＳ ゴシック"/>
                <w:w w:val="50"/>
                <w:sz w:val="18"/>
                <w:szCs w:val="18"/>
              </w:rPr>
            </w:pPr>
            <w:r>
              <w:rPr>
                <w:rFonts w:ascii="ＭＳ ゴシック" w:eastAsia="ＭＳ ゴシック" w:hAnsi="ＭＳ ゴシック" w:hint="eastAsia"/>
                <w:w w:val="50"/>
                <w:sz w:val="18"/>
                <w:szCs w:val="18"/>
              </w:rPr>
              <w:t>班長補佐：治安対策課長</w:t>
            </w:r>
          </w:p>
        </w:tc>
      </w:tr>
      <w:tr w:rsidR="001D6D10" w:rsidRPr="00E0548A" w14:paraId="307F10EA" w14:textId="77777777" w:rsidTr="006E52DA">
        <w:trPr>
          <w:cantSplit/>
          <w:trHeight w:val="1021"/>
        </w:trPr>
        <w:tc>
          <w:tcPr>
            <w:tcW w:w="696" w:type="dxa"/>
            <w:vMerge/>
            <w:tcBorders>
              <w:left w:val="single" w:sz="4" w:space="0" w:color="auto"/>
              <w:right w:val="single" w:sz="4" w:space="0" w:color="auto"/>
            </w:tcBorders>
            <w:vAlign w:val="center"/>
            <w:hideMark/>
          </w:tcPr>
          <w:p w14:paraId="6BCA2B1A" w14:textId="77777777" w:rsidR="00E5017E" w:rsidRPr="00E0548A" w:rsidRDefault="00E5017E" w:rsidP="00D6130A">
            <w:pPr>
              <w:widowControl/>
              <w:adjustRightInd w:val="0"/>
              <w:snapToGrid w:val="0"/>
              <w:spacing w:line="240" w:lineRule="exact"/>
              <w:jc w:val="center"/>
              <w:rPr>
                <w:rFonts w:ascii="ＭＳ ゴシック" w:eastAsia="ＭＳ ゴシック" w:hAnsi="ＭＳ ゴシック"/>
                <w:w w:val="50"/>
                <w:sz w:val="18"/>
                <w:szCs w:val="18"/>
              </w:rPr>
            </w:pPr>
          </w:p>
        </w:tc>
        <w:tc>
          <w:tcPr>
            <w:tcW w:w="5223" w:type="dxa"/>
            <w:gridSpan w:val="2"/>
            <w:vMerge/>
            <w:tcBorders>
              <w:left w:val="single" w:sz="4" w:space="0" w:color="auto"/>
              <w:right w:val="single" w:sz="4" w:space="0" w:color="auto"/>
            </w:tcBorders>
            <w:vAlign w:val="center"/>
          </w:tcPr>
          <w:p w14:paraId="45E47211" w14:textId="77777777" w:rsidR="00E5017E" w:rsidRPr="00E0548A" w:rsidRDefault="00E5017E" w:rsidP="00D6130A">
            <w:pPr>
              <w:widowControl/>
              <w:adjustRightInd w:val="0"/>
              <w:snapToGrid w:val="0"/>
              <w:spacing w:line="240" w:lineRule="exact"/>
              <w:jc w:val="left"/>
              <w:rPr>
                <w:rFonts w:ascii="ＭＳ ゴシック" w:eastAsia="ＭＳ ゴシック" w:hAnsi="ＭＳ ゴシック"/>
                <w:w w:val="50"/>
                <w:sz w:val="18"/>
                <w:szCs w:val="18"/>
              </w:rPr>
            </w:pPr>
          </w:p>
        </w:tc>
        <w:tc>
          <w:tcPr>
            <w:tcW w:w="1014" w:type="dxa"/>
            <w:vMerge w:val="restart"/>
            <w:tcBorders>
              <w:top w:val="single" w:sz="4" w:space="0" w:color="auto"/>
              <w:left w:val="single" w:sz="4" w:space="0" w:color="auto"/>
              <w:right w:val="single" w:sz="4" w:space="0" w:color="auto"/>
            </w:tcBorders>
            <w:vAlign w:val="center"/>
          </w:tcPr>
          <w:p w14:paraId="67F8C61F" w14:textId="44E9A236" w:rsidR="00E5017E" w:rsidRPr="00E0548A" w:rsidRDefault="00E5017E">
            <w:pPr>
              <w:adjustRightInd w:val="0"/>
              <w:snapToGrid w:val="0"/>
              <w:spacing w:line="240" w:lineRule="exact"/>
              <w:jc w:val="center"/>
              <w:rPr>
                <w:rFonts w:ascii="ＭＳ ゴシック" w:eastAsia="ＭＳ ゴシック" w:hAnsi="ＭＳ ゴシック"/>
                <w:w w:val="50"/>
                <w:sz w:val="18"/>
                <w:szCs w:val="18"/>
              </w:rPr>
            </w:pPr>
            <w:r w:rsidRPr="00E0548A">
              <w:rPr>
                <w:rFonts w:ascii="ＭＳ ゴシック" w:eastAsia="ＭＳ ゴシック" w:hAnsi="ＭＳ ゴシック" w:hint="eastAsia"/>
                <w:w w:val="50"/>
                <w:sz w:val="18"/>
                <w:szCs w:val="18"/>
              </w:rPr>
              <w:t>危機管理室（</w:t>
            </w:r>
            <w:r w:rsidR="00523F74">
              <w:rPr>
                <w:rFonts w:ascii="ＭＳ ゴシック" w:eastAsia="ＭＳ ゴシック" w:hAnsi="ＭＳ ゴシック" w:hint="eastAsia"/>
                <w:w w:val="50"/>
                <w:sz w:val="18"/>
                <w:szCs w:val="18"/>
              </w:rPr>
              <w:t>14</w:t>
            </w:r>
            <w:r w:rsidRPr="00E0548A">
              <w:rPr>
                <w:rFonts w:ascii="ＭＳ ゴシック" w:eastAsia="ＭＳ ゴシック" w:hAnsi="ＭＳ ゴシック" w:hint="eastAsia"/>
                <w:w w:val="50"/>
                <w:sz w:val="18"/>
                <w:szCs w:val="18"/>
              </w:rPr>
              <w:t>名）</w:t>
            </w:r>
          </w:p>
        </w:tc>
        <w:tc>
          <w:tcPr>
            <w:tcW w:w="992" w:type="dxa"/>
            <w:vMerge w:val="restart"/>
            <w:tcBorders>
              <w:top w:val="single" w:sz="4" w:space="0" w:color="auto"/>
              <w:left w:val="single" w:sz="4" w:space="0" w:color="auto"/>
              <w:right w:val="single" w:sz="4" w:space="0" w:color="auto"/>
            </w:tcBorders>
            <w:vAlign w:val="center"/>
          </w:tcPr>
          <w:p w14:paraId="4DD58C32" w14:textId="5200D712" w:rsidR="00E5017E" w:rsidRPr="00E0548A" w:rsidRDefault="00E5017E" w:rsidP="00D6130A">
            <w:pPr>
              <w:adjustRightInd w:val="0"/>
              <w:snapToGrid w:val="0"/>
              <w:spacing w:line="240" w:lineRule="exact"/>
              <w:jc w:val="center"/>
              <w:rPr>
                <w:rFonts w:ascii="ＭＳ ゴシック" w:eastAsia="ＭＳ ゴシック" w:hAnsi="ＭＳ ゴシック"/>
                <w:w w:val="50"/>
                <w:sz w:val="18"/>
                <w:szCs w:val="18"/>
              </w:rPr>
            </w:pPr>
            <w:r w:rsidRPr="00E0548A">
              <w:rPr>
                <w:rFonts w:ascii="ＭＳ ゴシック" w:eastAsia="ＭＳ ゴシック" w:hAnsi="ＭＳ ゴシック" w:hint="eastAsia"/>
                <w:w w:val="50"/>
                <w:sz w:val="18"/>
                <w:szCs w:val="18"/>
              </w:rPr>
              <w:t>危機管理室（</w:t>
            </w:r>
            <w:r w:rsidR="00523F74">
              <w:rPr>
                <w:rFonts w:ascii="ＭＳ ゴシック" w:eastAsia="ＭＳ ゴシック" w:hAnsi="ＭＳ ゴシック" w:hint="eastAsia"/>
                <w:w w:val="50"/>
                <w:sz w:val="18"/>
                <w:szCs w:val="18"/>
              </w:rPr>
              <w:t>2</w:t>
            </w:r>
            <w:r w:rsidRPr="00E0548A">
              <w:rPr>
                <w:rFonts w:ascii="ＭＳ ゴシック" w:eastAsia="ＭＳ ゴシック" w:hAnsi="ＭＳ ゴシック" w:hint="eastAsia"/>
                <w:w w:val="50"/>
                <w:sz w:val="18"/>
                <w:szCs w:val="18"/>
              </w:rPr>
              <w:t>0名）</w:t>
            </w:r>
          </w:p>
        </w:tc>
        <w:tc>
          <w:tcPr>
            <w:tcW w:w="996" w:type="dxa"/>
            <w:vMerge w:val="restart"/>
            <w:tcBorders>
              <w:top w:val="single" w:sz="4" w:space="0" w:color="auto"/>
              <w:left w:val="single" w:sz="4" w:space="0" w:color="auto"/>
              <w:right w:val="single" w:sz="4" w:space="0" w:color="auto"/>
            </w:tcBorders>
            <w:vAlign w:val="center"/>
          </w:tcPr>
          <w:p w14:paraId="14703A73" w14:textId="0547A522" w:rsidR="00E5017E" w:rsidRPr="00E0548A" w:rsidRDefault="00E5017E" w:rsidP="00D6130A">
            <w:pPr>
              <w:adjustRightInd w:val="0"/>
              <w:snapToGrid w:val="0"/>
              <w:spacing w:line="240" w:lineRule="exact"/>
              <w:jc w:val="center"/>
              <w:rPr>
                <w:rFonts w:ascii="ＭＳ ゴシック" w:eastAsia="ＭＳ ゴシック" w:hAnsi="ＭＳ ゴシック"/>
                <w:w w:val="50"/>
                <w:sz w:val="18"/>
                <w:szCs w:val="18"/>
              </w:rPr>
            </w:pPr>
            <w:r w:rsidRPr="00E0548A">
              <w:rPr>
                <w:rFonts w:ascii="ＭＳ ゴシック" w:eastAsia="ＭＳ ゴシック" w:hAnsi="ＭＳ ゴシック" w:hint="eastAsia"/>
                <w:w w:val="50"/>
                <w:sz w:val="18"/>
                <w:szCs w:val="18"/>
              </w:rPr>
              <w:t>危機管理室(</w:t>
            </w:r>
            <w:r w:rsidR="00523F74">
              <w:rPr>
                <w:rFonts w:ascii="ＭＳ ゴシック" w:eastAsia="ＭＳ ゴシック" w:hAnsi="ＭＳ ゴシック" w:hint="eastAsia"/>
                <w:w w:val="50"/>
                <w:sz w:val="18"/>
                <w:szCs w:val="18"/>
              </w:rPr>
              <w:t>23</w:t>
            </w:r>
            <w:r w:rsidRPr="00E0548A">
              <w:rPr>
                <w:rFonts w:ascii="ＭＳ ゴシック" w:eastAsia="ＭＳ ゴシック" w:hAnsi="ＭＳ ゴシック" w:hint="eastAsia"/>
                <w:w w:val="50"/>
                <w:sz w:val="18"/>
                <w:szCs w:val="18"/>
              </w:rPr>
              <w:t>名)</w:t>
            </w:r>
          </w:p>
        </w:tc>
      </w:tr>
      <w:tr w:rsidR="001D6D10" w:rsidRPr="00E0548A" w14:paraId="07F4D7E1" w14:textId="77777777" w:rsidTr="006E52DA">
        <w:trPr>
          <w:cantSplit/>
          <w:trHeight w:val="1103"/>
        </w:trPr>
        <w:tc>
          <w:tcPr>
            <w:tcW w:w="696" w:type="dxa"/>
            <w:vMerge/>
            <w:tcBorders>
              <w:left w:val="single" w:sz="4" w:space="0" w:color="auto"/>
              <w:right w:val="single" w:sz="4" w:space="0" w:color="auto"/>
            </w:tcBorders>
            <w:vAlign w:val="center"/>
          </w:tcPr>
          <w:p w14:paraId="15B8B142" w14:textId="77777777" w:rsidR="00E5017E" w:rsidRPr="00E0548A" w:rsidRDefault="00E5017E" w:rsidP="00D6130A">
            <w:pPr>
              <w:widowControl/>
              <w:adjustRightInd w:val="0"/>
              <w:snapToGrid w:val="0"/>
              <w:spacing w:line="240" w:lineRule="exact"/>
              <w:jc w:val="center"/>
              <w:rPr>
                <w:rFonts w:ascii="ＭＳ ゴシック" w:eastAsia="ＭＳ ゴシック" w:hAnsi="ＭＳ ゴシック"/>
                <w:w w:val="50"/>
                <w:sz w:val="18"/>
                <w:szCs w:val="18"/>
              </w:rPr>
            </w:pPr>
          </w:p>
        </w:tc>
        <w:tc>
          <w:tcPr>
            <w:tcW w:w="5223" w:type="dxa"/>
            <w:gridSpan w:val="2"/>
            <w:vMerge/>
            <w:tcBorders>
              <w:left w:val="single" w:sz="4" w:space="0" w:color="auto"/>
              <w:right w:val="single" w:sz="4" w:space="0" w:color="auto"/>
            </w:tcBorders>
            <w:vAlign w:val="center"/>
          </w:tcPr>
          <w:p w14:paraId="6974F90E" w14:textId="77777777" w:rsidR="00E5017E" w:rsidRPr="00E0548A" w:rsidRDefault="00E5017E" w:rsidP="00D6130A">
            <w:pPr>
              <w:widowControl/>
              <w:adjustRightInd w:val="0"/>
              <w:snapToGrid w:val="0"/>
              <w:spacing w:line="240" w:lineRule="exact"/>
              <w:jc w:val="left"/>
              <w:rPr>
                <w:rFonts w:ascii="ＭＳ ゴシック" w:eastAsia="ＭＳ ゴシック" w:hAnsi="ＭＳ ゴシック"/>
                <w:w w:val="50"/>
                <w:sz w:val="18"/>
                <w:szCs w:val="18"/>
              </w:rPr>
            </w:pPr>
          </w:p>
        </w:tc>
        <w:tc>
          <w:tcPr>
            <w:tcW w:w="1014" w:type="dxa"/>
            <w:vMerge/>
            <w:tcBorders>
              <w:left w:val="single" w:sz="4" w:space="0" w:color="auto"/>
              <w:right w:val="single" w:sz="4" w:space="0" w:color="auto"/>
            </w:tcBorders>
            <w:vAlign w:val="center"/>
          </w:tcPr>
          <w:p w14:paraId="4783843F" w14:textId="77777777" w:rsidR="00E5017E" w:rsidRPr="00E0548A" w:rsidRDefault="00E5017E" w:rsidP="00D6130A">
            <w:pPr>
              <w:adjustRightInd w:val="0"/>
              <w:snapToGrid w:val="0"/>
              <w:spacing w:line="240" w:lineRule="exact"/>
              <w:jc w:val="center"/>
              <w:rPr>
                <w:rFonts w:ascii="ＭＳ ゴシック" w:eastAsia="ＭＳ ゴシック" w:hAnsi="ＭＳ ゴシック"/>
                <w:w w:val="50"/>
                <w:sz w:val="18"/>
                <w:szCs w:val="18"/>
              </w:rPr>
            </w:pPr>
          </w:p>
        </w:tc>
        <w:tc>
          <w:tcPr>
            <w:tcW w:w="992" w:type="dxa"/>
            <w:vMerge/>
            <w:tcBorders>
              <w:left w:val="single" w:sz="4" w:space="0" w:color="auto"/>
              <w:right w:val="single" w:sz="4" w:space="0" w:color="auto"/>
            </w:tcBorders>
            <w:vAlign w:val="center"/>
          </w:tcPr>
          <w:p w14:paraId="1B754FE3" w14:textId="77777777" w:rsidR="00E5017E" w:rsidRPr="00E0548A" w:rsidRDefault="00E5017E" w:rsidP="00D6130A">
            <w:pPr>
              <w:adjustRightInd w:val="0"/>
              <w:snapToGrid w:val="0"/>
              <w:spacing w:line="240" w:lineRule="exact"/>
              <w:jc w:val="center"/>
              <w:rPr>
                <w:rFonts w:ascii="ＭＳ ゴシック" w:eastAsia="ＭＳ ゴシック" w:hAnsi="ＭＳ ゴシック"/>
                <w:w w:val="50"/>
                <w:sz w:val="18"/>
                <w:szCs w:val="18"/>
              </w:rPr>
            </w:pPr>
          </w:p>
        </w:tc>
        <w:tc>
          <w:tcPr>
            <w:tcW w:w="996" w:type="dxa"/>
            <w:vMerge/>
            <w:tcBorders>
              <w:left w:val="single" w:sz="4" w:space="0" w:color="auto"/>
              <w:right w:val="single" w:sz="4" w:space="0" w:color="auto"/>
            </w:tcBorders>
            <w:vAlign w:val="center"/>
          </w:tcPr>
          <w:p w14:paraId="7E86799F" w14:textId="77777777" w:rsidR="00E5017E" w:rsidRPr="00E0548A" w:rsidRDefault="00E5017E" w:rsidP="00D6130A">
            <w:pPr>
              <w:adjustRightInd w:val="0"/>
              <w:snapToGrid w:val="0"/>
              <w:spacing w:line="240" w:lineRule="exact"/>
              <w:jc w:val="center"/>
              <w:rPr>
                <w:rFonts w:ascii="ＭＳ ゴシック" w:eastAsia="ＭＳ ゴシック" w:hAnsi="ＭＳ ゴシック"/>
                <w:w w:val="50"/>
                <w:sz w:val="18"/>
                <w:szCs w:val="18"/>
              </w:rPr>
            </w:pPr>
          </w:p>
        </w:tc>
      </w:tr>
      <w:tr w:rsidR="001D6D10" w:rsidRPr="00E0548A" w14:paraId="50443CEA" w14:textId="77777777" w:rsidTr="006E52DA">
        <w:trPr>
          <w:cantSplit/>
          <w:trHeight w:val="1242"/>
        </w:trPr>
        <w:tc>
          <w:tcPr>
            <w:tcW w:w="696" w:type="dxa"/>
            <w:vMerge/>
            <w:tcBorders>
              <w:left w:val="single" w:sz="4" w:space="0" w:color="auto"/>
              <w:right w:val="single" w:sz="4" w:space="0" w:color="auto"/>
            </w:tcBorders>
            <w:vAlign w:val="center"/>
          </w:tcPr>
          <w:p w14:paraId="570A83D1" w14:textId="77777777" w:rsidR="00E5017E" w:rsidRPr="00E0548A" w:rsidRDefault="00E5017E" w:rsidP="00D6130A">
            <w:pPr>
              <w:widowControl/>
              <w:adjustRightInd w:val="0"/>
              <w:snapToGrid w:val="0"/>
              <w:spacing w:line="240" w:lineRule="exact"/>
              <w:jc w:val="center"/>
              <w:rPr>
                <w:rFonts w:ascii="ＭＳ ゴシック" w:eastAsia="ＭＳ ゴシック" w:hAnsi="ＭＳ ゴシック"/>
                <w:w w:val="50"/>
                <w:sz w:val="18"/>
                <w:szCs w:val="18"/>
              </w:rPr>
            </w:pPr>
          </w:p>
        </w:tc>
        <w:tc>
          <w:tcPr>
            <w:tcW w:w="5223" w:type="dxa"/>
            <w:gridSpan w:val="2"/>
            <w:vMerge/>
            <w:tcBorders>
              <w:left w:val="single" w:sz="4" w:space="0" w:color="auto"/>
              <w:bottom w:val="single" w:sz="4" w:space="0" w:color="auto"/>
              <w:right w:val="single" w:sz="4" w:space="0" w:color="auto"/>
            </w:tcBorders>
            <w:vAlign w:val="center"/>
          </w:tcPr>
          <w:p w14:paraId="496FC1CA" w14:textId="77777777" w:rsidR="00E5017E" w:rsidRPr="00E0548A" w:rsidRDefault="00E5017E" w:rsidP="00D6130A">
            <w:pPr>
              <w:widowControl/>
              <w:adjustRightInd w:val="0"/>
              <w:snapToGrid w:val="0"/>
              <w:spacing w:line="240" w:lineRule="exact"/>
              <w:jc w:val="left"/>
              <w:rPr>
                <w:rFonts w:ascii="ＭＳ ゴシック" w:eastAsia="ＭＳ ゴシック" w:hAnsi="ＭＳ ゴシック"/>
                <w:w w:val="50"/>
                <w:sz w:val="18"/>
                <w:szCs w:val="18"/>
              </w:rPr>
            </w:pPr>
          </w:p>
        </w:tc>
        <w:tc>
          <w:tcPr>
            <w:tcW w:w="1014" w:type="dxa"/>
            <w:vMerge/>
            <w:tcBorders>
              <w:left w:val="single" w:sz="4" w:space="0" w:color="auto"/>
              <w:bottom w:val="single" w:sz="4" w:space="0" w:color="auto"/>
              <w:right w:val="single" w:sz="4" w:space="0" w:color="auto"/>
            </w:tcBorders>
            <w:vAlign w:val="center"/>
          </w:tcPr>
          <w:p w14:paraId="5F6A4C8E" w14:textId="77777777" w:rsidR="00E5017E" w:rsidRPr="00E0548A" w:rsidRDefault="00E5017E" w:rsidP="00D6130A">
            <w:pPr>
              <w:adjustRightInd w:val="0"/>
              <w:snapToGrid w:val="0"/>
              <w:spacing w:line="240" w:lineRule="exact"/>
              <w:jc w:val="center"/>
              <w:rPr>
                <w:rFonts w:ascii="ＭＳ ゴシック" w:eastAsia="ＭＳ ゴシック" w:hAnsi="ＭＳ ゴシック"/>
                <w:w w:val="50"/>
                <w:sz w:val="18"/>
                <w:szCs w:val="18"/>
              </w:rPr>
            </w:pPr>
          </w:p>
        </w:tc>
        <w:tc>
          <w:tcPr>
            <w:tcW w:w="992" w:type="dxa"/>
            <w:vMerge/>
            <w:tcBorders>
              <w:left w:val="single" w:sz="4" w:space="0" w:color="auto"/>
              <w:bottom w:val="single" w:sz="4" w:space="0" w:color="auto"/>
              <w:right w:val="single" w:sz="4" w:space="0" w:color="auto"/>
            </w:tcBorders>
            <w:vAlign w:val="center"/>
          </w:tcPr>
          <w:p w14:paraId="0C07CC30" w14:textId="77777777" w:rsidR="00E5017E" w:rsidRPr="00E0548A" w:rsidRDefault="00E5017E" w:rsidP="00D6130A">
            <w:pPr>
              <w:adjustRightInd w:val="0"/>
              <w:snapToGrid w:val="0"/>
              <w:spacing w:line="240" w:lineRule="exact"/>
              <w:jc w:val="center"/>
              <w:rPr>
                <w:rFonts w:ascii="ＭＳ ゴシック" w:eastAsia="ＭＳ ゴシック" w:hAnsi="ＭＳ ゴシック"/>
                <w:w w:val="50"/>
                <w:sz w:val="18"/>
                <w:szCs w:val="18"/>
              </w:rPr>
            </w:pPr>
          </w:p>
        </w:tc>
        <w:tc>
          <w:tcPr>
            <w:tcW w:w="996" w:type="dxa"/>
            <w:vMerge/>
            <w:tcBorders>
              <w:left w:val="single" w:sz="4" w:space="0" w:color="auto"/>
              <w:bottom w:val="single" w:sz="4" w:space="0" w:color="auto"/>
              <w:right w:val="single" w:sz="4" w:space="0" w:color="auto"/>
            </w:tcBorders>
            <w:vAlign w:val="center"/>
          </w:tcPr>
          <w:p w14:paraId="223116CB" w14:textId="77777777" w:rsidR="00E5017E" w:rsidRPr="00E0548A" w:rsidRDefault="00E5017E" w:rsidP="00D6130A">
            <w:pPr>
              <w:adjustRightInd w:val="0"/>
              <w:snapToGrid w:val="0"/>
              <w:spacing w:line="240" w:lineRule="exact"/>
              <w:jc w:val="center"/>
              <w:rPr>
                <w:rFonts w:ascii="ＭＳ ゴシック" w:eastAsia="ＭＳ ゴシック" w:hAnsi="ＭＳ ゴシック"/>
                <w:w w:val="50"/>
                <w:sz w:val="18"/>
                <w:szCs w:val="18"/>
              </w:rPr>
            </w:pPr>
          </w:p>
        </w:tc>
      </w:tr>
      <w:tr w:rsidR="001D6D10" w:rsidRPr="00E0548A" w14:paraId="343CC28F" w14:textId="77777777" w:rsidTr="006E52DA">
        <w:trPr>
          <w:cantSplit/>
          <w:trHeight w:val="489"/>
        </w:trPr>
        <w:tc>
          <w:tcPr>
            <w:tcW w:w="696" w:type="dxa"/>
            <w:vMerge w:val="restart"/>
            <w:tcBorders>
              <w:top w:val="single" w:sz="4" w:space="0" w:color="auto"/>
              <w:left w:val="single" w:sz="4" w:space="0" w:color="auto"/>
              <w:bottom w:val="single" w:sz="4" w:space="0" w:color="auto"/>
              <w:right w:val="single" w:sz="4" w:space="0" w:color="auto"/>
            </w:tcBorders>
            <w:textDirection w:val="tbRlV"/>
            <w:vAlign w:val="center"/>
            <w:hideMark/>
          </w:tcPr>
          <w:p w14:paraId="64E1CEAC" w14:textId="77777777" w:rsidR="00E5017E" w:rsidRPr="00E0548A" w:rsidRDefault="00E5017E" w:rsidP="00D6130A">
            <w:pPr>
              <w:adjustRightInd w:val="0"/>
              <w:snapToGrid w:val="0"/>
              <w:spacing w:line="240" w:lineRule="exact"/>
              <w:ind w:left="113" w:right="113"/>
              <w:jc w:val="center"/>
              <w:rPr>
                <w:rFonts w:ascii="ＭＳ ゴシック" w:eastAsia="ＭＳ ゴシック" w:hAnsi="ＭＳ ゴシック"/>
                <w:w w:val="50"/>
                <w:sz w:val="18"/>
                <w:szCs w:val="18"/>
              </w:rPr>
            </w:pPr>
            <w:r w:rsidRPr="00E0548A">
              <w:rPr>
                <w:rFonts w:ascii="ＭＳ ゴシック" w:eastAsia="ＭＳ ゴシック" w:hAnsi="ＭＳ ゴシック" w:hint="eastAsia"/>
                <w:kern w:val="0"/>
                <w:sz w:val="18"/>
                <w:szCs w:val="18"/>
              </w:rPr>
              <w:t>対　策　班</w:t>
            </w:r>
          </w:p>
        </w:tc>
        <w:tc>
          <w:tcPr>
            <w:tcW w:w="5223" w:type="dxa"/>
            <w:gridSpan w:val="2"/>
            <w:vMerge w:val="restart"/>
            <w:tcBorders>
              <w:top w:val="single" w:sz="4" w:space="0" w:color="auto"/>
              <w:left w:val="single" w:sz="4" w:space="0" w:color="auto"/>
              <w:right w:val="single" w:sz="4" w:space="0" w:color="auto"/>
            </w:tcBorders>
            <w:vAlign w:val="center"/>
          </w:tcPr>
          <w:p w14:paraId="45C28B61" w14:textId="77777777" w:rsidR="00E7763B" w:rsidRPr="00E0548A" w:rsidRDefault="00E7763B" w:rsidP="00D6130A">
            <w:pPr>
              <w:adjustRightInd w:val="0"/>
              <w:snapToGrid w:val="0"/>
              <w:spacing w:line="240" w:lineRule="exact"/>
              <w:jc w:val="left"/>
              <w:rPr>
                <w:rFonts w:ascii="ＭＳ ゴシック" w:eastAsia="ＭＳ ゴシック" w:hAnsi="ＭＳ ゴシック"/>
                <w:w w:val="50"/>
                <w:sz w:val="18"/>
                <w:szCs w:val="18"/>
              </w:rPr>
            </w:pPr>
            <w:r w:rsidRPr="00E0548A">
              <w:rPr>
                <w:rFonts w:ascii="ＭＳ ゴシック" w:eastAsia="ＭＳ ゴシック" w:hAnsi="ＭＳ ゴシック" w:hint="eastAsia"/>
                <w:w w:val="50"/>
                <w:sz w:val="18"/>
                <w:szCs w:val="18"/>
              </w:rPr>
              <w:t>○被害情報等の収集伝達（国への報告）</w:t>
            </w:r>
          </w:p>
          <w:p w14:paraId="5369DB7C" w14:textId="77777777" w:rsidR="00E5017E" w:rsidRPr="00E0548A" w:rsidRDefault="00E5017E" w:rsidP="00D6130A">
            <w:pPr>
              <w:adjustRightInd w:val="0"/>
              <w:snapToGrid w:val="0"/>
              <w:spacing w:line="240" w:lineRule="exact"/>
              <w:jc w:val="left"/>
              <w:rPr>
                <w:rFonts w:ascii="ＭＳ ゴシック" w:eastAsia="ＭＳ ゴシック" w:hAnsi="ＭＳ ゴシック"/>
                <w:w w:val="50"/>
                <w:sz w:val="18"/>
                <w:szCs w:val="18"/>
              </w:rPr>
            </w:pPr>
            <w:r w:rsidRPr="00E0548A">
              <w:rPr>
                <w:rFonts w:ascii="ＭＳ ゴシック" w:eastAsia="ＭＳ ゴシック" w:hAnsi="ＭＳ ゴシック" w:hint="eastAsia"/>
                <w:w w:val="50"/>
                <w:sz w:val="18"/>
                <w:szCs w:val="18"/>
              </w:rPr>
              <w:t>○情報班より引き継いだ対応必要案件について、対策を検討し、対応する。</w:t>
            </w:r>
          </w:p>
          <w:p w14:paraId="1F15F652" w14:textId="77777777" w:rsidR="00E5017E" w:rsidRPr="00E0548A" w:rsidRDefault="00E5017E" w:rsidP="00D6130A">
            <w:pPr>
              <w:adjustRightInd w:val="0"/>
              <w:snapToGrid w:val="0"/>
              <w:spacing w:line="240" w:lineRule="exact"/>
              <w:jc w:val="left"/>
              <w:rPr>
                <w:rFonts w:ascii="ＭＳ ゴシック" w:eastAsia="ＭＳ ゴシック" w:hAnsi="ＭＳ ゴシック"/>
                <w:w w:val="50"/>
                <w:sz w:val="18"/>
                <w:szCs w:val="18"/>
              </w:rPr>
            </w:pPr>
            <w:r w:rsidRPr="00E0548A">
              <w:rPr>
                <w:rFonts w:ascii="ＭＳ ゴシック" w:eastAsia="ＭＳ ゴシック" w:hAnsi="ＭＳ ゴシック" w:hint="eastAsia"/>
                <w:w w:val="50"/>
                <w:sz w:val="18"/>
                <w:szCs w:val="18"/>
              </w:rPr>
              <w:t>○各地域連絡部との連絡調整・体制確認 (状況不明市町村の現状確認)(後方支援活動拠点の被害状況確認)</w:t>
            </w:r>
          </w:p>
          <w:p w14:paraId="28976C33" w14:textId="77777777" w:rsidR="00E5017E" w:rsidRPr="00E0548A" w:rsidRDefault="00E5017E" w:rsidP="00D6130A">
            <w:pPr>
              <w:adjustRightInd w:val="0"/>
              <w:snapToGrid w:val="0"/>
              <w:spacing w:line="240" w:lineRule="exact"/>
              <w:jc w:val="left"/>
              <w:rPr>
                <w:rFonts w:ascii="ＭＳ ゴシック" w:eastAsia="ＭＳ ゴシック" w:hAnsi="ＭＳ ゴシック"/>
                <w:w w:val="50"/>
                <w:sz w:val="18"/>
                <w:szCs w:val="18"/>
              </w:rPr>
            </w:pPr>
            <w:r w:rsidRPr="00E0548A">
              <w:rPr>
                <w:rFonts w:ascii="ＭＳ ゴシック" w:eastAsia="ＭＳ ゴシック" w:hAnsi="ＭＳ ゴシック" w:hint="eastAsia"/>
                <w:w w:val="50"/>
                <w:sz w:val="18"/>
                <w:szCs w:val="18"/>
              </w:rPr>
              <w:t xml:space="preserve">　○防災関係機関への応援要請・活動調整(広域防災連絡会議の設置・運営含む)</w:t>
            </w:r>
          </w:p>
          <w:p w14:paraId="541EB425" w14:textId="77777777" w:rsidR="00E5017E" w:rsidRPr="00E0548A" w:rsidRDefault="00E5017E" w:rsidP="00D6130A">
            <w:pPr>
              <w:adjustRightInd w:val="0"/>
              <w:snapToGrid w:val="0"/>
              <w:spacing w:line="240" w:lineRule="exact"/>
              <w:jc w:val="left"/>
              <w:rPr>
                <w:rFonts w:ascii="ＭＳ ゴシック" w:eastAsia="ＭＳ ゴシック" w:hAnsi="ＭＳ ゴシック"/>
                <w:w w:val="50"/>
                <w:sz w:val="18"/>
                <w:szCs w:val="18"/>
              </w:rPr>
            </w:pPr>
            <w:r w:rsidRPr="00E0548A">
              <w:rPr>
                <w:rFonts w:ascii="ＭＳ ゴシック" w:eastAsia="ＭＳ ゴシック" w:hAnsi="ＭＳ ゴシック" w:hint="eastAsia"/>
                <w:w w:val="50"/>
                <w:sz w:val="18"/>
                <w:szCs w:val="18"/>
              </w:rPr>
              <w:t>○庁内各部局・事務局各班等への指示(道路啓開、救助資器材調達など)</w:t>
            </w:r>
          </w:p>
          <w:p w14:paraId="38F1E48E" w14:textId="77777777" w:rsidR="00E5017E" w:rsidRPr="00E0548A" w:rsidRDefault="00E5017E" w:rsidP="00D6130A">
            <w:pPr>
              <w:adjustRightInd w:val="0"/>
              <w:snapToGrid w:val="0"/>
              <w:spacing w:line="240" w:lineRule="exact"/>
              <w:jc w:val="left"/>
              <w:rPr>
                <w:rFonts w:ascii="ＭＳ ゴシック" w:eastAsia="ＭＳ ゴシック" w:hAnsi="ＭＳ ゴシック"/>
                <w:w w:val="50"/>
                <w:sz w:val="18"/>
                <w:szCs w:val="18"/>
              </w:rPr>
            </w:pPr>
            <w:r w:rsidRPr="00E0548A">
              <w:rPr>
                <w:rFonts w:ascii="ＭＳ ゴシック" w:eastAsia="ＭＳ ゴシック" w:hAnsi="ＭＳ ゴシック" w:hint="eastAsia"/>
                <w:w w:val="50"/>
                <w:sz w:val="18"/>
                <w:szCs w:val="18"/>
              </w:rPr>
              <w:t>○緊急通行車両証の発行手続き</w:t>
            </w:r>
          </w:p>
          <w:p w14:paraId="32D9F1C1" w14:textId="77777777" w:rsidR="00E5017E" w:rsidRPr="00E0548A" w:rsidRDefault="00E5017E" w:rsidP="00D6130A">
            <w:pPr>
              <w:adjustRightInd w:val="0"/>
              <w:snapToGrid w:val="0"/>
              <w:spacing w:line="240" w:lineRule="exact"/>
              <w:jc w:val="left"/>
              <w:rPr>
                <w:rFonts w:ascii="ＭＳ ゴシック" w:eastAsia="ＭＳ ゴシック" w:hAnsi="ＭＳ ゴシック"/>
                <w:w w:val="50"/>
                <w:sz w:val="18"/>
                <w:szCs w:val="18"/>
              </w:rPr>
            </w:pPr>
            <w:r w:rsidRPr="00E0548A">
              <w:rPr>
                <w:rFonts w:ascii="ＭＳ ゴシック" w:eastAsia="ＭＳ ゴシック" w:hAnsi="ＭＳ ゴシック" w:hint="eastAsia"/>
                <w:w w:val="50"/>
                <w:sz w:val="18"/>
                <w:szCs w:val="18"/>
              </w:rPr>
              <w:t>○災害救助法適用に係る調整</w:t>
            </w:r>
            <w:r w:rsidR="00873744" w:rsidRPr="00E0548A">
              <w:rPr>
                <w:rFonts w:ascii="ＭＳ ゴシック" w:eastAsia="ＭＳ ゴシック" w:hAnsi="ＭＳ ゴシック" w:hint="eastAsia"/>
                <w:w w:val="50"/>
                <w:sz w:val="18"/>
                <w:szCs w:val="18"/>
              </w:rPr>
              <w:t>と適用及び告示（内閣府）※</w:t>
            </w:r>
            <w:r w:rsidR="00D91900" w:rsidRPr="00E0548A">
              <w:rPr>
                <w:rFonts w:ascii="ＭＳ ゴシック" w:eastAsia="ＭＳ ゴシック" w:hAnsi="ＭＳ ゴシック" w:hint="eastAsia"/>
                <w:w w:val="50"/>
                <w:sz w:val="18"/>
                <w:szCs w:val="18"/>
              </w:rPr>
              <w:t>専任</w:t>
            </w:r>
          </w:p>
          <w:p w14:paraId="6E1C4E9B" w14:textId="77777777" w:rsidR="00E5017E" w:rsidRPr="00E0548A" w:rsidRDefault="00E5017E" w:rsidP="00D6130A">
            <w:pPr>
              <w:adjustRightInd w:val="0"/>
              <w:snapToGrid w:val="0"/>
              <w:spacing w:line="240" w:lineRule="exact"/>
              <w:jc w:val="left"/>
              <w:rPr>
                <w:rFonts w:ascii="ＭＳ ゴシック" w:eastAsia="ＭＳ ゴシック" w:hAnsi="ＭＳ ゴシック"/>
                <w:w w:val="50"/>
                <w:sz w:val="18"/>
                <w:szCs w:val="18"/>
              </w:rPr>
            </w:pPr>
            <w:r w:rsidRPr="00E0548A">
              <w:rPr>
                <w:rFonts w:ascii="ＭＳ ゴシック" w:eastAsia="ＭＳ ゴシック" w:hAnsi="ＭＳ ゴシック" w:hint="eastAsia"/>
                <w:w w:val="50"/>
                <w:sz w:val="18"/>
                <w:szCs w:val="18"/>
              </w:rPr>
              <w:t>○物資担当(災害対策G備蓄等の担当を</w:t>
            </w:r>
            <w:r w:rsidR="00873744" w:rsidRPr="00E0548A">
              <w:rPr>
                <w:rFonts w:ascii="ＭＳ ゴシック" w:eastAsia="ＭＳ ゴシック" w:hAnsi="ＭＳ ゴシック" w:hint="eastAsia"/>
                <w:w w:val="50"/>
                <w:sz w:val="18"/>
                <w:szCs w:val="18"/>
              </w:rPr>
              <w:t>１名は</w:t>
            </w:r>
            <w:r w:rsidRPr="00E0548A">
              <w:rPr>
                <w:rFonts w:ascii="ＭＳ ゴシック" w:eastAsia="ＭＳ ゴシック" w:hAnsi="ＭＳ ゴシック" w:hint="eastAsia"/>
                <w:w w:val="50"/>
                <w:sz w:val="18"/>
                <w:szCs w:val="18"/>
              </w:rPr>
              <w:t>専任で指定)</w:t>
            </w:r>
          </w:p>
          <w:p w14:paraId="4F0073D0" w14:textId="77777777" w:rsidR="00E5017E" w:rsidRPr="00E0548A" w:rsidRDefault="00E5017E" w:rsidP="00D6130A">
            <w:pPr>
              <w:adjustRightInd w:val="0"/>
              <w:snapToGrid w:val="0"/>
              <w:spacing w:line="240" w:lineRule="exact"/>
              <w:jc w:val="left"/>
              <w:rPr>
                <w:rFonts w:ascii="ＭＳ ゴシック" w:eastAsia="ＭＳ ゴシック" w:hAnsi="ＭＳ ゴシック"/>
                <w:w w:val="50"/>
                <w:sz w:val="18"/>
                <w:szCs w:val="18"/>
              </w:rPr>
            </w:pPr>
            <w:r w:rsidRPr="00E0548A">
              <w:rPr>
                <w:rFonts w:ascii="ＭＳ ゴシック" w:eastAsia="ＭＳ ゴシック" w:hAnsi="ＭＳ ゴシック" w:hint="eastAsia"/>
                <w:w w:val="50"/>
                <w:sz w:val="18"/>
                <w:szCs w:val="18"/>
              </w:rPr>
              <w:t>・広域防災拠点の被害状況確認</w:t>
            </w:r>
          </w:p>
          <w:p w14:paraId="5F67D4CB" w14:textId="77777777" w:rsidR="00E5017E" w:rsidRPr="00E0548A" w:rsidRDefault="00E5017E" w:rsidP="00D6130A">
            <w:pPr>
              <w:adjustRightInd w:val="0"/>
              <w:snapToGrid w:val="0"/>
              <w:spacing w:line="240" w:lineRule="exact"/>
              <w:jc w:val="left"/>
              <w:rPr>
                <w:rFonts w:ascii="ＭＳ ゴシック" w:eastAsia="ＭＳ ゴシック" w:hAnsi="ＭＳ ゴシック"/>
                <w:w w:val="50"/>
                <w:sz w:val="18"/>
                <w:szCs w:val="18"/>
              </w:rPr>
            </w:pPr>
            <w:r w:rsidRPr="00E0548A">
              <w:rPr>
                <w:rFonts w:ascii="ＭＳ ゴシック" w:eastAsia="ＭＳ ゴシック" w:hAnsi="ＭＳ ゴシック" w:hint="eastAsia"/>
                <w:w w:val="50"/>
                <w:sz w:val="18"/>
                <w:szCs w:val="18"/>
              </w:rPr>
              <w:t>・</w:t>
            </w:r>
            <w:proofErr w:type="gramStart"/>
            <w:r w:rsidRPr="00E0548A">
              <w:rPr>
                <w:rFonts w:ascii="ＭＳ ゴシック" w:eastAsia="ＭＳ ゴシック" w:hAnsi="ＭＳ ゴシック" w:hint="eastAsia"/>
                <w:w w:val="50"/>
                <w:sz w:val="18"/>
                <w:szCs w:val="18"/>
              </w:rPr>
              <w:t>プッシュ</w:t>
            </w:r>
            <w:proofErr w:type="gramEnd"/>
            <w:r w:rsidRPr="00E0548A">
              <w:rPr>
                <w:rFonts w:ascii="ＭＳ ゴシック" w:eastAsia="ＭＳ ゴシック" w:hAnsi="ＭＳ ゴシック" w:hint="eastAsia"/>
                <w:w w:val="50"/>
                <w:sz w:val="18"/>
                <w:szCs w:val="18"/>
              </w:rPr>
              <w:t>型支援の準備(輸送手段手配、支援量、市町村受入調整など)</w:t>
            </w:r>
          </w:p>
          <w:p w14:paraId="2D5B4E9B" w14:textId="77777777" w:rsidR="00E5017E" w:rsidRPr="00E0548A" w:rsidRDefault="00E5017E" w:rsidP="00D6130A">
            <w:pPr>
              <w:adjustRightInd w:val="0"/>
              <w:snapToGrid w:val="0"/>
              <w:spacing w:line="240" w:lineRule="exact"/>
              <w:jc w:val="left"/>
              <w:rPr>
                <w:rFonts w:ascii="ＭＳ ゴシック" w:eastAsia="ＭＳ ゴシック" w:hAnsi="ＭＳ ゴシック"/>
                <w:w w:val="50"/>
                <w:sz w:val="18"/>
                <w:szCs w:val="18"/>
              </w:rPr>
            </w:pPr>
            <w:r w:rsidRPr="00E0548A">
              <w:rPr>
                <w:rFonts w:ascii="ＭＳ ゴシック" w:eastAsia="ＭＳ ゴシック" w:hAnsi="ＭＳ ゴシック" w:hint="eastAsia"/>
                <w:w w:val="50"/>
                <w:sz w:val="18"/>
                <w:szCs w:val="18"/>
              </w:rPr>
              <w:t>・協定企業等の被害状況等確認</w:t>
            </w:r>
          </w:p>
          <w:p w14:paraId="22E36880" w14:textId="77777777" w:rsidR="00BC1D88" w:rsidRPr="00E0548A" w:rsidRDefault="00BC1D88" w:rsidP="00D6130A">
            <w:pPr>
              <w:adjustRightInd w:val="0"/>
              <w:snapToGrid w:val="0"/>
              <w:spacing w:line="240" w:lineRule="exact"/>
              <w:jc w:val="left"/>
              <w:rPr>
                <w:rFonts w:ascii="ＭＳ ゴシック" w:eastAsia="ＭＳ ゴシック" w:hAnsi="ＭＳ ゴシック"/>
                <w:w w:val="50"/>
                <w:sz w:val="18"/>
                <w:szCs w:val="18"/>
              </w:rPr>
            </w:pPr>
            <w:r w:rsidRPr="00E0548A">
              <w:rPr>
                <w:rFonts w:ascii="ＭＳ ゴシック" w:eastAsia="ＭＳ ゴシック" w:hAnsi="ＭＳ ゴシック" w:hint="eastAsia"/>
                <w:w w:val="50"/>
                <w:sz w:val="18"/>
                <w:szCs w:val="18"/>
              </w:rPr>
              <w:t>※広域防災拠点の現場対応</w:t>
            </w:r>
            <w:proofErr w:type="gramStart"/>
            <w:r w:rsidRPr="00E0548A">
              <w:rPr>
                <w:rFonts w:ascii="ＭＳ ゴシック" w:eastAsia="ＭＳ ゴシック" w:hAnsi="ＭＳ ゴシック" w:hint="eastAsia"/>
                <w:w w:val="50"/>
                <w:sz w:val="18"/>
                <w:szCs w:val="18"/>
              </w:rPr>
              <w:t>は</w:t>
            </w:r>
            <w:proofErr w:type="gramEnd"/>
            <w:r w:rsidRPr="00E0548A">
              <w:rPr>
                <w:rFonts w:ascii="ＭＳ ゴシック" w:eastAsia="ＭＳ ゴシック" w:hAnsi="ＭＳ ゴシック" w:hint="eastAsia"/>
                <w:w w:val="50"/>
                <w:sz w:val="18"/>
                <w:szCs w:val="18"/>
              </w:rPr>
              <w:t>最低５名ずつ</w:t>
            </w:r>
            <w:proofErr w:type="gramStart"/>
            <w:r w:rsidRPr="00E0548A">
              <w:rPr>
                <w:rFonts w:ascii="ＭＳ ゴシック" w:eastAsia="ＭＳ ゴシック" w:hAnsi="ＭＳ ゴシック" w:hint="eastAsia"/>
                <w:w w:val="50"/>
                <w:sz w:val="18"/>
                <w:szCs w:val="18"/>
              </w:rPr>
              <w:t>は</w:t>
            </w:r>
            <w:proofErr w:type="gramEnd"/>
            <w:r w:rsidRPr="00E0548A">
              <w:rPr>
                <w:rFonts w:ascii="ＭＳ ゴシック" w:eastAsia="ＭＳ ゴシック" w:hAnsi="ＭＳ ゴシック" w:hint="eastAsia"/>
                <w:w w:val="50"/>
                <w:sz w:val="18"/>
                <w:szCs w:val="18"/>
              </w:rPr>
              <w:t>必要でより多く必要（他部局応援必須）</w:t>
            </w:r>
          </w:p>
          <w:p w14:paraId="092CC853" w14:textId="77777777" w:rsidR="00E5017E" w:rsidRPr="00E0548A" w:rsidRDefault="00E5017E" w:rsidP="00D6130A">
            <w:pPr>
              <w:adjustRightInd w:val="0"/>
              <w:snapToGrid w:val="0"/>
              <w:spacing w:line="240" w:lineRule="exact"/>
              <w:jc w:val="left"/>
              <w:rPr>
                <w:rFonts w:ascii="ＭＳ ゴシック" w:eastAsia="ＭＳ ゴシック" w:hAnsi="ＭＳ ゴシック"/>
                <w:w w:val="50"/>
                <w:sz w:val="18"/>
                <w:szCs w:val="18"/>
              </w:rPr>
            </w:pPr>
            <w:r w:rsidRPr="00E0548A">
              <w:rPr>
                <w:rFonts w:ascii="ＭＳ ゴシック" w:eastAsia="ＭＳ ゴシック" w:hAnsi="ＭＳ ゴシック" w:hint="eastAsia"/>
                <w:w w:val="50"/>
                <w:sz w:val="18"/>
                <w:szCs w:val="18"/>
              </w:rPr>
              <w:t>○危機管理センターの機器操作</w:t>
            </w:r>
          </w:p>
          <w:p w14:paraId="160DD91E" w14:textId="77777777" w:rsidR="00E5017E" w:rsidRPr="00E0548A" w:rsidRDefault="00E5017E" w:rsidP="00D6130A">
            <w:pPr>
              <w:adjustRightInd w:val="0"/>
              <w:snapToGrid w:val="0"/>
              <w:spacing w:line="240" w:lineRule="exact"/>
              <w:jc w:val="left"/>
              <w:rPr>
                <w:rFonts w:ascii="ＭＳ ゴシック" w:eastAsia="ＭＳ ゴシック" w:hAnsi="ＭＳ ゴシック"/>
                <w:w w:val="50"/>
                <w:sz w:val="18"/>
                <w:szCs w:val="18"/>
              </w:rPr>
            </w:pPr>
            <w:r w:rsidRPr="00E0548A">
              <w:rPr>
                <w:rFonts w:ascii="ＭＳ ゴシック" w:eastAsia="ＭＳ ゴシック" w:hAnsi="ＭＳ ゴシック" w:hint="eastAsia"/>
                <w:w w:val="50"/>
                <w:sz w:val="18"/>
                <w:szCs w:val="18"/>
              </w:rPr>
              <w:t>○防災行政無線、各種システムの運用</w:t>
            </w:r>
          </w:p>
          <w:p w14:paraId="2C4F19E2" w14:textId="77777777" w:rsidR="00E5017E" w:rsidRPr="00E0548A" w:rsidRDefault="00E5017E" w:rsidP="00D6130A">
            <w:pPr>
              <w:adjustRightInd w:val="0"/>
              <w:snapToGrid w:val="0"/>
              <w:spacing w:line="240" w:lineRule="exact"/>
              <w:jc w:val="left"/>
              <w:rPr>
                <w:rFonts w:ascii="ＭＳ ゴシック" w:eastAsia="ＭＳ ゴシック" w:hAnsi="ＭＳ ゴシック"/>
                <w:w w:val="50"/>
                <w:sz w:val="18"/>
                <w:szCs w:val="18"/>
              </w:rPr>
            </w:pPr>
            <w:r w:rsidRPr="00E0548A">
              <w:rPr>
                <w:rFonts w:ascii="ＭＳ ゴシック" w:eastAsia="ＭＳ ゴシック" w:hAnsi="ＭＳ ゴシック" w:hint="eastAsia"/>
                <w:w w:val="50"/>
                <w:sz w:val="18"/>
                <w:szCs w:val="18"/>
              </w:rPr>
              <w:t>○衛星通信車の運用</w:t>
            </w:r>
          </w:p>
          <w:p w14:paraId="71A0BF9A" w14:textId="77777777" w:rsidR="00E5017E" w:rsidRPr="00E0548A" w:rsidRDefault="00E5017E" w:rsidP="00D6130A">
            <w:pPr>
              <w:adjustRightInd w:val="0"/>
              <w:snapToGrid w:val="0"/>
              <w:spacing w:line="240" w:lineRule="exact"/>
              <w:jc w:val="left"/>
              <w:rPr>
                <w:rFonts w:ascii="ＭＳ ゴシック" w:eastAsia="ＭＳ ゴシック" w:hAnsi="ＭＳ ゴシック"/>
                <w:w w:val="50"/>
                <w:sz w:val="18"/>
                <w:szCs w:val="18"/>
              </w:rPr>
            </w:pPr>
            <w:r w:rsidRPr="00E0548A">
              <w:rPr>
                <w:rFonts w:ascii="ＭＳ ゴシック" w:eastAsia="ＭＳ ゴシック" w:hAnsi="ＭＳ ゴシック" w:hint="eastAsia"/>
                <w:w w:val="50"/>
                <w:sz w:val="18"/>
                <w:szCs w:val="18"/>
              </w:rPr>
              <w:t>○対策班活動記録(画像、文書)作成</w:t>
            </w:r>
          </w:p>
        </w:tc>
        <w:tc>
          <w:tcPr>
            <w:tcW w:w="3002" w:type="dxa"/>
            <w:gridSpan w:val="3"/>
            <w:tcBorders>
              <w:top w:val="single" w:sz="4" w:space="0" w:color="auto"/>
              <w:left w:val="single" w:sz="4" w:space="0" w:color="auto"/>
              <w:right w:val="single" w:sz="4" w:space="0" w:color="auto"/>
            </w:tcBorders>
            <w:vAlign w:val="center"/>
          </w:tcPr>
          <w:p w14:paraId="3EE3623E" w14:textId="5EE88ABD" w:rsidR="00E5017E" w:rsidRPr="00E0548A" w:rsidRDefault="00E5017E" w:rsidP="00D6130A">
            <w:pPr>
              <w:adjustRightInd w:val="0"/>
              <w:snapToGrid w:val="0"/>
              <w:spacing w:line="240" w:lineRule="exact"/>
              <w:jc w:val="left"/>
              <w:rPr>
                <w:rFonts w:ascii="ＭＳ ゴシック" w:eastAsia="ＭＳ ゴシック" w:hAnsi="ＭＳ ゴシック"/>
                <w:w w:val="50"/>
                <w:sz w:val="18"/>
                <w:szCs w:val="18"/>
              </w:rPr>
            </w:pPr>
            <w:r w:rsidRPr="00E0548A">
              <w:rPr>
                <w:rFonts w:ascii="ＭＳ ゴシック" w:eastAsia="ＭＳ ゴシック" w:hAnsi="ＭＳ ゴシック" w:hint="eastAsia"/>
                <w:w w:val="50"/>
                <w:sz w:val="18"/>
                <w:szCs w:val="18"/>
              </w:rPr>
              <w:t>班長：災害対策課長　　副班長：災害対策課参事</w:t>
            </w:r>
            <w:r w:rsidR="00CB696B" w:rsidRPr="00E0548A">
              <w:rPr>
                <w:rFonts w:ascii="ＭＳ ゴシック" w:eastAsia="ＭＳ ゴシック" w:hAnsi="ＭＳ ゴシック" w:hint="eastAsia"/>
                <w:w w:val="50"/>
                <w:sz w:val="18"/>
                <w:szCs w:val="18"/>
              </w:rPr>
              <w:t>(</w:t>
            </w:r>
            <w:r w:rsidR="00DD4847" w:rsidRPr="00E0548A">
              <w:rPr>
                <w:rFonts w:ascii="ＭＳ ゴシック" w:eastAsia="ＭＳ ゴシック" w:hAnsi="ＭＳ ゴシック" w:hint="eastAsia"/>
                <w:w w:val="50"/>
                <w:sz w:val="18"/>
                <w:szCs w:val="18"/>
              </w:rPr>
              <w:t>1</w:t>
            </w:r>
            <w:r w:rsidR="00CB696B" w:rsidRPr="00E0548A">
              <w:rPr>
                <w:rFonts w:ascii="ＭＳ ゴシック" w:eastAsia="ＭＳ ゴシック" w:hAnsi="ＭＳ ゴシック" w:hint="eastAsia"/>
                <w:w w:val="50"/>
                <w:sz w:val="18"/>
                <w:szCs w:val="18"/>
              </w:rPr>
              <w:t>名</w:t>
            </w:r>
            <w:r w:rsidR="00CB696B" w:rsidRPr="00E0548A">
              <w:rPr>
                <w:rFonts w:ascii="ＭＳ ゴシック" w:eastAsia="ＭＳ ゴシック" w:hAnsi="ＭＳ ゴシック"/>
                <w:w w:val="50"/>
                <w:sz w:val="18"/>
                <w:szCs w:val="18"/>
              </w:rPr>
              <w:t>)</w:t>
            </w:r>
          </w:p>
        </w:tc>
      </w:tr>
      <w:tr w:rsidR="001D6D10" w:rsidRPr="00E0548A" w14:paraId="0F4837FB" w14:textId="77777777" w:rsidTr="006E52DA">
        <w:trPr>
          <w:cantSplit/>
          <w:trHeight w:val="1191"/>
        </w:trPr>
        <w:tc>
          <w:tcPr>
            <w:tcW w:w="696" w:type="dxa"/>
            <w:vMerge/>
            <w:tcBorders>
              <w:top w:val="single" w:sz="4" w:space="0" w:color="auto"/>
              <w:left w:val="single" w:sz="4" w:space="0" w:color="auto"/>
              <w:bottom w:val="single" w:sz="4" w:space="0" w:color="auto"/>
              <w:right w:val="single" w:sz="4" w:space="0" w:color="auto"/>
            </w:tcBorders>
            <w:vAlign w:val="center"/>
            <w:hideMark/>
          </w:tcPr>
          <w:p w14:paraId="1A00C038" w14:textId="77777777" w:rsidR="00E5017E" w:rsidRPr="00E0548A" w:rsidRDefault="00E5017E" w:rsidP="00D6130A">
            <w:pPr>
              <w:widowControl/>
              <w:adjustRightInd w:val="0"/>
              <w:snapToGrid w:val="0"/>
              <w:spacing w:line="240" w:lineRule="exact"/>
              <w:jc w:val="left"/>
              <w:rPr>
                <w:rFonts w:ascii="ＭＳ ゴシック" w:eastAsia="ＭＳ ゴシック" w:hAnsi="ＭＳ ゴシック"/>
                <w:w w:val="50"/>
                <w:sz w:val="18"/>
                <w:szCs w:val="18"/>
              </w:rPr>
            </w:pPr>
          </w:p>
        </w:tc>
        <w:tc>
          <w:tcPr>
            <w:tcW w:w="5223" w:type="dxa"/>
            <w:gridSpan w:val="2"/>
            <w:vMerge/>
            <w:tcBorders>
              <w:left w:val="single" w:sz="4" w:space="0" w:color="auto"/>
              <w:right w:val="single" w:sz="4" w:space="0" w:color="auto"/>
            </w:tcBorders>
            <w:vAlign w:val="center"/>
          </w:tcPr>
          <w:p w14:paraId="29DAD6C6" w14:textId="77777777" w:rsidR="00E5017E" w:rsidRPr="00E0548A" w:rsidRDefault="00E5017E" w:rsidP="00D6130A">
            <w:pPr>
              <w:widowControl/>
              <w:adjustRightInd w:val="0"/>
              <w:snapToGrid w:val="0"/>
              <w:spacing w:line="240" w:lineRule="exact"/>
              <w:jc w:val="left"/>
              <w:rPr>
                <w:rFonts w:ascii="ＭＳ ゴシック" w:eastAsia="ＭＳ ゴシック" w:hAnsi="ＭＳ ゴシック"/>
                <w:w w:val="50"/>
                <w:sz w:val="18"/>
                <w:szCs w:val="18"/>
              </w:rPr>
            </w:pPr>
          </w:p>
        </w:tc>
        <w:tc>
          <w:tcPr>
            <w:tcW w:w="1014" w:type="dxa"/>
            <w:vMerge w:val="restart"/>
            <w:tcBorders>
              <w:top w:val="single" w:sz="4" w:space="0" w:color="auto"/>
              <w:left w:val="single" w:sz="4" w:space="0" w:color="auto"/>
              <w:right w:val="single" w:sz="4" w:space="0" w:color="auto"/>
            </w:tcBorders>
            <w:vAlign w:val="center"/>
          </w:tcPr>
          <w:p w14:paraId="4B6E26C5" w14:textId="2896C9CB" w:rsidR="00E5017E" w:rsidRPr="00E0548A" w:rsidRDefault="00E5017E">
            <w:pPr>
              <w:adjustRightInd w:val="0"/>
              <w:snapToGrid w:val="0"/>
              <w:spacing w:line="240" w:lineRule="exact"/>
              <w:jc w:val="center"/>
              <w:rPr>
                <w:rFonts w:ascii="ＭＳ ゴシック" w:eastAsia="ＭＳ ゴシック" w:hAnsi="ＭＳ ゴシック"/>
                <w:w w:val="50"/>
                <w:sz w:val="18"/>
                <w:szCs w:val="18"/>
              </w:rPr>
            </w:pPr>
            <w:r w:rsidRPr="00E0548A">
              <w:rPr>
                <w:rFonts w:ascii="ＭＳ ゴシック" w:eastAsia="ＭＳ ゴシック" w:hAnsi="ＭＳ ゴシック" w:hint="eastAsia"/>
                <w:w w:val="50"/>
                <w:sz w:val="18"/>
                <w:szCs w:val="18"/>
              </w:rPr>
              <w:t>危機管理室（</w:t>
            </w:r>
            <w:r w:rsidR="00523F74">
              <w:rPr>
                <w:rFonts w:ascii="ＭＳ ゴシック" w:eastAsia="ＭＳ ゴシック" w:hAnsi="ＭＳ ゴシック" w:hint="eastAsia"/>
                <w:w w:val="50"/>
                <w:sz w:val="18"/>
                <w:szCs w:val="18"/>
              </w:rPr>
              <w:t>12</w:t>
            </w:r>
            <w:r w:rsidRPr="00E0548A">
              <w:rPr>
                <w:rFonts w:ascii="ＭＳ ゴシック" w:eastAsia="ＭＳ ゴシック" w:hAnsi="ＭＳ ゴシック" w:hint="eastAsia"/>
                <w:w w:val="50"/>
                <w:sz w:val="18"/>
                <w:szCs w:val="18"/>
              </w:rPr>
              <w:t>名）</w:t>
            </w:r>
          </w:p>
        </w:tc>
        <w:tc>
          <w:tcPr>
            <w:tcW w:w="992" w:type="dxa"/>
            <w:vMerge w:val="restart"/>
            <w:tcBorders>
              <w:top w:val="single" w:sz="4" w:space="0" w:color="auto"/>
              <w:left w:val="single" w:sz="4" w:space="0" w:color="auto"/>
              <w:right w:val="single" w:sz="4" w:space="0" w:color="auto"/>
            </w:tcBorders>
            <w:vAlign w:val="center"/>
          </w:tcPr>
          <w:p w14:paraId="5BD24049" w14:textId="3BC82C51" w:rsidR="00E5017E" w:rsidRPr="00E0548A" w:rsidRDefault="00E5017E" w:rsidP="00D6130A">
            <w:pPr>
              <w:adjustRightInd w:val="0"/>
              <w:snapToGrid w:val="0"/>
              <w:spacing w:line="240" w:lineRule="exact"/>
              <w:jc w:val="center"/>
              <w:rPr>
                <w:rFonts w:ascii="ＭＳ ゴシック" w:eastAsia="ＭＳ ゴシック" w:hAnsi="ＭＳ ゴシック"/>
                <w:w w:val="50"/>
                <w:sz w:val="18"/>
                <w:szCs w:val="18"/>
              </w:rPr>
            </w:pPr>
            <w:r w:rsidRPr="00E0548A">
              <w:rPr>
                <w:rFonts w:ascii="ＭＳ ゴシック" w:eastAsia="ＭＳ ゴシック" w:hAnsi="ＭＳ ゴシック" w:hint="eastAsia"/>
                <w:w w:val="50"/>
                <w:sz w:val="18"/>
                <w:szCs w:val="18"/>
              </w:rPr>
              <w:t>危機管理室（</w:t>
            </w:r>
            <w:r w:rsidR="00523F74">
              <w:rPr>
                <w:rFonts w:ascii="ＭＳ ゴシック" w:eastAsia="ＭＳ ゴシック" w:hAnsi="ＭＳ ゴシック" w:hint="eastAsia"/>
                <w:w w:val="50"/>
                <w:sz w:val="18"/>
                <w:szCs w:val="18"/>
              </w:rPr>
              <w:t>21</w:t>
            </w:r>
            <w:r w:rsidRPr="00E0548A">
              <w:rPr>
                <w:rFonts w:ascii="ＭＳ ゴシック" w:eastAsia="ＭＳ ゴシック" w:hAnsi="ＭＳ ゴシック" w:hint="eastAsia"/>
                <w:w w:val="50"/>
                <w:sz w:val="18"/>
                <w:szCs w:val="18"/>
              </w:rPr>
              <w:t>名）</w:t>
            </w:r>
          </w:p>
        </w:tc>
        <w:tc>
          <w:tcPr>
            <w:tcW w:w="996" w:type="dxa"/>
            <w:vMerge w:val="restart"/>
            <w:tcBorders>
              <w:top w:val="single" w:sz="4" w:space="0" w:color="auto"/>
              <w:left w:val="single" w:sz="4" w:space="0" w:color="auto"/>
              <w:right w:val="single" w:sz="4" w:space="0" w:color="auto"/>
            </w:tcBorders>
            <w:vAlign w:val="center"/>
          </w:tcPr>
          <w:p w14:paraId="2BF91FDD" w14:textId="0958E26A" w:rsidR="00E5017E" w:rsidRPr="00E0548A" w:rsidRDefault="00E5017E" w:rsidP="00D6130A">
            <w:pPr>
              <w:adjustRightInd w:val="0"/>
              <w:snapToGrid w:val="0"/>
              <w:spacing w:line="240" w:lineRule="exact"/>
              <w:jc w:val="center"/>
              <w:rPr>
                <w:rFonts w:ascii="ＭＳ ゴシック" w:eastAsia="ＭＳ ゴシック" w:hAnsi="ＭＳ ゴシック"/>
                <w:w w:val="50"/>
                <w:sz w:val="18"/>
                <w:szCs w:val="18"/>
              </w:rPr>
            </w:pPr>
            <w:r w:rsidRPr="00E0548A">
              <w:rPr>
                <w:rFonts w:ascii="ＭＳ ゴシック" w:eastAsia="ＭＳ ゴシック" w:hAnsi="ＭＳ ゴシック" w:hint="eastAsia"/>
                <w:w w:val="50"/>
                <w:sz w:val="18"/>
                <w:szCs w:val="18"/>
              </w:rPr>
              <w:t>危機管理室(</w:t>
            </w:r>
            <w:r w:rsidR="00523F74">
              <w:rPr>
                <w:rFonts w:ascii="ＭＳ ゴシック" w:eastAsia="ＭＳ ゴシック" w:hAnsi="ＭＳ ゴシック" w:hint="eastAsia"/>
                <w:w w:val="50"/>
                <w:sz w:val="18"/>
                <w:szCs w:val="18"/>
              </w:rPr>
              <w:t>33</w:t>
            </w:r>
            <w:r w:rsidRPr="00E0548A">
              <w:rPr>
                <w:rFonts w:ascii="ＭＳ ゴシック" w:eastAsia="ＭＳ ゴシック" w:hAnsi="ＭＳ ゴシック" w:hint="eastAsia"/>
                <w:w w:val="50"/>
                <w:sz w:val="18"/>
                <w:szCs w:val="18"/>
              </w:rPr>
              <w:t>名)</w:t>
            </w:r>
          </w:p>
        </w:tc>
      </w:tr>
      <w:tr w:rsidR="001D6D10" w:rsidRPr="00E0548A" w14:paraId="602347E2" w14:textId="77777777" w:rsidTr="006E52DA">
        <w:trPr>
          <w:cantSplit/>
          <w:trHeight w:val="1124"/>
        </w:trPr>
        <w:tc>
          <w:tcPr>
            <w:tcW w:w="696" w:type="dxa"/>
            <w:vMerge/>
            <w:tcBorders>
              <w:top w:val="single" w:sz="4" w:space="0" w:color="auto"/>
              <w:left w:val="single" w:sz="4" w:space="0" w:color="auto"/>
              <w:bottom w:val="single" w:sz="4" w:space="0" w:color="auto"/>
              <w:right w:val="single" w:sz="4" w:space="0" w:color="auto"/>
            </w:tcBorders>
            <w:vAlign w:val="center"/>
            <w:hideMark/>
          </w:tcPr>
          <w:p w14:paraId="609851BA" w14:textId="77777777" w:rsidR="00E5017E" w:rsidRPr="00E0548A" w:rsidRDefault="00E5017E" w:rsidP="00D6130A">
            <w:pPr>
              <w:widowControl/>
              <w:adjustRightInd w:val="0"/>
              <w:snapToGrid w:val="0"/>
              <w:spacing w:line="240" w:lineRule="exact"/>
              <w:jc w:val="left"/>
              <w:rPr>
                <w:rFonts w:ascii="ＭＳ ゴシック" w:eastAsia="ＭＳ ゴシック" w:hAnsi="ＭＳ ゴシック"/>
                <w:w w:val="50"/>
                <w:sz w:val="18"/>
                <w:szCs w:val="18"/>
              </w:rPr>
            </w:pPr>
          </w:p>
        </w:tc>
        <w:tc>
          <w:tcPr>
            <w:tcW w:w="5223" w:type="dxa"/>
            <w:gridSpan w:val="2"/>
            <w:vMerge/>
            <w:tcBorders>
              <w:left w:val="single" w:sz="4" w:space="0" w:color="auto"/>
              <w:right w:val="single" w:sz="4" w:space="0" w:color="auto"/>
            </w:tcBorders>
            <w:vAlign w:val="center"/>
          </w:tcPr>
          <w:p w14:paraId="4E843997" w14:textId="77777777" w:rsidR="00E5017E" w:rsidRPr="00E0548A" w:rsidRDefault="00E5017E" w:rsidP="00D6130A">
            <w:pPr>
              <w:adjustRightInd w:val="0"/>
              <w:snapToGrid w:val="0"/>
              <w:spacing w:line="240" w:lineRule="exact"/>
              <w:jc w:val="left"/>
              <w:rPr>
                <w:rFonts w:ascii="ＭＳ ゴシック" w:eastAsia="ＭＳ ゴシック" w:hAnsi="ＭＳ ゴシック"/>
                <w:w w:val="50"/>
                <w:sz w:val="18"/>
                <w:szCs w:val="18"/>
              </w:rPr>
            </w:pPr>
          </w:p>
        </w:tc>
        <w:tc>
          <w:tcPr>
            <w:tcW w:w="1014" w:type="dxa"/>
            <w:vMerge/>
            <w:tcBorders>
              <w:left w:val="single" w:sz="4" w:space="0" w:color="auto"/>
              <w:right w:val="single" w:sz="4" w:space="0" w:color="auto"/>
            </w:tcBorders>
            <w:vAlign w:val="center"/>
          </w:tcPr>
          <w:p w14:paraId="41A23AB6" w14:textId="77777777" w:rsidR="00E5017E" w:rsidRPr="00E0548A" w:rsidRDefault="00E5017E" w:rsidP="00D6130A">
            <w:pPr>
              <w:adjustRightInd w:val="0"/>
              <w:snapToGrid w:val="0"/>
              <w:spacing w:line="240" w:lineRule="exact"/>
              <w:jc w:val="center"/>
              <w:rPr>
                <w:rFonts w:ascii="ＭＳ ゴシック" w:eastAsia="ＭＳ ゴシック" w:hAnsi="ＭＳ ゴシック"/>
                <w:w w:val="50"/>
                <w:sz w:val="18"/>
                <w:szCs w:val="18"/>
              </w:rPr>
            </w:pPr>
          </w:p>
        </w:tc>
        <w:tc>
          <w:tcPr>
            <w:tcW w:w="992" w:type="dxa"/>
            <w:vMerge/>
            <w:tcBorders>
              <w:left w:val="single" w:sz="4" w:space="0" w:color="auto"/>
              <w:right w:val="single" w:sz="4" w:space="0" w:color="auto"/>
            </w:tcBorders>
            <w:vAlign w:val="center"/>
          </w:tcPr>
          <w:p w14:paraId="07B31E54" w14:textId="77777777" w:rsidR="00E5017E" w:rsidRPr="00E0548A" w:rsidRDefault="00E5017E" w:rsidP="00D6130A">
            <w:pPr>
              <w:adjustRightInd w:val="0"/>
              <w:snapToGrid w:val="0"/>
              <w:spacing w:line="240" w:lineRule="exact"/>
              <w:jc w:val="center"/>
              <w:rPr>
                <w:rFonts w:ascii="ＭＳ ゴシック" w:eastAsia="ＭＳ ゴシック" w:hAnsi="ＭＳ ゴシック"/>
                <w:w w:val="50"/>
                <w:sz w:val="18"/>
                <w:szCs w:val="18"/>
              </w:rPr>
            </w:pPr>
          </w:p>
        </w:tc>
        <w:tc>
          <w:tcPr>
            <w:tcW w:w="996" w:type="dxa"/>
            <w:vMerge/>
            <w:tcBorders>
              <w:left w:val="single" w:sz="4" w:space="0" w:color="auto"/>
              <w:right w:val="single" w:sz="4" w:space="0" w:color="auto"/>
            </w:tcBorders>
            <w:vAlign w:val="center"/>
          </w:tcPr>
          <w:p w14:paraId="7D9F378E" w14:textId="77777777" w:rsidR="00E5017E" w:rsidRPr="00E0548A" w:rsidRDefault="00E5017E" w:rsidP="00D6130A">
            <w:pPr>
              <w:adjustRightInd w:val="0"/>
              <w:snapToGrid w:val="0"/>
              <w:spacing w:line="240" w:lineRule="exact"/>
              <w:jc w:val="center"/>
              <w:rPr>
                <w:rFonts w:ascii="ＭＳ ゴシック" w:eastAsia="ＭＳ ゴシック" w:hAnsi="ＭＳ ゴシック"/>
                <w:w w:val="50"/>
                <w:sz w:val="18"/>
                <w:szCs w:val="18"/>
              </w:rPr>
            </w:pPr>
          </w:p>
        </w:tc>
      </w:tr>
      <w:tr w:rsidR="001D6D10" w:rsidRPr="00E0548A" w14:paraId="48AA6546" w14:textId="77777777" w:rsidTr="006E52DA">
        <w:trPr>
          <w:cantSplit/>
          <w:trHeight w:val="1265"/>
        </w:trPr>
        <w:tc>
          <w:tcPr>
            <w:tcW w:w="696" w:type="dxa"/>
            <w:vMerge/>
            <w:tcBorders>
              <w:top w:val="single" w:sz="4" w:space="0" w:color="auto"/>
              <w:left w:val="single" w:sz="4" w:space="0" w:color="auto"/>
              <w:bottom w:val="single" w:sz="4" w:space="0" w:color="auto"/>
              <w:right w:val="single" w:sz="4" w:space="0" w:color="auto"/>
            </w:tcBorders>
            <w:vAlign w:val="center"/>
            <w:hideMark/>
          </w:tcPr>
          <w:p w14:paraId="44898856" w14:textId="77777777" w:rsidR="00E5017E" w:rsidRPr="00E0548A" w:rsidRDefault="00E5017E" w:rsidP="00D6130A">
            <w:pPr>
              <w:widowControl/>
              <w:adjustRightInd w:val="0"/>
              <w:snapToGrid w:val="0"/>
              <w:spacing w:line="240" w:lineRule="exact"/>
              <w:jc w:val="left"/>
              <w:rPr>
                <w:rFonts w:ascii="ＭＳ ゴシック" w:eastAsia="ＭＳ ゴシック" w:hAnsi="ＭＳ ゴシック"/>
                <w:w w:val="50"/>
                <w:sz w:val="18"/>
                <w:szCs w:val="18"/>
              </w:rPr>
            </w:pPr>
          </w:p>
        </w:tc>
        <w:tc>
          <w:tcPr>
            <w:tcW w:w="5223" w:type="dxa"/>
            <w:gridSpan w:val="2"/>
            <w:vMerge/>
            <w:tcBorders>
              <w:left w:val="single" w:sz="4" w:space="0" w:color="auto"/>
              <w:right w:val="single" w:sz="4" w:space="0" w:color="auto"/>
            </w:tcBorders>
            <w:vAlign w:val="center"/>
          </w:tcPr>
          <w:p w14:paraId="6B401FE9" w14:textId="77777777" w:rsidR="00E5017E" w:rsidRPr="00E0548A" w:rsidRDefault="00E5017E" w:rsidP="00D6130A">
            <w:pPr>
              <w:adjustRightInd w:val="0"/>
              <w:snapToGrid w:val="0"/>
              <w:spacing w:line="240" w:lineRule="exact"/>
              <w:jc w:val="left"/>
              <w:rPr>
                <w:rFonts w:ascii="ＭＳ ゴシック" w:eastAsia="ＭＳ ゴシック" w:hAnsi="ＭＳ ゴシック"/>
                <w:w w:val="50"/>
                <w:sz w:val="18"/>
                <w:szCs w:val="18"/>
              </w:rPr>
            </w:pPr>
          </w:p>
        </w:tc>
        <w:tc>
          <w:tcPr>
            <w:tcW w:w="1014" w:type="dxa"/>
            <w:vMerge/>
            <w:tcBorders>
              <w:left w:val="single" w:sz="4" w:space="0" w:color="auto"/>
              <w:right w:val="single" w:sz="4" w:space="0" w:color="auto"/>
            </w:tcBorders>
            <w:vAlign w:val="center"/>
          </w:tcPr>
          <w:p w14:paraId="1615113A" w14:textId="77777777" w:rsidR="00E5017E" w:rsidRPr="00E0548A" w:rsidRDefault="00E5017E" w:rsidP="00D6130A">
            <w:pPr>
              <w:adjustRightInd w:val="0"/>
              <w:snapToGrid w:val="0"/>
              <w:spacing w:line="240" w:lineRule="exact"/>
              <w:jc w:val="center"/>
              <w:rPr>
                <w:rFonts w:ascii="ＭＳ ゴシック" w:eastAsia="ＭＳ ゴシック" w:hAnsi="ＭＳ ゴシック"/>
                <w:w w:val="50"/>
                <w:sz w:val="18"/>
                <w:szCs w:val="18"/>
              </w:rPr>
            </w:pPr>
          </w:p>
        </w:tc>
        <w:tc>
          <w:tcPr>
            <w:tcW w:w="992" w:type="dxa"/>
            <w:vMerge/>
            <w:tcBorders>
              <w:left w:val="single" w:sz="4" w:space="0" w:color="auto"/>
              <w:right w:val="single" w:sz="4" w:space="0" w:color="auto"/>
            </w:tcBorders>
            <w:vAlign w:val="center"/>
          </w:tcPr>
          <w:p w14:paraId="4142A0FB" w14:textId="77777777" w:rsidR="00E5017E" w:rsidRPr="00E0548A" w:rsidRDefault="00E5017E" w:rsidP="00D6130A">
            <w:pPr>
              <w:adjustRightInd w:val="0"/>
              <w:snapToGrid w:val="0"/>
              <w:spacing w:line="240" w:lineRule="exact"/>
              <w:jc w:val="center"/>
              <w:rPr>
                <w:rFonts w:ascii="ＭＳ ゴシック" w:eastAsia="ＭＳ ゴシック" w:hAnsi="ＭＳ ゴシック"/>
                <w:w w:val="50"/>
                <w:sz w:val="18"/>
                <w:szCs w:val="18"/>
              </w:rPr>
            </w:pPr>
          </w:p>
        </w:tc>
        <w:tc>
          <w:tcPr>
            <w:tcW w:w="996" w:type="dxa"/>
            <w:vMerge/>
            <w:tcBorders>
              <w:left w:val="single" w:sz="4" w:space="0" w:color="auto"/>
              <w:right w:val="single" w:sz="4" w:space="0" w:color="auto"/>
            </w:tcBorders>
            <w:vAlign w:val="center"/>
          </w:tcPr>
          <w:p w14:paraId="34269EE4" w14:textId="77777777" w:rsidR="00E5017E" w:rsidRPr="00E0548A" w:rsidRDefault="00E5017E" w:rsidP="00D6130A">
            <w:pPr>
              <w:adjustRightInd w:val="0"/>
              <w:snapToGrid w:val="0"/>
              <w:spacing w:line="240" w:lineRule="exact"/>
              <w:jc w:val="center"/>
              <w:rPr>
                <w:rFonts w:ascii="ＭＳ ゴシック" w:eastAsia="ＭＳ ゴシック" w:hAnsi="ＭＳ ゴシック"/>
                <w:w w:val="50"/>
                <w:sz w:val="18"/>
                <w:szCs w:val="18"/>
              </w:rPr>
            </w:pPr>
          </w:p>
        </w:tc>
      </w:tr>
      <w:tr w:rsidR="001D6D10" w:rsidRPr="00E0548A" w14:paraId="3163D885" w14:textId="77777777" w:rsidTr="006E52DA">
        <w:trPr>
          <w:cantSplit/>
          <w:trHeight w:val="1555"/>
        </w:trPr>
        <w:tc>
          <w:tcPr>
            <w:tcW w:w="696" w:type="dxa"/>
            <w:vMerge/>
            <w:tcBorders>
              <w:top w:val="single" w:sz="4" w:space="0" w:color="auto"/>
              <w:left w:val="single" w:sz="4" w:space="0" w:color="auto"/>
              <w:bottom w:val="single" w:sz="4" w:space="0" w:color="auto"/>
              <w:right w:val="single" w:sz="4" w:space="0" w:color="auto"/>
            </w:tcBorders>
            <w:vAlign w:val="center"/>
            <w:hideMark/>
          </w:tcPr>
          <w:p w14:paraId="4BFBFD1B" w14:textId="77777777" w:rsidR="00E5017E" w:rsidRPr="00E0548A" w:rsidRDefault="00E5017E" w:rsidP="00D6130A">
            <w:pPr>
              <w:widowControl/>
              <w:adjustRightInd w:val="0"/>
              <w:snapToGrid w:val="0"/>
              <w:spacing w:line="240" w:lineRule="exact"/>
              <w:jc w:val="left"/>
              <w:rPr>
                <w:rFonts w:ascii="ＭＳ ゴシック" w:eastAsia="ＭＳ ゴシック" w:hAnsi="ＭＳ ゴシック"/>
                <w:w w:val="50"/>
                <w:sz w:val="18"/>
                <w:szCs w:val="18"/>
              </w:rPr>
            </w:pPr>
          </w:p>
        </w:tc>
        <w:tc>
          <w:tcPr>
            <w:tcW w:w="5223" w:type="dxa"/>
            <w:gridSpan w:val="2"/>
            <w:tcBorders>
              <w:top w:val="single" w:sz="4" w:space="0" w:color="auto"/>
              <w:left w:val="single" w:sz="4" w:space="0" w:color="auto"/>
              <w:bottom w:val="single" w:sz="4" w:space="0" w:color="auto"/>
              <w:right w:val="single" w:sz="4" w:space="0" w:color="auto"/>
            </w:tcBorders>
            <w:vAlign w:val="center"/>
          </w:tcPr>
          <w:p w14:paraId="1D29C403" w14:textId="77777777" w:rsidR="00E5017E" w:rsidRPr="00E0548A" w:rsidRDefault="00E5017E" w:rsidP="00D6130A">
            <w:pPr>
              <w:adjustRightInd w:val="0"/>
              <w:snapToGrid w:val="0"/>
              <w:spacing w:line="240" w:lineRule="exact"/>
              <w:jc w:val="left"/>
              <w:rPr>
                <w:rFonts w:ascii="ＭＳ ゴシック" w:eastAsia="ＭＳ ゴシック" w:hAnsi="ＭＳ ゴシック"/>
                <w:w w:val="50"/>
                <w:sz w:val="18"/>
                <w:szCs w:val="18"/>
              </w:rPr>
            </w:pPr>
            <w:r w:rsidRPr="00E0548A">
              <w:rPr>
                <w:rFonts w:ascii="ＭＳ ゴシック" w:eastAsia="ＭＳ ゴシック" w:hAnsi="ＭＳ ゴシック" w:hint="eastAsia"/>
                <w:w w:val="50"/>
                <w:sz w:val="18"/>
                <w:szCs w:val="18"/>
              </w:rPr>
              <w:t>○広域防災拠点の被害状況確認・報告(物資担当へ)</w:t>
            </w:r>
          </w:p>
          <w:p w14:paraId="66515A57" w14:textId="77777777" w:rsidR="00E5017E" w:rsidRPr="00E0548A" w:rsidRDefault="00E5017E" w:rsidP="00D6130A">
            <w:pPr>
              <w:adjustRightInd w:val="0"/>
              <w:snapToGrid w:val="0"/>
              <w:spacing w:line="240" w:lineRule="exact"/>
              <w:jc w:val="left"/>
              <w:rPr>
                <w:rFonts w:ascii="ＭＳ ゴシック" w:eastAsia="ＭＳ ゴシック" w:hAnsi="ＭＳ ゴシック"/>
                <w:w w:val="50"/>
                <w:sz w:val="18"/>
                <w:szCs w:val="18"/>
              </w:rPr>
            </w:pPr>
            <w:r w:rsidRPr="00E0548A">
              <w:rPr>
                <w:rFonts w:ascii="ＭＳ ゴシック" w:eastAsia="ＭＳ ゴシック" w:hAnsi="ＭＳ ゴシック" w:hint="eastAsia"/>
                <w:w w:val="50"/>
                <w:sz w:val="18"/>
                <w:szCs w:val="18"/>
              </w:rPr>
              <w:t>○緊急防災推進員の安否報告(総務・広報班へ)</w:t>
            </w:r>
          </w:p>
          <w:p w14:paraId="5A039EBC" w14:textId="602E2BDF" w:rsidR="00E5017E" w:rsidRPr="00E0548A" w:rsidRDefault="00E5017E" w:rsidP="00D6130A">
            <w:pPr>
              <w:adjustRightInd w:val="0"/>
              <w:snapToGrid w:val="0"/>
              <w:spacing w:line="240" w:lineRule="exact"/>
              <w:jc w:val="left"/>
              <w:rPr>
                <w:rFonts w:ascii="ＭＳ ゴシック" w:eastAsia="ＭＳ ゴシック" w:hAnsi="ＭＳ ゴシック"/>
                <w:w w:val="50"/>
                <w:sz w:val="18"/>
                <w:szCs w:val="18"/>
              </w:rPr>
            </w:pPr>
            <w:r w:rsidRPr="00E0548A">
              <w:rPr>
                <w:rFonts w:ascii="ＭＳ ゴシック" w:eastAsia="ＭＳ ゴシック" w:hAnsi="ＭＳ ゴシック" w:hint="eastAsia"/>
                <w:w w:val="50"/>
                <w:sz w:val="18"/>
                <w:szCs w:val="18"/>
              </w:rPr>
              <w:t>○広域防災拠点周辺アクセス道路の被害状況確認・報告</w:t>
            </w:r>
          </w:p>
          <w:p w14:paraId="57ED780C" w14:textId="2A4CF795" w:rsidR="00E5017E" w:rsidRPr="00E0548A" w:rsidRDefault="00E5017E" w:rsidP="00D6130A">
            <w:pPr>
              <w:adjustRightInd w:val="0"/>
              <w:snapToGrid w:val="0"/>
              <w:spacing w:line="240" w:lineRule="exact"/>
              <w:jc w:val="left"/>
              <w:rPr>
                <w:rFonts w:ascii="ＭＳ ゴシック" w:eastAsia="ＭＳ ゴシック" w:hAnsi="ＭＳ ゴシック"/>
                <w:w w:val="50"/>
                <w:sz w:val="18"/>
                <w:szCs w:val="18"/>
              </w:rPr>
            </w:pPr>
            <w:r w:rsidRPr="00E0548A">
              <w:rPr>
                <w:rFonts w:ascii="ＭＳ ゴシック" w:eastAsia="ＭＳ ゴシック" w:hAnsi="ＭＳ ゴシック" w:hint="eastAsia"/>
                <w:w w:val="50"/>
                <w:sz w:val="18"/>
                <w:szCs w:val="18"/>
              </w:rPr>
              <w:t>○</w:t>
            </w:r>
            <w:proofErr w:type="gramStart"/>
            <w:r w:rsidRPr="00E0548A">
              <w:rPr>
                <w:rFonts w:ascii="ＭＳ ゴシック" w:eastAsia="ＭＳ ゴシック" w:hAnsi="ＭＳ ゴシック" w:hint="eastAsia"/>
                <w:w w:val="50"/>
                <w:sz w:val="18"/>
                <w:szCs w:val="18"/>
              </w:rPr>
              <w:t>プッシュ</w:t>
            </w:r>
            <w:proofErr w:type="gramEnd"/>
            <w:r w:rsidRPr="00E0548A">
              <w:rPr>
                <w:rFonts w:ascii="ＭＳ ゴシック" w:eastAsia="ＭＳ ゴシック" w:hAnsi="ＭＳ ゴシック" w:hint="eastAsia"/>
                <w:w w:val="50"/>
                <w:sz w:val="18"/>
                <w:szCs w:val="18"/>
              </w:rPr>
              <w:t>型支援の準備</w:t>
            </w:r>
          </w:p>
          <w:p w14:paraId="4C2357D3" w14:textId="77777777" w:rsidR="00E5017E" w:rsidRPr="00E0548A" w:rsidRDefault="00E5017E" w:rsidP="00D6130A">
            <w:pPr>
              <w:adjustRightInd w:val="0"/>
              <w:snapToGrid w:val="0"/>
              <w:spacing w:line="240" w:lineRule="exact"/>
              <w:jc w:val="left"/>
              <w:rPr>
                <w:rFonts w:ascii="ＭＳ ゴシック" w:eastAsia="ＭＳ ゴシック" w:hAnsi="ＭＳ ゴシック"/>
                <w:w w:val="50"/>
                <w:sz w:val="18"/>
                <w:szCs w:val="18"/>
              </w:rPr>
            </w:pPr>
            <w:r w:rsidRPr="00E0548A">
              <w:rPr>
                <w:rFonts w:ascii="ＭＳ ゴシック" w:eastAsia="ＭＳ ゴシック" w:hAnsi="ＭＳ ゴシック" w:hint="eastAsia"/>
                <w:w w:val="50"/>
                <w:sz w:val="18"/>
                <w:szCs w:val="18"/>
              </w:rPr>
              <w:t>○備蓄物資等の出在庫管理</w:t>
            </w:r>
            <w:r w:rsidR="00BC1D88" w:rsidRPr="00E0548A">
              <w:rPr>
                <w:rFonts w:ascii="ＭＳ ゴシック" w:eastAsia="ＭＳ ゴシック" w:hAnsi="ＭＳ ゴシック" w:hint="eastAsia"/>
                <w:w w:val="50"/>
                <w:sz w:val="18"/>
                <w:szCs w:val="18"/>
              </w:rPr>
              <w:t>のため、物流事業者に派遣要請と０時拠点の開設可否について確認</w:t>
            </w:r>
          </w:p>
          <w:p w14:paraId="02ED0FF9" w14:textId="77777777" w:rsidR="00BC1D88" w:rsidRPr="00E0548A" w:rsidRDefault="00BC1D88" w:rsidP="00D6130A">
            <w:pPr>
              <w:adjustRightInd w:val="0"/>
              <w:snapToGrid w:val="0"/>
              <w:spacing w:line="240" w:lineRule="exact"/>
              <w:jc w:val="left"/>
              <w:rPr>
                <w:rFonts w:ascii="ＭＳ ゴシック" w:eastAsia="ＭＳ ゴシック" w:hAnsi="ＭＳ ゴシック"/>
                <w:w w:val="50"/>
                <w:sz w:val="18"/>
                <w:szCs w:val="18"/>
              </w:rPr>
            </w:pPr>
            <w:r w:rsidRPr="00E0548A">
              <w:rPr>
                <w:rFonts w:ascii="ＭＳ ゴシック" w:eastAsia="ＭＳ ゴシック" w:hAnsi="ＭＳ ゴシック" w:hint="eastAsia"/>
                <w:w w:val="50"/>
                <w:sz w:val="18"/>
                <w:szCs w:val="18"/>
              </w:rPr>
              <w:t>〇府社会福祉協議会と府災害ボランティアセンターの設置についての協議および委託契約の締結準備</w:t>
            </w:r>
          </w:p>
        </w:tc>
        <w:tc>
          <w:tcPr>
            <w:tcW w:w="1014" w:type="dxa"/>
            <w:tcBorders>
              <w:top w:val="single" w:sz="4" w:space="0" w:color="auto"/>
              <w:left w:val="single" w:sz="4" w:space="0" w:color="auto"/>
              <w:bottom w:val="single" w:sz="4" w:space="0" w:color="auto"/>
              <w:right w:val="single" w:sz="4" w:space="0" w:color="auto"/>
            </w:tcBorders>
            <w:vAlign w:val="center"/>
          </w:tcPr>
          <w:p w14:paraId="5B8A8086" w14:textId="77777777" w:rsidR="00E5017E" w:rsidRPr="00E0548A" w:rsidRDefault="00E5017E" w:rsidP="00D6130A">
            <w:pPr>
              <w:adjustRightInd w:val="0"/>
              <w:snapToGrid w:val="0"/>
              <w:spacing w:line="240" w:lineRule="exact"/>
              <w:jc w:val="center"/>
              <w:rPr>
                <w:rFonts w:ascii="ＭＳ ゴシック" w:eastAsia="ＭＳ ゴシック" w:hAnsi="ＭＳ ゴシック"/>
                <w:w w:val="50"/>
                <w:sz w:val="18"/>
                <w:szCs w:val="18"/>
              </w:rPr>
            </w:pPr>
            <w:r w:rsidRPr="00E0548A">
              <w:rPr>
                <w:rFonts w:ascii="ＭＳ ゴシック" w:eastAsia="ＭＳ ゴシック" w:hAnsi="ＭＳ ゴシック" w:hint="eastAsia"/>
                <w:w w:val="50"/>
                <w:sz w:val="18"/>
                <w:szCs w:val="18"/>
              </w:rPr>
              <w:t>危機管理室（3名）</w:t>
            </w:r>
          </w:p>
        </w:tc>
        <w:tc>
          <w:tcPr>
            <w:tcW w:w="992" w:type="dxa"/>
            <w:tcBorders>
              <w:top w:val="single" w:sz="4" w:space="0" w:color="auto"/>
              <w:left w:val="single" w:sz="4" w:space="0" w:color="auto"/>
              <w:bottom w:val="single" w:sz="4" w:space="0" w:color="auto"/>
              <w:right w:val="single" w:sz="4" w:space="0" w:color="auto"/>
            </w:tcBorders>
            <w:vAlign w:val="center"/>
          </w:tcPr>
          <w:p w14:paraId="6B716FF1" w14:textId="77777777" w:rsidR="00E5017E" w:rsidRPr="00E0548A" w:rsidRDefault="00E5017E" w:rsidP="00D6130A">
            <w:pPr>
              <w:adjustRightInd w:val="0"/>
              <w:snapToGrid w:val="0"/>
              <w:spacing w:line="240" w:lineRule="exact"/>
              <w:jc w:val="center"/>
              <w:rPr>
                <w:rFonts w:ascii="ＭＳ ゴシック" w:eastAsia="ＭＳ ゴシック" w:hAnsi="ＭＳ ゴシック"/>
                <w:w w:val="50"/>
                <w:sz w:val="18"/>
                <w:szCs w:val="18"/>
              </w:rPr>
            </w:pPr>
            <w:r w:rsidRPr="00E0548A">
              <w:rPr>
                <w:rFonts w:ascii="ＭＳ ゴシック" w:eastAsia="ＭＳ ゴシック" w:hAnsi="ＭＳ ゴシック" w:hint="eastAsia"/>
                <w:w w:val="50"/>
                <w:sz w:val="18"/>
                <w:szCs w:val="18"/>
              </w:rPr>
              <w:t>危機管理室（3名）</w:t>
            </w:r>
          </w:p>
        </w:tc>
        <w:tc>
          <w:tcPr>
            <w:tcW w:w="996" w:type="dxa"/>
            <w:tcBorders>
              <w:top w:val="single" w:sz="4" w:space="0" w:color="auto"/>
              <w:left w:val="single" w:sz="4" w:space="0" w:color="auto"/>
              <w:bottom w:val="single" w:sz="4" w:space="0" w:color="auto"/>
              <w:right w:val="single" w:sz="4" w:space="0" w:color="auto"/>
            </w:tcBorders>
            <w:vAlign w:val="center"/>
          </w:tcPr>
          <w:p w14:paraId="79E06A88" w14:textId="77777777" w:rsidR="00E5017E" w:rsidRPr="00E0548A" w:rsidRDefault="00E5017E" w:rsidP="00D6130A">
            <w:pPr>
              <w:adjustRightInd w:val="0"/>
              <w:snapToGrid w:val="0"/>
              <w:spacing w:line="240" w:lineRule="exact"/>
              <w:jc w:val="center"/>
              <w:rPr>
                <w:rFonts w:ascii="ＭＳ ゴシック" w:eastAsia="ＭＳ ゴシック" w:hAnsi="ＭＳ ゴシック"/>
                <w:w w:val="50"/>
                <w:sz w:val="18"/>
                <w:szCs w:val="18"/>
              </w:rPr>
            </w:pPr>
            <w:r w:rsidRPr="00E0548A">
              <w:rPr>
                <w:rFonts w:ascii="ＭＳ ゴシック" w:eastAsia="ＭＳ ゴシック" w:hAnsi="ＭＳ ゴシック" w:hint="eastAsia"/>
                <w:w w:val="50"/>
                <w:sz w:val="18"/>
                <w:szCs w:val="18"/>
              </w:rPr>
              <w:t>危機管理室(3名)</w:t>
            </w:r>
          </w:p>
        </w:tc>
      </w:tr>
      <w:tr w:rsidR="001D6D10" w:rsidRPr="00E0548A" w14:paraId="49298F7B" w14:textId="77777777" w:rsidTr="006E52DA">
        <w:trPr>
          <w:cantSplit/>
          <w:trHeight w:val="3840"/>
        </w:trPr>
        <w:tc>
          <w:tcPr>
            <w:tcW w:w="696" w:type="dxa"/>
            <w:tcBorders>
              <w:top w:val="single" w:sz="4" w:space="0" w:color="auto"/>
              <w:left w:val="single" w:sz="4" w:space="0" w:color="auto"/>
              <w:right w:val="single" w:sz="4" w:space="0" w:color="auto"/>
            </w:tcBorders>
            <w:textDirection w:val="tbRlV"/>
            <w:vAlign w:val="center"/>
          </w:tcPr>
          <w:p w14:paraId="5E763C8F" w14:textId="29645A37" w:rsidR="0027763C" w:rsidRPr="00E0548A" w:rsidRDefault="0027763C" w:rsidP="00D6130A">
            <w:pPr>
              <w:widowControl/>
              <w:adjustRightInd w:val="0"/>
              <w:snapToGrid w:val="0"/>
              <w:spacing w:line="240" w:lineRule="exact"/>
              <w:ind w:left="113" w:right="113"/>
              <w:jc w:val="center"/>
              <w:rPr>
                <w:rFonts w:ascii="ＭＳ ゴシック" w:eastAsia="ＭＳ ゴシック" w:hAnsi="ＭＳ ゴシック"/>
                <w:w w:val="50"/>
                <w:sz w:val="18"/>
                <w:szCs w:val="18"/>
              </w:rPr>
            </w:pPr>
            <w:r w:rsidRPr="00E0548A">
              <w:rPr>
                <w:rFonts w:ascii="ＭＳ ゴシック" w:eastAsia="ＭＳ ゴシック" w:hAnsi="ＭＳ ゴシック" w:hint="eastAsia"/>
                <w:kern w:val="0"/>
                <w:sz w:val="18"/>
                <w:szCs w:val="18"/>
              </w:rPr>
              <w:t>受援</w:t>
            </w:r>
            <w:r w:rsidR="00566AE8" w:rsidRPr="00E0548A">
              <w:rPr>
                <w:rFonts w:ascii="ＭＳ ゴシック" w:eastAsia="ＭＳ ゴシック" w:hAnsi="ＭＳ ゴシック" w:hint="eastAsia"/>
                <w:kern w:val="0"/>
                <w:sz w:val="18"/>
                <w:szCs w:val="18"/>
              </w:rPr>
              <w:t>・応援</w:t>
            </w:r>
            <w:r w:rsidRPr="00E0548A">
              <w:rPr>
                <w:rFonts w:ascii="ＭＳ ゴシック" w:eastAsia="ＭＳ ゴシック" w:hAnsi="ＭＳ ゴシック" w:hint="eastAsia"/>
                <w:kern w:val="0"/>
                <w:sz w:val="18"/>
                <w:szCs w:val="18"/>
              </w:rPr>
              <w:t>班</w:t>
            </w:r>
          </w:p>
        </w:tc>
        <w:tc>
          <w:tcPr>
            <w:tcW w:w="5223" w:type="dxa"/>
            <w:gridSpan w:val="2"/>
            <w:tcBorders>
              <w:top w:val="single" w:sz="4" w:space="0" w:color="auto"/>
              <w:left w:val="single" w:sz="4" w:space="0" w:color="auto"/>
              <w:right w:val="single" w:sz="4" w:space="0" w:color="auto"/>
            </w:tcBorders>
          </w:tcPr>
          <w:p w14:paraId="78FE1668" w14:textId="77777777" w:rsidR="0027763C" w:rsidRPr="00E0548A" w:rsidRDefault="0027763C" w:rsidP="00D6130A">
            <w:pPr>
              <w:adjustRightInd w:val="0"/>
              <w:snapToGrid w:val="0"/>
              <w:spacing w:line="240" w:lineRule="exact"/>
              <w:rPr>
                <w:rFonts w:ascii="ＭＳ ゴシック" w:eastAsia="ＭＳ ゴシック" w:hAnsi="ＭＳ ゴシック"/>
                <w:w w:val="50"/>
                <w:sz w:val="18"/>
                <w:szCs w:val="18"/>
              </w:rPr>
            </w:pPr>
            <w:r w:rsidRPr="00E0548A">
              <w:rPr>
                <w:rFonts w:ascii="ＭＳ ゴシック" w:eastAsia="ＭＳ ゴシック" w:hAnsi="ＭＳ ゴシック" w:hint="eastAsia"/>
                <w:kern w:val="0"/>
                <w:sz w:val="18"/>
                <w:szCs w:val="18"/>
              </w:rPr>
              <w:t>（必要に応じて設置）</w:t>
            </w:r>
          </w:p>
          <w:p w14:paraId="46AE9987" w14:textId="77777777" w:rsidR="0027763C" w:rsidRPr="00E0548A" w:rsidRDefault="0027763C" w:rsidP="00D6130A">
            <w:pPr>
              <w:adjustRightInd w:val="0"/>
              <w:snapToGrid w:val="0"/>
              <w:spacing w:line="240" w:lineRule="exact"/>
              <w:rPr>
                <w:rFonts w:ascii="ＭＳ ゴシック" w:eastAsia="ＭＳ ゴシック" w:hAnsi="ＭＳ ゴシック"/>
                <w:w w:val="50"/>
                <w:sz w:val="18"/>
                <w:szCs w:val="18"/>
              </w:rPr>
            </w:pPr>
            <w:r w:rsidRPr="00E0548A">
              <w:rPr>
                <w:rFonts w:ascii="ＭＳ ゴシック" w:eastAsia="ＭＳ ゴシック" w:hAnsi="ＭＳ ゴシック" w:hint="eastAsia"/>
                <w:w w:val="50"/>
                <w:sz w:val="18"/>
                <w:szCs w:val="18"/>
              </w:rPr>
              <w:t>【市町村応援に関する事】</w:t>
            </w:r>
          </w:p>
          <w:p w14:paraId="3344B2BA" w14:textId="77777777" w:rsidR="0027763C" w:rsidRPr="00E0548A" w:rsidRDefault="0027763C" w:rsidP="00D6130A">
            <w:pPr>
              <w:adjustRightInd w:val="0"/>
              <w:snapToGrid w:val="0"/>
              <w:spacing w:line="240" w:lineRule="exact"/>
              <w:rPr>
                <w:rFonts w:ascii="ＭＳ ゴシック" w:eastAsia="ＭＳ ゴシック" w:hAnsi="ＭＳ ゴシック"/>
                <w:w w:val="50"/>
                <w:sz w:val="18"/>
                <w:szCs w:val="18"/>
              </w:rPr>
            </w:pPr>
          </w:p>
          <w:p w14:paraId="6D894583" w14:textId="77777777" w:rsidR="0027763C" w:rsidRPr="00E0548A" w:rsidRDefault="0027763C" w:rsidP="00D6130A">
            <w:pPr>
              <w:adjustRightInd w:val="0"/>
              <w:snapToGrid w:val="0"/>
              <w:spacing w:line="240" w:lineRule="exact"/>
              <w:rPr>
                <w:rFonts w:ascii="ＭＳ ゴシック" w:eastAsia="ＭＳ ゴシック" w:hAnsi="ＭＳ ゴシック"/>
                <w:w w:val="50"/>
                <w:sz w:val="18"/>
                <w:szCs w:val="18"/>
              </w:rPr>
            </w:pPr>
            <w:r w:rsidRPr="00E0548A">
              <w:rPr>
                <w:rFonts w:ascii="ＭＳ ゴシック" w:eastAsia="ＭＳ ゴシック" w:hAnsi="ＭＳ ゴシック" w:hint="eastAsia"/>
                <w:w w:val="50"/>
                <w:sz w:val="18"/>
                <w:szCs w:val="18"/>
              </w:rPr>
              <w:t>〇被災市町村の人的支援ニーズ掌握、応援内容の調整</w:t>
            </w:r>
          </w:p>
          <w:p w14:paraId="463C986B" w14:textId="401A2DD7" w:rsidR="0027763C" w:rsidRPr="00E0548A" w:rsidRDefault="0027763C" w:rsidP="00BC1D88">
            <w:pPr>
              <w:adjustRightInd w:val="0"/>
              <w:snapToGrid w:val="0"/>
              <w:spacing w:line="240" w:lineRule="exact"/>
              <w:rPr>
                <w:rFonts w:ascii="ＭＳ ゴシック" w:eastAsia="ＭＳ ゴシック" w:hAnsi="ＭＳ ゴシック"/>
                <w:w w:val="50"/>
                <w:sz w:val="18"/>
                <w:szCs w:val="18"/>
              </w:rPr>
            </w:pPr>
            <w:r w:rsidRPr="00E0548A">
              <w:rPr>
                <w:rFonts w:ascii="ＭＳ ゴシック" w:eastAsia="ＭＳ ゴシック" w:hAnsi="ＭＳ ゴシック" w:hint="eastAsia"/>
                <w:w w:val="50"/>
                <w:sz w:val="18"/>
                <w:szCs w:val="18"/>
              </w:rPr>
              <w:t>〇</w:t>
            </w:r>
            <w:r w:rsidR="0021667F" w:rsidRPr="00E0548A">
              <w:rPr>
                <w:rFonts w:ascii="ＭＳ ゴシック" w:eastAsia="ＭＳ ゴシック" w:hAnsi="ＭＳ ゴシック" w:hint="eastAsia"/>
                <w:w w:val="50"/>
                <w:sz w:val="18"/>
                <w:szCs w:val="18"/>
              </w:rPr>
              <w:t>企画厚生課・人事課</w:t>
            </w:r>
            <w:r w:rsidRPr="00E0548A">
              <w:rPr>
                <w:rFonts w:ascii="ＭＳ ゴシック" w:eastAsia="ＭＳ ゴシック" w:hAnsi="ＭＳ ゴシック" w:hint="eastAsia"/>
                <w:w w:val="50"/>
                <w:sz w:val="18"/>
                <w:szCs w:val="18"/>
              </w:rPr>
              <w:t>との調整（総務・企画Gと連携）</w:t>
            </w:r>
          </w:p>
          <w:p w14:paraId="1DB01505" w14:textId="77777777" w:rsidR="0027763C" w:rsidRPr="00E0548A" w:rsidRDefault="0027763C" w:rsidP="00BC1D88">
            <w:pPr>
              <w:adjustRightInd w:val="0"/>
              <w:snapToGrid w:val="0"/>
              <w:spacing w:line="240" w:lineRule="exact"/>
              <w:rPr>
                <w:rFonts w:ascii="ＭＳ ゴシック" w:eastAsia="ＭＳ ゴシック" w:hAnsi="ＭＳ ゴシック"/>
                <w:w w:val="50"/>
                <w:sz w:val="18"/>
                <w:szCs w:val="18"/>
              </w:rPr>
            </w:pPr>
            <w:r w:rsidRPr="00E0548A">
              <w:rPr>
                <w:rFonts w:ascii="ＭＳ ゴシック" w:eastAsia="ＭＳ ゴシック" w:hAnsi="ＭＳ ゴシック" w:hint="eastAsia"/>
                <w:w w:val="50"/>
                <w:sz w:val="18"/>
                <w:szCs w:val="18"/>
              </w:rPr>
              <w:t>〇庁内各部局及び非被災市町村から応援職員を徴募（総務・企画Gと連携）</w:t>
            </w:r>
          </w:p>
          <w:p w14:paraId="0723139F" w14:textId="77777777" w:rsidR="0027763C" w:rsidRPr="00E0548A" w:rsidRDefault="0027763C" w:rsidP="00BC1D88">
            <w:pPr>
              <w:adjustRightInd w:val="0"/>
              <w:snapToGrid w:val="0"/>
              <w:spacing w:line="240" w:lineRule="exact"/>
              <w:rPr>
                <w:rFonts w:ascii="ＭＳ ゴシック" w:eastAsia="ＭＳ ゴシック" w:hAnsi="ＭＳ ゴシック"/>
                <w:w w:val="50"/>
                <w:sz w:val="18"/>
                <w:szCs w:val="18"/>
              </w:rPr>
            </w:pPr>
            <w:r w:rsidRPr="00E0548A">
              <w:rPr>
                <w:rFonts w:ascii="ＭＳ ゴシック" w:eastAsia="ＭＳ ゴシック" w:hAnsi="ＭＳ ゴシック" w:hint="eastAsia"/>
                <w:w w:val="50"/>
                <w:sz w:val="18"/>
                <w:szCs w:val="18"/>
              </w:rPr>
              <w:t>〇市長会、町村長会との調整</w:t>
            </w:r>
          </w:p>
          <w:p w14:paraId="67B47414" w14:textId="77777777" w:rsidR="0027763C" w:rsidRPr="00E0548A" w:rsidRDefault="0027763C" w:rsidP="00BC1D88">
            <w:pPr>
              <w:adjustRightInd w:val="0"/>
              <w:snapToGrid w:val="0"/>
              <w:spacing w:line="240" w:lineRule="exact"/>
              <w:rPr>
                <w:rFonts w:ascii="ＭＳ ゴシック" w:eastAsia="ＭＳ ゴシック" w:hAnsi="ＭＳ ゴシック"/>
                <w:w w:val="50"/>
                <w:sz w:val="18"/>
                <w:szCs w:val="18"/>
              </w:rPr>
            </w:pPr>
            <w:r w:rsidRPr="00E0548A">
              <w:rPr>
                <w:rFonts w:ascii="ＭＳ ゴシック" w:eastAsia="ＭＳ ゴシック" w:hAnsi="ＭＳ ゴシック" w:hint="eastAsia"/>
                <w:w w:val="50"/>
                <w:sz w:val="18"/>
                <w:szCs w:val="18"/>
              </w:rPr>
              <w:t>〇市町村の被害状況を踏まえ、府域で対応不可の場合、総務省及び関西広域連合ブロック幹事県（兵庫県）に職員派遣要請（両者併せて実施）（対策班と連携）</w:t>
            </w:r>
          </w:p>
          <w:p w14:paraId="10D621BF" w14:textId="77777777" w:rsidR="0027763C" w:rsidRPr="00E0548A" w:rsidRDefault="0027763C" w:rsidP="00BC1D88">
            <w:pPr>
              <w:adjustRightInd w:val="0"/>
              <w:snapToGrid w:val="0"/>
              <w:spacing w:line="240" w:lineRule="exact"/>
              <w:rPr>
                <w:rFonts w:ascii="ＭＳ ゴシック" w:eastAsia="ＭＳ ゴシック" w:hAnsi="ＭＳ ゴシック"/>
                <w:w w:val="50"/>
                <w:sz w:val="18"/>
                <w:szCs w:val="18"/>
              </w:rPr>
            </w:pPr>
          </w:p>
          <w:p w14:paraId="01D9673F" w14:textId="77777777" w:rsidR="0027763C" w:rsidRPr="00E0548A" w:rsidRDefault="0027763C" w:rsidP="00BC1D88">
            <w:pPr>
              <w:adjustRightInd w:val="0"/>
              <w:snapToGrid w:val="0"/>
              <w:spacing w:line="240" w:lineRule="exact"/>
              <w:rPr>
                <w:rFonts w:ascii="ＭＳ ゴシック" w:eastAsia="ＭＳ ゴシック" w:hAnsi="ＭＳ ゴシック"/>
                <w:w w:val="50"/>
                <w:sz w:val="18"/>
                <w:szCs w:val="18"/>
              </w:rPr>
            </w:pPr>
            <w:r w:rsidRPr="00E0548A">
              <w:rPr>
                <w:rFonts w:ascii="ＭＳ ゴシック" w:eastAsia="ＭＳ ゴシック" w:hAnsi="ＭＳ ゴシック" w:hint="eastAsia"/>
                <w:w w:val="50"/>
                <w:sz w:val="18"/>
                <w:szCs w:val="18"/>
              </w:rPr>
              <w:t>【他府県等からの受援に関する事】</w:t>
            </w:r>
          </w:p>
          <w:p w14:paraId="0C5A7A9C" w14:textId="77777777" w:rsidR="0027763C" w:rsidRPr="00E0548A" w:rsidRDefault="0027763C" w:rsidP="00BC1D88">
            <w:pPr>
              <w:adjustRightInd w:val="0"/>
              <w:snapToGrid w:val="0"/>
              <w:spacing w:line="240" w:lineRule="exact"/>
              <w:rPr>
                <w:rFonts w:ascii="ＭＳ ゴシック" w:eastAsia="ＭＳ ゴシック" w:hAnsi="ＭＳ ゴシック"/>
                <w:w w:val="50"/>
                <w:sz w:val="18"/>
                <w:szCs w:val="18"/>
              </w:rPr>
            </w:pPr>
            <w:r w:rsidRPr="00E0548A">
              <w:rPr>
                <w:rFonts w:ascii="ＭＳ ゴシック" w:eastAsia="ＭＳ ゴシック" w:hAnsi="ＭＳ ゴシック" w:hint="eastAsia"/>
                <w:w w:val="50"/>
                <w:sz w:val="18"/>
                <w:szCs w:val="18"/>
              </w:rPr>
              <w:t>〇国関係機関の受入（自衛隊、各地方指定行政機関リエゾン）</w:t>
            </w:r>
          </w:p>
          <w:p w14:paraId="061E7849" w14:textId="77777777" w:rsidR="0027763C" w:rsidRPr="00E0548A" w:rsidRDefault="0027763C" w:rsidP="00BC1D88">
            <w:pPr>
              <w:adjustRightInd w:val="0"/>
              <w:snapToGrid w:val="0"/>
              <w:spacing w:line="240" w:lineRule="exact"/>
              <w:rPr>
                <w:rFonts w:ascii="ＭＳ ゴシック" w:eastAsia="ＭＳ ゴシック" w:hAnsi="ＭＳ ゴシック"/>
                <w:w w:val="50"/>
                <w:sz w:val="18"/>
                <w:szCs w:val="18"/>
              </w:rPr>
            </w:pPr>
            <w:r w:rsidRPr="00E0548A">
              <w:rPr>
                <w:rFonts w:ascii="ＭＳ ゴシック" w:eastAsia="ＭＳ ゴシック" w:hAnsi="ＭＳ ゴシック" w:hint="eastAsia"/>
                <w:w w:val="50"/>
                <w:sz w:val="18"/>
                <w:szCs w:val="18"/>
              </w:rPr>
              <w:t>〇国関係機関の受入（内閣府、総務省、TECFORCE、各地方指定行政機関リエゾン）</w:t>
            </w:r>
          </w:p>
          <w:p w14:paraId="59F9492C" w14:textId="77777777" w:rsidR="0027763C" w:rsidRPr="00E0548A" w:rsidRDefault="0027763C" w:rsidP="00BC1D88">
            <w:pPr>
              <w:adjustRightInd w:val="0"/>
              <w:snapToGrid w:val="0"/>
              <w:spacing w:line="240" w:lineRule="exact"/>
              <w:rPr>
                <w:rFonts w:ascii="ＭＳ ゴシック" w:eastAsia="ＭＳ ゴシック" w:hAnsi="ＭＳ ゴシック"/>
                <w:w w:val="50"/>
                <w:sz w:val="18"/>
                <w:szCs w:val="18"/>
              </w:rPr>
            </w:pPr>
            <w:r w:rsidRPr="00E0548A">
              <w:rPr>
                <w:rFonts w:ascii="ＭＳ ゴシック" w:eastAsia="ＭＳ ゴシック" w:hAnsi="ＭＳ ゴシック" w:hint="eastAsia"/>
                <w:w w:val="50"/>
                <w:sz w:val="18"/>
                <w:szCs w:val="18"/>
              </w:rPr>
              <w:t>〇国関係省庁情報連絡会議の準備及び記録（マスコミ非公開）</w:t>
            </w:r>
          </w:p>
          <w:p w14:paraId="4B790490" w14:textId="77777777" w:rsidR="0027763C" w:rsidRPr="00E0548A" w:rsidRDefault="0027763C" w:rsidP="00BC1D88">
            <w:pPr>
              <w:adjustRightInd w:val="0"/>
              <w:snapToGrid w:val="0"/>
              <w:spacing w:line="240" w:lineRule="exact"/>
              <w:rPr>
                <w:rFonts w:ascii="ＭＳ ゴシック" w:eastAsia="ＭＳ ゴシック" w:hAnsi="ＭＳ ゴシック"/>
                <w:w w:val="50"/>
                <w:sz w:val="18"/>
                <w:szCs w:val="18"/>
              </w:rPr>
            </w:pPr>
            <w:r w:rsidRPr="00E0548A">
              <w:rPr>
                <w:rFonts w:ascii="ＭＳ ゴシック" w:eastAsia="ＭＳ ゴシック" w:hAnsi="ＭＳ ゴシック" w:hint="eastAsia"/>
                <w:w w:val="50"/>
                <w:sz w:val="18"/>
                <w:szCs w:val="18"/>
              </w:rPr>
              <w:t>〇府社協、おおさか災害支援ネットワーク、JVOADとの連携準備（新別館北館４F職員会議室７・8）（対策班と連携）</w:t>
            </w:r>
          </w:p>
        </w:tc>
        <w:tc>
          <w:tcPr>
            <w:tcW w:w="1014" w:type="dxa"/>
            <w:tcBorders>
              <w:top w:val="single" w:sz="4" w:space="0" w:color="auto"/>
              <w:left w:val="single" w:sz="4" w:space="0" w:color="auto"/>
              <w:right w:val="single" w:sz="4" w:space="0" w:color="auto"/>
              <w:tl2br w:val="single" w:sz="4" w:space="0" w:color="auto"/>
            </w:tcBorders>
            <w:vAlign w:val="center"/>
          </w:tcPr>
          <w:p w14:paraId="7CB0EA9D" w14:textId="77777777" w:rsidR="001361FC" w:rsidRPr="00E0548A" w:rsidRDefault="001361FC" w:rsidP="00CD0F4E">
            <w:pPr>
              <w:adjustRightInd w:val="0"/>
              <w:snapToGrid w:val="0"/>
              <w:spacing w:line="240" w:lineRule="exact"/>
              <w:rPr>
                <w:rFonts w:ascii="ＭＳ ゴシック" w:eastAsia="ＭＳ ゴシック" w:hAnsi="ＭＳ ゴシック"/>
                <w:w w:val="50"/>
                <w:sz w:val="18"/>
                <w:szCs w:val="18"/>
              </w:rPr>
            </w:pPr>
          </w:p>
        </w:tc>
        <w:tc>
          <w:tcPr>
            <w:tcW w:w="992" w:type="dxa"/>
            <w:tcBorders>
              <w:top w:val="single" w:sz="4" w:space="0" w:color="auto"/>
              <w:left w:val="single" w:sz="4" w:space="0" w:color="auto"/>
              <w:right w:val="single" w:sz="4" w:space="0" w:color="auto"/>
            </w:tcBorders>
            <w:vAlign w:val="center"/>
          </w:tcPr>
          <w:p w14:paraId="2A25953A" w14:textId="31F2BED2" w:rsidR="0027763C" w:rsidRPr="00E0548A" w:rsidRDefault="0027763C" w:rsidP="00D6130A">
            <w:pPr>
              <w:adjustRightInd w:val="0"/>
              <w:snapToGrid w:val="0"/>
              <w:spacing w:line="240" w:lineRule="exact"/>
              <w:jc w:val="center"/>
              <w:rPr>
                <w:rFonts w:ascii="ＭＳ ゴシック" w:eastAsia="ＭＳ ゴシック" w:hAnsi="ＭＳ ゴシック"/>
                <w:w w:val="50"/>
                <w:sz w:val="18"/>
                <w:szCs w:val="18"/>
              </w:rPr>
            </w:pPr>
            <w:r w:rsidRPr="00E0548A">
              <w:rPr>
                <w:rFonts w:ascii="ＭＳ ゴシック" w:eastAsia="ＭＳ ゴシック" w:hAnsi="ＭＳ ゴシック" w:hint="eastAsia"/>
                <w:w w:val="50"/>
                <w:sz w:val="18"/>
                <w:szCs w:val="18"/>
              </w:rPr>
              <w:t>危機管理室（</w:t>
            </w:r>
            <w:r w:rsidR="00523F74">
              <w:rPr>
                <w:rFonts w:ascii="ＭＳ ゴシック" w:eastAsia="ＭＳ ゴシック" w:hAnsi="ＭＳ ゴシック" w:hint="eastAsia"/>
                <w:w w:val="50"/>
                <w:sz w:val="18"/>
                <w:szCs w:val="18"/>
              </w:rPr>
              <w:t>８</w:t>
            </w:r>
            <w:r w:rsidRPr="00E0548A">
              <w:rPr>
                <w:rFonts w:ascii="ＭＳ ゴシック" w:eastAsia="ＭＳ ゴシック" w:hAnsi="ＭＳ ゴシック" w:hint="eastAsia"/>
                <w:w w:val="50"/>
                <w:sz w:val="18"/>
                <w:szCs w:val="18"/>
              </w:rPr>
              <w:t>名）</w:t>
            </w:r>
          </w:p>
          <w:p w14:paraId="7EDAA636" w14:textId="77777777" w:rsidR="0027763C" w:rsidRPr="00E0548A" w:rsidRDefault="0027763C" w:rsidP="00D6130A">
            <w:pPr>
              <w:adjustRightInd w:val="0"/>
              <w:snapToGrid w:val="0"/>
              <w:spacing w:line="240" w:lineRule="exact"/>
              <w:jc w:val="center"/>
              <w:rPr>
                <w:rFonts w:ascii="ＭＳ ゴシック" w:eastAsia="ＭＳ ゴシック" w:hAnsi="ＭＳ ゴシック"/>
                <w:w w:val="50"/>
                <w:sz w:val="18"/>
                <w:szCs w:val="18"/>
              </w:rPr>
            </w:pPr>
            <w:r w:rsidRPr="00E0548A">
              <w:rPr>
                <w:rFonts w:ascii="ＭＳ ゴシック" w:eastAsia="ＭＳ ゴシック" w:hAnsi="ＭＳ ゴシック" w:hint="eastAsia"/>
                <w:w w:val="50"/>
                <w:sz w:val="18"/>
                <w:szCs w:val="18"/>
              </w:rPr>
              <w:t>（情報班・対策班から移動）</w:t>
            </w:r>
          </w:p>
        </w:tc>
        <w:tc>
          <w:tcPr>
            <w:tcW w:w="996" w:type="dxa"/>
            <w:tcBorders>
              <w:top w:val="single" w:sz="4" w:space="0" w:color="auto"/>
              <w:left w:val="single" w:sz="4" w:space="0" w:color="auto"/>
              <w:right w:val="single" w:sz="4" w:space="0" w:color="auto"/>
            </w:tcBorders>
            <w:vAlign w:val="center"/>
          </w:tcPr>
          <w:p w14:paraId="25276526" w14:textId="488F4E9D" w:rsidR="0027763C" w:rsidRPr="00E0548A" w:rsidRDefault="0027763C" w:rsidP="00D6130A">
            <w:pPr>
              <w:adjustRightInd w:val="0"/>
              <w:snapToGrid w:val="0"/>
              <w:spacing w:line="240" w:lineRule="exact"/>
              <w:jc w:val="center"/>
              <w:rPr>
                <w:rFonts w:ascii="ＭＳ ゴシック" w:eastAsia="ＭＳ ゴシック" w:hAnsi="ＭＳ ゴシック"/>
                <w:w w:val="50"/>
                <w:sz w:val="18"/>
                <w:szCs w:val="18"/>
              </w:rPr>
            </w:pPr>
            <w:r w:rsidRPr="00E0548A">
              <w:rPr>
                <w:rFonts w:ascii="ＭＳ ゴシック" w:eastAsia="ＭＳ ゴシック" w:hAnsi="ＭＳ ゴシック" w:hint="eastAsia"/>
                <w:w w:val="50"/>
                <w:sz w:val="18"/>
                <w:szCs w:val="18"/>
              </w:rPr>
              <w:t>危機管理室（</w:t>
            </w:r>
            <w:r w:rsidR="00523F74">
              <w:rPr>
                <w:rFonts w:ascii="ＭＳ ゴシック" w:eastAsia="ＭＳ ゴシック" w:hAnsi="ＭＳ ゴシック" w:hint="eastAsia"/>
                <w:w w:val="50"/>
                <w:sz w:val="18"/>
                <w:szCs w:val="18"/>
              </w:rPr>
              <w:t>８</w:t>
            </w:r>
            <w:r w:rsidRPr="00E0548A">
              <w:rPr>
                <w:rFonts w:ascii="ＭＳ ゴシック" w:eastAsia="ＭＳ ゴシック" w:hAnsi="ＭＳ ゴシック" w:hint="eastAsia"/>
                <w:w w:val="50"/>
                <w:sz w:val="18"/>
                <w:szCs w:val="18"/>
              </w:rPr>
              <w:t>名）</w:t>
            </w:r>
          </w:p>
          <w:p w14:paraId="73601C46" w14:textId="77777777" w:rsidR="0027763C" w:rsidRPr="00E0548A" w:rsidRDefault="0027763C" w:rsidP="00C65E07">
            <w:pPr>
              <w:adjustRightInd w:val="0"/>
              <w:snapToGrid w:val="0"/>
              <w:spacing w:line="240" w:lineRule="exact"/>
              <w:jc w:val="center"/>
              <w:rPr>
                <w:rFonts w:ascii="ＭＳ ゴシック" w:eastAsia="ＭＳ ゴシック" w:hAnsi="ＭＳ ゴシック"/>
                <w:w w:val="50"/>
                <w:sz w:val="18"/>
                <w:szCs w:val="18"/>
              </w:rPr>
            </w:pPr>
            <w:r w:rsidRPr="00E0548A">
              <w:rPr>
                <w:rFonts w:ascii="ＭＳ ゴシック" w:eastAsia="ＭＳ ゴシック" w:hAnsi="ＭＳ ゴシック" w:hint="eastAsia"/>
                <w:w w:val="50"/>
                <w:sz w:val="18"/>
                <w:szCs w:val="18"/>
              </w:rPr>
              <w:t>（情報班・対策班から移動）</w:t>
            </w:r>
          </w:p>
        </w:tc>
      </w:tr>
      <w:tr w:rsidR="00676496" w:rsidRPr="00E0548A" w14:paraId="15CEECF4" w14:textId="77777777" w:rsidTr="00E0548A">
        <w:trPr>
          <w:cantSplit/>
          <w:trHeight w:val="720"/>
        </w:trPr>
        <w:tc>
          <w:tcPr>
            <w:tcW w:w="696" w:type="dxa"/>
            <w:vMerge w:val="restart"/>
            <w:tcBorders>
              <w:top w:val="single" w:sz="4" w:space="0" w:color="auto"/>
              <w:left w:val="single" w:sz="4" w:space="0" w:color="auto"/>
              <w:right w:val="single" w:sz="4" w:space="0" w:color="auto"/>
            </w:tcBorders>
            <w:textDirection w:val="tbRlV"/>
            <w:vAlign w:val="center"/>
          </w:tcPr>
          <w:p w14:paraId="5A724ACF" w14:textId="77777777" w:rsidR="00676496" w:rsidRPr="00E0548A" w:rsidRDefault="00676496" w:rsidP="00676496">
            <w:pPr>
              <w:widowControl/>
              <w:adjustRightInd w:val="0"/>
              <w:snapToGrid w:val="0"/>
              <w:spacing w:line="240" w:lineRule="exact"/>
              <w:ind w:left="113" w:right="113"/>
              <w:jc w:val="center"/>
              <w:rPr>
                <w:rFonts w:ascii="ＭＳ ゴシック" w:eastAsia="ＭＳ ゴシック" w:hAnsi="ＭＳ ゴシック"/>
                <w:kern w:val="0"/>
                <w:sz w:val="18"/>
                <w:szCs w:val="18"/>
              </w:rPr>
            </w:pPr>
            <w:r w:rsidRPr="00E0548A">
              <w:rPr>
                <w:rFonts w:ascii="ＭＳ ゴシック" w:eastAsia="ＭＳ ゴシック" w:hAnsi="ＭＳ ゴシック" w:hint="eastAsia"/>
                <w:kern w:val="0"/>
                <w:sz w:val="18"/>
                <w:szCs w:val="18"/>
              </w:rPr>
              <w:lastRenderedPageBreak/>
              <w:t>原子力ＯＦＣ派遣</w:t>
            </w:r>
          </w:p>
        </w:tc>
        <w:tc>
          <w:tcPr>
            <w:tcW w:w="4112" w:type="dxa"/>
            <w:tcBorders>
              <w:top w:val="single" w:sz="4" w:space="0" w:color="auto"/>
              <w:left w:val="single" w:sz="4" w:space="0" w:color="auto"/>
              <w:bottom w:val="single" w:sz="4" w:space="0" w:color="auto"/>
              <w:right w:val="single" w:sz="4" w:space="0" w:color="auto"/>
            </w:tcBorders>
            <w:vAlign w:val="center"/>
          </w:tcPr>
          <w:p w14:paraId="6AC04F8F" w14:textId="5008D6D5" w:rsidR="00676496" w:rsidRPr="00E0548A" w:rsidRDefault="00676496">
            <w:pPr>
              <w:adjustRightInd w:val="0"/>
              <w:snapToGrid w:val="0"/>
              <w:spacing w:line="240" w:lineRule="exact"/>
              <w:rPr>
                <w:rFonts w:ascii="ＭＳ ゴシック" w:eastAsia="ＭＳ ゴシック" w:hAnsi="ＭＳ ゴシック"/>
                <w:w w:val="50"/>
                <w:sz w:val="18"/>
                <w:szCs w:val="18"/>
              </w:rPr>
            </w:pPr>
            <w:r w:rsidRPr="00E0548A">
              <w:rPr>
                <w:rFonts w:ascii="ＭＳ ゴシック" w:eastAsia="ＭＳ ゴシック" w:hAnsi="ＭＳ ゴシック" w:hint="eastAsia"/>
                <w:w w:val="50"/>
                <w:sz w:val="20"/>
                <w:szCs w:val="20"/>
              </w:rPr>
              <w:t>※原子力規制委員会等より警戒事態事象発生の連絡があった場合</w:t>
            </w:r>
          </w:p>
        </w:tc>
        <w:tc>
          <w:tcPr>
            <w:tcW w:w="4113" w:type="dxa"/>
            <w:gridSpan w:val="4"/>
            <w:tcBorders>
              <w:top w:val="single" w:sz="4" w:space="0" w:color="auto"/>
              <w:left w:val="single" w:sz="4" w:space="0" w:color="auto"/>
              <w:bottom w:val="single" w:sz="4" w:space="0" w:color="auto"/>
              <w:right w:val="single" w:sz="4" w:space="0" w:color="auto"/>
            </w:tcBorders>
            <w:vAlign w:val="center"/>
          </w:tcPr>
          <w:p w14:paraId="1DCB281F" w14:textId="34298768" w:rsidR="00676496" w:rsidRPr="00E0548A" w:rsidRDefault="00676496" w:rsidP="00E0548A">
            <w:pPr>
              <w:adjustRightInd w:val="0"/>
              <w:snapToGrid w:val="0"/>
              <w:spacing w:line="240" w:lineRule="exact"/>
              <w:rPr>
                <w:rFonts w:ascii="ＭＳ ゴシック" w:eastAsia="ＭＳ ゴシック" w:hAnsi="ＭＳ ゴシック"/>
                <w:w w:val="50"/>
                <w:sz w:val="18"/>
                <w:szCs w:val="18"/>
              </w:rPr>
            </w:pPr>
            <w:r w:rsidRPr="00E0548A">
              <w:rPr>
                <w:rFonts w:ascii="ＭＳ ゴシック" w:eastAsia="ＭＳ ゴシック" w:hAnsi="ＭＳ ゴシック" w:hint="eastAsia"/>
                <w:w w:val="50"/>
                <w:sz w:val="20"/>
                <w:szCs w:val="20"/>
              </w:rPr>
              <w:t>危機管理室（２名）</w:t>
            </w:r>
          </w:p>
        </w:tc>
      </w:tr>
      <w:tr w:rsidR="00676496" w:rsidRPr="00E0548A" w14:paraId="487C9C74" w14:textId="77777777" w:rsidTr="00E0548A">
        <w:trPr>
          <w:cantSplit/>
          <w:trHeight w:val="720"/>
        </w:trPr>
        <w:tc>
          <w:tcPr>
            <w:tcW w:w="696" w:type="dxa"/>
            <w:vMerge/>
            <w:tcBorders>
              <w:left w:val="single" w:sz="4" w:space="0" w:color="auto"/>
              <w:bottom w:val="single" w:sz="4" w:space="0" w:color="auto"/>
              <w:right w:val="single" w:sz="4" w:space="0" w:color="auto"/>
            </w:tcBorders>
            <w:textDirection w:val="tbRlV"/>
            <w:vAlign w:val="center"/>
          </w:tcPr>
          <w:p w14:paraId="43A812D6" w14:textId="77777777" w:rsidR="00676496" w:rsidRPr="00E0548A" w:rsidRDefault="00676496" w:rsidP="00676496">
            <w:pPr>
              <w:widowControl/>
              <w:adjustRightInd w:val="0"/>
              <w:snapToGrid w:val="0"/>
              <w:spacing w:line="240" w:lineRule="exact"/>
              <w:ind w:left="113" w:right="113"/>
              <w:jc w:val="center"/>
              <w:rPr>
                <w:rFonts w:ascii="ＭＳ ゴシック" w:eastAsia="ＭＳ ゴシック" w:hAnsi="ＭＳ ゴシック"/>
                <w:kern w:val="0"/>
                <w:sz w:val="18"/>
                <w:szCs w:val="18"/>
              </w:rPr>
            </w:pPr>
          </w:p>
        </w:tc>
        <w:tc>
          <w:tcPr>
            <w:tcW w:w="4112" w:type="dxa"/>
            <w:tcBorders>
              <w:top w:val="single" w:sz="4" w:space="0" w:color="auto"/>
              <w:left w:val="single" w:sz="4" w:space="0" w:color="auto"/>
              <w:bottom w:val="single" w:sz="4" w:space="0" w:color="auto"/>
              <w:right w:val="single" w:sz="4" w:space="0" w:color="auto"/>
            </w:tcBorders>
            <w:vAlign w:val="center"/>
          </w:tcPr>
          <w:p w14:paraId="4FB74ADF" w14:textId="77777777" w:rsidR="00676496" w:rsidRPr="00E0548A" w:rsidRDefault="00676496" w:rsidP="00133D5B">
            <w:pPr>
              <w:adjustRightInd w:val="0"/>
              <w:snapToGrid w:val="0"/>
              <w:spacing w:line="240" w:lineRule="exact"/>
              <w:rPr>
                <w:rFonts w:ascii="ＭＳ ゴシック" w:eastAsia="ＭＳ ゴシック" w:hAnsi="ＭＳ ゴシック"/>
                <w:w w:val="50"/>
                <w:sz w:val="20"/>
                <w:szCs w:val="20"/>
              </w:rPr>
            </w:pPr>
            <w:r w:rsidRPr="00E0548A">
              <w:rPr>
                <w:rFonts w:ascii="ＭＳ ゴシック" w:eastAsia="ＭＳ ゴシック" w:hAnsi="ＭＳ ゴシック" w:hint="eastAsia"/>
                <w:w w:val="50"/>
                <w:sz w:val="20"/>
                <w:szCs w:val="20"/>
              </w:rPr>
              <w:t>※原子力事業者より施設敷地緊急事態の通報があった場合</w:t>
            </w:r>
          </w:p>
          <w:p w14:paraId="45C0249A" w14:textId="77777777" w:rsidR="00676496" w:rsidRPr="00E0548A" w:rsidRDefault="00676496" w:rsidP="00CB0BF4">
            <w:pPr>
              <w:adjustRightInd w:val="0"/>
              <w:snapToGrid w:val="0"/>
              <w:spacing w:line="240" w:lineRule="exact"/>
              <w:rPr>
                <w:rFonts w:ascii="ＭＳ ゴシック" w:eastAsia="ＭＳ ゴシック" w:hAnsi="ＭＳ ゴシック"/>
                <w:w w:val="50"/>
                <w:sz w:val="20"/>
                <w:szCs w:val="20"/>
              </w:rPr>
            </w:pPr>
            <w:r w:rsidRPr="00E0548A">
              <w:rPr>
                <w:rFonts w:ascii="ＭＳ ゴシック" w:eastAsia="ＭＳ ゴシック" w:hAnsi="ＭＳ ゴシック" w:hint="eastAsia"/>
                <w:w w:val="50"/>
                <w:sz w:val="20"/>
                <w:szCs w:val="20"/>
              </w:rPr>
              <w:t>※原子力緊急事態宣言が発出された場合　等</w:t>
            </w:r>
          </w:p>
          <w:p w14:paraId="51F38014" w14:textId="77490EBE" w:rsidR="00676496" w:rsidRPr="00E0548A" w:rsidRDefault="00676496">
            <w:pPr>
              <w:adjustRightInd w:val="0"/>
              <w:snapToGrid w:val="0"/>
              <w:spacing w:line="240" w:lineRule="exact"/>
              <w:rPr>
                <w:rFonts w:ascii="ＭＳ ゴシック" w:eastAsia="ＭＳ ゴシック" w:hAnsi="ＭＳ ゴシック"/>
                <w:w w:val="50"/>
                <w:sz w:val="18"/>
                <w:szCs w:val="18"/>
              </w:rPr>
            </w:pPr>
            <w:r w:rsidRPr="00E0548A">
              <w:rPr>
                <w:rFonts w:ascii="ＭＳ ゴシック" w:eastAsia="ＭＳ ゴシック" w:hAnsi="ＭＳ ゴシック" w:hint="eastAsia"/>
                <w:w w:val="50"/>
                <w:sz w:val="20"/>
                <w:szCs w:val="20"/>
              </w:rPr>
              <w:t>（状況に応じ派遣人数を調整）</w:t>
            </w:r>
          </w:p>
        </w:tc>
        <w:tc>
          <w:tcPr>
            <w:tcW w:w="4113" w:type="dxa"/>
            <w:gridSpan w:val="4"/>
            <w:tcBorders>
              <w:top w:val="single" w:sz="4" w:space="0" w:color="auto"/>
              <w:left w:val="single" w:sz="4" w:space="0" w:color="auto"/>
              <w:bottom w:val="single" w:sz="4" w:space="0" w:color="auto"/>
              <w:right w:val="single" w:sz="4" w:space="0" w:color="auto"/>
            </w:tcBorders>
            <w:vAlign w:val="center"/>
          </w:tcPr>
          <w:p w14:paraId="21E77B94" w14:textId="2A3FE1CF" w:rsidR="00676496" w:rsidRPr="00E0548A" w:rsidRDefault="00676496">
            <w:pPr>
              <w:adjustRightInd w:val="0"/>
              <w:snapToGrid w:val="0"/>
              <w:spacing w:line="240" w:lineRule="exact"/>
              <w:rPr>
                <w:rFonts w:ascii="ＭＳ ゴシック" w:eastAsia="ＭＳ ゴシック" w:hAnsi="ＭＳ ゴシック"/>
                <w:w w:val="50"/>
                <w:sz w:val="18"/>
                <w:szCs w:val="18"/>
              </w:rPr>
            </w:pPr>
            <w:r w:rsidRPr="00E0548A">
              <w:rPr>
                <w:rFonts w:ascii="ＭＳ ゴシック" w:eastAsia="ＭＳ ゴシック" w:hAnsi="ＭＳ ゴシック" w:hint="eastAsia"/>
                <w:w w:val="50"/>
                <w:sz w:val="20"/>
                <w:szCs w:val="20"/>
              </w:rPr>
              <w:t>危機管理室（</w:t>
            </w:r>
            <w:r w:rsidRPr="00E0548A">
              <w:rPr>
                <w:rFonts w:ascii="ＭＳ ゴシック" w:eastAsia="ＭＳ ゴシック" w:hAnsi="ＭＳ ゴシック"/>
                <w:w w:val="50"/>
                <w:sz w:val="20"/>
                <w:szCs w:val="20"/>
              </w:rPr>
              <w:t>9名）</w:t>
            </w:r>
          </w:p>
        </w:tc>
      </w:tr>
      <w:tr w:rsidR="001D6D10" w:rsidRPr="00E0548A" w14:paraId="45810C62" w14:textId="77777777" w:rsidTr="006E52DA">
        <w:trPr>
          <w:cantSplit/>
          <w:trHeight w:val="1266"/>
        </w:trPr>
        <w:tc>
          <w:tcPr>
            <w:tcW w:w="696" w:type="dxa"/>
            <w:tcBorders>
              <w:top w:val="single" w:sz="4" w:space="0" w:color="auto"/>
              <w:left w:val="single" w:sz="4" w:space="0" w:color="auto"/>
              <w:bottom w:val="single" w:sz="4" w:space="0" w:color="auto"/>
              <w:right w:val="single" w:sz="4" w:space="0" w:color="auto"/>
            </w:tcBorders>
            <w:textDirection w:val="tbRlV"/>
            <w:vAlign w:val="center"/>
          </w:tcPr>
          <w:p w14:paraId="3E650F41" w14:textId="77777777" w:rsidR="00535F76" w:rsidRPr="00E0548A" w:rsidRDefault="00535F76" w:rsidP="00535F76">
            <w:pPr>
              <w:adjustRightInd w:val="0"/>
              <w:snapToGrid w:val="0"/>
              <w:spacing w:line="240" w:lineRule="exact"/>
              <w:ind w:left="113" w:right="113"/>
              <w:jc w:val="center"/>
              <w:rPr>
                <w:rFonts w:ascii="ＭＳ ゴシック" w:eastAsia="ＭＳ ゴシック" w:hAnsi="ＭＳ ゴシック"/>
                <w:sz w:val="20"/>
                <w:szCs w:val="18"/>
              </w:rPr>
            </w:pPr>
            <w:r w:rsidRPr="00E0548A">
              <w:rPr>
                <w:rFonts w:ascii="ＭＳ ゴシック" w:eastAsia="ＭＳ ゴシック" w:hAnsi="ＭＳ ゴシック" w:hint="eastAsia"/>
                <w:sz w:val="18"/>
                <w:szCs w:val="18"/>
              </w:rPr>
              <w:t>石コン班</w:t>
            </w:r>
          </w:p>
        </w:tc>
        <w:tc>
          <w:tcPr>
            <w:tcW w:w="5223" w:type="dxa"/>
            <w:gridSpan w:val="2"/>
            <w:tcBorders>
              <w:top w:val="single" w:sz="4" w:space="0" w:color="auto"/>
              <w:left w:val="single" w:sz="4" w:space="0" w:color="auto"/>
              <w:bottom w:val="single" w:sz="4" w:space="0" w:color="auto"/>
              <w:right w:val="single" w:sz="4" w:space="0" w:color="auto"/>
            </w:tcBorders>
            <w:vAlign w:val="center"/>
          </w:tcPr>
          <w:p w14:paraId="4606F672" w14:textId="77777777" w:rsidR="00535F76" w:rsidRPr="00E0548A" w:rsidRDefault="00535F76" w:rsidP="00535F76">
            <w:pPr>
              <w:adjustRightInd w:val="0"/>
              <w:snapToGrid w:val="0"/>
              <w:spacing w:line="240" w:lineRule="exact"/>
              <w:jc w:val="left"/>
              <w:rPr>
                <w:rFonts w:ascii="ＭＳ ゴシック" w:eastAsia="ＭＳ ゴシック" w:hAnsi="ＭＳ ゴシック"/>
                <w:w w:val="50"/>
                <w:sz w:val="18"/>
                <w:szCs w:val="18"/>
              </w:rPr>
            </w:pPr>
          </w:p>
          <w:p w14:paraId="14295858" w14:textId="77777777" w:rsidR="00535F76" w:rsidRPr="00E0548A" w:rsidRDefault="00535F76" w:rsidP="00535F76">
            <w:pPr>
              <w:adjustRightInd w:val="0"/>
              <w:snapToGrid w:val="0"/>
              <w:spacing w:line="240" w:lineRule="exact"/>
              <w:jc w:val="left"/>
              <w:rPr>
                <w:rFonts w:ascii="ＭＳ ゴシック" w:eastAsia="ＭＳ ゴシック" w:hAnsi="ＭＳ ゴシック"/>
                <w:w w:val="50"/>
                <w:sz w:val="18"/>
                <w:szCs w:val="18"/>
              </w:rPr>
            </w:pPr>
            <w:r w:rsidRPr="00E0548A">
              <w:rPr>
                <w:rFonts w:ascii="ＭＳ ゴシック" w:eastAsia="ＭＳ ゴシック" w:hAnsi="ＭＳ ゴシック" w:hint="eastAsia"/>
                <w:w w:val="50"/>
                <w:sz w:val="18"/>
                <w:szCs w:val="18"/>
              </w:rPr>
              <w:t>〇石コンに係る情報収集後の分析</w:t>
            </w:r>
          </w:p>
          <w:p w14:paraId="112EF526" w14:textId="77777777" w:rsidR="00535F76" w:rsidRPr="00E0548A" w:rsidRDefault="00535F76" w:rsidP="00535F76">
            <w:pPr>
              <w:adjustRightInd w:val="0"/>
              <w:snapToGrid w:val="0"/>
              <w:spacing w:line="240" w:lineRule="exact"/>
              <w:jc w:val="left"/>
              <w:rPr>
                <w:rFonts w:ascii="ＭＳ ゴシック" w:eastAsia="ＭＳ ゴシック" w:hAnsi="ＭＳ ゴシック"/>
                <w:w w:val="50"/>
                <w:sz w:val="18"/>
                <w:szCs w:val="18"/>
              </w:rPr>
            </w:pPr>
            <w:r w:rsidRPr="00E0548A">
              <w:rPr>
                <w:rFonts w:ascii="ＭＳ ゴシック" w:eastAsia="ＭＳ ゴシック" w:hAnsi="ＭＳ ゴシック" w:hint="eastAsia"/>
                <w:w w:val="50"/>
                <w:sz w:val="18"/>
                <w:szCs w:val="18"/>
              </w:rPr>
              <w:t>〇石コンに係る対策・措置の詳細又は専門的事項に関する連絡調整</w:t>
            </w:r>
          </w:p>
        </w:tc>
        <w:tc>
          <w:tcPr>
            <w:tcW w:w="1014" w:type="dxa"/>
            <w:tcBorders>
              <w:top w:val="single" w:sz="4" w:space="0" w:color="auto"/>
              <w:left w:val="single" w:sz="4" w:space="0" w:color="auto"/>
              <w:bottom w:val="single" w:sz="4" w:space="0" w:color="auto"/>
              <w:right w:val="single" w:sz="4" w:space="0" w:color="auto"/>
              <w:tl2br w:val="nil"/>
            </w:tcBorders>
            <w:vAlign w:val="center"/>
          </w:tcPr>
          <w:p w14:paraId="517F69BA" w14:textId="3CC7AC16" w:rsidR="00535F76" w:rsidRPr="00E0548A" w:rsidRDefault="00535F76" w:rsidP="00535F76">
            <w:pPr>
              <w:adjustRightInd w:val="0"/>
              <w:snapToGrid w:val="0"/>
              <w:spacing w:line="240" w:lineRule="exact"/>
              <w:jc w:val="left"/>
              <w:rPr>
                <w:rFonts w:ascii="ＭＳ ゴシック" w:eastAsia="ＭＳ ゴシック" w:hAnsi="ＭＳ ゴシック"/>
                <w:w w:val="50"/>
                <w:sz w:val="18"/>
                <w:szCs w:val="18"/>
              </w:rPr>
            </w:pPr>
            <w:r w:rsidRPr="00E0548A">
              <w:rPr>
                <w:rFonts w:ascii="ＭＳ ゴシック" w:eastAsia="ＭＳ ゴシック" w:hAnsi="ＭＳ ゴシック" w:hint="eastAsia"/>
                <w:w w:val="50"/>
                <w:sz w:val="18"/>
                <w:szCs w:val="18"/>
              </w:rPr>
              <w:t>危機管理室（</w:t>
            </w:r>
            <w:r w:rsidR="00523F74">
              <w:rPr>
                <w:rFonts w:ascii="ＭＳ ゴシック" w:eastAsia="ＭＳ ゴシック" w:hAnsi="ＭＳ ゴシック" w:hint="eastAsia"/>
                <w:w w:val="50"/>
                <w:sz w:val="18"/>
                <w:szCs w:val="18"/>
              </w:rPr>
              <w:t>７</w:t>
            </w:r>
            <w:r w:rsidRPr="00E0548A">
              <w:rPr>
                <w:rFonts w:ascii="ＭＳ ゴシック" w:eastAsia="ＭＳ ゴシック" w:hAnsi="ＭＳ ゴシック" w:hint="eastAsia"/>
                <w:w w:val="50"/>
                <w:sz w:val="18"/>
                <w:szCs w:val="18"/>
              </w:rPr>
              <w:t>名）</w:t>
            </w:r>
          </w:p>
          <w:p w14:paraId="2007E3E2" w14:textId="77777777" w:rsidR="00535F76" w:rsidRPr="00E0548A" w:rsidRDefault="00535F76" w:rsidP="00535F76">
            <w:pPr>
              <w:adjustRightInd w:val="0"/>
              <w:snapToGrid w:val="0"/>
              <w:spacing w:line="240" w:lineRule="exact"/>
              <w:jc w:val="left"/>
              <w:rPr>
                <w:rFonts w:ascii="ＭＳ ゴシック" w:eastAsia="ＭＳ ゴシック" w:hAnsi="ＭＳ ゴシック"/>
                <w:w w:val="50"/>
                <w:sz w:val="18"/>
                <w:szCs w:val="18"/>
              </w:rPr>
            </w:pPr>
            <w:r w:rsidRPr="00E0548A">
              <w:rPr>
                <w:rFonts w:ascii="ＭＳ ゴシック" w:eastAsia="ＭＳ ゴシック" w:hAnsi="ＭＳ ゴシック" w:hint="eastAsia"/>
                <w:w w:val="50"/>
                <w:sz w:val="18"/>
                <w:szCs w:val="18"/>
              </w:rPr>
              <w:t>※兼務含む</w:t>
            </w:r>
          </w:p>
        </w:tc>
        <w:tc>
          <w:tcPr>
            <w:tcW w:w="992" w:type="dxa"/>
            <w:tcBorders>
              <w:top w:val="single" w:sz="4" w:space="0" w:color="auto"/>
              <w:left w:val="single" w:sz="4" w:space="0" w:color="auto"/>
              <w:bottom w:val="single" w:sz="4" w:space="0" w:color="auto"/>
              <w:right w:val="single" w:sz="4" w:space="0" w:color="auto"/>
              <w:tl2br w:val="nil"/>
            </w:tcBorders>
            <w:vAlign w:val="center"/>
          </w:tcPr>
          <w:p w14:paraId="69BE0A60" w14:textId="532193AB" w:rsidR="00535F76" w:rsidRPr="00E0548A" w:rsidRDefault="00535F76" w:rsidP="00535F76">
            <w:pPr>
              <w:adjustRightInd w:val="0"/>
              <w:snapToGrid w:val="0"/>
              <w:spacing w:line="240" w:lineRule="exact"/>
              <w:jc w:val="left"/>
              <w:rPr>
                <w:rFonts w:ascii="ＭＳ ゴシック" w:eastAsia="ＭＳ ゴシック" w:hAnsi="ＭＳ ゴシック"/>
                <w:w w:val="50"/>
                <w:sz w:val="18"/>
                <w:szCs w:val="18"/>
              </w:rPr>
            </w:pPr>
            <w:r w:rsidRPr="00E0548A">
              <w:rPr>
                <w:rFonts w:ascii="ＭＳ ゴシック" w:eastAsia="ＭＳ ゴシック" w:hAnsi="ＭＳ ゴシック" w:hint="eastAsia"/>
                <w:w w:val="50"/>
                <w:sz w:val="18"/>
                <w:szCs w:val="18"/>
              </w:rPr>
              <w:t>危機管理室（</w:t>
            </w:r>
            <w:r w:rsidR="00523F74">
              <w:rPr>
                <w:rFonts w:ascii="ＭＳ ゴシック" w:eastAsia="ＭＳ ゴシック" w:hAnsi="ＭＳ ゴシック" w:hint="eastAsia"/>
                <w:w w:val="50"/>
                <w:sz w:val="18"/>
                <w:szCs w:val="18"/>
              </w:rPr>
              <w:t>７</w:t>
            </w:r>
            <w:r w:rsidRPr="00E0548A">
              <w:rPr>
                <w:rFonts w:ascii="ＭＳ ゴシック" w:eastAsia="ＭＳ ゴシック" w:hAnsi="ＭＳ ゴシック" w:hint="eastAsia"/>
                <w:w w:val="50"/>
                <w:sz w:val="18"/>
                <w:szCs w:val="18"/>
              </w:rPr>
              <w:t>名）</w:t>
            </w:r>
          </w:p>
          <w:p w14:paraId="3AA0E456" w14:textId="77777777" w:rsidR="00535F76" w:rsidRPr="00E0548A" w:rsidRDefault="00535F76" w:rsidP="00535F76">
            <w:pPr>
              <w:adjustRightInd w:val="0"/>
              <w:snapToGrid w:val="0"/>
              <w:spacing w:line="240" w:lineRule="exact"/>
              <w:jc w:val="left"/>
              <w:rPr>
                <w:rFonts w:ascii="ＭＳ ゴシック" w:eastAsia="ＭＳ ゴシック" w:hAnsi="ＭＳ ゴシック"/>
                <w:w w:val="50"/>
                <w:sz w:val="18"/>
                <w:szCs w:val="18"/>
              </w:rPr>
            </w:pPr>
            <w:r w:rsidRPr="00E0548A">
              <w:rPr>
                <w:rFonts w:ascii="ＭＳ ゴシック" w:eastAsia="ＭＳ ゴシック" w:hAnsi="ＭＳ ゴシック" w:hint="eastAsia"/>
                <w:w w:val="50"/>
                <w:sz w:val="18"/>
                <w:szCs w:val="18"/>
              </w:rPr>
              <w:t>※兼務含む</w:t>
            </w:r>
          </w:p>
        </w:tc>
        <w:tc>
          <w:tcPr>
            <w:tcW w:w="996" w:type="dxa"/>
            <w:tcBorders>
              <w:top w:val="single" w:sz="4" w:space="0" w:color="auto"/>
              <w:left w:val="single" w:sz="4" w:space="0" w:color="auto"/>
              <w:bottom w:val="single" w:sz="4" w:space="0" w:color="auto"/>
              <w:right w:val="single" w:sz="4" w:space="0" w:color="auto"/>
              <w:tl2br w:val="nil"/>
            </w:tcBorders>
            <w:vAlign w:val="center"/>
          </w:tcPr>
          <w:p w14:paraId="49647A74" w14:textId="4A2AF27E" w:rsidR="00535F76" w:rsidRPr="00E0548A" w:rsidRDefault="00535F76" w:rsidP="00535F76">
            <w:pPr>
              <w:adjustRightInd w:val="0"/>
              <w:snapToGrid w:val="0"/>
              <w:spacing w:line="240" w:lineRule="exact"/>
              <w:jc w:val="left"/>
              <w:rPr>
                <w:rFonts w:ascii="ＭＳ ゴシック" w:eastAsia="ＭＳ ゴシック" w:hAnsi="ＭＳ ゴシック"/>
                <w:w w:val="50"/>
                <w:sz w:val="18"/>
                <w:szCs w:val="18"/>
              </w:rPr>
            </w:pPr>
            <w:r w:rsidRPr="00E0548A">
              <w:rPr>
                <w:rFonts w:ascii="ＭＳ ゴシック" w:eastAsia="ＭＳ ゴシック" w:hAnsi="ＭＳ ゴシック" w:hint="eastAsia"/>
                <w:w w:val="50"/>
                <w:sz w:val="18"/>
                <w:szCs w:val="18"/>
              </w:rPr>
              <w:t>危機管理室（</w:t>
            </w:r>
            <w:r w:rsidR="00523F74">
              <w:rPr>
                <w:rFonts w:ascii="ＭＳ ゴシック" w:eastAsia="ＭＳ ゴシック" w:hAnsi="ＭＳ ゴシック" w:hint="eastAsia"/>
                <w:w w:val="50"/>
                <w:sz w:val="18"/>
                <w:szCs w:val="18"/>
              </w:rPr>
              <w:t>７</w:t>
            </w:r>
            <w:r w:rsidRPr="00E0548A">
              <w:rPr>
                <w:rFonts w:ascii="ＭＳ ゴシック" w:eastAsia="ＭＳ ゴシック" w:hAnsi="ＭＳ ゴシック" w:hint="eastAsia"/>
                <w:w w:val="50"/>
                <w:sz w:val="18"/>
                <w:szCs w:val="18"/>
              </w:rPr>
              <w:t>名）</w:t>
            </w:r>
          </w:p>
          <w:p w14:paraId="2EBA8B5C" w14:textId="77777777" w:rsidR="00535F76" w:rsidRPr="00E0548A" w:rsidRDefault="00535F76" w:rsidP="00535F76">
            <w:pPr>
              <w:adjustRightInd w:val="0"/>
              <w:snapToGrid w:val="0"/>
              <w:spacing w:line="240" w:lineRule="exact"/>
              <w:jc w:val="left"/>
              <w:rPr>
                <w:rFonts w:ascii="ＭＳ ゴシック" w:eastAsia="ＭＳ ゴシック" w:hAnsi="ＭＳ ゴシック"/>
                <w:w w:val="50"/>
                <w:sz w:val="18"/>
                <w:szCs w:val="18"/>
              </w:rPr>
            </w:pPr>
            <w:r w:rsidRPr="00E0548A">
              <w:rPr>
                <w:rFonts w:ascii="ＭＳ ゴシック" w:eastAsia="ＭＳ ゴシック" w:hAnsi="ＭＳ ゴシック" w:hint="eastAsia"/>
                <w:w w:val="50"/>
                <w:sz w:val="18"/>
                <w:szCs w:val="18"/>
              </w:rPr>
              <w:t>※兼務含む</w:t>
            </w:r>
          </w:p>
        </w:tc>
      </w:tr>
      <w:tr w:rsidR="006E52DA" w:rsidRPr="00E0548A" w14:paraId="7C3EDA6C" w14:textId="77777777" w:rsidTr="006E52DA">
        <w:trPr>
          <w:cantSplit/>
          <w:trHeight w:val="1266"/>
        </w:trPr>
        <w:tc>
          <w:tcPr>
            <w:tcW w:w="696" w:type="dxa"/>
            <w:tcBorders>
              <w:top w:val="single" w:sz="4" w:space="0" w:color="auto"/>
              <w:left w:val="single" w:sz="4" w:space="0" w:color="auto"/>
              <w:bottom w:val="single" w:sz="4" w:space="0" w:color="auto"/>
              <w:right w:val="single" w:sz="4" w:space="0" w:color="auto"/>
            </w:tcBorders>
            <w:textDirection w:val="tbRlV"/>
            <w:vAlign w:val="center"/>
          </w:tcPr>
          <w:p w14:paraId="79F1BC20" w14:textId="209D498A" w:rsidR="006E52DA" w:rsidRPr="00E0548A" w:rsidRDefault="006E52DA" w:rsidP="006E52DA">
            <w:pPr>
              <w:adjustRightInd w:val="0"/>
              <w:snapToGrid w:val="0"/>
              <w:spacing w:line="240" w:lineRule="exact"/>
              <w:ind w:left="113" w:right="113"/>
              <w:jc w:val="center"/>
              <w:rPr>
                <w:rFonts w:ascii="ＭＳ ゴシック" w:eastAsia="ＭＳ ゴシック" w:hAnsi="ＭＳ ゴシック"/>
                <w:sz w:val="18"/>
                <w:szCs w:val="18"/>
              </w:rPr>
            </w:pPr>
            <w:r w:rsidRPr="00E0548A">
              <w:rPr>
                <w:rFonts w:asciiTheme="majorEastAsia" w:eastAsiaTheme="majorEastAsia" w:hAnsiTheme="majorEastAsia" w:hint="eastAsia"/>
                <w:sz w:val="18"/>
                <w:szCs w:val="18"/>
              </w:rPr>
              <w:t>消防応援活動調整本部</w:t>
            </w:r>
          </w:p>
        </w:tc>
        <w:tc>
          <w:tcPr>
            <w:tcW w:w="5223" w:type="dxa"/>
            <w:gridSpan w:val="2"/>
            <w:tcBorders>
              <w:top w:val="single" w:sz="4" w:space="0" w:color="auto"/>
              <w:left w:val="single" w:sz="4" w:space="0" w:color="auto"/>
              <w:bottom w:val="single" w:sz="4" w:space="0" w:color="auto"/>
              <w:right w:val="single" w:sz="4" w:space="0" w:color="auto"/>
            </w:tcBorders>
            <w:vAlign w:val="center"/>
          </w:tcPr>
          <w:p w14:paraId="4D1AF884" w14:textId="77777777" w:rsidR="006E52DA" w:rsidRPr="00E0548A" w:rsidRDefault="006E52DA" w:rsidP="006E52DA">
            <w:pPr>
              <w:spacing w:line="240" w:lineRule="exact"/>
              <w:jc w:val="left"/>
              <w:rPr>
                <w:rFonts w:ascii="ＭＳ ゴシック" w:eastAsia="ＭＳ ゴシック" w:hAnsi="ＭＳ ゴシック"/>
                <w:w w:val="50"/>
                <w:sz w:val="18"/>
                <w:szCs w:val="18"/>
              </w:rPr>
            </w:pPr>
            <w:r w:rsidRPr="00E0548A">
              <w:rPr>
                <w:rFonts w:ascii="ＭＳ ゴシック" w:eastAsia="ＭＳ ゴシック" w:hAnsi="ＭＳ ゴシック" w:hint="eastAsia"/>
                <w:w w:val="50"/>
                <w:sz w:val="18"/>
                <w:szCs w:val="18"/>
              </w:rPr>
              <w:t>※消防応援活動調整本部（本部長：知事）を設置する場合</w:t>
            </w:r>
          </w:p>
          <w:p w14:paraId="1EBCC170" w14:textId="77777777" w:rsidR="006E52DA" w:rsidRPr="00E0548A" w:rsidRDefault="006E52DA" w:rsidP="006E52DA">
            <w:pPr>
              <w:spacing w:line="240" w:lineRule="exact"/>
              <w:ind w:firstLine="1"/>
              <w:jc w:val="left"/>
              <w:rPr>
                <w:rFonts w:ascii="ＭＳ ゴシック" w:eastAsia="ＭＳ ゴシック" w:hAnsi="ＭＳ ゴシック"/>
                <w:w w:val="50"/>
                <w:sz w:val="18"/>
                <w:szCs w:val="18"/>
              </w:rPr>
            </w:pPr>
            <w:r w:rsidRPr="00E0548A">
              <w:rPr>
                <w:rFonts w:ascii="ＭＳ ゴシック" w:eastAsia="ＭＳ ゴシック" w:hAnsi="ＭＳ ゴシック" w:hint="eastAsia"/>
                <w:w w:val="50"/>
                <w:sz w:val="18"/>
                <w:szCs w:val="18"/>
              </w:rPr>
              <w:t>・市町村の被害状況の収集</w:t>
            </w:r>
          </w:p>
          <w:p w14:paraId="4A55A53A" w14:textId="77777777" w:rsidR="006E52DA" w:rsidRPr="00E0548A" w:rsidRDefault="006E52DA" w:rsidP="006E52DA">
            <w:pPr>
              <w:spacing w:line="240" w:lineRule="exact"/>
              <w:jc w:val="left"/>
              <w:rPr>
                <w:rFonts w:ascii="ＭＳ ゴシック" w:eastAsia="ＭＳ ゴシック" w:hAnsi="ＭＳ ゴシック"/>
                <w:w w:val="50"/>
                <w:sz w:val="18"/>
                <w:szCs w:val="18"/>
              </w:rPr>
            </w:pPr>
            <w:r w:rsidRPr="00E0548A">
              <w:rPr>
                <w:rFonts w:ascii="ＭＳ ゴシック" w:eastAsia="ＭＳ ゴシック" w:hAnsi="ＭＳ ゴシック" w:hint="eastAsia"/>
                <w:w w:val="50"/>
                <w:sz w:val="18"/>
                <w:szCs w:val="18"/>
              </w:rPr>
              <w:t>・緊急消防援助隊府代表（大阪市消防局）との情報交換</w:t>
            </w:r>
          </w:p>
          <w:p w14:paraId="52B07D1B" w14:textId="77777777" w:rsidR="006E52DA" w:rsidRPr="00E0548A" w:rsidRDefault="006E52DA" w:rsidP="006E52DA">
            <w:pPr>
              <w:spacing w:line="240" w:lineRule="exact"/>
              <w:jc w:val="left"/>
              <w:rPr>
                <w:rFonts w:ascii="ＭＳ ゴシック" w:eastAsia="ＭＳ ゴシック" w:hAnsi="ＭＳ ゴシック"/>
                <w:w w:val="50"/>
                <w:sz w:val="18"/>
                <w:szCs w:val="18"/>
              </w:rPr>
            </w:pPr>
            <w:r w:rsidRPr="00E0548A">
              <w:rPr>
                <w:rFonts w:ascii="ＭＳ ゴシック" w:eastAsia="ＭＳ ゴシック" w:hAnsi="ＭＳ ゴシック" w:hint="eastAsia"/>
                <w:w w:val="50"/>
                <w:sz w:val="18"/>
                <w:szCs w:val="18"/>
              </w:rPr>
              <w:t>・緊急消防援助隊派遣要請判断に必要な情報の収集</w:t>
            </w:r>
          </w:p>
          <w:p w14:paraId="49CB20E5" w14:textId="57BC693F" w:rsidR="006E52DA" w:rsidRPr="00E0548A" w:rsidRDefault="006E52DA" w:rsidP="006E52DA">
            <w:pPr>
              <w:adjustRightInd w:val="0"/>
              <w:snapToGrid w:val="0"/>
              <w:spacing w:line="240" w:lineRule="exact"/>
              <w:jc w:val="left"/>
              <w:rPr>
                <w:rFonts w:ascii="ＭＳ ゴシック" w:eastAsia="ＭＳ ゴシック" w:hAnsi="ＭＳ ゴシック"/>
                <w:w w:val="50"/>
                <w:sz w:val="18"/>
                <w:szCs w:val="18"/>
              </w:rPr>
            </w:pPr>
            <w:r w:rsidRPr="00E0548A">
              <w:rPr>
                <w:rFonts w:ascii="ＭＳ ゴシック" w:eastAsia="ＭＳ ゴシック" w:hAnsi="ＭＳ ゴシック" w:hint="eastAsia"/>
                <w:w w:val="50"/>
                <w:sz w:val="18"/>
                <w:szCs w:val="18"/>
              </w:rPr>
              <w:t>・消防庁長官への府内被害状況の情報提供</w:t>
            </w:r>
          </w:p>
        </w:tc>
        <w:tc>
          <w:tcPr>
            <w:tcW w:w="1014" w:type="dxa"/>
            <w:tcBorders>
              <w:top w:val="single" w:sz="4" w:space="0" w:color="auto"/>
              <w:left w:val="single" w:sz="4" w:space="0" w:color="auto"/>
              <w:bottom w:val="single" w:sz="4" w:space="0" w:color="auto"/>
              <w:right w:val="single" w:sz="4" w:space="0" w:color="auto"/>
              <w:tl2br w:val="nil"/>
            </w:tcBorders>
            <w:vAlign w:val="center"/>
          </w:tcPr>
          <w:p w14:paraId="721E7A10" w14:textId="77777777" w:rsidR="006E52DA" w:rsidRPr="00E0548A" w:rsidRDefault="006E52DA" w:rsidP="006E52DA">
            <w:pPr>
              <w:adjustRightInd w:val="0"/>
              <w:snapToGrid w:val="0"/>
              <w:spacing w:line="240" w:lineRule="exact"/>
              <w:jc w:val="left"/>
              <w:rPr>
                <w:rFonts w:ascii="ＭＳ ゴシック" w:eastAsia="ＭＳ ゴシック" w:hAnsi="ＭＳ ゴシック"/>
                <w:w w:val="50"/>
                <w:sz w:val="18"/>
                <w:szCs w:val="18"/>
              </w:rPr>
            </w:pPr>
            <w:r w:rsidRPr="00E0548A">
              <w:rPr>
                <w:rFonts w:ascii="ＭＳ ゴシック" w:eastAsia="ＭＳ ゴシック" w:hAnsi="ＭＳ ゴシック" w:hint="eastAsia"/>
                <w:w w:val="50"/>
                <w:sz w:val="18"/>
                <w:szCs w:val="18"/>
              </w:rPr>
              <w:t>危機管理室（3名）</w:t>
            </w:r>
          </w:p>
          <w:p w14:paraId="10B9C20B" w14:textId="163DB266" w:rsidR="006E52DA" w:rsidRPr="00E0548A" w:rsidRDefault="006E52DA" w:rsidP="006E52DA">
            <w:pPr>
              <w:adjustRightInd w:val="0"/>
              <w:snapToGrid w:val="0"/>
              <w:spacing w:line="240" w:lineRule="exact"/>
              <w:jc w:val="left"/>
              <w:rPr>
                <w:rFonts w:ascii="ＭＳ ゴシック" w:eastAsia="ＭＳ ゴシック" w:hAnsi="ＭＳ ゴシック"/>
                <w:w w:val="50"/>
                <w:sz w:val="18"/>
                <w:szCs w:val="18"/>
              </w:rPr>
            </w:pPr>
            <w:r w:rsidRPr="00E0548A">
              <w:rPr>
                <w:rFonts w:ascii="ＭＳ ゴシック" w:eastAsia="ＭＳ ゴシック" w:hAnsi="ＭＳ ゴシック" w:hint="eastAsia"/>
                <w:w w:val="50"/>
                <w:sz w:val="18"/>
                <w:szCs w:val="18"/>
              </w:rPr>
              <w:t>※兼務</w:t>
            </w:r>
          </w:p>
        </w:tc>
        <w:tc>
          <w:tcPr>
            <w:tcW w:w="992" w:type="dxa"/>
            <w:tcBorders>
              <w:top w:val="single" w:sz="4" w:space="0" w:color="auto"/>
              <w:left w:val="single" w:sz="4" w:space="0" w:color="auto"/>
              <w:bottom w:val="single" w:sz="4" w:space="0" w:color="auto"/>
              <w:right w:val="single" w:sz="4" w:space="0" w:color="auto"/>
              <w:tl2br w:val="nil"/>
            </w:tcBorders>
            <w:vAlign w:val="center"/>
          </w:tcPr>
          <w:p w14:paraId="57F1ACD3" w14:textId="77777777" w:rsidR="006E52DA" w:rsidRPr="00E0548A" w:rsidRDefault="006E52DA" w:rsidP="006E52DA">
            <w:pPr>
              <w:adjustRightInd w:val="0"/>
              <w:snapToGrid w:val="0"/>
              <w:spacing w:line="240" w:lineRule="exact"/>
              <w:jc w:val="left"/>
              <w:rPr>
                <w:rFonts w:ascii="ＭＳ ゴシック" w:eastAsia="ＭＳ ゴシック" w:hAnsi="ＭＳ ゴシック"/>
                <w:w w:val="50"/>
                <w:sz w:val="18"/>
                <w:szCs w:val="18"/>
              </w:rPr>
            </w:pPr>
            <w:r w:rsidRPr="00E0548A">
              <w:rPr>
                <w:rFonts w:ascii="ＭＳ ゴシック" w:eastAsia="ＭＳ ゴシック" w:hAnsi="ＭＳ ゴシック" w:hint="eastAsia"/>
                <w:w w:val="50"/>
                <w:sz w:val="18"/>
                <w:szCs w:val="18"/>
              </w:rPr>
              <w:t>危機管理室（6名）</w:t>
            </w:r>
          </w:p>
          <w:p w14:paraId="4155D319" w14:textId="6D7FF636" w:rsidR="006E52DA" w:rsidRPr="00E0548A" w:rsidRDefault="006E52DA" w:rsidP="006E52DA">
            <w:pPr>
              <w:adjustRightInd w:val="0"/>
              <w:snapToGrid w:val="0"/>
              <w:spacing w:line="240" w:lineRule="exact"/>
              <w:jc w:val="left"/>
              <w:rPr>
                <w:rFonts w:ascii="ＭＳ ゴシック" w:eastAsia="ＭＳ ゴシック" w:hAnsi="ＭＳ ゴシック"/>
                <w:w w:val="50"/>
                <w:sz w:val="18"/>
                <w:szCs w:val="18"/>
              </w:rPr>
            </w:pPr>
            <w:r w:rsidRPr="00E0548A">
              <w:rPr>
                <w:rFonts w:ascii="ＭＳ ゴシック" w:eastAsia="ＭＳ ゴシック" w:hAnsi="ＭＳ ゴシック" w:hint="eastAsia"/>
                <w:w w:val="50"/>
                <w:sz w:val="18"/>
                <w:szCs w:val="18"/>
              </w:rPr>
              <w:t>※兼務</w:t>
            </w:r>
          </w:p>
        </w:tc>
        <w:tc>
          <w:tcPr>
            <w:tcW w:w="996" w:type="dxa"/>
            <w:tcBorders>
              <w:top w:val="single" w:sz="4" w:space="0" w:color="auto"/>
              <w:left w:val="single" w:sz="4" w:space="0" w:color="auto"/>
              <w:bottom w:val="single" w:sz="4" w:space="0" w:color="auto"/>
              <w:right w:val="single" w:sz="4" w:space="0" w:color="auto"/>
              <w:tl2br w:val="nil"/>
            </w:tcBorders>
            <w:vAlign w:val="center"/>
          </w:tcPr>
          <w:p w14:paraId="61157478" w14:textId="6CA5B0C6" w:rsidR="006E52DA" w:rsidRPr="00E0548A" w:rsidRDefault="006E52DA" w:rsidP="006E52DA">
            <w:pPr>
              <w:adjustRightInd w:val="0"/>
              <w:snapToGrid w:val="0"/>
              <w:spacing w:line="240" w:lineRule="exact"/>
              <w:jc w:val="left"/>
              <w:rPr>
                <w:rFonts w:ascii="ＭＳ ゴシック" w:eastAsia="ＭＳ ゴシック" w:hAnsi="ＭＳ ゴシック"/>
                <w:w w:val="50"/>
                <w:sz w:val="18"/>
                <w:szCs w:val="18"/>
              </w:rPr>
            </w:pPr>
            <w:r w:rsidRPr="00E0548A">
              <w:rPr>
                <w:rFonts w:ascii="ＭＳ ゴシック" w:eastAsia="ＭＳ ゴシック" w:hAnsi="ＭＳ ゴシック" w:hint="eastAsia"/>
                <w:w w:val="50"/>
                <w:sz w:val="18"/>
                <w:szCs w:val="18"/>
              </w:rPr>
              <w:t>危機管理室（1</w:t>
            </w:r>
            <w:r w:rsidR="00523F74">
              <w:rPr>
                <w:rFonts w:ascii="ＭＳ ゴシック" w:eastAsia="ＭＳ ゴシック" w:hAnsi="ＭＳ ゴシック" w:hint="eastAsia"/>
                <w:w w:val="50"/>
                <w:sz w:val="18"/>
                <w:szCs w:val="18"/>
              </w:rPr>
              <w:t>4</w:t>
            </w:r>
            <w:r w:rsidRPr="00E0548A">
              <w:rPr>
                <w:rFonts w:ascii="ＭＳ ゴシック" w:eastAsia="ＭＳ ゴシック" w:hAnsi="ＭＳ ゴシック"/>
                <w:w w:val="50"/>
                <w:sz w:val="18"/>
                <w:szCs w:val="18"/>
              </w:rPr>
              <w:t>名）</w:t>
            </w:r>
          </w:p>
          <w:p w14:paraId="14903B47" w14:textId="0F220D5E" w:rsidR="006E52DA" w:rsidRPr="00E0548A" w:rsidRDefault="006E52DA" w:rsidP="006E52DA">
            <w:pPr>
              <w:adjustRightInd w:val="0"/>
              <w:snapToGrid w:val="0"/>
              <w:spacing w:line="240" w:lineRule="exact"/>
              <w:jc w:val="left"/>
              <w:rPr>
                <w:rFonts w:ascii="ＭＳ ゴシック" w:eastAsia="ＭＳ ゴシック" w:hAnsi="ＭＳ ゴシック"/>
                <w:w w:val="50"/>
                <w:sz w:val="18"/>
                <w:szCs w:val="18"/>
              </w:rPr>
            </w:pPr>
            <w:r w:rsidRPr="00E0548A">
              <w:rPr>
                <w:rFonts w:ascii="ＭＳ ゴシック" w:eastAsia="ＭＳ ゴシック" w:hAnsi="ＭＳ ゴシック" w:hint="eastAsia"/>
                <w:w w:val="50"/>
                <w:sz w:val="18"/>
                <w:szCs w:val="18"/>
              </w:rPr>
              <w:t>※兼務</w:t>
            </w:r>
          </w:p>
        </w:tc>
      </w:tr>
      <w:tr w:rsidR="001D6D10" w:rsidRPr="001D6D10" w14:paraId="36A76BC5" w14:textId="77777777" w:rsidTr="006E52DA">
        <w:trPr>
          <w:cantSplit/>
          <w:trHeight w:val="272"/>
        </w:trPr>
        <w:tc>
          <w:tcPr>
            <w:tcW w:w="5919" w:type="dxa"/>
            <w:gridSpan w:val="3"/>
            <w:tcBorders>
              <w:top w:val="single" w:sz="4" w:space="0" w:color="auto"/>
              <w:left w:val="single" w:sz="4" w:space="0" w:color="auto"/>
              <w:bottom w:val="single" w:sz="4" w:space="0" w:color="auto"/>
              <w:right w:val="single" w:sz="4" w:space="0" w:color="auto"/>
            </w:tcBorders>
            <w:shd w:val="clear" w:color="auto" w:fill="F2F2F2"/>
            <w:vAlign w:val="center"/>
            <w:hideMark/>
          </w:tcPr>
          <w:p w14:paraId="02C4DBC7" w14:textId="77777777" w:rsidR="00535F76" w:rsidRPr="00E0548A" w:rsidRDefault="00535F76" w:rsidP="00535F76">
            <w:pPr>
              <w:adjustRightInd w:val="0"/>
              <w:snapToGrid w:val="0"/>
              <w:spacing w:line="240" w:lineRule="exact"/>
              <w:ind w:firstLineChars="1000" w:firstLine="918"/>
              <w:rPr>
                <w:rFonts w:ascii="ＭＳ ゴシック" w:eastAsia="ＭＳ ゴシック" w:hAnsi="ＭＳ ゴシック"/>
                <w:b/>
                <w:w w:val="50"/>
                <w:sz w:val="18"/>
                <w:szCs w:val="18"/>
              </w:rPr>
            </w:pPr>
            <w:r w:rsidRPr="00E0548A">
              <w:rPr>
                <w:rFonts w:ascii="ＭＳ ゴシック" w:eastAsia="ＭＳ ゴシック" w:hAnsi="ＭＳ ゴシック" w:hint="eastAsia"/>
                <w:b/>
                <w:w w:val="50"/>
                <w:sz w:val="18"/>
                <w:szCs w:val="18"/>
              </w:rPr>
              <w:t>配備人員　計</w:t>
            </w:r>
          </w:p>
        </w:tc>
        <w:tc>
          <w:tcPr>
            <w:tcW w:w="1014" w:type="dxa"/>
            <w:tcBorders>
              <w:top w:val="single" w:sz="4" w:space="0" w:color="auto"/>
              <w:left w:val="single" w:sz="4" w:space="0" w:color="auto"/>
              <w:bottom w:val="single" w:sz="4" w:space="0" w:color="auto"/>
              <w:right w:val="single" w:sz="4" w:space="0" w:color="auto"/>
            </w:tcBorders>
            <w:shd w:val="clear" w:color="auto" w:fill="F2F2F2"/>
            <w:vAlign w:val="center"/>
            <w:hideMark/>
          </w:tcPr>
          <w:p w14:paraId="55302268" w14:textId="3F471FED" w:rsidR="00535F76" w:rsidRPr="00E0548A" w:rsidRDefault="00523F74" w:rsidP="00535F76">
            <w:pPr>
              <w:adjustRightInd w:val="0"/>
              <w:snapToGrid w:val="0"/>
              <w:spacing w:line="240" w:lineRule="exact"/>
              <w:jc w:val="center"/>
              <w:rPr>
                <w:rFonts w:ascii="ＭＳ ゴシック" w:eastAsia="ＭＳ ゴシック" w:hAnsi="ＭＳ ゴシック"/>
                <w:b/>
                <w:w w:val="50"/>
                <w:sz w:val="18"/>
                <w:szCs w:val="18"/>
              </w:rPr>
            </w:pPr>
            <w:r>
              <w:rPr>
                <w:rFonts w:ascii="ＭＳ ゴシック" w:eastAsia="ＭＳ ゴシック" w:hAnsi="ＭＳ ゴシック" w:hint="eastAsia"/>
                <w:b/>
                <w:w w:val="50"/>
                <w:sz w:val="18"/>
                <w:szCs w:val="18"/>
              </w:rPr>
              <w:t>66～73</w:t>
            </w:r>
            <w:r w:rsidR="00535F76" w:rsidRPr="00E0548A">
              <w:rPr>
                <w:rFonts w:ascii="ＭＳ ゴシック" w:eastAsia="ＭＳ ゴシック" w:hAnsi="ＭＳ ゴシック" w:hint="eastAsia"/>
                <w:b/>
                <w:w w:val="50"/>
                <w:sz w:val="18"/>
                <w:szCs w:val="18"/>
              </w:rPr>
              <w:t>名</w:t>
            </w:r>
          </w:p>
          <w:p w14:paraId="32A4C3B4" w14:textId="77777777" w:rsidR="00535F76" w:rsidRPr="00E0548A" w:rsidRDefault="00535F76" w:rsidP="00535F76">
            <w:pPr>
              <w:adjustRightInd w:val="0"/>
              <w:snapToGrid w:val="0"/>
              <w:spacing w:line="240" w:lineRule="exact"/>
              <w:jc w:val="center"/>
              <w:rPr>
                <w:rFonts w:ascii="ＭＳ ゴシック" w:eastAsia="ＭＳ ゴシック" w:hAnsi="ＭＳ ゴシック"/>
                <w:b/>
                <w:w w:val="50"/>
                <w:sz w:val="18"/>
                <w:szCs w:val="18"/>
              </w:rPr>
            </w:pPr>
            <w:r w:rsidRPr="00E0548A">
              <w:rPr>
                <w:rFonts w:ascii="ＭＳ ゴシック" w:eastAsia="ＭＳ ゴシック" w:hAnsi="ＭＳ ゴシック" w:hint="eastAsia"/>
                <w:b/>
                <w:w w:val="50"/>
                <w:sz w:val="16"/>
                <w:szCs w:val="18"/>
              </w:rPr>
              <w:t>(企画室報道Ｇ</w:t>
            </w:r>
            <w:r w:rsidRPr="00E0548A">
              <w:rPr>
                <w:rFonts w:ascii="ＭＳ ゴシック" w:eastAsia="ＭＳ ゴシック" w:hAnsi="ＭＳ ゴシック" w:hint="eastAsia"/>
                <w:w w:val="50"/>
                <w:sz w:val="18"/>
                <w:szCs w:val="18"/>
              </w:rPr>
              <w:t>2</w:t>
            </w:r>
            <w:r w:rsidRPr="00E0548A">
              <w:rPr>
                <w:rFonts w:ascii="ＭＳ ゴシック" w:eastAsia="ＭＳ ゴシック" w:hAnsi="ＭＳ ゴシック" w:hint="eastAsia"/>
                <w:b/>
                <w:w w:val="50"/>
                <w:sz w:val="16"/>
                <w:szCs w:val="18"/>
              </w:rPr>
              <w:t>名含む)</w:t>
            </w:r>
          </w:p>
        </w:tc>
        <w:tc>
          <w:tcPr>
            <w:tcW w:w="992" w:type="dxa"/>
            <w:tcBorders>
              <w:top w:val="single" w:sz="4" w:space="0" w:color="auto"/>
              <w:left w:val="single" w:sz="4" w:space="0" w:color="auto"/>
              <w:bottom w:val="single" w:sz="4" w:space="0" w:color="auto"/>
              <w:right w:val="single" w:sz="4" w:space="0" w:color="auto"/>
            </w:tcBorders>
            <w:shd w:val="clear" w:color="auto" w:fill="F2F2F2"/>
            <w:vAlign w:val="center"/>
            <w:hideMark/>
          </w:tcPr>
          <w:p w14:paraId="75F4ABA6" w14:textId="7D3672BE" w:rsidR="00535F76" w:rsidRPr="00E0548A" w:rsidRDefault="00523F74" w:rsidP="00535F76">
            <w:pPr>
              <w:adjustRightInd w:val="0"/>
              <w:snapToGrid w:val="0"/>
              <w:spacing w:line="240" w:lineRule="exact"/>
              <w:jc w:val="center"/>
              <w:rPr>
                <w:rFonts w:ascii="ＭＳ ゴシック" w:eastAsia="ＭＳ ゴシック" w:hAnsi="ＭＳ ゴシック"/>
                <w:b/>
                <w:w w:val="50"/>
                <w:sz w:val="18"/>
                <w:szCs w:val="18"/>
              </w:rPr>
            </w:pPr>
            <w:r>
              <w:rPr>
                <w:rFonts w:ascii="ＭＳ ゴシック" w:eastAsia="ＭＳ ゴシック" w:hAnsi="ＭＳ ゴシック" w:hint="eastAsia"/>
                <w:b/>
                <w:w w:val="50"/>
                <w:sz w:val="18"/>
                <w:szCs w:val="18"/>
              </w:rPr>
              <w:t>98～105</w:t>
            </w:r>
            <w:r w:rsidR="00535F76" w:rsidRPr="00E0548A">
              <w:rPr>
                <w:rFonts w:ascii="ＭＳ ゴシック" w:eastAsia="ＭＳ ゴシック" w:hAnsi="ＭＳ ゴシック" w:hint="eastAsia"/>
                <w:b/>
                <w:w w:val="50"/>
                <w:sz w:val="18"/>
                <w:szCs w:val="18"/>
              </w:rPr>
              <w:t>名</w:t>
            </w:r>
          </w:p>
          <w:p w14:paraId="466A08A6" w14:textId="77777777" w:rsidR="00535F76" w:rsidRPr="00E0548A" w:rsidRDefault="00535F76" w:rsidP="00535F76">
            <w:pPr>
              <w:adjustRightInd w:val="0"/>
              <w:snapToGrid w:val="0"/>
              <w:spacing w:line="240" w:lineRule="exact"/>
              <w:jc w:val="center"/>
              <w:rPr>
                <w:rFonts w:ascii="ＭＳ ゴシック" w:eastAsia="ＭＳ ゴシック" w:hAnsi="ＭＳ ゴシック"/>
                <w:b/>
                <w:w w:val="50"/>
                <w:sz w:val="18"/>
                <w:szCs w:val="18"/>
              </w:rPr>
            </w:pPr>
            <w:r w:rsidRPr="00E0548A">
              <w:rPr>
                <w:rFonts w:ascii="ＭＳ ゴシック" w:eastAsia="ＭＳ ゴシック" w:hAnsi="ＭＳ ゴシック" w:hint="eastAsia"/>
                <w:b/>
                <w:w w:val="50"/>
                <w:sz w:val="16"/>
                <w:szCs w:val="18"/>
              </w:rPr>
              <w:t>(企画室報道Ｇ</w:t>
            </w:r>
            <w:r w:rsidRPr="00E0548A">
              <w:rPr>
                <w:rFonts w:ascii="ＭＳ ゴシック" w:eastAsia="ＭＳ ゴシック" w:hAnsi="ＭＳ ゴシック" w:hint="eastAsia"/>
                <w:w w:val="50"/>
                <w:sz w:val="18"/>
                <w:szCs w:val="18"/>
              </w:rPr>
              <w:t>2</w:t>
            </w:r>
            <w:r w:rsidRPr="00E0548A">
              <w:rPr>
                <w:rFonts w:ascii="ＭＳ ゴシック" w:eastAsia="ＭＳ ゴシック" w:hAnsi="ＭＳ ゴシック" w:hint="eastAsia"/>
                <w:b/>
                <w:w w:val="50"/>
                <w:sz w:val="16"/>
                <w:szCs w:val="18"/>
              </w:rPr>
              <w:t>名含む)</w:t>
            </w:r>
          </w:p>
        </w:tc>
        <w:tc>
          <w:tcPr>
            <w:tcW w:w="996" w:type="dxa"/>
            <w:tcBorders>
              <w:top w:val="single" w:sz="4" w:space="0" w:color="auto"/>
              <w:left w:val="single" w:sz="4" w:space="0" w:color="auto"/>
              <w:bottom w:val="single" w:sz="4" w:space="0" w:color="auto"/>
              <w:right w:val="single" w:sz="4" w:space="0" w:color="auto"/>
            </w:tcBorders>
            <w:shd w:val="clear" w:color="auto" w:fill="F2F2F2"/>
            <w:vAlign w:val="center"/>
            <w:hideMark/>
          </w:tcPr>
          <w:p w14:paraId="6CDAA031" w14:textId="76D3AC79" w:rsidR="00535F76" w:rsidRPr="00E0548A" w:rsidRDefault="00523F74" w:rsidP="00535F76">
            <w:pPr>
              <w:adjustRightInd w:val="0"/>
              <w:snapToGrid w:val="0"/>
              <w:spacing w:line="240" w:lineRule="exact"/>
              <w:jc w:val="center"/>
              <w:rPr>
                <w:rFonts w:ascii="ＭＳ ゴシック" w:eastAsia="ＭＳ ゴシック" w:hAnsi="ＭＳ ゴシック"/>
                <w:b/>
                <w:w w:val="50"/>
                <w:sz w:val="18"/>
                <w:szCs w:val="18"/>
              </w:rPr>
            </w:pPr>
            <w:r>
              <w:rPr>
                <w:rFonts w:ascii="ＭＳ ゴシック" w:eastAsia="ＭＳ ゴシック" w:hAnsi="ＭＳ ゴシック" w:hint="eastAsia"/>
                <w:b/>
                <w:w w:val="50"/>
                <w:sz w:val="18"/>
                <w:szCs w:val="18"/>
              </w:rPr>
              <w:t>12</w:t>
            </w:r>
            <w:r w:rsidR="0075788C">
              <w:rPr>
                <w:rFonts w:ascii="ＭＳ ゴシック" w:eastAsia="ＭＳ ゴシック" w:hAnsi="ＭＳ ゴシック" w:hint="eastAsia"/>
                <w:b/>
                <w:w w:val="50"/>
                <w:sz w:val="18"/>
                <w:szCs w:val="18"/>
              </w:rPr>
              <w:t>5</w:t>
            </w:r>
            <w:r>
              <w:rPr>
                <w:rFonts w:ascii="ＭＳ ゴシック" w:eastAsia="ＭＳ ゴシック" w:hAnsi="ＭＳ ゴシック" w:hint="eastAsia"/>
                <w:b/>
                <w:w w:val="50"/>
                <w:sz w:val="18"/>
                <w:szCs w:val="18"/>
              </w:rPr>
              <w:t>～13</w:t>
            </w:r>
            <w:r w:rsidR="0075788C">
              <w:rPr>
                <w:rFonts w:ascii="ＭＳ ゴシック" w:eastAsia="ＭＳ ゴシック" w:hAnsi="ＭＳ ゴシック" w:hint="eastAsia"/>
                <w:b/>
                <w:w w:val="50"/>
                <w:sz w:val="18"/>
                <w:szCs w:val="18"/>
              </w:rPr>
              <w:t>2</w:t>
            </w:r>
            <w:r w:rsidR="00535F76" w:rsidRPr="00E0548A">
              <w:rPr>
                <w:rFonts w:ascii="ＭＳ ゴシック" w:eastAsia="ＭＳ ゴシック" w:hAnsi="ＭＳ ゴシック" w:hint="eastAsia"/>
                <w:b/>
                <w:w w:val="50"/>
                <w:sz w:val="18"/>
                <w:szCs w:val="18"/>
              </w:rPr>
              <w:t>名</w:t>
            </w:r>
          </w:p>
          <w:p w14:paraId="3155E3D7" w14:textId="77777777" w:rsidR="0021667F" w:rsidRPr="00E0548A" w:rsidRDefault="00535F76" w:rsidP="00A331D5">
            <w:pPr>
              <w:adjustRightInd w:val="0"/>
              <w:snapToGrid w:val="0"/>
              <w:spacing w:line="240" w:lineRule="exact"/>
              <w:jc w:val="center"/>
              <w:rPr>
                <w:rFonts w:ascii="ＭＳ ゴシック" w:eastAsia="ＭＳ ゴシック" w:hAnsi="ＭＳ ゴシック"/>
                <w:b/>
                <w:w w:val="50"/>
                <w:sz w:val="16"/>
                <w:szCs w:val="18"/>
              </w:rPr>
            </w:pPr>
            <w:r w:rsidRPr="00E0548A">
              <w:rPr>
                <w:rFonts w:ascii="ＭＳ ゴシック" w:eastAsia="ＭＳ ゴシック" w:hAnsi="ＭＳ ゴシック" w:hint="eastAsia"/>
                <w:b/>
                <w:w w:val="50"/>
                <w:sz w:val="16"/>
                <w:szCs w:val="18"/>
              </w:rPr>
              <w:t>(企画室報道Ｇ</w:t>
            </w:r>
            <w:r w:rsidRPr="00E0548A">
              <w:rPr>
                <w:rFonts w:ascii="ＭＳ ゴシック" w:eastAsia="ＭＳ ゴシック" w:hAnsi="ＭＳ ゴシック" w:hint="eastAsia"/>
                <w:w w:val="50"/>
                <w:sz w:val="18"/>
                <w:szCs w:val="18"/>
              </w:rPr>
              <w:t>2</w:t>
            </w:r>
            <w:r w:rsidRPr="00E0548A">
              <w:rPr>
                <w:rFonts w:ascii="ＭＳ ゴシック" w:eastAsia="ＭＳ ゴシック" w:hAnsi="ＭＳ ゴシック" w:hint="eastAsia"/>
                <w:b/>
                <w:w w:val="50"/>
                <w:sz w:val="16"/>
                <w:szCs w:val="18"/>
              </w:rPr>
              <w:t>名</w:t>
            </w:r>
            <w:r w:rsidR="00F236FB" w:rsidRPr="00E0548A">
              <w:rPr>
                <w:rFonts w:ascii="ＭＳ ゴシック" w:eastAsia="ＭＳ ゴシック" w:hAnsi="ＭＳ ゴシック" w:hint="eastAsia"/>
                <w:b/>
                <w:w w:val="50"/>
                <w:sz w:val="16"/>
                <w:szCs w:val="18"/>
              </w:rPr>
              <w:t>、</w:t>
            </w:r>
          </w:p>
          <w:p w14:paraId="1A407A7A" w14:textId="0C6F9FE6" w:rsidR="00535F76" w:rsidRPr="001D6D10" w:rsidRDefault="00F236FB" w:rsidP="00A331D5">
            <w:pPr>
              <w:adjustRightInd w:val="0"/>
              <w:snapToGrid w:val="0"/>
              <w:spacing w:line="240" w:lineRule="exact"/>
              <w:jc w:val="center"/>
              <w:rPr>
                <w:rFonts w:ascii="ＭＳ ゴシック" w:eastAsia="ＭＳ ゴシック" w:hAnsi="ＭＳ ゴシック"/>
                <w:b/>
                <w:w w:val="50"/>
                <w:sz w:val="18"/>
                <w:szCs w:val="18"/>
              </w:rPr>
            </w:pPr>
            <w:r w:rsidRPr="00E0548A">
              <w:rPr>
                <w:rFonts w:ascii="ＭＳ ゴシック" w:eastAsia="ＭＳ ゴシック" w:hAnsi="ＭＳ ゴシック" w:hint="eastAsia"/>
                <w:b/>
                <w:w w:val="50"/>
                <w:sz w:val="16"/>
                <w:szCs w:val="18"/>
              </w:rPr>
              <w:t>人事課</w:t>
            </w:r>
            <w:r w:rsidR="00A331D5" w:rsidRPr="00E0548A">
              <w:rPr>
                <w:rFonts w:ascii="ＭＳ ゴシック" w:eastAsia="ＭＳ ゴシック" w:hAnsi="ＭＳ ゴシック" w:hint="eastAsia"/>
                <w:b/>
                <w:w w:val="50"/>
                <w:sz w:val="16"/>
                <w:szCs w:val="18"/>
              </w:rPr>
              <w:t>1</w:t>
            </w:r>
            <w:r w:rsidRPr="00E0548A">
              <w:rPr>
                <w:rFonts w:ascii="ＭＳ ゴシック" w:eastAsia="ＭＳ ゴシック" w:hAnsi="ＭＳ ゴシック" w:hint="eastAsia"/>
                <w:b/>
                <w:w w:val="50"/>
                <w:sz w:val="16"/>
                <w:szCs w:val="18"/>
              </w:rPr>
              <w:t>名</w:t>
            </w:r>
            <w:r w:rsidR="00535F76" w:rsidRPr="00E0548A">
              <w:rPr>
                <w:rFonts w:ascii="ＭＳ ゴシック" w:eastAsia="ＭＳ ゴシック" w:hAnsi="ＭＳ ゴシック" w:hint="eastAsia"/>
                <w:b/>
                <w:w w:val="50"/>
                <w:sz w:val="16"/>
                <w:szCs w:val="18"/>
              </w:rPr>
              <w:t>含む)</w:t>
            </w:r>
          </w:p>
        </w:tc>
      </w:tr>
    </w:tbl>
    <w:p w14:paraId="24C0A33B" w14:textId="77777777" w:rsidR="006E52DA" w:rsidRPr="00D705BF" w:rsidRDefault="006E52DA" w:rsidP="006E52DA">
      <w:pPr>
        <w:spacing w:line="240" w:lineRule="exact"/>
        <w:rPr>
          <w:rFonts w:asciiTheme="majorEastAsia" w:eastAsiaTheme="majorEastAsia" w:hAnsiTheme="majorEastAsia"/>
          <w:sz w:val="18"/>
          <w:szCs w:val="18"/>
        </w:rPr>
      </w:pPr>
      <w:bookmarkStart w:id="63" w:name="_Hlk193124499"/>
      <w:r w:rsidRPr="00D705BF">
        <w:rPr>
          <w:rFonts w:asciiTheme="majorEastAsia" w:eastAsiaTheme="majorEastAsia" w:hAnsiTheme="majorEastAsia" w:hint="eastAsia"/>
          <w:sz w:val="18"/>
          <w:szCs w:val="18"/>
        </w:rPr>
        <w:t>【他府県で災害が発生し、緊急消防援助隊大阪府大隊が出動する場合】</w:t>
      </w:r>
    </w:p>
    <w:p w14:paraId="015A051B" w14:textId="77777777" w:rsidR="006E52DA" w:rsidRPr="00D705BF" w:rsidRDefault="006E52DA" w:rsidP="006E52DA">
      <w:pPr>
        <w:adjustRightInd w:val="0"/>
        <w:snapToGrid w:val="0"/>
        <w:rPr>
          <w:rFonts w:asciiTheme="majorEastAsia" w:eastAsiaTheme="majorEastAsia" w:hAnsiTheme="majorEastAsia"/>
          <w:sz w:val="18"/>
          <w:szCs w:val="18"/>
        </w:rPr>
      </w:pPr>
      <w:r w:rsidRPr="00D705BF">
        <w:rPr>
          <w:rFonts w:asciiTheme="majorEastAsia" w:eastAsiaTheme="majorEastAsia" w:hAnsiTheme="majorEastAsia" w:hint="eastAsia"/>
          <w:sz w:val="18"/>
          <w:szCs w:val="18"/>
        </w:rPr>
        <w:t>室内に消防応援活動調整本部を設置し、消防保安課長、消防保安課参事、消防指導G員が従事する。</w:t>
      </w:r>
    </w:p>
    <w:p w14:paraId="4FDE290D" w14:textId="3B6A8AC2" w:rsidR="005D372A" w:rsidRPr="00D705BF" w:rsidRDefault="006E52DA" w:rsidP="006E52DA">
      <w:pPr>
        <w:adjustRightInd w:val="0"/>
        <w:snapToGrid w:val="0"/>
      </w:pPr>
      <w:r w:rsidRPr="00D705BF">
        <w:rPr>
          <w:rFonts w:asciiTheme="majorEastAsia" w:eastAsiaTheme="majorEastAsia" w:hAnsiTheme="majorEastAsia" w:hint="eastAsia"/>
          <w:sz w:val="18"/>
          <w:szCs w:val="18"/>
        </w:rPr>
        <w:t>また、必要に応じ消防保安課以外の課員も従事する場合がある。</w:t>
      </w:r>
      <w:bookmarkEnd w:id="63"/>
    </w:p>
    <w:p w14:paraId="18D9B250" w14:textId="77777777" w:rsidR="005D372A" w:rsidRPr="001D6D10" w:rsidRDefault="005D372A" w:rsidP="005D372A">
      <w:pPr>
        <w:adjustRightInd w:val="0"/>
        <w:snapToGrid w:val="0"/>
      </w:pPr>
    </w:p>
    <w:p w14:paraId="729A71B0" w14:textId="77777777" w:rsidR="005D372A" w:rsidRPr="001D6D10" w:rsidRDefault="005D372A" w:rsidP="005D372A">
      <w:pPr>
        <w:adjustRightInd w:val="0"/>
        <w:snapToGrid w:val="0"/>
      </w:pPr>
    </w:p>
    <w:p w14:paraId="2A0869D8" w14:textId="77777777" w:rsidR="005D372A" w:rsidRPr="001D6D10" w:rsidRDefault="005D372A" w:rsidP="005D372A">
      <w:pPr>
        <w:adjustRightInd w:val="0"/>
        <w:snapToGrid w:val="0"/>
      </w:pPr>
    </w:p>
    <w:p w14:paraId="1FD15584" w14:textId="77777777" w:rsidR="00015EE5" w:rsidRPr="001D6D10" w:rsidRDefault="00015EE5">
      <w:pPr>
        <w:widowControl/>
        <w:jc w:val="left"/>
      </w:pPr>
      <w:r w:rsidRPr="001D6D10">
        <w:br w:type="page"/>
      </w:r>
    </w:p>
    <w:p w14:paraId="3CCA7ED2" w14:textId="77777777" w:rsidR="005D372A" w:rsidRPr="001D6D10" w:rsidRDefault="005D372A" w:rsidP="005D372A">
      <w:pPr>
        <w:adjustRightInd w:val="0"/>
        <w:snapToGrid w:val="0"/>
        <w:rPr>
          <w:vanish/>
        </w:rPr>
      </w:pPr>
    </w:p>
    <w:p w14:paraId="3F701E46" w14:textId="77777777" w:rsidR="005D372A" w:rsidRPr="001D6D10" w:rsidRDefault="005D372A" w:rsidP="005D372A">
      <w:pPr>
        <w:adjustRightInd w:val="0"/>
        <w:snapToGrid w:val="0"/>
        <w:rPr>
          <w:rFonts w:ascii="ＭＳ ゴシック" w:eastAsia="ＭＳ ゴシック" w:hAnsi="ＭＳ ゴシック"/>
          <w:b/>
        </w:rPr>
      </w:pPr>
      <w:r w:rsidRPr="001D6D10">
        <w:rPr>
          <w:rFonts w:ascii="ＭＳ ゴシック" w:eastAsia="ＭＳ ゴシック" w:hAnsi="ＭＳ ゴシック" w:hint="eastAsia"/>
          <w:b/>
        </w:rPr>
        <w:t>(2)第３フェーズ（発災後72時間まで）※時間は目安です。</w:t>
      </w:r>
    </w:p>
    <w:tbl>
      <w:tblPr>
        <w:tblW w:w="9009" w:type="dxa"/>
        <w:jc w:val="center"/>
        <w:tblBorders>
          <w:top w:val="thinThickSmallGap" w:sz="24" w:space="0" w:color="auto"/>
          <w:left w:val="thinThickSmallGap" w:sz="24" w:space="0" w:color="auto"/>
          <w:bottom w:val="thinThickSmallGap" w:sz="24" w:space="0" w:color="auto"/>
          <w:right w:val="thinThickSmallGap" w:sz="24" w:space="0" w:color="auto"/>
          <w:insideH w:val="thinThickSmallGap" w:sz="24" w:space="0" w:color="auto"/>
          <w:insideV w:val="thinThickSmallGap" w:sz="24" w:space="0" w:color="auto"/>
        </w:tblBorders>
        <w:tblLook w:val="04A0" w:firstRow="1" w:lastRow="0" w:firstColumn="1" w:lastColumn="0" w:noHBand="0" w:noVBand="1"/>
      </w:tblPr>
      <w:tblGrid>
        <w:gridCol w:w="1638"/>
        <w:gridCol w:w="7371"/>
      </w:tblGrid>
      <w:tr w:rsidR="005D372A" w:rsidRPr="001D6D10" w14:paraId="50B244E5" w14:textId="77777777" w:rsidTr="008B4B2B">
        <w:trPr>
          <w:jc w:val="center"/>
        </w:trPr>
        <w:tc>
          <w:tcPr>
            <w:tcW w:w="1638" w:type="dxa"/>
            <w:tcBorders>
              <w:top w:val="thinThickSmallGap" w:sz="24" w:space="0" w:color="auto"/>
              <w:left w:val="thinThickSmallGap" w:sz="24" w:space="0" w:color="auto"/>
              <w:bottom w:val="thinThickSmallGap" w:sz="24" w:space="0" w:color="auto"/>
              <w:right w:val="thinThickSmallGap" w:sz="24" w:space="0" w:color="auto"/>
            </w:tcBorders>
            <w:vAlign w:val="center"/>
            <w:hideMark/>
          </w:tcPr>
          <w:p w14:paraId="4B46310E" w14:textId="77777777" w:rsidR="005D372A" w:rsidRPr="001D6D10" w:rsidRDefault="005D372A" w:rsidP="008B4B2B">
            <w:pPr>
              <w:adjustRightInd w:val="0"/>
              <w:snapToGrid w:val="0"/>
              <w:jc w:val="center"/>
              <w:rPr>
                <w:rFonts w:ascii="ＭＳ ゴシック" w:eastAsia="ＭＳ ゴシック" w:hAnsi="ＭＳ ゴシック"/>
                <w:b/>
                <w:sz w:val="28"/>
                <w:szCs w:val="28"/>
              </w:rPr>
            </w:pPr>
            <w:r w:rsidRPr="001D6D10">
              <w:rPr>
                <w:rFonts w:ascii="ＭＳ ゴシック" w:eastAsia="ＭＳ ゴシック" w:hAnsi="ＭＳ ゴシック" w:hint="eastAsia"/>
                <w:b/>
                <w:sz w:val="28"/>
                <w:szCs w:val="28"/>
              </w:rPr>
              <w:t>目　標</w:t>
            </w:r>
          </w:p>
        </w:tc>
        <w:tc>
          <w:tcPr>
            <w:tcW w:w="7371" w:type="dxa"/>
            <w:tcBorders>
              <w:top w:val="thinThickSmallGap" w:sz="24" w:space="0" w:color="auto"/>
              <w:left w:val="thinThickSmallGap" w:sz="24" w:space="0" w:color="auto"/>
              <w:bottom w:val="thinThickSmallGap" w:sz="24" w:space="0" w:color="auto"/>
              <w:right w:val="thinThickSmallGap" w:sz="24" w:space="0" w:color="auto"/>
            </w:tcBorders>
            <w:vAlign w:val="center"/>
            <w:hideMark/>
          </w:tcPr>
          <w:p w14:paraId="5ED4C6D1" w14:textId="77777777" w:rsidR="005D372A" w:rsidRPr="001D6D10" w:rsidRDefault="005D372A" w:rsidP="008B4B2B">
            <w:pPr>
              <w:adjustRightInd w:val="0"/>
              <w:snapToGrid w:val="0"/>
              <w:ind w:firstLineChars="100" w:firstLine="212"/>
              <w:jc w:val="left"/>
              <w:rPr>
                <w:rFonts w:ascii="ＭＳ ゴシック" w:eastAsia="ＭＳ ゴシック" w:hAnsi="ＭＳ ゴシック"/>
                <w:b/>
              </w:rPr>
            </w:pPr>
            <w:r w:rsidRPr="001D6D10">
              <w:rPr>
                <w:rFonts w:ascii="ＭＳ ゴシック" w:eastAsia="ＭＳ ゴシック" w:hAnsi="ＭＳ ゴシック" w:hint="eastAsia"/>
                <w:b/>
              </w:rPr>
              <w:t>・被災者の救出救助に全力を尽くす</w:t>
            </w:r>
          </w:p>
          <w:p w14:paraId="23DC2CE0" w14:textId="77777777" w:rsidR="005D372A" w:rsidRPr="001D6D10" w:rsidRDefault="005D372A" w:rsidP="008B4B2B">
            <w:pPr>
              <w:adjustRightInd w:val="0"/>
              <w:snapToGrid w:val="0"/>
              <w:ind w:firstLineChars="100" w:firstLine="212"/>
              <w:jc w:val="left"/>
              <w:rPr>
                <w:rFonts w:ascii="ＭＳ ゴシック" w:eastAsia="ＭＳ ゴシック" w:hAnsi="ＭＳ ゴシック"/>
                <w:b/>
                <w:sz w:val="24"/>
              </w:rPr>
            </w:pPr>
            <w:r w:rsidRPr="001D6D10">
              <w:rPr>
                <w:rFonts w:ascii="ＭＳ ゴシック" w:eastAsia="ＭＳ ゴシック" w:hAnsi="ＭＳ ゴシック" w:hint="eastAsia"/>
                <w:b/>
              </w:rPr>
              <w:t>・避難者への物資等の供給体制の確立</w:t>
            </w:r>
          </w:p>
        </w:tc>
      </w:tr>
    </w:tbl>
    <w:p w14:paraId="6209F5E2" w14:textId="77777777" w:rsidR="005D372A" w:rsidRPr="001D6D10" w:rsidRDefault="005D372A" w:rsidP="005D372A">
      <w:pPr>
        <w:adjustRightInd w:val="0"/>
        <w:snapToGrid w:val="0"/>
      </w:pPr>
    </w:p>
    <w:tbl>
      <w:tblPr>
        <w:tblW w:w="881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96"/>
        <w:gridCol w:w="5072"/>
        <w:gridCol w:w="3150"/>
      </w:tblGrid>
      <w:tr w:rsidR="001D6D10" w:rsidRPr="00E0548A" w14:paraId="2DC033C6" w14:textId="77777777" w:rsidTr="006E52DA">
        <w:trPr>
          <w:trHeight w:val="200"/>
        </w:trPr>
        <w:tc>
          <w:tcPr>
            <w:tcW w:w="596" w:type="dxa"/>
            <w:vMerge w:val="restart"/>
            <w:tcBorders>
              <w:top w:val="single" w:sz="4" w:space="0" w:color="auto"/>
              <w:left w:val="single" w:sz="4" w:space="0" w:color="auto"/>
              <w:bottom w:val="single" w:sz="4" w:space="0" w:color="auto"/>
              <w:right w:val="single" w:sz="4" w:space="0" w:color="auto"/>
            </w:tcBorders>
            <w:shd w:val="clear" w:color="auto" w:fill="F2F2F2"/>
            <w:vAlign w:val="center"/>
            <w:hideMark/>
          </w:tcPr>
          <w:p w14:paraId="332AC023" w14:textId="77777777" w:rsidR="00382C5E" w:rsidRPr="00E0548A" w:rsidRDefault="00382C5E" w:rsidP="008B4B2B">
            <w:pPr>
              <w:adjustRightInd w:val="0"/>
              <w:snapToGrid w:val="0"/>
              <w:spacing w:line="240" w:lineRule="exact"/>
              <w:jc w:val="center"/>
              <w:rPr>
                <w:rFonts w:ascii="ＭＳ ゴシック" w:eastAsia="ＭＳ ゴシック" w:hAnsi="ＭＳ ゴシック"/>
                <w:w w:val="50"/>
                <w:sz w:val="18"/>
                <w:szCs w:val="18"/>
              </w:rPr>
            </w:pPr>
            <w:r w:rsidRPr="00E0548A">
              <w:rPr>
                <w:rFonts w:ascii="ＭＳ ゴシック" w:eastAsia="ＭＳ ゴシック" w:hAnsi="ＭＳ ゴシック" w:hint="eastAsia"/>
                <w:w w:val="50"/>
                <w:sz w:val="18"/>
                <w:szCs w:val="18"/>
              </w:rPr>
              <w:t>班</w:t>
            </w:r>
          </w:p>
        </w:tc>
        <w:tc>
          <w:tcPr>
            <w:tcW w:w="5072" w:type="dxa"/>
            <w:vMerge w:val="restart"/>
            <w:tcBorders>
              <w:top w:val="single" w:sz="4" w:space="0" w:color="auto"/>
              <w:left w:val="single" w:sz="4" w:space="0" w:color="auto"/>
              <w:right w:val="single" w:sz="4" w:space="0" w:color="auto"/>
            </w:tcBorders>
            <w:shd w:val="clear" w:color="auto" w:fill="F2F2F2"/>
            <w:vAlign w:val="center"/>
            <w:hideMark/>
          </w:tcPr>
          <w:p w14:paraId="0A19BAD0" w14:textId="77777777" w:rsidR="00382C5E" w:rsidRPr="00E0548A" w:rsidRDefault="00382C5E" w:rsidP="008B4B2B">
            <w:pPr>
              <w:adjustRightInd w:val="0"/>
              <w:snapToGrid w:val="0"/>
              <w:spacing w:line="240" w:lineRule="exact"/>
              <w:jc w:val="center"/>
              <w:rPr>
                <w:rFonts w:ascii="ＭＳ ゴシック" w:eastAsia="ＭＳ ゴシック" w:hAnsi="ＭＳ ゴシック"/>
                <w:w w:val="50"/>
                <w:sz w:val="18"/>
                <w:szCs w:val="18"/>
              </w:rPr>
            </w:pPr>
            <w:r w:rsidRPr="00E0548A">
              <w:rPr>
                <w:rFonts w:ascii="ＭＳ ゴシック" w:eastAsia="ＭＳ ゴシック" w:hAnsi="ＭＳ ゴシック" w:hint="eastAsia"/>
                <w:w w:val="50"/>
                <w:sz w:val="18"/>
                <w:szCs w:val="18"/>
              </w:rPr>
              <w:t>主な業務項目</w:t>
            </w:r>
          </w:p>
        </w:tc>
        <w:tc>
          <w:tcPr>
            <w:tcW w:w="3150" w:type="dxa"/>
            <w:tcBorders>
              <w:top w:val="single" w:sz="4" w:space="0" w:color="auto"/>
              <w:left w:val="single" w:sz="4" w:space="0" w:color="auto"/>
              <w:right w:val="single" w:sz="4" w:space="0" w:color="auto"/>
            </w:tcBorders>
            <w:shd w:val="clear" w:color="auto" w:fill="F2F2F2"/>
            <w:vAlign w:val="center"/>
          </w:tcPr>
          <w:p w14:paraId="1820649A" w14:textId="77777777" w:rsidR="00382C5E" w:rsidRPr="00E0548A" w:rsidRDefault="00382C5E" w:rsidP="00382C5E">
            <w:pPr>
              <w:adjustRightInd w:val="0"/>
              <w:snapToGrid w:val="0"/>
              <w:spacing w:line="240" w:lineRule="exact"/>
              <w:jc w:val="center"/>
              <w:rPr>
                <w:rFonts w:ascii="ＭＳ ゴシック" w:eastAsia="ＭＳ ゴシック" w:hAnsi="ＭＳ ゴシック"/>
                <w:w w:val="50"/>
                <w:sz w:val="18"/>
                <w:szCs w:val="18"/>
              </w:rPr>
            </w:pPr>
            <w:r w:rsidRPr="00E0548A">
              <w:rPr>
                <w:rFonts w:ascii="ＭＳ ゴシック" w:eastAsia="ＭＳ ゴシック" w:hAnsi="ＭＳ ゴシック" w:hint="eastAsia"/>
                <w:w w:val="50"/>
                <w:sz w:val="18"/>
                <w:szCs w:val="18"/>
              </w:rPr>
              <w:t>構成員</w:t>
            </w:r>
          </w:p>
        </w:tc>
      </w:tr>
      <w:tr w:rsidR="001D6D10" w:rsidRPr="00E0548A" w14:paraId="72E490CA" w14:textId="77777777" w:rsidTr="006E52DA">
        <w:trPr>
          <w:trHeight w:val="262"/>
        </w:trPr>
        <w:tc>
          <w:tcPr>
            <w:tcW w:w="596" w:type="dxa"/>
            <w:vMerge/>
            <w:tcBorders>
              <w:top w:val="single" w:sz="4" w:space="0" w:color="auto"/>
              <w:left w:val="single" w:sz="4" w:space="0" w:color="auto"/>
              <w:bottom w:val="single" w:sz="4" w:space="0" w:color="auto"/>
              <w:right w:val="single" w:sz="4" w:space="0" w:color="auto"/>
            </w:tcBorders>
            <w:shd w:val="clear" w:color="auto" w:fill="F2F2F2"/>
            <w:vAlign w:val="center"/>
            <w:hideMark/>
          </w:tcPr>
          <w:p w14:paraId="418F05E0" w14:textId="77777777" w:rsidR="00382C5E" w:rsidRPr="00E0548A" w:rsidRDefault="00382C5E" w:rsidP="008B4B2B">
            <w:pPr>
              <w:widowControl/>
              <w:adjustRightInd w:val="0"/>
              <w:snapToGrid w:val="0"/>
              <w:spacing w:line="240" w:lineRule="exact"/>
              <w:jc w:val="center"/>
              <w:rPr>
                <w:rFonts w:ascii="ＭＳ ゴシック" w:eastAsia="ＭＳ ゴシック" w:hAnsi="ＭＳ ゴシック"/>
                <w:w w:val="50"/>
                <w:sz w:val="18"/>
                <w:szCs w:val="18"/>
              </w:rPr>
            </w:pPr>
          </w:p>
        </w:tc>
        <w:tc>
          <w:tcPr>
            <w:tcW w:w="5072" w:type="dxa"/>
            <w:vMerge/>
            <w:tcBorders>
              <w:left w:val="single" w:sz="4" w:space="0" w:color="auto"/>
              <w:bottom w:val="single" w:sz="4" w:space="0" w:color="auto"/>
              <w:right w:val="single" w:sz="4" w:space="0" w:color="auto"/>
            </w:tcBorders>
            <w:shd w:val="clear" w:color="auto" w:fill="F2F2F2"/>
            <w:vAlign w:val="center"/>
            <w:hideMark/>
          </w:tcPr>
          <w:p w14:paraId="26E13F23" w14:textId="77777777" w:rsidR="00382C5E" w:rsidRPr="00E0548A" w:rsidRDefault="00382C5E" w:rsidP="008B4B2B">
            <w:pPr>
              <w:widowControl/>
              <w:adjustRightInd w:val="0"/>
              <w:snapToGrid w:val="0"/>
              <w:spacing w:line="240" w:lineRule="exact"/>
              <w:jc w:val="left"/>
              <w:rPr>
                <w:rFonts w:ascii="ＭＳ ゴシック" w:eastAsia="ＭＳ ゴシック" w:hAnsi="ＭＳ ゴシック"/>
                <w:w w:val="50"/>
                <w:sz w:val="18"/>
                <w:szCs w:val="18"/>
              </w:rPr>
            </w:pPr>
          </w:p>
        </w:tc>
        <w:tc>
          <w:tcPr>
            <w:tcW w:w="3150" w:type="dxa"/>
            <w:tcBorders>
              <w:top w:val="single" w:sz="4" w:space="0" w:color="auto"/>
              <w:left w:val="single" w:sz="4" w:space="0" w:color="auto"/>
              <w:bottom w:val="single" w:sz="4" w:space="0" w:color="auto"/>
              <w:right w:val="single" w:sz="4" w:space="0" w:color="auto"/>
            </w:tcBorders>
            <w:shd w:val="clear" w:color="auto" w:fill="F2F2F2"/>
            <w:vAlign w:val="center"/>
          </w:tcPr>
          <w:p w14:paraId="2A3FF69C" w14:textId="77777777" w:rsidR="00382C5E" w:rsidRPr="00E0548A" w:rsidRDefault="00382C5E" w:rsidP="008B4B2B">
            <w:pPr>
              <w:adjustRightInd w:val="0"/>
              <w:snapToGrid w:val="0"/>
              <w:spacing w:line="240" w:lineRule="exact"/>
              <w:jc w:val="center"/>
              <w:rPr>
                <w:rFonts w:ascii="ＭＳ ゴシック" w:eastAsia="ＭＳ ゴシック" w:hAnsi="ＭＳ ゴシック"/>
                <w:w w:val="50"/>
                <w:sz w:val="18"/>
                <w:szCs w:val="18"/>
              </w:rPr>
            </w:pPr>
            <w:r w:rsidRPr="00E0548A">
              <w:rPr>
                <w:rFonts w:ascii="ＭＳ ゴシック" w:eastAsia="ＭＳ ゴシック" w:hAnsi="ＭＳ ゴシック" w:hint="eastAsia"/>
                <w:w w:val="50"/>
                <w:sz w:val="18"/>
                <w:szCs w:val="18"/>
              </w:rPr>
              <w:t>非常3号（災対本部）</w:t>
            </w:r>
          </w:p>
        </w:tc>
      </w:tr>
      <w:tr w:rsidR="001D6D10" w:rsidRPr="00E0548A" w14:paraId="38B121AC" w14:textId="77777777" w:rsidTr="006E52DA">
        <w:trPr>
          <w:trHeight w:val="629"/>
        </w:trPr>
        <w:tc>
          <w:tcPr>
            <w:tcW w:w="596" w:type="dxa"/>
            <w:vMerge w:val="restart"/>
            <w:tcBorders>
              <w:top w:val="single" w:sz="4" w:space="0" w:color="auto"/>
              <w:left w:val="single" w:sz="4" w:space="0" w:color="auto"/>
              <w:right w:val="single" w:sz="4" w:space="0" w:color="auto"/>
            </w:tcBorders>
            <w:textDirection w:val="tbRlV"/>
            <w:vAlign w:val="center"/>
            <w:hideMark/>
          </w:tcPr>
          <w:p w14:paraId="45939895" w14:textId="383C7B4C" w:rsidR="00382C5E" w:rsidRPr="00E0548A" w:rsidRDefault="00382C5E" w:rsidP="004A45EB">
            <w:pPr>
              <w:widowControl/>
              <w:adjustRightInd w:val="0"/>
              <w:snapToGrid w:val="0"/>
              <w:spacing w:line="240" w:lineRule="exact"/>
              <w:ind w:left="113" w:right="113"/>
              <w:jc w:val="center"/>
              <w:rPr>
                <w:rFonts w:ascii="ＭＳ ゴシック" w:eastAsia="ＭＳ ゴシック" w:hAnsi="ＭＳ ゴシック"/>
                <w:w w:val="50"/>
                <w:sz w:val="18"/>
                <w:szCs w:val="18"/>
              </w:rPr>
            </w:pPr>
            <w:r w:rsidRPr="00E0548A">
              <w:rPr>
                <w:rFonts w:ascii="ＭＳ ゴシック" w:eastAsia="ＭＳ ゴシック" w:hAnsi="ＭＳ ゴシック" w:hint="eastAsia"/>
                <w:kern w:val="0"/>
                <w:sz w:val="18"/>
                <w:szCs w:val="18"/>
              </w:rPr>
              <w:t>統括</w:t>
            </w:r>
            <w:r w:rsidR="00BB63B3" w:rsidRPr="00E0548A">
              <w:rPr>
                <w:rFonts w:ascii="ＭＳ ゴシック" w:eastAsia="ＭＳ ゴシック" w:hAnsi="ＭＳ ゴシック" w:hint="eastAsia"/>
                <w:kern w:val="0"/>
                <w:sz w:val="18"/>
                <w:szCs w:val="18"/>
              </w:rPr>
              <w:t>班</w:t>
            </w:r>
          </w:p>
        </w:tc>
        <w:tc>
          <w:tcPr>
            <w:tcW w:w="5072" w:type="dxa"/>
            <w:vMerge w:val="restart"/>
            <w:tcBorders>
              <w:top w:val="single" w:sz="4" w:space="0" w:color="auto"/>
              <w:left w:val="single" w:sz="4" w:space="0" w:color="auto"/>
              <w:right w:val="single" w:sz="4" w:space="0" w:color="auto"/>
            </w:tcBorders>
            <w:vAlign w:val="center"/>
            <w:hideMark/>
          </w:tcPr>
          <w:p w14:paraId="4A516811" w14:textId="77777777" w:rsidR="00DF1212" w:rsidRPr="00E0548A" w:rsidRDefault="00DF1212" w:rsidP="004A45EB">
            <w:pPr>
              <w:adjustRightInd w:val="0"/>
              <w:snapToGrid w:val="0"/>
              <w:spacing w:line="240" w:lineRule="exact"/>
              <w:jc w:val="left"/>
              <w:rPr>
                <w:rFonts w:ascii="ＭＳ ゴシック" w:eastAsia="ＭＳ ゴシック" w:hAnsi="ＭＳ ゴシック"/>
                <w:w w:val="50"/>
                <w:sz w:val="18"/>
                <w:szCs w:val="18"/>
              </w:rPr>
            </w:pPr>
            <w:r w:rsidRPr="00E0548A">
              <w:rPr>
                <w:rFonts w:ascii="ＭＳ ゴシック" w:eastAsia="ＭＳ ゴシック" w:hAnsi="ＭＳ ゴシック" w:hint="eastAsia"/>
                <w:w w:val="50"/>
                <w:sz w:val="18"/>
                <w:szCs w:val="18"/>
              </w:rPr>
              <w:t>○災害対策本部会議の資料および報道提供資料作成</w:t>
            </w:r>
          </w:p>
          <w:p w14:paraId="30122925" w14:textId="77777777" w:rsidR="00DF1212" w:rsidRPr="00E0548A" w:rsidRDefault="00DF1212" w:rsidP="004A45EB">
            <w:pPr>
              <w:adjustRightInd w:val="0"/>
              <w:snapToGrid w:val="0"/>
              <w:spacing w:line="240" w:lineRule="exact"/>
              <w:jc w:val="left"/>
              <w:rPr>
                <w:rFonts w:ascii="ＭＳ ゴシック" w:eastAsia="ＭＳ ゴシック" w:hAnsi="ＭＳ ゴシック"/>
                <w:w w:val="50"/>
                <w:sz w:val="18"/>
                <w:szCs w:val="18"/>
              </w:rPr>
            </w:pPr>
            <w:r w:rsidRPr="00E0548A">
              <w:rPr>
                <w:rFonts w:ascii="ＭＳ ゴシック" w:eastAsia="ＭＳ ゴシック" w:hAnsi="ＭＳ ゴシック" w:hint="eastAsia"/>
                <w:w w:val="50"/>
                <w:sz w:val="18"/>
                <w:szCs w:val="18"/>
              </w:rPr>
              <w:t>〇現地情報連絡員の派遣及び連絡・指示</w:t>
            </w:r>
          </w:p>
          <w:p w14:paraId="43C14988" w14:textId="77777777" w:rsidR="00DF1212" w:rsidRPr="00E0548A" w:rsidRDefault="00DF1212" w:rsidP="004A45EB">
            <w:pPr>
              <w:adjustRightInd w:val="0"/>
              <w:snapToGrid w:val="0"/>
              <w:spacing w:line="240" w:lineRule="exact"/>
              <w:jc w:val="left"/>
              <w:rPr>
                <w:rFonts w:ascii="ＭＳ ゴシック" w:eastAsia="ＭＳ ゴシック" w:hAnsi="ＭＳ ゴシック"/>
                <w:w w:val="50"/>
                <w:sz w:val="18"/>
                <w:szCs w:val="18"/>
              </w:rPr>
            </w:pPr>
            <w:r w:rsidRPr="00E0548A">
              <w:rPr>
                <w:rFonts w:ascii="ＭＳ ゴシック" w:eastAsia="ＭＳ ゴシック" w:hAnsi="ＭＳ ゴシック" w:hint="eastAsia"/>
                <w:w w:val="50"/>
                <w:sz w:val="18"/>
                <w:szCs w:val="18"/>
              </w:rPr>
              <w:t>〇国関係省庁情報連絡会議の開催（毎日夕方実施）</w:t>
            </w:r>
          </w:p>
          <w:p w14:paraId="692EBF1F" w14:textId="77777777" w:rsidR="00382C5E" w:rsidRPr="00E0548A" w:rsidRDefault="00382C5E" w:rsidP="004A45EB">
            <w:pPr>
              <w:adjustRightInd w:val="0"/>
              <w:snapToGrid w:val="0"/>
              <w:spacing w:line="240" w:lineRule="exact"/>
              <w:jc w:val="left"/>
              <w:rPr>
                <w:rFonts w:ascii="ＭＳ ゴシック" w:eastAsia="ＭＳ ゴシック" w:hAnsi="ＭＳ ゴシック"/>
                <w:w w:val="50"/>
                <w:sz w:val="18"/>
                <w:szCs w:val="18"/>
              </w:rPr>
            </w:pPr>
            <w:r w:rsidRPr="00E0548A">
              <w:rPr>
                <w:rFonts w:ascii="ＭＳ ゴシック" w:eastAsia="ＭＳ ゴシック" w:hAnsi="ＭＳ ゴシック" w:hint="eastAsia"/>
                <w:w w:val="50"/>
                <w:sz w:val="18"/>
                <w:szCs w:val="18"/>
              </w:rPr>
              <w:t>○情報の総合集約(事務局班長会議の主催)</w:t>
            </w:r>
          </w:p>
          <w:p w14:paraId="4166E480" w14:textId="77777777" w:rsidR="00382C5E" w:rsidRPr="00E0548A" w:rsidRDefault="00382C5E" w:rsidP="004A45EB">
            <w:pPr>
              <w:adjustRightInd w:val="0"/>
              <w:snapToGrid w:val="0"/>
              <w:spacing w:line="240" w:lineRule="exact"/>
              <w:jc w:val="left"/>
              <w:rPr>
                <w:rFonts w:ascii="ＭＳ ゴシック" w:eastAsia="ＭＳ ゴシック" w:hAnsi="ＭＳ ゴシック"/>
                <w:w w:val="50"/>
                <w:sz w:val="18"/>
                <w:szCs w:val="18"/>
              </w:rPr>
            </w:pPr>
            <w:r w:rsidRPr="00E0548A">
              <w:rPr>
                <w:rFonts w:ascii="ＭＳ ゴシック" w:eastAsia="ＭＳ ゴシック" w:hAnsi="ＭＳ ゴシック" w:hint="eastAsia"/>
                <w:w w:val="50"/>
                <w:sz w:val="18"/>
                <w:szCs w:val="18"/>
              </w:rPr>
              <w:t>○対策に関する総合調整</w:t>
            </w:r>
          </w:p>
          <w:p w14:paraId="43AD1896" w14:textId="77777777" w:rsidR="00382C5E" w:rsidRPr="00E0548A" w:rsidRDefault="00382C5E" w:rsidP="004A45EB">
            <w:pPr>
              <w:adjustRightInd w:val="0"/>
              <w:snapToGrid w:val="0"/>
              <w:spacing w:line="240" w:lineRule="exact"/>
              <w:jc w:val="left"/>
              <w:rPr>
                <w:rFonts w:ascii="ＭＳ ゴシック" w:eastAsia="ＭＳ ゴシック" w:hAnsi="ＭＳ ゴシック"/>
                <w:w w:val="50"/>
                <w:sz w:val="18"/>
                <w:szCs w:val="18"/>
              </w:rPr>
            </w:pPr>
            <w:r w:rsidRPr="00E0548A">
              <w:rPr>
                <w:rFonts w:ascii="ＭＳ ゴシック" w:eastAsia="ＭＳ ゴシック" w:hAnsi="ＭＳ ゴシック" w:hint="eastAsia"/>
                <w:w w:val="50"/>
                <w:sz w:val="18"/>
                <w:szCs w:val="18"/>
              </w:rPr>
              <w:t>○事務局班間の人員調整</w:t>
            </w:r>
          </w:p>
          <w:p w14:paraId="2358CCFB" w14:textId="7338BDF7" w:rsidR="00BB63B3" w:rsidRPr="00E0548A" w:rsidRDefault="00BB63B3" w:rsidP="004A45EB">
            <w:pPr>
              <w:adjustRightInd w:val="0"/>
              <w:snapToGrid w:val="0"/>
              <w:spacing w:line="240" w:lineRule="exact"/>
              <w:jc w:val="left"/>
              <w:rPr>
                <w:rFonts w:ascii="ＭＳ ゴシック" w:eastAsia="ＭＳ ゴシック" w:hAnsi="ＭＳ ゴシック"/>
                <w:w w:val="50"/>
                <w:sz w:val="18"/>
                <w:szCs w:val="18"/>
              </w:rPr>
            </w:pPr>
            <w:r w:rsidRPr="00E0548A">
              <w:rPr>
                <w:rFonts w:ascii="ＭＳ ゴシック" w:eastAsia="ＭＳ ゴシック" w:hAnsi="ＭＳ ゴシック" w:hint="eastAsia"/>
                <w:w w:val="50"/>
                <w:sz w:val="18"/>
                <w:szCs w:val="18"/>
              </w:rPr>
              <w:t>○リエゾン間の情報共有会議の開催</w:t>
            </w:r>
          </w:p>
        </w:tc>
        <w:tc>
          <w:tcPr>
            <w:tcW w:w="3150" w:type="dxa"/>
            <w:tcBorders>
              <w:top w:val="single" w:sz="4" w:space="0" w:color="auto"/>
              <w:left w:val="single" w:sz="4" w:space="0" w:color="auto"/>
              <w:bottom w:val="single" w:sz="4" w:space="0" w:color="auto"/>
              <w:right w:val="single" w:sz="4" w:space="0" w:color="auto"/>
            </w:tcBorders>
            <w:vAlign w:val="center"/>
          </w:tcPr>
          <w:p w14:paraId="20BC81CB" w14:textId="77777777" w:rsidR="00382C5E" w:rsidRPr="00E0548A" w:rsidRDefault="00382C5E" w:rsidP="004A45EB">
            <w:pPr>
              <w:adjustRightInd w:val="0"/>
              <w:snapToGrid w:val="0"/>
              <w:spacing w:line="240" w:lineRule="exact"/>
              <w:jc w:val="left"/>
              <w:rPr>
                <w:rFonts w:ascii="ＭＳ ゴシック" w:eastAsia="ＭＳ ゴシック" w:hAnsi="ＭＳ ゴシック"/>
                <w:w w:val="50"/>
                <w:sz w:val="18"/>
                <w:szCs w:val="18"/>
              </w:rPr>
            </w:pPr>
            <w:r w:rsidRPr="00E0548A">
              <w:rPr>
                <w:rFonts w:ascii="ＭＳ ゴシック" w:eastAsia="ＭＳ ゴシック" w:hAnsi="ＭＳ ゴシック" w:hint="eastAsia"/>
                <w:w w:val="50"/>
                <w:sz w:val="18"/>
                <w:szCs w:val="18"/>
              </w:rPr>
              <w:t>危機管理監</w:t>
            </w:r>
          </w:p>
          <w:p w14:paraId="7ACBFC98" w14:textId="77777777" w:rsidR="00382C5E" w:rsidRPr="00E0548A" w:rsidRDefault="00382C5E" w:rsidP="004A45EB">
            <w:pPr>
              <w:adjustRightInd w:val="0"/>
              <w:snapToGrid w:val="0"/>
              <w:spacing w:line="240" w:lineRule="exact"/>
              <w:ind w:firstLineChars="100" w:firstLine="91"/>
              <w:jc w:val="left"/>
              <w:rPr>
                <w:rFonts w:ascii="ＭＳ ゴシック" w:eastAsia="ＭＳ ゴシック" w:hAnsi="ＭＳ ゴシック"/>
                <w:w w:val="50"/>
                <w:sz w:val="18"/>
                <w:szCs w:val="18"/>
              </w:rPr>
            </w:pPr>
            <w:r w:rsidRPr="00E0548A">
              <w:rPr>
                <w:rFonts w:ascii="ＭＳ ゴシック" w:eastAsia="ＭＳ ゴシック" w:hAnsi="ＭＳ ゴシック" w:hint="eastAsia"/>
                <w:w w:val="50"/>
                <w:sz w:val="18"/>
                <w:szCs w:val="18"/>
              </w:rPr>
              <w:t>危機管理室長</w:t>
            </w:r>
          </w:p>
          <w:p w14:paraId="7EA647BB" w14:textId="77777777" w:rsidR="00382C5E" w:rsidRPr="00E0548A" w:rsidRDefault="00382C5E" w:rsidP="004A45EB">
            <w:pPr>
              <w:adjustRightInd w:val="0"/>
              <w:snapToGrid w:val="0"/>
              <w:spacing w:line="240" w:lineRule="exact"/>
              <w:ind w:firstLineChars="100" w:firstLine="91"/>
              <w:jc w:val="left"/>
              <w:rPr>
                <w:rFonts w:ascii="ＭＳ ゴシック" w:eastAsia="ＭＳ ゴシック" w:hAnsi="ＭＳ ゴシック"/>
                <w:w w:val="50"/>
                <w:sz w:val="18"/>
                <w:szCs w:val="18"/>
              </w:rPr>
            </w:pPr>
            <w:r w:rsidRPr="00E0548A">
              <w:rPr>
                <w:rFonts w:ascii="ＭＳ ゴシック" w:eastAsia="ＭＳ ゴシック" w:hAnsi="ＭＳ ゴシック" w:hint="eastAsia"/>
                <w:w w:val="50"/>
                <w:sz w:val="18"/>
                <w:szCs w:val="18"/>
              </w:rPr>
              <w:t xml:space="preserve">　危機管理課センター長</w:t>
            </w:r>
          </w:p>
          <w:p w14:paraId="4C1ABC28" w14:textId="77777777" w:rsidR="007C5159" w:rsidRPr="00E0548A" w:rsidRDefault="007C5159" w:rsidP="004A45EB">
            <w:pPr>
              <w:adjustRightInd w:val="0"/>
              <w:snapToGrid w:val="0"/>
              <w:spacing w:line="240" w:lineRule="exact"/>
              <w:ind w:firstLineChars="100" w:firstLine="91"/>
              <w:jc w:val="left"/>
              <w:rPr>
                <w:rFonts w:ascii="ＭＳ ゴシック" w:eastAsia="ＭＳ ゴシック" w:hAnsi="ＭＳ ゴシック"/>
                <w:w w:val="50"/>
                <w:sz w:val="18"/>
                <w:szCs w:val="18"/>
              </w:rPr>
            </w:pPr>
            <w:r w:rsidRPr="00E0548A">
              <w:rPr>
                <w:rFonts w:ascii="ＭＳ ゴシック" w:eastAsia="ＭＳ ゴシック" w:hAnsi="ＭＳ ゴシック" w:hint="eastAsia"/>
                <w:w w:val="50"/>
                <w:sz w:val="18"/>
                <w:szCs w:val="18"/>
              </w:rPr>
              <w:t xml:space="preserve">　消防保安課参事</w:t>
            </w:r>
          </w:p>
        </w:tc>
      </w:tr>
      <w:tr w:rsidR="001D6D10" w:rsidRPr="00E0548A" w14:paraId="6359CFD7" w14:textId="77777777" w:rsidTr="006E52DA">
        <w:trPr>
          <w:trHeight w:val="186"/>
        </w:trPr>
        <w:tc>
          <w:tcPr>
            <w:tcW w:w="596" w:type="dxa"/>
            <w:vMerge/>
            <w:tcBorders>
              <w:top w:val="single" w:sz="4" w:space="0" w:color="auto"/>
              <w:left w:val="single" w:sz="4" w:space="0" w:color="auto"/>
              <w:right w:val="single" w:sz="4" w:space="0" w:color="auto"/>
            </w:tcBorders>
            <w:vAlign w:val="center"/>
          </w:tcPr>
          <w:p w14:paraId="7E65A6D6" w14:textId="77777777" w:rsidR="00382C5E" w:rsidRPr="00E0548A" w:rsidRDefault="00382C5E" w:rsidP="004A45EB">
            <w:pPr>
              <w:adjustRightInd w:val="0"/>
              <w:snapToGrid w:val="0"/>
              <w:spacing w:line="240" w:lineRule="exact"/>
              <w:jc w:val="center"/>
              <w:rPr>
                <w:rFonts w:ascii="ＭＳ ゴシック" w:eastAsia="ＭＳ ゴシック" w:hAnsi="ＭＳ ゴシック"/>
                <w:w w:val="50"/>
                <w:sz w:val="18"/>
                <w:szCs w:val="18"/>
              </w:rPr>
            </w:pPr>
          </w:p>
        </w:tc>
        <w:tc>
          <w:tcPr>
            <w:tcW w:w="5072" w:type="dxa"/>
            <w:vMerge/>
            <w:tcBorders>
              <w:left w:val="single" w:sz="4" w:space="0" w:color="auto"/>
              <w:bottom w:val="single" w:sz="4" w:space="0" w:color="auto"/>
              <w:right w:val="single" w:sz="4" w:space="0" w:color="auto"/>
            </w:tcBorders>
            <w:vAlign w:val="center"/>
          </w:tcPr>
          <w:p w14:paraId="1CBE5A67" w14:textId="77777777" w:rsidR="00382C5E" w:rsidRPr="00E0548A" w:rsidRDefault="00382C5E" w:rsidP="004A45EB">
            <w:pPr>
              <w:adjustRightInd w:val="0"/>
              <w:snapToGrid w:val="0"/>
              <w:spacing w:line="240" w:lineRule="exact"/>
              <w:jc w:val="left"/>
              <w:rPr>
                <w:rFonts w:ascii="ＭＳ ゴシック" w:eastAsia="ＭＳ ゴシック" w:hAnsi="ＭＳ ゴシック"/>
                <w:w w:val="50"/>
                <w:sz w:val="18"/>
                <w:szCs w:val="18"/>
              </w:rPr>
            </w:pPr>
          </w:p>
        </w:tc>
        <w:tc>
          <w:tcPr>
            <w:tcW w:w="3150" w:type="dxa"/>
            <w:tcBorders>
              <w:top w:val="single" w:sz="4" w:space="0" w:color="auto"/>
              <w:left w:val="single" w:sz="4" w:space="0" w:color="auto"/>
              <w:bottom w:val="single" w:sz="4" w:space="0" w:color="auto"/>
              <w:right w:val="single" w:sz="4" w:space="0" w:color="auto"/>
            </w:tcBorders>
            <w:vAlign w:val="center"/>
          </w:tcPr>
          <w:p w14:paraId="4D9EE23B" w14:textId="77777777" w:rsidR="00382C5E" w:rsidRPr="00E0548A" w:rsidRDefault="00382C5E" w:rsidP="004A45EB">
            <w:pPr>
              <w:adjustRightInd w:val="0"/>
              <w:snapToGrid w:val="0"/>
              <w:spacing w:line="240" w:lineRule="exact"/>
              <w:jc w:val="left"/>
              <w:rPr>
                <w:rFonts w:ascii="ＭＳ ゴシック" w:eastAsia="ＭＳ ゴシック" w:hAnsi="ＭＳ ゴシック"/>
                <w:w w:val="50"/>
                <w:sz w:val="18"/>
                <w:szCs w:val="18"/>
              </w:rPr>
            </w:pPr>
            <w:r w:rsidRPr="00E0548A">
              <w:rPr>
                <w:rFonts w:ascii="ＭＳ ゴシック" w:eastAsia="ＭＳ ゴシック" w:hAnsi="ＭＳ ゴシック" w:hint="eastAsia"/>
                <w:w w:val="50"/>
                <w:sz w:val="18"/>
                <w:szCs w:val="18"/>
              </w:rPr>
              <w:t>危機管理室(2名)</w:t>
            </w:r>
          </w:p>
        </w:tc>
      </w:tr>
      <w:tr w:rsidR="001D6D10" w:rsidRPr="00E0548A" w14:paraId="30B670AA" w14:textId="77777777" w:rsidTr="006E52DA">
        <w:trPr>
          <w:trHeight w:val="418"/>
        </w:trPr>
        <w:tc>
          <w:tcPr>
            <w:tcW w:w="596" w:type="dxa"/>
            <w:vMerge w:val="restart"/>
            <w:tcBorders>
              <w:top w:val="single" w:sz="4" w:space="0" w:color="auto"/>
              <w:left w:val="single" w:sz="4" w:space="0" w:color="auto"/>
              <w:bottom w:val="single" w:sz="4" w:space="0" w:color="auto"/>
              <w:right w:val="single" w:sz="4" w:space="0" w:color="auto"/>
            </w:tcBorders>
            <w:textDirection w:val="tbRlV"/>
            <w:vAlign w:val="center"/>
            <w:hideMark/>
          </w:tcPr>
          <w:p w14:paraId="07876637" w14:textId="77777777" w:rsidR="00382C5E" w:rsidRPr="00E0548A" w:rsidRDefault="00382C5E" w:rsidP="004A45EB">
            <w:pPr>
              <w:widowControl/>
              <w:adjustRightInd w:val="0"/>
              <w:snapToGrid w:val="0"/>
              <w:spacing w:line="240" w:lineRule="exact"/>
              <w:ind w:left="113" w:right="113"/>
              <w:jc w:val="center"/>
              <w:rPr>
                <w:rFonts w:ascii="ＭＳ ゴシック" w:eastAsia="ＭＳ ゴシック" w:hAnsi="ＭＳ ゴシック"/>
                <w:w w:val="50"/>
                <w:sz w:val="18"/>
                <w:szCs w:val="18"/>
              </w:rPr>
            </w:pPr>
            <w:r w:rsidRPr="00E0548A">
              <w:rPr>
                <w:rFonts w:ascii="ＭＳ ゴシック" w:eastAsia="ＭＳ ゴシック" w:hAnsi="ＭＳ ゴシック" w:hint="eastAsia"/>
                <w:kern w:val="0"/>
                <w:sz w:val="18"/>
                <w:szCs w:val="18"/>
              </w:rPr>
              <w:t>総務・広報班</w:t>
            </w:r>
          </w:p>
        </w:tc>
        <w:tc>
          <w:tcPr>
            <w:tcW w:w="5072" w:type="dxa"/>
            <w:vMerge w:val="restart"/>
            <w:tcBorders>
              <w:top w:val="single" w:sz="4" w:space="0" w:color="auto"/>
              <w:left w:val="single" w:sz="4" w:space="0" w:color="auto"/>
              <w:right w:val="single" w:sz="4" w:space="0" w:color="auto"/>
            </w:tcBorders>
            <w:vAlign w:val="center"/>
          </w:tcPr>
          <w:p w14:paraId="7069102A" w14:textId="77777777" w:rsidR="00382C5E" w:rsidRPr="00E0548A" w:rsidRDefault="00382C5E" w:rsidP="004A45EB">
            <w:pPr>
              <w:adjustRightInd w:val="0"/>
              <w:snapToGrid w:val="0"/>
              <w:spacing w:line="240" w:lineRule="exact"/>
              <w:jc w:val="left"/>
              <w:rPr>
                <w:rFonts w:ascii="ＭＳ ゴシック" w:eastAsia="ＭＳ ゴシック" w:hAnsi="ＭＳ ゴシック"/>
                <w:w w:val="50"/>
                <w:sz w:val="18"/>
                <w:szCs w:val="18"/>
              </w:rPr>
            </w:pPr>
            <w:r w:rsidRPr="00E0548A">
              <w:rPr>
                <w:rFonts w:ascii="ＭＳ ゴシック" w:eastAsia="ＭＳ ゴシック" w:hAnsi="ＭＳ ゴシック" w:hint="eastAsia"/>
                <w:w w:val="50"/>
                <w:sz w:val="18"/>
                <w:szCs w:val="18"/>
              </w:rPr>
              <w:t>○危機管理室職員及び緊急防災推進員の安否確認</w:t>
            </w:r>
          </w:p>
          <w:p w14:paraId="6DA34749" w14:textId="0DEDA654" w:rsidR="00451F91" w:rsidRPr="00E0548A" w:rsidRDefault="00382C5E" w:rsidP="004A45EB">
            <w:pPr>
              <w:adjustRightInd w:val="0"/>
              <w:snapToGrid w:val="0"/>
              <w:spacing w:line="240" w:lineRule="exact"/>
              <w:ind w:left="91" w:hangingChars="100" w:hanging="91"/>
              <w:jc w:val="left"/>
              <w:rPr>
                <w:rFonts w:ascii="ＭＳ ゴシック" w:eastAsia="ＭＳ ゴシック" w:hAnsi="ＭＳ ゴシック"/>
                <w:w w:val="50"/>
                <w:sz w:val="18"/>
                <w:szCs w:val="18"/>
              </w:rPr>
            </w:pPr>
            <w:r w:rsidRPr="00E0548A">
              <w:rPr>
                <w:rFonts w:ascii="ＭＳ ゴシック" w:eastAsia="ＭＳ ゴシック" w:hAnsi="ＭＳ ゴシック" w:hint="eastAsia"/>
                <w:w w:val="50"/>
                <w:sz w:val="18"/>
                <w:szCs w:val="18"/>
              </w:rPr>
              <w:t>○庁内各部局との連絡調整</w:t>
            </w:r>
            <w:r w:rsidR="00451F91" w:rsidRPr="00E0548A">
              <w:rPr>
                <w:rFonts w:ascii="ＭＳ ゴシック" w:eastAsia="ＭＳ ゴシック" w:hAnsi="ＭＳ ゴシック" w:hint="eastAsia"/>
                <w:w w:val="50"/>
                <w:sz w:val="18"/>
                <w:szCs w:val="18"/>
              </w:rPr>
              <w:t>（副首都推進局、万博推進局含む）</w:t>
            </w:r>
          </w:p>
          <w:p w14:paraId="099E0057" w14:textId="30870486" w:rsidR="00382C5E" w:rsidRPr="00E0548A" w:rsidRDefault="00451F91" w:rsidP="004A45EB">
            <w:pPr>
              <w:adjustRightInd w:val="0"/>
              <w:snapToGrid w:val="0"/>
              <w:spacing w:line="240" w:lineRule="exact"/>
              <w:ind w:left="91" w:hangingChars="100" w:hanging="91"/>
              <w:jc w:val="left"/>
              <w:rPr>
                <w:rFonts w:ascii="ＭＳ ゴシック" w:eastAsia="ＭＳ ゴシック" w:hAnsi="ＭＳ ゴシック"/>
                <w:w w:val="50"/>
                <w:sz w:val="18"/>
                <w:szCs w:val="18"/>
              </w:rPr>
            </w:pPr>
            <w:r w:rsidRPr="00E0548A">
              <w:rPr>
                <w:rFonts w:ascii="ＭＳ ゴシック" w:eastAsia="ＭＳ ゴシック" w:hAnsi="ＭＳ ゴシック" w:hint="eastAsia"/>
                <w:w w:val="50"/>
                <w:sz w:val="18"/>
                <w:szCs w:val="18"/>
              </w:rPr>
              <w:t>※</w:t>
            </w:r>
            <w:r w:rsidR="00382C5E" w:rsidRPr="00E0548A">
              <w:rPr>
                <w:rFonts w:ascii="ＭＳ ゴシック" w:eastAsia="ＭＳ ゴシック" w:hAnsi="ＭＳ ゴシック" w:hint="eastAsia"/>
                <w:w w:val="50"/>
                <w:sz w:val="18"/>
                <w:szCs w:val="18"/>
              </w:rPr>
              <w:t>本部会議開催通知、BCP関連業務など</w:t>
            </w:r>
          </w:p>
          <w:p w14:paraId="0D7FBE6F" w14:textId="77777777" w:rsidR="00382C5E" w:rsidRPr="00E0548A" w:rsidRDefault="00382C5E" w:rsidP="004A45EB">
            <w:pPr>
              <w:adjustRightInd w:val="0"/>
              <w:snapToGrid w:val="0"/>
              <w:spacing w:line="240" w:lineRule="exact"/>
              <w:jc w:val="left"/>
              <w:rPr>
                <w:rFonts w:ascii="ＭＳ ゴシック" w:eastAsia="ＭＳ ゴシック" w:hAnsi="ＭＳ ゴシック"/>
                <w:w w:val="50"/>
                <w:sz w:val="18"/>
                <w:szCs w:val="18"/>
              </w:rPr>
            </w:pPr>
            <w:r w:rsidRPr="00E0548A">
              <w:rPr>
                <w:rFonts w:ascii="ＭＳ ゴシック" w:eastAsia="ＭＳ ゴシック" w:hAnsi="ＭＳ ゴシック" w:hint="eastAsia"/>
                <w:w w:val="50"/>
                <w:sz w:val="18"/>
                <w:szCs w:val="18"/>
              </w:rPr>
              <w:t>○災対本部会議の準備・運営・会議録作成</w:t>
            </w:r>
          </w:p>
          <w:p w14:paraId="78B95DF8" w14:textId="77777777" w:rsidR="00382C5E" w:rsidRPr="00E0548A" w:rsidRDefault="00382C5E" w:rsidP="004A45EB">
            <w:pPr>
              <w:adjustRightInd w:val="0"/>
              <w:snapToGrid w:val="0"/>
              <w:spacing w:line="240" w:lineRule="exact"/>
              <w:jc w:val="left"/>
              <w:rPr>
                <w:rFonts w:ascii="ＭＳ ゴシック" w:eastAsia="ＭＳ ゴシック" w:hAnsi="ＭＳ ゴシック"/>
                <w:w w:val="50"/>
                <w:sz w:val="18"/>
                <w:szCs w:val="18"/>
              </w:rPr>
            </w:pPr>
            <w:r w:rsidRPr="00E0548A">
              <w:rPr>
                <w:rFonts w:ascii="ＭＳ ゴシック" w:eastAsia="ＭＳ ゴシック" w:hAnsi="ＭＳ ゴシック" w:hint="eastAsia"/>
                <w:w w:val="50"/>
                <w:sz w:val="18"/>
                <w:szCs w:val="18"/>
              </w:rPr>
              <w:t>○事務局班長会議の決定事項の記録</w:t>
            </w:r>
          </w:p>
          <w:p w14:paraId="7A56F564" w14:textId="77777777" w:rsidR="00382C5E" w:rsidRPr="00E0548A" w:rsidRDefault="00382C5E" w:rsidP="004A45EB">
            <w:pPr>
              <w:adjustRightInd w:val="0"/>
              <w:snapToGrid w:val="0"/>
              <w:spacing w:line="240" w:lineRule="exact"/>
              <w:jc w:val="left"/>
              <w:rPr>
                <w:rFonts w:ascii="ＭＳ ゴシック" w:eastAsia="ＭＳ ゴシック" w:hAnsi="ＭＳ ゴシック"/>
                <w:w w:val="50"/>
                <w:sz w:val="18"/>
                <w:szCs w:val="18"/>
              </w:rPr>
            </w:pPr>
            <w:r w:rsidRPr="00E0548A">
              <w:rPr>
                <w:rFonts w:ascii="ＭＳ ゴシック" w:eastAsia="ＭＳ ゴシック" w:hAnsi="ＭＳ ゴシック" w:hint="eastAsia"/>
                <w:w w:val="50"/>
                <w:sz w:val="18"/>
                <w:szCs w:val="18"/>
              </w:rPr>
              <w:t>○視察(政府・議員等)対応</w:t>
            </w:r>
          </w:p>
          <w:p w14:paraId="7510F8BB" w14:textId="77777777" w:rsidR="00382C5E" w:rsidRPr="00E0548A" w:rsidRDefault="00382C5E" w:rsidP="004A45EB">
            <w:pPr>
              <w:adjustRightInd w:val="0"/>
              <w:snapToGrid w:val="0"/>
              <w:spacing w:line="240" w:lineRule="exact"/>
              <w:jc w:val="left"/>
              <w:rPr>
                <w:rFonts w:ascii="ＭＳ ゴシック" w:eastAsia="ＭＳ ゴシック" w:hAnsi="ＭＳ ゴシック"/>
                <w:w w:val="50"/>
                <w:sz w:val="18"/>
                <w:szCs w:val="18"/>
              </w:rPr>
            </w:pPr>
            <w:r w:rsidRPr="00E0548A">
              <w:rPr>
                <w:rFonts w:ascii="ＭＳ ゴシック" w:eastAsia="ＭＳ ゴシック" w:hAnsi="ＭＳ ゴシック" w:hint="eastAsia"/>
                <w:w w:val="50"/>
                <w:sz w:val="18"/>
                <w:szCs w:val="18"/>
              </w:rPr>
              <w:t>○事務局、関係機関要員の執務環境対応</w:t>
            </w:r>
          </w:p>
          <w:p w14:paraId="2723246F" w14:textId="77777777" w:rsidR="00382C5E" w:rsidRPr="00E0548A" w:rsidRDefault="00382C5E" w:rsidP="004A45EB">
            <w:pPr>
              <w:adjustRightInd w:val="0"/>
              <w:snapToGrid w:val="0"/>
              <w:spacing w:line="240" w:lineRule="exact"/>
              <w:jc w:val="left"/>
              <w:rPr>
                <w:rFonts w:ascii="ＭＳ ゴシック" w:eastAsia="ＭＳ ゴシック" w:hAnsi="ＭＳ ゴシック"/>
                <w:w w:val="50"/>
                <w:sz w:val="18"/>
                <w:szCs w:val="18"/>
              </w:rPr>
            </w:pPr>
            <w:r w:rsidRPr="00E0548A">
              <w:rPr>
                <w:rFonts w:ascii="ＭＳ ゴシック" w:eastAsia="ＭＳ ゴシック" w:hAnsi="ＭＳ ゴシック" w:hint="eastAsia"/>
                <w:w w:val="50"/>
                <w:sz w:val="18"/>
                <w:szCs w:val="18"/>
              </w:rPr>
              <w:t>○文書管理</w:t>
            </w:r>
          </w:p>
          <w:p w14:paraId="0A396B9A" w14:textId="77777777" w:rsidR="00382C5E" w:rsidRPr="00E0548A" w:rsidRDefault="00382C5E" w:rsidP="004A45EB">
            <w:pPr>
              <w:adjustRightInd w:val="0"/>
              <w:snapToGrid w:val="0"/>
              <w:spacing w:line="240" w:lineRule="exact"/>
              <w:jc w:val="left"/>
              <w:rPr>
                <w:rFonts w:ascii="ＭＳ ゴシック" w:eastAsia="ＭＳ ゴシック" w:hAnsi="ＭＳ ゴシック"/>
                <w:w w:val="50"/>
                <w:sz w:val="18"/>
                <w:szCs w:val="18"/>
              </w:rPr>
            </w:pPr>
            <w:r w:rsidRPr="00E0548A">
              <w:rPr>
                <w:rFonts w:ascii="ＭＳ ゴシック" w:eastAsia="ＭＳ ゴシック" w:hAnsi="ＭＳ ゴシック" w:hint="eastAsia"/>
                <w:w w:val="50"/>
                <w:sz w:val="18"/>
                <w:szCs w:val="18"/>
              </w:rPr>
              <w:t>○消防学校との連絡調整</w:t>
            </w:r>
          </w:p>
          <w:p w14:paraId="57E1AC0A" w14:textId="210CF03A" w:rsidR="00382C5E" w:rsidRPr="00E0548A" w:rsidRDefault="00382C5E" w:rsidP="004A45EB">
            <w:pPr>
              <w:adjustRightInd w:val="0"/>
              <w:snapToGrid w:val="0"/>
              <w:spacing w:line="240" w:lineRule="exact"/>
              <w:ind w:left="91" w:hangingChars="100" w:hanging="91"/>
              <w:jc w:val="left"/>
              <w:rPr>
                <w:rFonts w:ascii="ＭＳ ゴシック" w:eastAsia="ＭＳ ゴシック" w:hAnsi="ＭＳ ゴシック"/>
                <w:w w:val="50"/>
                <w:sz w:val="18"/>
                <w:szCs w:val="18"/>
              </w:rPr>
            </w:pPr>
            <w:r w:rsidRPr="00E0548A">
              <w:rPr>
                <w:rFonts w:ascii="ＭＳ ゴシック" w:eastAsia="ＭＳ ゴシック" w:hAnsi="ＭＳ ゴシック" w:hint="eastAsia"/>
                <w:w w:val="50"/>
                <w:sz w:val="18"/>
                <w:szCs w:val="18"/>
              </w:rPr>
              <w:t>○府民向け広報の実施(府HP※、</w:t>
            </w:r>
            <w:r w:rsidR="00AB6FBD" w:rsidRPr="00E0548A">
              <w:rPr>
                <w:rFonts w:ascii="ＭＳ ゴシック" w:eastAsia="ＭＳ ゴシック" w:hAnsi="ＭＳ ゴシック" w:hint="eastAsia"/>
                <w:w w:val="50"/>
                <w:sz w:val="18"/>
                <w:szCs w:val="18"/>
              </w:rPr>
              <w:t>おおさか</w:t>
            </w:r>
            <w:r w:rsidRPr="00E0548A">
              <w:rPr>
                <w:rFonts w:ascii="ＭＳ ゴシック" w:eastAsia="ＭＳ ゴシック" w:hAnsi="ＭＳ ゴシック" w:hint="eastAsia"/>
                <w:w w:val="50"/>
                <w:sz w:val="18"/>
                <w:szCs w:val="18"/>
              </w:rPr>
              <w:t>防災ネットの更新、防災情報メール、その他SNS※の発信など)</w:t>
            </w:r>
          </w:p>
          <w:p w14:paraId="0791E536" w14:textId="77777777" w:rsidR="00382C5E" w:rsidRPr="00E0548A" w:rsidRDefault="00382C5E" w:rsidP="004A45EB">
            <w:pPr>
              <w:adjustRightInd w:val="0"/>
              <w:snapToGrid w:val="0"/>
              <w:spacing w:line="240" w:lineRule="exact"/>
              <w:jc w:val="left"/>
              <w:rPr>
                <w:rFonts w:ascii="ＭＳ ゴシック" w:eastAsia="ＭＳ ゴシック" w:hAnsi="ＭＳ ゴシック"/>
                <w:w w:val="50"/>
                <w:sz w:val="18"/>
                <w:szCs w:val="18"/>
              </w:rPr>
            </w:pPr>
            <w:r w:rsidRPr="00E0548A">
              <w:rPr>
                <w:rFonts w:ascii="ＭＳ ゴシック" w:eastAsia="ＭＳ ゴシック" w:hAnsi="ＭＳ ゴシック" w:hint="eastAsia"/>
                <w:w w:val="50"/>
                <w:sz w:val="18"/>
                <w:szCs w:val="18"/>
              </w:rPr>
              <w:t>○災害時緊急相談電話窓口に関する調整(場所、設備、対応人員等)</w:t>
            </w:r>
          </w:p>
          <w:p w14:paraId="0312F979" w14:textId="77777777" w:rsidR="00382C5E" w:rsidRPr="00E0548A" w:rsidRDefault="00382C5E" w:rsidP="004A45EB">
            <w:pPr>
              <w:adjustRightInd w:val="0"/>
              <w:snapToGrid w:val="0"/>
              <w:spacing w:line="240" w:lineRule="exact"/>
              <w:jc w:val="left"/>
              <w:rPr>
                <w:rFonts w:ascii="ＭＳ ゴシック" w:eastAsia="ＭＳ ゴシック" w:hAnsi="ＭＳ ゴシック"/>
                <w:w w:val="50"/>
                <w:sz w:val="18"/>
                <w:szCs w:val="18"/>
              </w:rPr>
            </w:pPr>
            <w:r w:rsidRPr="00E0548A">
              <w:rPr>
                <w:rFonts w:ascii="ＭＳ ゴシック" w:eastAsia="ＭＳ ゴシック" w:hAnsi="ＭＳ ゴシック" w:hint="eastAsia"/>
                <w:w w:val="50"/>
                <w:sz w:val="18"/>
                <w:szCs w:val="18"/>
              </w:rPr>
              <w:t>○総務・広報班活動記録(画像、文書)作成</w:t>
            </w:r>
          </w:p>
          <w:p w14:paraId="09F95AEC" w14:textId="77777777" w:rsidR="00382C5E" w:rsidRPr="00E0548A" w:rsidRDefault="00382C5E" w:rsidP="004A45EB">
            <w:pPr>
              <w:adjustRightInd w:val="0"/>
              <w:snapToGrid w:val="0"/>
              <w:spacing w:line="240" w:lineRule="exact"/>
              <w:jc w:val="left"/>
              <w:rPr>
                <w:rFonts w:ascii="ＭＳ ゴシック" w:eastAsia="ＭＳ ゴシック" w:hAnsi="ＭＳ ゴシック"/>
                <w:w w:val="50"/>
                <w:sz w:val="18"/>
                <w:szCs w:val="18"/>
              </w:rPr>
            </w:pPr>
            <w:r w:rsidRPr="00E0548A">
              <w:rPr>
                <w:rFonts w:ascii="ＭＳ ゴシック" w:eastAsia="ＭＳ ゴシック" w:hAnsi="ＭＳ ゴシック" w:hint="eastAsia"/>
                <w:w w:val="50"/>
                <w:sz w:val="18"/>
                <w:szCs w:val="18"/>
              </w:rPr>
              <w:t>※印は</w:t>
            </w:r>
            <w:r w:rsidR="00144675" w:rsidRPr="00E0548A">
              <w:rPr>
                <w:rFonts w:ascii="ＭＳ ゴシック" w:eastAsia="ＭＳ ゴシック" w:hAnsi="ＭＳ ゴシック" w:hint="eastAsia"/>
                <w:w w:val="50"/>
                <w:sz w:val="18"/>
                <w:szCs w:val="18"/>
              </w:rPr>
              <w:t>広報広聴課</w:t>
            </w:r>
            <w:r w:rsidRPr="00E0548A">
              <w:rPr>
                <w:rFonts w:ascii="ＭＳ ゴシック" w:eastAsia="ＭＳ ゴシック" w:hAnsi="ＭＳ ゴシック" w:hint="eastAsia"/>
                <w:w w:val="50"/>
                <w:sz w:val="18"/>
                <w:szCs w:val="18"/>
              </w:rPr>
              <w:t>と連携</w:t>
            </w:r>
          </w:p>
          <w:p w14:paraId="3E21B98C" w14:textId="77777777" w:rsidR="00DF1212" w:rsidRPr="00E0548A" w:rsidRDefault="00DF1212" w:rsidP="004A45EB">
            <w:pPr>
              <w:adjustRightInd w:val="0"/>
              <w:snapToGrid w:val="0"/>
              <w:spacing w:line="240" w:lineRule="exact"/>
              <w:jc w:val="left"/>
              <w:rPr>
                <w:rFonts w:ascii="ＭＳ ゴシック" w:eastAsia="ＭＳ ゴシック" w:hAnsi="ＭＳ ゴシック"/>
                <w:w w:val="50"/>
                <w:sz w:val="18"/>
                <w:szCs w:val="18"/>
              </w:rPr>
            </w:pPr>
            <w:r w:rsidRPr="00E0548A">
              <w:rPr>
                <w:rFonts w:ascii="ＭＳ ゴシック" w:eastAsia="ＭＳ ゴシック" w:hAnsi="ＭＳ ゴシック" w:hint="eastAsia"/>
                <w:w w:val="50"/>
                <w:sz w:val="18"/>
                <w:szCs w:val="18"/>
              </w:rPr>
              <w:t>〇住民の安否不明者情報の広報</w:t>
            </w:r>
          </w:p>
        </w:tc>
        <w:tc>
          <w:tcPr>
            <w:tcW w:w="3150" w:type="dxa"/>
            <w:tcBorders>
              <w:top w:val="single" w:sz="4" w:space="0" w:color="auto"/>
              <w:left w:val="single" w:sz="4" w:space="0" w:color="auto"/>
              <w:right w:val="single" w:sz="4" w:space="0" w:color="auto"/>
            </w:tcBorders>
            <w:vAlign w:val="center"/>
          </w:tcPr>
          <w:p w14:paraId="2ED807F8" w14:textId="5EB16A0E" w:rsidR="00382C5E" w:rsidRPr="00E0548A" w:rsidRDefault="00382C5E" w:rsidP="000D247D">
            <w:pPr>
              <w:adjustRightInd w:val="0"/>
              <w:snapToGrid w:val="0"/>
              <w:spacing w:line="240" w:lineRule="exact"/>
              <w:jc w:val="left"/>
              <w:rPr>
                <w:rFonts w:ascii="ＭＳ ゴシック" w:eastAsia="ＭＳ ゴシック" w:hAnsi="ＭＳ ゴシック"/>
                <w:w w:val="50"/>
                <w:sz w:val="18"/>
                <w:szCs w:val="18"/>
              </w:rPr>
            </w:pPr>
            <w:r w:rsidRPr="00E0548A">
              <w:rPr>
                <w:rFonts w:ascii="ＭＳ ゴシック" w:eastAsia="ＭＳ ゴシック" w:hAnsi="ＭＳ ゴシック" w:hint="eastAsia"/>
                <w:w w:val="50"/>
                <w:sz w:val="18"/>
                <w:szCs w:val="18"/>
              </w:rPr>
              <w:t>班長：消防保安課長　　副班長：</w:t>
            </w:r>
            <w:r w:rsidR="00F236FB" w:rsidRPr="00E0548A">
              <w:rPr>
                <w:rFonts w:ascii="ＭＳ ゴシック" w:eastAsia="ＭＳ ゴシック" w:hAnsi="ＭＳ ゴシック" w:hint="eastAsia"/>
                <w:w w:val="50"/>
                <w:sz w:val="18"/>
                <w:szCs w:val="18"/>
              </w:rPr>
              <w:t>防災企画課参事</w:t>
            </w:r>
          </w:p>
        </w:tc>
      </w:tr>
      <w:tr w:rsidR="001D6D10" w:rsidRPr="00E0548A" w14:paraId="206D47BF" w14:textId="77777777" w:rsidTr="006E52DA">
        <w:trPr>
          <w:trHeight w:val="1192"/>
        </w:trPr>
        <w:tc>
          <w:tcPr>
            <w:tcW w:w="596" w:type="dxa"/>
            <w:vMerge/>
            <w:tcBorders>
              <w:top w:val="single" w:sz="4" w:space="0" w:color="auto"/>
              <w:left w:val="single" w:sz="4" w:space="0" w:color="auto"/>
              <w:bottom w:val="single" w:sz="4" w:space="0" w:color="auto"/>
              <w:right w:val="single" w:sz="4" w:space="0" w:color="auto"/>
            </w:tcBorders>
            <w:vAlign w:val="center"/>
            <w:hideMark/>
          </w:tcPr>
          <w:p w14:paraId="620CECBE" w14:textId="77777777" w:rsidR="00382C5E" w:rsidRPr="00E0548A" w:rsidRDefault="00382C5E" w:rsidP="004A45EB">
            <w:pPr>
              <w:widowControl/>
              <w:adjustRightInd w:val="0"/>
              <w:snapToGrid w:val="0"/>
              <w:spacing w:line="240" w:lineRule="exact"/>
              <w:jc w:val="left"/>
              <w:rPr>
                <w:rFonts w:ascii="ＭＳ ゴシック" w:eastAsia="ＭＳ ゴシック" w:hAnsi="ＭＳ ゴシック"/>
                <w:w w:val="50"/>
                <w:sz w:val="18"/>
                <w:szCs w:val="18"/>
              </w:rPr>
            </w:pPr>
          </w:p>
        </w:tc>
        <w:tc>
          <w:tcPr>
            <w:tcW w:w="5072" w:type="dxa"/>
            <w:vMerge/>
            <w:tcBorders>
              <w:left w:val="single" w:sz="4" w:space="0" w:color="auto"/>
              <w:right w:val="single" w:sz="4" w:space="0" w:color="auto"/>
            </w:tcBorders>
            <w:vAlign w:val="center"/>
          </w:tcPr>
          <w:p w14:paraId="24E31DB3" w14:textId="77777777" w:rsidR="00382C5E" w:rsidRPr="00E0548A" w:rsidRDefault="00382C5E" w:rsidP="004A45EB">
            <w:pPr>
              <w:widowControl/>
              <w:adjustRightInd w:val="0"/>
              <w:snapToGrid w:val="0"/>
              <w:spacing w:line="240" w:lineRule="exact"/>
              <w:jc w:val="left"/>
              <w:rPr>
                <w:rFonts w:ascii="ＭＳ ゴシック" w:eastAsia="ＭＳ ゴシック" w:hAnsi="ＭＳ ゴシック"/>
                <w:w w:val="50"/>
                <w:sz w:val="18"/>
                <w:szCs w:val="18"/>
              </w:rPr>
            </w:pPr>
          </w:p>
        </w:tc>
        <w:tc>
          <w:tcPr>
            <w:tcW w:w="3150" w:type="dxa"/>
            <w:vMerge w:val="restart"/>
            <w:tcBorders>
              <w:top w:val="single" w:sz="4" w:space="0" w:color="auto"/>
              <w:left w:val="single" w:sz="4" w:space="0" w:color="auto"/>
              <w:right w:val="single" w:sz="4" w:space="0" w:color="auto"/>
            </w:tcBorders>
            <w:vAlign w:val="center"/>
          </w:tcPr>
          <w:p w14:paraId="52C0F92C" w14:textId="42407CB6" w:rsidR="00F236FB" w:rsidRPr="00E0548A" w:rsidRDefault="00382C5E" w:rsidP="00F236FB">
            <w:pPr>
              <w:adjustRightInd w:val="0"/>
              <w:snapToGrid w:val="0"/>
              <w:spacing w:line="240" w:lineRule="exact"/>
              <w:jc w:val="left"/>
              <w:rPr>
                <w:rFonts w:ascii="ＭＳ ゴシック" w:eastAsia="ＭＳ ゴシック" w:hAnsi="ＭＳ ゴシック"/>
                <w:w w:val="50"/>
                <w:sz w:val="18"/>
                <w:szCs w:val="18"/>
              </w:rPr>
            </w:pPr>
            <w:r w:rsidRPr="00E0548A">
              <w:rPr>
                <w:rFonts w:ascii="ＭＳ ゴシック" w:eastAsia="ＭＳ ゴシック" w:hAnsi="ＭＳ ゴシック" w:hint="eastAsia"/>
                <w:w w:val="50"/>
                <w:sz w:val="18"/>
                <w:szCs w:val="18"/>
              </w:rPr>
              <w:t>危機管理室(9名)</w:t>
            </w:r>
          </w:p>
          <w:p w14:paraId="5023EA6B" w14:textId="77777777" w:rsidR="00F236FB" w:rsidRPr="00E0548A" w:rsidRDefault="00F236FB" w:rsidP="00F236FB">
            <w:pPr>
              <w:adjustRightInd w:val="0"/>
              <w:snapToGrid w:val="0"/>
              <w:spacing w:line="240" w:lineRule="exact"/>
              <w:jc w:val="center"/>
              <w:rPr>
                <w:rFonts w:ascii="ＭＳ ゴシック" w:eastAsia="ＭＳ ゴシック" w:hAnsi="ＭＳ ゴシック"/>
                <w:w w:val="50"/>
                <w:sz w:val="18"/>
                <w:szCs w:val="18"/>
              </w:rPr>
            </w:pPr>
          </w:p>
          <w:p w14:paraId="37F72C5A" w14:textId="1E4F9D8E" w:rsidR="00F236FB" w:rsidRPr="00E0548A" w:rsidRDefault="0095254A" w:rsidP="00A331D5">
            <w:pPr>
              <w:adjustRightInd w:val="0"/>
              <w:snapToGrid w:val="0"/>
              <w:spacing w:line="240" w:lineRule="exact"/>
              <w:jc w:val="left"/>
              <w:rPr>
                <w:rFonts w:ascii="ＭＳ ゴシック" w:eastAsia="ＭＳ ゴシック" w:hAnsi="ＭＳ ゴシック"/>
                <w:w w:val="50"/>
                <w:sz w:val="18"/>
                <w:szCs w:val="18"/>
              </w:rPr>
            </w:pPr>
            <w:r w:rsidRPr="00E0548A">
              <w:rPr>
                <w:rFonts w:ascii="ＭＳ ゴシック" w:eastAsia="ＭＳ ゴシック" w:hAnsi="ＭＳ ゴシック" w:hint="eastAsia"/>
                <w:w w:val="50"/>
                <w:sz w:val="18"/>
                <w:szCs w:val="18"/>
              </w:rPr>
              <w:t>人事課</w:t>
            </w:r>
            <w:r w:rsidR="00F236FB" w:rsidRPr="00E0548A">
              <w:rPr>
                <w:rFonts w:ascii="ＭＳ ゴシック" w:eastAsia="ＭＳ ゴシック" w:hAnsi="ＭＳ ゴシック" w:hint="eastAsia"/>
                <w:w w:val="50"/>
                <w:sz w:val="18"/>
                <w:szCs w:val="18"/>
              </w:rPr>
              <w:t>（</w:t>
            </w:r>
            <w:r w:rsidR="00A331D5" w:rsidRPr="00E0548A">
              <w:rPr>
                <w:rFonts w:ascii="ＭＳ ゴシック" w:eastAsia="ＭＳ ゴシック" w:hAnsi="ＭＳ ゴシック" w:hint="eastAsia"/>
                <w:w w:val="50"/>
                <w:sz w:val="18"/>
                <w:szCs w:val="18"/>
              </w:rPr>
              <w:t>1</w:t>
            </w:r>
            <w:r w:rsidR="00F236FB" w:rsidRPr="00E0548A">
              <w:rPr>
                <w:rFonts w:ascii="ＭＳ ゴシック" w:eastAsia="ＭＳ ゴシック" w:hAnsi="ＭＳ ゴシック" w:hint="eastAsia"/>
                <w:w w:val="50"/>
                <w:sz w:val="18"/>
                <w:szCs w:val="18"/>
              </w:rPr>
              <w:t>名）</w:t>
            </w:r>
          </w:p>
        </w:tc>
      </w:tr>
      <w:tr w:rsidR="001D6D10" w:rsidRPr="00E0548A" w14:paraId="48F0AA69" w14:textId="77777777" w:rsidTr="006E52DA">
        <w:trPr>
          <w:trHeight w:val="1266"/>
        </w:trPr>
        <w:tc>
          <w:tcPr>
            <w:tcW w:w="596" w:type="dxa"/>
            <w:vMerge/>
            <w:tcBorders>
              <w:top w:val="single" w:sz="4" w:space="0" w:color="auto"/>
              <w:left w:val="single" w:sz="4" w:space="0" w:color="auto"/>
              <w:bottom w:val="single" w:sz="4" w:space="0" w:color="auto"/>
              <w:right w:val="single" w:sz="4" w:space="0" w:color="auto"/>
            </w:tcBorders>
            <w:vAlign w:val="center"/>
            <w:hideMark/>
          </w:tcPr>
          <w:p w14:paraId="1B663611" w14:textId="77777777" w:rsidR="00382C5E" w:rsidRPr="00E0548A" w:rsidRDefault="00382C5E" w:rsidP="004A45EB">
            <w:pPr>
              <w:widowControl/>
              <w:adjustRightInd w:val="0"/>
              <w:snapToGrid w:val="0"/>
              <w:spacing w:line="240" w:lineRule="exact"/>
              <w:jc w:val="left"/>
              <w:rPr>
                <w:rFonts w:ascii="ＭＳ ゴシック" w:eastAsia="ＭＳ ゴシック" w:hAnsi="ＭＳ ゴシック"/>
                <w:w w:val="50"/>
                <w:sz w:val="18"/>
                <w:szCs w:val="18"/>
              </w:rPr>
            </w:pPr>
          </w:p>
        </w:tc>
        <w:tc>
          <w:tcPr>
            <w:tcW w:w="5072" w:type="dxa"/>
            <w:vMerge/>
            <w:tcBorders>
              <w:left w:val="single" w:sz="4" w:space="0" w:color="auto"/>
              <w:bottom w:val="single" w:sz="4" w:space="0" w:color="auto"/>
              <w:right w:val="single" w:sz="4" w:space="0" w:color="auto"/>
            </w:tcBorders>
            <w:vAlign w:val="center"/>
          </w:tcPr>
          <w:p w14:paraId="3B34EF2F" w14:textId="77777777" w:rsidR="00382C5E" w:rsidRPr="00E0548A" w:rsidRDefault="00382C5E" w:rsidP="004A45EB">
            <w:pPr>
              <w:adjustRightInd w:val="0"/>
              <w:snapToGrid w:val="0"/>
              <w:spacing w:line="240" w:lineRule="exact"/>
              <w:jc w:val="left"/>
              <w:rPr>
                <w:rFonts w:ascii="ＭＳ ゴシック" w:eastAsia="ＭＳ ゴシック" w:hAnsi="ＭＳ ゴシック"/>
                <w:w w:val="50"/>
                <w:sz w:val="18"/>
                <w:szCs w:val="18"/>
              </w:rPr>
            </w:pPr>
          </w:p>
        </w:tc>
        <w:tc>
          <w:tcPr>
            <w:tcW w:w="3150" w:type="dxa"/>
            <w:vMerge/>
            <w:tcBorders>
              <w:left w:val="single" w:sz="4" w:space="0" w:color="auto"/>
              <w:bottom w:val="single" w:sz="4" w:space="0" w:color="auto"/>
              <w:right w:val="single" w:sz="4" w:space="0" w:color="auto"/>
            </w:tcBorders>
            <w:vAlign w:val="center"/>
          </w:tcPr>
          <w:p w14:paraId="78C8C313" w14:textId="77777777" w:rsidR="00382C5E" w:rsidRPr="00E0548A" w:rsidRDefault="00382C5E" w:rsidP="004A45EB">
            <w:pPr>
              <w:adjustRightInd w:val="0"/>
              <w:snapToGrid w:val="0"/>
              <w:spacing w:line="240" w:lineRule="exact"/>
              <w:jc w:val="center"/>
              <w:rPr>
                <w:rFonts w:ascii="ＭＳ ゴシック" w:eastAsia="ＭＳ ゴシック" w:hAnsi="ＭＳ ゴシック"/>
                <w:w w:val="50"/>
                <w:sz w:val="18"/>
                <w:szCs w:val="18"/>
              </w:rPr>
            </w:pPr>
          </w:p>
        </w:tc>
      </w:tr>
      <w:tr w:rsidR="001D6D10" w:rsidRPr="00E0548A" w14:paraId="3240AED3" w14:textId="77777777" w:rsidTr="006E52DA">
        <w:trPr>
          <w:cantSplit/>
          <w:trHeight w:val="282"/>
        </w:trPr>
        <w:tc>
          <w:tcPr>
            <w:tcW w:w="596" w:type="dxa"/>
            <w:vMerge w:val="restart"/>
            <w:tcBorders>
              <w:top w:val="single" w:sz="4" w:space="0" w:color="auto"/>
              <w:left w:val="single" w:sz="4" w:space="0" w:color="auto"/>
              <w:bottom w:val="single" w:sz="4" w:space="0" w:color="auto"/>
              <w:right w:val="single" w:sz="4" w:space="0" w:color="auto"/>
            </w:tcBorders>
            <w:textDirection w:val="tbRlV"/>
            <w:vAlign w:val="center"/>
            <w:hideMark/>
          </w:tcPr>
          <w:p w14:paraId="53C65762" w14:textId="77777777" w:rsidR="00382C5E" w:rsidRPr="00E0548A" w:rsidRDefault="00382C5E" w:rsidP="004A45EB">
            <w:pPr>
              <w:widowControl/>
              <w:adjustRightInd w:val="0"/>
              <w:snapToGrid w:val="0"/>
              <w:spacing w:line="240" w:lineRule="exact"/>
              <w:ind w:left="113" w:right="113"/>
              <w:jc w:val="center"/>
              <w:rPr>
                <w:rFonts w:ascii="ＭＳ ゴシック" w:eastAsia="ＭＳ ゴシック" w:hAnsi="ＭＳ ゴシック"/>
                <w:w w:val="50"/>
                <w:sz w:val="18"/>
                <w:szCs w:val="18"/>
              </w:rPr>
            </w:pPr>
            <w:r w:rsidRPr="00E0548A">
              <w:rPr>
                <w:rFonts w:ascii="ＭＳ ゴシック" w:eastAsia="ＭＳ ゴシック" w:hAnsi="ＭＳ ゴシック" w:hint="eastAsia"/>
                <w:kern w:val="0"/>
                <w:sz w:val="18"/>
                <w:szCs w:val="18"/>
              </w:rPr>
              <w:t>報道班</w:t>
            </w:r>
          </w:p>
        </w:tc>
        <w:tc>
          <w:tcPr>
            <w:tcW w:w="5072" w:type="dxa"/>
            <w:vMerge w:val="restart"/>
            <w:tcBorders>
              <w:top w:val="single" w:sz="4" w:space="0" w:color="auto"/>
              <w:left w:val="single" w:sz="4" w:space="0" w:color="auto"/>
              <w:right w:val="single" w:sz="4" w:space="0" w:color="auto"/>
            </w:tcBorders>
            <w:vAlign w:val="center"/>
          </w:tcPr>
          <w:p w14:paraId="7B133140" w14:textId="77777777" w:rsidR="00DF1212" w:rsidRPr="00E0548A" w:rsidRDefault="00DF1212" w:rsidP="004A45EB">
            <w:pPr>
              <w:adjustRightInd w:val="0"/>
              <w:snapToGrid w:val="0"/>
              <w:spacing w:line="240" w:lineRule="exact"/>
              <w:jc w:val="left"/>
              <w:rPr>
                <w:rFonts w:ascii="ＭＳ ゴシック" w:eastAsia="ＭＳ ゴシック" w:hAnsi="ＭＳ ゴシック"/>
                <w:w w:val="50"/>
                <w:sz w:val="18"/>
                <w:szCs w:val="18"/>
              </w:rPr>
            </w:pPr>
            <w:r w:rsidRPr="00E0548A">
              <w:rPr>
                <w:rFonts w:ascii="ＭＳ ゴシック" w:eastAsia="ＭＳ ゴシック" w:hAnsi="ＭＳ ゴシック" w:hint="eastAsia"/>
                <w:w w:val="50"/>
                <w:sz w:val="18"/>
                <w:szCs w:val="18"/>
              </w:rPr>
              <w:t>〇被害情報の公表</w:t>
            </w:r>
          </w:p>
          <w:p w14:paraId="2A555E9C" w14:textId="77777777" w:rsidR="00382C5E" w:rsidRPr="00E0548A" w:rsidRDefault="00382C5E" w:rsidP="004A45EB">
            <w:pPr>
              <w:adjustRightInd w:val="0"/>
              <w:snapToGrid w:val="0"/>
              <w:spacing w:line="240" w:lineRule="exact"/>
              <w:jc w:val="left"/>
              <w:rPr>
                <w:rFonts w:ascii="ＭＳ ゴシック" w:eastAsia="ＭＳ ゴシック" w:hAnsi="ＭＳ ゴシック"/>
                <w:w w:val="50"/>
                <w:sz w:val="18"/>
                <w:szCs w:val="18"/>
              </w:rPr>
            </w:pPr>
            <w:r w:rsidRPr="00E0548A">
              <w:rPr>
                <w:rFonts w:ascii="ＭＳ ゴシック" w:eastAsia="ＭＳ ゴシック" w:hAnsi="ＭＳ ゴシック" w:hint="eastAsia"/>
                <w:w w:val="50"/>
                <w:sz w:val="18"/>
                <w:szCs w:val="18"/>
              </w:rPr>
              <w:t>○報道機関対応</w:t>
            </w:r>
          </w:p>
          <w:p w14:paraId="281B51FA" w14:textId="77777777" w:rsidR="00382C5E" w:rsidRPr="00E0548A" w:rsidRDefault="00382C5E" w:rsidP="004A45EB">
            <w:pPr>
              <w:adjustRightInd w:val="0"/>
              <w:snapToGrid w:val="0"/>
              <w:spacing w:line="240" w:lineRule="exact"/>
              <w:jc w:val="left"/>
              <w:rPr>
                <w:rFonts w:ascii="ＭＳ ゴシック" w:eastAsia="ＭＳ ゴシック" w:hAnsi="ＭＳ ゴシック"/>
                <w:w w:val="50"/>
                <w:sz w:val="18"/>
                <w:szCs w:val="18"/>
              </w:rPr>
            </w:pPr>
            <w:r w:rsidRPr="00E0548A">
              <w:rPr>
                <w:rFonts w:ascii="ＭＳ ゴシック" w:eastAsia="ＭＳ ゴシック" w:hAnsi="ＭＳ ゴシック" w:hint="eastAsia"/>
                <w:w w:val="50"/>
                <w:sz w:val="18"/>
                <w:szCs w:val="18"/>
              </w:rPr>
              <w:t>○プレスセンター運営</w:t>
            </w:r>
          </w:p>
          <w:p w14:paraId="3B24AC5A" w14:textId="77777777" w:rsidR="00382C5E" w:rsidRPr="00E0548A" w:rsidRDefault="00382C5E" w:rsidP="004A45EB">
            <w:pPr>
              <w:adjustRightInd w:val="0"/>
              <w:snapToGrid w:val="0"/>
              <w:spacing w:line="240" w:lineRule="exact"/>
              <w:jc w:val="left"/>
              <w:rPr>
                <w:rFonts w:ascii="ＭＳ ゴシック" w:eastAsia="ＭＳ ゴシック" w:hAnsi="ＭＳ ゴシック"/>
                <w:w w:val="50"/>
                <w:sz w:val="18"/>
                <w:szCs w:val="18"/>
              </w:rPr>
            </w:pPr>
            <w:r w:rsidRPr="00E0548A">
              <w:rPr>
                <w:rFonts w:ascii="ＭＳ ゴシック" w:eastAsia="ＭＳ ゴシック" w:hAnsi="ＭＳ ゴシック" w:hint="eastAsia"/>
                <w:w w:val="50"/>
                <w:sz w:val="18"/>
                <w:szCs w:val="18"/>
              </w:rPr>
              <w:t>○報道班活動記録(画像、文書)作成</w:t>
            </w:r>
          </w:p>
        </w:tc>
        <w:tc>
          <w:tcPr>
            <w:tcW w:w="3150" w:type="dxa"/>
            <w:tcBorders>
              <w:top w:val="single" w:sz="4" w:space="0" w:color="auto"/>
              <w:left w:val="single" w:sz="4" w:space="0" w:color="auto"/>
              <w:right w:val="single" w:sz="4" w:space="0" w:color="auto"/>
            </w:tcBorders>
            <w:vAlign w:val="center"/>
          </w:tcPr>
          <w:p w14:paraId="08F4CBF2" w14:textId="77777777" w:rsidR="00382C5E" w:rsidRPr="00E0548A" w:rsidRDefault="00382C5E" w:rsidP="004A45EB">
            <w:pPr>
              <w:adjustRightInd w:val="0"/>
              <w:snapToGrid w:val="0"/>
              <w:spacing w:line="240" w:lineRule="exact"/>
              <w:jc w:val="left"/>
              <w:rPr>
                <w:rFonts w:ascii="ＭＳ ゴシック" w:eastAsia="ＭＳ ゴシック" w:hAnsi="ＭＳ ゴシック"/>
                <w:w w:val="50"/>
                <w:sz w:val="18"/>
                <w:szCs w:val="18"/>
              </w:rPr>
            </w:pPr>
            <w:r w:rsidRPr="00E0548A">
              <w:rPr>
                <w:rFonts w:ascii="ＭＳ ゴシック" w:eastAsia="ＭＳ ゴシック" w:hAnsi="ＭＳ ゴシック" w:hint="eastAsia"/>
                <w:w w:val="50"/>
                <w:sz w:val="18"/>
                <w:szCs w:val="18"/>
              </w:rPr>
              <w:t>班長：防災企画課参事　　副班長：企画室政策課参事（報道G長）</w:t>
            </w:r>
          </w:p>
        </w:tc>
      </w:tr>
      <w:tr w:rsidR="001D6D10" w:rsidRPr="00E0548A" w14:paraId="34D5DA09" w14:textId="77777777" w:rsidTr="006E52DA">
        <w:trPr>
          <w:cantSplit/>
          <w:trHeight w:val="60"/>
        </w:trPr>
        <w:tc>
          <w:tcPr>
            <w:tcW w:w="596" w:type="dxa"/>
            <w:vMerge/>
            <w:tcBorders>
              <w:top w:val="single" w:sz="4" w:space="0" w:color="auto"/>
              <w:left w:val="single" w:sz="4" w:space="0" w:color="auto"/>
              <w:bottom w:val="single" w:sz="4" w:space="0" w:color="auto"/>
              <w:right w:val="single" w:sz="4" w:space="0" w:color="auto"/>
            </w:tcBorders>
            <w:vAlign w:val="center"/>
            <w:hideMark/>
          </w:tcPr>
          <w:p w14:paraId="767F990F" w14:textId="77777777" w:rsidR="00382C5E" w:rsidRPr="00E0548A" w:rsidRDefault="00382C5E" w:rsidP="004A45EB">
            <w:pPr>
              <w:widowControl/>
              <w:adjustRightInd w:val="0"/>
              <w:snapToGrid w:val="0"/>
              <w:spacing w:line="240" w:lineRule="exact"/>
              <w:jc w:val="left"/>
              <w:rPr>
                <w:rFonts w:ascii="ＭＳ ゴシック" w:eastAsia="ＭＳ ゴシック" w:hAnsi="ＭＳ ゴシック"/>
                <w:w w:val="50"/>
                <w:sz w:val="18"/>
                <w:szCs w:val="18"/>
              </w:rPr>
            </w:pPr>
          </w:p>
        </w:tc>
        <w:tc>
          <w:tcPr>
            <w:tcW w:w="5072" w:type="dxa"/>
            <w:vMerge/>
            <w:tcBorders>
              <w:left w:val="single" w:sz="4" w:space="0" w:color="auto"/>
              <w:bottom w:val="single" w:sz="4" w:space="0" w:color="auto"/>
              <w:right w:val="single" w:sz="4" w:space="0" w:color="auto"/>
            </w:tcBorders>
            <w:vAlign w:val="center"/>
          </w:tcPr>
          <w:p w14:paraId="181FCE6F" w14:textId="77777777" w:rsidR="00382C5E" w:rsidRPr="00E0548A" w:rsidRDefault="00382C5E" w:rsidP="004A45EB">
            <w:pPr>
              <w:widowControl/>
              <w:adjustRightInd w:val="0"/>
              <w:snapToGrid w:val="0"/>
              <w:spacing w:line="240" w:lineRule="exact"/>
              <w:jc w:val="left"/>
              <w:rPr>
                <w:rFonts w:ascii="ＭＳ ゴシック" w:eastAsia="ＭＳ ゴシック" w:hAnsi="ＭＳ ゴシック"/>
                <w:w w:val="50"/>
                <w:sz w:val="18"/>
                <w:szCs w:val="18"/>
              </w:rPr>
            </w:pPr>
          </w:p>
        </w:tc>
        <w:tc>
          <w:tcPr>
            <w:tcW w:w="3150" w:type="dxa"/>
            <w:tcBorders>
              <w:top w:val="single" w:sz="4" w:space="0" w:color="auto"/>
              <w:left w:val="single" w:sz="4" w:space="0" w:color="auto"/>
              <w:bottom w:val="single" w:sz="4" w:space="0" w:color="auto"/>
              <w:right w:val="single" w:sz="4" w:space="0" w:color="auto"/>
            </w:tcBorders>
            <w:vAlign w:val="center"/>
          </w:tcPr>
          <w:p w14:paraId="173F4714" w14:textId="77777777" w:rsidR="00382C5E" w:rsidRPr="00E0548A" w:rsidRDefault="00382C5E" w:rsidP="00B35001">
            <w:pPr>
              <w:adjustRightInd w:val="0"/>
              <w:snapToGrid w:val="0"/>
              <w:spacing w:line="240" w:lineRule="exact"/>
              <w:jc w:val="left"/>
              <w:rPr>
                <w:rFonts w:ascii="ＭＳ ゴシック" w:eastAsia="ＭＳ ゴシック" w:hAnsi="ＭＳ ゴシック"/>
                <w:w w:val="50"/>
                <w:sz w:val="18"/>
                <w:szCs w:val="18"/>
              </w:rPr>
            </w:pPr>
            <w:r w:rsidRPr="00E0548A">
              <w:rPr>
                <w:rFonts w:ascii="ＭＳ ゴシック" w:eastAsia="ＭＳ ゴシック" w:hAnsi="ＭＳ ゴシック" w:hint="eastAsia"/>
                <w:w w:val="50"/>
                <w:sz w:val="18"/>
                <w:szCs w:val="18"/>
              </w:rPr>
              <w:t>企画室報道G(1名)</w:t>
            </w:r>
          </w:p>
          <w:p w14:paraId="71967A11" w14:textId="77777777" w:rsidR="00382C5E" w:rsidRPr="00E0548A" w:rsidRDefault="00382C5E" w:rsidP="00B35001">
            <w:pPr>
              <w:adjustRightInd w:val="0"/>
              <w:snapToGrid w:val="0"/>
              <w:spacing w:line="240" w:lineRule="exact"/>
              <w:jc w:val="left"/>
              <w:rPr>
                <w:rFonts w:ascii="ＭＳ ゴシック" w:eastAsia="ＭＳ ゴシック" w:hAnsi="ＭＳ ゴシック"/>
                <w:w w:val="50"/>
                <w:sz w:val="18"/>
                <w:szCs w:val="18"/>
              </w:rPr>
            </w:pPr>
            <w:r w:rsidRPr="00E0548A">
              <w:rPr>
                <w:rFonts w:ascii="ＭＳ ゴシック" w:eastAsia="ＭＳ ゴシック" w:hAnsi="ＭＳ ゴシック" w:hint="eastAsia"/>
                <w:w w:val="50"/>
                <w:sz w:val="18"/>
                <w:szCs w:val="18"/>
              </w:rPr>
              <w:t>危機管理室(3名)</w:t>
            </w:r>
          </w:p>
        </w:tc>
      </w:tr>
      <w:tr w:rsidR="001D6D10" w:rsidRPr="00E0548A" w14:paraId="41008FA5" w14:textId="77777777" w:rsidTr="006E52DA">
        <w:trPr>
          <w:cantSplit/>
          <w:trHeight w:val="408"/>
        </w:trPr>
        <w:tc>
          <w:tcPr>
            <w:tcW w:w="596" w:type="dxa"/>
            <w:vMerge w:val="restart"/>
            <w:tcBorders>
              <w:top w:val="single" w:sz="4" w:space="0" w:color="auto"/>
              <w:left w:val="single" w:sz="4" w:space="0" w:color="auto"/>
              <w:right w:val="single" w:sz="4" w:space="0" w:color="auto"/>
            </w:tcBorders>
            <w:textDirection w:val="tbRlV"/>
            <w:vAlign w:val="center"/>
            <w:hideMark/>
          </w:tcPr>
          <w:p w14:paraId="0B1A487D" w14:textId="77777777" w:rsidR="00382C5E" w:rsidRPr="00E0548A" w:rsidRDefault="00382C5E" w:rsidP="00382C5E">
            <w:pPr>
              <w:widowControl/>
              <w:adjustRightInd w:val="0"/>
              <w:snapToGrid w:val="0"/>
              <w:spacing w:line="240" w:lineRule="exact"/>
              <w:ind w:left="113" w:right="113"/>
              <w:jc w:val="center"/>
              <w:rPr>
                <w:rFonts w:ascii="ＭＳ ゴシック" w:eastAsia="ＭＳ ゴシック" w:hAnsi="ＭＳ ゴシック"/>
                <w:w w:val="50"/>
                <w:sz w:val="18"/>
                <w:szCs w:val="18"/>
              </w:rPr>
            </w:pPr>
            <w:r w:rsidRPr="00E0548A">
              <w:rPr>
                <w:rFonts w:ascii="ＭＳ ゴシック" w:eastAsia="ＭＳ ゴシック" w:hAnsi="ＭＳ ゴシック" w:hint="eastAsia"/>
                <w:kern w:val="0"/>
                <w:sz w:val="18"/>
                <w:szCs w:val="18"/>
              </w:rPr>
              <w:t>情報班</w:t>
            </w:r>
          </w:p>
        </w:tc>
        <w:tc>
          <w:tcPr>
            <w:tcW w:w="5072" w:type="dxa"/>
            <w:vMerge w:val="restart"/>
            <w:tcBorders>
              <w:top w:val="single" w:sz="4" w:space="0" w:color="auto"/>
              <w:left w:val="single" w:sz="4" w:space="0" w:color="auto"/>
              <w:right w:val="single" w:sz="4" w:space="0" w:color="auto"/>
            </w:tcBorders>
            <w:vAlign w:val="center"/>
          </w:tcPr>
          <w:p w14:paraId="0A5BA640" w14:textId="77777777" w:rsidR="00382C5E" w:rsidRPr="00E0548A" w:rsidRDefault="00382C5E" w:rsidP="00382C5E">
            <w:pPr>
              <w:adjustRightInd w:val="0"/>
              <w:snapToGrid w:val="0"/>
              <w:spacing w:line="240" w:lineRule="exact"/>
              <w:ind w:left="91" w:hangingChars="100" w:hanging="91"/>
              <w:jc w:val="left"/>
              <w:rPr>
                <w:rFonts w:ascii="ＭＳ ゴシック" w:eastAsia="ＭＳ ゴシック" w:hAnsi="ＭＳ ゴシック"/>
                <w:w w:val="50"/>
                <w:sz w:val="18"/>
                <w:szCs w:val="18"/>
              </w:rPr>
            </w:pPr>
            <w:r w:rsidRPr="00E0548A">
              <w:rPr>
                <w:rFonts w:ascii="ＭＳ ゴシック" w:eastAsia="ＭＳ ゴシック" w:hAnsi="ＭＳ ゴシック" w:hint="eastAsia"/>
                <w:w w:val="50"/>
                <w:sz w:val="18"/>
                <w:szCs w:val="18"/>
              </w:rPr>
              <w:t>○以下の被害情報等を収集・整理し、モニターやホワイトボードに記載(事務局内の情報共有)</w:t>
            </w:r>
          </w:p>
          <w:p w14:paraId="7905999F" w14:textId="77777777" w:rsidR="00382C5E" w:rsidRPr="00E0548A" w:rsidRDefault="00382C5E" w:rsidP="00382C5E">
            <w:pPr>
              <w:adjustRightInd w:val="0"/>
              <w:snapToGrid w:val="0"/>
              <w:spacing w:line="240" w:lineRule="exact"/>
              <w:ind w:left="91" w:hangingChars="100" w:hanging="91"/>
              <w:jc w:val="left"/>
              <w:rPr>
                <w:rFonts w:ascii="ＭＳ ゴシック" w:eastAsia="ＭＳ ゴシック" w:hAnsi="ＭＳ ゴシック"/>
                <w:w w:val="50"/>
                <w:sz w:val="18"/>
                <w:szCs w:val="18"/>
              </w:rPr>
            </w:pPr>
            <w:r w:rsidRPr="00E0548A">
              <w:rPr>
                <w:rFonts w:ascii="ＭＳ ゴシック" w:eastAsia="ＭＳ ゴシック" w:hAnsi="ＭＳ ゴシック" w:hint="eastAsia"/>
                <w:w w:val="50"/>
                <w:sz w:val="18"/>
                <w:szCs w:val="18"/>
              </w:rPr>
              <w:t>①気象台情報(地震、津波、気象等)を収集・整理</w:t>
            </w:r>
          </w:p>
          <w:p w14:paraId="66E367B0" w14:textId="77777777" w:rsidR="00382C5E" w:rsidRPr="00E0548A" w:rsidRDefault="00382C5E" w:rsidP="00382C5E">
            <w:pPr>
              <w:adjustRightInd w:val="0"/>
              <w:snapToGrid w:val="0"/>
              <w:spacing w:line="240" w:lineRule="exact"/>
              <w:ind w:left="91" w:hangingChars="100" w:hanging="91"/>
              <w:jc w:val="left"/>
              <w:rPr>
                <w:rFonts w:ascii="ＭＳ ゴシック" w:eastAsia="ＭＳ ゴシック" w:hAnsi="ＭＳ ゴシック"/>
                <w:w w:val="50"/>
                <w:sz w:val="18"/>
                <w:szCs w:val="18"/>
              </w:rPr>
            </w:pPr>
            <w:r w:rsidRPr="00E0548A">
              <w:rPr>
                <w:rFonts w:ascii="ＭＳ ゴシック" w:eastAsia="ＭＳ ゴシック" w:hAnsi="ＭＳ ゴシック" w:hint="eastAsia"/>
                <w:w w:val="50"/>
                <w:sz w:val="18"/>
                <w:szCs w:val="18"/>
              </w:rPr>
              <w:t>②</w:t>
            </w:r>
            <w:r w:rsidRPr="00E0548A">
              <w:rPr>
                <w:rFonts w:ascii="ＭＳ ゴシック" w:eastAsia="ＭＳ ゴシック" w:hAnsi="ＭＳ ゴシック"/>
                <w:w w:val="50"/>
                <w:sz w:val="18"/>
                <w:szCs w:val="18"/>
              </w:rPr>
              <w:t xml:space="preserve"> </w:t>
            </w:r>
            <w:r w:rsidRPr="00E0548A">
              <w:rPr>
                <w:rFonts w:ascii="ＭＳ ゴシック" w:eastAsia="ＭＳ ゴシック" w:hAnsi="ＭＳ ゴシック" w:hint="eastAsia"/>
                <w:w w:val="50"/>
                <w:sz w:val="18"/>
                <w:szCs w:val="18"/>
              </w:rPr>
              <w:t>交通・ライフライン企業から被害・復旧情報等を収集・整理</w:t>
            </w:r>
          </w:p>
          <w:p w14:paraId="3D0DBFC0" w14:textId="77777777" w:rsidR="00382C5E" w:rsidRPr="00E0548A" w:rsidRDefault="00382C5E" w:rsidP="00382C5E">
            <w:pPr>
              <w:adjustRightInd w:val="0"/>
              <w:snapToGrid w:val="0"/>
              <w:spacing w:line="240" w:lineRule="exact"/>
              <w:ind w:left="91" w:hangingChars="100" w:hanging="91"/>
              <w:jc w:val="left"/>
              <w:rPr>
                <w:rFonts w:ascii="ＭＳ ゴシック" w:eastAsia="ＭＳ ゴシック" w:hAnsi="ＭＳ ゴシック"/>
                <w:w w:val="50"/>
                <w:sz w:val="18"/>
                <w:szCs w:val="18"/>
              </w:rPr>
            </w:pPr>
            <w:r w:rsidRPr="00E0548A">
              <w:rPr>
                <w:rFonts w:ascii="ＭＳ ゴシック" w:eastAsia="ＭＳ ゴシック" w:hAnsi="ＭＳ ゴシック" w:hint="eastAsia"/>
                <w:w w:val="50"/>
                <w:sz w:val="18"/>
                <w:szCs w:val="18"/>
              </w:rPr>
              <w:t>③都市整備部や警察から道路被害・復旧情報を収集・整理</w:t>
            </w:r>
          </w:p>
          <w:p w14:paraId="53820968" w14:textId="77777777" w:rsidR="00382C5E" w:rsidRPr="00E0548A" w:rsidRDefault="00382C5E" w:rsidP="00382C5E">
            <w:pPr>
              <w:adjustRightInd w:val="0"/>
              <w:snapToGrid w:val="0"/>
              <w:spacing w:line="240" w:lineRule="exact"/>
              <w:ind w:left="91" w:hangingChars="100" w:hanging="91"/>
              <w:jc w:val="left"/>
              <w:rPr>
                <w:rFonts w:ascii="ＭＳ ゴシック" w:eastAsia="ＭＳ ゴシック" w:hAnsi="ＭＳ ゴシック"/>
                <w:w w:val="50"/>
                <w:sz w:val="18"/>
                <w:szCs w:val="18"/>
              </w:rPr>
            </w:pPr>
            <w:r w:rsidRPr="00E0548A">
              <w:rPr>
                <w:rFonts w:ascii="ＭＳ ゴシック" w:eastAsia="ＭＳ ゴシック" w:hAnsi="ＭＳ ゴシック" w:hint="eastAsia"/>
                <w:w w:val="50"/>
                <w:sz w:val="18"/>
                <w:szCs w:val="18"/>
              </w:rPr>
              <w:t>④市町村からO-DISを通じて情報収集</w:t>
            </w:r>
          </w:p>
          <w:p w14:paraId="3EAFC0C2" w14:textId="2FD6C84D" w:rsidR="00382C5E" w:rsidRPr="00E0548A" w:rsidRDefault="00382C5E" w:rsidP="00382C5E">
            <w:pPr>
              <w:adjustRightInd w:val="0"/>
              <w:snapToGrid w:val="0"/>
              <w:spacing w:line="240" w:lineRule="exact"/>
              <w:ind w:leftChars="100" w:left="211"/>
              <w:jc w:val="left"/>
              <w:rPr>
                <w:rFonts w:ascii="ＭＳ ゴシック" w:eastAsia="ＭＳ ゴシック" w:hAnsi="ＭＳ ゴシック"/>
                <w:w w:val="50"/>
                <w:sz w:val="18"/>
                <w:szCs w:val="18"/>
              </w:rPr>
            </w:pPr>
            <w:r w:rsidRPr="00E0548A">
              <w:rPr>
                <w:rFonts w:ascii="ＭＳ ゴシック" w:eastAsia="ＭＳ ゴシック" w:hAnsi="ＭＳ ゴシック" w:hint="eastAsia"/>
                <w:w w:val="50"/>
                <w:sz w:val="18"/>
                <w:szCs w:val="18"/>
              </w:rPr>
              <w:t xml:space="preserve">　注：O</w:t>
            </w:r>
            <w:r w:rsidR="00AB6FBD" w:rsidRPr="00E0548A">
              <w:rPr>
                <w:rFonts w:ascii="ＭＳ ゴシック" w:eastAsia="ＭＳ ゴシック" w:hAnsi="ＭＳ ゴシック" w:hint="eastAsia"/>
                <w:w w:val="50"/>
                <w:sz w:val="18"/>
                <w:szCs w:val="18"/>
              </w:rPr>
              <w:t>-</w:t>
            </w:r>
            <w:r w:rsidRPr="00E0548A">
              <w:rPr>
                <w:rFonts w:ascii="ＭＳ ゴシック" w:eastAsia="ＭＳ ゴシック" w:hAnsi="ＭＳ ゴシック" w:hint="eastAsia"/>
                <w:w w:val="50"/>
                <w:sz w:val="18"/>
                <w:szCs w:val="18"/>
              </w:rPr>
              <w:t>DIS未入力の被害については、市町村に確認するとともにO</w:t>
            </w:r>
            <w:r w:rsidR="00AB6FBD" w:rsidRPr="00E0548A">
              <w:rPr>
                <w:rFonts w:ascii="ＭＳ ゴシック" w:eastAsia="ＭＳ ゴシック" w:hAnsi="ＭＳ ゴシック" w:hint="eastAsia"/>
                <w:w w:val="50"/>
                <w:sz w:val="18"/>
                <w:szCs w:val="18"/>
              </w:rPr>
              <w:t>-</w:t>
            </w:r>
            <w:r w:rsidRPr="00E0548A">
              <w:rPr>
                <w:rFonts w:ascii="ＭＳ ゴシック" w:eastAsia="ＭＳ ゴシック" w:hAnsi="ＭＳ ゴシック" w:hint="eastAsia"/>
                <w:w w:val="50"/>
                <w:sz w:val="18"/>
                <w:szCs w:val="18"/>
              </w:rPr>
              <w:t>DIS入力を促す</w:t>
            </w:r>
          </w:p>
          <w:p w14:paraId="7782B47B" w14:textId="77777777" w:rsidR="00382C5E" w:rsidRPr="00E0548A" w:rsidRDefault="00382C5E" w:rsidP="00382C5E">
            <w:pPr>
              <w:adjustRightInd w:val="0"/>
              <w:snapToGrid w:val="0"/>
              <w:spacing w:line="240" w:lineRule="exact"/>
              <w:ind w:left="91" w:hangingChars="100" w:hanging="91"/>
              <w:jc w:val="left"/>
              <w:rPr>
                <w:rFonts w:ascii="ＭＳ ゴシック" w:eastAsia="ＭＳ ゴシック" w:hAnsi="ＭＳ ゴシック"/>
                <w:w w:val="50"/>
                <w:sz w:val="18"/>
                <w:szCs w:val="18"/>
              </w:rPr>
            </w:pPr>
            <w:r w:rsidRPr="00E0548A">
              <w:rPr>
                <w:rFonts w:ascii="ＭＳ ゴシック" w:eastAsia="ＭＳ ゴシック" w:hAnsi="ＭＳ ゴシック" w:hint="eastAsia"/>
                <w:w w:val="50"/>
                <w:sz w:val="18"/>
                <w:szCs w:val="18"/>
              </w:rPr>
              <w:t>⑤被害情報(TV・各機関等)を収集・整理</w:t>
            </w:r>
          </w:p>
          <w:p w14:paraId="6C52C300" w14:textId="77777777" w:rsidR="00382C5E" w:rsidRPr="00E0548A" w:rsidRDefault="00382C5E" w:rsidP="00382C5E">
            <w:pPr>
              <w:adjustRightInd w:val="0"/>
              <w:snapToGrid w:val="0"/>
              <w:spacing w:line="240" w:lineRule="exact"/>
              <w:jc w:val="left"/>
              <w:rPr>
                <w:rFonts w:ascii="ＭＳ ゴシック" w:eastAsia="ＭＳ ゴシック" w:hAnsi="ＭＳ ゴシック"/>
                <w:w w:val="50"/>
                <w:sz w:val="18"/>
                <w:szCs w:val="18"/>
              </w:rPr>
            </w:pPr>
            <w:r w:rsidRPr="00E0548A">
              <w:rPr>
                <w:rFonts w:ascii="ＭＳ ゴシック" w:eastAsia="ＭＳ ゴシック" w:hAnsi="ＭＳ ゴシック" w:hint="eastAsia"/>
                <w:w w:val="50"/>
                <w:sz w:val="18"/>
                <w:szCs w:val="18"/>
              </w:rPr>
              <w:t>⑥ヘリテレ映像の収集・配信</w:t>
            </w:r>
          </w:p>
          <w:p w14:paraId="3E0FBBA1" w14:textId="77777777" w:rsidR="00382C5E" w:rsidRPr="00E0548A" w:rsidRDefault="00382C5E" w:rsidP="00382C5E">
            <w:pPr>
              <w:adjustRightInd w:val="0"/>
              <w:snapToGrid w:val="0"/>
              <w:spacing w:line="240" w:lineRule="exact"/>
              <w:jc w:val="left"/>
              <w:rPr>
                <w:rFonts w:ascii="ＭＳ ゴシック" w:eastAsia="ＭＳ ゴシック" w:hAnsi="ＭＳ ゴシック"/>
                <w:w w:val="50"/>
                <w:sz w:val="18"/>
                <w:szCs w:val="18"/>
              </w:rPr>
            </w:pPr>
            <w:r w:rsidRPr="00E0548A">
              <w:rPr>
                <w:rFonts w:ascii="ＭＳ ゴシック" w:eastAsia="ＭＳ ゴシック" w:hAnsi="ＭＳ ゴシック" w:hint="eastAsia"/>
                <w:w w:val="50"/>
                <w:sz w:val="18"/>
                <w:szCs w:val="18"/>
              </w:rPr>
              <w:t>⑦国、関西広域連合等の情報等を収集・整理(対応の必要性を判断し対策班に引き継ぐ、状況地図を作成)</w:t>
            </w:r>
          </w:p>
          <w:p w14:paraId="7C9DE73A" w14:textId="77777777" w:rsidR="00382C5E" w:rsidRPr="00E0548A" w:rsidRDefault="00382C5E" w:rsidP="00382C5E">
            <w:pPr>
              <w:adjustRightInd w:val="0"/>
              <w:snapToGrid w:val="0"/>
              <w:spacing w:line="240" w:lineRule="exact"/>
              <w:ind w:left="91" w:hangingChars="100" w:hanging="91"/>
              <w:jc w:val="left"/>
              <w:rPr>
                <w:rFonts w:ascii="ＭＳ ゴシック" w:eastAsia="ＭＳ ゴシック" w:hAnsi="ＭＳ ゴシック"/>
                <w:w w:val="50"/>
                <w:sz w:val="18"/>
                <w:szCs w:val="18"/>
              </w:rPr>
            </w:pPr>
            <w:r w:rsidRPr="00E0548A">
              <w:rPr>
                <w:rFonts w:ascii="ＭＳ ゴシック" w:eastAsia="ＭＳ ゴシック" w:hAnsi="ＭＳ ゴシック" w:hint="eastAsia"/>
                <w:w w:val="50"/>
                <w:sz w:val="18"/>
                <w:szCs w:val="18"/>
              </w:rPr>
              <w:t>○被災者支援に関する情報(ニーズ等)を収集し、対策班に引き継ぐ</w:t>
            </w:r>
          </w:p>
          <w:p w14:paraId="50BC90CF" w14:textId="77777777" w:rsidR="00382C5E" w:rsidRPr="00E0548A" w:rsidRDefault="00382C5E" w:rsidP="00382C5E">
            <w:pPr>
              <w:adjustRightInd w:val="0"/>
              <w:snapToGrid w:val="0"/>
              <w:spacing w:line="240" w:lineRule="exact"/>
              <w:ind w:left="91" w:hangingChars="100" w:hanging="91"/>
              <w:jc w:val="left"/>
              <w:rPr>
                <w:rFonts w:ascii="ＭＳ ゴシック" w:eastAsia="ＭＳ ゴシック" w:hAnsi="ＭＳ ゴシック"/>
                <w:w w:val="50"/>
                <w:sz w:val="16"/>
                <w:szCs w:val="18"/>
              </w:rPr>
            </w:pPr>
            <w:r w:rsidRPr="00E0548A">
              <w:rPr>
                <w:rFonts w:ascii="ＭＳ ゴシック" w:eastAsia="ＭＳ ゴシック" w:hAnsi="ＭＳ ゴシック" w:hint="eastAsia"/>
                <w:w w:val="50"/>
                <w:sz w:val="18"/>
                <w:szCs w:val="18"/>
              </w:rPr>
              <w:t>○地震・津波等の情報や各種被害情報等を評価・分析し、被害の全体像を更新する。</w:t>
            </w:r>
            <w:r w:rsidRPr="00E0548A">
              <w:rPr>
                <w:rFonts w:ascii="ＭＳ ゴシック" w:eastAsia="ＭＳ ゴシック" w:hAnsi="ＭＳ ゴシック" w:hint="eastAsia"/>
                <w:w w:val="50"/>
                <w:sz w:val="16"/>
                <w:szCs w:val="18"/>
              </w:rPr>
              <w:t>(被害想定及び地域防災計画担当が専任)</w:t>
            </w:r>
          </w:p>
          <w:p w14:paraId="6D0C2F09" w14:textId="77777777" w:rsidR="00382C5E" w:rsidRPr="00E0548A" w:rsidRDefault="00382C5E" w:rsidP="00382C5E">
            <w:pPr>
              <w:adjustRightInd w:val="0"/>
              <w:snapToGrid w:val="0"/>
              <w:spacing w:line="240" w:lineRule="exact"/>
              <w:jc w:val="left"/>
              <w:rPr>
                <w:rFonts w:ascii="ＭＳ ゴシック" w:eastAsia="ＭＳ ゴシック" w:hAnsi="ＭＳ ゴシック"/>
                <w:w w:val="50"/>
                <w:sz w:val="18"/>
                <w:szCs w:val="18"/>
              </w:rPr>
            </w:pPr>
            <w:r w:rsidRPr="00E0548A">
              <w:rPr>
                <w:rFonts w:ascii="ＭＳ ゴシック" w:eastAsia="ＭＳ ゴシック" w:hAnsi="ＭＳ ゴシック" w:hint="eastAsia"/>
                <w:w w:val="50"/>
                <w:sz w:val="18"/>
                <w:szCs w:val="18"/>
              </w:rPr>
              <w:t>○情報班活動記録(画像、文書)作成</w:t>
            </w:r>
          </w:p>
          <w:p w14:paraId="0775644F" w14:textId="77777777" w:rsidR="00382C5E" w:rsidRPr="00E0548A" w:rsidRDefault="00382C5E" w:rsidP="00382C5E">
            <w:pPr>
              <w:adjustRightInd w:val="0"/>
              <w:snapToGrid w:val="0"/>
              <w:spacing w:line="240" w:lineRule="exact"/>
              <w:jc w:val="left"/>
              <w:rPr>
                <w:rFonts w:ascii="ＭＳ ゴシック" w:eastAsia="ＭＳ ゴシック" w:hAnsi="ＭＳ ゴシック"/>
                <w:w w:val="50"/>
                <w:sz w:val="18"/>
                <w:szCs w:val="18"/>
              </w:rPr>
            </w:pPr>
            <w:r w:rsidRPr="00E0548A">
              <w:rPr>
                <w:rFonts w:ascii="ＭＳ ゴシック" w:eastAsia="ＭＳ ゴシック" w:hAnsi="ＭＳ ゴシック" w:hint="eastAsia"/>
                <w:w w:val="50"/>
                <w:sz w:val="18"/>
                <w:szCs w:val="18"/>
              </w:rPr>
              <w:t>※原子力災害が発生した場合は緊急時モニタリング体制等を設置する。(自然災害等との複合災害の場合は調整する。)</w:t>
            </w:r>
          </w:p>
          <w:p w14:paraId="3D95DDE0" w14:textId="77777777" w:rsidR="009D1C01" w:rsidRPr="00E0548A" w:rsidRDefault="009D1C01" w:rsidP="00382C5E">
            <w:pPr>
              <w:adjustRightInd w:val="0"/>
              <w:snapToGrid w:val="0"/>
              <w:spacing w:line="240" w:lineRule="exact"/>
              <w:jc w:val="left"/>
              <w:rPr>
                <w:rFonts w:ascii="ＭＳ ゴシック" w:eastAsia="ＭＳ ゴシック" w:hAnsi="ＭＳ ゴシック"/>
                <w:w w:val="50"/>
                <w:sz w:val="18"/>
                <w:szCs w:val="18"/>
              </w:rPr>
            </w:pPr>
            <w:r w:rsidRPr="00E0548A">
              <w:rPr>
                <w:rFonts w:ascii="ＭＳ ゴシック" w:eastAsia="ＭＳ ゴシック" w:hAnsi="ＭＳ ゴシック" w:hint="eastAsia"/>
                <w:w w:val="50"/>
                <w:sz w:val="18"/>
                <w:szCs w:val="18"/>
              </w:rPr>
              <w:t>〇住民の安否不明者情報の収集（府警、市町村）と、府警情報の市町村提供</w:t>
            </w:r>
          </w:p>
        </w:tc>
        <w:tc>
          <w:tcPr>
            <w:tcW w:w="3150" w:type="dxa"/>
            <w:tcBorders>
              <w:top w:val="single" w:sz="4" w:space="0" w:color="auto"/>
              <w:left w:val="single" w:sz="4" w:space="0" w:color="auto"/>
              <w:right w:val="single" w:sz="4" w:space="0" w:color="auto"/>
            </w:tcBorders>
            <w:vAlign w:val="center"/>
          </w:tcPr>
          <w:p w14:paraId="396DB68A" w14:textId="77777777" w:rsidR="00382C5E" w:rsidRPr="00E0548A" w:rsidRDefault="00382C5E" w:rsidP="00382C5E">
            <w:pPr>
              <w:adjustRightInd w:val="0"/>
              <w:snapToGrid w:val="0"/>
              <w:spacing w:line="240" w:lineRule="exact"/>
              <w:jc w:val="left"/>
              <w:rPr>
                <w:rFonts w:ascii="ＭＳ ゴシック" w:eastAsia="ＭＳ ゴシック" w:hAnsi="ＭＳ ゴシック"/>
                <w:w w:val="50"/>
                <w:sz w:val="18"/>
                <w:szCs w:val="18"/>
              </w:rPr>
            </w:pPr>
            <w:r w:rsidRPr="00E0548A">
              <w:rPr>
                <w:rFonts w:ascii="ＭＳ ゴシック" w:eastAsia="ＭＳ ゴシック" w:hAnsi="ＭＳ ゴシック" w:hint="eastAsia"/>
                <w:w w:val="50"/>
                <w:sz w:val="18"/>
                <w:szCs w:val="18"/>
              </w:rPr>
              <w:t>班長：防災企画課長　　副班長：消防指導G長</w:t>
            </w:r>
          </w:p>
        </w:tc>
      </w:tr>
      <w:tr w:rsidR="001D6D10" w:rsidRPr="00E0548A" w14:paraId="51084A06" w14:textId="77777777" w:rsidTr="006E52DA">
        <w:trPr>
          <w:cantSplit/>
          <w:trHeight w:val="919"/>
        </w:trPr>
        <w:tc>
          <w:tcPr>
            <w:tcW w:w="596" w:type="dxa"/>
            <w:vMerge/>
            <w:tcBorders>
              <w:left w:val="single" w:sz="4" w:space="0" w:color="auto"/>
              <w:right w:val="single" w:sz="4" w:space="0" w:color="auto"/>
            </w:tcBorders>
            <w:vAlign w:val="center"/>
            <w:hideMark/>
          </w:tcPr>
          <w:p w14:paraId="4D9379AB" w14:textId="77777777" w:rsidR="00382C5E" w:rsidRPr="00E0548A" w:rsidRDefault="00382C5E" w:rsidP="00382C5E">
            <w:pPr>
              <w:widowControl/>
              <w:adjustRightInd w:val="0"/>
              <w:snapToGrid w:val="0"/>
              <w:spacing w:line="240" w:lineRule="exact"/>
              <w:jc w:val="left"/>
              <w:rPr>
                <w:rFonts w:ascii="ＭＳ ゴシック" w:eastAsia="ＭＳ ゴシック" w:hAnsi="ＭＳ ゴシック"/>
                <w:w w:val="50"/>
                <w:sz w:val="18"/>
                <w:szCs w:val="18"/>
              </w:rPr>
            </w:pPr>
          </w:p>
        </w:tc>
        <w:tc>
          <w:tcPr>
            <w:tcW w:w="5072" w:type="dxa"/>
            <w:vMerge/>
            <w:tcBorders>
              <w:left w:val="single" w:sz="4" w:space="0" w:color="auto"/>
              <w:right w:val="single" w:sz="4" w:space="0" w:color="auto"/>
            </w:tcBorders>
            <w:vAlign w:val="center"/>
          </w:tcPr>
          <w:p w14:paraId="2DAF6EF6" w14:textId="77777777" w:rsidR="00382C5E" w:rsidRPr="00E0548A" w:rsidRDefault="00382C5E" w:rsidP="00382C5E">
            <w:pPr>
              <w:widowControl/>
              <w:adjustRightInd w:val="0"/>
              <w:snapToGrid w:val="0"/>
              <w:spacing w:line="240" w:lineRule="exact"/>
              <w:jc w:val="left"/>
              <w:rPr>
                <w:rFonts w:ascii="ＭＳ ゴシック" w:eastAsia="ＭＳ ゴシック" w:hAnsi="ＭＳ ゴシック"/>
                <w:w w:val="50"/>
                <w:sz w:val="18"/>
                <w:szCs w:val="18"/>
              </w:rPr>
            </w:pPr>
          </w:p>
        </w:tc>
        <w:tc>
          <w:tcPr>
            <w:tcW w:w="3150" w:type="dxa"/>
            <w:vMerge w:val="restart"/>
            <w:tcBorders>
              <w:top w:val="single" w:sz="4" w:space="0" w:color="auto"/>
              <w:left w:val="single" w:sz="4" w:space="0" w:color="auto"/>
              <w:right w:val="single" w:sz="4" w:space="0" w:color="auto"/>
            </w:tcBorders>
            <w:vAlign w:val="center"/>
          </w:tcPr>
          <w:p w14:paraId="3E40A50A" w14:textId="77777777" w:rsidR="00382C5E" w:rsidRPr="00E0548A" w:rsidRDefault="00382C5E" w:rsidP="00B35001">
            <w:pPr>
              <w:adjustRightInd w:val="0"/>
              <w:snapToGrid w:val="0"/>
              <w:spacing w:line="240" w:lineRule="exact"/>
              <w:jc w:val="left"/>
              <w:rPr>
                <w:rFonts w:ascii="ＭＳ ゴシック" w:eastAsia="ＭＳ ゴシック" w:hAnsi="ＭＳ ゴシック"/>
                <w:w w:val="50"/>
                <w:sz w:val="18"/>
                <w:szCs w:val="18"/>
              </w:rPr>
            </w:pPr>
            <w:r w:rsidRPr="00E0548A">
              <w:rPr>
                <w:rFonts w:ascii="ＭＳ ゴシック" w:eastAsia="ＭＳ ゴシック" w:hAnsi="ＭＳ ゴシック" w:hint="eastAsia"/>
                <w:w w:val="50"/>
                <w:sz w:val="18"/>
                <w:szCs w:val="18"/>
              </w:rPr>
              <w:t>危機管理室(16名)</w:t>
            </w:r>
          </w:p>
        </w:tc>
      </w:tr>
      <w:tr w:rsidR="001D6D10" w:rsidRPr="00E0548A" w14:paraId="59EABE6B" w14:textId="77777777" w:rsidTr="006E52DA">
        <w:trPr>
          <w:cantSplit/>
          <w:trHeight w:val="989"/>
        </w:trPr>
        <w:tc>
          <w:tcPr>
            <w:tcW w:w="596" w:type="dxa"/>
            <w:vMerge/>
            <w:tcBorders>
              <w:left w:val="single" w:sz="4" w:space="0" w:color="auto"/>
              <w:right w:val="single" w:sz="4" w:space="0" w:color="auto"/>
            </w:tcBorders>
            <w:vAlign w:val="center"/>
          </w:tcPr>
          <w:p w14:paraId="460C9668" w14:textId="77777777" w:rsidR="00382C5E" w:rsidRPr="00E0548A" w:rsidRDefault="00382C5E" w:rsidP="00382C5E">
            <w:pPr>
              <w:widowControl/>
              <w:adjustRightInd w:val="0"/>
              <w:snapToGrid w:val="0"/>
              <w:spacing w:line="240" w:lineRule="exact"/>
              <w:jc w:val="left"/>
              <w:rPr>
                <w:rFonts w:ascii="ＭＳ ゴシック" w:eastAsia="ＭＳ ゴシック" w:hAnsi="ＭＳ ゴシック"/>
                <w:w w:val="50"/>
                <w:sz w:val="18"/>
                <w:szCs w:val="18"/>
              </w:rPr>
            </w:pPr>
          </w:p>
        </w:tc>
        <w:tc>
          <w:tcPr>
            <w:tcW w:w="5072" w:type="dxa"/>
            <w:vMerge/>
            <w:tcBorders>
              <w:left w:val="single" w:sz="4" w:space="0" w:color="auto"/>
              <w:right w:val="single" w:sz="4" w:space="0" w:color="auto"/>
            </w:tcBorders>
            <w:vAlign w:val="center"/>
          </w:tcPr>
          <w:p w14:paraId="6BF2DF88" w14:textId="77777777" w:rsidR="00382C5E" w:rsidRPr="00E0548A" w:rsidRDefault="00382C5E" w:rsidP="00382C5E">
            <w:pPr>
              <w:widowControl/>
              <w:adjustRightInd w:val="0"/>
              <w:snapToGrid w:val="0"/>
              <w:spacing w:line="240" w:lineRule="exact"/>
              <w:jc w:val="left"/>
              <w:rPr>
                <w:rFonts w:ascii="ＭＳ ゴシック" w:eastAsia="ＭＳ ゴシック" w:hAnsi="ＭＳ ゴシック"/>
                <w:w w:val="50"/>
                <w:sz w:val="18"/>
                <w:szCs w:val="18"/>
              </w:rPr>
            </w:pPr>
          </w:p>
        </w:tc>
        <w:tc>
          <w:tcPr>
            <w:tcW w:w="3150" w:type="dxa"/>
            <w:vMerge/>
            <w:tcBorders>
              <w:left w:val="single" w:sz="4" w:space="0" w:color="auto"/>
              <w:right w:val="single" w:sz="4" w:space="0" w:color="auto"/>
            </w:tcBorders>
            <w:vAlign w:val="center"/>
          </w:tcPr>
          <w:p w14:paraId="5F7656BF" w14:textId="77777777" w:rsidR="00382C5E" w:rsidRPr="00E0548A" w:rsidRDefault="00382C5E" w:rsidP="00382C5E">
            <w:pPr>
              <w:adjustRightInd w:val="0"/>
              <w:snapToGrid w:val="0"/>
              <w:spacing w:line="240" w:lineRule="exact"/>
              <w:jc w:val="center"/>
              <w:rPr>
                <w:rFonts w:ascii="ＭＳ ゴシック" w:eastAsia="ＭＳ ゴシック" w:hAnsi="ＭＳ ゴシック"/>
                <w:w w:val="50"/>
                <w:sz w:val="18"/>
                <w:szCs w:val="18"/>
              </w:rPr>
            </w:pPr>
          </w:p>
        </w:tc>
      </w:tr>
      <w:tr w:rsidR="001D6D10" w:rsidRPr="00E0548A" w14:paraId="693CFE79" w14:textId="77777777" w:rsidTr="006E52DA">
        <w:trPr>
          <w:cantSplit/>
          <w:trHeight w:val="833"/>
        </w:trPr>
        <w:tc>
          <w:tcPr>
            <w:tcW w:w="596" w:type="dxa"/>
            <w:vMerge/>
            <w:tcBorders>
              <w:left w:val="single" w:sz="4" w:space="0" w:color="auto"/>
              <w:right w:val="single" w:sz="4" w:space="0" w:color="auto"/>
            </w:tcBorders>
            <w:vAlign w:val="center"/>
          </w:tcPr>
          <w:p w14:paraId="1D97F154" w14:textId="77777777" w:rsidR="00382C5E" w:rsidRPr="00E0548A" w:rsidRDefault="00382C5E" w:rsidP="00382C5E">
            <w:pPr>
              <w:widowControl/>
              <w:adjustRightInd w:val="0"/>
              <w:snapToGrid w:val="0"/>
              <w:spacing w:line="240" w:lineRule="exact"/>
              <w:jc w:val="left"/>
              <w:rPr>
                <w:rFonts w:ascii="ＭＳ ゴシック" w:eastAsia="ＭＳ ゴシック" w:hAnsi="ＭＳ ゴシック"/>
                <w:w w:val="50"/>
                <w:sz w:val="18"/>
                <w:szCs w:val="18"/>
              </w:rPr>
            </w:pPr>
          </w:p>
        </w:tc>
        <w:tc>
          <w:tcPr>
            <w:tcW w:w="5072" w:type="dxa"/>
            <w:vMerge/>
            <w:tcBorders>
              <w:left w:val="single" w:sz="4" w:space="0" w:color="auto"/>
              <w:bottom w:val="single" w:sz="4" w:space="0" w:color="auto"/>
              <w:right w:val="single" w:sz="4" w:space="0" w:color="auto"/>
            </w:tcBorders>
            <w:vAlign w:val="center"/>
          </w:tcPr>
          <w:p w14:paraId="6911F0EA" w14:textId="77777777" w:rsidR="00382C5E" w:rsidRPr="00E0548A" w:rsidRDefault="00382C5E" w:rsidP="00382C5E">
            <w:pPr>
              <w:widowControl/>
              <w:adjustRightInd w:val="0"/>
              <w:snapToGrid w:val="0"/>
              <w:spacing w:line="240" w:lineRule="exact"/>
              <w:jc w:val="left"/>
              <w:rPr>
                <w:rFonts w:ascii="ＭＳ ゴシック" w:eastAsia="ＭＳ ゴシック" w:hAnsi="ＭＳ ゴシック"/>
                <w:w w:val="50"/>
                <w:sz w:val="18"/>
                <w:szCs w:val="18"/>
              </w:rPr>
            </w:pPr>
          </w:p>
        </w:tc>
        <w:tc>
          <w:tcPr>
            <w:tcW w:w="3150" w:type="dxa"/>
            <w:vMerge/>
            <w:tcBorders>
              <w:left w:val="single" w:sz="4" w:space="0" w:color="auto"/>
              <w:bottom w:val="single" w:sz="4" w:space="0" w:color="auto"/>
              <w:right w:val="single" w:sz="4" w:space="0" w:color="auto"/>
            </w:tcBorders>
            <w:vAlign w:val="center"/>
          </w:tcPr>
          <w:p w14:paraId="70543332" w14:textId="77777777" w:rsidR="00382C5E" w:rsidRPr="00E0548A" w:rsidRDefault="00382C5E" w:rsidP="00382C5E">
            <w:pPr>
              <w:adjustRightInd w:val="0"/>
              <w:snapToGrid w:val="0"/>
              <w:spacing w:line="240" w:lineRule="exact"/>
              <w:jc w:val="center"/>
              <w:rPr>
                <w:rFonts w:ascii="ＭＳ ゴシック" w:eastAsia="ＭＳ ゴシック" w:hAnsi="ＭＳ ゴシック"/>
                <w:w w:val="50"/>
                <w:sz w:val="18"/>
                <w:szCs w:val="18"/>
              </w:rPr>
            </w:pPr>
          </w:p>
        </w:tc>
      </w:tr>
      <w:tr w:rsidR="001D6D10" w:rsidRPr="00E0548A" w14:paraId="4302DAB9" w14:textId="77777777" w:rsidTr="006E52DA">
        <w:trPr>
          <w:cantSplit/>
          <w:trHeight w:val="845"/>
        </w:trPr>
        <w:tc>
          <w:tcPr>
            <w:tcW w:w="596" w:type="dxa"/>
            <w:vMerge w:val="restart"/>
            <w:tcBorders>
              <w:top w:val="single" w:sz="4" w:space="0" w:color="auto"/>
              <w:left w:val="single" w:sz="4" w:space="0" w:color="auto"/>
              <w:bottom w:val="single" w:sz="4" w:space="0" w:color="auto"/>
              <w:right w:val="single" w:sz="4" w:space="0" w:color="auto"/>
            </w:tcBorders>
            <w:textDirection w:val="tbRlV"/>
            <w:vAlign w:val="center"/>
            <w:hideMark/>
          </w:tcPr>
          <w:p w14:paraId="63FB44CB" w14:textId="77777777" w:rsidR="00382C5E" w:rsidRPr="00E0548A" w:rsidRDefault="00382C5E" w:rsidP="00382C5E">
            <w:pPr>
              <w:widowControl/>
              <w:adjustRightInd w:val="0"/>
              <w:snapToGrid w:val="0"/>
              <w:spacing w:line="240" w:lineRule="exact"/>
              <w:ind w:left="113" w:right="113"/>
              <w:jc w:val="center"/>
              <w:rPr>
                <w:rFonts w:ascii="ＭＳ ゴシック" w:eastAsia="ＭＳ ゴシック" w:hAnsi="ＭＳ ゴシック"/>
                <w:w w:val="50"/>
                <w:sz w:val="18"/>
                <w:szCs w:val="18"/>
              </w:rPr>
            </w:pPr>
            <w:r w:rsidRPr="00E0548A">
              <w:rPr>
                <w:rFonts w:ascii="ＭＳ ゴシック" w:eastAsia="ＭＳ ゴシック" w:hAnsi="ＭＳ ゴシック" w:hint="eastAsia"/>
                <w:kern w:val="0"/>
                <w:sz w:val="18"/>
                <w:szCs w:val="18"/>
              </w:rPr>
              <w:t>対策班</w:t>
            </w:r>
          </w:p>
        </w:tc>
        <w:tc>
          <w:tcPr>
            <w:tcW w:w="5072" w:type="dxa"/>
            <w:vMerge w:val="restart"/>
            <w:tcBorders>
              <w:top w:val="single" w:sz="4" w:space="0" w:color="auto"/>
              <w:left w:val="single" w:sz="4" w:space="0" w:color="auto"/>
              <w:right w:val="single" w:sz="4" w:space="0" w:color="auto"/>
            </w:tcBorders>
            <w:vAlign w:val="center"/>
          </w:tcPr>
          <w:p w14:paraId="398AFB9C" w14:textId="77777777" w:rsidR="00382C5E" w:rsidRPr="00E0548A" w:rsidRDefault="00382C5E" w:rsidP="00382C5E">
            <w:pPr>
              <w:adjustRightInd w:val="0"/>
              <w:snapToGrid w:val="0"/>
              <w:spacing w:line="240" w:lineRule="exact"/>
              <w:jc w:val="left"/>
              <w:rPr>
                <w:rFonts w:ascii="ＭＳ ゴシック" w:eastAsia="ＭＳ ゴシック" w:hAnsi="ＭＳ ゴシック"/>
                <w:w w:val="50"/>
                <w:sz w:val="18"/>
                <w:szCs w:val="18"/>
              </w:rPr>
            </w:pPr>
            <w:r w:rsidRPr="00E0548A">
              <w:rPr>
                <w:rFonts w:ascii="ＭＳ ゴシック" w:eastAsia="ＭＳ ゴシック" w:hAnsi="ＭＳ ゴシック" w:hint="eastAsia"/>
                <w:w w:val="50"/>
                <w:sz w:val="18"/>
                <w:szCs w:val="18"/>
              </w:rPr>
              <w:t>○情報班より引き継いだ対応必要案件について、対策を検討し、対応する。</w:t>
            </w:r>
          </w:p>
          <w:p w14:paraId="23E35DAD" w14:textId="77777777" w:rsidR="00382C5E" w:rsidRPr="00E0548A" w:rsidRDefault="00382C5E" w:rsidP="00382C5E">
            <w:pPr>
              <w:adjustRightInd w:val="0"/>
              <w:snapToGrid w:val="0"/>
              <w:spacing w:line="240" w:lineRule="exact"/>
              <w:jc w:val="left"/>
              <w:rPr>
                <w:rFonts w:ascii="ＭＳ ゴシック" w:eastAsia="ＭＳ ゴシック" w:hAnsi="ＭＳ ゴシック"/>
                <w:w w:val="50"/>
                <w:sz w:val="18"/>
                <w:szCs w:val="18"/>
              </w:rPr>
            </w:pPr>
            <w:r w:rsidRPr="00E0548A">
              <w:rPr>
                <w:rFonts w:ascii="ＭＳ ゴシック" w:eastAsia="ＭＳ ゴシック" w:hAnsi="ＭＳ ゴシック" w:hint="eastAsia"/>
                <w:w w:val="50"/>
                <w:sz w:val="18"/>
                <w:szCs w:val="18"/>
              </w:rPr>
              <w:t>○(出動している場合)先遣隊との連絡調整</w:t>
            </w:r>
          </w:p>
          <w:p w14:paraId="648D6CB1" w14:textId="77777777" w:rsidR="00382C5E" w:rsidRPr="00E0548A" w:rsidRDefault="00382C5E" w:rsidP="00382C5E">
            <w:pPr>
              <w:adjustRightInd w:val="0"/>
              <w:snapToGrid w:val="0"/>
              <w:spacing w:line="240" w:lineRule="exact"/>
              <w:jc w:val="left"/>
              <w:rPr>
                <w:rFonts w:ascii="ＭＳ ゴシック" w:eastAsia="ＭＳ ゴシック" w:hAnsi="ＭＳ ゴシック"/>
                <w:w w:val="50"/>
                <w:sz w:val="18"/>
                <w:szCs w:val="18"/>
              </w:rPr>
            </w:pPr>
            <w:r w:rsidRPr="00E0548A">
              <w:rPr>
                <w:rFonts w:ascii="ＭＳ ゴシック" w:eastAsia="ＭＳ ゴシック" w:hAnsi="ＭＳ ゴシック" w:hint="eastAsia"/>
                <w:w w:val="50"/>
                <w:sz w:val="18"/>
                <w:szCs w:val="18"/>
              </w:rPr>
              <w:t>○各地域連絡部との連絡調整</w:t>
            </w:r>
          </w:p>
          <w:p w14:paraId="208FC102" w14:textId="77777777" w:rsidR="00382C5E" w:rsidRPr="00E0548A" w:rsidRDefault="00382C5E" w:rsidP="00382C5E">
            <w:pPr>
              <w:adjustRightInd w:val="0"/>
              <w:snapToGrid w:val="0"/>
              <w:spacing w:line="240" w:lineRule="exact"/>
              <w:jc w:val="left"/>
              <w:rPr>
                <w:rFonts w:ascii="ＭＳ ゴシック" w:eastAsia="ＭＳ ゴシック" w:hAnsi="ＭＳ ゴシック"/>
                <w:w w:val="50"/>
                <w:sz w:val="18"/>
                <w:szCs w:val="18"/>
              </w:rPr>
            </w:pPr>
            <w:r w:rsidRPr="00E0548A">
              <w:rPr>
                <w:rFonts w:ascii="ＭＳ ゴシック" w:eastAsia="ＭＳ ゴシック" w:hAnsi="ＭＳ ゴシック" w:hint="eastAsia"/>
                <w:w w:val="50"/>
                <w:sz w:val="18"/>
                <w:szCs w:val="18"/>
              </w:rPr>
              <w:t>○防災関係機関との活動調整(広域防災連絡会議の運営含む)</w:t>
            </w:r>
          </w:p>
          <w:p w14:paraId="45EC231F" w14:textId="77777777" w:rsidR="00382C5E" w:rsidRPr="00E0548A" w:rsidRDefault="00382C5E" w:rsidP="00382C5E">
            <w:pPr>
              <w:adjustRightInd w:val="0"/>
              <w:snapToGrid w:val="0"/>
              <w:spacing w:line="240" w:lineRule="exact"/>
              <w:jc w:val="left"/>
              <w:rPr>
                <w:rFonts w:ascii="ＭＳ ゴシック" w:eastAsia="ＭＳ ゴシック" w:hAnsi="ＭＳ ゴシック"/>
                <w:w w:val="50"/>
                <w:sz w:val="18"/>
                <w:szCs w:val="18"/>
              </w:rPr>
            </w:pPr>
            <w:r w:rsidRPr="00E0548A">
              <w:rPr>
                <w:rFonts w:ascii="ＭＳ ゴシック" w:eastAsia="ＭＳ ゴシック" w:hAnsi="ＭＳ ゴシック" w:hint="eastAsia"/>
                <w:w w:val="50"/>
                <w:sz w:val="18"/>
                <w:szCs w:val="18"/>
              </w:rPr>
              <w:t>○庁内各部局・事務局各班等への指示(道路啓開、救助資器材調達など)</w:t>
            </w:r>
          </w:p>
          <w:p w14:paraId="0F0C3B59" w14:textId="77777777" w:rsidR="00382C5E" w:rsidRPr="00E0548A" w:rsidRDefault="00382C5E" w:rsidP="00382C5E">
            <w:pPr>
              <w:adjustRightInd w:val="0"/>
              <w:snapToGrid w:val="0"/>
              <w:spacing w:line="240" w:lineRule="exact"/>
              <w:jc w:val="left"/>
              <w:rPr>
                <w:rFonts w:ascii="ＭＳ ゴシック" w:eastAsia="ＭＳ ゴシック" w:hAnsi="ＭＳ ゴシック"/>
                <w:w w:val="50"/>
                <w:sz w:val="18"/>
                <w:szCs w:val="18"/>
              </w:rPr>
            </w:pPr>
            <w:r w:rsidRPr="00E0548A">
              <w:rPr>
                <w:rFonts w:ascii="ＭＳ ゴシック" w:eastAsia="ＭＳ ゴシック" w:hAnsi="ＭＳ ゴシック" w:hint="eastAsia"/>
                <w:w w:val="50"/>
                <w:sz w:val="18"/>
                <w:szCs w:val="18"/>
              </w:rPr>
              <w:t>○緊急通行車両証の発行手続き</w:t>
            </w:r>
          </w:p>
          <w:p w14:paraId="634D8C10" w14:textId="77777777" w:rsidR="00382C5E" w:rsidRPr="00E0548A" w:rsidRDefault="00382C5E" w:rsidP="00382C5E">
            <w:pPr>
              <w:adjustRightInd w:val="0"/>
              <w:snapToGrid w:val="0"/>
              <w:spacing w:line="240" w:lineRule="exact"/>
              <w:jc w:val="left"/>
              <w:rPr>
                <w:rFonts w:ascii="ＭＳ ゴシック" w:eastAsia="ＭＳ ゴシック" w:hAnsi="ＭＳ ゴシック"/>
                <w:w w:val="50"/>
                <w:sz w:val="18"/>
                <w:szCs w:val="18"/>
              </w:rPr>
            </w:pPr>
            <w:r w:rsidRPr="00E0548A">
              <w:rPr>
                <w:rFonts w:ascii="ＭＳ ゴシック" w:eastAsia="ＭＳ ゴシック" w:hAnsi="ＭＳ ゴシック" w:hint="eastAsia"/>
                <w:w w:val="50"/>
                <w:sz w:val="18"/>
                <w:szCs w:val="18"/>
              </w:rPr>
              <w:lastRenderedPageBreak/>
              <w:t>○災害救助法に係る調整</w:t>
            </w:r>
            <w:r w:rsidR="009D1C01" w:rsidRPr="00E0548A">
              <w:rPr>
                <w:rFonts w:ascii="ＭＳ ゴシック" w:eastAsia="ＭＳ ゴシック" w:hAnsi="ＭＳ ゴシック" w:hint="eastAsia"/>
                <w:w w:val="50"/>
                <w:sz w:val="18"/>
                <w:szCs w:val="18"/>
              </w:rPr>
              <w:t>（対象市町村の追加、内容・期間延長に関し内閣府との特別協議）</w:t>
            </w:r>
          </w:p>
          <w:p w14:paraId="31032DA3" w14:textId="77777777" w:rsidR="00382C5E" w:rsidRPr="00E0548A" w:rsidRDefault="00382C5E" w:rsidP="00382C5E">
            <w:pPr>
              <w:adjustRightInd w:val="0"/>
              <w:snapToGrid w:val="0"/>
              <w:spacing w:line="240" w:lineRule="exact"/>
              <w:jc w:val="left"/>
              <w:rPr>
                <w:rFonts w:ascii="ＭＳ ゴシック" w:eastAsia="ＭＳ ゴシック" w:hAnsi="ＭＳ ゴシック"/>
                <w:w w:val="50"/>
                <w:sz w:val="18"/>
                <w:szCs w:val="18"/>
              </w:rPr>
            </w:pPr>
            <w:r w:rsidRPr="00E0548A">
              <w:rPr>
                <w:rFonts w:ascii="ＭＳ ゴシック" w:eastAsia="ＭＳ ゴシック" w:hAnsi="ＭＳ ゴシック" w:hint="eastAsia"/>
                <w:w w:val="50"/>
                <w:sz w:val="18"/>
                <w:szCs w:val="18"/>
              </w:rPr>
              <w:t>○</w:t>
            </w:r>
            <w:proofErr w:type="gramStart"/>
            <w:r w:rsidRPr="00E0548A">
              <w:rPr>
                <w:rFonts w:ascii="ＭＳ ゴシック" w:eastAsia="ＭＳ ゴシック" w:hAnsi="ＭＳ ゴシック" w:hint="eastAsia"/>
                <w:w w:val="50"/>
                <w:sz w:val="18"/>
                <w:szCs w:val="18"/>
              </w:rPr>
              <w:t>プッシュ</w:t>
            </w:r>
            <w:proofErr w:type="gramEnd"/>
            <w:r w:rsidRPr="00E0548A">
              <w:rPr>
                <w:rFonts w:ascii="ＭＳ ゴシック" w:eastAsia="ＭＳ ゴシック" w:hAnsi="ＭＳ ゴシック" w:hint="eastAsia"/>
                <w:w w:val="50"/>
                <w:sz w:val="18"/>
                <w:szCs w:val="18"/>
              </w:rPr>
              <w:t>型支援の実施(輸送手段手配、支援量、市町村受入調整など)</w:t>
            </w:r>
          </w:p>
          <w:p w14:paraId="61FA884D" w14:textId="77777777" w:rsidR="009D1C01" w:rsidRPr="00E0548A" w:rsidRDefault="009D1C01" w:rsidP="00382C5E">
            <w:pPr>
              <w:adjustRightInd w:val="0"/>
              <w:snapToGrid w:val="0"/>
              <w:spacing w:line="240" w:lineRule="exact"/>
              <w:jc w:val="left"/>
              <w:rPr>
                <w:rFonts w:ascii="ＭＳ ゴシック" w:eastAsia="ＭＳ ゴシック" w:hAnsi="ＭＳ ゴシック"/>
                <w:w w:val="50"/>
                <w:sz w:val="18"/>
                <w:szCs w:val="18"/>
              </w:rPr>
            </w:pPr>
            <w:r w:rsidRPr="00E0548A">
              <w:rPr>
                <w:rFonts w:ascii="ＭＳ ゴシック" w:eastAsia="ＭＳ ゴシック" w:hAnsi="ＭＳ ゴシック" w:hint="eastAsia"/>
                <w:w w:val="50"/>
                <w:sz w:val="18"/>
                <w:szCs w:val="18"/>
              </w:rPr>
              <w:t>※広域防災拠点の現場対応</w:t>
            </w:r>
            <w:proofErr w:type="gramStart"/>
            <w:r w:rsidRPr="00E0548A">
              <w:rPr>
                <w:rFonts w:ascii="ＭＳ ゴシック" w:eastAsia="ＭＳ ゴシック" w:hAnsi="ＭＳ ゴシック" w:hint="eastAsia"/>
                <w:w w:val="50"/>
                <w:sz w:val="18"/>
                <w:szCs w:val="18"/>
              </w:rPr>
              <w:t>は</w:t>
            </w:r>
            <w:proofErr w:type="gramEnd"/>
            <w:r w:rsidRPr="00E0548A">
              <w:rPr>
                <w:rFonts w:ascii="ＭＳ ゴシック" w:eastAsia="ＭＳ ゴシック" w:hAnsi="ＭＳ ゴシック" w:hint="eastAsia"/>
                <w:w w:val="50"/>
                <w:sz w:val="18"/>
                <w:szCs w:val="18"/>
              </w:rPr>
              <w:t>最低5名ずつ</w:t>
            </w:r>
            <w:proofErr w:type="gramStart"/>
            <w:r w:rsidRPr="00E0548A">
              <w:rPr>
                <w:rFonts w:ascii="ＭＳ ゴシック" w:eastAsia="ＭＳ ゴシック" w:hAnsi="ＭＳ ゴシック" w:hint="eastAsia"/>
                <w:w w:val="50"/>
                <w:sz w:val="18"/>
                <w:szCs w:val="18"/>
              </w:rPr>
              <w:t>は</w:t>
            </w:r>
            <w:proofErr w:type="gramEnd"/>
            <w:r w:rsidRPr="00E0548A">
              <w:rPr>
                <w:rFonts w:ascii="ＭＳ ゴシック" w:eastAsia="ＭＳ ゴシック" w:hAnsi="ＭＳ ゴシック" w:hint="eastAsia"/>
                <w:w w:val="50"/>
                <w:sz w:val="18"/>
                <w:szCs w:val="18"/>
              </w:rPr>
              <w:t>必要でより多く必要（他部局応援必須）</w:t>
            </w:r>
          </w:p>
          <w:p w14:paraId="634BD3C1" w14:textId="77777777" w:rsidR="00382C5E" w:rsidRPr="00E0548A" w:rsidRDefault="00382C5E" w:rsidP="00382C5E">
            <w:pPr>
              <w:adjustRightInd w:val="0"/>
              <w:snapToGrid w:val="0"/>
              <w:spacing w:line="240" w:lineRule="exact"/>
              <w:jc w:val="left"/>
              <w:rPr>
                <w:rFonts w:ascii="ＭＳ ゴシック" w:eastAsia="ＭＳ ゴシック" w:hAnsi="ＭＳ ゴシック"/>
                <w:w w:val="50"/>
                <w:sz w:val="18"/>
                <w:szCs w:val="18"/>
              </w:rPr>
            </w:pPr>
            <w:r w:rsidRPr="00E0548A">
              <w:rPr>
                <w:rFonts w:ascii="ＭＳ ゴシック" w:eastAsia="ＭＳ ゴシック" w:hAnsi="ＭＳ ゴシック" w:hint="eastAsia"/>
                <w:w w:val="50"/>
                <w:sz w:val="18"/>
                <w:szCs w:val="18"/>
              </w:rPr>
              <w:t>○国等からの支援物資受入調整</w:t>
            </w:r>
          </w:p>
          <w:p w14:paraId="6F076E86" w14:textId="77777777" w:rsidR="00382C5E" w:rsidRPr="00E0548A" w:rsidRDefault="00382C5E" w:rsidP="00382C5E">
            <w:pPr>
              <w:adjustRightInd w:val="0"/>
              <w:snapToGrid w:val="0"/>
              <w:spacing w:line="240" w:lineRule="exact"/>
              <w:jc w:val="left"/>
              <w:rPr>
                <w:rFonts w:ascii="ＭＳ ゴシック" w:eastAsia="ＭＳ ゴシック" w:hAnsi="ＭＳ ゴシック"/>
                <w:w w:val="50"/>
                <w:sz w:val="18"/>
                <w:szCs w:val="18"/>
              </w:rPr>
            </w:pPr>
            <w:r w:rsidRPr="00E0548A">
              <w:rPr>
                <w:rFonts w:ascii="ＭＳ ゴシック" w:eastAsia="ＭＳ ゴシック" w:hAnsi="ＭＳ ゴシック" w:hint="eastAsia"/>
                <w:w w:val="50"/>
                <w:sz w:val="18"/>
                <w:szCs w:val="18"/>
              </w:rPr>
              <w:t>○協定企業(物流事業者)への支援要請(3拠点、災対本部への人員派遣)</w:t>
            </w:r>
          </w:p>
          <w:p w14:paraId="0B27FB9A" w14:textId="77777777" w:rsidR="00382C5E" w:rsidRPr="00E0548A" w:rsidRDefault="00382C5E" w:rsidP="00382C5E">
            <w:pPr>
              <w:adjustRightInd w:val="0"/>
              <w:snapToGrid w:val="0"/>
              <w:spacing w:line="240" w:lineRule="exact"/>
              <w:jc w:val="left"/>
              <w:rPr>
                <w:rFonts w:ascii="ＭＳ ゴシック" w:eastAsia="ＭＳ ゴシック" w:hAnsi="ＭＳ ゴシック"/>
                <w:w w:val="50"/>
                <w:sz w:val="18"/>
                <w:szCs w:val="18"/>
              </w:rPr>
            </w:pPr>
            <w:r w:rsidRPr="00E0548A">
              <w:rPr>
                <w:rFonts w:ascii="ＭＳ ゴシック" w:eastAsia="ＭＳ ゴシック" w:hAnsi="ＭＳ ゴシック" w:hint="eastAsia"/>
                <w:w w:val="50"/>
                <w:sz w:val="18"/>
                <w:szCs w:val="18"/>
              </w:rPr>
              <w:t>○情報班より引き継いだ被災者支援情報に基づき、対応する(協定企業等への支援要請,庁内各部局への物資等調達指示)</w:t>
            </w:r>
          </w:p>
          <w:p w14:paraId="17EBEC3C" w14:textId="77777777" w:rsidR="00382C5E" w:rsidRPr="00E0548A" w:rsidRDefault="00382C5E" w:rsidP="00382C5E">
            <w:pPr>
              <w:adjustRightInd w:val="0"/>
              <w:snapToGrid w:val="0"/>
              <w:spacing w:line="240" w:lineRule="exact"/>
              <w:jc w:val="left"/>
              <w:rPr>
                <w:rFonts w:ascii="ＭＳ ゴシック" w:eastAsia="ＭＳ ゴシック" w:hAnsi="ＭＳ ゴシック"/>
                <w:w w:val="50"/>
                <w:sz w:val="18"/>
                <w:szCs w:val="18"/>
              </w:rPr>
            </w:pPr>
            <w:r w:rsidRPr="00E0548A">
              <w:rPr>
                <w:rFonts w:ascii="ＭＳ ゴシック" w:eastAsia="ＭＳ ゴシック" w:hAnsi="ＭＳ ゴシック" w:hint="eastAsia"/>
                <w:w w:val="50"/>
                <w:sz w:val="18"/>
                <w:szCs w:val="18"/>
              </w:rPr>
              <w:t>○防災センターの機器操作</w:t>
            </w:r>
          </w:p>
          <w:p w14:paraId="50D2707E" w14:textId="77777777" w:rsidR="00382C5E" w:rsidRPr="00E0548A" w:rsidRDefault="00382C5E" w:rsidP="00382C5E">
            <w:pPr>
              <w:adjustRightInd w:val="0"/>
              <w:snapToGrid w:val="0"/>
              <w:spacing w:line="240" w:lineRule="exact"/>
              <w:jc w:val="left"/>
              <w:rPr>
                <w:rFonts w:ascii="ＭＳ ゴシック" w:eastAsia="ＭＳ ゴシック" w:hAnsi="ＭＳ ゴシック"/>
                <w:w w:val="50"/>
                <w:sz w:val="18"/>
                <w:szCs w:val="18"/>
              </w:rPr>
            </w:pPr>
            <w:r w:rsidRPr="00E0548A">
              <w:rPr>
                <w:rFonts w:ascii="ＭＳ ゴシック" w:eastAsia="ＭＳ ゴシック" w:hAnsi="ＭＳ ゴシック" w:hint="eastAsia"/>
                <w:w w:val="50"/>
                <w:sz w:val="18"/>
                <w:szCs w:val="18"/>
              </w:rPr>
              <w:t>○防災行政無線、各種システムの運用</w:t>
            </w:r>
          </w:p>
          <w:p w14:paraId="3432828B" w14:textId="77777777" w:rsidR="00382C5E" w:rsidRPr="00E0548A" w:rsidRDefault="00382C5E" w:rsidP="00382C5E">
            <w:pPr>
              <w:adjustRightInd w:val="0"/>
              <w:snapToGrid w:val="0"/>
              <w:spacing w:line="240" w:lineRule="exact"/>
              <w:jc w:val="left"/>
              <w:rPr>
                <w:rFonts w:ascii="ＭＳ ゴシック" w:eastAsia="ＭＳ ゴシック" w:hAnsi="ＭＳ ゴシック"/>
                <w:w w:val="50"/>
                <w:sz w:val="18"/>
                <w:szCs w:val="18"/>
              </w:rPr>
            </w:pPr>
            <w:r w:rsidRPr="00E0548A">
              <w:rPr>
                <w:rFonts w:ascii="ＭＳ ゴシック" w:eastAsia="ＭＳ ゴシック" w:hAnsi="ＭＳ ゴシック" w:hint="eastAsia"/>
                <w:w w:val="50"/>
                <w:sz w:val="18"/>
                <w:szCs w:val="18"/>
              </w:rPr>
              <w:t>○衛星通信車の運用</w:t>
            </w:r>
          </w:p>
          <w:p w14:paraId="10C6D023" w14:textId="77777777" w:rsidR="00382C5E" w:rsidRPr="00E0548A" w:rsidRDefault="00382C5E" w:rsidP="00382C5E">
            <w:pPr>
              <w:adjustRightInd w:val="0"/>
              <w:snapToGrid w:val="0"/>
              <w:spacing w:line="240" w:lineRule="exact"/>
              <w:jc w:val="left"/>
              <w:rPr>
                <w:rFonts w:ascii="ＭＳ ゴシック" w:eastAsia="ＭＳ ゴシック" w:hAnsi="ＭＳ ゴシック"/>
                <w:w w:val="50"/>
                <w:sz w:val="18"/>
                <w:szCs w:val="18"/>
              </w:rPr>
            </w:pPr>
            <w:r w:rsidRPr="00E0548A">
              <w:rPr>
                <w:rFonts w:ascii="ＭＳ ゴシック" w:eastAsia="ＭＳ ゴシック" w:hAnsi="ＭＳ ゴシック" w:hint="eastAsia"/>
                <w:w w:val="50"/>
                <w:sz w:val="18"/>
                <w:szCs w:val="18"/>
              </w:rPr>
              <w:t>○対策班活動記録(画像、文書)作成</w:t>
            </w:r>
          </w:p>
          <w:p w14:paraId="362B86B0" w14:textId="77777777" w:rsidR="009D1C01" w:rsidRPr="00E0548A" w:rsidRDefault="009D1C01" w:rsidP="009D1C01">
            <w:pPr>
              <w:adjustRightInd w:val="0"/>
              <w:snapToGrid w:val="0"/>
              <w:spacing w:line="240" w:lineRule="exact"/>
              <w:jc w:val="left"/>
              <w:rPr>
                <w:rFonts w:ascii="ＭＳ ゴシック" w:eastAsia="ＭＳ ゴシック" w:hAnsi="ＭＳ ゴシック"/>
                <w:w w:val="50"/>
                <w:sz w:val="18"/>
                <w:szCs w:val="18"/>
              </w:rPr>
            </w:pPr>
            <w:r w:rsidRPr="00E0548A">
              <w:rPr>
                <w:rFonts w:ascii="ＭＳ ゴシック" w:eastAsia="ＭＳ ゴシック" w:hAnsi="ＭＳ ゴシック" w:hint="eastAsia"/>
                <w:w w:val="50"/>
                <w:sz w:val="18"/>
                <w:szCs w:val="18"/>
              </w:rPr>
              <w:t>○府社会福祉協議会と府災害ボラン</w:t>
            </w:r>
            <w:r w:rsidR="000621DC" w:rsidRPr="00E0548A">
              <w:rPr>
                <w:rFonts w:ascii="ＭＳ ゴシック" w:eastAsia="ＭＳ ゴシック" w:hAnsi="ＭＳ ゴシック" w:hint="eastAsia"/>
                <w:w w:val="50"/>
                <w:sz w:val="18"/>
                <w:szCs w:val="18"/>
              </w:rPr>
              <w:t>ティアセンターの設置についての協議及び委託契約の締結</w:t>
            </w:r>
          </w:p>
          <w:p w14:paraId="3EDADBB7" w14:textId="3F6ED900" w:rsidR="009D1C01" w:rsidRPr="00E0548A" w:rsidRDefault="009D1C01" w:rsidP="009D1C01">
            <w:pPr>
              <w:adjustRightInd w:val="0"/>
              <w:snapToGrid w:val="0"/>
              <w:spacing w:line="240" w:lineRule="exact"/>
              <w:jc w:val="left"/>
              <w:rPr>
                <w:rFonts w:ascii="ＭＳ ゴシック" w:eastAsia="ＭＳ ゴシック" w:hAnsi="ＭＳ ゴシック"/>
                <w:w w:val="50"/>
                <w:sz w:val="18"/>
                <w:szCs w:val="18"/>
              </w:rPr>
            </w:pPr>
            <w:r w:rsidRPr="00E0548A">
              <w:rPr>
                <w:rFonts w:ascii="ＭＳ ゴシック" w:eastAsia="ＭＳ ゴシック" w:hAnsi="ＭＳ ゴシック" w:hint="eastAsia"/>
                <w:w w:val="50"/>
                <w:sz w:val="18"/>
                <w:szCs w:val="18"/>
              </w:rPr>
              <w:t>○府社協、おおさか災害支援ネットワーク、JVOAD及び内閣府との情報共有会議の開催（新別館北館４F職員会議室７・8）(受援</w:t>
            </w:r>
            <w:r w:rsidR="002448B5" w:rsidRPr="00E0548A">
              <w:rPr>
                <w:rFonts w:ascii="ＭＳ ゴシック" w:eastAsia="ＭＳ ゴシック" w:hAnsi="ＭＳ ゴシック" w:hint="eastAsia"/>
                <w:w w:val="50"/>
                <w:sz w:val="18"/>
                <w:szCs w:val="18"/>
              </w:rPr>
              <w:t>・応援</w:t>
            </w:r>
            <w:r w:rsidRPr="00E0548A">
              <w:rPr>
                <w:rFonts w:ascii="ＭＳ ゴシック" w:eastAsia="ＭＳ ゴシック" w:hAnsi="ＭＳ ゴシック" w:hint="eastAsia"/>
                <w:w w:val="50"/>
                <w:sz w:val="18"/>
                <w:szCs w:val="18"/>
              </w:rPr>
              <w:t>班と連携）</w:t>
            </w:r>
          </w:p>
        </w:tc>
        <w:tc>
          <w:tcPr>
            <w:tcW w:w="3150" w:type="dxa"/>
            <w:tcBorders>
              <w:top w:val="single" w:sz="4" w:space="0" w:color="auto"/>
              <w:left w:val="single" w:sz="4" w:space="0" w:color="auto"/>
              <w:right w:val="single" w:sz="4" w:space="0" w:color="auto"/>
            </w:tcBorders>
            <w:vAlign w:val="center"/>
          </w:tcPr>
          <w:p w14:paraId="6D2BC3C9" w14:textId="79DBBEFC" w:rsidR="00382C5E" w:rsidRPr="00E0548A" w:rsidRDefault="00382C5E" w:rsidP="00382C5E">
            <w:pPr>
              <w:adjustRightInd w:val="0"/>
              <w:snapToGrid w:val="0"/>
              <w:spacing w:line="240" w:lineRule="exact"/>
              <w:jc w:val="left"/>
              <w:rPr>
                <w:rFonts w:ascii="ＭＳ ゴシック" w:eastAsia="ＭＳ ゴシック" w:hAnsi="ＭＳ ゴシック"/>
                <w:w w:val="50"/>
                <w:sz w:val="18"/>
                <w:szCs w:val="18"/>
              </w:rPr>
            </w:pPr>
            <w:r w:rsidRPr="00E0548A">
              <w:rPr>
                <w:rFonts w:ascii="ＭＳ ゴシック" w:eastAsia="ＭＳ ゴシック" w:hAnsi="ＭＳ ゴシック" w:hint="eastAsia"/>
                <w:w w:val="50"/>
                <w:sz w:val="18"/>
                <w:szCs w:val="18"/>
              </w:rPr>
              <w:lastRenderedPageBreak/>
              <w:t>班長：災害対策課長　　副班長：災害対策課参事</w:t>
            </w:r>
            <w:r w:rsidR="0078368D" w:rsidRPr="00E0548A">
              <w:rPr>
                <w:rFonts w:ascii="ＭＳ ゴシック" w:eastAsia="ＭＳ ゴシック" w:hAnsi="ＭＳ ゴシック" w:hint="eastAsia"/>
                <w:w w:val="50"/>
                <w:sz w:val="18"/>
                <w:szCs w:val="18"/>
              </w:rPr>
              <w:t>(</w:t>
            </w:r>
            <w:r w:rsidR="00DD4847" w:rsidRPr="00E0548A">
              <w:rPr>
                <w:rFonts w:ascii="ＭＳ ゴシック" w:eastAsia="ＭＳ ゴシック" w:hAnsi="ＭＳ ゴシック" w:hint="eastAsia"/>
                <w:w w:val="50"/>
                <w:sz w:val="18"/>
                <w:szCs w:val="18"/>
              </w:rPr>
              <w:t>1</w:t>
            </w:r>
            <w:r w:rsidR="0078368D" w:rsidRPr="00E0548A">
              <w:rPr>
                <w:rFonts w:ascii="ＭＳ ゴシック" w:eastAsia="ＭＳ ゴシック" w:hAnsi="ＭＳ ゴシック" w:hint="eastAsia"/>
                <w:w w:val="50"/>
                <w:sz w:val="18"/>
                <w:szCs w:val="18"/>
              </w:rPr>
              <w:t>名</w:t>
            </w:r>
            <w:r w:rsidR="0078368D" w:rsidRPr="00E0548A">
              <w:rPr>
                <w:rFonts w:ascii="ＭＳ ゴシック" w:eastAsia="ＭＳ ゴシック" w:hAnsi="ＭＳ ゴシック"/>
                <w:w w:val="50"/>
                <w:sz w:val="18"/>
                <w:szCs w:val="18"/>
              </w:rPr>
              <w:t>)</w:t>
            </w:r>
          </w:p>
        </w:tc>
      </w:tr>
      <w:tr w:rsidR="001D6D10" w:rsidRPr="00E0548A" w14:paraId="41DB81D0" w14:textId="77777777" w:rsidTr="006E52DA">
        <w:trPr>
          <w:cantSplit/>
          <w:trHeight w:val="821"/>
        </w:trPr>
        <w:tc>
          <w:tcPr>
            <w:tcW w:w="596" w:type="dxa"/>
            <w:vMerge/>
            <w:tcBorders>
              <w:top w:val="single" w:sz="4" w:space="0" w:color="auto"/>
              <w:left w:val="single" w:sz="4" w:space="0" w:color="auto"/>
              <w:bottom w:val="single" w:sz="4" w:space="0" w:color="auto"/>
              <w:right w:val="single" w:sz="4" w:space="0" w:color="auto"/>
            </w:tcBorders>
            <w:vAlign w:val="center"/>
            <w:hideMark/>
          </w:tcPr>
          <w:p w14:paraId="5F8DC9D7" w14:textId="77777777" w:rsidR="00382C5E" w:rsidRPr="00E0548A" w:rsidRDefault="00382C5E" w:rsidP="00382C5E">
            <w:pPr>
              <w:widowControl/>
              <w:adjustRightInd w:val="0"/>
              <w:snapToGrid w:val="0"/>
              <w:spacing w:line="240" w:lineRule="exact"/>
              <w:jc w:val="left"/>
              <w:rPr>
                <w:rFonts w:ascii="ＭＳ ゴシック" w:eastAsia="ＭＳ ゴシック" w:hAnsi="ＭＳ ゴシック"/>
                <w:w w:val="50"/>
                <w:sz w:val="18"/>
                <w:szCs w:val="18"/>
              </w:rPr>
            </w:pPr>
          </w:p>
        </w:tc>
        <w:tc>
          <w:tcPr>
            <w:tcW w:w="5072" w:type="dxa"/>
            <w:vMerge/>
            <w:tcBorders>
              <w:left w:val="single" w:sz="4" w:space="0" w:color="auto"/>
              <w:right w:val="single" w:sz="4" w:space="0" w:color="auto"/>
            </w:tcBorders>
            <w:vAlign w:val="center"/>
          </w:tcPr>
          <w:p w14:paraId="5D8526C1" w14:textId="77777777" w:rsidR="00382C5E" w:rsidRPr="00E0548A" w:rsidRDefault="00382C5E" w:rsidP="00382C5E">
            <w:pPr>
              <w:widowControl/>
              <w:adjustRightInd w:val="0"/>
              <w:snapToGrid w:val="0"/>
              <w:spacing w:line="240" w:lineRule="exact"/>
              <w:jc w:val="left"/>
              <w:rPr>
                <w:rFonts w:ascii="ＭＳ ゴシック" w:eastAsia="ＭＳ ゴシック" w:hAnsi="ＭＳ ゴシック"/>
                <w:w w:val="50"/>
                <w:sz w:val="18"/>
                <w:szCs w:val="18"/>
              </w:rPr>
            </w:pPr>
          </w:p>
        </w:tc>
        <w:tc>
          <w:tcPr>
            <w:tcW w:w="3150" w:type="dxa"/>
            <w:vMerge w:val="restart"/>
            <w:tcBorders>
              <w:top w:val="single" w:sz="4" w:space="0" w:color="auto"/>
              <w:left w:val="single" w:sz="4" w:space="0" w:color="auto"/>
              <w:right w:val="single" w:sz="4" w:space="0" w:color="auto"/>
            </w:tcBorders>
            <w:vAlign w:val="center"/>
          </w:tcPr>
          <w:p w14:paraId="582C984C" w14:textId="77777777" w:rsidR="00382C5E" w:rsidRPr="00E0548A" w:rsidRDefault="00382C5E" w:rsidP="00B35001">
            <w:pPr>
              <w:adjustRightInd w:val="0"/>
              <w:snapToGrid w:val="0"/>
              <w:spacing w:line="240" w:lineRule="exact"/>
              <w:jc w:val="left"/>
              <w:rPr>
                <w:rFonts w:ascii="ＭＳ ゴシック" w:eastAsia="ＭＳ ゴシック" w:hAnsi="ＭＳ ゴシック"/>
                <w:w w:val="50"/>
                <w:sz w:val="18"/>
                <w:szCs w:val="18"/>
              </w:rPr>
            </w:pPr>
            <w:r w:rsidRPr="00E0548A">
              <w:rPr>
                <w:rFonts w:ascii="ＭＳ ゴシック" w:eastAsia="ＭＳ ゴシック" w:hAnsi="ＭＳ ゴシック" w:hint="eastAsia"/>
                <w:w w:val="50"/>
                <w:sz w:val="18"/>
                <w:szCs w:val="18"/>
              </w:rPr>
              <w:t>危機管理室(16名)</w:t>
            </w:r>
          </w:p>
        </w:tc>
      </w:tr>
      <w:tr w:rsidR="001D6D10" w:rsidRPr="00E0548A" w14:paraId="264B4679" w14:textId="77777777" w:rsidTr="006E52DA">
        <w:trPr>
          <w:cantSplit/>
          <w:trHeight w:val="1052"/>
        </w:trPr>
        <w:tc>
          <w:tcPr>
            <w:tcW w:w="596" w:type="dxa"/>
            <w:vMerge/>
            <w:tcBorders>
              <w:top w:val="single" w:sz="4" w:space="0" w:color="auto"/>
              <w:left w:val="single" w:sz="4" w:space="0" w:color="auto"/>
              <w:bottom w:val="single" w:sz="4" w:space="0" w:color="auto"/>
              <w:right w:val="single" w:sz="4" w:space="0" w:color="auto"/>
            </w:tcBorders>
            <w:vAlign w:val="center"/>
            <w:hideMark/>
          </w:tcPr>
          <w:p w14:paraId="1D0FD91D" w14:textId="77777777" w:rsidR="00382C5E" w:rsidRPr="00E0548A" w:rsidRDefault="00382C5E" w:rsidP="00382C5E">
            <w:pPr>
              <w:widowControl/>
              <w:adjustRightInd w:val="0"/>
              <w:snapToGrid w:val="0"/>
              <w:spacing w:line="240" w:lineRule="exact"/>
              <w:jc w:val="left"/>
              <w:rPr>
                <w:rFonts w:ascii="ＭＳ ゴシック" w:eastAsia="ＭＳ ゴシック" w:hAnsi="ＭＳ ゴシック"/>
                <w:w w:val="50"/>
                <w:sz w:val="18"/>
                <w:szCs w:val="18"/>
              </w:rPr>
            </w:pPr>
          </w:p>
        </w:tc>
        <w:tc>
          <w:tcPr>
            <w:tcW w:w="5072" w:type="dxa"/>
            <w:vMerge/>
            <w:tcBorders>
              <w:left w:val="single" w:sz="4" w:space="0" w:color="auto"/>
              <w:right w:val="single" w:sz="4" w:space="0" w:color="auto"/>
            </w:tcBorders>
            <w:vAlign w:val="center"/>
          </w:tcPr>
          <w:p w14:paraId="0408EB21" w14:textId="77777777" w:rsidR="00382C5E" w:rsidRPr="00E0548A" w:rsidRDefault="00382C5E" w:rsidP="00382C5E">
            <w:pPr>
              <w:adjustRightInd w:val="0"/>
              <w:snapToGrid w:val="0"/>
              <w:spacing w:line="240" w:lineRule="exact"/>
              <w:jc w:val="left"/>
              <w:rPr>
                <w:rFonts w:ascii="ＭＳ ゴシック" w:eastAsia="ＭＳ ゴシック" w:hAnsi="ＭＳ ゴシック"/>
                <w:w w:val="50"/>
                <w:sz w:val="18"/>
                <w:szCs w:val="18"/>
              </w:rPr>
            </w:pPr>
          </w:p>
        </w:tc>
        <w:tc>
          <w:tcPr>
            <w:tcW w:w="3150" w:type="dxa"/>
            <w:vMerge/>
            <w:tcBorders>
              <w:left w:val="single" w:sz="4" w:space="0" w:color="auto"/>
              <w:right w:val="single" w:sz="4" w:space="0" w:color="auto"/>
            </w:tcBorders>
            <w:vAlign w:val="center"/>
          </w:tcPr>
          <w:p w14:paraId="6531104D" w14:textId="77777777" w:rsidR="00382C5E" w:rsidRPr="00E0548A" w:rsidRDefault="00382C5E" w:rsidP="00382C5E">
            <w:pPr>
              <w:adjustRightInd w:val="0"/>
              <w:snapToGrid w:val="0"/>
              <w:spacing w:line="240" w:lineRule="exact"/>
              <w:jc w:val="center"/>
              <w:rPr>
                <w:rFonts w:ascii="ＭＳ ゴシック" w:eastAsia="ＭＳ ゴシック" w:hAnsi="ＭＳ ゴシック"/>
                <w:w w:val="50"/>
                <w:sz w:val="18"/>
                <w:szCs w:val="18"/>
              </w:rPr>
            </w:pPr>
          </w:p>
        </w:tc>
      </w:tr>
      <w:tr w:rsidR="001D6D10" w:rsidRPr="00E0548A" w14:paraId="7A03C663" w14:textId="77777777" w:rsidTr="006E52DA">
        <w:trPr>
          <w:cantSplit/>
          <w:trHeight w:val="240"/>
        </w:trPr>
        <w:tc>
          <w:tcPr>
            <w:tcW w:w="596" w:type="dxa"/>
            <w:vMerge/>
            <w:tcBorders>
              <w:top w:val="single" w:sz="4" w:space="0" w:color="auto"/>
              <w:left w:val="single" w:sz="4" w:space="0" w:color="auto"/>
              <w:bottom w:val="single" w:sz="4" w:space="0" w:color="auto"/>
              <w:right w:val="single" w:sz="4" w:space="0" w:color="auto"/>
            </w:tcBorders>
            <w:vAlign w:val="center"/>
          </w:tcPr>
          <w:p w14:paraId="30DB4409" w14:textId="77777777" w:rsidR="00382C5E" w:rsidRPr="00E0548A" w:rsidRDefault="00382C5E" w:rsidP="00382C5E">
            <w:pPr>
              <w:widowControl/>
              <w:adjustRightInd w:val="0"/>
              <w:snapToGrid w:val="0"/>
              <w:spacing w:line="240" w:lineRule="exact"/>
              <w:jc w:val="left"/>
              <w:rPr>
                <w:rFonts w:ascii="ＭＳ ゴシック" w:eastAsia="ＭＳ ゴシック" w:hAnsi="ＭＳ ゴシック"/>
                <w:w w:val="50"/>
                <w:sz w:val="18"/>
                <w:szCs w:val="18"/>
              </w:rPr>
            </w:pPr>
          </w:p>
        </w:tc>
        <w:tc>
          <w:tcPr>
            <w:tcW w:w="5072" w:type="dxa"/>
            <w:vMerge/>
            <w:tcBorders>
              <w:left w:val="single" w:sz="4" w:space="0" w:color="auto"/>
              <w:bottom w:val="single" w:sz="4" w:space="0" w:color="auto"/>
              <w:right w:val="single" w:sz="4" w:space="0" w:color="auto"/>
            </w:tcBorders>
            <w:vAlign w:val="center"/>
          </w:tcPr>
          <w:p w14:paraId="66CDC9F6" w14:textId="77777777" w:rsidR="00382C5E" w:rsidRPr="00E0548A" w:rsidRDefault="00382C5E" w:rsidP="00382C5E">
            <w:pPr>
              <w:adjustRightInd w:val="0"/>
              <w:snapToGrid w:val="0"/>
              <w:spacing w:line="240" w:lineRule="exact"/>
              <w:jc w:val="left"/>
              <w:rPr>
                <w:rFonts w:ascii="ＭＳ ゴシック" w:eastAsia="ＭＳ ゴシック" w:hAnsi="ＭＳ ゴシック"/>
                <w:w w:val="50"/>
                <w:sz w:val="18"/>
                <w:szCs w:val="18"/>
              </w:rPr>
            </w:pPr>
          </w:p>
        </w:tc>
        <w:tc>
          <w:tcPr>
            <w:tcW w:w="3150" w:type="dxa"/>
            <w:vMerge/>
            <w:tcBorders>
              <w:left w:val="single" w:sz="4" w:space="0" w:color="auto"/>
              <w:bottom w:val="single" w:sz="4" w:space="0" w:color="auto"/>
              <w:right w:val="single" w:sz="4" w:space="0" w:color="auto"/>
            </w:tcBorders>
            <w:vAlign w:val="center"/>
          </w:tcPr>
          <w:p w14:paraId="7FC9C126" w14:textId="77777777" w:rsidR="00382C5E" w:rsidRPr="00E0548A" w:rsidRDefault="00382C5E" w:rsidP="00382C5E">
            <w:pPr>
              <w:adjustRightInd w:val="0"/>
              <w:snapToGrid w:val="0"/>
              <w:spacing w:line="240" w:lineRule="exact"/>
              <w:jc w:val="center"/>
              <w:rPr>
                <w:rFonts w:ascii="ＭＳ ゴシック" w:eastAsia="ＭＳ ゴシック" w:hAnsi="ＭＳ ゴシック"/>
                <w:w w:val="50"/>
                <w:sz w:val="18"/>
                <w:szCs w:val="18"/>
              </w:rPr>
            </w:pPr>
          </w:p>
        </w:tc>
      </w:tr>
      <w:tr w:rsidR="001D6D10" w:rsidRPr="00E0548A" w14:paraId="310991C5" w14:textId="77777777" w:rsidTr="006E52DA">
        <w:trPr>
          <w:cantSplit/>
          <w:trHeight w:val="997"/>
        </w:trPr>
        <w:tc>
          <w:tcPr>
            <w:tcW w:w="596" w:type="dxa"/>
            <w:tcBorders>
              <w:top w:val="single" w:sz="4" w:space="0" w:color="auto"/>
              <w:left w:val="single" w:sz="4" w:space="0" w:color="auto"/>
              <w:bottom w:val="single" w:sz="4" w:space="0" w:color="auto"/>
              <w:right w:val="single" w:sz="4" w:space="0" w:color="auto"/>
            </w:tcBorders>
            <w:textDirection w:val="tbRlV"/>
            <w:vAlign w:val="center"/>
          </w:tcPr>
          <w:p w14:paraId="7DDEC044" w14:textId="359A20E4" w:rsidR="00382C5E" w:rsidRPr="00E0548A" w:rsidRDefault="00382C5E" w:rsidP="00382C5E">
            <w:pPr>
              <w:widowControl/>
              <w:adjustRightInd w:val="0"/>
              <w:snapToGrid w:val="0"/>
              <w:spacing w:line="240" w:lineRule="exact"/>
              <w:ind w:left="113" w:right="113"/>
              <w:jc w:val="center"/>
              <w:rPr>
                <w:rFonts w:ascii="ＭＳ ゴシック" w:eastAsia="ＭＳ ゴシック" w:hAnsi="ＭＳ ゴシック"/>
                <w:w w:val="50"/>
                <w:sz w:val="18"/>
                <w:szCs w:val="18"/>
              </w:rPr>
            </w:pPr>
            <w:r w:rsidRPr="00E0548A">
              <w:rPr>
                <w:rFonts w:ascii="ＭＳ ゴシック" w:eastAsia="ＭＳ ゴシック" w:hAnsi="ＭＳ ゴシック" w:hint="eastAsia"/>
                <w:kern w:val="0"/>
                <w:sz w:val="18"/>
                <w:szCs w:val="18"/>
              </w:rPr>
              <w:t>受援</w:t>
            </w:r>
            <w:r w:rsidR="002448B5" w:rsidRPr="00E0548A">
              <w:rPr>
                <w:rFonts w:ascii="ＭＳ ゴシック" w:eastAsia="ＭＳ ゴシック" w:hAnsi="ＭＳ ゴシック" w:hint="eastAsia"/>
                <w:kern w:val="0"/>
                <w:sz w:val="18"/>
                <w:szCs w:val="18"/>
              </w:rPr>
              <w:t>・応援</w:t>
            </w:r>
            <w:r w:rsidRPr="00E0548A">
              <w:rPr>
                <w:rFonts w:ascii="ＭＳ ゴシック" w:eastAsia="ＭＳ ゴシック" w:hAnsi="ＭＳ ゴシック" w:hint="eastAsia"/>
                <w:kern w:val="0"/>
                <w:sz w:val="18"/>
                <w:szCs w:val="18"/>
              </w:rPr>
              <w:t>班</w:t>
            </w:r>
          </w:p>
        </w:tc>
        <w:tc>
          <w:tcPr>
            <w:tcW w:w="5072" w:type="dxa"/>
            <w:tcBorders>
              <w:top w:val="single" w:sz="4" w:space="0" w:color="auto"/>
              <w:left w:val="single" w:sz="4" w:space="0" w:color="auto"/>
              <w:bottom w:val="single" w:sz="4" w:space="0" w:color="auto"/>
              <w:right w:val="single" w:sz="4" w:space="0" w:color="auto"/>
            </w:tcBorders>
          </w:tcPr>
          <w:p w14:paraId="6582FE17" w14:textId="77777777" w:rsidR="00382C5E" w:rsidRPr="00E0548A" w:rsidRDefault="00382C5E" w:rsidP="00382C5E">
            <w:pPr>
              <w:adjustRightInd w:val="0"/>
              <w:snapToGrid w:val="0"/>
              <w:spacing w:line="240" w:lineRule="exact"/>
              <w:rPr>
                <w:rFonts w:ascii="ＭＳ ゴシック" w:eastAsia="ＭＳ ゴシック" w:hAnsi="ＭＳ ゴシック"/>
                <w:w w:val="50"/>
                <w:sz w:val="18"/>
                <w:szCs w:val="18"/>
              </w:rPr>
            </w:pPr>
            <w:r w:rsidRPr="00E0548A">
              <w:rPr>
                <w:rFonts w:ascii="ＭＳ ゴシック" w:eastAsia="ＭＳ ゴシック" w:hAnsi="ＭＳ ゴシック" w:hint="eastAsia"/>
                <w:kern w:val="0"/>
                <w:sz w:val="18"/>
                <w:szCs w:val="18"/>
              </w:rPr>
              <w:t>（必要に応じて設置）</w:t>
            </w:r>
          </w:p>
          <w:p w14:paraId="6D5AAF44" w14:textId="77777777" w:rsidR="00873744" w:rsidRPr="00E0548A" w:rsidRDefault="00873744" w:rsidP="00382C5E">
            <w:pPr>
              <w:adjustRightInd w:val="0"/>
              <w:snapToGrid w:val="0"/>
              <w:spacing w:line="240" w:lineRule="exact"/>
              <w:rPr>
                <w:rFonts w:ascii="ＭＳ ゴシック" w:eastAsia="ＭＳ ゴシック" w:hAnsi="ＭＳ ゴシック"/>
                <w:w w:val="50"/>
                <w:sz w:val="18"/>
                <w:szCs w:val="18"/>
              </w:rPr>
            </w:pPr>
            <w:r w:rsidRPr="00E0548A">
              <w:rPr>
                <w:rFonts w:ascii="ＭＳ ゴシック" w:eastAsia="ＭＳ ゴシック" w:hAnsi="ＭＳ ゴシック" w:hint="eastAsia"/>
                <w:w w:val="50"/>
                <w:sz w:val="18"/>
                <w:szCs w:val="18"/>
              </w:rPr>
              <w:t>【市町村応援に関する事】</w:t>
            </w:r>
          </w:p>
          <w:p w14:paraId="4B02A7A8" w14:textId="77777777" w:rsidR="00382C5E" w:rsidRPr="00E0548A" w:rsidRDefault="00382C5E" w:rsidP="00382C5E">
            <w:pPr>
              <w:adjustRightInd w:val="0"/>
              <w:snapToGrid w:val="0"/>
              <w:spacing w:line="240" w:lineRule="exact"/>
              <w:rPr>
                <w:rFonts w:ascii="ＭＳ ゴシック" w:eastAsia="ＭＳ ゴシック" w:hAnsi="ＭＳ ゴシック"/>
                <w:w w:val="50"/>
                <w:sz w:val="18"/>
                <w:szCs w:val="18"/>
              </w:rPr>
            </w:pPr>
          </w:p>
          <w:p w14:paraId="3FE6BDDC" w14:textId="0664966A" w:rsidR="00873744" w:rsidRPr="00E0548A" w:rsidRDefault="00873744" w:rsidP="00873744">
            <w:pPr>
              <w:adjustRightInd w:val="0"/>
              <w:snapToGrid w:val="0"/>
              <w:spacing w:line="240" w:lineRule="exact"/>
              <w:rPr>
                <w:rFonts w:ascii="ＭＳ ゴシック" w:eastAsia="ＭＳ ゴシック" w:hAnsi="ＭＳ ゴシック"/>
                <w:w w:val="50"/>
                <w:sz w:val="18"/>
                <w:szCs w:val="18"/>
              </w:rPr>
            </w:pPr>
            <w:r w:rsidRPr="00E0548A">
              <w:rPr>
                <w:rFonts w:ascii="ＭＳ ゴシック" w:eastAsia="ＭＳ ゴシック" w:hAnsi="ＭＳ ゴシック" w:hint="eastAsia"/>
                <w:w w:val="50"/>
                <w:sz w:val="18"/>
                <w:szCs w:val="18"/>
              </w:rPr>
              <w:t>〇</w:t>
            </w:r>
            <w:r w:rsidR="0095254A" w:rsidRPr="00E0548A">
              <w:rPr>
                <w:rFonts w:ascii="ＭＳ ゴシック" w:eastAsia="ＭＳ ゴシック" w:hAnsi="ＭＳ ゴシック" w:hint="eastAsia"/>
                <w:w w:val="50"/>
                <w:sz w:val="18"/>
                <w:szCs w:val="18"/>
              </w:rPr>
              <w:t>企画厚生課・人事課</w:t>
            </w:r>
            <w:r w:rsidRPr="00E0548A">
              <w:rPr>
                <w:rFonts w:ascii="ＭＳ ゴシック" w:eastAsia="ＭＳ ゴシック" w:hAnsi="ＭＳ ゴシック" w:hint="eastAsia"/>
                <w:w w:val="50"/>
                <w:sz w:val="18"/>
                <w:szCs w:val="18"/>
              </w:rPr>
              <w:t>との調整（総務・企画Gと連携）</w:t>
            </w:r>
          </w:p>
          <w:p w14:paraId="120E74FF" w14:textId="77777777" w:rsidR="00873744" w:rsidRPr="00E0548A" w:rsidRDefault="00873744" w:rsidP="00873744">
            <w:pPr>
              <w:adjustRightInd w:val="0"/>
              <w:snapToGrid w:val="0"/>
              <w:spacing w:line="240" w:lineRule="exact"/>
              <w:rPr>
                <w:rFonts w:ascii="ＭＳ ゴシック" w:eastAsia="ＭＳ ゴシック" w:hAnsi="ＭＳ ゴシック"/>
                <w:w w:val="50"/>
                <w:sz w:val="18"/>
                <w:szCs w:val="18"/>
              </w:rPr>
            </w:pPr>
            <w:r w:rsidRPr="00E0548A">
              <w:rPr>
                <w:rFonts w:ascii="ＭＳ ゴシック" w:eastAsia="ＭＳ ゴシック" w:hAnsi="ＭＳ ゴシック" w:hint="eastAsia"/>
                <w:w w:val="50"/>
                <w:sz w:val="18"/>
                <w:szCs w:val="18"/>
              </w:rPr>
              <w:t>〇被災市町村のニーズ掌握、応援内容の調整</w:t>
            </w:r>
          </w:p>
          <w:p w14:paraId="4FAB0678" w14:textId="77777777" w:rsidR="00873744" w:rsidRPr="00E0548A" w:rsidRDefault="00873744" w:rsidP="00873744">
            <w:pPr>
              <w:adjustRightInd w:val="0"/>
              <w:snapToGrid w:val="0"/>
              <w:spacing w:line="240" w:lineRule="exact"/>
              <w:rPr>
                <w:rFonts w:ascii="ＭＳ ゴシック" w:eastAsia="ＭＳ ゴシック" w:hAnsi="ＭＳ ゴシック"/>
                <w:w w:val="50"/>
                <w:sz w:val="18"/>
                <w:szCs w:val="18"/>
              </w:rPr>
            </w:pPr>
            <w:r w:rsidRPr="00E0548A">
              <w:rPr>
                <w:rFonts w:ascii="ＭＳ ゴシック" w:eastAsia="ＭＳ ゴシック" w:hAnsi="ＭＳ ゴシック" w:hint="eastAsia"/>
                <w:w w:val="50"/>
                <w:sz w:val="18"/>
                <w:szCs w:val="18"/>
              </w:rPr>
              <w:t>〇庁内各部局及び非被災市町村から応援職員を徴募</w:t>
            </w:r>
          </w:p>
          <w:p w14:paraId="6F240D65" w14:textId="77777777" w:rsidR="00873744" w:rsidRPr="00E0548A" w:rsidRDefault="00873744" w:rsidP="00873744">
            <w:pPr>
              <w:adjustRightInd w:val="0"/>
              <w:snapToGrid w:val="0"/>
              <w:spacing w:line="240" w:lineRule="exact"/>
              <w:rPr>
                <w:rFonts w:ascii="ＭＳ ゴシック" w:eastAsia="ＭＳ ゴシック" w:hAnsi="ＭＳ ゴシック"/>
                <w:w w:val="50"/>
                <w:sz w:val="18"/>
                <w:szCs w:val="18"/>
              </w:rPr>
            </w:pPr>
            <w:r w:rsidRPr="00E0548A">
              <w:rPr>
                <w:rFonts w:ascii="ＭＳ ゴシック" w:eastAsia="ＭＳ ゴシック" w:hAnsi="ＭＳ ゴシック" w:hint="eastAsia"/>
                <w:w w:val="50"/>
                <w:sz w:val="18"/>
                <w:szCs w:val="18"/>
              </w:rPr>
              <w:t>〇市長会、町村長会との調整</w:t>
            </w:r>
          </w:p>
          <w:p w14:paraId="5522D9CB" w14:textId="77777777" w:rsidR="00873744" w:rsidRPr="00E0548A" w:rsidRDefault="00873744" w:rsidP="00873744">
            <w:pPr>
              <w:adjustRightInd w:val="0"/>
              <w:snapToGrid w:val="0"/>
              <w:spacing w:line="240" w:lineRule="exact"/>
              <w:rPr>
                <w:rFonts w:ascii="ＭＳ ゴシック" w:eastAsia="ＭＳ ゴシック" w:hAnsi="ＭＳ ゴシック"/>
                <w:w w:val="50"/>
                <w:sz w:val="18"/>
                <w:szCs w:val="18"/>
              </w:rPr>
            </w:pPr>
            <w:r w:rsidRPr="00E0548A">
              <w:rPr>
                <w:rFonts w:ascii="ＭＳ ゴシック" w:eastAsia="ＭＳ ゴシック" w:hAnsi="ＭＳ ゴシック" w:hint="eastAsia"/>
                <w:w w:val="50"/>
                <w:sz w:val="18"/>
                <w:szCs w:val="18"/>
              </w:rPr>
              <w:t>〇府庁職員・府内市町村・他府県からの応援職員派遣先の調整</w:t>
            </w:r>
          </w:p>
          <w:p w14:paraId="350A358F" w14:textId="77777777" w:rsidR="00873744" w:rsidRPr="00E0548A" w:rsidRDefault="00873744" w:rsidP="00873744">
            <w:pPr>
              <w:adjustRightInd w:val="0"/>
              <w:snapToGrid w:val="0"/>
              <w:spacing w:line="240" w:lineRule="exact"/>
              <w:rPr>
                <w:rFonts w:ascii="ＭＳ ゴシック" w:eastAsia="ＭＳ ゴシック" w:hAnsi="ＭＳ ゴシック"/>
                <w:w w:val="50"/>
                <w:sz w:val="18"/>
                <w:szCs w:val="18"/>
              </w:rPr>
            </w:pPr>
          </w:p>
          <w:p w14:paraId="63B58F9B" w14:textId="77777777" w:rsidR="00873744" w:rsidRPr="00E0548A" w:rsidRDefault="00873744" w:rsidP="00873744">
            <w:pPr>
              <w:adjustRightInd w:val="0"/>
              <w:snapToGrid w:val="0"/>
              <w:spacing w:line="240" w:lineRule="exact"/>
              <w:rPr>
                <w:rFonts w:ascii="ＭＳ ゴシック" w:eastAsia="ＭＳ ゴシック" w:hAnsi="ＭＳ ゴシック"/>
                <w:w w:val="50"/>
                <w:sz w:val="18"/>
                <w:szCs w:val="18"/>
              </w:rPr>
            </w:pPr>
            <w:r w:rsidRPr="00E0548A">
              <w:rPr>
                <w:rFonts w:ascii="ＭＳ ゴシック" w:eastAsia="ＭＳ ゴシック" w:hAnsi="ＭＳ ゴシック" w:hint="eastAsia"/>
                <w:w w:val="50"/>
                <w:sz w:val="18"/>
                <w:szCs w:val="18"/>
              </w:rPr>
              <w:t>【他府県等からの受援に関する事】</w:t>
            </w:r>
          </w:p>
          <w:p w14:paraId="47531349" w14:textId="77777777" w:rsidR="00873744" w:rsidRPr="00E0548A" w:rsidRDefault="00873744" w:rsidP="00873744">
            <w:pPr>
              <w:adjustRightInd w:val="0"/>
              <w:snapToGrid w:val="0"/>
              <w:spacing w:line="240" w:lineRule="exact"/>
              <w:rPr>
                <w:rFonts w:ascii="ＭＳ ゴシック" w:eastAsia="ＭＳ ゴシック" w:hAnsi="ＭＳ ゴシック"/>
                <w:w w:val="50"/>
                <w:sz w:val="18"/>
                <w:szCs w:val="18"/>
              </w:rPr>
            </w:pPr>
            <w:r w:rsidRPr="00E0548A">
              <w:rPr>
                <w:rFonts w:ascii="ＭＳ ゴシック" w:eastAsia="ＭＳ ゴシック" w:hAnsi="ＭＳ ゴシック" w:hint="eastAsia"/>
                <w:w w:val="50"/>
                <w:sz w:val="18"/>
                <w:szCs w:val="18"/>
              </w:rPr>
              <w:t>〇国関係機関の受入（内閣府、総務省、TECFORCE、各地方指定行政機関リエゾン）</w:t>
            </w:r>
          </w:p>
          <w:p w14:paraId="5917B986" w14:textId="77777777" w:rsidR="00873744" w:rsidRPr="00E0548A" w:rsidRDefault="00873744" w:rsidP="00873744">
            <w:pPr>
              <w:adjustRightInd w:val="0"/>
              <w:snapToGrid w:val="0"/>
              <w:spacing w:line="240" w:lineRule="exact"/>
              <w:rPr>
                <w:rFonts w:ascii="ＭＳ ゴシック" w:eastAsia="ＭＳ ゴシック" w:hAnsi="ＭＳ ゴシック"/>
                <w:w w:val="50"/>
                <w:sz w:val="18"/>
                <w:szCs w:val="18"/>
              </w:rPr>
            </w:pPr>
            <w:r w:rsidRPr="00E0548A">
              <w:rPr>
                <w:rFonts w:ascii="ＭＳ ゴシック" w:eastAsia="ＭＳ ゴシック" w:hAnsi="ＭＳ ゴシック" w:hint="eastAsia"/>
                <w:w w:val="50"/>
                <w:sz w:val="18"/>
                <w:szCs w:val="18"/>
              </w:rPr>
              <w:t>〇国関係省庁情報連絡会議の準備及び記録（マスコミ非公開）</w:t>
            </w:r>
          </w:p>
          <w:p w14:paraId="7E3539FE" w14:textId="77777777" w:rsidR="00873744" w:rsidRPr="00E0548A" w:rsidRDefault="00873744" w:rsidP="00873744">
            <w:pPr>
              <w:adjustRightInd w:val="0"/>
              <w:snapToGrid w:val="0"/>
              <w:spacing w:line="240" w:lineRule="exact"/>
              <w:rPr>
                <w:rFonts w:ascii="ＭＳ ゴシック" w:eastAsia="ＭＳ ゴシック" w:hAnsi="ＭＳ ゴシック"/>
                <w:w w:val="50"/>
                <w:sz w:val="18"/>
                <w:szCs w:val="18"/>
              </w:rPr>
            </w:pPr>
            <w:r w:rsidRPr="00E0548A">
              <w:rPr>
                <w:rFonts w:ascii="ＭＳ ゴシック" w:eastAsia="ＭＳ ゴシック" w:hAnsi="ＭＳ ゴシック" w:hint="eastAsia"/>
                <w:w w:val="50"/>
                <w:sz w:val="18"/>
                <w:szCs w:val="18"/>
              </w:rPr>
              <w:t>〇府社協、おおさか災害支援ネットワーク、JVOAD及び内閣府との情報共有会議の実施（新別館北館４F職員会議室７・8）（対策班と連携）</w:t>
            </w:r>
          </w:p>
        </w:tc>
        <w:tc>
          <w:tcPr>
            <w:tcW w:w="3150" w:type="dxa"/>
            <w:tcBorders>
              <w:top w:val="single" w:sz="4" w:space="0" w:color="auto"/>
              <w:left w:val="single" w:sz="4" w:space="0" w:color="auto"/>
              <w:bottom w:val="single" w:sz="4" w:space="0" w:color="auto"/>
              <w:right w:val="single" w:sz="4" w:space="0" w:color="auto"/>
            </w:tcBorders>
            <w:vAlign w:val="center"/>
          </w:tcPr>
          <w:p w14:paraId="5AFED030" w14:textId="77777777" w:rsidR="00382C5E" w:rsidRPr="00E0548A" w:rsidRDefault="00382C5E" w:rsidP="00B35001">
            <w:pPr>
              <w:adjustRightInd w:val="0"/>
              <w:snapToGrid w:val="0"/>
              <w:spacing w:line="240" w:lineRule="exact"/>
              <w:jc w:val="left"/>
              <w:rPr>
                <w:rFonts w:ascii="ＭＳ ゴシック" w:eastAsia="ＭＳ ゴシック" w:hAnsi="ＭＳ ゴシック"/>
                <w:w w:val="50"/>
                <w:sz w:val="18"/>
                <w:szCs w:val="18"/>
              </w:rPr>
            </w:pPr>
            <w:r w:rsidRPr="00E0548A">
              <w:rPr>
                <w:rFonts w:ascii="ＭＳ ゴシック" w:eastAsia="ＭＳ ゴシック" w:hAnsi="ＭＳ ゴシック" w:hint="eastAsia"/>
                <w:w w:val="50"/>
                <w:sz w:val="18"/>
                <w:szCs w:val="18"/>
              </w:rPr>
              <w:t>危機管理室（６名）</w:t>
            </w:r>
          </w:p>
          <w:p w14:paraId="7C85B8A5" w14:textId="77777777" w:rsidR="00382C5E" w:rsidRPr="00E0548A" w:rsidRDefault="00382C5E" w:rsidP="00B35001">
            <w:pPr>
              <w:adjustRightInd w:val="0"/>
              <w:snapToGrid w:val="0"/>
              <w:spacing w:line="240" w:lineRule="exact"/>
              <w:jc w:val="left"/>
              <w:rPr>
                <w:rFonts w:ascii="ＭＳ ゴシック" w:eastAsia="ＭＳ ゴシック" w:hAnsi="ＭＳ ゴシック"/>
                <w:w w:val="50"/>
                <w:sz w:val="18"/>
                <w:szCs w:val="18"/>
              </w:rPr>
            </w:pPr>
            <w:r w:rsidRPr="00E0548A">
              <w:rPr>
                <w:rFonts w:ascii="ＭＳ ゴシック" w:eastAsia="ＭＳ ゴシック" w:hAnsi="ＭＳ ゴシック" w:hint="eastAsia"/>
                <w:w w:val="50"/>
                <w:sz w:val="18"/>
                <w:szCs w:val="18"/>
              </w:rPr>
              <w:t>（情報班・対策班から移動）</w:t>
            </w:r>
          </w:p>
        </w:tc>
      </w:tr>
      <w:tr w:rsidR="00676496" w:rsidRPr="00E0548A" w14:paraId="330EF0CD" w14:textId="77777777" w:rsidTr="00E0548A">
        <w:trPr>
          <w:cantSplit/>
          <w:trHeight w:val="720"/>
        </w:trPr>
        <w:tc>
          <w:tcPr>
            <w:tcW w:w="596" w:type="dxa"/>
            <w:vMerge w:val="restart"/>
            <w:tcBorders>
              <w:top w:val="single" w:sz="4" w:space="0" w:color="auto"/>
              <w:left w:val="single" w:sz="4" w:space="0" w:color="auto"/>
              <w:right w:val="single" w:sz="4" w:space="0" w:color="auto"/>
            </w:tcBorders>
            <w:textDirection w:val="tbRlV"/>
            <w:vAlign w:val="center"/>
          </w:tcPr>
          <w:p w14:paraId="572A07E9" w14:textId="77777777" w:rsidR="00676496" w:rsidRPr="00E0548A" w:rsidRDefault="00676496" w:rsidP="00676496">
            <w:pPr>
              <w:widowControl/>
              <w:adjustRightInd w:val="0"/>
              <w:snapToGrid w:val="0"/>
              <w:spacing w:line="240" w:lineRule="exact"/>
              <w:ind w:left="113" w:right="113"/>
              <w:jc w:val="center"/>
              <w:rPr>
                <w:rFonts w:ascii="ＭＳ ゴシック" w:eastAsia="ＭＳ ゴシック" w:hAnsi="ＭＳ ゴシック"/>
                <w:kern w:val="0"/>
                <w:sz w:val="18"/>
                <w:szCs w:val="18"/>
              </w:rPr>
            </w:pPr>
            <w:r w:rsidRPr="00E0548A">
              <w:rPr>
                <w:rFonts w:ascii="ＭＳ ゴシック" w:eastAsia="ＭＳ ゴシック" w:hAnsi="ＭＳ ゴシック" w:hint="eastAsia"/>
                <w:kern w:val="0"/>
                <w:sz w:val="18"/>
                <w:szCs w:val="18"/>
              </w:rPr>
              <w:t>原子力ＯＦＣ派遣</w:t>
            </w:r>
          </w:p>
        </w:tc>
        <w:tc>
          <w:tcPr>
            <w:tcW w:w="5072" w:type="dxa"/>
            <w:tcBorders>
              <w:top w:val="single" w:sz="4" w:space="0" w:color="auto"/>
              <w:left w:val="single" w:sz="4" w:space="0" w:color="auto"/>
              <w:bottom w:val="single" w:sz="4" w:space="0" w:color="auto"/>
              <w:right w:val="single" w:sz="4" w:space="0" w:color="auto"/>
            </w:tcBorders>
            <w:vAlign w:val="center"/>
          </w:tcPr>
          <w:p w14:paraId="5B466642" w14:textId="1D8310A9" w:rsidR="00676496" w:rsidRPr="00E0548A" w:rsidRDefault="00676496">
            <w:pPr>
              <w:adjustRightInd w:val="0"/>
              <w:snapToGrid w:val="0"/>
              <w:spacing w:line="240" w:lineRule="exact"/>
              <w:rPr>
                <w:rFonts w:ascii="ＭＳ ゴシック" w:eastAsia="ＭＳ ゴシック" w:hAnsi="ＭＳ ゴシック"/>
                <w:w w:val="50"/>
                <w:sz w:val="18"/>
                <w:szCs w:val="18"/>
              </w:rPr>
            </w:pPr>
            <w:r w:rsidRPr="00E0548A">
              <w:rPr>
                <w:rFonts w:ascii="ＭＳ ゴシック" w:eastAsia="ＭＳ ゴシック" w:hAnsi="ＭＳ ゴシック" w:hint="eastAsia"/>
                <w:w w:val="50"/>
                <w:sz w:val="20"/>
                <w:szCs w:val="20"/>
              </w:rPr>
              <w:t>※原子力規制委員会等より警戒事態事象発生の連絡があった場合</w:t>
            </w:r>
          </w:p>
        </w:tc>
        <w:tc>
          <w:tcPr>
            <w:tcW w:w="3150" w:type="dxa"/>
            <w:tcBorders>
              <w:top w:val="single" w:sz="4" w:space="0" w:color="auto"/>
              <w:left w:val="single" w:sz="4" w:space="0" w:color="auto"/>
              <w:bottom w:val="single" w:sz="4" w:space="0" w:color="auto"/>
              <w:right w:val="single" w:sz="4" w:space="0" w:color="auto"/>
            </w:tcBorders>
            <w:vAlign w:val="center"/>
          </w:tcPr>
          <w:p w14:paraId="109EB192" w14:textId="07B63733" w:rsidR="00676496" w:rsidRPr="00E0548A" w:rsidRDefault="00676496" w:rsidP="00676496">
            <w:pPr>
              <w:adjustRightInd w:val="0"/>
              <w:snapToGrid w:val="0"/>
              <w:spacing w:line="240" w:lineRule="exact"/>
              <w:jc w:val="left"/>
              <w:rPr>
                <w:rFonts w:ascii="ＭＳ ゴシック" w:eastAsia="ＭＳ ゴシック" w:hAnsi="ＭＳ ゴシック"/>
                <w:w w:val="50"/>
                <w:sz w:val="18"/>
                <w:szCs w:val="18"/>
              </w:rPr>
            </w:pPr>
            <w:r w:rsidRPr="00E0548A">
              <w:rPr>
                <w:rFonts w:ascii="ＭＳ ゴシック" w:eastAsia="ＭＳ ゴシック" w:hAnsi="ＭＳ ゴシック" w:hint="eastAsia"/>
                <w:w w:val="50"/>
                <w:sz w:val="20"/>
                <w:szCs w:val="20"/>
              </w:rPr>
              <w:t>危機管理室（２名）</w:t>
            </w:r>
          </w:p>
        </w:tc>
      </w:tr>
      <w:tr w:rsidR="00676496" w:rsidRPr="00E0548A" w14:paraId="6B5FF146" w14:textId="77777777" w:rsidTr="00E0548A">
        <w:trPr>
          <w:cantSplit/>
          <w:trHeight w:val="720"/>
        </w:trPr>
        <w:tc>
          <w:tcPr>
            <w:tcW w:w="596" w:type="dxa"/>
            <w:vMerge/>
            <w:tcBorders>
              <w:left w:val="single" w:sz="4" w:space="0" w:color="auto"/>
              <w:bottom w:val="single" w:sz="4" w:space="0" w:color="auto"/>
              <w:right w:val="single" w:sz="4" w:space="0" w:color="auto"/>
            </w:tcBorders>
            <w:textDirection w:val="tbRlV"/>
            <w:vAlign w:val="center"/>
          </w:tcPr>
          <w:p w14:paraId="60BCB29C" w14:textId="77777777" w:rsidR="00676496" w:rsidRPr="00E0548A" w:rsidRDefault="00676496" w:rsidP="00676496">
            <w:pPr>
              <w:widowControl/>
              <w:adjustRightInd w:val="0"/>
              <w:snapToGrid w:val="0"/>
              <w:spacing w:line="240" w:lineRule="exact"/>
              <w:ind w:left="113" w:right="113"/>
              <w:jc w:val="center"/>
              <w:rPr>
                <w:rFonts w:ascii="ＭＳ ゴシック" w:eastAsia="ＭＳ ゴシック" w:hAnsi="ＭＳ ゴシック"/>
                <w:kern w:val="0"/>
                <w:sz w:val="18"/>
                <w:szCs w:val="18"/>
              </w:rPr>
            </w:pPr>
          </w:p>
        </w:tc>
        <w:tc>
          <w:tcPr>
            <w:tcW w:w="5072" w:type="dxa"/>
            <w:tcBorders>
              <w:top w:val="single" w:sz="4" w:space="0" w:color="auto"/>
              <w:left w:val="single" w:sz="4" w:space="0" w:color="auto"/>
              <w:bottom w:val="single" w:sz="4" w:space="0" w:color="auto"/>
              <w:right w:val="single" w:sz="4" w:space="0" w:color="auto"/>
            </w:tcBorders>
          </w:tcPr>
          <w:p w14:paraId="3A078E5E" w14:textId="77777777" w:rsidR="00676496" w:rsidRPr="00E0548A" w:rsidRDefault="00676496" w:rsidP="00676496">
            <w:pPr>
              <w:adjustRightInd w:val="0"/>
              <w:snapToGrid w:val="0"/>
              <w:spacing w:line="240" w:lineRule="exact"/>
              <w:rPr>
                <w:rFonts w:ascii="ＭＳ ゴシック" w:eastAsia="ＭＳ ゴシック" w:hAnsi="ＭＳ ゴシック"/>
                <w:w w:val="50"/>
                <w:sz w:val="20"/>
                <w:szCs w:val="20"/>
              </w:rPr>
            </w:pPr>
            <w:r w:rsidRPr="00E0548A">
              <w:rPr>
                <w:rFonts w:ascii="ＭＳ ゴシック" w:eastAsia="ＭＳ ゴシック" w:hAnsi="ＭＳ ゴシック" w:hint="eastAsia"/>
                <w:w w:val="50"/>
                <w:sz w:val="20"/>
                <w:szCs w:val="20"/>
              </w:rPr>
              <w:t>※原子力事業者より施設敷地緊急事態の通報があった場合</w:t>
            </w:r>
          </w:p>
          <w:p w14:paraId="4EED8F5A" w14:textId="77777777" w:rsidR="00676496" w:rsidRPr="00E0548A" w:rsidRDefault="00676496" w:rsidP="00676496">
            <w:pPr>
              <w:adjustRightInd w:val="0"/>
              <w:snapToGrid w:val="0"/>
              <w:spacing w:line="240" w:lineRule="exact"/>
              <w:rPr>
                <w:rFonts w:ascii="ＭＳ ゴシック" w:eastAsia="ＭＳ ゴシック" w:hAnsi="ＭＳ ゴシック"/>
                <w:w w:val="50"/>
                <w:sz w:val="20"/>
                <w:szCs w:val="20"/>
              </w:rPr>
            </w:pPr>
            <w:r w:rsidRPr="00E0548A">
              <w:rPr>
                <w:rFonts w:ascii="ＭＳ ゴシック" w:eastAsia="ＭＳ ゴシック" w:hAnsi="ＭＳ ゴシック" w:hint="eastAsia"/>
                <w:w w:val="50"/>
                <w:sz w:val="20"/>
                <w:szCs w:val="20"/>
              </w:rPr>
              <w:t>※原子力緊急事態宣言が発出された場合　等</w:t>
            </w:r>
          </w:p>
          <w:p w14:paraId="40371939" w14:textId="0AA15C6B" w:rsidR="00676496" w:rsidRPr="00E0548A" w:rsidRDefault="00676496" w:rsidP="00676496">
            <w:pPr>
              <w:adjustRightInd w:val="0"/>
              <w:snapToGrid w:val="0"/>
              <w:spacing w:line="240" w:lineRule="exact"/>
              <w:rPr>
                <w:rFonts w:ascii="ＭＳ ゴシック" w:eastAsia="ＭＳ ゴシック" w:hAnsi="ＭＳ ゴシック"/>
                <w:w w:val="50"/>
                <w:sz w:val="18"/>
                <w:szCs w:val="18"/>
              </w:rPr>
            </w:pPr>
            <w:r w:rsidRPr="00E0548A">
              <w:rPr>
                <w:rFonts w:ascii="ＭＳ ゴシック" w:eastAsia="ＭＳ ゴシック" w:hAnsi="ＭＳ ゴシック" w:hint="eastAsia"/>
                <w:w w:val="50"/>
                <w:sz w:val="20"/>
                <w:szCs w:val="20"/>
              </w:rPr>
              <w:t>（状況に応じ派遣人数を調整）</w:t>
            </w:r>
          </w:p>
        </w:tc>
        <w:tc>
          <w:tcPr>
            <w:tcW w:w="3150" w:type="dxa"/>
            <w:tcBorders>
              <w:top w:val="single" w:sz="4" w:space="0" w:color="auto"/>
              <w:left w:val="single" w:sz="4" w:space="0" w:color="auto"/>
              <w:bottom w:val="single" w:sz="4" w:space="0" w:color="auto"/>
              <w:right w:val="single" w:sz="4" w:space="0" w:color="auto"/>
            </w:tcBorders>
            <w:vAlign w:val="center"/>
          </w:tcPr>
          <w:p w14:paraId="421CF140" w14:textId="1290591D" w:rsidR="00676496" w:rsidRPr="00E0548A" w:rsidRDefault="00676496" w:rsidP="00676496">
            <w:pPr>
              <w:adjustRightInd w:val="0"/>
              <w:snapToGrid w:val="0"/>
              <w:spacing w:line="240" w:lineRule="exact"/>
              <w:rPr>
                <w:rFonts w:ascii="ＭＳ ゴシック" w:eastAsia="ＭＳ ゴシック" w:hAnsi="ＭＳ ゴシック"/>
                <w:w w:val="50"/>
                <w:sz w:val="20"/>
                <w:szCs w:val="20"/>
              </w:rPr>
            </w:pPr>
            <w:r w:rsidRPr="00E0548A">
              <w:rPr>
                <w:rFonts w:ascii="ＭＳ ゴシック" w:eastAsia="ＭＳ ゴシック" w:hAnsi="ＭＳ ゴシック" w:hint="eastAsia"/>
                <w:w w:val="50"/>
                <w:sz w:val="20"/>
                <w:szCs w:val="20"/>
              </w:rPr>
              <w:t>危機管理室（</w:t>
            </w:r>
            <w:r w:rsidRPr="00E0548A">
              <w:rPr>
                <w:rFonts w:ascii="ＭＳ ゴシック" w:eastAsia="ＭＳ ゴシック" w:hAnsi="ＭＳ ゴシック"/>
                <w:w w:val="50"/>
                <w:sz w:val="20"/>
                <w:szCs w:val="20"/>
              </w:rPr>
              <w:t>9名）</w:t>
            </w:r>
          </w:p>
        </w:tc>
      </w:tr>
      <w:tr w:rsidR="001D6D10" w:rsidRPr="00E0548A" w14:paraId="2D9F6DA6" w14:textId="77777777" w:rsidTr="006E52DA">
        <w:trPr>
          <w:cantSplit/>
          <w:trHeight w:val="997"/>
        </w:trPr>
        <w:tc>
          <w:tcPr>
            <w:tcW w:w="596" w:type="dxa"/>
            <w:tcBorders>
              <w:top w:val="single" w:sz="4" w:space="0" w:color="auto"/>
              <w:left w:val="single" w:sz="4" w:space="0" w:color="auto"/>
              <w:bottom w:val="single" w:sz="4" w:space="0" w:color="auto"/>
              <w:right w:val="single" w:sz="4" w:space="0" w:color="auto"/>
            </w:tcBorders>
            <w:textDirection w:val="tbRlV"/>
            <w:vAlign w:val="center"/>
          </w:tcPr>
          <w:p w14:paraId="5F38BC3E" w14:textId="77777777" w:rsidR="00E22F29" w:rsidRPr="00E0548A" w:rsidRDefault="00E22F29" w:rsidP="00E22F29">
            <w:pPr>
              <w:adjustRightInd w:val="0"/>
              <w:snapToGrid w:val="0"/>
              <w:spacing w:line="240" w:lineRule="exact"/>
              <w:ind w:left="113" w:right="113"/>
              <w:jc w:val="center"/>
              <w:rPr>
                <w:rFonts w:ascii="ＭＳ ゴシック" w:eastAsia="ＭＳ ゴシック" w:hAnsi="ＭＳ ゴシック"/>
                <w:sz w:val="20"/>
                <w:szCs w:val="18"/>
              </w:rPr>
            </w:pPr>
            <w:r w:rsidRPr="00E0548A">
              <w:rPr>
                <w:rFonts w:ascii="ＭＳ ゴシック" w:eastAsia="ＭＳ ゴシック" w:hAnsi="ＭＳ ゴシック" w:hint="eastAsia"/>
                <w:sz w:val="18"/>
                <w:szCs w:val="18"/>
              </w:rPr>
              <w:t>石コン班</w:t>
            </w:r>
          </w:p>
        </w:tc>
        <w:tc>
          <w:tcPr>
            <w:tcW w:w="5072" w:type="dxa"/>
            <w:tcBorders>
              <w:top w:val="single" w:sz="4" w:space="0" w:color="auto"/>
              <w:left w:val="single" w:sz="4" w:space="0" w:color="auto"/>
              <w:bottom w:val="single" w:sz="4" w:space="0" w:color="auto"/>
              <w:right w:val="single" w:sz="4" w:space="0" w:color="auto"/>
            </w:tcBorders>
            <w:vAlign w:val="center"/>
          </w:tcPr>
          <w:p w14:paraId="2642AC8B" w14:textId="77777777" w:rsidR="00E22F29" w:rsidRPr="00E0548A" w:rsidRDefault="00E22F29" w:rsidP="00E22F29">
            <w:pPr>
              <w:adjustRightInd w:val="0"/>
              <w:snapToGrid w:val="0"/>
              <w:spacing w:line="240" w:lineRule="exact"/>
              <w:jc w:val="left"/>
              <w:rPr>
                <w:rFonts w:ascii="ＭＳ ゴシック" w:eastAsia="ＭＳ ゴシック" w:hAnsi="ＭＳ ゴシック"/>
                <w:w w:val="50"/>
                <w:sz w:val="18"/>
                <w:szCs w:val="18"/>
              </w:rPr>
            </w:pPr>
            <w:r w:rsidRPr="00E0548A">
              <w:rPr>
                <w:rFonts w:ascii="ＭＳ ゴシック" w:eastAsia="ＭＳ ゴシック" w:hAnsi="ＭＳ ゴシック" w:hint="eastAsia"/>
                <w:w w:val="50"/>
                <w:sz w:val="18"/>
                <w:szCs w:val="18"/>
              </w:rPr>
              <w:t>〇石コンに係る情報収集後の分析</w:t>
            </w:r>
          </w:p>
          <w:p w14:paraId="66E226BD" w14:textId="77777777" w:rsidR="00E22F29" w:rsidRPr="00E0548A" w:rsidRDefault="00E22F29" w:rsidP="00E22F29">
            <w:pPr>
              <w:adjustRightInd w:val="0"/>
              <w:snapToGrid w:val="0"/>
              <w:spacing w:line="240" w:lineRule="exact"/>
              <w:jc w:val="left"/>
              <w:rPr>
                <w:rFonts w:ascii="ＭＳ ゴシック" w:eastAsia="ＭＳ ゴシック" w:hAnsi="ＭＳ ゴシック"/>
                <w:w w:val="50"/>
                <w:sz w:val="18"/>
                <w:szCs w:val="18"/>
              </w:rPr>
            </w:pPr>
            <w:r w:rsidRPr="00E0548A">
              <w:rPr>
                <w:rFonts w:ascii="ＭＳ ゴシック" w:eastAsia="ＭＳ ゴシック" w:hAnsi="ＭＳ ゴシック" w:hint="eastAsia"/>
                <w:w w:val="50"/>
                <w:sz w:val="18"/>
                <w:szCs w:val="18"/>
              </w:rPr>
              <w:t>〇石コンに係る対策・措置の詳細又は専門的事項に関する連絡調整</w:t>
            </w:r>
          </w:p>
        </w:tc>
        <w:tc>
          <w:tcPr>
            <w:tcW w:w="3150" w:type="dxa"/>
            <w:tcBorders>
              <w:top w:val="single" w:sz="4" w:space="0" w:color="auto"/>
              <w:left w:val="single" w:sz="4" w:space="0" w:color="auto"/>
              <w:bottom w:val="single" w:sz="4" w:space="0" w:color="auto"/>
              <w:right w:val="single" w:sz="4" w:space="0" w:color="auto"/>
            </w:tcBorders>
            <w:vAlign w:val="center"/>
          </w:tcPr>
          <w:p w14:paraId="0CF4FD20" w14:textId="77777777" w:rsidR="00E22F29" w:rsidRPr="00E0548A" w:rsidRDefault="00E22F29" w:rsidP="00E22F29">
            <w:pPr>
              <w:adjustRightInd w:val="0"/>
              <w:snapToGrid w:val="0"/>
              <w:spacing w:line="240" w:lineRule="exact"/>
              <w:jc w:val="left"/>
              <w:rPr>
                <w:rFonts w:ascii="ＭＳ ゴシック" w:eastAsia="ＭＳ ゴシック" w:hAnsi="ＭＳ ゴシック"/>
                <w:w w:val="50"/>
                <w:sz w:val="18"/>
                <w:szCs w:val="18"/>
              </w:rPr>
            </w:pPr>
            <w:r w:rsidRPr="00E0548A">
              <w:rPr>
                <w:rFonts w:ascii="ＭＳ ゴシック" w:eastAsia="ＭＳ ゴシック" w:hAnsi="ＭＳ ゴシック" w:hint="eastAsia"/>
                <w:w w:val="50"/>
                <w:sz w:val="18"/>
                <w:szCs w:val="18"/>
              </w:rPr>
              <w:t>危機管理室(5名)</w:t>
            </w:r>
          </w:p>
        </w:tc>
      </w:tr>
      <w:tr w:rsidR="006E52DA" w:rsidRPr="00E0548A" w14:paraId="5B225498" w14:textId="77777777" w:rsidTr="006E52DA">
        <w:trPr>
          <w:cantSplit/>
          <w:trHeight w:val="997"/>
        </w:trPr>
        <w:tc>
          <w:tcPr>
            <w:tcW w:w="596" w:type="dxa"/>
            <w:tcBorders>
              <w:top w:val="single" w:sz="4" w:space="0" w:color="auto"/>
              <w:left w:val="single" w:sz="4" w:space="0" w:color="auto"/>
              <w:bottom w:val="single" w:sz="4" w:space="0" w:color="auto"/>
              <w:right w:val="single" w:sz="4" w:space="0" w:color="auto"/>
            </w:tcBorders>
            <w:textDirection w:val="tbRlV"/>
            <w:vAlign w:val="center"/>
          </w:tcPr>
          <w:p w14:paraId="1A696A41" w14:textId="4007EF1C" w:rsidR="006E52DA" w:rsidRPr="00E0548A" w:rsidRDefault="006E52DA" w:rsidP="006E52DA">
            <w:pPr>
              <w:adjustRightInd w:val="0"/>
              <w:snapToGrid w:val="0"/>
              <w:spacing w:line="240" w:lineRule="exact"/>
              <w:ind w:left="113" w:right="113"/>
              <w:jc w:val="center"/>
              <w:rPr>
                <w:rFonts w:ascii="ＭＳ ゴシック" w:eastAsia="ＭＳ ゴシック" w:hAnsi="ＭＳ ゴシック"/>
                <w:sz w:val="18"/>
                <w:szCs w:val="18"/>
              </w:rPr>
            </w:pPr>
            <w:r w:rsidRPr="00E0548A">
              <w:rPr>
                <w:rFonts w:asciiTheme="majorEastAsia" w:eastAsiaTheme="majorEastAsia" w:hAnsiTheme="majorEastAsia" w:hint="eastAsia"/>
                <w:sz w:val="18"/>
                <w:szCs w:val="18"/>
              </w:rPr>
              <w:t>消防応援活動調整本部</w:t>
            </w:r>
          </w:p>
        </w:tc>
        <w:tc>
          <w:tcPr>
            <w:tcW w:w="5072" w:type="dxa"/>
            <w:tcBorders>
              <w:top w:val="single" w:sz="4" w:space="0" w:color="auto"/>
              <w:left w:val="single" w:sz="4" w:space="0" w:color="auto"/>
              <w:bottom w:val="single" w:sz="4" w:space="0" w:color="auto"/>
              <w:right w:val="single" w:sz="4" w:space="0" w:color="auto"/>
            </w:tcBorders>
            <w:vAlign w:val="center"/>
          </w:tcPr>
          <w:p w14:paraId="0B6CEBAD" w14:textId="77777777" w:rsidR="006E52DA" w:rsidRPr="00E0548A" w:rsidRDefault="006E52DA" w:rsidP="006E52DA">
            <w:pPr>
              <w:adjustRightInd w:val="0"/>
              <w:snapToGrid w:val="0"/>
              <w:spacing w:line="240" w:lineRule="exact"/>
              <w:rPr>
                <w:rFonts w:ascii="ＭＳ ゴシック" w:eastAsia="ＭＳ ゴシック" w:hAnsi="ＭＳ ゴシック"/>
                <w:w w:val="50"/>
                <w:sz w:val="18"/>
                <w:szCs w:val="18"/>
              </w:rPr>
            </w:pPr>
            <w:r w:rsidRPr="00E0548A">
              <w:rPr>
                <w:rFonts w:ascii="ＭＳ ゴシック" w:eastAsia="ＭＳ ゴシック" w:hAnsi="ＭＳ ゴシック" w:hint="eastAsia"/>
                <w:w w:val="50"/>
                <w:sz w:val="18"/>
                <w:szCs w:val="18"/>
              </w:rPr>
              <w:t>※消防応援活動調整本部（本部長：知事）を設置する場合</w:t>
            </w:r>
          </w:p>
          <w:p w14:paraId="6C9A11E7" w14:textId="77777777" w:rsidR="006E52DA" w:rsidRPr="00E0548A" w:rsidRDefault="006E52DA" w:rsidP="006E52DA">
            <w:pPr>
              <w:adjustRightInd w:val="0"/>
              <w:snapToGrid w:val="0"/>
              <w:spacing w:line="240" w:lineRule="exact"/>
              <w:ind w:firstLine="1"/>
              <w:rPr>
                <w:rFonts w:ascii="ＭＳ ゴシック" w:eastAsia="ＭＳ ゴシック" w:hAnsi="ＭＳ ゴシック"/>
                <w:w w:val="50"/>
                <w:sz w:val="18"/>
                <w:szCs w:val="18"/>
              </w:rPr>
            </w:pPr>
            <w:r w:rsidRPr="00E0548A">
              <w:rPr>
                <w:rFonts w:ascii="ＭＳ ゴシック" w:eastAsia="ＭＳ ゴシック" w:hAnsi="ＭＳ ゴシック" w:hint="eastAsia"/>
                <w:w w:val="50"/>
                <w:sz w:val="18"/>
                <w:szCs w:val="18"/>
              </w:rPr>
              <w:t>・市町村の被害状況の収集</w:t>
            </w:r>
          </w:p>
          <w:p w14:paraId="6DADC4C0" w14:textId="77777777" w:rsidR="006E52DA" w:rsidRPr="00E0548A" w:rsidRDefault="006E52DA" w:rsidP="006E52DA">
            <w:pPr>
              <w:adjustRightInd w:val="0"/>
              <w:snapToGrid w:val="0"/>
              <w:spacing w:line="240" w:lineRule="exact"/>
              <w:rPr>
                <w:rFonts w:ascii="ＭＳ ゴシック" w:eastAsia="ＭＳ ゴシック" w:hAnsi="ＭＳ ゴシック"/>
                <w:w w:val="50"/>
                <w:sz w:val="18"/>
                <w:szCs w:val="18"/>
              </w:rPr>
            </w:pPr>
            <w:r w:rsidRPr="00E0548A">
              <w:rPr>
                <w:rFonts w:ascii="ＭＳ ゴシック" w:eastAsia="ＭＳ ゴシック" w:hAnsi="ＭＳ ゴシック" w:hint="eastAsia"/>
                <w:w w:val="50"/>
                <w:sz w:val="18"/>
                <w:szCs w:val="18"/>
              </w:rPr>
              <w:t>・緊急消防援助隊府代表（大阪市消防局）との情報交換</w:t>
            </w:r>
          </w:p>
          <w:p w14:paraId="3E61E114" w14:textId="77777777" w:rsidR="006E52DA" w:rsidRPr="00E0548A" w:rsidRDefault="006E52DA" w:rsidP="006E52DA">
            <w:pPr>
              <w:adjustRightInd w:val="0"/>
              <w:snapToGrid w:val="0"/>
              <w:spacing w:line="240" w:lineRule="exact"/>
              <w:rPr>
                <w:rFonts w:ascii="ＭＳ ゴシック" w:eastAsia="ＭＳ ゴシック" w:hAnsi="ＭＳ ゴシック"/>
                <w:w w:val="50"/>
                <w:sz w:val="18"/>
                <w:szCs w:val="18"/>
              </w:rPr>
            </w:pPr>
            <w:r w:rsidRPr="00E0548A">
              <w:rPr>
                <w:rFonts w:ascii="ＭＳ ゴシック" w:eastAsia="ＭＳ ゴシック" w:hAnsi="ＭＳ ゴシック" w:hint="eastAsia"/>
                <w:w w:val="50"/>
                <w:sz w:val="18"/>
                <w:szCs w:val="18"/>
              </w:rPr>
              <w:t>・緊急消防援助隊派遣要請判断に必要な情報の収集</w:t>
            </w:r>
          </w:p>
          <w:p w14:paraId="591E0106" w14:textId="4C048253" w:rsidR="006E52DA" w:rsidRPr="00E0548A" w:rsidRDefault="006E52DA" w:rsidP="006E52DA">
            <w:pPr>
              <w:adjustRightInd w:val="0"/>
              <w:snapToGrid w:val="0"/>
              <w:spacing w:line="240" w:lineRule="exact"/>
              <w:rPr>
                <w:rFonts w:ascii="ＭＳ ゴシック" w:eastAsia="ＭＳ ゴシック" w:hAnsi="ＭＳ ゴシック"/>
                <w:w w:val="50"/>
                <w:sz w:val="18"/>
                <w:szCs w:val="18"/>
              </w:rPr>
            </w:pPr>
            <w:r w:rsidRPr="00E0548A">
              <w:rPr>
                <w:rFonts w:ascii="ＭＳ ゴシック" w:eastAsia="ＭＳ ゴシック" w:hAnsi="ＭＳ ゴシック" w:hint="eastAsia"/>
                <w:w w:val="50"/>
                <w:sz w:val="18"/>
                <w:szCs w:val="18"/>
              </w:rPr>
              <w:t>・消防庁長官への府内被害状況の情報提供</w:t>
            </w:r>
          </w:p>
        </w:tc>
        <w:tc>
          <w:tcPr>
            <w:tcW w:w="3150" w:type="dxa"/>
            <w:tcBorders>
              <w:top w:val="single" w:sz="4" w:space="0" w:color="auto"/>
              <w:left w:val="single" w:sz="4" w:space="0" w:color="auto"/>
              <w:bottom w:val="single" w:sz="4" w:space="0" w:color="auto"/>
              <w:right w:val="single" w:sz="4" w:space="0" w:color="auto"/>
            </w:tcBorders>
            <w:vAlign w:val="center"/>
          </w:tcPr>
          <w:p w14:paraId="64087D9F" w14:textId="77777777" w:rsidR="006E52DA" w:rsidRPr="00E0548A" w:rsidRDefault="006E52DA" w:rsidP="006E52DA">
            <w:pPr>
              <w:adjustRightInd w:val="0"/>
              <w:snapToGrid w:val="0"/>
              <w:spacing w:line="240" w:lineRule="exact"/>
              <w:jc w:val="left"/>
              <w:rPr>
                <w:rFonts w:ascii="ＭＳ ゴシック" w:eastAsia="ＭＳ ゴシック" w:hAnsi="ＭＳ ゴシック"/>
                <w:w w:val="50"/>
                <w:sz w:val="18"/>
                <w:szCs w:val="18"/>
              </w:rPr>
            </w:pPr>
            <w:r w:rsidRPr="00E0548A">
              <w:rPr>
                <w:rFonts w:ascii="ＭＳ ゴシック" w:eastAsia="ＭＳ ゴシック" w:hAnsi="ＭＳ ゴシック" w:hint="eastAsia"/>
                <w:w w:val="50"/>
                <w:sz w:val="18"/>
                <w:szCs w:val="18"/>
              </w:rPr>
              <w:t>危機管理室（1</w:t>
            </w:r>
            <w:r w:rsidRPr="00E0548A">
              <w:rPr>
                <w:rFonts w:ascii="ＭＳ ゴシック" w:eastAsia="ＭＳ ゴシック" w:hAnsi="ＭＳ ゴシック"/>
                <w:w w:val="50"/>
                <w:sz w:val="18"/>
                <w:szCs w:val="18"/>
              </w:rPr>
              <w:t>5名）</w:t>
            </w:r>
          </w:p>
          <w:p w14:paraId="6F1A32F8" w14:textId="34C823F0" w:rsidR="006E52DA" w:rsidRPr="00E0548A" w:rsidRDefault="006E52DA" w:rsidP="006E52DA">
            <w:pPr>
              <w:adjustRightInd w:val="0"/>
              <w:snapToGrid w:val="0"/>
              <w:spacing w:line="240" w:lineRule="exact"/>
              <w:jc w:val="left"/>
              <w:rPr>
                <w:rFonts w:ascii="ＭＳ ゴシック" w:eastAsia="ＭＳ ゴシック" w:hAnsi="ＭＳ ゴシック"/>
                <w:w w:val="50"/>
                <w:sz w:val="18"/>
                <w:szCs w:val="18"/>
              </w:rPr>
            </w:pPr>
            <w:r w:rsidRPr="00E0548A">
              <w:rPr>
                <w:rFonts w:ascii="ＭＳ ゴシック" w:eastAsia="ＭＳ ゴシック" w:hAnsi="ＭＳ ゴシック" w:hint="eastAsia"/>
                <w:w w:val="50"/>
                <w:sz w:val="18"/>
                <w:szCs w:val="18"/>
              </w:rPr>
              <w:t>※兼務</w:t>
            </w:r>
          </w:p>
        </w:tc>
      </w:tr>
      <w:tr w:rsidR="001D6D10" w:rsidRPr="001D6D10" w14:paraId="6D19033A" w14:textId="77777777" w:rsidTr="006E52DA">
        <w:trPr>
          <w:cantSplit/>
          <w:trHeight w:val="260"/>
        </w:trPr>
        <w:tc>
          <w:tcPr>
            <w:tcW w:w="5668" w:type="dxa"/>
            <w:gridSpan w:val="2"/>
            <w:tcBorders>
              <w:top w:val="single" w:sz="4" w:space="0" w:color="auto"/>
              <w:left w:val="single" w:sz="4" w:space="0" w:color="auto"/>
              <w:bottom w:val="single" w:sz="4" w:space="0" w:color="auto"/>
              <w:right w:val="single" w:sz="4" w:space="0" w:color="auto"/>
            </w:tcBorders>
            <w:shd w:val="clear" w:color="auto" w:fill="F2F2F2"/>
            <w:vAlign w:val="center"/>
            <w:hideMark/>
          </w:tcPr>
          <w:p w14:paraId="583E358C" w14:textId="77777777" w:rsidR="00E22F29" w:rsidRPr="00E0548A" w:rsidRDefault="00E22F29" w:rsidP="00E22F29">
            <w:pPr>
              <w:adjustRightInd w:val="0"/>
              <w:snapToGrid w:val="0"/>
              <w:spacing w:line="240" w:lineRule="exact"/>
              <w:ind w:firstLineChars="1000" w:firstLine="918"/>
              <w:rPr>
                <w:rFonts w:ascii="ＭＳ ゴシック" w:eastAsia="ＭＳ ゴシック" w:hAnsi="ＭＳ ゴシック"/>
                <w:b/>
                <w:w w:val="50"/>
                <w:sz w:val="18"/>
                <w:szCs w:val="18"/>
              </w:rPr>
            </w:pPr>
            <w:r w:rsidRPr="00E0548A">
              <w:rPr>
                <w:rFonts w:ascii="ＭＳ ゴシック" w:eastAsia="ＭＳ ゴシック" w:hAnsi="ＭＳ ゴシック" w:hint="eastAsia"/>
                <w:b/>
                <w:w w:val="50"/>
                <w:sz w:val="18"/>
                <w:szCs w:val="18"/>
              </w:rPr>
              <w:t>配備人員　計</w:t>
            </w:r>
          </w:p>
        </w:tc>
        <w:tc>
          <w:tcPr>
            <w:tcW w:w="3150" w:type="dxa"/>
            <w:tcBorders>
              <w:top w:val="single" w:sz="4" w:space="0" w:color="auto"/>
              <w:left w:val="single" w:sz="4" w:space="0" w:color="auto"/>
              <w:bottom w:val="single" w:sz="4" w:space="0" w:color="auto"/>
              <w:right w:val="single" w:sz="4" w:space="0" w:color="auto"/>
            </w:tcBorders>
            <w:shd w:val="clear" w:color="auto" w:fill="F2F2F2"/>
            <w:vAlign w:val="center"/>
          </w:tcPr>
          <w:p w14:paraId="65991732" w14:textId="235D9C1A" w:rsidR="00E22F29" w:rsidRPr="00E0548A" w:rsidRDefault="00F236FB" w:rsidP="00DD4847">
            <w:pPr>
              <w:adjustRightInd w:val="0"/>
              <w:snapToGrid w:val="0"/>
              <w:spacing w:line="240" w:lineRule="exact"/>
              <w:jc w:val="center"/>
              <w:rPr>
                <w:rFonts w:ascii="ＭＳ ゴシック" w:eastAsia="ＭＳ ゴシック" w:hAnsi="ＭＳ ゴシック"/>
                <w:b/>
                <w:w w:val="50"/>
                <w:sz w:val="18"/>
                <w:szCs w:val="18"/>
              </w:rPr>
            </w:pPr>
            <w:r w:rsidRPr="00E0548A">
              <w:rPr>
                <w:rFonts w:ascii="ＭＳ ゴシック" w:eastAsia="ＭＳ ゴシック" w:hAnsi="ＭＳ ゴシック" w:hint="eastAsia"/>
                <w:b/>
                <w:w w:val="50"/>
                <w:sz w:val="18"/>
                <w:szCs w:val="18"/>
              </w:rPr>
              <w:t>7</w:t>
            </w:r>
            <w:r w:rsidR="00DD4847" w:rsidRPr="00E0548A">
              <w:rPr>
                <w:rFonts w:ascii="ＭＳ ゴシック" w:eastAsia="ＭＳ ゴシック" w:hAnsi="ＭＳ ゴシック" w:hint="eastAsia"/>
                <w:b/>
                <w:w w:val="50"/>
                <w:sz w:val="18"/>
                <w:szCs w:val="18"/>
              </w:rPr>
              <w:t>8</w:t>
            </w:r>
            <w:r w:rsidR="00E22F29" w:rsidRPr="00E0548A">
              <w:rPr>
                <w:rFonts w:ascii="ＭＳ ゴシック" w:eastAsia="ＭＳ ゴシック" w:hAnsi="ＭＳ ゴシック" w:hint="eastAsia"/>
                <w:b/>
                <w:w w:val="50"/>
                <w:sz w:val="18"/>
                <w:szCs w:val="18"/>
              </w:rPr>
              <w:t>名</w:t>
            </w:r>
          </w:p>
          <w:p w14:paraId="3D1BC31D" w14:textId="345ADC9D" w:rsidR="00E22F29" w:rsidRPr="001D6D10" w:rsidRDefault="00E22F29" w:rsidP="00A331D5">
            <w:pPr>
              <w:adjustRightInd w:val="0"/>
              <w:snapToGrid w:val="0"/>
              <w:spacing w:line="240" w:lineRule="exact"/>
              <w:jc w:val="center"/>
              <w:rPr>
                <w:rFonts w:ascii="ＭＳ ゴシック" w:eastAsia="ＭＳ ゴシック" w:hAnsi="ＭＳ ゴシック"/>
                <w:b/>
                <w:w w:val="50"/>
                <w:sz w:val="18"/>
                <w:szCs w:val="18"/>
              </w:rPr>
            </w:pPr>
            <w:r w:rsidRPr="00E0548A">
              <w:rPr>
                <w:rFonts w:ascii="ＭＳ ゴシック" w:eastAsia="ＭＳ ゴシック" w:hAnsi="ＭＳ ゴシック" w:hint="eastAsia"/>
                <w:b/>
                <w:w w:val="50"/>
                <w:sz w:val="18"/>
                <w:szCs w:val="18"/>
              </w:rPr>
              <w:t>(企画室報道Ｇ2名</w:t>
            </w:r>
            <w:r w:rsidR="00F236FB" w:rsidRPr="00E0548A">
              <w:rPr>
                <w:rFonts w:ascii="ＭＳ ゴシック" w:eastAsia="ＭＳ ゴシック" w:hAnsi="ＭＳ ゴシック" w:hint="eastAsia"/>
                <w:b/>
                <w:w w:val="50"/>
                <w:sz w:val="18"/>
                <w:szCs w:val="18"/>
              </w:rPr>
              <w:t>、</w:t>
            </w:r>
            <w:r w:rsidR="0095254A" w:rsidRPr="00E0548A">
              <w:rPr>
                <w:rFonts w:ascii="ＭＳ ゴシック" w:eastAsia="ＭＳ ゴシック" w:hAnsi="ＭＳ ゴシック" w:hint="eastAsia"/>
                <w:b/>
                <w:w w:val="50"/>
                <w:sz w:val="18"/>
                <w:szCs w:val="18"/>
              </w:rPr>
              <w:t>人事課</w:t>
            </w:r>
            <w:r w:rsidR="00A331D5" w:rsidRPr="00E0548A">
              <w:rPr>
                <w:rFonts w:ascii="ＭＳ ゴシック" w:eastAsia="ＭＳ ゴシック" w:hAnsi="ＭＳ ゴシック" w:hint="eastAsia"/>
                <w:b/>
                <w:w w:val="50"/>
                <w:sz w:val="18"/>
                <w:szCs w:val="18"/>
              </w:rPr>
              <w:t>1</w:t>
            </w:r>
            <w:r w:rsidR="00F236FB" w:rsidRPr="00E0548A">
              <w:rPr>
                <w:rFonts w:ascii="ＭＳ ゴシック" w:eastAsia="ＭＳ ゴシック" w:hAnsi="ＭＳ ゴシック" w:hint="eastAsia"/>
                <w:b/>
                <w:w w:val="50"/>
                <w:sz w:val="18"/>
                <w:szCs w:val="18"/>
              </w:rPr>
              <w:t>名</w:t>
            </w:r>
            <w:r w:rsidRPr="00E0548A">
              <w:rPr>
                <w:rFonts w:ascii="ＭＳ ゴシック" w:eastAsia="ＭＳ ゴシック" w:hAnsi="ＭＳ ゴシック" w:hint="eastAsia"/>
                <w:b/>
                <w:w w:val="50"/>
                <w:sz w:val="18"/>
                <w:szCs w:val="18"/>
              </w:rPr>
              <w:t>含む)</w:t>
            </w:r>
          </w:p>
        </w:tc>
      </w:tr>
    </w:tbl>
    <w:p w14:paraId="02D0B84D" w14:textId="77777777" w:rsidR="006E52DA" w:rsidRPr="00D705BF" w:rsidRDefault="006E52DA" w:rsidP="006E52DA">
      <w:pPr>
        <w:spacing w:line="240" w:lineRule="exact"/>
        <w:rPr>
          <w:rFonts w:asciiTheme="majorEastAsia" w:eastAsiaTheme="majorEastAsia" w:hAnsiTheme="majorEastAsia"/>
          <w:sz w:val="18"/>
          <w:szCs w:val="18"/>
        </w:rPr>
      </w:pPr>
      <w:bookmarkStart w:id="64" w:name="_Hlk193124546"/>
      <w:r w:rsidRPr="00D705BF">
        <w:rPr>
          <w:rFonts w:asciiTheme="majorEastAsia" w:eastAsiaTheme="majorEastAsia" w:hAnsiTheme="majorEastAsia" w:hint="eastAsia"/>
          <w:sz w:val="18"/>
          <w:szCs w:val="18"/>
        </w:rPr>
        <w:t>【他府県で災害が発生し、緊急消防援助隊大阪府大隊が出動する場合】</w:t>
      </w:r>
    </w:p>
    <w:p w14:paraId="00E9A615" w14:textId="77777777" w:rsidR="006E52DA" w:rsidRPr="00D705BF" w:rsidRDefault="006E52DA" w:rsidP="006E52DA">
      <w:pPr>
        <w:adjustRightInd w:val="0"/>
        <w:snapToGrid w:val="0"/>
        <w:rPr>
          <w:rFonts w:asciiTheme="majorEastAsia" w:eastAsiaTheme="majorEastAsia" w:hAnsiTheme="majorEastAsia"/>
          <w:sz w:val="18"/>
          <w:szCs w:val="18"/>
        </w:rPr>
      </w:pPr>
      <w:r w:rsidRPr="00D705BF">
        <w:rPr>
          <w:rFonts w:asciiTheme="majorEastAsia" w:eastAsiaTheme="majorEastAsia" w:hAnsiTheme="majorEastAsia" w:hint="eastAsia"/>
          <w:sz w:val="18"/>
          <w:szCs w:val="18"/>
        </w:rPr>
        <w:t>室内に消防応援活動調整本部を設置し、消防保安課長、消防保安課参事、消防指導G員が従事する。</w:t>
      </w:r>
    </w:p>
    <w:p w14:paraId="739DC426" w14:textId="2E57FF4B" w:rsidR="005D372A" w:rsidRPr="00D705BF" w:rsidRDefault="006E52DA" w:rsidP="006E52DA">
      <w:pPr>
        <w:adjustRightInd w:val="0"/>
        <w:snapToGrid w:val="0"/>
      </w:pPr>
      <w:r w:rsidRPr="00D705BF">
        <w:rPr>
          <w:rFonts w:asciiTheme="majorEastAsia" w:eastAsiaTheme="majorEastAsia" w:hAnsiTheme="majorEastAsia" w:hint="eastAsia"/>
          <w:sz w:val="18"/>
          <w:szCs w:val="18"/>
        </w:rPr>
        <w:t>また、必要に応じ消防保安課以外の課員も従事する場合がある。</w:t>
      </w:r>
      <w:bookmarkEnd w:id="64"/>
    </w:p>
    <w:p w14:paraId="067ADE38" w14:textId="77777777" w:rsidR="005D372A" w:rsidRPr="001D6D10" w:rsidRDefault="005D372A" w:rsidP="005D372A">
      <w:pPr>
        <w:adjustRightInd w:val="0"/>
        <w:snapToGrid w:val="0"/>
      </w:pPr>
    </w:p>
    <w:p w14:paraId="32ABB9ED" w14:textId="595B3E6F" w:rsidR="00610BB0" w:rsidRDefault="00610BB0">
      <w:pPr>
        <w:widowControl/>
        <w:jc w:val="left"/>
      </w:pPr>
      <w:r>
        <w:br w:type="page"/>
      </w:r>
    </w:p>
    <w:p w14:paraId="7BFA0804" w14:textId="77777777" w:rsidR="005D372A" w:rsidRPr="001D6D10" w:rsidRDefault="005D372A" w:rsidP="005D372A">
      <w:pPr>
        <w:adjustRightInd w:val="0"/>
        <w:snapToGrid w:val="0"/>
        <w:rPr>
          <w:vanish/>
        </w:rPr>
      </w:pPr>
    </w:p>
    <w:p w14:paraId="4212779E" w14:textId="77777777" w:rsidR="005D372A" w:rsidRPr="001D6D10" w:rsidRDefault="005D372A" w:rsidP="005D372A">
      <w:pPr>
        <w:adjustRightInd w:val="0"/>
        <w:snapToGrid w:val="0"/>
        <w:rPr>
          <w:vanish/>
        </w:rPr>
      </w:pPr>
    </w:p>
    <w:p w14:paraId="5983AD1B" w14:textId="77777777" w:rsidR="005D372A" w:rsidRPr="001D6D10" w:rsidRDefault="005D372A" w:rsidP="005D372A">
      <w:pPr>
        <w:adjustRightInd w:val="0"/>
        <w:snapToGrid w:val="0"/>
        <w:ind w:rightChars="-376" w:right="-794"/>
        <w:rPr>
          <w:rFonts w:ascii="ＭＳ ゴシック" w:eastAsia="ＭＳ ゴシック" w:hAnsi="ＭＳ ゴシック"/>
          <w:b/>
        </w:rPr>
      </w:pPr>
      <w:r w:rsidRPr="001D6D10">
        <w:rPr>
          <w:rFonts w:ascii="ＭＳ ゴシック" w:eastAsia="ＭＳ ゴシック" w:hAnsi="ＭＳ ゴシック" w:hint="eastAsia"/>
          <w:b/>
        </w:rPr>
        <w:t>(3)第４フェーズ（発災後1週間まで）～第６フェーズ（発災後1ヶ月まで） ※時間は目安です。</w:t>
      </w:r>
    </w:p>
    <w:tbl>
      <w:tblPr>
        <w:tblW w:w="9012" w:type="dxa"/>
        <w:jc w:val="center"/>
        <w:tblBorders>
          <w:top w:val="thinThickSmallGap" w:sz="24" w:space="0" w:color="auto"/>
          <w:left w:val="thinThickSmallGap" w:sz="24" w:space="0" w:color="auto"/>
          <w:bottom w:val="thinThickSmallGap" w:sz="24" w:space="0" w:color="auto"/>
          <w:right w:val="thinThickSmallGap" w:sz="24" w:space="0" w:color="auto"/>
          <w:insideH w:val="thinThickSmallGap" w:sz="24" w:space="0" w:color="auto"/>
          <w:insideV w:val="thinThickSmallGap" w:sz="24" w:space="0" w:color="auto"/>
        </w:tblBorders>
        <w:tblLook w:val="04A0" w:firstRow="1" w:lastRow="0" w:firstColumn="1" w:lastColumn="0" w:noHBand="0" w:noVBand="1"/>
      </w:tblPr>
      <w:tblGrid>
        <w:gridCol w:w="1644"/>
        <w:gridCol w:w="7368"/>
      </w:tblGrid>
      <w:tr w:rsidR="001D6D10" w:rsidRPr="001D6D10" w14:paraId="08FF2F72" w14:textId="77777777" w:rsidTr="008B4B2B">
        <w:trPr>
          <w:jc w:val="center"/>
        </w:trPr>
        <w:tc>
          <w:tcPr>
            <w:tcW w:w="1644" w:type="dxa"/>
            <w:tcBorders>
              <w:top w:val="thinThickSmallGap" w:sz="24" w:space="0" w:color="auto"/>
              <w:left w:val="thinThickSmallGap" w:sz="24" w:space="0" w:color="auto"/>
              <w:bottom w:val="thinThickSmallGap" w:sz="24" w:space="0" w:color="auto"/>
              <w:right w:val="thinThickSmallGap" w:sz="24" w:space="0" w:color="auto"/>
            </w:tcBorders>
            <w:vAlign w:val="center"/>
            <w:hideMark/>
          </w:tcPr>
          <w:p w14:paraId="2B94D44E" w14:textId="77777777" w:rsidR="005D372A" w:rsidRPr="001D6D10" w:rsidRDefault="005D372A" w:rsidP="008B4B2B">
            <w:pPr>
              <w:adjustRightInd w:val="0"/>
              <w:snapToGrid w:val="0"/>
              <w:jc w:val="center"/>
              <w:rPr>
                <w:rFonts w:ascii="ＭＳ ゴシック" w:eastAsia="ＭＳ ゴシック" w:hAnsi="ＭＳ ゴシック"/>
                <w:b/>
                <w:sz w:val="28"/>
                <w:szCs w:val="28"/>
              </w:rPr>
            </w:pPr>
            <w:r w:rsidRPr="001D6D10">
              <w:rPr>
                <w:rFonts w:ascii="ＭＳ ゴシック" w:eastAsia="ＭＳ ゴシック" w:hAnsi="ＭＳ ゴシック" w:hint="eastAsia"/>
                <w:b/>
                <w:sz w:val="28"/>
                <w:szCs w:val="28"/>
              </w:rPr>
              <w:t>目　標</w:t>
            </w:r>
          </w:p>
        </w:tc>
        <w:tc>
          <w:tcPr>
            <w:tcW w:w="7368" w:type="dxa"/>
            <w:tcBorders>
              <w:top w:val="thinThickSmallGap" w:sz="24" w:space="0" w:color="auto"/>
              <w:left w:val="thinThickSmallGap" w:sz="24" w:space="0" w:color="auto"/>
              <w:bottom w:val="thinThickSmallGap" w:sz="24" w:space="0" w:color="auto"/>
              <w:right w:val="thinThickSmallGap" w:sz="24" w:space="0" w:color="auto"/>
            </w:tcBorders>
            <w:vAlign w:val="center"/>
            <w:hideMark/>
          </w:tcPr>
          <w:p w14:paraId="07A1729B" w14:textId="77777777" w:rsidR="005D372A" w:rsidRPr="001D6D10" w:rsidRDefault="005D372A" w:rsidP="008B4B2B">
            <w:pPr>
              <w:adjustRightInd w:val="0"/>
              <w:snapToGrid w:val="0"/>
              <w:ind w:firstLineChars="100" w:firstLine="212"/>
              <w:jc w:val="left"/>
              <w:rPr>
                <w:rFonts w:ascii="ＭＳ ゴシック" w:eastAsia="ＭＳ ゴシック" w:hAnsi="ＭＳ ゴシック"/>
                <w:b/>
              </w:rPr>
            </w:pPr>
            <w:r w:rsidRPr="001D6D10">
              <w:rPr>
                <w:rFonts w:ascii="ＭＳ ゴシック" w:eastAsia="ＭＳ ゴシック" w:hAnsi="ＭＳ ゴシック" w:hint="eastAsia"/>
                <w:b/>
              </w:rPr>
              <w:t>・避難者のＱＯＬを確保する。</w:t>
            </w:r>
          </w:p>
          <w:p w14:paraId="57B6559C" w14:textId="77777777" w:rsidR="005D372A" w:rsidRPr="001D6D10" w:rsidRDefault="005D372A" w:rsidP="008B4B2B">
            <w:pPr>
              <w:adjustRightInd w:val="0"/>
              <w:snapToGrid w:val="0"/>
              <w:ind w:firstLineChars="100" w:firstLine="212"/>
              <w:jc w:val="left"/>
              <w:rPr>
                <w:rFonts w:ascii="ＭＳ ゴシック" w:eastAsia="ＭＳ ゴシック" w:hAnsi="ＭＳ ゴシック"/>
                <w:b/>
                <w:sz w:val="24"/>
              </w:rPr>
            </w:pPr>
            <w:r w:rsidRPr="001D6D10">
              <w:rPr>
                <w:rFonts w:ascii="ＭＳ ゴシック" w:eastAsia="ＭＳ ゴシック" w:hAnsi="ＭＳ ゴシック" w:hint="eastAsia"/>
                <w:b/>
              </w:rPr>
              <w:t>・復旧・復興に向けた体制の移行(応急対策の終了)</w:t>
            </w:r>
          </w:p>
        </w:tc>
      </w:tr>
    </w:tbl>
    <w:p w14:paraId="40CBDFDC" w14:textId="77777777" w:rsidR="005D372A" w:rsidRPr="001D6D10" w:rsidRDefault="005D372A" w:rsidP="005D372A">
      <w:pPr>
        <w:adjustRightInd w:val="0"/>
        <w:snapToGrid w:val="0"/>
        <w:rPr>
          <w:rFonts w:ascii="ＭＳ ゴシック" w:eastAsia="ＭＳ ゴシック" w:hAnsi="ＭＳ ゴシック"/>
          <w:b/>
        </w:rPr>
      </w:pPr>
      <w:r w:rsidRPr="001D6D10">
        <w:rPr>
          <w:rFonts w:ascii="ＭＳ ゴシック" w:eastAsia="ＭＳ ゴシック" w:hAnsi="ＭＳ ゴシック" w:hint="eastAsia"/>
          <w:b/>
        </w:rPr>
        <w:t>※可能であれば、第４フェーズよりローテーション勤務を取り入れる。</w:t>
      </w:r>
    </w:p>
    <w:p w14:paraId="6857E4A5" w14:textId="77777777" w:rsidR="005D372A" w:rsidRPr="001D6D10" w:rsidRDefault="005D372A" w:rsidP="005D372A">
      <w:pPr>
        <w:adjustRightInd w:val="0"/>
        <w:snapToGrid w:val="0"/>
        <w:rPr>
          <w:rFonts w:ascii="ＭＳ ゴシック" w:eastAsia="ＭＳ ゴシック" w:hAnsi="ＭＳ ゴシック"/>
          <w:b/>
        </w:rPr>
      </w:pPr>
    </w:p>
    <w:tbl>
      <w:tblPr>
        <w:tblW w:w="9356"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76"/>
        <w:gridCol w:w="5200"/>
        <w:gridCol w:w="3580"/>
      </w:tblGrid>
      <w:tr w:rsidR="001D6D10" w:rsidRPr="00E0548A" w14:paraId="65B5D11F" w14:textId="77777777" w:rsidTr="006E52DA">
        <w:trPr>
          <w:trHeight w:val="343"/>
        </w:trPr>
        <w:tc>
          <w:tcPr>
            <w:tcW w:w="576" w:type="dxa"/>
            <w:vMerge w:val="restart"/>
            <w:tcBorders>
              <w:top w:val="single" w:sz="4" w:space="0" w:color="auto"/>
              <w:left w:val="single" w:sz="4" w:space="0" w:color="auto"/>
              <w:bottom w:val="single" w:sz="4" w:space="0" w:color="auto"/>
              <w:right w:val="single" w:sz="4" w:space="0" w:color="auto"/>
            </w:tcBorders>
            <w:shd w:val="clear" w:color="auto" w:fill="F2F2F2"/>
            <w:vAlign w:val="center"/>
            <w:hideMark/>
          </w:tcPr>
          <w:p w14:paraId="0EEB7319" w14:textId="77777777" w:rsidR="00495626" w:rsidRPr="00E0548A" w:rsidRDefault="00495626" w:rsidP="008B4B2B">
            <w:pPr>
              <w:adjustRightInd w:val="0"/>
              <w:snapToGrid w:val="0"/>
              <w:spacing w:line="240" w:lineRule="exact"/>
              <w:jc w:val="center"/>
              <w:rPr>
                <w:rFonts w:ascii="ＭＳ ゴシック" w:eastAsia="ＭＳ ゴシック" w:hAnsi="ＭＳ ゴシック"/>
                <w:w w:val="50"/>
                <w:sz w:val="18"/>
                <w:szCs w:val="18"/>
              </w:rPr>
            </w:pPr>
            <w:r w:rsidRPr="00E0548A">
              <w:rPr>
                <w:rFonts w:ascii="ＭＳ ゴシック" w:eastAsia="ＭＳ ゴシック" w:hAnsi="ＭＳ ゴシック" w:hint="eastAsia"/>
                <w:w w:val="50"/>
                <w:sz w:val="18"/>
                <w:szCs w:val="18"/>
              </w:rPr>
              <w:t>班</w:t>
            </w:r>
          </w:p>
        </w:tc>
        <w:tc>
          <w:tcPr>
            <w:tcW w:w="5200" w:type="dxa"/>
            <w:vMerge w:val="restart"/>
            <w:tcBorders>
              <w:top w:val="single" w:sz="4" w:space="0" w:color="auto"/>
              <w:left w:val="single" w:sz="4" w:space="0" w:color="auto"/>
              <w:right w:val="single" w:sz="4" w:space="0" w:color="auto"/>
            </w:tcBorders>
            <w:shd w:val="clear" w:color="auto" w:fill="F2F2F2"/>
            <w:vAlign w:val="center"/>
            <w:hideMark/>
          </w:tcPr>
          <w:p w14:paraId="79AB41CC" w14:textId="77777777" w:rsidR="00495626" w:rsidRPr="00E0548A" w:rsidRDefault="00495626" w:rsidP="008B4B2B">
            <w:pPr>
              <w:adjustRightInd w:val="0"/>
              <w:snapToGrid w:val="0"/>
              <w:spacing w:line="240" w:lineRule="exact"/>
              <w:jc w:val="center"/>
              <w:rPr>
                <w:rFonts w:ascii="ＭＳ ゴシック" w:eastAsia="ＭＳ ゴシック" w:hAnsi="ＭＳ ゴシック"/>
                <w:w w:val="50"/>
                <w:sz w:val="18"/>
                <w:szCs w:val="18"/>
              </w:rPr>
            </w:pPr>
            <w:r w:rsidRPr="00E0548A">
              <w:rPr>
                <w:rFonts w:ascii="ＭＳ ゴシック" w:eastAsia="ＭＳ ゴシック" w:hAnsi="ＭＳ ゴシック" w:hint="eastAsia"/>
                <w:w w:val="50"/>
                <w:sz w:val="18"/>
                <w:szCs w:val="18"/>
              </w:rPr>
              <w:t>主な業務項目</w:t>
            </w:r>
          </w:p>
        </w:tc>
        <w:tc>
          <w:tcPr>
            <w:tcW w:w="3580" w:type="dxa"/>
            <w:tcBorders>
              <w:top w:val="single" w:sz="4" w:space="0" w:color="auto"/>
              <w:left w:val="single" w:sz="4" w:space="0" w:color="auto"/>
              <w:right w:val="single" w:sz="4" w:space="0" w:color="auto"/>
            </w:tcBorders>
            <w:shd w:val="clear" w:color="auto" w:fill="F2F2F2"/>
            <w:vAlign w:val="center"/>
          </w:tcPr>
          <w:p w14:paraId="3A082665" w14:textId="77777777" w:rsidR="00495626" w:rsidRPr="00E0548A" w:rsidRDefault="00495626" w:rsidP="00C31F16">
            <w:pPr>
              <w:adjustRightInd w:val="0"/>
              <w:snapToGrid w:val="0"/>
              <w:spacing w:line="240" w:lineRule="exact"/>
              <w:jc w:val="center"/>
              <w:rPr>
                <w:rFonts w:ascii="ＭＳ ゴシック" w:eastAsia="ＭＳ ゴシック" w:hAnsi="ＭＳ ゴシック"/>
                <w:w w:val="50"/>
                <w:sz w:val="18"/>
                <w:szCs w:val="18"/>
              </w:rPr>
            </w:pPr>
            <w:r w:rsidRPr="00E0548A">
              <w:rPr>
                <w:rFonts w:ascii="ＭＳ ゴシック" w:eastAsia="ＭＳ ゴシック" w:hAnsi="ＭＳ ゴシック" w:hint="eastAsia"/>
                <w:w w:val="50"/>
                <w:sz w:val="18"/>
                <w:szCs w:val="18"/>
              </w:rPr>
              <w:t>構成員</w:t>
            </w:r>
          </w:p>
        </w:tc>
      </w:tr>
      <w:tr w:rsidR="001D6D10" w:rsidRPr="00E0548A" w14:paraId="6A856833" w14:textId="77777777" w:rsidTr="006E52DA">
        <w:trPr>
          <w:trHeight w:val="423"/>
        </w:trPr>
        <w:tc>
          <w:tcPr>
            <w:tcW w:w="576" w:type="dxa"/>
            <w:vMerge/>
            <w:tcBorders>
              <w:top w:val="single" w:sz="4" w:space="0" w:color="auto"/>
              <w:left w:val="single" w:sz="4" w:space="0" w:color="auto"/>
              <w:bottom w:val="single" w:sz="4" w:space="0" w:color="auto"/>
              <w:right w:val="single" w:sz="4" w:space="0" w:color="auto"/>
            </w:tcBorders>
            <w:shd w:val="clear" w:color="auto" w:fill="F2F2F2"/>
            <w:vAlign w:val="center"/>
            <w:hideMark/>
          </w:tcPr>
          <w:p w14:paraId="0B2489B3" w14:textId="77777777" w:rsidR="00495626" w:rsidRPr="00E0548A" w:rsidRDefault="00495626" w:rsidP="008B4B2B">
            <w:pPr>
              <w:widowControl/>
              <w:adjustRightInd w:val="0"/>
              <w:snapToGrid w:val="0"/>
              <w:spacing w:line="240" w:lineRule="exact"/>
              <w:jc w:val="center"/>
              <w:rPr>
                <w:rFonts w:ascii="ＭＳ ゴシック" w:eastAsia="ＭＳ ゴシック" w:hAnsi="ＭＳ ゴシック"/>
                <w:w w:val="50"/>
                <w:sz w:val="18"/>
                <w:szCs w:val="18"/>
              </w:rPr>
            </w:pPr>
          </w:p>
        </w:tc>
        <w:tc>
          <w:tcPr>
            <w:tcW w:w="5200" w:type="dxa"/>
            <w:vMerge/>
            <w:tcBorders>
              <w:left w:val="single" w:sz="4" w:space="0" w:color="auto"/>
              <w:bottom w:val="single" w:sz="4" w:space="0" w:color="auto"/>
              <w:right w:val="single" w:sz="4" w:space="0" w:color="auto"/>
            </w:tcBorders>
            <w:shd w:val="clear" w:color="auto" w:fill="F2F2F2"/>
            <w:vAlign w:val="center"/>
            <w:hideMark/>
          </w:tcPr>
          <w:p w14:paraId="13C36009" w14:textId="77777777" w:rsidR="00495626" w:rsidRPr="00E0548A" w:rsidRDefault="00495626" w:rsidP="008B4B2B">
            <w:pPr>
              <w:widowControl/>
              <w:adjustRightInd w:val="0"/>
              <w:snapToGrid w:val="0"/>
              <w:spacing w:line="240" w:lineRule="exact"/>
              <w:jc w:val="left"/>
              <w:rPr>
                <w:rFonts w:ascii="ＭＳ ゴシック" w:eastAsia="ＭＳ ゴシック" w:hAnsi="ＭＳ ゴシック"/>
                <w:w w:val="50"/>
                <w:sz w:val="18"/>
                <w:szCs w:val="18"/>
              </w:rPr>
            </w:pPr>
          </w:p>
        </w:tc>
        <w:tc>
          <w:tcPr>
            <w:tcW w:w="3580" w:type="dxa"/>
            <w:tcBorders>
              <w:top w:val="single" w:sz="4" w:space="0" w:color="auto"/>
              <w:left w:val="single" w:sz="4" w:space="0" w:color="auto"/>
              <w:bottom w:val="single" w:sz="4" w:space="0" w:color="auto"/>
              <w:right w:val="single" w:sz="4" w:space="0" w:color="auto"/>
            </w:tcBorders>
            <w:shd w:val="clear" w:color="auto" w:fill="F2F2F2"/>
            <w:vAlign w:val="center"/>
          </w:tcPr>
          <w:p w14:paraId="49480219" w14:textId="77777777" w:rsidR="00495626" w:rsidRPr="00E0548A" w:rsidRDefault="00495626" w:rsidP="008B4B2B">
            <w:pPr>
              <w:adjustRightInd w:val="0"/>
              <w:snapToGrid w:val="0"/>
              <w:spacing w:line="240" w:lineRule="exact"/>
              <w:jc w:val="center"/>
              <w:rPr>
                <w:rFonts w:ascii="ＭＳ ゴシック" w:eastAsia="ＭＳ ゴシック" w:hAnsi="ＭＳ ゴシック"/>
                <w:w w:val="50"/>
                <w:sz w:val="18"/>
                <w:szCs w:val="18"/>
              </w:rPr>
            </w:pPr>
            <w:r w:rsidRPr="00E0548A">
              <w:rPr>
                <w:rFonts w:ascii="ＭＳ ゴシック" w:eastAsia="ＭＳ ゴシック" w:hAnsi="ＭＳ ゴシック" w:hint="eastAsia"/>
                <w:w w:val="50"/>
                <w:sz w:val="18"/>
                <w:szCs w:val="18"/>
              </w:rPr>
              <w:t>非常3号（災対本部）</w:t>
            </w:r>
          </w:p>
        </w:tc>
      </w:tr>
      <w:tr w:rsidR="001D6D10" w:rsidRPr="00E0548A" w14:paraId="4AB0C771" w14:textId="77777777" w:rsidTr="006E52DA">
        <w:trPr>
          <w:trHeight w:val="693"/>
        </w:trPr>
        <w:tc>
          <w:tcPr>
            <w:tcW w:w="576" w:type="dxa"/>
            <w:vMerge w:val="restart"/>
            <w:tcBorders>
              <w:top w:val="single" w:sz="4" w:space="0" w:color="auto"/>
              <w:left w:val="single" w:sz="4" w:space="0" w:color="auto"/>
              <w:right w:val="single" w:sz="4" w:space="0" w:color="auto"/>
            </w:tcBorders>
            <w:textDirection w:val="tbRlV"/>
            <w:vAlign w:val="center"/>
            <w:hideMark/>
          </w:tcPr>
          <w:p w14:paraId="1AFB54AE" w14:textId="74705EB0" w:rsidR="00724945" w:rsidRPr="00E0548A" w:rsidRDefault="00724945" w:rsidP="00B35001">
            <w:pPr>
              <w:widowControl/>
              <w:adjustRightInd w:val="0"/>
              <w:snapToGrid w:val="0"/>
              <w:spacing w:line="240" w:lineRule="exact"/>
              <w:ind w:left="113" w:right="113"/>
              <w:jc w:val="center"/>
              <w:rPr>
                <w:rFonts w:ascii="ＭＳ ゴシック" w:eastAsia="ＭＳ ゴシック" w:hAnsi="ＭＳ ゴシック"/>
                <w:w w:val="50"/>
                <w:sz w:val="18"/>
                <w:szCs w:val="18"/>
              </w:rPr>
            </w:pPr>
            <w:r w:rsidRPr="00E0548A">
              <w:rPr>
                <w:rFonts w:ascii="ＭＳ ゴシック" w:eastAsia="ＭＳ ゴシック" w:hAnsi="ＭＳ ゴシック" w:hint="eastAsia"/>
                <w:kern w:val="0"/>
                <w:sz w:val="18"/>
                <w:szCs w:val="18"/>
              </w:rPr>
              <w:t>統括</w:t>
            </w:r>
            <w:r w:rsidR="00BB63B3" w:rsidRPr="00E0548A">
              <w:rPr>
                <w:rFonts w:ascii="ＭＳ ゴシック" w:eastAsia="ＭＳ ゴシック" w:hAnsi="ＭＳ ゴシック" w:hint="eastAsia"/>
                <w:kern w:val="0"/>
                <w:sz w:val="18"/>
                <w:szCs w:val="18"/>
              </w:rPr>
              <w:t>班</w:t>
            </w:r>
          </w:p>
        </w:tc>
        <w:tc>
          <w:tcPr>
            <w:tcW w:w="5200" w:type="dxa"/>
            <w:vMerge w:val="restart"/>
            <w:tcBorders>
              <w:top w:val="single" w:sz="4" w:space="0" w:color="auto"/>
              <w:left w:val="single" w:sz="4" w:space="0" w:color="auto"/>
              <w:right w:val="single" w:sz="4" w:space="0" w:color="auto"/>
            </w:tcBorders>
            <w:vAlign w:val="center"/>
            <w:hideMark/>
          </w:tcPr>
          <w:p w14:paraId="36EC5D1F" w14:textId="77777777" w:rsidR="00724945" w:rsidRPr="00E0548A" w:rsidRDefault="00724945" w:rsidP="00724945">
            <w:pPr>
              <w:adjustRightInd w:val="0"/>
              <w:snapToGrid w:val="0"/>
              <w:spacing w:line="240" w:lineRule="exact"/>
              <w:jc w:val="left"/>
              <w:rPr>
                <w:rFonts w:ascii="ＭＳ ゴシック" w:eastAsia="ＭＳ ゴシック" w:hAnsi="ＭＳ ゴシック"/>
                <w:w w:val="50"/>
                <w:sz w:val="18"/>
                <w:szCs w:val="18"/>
              </w:rPr>
            </w:pPr>
            <w:r w:rsidRPr="00E0548A">
              <w:rPr>
                <w:rFonts w:ascii="ＭＳ ゴシック" w:eastAsia="ＭＳ ゴシック" w:hAnsi="ＭＳ ゴシック" w:hint="eastAsia"/>
                <w:w w:val="50"/>
                <w:sz w:val="18"/>
                <w:szCs w:val="18"/>
              </w:rPr>
              <w:t>○災害対策本部会議の資料および報道提供資料作成</w:t>
            </w:r>
          </w:p>
          <w:p w14:paraId="24BD33CC" w14:textId="77777777" w:rsidR="00724945" w:rsidRPr="00E0548A" w:rsidRDefault="00724945" w:rsidP="00724945">
            <w:pPr>
              <w:adjustRightInd w:val="0"/>
              <w:snapToGrid w:val="0"/>
              <w:spacing w:line="240" w:lineRule="exact"/>
              <w:jc w:val="left"/>
              <w:rPr>
                <w:rFonts w:ascii="ＭＳ ゴシック" w:eastAsia="ＭＳ ゴシック" w:hAnsi="ＭＳ ゴシック"/>
                <w:w w:val="50"/>
                <w:sz w:val="18"/>
                <w:szCs w:val="18"/>
              </w:rPr>
            </w:pPr>
            <w:r w:rsidRPr="00E0548A">
              <w:rPr>
                <w:rFonts w:ascii="ＭＳ ゴシック" w:eastAsia="ＭＳ ゴシック" w:hAnsi="ＭＳ ゴシック" w:hint="eastAsia"/>
                <w:w w:val="50"/>
                <w:sz w:val="18"/>
                <w:szCs w:val="18"/>
              </w:rPr>
              <w:t>〇現地情報連絡員の派遣及び連絡・指示</w:t>
            </w:r>
          </w:p>
          <w:p w14:paraId="0978E22B" w14:textId="77777777" w:rsidR="00724945" w:rsidRPr="00E0548A" w:rsidRDefault="00724945" w:rsidP="00724945">
            <w:pPr>
              <w:adjustRightInd w:val="0"/>
              <w:snapToGrid w:val="0"/>
              <w:spacing w:line="240" w:lineRule="exact"/>
              <w:jc w:val="left"/>
              <w:rPr>
                <w:rFonts w:ascii="ＭＳ ゴシック" w:eastAsia="ＭＳ ゴシック" w:hAnsi="ＭＳ ゴシック"/>
                <w:w w:val="50"/>
                <w:sz w:val="18"/>
                <w:szCs w:val="18"/>
              </w:rPr>
            </w:pPr>
            <w:r w:rsidRPr="00E0548A">
              <w:rPr>
                <w:rFonts w:ascii="ＭＳ ゴシック" w:eastAsia="ＭＳ ゴシック" w:hAnsi="ＭＳ ゴシック" w:hint="eastAsia"/>
                <w:w w:val="50"/>
                <w:sz w:val="18"/>
                <w:szCs w:val="18"/>
              </w:rPr>
              <w:t>〇国関係省庁情報連絡会議の開催（毎日夕方実施）</w:t>
            </w:r>
          </w:p>
          <w:p w14:paraId="7D8942EA" w14:textId="77777777" w:rsidR="00724945" w:rsidRPr="00E0548A" w:rsidRDefault="00724945" w:rsidP="00724945">
            <w:pPr>
              <w:adjustRightInd w:val="0"/>
              <w:snapToGrid w:val="0"/>
              <w:spacing w:line="240" w:lineRule="exact"/>
              <w:jc w:val="left"/>
              <w:rPr>
                <w:rFonts w:ascii="ＭＳ ゴシック" w:eastAsia="ＭＳ ゴシック" w:hAnsi="ＭＳ ゴシック"/>
                <w:w w:val="50"/>
                <w:sz w:val="18"/>
                <w:szCs w:val="18"/>
              </w:rPr>
            </w:pPr>
            <w:r w:rsidRPr="00E0548A">
              <w:rPr>
                <w:rFonts w:ascii="ＭＳ ゴシック" w:eastAsia="ＭＳ ゴシック" w:hAnsi="ＭＳ ゴシック" w:hint="eastAsia"/>
                <w:w w:val="50"/>
                <w:sz w:val="18"/>
                <w:szCs w:val="18"/>
              </w:rPr>
              <w:t>○情報の総合集約(事務局班長会議の主催)</w:t>
            </w:r>
          </w:p>
          <w:p w14:paraId="15D90D29" w14:textId="77777777" w:rsidR="00724945" w:rsidRPr="00E0548A" w:rsidRDefault="00724945" w:rsidP="00724945">
            <w:pPr>
              <w:adjustRightInd w:val="0"/>
              <w:snapToGrid w:val="0"/>
              <w:spacing w:line="240" w:lineRule="exact"/>
              <w:jc w:val="left"/>
              <w:rPr>
                <w:rFonts w:ascii="ＭＳ ゴシック" w:eastAsia="ＭＳ ゴシック" w:hAnsi="ＭＳ ゴシック"/>
                <w:w w:val="50"/>
                <w:sz w:val="18"/>
                <w:szCs w:val="18"/>
              </w:rPr>
            </w:pPr>
            <w:r w:rsidRPr="00E0548A">
              <w:rPr>
                <w:rFonts w:ascii="ＭＳ ゴシック" w:eastAsia="ＭＳ ゴシック" w:hAnsi="ＭＳ ゴシック" w:hint="eastAsia"/>
                <w:w w:val="50"/>
                <w:sz w:val="18"/>
                <w:szCs w:val="18"/>
              </w:rPr>
              <w:t>○対策に関する総合調整</w:t>
            </w:r>
          </w:p>
          <w:p w14:paraId="33F05046" w14:textId="77777777" w:rsidR="00724945" w:rsidRPr="00E0548A" w:rsidRDefault="00724945" w:rsidP="00724945">
            <w:pPr>
              <w:adjustRightInd w:val="0"/>
              <w:snapToGrid w:val="0"/>
              <w:spacing w:line="240" w:lineRule="exact"/>
              <w:jc w:val="left"/>
              <w:rPr>
                <w:rFonts w:ascii="ＭＳ ゴシック" w:eastAsia="ＭＳ ゴシック" w:hAnsi="ＭＳ ゴシック"/>
                <w:w w:val="50"/>
                <w:sz w:val="18"/>
                <w:szCs w:val="18"/>
              </w:rPr>
            </w:pPr>
            <w:r w:rsidRPr="00E0548A">
              <w:rPr>
                <w:rFonts w:ascii="ＭＳ ゴシック" w:eastAsia="ＭＳ ゴシック" w:hAnsi="ＭＳ ゴシック" w:hint="eastAsia"/>
                <w:w w:val="50"/>
                <w:sz w:val="18"/>
                <w:szCs w:val="18"/>
              </w:rPr>
              <w:t>○事務局班間の人員調整</w:t>
            </w:r>
          </w:p>
          <w:p w14:paraId="42DAA500" w14:textId="08357B82" w:rsidR="00BB63B3" w:rsidRPr="00E0548A" w:rsidRDefault="00BB63B3" w:rsidP="00724945">
            <w:pPr>
              <w:adjustRightInd w:val="0"/>
              <w:snapToGrid w:val="0"/>
              <w:spacing w:line="240" w:lineRule="exact"/>
              <w:jc w:val="left"/>
              <w:rPr>
                <w:rFonts w:ascii="ＭＳ ゴシック" w:eastAsia="ＭＳ ゴシック" w:hAnsi="ＭＳ ゴシック"/>
                <w:w w:val="50"/>
                <w:sz w:val="18"/>
                <w:szCs w:val="18"/>
              </w:rPr>
            </w:pPr>
            <w:r w:rsidRPr="00E0548A">
              <w:rPr>
                <w:rFonts w:ascii="ＭＳ ゴシック" w:eastAsia="ＭＳ ゴシック" w:hAnsi="ＭＳ ゴシック" w:hint="eastAsia"/>
                <w:w w:val="50"/>
                <w:sz w:val="18"/>
                <w:szCs w:val="18"/>
              </w:rPr>
              <w:t>○リエゾン間の情報共有会議の開催</w:t>
            </w:r>
          </w:p>
        </w:tc>
        <w:tc>
          <w:tcPr>
            <w:tcW w:w="3580" w:type="dxa"/>
            <w:tcBorders>
              <w:top w:val="single" w:sz="4" w:space="0" w:color="auto"/>
              <w:left w:val="single" w:sz="4" w:space="0" w:color="auto"/>
              <w:bottom w:val="single" w:sz="4" w:space="0" w:color="auto"/>
              <w:right w:val="single" w:sz="4" w:space="0" w:color="auto"/>
            </w:tcBorders>
            <w:vAlign w:val="center"/>
          </w:tcPr>
          <w:p w14:paraId="58F8D94D" w14:textId="77777777" w:rsidR="00724945" w:rsidRPr="00E0548A" w:rsidRDefault="00724945" w:rsidP="00724945">
            <w:pPr>
              <w:adjustRightInd w:val="0"/>
              <w:snapToGrid w:val="0"/>
              <w:spacing w:line="240" w:lineRule="exact"/>
              <w:jc w:val="left"/>
              <w:rPr>
                <w:rFonts w:ascii="ＭＳ ゴシック" w:eastAsia="ＭＳ ゴシック" w:hAnsi="ＭＳ ゴシック"/>
                <w:w w:val="50"/>
                <w:sz w:val="18"/>
                <w:szCs w:val="18"/>
              </w:rPr>
            </w:pPr>
            <w:r w:rsidRPr="00E0548A">
              <w:rPr>
                <w:rFonts w:ascii="ＭＳ ゴシック" w:eastAsia="ＭＳ ゴシック" w:hAnsi="ＭＳ ゴシック" w:hint="eastAsia"/>
                <w:w w:val="50"/>
                <w:sz w:val="18"/>
                <w:szCs w:val="18"/>
              </w:rPr>
              <w:t>危機管理監</w:t>
            </w:r>
          </w:p>
          <w:p w14:paraId="5DB532D1" w14:textId="77777777" w:rsidR="00724945" w:rsidRPr="00E0548A" w:rsidRDefault="00724945" w:rsidP="00724945">
            <w:pPr>
              <w:adjustRightInd w:val="0"/>
              <w:snapToGrid w:val="0"/>
              <w:spacing w:line="240" w:lineRule="exact"/>
              <w:ind w:firstLineChars="100" w:firstLine="91"/>
              <w:jc w:val="left"/>
              <w:rPr>
                <w:rFonts w:ascii="ＭＳ ゴシック" w:eastAsia="ＭＳ ゴシック" w:hAnsi="ＭＳ ゴシック"/>
                <w:w w:val="50"/>
                <w:sz w:val="18"/>
                <w:szCs w:val="18"/>
              </w:rPr>
            </w:pPr>
            <w:r w:rsidRPr="00E0548A">
              <w:rPr>
                <w:rFonts w:ascii="ＭＳ ゴシック" w:eastAsia="ＭＳ ゴシック" w:hAnsi="ＭＳ ゴシック" w:hint="eastAsia"/>
                <w:w w:val="50"/>
                <w:sz w:val="18"/>
                <w:szCs w:val="18"/>
              </w:rPr>
              <w:t>危機管理室長</w:t>
            </w:r>
          </w:p>
          <w:p w14:paraId="0B6B5F95" w14:textId="77777777" w:rsidR="00724945" w:rsidRPr="00E0548A" w:rsidRDefault="00724945" w:rsidP="00724945">
            <w:pPr>
              <w:adjustRightInd w:val="0"/>
              <w:snapToGrid w:val="0"/>
              <w:spacing w:line="240" w:lineRule="exact"/>
              <w:ind w:firstLineChars="200" w:firstLine="182"/>
              <w:jc w:val="left"/>
              <w:rPr>
                <w:rFonts w:ascii="ＭＳ ゴシック" w:eastAsia="ＭＳ ゴシック" w:hAnsi="ＭＳ ゴシック"/>
                <w:w w:val="50"/>
                <w:sz w:val="18"/>
                <w:szCs w:val="18"/>
              </w:rPr>
            </w:pPr>
            <w:r w:rsidRPr="00E0548A">
              <w:rPr>
                <w:rFonts w:ascii="ＭＳ ゴシック" w:eastAsia="ＭＳ ゴシック" w:hAnsi="ＭＳ ゴシック" w:hint="eastAsia"/>
                <w:w w:val="50"/>
                <w:sz w:val="18"/>
                <w:szCs w:val="18"/>
              </w:rPr>
              <w:t>危機管理センター長</w:t>
            </w:r>
          </w:p>
          <w:p w14:paraId="313EA0EF" w14:textId="77777777" w:rsidR="00724945" w:rsidRPr="00E0548A" w:rsidRDefault="00724945" w:rsidP="00724945">
            <w:pPr>
              <w:adjustRightInd w:val="0"/>
              <w:snapToGrid w:val="0"/>
              <w:spacing w:line="240" w:lineRule="exact"/>
              <w:ind w:firstLineChars="200" w:firstLine="182"/>
              <w:jc w:val="left"/>
              <w:rPr>
                <w:rFonts w:ascii="ＭＳ ゴシック" w:eastAsia="ＭＳ ゴシック" w:hAnsi="ＭＳ ゴシック"/>
                <w:w w:val="50"/>
                <w:sz w:val="18"/>
                <w:szCs w:val="18"/>
              </w:rPr>
            </w:pPr>
            <w:r w:rsidRPr="00E0548A">
              <w:rPr>
                <w:rFonts w:ascii="ＭＳ ゴシック" w:eastAsia="ＭＳ ゴシック" w:hAnsi="ＭＳ ゴシック" w:hint="eastAsia"/>
                <w:w w:val="50"/>
                <w:sz w:val="18"/>
                <w:szCs w:val="18"/>
              </w:rPr>
              <w:t>消防保安課参事</w:t>
            </w:r>
          </w:p>
        </w:tc>
      </w:tr>
      <w:tr w:rsidR="001D6D10" w:rsidRPr="00E0548A" w14:paraId="3975BC5D" w14:textId="77777777" w:rsidTr="006E52DA">
        <w:trPr>
          <w:trHeight w:val="403"/>
        </w:trPr>
        <w:tc>
          <w:tcPr>
            <w:tcW w:w="576" w:type="dxa"/>
            <w:vMerge/>
            <w:tcBorders>
              <w:top w:val="single" w:sz="4" w:space="0" w:color="auto"/>
              <w:left w:val="single" w:sz="4" w:space="0" w:color="auto"/>
              <w:right w:val="single" w:sz="4" w:space="0" w:color="auto"/>
            </w:tcBorders>
            <w:vAlign w:val="center"/>
          </w:tcPr>
          <w:p w14:paraId="7AE012FD" w14:textId="77777777" w:rsidR="00724945" w:rsidRPr="00E0548A" w:rsidRDefault="00724945" w:rsidP="00C31F16">
            <w:pPr>
              <w:adjustRightInd w:val="0"/>
              <w:snapToGrid w:val="0"/>
              <w:spacing w:line="240" w:lineRule="exact"/>
              <w:jc w:val="center"/>
              <w:rPr>
                <w:rFonts w:ascii="ＭＳ ゴシック" w:eastAsia="ＭＳ ゴシック" w:hAnsi="ＭＳ ゴシック"/>
                <w:w w:val="50"/>
                <w:sz w:val="18"/>
                <w:szCs w:val="18"/>
              </w:rPr>
            </w:pPr>
          </w:p>
        </w:tc>
        <w:tc>
          <w:tcPr>
            <w:tcW w:w="5200" w:type="dxa"/>
            <w:vMerge/>
            <w:tcBorders>
              <w:left w:val="single" w:sz="4" w:space="0" w:color="auto"/>
              <w:right w:val="single" w:sz="4" w:space="0" w:color="auto"/>
            </w:tcBorders>
            <w:vAlign w:val="center"/>
          </w:tcPr>
          <w:p w14:paraId="0145650E" w14:textId="77777777" w:rsidR="00724945" w:rsidRPr="00E0548A" w:rsidRDefault="00724945" w:rsidP="00C31F16">
            <w:pPr>
              <w:adjustRightInd w:val="0"/>
              <w:snapToGrid w:val="0"/>
              <w:spacing w:line="240" w:lineRule="exact"/>
              <w:jc w:val="left"/>
              <w:rPr>
                <w:rFonts w:ascii="ＭＳ ゴシック" w:eastAsia="ＭＳ ゴシック" w:hAnsi="ＭＳ ゴシック"/>
                <w:w w:val="50"/>
                <w:sz w:val="18"/>
                <w:szCs w:val="18"/>
              </w:rPr>
            </w:pPr>
          </w:p>
        </w:tc>
        <w:tc>
          <w:tcPr>
            <w:tcW w:w="3580" w:type="dxa"/>
            <w:tcBorders>
              <w:top w:val="single" w:sz="4" w:space="0" w:color="auto"/>
              <w:left w:val="single" w:sz="4" w:space="0" w:color="auto"/>
              <w:right w:val="single" w:sz="4" w:space="0" w:color="auto"/>
            </w:tcBorders>
            <w:vAlign w:val="center"/>
          </w:tcPr>
          <w:p w14:paraId="5E42885A" w14:textId="77777777" w:rsidR="00724945" w:rsidRPr="00E0548A" w:rsidRDefault="00724945" w:rsidP="00C31F16">
            <w:pPr>
              <w:adjustRightInd w:val="0"/>
              <w:snapToGrid w:val="0"/>
              <w:spacing w:line="240" w:lineRule="exact"/>
              <w:jc w:val="left"/>
              <w:rPr>
                <w:rFonts w:ascii="ＭＳ ゴシック" w:eastAsia="ＭＳ ゴシック" w:hAnsi="ＭＳ ゴシック"/>
                <w:w w:val="50"/>
                <w:sz w:val="18"/>
                <w:szCs w:val="18"/>
              </w:rPr>
            </w:pPr>
            <w:r w:rsidRPr="00E0548A">
              <w:rPr>
                <w:rFonts w:ascii="ＭＳ ゴシック" w:eastAsia="ＭＳ ゴシック" w:hAnsi="ＭＳ ゴシック" w:hint="eastAsia"/>
                <w:w w:val="50"/>
                <w:sz w:val="18"/>
                <w:szCs w:val="18"/>
              </w:rPr>
              <w:t>危機管理室(1名)</w:t>
            </w:r>
          </w:p>
        </w:tc>
      </w:tr>
      <w:tr w:rsidR="001D6D10" w:rsidRPr="00E0548A" w14:paraId="2A65A3F0" w14:textId="77777777" w:rsidTr="006E52DA">
        <w:trPr>
          <w:trHeight w:val="420"/>
        </w:trPr>
        <w:tc>
          <w:tcPr>
            <w:tcW w:w="576" w:type="dxa"/>
            <w:vMerge w:val="restart"/>
            <w:tcBorders>
              <w:top w:val="single" w:sz="4" w:space="0" w:color="auto"/>
              <w:left w:val="single" w:sz="4" w:space="0" w:color="auto"/>
              <w:bottom w:val="single" w:sz="4" w:space="0" w:color="auto"/>
              <w:right w:val="single" w:sz="4" w:space="0" w:color="auto"/>
            </w:tcBorders>
            <w:textDirection w:val="tbRlV"/>
            <w:vAlign w:val="center"/>
            <w:hideMark/>
          </w:tcPr>
          <w:p w14:paraId="74C80EA7" w14:textId="77777777" w:rsidR="00495626" w:rsidRPr="00E0548A" w:rsidRDefault="00495626" w:rsidP="00B35001">
            <w:pPr>
              <w:widowControl/>
              <w:adjustRightInd w:val="0"/>
              <w:snapToGrid w:val="0"/>
              <w:spacing w:line="240" w:lineRule="exact"/>
              <w:ind w:left="113" w:right="113"/>
              <w:jc w:val="center"/>
              <w:rPr>
                <w:rFonts w:ascii="ＭＳ ゴシック" w:eastAsia="ＭＳ ゴシック" w:hAnsi="ＭＳ ゴシック"/>
                <w:w w:val="50"/>
                <w:sz w:val="18"/>
                <w:szCs w:val="18"/>
              </w:rPr>
            </w:pPr>
            <w:r w:rsidRPr="00E0548A">
              <w:rPr>
                <w:rFonts w:ascii="ＭＳ ゴシック" w:eastAsia="ＭＳ ゴシック" w:hAnsi="ＭＳ ゴシック" w:hint="eastAsia"/>
                <w:kern w:val="0"/>
                <w:sz w:val="18"/>
                <w:szCs w:val="18"/>
              </w:rPr>
              <w:t>総務・広報班</w:t>
            </w:r>
          </w:p>
        </w:tc>
        <w:tc>
          <w:tcPr>
            <w:tcW w:w="5200" w:type="dxa"/>
            <w:vMerge w:val="restart"/>
            <w:tcBorders>
              <w:top w:val="single" w:sz="4" w:space="0" w:color="auto"/>
              <w:left w:val="single" w:sz="4" w:space="0" w:color="auto"/>
              <w:right w:val="single" w:sz="4" w:space="0" w:color="auto"/>
            </w:tcBorders>
            <w:vAlign w:val="center"/>
          </w:tcPr>
          <w:p w14:paraId="39E718D3" w14:textId="77777777" w:rsidR="00495626" w:rsidRPr="00E0548A" w:rsidRDefault="00495626" w:rsidP="00C31F16">
            <w:pPr>
              <w:adjustRightInd w:val="0"/>
              <w:snapToGrid w:val="0"/>
              <w:spacing w:line="240" w:lineRule="exact"/>
              <w:jc w:val="left"/>
              <w:rPr>
                <w:rFonts w:ascii="ＭＳ ゴシック" w:eastAsia="ＭＳ ゴシック" w:hAnsi="ＭＳ ゴシック"/>
                <w:w w:val="50"/>
                <w:sz w:val="18"/>
                <w:szCs w:val="18"/>
              </w:rPr>
            </w:pPr>
            <w:r w:rsidRPr="00E0548A">
              <w:rPr>
                <w:rFonts w:ascii="ＭＳ ゴシック" w:eastAsia="ＭＳ ゴシック" w:hAnsi="ＭＳ ゴシック" w:hint="eastAsia"/>
                <w:w w:val="50"/>
                <w:sz w:val="18"/>
                <w:szCs w:val="18"/>
              </w:rPr>
              <w:t>○危機管理室職員及び緊急防災推進員の安否確認</w:t>
            </w:r>
          </w:p>
          <w:p w14:paraId="7035AA43" w14:textId="1E8AAFFD" w:rsidR="00451F91" w:rsidRPr="00E0548A" w:rsidRDefault="00495626" w:rsidP="00C31F16">
            <w:pPr>
              <w:adjustRightInd w:val="0"/>
              <w:snapToGrid w:val="0"/>
              <w:spacing w:line="240" w:lineRule="exact"/>
              <w:ind w:left="91" w:hangingChars="100" w:hanging="91"/>
              <w:jc w:val="left"/>
              <w:rPr>
                <w:rFonts w:ascii="ＭＳ ゴシック" w:eastAsia="ＭＳ ゴシック" w:hAnsi="ＭＳ ゴシック"/>
                <w:w w:val="50"/>
                <w:sz w:val="18"/>
                <w:szCs w:val="18"/>
              </w:rPr>
            </w:pPr>
            <w:r w:rsidRPr="00E0548A">
              <w:rPr>
                <w:rFonts w:ascii="ＭＳ ゴシック" w:eastAsia="ＭＳ ゴシック" w:hAnsi="ＭＳ ゴシック" w:hint="eastAsia"/>
                <w:w w:val="50"/>
                <w:sz w:val="18"/>
                <w:szCs w:val="18"/>
              </w:rPr>
              <w:t>○庁内各部局との連絡調整</w:t>
            </w:r>
            <w:r w:rsidR="00451F91" w:rsidRPr="00E0548A">
              <w:rPr>
                <w:rFonts w:ascii="ＭＳ ゴシック" w:eastAsia="ＭＳ ゴシック" w:hAnsi="ＭＳ ゴシック" w:hint="eastAsia"/>
                <w:w w:val="50"/>
                <w:sz w:val="18"/>
                <w:szCs w:val="18"/>
              </w:rPr>
              <w:t>（副首都推進局、万博推進局含む）</w:t>
            </w:r>
          </w:p>
          <w:p w14:paraId="71B02FBD" w14:textId="36B4E3F2" w:rsidR="00495626" w:rsidRPr="00E0548A" w:rsidRDefault="00451F91" w:rsidP="00C31F16">
            <w:pPr>
              <w:adjustRightInd w:val="0"/>
              <w:snapToGrid w:val="0"/>
              <w:spacing w:line="240" w:lineRule="exact"/>
              <w:ind w:left="91" w:hangingChars="100" w:hanging="91"/>
              <w:jc w:val="left"/>
              <w:rPr>
                <w:rFonts w:ascii="ＭＳ ゴシック" w:eastAsia="ＭＳ ゴシック" w:hAnsi="ＭＳ ゴシック"/>
                <w:w w:val="50"/>
                <w:sz w:val="18"/>
                <w:szCs w:val="18"/>
              </w:rPr>
            </w:pPr>
            <w:r w:rsidRPr="00E0548A">
              <w:rPr>
                <w:rFonts w:ascii="ＭＳ ゴシック" w:eastAsia="ＭＳ ゴシック" w:hAnsi="ＭＳ ゴシック" w:hint="eastAsia"/>
                <w:w w:val="50"/>
                <w:sz w:val="18"/>
                <w:szCs w:val="18"/>
              </w:rPr>
              <w:t>※</w:t>
            </w:r>
            <w:r w:rsidR="00495626" w:rsidRPr="00E0548A">
              <w:rPr>
                <w:rFonts w:ascii="ＭＳ ゴシック" w:eastAsia="ＭＳ ゴシック" w:hAnsi="ＭＳ ゴシック" w:hint="eastAsia"/>
                <w:w w:val="50"/>
                <w:sz w:val="18"/>
                <w:szCs w:val="18"/>
              </w:rPr>
              <w:t>本部会議開催通知、BCP関連業務など</w:t>
            </w:r>
          </w:p>
          <w:p w14:paraId="0F2464BE" w14:textId="77777777" w:rsidR="00495626" w:rsidRPr="00E0548A" w:rsidRDefault="00495626" w:rsidP="00C31F16">
            <w:pPr>
              <w:adjustRightInd w:val="0"/>
              <w:snapToGrid w:val="0"/>
              <w:spacing w:line="240" w:lineRule="exact"/>
              <w:jc w:val="left"/>
              <w:rPr>
                <w:rFonts w:ascii="ＭＳ ゴシック" w:eastAsia="ＭＳ ゴシック" w:hAnsi="ＭＳ ゴシック"/>
                <w:w w:val="50"/>
                <w:sz w:val="18"/>
                <w:szCs w:val="18"/>
              </w:rPr>
            </w:pPr>
            <w:r w:rsidRPr="00E0548A">
              <w:rPr>
                <w:rFonts w:ascii="ＭＳ ゴシック" w:eastAsia="ＭＳ ゴシック" w:hAnsi="ＭＳ ゴシック" w:hint="eastAsia"/>
                <w:w w:val="50"/>
                <w:sz w:val="18"/>
                <w:szCs w:val="18"/>
              </w:rPr>
              <w:t>○災対本部会議の準備・運営・会議録作成</w:t>
            </w:r>
          </w:p>
          <w:p w14:paraId="023982E7" w14:textId="77777777" w:rsidR="00495626" w:rsidRPr="00E0548A" w:rsidRDefault="00495626" w:rsidP="00C31F16">
            <w:pPr>
              <w:adjustRightInd w:val="0"/>
              <w:snapToGrid w:val="0"/>
              <w:spacing w:line="240" w:lineRule="exact"/>
              <w:jc w:val="left"/>
              <w:rPr>
                <w:rFonts w:ascii="ＭＳ ゴシック" w:eastAsia="ＭＳ ゴシック" w:hAnsi="ＭＳ ゴシック"/>
                <w:w w:val="50"/>
                <w:sz w:val="18"/>
                <w:szCs w:val="18"/>
              </w:rPr>
            </w:pPr>
            <w:r w:rsidRPr="00E0548A">
              <w:rPr>
                <w:rFonts w:ascii="ＭＳ ゴシック" w:eastAsia="ＭＳ ゴシック" w:hAnsi="ＭＳ ゴシック" w:hint="eastAsia"/>
                <w:w w:val="50"/>
                <w:sz w:val="18"/>
                <w:szCs w:val="18"/>
              </w:rPr>
              <w:t>○事務局班長会議の決定事項の記録</w:t>
            </w:r>
          </w:p>
          <w:p w14:paraId="735F7C08" w14:textId="77777777" w:rsidR="00495626" w:rsidRPr="00E0548A" w:rsidRDefault="00495626" w:rsidP="00C31F16">
            <w:pPr>
              <w:adjustRightInd w:val="0"/>
              <w:snapToGrid w:val="0"/>
              <w:spacing w:line="240" w:lineRule="exact"/>
              <w:jc w:val="left"/>
              <w:rPr>
                <w:rFonts w:ascii="ＭＳ ゴシック" w:eastAsia="ＭＳ ゴシック" w:hAnsi="ＭＳ ゴシック"/>
                <w:w w:val="50"/>
                <w:sz w:val="18"/>
                <w:szCs w:val="18"/>
              </w:rPr>
            </w:pPr>
            <w:r w:rsidRPr="00E0548A">
              <w:rPr>
                <w:rFonts w:ascii="ＭＳ ゴシック" w:eastAsia="ＭＳ ゴシック" w:hAnsi="ＭＳ ゴシック" w:hint="eastAsia"/>
                <w:w w:val="50"/>
                <w:sz w:val="18"/>
                <w:szCs w:val="18"/>
              </w:rPr>
              <w:t>○視察(政府・議員等)対応</w:t>
            </w:r>
          </w:p>
          <w:p w14:paraId="31262DE1" w14:textId="77777777" w:rsidR="00495626" w:rsidRPr="00E0548A" w:rsidRDefault="00495626" w:rsidP="00C31F16">
            <w:pPr>
              <w:adjustRightInd w:val="0"/>
              <w:snapToGrid w:val="0"/>
              <w:spacing w:line="240" w:lineRule="exact"/>
              <w:jc w:val="left"/>
              <w:rPr>
                <w:rFonts w:ascii="ＭＳ ゴシック" w:eastAsia="ＭＳ ゴシック" w:hAnsi="ＭＳ ゴシック"/>
                <w:w w:val="50"/>
                <w:sz w:val="18"/>
                <w:szCs w:val="18"/>
              </w:rPr>
            </w:pPr>
            <w:r w:rsidRPr="00E0548A">
              <w:rPr>
                <w:rFonts w:ascii="ＭＳ ゴシック" w:eastAsia="ＭＳ ゴシック" w:hAnsi="ＭＳ ゴシック" w:hint="eastAsia"/>
                <w:w w:val="50"/>
                <w:sz w:val="18"/>
                <w:szCs w:val="18"/>
              </w:rPr>
              <w:t>○事務局、関係機関要員の執務環境対応</w:t>
            </w:r>
          </w:p>
          <w:p w14:paraId="20BADB98" w14:textId="77777777" w:rsidR="00495626" w:rsidRPr="00E0548A" w:rsidRDefault="00495626" w:rsidP="00C31F16">
            <w:pPr>
              <w:adjustRightInd w:val="0"/>
              <w:snapToGrid w:val="0"/>
              <w:spacing w:line="240" w:lineRule="exact"/>
              <w:jc w:val="left"/>
              <w:rPr>
                <w:rFonts w:ascii="ＭＳ ゴシック" w:eastAsia="ＭＳ ゴシック" w:hAnsi="ＭＳ ゴシック"/>
                <w:w w:val="50"/>
                <w:sz w:val="18"/>
                <w:szCs w:val="18"/>
              </w:rPr>
            </w:pPr>
            <w:r w:rsidRPr="00E0548A">
              <w:rPr>
                <w:rFonts w:ascii="ＭＳ ゴシック" w:eastAsia="ＭＳ ゴシック" w:hAnsi="ＭＳ ゴシック" w:hint="eastAsia"/>
                <w:w w:val="50"/>
                <w:sz w:val="18"/>
                <w:szCs w:val="18"/>
              </w:rPr>
              <w:t>○文書管理</w:t>
            </w:r>
          </w:p>
          <w:p w14:paraId="3B871B4E" w14:textId="77777777" w:rsidR="00495626" w:rsidRPr="00E0548A" w:rsidRDefault="00495626" w:rsidP="00C31F16">
            <w:pPr>
              <w:adjustRightInd w:val="0"/>
              <w:snapToGrid w:val="0"/>
              <w:spacing w:line="240" w:lineRule="exact"/>
              <w:jc w:val="left"/>
              <w:rPr>
                <w:rFonts w:ascii="ＭＳ ゴシック" w:eastAsia="ＭＳ ゴシック" w:hAnsi="ＭＳ ゴシック"/>
                <w:w w:val="50"/>
                <w:sz w:val="18"/>
                <w:szCs w:val="18"/>
              </w:rPr>
            </w:pPr>
            <w:r w:rsidRPr="00E0548A">
              <w:rPr>
                <w:rFonts w:ascii="ＭＳ ゴシック" w:eastAsia="ＭＳ ゴシック" w:hAnsi="ＭＳ ゴシック" w:hint="eastAsia"/>
                <w:w w:val="50"/>
                <w:sz w:val="18"/>
                <w:szCs w:val="18"/>
              </w:rPr>
              <w:t>○消防学校との連絡調整</w:t>
            </w:r>
          </w:p>
          <w:p w14:paraId="492F44F2" w14:textId="77777777" w:rsidR="00495626" w:rsidRPr="00E0548A" w:rsidRDefault="00495626" w:rsidP="00C31F16">
            <w:pPr>
              <w:adjustRightInd w:val="0"/>
              <w:snapToGrid w:val="0"/>
              <w:spacing w:line="240" w:lineRule="exact"/>
              <w:ind w:left="91" w:hangingChars="100" w:hanging="91"/>
              <w:jc w:val="left"/>
              <w:rPr>
                <w:rFonts w:ascii="ＭＳ ゴシック" w:eastAsia="ＭＳ ゴシック" w:hAnsi="ＭＳ ゴシック"/>
                <w:w w:val="50"/>
                <w:sz w:val="18"/>
                <w:szCs w:val="18"/>
              </w:rPr>
            </w:pPr>
            <w:r w:rsidRPr="00E0548A">
              <w:rPr>
                <w:rFonts w:ascii="ＭＳ ゴシック" w:eastAsia="ＭＳ ゴシック" w:hAnsi="ＭＳ ゴシック" w:hint="eastAsia"/>
                <w:w w:val="50"/>
                <w:sz w:val="18"/>
                <w:szCs w:val="18"/>
              </w:rPr>
              <w:t>○府民向け広報の実施(府HP※、防災ネットの更新、防災情報メール、その他SNS※の発信など)</w:t>
            </w:r>
          </w:p>
          <w:p w14:paraId="3574C7F0" w14:textId="77777777" w:rsidR="00495626" w:rsidRPr="00E0548A" w:rsidRDefault="00495626" w:rsidP="00C31F16">
            <w:pPr>
              <w:adjustRightInd w:val="0"/>
              <w:snapToGrid w:val="0"/>
              <w:spacing w:line="240" w:lineRule="exact"/>
              <w:ind w:left="91" w:hangingChars="100" w:hanging="91"/>
              <w:jc w:val="left"/>
              <w:rPr>
                <w:rFonts w:ascii="ＭＳ ゴシック" w:eastAsia="ＭＳ ゴシック" w:hAnsi="ＭＳ ゴシック"/>
                <w:w w:val="50"/>
                <w:sz w:val="18"/>
                <w:szCs w:val="18"/>
              </w:rPr>
            </w:pPr>
            <w:r w:rsidRPr="00E0548A">
              <w:rPr>
                <w:rFonts w:ascii="ＭＳ ゴシック" w:eastAsia="ＭＳ ゴシック" w:hAnsi="ＭＳ ゴシック" w:hint="eastAsia"/>
                <w:w w:val="50"/>
                <w:sz w:val="18"/>
                <w:szCs w:val="18"/>
              </w:rPr>
              <w:t>○災害時緊急相談電話窓口に関する調整(場所、設備、対応人員等)</w:t>
            </w:r>
          </w:p>
          <w:p w14:paraId="5C271BBA" w14:textId="77777777" w:rsidR="00495626" w:rsidRPr="00E0548A" w:rsidRDefault="00495626" w:rsidP="00C31F16">
            <w:pPr>
              <w:adjustRightInd w:val="0"/>
              <w:snapToGrid w:val="0"/>
              <w:spacing w:line="240" w:lineRule="exact"/>
              <w:jc w:val="left"/>
              <w:rPr>
                <w:rFonts w:ascii="ＭＳ ゴシック" w:eastAsia="ＭＳ ゴシック" w:hAnsi="ＭＳ ゴシック"/>
                <w:w w:val="50"/>
                <w:sz w:val="18"/>
                <w:szCs w:val="18"/>
              </w:rPr>
            </w:pPr>
            <w:r w:rsidRPr="00E0548A">
              <w:rPr>
                <w:rFonts w:ascii="ＭＳ ゴシック" w:eastAsia="ＭＳ ゴシック" w:hAnsi="ＭＳ ゴシック" w:hint="eastAsia"/>
                <w:w w:val="50"/>
                <w:sz w:val="18"/>
                <w:szCs w:val="18"/>
              </w:rPr>
              <w:t>○総務・広報班活動記録(画像、文書)作成</w:t>
            </w:r>
          </w:p>
          <w:p w14:paraId="635F8ABB" w14:textId="77777777" w:rsidR="00495626" w:rsidRPr="00E0548A" w:rsidRDefault="00144675" w:rsidP="00C31F16">
            <w:pPr>
              <w:adjustRightInd w:val="0"/>
              <w:snapToGrid w:val="0"/>
              <w:spacing w:line="240" w:lineRule="exact"/>
              <w:jc w:val="left"/>
              <w:rPr>
                <w:rFonts w:ascii="ＭＳ ゴシック" w:eastAsia="ＭＳ ゴシック" w:hAnsi="ＭＳ ゴシック"/>
                <w:w w:val="50"/>
                <w:sz w:val="18"/>
                <w:szCs w:val="18"/>
              </w:rPr>
            </w:pPr>
            <w:r w:rsidRPr="00E0548A">
              <w:rPr>
                <w:rFonts w:ascii="ＭＳ ゴシック" w:eastAsia="ＭＳ ゴシック" w:hAnsi="ＭＳ ゴシック" w:hint="eastAsia"/>
                <w:w w:val="50"/>
                <w:sz w:val="18"/>
                <w:szCs w:val="18"/>
              </w:rPr>
              <w:t>※印は広報広聴課</w:t>
            </w:r>
            <w:r w:rsidR="00495626" w:rsidRPr="00E0548A">
              <w:rPr>
                <w:rFonts w:ascii="ＭＳ ゴシック" w:eastAsia="ＭＳ ゴシック" w:hAnsi="ＭＳ ゴシック" w:hint="eastAsia"/>
                <w:w w:val="50"/>
                <w:sz w:val="18"/>
                <w:szCs w:val="18"/>
              </w:rPr>
              <w:t>と連携</w:t>
            </w:r>
          </w:p>
          <w:p w14:paraId="635A11CE" w14:textId="77777777" w:rsidR="00724945" w:rsidRPr="00E0548A" w:rsidRDefault="00724945" w:rsidP="00C31F16">
            <w:pPr>
              <w:adjustRightInd w:val="0"/>
              <w:snapToGrid w:val="0"/>
              <w:spacing w:line="240" w:lineRule="exact"/>
              <w:jc w:val="left"/>
              <w:rPr>
                <w:rFonts w:ascii="ＭＳ ゴシック" w:eastAsia="ＭＳ ゴシック" w:hAnsi="ＭＳ ゴシック"/>
                <w:w w:val="50"/>
                <w:sz w:val="18"/>
                <w:szCs w:val="18"/>
              </w:rPr>
            </w:pPr>
            <w:r w:rsidRPr="00E0548A">
              <w:rPr>
                <w:rFonts w:ascii="ＭＳ ゴシック" w:eastAsia="ＭＳ ゴシック" w:hAnsi="ＭＳ ゴシック" w:hint="eastAsia"/>
                <w:w w:val="50"/>
                <w:sz w:val="18"/>
                <w:szCs w:val="18"/>
              </w:rPr>
              <w:t>〇住民の安否不明者情報の広報</w:t>
            </w:r>
          </w:p>
        </w:tc>
        <w:tc>
          <w:tcPr>
            <w:tcW w:w="3580" w:type="dxa"/>
            <w:tcBorders>
              <w:top w:val="single" w:sz="4" w:space="0" w:color="auto"/>
              <w:left w:val="single" w:sz="4" w:space="0" w:color="auto"/>
              <w:right w:val="single" w:sz="4" w:space="0" w:color="auto"/>
            </w:tcBorders>
            <w:vAlign w:val="center"/>
          </w:tcPr>
          <w:p w14:paraId="1169FEEE" w14:textId="13E01E12" w:rsidR="00495626" w:rsidRPr="00E0548A" w:rsidRDefault="00495626" w:rsidP="000D247D">
            <w:pPr>
              <w:adjustRightInd w:val="0"/>
              <w:snapToGrid w:val="0"/>
              <w:spacing w:line="240" w:lineRule="exact"/>
              <w:jc w:val="left"/>
              <w:rPr>
                <w:rFonts w:ascii="ＭＳ ゴシック" w:eastAsia="ＭＳ ゴシック" w:hAnsi="ＭＳ ゴシック"/>
                <w:w w:val="50"/>
                <w:sz w:val="18"/>
                <w:szCs w:val="18"/>
              </w:rPr>
            </w:pPr>
            <w:r w:rsidRPr="00E0548A">
              <w:rPr>
                <w:rFonts w:ascii="ＭＳ ゴシック" w:eastAsia="ＭＳ ゴシック" w:hAnsi="ＭＳ ゴシック" w:hint="eastAsia"/>
                <w:w w:val="50"/>
                <w:sz w:val="18"/>
                <w:szCs w:val="18"/>
              </w:rPr>
              <w:t>班長：消防保安課長　　副班長：</w:t>
            </w:r>
            <w:r w:rsidR="00F236FB" w:rsidRPr="00E0548A">
              <w:rPr>
                <w:rFonts w:ascii="ＭＳ ゴシック" w:eastAsia="ＭＳ ゴシック" w:hAnsi="ＭＳ ゴシック" w:hint="eastAsia"/>
                <w:w w:val="50"/>
                <w:sz w:val="18"/>
                <w:szCs w:val="18"/>
              </w:rPr>
              <w:t>防災企画課参事</w:t>
            </w:r>
          </w:p>
        </w:tc>
      </w:tr>
      <w:tr w:rsidR="001D6D10" w:rsidRPr="00E0548A" w14:paraId="1844B5A3" w14:textId="77777777" w:rsidTr="006E52DA">
        <w:trPr>
          <w:trHeight w:val="1262"/>
        </w:trPr>
        <w:tc>
          <w:tcPr>
            <w:tcW w:w="576" w:type="dxa"/>
            <w:vMerge/>
            <w:tcBorders>
              <w:top w:val="single" w:sz="4" w:space="0" w:color="auto"/>
              <w:left w:val="single" w:sz="4" w:space="0" w:color="auto"/>
              <w:bottom w:val="single" w:sz="4" w:space="0" w:color="auto"/>
              <w:right w:val="single" w:sz="4" w:space="0" w:color="auto"/>
            </w:tcBorders>
            <w:vAlign w:val="center"/>
            <w:hideMark/>
          </w:tcPr>
          <w:p w14:paraId="184EFFDD" w14:textId="77777777" w:rsidR="00495626" w:rsidRPr="00E0548A" w:rsidRDefault="00495626" w:rsidP="00C31F16">
            <w:pPr>
              <w:widowControl/>
              <w:adjustRightInd w:val="0"/>
              <w:snapToGrid w:val="0"/>
              <w:spacing w:line="240" w:lineRule="exact"/>
              <w:jc w:val="left"/>
              <w:rPr>
                <w:rFonts w:ascii="ＭＳ ゴシック" w:eastAsia="ＭＳ ゴシック" w:hAnsi="ＭＳ ゴシック"/>
                <w:w w:val="50"/>
                <w:sz w:val="18"/>
                <w:szCs w:val="18"/>
              </w:rPr>
            </w:pPr>
          </w:p>
        </w:tc>
        <w:tc>
          <w:tcPr>
            <w:tcW w:w="5200" w:type="dxa"/>
            <w:vMerge/>
            <w:tcBorders>
              <w:left w:val="single" w:sz="4" w:space="0" w:color="auto"/>
              <w:right w:val="single" w:sz="4" w:space="0" w:color="auto"/>
            </w:tcBorders>
            <w:vAlign w:val="center"/>
          </w:tcPr>
          <w:p w14:paraId="29BA7450" w14:textId="77777777" w:rsidR="00495626" w:rsidRPr="00E0548A" w:rsidRDefault="00495626" w:rsidP="00C31F16">
            <w:pPr>
              <w:widowControl/>
              <w:adjustRightInd w:val="0"/>
              <w:snapToGrid w:val="0"/>
              <w:spacing w:line="240" w:lineRule="exact"/>
              <w:jc w:val="left"/>
              <w:rPr>
                <w:rFonts w:ascii="ＭＳ ゴシック" w:eastAsia="ＭＳ ゴシック" w:hAnsi="ＭＳ ゴシック"/>
                <w:w w:val="50"/>
                <w:sz w:val="18"/>
                <w:szCs w:val="18"/>
              </w:rPr>
            </w:pPr>
          </w:p>
        </w:tc>
        <w:tc>
          <w:tcPr>
            <w:tcW w:w="3580" w:type="dxa"/>
            <w:vMerge w:val="restart"/>
            <w:tcBorders>
              <w:top w:val="single" w:sz="4" w:space="0" w:color="auto"/>
              <w:left w:val="single" w:sz="4" w:space="0" w:color="auto"/>
              <w:right w:val="single" w:sz="4" w:space="0" w:color="auto"/>
            </w:tcBorders>
            <w:vAlign w:val="center"/>
          </w:tcPr>
          <w:p w14:paraId="2FF43693" w14:textId="77777777" w:rsidR="00495626" w:rsidRPr="00E0548A" w:rsidRDefault="00495626" w:rsidP="00B35001">
            <w:pPr>
              <w:adjustRightInd w:val="0"/>
              <w:snapToGrid w:val="0"/>
              <w:spacing w:line="240" w:lineRule="exact"/>
              <w:jc w:val="left"/>
              <w:rPr>
                <w:rFonts w:ascii="ＭＳ ゴシック" w:eastAsia="ＭＳ ゴシック" w:hAnsi="ＭＳ ゴシック"/>
                <w:w w:val="50"/>
                <w:sz w:val="18"/>
                <w:szCs w:val="18"/>
              </w:rPr>
            </w:pPr>
            <w:r w:rsidRPr="00E0548A">
              <w:rPr>
                <w:rFonts w:ascii="ＭＳ ゴシック" w:eastAsia="ＭＳ ゴシック" w:hAnsi="ＭＳ ゴシック" w:hint="eastAsia"/>
                <w:w w:val="50"/>
                <w:sz w:val="18"/>
                <w:szCs w:val="18"/>
              </w:rPr>
              <w:t>危機管理室(4名)</w:t>
            </w:r>
          </w:p>
          <w:p w14:paraId="4EA0E0E1" w14:textId="77777777" w:rsidR="00F236FB" w:rsidRPr="00E0548A" w:rsidRDefault="00F236FB" w:rsidP="00B35001">
            <w:pPr>
              <w:adjustRightInd w:val="0"/>
              <w:snapToGrid w:val="0"/>
              <w:spacing w:line="240" w:lineRule="exact"/>
              <w:jc w:val="left"/>
              <w:rPr>
                <w:rFonts w:ascii="ＭＳ ゴシック" w:eastAsia="ＭＳ ゴシック" w:hAnsi="ＭＳ ゴシック"/>
                <w:w w:val="50"/>
                <w:sz w:val="18"/>
                <w:szCs w:val="18"/>
              </w:rPr>
            </w:pPr>
          </w:p>
          <w:p w14:paraId="710CEF49" w14:textId="400C3BCE" w:rsidR="00F236FB" w:rsidRPr="00E0548A" w:rsidRDefault="0095254A" w:rsidP="00A331D5">
            <w:pPr>
              <w:adjustRightInd w:val="0"/>
              <w:snapToGrid w:val="0"/>
              <w:spacing w:line="240" w:lineRule="exact"/>
              <w:jc w:val="left"/>
              <w:rPr>
                <w:rFonts w:ascii="ＭＳ ゴシック" w:eastAsia="ＭＳ ゴシック" w:hAnsi="ＭＳ ゴシック"/>
                <w:w w:val="50"/>
                <w:sz w:val="18"/>
                <w:szCs w:val="18"/>
              </w:rPr>
            </w:pPr>
            <w:r w:rsidRPr="00E0548A">
              <w:rPr>
                <w:rFonts w:ascii="ＭＳ ゴシック" w:eastAsia="ＭＳ ゴシック" w:hAnsi="ＭＳ ゴシック" w:hint="eastAsia"/>
                <w:w w:val="50"/>
                <w:sz w:val="18"/>
                <w:szCs w:val="18"/>
              </w:rPr>
              <w:t>人事課</w:t>
            </w:r>
            <w:r w:rsidR="00F236FB" w:rsidRPr="00E0548A">
              <w:rPr>
                <w:rFonts w:ascii="ＭＳ ゴシック" w:eastAsia="ＭＳ ゴシック" w:hAnsi="ＭＳ ゴシック" w:hint="eastAsia"/>
                <w:w w:val="50"/>
                <w:sz w:val="18"/>
                <w:szCs w:val="18"/>
              </w:rPr>
              <w:t>（</w:t>
            </w:r>
            <w:r w:rsidR="00A331D5" w:rsidRPr="00E0548A">
              <w:rPr>
                <w:rFonts w:ascii="ＭＳ ゴシック" w:eastAsia="ＭＳ ゴシック" w:hAnsi="ＭＳ ゴシック" w:hint="eastAsia"/>
                <w:w w:val="50"/>
                <w:sz w:val="18"/>
                <w:szCs w:val="18"/>
              </w:rPr>
              <w:t>1</w:t>
            </w:r>
            <w:r w:rsidR="00F236FB" w:rsidRPr="00E0548A">
              <w:rPr>
                <w:rFonts w:ascii="ＭＳ ゴシック" w:eastAsia="ＭＳ ゴシック" w:hAnsi="ＭＳ ゴシック" w:hint="eastAsia"/>
                <w:w w:val="50"/>
                <w:sz w:val="18"/>
                <w:szCs w:val="18"/>
              </w:rPr>
              <w:t>名）</w:t>
            </w:r>
          </w:p>
        </w:tc>
      </w:tr>
      <w:tr w:rsidR="001D6D10" w:rsidRPr="00E0548A" w14:paraId="6C05AE90" w14:textId="77777777" w:rsidTr="006E52DA">
        <w:trPr>
          <w:trHeight w:val="1255"/>
        </w:trPr>
        <w:tc>
          <w:tcPr>
            <w:tcW w:w="576" w:type="dxa"/>
            <w:vMerge/>
            <w:tcBorders>
              <w:top w:val="single" w:sz="4" w:space="0" w:color="auto"/>
              <w:left w:val="single" w:sz="4" w:space="0" w:color="auto"/>
              <w:bottom w:val="single" w:sz="4" w:space="0" w:color="auto"/>
              <w:right w:val="single" w:sz="4" w:space="0" w:color="auto"/>
            </w:tcBorders>
            <w:vAlign w:val="center"/>
            <w:hideMark/>
          </w:tcPr>
          <w:p w14:paraId="1EF8FA45" w14:textId="77777777" w:rsidR="00495626" w:rsidRPr="00E0548A" w:rsidRDefault="00495626" w:rsidP="00C31F16">
            <w:pPr>
              <w:widowControl/>
              <w:adjustRightInd w:val="0"/>
              <w:snapToGrid w:val="0"/>
              <w:spacing w:line="240" w:lineRule="exact"/>
              <w:jc w:val="left"/>
              <w:rPr>
                <w:rFonts w:ascii="ＭＳ ゴシック" w:eastAsia="ＭＳ ゴシック" w:hAnsi="ＭＳ ゴシック"/>
                <w:w w:val="50"/>
                <w:sz w:val="18"/>
                <w:szCs w:val="18"/>
              </w:rPr>
            </w:pPr>
          </w:p>
        </w:tc>
        <w:tc>
          <w:tcPr>
            <w:tcW w:w="5200" w:type="dxa"/>
            <w:vMerge/>
            <w:tcBorders>
              <w:left w:val="single" w:sz="4" w:space="0" w:color="auto"/>
              <w:bottom w:val="single" w:sz="4" w:space="0" w:color="auto"/>
              <w:right w:val="single" w:sz="4" w:space="0" w:color="auto"/>
            </w:tcBorders>
            <w:vAlign w:val="center"/>
          </w:tcPr>
          <w:p w14:paraId="50A5EA8E" w14:textId="77777777" w:rsidR="00495626" w:rsidRPr="00E0548A" w:rsidRDefault="00495626" w:rsidP="00C31F16">
            <w:pPr>
              <w:adjustRightInd w:val="0"/>
              <w:snapToGrid w:val="0"/>
              <w:spacing w:line="240" w:lineRule="exact"/>
              <w:jc w:val="left"/>
              <w:rPr>
                <w:rFonts w:ascii="ＭＳ ゴシック" w:eastAsia="ＭＳ ゴシック" w:hAnsi="ＭＳ ゴシック"/>
                <w:w w:val="50"/>
                <w:sz w:val="18"/>
                <w:szCs w:val="18"/>
              </w:rPr>
            </w:pPr>
          </w:p>
        </w:tc>
        <w:tc>
          <w:tcPr>
            <w:tcW w:w="3580" w:type="dxa"/>
            <w:vMerge/>
            <w:tcBorders>
              <w:left w:val="single" w:sz="4" w:space="0" w:color="auto"/>
              <w:bottom w:val="single" w:sz="4" w:space="0" w:color="auto"/>
              <w:right w:val="single" w:sz="4" w:space="0" w:color="auto"/>
            </w:tcBorders>
            <w:vAlign w:val="center"/>
          </w:tcPr>
          <w:p w14:paraId="082419FD" w14:textId="77777777" w:rsidR="00495626" w:rsidRPr="00E0548A" w:rsidRDefault="00495626" w:rsidP="00C31F16">
            <w:pPr>
              <w:adjustRightInd w:val="0"/>
              <w:snapToGrid w:val="0"/>
              <w:spacing w:line="240" w:lineRule="exact"/>
              <w:jc w:val="center"/>
              <w:rPr>
                <w:rFonts w:ascii="ＭＳ ゴシック" w:eastAsia="ＭＳ ゴシック" w:hAnsi="ＭＳ ゴシック"/>
                <w:w w:val="50"/>
                <w:sz w:val="18"/>
                <w:szCs w:val="18"/>
              </w:rPr>
            </w:pPr>
          </w:p>
        </w:tc>
      </w:tr>
      <w:tr w:rsidR="001D6D10" w:rsidRPr="00E0548A" w14:paraId="6C3F7367" w14:textId="77777777" w:rsidTr="006E52DA">
        <w:trPr>
          <w:cantSplit/>
          <w:trHeight w:val="447"/>
        </w:trPr>
        <w:tc>
          <w:tcPr>
            <w:tcW w:w="576" w:type="dxa"/>
            <w:vMerge w:val="restart"/>
            <w:tcBorders>
              <w:top w:val="single" w:sz="4" w:space="0" w:color="auto"/>
              <w:left w:val="single" w:sz="4" w:space="0" w:color="auto"/>
              <w:bottom w:val="single" w:sz="4" w:space="0" w:color="auto"/>
              <w:right w:val="single" w:sz="4" w:space="0" w:color="auto"/>
            </w:tcBorders>
            <w:textDirection w:val="tbRlV"/>
            <w:vAlign w:val="center"/>
            <w:hideMark/>
          </w:tcPr>
          <w:p w14:paraId="3106B83C" w14:textId="77777777" w:rsidR="00495626" w:rsidRPr="00E0548A" w:rsidRDefault="00495626" w:rsidP="00B35001">
            <w:pPr>
              <w:widowControl/>
              <w:adjustRightInd w:val="0"/>
              <w:snapToGrid w:val="0"/>
              <w:spacing w:line="240" w:lineRule="exact"/>
              <w:ind w:left="113" w:right="113"/>
              <w:jc w:val="center"/>
              <w:rPr>
                <w:rFonts w:ascii="ＭＳ ゴシック" w:eastAsia="ＭＳ ゴシック" w:hAnsi="ＭＳ ゴシック"/>
                <w:w w:val="50"/>
                <w:sz w:val="18"/>
                <w:szCs w:val="18"/>
              </w:rPr>
            </w:pPr>
            <w:r w:rsidRPr="00E0548A">
              <w:rPr>
                <w:rFonts w:ascii="ＭＳ ゴシック" w:eastAsia="ＭＳ ゴシック" w:hAnsi="ＭＳ ゴシック" w:hint="eastAsia"/>
                <w:kern w:val="0"/>
                <w:sz w:val="18"/>
                <w:szCs w:val="18"/>
              </w:rPr>
              <w:t>報道班</w:t>
            </w:r>
          </w:p>
        </w:tc>
        <w:tc>
          <w:tcPr>
            <w:tcW w:w="5200" w:type="dxa"/>
            <w:vMerge w:val="restart"/>
            <w:tcBorders>
              <w:top w:val="single" w:sz="4" w:space="0" w:color="auto"/>
              <w:left w:val="single" w:sz="4" w:space="0" w:color="auto"/>
              <w:right w:val="single" w:sz="4" w:space="0" w:color="auto"/>
            </w:tcBorders>
            <w:vAlign w:val="center"/>
          </w:tcPr>
          <w:p w14:paraId="69D69B41" w14:textId="77777777" w:rsidR="00495626" w:rsidRPr="00E0548A" w:rsidRDefault="00495626" w:rsidP="00495626">
            <w:pPr>
              <w:adjustRightInd w:val="0"/>
              <w:snapToGrid w:val="0"/>
              <w:spacing w:line="240" w:lineRule="exact"/>
              <w:jc w:val="left"/>
              <w:rPr>
                <w:rFonts w:ascii="ＭＳ ゴシック" w:eastAsia="ＭＳ ゴシック" w:hAnsi="ＭＳ ゴシック"/>
                <w:w w:val="50"/>
                <w:sz w:val="18"/>
                <w:szCs w:val="18"/>
              </w:rPr>
            </w:pPr>
            <w:r w:rsidRPr="00E0548A">
              <w:rPr>
                <w:rFonts w:ascii="ＭＳ ゴシック" w:eastAsia="ＭＳ ゴシック" w:hAnsi="ＭＳ ゴシック" w:hint="eastAsia"/>
                <w:w w:val="50"/>
                <w:sz w:val="18"/>
                <w:szCs w:val="18"/>
              </w:rPr>
              <w:t>○報道機関対応</w:t>
            </w:r>
          </w:p>
          <w:p w14:paraId="690EF510" w14:textId="77777777" w:rsidR="00495626" w:rsidRPr="00E0548A" w:rsidRDefault="00495626" w:rsidP="00495626">
            <w:pPr>
              <w:adjustRightInd w:val="0"/>
              <w:snapToGrid w:val="0"/>
              <w:spacing w:line="240" w:lineRule="exact"/>
              <w:jc w:val="left"/>
              <w:rPr>
                <w:rFonts w:ascii="ＭＳ ゴシック" w:eastAsia="ＭＳ ゴシック" w:hAnsi="ＭＳ ゴシック"/>
                <w:w w:val="50"/>
                <w:sz w:val="18"/>
                <w:szCs w:val="18"/>
              </w:rPr>
            </w:pPr>
            <w:r w:rsidRPr="00E0548A">
              <w:rPr>
                <w:rFonts w:ascii="ＭＳ ゴシック" w:eastAsia="ＭＳ ゴシック" w:hAnsi="ＭＳ ゴシック" w:hint="eastAsia"/>
                <w:w w:val="50"/>
                <w:sz w:val="18"/>
                <w:szCs w:val="18"/>
              </w:rPr>
              <w:t>○プレスセンター運営</w:t>
            </w:r>
          </w:p>
          <w:p w14:paraId="7DDC4897" w14:textId="77777777" w:rsidR="00495626" w:rsidRPr="00E0548A" w:rsidRDefault="00495626" w:rsidP="00495626">
            <w:pPr>
              <w:adjustRightInd w:val="0"/>
              <w:snapToGrid w:val="0"/>
              <w:spacing w:line="240" w:lineRule="exact"/>
              <w:jc w:val="left"/>
              <w:rPr>
                <w:rFonts w:ascii="ＭＳ ゴシック" w:eastAsia="ＭＳ ゴシック" w:hAnsi="ＭＳ ゴシック"/>
                <w:w w:val="50"/>
                <w:sz w:val="18"/>
                <w:szCs w:val="18"/>
              </w:rPr>
            </w:pPr>
            <w:r w:rsidRPr="00E0548A">
              <w:rPr>
                <w:rFonts w:ascii="ＭＳ ゴシック" w:eastAsia="ＭＳ ゴシック" w:hAnsi="ＭＳ ゴシック" w:hint="eastAsia"/>
                <w:w w:val="50"/>
                <w:sz w:val="18"/>
                <w:szCs w:val="18"/>
              </w:rPr>
              <w:t>○報道班活動記録(画像、文書)作成</w:t>
            </w:r>
          </w:p>
        </w:tc>
        <w:tc>
          <w:tcPr>
            <w:tcW w:w="3580" w:type="dxa"/>
            <w:tcBorders>
              <w:top w:val="single" w:sz="4" w:space="0" w:color="auto"/>
              <w:left w:val="single" w:sz="4" w:space="0" w:color="auto"/>
              <w:right w:val="single" w:sz="4" w:space="0" w:color="auto"/>
            </w:tcBorders>
            <w:vAlign w:val="center"/>
          </w:tcPr>
          <w:p w14:paraId="06D9CAA3" w14:textId="77777777" w:rsidR="00495626" w:rsidRPr="00E0548A" w:rsidRDefault="00495626" w:rsidP="00495626">
            <w:pPr>
              <w:adjustRightInd w:val="0"/>
              <w:snapToGrid w:val="0"/>
              <w:spacing w:line="240" w:lineRule="exact"/>
              <w:jc w:val="left"/>
              <w:rPr>
                <w:rFonts w:ascii="ＭＳ ゴシック" w:eastAsia="ＭＳ ゴシック" w:hAnsi="ＭＳ ゴシック"/>
                <w:w w:val="50"/>
                <w:sz w:val="18"/>
                <w:szCs w:val="18"/>
              </w:rPr>
            </w:pPr>
            <w:r w:rsidRPr="00E0548A">
              <w:rPr>
                <w:rFonts w:ascii="ＭＳ ゴシック" w:eastAsia="ＭＳ ゴシック" w:hAnsi="ＭＳ ゴシック" w:hint="eastAsia"/>
                <w:w w:val="50"/>
                <w:sz w:val="18"/>
                <w:szCs w:val="18"/>
              </w:rPr>
              <w:t>班長：防災企画課参事　　副班長：企画室政策課参事（報道G長）</w:t>
            </w:r>
          </w:p>
        </w:tc>
      </w:tr>
      <w:tr w:rsidR="001D6D10" w:rsidRPr="00E0548A" w14:paraId="528B3E6F" w14:textId="77777777" w:rsidTr="006E52DA">
        <w:trPr>
          <w:cantSplit/>
          <w:trHeight w:val="500"/>
        </w:trPr>
        <w:tc>
          <w:tcPr>
            <w:tcW w:w="576" w:type="dxa"/>
            <w:vMerge/>
            <w:tcBorders>
              <w:top w:val="single" w:sz="4" w:space="0" w:color="auto"/>
              <w:left w:val="single" w:sz="4" w:space="0" w:color="auto"/>
              <w:bottom w:val="single" w:sz="4" w:space="0" w:color="auto"/>
              <w:right w:val="single" w:sz="4" w:space="0" w:color="auto"/>
            </w:tcBorders>
            <w:vAlign w:val="center"/>
            <w:hideMark/>
          </w:tcPr>
          <w:p w14:paraId="593B2C5B" w14:textId="77777777" w:rsidR="00495626" w:rsidRPr="00E0548A" w:rsidRDefault="00495626" w:rsidP="00495626">
            <w:pPr>
              <w:widowControl/>
              <w:adjustRightInd w:val="0"/>
              <w:snapToGrid w:val="0"/>
              <w:spacing w:line="240" w:lineRule="exact"/>
              <w:jc w:val="left"/>
              <w:rPr>
                <w:rFonts w:ascii="ＭＳ ゴシック" w:eastAsia="ＭＳ ゴシック" w:hAnsi="ＭＳ ゴシック"/>
                <w:w w:val="50"/>
                <w:sz w:val="18"/>
                <w:szCs w:val="18"/>
              </w:rPr>
            </w:pPr>
          </w:p>
        </w:tc>
        <w:tc>
          <w:tcPr>
            <w:tcW w:w="5200" w:type="dxa"/>
            <w:vMerge/>
            <w:tcBorders>
              <w:left w:val="single" w:sz="4" w:space="0" w:color="auto"/>
              <w:bottom w:val="single" w:sz="4" w:space="0" w:color="auto"/>
              <w:right w:val="single" w:sz="4" w:space="0" w:color="auto"/>
            </w:tcBorders>
            <w:vAlign w:val="center"/>
          </w:tcPr>
          <w:p w14:paraId="4E21754D" w14:textId="77777777" w:rsidR="00495626" w:rsidRPr="00E0548A" w:rsidRDefault="00495626" w:rsidP="00495626">
            <w:pPr>
              <w:widowControl/>
              <w:adjustRightInd w:val="0"/>
              <w:snapToGrid w:val="0"/>
              <w:spacing w:line="240" w:lineRule="exact"/>
              <w:jc w:val="left"/>
              <w:rPr>
                <w:rFonts w:ascii="ＭＳ ゴシック" w:eastAsia="ＭＳ ゴシック" w:hAnsi="ＭＳ ゴシック"/>
                <w:w w:val="50"/>
                <w:sz w:val="18"/>
                <w:szCs w:val="18"/>
              </w:rPr>
            </w:pPr>
          </w:p>
        </w:tc>
        <w:tc>
          <w:tcPr>
            <w:tcW w:w="3580" w:type="dxa"/>
            <w:tcBorders>
              <w:top w:val="single" w:sz="4" w:space="0" w:color="auto"/>
              <w:left w:val="single" w:sz="4" w:space="0" w:color="auto"/>
              <w:bottom w:val="single" w:sz="4" w:space="0" w:color="auto"/>
              <w:right w:val="single" w:sz="4" w:space="0" w:color="auto"/>
            </w:tcBorders>
            <w:vAlign w:val="center"/>
          </w:tcPr>
          <w:p w14:paraId="749DE76E" w14:textId="77777777" w:rsidR="00495626" w:rsidRPr="00E0548A" w:rsidRDefault="00495626" w:rsidP="00B35001">
            <w:pPr>
              <w:adjustRightInd w:val="0"/>
              <w:snapToGrid w:val="0"/>
              <w:spacing w:line="240" w:lineRule="exact"/>
              <w:jc w:val="left"/>
              <w:rPr>
                <w:rFonts w:ascii="ＭＳ ゴシック" w:eastAsia="ＭＳ ゴシック" w:hAnsi="ＭＳ ゴシック"/>
                <w:w w:val="50"/>
                <w:sz w:val="18"/>
                <w:szCs w:val="18"/>
              </w:rPr>
            </w:pPr>
            <w:r w:rsidRPr="00E0548A">
              <w:rPr>
                <w:rFonts w:ascii="ＭＳ ゴシック" w:eastAsia="ＭＳ ゴシック" w:hAnsi="ＭＳ ゴシック" w:hint="eastAsia"/>
                <w:w w:val="50"/>
                <w:sz w:val="18"/>
                <w:szCs w:val="18"/>
              </w:rPr>
              <w:t>企画室報道G(1名)</w:t>
            </w:r>
          </w:p>
          <w:p w14:paraId="68C46CB5" w14:textId="77777777" w:rsidR="00495626" w:rsidRPr="00E0548A" w:rsidRDefault="00495626" w:rsidP="00B35001">
            <w:pPr>
              <w:adjustRightInd w:val="0"/>
              <w:snapToGrid w:val="0"/>
              <w:spacing w:line="240" w:lineRule="exact"/>
              <w:jc w:val="left"/>
              <w:rPr>
                <w:rFonts w:ascii="ＭＳ ゴシック" w:eastAsia="ＭＳ ゴシック" w:hAnsi="ＭＳ ゴシック"/>
                <w:w w:val="50"/>
                <w:sz w:val="18"/>
                <w:szCs w:val="18"/>
              </w:rPr>
            </w:pPr>
            <w:r w:rsidRPr="00E0548A">
              <w:rPr>
                <w:rFonts w:ascii="ＭＳ ゴシック" w:eastAsia="ＭＳ ゴシック" w:hAnsi="ＭＳ ゴシック" w:hint="eastAsia"/>
                <w:w w:val="50"/>
                <w:sz w:val="18"/>
                <w:szCs w:val="18"/>
              </w:rPr>
              <w:t>危機管理室(1名)</w:t>
            </w:r>
          </w:p>
        </w:tc>
      </w:tr>
      <w:tr w:rsidR="001D6D10" w:rsidRPr="00E0548A" w14:paraId="21DCA92F" w14:textId="77777777" w:rsidTr="006E52DA">
        <w:trPr>
          <w:cantSplit/>
          <w:trHeight w:val="496"/>
        </w:trPr>
        <w:tc>
          <w:tcPr>
            <w:tcW w:w="576" w:type="dxa"/>
            <w:vMerge w:val="restart"/>
            <w:tcBorders>
              <w:top w:val="single" w:sz="4" w:space="0" w:color="auto"/>
              <w:left w:val="single" w:sz="4" w:space="0" w:color="auto"/>
              <w:right w:val="single" w:sz="4" w:space="0" w:color="auto"/>
            </w:tcBorders>
            <w:textDirection w:val="tbRlV"/>
            <w:vAlign w:val="center"/>
            <w:hideMark/>
          </w:tcPr>
          <w:p w14:paraId="42E70AA1" w14:textId="77777777" w:rsidR="00495626" w:rsidRPr="00E0548A" w:rsidRDefault="00495626" w:rsidP="00B35001">
            <w:pPr>
              <w:widowControl/>
              <w:adjustRightInd w:val="0"/>
              <w:snapToGrid w:val="0"/>
              <w:spacing w:line="240" w:lineRule="exact"/>
              <w:ind w:left="113" w:right="113"/>
              <w:jc w:val="center"/>
              <w:rPr>
                <w:rFonts w:ascii="ＭＳ ゴシック" w:eastAsia="ＭＳ ゴシック" w:hAnsi="ＭＳ ゴシック"/>
                <w:w w:val="50"/>
                <w:sz w:val="18"/>
                <w:szCs w:val="18"/>
              </w:rPr>
            </w:pPr>
            <w:r w:rsidRPr="00E0548A">
              <w:rPr>
                <w:rFonts w:ascii="ＭＳ ゴシック" w:eastAsia="ＭＳ ゴシック" w:hAnsi="ＭＳ ゴシック" w:hint="eastAsia"/>
                <w:kern w:val="0"/>
                <w:sz w:val="18"/>
                <w:szCs w:val="18"/>
              </w:rPr>
              <w:t>情報班</w:t>
            </w:r>
          </w:p>
        </w:tc>
        <w:tc>
          <w:tcPr>
            <w:tcW w:w="5200" w:type="dxa"/>
            <w:vMerge w:val="restart"/>
            <w:tcBorders>
              <w:top w:val="single" w:sz="4" w:space="0" w:color="auto"/>
              <w:left w:val="single" w:sz="4" w:space="0" w:color="auto"/>
              <w:right w:val="single" w:sz="4" w:space="0" w:color="auto"/>
            </w:tcBorders>
            <w:vAlign w:val="center"/>
          </w:tcPr>
          <w:p w14:paraId="348FA851" w14:textId="77777777" w:rsidR="00495626" w:rsidRPr="00E0548A" w:rsidRDefault="00495626" w:rsidP="00495626">
            <w:pPr>
              <w:adjustRightInd w:val="0"/>
              <w:snapToGrid w:val="0"/>
              <w:spacing w:line="240" w:lineRule="exact"/>
              <w:jc w:val="left"/>
              <w:rPr>
                <w:rFonts w:ascii="ＭＳ ゴシック" w:eastAsia="ＭＳ ゴシック" w:hAnsi="ＭＳ ゴシック"/>
                <w:w w:val="50"/>
                <w:sz w:val="18"/>
                <w:szCs w:val="18"/>
              </w:rPr>
            </w:pPr>
            <w:r w:rsidRPr="00E0548A">
              <w:rPr>
                <w:rFonts w:ascii="ＭＳ ゴシック" w:eastAsia="ＭＳ ゴシック" w:hAnsi="ＭＳ ゴシック" w:hint="eastAsia"/>
                <w:w w:val="50"/>
                <w:sz w:val="18"/>
                <w:szCs w:val="18"/>
              </w:rPr>
              <w:t>○被災者支援に関する情報(ニーズ等)を収集し、対策班に引き継ぐ</w:t>
            </w:r>
          </w:p>
          <w:p w14:paraId="0638FF80" w14:textId="77777777" w:rsidR="00495626" w:rsidRPr="00E0548A" w:rsidRDefault="00495626" w:rsidP="00495626">
            <w:pPr>
              <w:adjustRightInd w:val="0"/>
              <w:snapToGrid w:val="0"/>
              <w:spacing w:line="240" w:lineRule="exact"/>
              <w:jc w:val="left"/>
              <w:rPr>
                <w:rFonts w:ascii="ＭＳ ゴシック" w:eastAsia="ＭＳ ゴシック" w:hAnsi="ＭＳ ゴシック"/>
                <w:w w:val="50"/>
                <w:sz w:val="18"/>
                <w:szCs w:val="18"/>
              </w:rPr>
            </w:pPr>
            <w:r w:rsidRPr="00E0548A">
              <w:rPr>
                <w:rFonts w:ascii="ＭＳ ゴシック" w:eastAsia="ＭＳ ゴシック" w:hAnsi="ＭＳ ゴシック" w:hint="eastAsia"/>
                <w:w w:val="50"/>
                <w:sz w:val="18"/>
                <w:szCs w:val="18"/>
              </w:rPr>
              <w:t>○以下の被害情報等を収集・整理し、モニターやホワイトボードに記載(事務局内の情報共有)</w:t>
            </w:r>
          </w:p>
          <w:p w14:paraId="53AE7D55" w14:textId="77777777" w:rsidR="00495626" w:rsidRPr="00E0548A" w:rsidRDefault="00495626" w:rsidP="00495626">
            <w:pPr>
              <w:adjustRightInd w:val="0"/>
              <w:snapToGrid w:val="0"/>
              <w:spacing w:line="240" w:lineRule="exact"/>
              <w:jc w:val="left"/>
              <w:rPr>
                <w:rFonts w:ascii="ＭＳ ゴシック" w:eastAsia="ＭＳ ゴシック" w:hAnsi="ＭＳ ゴシック"/>
                <w:w w:val="50"/>
                <w:sz w:val="18"/>
                <w:szCs w:val="18"/>
              </w:rPr>
            </w:pPr>
            <w:r w:rsidRPr="00E0548A">
              <w:rPr>
                <w:rFonts w:ascii="ＭＳ ゴシック" w:eastAsia="ＭＳ ゴシック" w:hAnsi="ＭＳ ゴシック" w:hint="eastAsia"/>
                <w:w w:val="50"/>
                <w:sz w:val="18"/>
                <w:szCs w:val="18"/>
              </w:rPr>
              <w:t>①</w:t>
            </w:r>
            <w:r w:rsidRPr="00E0548A">
              <w:rPr>
                <w:rFonts w:ascii="ＭＳ ゴシック" w:eastAsia="ＭＳ ゴシック" w:hAnsi="ＭＳ ゴシック"/>
                <w:w w:val="50"/>
                <w:sz w:val="18"/>
                <w:szCs w:val="18"/>
              </w:rPr>
              <w:t xml:space="preserve"> </w:t>
            </w:r>
            <w:r w:rsidRPr="00E0548A">
              <w:rPr>
                <w:rFonts w:ascii="ＭＳ ゴシック" w:eastAsia="ＭＳ ゴシック" w:hAnsi="ＭＳ ゴシック" w:hint="eastAsia"/>
                <w:w w:val="50"/>
                <w:sz w:val="18"/>
                <w:szCs w:val="18"/>
              </w:rPr>
              <w:t>交通・ライフライン企業から復旧情報等を収集・整理</w:t>
            </w:r>
          </w:p>
          <w:p w14:paraId="680B09AE" w14:textId="77777777" w:rsidR="00495626" w:rsidRPr="00E0548A" w:rsidRDefault="00495626" w:rsidP="00495626">
            <w:pPr>
              <w:adjustRightInd w:val="0"/>
              <w:snapToGrid w:val="0"/>
              <w:spacing w:line="240" w:lineRule="exact"/>
              <w:jc w:val="left"/>
              <w:rPr>
                <w:rFonts w:ascii="ＭＳ ゴシック" w:eastAsia="ＭＳ ゴシック" w:hAnsi="ＭＳ ゴシック"/>
                <w:w w:val="50"/>
                <w:sz w:val="18"/>
                <w:szCs w:val="18"/>
              </w:rPr>
            </w:pPr>
            <w:r w:rsidRPr="00E0548A">
              <w:rPr>
                <w:rFonts w:ascii="ＭＳ ゴシック" w:eastAsia="ＭＳ ゴシック" w:hAnsi="ＭＳ ゴシック" w:hint="eastAsia"/>
                <w:w w:val="50"/>
                <w:sz w:val="18"/>
                <w:szCs w:val="18"/>
              </w:rPr>
              <w:t>②都市整備部や警察から道路復旧情報を収集・整理</w:t>
            </w:r>
          </w:p>
          <w:p w14:paraId="0A7F5652" w14:textId="77777777" w:rsidR="00495626" w:rsidRPr="00E0548A" w:rsidRDefault="00495626" w:rsidP="00495626">
            <w:pPr>
              <w:adjustRightInd w:val="0"/>
              <w:snapToGrid w:val="0"/>
              <w:spacing w:line="240" w:lineRule="exact"/>
              <w:jc w:val="left"/>
              <w:rPr>
                <w:rFonts w:ascii="ＭＳ ゴシック" w:eastAsia="ＭＳ ゴシック" w:hAnsi="ＭＳ ゴシック"/>
                <w:w w:val="50"/>
                <w:sz w:val="18"/>
                <w:szCs w:val="18"/>
              </w:rPr>
            </w:pPr>
            <w:r w:rsidRPr="00E0548A">
              <w:rPr>
                <w:rFonts w:ascii="ＭＳ ゴシック" w:eastAsia="ＭＳ ゴシック" w:hAnsi="ＭＳ ゴシック" w:hint="eastAsia"/>
                <w:w w:val="50"/>
                <w:sz w:val="18"/>
                <w:szCs w:val="18"/>
              </w:rPr>
              <w:t>③その他情報等を収集・整理</w:t>
            </w:r>
          </w:p>
          <w:p w14:paraId="521F2FCD" w14:textId="77777777" w:rsidR="00495626" w:rsidRPr="00E0548A" w:rsidRDefault="00495626" w:rsidP="00495626">
            <w:pPr>
              <w:adjustRightInd w:val="0"/>
              <w:snapToGrid w:val="0"/>
              <w:spacing w:line="240" w:lineRule="exact"/>
              <w:jc w:val="left"/>
              <w:rPr>
                <w:rFonts w:ascii="ＭＳ ゴシック" w:eastAsia="ＭＳ ゴシック" w:hAnsi="ＭＳ ゴシック"/>
                <w:w w:val="50"/>
                <w:sz w:val="18"/>
                <w:szCs w:val="18"/>
              </w:rPr>
            </w:pPr>
            <w:r w:rsidRPr="00E0548A">
              <w:rPr>
                <w:rFonts w:ascii="ＭＳ ゴシック" w:eastAsia="ＭＳ ゴシック" w:hAnsi="ＭＳ ゴシック" w:hint="eastAsia"/>
                <w:w w:val="50"/>
                <w:sz w:val="18"/>
                <w:szCs w:val="18"/>
              </w:rPr>
              <w:t>上記について、対応の必要性を判断し該当班に引き継ぐ</w:t>
            </w:r>
          </w:p>
          <w:p w14:paraId="1179A52A" w14:textId="77777777" w:rsidR="00495626" w:rsidRPr="00E0548A" w:rsidRDefault="00495626" w:rsidP="00495626">
            <w:pPr>
              <w:adjustRightInd w:val="0"/>
              <w:snapToGrid w:val="0"/>
              <w:spacing w:line="240" w:lineRule="exact"/>
              <w:jc w:val="left"/>
              <w:rPr>
                <w:rFonts w:ascii="ＭＳ ゴシック" w:eastAsia="ＭＳ ゴシック" w:hAnsi="ＭＳ ゴシック"/>
                <w:w w:val="50"/>
                <w:sz w:val="18"/>
                <w:szCs w:val="18"/>
              </w:rPr>
            </w:pPr>
            <w:r w:rsidRPr="00E0548A">
              <w:rPr>
                <w:rFonts w:ascii="ＭＳ ゴシック" w:eastAsia="ＭＳ ゴシック" w:hAnsi="ＭＳ ゴシック" w:hint="eastAsia"/>
                <w:w w:val="50"/>
                <w:sz w:val="18"/>
                <w:szCs w:val="18"/>
              </w:rPr>
              <w:t>○上記について、必要があれば状況地図を作成</w:t>
            </w:r>
          </w:p>
          <w:p w14:paraId="02C1FFFF" w14:textId="77777777" w:rsidR="00495626" w:rsidRPr="00E0548A" w:rsidRDefault="00495626" w:rsidP="00495626">
            <w:pPr>
              <w:adjustRightInd w:val="0"/>
              <w:snapToGrid w:val="0"/>
              <w:spacing w:line="240" w:lineRule="exact"/>
              <w:jc w:val="left"/>
              <w:rPr>
                <w:rFonts w:ascii="ＭＳ ゴシック" w:eastAsia="ＭＳ ゴシック" w:hAnsi="ＭＳ ゴシック"/>
                <w:w w:val="50"/>
                <w:sz w:val="18"/>
                <w:szCs w:val="18"/>
              </w:rPr>
            </w:pPr>
            <w:r w:rsidRPr="00E0548A">
              <w:rPr>
                <w:rFonts w:ascii="ＭＳ ゴシック" w:eastAsia="ＭＳ ゴシック" w:hAnsi="ＭＳ ゴシック" w:hint="eastAsia"/>
                <w:w w:val="50"/>
                <w:sz w:val="18"/>
                <w:szCs w:val="18"/>
              </w:rPr>
              <w:t>○各種情報等を評価・分析し、被害の全体像を更新する。(被害想定及び地域防災計画担当が専任)</w:t>
            </w:r>
          </w:p>
          <w:p w14:paraId="678694E7" w14:textId="77777777" w:rsidR="00495626" w:rsidRPr="00E0548A" w:rsidRDefault="00495626" w:rsidP="00495626">
            <w:pPr>
              <w:adjustRightInd w:val="0"/>
              <w:snapToGrid w:val="0"/>
              <w:spacing w:line="240" w:lineRule="exact"/>
              <w:jc w:val="left"/>
              <w:rPr>
                <w:rFonts w:ascii="ＭＳ ゴシック" w:eastAsia="ＭＳ ゴシック" w:hAnsi="ＭＳ ゴシック"/>
                <w:w w:val="50"/>
                <w:sz w:val="18"/>
                <w:szCs w:val="18"/>
              </w:rPr>
            </w:pPr>
            <w:r w:rsidRPr="00E0548A">
              <w:rPr>
                <w:rFonts w:ascii="ＭＳ ゴシック" w:eastAsia="ＭＳ ゴシック" w:hAnsi="ＭＳ ゴシック" w:hint="eastAsia"/>
                <w:w w:val="50"/>
                <w:sz w:val="18"/>
                <w:szCs w:val="18"/>
              </w:rPr>
              <w:t>○情報班活動記録(画像、文書)作成</w:t>
            </w:r>
          </w:p>
          <w:p w14:paraId="310B55C3" w14:textId="77777777" w:rsidR="00495626" w:rsidRPr="00E0548A" w:rsidRDefault="00495626" w:rsidP="00495626">
            <w:pPr>
              <w:adjustRightInd w:val="0"/>
              <w:snapToGrid w:val="0"/>
              <w:spacing w:line="240" w:lineRule="exact"/>
              <w:jc w:val="left"/>
              <w:rPr>
                <w:rFonts w:ascii="ＭＳ ゴシック" w:eastAsia="ＭＳ ゴシック" w:hAnsi="ＭＳ ゴシック"/>
                <w:w w:val="50"/>
                <w:sz w:val="18"/>
                <w:szCs w:val="18"/>
              </w:rPr>
            </w:pPr>
            <w:r w:rsidRPr="00E0548A">
              <w:rPr>
                <w:rFonts w:ascii="ＭＳ ゴシック" w:eastAsia="ＭＳ ゴシック" w:hAnsi="ＭＳ ゴシック" w:hint="eastAsia"/>
                <w:w w:val="50"/>
                <w:sz w:val="18"/>
                <w:szCs w:val="18"/>
              </w:rPr>
              <w:t>※原子力災害が発生した場合は緊急時モニタリング体制等を設置する。(自然災害等との複合災害の場合は調整する。)</w:t>
            </w:r>
          </w:p>
          <w:p w14:paraId="1AE5DD47" w14:textId="77777777" w:rsidR="00724945" w:rsidRPr="00E0548A" w:rsidRDefault="00724945" w:rsidP="00495626">
            <w:pPr>
              <w:adjustRightInd w:val="0"/>
              <w:snapToGrid w:val="0"/>
              <w:spacing w:line="240" w:lineRule="exact"/>
              <w:jc w:val="left"/>
              <w:rPr>
                <w:rFonts w:ascii="ＭＳ ゴシック" w:eastAsia="ＭＳ ゴシック" w:hAnsi="ＭＳ ゴシック"/>
                <w:w w:val="50"/>
                <w:sz w:val="18"/>
                <w:szCs w:val="18"/>
              </w:rPr>
            </w:pPr>
            <w:r w:rsidRPr="00E0548A">
              <w:rPr>
                <w:rFonts w:ascii="ＭＳ ゴシック" w:eastAsia="ＭＳ ゴシック" w:hAnsi="ＭＳ ゴシック" w:hint="eastAsia"/>
                <w:w w:val="50"/>
                <w:sz w:val="18"/>
                <w:szCs w:val="18"/>
              </w:rPr>
              <w:t>〇住民の安否不明者情報の収集（府警、市町村）と、府警情報の市町村提供</w:t>
            </w:r>
          </w:p>
        </w:tc>
        <w:tc>
          <w:tcPr>
            <w:tcW w:w="3580" w:type="dxa"/>
            <w:tcBorders>
              <w:top w:val="single" w:sz="4" w:space="0" w:color="auto"/>
              <w:left w:val="single" w:sz="4" w:space="0" w:color="auto"/>
              <w:right w:val="single" w:sz="4" w:space="0" w:color="auto"/>
            </w:tcBorders>
            <w:vAlign w:val="center"/>
          </w:tcPr>
          <w:p w14:paraId="7F66B28C" w14:textId="77777777" w:rsidR="00495626" w:rsidRPr="00E0548A" w:rsidRDefault="00495626" w:rsidP="00495626">
            <w:pPr>
              <w:adjustRightInd w:val="0"/>
              <w:snapToGrid w:val="0"/>
              <w:spacing w:line="240" w:lineRule="exact"/>
              <w:jc w:val="left"/>
              <w:rPr>
                <w:rFonts w:ascii="ＭＳ ゴシック" w:eastAsia="ＭＳ ゴシック" w:hAnsi="ＭＳ ゴシック"/>
                <w:w w:val="50"/>
                <w:sz w:val="18"/>
                <w:szCs w:val="18"/>
              </w:rPr>
            </w:pPr>
            <w:r w:rsidRPr="00E0548A">
              <w:rPr>
                <w:rFonts w:ascii="ＭＳ ゴシック" w:eastAsia="ＭＳ ゴシック" w:hAnsi="ＭＳ ゴシック" w:hint="eastAsia"/>
                <w:w w:val="50"/>
                <w:sz w:val="18"/>
                <w:szCs w:val="18"/>
              </w:rPr>
              <w:t>班長：防災企画課長　　副班長：消防指導G長</w:t>
            </w:r>
          </w:p>
        </w:tc>
      </w:tr>
      <w:tr w:rsidR="001D6D10" w:rsidRPr="00E0548A" w14:paraId="2907668A" w14:textId="77777777" w:rsidTr="006E52DA">
        <w:trPr>
          <w:cantSplit/>
          <w:trHeight w:val="1903"/>
        </w:trPr>
        <w:tc>
          <w:tcPr>
            <w:tcW w:w="576" w:type="dxa"/>
            <w:vMerge/>
            <w:tcBorders>
              <w:left w:val="single" w:sz="4" w:space="0" w:color="auto"/>
              <w:right w:val="single" w:sz="4" w:space="0" w:color="auto"/>
            </w:tcBorders>
            <w:vAlign w:val="center"/>
            <w:hideMark/>
          </w:tcPr>
          <w:p w14:paraId="29534186" w14:textId="77777777" w:rsidR="00495626" w:rsidRPr="00E0548A" w:rsidRDefault="00495626" w:rsidP="00495626">
            <w:pPr>
              <w:widowControl/>
              <w:adjustRightInd w:val="0"/>
              <w:snapToGrid w:val="0"/>
              <w:spacing w:line="240" w:lineRule="exact"/>
              <w:jc w:val="left"/>
              <w:rPr>
                <w:rFonts w:ascii="ＭＳ ゴシック" w:eastAsia="ＭＳ ゴシック" w:hAnsi="ＭＳ ゴシック"/>
                <w:w w:val="50"/>
                <w:sz w:val="18"/>
                <w:szCs w:val="18"/>
              </w:rPr>
            </w:pPr>
          </w:p>
        </w:tc>
        <w:tc>
          <w:tcPr>
            <w:tcW w:w="5200" w:type="dxa"/>
            <w:vMerge/>
            <w:tcBorders>
              <w:left w:val="single" w:sz="4" w:space="0" w:color="auto"/>
              <w:right w:val="single" w:sz="4" w:space="0" w:color="auto"/>
            </w:tcBorders>
            <w:vAlign w:val="center"/>
          </w:tcPr>
          <w:p w14:paraId="7A057629" w14:textId="77777777" w:rsidR="00495626" w:rsidRPr="00E0548A" w:rsidRDefault="00495626" w:rsidP="00495626">
            <w:pPr>
              <w:widowControl/>
              <w:adjustRightInd w:val="0"/>
              <w:snapToGrid w:val="0"/>
              <w:spacing w:line="240" w:lineRule="exact"/>
              <w:jc w:val="left"/>
              <w:rPr>
                <w:rFonts w:ascii="ＭＳ ゴシック" w:eastAsia="ＭＳ ゴシック" w:hAnsi="ＭＳ ゴシック"/>
                <w:w w:val="50"/>
                <w:sz w:val="18"/>
                <w:szCs w:val="18"/>
              </w:rPr>
            </w:pPr>
          </w:p>
        </w:tc>
        <w:tc>
          <w:tcPr>
            <w:tcW w:w="3580" w:type="dxa"/>
            <w:tcBorders>
              <w:top w:val="single" w:sz="4" w:space="0" w:color="auto"/>
              <w:left w:val="single" w:sz="4" w:space="0" w:color="auto"/>
              <w:right w:val="single" w:sz="4" w:space="0" w:color="auto"/>
            </w:tcBorders>
            <w:vAlign w:val="center"/>
          </w:tcPr>
          <w:p w14:paraId="3E9303D9" w14:textId="77777777" w:rsidR="00495626" w:rsidRPr="00E0548A" w:rsidRDefault="00495626" w:rsidP="00B35001">
            <w:pPr>
              <w:adjustRightInd w:val="0"/>
              <w:snapToGrid w:val="0"/>
              <w:spacing w:line="240" w:lineRule="exact"/>
              <w:jc w:val="left"/>
              <w:rPr>
                <w:rFonts w:ascii="ＭＳ ゴシック" w:eastAsia="ＭＳ ゴシック" w:hAnsi="ＭＳ ゴシック"/>
                <w:w w:val="50"/>
                <w:sz w:val="18"/>
                <w:szCs w:val="18"/>
              </w:rPr>
            </w:pPr>
            <w:r w:rsidRPr="00E0548A">
              <w:rPr>
                <w:rFonts w:ascii="ＭＳ ゴシック" w:eastAsia="ＭＳ ゴシック" w:hAnsi="ＭＳ ゴシック" w:hint="eastAsia"/>
                <w:w w:val="50"/>
                <w:sz w:val="18"/>
                <w:szCs w:val="18"/>
              </w:rPr>
              <w:t>危機管理室(5名)</w:t>
            </w:r>
          </w:p>
        </w:tc>
      </w:tr>
      <w:tr w:rsidR="001D6D10" w:rsidRPr="00E0548A" w14:paraId="1AC6EF60" w14:textId="77777777" w:rsidTr="006E52DA">
        <w:trPr>
          <w:cantSplit/>
          <w:trHeight w:val="496"/>
        </w:trPr>
        <w:tc>
          <w:tcPr>
            <w:tcW w:w="576" w:type="dxa"/>
            <w:vMerge w:val="restart"/>
            <w:tcBorders>
              <w:top w:val="single" w:sz="4" w:space="0" w:color="auto"/>
              <w:left w:val="single" w:sz="4" w:space="0" w:color="auto"/>
              <w:bottom w:val="single" w:sz="4" w:space="0" w:color="auto"/>
              <w:right w:val="single" w:sz="4" w:space="0" w:color="auto"/>
            </w:tcBorders>
            <w:textDirection w:val="tbRlV"/>
            <w:vAlign w:val="center"/>
            <w:hideMark/>
          </w:tcPr>
          <w:p w14:paraId="1BF57348" w14:textId="77777777" w:rsidR="00495626" w:rsidRPr="00E0548A" w:rsidRDefault="00495626" w:rsidP="00B35001">
            <w:pPr>
              <w:widowControl/>
              <w:adjustRightInd w:val="0"/>
              <w:snapToGrid w:val="0"/>
              <w:spacing w:line="240" w:lineRule="exact"/>
              <w:ind w:left="113" w:right="113"/>
              <w:jc w:val="center"/>
              <w:rPr>
                <w:rFonts w:ascii="ＭＳ ゴシック" w:eastAsia="ＭＳ ゴシック" w:hAnsi="ＭＳ ゴシック"/>
                <w:w w:val="50"/>
                <w:sz w:val="18"/>
                <w:szCs w:val="18"/>
              </w:rPr>
            </w:pPr>
            <w:r w:rsidRPr="00E0548A">
              <w:rPr>
                <w:rFonts w:ascii="ＭＳ ゴシック" w:eastAsia="ＭＳ ゴシック" w:hAnsi="ＭＳ ゴシック" w:hint="eastAsia"/>
                <w:kern w:val="0"/>
                <w:sz w:val="18"/>
                <w:szCs w:val="18"/>
              </w:rPr>
              <w:t>対策班</w:t>
            </w:r>
          </w:p>
        </w:tc>
        <w:tc>
          <w:tcPr>
            <w:tcW w:w="5200" w:type="dxa"/>
            <w:vMerge w:val="restart"/>
            <w:tcBorders>
              <w:top w:val="single" w:sz="4" w:space="0" w:color="auto"/>
              <w:left w:val="single" w:sz="4" w:space="0" w:color="auto"/>
              <w:right w:val="single" w:sz="4" w:space="0" w:color="auto"/>
            </w:tcBorders>
            <w:vAlign w:val="center"/>
          </w:tcPr>
          <w:p w14:paraId="32545F02" w14:textId="77777777" w:rsidR="00495626" w:rsidRPr="00E0548A" w:rsidRDefault="00495626" w:rsidP="00495626">
            <w:pPr>
              <w:adjustRightInd w:val="0"/>
              <w:snapToGrid w:val="0"/>
              <w:spacing w:line="240" w:lineRule="exact"/>
              <w:jc w:val="left"/>
              <w:rPr>
                <w:rFonts w:ascii="ＭＳ ゴシック" w:eastAsia="ＭＳ ゴシック" w:hAnsi="ＭＳ ゴシック"/>
                <w:w w:val="50"/>
                <w:sz w:val="18"/>
                <w:szCs w:val="18"/>
              </w:rPr>
            </w:pPr>
            <w:r w:rsidRPr="00E0548A">
              <w:rPr>
                <w:rFonts w:ascii="ＭＳ ゴシック" w:eastAsia="ＭＳ ゴシック" w:hAnsi="ＭＳ ゴシック" w:hint="eastAsia"/>
                <w:w w:val="50"/>
                <w:sz w:val="18"/>
                <w:szCs w:val="18"/>
              </w:rPr>
              <w:t>○被災市町村への支援(人員等)</w:t>
            </w:r>
          </w:p>
          <w:p w14:paraId="69CD9F00" w14:textId="77777777" w:rsidR="00495626" w:rsidRPr="00E0548A" w:rsidRDefault="00495626" w:rsidP="00495626">
            <w:pPr>
              <w:adjustRightInd w:val="0"/>
              <w:snapToGrid w:val="0"/>
              <w:spacing w:line="240" w:lineRule="exact"/>
              <w:jc w:val="left"/>
              <w:rPr>
                <w:rFonts w:ascii="ＭＳ ゴシック" w:eastAsia="ＭＳ ゴシック" w:hAnsi="ＭＳ ゴシック"/>
                <w:w w:val="50"/>
                <w:sz w:val="18"/>
                <w:szCs w:val="18"/>
              </w:rPr>
            </w:pPr>
            <w:r w:rsidRPr="00E0548A">
              <w:rPr>
                <w:rFonts w:ascii="ＭＳ ゴシック" w:eastAsia="ＭＳ ゴシック" w:hAnsi="ＭＳ ゴシック" w:hint="eastAsia"/>
                <w:w w:val="50"/>
                <w:sz w:val="18"/>
                <w:szCs w:val="18"/>
              </w:rPr>
              <w:t>○防災関係機関の活動調整(広域防災連絡会議の運営含む)</w:t>
            </w:r>
          </w:p>
          <w:p w14:paraId="1059A396" w14:textId="77777777" w:rsidR="00495626" w:rsidRPr="00E0548A" w:rsidRDefault="00495626" w:rsidP="00495626">
            <w:pPr>
              <w:adjustRightInd w:val="0"/>
              <w:snapToGrid w:val="0"/>
              <w:spacing w:line="240" w:lineRule="exact"/>
              <w:jc w:val="left"/>
              <w:rPr>
                <w:rFonts w:ascii="ＭＳ ゴシック" w:eastAsia="ＭＳ ゴシック" w:hAnsi="ＭＳ ゴシック"/>
                <w:w w:val="50"/>
                <w:sz w:val="18"/>
                <w:szCs w:val="18"/>
              </w:rPr>
            </w:pPr>
            <w:r w:rsidRPr="00E0548A">
              <w:rPr>
                <w:rFonts w:ascii="ＭＳ ゴシック" w:eastAsia="ＭＳ ゴシック" w:hAnsi="ＭＳ ゴシック" w:hint="eastAsia"/>
                <w:w w:val="50"/>
                <w:sz w:val="18"/>
                <w:szCs w:val="18"/>
              </w:rPr>
              <w:t>○食糧など日配品の配布計画作成</w:t>
            </w:r>
          </w:p>
          <w:p w14:paraId="59E56A23" w14:textId="77777777" w:rsidR="00495626" w:rsidRPr="00E0548A" w:rsidRDefault="00495626" w:rsidP="00495626">
            <w:pPr>
              <w:adjustRightInd w:val="0"/>
              <w:snapToGrid w:val="0"/>
              <w:spacing w:line="240" w:lineRule="exact"/>
              <w:jc w:val="left"/>
              <w:rPr>
                <w:rFonts w:ascii="ＭＳ ゴシック" w:eastAsia="ＭＳ ゴシック" w:hAnsi="ＭＳ ゴシック"/>
                <w:w w:val="50"/>
                <w:sz w:val="18"/>
                <w:szCs w:val="18"/>
              </w:rPr>
            </w:pPr>
            <w:r w:rsidRPr="00E0548A">
              <w:rPr>
                <w:rFonts w:ascii="ＭＳ ゴシック" w:eastAsia="ＭＳ ゴシック" w:hAnsi="ＭＳ ゴシック" w:hint="eastAsia"/>
                <w:w w:val="50"/>
                <w:sz w:val="18"/>
                <w:szCs w:val="18"/>
              </w:rPr>
              <w:t>○情報班より引き継いだ被災者支援情報に基づき、対応する</w:t>
            </w:r>
          </w:p>
          <w:p w14:paraId="5125A6D7" w14:textId="77777777" w:rsidR="00495626" w:rsidRPr="00E0548A" w:rsidRDefault="00495626" w:rsidP="00495626">
            <w:pPr>
              <w:adjustRightInd w:val="0"/>
              <w:snapToGrid w:val="0"/>
              <w:spacing w:line="240" w:lineRule="exact"/>
              <w:jc w:val="left"/>
              <w:rPr>
                <w:rFonts w:ascii="ＭＳ ゴシック" w:eastAsia="ＭＳ ゴシック" w:hAnsi="ＭＳ ゴシック"/>
                <w:w w:val="50"/>
                <w:sz w:val="18"/>
                <w:szCs w:val="18"/>
              </w:rPr>
            </w:pPr>
            <w:r w:rsidRPr="00E0548A">
              <w:rPr>
                <w:rFonts w:ascii="ＭＳ ゴシック" w:eastAsia="ＭＳ ゴシック" w:hAnsi="ＭＳ ゴシック" w:hint="eastAsia"/>
                <w:w w:val="50"/>
                <w:sz w:val="18"/>
                <w:szCs w:val="18"/>
              </w:rPr>
              <w:t>・国等への支援要請</w:t>
            </w:r>
          </w:p>
          <w:p w14:paraId="2C7E760D" w14:textId="77777777" w:rsidR="00495626" w:rsidRPr="00E0548A" w:rsidRDefault="00495626" w:rsidP="00495626">
            <w:pPr>
              <w:adjustRightInd w:val="0"/>
              <w:snapToGrid w:val="0"/>
              <w:spacing w:line="240" w:lineRule="exact"/>
              <w:jc w:val="left"/>
              <w:rPr>
                <w:rFonts w:ascii="ＭＳ ゴシック" w:eastAsia="ＭＳ ゴシック" w:hAnsi="ＭＳ ゴシック"/>
                <w:w w:val="50"/>
                <w:sz w:val="18"/>
                <w:szCs w:val="18"/>
              </w:rPr>
            </w:pPr>
            <w:r w:rsidRPr="00E0548A">
              <w:rPr>
                <w:rFonts w:ascii="ＭＳ ゴシック" w:eastAsia="ＭＳ ゴシック" w:hAnsi="ＭＳ ゴシック" w:hint="eastAsia"/>
                <w:w w:val="50"/>
                <w:sz w:val="18"/>
                <w:szCs w:val="18"/>
              </w:rPr>
              <w:lastRenderedPageBreak/>
              <w:t>・協定企業等への支援要請</w:t>
            </w:r>
          </w:p>
          <w:p w14:paraId="0A839270" w14:textId="77777777" w:rsidR="00495626" w:rsidRPr="00E0548A" w:rsidRDefault="00495626" w:rsidP="00495626">
            <w:pPr>
              <w:adjustRightInd w:val="0"/>
              <w:snapToGrid w:val="0"/>
              <w:spacing w:line="240" w:lineRule="exact"/>
              <w:jc w:val="left"/>
              <w:rPr>
                <w:rFonts w:ascii="ＭＳ ゴシック" w:eastAsia="ＭＳ ゴシック" w:hAnsi="ＭＳ ゴシック"/>
                <w:w w:val="50"/>
                <w:sz w:val="18"/>
                <w:szCs w:val="18"/>
              </w:rPr>
            </w:pPr>
            <w:r w:rsidRPr="00E0548A">
              <w:rPr>
                <w:rFonts w:ascii="ＭＳ ゴシック" w:eastAsia="ＭＳ ゴシック" w:hAnsi="ＭＳ ゴシック" w:hint="eastAsia"/>
                <w:w w:val="50"/>
                <w:sz w:val="18"/>
                <w:szCs w:val="18"/>
              </w:rPr>
              <w:t>・庁内各部局への対応指示(物資、健康相談、廃棄物処理など)</w:t>
            </w:r>
          </w:p>
          <w:p w14:paraId="749591A0" w14:textId="77777777" w:rsidR="00495626" w:rsidRPr="00E0548A" w:rsidRDefault="00495626" w:rsidP="00495626">
            <w:pPr>
              <w:adjustRightInd w:val="0"/>
              <w:snapToGrid w:val="0"/>
              <w:spacing w:line="240" w:lineRule="exact"/>
              <w:ind w:left="91" w:hangingChars="100" w:hanging="91"/>
              <w:jc w:val="left"/>
              <w:rPr>
                <w:rFonts w:ascii="ＭＳ ゴシック" w:eastAsia="ＭＳ ゴシック" w:hAnsi="ＭＳ ゴシック"/>
                <w:w w:val="50"/>
                <w:sz w:val="18"/>
                <w:szCs w:val="18"/>
              </w:rPr>
            </w:pPr>
            <w:r w:rsidRPr="00E0548A">
              <w:rPr>
                <w:rFonts w:ascii="ＭＳ ゴシック" w:eastAsia="ＭＳ ゴシック" w:hAnsi="ＭＳ ゴシック" w:hint="eastAsia"/>
                <w:w w:val="50"/>
                <w:sz w:val="18"/>
                <w:szCs w:val="18"/>
              </w:rPr>
              <w:t>○情報班より引き継いだ対応必要案件について、対策を検討し、対応する。</w:t>
            </w:r>
          </w:p>
          <w:p w14:paraId="29009725" w14:textId="77777777" w:rsidR="00495626" w:rsidRPr="00E0548A" w:rsidRDefault="00495626" w:rsidP="00495626">
            <w:pPr>
              <w:adjustRightInd w:val="0"/>
              <w:snapToGrid w:val="0"/>
              <w:spacing w:line="240" w:lineRule="exact"/>
              <w:jc w:val="left"/>
              <w:rPr>
                <w:rFonts w:ascii="ＭＳ ゴシック" w:eastAsia="ＭＳ ゴシック" w:hAnsi="ＭＳ ゴシック"/>
                <w:w w:val="50"/>
                <w:sz w:val="18"/>
                <w:szCs w:val="18"/>
              </w:rPr>
            </w:pPr>
            <w:r w:rsidRPr="00E0548A">
              <w:rPr>
                <w:rFonts w:ascii="ＭＳ ゴシック" w:eastAsia="ＭＳ ゴシック" w:hAnsi="ＭＳ ゴシック" w:hint="eastAsia"/>
                <w:w w:val="50"/>
                <w:sz w:val="18"/>
                <w:szCs w:val="18"/>
              </w:rPr>
              <w:t>○各地域連絡部との連絡調整</w:t>
            </w:r>
          </w:p>
          <w:p w14:paraId="16B32F33" w14:textId="77777777" w:rsidR="00495626" w:rsidRPr="00E0548A" w:rsidRDefault="00495626" w:rsidP="00495626">
            <w:pPr>
              <w:adjustRightInd w:val="0"/>
              <w:snapToGrid w:val="0"/>
              <w:spacing w:line="240" w:lineRule="exact"/>
              <w:jc w:val="left"/>
              <w:rPr>
                <w:rFonts w:ascii="ＭＳ ゴシック" w:eastAsia="ＭＳ ゴシック" w:hAnsi="ＭＳ ゴシック"/>
                <w:w w:val="50"/>
                <w:sz w:val="18"/>
                <w:szCs w:val="18"/>
              </w:rPr>
            </w:pPr>
            <w:r w:rsidRPr="00E0548A">
              <w:rPr>
                <w:rFonts w:ascii="ＭＳ ゴシック" w:eastAsia="ＭＳ ゴシック" w:hAnsi="ＭＳ ゴシック" w:hint="eastAsia"/>
                <w:w w:val="50"/>
                <w:sz w:val="18"/>
                <w:szCs w:val="18"/>
              </w:rPr>
              <w:t>○緊急通行車両証の発行手続き</w:t>
            </w:r>
          </w:p>
          <w:p w14:paraId="73267950" w14:textId="77777777" w:rsidR="00495626" w:rsidRPr="00E0548A" w:rsidRDefault="00495626" w:rsidP="00495626">
            <w:pPr>
              <w:adjustRightInd w:val="0"/>
              <w:snapToGrid w:val="0"/>
              <w:spacing w:line="240" w:lineRule="exact"/>
              <w:jc w:val="left"/>
              <w:rPr>
                <w:rFonts w:ascii="ＭＳ ゴシック" w:eastAsia="ＭＳ ゴシック" w:hAnsi="ＭＳ ゴシック"/>
                <w:w w:val="50"/>
                <w:sz w:val="18"/>
                <w:szCs w:val="18"/>
              </w:rPr>
            </w:pPr>
            <w:r w:rsidRPr="00E0548A">
              <w:rPr>
                <w:rFonts w:ascii="ＭＳ ゴシック" w:eastAsia="ＭＳ ゴシック" w:hAnsi="ＭＳ ゴシック" w:hint="eastAsia"/>
                <w:w w:val="50"/>
                <w:sz w:val="18"/>
                <w:szCs w:val="18"/>
              </w:rPr>
              <w:t>○災害救助法事務</w:t>
            </w:r>
            <w:r w:rsidR="00724945" w:rsidRPr="00E0548A">
              <w:rPr>
                <w:rFonts w:ascii="ＭＳ ゴシック" w:eastAsia="ＭＳ ゴシック" w:hAnsi="ＭＳ ゴシック" w:hint="eastAsia"/>
                <w:w w:val="50"/>
                <w:sz w:val="18"/>
                <w:szCs w:val="18"/>
              </w:rPr>
              <w:t>（対象市町村の追加、内容・期間延長に関し内閣府との特別協議）</w:t>
            </w:r>
          </w:p>
          <w:p w14:paraId="2608DE56" w14:textId="77777777" w:rsidR="00495626" w:rsidRPr="00E0548A" w:rsidRDefault="00495626" w:rsidP="00495626">
            <w:pPr>
              <w:adjustRightInd w:val="0"/>
              <w:snapToGrid w:val="0"/>
              <w:spacing w:line="240" w:lineRule="exact"/>
              <w:jc w:val="left"/>
              <w:rPr>
                <w:rFonts w:ascii="ＭＳ ゴシック" w:eastAsia="ＭＳ ゴシック" w:hAnsi="ＭＳ ゴシック"/>
                <w:w w:val="50"/>
                <w:sz w:val="18"/>
                <w:szCs w:val="18"/>
              </w:rPr>
            </w:pPr>
            <w:r w:rsidRPr="00E0548A">
              <w:rPr>
                <w:rFonts w:ascii="ＭＳ ゴシック" w:eastAsia="ＭＳ ゴシック" w:hAnsi="ＭＳ ゴシック" w:hint="eastAsia"/>
                <w:w w:val="50"/>
                <w:sz w:val="18"/>
                <w:szCs w:val="18"/>
              </w:rPr>
              <w:t>○防災センターの機器操作</w:t>
            </w:r>
          </w:p>
          <w:p w14:paraId="3D464EDA" w14:textId="77777777" w:rsidR="00495626" w:rsidRPr="00E0548A" w:rsidRDefault="00495626" w:rsidP="00495626">
            <w:pPr>
              <w:adjustRightInd w:val="0"/>
              <w:snapToGrid w:val="0"/>
              <w:spacing w:line="240" w:lineRule="exact"/>
              <w:jc w:val="left"/>
              <w:rPr>
                <w:rFonts w:ascii="ＭＳ ゴシック" w:eastAsia="ＭＳ ゴシック" w:hAnsi="ＭＳ ゴシック"/>
                <w:w w:val="50"/>
                <w:sz w:val="18"/>
                <w:szCs w:val="18"/>
              </w:rPr>
            </w:pPr>
            <w:r w:rsidRPr="00E0548A">
              <w:rPr>
                <w:rFonts w:ascii="ＭＳ ゴシック" w:eastAsia="ＭＳ ゴシック" w:hAnsi="ＭＳ ゴシック" w:hint="eastAsia"/>
                <w:w w:val="50"/>
                <w:sz w:val="18"/>
                <w:szCs w:val="18"/>
              </w:rPr>
              <w:t>○防災行政無線、各種システムの運用</w:t>
            </w:r>
          </w:p>
          <w:p w14:paraId="4D4BD138" w14:textId="77777777" w:rsidR="00495626" w:rsidRPr="00E0548A" w:rsidRDefault="00495626" w:rsidP="00495626">
            <w:pPr>
              <w:adjustRightInd w:val="0"/>
              <w:snapToGrid w:val="0"/>
              <w:spacing w:line="240" w:lineRule="exact"/>
              <w:jc w:val="left"/>
              <w:rPr>
                <w:rFonts w:ascii="ＭＳ ゴシック" w:eastAsia="ＭＳ ゴシック" w:hAnsi="ＭＳ ゴシック"/>
                <w:w w:val="50"/>
                <w:sz w:val="18"/>
                <w:szCs w:val="18"/>
              </w:rPr>
            </w:pPr>
            <w:r w:rsidRPr="00E0548A">
              <w:rPr>
                <w:rFonts w:ascii="ＭＳ ゴシック" w:eastAsia="ＭＳ ゴシック" w:hAnsi="ＭＳ ゴシック" w:hint="eastAsia"/>
                <w:w w:val="50"/>
                <w:sz w:val="18"/>
                <w:szCs w:val="18"/>
              </w:rPr>
              <w:t>○衛星通信車の運用</w:t>
            </w:r>
          </w:p>
          <w:p w14:paraId="70A62AE1" w14:textId="77777777" w:rsidR="00495626" w:rsidRPr="00E0548A" w:rsidRDefault="00495626" w:rsidP="00495626">
            <w:pPr>
              <w:adjustRightInd w:val="0"/>
              <w:snapToGrid w:val="0"/>
              <w:spacing w:line="240" w:lineRule="exact"/>
              <w:jc w:val="left"/>
              <w:rPr>
                <w:rFonts w:ascii="ＭＳ ゴシック" w:eastAsia="ＭＳ ゴシック" w:hAnsi="ＭＳ ゴシック"/>
                <w:w w:val="50"/>
                <w:sz w:val="18"/>
                <w:szCs w:val="18"/>
              </w:rPr>
            </w:pPr>
            <w:r w:rsidRPr="00E0548A">
              <w:rPr>
                <w:rFonts w:ascii="ＭＳ ゴシック" w:eastAsia="ＭＳ ゴシック" w:hAnsi="ＭＳ ゴシック" w:hint="eastAsia"/>
                <w:w w:val="50"/>
                <w:sz w:val="18"/>
                <w:szCs w:val="18"/>
              </w:rPr>
              <w:t>○対策班活動記録(画像、文書)作成</w:t>
            </w:r>
          </w:p>
          <w:p w14:paraId="31C7FC44" w14:textId="72BBB43A" w:rsidR="00724945" w:rsidRPr="00E0548A" w:rsidRDefault="00724945" w:rsidP="00724945">
            <w:pPr>
              <w:adjustRightInd w:val="0"/>
              <w:snapToGrid w:val="0"/>
              <w:spacing w:line="240" w:lineRule="exact"/>
              <w:jc w:val="left"/>
              <w:rPr>
                <w:rFonts w:ascii="ＭＳ ゴシック" w:eastAsia="ＭＳ ゴシック" w:hAnsi="ＭＳ ゴシック"/>
                <w:w w:val="50"/>
                <w:sz w:val="18"/>
                <w:szCs w:val="18"/>
              </w:rPr>
            </w:pPr>
            <w:r w:rsidRPr="00E0548A">
              <w:rPr>
                <w:rFonts w:ascii="ＭＳ ゴシック" w:eastAsia="ＭＳ ゴシック" w:hAnsi="ＭＳ ゴシック" w:hint="eastAsia"/>
                <w:w w:val="50"/>
                <w:sz w:val="18"/>
                <w:szCs w:val="18"/>
              </w:rPr>
              <w:t>○府社会福祉協議会と府災害ボランテ</w:t>
            </w:r>
            <w:r w:rsidR="000621DC" w:rsidRPr="00E0548A">
              <w:rPr>
                <w:rFonts w:ascii="ＭＳ ゴシック" w:eastAsia="ＭＳ ゴシック" w:hAnsi="ＭＳ ゴシック" w:hint="eastAsia"/>
                <w:w w:val="50"/>
                <w:sz w:val="18"/>
                <w:szCs w:val="18"/>
              </w:rPr>
              <w:t>ィアセンターにおける被災者支援の調整（受援</w:t>
            </w:r>
            <w:r w:rsidR="002448B5" w:rsidRPr="00E0548A">
              <w:rPr>
                <w:rFonts w:ascii="ＭＳ ゴシック" w:eastAsia="ＭＳ ゴシック" w:hAnsi="ＭＳ ゴシック" w:hint="eastAsia"/>
                <w:w w:val="50"/>
                <w:sz w:val="18"/>
                <w:szCs w:val="18"/>
              </w:rPr>
              <w:t>・応援</w:t>
            </w:r>
            <w:r w:rsidR="000621DC" w:rsidRPr="00E0548A">
              <w:rPr>
                <w:rFonts w:ascii="ＭＳ ゴシック" w:eastAsia="ＭＳ ゴシック" w:hAnsi="ＭＳ ゴシック" w:hint="eastAsia"/>
                <w:w w:val="50"/>
                <w:sz w:val="18"/>
                <w:szCs w:val="18"/>
              </w:rPr>
              <w:t>班と連携）</w:t>
            </w:r>
          </w:p>
          <w:p w14:paraId="6025805D" w14:textId="1DA50009" w:rsidR="00724945" w:rsidRPr="00E0548A" w:rsidRDefault="00724945" w:rsidP="00724945">
            <w:pPr>
              <w:adjustRightInd w:val="0"/>
              <w:snapToGrid w:val="0"/>
              <w:spacing w:line="240" w:lineRule="exact"/>
              <w:jc w:val="left"/>
              <w:rPr>
                <w:rFonts w:ascii="ＭＳ ゴシック" w:eastAsia="ＭＳ ゴシック" w:hAnsi="ＭＳ ゴシック"/>
                <w:w w:val="50"/>
                <w:sz w:val="18"/>
                <w:szCs w:val="18"/>
              </w:rPr>
            </w:pPr>
            <w:r w:rsidRPr="00E0548A">
              <w:rPr>
                <w:rFonts w:ascii="ＭＳ ゴシック" w:eastAsia="ＭＳ ゴシック" w:hAnsi="ＭＳ ゴシック" w:hint="eastAsia"/>
                <w:w w:val="50"/>
                <w:sz w:val="18"/>
                <w:szCs w:val="18"/>
              </w:rPr>
              <w:t>○府社協、おおさか災害支援ネットワーク、JVOAD及び内閣府との情報共有会議の開催（新別館北館４F職員会議室７・8）(受援</w:t>
            </w:r>
            <w:r w:rsidR="002448B5" w:rsidRPr="00E0548A">
              <w:rPr>
                <w:rFonts w:ascii="ＭＳ ゴシック" w:eastAsia="ＭＳ ゴシック" w:hAnsi="ＭＳ ゴシック" w:hint="eastAsia"/>
                <w:w w:val="50"/>
                <w:sz w:val="18"/>
                <w:szCs w:val="18"/>
              </w:rPr>
              <w:t>・応援</w:t>
            </w:r>
            <w:r w:rsidRPr="00E0548A">
              <w:rPr>
                <w:rFonts w:ascii="ＭＳ ゴシック" w:eastAsia="ＭＳ ゴシック" w:hAnsi="ＭＳ ゴシック" w:hint="eastAsia"/>
                <w:w w:val="50"/>
                <w:sz w:val="18"/>
                <w:szCs w:val="18"/>
              </w:rPr>
              <w:t>班と連携）</w:t>
            </w:r>
          </w:p>
        </w:tc>
        <w:tc>
          <w:tcPr>
            <w:tcW w:w="3580" w:type="dxa"/>
            <w:tcBorders>
              <w:top w:val="single" w:sz="4" w:space="0" w:color="auto"/>
              <w:left w:val="single" w:sz="4" w:space="0" w:color="auto"/>
              <w:right w:val="single" w:sz="4" w:space="0" w:color="auto"/>
            </w:tcBorders>
            <w:vAlign w:val="center"/>
          </w:tcPr>
          <w:p w14:paraId="19BA4A73" w14:textId="01DDB281" w:rsidR="00495626" w:rsidRPr="00E0548A" w:rsidRDefault="00495626" w:rsidP="00495626">
            <w:pPr>
              <w:adjustRightInd w:val="0"/>
              <w:snapToGrid w:val="0"/>
              <w:spacing w:line="240" w:lineRule="exact"/>
              <w:jc w:val="left"/>
              <w:rPr>
                <w:rFonts w:ascii="ＭＳ ゴシック" w:eastAsia="ＭＳ ゴシック" w:hAnsi="ＭＳ ゴシック"/>
                <w:w w:val="50"/>
                <w:sz w:val="18"/>
                <w:szCs w:val="18"/>
              </w:rPr>
            </w:pPr>
            <w:r w:rsidRPr="00E0548A">
              <w:rPr>
                <w:rFonts w:ascii="ＭＳ ゴシック" w:eastAsia="ＭＳ ゴシック" w:hAnsi="ＭＳ ゴシック" w:hint="eastAsia"/>
                <w:w w:val="50"/>
                <w:sz w:val="18"/>
                <w:szCs w:val="18"/>
              </w:rPr>
              <w:lastRenderedPageBreak/>
              <w:t>班長：災害対策課長　　副班長：災害対策課参事</w:t>
            </w:r>
            <w:r w:rsidR="0078368D" w:rsidRPr="00E0548A">
              <w:rPr>
                <w:rFonts w:ascii="ＭＳ ゴシック" w:eastAsia="ＭＳ ゴシック" w:hAnsi="ＭＳ ゴシック" w:hint="eastAsia"/>
                <w:w w:val="50"/>
                <w:sz w:val="18"/>
                <w:szCs w:val="18"/>
              </w:rPr>
              <w:t>(</w:t>
            </w:r>
            <w:r w:rsidR="00DD4847" w:rsidRPr="00E0548A">
              <w:rPr>
                <w:rFonts w:ascii="ＭＳ ゴシック" w:eastAsia="ＭＳ ゴシック" w:hAnsi="ＭＳ ゴシック" w:hint="eastAsia"/>
                <w:w w:val="50"/>
                <w:sz w:val="18"/>
                <w:szCs w:val="18"/>
              </w:rPr>
              <w:t>1</w:t>
            </w:r>
            <w:r w:rsidR="0078368D" w:rsidRPr="00E0548A">
              <w:rPr>
                <w:rFonts w:ascii="ＭＳ ゴシック" w:eastAsia="ＭＳ ゴシック" w:hAnsi="ＭＳ ゴシック" w:hint="eastAsia"/>
                <w:w w:val="50"/>
                <w:sz w:val="18"/>
                <w:szCs w:val="18"/>
              </w:rPr>
              <w:t>名</w:t>
            </w:r>
            <w:r w:rsidR="0078368D" w:rsidRPr="00E0548A">
              <w:rPr>
                <w:rFonts w:ascii="ＭＳ ゴシック" w:eastAsia="ＭＳ ゴシック" w:hAnsi="ＭＳ ゴシック"/>
                <w:w w:val="50"/>
                <w:sz w:val="18"/>
                <w:szCs w:val="18"/>
              </w:rPr>
              <w:t>)</w:t>
            </w:r>
          </w:p>
        </w:tc>
      </w:tr>
      <w:tr w:rsidR="001D6D10" w:rsidRPr="00E0548A" w14:paraId="44087E1A" w14:textId="77777777" w:rsidTr="006E52DA">
        <w:trPr>
          <w:cantSplit/>
          <w:trHeight w:val="748"/>
        </w:trPr>
        <w:tc>
          <w:tcPr>
            <w:tcW w:w="576" w:type="dxa"/>
            <w:vMerge/>
            <w:tcBorders>
              <w:top w:val="single" w:sz="4" w:space="0" w:color="auto"/>
              <w:left w:val="single" w:sz="4" w:space="0" w:color="auto"/>
              <w:bottom w:val="single" w:sz="4" w:space="0" w:color="auto"/>
              <w:right w:val="single" w:sz="4" w:space="0" w:color="auto"/>
            </w:tcBorders>
            <w:vAlign w:val="center"/>
            <w:hideMark/>
          </w:tcPr>
          <w:p w14:paraId="5CDA084B" w14:textId="77777777" w:rsidR="00495626" w:rsidRPr="00E0548A" w:rsidRDefault="00495626" w:rsidP="00495626">
            <w:pPr>
              <w:widowControl/>
              <w:adjustRightInd w:val="0"/>
              <w:snapToGrid w:val="0"/>
              <w:spacing w:line="240" w:lineRule="exact"/>
              <w:jc w:val="left"/>
              <w:rPr>
                <w:rFonts w:ascii="ＭＳ ゴシック" w:eastAsia="ＭＳ ゴシック" w:hAnsi="ＭＳ ゴシック"/>
                <w:w w:val="50"/>
                <w:sz w:val="18"/>
                <w:szCs w:val="18"/>
              </w:rPr>
            </w:pPr>
          </w:p>
        </w:tc>
        <w:tc>
          <w:tcPr>
            <w:tcW w:w="5200" w:type="dxa"/>
            <w:vMerge/>
            <w:tcBorders>
              <w:left w:val="single" w:sz="4" w:space="0" w:color="auto"/>
              <w:right w:val="single" w:sz="4" w:space="0" w:color="auto"/>
            </w:tcBorders>
            <w:vAlign w:val="center"/>
          </w:tcPr>
          <w:p w14:paraId="337D1DF5" w14:textId="77777777" w:rsidR="00495626" w:rsidRPr="00E0548A" w:rsidRDefault="00495626" w:rsidP="00495626">
            <w:pPr>
              <w:widowControl/>
              <w:adjustRightInd w:val="0"/>
              <w:snapToGrid w:val="0"/>
              <w:spacing w:line="240" w:lineRule="exact"/>
              <w:jc w:val="left"/>
              <w:rPr>
                <w:rFonts w:ascii="ＭＳ ゴシック" w:eastAsia="ＭＳ ゴシック" w:hAnsi="ＭＳ ゴシック"/>
                <w:w w:val="50"/>
                <w:sz w:val="18"/>
                <w:szCs w:val="18"/>
              </w:rPr>
            </w:pPr>
          </w:p>
        </w:tc>
        <w:tc>
          <w:tcPr>
            <w:tcW w:w="3580" w:type="dxa"/>
            <w:vMerge w:val="restart"/>
            <w:tcBorders>
              <w:top w:val="single" w:sz="4" w:space="0" w:color="auto"/>
              <w:left w:val="single" w:sz="4" w:space="0" w:color="auto"/>
              <w:right w:val="single" w:sz="4" w:space="0" w:color="auto"/>
            </w:tcBorders>
            <w:vAlign w:val="center"/>
          </w:tcPr>
          <w:p w14:paraId="61F30B61" w14:textId="77777777" w:rsidR="00495626" w:rsidRPr="00E0548A" w:rsidRDefault="00495626" w:rsidP="00B35001">
            <w:pPr>
              <w:adjustRightInd w:val="0"/>
              <w:snapToGrid w:val="0"/>
              <w:spacing w:line="240" w:lineRule="exact"/>
              <w:jc w:val="left"/>
              <w:rPr>
                <w:rFonts w:ascii="ＭＳ ゴシック" w:eastAsia="ＭＳ ゴシック" w:hAnsi="ＭＳ ゴシック"/>
                <w:w w:val="50"/>
                <w:sz w:val="18"/>
                <w:szCs w:val="18"/>
              </w:rPr>
            </w:pPr>
            <w:r w:rsidRPr="00E0548A">
              <w:rPr>
                <w:rFonts w:ascii="ＭＳ ゴシック" w:eastAsia="ＭＳ ゴシック" w:hAnsi="ＭＳ ゴシック" w:hint="eastAsia"/>
                <w:w w:val="50"/>
                <w:sz w:val="18"/>
                <w:szCs w:val="18"/>
              </w:rPr>
              <w:t>危機管理室(15名)</w:t>
            </w:r>
          </w:p>
        </w:tc>
      </w:tr>
      <w:tr w:rsidR="001D6D10" w:rsidRPr="00E0548A" w14:paraId="661D1107" w14:textId="77777777" w:rsidTr="006E52DA">
        <w:trPr>
          <w:cantSplit/>
          <w:trHeight w:val="1283"/>
        </w:trPr>
        <w:tc>
          <w:tcPr>
            <w:tcW w:w="576" w:type="dxa"/>
            <w:vMerge/>
            <w:tcBorders>
              <w:top w:val="single" w:sz="4" w:space="0" w:color="auto"/>
              <w:left w:val="single" w:sz="4" w:space="0" w:color="auto"/>
              <w:bottom w:val="single" w:sz="4" w:space="0" w:color="auto"/>
              <w:right w:val="single" w:sz="4" w:space="0" w:color="auto"/>
            </w:tcBorders>
            <w:vAlign w:val="center"/>
            <w:hideMark/>
          </w:tcPr>
          <w:p w14:paraId="14DA7A93" w14:textId="77777777" w:rsidR="00495626" w:rsidRPr="00E0548A" w:rsidRDefault="00495626" w:rsidP="00495626">
            <w:pPr>
              <w:widowControl/>
              <w:adjustRightInd w:val="0"/>
              <w:snapToGrid w:val="0"/>
              <w:spacing w:line="240" w:lineRule="exact"/>
              <w:jc w:val="left"/>
              <w:rPr>
                <w:rFonts w:ascii="ＭＳ ゴシック" w:eastAsia="ＭＳ ゴシック" w:hAnsi="ＭＳ ゴシック"/>
                <w:w w:val="50"/>
                <w:sz w:val="18"/>
                <w:szCs w:val="18"/>
              </w:rPr>
            </w:pPr>
          </w:p>
        </w:tc>
        <w:tc>
          <w:tcPr>
            <w:tcW w:w="5200" w:type="dxa"/>
            <w:vMerge/>
            <w:tcBorders>
              <w:left w:val="single" w:sz="4" w:space="0" w:color="auto"/>
              <w:right w:val="single" w:sz="4" w:space="0" w:color="auto"/>
            </w:tcBorders>
            <w:vAlign w:val="center"/>
          </w:tcPr>
          <w:p w14:paraId="1C9D05B0" w14:textId="77777777" w:rsidR="00495626" w:rsidRPr="00E0548A" w:rsidRDefault="00495626" w:rsidP="00495626">
            <w:pPr>
              <w:adjustRightInd w:val="0"/>
              <w:snapToGrid w:val="0"/>
              <w:spacing w:line="240" w:lineRule="exact"/>
              <w:jc w:val="left"/>
              <w:rPr>
                <w:rFonts w:ascii="ＭＳ ゴシック" w:eastAsia="ＭＳ ゴシック" w:hAnsi="ＭＳ ゴシック"/>
                <w:w w:val="50"/>
                <w:sz w:val="18"/>
                <w:szCs w:val="18"/>
              </w:rPr>
            </w:pPr>
          </w:p>
        </w:tc>
        <w:tc>
          <w:tcPr>
            <w:tcW w:w="3580" w:type="dxa"/>
            <w:vMerge/>
            <w:tcBorders>
              <w:left w:val="single" w:sz="4" w:space="0" w:color="auto"/>
              <w:right w:val="single" w:sz="4" w:space="0" w:color="auto"/>
            </w:tcBorders>
            <w:vAlign w:val="center"/>
          </w:tcPr>
          <w:p w14:paraId="4EEFF1D3" w14:textId="77777777" w:rsidR="00495626" w:rsidRPr="00E0548A" w:rsidRDefault="00495626" w:rsidP="00495626">
            <w:pPr>
              <w:adjustRightInd w:val="0"/>
              <w:snapToGrid w:val="0"/>
              <w:spacing w:line="240" w:lineRule="exact"/>
              <w:jc w:val="center"/>
              <w:rPr>
                <w:rFonts w:ascii="ＭＳ ゴシック" w:eastAsia="ＭＳ ゴシック" w:hAnsi="ＭＳ ゴシック"/>
                <w:w w:val="50"/>
                <w:sz w:val="18"/>
                <w:szCs w:val="18"/>
              </w:rPr>
            </w:pPr>
          </w:p>
        </w:tc>
      </w:tr>
      <w:tr w:rsidR="001D6D10" w:rsidRPr="00E0548A" w14:paraId="66BD0B63" w14:textId="77777777" w:rsidTr="006E52DA">
        <w:trPr>
          <w:cantSplit/>
          <w:trHeight w:val="1103"/>
        </w:trPr>
        <w:tc>
          <w:tcPr>
            <w:tcW w:w="576" w:type="dxa"/>
            <w:vMerge/>
            <w:tcBorders>
              <w:top w:val="single" w:sz="4" w:space="0" w:color="auto"/>
              <w:left w:val="single" w:sz="4" w:space="0" w:color="auto"/>
              <w:bottom w:val="single" w:sz="4" w:space="0" w:color="auto"/>
              <w:right w:val="single" w:sz="4" w:space="0" w:color="auto"/>
            </w:tcBorders>
            <w:vAlign w:val="center"/>
          </w:tcPr>
          <w:p w14:paraId="04233088" w14:textId="77777777" w:rsidR="00495626" w:rsidRPr="00E0548A" w:rsidRDefault="00495626" w:rsidP="00495626">
            <w:pPr>
              <w:widowControl/>
              <w:adjustRightInd w:val="0"/>
              <w:snapToGrid w:val="0"/>
              <w:spacing w:line="240" w:lineRule="exact"/>
              <w:jc w:val="left"/>
              <w:rPr>
                <w:rFonts w:ascii="ＭＳ ゴシック" w:eastAsia="ＭＳ ゴシック" w:hAnsi="ＭＳ ゴシック"/>
                <w:w w:val="50"/>
                <w:sz w:val="18"/>
                <w:szCs w:val="18"/>
              </w:rPr>
            </w:pPr>
          </w:p>
        </w:tc>
        <w:tc>
          <w:tcPr>
            <w:tcW w:w="5200" w:type="dxa"/>
            <w:vMerge/>
            <w:tcBorders>
              <w:left w:val="single" w:sz="4" w:space="0" w:color="auto"/>
              <w:bottom w:val="single" w:sz="4" w:space="0" w:color="auto"/>
              <w:right w:val="single" w:sz="4" w:space="0" w:color="auto"/>
            </w:tcBorders>
            <w:vAlign w:val="center"/>
          </w:tcPr>
          <w:p w14:paraId="550995F7" w14:textId="77777777" w:rsidR="00495626" w:rsidRPr="00E0548A" w:rsidRDefault="00495626" w:rsidP="00495626">
            <w:pPr>
              <w:adjustRightInd w:val="0"/>
              <w:snapToGrid w:val="0"/>
              <w:spacing w:line="240" w:lineRule="exact"/>
              <w:jc w:val="left"/>
              <w:rPr>
                <w:rFonts w:ascii="ＭＳ ゴシック" w:eastAsia="ＭＳ ゴシック" w:hAnsi="ＭＳ ゴシック"/>
                <w:w w:val="50"/>
                <w:sz w:val="18"/>
                <w:szCs w:val="18"/>
              </w:rPr>
            </w:pPr>
          </w:p>
        </w:tc>
        <w:tc>
          <w:tcPr>
            <w:tcW w:w="3580" w:type="dxa"/>
            <w:vMerge/>
            <w:tcBorders>
              <w:left w:val="single" w:sz="4" w:space="0" w:color="auto"/>
              <w:bottom w:val="single" w:sz="4" w:space="0" w:color="auto"/>
              <w:right w:val="single" w:sz="4" w:space="0" w:color="auto"/>
            </w:tcBorders>
            <w:vAlign w:val="center"/>
          </w:tcPr>
          <w:p w14:paraId="6BCB0649" w14:textId="77777777" w:rsidR="00495626" w:rsidRPr="00E0548A" w:rsidRDefault="00495626" w:rsidP="00495626">
            <w:pPr>
              <w:adjustRightInd w:val="0"/>
              <w:snapToGrid w:val="0"/>
              <w:spacing w:line="240" w:lineRule="exact"/>
              <w:jc w:val="center"/>
              <w:rPr>
                <w:rFonts w:ascii="ＭＳ ゴシック" w:eastAsia="ＭＳ ゴシック" w:hAnsi="ＭＳ ゴシック"/>
                <w:w w:val="50"/>
                <w:sz w:val="18"/>
                <w:szCs w:val="18"/>
              </w:rPr>
            </w:pPr>
          </w:p>
        </w:tc>
      </w:tr>
      <w:tr w:rsidR="001D6D10" w:rsidRPr="00E0548A" w14:paraId="4750ABC8" w14:textId="77777777" w:rsidTr="006E52DA">
        <w:trPr>
          <w:cantSplit/>
          <w:trHeight w:val="526"/>
        </w:trPr>
        <w:tc>
          <w:tcPr>
            <w:tcW w:w="576" w:type="dxa"/>
            <w:vMerge/>
            <w:tcBorders>
              <w:top w:val="single" w:sz="4" w:space="0" w:color="auto"/>
              <w:left w:val="single" w:sz="4" w:space="0" w:color="auto"/>
              <w:bottom w:val="single" w:sz="4" w:space="0" w:color="auto"/>
              <w:right w:val="single" w:sz="4" w:space="0" w:color="auto"/>
            </w:tcBorders>
            <w:vAlign w:val="center"/>
            <w:hideMark/>
          </w:tcPr>
          <w:p w14:paraId="7D6AD251" w14:textId="77777777" w:rsidR="00495626" w:rsidRPr="00E0548A" w:rsidRDefault="00495626" w:rsidP="00495626">
            <w:pPr>
              <w:widowControl/>
              <w:adjustRightInd w:val="0"/>
              <w:snapToGrid w:val="0"/>
              <w:spacing w:line="240" w:lineRule="exact"/>
              <w:jc w:val="left"/>
              <w:rPr>
                <w:rFonts w:ascii="ＭＳ ゴシック" w:eastAsia="ＭＳ ゴシック" w:hAnsi="ＭＳ ゴシック"/>
                <w:w w:val="50"/>
                <w:sz w:val="18"/>
                <w:szCs w:val="18"/>
              </w:rPr>
            </w:pPr>
          </w:p>
        </w:tc>
        <w:tc>
          <w:tcPr>
            <w:tcW w:w="5200" w:type="dxa"/>
            <w:tcBorders>
              <w:top w:val="single" w:sz="4" w:space="0" w:color="auto"/>
              <w:left w:val="single" w:sz="4" w:space="0" w:color="auto"/>
              <w:bottom w:val="single" w:sz="4" w:space="0" w:color="auto"/>
              <w:right w:val="single" w:sz="4" w:space="0" w:color="auto"/>
            </w:tcBorders>
            <w:vAlign w:val="center"/>
          </w:tcPr>
          <w:p w14:paraId="06136936" w14:textId="77777777" w:rsidR="00495626" w:rsidRPr="00E0548A" w:rsidRDefault="00495626" w:rsidP="00495626">
            <w:pPr>
              <w:adjustRightInd w:val="0"/>
              <w:snapToGrid w:val="0"/>
              <w:spacing w:line="240" w:lineRule="exact"/>
              <w:jc w:val="left"/>
              <w:rPr>
                <w:rFonts w:ascii="ＭＳ ゴシック" w:eastAsia="ＭＳ ゴシック" w:hAnsi="ＭＳ ゴシック"/>
                <w:w w:val="50"/>
                <w:sz w:val="18"/>
                <w:szCs w:val="18"/>
              </w:rPr>
            </w:pPr>
            <w:r w:rsidRPr="00E0548A">
              <w:rPr>
                <w:rFonts w:ascii="ＭＳ ゴシック" w:eastAsia="ＭＳ ゴシック" w:hAnsi="ＭＳ ゴシック" w:hint="eastAsia"/>
                <w:w w:val="50"/>
                <w:sz w:val="18"/>
                <w:szCs w:val="18"/>
              </w:rPr>
              <w:t>○支援物資の検品入出庫調整(対策２Ｇと連携)</w:t>
            </w:r>
          </w:p>
          <w:p w14:paraId="31B7F2CB" w14:textId="77777777" w:rsidR="00495626" w:rsidRPr="00E0548A" w:rsidRDefault="00495626" w:rsidP="00495626">
            <w:pPr>
              <w:adjustRightInd w:val="0"/>
              <w:snapToGrid w:val="0"/>
              <w:spacing w:line="240" w:lineRule="exact"/>
              <w:jc w:val="left"/>
              <w:rPr>
                <w:rFonts w:ascii="ＭＳ ゴシック" w:eastAsia="ＭＳ ゴシック" w:hAnsi="ＭＳ ゴシック"/>
                <w:w w:val="50"/>
                <w:sz w:val="18"/>
                <w:szCs w:val="18"/>
              </w:rPr>
            </w:pPr>
            <w:r w:rsidRPr="00E0548A">
              <w:rPr>
                <w:rFonts w:ascii="ＭＳ ゴシック" w:eastAsia="ＭＳ ゴシック" w:hAnsi="ＭＳ ゴシック" w:hint="eastAsia"/>
                <w:w w:val="50"/>
                <w:sz w:val="18"/>
                <w:szCs w:val="18"/>
              </w:rPr>
              <w:t>○3拠点の運営(物流事業者、関係機関等との調整)</w:t>
            </w:r>
          </w:p>
        </w:tc>
        <w:tc>
          <w:tcPr>
            <w:tcW w:w="3580" w:type="dxa"/>
            <w:tcBorders>
              <w:top w:val="single" w:sz="4" w:space="0" w:color="auto"/>
              <w:left w:val="single" w:sz="4" w:space="0" w:color="auto"/>
              <w:bottom w:val="single" w:sz="4" w:space="0" w:color="auto"/>
              <w:right w:val="single" w:sz="4" w:space="0" w:color="auto"/>
            </w:tcBorders>
            <w:vAlign w:val="center"/>
          </w:tcPr>
          <w:p w14:paraId="78EA15BB" w14:textId="77777777" w:rsidR="00495626" w:rsidRPr="00E0548A" w:rsidRDefault="00495626" w:rsidP="00B35001">
            <w:pPr>
              <w:adjustRightInd w:val="0"/>
              <w:snapToGrid w:val="0"/>
              <w:spacing w:line="240" w:lineRule="exact"/>
              <w:jc w:val="left"/>
              <w:rPr>
                <w:rFonts w:ascii="ＭＳ ゴシック" w:eastAsia="ＭＳ ゴシック" w:hAnsi="ＭＳ ゴシック"/>
                <w:w w:val="50"/>
                <w:sz w:val="18"/>
                <w:szCs w:val="18"/>
              </w:rPr>
            </w:pPr>
            <w:r w:rsidRPr="00E0548A">
              <w:rPr>
                <w:rFonts w:ascii="ＭＳ ゴシック" w:eastAsia="ＭＳ ゴシック" w:hAnsi="ＭＳ ゴシック" w:hint="eastAsia"/>
                <w:w w:val="50"/>
                <w:sz w:val="18"/>
                <w:szCs w:val="18"/>
              </w:rPr>
              <w:t>危機管理室(3名)</w:t>
            </w:r>
          </w:p>
        </w:tc>
      </w:tr>
      <w:tr w:rsidR="001D6D10" w:rsidRPr="00E0548A" w14:paraId="42AD4693" w14:textId="77777777" w:rsidTr="006E52DA">
        <w:trPr>
          <w:cantSplit/>
          <w:trHeight w:val="986"/>
        </w:trPr>
        <w:tc>
          <w:tcPr>
            <w:tcW w:w="576" w:type="dxa"/>
            <w:tcBorders>
              <w:top w:val="single" w:sz="4" w:space="0" w:color="auto"/>
              <w:left w:val="single" w:sz="4" w:space="0" w:color="auto"/>
              <w:bottom w:val="single" w:sz="4" w:space="0" w:color="auto"/>
              <w:right w:val="single" w:sz="4" w:space="0" w:color="auto"/>
            </w:tcBorders>
            <w:textDirection w:val="tbRlV"/>
            <w:vAlign w:val="center"/>
          </w:tcPr>
          <w:p w14:paraId="7CDAF371" w14:textId="0EA295DB" w:rsidR="008D2399" w:rsidRPr="00E0548A" w:rsidRDefault="008D2399" w:rsidP="008D2399">
            <w:pPr>
              <w:widowControl/>
              <w:adjustRightInd w:val="0"/>
              <w:snapToGrid w:val="0"/>
              <w:spacing w:line="240" w:lineRule="exact"/>
              <w:ind w:left="113" w:right="113"/>
              <w:jc w:val="center"/>
              <w:rPr>
                <w:rFonts w:ascii="ＭＳ ゴシック" w:eastAsia="ＭＳ ゴシック" w:hAnsi="ＭＳ ゴシック"/>
                <w:w w:val="50"/>
                <w:sz w:val="18"/>
                <w:szCs w:val="18"/>
              </w:rPr>
            </w:pPr>
            <w:r w:rsidRPr="00E0548A">
              <w:rPr>
                <w:rFonts w:ascii="ＭＳ ゴシック" w:eastAsia="ＭＳ ゴシック" w:hAnsi="ＭＳ ゴシック" w:hint="eastAsia"/>
                <w:kern w:val="0"/>
                <w:sz w:val="18"/>
                <w:szCs w:val="18"/>
              </w:rPr>
              <w:t>受援</w:t>
            </w:r>
            <w:r w:rsidR="002448B5" w:rsidRPr="00E0548A">
              <w:rPr>
                <w:rFonts w:ascii="ＭＳ ゴシック" w:eastAsia="ＭＳ ゴシック" w:hAnsi="ＭＳ ゴシック" w:hint="eastAsia"/>
                <w:kern w:val="0"/>
                <w:sz w:val="18"/>
                <w:szCs w:val="18"/>
              </w:rPr>
              <w:t>・応援</w:t>
            </w:r>
            <w:r w:rsidRPr="00E0548A">
              <w:rPr>
                <w:rFonts w:ascii="ＭＳ ゴシック" w:eastAsia="ＭＳ ゴシック" w:hAnsi="ＭＳ ゴシック" w:hint="eastAsia"/>
                <w:kern w:val="0"/>
                <w:sz w:val="18"/>
                <w:szCs w:val="18"/>
              </w:rPr>
              <w:t>班</w:t>
            </w:r>
          </w:p>
        </w:tc>
        <w:tc>
          <w:tcPr>
            <w:tcW w:w="5200" w:type="dxa"/>
            <w:tcBorders>
              <w:top w:val="single" w:sz="4" w:space="0" w:color="auto"/>
              <w:left w:val="single" w:sz="4" w:space="0" w:color="auto"/>
              <w:bottom w:val="single" w:sz="4" w:space="0" w:color="auto"/>
              <w:right w:val="single" w:sz="4" w:space="0" w:color="auto"/>
            </w:tcBorders>
          </w:tcPr>
          <w:p w14:paraId="76BA2371" w14:textId="77777777" w:rsidR="008D2399" w:rsidRPr="00E0548A" w:rsidRDefault="008D2399" w:rsidP="008D2399">
            <w:pPr>
              <w:adjustRightInd w:val="0"/>
              <w:snapToGrid w:val="0"/>
              <w:spacing w:line="240" w:lineRule="exact"/>
              <w:rPr>
                <w:rFonts w:ascii="ＭＳ ゴシック" w:eastAsia="ＭＳ ゴシック" w:hAnsi="ＭＳ ゴシック"/>
                <w:w w:val="50"/>
                <w:sz w:val="18"/>
                <w:szCs w:val="18"/>
              </w:rPr>
            </w:pPr>
            <w:r w:rsidRPr="00E0548A">
              <w:rPr>
                <w:rFonts w:ascii="ＭＳ ゴシック" w:eastAsia="ＭＳ ゴシック" w:hAnsi="ＭＳ ゴシック" w:hint="eastAsia"/>
                <w:kern w:val="0"/>
                <w:sz w:val="18"/>
                <w:szCs w:val="18"/>
              </w:rPr>
              <w:t>（必要に応じて設置）</w:t>
            </w:r>
          </w:p>
          <w:p w14:paraId="5DEEADBF" w14:textId="77777777" w:rsidR="008D2399" w:rsidRPr="00E0548A" w:rsidRDefault="008D2399" w:rsidP="008D2399">
            <w:pPr>
              <w:adjustRightInd w:val="0"/>
              <w:snapToGrid w:val="0"/>
              <w:spacing w:line="240" w:lineRule="exact"/>
              <w:rPr>
                <w:rFonts w:ascii="ＭＳ ゴシック" w:eastAsia="ＭＳ ゴシック" w:hAnsi="ＭＳ ゴシック"/>
                <w:w w:val="50"/>
                <w:sz w:val="18"/>
                <w:szCs w:val="18"/>
              </w:rPr>
            </w:pPr>
            <w:r w:rsidRPr="00E0548A">
              <w:rPr>
                <w:rFonts w:ascii="ＭＳ ゴシック" w:eastAsia="ＭＳ ゴシック" w:hAnsi="ＭＳ ゴシック" w:hint="eastAsia"/>
                <w:w w:val="50"/>
                <w:sz w:val="18"/>
                <w:szCs w:val="18"/>
              </w:rPr>
              <w:t>【市町村応援に関する事】</w:t>
            </w:r>
          </w:p>
          <w:p w14:paraId="288C506E" w14:textId="77777777" w:rsidR="008D2399" w:rsidRPr="00E0548A" w:rsidRDefault="008D2399" w:rsidP="008D2399">
            <w:pPr>
              <w:adjustRightInd w:val="0"/>
              <w:snapToGrid w:val="0"/>
              <w:spacing w:line="240" w:lineRule="exact"/>
              <w:rPr>
                <w:rFonts w:ascii="ＭＳ ゴシック" w:eastAsia="ＭＳ ゴシック" w:hAnsi="ＭＳ ゴシック"/>
                <w:w w:val="50"/>
                <w:sz w:val="18"/>
                <w:szCs w:val="18"/>
              </w:rPr>
            </w:pPr>
          </w:p>
          <w:p w14:paraId="29F64FD9" w14:textId="42B27D1D" w:rsidR="008D2399" w:rsidRPr="00E0548A" w:rsidRDefault="008D2399" w:rsidP="008D2399">
            <w:pPr>
              <w:adjustRightInd w:val="0"/>
              <w:snapToGrid w:val="0"/>
              <w:spacing w:line="240" w:lineRule="exact"/>
              <w:rPr>
                <w:rFonts w:ascii="ＭＳ ゴシック" w:eastAsia="ＭＳ ゴシック" w:hAnsi="ＭＳ ゴシック"/>
                <w:w w:val="50"/>
                <w:sz w:val="18"/>
                <w:szCs w:val="18"/>
              </w:rPr>
            </w:pPr>
            <w:r w:rsidRPr="00E0548A">
              <w:rPr>
                <w:rFonts w:ascii="ＭＳ ゴシック" w:eastAsia="ＭＳ ゴシック" w:hAnsi="ＭＳ ゴシック" w:hint="eastAsia"/>
                <w:w w:val="50"/>
                <w:sz w:val="18"/>
                <w:szCs w:val="18"/>
              </w:rPr>
              <w:t>〇</w:t>
            </w:r>
            <w:r w:rsidR="0095254A" w:rsidRPr="00E0548A">
              <w:rPr>
                <w:rFonts w:ascii="ＭＳ ゴシック" w:eastAsia="ＭＳ ゴシック" w:hAnsi="ＭＳ ゴシック" w:hint="eastAsia"/>
                <w:w w:val="50"/>
                <w:sz w:val="18"/>
                <w:szCs w:val="18"/>
              </w:rPr>
              <w:t>企画厚生課・人事課</w:t>
            </w:r>
            <w:r w:rsidRPr="00E0548A">
              <w:rPr>
                <w:rFonts w:ascii="ＭＳ ゴシック" w:eastAsia="ＭＳ ゴシック" w:hAnsi="ＭＳ ゴシック" w:hint="eastAsia"/>
                <w:w w:val="50"/>
                <w:sz w:val="18"/>
                <w:szCs w:val="18"/>
              </w:rPr>
              <w:t>との調整（総務・企画Gと連携）</w:t>
            </w:r>
          </w:p>
          <w:p w14:paraId="69620109" w14:textId="77777777" w:rsidR="008D2399" w:rsidRPr="00E0548A" w:rsidRDefault="008D2399" w:rsidP="008D2399">
            <w:pPr>
              <w:adjustRightInd w:val="0"/>
              <w:snapToGrid w:val="0"/>
              <w:spacing w:line="240" w:lineRule="exact"/>
              <w:rPr>
                <w:rFonts w:ascii="ＭＳ ゴシック" w:eastAsia="ＭＳ ゴシック" w:hAnsi="ＭＳ ゴシック"/>
                <w:w w:val="50"/>
                <w:sz w:val="18"/>
                <w:szCs w:val="18"/>
              </w:rPr>
            </w:pPr>
            <w:r w:rsidRPr="00E0548A">
              <w:rPr>
                <w:rFonts w:ascii="ＭＳ ゴシック" w:eastAsia="ＭＳ ゴシック" w:hAnsi="ＭＳ ゴシック" w:hint="eastAsia"/>
                <w:w w:val="50"/>
                <w:sz w:val="18"/>
                <w:szCs w:val="18"/>
              </w:rPr>
              <w:t>〇被災市町村のニーズ掌握、応援内容の調整</w:t>
            </w:r>
          </w:p>
          <w:p w14:paraId="6FCEA1DD" w14:textId="77777777" w:rsidR="008D2399" w:rsidRPr="00E0548A" w:rsidRDefault="008D2399" w:rsidP="008D2399">
            <w:pPr>
              <w:adjustRightInd w:val="0"/>
              <w:snapToGrid w:val="0"/>
              <w:spacing w:line="240" w:lineRule="exact"/>
              <w:rPr>
                <w:rFonts w:ascii="ＭＳ ゴシック" w:eastAsia="ＭＳ ゴシック" w:hAnsi="ＭＳ ゴシック"/>
                <w:w w:val="50"/>
                <w:sz w:val="18"/>
                <w:szCs w:val="18"/>
              </w:rPr>
            </w:pPr>
            <w:r w:rsidRPr="00E0548A">
              <w:rPr>
                <w:rFonts w:ascii="ＭＳ ゴシック" w:eastAsia="ＭＳ ゴシック" w:hAnsi="ＭＳ ゴシック" w:hint="eastAsia"/>
                <w:w w:val="50"/>
                <w:sz w:val="18"/>
                <w:szCs w:val="18"/>
              </w:rPr>
              <w:t>〇庁内各部局及び非被災市町村から応援職員を徴募</w:t>
            </w:r>
          </w:p>
          <w:p w14:paraId="65249531" w14:textId="77777777" w:rsidR="008D2399" w:rsidRPr="00E0548A" w:rsidRDefault="008D2399" w:rsidP="008D2399">
            <w:pPr>
              <w:adjustRightInd w:val="0"/>
              <w:snapToGrid w:val="0"/>
              <w:spacing w:line="240" w:lineRule="exact"/>
              <w:rPr>
                <w:rFonts w:ascii="ＭＳ ゴシック" w:eastAsia="ＭＳ ゴシック" w:hAnsi="ＭＳ ゴシック"/>
                <w:w w:val="50"/>
                <w:sz w:val="18"/>
                <w:szCs w:val="18"/>
              </w:rPr>
            </w:pPr>
            <w:r w:rsidRPr="00E0548A">
              <w:rPr>
                <w:rFonts w:ascii="ＭＳ ゴシック" w:eastAsia="ＭＳ ゴシック" w:hAnsi="ＭＳ ゴシック" w:hint="eastAsia"/>
                <w:w w:val="50"/>
                <w:sz w:val="18"/>
                <w:szCs w:val="18"/>
              </w:rPr>
              <w:t>〇市長会、町村長会との調整</w:t>
            </w:r>
          </w:p>
          <w:p w14:paraId="477C6705" w14:textId="77777777" w:rsidR="008D2399" w:rsidRPr="00E0548A" w:rsidRDefault="008D2399" w:rsidP="008D2399">
            <w:pPr>
              <w:adjustRightInd w:val="0"/>
              <w:snapToGrid w:val="0"/>
              <w:spacing w:line="240" w:lineRule="exact"/>
              <w:rPr>
                <w:rFonts w:ascii="ＭＳ ゴシック" w:eastAsia="ＭＳ ゴシック" w:hAnsi="ＭＳ ゴシック"/>
                <w:w w:val="50"/>
                <w:sz w:val="18"/>
                <w:szCs w:val="18"/>
              </w:rPr>
            </w:pPr>
            <w:r w:rsidRPr="00E0548A">
              <w:rPr>
                <w:rFonts w:ascii="ＭＳ ゴシック" w:eastAsia="ＭＳ ゴシック" w:hAnsi="ＭＳ ゴシック" w:hint="eastAsia"/>
                <w:w w:val="50"/>
                <w:sz w:val="18"/>
                <w:szCs w:val="18"/>
              </w:rPr>
              <w:t>〇府庁職員・府内市町村・他府県からの応援職員派遣先の調整</w:t>
            </w:r>
          </w:p>
          <w:p w14:paraId="0A890C14" w14:textId="77777777" w:rsidR="008D2399" w:rsidRPr="00E0548A" w:rsidRDefault="008D2399" w:rsidP="008D2399">
            <w:pPr>
              <w:adjustRightInd w:val="0"/>
              <w:snapToGrid w:val="0"/>
              <w:spacing w:line="240" w:lineRule="exact"/>
              <w:rPr>
                <w:rFonts w:ascii="ＭＳ ゴシック" w:eastAsia="ＭＳ ゴシック" w:hAnsi="ＭＳ ゴシック"/>
                <w:w w:val="50"/>
                <w:sz w:val="18"/>
                <w:szCs w:val="18"/>
              </w:rPr>
            </w:pPr>
          </w:p>
          <w:p w14:paraId="46A105E6" w14:textId="77777777" w:rsidR="008D2399" w:rsidRPr="00E0548A" w:rsidRDefault="008D2399" w:rsidP="008D2399">
            <w:pPr>
              <w:adjustRightInd w:val="0"/>
              <w:snapToGrid w:val="0"/>
              <w:spacing w:line="240" w:lineRule="exact"/>
              <w:rPr>
                <w:rFonts w:ascii="ＭＳ ゴシック" w:eastAsia="ＭＳ ゴシック" w:hAnsi="ＭＳ ゴシック"/>
                <w:w w:val="50"/>
                <w:sz w:val="18"/>
                <w:szCs w:val="18"/>
              </w:rPr>
            </w:pPr>
            <w:r w:rsidRPr="00E0548A">
              <w:rPr>
                <w:rFonts w:ascii="ＭＳ ゴシック" w:eastAsia="ＭＳ ゴシック" w:hAnsi="ＭＳ ゴシック" w:hint="eastAsia"/>
                <w:w w:val="50"/>
                <w:sz w:val="18"/>
                <w:szCs w:val="18"/>
              </w:rPr>
              <w:t>【他府県等からの受援に関する事】</w:t>
            </w:r>
          </w:p>
          <w:p w14:paraId="2A6C2FF5" w14:textId="77777777" w:rsidR="008D2399" w:rsidRPr="00E0548A" w:rsidRDefault="008D2399" w:rsidP="008D2399">
            <w:pPr>
              <w:adjustRightInd w:val="0"/>
              <w:snapToGrid w:val="0"/>
              <w:spacing w:line="240" w:lineRule="exact"/>
              <w:rPr>
                <w:rFonts w:ascii="ＭＳ ゴシック" w:eastAsia="ＭＳ ゴシック" w:hAnsi="ＭＳ ゴシック"/>
                <w:w w:val="50"/>
                <w:sz w:val="18"/>
                <w:szCs w:val="18"/>
              </w:rPr>
            </w:pPr>
            <w:r w:rsidRPr="00E0548A">
              <w:rPr>
                <w:rFonts w:ascii="ＭＳ ゴシック" w:eastAsia="ＭＳ ゴシック" w:hAnsi="ＭＳ ゴシック" w:hint="eastAsia"/>
                <w:w w:val="50"/>
                <w:sz w:val="18"/>
                <w:szCs w:val="18"/>
              </w:rPr>
              <w:t>〇国関係機関の受入（内閣府、総務省、TECFORCE、各地方指定行政機関リエゾン）</w:t>
            </w:r>
          </w:p>
          <w:p w14:paraId="137896F5" w14:textId="77777777" w:rsidR="008D2399" w:rsidRPr="00E0548A" w:rsidRDefault="008D2399" w:rsidP="008D2399">
            <w:pPr>
              <w:adjustRightInd w:val="0"/>
              <w:snapToGrid w:val="0"/>
              <w:spacing w:line="240" w:lineRule="exact"/>
              <w:rPr>
                <w:rFonts w:ascii="ＭＳ ゴシック" w:eastAsia="ＭＳ ゴシック" w:hAnsi="ＭＳ ゴシック"/>
                <w:w w:val="50"/>
                <w:sz w:val="18"/>
                <w:szCs w:val="18"/>
              </w:rPr>
            </w:pPr>
            <w:r w:rsidRPr="00E0548A">
              <w:rPr>
                <w:rFonts w:ascii="ＭＳ ゴシック" w:eastAsia="ＭＳ ゴシック" w:hAnsi="ＭＳ ゴシック" w:hint="eastAsia"/>
                <w:w w:val="50"/>
                <w:sz w:val="18"/>
                <w:szCs w:val="18"/>
              </w:rPr>
              <w:t>〇国関係省庁情報連絡会議の準備及び記録（マスコミ非公開）</w:t>
            </w:r>
          </w:p>
          <w:p w14:paraId="1443FD63" w14:textId="77777777" w:rsidR="008D2399" w:rsidRPr="00E0548A" w:rsidRDefault="008D2399" w:rsidP="008D2399">
            <w:pPr>
              <w:adjustRightInd w:val="0"/>
              <w:snapToGrid w:val="0"/>
              <w:spacing w:line="240" w:lineRule="exact"/>
              <w:rPr>
                <w:rFonts w:ascii="ＭＳ ゴシック" w:eastAsia="ＭＳ ゴシック" w:hAnsi="ＭＳ ゴシック"/>
                <w:w w:val="50"/>
                <w:sz w:val="18"/>
                <w:szCs w:val="18"/>
              </w:rPr>
            </w:pPr>
            <w:r w:rsidRPr="00E0548A">
              <w:rPr>
                <w:rFonts w:ascii="ＭＳ ゴシック" w:eastAsia="ＭＳ ゴシック" w:hAnsi="ＭＳ ゴシック" w:hint="eastAsia"/>
                <w:w w:val="50"/>
                <w:sz w:val="18"/>
                <w:szCs w:val="18"/>
              </w:rPr>
              <w:t>〇府社協、おおさか災害支援ネットワーク、JVOAD及び内閣府との情報共有会議の実施（新別館北館４F職員会議室７・8）（対策班と連携）</w:t>
            </w:r>
          </w:p>
        </w:tc>
        <w:tc>
          <w:tcPr>
            <w:tcW w:w="3580" w:type="dxa"/>
            <w:tcBorders>
              <w:top w:val="single" w:sz="4" w:space="0" w:color="auto"/>
              <w:left w:val="single" w:sz="4" w:space="0" w:color="auto"/>
              <w:bottom w:val="single" w:sz="4" w:space="0" w:color="auto"/>
              <w:right w:val="single" w:sz="4" w:space="0" w:color="auto"/>
            </w:tcBorders>
            <w:vAlign w:val="center"/>
          </w:tcPr>
          <w:p w14:paraId="0F5C8447" w14:textId="77777777" w:rsidR="008D2399" w:rsidRPr="00E0548A" w:rsidRDefault="008D2399" w:rsidP="00B35001">
            <w:pPr>
              <w:adjustRightInd w:val="0"/>
              <w:snapToGrid w:val="0"/>
              <w:spacing w:line="240" w:lineRule="exact"/>
              <w:jc w:val="left"/>
              <w:rPr>
                <w:rFonts w:ascii="ＭＳ ゴシック" w:eastAsia="ＭＳ ゴシック" w:hAnsi="ＭＳ ゴシック"/>
                <w:w w:val="50"/>
                <w:sz w:val="18"/>
                <w:szCs w:val="18"/>
              </w:rPr>
            </w:pPr>
            <w:r w:rsidRPr="00E0548A">
              <w:rPr>
                <w:rFonts w:ascii="ＭＳ ゴシック" w:eastAsia="ＭＳ ゴシック" w:hAnsi="ＭＳ ゴシック" w:hint="eastAsia"/>
                <w:w w:val="50"/>
                <w:sz w:val="18"/>
                <w:szCs w:val="18"/>
              </w:rPr>
              <w:t>危機管理室（６名）</w:t>
            </w:r>
          </w:p>
          <w:p w14:paraId="6B4B4BF1" w14:textId="77777777" w:rsidR="008D2399" w:rsidRPr="00E0548A" w:rsidRDefault="008D2399" w:rsidP="00B35001">
            <w:pPr>
              <w:adjustRightInd w:val="0"/>
              <w:snapToGrid w:val="0"/>
              <w:spacing w:line="240" w:lineRule="exact"/>
              <w:jc w:val="left"/>
              <w:rPr>
                <w:rFonts w:ascii="ＭＳ ゴシック" w:eastAsia="ＭＳ ゴシック" w:hAnsi="ＭＳ ゴシック"/>
                <w:w w:val="50"/>
                <w:sz w:val="18"/>
                <w:szCs w:val="18"/>
              </w:rPr>
            </w:pPr>
            <w:r w:rsidRPr="00E0548A">
              <w:rPr>
                <w:rFonts w:ascii="ＭＳ ゴシック" w:eastAsia="ＭＳ ゴシック" w:hAnsi="ＭＳ ゴシック" w:hint="eastAsia"/>
                <w:w w:val="50"/>
                <w:sz w:val="18"/>
                <w:szCs w:val="18"/>
              </w:rPr>
              <w:t>（情報班・対策班から移動）</w:t>
            </w:r>
          </w:p>
        </w:tc>
      </w:tr>
      <w:tr w:rsidR="00676496" w:rsidRPr="00E0548A" w14:paraId="6113EAA4" w14:textId="77777777" w:rsidTr="00E0548A">
        <w:trPr>
          <w:cantSplit/>
          <w:trHeight w:val="720"/>
        </w:trPr>
        <w:tc>
          <w:tcPr>
            <w:tcW w:w="576" w:type="dxa"/>
            <w:vMerge w:val="restart"/>
            <w:tcBorders>
              <w:top w:val="single" w:sz="4" w:space="0" w:color="auto"/>
              <w:left w:val="single" w:sz="4" w:space="0" w:color="auto"/>
              <w:right w:val="single" w:sz="4" w:space="0" w:color="auto"/>
            </w:tcBorders>
            <w:textDirection w:val="tbRlV"/>
            <w:vAlign w:val="center"/>
          </w:tcPr>
          <w:p w14:paraId="0C795025" w14:textId="15ED8ADD" w:rsidR="00676496" w:rsidRPr="00E0548A" w:rsidRDefault="00676496" w:rsidP="00676496">
            <w:pPr>
              <w:widowControl/>
              <w:adjustRightInd w:val="0"/>
              <w:snapToGrid w:val="0"/>
              <w:spacing w:line="240" w:lineRule="exact"/>
              <w:ind w:left="113" w:right="113"/>
              <w:jc w:val="center"/>
              <w:rPr>
                <w:rFonts w:ascii="ＭＳ ゴシック" w:eastAsia="ＭＳ ゴシック" w:hAnsi="ＭＳ ゴシック"/>
                <w:kern w:val="0"/>
                <w:sz w:val="18"/>
                <w:szCs w:val="18"/>
              </w:rPr>
            </w:pPr>
            <w:r w:rsidRPr="00E0548A">
              <w:rPr>
                <w:rFonts w:ascii="ＭＳ ゴシック" w:eastAsia="ＭＳ ゴシック" w:hAnsi="ＭＳ ゴシック" w:hint="eastAsia"/>
                <w:kern w:val="0"/>
                <w:sz w:val="20"/>
                <w:szCs w:val="20"/>
              </w:rPr>
              <w:t>原子力ＯＦＣ派遣</w:t>
            </w:r>
          </w:p>
        </w:tc>
        <w:tc>
          <w:tcPr>
            <w:tcW w:w="5200" w:type="dxa"/>
            <w:tcBorders>
              <w:top w:val="single" w:sz="4" w:space="0" w:color="auto"/>
              <w:left w:val="single" w:sz="4" w:space="0" w:color="auto"/>
              <w:bottom w:val="single" w:sz="4" w:space="0" w:color="auto"/>
              <w:right w:val="single" w:sz="4" w:space="0" w:color="auto"/>
            </w:tcBorders>
          </w:tcPr>
          <w:p w14:paraId="733AA082" w14:textId="47A7BA2D" w:rsidR="00676496" w:rsidRPr="00E0548A" w:rsidRDefault="00676496" w:rsidP="00676496">
            <w:pPr>
              <w:adjustRightInd w:val="0"/>
              <w:snapToGrid w:val="0"/>
              <w:spacing w:line="240" w:lineRule="exact"/>
              <w:rPr>
                <w:rFonts w:ascii="ＭＳ ゴシック" w:eastAsia="ＭＳ ゴシック" w:hAnsi="ＭＳ ゴシック"/>
                <w:w w:val="50"/>
                <w:sz w:val="18"/>
                <w:szCs w:val="18"/>
              </w:rPr>
            </w:pPr>
            <w:r w:rsidRPr="00E0548A">
              <w:rPr>
                <w:rFonts w:ascii="ＭＳ ゴシック" w:eastAsia="ＭＳ ゴシック" w:hAnsi="ＭＳ ゴシック" w:hint="eastAsia"/>
                <w:w w:val="50"/>
                <w:sz w:val="20"/>
                <w:szCs w:val="20"/>
              </w:rPr>
              <w:t>※原子力</w:t>
            </w:r>
            <w:r w:rsidRPr="00E0548A">
              <w:rPr>
                <w:rFonts w:ascii="ＭＳ ゴシック" w:eastAsia="ＭＳ ゴシック" w:hAnsi="ＭＳ ゴシック" w:hint="eastAsia"/>
                <w:w w:val="50"/>
                <w:sz w:val="20"/>
                <w:szCs w:val="20"/>
                <w:u w:val="single"/>
              </w:rPr>
              <w:t>規制委員会等</w:t>
            </w:r>
            <w:r w:rsidRPr="00E0548A">
              <w:rPr>
                <w:rFonts w:ascii="ＭＳ ゴシック" w:eastAsia="ＭＳ ゴシック" w:hAnsi="ＭＳ ゴシック" w:hint="eastAsia"/>
                <w:w w:val="50"/>
                <w:sz w:val="20"/>
                <w:szCs w:val="20"/>
              </w:rPr>
              <w:t>より警戒事態事象発生の連絡があった場合</w:t>
            </w:r>
          </w:p>
        </w:tc>
        <w:tc>
          <w:tcPr>
            <w:tcW w:w="3580" w:type="dxa"/>
            <w:tcBorders>
              <w:top w:val="single" w:sz="4" w:space="0" w:color="auto"/>
              <w:left w:val="single" w:sz="4" w:space="0" w:color="auto"/>
              <w:bottom w:val="single" w:sz="4" w:space="0" w:color="auto"/>
              <w:right w:val="single" w:sz="4" w:space="0" w:color="auto"/>
            </w:tcBorders>
            <w:vAlign w:val="center"/>
          </w:tcPr>
          <w:p w14:paraId="4C3D2727" w14:textId="584435C3" w:rsidR="00676496" w:rsidRPr="00E0548A" w:rsidRDefault="00676496" w:rsidP="00676496">
            <w:pPr>
              <w:adjustRightInd w:val="0"/>
              <w:snapToGrid w:val="0"/>
              <w:spacing w:line="240" w:lineRule="exact"/>
              <w:jc w:val="left"/>
              <w:rPr>
                <w:rFonts w:ascii="ＭＳ ゴシック" w:eastAsia="ＭＳ ゴシック" w:hAnsi="ＭＳ ゴシック"/>
                <w:w w:val="50"/>
                <w:sz w:val="18"/>
                <w:szCs w:val="18"/>
              </w:rPr>
            </w:pPr>
            <w:r w:rsidRPr="00E0548A">
              <w:rPr>
                <w:rFonts w:ascii="ＭＳ ゴシック" w:eastAsia="ＭＳ ゴシック" w:hAnsi="ＭＳ ゴシック" w:hint="eastAsia"/>
                <w:w w:val="50"/>
                <w:sz w:val="20"/>
                <w:szCs w:val="20"/>
                <w:u w:val="single"/>
              </w:rPr>
              <w:t>危機管理室（２名）</w:t>
            </w:r>
          </w:p>
        </w:tc>
      </w:tr>
      <w:tr w:rsidR="00676496" w:rsidRPr="00E0548A" w14:paraId="6376ABB0" w14:textId="77777777" w:rsidTr="00E0548A">
        <w:trPr>
          <w:cantSplit/>
          <w:trHeight w:val="720"/>
        </w:trPr>
        <w:tc>
          <w:tcPr>
            <w:tcW w:w="576" w:type="dxa"/>
            <w:vMerge/>
            <w:tcBorders>
              <w:left w:val="single" w:sz="4" w:space="0" w:color="auto"/>
              <w:bottom w:val="single" w:sz="4" w:space="0" w:color="auto"/>
              <w:right w:val="single" w:sz="4" w:space="0" w:color="auto"/>
            </w:tcBorders>
            <w:textDirection w:val="tbRlV"/>
            <w:vAlign w:val="center"/>
          </w:tcPr>
          <w:p w14:paraId="640B09A1" w14:textId="77777777" w:rsidR="00676496" w:rsidRPr="00E0548A" w:rsidRDefault="00676496" w:rsidP="00676496">
            <w:pPr>
              <w:widowControl/>
              <w:adjustRightInd w:val="0"/>
              <w:snapToGrid w:val="0"/>
              <w:spacing w:line="240" w:lineRule="exact"/>
              <w:ind w:left="113" w:right="113"/>
              <w:jc w:val="center"/>
              <w:rPr>
                <w:rFonts w:ascii="ＭＳ ゴシック" w:eastAsia="ＭＳ ゴシック" w:hAnsi="ＭＳ ゴシック"/>
                <w:kern w:val="0"/>
                <w:sz w:val="18"/>
                <w:szCs w:val="18"/>
              </w:rPr>
            </w:pPr>
          </w:p>
        </w:tc>
        <w:tc>
          <w:tcPr>
            <w:tcW w:w="5200" w:type="dxa"/>
            <w:tcBorders>
              <w:top w:val="single" w:sz="4" w:space="0" w:color="auto"/>
              <w:left w:val="single" w:sz="4" w:space="0" w:color="auto"/>
              <w:bottom w:val="single" w:sz="4" w:space="0" w:color="auto"/>
              <w:right w:val="single" w:sz="4" w:space="0" w:color="auto"/>
            </w:tcBorders>
          </w:tcPr>
          <w:p w14:paraId="52EF33B5" w14:textId="77777777" w:rsidR="00676496" w:rsidRPr="00E0548A" w:rsidRDefault="00676496" w:rsidP="00676496">
            <w:pPr>
              <w:adjustRightInd w:val="0"/>
              <w:snapToGrid w:val="0"/>
              <w:spacing w:line="240" w:lineRule="exact"/>
              <w:rPr>
                <w:rFonts w:ascii="ＭＳ ゴシック" w:eastAsia="ＭＳ ゴシック" w:hAnsi="ＭＳ ゴシック"/>
                <w:w w:val="50"/>
                <w:sz w:val="20"/>
                <w:szCs w:val="20"/>
              </w:rPr>
            </w:pPr>
            <w:r w:rsidRPr="00E0548A">
              <w:rPr>
                <w:rFonts w:ascii="ＭＳ ゴシック" w:eastAsia="ＭＳ ゴシック" w:hAnsi="ＭＳ ゴシック" w:hint="eastAsia"/>
                <w:w w:val="50"/>
                <w:sz w:val="20"/>
                <w:szCs w:val="20"/>
              </w:rPr>
              <w:t>※原子力事業者より</w:t>
            </w:r>
            <w:r w:rsidRPr="00E0548A">
              <w:rPr>
                <w:rFonts w:ascii="ＭＳ ゴシック" w:eastAsia="ＭＳ ゴシック" w:hAnsi="ＭＳ ゴシック" w:hint="eastAsia"/>
                <w:w w:val="50"/>
                <w:sz w:val="20"/>
                <w:szCs w:val="20"/>
                <w:u w:val="single"/>
              </w:rPr>
              <w:t>施設敷地緊急事態</w:t>
            </w:r>
            <w:r w:rsidRPr="00E0548A">
              <w:rPr>
                <w:rFonts w:ascii="ＭＳ ゴシック" w:eastAsia="ＭＳ ゴシック" w:hAnsi="ＭＳ ゴシック" w:hint="eastAsia"/>
                <w:w w:val="50"/>
                <w:sz w:val="20"/>
                <w:szCs w:val="20"/>
              </w:rPr>
              <w:t>の通報があった場合</w:t>
            </w:r>
          </w:p>
          <w:p w14:paraId="3D9F95B9" w14:textId="77777777" w:rsidR="00676496" w:rsidRPr="00E0548A" w:rsidRDefault="00676496" w:rsidP="00676496">
            <w:pPr>
              <w:adjustRightInd w:val="0"/>
              <w:snapToGrid w:val="0"/>
              <w:spacing w:line="240" w:lineRule="exact"/>
              <w:rPr>
                <w:rFonts w:ascii="ＭＳ ゴシック" w:eastAsia="ＭＳ ゴシック" w:hAnsi="ＭＳ ゴシック"/>
                <w:w w:val="50"/>
                <w:sz w:val="20"/>
                <w:szCs w:val="20"/>
              </w:rPr>
            </w:pPr>
            <w:r w:rsidRPr="00E0548A">
              <w:rPr>
                <w:rFonts w:ascii="ＭＳ ゴシック" w:eastAsia="ＭＳ ゴシック" w:hAnsi="ＭＳ ゴシック" w:hint="eastAsia"/>
                <w:w w:val="50"/>
                <w:sz w:val="20"/>
                <w:szCs w:val="20"/>
              </w:rPr>
              <w:t>※原子力緊急事態宣言が発出された場合　等</w:t>
            </w:r>
          </w:p>
          <w:p w14:paraId="313D810D" w14:textId="2E3FB46C" w:rsidR="00676496" w:rsidRPr="00E0548A" w:rsidRDefault="00676496" w:rsidP="00676496">
            <w:pPr>
              <w:adjustRightInd w:val="0"/>
              <w:snapToGrid w:val="0"/>
              <w:spacing w:line="240" w:lineRule="exact"/>
              <w:rPr>
                <w:rFonts w:ascii="ＭＳ ゴシック" w:eastAsia="ＭＳ ゴシック" w:hAnsi="ＭＳ ゴシック"/>
                <w:w w:val="50"/>
                <w:sz w:val="18"/>
                <w:szCs w:val="18"/>
              </w:rPr>
            </w:pPr>
            <w:r w:rsidRPr="00E0548A">
              <w:rPr>
                <w:rFonts w:ascii="ＭＳ ゴシック" w:eastAsia="ＭＳ ゴシック" w:hAnsi="ＭＳ ゴシック" w:hint="eastAsia"/>
                <w:w w:val="50"/>
                <w:sz w:val="20"/>
                <w:szCs w:val="20"/>
              </w:rPr>
              <w:t>（状況に応じ派遣人数を調整）</w:t>
            </w:r>
          </w:p>
        </w:tc>
        <w:tc>
          <w:tcPr>
            <w:tcW w:w="3580" w:type="dxa"/>
            <w:tcBorders>
              <w:top w:val="single" w:sz="4" w:space="0" w:color="auto"/>
              <w:left w:val="single" w:sz="4" w:space="0" w:color="auto"/>
              <w:bottom w:val="single" w:sz="4" w:space="0" w:color="auto"/>
              <w:right w:val="single" w:sz="4" w:space="0" w:color="auto"/>
            </w:tcBorders>
            <w:vAlign w:val="center"/>
          </w:tcPr>
          <w:p w14:paraId="167D641F" w14:textId="5DD7E197" w:rsidR="00676496" w:rsidRPr="00E0548A" w:rsidRDefault="00676496" w:rsidP="00676496">
            <w:pPr>
              <w:adjustRightInd w:val="0"/>
              <w:snapToGrid w:val="0"/>
              <w:spacing w:line="240" w:lineRule="exact"/>
              <w:rPr>
                <w:rFonts w:ascii="ＭＳ ゴシック" w:eastAsia="ＭＳ ゴシック" w:hAnsi="ＭＳ ゴシック"/>
                <w:w w:val="50"/>
                <w:sz w:val="20"/>
                <w:szCs w:val="20"/>
                <w:u w:val="single"/>
              </w:rPr>
            </w:pPr>
            <w:r w:rsidRPr="00E0548A">
              <w:rPr>
                <w:rFonts w:ascii="ＭＳ ゴシック" w:eastAsia="ＭＳ ゴシック" w:hAnsi="ＭＳ ゴシック" w:hint="eastAsia"/>
                <w:w w:val="50"/>
                <w:sz w:val="20"/>
                <w:szCs w:val="20"/>
                <w:u w:val="single"/>
              </w:rPr>
              <w:t>危機管理室（</w:t>
            </w:r>
            <w:r w:rsidRPr="00E0548A">
              <w:rPr>
                <w:rFonts w:ascii="ＭＳ ゴシック" w:eastAsia="ＭＳ ゴシック" w:hAnsi="ＭＳ ゴシック"/>
                <w:w w:val="50"/>
                <w:sz w:val="20"/>
                <w:szCs w:val="20"/>
                <w:u w:val="single"/>
              </w:rPr>
              <w:t>9名）</w:t>
            </w:r>
          </w:p>
        </w:tc>
      </w:tr>
      <w:tr w:rsidR="001D6D10" w:rsidRPr="00E0548A" w14:paraId="351FD98E" w14:textId="77777777" w:rsidTr="006E52DA">
        <w:trPr>
          <w:cantSplit/>
          <w:trHeight w:val="986"/>
        </w:trPr>
        <w:tc>
          <w:tcPr>
            <w:tcW w:w="576" w:type="dxa"/>
            <w:tcBorders>
              <w:top w:val="single" w:sz="4" w:space="0" w:color="auto"/>
              <w:left w:val="single" w:sz="4" w:space="0" w:color="auto"/>
              <w:bottom w:val="single" w:sz="4" w:space="0" w:color="auto"/>
              <w:right w:val="single" w:sz="4" w:space="0" w:color="auto"/>
            </w:tcBorders>
            <w:textDirection w:val="tbRlV"/>
            <w:vAlign w:val="center"/>
          </w:tcPr>
          <w:p w14:paraId="541D8FDC" w14:textId="77777777" w:rsidR="00724945" w:rsidRPr="00E0548A" w:rsidRDefault="00724945" w:rsidP="00724945">
            <w:pPr>
              <w:widowControl/>
              <w:adjustRightInd w:val="0"/>
              <w:snapToGrid w:val="0"/>
              <w:spacing w:line="240" w:lineRule="exact"/>
              <w:ind w:left="113" w:right="113"/>
              <w:jc w:val="center"/>
              <w:rPr>
                <w:rFonts w:ascii="ＭＳ ゴシック" w:eastAsia="ＭＳ ゴシック" w:hAnsi="ＭＳ ゴシック"/>
                <w:kern w:val="0"/>
                <w:sz w:val="18"/>
                <w:szCs w:val="18"/>
              </w:rPr>
            </w:pPr>
            <w:r w:rsidRPr="00E0548A">
              <w:rPr>
                <w:rFonts w:ascii="ＭＳ ゴシック" w:eastAsia="ＭＳ ゴシック" w:hAnsi="ＭＳ ゴシック" w:hint="eastAsia"/>
                <w:sz w:val="18"/>
                <w:szCs w:val="18"/>
              </w:rPr>
              <w:t>石コン班</w:t>
            </w:r>
          </w:p>
        </w:tc>
        <w:tc>
          <w:tcPr>
            <w:tcW w:w="5200" w:type="dxa"/>
            <w:tcBorders>
              <w:top w:val="single" w:sz="4" w:space="0" w:color="auto"/>
              <w:left w:val="single" w:sz="4" w:space="0" w:color="auto"/>
              <w:bottom w:val="single" w:sz="4" w:space="0" w:color="auto"/>
              <w:right w:val="single" w:sz="4" w:space="0" w:color="auto"/>
            </w:tcBorders>
            <w:vAlign w:val="center"/>
          </w:tcPr>
          <w:p w14:paraId="0D24D58C" w14:textId="77777777" w:rsidR="00724945" w:rsidRPr="00E0548A" w:rsidRDefault="00724945" w:rsidP="00724945">
            <w:pPr>
              <w:adjustRightInd w:val="0"/>
              <w:snapToGrid w:val="0"/>
              <w:spacing w:line="240" w:lineRule="exact"/>
              <w:jc w:val="left"/>
              <w:rPr>
                <w:rFonts w:ascii="ＭＳ ゴシック" w:eastAsia="ＭＳ ゴシック" w:hAnsi="ＭＳ ゴシック"/>
                <w:w w:val="50"/>
                <w:sz w:val="18"/>
                <w:szCs w:val="18"/>
              </w:rPr>
            </w:pPr>
            <w:r w:rsidRPr="00E0548A">
              <w:rPr>
                <w:rFonts w:ascii="ＭＳ ゴシック" w:eastAsia="ＭＳ ゴシック" w:hAnsi="ＭＳ ゴシック" w:hint="eastAsia"/>
                <w:w w:val="50"/>
                <w:sz w:val="18"/>
                <w:szCs w:val="18"/>
              </w:rPr>
              <w:t>〇石コンに係る情報収集後の分析</w:t>
            </w:r>
          </w:p>
          <w:p w14:paraId="5921218B" w14:textId="77777777" w:rsidR="00724945" w:rsidRPr="00E0548A" w:rsidRDefault="00724945" w:rsidP="00724945">
            <w:pPr>
              <w:adjustRightInd w:val="0"/>
              <w:snapToGrid w:val="0"/>
              <w:spacing w:line="240" w:lineRule="exact"/>
              <w:rPr>
                <w:rFonts w:ascii="ＭＳ ゴシック" w:eastAsia="ＭＳ ゴシック" w:hAnsi="ＭＳ ゴシック"/>
                <w:kern w:val="0"/>
                <w:sz w:val="18"/>
                <w:szCs w:val="18"/>
              </w:rPr>
            </w:pPr>
            <w:r w:rsidRPr="00E0548A">
              <w:rPr>
                <w:rFonts w:ascii="ＭＳ ゴシック" w:eastAsia="ＭＳ ゴシック" w:hAnsi="ＭＳ ゴシック" w:hint="eastAsia"/>
                <w:w w:val="50"/>
                <w:sz w:val="18"/>
                <w:szCs w:val="18"/>
              </w:rPr>
              <w:t>〇石コンに係る対策・措置の詳細又は専門的事項に関する連絡調整</w:t>
            </w:r>
          </w:p>
        </w:tc>
        <w:tc>
          <w:tcPr>
            <w:tcW w:w="3580" w:type="dxa"/>
            <w:tcBorders>
              <w:top w:val="single" w:sz="4" w:space="0" w:color="auto"/>
              <w:left w:val="single" w:sz="4" w:space="0" w:color="auto"/>
              <w:bottom w:val="single" w:sz="4" w:space="0" w:color="auto"/>
              <w:right w:val="single" w:sz="4" w:space="0" w:color="auto"/>
            </w:tcBorders>
            <w:vAlign w:val="center"/>
          </w:tcPr>
          <w:p w14:paraId="6710A87C" w14:textId="77777777" w:rsidR="00724945" w:rsidRPr="00E0548A" w:rsidRDefault="00724945" w:rsidP="00724945">
            <w:pPr>
              <w:adjustRightInd w:val="0"/>
              <w:snapToGrid w:val="0"/>
              <w:spacing w:line="240" w:lineRule="exact"/>
              <w:jc w:val="left"/>
              <w:rPr>
                <w:rFonts w:ascii="ＭＳ ゴシック" w:eastAsia="ＭＳ ゴシック" w:hAnsi="ＭＳ ゴシック"/>
                <w:w w:val="50"/>
                <w:sz w:val="18"/>
                <w:szCs w:val="18"/>
              </w:rPr>
            </w:pPr>
            <w:r w:rsidRPr="00E0548A">
              <w:rPr>
                <w:rFonts w:ascii="ＭＳ ゴシック" w:eastAsia="ＭＳ ゴシック" w:hAnsi="ＭＳ ゴシック" w:hint="eastAsia"/>
                <w:w w:val="50"/>
                <w:sz w:val="18"/>
                <w:szCs w:val="18"/>
              </w:rPr>
              <w:t>危機管理室(3名)</w:t>
            </w:r>
          </w:p>
          <w:p w14:paraId="051C98D5" w14:textId="77777777" w:rsidR="00724945" w:rsidRPr="00E0548A" w:rsidRDefault="00724945" w:rsidP="00724945">
            <w:pPr>
              <w:adjustRightInd w:val="0"/>
              <w:snapToGrid w:val="0"/>
              <w:spacing w:line="240" w:lineRule="exact"/>
              <w:jc w:val="left"/>
              <w:rPr>
                <w:rFonts w:ascii="ＭＳ ゴシック" w:eastAsia="ＭＳ ゴシック" w:hAnsi="ＭＳ ゴシック"/>
                <w:w w:val="50"/>
                <w:sz w:val="18"/>
                <w:szCs w:val="18"/>
              </w:rPr>
            </w:pPr>
            <w:r w:rsidRPr="00E0548A">
              <w:rPr>
                <w:rFonts w:ascii="ＭＳ ゴシック" w:eastAsia="ＭＳ ゴシック" w:hAnsi="ＭＳ ゴシック" w:hint="eastAsia"/>
                <w:w w:val="50"/>
                <w:sz w:val="18"/>
                <w:szCs w:val="18"/>
              </w:rPr>
              <w:t>※兼務含む</w:t>
            </w:r>
          </w:p>
        </w:tc>
      </w:tr>
      <w:tr w:rsidR="006E52DA" w:rsidRPr="00E0548A" w14:paraId="00B38311" w14:textId="77777777" w:rsidTr="006E52DA">
        <w:trPr>
          <w:cantSplit/>
          <w:trHeight w:val="986"/>
        </w:trPr>
        <w:tc>
          <w:tcPr>
            <w:tcW w:w="576" w:type="dxa"/>
            <w:tcBorders>
              <w:top w:val="single" w:sz="4" w:space="0" w:color="auto"/>
              <w:left w:val="single" w:sz="4" w:space="0" w:color="auto"/>
              <w:bottom w:val="single" w:sz="4" w:space="0" w:color="auto"/>
              <w:right w:val="single" w:sz="4" w:space="0" w:color="auto"/>
            </w:tcBorders>
            <w:textDirection w:val="tbRlV"/>
            <w:vAlign w:val="center"/>
          </w:tcPr>
          <w:p w14:paraId="6C2BE9D6" w14:textId="74D70360" w:rsidR="006E52DA" w:rsidRPr="00E0548A" w:rsidRDefault="006E52DA" w:rsidP="006E52DA">
            <w:pPr>
              <w:widowControl/>
              <w:adjustRightInd w:val="0"/>
              <w:snapToGrid w:val="0"/>
              <w:spacing w:line="240" w:lineRule="exact"/>
              <w:ind w:left="113" w:right="113"/>
              <w:jc w:val="center"/>
              <w:rPr>
                <w:rFonts w:ascii="ＭＳ ゴシック" w:eastAsia="ＭＳ ゴシック" w:hAnsi="ＭＳ ゴシック"/>
                <w:sz w:val="18"/>
                <w:szCs w:val="18"/>
              </w:rPr>
            </w:pPr>
            <w:r w:rsidRPr="00E0548A">
              <w:rPr>
                <w:rFonts w:asciiTheme="majorEastAsia" w:eastAsiaTheme="majorEastAsia" w:hAnsiTheme="majorEastAsia" w:hint="eastAsia"/>
                <w:sz w:val="18"/>
                <w:szCs w:val="18"/>
              </w:rPr>
              <w:t>消防応援活動調整本部</w:t>
            </w:r>
          </w:p>
        </w:tc>
        <w:tc>
          <w:tcPr>
            <w:tcW w:w="5200" w:type="dxa"/>
            <w:tcBorders>
              <w:top w:val="single" w:sz="4" w:space="0" w:color="auto"/>
              <w:left w:val="single" w:sz="4" w:space="0" w:color="auto"/>
              <w:bottom w:val="single" w:sz="4" w:space="0" w:color="auto"/>
              <w:right w:val="single" w:sz="4" w:space="0" w:color="auto"/>
            </w:tcBorders>
            <w:vAlign w:val="center"/>
          </w:tcPr>
          <w:p w14:paraId="77A96638" w14:textId="77777777" w:rsidR="006E52DA" w:rsidRPr="00E0548A" w:rsidRDefault="006E52DA" w:rsidP="009E1937">
            <w:pPr>
              <w:adjustRightInd w:val="0"/>
              <w:snapToGrid w:val="0"/>
              <w:spacing w:line="240" w:lineRule="exact"/>
              <w:rPr>
                <w:rFonts w:ascii="ＭＳ ゴシック" w:eastAsia="ＭＳ ゴシック" w:hAnsi="ＭＳ ゴシック"/>
                <w:w w:val="50"/>
                <w:sz w:val="18"/>
                <w:szCs w:val="18"/>
              </w:rPr>
            </w:pPr>
            <w:r w:rsidRPr="00E0548A">
              <w:rPr>
                <w:rFonts w:ascii="ＭＳ ゴシック" w:eastAsia="ＭＳ ゴシック" w:hAnsi="ＭＳ ゴシック" w:hint="eastAsia"/>
                <w:w w:val="50"/>
                <w:sz w:val="18"/>
                <w:szCs w:val="18"/>
              </w:rPr>
              <w:t>※消防応援活動調整本部（本部長：知事）を設置する場合</w:t>
            </w:r>
          </w:p>
          <w:p w14:paraId="38C3655C" w14:textId="77777777" w:rsidR="006E52DA" w:rsidRPr="00E0548A" w:rsidRDefault="006E52DA" w:rsidP="009E1937">
            <w:pPr>
              <w:adjustRightInd w:val="0"/>
              <w:snapToGrid w:val="0"/>
              <w:spacing w:line="240" w:lineRule="exact"/>
              <w:ind w:firstLine="1"/>
              <w:rPr>
                <w:rFonts w:ascii="ＭＳ ゴシック" w:eastAsia="ＭＳ ゴシック" w:hAnsi="ＭＳ ゴシック"/>
                <w:w w:val="50"/>
                <w:sz w:val="18"/>
                <w:szCs w:val="18"/>
              </w:rPr>
            </w:pPr>
            <w:r w:rsidRPr="00E0548A">
              <w:rPr>
                <w:rFonts w:ascii="ＭＳ ゴシック" w:eastAsia="ＭＳ ゴシック" w:hAnsi="ＭＳ ゴシック" w:hint="eastAsia"/>
                <w:w w:val="50"/>
                <w:sz w:val="18"/>
                <w:szCs w:val="18"/>
              </w:rPr>
              <w:t>・市町村の被害状況の収集</w:t>
            </w:r>
          </w:p>
          <w:p w14:paraId="3B144D5E" w14:textId="77777777" w:rsidR="006E52DA" w:rsidRPr="00E0548A" w:rsidRDefault="006E52DA" w:rsidP="009E1937">
            <w:pPr>
              <w:adjustRightInd w:val="0"/>
              <w:snapToGrid w:val="0"/>
              <w:spacing w:line="240" w:lineRule="exact"/>
              <w:rPr>
                <w:rFonts w:ascii="ＭＳ ゴシック" w:eastAsia="ＭＳ ゴシック" w:hAnsi="ＭＳ ゴシック"/>
                <w:w w:val="50"/>
                <w:sz w:val="18"/>
                <w:szCs w:val="18"/>
              </w:rPr>
            </w:pPr>
            <w:r w:rsidRPr="00E0548A">
              <w:rPr>
                <w:rFonts w:ascii="ＭＳ ゴシック" w:eastAsia="ＭＳ ゴシック" w:hAnsi="ＭＳ ゴシック" w:hint="eastAsia"/>
                <w:w w:val="50"/>
                <w:sz w:val="18"/>
                <w:szCs w:val="18"/>
              </w:rPr>
              <w:t>・緊急消防援助隊府代表（大阪市消防局）との情報交換</w:t>
            </w:r>
          </w:p>
          <w:p w14:paraId="14E8EBEA" w14:textId="77777777" w:rsidR="006E52DA" w:rsidRPr="00E0548A" w:rsidRDefault="006E52DA" w:rsidP="009E1937">
            <w:pPr>
              <w:adjustRightInd w:val="0"/>
              <w:snapToGrid w:val="0"/>
              <w:spacing w:line="240" w:lineRule="exact"/>
              <w:rPr>
                <w:rFonts w:ascii="ＭＳ ゴシック" w:eastAsia="ＭＳ ゴシック" w:hAnsi="ＭＳ ゴシック"/>
                <w:w w:val="50"/>
                <w:sz w:val="18"/>
                <w:szCs w:val="18"/>
              </w:rPr>
            </w:pPr>
            <w:r w:rsidRPr="00E0548A">
              <w:rPr>
                <w:rFonts w:ascii="ＭＳ ゴシック" w:eastAsia="ＭＳ ゴシック" w:hAnsi="ＭＳ ゴシック" w:hint="eastAsia"/>
                <w:w w:val="50"/>
                <w:sz w:val="18"/>
                <w:szCs w:val="18"/>
              </w:rPr>
              <w:t>・緊急消防援助隊派遣要請判断に必要な情報の収集</w:t>
            </w:r>
          </w:p>
          <w:p w14:paraId="6BB69B5E" w14:textId="46AF1E8A" w:rsidR="006E52DA" w:rsidRPr="00E0548A" w:rsidRDefault="006E52DA" w:rsidP="009E1937">
            <w:pPr>
              <w:adjustRightInd w:val="0"/>
              <w:snapToGrid w:val="0"/>
              <w:spacing w:line="240" w:lineRule="exact"/>
              <w:rPr>
                <w:rFonts w:ascii="ＭＳ ゴシック" w:eastAsia="ＭＳ ゴシック" w:hAnsi="ＭＳ ゴシック"/>
                <w:w w:val="50"/>
                <w:sz w:val="18"/>
                <w:szCs w:val="18"/>
              </w:rPr>
            </w:pPr>
            <w:r w:rsidRPr="00E0548A">
              <w:rPr>
                <w:rFonts w:ascii="ＭＳ ゴシック" w:eastAsia="ＭＳ ゴシック" w:hAnsi="ＭＳ ゴシック" w:hint="eastAsia"/>
                <w:w w:val="50"/>
                <w:sz w:val="18"/>
                <w:szCs w:val="18"/>
              </w:rPr>
              <w:t>・消防庁長官への府内被害状況の情報提供</w:t>
            </w:r>
          </w:p>
        </w:tc>
        <w:tc>
          <w:tcPr>
            <w:tcW w:w="3580" w:type="dxa"/>
            <w:tcBorders>
              <w:top w:val="single" w:sz="4" w:space="0" w:color="auto"/>
              <w:left w:val="single" w:sz="4" w:space="0" w:color="auto"/>
              <w:bottom w:val="single" w:sz="4" w:space="0" w:color="auto"/>
              <w:right w:val="single" w:sz="4" w:space="0" w:color="auto"/>
            </w:tcBorders>
            <w:vAlign w:val="center"/>
          </w:tcPr>
          <w:p w14:paraId="47336641" w14:textId="77777777" w:rsidR="006E52DA" w:rsidRPr="00E0548A" w:rsidRDefault="006E52DA" w:rsidP="006E52DA">
            <w:pPr>
              <w:adjustRightInd w:val="0"/>
              <w:snapToGrid w:val="0"/>
              <w:spacing w:line="240" w:lineRule="exact"/>
              <w:jc w:val="left"/>
              <w:rPr>
                <w:rFonts w:ascii="ＭＳ ゴシック" w:eastAsia="ＭＳ ゴシック" w:hAnsi="ＭＳ ゴシック"/>
                <w:w w:val="50"/>
                <w:sz w:val="18"/>
                <w:szCs w:val="18"/>
              </w:rPr>
            </w:pPr>
            <w:r w:rsidRPr="00E0548A">
              <w:rPr>
                <w:rFonts w:ascii="ＭＳ ゴシック" w:eastAsia="ＭＳ ゴシック" w:hAnsi="ＭＳ ゴシック" w:hint="eastAsia"/>
                <w:w w:val="50"/>
                <w:sz w:val="18"/>
                <w:szCs w:val="18"/>
              </w:rPr>
              <w:t>危機管理室（1</w:t>
            </w:r>
            <w:r w:rsidRPr="00E0548A">
              <w:rPr>
                <w:rFonts w:ascii="ＭＳ ゴシック" w:eastAsia="ＭＳ ゴシック" w:hAnsi="ＭＳ ゴシック"/>
                <w:w w:val="50"/>
                <w:sz w:val="18"/>
                <w:szCs w:val="18"/>
              </w:rPr>
              <w:t>5名）</w:t>
            </w:r>
          </w:p>
          <w:p w14:paraId="57736340" w14:textId="19E6A874" w:rsidR="006E52DA" w:rsidRPr="00E0548A" w:rsidRDefault="006E52DA" w:rsidP="006E52DA">
            <w:pPr>
              <w:adjustRightInd w:val="0"/>
              <w:snapToGrid w:val="0"/>
              <w:spacing w:line="240" w:lineRule="exact"/>
              <w:jc w:val="left"/>
              <w:rPr>
                <w:rFonts w:ascii="ＭＳ ゴシック" w:eastAsia="ＭＳ ゴシック" w:hAnsi="ＭＳ ゴシック"/>
                <w:w w:val="50"/>
                <w:sz w:val="18"/>
                <w:szCs w:val="18"/>
              </w:rPr>
            </w:pPr>
            <w:r w:rsidRPr="00E0548A">
              <w:rPr>
                <w:rFonts w:ascii="ＭＳ ゴシック" w:eastAsia="ＭＳ ゴシック" w:hAnsi="ＭＳ ゴシック" w:hint="eastAsia"/>
                <w:w w:val="50"/>
                <w:sz w:val="18"/>
                <w:szCs w:val="18"/>
              </w:rPr>
              <w:t>※兼務</w:t>
            </w:r>
          </w:p>
        </w:tc>
      </w:tr>
      <w:tr w:rsidR="001D6D10" w:rsidRPr="001D6D10" w14:paraId="0E431DC7" w14:textId="77777777" w:rsidTr="006E52DA">
        <w:trPr>
          <w:cantSplit/>
          <w:trHeight w:val="487"/>
        </w:trPr>
        <w:tc>
          <w:tcPr>
            <w:tcW w:w="5776" w:type="dxa"/>
            <w:gridSpan w:val="2"/>
            <w:tcBorders>
              <w:top w:val="single" w:sz="4" w:space="0" w:color="auto"/>
              <w:left w:val="single" w:sz="4" w:space="0" w:color="auto"/>
              <w:bottom w:val="single" w:sz="4" w:space="0" w:color="auto"/>
              <w:right w:val="single" w:sz="4" w:space="0" w:color="auto"/>
            </w:tcBorders>
            <w:shd w:val="clear" w:color="auto" w:fill="F2F2F2"/>
            <w:vAlign w:val="center"/>
            <w:hideMark/>
          </w:tcPr>
          <w:p w14:paraId="21E9DC94" w14:textId="77777777" w:rsidR="00495626" w:rsidRPr="00E0548A" w:rsidRDefault="00495626" w:rsidP="00495626">
            <w:pPr>
              <w:adjustRightInd w:val="0"/>
              <w:snapToGrid w:val="0"/>
              <w:spacing w:line="240" w:lineRule="exact"/>
              <w:ind w:firstLineChars="1000" w:firstLine="918"/>
              <w:jc w:val="left"/>
              <w:rPr>
                <w:rFonts w:ascii="ＭＳ ゴシック" w:eastAsia="ＭＳ ゴシック" w:hAnsi="ＭＳ ゴシック"/>
                <w:b/>
                <w:w w:val="50"/>
                <w:sz w:val="18"/>
                <w:szCs w:val="18"/>
              </w:rPr>
            </w:pPr>
            <w:r w:rsidRPr="00E0548A">
              <w:rPr>
                <w:rFonts w:ascii="ＭＳ ゴシック" w:eastAsia="ＭＳ ゴシック" w:hAnsi="ＭＳ ゴシック" w:hint="eastAsia"/>
                <w:b/>
                <w:w w:val="50"/>
                <w:sz w:val="18"/>
                <w:szCs w:val="18"/>
              </w:rPr>
              <w:t>配備人員　計</w:t>
            </w:r>
          </w:p>
        </w:tc>
        <w:tc>
          <w:tcPr>
            <w:tcW w:w="3580" w:type="dxa"/>
            <w:tcBorders>
              <w:top w:val="single" w:sz="4" w:space="0" w:color="auto"/>
              <w:left w:val="single" w:sz="4" w:space="0" w:color="auto"/>
              <w:bottom w:val="single" w:sz="4" w:space="0" w:color="auto"/>
              <w:right w:val="single" w:sz="4" w:space="0" w:color="auto"/>
            </w:tcBorders>
            <w:shd w:val="clear" w:color="auto" w:fill="F2F2F2"/>
            <w:vAlign w:val="center"/>
          </w:tcPr>
          <w:p w14:paraId="23BFD1E4" w14:textId="5036F3FE" w:rsidR="00495626" w:rsidRPr="00E0548A" w:rsidRDefault="00F236FB" w:rsidP="00495626">
            <w:pPr>
              <w:adjustRightInd w:val="0"/>
              <w:snapToGrid w:val="0"/>
              <w:spacing w:line="240" w:lineRule="exact"/>
              <w:jc w:val="center"/>
              <w:rPr>
                <w:rFonts w:ascii="ＭＳ ゴシック" w:eastAsia="ＭＳ ゴシック" w:hAnsi="ＭＳ ゴシック"/>
                <w:b/>
                <w:w w:val="50"/>
                <w:sz w:val="18"/>
                <w:szCs w:val="18"/>
              </w:rPr>
            </w:pPr>
            <w:r w:rsidRPr="00E0548A">
              <w:rPr>
                <w:rFonts w:ascii="ＭＳ ゴシック" w:eastAsia="ＭＳ ゴシック" w:hAnsi="ＭＳ ゴシック"/>
                <w:b/>
                <w:w w:val="50"/>
                <w:sz w:val="18"/>
                <w:szCs w:val="18"/>
              </w:rPr>
              <w:t>4</w:t>
            </w:r>
            <w:r w:rsidR="00DD4847" w:rsidRPr="00E0548A">
              <w:rPr>
                <w:rFonts w:ascii="ＭＳ ゴシック" w:eastAsia="ＭＳ ゴシック" w:hAnsi="ＭＳ ゴシック" w:hint="eastAsia"/>
                <w:b/>
                <w:w w:val="50"/>
                <w:sz w:val="18"/>
                <w:szCs w:val="18"/>
              </w:rPr>
              <w:t>6</w:t>
            </w:r>
            <w:r w:rsidR="00495626" w:rsidRPr="00E0548A">
              <w:rPr>
                <w:rFonts w:ascii="ＭＳ ゴシック" w:eastAsia="ＭＳ ゴシック" w:hAnsi="ＭＳ ゴシック" w:hint="eastAsia"/>
                <w:b/>
                <w:w w:val="50"/>
                <w:sz w:val="18"/>
                <w:szCs w:val="18"/>
              </w:rPr>
              <w:t>名</w:t>
            </w:r>
          </w:p>
          <w:p w14:paraId="10E3CD2E" w14:textId="3618D74A" w:rsidR="00495626" w:rsidRPr="001D6D10" w:rsidRDefault="00495626" w:rsidP="00495626">
            <w:pPr>
              <w:adjustRightInd w:val="0"/>
              <w:snapToGrid w:val="0"/>
              <w:spacing w:line="240" w:lineRule="exact"/>
              <w:jc w:val="center"/>
              <w:rPr>
                <w:rFonts w:ascii="ＭＳ ゴシック" w:eastAsia="ＭＳ ゴシック" w:hAnsi="ＭＳ ゴシック"/>
                <w:b/>
                <w:w w:val="50"/>
                <w:sz w:val="18"/>
                <w:szCs w:val="18"/>
              </w:rPr>
            </w:pPr>
            <w:r w:rsidRPr="00E0548A">
              <w:rPr>
                <w:rFonts w:ascii="ＭＳ ゴシック" w:eastAsia="ＭＳ ゴシック" w:hAnsi="ＭＳ ゴシック" w:hint="eastAsia"/>
                <w:b/>
                <w:w w:val="50"/>
                <w:sz w:val="18"/>
                <w:szCs w:val="18"/>
              </w:rPr>
              <w:t>(企画室報道Ｇ</w:t>
            </w:r>
            <w:r w:rsidR="00F236FB" w:rsidRPr="00E0548A">
              <w:rPr>
                <w:rFonts w:ascii="ＭＳ ゴシック" w:eastAsia="ＭＳ ゴシック" w:hAnsi="ＭＳ ゴシック" w:hint="eastAsia"/>
                <w:b/>
                <w:w w:val="50"/>
                <w:sz w:val="18"/>
                <w:szCs w:val="18"/>
              </w:rPr>
              <w:t>、</w:t>
            </w:r>
            <w:r w:rsidR="0095254A" w:rsidRPr="00E0548A">
              <w:rPr>
                <w:rFonts w:ascii="ＭＳ ゴシック" w:eastAsia="ＭＳ ゴシック" w:hAnsi="ＭＳ ゴシック" w:hint="eastAsia"/>
                <w:w w:val="50"/>
                <w:sz w:val="18"/>
                <w:szCs w:val="18"/>
              </w:rPr>
              <w:t>人事課</w:t>
            </w:r>
            <w:r w:rsidRPr="00E0548A">
              <w:rPr>
                <w:rFonts w:ascii="ＭＳ ゴシック" w:eastAsia="ＭＳ ゴシック" w:hAnsi="ＭＳ ゴシック" w:hint="eastAsia"/>
                <w:b/>
                <w:w w:val="50"/>
                <w:sz w:val="18"/>
                <w:szCs w:val="18"/>
              </w:rPr>
              <w:t>含む)</w:t>
            </w:r>
          </w:p>
        </w:tc>
      </w:tr>
    </w:tbl>
    <w:p w14:paraId="22EB4BAB" w14:textId="77777777" w:rsidR="009E1937" w:rsidRPr="00C11992" w:rsidRDefault="006E52DA" w:rsidP="009E1937">
      <w:pPr>
        <w:spacing w:line="240" w:lineRule="exact"/>
        <w:rPr>
          <w:rFonts w:asciiTheme="minorEastAsia" w:eastAsiaTheme="minorEastAsia" w:hAnsiTheme="minorEastAsia"/>
          <w:sz w:val="18"/>
          <w:szCs w:val="18"/>
        </w:rPr>
      </w:pPr>
      <w:bookmarkStart w:id="65" w:name="_Hlk193124579"/>
      <w:r w:rsidRPr="00C11992">
        <w:rPr>
          <w:rFonts w:asciiTheme="minorEastAsia" w:eastAsiaTheme="minorEastAsia" w:hAnsiTheme="minorEastAsia" w:hint="eastAsia"/>
          <w:sz w:val="18"/>
          <w:szCs w:val="18"/>
        </w:rPr>
        <w:t>【他府県で災害が発生し、緊急消防援助隊大阪府大隊が出動する場合】</w:t>
      </w:r>
    </w:p>
    <w:p w14:paraId="2F5D90EC" w14:textId="4ABBD51B" w:rsidR="006E52DA" w:rsidRPr="00C11992" w:rsidRDefault="006E52DA" w:rsidP="009E1937">
      <w:pPr>
        <w:spacing w:line="240" w:lineRule="exact"/>
        <w:rPr>
          <w:rFonts w:asciiTheme="minorEastAsia" w:eastAsiaTheme="minorEastAsia" w:hAnsiTheme="minorEastAsia"/>
          <w:sz w:val="18"/>
          <w:szCs w:val="18"/>
        </w:rPr>
      </w:pPr>
      <w:r w:rsidRPr="00C11992">
        <w:rPr>
          <w:rFonts w:asciiTheme="minorEastAsia" w:eastAsiaTheme="minorEastAsia" w:hAnsiTheme="minorEastAsia" w:hint="eastAsia"/>
          <w:sz w:val="18"/>
          <w:szCs w:val="18"/>
        </w:rPr>
        <w:t>室内に消防応援活動調整本部を設置し、消防保安課長、消防保安課参事、消防指導G員が従事する。</w:t>
      </w:r>
    </w:p>
    <w:p w14:paraId="3FDA1A62" w14:textId="338D7A2A" w:rsidR="005D372A" w:rsidRPr="00C11992" w:rsidRDefault="006E52DA" w:rsidP="006E52DA">
      <w:pPr>
        <w:adjustRightInd w:val="0"/>
        <w:snapToGrid w:val="0"/>
        <w:rPr>
          <w:rFonts w:asciiTheme="minorEastAsia" w:eastAsiaTheme="minorEastAsia" w:hAnsiTheme="minorEastAsia"/>
          <w:b/>
        </w:rPr>
      </w:pPr>
      <w:r w:rsidRPr="00C11992">
        <w:rPr>
          <w:rFonts w:asciiTheme="minorEastAsia" w:eastAsiaTheme="minorEastAsia" w:hAnsiTheme="minorEastAsia" w:hint="eastAsia"/>
          <w:sz w:val="18"/>
          <w:szCs w:val="18"/>
        </w:rPr>
        <w:t>また、必要に応じ消防保安課以外の課員も従事する場合がある。</w:t>
      </w:r>
      <w:bookmarkEnd w:id="65"/>
    </w:p>
    <w:p w14:paraId="2D32F932" w14:textId="77777777" w:rsidR="005D372A" w:rsidRPr="00C11992" w:rsidRDefault="005D372A" w:rsidP="005D372A">
      <w:pPr>
        <w:adjustRightInd w:val="0"/>
        <w:snapToGrid w:val="0"/>
        <w:rPr>
          <w:rFonts w:asciiTheme="minorEastAsia" w:eastAsiaTheme="minorEastAsia" w:hAnsiTheme="minorEastAsia"/>
          <w:b/>
        </w:rPr>
      </w:pPr>
    </w:p>
    <w:p w14:paraId="178EB39B" w14:textId="77777777" w:rsidR="005D372A" w:rsidRDefault="005D372A" w:rsidP="005D372A">
      <w:pPr>
        <w:adjustRightInd w:val="0"/>
        <w:snapToGrid w:val="0"/>
        <w:jc w:val="left"/>
        <w:rPr>
          <w:rFonts w:ascii="ＭＳ ゴシック" w:eastAsia="ＭＳ ゴシック" w:hAnsi="ＭＳ ゴシック"/>
        </w:rPr>
      </w:pPr>
      <w:r w:rsidRPr="00C11992">
        <w:rPr>
          <w:rFonts w:asciiTheme="minorEastAsia" w:eastAsiaTheme="minorEastAsia" w:hAnsiTheme="minorEastAsia" w:hint="eastAsia"/>
        </w:rPr>
        <w:t>※危機管理監は、各フェーズ・各配備について、災害等事象の態様により、配備人員を増減することができる。</w:t>
      </w:r>
    </w:p>
    <w:p w14:paraId="162925B1" w14:textId="77777777" w:rsidR="00523F74" w:rsidRDefault="00523F74" w:rsidP="005D372A">
      <w:pPr>
        <w:adjustRightInd w:val="0"/>
        <w:snapToGrid w:val="0"/>
        <w:jc w:val="left"/>
        <w:rPr>
          <w:rFonts w:ascii="ＭＳ ゴシック" w:eastAsia="ＭＳ ゴシック" w:hAnsi="ＭＳ ゴシック"/>
        </w:rPr>
      </w:pPr>
    </w:p>
    <w:p w14:paraId="28F8F34B" w14:textId="77777777" w:rsidR="00523F74" w:rsidRPr="00385E62" w:rsidRDefault="00523F74" w:rsidP="005D372A">
      <w:pPr>
        <w:adjustRightInd w:val="0"/>
        <w:snapToGrid w:val="0"/>
        <w:jc w:val="left"/>
        <w:rPr>
          <w:rFonts w:ascii="ＭＳ ゴシック" w:eastAsia="ＭＳ ゴシック" w:hAnsi="ＭＳ ゴシック"/>
        </w:rPr>
      </w:pPr>
    </w:p>
    <w:bookmarkStart w:id="66" w:name="_Toc242870243"/>
    <w:p w14:paraId="5E6318A5" w14:textId="77777777" w:rsidR="00523F74" w:rsidRPr="0075788C" w:rsidRDefault="00523F74" w:rsidP="00523F74">
      <w:pPr>
        <w:pStyle w:val="4"/>
        <w:ind w:leftChars="189" w:left="399" w:firstLineChars="100" w:firstLine="181"/>
        <w:rPr>
          <w:rFonts w:ascii="ＭＳ ゴシック" w:eastAsia="ＭＳ ゴシック" w:hAnsi="ＭＳ ゴシック"/>
          <w:b w:val="0"/>
          <w:sz w:val="22"/>
          <w:szCs w:val="22"/>
          <w:u w:val="single"/>
        </w:rPr>
      </w:pPr>
      <w:r w:rsidRPr="001D6D10">
        <w:rPr>
          <w:rFonts w:hint="eastAsia"/>
          <w:b w:val="0"/>
          <w:noProof/>
          <w:sz w:val="18"/>
          <w:szCs w:val="18"/>
        </w:rPr>
        <w:lastRenderedPageBreak/>
        <mc:AlternateContent>
          <mc:Choice Requires="wps">
            <w:drawing>
              <wp:anchor distT="0" distB="0" distL="114300" distR="114300" simplePos="0" relativeHeight="254376960" behindDoc="0" locked="0" layoutInCell="1" allowOverlap="1" wp14:anchorId="059C71A5" wp14:editId="5DC0741F">
                <wp:simplePos x="0" y="0"/>
                <wp:positionH relativeFrom="margin">
                  <wp:align>left</wp:align>
                </wp:positionH>
                <wp:positionV relativeFrom="paragraph">
                  <wp:posOffset>-8637815</wp:posOffset>
                </wp:positionV>
                <wp:extent cx="4907915" cy="292100"/>
                <wp:effectExtent l="0" t="0" r="0" b="0"/>
                <wp:wrapNone/>
                <wp:docPr id="1738827960" name="正方形/長方形 1738827960"/>
                <wp:cNvGraphicFramePr/>
                <a:graphic xmlns:a="http://schemas.openxmlformats.org/drawingml/2006/main">
                  <a:graphicData uri="http://schemas.microsoft.com/office/word/2010/wordprocessingShape">
                    <wps:wsp>
                      <wps:cNvSpPr/>
                      <wps:spPr>
                        <a:xfrm>
                          <a:off x="0" y="0"/>
                          <a:ext cx="4907915" cy="292100"/>
                        </a:xfrm>
                        <a:prstGeom prst="rect">
                          <a:avLst/>
                        </a:prstGeom>
                        <a:noFill/>
                        <a:ln w="9525" cap="flat" cmpd="sng" algn="ctr">
                          <a:noFill/>
                          <a:prstDash val="solid"/>
                          <a:tailEnd type="triangle"/>
                        </a:ln>
                        <a:effectLst/>
                      </wps:spPr>
                      <wps:txbx>
                        <w:txbxContent>
                          <w:p w14:paraId="442D0F9E" w14:textId="77777777" w:rsidR="00523F74" w:rsidRPr="00387AA3" w:rsidRDefault="00523F74" w:rsidP="00523F74">
                            <w:pPr>
                              <w:jc w:val="left"/>
                              <w:rPr>
                                <w:rFonts w:asciiTheme="minorEastAsia" w:eastAsiaTheme="minorEastAsia" w:hAnsiTheme="minorEastAsia"/>
                                <w:sz w:val="16"/>
                                <w:szCs w:val="16"/>
                              </w:rPr>
                            </w:pPr>
                            <w:r w:rsidRPr="00387AA3">
                              <w:rPr>
                                <w:rFonts w:asciiTheme="minorEastAsia" w:eastAsiaTheme="minorEastAsia" w:hAnsiTheme="minorEastAsia" w:hint="eastAsia"/>
                                <w:color w:val="000000" w:themeColor="text1"/>
                                <w:sz w:val="16"/>
                                <w:szCs w:val="1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別表３　大阪府防災会議委員・幹事会名簿（令和2年9月1日</w:t>
                            </w:r>
                            <w:r w:rsidRPr="00387AA3">
                              <w:rPr>
                                <w:rFonts w:asciiTheme="minorEastAsia" w:eastAsiaTheme="minorEastAsia" w:hAnsiTheme="minorEastAsia"/>
                                <w:color w:val="000000" w:themeColor="text1"/>
                                <w:sz w:val="16"/>
                                <w:szCs w:val="1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rect w14:anchorId="059C71A5" id="正方形/長方形 1738827960" o:spid="_x0000_s1225" style="position:absolute;left:0;text-align:left;margin-left:0;margin-top:-680.15pt;width:386.45pt;height:23pt;z-index:254376960;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" filled="f" stroked="f">
                <v:stroke endarrow="block"/>
                <v:textbox>
                  <w:txbxContent>
                    <w:p w14:paraId="442D0F9E" w14:textId="77777777" w:rsidR="00523F74" w:rsidRPr="00387AA3" w:rsidRDefault="00523F74" w:rsidP="00523F74">
                      <w:pPr>
                        <w:jc w:val="left"/>
                        <w:rPr>
                          <w:rFonts w:asciiTheme="minorEastAsia" w:eastAsiaTheme="minorEastAsia" w:hAnsiTheme="minorEastAsia"/>
                          <w:sz w:val="16"/>
                          <w:szCs w:val="16"/>
                        </w:rPr>
                      </w:pPr>
                      <w:r w:rsidRPr="00387AA3">
                        <w:rPr>
                          <w:rFonts w:asciiTheme="minorEastAsia" w:eastAsiaTheme="minorEastAsia" w:hAnsiTheme="minorEastAsia" w:hint="eastAsia"/>
                          <w:color w:val="000000" w:themeColor="text1"/>
                          <w:sz w:val="16"/>
                          <w:szCs w:val="1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別表３　大阪府防災会議委員・幹事会名簿（令和2年9月1日</w:t>
                      </w:r>
                      <w:r w:rsidRPr="00387AA3">
                        <w:rPr>
                          <w:rFonts w:asciiTheme="minorEastAsia" w:eastAsiaTheme="minorEastAsia" w:hAnsiTheme="minorEastAsia"/>
                          <w:color w:val="000000" w:themeColor="text1"/>
                          <w:sz w:val="16"/>
                          <w:szCs w:val="1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txbxContent>
                </v:textbox>
                <w10:wrap anchorx="margin"/>
              </v:rect>
            </w:pict>
          </mc:Fallback>
        </mc:AlternateContent>
      </w:r>
      <w:r>
        <w:rPr>
          <w:rFonts w:ascii="ＭＳ ゴシック" w:eastAsia="ＭＳ ゴシック" w:hAnsi="ＭＳ ゴシック" w:hint="eastAsia"/>
          <w:b w:val="0"/>
          <w:sz w:val="22"/>
          <w:szCs w:val="22"/>
          <w:u w:val="single"/>
        </w:rPr>
        <w:t>６</w:t>
      </w:r>
      <w:r w:rsidRPr="001D6D10">
        <w:rPr>
          <w:rFonts w:ascii="ＭＳ ゴシック" w:eastAsia="ＭＳ ゴシック" w:hAnsi="ＭＳ ゴシック" w:hint="eastAsia"/>
          <w:b w:val="0"/>
          <w:sz w:val="22"/>
          <w:szCs w:val="22"/>
          <w:u w:val="single"/>
        </w:rPr>
        <w:t xml:space="preserve">　</w:t>
      </w:r>
      <w:r w:rsidRPr="0075788C">
        <w:rPr>
          <w:rFonts w:ascii="ＭＳ ゴシック" w:eastAsia="ＭＳ ゴシック" w:hAnsi="ＭＳ ゴシック" w:hint="eastAsia"/>
          <w:b w:val="0"/>
          <w:sz w:val="22"/>
          <w:szCs w:val="22"/>
          <w:u w:val="single"/>
        </w:rPr>
        <w:t>風水害・台風等発生時における災害対策本部等の事務局体制</w:t>
      </w:r>
      <w:bookmarkEnd w:id="66"/>
    </w:p>
    <w:p w14:paraId="1AB549FC" w14:textId="77777777" w:rsidR="00523F74" w:rsidRPr="00C11992" w:rsidRDefault="00523F74" w:rsidP="00523F74">
      <w:pPr>
        <w:adjustRightInd w:val="0"/>
        <w:snapToGrid w:val="0"/>
        <w:ind w:left="867" w:rightChars="-108" w:right="-228" w:hangingChars="392" w:hanging="867"/>
        <w:rPr>
          <w:rFonts w:asciiTheme="minorEastAsia" w:eastAsiaTheme="minorEastAsia" w:hAnsiTheme="minorEastAsia"/>
          <w:sz w:val="22"/>
          <w:szCs w:val="22"/>
        </w:rPr>
      </w:pPr>
      <w:r w:rsidRPr="0075788C">
        <w:rPr>
          <w:rFonts w:ascii="ＭＳ 明朝" w:hAnsi="ＭＳ 明朝" w:hint="eastAsia"/>
          <w:sz w:val="22"/>
          <w:szCs w:val="22"/>
        </w:rPr>
        <w:t xml:space="preserve">          </w:t>
      </w:r>
      <w:r w:rsidRPr="00C11992">
        <w:rPr>
          <w:rFonts w:asciiTheme="minorEastAsia" w:eastAsiaTheme="minorEastAsia" w:hAnsiTheme="minorEastAsia" w:hint="eastAsia"/>
          <w:sz w:val="22"/>
          <w:szCs w:val="22"/>
        </w:rPr>
        <w:t>指令部長は、風水害・台風等発生時には、指令部（非常１号配備）、警戒本部（非常２号配備）及び災対本部（非常３号配備）の運営を円滑に行うため、次表のとおり事務局職員を招集する。</w:t>
      </w:r>
    </w:p>
    <w:p w14:paraId="37E40C6F" w14:textId="77777777" w:rsidR="00523F74" w:rsidRPr="00C11992" w:rsidRDefault="00523F74" w:rsidP="00523F74">
      <w:pPr>
        <w:adjustRightInd w:val="0"/>
        <w:snapToGrid w:val="0"/>
        <w:ind w:left="867" w:rightChars="-108" w:right="-228" w:hangingChars="392" w:hanging="867"/>
        <w:rPr>
          <w:rFonts w:asciiTheme="minorEastAsia" w:eastAsiaTheme="minorEastAsia" w:hAnsiTheme="minorEastAsia"/>
          <w:sz w:val="22"/>
          <w:szCs w:val="22"/>
        </w:rPr>
      </w:pPr>
      <w:r w:rsidRPr="00C11992">
        <w:rPr>
          <w:rFonts w:asciiTheme="minorEastAsia" w:eastAsiaTheme="minorEastAsia" w:hAnsiTheme="minorEastAsia" w:hint="eastAsia"/>
          <w:sz w:val="22"/>
          <w:szCs w:val="22"/>
        </w:rPr>
        <w:t xml:space="preserve">　　　　　なお、事務局体制については、時間経過によって変化する応急対策業務に柔軟に対応するため、フェーズごとに班体制の人員等を定める。</w:t>
      </w:r>
    </w:p>
    <w:p w14:paraId="1DBE0A8B" w14:textId="42BDC788" w:rsidR="00523F74" w:rsidRDefault="00523F74" w:rsidP="00493643">
      <w:pPr>
        <w:adjustRightInd w:val="0"/>
        <w:snapToGrid w:val="0"/>
        <w:ind w:leftChars="400" w:left="844" w:firstLineChars="100" w:firstLine="221"/>
        <w:jc w:val="left"/>
        <w:rPr>
          <w:rFonts w:ascii="ＭＳ 明朝" w:hAnsi="ＭＳ 明朝"/>
          <w:sz w:val="22"/>
          <w:szCs w:val="22"/>
        </w:rPr>
      </w:pPr>
      <w:r w:rsidRPr="00C11992">
        <w:rPr>
          <w:rFonts w:asciiTheme="minorEastAsia" w:eastAsiaTheme="minorEastAsia" w:hAnsiTheme="minorEastAsia" w:hint="eastAsia"/>
          <w:sz w:val="22"/>
          <w:szCs w:val="22"/>
        </w:rPr>
        <w:t>また、指令部長は、必要に応じ、事務局職員の員数を増減することができるものとし、増員する場合は、災対本部各班から応援する職員を指名できるものとする。</w:t>
      </w:r>
    </w:p>
    <w:p w14:paraId="59036579" w14:textId="77777777" w:rsidR="00523F74" w:rsidRDefault="00523F74" w:rsidP="00523F74">
      <w:pPr>
        <w:adjustRightInd w:val="0"/>
        <w:snapToGrid w:val="0"/>
        <w:jc w:val="left"/>
        <w:rPr>
          <w:rFonts w:ascii="ＭＳ 明朝" w:hAnsi="ＭＳ 明朝"/>
          <w:sz w:val="22"/>
          <w:szCs w:val="22"/>
        </w:rPr>
      </w:pPr>
    </w:p>
    <w:p w14:paraId="742C8884" w14:textId="77777777" w:rsidR="00523F74" w:rsidRDefault="00523F74" w:rsidP="00523F74">
      <w:pPr>
        <w:adjustRightInd w:val="0"/>
        <w:snapToGrid w:val="0"/>
        <w:jc w:val="left"/>
        <w:rPr>
          <w:rFonts w:ascii="ＭＳ 明朝" w:hAnsi="ＭＳ 明朝"/>
          <w:sz w:val="22"/>
          <w:szCs w:val="22"/>
        </w:rPr>
      </w:pPr>
    </w:p>
    <w:tbl>
      <w:tblPr>
        <w:tblW w:w="9214"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76"/>
        <w:gridCol w:w="4669"/>
        <w:gridCol w:w="1276"/>
        <w:gridCol w:w="1276"/>
        <w:gridCol w:w="1417"/>
      </w:tblGrid>
      <w:tr w:rsidR="00523F74" w:rsidRPr="00C31A1E" w14:paraId="06E9053D" w14:textId="77777777" w:rsidTr="00FF43BC">
        <w:trPr>
          <w:trHeight w:val="343"/>
        </w:trPr>
        <w:tc>
          <w:tcPr>
            <w:tcW w:w="576" w:type="dxa"/>
            <w:vMerge w:val="restart"/>
            <w:tcBorders>
              <w:top w:val="single" w:sz="4" w:space="0" w:color="auto"/>
              <w:left w:val="single" w:sz="4" w:space="0" w:color="auto"/>
              <w:bottom w:val="single" w:sz="4" w:space="0" w:color="auto"/>
              <w:right w:val="single" w:sz="4" w:space="0" w:color="auto"/>
            </w:tcBorders>
            <w:shd w:val="clear" w:color="auto" w:fill="F2F2F2"/>
            <w:vAlign w:val="center"/>
            <w:hideMark/>
          </w:tcPr>
          <w:p w14:paraId="04227BEC" w14:textId="77777777" w:rsidR="00523F74" w:rsidRPr="0075788C" w:rsidRDefault="00523F74" w:rsidP="00FF43BC">
            <w:pPr>
              <w:adjustRightInd w:val="0"/>
              <w:snapToGrid w:val="0"/>
              <w:spacing w:line="240" w:lineRule="exact"/>
              <w:jc w:val="center"/>
              <w:rPr>
                <w:rFonts w:asciiTheme="majorEastAsia" w:eastAsiaTheme="majorEastAsia" w:hAnsiTheme="majorEastAsia"/>
                <w:w w:val="50"/>
                <w:sz w:val="18"/>
                <w:szCs w:val="21"/>
              </w:rPr>
            </w:pPr>
            <w:r w:rsidRPr="0075788C">
              <w:rPr>
                <w:rFonts w:asciiTheme="majorEastAsia" w:eastAsiaTheme="majorEastAsia" w:hAnsiTheme="majorEastAsia" w:hint="eastAsia"/>
                <w:sz w:val="18"/>
                <w:szCs w:val="21"/>
              </w:rPr>
              <w:t>班</w:t>
            </w:r>
          </w:p>
          <w:p w14:paraId="39F8C3F5" w14:textId="77777777" w:rsidR="00523F74" w:rsidRPr="0075788C" w:rsidRDefault="00523F74" w:rsidP="00FF43BC">
            <w:pPr>
              <w:adjustRightInd w:val="0"/>
              <w:snapToGrid w:val="0"/>
              <w:spacing w:line="240" w:lineRule="exact"/>
              <w:jc w:val="center"/>
              <w:rPr>
                <w:rFonts w:asciiTheme="majorEastAsia" w:eastAsiaTheme="majorEastAsia" w:hAnsiTheme="majorEastAsia"/>
                <w:w w:val="50"/>
                <w:sz w:val="18"/>
                <w:szCs w:val="21"/>
              </w:rPr>
            </w:pPr>
          </w:p>
        </w:tc>
        <w:tc>
          <w:tcPr>
            <w:tcW w:w="4669" w:type="dxa"/>
            <w:vMerge w:val="restart"/>
            <w:tcBorders>
              <w:top w:val="single" w:sz="4" w:space="0" w:color="auto"/>
              <w:left w:val="single" w:sz="4" w:space="0" w:color="auto"/>
              <w:right w:val="single" w:sz="4" w:space="0" w:color="auto"/>
            </w:tcBorders>
            <w:shd w:val="clear" w:color="auto" w:fill="F2F2F2"/>
            <w:vAlign w:val="center"/>
            <w:hideMark/>
          </w:tcPr>
          <w:p w14:paraId="178262D3" w14:textId="77777777" w:rsidR="00523F74" w:rsidRPr="0075788C" w:rsidRDefault="00523F74" w:rsidP="00FF43BC">
            <w:pPr>
              <w:adjustRightInd w:val="0"/>
              <w:snapToGrid w:val="0"/>
              <w:spacing w:line="240" w:lineRule="exact"/>
              <w:jc w:val="center"/>
              <w:rPr>
                <w:rFonts w:asciiTheme="majorEastAsia" w:eastAsiaTheme="majorEastAsia" w:hAnsiTheme="majorEastAsia"/>
                <w:w w:val="50"/>
                <w:sz w:val="14"/>
                <w:szCs w:val="18"/>
              </w:rPr>
            </w:pPr>
            <w:r w:rsidRPr="0075788C">
              <w:rPr>
                <w:rFonts w:asciiTheme="majorEastAsia" w:eastAsiaTheme="majorEastAsia" w:hAnsiTheme="majorEastAsia" w:hint="eastAsia"/>
                <w:sz w:val="14"/>
                <w:szCs w:val="18"/>
              </w:rPr>
              <w:t>主な業務項目</w:t>
            </w:r>
          </w:p>
          <w:p w14:paraId="001603CF" w14:textId="77777777" w:rsidR="00523F74" w:rsidRPr="0075788C" w:rsidRDefault="00523F74" w:rsidP="00FF43BC">
            <w:pPr>
              <w:adjustRightInd w:val="0"/>
              <w:snapToGrid w:val="0"/>
              <w:spacing w:line="240" w:lineRule="exact"/>
              <w:jc w:val="center"/>
              <w:rPr>
                <w:rFonts w:asciiTheme="majorEastAsia" w:eastAsiaTheme="majorEastAsia" w:hAnsiTheme="majorEastAsia"/>
                <w:w w:val="50"/>
                <w:sz w:val="18"/>
                <w:szCs w:val="21"/>
              </w:rPr>
            </w:pPr>
          </w:p>
        </w:tc>
        <w:tc>
          <w:tcPr>
            <w:tcW w:w="3969" w:type="dxa"/>
            <w:gridSpan w:val="3"/>
            <w:tcBorders>
              <w:top w:val="single" w:sz="4" w:space="0" w:color="auto"/>
              <w:left w:val="single" w:sz="4" w:space="0" w:color="auto"/>
              <w:right w:val="single" w:sz="4" w:space="0" w:color="auto"/>
            </w:tcBorders>
            <w:shd w:val="clear" w:color="auto" w:fill="F2F2F2"/>
            <w:vAlign w:val="center"/>
          </w:tcPr>
          <w:p w14:paraId="679CD6CB" w14:textId="77777777" w:rsidR="00523F74" w:rsidRPr="0075788C" w:rsidRDefault="00523F74" w:rsidP="00FF43BC">
            <w:pPr>
              <w:adjustRightInd w:val="0"/>
              <w:snapToGrid w:val="0"/>
              <w:spacing w:line="240" w:lineRule="exact"/>
              <w:jc w:val="center"/>
              <w:rPr>
                <w:rFonts w:asciiTheme="majorEastAsia" w:eastAsiaTheme="majorEastAsia" w:hAnsiTheme="majorEastAsia"/>
                <w:w w:val="50"/>
                <w:sz w:val="18"/>
                <w:szCs w:val="21"/>
              </w:rPr>
            </w:pPr>
            <w:r w:rsidRPr="0075788C">
              <w:rPr>
                <w:rFonts w:asciiTheme="majorEastAsia" w:eastAsiaTheme="majorEastAsia" w:hAnsiTheme="majorEastAsia" w:hint="eastAsia"/>
                <w:sz w:val="16"/>
                <w:szCs w:val="20"/>
              </w:rPr>
              <w:t>構成員</w:t>
            </w:r>
          </w:p>
        </w:tc>
      </w:tr>
      <w:tr w:rsidR="00523F74" w:rsidRPr="00C31A1E" w14:paraId="0CE71696" w14:textId="77777777" w:rsidTr="00FF43BC">
        <w:trPr>
          <w:trHeight w:val="561"/>
        </w:trPr>
        <w:tc>
          <w:tcPr>
            <w:tcW w:w="576" w:type="dxa"/>
            <w:vMerge/>
            <w:tcBorders>
              <w:top w:val="single" w:sz="4" w:space="0" w:color="auto"/>
              <w:left w:val="single" w:sz="4" w:space="0" w:color="auto"/>
              <w:bottom w:val="single" w:sz="4" w:space="0" w:color="auto"/>
              <w:right w:val="single" w:sz="4" w:space="0" w:color="auto"/>
            </w:tcBorders>
            <w:shd w:val="clear" w:color="auto" w:fill="F2F2F2"/>
            <w:hideMark/>
          </w:tcPr>
          <w:p w14:paraId="347AADF5" w14:textId="77777777" w:rsidR="00523F74" w:rsidRPr="0075788C" w:rsidRDefault="00523F74" w:rsidP="00FF43BC">
            <w:pPr>
              <w:widowControl/>
              <w:adjustRightInd w:val="0"/>
              <w:snapToGrid w:val="0"/>
              <w:spacing w:line="240" w:lineRule="exact"/>
              <w:jc w:val="center"/>
              <w:rPr>
                <w:rFonts w:asciiTheme="majorEastAsia" w:eastAsiaTheme="majorEastAsia" w:hAnsiTheme="majorEastAsia"/>
                <w:w w:val="50"/>
                <w:sz w:val="18"/>
                <w:szCs w:val="21"/>
              </w:rPr>
            </w:pPr>
          </w:p>
        </w:tc>
        <w:tc>
          <w:tcPr>
            <w:tcW w:w="4669" w:type="dxa"/>
            <w:vMerge/>
            <w:tcBorders>
              <w:left w:val="single" w:sz="4" w:space="0" w:color="auto"/>
              <w:bottom w:val="single" w:sz="4" w:space="0" w:color="auto"/>
              <w:right w:val="single" w:sz="4" w:space="0" w:color="auto"/>
            </w:tcBorders>
            <w:shd w:val="clear" w:color="auto" w:fill="F2F2F2"/>
            <w:hideMark/>
          </w:tcPr>
          <w:p w14:paraId="61705DB4" w14:textId="77777777" w:rsidR="00523F74" w:rsidRPr="0075788C" w:rsidRDefault="00523F74" w:rsidP="00FF43BC">
            <w:pPr>
              <w:widowControl/>
              <w:adjustRightInd w:val="0"/>
              <w:snapToGrid w:val="0"/>
              <w:spacing w:line="240" w:lineRule="exact"/>
              <w:jc w:val="left"/>
              <w:rPr>
                <w:rFonts w:asciiTheme="majorEastAsia" w:eastAsiaTheme="majorEastAsia" w:hAnsiTheme="majorEastAsia"/>
                <w:w w:val="50"/>
                <w:sz w:val="18"/>
                <w:szCs w:val="21"/>
              </w:rPr>
            </w:pPr>
          </w:p>
        </w:tc>
        <w:tc>
          <w:tcPr>
            <w:tcW w:w="1276" w:type="dxa"/>
            <w:tcBorders>
              <w:top w:val="single" w:sz="4" w:space="0" w:color="auto"/>
              <w:left w:val="single" w:sz="4" w:space="0" w:color="auto"/>
              <w:bottom w:val="single" w:sz="4" w:space="0" w:color="auto"/>
              <w:right w:val="single" w:sz="4" w:space="0" w:color="auto"/>
            </w:tcBorders>
            <w:shd w:val="clear" w:color="auto" w:fill="F2F2F2"/>
          </w:tcPr>
          <w:p w14:paraId="2EC7AA18" w14:textId="77777777" w:rsidR="00523F74" w:rsidRPr="0075788C" w:rsidRDefault="00523F74" w:rsidP="00FF43BC">
            <w:pPr>
              <w:adjustRightInd w:val="0"/>
              <w:snapToGrid w:val="0"/>
              <w:spacing w:line="240" w:lineRule="exact"/>
              <w:rPr>
                <w:rFonts w:asciiTheme="majorEastAsia" w:eastAsiaTheme="majorEastAsia" w:hAnsiTheme="majorEastAsia"/>
                <w:sz w:val="12"/>
                <w:szCs w:val="16"/>
              </w:rPr>
            </w:pPr>
            <w:r w:rsidRPr="0075788C">
              <w:rPr>
                <w:rFonts w:asciiTheme="majorEastAsia" w:eastAsiaTheme="majorEastAsia" w:hAnsiTheme="majorEastAsia" w:hint="eastAsia"/>
                <w:sz w:val="12"/>
                <w:szCs w:val="16"/>
              </w:rPr>
              <w:t>非常1号（指令部）</w:t>
            </w:r>
          </w:p>
          <w:p w14:paraId="3CD51D2E" w14:textId="77777777" w:rsidR="00523F74" w:rsidRPr="0075788C" w:rsidRDefault="00523F74" w:rsidP="00FF43BC">
            <w:pPr>
              <w:adjustRightInd w:val="0"/>
              <w:snapToGrid w:val="0"/>
              <w:spacing w:line="240" w:lineRule="exact"/>
              <w:jc w:val="center"/>
              <w:rPr>
                <w:rFonts w:asciiTheme="majorEastAsia" w:eastAsiaTheme="majorEastAsia" w:hAnsiTheme="majorEastAsia"/>
                <w:sz w:val="12"/>
                <w:szCs w:val="16"/>
              </w:rPr>
            </w:pPr>
            <w:r w:rsidRPr="0075788C">
              <w:rPr>
                <w:rFonts w:asciiTheme="majorEastAsia" w:eastAsiaTheme="majorEastAsia" w:hAnsiTheme="majorEastAsia" w:hint="eastAsia"/>
                <w:sz w:val="12"/>
                <w:szCs w:val="16"/>
              </w:rPr>
              <w:t>※２～３班体制</w:t>
            </w:r>
          </w:p>
        </w:tc>
        <w:tc>
          <w:tcPr>
            <w:tcW w:w="1276" w:type="dxa"/>
            <w:tcBorders>
              <w:top w:val="single" w:sz="4" w:space="0" w:color="auto"/>
              <w:left w:val="single" w:sz="4" w:space="0" w:color="auto"/>
              <w:bottom w:val="single" w:sz="4" w:space="0" w:color="auto"/>
              <w:right w:val="single" w:sz="4" w:space="0" w:color="auto"/>
            </w:tcBorders>
            <w:shd w:val="clear" w:color="auto" w:fill="F2F2F2"/>
          </w:tcPr>
          <w:p w14:paraId="56CD4BF8" w14:textId="77777777" w:rsidR="00523F74" w:rsidRPr="0075788C" w:rsidRDefault="00523F74" w:rsidP="00FF43BC">
            <w:pPr>
              <w:adjustRightInd w:val="0"/>
              <w:snapToGrid w:val="0"/>
              <w:spacing w:line="240" w:lineRule="exact"/>
              <w:rPr>
                <w:rFonts w:asciiTheme="majorEastAsia" w:eastAsiaTheme="majorEastAsia" w:hAnsiTheme="majorEastAsia"/>
                <w:sz w:val="12"/>
                <w:szCs w:val="16"/>
              </w:rPr>
            </w:pPr>
            <w:r w:rsidRPr="0075788C">
              <w:rPr>
                <w:rFonts w:asciiTheme="majorEastAsia" w:eastAsiaTheme="majorEastAsia" w:hAnsiTheme="majorEastAsia" w:hint="eastAsia"/>
                <w:sz w:val="12"/>
                <w:szCs w:val="16"/>
              </w:rPr>
              <w:t>非常2号（警戒本部）</w:t>
            </w:r>
          </w:p>
          <w:p w14:paraId="1CE85644" w14:textId="77777777" w:rsidR="00523F74" w:rsidRPr="0075788C" w:rsidRDefault="00523F74" w:rsidP="00FF43BC">
            <w:pPr>
              <w:adjustRightInd w:val="0"/>
              <w:snapToGrid w:val="0"/>
              <w:spacing w:line="240" w:lineRule="exact"/>
              <w:jc w:val="center"/>
              <w:rPr>
                <w:rFonts w:asciiTheme="majorEastAsia" w:eastAsiaTheme="majorEastAsia" w:hAnsiTheme="majorEastAsia"/>
                <w:sz w:val="12"/>
                <w:szCs w:val="16"/>
              </w:rPr>
            </w:pPr>
            <w:r w:rsidRPr="0075788C">
              <w:rPr>
                <w:rFonts w:asciiTheme="majorEastAsia" w:eastAsiaTheme="majorEastAsia" w:hAnsiTheme="majorEastAsia" w:hint="eastAsia"/>
                <w:sz w:val="12"/>
                <w:szCs w:val="16"/>
              </w:rPr>
              <w:t>※４～５班体制</w:t>
            </w:r>
          </w:p>
        </w:tc>
        <w:tc>
          <w:tcPr>
            <w:tcW w:w="1417" w:type="dxa"/>
            <w:tcBorders>
              <w:top w:val="single" w:sz="4" w:space="0" w:color="auto"/>
              <w:left w:val="single" w:sz="4" w:space="0" w:color="auto"/>
              <w:bottom w:val="single" w:sz="4" w:space="0" w:color="auto"/>
              <w:right w:val="single" w:sz="4" w:space="0" w:color="auto"/>
            </w:tcBorders>
            <w:shd w:val="clear" w:color="auto" w:fill="F2F2F2"/>
          </w:tcPr>
          <w:p w14:paraId="18423B22" w14:textId="77777777" w:rsidR="00523F74" w:rsidRPr="0075788C" w:rsidRDefault="00523F74" w:rsidP="00FF43BC">
            <w:pPr>
              <w:adjustRightInd w:val="0"/>
              <w:snapToGrid w:val="0"/>
              <w:spacing w:line="240" w:lineRule="exact"/>
              <w:rPr>
                <w:rFonts w:asciiTheme="majorEastAsia" w:eastAsiaTheme="majorEastAsia" w:hAnsiTheme="majorEastAsia"/>
                <w:sz w:val="12"/>
                <w:szCs w:val="16"/>
              </w:rPr>
            </w:pPr>
            <w:r w:rsidRPr="0075788C">
              <w:rPr>
                <w:rFonts w:asciiTheme="majorEastAsia" w:eastAsiaTheme="majorEastAsia" w:hAnsiTheme="majorEastAsia" w:hint="eastAsia"/>
                <w:sz w:val="12"/>
                <w:szCs w:val="16"/>
              </w:rPr>
              <w:t>非常3号（災対本部）</w:t>
            </w:r>
          </w:p>
          <w:p w14:paraId="3FE34551" w14:textId="77777777" w:rsidR="00523F74" w:rsidRPr="0075788C" w:rsidRDefault="00523F74" w:rsidP="00FF43BC">
            <w:pPr>
              <w:adjustRightInd w:val="0"/>
              <w:snapToGrid w:val="0"/>
              <w:spacing w:line="240" w:lineRule="exact"/>
              <w:jc w:val="center"/>
              <w:rPr>
                <w:rFonts w:asciiTheme="majorEastAsia" w:eastAsiaTheme="majorEastAsia" w:hAnsiTheme="majorEastAsia"/>
                <w:sz w:val="12"/>
                <w:szCs w:val="16"/>
              </w:rPr>
            </w:pPr>
            <w:r w:rsidRPr="0075788C">
              <w:rPr>
                <w:rFonts w:asciiTheme="majorEastAsia" w:eastAsiaTheme="majorEastAsia" w:hAnsiTheme="majorEastAsia" w:hint="eastAsia"/>
                <w:sz w:val="12"/>
                <w:szCs w:val="16"/>
              </w:rPr>
              <w:t>※全員体制</w:t>
            </w:r>
          </w:p>
        </w:tc>
      </w:tr>
      <w:tr w:rsidR="00523F74" w:rsidRPr="00C31A1E" w14:paraId="1D15ADCB" w14:textId="77777777" w:rsidTr="00FF43BC">
        <w:trPr>
          <w:trHeight w:val="693"/>
        </w:trPr>
        <w:tc>
          <w:tcPr>
            <w:tcW w:w="576" w:type="dxa"/>
            <w:vMerge w:val="restart"/>
            <w:tcBorders>
              <w:top w:val="single" w:sz="4" w:space="0" w:color="auto"/>
              <w:left w:val="single" w:sz="4" w:space="0" w:color="auto"/>
              <w:right w:val="single" w:sz="4" w:space="0" w:color="auto"/>
            </w:tcBorders>
            <w:textDirection w:val="tbRlV"/>
            <w:vAlign w:val="center"/>
            <w:hideMark/>
          </w:tcPr>
          <w:p w14:paraId="185A2A06" w14:textId="77777777" w:rsidR="00523F74" w:rsidRPr="0075788C" w:rsidRDefault="00523F74" w:rsidP="00FF43BC">
            <w:pPr>
              <w:widowControl/>
              <w:adjustRightInd w:val="0"/>
              <w:snapToGrid w:val="0"/>
              <w:spacing w:line="240" w:lineRule="exact"/>
              <w:ind w:left="113" w:right="113"/>
              <w:jc w:val="center"/>
              <w:rPr>
                <w:rFonts w:asciiTheme="majorEastAsia" w:eastAsiaTheme="majorEastAsia" w:hAnsiTheme="majorEastAsia"/>
                <w:w w:val="50"/>
                <w:sz w:val="18"/>
                <w:szCs w:val="18"/>
              </w:rPr>
            </w:pPr>
            <w:r w:rsidRPr="0075788C">
              <w:rPr>
                <w:rFonts w:asciiTheme="majorEastAsia" w:eastAsiaTheme="majorEastAsia" w:hAnsiTheme="majorEastAsia" w:hint="eastAsia"/>
                <w:kern w:val="0"/>
                <w:sz w:val="18"/>
                <w:szCs w:val="18"/>
              </w:rPr>
              <w:t>統括班</w:t>
            </w:r>
          </w:p>
        </w:tc>
        <w:tc>
          <w:tcPr>
            <w:tcW w:w="4669" w:type="dxa"/>
            <w:vMerge w:val="restart"/>
            <w:tcBorders>
              <w:top w:val="single" w:sz="4" w:space="0" w:color="auto"/>
              <w:left w:val="single" w:sz="4" w:space="0" w:color="auto"/>
              <w:right w:val="single" w:sz="4" w:space="0" w:color="auto"/>
            </w:tcBorders>
            <w:vAlign w:val="center"/>
            <w:hideMark/>
          </w:tcPr>
          <w:p w14:paraId="560ADE21" w14:textId="77777777" w:rsidR="00523F74" w:rsidRPr="0075788C" w:rsidRDefault="00523F74" w:rsidP="00FF43BC">
            <w:pPr>
              <w:adjustRightInd w:val="0"/>
              <w:snapToGrid w:val="0"/>
              <w:spacing w:line="240" w:lineRule="exact"/>
              <w:jc w:val="left"/>
              <w:rPr>
                <w:rFonts w:asciiTheme="majorEastAsia" w:eastAsiaTheme="majorEastAsia" w:hAnsiTheme="majorEastAsia"/>
                <w:w w:val="50"/>
                <w:sz w:val="18"/>
                <w:szCs w:val="18"/>
              </w:rPr>
            </w:pPr>
            <w:r w:rsidRPr="0075788C">
              <w:rPr>
                <w:rFonts w:asciiTheme="majorEastAsia" w:eastAsiaTheme="majorEastAsia" w:hAnsiTheme="majorEastAsia" w:hint="eastAsia"/>
                <w:w w:val="50"/>
                <w:sz w:val="18"/>
                <w:szCs w:val="18"/>
              </w:rPr>
              <w:t>■災害対応の方針とりまとめ</w:t>
            </w:r>
          </w:p>
          <w:p w14:paraId="79F8696F" w14:textId="77777777" w:rsidR="00523F74" w:rsidRPr="0075788C" w:rsidRDefault="00523F74" w:rsidP="00FF43BC">
            <w:pPr>
              <w:adjustRightInd w:val="0"/>
              <w:snapToGrid w:val="0"/>
              <w:spacing w:line="240" w:lineRule="exact"/>
              <w:jc w:val="left"/>
              <w:rPr>
                <w:rFonts w:asciiTheme="majorEastAsia" w:eastAsiaTheme="majorEastAsia" w:hAnsiTheme="majorEastAsia"/>
                <w:w w:val="50"/>
                <w:sz w:val="18"/>
                <w:szCs w:val="18"/>
              </w:rPr>
            </w:pPr>
            <w:r w:rsidRPr="0075788C">
              <w:rPr>
                <w:rFonts w:asciiTheme="majorEastAsia" w:eastAsiaTheme="majorEastAsia" w:hAnsiTheme="majorEastAsia" w:hint="eastAsia"/>
                <w:w w:val="50"/>
                <w:sz w:val="18"/>
                <w:szCs w:val="18"/>
              </w:rPr>
              <w:t>・各班の情報集約（クロノロまとめ）</w:t>
            </w:r>
          </w:p>
          <w:p w14:paraId="49F1B22C" w14:textId="77777777" w:rsidR="00523F74" w:rsidRPr="0075788C" w:rsidRDefault="00523F74" w:rsidP="00FF43BC">
            <w:pPr>
              <w:adjustRightInd w:val="0"/>
              <w:snapToGrid w:val="0"/>
              <w:spacing w:line="240" w:lineRule="exact"/>
              <w:jc w:val="left"/>
              <w:rPr>
                <w:rFonts w:asciiTheme="majorEastAsia" w:eastAsiaTheme="majorEastAsia" w:hAnsiTheme="majorEastAsia"/>
                <w:w w:val="50"/>
                <w:sz w:val="18"/>
                <w:szCs w:val="18"/>
              </w:rPr>
            </w:pPr>
            <w:r w:rsidRPr="0075788C">
              <w:rPr>
                <w:rFonts w:asciiTheme="majorEastAsia" w:eastAsiaTheme="majorEastAsia" w:hAnsiTheme="majorEastAsia" w:hint="eastAsia"/>
                <w:w w:val="50"/>
                <w:sz w:val="18"/>
                <w:szCs w:val="18"/>
              </w:rPr>
              <w:t>・活動指示、班員の配置編成</w:t>
            </w:r>
          </w:p>
          <w:p w14:paraId="584D1CB9" w14:textId="77777777" w:rsidR="00523F74" w:rsidRPr="0075788C" w:rsidRDefault="00523F74" w:rsidP="00FF43BC">
            <w:pPr>
              <w:adjustRightInd w:val="0"/>
              <w:snapToGrid w:val="0"/>
              <w:spacing w:line="240" w:lineRule="exact"/>
              <w:jc w:val="left"/>
              <w:rPr>
                <w:rFonts w:asciiTheme="majorEastAsia" w:eastAsiaTheme="majorEastAsia" w:hAnsiTheme="majorEastAsia"/>
                <w:w w:val="50"/>
                <w:sz w:val="18"/>
                <w:szCs w:val="18"/>
              </w:rPr>
            </w:pPr>
            <w:r w:rsidRPr="0075788C">
              <w:rPr>
                <w:rFonts w:asciiTheme="majorEastAsia" w:eastAsiaTheme="majorEastAsia" w:hAnsiTheme="majorEastAsia" w:hint="eastAsia"/>
                <w:w w:val="50"/>
                <w:sz w:val="18"/>
                <w:szCs w:val="18"/>
              </w:rPr>
              <w:t>・先遣隊、現地情報連絡員の派遣及び連絡・指示</w:t>
            </w:r>
          </w:p>
          <w:p w14:paraId="2153BDC6" w14:textId="77777777" w:rsidR="00523F74" w:rsidRPr="0075788C" w:rsidRDefault="00523F74" w:rsidP="00FF43BC">
            <w:pPr>
              <w:adjustRightInd w:val="0"/>
              <w:snapToGrid w:val="0"/>
              <w:spacing w:line="240" w:lineRule="exact"/>
              <w:jc w:val="left"/>
              <w:rPr>
                <w:rFonts w:asciiTheme="majorEastAsia" w:eastAsiaTheme="majorEastAsia" w:hAnsiTheme="majorEastAsia"/>
                <w:w w:val="50"/>
                <w:sz w:val="18"/>
                <w:szCs w:val="18"/>
              </w:rPr>
            </w:pPr>
            <w:r w:rsidRPr="0075788C">
              <w:rPr>
                <w:rFonts w:asciiTheme="majorEastAsia" w:eastAsiaTheme="majorEastAsia" w:hAnsiTheme="majorEastAsia" w:hint="eastAsia"/>
                <w:w w:val="50"/>
                <w:sz w:val="18"/>
                <w:szCs w:val="18"/>
              </w:rPr>
              <w:t>・地域連絡部への連絡・指示</w:t>
            </w:r>
          </w:p>
          <w:p w14:paraId="24A4233B" w14:textId="77777777" w:rsidR="00523F74" w:rsidRPr="0075788C" w:rsidRDefault="00523F74" w:rsidP="00FF43BC">
            <w:pPr>
              <w:adjustRightInd w:val="0"/>
              <w:snapToGrid w:val="0"/>
              <w:spacing w:line="240" w:lineRule="exact"/>
              <w:jc w:val="left"/>
              <w:rPr>
                <w:rFonts w:asciiTheme="majorEastAsia" w:eastAsiaTheme="majorEastAsia" w:hAnsiTheme="majorEastAsia"/>
                <w:w w:val="50"/>
                <w:sz w:val="18"/>
                <w:szCs w:val="18"/>
              </w:rPr>
            </w:pPr>
            <w:r w:rsidRPr="0075788C">
              <w:rPr>
                <w:rFonts w:asciiTheme="majorEastAsia" w:eastAsiaTheme="majorEastAsia" w:hAnsiTheme="majorEastAsia" w:hint="eastAsia"/>
                <w:w w:val="50"/>
                <w:sz w:val="18"/>
                <w:szCs w:val="18"/>
              </w:rPr>
              <w:t>・災対本部会議等の資料準備</w:t>
            </w:r>
          </w:p>
        </w:tc>
        <w:tc>
          <w:tcPr>
            <w:tcW w:w="3969" w:type="dxa"/>
            <w:gridSpan w:val="3"/>
            <w:tcBorders>
              <w:top w:val="single" w:sz="4" w:space="0" w:color="auto"/>
              <w:left w:val="single" w:sz="4" w:space="0" w:color="auto"/>
              <w:bottom w:val="single" w:sz="4" w:space="0" w:color="auto"/>
              <w:right w:val="single" w:sz="4" w:space="0" w:color="auto"/>
            </w:tcBorders>
            <w:vAlign w:val="center"/>
          </w:tcPr>
          <w:p w14:paraId="47E86127" w14:textId="77777777" w:rsidR="00523F74" w:rsidRPr="0075788C" w:rsidRDefault="00523F74" w:rsidP="00FF43BC">
            <w:pPr>
              <w:adjustRightInd w:val="0"/>
              <w:snapToGrid w:val="0"/>
              <w:spacing w:line="240" w:lineRule="exact"/>
              <w:jc w:val="left"/>
              <w:rPr>
                <w:rFonts w:ascii="ＭＳ ゴシック" w:eastAsia="ＭＳ ゴシック" w:hAnsi="ＭＳ ゴシック"/>
                <w:w w:val="50"/>
                <w:sz w:val="18"/>
                <w:szCs w:val="18"/>
              </w:rPr>
            </w:pPr>
            <w:r w:rsidRPr="0075788C">
              <w:rPr>
                <w:rFonts w:ascii="ＭＳ ゴシック" w:eastAsia="ＭＳ ゴシック" w:hAnsi="ＭＳ ゴシック" w:hint="eastAsia"/>
                <w:w w:val="50"/>
                <w:sz w:val="18"/>
                <w:szCs w:val="18"/>
              </w:rPr>
              <w:t>危機管理監</w:t>
            </w:r>
          </w:p>
          <w:p w14:paraId="38E40363" w14:textId="77777777" w:rsidR="00523F74" w:rsidRPr="0075788C" w:rsidRDefault="00523F74" w:rsidP="00FF43BC">
            <w:pPr>
              <w:adjustRightInd w:val="0"/>
              <w:snapToGrid w:val="0"/>
              <w:spacing w:line="240" w:lineRule="exact"/>
              <w:ind w:firstLineChars="100" w:firstLine="91"/>
              <w:jc w:val="left"/>
              <w:rPr>
                <w:rFonts w:ascii="ＭＳ ゴシック" w:eastAsia="ＭＳ ゴシック" w:hAnsi="ＭＳ ゴシック"/>
                <w:w w:val="50"/>
                <w:sz w:val="18"/>
                <w:szCs w:val="18"/>
              </w:rPr>
            </w:pPr>
            <w:r w:rsidRPr="0075788C">
              <w:rPr>
                <w:rFonts w:ascii="ＭＳ ゴシック" w:eastAsia="ＭＳ ゴシック" w:hAnsi="ＭＳ ゴシック" w:hint="eastAsia"/>
                <w:w w:val="50"/>
                <w:sz w:val="18"/>
                <w:szCs w:val="18"/>
              </w:rPr>
              <w:t>危機管理室長</w:t>
            </w:r>
          </w:p>
          <w:p w14:paraId="1E62CE39" w14:textId="77777777" w:rsidR="00523F74" w:rsidRPr="0075788C" w:rsidRDefault="00523F74" w:rsidP="00FF43BC">
            <w:pPr>
              <w:adjustRightInd w:val="0"/>
              <w:snapToGrid w:val="0"/>
              <w:spacing w:line="240" w:lineRule="exact"/>
              <w:ind w:firstLineChars="200" w:firstLine="182"/>
              <w:jc w:val="left"/>
              <w:rPr>
                <w:rFonts w:ascii="ＭＳ ゴシック" w:eastAsia="ＭＳ ゴシック" w:hAnsi="ＭＳ ゴシック"/>
                <w:w w:val="50"/>
                <w:sz w:val="18"/>
                <w:szCs w:val="18"/>
              </w:rPr>
            </w:pPr>
            <w:r w:rsidRPr="0075788C">
              <w:rPr>
                <w:rFonts w:ascii="ＭＳ ゴシック" w:eastAsia="ＭＳ ゴシック" w:hAnsi="ＭＳ ゴシック" w:hint="eastAsia"/>
                <w:w w:val="50"/>
                <w:sz w:val="18"/>
                <w:szCs w:val="18"/>
              </w:rPr>
              <w:t>危機管理センター長</w:t>
            </w:r>
          </w:p>
          <w:p w14:paraId="4F8E31B4" w14:textId="77777777" w:rsidR="00523F74" w:rsidRPr="0075788C" w:rsidRDefault="00523F74" w:rsidP="00FF43BC">
            <w:pPr>
              <w:adjustRightInd w:val="0"/>
              <w:snapToGrid w:val="0"/>
              <w:spacing w:line="240" w:lineRule="exact"/>
              <w:ind w:firstLineChars="300" w:firstLine="273"/>
              <w:jc w:val="left"/>
              <w:rPr>
                <w:rFonts w:asciiTheme="majorEastAsia" w:eastAsiaTheme="majorEastAsia" w:hAnsiTheme="majorEastAsia"/>
                <w:w w:val="50"/>
                <w:sz w:val="18"/>
                <w:szCs w:val="18"/>
              </w:rPr>
            </w:pPr>
            <w:r w:rsidRPr="0075788C">
              <w:rPr>
                <w:rFonts w:ascii="ＭＳ ゴシック" w:eastAsia="ＭＳ ゴシック" w:hAnsi="ＭＳ ゴシック" w:hint="eastAsia"/>
                <w:w w:val="50"/>
                <w:sz w:val="18"/>
                <w:szCs w:val="18"/>
              </w:rPr>
              <w:t>消防保安課参事</w:t>
            </w:r>
          </w:p>
        </w:tc>
      </w:tr>
      <w:tr w:rsidR="00523F74" w:rsidRPr="00C31A1E" w14:paraId="5D727A0A" w14:textId="77777777" w:rsidTr="00FF43BC">
        <w:trPr>
          <w:trHeight w:val="403"/>
        </w:trPr>
        <w:tc>
          <w:tcPr>
            <w:tcW w:w="576" w:type="dxa"/>
            <w:vMerge/>
            <w:tcBorders>
              <w:top w:val="single" w:sz="4" w:space="0" w:color="auto"/>
              <w:left w:val="single" w:sz="4" w:space="0" w:color="auto"/>
              <w:right w:val="single" w:sz="4" w:space="0" w:color="auto"/>
            </w:tcBorders>
            <w:vAlign w:val="center"/>
          </w:tcPr>
          <w:p w14:paraId="63B911B2" w14:textId="77777777" w:rsidR="00523F74" w:rsidRPr="0075788C" w:rsidRDefault="00523F74" w:rsidP="00FF43BC">
            <w:pPr>
              <w:adjustRightInd w:val="0"/>
              <w:snapToGrid w:val="0"/>
              <w:spacing w:line="240" w:lineRule="exact"/>
              <w:jc w:val="center"/>
              <w:rPr>
                <w:rFonts w:asciiTheme="majorEastAsia" w:eastAsiaTheme="majorEastAsia" w:hAnsiTheme="majorEastAsia"/>
                <w:w w:val="50"/>
                <w:sz w:val="18"/>
                <w:szCs w:val="18"/>
              </w:rPr>
            </w:pPr>
          </w:p>
        </w:tc>
        <w:tc>
          <w:tcPr>
            <w:tcW w:w="4669" w:type="dxa"/>
            <w:vMerge/>
            <w:tcBorders>
              <w:left w:val="single" w:sz="4" w:space="0" w:color="auto"/>
              <w:right w:val="single" w:sz="4" w:space="0" w:color="auto"/>
            </w:tcBorders>
            <w:vAlign w:val="center"/>
          </w:tcPr>
          <w:p w14:paraId="4DE8C868" w14:textId="77777777" w:rsidR="00523F74" w:rsidRPr="0075788C" w:rsidRDefault="00523F74" w:rsidP="00FF43BC">
            <w:pPr>
              <w:adjustRightInd w:val="0"/>
              <w:snapToGrid w:val="0"/>
              <w:spacing w:line="240" w:lineRule="exact"/>
              <w:jc w:val="left"/>
              <w:rPr>
                <w:rFonts w:asciiTheme="majorEastAsia" w:eastAsiaTheme="majorEastAsia" w:hAnsiTheme="majorEastAsia"/>
                <w:w w:val="50"/>
                <w:sz w:val="18"/>
                <w:szCs w:val="18"/>
              </w:rPr>
            </w:pPr>
          </w:p>
        </w:tc>
        <w:tc>
          <w:tcPr>
            <w:tcW w:w="1276" w:type="dxa"/>
            <w:tcBorders>
              <w:top w:val="single" w:sz="4" w:space="0" w:color="auto"/>
              <w:left w:val="single" w:sz="4" w:space="0" w:color="auto"/>
              <w:right w:val="single" w:sz="4" w:space="0" w:color="auto"/>
            </w:tcBorders>
            <w:vAlign w:val="center"/>
          </w:tcPr>
          <w:p w14:paraId="765D2973" w14:textId="77777777" w:rsidR="00523F74" w:rsidRPr="0075788C" w:rsidRDefault="00523F74" w:rsidP="00FF43BC">
            <w:pPr>
              <w:adjustRightInd w:val="0"/>
              <w:snapToGrid w:val="0"/>
              <w:spacing w:line="240" w:lineRule="exact"/>
              <w:jc w:val="center"/>
              <w:rPr>
                <w:rFonts w:asciiTheme="majorEastAsia" w:eastAsiaTheme="majorEastAsia" w:hAnsiTheme="majorEastAsia"/>
                <w:w w:val="50"/>
                <w:sz w:val="18"/>
                <w:szCs w:val="18"/>
              </w:rPr>
            </w:pPr>
            <w:r w:rsidRPr="0075788C">
              <w:rPr>
                <w:rFonts w:asciiTheme="majorEastAsia" w:eastAsiaTheme="majorEastAsia" w:hAnsiTheme="majorEastAsia" w:hint="eastAsia"/>
                <w:w w:val="50"/>
                <w:sz w:val="18"/>
                <w:szCs w:val="18"/>
              </w:rPr>
              <w:t>危機管理室(1～2名)</w:t>
            </w:r>
          </w:p>
        </w:tc>
        <w:tc>
          <w:tcPr>
            <w:tcW w:w="1276" w:type="dxa"/>
            <w:tcBorders>
              <w:top w:val="single" w:sz="4" w:space="0" w:color="auto"/>
              <w:left w:val="single" w:sz="4" w:space="0" w:color="auto"/>
              <w:right w:val="single" w:sz="4" w:space="0" w:color="auto"/>
            </w:tcBorders>
            <w:vAlign w:val="center"/>
          </w:tcPr>
          <w:p w14:paraId="6F0C21A7" w14:textId="77777777" w:rsidR="00523F74" w:rsidRPr="0075788C" w:rsidRDefault="00523F74" w:rsidP="00FF43BC">
            <w:pPr>
              <w:adjustRightInd w:val="0"/>
              <w:snapToGrid w:val="0"/>
              <w:spacing w:line="240" w:lineRule="exact"/>
              <w:jc w:val="center"/>
              <w:rPr>
                <w:rFonts w:asciiTheme="majorEastAsia" w:eastAsiaTheme="majorEastAsia" w:hAnsiTheme="majorEastAsia"/>
                <w:w w:val="50"/>
                <w:sz w:val="18"/>
                <w:szCs w:val="18"/>
              </w:rPr>
            </w:pPr>
            <w:r w:rsidRPr="0075788C">
              <w:rPr>
                <w:rFonts w:asciiTheme="majorEastAsia" w:eastAsiaTheme="majorEastAsia" w:hAnsiTheme="majorEastAsia" w:hint="eastAsia"/>
                <w:w w:val="50"/>
                <w:sz w:val="18"/>
                <w:szCs w:val="18"/>
              </w:rPr>
              <w:t>危機管理室(2～3名)</w:t>
            </w:r>
          </w:p>
        </w:tc>
        <w:tc>
          <w:tcPr>
            <w:tcW w:w="1417" w:type="dxa"/>
            <w:tcBorders>
              <w:top w:val="single" w:sz="4" w:space="0" w:color="auto"/>
              <w:left w:val="single" w:sz="4" w:space="0" w:color="auto"/>
              <w:right w:val="single" w:sz="4" w:space="0" w:color="auto"/>
            </w:tcBorders>
            <w:vAlign w:val="center"/>
          </w:tcPr>
          <w:p w14:paraId="3F73EDB1" w14:textId="15BF45CD" w:rsidR="00523F74" w:rsidRPr="0075788C" w:rsidRDefault="00523F74" w:rsidP="00FF43BC">
            <w:pPr>
              <w:adjustRightInd w:val="0"/>
              <w:snapToGrid w:val="0"/>
              <w:spacing w:line="240" w:lineRule="exact"/>
              <w:jc w:val="center"/>
              <w:rPr>
                <w:rFonts w:asciiTheme="majorEastAsia" w:eastAsiaTheme="majorEastAsia" w:hAnsiTheme="majorEastAsia"/>
                <w:w w:val="50"/>
                <w:sz w:val="18"/>
                <w:szCs w:val="18"/>
              </w:rPr>
            </w:pPr>
            <w:r w:rsidRPr="0075788C">
              <w:rPr>
                <w:rFonts w:asciiTheme="majorEastAsia" w:eastAsiaTheme="majorEastAsia" w:hAnsiTheme="majorEastAsia" w:hint="eastAsia"/>
                <w:w w:val="50"/>
                <w:sz w:val="18"/>
                <w:szCs w:val="18"/>
              </w:rPr>
              <w:t>危機管理室(</w:t>
            </w:r>
            <w:r w:rsidR="00FE1398">
              <w:rPr>
                <w:rFonts w:asciiTheme="majorEastAsia" w:eastAsiaTheme="majorEastAsia" w:hAnsiTheme="majorEastAsia" w:hint="eastAsia"/>
                <w:w w:val="50"/>
                <w:sz w:val="18"/>
                <w:szCs w:val="18"/>
              </w:rPr>
              <w:t>4</w:t>
            </w:r>
            <w:r w:rsidRPr="0075788C">
              <w:rPr>
                <w:rFonts w:asciiTheme="majorEastAsia" w:eastAsiaTheme="majorEastAsia" w:hAnsiTheme="majorEastAsia" w:hint="eastAsia"/>
                <w:w w:val="50"/>
                <w:sz w:val="18"/>
                <w:szCs w:val="18"/>
              </w:rPr>
              <w:t>名)</w:t>
            </w:r>
          </w:p>
        </w:tc>
      </w:tr>
      <w:tr w:rsidR="00523F74" w:rsidRPr="00C31A1E" w14:paraId="234460DD" w14:textId="77777777" w:rsidTr="00FF43BC">
        <w:trPr>
          <w:trHeight w:val="420"/>
        </w:trPr>
        <w:tc>
          <w:tcPr>
            <w:tcW w:w="576" w:type="dxa"/>
            <w:vMerge w:val="restart"/>
            <w:tcBorders>
              <w:top w:val="single" w:sz="4" w:space="0" w:color="auto"/>
              <w:left w:val="single" w:sz="4" w:space="0" w:color="auto"/>
              <w:bottom w:val="single" w:sz="4" w:space="0" w:color="auto"/>
              <w:right w:val="single" w:sz="4" w:space="0" w:color="auto"/>
            </w:tcBorders>
            <w:textDirection w:val="tbRlV"/>
            <w:vAlign w:val="center"/>
            <w:hideMark/>
          </w:tcPr>
          <w:p w14:paraId="0BC0AA34" w14:textId="77777777" w:rsidR="00523F74" w:rsidRPr="0075788C" w:rsidRDefault="00523F74" w:rsidP="00FF43BC">
            <w:pPr>
              <w:widowControl/>
              <w:adjustRightInd w:val="0"/>
              <w:snapToGrid w:val="0"/>
              <w:spacing w:line="240" w:lineRule="exact"/>
              <w:ind w:left="113" w:right="113"/>
              <w:jc w:val="center"/>
              <w:rPr>
                <w:rFonts w:asciiTheme="majorEastAsia" w:eastAsiaTheme="majorEastAsia" w:hAnsiTheme="majorEastAsia"/>
                <w:w w:val="50"/>
                <w:sz w:val="18"/>
                <w:szCs w:val="18"/>
              </w:rPr>
            </w:pPr>
            <w:r w:rsidRPr="0075788C">
              <w:rPr>
                <w:rFonts w:asciiTheme="majorEastAsia" w:eastAsiaTheme="majorEastAsia" w:hAnsiTheme="majorEastAsia" w:hint="eastAsia"/>
                <w:kern w:val="0"/>
                <w:sz w:val="18"/>
                <w:szCs w:val="18"/>
              </w:rPr>
              <w:t>総務・広報班</w:t>
            </w:r>
          </w:p>
        </w:tc>
        <w:tc>
          <w:tcPr>
            <w:tcW w:w="4669" w:type="dxa"/>
            <w:vMerge w:val="restart"/>
            <w:tcBorders>
              <w:top w:val="single" w:sz="4" w:space="0" w:color="auto"/>
              <w:left w:val="single" w:sz="4" w:space="0" w:color="auto"/>
              <w:right w:val="single" w:sz="4" w:space="0" w:color="auto"/>
            </w:tcBorders>
            <w:vAlign w:val="center"/>
          </w:tcPr>
          <w:p w14:paraId="794E34D3" w14:textId="77777777" w:rsidR="00523F74" w:rsidRPr="0075788C" w:rsidRDefault="00523F74" w:rsidP="00FF43BC">
            <w:pPr>
              <w:adjustRightInd w:val="0"/>
              <w:snapToGrid w:val="0"/>
              <w:spacing w:line="240" w:lineRule="exact"/>
              <w:jc w:val="left"/>
              <w:rPr>
                <w:rFonts w:asciiTheme="majorEastAsia" w:eastAsiaTheme="majorEastAsia" w:hAnsiTheme="majorEastAsia"/>
                <w:w w:val="50"/>
                <w:sz w:val="18"/>
                <w:szCs w:val="18"/>
              </w:rPr>
            </w:pPr>
            <w:r w:rsidRPr="0075788C">
              <w:rPr>
                <w:rFonts w:asciiTheme="majorEastAsia" w:eastAsiaTheme="majorEastAsia" w:hAnsiTheme="majorEastAsia" w:hint="eastAsia"/>
                <w:w w:val="50"/>
                <w:sz w:val="18"/>
                <w:szCs w:val="18"/>
              </w:rPr>
              <w:t>■関係者への連絡</w:t>
            </w:r>
          </w:p>
          <w:p w14:paraId="484D7BBC" w14:textId="77777777" w:rsidR="00523F74" w:rsidRPr="0075788C" w:rsidRDefault="00523F74" w:rsidP="00FF43BC">
            <w:pPr>
              <w:adjustRightInd w:val="0"/>
              <w:snapToGrid w:val="0"/>
              <w:spacing w:line="240" w:lineRule="exact"/>
              <w:jc w:val="left"/>
              <w:rPr>
                <w:rFonts w:asciiTheme="majorEastAsia" w:eastAsiaTheme="majorEastAsia" w:hAnsiTheme="majorEastAsia"/>
                <w:w w:val="50"/>
                <w:sz w:val="18"/>
                <w:szCs w:val="18"/>
              </w:rPr>
            </w:pPr>
            <w:r w:rsidRPr="0075788C">
              <w:rPr>
                <w:rFonts w:asciiTheme="majorEastAsia" w:eastAsiaTheme="majorEastAsia" w:hAnsiTheme="majorEastAsia" w:hint="eastAsia"/>
                <w:w w:val="50"/>
                <w:sz w:val="18"/>
                <w:szCs w:val="18"/>
              </w:rPr>
              <w:t>・各部局との連絡調整（組織・配備体制、会議等の開催、部局リエゾンの派遣要請、BCP関連業務など）</w:t>
            </w:r>
          </w:p>
          <w:p w14:paraId="5F90C984" w14:textId="77777777" w:rsidR="00523F74" w:rsidRPr="0075788C" w:rsidRDefault="00523F74" w:rsidP="00FF43BC">
            <w:pPr>
              <w:adjustRightInd w:val="0"/>
              <w:snapToGrid w:val="0"/>
              <w:spacing w:line="240" w:lineRule="exact"/>
              <w:jc w:val="left"/>
              <w:rPr>
                <w:rFonts w:asciiTheme="majorEastAsia" w:eastAsiaTheme="majorEastAsia" w:hAnsiTheme="majorEastAsia"/>
                <w:w w:val="50"/>
                <w:sz w:val="18"/>
                <w:szCs w:val="18"/>
              </w:rPr>
            </w:pPr>
            <w:r w:rsidRPr="0075788C">
              <w:rPr>
                <w:rFonts w:asciiTheme="majorEastAsia" w:eastAsiaTheme="majorEastAsia" w:hAnsiTheme="majorEastAsia" w:hint="eastAsia"/>
                <w:w w:val="50"/>
                <w:sz w:val="18"/>
                <w:szCs w:val="18"/>
              </w:rPr>
              <w:t>・災対本部会議等の会議室準備、会議記録</w:t>
            </w:r>
          </w:p>
          <w:p w14:paraId="508FAE36" w14:textId="77777777" w:rsidR="00523F74" w:rsidRPr="0075788C" w:rsidRDefault="00523F74" w:rsidP="00FF43BC">
            <w:pPr>
              <w:adjustRightInd w:val="0"/>
              <w:snapToGrid w:val="0"/>
              <w:spacing w:line="240" w:lineRule="exact"/>
              <w:jc w:val="left"/>
              <w:rPr>
                <w:rFonts w:asciiTheme="majorEastAsia" w:eastAsiaTheme="majorEastAsia" w:hAnsiTheme="majorEastAsia"/>
                <w:w w:val="50"/>
                <w:sz w:val="18"/>
                <w:szCs w:val="18"/>
              </w:rPr>
            </w:pPr>
            <w:r w:rsidRPr="0075788C">
              <w:rPr>
                <w:rFonts w:asciiTheme="majorEastAsia" w:eastAsiaTheme="majorEastAsia" w:hAnsiTheme="majorEastAsia" w:hint="eastAsia"/>
                <w:w w:val="50"/>
                <w:sz w:val="18"/>
                <w:szCs w:val="18"/>
              </w:rPr>
              <w:t>・議会への資料提供など</w:t>
            </w:r>
          </w:p>
          <w:p w14:paraId="331B1E9E" w14:textId="77777777" w:rsidR="00523F74" w:rsidRPr="0075788C" w:rsidRDefault="00523F74" w:rsidP="00FF43BC">
            <w:pPr>
              <w:adjustRightInd w:val="0"/>
              <w:snapToGrid w:val="0"/>
              <w:spacing w:line="240" w:lineRule="exact"/>
              <w:jc w:val="left"/>
              <w:rPr>
                <w:rFonts w:asciiTheme="majorEastAsia" w:eastAsiaTheme="majorEastAsia" w:hAnsiTheme="majorEastAsia"/>
                <w:w w:val="50"/>
                <w:sz w:val="18"/>
                <w:szCs w:val="18"/>
              </w:rPr>
            </w:pPr>
          </w:p>
          <w:p w14:paraId="32725470" w14:textId="77777777" w:rsidR="00523F74" w:rsidRPr="0075788C" w:rsidRDefault="00523F74" w:rsidP="00FF43BC">
            <w:pPr>
              <w:adjustRightInd w:val="0"/>
              <w:snapToGrid w:val="0"/>
              <w:spacing w:line="240" w:lineRule="exact"/>
              <w:jc w:val="left"/>
              <w:rPr>
                <w:rFonts w:asciiTheme="majorEastAsia" w:eastAsiaTheme="majorEastAsia" w:hAnsiTheme="majorEastAsia"/>
                <w:w w:val="50"/>
                <w:sz w:val="18"/>
                <w:szCs w:val="18"/>
              </w:rPr>
            </w:pPr>
            <w:r w:rsidRPr="0075788C">
              <w:rPr>
                <w:rFonts w:asciiTheme="majorEastAsia" w:eastAsiaTheme="majorEastAsia" w:hAnsiTheme="majorEastAsia" w:hint="eastAsia"/>
                <w:w w:val="50"/>
                <w:sz w:val="18"/>
                <w:szCs w:val="18"/>
              </w:rPr>
              <w:t>■府民向け情報発信【府政情報室と連携】</w:t>
            </w:r>
          </w:p>
          <w:p w14:paraId="671E19A3" w14:textId="77777777" w:rsidR="00523F74" w:rsidRPr="0075788C" w:rsidRDefault="00523F74" w:rsidP="00FF43BC">
            <w:pPr>
              <w:adjustRightInd w:val="0"/>
              <w:snapToGrid w:val="0"/>
              <w:spacing w:line="240" w:lineRule="exact"/>
              <w:jc w:val="left"/>
              <w:rPr>
                <w:rFonts w:asciiTheme="majorEastAsia" w:eastAsiaTheme="majorEastAsia" w:hAnsiTheme="majorEastAsia"/>
                <w:w w:val="50"/>
                <w:sz w:val="18"/>
                <w:szCs w:val="18"/>
              </w:rPr>
            </w:pPr>
            <w:r w:rsidRPr="0075788C">
              <w:rPr>
                <w:rFonts w:asciiTheme="majorEastAsia" w:eastAsiaTheme="majorEastAsia" w:hAnsiTheme="majorEastAsia" w:hint="eastAsia"/>
                <w:w w:val="50"/>
                <w:sz w:val="18"/>
                <w:szCs w:val="18"/>
              </w:rPr>
              <w:t>・おおさか防災ネットホームページ・ツイッター、防災情報メール、府ホームページ、も</w:t>
            </w:r>
            <w:proofErr w:type="gramStart"/>
            <w:r w:rsidRPr="0075788C">
              <w:rPr>
                <w:rFonts w:asciiTheme="majorEastAsia" w:eastAsiaTheme="majorEastAsia" w:hAnsiTheme="majorEastAsia" w:hint="eastAsia"/>
                <w:w w:val="50"/>
                <w:sz w:val="18"/>
                <w:szCs w:val="18"/>
              </w:rPr>
              <w:t>ずやん</w:t>
            </w:r>
            <w:proofErr w:type="gramEnd"/>
            <w:r w:rsidRPr="0075788C">
              <w:rPr>
                <w:rFonts w:asciiTheme="majorEastAsia" w:eastAsiaTheme="majorEastAsia" w:hAnsiTheme="majorEastAsia" w:hint="eastAsia"/>
                <w:w w:val="50"/>
                <w:sz w:val="18"/>
                <w:szCs w:val="18"/>
              </w:rPr>
              <w:t>ツイッター</w:t>
            </w:r>
          </w:p>
          <w:p w14:paraId="08CA70F6" w14:textId="77777777" w:rsidR="00523F74" w:rsidRPr="0075788C" w:rsidRDefault="00523F74" w:rsidP="00FF43BC">
            <w:pPr>
              <w:adjustRightInd w:val="0"/>
              <w:snapToGrid w:val="0"/>
              <w:spacing w:line="240" w:lineRule="exact"/>
              <w:jc w:val="left"/>
              <w:rPr>
                <w:rFonts w:asciiTheme="majorEastAsia" w:eastAsiaTheme="majorEastAsia" w:hAnsiTheme="majorEastAsia"/>
                <w:w w:val="50"/>
                <w:sz w:val="18"/>
                <w:szCs w:val="18"/>
              </w:rPr>
            </w:pPr>
            <w:r w:rsidRPr="0075788C">
              <w:rPr>
                <w:rFonts w:asciiTheme="majorEastAsia" w:eastAsiaTheme="majorEastAsia" w:hAnsiTheme="majorEastAsia" w:hint="eastAsia"/>
                <w:w w:val="50"/>
                <w:sz w:val="18"/>
                <w:szCs w:val="18"/>
              </w:rPr>
              <w:t>（府政情報室と連携）</w:t>
            </w:r>
          </w:p>
          <w:p w14:paraId="595C52AD" w14:textId="77777777" w:rsidR="00523F74" w:rsidRPr="0075788C" w:rsidRDefault="00523F74" w:rsidP="00FF43BC">
            <w:pPr>
              <w:adjustRightInd w:val="0"/>
              <w:snapToGrid w:val="0"/>
              <w:spacing w:line="240" w:lineRule="exact"/>
              <w:jc w:val="left"/>
              <w:rPr>
                <w:rFonts w:asciiTheme="majorEastAsia" w:eastAsiaTheme="majorEastAsia" w:hAnsiTheme="majorEastAsia"/>
                <w:w w:val="50"/>
                <w:sz w:val="18"/>
                <w:szCs w:val="18"/>
              </w:rPr>
            </w:pPr>
            <w:r w:rsidRPr="0075788C">
              <w:rPr>
                <w:rFonts w:asciiTheme="majorEastAsia" w:eastAsiaTheme="majorEastAsia" w:hAnsiTheme="majorEastAsia" w:hint="eastAsia"/>
                <w:w w:val="50"/>
                <w:sz w:val="18"/>
                <w:szCs w:val="18"/>
              </w:rPr>
              <w:t>・移動抑制、訪日外国人（多言語対応）の情報発信</w:t>
            </w:r>
          </w:p>
          <w:p w14:paraId="45DC915C" w14:textId="77777777" w:rsidR="00523F74" w:rsidRPr="0075788C" w:rsidRDefault="00523F74" w:rsidP="00FF43BC">
            <w:pPr>
              <w:adjustRightInd w:val="0"/>
              <w:snapToGrid w:val="0"/>
              <w:spacing w:line="240" w:lineRule="exact"/>
              <w:jc w:val="left"/>
              <w:rPr>
                <w:rFonts w:asciiTheme="majorEastAsia" w:eastAsiaTheme="majorEastAsia" w:hAnsiTheme="majorEastAsia"/>
                <w:w w:val="50"/>
                <w:sz w:val="18"/>
                <w:szCs w:val="18"/>
              </w:rPr>
            </w:pPr>
            <w:r w:rsidRPr="0075788C">
              <w:rPr>
                <w:rFonts w:asciiTheme="majorEastAsia" w:eastAsiaTheme="majorEastAsia" w:hAnsiTheme="majorEastAsia" w:hint="eastAsia"/>
                <w:w w:val="50"/>
                <w:sz w:val="18"/>
                <w:szCs w:val="18"/>
              </w:rPr>
              <w:t xml:space="preserve">　（国際課と連携）</w:t>
            </w:r>
          </w:p>
          <w:p w14:paraId="39C16072" w14:textId="77777777" w:rsidR="00523F74" w:rsidRPr="0075788C" w:rsidRDefault="00523F74" w:rsidP="00FF43BC">
            <w:pPr>
              <w:adjustRightInd w:val="0"/>
              <w:snapToGrid w:val="0"/>
              <w:spacing w:line="240" w:lineRule="exact"/>
              <w:jc w:val="left"/>
              <w:rPr>
                <w:rFonts w:asciiTheme="majorEastAsia" w:eastAsiaTheme="majorEastAsia" w:hAnsiTheme="majorEastAsia"/>
                <w:w w:val="50"/>
                <w:sz w:val="18"/>
                <w:szCs w:val="18"/>
              </w:rPr>
            </w:pPr>
            <w:r w:rsidRPr="0075788C">
              <w:rPr>
                <w:rFonts w:asciiTheme="majorEastAsia" w:eastAsiaTheme="majorEastAsia" w:hAnsiTheme="majorEastAsia" w:hint="eastAsia"/>
                <w:w w:val="50"/>
                <w:sz w:val="18"/>
                <w:szCs w:val="18"/>
              </w:rPr>
              <w:t>・府民からの問い合わせ対応</w:t>
            </w:r>
          </w:p>
        </w:tc>
        <w:tc>
          <w:tcPr>
            <w:tcW w:w="3969" w:type="dxa"/>
            <w:gridSpan w:val="3"/>
            <w:tcBorders>
              <w:top w:val="single" w:sz="4" w:space="0" w:color="auto"/>
              <w:left w:val="single" w:sz="4" w:space="0" w:color="auto"/>
              <w:right w:val="single" w:sz="4" w:space="0" w:color="auto"/>
            </w:tcBorders>
            <w:vAlign w:val="center"/>
          </w:tcPr>
          <w:p w14:paraId="4A9DD014" w14:textId="77777777" w:rsidR="00523F74" w:rsidRPr="0075788C" w:rsidRDefault="00523F74" w:rsidP="00FF43BC">
            <w:pPr>
              <w:adjustRightInd w:val="0"/>
              <w:snapToGrid w:val="0"/>
              <w:spacing w:line="240" w:lineRule="exact"/>
              <w:jc w:val="left"/>
              <w:rPr>
                <w:rFonts w:asciiTheme="majorEastAsia" w:eastAsiaTheme="majorEastAsia" w:hAnsiTheme="majorEastAsia"/>
                <w:w w:val="50"/>
                <w:sz w:val="18"/>
                <w:szCs w:val="18"/>
              </w:rPr>
            </w:pPr>
            <w:r w:rsidRPr="0075788C">
              <w:rPr>
                <w:rFonts w:asciiTheme="majorEastAsia" w:eastAsiaTheme="majorEastAsia" w:hAnsiTheme="majorEastAsia" w:hint="eastAsia"/>
                <w:w w:val="50"/>
                <w:sz w:val="18"/>
                <w:szCs w:val="18"/>
              </w:rPr>
              <w:t>班長：消防保安課長　　副班長：治安対策課参事</w:t>
            </w:r>
          </w:p>
        </w:tc>
      </w:tr>
      <w:tr w:rsidR="00523F74" w:rsidRPr="00C31A1E" w14:paraId="69063DF8" w14:textId="77777777" w:rsidTr="00FF43BC">
        <w:trPr>
          <w:trHeight w:val="2166"/>
        </w:trPr>
        <w:tc>
          <w:tcPr>
            <w:tcW w:w="576" w:type="dxa"/>
            <w:vMerge/>
            <w:tcBorders>
              <w:top w:val="single" w:sz="4" w:space="0" w:color="auto"/>
              <w:left w:val="single" w:sz="4" w:space="0" w:color="auto"/>
              <w:bottom w:val="single" w:sz="4" w:space="0" w:color="auto"/>
              <w:right w:val="single" w:sz="4" w:space="0" w:color="auto"/>
            </w:tcBorders>
            <w:vAlign w:val="center"/>
            <w:hideMark/>
          </w:tcPr>
          <w:p w14:paraId="1144D0B6" w14:textId="77777777" w:rsidR="00523F74" w:rsidRPr="0075788C" w:rsidRDefault="00523F74" w:rsidP="00FF43BC">
            <w:pPr>
              <w:widowControl/>
              <w:adjustRightInd w:val="0"/>
              <w:snapToGrid w:val="0"/>
              <w:spacing w:line="240" w:lineRule="exact"/>
              <w:jc w:val="left"/>
              <w:rPr>
                <w:rFonts w:asciiTheme="majorEastAsia" w:eastAsiaTheme="majorEastAsia" w:hAnsiTheme="majorEastAsia"/>
                <w:w w:val="50"/>
                <w:sz w:val="18"/>
                <w:szCs w:val="18"/>
              </w:rPr>
            </w:pPr>
          </w:p>
        </w:tc>
        <w:tc>
          <w:tcPr>
            <w:tcW w:w="4669" w:type="dxa"/>
            <w:vMerge/>
            <w:tcBorders>
              <w:left w:val="single" w:sz="4" w:space="0" w:color="auto"/>
              <w:right w:val="single" w:sz="4" w:space="0" w:color="auto"/>
            </w:tcBorders>
            <w:vAlign w:val="center"/>
          </w:tcPr>
          <w:p w14:paraId="1807821A" w14:textId="77777777" w:rsidR="00523F74" w:rsidRPr="0075788C" w:rsidRDefault="00523F74" w:rsidP="00FF43BC">
            <w:pPr>
              <w:widowControl/>
              <w:adjustRightInd w:val="0"/>
              <w:snapToGrid w:val="0"/>
              <w:spacing w:line="240" w:lineRule="exact"/>
              <w:jc w:val="left"/>
              <w:rPr>
                <w:rFonts w:asciiTheme="majorEastAsia" w:eastAsiaTheme="majorEastAsia" w:hAnsiTheme="majorEastAsia"/>
                <w:w w:val="50"/>
                <w:sz w:val="18"/>
                <w:szCs w:val="18"/>
              </w:rPr>
            </w:pPr>
          </w:p>
        </w:tc>
        <w:tc>
          <w:tcPr>
            <w:tcW w:w="1276" w:type="dxa"/>
            <w:tcBorders>
              <w:top w:val="single" w:sz="4" w:space="0" w:color="auto"/>
              <w:left w:val="single" w:sz="4" w:space="0" w:color="auto"/>
              <w:right w:val="single" w:sz="4" w:space="0" w:color="auto"/>
            </w:tcBorders>
            <w:vAlign w:val="center"/>
          </w:tcPr>
          <w:p w14:paraId="7316EAD2" w14:textId="77777777" w:rsidR="00523F74" w:rsidRPr="0075788C" w:rsidRDefault="00523F74" w:rsidP="00FF43BC">
            <w:pPr>
              <w:adjustRightInd w:val="0"/>
              <w:snapToGrid w:val="0"/>
              <w:spacing w:line="240" w:lineRule="exact"/>
              <w:jc w:val="left"/>
              <w:rPr>
                <w:rFonts w:asciiTheme="majorEastAsia" w:eastAsiaTheme="majorEastAsia" w:hAnsiTheme="majorEastAsia"/>
                <w:w w:val="50"/>
                <w:sz w:val="18"/>
                <w:szCs w:val="18"/>
              </w:rPr>
            </w:pPr>
            <w:r w:rsidRPr="0075788C">
              <w:rPr>
                <w:rFonts w:asciiTheme="majorEastAsia" w:eastAsiaTheme="majorEastAsia" w:hAnsiTheme="majorEastAsia" w:hint="eastAsia"/>
                <w:w w:val="50"/>
                <w:sz w:val="18"/>
                <w:szCs w:val="18"/>
              </w:rPr>
              <w:t>危機管理室(2～3名)</w:t>
            </w:r>
          </w:p>
        </w:tc>
        <w:tc>
          <w:tcPr>
            <w:tcW w:w="1276" w:type="dxa"/>
            <w:tcBorders>
              <w:top w:val="single" w:sz="4" w:space="0" w:color="auto"/>
              <w:left w:val="single" w:sz="4" w:space="0" w:color="auto"/>
              <w:right w:val="single" w:sz="4" w:space="0" w:color="auto"/>
            </w:tcBorders>
            <w:vAlign w:val="center"/>
          </w:tcPr>
          <w:p w14:paraId="513B7027" w14:textId="77777777" w:rsidR="00523F74" w:rsidRPr="0075788C" w:rsidRDefault="00523F74" w:rsidP="00FF43BC">
            <w:pPr>
              <w:adjustRightInd w:val="0"/>
              <w:snapToGrid w:val="0"/>
              <w:spacing w:line="240" w:lineRule="exact"/>
              <w:jc w:val="center"/>
              <w:rPr>
                <w:rFonts w:asciiTheme="majorEastAsia" w:eastAsiaTheme="majorEastAsia" w:hAnsiTheme="majorEastAsia"/>
                <w:w w:val="50"/>
                <w:sz w:val="18"/>
                <w:szCs w:val="18"/>
              </w:rPr>
            </w:pPr>
            <w:r w:rsidRPr="0075788C">
              <w:rPr>
                <w:rFonts w:asciiTheme="majorEastAsia" w:eastAsiaTheme="majorEastAsia" w:hAnsiTheme="majorEastAsia" w:hint="eastAsia"/>
                <w:w w:val="50"/>
                <w:sz w:val="18"/>
                <w:szCs w:val="18"/>
              </w:rPr>
              <w:t>危機管理室(3～6名)</w:t>
            </w:r>
          </w:p>
        </w:tc>
        <w:tc>
          <w:tcPr>
            <w:tcW w:w="1417" w:type="dxa"/>
            <w:tcBorders>
              <w:top w:val="single" w:sz="4" w:space="0" w:color="auto"/>
              <w:left w:val="single" w:sz="4" w:space="0" w:color="auto"/>
              <w:right w:val="single" w:sz="4" w:space="0" w:color="auto"/>
            </w:tcBorders>
            <w:vAlign w:val="center"/>
          </w:tcPr>
          <w:p w14:paraId="704A575D" w14:textId="77777777" w:rsidR="00523F74" w:rsidRPr="0075788C" w:rsidRDefault="00523F74" w:rsidP="00FF43BC">
            <w:pPr>
              <w:adjustRightInd w:val="0"/>
              <w:snapToGrid w:val="0"/>
              <w:spacing w:line="240" w:lineRule="exact"/>
              <w:jc w:val="center"/>
              <w:rPr>
                <w:rFonts w:asciiTheme="majorEastAsia" w:eastAsiaTheme="majorEastAsia" w:hAnsiTheme="majorEastAsia"/>
                <w:w w:val="50"/>
                <w:sz w:val="18"/>
                <w:szCs w:val="18"/>
              </w:rPr>
            </w:pPr>
            <w:r w:rsidRPr="0075788C">
              <w:rPr>
                <w:rFonts w:asciiTheme="majorEastAsia" w:eastAsiaTheme="majorEastAsia" w:hAnsiTheme="majorEastAsia" w:hint="eastAsia"/>
                <w:w w:val="50"/>
                <w:sz w:val="18"/>
                <w:szCs w:val="18"/>
              </w:rPr>
              <w:t>危機管理室(12名)</w:t>
            </w:r>
          </w:p>
          <w:p w14:paraId="6F068AC3" w14:textId="77777777" w:rsidR="00523F74" w:rsidRPr="0075788C" w:rsidRDefault="00523F74" w:rsidP="00FF43BC">
            <w:pPr>
              <w:adjustRightInd w:val="0"/>
              <w:snapToGrid w:val="0"/>
              <w:spacing w:line="240" w:lineRule="exact"/>
              <w:jc w:val="center"/>
              <w:rPr>
                <w:rFonts w:asciiTheme="majorEastAsia" w:eastAsiaTheme="majorEastAsia" w:hAnsiTheme="majorEastAsia"/>
                <w:w w:val="50"/>
                <w:sz w:val="18"/>
                <w:szCs w:val="18"/>
              </w:rPr>
            </w:pPr>
            <w:r w:rsidRPr="0075788C">
              <w:rPr>
                <w:rFonts w:asciiTheme="majorEastAsia" w:eastAsiaTheme="majorEastAsia" w:hAnsiTheme="majorEastAsia" w:hint="eastAsia"/>
                <w:w w:val="50"/>
                <w:sz w:val="18"/>
                <w:szCs w:val="18"/>
              </w:rPr>
              <w:t>人事課（1名）</w:t>
            </w:r>
          </w:p>
        </w:tc>
      </w:tr>
      <w:tr w:rsidR="00523F74" w:rsidRPr="00C31A1E" w14:paraId="70AD0480" w14:textId="77777777" w:rsidTr="00FF43BC">
        <w:trPr>
          <w:cantSplit/>
          <w:trHeight w:val="447"/>
        </w:trPr>
        <w:tc>
          <w:tcPr>
            <w:tcW w:w="576" w:type="dxa"/>
            <w:vMerge w:val="restart"/>
            <w:tcBorders>
              <w:top w:val="single" w:sz="4" w:space="0" w:color="auto"/>
              <w:left w:val="single" w:sz="4" w:space="0" w:color="auto"/>
              <w:bottom w:val="single" w:sz="4" w:space="0" w:color="auto"/>
              <w:right w:val="single" w:sz="4" w:space="0" w:color="auto"/>
            </w:tcBorders>
            <w:textDirection w:val="tbRlV"/>
            <w:vAlign w:val="center"/>
            <w:hideMark/>
          </w:tcPr>
          <w:p w14:paraId="2F8438EC" w14:textId="77777777" w:rsidR="00523F74" w:rsidRPr="0075788C" w:rsidRDefault="00523F74" w:rsidP="00FF43BC">
            <w:pPr>
              <w:widowControl/>
              <w:adjustRightInd w:val="0"/>
              <w:snapToGrid w:val="0"/>
              <w:spacing w:line="240" w:lineRule="exact"/>
              <w:ind w:left="113" w:right="113"/>
              <w:jc w:val="center"/>
              <w:rPr>
                <w:rFonts w:asciiTheme="majorEastAsia" w:eastAsiaTheme="majorEastAsia" w:hAnsiTheme="majorEastAsia"/>
                <w:w w:val="50"/>
                <w:sz w:val="18"/>
                <w:szCs w:val="18"/>
              </w:rPr>
            </w:pPr>
            <w:r w:rsidRPr="0075788C">
              <w:rPr>
                <w:rFonts w:asciiTheme="majorEastAsia" w:eastAsiaTheme="majorEastAsia" w:hAnsiTheme="majorEastAsia" w:hint="eastAsia"/>
                <w:kern w:val="0"/>
                <w:sz w:val="18"/>
                <w:szCs w:val="18"/>
              </w:rPr>
              <w:t>報道班</w:t>
            </w:r>
          </w:p>
        </w:tc>
        <w:tc>
          <w:tcPr>
            <w:tcW w:w="4669" w:type="dxa"/>
            <w:vMerge w:val="restart"/>
            <w:tcBorders>
              <w:top w:val="single" w:sz="4" w:space="0" w:color="auto"/>
              <w:left w:val="single" w:sz="4" w:space="0" w:color="auto"/>
              <w:right w:val="single" w:sz="4" w:space="0" w:color="auto"/>
            </w:tcBorders>
            <w:vAlign w:val="center"/>
          </w:tcPr>
          <w:p w14:paraId="7E8889CD" w14:textId="77777777" w:rsidR="00523F74" w:rsidRPr="0075788C" w:rsidRDefault="00523F74" w:rsidP="00FF43BC">
            <w:pPr>
              <w:adjustRightInd w:val="0"/>
              <w:snapToGrid w:val="0"/>
              <w:spacing w:line="240" w:lineRule="exact"/>
              <w:jc w:val="left"/>
              <w:rPr>
                <w:rFonts w:asciiTheme="majorEastAsia" w:eastAsiaTheme="majorEastAsia" w:hAnsiTheme="majorEastAsia"/>
                <w:w w:val="50"/>
                <w:sz w:val="18"/>
                <w:szCs w:val="18"/>
              </w:rPr>
            </w:pPr>
            <w:r w:rsidRPr="0075788C">
              <w:rPr>
                <w:rFonts w:asciiTheme="majorEastAsia" w:eastAsiaTheme="majorEastAsia" w:hAnsiTheme="majorEastAsia" w:hint="eastAsia"/>
                <w:w w:val="50"/>
                <w:sz w:val="18"/>
                <w:szCs w:val="18"/>
              </w:rPr>
              <w:t>■報道機関対応</w:t>
            </w:r>
          </w:p>
          <w:p w14:paraId="571B7608" w14:textId="77777777" w:rsidR="00523F74" w:rsidRPr="0075788C" w:rsidRDefault="00523F74" w:rsidP="00FF43BC">
            <w:pPr>
              <w:adjustRightInd w:val="0"/>
              <w:snapToGrid w:val="0"/>
              <w:spacing w:line="240" w:lineRule="exact"/>
              <w:jc w:val="left"/>
              <w:rPr>
                <w:rFonts w:asciiTheme="majorEastAsia" w:eastAsiaTheme="majorEastAsia" w:hAnsiTheme="majorEastAsia"/>
                <w:w w:val="50"/>
                <w:sz w:val="18"/>
                <w:szCs w:val="18"/>
              </w:rPr>
            </w:pPr>
            <w:r w:rsidRPr="0075788C">
              <w:rPr>
                <w:rFonts w:asciiTheme="majorEastAsia" w:eastAsiaTheme="majorEastAsia" w:hAnsiTheme="majorEastAsia" w:hint="eastAsia"/>
                <w:w w:val="50"/>
                <w:sz w:val="18"/>
                <w:szCs w:val="18"/>
              </w:rPr>
              <w:t>・会議開催連絡、報道提供、問い合わせ対応</w:t>
            </w:r>
          </w:p>
          <w:p w14:paraId="538BF4C9" w14:textId="77777777" w:rsidR="00523F74" w:rsidRPr="0075788C" w:rsidRDefault="00523F74" w:rsidP="00FF43BC">
            <w:pPr>
              <w:adjustRightInd w:val="0"/>
              <w:snapToGrid w:val="0"/>
              <w:spacing w:line="240" w:lineRule="exact"/>
              <w:jc w:val="left"/>
              <w:rPr>
                <w:rFonts w:asciiTheme="majorEastAsia" w:eastAsiaTheme="majorEastAsia" w:hAnsiTheme="majorEastAsia"/>
                <w:w w:val="50"/>
                <w:sz w:val="18"/>
                <w:szCs w:val="18"/>
              </w:rPr>
            </w:pPr>
            <w:r w:rsidRPr="0075788C">
              <w:rPr>
                <w:rFonts w:asciiTheme="majorEastAsia" w:eastAsiaTheme="majorEastAsia" w:hAnsiTheme="majorEastAsia" w:hint="eastAsia"/>
                <w:w w:val="50"/>
                <w:sz w:val="18"/>
                <w:szCs w:val="18"/>
              </w:rPr>
              <w:t>・報道機関への緊急放送要請</w:t>
            </w:r>
          </w:p>
          <w:p w14:paraId="3B3AA1BB" w14:textId="77777777" w:rsidR="00523F74" w:rsidRPr="0075788C" w:rsidRDefault="00523F74" w:rsidP="00FF43BC">
            <w:pPr>
              <w:adjustRightInd w:val="0"/>
              <w:snapToGrid w:val="0"/>
              <w:spacing w:line="240" w:lineRule="exact"/>
              <w:jc w:val="left"/>
              <w:rPr>
                <w:rFonts w:asciiTheme="majorEastAsia" w:eastAsiaTheme="majorEastAsia" w:hAnsiTheme="majorEastAsia"/>
                <w:w w:val="50"/>
                <w:sz w:val="18"/>
                <w:szCs w:val="18"/>
              </w:rPr>
            </w:pPr>
            <w:r w:rsidRPr="0075788C">
              <w:rPr>
                <w:rFonts w:asciiTheme="majorEastAsia" w:eastAsiaTheme="majorEastAsia" w:hAnsiTheme="majorEastAsia" w:hint="eastAsia"/>
                <w:w w:val="50"/>
                <w:sz w:val="18"/>
                <w:szCs w:val="18"/>
              </w:rPr>
              <w:t>・プレスセンター開設・運営</w:t>
            </w:r>
          </w:p>
        </w:tc>
        <w:tc>
          <w:tcPr>
            <w:tcW w:w="3969" w:type="dxa"/>
            <w:gridSpan w:val="3"/>
            <w:tcBorders>
              <w:top w:val="single" w:sz="4" w:space="0" w:color="auto"/>
              <w:left w:val="single" w:sz="4" w:space="0" w:color="auto"/>
              <w:right w:val="single" w:sz="4" w:space="0" w:color="auto"/>
            </w:tcBorders>
            <w:vAlign w:val="center"/>
          </w:tcPr>
          <w:p w14:paraId="535B4D30" w14:textId="77777777" w:rsidR="00523F74" w:rsidRPr="0075788C" w:rsidRDefault="00523F74" w:rsidP="00FF43BC">
            <w:pPr>
              <w:adjustRightInd w:val="0"/>
              <w:snapToGrid w:val="0"/>
              <w:spacing w:line="240" w:lineRule="exact"/>
              <w:jc w:val="left"/>
              <w:rPr>
                <w:rFonts w:asciiTheme="majorEastAsia" w:eastAsiaTheme="majorEastAsia" w:hAnsiTheme="majorEastAsia"/>
                <w:w w:val="50"/>
                <w:sz w:val="18"/>
                <w:szCs w:val="18"/>
              </w:rPr>
            </w:pPr>
            <w:r w:rsidRPr="0075788C">
              <w:rPr>
                <w:rFonts w:asciiTheme="majorEastAsia" w:eastAsiaTheme="majorEastAsia" w:hAnsiTheme="majorEastAsia" w:hint="eastAsia"/>
                <w:w w:val="50"/>
                <w:sz w:val="18"/>
                <w:szCs w:val="18"/>
              </w:rPr>
              <w:t>班長：防災企画課参事　　副班長：企画室政策課参事（報道G長）</w:t>
            </w:r>
          </w:p>
        </w:tc>
      </w:tr>
      <w:tr w:rsidR="00523F74" w:rsidRPr="00C31A1E" w14:paraId="5713A5B1" w14:textId="77777777" w:rsidTr="00FF43BC">
        <w:trPr>
          <w:cantSplit/>
          <w:trHeight w:val="500"/>
        </w:trPr>
        <w:tc>
          <w:tcPr>
            <w:tcW w:w="576" w:type="dxa"/>
            <w:vMerge/>
            <w:tcBorders>
              <w:top w:val="single" w:sz="4" w:space="0" w:color="auto"/>
              <w:left w:val="single" w:sz="4" w:space="0" w:color="auto"/>
              <w:bottom w:val="single" w:sz="4" w:space="0" w:color="auto"/>
              <w:right w:val="single" w:sz="4" w:space="0" w:color="auto"/>
            </w:tcBorders>
            <w:vAlign w:val="center"/>
            <w:hideMark/>
          </w:tcPr>
          <w:p w14:paraId="38928914" w14:textId="77777777" w:rsidR="00523F74" w:rsidRPr="0075788C" w:rsidRDefault="00523F74" w:rsidP="00FF43BC">
            <w:pPr>
              <w:widowControl/>
              <w:adjustRightInd w:val="0"/>
              <w:snapToGrid w:val="0"/>
              <w:spacing w:line="240" w:lineRule="exact"/>
              <w:jc w:val="left"/>
              <w:rPr>
                <w:rFonts w:asciiTheme="majorEastAsia" w:eastAsiaTheme="majorEastAsia" w:hAnsiTheme="majorEastAsia"/>
                <w:w w:val="50"/>
                <w:sz w:val="18"/>
                <w:szCs w:val="18"/>
              </w:rPr>
            </w:pPr>
          </w:p>
        </w:tc>
        <w:tc>
          <w:tcPr>
            <w:tcW w:w="4669" w:type="dxa"/>
            <w:vMerge/>
            <w:tcBorders>
              <w:left w:val="single" w:sz="4" w:space="0" w:color="auto"/>
              <w:bottom w:val="single" w:sz="4" w:space="0" w:color="auto"/>
              <w:right w:val="single" w:sz="4" w:space="0" w:color="auto"/>
            </w:tcBorders>
            <w:vAlign w:val="center"/>
          </w:tcPr>
          <w:p w14:paraId="68A1915D" w14:textId="77777777" w:rsidR="00523F74" w:rsidRPr="0075788C" w:rsidRDefault="00523F74" w:rsidP="00FF43BC">
            <w:pPr>
              <w:widowControl/>
              <w:adjustRightInd w:val="0"/>
              <w:snapToGrid w:val="0"/>
              <w:spacing w:line="240" w:lineRule="exact"/>
              <w:jc w:val="left"/>
              <w:rPr>
                <w:rFonts w:asciiTheme="majorEastAsia" w:eastAsiaTheme="majorEastAsia" w:hAnsiTheme="majorEastAsia"/>
                <w:w w:val="50"/>
                <w:sz w:val="18"/>
                <w:szCs w:val="18"/>
              </w:rPr>
            </w:pPr>
          </w:p>
        </w:tc>
        <w:tc>
          <w:tcPr>
            <w:tcW w:w="1276" w:type="dxa"/>
            <w:tcBorders>
              <w:top w:val="single" w:sz="4" w:space="0" w:color="auto"/>
              <w:left w:val="single" w:sz="4" w:space="0" w:color="auto"/>
              <w:bottom w:val="single" w:sz="4" w:space="0" w:color="auto"/>
              <w:right w:val="single" w:sz="4" w:space="0" w:color="auto"/>
            </w:tcBorders>
            <w:vAlign w:val="center"/>
          </w:tcPr>
          <w:p w14:paraId="19529978" w14:textId="77777777" w:rsidR="00523F74" w:rsidRPr="0075788C" w:rsidRDefault="00523F74" w:rsidP="00FF43BC">
            <w:pPr>
              <w:adjustRightInd w:val="0"/>
              <w:snapToGrid w:val="0"/>
              <w:spacing w:line="240" w:lineRule="exact"/>
              <w:jc w:val="left"/>
              <w:rPr>
                <w:rFonts w:asciiTheme="majorEastAsia" w:eastAsiaTheme="majorEastAsia" w:hAnsiTheme="majorEastAsia"/>
                <w:w w:val="50"/>
                <w:sz w:val="18"/>
                <w:szCs w:val="18"/>
              </w:rPr>
            </w:pPr>
            <w:r w:rsidRPr="0075788C">
              <w:rPr>
                <w:rFonts w:asciiTheme="majorEastAsia" w:eastAsiaTheme="majorEastAsia" w:hAnsiTheme="majorEastAsia" w:hint="eastAsia"/>
                <w:w w:val="50"/>
                <w:sz w:val="18"/>
                <w:szCs w:val="18"/>
              </w:rPr>
              <w:t>企画室報道G(1名)</w:t>
            </w:r>
          </w:p>
          <w:p w14:paraId="10D64DAA" w14:textId="77777777" w:rsidR="00523F74" w:rsidRPr="0075788C" w:rsidRDefault="00523F74" w:rsidP="00FF43BC">
            <w:pPr>
              <w:adjustRightInd w:val="0"/>
              <w:snapToGrid w:val="0"/>
              <w:spacing w:line="240" w:lineRule="exact"/>
              <w:jc w:val="left"/>
              <w:rPr>
                <w:rFonts w:asciiTheme="majorEastAsia" w:eastAsiaTheme="majorEastAsia" w:hAnsiTheme="majorEastAsia"/>
                <w:w w:val="50"/>
                <w:sz w:val="18"/>
                <w:szCs w:val="18"/>
              </w:rPr>
            </w:pPr>
            <w:r w:rsidRPr="0075788C">
              <w:rPr>
                <w:rFonts w:asciiTheme="majorEastAsia" w:eastAsiaTheme="majorEastAsia" w:hAnsiTheme="majorEastAsia" w:hint="eastAsia"/>
                <w:w w:val="50"/>
                <w:sz w:val="18"/>
                <w:szCs w:val="18"/>
              </w:rPr>
              <w:t>危機管理室(2～3名)</w:t>
            </w:r>
          </w:p>
        </w:tc>
        <w:tc>
          <w:tcPr>
            <w:tcW w:w="1276" w:type="dxa"/>
            <w:tcBorders>
              <w:top w:val="single" w:sz="4" w:space="0" w:color="auto"/>
              <w:left w:val="single" w:sz="4" w:space="0" w:color="auto"/>
              <w:bottom w:val="single" w:sz="4" w:space="0" w:color="auto"/>
              <w:right w:val="single" w:sz="4" w:space="0" w:color="auto"/>
            </w:tcBorders>
          </w:tcPr>
          <w:p w14:paraId="086E27A9" w14:textId="77777777" w:rsidR="00523F74" w:rsidRPr="0075788C" w:rsidRDefault="00523F74" w:rsidP="00FF43BC">
            <w:pPr>
              <w:adjustRightInd w:val="0"/>
              <w:snapToGrid w:val="0"/>
              <w:spacing w:line="240" w:lineRule="exact"/>
              <w:jc w:val="left"/>
              <w:rPr>
                <w:rFonts w:asciiTheme="majorEastAsia" w:eastAsiaTheme="majorEastAsia" w:hAnsiTheme="majorEastAsia"/>
                <w:w w:val="50"/>
                <w:sz w:val="18"/>
                <w:szCs w:val="18"/>
              </w:rPr>
            </w:pPr>
            <w:r w:rsidRPr="0075788C">
              <w:rPr>
                <w:rFonts w:asciiTheme="majorEastAsia" w:eastAsiaTheme="majorEastAsia" w:hAnsiTheme="majorEastAsia" w:hint="eastAsia"/>
                <w:w w:val="50"/>
                <w:sz w:val="18"/>
                <w:szCs w:val="18"/>
              </w:rPr>
              <w:t>企画室報道G(1名)</w:t>
            </w:r>
          </w:p>
          <w:p w14:paraId="04F43B04" w14:textId="77777777" w:rsidR="00523F74" w:rsidRPr="0075788C" w:rsidRDefault="00523F74" w:rsidP="00FF43BC">
            <w:pPr>
              <w:adjustRightInd w:val="0"/>
              <w:snapToGrid w:val="0"/>
              <w:spacing w:line="240" w:lineRule="exact"/>
              <w:jc w:val="left"/>
              <w:rPr>
                <w:rFonts w:asciiTheme="majorEastAsia" w:eastAsiaTheme="majorEastAsia" w:hAnsiTheme="majorEastAsia"/>
                <w:w w:val="50"/>
                <w:sz w:val="18"/>
                <w:szCs w:val="18"/>
              </w:rPr>
            </w:pPr>
            <w:r w:rsidRPr="0075788C">
              <w:rPr>
                <w:rFonts w:asciiTheme="majorEastAsia" w:eastAsiaTheme="majorEastAsia" w:hAnsiTheme="majorEastAsia" w:hint="eastAsia"/>
                <w:w w:val="50"/>
                <w:sz w:val="18"/>
                <w:szCs w:val="18"/>
              </w:rPr>
              <w:t>危機管理室(3～4名)</w:t>
            </w:r>
          </w:p>
        </w:tc>
        <w:tc>
          <w:tcPr>
            <w:tcW w:w="1417" w:type="dxa"/>
            <w:tcBorders>
              <w:top w:val="single" w:sz="4" w:space="0" w:color="auto"/>
              <w:left w:val="single" w:sz="4" w:space="0" w:color="auto"/>
              <w:bottom w:val="single" w:sz="4" w:space="0" w:color="auto"/>
              <w:right w:val="single" w:sz="4" w:space="0" w:color="auto"/>
            </w:tcBorders>
          </w:tcPr>
          <w:p w14:paraId="2888B9E8" w14:textId="77777777" w:rsidR="00523F74" w:rsidRPr="0075788C" w:rsidRDefault="00523F74" w:rsidP="00FF43BC">
            <w:pPr>
              <w:adjustRightInd w:val="0"/>
              <w:snapToGrid w:val="0"/>
              <w:spacing w:line="240" w:lineRule="exact"/>
              <w:jc w:val="left"/>
              <w:rPr>
                <w:rFonts w:asciiTheme="majorEastAsia" w:eastAsiaTheme="majorEastAsia" w:hAnsiTheme="majorEastAsia"/>
                <w:w w:val="50"/>
                <w:sz w:val="18"/>
                <w:szCs w:val="18"/>
              </w:rPr>
            </w:pPr>
            <w:r w:rsidRPr="0075788C">
              <w:rPr>
                <w:rFonts w:asciiTheme="majorEastAsia" w:eastAsiaTheme="majorEastAsia" w:hAnsiTheme="majorEastAsia" w:hint="eastAsia"/>
                <w:w w:val="50"/>
                <w:sz w:val="18"/>
                <w:szCs w:val="18"/>
              </w:rPr>
              <w:t>企画室報道G(1名)</w:t>
            </w:r>
          </w:p>
          <w:p w14:paraId="2050CEA0" w14:textId="77777777" w:rsidR="00523F74" w:rsidRPr="0075788C" w:rsidRDefault="00523F74" w:rsidP="00FF43BC">
            <w:pPr>
              <w:adjustRightInd w:val="0"/>
              <w:snapToGrid w:val="0"/>
              <w:spacing w:line="240" w:lineRule="exact"/>
              <w:jc w:val="left"/>
              <w:rPr>
                <w:rFonts w:asciiTheme="majorEastAsia" w:eastAsiaTheme="majorEastAsia" w:hAnsiTheme="majorEastAsia"/>
                <w:w w:val="50"/>
                <w:sz w:val="18"/>
                <w:szCs w:val="18"/>
              </w:rPr>
            </w:pPr>
            <w:r w:rsidRPr="0075788C">
              <w:rPr>
                <w:rFonts w:asciiTheme="majorEastAsia" w:eastAsiaTheme="majorEastAsia" w:hAnsiTheme="majorEastAsia" w:hint="eastAsia"/>
                <w:w w:val="50"/>
                <w:sz w:val="18"/>
                <w:szCs w:val="18"/>
              </w:rPr>
              <w:t>危機管理室(3～4名)</w:t>
            </w:r>
          </w:p>
        </w:tc>
      </w:tr>
      <w:tr w:rsidR="00523F74" w:rsidRPr="00C31A1E" w14:paraId="3D69CA07" w14:textId="77777777" w:rsidTr="00FF43BC">
        <w:trPr>
          <w:cantSplit/>
          <w:trHeight w:val="496"/>
        </w:trPr>
        <w:tc>
          <w:tcPr>
            <w:tcW w:w="576" w:type="dxa"/>
            <w:vMerge w:val="restart"/>
            <w:tcBorders>
              <w:top w:val="single" w:sz="4" w:space="0" w:color="auto"/>
              <w:left w:val="single" w:sz="4" w:space="0" w:color="auto"/>
              <w:right w:val="single" w:sz="4" w:space="0" w:color="auto"/>
            </w:tcBorders>
            <w:textDirection w:val="tbRlV"/>
            <w:vAlign w:val="center"/>
            <w:hideMark/>
          </w:tcPr>
          <w:p w14:paraId="27C861C7" w14:textId="77777777" w:rsidR="00523F74" w:rsidRPr="00C31A1E" w:rsidRDefault="00523F74" w:rsidP="00FF43BC">
            <w:pPr>
              <w:widowControl/>
              <w:adjustRightInd w:val="0"/>
              <w:snapToGrid w:val="0"/>
              <w:spacing w:line="240" w:lineRule="exact"/>
              <w:ind w:left="113" w:right="113"/>
              <w:jc w:val="center"/>
              <w:rPr>
                <w:rFonts w:asciiTheme="majorEastAsia" w:eastAsiaTheme="majorEastAsia" w:hAnsiTheme="majorEastAsia"/>
                <w:w w:val="50"/>
                <w:sz w:val="18"/>
                <w:szCs w:val="18"/>
                <w:highlight w:val="yellow"/>
              </w:rPr>
            </w:pPr>
            <w:r w:rsidRPr="0075788C">
              <w:rPr>
                <w:rFonts w:asciiTheme="majorEastAsia" w:eastAsiaTheme="majorEastAsia" w:hAnsiTheme="majorEastAsia" w:hint="eastAsia"/>
                <w:kern w:val="0"/>
                <w:sz w:val="18"/>
                <w:szCs w:val="18"/>
              </w:rPr>
              <w:t>情報班</w:t>
            </w:r>
          </w:p>
        </w:tc>
        <w:tc>
          <w:tcPr>
            <w:tcW w:w="4669" w:type="dxa"/>
            <w:vMerge w:val="restart"/>
            <w:tcBorders>
              <w:top w:val="single" w:sz="4" w:space="0" w:color="auto"/>
              <w:left w:val="single" w:sz="4" w:space="0" w:color="auto"/>
              <w:right w:val="single" w:sz="4" w:space="0" w:color="auto"/>
            </w:tcBorders>
            <w:vAlign w:val="center"/>
          </w:tcPr>
          <w:p w14:paraId="4D5BC70A" w14:textId="77777777" w:rsidR="00523F74" w:rsidRPr="0075788C" w:rsidRDefault="00523F74" w:rsidP="00FF43BC">
            <w:pPr>
              <w:adjustRightInd w:val="0"/>
              <w:snapToGrid w:val="0"/>
              <w:spacing w:line="240" w:lineRule="exact"/>
              <w:jc w:val="left"/>
              <w:rPr>
                <w:rFonts w:asciiTheme="majorEastAsia" w:eastAsiaTheme="majorEastAsia" w:hAnsiTheme="majorEastAsia"/>
                <w:w w:val="50"/>
                <w:sz w:val="18"/>
                <w:szCs w:val="18"/>
              </w:rPr>
            </w:pPr>
            <w:r w:rsidRPr="0075788C">
              <w:rPr>
                <w:rFonts w:asciiTheme="majorEastAsia" w:eastAsiaTheme="majorEastAsia" w:hAnsiTheme="majorEastAsia" w:hint="eastAsia"/>
                <w:w w:val="50"/>
                <w:sz w:val="18"/>
                <w:szCs w:val="18"/>
              </w:rPr>
              <w:t>■災害情報等の収集（モニター、ホワイトボードに掲示）</w:t>
            </w:r>
          </w:p>
          <w:p w14:paraId="54EFA9DE" w14:textId="77777777" w:rsidR="00523F74" w:rsidRPr="0075788C" w:rsidRDefault="00523F74" w:rsidP="00FF43BC">
            <w:pPr>
              <w:adjustRightInd w:val="0"/>
              <w:snapToGrid w:val="0"/>
              <w:spacing w:line="240" w:lineRule="exact"/>
              <w:jc w:val="left"/>
              <w:rPr>
                <w:rFonts w:asciiTheme="majorEastAsia" w:eastAsiaTheme="majorEastAsia" w:hAnsiTheme="majorEastAsia"/>
                <w:w w:val="50"/>
                <w:sz w:val="18"/>
                <w:szCs w:val="18"/>
              </w:rPr>
            </w:pPr>
            <w:r w:rsidRPr="0075788C">
              <w:rPr>
                <w:rFonts w:asciiTheme="majorEastAsia" w:eastAsiaTheme="majorEastAsia" w:hAnsiTheme="majorEastAsia" w:hint="eastAsia"/>
                <w:w w:val="50"/>
                <w:sz w:val="18"/>
                <w:szCs w:val="18"/>
              </w:rPr>
              <w:t>・気象台情報</w:t>
            </w:r>
          </w:p>
          <w:p w14:paraId="09547E52" w14:textId="77777777" w:rsidR="00523F74" w:rsidRPr="0075788C" w:rsidRDefault="00523F74" w:rsidP="00FF43BC">
            <w:pPr>
              <w:adjustRightInd w:val="0"/>
              <w:snapToGrid w:val="0"/>
              <w:spacing w:line="240" w:lineRule="exact"/>
              <w:jc w:val="left"/>
              <w:rPr>
                <w:rFonts w:asciiTheme="majorEastAsia" w:eastAsiaTheme="majorEastAsia" w:hAnsiTheme="majorEastAsia"/>
                <w:w w:val="50"/>
                <w:sz w:val="18"/>
                <w:szCs w:val="18"/>
              </w:rPr>
            </w:pPr>
            <w:r w:rsidRPr="0075788C">
              <w:rPr>
                <w:rFonts w:asciiTheme="majorEastAsia" w:eastAsiaTheme="majorEastAsia" w:hAnsiTheme="majorEastAsia" w:hint="eastAsia"/>
                <w:w w:val="50"/>
                <w:sz w:val="18"/>
                <w:szCs w:val="18"/>
              </w:rPr>
              <w:t>・公共交通機関、ライフラインの被害、運行状況等</w:t>
            </w:r>
          </w:p>
          <w:p w14:paraId="097ECD02" w14:textId="77777777" w:rsidR="00523F74" w:rsidRPr="0075788C" w:rsidRDefault="00523F74" w:rsidP="00FF43BC">
            <w:pPr>
              <w:adjustRightInd w:val="0"/>
              <w:snapToGrid w:val="0"/>
              <w:spacing w:line="240" w:lineRule="exact"/>
              <w:jc w:val="left"/>
              <w:rPr>
                <w:rFonts w:asciiTheme="majorEastAsia" w:eastAsiaTheme="majorEastAsia" w:hAnsiTheme="majorEastAsia"/>
                <w:w w:val="50"/>
                <w:sz w:val="18"/>
                <w:szCs w:val="18"/>
              </w:rPr>
            </w:pPr>
            <w:r w:rsidRPr="0075788C">
              <w:rPr>
                <w:rFonts w:asciiTheme="majorEastAsia" w:eastAsiaTheme="majorEastAsia" w:hAnsiTheme="majorEastAsia" w:hint="eastAsia"/>
                <w:w w:val="50"/>
                <w:sz w:val="18"/>
                <w:szCs w:val="18"/>
              </w:rPr>
              <w:t>・広域緊急交通路の通行可否</w:t>
            </w:r>
          </w:p>
          <w:p w14:paraId="608B8890" w14:textId="77777777" w:rsidR="00523F74" w:rsidRPr="0075788C" w:rsidRDefault="00523F74" w:rsidP="00FF43BC">
            <w:pPr>
              <w:adjustRightInd w:val="0"/>
              <w:snapToGrid w:val="0"/>
              <w:spacing w:line="240" w:lineRule="exact"/>
              <w:jc w:val="left"/>
              <w:rPr>
                <w:rFonts w:asciiTheme="majorEastAsia" w:eastAsiaTheme="majorEastAsia" w:hAnsiTheme="majorEastAsia"/>
                <w:w w:val="50"/>
                <w:sz w:val="18"/>
                <w:szCs w:val="18"/>
              </w:rPr>
            </w:pPr>
            <w:r w:rsidRPr="0075788C">
              <w:rPr>
                <w:rFonts w:asciiTheme="majorEastAsia" w:eastAsiaTheme="majorEastAsia" w:hAnsiTheme="majorEastAsia" w:hint="eastAsia"/>
                <w:w w:val="50"/>
                <w:sz w:val="18"/>
                <w:szCs w:val="18"/>
              </w:rPr>
              <w:t>・市町村の庁舎、体制機能等の喪失状況</w:t>
            </w:r>
          </w:p>
          <w:p w14:paraId="6402D70C" w14:textId="77777777" w:rsidR="00523F74" w:rsidRPr="0075788C" w:rsidRDefault="00523F74" w:rsidP="00FF43BC">
            <w:pPr>
              <w:adjustRightInd w:val="0"/>
              <w:snapToGrid w:val="0"/>
              <w:spacing w:line="240" w:lineRule="exact"/>
              <w:jc w:val="left"/>
              <w:rPr>
                <w:rFonts w:asciiTheme="majorEastAsia" w:eastAsiaTheme="majorEastAsia" w:hAnsiTheme="majorEastAsia"/>
                <w:w w:val="50"/>
                <w:sz w:val="18"/>
                <w:szCs w:val="18"/>
              </w:rPr>
            </w:pPr>
            <w:r w:rsidRPr="0075788C">
              <w:rPr>
                <w:rFonts w:asciiTheme="majorEastAsia" w:eastAsiaTheme="majorEastAsia" w:hAnsiTheme="majorEastAsia" w:hint="eastAsia"/>
                <w:w w:val="50"/>
                <w:sz w:val="18"/>
                <w:szCs w:val="18"/>
              </w:rPr>
              <w:t>・住民避難情報（避難勧告発令、避難者数）</w:t>
            </w:r>
          </w:p>
          <w:p w14:paraId="5C00E649" w14:textId="77777777" w:rsidR="00523F74" w:rsidRPr="0075788C" w:rsidRDefault="00523F74" w:rsidP="00FF43BC">
            <w:pPr>
              <w:adjustRightInd w:val="0"/>
              <w:snapToGrid w:val="0"/>
              <w:spacing w:line="240" w:lineRule="exact"/>
              <w:jc w:val="left"/>
              <w:rPr>
                <w:rFonts w:asciiTheme="majorEastAsia" w:eastAsiaTheme="majorEastAsia" w:hAnsiTheme="majorEastAsia"/>
                <w:w w:val="50"/>
                <w:sz w:val="18"/>
                <w:szCs w:val="18"/>
              </w:rPr>
            </w:pPr>
            <w:r w:rsidRPr="0075788C">
              <w:rPr>
                <w:rFonts w:asciiTheme="majorEastAsia" w:eastAsiaTheme="majorEastAsia" w:hAnsiTheme="majorEastAsia" w:hint="eastAsia"/>
                <w:w w:val="50"/>
                <w:sz w:val="18"/>
                <w:szCs w:val="18"/>
              </w:rPr>
              <w:t>・被害情報（庁内、市町村）</w:t>
            </w:r>
          </w:p>
          <w:p w14:paraId="298F732F" w14:textId="77777777" w:rsidR="00523F74" w:rsidRPr="0075788C" w:rsidRDefault="00523F74" w:rsidP="00FF43BC">
            <w:pPr>
              <w:adjustRightInd w:val="0"/>
              <w:snapToGrid w:val="0"/>
              <w:spacing w:line="240" w:lineRule="exact"/>
              <w:jc w:val="left"/>
              <w:rPr>
                <w:rFonts w:asciiTheme="majorEastAsia" w:eastAsiaTheme="majorEastAsia" w:hAnsiTheme="majorEastAsia"/>
                <w:w w:val="50"/>
                <w:sz w:val="18"/>
                <w:szCs w:val="18"/>
              </w:rPr>
            </w:pPr>
            <w:r w:rsidRPr="0075788C">
              <w:rPr>
                <w:rFonts w:asciiTheme="majorEastAsia" w:eastAsiaTheme="majorEastAsia" w:hAnsiTheme="majorEastAsia" w:hint="eastAsia"/>
                <w:w w:val="50"/>
                <w:sz w:val="18"/>
                <w:szCs w:val="18"/>
              </w:rPr>
              <w:t>・消防機関の活動状況等</w:t>
            </w:r>
          </w:p>
          <w:p w14:paraId="7F42A4CB" w14:textId="77777777" w:rsidR="00523F74" w:rsidRPr="0075788C" w:rsidRDefault="00523F74" w:rsidP="00FF43BC">
            <w:pPr>
              <w:adjustRightInd w:val="0"/>
              <w:snapToGrid w:val="0"/>
              <w:spacing w:line="240" w:lineRule="exact"/>
              <w:jc w:val="left"/>
              <w:rPr>
                <w:rFonts w:asciiTheme="majorEastAsia" w:eastAsiaTheme="majorEastAsia" w:hAnsiTheme="majorEastAsia"/>
                <w:w w:val="50"/>
                <w:sz w:val="18"/>
                <w:szCs w:val="18"/>
              </w:rPr>
            </w:pPr>
            <w:r w:rsidRPr="0075788C">
              <w:rPr>
                <w:rFonts w:asciiTheme="majorEastAsia" w:eastAsiaTheme="majorEastAsia" w:hAnsiTheme="majorEastAsia" w:hint="eastAsia"/>
                <w:w w:val="50"/>
                <w:sz w:val="18"/>
                <w:szCs w:val="18"/>
              </w:rPr>
              <w:t>・国、関西広域連合等の動向</w:t>
            </w:r>
          </w:p>
          <w:p w14:paraId="3AB8EDF7" w14:textId="77777777" w:rsidR="00523F74" w:rsidRPr="0075788C" w:rsidRDefault="00523F74" w:rsidP="00FF43BC">
            <w:pPr>
              <w:adjustRightInd w:val="0"/>
              <w:snapToGrid w:val="0"/>
              <w:spacing w:line="240" w:lineRule="exact"/>
              <w:jc w:val="left"/>
              <w:rPr>
                <w:rFonts w:asciiTheme="majorEastAsia" w:eastAsiaTheme="majorEastAsia" w:hAnsiTheme="majorEastAsia"/>
                <w:w w:val="50"/>
                <w:sz w:val="18"/>
                <w:szCs w:val="18"/>
              </w:rPr>
            </w:pPr>
          </w:p>
          <w:p w14:paraId="638DFE0F" w14:textId="77777777" w:rsidR="00523F74" w:rsidRPr="0075788C" w:rsidRDefault="00523F74" w:rsidP="00FF43BC">
            <w:pPr>
              <w:adjustRightInd w:val="0"/>
              <w:snapToGrid w:val="0"/>
              <w:spacing w:line="240" w:lineRule="exact"/>
              <w:jc w:val="left"/>
              <w:rPr>
                <w:rFonts w:asciiTheme="majorEastAsia" w:eastAsiaTheme="majorEastAsia" w:hAnsiTheme="majorEastAsia"/>
                <w:w w:val="50"/>
                <w:sz w:val="18"/>
                <w:szCs w:val="18"/>
              </w:rPr>
            </w:pPr>
            <w:r w:rsidRPr="0075788C">
              <w:rPr>
                <w:rFonts w:asciiTheme="majorEastAsia" w:eastAsiaTheme="majorEastAsia" w:hAnsiTheme="majorEastAsia" w:hint="eastAsia"/>
                <w:w w:val="50"/>
                <w:sz w:val="18"/>
                <w:szCs w:val="18"/>
              </w:rPr>
              <w:t>■情報分析</w:t>
            </w:r>
          </w:p>
          <w:p w14:paraId="595883C7" w14:textId="77777777" w:rsidR="00523F74" w:rsidRPr="0075788C" w:rsidRDefault="00523F74" w:rsidP="00FF43BC">
            <w:pPr>
              <w:adjustRightInd w:val="0"/>
              <w:snapToGrid w:val="0"/>
              <w:spacing w:line="240" w:lineRule="exact"/>
              <w:jc w:val="left"/>
              <w:rPr>
                <w:rFonts w:asciiTheme="majorEastAsia" w:eastAsiaTheme="majorEastAsia" w:hAnsiTheme="majorEastAsia"/>
                <w:w w:val="50"/>
                <w:sz w:val="18"/>
                <w:szCs w:val="18"/>
              </w:rPr>
            </w:pPr>
            <w:r w:rsidRPr="0075788C">
              <w:rPr>
                <w:rFonts w:asciiTheme="majorEastAsia" w:eastAsiaTheme="majorEastAsia" w:hAnsiTheme="majorEastAsia" w:hint="eastAsia"/>
                <w:w w:val="50"/>
                <w:sz w:val="18"/>
                <w:szCs w:val="18"/>
              </w:rPr>
              <w:t>・各種情報を評価・分析し、被害の全体像を整理</w:t>
            </w:r>
          </w:p>
          <w:p w14:paraId="33C44C93" w14:textId="77777777" w:rsidR="00523F74" w:rsidRPr="0075788C" w:rsidRDefault="00523F74" w:rsidP="00FF43BC">
            <w:pPr>
              <w:adjustRightInd w:val="0"/>
              <w:snapToGrid w:val="0"/>
              <w:spacing w:line="240" w:lineRule="exact"/>
              <w:jc w:val="left"/>
              <w:rPr>
                <w:rFonts w:asciiTheme="majorEastAsia" w:eastAsiaTheme="majorEastAsia" w:hAnsiTheme="majorEastAsia"/>
                <w:w w:val="50"/>
                <w:sz w:val="18"/>
                <w:szCs w:val="18"/>
              </w:rPr>
            </w:pPr>
          </w:p>
          <w:p w14:paraId="0CBA70BB" w14:textId="77777777" w:rsidR="00523F74" w:rsidRPr="0075788C" w:rsidRDefault="00523F74" w:rsidP="00FF43BC">
            <w:pPr>
              <w:widowControl/>
              <w:adjustRightInd w:val="0"/>
              <w:snapToGrid w:val="0"/>
              <w:spacing w:line="240" w:lineRule="exact"/>
              <w:jc w:val="left"/>
              <w:rPr>
                <w:rFonts w:asciiTheme="majorEastAsia" w:eastAsiaTheme="majorEastAsia" w:hAnsiTheme="majorEastAsia"/>
                <w:w w:val="50"/>
                <w:sz w:val="18"/>
                <w:szCs w:val="18"/>
              </w:rPr>
            </w:pPr>
            <w:r w:rsidRPr="0075788C">
              <w:rPr>
                <w:rFonts w:asciiTheme="majorEastAsia" w:eastAsiaTheme="majorEastAsia" w:hAnsiTheme="majorEastAsia" w:hint="eastAsia"/>
                <w:w w:val="50"/>
                <w:sz w:val="18"/>
                <w:szCs w:val="18"/>
              </w:rPr>
              <w:t>■府警本部との連絡調整</w:t>
            </w:r>
          </w:p>
          <w:p w14:paraId="67837ACA" w14:textId="77777777" w:rsidR="00523F74" w:rsidRPr="0075788C" w:rsidRDefault="00523F74" w:rsidP="00FF43BC">
            <w:pPr>
              <w:widowControl/>
              <w:adjustRightInd w:val="0"/>
              <w:snapToGrid w:val="0"/>
              <w:spacing w:line="240" w:lineRule="exact"/>
              <w:jc w:val="left"/>
              <w:rPr>
                <w:rFonts w:asciiTheme="majorEastAsia" w:eastAsiaTheme="majorEastAsia" w:hAnsiTheme="majorEastAsia"/>
                <w:w w:val="50"/>
                <w:sz w:val="18"/>
                <w:szCs w:val="18"/>
              </w:rPr>
            </w:pPr>
          </w:p>
          <w:p w14:paraId="3A0A94D0" w14:textId="77777777" w:rsidR="00523F74" w:rsidRPr="0075788C" w:rsidRDefault="00523F74" w:rsidP="00FF43BC">
            <w:pPr>
              <w:widowControl/>
              <w:adjustRightInd w:val="0"/>
              <w:snapToGrid w:val="0"/>
              <w:spacing w:line="240" w:lineRule="exact"/>
              <w:jc w:val="left"/>
              <w:rPr>
                <w:rFonts w:asciiTheme="majorEastAsia" w:eastAsiaTheme="majorEastAsia" w:hAnsiTheme="majorEastAsia"/>
                <w:w w:val="50"/>
                <w:sz w:val="18"/>
                <w:szCs w:val="18"/>
              </w:rPr>
            </w:pPr>
          </w:p>
          <w:p w14:paraId="42FBCBF3" w14:textId="77777777" w:rsidR="00523F74" w:rsidRPr="0075788C" w:rsidRDefault="00523F74" w:rsidP="00FF43BC">
            <w:pPr>
              <w:widowControl/>
              <w:adjustRightInd w:val="0"/>
              <w:snapToGrid w:val="0"/>
              <w:spacing w:line="240" w:lineRule="exact"/>
              <w:jc w:val="left"/>
              <w:rPr>
                <w:rFonts w:asciiTheme="majorEastAsia" w:eastAsiaTheme="majorEastAsia" w:hAnsiTheme="majorEastAsia"/>
                <w:w w:val="50"/>
                <w:sz w:val="18"/>
                <w:szCs w:val="18"/>
              </w:rPr>
            </w:pPr>
          </w:p>
        </w:tc>
        <w:tc>
          <w:tcPr>
            <w:tcW w:w="3969" w:type="dxa"/>
            <w:gridSpan w:val="3"/>
            <w:tcBorders>
              <w:top w:val="single" w:sz="4" w:space="0" w:color="auto"/>
              <w:left w:val="single" w:sz="4" w:space="0" w:color="auto"/>
              <w:right w:val="single" w:sz="4" w:space="0" w:color="auto"/>
            </w:tcBorders>
            <w:vAlign w:val="center"/>
          </w:tcPr>
          <w:p w14:paraId="50CC01B1" w14:textId="77777777" w:rsidR="00523F74" w:rsidRPr="0075788C" w:rsidRDefault="00523F74" w:rsidP="00FF43BC">
            <w:pPr>
              <w:adjustRightInd w:val="0"/>
              <w:snapToGrid w:val="0"/>
              <w:spacing w:line="240" w:lineRule="exact"/>
              <w:jc w:val="left"/>
              <w:rPr>
                <w:rFonts w:asciiTheme="majorEastAsia" w:eastAsiaTheme="majorEastAsia" w:hAnsiTheme="majorEastAsia"/>
                <w:w w:val="50"/>
                <w:sz w:val="18"/>
                <w:szCs w:val="18"/>
              </w:rPr>
            </w:pPr>
            <w:r w:rsidRPr="0075788C">
              <w:rPr>
                <w:rFonts w:asciiTheme="majorEastAsia" w:eastAsiaTheme="majorEastAsia" w:hAnsiTheme="majorEastAsia" w:hint="eastAsia"/>
                <w:w w:val="50"/>
                <w:sz w:val="18"/>
                <w:szCs w:val="18"/>
              </w:rPr>
              <w:t>班長：防災企画課長　　副班長：消防指導G長　　班長補佐：治安対策課長</w:t>
            </w:r>
          </w:p>
        </w:tc>
      </w:tr>
      <w:tr w:rsidR="00523F74" w:rsidRPr="00C31A1E" w14:paraId="3A7BBB33" w14:textId="77777777" w:rsidTr="00FF43BC">
        <w:trPr>
          <w:cantSplit/>
          <w:trHeight w:val="1970"/>
        </w:trPr>
        <w:tc>
          <w:tcPr>
            <w:tcW w:w="576" w:type="dxa"/>
            <w:vMerge/>
            <w:tcBorders>
              <w:left w:val="single" w:sz="4" w:space="0" w:color="auto"/>
              <w:right w:val="single" w:sz="4" w:space="0" w:color="auto"/>
            </w:tcBorders>
            <w:vAlign w:val="center"/>
            <w:hideMark/>
          </w:tcPr>
          <w:p w14:paraId="1E784982" w14:textId="77777777" w:rsidR="00523F74" w:rsidRPr="00C31A1E" w:rsidRDefault="00523F74" w:rsidP="00FF43BC">
            <w:pPr>
              <w:widowControl/>
              <w:adjustRightInd w:val="0"/>
              <w:snapToGrid w:val="0"/>
              <w:spacing w:line="240" w:lineRule="exact"/>
              <w:jc w:val="left"/>
              <w:rPr>
                <w:rFonts w:asciiTheme="majorEastAsia" w:eastAsiaTheme="majorEastAsia" w:hAnsiTheme="majorEastAsia"/>
                <w:w w:val="50"/>
                <w:sz w:val="18"/>
                <w:szCs w:val="18"/>
                <w:highlight w:val="yellow"/>
              </w:rPr>
            </w:pPr>
          </w:p>
        </w:tc>
        <w:tc>
          <w:tcPr>
            <w:tcW w:w="4669" w:type="dxa"/>
            <w:vMerge/>
            <w:tcBorders>
              <w:left w:val="single" w:sz="4" w:space="0" w:color="auto"/>
              <w:right w:val="single" w:sz="4" w:space="0" w:color="auto"/>
            </w:tcBorders>
            <w:vAlign w:val="center"/>
          </w:tcPr>
          <w:p w14:paraId="07A8C756" w14:textId="77777777" w:rsidR="00523F74" w:rsidRPr="0075788C" w:rsidRDefault="00523F74" w:rsidP="00FF43BC">
            <w:pPr>
              <w:widowControl/>
              <w:adjustRightInd w:val="0"/>
              <w:snapToGrid w:val="0"/>
              <w:spacing w:line="240" w:lineRule="exact"/>
              <w:jc w:val="left"/>
              <w:rPr>
                <w:rFonts w:asciiTheme="majorEastAsia" w:eastAsiaTheme="majorEastAsia" w:hAnsiTheme="majorEastAsia"/>
                <w:w w:val="50"/>
                <w:sz w:val="18"/>
                <w:szCs w:val="18"/>
              </w:rPr>
            </w:pPr>
          </w:p>
        </w:tc>
        <w:tc>
          <w:tcPr>
            <w:tcW w:w="1276" w:type="dxa"/>
            <w:tcBorders>
              <w:top w:val="single" w:sz="4" w:space="0" w:color="auto"/>
              <w:left w:val="single" w:sz="4" w:space="0" w:color="auto"/>
              <w:right w:val="single" w:sz="4" w:space="0" w:color="auto"/>
            </w:tcBorders>
            <w:vAlign w:val="center"/>
          </w:tcPr>
          <w:p w14:paraId="70F3F02D" w14:textId="77777777" w:rsidR="00523F74" w:rsidRPr="0075788C" w:rsidRDefault="00523F74" w:rsidP="00FF43BC">
            <w:pPr>
              <w:adjustRightInd w:val="0"/>
              <w:snapToGrid w:val="0"/>
              <w:spacing w:line="240" w:lineRule="exact"/>
              <w:jc w:val="left"/>
              <w:rPr>
                <w:rFonts w:asciiTheme="majorEastAsia" w:eastAsiaTheme="majorEastAsia" w:hAnsiTheme="majorEastAsia"/>
                <w:w w:val="50"/>
                <w:sz w:val="18"/>
                <w:szCs w:val="18"/>
              </w:rPr>
            </w:pPr>
            <w:r w:rsidRPr="0075788C">
              <w:rPr>
                <w:rFonts w:asciiTheme="majorEastAsia" w:eastAsiaTheme="majorEastAsia" w:hAnsiTheme="majorEastAsia" w:hint="eastAsia"/>
                <w:w w:val="50"/>
                <w:sz w:val="18"/>
                <w:szCs w:val="18"/>
              </w:rPr>
              <w:t>危機管理室(4～7名)</w:t>
            </w:r>
          </w:p>
        </w:tc>
        <w:tc>
          <w:tcPr>
            <w:tcW w:w="1276" w:type="dxa"/>
            <w:tcBorders>
              <w:top w:val="single" w:sz="4" w:space="0" w:color="auto"/>
              <w:left w:val="single" w:sz="4" w:space="0" w:color="auto"/>
              <w:right w:val="single" w:sz="4" w:space="0" w:color="auto"/>
            </w:tcBorders>
            <w:vAlign w:val="center"/>
          </w:tcPr>
          <w:p w14:paraId="5951E88E" w14:textId="77777777" w:rsidR="00523F74" w:rsidRPr="0075788C" w:rsidRDefault="00523F74" w:rsidP="00FF43BC">
            <w:pPr>
              <w:adjustRightInd w:val="0"/>
              <w:snapToGrid w:val="0"/>
              <w:spacing w:line="240" w:lineRule="exact"/>
              <w:jc w:val="center"/>
              <w:rPr>
                <w:rFonts w:asciiTheme="majorEastAsia" w:eastAsiaTheme="majorEastAsia" w:hAnsiTheme="majorEastAsia"/>
                <w:w w:val="50"/>
                <w:sz w:val="18"/>
                <w:szCs w:val="18"/>
              </w:rPr>
            </w:pPr>
            <w:r w:rsidRPr="0075788C">
              <w:rPr>
                <w:rFonts w:asciiTheme="majorEastAsia" w:eastAsiaTheme="majorEastAsia" w:hAnsiTheme="majorEastAsia" w:hint="eastAsia"/>
                <w:w w:val="50"/>
                <w:sz w:val="18"/>
                <w:szCs w:val="18"/>
              </w:rPr>
              <w:t>危機管理室(6～12名)</w:t>
            </w:r>
          </w:p>
        </w:tc>
        <w:tc>
          <w:tcPr>
            <w:tcW w:w="1417" w:type="dxa"/>
            <w:tcBorders>
              <w:top w:val="single" w:sz="4" w:space="0" w:color="auto"/>
              <w:left w:val="single" w:sz="4" w:space="0" w:color="auto"/>
              <w:right w:val="single" w:sz="4" w:space="0" w:color="auto"/>
            </w:tcBorders>
            <w:vAlign w:val="center"/>
          </w:tcPr>
          <w:p w14:paraId="36537351" w14:textId="77777777" w:rsidR="00523F74" w:rsidRPr="0075788C" w:rsidRDefault="00523F74" w:rsidP="00FF43BC">
            <w:pPr>
              <w:adjustRightInd w:val="0"/>
              <w:snapToGrid w:val="0"/>
              <w:spacing w:line="240" w:lineRule="exact"/>
              <w:jc w:val="center"/>
              <w:rPr>
                <w:rFonts w:asciiTheme="majorEastAsia" w:eastAsiaTheme="majorEastAsia" w:hAnsiTheme="majorEastAsia"/>
                <w:w w:val="50"/>
                <w:sz w:val="18"/>
                <w:szCs w:val="18"/>
              </w:rPr>
            </w:pPr>
            <w:r w:rsidRPr="0075788C">
              <w:rPr>
                <w:rFonts w:asciiTheme="majorEastAsia" w:eastAsiaTheme="majorEastAsia" w:hAnsiTheme="majorEastAsia" w:hint="eastAsia"/>
                <w:w w:val="50"/>
                <w:sz w:val="18"/>
                <w:szCs w:val="18"/>
              </w:rPr>
              <w:t>危機管理室(23名)</w:t>
            </w:r>
          </w:p>
        </w:tc>
      </w:tr>
      <w:tr w:rsidR="00523F74" w:rsidRPr="00E0548A" w14:paraId="49B04068" w14:textId="77777777" w:rsidTr="00FF43BC">
        <w:trPr>
          <w:cantSplit/>
          <w:trHeight w:val="496"/>
        </w:trPr>
        <w:tc>
          <w:tcPr>
            <w:tcW w:w="576" w:type="dxa"/>
            <w:vMerge w:val="restart"/>
            <w:tcBorders>
              <w:top w:val="single" w:sz="4" w:space="0" w:color="auto"/>
              <w:left w:val="single" w:sz="4" w:space="0" w:color="auto"/>
              <w:bottom w:val="single" w:sz="4" w:space="0" w:color="auto"/>
              <w:right w:val="single" w:sz="4" w:space="0" w:color="auto"/>
            </w:tcBorders>
            <w:textDirection w:val="tbRlV"/>
            <w:vAlign w:val="center"/>
            <w:hideMark/>
          </w:tcPr>
          <w:p w14:paraId="37C96606" w14:textId="77777777" w:rsidR="00523F74" w:rsidRPr="0075788C" w:rsidRDefault="00523F74" w:rsidP="00FF43BC">
            <w:pPr>
              <w:widowControl/>
              <w:adjustRightInd w:val="0"/>
              <w:snapToGrid w:val="0"/>
              <w:spacing w:line="240" w:lineRule="exact"/>
              <w:ind w:left="113" w:right="113"/>
              <w:jc w:val="center"/>
              <w:rPr>
                <w:rFonts w:asciiTheme="majorEastAsia" w:eastAsiaTheme="majorEastAsia" w:hAnsiTheme="majorEastAsia"/>
                <w:w w:val="50"/>
                <w:sz w:val="18"/>
                <w:szCs w:val="18"/>
              </w:rPr>
            </w:pPr>
            <w:r w:rsidRPr="0075788C">
              <w:rPr>
                <w:rFonts w:asciiTheme="majorEastAsia" w:eastAsiaTheme="majorEastAsia" w:hAnsiTheme="majorEastAsia" w:hint="eastAsia"/>
                <w:kern w:val="0"/>
                <w:sz w:val="18"/>
                <w:szCs w:val="18"/>
              </w:rPr>
              <w:lastRenderedPageBreak/>
              <w:t>対策班</w:t>
            </w:r>
          </w:p>
        </w:tc>
        <w:tc>
          <w:tcPr>
            <w:tcW w:w="4669" w:type="dxa"/>
            <w:vMerge w:val="restart"/>
            <w:tcBorders>
              <w:top w:val="single" w:sz="4" w:space="0" w:color="auto"/>
              <w:left w:val="single" w:sz="4" w:space="0" w:color="auto"/>
              <w:right w:val="single" w:sz="4" w:space="0" w:color="auto"/>
            </w:tcBorders>
            <w:vAlign w:val="center"/>
          </w:tcPr>
          <w:p w14:paraId="445BCD7F" w14:textId="77777777" w:rsidR="00523F74" w:rsidRPr="0075788C" w:rsidRDefault="00523F74" w:rsidP="00FF43BC">
            <w:pPr>
              <w:adjustRightInd w:val="0"/>
              <w:snapToGrid w:val="0"/>
              <w:spacing w:line="240" w:lineRule="exact"/>
              <w:jc w:val="left"/>
              <w:rPr>
                <w:rFonts w:asciiTheme="majorEastAsia" w:eastAsiaTheme="majorEastAsia" w:hAnsiTheme="majorEastAsia"/>
                <w:w w:val="50"/>
                <w:sz w:val="18"/>
                <w:szCs w:val="18"/>
              </w:rPr>
            </w:pPr>
            <w:r w:rsidRPr="0075788C">
              <w:rPr>
                <w:rFonts w:asciiTheme="majorEastAsia" w:eastAsiaTheme="majorEastAsia" w:hAnsiTheme="majorEastAsia" w:hint="eastAsia"/>
                <w:w w:val="50"/>
                <w:sz w:val="18"/>
                <w:szCs w:val="18"/>
              </w:rPr>
              <w:t>■防災関係機関との調整</w:t>
            </w:r>
          </w:p>
          <w:p w14:paraId="10E74866" w14:textId="77777777" w:rsidR="00523F74" w:rsidRPr="0075788C" w:rsidRDefault="00523F74" w:rsidP="00FF43BC">
            <w:pPr>
              <w:adjustRightInd w:val="0"/>
              <w:snapToGrid w:val="0"/>
              <w:spacing w:line="240" w:lineRule="exact"/>
              <w:jc w:val="left"/>
              <w:rPr>
                <w:rFonts w:asciiTheme="majorEastAsia" w:eastAsiaTheme="majorEastAsia" w:hAnsiTheme="majorEastAsia"/>
                <w:w w:val="50"/>
                <w:sz w:val="18"/>
                <w:szCs w:val="18"/>
              </w:rPr>
            </w:pPr>
            <w:r w:rsidRPr="0075788C">
              <w:rPr>
                <w:rFonts w:asciiTheme="majorEastAsia" w:eastAsiaTheme="majorEastAsia" w:hAnsiTheme="majorEastAsia" w:hint="eastAsia"/>
                <w:w w:val="50"/>
                <w:sz w:val="18"/>
                <w:szCs w:val="18"/>
              </w:rPr>
              <w:t>・後方支援活動拠点の被害状況（部隊受入れ可否）</w:t>
            </w:r>
          </w:p>
          <w:p w14:paraId="13D11A91" w14:textId="77777777" w:rsidR="00523F74" w:rsidRPr="0075788C" w:rsidRDefault="00523F74" w:rsidP="00FF43BC">
            <w:pPr>
              <w:adjustRightInd w:val="0"/>
              <w:snapToGrid w:val="0"/>
              <w:spacing w:line="240" w:lineRule="exact"/>
              <w:jc w:val="left"/>
              <w:rPr>
                <w:rFonts w:asciiTheme="majorEastAsia" w:eastAsiaTheme="majorEastAsia" w:hAnsiTheme="majorEastAsia"/>
                <w:w w:val="50"/>
                <w:sz w:val="18"/>
                <w:szCs w:val="18"/>
              </w:rPr>
            </w:pPr>
            <w:r w:rsidRPr="0075788C">
              <w:rPr>
                <w:rFonts w:asciiTheme="majorEastAsia" w:eastAsiaTheme="majorEastAsia" w:hAnsiTheme="majorEastAsia" w:hint="eastAsia"/>
                <w:w w:val="50"/>
                <w:sz w:val="18"/>
                <w:szCs w:val="18"/>
              </w:rPr>
              <w:t>・災害派遣要請（自衛隊、緊急消防援助隊）</w:t>
            </w:r>
          </w:p>
          <w:p w14:paraId="57F4F847" w14:textId="77777777" w:rsidR="00523F74" w:rsidRPr="0075788C" w:rsidRDefault="00523F74" w:rsidP="00FF43BC">
            <w:pPr>
              <w:adjustRightInd w:val="0"/>
              <w:snapToGrid w:val="0"/>
              <w:spacing w:line="240" w:lineRule="exact"/>
              <w:jc w:val="left"/>
              <w:rPr>
                <w:rFonts w:asciiTheme="majorEastAsia" w:eastAsiaTheme="majorEastAsia" w:hAnsiTheme="majorEastAsia"/>
                <w:w w:val="50"/>
                <w:sz w:val="18"/>
                <w:szCs w:val="18"/>
              </w:rPr>
            </w:pPr>
            <w:r w:rsidRPr="0075788C">
              <w:rPr>
                <w:rFonts w:asciiTheme="majorEastAsia" w:eastAsiaTheme="majorEastAsia" w:hAnsiTheme="majorEastAsia" w:hint="eastAsia"/>
                <w:w w:val="50"/>
                <w:sz w:val="18"/>
                <w:szCs w:val="18"/>
              </w:rPr>
              <w:t>・防災関係機関との連絡調整</w:t>
            </w:r>
          </w:p>
          <w:p w14:paraId="6BE5A032" w14:textId="77777777" w:rsidR="00523F74" w:rsidRPr="0075788C" w:rsidRDefault="00523F74" w:rsidP="00FF43BC">
            <w:pPr>
              <w:adjustRightInd w:val="0"/>
              <w:snapToGrid w:val="0"/>
              <w:spacing w:line="240" w:lineRule="exact"/>
              <w:jc w:val="left"/>
              <w:rPr>
                <w:rFonts w:asciiTheme="majorEastAsia" w:eastAsiaTheme="majorEastAsia" w:hAnsiTheme="majorEastAsia"/>
                <w:w w:val="50"/>
                <w:sz w:val="18"/>
                <w:szCs w:val="18"/>
              </w:rPr>
            </w:pPr>
            <w:r w:rsidRPr="0075788C">
              <w:rPr>
                <w:rFonts w:asciiTheme="majorEastAsia" w:eastAsiaTheme="majorEastAsia" w:hAnsiTheme="majorEastAsia" w:hint="eastAsia"/>
                <w:w w:val="50"/>
                <w:sz w:val="18"/>
                <w:szCs w:val="18"/>
              </w:rPr>
              <w:t>（広域防災連絡会議、航空運用調整など）</w:t>
            </w:r>
          </w:p>
          <w:p w14:paraId="633F8749" w14:textId="77777777" w:rsidR="00523F74" w:rsidRPr="0075788C" w:rsidRDefault="00523F74" w:rsidP="00FF43BC">
            <w:pPr>
              <w:adjustRightInd w:val="0"/>
              <w:snapToGrid w:val="0"/>
              <w:spacing w:line="240" w:lineRule="exact"/>
              <w:jc w:val="left"/>
              <w:rPr>
                <w:rFonts w:asciiTheme="majorEastAsia" w:eastAsiaTheme="majorEastAsia" w:hAnsiTheme="majorEastAsia"/>
                <w:w w:val="50"/>
                <w:sz w:val="18"/>
                <w:szCs w:val="18"/>
              </w:rPr>
            </w:pPr>
            <w:r w:rsidRPr="0075788C">
              <w:rPr>
                <w:rFonts w:asciiTheme="majorEastAsia" w:eastAsiaTheme="majorEastAsia" w:hAnsiTheme="majorEastAsia" w:hint="eastAsia"/>
                <w:w w:val="50"/>
                <w:sz w:val="18"/>
                <w:szCs w:val="18"/>
              </w:rPr>
              <w:t>・支援活動側のニーズ掌握</w:t>
            </w:r>
          </w:p>
          <w:p w14:paraId="1735F5BB" w14:textId="77777777" w:rsidR="00523F74" w:rsidRPr="0075788C" w:rsidRDefault="00523F74" w:rsidP="00FF43BC">
            <w:pPr>
              <w:adjustRightInd w:val="0"/>
              <w:snapToGrid w:val="0"/>
              <w:spacing w:line="240" w:lineRule="exact"/>
              <w:jc w:val="left"/>
              <w:rPr>
                <w:rFonts w:asciiTheme="majorEastAsia" w:eastAsiaTheme="majorEastAsia" w:hAnsiTheme="majorEastAsia"/>
                <w:w w:val="50"/>
                <w:sz w:val="18"/>
                <w:szCs w:val="18"/>
              </w:rPr>
            </w:pPr>
          </w:p>
          <w:p w14:paraId="0C20C43A" w14:textId="77777777" w:rsidR="00523F74" w:rsidRPr="0075788C" w:rsidRDefault="00523F74" w:rsidP="00FF43BC">
            <w:pPr>
              <w:adjustRightInd w:val="0"/>
              <w:snapToGrid w:val="0"/>
              <w:spacing w:line="240" w:lineRule="exact"/>
              <w:jc w:val="left"/>
              <w:rPr>
                <w:rFonts w:asciiTheme="majorEastAsia" w:eastAsiaTheme="majorEastAsia" w:hAnsiTheme="majorEastAsia"/>
                <w:w w:val="50"/>
                <w:sz w:val="18"/>
                <w:szCs w:val="18"/>
              </w:rPr>
            </w:pPr>
            <w:r w:rsidRPr="0075788C">
              <w:rPr>
                <w:rFonts w:asciiTheme="majorEastAsia" w:eastAsiaTheme="majorEastAsia" w:hAnsiTheme="majorEastAsia" w:hint="eastAsia"/>
                <w:w w:val="50"/>
                <w:sz w:val="18"/>
                <w:szCs w:val="18"/>
              </w:rPr>
              <w:t>■広域防災拠点の対応</w:t>
            </w:r>
          </w:p>
          <w:p w14:paraId="6014AEE0" w14:textId="77777777" w:rsidR="00523F74" w:rsidRPr="0075788C" w:rsidRDefault="00523F74" w:rsidP="00FF43BC">
            <w:pPr>
              <w:adjustRightInd w:val="0"/>
              <w:snapToGrid w:val="0"/>
              <w:spacing w:line="240" w:lineRule="exact"/>
              <w:jc w:val="left"/>
              <w:rPr>
                <w:rFonts w:asciiTheme="majorEastAsia" w:eastAsiaTheme="majorEastAsia" w:hAnsiTheme="majorEastAsia"/>
                <w:w w:val="50"/>
                <w:sz w:val="18"/>
                <w:szCs w:val="18"/>
              </w:rPr>
            </w:pPr>
            <w:r w:rsidRPr="0075788C">
              <w:rPr>
                <w:rFonts w:asciiTheme="majorEastAsia" w:eastAsiaTheme="majorEastAsia" w:hAnsiTheme="majorEastAsia" w:hint="eastAsia"/>
                <w:w w:val="50"/>
                <w:sz w:val="18"/>
                <w:szCs w:val="18"/>
              </w:rPr>
              <w:t>・拠点の被害状況の確認（施設、アクセス道路）</w:t>
            </w:r>
          </w:p>
          <w:p w14:paraId="14859DFF" w14:textId="77777777" w:rsidR="00523F74" w:rsidRPr="0075788C" w:rsidRDefault="00523F74" w:rsidP="00FF43BC">
            <w:pPr>
              <w:adjustRightInd w:val="0"/>
              <w:snapToGrid w:val="0"/>
              <w:spacing w:line="240" w:lineRule="exact"/>
              <w:jc w:val="left"/>
              <w:rPr>
                <w:rFonts w:asciiTheme="majorEastAsia" w:eastAsiaTheme="majorEastAsia" w:hAnsiTheme="majorEastAsia"/>
                <w:w w:val="50"/>
                <w:sz w:val="18"/>
                <w:szCs w:val="18"/>
              </w:rPr>
            </w:pPr>
            <w:r w:rsidRPr="0075788C">
              <w:rPr>
                <w:rFonts w:asciiTheme="majorEastAsia" w:eastAsiaTheme="majorEastAsia" w:hAnsiTheme="majorEastAsia" w:hint="eastAsia"/>
                <w:w w:val="50"/>
                <w:sz w:val="18"/>
                <w:szCs w:val="18"/>
              </w:rPr>
              <w:t>・緊急防災推進員への連絡指示</w:t>
            </w:r>
          </w:p>
          <w:p w14:paraId="650AF236" w14:textId="77777777" w:rsidR="00523F74" w:rsidRPr="0075788C" w:rsidRDefault="00523F74" w:rsidP="00FF43BC">
            <w:pPr>
              <w:adjustRightInd w:val="0"/>
              <w:snapToGrid w:val="0"/>
              <w:spacing w:line="240" w:lineRule="exact"/>
              <w:jc w:val="left"/>
              <w:rPr>
                <w:rFonts w:asciiTheme="majorEastAsia" w:eastAsiaTheme="majorEastAsia" w:hAnsiTheme="majorEastAsia"/>
                <w:w w:val="50"/>
                <w:sz w:val="18"/>
                <w:szCs w:val="18"/>
              </w:rPr>
            </w:pPr>
            <w:r w:rsidRPr="0075788C">
              <w:rPr>
                <w:rFonts w:asciiTheme="majorEastAsia" w:eastAsiaTheme="majorEastAsia" w:hAnsiTheme="majorEastAsia" w:hint="eastAsia"/>
                <w:w w:val="50"/>
                <w:sz w:val="18"/>
                <w:szCs w:val="18"/>
              </w:rPr>
              <w:t>・備蓄物資等の搬出対応、出在庫管理</w:t>
            </w:r>
          </w:p>
          <w:p w14:paraId="6FFAF2C2" w14:textId="77777777" w:rsidR="00523F74" w:rsidRPr="0075788C" w:rsidRDefault="00523F74" w:rsidP="00FF43BC">
            <w:pPr>
              <w:adjustRightInd w:val="0"/>
              <w:snapToGrid w:val="0"/>
              <w:spacing w:line="240" w:lineRule="exact"/>
              <w:jc w:val="left"/>
              <w:rPr>
                <w:rFonts w:asciiTheme="majorEastAsia" w:eastAsiaTheme="majorEastAsia" w:hAnsiTheme="majorEastAsia"/>
                <w:w w:val="50"/>
                <w:sz w:val="18"/>
                <w:szCs w:val="18"/>
              </w:rPr>
            </w:pPr>
          </w:p>
          <w:p w14:paraId="093FE0F6" w14:textId="77777777" w:rsidR="00523F74" w:rsidRPr="0075788C" w:rsidRDefault="00523F74" w:rsidP="00FF43BC">
            <w:pPr>
              <w:adjustRightInd w:val="0"/>
              <w:snapToGrid w:val="0"/>
              <w:spacing w:line="240" w:lineRule="exact"/>
              <w:jc w:val="left"/>
              <w:rPr>
                <w:rFonts w:asciiTheme="majorEastAsia" w:eastAsiaTheme="majorEastAsia" w:hAnsiTheme="majorEastAsia"/>
                <w:w w:val="50"/>
                <w:sz w:val="18"/>
                <w:szCs w:val="18"/>
              </w:rPr>
            </w:pPr>
            <w:r w:rsidRPr="0075788C">
              <w:rPr>
                <w:rFonts w:asciiTheme="majorEastAsia" w:eastAsiaTheme="majorEastAsia" w:hAnsiTheme="majorEastAsia" w:hint="eastAsia"/>
                <w:w w:val="50"/>
                <w:sz w:val="18"/>
                <w:szCs w:val="18"/>
              </w:rPr>
              <w:t>■応急対応（緊急物資等）の対応</w:t>
            </w:r>
          </w:p>
          <w:p w14:paraId="72A5E0CE" w14:textId="77777777" w:rsidR="00523F74" w:rsidRPr="0075788C" w:rsidRDefault="00523F74" w:rsidP="00FF43BC">
            <w:pPr>
              <w:adjustRightInd w:val="0"/>
              <w:snapToGrid w:val="0"/>
              <w:spacing w:line="240" w:lineRule="exact"/>
              <w:jc w:val="left"/>
              <w:rPr>
                <w:rFonts w:asciiTheme="majorEastAsia" w:eastAsiaTheme="majorEastAsia" w:hAnsiTheme="majorEastAsia"/>
                <w:w w:val="50"/>
                <w:sz w:val="18"/>
                <w:szCs w:val="18"/>
              </w:rPr>
            </w:pPr>
            <w:r w:rsidRPr="0075788C">
              <w:rPr>
                <w:rFonts w:asciiTheme="majorEastAsia" w:eastAsiaTheme="majorEastAsia" w:hAnsiTheme="majorEastAsia" w:hint="eastAsia"/>
                <w:w w:val="50"/>
                <w:sz w:val="18"/>
                <w:szCs w:val="18"/>
              </w:rPr>
              <w:t>・緊急通行車両証の発行手続き</w:t>
            </w:r>
          </w:p>
          <w:p w14:paraId="60AE3BD1" w14:textId="77777777" w:rsidR="00523F74" w:rsidRPr="0075788C" w:rsidRDefault="00523F74" w:rsidP="00FF43BC">
            <w:pPr>
              <w:adjustRightInd w:val="0"/>
              <w:snapToGrid w:val="0"/>
              <w:spacing w:line="240" w:lineRule="exact"/>
              <w:jc w:val="left"/>
              <w:rPr>
                <w:rFonts w:asciiTheme="majorEastAsia" w:eastAsiaTheme="majorEastAsia" w:hAnsiTheme="majorEastAsia"/>
                <w:w w:val="50"/>
                <w:sz w:val="18"/>
                <w:szCs w:val="18"/>
              </w:rPr>
            </w:pPr>
            <w:r w:rsidRPr="0075788C">
              <w:rPr>
                <w:rFonts w:asciiTheme="majorEastAsia" w:eastAsiaTheme="majorEastAsia" w:hAnsiTheme="majorEastAsia" w:hint="eastAsia"/>
                <w:w w:val="50"/>
                <w:sz w:val="18"/>
                <w:szCs w:val="18"/>
              </w:rPr>
              <w:t>・協定締結先との応援要請</w:t>
            </w:r>
          </w:p>
          <w:p w14:paraId="173999DE" w14:textId="77777777" w:rsidR="00523F74" w:rsidRPr="0075788C" w:rsidRDefault="00523F74" w:rsidP="00FF43BC">
            <w:pPr>
              <w:adjustRightInd w:val="0"/>
              <w:snapToGrid w:val="0"/>
              <w:spacing w:line="240" w:lineRule="exact"/>
              <w:jc w:val="left"/>
              <w:rPr>
                <w:rFonts w:asciiTheme="majorEastAsia" w:eastAsiaTheme="majorEastAsia" w:hAnsiTheme="majorEastAsia"/>
                <w:w w:val="50"/>
                <w:sz w:val="18"/>
                <w:szCs w:val="18"/>
              </w:rPr>
            </w:pPr>
            <w:r w:rsidRPr="0075788C">
              <w:rPr>
                <w:rFonts w:asciiTheme="majorEastAsia" w:eastAsiaTheme="majorEastAsia" w:hAnsiTheme="majorEastAsia" w:hint="eastAsia"/>
                <w:w w:val="50"/>
                <w:sz w:val="18"/>
                <w:szCs w:val="18"/>
              </w:rPr>
              <w:t>・被災市町村の物資ニーズ掌握、物資支援対応</w:t>
            </w:r>
          </w:p>
          <w:p w14:paraId="17D0A46E" w14:textId="77777777" w:rsidR="00523F74" w:rsidRPr="0075788C" w:rsidRDefault="00523F74" w:rsidP="00FF43BC">
            <w:pPr>
              <w:adjustRightInd w:val="0"/>
              <w:snapToGrid w:val="0"/>
              <w:spacing w:line="240" w:lineRule="exact"/>
              <w:jc w:val="left"/>
              <w:rPr>
                <w:rFonts w:asciiTheme="majorEastAsia" w:eastAsiaTheme="majorEastAsia" w:hAnsiTheme="majorEastAsia"/>
                <w:w w:val="50"/>
                <w:sz w:val="18"/>
                <w:szCs w:val="18"/>
              </w:rPr>
            </w:pPr>
          </w:p>
          <w:p w14:paraId="3A40CE14" w14:textId="77777777" w:rsidR="00523F74" w:rsidRPr="0075788C" w:rsidRDefault="00523F74" w:rsidP="00FF43BC">
            <w:pPr>
              <w:adjustRightInd w:val="0"/>
              <w:snapToGrid w:val="0"/>
              <w:spacing w:line="240" w:lineRule="exact"/>
              <w:jc w:val="left"/>
              <w:rPr>
                <w:rFonts w:asciiTheme="majorEastAsia" w:eastAsiaTheme="majorEastAsia" w:hAnsiTheme="majorEastAsia"/>
                <w:w w:val="50"/>
                <w:sz w:val="18"/>
                <w:szCs w:val="18"/>
              </w:rPr>
            </w:pPr>
            <w:r w:rsidRPr="0075788C">
              <w:rPr>
                <w:rFonts w:asciiTheme="majorEastAsia" w:eastAsiaTheme="majorEastAsia" w:hAnsiTheme="majorEastAsia" w:hint="eastAsia"/>
                <w:w w:val="50"/>
                <w:sz w:val="18"/>
                <w:szCs w:val="18"/>
              </w:rPr>
              <w:t>■被災者支援の対応</w:t>
            </w:r>
          </w:p>
          <w:p w14:paraId="632E9EFE" w14:textId="77777777" w:rsidR="00523F74" w:rsidRPr="0075788C" w:rsidRDefault="00523F74" w:rsidP="00FF43BC">
            <w:pPr>
              <w:adjustRightInd w:val="0"/>
              <w:snapToGrid w:val="0"/>
              <w:spacing w:line="240" w:lineRule="exact"/>
              <w:jc w:val="left"/>
              <w:rPr>
                <w:rFonts w:asciiTheme="majorEastAsia" w:eastAsiaTheme="majorEastAsia" w:hAnsiTheme="majorEastAsia"/>
                <w:w w:val="50"/>
                <w:sz w:val="18"/>
                <w:szCs w:val="18"/>
              </w:rPr>
            </w:pPr>
            <w:r w:rsidRPr="0075788C">
              <w:rPr>
                <w:rFonts w:asciiTheme="majorEastAsia" w:eastAsiaTheme="majorEastAsia" w:hAnsiTheme="majorEastAsia" w:hint="eastAsia"/>
                <w:w w:val="50"/>
                <w:sz w:val="18"/>
                <w:szCs w:val="18"/>
              </w:rPr>
              <w:t>・災害救助法適用に係る調整（内閣府、被災市町村）</w:t>
            </w:r>
          </w:p>
          <w:p w14:paraId="0E966C4A" w14:textId="77777777" w:rsidR="00523F74" w:rsidRPr="0075788C" w:rsidRDefault="00523F74" w:rsidP="00FF43BC">
            <w:pPr>
              <w:adjustRightInd w:val="0"/>
              <w:snapToGrid w:val="0"/>
              <w:spacing w:line="240" w:lineRule="exact"/>
              <w:jc w:val="left"/>
              <w:rPr>
                <w:rFonts w:asciiTheme="majorEastAsia" w:eastAsiaTheme="majorEastAsia" w:hAnsiTheme="majorEastAsia"/>
                <w:w w:val="50"/>
                <w:sz w:val="18"/>
                <w:szCs w:val="18"/>
              </w:rPr>
            </w:pPr>
            <w:r w:rsidRPr="0075788C">
              <w:rPr>
                <w:rFonts w:asciiTheme="majorEastAsia" w:eastAsiaTheme="majorEastAsia" w:hAnsiTheme="majorEastAsia" w:hint="eastAsia"/>
                <w:w w:val="50"/>
                <w:sz w:val="18"/>
                <w:szCs w:val="18"/>
              </w:rPr>
              <w:t>・府社会協との調整（災害ボランティアセンター開設）</w:t>
            </w:r>
          </w:p>
        </w:tc>
        <w:tc>
          <w:tcPr>
            <w:tcW w:w="3969" w:type="dxa"/>
            <w:gridSpan w:val="3"/>
            <w:tcBorders>
              <w:top w:val="single" w:sz="4" w:space="0" w:color="auto"/>
              <w:left w:val="single" w:sz="4" w:space="0" w:color="auto"/>
              <w:right w:val="single" w:sz="4" w:space="0" w:color="auto"/>
            </w:tcBorders>
            <w:vAlign w:val="center"/>
          </w:tcPr>
          <w:p w14:paraId="3BC50995" w14:textId="77777777" w:rsidR="00523F74" w:rsidRPr="0075788C" w:rsidRDefault="00523F74" w:rsidP="00FF43BC">
            <w:pPr>
              <w:adjustRightInd w:val="0"/>
              <w:snapToGrid w:val="0"/>
              <w:spacing w:line="240" w:lineRule="exact"/>
              <w:jc w:val="left"/>
              <w:rPr>
                <w:rFonts w:asciiTheme="majorEastAsia" w:eastAsiaTheme="majorEastAsia" w:hAnsiTheme="majorEastAsia"/>
                <w:w w:val="50"/>
                <w:sz w:val="18"/>
                <w:szCs w:val="18"/>
              </w:rPr>
            </w:pPr>
            <w:r w:rsidRPr="0075788C">
              <w:rPr>
                <w:rFonts w:asciiTheme="majorEastAsia" w:eastAsiaTheme="majorEastAsia" w:hAnsiTheme="majorEastAsia" w:hint="eastAsia"/>
                <w:w w:val="50"/>
                <w:sz w:val="18"/>
                <w:szCs w:val="18"/>
              </w:rPr>
              <w:t>班長：災害対策課長　　副班長：災害対策課参事(1名</w:t>
            </w:r>
            <w:r w:rsidRPr="0075788C">
              <w:rPr>
                <w:rFonts w:asciiTheme="majorEastAsia" w:eastAsiaTheme="majorEastAsia" w:hAnsiTheme="majorEastAsia"/>
                <w:w w:val="50"/>
                <w:sz w:val="18"/>
                <w:szCs w:val="18"/>
              </w:rPr>
              <w:t>)</w:t>
            </w:r>
          </w:p>
          <w:p w14:paraId="110D6389" w14:textId="77777777" w:rsidR="00523F74" w:rsidRPr="0075788C" w:rsidRDefault="00523F74" w:rsidP="00FF43BC">
            <w:pPr>
              <w:adjustRightInd w:val="0"/>
              <w:snapToGrid w:val="0"/>
              <w:spacing w:line="240" w:lineRule="exact"/>
              <w:jc w:val="left"/>
              <w:rPr>
                <w:rFonts w:asciiTheme="majorEastAsia" w:eastAsiaTheme="majorEastAsia" w:hAnsiTheme="majorEastAsia"/>
                <w:w w:val="50"/>
                <w:sz w:val="18"/>
                <w:szCs w:val="18"/>
              </w:rPr>
            </w:pPr>
            <w:r w:rsidRPr="0075788C">
              <w:rPr>
                <w:rFonts w:asciiTheme="majorEastAsia" w:eastAsiaTheme="majorEastAsia" w:hAnsiTheme="majorEastAsia" w:hint="eastAsia"/>
                <w:w w:val="50"/>
                <w:sz w:val="18"/>
                <w:szCs w:val="18"/>
              </w:rPr>
              <w:t>班長補佐：災害対策G長</w:t>
            </w:r>
          </w:p>
        </w:tc>
      </w:tr>
      <w:tr w:rsidR="00523F74" w:rsidRPr="00E0548A" w14:paraId="33E7FD97" w14:textId="77777777" w:rsidTr="00FF43BC">
        <w:trPr>
          <w:cantSplit/>
          <w:trHeight w:val="3154"/>
        </w:trPr>
        <w:tc>
          <w:tcPr>
            <w:tcW w:w="576" w:type="dxa"/>
            <w:vMerge/>
            <w:tcBorders>
              <w:top w:val="single" w:sz="4" w:space="0" w:color="auto"/>
              <w:left w:val="single" w:sz="4" w:space="0" w:color="auto"/>
              <w:bottom w:val="single" w:sz="4" w:space="0" w:color="auto"/>
              <w:right w:val="single" w:sz="4" w:space="0" w:color="auto"/>
            </w:tcBorders>
            <w:vAlign w:val="center"/>
            <w:hideMark/>
          </w:tcPr>
          <w:p w14:paraId="09A3B41F" w14:textId="77777777" w:rsidR="00523F74" w:rsidRPr="0075788C" w:rsidRDefault="00523F74" w:rsidP="00FF43BC">
            <w:pPr>
              <w:widowControl/>
              <w:adjustRightInd w:val="0"/>
              <w:snapToGrid w:val="0"/>
              <w:spacing w:line="240" w:lineRule="exact"/>
              <w:jc w:val="left"/>
              <w:rPr>
                <w:rFonts w:asciiTheme="majorEastAsia" w:eastAsiaTheme="majorEastAsia" w:hAnsiTheme="majorEastAsia"/>
                <w:w w:val="50"/>
                <w:sz w:val="18"/>
                <w:szCs w:val="18"/>
              </w:rPr>
            </w:pPr>
          </w:p>
        </w:tc>
        <w:tc>
          <w:tcPr>
            <w:tcW w:w="4669" w:type="dxa"/>
            <w:vMerge/>
            <w:tcBorders>
              <w:left w:val="single" w:sz="4" w:space="0" w:color="auto"/>
              <w:right w:val="single" w:sz="4" w:space="0" w:color="auto"/>
            </w:tcBorders>
            <w:vAlign w:val="center"/>
          </w:tcPr>
          <w:p w14:paraId="6841B0AC" w14:textId="77777777" w:rsidR="00523F74" w:rsidRPr="0075788C" w:rsidRDefault="00523F74" w:rsidP="00FF43BC">
            <w:pPr>
              <w:widowControl/>
              <w:adjustRightInd w:val="0"/>
              <w:snapToGrid w:val="0"/>
              <w:spacing w:line="240" w:lineRule="exact"/>
              <w:jc w:val="left"/>
              <w:rPr>
                <w:rFonts w:asciiTheme="majorEastAsia" w:eastAsiaTheme="majorEastAsia" w:hAnsiTheme="majorEastAsia"/>
                <w:w w:val="50"/>
                <w:sz w:val="18"/>
                <w:szCs w:val="18"/>
              </w:rPr>
            </w:pPr>
          </w:p>
        </w:tc>
        <w:tc>
          <w:tcPr>
            <w:tcW w:w="1276" w:type="dxa"/>
            <w:tcBorders>
              <w:top w:val="single" w:sz="4" w:space="0" w:color="auto"/>
              <w:left w:val="single" w:sz="4" w:space="0" w:color="auto"/>
              <w:right w:val="single" w:sz="4" w:space="0" w:color="auto"/>
            </w:tcBorders>
            <w:vAlign w:val="center"/>
          </w:tcPr>
          <w:p w14:paraId="3B23A527" w14:textId="77777777" w:rsidR="00523F74" w:rsidRPr="0075788C" w:rsidRDefault="00523F74" w:rsidP="00FF43BC">
            <w:pPr>
              <w:adjustRightInd w:val="0"/>
              <w:snapToGrid w:val="0"/>
              <w:spacing w:line="240" w:lineRule="exact"/>
              <w:jc w:val="center"/>
              <w:rPr>
                <w:rFonts w:asciiTheme="majorEastAsia" w:eastAsiaTheme="majorEastAsia" w:hAnsiTheme="majorEastAsia"/>
                <w:w w:val="50"/>
                <w:sz w:val="18"/>
                <w:szCs w:val="18"/>
              </w:rPr>
            </w:pPr>
            <w:r w:rsidRPr="0075788C">
              <w:rPr>
                <w:rFonts w:asciiTheme="majorEastAsia" w:eastAsiaTheme="majorEastAsia" w:hAnsiTheme="majorEastAsia" w:hint="eastAsia"/>
                <w:w w:val="50"/>
                <w:sz w:val="18"/>
                <w:szCs w:val="18"/>
              </w:rPr>
              <w:t>危機管理室(3～5名)</w:t>
            </w:r>
          </w:p>
        </w:tc>
        <w:tc>
          <w:tcPr>
            <w:tcW w:w="1276" w:type="dxa"/>
            <w:tcBorders>
              <w:top w:val="single" w:sz="4" w:space="0" w:color="auto"/>
              <w:left w:val="single" w:sz="4" w:space="0" w:color="auto"/>
              <w:right w:val="single" w:sz="4" w:space="0" w:color="auto"/>
            </w:tcBorders>
            <w:vAlign w:val="center"/>
          </w:tcPr>
          <w:p w14:paraId="6183ADDF" w14:textId="77777777" w:rsidR="00523F74" w:rsidRPr="0075788C" w:rsidRDefault="00523F74" w:rsidP="00FF43BC">
            <w:pPr>
              <w:adjustRightInd w:val="0"/>
              <w:snapToGrid w:val="0"/>
              <w:spacing w:line="240" w:lineRule="exact"/>
              <w:jc w:val="center"/>
              <w:rPr>
                <w:rFonts w:asciiTheme="majorEastAsia" w:eastAsiaTheme="majorEastAsia" w:hAnsiTheme="majorEastAsia"/>
                <w:w w:val="50"/>
                <w:sz w:val="18"/>
                <w:szCs w:val="18"/>
              </w:rPr>
            </w:pPr>
            <w:r w:rsidRPr="0075788C">
              <w:rPr>
                <w:rFonts w:asciiTheme="majorEastAsia" w:eastAsiaTheme="majorEastAsia" w:hAnsiTheme="majorEastAsia" w:hint="eastAsia"/>
                <w:w w:val="50"/>
                <w:sz w:val="18"/>
                <w:szCs w:val="18"/>
              </w:rPr>
              <w:t>危機管理室(5～10名)</w:t>
            </w:r>
          </w:p>
        </w:tc>
        <w:tc>
          <w:tcPr>
            <w:tcW w:w="1417" w:type="dxa"/>
            <w:tcBorders>
              <w:top w:val="single" w:sz="4" w:space="0" w:color="auto"/>
              <w:left w:val="single" w:sz="4" w:space="0" w:color="auto"/>
              <w:right w:val="single" w:sz="4" w:space="0" w:color="auto"/>
            </w:tcBorders>
            <w:vAlign w:val="center"/>
          </w:tcPr>
          <w:p w14:paraId="13B222A6" w14:textId="77777777" w:rsidR="00523F74" w:rsidRPr="0075788C" w:rsidRDefault="00523F74" w:rsidP="00FF43BC">
            <w:pPr>
              <w:adjustRightInd w:val="0"/>
              <w:snapToGrid w:val="0"/>
              <w:spacing w:line="240" w:lineRule="exact"/>
              <w:jc w:val="center"/>
              <w:rPr>
                <w:rFonts w:asciiTheme="majorEastAsia" w:eastAsiaTheme="majorEastAsia" w:hAnsiTheme="majorEastAsia"/>
                <w:w w:val="50"/>
                <w:sz w:val="18"/>
                <w:szCs w:val="18"/>
              </w:rPr>
            </w:pPr>
            <w:r w:rsidRPr="0075788C">
              <w:rPr>
                <w:rFonts w:asciiTheme="majorEastAsia" w:eastAsiaTheme="majorEastAsia" w:hAnsiTheme="majorEastAsia" w:hint="eastAsia"/>
                <w:w w:val="50"/>
                <w:sz w:val="18"/>
                <w:szCs w:val="18"/>
              </w:rPr>
              <w:t>危機管理室(26名)</w:t>
            </w:r>
          </w:p>
        </w:tc>
      </w:tr>
      <w:tr w:rsidR="00523F74" w:rsidRPr="00E0548A" w14:paraId="5F4DB7CB" w14:textId="77777777" w:rsidTr="00FF43BC">
        <w:trPr>
          <w:cantSplit/>
          <w:trHeight w:val="526"/>
        </w:trPr>
        <w:tc>
          <w:tcPr>
            <w:tcW w:w="576" w:type="dxa"/>
            <w:vMerge/>
            <w:tcBorders>
              <w:top w:val="single" w:sz="4" w:space="0" w:color="auto"/>
              <w:left w:val="single" w:sz="4" w:space="0" w:color="auto"/>
              <w:bottom w:val="single" w:sz="4" w:space="0" w:color="auto"/>
              <w:right w:val="single" w:sz="4" w:space="0" w:color="auto"/>
            </w:tcBorders>
            <w:vAlign w:val="center"/>
            <w:hideMark/>
          </w:tcPr>
          <w:p w14:paraId="65F8680A" w14:textId="77777777" w:rsidR="00523F74" w:rsidRPr="0075788C" w:rsidRDefault="00523F74" w:rsidP="00FF43BC">
            <w:pPr>
              <w:widowControl/>
              <w:adjustRightInd w:val="0"/>
              <w:snapToGrid w:val="0"/>
              <w:spacing w:line="240" w:lineRule="exact"/>
              <w:jc w:val="left"/>
              <w:rPr>
                <w:rFonts w:asciiTheme="majorEastAsia" w:eastAsiaTheme="majorEastAsia" w:hAnsiTheme="majorEastAsia"/>
                <w:w w:val="50"/>
                <w:sz w:val="18"/>
                <w:szCs w:val="18"/>
              </w:rPr>
            </w:pPr>
          </w:p>
        </w:tc>
        <w:tc>
          <w:tcPr>
            <w:tcW w:w="4669" w:type="dxa"/>
            <w:tcBorders>
              <w:top w:val="single" w:sz="4" w:space="0" w:color="auto"/>
              <w:left w:val="single" w:sz="4" w:space="0" w:color="auto"/>
              <w:bottom w:val="single" w:sz="4" w:space="0" w:color="auto"/>
              <w:right w:val="single" w:sz="4" w:space="0" w:color="auto"/>
            </w:tcBorders>
            <w:vAlign w:val="center"/>
          </w:tcPr>
          <w:p w14:paraId="05BC2DD7" w14:textId="77777777" w:rsidR="00523F74" w:rsidRPr="0075788C" w:rsidRDefault="00523F74" w:rsidP="00FF43BC">
            <w:pPr>
              <w:adjustRightInd w:val="0"/>
              <w:snapToGrid w:val="0"/>
              <w:spacing w:line="240" w:lineRule="exact"/>
              <w:jc w:val="left"/>
              <w:rPr>
                <w:rFonts w:asciiTheme="majorEastAsia" w:eastAsiaTheme="majorEastAsia" w:hAnsiTheme="majorEastAsia"/>
                <w:w w:val="50"/>
                <w:sz w:val="18"/>
                <w:szCs w:val="18"/>
              </w:rPr>
            </w:pPr>
            <w:r w:rsidRPr="0075788C">
              <w:rPr>
                <w:rFonts w:asciiTheme="majorEastAsia" w:eastAsiaTheme="majorEastAsia" w:hAnsiTheme="majorEastAsia" w:hint="eastAsia"/>
                <w:w w:val="50"/>
                <w:sz w:val="18"/>
                <w:szCs w:val="18"/>
              </w:rPr>
              <w:t>■通信システムの対応</w:t>
            </w:r>
          </w:p>
          <w:p w14:paraId="1F373B4B" w14:textId="77777777" w:rsidR="00523F74" w:rsidRPr="0075788C" w:rsidRDefault="00523F74" w:rsidP="00FF43BC">
            <w:pPr>
              <w:adjustRightInd w:val="0"/>
              <w:snapToGrid w:val="0"/>
              <w:spacing w:line="240" w:lineRule="exact"/>
              <w:jc w:val="left"/>
              <w:rPr>
                <w:rFonts w:asciiTheme="majorEastAsia" w:eastAsiaTheme="majorEastAsia" w:hAnsiTheme="majorEastAsia"/>
                <w:w w:val="50"/>
                <w:sz w:val="18"/>
                <w:szCs w:val="18"/>
              </w:rPr>
            </w:pPr>
            <w:r w:rsidRPr="0075788C">
              <w:rPr>
                <w:rFonts w:asciiTheme="majorEastAsia" w:eastAsiaTheme="majorEastAsia" w:hAnsiTheme="majorEastAsia" w:hint="eastAsia"/>
                <w:w w:val="50"/>
                <w:sz w:val="18"/>
                <w:szCs w:val="18"/>
              </w:rPr>
              <w:t>・危機管理センターの機器操作、防災行政無線、各種システム稼働状況の監視、障害対応</w:t>
            </w:r>
          </w:p>
          <w:p w14:paraId="24EA69D7" w14:textId="77777777" w:rsidR="00523F74" w:rsidRPr="0075788C" w:rsidRDefault="00523F74" w:rsidP="00FF43BC">
            <w:pPr>
              <w:adjustRightInd w:val="0"/>
              <w:snapToGrid w:val="0"/>
              <w:spacing w:line="240" w:lineRule="exact"/>
              <w:jc w:val="left"/>
              <w:rPr>
                <w:rFonts w:asciiTheme="majorEastAsia" w:eastAsiaTheme="majorEastAsia" w:hAnsiTheme="majorEastAsia"/>
                <w:w w:val="50"/>
                <w:sz w:val="18"/>
                <w:szCs w:val="18"/>
              </w:rPr>
            </w:pPr>
            <w:r w:rsidRPr="0075788C">
              <w:rPr>
                <w:rFonts w:asciiTheme="majorEastAsia" w:eastAsiaTheme="majorEastAsia" w:hAnsiTheme="majorEastAsia" w:hint="eastAsia"/>
                <w:w w:val="50"/>
                <w:sz w:val="18"/>
                <w:szCs w:val="18"/>
              </w:rPr>
              <w:t>・衛星車載局の現地派遣、操作</w:t>
            </w:r>
          </w:p>
          <w:p w14:paraId="4FEB1C6B" w14:textId="77777777" w:rsidR="00523F74" w:rsidRPr="0075788C" w:rsidRDefault="00523F74" w:rsidP="00FF43BC">
            <w:pPr>
              <w:adjustRightInd w:val="0"/>
              <w:snapToGrid w:val="0"/>
              <w:spacing w:line="240" w:lineRule="exact"/>
              <w:jc w:val="left"/>
              <w:rPr>
                <w:rFonts w:asciiTheme="majorEastAsia" w:eastAsiaTheme="majorEastAsia" w:hAnsiTheme="majorEastAsia"/>
                <w:w w:val="50"/>
                <w:sz w:val="18"/>
                <w:szCs w:val="18"/>
              </w:rPr>
            </w:pPr>
            <w:r w:rsidRPr="0075788C">
              <w:rPr>
                <w:rFonts w:asciiTheme="majorEastAsia" w:eastAsiaTheme="majorEastAsia" w:hAnsiTheme="majorEastAsia" w:hint="eastAsia"/>
                <w:w w:val="50"/>
                <w:sz w:val="18"/>
                <w:szCs w:val="18"/>
              </w:rPr>
              <w:t>・ヘリテレ、固定カメラ映像の投影</w:t>
            </w:r>
          </w:p>
        </w:tc>
        <w:tc>
          <w:tcPr>
            <w:tcW w:w="1276" w:type="dxa"/>
            <w:tcBorders>
              <w:top w:val="single" w:sz="4" w:space="0" w:color="auto"/>
              <w:left w:val="single" w:sz="4" w:space="0" w:color="auto"/>
              <w:bottom w:val="single" w:sz="4" w:space="0" w:color="auto"/>
              <w:right w:val="single" w:sz="4" w:space="0" w:color="auto"/>
            </w:tcBorders>
            <w:vAlign w:val="center"/>
          </w:tcPr>
          <w:p w14:paraId="09AE215F" w14:textId="55EF6067" w:rsidR="00523F74" w:rsidRPr="0075788C" w:rsidRDefault="00523F74" w:rsidP="00FF43BC">
            <w:pPr>
              <w:adjustRightInd w:val="0"/>
              <w:snapToGrid w:val="0"/>
              <w:spacing w:line="240" w:lineRule="exact"/>
              <w:jc w:val="center"/>
              <w:rPr>
                <w:rFonts w:asciiTheme="majorEastAsia" w:eastAsiaTheme="majorEastAsia" w:hAnsiTheme="majorEastAsia"/>
                <w:w w:val="50"/>
                <w:sz w:val="18"/>
                <w:szCs w:val="18"/>
              </w:rPr>
            </w:pPr>
            <w:r w:rsidRPr="0075788C">
              <w:rPr>
                <w:rFonts w:asciiTheme="majorEastAsia" w:eastAsiaTheme="majorEastAsia" w:hAnsiTheme="majorEastAsia" w:hint="eastAsia"/>
                <w:w w:val="50"/>
                <w:sz w:val="18"/>
                <w:szCs w:val="18"/>
              </w:rPr>
              <w:t>危機管理室(</w:t>
            </w:r>
            <w:r w:rsidR="00421C24" w:rsidRPr="0075788C">
              <w:rPr>
                <w:rFonts w:asciiTheme="majorEastAsia" w:eastAsiaTheme="majorEastAsia" w:hAnsiTheme="majorEastAsia" w:hint="eastAsia"/>
                <w:w w:val="50"/>
                <w:sz w:val="18"/>
                <w:szCs w:val="18"/>
              </w:rPr>
              <w:t>４</w:t>
            </w:r>
            <w:r w:rsidRPr="0075788C">
              <w:rPr>
                <w:rFonts w:asciiTheme="majorEastAsia" w:eastAsiaTheme="majorEastAsia" w:hAnsiTheme="majorEastAsia" w:hint="eastAsia"/>
                <w:w w:val="50"/>
                <w:sz w:val="18"/>
                <w:szCs w:val="18"/>
              </w:rPr>
              <w:t>名)</w:t>
            </w:r>
          </w:p>
        </w:tc>
        <w:tc>
          <w:tcPr>
            <w:tcW w:w="1276" w:type="dxa"/>
            <w:tcBorders>
              <w:top w:val="single" w:sz="4" w:space="0" w:color="auto"/>
              <w:left w:val="single" w:sz="4" w:space="0" w:color="auto"/>
              <w:bottom w:val="single" w:sz="4" w:space="0" w:color="auto"/>
              <w:right w:val="single" w:sz="4" w:space="0" w:color="auto"/>
            </w:tcBorders>
            <w:vAlign w:val="center"/>
          </w:tcPr>
          <w:p w14:paraId="7842ED95" w14:textId="5AE1E7D3" w:rsidR="00523F74" w:rsidRPr="0075788C" w:rsidRDefault="00523F74" w:rsidP="00FF43BC">
            <w:pPr>
              <w:adjustRightInd w:val="0"/>
              <w:snapToGrid w:val="0"/>
              <w:spacing w:line="240" w:lineRule="exact"/>
              <w:jc w:val="center"/>
              <w:rPr>
                <w:rFonts w:asciiTheme="majorEastAsia" w:eastAsiaTheme="majorEastAsia" w:hAnsiTheme="majorEastAsia"/>
                <w:w w:val="50"/>
                <w:sz w:val="18"/>
                <w:szCs w:val="18"/>
              </w:rPr>
            </w:pPr>
            <w:r w:rsidRPr="0075788C">
              <w:rPr>
                <w:rFonts w:asciiTheme="majorEastAsia" w:eastAsiaTheme="majorEastAsia" w:hAnsiTheme="majorEastAsia" w:hint="eastAsia"/>
                <w:w w:val="50"/>
                <w:sz w:val="18"/>
                <w:szCs w:val="18"/>
              </w:rPr>
              <w:t>危機管理室(</w:t>
            </w:r>
            <w:r w:rsidR="00421C24" w:rsidRPr="0075788C">
              <w:rPr>
                <w:rFonts w:asciiTheme="majorEastAsia" w:eastAsiaTheme="majorEastAsia" w:hAnsiTheme="majorEastAsia" w:hint="eastAsia"/>
                <w:w w:val="50"/>
                <w:sz w:val="18"/>
                <w:szCs w:val="18"/>
              </w:rPr>
              <w:t>５</w:t>
            </w:r>
            <w:r w:rsidRPr="0075788C">
              <w:rPr>
                <w:rFonts w:asciiTheme="majorEastAsia" w:eastAsiaTheme="majorEastAsia" w:hAnsiTheme="majorEastAsia" w:hint="eastAsia"/>
                <w:w w:val="50"/>
                <w:sz w:val="18"/>
                <w:szCs w:val="18"/>
              </w:rPr>
              <w:t>名)</w:t>
            </w:r>
          </w:p>
        </w:tc>
        <w:tc>
          <w:tcPr>
            <w:tcW w:w="1417" w:type="dxa"/>
            <w:tcBorders>
              <w:top w:val="single" w:sz="4" w:space="0" w:color="auto"/>
              <w:left w:val="single" w:sz="4" w:space="0" w:color="auto"/>
              <w:bottom w:val="single" w:sz="4" w:space="0" w:color="auto"/>
              <w:right w:val="single" w:sz="4" w:space="0" w:color="auto"/>
            </w:tcBorders>
            <w:vAlign w:val="center"/>
          </w:tcPr>
          <w:p w14:paraId="3AA1768C" w14:textId="038D27AA" w:rsidR="00523F74" w:rsidRPr="0075788C" w:rsidRDefault="00523F74" w:rsidP="00FF43BC">
            <w:pPr>
              <w:adjustRightInd w:val="0"/>
              <w:snapToGrid w:val="0"/>
              <w:spacing w:line="240" w:lineRule="exact"/>
              <w:jc w:val="center"/>
              <w:rPr>
                <w:rFonts w:asciiTheme="majorEastAsia" w:eastAsiaTheme="majorEastAsia" w:hAnsiTheme="majorEastAsia"/>
                <w:w w:val="50"/>
                <w:sz w:val="18"/>
                <w:szCs w:val="18"/>
              </w:rPr>
            </w:pPr>
            <w:r w:rsidRPr="0075788C">
              <w:rPr>
                <w:rFonts w:asciiTheme="majorEastAsia" w:eastAsiaTheme="majorEastAsia" w:hAnsiTheme="majorEastAsia" w:hint="eastAsia"/>
                <w:w w:val="50"/>
                <w:sz w:val="18"/>
                <w:szCs w:val="18"/>
              </w:rPr>
              <w:t>危機管理室(</w:t>
            </w:r>
            <w:r w:rsidR="00421C24" w:rsidRPr="0075788C">
              <w:rPr>
                <w:rFonts w:asciiTheme="majorEastAsia" w:eastAsiaTheme="majorEastAsia" w:hAnsiTheme="majorEastAsia" w:hint="eastAsia"/>
                <w:w w:val="50"/>
                <w:sz w:val="18"/>
                <w:szCs w:val="18"/>
              </w:rPr>
              <w:t>７</w:t>
            </w:r>
            <w:r w:rsidRPr="0075788C">
              <w:rPr>
                <w:rFonts w:asciiTheme="majorEastAsia" w:eastAsiaTheme="majorEastAsia" w:hAnsiTheme="majorEastAsia" w:hint="eastAsia"/>
                <w:w w:val="50"/>
                <w:sz w:val="18"/>
                <w:szCs w:val="18"/>
              </w:rPr>
              <w:t>名)</w:t>
            </w:r>
          </w:p>
        </w:tc>
      </w:tr>
      <w:tr w:rsidR="00523F74" w:rsidRPr="00E0548A" w14:paraId="298F0595" w14:textId="77777777" w:rsidTr="00FF43BC">
        <w:trPr>
          <w:cantSplit/>
          <w:trHeight w:val="986"/>
        </w:trPr>
        <w:tc>
          <w:tcPr>
            <w:tcW w:w="576" w:type="dxa"/>
            <w:tcBorders>
              <w:top w:val="single" w:sz="4" w:space="0" w:color="auto"/>
              <w:left w:val="single" w:sz="4" w:space="0" w:color="auto"/>
              <w:bottom w:val="single" w:sz="4" w:space="0" w:color="auto"/>
              <w:right w:val="single" w:sz="4" w:space="0" w:color="auto"/>
            </w:tcBorders>
            <w:textDirection w:val="tbRlV"/>
            <w:vAlign w:val="center"/>
          </w:tcPr>
          <w:p w14:paraId="4390C5E8" w14:textId="77777777" w:rsidR="00523F74" w:rsidRPr="0075788C" w:rsidRDefault="00523F74" w:rsidP="00FF43BC">
            <w:pPr>
              <w:widowControl/>
              <w:adjustRightInd w:val="0"/>
              <w:snapToGrid w:val="0"/>
              <w:spacing w:line="240" w:lineRule="exact"/>
              <w:ind w:left="113" w:right="113"/>
              <w:jc w:val="center"/>
              <w:rPr>
                <w:rFonts w:asciiTheme="majorEastAsia" w:eastAsiaTheme="majorEastAsia" w:hAnsiTheme="majorEastAsia"/>
                <w:w w:val="50"/>
                <w:sz w:val="18"/>
                <w:szCs w:val="18"/>
              </w:rPr>
            </w:pPr>
            <w:r w:rsidRPr="0075788C">
              <w:rPr>
                <w:rFonts w:asciiTheme="majorEastAsia" w:eastAsiaTheme="majorEastAsia" w:hAnsiTheme="majorEastAsia" w:hint="eastAsia"/>
                <w:kern w:val="0"/>
                <w:sz w:val="18"/>
                <w:szCs w:val="18"/>
              </w:rPr>
              <w:t>受援・応援班</w:t>
            </w:r>
          </w:p>
        </w:tc>
        <w:tc>
          <w:tcPr>
            <w:tcW w:w="4669" w:type="dxa"/>
            <w:tcBorders>
              <w:top w:val="single" w:sz="4" w:space="0" w:color="auto"/>
              <w:left w:val="single" w:sz="4" w:space="0" w:color="auto"/>
              <w:bottom w:val="single" w:sz="4" w:space="0" w:color="auto"/>
              <w:right w:val="single" w:sz="4" w:space="0" w:color="auto"/>
            </w:tcBorders>
          </w:tcPr>
          <w:p w14:paraId="240522FC" w14:textId="77777777" w:rsidR="00523F74" w:rsidRPr="0075788C" w:rsidRDefault="00523F74" w:rsidP="00FF43BC">
            <w:pPr>
              <w:adjustRightInd w:val="0"/>
              <w:snapToGrid w:val="0"/>
              <w:spacing w:line="240" w:lineRule="exact"/>
              <w:rPr>
                <w:rFonts w:asciiTheme="majorEastAsia" w:eastAsiaTheme="majorEastAsia" w:hAnsiTheme="majorEastAsia"/>
                <w:w w:val="50"/>
                <w:sz w:val="18"/>
                <w:szCs w:val="18"/>
              </w:rPr>
            </w:pPr>
            <w:r w:rsidRPr="0075788C">
              <w:rPr>
                <w:rFonts w:asciiTheme="majorEastAsia" w:eastAsiaTheme="majorEastAsia" w:hAnsiTheme="majorEastAsia" w:hint="eastAsia"/>
                <w:w w:val="50"/>
                <w:sz w:val="18"/>
                <w:szCs w:val="18"/>
              </w:rPr>
              <w:t>■被災市町村への人的支援対応</w:t>
            </w:r>
          </w:p>
          <w:p w14:paraId="741BDEE2" w14:textId="77777777" w:rsidR="00523F74" w:rsidRPr="0075788C" w:rsidRDefault="00523F74" w:rsidP="00FF43BC">
            <w:pPr>
              <w:adjustRightInd w:val="0"/>
              <w:snapToGrid w:val="0"/>
              <w:spacing w:line="240" w:lineRule="exact"/>
              <w:rPr>
                <w:rFonts w:asciiTheme="majorEastAsia" w:eastAsiaTheme="majorEastAsia" w:hAnsiTheme="majorEastAsia"/>
                <w:w w:val="50"/>
                <w:sz w:val="18"/>
                <w:szCs w:val="18"/>
              </w:rPr>
            </w:pPr>
            <w:r w:rsidRPr="0075788C">
              <w:rPr>
                <w:rFonts w:asciiTheme="majorEastAsia" w:eastAsiaTheme="majorEastAsia" w:hAnsiTheme="majorEastAsia" w:hint="eastAsia"/>
                <w:w w:val="50"/>
                <w:sz w:val="18"/>
                <w:szCs w:val="18"/>
              </w:rPr>
              <w:t>・人事局との調整（総務・企画Gと連携）</w:t>
            </w:r>
          </w:p>
          <w:p w14:paraId="6C426CED" w14:textId="77777777" w:rsidR="00523F74" w:rsidRPr="0075788C" w:rsidRDefault="00523F74" w:rsidP="00FF43BC">
            <w:pPr>
              <w:adjustRightInd w:val="0"/>
              <w:snapToGrid w:val="0"/>
              <w:spacing w:line="240" w:lineRule="exact"/>
              <w:rPr>
                <w:rFonts w:asciiTheme="majorEastAsia" w:eastAsiaTheme="majorEastAsia" w:hAnsiTheme="majorEastAsia"/>
                <w:w w:val="50"/>
                <w:sz w:val="18"/>
                <w:szCs w:val="18"/>
              </w:rPr>
            </w:pPr>
            <w:r w:rsidRPr="0075788C">
              <w:rPr>
                <w:rFonts w:asciiTheme="majorEastAsia" w:eastAsiaTheme="majorEastAsia" w:hAnsiTheme="majorEastAsia" w:hint="eastAsia"/>
                <w:w w:val="50"/>
                <w:sz w:val="18"/>
                <w:szCs w:val="18"/>
              </w:rPr>
              <w:t>・被災市町村のニーズ掌握、応援内容の調整</w:t>
            </w:r>
          </w:p>
          <w:p w14:paraId="4B599E6F" w14:textId="77777777" w:rsidR="00523F74" w:rsidRPr="0075788C" w:rsidRDefault="00523F74" w:rsidP="00FF43BC">
            <w:pPr>
              <w:adjustRightInd w:val="0"/>
              <w:snapToGrid w:val="0"/>
              <w:spacing w:line="240" w:lineRule="exact"/>
              <w:rPr>
                <w:rFonts w:asciiTheme="majorEastAsia" w:eastAsiaTheme="majorEastAsia" w:hAnsiTheme="majorEastAsia"/>
                <w:w w:val="50"/>
                <w:sz w:val="18"/>
                <w:szCs w:val="18"/>
              </w:rPr>
            </w:pPr>
            <w:r w:rsidRPr="0075788C">
              <w:rPr>
                <w:rFonts w:asciiTheme="majorEastAsia" w:eastAsiaTheme="majorEastAsia" w:hAnsiTheme="majorEastAsia" w:hint="eastAsia"/>
                <w:w w:val="50"/>
                <w:sz w:val="18"/>
                <w:szCs w:val="18"/>
              </w:rPr>
              <w:t>・庁内各部局及び非被災市町村から応援職員を徴募</w:t>
            </w:r>
          </w:p>
          <w:p w14:paraId="481FD62D" w14:textId="77777777" w:rsidR="00523F74" w:rsidRPr="0075788C" w:rsidRDefault="00523F74" w:rsidP="00FF43BC">
            <w:pPr>
              <w:adjustRightInd w:val="0"/>
              <w:snapToGrid w:val="0"/>
              <w:spacing w:line="240" w:lineRule="exact"/>
              <w:rPr>
                <w:rFonts w:asciiTheme="majorEastAsia" w:eastAsiaTheme="majorEastAsia" w:hAnsiTheme="majorEastAsia"/>
                <w:w w:val="50"/>
                <w:sz w:val="18"/>
                <w:szCs w:val="18"/>
              </w:rPr>
            </w:pPr>
            <w:r w:rsidRPr="0075788C">
              <w:rPr>
                <w:rFonts w:asciiTheme="majorEastAsia" w:eastAsiaTheme="majorEastAsia" w:hAnsiTheme="majorEastAsia" w:hint="eastAsia"/>
                <w:w w:val="50"/>
                <w:sz w:val="18"/>
                <w:szCs w:val="18"/>
              </w:rPr>
              <w:t>・他府県等からの応援職員の受入れ対応、連絡調整</w:t>
            </w:r>
          </w:p>
          <w:p w14:paraId="08684BA0" w14:textId="77777777" w:rsidR="00523F74" w:rsidRPr="0075788C" w:rsidRDefault="00523F74" w:rsidP="00FF43BC">
            <w:pPr>
              <w:adjustRightInd w:val="0"/>
              <w:snapToGrid w:val="0"/>
              <w:spacing w:line="240" w:lineRule="exact"/>
              <w:rPr>
                <w:rFonts w:asciiTheme="majorEastAsia" w:eastAsiaTheme="majorEastAsia" w:hAnsiTheme="majorEastAsia"/>
                <w:w w:val="50"/>
                <w:sz w:val="18"/>
                <w:szCs w:val="18"/>
              </w:rPr>
            </w:pPr>
            <w:r w:rsidRPr="0075788C">
              <w:rPr>
                <w:rFonts w:asciiTheme="majorEastAsia" w:eastAsiaTheme="majorEastAsia" w:hAnsiTheme="majorEastAsia" w:hint="eastAsia"/>
                <w:w w:val="50"/>
                <w:sz w:val="18"/>
                <w:szCs w:val="18"/>
              </w:rPr>
              <w:t>・市長会、町村長会との調整</w:t>
            </w:r>
          </w:p>
        </w:tc>
        <w:tc>
          <w:tcPr>
            <w:tcW w:w="1276" w:type="dxa"/>
            <w:tcBorders>
              <w:top w:val="single" w:sz="4" w:space="0" w:color="auto"/>
              <w:left w:val="single" w:sz="4" w:space="0" w:color="auto"/>
              <w:bottom w:val="single" w:sz="4" w:space="0" w:color="auto"/>
              <w:right w:val="single" w:sz="4" w:space="0" w:color="auto"/>
            </w:tcBorders>
            <w:vAlign w:val="center"/>
          </w:tcPr>
          <w:p w14:paraId="2429F359" w14:textId="77777777" w:rsidR="00523F74" w:rsidRPr="0075788C" w:rsidRDefault="00523F74" w:rsidP="00FF43BC">
            <w:pPr>
              <w:adjustRightInd w:val="0"/>
              <w:snapToGrid w:val="0"/>
              <w:spacing w:line="240" w:lineRule="exact"/>
              <w:jc w:val="center"/>
              <w:rPr>
                <w:rFonts w:asciiTheme="majorEastAsia" w:eastAsiaTheme="majorEastAsia" w:hAnsiTheme="majorEastAsia"/>
                <w:w w:val="50"/>
                <w:sz w:val="18"/>
                <w:szCs w:val="18"/>
              </w:rPr>
            </w:pPr>
          </w:p>
        </w:tc>
        <w:tc>
          <w:tcPr>
            <w:tcW w:w="1276" w:type="dxa"/>
            <w:tcBorders>
              <w:top w:val="single" w:sz="4" w:space="0" w:color="auto"/>
              <w:left w:val="single" w:sz="4" w:space="0" w:color="auto"/>
              <w:bottom w:val="single" w:sz="4" w:space="0" w:color="auto"/>
              <w:right w:val="single" w:sz="4" w:space="0" w:color="auto"/>
            </w:tcBorders>
            <w:vAlign w:val="center"/>
          </w:tcPr>
          <w:p w14:paraId="786955FA" w14:textId="77777777" w:rsidR="00523F74" w:rsidRPr="0075788C" w:rsidRDefault="00523F74" w:rsidP="00FF43BC">
            <w:pPr>
              <w:adjustRightInd w:val="0"/>
              <w:snapToGrid w:val="0"/>
              <w:spacing w:line="240" w:lineRule="exact"/>
              <w:jc w:val="center"/>
              <w:rPr>
                <w:rFonts w:asciiTheme="majorEastAsia" w:eastAsiaTheme="majorEastAsia" w:hAnsiTheme="majorEastAsia"/>
                <w:w w:val="50"/>
                <w:sz w:val="18"/>
                <w:szCs w:val="18"/>
              </w:rPr>
            </w:pPr>
          </w:p>
        </w:tc>
        <w:tc>
          <w:tcPr>
            <w:tcW w:w="1417" w:type="dxa"/>
            <w:tcBorders>
              <w:top w:val="single" w:sz="4" w:space="0" w:color="auto"/>
              <w:left w:val="single" w:sz="4" w:space="0" w:color="auto"/>
              <w:bottom w:val="single" w:sz="4" w:space="0" w:color="auto"/>
              <w:right w:val="single" w:sz="4" w:space="0" w:color="auto"/>
            </w:tcBorders>
            <w:vAlign w:val="center"/>
          </w:tcPr>
          <w:p w14:paraId="7C143DF2" w14:textId="77777777" w:rsidR="00523F74" w:rsidRPr="0075788C" w:rsidRDefault="00523F74" w:rsidP="00FF43BC">
            <w:pPr>
              <w:adjustRightInd w:val="0"/>
              <w:snapToGrid w:val="0"/>
              <w:spacing w:line="240" w:lineRule="exact"/>
              <w:jc w:val="center"/>
              <w:rPr>
                <w:rFonts w:asciiTheme="majorEastAsia" w:eastAsiaTheme="majorEastAsia" w:hAnsiTheme="majorEastAsia"/>
                <w:w w:val="50"/>
                <w:sz w:val="18"/>
                <w:szCs w:val="18"/>
              </w:rPr>
            </w:pPr>
            <w:r w:rsidRPr="0075788C">
              <w:rPr>
                <w:rFonts w:asciiTheme="majorEastAsia" w:eastAsiaTheme="majorEastAsia" w:hAnsiTheme="majorEastAsia" w:hint="eastAsia"/>
                <w:w w:val="50"/>
                <w:sz w:val="18"/>
                <w:szCs w:val="18"/>
              </w:rPr>
              <w:t>班長：災害対策課参事</w:t>
            </w:r>
          </w:p>
          <w:p w14:paraId="2F995CEF" w14:textId="77777777" w:rsidR="00523F74" w:rsidRPr="0075788C" w:rsidRDefault="00523F74" w:rsidP="00FF43BC">
            <w:pPr>
              <w:adjustRightInd w:val="0"/>
              <w:snapToGrid w:val="0"/>
              <w:spacing w:line="240" w:lineRule="exact"/>
              <w:jc w:val="center"/>
              <w:rPr>
                <w:rFonts w:asciiTheme="majorEastAsia" w:eastAsiaTheme="majorEastAsia" w:hAnsiTheme="majorEastAsia"/>
                <w:w w:val="50"/>
                <w:sz w:val="18"/>
                <w:szCs w:val="18"/>
              </w:rPr>
            </w:pPr>
            <w:r w:rsidRPr="0075788C">
              <w:rPr>
                <w:rFonts w:asciiTheme="majorEastAsia" w:eastAsiaTheme="majorEastAsia" w:hAnsiTheme="majorEastAsia" w:hint="eastAsia"/>
                <w:w w:val="50"/>
                <w:sz w:val="18"/>
                <w:szCs w:val="18"/>
              </w:rPr>
              <w:t>危機管理室(７名)</w:t>
            </w:r>
          </w:p>
        </w:tc>
      </w:tr>
      <w:tr w:rsidR="00523F74" w:rsidRPr="001D6D10" w14:paraId="70379B9B" w14:textId="77777777" w:rsidTr="00FF43BC">
        <w:trPr>
          <w:cantSplit/>
          <w:trHeight w:val="487"/>
        </w:trPr>
        <w:tc>
          <w:tcPr>
            <w:tcW w:w="5245" w:type="dxa"/>
            <w:gridSpan w:val="2"/>
            <w:tcBorders>
              <w:top w:val="single" w:sz="4" w:space="0" w:color="auto"/>
              <w:left w:val="single" w:sz="4" w:space="0" w:color="auto"/>
              <w:bottom w:val="single" w:sz="4" w:space="0" w:color="auto"/>
              <w:right w:val="single" w:sz="4" w:space="0" w:color="auto"/>
            </w:tcBorders>
            <w:shd w:val="clear" w:color="auto" w:fill="F2F2F2"/>
            <w:vAlign w:val="center"/>
            <w:hideMark/>
          </w:tcPr>
          <w:p w14:paraId="6ED5E6EA" w14:textId="77777777" w:rsidR="00523F74" w:rsidRPr="0075788C" w:rsidRDefault="00523F74" w:rsidP="00FF43BC">
            <w:pPr>
              <w:adjustRightInd w:val="0"/>
              <w:snapToGrid w:val="0"/>
              <w:spacing w:line="240" w:lineRule="exact"/>
              <w:ind w:firstLineChars="1000" w:firstLine="918"/>
              <w:jc w:val="left"/>
              <w:rPr>
                <w:rFonts w:asciiTheme="majorEastAsia" w:eastAsiaTheme="majorEastAsia" w:hAnsiTheme="majorEastAsia"/>
                <w:b/>
                <w:w w:val="50"/>
                <w:sz w:val="18"/>
                <w:szCs w:val="18"/>
              </w:rPr>
            </w:pPr>
            <w:r w:rsidRPr="0075788C">
              <w:rPr>
                <w:rFonts w:asciiTheme="majorEastAsia" w:eastAsiaTheme="majorEastAsia" w:hAnsiTheme="majorEastAsia" w:hint="eastAsia"/>
                <w:b/>
                <w:w w:val="50"/>
                <w:sz w:val="18"/>
                <w:szCs w:val="18"/>
              </w:rPr>
              <w:t>配備人員　計</w:t>
            </w:r>
          </w:p>
        </w:tc>
        <w:tc>
          <w:tcPr>
            <w:tcW w:w="1276" w:type="dxa"/>
            <w:tcBorders>
              <w:top w:val="single" w:sz="4" w:space="0" w:color="auto"/>
              <w:left w:val="single" w:sz="4" w:space="0" w:color="auto"/>
              <w:bottom w:val="single" w:sz="4" w:space="0" w:color="auto"/>
              <w:right w:val="single" w:sz="4" w:space="0" w:color="auto"/>
            </w:tcBorders>
            <w:shd w:val="clear" w:color="auto" w:fill="F2F2F2"/>
            <w:vAlign w:val="center"/>
          </w:tcPr>
          <w:p w14:paraId="1F088B48" w14:textId="77777777" w:rsidR="00523F74" w:rsidRPr="0075788C" w:rsidRDefault="00523F74" w:rsidP="00FF43BC">
            <w:pPr>
              <w:adjustRightInd w:val="0"/>
              <w:snapToGrid w:val="0"/>
              <w:spacing w:line="240" w:lineRule="exact"/>
              <w:jc w:val="center"/>
              <w:rPr>
                <w:rFonts w:asciiTheme="majorEastAsia" w:eastAsiaTheme="majorEastAsia" w:hAnsiTheme="majorEastAsia"/>
                <w:b/>
                <w:w w:val="50"/>
                <w:sz w:val="18"/>
                <w:szCs w:val="18"/>
              </w:rPr>
            </w:pPr>
            <w:r w:rsidRPr="0075788C">
              <w:rPr>
                <w:rFonts w:asciiTheme="majorEastAsia" w:eastAsiaTheme="majorEastAsia" w:hAnsiTheme="majorEastAsia" w:hint="eastAsia"/>
                <w:b/>
                <w:w w:val="50"/>
                <w:sz w:val="18"/>
                <w:szCs w:val="18"/>
              </w:rPr>
              <w:t>29～38名</w:t>
            </w:r>
          </w:p>
        </w:tc>
        <w:tc>
          <w:tcPr>
            <w:tcW w:w="1276" w:type="dxa"/>
            <w:tcBorders>
              <w:top w:val="single" w:sz="4" w:space="0" w:color="auto"/>
              <w:left w:val="single" w:sz="4" w:space="0" w:color="auto"/>
              <w:bottom w:val="single" w:sz="4" w:space="0" w:color="auto"/>
              <w:right w:val="single" w:sz="4" w:space="0" w:color="auto"/>
            </w:tcBorders>
            <w:shd w:val="clear" w:color="auto" w:fill="F2F2F2"/>
            <w:vAlign w:val="center"/>
          </w:tcPr>
          <w:p w14:paraId="25D40EC4" w14:textId="77777777" w:rsidR="00523F74" w:rsidRPr="0075788C" w:rsidRDefault="00523F74" w:rsidP="00FF43BC">
            <w:pPr>
              <w:adjustRightInd w:val="0"/>
              <w:snapToGrid w:val="0"/>
              <w:spacing w:line="240" w:lineRule="exact"/>
              <w:ind w:firstLineChars="300" w:firstLine="275"/>
              <w:rPr>
                <w:rFonts w:asciiTheme="majorEastAsia" w:eastAsiaTheme="majorEastAsia" w:hAnsiTheme="majorEastAsia"/>
                <w:b/>
                <w:w w:val="50"/>
                <w:sz w:val="18"/>
                <w:szCs w:val="18"/>
              </w:rPr>
            </w:pPr>
            <w:r w:rsidRPr="0075788C">
              <w:rPr>
                <w:rFonts w:asciiTheme="majorEastAsia" w:eastAsiaTheme="majorEastAsia" w:hAnsiTheme="majorEastAsia" w:hint="eastAsia"/>
                <w:b/>
                <w:w w:val="50"/>
                <w:sz w:val="18"/>
                <w:szCs w:val="18"/>
              </w:rPr>
              <w:t>37～56名</w:t>
            </w:r>
          </w:p>
        </w:tc>
        <w:tc>
          <w:tcPr>
            <w:tcW w:w="1417" w:type="dxa"/>
            <w:tcBorders>
              <w:top w:val="single" w:sz="4" w:space="0" w:color="auto"/>
              <w:left w:val="single" w:sz="4" w:space="0" w:color="auto"/>
              <w:bottom w:val="single" w:sz="4" w:space="0" w:color="auto"/>
              <w:right w:val="single" w:sz="4" w:space="0" w:color="auto"/>
            </w:tcBorders>
            <w:shd w:val="clear" w:color="auto" w:fill="F2F2F2"/>
            <w:vAlign w:val="center"/>
          </w:tcPr>
          <w:p w14:paraId="5347453A" w14:textId="77777777" w:rsidR="00523F74" w:rsidRPr="0075788C" w:rsidRDefault="00523F74" w:rsidP="00FF43BC">
            <w:pPr>
              <w:adjustRightInd w:val="0"/>
              <w:snapToGrid w:val="0"/>
              <w:spacing w:line="240" w:lineRule="exact"/>
              <w:jc w:val="center"/>
              <w:rPr>
                <w:rFonts w:asciiTheme="majorEastAsia" w:eastAsiaTheme="majorEastAsia" w:hAnsiTheme="majorEastAsia"/>
                <w:b/>
                <w:w w:val="50"/>
                <w:sz w:val="18"/>
                <w:szCs w:val="18"/>
              </w:rPr>
            </w:pPr>
            <w:r w:rsidRPr="0075788C">
              <w:rPr>
                <w:rFonts w:asciiTheme="majorEastAsia" w:eastAsiaTheme="majorEastAsia" w:hAnsiTheme="majorEastAsia" w:hint="eastAsia"/>
                <w:b/>
                <w:w w:val="50"/>
                <w:sz w:val="18"/>
                <w:szCs w:val="18"/>
              </w:rPr>
              <w:t>90名</w:t>
            </w:r>
          </w:p>
        </w:tc>
      </w:tr>
    </w:tbl>
    <w:p w14:paraId="2DDF1D28" w14:textId="77777777" w:rsidR="00523F74" w:rsidRPr="00C11992" w:rsidRDefault="00523F74" w:rsidP="00523F74">
      <w:pPr>
        <w:adjustRightInd w:val="0"/>
        <w:snapToGrid w:val="0"/>
        <w:jc w:val="left"/>
        <w:rPr>
          <w:rFonts w:asciiTheme="minorEastAsia" w:eastAsiaTheme="minorEastAsia" w:hAnsiTheme="minorEastAsia"/>
          <w:bCs/>
          <w:sz w:val="22"/>
          <w:szCs w:val="22"/>
        </w:rPr>
      </w:pPr>
      <w:r w:rsidRPr="00C11992">
        <w:rPr>
          <w:rFonts w:asciiTheme="minorEastAsia" w:eastAsiaTheme="minorEastAsia" w:hAnsiTheme="minorEastAsia" w:hint="eastAsia"/>
          <w:bCs/>
          <w:sz w:val="22"/>
          <w:szCs w:val="22"/>
        </w:rPr>
        <w:t>【大阪府内に緊急消防援助隊の受入れが決定した場合】</w:t>
      </w:r>
    </w:p>
    <w:p w14:paraId="636E46FE" w14:textId="77777777" w:rsidR="00523F74" w:rsidRPr="00C11992" w:rsidRDefault="00523F74" w:rsidP="00523F74">
      <w:pPr>
        <w:adjustRightInd w:val="0"/>
        <w:snapToGrid w:val="0"/>
        <w:jc w:val="left"/>
        <w:rPr>
          <w:rFonts w:asciiTheme="minorEastAsia" w:eastAsiaTheme="minorEastAsia" w:hAnsiTheme="minorEastAsia"/>
          <w:bCs/>
          <w:sz w:val="22"/>
          <w:szCs w:val="22"/>
        </w:rPr>
      </w:pPr>
      <w:r w:rsidRPr="00C11992">
        <w:rPr>
          <w:rFonts w:asciiTheme="minorEastAsia" w:eastAsiaTheme="minorEastAsia" w:hAnsiTheme="minorEastAsia" w:hint="eastAsia"/>
          <w:bCs/>
          <w:sz w:val="22"/>
          <w:szCs w:val="22"/>
        </w:rPr>
        <w:t>・消防保安課課長補佐は、消防応援活動調整本部員として緊急消防援助隊担当責任者を担う。</w:t>
      </w:r>
    </w:p>
    <w:p w14:paraId="18A678B6" w14:textId="77777777" w:rsidR="00523F74" w:rsidRPr="00C11992" w:rsidRDefault="00523F74" w:rsidP="00523F74">
      <w:pPr>
        <w:adjustRightInd w:val="0"/>
        <w:snapToGrid w:val="0"/>
        <w:jc w:val="left"/>
        <w:rPr>
          <w:rFonts w:asciiTheme="minorEastAsia" w:eastAsiaTheme="minorEastAsia" w:hAnsiTheme="minorEastAsia"/>
          <w:bCs/>
          <w:sz w:val="22"/>
          <w:szCs w:val="22"/>
        </w:rPr>
      </w:pPr>
      <w:r w:rsidRPr="00C11992">
        <w:rPr>
          <w:rFonts w:asciiTheme="minorEastAsia" w:eastAsiaTheme="minorEastAsia" w:hAnsiTheme="minorEastAsia" w:hint="eastAsia"/>
          <w:bCs/>
          <w:sz w:val="22"/>
          <w:szCs w:val="22"/>
        </w:rPr>
        <w:t>・また、消防保安課課長補佐は、災害対策本部の各班長と調整のうえ各班員の中から消防応援活動調整本部員を２名選出する。（必要に応じて増員調整を図るものとする）</w:t>
      </w:r>
    </w:p>
    <w:p w14:paraId="5F7936E7" w14:textId="457189F3" w:rsidR="00523F74" w:rsidRPr="00523F74" w:rsidRDefault="00523F74" w:rsidP="00523F74">
      <w:pPr>
        <w:adjustRightInd w:val="0"/>
        <w:snapToGrid w:val="0"/>
        <w:jc w:val="left"/>
        <w:rPr>
          <w:b/>
          <w:sz w:val="22"/>
          <w:szCs w:val="22"/>
        </w:rPr>
      </w:pPr>
      <w:r w:rsidRPr="00C11992">
        <w:rPr>
          <w:rFonts w:asciiTheme="minorEastAsia" w:eastAsiaTheme="minorEastAsia" w:hAnsiTheme="minorEastAsia" w:hint="eastAsia"/>
          <w:bCs/>
          <w:sz w:val="22"/>
          <w:szCs w:val="22"/>
        </w:rPr>
        <w:t>なお、責任者が不在の場合は本部員の中から選出するものとする。</w:t>
      </w:r>
    </w:p>
    <w:p w14:paraId="588CFCE0" w14:textId="2ED572F6" w:rsidR="005D372A" w:rsidRPr="001D6D10" w:rsidRDefault="005D372A" w:rsidP="00DA589E">
      <w:pPr>
        <w:pStyle w:val="ad"/>
        <w:wordWrap/>
        <w:overflowPunct w:val="0"/>
        <w:snapToGrid w:val="0"/>
        <w:spacing w:line="240" w:lineRule="auto"/>
        <w:ind w:firstLineChars="300" w:firstLine="663"/>
        <w:outlineLvl w:val="3"/>
        <w:rPr>
          <w:rFonts w:ascii="ＭＳ ゴシック" w:eastAsia="ＭＳ ゴシック" w:hAnsi="ＭＳ ゴシック"/>
          <w:u w:val="single"/>
        </w:rPr>
      </w:pPr>
      <w:r w:rsidRPr="001D6D10">
        <w:rPr>
          <w:rFonts w:ascii="ＭＳ ゴシック" w:eastAsia="ＭＳ ゴシック" w:hAnsi="ＭＳ ゴシック"/>
        </w:rPr>
        <w:br w:type="page"/>
      </w:r>
      <w:bookmarkStart w:id="67" w:name="_Toc122436884"/>
      <w:bookmarkStart w:id="68" w:name="_Toc222486574"/>
      <w:bookmarkStart w:id="69" w:name="_Toc242870244"/>
      <w:r w:rsidR="00E9452E">
        <w:rPr>
          <w:rFonts w:ascii="ＭＳ ゴシック" w:eastAsia="ＭＳ ゴシック" w:hAnsi="ＭＳ ゴシック" w:hint="eastAsia"/>
          <w:u w:val="single"/>
        </w:rPr>
        <w:lastRenderedPageBreak/>
        <w:t>７</w:t>
      </w:r>
      <w:r w:rsidR="00E9452E" w:rsidRPr="001D6D10">
        <w:rPr>
          <w:rFonts w:ascii="ＭＳ ゴシック" w:eastAsia="ＭＳ ゴシック" w:hAnsi="ＭＳ ゴシック" w:hint="eastAsia"/>
          <w:u w:val="single"/>
        </w:rPr>
        <w:t xml:space="preserve">　災害対策本部各班の事務分掌</w:t>
      </w:r>
      <w:bookmarkEnd w:id="67"/>
      <w:bookmarkEnd w:id="68"/>
      <w:bookmarkEnd w:id="69"/>
    </w:p>
    <w:p w14:paraId="33CE06BA" w14:textId="1D9F92A4" w:rsidR="005D372A" w:rsidRPr="001D6D10" w:rsidRDefault="005D372A" w:rsidP="005D372A">
      <w:pPr>
        <w:pStyle w:val="ad"/>
        <w:wordWrap/>
        <w:overflowPunct w:val="0"/>
        <w:spacing w:line="240" w:lineRule="auto"/>
        <w:ind w:leftChars="300" w:left="633" w:rightChars="-175" w:right="-369" w:firstLineChars="100" w:firstLine="221"/>
      </w:pPr>
      <w:r w:rsidRPr="001D6D10">
        <w:rPr>
          <w:rFonts w:hint="eastAsia"/>
        </w:rPr>
        <w:t>災害対策本部設置時における各班の事務分掌は、大阪府処務規程（昭和２８年２月１日大阪府訓令第１号）及び大阪府教育</w:t>
      </w:r>
      <w:r w:rsidR="00032EB2" w:rsidRPr="001D6D10">
        <w:rPr>
          <w:rFonts w:hint="eastAsia"/>
        </w:rPr>
        <w:t>庁</w:t>
      </w:r>
      <w:r w:rsidRPr="001D6D10">
        <w:rPr>
          <w:rFonts w:hint="eastAsia"/>
        </w:rPr>
        <w:t>処務規程（昭和２９年６月２日大阪府教育委員会訓令第１号）の各課の分掌事務に係る応急対策の実施（被害の把握を含む）のほか、概ね次のとおりとする。</w:t>
      </w:r>
    </w:p>
    <w:p w14:paraId="01E4CFE3" w14:textId="77777777" w:rsidR="005D372A" w:rsidRPr="001D6D10" w:rsidRDefault="005D372A" w:rsidP="005D372A">
      <w:pPr>
        <w:pStyle w:val="ad"/>
        <w:wordWrap/>
        <w:overflowPunct w:val="0"/>
        <w:spacing w:line="240" w:lineRule="auto"/>
        <w:ind w:leftChars="300" w:left="633" w:rightChars="-376" w:right="-794"/>
      </w:pPr>
    </w:p>
    <w:tbl>
      <w:tblPr>
        <w:tblStyle w:val="ab"/>
        <w:tblW w:w="10632" w:type="dxa"/>
        <w:tblInd w:w="-885" w:type="dxa"/>
        <w:tblLayout w:type="fixed"/>
        <w:tblLook w:val="04A0" w:firstRow="1" w:lastRow="0" w:firstColumn="1" w:lastColumn="0" w:noHBand="0" w:noVBand="1"/>
      </w:tblPr>
      <w:tblGrid>
        <w:gridCol w:w="426"/>
        <w:gridCol w:w="1134"/>
        <w:gridCol w:w="1276"/>
        <w:gridCol w:w="1730"/>
        <w:gridCol w:w="6066"/>
      </w:tblGrid>
      <w:tr w:rsidR="001D6D10" w:rsidRPr="001D6D10" w14:paraId="39D06F40" w14:textId="77777777" w:rsidTr="005F51E1">
        <w:trPr>
          <w:tblHeader/>
        </w:trPr>
        <w:tc>
          <w:tcPr>
            <w:tcW w:w="426" w:type="dxa"/>
            <w:shd w:val="clear" w:color="auto" w:fill="F2F2F2" w:themeFill="background1" w:themeFillShade="F2"/>
          </w:tcPr>
          <w:p w14:paraId="4207E16D" w14:textId="77777777" w:rsidR="005D372A" w:rsidRPr="001D6D10" w:rsidRDefault="005D372A" w:rsidP="008B4B2B">
            <w:pPr>
              <w:spacing w:line="300" w:lineRule="exact"/>
            </w:pPr>
            <w:r w:rsidRPr="00E0548A">
              <w:rPr>
                <w:rFonts w:hint="eastAsia"/>
                <w:w w:val="50"/>
                <w:kern w:val="0"/>
                <w:fitText w:val="211" w:id="-1954281981"/>
              </w:rPr>
              <w:t>部名</w:t>
            </w:r>
          </w:p>
        </w:tc>
        <w:tc>
          <w:tcPr>
            <w:tcW w:w="1134" w:type="dxa"/>
            <w:shd w:val="clear" w:color="auto" w:fill="F2F2F2" w:themeFill="background1" w:themeFillShade="F2"/>
            <w:vAlign w:val="center"/>
          </w:tcPr>
          <w:p w14:paraId="435FE1A6" w14:textId="77777777" w:rsidR="005D372A" w:rsidRPr="001D6D10" w:rsidRDefault="005D372A" w:rsidP="008B4B2B">
            <w:pPr>
              <w:spacing w:line="300" w:lineRule="exact"/>
              <w:jc w:val="center"/>
            </w:pPr>
            <w:r w:rsidRPr="001D6D10">
              <w:rPr>
                <w:rFonts w:hint="eastAsia"/>
                <w:w w:val="80"/>
                <w:kern w:val="0"/>
                <w:fitText w:val="844" w:id="-1954281980"/>
              </w:rPr>
              <w:t>部長担当</w:t>
            </w:r>
            <w:r w:rsidRPr="001D6D10">
              <w:rPr>
                <w:rFonts w:hint="eastAsia"/>
                <w:spacing w:val="3"/>
                <w:w w:val="80"/>
                <w:kern w:val="0"/>
                <w:fitText w:val="844" w:id="-1954281980"/>
              </w:rPr>
              <w:t>職</w:t>
            </w:r>
          </w:p>
        </w:tc>
        <w:tc>
          <w:tcPr>
            <w:tcW w:w="1276" w:type="dxa"/>
            <w:shd w:val="clear" w:color="auto" w:fill="F2F2F2" w:themeFill="background1" w:themeFillShade="F2"/>
            <w:vAlign w:val="center"/>
          </w:tcPr>
          <w:p w14:paraId="50607FFC" w14:textId="77777777" w:rsidR="005D372A" w:rsidRPr="001D6D10" w:rsidRDefault="005D372A" w:rsidP="008B4B2B">
            <w:pPr>
              <w:spacing w:line="300" w:lineRule="exact"/>
              <w:jc w:val="center"/>
            </w:pPr>
            <w:r w:rsidRPr="001D6D10">
              <w:rPr>
                <w:rFonts w:hint="eastAsia"/>
              </w:rPr>
              <w:t>班　　名</w:t>
            </w:r>
          </w:p>
        </w:tc>
        <w:tc>
          <w:tcPr>
            <w:tcW w:w="1730" w:type="dxa"/>
            <w:shd w:val="clear" w:color="auto" w:fill="F2F2F2" w:themeFill="background1" w:themeFillShade="F2"/>
            <w:vAlign w:val="center"/>
          </w:tcPr>
          <w:p w14:paraId="211AC8DB" w14:textId="77777777" w:rsidR="005D372A" w:rsidRPr="001D6D10" w:rsidRDefault="005D372A" w:rsidP="008B4B2B">
            <w:pPr>
              <w:spacing w:line="300" w:lineRule="exact"/>
              <w:jc w:val="center"/>
            </w:pPr>
            <w:r w:rsidRPr="001D6D10">
              <w:rPr>
                <w:rFonts w:hint="eastAsia"/>
                <w:spacing w:val="14"/>
                <w:kern w:val="0"/>
                <w:fitText w:val="1161" w:id="-1954281979"/>
              </w:rPr>
              <w:t>班長担当</w:t>
            </w:r>
            <w:r w:rsidRPr="001D6D10">
              <w:rPr>
                <w:rFonts w:hint="eastAsia"/>
                <w:kern w:val="0"/>
                <w:fitText w:val="1161" w:id="-1954281979"/>
              </w:rPr>
              <w:t>職</w:t>
            </w:r>
          </w:p>
        </w:tc>
        <w:tc>
          <w:tcPr>
            <w:tcW w:w="6066" w:type="dxa"/>
            <w:shd w:val="clear" w:color="auto" w:fill="F2F2F2" w:themeFill="background1" w:themeFillShade="F2"/>
            <w:vAlign w:val="center"/>
          </w:tcPr>
          <w:p w14:paraId="1B983907" w14:textId="77777777" w:rsidR="005D372A" w:rsidRPr="001D6D10" w:rsidRDefault="005D372A" w:rsidP="008B4B2B">
            <w:pPr>
              <w:spacing w:line="300" w:lineRule="exact"/>
              <w:jc w:val="center"/>
            </w:pPr>
            <w:r w:rsidRPr="001D6D10">
              <w:rPr>
                <w:rFonts w:hint="eastAsia"/>
                <w:spacing w:val="177"/>
                <w:kern w:val="0"/>
                <w:fitText w:val="1899" w:id="-1954281978"/>
              </w:rPr>
              <w:t>事務分</w:t>
            </w:r>
            <w:r w:rsidRPr="001D6D10">
              <w:rPr>
                <w:rFonts w:hint="eastAsia"/>
                <w:spacing w:val="-1"/>
                <w:kern w:val="0"/>
                <w:fitText w:val="1899" w:id="-1954281978"/>
              </w:rPr>
              <w:t>掌</w:t>
            </w:r>
          </w:p>
        </w:tc>
      </w:tr>
      <w:tr w:rsidR="00610BB0" w:rsidRPr="001D6D10" w14:paraId="12F118FC" w14:textId="77777777" w:rsidTr="005F51E1">
        <w:tc>
          <w:tcPr>
            <w:tcW w:w="426" w:type="dxa"/>
            <w:vMerge w:val="restart"/>
          </w:tcPr>
          <w:p w14:paraId="0C48BC73" w14:textId="77777777" w:rsidR="00610BB0" w:rsidRPr="001D6D10" w:rsidRDefault="00610BB0" w:rsidP="008B4B2B">
            <w:pPr>
              <w:spacing w:line="340" w:lineRule="exact"/>
            </w:pPr>
            <w:r w:rsidRPr="001D6D10">
              <w:rPr>
                <w:rFonts w:hint="eastAsia"/>
              </w:rPr>
              <w:t>政策企画部</w:t>
            </w:r>
          </w:p>
        </w:tc>
        <w:tc>
          <w:tcPr>
            <w:tcW w:w="1134" w:type="dxa"/>
            <w:vMerge w:val="restart"/>
          </w:tcPr>
          <w:p w14:paraId="5D724538" w14:textId="77777777" w:rsidR="00610BB0" w:rsidRPr="001D6D10" w:rsidRDefault="00610BB0" w:rsidP="008B4B2B">
            <w:pPr>
              <w:spacing w:line="340" w:lineRule="exact"/>
            </w:pPr>
            <w:r w:rsidRPr="001D6D10">
              <w:rPr>
                <w:rFonts w:hint="eastAsia"/>
              </w:rPr>
              <w:t>政策企画</w:t>
            </w:r>
          </w:p>
          <w:p w14:paraId="03D64D17" w14:textId="77777777" w:rsidR="00610BB0" w:rsidRPr="001D6D10" w:rsidRDefault="00610BB0" w:rsidP="008B4B2B">
            <w:pPr>
              <w:spacing w:line="340" w:lineRule="exact"/>
            </w:pPr>
            <w:r w:rsidRPr="001D6D10">
              <w:rPr>
                <w:rFonts w:hint="eastAsia"/>
              </w:rPr>
              <w:t>部長</w:t>
            </w:r>
          </w:p>
        </w:tc>
        <w:tc>
          <w:tcPr>
            <w:tcW w:w="1276" w:type="dxa"/>
          </w:tcPr>
          <w:p w14:paraId="4F58135E" w14:textId="77777777" w:rsidR="00610BB0" w:rsidRPr="001D6D10" w:rsidRDefault="00610BB0" w:rsidP="008B4B2B">
            <w:pPr>
              <w:spacing w:line="340" w:lineRule="exact"/>
            </w:pPr>
            <w:r w:rsidRPr="001D6D10">
              <w:rPr>
                <w:rFonts w:hint="eastAsia"/>
              </w:rPr>
              <w:t>総務班</w:t>
            </w:r>
          </w:p>
        </w:tc>
        <w:tc>
          <w:tcPr>
            <w:tcW w:w="1730" w:type="dxa"/>
          </w:tcPr>
          <w:p w14:paraId="00EBD6D7" w14:textId="77777777" w:rsidR="00610BB0" w:rsidRPr="001D6D10" w:rsidRDefault="00610BB0" w:rsidP="008B4B2B">
            <w:pPr>
              <w:spacing w:line="340" w:lineRule="exact"/>
            </w:pPr>
            <w:r w:rsidRPr="001D6D10">
              <w:rPr>
                <w:rFonts w:hint="eastAsia"/>
              </w:rPr>
              <w:t>政策企画総務課長</w:t>
            </w:r>
          </w:p>
        </w:tc>
        <w:tc>
          <w:tcPr>
            <w:tcW w:w="6066" w:type="dxa"/>
          </w:tcPr>
          <w:p w14:paraId="729DB9D6" w14:textId="77777777" w:rsidR="00610BB0" w:rsidRPr="001D6D10" w:rsidRDefault="00610BB0" w:rsidP="008B4B2B">
            <w:pPr>
              <w:spacing w:line="340" w:lineRule="exact"/>
            </w:pPr>
            <w:r w:rsidRPr="001D6D10">
              <w:rPr>
                <w:rFonts w:hint="eastAsia"/>
              </w:rPr>
              <w:t>１ 防災・危機管理指令部に関すること。</w:t>
            </w:r>
          </w:p>
          <w:p w14:paraId="27EF4EBD" w14:textId="77777777" w:rsidR="00610BB0" w:rsidRPr="001D6D10" w:rsidRDefault="00610BB0" w:rsidP="008B4B2B">
            <w:pPr>
              <w:spacing w:line="340" w:lineRule="exact"/>
            </w:pPr>
            <w:r w:rsidRPr="001D6D10">
              <w:rPr>
                <w:rFonts w:hint="eastAsia"/>
              </w:rPr>
              <w:t>２ 部内の連絡調整に関すること。</w:t>
            </w:r>
          </w:p>
          <w:p w14:paraId="22AC81C1" w14:textId="77777777" w:rsidR="00610BB0" w:rsidRPr="001D6D10" w:rsidRDefault="00610BB0" w:rsidP="008B4B2B">
            <w:pPr>
              <w:spacing w:line="340" w:lineRule="exact"/>
              <w:ind w:left="81" w:hanging="81"/>
            </w:pPr>
            <w:r w:rsidRPr="001D6D10">
              <w:rPr>
                <w:rFonts w:hint="eastAsia"/>
              </w:rPr>
              <w:t>３ 部内の被害状況のとりまとめ及び本部への報告に関すること。</w:t>
            </w:r>
          </w:p>
          <w:p w14:paraId="4EFA7B77" w14:textId="77777777" w:rsidR="00610BB0" w:rsidRPr="001D6D10" w:rsidRDefault="00610BB0" w:rsidP="008B4B2B">
            <w:pPr>
              <w:spacing w:line="340" w:lineRule="exact"/>
              <w:ind w:left="81" w:hanging="81"/>
            </w:pPr>
            <w:r w:rsidRPr="001D6D10">
              <w:rPr>
                <w:rFonts w:hint="eastAsia"/>
              </w:rPr>
              <w:t>４ 国の機関、国会議員等の視察・調査の受入れに関すること。</w:t>
            </w:r>
          </w:p>
          <w:p w14:paraId="7A5F6077" w14:textId="77777777" w:rsidR="00610BB0" w:rsidRPr="001D6D10" w:rsidRDefault="00610BB0" w:rsidP="008B4B2B">
            <w:pPr>
              <w:spacing w:line="340" w:lineRule="exact"/>
              <w:ind w:left="81" w:hanging="81"/>
            </w:pPr>
            <w:r w:rsidRPr="001D6D10">
              <w:rPr>
                <w:rFonts w:hint="eastAsia"/>
              </w:rPr>
              <w:t>５ 災害等に関する国の動静把握に関すること。</w:t>
            </w:r>
          </w:p>
          <w:p w14:paraId="3804A613" w14:textId="77777777" w:rsidR="00610BB0" w:rsidRPr="001D6D10" w:rsidRDefault="00610BB0" w:rsidP="008B4B2B">
            <w:pPr>
              <w:spacing w:line="340" w:lineRule="exact"/>
              <w:ind w:left="106" w:hangingChars="50" w:hanging="106"/>
            </w:pPr>
            <w:r w:rsidRPr="001D6D10">
              <w:rPr>
                <w:rFonts w:hint="eastAsia"/>
              </w:rPr>
              <w:t>６ 災害等の復旧・復興事業計画の策定に関すること。</w:t>
            </w:r>
          </w:p>
          <w:p w14:paraId="2563EFA9" w14:textId="77777777" w:rsidR="00610BB0" w:rsidRPr="001D6D10" w:rsidRDefault="00610BB0" w:rsidP="008B4B2B">
            <w:pPr>
              <w:spacing w:line="340" w:lineRule="exact"/>
              <w:ind w:left="106" w:hangingChars="50" w:hanging="106"/>
            </w:pPr>
            <w:r w:rsidRPr="001D6D10">
              <w:rPr>
                <w:rFonts w:hint="eastAsia"/>
              </w:rPr>
              <w:t>７ 国に対する緊急要望に関すること。</w:t>
            </w:r>
          </w:p>
          <w:p w14:paraId="05EDE82F" w14:textId="77777777" w:rsidR="00610BB0" w:rsidRPr="001D6D10" w:rsidRDefault="00610BB0" w:rsidP="008B4B2B">
            <w:pPr>
              <w:spacing w:line="340" w:lineRule="exact"/>
              <w:ind w:left="106" w:hangingChars="50" w:hanging="106"/>
            </w:pPr>
            <w:r w:rsidRPr="001D6D10">
              <w:rPr>
                <w:rFonts w:hint="eastAsia"/>
              </w:rPr>
              <w:t>８ 災害対策本部へのリエゾンの派遣に関すること。</w:t>
            </w:r>
          </w:p>
        </w:tc>
      </w:tr>
      <w:tr w:rsidR="00610BB0" w:rsidRPr="001D6D10" w14:paraId="7870AD5D" w14:textId="77777777" w:rsidTr="005F51E1">
        <w:tc>
          <w:tcPr>
            <w:tcW w:w="426" w:type="dxa"/>
            <w:vMerge/>
          </w:tcPr>
          <w:p w14:paraId="46584115" w14:textId="77777777" w:rsidR="00610BB0" w:rsidRPr="001D6D10" w:rsidRDefault="00610BB0" w:rsidP="008B4B2B">
            <w:pPr>
              <w:pStyle w:val="ad"/>
              <w:wordWrap/>
              <w:overflowPunct w:val="0"/>
              <w:spacing w:line="240" w:lineRule="auto"/>
              <w:ind w:rightChars="-376" w:right="-794"/>
            </w:pPr>
          </w:p>
        </w:tc>
        <w:tc>
          <w:tcPr>
            <w:tcW w:w="1134" w:type="dxa"/>
            <w:vMerge/>
          </w:tcPr>
          <w:p w14:paraId="42C58BAF" w14:textId="77777777" w:rsidR="00610BB0" w:rsidRPr="001D6D10" w:rsidRDefault="00610BB0" w:rsidP="008B4B2B">
            <w:pPr>
              <w:pStyle w:val="ad"/>
              <w:wordWrap/>
              <w:overflowPunct w:val="0"/>
              <w:spacing w:line="240" w:lineRule="auto"/>
              <w:ind w:rightChars="-376" w:right="-794"/>
            </w:pPr>
          </w:p>
        </w:tc>
        <w:tc>
          <w:tcPr>
            <w:tcW w:w="1276" w:type="dxa"/>
          </w:tcPr>
          <w:p w14:paraId="2F8C963C" w14:textId="77777777" w:rsidR="00610BB0" w:rsidRPr="00E0548A" w:rsidRDefault="00610BB0" w:rsidP="008B4B2B">
            <w:pPr>
              <w:spacing w:line="340" w:lineRule="exact"/>
            </w:pPr>
            <w:r w:rsidRPr="00E0548A">
              <w:rPr>
                <w:rFonts w:hint="eastAsia"/>
              </w:rPr>
              <w:t>秘書班</w:t>
            </w:r>
          </w:p>
        </w:tc>
        <w:tc>
          <w:tcPr>
            <w:tcW w:w="1730" w:type="dxa"/>
          </w:tcPr>
          <w:p w14:paraId="3F6C5796" w14:textId="77777777" w:rsidR="00610BB0" w:rsidRPr="00E0548A" w:rsidRDefault="00610BB0" w:rsidP="008B4B2B">
            <w:pPr>
              <w:spacing w:line="340" w:lineRule="exact"/>
            </w:pPr>
            <w:r w:rsidRPr="00E0548A">
              <w:rPr>
                <w:rFonts w:hint="eastAsia"/>
              </w:rPr>
              <w:t>秘書課長</w:t>
            </w:r>
          </w:p>
        </w:tc>
        <w:tc>
          <w:tcPr>
            <w:tcW w:w="6066" w:type="dxa"/>
          </w:tcPr>
          <w:p w14:paraId="3A68DC86" w14:textId="77777777" w:rsidR="00610BB0" w:rsidRPr="00E0548A" w:rsidRDefault="00610BB0" w:rsidP="008B4B2B">
            <w:pPr>
              <w:spacing w:line="340" w:lineRule="exact"/>
              <w:ind w:left="81" w:hanging="81"/>
            </w:pPr>
            <w:r w:rsidRPr="00E0548A">
              <w:rPr>
                <w:rFonts w:hint="eastAsia"/>
              </w:rPr>
              <w:t>１ 本部長及び副本部長の秘書に関すること。</w:t>
            </w:r>
          </w:p>
          <w:p w14:paraId="63E0E202" w14:textId="77777777" w:rsidR="00610BB0" w:rsidRPr="00E0548A" w:rsidRDefault="00610BB0" w:rsidP="008B4B2B">
            <w:pPr>
              <w:spacing w:line="340" w:lineRule="exact"/>
            </w:pPr>
            <w:r w:rsidRPr="00E0548A">
              <w:rPr>
                <w:rFonts w:hint="eastAsia"/>
              </w:rPr>
              <w:t>２ 災害等の見舞に関すること。</w:t>
            </w:r>
          </w:p>
          <w:p w14:paraId="454B650E" w14:textId="77777777" w:rsidR="00610BB0" w:rsidRPr="00E0548A" w:rsidRDefault="00610BB0" w:rsidP="008B4B2B">
            <w:pPr>
              <w:spacing w:line="340" w:lineRule="exact"/>
              <w:ind w:left="81" w:hanging="81"/>
            </w:pPr>
            <w:r w:rsidRPr="00E0548A">
              <w:rPr>
                <w:rFonts w:hint="eastAsia"/>
              </w:rPr>
              <w:t>３ 本部長及び副本部長の災害等の視察に関すること。</w:t>
            </w:r>
          </w:p>
        </w:tc>
      </w:tr>
      <w:tr w:rsidR="00610BB0" w:rsidRPr="001D6D10" w14:paraId="5AFADF28" w14:textId="77777777" w:rsidTr="005F51E1">
        <w:tc>
          <w:tcPr>
            <w:tcW w:w="426" w:type="dxa"/>
            <w:vMerge/>
          </w:tcPr>
          <w:p w14:paraId="15B7BC7A" w14:textId="77777777" w:rsidR="00610BB0" w:rsidRPr="001D6D10" w:rsidRDefault="00610BB0" w:rsidP="008B4B2B">
            <w:pPr>
              <w:pStyle w:val="ad"/>
              <w:wordWrap/>
              <w:overflowPunct w:val="0"/>
              <w:spacing w:line="240" w:lineRule="auto"/>
              <w:ind w:rightChars="-376" w:right="-794"/>
            </w:pPr>
          </w:p>
        </w:tc>
        <w:tc>
          <w:tcPr>
            <w:tcW w:w="1134" w:type="dxa"/>
            <w:vMerge/>
          </w:tcPr>
          <w:p w14:paraId="44C6592E" w14:textId="77777777" w:rsidR="00610BB0" w:rsidRPr="001D6D10" w:rsidRDefault="00610BB0" w:rsidP="008B4B2B">
            <w:pPr>
              <w:pStyle w:val="ad"/>
              <w:wordWrap/>
              <w:overflowPunct w:val="0"/>
              <w:spacing w:line="240" w:lineRule="auto"/>
              <w:ind w:rightChars="-376" w:right="-794"/>
            </w:pPr>
          </w:p>
        </w:tc>
        <w:tc>
          <w:tcPr>
            <w:tcW w:w="1276" w:type="dxa"/>
          </w:tcPr>
          <w:p w14:paraId="085810C8" w14:textId="77777777" w:rsidR="00610BB0" w:rsidRPr="00E0548A" w:rsidRDefault="00610BB0" w:rsidP="008B4B2B">
            <w:pPr>
              <w:spacing w:line="340" w:lineRule="exact"/>
              <w:rPr>
                <w:szCs w:val="20"/>
              </w:rPr>
            </w:pPr>
            <w:r w:rsidRPr="00E0548A">
              <w:rPr>
                <w:rFonts w:hint="eastAsia"/>
                <w:szCs w:val="20"/>
              </w:rPr>
              <w:t>計画班</w:t>
            </w:r>
          </w:p>
        </w:tc>
        <w:tc>
          <w:tcPr>
            <w:tcW w:w="1730" w:type="dxa"/>
          </w:tcPr>
          <w:p w14:paraId="35887EAE" w14:textId="77777777" w:rsidR="00610BB0" w:rsidRPr="00E0548A" w:rsidRDefault="00610BB0" w:rsidP="008B4B2B">
            <w:pPr>
              <w:spacing w:line="340" w:lineRule="exact"/>
              <w:ind w:left="6" w:hangingChars="3" w:hanging="6"/>
              <w:rPr>
                <w:szCs w:val="20"/>
              </w:rPr>
            </w:pPr>
            <w:r w:rsidRPr="00E0548A">
              <w:rPr>
                <w:rFonts w:hint="eastAsia"/>
                <w:szCs w:val="20"/>
              </w:rPr>
              <w:t>企画室推進課長</w:t>
            </w:r>
          </w:p>
        </w:tc>
        <w:tc>
          <w:tcPr>
            <w:tcW w:w="6066" w:type="dxa"/>
          </w:tcPr>
          <w:p w14:paraId="5070B1A0" w14:textId="77777777" w:rsidR="00610BB0" w:rsidRPr="00E0548A" w:rsidRDefault="00610BB0" w:rsidP="008B4B2B">
            <w:pPr>
              <w:spacing w:line="340" w:lineRule="exact"/>
              <w:rPr>
                <w:szCs w:val="20"/>
              </w:rPr>
            </w:pPr>
            <w:r w:rsidRPr="00E0548A">
              <w:rPr>
                <w:rFonts w:hint="eastAsia"/>
                <w:szCs w:val="20"/>
              </w:rPr>
              <w:t>１ 復興対策本部に関すること。</w:t>
            </w:r>
          </w:p>
          <w:p w14:paraId="0E5B2DDB" w14:textId="77777777" w:rsidR="00610BB0" w:rsidRPr="00E0548A" w:rsidRDefault="00610BB0" w:rsidP="008B4B2B">
            <w:pPr>
              <w:spacing w:line="340" w:lineRule="exact"/>
              <w:rPr>
                <w:szCs w:val="20"/>
              </w:rPr>
            </w:pPr>
            <w:r w:rsidRPr="00E0548A">
              <w:rPr>
                <w:rFonts w:hint="eastAsia"/>
                <w:szCs w:val="20"/>
              </w:rPr>
              <w:t>２ 復興基本方針の策定に関すること。</w:t>
            </w:r>
          </w:p>
        </w:tc>
      </w:tr>
      <w:tr w:rsidR="00610BB0" w:rsidRPr="001D6D10" w14:paraId="3A761234" w14:textId="77777777" w:rsidTr="005F51E1">
        <w:tc>
          <w:tcPr>
            <w:tcW w:w="426" w:type="dxa"/>
            <w:vMerge/>
          </w:tcPr>
          <w:p w14:paraId="654FEF00" w14:textId="77777777" w:rsidR="00610BB0" w:rsidRPr="001D6D10" w:rsidRDefault="00610BB0" w:rsidP="008B4B2B">
            <w:pPr>
              <w:pStyle w:val="ad"/>
              <w:wordWrap/>
              <w:overflowPunct w:val="0"/>
              <w:spacing w:line="240" w:lineRule="auto"/>
              <w:ind w:rightChars="-376" w:right="-794"/>
            </w:pPr>
          </w:p>
        </w:tc>
        <w:tc>
          <w:tcPr>
            <w:tcW w:w="1134" w:type="dxa"/>
            <w:vMerge/>
          </w:tcPr>
          <w:p w14:paraId="4690BB4D" w14:textId="77777777" w:rsidR="00610BB0" w:rsidRPr="001D6D10" w:rsidRDefault="00610BB0" w:rsidP="008B4B2B">
            <w:pPr>
              <w:pStyle w:val="ad"/>
              <w:wordWrap/>
              <w:overflowPunct w:val="0"/>
              <w:spacing w:line="240" w:lineRule="auto"/>
              <w:ind w:rightChars="-376" w:right="-794"/>
            </w:pPr>
          </w:p>
        </w:tc>
        <w:tc>
          <w:tcPr>
            <w:tcW w:w="1276" w:type="dxa"/>
          </w:tcPr>
          <w:p w14:paraId="396E4CD1" w14:textId="6F68EF00" w:rsidR="00610BB0" w:rsidRPr="00E0548A" w:rsidRDefault="00610BB0" w:rsidP="008B4B2B">
            <w:pPr>
              <w:spacing w:line="340" w:lineRule="exact"/>
            </w:pPr>
            <w:r w:rsidRPr="00E0548A">
              <w:rPr>
                <w:rFonts w:hint="eastAsia"/>
              </w:rPr>
              <w:t>連携班</w:t>
            </w:r>
          </w:p>
        </w:tc>
        <w:tc>
          <w:tcPr>
            <w:tcW w:w="1730" w:type="dxa"/>
          </w:tcPr>
          <w:p w14:paraId="43C60AEF" w14:textId="14598990" w:rsidR="00610BB0" w:rsidRPr="00E0548A" w:rsidRDefault="00610BB0" w:rsidP="008B4B2B">
            <w:pPr>
              <w:spacing w:line="340" w:lineRule="exact"/>
            </w:pPr>
            <w:r w:rsidRPr="00E0548A">
              <w:rPr>
                <w:rFonts w:hint="eastAsia"/>
              </w:rPr>
              <w:t>企画室連携課長</w:t>
            </w:r>
          </w:p>
          <w:p w14:paraId="1F9E4972" w14:textId="77777777" w:rsidR="00610BB0" w:rsidRPr="00E0548A" w:rsidRDefault="00610BB0" w:rsidP="008B4B2B">
            <w:pPr>
              <w:spacing w:line="340" w:lineRule="exact"/>
            </w:pPr>
          </w:p>
        </w:tc>
        <w:tc>
          <w:tcPr>
            <w:tcW w:w="6066" w:type="dxa"/>
          </w:tcPr>
          <w:p w14:paraId="16744CFE" w14:textId="77777777" w:rsidR="00610BB0" w:rsidRPr="00E0548A" w:rsidRDefault="00610BB0" w:rsidP="008B4B2B">
            <w:pPr>
              <w:spacing w:line="340" w:lineRule="exact"/>
            </w:pPr>
            <w:r w:rsidRPr="00E0548A">
              <w:rPr>
                <w:rFonts w:hint="eastAsia"/>
              </w:rPr>
              <w:t>１ 防災・危機管理指令部に関すること。</w:t>
            </w:r>
          </w:p>
          <w:p w14:paraId="06BA770E" w14:textId="77777777" w:rsidR="00610BB0" w:rsidRPr="00E0548A" w:rsidRDefault="00610BB0" w:rsidP="008B4B2B">
            <w:pPr>
              <w:spacing w:line="340" w:lineRule="exact"/>
              <w:ind w:left="106" w:hangingChars="50" w:hanging="106"/>
            </w:pPr>
            <w:r w:rsidRPr="00E0548A">
              <w:rPr>
                <w:rFonts w:hint="eastAsia"/>
              </w:rPr>
              <w:t>２ 京大原子炉に係る</w:t>
            </w:r>
            <w:r w:rsidRPr="00E0548A">
              <w:rPr>
                <w:rFonts w:hint="eastAsia"/>
                <w:szCs w:val="20"/>
              </w:rPr>
              <w:t>原子炉問題審議会への連絡調整</w:t>
            </w:r>
            <w:r w:rsidRPr="00E0548A">
              <w:rPr>
                <w:rFonts w:hint="eastAsia"/>
              </w:rPr>
              <w:t>に関すること。</w:t>
            </w:r>
          </w:p>
        </w:tc>
      </w:tr>
      <w:tr w:rsidR="00610BB0" w:rsidRPr="001D6D10" w14:paraId="1F4F9707" w14:textId="77777777" w:rsidTr="005F51E1">
        <w:tc>
          <w:tcPr>
            <w:tcW w:w="426" w:type="dxa"/>
            <w:vMerge/>
          </w:tcPr>
          <w:p w14:paraId="5EA51E9E" w14:textId="77777777" w:rsidR="00610BB0" w:rsidRPr="001D6D10" w:rsidRDefault="00610BB0" w:rsidP="008B4B2B">
            <w:pPr>
              <w:pStyle w:val="ad"/>
              <w:wordWrap/>
              <w:overflowPunct w:val="0"/>
              <w:spacing w:line="240" w:lineRule="auto"/>
              <w:ind w:rightChars="-376" w:right="-794"/>
            </w:pPr>
          </w:p>
        </w:tc>
        <w:tc>
          <w:tcPr>
            <w:tcW w:w="1134" w:type="dxa"/>
            <w:vMerge/>
          </w:tcPr>
          <w:p w14:paraId="7F948968" w14:textId="77777777" w:rsidR="00610BB0" w:rsidRPr="001D6D10" w:rsidRDefault="00610BB0" w:rsidP="008B4B2B">
            <w:pPr>
              <w:pStyle w:val="ad"/>
              <w:wordWrap/>
              <w:overflowPunct w:val="0"/>
              <w:spacing w:line="240" w:lineRule="auto"/>
              <w:ind w:rightChars="-376" w:right="-794"/>
            </w:pPr>
          </w:p>
        </w:tc>
        <w:tc>
          <w:tcPr>
            <w:tcW w:w="1276" w:type="dxa"/>
          </w:tcPr>
          <w:p w14:paraId="00685E36" w14:textId="77777777" w:rsidR="00610BB0" w:rsidRPr="00E0548A" w:rsidRDefault="00610BB0" w:rsidP="008B4B2B">
            <w:pPr>
              <w:spacing w:line="340" w:lineRule="exact"/>
            </w:pPr>
            <w:r w:rsidRPr="00E0548A">
              <w:rPr>
                <w:rFonts w:hint="eastAsia"/>
              </w:rPr>
              <w:t>空港班</w:t>
            </w:r>
          </w:p>
        </w:tc>
        <w:tc>
          <w:tcPr>
            <w:tcW w:w="1730" w:type="dxa"/>
          </w:tcPr>
          <w:p w14:paraId="3EF2E1CF" w14:textId="77777777" w:rsidR="00610BB0" w:rsidRPr="00E0548A" w:rsidRDefault="00610BB0" w:rsidP="008B4B2B">
            <w:pPr>
              <w:spacing w:line="340" w:lineRule="exact"/>
            </w:pPr>
            <w:r w:rsidRPr="00E0548A">
              <w:rPr>
                <w:rFonts w:hint="eastAsia"/>
              </w:rPr>
              <w:t>成長戦略局空港政策担当課長</w:t>
            </w:r>
          </w:p>
        </w:tc>
        <w:tc>
          <w:tcPr>
            <w:tcW w:w="6066" w:type="dxa"/>
          </w:tcPr>
          <w:p w14:paraId="06CD91C7" w14:textId="77777777" w:rsidR="00610BB0" w:rsidRPr="00E0548A" w:rsidRDefault="00610BB0" w:rsidP="008B4B2B">
            <w:pPr>
              <w:spacing w:line="340" w:lineRule="exact"/>
              <w:ind w:left="76" w:hangingChars="36" w:hanging="76"/>
            </w:pPr>
            <w:r w:rsidRPr="00E0548A">
              <w:rPr>
                <w:rFonts w:hint="eastAsia"/>
              </w:rPr>
              <w:t>１ 防災・危機管理指令部に関すること。</w:t>
            </w:r>
          </w:p>
          <w:p w14:paraId="175E3D69" w14:textId="77777777" w:rsidR="00610BB0" w:rsidRPr="00E0548A" w:rsidRDefault="00610BB0" w:rsidP="008B4B2B">
            <w:pPr>
              <w:spacing w:line="340" w:lineRule="exact"/>
            </w:pPr>
            <w:r w:rsidRPr="00E0548A">
              <w:rPr>
                <w:rFonts w:hint="eastAsia"/>
              </w:rPr>
              <w:t>２ 航空災害対策に関すること。</w:t>
            </w:r>
          </w:p>
          <w:p w14:paraId="1566AEE0" w14:textId="77777777" w:rsidR="00610BB0" w:rsidRPr="00E0548A" w:rsidRDefault="00610BB0" w:rsidP="008B4B2B">
            <w:pPr>
              <w:spacing w:line="340" w:lineRule="exact"/>
              <w:ind w:left="112" w:hangingChars="53" w:hanging="112"/>
            </w:pPr>
            <w:r w:rsidRPr="00E0548A">
              <w:rPr>
                <w:rFonts w:hint="eastAsia"/>
              </w:rPr>
              <w:t>３ 空港施設（八尾空港を除く）の災害等に係る連絡調整に関すること。</w:t>
            </w:r>
          </w:p>
        </w:tc>
      </w:tr>
      <w:tr w:rsidR="00610BB0" w:rsidRPr="001D6D10" w14:paraId="08648261" w14:textId="77777777" w:rsidTr="005F51E1">
        <w:tc>
          <w:tcPr>
            <w:tcW w:w="426" w:type="dxa"/>
            <w:vMerge/>
          </w:tcPr>
          <w:p w14:paraId="4B619E3E" w14:textId="77777777" w:rsidR="00610BB0" w:rsidRPr="001D6D10" w:rsidRDefault="00610BB0" w:rsidP="008B4B2B">
            <w:pPr>
              <w:pStyle w:val="ad"/>
              <w:wordWrap/>
              <w:overflowPunct w:val="0"/>
              <w:spacing w:line="240" w:lineRule="auto"/>
              <w:ind w:rightChars="-376" w:right="-794"/>
            </w:pPr>
          </w:p>
        </w:tc>
        <w:tc>
          <w:tcPr>
            <w:tcW w:w="1134" w:type="dxa"/>
            <w:vMerge/>
          </w:tcPr>
          <w:p w14:paraId="7B007AED" w14:textId="77777777" w:rsidR="00610BB0" w:rsidRPr="001D6D10" w:rsidRDefault="00610BB0" w:rsidP="008B4B2B">
            <w:pPr>
              <w:pStyle w:val="ad"/>
              <w:wordWrap/>
              <w:overflowPunct w:val="0"/>
              <w:spacing w:line="240" w:lineRule="auto"/>
              <w:ind w:rightChars="-376" w:right="-794"/>
            </w:pPr>
          </w:p>
        </w:tc>
        <w:tc>
          <w:tcPr>
            <w:tcW w:w="1276" w:type="dxa"/>
          </w:tcPr>
          <w:p w14:paraId="5C78BE19" w14:textId="4BCF4BF7" w:rsidR="00610BB0" w:rsidRPr="00E0548A" w:rsidRDefault="00610BB0" w:rsidP="008B4B2B">
            <w:pPr>
              <w:spacing w:line="340" w:lineRule="exact"/>
            </w:pPr>
            <w:r w:rsidRPr="00E0548A">
              <w:rPr>
                <w:rFonts w:hint="eastAsia"/>
              </w:rPr>
              <w:t>報道班</w:t>
            </w:r>
          </w:p>
        </w:tc>
        <w:tc>
          <w:tcPr>
            <w:tcW w:w="1730" w:type="dxa"/>
          </w:tcPr>
          <w:p w14:paraId="1F21A36B" w14:textId="77777777" w:rsidR="00610BB0" w:rsidRPr="00E0548A" w:rsidRDefault="00610BB0" w:rsidP="008B4B2B">
            <w:pPr>
              <w:spacing w:line="340" w:lineRule="exact"/>
            </w:pPr>
            <w:r w:rsidRPr="00E0548A">
              <w:rPr>
                <w:rFonts w:hint="eastAsia"/>
              </w:rPr>
              <w:t>企画室</w:t>
            </w:r>
          </w:p>
          <w:p w14:paraId="68870DA5" w14:textId="77777777" w:rsidR="00610BB0" w:rsidRPr="00E0548A" w:rsidRDefault="00610BB0" w:rsidP="008B4B2B">
            <w:pPr>
              <w:spacing w:line="340" w:lineRule="exact"/>
            </w:pPr>
            <w:r w:rsidRPr="00E0548A">
              <w:rPr>
                <w:rFonts w:hint="eastAsia"/>
              </w:rPr>
              <w:t>政策課長</w:t>
            </w:r>
          </w:p>
        </w:tc>
        <w:tc>
          <w:tcPr>
            <w:tcW w:w="6066" w:type="dxa"/>
          </w:tcPr>
          <w:p w14:paraId="2023619D" w14:textId="6AA21034" w:rsidR="00610BB0" w:rsidRPr="00E0548A" w:rsidRDefault="00610BB0" w:rsidP="008B4B2B">
            <w:pPr>
              <w:spacing w:line="340" w:lineRule="exact"/>
            </w:pPr>
            <w:r w:rsidRPr="00E0548A">
              <w:rPr>
                <w:rFonts w:hint="eastAsia"/>
              </w:rPr>
              <w:t>１　報道機関との連絡調整に関すること</w:t>
            </w:r>
          </w:p>
        </w:tc>
      </w:tr>
      <w:tr w:rsidR="001D6D10" w:rsidRPr="001D6D10" w14:paraId="37FED75F" w14:textId="77777777" w:rsidTr="005F51E1">
        <w:tc>
          <w:tcPr>
            <w:tcW w:w="426" w:type="dxa"/>
            <w:vMerge w:val="restart"/>
            <w:textDirection w:val="tbRlV"/>
          </w:tcPr>
          <w:p w14:paraId="63C71CBB" w14:textId="77777777" w:rsidR="004C2586" w:rsidRPr="001D6D10" w:rsidRDefault="004C2586" w:rsidP="005F51E1">
            <w:pPr>
              <w:pStyle w:val="ad"/>
              <w:overflowPunct w:val="0"/>
              <w:spacing w:line="240" w:lineRule="auto"/>
              <w:ind w:left="113" w:rightChars="-376" w:right="-794"/>
              <w:rPr>
                <w:sz w:val="21"/>
              </w:rPr>
            </w:pPr>
            <w:r w:rsidRPr="001D6D10">
              <w:rPr>
                <w:rFonts w:hint="eastAsia"/>
                <w:sz w:val="21"/>
              </w:rPr>
              <w:t>総務部</w:t>
            </w:r>
          </w:p>
        </w:tc>
        <w:tc>
          <w:tcPr>
            <w:tcW w:w="1134" w:type="dxa"/>
            <w:vMerge w:val="restart"/>
          </w:tcPr>
          <w:p w14:paraId="68A611EA" w14:textId="77777777" w:rsidR="004C2586" w:rsidRPr="001D6D10" w:rsidRDefault="004C2586" w:rsidP="008B4B2B">
            <w:pPr>
              <w:pStyle w:val="ad"/>
              <w:overflowPunct w:val="0"/>
              <w:spacing w:line="240" w:lineRule="auto"/>
              <w:ind w:rightChars="-376" w:right="-794"/>
            </w:pPr>
            <w:r w:rsidRPr="001D6D10">
              <w:rPr>
                <w:rFonts w:hint="eastAsia"/>
                <w:sz w:val="21"/>
              </w:rPr>
              <w:t>総務部長</w:t>
            </w:r>
          </w:p>
        </w:tc>
        <w:tc>
          <w:tcPr>
            <w:tcW w:w="1276" w:type="dxa"/>
          </w:tcPr>
          <w:p w14:paraId="460A31FF" w14:textId="77777777" w:rsidR="004C2586" w:rsidRPr="001D6D10" w:rsidRDefault="004C2586" w:rsidP="008B4B2B">
            <w:pPr>
              <w:spacing w:line="340" w:lineRule="exact"/>
            </w:pPr>
            <w:r w:rsidRPr="001D6D10">
              <w:rPr>
                <w:rFonts w:hint="eastAsia"/>
              </w:rPr>
              <w:t>法務班</w:t>
            </w:r>
          </w:p>
        </w:tc>
        <w:tc>
          <w:tcPr>
            <w:tcW w:w="1730" w:type="dxa"/>
          </w:tcPr>
          <w:p w14:paraId="102CE45F" w14:textId="77777777" w:rsidR="004C2586" w:rsidRPr="001D6D10" w:rsidRDefault="004C2586" w:rsidP="008B4B2B">
            <w:pPr>
              <w:spacing w:line="340" w:lineRule="exact"/>
              <w:rPr>
                <w:w w:val="66"/>
                <w:szCs w:val="21"/>
              </w:rPr>
            </w:pPr>
            <w:r w:rsidRPr="001D6D10">
              <w:rPr>
                <w:rFonts w:hint="eastAsia"/>
              </w:rPr>
              <w:t>法務課長</w:t>
            </w:r>
          </w:p>
        </w:tc>
        <w:tc>
          <w:tcPr>
            <w:tcW w:w="6066" w:type="dxa"/>
          </w:tcPr>
          <w:p w14:paraId="2541D719" w14:textId="77777777" w:rsidR="004C2586" w:rsidRPr="001D6D10" w:rsidRDefault="004C2586" w:rsidP="008B4B2B">
            <w:pPr>
              <w:spacing w:line="340" w:lineRule="exact"/>
            </w:pPr>
            <w:r w:rsidRPr="001D6D10">
              <w:rPr>
                <w:rFonts w:hint="eastAsia"/>
              </w:rPr>
              <w:t>１ 防災・危機管理指令部に関すること。</w:t>
            </w:r>
          </w:p>
          <w:p w14:paraId="69E5919A" w14:textId="77777777" w:rsidR="004C2586" w:rsidRPr="001D6D10" w:rsidRDefault="004C2586" w:rsidP="008B4B2B">
            <w:pPr>
              <w:spacing w:line="340" w:lineRule="exact"/>
            </w:pPr>
            <w:r w:rsidRPr="001D6D10">
              <w:rPr>
                <w:rFonts w:hint="eastAsia"/>
              </w:rPr>
              <w:t>２ 部内各班の連絡調整に関すること。</w:t>
            </w:r>
          </w:p>
          <w:p w14:paraId="270FB1A4" w14:textId="77777777" w:rsidR="004C2586" w:rsidRPr="001D6D10" w:rsidRDefault="004C2586" w:rsidP="008B4B2B">
            <w:pPr>
              <w:spacing w:line="340" w:lineRule="exact"/>
              <w:ind w:left="81" w:hanging="81"/>
            </w:pPr>
            <w:r w:rsidRPr="001D6D10">
              <w:rPr>
                <w:rFonts w:hint="eastAsia"/>
              </w:rPr>
              <w:t>３ 部内各班の被害状況のとりまとめ及び本部への報告に関すること。</w:t>
            </w:r>
          </w:p>
          <w:p w14:paraId="201E9B40" w14:textId="77777777" w:rsidR="004C2586" w:rsidRPr="001D6D10" w:rsidRDefault="004C2586" w:rsidP="008B4B2B">
            <w:pPr>
              <w:spacing w:line="340" w:lineRule="exact"/>
              <w:ind w:left="79" w:hanging="79"/>
            </w:pPr>
            <w:r w:rsidRPr="001D6D10">
              <w:rPr>
                <w:rFonts w:hint="eastAsia"/>
              </w:rPr>
              <w:t>４ 災害等の復旧・復興事業計画の策定に関すること。</w:t>
            </w:r>
          </w:p>
          <w:p w14:paraId="5136A257" w14:textId="77777777" w:rsidR="004C2586" w:rsidRPr="001D6D10" w:rsidRDefault="004C2586" w:rsidP="008B4B2B">
            <w:pPr>
              <w:spacing w:line="340" w:lineRule="exact"/>
            </w:pPr>
            <w:r w:rsidRPr="001D6D10">
              <w:rPr>
                <w:rFonts w:hint="eastAsia"/>
              </w:rPr>
              <w:t>５ 災害対策本部へのリエゾンの派遣に関すること。</w:t>
            </w:r>
          </w:p>
        </w:tc>
      </w:tr>
      <w:tr w:rsidR="001D6D10" w:rsidRPr="001D6D10" w14:paraId="0D321809" w14:textId="77777777" w:rsidTr="005F51E1">
        <w:tc>
          <w:tcPr>
            <w:tcW w:w="426" w:type="dxa"/>
            <w:vMerge/>
          </w:tcPr>
          <w:p w14:paraId="46992357" w14:textId="77777777" w:rsidR="004C2586" w:rsidRPr="001D6D10" w:rsidRDefault="004C2586" w:rsidP="008B4B2B">
            <w:pPr>
              <w:pStyle w:val="ad"/>
              <w:overflowPunct w:val="0"/>
              <w:spacing w:line="240" w:lineRule="auto"/>
              <w:ind w:left="113" w:rightChars="-376" w:right="-794"/>
            </w:pPr>
          </w:p>
        </w:tc>
        <w:tc>
          <w:tcPr>
            <w:tcW w:w="1134" w:type="dxa"/>
            <w:vMerge/>
          </w:tcPr>
          <w:p w14:paraId="7BED938C" w14:textId="77777777" w:rsidR="004C2586" w:rsidRPr="001D6D10" w:rsidRDefault="004C2586" w:rsidP="008B4B2B">
            <w:pPr>
              <w:pStyle w:val="ad"/>
              <w:overflowPunct w:val="0"/>
              <w:spacing w:line="240" w:lineRule="auto"/>
              <w:ind w:rightChars="-376" w:right="-794"/>
            </w:pPr>
          </w:p>
        </w:tc>
        <w:tc>
          <w:tcPr>
            <w:tcW w:w="1276" w:type="dxa"/>
          </w:tcPr>
          <w:p w14:paraId="644264FB" w14:textId="77777777" w:rsidR="004C2586" w:rsidRPr="001D6D10" w:rsidRDefault="004C2586" w:rsidP="008B4B2B">
            <w:pPr>
              <w:spacing w:line="340" w:lineRule="exact"/>
            </w:pPr>
            <w:r w:rsidRPr="001D6D10">
              <w:rPr>
                <w:rFonts w:hint="eastAsia"/>
              </w:rPr>
              <w:t>人事企画</w:t>
            </w:r>
          </w:p>
          <w:p w14:paraId="6228EC97" w14:textId="77777777" w:rsidR="004C2586" w:rsidRPr="001D6D10" w:rsidRDefault="004C2586" w:rsidP="008B4B2B">
            <w:pPr>
              <w:spacing w:line="340" w:lineRule="exact"/>
              <w:rPr>
                <w:strike/>
              </w:rPr>
            </w:pPr>
            <w:r w:rsidRPr="001D6D10">
              <w:rPr>
                <w:rFonts w:hint="eastAsia"/>
              </w:rPr>
              <w:t>厚生班</w:t>
            </w:r>
          </w:p>
        </w:tc>
        <w:tc>
          <w:tcPr>
            <w:tcW w:w="1730" w:type="dxa"/>
          </w:tcPr>
          <w:p w14:paraId="1872B19B" w14:textId="77777777" w:rsidR="004C2586" w:rsidRPr="001D6D10" w:rsidRDefault="004C2586" w:rsidP="008B4B2B">
            <w:pPr>
              <w:spacing w:line="340" w:lineRule="exact"/>
              <w:rPr>
                <w:strike/>
                <w:szCs w:val="21"/>
              </w:rPr>
            </w:pPr>
            <w:r w:rsidRPr="001D6D10">
              <w:rPr>
                <w:rFonts w:hint="eastAsia"/>
              </w:rPr>
              <w:t>企画厚生課長</w:t>
            </w:r>
          </w:p>
        </w:tc>
        <w:tc>
          <w:tcPr>
            <w:tcW w:w="6066" w:type="dxa"/>
          </w:tcPr>
          <w:p w14:paraId="03143D90" w14:textId="77777777" w:rsidR="004C2586" w:rsidRPr="001D6D10" w:rsidRDefault="004C2586" w:rsidP="008B4B2B">
            <w:pPr>
              <w:spacing w:line="340" w:lineRule="exact"/>
              <w:ind w:left="81" w:hanging="81"/>
            </w:pPr>
            <w:r w:rsidRPr="001D6D10">
              <w:rPr>
                <w:rFonts w:hint="eastAsia"/>
              </w:rPr>
              <w:t>１ 災害等時における職員の服務に関すること。</w:t>
            </w:r>
          </w:p>
          <w:p w14:paraId="3A8A5DE8" w14:textId="77777777" w:rsidR="004C2586" w:rsidRPr="001D6D10" w:rsidRDefault="004C2586" w:rsidP="008B4B2B">
            <w:pPr>
              <w:spacing w:line="340" w:lineRule="exact"/>
            </w:pPr>
            <w:r w:rsidRPr="001D6D10">
              <w:rPr>
                <w:rFonts w:hint="eastAsia"/>
              </w:rPr>
              <w:t>２ 職員の</w:t>
            </w:r>
            <w:r w:rsidRPr="001D6D10">
              <w:rPr>
                <w:rFonts w:hAnsi="ＭＳ 明朝" w:hint="eastAsia"/>
              </w:rPr>
              <w:t>健康管理と安全確保</w:t>
            </w:r>
            <w:r w:rsidRPr="001D6D10">
              <w:rPr>
                <w:rFonts w:hint="eastAsia"/>
              </w:rPr>
              <w:t>に関すること。</w:t>
            </w:r>
          </w:p>
          <w:p w14:paraId="694167A5" w14:textId="77777777" w:rsidR="004C2586" w:rsidRPr="001D6D10" w:rsidRDefault="004C2586" w:rsidP="008B4B2B">
            <w:pPr>
              <w:spacing w:line="340" w:lineRule="exact"/>
              <w:rPr>
                <w:strike/>
              </w:rPr>
            </w:pPr>
            <w:r w:rsidRPr="001D6D10">
              <w:rPr>
                <w:rFonts w:hint="eastAsia"/>
              </w:rPr>
              <w:t>３ 職員の災害等の補償に関すること。</w:t>
            </w:r>
          </w:p>
        </w:tc>
      </w:tr>
      <w:tr w:rsidR="001D6D10" w:rsidRPr="001D6D10" w14:paraId="1454CDF1" w14:textId="77777777" w:rsidTr="005F51E1">
        <w:trPr>
          <w:cantSplit/>
          <w:trHeight w:val="1134"/>
        </w:trPr>
        <w:tc>
          <w:tcPr>
            <w:tcW w:w="426" w:type="dxa"/>
            <w:vMerge/>
            <w:textDirection w:val="tbRlV"/>
          </w:tcPr>
          <w:p w14:paraId="55D0C4BF" w14:textId="77777777" w:rsidR="004C2586" w:rsidRPr="001D6D10" w:rsidRDefault="004C2586" w:rsidP="008B4B2B">
            <w:pPr>
              <w:pStyle w:val="ad"/>
              <w:wordWrap/>
              <w:overflowPunct w:val="0"/>
              <w:spacing w:line="240" w:lineRule="auto"/>
              <w:ind w:left="113" w:rightChars="-376" w:right="-794"/>
              <w:rPr>
                <w:sz w:val="21"/>
              </w:rPr>
            </w:pPr>
          </w:p>
        </w:tc>
        <w:tc>
          <w:tcPr>
            <w:tcW w:w="1134" w:type="dxa"/>
            <w:vMerge/>
          </w:tcPr>
          <w:p w14:paraId="4518A50F" w14:textId="77777777" w:rsidR="004C2586" w:rsidRPr="001D6D10" w:rsidRDefault="004C2586" w:rsidP="008B4B2B">
            <w:pPr>
              <w:pStyle w:val="ad"/>
              <w:wordWrap/>
              <w:overflowPunct w:val="0"/>
              <w:spacing w:line="240" w:lineRule="auto"/>
              <w:ind w:rightChars="-376" w:right="-794"/>
              <w:rPr>
                <w:sz w:val="21"/>
              </w:rPr>
            </w:pPr>
          </w:p>
        </w:tc>
        <w:tc>
          <w:tcPr>
            <w:tcW w:w="1276" w:type="dxa"/>
          </w:tcPr>
          <w:p w14:paraId="5D8109D6" w14:textId="77777777" w:rsidR="004C2586" w:rsidRPr="001D6D10" w:rsidRDefault="004C2586" w:rsidP="008B4B2B">
            <w:pPr>
              <w:spacing w:line="340" w:lineRule="exact"/>
            </w:pPr>
            <w:r w:rsidRPr="001D6D10">
              <w:rPr>
                <w:rFonts w:hint="eastAsia"/>
              </w:rPr>
              <w:t>動員班</w:t>
            </w:r>
          </w:p>
        </w:tc>
        <w:tc>
          <w:tcPr>
            <w:tcW w:w="1730" w:type="dxa"/>
          </w:tcPr>
          <w:p w14:paraId="0E4DC7A3" w14:textId="77777777" w:rsidR="004C2586" w:rsidRPr="001D6D10" w:rsidRDefault="004C2586" w:rsidP="008B4B2B">
            <w:pPr>
              <w:spacing w:line="340" w:lineRule="exact"/>
            </w:pPr>
            <w:r w:rsidRPr="001D6D10">
              <w:rPr>
                <w:rFonts w:hint="eastAsia"/>
              </w:rPr>
              <w:t>人事課長</w:t>
            </w:r>
          </w:p>
        </w:tc>
        <w:tc>
          <w:tcPr>
            <w:tcW w:w="6066" w:type="dxa"/>
          </w:tcPr>
          <w:p w14:paraId="58F05DD4" w14:textId="77777777" w:rsidR="004C2586" w:rsidRPr="001D6D10" w:rsidRDefault="004C2586" w:rsidP="008B4B2B">
            <w:pPr>
              <w:spacing w:line="340" w:lineRule="exact"/>
            </w:pPr>
            <w:r w:rsidRPr="001D6D10">
              <w:rPr>
                <w:rFonts w:hint="eastAsia"/>
              </w:rPr>
              <w:t>１ 防災・危機管理指令部に関すること。</w:t>
            </w:r>
          </w:p>
          <w:p w14:paraId="184C6EE7" w14:textId="77777777" w:rsidR="004C2586" w:rsidRPr="001D6D10" w:rsidRDefault="004C2586" w:rsidP="008B4B2B">
            <w:pPr>
              <w:spacing w:line="340" w:lineRule="exact"/>
            </w:pPr>
            <w:r w:rsidRPr="001D6D10">
              <w:rPr>
                <w:rFonts w:hint="eastAsia"/>
              </w:rPr>
              <w:t>２ 職員の輸送計画に関すること。</w:t>
            </w:r>
          </w:p>
          <w:p w14:paraId="47474213" w14:textId="77777777" w:rsidR="004C2586" w:rsidRPr="001D6D10" w:rsidRDefault="004C2586" w:rsidP="008B4B2B">
            <w:pPr>
              <w:spacing w:line="340" w:lineRule="exact"/>
              <w:ind w:left="81" w:hanging="81"/>
            </w:pPr>
            <w:r w:rsidRPr="001D6D10">
              <w:rPr>
                <w:rFonts w:hint="eastAsia"/>
              </w:rPr>
              <w:t>３ 災害等時における市町村への職員派遣（地方自治法第252条の17に基づく派遣）に関すること。</w:t>
            </w:r>
          </w:p>
          <w:p w14:paraId="13BEA88C" w14:textId="77777777" w:rsidR="004C2586" w:rsidRPr="001D6D10" w:rsidRDefault="004C2586" w:rsidP="008B4B2B">
            <w:pPr>
              <w:spacing w:line="340" w:lineRule="exact"/>
              <w:ind w:left="79" w:hanging="79"/>
            </w:pPr>
            <w:r w:rsidRPr="001D6D10">
              <w:rPr>
                <w:rFonts w:hint="eastAsia"/>
              </w:rPr>
              <w:t>４ 職員、職員の家族及び住宅の安否の調査並びに対策に関すること。</w:t>
            </w:r>
          </w:p>
        </w:tc>
      </w:tr>
      <w:tr w:rsidR="001D6D10" w:rsidRPr="001D6D10" w14:paraId="1C57F249" w14:textId="77777777" w:rsidTr="005F51E1">
        <w:tc>
          <w:tcPr>
            <w:tcW w:w="426" w:type="dxa"/>
            <w:vMerge/>
          </w:tcPr>
          <w:p w14:paraId="146D4A2E" w14:textId="77777777" w:rsidR="004C2586" w:rsidRPr="001D6D10" w:rsidRDefault="004C2586" w:rsidP="008B4B2B">
            <w:pPr>
              <w:pStyle w:val="ad"/>
              <w:wordWrap/>
              <w:overflowPunct w:val="0"/>
              <w:spacing w:line="240" w:lineRule="auto"/>
              <w:ind w:rightChars="-376" w:right="-794"/>
            </w:pPr>
          </w:p>
        </w:tc>
        <w:tc>
          <w:tcPr>
            <w:tcW w:w="1134" w:type="dxa"/>
            <w:vMerge/>
          </w:tcPr>
          <w:p w14:paraId="3FC37FF5" w14:textId="77777777" w:rsidR="004C2586" w:rsidRPr="001D6D10" w:rsidRDefault="004C2586" w:rsidP="008B4B2B">
            <w:pPr>
              <w:pStyle w:val="ad"/>
              <w:wordWrap/>
              <w:overflowPunct w:val="0"/>
              <w:spacing w:line="240" w:lineRule="auto"/>
              <w:ind w:rightChars="-376" w:right="-794"/>
            </w:pPr>
          </w:p>
        </w:tc>
        <w:tc>
          <w:tcPr>
            <w:tcW w:w="1276" w:type="dxa"/>
          </w:tcPr>
          <w:p w14:paraId="4A10AB27" w14:textId="77777777" w:rsidR="004C2586" w:rsidRPr="001D6D10" w:rsidRDefault="004C2586" w:rsidP="008B4B2B">
            <w:pPr>
              <w:spacing w:line="340" w:lineRule="exact"/>
            </w:pPr>
            <w:r w:rsidRPr="001D6D10">
              <w:rPr>
                <w:rFonts w:hint="eastAsia"/>
              </w:rPr>
              <w:t>市町村班</w:t>
            </w:r>
          </w:p>
        </w:tc>
        <w:tc>
          <w:tcPr>
            <w:tcW w:w="1730" w:type="dxa"/>
          </w:tcPr>
          <w:p w14:paraId="7C82C624" w14:textId="77777777" w:rsidR="004C2586" w:rsidRPr="001D6D10" w:rsidRDefault="004C2586" w:rsidP="008B4B2B">
            <w:pPr>
              <w:spacing w:line="340" w:lineRule="exact"/>
            </w:pPr>
            <w:r w:rsidRPr="001D6D10">
              <w:rPr>
                <w:rFonts w:hint="eastAsia"/>
              </w:rPr>
              <w:t>市町村局</w:t>
            </w:r>
          </w:p>
          <w:p w14:paraId="3FF83E27" w14:textId="77777777" w:rsidR="004C2586" w:rsidRPr="001D6D10" w:rsidRDefault="004C2586" w:rsidP="008B4B2B">
            <w:pPr>
              <w:spacing w:line="340" w:lineRule="exact"/>
            </w:pPr>
            <w:r w:rsidRPr="001D6D10">
              <w:rPr>
                <w:rFonts w:hint="eastAsia"/>
              </w:rPr>
              <w:t>行政課長</w:t>
            </w:r>
          </w:p>
          <w:p w14:paraId="31752760" w14:textId="77777777" w:rsidR="004C2586" w:rsidRPr="001D6D10" w:rsidRDefault="004C2586" w:rsidP="008B4B2B">
            <w:pPr>
              <w:spacing w:line="340" w:lineRule="exact"/>
            </w:pPr>
            <w:r w:rsidRPr="001D6D10">
              <w:rPr>
                <w:rFonts w:hint="eastAsia"/>
              </w:rPr>
              <w:t>振興課長</w:t>
            </w:r>
          </w:p>
        </w:tc>
        <w:tc>
          <w:tcPr>
            <w:tcW w:w="6066" w:type="dxa"/>
          </w:tcPr>
          <w:p w14:paraId="7674531B" w14:textId="77777777" w:rsidR="004C2586" w:rsidRPr="001D6D10" w:rsidRDefault="004C2586" w:rsidP="008B4B2B">
            <w:pPr>
              <w:spacing w:line="340" w:lineRule="exact"/>
              <w:ind w:left="211" w:hangingChars="100" w:hanging="211"/>
            </w:pPr>
            <w:r w:rsidRPr="001D6D10">
              <w:rPr>
                <w:rFonts w:hint="eastAsia"/>
              </w:rPr>
              <w:t xml:space="preserve">１ </w:t>
            </w:r>
            <w:r w:rsidRPr="001D6D10">
              <w:rPr>
                <w:rFonts w:hint="eastAsia"/>
                <w:kern w:val="0"/>
              </w:rPr>
              <w:t>市町村の災害等の対策に係る起債に関すること。</w:t>
            </w:r>
          </w:p>
          <w:p w14:paraId="67A52CB7" w14:textId="77777777" w:rsidR="004C2586" w:rsidRPr="001D6D10" w:rsidRDefault="004C2586" w:rsidP="008B4B2B">
            <w:pPr>
              <w:spacing w:line="340" w:lineRule="exact"/>
              <w:ind w:left="112" w:hangingChars="53" w:hanging="112"/>
            </w:pPr>
            <w:r w:rsidRPr="001D6D10">
              <w:rPr>
                <w:rFonts w:hint="eastAsia"/>
              </w:rPr>
              <w:t>２ 災害等の融資及び被災者への市町村民税の減免措置等の指導に関すること。</w:t>
            </w:r>
          </w:p>
          <w:p w14:paraId="46B156B3" w14:textId="77777777" w:rsidR="004C2586" w:rsidRPr="001D6D10" w:rsidRDefault="004C2586" w:rsidP="008B4B2B">
            <w:pPr>
              <w:spacing w:line="340" w:lineRule="exact"/>
            </w:pPr>
            <w:r w:rsidRPr="001D6D10">
              <w:rPr>
                <w:rFonts w:hint="eastAsia"/>
              </w:rPr>
              <w:t>３ 市町村行政の応援に関すること。</w:t>
            </w:r>
          </w:p>
        </w:tc>
      </w:tr>
      <w:tr w:rsidR="001D6D10" w:rsidRPr="001D6D10" w14:paraId="4289E624" w14:textId="77777777" w:rsidTr="005F51E1">
        <w:tc>
          <w:tcPr>
            <w:tcW w:w="426" w:type="dxa"/>
            <w:vMerge/>
          </w:tcPr>
          <w:p w14:paraId="74F6AB84" w14:textId="77777777" w:rsidR="004C2586" w:rsidRPr="001D6D10" w:rsidRDefault="004C2586" w:rsidP="008B4B2B">
            <w:pPr>
              <w:pStyle w:val="ad"/>
              <w:wordWrap/>
              <w:overflowPunct w:val="0"/>
              <w:spacing w:line="240" w:lineRule="auto"/>
              <w:ind w:rightChars="-376" w:right="-794"/>
            </w:pPr>
          </w:p>
        </w:tc>
        <w:tc>
          <w:tcPr>
            <w:tcW w:w="1134" w:type="dxa"/>
            <w:vMerge/>
          </w:tcPr>
          <w:p w14:paraId="361ECE5B" w14:textId="77777777" w:rsidR="004C2586" w:rsidRPr="001D6D10" w:rsidRDefault="004C2586" w:rsidP="008B4B2B">
            <w:pPr>
              <w:pStyle w:val="ad"/>
              <w:wordWrap/>
              <w:overflowPunct w:val="0"/>
              <w:spacing w:line="240" w:lineRule="auto"/>
              <w:ind w:rightChars="-376" w:right="-794"/>
            </w:pPr>
          </w:p>
        </w:tc>
        <w:tc>
          <w:tcPr>
            <w:tcW w:w="1276" w:type="dxa"/>
          </w:tcPr>
          <w:p w14:paraId="56DF4602" w14:textId="77777777" w:rsidR="004C2586" w:rsidRPr="001D6D10" w:rsidRDefault="004C2586" w:rsidP="008B4B2B">
            <w:pPr>
              <w:spacing w:line="340" w:lineRule="exact"/>
            </w:pPr>
            <w:r w:rsidRPr="001D6D10">
              <w:rPr>
                <w:rFonts w:hint="eastAsia"/>
              </w:rPr>
              <w:t>庁舎管理班</w:t>
            </w:r>
          </w:p>
        </w:tc>
        <w:tc>
          <w:tcPr>
            <w:tcW w:w="1730" w:type="dxa"/>
          </w:tcPr>
          <w:p w14:paraId="4E8DA978" w14:textId="77777777" w:rsidR="004C2586" w:rsidRPr="001D6D10" w:rsidRDefault="004C2586" w:rsidP="008B4B2B">
            <w:pPr>
              <w:spacing w:line="340" w:lineRule="exact"/>
            </w:pPr>
            <w:r w:rsidRPr="001D6D10">
              <w:rPr>
                <w:rFonts w:hint="eastAsia"/>
              </w:rPr>
              <w:t>庁舎室庁舎管理課長</w:t>
            </w:r>
          </w:p>
        </w:tc>
        <w:tc>
          <w:tcPr>
            <w:tcW w:w="6066" w:type="dxa"/>
          </w:tcPr>
          <w:p w14:paraId="2BAB4C44" w14:textId="77777777" w:rsidR="004C2586" w:rsidRPr="001D6D10" w:rsidRDefault="004C2586" w:rsidP="008B4B2B">
            <w:pPr>
              <w:spacing w:line="340" w:lineRule="exact"/>
              <w:ind w:left="81" w:hanging="81"/>
            </w:pPr>
            <w:r w:rsidRPr="001D6D10">
              <w:rPr>
                <w:rFonts w:hint="eastAsia"/>
              </w:rPr>
              <w:t>１ 防災・危機管理指令部に関すること。</w:t>
            </w:r>
          </w:p>
          <w:p w14:paraId="6599A737" w14:textId="77777777" w:rsidR="004C2586" w:rsidRPr="001D6D10" w:rsidRDefault="004C2586" w:rsidP="008B4B2B">
            <w:pPr>
              <w:spacing w:line="340" w:lineRule="exact"/>
            </w:pPr>
            <w:r w:rsidRPr="001D6D10">
              <w:rPr>
                <w:rFonts w:hint="eastAsia"/>
              </w:rPr>
              <w:t>２ 庁舎の復旧対策に関すること。</w:t>
            </w:r>
          </w:p>
          <w:p w14:paraId="52B0D301" w14:textId="77777777" w:rsidR="004C2586" w:rsidRPr="001D6D10" w:rsidRDefault="004C2586" w:rsidP="008B4B2B">
            <w:pPr>
              <w:spacing w:line="340" w:lineRule="exact"/>
              <w:ind w:left="81" w:hanging="81"/>
            </w:pPr>
            <w:r w:rsidRPr="001D6D10">
              <w:rPr>
                <w:rFonts w:hint="eastAsia"/>
              </w:rPr>
              <w:t xml:space="preserve">３ </w:t>
            </w:r>
            <w:r w:rsidRPr="001D6D10">
              <w:rPr>
                <w:rFonts w:hint="eastAsia"/>
                <w:szCs w:val="21"/>
              </w:rPr>
              <w:t>庁用車両の確保に関すること。</w:t>
            </w:r>
          </w:p>
          <w:p w14:paraId="649BA806" w14:textId="77777777" w:rsidR="004C2586" w:rsidRPr="001D6D10" w:rsidRDefault="004C2586" w:rsidP="008B4B2B">
            <w:pPr>
              <w:spacing w:line="340" w:lineRule="exact"/>
              <w:ind w:left="106" w:hangingChars="50" w:hanging="106"/>
            </w:pPr>
            <w:r w:rsidRPr="001D6D10">
              <w:rPr>
                <w:rFonts w:hint="eastAsia"/>
              </w:rPr>
              <w:t>４ 庁舎への避難者等の対応に関すること。</w:t>
            </w:r>
          </w:p>
        </w:tc>
      </w:tr>
      <w:tr w:rsidR="001D6D10" w:rsidRPr="001D6D10" w14:paraId="0214ABE8" w14:textId="77777777" w:rsidTr="005F51E1">
        <w:tc>
          <w:tcPr>
            <w:tcW w:w="426" w:type="dxa"/>
            <w:vMerge/>
          </w:tcPr>
          <w:p w14:paraId="3F4EC580" w14:textId="77777777" w:rsidR="004C2586" w:rsidRPr="001D6D10" w:rsidRDefault="004C2586" w:rsidP="008B4B2B">
            <w:pPr>
              <w:pStyle w:val="ad"/>
              <w:wordWrap/>
              <w:overflowPunct w:val="0"/>
              <w:spacing w:line="240" w:lineRule="auto"/>
              <w:ind w:rightChars="-376" w:right="-794"/>
            </w:pPr>
          </w:p>
        </w:tc>
        <w:tc>
          <w:tcPr>
            <w:tcW w:w="1134" w:type="dxa"/>
            <w:vMerge/>
          </w:tcPr>
          <w:p w14:paraId="4BFB91D9" w14:textId="77777777" w:rsidR="004C2586" w:rsidRPr="001D6D10" w:rsidRDefault="004C2586" w:rsidP="008B4B2B">
            <w:pPr>
              <w:pStyle w:val="ad"/>
              <w:wordWrap/>
              <w:overflowPunct w:val="0"/>
              <w:spacing w:line="240" w:lineRule="auto"/>
              <w:ind w:rightChars="-376" w:right="-794"/>
            </w:pPr>
          </w:p>
        </w:tc>
        <w:tc>
          <w:tcPr>
            <w:tcW w:w="1276" w:type="dxa"/>
          </w:tcPr>
          <w:p w14:paraId="0D16FD37" w14:textId="77777777" w:rsidR="004C2586" w:rsidRPr="001D6D10" w:rsidRDefault="004C2586" w:rsidP="008B4B2B">
            <w:pPr>
              <w:spacing w:line="340" w:lineRule="exact"/>
            </w:pPr>
            <w:r w:rsidRPr="001D6D10">
              <w:rPr>
                <w:rFonts w:hint="eastAsia"/>
              </w:rPr>
              <w:t>応援第１班</w:t>
            </w:r>
          </w:p>
        </w:tc>
        <w:tc>
          <w:tcPr>
            <w:tcW w:w="1730" w:type="dxa"/>
          </w:tcPr>
          <w:p w14:paraId="0EC8DE07" w14:textId="77777777" w:rsidR="004C2586" w:rsidRPr="001D6D10" w:rsidRDefault="004C2586" w:rsidP="008B4B2B">
            <w:pPr>
              <w:spacing w:line="340" w:lineRule="exact"/>
            </w:pPr>
            <w:r w:rsidRPr="00CC53E1">
              <w:rPr>
                <w:rFonts w:hint="eastAsia"/>
                <w:spacing w:val="2"/>
                <w:w w:val="87"/>
                <w:kern w:val="0"/>
                <w:fitText w:val="1477" w:id="-1532154112"/>
              </w:rPr>
              <w:t>総務サービス課</w:t>
            </w:r>
            <w:r w:rsidRPr="00CC53E1">
              <w:rPr>
                <w:rFonts w:hint="eastAsia"/>
                <w:spacing w:val="-3"/>
                <w:w w:val="87"/>
                <w:kern w:val="0"/>
                <w:fitText w:val="1477" w:id="-1532154112"/>
              </w:rPr>
              <w:t>長</w:t>
            </w:r>
          </w:p>
        </w:tc>
        <w:tc>
          <w:tcPr>
            <w:tcW w:w="6066" w:type="dxa"/>
          </w:tcPr>
          <w:p w14:paraId="4AFA5ED3" w14:textId="77777777" w:rsidR="004C2586" w:rsidRPr="001D6D10" w:rsidRDefault="004C2586" w:rsidP="008B4B2B">
            <w:pPr>
              <w:spacing w:line="340" w:lineRule="exact"/>
              <w:ind w:left="81" w:hanging="81"/>
            </w:pPr>
            <w:r w:rsidRPr="001D6D10">
              <w:rPr>
                <w:rFonts w:hint="eastAsia"/>
              </w:rPr>
              <w:t>他の班の応援に関すること。</w:t>
            </w:r>
          </w:p>
        </w:tc>
      </w:tr>
      <w:tr w:rsidR="001D6D10" w:rsidRPr="001D6D10" w14:paraId="6AD834F2" w14:textId="77777777" w:rsidTr="005F51E1">
        <w:tc>
          <w:tcPr>
            <w:tcW w:w="426" w:type="dxa"/>
            <w:vMerge/>
          </w:tcPr>
          <w:p w14:paraId="6E13A24B" w14:textId="77777777" w:rsidR="004C2586" w:rsidRPr="001D6D10" w:rsidRDefault="004C2586" w:rsidP="008B4B2B">
            <w:pPr>
              <w:pStyle w:val="ad"/>
              <w:wordWrap/>
              <w:overflowPunct w:val="0"/>
              <w:spacing w:line="240" w:lineRule="auto"/>
              <w:ind w:rightChars="-376" w:right="-794"/>
            </w:pPr>
          </w:p>
        </w:tc>
        <w:tc>
          <w:tcPr>
            <w:tcW w:w="1134" w:type="dxa"/>
            <w:vMerge/>
          </w:tcPr>
          <w:p w14:paraId="02460E3D" w14:textId="77777777" w:rsidR="004C2586" w:rsidRPr="001D6D10" w:rsidRDefault="004C2586" w:rsidP="008B4B2B">
            <w:pPr>
              <w:pStyle w:val="ad"/>
              <w:wordWrap/>
              <w:overflowPunct w:val="0"/>
              <w:spacing w:line="240" w:lineRule="auto"/>
              <w:ind w:rightChars="-376" w:right="-794"/>
            </w:pPr>
          </w:p>
        </w:tc>
        <w:tc>
          <w:tcPr>
            <w:tcW w:w="1276" w:type="dxa"/>
          </w:tcPr>
          <w:p w14:paraId="549CEF6F" w14:textId="77777777" w:rsidR="004C2586" w:rsidRPr="001D6D10" w:rsidRDefault="004C2586" w:rsidP="008B4B2B">
            <w:pPr>
              <w:spacing w:line="340" w:lineRule="exact"/>
            </w:pPr>
            <w:r w:rsidRPr="001D6D10">
              <w:rPr>
                <w:rFonts w:hint="eastAsia"/>
              </w:rPr>
              <w:t>応援第２班</w:t>
            </w:r>
          </w:p>
        </w:tc>
        <w:tc>
          <w:tcPr>
            <w:tcW w:w="1730" w:type="dxa"/>
          </w:tcPr>
          <w:p w14:paraId="239A54CA" w14:textId="77777777" w:rsidR="004C2586" w:rsidRPr="001D6D10" w:rsidRDefault="004C2586" w:rsidP="008B4B2B">
            <w:pPr>
              <w:spacing w:line="340" w:lineRule="exact"/>
            </w:pPr>
            <w:r w:rsidRPr="001D6D10">
              <w:rPr>
                <w:rFonts w:hint="eastAsia"/>
              </w:rPr>
              <w:t>庁舎室庁舎整備課長</w:t>
            </w:r>
          </w:p>
        </w:tc>
        <w:tc>
          <w:tcPr>
            <w:tcW w:w="6066" w:type="dxa"/>
          </w:tcPr>
          <w:p w14:paraId="72B37D3B" w14:textId="77777777" w:rsidR="004C2586" w:rsidRPr="001D6D10" w:rsidRDefault="004C2586" w:rsidP="008B4B2B">
            <w:pPr>
              <w:spacing w:line="340" w:lineRule="exact"/>
            </w:pPr>
            <w:r w:rsidRPr="001D6D10">
              <w:rPr>
                <w:rFonts w:hint="eastAsia"/>
              </w:rPr>
              <w:t>他の班の応援に関すること。</w:t>
            </w:r>
          </w:p>
        </w:tc>
      </w:tr>
      <w:tr w:rsidR="001D6D10" w:rsidRPr="001D6D10" w14:paraId="1686CA59" w14:textId="77777777" w:rsidTr="005F51E1">
        <w:tc>
          <w:tcPr>
            <w:tcW w:w="426" w:type="dxa"/>
            <w:vMerge/>
          </w:tcPr>
          <w:p w14:paraId="03741324" w14:textId="77777777" w:rsidR="004C2586" w:rsidRPr="001D6D10" w:rsidRDefault="004C2586" w:rsidP="008B4B2B">
            <w:pPr>
              <w:pStyle w:val="ad"/>
              <w:wordWrap/>
              <w:overflowPunct w:val="0"/>
              <w:spacing w:line="240" w:lineRule="auto"/>
              <w:ind w:rightChars="-376" w:right="-794"/>
            </w:pPr>
          </w:p>
        </w:tc>
        <w:tc>
          <w:tcPr>
            <w:tcW w:w="1134" w:type="dxa"/>
            <w:vMerge/>
          </w:tcPr>
          <w:p w14:paraId="170EFCDC" w14:textId="77777777" w:rsidR="004C2586" w:rsidRPr="001D6D10" w:rsidRDefault="004C2586" w:rsidP="008B4B2B">
            <w:pPr>
              <w:pStyle w:val="ad"/>
              <w:wordWrap/>
              <w:overflowPunct w:val="0"/>
              <w:spacing w:line="240" w:lineRule="auto"/>
              <w:ind w:rightChars="-376" w:right="-794"/>
            </w:pPr>
          </w:p>
        </w:tc>
        <w:tc>
          <w:tcPr>
            <w:tcW w:w="1276" w:type="dxa"/>
          </w:tcPr>
          <w:p w14:paraId="350740EA" w14:textId="77777777" w:rsidR="004C2586" w:rsidRPr="001D6D10" w:rsidRDefault="004C2586" w:rsidP="008B4B2B">
            <w:pPr>
              <w:spacing w:line="340" w:lineRule="exact"/>
            </w:pPr>
            <w:r w:rsidRPr="001D6D10">
              <w:rPr>
                <w:rFonts w:hint="eastAsia"/>
              </w:rPr>
              <w:t>応援第３班</w:t>
            </w:r>
          </w:p>
        </w:tc>
        <w:tc>
          <w:tcPr>
            <w:tcW w:w="1730" w:type="dxa"/>
          </w:tcPr>
          <w:p w14:paraId="7252254D" w14:textId="77777777" w:rsidR="004C2586" w:rsidRPr="001D6D10" w:rsidRDefault="004C2586" w:rsidP="008B4B2B">
            <w:pPr>
              <w:spacing w:line="340" w:lineRule="exact"/>
            </w:pPr>
            <w:r w:rsidRPr="001D6D10">
              <w:rPr>
                <w:rFonts w:hint="eastAsia"/>
              </w:rPr>
              <w:t>統計課長</w:t>
            </w:r>
          </w:p>
        </w:tc>
        <w:tc>
          <w:tcPr>
            <w:tcW w:w="6066" w:type="dxa"/>
          </w:tcPr>
          <w:p w14:paraId="546DE213" w14:textId="77777777" w:rsidR="004C2586" w:rsidRPr="001D6D10" w:rsidRDefault="004C2586" w:rsidP="008B4B2B">
            <w:pPr>
              <w:spacing w:line="340" w:lineRule="exact"/>
            </w:pPr>
            <w:r w:rsidRPr="001D6D10">
              <w:rPr>
                <w:rFonts w:hint="eastAsia"/>
              </w:rPr>
              <w:t>他の班の応援に関すること。</w:t>
            </w:r>
          </w:p>
        </w:tc>
      </w:tr>
      <w:tr w:rsidR="001D6D10" w:rsidRPr="001D6D10" w14:paraId="3737FD74" w14:textId="77777777" w:rsidTr="005F51E1">
        <w:tc>
          <w:tcPr>
            <w:tcW w:w="426" w:type="dxa"/>
            <w:vMerge/>
          </w:tcPr>
          <w:p w14:paraId="4C0D6AD5" w14:textId="77777777" w:rsidR="004C2586" w:rsidRPr="001D6D10" w:rsidRDefault="004C2586" w:rsidP="008B4B2B">
            <w:pPr>
              <w:pStyle w:val="ad"/>
              <w:wordWrap/>
              <w:overflowPunct w:val="0"/>
              <w:spacing w:line="240" w:lineRule="auto"/>
              <w:ind w:rightChars="-376" w:right="-794"/>
            </w:pPr>
          </w:p>
        </w:tc>
        <w:tc>
          <w:tcPr>
            <w:tcW w:w="1134" w:type="dxa"/>
            <w:vMerge/>
          </w:tcPr>
          <w:p w14:paraId="39C8578E" w14:textId="77777777" w:rsidR="004C2586" w:rsidRPr="001D6D10" w:rsidRDefault="004C2586" w:rsidP="008B4B2B">
            <w:pPr>
              <w:pStyle w:val="ad"/>
              <w:wordWrap/>
              <w:overflowPunct w:val="0"/>
              <w:spacing w:line="240" w:lineRule="auto"/>
              <w:ind w:rightChars="-376" w:right="-794"/>
            </w:pPr>
          </w:p>
        </w:tc>
        <w:tc>
          <w:tcPr>
            <w:tcW w:w="1276" w:type="dxa"/>
          </w:tcPr>
          <w:p w14:paraId="55D3A4D2" w14:textId="77777777" w:rsidR="004C2586" w:rsidRPr="001D6D10" w:rsidRDefault="004C2586" w:rsidP="008B4B2B">
            <w:pPr>
              <w:spacing w:line="340" w:lineRule="exact"/>
            </w:pPr>
            <w:r w:rsidRPr="001D6D10">
              <w:rPr>
                <w:rFonts w:hint="eastAsia"/>
              </w:rPr>
              <w:t>応援第４班</w:t>
            </w:r>
          </w:p>
        </w:tc>
        <w:tc>
          <w:tcPr>
            <w:tcW w:w="1730" w:type="dxa"/>
          </w:tcPr>
          <w:p w14:paraId="3366FC02" w14:textId="77777777" w:rsidR="004C2586" w:rsidRPr="001D6D10" w:rsidRDefault="004C2586" w:rsidP="008B4B2B">
            <w:pPr>
              <w:spacing w:line="320" w:lineRule="exact"/>
            </w:pPr>
            <w:r w:rsidRPr="001D6D10">
              <w:rPr>
                <w:rFonts w:hint="eastAsia"/>
              </w:rPr>
              <w:t>契約局</w:t>
            </w:r>
          </w:p>
          <w:p w14:paraId="10DEABE6" w14:textId="77777777" w:rsidR="004C2586" w:rsidRPr="001D6D10" w:rsidRDefault="004C2586" w:rsidP="008B4B2B">
            <w:pPr>
              <w:spacing w:line="340" w:lineRule="exact"/>
            </w:pPr>
            <w:r w:rsidRPr="001D6D10">
              <w:rPr>
                <w:rFonts w:hint="eastAsia"/>
              </w:rPr>
              <w:t>総務委託物品課長</w:t>
            </w:r>
          </w:p>
        </w:tc>
        <w:tc>
          <w:tcPr>
            <w:tcW w:w="6066" w:type="dxa"/>
          </w:tcPr>
          <w:p w14:paraId="497561DB" w14:textId="77777777" w:rsidR="004C2586" w:rsidRPr="001D6D10" w:rsidRDefault="004C2586" w:rsidP="008B4B2B">
            <w:pPr>
              <w:spacing w:line="340" w:lineRule="exact"/>
            </w:pPr>
            <w:r w:rsidRPr="001D6D10">
              <w:rPr>
                <w:rFonts w:hint="eastAsia"/>
              </w:rPr>
              <w:t>他の班の応援に関すること。</w:t>
            </w:r>
          </w:p>
        </w:tc>
      </w:tr>
      <w:tr w:rsidR="001D6D10" w:rsidRPr="001D6D10" w14:paraId="4884BF93" w14:textId="77777777" w:rsidTr="005F51E1">
        <w:tc>
          <w:tcPr>
            <w:tcW w:w="426" w:type="dxa"/>
            <w:vMerge/>
          </w:tcPr>
          <w:p w14:paraId="7A031E62" w14:textId="77777777" w:rsidR="004C2586" w:rsidRPr="001D6D10" w:rsidRDefault="004C2586" w:rsidP="008B4B2B">
            <w:pPr>
              <w:pStyle w:val="ad"/>
              <w:wordWrap/>
              <w:overflowPunct w:val="0"/>
              <w:spacing w:line="240" w:lineRule="auto"/>
              <w:ind w:rightChars="-376" w:right="-794"/>
            </w:pPr>
          </w:p>
        </w:tc>
        <w:tc>
          <w:tcPr>
            <w:tcW w:w="1134" w:type="dxa"/>
            <w:vMerge/>
          </w:tcPr>
          <w:p w14:paraId="64B18E3C" w14:textId="77777777" w:rsidR="004C2586" w:rsidRPr="001D6D10" w:rsidRDefault="004C2586" w:rsidP="008B4B2B">
            <w:pPr>
              <w:pStyle w:val="ad"/>
              <w:wordWrap/>
              <w:overflowPunct w:val="0"/>
              <w:spacing w:line="240" w:lineRule="auto"/>
              <w:ind w:rightChars="-376" w:right="-794"/>
            </w:pPr>
          </w:p>
        </w:tc>
        <w:tc>
          <w:tcPr>
            <w:tcW w:w="1276" w:type="dxa"/>
          </w:tcPr>
          <w:p w14:paraId="0AAA7EB9" w14:textId="77777777" w:rsidR="004C2586" w:rsidRPr="001D6D10" w:rsidRDefault="004C2586" w:rsidP="008B4B2B">
            <w:pPr>
              <w:spacing w:line="340" w:lineRule="exact"/>
            </w:pPr>
            <w:r w:rsidRPr="001D6D10">
              <w:rPr>
                <w:rFonts w:hint="eastAsia"/>
              </w:rPr>
              <w:t>応援第５班</w:t>
            </w:r>
          </w:p>
        </w:tc>
        <w:tc>
          <w:tcPr>
            <w:tcW w:w="1730" w:type="dxa"/>
          </w:tcPr>
          <w:p w14:paraId="49CC3A66" w14:textId="77777777" w:rsidR="004C2586" w:rsidRPr="001D6D10" w:rsidRDefault="004C2586" w:rsidP="008B4B2B">
            <w:pPr>
              <w:spacing w:line="320" w:lineRule="exact"/>
            </w:pPr>
            <w:r w:rsidRPr="001D6D10">
              <w:rPr>
                <w:rFonts w:hint="eastAsia"/>
              </w:rPr>
              <w:t>契約局</w:t>
            </w:r>
          </w:p>
          <w:p w14:paraId="3AE947ED" w14:textId="77777777" w:rsidR="004C2586" w:rsidRPr="001D6D10" w:rsidRDefault="004C2586" w:rsidP="008B4B2B">
            <w:pPr>
              <w:spacing w:line="340" w:lineRule="exact"/>
            </w:pPr>
            <w:r w:rsidRPr="001D6D10">
              <w:rPr>
                <w:rFonts w:hint="eastAsia"/>
                <w:kern w:val="0"/>
              </w:rPr>
              <w:t>建設工事課長</w:t>
            </w:r>
          </w:p>
        </w:tc>
        <w:tc>
          <w:tcPr>
            <w:tcW w:w="6066" w:type="dxa"/>
          </w:tcPr>
          <w:p w14:paraId="22792604" w14:textId="77777777" w:rsidR="004C2586" w:rsidRPr="001D6D10" w:rsidRDefault="004C2586" w:rsidP="008B4B2B">
            <w:pPr>
              <w:spacing w:line="340" w:lineRule="exact"/>
            </w:pPr>
            <w:r w:rsidRPr="001D6D10">
              <w:rPr>
                <w:rFonts w:hint="eastAsia"/>
              </w:rPr>
              <w:t>他の班の応援に関すること。</w:t>
            </w:r>
          </w:p>
          <w:p w14:paraId="1CB435E8" w14:textId="77777777" w:rsidR="004C2586" w:rsidRPr="001D6D10" w:rsidRDefault="004C2586" w:rsidP="008B4B2B">
            <w:pPr>
              <w:spacing w:line="340" w:lineRule="exact"/>
            </w:pPr>
          </w:p>
        </w:tc>
      </w:tr>
      <w:tr w:rsidR="001D6D10" w:rsidRPr="001D6D10" w14:paraId="47F045C6" w14:textId="77777777" w:rsidTr="005F51E1">
        <w:tc>
          <w:tcPr>
            <w:tcW w:w="426" w:type="dxa"/>
            <w:vMerge w:val="restart"/>
            <w:textDirection w:val="tbRlV"/>
          </w:tcPr>
          <w:p w14:paraId="27B65062" w14:textId="77777777" w:rsidR="004C2586" w:rsidRPr="001D6D10" w:rsidRDefault="004C2586" w:rsidP="008B4B2B">
            <w:pPr>
              <w:spacing w:line="340" w:lineRule="exact"/>
              <w:ind w:left="113" w:right="113"/>
            </w:pPr>
            <w:bookmarkStart w:id="70" w:name="_Hlk190261523"/>
            <w:r w:rsidRPr="001D6D10">
              <w:rPr>
                <w:rFonts w:hint="eastAsia"/>
              </w:rPr>
              <w:t>財務部</w:t>
            </w:r>
          </w:p>
        </w:tc>
        <w:tc>
          <w:tcPr>
            <w:tcW w:w="1134" w:type="dxa"/>
            <w:vMerge w:val="restart"/>
          </w:tcPr>
          <w:p w14:paraId="18367B3F" w14:textId="77777777" w:rsidR="004C2586" w:rsidRPr="001D6D10" w:rsidRDefault="004C2586" w:rsidP="008B4B2B">
            <w:pPr>
              <w:pStyle w:val="ad"/>
              <w:overflowPunct w:val="0"/>
              <w:spacing w:line="240" w:lineRule="auto"/>
              <w:ind w:rightChars="-376" w:right="-794"/>
              <w:rPr>
                <w:sz w:val="21"/>
              </w:rPr>
            </w:pPr>
            <w:r w:rsidRPr="001D6D10">
              <w:rPr>
                <w:rFonts w:hint="eastAsia"/>
                <w:sz w:val="21"/>
              </w:rPr>
              <w:t>財務部長</w:t>
            </w:r>
          </w:p>
        </w:tc>
        <w:tc>
          <w:tcPr>
            <w:tcW w:w="1276" w:type="dxa"/>
          </w:tcPr>
          <w:p w14:paraId="7D22E9D6" w14:textId="77777777" w:rsidR="004C2586" w:rsidRPr="001D6D10" w:rsidRDefault="004C2586" w:rsidP="008B4B2B">
            <w:pPr>
              <w:spacing w:line="340" w:lineRule="exact"/>
            </w:pPr>
            <w:r w:rsidRPr="001D6D10">
              <w:rPr>
                <w:rFonts w:hint="eastAsia"/>
              </w:rPr>
              <w:t>財政班</w:t>
            </w:r>
          </w:p>
        </w:tc>
        <w:tc>
          <w:tcPr>
            <w:tcW w:w="1730" w:type="dxa"/>
          </w:tcPr>
          <w:p w14:paraId="3F71C1A9" w14:textId="77777777" w:rsidR="004C2586" w:rsidRPr="001D6D10" w:rsidRDefault="004C2586" w:rsidP="008B4B2B">
            <w:pPr>
              <w:spacing w:line="320" w:lineRule="exact"/>
              <w:rPr>
                <w:w w:val="80"/>
              </w:rPr>
            </w:pPr>
            <w:r w:rsidRPr="001D6D10">
              <w:rPr>
                <w:rFonts w:hint="eastAsia"/>
              </w:rPr>
              <w:t>財政課長</w:t>
            </w:r>
          </w:p>
        </w:tc>
        <w:tc>
          <w:tcPr>
            <w:tcW w:w="6066" w:type="dxa"/>
          </w:tcPr>
          <w:p w14:paraId="0A1F413F" w14:textId="77777777" w:rsidR="004C2586" w:rsidRPr="001D6D10" w:rsidRDefault="004C2586" w:rsidP="008B4B2B">
            <w:pPr>
              <w:spacing w:line="340" w:lineRule="exact"/>
            </w:pPr>
            <w:r w:rsidRPr="001D6D10">
              <w:rPr>
                <w:rFonts w:hint="eastAsia"/>
              </w:rPr>
              <w:t>１ 防災・危機管理指令部に関すること。</w:t>
            </w:r>
          </w:p>
          <w:p w14:paraId="6C16C0FC" w14:textId="77777777" w:rsidR="004C2586" w:rsidRPr="001D6D10" w:rsidRDefault="004C2586" w:rsidP="008B4B2B">
            <w:pPr>
              <w:spacing w:line="340" w:lineRule="exact"/>
            </w:pPr>
            <w:r w:rsidRPr="001D6D10">
              <w:rPr>
                <w:rFonts w:hint="eastAsia"/>
              </w:rPr>
              <w:t>２ 部内各班の連絡調整に関すること。</w:t>
            </w:r>
          </w:p>
          <w:p w14:paraId="3FF67F1B" w14:textId="77777777" w:rsidR="004C2586" w:rsidRPr="001D6D10" w:rsidRDefault="004C2586" w:rsidP="008B4B2B">
            <w:pPr>
              <w:spacing w:line="340" w:lineRule="exact"/>
              <w:ind w:left="81" w:hanging="81"/>
            </w:pPr>
            <w:r w:rsidRPr="001D6D10">
              <w:rPr>
                <w:rFonts w:hint="eastAsia"/>
              </w:rPr>
              <w:t>３ 部内各班の被害状況のとりまとめ及び本部への報告に関すること。</w:t>
            </w:r>
          </w:p>
          <w:p w14:paraId="6E76F683" w14:textId="77777777" w:rsidR="004C2586" w:rsidRPr="001D6D10" w:rsidRDefault="004C2586" w:rsidP="008B4B2B">
            <w:pPr>
              <w:spacing w:line="340" w:lineRule="exact"/>
              <w:ind w:left="79" w:hanging="79"/>
              <w:rPr>
                <w:szCs w:val="21"/>
              </w:rPr>
            </w:pPr>
            <w:r w:rsidRPr="001D6D10">
              <w:rPr>
                <w:rFonts w:hint="eastAsia"/>
                <w:szCs w:val="21"/>
              </w:rPr>
              <w:t>４ 災害等の対策関係予算その他財務に関すること。</w:t>
            </w:r>
          </w:p>
          <w:p w14:paraId="64DBF945" w14:textId="77777777" w:rsidR="004C2586" w:rsidRPr="001D6D10" w:rsidRDefault="004C2586" w:rsidP="008B4B2B">
            <w:pPr>
              <w:spacing w:line="340" w:lineRule="exact"/>
              <w:ind w:left="106" w:hangingChars="50" w:hanging="106"/>
              <w:rPr>
                <w:szCs w:val="21"/>
              </w:rPr>
            </w:pPr>
            <w:r w:rsidRPr="001D6D10">
              <w:rPr>
                <w:rFonts w:hint="eastAsia"/>
                <w:szCs w:val="21"/>
              </w:rPr>
              <w:t>５ 災害等の復旧・復興事業計画の策定に関すること。</w:t>
            </w:r>
          </w:p>
          <w:p w14:paraId="65F6CBAB" w14:textId="77777777" w:rsidR="004C2586" w:rsidRPr="001D6D10" w:rsidRDefault="004C2586" w:rsidP="008B4B2B">
            <w:pPr>
              <w:spacing w:line="340" w:lineRule="exact"/>
            </w:pPr>
            <w:r w:rsidRPr="001D6D10">
              <w:rPr>
                <w:rFonts w:hint="eastAsia"/>
                <w:szCs w:val="21"/>
              </w:rPr>
              <w:t>６ 災害対策本部へのリエゾンの派遣に関すること。</w:t>
            </w:r>
          </w:p>
        </w:tc>
      </w:tr>
      <w:tr w:rsidR="001D6D10" w:rsidRPr="001D6D10" w14:paraId="66B1456F" w14:textId="77777777" w:rsidTr="005F51E1">
        <w:tc>
          <w:tcPr>
            <w:tcW w:w="426" w:type="dxa"/>
            <w:vMerge/>
          </w:tcPr>
          <w:p w14:paraId="67B190EC" w14:textId="77777777" w:rsidR="004C2586" w:rsidRPr="001D6D10" w:rsidRDefault="004C2586" w:rsidP="008B4B2B">
            <w:pPr>
              <w:spacing w:line="340" w:lineRule="exact"/>
              <w:ind w:left="113" w:right="113"/>
            </w:pPr>
          </w:p>
        </w:tc>
        <w:tc>
          <w:tcPr>
            <w:tcW w:w="1134" w:type="dxa"/>
            <w:vMerge/>
          </w:tcPr>
          <w:p w14:paraId="22119F54" w14:textId="77777777" w:rsidR="004C2586" w:rsidRPr="001D6D10" w:rsidRDefault="004C2586" w:rsidP="008B4B2B">
            <w:pPr>
              <w:pStyle w:val="ad"/>
              <w:overflowPunct w:val="0"/>
              <w:spacing w:line="240" w:lineRule="auto"/>
              <w:ind w:rightChars="-376" w:right="-794"/>
            </w:pPr>
          </w:p>
        </w:tc>
        <w:tc>
          <w:tcPr>
            <w:tcW w:w="1276" w:type="dxa"/>
          </w:tcPr>
          <w:p w14:paraId="191A1B15" w14:textId="77777777" w:rsidR="004C2586" w:rsidRPr="001D6D10" w:rsidRDefault="004C2586" w:rsidP="008B4B2B">
            <w:pPr>
              <w:spacing w:line="340" w:lineRule="exact"/>
              <w:rPr>
                <w:w w:val="90"/>
              </w:rPr>
            </w:pPr>
            <w:r w:rsidRPr="001D6D10">
              <w:rPr>
                <w:rFonts w:hint="eastAsia"/>
              </w:rPr>
              <w:t>徴税対策班</w:t>
            </w:r>
          </w:p>
        </w:tc>
        <w:tc>
          <w:tcPr>
            <w:tcW w:w="1730" w:type="dxa"/>
          </w:tcPr>
          <w:p w14:paraId="198DA5A2" w14:textId="77777777" w:rsidR="004C2586" w:rsidRPr="001D6D10" w:rsidRDefault="004C2586" w:rsidP="008B4B2B">
            <w:pPr>
              <w:spacing w:line="340" w:lineRule="exact"/>
            </w:pPr>
            <w:r w:rsidRPr="001D6D10">
              <w:rPr>
                <w:rFonts w:hint="eastAsia"/>
              </w:rPr>
              <w:t>税務局</w:t>
            </w:r>
          </w:p>
          <w:p w14:paraId="6A1809BF" w14:textId="77777777" w:rsidR="004C2586" w:rsidRPr="001D6D10" w:rsidRDefault="004C2586" w:rsidP="008B4B2B">
            <w:pPr>
              <w:spacing w:line="340" w:lineRule="exact"/>
              <w:rPr>
                <w:w w:val="80"/>
              </w:rPr>
            </w:pPr>
            <w:r w:rsidRPr="001D6D10">
              <w:rPr>
                <w:rFonts w:hint="eastAsia"/>
              </w:rPr>
              <w:t>徴税対策課長</w:t>
            </w:r>
          </w:p>
        </w:tc>
        <w:tc>
          <w:tcPr>
            <w:tcW w:w="6066" w:type="dxa"/>
          </w:tcPr>
          <w:p w14:paraId="373AD2AF" w14:textId="77777777" w:rsidR="004C2586" w:rsidRPr="001D6D10" w:rsidRDefault="004C2586" w:rsidP="008B4B2B">
            <w:pPr>
              <w:spacing w:line="340" w:lineRule="exact"/>
            </w:pPr>
            <w:r w:rsidRPr="001D6D10">
              <w:rPr>
                <w:rFonts w:hint="eastAsia"/>
              </w:rPr>
              <w:t>災害等による府税の減免に関すること。</w:t>
            </w:r>
          </w:p>
        </w:tc>
      </w:tr>
      <w:tr w:rsidR="004A7CAA" w:rsidRPr="001D6D10" w14:paraId="370B6880" w14:textId="77777777" w:rsidTr="005F51E1">
        <w:tc>
          <w:tcPr>
            <w:tcW w:w="426" w:type="dxa"/>
            <w:vMerge/>
            <w:textDirection w:val="tbRlV"/>
          </w:tcPr>
          <w:p w14:paraId="64476179" w14:textId="77777777" w:rsidR="004A7CAA" w:rsidRPr="001D6D10" w:rsidRDefault="004A7CAA" w:rsidP="004A7CAA">
            <w:pPr>
              <w:spacing w:line="340" w:lineRule="exact"/>
              <w:ind w:left="113" w:right="113"/>
            </w:pPr>
          </w:p>
        </w:tc>
        <w:tc>
          <w:tcPr>
            <w:tcW w:w="1134" w:type="dxa"/>
            <w:vMerge/>
          </w:tcPr>
          <w:p w14:paraId="2173453D" w14:textId="77777777" w:rsidR="004A7CAA" w:rsidRPr="001D6D10" w:rsidRDefault="004A7CAA" w:rsidP="004A7CAA">
            <w:pPr>
              <w:pStyle w:val="ad"/>
              <w:wordWrap/>
              <w:overflowPunct w:val="0"/>
              <w:spacing w:line="240" w:lineRule="auto"/>
              <w:ind w:rightChars="-376" w:right="-794"/>
            </w:pPr>
          </w:p>
        </w:tc>
        <w:tc>
          <w:tcPr>
            <w:tcW w:w="1276" w:type="dxa"/>
          </w:tcPr>
          <w:p w14:paraId="5E33E650" w14:textId="6EC0D966" w:rsidR="004A7CAA" w:rsidRPr="00CC53E1" w:rsidRDefault="004A7CAA" w:rsidP="004A7CAA">
            <w:pPr>
              <w:spacing w:line="340" w:lineRule="exact"/>
            </w:pPr>
            <w:r w:rsidRPr="00CC53E1">
              <w:rPr>
                <w:rFonts w:hint="eastAsia"/>
              </w:rPr>
              <w:t>ICT班</w:t>
            </w:r>
          </w:p>
        </w:tc>
        <w:tc>
          <w:tcPr>
            <w:tcW w:w="1730" w:type="dxa"/>
          </w:tcPr>
          <w:p w14:paraId="08176AE6" w14:textId="42490B42" w:rsidR="004A7CAA" w:rsidRPr="00CC53E1" w:rsidRDefault="004A7CAA" w:rsidP="004A7CAA">
            <w:pPr>
              <w:spacing w:line="340" w:lineRule="exact"/>
            </w:pPr>
            <w:r w:rsidRPr="00CC53E1">
              <w:rPr>
                <w:rFonts w:hint="eastAsia"/>
                <w:sz w:val="18"/>
                <w:szCs w:val="21"/>
              </w:rPr>
              <w:t>行政</w:t>
            </w:r>
            <w:r w:rsidRPr="00CC53E1">
              <w:rPr>
                <w:sz w:val="18"/>
                <w:szCs w:val="21"/>
              </w:rPr>
              <w:t>ＤＸ</w:t>
            </w:r>
            <w:r w:rsidRPr="00CC53E1">
              <w:rPr>
                <w:rFonts w:hint="eastAsia"/>
                <w:sz w:val="18"/>
                <w:szCs w:val="21"/>
              </w:rPr>
              <w:t>企画課長</w:t>
            </w:r>
            <w:r w:rsidRPr="00CC53E1">
              <w:rPr>
                <w:rFonts w:hint="eastAsia"/>
                <w:sz w:val="18"/>
                <w:szCs w:val="21"/>
              </w:rPr>
              <w:br/>
              <w:t>行政ＤＸ推進課長</w:t>
            </w:r>
          </w:p>
        </w:tc>
        <w:tc>
          <w:tcPr>
            <w:tcW w:w="6066" w:type="dxa"/>
          </w:tcPr>
          <w:p w14:paraId="0A3FC496" w14:textId="77777777" w:rsidR="004A7CAA" w:rsidRPr="00CC53E1" w:rsidRDefault="004A7CAA" w:rsidP="004A7CAA">
            <w:pPr>
              <w:spacing w:line="0" w:lineRule="atLeast"/>
            </w:pPr>
            <w:r w:rsidRPr="00CC53E1">
              <w:rPr>
                <w:rFonts w:hint="eastAsia"/>
              </w:rPr>
              <w:t>１ 庁内ネットワーク・ICT基盤の復旧、応急整備に関する</w:t>
            </w:r>
          </w:p>
          <w:p w14:paraId="75429A55" w14:textId="04AD5FC5" w:rsidR="004A7CAA" w:rsidRPr="00CC53E1" w:rsidRDefault="004A7CAA" w:rsidP="004A7CAA">
            <w:pPr>
              <w:spacing w:line="0" w:lineRule="atLeast"/>
              <w:ind w:firstLineChars="150" w:firstLine="317"/>
            </w:pPr>
            <w:r w:rsidRPr="00CC53E1">
              <w:rPr>
                <w:rFonts w:hint="eastAsia"/>
              </w:rPr>
              <w:t>こと。</w:t>
            </w:r>
          </w:p>
          <w:p w14:paraId="056CB93F" w14:textId="1727AFFC" w:rsidR="004A7CAA" w:rsidRPr="00CC53E1" w:rsidRDefault="004A7CAA" w:rsidP="004A7CAA">
            <w:pPr>
              <w:spacing w:line="340" w:lineRule="exact"/>
              <w:ind w:left="106" w:hangingChars="50" w:hanging="106"/>
            </w:pPr>
            <w:r w:rsidRPr="00CC53E1">
              <w:rPr>
                <w:rFonts w:hint="eastAsia"/>
              </w:rPr>
              <w:t>２ 他の班の応援に関すること。</w:t>
            </w:r>
          </w:p>
        </w:tc>
      </w:tr>
      <w:tr w:rsidR="001D6D10" w:rsidRPr="001D6D10" w14:paraId="752D162B" w14:textId="77777777" w:rsidTr="005F51E1">
        <w:tc>
          <w:tcPr>
            <w:tcW w:w="426" w:type="dxa"/>
            <w:vMerge/>
            <w:textDirection w:val="tbRlV"/>
          </w:tcPr>
          <w:p w14:paraId="39C1A691" w14:textId="77777777" w:rsidR="004C2586" w:rsidRPr="001D6D10" w:rsidRDefault="004C2586" w:rsidP="008B4B2B">
            <w:pPr>
              <w:spacing w:line="340" w:lineRule="exact"/>
              <w:ind w:left="113" w:right="113"/>
            </w:pPr>
          </w:p>
        </w:tc>
        <w:tc>
          <w:tcPr>
            <w:tcW w:w="1134" w:type="dxa"/>
            <w:vMerge/>
          </w:tcPr>
          <w:p w14:paraId="551FCA16" w14:textId="77777777" w:rsidR="004C2586" w:rsidRPr="001D6D10" w:rsidRDefault="004C2586" w:rsidP="008B4B2B">
            <w:pPr>
              <w:pStyle w:val="ad"/>
              <w:wordWrap/>
              <w:overflowPunct w:val="0"/>
              <w:spacing w:line="240" w:lineRule="auto"/>
              <w:ind w:rightChars="-376" w:right="-794"/>
            </w:pPr>
          </w:p>
        </w:tc>
        <w:tc>
          <w:tcPr>
            <w:tcW w:w="1276" w:type="dxa"/>
          </w:tcPr>
          <w:p w14:paraId="3F989DC9" w14:textId="77777777" w:rsidR="004C2586" w:rsidRPr="001D6D10" w:rsidRDefault="004C2586" w:rsidP="008B4B2B">
            <w:pPr>
              <w:spacing w:line="340" w:lineRule="exact"/>
            </w:pPr>
            <w:r w:rsidRPr="001D6D10">
              <w:rPr>
                <w:rFonts w:hint="eastAsia"/>
              </w:rPr>
              <w:t>応援第１班</w:t>
            </w:r>
          </w:p>
        </w:tc>
        <w:tc>
          <w:tcPr>
            <w:tcW w:w="1730" w:type="dxa"/>
          </w:tcPr>
          <w:p w14:paraId="5CEA0228" w14:textId="77777777" w:rsidR="004C2586" w:rsidRPr="001D6D10" w:rsidRDefault="004C2586" w:rsidP="008B4B2B">
            <w:pPr>
              <w:spacing w:line="340" w:lineRule="exact"/>
            </w:pPr>
            <w:r w:rsidRPr="001D6D10">
              <w:rPr>
                <w:rFonts w:hint="eastAsia"/>
              </w:rPr>
              <w:t>行政経営課長</w:t>
            </w:r>
          </w:p>
        </w:tc>
        <w:tc>
          <w:tcPr>
            <w:tcW w:w="6066" w:type="dxa"/>
          </w:tcPr>
          <w:p w14:paraId="1861A614" w14:textId="77777777" w:rsidR="004C2586" w:rsidRPr="001D6D10" w:rsidRDefault="004C2586" w:rsidP="008B4B2B">
            <w:pPr>
              <w:spacing w:line="340" w:lineRule="exact"/>
              <w:ind w:left="106" w:hangingChars="50" w:hanging="106"/>
            </w:pPr>
            <w:r w:rsidRPr="001D6D10">
              <w:rPr>
                <w:rFonts w:hint="eastAsia"/>
              </w:rPr>
              <w:t>他の班の応援に関すること。</w:t>
            </w:r>
          </w:p>
        </w:tc>
      </w:tr>
      <w:tr w:rsidR="001D6D10" w:rsidRPr="001D6D10" w14:paraId="79BA06D8" w14:textId="77777777" w:rsidTr="005F51E1">
        <w:tc>
          <w:tcPr>
            <w:tcW w:w="426" w:type="dxa"/>
            <w:vMerge/>
          </w:tcPr>
          <w:p w14:paraId="5DB865B5" w14:textId="77777777" w:rsidR="004C2586" w:rsidRPr="001D6D10" w:rsidRDefault="004C2586" w:rsidP="008B4B2B">
            <w:pPr>
              <w:pStyle w:val="ad"/>
              <w:wordWrap/>
              <w:overflowPunct w:val="0"/>
              <w:spacing w:line="240" w:lineRule="auto"/>
              <w:ind w:rightChars="-376" w:right="-794"/>
            </w:pPr>
          </w:p>
        </w:tc>
        <w:tc>
          <w:tcPr>
            <w:tcW w:w="1134" w:type="dxa"/>
            <w:vMerge/>
          </w:tcPr>
          <w:p w14:paraId="0622B4C9" w14:textId="77777777" w:rsidR="004C2586" w:rsidRPr="001D6D10" w:rsidRDefault="004C2586" w:rsidP="008B4B2B">
            <w:pPr>
              <w:pStyle w:val="ad"/>
              <w:wordWrap/>
              <w:overflowPunct w:val="0"/>
              <w:spacing w:line="240" w:lineRule="auto"/>
              <w:ind w:rightChars="-376" w:right="-794"/>
            </w:pPr>
          </w:p>
        </w:tc>
        <w:tc>
          <w:tcPr>
            <w:tcW w:w="1276" w:type="dxa"/>
          </w:tcPr>
          <w:p w14:paraId="7C7E494D" w14:textId="77777777" w:rsidR="004C2586" w:rsidRPr="001D6D10" w:rsidRDefault="004C2586" w:rsidP="008B4B2B">
            <w:pPr>
              <w:spacing w:line="340" w:lineRule="exact"/>
            </w:pPr>
            <w:r w:rsidRPr="001D6D10">
              <w:rPr>
                <w:rFonts w:hint="eastAsia"/>
              </w:rPr>
              <w:t>応援第２班</w:t>
            </w:r>
          </w:p>
        </w:tc>
        <w:tc>
          <w:tcPr>
            <w:tcW w:w="1730" w:type="dxa"/>
          </w:tcPr>
          <w:p w14:paraId="13CEF75A" w14:textId="77777777" w:rsidR="004C2586" w:rsidRPr="001D6D10" w:rsidRDefault="004C2586" w:rsidP="008B4B2B">
            <w:pPr>
              <w:spacing w:line="340" w:lineRule="exact"/>
            </w:pPr>
            <w:r w:rsidRPr="001D6D10">
              <w:rPr>
                <w:rFonts w:hint="eastAsia"/>
              </w:rPr>
              <w:t>税務局税政課長</w:t>
            </w:r>
          </w:p>
        </w:tc>
        <w:tc>
          <w:tcPr>
            <w:tcW w:w="6066" w:type="dxa"/>
          </w:tcPr>
          <w:p w14:paraId="05F3EC39" w14:textId="77777777" w:rsidR="004C2586" w:rsidRPr="001D6D10" w:rsidRDefault="004C2586" w:rsidP="008B4B2B">
            <w:pPr>
              <w:spacing w:line="340" w:lineRule="exact"/>
            </w:pPr>
            <w:r w:rsidRPr="001D6D10">
              <w:rPr>
                <w:rFonts w:hint="eastAsia"/>
              </w:rPr>
              <w:t>他の班の応援に関すること。</w:t>
            </w:r>
          </w:p>
        </w:tc>
      </w:tr>
      <w:tr w:rsidR="001D6D10" w:rsidRPr="001D6D10" w14:paraId="634DA882" w14:textId="77777777" w:rsidTr="005F51E1">
        <w:tc>
          <w:tcPr>
            <w:tcW w:w="426" w:type="dxa"/>
            <w:vMerge/>
          </w:tcPr>
          <w:p w14:paraId="70A578E3" w14:textId="77777777" w:rsidR="004C2586" w:rsidRPr="001D6D10" w:rsidRDefault="004C2586" w:rsidP="008B4B2B">
            <w:pPr>
              <w:pStyle w:val="ad"/>
              <w:wordWrap/>
              <w:overflowPunct w:val="0"/>
              <w:spacing w:line="240" w:lineRule="auto"/>
              <w:ind w:rightChars="-376" w:right="-794"/>
            </w:pPr>
          </w:p>
        </w:tc>
        <w:tc>
          <w:tcPr>
            <w:tcW w:w="1134" w:type="dxa"/>
            <w:vMerge/>
          </w:tcPr>
          <w:p w14:paraId="171B9660" w14:textId="77777777" w:rsidR="004C2586" w:rsidRPr="001D6D10" w:rsidRDefault="004C2586" w:rsidP="008B4B2B">
            <w:pPr>
              <w:pStyle w:val="ad"/>
              <w:wordWrap/>
              <w:overflowPunct w:val="0"/>
              <w:spacing w:line="240" w:lineRule="auto"/>
              <w:ind w:rightChars="-376" w:right="-794"/>
            </w:pPr>
          </w:p>
        </w:tc>
        <w:tc>
          <w:tcPr>
            <w:tcW w:w="1276" w:type="dxa"/>
          </w:tcPr>
          <w:p w14:paraId="1864A8BC" w14:textId="77777777" w:rsidR="004C2586" w:rsidRPr="001D6D10" w:rsidRDefault="004C2586" w:rsidP="008B4B2B">
            <w:pPr>
              <w:spacing w:line="340" w:lineRule="exact"/>
            </w:pPr>
            <w:r w:rsidRPr="001D6D10">
              <w:rPr>
                <w:rFonts w:hint="eastAsia"/>
              </w:rPr>
              <w:t>応援第３班</w:t>
            </w:r>
          </w:p>
        </w:tc>
        <w:tc>
          <w:tcPr>
            <w:tcW w:w="1730" w:type="dxa"/>
          </w:tcPr>
          <w:p w14:paraId="68A9EF30" w14:textId="77777777" w:rsidR="004C2586" w:rsidRPr="001D6D10" w:rsidRDefault="004C2586" w:rsidP="008B4B2B">
            <w:pPr>
              <w:spacing w:line="340" w:lineRule="exact"/>
            </w:pPr>
            <w:r w:rsidRPr="001D6D10">
              <w:rPr>
                <w:rFonts w:hint="eastAsia"/>
              </w:rPr>
              <w:t>財産活用課長</w:t>
            </w:r>
          </w:p>
        </w:tc>
        <w:tc>
          <w:tcPr>
            <w:tcW w:w="6066" w:type="dxa"/>
          </w:tcPr>
          <w:p w14:paraId="5A49FBCC" w14:textId="77777777" w:rsidR="004C2586" w:rsidRPr="001D6D10" w:rsidRDefault="004C2586" w:rsidP="008B4B2B">
            <w:pPr>
              <w:spacing w:line="340" w:lineRule="exact"/>
            </w:pPr>
            <w:r w:rsidRPr="001D6D10">
              <w:rPr>
                <w:rFonts w:hint="eastAsia"/>
              </w:rPr>
              <w:t>他の班の応援に関すること。</w:t>
            </w:r>
          </w:p>
        </w:tc>
      </w:tr>
      <w:bookmarkEnd w:id="70"/>
      <w:tr w:rsidR="001D6D10" w:rsidRPr="001D6D10" w14:paraId="3F3042CA" w14:textId="77777777" w:rsidTr="005F51E1">
        <w:tc>
          <w:tcPr>
            <w:tcW w:w="426" w:type="dxa"/>
            <w:vMerge w:val="restart"/>
            <w:textDirection w:val="tbRlV"/>
          </w:tcPr>
          <w:p w14:paraId="3546768B" w14:textId="77777777" w:rsidR="004C2586" w:rsidRPr="001D6D10" w:rsidRDefault="004C2586" w:rsidP="004C2586">
            <w:pPr>
              <w:pStyle w:val="ad"/>
              <w:wordWrap/>
              <w:overflowPunct w:val="0"/>
              <w:spacing w:line="240" w:lineRule="auto"/>
              <w:ind w:left="113" w:rightChars="-376" w:right="-794"/>
              <w:rPr>
                <w:sz w:val="21"/>
              </w:rPr>
            </w:pPr>
            <w:r w:rsidRPr="001D6D10">
              <w:rPr>
                <w:rFonts w:hint="eastAsia"/>
                <w:sz w:val="21"/>
              </w:rPr>
              <w:lastRenderedPageBreak/>
              <w:t>スマートシティ戦略部</w:t>
            </w:r>
          </w:p>
          <w:p w14:paraId="6B3E7AE0" w14:textId="77777777" w:rsidR="004C2586" w:rsidRPr="001D6D10" w:rsidRDefault="004C2586" w:rsidP="004C2586">
            <w:pPr>
              <w:pStyle w:val="ad"/>
              <w:overflowPunct w:val="0"/>
              <w:spacing w:line="240" w:lineRule="auto"/>
              <w:ind w:left="113" w:rightChars="-376" w:right="-794"/>
              <w:rPr>
                <w:sz w:val="21"/>
              </w:rPr>
            </w:pPr>
            <w:r w:rsidRPr="001D6D10">
              <w:rPr>
                <w:rFonts w:hint="eastAsia"/>
                <w:sz w:val="21"/>
              </w:rPr>
              <w:t>スマートシティ戦略部</w:t>
            </w:r>
          </w:p>
        </w:tc>
        <w:tc>
          <w:tcPr>
            <w:tcW w:w="1134" w:type="dxa"/>
            <w:vMerge w:val="restart"/>
          </w:tcPr>
          <w:p w14:paraId="56FCCF0C" w14:textId="77777777" w:rsidR="004C2586" w:rsidRPr="001D6D10" w:rsidRDefault="004C2586" w:rsidP="004C2586">
            <w:pPr>
              <w:spacing w:line="340" w:lineRule="exact"/>
            </w:pPr>
            <w:r w:rsidRPr="001D6D10">
              <w:rPr>
                <w:rFonts w:hint="eastAsia"/>
              </w:rPr>
              <w:t>スマートシティ戦略部長</w:t>
            </w:r>
          </w:p>
        </w:tc>
        <w:tc>
          <w:tcPr>
            <w:tcW w:w="1276" w:type="dxa"/>
          </w:tcPr>
          <w:p w14:paraId="3B9FD9F3" w14:textId="77777777" w:rsidR="004C2586" w:rsidRPr="001D6D10" w:rsidRDefault="004C2586" w:rsidP="004C2586">
            <w:pPr>
              <w:spacing w:line="340" w:lineRule="exact"/>
            </w:pPr>
            <w:r w:rsidRPr="001D6D10">
              <w:rPr>
                <w:rFonts w:hint="eastAsia"/>
              </w:rPr>
              <w:t>スマートシティ戦略総務班</w:t>
            </w:r>
          </w:p>
        </w:tc>
        <w:tc>
          <w:tcPr>
            <w:tcW w:w="1730" w:type="dxa"/>
          </w:tcPr>
          <w:p w14:paraId="7E7909E7" w14:textId="77777777" w:rsidR="004C2586" w:rsidRPr="001D6D10" w:rsidRDefault="004C2586" w:rsidP="004C2586">
            <w:pPr>
              <w:spacing w:line="340" w:lineRule="exact"/>
            </w:pPr>
            <w:r w:rsidRPr="001D6D10">
              <w:rPr>
                <w:rFonts w:hint="eastAsia"/>
              </w:rPr>
              <w:t>スマートシティ戦略総務課長</w:t>
            </w:r>
          </w:p>
        </w:tc>
        <w:tc>
          <w:tcPr>
            <w:tcW w:w="6066" w:type="dxa"/>
          </w:tcPr>
          <w:p w14:paraId="047DDFD4" w14:textId="77777777" w:rsidR="004C2586" w:rsidRPr="001D6D10" w:rsidRDefault="004C2586" w:rsidP="004C2586">
            <w:pPr>
              <w:spacing w:line="340" w:lineRule="exact"/>
            </w:pPr>
            <w:r w:rsidRPr="001D6D10">
              <w:rPr>
                <w:rFonts w:hint="eastAsia"/>
              </w:rPr>
              <w:t>１ 防災・危機管理指令部に関すること。</w:t>
            </w:r>
          </w:p>
          <w:p w14:paraId="6C0073B2" w14:textId="77777777" w:rsidR="004C2586" w:rsidRPr="001D6D10" w:rsidRDefault="004C2586" w:rsidP="004C2586">
            <w:pPr>
              <w:spacing w:line="340" w:lineRule="exact"/>
            </w:pPr>
            <w:r w:rsidRPr="001D6D10">
              <w:rPr>
                <w:rFonts w:hint="eastAsia"/>
              </w:rPr>
              <w:t>２ 部内各班の連絡調整に関すること。</w:t>
            </w:r>
          </w:p>
          <w:p w14:paraId="68636FE5" w14:textId="77777777" w:rsidR="004C2586" w:rsidRPr="001D6D10" w:rsidRDefault="004C2586" w:rsidP="004C2586">
            <w:pPr>
              <w:spacing w:line="340" w:lineRule="exact"/>
            </w:pPr>
            <w:r w:rsidRPr="001D6D10">
              <w:rPr>
                <w:rFonts w:hint="eastAsia"/>
              </w:rPr>
              <w:t>３ 部内各班の被害状況のとりまとめ及び本部への報告に関すること。</w:t>
            </w:r>
          </w:p>
          <w:p w14:paraId="49C88453" w14:textId="77777777" w:rsidR="004C2586" w:rsidRPr="001D6D10" w:rsidRDefault="004C2586" w:rsidP="004C2586">
            <w:pPr>
              <w:spacing w:line="340" w:lineRule="exact"/>
            </w:pPr>
            <w:r w:rsidRPr="001D6D10">
              <w:rPr>
                <w:rFonts w:hint="eastAsia"/>
              </w:rPr>
              <w:t>４ 災害時の復旧･復興事業計画の策定に関すること。</w:t>
            </w:r>
          </w:p>
          <w:p w14:paraId="2C893FB7" w14:textId="77777777" w:rsidR="004C2586" w:rsidRPr="001D6D10" w:rsidRDefault="004C2586" w:rsidP="004C2586">
            <w:pPr>
              <w:spacing w:line="340" w:lineRule="exact"/>
            </w:pPr>
            <w:r w:rsidRPr="001D6D10">
              <w:rPr>
                <w:rFonts w:hint="eastAsia"/>
              </w:rPr>
              <w:t>５ 災害対策本部へのリエゾンの派遣に関すること。</w:t>
            </w:r>
          </w:p>
          <w:p w14:paraId="285E27F9" w14:textId="77777777" w:rsidR="004C2586" w:rsidRPr="001D6D10" w:rsidRDefault="004C2586" w:rsidP="004C2586">
            <w:pPr>
              <w:spacing w:line="340" w:lineRule="exact"/>
            </w:pPr>
            <w:r w:rsidRPr="001D6D10">
              <w:rPr>
                <w:rFonts w:hint="eastAsia"/>
              </w:rPr>
              <w:t>６ 他の班の応援に関すること。</w:t>
            </w:r>
          </w:p>
        </w:tc>
      </w:tr>
      <w:tr w:rsidR="00F53410" w:rsidRPr="001D6D10" w14:paraId="5919C8A2" w14:textId="77777777" w:rsidTr="005F51E1">
        <w:tc>
          <w:tcPr>
            <w:tcW w:w="426" w:type="dxa"/>
            <w:vMerge/>
          </w:tcPr>
          <w:p w14:paraId="397F163A" w14:textId="77777777" w:rsidR="00F53410" w:rsidRPr="001D6D10" w:rsidRDefault="00F53410" w:rsidP="00F53410">
            <w:pPr>
              <w:pStyle w:val="ad"/>
              <w:overflowPunct w:val="0"/>
              <w:spacing w:line="240" w:lineRule="auto"/>
              <w:ind w:left="113" w:rightChars="-376" w:right="-794"/>
            </w:pPr>
          </w:p>
        </w:tc>
        <w:tc>
          <w:tcPr>
            <w:tcW w:w="1134" w:type="dxa"/>
            <w:vMerge/>
          </w:tcPr>
          <w:p w14:paraId="5B84768D" w14:textId="77777777" w:rsidR="00F53410" w:rsidRPr="001D6D10" w:rsidRDefault="00F53410" w:rsidP="00F53410">
            <w:pPr>
              <w:spacing w:line="340" w:lineRule="exact"/>
            </w:pPr>
          </w:p>
        </w:tc>
        <w:tc>
          <w:tcPr>
            <w:tcW w:w="1276" w:type="dxa"/>
          </w:tcPr>
          <w:p w14:paraId="03C4E401" w14:textId="5402CBC8" w:rsidR="00F53410" w:rsidRPr="00CC53E1" w:rsidRDefault="00F53410" w:rsidP="00F53410">
            <w:pPr>
              <w:spacing w:line="340" w:lineRule="exact"/>
            </w:pPr>
            <w:r w:rsidRPr="00CC53E1">
              <w:rPr>
                <w:rFonts w:hint="eastAsia"/>
                <w:kern w:val="0"/>
                <w:szCs w:val="21"/>
              </w:rPr>
              <w:t>戦略企画班</w:t>
            </w:r>
          </w:p>
        </w:tc>
        <w:tc>
          <w:tcPr>
            <w:tcW w:w="1730" w:type="dxa"/>
          </w:tcPr>
          <w:p w14:paraId="336BB99B" w14:textId="049ECB62" w:rsidR="00F53410" w:rsidRPr="00CC53E1" w:rsidRDefault="00F53410" w:rsidP="00F53410">
            <w:pPr>
              <w:spacing w:line="340" w:lineRule="exact"/>
            </w:pPr>
            <w:r w:rsidRPr="00CC53E1">
              <w:rPr>
                <w:rFonts w:hint="eastAsia"/>
                <w:kern w:val="0"/>
                <w:szCs w:val="21"/>
              </w:rPr>
              <w:t>戦略企画課長</w:t>
            </w:r>
          </w:p>
        </w:tc>
        <w:tc>
          <w:tcPr>
            <w:tcW w:w="6066" w:type="dxa"/>
          </w:tcPr>
          <w:p w14:paraId="53E865F7" w14:textId="77777777" w:rsidR="00F53410" w:rsidRPr="00E0548A" w:rsidRDefault="00F53410" w:rsidP="00F53410">
            <w:pPr>
              <w:spacing w:line="340" w:lineRule="exact"/>
              <w:rPr>
                <w:kern w:val="0"/>
                <w:szCs w:val="21"/>
              </w:rPr>
            </w:pPr>
            <w:r w:rsidRPr="00E0548A">
              <w:rPr>
                <w:rFonts w:hint="eastAsia"/>
                <w:kern w:val="0"/>
                <w:szCs w:val="21"/>
              </w:rPr>
              <w:t>１ 大阪広域データ連携基盤（ORDEN）の復旧に関すること。</w:t>
            </w:r>
          </w:p>
          <w:p w14:paraId="3C4FB684" w14:textId="159C9F6E" w:rsidR="00F53410" w:rsidRPr="00E0548A" w:rsidRDefault="00F53410" w:rsidP="00F53410">
            <w:pPr>
              <w:spacing w:line="340" w:lineRule="exact"/>
            </w:pPr>
            <w:r w:rsidRPr="00E0548A">
              <w:rPr>
                <w:rFonts w:hint="eastAsia"/>
                <w:kern w:val="0"/>
                <w:szCs w:val="21"/>
              </w:rPr>
              <w:t>２　他の班の応援に関すること。</w:t>
            </w:r>
          </w:p>
        </w:tc>
      </w:tr>
      <w:tr w:rsidR="00F53410" w:rsidRPr="001D6D10" w14:paraId="1CF642FD" w14:textId="77777777" w:rsidTr="005F51E1">
        <w:trPr>
          <w:cantSplit/>
          <w:trHeight w:val="857"/>
        </w:trPr>
        <w:tc>
          <w:tcPr>
            <w:tcW w:w="426" w:type="dxa"/>
            <w:vMerge/>
            <w:textDirection w:val="tbRlV"/>
          </w:tcPr>
          <w:p w14:paraId="4D32D128" w14:textId="77777777" w:rsidR="00F53410" w:rsidRPr="001D6D10" w:rsidRDefault="00F53410" w:rsidP="00F53410">
            <w:pPr>
              <w:pStyle w:val="ad"/>
              <w:wordWrap/>
              <w:overflowPunct w:val="0"/>
              <w:spacing w:line="240" w:lineRule="auto"/>
              <w:ind w:left="113" w:rightChars="-376" w:right="-794"/>
              <w:rPr>
                <w:sz w:val="21"/>
              </w:rPr>
            </w:pPr>
          </w:p>
        </w:tc>
        <w:tc>
          <w:tcPr>
            <w:tcW w:w="1134" w:type="dxa"/>
            <w:vMerge/>
          </w:tcPr>
          <w:p w14:paraId="318ED15C" w14:textId="77777777" w:rsidR="00F53410" w:rsidRPr="001D6D10" w:rsidRDefault="00F53410" w:rsidP="00F53410">
            <w:pPr>
              <w:spacing w:line="340" w:lineRule="exact"/>
            </w:pPr>
          </w:p>
        </w:tc>
        <w:tc>
          <w:tcPr>
            <w:tcW w:w="1276" w:type="dxa"/>
          </w:tcPr>
          <w:p w14:paraId="4F028A7E" w14:textId="07D358E9" w:rsidR="00F53410" w:rsidRPr="00CC53E1" w:rsidRDefault="00F53410" w:rsidP="00F53410">
            <w:pPr>
              <w:spacing w:line="340" w:lineRule="exact"/>
            </w:pPr>
            <w:r w:rsidRPr="00CC53E1">
              <w:rPr>
                <w:rFonts w:hint="eastAsia"/>
                <w:kern w:val="0"/>
                <w:szCs w:val="21"/>
              </w:rPr>
              <w:t>地域戦略推進班</w:t>
            </w:r>
          </w:p>
        </w:tc>
        <w:tc>
          <w:tcPr>
            <w:tcW w:w="1730" w:type="dxa"/>
          </w:tcPr>
          <w:p w14:paraId="2F87D5F9" w14:textId="45AFE432" w:rsidR="00F53410" w:rsidRPr="00CC53E1" w:rsidRDefault="00F53410" w:rsidP="00F53410">
            <w:pPr>
              <w:spacing w:line="340" w:lineRule="exact"/>
            </w:pPr>
            <w:r w:rsidRPr="00CC53E1">
              <w:rPr>
                <w:rFonts w:hint="eastAsia"/>
                <w:kern w:val="0"/>
                <w:szCs w:val="21"/>
              </w:rPr>
              <w:t>地域戦略推進課長</w:t>
            </w:r>
          </w:p>
        </w:tc>
        <w:tc>
          <w:tcPr>
            <w:tcW w:w="6066" w:type="dxa"/>
          </w:tcPr>
          <w:p w14:paraId="130A7742" w14:textId="2DC19003" w:rsidR="00F53410" w:rsidRPr="00E0548A" w:rsidRDefault="00F53410" w:rsidP="00F53410">
            <w:pPr>
              <w:spacing w:line="340" w:lineRule="exact"/>
              <w:rPr>
                <w:kern w:val="0"/>
                <w:szCs w:val="21"/>
              </w:rPr>
            </w:pPr>
            <w:r w:rsidRPr="00E0548A">
              <w:rPr>
                <w:rFonts w:hint="eastAsia"/>
                <w:kern w:val="0"/>
                <w:szCs w:val="21"/>
              </w:rPr>
              <w:t>１大阪版自治体情報セキュリティクラウドの復旧に関すること。</w:t>
            </w:r>
          </w:p>
          <w:p w14:paraId="6F33454B" w14:textId="138DE93C" w:rsidR="00F53410" w:rsidRPr="00E0548A" w:rsidRDefault="00F53410" w:rsidP="00F53410">
            <w:pPr>
              <w:spacing w:line="340" w:lineRule="exact"/>
            </w:pPr>
            <w:r w:rsidRPr="00E0548A">
              <w:rPr>
                <w:rFonts w:hint="eastAsia"/>
                <w:kern w:val="0"/>
                <w:szCs w:val="21"/>
              </w:rPr>
              <w:t>２ 他の班の応援に関すること。</w:t>
            </w:r>
          </w:p>
        </w:tc>
      </w:tr>
      <w:tr w:rsidR="00F53410" w:rsidRPr="001D6D10" w14:paraId="30B82587" w14:textId="77777777" w:rsidTr="005F51E1">
        <w:trPr>
          <w:cantSplit/>
          <w:trHeight w:val="840"/>
        </w:trPr>
        <w:tc>
          <w:tcPr>
            <w:tcW w:w="426" w:type="dxa"/>
            <w:vMerge/>
            <w:textDirection w:val="tbRlV"/>
          </w:tcPr>
          <w:p w14:paraId="2E749763" w14:textId="77777777" w:rsidR="00F53410" w:rsidRPr="001D6D10" w:rsidRDefault="00F53410" w:rsidP="00F53410">
            <w:pPr>
              <w:pStyle w:val="ad"/>
              <w:wordWrap/>
              <w:overflowPunct w:val="0"/>
              <w:spacing w:line="240" w:lineRule="auto"/>
              <w:ind w:left="113" w:rightChars="-376" w:right="-794"/>
              <w:rPr>
                <w:sz w:val="21"/>
              </w:rPr>
            </w:pPr>
          </w:p>
        </w:tc>
        <w:tc>
          <w:tcPr>
            <w:tcW w:w="1134" w:type="dxa"/>
            <w:vMerge/>
          </w:tcPr>
          <w:p w14:paraId="49E082A3" w14:textId="77777777" w:rsidR="00F53410" w:rsidRPr="001D6D10" w:rsidRDefault="00F53410" w:rsidP="00F53410">
            <w:pPr>
              <w:spacing w:line="340" w:lineRule="exact"/>
            </w:pPr>
          </w:p>
        </w:tc>
        <w:tc>
          <w:tcPr>
            <w:tcW w:w="1276" w:type="dxa"/>
          </w:tcPr>
          <w:p w14:paraId="4500809B" w14:textId="20B82CB7" w:rsidR="00F53410" w:rsidRPr="00CC53E1" w:rsidRDefault="00F53410" w:rsidP="00F53410">
            <w:pPr>
              <w:spacing w:line="340" w:lineRule="exact"/>
            </w:pPr>
            <w:r w:rsidRPr="00CC53E1">
              <w:rPr>
                <w:rFonts w:hint="eastAsia"/>
                <w:kern w:val="0"/>
                <w:szCs w:val="21"/>
              </w:rPr>
              <w:t>応援班</w:t>
            </w:r>
          </w:p>
        </w:tc>
        <w:tc>
          <w:tcPr>
            <w:tcW w:w="1730" w:type="dxa"/>
          </w:tcPr>
          <w:p w14:paraId="06C2CFA9" w14:textId="6E498B93" w:rsidR="00F53410" w:rsidRPr="00CC53E1" w:rsidRDefault="00F53410" w:rsidP="00F53410">
            <w:pPr>
              <w:spacing w:line="340" w:lineRule="exact"/>
            </w:pPr>
            <w:r w:rsidRPr="00CC53E1">
              <w:rPr>
                <w:rFonts w:hint="eastAsia"/>
                <w:kern w:val="0"/>
                <w:szCs w:val="21"/>
              </w:rPr>
              <w:t>特区推進課長</w:t>
            </w:r>
          </w:p>
        </w:tc>
        <w:tc>
          <w:tcPr>
            <w:tcW w:w="6066" w:type="dxa"/>
          </w:tcPr>
          <w:p w14:paraId="7AA540E9" w14:textId="3E9304AE" w:rsidR="00F53410" w:rsidRPr="00E0548A" w:rsidRDefault="00F53410" w:rsidP="00F53410">
            <w:pPr>
              <w:spacing w:line="340" w:lineRule="exact"/>
            </w:pPr>
            <w:r w:rsidRPr="00E0548A">
              <w:rPr>
                <w:rFonts w:hint="eastAsia"/>
                <w:kern w:val="0"/>
                <w:szCs w:val="21"/>
              </w:rPr>
              <w:t>１ 他の班の応援に関すること。</w:t>
            </w:r>
          </w:p>
        </w:tc>
      </w:tr>
      <w:tr w:rsidR="001D6D10" w:rsidRPr="001D6D10" w14:paraId="2176E182" w14:textId="77777777" w:rsidTr="005F51E1">
        <w:trPr>
          <w:cantSplit/>
          <w:trHeight w:val="1406"/>
        </w:trPr>
        <w:tc>
          <w:tcPr>
            <w:tcW w:w="426" w:type="dxa"/>
            <w:vMerge w:val="restart"/>
            <w:textDirection w:val="tbRlV"/>
          </w:tcPr>
          <w:p w14:paraId="238481B0" w14:textId="77777777" w:rsidR="004C2586" w:rsidRPr="001D6D10" w:rsidRDefault="004C2586" w:rsidP="004C2586">
            <w:pPr>
              <w:pStyle w:val="ad"/>
              <w:wordWrap/>
              <w:overflowPunct w:val="0"/>
              <w:spacing w:line="240" w:lineRule="auto"/>
              <w:ind w:left="113" w:rightChars="-376" w:right="-794"/>
              <w:rPr>
                <w:sz w:val="21"/>
              </w:rPr>
            </w:pPr>
            <w:r w:rsidRPr="001D6D10">
              <w:rPr>
                <w:rFonts w:hint="eastAsia"/>
                <w:sz w:val="21"/>
              </w:rPr>
              <w:t>府民文化部</w:t>
            </w:r>
          </w:p>
          <w:p w14:paraId="2D700804" w14:textId="77777777" w:rsidR="004C2586" w:rsidRPr="001D6D10" w:rsidRDefault="004C2586" w:rsidP="004C2586">
            <w:pPr>
              <w:pStyle w:val="ad"/>
              <w:overflowPunct w:val="0"/>
              <w:spacing w:line="240" w:lineRule="auto"/>
              <w:ind w:left="113" w:rightChars="-376" w:right="-794"/>
              <w:rPr>
                <w:sz w:val="21"/>
              </w:rPr>
            </w:pPr>
            <w:r w:rsidRPr="001D6D10">
              <w:rPr>
                <w:rFonts w:hint="eastAsia"/>
                <w:sz w:val="21"/>
              </w:rPr>
              <w:t>府民文化部</w:t>
            </w:r>
          </w:p>
        </w:tc>
        <w:tc>
          <w:tcPr>
            <w:tcW w:w="1134" w:type="dxa"/>
            <w:vMerge w:val="restart"/>
          </w:tcPr>
          <w:p w14:paraId="3DF05B71" w14:textId="77777777" w:rsidR="004C2586" w:rsidRPr="001D6D10" w:rsidRDefault="004C2586" w:rsidP="004C2586">
            <w:pPr>
              <w:spacing w:line="340" w:lineRule="exact"/>
            </w:pPr>
            <w:r w:rsidRPr="001D6D10">
              <w:rPr>
                <w:rFonts w:hint="eastAsia"/>
              </w:rPr>
              <w:t>府民文化</w:t>
            </w:r>
          </w:p>
          <w:p w14:paraId="48F0DDA9" w14:textId="77777777" w:rsidR="004C2586" w:rsidRPr="001D6D10" w:rsidRDefault="004C2586" w:rsidP="004C2586">
            <w:pPr>
              <w:spacing w:line="340" w:lineRule="exact"/>
            </w:pPr>
            <w:r w:rsidRPr="001D6D10">
              <w:rPr>
                <w:rFonts w:hint="eastAsia"/>
              </w:rPr>
              <w:t>部長</w:t>
            </w:r>
          </w:p>
          <w:p w14:paraId="5B746D8A" w14:textId="77777777" w:rsidR="004C2586" w:rsidRPr="001D6D10" w:rsidRDefault="004C2586" w:rsidP="004C2586">
            <w:pPr>
              <w:spacing w:line="340" w:lineRule="exact"/>
            </w:pPr>
          </w:p>
          <w:p w14:paraId="1C9B3C79" w14:textId="77777777" w:rsidR="004C2586" w:rsidRPr="001D6D10" w:rsidRDefault="004C2586" w:rsidP="004C2586">
            <w:pPr>
              <w:pStyle w:val="ad"/>
              <w:overflowPunct w:val="0"/>
              <w:spacing w:line="240" w:lineRule="auto"/>
              <w:ind w:rightChars="-376" w:right="-794"/>
            </w:pPr>
          </w:p>
        </w:tc>
        <w:tc>
          <w:tcPr>
            <w:tcW w:w="1276" w:type="dxa"/>
          </w:tcPr>
          <w:p w14:paraId="0A6BB2AB" w14:textId="77777777" w:rsidR="004C2586" w:rsidRPr="001D6D10" w:rsidRDefault="004C2586" w:rsidP="004C2586">
            <w:pPr>
              <w:spacing w:line="340" w:lineRule="exact"/>
            </w:pPr>
            <w:r w:rsidRPr="001D6D10">
              <w:rPr>
                <w:rFonts w:hint="eastAsia"/>
              </w:rPr>
              <w:t>府民文化</w:t>
            </w:r>
          </w:p>
          <w:p w14:paraId="60B21340" w14:textId="77777777" w:rsidR="004C2586" w:rsidRPr="001D6D10" w:rsidRDefault="004C2586" w:rsidP="004C2586">
            <w:pPr>
              <w:spacing w:line="340" w:lineRule="exact"/>
            </w:pPr>
            <w:r w:rsidRPr="001D6D10">
              <w:rPr>
                <w:rFonts w:hint="eastAsia"/>
              </w:rPr>
              <w:t>総務班</w:t>
            </w:r>
          </w:p>
        </w:tc>
        <w:tc>
          <w:tcPr>
            <w:tcW w:w="1730" w:type="dxa"/>
          </w:tcPr>
          <w:p w14:paraId="2A9962E1" w14:textId="77777777" w:rsidR="004C2586" w:rsidRPr="001D6D10" w:rsidRDefault="004C2586" w:rsidP="004C2586">
            <w:pPr>
              <w:spacing w:line="340" w:lineRule="exact"/>
              <w:rPr>
                <w:strike/>
              </w:rPr>
            </w:pPr>
            <w:r w:rsidRPr="001D6D10">
              <w:rPr>
                <w:rFonts w:hint="eastAsia"/>
              </w:rPr>
              <w:t>府民文化総務課長</w:t>
            </w:r>
          </w:p>
        </w:tc>
        <w:tc>
          <w:tcPr>
            <w:tcW w:w="6066" w:type="dxa"/>
          </w:tcPr>
          <w:p w14:paraId="59732967" w14:textId="77777777" w:rsidR="004C2586" w:rsidRPr="00E0548A" w:rsidRDefault="004C2586" w:rsidP="004C2586">
            <w:pPr>
              <w:spacing w:line="340" w:lineRule="exact"/>
            </w:pPr>
            <w:r w:rsidRPr="00E0548A">
              <w:rPr>
                <w:rFonts w:hint="eastAsia"/>
              </w:rPr>
              <w:t>１ 防災・危機管理指令部に関すること。</w:t>
            </w:r>
          </w:p>
          <w:p w14:paraId="32084230" w14:textId="77777777" w:rsidR="004C2586" w:rsidRPr="00E0548A" w:rsidRDefault="004C2586" w:rsidP="004C2586">
            <w:pPr>
              <w:spacing w:line="340" w:lineRule="exact"/>
            </w:pPr>
            <w:r w:rsidRPr="00E0548A">
              <w:rPr>
                <w:rFonts w:hint="eastAsia"/>
              </w:rPr>
              <w:t>２ 部内各班の連絡調整に関すること。</w:t>
            </w:r>
          </w:p>
          <w:p w14:paraId="01E00940" w14:textId="77777777" w:rsidR="004C2586" w:rsidRPr="00E0548A" w:rsidRDefault="004C2586" w:rsidP="004C2586">
            <w:pPr>
              <w:spacing w:line="340" w:lineRule="exact"/>
              <w:ind w:left="81" w:hanging="81"/>
            </w:pPr>
            <w:r w:rsidRPr="00E0548A">
              <w:rPr>
                <w:rFonts w:hint="eastAsia"/>
              </w:rPr>
              <w:t>３ 部内各班の被害状況のとりまとめ及び本部への報告に関すること。</w:t>
            </w:r>
          </w:p>
          <w:p w14:paraId="0ACF9F9D" w14:textId="77777777" w:rsidR="004C2586" w:rsidRPr="00E0548A" w:rsidRDefault="004C2586" w:rsidP="004C2586">
            <w:pPr>
              <w:spacing w:line="340" w:lineRule="exact"/>
              <w:ind w:left="81" w:hanging="81"/>
            </w:pPr>
            <w:r w:rsidRPr="00E0548A">
              <w:rPr>
                <w:rFonts w:hint="eastAsia"/>
              </w:rPr>
              <w:t xml:space="preserve">４ </w:t>
            </w:r>
            <w:r w:rsidRPr="00E0548A">
              <w:rPr>
                <w:rFonts w:hint="eastAsia"/>
                <w:szCs w:val="21"/>
              </w:rPr>
              <w:t>災害等の復旧・復興事業計画の策定に関すること。</w:t>
            </w:r>
          </w:p>
          <w:p w14:paraId="3FFE7FBA" w14:textId="15597A1F" w:rsidR="004C2586" w:rsidRPr="00E0548A" w:rsidRDefault="004C2586" w:rsidP="00240B27">
            <w:pPr>
              <w:spacing w:line="340" w:lineRule="exact"/>
              <w:ind w:left="81" w:hanging="81"/>
              <w:rPr>
                <w:szCs w:val="21"/>
              </w:rPr>
            </w:pPr>
            <w:r w:rsidRPr="00E0548A">
              <w:rPr>
                <w:rFonts w:hint="eastAsia"/>
              </w:rPr>
              <w:t xml:space="preserve">５ </w:t>
            </w:r>
            <w:r w:rsidRPr="00E0548A">
              <w:rPr>
                <w:rFonts w:hint="eastAsia"/>
                <w:szCs w:val="21"/>
              </w:rPr>
              <w:t>災害対策本部へのリエゾンの派遣に関すること。</w:t>
            </w:r>
          </w:p>
        </w:tc>
      </w:tr>
      <w:tr w:rsidR="001D6D10" w:rsidRPr="001D6D10" w14:paraId="13F204B7" w14:textId="77777777" w:rsidTr="005F51E1">
        <w:trPr>
          <w:cantSplit/>
          <w:trHeight w:val="538"/>
        </w:trPr>
        <w:tc>
          <w:tcPr>
            <w:tcW w:w="426" w:type="dxa"/>
            <w:vMerge/>
            <w:textDirection w:val="tbRlV"/>
          </w:tcPr>
          <w:p w14:paraId="68B5F105" w14:textId="77777777" w:rsidR="004C2586" w:rsidRPr="001D6D10" w:rsidRDefault="004C2586" w:rsidP="004C2586">
            <w:pPr>
              <w:pStyle w:val="ad"/>
              <w:overflowPunct w:val="0"/>
              <w:spacing w:line="240" w:lineRule="auto"/>
              <w:ind w:left="113" w:rightChars="-376" w:right="-794"/>
              <w:rPr>
                <w:sz w:val="21"/>
              </w:rPr>
            </w:pPr>
          </w:p>
        </w:tc>
        <w:tc>
          <w:tcPr>
            <w:tcW w:w="1134" w:type="dxa"/>
            <w:vMerge/>
          </w:tcPr>
          <w:p w14:paraId="26EC40E2" w14:textId="77777777" w:rsidR="004C2586" w:rsidRPr="001D6D10" w:rsidRDefault="004C2586" w:rsidP="004C2586">
            <w:pPr>
              <w:pStyle w:val="ad"/>
              <w:overflowPunct w:val="0"/>
              <w:spacing w:line="240" w:lineRule="auto"/>
              <w:ind w:rightChars="-376" w:right="-794"/>
            </w:pPr>
          </w:p>
        </w:tc>
        <w:tc>
          <w:tcPr>
            <w:tcW w:w="1276" w:type="dxa"/>
          </w:tcPr>
          <w:p w14:paraId="5081DF70" w14:textId="77777777" w:rsidR="004C2586" w:rsidRPr="001D6D10" w:rsidRDefault="004C2586" w:rsidP="004C2586">
            <w:pPr>
              <w:spacing w:line="340" w:lineRule="exact"/>
            </w:pPr>
            <w:r w:rsidRPr="001D6D10">
              <w:rPr>
                <w:rFonts w:hint="eastAsia"/>
              </w:rPr>
              <w:t>男女参画・府民協働班</w:t>
            </w:r>
          </w:p>
        </w:tc>
        <w:tc>
          <w:tcPr>
            <w:tcW w:w="1730" w:type="dxa"/>
          </w:tcPr>
          <w:p w14:paraId="2165B484" w14:textId="77777777" w:rsidR="004C2586" w:rsidRPr="001D6D10" w:rsidRDefault="004C2586" w:rsidP="004C2586">
            <w:pPr>
              <w:spacing w:line="340" w:lineRule="exact"/>
            </w:pPr>
            <w:r w:rsidRPr="001D6D10">
              <w:rPr>
                <w:rFonts w:hint="eastAsia"/>
              </w:rPr>
              <w:t>男女参画・</w:t>
            </w:r>
          </w:p>
          <w:p w14:paraId="55CAE3D9" w14:textId="77777777" w:rsidR="004C2586" w:rsidRPr="001D6D10" w:rsidRDefault="004C2586" w:rsidP="004C2586">
            <w:pPr>
              <w:spacing w:line="340" w:lineRule="exact"/>
              <w:rPr>
                <w:strike/>
              </w:rPr>
            </w:pPr>
            <w:r w:rsidRPr="001D6D10">
              <w:rPr>
                <w:rFonts w:hint="eastAsia"/>
              </w:rPr>
              <w:t>府民協働課長</w:t>
            </w:r>
          </w:p>
        </w:tc>
        <w:tc>
          <w:tcPr>
            <w:tcW w:w="6066" w:type="dxa"/>
          </w:tcPr>
          <w:p w14:paraId="6393E900" w14:textId="77777777" w:rsidR="004C2586" w:rsidRPr="00E0548A" w:rsidRDefault="004C2586" w:rsidP="004C2586">
            <w:pPr>
              <w:spacing w:line="340" w:lineRule="exact"/>
            </w:pPr>
            <w:r w:rsidRPr="00E0548A">
              <w:rPr>
                <w:rFonts w:hint="eastAsia"/>
              </w:rPr>
              <w:t>１ 応急物資の調達等に係る連絡調整に関すること。</w:t>
            </w:r>
          </w:p>
          <w:p w14:paraId="3C5E97CA" w14:textId="77777777" w:rsidR="004C2586" w:rsidRPr="00E0548A" w:rsidRDefault="004C2586" w:rsidP="004C2586">
            <w:pPr>
              <w:spacing w:line="340" w:lineRule="exact"/>
            </w:pPr>
            <w:r w:rsidRPr="00E0548A">
              <w:rPr>
                <w:rFonts w:hint="eastAsia"/>
              </w:rPr>
              <w:t>２ 男女共同参画施設の災害等に係る連絡調整に関すること。</w:t>
            </w:r>
          </w:p>
        </w:tc>
      </w:tr>
      <w:tr w:rsidR="001D6D10" w:rsidRPr="001D6D10" w14:paraId="56E1E44E" w14:textId="77777777" w:rsidTr="009078F5">
        <w:trPr>
          <w:cantSplit/>
          <w:trHeight w:val="1104"/>
        </w:trPr>
        <w:tc>
          <w:tcPr>
            <w:tcW w:w="426" w:type="dxa"/>
            <w:vMerge/>
            <w:textDirection w:val="tbRlV"/>
          </w:tcPr>
          <w:p w14:paraId="46AB9C46" w14:textId="77777777" w:rsidR="004C2586" w:rsidRPr="001D6D10" w:rsidRDefault="004C2586" w:rsidP="004C2586">
            <w:pPr>
              <w:pStyle w:val="ad"/>
              <w:overflowPunct w:val="0"/>
              <w:spacing w:line="240" w:lineRule="auto"/>
              <w:ind w:left="113" w:rightChars="-376" w:right="-794"/>
              <w:rPr>
                <w:sz w:val="21"/>
              </w:rPr>
            </w:pPr>
          </w:p>
        </w:tc>
        <w:tc>
          <w:tcPr>
            <w:tcW w:w="1134" w:type="dxa"/>
            <w:vMerge/>
          </w:tcPr>
          <w:p w14:paraId="40970152" w14:textId="77777777" w:rsidR="004C2586" w:rsidRPr="001D6D10" w:rsidRDefault="004C2586" w:rsidP="004C2586">
            <w:pPr>
              <w:pStyle w:val="ad"/>
              <w:overflowPunct w:val="0"/>
              <w:spacing w:line="240" w:lineRule="auto"/>
              <w:ind w:rightChars="-376" w:right="-794"/>
            </w:pPr>
          </w:p>
        </w:tc>
        <w:tc>
          <w:tcPr>
            <w:tcW w:w="1276" w:type="dxa"/>
          </w:tcPr>
          <w:p w14:paraId="7C1A8319" w14:textId="77777777" w:rsidR="004C2586" w:rsidRPr="001D6D10" w:rsidRDefault="004C2586" w:rsidP="004C2586">
            <w:pPr>
              <w:spacing w:line="340" w:lineRule="exact"/>
            </w:pPr>
            <w:r w:rsidRPr="001D6D10">
              <w:rPr>
                <w:rFonts w:hint="eastAsia"/>
              </w:rPr>
              <w:t>広報広聴班</w:t>
            </w:r>
          </w:p>
        </w:tc>
        <w:tc>
          <w:tcPr>
            <w:tcW w:w="1730" w:type="dxa"/>
          </w:tcPr>
          <w:p w14:paraId="20244DE5" w14:textId="77777777" w:rsidR="004C2586" w:rsidRPr="001D6D10" w:rsidRDefault="004C2586" w:rsidP="004C2586">
            <w:pPr>
              <w:spacing w:line="340" w:lineRule="exact"/>
            </w:pPr>
            <w:r w:rsidRPr="001D6D10">
              <w:rPr>
                <w:rFonts w:hint="eastAsia"/>
              </w:rPr>
              <w:t>府政情報室</w:t>
            </w:r>
          </w:p>
          <w:p w14:paraId="2BCD0EC1" w14:textId="77777777" w:rsidR="004C2586" w:rsidRPr="001D6D10" w:rsidRDefault="004C2586" w:rsidP="004C2586">
            <w:pPr>
              <w:spacing w:line="340" w:lineRule="exact"/>
            </w:pPr>
            <w:r w:rsidRPr="001D6D10">
              <w:rPr>
                <w:rFonts w:hint="eastAsia"/>
              </w:rPr>
              <w:t>広報広聴課長</w:t>
            </w:r>
          </w:p>
        </w:tc>
        <w:tc>
          <w:tcPr>
            <w:tcW w:w="6066" w:type="dxa"/>
          </w:tcPr>
          <w:p w14:paraId="74BBBD4E" w14:textId="77777777" w:rsidR="004C2586" w:rsidRPr="00E0548A" w:rsidRDefault="004C2586" w:rsidP="004C2586">
            <w:pPr>
              <w:spacing w:line="340" w:lineRule="exact"/>
              <w:ind w:left="106" w:hangingChars="50" w:hanging="106"/>
            </w:pPr>
            <w:r w:rsidRPr="00E0548A">
              <w:rPr>
                <w:rFonts w:hint="eastAsia"/>
              </w:rPr>
              <w:t>１ 府ホームページ等への情報掲載など災害時の緊急情報の提供等に関すること。</w:t>
            </w:r>
          </w:p>
          <w:p w14:paraId="5F44363E" w14:textId="1962D2C8" w:rsidR="004C2586" w:rsidRPr="00E0548A" w:rsidRDefault="004C2586" w:rsidP="009078F5">
            <w:pPr>
              <w:spacing w:line="340" w:lineRule="exact"/>
              <w:ind w:left="106" w:hangingChars="50" w:hanging="106"/>
            </w:pPr>
            <w:r w:rsidRPr="00E0548A">
              <w:rPr>
                <w:rFonts w:hint="eastAsia"/>
              </w:rPr>
              <w:t>２</w:t>
            </w:r>
            <w:r w:rsidR="009078F5" w:rsidRPr="00E0548A">
              <w:rPr>
                <w:rFonts w:hint="eastAsia"/>
              </w:rPr>
              <w:t xml:space="preserve"> 府民からの相談に関すること。</w:t>
            </w:r>
          </w:p>
        </w:tc>
      </w:tr>
      <w:tr w:rsidR="001D6D10" w:rsidRPr="001D6D10" w14:paraId="57BF6AB9" w14:textId="77777777" w:rsidTr="005F51E1">
        <w:tc>
          <w:tcPr>
            <w:tcW w:w="426" w:type="dxa"/>
            <w:vMerge/>
          </w:tcPr>
          <w:p w14:paraId="330060E0" w14:textId="77777777" w:rsidR="004C2586" w:rsidRPr="001D6D10" w:rsidRDefault="004C2586" w:rsidP="004C2586">
            <w:pPr>
              <w:pStyle w:val="ad"/>
              <w:overflowPunct w:val="0"/>
              <w:spacing w:line="240" w:lineRule="auto"/>
              <w:ind w:left="113" w:rightChars="-376" w:right="-794"/>
              <w:rPr>
                <w:sz w:val="21"/>
              </w:rPr>
            </w:pPr>
          </w:p>
        </w:tc>
        <w:tc>
          <w:tcPr>
            <w:tcW w:w="1134" w:type="dxa"/>
            <w:vMerge/>
          </w:tcPr>
          <w:p w14:paraId="3091315D" w14:textId="77777777" w:rsidR="004C2586" w:rsidRPr="001D6D10" w:rsidRDefault="004C2586" w:rsidP="004C2586">
            <w:pPr>
              <w:pStyle w:val="ad"/>
              <w:overflowPunct w:val="0"/>
              <w:spacing w:line="240" w:lineRule="auto"/>
              <w:ind w:rightChars="-376" w:right="-794"/>
            </w:pPr>
          </w:p>
        </w:tc>
        <w:tc>
          <w:tcPr>
            <w:tcW w:w="1276" w:type="dxa"/>
          </w:tcPr>
          <w:p w14:paraId="4D1F9B45" w14:textId="77777777" w:rsidR="004C2586" w:rsidRPr="001D6D10" w:rsidRDefault="004C2586" w:rsidP="004C2586">
            <w:pPr>
              <w:spacing w:line="340" w:lineRule="exact"/>
            </w:pPr>
            <w:r w:rsidRPr="001D6D10">
              <w:rPr>
                <w:rFonts w:hint="eastAsia"/>
              </w:rPr>
              <w:t>都市魅力</w:t>
            </w:r>
          </w:p>
          <w:p w14:paraId="509481C7" w14:textId="77777777" w:rsidR="004C2586" w:rsidRPr="001D6D10" w:rsidRDefault="004C2586" w:rsidP="004C2586">
            <w:pPr>
              <w:spacing w:line="340" w:lineRule="exact"/>
            </w:pPr>
            <w:r w:rsidRPr="001D6D10">
              <w:rPr>
                <w:rFonts w:hint="eastAsia"/>
              </w:rPr>
              <w:t>創造班</w:t>
            </w:r>
          </w:p>
        </w:tc>
        <w:tc>
          <w:tcPr>
            <w:tcW w:w="1730" w:type="dxa"/>
          </w:tcPr>
          <w:p w14:paraId="6C4395B8" w14:textId="77777777" w:rsidR="004C2586" w:rsidRPr="001D6D10" w:rsidRDefault="004C2586" w:rsidP="004C2586">
            <w:pPr>
              <w:spacing w:line="340" w:lineRule="exact"/>
              <w:rPr>
                <w:w w:val="90"/>
                <w:szCs w:val="21"/>
              </w:rPr>
            </w:pPr>
            <w:r w:rsidRPr="001D6D10">
              <w:rPr>
                <w:rFonts w:hint="eastAsia"/>
                <w:w w:val="90"/>
                <w:szCs w:val="21"/>
              </w:rPr>
              <w:t>都市魅力創造局</w:t>
            </w:r>
          </w:p>
          <w:p w14:paraId="77D3994B" w14:textId="77777777" w:rsidR="004C2586" w:rsidRPr="001D6D10" w:rsidRDefault="004C2586" w:rsidP="004C2586">
            <w:pPr>
              <w:spacing w:line="340" w:lineRule="exact"/>
              <w:rPr>
                <w:szCs w:val="21"/>
              </w:rPr>
            </w:pPr>
            <w:r w:rsidRPr="001D6D10">
              <w:rPr>
                <w:rFonts w:hint="eastAsia"/>
                <w:szCs w:val="21"/>
              </w:rPr>
              <w:t>企画・観光課長</w:t>
            </w:r>
          </w:p>
          <w:p w14:paraId="0BACD05B" w14:textId="77777777" w:rsidR="004C2586" w:rsidRPr="001D6D10" w:rsidRDefault="004C2586" w:rsidP="004C2586">
            <w:pPr>
              <w:spacing w:line="340" w:lineRule="exact"/>
              <w:rPr>
                <w:szCs w:val="21"/>
              </w:rPr>
            </w:pPr>
            <w:r w:rsidRPr="001D6D10">
              <w:rPr>
                <w:rFonts w:hint="eastAsia"/>
                <w:w w:val="70"/>
                <w:kern w:val="0"/>
                <w:szCs w:val="21"/>
                <w:fitText w:val="1330" w:id="-1954281977"/>
              </w:rPr>
              <w:t>魅力づくり推進課</w:t>
            </w:r>
            <w:r w:rsidRPr="001D6D10">
              <w:rPr>
                <w:rFonts w:hint="eastAsia"/>
                <w:spacing w:val="7"/>
                <w:w w:val="70"/>
                <w:kern w:val="0"/>
                <w:szCs w:val="21"/>
                <w:fitText w:val="1330" w:id="-1954281977"/>
              </w:rPr>
              <w:t>長</w:t>
            </w:r>
          </w:p>
          <w:p w14:paraId="7FC1DB24" w14:textId="77777777" w:rsidR="004C2586" w:rsidRPr="001D6D10" w:rsidRDefault="004C2586" w:rsidP="004C2586">
            <w:pPr>
              <w:spacing w:line="340" w:lineRule="exact"/>
            </w:pPr>
            <w:r w:rsidRPr="001D6D10">
              <w:rPr>
                <w:rFonts w:hint="eastAsia"/>
              </w:rPr>
              <w:t>国際課長</w:t>
            </w:r>
          </w:p>
        </w:tc>
        <w:tc>
          <w:tcPr>
            <w:tcW w:w="6066" w:type="dxa"/>
          </w:tcPr>
          <w:p w14:paraId="4B00FB19" w14:textId="7702B103" w:rsidR="004C2586" w:rsidRPr="00E0548A" w:rsidRDefault="004C2586" w:rsidP="004C2586">
            <w:pPr>
              <w:spacing w:line="340" w:lineRule="exact"/>
              <w:ind w:left="81" w:hanging="81"/>
            </w:pPr>
            <w:r w:rsidRPr="00E0548A">
              <w:rPr>
                <w:rFonts w:hint="eastAsia"/>
              </w:rPr>
              <w:t>１ 来阪中の</w:t>
            </w:r>
            <w:proofErr w:type="gramStart"/>
            <w:r w:rsidR="002D505B" w:rsidRPr="00E0548A">
              <w:rPr>
                <w:rFonts w:hint="eastAsia"/>
              </w:rPr>
              <w:t>招へい</w:t>
            </w:r>
            <w:proofErr w:type="gramEnd"/>
            <w:r w:rsidRPr="00E0548A">
              <w:rPr>
                <w:rFonts w:hint="eastAsia"/>
              </w:rPr>
              <w:t>外国要人の安全確保に関すること。</w:t>
            </w:r>
          </w:p>
          <w:p w14:paraId="7FADD435" w14:textId="77777777" w:rsidR="004C2586" w:rsidRPr="00E0548A" w:rsidRDefault="004C2586" w:rsidP="004C2586">
            <w:pPr>
              <w:spacing w:line="340" w:lineRule="exact"/>
              <w:ind w:left="81" w:hanging="81"/>
            </w:pPr>
            <w:r w:rsidRPr="00E0548A">
              <w:rPr>
                <w:rFonts w:hint="eastAsia"/>
              </w:rPr>
              <w:t>２ 海外出張者一行への連絡に関すること。</w:t>
            </w:r>
          </w:p>
          <w:p w14:paraId="4AB2E532" w14:textId="77777777" w:rsidR="004C2586" w:rsidRPr="00E0548A" w:rsidRDefault="004C2586" w:rsidP="004C2586">
            <w:pPr>
              <w:spacing w:line="340" w:lineRule="exact"/>
              <w:ind w:left="81" w:hanging="81"/>
            </w:pPr>
            <w:r w:rsidRPr="00E0548A">
              <w:rPr>
                <w:rFonts w:hint="eastAsia"/>
              </w:rPr>
              <w:t>３ 外国政府関係機関等の連絡調整に関すること。</w:t>
            </w:r>
          </w:p>
          <w:p w14:paraId="4C0F9764" w14:textId="75BE809A" w:rsidR="004C2586" w:rsidRPr="00E0548A" w:rsidRDefault="004C2586" w:rsidP="004C2586">
            <w:pPr>
              <w:spacing w:line="340" w:lineRule="exact"/>
              <w:ind w:left="81" w:hanging="81"/>
            </w:pPr>
            <w:r w:rsidRPr="00E0548A">
              <w:rPr>
                <w:rFonts w:hint="eastAsia"/>
              </w:rPr>
              <w:t>４ 外国人の被災状況に関する情報</w:t>
            </w:r>
            <w:r w:rsidR="006F4F79" w:rsidRPr="00E0548A">
              <w:rPr>
                <w:rFonts w:hint="eastAsia"/>
              </w:rPr>
              <w:t>確認</w:t>
            </w:r>
            <w:r w:rsidRPr="00E0548A">
              <w:rPr>
                <w:rFonts w:hint="eastAsia"/>
              </w:rPr>
              <w:t>に関すること。</w:t>
            </w:r>
          </w:p>
          <w:p w14:paraId="0D2FA435" w14:textId="28589905" w:rsidR="004C2586" w:rsidRPr="00E0548A" w:rsidRDefault="004C2586" w:rsidP="004C2586">
            <w:pPr>
              <w:spacing w:line="340" w:lineRule="exact"/>
              <w:ind w:left="81" w:hanging="81"/>
            </w:pPr>
            <w:r w:rsidRPr="00E0548A">
              <w:rPr>
                <w:rFonts w:hint="eastAsia"/>
              </w:rPr>
              <w:t>５ 外国人が必要とする情報の</w:t>
            </w:r>
            <w:r w:rsidR="006F4F79" w:rsidRPr="00E0548A">
              <w:rPr>
                <w:rFonts w:hint="eastAsia"/>
              </w:rPr>
              <w:t>確認</w:t>
            </w:r>
            <w:r w:rsidRPr="00E0548A">
              <w:rPr>
                <w:rFonts w:hint="eastAsia"/>
              </w:rPr>
              <w:t>及び外国人に対する行政情報の提供に関すること。</w:t>
            </w:r>
          </w:p>
          <w:p w14:paraId="77BB46AA" w14:textId="77777777" w:rsidR="004C2586" w:rsidRPr="00E0548A" w:rsidRDefault="004C2586" w:rsidP="004C2586">
            <w:pPr>
              <w:spacing w:line="340" w:lineRule="exact"/>
            </w:pPr>
            <w:r w:rsidRPr="00E0548A">
              <w:rPr>
                <w:rFonts w:hint="eastAsia"/>
                <w:szCs w:val="21"/>
              </w:rPr>
              <w:t>６</w:t>
            </w:r>
            <w:r w:rsidRPr="00E0548A">
              <w:rPr>
                <w:rFonts w:hint="eastAsia"/>
              </w:rPr>
              <w:t xml:space="preserve"> 海外からの支援団の活動支援の調整に関すること。</w:t>
            </w:r>
          </w:p>
          <w:p w14:paraId="6692D78C" w14:textId="77777777" w:rsidR="004C2586" w:rsidRPr="00E0548A" w:rsidRDefault="004C2586" w:rsidP="004C2586">
            <w:pPr>
              <w:spacing w:line="340" w:lineRule="exact"/>
            </w:pPr>
            <w:r w:rsidRPr="00E0548A">
              <w:rPr>
                <w:rFonts w:hint="eastAsia"/>
              </w:rPr>
              <w:t>７ 通訳・翻訳業務の支援要請への対応に関すること。</w:t>
            </w:r>
          </w:p>
          <w:p w14:paraId="2A64165D" w14:textId="77777777" w:rsidR="004C2586" w:rsidRPr="00E0548A" w:rsidRDefault="004C2586" w:rsidP="004C2586">
            <w:pPr>
              <w:spacing w:line="340" w:lineRule="exact"/>
              <w:rPr>
                <w:szCs w:val="21"/>
              </w:rPr>
            </w:pPr>
            <w:r w:rsidRPr="00E0548A">
              <w:rPr>
                <w:rFonts w:hint="eastAsia"/>
                <w:szCs w:val="21"/>
              </w:rPr>
              <w:t>８ 所管施設の災害等に係る連絡調整に関すること。</w:t>
            </w:r>
          </w:p>
          <w:p w14:paraId="5CBAB4F7" w14:textId="77777777" w:rsidR="004C2586" w:rsidRPr="00E0548A" w:rsidRDefault="004C2586" w:rsidP="004C2586">
            <w:pPr>
              <w:spacing w:line="320" w:lineRule="exact"/>
              <w:ind w:left="81" w:hanging="81"/>
              <w:rPr>
                <w:rFonts w:hAnsi="ＭＳ 明朝" w:cs="Meiryo UI"/>
                <w:szCs w:val="21"/>
              </w:rPr>
            </w:pPr>
            <w:r w:rsidRPr="00E0548A">
              <w:rPr>
                <w:rFonts w:hAnsi="ＭＳ 明朝" w:cs="Meiryo UI" w:hint="eastAsia"/>
                <w:szCs w:val="21"/>
              </w:rPr>
              <w:t>９ 災害対策本部へのリエゾンの派遣に関すること。</w:t>
            </w:r>
          </w:p>
          <w:p w14:paraId="01BD5701" w14:textId="77777777" w:rsidR="004C2586" w:rsidRPr="00E0548A" w:rsidRDefault="004C2586" w:rsidP="005F51E1">
            <w:pPr>
              <w:spacing w:line="320" w:lineRule="exact"/>
              <w:ind w:left="81" w:hanging="81"/>
            </w:pPr>
            <w:r w:rsidRPr="00E0548A">
              <w:rPr>
                <w:rFonts w:hAnsi="ＭＳ 明朝" w:cs="Meiryo UI" w:hint="eastAsia"/>
                <w:szCs w:val="21"/>
              </w:rPr>
              <w:t>10 大阪府国際交流財団と連携した多言語支援センター設置、外国人支援に関する調整に関すること。</w:t>
            </w:r>
          </w:p>
        </w:tc>
      </w:tr>
      <w:tr w:rsidR="001D6D10" w:rsidRPr="001D6D10" w14:paraId="10AFC839" w14:textId="77777777" w:rsidTr="005F51E1">
        <w:tc>
          <w:tcPr>
            <w:tcW w:w="426" w:type="dxa"/>
            <w:vMerge/>
          </w:tcPr>
          <w:p w14:paraId="656E1F3D" w14:textId="77777777" w:rsidR="004C2586" w:rsidRPr="001D6D10" w:rsidRDefault="004C2586" w:rsidP="004C2586">
            <w:pPr>
              <w:pStyle w:val="ad"/>
              <w:overflowPunct w:val="0"/>
              <w:spacing w:line="240" w:lineRule="auto"/>
              <w:ind w:left="113" w:rightChars="-376" w:right="-794"/>
            </w:pPr>
          </w:p>
        </w:tc>
        <w:tc>
          <w:tcPr>
            <w:tcW w:w="1134" w:type="dxa"/>
            <w:vMerge/>
          </w:tcPr>
          <w:p w14:paraId="4CB14472" w14:textId="77777777" w:rsidR="004C2586" w:rsidRPr="001D6D10" w:rsidRDefault="004C2586" w:rsidP="004C2586">
            <w:pPr>
              <w:pStyle w:val="ad"/>
              <w:overflowPunct w:val="0"/>
              <w:spacing w:line="240" w:lineRule="auto"/>
              <w:ind w:rightChars="-376" w:right="-794"/>
            </w:pPr>
          </w:p>
        </w:tc>
        <w:tc>
          <w:tcPr>
            <w:tcW w:w="1276" w:type="dxa"/>
          </w:tcPr>
          <w:p w14:paraId="479BA8B9" w14:textId="77777777" w:rsidR="004C2586" w:rsidRPr="001D6D10" w:rsidRDefault="004C2586" w:rsidP="004C2586">
            <w:pPr>
              <w:spacing w:line="320" w:lineRule="exact"/>
              <w:rPr>
                <w:rFonts w:hAnsi="ＭＳ 明朝" w:cs="Meiryo UI"/>
                <w:szCs w:val="21"/>
              </w:rPr>
            </w:pPr>
            <w:r w:rsidRPr="001D6D10">
              <w:rPr>
                <w:rFonts w:hAnsi="ＭＳ 明朝" w:cs="Meiryo UI" w:hint="eastAsia"/>
                <w:szCs w:val="21"/>
              </w:rPr>
              <w:t>文化・</w:t>
            </w:r>
          </w:p>
          <w:p w14:paraId="39A49CD8" w14:textId="77777777" w:rsidR="004C2586" w:rsidRPr="001D6D10" w:rsidRDefault="004C2586" w:rsidP="004C2586">
            <w:pPr>
              <w:spacing w:line="340" w:lineRule="exact"/>
            </w:pPr>
            <w:r w:rsidRPr="001D6D10">
              <w:rPr>
                <w:rFonts w:hAnsi="ＭＳ 明朝" w:cs="Meiryo UI" w:hint="eastAsia"/>
                <w:szCs w:val="21"/>
              </w:rPr>
              <w:t>ｽﾎﾟｰﾂ班</w:t>
            </w:r>
          </w:p>
        </w:tc>
        <w:tc>
          <w:tcPr>
            <w:tcW w:w="1730" w:type="dxa"/>
          </w:tcPr>
          <w:p w14:paraId="7B21E9ED" w14:textId="77777777" w:rsidR="004C2586" w:rsidRPr="001D6D10" w:rsidRDefault="004C2586" w:rsidP="004C2586">
            <w:pPr>
              <w:spacing w:line="320" w:lineRule="exact"/>
              <w:rPr>
                <w:rFonts w:hAnsi="ＭＳ 明朝" w:cs="Meiryo UI"/>
                <w:szCs w:val="21"/>
              </w:rPr>
            </w:pPr>
            <w:r w:rsidRPr="001D6D10">
              <w:rPr>
                <w:rFonts w:hAnsi="ＭＳ 明朝" w:cs="Meiryo UI" w:hint="eastAsia"/>
                <w:szCs w:val="21"/>
              </w:rPr>
              <w:t>文化・ｽﾎﾟｰﾂ室</w:t>
            </w:r>
          </w:p>
          <w:p w14:paraId="5F1812AC" w14:textId="77777777" w:rsidR="004C2586" w:rsidRPr="001D6D10" w:rsidRDefault="004C2586" w:rsidP="004C2586">
            <w:pPr>
              <w:spacing w:line="340" w:lineRule="exact"/>
              <w:rPr>
                <w:w w:val="90"/>
              </w:rPr>
            </w:pPr>
            <w:r w:rsidRPr="001D6D10">
              <w:rPr>
                <w:rFonts w:hAnsi="ＭＳ 明朝" w:cs="Meiryo UI" w:hint="eastAsia"/>
                <w:szCs w:val="21"/>
              </w:rPr>
              <w:t>文化課長</w:t>
            </w:r>
          </w:p>
        </w:tc>
        <w:tc>
          <w:tcPr>
            <w:tcW w:w="6066" w:type="dxa"/>
          </w:tcPr>
          <w:p w14:paraId="399127C7" w14:textId="77777777" w:rsidR="004C2586" w:rsidRPr="001D6D10" w:rsidRDefault="004C2586" w:rsidP="004C2586">
            <w:pPr>
              <w:spacing w:line="340" w:lineRule="exact"/>
            </w:pPr>
            <w:r w:rsidRPr="001D6D10">
              <w:rPr>
                <w:rFonts w:hAnsi="ＭＳ 明朝" w:cs="Meiryo UI" w:hint="eastAsia"/>
                <w:szCs w:val="21"/>
              </w:rPr>
              <w:t>所管施設の災害等に係る連絡調整に関すること。</w:t>
            </w:r>
          </w:p>
        </w:tc>
      </w:tr>
      <w:tr w:rsidR="001D6D10" w:rsidRPr="001D6D10" w14:paraId="5B534BE7" w14:textId="77777777" w:rsidTr="005F51E1">
        <w:trPr>
          <w:cantSplit/>
          <w:trHeight w:val="527"/>
        </w:trPr>
        <w:tc>
          <w:tcPr>
            <w:tcW w:w="426" w:type="dxa"/>
            <w:vMerge/>
            <w:textDirection w:val="tbRlV"/>
          </w:tcPr>
          <w:p w14:paraId="42A0FEC2" w14:textId="77777777" w:rsidR="004C2586" w:rsidRPr="001D6D10" w:rsidRDefault="004C2586" w:rsidP="004C2586">
            <w:pPr>
              <w:pStyle w:val="ad"/>
              <w:wordWrap/>
              <w:overflowPunct w:val="0"/>
              <w:spacing w:line="240" w:lineRule="auto"/>
              <w:ind w:left="113" w:rightChars="-376" w:right="-794"/>
            </w:pPr>
          </w:p>
        </w:tc>
        <w:tc>
          <w:tcPr>
            <w:tcW w:w="1134" w:type="dxa"/>
            <w:vMerge/>
          </w:tcPr>
          <w:p w14:paraId="355A4054" w14:textId="77777777" w:rsidR="004C2586" w:rsidRPr="001D6D10" w:rsidRDefault="004C2586" w:rsidP="004C2586">
            <w:pPr>
              <w:pStyle w:val="ad"/>
              <w:wordWrap/>
              <w:overflowPunct w:val="0"/>
              <w:spacing w:line="240" w:lineRule="auto"/>
              <w:ind w:rightChars="-376" w:right="-794"/>
            </w:pPr>
          </w:p>
        </w:tc>
        <w:tc>
          <w:tcPr>
            <w:tcW w:w="1276" w:type="dxa"/>
          </w:tcPr>
          <w:p w14:paraId="6262A6E9" w14:textId="77777777" w:rsidR="004C2586" w:rsidRPr="001D6D10" w:rsidRDefault="004C2586" w:rsidP="004C2586">
            <w:pPr>
              <w:spacing w:line="340" w:lineRule="exact"/>
            </w:pPr>
            <w:r w:rsidRPr="001D6D10">
              <w:rPr>
                <w:rFonts w:hint="eastAsia"/>
              </w:rPr>
              <w:t>消費生活班</w:t>
            </w:r>
          </w:p>
        </w:tc>
        <w:tc>
          <w:tcPr>
            <w:tcW w:w="1730" w:type="dxa"/>
          </w:tcPr>
          <w:p w14:paraId="7DAA3506" w14:textId="77777777" w:rsidR="004C2586" w:rsidRPr="001D6D10" w:rsidRDefault="004C2586" w:rsidP="004C2586">
            <w:pPr>
              <w:spacing w:line="340" w:lineRule="exact"/>
              <w:rPr>
                <w:szCs w:val="21"/>
              </w:rPr>
            </w:pPr>
            <w:r w:rsidRPr="001D6D10">
              <w:rPr>
                <w:rFonts w:hint="eastAsia"/>
              </w:rPr>
              <w:t>消費生活</w:t>
            </w:r>
            <w:proofErr w:type="gramStart"/>
            <w:r w:rsidRPr="001D6D10">
              <w:rPr>
                <w:rFonts w:hint="eastAsia"/>
              </w:rPr>
              <w:t>ｾﾝﾀｰ</w:t>
            </w:r>
            <w:proofErr w:type="gramEnd"/>
          </w:p>
        </w:tc>
        <w:tc>
          <w:tcPr>
            <w:tcW w:w="6066" w:type="dxa"/>
          </w:tcPr>
          <w:p w14:paraId="05C1151A" w14:textId="77777777" w:rsidR="004C2586" w:rsidRPr="001D6D10" w:rsidRDefault="004C2586" w:rsidP="004C2586">
            <w:pPr>
              <w:spacing w:line="340" w:lineRule="exact"/>
              <w:rPr>
                <w:szCs w:val="21"/>
              </w:rPr>
            </w:pPr>
            <w:r w:rsidRPr="001D6D10">
              <w:rPr>
                <w:rFonts w:hint="eastAsia"/>
              </w:rPr>
              <w:t>物価の安定に関すること。</w:t>
            </w:r>
          </w:p>
        </w:tc>
      </w:tr>
      <w:tr w:rsidR="001D6D10" w:rsidRPr="001D6D10" w14:paraId="2755DF50" w14:textId="77777777" w:rsidTr="005F51E1">
        <w:tc>
          <w:tcPr>
            <w:tcW w:w="426" w:type="dxa"/>
            <w:vMerge/>
          </w:tcPr>
          <w:p w14:paraId="2593C55F" w14:textId="77777777" w:rsidR="004C2586" w:rsidRPr="001D6D10" w:rsidRDefault="004C2586" w:rsidP="004C2586">
            <w:pPr>
              <w:pStyle w:val="ad"/>
              <w:wordWrap/>
              <w:overflowPunct w:val="0"/>
              <w:spacing w:line="240" w:lineRule="auto"/>
              <w:ind w:rightChars="-376" w:right="-794"/>
            </w:pPr>
          </w:p>
        </w:tc>
        <w:tc>
          <w:tcPr>
            <w:tcW w:w="1134" w:type="dxa"/>
            <w:vMerge/>
          </w:tcPr>
          <w:p w14:paraId="310788EE" w14:textId="77777777" w:rsidR="004C2586" w:rsidRPr="001D6D10" w:rsidRDefault="004C2586" w:rsidP="004C2586">
            <w:pPr>
              <w:pStyle w:val="ad"/>
              <w:wordWrap/>
              <w:overflowPunct w:val="0"/>
              <w:spacing w:line="240" w:lineRule="auto"/>
              <w:ind w:rightChars="-376" w:right="-794"/>
            </w:pPr>
          </w:p>
        </w:tc>
        <w:tc>
          <w:tcPr>
            <w:tcW w:w="1276" w:type="dxa"/>
          </w:tcPr>
          <w:p w14:paraId="091CEDE1" w14:textId="77777777" w:rsidR="004C2586" w:rsidRPr="001D6D10" w:rsidRDefault="004C2586" w:rsidP="004C2586">
            <w:pPr>
              <w:spacing w:line="320" w:lineRule="exact"/>
              <w:rPr>
                <w:rFonts w:hAnsi="ＭＳ 明朝" w:cs="Meiryo UI"/>
                <w:szCs w:val="21"/>
              </w:rPr>
            </w:pPr>
            <w:r w:rsidRPr="001D6D10">
              <w:rPr>
                <w:rFonts w:hint="eastAsia"/>
              </w:rPr>
              <w:t>応援第１班</w:t>
            </w:r>
          </w:p>
        </w:tc>
        <w:tc>
          <w:tcPr>
            <w:tcW w:w="1730" w:type="dxa"/>
          </w:tcPr>
          <w:p w14:paraId="35DE74EE" w14:textId="77777777" w:rsidR="004C2586" w:rsidRPr="001D6D10" w:rsidRDefault="004C2586" w:rsidP="004C2586">
            <w:pPr>
              <w:spacing w:line="340" w:lineRule="exact"/>
            </w:pPr>
            <w:r w:rsidRPr="001D6D10">
              <w:rPr>
                <w:rFonts w:hint="eastAsia"/>
              </w:rPr>
              <w:t>人権局</w:t>
            </w:r>
          </w:p>
          <w:p w14:paraId="32389E09" w14:textId="77777777" w:rsidR="004C2586" w:rsidRPr="001D6D10" w:rsidRDefault="004C2586" w:rsidP="004C2586">
            <w:pPr>
              <w:spacing w:line="320" w:lineRule="exact"/>
              <w:rPr>
                <w:rFonts w:hAnsi="ＭＳ 明朝" w:cs="Meiryo UI"/>
                <w:szCs w:val="21"/>
              </w:rPr>
            </w:pPr>
            <w:r w:rsidRPr="001D6D10">
              <w:rPr>
                <w:rFonts w:hint="eastAsia"/>
              </w:rPr>
              <w:t>人権企画課長</w:t>
            </w:r>
          </w:p>
        </w:tc>
        <w:tc>
          <w:tcPr>
            <w:tcW w:w="6066" w:type="dxa"/>
          </w:tcPr>
          <w:p w14:paraId="4113955D" w14:textId="77777777" w:rsidR="004C2586" w:rsidRPr="001D6D10" w:rsidRDefault="004C2586" w:rsidP="004C2586">
            <w:pPr>
              <w:spacing w:line="340" w:lineRule="exact"/>
              <w:ind w:left="81" w:hanging="81"/>
            </w:pPr>
            <w:r w:rsidRPr="001D6D10">
              <w:rPr>
                <w:rFonts w:hint="eastAsia"/>
              </w:rPr>
              <w:t>他の班の応援に関すること。</w:t>
            </w:r>
          </w:p>
        </w:tc>
      </w:tr>
      <w:tr w:rsidR="001D6D10" w:rsidRPr="001D6D10" w14:paraId="4124CD24" w14:textId="77777777" w:rsidTr="005F51E1">
        <w:tc>
          <w:tcPr>
            <w:tcW w:w="426" w:type="dxa"/>
            <w:vMerge/>
          </w:tcPr>
          <w:p w14:paraId="2464C154" w14:textId="77777777" w:rsidR="004C2586" w:rsidRPr="001D6D10" w:rsidRDefault="004C2586" w:rsidP="004C2586">
            <w:pPr>
              <w:pStyle w:val="ad"/>
              <w:wordWrap/>
              <w:overflowPunct w:val="0"/>
              <w:spacing w:line="240" w:lineRule="auto"/>
              <w:ind w:rightChars="-376" w:right="-794"/>
            </w:pPr>
          </w:p>
        </w:tc>
        <w:tc>
          <w:tcPr>
            <w:tcW w:w="1134" w:type="dxa"/>
            <w:vMerge/>
          </w:tcPr>
          <w:p w14:paraId="48596F02" w14:textId="77777777" w:rsidR="004C2586" w:rsidRPr="001D6D10" w:rsidRDefault="004C2586" w:rsidP="004C2586">
            <w:pPr>
              <w:pStyle w:val="ad"/>
              <w:wordWrap/>
              <w:overflowPunct w:val="0"/>
              <w:spacing w:line="240" w:lineRule="auto"/>
              <w:ind w:rightChars="-376" w:right="-794"/>
            </w:pPr>
          </w:p>
        </w:tc>
        <w:tc>
          <w:tcPr>
            <w:tcW w:w="1276" w:type="dxa"/>
          </w:tcPr>
          <w:p w14:paraId="2A04821C" w14:textId="77777777" w:rsidR="004C2586" w:rsidRPr="001D6D10" w:rsidRDefault="004C2586" w:rsidP="004C2586">
            <w:pPr>
              <w:spacing w:line="340" w:lineRule="exact"/>
            </w:pPr>
            <w:r w:rsidRPr="001D6D10">
              <w:rPr>
                <w:rFonts w:hint="eastAsia"/>
              </w:rPr>
              <w:t>応援第２班</w:t>
            </w:r>
          </w:p>
        </w:tc>
        <w:tc>
          <w:tcPr>
            <w:tcW w:w="1730" w:type="dxa"/>
          </w:tcPr>
          <w:p w14:paraId="0A00329C" w14:textId="77777777" w:rsidR="004C2586" w:rsidRPr="001D6D10" w:rsidRDefault="004C2586" w:rsidP="004C2586">
            <w:pPr>
              <w:spacing w:line="340" w:lineRule="exact"/>
            </w:pPr>
            <w:r w:rsidRPr="001D6D10">
              <w:rPr>
                <w:rFonts w:hint="eastAsia"/>
              </w:rPr>
              <w:t>人権局</w:t>
            </w:r>
          </w:p>
          <w:p w14:paraId="44A23442" w14:textId="77777777" w:rsidR="004C2586" w:rsidRPr="001D6D10" w:rsidRDefault="004C2586" w:rsidP="004C2586">
            <w:pPr>
              <w:spacing w:line="340" w:lineRule="exact"/>
              <w:rPr>
                <w:w w:val="90"/>
                <w:szCs w:val="21"/>
              </w:rPr>
            </w:pPr>
            <w:r w:rsidRPr="001D6D10">
              <w:rPr>
                <w:rFonts w:hint="eastAsia"/>
              </w:rPr>
              <w:t>人権擁護課長</w:t>
            </w:r>
          </w:p>
        </w:tc>
        <w:tc>
          <w:tcPr>
            <w:tcW w:w="6066" w:type="dxa"/>
          </w:tcPr>
          <w:p w14:paraId="1DBB9A8D" w14:textId="77777777" w:rsidR="004C2586" w:rsidRPr="001D6D10" w:rsidRDefault="004C2586" w:rsidP="004C2586">
            <w:pPr>
              <w:spacing w:line="340" w:lineRule="exact"/>
              <w:ind w:left="81" w:hanging="81"/>
            </w:pPr>
            <w:r w:rsidRPr="001D6D10">
              <w:rPr>
                <w:rFonts w:hint="eastAsia"/>
              </w:rPr>
              <w:t>他の班の応援に関すること。</w:t>
            </w:r>
          </w:p>
        </w:tc>
      </w:tr>
      <w:tr w:rsidR="001D6D10" w:rsidRPr="001D6D10" w14:paraId="6B84AFE3" w14:textId="77777777" w:rsidTr="005F51E1">
        <w:tc>
          <w:tcPr>
            <w:tcW w:w="426" w:type="dxa"/>
            <w:vMerge/>
          </w:tcPr>
          <w:p w14:paraId="3BDEC794" w14:textId="77777777" w:rsidR="004C2586" w:rsidRPr="001D6D10" w:rsidRDefault="004C2586" w:rsidP="004C2586">
            <w:pPr>
              <w:pStyle w:val="ad"/>
              <w:wordWrap/>
              <w:overflowPunct w:val="0"/>
              <w:spacing w:line="240" w:lineRule="auto"/>
              <w:ind w:rightChars="-376" w:right="-794"/>
            </w:pPr>
          </w:p>
        </w:tc>
        <w:tc>
          <w:tcPr>
            <w:tcW w:w="1134" w:type="dxa"/>
            <w:vMerge/>
          </w:tcPr>
          <w:p w14:paraId="6C9B4903" w14:textId="77777777" w:rsidR="004C2586" w:rsidRPr="001D6D10" w:rsidRDefault="004C2586" w:rsidP="004C2586">
            <w:pPr>
              <w:pStyle w:val="ad"/>
              <w:wordWrap/>
              <w:overflowPunct w:val="0"/>
              <w:spacing w:line="240" w:lineRule="auto"/>
              <w:ind w:rightChars="-376" w:right="-794"/>
            </w:pPr>
          </w:p>
        </w:tc>
        <w:tc>
          <w:tcPr>
            <w:tcW w:w="1276" w:type="dxa"/>
          </w:tcPr>
          <w:p w14:paraId="1C4CE689" w14:textId="77777777" w:rsidR="004C2586" w:rsidRPr="001D6D10" w:rsidRDefault="004C2586" w:rsidP="004C2586">
            <w:pPr>
              <w:spacing w:line="340" w:lineRule="exact"/>
            </w:pPr>
            <w:r w:rsidRPr="001D6D10">
              <w:rPr>
                <w:rFonts w:hint="eastAsia"/>
              </w:rPr>
              <w:t>応援第３班</w:t>
            </w:r>
          </w:p>
        </w:tc>
        <w:tc>
          <w:tcPr>
            <w:tcW w:w="1730" w:type="dxa"/>
          </w:tcPr>
          <w:p w14:paraId="4D34E5B8" w14:textId="77777777" w:rsidR="004C2586" w:rsidRPr="001D6D10" w:rsidRDefault="004C2586" w:rsidP="004C2586">
            <w:pPr>
              <w:spacing w:line="340" w:lineRule="exact"/>
            </w:pPr>
            <w:r w:rsidRPr="001D6D10">
              <w:rPr>
                <w:rFonts w:hint="eastAsia"/>
              </w:rPr>
              <w:t>府政情報室</w:t>
            </w:r>
          </w:p>
          <w:p w14:paraId="015D966B" w14:textId="77777777" w:rsidR="004C2586" w:rsidRPr="001D6D10" w:rsidRDefault="004C2586" w:rsidP="004C2586">
            <w:pPr>
              <w:spacing w:line="340" w:lineRule="exact"/>
            </w:pPr>
            <w:r w:rsidRPr="001D6D10">
              <w:rPr>
                <w:rFonts w:hint="eastAsia"/>
              </w:rPr>
              <w:t>情報公開課長</w:t>
            </w:r>
          </w:p>
        </w:tc>
        <w:tc>
          <w:tcPr>
            <w:tcW w:w="6066" w:type="dxa"/>
          </w:tcPr>
          <w:p w14:paraId="7E6040CA" w14:textId="77777777" w:rsidR="004C2586" w:rsidRPr="001D6D10" w:rsidRDefault="004C2586" w:rsidP="004C2586">
            <w:pPr>
              <w:spacing w:line="340" w:lineRule="exact"/>
            </w:pPr>
            <w:r w:rsidRPr="001D6D10">
              <w:rPr>
                <w:rFonts w:hint="eastAsia"/>
              </w:rPr>
              <w:t>他の班の応援に関すること。</w:t>
            </w:r>
          </w:p>
          <w:p w14:paraId="4DA26EE2" w14:textId="77777777" w:rsidR="004C2586" w:rsidRPr="001D6D10" w:rsidRDefault="004C2586" w:rsidP="004C2586">
            <w:pPr>
              <w:spacing w:line="340" w:lineRule="exact"/>
            </w:pPr>
          </w:p>
        </w:tc>
      </w:tr>
      <w:tr w:rsidR="001D6D10" w:rsidRPr="001D6D10" w14:paraId="4E97612D" w14:textId="77777777" w:rsidTr="005F51E1">
        <w:tc>
          <w:tcPr>
            <w:tcW w:w="426" w:type="dxa"/>
            <w:vMerge/>
          </w:tcPr>
          <w:p w14:paraId="5C5C84DC" w14:textId="77777777" w:rsidR="004C2586" w:rsidRPr="001D6D10" w:rsidRDefault="004C2586" w:rsidP="004C2586">
            <w:pPr>
              <w:pStyle w:val="ad"/>
              <w:wordWrap/>
              <w:overflowPunct w:val="0"/>
              <w:spacing w:line="240" w:lineRule="auto"/>
              <w:ind w:rightChars="-376" w:right="-794"/>
            </w:pPr>
          </w:p>
        </w:tc>
        <w:tc>
          <w:tcPr>
            <w:tcW w:w="1134" w:type="dxa"/>
            <w:vMerge/>
          </w:tcPr>
          <w:p w14:paraId="6461CD40" w14:textId="77777777" w:rsidR="004C2586" w:rsidRPr="001D6D10" w:rsidRDefault="004C2586" w:rsidP="004C2586">
            <w:pPr>
              <w:pStyle w:val="ad"/>
              <w:wordWrap/>
              <w:overflowPunct w:val="0"/>
              <w:spacing w:line="240" w:lineRule="auto"/>
              <w:ind w:rightChars="-376" w:right="-794"/>
            </w:pPr>
          </w:p>
        </w:tc>
        <w:tc>
          <w:tcPr>
            <w:tcW w:w="1276" w:type="dxa"/>
          </w:tcPr>
          <w:p w14:paraId="170C0E95" w14:textId="77777777" w:rsidR="004C2586" w:rsidRPr="001D6D10" w:rsidRDefault="004C2586" w:rsidP="004C2586">
            <w:pPr>
              <w:spacing w:line="340" w:lineRule="exact"/>
            </w:pPr>
            <w:r w:rsidRPr="001D6D10">
              <w:rPr>
                <w:rFonts w:hAnsi="ＭＳ 明朝" w:cs="Meiryo UI" w:hint="eastAsia"/>
                <w:szCs w:val="21"/>
              </w:rPr>
              <w:t>応援第４班</w:t>
            </w:r>
          </w:p>
        </w:tc>
        <w:tc>
          <w:tcPr>
            <w:tcW w:w="1730" w:type="dxa"/>
          </w:tcPr>
          <w:p w14:paraId="4498270C" w14:textId="77777777" w:rsidR="004C2586" w:rsidRPr="001D6D10" w:rsidRDefault="004C2586" w:rsidP="004C2586">
            <w:pPr>
              <w:spacing w:line="320" w:lineRule="exact"/>
              <w:rPr>
                <w:rFonts w:hAnsi="ＭＳ 明朝" w:cs="Meiryo UI"/>
                <w:szCs w:val="21"/>
              </w:rPr>
            </w:pPr>
            <w:r w:rsidRPr="001D6D10">
              <w:rPr>
                <w:rFonts w:hAnsi="ＭＳ 明朝" w:cs="Meiryo UI" w:hint="eastAsia"/>
                <w:szCs w:val="21"/>
              </w:rPr>
              <w:t>文化・ｽﾎﾟｰﾂ室</w:t>
            </w:r>
          </w:p>
          <w:p w14:paraId="1C1EC4B0" w14:textId="77777777" w:rsidR="004C2586" w:rsidRPr="001D6D10" w:rsidRDefault="004C2586" w:rsidP="004C2586">
            <w:pPr>
              <w:spacing w:line="340" w:lineRule="exact"/>
            </w:pPr>
            <w:r w:rsidRPr="001D6D10">
              <w:rPr>
                <w:rFonts w:hAnsi="ＭＳ 明朝" w:cs="Meiryo UI" w:hint="eastAsia"/>
                <w:szCs w:val="21"/>
              </w:rPr>
              <w:t>ｽﾎﾟｰﾂ振興課長</w:t>
            </w:r>
          </w:p>
        </w:tc>
        <w:tc>
          <w:tcPr>
            <w:tcW w:w="6066" w:type="dxa"/>
          </w:tcPr>
          <w:p w14:paraId="636C58CB" w14:textId="77777777" w:rsidR="004C2586" w:rsidRPr="001D6D10" w:rsidRDefault="004C2586" w:rsidP="004C2586">
            <w:pPr>
              <w:spacing w:line="340" w:lineRule="exact"/>
            </w:pPr>
            <w:r w:rsidRPr="001D6D10">
              <w:rPr>
                <w:rFonts w:hAnsi="ＭＳ 明朝" w:cs="Meiryo UI" w:hint="eastAsia"/>
                <w:szCs w:val="21"/>
              </w:rPr>
              <w:t>他の班の応援に関すること。</w:t>
            </w:r>
          </w:p>
        </w:tc>
      </w:tr>
      <w:tr w:rsidR="001D6D10" w:rsidRPr="001D6D10" w14:paraId="4A368267" w14:textId="77777777" w:rsidTr="005F51E1">
        <w:tc>
          <w:tcPr>
            <w:tcW w:w="426" w:type="dxa"/>
            <w:vMerge w:val="restart"/>
            <w:textDirection w:val="tbRlV"/>
          </w:tcPr>
          <w:p w14:paraId="2077D7BD" w14:textId="77777777" w:rsidR="004C2586" w:rsidRPr="001D6D10" w:rsidRDefault="004C2586" w:rsidP="004C2586">
            <w:pPr>
              <w:pStyle w:val="ad"/>
              <w:wordWrap/>
              <w:overflowPunct w:val="0"/>
              <w:spacing w:line="240" w:lineRule="auto"/>
              <w:ind w:left="113" w:rightChars="-376" w:right="-794"/>
            </w:pPr>
            <w:r w:rsidRPr="001D6D10">
              <w:rPr>
                <w:rFonts w:hint="eastAsia"/>
              </w:rPr>
              <w:t>ＩＲ推進局</w:t>
            </w:r>
          </w:p>
        </w:tc>
        <w:tc>
          <w:tcPr>
            <w:tcW w:w="1134" w:type="dxa"/>
            <w:vMerge w:val="restart"/>
          </w:tcPr>
          <w:p w14:paraId="309C1FB7" w14:textId="77777777" w:rsidR="004C2586" w:rsidRPr="001D6D10" w:rsidRDefault="004C2586" w:rsidP="004C2586">
            <w:pPr>
              <w:pStyle w:val="ad"/>
              <w:wordWrap/>
              <w:overflowPunct w:val="0"/>
              <w:spacing w:line="240" w:lineRule="auto"/>
            </w:pPr>
            <w:r w:rsidRPr="001D6D10">
              <w:rPr>
                <w:rFonts w:hAnsi="ＭＳ 明朝" w:hint="eastAsia"/>
                <w:sz w:val="20"/>
                <w:szCs w:val="20"/>
              </w:rPr>
              <w:t>ＩＲ推進局長</w:t>
            </w:r>
          </w:p>
        </w:tc>
        <w:tc>
          <w:tcPr>
            <w:tcW w:w="1276" w:type="dxa"/>
          </w:tcPr>
          <w:p w14:paraId="70796FD7" w14:textId="77777777" w:rsidR="004C2586" w:rsidRPr="001D6D10" w:rsidRDefault="004C2586" w:rsidP="004C2586">
            <w:pPr>
              <w:spacing w:line="340" w:lineRule="exact"/>
            </w:pPr>
            <w:r w:rsidRPr="001D6D10">
              <w:rPr>
                <w:rFonts w:hAnsi="ＭＳ 明朝" w:hint="eastAsia"/>
                <w:kern w:val="0"/>
                <w:sz w:val="20"/>
                <w:szCs w:val="20"/>
              </w:rPr>
              <w:t>企画班</w:t>
            </w:r>
          </w:p>
        </w:tc>
        <w:tc>
          <w:tcPr>
            <w:tcW w:w="1730" w:type="dxa"/>
          </w:tcPr>
          <w:p w14:paraId="7DC48C6E" w14:textId="77777777" w:rsidR="004C2586" w:rsidRPr="001D6D10" w:rsidRDefault="004C2586" w:rsidP="004C2586">
            <w:pPr>
              <w:spacing w:line="340" w:lineRule="exact"/>
            </w:pPr>
            <w:r w:rsidRPr="001D6D10">
              <w:rPr>
                <w:rFonts w:hAnsi="ＭＳ 明朝" w:hint="eastAsia"/>
                <w:kern w:val="0"/>
                <w:sz w:val="20"/>
                <w:szCs w:val="20"/>
              </w:rPr>
              <w:t>企画課長</w:t>
            </w:r>
          </w:p>
        </w:tc>
        <w:tc>
          <w:tcPr>
            <w:tcW w:w="6066" w:type="dxa"/>
          </w:tcPr>
          <w:p w14:paraId="784C4594" w14:textId="77777777" w:rsidR="004C2586" w:rsidRPr="001D6D10" w:rsidRDefault="004C2586" w:rsidP="004C2586">
            <w:pPr>
              <w:spacing w:line="320" w:lineRule="exact"/>
              <w:rPr>
                <w:rFonts w:hAnsi="ＭＳ 明朝"/>
                <w:sz w:val="20"/>
                <w:szCs w:val="20"/>
              </w:rPr>
            </w:pPr>
            <w:r w:rsidRPr="001D6D10">
              <w:rPr>
                <w:rFonts w:hAnsi="ＭＳ 明朝" w:hint="eastAsia"/>
                <w:sz w:val="20"/>
                <w:szCs w:val="20"/>
              </w:rPr>
              <w:t>１ 防災・危機管理指令部に関すること。</w:t>
            </w:r>
          </w:p>
          <w:p w14:paraId="21163514" w14:textId="77777777" w:rsidR="004C2586" w:rsidRPr="001D6D10" w:rsidRDefault="004C2586" w:rsidP="004C2586">
            <w:pPr>
              <w:spacing w:line="320" w:lineRule="exact"/>
              <w:rPr>
                <w:rFonts w:hAnsi="ＭＳ 明朝"/>
                <w:sz w:val="20"/>
                <w:szCs w:val="20"/>
              </w:rPr>
            </w:pPr>
            <w:r w:rsidRPr="001D6D10">
              <w:rPr>
                <w:rFonts w:hAnsi="ＭＳ 明朝" w:hint="eastAsia"/>
                <w:sz w:val="20"/>
                <w:szCs w:val="20"/>
              </w:rPr>
              <w:t>２ 局内各班の連絡調整に関すること。</w:t>
            </w:r>
          </w:p>
          <w:p w14:paraId="6BFF12E9" w14:textId="77777777" w:rsidR="004C2586" w:rsidRPr="001D6D10" w:rsidRDefault="004C2586" w:rsidP="004C2586">
            <w:pPr>
              <w:spacing w:line="320" w:lineRule="exact"/>
              <w:ind w:left="81" w:hanging="81"/>
              <w:rPr>
                <w:rFonts w:hAnsi="ＭＳ 明朝"/>
                <w:sz w:val="20"/>
                <w:szCs w:val="20"/>
              </w:rPr>
            </w:pPr>
            <w:r w:rsidRPr="001D6D10">
              <w:rPr>
                <w:rFonts w:hAnsi="ＭＳ 明朝" w:hint="eastAsia"/>
                <w:sz w:val="20"/>
                <w:szCs w:val="20"/>
              </w:rPr>
              <w:t>３ 局内各班の被害状況のとりまとめ及び本部への報告に関すること。</w:t>
            </w:r>
          </w:p>
          <w:p w14:paraId="33855BE6" w14:textId="77777777" w:rsidR="004C2586" w:rsidRPr="001D6D10" w:rsidRDefault="004C2586" w:rsidP="004C2586">
            <w:pPr>
              <w:spacing w:line="320" w:lineRule="exact"/>
              <w:ind w:left="95" w:hangingChars="50" w:hanging="95"/>
              <w:rPr>
                <w:rFonts w:hAnsi="ＭＳ 明朝"/>
                <w:spacing w:val="-6"/>
                <w:sz w:val="20"/>
                <w:szCs w:val="20"/>
              </w:rPr>
            </w:pPr>
            <w:r w:rsidRPr="001D6D10">
              <w:rPr>
                <w:rFonts w:hAnsi="ＭＳ 明朝" w:hint="eastAsia"/>
                <w:spacing w:val="-6"/>
                <w:sz w:val="20"/>
                <w:szCs w:val="20"/>
              </w:rPr>
              <w:t>４ 災害時の復旧･復興事業計画の策定に関すること。</w:t>
            </w:r>
          </w:p>
          <w:p w14:paraId="1E2345B9" w14:textId="77777777" w:rsidR="004C2586" w:rsidRPr="001D6D10" w:rsidRDefault="004C2586" w:rsidP="004C2586">
            <w:pPr>
              <w:spacing w:line="340" w:lineRule="exact"/>
            </w:pPr>
            <w:r w:rsidRPr="001D6D10">
              <w:rPr>
                <w:rFonts w:hAnsi="ＭＳ 明朝" w:hint="eastAsia"/>
                <w:sz w:val="20"/>
                <w:szCs w:val="20"/>
              </w:rPr>
              <w:t>５ 災害対策本部</w:t>
            </w:r>
            <w:r w:rsidRPr="001D6D10">
              <w:rPr>
                <w:rFonts w:hAnsi="ＭＳ 明朝" w:hint="eastAsia"/>
                <w:snapToGrid w:val="0"/>
                <w:spacing w:val="-12"/>
                <w:kern w:val="0"/>
                <w:sz w:val="20"/>
                <w:szCs w:val="20"/>
              </w:rPr>
              <w:t>へのリエゾンの派遣に関すること。</w:t>
            </w:r>
          </w:p>
        </w:tc>
      </w:tr>
      <w:tr w:rsidR="001D6D10" w:rsidRPr="001D6D10" w14:paraId="3B4F87CF" w14:textId="77777777" w:rsidTr="005F51E1">
        <w:tc>
          <w:tcPr>
            <w:tcW w:w="426" w:type="dxa"/>
            <w:vMerge/>
          </w:tcPr>
          <w:p w14:paraId="28358C1A" w14:textId="77777777" w:rsidR="004C2586" w:rsidRPr="001D6D10" w:rsidRDefault="004C2586" w:rsidP="004C2586">
            <w:pPr>
              <w:pStyle w:val="ad"/>
              <w:wordWrap/>
              <w:overflowPunct w:val="0"/>
              <w:spacing w:line="240" w:lineRule="auto"/>
              <w:ind w:rightChars="-376" w:right="-794"/>
            </w:pPr>
          </w:p>
        </w:tc>
        <w:tc>
          <w:tcPr>
            <w:tcW w:w="1134" w:type="dxa"/>
            <w:vMerge/>
          </w:tcPr>
          <w:p w14:paraId="294C7D64" w14:textId="77777777" w:rsidR="004C2586" w:rsidRPr="001D6D10" w:rsidRDefault="004C2586" w:rsidP="004C2586">
            <w:pPr>
              <w:pStyle w:val="ad"/>
              <w:wordWrap/>
              <w:overflowPunct w:val="0"/>
              <w:spacing w:line="240" w:lineRule="auto"/>
              <w:ind w:rightChars="-376" w:right="-794"/>
            </w:pPr>
          </w:p>
        </w:tc>
        <w:tc>
          <w:tcPr>
            <w:tcW w:w="1276" w:type="dxa"/>
          </w:tcPr>
          <w:p w14:paraId="767324CA" w14:textId="77777777" w:rsidR="004C2586" w:rsidRPr="001D6D10" w:rsidRDefault="004C2586" w:rsidP="004C2586">
            <w:pPr>
              <w:spacing w:line="320" w:lineRule="exact"/>
              <w:rPr>
                <w:rFonts w:hAnsi="ＭＳ 明朝" w:cs="Meiryo UI"/>
                <w:szCs w:val="21"/>
              </w:rPr>
            </w:pPr>
            <w:r w:rsidRPr="001D6D10">
              <w:rPr>
                <w:rFonts w:hAnsi="ＭＳ 明朝" w:hint="eastAsia"/>
                <w:kern w:val="0"/>
                <w:sz w:val="20"/>
                <w:szCs w:val="20"/>
              </w:rPr>
              <w:t>推進班</w:t>
            </w:r>
          </w:p>
        </w:tc>
        <w:tc>
          <w:tcPr>
            <w:tcW w:w="1730" w:type="dxa"/>
          </w:tcPr>
          <w:p w14:paraId="3A5753D1" w14:textId="77777777" w:rsidR="004C2586" w:rsidRPr="001D6D10" w:rsidRDefault="004C2586" w:rsidP="004C2586">
            <w:pPr>
              <w:spacing w:line="320" w:lineRule="exact"/>
              <w:rPr>
                <w:rFonts w:hAnsi="ＭＳ 明朝" w:cs="Meiryo UI"/>
                <w:szCs w:val="21"/>
              </w:rPr>
            </w:pPr>
            <w:r w:rsidRPr="001D6D10">
              <w:rPr>
                <w:rFonts w:hAnsi="ＭＳ 明朝" w:hint="eastAsia"/>
                <w:kern w:val="0"/>
                <w:sz w:val="20"/>
                <w:szCs w:val="20"/>
              </w:rPr>
              <w:t>推進課長</w:t>
            </w:r>
          </w:p>
        </w:tc>
        <w:tc>
          <w:tcPr>
            <w:tcW w:w="6066" w:type="dxa"/>
          </w:tcPr>
          <w:p w14:paraId="43374B46" w14:textId="77777777" w:rsidR="004C2586" w:rsidRPr="001D6D10" w:rsidRDefault="004C2586" w:rsidP="004C2586">
            <w:pPr>
              <w:spacing w:line="320" w:lineRule="exact"/>
              <w:rPr>
                <w:rFonts w:hAnsi="ＭＳ 明朝" w:cs="Meiryo UI"/>
                <w:szCs w:val="21"/>
              </w:rPr>
            </w:pPr>
            <w:r w:rsidRPr="001D6D10">
              <w:rPr>
                <w:rFonts w:hAnsi="ＭＳ 明朝" w:hint="eastAsia"/>
                <w:sz w:val="20"/>
                <w:szCs w:val="20"/>
              </w:rPr>
              <w:t>他の班の応援に関すること。</w:t>
            </w:r>
          </w:p>
        </w:tc>
      </w:tr>
      <w:tr w:rsidR="00610BB0" w:rsidRPr="001D6D10" w14:paraId="152DA4D1" w14:textId="77777777" w:rsidTr="005F51E1">
        <w:trPr>
          <w:cantSplit/>
          <w:trHeight w:val="1134"/>
        </w:trPr>
        <w:tc>
          <w:tcPr>
            <w:tcW w:w="426" w:type="dxa"/>
            <w:vMerge w:val="restart"/>
            <w:textDirection w:val="tbRlV"/>
          </w:tcPr>
          <w:p w14:paraId="7519DFB2" w14:textId="77777777" w:rsidR="00610BB0" w:rsidRPr="001D6D10" w:rsidRDefault="00610BB0" w:rsidP="004C2586">
            <w:pPr>
              <w:pStyle w:val="ad"/>
              <w:wordWrap/>
              <w:overflowPunct w:val="0"/>
              <w:spacing w:line="240" w:lineRule="auto"/>
              <w:ind w:left="113" w:rightChars="-376" w:right="-794"/>
            </w:pPr>
            <w:bookmarkStart w:id="71" w:name="_Hlk190266945"/>
            <w:r w:rsidRPr="001D6D10">
              <w:rPr>
                <w:rFonts w:hint="eastAsia"/>
                <w:sz w:val="21"/>
              </w:rPr>
              <w:t>福祉部</w:t>
            </w:r>
          </w:p>
          <w:p w14:paraId="7CA7A526" w14:textId="77777777" w:rsidR="00610BB0" w:rsidRPr="001D6D10" w:rsidRDefault="00610BB0" w:rsidP="004C2586">
            <w:pPr>
              <w:pStyle w:val="ad"/>
              <w:wordWrap/>
              <w:overflowPunct w:val="0"/>
              <w:spacing w:line="240" w:lineRule="auto"/>
              <w:ind w:left="113" w:rightChars="-319" w:right="-673"/>
              <w:rPr>
                <w:sz w:val="21"/>
              </w:rPr>
            </w:pPr>
            <w:r w:rsidRPr="001D6D10">
              <w:rPr>
                <w:rFonts w:hint="eastAsia"/>
                <w:sz w:val="21"/>
              </w:rPr>
              <w:t>福祉部</w:t>
            </w:r>
          </w:p>
          <w:p w14:paraId="46779BD0" w14:textId="77777777" w:rsidR="00610BB0" w:rsidRPr="001D6D10" w:rsidRDefault="00610BB0" w:rsidP="004C2586">
            <w:pPr>
              <w:pStyle w:val="ad"/>
              <w:wordWrap/>
              <w:overflowPunct w:val="0"/>
              <w:spacing w:line="240" w:lineRule="auto"/>
              <w:ind w:left="113" w:rightChars="-319" w:right="-673"/>
              <w:rPr>
                <w:sz w:val="21"/>
              </w:rPr>
            </w:pPr>
          </w:p>
          <w:p w14:paraId="75A161E3" w14:textId="77777777" w:rsidR="00610BB0" w:rsidRPr="001D6D10" w:rsidRDefault="00610BB0" w:rsidP="004C2586">
            <w:pPr>
              <w:pStyle w:val="ad"/>
              <w:wordWrap/>
              <w:overflowPunct w:val="0"/>
              <w:spacing w:line="240" w:lineRule="auto"/>
              <w:ind w:left="113" w:rightChars="-319" w:right="-673"/>
              <w:rPr>
                <w:sz w:val="21"/>
              </w:rPr>
            </w:pPr>
          </w:p>
          <w:p w14:paraId="4B352DD0" w14:textId="77777777" w:rsidR="00610BB0" w:rsidRPr="001D6D10" w:rsidRDefault="00610BB0" w:rsidP="004C2586">
            <w:pPr>
              <w:pStyle w:val="ad"/>
              <w:overflowPunct w:val="0"/>
              <w:spacing w:line="240" w:lineRule="auto"/>
              <w:ind w:left="113" w:rightChars="-319" w:right="-673"/>
            </w:pPr>
          </w:p>
        </w:tc>
        <w:tc>
          <w:tcPr>
            <w:tcW w:w="1134" w:type="dxa"/>
            <w:vMerge w:val="restart"/>
          </w:tcPr>
          <w:p w14:paraId="522B5137" w14:textId="77777777" w:rsidR="00610BB0" w:rsidRPr="001D6D10" w:rsidRDefault="00610BB0" w:rsidP="00EA0D64">
            <w:pPr>
              <w:pStyle w:val="ad"/>
              <w:wordWrap/>
              <w:overflowPunct w:val="0"/>
              <w:spacing w:line="240" w:lineRule="auto"/>
            </w:pPr>
            <w:r w:rsidRPr="001D6D10">
              <w:rPr>
                <w:rFonts w:hint="eastAsia"/>
                <w:sz w:val="21"/>
              </w:rPr>
              <w:t>福祉部長</w:t>
            </w:r>
          </w:p>
        </w:tc>
        <w:tc>
          <w:tcPr>
            <w:tcW w:w="1276" w:type="dxa"/>
          </w:tcPr>
          <w:p w14:paraId="62D77DD9" w14:textId="77777777" w:rsidR="00610BB0" w:rsidRPr="001D6D10" w:rsidRDefault="00610BB0" w:rsidP="004C2586">
            <w:pPr>
              <w:spacing w:line="320" w:lineRule="exact"/>
              <w:ind w:leftChars="-20" w:left="-41" w:hanging="1"/>
              <w:rPr>
                <w:rFonts w:hAnsi="ＭＳ 明朝"/>
                <w:kern w:val="0"/>
                <w:sz w:val="20"/>
                <w:szCs w:val="20"/>
              </w:rPr>
            </w:pPr>
            <w:r w:rsidRPr="001D6D10">
              <w:rPr>
                <w:rFonts w:hint="eastAsia"/>
              </w:rPr>
              <w:t>福祉総務班</w:t>
            </w:r>
          </w:p>
        </w:tc>
        <w:tc>
          <w:tcPr>
            <w:tcW w:w="1730" w:type="dxa"/>
          </w:tcPr>
          <w:p w14:paraId="0003E9FE" w14:textId="77777777" w:rsidR="00610BB0" w:rsidRPr="001D6D10" w:rsidRDefault="00610BB0" w:rsidP="004C2586">
            <w:pPr>
              <w:spacing w:line="300" w:lineRule="exact"/>
              <w:ind w:leftChars="-20" w:left="-42"/>
              <w:rPr>
                <w:rFonts w:hAnsi="ＭＳ 明朝"/>
                <w:kern w:val="0"/>
                <w:sz w:val="20"/>
                <w:szCs w:val="20"/>
              </w:rPr>
            </w:pPr>
            <w:r w:rsidRPr="001D6D10">
              <w:rPr>
                <w:rFonts w:hint="eastAsia"/>
              </w:rPr>
              <w:t>福祉総務課長</w:t>
            </w:r>
          </w:p>
        </w:tc>
        <w:tc>
          <w:tcPr>
            <w:tcW w:w="6066" w:type="dxa"/>
          </w:tcPr>
          <w:p w14:paraId="313467ED" w14:textId="77777777" w:rsidR="00610BB0" w:rsidRPr="001D6D10" w:rsidRDefault="00610BB0" w:rsidP="004C2586">
            <w:pPr>
              <w:spacing w:line="340" w:lineRule="exact"/>
              <w:ind w:left="61" w:hangingChars="29" w:hanging="61"/>
            </w:pPr>
            <w:r w:rsidRPr="001D6D10">
              <w:rPr>
                <w:rFonts w:hint="eastAsia"/>
              </w:rPr>
              <w:t>１ 防災・危機管理指令部に関すること。</w:t>
            </w:r>
          </w:p>
          <w:p w14:paraId="4283C0D9" w14:textId="77777777" w:rsidR="00610BB0" w:rsidRPr="001D6D10" w:rsidRDefault="00610BB0" w:rsidP="004C2586">
            <w:pPr>
              <w:spacing w:line="340" w:lineRule="exact"/>
            </w:pPr>
            <w:r w:rsidRPr="001D6D10">
              <w:rPr>
                <w:rFonts w:hint="eastAsia"/>
              </w:rPr>
              <w:t>２ 部内各班の連絡調整に関すること。</w:t>
            </w:r>
          </w:p>
          <w:p w14:paraId="538A0CA6" w14:textId="77777777" w:rsidR="00610BB0" w:rsidRPr="001D6D10" w:rsidRDefault="00610BB0" w:rsidP="004C2586">
            <w:pPr>
              <w:spacing w:line="340" w:lineRule="exact"/>
              <w:ind w:left="81" w:hanging="81"/>
            </w:pPr>
            <w:r w:rsidRPr="001D6D10">
              <w:rPr>
                <w:rFonts w:hint="eastAsia"/>
              </w:rPr>
              <w:t>３ 部内各班の被害状況のとりまとめ及び本部への報告に関すること。</w:t>
            </w:r>
          </w:p>
          <w:p w14:paraId="72142D4B" w14:textId="77777777" w:rsidR="00610BB0" w:rsidRPr="001D6D10" w:rsidRDefault="00610BB0" w:rsidP="004C2586">
            <w:pPr>
              <w:spacing w:line="340" w:lineRule="exact"/>
              <w:ind w:left="81" w:hanging="81"/>
            </w:pPr>
            <w:r w:rsidRPr="001D6D10">
              <w:rPr>
                <w:rFonts w:hint="eastAsia"/>
              </w:rPr>
              <w:t>４ 緊急的福祉サービス提供活動の企画調整に関すること。</w:t>
            </w:r>
          </w:p>
          <w:p w14:paraId="0B1A9328" w14:textId="77777777" w:rsidR="00610BB0" w:rsidRPr="001D6D10" w:rsidRDefault="00610BB0" w:rsidP="004C2586">
            <w:pPr>
              <w:spacing w:line="340" w:lineRule="exact"/>
              <w:ind w:left="81" w:hanging="81"/>
            </w:pPr>
            <w:r w:rsidRPr="001D6D10">
              <w:rPr>
                <w:rFonts w:hint="eastAsia"/>
              </w:rPr>
              <w:t>５ 義援金に関すること。</w:t>
            </w:r>
          </w:p>
          <w:p w14:paraId="158C1138" w14:textId="77777777" w:rsidR="00610BB0" w:rsidRPr="001D6D10" w:rsidRDefault="00610BB0" w:rsidP="004C2586">
            <w:pPr>
              <w:spacing w:line="340" w:lineRule="exact"/>
              <w:ind w:left="106" w:hangingChars="50" w:hanging="106"/>
              <w:rPr>
                <w:szCs w:val="21"/>
              </w:rPr>
            </w:pPr>
            <w:r w:rsidRPr="001D6D10">
              <w:rPr>
                <w:rFonts w:hint="eastAsia"/>
                <w:szCs w:val="21"/>
              </w:rPr>
              <w:t>６ 災害等の復旧・復興事業計画の策定に関すること。</w:t>
            </w:r>
          </w:p>
          <w:p w14:paraId="4297D69B" w14:textId="77777777" w:rsidR="00610BB0" w:rsidRDefault="00610BB0" w:rsidP="004C2586">
            <w:pPr>
              <w:spacing w:line="320" w:lineRule="exact"/>
              <w:ind w:left="106" w:hangingChars="50" w:hanging="106"/>
              <w:rPr>
                <w:szCs w:val="21"/>
              </w:rPr>
            </w:pPr>
            <w:r w:rsidRPr="001D6D10">
              <w:rPr>
                <w:rFonts w:hint="eastAsia"/>
                <w:szCs w:val="21"/>
              </w:rPr>
              <w:t>７ 災害対策本部へのリエゾンの派遣に関すること。</w:t>
            </w:r>
          </w:p>
          <w:p w14:paraId="397D40D9" w14:textId="01AAC252" w:rsidR="00610BB0" w:rsidRPr="00CC53E1" w:rsidRDefault="00610BB0" w:rsidP="004C2586">
            <w:pPr>
              <w:spacing w:line="320" w:lineRule="exact"/>
              <w:ind w:left="106" w:hangingChars="50" w:hanging="106"/>
              <w:rPr>
                <w:rFonts w:hAnsi="ＭＳ 明朝"/>
                <w:snapToGrid w:val="0"/>
                <w:spacing w:val="-12"/>
                <w:kern w:val="0"/>
                <w:sz w:val="20"/>
                <w:szCs w:val="20"/>
              </w:rPr>
            </w:pPr>
            <w:r w:rsidRPr="00CC53E1">
              <w:rPr>
                <w:rFonts w:hint="eastAsia"/>
                <w:szCs w:val="21"/>
              </w:rPr>
              <w:t>８ 福祉調整本部の総括に関すること。</w:t>
            </w:r>
          </w:p>
        </w:tc>
      </w:tr>
      <w:tr w:rsidR="00610BB0" w:rsidRPr="001D6D10" w14:paraId="092A4A06" w14:textId="77777777" w:rsidTr="005F51E1">
        <w:tc>
          <w:tcPr>
            <w:tcW w:w="426" w:type="dxa"/>
            <w:vMerge/>
          </w:tcPr>
          <w:p w14:paraId="1318B38E" w14:textId="77777777" w:rsidR="00610BB0" w:rsidRPr="001D6D10" w:rsidRDefault="00610BB0" w:rsidP="004C2586">
            <w:pPr>
              <w:pStyle w:val="ad"/>
              <w:overflowPunct w:val="0"/>
              <w:spacing w:line="240" w:lineRule="auto"/>
              <w:ind w:left="113" w:rightChars="-319" w:right="-673"/>
            </w:pPr>
          </w:p>
        </w:tc>
        <w:tc>
          <w:tcPr>
            <w:tcW w:w="1134" w:type="dxa"/>
            <w:vMerge/>
          </w:tcPr>
          <w:p w14:paraId="35AD08F5" w14:textId="77777777" w:rsidR="00610BB0" w:rsidRPr="001D6D10" w:rsidRDefault="00610BB0" w:rsidP="004C2586">
            <w:pPr>
              <w:pStyle w:val="ad"/>
              <w:overflowPunct w:val="0"/>
              <w:spacing w:line="240" w:lineRule="auto"/>
              <w:ind w:rightChars="-376" w:right="-794"/>
            </w:pPr>
          </w:p>
        </w:tc>
        <w:tc>
          <w:tcPr>
            <w:tcW w:w="1276" w:type="dxa"/>
          </w:tcPr>
          <w:p w14:paraId="4A3D6596" w14:textId="77777777" w:rsidR="00610BB0" w:rsidRPr="001D6D10" w:rsidRDefault="00610BB0" w:rsidP="004C2586">
            <w:pPr>
              <w:spacing w:line="320" w:lineRule="exact"/>
              <w:rPr>
                <w:rFonts w:hAnsi="ＭＳ 明朝" w:cs="Meiryo UI"/>
                <w:szCs w:val="21"/>
              </w:rPr>
            </w:pPr>
            <w:r w:rsidRPr="001D6D10">
              <w:rPr>
                <w:rFonts w:hint="eastAsia"/>
              </w:rPr>
              <w:t>地域福祉班</w:t>
            </w:r>
          </w:p>
        </w:tc>
        <w:tc>
          <w:tcPr>
            <w:tcW w:w="1730" w:type="dxa"/>
          </w:tcPr>
          <w:p w14:paraId="306F0961" w14:textId="77777777" w:rsidR="00610BB0" w:rsidRPr="001D6D10" w:rsidRDefault="00610BB0" w:rsidP="004C2586">
            <w:pPr>
              <w:spacing w:line="340" w:lineRule="exact"/>
              <w:rPr>
                <w:w w:val="90"/>
                <w:szCs w:val="21"/>
              </w:rPr>
            </w:pPr>
            <w:r w:rsidRPr="001D6D10">
              <w:rPr>
                <w:rFonts w:hint="eastAsia"/>
                <w:w w:val="90"/>
                <w:szCs w:val="21"/>
              </w:rPr>
              <w:t>地域福祉推進室</w:t>
            </w:r>
          </w:p>
          <w:p w14:paraId="2EC79892" w14:textId="77777777" w:rsidR="00610BB0" w:rsidRPr="001D6D10" w:rsidRDefault="00610BB0" w:rsidP="004C2586">
            <w:pPr>
              <w:spacing w:line="320" w:lineRule="exact"/>
              <w:rPr>
                <w:rFonts w:hAnsi="ＭＳ 明朝" w:cs="Meiryo UI"/>
                <w:szCs w:val="21"/>
              </w:rPr>
            </w:pPr>
            <w:r w:rsidRPr="001D6D10">
              <w:rPr>
                <w:rFonts w:hint="eastAsia"/>
              </w:rPr>
              <w:t>地域福祉課長</w:t>
            </w:r>
          </w:p>
        </w:tc>
        <w:tc>
          <w:tcPr>
            <w:tcW w:w="6066" w:type="dxa"/>
          </w:tcPr>
          <w:p w14:paraId="3A34D3B5" w14:textId="77777777" w:rsidR="00610BB0" w:rsidRPr="001D6D10" w:rsidRDefault="00610BB0" w:rsidP="004C2586">
            <w:pPr>
              <w:spacing w:line="340" w:lineRule="exact"/>
              <w:ind w:left="81" w:hanging="81"/>
            </w:pPr>
            <w:r w:rsidRPr="001D6D10">
              <w:rPr>
                <w:rFonts w:hint="eastAsia"/>
              </w:rPr>
              <w:t>１ 大阪府社会福祉協議会等との連絡・調整に関すること。</w:t>
            </w:r>
          </w:p>
          <w:p w14:paraId="17AAA936" w14:textId="77777777" w:rsidR="00610BB0" w:rsidRPr="001D6D10" w:rsidRDefault="00610BB0" w:rsidP="004C2586">
            <w:pPr>
              <w:spacing w:line="320" w:lineRule="exact"/>
              <w:rPr>
                <w:rFonts w:hAnsi="ＭＳ 明朝" w:cs="Meiryo UI"/>
                <w:szCs w:val="21"/>
              </w:rPr>
            </w:pPr>
            <w:r w:rsidRPr="001D6D10">
              <w:rPr>
                <w:rFonts w:hint="eastAsia"/>
              </w:rPr>
              <w:t>２</w:t>
            </w:r>
            <w:r w:rsidRPr="001D6D10">
              <w:t xml:space="preserve"> </w:t>
            </w:r>
            <w:r w:rsidRPr="001D6D10">
              <w:rPr>
                <w:rFonts w:hint="eastAsia"/>
              </w:rPr>
              <w:t>大阪府災害派遣福祉チーム（大阪ＤＷＡＴ）に関すること。</w:t>
            </w:r>
          </w:p>
        </w:tc>
      </w:tr>
      <w:tr w:rsidR="00610BB0" w:rsidRPr="001D6D10" w14:paraId="766D3ED7" w14:textId="77777777" w:rsidTr="005F51E1">
        <w:trPr>
          <w:cantSplit/>
          <w:trHeight w:val="841"/>
        </w:trPr>
        <w:tc>
          <w:tcPr>
            <w:tcW w:w="426" w:type="dxa"/>
            <w:vMerge/>
            <w:textDirection w:val="tbRlV"/>
          </w:tcPr>
          <w:p w14:paraId="36666DA5" w14:textId="77777777" w:rsidR="00610BB0" w:rsidRPr="001D6D10" w:rsidRDefault="00610BB0" w:rsidP="004C2586">
            <w:pPr>
              <w:pStyle w:val="ad"/>
              <w:wordWrap/>
              <w:overflowPunct w:val="0"/>
              <w:spacing w:line="240" w:lineRule="auto"/>
              <w:ind w:left="113" w:rightChars="-319" w:right="-673"/>
            </w:pPr>
          </w:p>
        </w:tc>
        <w:tc>
          <w:tcPr>
            <w:tcW w:w="1134" w:type="dxa"/>
            <w:vMerge/>
          </w:tcPr>
          <w:p w14:paraId="128925E4" w14:textId="77777777" w:rsidR="00610BB0" w:rsidRPr="001D6D10" w:rsidRDefault="00610BB0" w:rsidP="004C2586">
            <w:pPr>
              <w:pStyle w:val="ad"/>
              <w:wordWrap/>
              <w:overflowPunct w:val="0"/>
              <w:spacing w:line="240" w:lineRule="auto"/>
              <w:ind w:rightChars="-376" w:right="-794"/>
            </w:pPr>
          </w:p>
        </w:tc>
        <w:tc>
          <w:tcPr>
            <w:tcW w:w="1276" w:type="dxa"/>
          </w:tcPr>
          <w:p w14:paraId="327F523A" w14:textId="77777777" w:rsidR="00610BB0" w:rsidRPr="001D6D10" w:rsidRDefault="00610BB0" w:rsidP="004C2586">
            <w:pPr>
              <w:spacing w:line="340" w:lineRule="exact"/>
            </w:pPr>
            <w:r w:rsidRPr="001D6D10">
              <w:rPr>
                <w:rFonts w:hint="eastAsia"/>
                <w:kern w:val="0"/>
              </w:rPr>
              <w:t>障がい福祉企画</w:t>
            </w:r>
            <w:r w:rsidRPr="001D6D10">
              <w:rPr>
                <w:rFonts w:hint="eastAsia"/>
              </w:rPr>
              <w:t>班</w:t>
            </w:r>
          </w:p>
        </w:tc>
        <w:tc>
          <w:tcPr>
            <w:tcW w:w="1730" w:type="dxa"/>
          </w:tcPr>
          <w:p w14:paraId="59824FF6" w14:textId="77777777" w:rsidR="00610BB0" w:rsidRPr="001D6D10" w:rsidRDefault="00610BB0" w:rsidP="004C2586">
            <w:pPr>
              <w:spacing w:line="340" w:lineRule="exact"/>
            </w:pPr>
            <w:r w:rsidRPr="001D6D10">
              <w:rPr>
                <w:rFonts w:hint="eastAsia"/>
                <w:kern w:val="0"/>
                <w:szCs w:val="21"/>
              </w:rPr>
              <w:t>障がい福祉室</w:t>
            </w:r>
            <w:r w:rsidRPr="001D6D10">
              <w:rPr>
                <w:rFonts w:hint="eastAsia"/>
                <w:w w:val="78"/>
                <w:kern w:val="0"/>
                <w:szCs w:val="21"/>
                <w:fitText w:val="1477" w:id="-1954281976"/>
              </w:rPr>
              <w:t>障がい福祉企画</w:t>
            </w:r>
            <w:r w:rsidRPr="001D6D10">
              <w:rPr>
                <w:rFonts w:hint="eastAsia"/>
                <w:w w:val="78"/>
                <w:fitText w:val="1477" w:id="-1954281976"/>
              </w:rPr>
              <w:t>課</w:t>
            </w:r>
            <w:r w:rsidRPr="001D6D10">
              <w:rPr>
                <w:rFonts w:hint="eastAsia"/>
                <w:spacing w:val="7"/>
                <w:w w:val="78"/>
                <w:fitText w:val="1477" w:id="-1954281976"/>
              </w:rPr>
              <w:t>長</w:t>
            </w:r>
          </w:p>
        </w:tc>
        <w:tc>
          <w:tcPr>
            <w:tcW w:w="6066" w:type="dxa"/>
          </w:tcPr>
          <w:p w14:paraId="774288D9" w14:textId="77777777" w:rsidR="00610BB0" w:rsidRPr="001D6D10" w:rsidRDefault="00610BB0" w:rsidP="004C2586">
            <w:pPr>
              <w:spacing w:line="340" w:lineRule="exact"/>
              <w:ind w:left="7" w:hanging="7"/>
            </w:pPr>
            <w:r w:rsidRPr="001D6D10">
              <w:rPr>
                <w:rFonts w:hint="eastAsia"/>
              </w:rPr>
              <w:t>障がい者の避難に関する市町村等への支援に関すること。</w:t>
            </w:r>
          </w:p>
          <w:p w14:paraId="4E88F008" w14:textId="77777777" w:rsidR="00610BB0" w:rsidRPr="001D6D10" w:rsidRDefault="00610BB0" w:rsidP="004C2586">
            <w:pPr>
              <w:spacing w:line="340" w:lineRule="exact"/>
              <w:ind w:left="106" w:hangingChars="50" w:hanging="106"/>
            </w:pPr>
          </w:p>
        </w:tc>
      </w:tr>
      <w:tr w:rsidR="00610BB0" w:rsidRPr="001D6D10" w14:paraId="449AD9F6" w14:textId="77777777" w:rsidTr="005F51E1">
        <w:trPr>
          <w:cantSplit/>
          <w:trHeight w:val="689"/>
        </w:trPr>
        <w:tc>
          <w:tcPr>
            <w:tcW w:w="426" w:type="dxa"/>
            <w:vMerge/>
            <w:textDirection w:val="tbRlV"/>
          </w:tcPr>
          <w:p w14:paraId="5810B970" w14:textId="77777777" w:rsidR="00610BB0" w:rsidRPr="001D6D10" w:rsidRDefault="00610BB0" w:rsidP="004C2586">
            <w:pPr>
              <w:pStyle w:val="ad"/>
              <w:wordWrap/>
              <w:overflowPunct w:val="0"/>
              <w:spacing w:line="240" w:lineRule="auto"/>
              <w:ind w:left="113" w:rightChars="-319" w:right="-673"/>
            </w:pPr>
          </w:p>
        </w:tc>
        <w:tc>
          <w:tcPr>
            <w:tcW w:w="1134" w:type="dxa"/>
            <w:vMerge/>
          </w:tcPr>
          <w:p w14:paraId="14A6D6EE" w14:textId="77777777" w:rsidR="00610BB0" w:rsidRPr="001D6D10" w:rsidRDefault="00610BB0" w:rsidP="004C2586">
            <w:pPr>
              <w:pStyle w:val="ad"/>
              <w:wordWrap/>
              <w:overflowPunct w:val="0"/>
              <w:spacing w:line="240" w:lineRule="auto"/>
              <w:ind w:rightChars="-376" w:right="-794"/>
            </w:pPr>
          </w:p>
        </w:tc>
        <w:tc>
          <w:tcPr>
            <w:tcW w:w="1276" w:type="dxa"/>
          </w:tcPr>
          <w:p w14:paraId="5F9028BF" w14:textId="77777777" w:rsidR="00610BB0" w:rsidRPr="001D6D10" w:rsidRDefault="00610BB0" w:rsidP="004C2586">
            <w:pPr>
              <w:spacing w:line="340" w:lineRule="exact"/>
            </w:pPr>
            <w:r w:rsidRPr="001D6D10">
              <w:rPr>
                <w:rFonts w:hint="eastAsia"/>
                <w:kern w:val="0"/>
              </w:rPr>
              <w:t>障がい福祉</w:t>
            </w:r>
            <w:r w:rsidRPr="001D6D10">
              <w:rPr>
                <w:rFonts w:hint="eastAsia"/>
              </w:rPr>
              <w:t>自立支援班</w:t>
            </w:r>
          </w:p>
        </w:tc>
        <w:tc>
          <w:tcPr>
            <w:tcW w:w="1730" w:type="dxa"/>
          </w:tcPr>
          <w:p w14:paraId="387821BF" w14:textId="77777777" w:rsidR="00610BB0" w:rsidRPr="001D6D10" w:rsidRDefault="00610BB0" w:rsidP="004C2586">
            <w:pPr>
              <w:spacing w:line="340" w:lineRule="exact"/>
            </w:pPr>
            <w:r w:rsidRPr="001D6D10">
              <w:rPr>
                <w:rFonts w:hint="eastAsia"/>
                <w:kern w:val="0"/>
              </w:rPr>
              <w:t>障がい福祉室</w:t>
            </w:r>
            <w:r w:rsidRPr="001D6D10">
              <w:rPr>
                <w:rFonts w:hint="eastAsia"/>
              </w:rPr>
              <w:t>自立支援課長</w:t>
            </w:r>
          </w:p>
        </w:tc>
        <w:tc>
          <w:tcPr>
            <w:tcW w:w="6066" w:type="dxa"/>
          </w:tcPr>
          <w:p w14:paraId="73B3679D" w14:textId="77777777" w:rsidR="00610BB0" w:rsidRPr="001D6D10" w:rsidRDefault="00610BB0" w:rsidP="004C2586">
            <w:pPr>
              <w:spacing w:line="340" w:lineRule="exact"/>
              <w:rPr>
                <w:strike/>
              </w:rPr>
            </w:pPr>
            <w:r w:rsidRPr="001D6D10">
              <w:rPr>
                <w:rFonts w:hint="eastAsia"/>
              </w:rPr>
              <w:t>障がい者の避難に関する市町村等への支援に関すること。</w:t>
            </w:r>
          </w:p>
        </w:tc>
      </w:tr>
      <w:tr w:rsidR="00610BB0" w:rsidRPr="001D6D10" w14:paraId="29E0C66C" w14:textId="77777777" w:rsidTr="005F51E1">
        <w:tc>
          <w:tcPr>
            <w:tcW w:w="426" w:type="dxa"/>
            <w:vMerge/>
          </w:tcPr>
          <w:p w14:paraId="03A889D0" w14:textId="77777777" w:rsidR="00610BB0" w:rsidRPr="001D6D10" w:rsidRDefault="00610BB0" w:rsidP="004C2586">
            <w:pPr>
              <w:pStyle w:val="ad"/>
              <w:wordWrap/>
              <w:overflowPunct w:val="0"/>
              <w:spacing w:line="240" w:lineRule="auto"/>
              <w:ind w:rightChars="-376" w:right="-794"/>
            </w:pPr>
          </w:p>
        </w:tc>
        <w:tc>
          <w:tcPr>
            <w:tcW w:w="1134" w:type="dxa"/>
            <w:vMerge/>
          </w:tcPr>
          <w:p w14:paraId="73BBA310" w14:textId="77777777" w:rsidR="00610BB0" w:rsidRPr="001D6D10" w:rsidRDefault="00610BB0" w:rsidP="004C2586">
            <w:pPr>
              <w:pStyle w:val="ad"/>
              <w:wordWrap/>
              <w:overflowPunct w:val="0"/>
              <w:spacing w:line="240" w:lineRule="auto"/>
              <w:ind w:rightChars="-376" w:right="-794"/>
            </w:pPr>
          </w:p>
        </w:tc>
        <w:tc>
          <w:tcPr>
            <w:tcW w:w="1276" w:type="dxa"/>
          </w:tcPr>
          <w:p w14:paraId="006B86FD" w14:textId="77777777" w:rsidR="00610BB0" w:rsidRPr="001D6D10" w:rsidRDefault="00610BB0" w:rsidP="004C2586">
            <w:pPr>
              <w:spacing w:line="340" w:lineRule="exact"/>
            </w:pPr>
            <w:r w:rsidRPr="001D6D10">
              <w:rPr>
                <w:rFonts w:hint="eastAsia"/>
                <w:kern w:val="0"/>
              </w:rPr>
              <w:t>障がい福祉</w:t>
            </w:r>
            <w:r w:rsidRPr="001D6D10">
              <w:rPr>
                <w:rFonts w:hint="eastAsia"/>
                <w:w w:val="71"/>
                <w:kern w:val="0"/>
                <w:fitText w:val="1055" w:id="-1954281975"/>
              </w:rPr>
              <w:t>地域生活支援</w:t>
            </w:r>
            <w:r w:rsidRPr="001D6D10">
              <w:rPr>
                <w:rFonts w:hint="eastAsia"/>
                <w:spacing w:val="10"/>
                <w:w w:val="71"/>
                <w:kern w:val="0"/>
                <w:fitText w:val="1055" w:id="-1954281975"/>
              </w:rPr>
              <w:t>班</w:t>
            </w:r>
          </w:p>
        </w:tc>
        <w:tc>
          <w:tcPr>
            <w:tcW w:w="1730" w:type="dxa"/>
          </w:tcPr>
          <w:p w14:paraId="38265A39" w14:textId="77777777" w:rsidR="00610BB0" w:rsidRPr="001D6D10" w:rsidRDefault="00610BB0" w:rsidP="004C2586">
            <w:pPr>
              <w:spacing w:line="340" w:lineRule="exact"/>
            </w:pPr>
            <w:r w:rsidRPr="001D6D10">
              <w:rPr>
                <w:rFonts w:hint="eastAsia"/>
                <w:kern w:val="0"/>
              </w:rPr>
              <w:t>障がい福祉室</w:t>
            </w:r>
            <w:r w:rsidRPr="001D6D10">
              <w:rPr>
                <w:rFonts w:hint="eastAsia"/>
                <w:w w:val="87"/>
                <w:kern w:val="0"/>
                <w:fitText w:val="1477" w:id="-1954281974"/>
              </w:rPr>
              <w:t>地域生活支援課</w:t>
            </w:r>
            <w:r w:rsidRPr="001D6D10">
              <w:rPr>
                <w:rFonts w:hint="eastAsia"/>
                <w:spacing w:val="8"/>
                <w:w w:val="87"/>
                <w:kern w:val="0"/>
                <w:fitText w:val="1477" w:id="-1954281974"/>
              </w:rPr>
              <w:t>長</w:t>
            </w:r>
          </w:p>
        </w:tc>
        <w:tc>
          <w:tcPr>
            <w:tcW w:w="6066" w:type="dxa"/>
          </w:tcPr>
          <w:p w14:paraId="32600D08" w14:textId="77777777" w:rsidR="00610BB0" w:rsidRPr="001D6D10" w:rsidRDefault="00610BB0" w:rsidP="004C2586">
            <w:pPr>
              <w:spacing w:line="340" w:lineRule="exact"/>
              <w:ind w:left="7" w:hanging="7"/>
            </w:pPr>
            <w:r w:rsidRPr="001D6D10">
              <w:rPr>
                <w:rFonts w:hint="eastAsia"/>
              </w:rPr>
              <w:t>障がい者の避難に関する市町村等への支援に関すること。</w:t>
            </w:r>
          </w:p>
        </w:tc>
      </w:tr>
      <w:tr w:rsidR="00610BB0" w:rsidRPr="001D6D10" w14:paraId="2767495D" w14:textId="77777777" w:rsidTr="005F51E1">
        <w:tc>
          <w:tcPr>
            <w:tcW w:w="426" w:type="dxa"/>
            <w:vMerge/>
          </w:tcPr>
          <w:p w14:paraId="2F28E0E5" w14:textId="77777777" w:rsidR="00610BB0" w:rsidRPr="001D6D10" w:rsidRDefault="00610BB0" w:rsidP="004C2586">
            <w:pPr>
              <w:pStyle w:val="ad"/>
              <w:wordWrap/>
              <w:overflowPunct w:val="0"/>
              <w:spacing w:line="240" w:lineRule="auto"/>
              <w:ind w:rightChars="-376" w:right="-794"/>
            </w:pPr>
          </w:p>
        </w:tc>
        <w:tc>
          <w:tcPr>
            <w:tcW w:w="1134" w:type="dxa"/>
            <w:vMerge/>
          </w:tcPr>
          <w:p w14:paraId="4E488BDB" w14:textId="77777777" w:rsidR="00610BB0" w:rsidRPr="001D6D10" w:rsidRDefault="00610BB0" w:rsidP="004C2586">
            <w:pPr>
              <w:pStyle w:val="ad"/>
              <w:wordWrap/>
              <w:overflowPunct w:val="0"/>
              <w:spacing w:line="240" w:lineRule="auto"/>
              <w:ind w:rightChars="-376" w:right="-794"/>
            </w:pPr>
          </w:p>
        </w:tc>
        <w:tc>
          <w:tcPr>
            <w:tcW w:w="1276" w:type="dxa"/>
          </w:tcPr>
          <w:p w14:paraId="502A2228" w14:textId="77777777" w:rsidR="00610BB0" w:rsidRPr="001D6D10" w:rsidRDefault="00610BB0" w:rsidP="004C2586">
            <w:pPr>
              <w:spacing w:line="340" w:lineRule="exact"/>
            </w:pPr>
            <w:r w:rsidRPr="001D6D10">
              <w:rPr>
                <w:rFonts w:hint="eastAsia"/>
                <w:kern w:val="0"/>
              </w:rPr>
              <w:t>障がい福祉</w:t>
            </w:r>
            <w:r w:rsidRPr="00E0548A">
              <w:rPr>
                <w:rFonts w:hint="eastAsia"/>
                <w:spacing w:val="3"/>
                <w:w w:val="71"/>
                <w:kern w:val="0"/>
                <w:fitText w:val="1055" w:id="-1954281973"/>
              </w:rPr>
              <w:t>生活基盤推進</w:t>
            </w:r>
            <w:r w:rsidRPr="00E0548A">
              <w:rPr>
                <w:rFonts w:hint="eastAsia"/>
                <w:spacing w:val="-7"/>
                <w:w w:val="71"/>
                <w:fitText w:val="1055" w:id="-1954281973"/>
              </w:rPr>
              <w:t>班</w:t>
            </w:r>
          </w:p>
        </w:tc>
        <w:tc>
          <w:tcPr>
            <w:tcW w:w="1730" w:type="dxa"/>
          </w:tcPr>
          <w:p w14:paraId="7B6D2AF3" w14:textId="77777777" w:rsidR="00610BB0" w:rsidRPr="001D6D10" w:rsidRDefault="00610BB0" w:rsidP="004C2586">
            <w:pPr>
              <w:spacing w:line="340" w:lineRule="exact"/>
            </w:pPr>
            <w:r w:rsidRPr="001D6D10">
              <w:rPr>
                <w:rFonts w:hint="eastAsia"/>
                <w:kern w:val="0"/>
              </w:rPr>
              <w:t>障がい福祉室</w:t>
            </w:r>
            <w:r w:rsidRPr="001D6D10">
              <w:rPr>
                <w:rFonts w:hint="eastAsia"/>
                <w:w w:val="87"/>
                <w:kern w:val="0"/>
                <w:fitText w:val="1477" w:id="-1954281972"/>
              </w:rPr>
              <w:t>生活基盤推進</w:t>
            </w:r>
            <w:r w:rsidRPr="001D6D10">
              <w:rPr>
                <w:rFonts w:hint="eastAsia"/>
                <w:w w:val="87"/>
                <w:fitText w:val="1477" w:id="-1954281972"/>
              </w:rPr>
              <w:t>課</w:t>
            </w:r>
            <w:r w:rsidRPr="001D6D10">
              <w:rPr>
                <w:rFonts w:hint="eastAsia"/>
                <w:spacing w:val="10"/>
                <w:w w:val="87"/>
                <w:fitText w:val="1477" w:id="-1954281972"/>
              </w:rPr>
              <w:t>長</w:t>
            </w:r>
          </w:p>
        </w:tc>
        <w:tc>
          <w:tcPr>
            <w:tcW w:w="6066" w:type="dxa"/>
          </w:tcPr>
          <w:p w14:paraId="2615A4FD" w14:textId="77777777" w:rsidR="00610BB0" w:rsidRPr="001D6D10" w:rsidRDefault="00610BB0" w:rsidP="004C2586">
            <w:pPr>
              <w:spacing w:line="340" w:lineRule="exact"/>
              <w:ind w:left="7" w:hanging="7"/>
            </w:pPr>
            <w:r w:rsidRPr="001D6D10">
              <w:rPr>
                <w:rFonts w:hint="eastAsia"/>
              </w:rPr>
              <w:t>障がい者施設の災害等の対策に係る連絡調整に関すること。</w:t>
            </w:r>
          </w:p>
        </w:tc>
      </w:tr>
      <w:tr w:rsidR="00610BB0" w:rsidRPr="001D6D10" w14:paraId="4DBCEEEB" w14:textId="77777777" w:rsidTr="005F51E1">
        <w:tc>
          <w:tcPr>
            <w:tcW w:w="426" w:type="dxa"/>
            <w:vMerge/>
          </w:tcPr>
          <w:p w14:paraId="40764B41" w14:textId="77777777" w:rsidR="00610BB0" w:rsidRPr="001D6D10" w:rsidRDefault="00610BB0" w:rsidP="004C2586">
            <w:pPr>
              <w:pStyle w:val="ad"/>
              <w:wordWrap/>
              <w:overflowPunct w:val="0"/>
              <w:spacing w:line="240" w:lineRule="auto"/>
              <w:ind w:rightChars="-376" w:right="-794"/>
            </w:pPr>
          </w:p>
        </w:tc>
        <w:tc>
          <w:tcPr>
            <w:tcW w:w="1134" w:type="dxa"/>
            <w:vMerge/>
          </w:tcPr>
          <w:p w14:paraId="1531C79F" w14:textId="77777777" w:rsidR="00610BB0" w:rsidRPr="001D6D10" w:rsidRDefault="00610BB0" w:rsidP="004C2586">
            <w:pPr>
              <w:pStyle w:val="ad"/>
              <w:wordWrap/>
              <w:overflowPunct w:val="0"/>
              <w:spacing w:line="240" w:lineRule="auto"/>
              <w:ind w:rightChars="-376" w:right="-794"/>
            </w:pPr>
          </w:p>
        </w:tc>
        <w:tc>
          <w:tcPr>
            <w:tcW w:w="1276" w:type="dxa"/>
          </w:tcPr>
          <w:p w14:paraId="31C3CB6C" w14:textId="77777777" w:rsidR="00610BB0" w:rsidRPr="00E0548A" w:rsidRDefault="00610BB0" w:rsidP="004C2586">
            <w:pPr>
              <w:spacing w:line="340" w:lineRule="exact"/>
            </w:pPr>
            <w:r w:rsidRPr="00E0548A">
              <w:rPr>
                <w:rFonts w:hint="eastAsia"/>
              </w:rPr>
              <w:t>介護支援班</w:t>
            </w:r>
          </w:p>
        </w:tc>
        <w:tc>
          <w:tcPr>
            <w:tcW w:w="1730" w:type="dxa"/>
          </w:tcPr>
          <w:p w14:paraId="3F5FAB9A" w14:textId="77777777" w:rsidR="00610BB0" w:rsidRPr="00E0548A" w:rsidRDefault="00610BB0" w:rsidP="004C2586">
            <w:pPr>
              <w:spacing w:line="340" w:lineRule="exact"/>
            </w:pPr>
            <w:r w:rsidRPr="00E0548A">
              <w:rPr>
                <w:rFonts w:hint="eastAsia"/>
              </w:rPr>
              <w:t>高齢介護室</w:t>
            </w:r>
          </w:p>
          <w:p w14:paraId="544703B8" w14:textId="77777777" w:rsidR="00610BB0" w:rsidRPr="00E0548A" w:rsidRDefault="00610BB0" w:rsidP="004C2586">
            <w:pPr>
              <w:spacing w:line="340" w:lineRule="exact"/>
            </w:pPr>
            <w:r w:rsidRPr="00E0548A">
              <w:rPr>
                <w:rFonts w:hint="eastAsia"/>
              </w:rPr>
              <w:t>介護支援課長</w:t>
            </w:r>
          </w:p>
        </w:tc>
        <w:tc>
          <w:tcPr>
            <w:tcW w:w="6066" w:type="dxa"/>
          </w:tcPr>
          <w:p w14:paraId="43667C57" w14:textId="77777777" w:rsidR="00610BB0" w:rsidRPr="00E0548A" w:rsidRDefault="00610BB0" w:rsidP="004C2586">
            <w:pPr>
              <w:spacing w:line="340" w:lineRule="exact"/>
              <w:ind w:left="7" w:hanging="7"/>
            </w:pPr>
            <w:r w:rsidRPr="00E0548A">
              <w:rPr>
                <w:rFonts w:hint="eastAsia"/>
              </w:rPr>
              <w:t>高齢者の避難に関する市町村支援に関すること。</w:t>
            </w:r>
          </w:p>
        </w:tc>
      </w:tr>
      <w:tr w:rsidR="00610BB0" w:rsidRPr="001D6D10" w14:paraId="1DFD428A" w14:textId="77777777" w:rsidTr="005F51E1">
        <w:tc>
          <w:tcPr>
            <w:tcW w:w="426" w:type="dxa"/>
            <w:vMerge/>
          </w:tcPr>
          <w:p w14:paraId="64269AFD" w14:textId="77777777" w:rsidR="00610BB0" w:rsidRPr="001D6D10" w:rsidRDefault="00610BB0" w:rsidP="004C2586">
            <w:pPr>
              <w:pStyle w:val="ad"/>
              <w:wordWrap/>
              <w:overflowPunct w:val="0"/>
              <w:spacing w:line="240" w:lineRule="auto"/>
              <w:ind w:rightChars="-376" w:right="-794"/>
            </w:pPr>
          </w:p>
        </w:tc>
        <w:tc>
          <w:tcPr>
            <w:tcW w:w="1134" w:type="dxa"/>
            <w:vMerge/>
          </w:tcPr>
          <w:p w14:paraId="3814D226" w14:textId="77777777" w:rsidR="00610BB0" w:rsidRPr="001D6D10" w:rsidRDefault="00610BB0" w:rsidP="004C2586">
            <w:pPr>
              <w:pStyle w:val="ad"/>
              <w:wordWrap/>
              <w:overflowPunct w:val="0"/>
              <w:spacing w:line="240" w:lineRule="auto"/>
              <w:ind w:rightChars="-376" w:right="-794"/>
            </w:pPr>
          </w:p>
        </w:tc>
        <w:tc>
          <w:tcPr>
            <w:tcW w:w="1276" w:type="dxa"/>
          </w:tcPr>
          <w:p w14:paraId="11CEC769" w14:textId="77777777" w:rsidR="00610BB0" w:rsidRPr="00E0548A" w:rsidRDefault="00610BB0" w:rsidP="004C2586">
            <w:pPr>
              <w:spacing w:line="340" w:lineRule="exact"/>
            </w:pPr>
            <w:r w:rsidRPr="00E0548A">
              <w:rPr>
                <w:rFonts w:hint="eastAsia"/>
              </w:rPr>
              <w:t>高齢介護</w:t>
            </w:r>
          </w:p>
          <w:p w14:paraId="44C4C52F" w14:textId="77777777" w:rsidR="00610BB0" w:rsidRPr="00E0548A" w:rsidRDefault="00610BB0" w:rsidP="004C2586">
            <w:pPr>
              <w:spacing w:line="340" w:lineRule="exact"/>
              <w:rPr>
                <w:kern w:val="0"/>
              </w:rPr>
            </w:pPr>
            <w:r w:rsidRPr="00E0548A">
              <w:rPr>
                <w:rFonts w:hint="eastAsia"/>
              </w:rPr>
              <w:t>事業者班</w:t>
            </w:r>
          </w:p>
        </w:tc>
        <w:tc>
          <w:tcPr>
            <w:tcW w:w="1730" w:type="dxa"/>
          </w:tcPr>
          <w:p w14:paraId="4BCD8533" w14:textId="77777777" w:rsidR="00610BB0" w:rsidRPr="00E0548A" w:rsidRDefault="00610BB0" w:rsidP="004C2586">
            <w:pPr>
              <w:spacing w:line="340" w:lineRule="exact"/>
            </w:pPr>
            <w:r w:rsidRPr="00E0548A">
              <w:rPr>
                <w:rFonts w:hint="eastAsia"/>
              </w:rPr>
              <w:t>高齢介護室</w:t>
            </w:r>
          </w:p>
          <w:p w14:paraId="267BC94D" w14:textId="77777777" w:rsidR="00610BB0" w:rsidRPr="00E0548A" w:rsidRDefault="00610BB0" w:rsidP="004C2586">
            <w:pPr>
              <w:spacing w:line="340" w:lineRule="exact"/>
              <w:rPr>
                <w:kern w:val="0"/>
              </w:rPr>
            </w:pPr>
            <w:r w:rsidRPr="00E0548A">
              <w:rPr>
                <w:rFonts w:hint="eastAsia"/>
                <w:w w:val="86"/>
                <w:kern w:val="0"/>
                <w:sz w:val="20"/>
                <w:szCs w:val="20"/>
                <w:fitText w:val="1206" w:id="-1954281971"/>
              </w:rPr>
              <w:t>介護事業者課</w:t>
            </w:r>
            <w:r w:rsidRPr="00E0548A">
              <w:rPr>
                <w:rFonts w:hint="eastAsia"/>
                <w:spacing w:val="1"/>
                <w:w w:val="86"/>
                <w:kern w:val="0"/>
                <w:sz w:val="20"/>
                <w:szCs w:val="20"/>
                <w:fitText w:val="1206" w:id="-1954281971"/>
              </w:rPr>
              <w:t>長</w:t>
            </w:r>
          </w:p>
        </w:tc>
        <w:tc>
          <w:tcPr>
            <w:tcW w:w="6066" w:type="dxa"/>
          </w:tcPr>
          <w:p w14:paraId="75E6454B" w14:textId="063055EE" w:rsidR="00610BB0" w:rsidRPr="00E0548A" w:rsidRDefault="00610BB0" w:rsidP="004C2586">
            <w:pPr>
              <w:spacing w:line="340" w:lineRule="exact"/>
            </w:pPr>
            <w:r w:rsidRPr="00E0548A">
              <w:rPr>
                <w:rFonts w:hint="eastAsia"/>
              </w:rPr>
              <w:t>高齢者施設等の災害等の対策に係る連絡調整に関すること。</w:t>
            </w:r>
          </w:p>
        </w:tc>
      </w:tr>
      <w:tr w:rsidR="00610BB0" w:rsidRPr="001D6D10" w14:paraId="629EF37F" w14:textId="77777777" w:rsidTr="005F51E1">
        <w:tc>
          <w:tcPr>
            <w:tcW w:w="426" w:type="dxa"/>
            <w:vMerge/>
          </w:tcPr>
          <w:p w14:paraId="1264E7E1" w14:textId="77777777" w:rsidR="00610BB0" w:rsidRPr="001D6D10" w:rsidRDefault="00610BB0" w:rsidP="004C2586">
            <w:pPr>
              <w:pStyle w:val="ad"/>
              <w:wordWrap/>
              <w:overflowPunct w:val="0"/>
              <w:spacing w:line="240" w:lineRule="auto"/>
              <w:ind w:rightChars="-376" w:right="-794"/>
            </w:pPr>
          </w:p>
        </w:tc>
        <w:tc>
          <w:tcPr>
            <w:tcW w:w="1134" w:type="dxa"/>
            <w:vMerge/>
          </w:tcPr>
          <w:p w14:paraId="44205DB5" w14:textId="77777777" w:rsidR="00610BB0" w:rsidRPr="001D6D10" w:rsidRDefault="00610BB0" w:rsidP="004C2586">
            <w:pPr>
              <w:pStyle w:val="ad"/>
              <w:wordWrap/>
              <w:overflowPunct w:val="0"/>
              <w:spacing w:line="240" w:lineRule="auto"/>
              <w:ind w:rightChars="-376" w:right="-794"/>
            </w:pPr>
          </w:p>
        </w:tc>
        <w:tc>
          <w:tcPr>
            <w:tcW w:w="1276" w:type="dxa"/>
          </w:tcPr>
          <w:p w14:paraId="28B7C0B9" w14:textId="6EDB4916" w:rsidR="00610BB0" w:rsidRPr="00E0548A" w:rsidRDefault="00610BB0" w:rsidP="004C2586">
            <w:pPr>
              <w:spacing w:line="340" w:lineRule="exact"/>
            </w:pPr>
            <w:r w:rsidRPr="00E0548A">
              <w:rPr>
                <w:rFonts w:hint="eastAsia"/>
              </w:rPr>
              <w:t>子ども家庭企画班</w:t>
            </w:r>
          </w:p>
        </w:tc>
        <w:tc>
          <w:tcPr>
            <w:tcW w:w="1730" w:type="dxa"/>
          </w:tcPr>
          <w:p w14:paraId="23CF92E7" w14:textId="77777777" w:rsidR="00610BB0" w:rsidRPr="00E0548A" w:rsidRDefault="00610BB0" w:rsidP="008C36F6">
            <w:pPr>
              <w:spacing w:line="340" w:lineRule="exact"/>
              <w:rPr>
                <w:w w:val="66"/>
                <w:szCs w:val="21"/>
              </w:rPr>
            </w:pPr>
            <w:r w:rsidRPr="00E0548A">
              <w:rPr>
                <w:rFonts w:hint="eastAsia"/>
                <w:w w:val="66"/>
                <w:szCs w:val="21"/>
              </w:rPr>
              <w:t>子ども家庭局</w:t>
            </w:r>
          </w:p>
          <w:p w14:paraId="2C693620" w14:textId="6D437ADC" w:rsidR="00610BB0" w:rsidRPr="00E0548A" w:rsidRDefault="00610BB0" w:rsidP="008C36F6">
            <w:pPr>
              <w:spacing w:line="340" w:lineRule="exact"/>
              <w:rPr>
                <w:w w:val="66"/>
                <w:szCs w:val="21"/>
              </w:rPr>
            </w:pPr>
            <w:r w:rsidRPr="00E0548A">
              <w:rPr>
                <w:rFonts w:hint="eastAsia"/>
                <w:w w:val="66"/>
                <w:szCs w:val="21"/>
              </w:rPr>
              <w:t>子ども家庭企画課</w:t>
            </w:r>
          </w:p>
        </w:tc>
        <w:tc>
          <w:tcPr>
            <w:tcW w:w="6066" w:type="dxa"/>
          </w:tcPr>
          <w:p w14:paraId="5B4E36F3" w14:textId="60B63E9C" w:rsidR="00610BB0" w:rsidRPr="00E0548A" w:rsidRDefault="00610BB0" w:rsidP="004C2586">
            <w:pPr>
              <w:spacing w:line="340" w:lineRule="exact"/>
            </w:pPr>
            <w:r w:rsidRPr="00E0548A">
              <w:rPr>
                <w:rFonts w:hint="eastAsia"/>
              </w:rPr>
              <w:t>子どもの避難に関する市町村等への支援に関すること。</w:t>
            </w:r>
          </w:p>
        </w:tc>
      </w:tr>
      <w:bookmarkEnd w:id="71"/>
      <w:tr w:rsidR="00610BB0" w:rsidRPr="001D6D10" w14:paraId="00B0B312" w14:textId="77777777" w:rsidTr="005F51E1">
        <w:tc>
          <w:tcPr>
            <w:tcW w:w="426" w:type="dxa"/>
            <w:vMerge/>
          </w:tcPr>
          <w:p w14:paraId="17EE5804" w14:textId="77777777" w:rsidR="00610BB0" w:rsidRPr="001D6D10" w:rsidRDefault="00610BB0" w:rsidP="004C2586">
            <w:pPr>
              <w:pStyle w:val="ad"/>
              <w:wordWrap/>
              <w:overflowPunct w:val="0"/>
              <w:spacing w:line="240" w:lineRule="auto"/>
              <w:ind w:rightChars="-376" w:right="-794"/>
            </w:pPr>
          </w:p>
        </w:tc>
        <w:tc>
          <w:tcPr>
            <w:tcW w:w="1134" w:type="dxa"/>
            <w:vMerge/>
          </w:tcPr>
          <w:p w14:paraId="2DB3478E" w14:textId="77777777" w:rsidR="00610BB0" w:rsidRPr="001D6D10" w:rsidRDefault="00610BB0" w:rsidP="004C2586">
            <w:pPr>
              <w:pStyle w:val="ad"/>
              <w:wordWrap/>
              <w:overflowPunct w:val="0"/>
              <w:spacing w:line="240" w:lineRule="auto"/>
              <w:ind w:rightChars="-376" w:right="-794"/>
            </w:pPr>
          </w:p>
        </w:tc>
        <w:tc>
          <w:tcPr>
            <w:tcW w:w="1276" w:type="dxa"/>
          </w:tcPr>
          <w:p w14:paraId="51CCCB9B" w14:textId="03F4F67F" w:rsidR="00610BB0" w:rsidRPr="00E0548A" w:rsidRDefault="00610BB0" w:rsidP="004C2586">
            <w:pPr>
              <w:spacing w:line="340" w:lineRule="exact"/>
            </w:pPr>
            <w:r w:rsidRPr="00E0548A">
              <w:rPr>
                <w:rFonts w:hint="eastAsia"/>
              </w:rPr>
              <w:t>青少年班</w:t>
            </w:r>
          </w:p>
        </w:tc>
        <w:tc>
          <w:tcPr>
            <w:tcW w:w="1730" w:type="dxa"/>
          </w:tcPr>
          <w:p w14:paraId="67A10FF2" w14:textId="77777777" w:rsidR="00610BB0" w:rsidRPr="00E0548A" w:rsidRDefault="00610BB0" w:rsidP="004C2586">
            <w:pPr>
              <w:spacing w:line="340" w:lineRule="exact"/>
              <w:rPr>
                <w:w w:val="66"/>
                <w:szCs w:val="21"/>
              </w:rPr>
            </w:pPr>
            <w:r w:rsidRPr="00E0548A">
              <w:rPr>
                <w:rFonts w:hint="eastAsia"/>
                <w:w w:val="66"/>
                <w:szCs w:val="21"/>
              </w:rPr>
              <w:t>子ども家庭局</w:t>
            </w:r>
          </w:p>
          <w:p w14:paraId="34207B59" w14:textId="7DF40119" w:rsidR="00610BB0" w:rsidRPr="00E0548A" w:rsidRDefault="00610BB0" w:rsidP="004C2586">
            <w:pPr>
              <w:spacing w:line="340" w:lineRule="exact"/>
            </w:pPr>
            <w:r w:rsidRPr="00E0548A">
              <w:rPr>
                <w:rFonts w:hint="eastAsia"/>
                <w:szCs w:val="21"/>
              </w:rPr>
              <w:t>青少年支援課長</w:t>
            </w:r>
          </w:p>
        </w:tc>
        <w:tc>
          <w:tcPr>
            <w:tcW w:w="6066" w:type="dxa"/>
          </w:tcPr>
          <w:p w14:paraId="5D28C8EA" w14:textId="3EE23640" w:rsidR="00610BB0" w:rsidRPr="00E0548A" w:rsidRDefault="00610BB0" w:rsidP="004C2586">
            <w:pPr>
              <w:spacing w:line="340" w:lineRule="exact"/>
            </w:pPr>
            <w:r w:rsidRPr="00E0548A">
              <w:rPr>
                <w:rFonts w:hint="eastAsia"/>
              </w:rPr>
              <w:t>青少年施設の災害等に係る連絡調整に関すること。</w:t>
            </w:r>
          </w:p>
        </w:tc>
      </w:tr>
      <w:tr w:rsidR="00610BB0" w:rsidRPr="001D6D10" w14:paraId="5F5F800D" w14:textId="77777777" w:rsidTr="005F51E1">
        <w:tc>
          <w:tcPr>
            <w:tcW w:w="426" w:type="dxa"/>
            <w:vMerge/>
          </w:tcPr>
          <w:p w14:paraId="15D268E6" w14:textId="77777777" w:rsidR="00610BB0" w:rsidRPr="001D6D10" w:rsidRDefault="00610BB0" w:rsidP="004C2586">
            <w:pPr>
              <w:pStyle w:val="ad"/>
              <w:wordWrap/>
              <w:overflowPunct w:val="0"/>
              <w:spacing w:line="240" w:lineRule="auto"/>
              <w:ind w:rightChars="-376" w:right="-794"/>
            </w:pPr>
          </w:p>
        </w:tc>
        <w:tc>
          <w:tcPr>
            <w:tcW w:w="1134" w:type="dxa"/>
            <w:vMerge/>
          </w:tcPr>
          <w:p w14:paraId="440EEB3D" w14:textId="77777777" w:rsidR="00610BB0" w:rsidRPr="001D6D10" w:rsidRDefault="00610BB0" w:rsidP="004C2586">
            <w:pPr>
              <w:pStyle w:val="ad"/>
              <w:wordWrap/>
              <w:overflowPunct w:val="0"/>
              <w:spacing w:line="240" w:lineRule="auto"/>
              <w:ind w:rightChars="-376" w:right="-794"/>
            </w:pPr>
          </w:p>
        </w:tc>
        <w:tc>
          <w:tcPr>
            <w:tcW w:w="1276" w:type="dxa"/>
          </w:tcPr>
          <w:p w14:paraId="0B636488" w14:textId="6F3BDC45" w:rsidR="00610BB0" w:rsidRPr="00E0548A" w:rsidRDefault="00610BB0" w:rsidP="004C2586">
            <w:pPr>
              <w:spacing w:line="340" w:lineRule="exact"/>
            </w:pPr>
            <w:r w:rsidRPr="00E0548A">
              <w:rPr>
                <w:rFonts w:hint="eastAsia"/>
              </w:rPr>
              <w:t>子育て支援班</w:t>
            </w:r>
          </w:p>
        </w:tc>
        <w:tc>
          <w:tcPr>
            <w:tcW w:w="1730" w:type="dxa"/>
          </w:tcPr>
          <w:p w14:paraId="147A44BB" w14:textId="77777777" w:rsidR="00610BB0" w:rsidRPr="00E0548A" w:rsidRDefault="00610BB0" w:rsidP="008C36F6">
            <w:pPr>
              <w:spacing w:line="340" w:lineRule="exact"/>
            </w:pPr>
            <w:r w:rsidRPr="00E0548A">
              <w:rPr>
                <w:rFonts w:hint="eastAsia"/>
              </w:rPr>
              <w:t>子ども家庭局</w:t>
            </w:r>
          </w:p>
          <w:p w14:paraId="5024B3F3" w14:textId="31AB7714" w:rsidR="00610BB0" w:rsidRPr="00E0548A" w:rsidRDefault="00610BB0" w:rsidP="004C2586">
            <w:pPr>
              <w:spacing w:line="340" w:lineRule="exact"/>
              <w:rPr>
                <w:sz w:val="20"/>
                <w:szCs w:val="20"/>
              </w:rPr>
            </w:pPr>
            <w:r w:rsidRPr="00E0548A">
              <w:rPr>
                <w:rFonts w:hint="eastAsia"/>
                <w:kern w:val="0"/>
                <w:fitText w:val="1477" w:id="-1954281970"/>
              </w:rPr>
              <w:t>子育て支援課長</w:t>
            </w:r>
          </w:p>
        </w:tc>
        <w:tc>
          <w:tcPr>
            <w:tcW w:w="6066" w:type="dxa"/>
          </w:tcPr>
          <w:p w14:paraId="2B18541C" w14:textId="25065536" w:rsidR="00610BB0" w:rsidRPr="00E0548A" w:rsidRDefault="00610BB0" w:rsidP="004C2586">
            <w:pPr>
              <w:spacing w:line="340" w:lineRule="exact"/>
            </w:pPr>
            <w:r w:rsidRPr="00E0548A">
              <w:rPr>
                <w:rFonts w:hint="eastAsia"/>
              </w:rPr>
              <w:t>保育所・児童養護施設等の災害等の対策に係る連絡調整に関すること。</w:t>
            </w:r>
          </w:p>
        </w:tc>
      </w:tr>
      <w:tr w:rsidR="00610BB0" w:rsidRPr="001D6D10" w14:paraId="4C4F7126" w14:textId="77777777" w:rsidTr="005F51E1">
        <w:tc>
          <w:tcPr>
            <w:tcW w:w="426" w:type="dxa"/>
            <w:vMerge/>
          </w:tcPr>
          <w:p w14:paraId="16ECEA2A" w14:textId="77777777" w:rsidR="00610BB0" w:rsidRPr="001D6D10" w:rsidRDefault="00610BB0" w:rsidP="004C2586">
            <w:pPr>
              <w:pStyle w:val="ad"/>
              <w:wordWrap/>
              <w:overflowPunct w:val="0"/>
              <w:spacing w:line="240" w:lineRule="auto"/>
              <w:ind w:rightChars="-376" w:right="-794"/>
            </w:pPr>
          </w:p>
        </w:tc>
        <w:tc>
          <w:tcPr>
            <w:tcW w:w="1134" w:type="dxa"/>
            <w:vMerge/>
          </w:tcPr>
          <w:p w14:paraId="19E018DD" w14:textId="77777777" w:rsidR="00610BB0" w:rsidRPr="001D6D10" w:rsidRDefault="00610BB0" w:rsidP="004C2586">
            <w:pPr>
              <w:pStyle w:val="ad"/>
              <w:wordWrap/>
              <w:overflowPunct w:val="0"/>
              <w:spacing w:line="240" w:lineRule="auto"/>
              <w:ind w:rightChars="-376" w:right="-794"/>
            </w:pPr>
          </w:p>
        </w:tc>
        <w:tc>
          <w:tcPr>
            <w:tcW w:w="1276" w:type="dxa"/>
          </w:tcPr>
          <w:p w14:paraId="45269453" w14:textId="07826506" w:rsidR="00610BB0" w:rsidRPr="00E0548A" w:rsidRDefault="00610BB0" w:rsidP="004C2586">
            <w:pPr>
              <w:spacing w:line="340" w:lineRule="exact"/>
            </w:pPr>
            <w:r w:rsidRPr="00E0548A">
              <w:rPr>
                <w:rFonts w:hint="eastAsia"/>
              </w:rPr>
              <w:t>家庭支援班</w:t>
            </w:r>
          </w:p>
        </w:tc>
        <w:tc>
          <w:tcPr>
            <w:tcW w:w="1730" w:type="dxa"/>
          </w:tcPr>
          <w:p w14:paraId="1B365229" w14:textId="77777777" w:rsidR="00610BB0" w:rsidRPr="00E0548A" w:rsidRDefault="00610BB0" w:rsidP="008C36F6">
            <w:pPr>
              <w:spacing w:line="340" w:lineRule="exact"/>
            </w:pPr>
            <w:r w:rsidRPr="00E0548A">
              <w:rPr>
                <w:rFonts w:hint="eastAsia"/>
              </w:rPr>
              <w:t>子ども家庭局</w:t>
            </w:r>
          </w:p>
          <w:p w14:paraId="74151D46" w14:textId="0DFA9E54" w:rsidR="00610BB0" w:rsidRPr="00E0548A" w:rsidRDefault="00610BB0" w:rsidP="008C36F6">
            <w:pPr>
              <w:spacing w:line="340" w:lineRule="exact"/>
            </w:pPr>
            <w:r w:rsidRPr="00E0548A">
              <w:rPr>
                <w:rFonts w:hint="eastAsia"/>
              </w:rPr>
              <w:t>家庭支援課長</w:t>
            </w:r>
          </w:p>
        </w:tc>
        <w:tc>
          <w:tcPr>
            <w:tcW w:w="6066" w:type="dxa"/>
          </w:tcPr>
          <w:p w14:paraId="69110090" w14:textId="034401EE" w:rsidR="00610BB0" w:rsidRPr="00E0548A" w:rsidRDefault="00610BB0" w:rsidP="004C2586">
            <w:pPr>
              <w:spacing w:line="340" w:lineRule="exact"/>
            </w:pPr>
            <w:r w:rsidRPr="00E0548A">
              <w:rPr>
                <w:rFonts w:hint="eastAsia"/>
              </w:rPr>
              <w:t>児童養護施設等の災害等の対策に係る連絡調整に関すること。</w:t>
            </w:r>
          </w:p>
        </w:tc>
      </w:tr>
      <w:tr w:rsidR="00610BB0" w:rsidRPr="001D6D10" w14:paraId="4FC5CD9C" w14:textId="77777777" w:rsidTr="005F51E1">
        <w:tc>
          <w:tcPr>
            <w:tcW w:w="426" w:type="dxa"/>
            <w:vMerge/>
          </w:tcPr>
          <w:p w14:paraId="4278777F" w14:textId="77777777" w:rsidR="00610BB0" w:rsidRPr="001D6D10" w:rsidRDefault="00610BB0" w:rsidP="008C36F6">
            <w:pPr>
              <w:pStyle w:val="ad"/>
              <w:wordWrap/>
              <w:overflowPunct w:val="0"/>
              <w:spacing w:line="240" w:lineRule="auto"/>
              <w:ind w:rightChars="-376" w:right="-794"/>
            </w:pPr>
          </w:p>
        </w:tc>
        <w:tc>
          <w:tcPr>
            <w:tcW w:w="1134" w:type="dxa"/>
            <w:vMerge/>
          </w:tcPr>
          <w:p w14:paraId="228D1915" w14:textId="77777777" w:rsidR="00610BB0" w:rsidRPr="001D6D10" w:rsidRDefault="00610BB0" w:rsidP="008C36F6">
            <w:pPr>
              <w:pStyle w:val="ad"/>
              <w:wordWrap/>
              <w:overflowPunct w:val="0"/>
              <w:spacing w:line="240" w:lineRule="auto"/>
              <w:ind w:rightChars="-376" w:right="-794"/>
            </w:pPr>
          </w:p>
        </w:tc>
        <w:tc>
          <w:tcPr>
            <w:tcW w:w="1276" w:type="dxa"/>
          </w:tcPr>
          <w:p w14:paraId="1A07FB38" w14:textId="36FA6706" w:rsidR="00610BB0" w:rsidRPr="00E0548A" w:rsidRDefault="00610BB0" w:rsidP="008C36F6">
            <w:pPr>
              <w:spacing w:line="340" w:lineRule="exact"/>
            </w:pPr>
            <w:r w:rsidRPr="00E0548A">
              <w:rPr>
                <w:rFonts w:hint="eastAsia"/>
              </w:rPr>
              <w:t>応援第１班</w:t>
            </w:r>
          </w:p>
        </w:tc>
        <w:tc>
          <w:tcPr>
            <w:tcW w:w="1730" w:type="dxa"/>
          </w:tcPr>
          <w:p w14:paraId="3F3D5CD9" w14:textId="5777DB6C" w:rsidR="00610BB0" w:rsidRPr="00E0548A" w:rsidRDefault="00610BB0" w:rsidP="008C36F6">
            <w:pPr>
              <w:spacing w:line="340" w:lineRule="exact"/>
              <w:rPr>
                <w:w w:val="66"/>
                <w:szCs w:val="21"/>
              </w:rPr>
            </w:pPr>
            <w:r w:rsidRPr="00E0548A">
              <w:rPr>
                <w:rFonts w:hint="eastAsia"/>
                <w:spacing w:val="1"/>
                <w:kern w:val="0"/>
                <w:fitText w:val="1477" w:id="-1954281969"/>
              </w:rPr>
              <w:t>地</w:t>
            </w:r>
            <w:r w:rsidRPr="00E0548A">
              <w:rPr>
                <w:rFonts w:hint="eastAsia"/>
                <w:kern w:val="0"/>
                <w:fitText w:val="1477" w:id="-1954281969"/>
              </w:rPr>
              <w:t>域福祉推進室</w:t>
            </w:r>
            <w:r w:rsidRPr="00E0548A">
              <w:rPr>
                <w:rFonts w:hint="eastAsia"/>
              </w:rPr>
              <w:t>社会援護課長</w:t>
            </w:r>
          </w:p>
        </w:tc>
        <w:tc>
          <w:tcPr>
            <w:tcW w:w="6066" w:type="dxa"/>
          </w:tcPr>
          <w:p w14:paraId="567BF761" w14:textId="77777777" w:rsidR="00610BB0" w:rsidRPr="00E0548A" w:rsidRDefault="00610BB0" w:rsidP="008C36F6">
            <w:pPr>
              <w:spacing w:line="340" w:lineRule="exact"/>
            </w:pPr>
            <w:r w:rsidRPr="00E0548A">
              <w:rPr>
                <w:rFonts w:hint="eastAsia"/>
              </w:rPr>
              <w:t>他の班の応援に関すること。</w:t>
            </w:r>
          </w:p>
          <w:p w14:paraId="301FD1F1" w14:textId="2C29B11A" w:rsidR="00610BB0" w:rsidRPr="00E0548A" w:rsidRDefault="00610BB0" w:rsidP="008C36F6">
            <w:pPr>
              <w:spacing w:line="340" w:lineRule="exact"/>
            </w:pPr>
          </w:p>
        </w:tc>
      </w:tr>
      <w:tr w:rsidR="00610BB0" w:rsidRPr="001D6D10" w14:paraId="0F39DDD1" w14:textId="77777777" w:rsidTr="005F51E1">
        <w:tc>
          <w:tcPr>
            <w:tcW w:w="426" w:type="dxa"/>
            <w:vMerge/>
          </w:tcPr>
          <w:p w14:paraId="6DC0504E" w14:textId="77777777" w:rsidR="00610BB0" w:rsidRPr="001D6D10" w:rsidRDefault="00610BB0" w:rsidP="008C36F6">
            <w:pPr>
              <w:pStyle w:val="ad"/>
              <w:wordWrap/>
              <w:overflowPunct w:val="0"/>
              <w:spacing w:line="240" w:lineRule="auto"/>
              <w:ind w:rightChars="-376" w:right="-794"/>
            </w:pPr>
          </w:p>
        </w:tc>
        <w:tc>
          <w:tcPr>
            <w:tcW w:w="1134" w:type="dxa"/>
            <w:vMerge/>
          </w:tcPr>
          <w:p w14:paraId="05D5BB86" w14:textId="77777777" w:rsidR="00610BB0" w:rsidRPr="001D6D10" w:rsidRDefault="00610BB0" w:rsidP="008C36F6">
            <w:pPr>
              <w:pStyle w:val="ad"/>
              <w:wordWrap/>
              <w:overflowPunct w:val="0"/>
              <w:spacing w:line="240" w:lineRule="auto"/>
              <w:ind w:rightChars="-376" w:right="-794"/>
            </w:pPr>
          </w:p>
        </w:tc>
        <w:tc>
          <w:tcPr>
            <w:tcW w:w="1276" w:type="dxa"/>
          </w:tcPr>
          <w:p w14:paraId="7387A877" w14:textId="3B05AFB2" w:rsidR="00610BB0" w:rsidRPr="00E0548A" w:rsidRDefault="00610BB0" w:rsidP="008C36F6">
            <w:pPr>
              <w:spacing w:line="340" w:lineRule="exact"/>
            </w:pPr>
            <w:r w:rsidRPr="00E0548A">
              <w:rPr>
                <w:rFonts w:hint="eastAsia"/>
              </w:rPr>
              <w:t>応援第２班</w:t>
            </w:r>
          </w:p>
        </w:tc>
        <w:tc>
          <w:tcPr>
            <w:tcW w:w="1730" w:type="dxa"/>
          </w:tcPr>
          <w:p w14:paraId="70E6BD16" w14:textId="77777777" w:rsidR="00610BB0" w:rsidRPr="00E0548A" w:rsidRDefault="00610BB0" w:rsidP="008C36F6">
            <w:pPr>
              <w:spacing w:line="340" w:lineRule="exact"/>
              <w:rPr>
                <w:kern w:val="0"/>
              </w:rPr>
            </w:pPr>
            <w:r w:rsidRPr="00E0548A">
              <w:rPr>
                <w:rFonts w:hint="eastAsia"/>
                <w:spacing w:val="1"/>
                <w:kern w:val="0"/>
                <w:fitText w:val="1477" w:id="-1954281968"/>
              </w:rPr>
              <w:t>地</w:t>
            </w:r>
            <w:r w:rsidRPr="00E0548A">
              <w:rPr>
                <w:rFonts w:hint="eastAsia"/>
                <w:kern w:val="0"/>
                <w:fitText w:val="1477" w:id="-1954281968"/>
              </w:rPr>
              <w:t>域福祉推進室</w:t>
            </w:r>
            <w:r w:rsidRPr="00E0548A">
              <w:rPr>
                <w:rFonts w:hint="eastAsia"/>
                <w:kern w:val="0"/>
              </w:rPr>
              <w:t>福祉人材・</w:t>
            </w:r>
          </w:p>
          <w:p w14:paraId="3656E48D" w14:textId="5EF0D978" w:rsidR="00610BB0" w:rsidRPr="00E0548A" w:rsidRDefault="00610BB0" w:rsidP="008C36F6">
            <w:pPr>
              <w:spacing w:line="340" w:lineRule="exact"/>
              <w:rPr>
                <w:kern w:val="0"/>
              </w:rPr>
            </w:pPr>
            <w:r w:rsidRPr="00E0548A">
              <w:rPr>
                <w:rFonts w:hint="eastAsia"/>
                <w:kern w:val="0"/>
              </w:rPr>
              <w:t>法人指導</w:t>
            </w:r>
            <w:r w:rsidRPr="00E0548A">
              <w:rPr>
                <w:rFonts w:hint="eastAsia"/>
              </w:rPr>
              <w:t>課長</w:t>
            </w:r>
          </w:p>
        </w:tc>
        <w:tc>
          <w:tcPr>
            <w:tcW w:w="6066" w:type="dxa"/>
          </w:tcPr>
          <w:p w14:paraId="6E7B6761" w14:textId="58D3C0C3" w:rsidR="00610BB0" w:rsidRPr="00E0548A" w:rsidRDefault="00610BB0" w:rsidP="008C36F6">
            <w:pPr>
              <w:spacing w:line="340" w:lineRule="exact"/>
            </w:pPr>
            <w:r w:rsidRPr="00E0548A">
              <w:rPr>
                <w:rFonts w:hint="eastAsia"/>
              </w:rPr>
              <w:t>他の班の応援に関すること。</w:t>
            </w:r>
          </w:p>
        </w:tc>
      </w:tr>
      <w:tr w:rsidR="00610BB0" w:rsidRPr="001D6D10" w14:paraId="75715AD5" w14:textId="77777777" w:rsidTr="00610BB0">
        <w:tc>
          <w:tcPr>
            <w:tcW w:w="426" w:type="dxa"/>
            <w:vMerge w:val="restart"/>
            <w:textDirection w:val="tbRlV"/>
          </w:tcPr>
          <w:p w14:paraId="0DC7B73C" w14:textId="31BAEDCC" w:rsidR="00610BB0" w:rsidRPr="001D6D10" w:rsidRDefault="00610BB0" w:rsidP="008C36F6">
            <w:pPr>
              <w:pStyle w:val="ad"/>
              <w:overflowPunct w:val="0"/>
              <w:spacing w:line="240" w:lineRule="auto"/>
              <w:ind w:left="113" w:rightChars="-376" w:right="-794"/>
            </w:pPr>
            <w:r w:rsidRPr="001D6D10">
              <w:rPr>
                <w:rFonts w:hint="eastAsia"/>
                <w:sz w:val="21"/>
              </w:rPr>
              <w:t>健康医療部</w:t>
            </w:r>
          </w:p>
        </w:tc>
        <w:tc>
          <w:tcPr>
            <w:tcW w:w="1134" w:type="dxa"/>
            <w:vMerge w:val="restart"/>
          </w:tcPr>
          <w:p w14:paraId="41CD302B" w14:textId="087EA724" w:rsidR="00610BB0" w:rsidRPr="001D6D10" w:rsidRDefault="00610BB0" w:rsidP="008C36F6">
            <w:pPr>
              <w:pStyle w:val="ad"/>
              <w:overflowPunct w:val="0"/>
              <w:spacing w:line="240" w:lineRule="auto"/>
            </w:pPr>
            <w:r w:rsidRPr="001D6D10">
              <w:rPr>
                <w:rFonts w:hint="eastAsia"/>
                <w:sz w:val="21"/>
              </w:rPr>
              <w:t>健康医療部長</w:t>
            </w:r>
          </w:p>
        </w:tc>
        <w:tc>
          <w:tcPr>
            <w:tcW w:w="1276" w:type="dxa"/>
          </w:tcPr>
          <w:p w14:paraId="5F78A21E" w14:textId="77777777" w:rsidR="00610BB0" w:rsidRPr="00E0548A" w:rsidRDefault="00610BB0" w:rsidP="008C36F6">
            <w:pPr>
              <w:spacing w:line="340" w:lineRule="exact"/>
            </w:pPr>
            <w:r w:rsidRPr="00E0548A">
              <w:rPr>
                <w:rFonts w:hint="eastAsia"/>
              </w:rPr>
              <w:t>健康医療</w:t>
            </w:r>
          </w:p>
          <w:p w14:paraId="77BDC460" w14:textId="31F04579" w:rsidR="00610BB0" w:rsidRPr="00E0548A" w:rsidRDefault="00610BB0" w:rsidP="008C36F6">
            <w:pPr>
              <w:spacing w:line="340" w:lineRule="exact"/>
            </w:pPr>
            <w:r w:rsidRPr="00E0548A">
              <w:rPr>
                <w:rFonts w:hint="eastAsia"/>
              </w:rPr>
              <w:t>総務班</w:t>
            </w:r>
          </w:p>
        </w:tc>
        <w:tc>
          <w:tcPr>
            <w:tcW w:w="1730" w:type="dxa"/>
          </w:tcPr>
          <w:p w14:paraId="1DA854F0" w14:textId="77777777" w:rsidR="00610BB0" w:rsidRPr="00E0548A" w:rsidRDefault="00610BB0" w:rsidP="008C36F6">
            <w:pPr>
              <w:spacing w:line="340" w:lineRule="exact"/>
            </w:pPr>
            <w:r w:rsidRPr="00E0548A">
              <w:rPr>
                <w:rFonts w:hint="eastAsia"/>
              </w:rPr>
              <w:t>健康医療総務</w:t>
            </w:r>
          </w:p>
          <w:p w14:paraId="5AF81396" w14:textId="5DCF33FB" w:rsidR="00610BB0" w:rsidRPr="00E0548A" w:rsidRDefault="00610BB0" w:rsidP="008C36F6">
            <w:pPr>
              <w:spacing w:line="340" w:lineRule="exact"/>
            </w:pPr>
            <w:r w:rsidRPr="00E0548A">
              <w:rPr>
                <w:rFonts w:hint="eastAsia"/>
              </w:rPr>
              <w:t>課長</w:t>
            </w:r>
          </w:p>
        </w:tc>
        <w:tc>
          <w:tcPr>
            <w:tcW w:w="6066" w:type="dxa"/>
          </w:tcPr>
          <w:p w14:paraId="2B511097" w14:textId="77777777" w:rsidR="00610BB0" w:rsidRPr="00E0548A" w:rsidRDefault="00610BB0" w:rsidP="008C36F6">
            <w:pPr>
              <w:spacing w:line="340" w:lineRule="exact"/>
              <w:ind w:left="61" w:hangingChars="29" w:hanging="61"/>
            </w:pPr>
            <w:r w:rsidRPr="00E0548A">
              <w:rPr>
                <w:rFonts w:hint="eastAsia"/>
              </w:rPr>
              <w:t>１ 防災・危機管理指令部に関すること。</w:t>
            </w:r>
          </w:p>
          <w:p w14:paraId="5FF63351" w14:textId="77777777" w:rsidR="00610BB0" w:rsidRPr="00E0548A" w:rsidRDefault="00610BB0" w:rsidP="008C36F6">
            <w:pPr>
              <w:spacing w:line="340" w:lineRule="exact"/>
            </w:pPr>
            <w:r w:rsidRPr="00E0548A">
              <w:rPr>
                <w:rFonts w:hint="eastAsia"/>
              </w:rPr>
              <w:t>２ 部内各班の連絡調整に関すること。</w:t>
            </w:r>
          </w:p>
          <w:p w14:paraId="031B88B1" w14:textId="77777777" w:rsidR="00610BB0" w:rsidRPr="00E0548A" w:rsidRDefault="00610BB0" w:rsidP="008C36F6">
            <w:pPr>
              <w:spacing w:line="340" w:lineRule="exact"/>
              <w:ind w:left="81" w:hanging="81"/>
            </w:pPr>
            <w:r w:rsidRPr="00E0548A">
              <w:rPr>
                <w:rFonts w:hint="eastAsia"/>
              </w:rPr>
              <w:t>３ 部内各班の被害状況のとりまとめ及び本部への報告に関すること。</w:t>
            </w:r>
          </w:p>
          <w:p w14:paraId="52578EBE" w14:textId="77777777" w:rsidR="00610BB0" w:rsidRPr="00E0548A" w:rsidRDefault="00610BB0" w:rsidP="008C36F6">
            <w:pPr>
              <w:spacing w:line="340" w:lineRule="exact"/>
              <w:ind w:left="81" w:hanging="81"/>
            </w:pPr>
            <w:r w:rsidRPr="00E0548A">
              <w:rPr>
                <w:rFonts w:hint="eastAsia"/>
              </w:rPr>
              <w:t xml:space="preserve">４ </w:t>
            </w:r>
            <w:r w:rsidRPr="00E0548A">
              <w:rPr>
                <w:rFonts w:hint="eastAsia"/>
                <w:szCs w:val="21"/>
              </w:rPr>
              <w:t>災害等の復旧・復興事業計画の策定に関すること。</w:t>
            </w:r>
          </w:p>
          <w:p w14:paraId="040C01D2" w14:textId="77777777" w:rsidR="00610BB0" w:rsidRPr="00E0548A" w:rsidRDefault="00610BB0" w:rsidP="008C36F6">
            <w:pPr>
              <w:spacing w:line="340" w:lineRule="exact"/>
              <w:ind w:left="81" w:hanging="81"/>
              <w:rPr>
                <w:szCs w:val="21"/>
              </w:rPr>
            </w:pPr>
            <w:r w:rsidRPr="00E0548A">
              <w:rPr>
                <w:rFonts w:hint="eastAsia"/>
              </w:rPr>
              <w:t xml:space="preserve">５ </w:t>
            </w:r>
            <w:r w:rsidRPr="00E0548A">
              <w:rPr>
                <w:rFonts w:hint="eastAsia"/>
                <w:szCs w:val="21"/>
              </w:rPr>
              <w:t>災害対策本部へのリエゾンの派遣に関すること。</w:t>
            </w:r>
          </w:p>
          <w:p w14:paraId="5BAE83E5" w14:textId="77777777" w:rsidR="00610BB0" w:rsidRPr="00E0548A" w:rsidRDefault="00610BB0" w:rsidP="008C36F6">
            <w:pPr>
              <w:spacing w:line="340" w:lineRule="exact"/>
              <w:ind w:left="81" w:hanging="81"/>
              <w:rPr>
                <w:szCs w:val="21"/>
              </w:rPr>
            </w:pPr>
            <w:r w:rsidRPr="00E0548A">
              <w:rPr>
                <w:rFonts w:hint="eastAsia"/>
                <w:szCs w:val="21"/>
              </w:rPr>
              <w:t>６ 保健医療調整本部の総括に関すること。</w:t>
            </w:r>
          </w:p>
          <w:p w14:paraId="5106C148" w14:textId="77777777" w:rsidR="00610BB0" w:rsidRPr="00E0548A" w:rsidRDefault="00610BB0" w:rsidP="008C36F6">
            <w:pPr>
              <w:spacing w:line="340" w:lineRule="exact"/>
              <w:ind w:left="81" w:hanging="81"/>
              <w:rPr>
                <w:szCs w:val="21"/>
              </w:rPr>
            </w:pPr>
            <w:r w:rsidRPr="00E0548A">
              <w:rPr>
                <w:rFonts w:hint="eastAsia"/>
                <w:szCs w:val="21"/>
              </w:rPr>
              <w:t>７ 保健所との連絡調整に関すること。</w:t>
            </w:r>
          </w:p>
          <w:p w14:paraId="0B31BFE0" w14:textId="77777777" w:rsidR="00610BB0" w:rsidRPr="00E0548A" w:rsidRDefault="00610BB0" w:rsidP="008C36F6">
            <w:pPr>
              <w:spacing w:line="340" w:lineRule="exact"/>
              <w:ind w:left="81" w:hanging="81"/>
              <w:rPr>
                <w:szCs w:val="21"/>
              </w:rPr>
            </w:pPr>
            <w:r w:rsidRPr="00E0548A">
              <w:rPr>
                <w:rFonts w:hint="eastAsia"/>
                <w:szCs w:val="21"/>
              </w:rPr>
              <w:t>８ ＤＨＥＡＴ（災害時健康危機管理支援チーム）に関すること。</w:t>
            </w:r>
          </w:p>
          <w:p w14:paraId="7A143CE7" w14:textId="14DB2A00" w:rsidR="00610BB0" w:rsidRPr="00E0548A" w:rsidRDefault="00610BB0" w:rsidP="008C36F6">
            <w:pPr>
              <w:spacing w:line="340" w:lineRule="exact"/>
            </w:pPr>
            <w:r w:rsidRPr="00E0548A">
              <w:rPr>
                <w:rFonts w:hint="eastAsia"/>
                <w:szCs w:val="21"/>
              </w:rPr>
              <w:t>９ 保健医療活動チーム（</w:t>
            </w:r>
            <w:r w:rsidR="000C2D8F" w:rsidRPr="00E0548A">
              <w:rPr>
                <w:rFonts w:hint="eastAsia"/>
                <w:szCs w:val="21"/>
              </w:rPr>
              <w:t>保健師等</w:t>
            </w:r>
            <w:r w:rsidRPr="00E0548A">
              <w:rPr>
                <w:rFonts w:hint="eastAsia"/>
                <w:szCs w:val="21"/>
              </w:rPr>
              <w:t>チーム）に関すること。</w:t>
            </w:r>
          </w:p>
        </w:tc>
      </w:tr>
      <w:tr w:rsidR="00610BB0" w:rsidRPr="001D6D10" w14:paraId="4124E030" w14:textId="77777777" w:rsidTr="005F51E1">
        <w:tc>
          <w:tcPr>
            <w:tcW w:w="426" w:type="dxa"/>
            <w:vMerge/>
            <w:textDirection w:val="tbRlV"/>
          </w:tcPr>
          <w:p w14:paraId="18B69365" w14:textId="5BAA5CE7" w:rsidR="00610BB0" w:rsidRPr="001D6D10" w:rsidRDefault="00610BB0" w:rsidP="008C36F6">
            <w:pPr>
              <w:pStyle w:val="ad"/>
              <w:wordWrap/>
              <w:overflowPunct w:val="0"/>
              <w:spacing w:line="240" w:lineRule="auto"/>
              <w:ind w:left="113" w:rightChars="-376" w:right="-794"/>
              <w:rPr>
                <w:sz w:val="21"/>
              </w:rPr>
            </w:pPr>
          </w:p>
        </w:tc>
        <w:tc>
          <w:tcPr>
            <w:tcW w:w="1134" w:type="dxa"/>
            <w:vMerge/>
          </w:tcPr>
          <w:p w14:paraId="2F414077" w14:textId="5E65F541" w:rsidR="00610BB0" w:rsidRPr="001D6D10" w:rsidRDefault="00610BB0" w:rsidP="008C36F6">
            <w:pPr>
              <w:pStyle w:val="ad"/>
              <w:overflowPunct w:val="0"/>
              <w:spacing w:line="240" w:lineRule="auto"/>
            </w:pPr>
          </w:p>
        </w:tc>
        <w:tc>
          <w:tcPr>
            <w:tcW w:w="1276" w:type="dxa"/>
          </w:tcPr>
          <w:p w14:paraId="086585D4" w14:textId="41A1858A" w:rsidR="00610BB0" w:rsidRPr="00E0548A" w:rsidRDefault="00610BB0" w:rsidP="008C36F6">
            <w:pPr>
              <w:spacing w:line="340" w:lineRule="exact"/>
            </w:pPr>
            <w:r w:rsidRPr="00E0548A">
              <w:rPr>
                <w:rFonts w:hAnsi="ＭＳ 明朝" w:hint="eastAsia"/>
              </w:rPr>
              <w:t>保健医療班</w:t>
            </w:r>
          </w:p>
        </w:tc>
        <w:tc>
          <w:tcPr>
            <w:tcW w:w="1730" w:type="dxa"/>
          </w:tcPr>
          <w:p w14:paraId="727AF97B" w14:textId="77777777" w:rsidR="00610BB0" w:rsidRPr="00E0548A" w:rsidRDefault="00610BB0" w:rsidP="008C36F6">
            <w:pPr>
              <w:spacing w:line="300" w:lineRule="exact"/>
              <w:rPr>
                <w:rFonts w:hAnsi="ＭＳ 明朝"/>
              </w:rPr>
            </w:pPr>
            <w:r w:rsidRPr="00E0548A">
              <w:rPr>
                <w:rFonts w:hAnsi="ＭＳ 明朝" w:hint="eastAsia"/>
              </w:rPr>
              <w:t>保健医療室</w:t>
            </w:r>
          </w:p>
          <w:p w14:paraId="5ABB6FE9" w14:textId="72C1CEE7" w:rsidR="00610BB0" w:rsidRPr="00E0548A" w:rsidRDefault="00610BB0" w:rsidP="008C36F6">
            <w:pPr>
              <w:spacing w:line="340" w:lineRule="exact"/>
              <w:rPr>
                <w:kern w:val="0"/>
              </w:rPr>
            </w:pPr>
            <w:r w:rsidRPr="00E0548A">
              <w:rPr>
                <w:rFonts w:hAnsi="ＭＳ 明朝" w:hint="eastAsia"/>
                <w:w w:val="87"/>
                <w:kern w:val="0"/>
                <w:fitText w:val="1477" w:id="-1532173056"/>
              </w:rPr>
              <w:t>保健医療企画課</w:t>
            </w:r>
            <w:r w:rsidRPr="00E0548A">
              <w:rPr>
                <w:rFonts w:hAnsi="ＭＳ 明朝" w:hint="eastAsia"/>
                <w:spacing w:val="10"/>
                <w:w w:val="87"/>
                <w:kern w:val="0"/>
                <w:fitText w:val="1477" w:id="-1532173056"/>
              </w:rPr>
              <w:t>長</w:t>
            </w:r>
          </w:p>
        </w:tc>
        <w:tc>
          <w:tcPr>
            <w:tcW w:w="6066" w:type="dxa"/>
          </w:tcPr>
          <w:p w14:paraId="6DAB1FA9" w14:textId="77777777" w:rsidR="00610BB0" w:rsidRPr="00E0548A" w:rsidRDefault="00610BB0" w:rsidP="008C36F6">
            <w:pPr>
              <w:spacing w:line="340" w:lineRule="exact"/>
              <w:rPr>
                <w:rFonts w:hAnsi="ＭＳ 明朝"/>
              </w:rPr>
            </w:pPr>
            <w:r w:rsidRPr="00E0548A">
              <w:rPr>
                <w:rFonts w:hAnsi="ＭＳ 明朝" w:hint="eastAsia"/>
              </w:rPr>
              <w:t>１ 関係機関への情報伝達に関すること。</w:t>
            </w:r>
          </w:p>
          <w:p w14:paraId="58EA9805" w14:textId="77777777" w:rsidR="00610BB0" w:rsidRPr="00E0548A" w:rsidRDefault="00610BB0" w:rsidP="008C36F6">
            <w:pPr>
              <w:spacing w:line="340" w:lineRule="exact"/>
              <w:rPr>
                <w:rFonts w:hAnsi="ＭＳ 明朝"/>
              </w:rPr>
            </w:pPr>
            <w:r w:rsidRPr="00E0548A">
              <w:rPr>
                <w:rFonts w:hAnsi="ＭＳ 明朝" w:hint="eastAsia"/>
              </w:rPr>
              <w:t>２ 府立病院機構との連絡調整に関すること。</w:t>
            </w:r>
          </w:p>
          <w:p w14:paraId="47A93361" w14:textId="3AD6DAF2" w:rsidR="00610BB0" w:rsidRPr="00E0548A" w:rsidRDefault="00610BB0" w:rsidP="008C36F6">
            <w:pPr>
              <w:spacing w:line="340" w:lineRule="exact"/>
            </w:pPr>
            <w:r w:rsidRPr="00E0548A">
              <w:rPr>
                <w:rFonts w:hAnsi="ＭＳ 明朝" w:hint="eastAsia"/>
              </w:rPr>
              <w:t>３ 監察医事務所に関すること。</w:t>
            </w:r>
          </w:p>
        </w:tc>
      </w:tr>
      <w:tr w:rsidR="00610BB0" w:rsidRPr="001D6D10" w14:paraId="3DA012F8" w14:textId="77777777" w:rsidTr="005F51E1">
        <w:tc>
          <w:tcPr>
            <w:tcW w:w="426" w:type="dxa"/>
            <w:vMerge/>
          </w:tcPr>
          <w:p w14:paraId="3EB96402" w14:textId="77777777" w:rsidR="00610BB0" w:rsidRPr="001D6D10" w:rsidRDefault="00610BB0" w:rsidP="008C36F6">
            <w:pPr>
              <w:pStyle w:val="ad"/>
              <w:wordWrap/>
              <w:overflowPunct w:val="0"/>
              <w:spacing w:line="240" w:lineRule="auto"/>
              <w:ind w:rightChars="-376" w:right="-794"/>
            </w:pPr>
          </w:p>
        </w:tc>
        <w:tc>
          <w:tcPr>
            <w:tcW w:w="1134" w:type="dxa"/>
            <w:vMerge/>
          </w:tcPr>
          <w:p w14:paraId="693E8102" w14:textId="77777777" w:rsidR="00610BB0" w:rsidRPr="001D6D10" w:rsidRDefault="00610BB0" w:rsidP="008C36F6">
            <w:pPr>
              <w:pStyle w:val="ad"/>
              <w:overflowPunct w:val="0"/>
              <w:spacing w:line="240" w:lineRule="auto"/>
            </w:pPr>
          </w:p>
        </w:tc>
        <w:tc>
          <w:tcPr>
            <w:tcW w:w="1276" w:type="dxa"/>
          </w:tcPr>
          <w:p w14:paraId="1DE8133A" w14:textId="3FBB7C39" w:rsidR="00610BB0" w:rsidRPr="00E0548A" w:rsidRDefault="00610BB0" w:rsidP="008C36F6">
            <w:pPr>
              <w:spacing w:line="340" w:lineRule="exact"/>
            </w:pPr>
            <w:r w:rsidRPr="00E0548A">
              <w:rPr>
                <w:rFonts w:hAnsi="ＭＳ 明朝" w:hint="eastAsia"/>
              </w:rPr>
              <w:t>医療対策班</w:t>
            </w:r>
          </w:p>
        </w:tc>
        <w:tc>
          <w:tcPr>
            <w:tcW w:w="1730" w:type="dxa"/>
          </w:tcPr>
          <w:p w14:paraId="16F8629D" w14:textId="77777777" w:rsidR="00610BB0" w:rsidRPr="00E0548A" w:rsidRDefault="00610BB0" w:rsidP="008C36F6">
            <w:pPr>
              <w:spacing w:line="300" w:lineRule="exact"/>
              <w:rPr>
                <w:rFonts w:hAnsi="ＭＳ 明朝"/>
              </w:rPr>
            </w:pPr>
            <w:r w:rsidRPr="00E0548A">
              <w:rPr>
                <w:rFonts w:hAnsi="ＭＳ 明朝" w:hint="eastAsia"/>
              </w:rPr>
              <w:t>保健医療室</w:t>
            </w:r>
          </w:p>
          <w:p w14:paraId="214CD9DF" w14:textId="36E6F6AD" w:rsidR="00610BB0" w:rsidRPr="00E0548A" w:rsidRDefault="00610BB0" w:rsidP="008C36F6">
            <w:pPr>
              <w:spacing w:line="340" w:lineRule="exact"/>
            </w:pPr>
            <w:r w:rsidRPr="00E0548A">
              <w:rPr>
                <w:rFonts w:hAnsi="ＭＳ 明朝" w:hint="eastAsia"/>
                <w:szCs w:val="22"/>
              </w:rPr>
              <w:t>医療・感染症対策課長</w:t>
            </w:r>
          </w:p>
        </w:tc>
        <w:tc>
          <w:tcPr>
            <w:tcW w:w="6066" w:type="dxa"/>
          </w:tcPr>
          <w:p w14:paraId="0FD9FAA8" w14:textId="77777777" w:rsidR="00610BB0" w:rsidRPr="00E0548A" w:rsidRDefault="00610BB0" w:rsidP="008C36F6">
            <w:pPr>
              <w:spacing w:line="340" w:lineRule="exact"/>
              <w:rPr>
                <w:rFonts w:hAnsi="ＭＳ 明朝"/>
              </w:rPr>
            </w:pPr>
            <w:r w:rsidRPr="00E0548A">
              <w:rPr>
                <w:rFonts w:hAnsi="ＭＳ 明朝" w:hint="eastAsia"/>
              </w:rPr>
              <w:t>１ 防災・危機管理指令部に関すること。</w:t>
            </w:r>
          </w:p>
          <w:p w14:paraId="3871AE03" w14:textId="77777777" w:rsidR="00610BB0" w:rsidRPr="00E0548A" w:rsidRDefault="00610BB0" w:rsidP="008C36F6">
            <w:pPr>
              <w:spacing w:line="340" w:lineRule="exact"/>
              <w:rPr>
                <w:rFonts w:hAnsi="ＭＳ 明朝"/>
              </w:rPr>
            </w:pPr>
            <w:r w:rsidRPr="00E0548A">
              <w:rPr>
                <w:rFonts w:hAnsi="ＭＳ 明朝" w:hint="eastAsia"/>
              </w:rPr>
              <w:t>２ 広域災害救急医療情報システム（ＥＭＩＳ）に関すること。</w:t>
            </w:r>
          </w:p>
          <w:p w14:paraId="7C2D7EA8" w14:textId="77777777" w:rsidR="00610BB0" w:rsidRPr="00E0548A" w:rsidRDefault="00610BB0" w:rsidP="008C36F6">
            <w:pPr>
              <w:spacing w:line="340" w:lineRule="exact"/>
              <w:ind w:left="186" w:hangingChars="88" w:hanging="186"/>
              <w:rPr>
                <w:rFonts w:hAnsi="ＭＳ 明朝"/>
              </w:rPr>
            </w:pPr>
            <w:r w:rsidRPr="00E0548A">
              <w:rPr>
                <w:rFonts w:hAnsi="ＭＳ 明朝" w:hint="eastAsia"/>
              </w:rPr>
              <w:t>３ ＤＭＡＴ調整本部、ＤＭＡＴ活動拠点本部及びＳＣＵ本部に関すること。</w:t>
            </w:r>
          </w:p>
          <w:p w14:paraId="7860DD80" w14:textId="77777777" w:rsidR="00610BB0" w:rsidRPr="00E0548A" w:rsidRDefault="00610BB0" w:rsidP="008C36F6">
            <w:pPr>
              <w:spacing w:line="340" w:lineRule="exact"/>
              <w:ind w:left="186" w:hangingChars="88" w:hanging="186"/>
              <w:rPr>
                <w:rFonts w:hAnsi="ＭＳ 明朝"/>
              </w:rPr>
            </w:pPr>
            <w:r w:rsidRPr="00E0548A">
              <w:rPr>
                <w:rFonts w:hAnsi="ＭＳ 明朝" w:hint="eastAsia"/>
              </w:rPr>
              <w:t>４ 保健医療活動チーム（他班に属するものを除く）に関すること。</w:t>
            </w:r>
          </w:p>
          <w:p w14:paraId="371E7C0D" w14:textId="77777777" w:rsidR="00610BB0" w:rsidRPr="00E0548A" w:rsidRDefault="00610BB0" w:rsidP="008C36F6">
            <w:pPr>
              <w:spacing w:line="340" w:lineRule="exact"/>
              <w:ind w:left="81" w:hanging="81"/>
              <w:rPr>
                <w:rFonts w:hAnsi="ＭＳ 明朝"/>
              </w:rPr>
            </w:pPr>
            <w:r w:rsidRPr="00E0548A">
              <w:rPr>
                <w:rFonts w:hAnsi="ＭＳ 明朝" w:hint="eastAsia"/>
              </w:rPr>
              <w:t>５ 救急医療情報センターに関すること。</w:t>
            </w:r>
          </w:p>
          <w:p w14:paraId="2789BEA3" w14:textId="77777777" w:rsidR="00610BB0" w:rsidRPr="00E0548A" w:rsidRDefault="00610BB0" w:rsidP="008C36F6">
            <w:pPr>
              <w:spacing w:line="340" w:lineRule="exact"/>
              <w:ind w:left="81" w:hanging="81"/>
              <w:rPr>
                <w:rFonts w:hAnsi="ＭＳ 明朝"/>
              </w:rPr>
            </w:pPr>
            <w:r w:rsidRPr="00E0548A">
              <w:rPr>
                <w:rFonts w:hAnsi="ＭＳ 明朝" w:hint="eastAsia"/>
              </w:rPr>
              <w:lastRenderedPageBreak/>
              <w:t>６ 血液製剤の調達斡旋に関すること。</w:t>
            </w:r>
          </w:p>
          <w:p w14:paraId="6A634ABB" w14:textId="77777777" w:rsidR="00610BB0" w:rsidRPr="00E0548A" w:rsidRDefault="00610BB0" w:rsidP="008C36F6">
            <w:pPr>
              <w:spacing w:line="340" w:lineRule="exact"/>
              <w:ind w:left="81" w:hanging="81"/>
              <w:rPr>
                <w:rFonts w:hAnsi="ＭＳ 明朝"/>
              </w:rPr>
            </w:pPr>
            <w:r w:rsidRPr="00E0548A">
              <w:rPr>
                <w:rFonts w:hAnsi="ＭＳ 明朝" w:hint="eastAsia"/>
              </w:rPr>
              <w:t>７ 関係機関への情報伝達に関すること。</w:t>
            </w:r>
          </w:p>
          <w:p w14:paraId="033FB219" w14:textId="7E36C7C3" w:rsidR="00610BB0" w:rsidRPr="00E0548A" w:rsidRDefault="00610BB0" w:rsidP="008C36F6">
            <w:pPr>
              <w:spacing w:line="340" w:lineRule="exact"/>
            </w:pPr>
            <w:r w:rsidRPr="00E0548A">
              <w:rPr>
                <w:rFonts w:hAnsi="ＭＳ 明朝" w:hint="eastAsia"/>
              </w:rPr>
              <w:t>８ 赤十字標章等の交付・管理に関すること。</w:t>
            </w:r>
          </w:p>
        </w:tc>
      </w:tr>
      <w:tr w:rsidR="00610BB0" w:rsidRPr="001D6D10" w14:paraId="0801CF5C" w14:textId="77777777" w:rsidTr="005F51E1">
        <w:trPr>
          <w:cantSplit/>
          <w:trHeight w:val="1134"/>
        </w:trPr>
        <w:tc>
          <w:tcPr>
            <w:tcW w:w="426" w:type="dxa"/>
            <w:vMerge/>
            <w:textDirection w:val="tbRlV"/>
          </w:tcPr>
          <w:p w14:paraId="41047C2D" w14:textId="77777777" w:rsidR="00610BB0" w:rsidRPr="001D6D10" w:rsidRDefault="00610BB0" w:rsidP="008C36F6">
            <w:pPr>
              <w:pStyle w:val="ad"/>
              <w:wordWrap/>
              <w:overflowPunct w:val="0"/>
              <w:spacing w:line="240" w:lineRule="auto"/>
              <w:ind w:left="113" w:rightChars="-376" w:right="-794"/>
              <w:rPr>
                <w:sz w:val="21"/>
              </w:rPr>
            </w:pPr>
          </w:p>
        </w:tc>
        <w:tc>
          <w:tcPr>
            <w:tcW w:w="1134" w:type="dxa"/>
            <w:vMerge/>
          </w:tcPr>
          <w:p w14:paraId="641CB126" w14:textId="77777777" w:rsidR="00610BB0" w:rsidRPr="001D6D10" w:rsidRDefault="00610BB0" w:rsidP="008C36F6">
            <w:pPr>
              <w:pStyle w:val="ad"/>
              <w:wordWrap/>
              <w:overflowPunct w:val="0"/>
              <w:spacing w:line="240" w:lineRule="auto"/>
              <w:rPr>
                <w:sz w:val="21"/>
              </w:rPr>
            </w:pPr>
          </w:p>
        </w:tc>
        <w:tc>
          <w:tcPr>
            <w:tcW w:w="1276" w:type="dxa"/>
          </w:tcPr>
          <w:p w14:paraId="3BC4E0BD" w14:textId="429CF6BD" w:rsidR="00610BB0" w:rsidRPr="00E0548A" w:rsidRDefault="00610BB0" w:rsidP="008C36F6">
            <w:pPr>
              <w:spacing w:line="340" w:lineRule="exact"/>
            </w:pPr>
            <w:r w:rsidRPr="00E0548A">
              <w:rPr>
                <w:rFonts w:hAnsi="ＭＳ 明朝" w:hint="eastAsia"/>
              </w:rPr>
              <w:t>感染症対策班</w:t>
            </w:r>
          </w:p>
        </w:tc>
        <w:tc>
          <w:tcPr>
            <w:tcW w:w="1730" w:type="dxa"/>
          </w:tcPr>
          <w:p w14:paraId="4D8F4CA6" w14:textId="77777777" w:rsidR="00610BB0" w:rsidRPr="00E0548A" w:rsidRDefault="00610BB0" w:rsidP="008C36F6">
            <w:pPr>
              <w:spacing w:line="300" w:lineRule="exact"/>
              <w:rPr>
                <w:rFonts w:hAnsi="ＭＳ 明朝"/>
              </w:rPr>
            </w:pPr>
            <w:r w:rsidRPr="00E0548A">
              <w:rPr>
                <w:rFonts w:hAnsi="ＭＳ 明朝" w:hint="eastAsia"/>
              </w:rPr>
              <w:t>保健医療室</w:t>
            </w:r>
          </w:p>
          <w:p w14:paraId="7924239D" w14:textId="7B697D91" w:rsidR="00610BB0" w:rsidRPr="00E0548A" w:rsidRDefault="00610BB0" w:rsidP="008C36F6">
            <w:pPr>
              <w:spacing w:line="340" w:lineRule="exact"/>
            </w:pPr>
            <w:r w:rsidRPr="00E0548A">
              <w:rPr>
                <w:rFonts w:hAnsi="ＭＳ 明朝" w:hint="eastAsia"/>
              </w:rPr>
              <w:t>医療・感染症対策課長</w:t>
            </w:r>
          </w:p>
        </w:tc>
        <w:tc>
          <w:tcPr>
            <w:tcW w:w="6066" w:type="dxa"/>
          </w:tcPr>
          <w:p w14:paraId="27A5357D" w14:textId="38ECBC4F" w:rsidR="00610BB0" w:rsidRPr="00E0548A" w:rsidRDefault="00610BB0" w:rsidP="008C36F6">
            <w:pPr>
              <w:spacing w:line="340" w:lineRule="exact"/>
              <w:ind w:left="81" w:hanging="81"/>
            </w:pPr>
            <w:r w:rsidRPr="00E0548A">
              <w:rPr>
                <w:rFonts w:hAnsi="ＭＳ 明朝" w:hint="eastAsia"/>
              </w:rPr>
              <w:t>１ 感染症の発生防止に関すること。</w:t>
            </w:r>
          </w:p>
        </w:tc>
      </w:tr>
      <w:tr w:rsidR="00610BB0" w:rsidRPr="001D6D10" w14:paraId="64DB80A2" w14:textId="77777777" w:rsidTr="005F51E1">
        <w:trPr>
          <w:cantSplit/>
          <w:trHeight w:val="1134"/>
        </w:trPr>
        <w:tc>
          <w:tcPr>
            <w:tcW w:w="426" w:type="dxa"/>
            <w:vMerge/>
            <w:textDirection w:val="tbRlV"/>
          </w:tcPr>
          <w:p w14:paraId="487CB2D2" w14:textId="77777777" w:rsidR="00610BB0" w:rsidRPr="001D6D10" w:rsidRDefault="00610BB0" w:rsidP="008C36F6">
            <w:pPr>
              <w:pStyle w:val="ad"/>
              <w:wordWrap/>
              <w:overflowPunct w:val="0"/>
              <w:spacing w:line="240" w:lineRule="auto"/>
              <w:ind w:left="113" w:rightChars="-376" w:right="-794"/>
              <w:rPr>
                <w:sz w:val="21"/>
              </w:rPr>
            </w:pPr>
          </w:p>
        </w:tc>
        <w:tc>
          <w:tcPr>
            <w:tcW w:w="1134" w:type="dxa"/>
            <w:vMerge/>
          </w:tcPr>
          <w:p w14:paraId="72E4F72E" w14:textId="77777777" w:rsidR="00610BB0" w:rsidRPr="001D6D10" w:rsidRDefault="00610BB0" w:rsidP="008C36F6">
            <w:pPr>
              <w:pStyle w:val="ad"/>
              <w:wordWrap/>
              <w:overflowPunct w:val="0"/>
              <w:spacing w:line="240" w:lineRule="auto"/>
              <w:rPr>
                <w:sz w:val="21"/>
              </w:rPr>
            </w:pPr>
          </w:p>
        </w:tc>
        <w:tc>
          <w:tcPr>
            <w:tcW w:w="1276" w:type="dxa"/>
          </w:tcPr>
          <w:p w14:paraId="54EB9832" w14:textId="5ABF81F9" w:rsidR="00610BB0" w:rsidRPr="00E0548A" w:rsidRDefault="00610BB0" w:rsidP="008C36F6">
            <w:pPr>
              <w:spacing w:line="300" w:lineRule="exact"/>
              <w:rPr>
                <w:rFonts w:hAnsi="ＭＳ 明朝"/>
              </w:rPr>
            </w:pPr>
            <w:r w:rsidRPr="00E0548A">
              <w:rPr>
                <w:rFonts w:hAnsi="ＭＳ 明朝" w:hint="eastAsia"/>
              </w:rPr>
              <w:t>地域保健班</w:t>
            </w:r>
          </w:p>
        </w:tc>
        <w:tc>
          <w:tcPr>
            <w:tcW w:w="1730" w:type="dxa"/>
          </w:tcPr>
          <w:p w14:paraId="54E98972" w14:textId="77777777" w:rsidR="00610BB0" w:rsidRPr="00E0548A" w:rsidRDefault="00610BB0" w:rsidP="008C36F6">
            <w:pPr>
              <w:spacing w:line="300" w:lineRule="exact"/>
              <w:rPr>
                <w:rFonts w:hAnsi="ＭＳ 明朝"/>
              </w:rPr>
            </w:pPr>
            <w:r w:rsidRPr="00E0548A">
              <w:rPr>
                <w:rFonts w:hAnsi="ＭＳ 明朝" w:hint="eastAsia"/>
              </w:rPr>
              <w:t>保健医療室</w:t>
            </w:r>
          </w:p>
          <w:p w14:paraId="79981B8B" w14:textId="1E4AC557" w:rsidR="00610BB0" w:rsidRPr="00E0548A" w:rsidRDefault="00610BB0" w:rsidP="008C36F6">
            <w:pPr>
              <w:spacing w:line="300" w:lineRule="exact"/>
              <w:rPr>
                <w:rFonts w:hAnsi="ＭＳ 明朝"/>
              </w:rPr>
            </w:pPr>
            <w:r w:rsidRPr="00E0548A">
              <w:rPr>
                <w:rFonts w:hAnsi="ＭＳ 明朝" w:hint="eastAsia"/>
              </w:rPr>
              <w:t>地域保健課長</w:t>
            </w:r>
          </w:p>
        </w:tc>
        <w:tc>
          <w:tcPr>
            <w:tcW w:w="6066" w:type="dxa"/>
          </w:tcPr>
          <w:p w14:paraId="3DC55FFB" w14:textId="77777777" w:rsidR="00610BB0" w:rsidRPr="00E0548A" w:rsidRDefault="00610BB0" w:rsidP="008C36F6">
            <w:pPr>
              <w:spacing w:line="340" w:lineRule="exact"/>
              <w:ind w:left="186" w:hangingChars="88" w:hanging="186"/>
              <w:rPr>
                <w:rFonts w:hAnsi="ＭＳ 明朝"/>
              </w:rPr>
            </w:pPr>
            <w:r w:rsidRPr="00E0548A">
              <w:rPr>
                <w:rFonts w:hAnsi="ＭＳ 明朝" w:hint="eastAsia"/>
              </w:rPr>
              <w:t>１ 保健医療活動チーム(災害派遣精神医療チーム)に関すること。</w:t>
            </w:r>
          </w:p>
          <w:p w14:paraId="57FFF719" w14:textId="77777777" w:rsidR="00610BB0" w:rsidRPr="00E0548A" w:rsidRDefault="00610BB0" w:rsidP="008C36F6">
            <w:pPr>
              <w:spacing w:line="340" w:lineRule="exact"/>
              <w:ind w:left="186" w:hangingChars="88" w:hanging="186"/>
              <w:rPr>
                <w:rFonts w:hAnsi="ＭＳ 明朝"/>
              </w:rPr>
            </w:pPr>
            <w:r w:rsidRPr="00E0548A">
              <w:rPr>
                <w:rFonts w:hAnsi="ＭＳ 明朝" w:hint="eastAsia"/>
              </w:rPr>
              <w:t>２ 専門医療（人工透析、小児周産期、難病）に関すること。</w:t>
            </w:r>
          </w:p>
          <w:p w14:paraId="5B65A0ED" w14:textId="11B76EE6" w:rsidR="00610BB0" w:rsidRPr="00E0548A" w:rsidRDefault="00610BB0" w:rsidP="008C36F6">
            <w:pPr>
              <w:spacing w:line="340" w:lineRule="exact"/>
              <w:rPr>
                <w:rFonts w:hAnsi="ＭＳ 明朝"/>
              </w:rPr>
            </w:pPr>
            <w:r w:rsidRPr="00E0548A">
              <w:rPr>
                <w:rFonts w:hAnsi="ＭＳ 明朝" w:hint="eastAsia"/>
              </w:rPr>
              <w:t>３ 関係機関への情報伝達に関すること。</w:t>
            </w:r>
          </w:p>
        </w:tc>
      </w:tr>
      <w:tr w:rsidR="00610BB0" w:rsidRPr="001D6D10" w14:paraId="1EE2B463" w14:textId="77777777" w:rsidTr="005F51E1">
        <w:trPr>
          <w:cantSplit/>
          <w:trHeight w:val="1530"/>
        </w:trPr>
        <w:tc>
          <w:tcPr>
            <w:tcW w:w="426" w:type="dxa"/>
            <w:vMerge/>
            <w:textDirection w:val="tbRlV"/>
          </w:tcPr>
          <w:p w14:paraId="53E2AD34" w14:textId="77777777" w:rsidR="00610BB0" w:rsidRPr="001D6D10" w:rsidRDefault="00610BB0" w:rsidP="008C36F6">
            <w:pPr>
              <w:pStyle w:val="ad"/>
              <w:wordWrap/>
              <w:overflowPunct w:val="0"/>
              <w:spacing w:line="240" w:lineRule="auto"/>
              <w:ind w:left="113" w:rightChars="-376" w:right="-794"/>
            </w:pPr>
          </w:p>
        </w:tc>
        <w:tc>
          <w:tcPr>
            <w:tcW w:w="1134" w:type="dxa"/>
            <w:vMerge/>
          </w:tcPr>
          <w:p w14:paraId="3A1B8260" w14:textId="77777777" w:rsidR="00610BB0" w:rsidRPr="001D6D10" w:rsidRDefault="00610BB0" w:rsidP="008C36F6">
            <w:pPr>
              <w:pStyle w:val="ad"/>
              <w:wordWrap/>
              <w:overflowPunct w:val="0"/>
              <w:spacing w:line="240" w:lineRule="auto"/>
              <w:ind w:rightChars="-376" w:right="-794"/>
            </w:pPr>
          </w:p>
        </w:tc>
        <w:tc>
          <w:tcPr>
            <w:tcW w:w="1276" w:type="dxa"/>
          </w:tcPr>
          <w:p w14:paraId="4C657896" w14:textId="63D395CF" w:rsidR="00610BB0" w:rsidRPr="001D6D10" w:rsidRDefault="00610BB0" w:rsidP="008C36F6">
            <w:pPr>
              <w:spacing w:line="300" w:lineRule="exact"/>
              <w:rPr>
                <w:rFonts w:hAnsi="ＭＳ 明朝"/>
              </w:rPr>
            </w:pPr>
            <w:r w:rsidRPr="001D6D10">
              <w:rPr>
                <w:rFonts w:hAnsi="ＭＳ 明朝" w:hint="eastAsia"/>
              </w:rPr>
              <w:t>健康づくり班</w:t>
            </w:r>
          </w:p>
        </w:tc>
        <w:tc>
          <w:tcPr>
            <w:tcW w:w="1730" w:type="dxa"/>
          </w:tcPr>
          <w:p w14:paraId="3F72A335" w14:textId="77777777" w:rsidR="00610BB0" w:rsidRPr="001D6D10" w:rsidRDefault="00610BB0" w:rsidP="008C36F6">
            <w:pPr>
              <w:spacing w:line="300" w:lineRule="exact"/>
              <w:rPr>
                <w:rFonts w:hAnsi="ＭＳ 明朝"/>
              </w:rPr>
            </w:pPr>
            <w:r w:rsidRPr="001D6D10">
              <w:rPr>
                <w:rFonts w:hAnsi="ＭＳ 明朝" w:hint="eastAsia"/>
              </w:rPr>
              <w:t>健康推進室</w:t>
            </w:r>
          </w:p>
          <w:p w14:paraId="248D34D3" w14:textId="2BEC0CCF" w:rsidR="00610BB0" w:rsidRPr="001D6D10" w:rsidRDefault="00610BB0" w:rsidP="008C36F6">
            <w:pPr>
              <w:spacing w:line="300" w:lineRule="exact"/>
              <w:rPr>
                <w:rFonts w:hAnsi="ＭＳ 明朝"/>
              </w:rPr>
            </w:pPr>
            <w:r w:rsidRPr="001D6D10">
              <w:rPr>
                <w:rFonts w:hAnsi="ＭＳ 明朝" w:hint="eastAsia"/>
                <w:kern w:val="0"/>
                <w:fitText w:val="1477" w:id="-1954281984"/>
              </w:rPr>
              <w:t>健康づくり課長</w:t>
            </w:r>
          </w:p>
        </w:tc>
        <w:tc>
          <w:tcPr>
            <w:tcW w:w="6066" w:type="dxa"/>
          </w:tcPr>
          <w:p w14:paraId="30EB1015" w14:textId="77777777" w:rsidR="00610BB0" w:rsidRPr="001D6D10" w:rsidRDefault="00610BB0" w:rsidP="008C36F6">
            <w:pPr>
              <w:spacing w:line="340" w:lineRule="exact"/>
              <w:ind w:left="186" w:hangingChars="88" w:hanging="186"/>
              <w:rPr>
                <w:rFonts w:hAnsi="ＭＳ 明朝"/>
              </w:rPr>
            </w:pPr>
            <w:r w:rsidRPr="001D6D10">
              <w:rPr>
                <w:rFonts w:hAnsi="ＭＳ 明朝" w:hint="eastAsia"/>
              </w:rPr>
              <w:t xml:space="preserve">１ 保健医療活動チーム（歯科医療班（ＪＤＡＴ）、管理栄養士チーム）に関すること。 </w:t>
            </w:r>
          </w:p>
          <w:p w14:paraId="30649CDE" w14:textId="44D4D311" w:rsidR="00610BB0" w:rsidRPr="001D6D10" w:rsidRDefault="00610BB0" w:rsidP="008C36F6">
            <w:pPr>
              <w:spacing w:line="340" w:lineRule="exact"/>
              <w:ind w:left="186" w:hangingChars="88" w:hanging="186"/>
              <w:rPr>
                <w:rFonts w:hAnsi="ＭＳ 明朝"/>
              </w:rPr>
            </w:pPr>
            <w:r w:rsidRPr="001D6D10">
              <w:rPr>
                <w:rFonts w:hAnsi="ＭＳ 明朝" w:hint="eastAsia"/>
              </w:rPr>
              <w:t>２ 関係機関への情報伝達に関すること。</w:t>
            </w:r>
          </w:p>
        </w:tc>
      </w:tr>
      <w:tr w:rsidR="00610BB0" w:rsidRPr="001D6D10" w14:paraId="425B23DC" w14:textId="77777777" w:rsidTr="005F51E1">
        <w:trPr>
          <w:cantSplit/>
          <w:trHeight w:val="538"/>
        </w:trPr>
        <w:tc>
          <w:tcPr>
            <w:tcW w:w="426" w:type="dxa"/>
            <w:vMerge/>
            <w:textDirection w:val="tbRlV"/>
          </w:tcPr>
          <w:p w14:paraId="7A2EF53B" w14:textId="77777777" w:rsidR="00610BB0" w:rsidRPr="001D6D10" w:rsidRDefault="00610BB0" w:rsidP="008C36F6">
            <w:pPr>
              <w:pStyle w:val="ad"/>
              <w:wordWrap/>
              <w:overflowPunct w:val="0"/>
              <w:spacing w:line="240" w:lineRule="auto"/>
              <w:ind w:left="113" w:rightChars="-376" w:right="-794"/>
            </w:pPr>
          </w:p>
        </w:tc>
        <w:tc>
          <w:tcPr>
            <w:tcW w:w="1134" w:type="dxa"/>
            <w:vMerge/>
          </w:tcPr>
          <w:p w14:paraId="7682CC45" w14:textId="77777777" w:rsidR="00610BB0" w:rsidRPr="001D6D10" w:rsidRDefault="00610BB0" w:rsidP="008C36F6">
            <w:pPr>
              <w:pStyle w:val="ad"/>
              <w:wordWrap/>
              <w:overflowPunct w:val="0"/>
              <w:spacing w:line="240" w:lineRule="auto"/>
              <w:ind w:rightChars="-376" w:right="-794"/>
            </w:pPr>
          </w:p>
        </w:tc>
        <w:tc>
          <w:tcPr>
            <w:tcW w:w="1276" w:type="dxa"/>
          </w:tcPr>
          <w:p w14:paraId="12E36C61" w14:textId="4DD2E4D8" w:rsidR="00610BB0" w:rsidRPr="001D6D10" w:rsidRDefault="00610BB0" w:rsidP="008C36F6">
            <w:pPr>
              <w:spacing w:line="300" w:lineRule="exact"/>
              <w:rPr>
                <w:rFonts w:hAnsi="ＭＳ 明朝"/>
              </w:rPr>
            </w:pPr>
            <w:r w:rsidRPr="001D6D10">
              <w:rPr>
                <w:rFonts w:hAnsi="ＭＳ 明朝" w:hint="eastAsia"/>
              </w:rPr>
              <w:t>国民健康保険班</w:t>
            </w:r>
          </w:p>
        </w:tc>
        <w:tc>
          <w:tcPr>
            <w:tcW w:w="1730" w:type="dxa"/>
          </w:tcPr>
          <w:p w14:paraId="1AB35962" w14:textId="77777777" w:rsidR="00610BB0" w:rsidRPr="001D6D10" w:rsidRDefault="00610BB0" w:rsidP="008C36F6">
            <w:pPr>
              <w:spacing w:line="300" w:lineRule="exact"/>
              <w:rPr>
                <w:rFonts w:hAnsi="ＭＳ 明朝"/>
              </w:rPr>
            </w:pPr>
            <w:r w:rsidRPr="001D6D10">
              <w:rPr>
                <w:rFonts w:hAnsi="ＭＳ 明朝" w:hint="eastAsia"/>
              </w:rPr>
              <w:t>健康推進室</w:t>
            </w:r>
          </w:p>
          <w:p w14:paraId="4EB3D0FB" w14:textId="6D78B29B" w:rsidR="00610BB0" w:rsidRPr="001D6D10" w:rsidRDefault="00610BB0" w:rsidP="008C36F6">
            <w:pPr>
              <w:spacing w:line="300" w:lineRule="exact"/>
              <w:rPr>
                <w:rFonts w:hAnsi="ＭＳ 明朝"/>
              </w:rPr>
            </w:pPr>
            <w:r w:rsidRPr="001D6D10">
              <w:rPr>
                <w:rFonts w:hAnsi="ＭＳ 明朝" w:hint="eastAsia"/>
                <w:spacing w:val="2"/>
                <w:w w:val="87"/>
                <w:kern w:val="0"/>
                <w:fitText w:val="1477" w:id="-1532154368"/>
              </w:rPr>
              <w:t>国民健康保険課</w:t>
            </w:r>
            <w:r w:rsidRPr="001D6D10">
              <w:rPr>
                <w:rFonts w:hAnsi="ＭＳ 明朝" w:hint="eastAsia"/>
                <w:spacing w:val="-3"/>
                <w:w w:val="87"/>
                <w:kern w:val="0"/>
                <w:fitText w:val="1477" w:id="-1532154368"/>
              </w:rPr>
              <w:t>長</w:t>
            </w:r>
          </w:p>
        </w:tc>
        <w:tc>
          <w:tcPr>
            <w:tcW w:w="6066" w:type="dxa"/>
          </w:tcPr>
          <w:p w14:paraId="34051749" w14:textId="325BA6A2" w:rsidR="00610BB0" w:rsidRPr="001D6D10" w:rsidRDefault="00610BB0" w:rsidP="008C36F6">
            <w:pPr>
              <w:spacing w:line="340" w:lineRule="exact"/>
              <w:ind w:left="186" w:hangingChars="88" w:hanging="186"/>
              <w:rPr>
                <w:rFonts w:hAnsi="ＭＳ 明朝"/>
              </w:rPr>
            </w:pPr>
            <w:r w:rsidRPr="001D6D10">
              <w:rPr>
                <w:rFonts w:hAnsi="ＭＳ 明朝" w:hint="eastAsia"/>
              </w:rPr>
              <w:t>市町村等が行う国民健康保険事業の連絡調整に関すること。</w:t>
            </w:r>
          </w:p>
        </w:tc>
      </w:tr>
      <w:tr w:rsidR="00610BB0" w:rsidRPr="001D6D10" w14:paraId="78BDDF3B" w14:textId="77777777" w:rsidTr="005F51E1">
        <w:trPr>
          <w:cantSplit/>
          <w:trHeight w:val="1134"/>
        </w:trPr>
        <w:tc>
          <w:tcPr>
            <w:tcW w:w="426" w:type="dxa"/>
            <w:vMerge/>
            <w:textDirection w:val="tbRlV"/>
          </w:tcPr>
          <w:p w14:paraId="3D7B8EAE" w14:textId="77777777" w:rsidR="00610BB0" w:rsidRPr="001D6D10" w:rsidRDefault="00610BB0" w:rsidP="008C36F6">
            <w:pPr>
              <w:pStyle w:val="ad"/>
              <w:wordWrap/>
              <w:overflowPunct w:val="0"/>
              <w:spacing w:line="240" w:lineRule="auto"/>
              <w:ind w:left="113" w:rightChars="-376" w:right="-794"/>
            </w:pPr>
          </w:p>
        </w:tc>
        <w:tc>
          <w:tcPr>
            <w:tcW w:w="1134" w:type="dxa"/>
            <w:vMerge/>
          </w:tcPr>
          <w:p w14:paraId="481D884B" w14:textId="77777777" w:rsidR="00610BB0" w:rsidRPr="001D6D10" w:rsidRDefault="00610BB0" w:rsidP="008C36F6">
            <w:pPr>
              <w:pStyle w:val="ad"/>
              <w:wordWrap/>
              <w:overflowPunct w:val="0"/>
              <w:spacing w:line="240" w:lineRule="auto"/>
              <w:ind w:rightChars="-376" w:right="-794"/>
            </w:pPr>
          </w:p>
        </w:tc>
        <w:tc>
          <w:tcPr>
            <w:tcW w:w="1276" w:type="dxa"/>
          </w:tcPr>
          <w:p w14:paraId="30029258" w14:textId="08DBA2FC" w:rsidR="00610BB0" w:rsidRPr="001D6D10" w:rsidRDefault="00610BB0" w:rsidP="008C36F6">
            <w:pPr>
              <w:spacing w:line="300" w:lineRule="exact"/>
              <w:rPr>
                <w:rFonts w:hAnsi="ＭＳ 明朝"/>
              </w:rPr>
            </w:pPr>
            <w:r w:rsidRPr="001D6D10">
              <w:rPr>
                <w:rFonts w:hAnsi="ＭＳ 明朝" w:hint="eastAsia"/>
              </w:rPr>
              <w:t>環境衛生班</w:t>
            </w:r>
          </w:p>
        </w:tc>
        <w:tc>
          <w:tcPr>
            <w:tcW w:w="1730" w:type="dxa"/>
          </w:tcPr>
          <w:p w14:paraId="724759CB" w14:textId="77777777" w:rsidR="00610BB0" w:rsidRPr="001D6D10" w:rsidRDefault="00610BB0" w:rsidP="008C36F6">
            <w:pPr>
              <w:spacing w:line="300" w:lineRule="exact"/>
              <w:rPr>
                <w:rFonts w:hAnsi="ＭＳ 明朝"/>
              </w:rPr>
            </w:pPr>
            <w:r w:rsidRPr="001D6D10">
              <w:rPr>
                <w:rFonts w:hAnsi="ＭＳ 明朝" w:hint="eastAsia"/>
              </w:rPr>
              <w:t xml:space="preserve">生活衛生室 </w:t>
            </w:r>
          </w:p>
          <w:p w14:paraId="53B7E10C" w14:textId="364CA2D4" w:rsidR="00610BB0" w:rsidRPr="001D6D10" w:rsidRDefault="00610BB0" w:rsidP="008C36F6">
            <w:pPr>
              <w:spacing w:line="300" w:lineRule="exact"/>
              <w:rPr>
                <w:rFonts w:hAnsi="ＭＳ 明朝"/>
                <w:kern w:val="0"/>
              </w:rPr>
            </w:pPr>
            <w:r w:rsidRPr="001D6D10">
              <w:rPr>
                <w:rFonts w:hAnsi="ＭＳ 明朝" w:hint="eastAsia"/>
              </w:rPr>
              <w:t>環境衛生課長</w:t>
            </w:r>
          </w:p>
        </w:tc>
        <w:tc>
          <w:tcPr>
            <w:tcW w:w="6066" w:type="dxa"/>
          </w:tcPr>
          <w:p w14:paraId="2C490A7E" w14:textId="77777777" w:rsidR="00610BB0" w:rsidRPr="001D6D10" w:rsidRDefault="00610BB0" w:rsidP="008C36F6">
            <w:pPr>
              <w:spacing w:line="340" w:lineRule="exact"/>
              <w:ind w:left="106" w:hangingChars="50" w:hanging="106"/>
              <w:rPr>
                <w:rFonts w:hAnsi="ＭＳ 明朝"/>
              </w:rPr>
            </w:pPr>
            <w:r w:rsidRPr="001D6D10">
              <w:rPr>
                <w:rFonts w:hAnsi="ＭＳ 明朝" w:hint="eastAsia"/>
              </w:rPr>
              <w:t>１ 大阪府水道災害調整本部に関すること。</w:t>
            </w:r>
          </w:p>
          <w:p w14:paraId="092450BA" w14:textId="77777777" w:rsidR="00610BB0" w:rsidRPr="001D6D10" w:rsidRDefault="00610BB0" w:rsidP="008C36F6">
            <w:pPr>
              <w:spacing w:line="340" w:lineRule="exact"/>
              <w:ind w:left="106" w:hangingChars="50" w:hanging="106"/>
              <w:rPr>
                <w:rFonts w:hAnsi="ＭＳ 明朝"/>
              </w:rPr>
            </w:pPr>
            <w:r w:rsidRPr="001D6D10">
              <w:rPr>
                <w:rFonts w:hAnsi="ＭＳ 明朝" w:hint="eastAsia"/>
              </w:rPr>
              <w:t>２ 大阪広域水道企業団及びその他水道関係機関との連絡調整に関すること。</w:t>
            </w:r>
          </w:p>
          <w:p w14:paraId="5139B7F3" w14:textId="77777777" w:rsidR="00610BB0" w:rsidRPr="001D6D10" w:rsidRDefault="00610BB0" w:rsidP="008C36F6">
            <w:pPr>
              <w:spacing w:line="340" w:lineRule="exact"/>
              <w:ind w:left="106" w:hangingChars="50" w:hanging="106"/>
              <w:rPr>
                <w:rFonts w:hAnsi="ＭＳ 明朝"/>
              </w:rPr>
            </w:pPr>
            <w:r w:rsidRPr="001D6D10">
              <w:rPr>
                <w:rFonts w:hAnsi="ＭＳ 明朝" w:hint="eastAsia"/>
              </w:rPr>
              <w:t>３ 水質検査等の措置の要請に関すること。</w:t>
            </w:r>
          </w:p>
          <w:p w14:paraId="2E52D0F3" w14:textId="77777777" w:rsidR="00610BB0" w:rsidRPr="001D6D10" w:rsidRDefault="00610BB0" w:rsidP="008C36F6">
            <w:pPr>
              <w:spacing w:line="340" w:lineRule="exact"/>
              <w:ind w:left="106" w:hangingChars="50" w:hanging="106"/>
              <w:rPr>
                <w:rFonts w:hAnsi="ＭＳ 明朝"/>
              </w:rPr>
            </w:pPr>
            <w:r w:rsidRPr="001D6D10">
              <w:rPr>
                <w:rFonts w:hAnsi="ＭＳ 明朝" w:hint="eastAsia"/>
              </w:rPr>
              <w:t>４ 水質に関する情報収集及び連絡調整に関すること。</w:t>
            </w:r>
          </w:p>
          <w:p w14:paraId="3A26D4CB" w14:textId="77777777" w:rsidR="00610BB0" w:rsidRPr="001D6D10" w:rsidRDefault="00610BB0" w:rsidP="008C36F6">
            <w:pPr>
              <w:spacing w:line="340" w:lineRule="exact"/>
              <w:ind w:left="106" w:hangingChars="50" w:hanging="106"/>
              <w:rPr>
                <w:rFonts w:hAnsi="ＭＳ 明朝"/>
              </w:rPr>
            </w:pPr>
            <w:r w:rsidRPr="001D6D10">
              <w:rPr>
                <w:rFonts w:hAnsi="ＭＳ 明朝" w:hint="eastAsia"/>
              </w:rPr>
              <w:t>５ 給水資機材の調達斡旋に関すること。</w:t>
            </w:r>
          </w:p>
          <w:p w14:paraId="7EBE3367" w14:textId="77777777" w:rsidR="00610BB0" w:rsidRPr="001D6D10" w:rsidRDefault="00610BB0" w:rsidP="008C36F6">
            <w:pPr>
              <w:spacing w:line="340" w:lineRule="exact"/>
              <w:ind w:left="106" w:hangingChars="50" w:hanging="106"/>
              <w:rPr>
                <w:rFonts w:hAnsi="ＭＳ 明朝"/>
              </w:rPr>
            </w:pPr>
            <w:r w:rsidRPr="001D6D10">
              <w:rPr>
                <w:rFonts w:hAnsi="ＭＳ 明朝" w:hint="eastAsia"/>
              </w:rPr>
              <w:t>６ 水道施設における被害・復旧状況の情報収集に関すること。</w:t>
            </w:r>
          </w:p>
          <w:p w14:paraId="61C6F771" w14:textId="77777777" w:rsidR="00610BB0" w:rsidRPr="001D6D10" w:rsidRDefault="00610BB0" w:rsidP="008C36F6">
            <w:pPr>
              <w:spacing w:line="340" w:lineRule="exact"/>
              <w:ind w:left="106" w:hangingChars="50" w:hanging="106"/>
              <w:rPr>
                <w:rFonts w:hAnsi="ＭＳ 明朝"/>
              </w:rPr>
            </w:pPr>
            <w:r w:rsidRPr="001D6D10">
              <w:rPr>
                <w:rFonts w:hAnsi="ＭＳ 明朝" w:hint="eastAsia"/>
              </w:rPr>
              <w:t>７ 水道の広域応援の要請に関すること。</w:t>
            </w:r>
          </w:p>
          <w:p w14:paraId="290FA22A" w14:textId="77777777" w:rsidR="00610BB0" w:rsidRPr="001D6D10" w:rsidRDefault="00610BB0" w:rsidP="008C36F6">
            <w:pPr>
              <w:spacing w:line="340" w:lineRule="exact"/>
              <w:ind w:left="106" w:hangingChars="50" w:hanging="106"/>
              <w:rPr>
                <w:rFonts w:hAnsi="ＭＳ 明朝"/>
              </w:rPr>
            </w:pPr>
            <w:r w:rsidRPr="001D6D10">
              <w:rPr>
                <w:rFonts w:hAnsi="ＭＳ 明朝" w:hint="eastAsia"/>
              </w:rPr>
              <w:t>８ 給水活動の実施に関すること。</w:t>
            </w:r>
          </w:p>
          <w:p w14:paraId="57CCDF40" w14:textId="77777777" w:rsidR="00610BB0" w:rsidRPr="001D6D10" w:rsidRDefault="00610BB0" w:rsidP="008C36F6">
            <w:pPr>
              <w:spacing w:line="340" w:lineRule="exact"/>
              <w:ind w:left="106" w:hangingChars="50" w:hanging="106"/>
              <w:rPr>
                <w:rFonts w:hAnsi="ＭＳ 明朝"/>
              </w:rPr>
            </w:pPr>
            <w:r w:rsidRPr="001D6D10">
              <w:rPr>
                <w:rFonts w:hAnsi="ＭＳ 明朝" w:hint="eastAsia"/>
              </w:rPr>
              <w:t>９ 水道施設の復旧対策に関すること。</w:t>
            </w:r>
          </w:p>
          <w:p w14:paraId="699D8AB7" w14:textId="77777777" w:rsidR="00610BB0" w:rsidRPr="001D6D10" w:rsidRDefault="00610BB0" w:rsidP="008C36F6">
            <w:pPr>
              <w:spacing w:line="340" w:lineRule="exact"/>
              <w:ind w:left="106" w:hangingChars="50" w:hanging="106"/>
              <w:rPr>
                <w:rFonts w:hAnsi="ＭＳ 明朝"/>
              </w:rPr>
            </w:pPr>
            <w:r w:rsidRPr="001D6D10">
              <w:rPr>
                <w:rFonts w:hAnsi="ＭＳ 明朝" w:hint="eastAsia"/>
              </w:rPr>
              <w:t>10 そ族昆虫の駆除指導に関すること。</w:t>
            </w:r>
          </w:p>
          <w:p w14:paraId="5BDF80F8" w14:textId="77777777" w:rsidR="00610BB0" w:rsidRPr="001D6D10" w:rsidRDefault="00610BB0" w:rsidP="008C36F6">
            <w:pPr>
              <w:spacing w:line="340" w:lineRule="exact"/>
              <w:ind w:left="106" w:hangingChars="50" w:hanging="106"/>
              <w:rPr>
                <w:rFonts w:hAnsi="ＭＳ 明朝"/>
              </w:rPr>
            </w:pPr>
            <w:r w:rsidRPr="001D6D10">
              <w:rPr>
                <w:rFonts w:hAnsi="ＭＳ 明朝" w:hint="eastAsia"/>
              </w:rPr>
              <w:t>11 広域火葬計画に基づく応援要請に関すること。</w:t>
            </w:r>
          </w:p>
          <w:p w14:paraId="50416B4A" w14:textId="286398EA" w:rsidR="00610BB0" w:rsidRPr="001D6D10" w:rsidRDefault="00610BB0" w:rsidP="008C36F6">
            <w:pPr>
              <w:spacing w:line="340" w:lineRule="exact"/>
              <w:rPr>
                <w:rFonts w:hAnsi="ＭＳ 明朝"/>
              </w:rPr>
            </w:pPr>
            <w:r w:rsidRPr="001D6D10">
              <w:rPr>
                <w:rFonts w:hAnsi="ＭＳ 明朝" w:hint="eastAsia"/>
              </w:rPr>
              <w:t>12 し尿の適正処理に関すること。</w:t>
            </w:r>
          </w:p>
        </w:tc>
      </w:tr>
      <w:tr w:rsidR="00610BB0" w:rsidRPr="001D6D10" w14:paraId="4E188838" w14:textId="77777777" w:rsidTr="005F51E1">
        <w:trPr>
          <w:cantSplit/>
          <w:trHeight w:val="1134"/>
        </w:trPr>
        <w:tc>
          <w:tcPr>
            <w:tcW w:w="426" w:type="dxa"/>
            <w:vMerge/>
            <w:textDirection w:val="tbRlV"/>
          </w:tcPr>
          <w:p w14:paraId="2729C31C" w14:textId="77777777" w:rsidR="00610BB0" w:rsidRPr="001D6D10" w:rsidRDefault="00610BB0" w:rsidP="008C36F6">
            <w:pPr>
              <w:pStyle w:val="ad"/>
              <w:wordWrap/>
              <w:overflowPunct w:val="0"/>
              <w:spacing w:line="240" w:lineRule="auto"/>
              <w:ind w:left="113" w:rightChars="-376" w:right="-794"/>
            </w:pPr>
          </w:p>
        </w:tc>
        <w:tc>
          <w:tcPr>
            <w:tcW w:w="1134" w:type="dxa"/>
            <w:vMerge/>
          </w:tcPr>
          <w:p w14:paraId="082ED993" w14:textId="77777777" w:rsidR="00610BB0" w:rsidRPr="001D6D10" w:rsidRDefault="00610BB0" w:rsidP="008C36F6">
            <w:pPr>
              <w:pStyle w:val="ad"/>
              <w:wordWrap/>
              <w:overflowPunct w:val="0"/>
              <w:spacing w:line="240" w:lineRule="auto"/>
              <w:ind w:rightChars="-376" w:right="-794"/>
            </w:pPr>
          </w:p>
        </w:tc>
        <w:tc>
          <w:tcPr>
            <w:tcW w:w="1276" w:type="dxa"/>
          </w:tcPr>
          <w:p w14:paraId="085D8C0F" w14:textId="3BB367EA" w:rsidR="00610BB0" w:rsidRPr="001D6D10" w:rsidRDefault="00610BB0" w:rsidP="008C36F6">
            <w:pPr>
              <w:spacing w:line="300" w:lineRule="exact"/>
              <w:rPr>
                <w:rFonts w:hAnsi="ＭＳ 明朝"/>
              </w:rPr>
            </w:pPr>
            <w:r w:rsidRPr="001D6D10">
              <w:rPr>
                <w:rFonts w:hAnsi="ＭＳ 明朝" w:hint="eastAsia"/>
              </w:rPr>
              <w:t>薬務班</w:t>
            </w:r>
          </w:p>
        </w:tc>
        <w:tc>
          <w:tcPr>
            <w:tcW w:w="1730" w:type="dxa"/>
          </w:tcPr>
          <w:p w14:paraId="40F3BD23" w14:textId="77777777" w:rsidR="00610BB0" w:rsidRPr="001D6D10" w:rsidRDefault="00610BB0" w:rsidP="008C36F6">
            <w:pPr>
              <w:spacing w:line="300" w:lineRule="exact"/>
              <w:rPr>
                <w:rFonts w:hAnsi="ＭＳ 明朝"/>
              </w:rPr>
            </w:pPr>
            <w:r w:rsidRPr="001D6D10">
              <w:rPr>
                <w:rFonts w:hAnsi="ＭＳ 明朝" w:hint="eastAsia"/>
              </w:rPr>
              <w:t>生活衛生室</w:t>
            </w:r>
          </w:p>
          <w:p w14:paraId="405B891C" w14:textId="61ABCB25" w:rsidR="00610BB0" w:rsidRPr="001D6D10" w:rsidRDefault="00610BB0" w:rsidP="008C36F6">
            <w:pPr>
              <w:spacing w:line="300" w:lineRule="exact"/>
              <w:rPr>
                <w:rFonts w:hAnsi="ＭＳ 明朝"/>
              </w:rPr>
            </w:pPr>
            <w:r w:rsidRPr="001D6D10">
              <w:rPr>
                <w:rFonts w:hAnsi="ＭＳ 明朝" w:hint="eastAsia"/>
              </w:rPr>
              <w:t>薬務課長</w:t>
            </w:r>
          </w:p>
        </w:tc>
        <w:tc>
          <w:tcPr>
            <w:tcW w:w="6066" w:type="dxa"/>
          </w:tcPr>
          <w:p w14:paraId="25BC4D5F" w14:textId="77777777" w:rsidR="00610BB0" w:rsidRPr="001D6D10" w:rsidRDefault="00610BB0" w:rsidP="008C36F6">
            <w:pPr>
              <w:spacing w:line="340" w:lineRule="exact"/>
              <w:ind w:left="106" w:hangingChars="50" w:hanging="106"/>
              <w:rPr>
                <w:rFonts w:hAnsi="ＭＳ 明朝"/>
              </w:rPr>
            </w:pPr>
            <w:r w:rsidRPr="001D6D10">
              <w:rPr>
                <w:rFonts w:hAnsi="ＭＳ 明朝" w:hint="eastAsia"/>
              </w:rPr>
              <w:t>１ 医薬品、衛生材料及び医療用消耗品・資機材の調達斡旋に関すること。</w:t>
            </w:r>
          </w:p>
          <w:p w14:paraId="43F10D54" w14:textId="77777777" w:rsidR="00610BB0" w:rsidRPr="001D6D10" w:rsidRDefault="00610BB0" w:rsidP="008C36F6">
            <w:pPr>
              <w:spacing w:line="340" w:lineRule="exact"/>
              <w:rPr>
                <w:rFonts w:hAnsi="ＭＳ 明朝"/>
              </w:rPr>
            </w:pPr>
            <w:r w:rsidRPr="001D6D10">
              <w:rPr>
                <w:rFonts w:hAnsi="ＭＳ 明朝" w:hint="eastAsia"/>
              </w:rPr>
              <w:t>２ 保健医療活動チーム（薬剤師チーム）に関すること。</w:t>
            </w:r>
          </w:p>
          <w:p w14:paraId="119924DD" w14:textId="77777777" w:rsidR="00610BB0" w:rsidRPr="001D6D10" w:rsidRDefault="00610BB0" w:rsidP="008C36F6">
            <w:pPr>
              <w:spacing w:line="340" w:lineRule="exact"/>
              <w:rPr>
                <w:rFonts w:hAnsi="ＭＳ 明朝"/>
              </w:rPr>
            </w:pPr>
            <w:r w:rsidRPr="001D6D10">
              <w:rPr>
                <w:rFonts w:hAnsi="ＭＳ 明朝" w:hint="eastAsia"/>
              </w:rPr>
              <w:t>３ 毒物劇物に関すること。</w:t>
            </w:r>
          </w:p>
          <w:p w14:paraId="2F8CF826" w14:textId="3B27E17E" w:rsidR="00610BB0" w:rsidRPr="001D6D10" w:rsidRDefault="00610BB0" w:rsidP="008C36F6">
            <w:pPr>
              <w:spacing w:line="340" w:lineRule="exact"/>
              <w:ind w:left="81" w:hanging="81"/>
              <w:rPr>
                <w:rFonts w:hAnsi="ＭＳ 明朝"/>
              </w:rPr>
            </w:pPr>
            <w:r w:rsidRPr="001D6D10">
              <w:rPr>
                <w:rFonts w:hAnsi="ＭＳ 明朝" w:hint="eastAsia"/>
              </w:rPr>
              <w:t>４ 関係機関への情報伝達に関すること。</w:t>
            </w:r>
          </w:p>
        </w:tc>
      </w:tr>
      <w:tr w:rsidR="00610BB0" w:rsidRPr="001D6D10" w14:paraId="0E6B7806" w14:textId="77777777" w:rsidTr="005F51E1">
        <w:trPr>
          <w:cantSplit/>
          <w:trHeight w:val="1134"/>
        </w:trPr>
        <w:tc>
          <w:tcPr>
            <w:tcW w:w="426" w:type="dxa"/>
            <w:vMerge/>
            <w:textDirection w:val="tbRlV"/>
          </w:tcPr>
          <w:p w14:paraId="1E2EB1F3" w14:textId="77777777" w:rsidR="00610BB0" w:rsidRPr="001D6D10" w:rsidRDefault="00610BB0" w:rsidP="008C36F6">
            <w:pPr>
              <w:pStyle w:val="ad"/>
              <w:wordWrap/>
              <w:overflowPunct w:val="0"/>
              <w:spacing w:line="240" w:lineRule="auto"/>
              <w:ind w:left="113" w:rightChars="-376" w:right="-794"/>
            </w:pPr>
          </w:p>
        </w:tc>
        <w:tc>
          <w:tcPr>
            <w:tcW w:w="1134" w:type="dxa"/>
            <w:vMerge/>
          </w:tcPr>
          <w:p w14:paraId="006D7672" w14:textId="77777777" w:rsidR="00610BB0" w:rsidRPr="001D6D10" w:rsidRDefault="00610BB0" w:rsidP="008C36F6">
            <w:pPr>
              <w:pStyle w:val="ad"/>
              <w:wordWrap/>
              <w:overflowPunct w:val="0"/>
              <w:spacing w:line="240" w:lineRule="auto"/>
              <w:ind w:rightChars="-376" w:right="-794"/>
            </w:pPr>
          </w:p>
        </w:tc>
        <w:tc>
          <w:tcPr>
            <w:tcW w:w="1276" w:type="dxa"/>
          </w:tcPr>
          <w:p w14:paraId="6A985636" w14:textId="77777777" w:rsidR="00610BB0" w:rsidRPr="001D6D10" w:rsidRDefault="00610BB0" w:rsidP="008C36F6">
            <w:pPr>
              <w:spacing w:line="300" w:lineRule="exact"/>
              <w:rPr>
                <w:rFonts w:hAnsi="ＭＳ 明朝"/>
              </w:rPr>
            </w:pPr>
            <w:r w:rsidRPr="001D6D10">
              <w:rPr>
                <w:rFonts w:hAnsi="ＭＳ 明朝" w:hint="eastAsia"/>
              </w:rPr>
              <w:t>食の安全</w:t>
            </w:r>
          </w:p>
          <w:p w14:paraId="0265AB9D" w14:textId="713034D9" w:rsidR="00610BB0" w:rsidRPr="001D6D10" w:rsidRDefault="00610BB0" w:rsidP="008C36F6">
            <w:pPr>
              <w:spacing w:line="300" w:lineRule="exact"/>
              <w:rPr>
                <w:rFonts w:hAnsi="ＭＳ 明朝"/>
              </w:rPr>
            </w:pPr>
            <w:r w:rsidRPr="001D6D10">
              <w:rPr>
                <w:rFonts w:hAnsi="ＭＳ 明朝" w:hint="eastAsia"/>
              </w:rPr>
              <w:t>推進班</w:t>
            </w:r>
          </w:p>
        </w:tc>
        <w:tc>
          <w:tcPr>
            <w:tcW w:w="1730" w:type="dxa"/>
          </w:tcPr>
          <w:p w14:paraId="7CCBF903" w14:textId="77777777" w:rsidR="00610BB0" w:rsidRPr="001D6D10" w:rsidRDefault="00610BB0" w:rsidP="008C36F6">
            <w:pPr>
              <w:spacing w:line="300" w:lineRule="exact"/>
              <w:rPr>
                <w:rFonts w:hAnsi="ＭＳ 明朝"/>
              </w:rPr>
            </w:pPr>
            <w:r w:rsidRPr="001D6D10">
              <w:rPr>
                <w:rFonts w:hAnsi="ＭＳ 明朝" w:hint="eastAsia"/>
              </w:rPr>
              <w:t>生活衛生室</w:t>
            </w:r>
          </w:p>
          <w:p w14:paraId="5F4B0480" w14:textId="381CDF3A" w:rsidR="00610BB0" w:rsidRPr="001D6D10" w:rsidRDefault="00610BB0" w:rsidP="008C36F6">
            <w:pPr>
              <w:spacing w:line="300" w:lineRule="exact"/>
              <w:rPr>
                <w:rFonts w:hAnsi="ＭＳ 明朝"/>
              </w:rPr>
            </w:pPr>
            <w:r w:rsidRPr="001D6D10">
              <w:rPr>
                <w:rFonts w:hAnsi="ＭＳ 明朝" w:hint="eastAsia"/>
                <w:w w:val="87"/>
                <w:kern w:val="0"/>
                <w:fitText w:val="1477" w:id="-1532153855"/>
              </w:rPr>
              <w:t>食の安全推進課</w:t>
            </w:r>
            <w:r w:rsidRPr="001D6D10">
              <w:rPr>
                <w:rFonts w:hAnsi="ＭＳ 明朝" w:hint="eastAsia"/>
                <w:spacing w:val="10"/>
                <w:w w:val="87"/>
                <w:kern w:val="0"/>
                <w:fitText w:val="1477" w:id="-1532153855"/>
              </w:rPr>
              <w:t>長</w:t>
            </w:r>
          </w:p>
        </w:tc>
        <w:tc>
          <w:tcPr>
            <w:tcW w:w="6066" w:type="dxa"/>
          </w:tcPr>
          <w:p w14:paraId="63B901BB" w14:textId="77777777" w:rsidR="00610BB0" w:rsidRPr="001D6D10" w:rsidRDefault="00610BB0" w:rsidP="008C36F6">
            <w:pPr>
              <w:spacing w:line="340" w:lineRule="exact"/>
              <w:rPr>
                <w:rFonts w:hAnsi="ＭＳ 明朝"/>
              </w:rPr>
            </w:pPr>
            <w:r w:rsidRPr="001D6D10">
              <w:rPr>
                <w:rFonts w:hAnsi="ＭＳ 明朝" w:hint="eastAsia"/>
              </w:rPr>
              <w:t>１ 粉乳の調達斡旋に関すること。</w:t>
            </w:r>
          </w:p>
          <w:p w14:paraId="4B844850" w14:textId="77777777" w:rsidR="00610BB0" w:rsidRPr="001D6D10" w:rsidRDefault="00610BB0" w:rsidP="008C36F6">
            <w:pPr>
              <w:spacing w:line="340" w:lineRule="exact"/>
              <w:rPr>
                <w:rFonts w:hAnsi="ＭＳ 明朝"/>
              </w:rPr>
            </w:pPr>
            <w:r w:rsidRPr="001D6D10">
              <w:rPr>
                <w:rFonts w:hAnsi="ＭＳ 明朝" w:hint="eastAsia"/>
              </w:rPr>
              <w:t>２ 食品衛生の確保に関すること。</w:t>
            </w:r>
          </w:p>
          <w:p w14:paraId="7BB29E2F" w14:textId="2CD6F5B0" w:rsidR="00610BB0" w:rsidRPr="001D6D10" w:rsidRDefault="00610BB0" w:rsidP="008C36F6">
            <w:pPr>
              <w:spacing w:line="340" w:lineRule="exact"/>
              <w:ind w:left="106" w:hangingChars="50" w:hanging="106"/>
              <w:rPr>
                <w:rFonts w:hAnsi="ＭＳ 明朝"/>
              </w:rPr>
            </w:pPr>
            <w:r w:rsidRPr="001D6D10">
              <w:rPr>
                <w:rFonts w:hAnsi="ＭＳ 明朝" w:hint="eastAsia"/>
              </w:rPr>
              <w:t>３ 食品による健康危害事案に関すること。</w:t>
            </w:r>
          </w:p>
        </w:tc>
      </w:tr>
      <w:tr w:rsidR="005E05D8" w:rsidRPr="001D6D10" w14:paraId="38ED1481" w14:textId="77777777" w:rsidTr="005F51E1">
        <w:trPr>
          <w:cantSplit/>
          <w:trHeight w:val="1134"/>
        </w:trPr>
        <w:tc>
          <w:tcPr>
            <w:tcW w:w="426" w:type="dxa"/>
            <w:vMerge w:val="restart"/>
            <w:textDirection w:val="tbRlV"/>
          </w:tcPr>
          <w:p w14:paraId="462F026E" w14:textId="77777777" w:rsidR="005E05D8" w:rsidRPr="001D6D10" w:rsidRDefault="005E05D8" w:rsidP="008C36F6">
            <w:pPr>
              <w:pStyle w:val="ad"/>
              <w:wordWrap/>
              <w:overflowPunct w:val="0"/>
              <w:spacing w:line="240" w:lineRule="auto"/>
              <w:ind w:left="113" w:rightChars="-376" w:right="-794"/>
              <w:rPr>
                <w:sz w:val="21"/>
              </w:rPr>
            </w:pPr>
            <w:r w:rsidRPr="001D6D10">
              <w:rPr>
                <w:rFonts w:hAnsi="ＭＳ 明朝" w:hint="eastAsia"/>
              </w:rPr>
              <w:lastRenderedPageBreak/>
              <w:t>商工労働部</w:t>
            </w:r>
          </w:p>
          <w:p w14:paraId="4BE836E6" w14:textId="147D1486" w:rsidR="005E05D8" w:rsidRPr="001D6D10" w:rsidRDefault="005E05D8" w:rsidP="008C36F6">
            <w:pPr>
              <w:pStyle w:val="ad"/>
              <w:overflowPunct w:val="0"/>
              <w:spacing w:line="240" w:lineRule="auto"/>
              <w:ind w:left="113" w:rightChars="-376" w:right="-794"/>
            </w:pPr>
            <w:r w:rsidRPr="001D6D10">
              <w:rPr>
                <w:rFonts w:hAnsi="ＭＳ 明朝" w:hint="eastAsia"/>
              </w:rPr>
              <w:t>商工労働部</w:t>
            </w:r>
          </w:p>
        </w:tc>
        <w:tc>
          <w:tcPr>
            <w:tcW w:w="1134" w:type="dxa"/>
            <w:vMerge w:val="restart"/>
          </w:tcPr>
          <w:p w14:paraId="2628399D" w14:textId="77777777" w:rsidR="005E05D8" w:rsidRPr="001D6D10" w:rsidRDefault="005E05D8" w:rsidP="008C36F6">
            <w:pPr>
              <w:spacing w:line="300" w:lineRule="exact"/>
              <w:rPr>
                <w:rFonts w:hAnsi="ＭＳ 明朝"/>
              </w:rPr>
            </w:pPr>
            <w:r w:rsidRPr="001D6D10">
              <w:rPr>
                <w:rFonts w:hAnsi="ＭＳ 明朝" w:hint="eastAsia"/>
              </w:rPr>
              <w:t>商工労働</w:t>
            </w:r>
          </w:p>
          <w:p w14:paraId="703715B9" w14:textId="77777777" w:rsidR="005E05D8" w:rsidRPr="001D6D10" w:rsidRDefault="005E05D8" w:rsidP="008C36F6">
            <w:pPr>
              <w:pStyle w:val="ad"/>
              <w:wordWrap/>
              <w:overflowPunct w:val="0"/>
              <w:spacing w:line="240" w:lineRule="auto"/>
              <w:ind w:rightChars="-376" w:right="-794"/>
              <w:rPr>
                <w:sz w:val="21"/>
              </w:rPr>
            </w:pPr>
            <w:r w:rsidRPr="001D6D10">
              <w:rPr>
                <w:rFonts w:hAnsi="ＭＳ 明朝" w:hint="eastAsia"/>
              </w:rPr>
              <w:t>部長</w:t>
            </w:r>
          </w:p>
          <w:p w14:paraId="268F02A7" w14:textId="77777777" w:rsidR="005E05D8" w:rsidRPr="001D6D10" w:rsidRDefault="005E05D8" w:rsidP="008C36F6">
            <w:pPr>
              <w:spacing w:line="300" w:lineRule="exact"/>
            </w:pPr>
          </w:p>
        </w:tc>
        <w:tc>
          <w:tcPr>
            <w:tcW w:w="1276" w:type="dxa"/>
          </w:tcPr>
          <w:p w14:paraId="7A575AB1" w14:textId="77777777" w:rsidR="005E05D8" w:rsidRPr="001D6D10" w:rsidRDefault="005E05D8" w:rsidP="008C36F6">
            <w:pPr>
              <w:spacing w:line="340" w:lineRule="exact"/>
            </w:pPr>
            <w:r w:rsidRPr="001D6D10">
              <w:rPr>
                <w:rFonts w:hint="eastAsia"/>
              </w:rPr>
              <w:t>商工労働</w:t>
            </w:r>
          </w:p>
          <w:p w14:paraId="6CD76213" w14:textId="043F252D" w:rsidR="005E05D8" w:rsidRPr="001D6D10" w:rsidRDefault="005E05D8" w:rsidP="008C36F6">
            <w:pPr>
              <w:spacing w:line="300" w:lineRule="exact"/>
              <w:rPr>
                <w:rFonts w:hAnsi="ＭＳ 明朝"/>
              </w:rPr>
            </w:pPr>
            <w:r w:rsidRPr="001D6D10">
              <w:rPr>
                <w:rFonts w:hint="eastAsia"/>
              </w:rPr>
              <w:t>総務班</w:t>
            </w:r>
          </w:p>
        </w:tc>
        <w:tc>
          <w:tcPr>
            <w:tcW w:w="1730" w:type="dxa"/>
          </w:tcPr>
          <w:p w14:paraId="5BEF990F" w14:textId="627A4F3D" w:rsidR="005E05D8" w:rsidRPr="001D6D10" w:rsidRDefault="005E05D8" w:rsidP="008C36F6">
            <w:pPr>
              <w:spacing w:line="300" w:lineRule="exact"/>
              <w:rPr>
                <w:rFonts w:hAnsi="ＭＳ 明朝"/>
              </w:rPr>
            </w:pPr>
            <w:r w:rsidRPr="00E0548A">
              <w:rPr>
                <w:rFonts w:hint="eastAsia"/>
                <w:kern w:val="0"/>
              </w:rPr>
              <w:t>商工労働総務課長</w:t>
            </w:r>
          </w:p>
        </w:tc>
        <w:tc>
          <w:tcPr>
            <w:tcW w:w="6066" w:type="dxa"/>
          </w:tcPr>
          <w:p w14:paraId="45809A04" w14:textId="77777777" w:rsidR="005E05D8" w:rsidRPr="001D6D10" w:rsidRDefault="005E05D8" w:rsidP="008C36F6">
            <w:pPr>
              <w:spacing w:line="340" w:lineRule="exact"/>
            </w:pPr>
            <w:r w:rsidRPr="001D6D10">
              <w:rPr>
                <w:rFonts w:hint="eastAsia"/>
              </w:rPr>
              <w:t>１ 防災・危機管理指令部に関すること。</w:t>
            </w:r>
          </w:p>
          <w:p w14:paraId="71A169EF" w14:textId="77777777" w:rsidR="005E05D8" w:rsidRPr="001D6D10" w:rsidRDefault="005E05D8" w:rsidP="008C36F6">
            <w:pPr>
              <w:spacing w:line="340" w:lineRule="exact"/>
            </w:pPr>
            <w:r w:rsidRPr="001D6D10">
              <w:rPr>
                <w:rFonts w:hint="eastAsia"/>
              </w:rPr>
              <w:t>２ 部内各班の連絡調整に関すること。</w:t>
            </w:r>
          </w:p>
          <w:p w14:paraId="5869F7E6" w14:textId="77777777" w:rsidR="005E05D8" w:rsidRPr="001D6D10" w:rsidRDefault="005E05D8" w:rsidP="008C36F6">
            <w:pPr>
              <w:spacing w:line="340" w:lineRule="exact"/>
              <w:ind w:left="81" w:hanging="81"/>
            </w:pPr>
            <w:r w:rsidRPr="001D6D10">
              <w:rPr>
                <w:rFonts w:hint="eastAsia"/>
              </w:rPr>
              <w:t>３ 部内各班の被害状況のとりまとめ及び本部への報告に関すること。</w:t>
            </w:r>
          </w:p>
          <w:p w14:paraId="745818FB" w14:textId="77777777" w:rsidR="005E05D8" w:rsidRPr="001D6D10" w:rsidRDefault="005E05D8" w:rsidP="008C36F6">
            <w:pPr>
              <w:spacing w:line="340" w:lineRule="exact"/>
            </w:pPr>
            <w:r w:rsidRPr="001D6D10">
              <w:rPr>
                <w:rFonts w:hint="eastAsia"/>
              </w:rPr>
              <w:t>４ 関係団体との連絡調整に関すること。</w:t>
            </w:r>
          </w:p>
          <w:p w14:paraId="72C33AA2" w14:textId="77777777" w:rsidR="005E05D8" w:rsidRPr="001D6D10" w:rsidRDefault="005E05D8" w:rsidP="008C36F6">
            <w:pPr>
              <w:spacing w:line="340" w:lineRule="exact"/>
              <w:ind w:left="81" w:hanging="81"/>
              <w:rPr>
                <w:sz w:val="19"/>
                <w:szCs w:val="19"/>
              </w:rPr>
            </w:pPr>
            <w:r w:rsidRPr="001D6D10">
              <w:rPr>
                <w:rFonts w:hint="eastAsia"/>
              </w:rPr>
              <w:t xml:space="preserve">５ </w:t>
            </w:r>
            <w:r w:rsidRPr="001D6D10">
              <w:rPr>
                <w:rFonts w:hint="eastAsia"/>
                <w:szCs w:val="21"/>
              </w:rPr>
              <w:t>災害等の復旧・復興事業計画の策定に関すること。</w:t>
            </w:r>
          </w:p>
          <w:p w14:paraId="5D12E521" w14:textId="46AD56F5" w:rsidR="005E05D8" w:rsidRPr="001D6D10" w:rsidRDefault="005E05D8" w:rsidP="008C36F6">
            <w:pPr>
              <w:spacing w:line="340" w:lineRule="exact"/>
              <w:ind w:left="106" w:hangingChars="50" w:hanging="106"/>
              <w:rPr>
                <w:rFonts w:hAnsi="ＭＳ 明朝"/>
              </w:rPr>
            </w:pPr>
            <w:r w:rsidRPr="001D6D10">
              <w:rPr>
                <w:rFonts w:hint="eastAsia"/>
              </w:rPr>
              <w:t xml:space="preserve">６ </w:t>
            </w:r>
            <w:r w:rsidRPr="001D6D10">
              <w:rPr>
                <w:rFonts w:hint="eastAsia"/>
                <w:szCs w:val="21"/>
              </w:rPr>
              <w:t>災害対策本部へのリエゾンの派遣に関すること。</w:t>
            </w:r>
          </w:p>
        </w:tc>
      </w:tr>
      <w:tr w:rsidR="005E05D8" w:rsidRPr="001D6D10" w14:paraId="23344FFB" w14:textId="77777777" w:rsidTr="005F51E1">
        <w:trPr>
          <w:cantSplit/>
          <w:trHeight w:val="1134"/>
        </w:trPr>
        <w:tc>
          <w:tcPr>
            <w:tcW w:w="426" w:type="dxa"/>
            <w:vMerge/>
            <w:textDirection w:val="tbRlV"/>
          </w:tcPr>
          <w:p w14:paraId="63A648C6" w14:textId="06A01414" w:rsidR="005E05D8" w:rsidRPr="001D6D10" w:rsidRDefault="005E05D8" w:rsidP="008C36F6">
            <w:pPr>
              <w:pStyle w:val="ad"/>
              <w:overflowPunct w:val="0"/>
              <w:spacing w:line="240" w:lineRule="auto"/>
              <w:ind w:left="113" w:rightChars="-376" w:right="-794"/>
            </w:pPr>
          </w:p>
        </w:tc>
        <w:tc>
          <w:tcPr>
            <w:tcW w:w="1134" w:type="dxa"/>
            <w:vMerge/>
          </w:tcPr>
          <w:p w14:paraId="1306B599" w14:textId="77777777" w:rsidR="005E05D8" w:rsidRPr="001D6D10" w:rsidRDefault="005E05D8" w:rsidP="008C36F6">
            <w:pPr>
              <w:spacing w:line="300" w:lineRule="exact"/>
            </w:pPr>
          </w:p>
        </w:tc>
        <w:tc>
          <w:tcPr>
            <w:tcW w:w="1276" w:type="dxa"/>
          </w:tcPr>
          <w:p w14:paraId="3360A1DE" w14:textId="767019CC" w:rsidR="005E05D8" w:rsidRPr="001D6D10" w:rsidRDefault="005E05D8" w:rsidP="008C36F6">
            <w:pPr>
              <w:spacing w:line="300" w:lineRule="exact"/>
              <w:rPr>
                <w:rFonts w:hAnsi="ＭＳ 明朝"/>
              </w:rPr>
            </w:pPr>
            <w:r w:rsidRPr="001D6D10">
              <w:rPr>
                <w:rFonts w:hint="eastAsia"/>
              </w:rPr>
              <w:t>経営支援班</w:t>
            </w:r>
          </w:p>
        </w:tc>
        <w:tc>
          <w:tcPr>
            <w:tcW w:w="1730" w:type="dxa"/>
          </w:tcPr>
          <w:p w14:paraId="55237E00" w14:textId="77777777" w:rsidR="005E05D8" w:rsidRPr="001D6D10" w:rsidRDefault="005E05D8" w:rsidP="008C36F6">
            <w:pPr>
              <w:spacing w:line="340" w:lineRule="exact"/>
              <w:rPr>
                <w:sz w:val="20"/>
                <w:szCs w:val="20"/>
              </w:rPr>
            </w:pPr>
            <w:r w:rsidRPr="001D6D10">
              <w:rPr>
                <w:rFonts w:hint="eastAsia"/>
                <w:sz w:val="20"/>
                <w:szCs w:val="20"/>
              </w:rPr>
              <w:t>中小企業支援室</w:t>
            </w:r>
          </w:p>
          <w:p w14:paraId="1D2E90C6" w14:textId="4DA5AD40" w:rsidR="005E05D8" w:rsidRPr="001D6D10" w:rsidRDefault="005E05D8" w:rsidP="008C36F6">
            <w:pPr>
              <w:spacing w:line="300" w:lineRule="exact"/>
              <w:rPr>
                <w:rFonts w:hAnsi="ＭＳ 明朝"/>
              </w:rPr>
            </w:pPr>
            <w:r w:rsidRPr="001D6D10">
              <w:rPr>
                <w:rFonts w:hint="eastAsia"/>
              </w:rPr>
              <w:t>経営支援課長</w:t>
            </w:r>
          </w:p>
        </w:tc>
        <w:tc>
          <w:tcPr>
            <w:tcW w:w="6066" w:type="dxa"/>
          </w:tcPr>
          <w:p w14:paraId="0A84C989" w14:textId="2385D21D" w:rsidR="005E05D8" w:rsidRPr="001D6D10" w:rsidRDefault="005E05D8" w:rsidP="008C36F6">
            <w:pPr>
              <w:spacing w:line="340" w:lineRule="exact"/>
              <w:ind w:left="81" w:hanging="81"/>
              <w:rPr>
                <w:rFonts w:hAnsi="ＭＳ 明朝"/>
              </w:rPr>
            </w:pPr>
            <w:r w:rsidRPr="001D6D10">
              <w:rPr>
                <w:rFonts w:hint="eastAsia"/>
              </w:rPr>
              <w:t>中小企業の経営支援機関等との連絡調整に関すること。</w:t>
            </w:r>
          </w:p>
        </w:tc>
      </w:tr>
      <w:tr w:rsidR="005E05D8" w:rsidRPr="001D6D10" w14:paraId="14AF2752" w14:textId="77777777" w:rsidTr="002E0FD9">
        <w:trPr>
          <w:cantSplit/>
          <w:trHeight w:val="775"/>
        </w:trPr>
        <w:tc>
          <w:tcPr>
            <w:tcW w:w="426" w:type="dxa"/>
            <w:vMerge/>
            <w:textDirection w:val="tbRlV"/>
          </w:tcPr>
          <w:p w14:paraId="28ED2767" w14:textId="77777777" w:rsidR="005E05D8" w:rsidRPr="001D6D10" w:rsidRDefault="005E05D8" w:rsidP="008C36F6">
            <w:pPr>
              <w:pStyle w:val="ad"/>
              <w:overflowPunct w:val="0"/>
              <w:spacing w:line="240" w:lineRule="auto"/>
              <w:ind w:left="113" w:rightChars="-376" w:right="-794"/>
            </w:pPr>
          </w:p>
        </w:tc>
        <w:tc>
          <w:tcPr>
            <w:tcW w:w="1134" w:type="dxa"/>
            <w:vMerge/>
          </w:tcPr>
          <w:p w14:paraId="2D0D5E61" w14:textId="77777777" w:rsidR="005E05D8" w:rsidRPr="001D6D10" w:rsidRDefault="005E05D8" w:rsidP="008C36F6">
            <w:pPr>
              <w:spacing w:line="300" w:lineRule="exact"/>
            </w:pPr>
          </w:p>
        </w:tc>
        <w:tc>
          <w:tcPr>
            <w:tcW w:w="1276" w:type="dxa"/>
          </w:tcPr>
          <w:p w14:paraId="74EA7F69" w14:textId="58B1E546" w:rsidR="005E05D8" w:rsidRPr="001D6D10" w:rsidRDefault="005E05D8" w:rsidP="008C36F6">
            <w:pPr>
              <w:spacing w:line="300" w:lineRule="exact"/>
              <w:rPr>
                <w:rFonts w:hAnsi="ＭＳ 明朝"/>
              </w:rPr>
            </w:pPr>
            <w:r w:rsidRPr="001D6D10">
              <w:rPr>
                <w:rFonts w:hint="eastAsia"/>
              </w:rPr>
              <w:t>商業振興班</w:t>
            </w:r>
          </w:p>
        </w:tc>
        <w:tc>
          <w:tcPr>
            <w:tcW w:w="1730" w:type="dxa"/>
          </w:tcPr>
          <w:p w14:paraId="4113AFE4" w14:textId="77777777" w:rsidR="005E05D8" w:rsidRPr="001D6D10" w:rsidRDefault="005E05D8" w:rsidP="008C36F6">
            <w:pPr>
              <w:spacing w:line="340" w:lineRule="exact"/>
              <w:rPr>
                <w:kern w:val="0"/>
              </w:rPr>
            </w:pPr>
            <w:r w:rsidRPr="001D6D10">
              <w:rPr>
                <w:rFonts w:hint="eastAsia"/>
                <w:sz w:val="20"/>
                <w:szCs w:val="20"/>
              </w:rPr>
              <w:t>中小企業支援室</w:t>
            </w:r>
          </w:p>
          <w:p w14:paraId="619E95C1" w14:textId="2B4F8C48" w:rsidR="005E05D8" w:rsidRPr="001D6D10" w:rsidRDefault="005E05D8" w:rsidP="008C36F6">
            <w:pPr>
              <w:spacing w:line="300" w:lineRule="exact"/>
              <w:rPr>
                <w:rFonts w:hAnsi="ＭＳ 明朝"/>
              </w:rPr>
            </w:pPr>
            <w:r w:rsidRPr="001D6D10">
              <w:rPr>
                <w:rFonts w:hint="eastAsia"/>
                <w:kern w:val="0"/>
              </w:rPr>
              <w:t>商業</w:t>
            </w:r>
            <w:r w:rsidRPr="00080EB7">
              <w:rPr>
                <w:rFonts w:hint="eastAsia"/>
                <w:kern w:val="0"/>
              </w:rPr>
              <w:t>振興</w:t>
            </w:r>
            <w:r w:rsidRPr="001D6D10">
              <w:rPr>
                <w:rFonts w:hint="eastAsia"/>
                <w:kern w:val="0"/>
              </w:rPr>
              <w:t>課長</w:t>
            </w:r>
          </w:p>
        </w:tc>
        <w:tc>
          <w:tcPr>
            <w:tcW w:w="6066" w:type="dxa"/>
          </w:tcPr>
          <w:p w14:paraId="201201C2" w14:textId="77777777" w:rsidR="005E05D8" w:rsidRPr="00080EB7" w:rsidRDefault="005E05D8" w:rsidP="008C36F6">
            <w:pPr>
              <w:spacing w:line="340" w:lineRule="exact"/>
              <w:ind w:left="81" w:hanging="81"/>
              <w:rPr>
                <w:szCs w:val="21"/>
              </w:rPr>
            </w:pPr>
            <w:r w:rsidRPr="00080EB7">
              <w:rPr>
                <w:rFonts w:hint="eastAsia"/>
                <w:szCs w:val="21"/>
              </w:rPr>
              <w:t>１　緊急物資（生活必需品）の調達斡旋に関すること</w:t>
            </w:r>
          </w:p>
          <w:p w14:paraId="1BE3FEB5" w14:textId="6DDA2B1E" w:rsidR="005E05D8" w:rsidRPr="001D6D10" w:rsidRDefault="005E05D8" w:rsidP="008C36F6">
            <w:pPr>
              <w:spacing w:line="340" w:lineRule="exact"/>
              <w:rPr>
                <w:rFonts w:hAnsi="ＭＳ 明朝"/>
              </w:rPr>
            </w:pPr>
            <w:r w:rsidRPr="00080EB7">
              <w:rPr>
                <w:rFonts w:hint="eastAsia"/>
                <w:szCs w:val="21"/>
              </w:rPr>
              <w:t>２　応急建築資材の調達斡旋に関すること</w:t>
            </w:r>
          </w:p>
        </w:tc>
      </w:tr>
      <w:tr w:rsidR="005E05D8" w:rsidRPr="001D6D10" w14:paraId="7C2F2C85" w14:textId="77777777" w:rsidTr="005F51E1">
        <w:trPr>
          <w:cantSplit/>
          <w:trHeight w:val="1134"/>
        </w:trPr>
        <w:tc>
          <w:tcPr>
            <w:tcW w:w="426" w:type="dxa"/>
            <w:vMerge/>
            <w:textDirection w:val="tbRlV"/>
          </w:tcPr>
          <w:p w14:paraId="1E8425CB" w14:textId="77777777" w:rsidR="005E05D8" w:rsidRPr="001D6D10" w:rsidRDefault="005E05D8" w:rsidP="008C36F6">
            <w:pPr>
              <w:pStyle w:val="ad"/>
              <w:overflowPunct w:val="0"/>
              <w:spacing w:line="240" w:lineRule="auto"/>
              <w:ind w:left="113" w:rightChars="-376" w:right="-794"/>
              <w:rPr>
                <w:sz w:val="21"/>
              </w:rPr>
            </w:pPr>
          </w:p>
        </w:tc>
        <w:tc>
          <w:tcPr>
            <w:tcW w:w="1134" w:type="dxa"/>
            <w:vMerge/>
          </w:tcPr>
          <w:p w14:paraId="4EAAAEA4" w14:textId="77777777" w:rsidR="005E05D8" w:rsidRPr="001D6D10" w:rsidRDefault="005E05D8" w:rsidP="008C36F6">
            <w:pPr>
              <w:spacing w:line="300" w:lineRule="exact"/>
              <w:rPr>
                <w:rFonts w:hAnsi="ＭＳ 明朝"/>
                <w:sz w:val="20"/>
              </w:rPr>
            </w:pPr>
          </w:p>
        </w:tc>
        <w:tc>
          <w:tcPr>
            <w:tcW w:w="1276" w:type="dxa"/>
          </w:tcPr>
          <w:p w14:paraId="6DEF389B" w14:textId="77777777" w:rsidR="005E05D8" w:rsidRPr="001D6D10" w:rsidRDefault="005E05D8" w:rsidP="008C36F6">
            <w:pPr>
              <w:spacing w:line="340" w:lineRule="exact"/>
            </w:pPr>
            <w:r w:rsidRPr="001D6D10">
              <w:rPr>
                <w:rFonts w:hint="eastAsia"/>
              </w:rPr>
              <w:t>ものづくり</w:t>
            </w:r>
          </w:p>
          <w:p w14:paraId="04FAB7E0" w14:textId="0D5B9057" w:rsidR="005E05D8" w:rsidRPr="001D6D10" w:rsidRDefault="005E05D8" w:rsidP="008C36F6">
            <w:pPr>
              <w:spacing w:line="340" w:lineRule="exact"/>
            </w:pPr>
            <w:r w:rsidRPr="001D6D10">
              <w:rPr>
                <w:rFonts w:hint="eastAsia"/>
              </w:rPr>
              <w:t>支援班</w:t>
            </w:r>
          </w:p>
        </w:tc>
        <w:tc>
          <w:tcPr>
            <w:tcW w:w="1730" w:type="dxa"/>
          </w:tcPr>
          <w:p w14:paraId="4EAE0DA4" w14:textId="77777777" w:rsidR="005E05D8" w:rsidRPr="001D6D10" w:rsidRDefault="005E05D8" w:rsidP="008C36F6">
            <w:pPr>
              <w:spacing w:line="340" w:lineRule="exact"/>
              <w:rPr>
                <w:sz w:val="20"/>
                <w:szCs w:val="20"/>
              </w:rPr>
            </w:pPr>
            <w:r w:rsidRPr="001D6D10">
              <w:rPr>
                <w:rFonts w:hint="eastAsia"/>
                <w:sz w:val="20"/>
                <w:szCs w:val="20"/>
              </w:rPr>
              <w:t>中小企業支援室</w:t>
            </w:r>
          </w:p>
          <w:p w14:paraId="6630C709" w14:textId="064E2E10" w:rsidR="005E05D8" w:rsidRPr="001D6D10" w:rsidRDefault="005E05D8" w:rsidP="008C36F6">
            <w:pPr>
              <w:spacing w:line="340" w:lineRule="exact"/>
              <w:rPr>
                <w:sz w:val="20"/>
                <w:szCs w:val="20"/>
              </w:rPr>
            </w:pPr>
            <w:r w:rsidRPr="001D6D10">
              <w:rPr>
                <w:rFonts w:hint="eastAsia"/>
                <w:spacing w:val="3"/>
                <w:w w:val="66"/>
                <w:kern w:val="0"/>
                <w:fitText w:val="1266" w:id="-1541151231"/>
              </w:rPr>
              <w:t>ものづくり支援課</w:t>
            </w:r>
            <w:r w:rsidRPr="001D6D10">
              <w:rPr>
                <w:rFonts w:hint="eastAsia"/>
                <w:spacing w:val="-11"/>
                <w:w w:val="66"/>
                <w:kern w:val="0"/>
                <w:fitText w:val="1266" w:id="-1541151231"/>
              </w:rPr>
              <w:t>長</w:t>
            </w:r>
          </w:p>
        </w:tc>
        <w:tc>
          <w:tcPr>
            <w:tcW w:w="6066" w:type="dxa"/>
          </w:tcPr>
          <w:p w14:paraId="2C70E6BC" w14:textId="77777777" w:rsidR="005E05D8" w:rsidRPr="001D6D10" w:rsidRDefault="005E05D8" w:rsidP="008C36F6">
            <w:pPr>
              <w:spacing w:line="340" w:lineRule="exact"/>
              <w:ind w:left="81" w:hanging="81"/>
              <w:rPr>
                <w:szCs w:val="21"/>
              </w:rPr>
            </w:pPr>
            <w:r w:rsidRPr="001D6D10">
              <w:rPr>
                <w:rFonts w:hint="eastAsia"/>
              </w:rPr>
              <w:t xml:space="preserve">１ </w:t>
            </w:r>
            <w:r w:rsidRPr="001D6D10">
              <w:rPr>
                <w:rFonts w:hint="eastAsia"/>
                <w:szCs w:val="21"/>
              </w:rPr>
              <w:t>緊急物資（生活必需品）の調達斡旋に関すること。</w:t>
            </w:r>
          </w:p>
          <w:p w14:paraId="451971CA" w14:textId="02508861" w:rsidR="005E05D8" w:rsidRPr="00080EB7" w:rsidRDefault="005E05D8" w:rsidP="008C36F6">
            <w:pPr>
              <w:spacing w:line="340" w:lineRule="exact"/>
              <w:ind w:left="81" w:hanging="81"/>
            </w:pPr>
            <w:r w:rsidRPr="001D6D10">
              <w:rPr>
                <w:rFonts w:hint="eastAsia"/>
              </w:rPr>
              <w:t>２ 不正計量監視に関すること。</w:t>
            </w:r>
          </w:p>
        </w:tc>
      </w:tr>
      <w:tr w:rsidR="005E05D8" w:rsidRPr="001D6D10" w14:paraId="528F7679" w14:textId="77777777" w:rsidTr="005F51E1">
        <w:trPr>
          <w:cantSplit/>
          <w:trHeight w:val="1134"/>
        </w:trPr>
        <w:tc>
          <w:tcPr>
            <w:tcW w:w="426" w:type="dxa"/>
            <w:vMerge/>
            <w:textDirection w:val="tbRlV"/>
          </w:tcPr>
          <w:p w14:paraId="38CBD7DD" w14:textId="77777777" w:rsidR="005E05D8" w:rsidRPr="001D6D10" w:rsidRDefault="005E05D8" w:rsidP="008C36F6">
            <w:pPr>
              <w:pStyle w:val="ad"/>
              <w:overflowPunct w:val="0"/>
              <w:spacing w:line="240" w:lineRule="auto"/>
              <w:ind w:left="113" w:rightChars="-376" w:right="-794"/>
              <w:rPr>
                <w:sz w:val="21"/>
              </w:rPr>
            </w:pPr>
          </w:p>
        </w:tc>
        <w:tc>
          <w:tcPr>
            <w:tcW w:w="1134" w:type="dxa"/>
            <w:vMerge/>
          </w:tcPr>
          <w:p w14:paraId="7F250256" w14:textId="77777777" w:rsidR="005E05D8" w:rsidRPr="001D6D10" w:rsidRDefault="005E05D8" w:rsidP="008C36F6">
            <w:pPr>
              <w:pStyle w:val="ad"/>
              <w:overflowPunct w:val="0"/>
              <w:spacing w:line="240" w:lineRule="auto"/>
              <w:ind w:rightChars="-376" w:right="-794"/>
              <w:rPr>
                <w:sz w:val="21"/>
              </w:rPr>
            </w:pPr>
          </w:p>
        </w:tc>
        <w:tc>
          <w:tcPr>
            <w:tcW w:w="1276" w:type="dxa"/>
          </w:tcPr>
          <w:p w14:paraId="705289A3" w14:textId="3A8CA9B1" w:rsidR="005E05D8" w:rsidRPr="001D6D10" w:rsidRDefault="005E05D8" w:rsidP="008C36F6">
            <w:pPr>
              <w:spacing w:line="340" w:lineRule="exact"/>
            </w:pPr>
            <w:r w:rsidRPr="001D6D10">
              <w:rPr>
                <w:rFonts w:hint="eastAsia"/>
              </w:rPr>
              <w:t>金融班</w:t>
            </w:r>
          </w:p>
        </w:tc>
        <w:tc>
          <w:tcPr>
            <w:tcW w:w="1730" w:type="dxa"/>
          </w:tcPr>
          <w:p w14:paraId="39A1DE92" w14:textId="77777777" w:rsidR="005E05D8" w:rsidRPr="00080EB7" w:rsidRDefault="005E05D8" w:rsidP="008C36F6">
            <w:pPr>
              <w:spacing w:line="340" w:lineRule="exact"/>
              <w:rPr>
                <w:sz w:val="20"/>
                <w:szCs w:val="20"/>
              </w:rPr>
            </w:pPr>
            <w:r w:rsidRPr="00080EB7">
              <w:rPr>
                <w:rFonts w:hint="eastAsia"/>
                <w:sz w:val="20"/>
                <w:szCs w:val="20"/>
              </w:rPr>
              <w:t>中小企業支援室</w:t>
            </w:r>
          </w:p>
          <w:p w14:paraId="5C1B2D19" w14:textId="11E44861" w:rsidR="005E05D8" w:rsidRPr="001D6D10" w:rsidRDefault="005E05D8" w:rsidP="008C36F6">
            <w:pPr>
              <w:spacing w:line="380" w:lineRule="exact"/>
            </w:pPr>
            <w:r w:rsidRPr="00080EB7">
              <w:rPr>
                <w:rFonts w:hint="eastAsia"/>
              </w:rPr>
              <w:t>金融課長</w:t>
            </w:r>
          </w:p>
        </w:tc>
        <w:tc>
          <w:tcPr>
            <w:tcW w:w="6066" w:type="dxa"/>
          </w:tcPr>
          <w:p w14:paraId="5D42464A" w14:textId="4E987849" w:rsidR="005E05D8" w:rsidRPr="001D6D10" w:rsidRDefault="005E05D8" w:rsidP="008C36F6">
            <w:pPr>
              <w:spacing w:line="340" w:lineRule="exact"/>
            </w:pPr>
            <w:r w:rsidRPr="001D6D10">
              <w:rPr>
                <w:rFonts w:hint="eastAsia"/>
              </w:rPr>
              <w:t>中小企業の災害復旧等を支援するための融資制度に関すること。</w:t>
            </w:r>
          </w:p>
        </w:tc>
      </w:tr>
      <w:tr w:rsidR="005E05D8" w:rsidRPr="001D6D10" w14:paraId="4398895A" w14:textId="77777777" w:rsidTr="002E0FD9">
        <w:trPr>
          <w:cantSplit/>
          <w:trHeight w:val="680"/>
        </w:trPr>
        <w:tc>
          <w:tcPr>
            <w:tcW w:w="426" w:type="dxa"/>
            <w:vMerge/>
            <w:textDirection w:val="tbRlV"/>
          </w:tcPr>
          <w:p w14:paraId="64C0E7E1" w14:textId="77777777" w:rsidR="005E05D8" w:rsidRPr="001D6D10" w:rsidRDefault="005E05D8" w:rsidP="008C36F6">
            <w:pPr>
              <w:pStyle w:val="ad"/>
              <w:overflowPunct w:val="0"/>
              <w:spacing w:line="240" w:lineRule="auto"/>
              <w:ind w:left="113" w:rightChars="-376" w:right="-794"/>
              <w:rPr>
                <w:sz w:val="21"/>
              </w:rPr>
            </w:pPr>
          </w:p>
        </w:tc>
        <w:tc>
          <w:tcPr>
            <w:tcW w:w="1134" w:type="dxa"/>
            <w:vMerge/>
          </w:tcPr>
          <w:p w14:paraId="578CA078" w14:textId="77777777" w:rsidR="005E05D8" w:rsidRPr="001D6D10" w:rsidRDefault="005E05D8" w:rsidP="008C36F6">
            <w:pPr>
              <w:pStyle w:val="ad"/>
              <w:overflowPunct w:val="0"/>
              <w:spacing w:line="240" w:lineRule="auto"/>
              <w:ind w:rightChars="-376" w:right="-794"/>
              <w:rPr>
                <w:sz w:val="21"/>
              </w:rPr>
            </w:pPr>
          </w:p>
        </w:tc>
        <w:tc>
          <w:tcPr>
            <w:tcW w:w="1276" w:type="dxa"/>
          </w:tcPr>
          <w:p w14:paraId="48F4ED7D" w14:textId="4BF49378" w:rsidR="005E05D8" w:rsidRPr="001D6D10" w:rsidRDefault="005E05D8" w:rsidP="008C36F6">
            <w:pPr>
              <w:spacing w:line="340" w:lineRule="exact"/>
            </w:pPr>
            <w:r w:rsidRPr="00080EB7">
              <w:rPr>
                <w:rFonts w:hint="eastAsia"/>
                <w:szCs w:val="21"/>
              </w:rPr>
              <w:t>労働環境班</w:t>
            </w:r>
          </w:p>
        </w:tc>
        <w:tc>
          <w:tcPr>
            <w:tcW w:w="1730" w:type="dxa"/>
          </w:tcPr>
          <w:p w14:paraId="69D37C1D" w14:textId="77777777" w:rsidR="005E05D8" w:rsidRPr="001D6D10" w:rsidRDefault="005E05D8" w:rsidP="008C36F6">
            <w:pPr>
              <w:spacing w:line="340" w:lineRule="exact"/>
            </w:pPr>
            <w:r w:rsidRPr="001D6D10">
              <w:rPr>
                <w:rFonts w:hint="eastAsia"/>
              </w:rPr>
              <w:t>雇用推進室</w:t>
            </w:r>
          </w:p>
          <w:p w14:paraId="7747C2B4" w14:textId="714D5BBF" w:rsidR="005E05D8" w:rsidRPr="001D6D10" w:rsidRDefault="005E05D8" w:rsidP="008C36F6">
            <w:pPr>
              <w:spacing w:line="340" w:lineRule="exact"/>
            </w:pPr>
            <w:r w:rsidRPr="001D6D10">
              <w:rPr>
                <w:rFonts w:hint="eastAsia"/>
              </w:rPr>
              <w:t>労働環境課長</w:t>
            </w:r>
          </w:p>
        </w:tc>
        <w:tc>
          <w:tcPr>
            <w:tcW w:w="6066" w:type="dxa"/>
          </w:tcPr>
          <w:p w14:paraId="19B157AE" w14:textId="77777777" w:rsidR="005E05D8" w:rsidRPr="001D6D10" w:rsidRDefault="005E05D8" w:rsidP="008C36F6">
            <w:pPr>
              <w:spacing w:line="340" w:lineRule="exact"/>
              <w:ind w:left="81" w:hanging="81"/>
            </w:pPr>
            <w:r w:rsidRPr="001D6D10">
              <w:rPr>
                <w:rFonts w:hint="eastAsia"/>
              </w:rPr>
              <w:t>１ 就労状況の把握と雇用の確保に関すること。</w:t>
            </w:r>
          </w:p>
          <w:p w14:paraId="437D6C1A" w14:textId="77777777" w:rsidR="005E05D8" w:rsidRPr="001D6D10" w:rsidRDefault="005E05D8" w:rsidP="008C36F6">
            <w:pPr>
              <w:spacing w:line="340" w:lineRule="exact"/>
              <w:ind w:left="81" w:hanging="81"/>
            </w:pPr>
            <w:r w:rsidRPr="001D6D10">
              <w:rPr>
                <w:rFonts w:hint="eastAsia"/>
              </w:rPr>
              <w:t>２ 大阪労働局との連絡調整に関すること。</w:t>
            </w:r>
          </w:p>
          <w:p w14:paraId="17055B9E" w14:textId="3DA8FCA2" w:rsidR="005E05D8" w:rsidRPr="001D6D10" w:rsidRDefault="005E05D8" w:rsidP="008C36F6">
            <w:pPr>
              <w:spacing w:line="340" w:lineRule="exact"/>
              <w:ind w:left="81" w:hanging="81"/>
            </w:pPr>
            <w:r w:rsidRPr="001D6D10">
              <w:rPr>
                <w:rFonts w:hint="eastAsia"/>
              </w:rPr>
              <w:t>３ （公財）西成労働福祉センターとの連絡調整に関すること。</w:t>
            </w:r>
          </w:p>
        </w:tc>
      </w:tr>
      <w:tr w:rsidR="005E05D8" w:rsidRPr="001D6D10" w14:paraId="56CBF094" w14:textId="77777777" w:rsidTr="005F51E1">
        <w:trPr>
          <w:cantSplit/>
          <w:trHeight w:val="1134"/>
        </w:trPr>
        <w:tc>
          <w:tcPr>
            <w:tcW w:w="426" w:type="dxa"/>
            <w:vMerge/>
            <w:textDirection w:val="tbRlV"/>
          </w:tcPr>
          <w:p w14:paraId="4DDA0A13" w14:textId="77777777" w:rsidR="005E05D8" w:rsidRPr="001D6D10" w:rsidRDefault="005E05D8" w:rsidP="008C36F6">
            <w:pPr>
              <w:pStyle w:val="ad"/>
              <w:overflowPunct w:val="0"/>
              <w:spacing w:line="240" w:lineRule="auto"/>
              <w:ind w:left="113" w:rightChars="-376" w:right="-794"/>
              <w:rPr>
                <w:sz w:val="21"/>
              </w:rPr>
            </w:pPr>
          </w:p>
        </w:tc>
        <w:tc>
          <w:tcPr>
            <w:tcW w:w="1134" w:type="dxa"/>
            <w:vMerge/>
          </w:tcPr>
          <w:p w14:paraId="40C16693" w14:textId="77777777" w:rsidR="005E05D8" w:rsidRPr="001D6D10" w:rsidRDefault="005E05D8" w:rsidP="008C36F6">
            <w:pPr>
              <w:pStyle w:val="ad"/>
              <w:overflowPunct w:val="0"/>
              <w:spacing w:line="240" w:lineRule="auto"/>
              <w:ind w:rightChars="-376" w:right="-794"/>
              <w:rPr>
                <w:sz w:val="21"/>
              </w:rPr>
            </w:pPr>
          </w:p>
        </w:tc>
        <w:tc>
          <w:tcPr>
            <w:tcW w:w="1276" w:type="dxa"/>
          </w:tcPr>
          <w:p w14:paraId="5688EFEA" w14:textId="2A713039" w:rsidR="005E05D8" w:rsidRPr="00080EB7" w:rsidRDefault="005E05D8" w:rsidP="008C36F6">
            <w:pPr>
              <w:spacing w:line="340" w:lineRule="exact"/>
              <w:rPr>
                <w:szCs w:val="21"/>
              </w:rPr>
            </w:pPr>
            <w:r w:rsidRPr="00080EB7">
              <w:rPr>
                <w:rFonts w:hint="eastAsia"/>
                <w:szCs w:val="21"/>
              </w:rPr>
              <w:t>就業促進班</w:t>
            </w:r>
          </w:p>
        </w:tc>
        <w:tc>
          <w:tcPr>
            <w:tcW w:w="1730" w:type="dxa"/>
          </w:tcPr>
          <w:p w14:paraId="5152F8F0" w14:textId="77777777" w:rsidR="005E05D8" w:rsidRPr="001D6D10" w:rsidRDefault="005E05D8" w:rsidP="008C36F6">
            <w:pPr>
              <w:spacing w:line="340" w:lineRule="exact"/>
            </w:pPr>
            <w:r w:rsidRPr="001D6D10">
              <w:rPr>
                <w:rFonts w:hint="eastAsia"/>
              </w:rPr>
              <w:t>雇用推進室</w:t>
            </w:r>
          </w:p>
          <w:p w14:paraId="75B4E391" w14:textId="7724E7E6" w:rsidR="005E05D8" w:rsidRPr="001D6D10" w:rsidRDefault="005E05D8" w:rsidP="008C36F6">
            <w:pPr>
              <w:spacing w:line="340" w:lineRule="exact"/>
            </w:pPr>
            <w:r w:rsidRPr="001D6D10">
              <w:rPr>
                <w:rFonts w:hint="eastAsia"/>
              </w:rPr>
              <w:t>就業促進課長</w:t>
            </w:r>
          </w:p>
        </w:tc>
        <w:tc>
          <w:tcPr>
            <w:tcW w:w="6066" w:type="dxa"/>
          </w:tcPr>
          <w:p w14:paraId="2AF27A16" w14:textId="77777777" w:rsidR="005E05D8" w:rsidRPr="001D6D10" w:rsidRDefault="005E05D8" w:rsidP="008C36F6">
            <w:pPr>
              <w:spacing w:line="340" w:lineRule="exact"/>
            </w:pPr>
            <w:r w:rsidRPr="001D6D10">
              <w:rPr>
                <w:rFonts w:hint="eastAsia"/>
              </w:rPr>
              <w:t>OSAKAしごとフィールドに関すること。</w:t>
            </w:r>
          </w:p>
          <w:p w14:paraId="6F92336E" w14:textId="5DE16527" w:rsidR="005E05D8" w:rsidRPr="001D6D10" w:rsidRDefault="005E05D8" w:rsidP="008C36F6">
            <w:pPr>
              <w:spacing w:line="340" w:lineRule="exact"/>
              <w:ind w:left="81" w:hanging="81"/>
            </w:pPr>
          </w:p>
        </w:tc>
      </w:tr>
      <w:tr w:rsidR="005E05D8" w:rsidRPr="001D6D10" w14:paraId="0E50186C" w14:textId="77777777" w:rsidTr="005F51E1">
        <w:tc>
          <w:tcPr>
            <w:tcW w:w="426" w:type="dxa"/>
            <w:vMerge/>
          </w:tcPr>
          <w:p w14:paraId="68D95413" w14:textId="77777777" w:rsidR="005E05D8" w:rsidRPr="001D6D10" w:rsidRDefault="005E05D8" w:rsidP="008C36F6">
            <w:pPr>
              <w:pStyle w:val="ad"/>
              <w:overflowPunct w:val="0"/>
              <w:spacing w:line="240" w:lineRule="auto"/>
              <w:ind w:left="113" w:rightChars="-376" w:right="-794"/>
            </w:pPr>
          </w:p>
        </w:tc>
        <w:tc>
          <w:tcPr>
            <w:tcW w:w="1134" w:type="dxa"/>
            <w:vMerge/>
          </w:tcPr>
          <w:p w14:paraId="747B55D5" w14:textId="77777777" w:rsidR="005E05D8" w:rsidRPr="001D6D10" w:rsidRDefault="005E05D8" w:rsidP="008C36F6">
            <w:pPr>
              <w:pStyle w:val="ad"/>
              <w:overflowPunct w:val="0"/>
              <w:spacing w:line="240" w:lineRule="auto"/>
              <w:ind w:rightChars="-376" w:right="-794"/>
            </w:pPr>
          </w:p>
        </w:tc>
        <w:tc>
          <w:tcPr>
            <w:tcW w:w="1276" w:type="dxa"/>
          </w:tcPr>
          <w:p w14:paraId="3A98D307" w14:textId="167229C5" w:rsidR="005E05D8" w:rsidRPr="00080EB7" w:rsidRDefault="005E05D8" w:rsidP="008C36F6">
            <w:pPr>
              <w:spacing w:line="340" w:lineRule="exact"/>
              <w:rPr>
                <w:szCs w:val="21"/>
              </w:rPr>
            </w:pPr>
            <w:r w:rsidRPr="001D6D10">
              <w:rPr>
                <w:rFonts w:hint="eastAsia"/>
              </w:rPr>
              <w:t>人材育成班</w:t>
            </w:r>
          </w:p>
        </w:tc>
        <w:tc>
          <w:tcPr>
            <w:tcW w:w="1730" w:type="dxa"/>
          </w:tcPr>
          <w:p w14:paraId="40D00EFB" w14:textId="77777777" w:rsidR="005E05D8" w:rsidRPr="001D6D10" w:rsidRDefault="005E05D8" w:rsidP="008C36F6">
            <w:pPr>
              <w:spacing w:line="340" w:lineRule="exact"/>
            </w:pPr>
            <w:r w:rsidRPr="001D6D10">
              <w:rPr>
                <w:rFonts w:hint="eastAsia"/>
              </w:rPr>
              <w:t>雇用推進室</w:t>
            </w:r>
          </w:p>
          <w:p w14:paraId="3EACA155" w14:textId="08DB950B" w:rsidR="005E05D8" w:rsidRPr="001D6D10" w:rsidRDefault="005E05D8" w:rsidP="008C36F6">
            <w:pPr>
              <w:spacing w:line="340" w:lineRule="exact"/>
            </w:pPr>
            <w:r w:rsidRPr="001D6D10">
              <w:rPr>
                <w:rFonts w:hint="eastAsia"/>
              </w:rPr>
              <w:t>人材育成課長</w:t>
            </w:r>
          </w:p>
        </w:tc>
        <w:tc>
          <w:tcPr>
            <w:tcW w:w="6066" w:type="dxa"/>
          </w:tcPr>
          <w:p w14:paraId="03D7F148" w14:textId="6AF18303" w:rsidR="005E05D8" w:rsidRPr="001D6D10" w:rsidRDefault="005E05D8" w:rsidP="008C36F6">
            <w:pPr>
              <w:spacing w:line="340" w:lineRule="exact"/>
            </w:pPr>
            <w:r w:rsidRPr="001D6D10">
              <w:rPr>
                <w:rFonts w:hint="eastAsia"/>
                <w:szCs w:val="21"/>
              </w:rPr>
              <w:t>大阪府立高等職業技術専門校及び大阪障害者職業能力開発校の生徒の避難その他の対策に関すること。</w:t>
            </w:r>
          </w:p>
        </w:tc>
      </w:tr>
      <w:tr w:rsidR="005E05D8" w:rsidRPr="001D6D10" w14:paraId="700D548B" w14:textId="77777777" w:rsidTr="005F51E1">
        <w:tc>
          <w:tcPr>
            <w:tcW w:w="426" w:type="dxa"/>
            <w:vMerge/>
          </w:tcPr>
          <w:p w14:paraId="31C5A2BB" w14:textId="77777777" w:rsidR="005E05D8" w:rsidRPr="001D6D10" w:rsidRDefault="005E05D8" w:rsidP="008C36F6">
            <w:pPr>
              <w:pStyle w:val="ad"/>
              <w:overflowPunct w:val="0"/>
              <w:spacing w:line="240" w:lineRule="auto"/>
              <w:ind w:left="113" w:rightChars="-376" w:right="-794"/>
            </w:pPr>
          </w:p>
        </w:tc>
        <w:tc>
          <w:tcPr>
            <w:tcW w:w="1134" w:type="dxa"/>
            <w:vMerge/>
          </w:tcPr>
          <w:p w14:paraId="06009BF4" w14:textId="77777777" w:rsidR="005E05D8" w:rsidRPr="001D6D10" w:rsidRDefault="005E05D8" w:rsidP="008C36F6">
            <w:pPr>
              <w:pStyle w:val="ad"/>
              <w:overflowPunct w:val="0"/>
              <w:spacing w:line="240" w:lineRule="auto"/>
              <w:ind w:rightChars="-376" w:right="-794"/>
            </w:pPr>
          </w:p>
        </w:tc>
        <w:tc>
          <w:tcPr>
            <w:tcW w:w="1276" w:type="dxa"/>
          </w:tcPr>
          <w:p w14:paraId="606BA612" w14:textId="6D7B3269" w:rsidR="005E05D8" w:rsidRPr="001D6D10" w:rsidRDefault="005E05D8" w:rsidP="008C36F6">
            <w:pPr>
              <w:spacing w:line="340" w:lineRule="exact"/>
            </w:pPr>
            <w:r w:rsidRPr="001D6D10">
              <w:rPr>
                <w:rFonts w:hint="eastAsia"/>
              </w:rPr>
              <w:t>応援第１班</w:t>
            </w:r>
          </w:p>
        </w:tc>
        <w:tc>
          <w:tcPr>
            <w:tcW w:w="1730" w:type="dxa"/>
          </w:tcPr>
          <w:p w14:paraId="6EFFE2B2" w14:textId="77777777" w:rsidR="005E05D8" w:rsidRPr="001D6D10" w:rsidRDefault="005E05D8" w:rsidP="008C36F6">
            <w:pPr>
              <w:spacing w:line="340" w:lineRule="exact"/>
              <w:rPr>
                <w:sz w:val="20"/>
                <w:szCs w:val="20"/>
              </w:rPr>
            </w:pPr>
            <w:r w:rsidRPr="001D6D10">
              <w:rPr>
                <w:rFonts w:hint="eastAsia"/>
                <w:sz w:val="20"/>
                <w:szCs w:val="20"/>
              </w:rPr>
              <w:t>成長産業振興室</w:t>
            </w:r>
          </w:p>
          <w:p w14:paraId="4AE0DBC4" w14:textId="69A8BE19" w:rsidR="005E05D8" w:rsidRPr="001D6D10" w:rsidRDefault="005E05D8" w:rsidP="008C36F6">
            <w:pPr>
              <w:spacing w:line="340" w:lineRule="exact"/>
            </w:pPr>
            <w:r w:rsidRPr="001D6D10">
              <w:rPr>
                <w:rFonts w:hint="eastAsia"/>
                <w:sz w:val="20"/>
                <w:szCs w:val="20"/>
              </w:rPr>
              <w:t>産業創造課長</w:t>
            </w:r>
          </w:p>
        </w:tc>
        <w:tc>
          <w:tcPr>
            <w:tcW w:w="6066" w:type="dxa"/>
          </w:tcPr>
          <w:p w14:paraId="2F5BCE7D" w14:textId="35A3F1B7" w:rsidR="005E05D8" w:rsidRPr="001D6D10" w:rsidRDefault="005E05D8" w:rsidP="008C36F6">
            <w:pPr>
              <w:spacing w:line="340" w:lineRule="exact"/>
              <w:ind w:left="81" w:hanging="81"/>
            </w:pPr>
            <w:r w:rsidRPr="001D6D10">
              <w:rPr>
                <w:rFonts w:hint="eastAsia"/>
              </w:rPr>
              <w:t>他の班の応援に関すること。</w:t>
            </w:r>
          </w:p>
        </w:tc>
      </w:tr>
      <w:tr w:rsidR="005E05D8" w:rsidRPr="001D6D10" w14:paraId="084D2D88" w14:textId="77777777" w:rsidTr="005F51E1">
        <w:tc>
          <w:tcPr>
            <w:tcW w:w="426" w:type="dxa"/>
            <w:vMerge/>
          </w:tcPr>
          <w:p w14:paraId="4A714F1B" w14:textId="77777777" w:rsidR="005E05D8" w:rsidRPr="001D6D10" w:rsidRDefault="005E05D8" w:rsidP="008C36F6">
            <w:pPr>
              <w:pStyle w:val="ad"/>
              <w:overflowPunct w:val="0"/>
              <w:spacing w:line="240" w:lineRule="auto"/>
              <w:ind w:left="113" w:rightChars="-376" w:right="-794"/>
            </w:pPr>
          </w:p>
        </w:tc>
        <w:tc>
          <w:tcPr>
            <w:tcW w:w="1134" w:type="dxa"/>
            <w:vMerge/>
          </w:tcPr>
          <w:p w14:paraId="77F4AD53" w14:textId="77777777" w:rsidR="005E05D8" w:rsidRPr="001D6D10" w:rsidRDefault="005E05D8" w:rsidP="008C36F6">
            <w:pPr>
              <w:pStyle w:val="ad"/>
              <w:overflowPunct w:val="0"/>
              <w:spacing w:line="240" w:lineRule="auto"/>
              <w:ind w:rightChars="-376" w:right="-794"/>
            </w:pPr>
          </w:p>
        </w:tc>
        <w:tc>
          <w:tcPr>
            <w:tcW w:w="1276" w:type="dxa"/>
          </w:tcPr>
          <w:p w14:paraId="00AA4649" w14:textId="64F82E2C" w:rsidR="005E05D8" w:rsidRPr="001D6D10" w:rsidRDefault="005E05D8" w:rsidP="008C36F6">
            <w:pPr>
              <w:spacing w:line="340" w:lineRule="exact"/>
            </w:pPr>
            <w:r w:rsidRPr="001D6D10">
              <w:rPr>
                <w:rFonts w:hint="eastAsia"/>
              </w:rPr>
              <w:t>応援第２班</w:t>
            </w:r>
          </w:p>
        </w:tc>
        <w:tc>
          <w:tcPr>
            <w:tcW w:w="1730" w:type="dxa"/>
          </w:tcPr>
          <w:p w14:paraId="288987AB" w14:textId="77777777" w:rsidR="005E05D8" w:rsidRPr="001D6D10" w:rsidRDefault="005E05D8" w:rsidP="008C36F6">
            <w:pPr>
              <w:spacing w:line="340" w:lineRule="exact"/>
              <w:rPr>
                <w:sz w:val="20"/>
                <w:szCs w:val="20"/>
              </w:rPr>
            </w:pPr>
            <w:r w:rsidRPr="001D6D10">
              <w:rPr>
                <w:rFonts w:hint="eastAsia"/>
                <w:sz w:val="20"/>
                <w:szCs w:val="20"/>
              </w:rPr>
              <w:t>成長産業振興室</w:t>
            </w:r>
          </w:p>
          <w:p w14:paraId="6C541E8C" w14:textId="3F2677EC" w:rsidR="005E05D8" w:rsidRPr="001D6D10" w:rsidRDefault="005E05D8" w:rsidP="008C36F6">
            <w:pPr>
              <w:spacing w:line="340" w:lineRule="exact"/>
              <w:rPr>
                <w:sz w:val="20"/>
                <w:szCs w:val="20"/>
              </w:rPr>
            </w:pPr>
            <w:r w:rsidRPr="001D6D10">
              <w:rPr>
                <w:rFonts w:hint="eastAsia"/>
                <w:spacing w:val="3"/>
                <w:w w:val="72"/>
                <w:kern w:val="0"/>
                <w:fitText w:val="1386" w:id="-1283667452"/>
              </w:rPr>
              <w:t>国際ビジネス・ス</w:t>
            </w:r>
            <w:r w:rsidRPr="001D6D10">
              <w:rPr>
                <w:rFonts w:hint="eastAsia"/>
                <w:spacing w:val="-10"/>
                <w:w w:val="72"/>
                <w:kern w:val="0"/>
                <w:fitText w:val="1386" w:id="-1283667452"/>
              </w:rPr>
              <w:t>タ</w:t>
            </w:r>
            <w:r w:rsidRPr="001D6D10">
              <w:rPr>
                <w:w w:val="72"/>
                <w:kern w:val="0"/>
              </w:rPr>
              <w:br/>
            </w:r>
            <w:r w:rsidRPr="00BA64B8">
              <w:rPr>
                <w:rFonts w:hint="eastAsia"/>
                <w:spacing w:val="2"/>
                <w:w w:val="72"/>
                <w:kern w:val="0"/>
                <w:fitText w:val="1378" w:id="-1283667451"/>
              </w:rPr>
              <w:t>ートアップ支援課</w:t>
            </w:r>
            <w:r w:rsidRPr="00BA64B8">
              <w:rPr>
                <w:rFonts w:hint="eastAsia"/>
                <w:spacing w:val="-6"/>
                <w:w w:val="72"/>
                <w:kern w:val="0"/>
                <w:fitText w:val="1378" w:id="-1283667451"/>
              </w:rPr>
              <w:t>長</w:t>
            </w:r>
          </w:p>
        </w:tc>
        <w:tc>
          <w:tcPr>
            <w:tcW w:w="6066" w:type="dxa"/>
          </w:tcPr>
          <w:p w14:paraId="68EA970B" w14:textId="77777777" w:rsidR="005E05D8" w:rsidRPr="001D6D10" w:rsidRDefault="005E05D8" w:rsidP="008C36F6">
            <w:pPr>
              <w:spacing w:line="340" w:lineRule="exact"/>
            </w:pPr>
            <w:r w:rsidRPr="001D6D10">
              <w:rPr>
                <w:rFonts w:hint="eastAsia"/>
              </w:rPr>
              <w:t>１ 他の班の応援に関すること。</w:t>
            </w:r>
          </w:p>
          <w:p w14:paraId="7224C958" w14:textId="0AB18121" w:rsidR="005E05D8" w:rsidRPr="001D6D10" w:rsidRDefault="005E05D8" w:rsidP="008C36F6">
            <w:pPr>
              <w:spacing w:line="340" w:lineRule="exact"/>
            </w:pPr>
            <w:r w:rsidRPr="001D6D10">
              <w:rPr>
                <w:rFonts w:hint="eastAsia"/>
              </w:rPr>
              <w:t>２ 立地企業等との連絡調整に関すること。</w:t>
            </w:r>
          </w:p>
        </w:tc>
      </w:tr>
      <w:tr w:rsidR="005E05D8" w:rsidRPr="001D6D10" w14:paraId="386F4A03" w14:textId="77777777" w:rsidTr="005F51E1">
        <w:tc>
          <w:tcPr>
            <w:tcW w:w="426" w:type="dxa"/>
            <w:vMerge/>
            <w:textDirection w:val="tbRlV"/>
          </w:tcPr>
          <w:p w14:paraId="13D877ED" w14:textId="77777777" w:rsidR="005E05D8" w:rsidRPr="001D6D10" w:rsidRDefault="005E05D8" w:rsidP="008C36F6">
            <w:pPr>
              <w:pStyle w:val="ad"/>
              <w:overflowPunct w:val="0"/>
              <w:spacing w:line="240" w:lineRule="auto"/>
              <w:ind w:left="113" w:rightChars="-376" w:right="-794"/>
              <w:rPr>
                <w:sz w:val="21"/>
              </w:rPr>
            </w:pPr>
          </w:p>
        </w:tc>
        <w:tc>
          <w:tcPr>
            <w:tcW w:w="1134" w:type="dxa"/>
            <w:vMerge/>
          </w:tcPr>
          <w:p w14:paraId="727D7771" w14:textId="77777777" w:rsidR="005E05D8" w:rsidRPr="001D6D10" w:rsidRDefault="005E05D8" w:rsidP="008C36F6">
            <w:pPr>
              <w:pStyle w:val="ad"/>
              <w:overflowPunct w:val="0"/>
              <w:spacing w:line="240" w:lineRule="auto"/>
              <w:ind w:rightChars="-376" w:right="-794"/>
              <w:rPr>
                <w:sz w:val="21"/>
              </w:rPr>
            </w:pPr>
          </w:p>
        </w:tc>
        <w:tc>
          <w:tcPr>
            <w:tcW w:w="1276" w:type="dxa"/>
          </w:tcPr>
          <w:p w14:paraId="525C1AAB" w14:textId="3D5C3B07" w:rsidR="005E05D8" w:rsidRPr="001D6D10" w:rsidRDefault="005E05D8" w:rsidP="008C36F6">
            <w:pPr>
              <w:spacing w:line="340" w:lineRule="exact"/>
            </w:pPr>
            <w:r w:rsidRPr="001D6D10">
              <w:rPr>
                <w:rFonts w:hint="eastAsia"/>
              </w:rPr>
              <w:t>応援第３班</w:t>
            </w:r>
          </w:p>
        </w:tc>
        <w:tc>
          <w:tcPr>
            <w:tcW w:w="1730" w:type="dxa"/>
          </w:tcPr>
          <w:p w14:paraId="477976F7" w14:textId="77777777" w:rsidR="005E05D8" w:rsidRPr="001D6D10" w:rsidRDefault="005E05D8" w:rsidP="008C36F6">
            <w:pPr>
              <w:spacing w:line="340" w:lineRule="exact"/>
              <w:rPr>
                <w:sz w:val="20"/>
                <w:szCs w:val="20"/>
              </w:rPr>
            </w:pPr>
            <w:r w:rsidRPr="00BA64B8">
              <w:rPr>
                <w:rFonts w:hint="eastAsia"/>
                <w:w w:val="86"/>
                <w:kern w:val="0"/>
                <w:sz w:val="20"/>
                <w:szCs w:val="20"/>
                <w:fitText w:val="1206" w:id="-1954281979"/>
              </w:rPr>
              <w:t>成長産業振興室</w:t>
            </w:r>
          </w:p>
          <w:p w14:paraId="3DAF8D86" w14:textId="19D5C251" w:rsidR="005E05D8" w:rsidRPr="001D6D10" w:rsidRDefault="005E05D8" w:rsidP="008C36F6">
            <w:pPr>
              <w:spacing w:line="340" w:lineRule="exact"/>
            </w:pPr>
            <w:r w:rsidRPr="00680BEF">
              <w:rPr>
                <w:rFonts w:hint="eastAsia"/>
                <w:w w:val="58"/>
                <w:kern w:val="0"/>
                <w:fitText w:val="1477" w:id="-1954281978"/>
              </w:rPr>
              <w:t>ライフサイエンス産業課</w:t>
            </w:r>
            <w:r w:rsidRPr="00680BEF">
              <w:rPr>
                <w:rFonts w:hint="eastAsia"/>
                <w:spacing w:val="10"/>
                <w:w w:val="58"/>
                <w:kern w:val="0"/>
                <w:fitText w:val="1477" w:id="-1954281978"/>
              </w:rPr>
              <w:t>長</w:t>
            </w:r>
          </w:p>
        </w:tc>
        <w:tc>
          <w:tcPr>
            <w:tcW w:w="6066" w:type="dxa"/>
          </w:tcPr>
          <w:p w14:paraId="7ACED6AA" w14:textId="77777777" w:rsidR="005E05D8" w:rsidRPr="001D6D10" w:rsidRDefault="005E05D8" w:rsidP="008C36F6">
            <w:pPr>
              <w:spacing w:line="340" w:lineRule="exact"/>
              <w:ind w:left="81" w:hanging="81"/>
            </w:pPr>
            <w:r w:rsidRPr="001D6D10">
              <w:rPr>
                <w:rFonts w:hint="eastAsia"/>
              </w:rPr>
              <w:t>１　他の班の応援に関すること。</w:t>
            </w:r>
          </w:p>
          <w:p w14:paraId="13D04838" w14:textId="6C0E27B3" w:rsidR="005E05D8" w:rsidRPr="001D6D10" w:rsidRDefault="005E05D8" w:rsidP="008C36F6">
            <w:pPr>
              <w:spacing w:line="340" w:lineRule="exact"/>
              <w:rPr>
                <w:szCs w:val="21"/>
              </w:rPr>
            </w:pPr>
            <w:r w:rsidRPr="001D6D10">
              <w:rPr>
                <w:rFonts w:hint="eastAsia"/>
              </w:rPr>
              <w:t xml:space="preserve">２　</w:t>
            </w:r>
            <w:r w:rsidRPr="001D6D10">
              <w:rPr>
                <w:rFonts w:hint="eastAsia"/>
                <w:kern w:val="0"/>
              </w:rPr>
              <w:t>立地企業等との連絡調整に関すること。</w:t>
            </w:r>
          </w:p>
        </w:tc>
      </w:tr>
      <w:tr w:rsidR="005E05D8" w:rsidRPr="001D6D10" w14:paraId="6EBDF750" w14:textId="77777777" w:rsidTr="005F51E1">
        <w:tc>
          <w:tcPr>
            <w:tcW w:w="426" w:type="dxa"/>
            <w:vMerge/>
            <w:textDirection w:val="tbRlV"/>
          </w:tcPr>
          <w:p w14:paraId="2A2637ED" w14:textId="77777777" w:rsidR="005E05D8" w:rsidRPr="001D6D10" w:rsidRDefault="005E05D8" w:rsidP="008C36F6">
            <w:pPr>
              <w:pStyle w:val="ad"/>
              <w:wordWrap/>
              <w:overflowPunct w:val="0"/>
              <w:spacing w:line="240" w:lineRule="auto"/>
              <w:ind w:left="113" w:rightChars="-376" w:right="-794"/>
              <w:rPr>
                <w:sz w:val="21"/>
              </w:rPr>
            </w:pPr>
          </w:p>
        </w:tc>
        <w:tc>
          <w:tcPr>
            <w:tcW w:w="1134" w:type="dxa"/>
            <w:vMerge/>
          </w:tcPr>
          <w:p w14:paraId="173C3905" w14:textId="77777777" w:rsidR="005E05D8" w:rsidRPr="001D6D10" w:rsidRDefault="005E05D8" w:rsidP="008C36F6">
            <w:pPr>
              <w:pStyle w:val="ad"/>
              <w:wordWrap/>
              <w:overflowPunct w:val="0"/>
              <w:spacing w:line="240" w:lineRule="auto"/>
              <w:ind w:rightChars="-376" w:right="-794"/>
              <w:rPr>
                <w:sz w:val="21"/>
              </w:rPr>
            </w:pPr>
          </w:p>
        </w:tc>
        <w:tc>
          <w:tcPr>
            <w:tcW w:w="1276" w:type="dxa"/>
          </w:tcPr>
          <w:p w14:paraId="7C6437F3" w14:textId="412F1891" w:rsidR="005E05D8" w:rsidRPr="001D6D10" w:rsidRDefault="005E05D8" w:rsidP="008C36F6">
            <w:pPr>
              <w:spacing w:line="340" w:lineRule="exact"/>
            </w:pPr>
            <w:r w:rsidRPr="00080EB7">
              <w:rPr>
                <w:rFonts w:hint="eastAsia"/>
                <w:szCs w:val="21"/>
              </w:rPr>
              <w:t>応援第４班</w:t>
            </w:r>
          </w:p>
        </w:tc>
        <w:tc>
          <w:tcPr>
            <w:tcW w:w="1730" w:type="dxa"/>
          </w:tcPr>
          <w:p w14:paraId="2BC35BE4" w14:textId="70BF53A0" w:rsidR="005E05D8" w:rsidRPr="001D6D10" w:rsidRDefault="005E05D8" w:rsidP="008C36F6">
            <w:pPr>
              <w:spacing w:line="340" w:lineRule="exact"/>
              <w:rPr>
                <w:kern w:val="0"/>
                <w:sz w:val="20"/>
                <w:szCs w:val="20"/>
              </w:rPr>
            </w:pPr>
            <w:r w:rsidRPr="00080EB7">
              <w:rPr>
                <w:rFonts w:hint="eastAsia"/>
                <w:w w:val="80"/>
                <w:kern w:val="0"/>
                <w:szCs w:val="21"/>
                <w:fitText w:val="1350" w:id="-744846336"/>
              </w:rPr>
              <w:t>労働委員会事務</w:t>
            </w:r>
            <w:r w:rsidRPr="00080EB7">
              <w:rPr>
                <w:rFonts w:hint="eastAsia"/>
                <w:spacing w:val="5"/>
                <w:w w:val="80"/>
                <w:kern w:val="0"/>
                <w:szCs w:val="21"/>
                <w:fitText w:val="1350" w:id="-744846336"/>
              </w:rPr>
              <w:t>局</w:t>
            </w:r>
          </w:p>
        </w:tc>
        <w:tc>
          <w:tcPr>
            <w:tcW w:w="6066" w:type="dxa"/>
          </w:tcPr>
          <w:p w14:paraId="00A901FD" w14:textId="279F2B37" w:rsidR="005E05D8" w:rsidRPr="001D6D10" w:rsidRDefault="005E05D8" w:rsidP="008C36F6">
            <w:pPr>
              <w:spacing w:line="340" w:lineRule="exact"/>
              <w:ind w:left="81" w:hanging="81"/>
            </w:pPr>
            <w:r w:rsidRPr="00080EB7">
              <w:rPr>
                <w:rFonts w:hint="eastAsia"/>
                <w:szCs w:val="21"/>
              </w:rPr>
              <w:t>他の班の応援に関すること</w:t>
            </w:r>
          </w:p>
        </w:tc>
      </w:tr>
    </w:tbl>
    <w:p w14:paraId="0C33101C" w14:textId="77777777" w:rsidR="005E05D8" w:rsidRDefault="005E05D8">
      <w:r>
        <w:br w:type="page"/>
      </w:r>
    </w:p>
    <w:tbl>
      <w:tblPr>
        <w:tblStyle w:val="ab"/>
        <w:tblW w:w="10632" w:type="dxa"/>
        <w:tblInd w:w="-885" w:type="dxa"/>
        <w:tblLayout w:type="fixed"/>
        <w:tblLook w:val="04A0" w:firstRow="1" w:lastRow="0" w:firstColumn="1" w:lastColumn="0" w:noHBand="0" w:noVBand="1"/>
      </w:tblPr>
      <w:tblGrid>
        <w:gridCol w:w="426"/>
        <w:gridCol w:w="1134"/>
        <w:gridCol w:w="1276"/>
        <w:gridCol w:w="1730"/>
        <w:gridCol w:w="6066"/>
      </w:tblGrid>
      <w:tr w:rsidR="005E05D8" w:rsidRPr="001D6D10" w14:paraId="593A0BF2" w14:textId="77777777" w:rsidTr="005F51E1">
        <w:tc>
          <w:tcPr>
            <w:tcW w:w="426" w:type="dxa"/>
            <w:vMerge w:val="restart"/>
            <w:textDirection w:val="tbRlV"/>
          </w:tcPr>
          <w:p w14:paraId="20771B60" w14:textId="432F6499" w:rsidR="005E05D8" w:rsidRPr="001D6D10" w:rsidRDefault="005E05D8" w:rsidP="008C36F6">
            <w:pPr>
              <w:spacing w:line="340" w:lineRule="exact"/>
            </w:pPr>
            <w:r w:rsidRPr="001D6D10">
              <w:rPr>
                <w:rFonts w:hint="eastAsia"/>
              </w:rPr>
              <w:lastRenderedPageBreak/>
              <w:t>環境農林水産部</w:t>
            </w:r>
          </w:p>
        </w:tc>
        <w:tc>
          <w:tcPr>
            <w:tcW w:w="1134" w:type="dxa"/>
            <w:vMerge w:val="restart"/>
          </w:tcPr>
          <w:p w14:paraId="0826B84B" w14:textId="77777777" w:rsidR="005E05D8" w:rsidRPr="001D6D10" w:rsidRDefault="005E05D8" w:rsidP="008C36F6">
            <w:pPr>
              <w:spacing w:line="340" w:lineRule="exact"/>
            </w:pPr>
            <w:r w:rsidRPr="001D6D10">
              <w:rPr>
                <w:rFonts w:hint="eastAsia"/>
              </w:rPr>
              <w:t>環境農林</w:t>
            </w:r>
          </w:p>
          <w:p w14:paraId="5078BE75" w14:textId="77777777" w:rsidR="005E05D8" w:rsidRPr="001D6D10" w:rsidRDefault="005E05D8" w:rsidP="008C36F6">
            <w:pPr>
              <w:pStyle w:val="ad"/>
              <w:wordWrap/>
              <w:overflowPunct w:val="0"/>
              <w:spacing w:line="240" w:lineRule="auto"/>
              <w:ind w:rightChars="-376" w:right="-794"/>
            </w:pPr>
            <w:r w:rsidRPr="001D6D10">
              <w:rPr>
                <w:rFonts w:hint="eastAsia"/>
              </w:rPr>
              <w:t>水産部長</w:t>
            </w:r>
          </w:p>
          <w:p w14:paraId="1461F3E4" w14:textId="77777777" w:rsidR="005E05D8" w:rsidRPr="001D6D10" w:rsidRDefault="005E05D8" w:rsidP="008C36F6">
            <w:pPr>
              <w:spacing w:line="340" w:lineRule="exact"/>
            </w:pPr>
          </w:p>
        </w:tc>
        <w:tc>
          <w:tcPr>
            <w:tcW w:w="1276" w:type="dxa"/>
          </w:tcPr>
          <w:p w14:paraId="41DE62AD" w14:textId="77777777" w:rsidR="005E05D8" w:rsidRPr="001D6D10" w:rsidRDefault="005E05D8" w:rsidP="008C36F6">
            <w:pPr>
              <w:spacing w:line="340" w:lineRule="exact"/>
            </w:pPr>
            <w:r w:rsidRPr="001D6D10">
              <w:rPr>
                <w:rFonts w:hint="eastAsia"/>
              </w:rPr>
              <w:t>環境農林</w:t>
            </w:r>
          </w:p>
          <w:p w14:paraId="0CD62648" w14:textId="0B7C5766" w:rsidR="005E05D8" w:rsidRPr="00080EB7" w:rsidRDefault="005E05D8" w:rsidP="008C36F6">
            <w:pPr>
              <w:spacing w:line="340" w:lineRule="exact"/>
              <w:rPr>
                <w:szCs w:val="21"/>
              </w:rPr>
            </w:pPr>
            <w:r w:rsidRPr="001D6D10">
              <w:rPr>
                <w:rFonts w:hint="eastAsia"/>
              </w:rPr>
              <w:t>水産総務班</w:t>
            </w:r>
          </w:p>
        </w:tc>
        <w:tc>
          <w:tcPr>
            <w:tcW w:w="1730" w:type="dxa"/>
          </w:tcPr>
          <w:p w14:paraId="57131C9E" w14:textId="77777777" w:rsidR="005E05D8" w:rsidRPr="001D6D10" w:rsidRDefault="005E05D8" w:rsidP="008C36F6">
            <w:pPr>
              <w:spacing w:line="340" w:lineRule="exact"/>
            </w:pPr>
            <w:r w:rsidRPr="001D6D10">
              <w:rPr>
                <w:rFonts w:hint="eastAsia"/>
              </w:rPr>
              <w:t>環境農林水産</w:t>
            </w:r>
          </w:p>
          <w:p w14:paraId="7847CDB1" w14:textId="133DC5E6" w:rsidR="005E05D8" w:rsidRPr="00080EB7" w:rsidRDefault="005E05D8" w:rsidP="008C36F6">
            <w:pPr>
              <w:spacing w:line="340" w:lineRule="exact"/>
              <w:rPr>
                <w:szCs w:val="21"/>
              </w:rPr>
            </w:pPr>
            <w:r w:rsidRPr="001D6D10">
              <w:rPr>
                <w:rFonts w:hint="eastAsia"/>
              </w:rPr>
              <w:t>総務課長</w:t>
            </w:r>
          </w:p>
        </w:tc>
        <w:tc>
          <w:tcPr>
            <w:tcW w:w="6066" w:type="dxa"/>
          </w:tcPr>
          <w:p w14:paraId="2C9A4F8C" w14:textId="77777777" w:rsidR="005E05D8" w:rsidRPr="001D6D10" w:rsidRDefault="005E05D8" w:rsidP="008C36F6">
            <w:pPr>
              <w:spacing w:line="340" w:lineRule="exact"/>
              <w:ind w:left="81" w:hanging="81"/>
            </w:pPr>
            <w:r w:rsidRPr="001D6D10">
              <w:rPr>
                <w:rFonts w:hint="eastAsia"/>
              </w:rPr>
              <w:t>１ 防災・危機管理指令部に関すること。</w:t>
            </w:r>
          </w:p>
          <w:p w14:paraId="36EA6648" w14:textId="77777777" w:rsidR="005E05D8" w:rsidRPr="001D6D10" w:rsidRDefault="005E05D8" w:rsidP="008C36F6">
            <w:pPr>
              <w:spacing w:line="340" w:lineRule="exact"/>
              <w:ind w:left="81" w:hanging="81"/>
            </w:pPr>
            <w:r w:rsidRPr="001D6D10">
              <w:rPr>
                <w:rFonts w:hint="eastAsia"/>
              </w:rPr>
              <w:t>２ 部内各班の連絡調整に関すること。</w:t>
            </w:r>
          </w:p>
          <w:p w14:paraId="5962A961" w14:textId="77777777" w:rsidR="005E05D8" w:rsidRPr="001D6D10" w:rsidRDefault="005E05D8" w:rsidP="008C36F6">
            <w:pPr>
              <w:spacing w:line="340" w:lineRule="exact"/>
              <w:ind w:left="81" w:hanging="81"/>
            </w:pPr>
            <w:r w:rsidRPr="001D6D10">
              <w:rPr>
                <w:rFonts w:hint="eastAsia"/>
              </w:rPr>
              <w:t>３ 部内各班の被害状況のとりまとめ及び本部への報告に関すること。</w:t>
            </w:r>
          </w:p>
          <w:p w14:paraId="3908C42F" w14:textId="77777777" w:rsidR="005E05D8" w:rsidRPr="001D6D10" w:rsidRDefault="005E05D8" w:rsidP="008C36F6">
            <w:pPr>
              <w:spacing w:line="340" w:lineRule="exact"/>
              <w:ind w:left="81" w:hanging="81"/>
              <w:rPr>
                <w:szCs w:val="21"/>
              </w:rPr>
            </w:pPr>
            <w:r w:rsidRPr="001D6D10">
              <w:rPr>
                <w:rFonts w:hint="eastAsia"/>
              </w:rPr>
              <w:t xml:space="preserve">４ </w:t>
            </w:r>
            <w:r w:rsidRPr="001D6D10">
              <w:rPr>
                <w:rFonts w:hint="eastAsia"/>
                <w:szCs w:val="21"/>
              </w:rPr>
              <w:t>災害等の復旧・復興事業計画の策定に関すること。</w:t>
            </w:r>
          </w:p>
          <w:p w14:paraId="205AFFAA" w14:textId="77777777" w:rsidR="005E05D8" w:rsidRPr="001D6D10" w:rsidRDefault="005E05D8" w:rsidP="008C36F6">
            <w:pPr>
              <w:spacing w:line="340" w:lineRule="exact"/>
              <w:rPr>
                <w:szCs w:val="21"/>
              </w:rPr>
            </w:pPr>
            <w:r w:rsidRPr="001D6D10">
              <w:rPr>
                <w:rFonts w:hint="eastAsia"/>
                <w:szCs w:val="21"/>
              </w:rPr>
              <w:t>５ 災害対策本部へのリエゾンの派遣に関すること。</w:t>
            </w:r>
          </w:p>
          <w:p w14:paraId="3B161540" w14:textId="5E0EE643" w:rsidR="005E05D8" w:rsidRPr="00080EB7" w:rsidRDefault="005E05D8" w:rsidP="008C36F6">
            <w:pPr>
              <w:spacing w:line="340" w:lineRule="exact"/>
              <w:rPr>
                <w:szCs w:val="21"/>
              </w:rPr>
            </w:pPr>
            <w:r w:rsidRPr="001D6D10">
              <w:rPr>
                <w:rFonts w:hint="eastAsia"/>
              </w:rPr>
              <w:t>６ 被災農林、漁業者に対する災害等の融資に関すること。</w:t>
            </w:r>
          </w:p>
        </w:tc>
      </w:tr>
      <w:tr w:rsidR="005E05D8" w:rsidRPr="001D6D10" w14:paraId="1DDE8023" w14:textId="77777777" w:rsidTr="005F51E1">
        <w:tc>
          <w:tcPr>
            <w:tcW w:w="426" w:type="dxa"/>
            <w:vMerge/>
          </w:tcPr>
          <w:p w14:paraId="22E918A2" w14:textId="29EDAA5B" w:rsidR="005E05D8" w:rsidRPr="001D6D10" w:rsidRDefault="005E05D8" w:rsidP="008C36F6">
            <w:pPr>
              <w:spacing w:line="340" w:lineRule="exact"/>
            </w:pPr>
          </w:p>
        </w:tc>
        <w:tc>
          <w:tcPr>
            <w:tcW w:w="1134" w:type="dxa"/>
            <w:vMerge/>
          </w:tcPr>
          <w:p w14:paraId="2CDF5838" w14:textId="77777777" w:rsidR="005E05D8" w:rsidRPr="001D6D10" w:rsidRDefault="005E05D8" w:rsidP="008C36F6">
            <w:pPr>
              <w:spacing w:line="340" w:lineRule="exact"/>
            </w:pPr>
          </w:p>
        </w:tc>
        <w:tc>
          <w:tcPr>
            <w:tcW w:w="1276" w:type="dxa"/>
          </w:tcPr>
          <w:p w14:paraId="5E7EEFD3" w14:textId="4CD3F3D6" w:rsidR="005E05D8" w:rsidRPr="001D6D10" w:rsidRDefault="005E05D8" w:rsidP="008C36F6">
            <w:pPr>
              <w:spacing w:line="340" w:lineRule="exact"/>
            </w:pPr>
            <w:r w:rsidRPr="001D6D10">
              <w:rPr>
                <w:rFonts w:hint="eastAsia"/>
              </w:rPr>
              <w:t>みどり企画班</w:t>
            </w:r>
          </w:p>
        </w:tc>
        <w:tc>
          <w:tcPr>
            <w:tcW w:w="1730" w:type="dxa"/>
          </w:tcPr>
          <w:p w14:paraId="426EAA0A" w14:textId="77777777" w:rsidR="005E05D8" w:rsidRPr="001D6D10" w:rsidRDefault="005E05D8" w:rsidP="008C36F6">
            <w:pPr>
              <w:spacing w:line="340" w:lineRule="exact"/>
            </w:pPr>
            <w:r w:rsidRPr="001D6D10">
              <w:rPr>
                <w:rFonts w:hint="eastAsia"/>
                <w:kern w:val="0"/>
              </w:rPr>
              <w:t>みどり推進室</w:t>
            </w:r>
          </w:p>
          <w:p w14:paraId="5010F177" w14:textId="2A7E0D16" w:rsidR="005E05D8" w:rsidRPr="001D6D10" w:rsidRDefault="005E05D8" w:rsidP="008C36F6">
            <w:pPr>
              <w:spacing w:line="340" w:lineRule="exact"/>
              <w:rPr>
                <w:kern w:val="0"/>
              </w:rPr>
            </w:pPr>
            <w:r w:rsidRPr="001D6D10">
              <w:rPr>
                <w:rFonts w:hint="eastAsia"/>
                <w:kern w:val="0"/>
                <w:sz w:val="20"/>
                <w:szCs w:val="20"/>
              </w:rPr>
              <w:t>みどり企画課長</w:t>
            </w:r>
          </w:p>
        </w:tc>
        <w:tc>
          <w:tcPr>
            <w:tcW w:w="6066" w:type="dxa"/>
          </w:tcPr>
          <w:p w14:paraId="749808DE" w14:textId="77777777" w:rsidR="005E05D8" w:rsidRPr="001D6D10" w:rsidRDefault="005E05D8" w:rsidP="008C36F6">
            <w:pPr>
              <w:spacing w:line="340" w:lineRule="exact"/>
              <w:ind w:left="81" w:hanging="81"/>
            </w:pPr>
            <w:r w:rsidRPr="001D6D10">
              <w:rPr>
                <w:rFonts w:hint="eastAsia"/>
              </w:rPr>
              <w:t>１ 防災・危機管理指令部に関すること。</w:t>
            </w:r>
          </w:p>
          <w:p w14:paraId="7C5D2EEF" w14:textId="07992609" w:rsidR="005E05D8" w:rsidRPr="001D6D10" w:rsidRDefault="005E05D8" w:rsidP="008C36F6">
            <w:pPr>
              <w:spacing w:line="340" w:lineRule="exact"/>
            </w:pPr>
            <w:r w:rsidRPr="001D6D10">
              <w:rPr>
                <w:rFonts w:hint="eastAsia"/>
              </w:rPr>
              <w:t>２ 自然公園関係施設等の被害状況の情報収集に関すること。</w:t>
            </w:r>
          </w:p>
        </w:tc>
      </w:tr>
      <w:tr w:rsidR="005E05D8" w:rsidRPr="001D6D10" w14:paraId="626CD0EB" w14:textId="77777777" w:rsidTr="005F51E1">
        <w:tc>
          <w:tcPr>
            <w:tcW w:w="426" w:type="dxa"/>
            <w:vMerge/>
          </w:tcPr>
          <w:p w14:paraId="2A10B3F3" w14:textId="77777777" w:rsidR="005E05D8" w:rsidRPr="001D6D10" w:rsidRDefault="005E05D8" w:rsidP="008C36F6">
            <w:pPr>
              <w:pStyle w:val="ad"/>
              <w:overflowPunct w:val="0"/>
              <w:spacing w:line="240" w:lineRule="auto"/>
              <w:ind w:rightChars="-376" w:right="-794"/>
            </w:pPr>
          </w:p>
        </w:tc>
        <w:tc>
          <w:tcPr>
            <w:tcW w:w="1134" w:type="dxa"/>
            <w:vMerge/>
          </w:tcPr>
          <w:p w14:paraId="5DD43529" w14:textId="77777777" w:rsidR="005E05D8" w:rsidRPr="001D6D10" w:rsidRDefault="005E05D8" w:rsidP="008C36F6">
            <w:pPr>
              <w:spacing w:line="340" w:lineRule="exact"/>
            </w:pPr>
          </w:p>
        </w:tc>
        <w:tc>
          <w:tcPr>
            <w:tcW w:w="1276" w:type="dxa"/>
          </w:tcPr>
          <w:p w14:paraId="31085577" w14:textId="68D411FC" w:rsidR="005E05D8" w:rsidRPr="001D6D10" w:rsidRDefault="005E05D8" w:rsidP="008C36F6">
            <w:pPr>
              <w:spacing w:line="340" w:lineRule="exact"/>
            </w:pPr>
            <w:r w:rsidRPr="001D6D10">
              <w:rPr>
                <w:rFonts w:hint="eastAsia"/>
              </w:rPr>
              <w:t>森づくり班</w:t>
            </w:r>
          </w:p>
        </w:tc>
        <w:tc>
          <w:tcPr>
            <w:tcW w:w="1730" w:type="dxa"/>
          </w:tcPr>
          <w:p w14:paraId="12811419" w14:textId="77777777" w:rsidR="005E05D8" w:rsidRPr="001D6D10" w:rsidRDefault="005E05D8" w:rsidP="008C36F6">
            <w:pPr>
              <w:spacing w:line="340" w:lineRule="exact"/>
              <w:rPr>
                <w:kern w:val="0"/>
              </w:rPr>
            </w:pPr>
            <w:r w:rsidRPr="001D6D10">
              <w:rPr>
                <w:rFonts w:hint="eastAsia"/>
                <w:kern w:val="0"/>
              </w:rPr>
              <w:t>みどり推進室</w:t>
            </w:r>
          </w:p>
          <w:p w14:paraId="116457C7" w14:textId="7CECCA56" w:rsidR="005E05D8" w:rsidRPr="001D6D10" w:rsidRDefault="005E05D8" w:rsidP="008C36F6">
            <w:pPr>
              <w:spacing w:line="340" w:lineRule="exact"/>
            </w:pPr>
            <w:r w:rsidRPr="001D6D10">
              <w:rPr>
                <w:rFonts w:hint="eastAsia"/>
                <w:kern w:val="0"/>
              </w:rPr>
              <w:t>森づくり課長</w:t>
            </w:r>
          </w:p>
        </w:tc>
        <w:tc>
          <w:tcPr>
            <w:tcW w:w="6066" w:type="dxa"/>
          </w:tcPr>
          <w:p w14:paraId="66C5A96F" w14:textId="77777777" w:rsidR="005E05D8" w:rsidRPr="001D6D10" w:rsidRDefault="005E05D8" w:rsidP="008C36F6">
            <w:pPr>
              <w:spacing w:line="340" w:lineRule="exact"/>
              <w:ind w:left="81" w:hanging="81"/>
            </w:pPr>
            <w:r w:rsidRPr="001D6D10">
              <w:rPr>
                <w:rFonts w:hint="eastAsia"/>
              </w:rPr>
              <w:t>１ 防災・危機管理指令部に関すること。</w:t>
            </w:r>
          </w:p>
          <w:p w14:paraId="4801F9AA" w14:textId="77777777" w:rsidR="005E05D8" w:rsidRPr="001D6D10" w:rsidRDefault="005E05D8" w:rsidP="008C36F6">
            <w:pPr>
              <w:spacing w:line="340" w:lineRule="exact"/>
              <w:ind w:left="81" w:hanging="81"/>
            </w:pPr>
            <w:r w:rsidRPr="001D6D10">
              <w:rPr>
                <w:rFonts w:hint="eastAsia"/>
              </w:rPr>
              <w:t>２ 林野火災、山地災害、地すべり、山くずれ等に関する情報収集に関すること。</w:t>
            </w:r>
          </w:p>
          <w:p w14:paraId="0ED3CFA5" w14:textId="77777777" w:rsidR="005E05D8" w:rsidRPr="001D6D10" w:rsidRDefault="005E05D8" w:rsidP="008C36F6">
            <w:pPr>
              <w:spacing w:line="340" w:lineRule="exact"/>
              <w:ind w:left="81" w:hanging="81"/>
            </w:pPr>
            <w:r w:rsidRPr="001D6D10">
              <w:rPr>
                <w:rFonts w:hint="eastAsia"/>
              </w:rPr>
              <w:t xml:space="preserve">３ </w:t>
            </w:r>
            <w:r w:rsidRPr="001D6D10">
              <w:rPr>
                <w:rFonts w:hint="eastAsia"/>
                <w:szCs w:val="21"/>
              </w:rPr>
              <w:t>近畿中国森林管理局への情報伝達に関すること。</w:t>
            </w:r>
          </w:p>
          <w:p w14:paraId="7168F430" w14:textId="6ED19B18" w:rsidR="005E05D8" w:rsidRPr="001D6D10" w:rsidRDefault="005E05D8" w:rsidP="008C36F6">
            <w:pPr>
              <w:spacing w:line="340" w:lineRule="exact"/>
              <w:ind w:left="81" w:hanging="81"/>
            </w:pPr>
            <w:r w:rsidRPr="001D6D10">
              <w:rPr>
                <w:rFonts w:hint="eastAsia"/>
              </w:rPr>
              <w:t>４ 木材の調達斡旋に関すること。</w:t>
            </w:r>
          </w:p>
        </w:tc>
      </w:tr>
      <w:tr w:rsidR="005E05D8" w:rsidRPr="001D6D10" w14:paraId="782FC012" w14:textId="77777777" w:rsidTr="005F51E1">
        <w:tc>
          <w:tcPr>
            <w:tcW w:w="426" w:type="dxa"/>
            <w:vMerge/>
          </w:tcPr>
          <w:p w14:paraId="0397AE67" w14:textId="77777777" w:rsidR="005E05D8" w:rsidRPr="001D6D10" w:rsidRDefault="005E05D8" w:rsidP="008C36F6">
            <w:pPr>
              <w:pStyle w:val="ad"/>
              <w:overflowPunct w:val="0"/>
              <w:spacing w:line="240" w:lineRule="auto"/>
              <w:ind w:rightChars="-376" w:right="-794"/>
            </w:pPr>
          </w:p>
        </w:tc>
        <w:tc>
          <w:tcPr>
            <w:tcW w:w="1134" w:type="dxa"/>
            <w:vMerge/>
          </w:tcPr>
          <w:p w14:paraId="6D0A4F86" w14:textId="77777777" w:rsidR="005E05D8" w:rsidRPr="001D6D10" w:rsidRDefault="005E05D8" w:rsidP="008C36F6">
            <w:pPr>
              <w:pStyle w:val="ad"/>
              <w:overflowPunct w:val="0"/>
              <w:spacing w:line="240" w:lineRule="auto"/>
              <w:ind w:rightChars="-376" w:right="-794"/>
            </w:pPr>
          </w:p>
        </w:tc>
        <w:tc>
          <w:tcPr>
            <w:tcW w:w="1276" w:type="dxa"/>
          </w:tcPr>
          <w:p w14:paraId="3F99CB08" w14:textId="4D2821B9" w:rsidR="005E05D8" w:rsidRPr="001D6D10" w:rsidRDefault="005E05D8" w:rsidP="008C36F6">
            <w:pPr>
              <w:spacing w:line="340" w:lineRule="exact"/>
            </w:pPr>
            <w:r w:rsidRPr="001D6D10">
              <w:rPr>
                <w:rFonts w:hint="eastAsia"/>
              </w:rPr>
              <w:t>資源循環班</w:t>
            </w:r>
          </w:p>
        </w:tc>
        <w:tc>
          <w:tcPr>
            <w:tcW w:w="1730" w:type="dxa"/>
          </w:tcPr>
          <w:p w14:paraId="5390E19D" w14:textId="77777777" w:rsidR="005E05D8" w:rsidRPr="001D6D10" w:rsidRDefault="005E05D8" w:rsidP="008C36F6">
            <w:pPr>
              <w:spacing w:line="340" w:lineRule="exact"/>
            </w:pPr>
            <w:r w:rsidRPr="001D6D10">
              <w:rPr>
                <w:rFonts w:hint="eastAsia"/>
                <w:w w:val="87"/>
                <w:kern w:val="0"/>
                <w:fitText w:val="1477" w:id="-1954281977"/>
              </w:rPr>
              <w:t>循環型社会推進</w:t>
            </w:r>
            <w:r w:rsidRPr="001D6D10">
              <w:rPr>
                <w:rFonts w:hint="eastAsia"/>
                <w:spacing w:val="8"/>
                <w:w w:val="87"/>
                <w:kern w:val="0"/>
                <w:fitText w:val="1477" w:id="-1954281977"/>
              </w:rPr>
              <w:t>室</w:t>
            </w:r>
          </w:p>
          <w:p w14:paraId="71529698" w14:textId="782C37CC" w:rsidR="005E05D8" w:rsidRPr="001D6D10" w:rsidRDefault="005E05D8" w:rsidP="008C36F6">
            <w:pPr>
              <w:spacing w:line="340" w:lineRule="exact"/>
            </w:pPr>
            <w:r w:rsidRPr="001D6D10">
              <w:rPr>
                <w:rFonts w:hint="eastAsia"/>
              </w:rPr>
              <w:t>資源循環課長</w:t>
            </w:r>
          </w:p>
        </w:tc>
        <w:tc>
          <w:tcPr>
            <w:tcW w:w="6066" w:type="dxa"/>
          </w:tcPr>
          <w:p w14:paraId="77D17FEA" w14:textId="77777777" w:rsidR="005E05D8" w:rsidRPr="001D6D10" w:rsidRDefault="005E05D8" w:rsidP="008C36F6">
            <w:pPr>
              <w:spacing w:line="340" w:lineRule="exact"/>
              <w:ind w:left="81" w:hanging="81"/>
            </w:pPr>
            <w:r w:rsidRPr="001D6D10">
              <w:rPr>
                <w:rFonts w:hint="eastAsia"/>
              </w:rPr>
              <w:t>１ 市町村の廃棄物処理施設の稼働見込みの把握に関すること。</w:t>
            </w:r>
          </w:p>
          <w:p w14:paraId="3B253722" w14:textId="77777777" w:rsidR="005E05D8" w:rsidRPr="001D6D10" w:rsidRDefault="005E05D8" w:rsidP="008C36F6">
            <w:pPr>
              <w:spacing w:line="340" w:lineRule="exact"/>
              <w:ind w:left="81" w:hanging="81"/>
            </w:pPr>
            <w:r w:rsidRPr="001D6D10">
              <w:rPr>
                <w:rFonts w:hint="eastAsia"/>
              </w:rPr>
              <w:t>２ 市町村の廃棄物処理施設の復旧対策に関すること。</w:t>
            </w:r>
          </w:p>
          <w:p w14:paraId="1DC0E866" w14:textId="77777777" w:rsidR="005E05D8" w:rsidRPr="001D6D10" w:rsidRDefault="005E05D8" w:rsidP="008C36F6">
            <w:pPr>
              <w:spacing w:line="340" w:lineRule="exact"/>
              <w:ind w:left="81" w:hanging="81"/>
            </w:pPr>
            <w:r w:rsidRPr="001D6D10">
              <w:rPr>
                <w:rFonts w:hint="eastAsia"/>
              </w:rPr>
              <w:t>３ 損壊家屋等の災害廃棄物の把握と処理の状況に関すること。</w:t>
            </w:r>
          </w:p>
          <w:p w14:paraId="2CBD609A" w14:textId="0CA04AC1" w:rsidR="005E05D8" w:rsidRPr="001D6D10" w:rsidRDefault="005E05D8" w:rsidP="008C36F6">
            <w:pPr>
              <w:spacing w:line="340" w:lineRule="exact"/>
            </w:pPr>
            <w:r w:rsidRPr="001D6D10">
              <w:rPr>
                <w:rFonts w:hint="eastAsia"/>
              </w:rPr>
              <w:t>４ 災害廃棄物の広域処理に関すること。</w:t>
            </w:r>
          </w:p>
        </w:tc>
      </w:tr>
      <w:tr w:rsidR="005E05D8" w:rsidRPr="001D6D10" w14:paraId="5B07D7D1" w14:textId="77777777" w:rsidTr="005F51E1">
        <w:tc>
          <w:tcPr>
            <w:tcW w:w="426" w:type="dxa"/>
            <w:vMerge/>
          </w:tcPr>
          <w:p w14:paraId="5AE8615B" w14:textId="77777777" w:rsidR="005E05D8" w:rsidRPr="001D6D10" w:rsidRDefault="005E05D8" w:rsidP="008C36F6">
            <w:pPr>
              <w:pStyle w:val="ad"/>
              <w:overflowPunct w:val="0"/>
              <w:spacing w:line="240" w:lineRule="auto"/>
              <w:ind w:rightChars="-376" w:right="-794"/>
            </w:pPr>
          </w:p>
        </w:tc>
        <w:tc>
          <w:tcPr>
            <w:tcW w:w="1134" w:type="dxa"/>
            <w:vMerge/>
          </w:tcPr>
          <w:p w14:paraId="1FEBD2C7" w14:textId="77777777" w:rsidR="005E05D8" w:rsidRPr="001D6D10" w:rsidRDefault="005E05D8" w:rsidP="008C36F6">
            <w:pPr>
              <w:pStyle w:val="ad"/>
              <w:overflowPunct w:val="0"/>
              <w:spacing w:line="240" w:lineRule="auto"/>
              <w:ind w:rightChars="-376" w:right="-794"/>
            </w:pPr>
          </w:p>
        </w:tc>
        <w:tc>
          <w:tcPr>
            <w:tcW w:w="1276" w:type="dxa"/>
          </w:tcPr>
          <w:p w14:paraId="1C8F1895" w14:textId="77777777" w:rsidR="005E05D8" w:rsidRPr="001D6D10" w:rsidRDefault="005E05D8" w:rsidP="008C36F6">
            <w:pPr>
              <w:spacing w:line="340" w:lineRule="exact"/>
            </w:pPr>
            <w:r w:rsidRPr="001D6D10">
              <w:rPr>
                <w:rFonts w:hint="eastAsia"/>
              </w:rPr>
              <w:t>産業廃棄物</w:t>
            </w:r>
          </w:p>
          <w:p w14:paraId="3501D34B" w14:textId="38AED316" w:rsidR="005E05D8" w:rsidRPr="001D6D10" w:rsidRDefault="005E05D8" w:rsidP="008C36F6">
            <w:pPr>
              <w:spacing w:line="340" w:lineRule="exact"/>
            </w:pPr>
            <w:r w:rsidRPr="001D6D10">
              <w:rPr>
                <w:rFonts w:hint="eastAsia"/>
              </w:rPr>
              <w:t>指導班</w:t>
            </w:r>
          </w:p>
        </w:tc>
        <w:tc>
          <w:tcPr>
            <w:tcW w:w="1730" w:type="dxa"/>
          </w:tcPr>
          <w:p w14:paraId="668D9069" w14:textId="55A6F825" w:rsidR="005E05D8" w:rsidRPr="001D6D10" w:rsidRDefault="005E05D8" w:rsidP="008C36F6">
            <w:pPr>
              <w:spacing w:line="340" w:lineRule="exact"/>
              <w:rPr>
                <w:sz w:val="20"/>
                <w:szCs w:val="20"/>
              </w:rPr>
            </w:pPr>
            <w:r w:rsidRPr="001D6D10">
              <w:rPr>
                <w:rFonts w:hint="eastAsia"/>
                <w:w w:val="87"/>
                <w:kern w:val="0"/>
                <w:fitText w:val="1477" w:id="-1954281976"/>
              </w:rPr>
              <w:t>循環型社会推進</w:t>
            </w:r>
            <w:r w:rsidRPr="001D6D10">
              <w:rPr>
                <w:rFonts w:hint="eastAsia"/>
                <w:spacing w:val="8"/>
                <w:w w:val="87"/>
                <w:kern w:val="0"/>
                <w:fitText w:val="1477" w:id="-1954281976"/>
              </w:rPr>
              <w:t>室</w:t>
            </w:r>
            <w:r w:rsidRPr="001D6D10">
              <w:rPr>
                <w:rFonts w:hint="eastAsia"/>
                <w:w w:val="78"/>
                <w:kern w:val="0"/>
                <w:fitText w:val="1477" w:id="-1954281975"/>
              </w:rPr>
              <w:t>産業廃棄物指導</w:t>
            </w:r>
            <w:r w:rsidRPr="001D6D10">
              <w:rPr>
                <w:rFonts w:hint="eastAsia"/>
                <w:w w:val="78"/>
                <w:fitText w:val="1477" w:id="-1954281975"/>
              </w:rPr>
              <w:t>課</w:t>
            </w:r>
            <w:r w:rsidRPr="001D6D10">
              <w:rPr>
                <w:rFonts w:hint="eastAsia"/>
                <w:spacing w:val="7"/>
                <w:w w:val="78"/>
                <w:fitText w:val="1477" w:id="-1954281975"/>
              </w:rPr>
              <w:t>長</w:t>
            </w:r>
          </w:p>
        </w:tc>
        <w:tc>
          <w:tcPr>
            <w:tcW w:w="6066" w:type="dxa"/>
          </w:tcPr>
          <w:p w14:paraId="3A50D52E" w14:textId="77777777" w:rsidR="005E05D8" w:rsidRPr="001D6D10" w:rsidRDefault="005E05D8" w:rsidP="008C36F6">
            <w:pPr>
              <w:spacing w:line="340" w:lineRule="exact"/>
              <w:ind w:left="81" w:hanging="81"/>
            </w:pPr>
            <w:r w:rsidRPr="001D6D10">
              <w:rPr>
                <w:rFonts w:hint="eastAsia"/>
              </w:rPr>
              <w:t>１ ＰＣＢの周辺環境への拡散・漏洩の情報収集に関すること。</w:t>
            </w:r>
          </w:p>
          <w:p w14:paraId="7994C2F3" w14:textId="4A0F1F2D" w:rsidR="005E05D8" w:rsidRPr="001D6D10" w:rsidRDefault="005E05D8" w:rsidP="008C36F6">
            <w:pPr>
              <w:spacing w:line="340" w:lineRule="exact"/>
              <w:ind w:left="106" w:hangingChars="50" w:hanging="106"/>
            </w:pPr>
            <w:r w:rsidRPr="001D6D10">
              <w:rPr>
                <w:rFonts w:hint="eastAsia"/>
              </w:rPr>
              <w:t>２ 資源循環班の応援に関すること。</w:t>
            </w:r>
          </w:p>
        </w:tc>
      </w:tr>
      <w:tr w:rsidR="005E05D8" w:rsidRPr="001D6D10" w14:paraId="2B57E3CC" w14:textId="77777777" w:rsidTr="00A579BB">
        <w:trPr>
          <w:trHeight w:val="680"/>
        </w:trPr>
        <w:tc>
          <w:tcPr>
            <w:tcW w:w="426" w:type="dxa"/>
            <w:vMerge/>
          </w:tcPr>
          <w:p w14:paraId="56EF4A5C" w14:textId="77777777" w:rsidR="005E05D8" w:rsidRPr="001D6D10" w:rsidRDefault="005E05D8" w:rsidP="008C36F6">
            <w:pPr>
              <w:pStyle w:val="ad"/>
              <w:overflowPunct w:val="0"/>
              <w:spacing w:line="240" w:lineRule="auto"/>
              <w:ind w:rightChars="-376" w:right="-794"/>
            </w:pPr>
            <w:bookmarkStart w:id="72" w:name="_Hlk224154060"/>
          </w:p>
        </w:tc>
        <w:tc>
          <w:tcPr>
            <w:tcW w:w="1134" w:type="dxa"/>
            <w:vMerge/>
          </w:tcPr>
          <w:p w14:paraId="350498AB" w14:textId="77777777" w:rsidR="005E05D8" w:rsidRPr="001D6D10" w:rsidRDefault="005E05D8" w:rsidP="008C36F6">
            <w:pPr>
              <w:pStyle w:val="ad"/>
              <w:overflowPunct w:val="0"/>
              <w:spacing w:line="240" w:lineRule="auto"/>
              <w:ind w:rightChars="-376" w:right="-794"/>
            </w:pPr>
          </w:p>
        </w:tc>
        <w:tc>
          <w:tcPr>
            <w:tcW w:w="1276" w:type="dxa"/>
          </w:tcPr>
          <w:p w14:paraId="19FDC72A" w14:textId="4B8A2657" w:rsidR="005E05D8" w:rsidRPr="001D6D10" w:rsidRDefault="005E05D8" w:rsidP="008C36F6">
            <w:pPr>
              <w:spacing w:line="340" w:lineRule="exact"/>
            </w:pPr>
            <w:r w:rsidRPr="001D6D10">
              <w:rPr>
                <w:rFonts w:hint="eastAsia"/>
              </w:rPr>
              <w:t>事業所指導班</w:t>
            </w:r>
          </w:p>
        </w:tc>
        <w:tc>
          <w:tcPr>
            <w:tcW w:w="1730" w:type="dxa"/>
          </w:tcPr>
          <w:p w14:paraId="73F685FD" w14:textId="77777777" w:rsidR="005E05D8" w:rsidRPr="001D6D10" w:rsidRDefault="005E05D8" w:rsidP="008C36F6">
            <w:pPr>
              <w:spacing w:line="340" w:lineRule="exact"/>
            </w:pPr>
            <w:r w:rsidRPr="001D6D10">
              <w:rPr>
                <w:rFonts w:hint="eastAsia"/>
              </w:rPr>
              <w:t>環境管理室</w:t>
            </w:r>
          </w:p>
          <w:p w14:paraId="37CE526D" w14:textId="537F1F77" w:rsidR="005E05D8" w:rsidRPr="001D6D10" w:rsidRDefault="005E05D8" w:rsidP="008C36F6">
            <w:pPr>
              <w:spacing w:line="340" w:lineRule="exact"/>
              <w:rPr>
                <w:kern w:val="0"/>
              </w:rPr>
            </w:pPr>
            <w:r w:rsidRPr="001D6D10">
              <w:rPr>
                <w:rFonts w:hint="eastAsia"/>
                <w:kern w:val="0"/>
                <w:fitText w:val="1477" w:id="-1954281974"/>
              </w:rPr>
              <w:t>事業所指導課長</w:t>
            </w:r>
          </w:p>
        </w:tc>
        <w:tc>
          <w:tcPr>
            <w:tcW w:w="6066" w:type="dxa"/>
          </w:tcPr>
          <w:p w14:paraId="0B887DBC" w14:textId="559218EC" w:rsidR="005E05D8" w:rsidRPr="001D6D10" w:rsidRDefault="005E05D8" w:rsidP="008C36F6">
            <w:pPr>
              <w:spacing w:line="340" w:lineRule="exact"/>
              <w:ind w:left="211" w:hangingChars="100" w:hanging="211"/>
            </w:pPr>
            <w:r w:rsidRPr="00080EB7">
              <w:rPr>
                <w:rFonts w:hint="eastAsia"/>
              </w:rPr>
              <w:t>１</w:t>
            </w:r>
            <w:r w:rsidRPr="001D6D10">
              <w:rPr>
                <w:rFonts w:hint="eastAsia"/>
              </w:rPr>
              <w:t xml:space="preserve">　化学物質取扱事業者における緊急事態の発生時の措置に関すること。</w:t>
            </w:r>
          </w:p>
          <w:p w14:paraId="1A6838CE" w14:textId="0E4C4421" w:rsidR="005E05D8" w:rsidRPr="001D6D10" w:rsidRDefault="005E05D8" w:rsidP="008C36F6">
            <w:pPr>
              <w:spacing w:line="340" w:lineRule="exact"/>
              <w:ind w:left="81" w:hanging="81"/>
            </w:pPr>
            <w:r w:rsidRPr="00080EB7">
              <w:rPr>
                <w:rFonts w:hint="eastAsia"/>
              </w:rPr>
              <w:t>２</w:t>
            </w:r>
            <w:r w:rsidRPr="001D6D10">
              <w:rPr>
                <w:rFonts w:hint="eastAsia"/>
              </w:rPr>
              <w:t xml:space="preserve">　石綿等有害物質の周辺環境への拡散・漏洩の情報収集に関すること。</w:t>
            </w:r>
          </w:p>
        </w:tc>
      </w:tr>
      <w:bookmarkEnd w:id="72"/>
      <w:tr w:rsidR="005E05D8" w:rsidRPr="001D6D10" w14:paraId="57122A44" w14:textId="77777777" w:rsidTr="005F51E1">
        <w:tc>
          <w:tcPr>
            <w:tcW w:w="426" w:type="dxa"/>
            <w:vMerge/>
          </w:tcPr>
          <w:p w14:paraId="65CAC77C" w14:textId="77777777" w:rsidR="005E05D8" w:rsidRPr="001D6D10" w:rsidRDefault="005E05D8" w:rsidP="008C36F6">
            <w:pPr>
              <w:pStyle w:val="ad"/>
              <w:overflowPunct w:val="0"/>
              <w:spacing w:line="240" w:lineRule="auto"/>
              <w:ind w:rightChars="-376" w:right="-794"/>
            </w:pPr>
          </w:p>
        </w:tc>
        <w:tc>
          <w:tcPr>
            <w:tcW w:w="1134" w:type="dxa"/>
            <w:vMerge/>
          </w:tcPr>
          <w:p w14:paraId="2F53D559" w14:textId="77777777" w:rsidR="005E05D8" w:rsidRPr="001D6D10" w:rsidRDefault="005E05D8" w:rsidP="008C36F6">
            <w:pPr>
              <w:pStyle w:val="ad"/>
              <w:overflowPunct w:val="0"/>
              <w:spacing w:line="240" w:lineRule="auto"/>
              <w:ind w:rightChars="-376" w:right="-794"/>
            </w:pPr>
          </w:p>
        </w:tc>
        <w:tc>
          <w:tcPr>
            <w:tcW w:w="1276" w:type="dxa"/>
          </w:tcPr>
          <w:p w14:paraId="3E2C8BB4" w14:textId="5620391D" w:rsidR="005E05D8" w:rsidRPr="001D6D10" w:rsidRDefault="005E05D8" w:rsidP="008C36F6">
            <w:pPr>
              <w:spacing w:line="340" w:lineRule="exact"/>
            </w:pPr>
            <w:r w:rsidRPr="001D6D10">
              <w:rPr>
                <w:rFonts w:hint="eastAsia"/>
              </w:rPr>
              <w:t>農政推進班</w:t>
            </w:r>
          </w:p>
        </w:tc>
        <w:tc>
          <w:tcPr>
            <w:tcW w:w="1730" w:type="dxa"/>
          </w:tcPr>
          <w:p w14:paraId="6EAF3977" w14:textId="77777777" w:rsidR="005E05D8" w:rsidRPr="001D6D10" w:rsidRDefault="005E05D8" w:rsidP="008C36F6">
            <w:pPr>
              <w:spacing w:line="340" w:lineRule="exact"/>
            </w:pPr>
            <w:r w:rsidRPr="001D6D10">
              <w:rPr>
                <w:rFonts w:hint="eastAsia"/>
              </w:rPr>
              <w:t>農政室</w:t>
            </w:r>
          </w:p>
          <w:p w14:paraId="47BFD267" w14:textId="533C881C" w:rsidR="005E05D8" w:rsidRPr="001D6D10" w:rsidRDefault="005E05D8" w:rsidP="008C36F6">
            <w:pPr>
              <w:spacing w:line="340" w:lineRule="exact"/>
              <w:rPr>
                <w:kern w:val="0"/>
              </w:rPr>
            </w:pPr>
            <w:r w:rsidRPr="001D6D10">
              <w:rPr>
                <w:rFonts w:hint="eastAsia"/>
              </w:rPr>
              <w:t>推進課長</w:t>
            </w:r>
          </w:p>
        </w:tc>
        <w:tc>
          <w:tcPr>
            <w:tcW w:w="6066" w:type="dxa"/>
          </w:tcPr>
          <w:p w14:paraId="7BDB5E6A" w14:textId="77777777" w:rsidR="005E05D8" w:rsidRPr="001D6D10" w:rsidRDefault="005E05D8" w:rsidP="008C36F6">
            <w:pPr>
              <w:spacing w:line="340" w:lineRule="exact"/>
              <w:ind w:left="81" w:hanging="81"/>
            </w:pPr>
            <w:r w:rsidRPr="001D6D10">
              <w:rPr>
                <w:rFonts w:hint="eastAsia"/>
              </w:rPr>
              <w:t>１ 防災・危機管理指令部に関すること。</w:t>
            </w:r>
          </w:p>
          <w:p w14:paraId="29C1F17C" w14:textId="77777777" w:rsidR="005E05D8" w:rsidRPr="001D6D10" w:rsidRDefault="005E05D8" w:rsidP="008C36F6">
            <w:pPr>
              <w:spacing w:line="340" w:lineRule="exact"/>
              <w:ind w:left="81" w:hanging="81"/>
            </w:pPr>
            <w:r w:rsidRPr="001D6D10">
              <w:rPr>
                <w:rFonts w:hint="eastAsia"/>
              </w:rPr>
              <w:t>２ 種子等の調達斡旋に関すること。</w:t>
            </w:r>
          </w:p>
          <w:p w14:paraId="1059E7F5" w14:textId="77777777" w:rsidR="005E05D8" w:rsidRPr="001D6D10" w:rsidRDefault="005E05D8" w:rsidP="008C36F6">
            <w:pPr>
              <w:spacing w:line="340" w:lineRule="exact"/>
              <w:ind w:left="81" w:hanging="81"/>
            </w:pPr>
            <w:r w:rsidRPr="001D6D10">
              <w:rPr>
                <w:rFonts w:hint="eastAsia"/>
              </w:rPr>
              <w:t>３ 農作物病害虫の防除に関すること。</w:t>
            </w:r>
          </w:p>
          <w:p w14:paraId="59F99691" w14:textId="64246789" w:rsidR="005E05D8" w:rsidRPr="001D6D10" w:rsidRDefault="005E05D8" w:rsidP="008C36F6">
            <w:pPr>
              <w:spacing w:line="340" w:lineRule="exact"/>
              <w:ind w:left="211" w:hangingChars="100" w:hanging="211"/>
            </w:pPr>
            <w:r w:rsidRPr="001D6D10">
              <w:rPr>
                <w:rFonts w:hint="eastAsia"/>
              </w:rPr>
              <w:t>４ 農産物の復旧対策の指導に関すること。</w:t>
            </w:r>
          </w:p>
        </w:tc>
      </w:tr>
      <w:tr w:rsidR="005E05D8" w:rsidRPr="001D6D10" w14:paraId="30CC5FCC" w14:textId="77777777" w:rsidTr="005F51E1">
        <w:tc>
          <w:tcPr>
            <w:tcW w:w="426" w:type="dxa"/>
            <w:vMerge/>
          </w:tcPr>
          <w:p w14:paraId="6EEC5AA0" w14:textId="77777777" w:rsidR="005E05D8" w:rsidRPr="001D6D10" w:rsidRDefault="005E05D8" w:rsidP="008C36F6">
            <w:pPr>
              <w:pStyle w:val="ad"/>
              <w:overflowPunct w:val="0"/>
              <w:spacing w:line="240" w:lineRule="auto"/>
              <w:ind w:rightChars="-376" w:right="-794"/>
            </w:pPr>
          </w:p>
        </w:tc>
        <w:tc>
          <w:tcPr>
            <w:tcW w:w="1134" w:type="dxa"/>
            <w:vMerge/>
          </w:tcPr>
          <w:p w14:paraId="7C5DA9DA" w14:textId="77777777" w:rsidR="005E05D8" w:rsidRPr="001D6D10" w:rsidRDefault="005E05D8" w:rsidP="008C36F6">
            <w:pPr>
              <w:pStyle w:val="ad"/>
              <w:overflowPunct w:val="0"/>
              <w:spacing w:line="240" w:lineRule="auto"/>
              <w:ind w:rightChars="-376" w:right="-794"/>
            </w:pPr>
          </w:p>
        </w:tc>
        <w:tc>
          <w:tcPr>
            <w:tcW w:w="1276" w:type="dxa"/>
          </w:tcPr>
          <w:p w14:paraId="304A089B" w14:textId="47862919" w:rsidR="005E05D8" w:rsidRPr="001D6D10" w:rsidRDefault="005E05D8" w:rsidP="008C36F6">
            <w:pPr>
              <w:spacing w:line="340" w:lineRule="exact"/>
            </w:pPr>
            <w:r w:rsidRPr="001D6D10">
              <w:rPr>
                <w:rFonts w:hint="eastAsia"/>
              </w:rPr>
              <w:t>農政整備班</w:t>
            </w:r>
          </w:p>
        </w:tc>
        <w:tc>
          <w:tcPr>
            <w:tcW w:w="1730" w:type="dxa"/>
          </w:tcPr>
          <w:p w14:paraId="32AD550B" w14:textId="77777777" w:rsidR="005E05D8" w:rsidRPr="001D6D10" w:rsidRDefault="005E05D8" w:rsidP="008C36F6">
            <w:pPr>
              <w:spacing w:line="340" w:lineRule="exact"/>
            </w:pPr>
            <w:r w:rsidRPr="001D6D10">
              <w:rPr>
                <w:rFonts w:hint="eastAsia"/>
              </w:rPr>
              <w:t>農政室</w:t>
            </w:r>
          </w:p>
          <w:p w14:paraId="5B989633" w14:textId="3EA46854" w:rsidR="005E05D8" w:rsidRPr="001D6D10" w:rsidRDefault="005E05D8" w:rsidP="008C36F6">
            <w:pPr>
              <w:spacing w:line="340" w:lineRule="exact"/>
              <w:rPr>
                <w:kern w:val="0"/>
              </w:rPr>
            </w:pPr>
            <w:r w:rsidRPr="001D6D10">
              <w:rPr>
                <w:rFonts w:hint="eastAsia"/>
              </w:rPr>
              <w:t>整備課長</w:t>
            </w:r>
          </w:p>
        </w:tc>
        <w:tc>
          <w:tcPr>
            <w:tcW w:w="6066" w:type="dxa"/>
          </w:tcPr>
          <w:p w14:paraId="63472C13" w14:textId="77777777" w:rsidR="005E05D8" w:rsidRPr="001D6D10" w:rsidRDefault="005E05D8" w:rsidP="008C36F6">
            <w:pPr>
              <w:spacing w:line="340" w:lineRule="exact"/>
              <w:ind w:left="81" w:hanging="81"/>
            </w:pPr>
            <w:r w:rsidRPr="001D6D10">
              <w:rPr>
                <w:rFonts w:hint="eastAsia"/>
              </w:rPr>
              <w:t>１ 防災・危機管理指令部に関すること。</w:t>
            </w:r>
          </w:p>
          <w:p w14:paraId="3C72B257" w14:textId="77777777" w:rsidR="005E05D8" w:rsidRPr="001D6D10" w:rsidRDefault="005E05D8" w:rsidP="008C36F6">
            <w:pPr>
              <w:spacing w:line="340" w:lineRule="exact"/>
              <w:ind w:left="81" w:hanging="81"/>
            </w:pPr>
            <w:r w:rsidRPr="001D6D10">
              <w:rPr>
                <w:rFonts w:hint="eastAsia"/>
              </w:rPr>
              <w:t>２ 近畿農政局との連絡調整に関すること。</w:t>
            </w:r>
          </w:p>
          <w:p w14:paraId="17307A7E" w14:textId="77777777" w:rsidR="005E05D8" w:rsidRPr="001D6D10" w:rsidRDefault="005E05D8" w:rsidP="008C36F6">
            <w:pPr>
              <w:spacing w:line="340" w:lineRule="exact"/>
              <w:ind w:left="81" w:hanging="81"/>
            </w:pPr>
            <w:r w:rsidRPr="001D6D10">
              <w:rPr>
                <w:rFonts w:hint="eastAsia"/>
              </w:rPr>
              <w:t>３ ため池水防活動に関すること。</w:t>
            </w:r>
          </w:p>
          <w:p w14:paraId="39D7E0CE" w14:textId="77777777" w:rsidR="005E05D8" w:rsidRPr="001D6D10" w:rsidRDefault="005E05D8" w:rsidP="008C36F6">
            <w:pPr>
              <w:spacing w:line="340" w:lineRule="exact"/>
              <w:ind w:left="81" w:hanging="81"/>
            </w:pPr>
            <w:r w:rsidRPr="001D6D10">
              <w:rPr>
                <w:rFonts w:hint="eastAsia"/>
              </w:rPr>
              <w:t>４ 農地及び農業用施設の被害情報収集に関すること。</w:t>
            </w:r>
          </w:p>
          <w:p w14:paraId="29D81F0C" w14:textId="77777777" w:rsidR="005E05D8" w:rsidRPr="001D6D10" w:rsidRDefault="005E05D8" w:rsidP="008C36F6">
            <w:pPr>
              <w:spacing w:line="340" w:lineRule="exact"/>
              <w:ind w:left="81" w:hanging="81"/>
            </w:pPr>
            <w:r w:rsidRPr="001D6D10">
              <w:rPr>
                <w:rFonts w:hint="eastAsia"/>
              </w:rPr>
              <w:t>５ 関係機関との連絡調整に関すること。</w:t>
            </w:r>
          </w:p>
          <w:p w14:paraId="632BCB86" w14:textId="77777777" w:rsidR="005E05D8" w:rsidRPr="001D6D10" w:rsidRDefault="005E05D8" w:rsidP="008C36F6">
            <w:pPr>
              <w:spacing w:line="340" w:lineRule="exact"/>
              <w:ind w:left="81" w:hanging="81"/>
            </w:pPr>
            <w:r w:rsidRPr="001D6D10">
              <w:rPr>
                <w:rFonts w:hint="eastAsia"/>
              </w:rPr>
              <w:t>６ 水防資機材の調達斡旋に関すること。</w:t>
            </w:r>
          </w:p>
          <w:p w14:paraId="2557B520" w14:textId="222BCE6A" w:rsidR="005E05D8" w:rsidRPr="001D6D10" w:rsidRDefault="005E05D8" w:rsidP="008C36F6">
            <w:pPr>
              <w:spacing w:line="340" w:lineRule="exact"/>
              <w:ind w:left="81" w:hanging="81"/>
            </w:pPr>
            <w:r w:rsidRPr="001D6D10">
              <w:rPr>
                <w:rFonts w:hint="eastAsia"/>
              </w:rPr>
              <w:t>７ 水防施設の復旧対策に関すること。</w:t>
            </w:r>
          </w:p>
        </w:tc>
      </w:tr>
    </w:tbl>
    <w:p w14:paraId="2B3F5B2F" w14:textId="77777777" w:rsidR="005E05D8" w:rsidRDefault="005E05D8">
      <w:r>
        <w:br w:type="page"/>
      </w:r>
    </w:p>
    <w:tbl>
      <w:tblPr>
        <w:tblStyle w:val="ab"/>
        <w:tblW w:w="10632" w:type="dxa"/>
        <w:tblInd w:w="-885" w:type="dxa"/>
        <w:tblLayout w:type="fixed"/>
        <w:tblLook w:val="04A0" w:firstRow="1" w:lastRow="0" w:firstColumn="1" w:lastColumn="0" w:noHBand="0" w:noVBand="1"/>
      </w:tblPr>
      <w:tblGrid>
        <w:gridCol w:w="426"/>
        <w:gridCol w:w="1134"/>
        <w:gridCol w:w="1276"/>
        <w:gridCol w:w="1730"/>
        <w:gridCol w:w="6066"/>
      </w:tblGrid>
      <w:tr w:rsidR="005E05D8" w:rsidRPr="001D6D10" w14:paraId="5BE30D4A" w14:textId="77777777" w:rsidTr="005F51E1">
        <w:tc>
          <w:tcPr>
            <w:tcW w:w="426" w:type="dxa"/>
            <w:vMerge w:val="restart"/>
          </w:tcPr>
          <w:p w14:paraId="2B83E06A" w14:textId="1DFDC370" w:rsidR="005E05D8" w:rsidRPr="001D6D10" w:rsidRDefault="005E05D8" w:rsidP="008C36F6">
            <w:pPr>
              <w:pStyle w:val="ad"/>
              <w:overflowPunct w:val="0"/>
              <w:spacing w:line="240" w:lineRule="auto"/>
              <w:ind w:rightChars="-376" w:right="-794"/>
            </w:pPr>
          </w:p>
        </w:tc>
        <w:tc>
          <w:tcPr>
            <w:tcW w:w="1134" w:type="dxa"/>
            <w:vMerge w:val="restart"/>
          </w:tcPr>
          <w:p w14:paraId="7D450B09" w14:textId="77777777" w:rsidR="005E05D8" w:rsidRPr="001D6D10" w:rsidRDefault="005E05D8" w:rsidP="008C36F6">
            <w:pPr>
              <w:pStyle w:val="ad"/>
              <w:overflowPunct w:val="0"/>
              <w:spacing w:line="240" w:lineRule="auto"/>
              <w:ind w:rightChars="-376" w:right="-794"/>
            </w:pPr>
          </w:p>
        </w:tc>
        <w:tc>
          <w:tcPr>
            <w:tcW w:w="1276" w:type="dxa"/>
          </w:tcPr>
          <w:p w14:paraId="5CC551E0" w14:textId="1335914E" w:rsidR="005E05D8" w:rsidRPr="001D6D10" w:rsidRDefault="005E05D8" w:rsidP="008C36F6">
            <w:pPr>
              <w:spacing w:line="340" w:lineRule="exact"/>
            </w:pPr>
            <w:r w:rsidRPr="001D6D10">
              <w:rPr>
                <w:rFonts w:hint="eastAsia"/>
              </w:rPr>
              <w:t>流通対策班</w:t>
            </w:r>
          </w:p>
        </w:tc>
        <w:tc>
          <w:tcPr>
            <w:tcW w:w="1730" w:type="dxa"/>
          </w:tcPr>
          <w:p w14:paraId="61BECE44" w14:textId="77777777" w:rsidR="005E05D8" w:rsidRPr="001D6D10" w:rsidRDefault="005E05D8" w:rsidP="008C36F6">
            <w:pPr>
              <w:spacing w:line="340" w:lineRule="exact"/>
            </w:pPr>
            <w:r w:rsidRPr="001D6D10">
              <w:rPr>
                <w:rFonts w:hint="eastAsia"/>
              </w:rPr>
              <w:t>流通対策室</w:t>
            </w:r>
          </w:p>
          <w:p w14:paraId="562DD25E" w14:textId="6FFC010F" w:rsidR="005E05D8" w:rsidRPr="001D6D10" w:rsidRDefault="005E05D8" w:rsidP="008C36F6">
            <w:pPr>
              <w:spacing w:line="380" w:lineRule="exact"/>
            </w:pPr>
            <w:r w:rsidRPr="001D6D10">
              <w:rPr>
                <w:rFonts w:hint="eastAsia"/>
              </w:rPr>
              <w:t>市場・検査指導課長</w:t>
            </w:r>
          </w:p>
        </w:tc>
        <w:tc>
          <w:tcPr>
            <w:tcW w:w="6066" w:type="dxa"/>
          </w:tcPr>
          <w:p w14:paraId="6972FD8E" w14:textId="77777777" w:rsidR="005E05D8" w:rsidRPr="001D6D10" w:rsidRDefault="005E05D8" w:rsidP="008C36F6">
            <w:pPr>
              <w:spacing w:line="340" w:lineRule="exact"/>
              <w:ind w:left="81" w:hanging="81"/>
            </w:pPr>
            <w:r w:rsidRPr="001D6D10">
              <w:rPr>
                <w:rFonts w:hint="eastAsia"/>
              </w:rPr>
              <w:t>１ 関係機関への情報伝達に関すること。</w:t>
            </w:r>
          </w:p>
          <w:p w14:paraId="7B762E50" w14:textId="77777777" w:rsidR="005E05D8" w:rsidRPr="00E0548A" w:rsidRDefault="005E05D8" w:rsidP="008C36F6">
            <w:pPr>
              <w:spacing w:line="340" w:lineRule="exact"/>
              <w:ind w:left="81" w:hanging="81"/>
            </w:pPr>
            <w:r w:rsidRPr="001D6D10">
              <w:rPr>
                <w:rFonts w:hint="eastAsia"/>
              </w:rPr>
              <w:t>２ 食料（</w:t>
            </w:r>
            <w:r w:rsidRPr="00E0548A">
              <w:rPr>
                <w:rFonts w:hint="eastAsia"/>
              </w:rPr>
              <w:t>米穀、副食品）の調達斡旋に関すること。</w:t>
            </w:r>
          </w:p>
          <w:p w14:paraId="7FDBAB52" w14:textId="218223A2" w:rsidR="005E05D8" w:rsidRPr="00E0548A" w:rsidRDefault="005E05D8" w:rsidP="008C36F6">
            <w:pPr>
              <w:spacing w:line="340" w:lineRule="exact"/>
              <w:ind w:left="81" w:hanging="81"/>
            </w:pPr>
            <w:r w:rsidRPr="00E0548A">
              <w:rPr>
                <w:rFonts w:hint="eastAsia"/>
              </w:rPr>
              <w:t>３ 生鮮食料品の供給を確保するための協力要請に関すること。</w:t>
            </w:r>
          </w:p>
          <w:p w14:paraId="04C6DB98" w14:textId="29485729" w:rsidR="005E05D8" w:rsidRPr="001D6D10" w:rsidRDefault="005E05D8" w:rsidP="008C36F6">
            <w:pPr>
              <w:spacing w:line="340" w:lineRule="exact"/>
            </w:pPr>
            <w:r w:rsidRPr="00E0548A">
              <w:rPr>
                <w:rFonts w:hint="eastAsia"/>
              </w:rPr>
              <w:t>４ 中央卸売市場の活動把握に関すること。</w:t>
            </w:r>
          </w:p>
        </w:tc>
      </w:tr>
      <w:tr w:rsidR="005E05D8" w:rsidRPr="001D6D10" w14:paraId="6F053EFB" w14:textId="77777777" w:rsidTr="005F51E1">
        <w:tc>
          <w:tcPr>
            <w:tcW w:w="426" w:type="dxa"/>
            <w:vMerge/>
          </w:tcPr>
          <w:p w14:paraId="3081BD21" w14:textId="77777777" w:rsidR="005E05D8" w:rsidRPr="001D6D10" w:rsidRDefault="005E05D8" w:rsidP="008C36F6">
            <w:pPr>
              <w:pStyle w:val="ad"/>
              <w:wordWrap/>
              <w:overflowPunct w:val="0"/>
              <w:spacing w:line="240" w:lineRule="auto"/>
              <w:ind w:rightChars="-376" w:right="-794"/>
            </w:pPr>
          </w:p>
        </w:tc>
        <w:tc>
          <w:tcPr>
            <w:tcW w:w="1134" w:type="dxa"/>
            <w:vMerge/>
          </w:tcPr>
          <w:p w14:paraId="7C416E61" w14:textId="77777777" w:rsidR="005E05D8" w:rsidRPr="001D6D10" w:rsidRDefault="005E05D8" w:rsidP="008C36F6">
            <w:pPr>
              <w:pStyle w:val="ad"/>
              <w:wordWrap/>
              <w:overflowPunct w:val="0"/>
              <w:spacing w:line="240" w:lineRule="auto"/>
              <w:ind w:rightChars="-376" w:right="-794"/>
              <w:rPr>
                <w:sz w:val="21"/>
              </w:rPr>
            </w:pPr>
          </w:p>
        </w:tc>
        <w:tc>
          <w:tcPr>
            <w:tcW w:w="1276" w:type="dxa"/>
          </w:tcPr>
          <w:p w14:paraId="753485CE" w14:textId="7B40F031" w:rsidR="005E05D8" w:rsidRPr="001D6D10" w:rsidRDefault="005E05D8" w:rsidP="008C36F6">
            <w:pPr>
              <w:spacing w:line="340" w:lineRule="exact"/>
            </w:pPr>
            <w:r w:rsidRPr="001D6D10">
              <w:rPr>
                <w:rFonts w:hint="eastAsia"/>
              </w:rPr>
              <w:t>水産班</w:t>
            </w:r>
          </w:p>
        </w:tc>
        <w:tc>
          <w:tcPr>
            <w:tcW w:w="1730" w:type="dxa"/>
          </w:tcPr>
          <w:p w14:paraId="7AFE38BA" w14:textId="3F344E86" w:rsidR="005E05D8" w:rsidRPr="001D6D10" w:rsidRDefault="005E05D8" w:rsidP="008C36F6">
            <w:pPr>
              <w:spacing w:line="340" w:lineRule="exact"/>
            </w:pPr>
            <w:r w:rsidRPr="001D6D10">
              <w:rPr>
                <w:rFonts w:hint="eastAsia"/>
              </w:rPr>
              <w:t>水産課長</w:t>
            </w:r>
          </w:p>
        </w:tc>
        <w:tc>
          <w:tcPr>
            <w:tcW w:w="6066" w:type="dxa"/>
          </w:tcPr>
          <w:p w14:paraId="468BB116" w14:textId="77777777" w:rsidR="005E05D8" w:rsidRPr="001D6D10" w:rsidRDefault="005E05D8" w:rsidP="008C36F6">
            <w:pPr>
              <w:spacing w:line="340" w:lineRule="exact"/>
              <w:ind w:left="81" w:hanging="81"/>
            </w:pPr>
            <w:r w:rsidRPr="001D6D10">
              <w:rPr>
                <w:rFonts w:hint="eastAsia"/>
              </w:rPr>
              <w:t>１ 防災・危機管理指令部に関すること。</w:t>
            </w:r>
          </w:p>
          <w:p w14:paraId="781578E6" w14:textId="77777777" w:rsidR="005E05D8" w:rsidRPr="001D6D10" w:rsidRDefault="005E05D8" w:rsidP="008C36F6">
            <w:pPr>
              <w:spacing w:line="340" w:lineRule="exact"/>
            </w:pPr>
            <w:r w:rsidRPr="001D6D10">
              <w:rPr>
                <w:rFonts w:hint="eastAsia"/>
              </w:rPr>
              <w:t>２ 海上災害対策に関すること。</w:t>
            </w:r>
          </w:p>
          <w:p w14:paraId="6ACBFC93" w14:textId="77777777" w:rsidR="005E05D8" w:rsidRPr="001D6D10" w:rsidRDefault="005E05D8" w:rsidP="008C36F6">
            <w:pPr>
              <w:spacing w:line="340" w:lineRule="exact"/>
            </w:pPr>
            <w:r w:rsidRPr="001D6D10">
              <w:rPr>
                <w:rFonts w:hint="eastAsia"/>
              </w:rPr>
              <w:t>３ 関係機関への情報伝達に関すること。</w:t>
            </w:r>
          </w:p>
          <w:p w14:paraId="2EA57855" w14:textId="77777777" w:rsidR="005E05D8" w:rsidRPr="001D6D10" w:rsidRDefault="005E05D8" w:rsidP="008C36F6">
            <w:pPr>
              <w:spacing w:line="340" w:lineRule="exact"/>
              <w:ind w:left="61" w:hangingChars="29" w:hanging="61"/>
            </w:pPr>
            <w:r w:rsidRPr="001D6D10">
              <w:rPr>
                <w:rFonts w:hint="eastAsia"/>
              </w:rPr>
              <w:t>４ 漁港における船舶等の避難対策に関すること。</w:t>
            </w:r>
          </w:p>
          <w:p w14:paraId="37E1DDC2" w14:textId="1D062222" w:rsidR="005E05D8" w:rsidRPr="001D6D10" w:rsidRDefault="005E05D8" w:rsidP="008C36F6">
            <w:pPr>
              <w:spacing w:line="340" w:lineRule="exact"/>
              <w:ind w:left="81" w:hanging="81"/>
            </w:pPr>
            <w:r w:rsidRPr="001D6D10">
              <w:rPr>
                <w:rFonts w:hint="eastAsia"/>
              </w:rPr>
              <w:t>５ 保有船舶の確保に関すること。</w:t>
            </w:r>
          </w:p>
        </w:tc>
      </w:tr>
      <w:tr w:rsidR="005E05D8" w:rsidRPr="001D6D10" w14:paraId="081D0E8F" w14:textId="77777777" w:rsidTr="005F51E1">
        <w:tc>
          <w:tcPr>
            <w:tcW w:w="426" w:type="dxa"/>
            <w:vMerge/>
          </w:tcPr>
          <w:p w14:paraId="374E056A" w14:textId="77777777" w:rsidR="005E05D8" w:rsidRPr="001D6D10" w:rsidRDefault="005E05D8" w:rsidP="008C36F6">
            <w:pPr>
              <w:pStyle w:val="ad"/>
              <w:wordWrap/>
              <w:overflowPunct w:val="0"/>
              <w:spacing w:line="240" w:lineRule="auto"/>
              <w:ind w:rightChars="-376" w:right="-794"/>
            </w:pPr>
          </w:p>
        </w:tc>
        <w:tc>
          <w:tcPr>
            <w:tcW w:w="1134" w:type="dxa"/>
            <w:vMerge/>
          </w:tcPr>
          <w:p w14:paraId="47329271" w14:textId="77777777" w:rsidR="005E05D8" w:rsidRPr="001D6D10" w:rsidRDefault="005E05D8" w:rsidP="008C36F6">
            <w:pPr>
              <w:pStyle w:val="ad"/>
              <w:wordWrap/>
              <w:overflowPunct w:val="0"/>
              <w:spacing w:line="240" w:lineRule="auto"/>
              <w:ind w:rightChars="-376" w:right="-794"/>
              <w:rPr>
                <w:sz w:val="21"/>
              </w:rPr>
            </w:pPr>
          </w:p>
        </w:tc>
        <w:tc>
          <w:tcPr>
            <w:tcW w:w="1276" w:type="dxa"/>
          </w:tcPr>
          <w:p w14:paraId="453F95B6" w14:textId="77777777" w:rsidR="005E05D8" w:rsidRPr="001D6D10" w:rsidRDefault="005E05D8" w:rsidP="008C36F6">
            <w:pPr>
              <w:spacing w:line="340" w:lineRule="exact"/>
            </w:pPr>
            <w:r w:rsidRPr="001D6D10">
              <w:rPr>
                <w:rFonts w:hint="eastAsia"/>
              </w:rPr>
              <w:t>動物愛護</w:t>
            </w:r>
          </w:p>
          <w:p w14:paraId="7A28D835" w14:textId="335F4321" w:rsidR="005E05D8" w:rsidRPr="001D6D10" w:rsidRDefault="005E05D8" w:rsidP="008C36F6">
            <w:pPr>
              <w:spacing w:line="340" w:lineRule="exact"/>
            </w:pPr>
            <w:r w:rsidRPr="001D6D10">
              <w:rPr>
                <w:rFonts w:hint="eastAsia"/>
              </w:rPr>
              <w:t>畜産班</w:t>
            </w:r>
          </w:p>
        </w:tc>
        <w:tc>
          <w:tcPr>
            <w:tcW w:w="1730" w:type="dxa"/>
          </w:tcPr>
          <w:p w14:paraId="3C586D11" w14:textId="77777777" w:rsidR="005E05D8" w:rsidRPr="001D6D10" w:rsidRDefault="005E05D8" w:rsidP="008C36F6">
            <w:pPr>
              <w:spacing w:line="340" w:lineRule="exact"/>
            </w:pPr>
            <w:r w:rsidRPr="001D6D10">
              <w:rPr>
                <w:rFonts w:hint="eastAsia"/>
              </w:rPr>
              <w:t>動物愛護畜産</w:t>
            </w:r>
          </w:p>
          <w:p w14:paraId="0BFB5D52" w14:textId="275CFE44" w:rsidR="005E05D8" w:rsidRPr="001D6D10" w:rsidRDefault="005E05D8" w:rsidP="008C36F6">
            <w:pPr>
              <w:spacing w:line="340" w:lineRule="exact"/>
            </w:pPr>
            <w:r w:rsidRPr="001D6D10">
              <w:rPr>
                <w:rFonts w:hint="eastAsia"/>
              </w:rPr>
              <w:t>課長</w:t>
            </w:r>
          </w:p>
        </w:tc>
        <w:tc>
          <w:tcPr>
            <w:tcW w:w="6066" w:type="dxa"/>
          </w:tcPr>
          <w:p w14:paraId="6F5A981B" w14:textId="77777777" w:rsidR="005E05D8" w:rsidRPr="001D6D10" w:rsidRDefault="005E05D8" w:rsidP="008C36F6">
            <w:pPr>
              <w:spacing w:line="340" w:lineRule="exact"/>
              <w:ind w:leftChars="1" w:left="270" w:hangingChars="127" w:hanging="268"/>
            </w:pPr>
            <w:r w:rsidRPr="001D6D10">
              <w:rPr>
                <w:rFonts w:hint="eastAsia"/>
              </w:rPr>
              <w:t>１ 災害時等動物救護本部の設置、運営開始に関すること</w:t>
            </w:r>
          </w:p>
          <w:p w14:paraId="018A34A8" w14:textId="77777777" w:rsidR="005E05D8" w:rsidRPr="001D6D10" w:rsidRDefault="005E05D8" w:rsidP="008C36F6">
            <w:pPr>
              <w:spacing w:line="340" w:lineRule="exact"/>
              <w:ind w:leftChars="1" w:left="270" w:hangingChars="127" w:hanging="268"/>
              <w:rPr>
                <w:sz w:val="19"/>
                <w:szCs w:val="19"/>
              </w:rPr>
            </w:pPr>
            <w:r w:rsidRPr="001D6D10">
              <w:rPr>
                <w:rFonts w:hint="eastAsia"/>
              </w:rPr>
              <w:t xml:space="preserve">２ </w:t>
            </w:r>
            <w:r w:rsidRPr="001D6D10">
              <w:rPr>
                <w:rFonts w:hint="eastAsia"/>
                <w:szCs w:val="21"/>
              </w:rPr>
              <w:t>特定動物の飼養保管施設の安全確認に関すること。</w:t>
            </w:r>
          </w:p>
          <w:p w14:paraId="2E12B36D" w14:textId="77777777" w:rsidR="005E05D8" w:rsidRPr="001D6D10" w:rsidRDefault="005E05D8" w:rsidP="008C36F6">
            <w:pPr>
              <w:pStyle w:val="a0"/>
              <w:spacing w:line="320" w:lineRule="exact"/>
              <w:ind w:left="211" w:hangingChars="100" w:hanging="211"/>
            </w:pPr>
            <w:r w:rsidRPr="001D6D10">
              <w:rPr>
                <w:rFonts w:hint="eastAsia"/>
              </w:rPr>
              <w:t>３ 被災動物等の保護・収容等に関すること。</w:t>
            </w:r>
          </w:p>
          <w:p w14:paraId="1E7A1E63" w14:textId="77777777" w:rsidR="005E05D8" w:rsidRPr="001D6D10" w:rsidRDefault="005E05D8" w:rsidP="008C36F6">
            <w:pPr>
              <w:spacing w:line="340" w:lineRule="exact"/>
              <w:ind w:leftChars="1" w:left="59" w:hangingChars="27" w:hanging="57"/>
            </w:pPr>
            <w:r w:rsidRPr="001D6D10">
              <w:rPr>
                <w:rFonts w:hint="eastAsia"/>
              </w:rPr>
              <w:t>４ 家畜飼料等の調達斡旋に関すること。</w:t>
            </w:r>
          </w:p>
          <w:p w14:paraId="4DEC8D60" w14:textId="77777777" w:rsidR="005E05D8" w:rsidRPr="001D6D10" w:rsidRDefault="005E05D8" w:rsidP="008C36F6">
            <w:pPr>
              <w:tabs>
                <w:tab w:val="left" w:pos="279"/>
              </w:tabs>
              <w:spacing w:line="340" w:lineRule="exact"/>
              <w:ind w:leftChars="1" w:left="59" w:hangingChars="27" w:hanging="57"/>
            </w:pPr>
            <w:r w:rsidRPr="001D6D10">
              <w:rPr>
                <w:rFonts w:hint="eastAsia"/>
              </w:rPr>
              <w:t>５ 家畜伝染病の予防とまん延防止に関すること。</w:t>
            </w:r>
          </w:p>
          <w:p w14:paraId="2EFF02D9" w14:textId="06F87010" w:rsidR="005E05D8" w:rsidRPr="001D6D10" w:rsidRDefault="005E05D8" w:rsidP="008C36F6">
            <w:pPr>
              <w:spacing w:line="340" w:lineRule="exact"/>
              <w:ind w:left="81" w:hanging="81"/>
            </w:pPr>
            <w:r w:rsidRPr="001D6D10">
              <w:rPr>
                <w:rFonts w:hint="eastAsia"/>
              </w:rPr>
              <w:t>６ 畜産物の復旧対策の指導に関すること。</w:t>
            </w:r>
          </w:p>
        </w:tc>
      </w:tr>
      <w:tr w:rsidR="005E05D8" w:rsidRPr="001D6D10" w14:paraId="7CE426B7" w14:textId="77777777" w:rsidTr="005F51E1">
        <w:tc>
          <w:tcPr>
            <w:tcW w:w="426" w:type="dxa"/>
            <w:vMerge/>
          </w:tcPr>
          <w:p w14:paraId="5DC4419D" w14:textId="77777777" w:rsidR="005E05D8" w:rsidRPr="001D6D10" w:rsidRDefault="005E05D8" w:rsidP="008C36F6">
            <w:pPr>
              <w:pStyle w:val="ad"/>
              <w:wordWrap/>
              <w:overflowPunct w:val="0"/>
              <w:spacing w:line="240" w:lineRule="auto"/>
              <w:ind w:rightChars="-376" w:right="-794"/>
            </w:pPr>
          </w:p>
        </w:tc>
        <w:tc>
          <w:tcPr>
            <w:tcW w:w="1134" w:type="dxa"/>
            <w:vMerge/>
          </w:tcPr>
          <w:p w14:paraId="4D1610AE" w14:textId="77777777" w:rsidR="005E05D8" w:rsidRPr="001D6D10" w:rsidRDefault="005E05D8" w:rsidP="008C36F6">
            <w:pPr>
              <w:pStyle w:val="ad"/>
              <w:wordWrap/>
              <w:overflowPunct w:val="0"/>
              <w:spacing w:line="240" w:lineRule="auto"/>
              <w:ind w:rightChars="-376" w:right="-794"/>
              <w:rPr>
                <w:sz w:val="21"/>
              </w:rPr>
            </w:pPr>
          </w:p>
        </w:tc>
        <w:tc>
          <w:tcPr>
            <w:tcW w:w="1276" w:type="dxa"/>
          </w:tcPr>
          <w:p w14:paraId="01B1144F" w14:textId="1E9469E1" w:rsidR="005E05D8" w:rsidRPr="001D6D10" w:rsidRDefault="005E05D8" w:rsidP="008C36F6">
            <w:pPr>
              <w:spacing w:line="340" w:lineRule="exact"/>
            </w:pPr>
            <w:r w:rsidRPr="001D6D10">
              <w:rPr>
                <w:rFonts w:hint="eastAsia"/>
              </w:rPr>
              <w:t>応援第１班</w:t>
            </w:r>
          </w:p>
        </w:tc>
        <w:tc>
          <w:tcPr>
            <w:tcW w:w="1730" w:type="dxa"/>
          </w:tcPr>
          <w:p w14:paraId="1420DC32" w14:textId="4CD35DA4" w:rsidR="005E05D8" w:rsidRPr="001D6D10" w:rsidRDefault="005E05D8" w:rsidP="008C36F6">
            <w:pPr>
              <w:spacing w:line="340" w:lineRule="exact"/>
            </w:pPr>
            <w:r w:rsidRPr="001D6D10">
              <w:rPr>
                <w:rFonts w:hint="eastAsia"/>
              </w:rPr>
              <w:t>脱炭素・エネルギー政策課長</w:t>
            </w:r>
          </w:p>
        </w:tc>
        <w:tc>
          <w:tcPr>
            <w:tcW w:w="6066" w:type="dxa"/>
          </w:tcPr>
          <w:p w14:paraId="45B64790" w14:textId="44FC6A00" w:rsidR="005E05D8" w:rsidRPr="001D6D10" w:rsidRDefault="005E05D8" w:rsidP="008C36F6">
            <w:pPr>
              <w:spacing w:line="340" w:lineRule="exact"/>
              <w:ind w:left="81" w:hanging="81"/>
            </w:pPr>
            <w:r w:rsidRPr="001D6D10">
              <w:rPr>
                <w:rFonts w:hint="eastAsia"/>
              </w:rPr>
              <w:t>他の班の応援に関すること。</w:t>
            </w:r>
          </w:p>
        </w:tc>
      </w:tr>
      <w:tr w:rsidR="005E05D8" w:rsidRPr="001D6D10" w14:paraId="4BDEA70F" w14:textId="77777777" w:rsidTr="00A579BB">
        <w:trPr>
          <w:trHeight w:val="755"/>
        </w:trPr>
        <w:tc>
          <w:tcPr>
            <w:tcW w:w="426" w:type="dxa"/>
            <w:vMerge/>
          </w:tcPr>
          <w:p w14:paraId="57AE3EA7" w14:textId="77777777" w:rsidR="005E05D8" w:rsidRPr="001D6D10" w:rsidRDefault="005E05D8" w:rsidP="008C36F6">
            <w:pPr>
              <w:pStyle w:val="ad"/>
              <w:wordWrap/>
              <w:overflowPunct w:val="0"/>
              <w:spacing w:line="240" w:lineRule="auto"/>
              <w:ind w:rightChars="-376" w:right="-794"/>
            </w:pPr>
          </w:p>
        </w:tc>
        <w:tc>
          <w:tcPr>
            <w:tcW w:w="1134" w:type="dxa"/>
            <w:vMerge/>
          </w:tcPr>
          <w:p w14:paraId="52A67664" w14:textId="77777777" w:rsidR="005E05D8" w:rsidRPr="001D6D10" w:rsidRDefault="005E05D8" w:rsidP="008C36F6">
            <w:pPr>
              <w:pStyle w:val="ad"/>
              <w:wordWrap/>
              <w:overflowPunct w:val="0"/>
              <w:spacing w:line="240" w:lineRule="auto"/>
              <w:ind w:rightChars="-376" w:right="-794"/>
              <w:rPr>
                <w:sz w:val="21"/>
              </w:rPr>
            </w:pPr>
          </w:p>
        </w:tc>
        <w:tc>
          <w:tcPr>
            <w:tcW w:w="1276" w:type="dxa"/>
          </w:tcPr>
          <w:p w14:paraId="5718BF7B" w14:textId="74509850" w:rsidR="005E05D8" w:rsidRPr="001D6D10" w:rsidRDefault="005E05D8" w:rsidP="008C36F6">
            <w:pPr>
              <w:spacing w:line="340" w:lineRule="exact"/>
            </w:pPr>
            <w:r w:rsidRPr="001D6D10">
              <w:rPr>
                <w:rFonts w:hint="eastAsia"/>
              </w:rPr>
              <w:t>応援第２班</w:t>
            </w:r>
          </w:p>
        </w:tc>
        <w:tc>
          <w:tcPr>
            <w:tcW w:w="1730" w:type="dxa"/>
          </w:tcPr>
          <w:p w14:paraId="645DA1B1" w14:textId="77777777" w:rsidR="005E05D8" w:rsidRPr="001D6D10" w:rsidRDefault="005E05D8" w:rsidP="008C36F6">
            <w:pPr>
              <w:spacing w:line="340" w:lineRule="exact"/>
            </w:pPr>
            <w:r w:rsidRPr="001D6D10">
              <w:rPr>
                <w:rFonts w:hint="eastAsia"/>
              </w:rPr>
              <w:t>環境管理室</w:t>
            </w:r>
          </w:p>
          <w:p w14:paraId="6B76B3C3" w14:textId="7710F3D7" w:rsidR="005E05D8" w:rsidRPr="001D6D10" w:rsidRDefault="005E05D8" w:rsidP="008C36F6">
            <w:pPr>
              <w:spacing w:line="340" w:lineRule="exact"/>
            </w:pPr>
            <w:r w:rsidRPr="001D6D10">
              <w:rPr>
                <w:rFonts w:hint="eastAsia"/>
              </w:rPr>
              <w:t>環境保全課長</w:t>
            </w:r>
          </w:p>
        </w:tc>
        <w:tc>
          <w:tcPr>
            <w:tcW w:w="6066" w:type="dxa"/>
          </w:tcPr>
          <w:p w14:paraId="7C891715" w14:textId="77777777" w:rsidR="005E05D8" w:rsidRPr="001D6D10" w:rsidRDefault="005E05D8" w:rsidP="008C36F6">
            <w:pPr>
              <w:spacing w:line="340" w:lineRule="exact"/>
              <w:ind w:leftChars="1" w:left="59" w:hangingChars="27" w:hanging="57"/>
            </w:pPr>
            <w:r w:rsidRPr="001D6D10">
              <w:rPr>
                <w:rFonts w:hint="eastAsia"/>
              </w:rPr>
              <w:t>他の班の応援に関すること。</w:t>
            </w:r>
          </w:p>
          <w:p w14:paraId="43DB3720" w14:textId="60677890" w:rsidR="005E05D8" w:rsidRPr="001D6D10" w:rsidRDefault="005E05D8" w:rsidP="008C36F6">
            <w:pPr>
              <w:spacing w:line="340" w:lineRule="exact"/>
            </w:pPr>
          </w:p>
        </w:tc>
      </w:tr>
      <w:tr w:rsidR="005E05D8" w:rsidRPr="001D6D10" w14:paraId="7A04A09D" w14:textId="77777777" w:rsidTr="005F51E1">
        <w:tc>
          <w:tcPr>
            <w:tcW w:w="426" w:type="dxa"/>
            <w:vMerge/>
          </w:tcPr>
          <w:p w14:paraId="37BBBB86" w14:textId="77777777" w:rsidR="005E05D8" w:rsidRPr="001D6D10" w:rsidRDefault="005E05D8" w:rsidP="008C36F6">
            <w:pPr>
              <w:pStyle w:val="ad"/>
              <w:wordWrap/>
              <w:overflowPunct w:val="0"/>
              <w:spacing w:line="240" w:lineRule="auto"/>
              <w:ind w:rightChars="-376" w:right="-794"/>
            </w:pPr>
          </w:p>
        </w:tc>
        <w:tc>
          <w:tcPr>
            <w:tcW w:w="1134" w:type="dxa"/>
            <w:vMerge/>
          </w:tcPr>
          <w:p w14:paraId="3815CBB0" w14:textId="77777777" w:rsidR="005E05D8" w:rsidRPr="001D6D10" w:rsidRDefault="005E05D8" w:rsidP="008C36F6">
            <w:pPr>
              <w:pStyle w:val="ad"/>
              <w:wordWrap/>
              <w:overflowPunct w:val="0"/>
              <w:spacing w:line="240" w:lineRule="auto"/>
              <w:ind w:rightChars="-376" w:right="-794"/>
              <w:rPr>
                <w:sz w:val="21"/>
              </w:rPr>
            </w:pPr>
          </w:p>
        </w:tc>
        <w:tc>
          <w:tcPr>
            <w:tcW w:w="1276" w:type="dxa"/>
          </w:tcPr>
          <w:p w14:paraId="3733E7C5" w14:textId="7B37A7C8" w:rsidR="005E05D8" w:rsidRPr="001D6D10" w:rsidRDefault="005E05D8" w:rsidP="008C36F6">
            <w:pPr>
              <w:spacing w:line="340" w:lineRule="exact"/>
            </w:pPr>
            <w:r w:rsidRPr="001D6D10">
              <w:rPr>
                <w:rFonts w:hint="eastAsia"/>
              </w:rPr>
              <w:t>応援第３班</w:t>
            </w:r>
          </w:p>
        </w:tc>
        <w:tc>
          <w:tcPr>
            <w:tcW w:w="1730" w:type="dxa"/>
          </w:tcPr>
          <w:p w14:paraId="480A2715" w14:textId="77777777" w:rsidR="005E05D8" w:rsidRPr="001D6D10" w:rsidRDefault="005E05D8" w:rsidP="008C36F6">
            <w:pPr>
              <w:spacing w:line="340" w:lineRule="exact"/>
            </w:pPr>
            <w:r w:rsidRPr="001D6D10">
              <w:rPr>
                <w:rFonts w:hint="eastAsia"/>
              </w:rPr>
              <w:t>流通対策室</w:t>
            </w:r>
          </w:p>
          <w:p w14:paraId="4356E6F1" w14:textId="488A1BB5" w:rsidR="005E05D8" w:rsidRPr="001D6D10" w:rsidRDefault="005E05D8" w:rsidP="008C36F6">
            <w:pPr>
              <w:spacing w:line="340" w:lineRule="exact"/>
            </w:pPr>
            <w:r w:rsidRPr="001D6D10">
              <w:rPr>
                <w:rFonts w:hint="eastAsia"/>
              </w:rPr>
              <w:t>ブランド戦略推進課長</w:t>
            </w:r>
          </w:p>
        </w:tc>
        <w:tc>
          <w:tcPr>
            <w:tcW w:w="6066" w:type="dxa"/>
          </w:tcPr>
          <w:p w14:paraId="0EC0157A" w14:textId="7555C8BD" w:rsidR="005E05D8" w:rsidRPr="001D6D10" w:rsidRDefault="005E05D8" w:rsidP="008C36F6">
            <w:pPr>
              <w:spacing w:line="340" w:lineRule="exact"/>
            </w:pPr>
            <w:r w:rsidRPr="001D6D10">
              <w:rPr>
                <w:rFonts w:hint="eastAsia"/>
              </w:rPr>
              <w:t>他の班の応援に関すること</w:t>
            </w:r>
          </w:p>
        </w:tc>
      </w:tr>
    </w:tbl>
    <w:p w14:paraId="644DB293" w14:textId="77777777" w:rsidR="005E05D8" w:rsidRDefault="005E05D8">
      <w:r>
        <w:br w:type="page"/>
      </w:r>
    </w:p>
    <w:tbl>
      <w:tblPr>
        <w:tblStyle w:val="ab"/>
        <w:tblW w:w="10632" w:type="dxa"/>
        <w:tblInd w:w="-885" w:type="dxa"/>
        <w:tblLayout w:type="fixed"/>
        <w:tblLook w:val="04A0" w:firstRow="1" w:lastRow="0" w:firstColumn="1" w:lastColumn="0" w:noHBand="0" w:noVBand="1"/>
      </w:tblPr>
      <w:tblGrid>
        <w:gridCol w:w="426"/>
        <w:gridCol w:w="1134"/>
        <w:gridCol w:w="1276"/>
        <w:gridCol w:w="1730"/>
        <w:gridCol w:w="6066"/>
      </w:tblGrid>
      <w:tr w:rsidR="005E05D8" w:rsidRPr="001D6D10" w14:paraId="5EC461DD" w14:textId="77777777" w:rsidTr="00E0548A">
        <w:trPr>
          <w:trHeight w:val="963"/>
        </w:trPr>
        <w:tc>
          <w:tcPr>
            <w:tcW w:w="426" w:type="dxa"/>
            <w:vMerge w:val="restart"/>
            <w:textDirection w:val="tbRlV"/>
          </w:tcPr>
          <w:p w14:paraId="5EB300D8" w14:textId="613FB69E" w:rsidR="005E05D8" w:rsidRPr="001D6D10" w:rsidRDefault="005E05D8" w:rsidP="008C36F6">
            <w:pPr>
              <w:pStyle w:val="ad"/>
              <w:wordWrap/>
              <w:overflowPunct w:val="0"/>
              <w:spacing w:line="240" w:lineRule="auto"/>
              <w:ind w:left="113" w:rightChars="-376" w:right="-794"/>
            </w:pPr>
            <w:r w:rsidRPr="001D6D10">
              <w:rPr>
                <w:rFonts w:hint="eastAsia"/>
              </w:rPr>
              <w:lastRenderedPageBreak/>
              <w:t>都市整備部</w:t>
            </w:r>
          </w:p>
          <w:p w14:paraId="143443B3" w14:textId="77777777" w:rsidR="005E05D8" w:rsidRPr="001D6D10" w:rsidRDefault="005E05D8" w:rsidP="008C36F6">
            <w:pPr>
              <w:pStyle w:val="ad"/>
              <w:overflowPunct w:val="0"/>
              <w:spacing w:line="240" w:lineRule="auto"/>
              <w:ind w:left="113" w:rightChars="-376" w:right="-794"/>
            </w:pPr>
            <w:r w:rsidRPr="001D6D10">
              <w:rPr>
                <w:rFonts w:hint="eastAsia"/>
              </w:rPr>
              <w:t>都市整備部</w:t>
            </w:r>
          </w:p>
          <w:p w14:paraId="3415ECB7" w14:textId="77777777" w:rsidR="005E05D8" w:rsidRPr="001D6D10" w:rsidRDefault="005E05D8" w:rsidP="008C36F6">
            <w:pPr>
              <w:pStyle w:val="ad"/>
              <w:wordWrap/>
              <w:overflowPunct w:val="0"/>
              <w:spacing w:line="240" w:lineRule="auto"/>
              <w:ind w:left="113" w:rightChars="-376" w:right="-794"/>
            </w:pPr>
            <w:r w:rsidRPr="001D6D10">
              <w:rPr>
                <w:rFonts w:hint="eastAsia"/>
              </w:rPr>
              <w:t>都市整備部</w:t>
            </w:r>
          </w:p>
          <w:p w14:paraId="6DF48C76" w14:textId="4826F548" w:rsidR="005E05D8" w:rsidRPr="001D6D10" w:rsidRDefault="005E05D8" w:rsidP="008C36F6">
            <w:pPr>
              <w:pStyle w:val="ad"/>
              <w:overflowPunct w:val="0"/>
              <w:spacing w:line="240" w:lineRule="auto"/>
              <w:ind w:left="113" w:rightChars="-376" w:right="-794"/>
            </w:pPr>
            <w:r w:rsidRPr="001D6D10">
              <w:rPr>
                <w:rFonts w:hint="eastAsia"/>
              </w:rPr>
              <w:t>都市整備部</w:t>
            </w:r>
          </w:p>
        </w:tc>
        <w:tc>
          <w:tcPr>
            <w:tcW w:w="1134" w:type="dxa"/>
            <w:vMerge w:val="restart"/>
          </w:tcPr>
          <w:p w14:paraId="3A7295E3" w14:textId="77777777" w:rsidR="005E05D8" w:rsidRPr="001D6D10" w:rsidRDefault="005E05D8" w:rsidP="008C36F6">
            <w:pPr>
              <w:pStyle w:val="ad"/>
              <w:wordWrap/>
              <w:overflowPunct w:val="0"/>
              <w:spacing w:line="240" w:lineRule="auto"/>
              <w:ind w:rightChars="-376" w:right="-794"/>
              <w:rPr>
                <w:sz w:val="21"/>
              </w:rPr>
            </w:pPr>
            <w:r w:rsidRPr="001D6D10">
              <w:rPr>
                <w:rFonts w:hint="eastAsia"/>
                <w:sz w:val="21"/>
              </w:rPr>
              <w:t>都市整備</w:t>
            </w:r>
          </w:p>
          <w:p w14:paraId="59BD7E55" w14:textId="58ECE59A" w:rsidR="005E05D8" w:rsidRPr="001D6D10" w:rsidRDefault="005E05D8" w:rsidP="008C36F6">
            <w:pPr>
              <w:pStyle w:val="ad"/>
              <w:overflowPunct w:val="0"/>
              <w:spacing w:line="240" w:lineRule="auto"/>
              <w:ind w:rightChars="-376" w:right="-794"/>
              <w:rPr>
                <w:sz w:val="21"/>
              </w:rPr>
            </w:pPr>
            <w:r w:rsidRPr="001D6D10">
              <w:rPr>
                <w:rFonts w:hint="eastAsia"/>
                <w:sz w:val="21"/>
              </w:rPr>
              <w:t>部長</w:t>
            </w:r>
          </w:p>
        </w:tc>
        <w:tc>
          <w:tcPr>
            <w:tcW w:w="1276" w:type="dxa"/>
          </w:tcPr>
          <w:p w14:paraId="493C1800" w14:textId="77777777" w:rsidR="005E05D8" w:rsidRPr="001D6D10" w:rsidRDefault="005E05D8" w:rsidP="008C36F6">
            <w:pPr>
              <w:spacing w:line="340" w:lineRule="exact"/>
            </w:pPr>
            <w:r w:rsidRPr="001D6D10">
              <w:rPr>
                <w:rFonts w:hint="eastAsia"/>
              </w:rPr>
              <w:t>都市整備総務班</w:t>
            </w:r>
          </w:p>
          <w:p w14:paraId="2171870D" w14:textId="77777777" w:rsidR="005E05D8" w:rsidRPr="001D6D10" w:rsidRDefault="005E05D8" w:rsidP="008C36F6">
            <w:pPr>
              <w:spacing w:line="340" w:lineRule="exact"/>
            </w:pPr>
            <w:r w:rsidRPr="001D6D10">
              <w:rPr>
                <w:rFonts w:hint="eastAsia"/>
              </w:rPr>
              <w:t>部震災対策本部事務局班</w:t>
            </w:r>
          </w:p>
          <w:p w14:paraId="55A45945" w14:textId="1B56C967" w:rsidR="005E05D8" w:rsidRPr="001D6D10" w:rsidRDefault="005E05D8" w:rsidP="008C36F6">
            <w:pPr>
              <w:spacing w:line="340" w:lineRule="exact"/>
            </w:pPr>
            <w:r w:rsidRPr="001D6D10">
              <w:rPr>
                <w:rFonts w:hint="eastAsia"/>
              </w:rPr>
              <w:t>※（水防時は水防本部）</w:t>
            </w:r>
          </w:p>
        </w:tc>
        <w:tc>
          <w:tcPr>
            <w:tcW w:w="1730" w:type="dxa"/>
          </w:tcPr>
          <w:p w14:paraId="249CEF9A" w14:textId="77777777" w:rsidR="005E05D8" w:rsidRPr="001D6D10" w:rsidRDefault="005E05D8" w:rsidP="008C36F6">
            <w:pPr>
              <w:spacing w:line="340" w:lineRule="exact"/>
              <w:rPr>
                <w:szCs w:val="21"/>
              </w:rPr>
            </w:pPr>
            <w:r w:rsidRPr="001D6D10">
              <w:rPr>
                <w:rFonts w:hint="eastAsia"/>
                <w:spacing w:val="2"/>
                <w:w w:val="94"/>
                <w:kern w:val="0"/>
                <w:szCs w:val="21"/>
                <w:fitText w:val="1583" w:id="-1283628285"/>
              </w:rPr>
              <w:t>都市整備総務課</w:t>
            </w:r>
            <w:r w:rsidRPr="001D6D10">
              <w:rPr>
                <w:rFonts w:hint="eastAsia"/>
                <w:spacing w:val="-6"/>
                <w:w w:val="94"/>
                <w:kern w:val="0"/>
                <w:szCs w:val="21"/>
                <w:fitText w:val="1583" w:id="-1283628285"/>
              </w:rPr>
              <w:t>長</w:t>
            </w:r>
          </w:p>
          <w:p w14:paraId="33A0BB17" w14:textId="77777777" w:rsidR="005E05D8" w:rsidRPr="001D6D10" w:rsidRDefault="005E05D8" w:rsidP="008C36F6">
            <w:pPr>
              <w:spacing w:line="340" w:lineRule="exact"/>
            </w:pPr>
            <w:r w:rsidRPr="001D6D10">
              <w:rPr>
                <w:rFonts w:hint="eastAsia"/>
              </w:rPr>
              <w:t>事業調整室</w:t>
            </w:r>
          </w:p>
          <w:p w14:paraId="38363A85" w14:textId="77777777" w:rsidR="005E05D8" w:rsidRPr="001D6D10" w:rsidRDefault="005E05D8" w:rsidP="008C36F6">
            <w:pPr>
              <w:spacing w:line="340" w:lineRule="exact"/>
            </w:pPr>
            <w:r w:rsidRPr="001D6D10">
              <w:rPr>
                <w:rFonts w:hint="eastAsia"/>
              </w:rPr>
              <w:t>事業企画課長</w:t>
            </w:r>
          </w:p>
          <w:p w14:paraId="1D019678" w14:textId="136FE001" w:rsidR="005E05D8" w:rsidRPr="001D6D10" w:rsidRDefault="005E05D8" w:rsidP="008C36F6">
            <w:pPr>
              <w:spacing w:line="340" w:lineRule="exact"/>
            </w:pPr>
            <w:r w:rsidRPr="001D6D10">
              <w:rPr>
                <w:rFonts w:hint="eastAsia"/>
              </w:rPr>
              <w:t>技術管理課長</w:t>
            </w:r>
          </w:p>
        </w:tc>
        <w:tc>
          <w:tcPr>
            <w:tcW w:w="6066" w:type="dxa"/>
          </w:tcPr>
          <w:p w14:paraId="5202A1C0" w14:textId="77777777" w:rsidR="005E05D8" w:rsidRPr="001D6D10" w:rsidRDefault="005E05D8" w:rsidP="008C36F6">
            <w:pPr>
              <w:spacing w:line="340" w:lineRule="exact"/>
            </w:pPr>
            <w:r w:rsidRPr="001D6D10">
              <w:rPr>
                <w:rFonts w:hint="eastAsia"/>
              </w:rPr>
              <w:t>１ 防災・危機管理指令部に関すること。</w:t>
            </w:r>
          </w:p>
          <w:p w14:paraId="4A042E32" w14:textId="77777777" w:rsidR="005E05D8" w:rsidRPr="001D6D10" w:rsidRDefault="005E05D8" w:rsidP="008C36F6">
            <w:pPr>
              <w:spacing w:line="340" w:lineRule="exact"/>
            </w:pPr>
            <w:r w:rsidRPr="001D6D10">
              <w:rPr>
                <w:rFonts w:hint="eastAsia"/>
              </w:rPr>
              <w:t>２ 部内各班の連絡調整に関すること。</w:t>
            </w:r>
          </w:p>
          <w:p w14:paraId="1D6D2023" w14:textId="77777777" w:rsidR="005E05D8" w:rsidRPr="001D6D10" w:rsidRDefault="005E05D8" w:rsidP="00E0548A">
            <w:pPr>
              <w:spacing w:line="340" w:lineRule="exact"/>
              <w:ind w:left="211" w:hangingChars="100" w:hanging="211"/>
            </w:pPr>
            <w:r w:rsidRPr="001D6D10">
              <w:rPr>
                <w:rFonts w:hint="eastAsia"/>
              </w:rPr>
              <w:t>３ 部内各班の被害状況のとりまとめ及び本部への報告に関すること。</w:t>
            </w:r>
          </w:p>
          <w:p w14:paraId="7E76AEBC" w14:textId="189DC530" w:rsidR="005E05D8" w:rsidRPr="001D6D10" w:rsidRDefault="00916BEF" w:rsidP="008C36F6">
            <w:pPr>
              <w:spacing w:line="340" w:lineRule="exact"/>
            </w:pPr>
            <w:r>
              <w:rPr>
                <w:rFonts w:hint="eastAsia"/>
              </w:rPr>
              <w:t>４</w:t>
            </w:r>
            <w:r w:rsidR="005E05D8" w:rsidRPr="001D6D10">
              <w:rPr>
                <w:rFonts w:hint="eastAsia"/>
              </w:rPr>
              <w:t xml:space="preserve"> 関係機関との連絡調整に関すること。</w:t>
            </w:r>
          </w:p>
          <w:p w14:paraId="2A1A6233" w14:textId="77A272EA" w:rsidR="005E05D8" w:rsidRPr="001D6D10" w:rsidRDefault="00916BEF" w:rsidP="008C36F6">
            <w:pPr>
              <w:spacing w:line="340" w:lineRule="exact"/>
            </w:pPr>
            <w:r>
              <w:rPr>
                <w:rFonts w:hint="eastAsia"/>
              </w:rPr>
              <w:t>５</w:t>
            </w:r>
            <w:r w:rsidR="005E05D8" w:rsidRPr="001D6D10">
              <w:rPr>
                <w:rFonts w:hint="eastAsia"/>
              </w:rPr>
              <w:t xml:space="preserve"> 土木復旧工事用資機材、技術者の調達斡旋に関すること。</w:t>
            </w:r>
          </w:p>
          <w:p w14:paraId="51361AC3" w14:textId="2E1F68DB" w:rsidR="005E05D8" w:rsidRPr="001D6D10" w:rsidRDefault="00916BEF" w:rsidP="008C36F6">
            <w:pPr>
              <w:spacing w:line="340" w:lineRule="exact"/>
            </w:pPr>
            <w:r>
              <w:rPr>
                <w:rFonts w:hint="eastAsia"/>
              </w:rPr>
              <w:t>６</w:t>
            </w:r>
            <w:r w:rsidR="005E05D8" w:rsidRPr="001D6D10">
              <w:rPr>
                <w:rFonts w:hint="eastAsia"/>
              </w:rPr>
              <w:t xml:space="preserve"> 災害対策本部へのリエゾンの派遣に関すること。</w:t>
            </w:r>
          </w:p>
          <w:p w14:paraId="23AD9BAF" w14:textId="06065821" w:rsidR="005E05D8" w:rsidRPr="001D6D10" w:rsidRDefault="00916BEF" w:rsidP="008C36F6">
            <w:pPr>
              <w:spacing w:line="340" w:lineRule="exact"/>
            </w:pPr>
            <w:r>
              <w:rPr>
                <w:rFonts w:hint="eastAsia"/>
              </w:rPr>
              <w:t>７</w:t>
            </w:r>
            <w:r w:rsidR="005E05D8" w:rsidRPr="001D6D10">
              <w:rPr>
                <w:rFonts w:hint="eastAsia"/>
              </w:rPr>
              <w:t xml:space="preserve"> 水防本部に関すること。</w:t>
            </w:r>
          </w:p>
          <w:p w14:paraId="563A512E" w14:textId="3C6F90CD" w:rsidR="005E05D8" w:rsidRPr="001D6D10" w:rsidRDefault="00916BEF" w:rsidP="008C36F6">
            <w:pPr>
              <w:spacing w:line="340" w:lineRule="exact"/>
            </w:pPr>
            <w:r>
              <w:rPr>
                <w:rFonts w:hint="eastAsia"/>
              </w:rPr>
              <w:t>８</w:t>
            </w:r>
            <w:r w:rsidR="005E05D8" w:rsidRPr="001D6D10">
              <w:rPr>
                <w:rFonts w:hint="eastAsia"/>
              </w:rPr>
              <w:t xml:space="preserve"> 水防対策要員の確保に関すること。</w:t>
            </w:r>
          </w:p>
          <w:p w14:paraId="60F62A5F" w14:textId="1F12E5C3" w:rsidR="005E05D8" w:rsidRPr="001D6D10" w:rsidRDefault="00916BEF" w:rsidP="008C36F6">
            <w:pPr>
              <w:spacing w:line="340" w:lineRule="exact"/>
              <w:ind w:leftChars="1" w:left="59" w:hangingChars="27" w:hanging="57"/>
            </w:pPr>
            <w:r>
              <w:rPr>
                <w:rFonts w:hint="eastAsia"/>
              </w:rPr>
              <w:t>９</w:t>
            </w:r>
            <w:r w:rsidR="005E05D8" w:rsidRPr="001D6D10">
              <w:rPr>
                <w:rFonts w:hint="eastAsia"/>
              </w:rPr>
              <w:t xml:space="preserve"> 水防資機材等の調達斡旋に関すること。</w:t>
            </w:r>
          </w:p>
        </w:tc>
      </w:tr>
      <w:tr w:rsidR="005E05D8" w:rsidRPr="001D6D10" w14:paraId="6C4E5324" w14:textId="77777777" w:rsidTr="005C4F02">
        <w:trPr>
          <w:trHeight w:val="3331"/>
        </w:trPr>
        <w:tc>
          <w:tcPr>
            <w:tcW w:w="426" w:type="dxa"/>
            <w:vMerge/>
            <w:textDirection w:val="tbRlV"/>
          </w:tcPr>
          <w:p w14:paraId="78FFB6F3" w14:textId="7F28E3AB" w:rsidR="005E05D8" w:rsidRPr="001D6D10" w:rsidRDefault="005E05D8" w:rsidP="008C36F6">
            <w:pPr>
              <w:pStyle w:val="ad"/>
              <w:overflowPunct w:val="0"/>
              <w:spacing w:line="240" w:lineRule="auto"/>
              <w:ind w:left="113" w:rightChars="-376" w:right="-794"/>
            </w:pPr>
          </w:p>
        </w:tc>
        <w:tc>
          <w:tcPr>
            <w:tcW w:w="1134" w:type="dxa"/>
            <w:vMerge/>
          </w:tcPr>
          <w:p w14:paraId="676B3790" w14:textId="65E9190B" w:rsidR="005E05D8" w:rsidRPr="001D6D10" w:rsidRDefault="005E05D8" w:rsidP="008C36F6">
            <w:pPr>
              <w:pStyle w:val="ad"/>
              <w:overflowPunct w:val="0"/>
              <w:spacing w:line="240" w:lineRule="auto"/>
              <w:ind w:rightChars="-376" w:right="-794"/>
              <w:rPr>
                <w:sz w:val="21"/>
              </w:rPr>
            </w:pPr>
          </w:p>
        </w:tc>
        <w:tc>
          <w:tcPr>
            <w:tcW w:w="1276" w:type="dxa"/>
          </w:tcPr>
          <w:p w14:paraId="173F73DE" w14:textId="4101E909" w:rsidR="005E05D8" w:rsidRPr="001D6D10" w:rsidRDefault="005E05D8" w:rsidP="008C36F6">
            <w:pPr>
              <w:spacing w:line="340" w:lineRule="exact"/>
            </w:pPr>
            <w:r w:rsidRPr="001D6D10">
              <w:rPr>
                <w:rFonts w:hint="eastAsia"/>
                <w:sz w:val="20"/>
                <w:szCs w:val="20"/>
              </w:rPr>
              <w:t>都市防災班</w:t>
            </w:r>
          </w:p>
        </w:tc>
        <w:tc>
          <w:tcPr>
            <w:tcW w:w="1730" w:type="dxa"/>
          </w:tcPr>
          <w:p w14:paraId="53DACCA8" w14:textId="77777777" w:rsidR="005E05D8" w:rsidRPr="001D6D10" w:rsidRDefault="005E05D8" w:rsidP="008C36F6">
            <w:pPr>
              <w:spacing w:line="340" w:lineRule="exact"/>
            </w:pPr>
            <w:r w:rsidRPr="001D6D10">
              <w:rPr>
                <w:rFonts w:hint="eastAsia"/>
              </w:rPr>
              <w:t>事業調整室</w:t>
            </w:r>
          </w:p>
          <w:p w14:paraId="784CDC58" w14:textId="0BEA2114" w:rsidR="005E05D8" w:rsidRPr="001D6D10" w:rsidRDefault="005E05D8" w:rsidP="008C36F6">
            <w:pPr>
              <w:spacing w:line="340" w:lineRule="exact"/>
            </w:pPr>
            <w:r w:rsidRPr="001D6D10">
              <w:rPr>
                <w:rFonts w:hint="eastAsia"/>
              </w:rPr>
              <w:t>都市防災課長</w:t>
            </w:r>
          </w:p>
        </w:tc>
        <w:tc>
          <w:tcPr>
            <w:tcW w:w="6066" w:type="dxa"/>
          </w:tcPr>
          <w:p w14:paraId="16E76FCE" w14:textId="77777777" w:rsidR="005E05D8" w:rsidRPr="001D6D10" w:rsidRDefault="005E05D8" w:rsidP="008C36F6">
            <w:pPr>
              <w:spacing w:line="340" w:lineRule="exact"/>
              <w:rPr>
                <w:sz w:val="20"/>
                <w:szCs w:val="20"/>
              </w:rPr>
            </w:pPr>
            <w:r w:rsidRPr="001D6D10">
              <w:rPr>
                <w:rFonts w:hint="eastAsia"/>
                <w:sz w:val="20"/>
                <w:szCs w:val="20"/>
              </w:rPr>
              <w:t>１</w:t>
            </w:r>
            <w:r w:rsidRPr="001D6D10">
              <w:rPr>
                <w:rFonts w:asciiTheme="minorEastAsia" w:hAnsiTheme="minorEastAsia" w:hint="eastAsia"/>
                <w:sz w:val="20"/>
                <w:szCs w:val="20"/>
              </w:rPr>
              <w:t>被災市町村の住宅・建築物及び密集市街地</w:t>
            </w:r>
            <w:r w:rsidRPr="001D6D10">
              <w:rPr>
                <w:rFonts w:hint="eastAsia"/>
                <w:sz w:val="20"/>
                <w:szCs w:val="20"/>
              </w:rPr>
              <w:t>の被害状況の確認。</w:t>
            </w:r>
          </w:p>
          <w:p w14:paraId="47B8E65C" w14:textId="77777777" w:rsidR="005E05D8" w:rsidRPr="001D6D10" w:rsidRDefault="005E05D8" w:rsidP="008C36F6">
            <w:pPr>
              <w:spacing w:line="340" w:lineRule="exact"/>
              <w:ind w:left="101" w:hangingChars="50" w:hanging="101"/>
              <w:rPr>
                <w:sz w:val="20"/>
                <w:szCs w:val="20"/>
              </w:rPr>
            </w:pPr>
            <w:r w:rsidRPr="001D6D10">
              <w:rPr>
                <w:rFonts w:hint="eastAsia"/>
                <w:sz w:val="20"/>
                <w:szCs w:val="20"/>
              </w:rPr>
              <w:t>２ 被災建築物応急危険度判定に関すること（府現地災害対策本部が設置された場合など、支援本部が特に必要と認めた場合、被災市町村への職員派遣及び現地災害対策本部との連携のため判定支援チームを派遣）。</w:t>
            </w:r>
          </w:p>
          <w:p w14:paraId="44EA51BB" w14:textId="07D5379B" w:rsidR="005E05D8" w:rsidRPr="001D6D10" w:rsidRDefault="005E05D8" w:rsidP="008C36F6">
            <w:pPr>
              <w:spacing w:line="340" w:lineRule="exact"/>
            </w:pPr>
            <w:r w:rsidRPr="001D6D10">
              <w:rPr>
                <w:rFonts w:hint="eastAsia"/>
                <w:sz w:val="20"/>
                <w:szCs w:val="20"/>
              </w:rPr>
              <w:t>３ 被災宅地危険度判定に関すること</w:t>
            </w:r>
            <w:r w:rsidR="00916BEF">
              <w:rPr>
                <w:rFonts w:hint="eastAsia"/>
                <w:sz w:val="20"/>
                <w:szCs w:val="20"/>
              </w:rPr>
              <w:t>。</w:t>
            </w:r>
          </w:p>
        </w:tc>
      </w:tr>
      <w:tr w:rsidR="005E05D8" w:rsidRPr="001D6D10" w14:paraId="394A830C" w14:textId="77777777" w:rsidTr="005F51E1">
        <w:trPr>
          <w:cantSplit/>
          <w:trHeight w:val="1134"/>
        </w:trPr>
        <w:tc>
          <w:tcPr>
            <w:tcW w:w="426" w:type="dxa"/>
            <w:vMerge/>
            <w:textDirection w:val="tbRlV"/>
          </w:tcPr>
          <w:p w14:paraId="6E73CEE4" w14:textId="77777777" w:rsidR="005E05D8" w:rsidRPr="001D6D10" w:rsidRDefault="005E05D8" w:rsidP="008C36F6">
            <w:pPr>
              <w:pStyle w:val="ad"/>
              <w:overflowPunct w:val="0"/>
              <w:spacing w:line="240" w:lineRule="auto"/>
              <w:ind w:left="113" w:rightChars="-376" w:right="-794"/>
            </w:pPr>
          </w:p>
        </w:tc>
        <w:tc>
          <w:tcPr>
            <w:tcW w:w="1134" w:type="dxa"/>
            <w:vMerge/>
          </w:tcPr>
          <w:p w14:paraId="6BD4FC3C" w14:textId="77777777" w:rsidR="005E05D8" w:rsidRPr="001D6D10" w:rsidRDefault="005E05D8" w:rsidP="008C36F6">
            <w:pPr>
              <w:pStyle w:val="ad"/>
              <w:wordWrap/>
              <w:overflowPunct w:val="0"/>
              <w:spacing w:line="240" w:lineRule="auto"/>
              <w:ind w:rightChars="-376" w:right="-794"/>
              <w:rPr>
                <w:sz w:val="21"/>
              </w:rPr>
            </w:pPr>
          </w:p>
        </w:tc>
        <w:tc>
          <w:tcPr>
            <w:tcW w:w="1276" w:type="dxa"/>
          </w:tcPr>
          <w:p w14:paraId="1F0C9901" w14:textId="77777777" w:rsidR="005E05D8" w:rsidRPr="001D6D10" w:rsidRDefault="005E05D8" w:rsidP="008C36F6">
            <w:pPr>
              <w:spacing w:line="340" w:lineRule="exact"/>
              <w:rPr>
                <w:dstrike/>
              </w:rPr>
            </w:pPr>
            <w:r w:rsidRPr="001D6D10">
              <w:rPr>
                <w:rFonts w:hint="eastAsia"/>
              </w:rPr>
              <w:t>公園班</w:t>
            </w:r>
          </w:p>
          <w:p w14:paraId="41567C2D" w14:textId="77777777" w:rsidR="005E05D8" w:rsidRPr="001D6D10" w:rsidRDefault="005E05D8" w:rsidP="008C36F6">
            <w:pPr>
              <w:spacing w:line="340" w:lineRule="exact"/>
              <w:rPr>
                <w:dstrike/>
              </w:rPr>
            </w:pPr>
          </w:p>
          <w:p w14:paraId="2DE6A8C2" w14:textId="77777777" w:rsidR="005E05D8" w:rsidRPr="001D6D10" w:rsidRDefault="005E05D8" w:rsidP="008C36F6">
            <w:pPr>
              <w:spacing w:line="340" w:lineRule="exact"/>
              <w:rPr>
                <w:dstrike/>
              </w:rPr>
            </w:pPr>
          </w:p>
          <w:p w14:paraId="64DD69EE" w14:textId="55D67328" w:rsidR="005E05D8" w:rsidRPr="001D6D10" w:rsidRDefault="005E05D8" w:rsidP="008C36F6">
            <w:pPr>
              <w:spacing w:line="340" w:lineRule="exact"/>
            </w:pPr>
          </w:p>
        </w:tc>
        <w:tc>
          <w:tcPr>
            <w:tcW w:w="1730" w:type="dxa"/>
          </w:tcPr>
          <w:p w14:paraId="2EF1BD8B" w14:textId="5DBA21E4" w:rsidR="005E05D8" w:rsidRPr="001D6D10" w:rsidRDefault="005E05D8" w:rsidP="008C36F6">
            <w:pPr>
              <w:spacing w:line="340" w:lineRule="exact"/>
            </w:pPr>
            <w:r w:rsidRPr="001D6D10">
              <w:rPr>
                <w:rFonts w:hint="eastAsia"/>
              </w:rPr>
              <w:t>公園課長</w:t>
            </w:r>
          </w:p>
        </w:tc>
        <w:tc>
          <w:tcPr>
            <w:tcW w:w="6066" w:type="dxa"/>
          </w:tcPr>
          <w:p w14:paraId="1802FB66" w14:textId="77777777" w:rsidR="005E05D8" w:rsidRPr="001D6D10" w:rsidRDefault="005E05D8" w:rsidP="008C36F6">
            <w:pPr>
              <w:spacing w:line="340" w:lineRule="exact"/>
            </w:pPr>
            <w:r w:rsidRPr="001D6D10">
              <w:rPr>
                <w:rFonts w:hint="eastAsia"/>
              </w:rPr>
              <w:t>１ 関係機関との連絡調整に関すること。</w:t>
            </w:r>
          </w:p>
          <w:p w14:paraId="457326BC" w14:textId="77777777" w:rsidR="005E05D8" w:rsidRPr="001D6D10" w:rsidRDefault="005E05D8" w:rsidP="008C36F6">
            <w:pPr>
              <w:spacing w:line="340" w:lineRule="exact"/>
            </w:pPr>
            <w:r w:rsidRPr="001D6D10">
              <w:rPr>
                <w:rFonts w:hint="eastAsia"/>
              </w:rPr>
              <w:t>２ 避難地の安全性確保に関すること。</w:t>
            </w:r>
          </w:p>
          <w:p w14:paraId="6DA1DA5A" w14:textId="77777777" w:rsidR="005E05D8" w:rsidRPr="001D6D10" w:rsidRDefault="005E05D8" w:rsidP="008C36F6">
            <w:pPr>
              <w:spacing w:line="340" w:lineRule="exact"/>
            </w:pPr>
            <w:r w:rsidRPr="001D6D10">
              <w:rPr>
                <w:rFonts w:hint="eastAsia"/>
              </w:rPr>
              <w:t>３ 後方支援活動拠点の確保に関すること。</w:t>
            </w:r>
          </w:p>
          <w:p w14:paraId="3775B26B" w14:textId="7542A9A6" w:rsidR="005E05D8" w:rsidRPr="001D6D10" w:rsidRDefault="005E05D8" w:rsidP="008C36F6">
            <w:pPr>
              <w:spacing w:line="340" w:lineRule="exact"/>
              <w:rPr>
                <w:szCs w:val="21"/>
              </w:rPr>
            </w:pPr>
            <w:r w:rsidRPr="001D6D10">
              <w:rPr>
                <w:rFonts w:hint="eastAsia"/>
              </w:rPr>
              <w:t>４ 公園施設の復旧対策に関すること。</w:t>
            </w:r>
          </w:p>
        </w:tc>
      </w:tr>
      <w:tr w:rsidR="005E05D8" w:rsidRPr="001D6D10" w14:paraId="1DD1A957" w14:textId="77777777" w:rsidTr="005F51E1">
        <w:tc>
          <w:tcPr>
            <w:tcW w:w="426" w:type="dxa"/>
            <w:vMerge/>
            <w:textDirection w:val="tbRlV"/>
          </w:tcPr>
          <w:p w14:paraId="7A922478" w14:textId="77777777" w:rsidR="005E05D8" w:rsidRPr="001D6D10" w:rsidRDefault="005E05D8" w:rsidP="008C36F6">
            <w:pPr>
              <w:pStyle w:val="ad"/>
              <w:wordWrap/>
              <w:overflowPunct w:val="0"/>
              <w:spacing w:line="240" w:lineRule="auto"/>
              <w:ind w:left="113" w:rightChars="-376" w:right="-794"/>
            </w:pPr>
          </w:p>
        </w:tc>
        <w:tc>
          <w:tcPr>
            <w:tcW w:w="1134" w:type="dxa"/>
            <w:vMerge/>
          </w:tcPr>
          <w:p w14:paraId="538E09E0" w14:textId="77777777" w:rsidR="005E05D8" w:rsidRPr="001D6D10" w:rsidRDefault="005E05D8" w:rsidP="008C36F6">
            <w:pPr>
              <w:pStyle w:val="ad"/>
              <w:wordWrap/>
              <w:overflowPunct w:val="0"/>
              <w:spacing w:line="240" w:lineRule="auto"/>
              <w:ind w:rightChars="-376" w:right="-794"/>
            </w:pPr>
          </w:p>
        </w:tc>
        <w:tc>
          <w:tcPr>
            <w:tcW w:w="1276" w:type="dxa"/>
          </w:tcPr>
          <w:p w14:paraId="7387D217" w14:textId="1973485B" w:rsidR="005E05D8" w:rsidRPr="001D6D10" w:rsidRDefault="005E05D8" w:rsidP="008C36F6">
            <w:pPr>
              <w:spacing w:line="340" w:lineRule="exact"/>
            </w:pPr>
            <w:r w:rsidRPr="001D6D10">
              <w:rPr>
                <w:rFonts w:hint="eastAsia"/>
              </w:rPr>
              <w:t>交通道路班</w:t>
            </w:r>
          </w:p>
        </w:tc>
        <w:tc>
          <w:tcPr>
            <w:tcW w:w="1730" w:type="dxa"/>
          </w:tcPr>
          <w:p w14:paraId="301BB1A9" w14:textId="77777777" w:rsidR="005E05D8" w:rsidRPr="001D6D10" w:rsidRDefault="005E05D8" w:rsidP="008C36F6">
            <w:pPr>
              <w:spacing w:line="340" w:lineRule="exact"/>
            </w:pPr>
            <w:r w:rsidRPr="001D6D10">
              <w:rPr>
                <w:rFonts w:hint="eastAsia"/>
              </w:rPr>
              <w:t>道路室</w:t>
            </w:r>
          </w:p>
          <w:p w14:paraId="317B78BC" w14:textId="77777777" w:rsidR="005E05D8" w:rsidRPr="001D6D10" w:rsidRDefault="005E05D8" w:rsidP="008C36F6">
            <w:pPr>
              <w:spacing w:line="340" w:lineRule="exact"/>
            </w:pPr>
            <w:r w:rsidRPr="001D6D10">
              <w:rPr>
                <w:rFonts w:hint="eastAsia"/>
              </w:rPr>
              <w:t>道路整備課長</w:t>
            </w:r>
          </w:p>
          <w:p w14:paraId="68D3A40E" w14:textId="77777777" w:rsidR="005E05D8" w:rsidRPr="001D6D10" w:rsidRDefault="005E05D8" w:rsidP="008C36F6">
            <w:pPr>
              <w:spacing w:line="340" w:lineRule="exact"/>
            </w:pPr>
            <w:r w:rsidRPr="001D6D10">
              <w:rPr>
                <w:rFonts w:hint="eastAsia"/>
              </w:rPr>
              <w:t>道路環境課長</w:t>
            </w:r>
          </w:p>
          <w:p w14:paraId="1A498C2C" w14:textId="77777777" w:rsidR="005E05D8" w:rsidRPr="001D6D10" w:rsidRDefault="005E05D8" w:rsidP="008C36F6">
            <w:pPr>
              <w:spacing w:line="340" w:lineRule="exact"/>
            </w:pPr>
            <w:r w:rsidRPr="001D6D10">
              <w:rPr>
                <w:rFonts w:hint="eastAsia"/>
              </w:rPr>
              <w:t>交通戦略室</w:t>
            </w:r>
          </w:p>
          <w:p w14:paraId="12933AB8" w14:textId="77777777" w:rsidR="005E05D8" w:rsidRPr="001D6D10" w:rsidRDefault="005E05D8" w:rsidP="008C36F6">
            <w:pPr>
              <w:spacing w:line="340" w:lineRule="exact"/>
            </w:pPr>
            <w:r w:rsidRPr="001D6D10">
              <w:rPr>
                <w:rFonts w:hint="eastAsia"/>
              </w:rPr>
              <w:t>交通計画課長</w:t>
            </w:r>
          </w:p>
          <w:p w14:paraId="3C93BF41" w14:textId="35406A4E" w:rsidR="005E05D8" w:rsidRPr="001D6D10" w:rsidRDefault="005E05D8" w:rsidP="008C36F6">
            <w:pPr>
              <w:spacing w:line="340" w:lineRule="exact"/>
            </w:pPr>
            <w:r w:rsidRPr="001D6D10">
              <w:rPr>
                <w:rFonts w:hint="eastAsia"/>
              </w:rPr>
              <w:t>鉄道推進課長</w:t>
            </w:r>
          </w:p>
        </w:tc>
        <w:tc>
          <w:tcPr>
            <w:tcW w:w="6066" w:type="dxa"/>
          </w:tcPr>
          <w:p w14:paraId="07BFB505" w14:textId="77777777" w:rsidR="005E05D8" w:rsidRPr="001D6D10" w:rsidRDefault="005E05D8" w:rsidP="008C36F6">
            <w:pPr>
              <w:spacing w:line="340" w:lineRule="exact"/>
            </w:pPr>
            <w:r w:rsidRPr="001D6D10">
              <w:rPr>
                <w:rFonts w:hint="eastAsia"/>
              </w:rPr>
              <w:t>１ 防災・危機管理指令部に関すること。</w:t>
            </w:r>
          </w:p>
          <w:p w14:paraId="609035DE" w14:textId="77777777" w:rsidR="005E05D8" w:rsidRPr="001D6D10" w:rsidRDefault="005E05D8" w:rsidP="008C36F6">
            <w:pPr>
              <w:spacing w:line="340" w:lineRule="exact"/>
            </w:pPr>
            <w:r w:rsidRPr="001D6D10">
              <w:rPr>
                <w:rFonts w:hint="eastAsia"/>
              </w:rPr>
              <w:t>２ 関係機関との連絡調整に関すること。</w:t>
            </w:r>
          </w:p>
          <w:p w14:paraId="176F6733" w14:textId="77777777" w:rsidR="005E05D8" w:rsidRPr="001D6D10" w:rsidRDefault="005E05D8" w:rsidP="008C36F6">
            <w:pPr>
              <w:spacing w:line="340" w:lineRule="exact"/>
            </w:pPr>
            <w:r w:rsidRPr="001D6D10">
              <w:rPr>
                <w:rFonts w:hint="eastAsia"/>
              </w:rPr>
              <w:t>３ 道路災害等対策に関すること。</w:t>
            </w:r>
          </w:p>
          <w:p w14:paraId="27D6C6C0" w14:textId="77777777" w:rsidR="005E05D8" w:rsidRPr="001D6D10" w:rsidRDefault="005E05D8" w:rsidP="008C36F6">
            <w:pPr>
              <w:spacing w:line="340" w:lineRule="exact"/>
            </w:pPr>
            <w:r w:rsidRPr="001D6D10">
              <w:rPr>
                <w:rFonts w:hint="eastAsia"/>
              </w:rPr>
              <w:t>４ 道路交通の確保に関すること。</w:t>
            </w:r>
          </w:p>
          <w:p w14:paraId="75938891" w14:textId="77777777" w:rsidR="005E05D8" w:rsidRPr="001D6D10" w:rsidRDefault="005E05D8" w:rsidP="008C36F6">
            <w:pPr>
              <w:spacing w:line="340" w:lineRule="exact"/>
            </w:pPr>
            <w:r w:rsidRPr="001D6D10">
              <w:rPr>
                <w:rFonts w:hint="eastAsia"/>
              </w:rPr>
              <w:t>５ 道路橋梁の障害物の除去に関すること。</w:t>
            </w:r>
          </w:p>
          <w:p w14:paraId="37EB1431" w14:textId="77777777" w:rsidR="005E05D8" w:rsidRPr="001D6D10" w:rsidRDefault="005E05D8" w:rsidP="008C36F6">
            <w:pPr>
              <w:spacing w:line="340" w:lineRule="exact"/>
            </w:pPr>
            <w:r w:rsidRPr="001D6D10">
              <w:rPr>
                <w:rFonts w:hint="eastAsia"/>
              </w:rPr>
              <w:t>６ 道路橋梁の復旧対策に関すること。</w:t>
            </w:r>
          </w:p>
          <w:p w14:paraId="39196202" w14:textId="50727CD5" w:rsidR="005E05D8" w:rsidRPr="001D6D10" w:rsidRDefault="005E05D8" w:rsidP="008C36F6">
            <w:pPr>
              <w:spacing w:line="380" w:lineRule="exact"/>
            </w:pPr>
            <w:r w:rsidRPr="001D6D10">
              <w:rPr>
                <w:rFonts w:hint="eastAsia"/>
              </w:rPr>
              <w:t>７ 鉄軌道の災害等に係る連絡調整に関すること。</w:t>
            </w:r>
          </w:p>
        </w:tc>
      </w:tr>
      <w:tr w:rsidR="005E05D8" w:rsidRPr="001D6D10" w14:paraId="700ED737" w14:textId="77777777" w:rsidTr="005F51E1">
        <w:tc>
          <w:tcPr>
            <w:tcW w:w="426" w:type="dxa"/>
            <w:vMerge/>
            <w:textDirection w:val="tbRlV"/>
          </w:tcPr>
          <w:p w14:paraId="0F5A3471" w14:textId="77777777" w:rsidR="005E05D8" w:rsidRPr="001D6D10" w:rsidRDefault="005E05D8" w:rsidP="008C36F6">
            <w:pPr>
              <w:pStyle w:val="ad"/>
              <w:wordWrap/>
              <w:overflowPunct w:val="0"/>
              <w:spacing w:line="240" w:lineRule="auto"/>
              <w:ind w:left="113" w:rightChars="-376" w:right="-794"/>
            </w:pPr>
          </w:p>
        </w:tc>
        <w:tc>
          <w:tcPr>
            <w:tcW w:w="1134" w:type="dxa"/>
            <w:vMerge/>
          </w:tcPr>
          <w:p w14:paraId="129A919E" w14:textId="77777777" w:rsidR="005E05D8" w:rsidRPr="001D6D10" w:rsidRDefault="005E05D8" w:rsidP="008C36F6">
            <w:pPr>
              <w:pStyle w:val="ad"/>
              <w:wordWrap/>
              <w:overflowPunct w:val="0"/>
              <w:spacing w:line="240" w:lineRule="auto"/>
              <w:ind w:rightChars="-376" w:right="-794"/>
            </w:pPr>
          </w:p>
        </w:tc>
        <w:tc>
          <w:tcPr>
            <w:tcW w:w="1276" w:type="dxa"/>
          </w:tcPr>
          <w:p w14:paraId="4ED12793" w14:textId="5450B424" w:rsidR="005E05D8" w:rsidRPr="001D6D10" w:rsidRDefault="005E05D8" w:rsidP="008C36F6">
            <w:pPr>
              <w:spacing w:line="340" w:lineRule="exact"/>
            </w:pPr>
            <w:r w:rsidRPr="001D6D10">
              <w:rPr>
                <w:rFonts w:hint="eastAsia"/>
              </w:rPr>
              <w:t>河川班</w:t>
            </w:r>
          </w:p>
        </w:tc>
        <w:tc>
          <w:tcPr>
            <w:tcW w:w="1730" w:type="dxa"/>
          </w:tcPr>
          <w:p w14:paraId="3DEC1903" w14:textId="77777777" w:rsidR="005E05D8" w:rsidRPr="001D6D10" w:rsidRDefault="005E05D8" w:rsidP="008C36F6">
            <w:pPr>
              <w:spacing w:line="340" w:lineRule="exact"/>
            </w:pPr>
            <w:r w:rsidRPr="001D6D10">
              <w:rPr>
                <w:rFonts w:hint="eastAsia"/>
              </w:rPr>
              <w:t>河川室</w:t>
            </w:r>
          </w:p>
          <w:p w14:paraId="258864DA" w14:textId="77777777" w:rsidR="005E05D8" w:rsidRPr="001D6D10" w:rsidRDefault="005E05D8" w:rsidP="008C36F6">
            <w:pPr>
              <w:spacing w:line="340" w:lineRule="exact"/>
            </w:pPr>
            <w:r w:rsidRPr="001D6D10">
              <w:rPr>
                <w:rFonts w:hint="eastAsia"/>
              </w:rPr>
              <w:t>河川整備課長</w:t>
            </w:r>
          </w:p>
          <w:p w14:paraId="57B0D819" w14:textId="7C91D416" w:rsidR="005E05D8" w:rsidRPr="001D6D10" w:rsidRDefault="005E05D8" w:rsidP="008C36F6">
            <w:pPr>
              <w:spacing w:line="340" w:lineRule="exact"/>
            </w:pPr>
            <w:r w:rsidRPr="001D6D10">
              <w:rPr>
                <w:rFonts w:hint="eastAsia"/>
              </w:rPr>
              <w:t>河川環境課長</w:t>
            </w:r>
          </w:p>
        </w:tc>
        <w:tc>
          <w:tcPr>
            <w:tcW w:w="6066" w:type="dxa"/>
          </w:tcPr>
          <w:p w14:paraId="7E234D27" w14:textId="77777777" w:rsidR="005E05D8" w:rsidRPr="001D6D10" w:rsidRDefault="005E05D8" w:rsidP="008C36F6">
            <w:pPr>
              <w:spacing w:line="340" w:lineRule="exact"/>
            </w:pPr>
            <w:r w:rsidRPr="001D6D10">
              <w:rPr>
                <w:rFonts w:hint="eastAsia"/>
              </w:rPr>
              <w:t>１ 防災・危機管理指令部に関すること。</w:t>
            </w:r>
          </w:p>
          <w:p w14:paraId="2B53D365" w14:textId="77777777" w:rsidR="005E05D8" w:rsidRPr="001D6D10" w:rsidRDefault="005E05D8" w:rsidP="008C36F6">
            <w:pPr>
              <w:spacing w:line="340" w:lineRule="exact"/>
            </w:pPr>
            <w:r w:rsidRPr="001D6D10">
              <w:rPr>
                <w:rFonts w:hint="eastAsia"/>
              </w:rPr>
              <w:t>２ 関係機関との連絡調整に関すること。</w:t>
            </w:r>
          </w:p>
          <w:p w14:paraId="49E1A33B" w14:textId="77777777" w:rsidR="005E05D8" w:rsidRPr="001D6D10" w:rsidRDefault="005E05D8" w:rsidP="008C36F6">
            <w:pPr>
              <w:spacing w:line="340" w:lineRule="exact"/>
            </w:pPr>
            <w:r w:rsidRPr="001D6D10">
              <w:rPr>
                <w:rFonts w:hint="eastAsia"/>
              </w:rPr>
              <w:t>３ 河川の障害物の除去に関すること。</w:t>
            </w:r>
          </w:p>
          <w:p w14:paraId="703FEA98" w14:textId="77777777" w:rsidR="005E05D8" w:rsidRPr="001D6D10" w:rsidRDefault="005E05D8" w:rsidP="008C36F6">
            <w:pPr>
              <w:spacing w:line="340" w:lineRule="exact"/>
            </w:pPr>
            <w:r w:rsidRPr="001D6D10">
              <w:rPr>
                <w:rFonts w:hint="eastAsia"/>
              </w:rPr>
              <w:t>４ 河川施設の復旧対策に関すること。</w:t>
            </w:r>
          </w:p>
          <w:p w14:paraId="5F17B317" w14:textId="77777777" w:rsidR="005E05D8" w:rsidRPr="001D6D10" w:rsidRDefault="005E05D8" w:rsidP="008C36F6">
            <w:pPr>
              <w:spacing w:line="340" w:lineRule="exact"/>
            </w:pPr>
            <w:r w:rsidRPr="001D6D10">
              <w:rPr>
                <w:rFonts w:hint="eastAsia"/>
              </w:rPr>
              <w:t>５ 土砂災害の復旧対策に関すること。</w:t>
            </w:r>
          </w:p>
          <w:p w14:paraId="2B3E6C86" w14:textId="77777777" w:rsidR="005E05D8" w:rsidRPr="001D6D10" w:rsidRDefault="005E05D8" w:rsidP="008C36F6">
            <w:pPr>
              <w:spacing w:line="340" w:lineRule="exact"/>
            </w:pPr>
            <w:r w:rsidRPr="001D6D10">
              <w:rPr>
                <w:rFonts w:hint="eastAsia"/>
              </w:rPr>
              <w:t>６ ダム砂防施設の復旧対策に関すること。</w:t>
            </w:r>
          </w:p>
          <w:p w14:paraId="14D60B20" w14:textId="77777777" w:rsidR="005E05D8" w:rsidRPr="001D6D10" w:rsidRDefault="005E05D8" w:rsidP="008C36F6">
            <w:pPr>
              <w:spacing w:line="340" w:lineRule="exact"/>
            </w:pPr>
            <w:r w:rsidRPr="001D6D10">
              <w:rPr>
                <w:rFonts w:hint="eastAsia"/>
              </w:rPr>
              <w:t>７ 砂防ボランティアに関すること。</w:t>
            </w:r>
          </w:p>
          <w:p w14:paraId="5C98E179" w14:textId="7275982C" w:rsidR="005E05D8" w:rsidRPr="001D6D10" w:rsidRDefault="005E05D8" w:rsidP="008C36F6">
            <w:pPr>
              <w:spacing w:line="340" w:lineRule="exact"/>
              <w:rPr>
                <w:szCs w:val="21"/>
              </w:rPr>
            </w:pPr>
            <w:r w:rsidRPr="001D6D10">
              <w:rPr>
                <w:rFonts w:hint="eastAsia"/>
              </w:rPr>
              <w:t>８ 水防活動に関すること。</w:t>
            </w:r>
          </w:p>
        </w:tc>
      </w:tr>
      <w:tr w:rsidR="005E05D8" w:rsidRPr="001D6D10" w14:paraId="6CAA0DE8" w14:textId="77777777" w:rsidTr="005F51E1">
        <w:tc>
          <w:tcPr>
            <w:tcW w:w="426" w:type="dxa"/>
            <w:vMerge/>
          </w:tcPr>
          <w:p w14:paraId="04634747" w14:textId="77777777" w:rsidR="005E05D8" w:rsidRPr="001D6D10" w:rsidRDefault="005E05D8" w:rsidP="008C36F6">
            <w:pPr>
              <w:pStyle w:val="ad"/>
              <w:wordWrap/>
              <w:overflowPunct w:val="0"/>
              <w:spacing w:line="240" w:lineRule="auto"/>
              <w:ind w:rightChars="-376" w:right="-794"/>
            </w:pPr>
          </w:p>
        </w:tc>
        <w:tc>
          <w:tcPr>
            <w:tcW w:w="1134" w:type="dxa"/>
            <w:vMerge/>
          </w:tcPr>
          <w:p w14:paraId="6FB230A7" w14:textId="77777777" w:rsidR="005E05D8" w:rsidRPr="001D6D10" w:rsidRDefault="005E05D8" w:rsidP="008C36F6">
            <w:pPr>
              <w:pStyle w:val="ad"/>
              <w:wordWrap/>
              <w:overflowPunct w:val="0"/>
              <w:spacing w:line="240" w:lineRule="auto"/>
              <w:ind w:rightChars="-376" w:right="-794"/>
            </w:pPr>
          </w:p>
        </w:tc>
        <w:tc>
          <w:tcPr>
            <w:tcW w:w="1276" w:type="dxa"/>
          </w:tcPr>
          <w:p w14:paraId="714BB363" w14:textId="77777777" w:rsidR="005E05D8" w:rsidRPr="001D6D10" w:rsidRDefault="005E05D8" w:rsidP="008C36F6">
            <w:pPr>
              <w:spacing w:line="340" w:lineRule="exact"/>
            </w:pPr>
            <w:r w:rsidRPr="001D6D10">
              <w:rPr>
                <w:rFonts w:hint="eastAsia"/>
              </w:rPr>
              <w:t>下水道班</w:t>
            </w:r>
          </w:p>
          <w:p w14:paraId="220169E9" w14:textId="245BD01D" w:rsidR="005E05D8" w:rsidRPr="001D6D10" w:rsidRDefault="005E05D8" w:rsidP="008C36F6">
            <w:pPr>
              <w:spacing w:line="340" w:lineRule="exact"/>
              <w:rPr>
                <w:dstrike/>
              </w:rPr>
            </w:pPr>
          </w:p>
        </w:tc>
        <w:tc>
          <w:tcPr>
            <w:tcW w:w="1730" w:type="dxa"/>
          </w:tcPr>
          <w:p w14:paraId="776E5043" w14:textId="77777777" w:rsidR="005E05D8" w:rsidRPr="001D6D10" w:rsidRDefault="005E05D8" w:rsidP="008C36F6">
            <w:pPr>
              <w:spacing w:line="340" w:lineRule="exact"/>
            </w:pPr>
            <w:r w:rsidRPr="001D6D10">
              <w:rPr>
                <w:rFonts w:hint="eastAsia"/>
              </w:rPr>
              <w:t>下水道室</w:t>
            </w:r>
          </w:p>
          <w:p w14:paraId="5E0A1EAA" w14:textId="77777777" w:rsidR="005E05D8" w:rsidRPr="001D6D10" w:rsidRDefault="005E05D8" w:rsidP="008C36F6">
            <w:pPr>
              <w:spacing w:line="340" w:lineRule="exact"/>
            </w:pPr>
            <w:r w:rsidRPr="001D6D10">
              <w:rPr>
                <w:rFonts w:hint="eastAsia"/>
              </w:rPr>
              <w:t>経営企画課長</w:t>
            </w:r>
          </w:p>
          <w:p w14:paraId="34DA66A9" w14:textId="45473F71" w:rsidR="005E05D8" w:rsidRPr="001D6D10" w:rsidRDefault="005E05D8" w:rsidP="008C36F6">
            <w:pPr>
              <w:spacing w:line="340" w:lineRule="exact"/>
              <w:rPr>
                <w:dstrike/>
              </w:rPr>
            </w:pPr>
            <w:r w:rsidRPr="001D6D10">
              <w:rPr>
                <w:rFonts w:hint="eastAsia"/>
              </w:rPr>
              <w:t>事業課長</w:t>
            </w:r>
          </w:p>
        </w:tc>
        <w:tc>
          <w:tcPr>
            <w:tcW w:w="6066" w:type="dxa"/>
          </w:tcPr>
          <w:p w14:paraId="5FE1FE79" w14:textId="77777777" w:rsidR="005E05D8" w:rsidRPr="001D6D10" w:rsidRDefault="005E05D8" w:rsidP="008C36F6">
            <w:pPr>
              <w:spacing w:line="340" w:lineRule="exact"/>
            </w:pPr>
            <w:r w:rsidRPr="001D6D10">
              <w:rPr>
                <w:rFonts w:hint="eastAsia"/>
              </w:rPr>
              <w:t>１ 関係機関との連絡調整に関すること。</w:t>
            </w:r>
          </w:p>
          <w:p w14:paraId="7BEC5367" w14:textId="77777777" w:rsidR="005E05D8" w:rsidRPr="001D6D10" w:rsidRDefault="005E05D8" w:rsidP="008C36F6">
            <w:pPr>
              <w:spacing w:line="340" w:lineRule="exact"/>
            </w:pPr>
            <w:r w:rsidRPr="001D6D10">
              <w:rPr>
                <w:rFonts w:hint="eastAsia"/>
              </w:rPr>
              <w:t>２ 下水道の障害物の除去に関すること。</w:t>
            </w:r>
          </w:p>
          <w:p w14:paraId="34488264" w14:textId="77777777" w:rsidR="005E05D8" w:rsidRPr="001D6D10" w:rsidRDefault="005E05D8" w:rsidP="008C36F6">
            <w:pPr>
              <w:spacing w:line="340" w:lineRule="exact"/>
            </w:pPr>
            <w:r w:rsidRPr="001D6D10">
              <w:rPr>
                <w:rFonts w:hint="eastAsia"/>
              </w:rPr>
              <w:t>３ 下水道施設の復旧対策に関すること。</w:t>
            </w:r>
          </w:p>
          <w:p w14:paraId="5CBF066D" w14:textId="77777777" w:rsidR="005E05D8" w:rsidRPr="001D6D10" w:rsidRDefault="005E05D8" w:rsidP="008C36F6">
            <w:pPr>
              <w:spacing w:line="340" w:lineRule="exact"/>
              <w:ind w:left="211" w:hangingChars="100" w:hanging="211"/>
            </w:pPr>
            <w:r w:rsidRPr="001D6D10">
              <w:rPr>
                <w:rFonts w:hint="eastAsia"/>
              </w:rPr>
              <w:t>４ 「下水道災害時近畿ブロック支援に関する申し合わせ」に関すること。</w:t>
            </w:r>
          </w:p>
          <w:p w14:paraId="659DAAB0" w14:textId="5959AA2A" w:rsidR="005E05D8" w:rsidRPr="001D6D10" w:rsidRDefault="005E05D8" w:rsidP="008C36F6">
            <w:pPr>
              <w:spacing w:line="380" w:lineRule="exact"/>
              <w:rPr>
                <w:dstrike/>
              </w:rPr>
            </w:pPr>
          </w:p>
        </w:tc>
      </w:tr>
      <w:tr w:rsidR="005E05D8" w:rsidRPr="001D6D10" w14:paraId="31010589" w14:textId="77777777" w:rsidTr="005F51E1">
        <w:tc>
          <w:tcPr>
            <w:tcW w:w="426" w:type="dxa"/>
            <w:vMerge/>
          </w:tcPr>
          <w:p w14:paraId="52E47F22" w14:textId="77777777" w:rsidR="005E05D8" w:rsidRPr="001D6D10" w:rsidRDefault="005E05D8" w:rsidP="008C36F6">
            <w:pPr>
              <w:pStyle w:val="ad"/>
              <w:wordWrap/>
              <w:overflowPunct w:val="0"/>
              <w:spacing w:line="240" w:lineRule="auto"/>
              <w:ind w:rightChars="-376" w:right="-794"/>
            </w:pPr>
          </w:p>
        </w:tc>
        <w:tc>
          <w:tcPr>
            <w:tcW w:w="1134" w:type="dxa"/>
            <w:vMerge/>
          </w:tcPr>
          <w:p w14:paraId="22EE0CF3" w14:textId="77777777" w:rsidR="005E05D8" w:rsidRPr="001D6D10" w:rsidRDefault="005E05D8" w:rsidP="008C36F6">
            <w:pPr>
              <w:pStyle w:val="ad"/>
              <w:wordWrap/>
              <w:overflowPunct w:val="0"/>
              <w:spacing w:line="240" w:lineRule="auto"/>
              <w:ind w:rightChars="-376" w:right="-794"/>
            </w:pPr>
          </w:p>
        </w:tc>
        <w:tc>
          <w:tcPr>
            <w:tcW w:w="1276" w:type="dxa"/>
          </w:tcPr>
          <w:p w14:paraId="6AB5DD5F" w14:textId="2766641B" w:rsidR="005E05D8" w:rsidRPr="001D6D10" w:rsidRDefault="005E05D8" w:rsidP="008C36F6">
            <w:pPr>
              <w:spacing w:line="340" w:lineRule="exact"/>
            </w:pPr>
            <w:r w:rsidRPr="001D6D10">
              <w:rPr>
                <w:rFonts w:hint="eastAsia"/>
              </w:rPr>
              <w:t>応援班</w:t>
            </w:r>
          </w:p>
        </w:tc>
        <w:tc>
          <w:tcPr>
            <w:tcW w:w="1730" w:type="dxa"/>
          </w:tcPr>
          <w:p w14:paraId="47B2CFA9" w14:textId="153A6A15" w:rsidR="005E05D8" w:rsidRPr="001D6D10" w:rsidRDefault="005E05D8" w:rsidP="008C36F6">
            <w:pPr>
              <w:spacing w:line="340" w:lineRule="exact"/>
            </w:pPr>
            <w:r w:rsidRPr="001D6D10">
              <w:rPr>
                <w:rFonts w:hint="eastAsia"/>
              </w:rPr>
              <w:t>用地課長</w:t>
            </w:r>
          </w:p>
        </w:tc>
        <w:tc>
          <w:tcPr>
            <w:tcW w:w="6066" w:type="dxa"/>
          </w:tcPr>
          <w:p w14:paraId="7D0470D5" w14:textId="77777777" w:rsidR="005E05D8" w:rsidRPr="001D6D10" w:rsidRDefault="005E05D8" w:rsidP="008C36F6">
            <w:pPr>
              <w:spacing w:line="340" w:lineRule="exact"/>
            </w:pPr>
            <w:r w:rsidRPr="001D6D10">
              <w:rPr>
                <w:rFonts w:hint="eastAsia"/>
              </w:rPr>
              <w:t>他の班の応援に関すること。</w:t>
            </w:r>
          </w:p>
          <w:p w14:paraId="726F4041" w14:textId="77777777" w:rsidR="005E05D8" w:rsidRPr="001D6D10" w:rsidRDefault="005E05D8" w:rsidP="008C36F6">
            <w:pPr>
              <w:spacing w:line="340" w:lineRule="exact"/>
              <w:ind w:left="211" w:hangingChars="100" w:hanging="211"/>
            </w:pPr>
          </w:p>
        </w:tc>
      </w:tr>
      <w:tr w:rsidR="005E05D8" w:rsidRPr="001D6D10" w14:paraId="385371CF" w14:textId="77777777" w:rsidTr="005F51E1">
        <w:tc>
          <w:tcPr>
            <w:tcW w:w="426" w:type="dxa"/>
            <w:vMerge/>
          </w:tcPr>
          <w:p w14:paraId="0F3E1F6E" w14:textId="77777777" w:rsidR="005E05D8" w:rsidRPr="001D6D10" w:rsidRDefault="005E05D8" w:rsidP="008C36F6">
            <w:pPr>
              <w:pStyle w:val="ad"/>
              <w:wordWrap/>
              <w:overflowPunct w:val="0"/>
              <w:spacing w:line="240" w:lineRule="auto"/>
              <w:ind w:rightChars="-376" w:right="-794"/>
            </w:pPr>
          </w:p>
        </w:tc>
        <w:tc>
          <w:tcPr>
            <w:tcW w:w="1134" w:type="dxa"/>
            <w:vMerge/>
          </w:tcPr>
          <w:p w14:paraId="5D487D73" w14:textId="77777777" w:rsidR="005E05D8" w:rsidRPr="001D6D10" w:rsidRDefault="005E05D8" w:rsidP="008C36F6">
            <w:pPr>
              <w:pStyle w:val="ad"/>
              <w:wordWrap/>
              <w:overflowPunct w:val="0"/>
              <w:spacing w:line="240" w:lineRule="auto"/>
              <w:ind w:rightChars="-376" w:right="-794"/>
            </w:pPr>
          </w:p>
        </w:tc>
        <w:tc>
          <w:tcPr>
            <w:tcW w:w="1276" w:type="dxa"/>
          </w:tcPr>
          <w:p w14:paraId="41019159" w14:textId="216BF85E" w:rsidR="005E05D8" w:rsidRPr="001D6D10" w:rsidRDefault="005E05D8" w:rsidP="008C36F6">
            <w:pPr>
              <w:spacing w:line="340" w:lineRule="exact"/>
            </w:pPr>
            <w:r w:rsidRPr="001D6D10">
              <w:rPr>
                <w:rFonts w:hint="eastAsia"/>
                <w:sz w:val="20"/>
                <w:szCs w:val="20"/>
              </w:rPr>
              <w:t>居住企画班</w:t>
            </w:r>
          </w:p>
        </w:tc>
        <w:tc>
          <w:tcPr>
            <w:tcW w:w="1730" w:type="dxa"/>
          </w:tcPr>
          <w:p w14:paraId="6C9E85BF" w14:textId="77777777" w:rsidR="005E05D8" w:rsidRPr="001D6D10" w:rsidRDefault="005E05D8" w:rsidP="008C36F6">
            <w:pPr>
              <w:spacing w:line="340" w:lineRule="exact"/>
            </w:pPr>
            <w:r w:rsidRPr="001D6D10">
              <w:rPr>
                <w:rFonts w:hint="eastAsia"/>
              </w:rPr>
              <w:t>住宅建築局</w:t>
            </w:r>
          </w:p>
          <w:p w14:paraId="187DEBDF" w14:textId="77777777" w:rsidR="005E05D8" w:rsidRPr="001D6D10" w:rsidRDefault="005E05D8" w:rsidP="008C36F6">
            <w:pPr>
              <w:spacing w:line="340" w:lineRule="exact"/>
            </w:pPr>
            <w:r w:rsidRPr="001D6D10">
              <w:rPr>
                <w:rFonts w:hint="eastAsia"/>
              </w:rPr>
              <w:t>居住企画課長</w:t>
            </w:r>
          </w:p>
          <w:p w14:paraId="7431E4BC" w14:textId="31CE8AAD" w:rsidR="005E05D8" w:rsidRPr="001D6D10" w:rsidRDefault="005E05D8" w:rsidP="008C36F6">
            <w:pPr>
              <w:spacing w:line="340" w:lineRule="exact"/>
            </w:pPr>
            <w:r w:rsidRPr="001D6D10">
              <w:rPr>
                <w:rFonts w:hint="eastAsia"/>
              </w:rPr>
              <w:t>建築環境課長</w:t>
            </w:r>
          </w:p>
        </w:tc>
        <w:tc>
          <w:tcPr>
            <w:tcW w:w="6066" w:type="dxa"/>
          </w:tcPr>
          <w:p w14:paraId="5BAADF52" w14:textId="77777777" w:rsidR="005E05D8" w:rsidRPr="001D6D10" w:rsidRDefault="005E05D8" w:rsidP="008C36F6">
            <w:pPr>
              <w:spacing w:line="340" w:lineRule="exact"/>
              <w:rPr>
                <w:sz w:val="20"/>
                <w:szCs w:val="20"/>
              </w:rPr>
            </w:pPr>
            <w:r w:rsidRPr="001D6D10">
              <w:rPr>
                <w:rFonts w:hint="eastAsia"/>
                <w:sz w:val="20"/>
                <w:szCs w:val="20"/>
              </w:rPr>
              <w:t>１ 府住宅供給公社、都市再生機構、市町村の被害状況調査。</w:t>
            </w:r>
          </w:p>
          <w:p w14:paraId="454629C6" w14:textId="77777777" w:rsidR="005E05D8" w:rsidRPr="001D6D10" w:rsidRDefault="005E05D8" w:rsidP="008C36F6">
            <w:pPr>
              <w:spacing w:line="340" w:lineRule="exact"/>
              <w:ind w:left="101" w:hangingChars="50" w:hanging="101"/>
              <w:rPr>
                <w:sz w:val="20"/>
                <w:szCs w:val="20"/>
              </w:rPr>
            </w:pPr>
            <w:r w:rsidRPr="001D6D10">
              <w:rPr>
                <w:rFonts w:hint="eastAsia"/>
                <w:sz w:val="20"/>
                <w:szCs w:val="20"/>
              </w:rPr>
              <w:t>２ 府住宅供給公社、都市再生機構、市町村、近隣府県公営住宅の空家に関する情報提供の依頼。</w:t>
            </w:r>
          </w:p>
          <w:p w14:paraId="2FBD7ABB" w14:textId="77777777" w:rsidR="005E05D8" w:rsidRPr="001D6D10" w:rsidRDefault="005E05D8" w:rsidP="008C36F6">
            <w:pPr>
              <w:spacing w:line="340" w:lineRule="exact"/>
              <w:ind w:left="101" w:hangingChars="50" w:hanging="101"/>
              <w:rPr>
                <w:sz w:val="20"/>
                <w:szCs w:val="20"/>
              </w:rPr>
            </w:pPr>
            <w:r w:rsidRPr="001D6D10">
              <w:rPr>
                <w:rFonts w:hint="eastAsia"/>
                <w:sz w:val="20"/>
                <w:szCs w:val="20"/>
              </w:rPr>
              <w:t>３ 大規模な災害の被災地における借地借家に関する特別措置法の適用手続き。</w:t>
            </w:r>
          </w:p>
          <w:p w14:paraId="131A1DB2" w14:textId="77777777" w:rsidR="005E05D8" w:rsidRPr="001D6D10" w:rsidRDefault="005E05D8" w:rsidP="008C36F6">
            <w:pPr>
              <w:spacing w:line="340" w:lineRule="exact"/>
              <w:rPr>
                <w:sz w:val="20"/>
                <w:szCs w:val="20"/>
              </w:rPr>
            </w:pPr>
            <w:r w:rsidRPr="001D6D10">
              <w:rPr>
                <w:rFonts w:hint="eastAsia"/>
                <w:sz w:val="20"/>
                <w:szCs w:val="20"/>
              </w:rPr>
              <w:t>４ 住宅貸主団体等に関する被災者の保護措置に関する依頼。</w:t>
            </w:r>
          </w:p>
          <w:p w14:paraId="6BF1ED42" w14:textId="77777777" w:rsidR="005E05D8" w:rsidRPr="001D6D10" w:rsidRDefault="005E05D8" w:rsidP="008C36F6">
            <w:pPr>
              <w:spacing w:line="340" w:lineRule="exact"/>
              <w:rPr>
                <w:sz w:val="20"/>
                <w:szCs w:val="20"/>
              </w:rPr>
            </w:pPr>
            <w:r w:rsidRPr="001D6D10">
              <w:rPr>
                <w:rFonts w:hint="eastAsia"/>
                <w:sz w:val="20"/>
                <w:szCs w:val="20"/>
              </w:rPr>
              <w:t>５ 「住まい情報提供室」の設置。</w:t>
            </w:r>
          </w:p>
          <w:p w14:paraId="3B27F4A3" w14:textId="77777777" w:rsidR="005E05D8" w:rsidRPr="001D6D10" w:rsidRDefault="005E05D8" w:rsidP="008C36F6">
            <w:pPr>
              <w:spacing w:line="340" w:lineRule="exact"/>
              <w:rPr>
                <w:sz w:val="20"/>
                <w:szCs w:val="20"/>
              </w:rPr>
            </w:pPr>
            <w:r w:rsidRPr="001D6D10">
              <w:rPr>
                <w:rFonts w:hint="eastAsia"/>
                <w:sz w:val="20"/>
                <w:szCs w:val="20"/>
              </w:rPr>
              <w:t>６ 住まいのケア・専門家チームの組成。</w:t>
            </w:r>
          </w:p>
          <w:p w14:paraId="42E07774" w14:textId="77777777" w:rsidR="005E05D8" w:rsidRPr="001D6D10" w:rsidRDefault="005E05D8" w:rsidP="008C36F6">
            <w:pPr>
              <w:spacing w:line="340" w:lineRule="exact"/>
            </w:pPr>
          </w:p>
        </w:tc>
      </w:tr>
      <w:tr w:rsidR="005E05D8" w:rsidRPr="001D6D10" w14:paraId="205A6B38" w14:textId="77777777" w:rsidTr="005F51E1">
        <w:trPr>
          <w:trHeight w:val="2013"/>
        </w:trPr>
        <w:tc>
          <w:tcPr>
            <w:tcW w:w="426" w:type="dxa"/>
            <w:vMerge/>
          </w:tcPr>
          <w:p w14:paraId="7441F5C7" w14:textId="77777777" w:rsidR="005E05D8" w:rsidRPr="001D6D10" w:rsidRDefault="005E05D8" w:rsidP="008C36F6">
            <w:pPr>
              <w:pStyle w:val="ad"/>
              <w:wordWrap/>
              <w:overflowPunct w:val="0"/>
              <w:spacing w:line="240" w:lineRule="auto"/>
              <w:ind w:rightChars="-376" w:right="-794"/>
            </w:pPr>
          </w:p>
        </w:tc>
        <w:tc>
          <w:tcPr>
            <w:tcW w:w="1134" w:type="dxa"/>
            <w:vMerge/>
          </w:tcPr>
          <w:p w14:paraId="217EBC7F" w14:textId="77777777" w:rsidR="005E05D8" w:rsidRPr="001D6D10" w:rsidRDefault="005E05D8" w:rsidP="008C36F6">
            <w:pPr>
              <w:pStyle w:val="ad"/>
              <w:wordWrap/>
              <w:overflowPunct w:val="0"/>
              <w:spacing w:line="240" w:lineRule="auto"/>
              <w:ind w:rightChars="-376" w:right="-794"/>
            </w:pPr>
          </w:p>
        </w:tc>
        <w:tc>
          <w:tcPr>
            <w:tcW w:w="1276" w:type="dxa"/>
          </w:tcPr>
          <w:p w14:paraId="16120884" w14:textId="7E1F0453" w:rsidR="005E05D8" w:rsidRPr="001D6D10" w:rsidRDefault="005E05D8" w:rsidP="008C36F6">
            <w:pPr>
              <w:spacing w:line="340" w:lineRule="exact"/>
            </w:pPr>
            <w:r w:rsidRPr="001D6D10">
              <w:rPr>
                <w:rFonts w:hint="eastAsia"/>
                <w:sz w:val="20"/>
                <w:szCs w:val="20"/>
              </w:rPr>
              <w:t>建築指導班</w:t>
            </w:r>
          </w:p>
        </w:tc>
        <w:tc>
          <w:tcPr>
            <w:tcW w:w="1730" w:type="dxa"/>
          </w:tcPr>
          <w:p w14:paraId="1F43EB78" w14:textId="77777777" w:rsidR="005E05D8" w:rsidRPr="001D6D10" w:rsidRDefault="005E05D8" w:rsidP="008C36F6">
            <w:pPr>
              <w:spacing w:line="340" w:lineRule="exact"/>
            </w:pPr>
            <w:r w:rsidRPr="001D6D10">
              <w:rPr>
                <w:rFonts w:hint="eastAsia"/>
              </w:rPr>
              <w:t>建築指導室</w:t>
            </w:r>
          </w:p>
          <w:p w14:paraId="0BAD0C80" w14:textId="77777777" w:rsidR="005E05D8" w:rsidRPr="001D6D10" w:rsidRDefault="005E05D8" w:rsidP="008C36F6">
            <w:pPr>
              <w:spacing w:line="340" w:lineRule="exact"/>
            </w:pPr>
            <w:r w:rsidRPr="001D6D10">
              <w:rPr>
                <w:rFonts w:hint="eastAsia"/>
              </w:rPr>
              <w:t>建築指導課長</w:t>
            </w:r>
          </w:p>
          <w:p w14:paraId="08C53CEE" w14:textId="77777777" w:rsidR="005E05D8" w:rsidRPr="001D6D10" w:rsidRDefault="005E05D8" w:rsidP="008C36F6">
            <w:pPr>
              <w:spacing w:line="340" w:lineRule="exact"/>
            </w:pPr>
            <w:r w:rsidRPr="001D6D10">
              <w:rPr>
                <w:rFonts w:hint="eastAsia"/>
              </w:rPr>
              <w:t>建築安全課長</w:t>
            </w:r>
          </w:p>
          <w:p w14:paraId="2474CC1A" w14:textId="11BF334E" w:rsidR="005E05D8" w:rsidRPr="001D6D10" w:rsidRDefault="005E05D8" w:rsidP="008C36F6">
            <w:pPr>
              <w:spacing w:line="340" w:lineRule="exact"/>
            </w:pPr>
            <w:r w:rsidRPr="001D6D10">
              <w:rPr>
                <w:rFonts w:hint="eastAsia"/>
              </w:rPr>
              <w:t>建築振興課長</w:t>
            </w:r>
          </w:p>
        </w:tc>
        <w:tc>
          <w:tcPr>
            <w:tcW w:w="6066" w:type="dxa"/>
          </w:tcPr>
          <w:p w14:paraId="6F1FFDB1" w14:textId="77777777" w:rsidR="005E05D8" w:rsidRPr="001D6D10" w:rsidRDefault="005E05D8" w:rsidP="008C36F6">
            <w:pPr>
              <w:spacing w:line="340" w:lineRule="exact"/>
              <w:rPr>
                <w:sz w:val="20"/>
                <w:szCs w:val="20"/>
              </w:rPr>
            </w:pPr>
            <w:r w:rsidRPr="001D6D10">
              <w:rPr>
                <w:rFonts w:hint="eastAsia"/>
                <w:sz w:val="20"/>
                <w:szCs w:val="20"/>
              </w:rPr>
              <w:t>１ 建築基準法による建築制限等。</w:t>
            </w:r>
          </w:p>
          <w:p w14:paraId="39545EA5" w14:textId="77777777" w:rsidR="005E05D8" w:rsidRPr="001D6D10" w:rsidRDefault="005E05D8" w:rsidP="008C36F6">
            <w:pPr>
              <w:spacing w:line="340" w:lineRule="exact"/>
              <w:rPr>
                <w:sz w:val="20"/>
                <w:szCs w:val="20"/>
              </w:rPr>
            </w:pPr>
            <w:r w:rsidRPr="001D6D10">
              <w:rPr>
                <w:rFonts w:hint="eastAsia"/>
                <w:sz w:val="20"/>
                <w:szCs w:val="20"/>
              </w:rPr>
              <w:t>２ 宅地被害（擁壁崩壊、がけ崩れ等）状況調査の実施。</w:t>
            </w:r>
          </w:p>
          <w:p w14:paraId="74BFB6C8" w14:textId="77777777" w:rsidR="005E05D8" w:rsidRPr="001D6D10" w:rsidRDefault="005E05D8" w:rsidP="008C36F6">
            <w:pPr>
              <w:spacing w:line="340" w:lineRule="exact"/>
              <w:rPr>
                <w:sz w:val="20"/>
                <w:szCs w:val="20"/>
              </w:rPr>
            </w:pPr>
            <w:r w:rsidRPr="001D6D10">
              <w:rPr>
                <w:rFonts w:hint="eastAsia"/>
                <w:sz w:val="20"/>
                <w:szCs w:val="20"/>
              </w:rPr>
              <w:t>３ 現地調査班の編成、現地調査の実施。</w:t>
            </w:r>
          </w:p>
          <w:p w14:paraId="79D4047F" w14:textId="77777777" w:rsidR="005E05D8" w:rsidRPr="001D6D10" w:rsidRDefault="005E05D8" w:rsidP="008C36F6">
            <w:pPr>
              <w:spacing w:line="340" w:lineRule="exact"/>
              <w:ind w:left="101" w:hangingChars="50" w:hanging="101"/>
              <w:rPr>
                <w:sz w:val="20"/>
                <w:szCs w:val="20"/>
              </w:rPr>
            </w:pPr>
            <w:r w:rsidRPr="001D6D10">
              <w:rPr>
                <w:rFonts w:hint="eastAsia"/>
                <w:sz w:val="20"/>
                <w:szCs w:val="20"/>
              </w:rPr>
              <w:t>４ 被災宅地造成地の復旧対策と二次災害発生の軽減及び防止措置の指示。</w:t>
            </w:r>
          </w:p>
          <w:p w14:paraId="55BD876D" w14:textId="77777777" w:rsidR="005E05D8" w:rsidRPr="001D6D10" w:rsidRDefault="005E05D8" w:rsidP="008C36F6">
            <w:pPr>
              <w:spacing w:line="340" w:lineRule="exact"/>
              <w:rPr>
                <w:sz w:val="20"/>
                <w:szCs w:val="20"/>
              </w:rPr>
            </w:pPr>
            <w:r w:rsidRPr="001D6D10">
              <w:rPr>
                <w:rFonts w:hint="eastAsia"/>
                <w:sz w:val="20"/>
                <w:szCs w:val="20"/>
              </w:rPr>
              <w:t>５ 上記業務に関して市町村、国、関係機関、開発者、情報提供者等との連絡、調整。</w:t>
            </w:r>
          </w:p>
          <w:p w14:paraId="63015436" w14:textId="77777777" w:rsidR="005E05D8" w:rsidRPr="001D6D10" w:rsidRDefault="005E05D8" w:rsidP="008C36F6">
            <w:pPr>
              <w:spacing w:line="340" w:lineRule="exact"/>
              <w:rPr>
                <w:sz w:val="20"/>
                <w:szCs w:val="20"/>
              </w:rPr>
            </w:pPr>
            <w:r w:rsidRPr="001D6D10">
              <w:rPr>
                <w:rFonts w:hint="eastAsia"/>
                <w:sz w:val="20"/>
                <w:szCs w:val="20"/>
              </w:rPr>
              <w:t>６ 「災害時民間賃貸住宅借上制度」の運用及び協力団体との調整。</w:t>
            </w:r>
          </w:p>
          <w:p w14:paraId="212EED82" w14:textId="77777777" w:rsidR="005E05D8" w:rsidRPr="001D6D10" w:rsidRDefault="005E05D8" w:rsidP="008C36F6">
            <w:pPr>
              <w:spacing w:line="340" w:lineRule="exact"/>
              <w:rPr>
                <w:sz w:val="20"/>
                <w:szCs w:val="20"/>
              </w:rPr>
            </w:pPr>
          </w:p>
        </w:tc>
      </w:tr>
      <w:tr w:rsidR="005E05D8" w:rsidRPr="001D6D10" w14:paraId="01921931" w14:textId="77777777" w:rsidTr="005F51E1">
        <w:trPr>
          <w:trHeight w:val="580"/>
        </w:trPr>
        <w:tc>
          <w:tcPr>
            <w:tcW w:w="426" w:type="dxa"/>
            <w:vMerge/>
          </w:tcPr>
          <w:p w14:paraId="47D018C3" w14:textId="77777777" w:rsidR="005E05D8" w:rsidRPr="001D6D10" w:rsidRDefault="005E05D8" w:rsidP="008C36F6">
            <w:pPr>
              <w:pStyle w:val="ad"/>
              <w:wordWrap/>
              <w:overflowPunct w:val="0"/>
              <w:spacing w:line="240" w:lineRule="auto"/>
              <w:ind w:rightChars="-376" w:right="-794"/>
            </w:pPr>
          </w:p>
        </w:tc>
        <w:tc>
          <w:tcPr>
            <w:tcW w:w="1134" w:type="dxa"/>
            <w:vMerge/>
          </w:tcPr>
          <w:p w14:paraId="1552CD61" w14:textId="77777777" w:rsidR="005E05D8" w:rsidRPr="001D6D10" w:rsidRDefault="005E05D8" w:rsidP="008C36F6">
            <w:pPr>
              <w:pStyle w:val="ad"/>
              <w:wordWrap/>
              <w:overflowPunct w:val="0"/>
              <w:spacing w:line="240" w:lineRule="auto"/>
              <w:ind w:rightChars="-376" w:right="-794"/>
            </w:pPr>
          </w:p>
        </w:tc>
        <w:tc>
          <w:tcPr>
            <w:tcW w:w="1276" w:type="dxa"/>
          </w:tcPr>
          <w:p w14:paraId="249DC23B" w14:textId="721E6932" w:rsidR="005E05D8" w:rsidRPr="001D6D10" w:rsidRDefault="005E05D8" w:rsidP="008C36F6">
            <w:pPr>
              <w:spacing w:line="340" w:lineRule="exact"/>
            </w:pPr>
            <w:r w:rsidRPr="001D6D10">
              <w:rPr>
                <w:rFonts w:hint="eastAsia"/>
                <w:sz w:val="20"/>
                <w:szCs w:val="20"/>
              </w:rPr>
              <w:t>住宅経営班</w:t>
            </w:r>
          </w:p>
        </w:tc>
        <w:tc>
          <w:tcPr>
            <w:tcW w:w="1730" w:type="dxa"/>
          </w:tcPr>
          <w:p w14:paraId="60F97B11" w14:textId="77777777" w:rsidR="005E05D8" w:rsidRPr="001D6D10" w:rsidRDefault="005E05D8" w:rsidP="008C36F6">
            <w:pPr>
              <w:spacing w:line="340" w:lineRule="exact"/>
              <w:rPr>
                <w:sz w:val="20"/>
                <w:szCs w:val="20"/>
              </w:rPr>
            </w:pPr>
            <w:r w:rsidRPr="001D6D10">
              <w:rPr>
                <w:rFonts w:hint="eastAsia"/>
                <w:sz w:val="20"/>
                <w:szCs w:val="20"/>
              </w:rPr>
              <w:t>住宅経営室</w:t>
            </w:r>
          </w:p>
          <w:p w14:paraId="5DF33682" w14:textId="77777777" w:rsidR="005E05D8" w:rsidRPr="001D6D10" w:rsidRDefault="005E05D8" w:rsidP="008C36F6">
            <w:pPr>
              <w:spacing w:line="340" w:lineRule="exact"/>
              <w:rPr>
                <w:sz w:val="20"/>
                <w:szCs w:val="20"/>
              </w:rPr>
            </w:pPr>
            <w:r w:rsidRPr="001D6D10">
              <w:rPr>
                <w:rFonts w:hint="eastAsia"/>
                <w:sz w:val="20"/>
                <w:szCs w:val="20"/>
              </w:rPr>
              <w:t>経営管理課長</w:t>
            </w:r>
          </w:p>
          <w:p w14:paraId="567EF251" w14:textId="77777777" w:rsidR="005E05D8" w:rsidRPr="001D6D10" w:rsidRDefault="005E05D8" w:rsidP="008C36F6">
            <w:pPr>
              <w:spacing w:line="340" w:lineRule="exact"/>
              <w:rPr>
                <w:sz w:val="20"/>
                <w:szCs w:val="20"/>
              </w:rPr>
            </w:pPr>
            <w:r w:rsidRPr="001D6D10">
              <w:rPr>
                <w:rFonts w:hint="eastAsia"/>
                <w:sz w:val="20"/>
                <w:szCs w:val="20"/>
              </w:rPr>
              <w:t>住宅整備課長</w:t>
            </w:r>
          </w:p>
          <w:p w14:paraId="067EC8BA" w14:textId="5F22E624" w:rsidR="005E05D8" w:rsidRPr="001D6D10" w:rsidRDefault="005E05D8" w:rsidP="008C36F6">
            <w:pPr>
              <w:spacing w:line="340" w:lineRule="exact"/>
            </w:pPr>
            <w:r w:rsidRPr="001D6D10">
              <w:rPr>
                <w:rFonts w:hint="eastAsia"/>
                <w:sz w:val="20"/>
                <w:szCs w:val="20"/>
              </w:rPr>
              <w:t>施設保全課長</w:t>
            </w:r>
          </w:p>
        </w:tc>
        <w:tc>
          <w:tcPr>
            <w:tcW w:w="6066" w:type="dxa"/>
          </w:tcPr>
          <w:p w14:paraId="58E3CF50" w14:textId="77777777" w:rsidR="005E05D8" w:rsidRPr="001D6D10" w:rsidRDefault="005E05D8" w:rsidP="008C36F6">
            <w:pPr>
              <w:spacing w:line="340" w:lineRule="exact"/>
              <w:rPr>
                <w:sz w:val="20"/>
                <w:szCs w:val="20"/>
              </w:rPr>
            </w:pPr>
            <w:r w:rsidRPr="001D6D10">
              <w:rPr>
                <w:rFonts w:hint="eastAsia"/>
                <w:sz w:val="20"/>
                <w:szCs w:val="20"/>
              </w:rPr>
              <w:t>１ 府営住宅の被害状況等の確認、復旧対策。</w:t>
            </w:r>
          </w:p>
          <w:p w14:paraId="369520E8" w14:textId="77777777" w:rsidR="005E05D8" w:rsidRPr="001D6D10" w:rsidRDefault="005E05D8" w:rsidP="008C36F6">
            <w:pPr>
              <w:spacing w:line="340" w:lineRule="exact"/>
              <w:rPr>
                <w:sz w:val="20"/>
                <w:szCs w:val="20"/>
              </w:rPr>
            </w:pPr>
            <w:r w:rsidRPr="001D6D10">
              <w:rPr>
                <w:rFonts w:hint="eastAsia"/>
                <w:sz w:val="20"/>
                <w:szCs w:val="20"/>
              </w:rPr>
              <w:t>２ 府営住宅の空家情報のリストアップ。</w:t>
            </w:r>
          </w:p>
          <w:p w14:paraId="121C2CE4" w14:textId="77777777" w:rsidR="005E05D8" w:rsidRPr="001D6D10" w:rsidRDefault="005E05D8" w:rsidP="008C36F6">
            <w:pPr>
              <w:spacing w:line="340" w:lineRule="exact"/>
              <w:rPr>
                <w:sz w:val="20"/>
                <w:szCs w:val="20"/>
              </w:rPr>
            </w:pPr>
            <w:r w:rsidRPr="001D6D10">
              <w:rPr>
                <w:rFonts w:hint="eastAsia"/>
                <w:sz w:val="20"/>
                <w:szCs w:val="20"/>
              </w:rPr>
              <w:t>３ プレハブ建築協会等への協力要請。</w:t>
            </w:r>
          </w:p>
          <w:p w14:paraId="5DF2DAAD" w14:textId="77777777" w:rsidR="005E05D8" w:rsidRPr="001D6D10" w:rsidRDefault="005E05D8" w:rsidP="008C36F6">
            <w:pPr>
              <w:spacing w:line="340" w:lineRule="exact"/>
              <w:rPr>
                <w:sz w:val="20"/>
                <w:szCs w:val="20"/>
              </w:rPr>
            </w:pPr>
            <w:r w:rsidRPr="001D6D10">
              <w:rPr>
                <w:rFonts w:hint="eastAsia"/>
                <w:sz w:val="20"/>
                <w:szCs w:val="20"/>
              </w:rPr>
              <w:t>４ 応急仮設住宅建設用地の現地調査・建設協議・提供</w:t>
            </w:r>
          </w:p>
          <w:p w14:paraId="48BC135C" w14:textId="77777777" w:rsidR="005E05D8" w:rsidRPr="001D6D10" w:rsidRDefault="005E05D8" w:rsidP="008C36F6">
            <w:pPr>
              <w:spacing w:line="340" w:lineRule="exact"/>
              <w:rPr>
                <w:sz w:val="20"/>
                <w:szCs w:val="20"/>
              </w:rPr>
            </w:pPr>
            <w:r w:rsidRPr="001D6D10">
              <w:rPr>
                <w:rFonts w:hint="eastAsia"/>
                <w:sz w:val="20"/>
                <w:szCs w:val="20"/>
              </w:rPr>
              <w:t>５ 工事現場等の状況確認・応急処置等</w:t>
            </w:r>
          </w:p>
          <w:p w14:paraId="564A75B2" w14:textId="77777777" w:rsidR="005E05D8" w:rsidRPr="001D6D10" w:rsidRDefault="005E05D8" w:rsidP="008C36F6">
            <w:pPr>
              <w:spacing w:line="340" w:lineRule="exact"/>
            </w:pPr>
          </w:p>
        </w:tc>
      </w:tr>
      <w:tr w:rsidR="005E05D8" w:rsidRPr="001D6D10" w14:paraId="5C8C29EE" w14:textId="77777777" w:rsidTr="005F51E1">
        <w:trPr>
          <w:trHeight w:val="580"/>
        </w:trPr>
        <w:tc>
          <w:tcPr>
            <w:tcW w:w="426" w:type="dxa"/>
            <w:vMerge/>
          </w:tcPr>
          <w:p w14:paraId="5CDD1303" w14:textId="77777777" w:rsidR="005E05D8" w:rsidRPr="001D6D10" w:rsidRDefault="005E05D8" w:rsidP="008C36F6">
            <w:pPr>
              <w:pStyle w:val="ad"/>
              <w:wordWrap/>
              <w:overflowPunct w:val="0"/>
              <w:spacing w:line="240" w:lineRule="auto"/>
              <w:ind w:rightChars="-376" w:right="-794"/>
            </w:pPr>
          </w:p>
        </w:tc>
        <w:tc>
          <w:tcPr>
            <w:tcW w:w="1134" w:type="dxa"/>
            <w:vMerge/>
          </w:tcPr>
          <w:p w14:paraId="282F4C5C" w14:textId="77777777" w:rsidR="005E05D8" w:rsidRPr="001D6D10" w:rsidRDefault="005E05D8" w:rsidP="008C36F6">
            <w:pPr>
              <w:pStyle w:val="ad"/>
              <w:wordWrap/>
              <w:overflowPunct w:val="0"/>
              <w:spacing w:line="240" w:lineRule="auto"/>
              <w:ind w:rightChars="-376" w:right="-794"/>
            </w:pPr>
          </w:p>
        </w:tc>
        <w:tc>
          <w:tcPr>
            <w:tcW w:w="1276" w:type="dxa"/>
          </w:tcPr>
          <w:p w14:paraId="39912470" w14:textId="0D400024" w:rsidR="005E05D8" w:rsidRPr="001D6D10" w:rsidRDefault="005E05D8" w:rsidP="008C36F6">
            <w:pPr>
              <w:spacing w:line="340" w:lineRule="exact"/>
              <w:rPr>
                <w:sz w:val="20"/>
                <w:szCs w:val="20"/>
              </w:rPr>
            </w:pPr>
            <w:r w:rsidRPr="001D6D10">
              <w:rPr>
                <w:rFonts w:hint="eastAsia"/>
                <w:sz w:val="20"/>
                <w:szCs w:val="20"/>
              </w:rPr>
              <w:t>公共建築班</w:t>
            </w:r>
          </w:p>
        </w:tc>
        <w:tc>
          <w:tcPr>
            <w:tcW w:w="1730" w:type="dxa"/>
          </w:tcPr>
          <w:p w14:paraId="4887859E" w14:textId="77777777" w:rsidR="005E05D8" w:rsidRPr="001D6D10" w:rsidRDefault="005E05D8" w:rsidP="008C36F6">
            <w:pPr>
              <w:spacing w:line="340" w:lineRule="exact"/>
              <w:rPr>
                <w:sz w:val="20"/>
                <w:szCs w:val="20"/>
              </w:rPr>
            </w:pPr>
            <w:r w:rsidRPr="001D6D10">
              <w:rPr>
                <w:rFonts w:hint="eastAsia"/>
                <w:sz w:val="20"/>
                <w:szCs w:val="20"/>
              </w:rPr>
              <w:t>公共建築室</w:t>
            </w:r>
          </w:p>
          <w:p w14:paraId="121DE487" w14:textId="77777777" w:rsidR="005E05D8" w:rsidRPr="001D6D10" w:rsidRDefault="005E05D8" w:rsidP="008C36F6">
            <w:pPr>
              <w:spacing w:line="340" w:lineRule="exact"/>
              <w:rPr>
                <w:sz w:val="20"/>
                <w:szCs w:val="20"/>
              </w:rPr>
            </w:pPr>
            <w:r w:rsidRPr="001D6D10">
              <w:rPr>
                <w:rFonts w:hint="eastAsia"/>
                <w:sz w:val="20"/>
                <w:szCs w:val="20"/>
              </w:rPr>
              <w:t>計画課長</w:t>
            </w:r>
          </w:p>
          <w:p w14:paraId="1FD4D8A0" w14:textId="77777777" w:rsidR="005E05D8" w:rsidRPr="001D6D10" w:rsidRDefault="005E05D8" w:rsidP="008C36F6">
            <w:pPr>
              <w:spacing w:line="340" w:lineRule="exact"/>
              <w:rPr>
                <w:sz w:val="20"/>
                <w:szCs w:val="20"/>
              </w:rPr>
            </w:pPr>
            <w:r w:rsidRPr="001D6D10">
              <w:rPr>
                <w:rFonts w:hint="eastAsia"/>
                <w:sz w:val="20"/>
                <w:szCs w:val="20"/>
              </w:rPr>
              <w:t>一般建築課長</w:t>
            </w:r>
          </w:p>
          <w:p w14:paraId="438733D6" w14:textId="77777777" w:rsidR="005E05D8" w:rsidRPr="001D6D10" w:rsidRDefault="005E05D8" w:rsidP="008C36F6">
            <w:pPr>
              <w:spacing w:line="340" w:lineRule="exact"/>
              <w:rPr>
                <w:sz w:val="20"/>
                <w:szCs w:val="20"/>
              </w:rPr>
            </w:pPr>
            <w:r w:rsidRPr="001D6D10">
              <w:rPr>
                <w:rFonts w:hint="eastAsia"/>
                <w:sz w:val="20"/>
                <w:szCs w:val="20"/>
              </w:rPr>
              <w:t>住宅建築課長</w:t>
            </w:r>
          </w:p>
          <w:p w14:paraId="1D4FBB4D" w14:textId="34DC7E0C" w:rsidR="005E05D8" w:rsidRPr="001D6D10" w:rsidRDefault="005E05D8" w:rsidP="008C36F6">
            <w:pPr>
              <w:spacing w:line="340" w:lineRule="exact"/>
            </w:pPr>
            <w:r w:rsidRPr="001D6D10">
              <w:rPr>
                <w:rFonts w:hint="eastAsia"/>
                <w:sz w:val="20"/>
                <w:szCs w:val="20"/>
              </w:rPr>
              <w:t>設備課長</w:t>
            </w:r>
          </w:p>
        </w:tc>
        <w:tc>
          <w:tcPr>
            <w:tcW w:w="6066" w:type="dxa"/>
          </w:tcPr>
          <w:p w14:paraId="09DC5C04" w14:textId="77777777" w:rsidR="005E05D8" w:rsidRPr="001D6D10" w:rsidRDefault="005E05D8" w:rsidP="008C36F6">
            <w:pPr>
              <w:spacing w:line="340" w:lineRule="exact"/>
              <w:rPr>
                <w:sz w:val="20"/>
                <w:szCs w:val="20"/>
              </w:rPr>
            </w:pPr>
            <w:r w:rsidRPr="001D6D10">
              <w:rPr>
                <w:rFonts w:hint="eastAsia"/>
                <w:sz w:val="20"/>
                <w:szCs w:val="20"/>
              </w:rPr>
              <w:t>１ 保全対象施設の被害状況の情報収集及び現地確認。</w:t>
            </w:r>
          </w:p>
          <w:p w14:paraId="65C2CE22" w14:textId="77777777" w:rsidR="005E05D8" w:rsidRPr="001D6D10" w:rsidRDefault="005E05D8" w:rsidP="008C36F6">
            <w:pPr>
              <w:spacing w:line="340" w:lineRule="exact"/>
              <w:rPr>
                <w:sz w:val="20"/>
                <w:szCs w:val="20"/>
              </w:rPr>
            </w:pPr>
            <w:r w:rsidRPr="001D6D10">
              <w:rPr>
                <w:rFonts w:hint="eastAsia"/>
                <w:sz w:val="20"/>
                <w:szCs w:val="20"/>
              </w:rPr>
              <w:t>２ 工事現場の被害状況の情報収集、復旧対策。</w:t>
            </w:r>
          </w:p>
          <w:p w14:paraId="7D6ACF88" w14:textId="77777777" w:rsidR="005E05D8" w:rsidRPr="001D6D10" w:rsidRDefault="005E05D8" w:rsidP="008C36F6">
            <w:pPr>
              <w:spacing w:line="340" w:lineRule="exact"/>
              <w:rPr>
                <w:sz w:val="20"/>
                <w:szCs w:val="20"/>
              </w:rPr>
            </w:pPr>
            <w:r w:rsidRPr="001D6D10">
              <w:rPr>
                <w:rFonts w:hint="eastAsia"/>
                <w:sz w:val="20"/>
                <w:szCs w:val="20"/>
              </w:rPr>
              <w:t>３ 災害救助法による住宅の応急修理及び生活支障物の除去。</w:t>
            </w:r>
          </w:p>
          <w:p w14:paraId="57C931E6" w14:textId="77777777" w:rsidR="005E05D8" w:rsidRPr="001D6D10" w:rsidRDefault="005E05D8" w:rsidP="008C36F6">
            <w:pPr>
              <w:spacing w:line="340" w:lineRule="exact"/>
            </w:pPr>
          </w:p>
        </w:tc>
      </w:tr>
      <w:tr w:rsidR="001C0B83" w:rsidRPr="001D6D10" w14:paraId="5D65C573" w14:textId="77777777" w:rsidTr="00D34E82">
        <w:trPr>
          <w:trHeight w:val="1388"/>
        </w:trPr>
        <w:tc>
          <w:tcPr>
            <w:tcW w:w="426" w:type="dxa"/>
            <w:vMerge w:val="restart"/>
            <w:textDirection w:val="tbRlV"/>
          </w:tcPr>
          <w:p w14:paraId="08318673" w14:textId="1EB2CAB9" w:rsidR="001C0B83" w:rsidRPr="001D6D10" w:rsidRDefault="001C0B83" w:rsidP="008C36F6">
            <w:pPr>
              <w:pStyle w:val="ad"/>
              <w:overflowPunct w:val="0"/>
              <w:spacing w:line="240" w:lineRule="auto"/>
              <w:ind w:left="113" w:rightChars="-376" w:right="-794"/>
            </w:pPr>
            <w:r w:rsidRPr="001D6D10">
              <w:rPr>
                <w:rFonts w:hint="eastAsia"/>
              </w:rPr>
              <w:lastRenderedPageBreak/>
              <w:t>大阪都市計画局</w:t>
            </w:r>
          </w:p>
        </w:tc>
        <w:tc>
          <w:tcPr>
            <w:tcW w:w="1134" w:type="dxa"/>
            <w:vMerge w:val="restart"/>
          </w:tcPr>
          <w:p w14:paraId="35B0E131" w14:textId="77777777" w:rsidR="001C0B83" w:rsidRPr="001D6D10" w:rsidRDefault="001C0B83" w:rsidP="008C36F6">
            <w:pPr>
              <w:pStyle w:val="ad"/>
              <w:overflowPunct w:val="0"/>
              <w:ind w:rightChars="-376" w:right="-794"/>
            </w:pPr>
            <w:r w:rsidRPr="001D6D10">
              <w:rPr>
                <w:rFonts w:hint="eastAsia"/>
              </w:rPr>
              <w:t>大阪都市</w:t>
            </w:r>
          </w:p>
          <w:p w14:paraId="6EFFAE56" w14:textId="5DBBDA2F" w:rsidR="001C0B83" w:rsidRPr="001D6D10" w:rsidRDefault="001C0B83" w:rsidP="008C36F6">
            <w:pPr>
              <w:pStyle w:val="ad"/>
              <w:overflowPunct w:val="0"/>
              <w:spacing w:line="240" w:lineRule="auto"/>
              <w:ind w:rightChars="-376" w:right="-794"/>
            </w:pPr>
            <w:r w:rsidRPr="001D6D10">
              <w:rPr>
                <w:rFonts w:hint="eastAsia"/>
              </w:rPr>
              <w:t>計画局長</w:t>
            </w:r>
          </w:p>
        </w:tc>
        <w:tc>
          <w:tcPr>
            <w:tcW w:w="1276" w:type="dxa"/>
            <w:tcBorders>
              <w:top w:val="single" w:sz="4" w:space="0" w:color="auto"/>
              <w:left w:val="single" w:sz="4" w:space="0" w:color="auto"/>
              <w:bottom w:val="single" w:sz="4" w:space="0" w:color="auto"/>
              <w:right w:val="single" w:sz="4" w:space="0" w:color="auto"/>
            </w:tcBorders>
          </w:tcPr>
          <w:p w14:paraId="61CFFACC" w14:textId="2CFB71A2" w:rsidR="001C0B83" w:rsidRPr="001D6D10" w:rsidRDefault="001C0B83" w:rsidP="008C36F6">
            <w:pPr>
              <w:spacing w:line="340" w:lineRule="exact"/>
              <w:rPr>
                <w:sz w:val="20"/>
                <w:szCs w:val="20"/>
              </w:rPr>
            </w:pPr>
            <w:r w:rsidRPr="001D6D10">
              <w:rPr>
                <w:rFonts w:hint="eastAsia"/>
              </w:rPr>
              <w:t>計画推進班</w:t>
            </w:r>
          </w:p>
        </w:tc>
        <w:tc>
          <w:tcPr>
            <w:tcW w:w="1730" w:type="dxa"/>
            <w:tcBorders>
              <w:top w:val="single" w:sz="4" w:space="0" w:color="auto"/>
              <w:left w:val="single" w:sz="4" w:space="0" w:color="auto"/>
              <w:bottom w:val="single" w:sz="4" w:space="0" w:color="auto"/>
              <w:right w:val="single" w:sz="4" w:space="0" w:color="auto"/>
            </w:tcBorders>
          </w:tcPr>
          <w:p w14:paraId="3B3FE7DD" w14:textId="77777777" w:rsidR="001C0B83" w:rsidRPr="001D6D10" w:rsidRDefault="001C0B83" w:rsidP="008C36F6">
            <w:pPr>
              <w:spacing w:line="340" w:lineRule="exact"/>
            </w:pPr>
            <w:r w:rsidRPr="001D6D10">
              <w:rPr>
                <w:rFonts w:hint="eastAsia"/>
              </w:rPr>
              <w:t>計画推進室</w:t>
            </w:r>
          </w:p>
          <w:p w14:paraId="1DAEE334" w14:textId="77777777" w:rsidR="001C0B83" w:rsidRPr="001D6D10" w:rsidRDefault="001C0B83" w:rsidP="008C36F6">
            <w:pPr>
              <w:spacing w:line="340" w:lineRule="exact"/>
            </w:pPr>
            <w:r w:rsidRPr="001D6D10">
              <w:rPr>
                <w:rFonts w:hint="eastAsia"/>
              </w:rPr>
              <w:t>総務企画課長</w:t>
            </w:r>
          </w:p>
          <w:p w14:paraId="60827DD8" w14:textId="594EF42B" w:rsidR="001C0B83" w:rsidRPr="001D6D10" w:rsidRDefault="001C0B83" w:rsidP="008C36F6">
            <w:pPr>
              <w:spacing w:line="340" w:lineRule="exact"/>
              <w:rPr>
                <w:sz w:val="20"/>
                <w:szCs w:val="20"/>
              </w:rPr>
            </w:pPr>
            <w:r w:rsidRPr="001D6D10">
              <w:rPr>
                <w:rFonts w:hint="eastAsia"/>
              </w:rPr>
              <w:t>計画調整課長</w:t>
            </w:r>
          </w:p>
        </w:tc>
        <w:tc>
          <w:tcPr>
            <w:tcW w:w="6066" w:type="dxa"/>
            <w:tcBorders>
              <w:top w:val="single" w:sz="4" w:space="0" w:color="auto"/>
              <w:left w:val="single" w:sz="4" w:space="0" w:color="auto"/>
              <w:bottom w:val="single" w:sz="4" w:space="0" w:color="auto"/>
              <w:right w:val="single" w:sz="4" w:space="0" w:color="auto"/>
            </w:tcBorders>
          </w:tcPr>
          <w:p w14:paraId="44F9EAE4" w14:textId="77777777" w:rsidR="001C0B83" w:rsidRPr="001D6D10" w:rsidRDefault="001C0B83" w:rsidP="008C36F6">
            <w:pPr>
              <w:spacing w:line="380" w:lineRule="exact"/>
              <w:rPr>
                <w:szCs w:val="21"/>
              </w:rPr>
            </w:pPr>
            <w:r w:rsidRPr="001D6D10">
              <w:rPr>
                <w:rFonts w:hint="eastAsia"/>
                <w:szCs w:val="21"/>
              </w:rPr>
              <w:t>１</w:t>
            </w:r>
            <w:r w:rsidRPr="001D6D10">
              <w:rPr>
                <w:szCs w:val="21"/>
              </w:rPr>
              <w:t xml:space="preserve"> </w:t>
            </w:r>
            <w:r w:rsidRPr="001D6D10">
              <w:rPr>
                <w:rFonts w:hint="eastAsia"/>
                <w:szCs w:val="21"/>
              </w:rPr>
              <w:t>防災・危機管理指令部に関すること。</w:t>
            </w:r>
          </w:p>
          <w:p w14:paraId="42B4FB6E" w14:textId="77777777" w:rsidR="001C0B83" w:rsidRPr="001D6D10" w:rsidRDefault="001C0B83" w:rsidP="008C36F6">
            <w:pPr>
              <w:spacing w:line="380" w:lineRule="exact"/>
              <w:rPr>
                <w:szCs w:val="21"/>
              </w:rPr>
            </w:pPr>
            <w:r w:rsidRPr="001D6D10">
              <w:rPr>
                <w:rFonts w:hint="eastAsia"/>
                <w:szCs w:val="21"/>
              </w:rPr>
              <w:t>２</w:t>
            </w:r>
            <w:r w:rsidRPr="001D6D10">
              <w:rPr>
                <w:szCs w:val="21"/>
              </w:rPr>
              <w:t xml:space="preserve"> </w:t>
            </w:r>
            <w:r w:rsidRPr="001D6D10">
              <w:rPr>
                <w:rFonts w:hint="eastAsia"/>
                <w:szCs w:val="21"/>
              </w:rPr>
              <w:t>局内各班の連絡調整に関すること。</w:t>
            </w:r>
          </w:p>
          <w:p w14:paraId="341E7331" w14:textId="77777777" w:rsidR="001C0B83" w:rsidRPr="001D6D10" w:rsidRDefault="001C0B83" w:rsidP="008C36F6">
            <w:pPr>
              <w:spacing w:line="380" w:lineRule="exact"/>
              <w:rPr>
                <w:szCs w:val="21"/>
              </w:rPr>
            </w:pPr>
            <w:r w:rsidRPr="001D6D10">
              <w:rPr>
                <w:rFonts w:hint="eastAsia"/>
                <w:szCs w:val="21"/>
              </w:rPr>
              <w:t>３</w:t>
            </w:r>
            <w:r w:rsidRPr="001D6D10">
              <w:rPr>
                <w:szCs w:val="21"/>
              </w:rPr>
              <w:t xml:space="preserve"> </w:t>
            </w:r>
            <w:r w:rsidRPr="001D6D10">
              <w:rPr>
                <w:rFonts w:hint="eastAsia"/>
                <w:szCs w:val="21"/>
              </w:rPr>
              <w:t>関係機関との連絡調整に関すること。</w:t>
            </w:r>
          </w:p>
          <w:p w14:paraId="64132814" w14:textId="330522C9" w:rsidR="00916BEF" w:rsidRPr="001D6D10" w:rsidRDefault="001C0B83" w:rsidP="008C36F6">
            <w:pPr>
              <w:spacing w:line="380" w:lineRule="exact"/>
              <w:rPr>
                <w:szCs w:val="21"/>
              </w:rPr>
            </w:pPr>
            <w:r w:rsidRPr="001D6D10">
              <w:rPr>
                <w:rFonts w:hint="eastAsia"/>
                <w:szCs w:val="21"/>
              </w:rPr>
              <w:t>４</w:t>
            </w:r>
            <w:r w:rsidRPr="001D6D10">
              <w:rPr>
                <w:szCs w:val="21"/>
              </w:rPr>
              <w:t xml:space="preserve"> </w:t>
            </w:r>
            <w:r w:rsidRPr="001D6D10">
              <w:rPr>
                <w:rFonts w:hint="eastAsia"/>
                <w:szCs w:val="21"/>
              </w:rPr>
              <w:t>災害対策本部へのリエゾンの派遣に関すること。</w:t>
            </w:r>
          </w:p>
          <w:p w14:paraId="2525F687" w14:textId="671454A8" w:rsidR="001C0B83" w:rsidRPr="001D6D10" w:rsidRDefault="00916BEF" w:rsidP="00E0548A">
            <w:pPr>
              <w:spacing w:line="380" w:lineRule="exact"/>
              <w:ind w:left="173" w:hangingChars="82" w:hanging="173"/>
              <w:rPr>
                <w:szCs w:val="21"/>
              </w:rPr>
            </w:pPr>
            <w:r>
              <w:rPr>
                <w:rFonts w:hint="eastAsia"/>
                <w:szCs w:val="21"/>
              </w:rPr>
              <w:t xml:space="preserve">５ </w:t>
            </w:r>
            <w:r w:rsidR="001C0B83" w:rsidRPr="001D6D10">
              <w:rPr>
                <w:rFonts w:hint="eastAsia"/>
                <w:szCs w:val="21"/>
              </w:rPr>
              <w:t>局内各班の被害状況のとりまとめ及び本部への報告に関すること</w:t>
            </w:r>
          </w:p>
          <w:p w14:paraId="3C6F5BF4" w14:textId="12E43AD9" w:rsidR="001C0B83" w:rsidRPr="001D6D10" w:rsidRDefault="001C0B83" w:rsidP="008C36F6">
            <w:pPr>
              <w:spacing w:line="340" w:lineRule="exact"/>
              <w:rPr>
                <w:szCs w:val="21"/>
              </w:rPr>
            </w:pPr>
            <w:r w:rsidRPr="001D6D10">
              <w:rPr>
                <w:rFonts w:hint="eastAsia"/>
                <w:szCs w:val="21"/>
              </w:rPr>
              <w:t>６</w:t>
            </w:r>
            <w:r w:rsidR="00916BEF">
              <w:rPr>
                <w:rFonts w:hint="eastAsia"/>
                <w:szCs w:val="21"/>
              </w:rPr>
              <w:t xml:space="preserve"> </w:t>
            </w:r>
            <w:r w:rsidRPr="001D6D10">
              <w:rPr>
                <w:rFonts w:hint="eastAsia"/>
                <w:szCs w:val="21"/>
              </w:rPr>
              <w:t>各所属及び現地調査等の応援</w:t>
            </w:r>
          </w:p>
          <w:p w14:paraId="486ECAC5" w14:textId="58B24596" w:rsidR="001C0B83" w:rsidRPr="001D6D10" w:rsidRDefault="001C0B83" w:rsidP="008C36F6">
            <w:pPr>
              <w:spacing w:line="340" w:lineRule="exact"/>
            </w:pPr>
            <w:r w:rsidRPr="001D6D10">
              <w:rPr>
                <w:rFonts w:hint="eastAsia"/>
                <w:szCs w:val="21"/>
              </w:rPr>
              <w:t>７</w:t>
            </w:r>
            <w:r w:rsidR="00916BEF">
              <w:rPr>
                <w:rFonts w:hint="eastAsia"/>
                <w:szCs w:val="21"/>
              </w:rPr>
              <w:t xml:space="preserve"> </w:t>
            </w:r>
            <w:r w:rsidRPr="001D6D10">
              <w:rPr>
                <w:rFonts w:hint="eastAsia"/>
                <w:szCs w:val="21"/>
              </w:rPr>
              <w:t>復興計画の策定に関すること</w:t>
            </w:r>
          </w:p>
        </w:tc>
      </w:tr>
      <w:tr w:rsidR="001C0B83" w:rsidRPr="001D6D10" w14:paraId="1E40029B" w14:textId="77777777" w:rsidTr="002E0FD9">
        <w:trPr>
          <w:trHeight w:val="580"/>
        </w:trPr>
        <w:tc>
          <w:tcPr>
            <w:tcW w:w="426" w:type="dxa"/>
            <w:vMerge/>
            <w:textDirection w:val="tbRlV"/>
          </w:tcPr>
          <w:p w14:paraId="2454BD79" w14:textId="16C856B3" w:rsidR="001C0B83" w:rsidRPr="001D6D10" w:rsidRDefault="001C0B83" w:rsidP="008C36F6">
            <w:pPr>
              <w:pStyle w:val="ad"/>
              <w:wordWrap/>
              <w:overflowPunct w:val="0"/>
              <w:spacing w:line="240" w:lineRule="auto"/>
              <w:ind w:left="113" w:rightChars="-376" w:right="-794"/>
            </w:pPr>
          </w:p>
        </w:tc>
        <w:tc>
          <w:tcPr>
            <w:tcW w:w="1134" w:type="dxa"/>
            <w:vMerge/>
          </w:tcPr>
          <w:p w14:paraId="23142D95" w14:textId="368F620A" w:rsidR="001C0B83" w:rsidRPr="001D6D10" w:rsidRDefault="001C0B83" w:rsidP="008C36F6">
            <w:pPr>
              <w:pStyle w:val="ad"/>
              <w:wordWrap/>
              <w:overflowPunct w:val="0"/>
              <w:spacing w:line="240" w:lineRule="auto"/>
              <w:ind w:rightChars="-376" w:right="-794"/>
            </w:pPr>
          </w:p>
        </w:tc>
        <w:tc>
          <w:tcPr>
            <w:tcW w:w="1276" w:type="dxa"/>
            <w:tcBorders>
              <w:top w:val="single" w:sz="4" w:space="0" w:color="auto"/>
              <w:left w:val="single" w:sz="4" w:space="0" w:color="auto"/>
              <w:bottom w:val="single" w:sz="4" w:space="0" w:color="auto"/>
              <w:right w:val="single" w:sz="4" w:space="0" w:color="auto"/>
            </w:tcBorders>
          </w:tcPr>
          <w:p w14:paraId="58257A87" w14:textId="6D292BF7" w:rsidR="001C0B83" w:rsidRPr="001D6D10" w:rsidRDefault="001C0B83" w:rsidP="008C36F6">
            <w:pPr>
              <w:spacing w:line="340" w:lineRule="exact"/>
              <w:rPr>
                <w:sz w:val="20"/>
                <w:szCs w:val="20"/>
              </w:rPr>
            </w:pPr>
            <w:r w:rsidRPr="001D6D10">
              <w:rPr>
                <w:rFonts w:hint="eastAsia"/>
              </w:rPr>
              <w:t>拠点開発班</w:t>
            </w:r>
          </w:p>
        </w:tc>
        <w:tc>
          <w:tcPr>
            <w:tcW w:w="1730" w:type="dxa"/>
            <w:tcBorders>
              <w:top w:val="single" w:sz="4" w:space="0" w:color="auto"/>
              <w:left w:val="single" w:sz="4" w:space="0" w:color="auto"/>
              <w:bottom w:val="single" w:sz="4" w:space="0" w:color="auto"/>
              <w:right w:val="single" w:sz="4" w:space="0" w:color="auto"/>
            </w:tcBorders>
          </w:tcPr>
          <w:p w14:paraId="16474EF0" w14:textId="77777777" w:rsidR="001C0B83" w:rsidRPr="001D6D10" w:rsidRDefault="001C0B83" w:rsidP="008C36F6">
            <w:pPr>
              <w:spacing w:line="340" w:lineRule="exact"/>
            </w:pPr>
            <w:r w:rsidRPr="001D6D10">
              <w:rPr>
                <w:rFonts w:hint="eastAsia"/>
              </w:rPr>
              <w:t>拠点開発室</w:t>
            </w:r>
          </w:p>
          <w:p w14:paraId="48AC10EC" w14:textId="77777777" w:rsidR="001C0B83" w:rsidRPr="001D6D10" w:rsidRDefault="001C0B83" w:rsidP="008C36F6">
            <w:pPr>
              <w:spacing w:line="340" w:lineRule="exact"/>
            </w:pPr>
            <w:r w:rsidRPr="001D6D10">
              <w:rPr>
                <w:rFonts w:hint="eastAsia"/>
                <w:w w:val="87"/>
                <w:kern w:val="0"/>
                <w:fitText w:val="1477" w:id="-1532152575"/>
              </w:rPr>
              <w:t>広域拠点開発課</w:t>
            </w:r>
            <w:r w:rsidRPr="001D6D10">
              <w:rPr>
                <w:rFonts w:hint="eastAsia"/>
                <w:spacing w:val="10"/>
                <w:w w:val="87"/>
                <w:kern w:val="0"/>
                <w:fitText w:val="1477" w:id="-1532152575"/>
              </w:rPr>
              <w:t>長</w:t>
            </w:r>
          </w:p>
          <w:p w14:paraId="0C120F5F" w14:textId="77777777" w:rsidR="001C0B83" w:rsidRPr="001D6D10" w:rsidRDefault="001C0B83" w:rsidP="008C36F6">
            <w:pPr>
              <w:spacing w:line="340" w:lineRule="exact"/>
            </w:pPr>
            <w:r w:rsidRPr="001D6D10">
              <w:rPr>
                <w:rFonts w:hint="eastAsia"/>
                <w:w w:val="87"/>
                <w:kern w:val="0"/>
                <w:fitText w:val="1477" w:id="-1532152576"/>
              </w:rPr>
              <w:t>戦略拠点開発課</w:t>
            </w:r>
            <w:r w:rsidRPr="001D6D10">
              <w:rPr>
                <w:rFonts w:hint="eastAsia"/>
                <w:spacing w:val="10"/>
                <w:w w:val="87"/>
                <w:kern w:val="0"/>
                <w:fitText w:val="1477" w:id="-1532152576"/>
              </w:rPr>
              <w:t>長</w:t>
            </w:r>
          </w:p>
          <w:p w14:paraId="2BE456A0" w14:textId="77777777" w:rsidR="001C0B83" w:rsidRPr="001D6D10" w:rsidRDefault="001C0B83" w:rsidP="008C36F6">
            <w:pPr>
              <w:spacing w:line="340" w:lineRule="exact"/>
            </w:pPr>
            <w:r w:rsidRPr="001D6D10">
              <w:rPr>
                <w:rFonts w:hint="eastAsia"/>
              </w:rPr>
              <w:t>タウン推進課長</w:t>
            </w:r>
          </w:p>
          <w:p w14:paraId="1B469CCA" w14:textId="5F88984B" w:rsidR="001C0B83" w:rsidRPr="001D6D10" w:rsidRDefault="001C0B83" w:rsidP="008C36F6">
            <w:pPr>
              <w:spacing w:line="340" w:lineRule="exact"/>
            </w:pPr>
          </w:p>
        </w:tc>
        <w:tc>
          <w:tcPr>
            <w:tcW w:w="6066" w:type="dxa"/>
            <w:tcBorders>
              <w:top w:val="single" w:sz="4" w:space="0" w:color="auto"/>
              <w:left w:val="single" w:sz="4" w:space="0" w:color="auto"/>
              <w:bottom w:val="single" w:sz="4" w:space="0" w:color="auto"/>
              <w:right w:val="single" w:sz="4" w:space="0" w:color="auto"/>
            </w:tcBorders>
          </w:tcPr>
          <w:p w14:paraId="219BCE90" w14:textId="77777777" w:rsidR="001C0B83" w:rsidRPr="001D6D10" w:rsidRDefault="001C0B83" w:rsidP="008C36F6">
            <w:pPr>
              <w:spacing w:line="380" w:lineRule="exact"/>
              <w:rPr>
                <w:szCs w:val="21"/>
              </w:rPr>
            </w:pPr>
            <w:r w:rsidRPr="001D6D10">
              <w:rPr>
                <w:rFonts w:hint="eastAsia"/>
                <w:szCs w:val="21"/>
              </w:rPr>
              <w:t>１</w:t>
            </w:r>
            <w:r w:rsidRPr="001D6D10">
              <w:rPr>
                <w:szCs w:val="21"/>
              </w:rPr>
              <w:t xml:space="preserve"> </w:t>
            </w:r>
            <w:r w:rsidRPr="001D6D10">
              <w:rPr>
                <w:rFonts w:hint="eastAsia"/>
                <w:szCs w:val="21"/>
              </w:rPr>
              <w:t>各所属及び現地調査等の応援</w:t>
            </w:r>
          </w:p>
          <w:p w14:paraId="2319578A" w14:textId="71502115" w:rsidR="001C0B83" w:rsidRPr="001D6D10" w:rsidRDefault="001C0B83" w:rsidP="008C36F6">
            <w:pPr>
              <w:spacing w:line="340" w:lineRule="exact"/>
            </w:pPr>
            <w:r w:rsidRPr="001D6D10">
              <w:rPr>
                <w:rFonts w:hint="eastAsia"/>
                <w:szCs w:val="21"/>
              </w:rPr>
              <w:t>２</w:t>
            </w:r>
            <w:r w:rsidRPr="001D6D10">
              <w:rPr>
                <w:szCs w:val="21"/>
              </w:rPr>
              <w:t xml:space="preserve"> </w:t>
            </w:r>
            <w:r w:rsidRPr="001D6D10">
              <w:rPr>
                <w:rFonts w:hint="eastAsia"/>
                <w:szCs w:val="21"/>
              </w:rPr>
              <w:t>所管施設の被害状況の確認及び被災状況に応じた応急対策（拠点開発課・タウン推進課）</w:t>
            </w:r>
          </w:p>
        </w:tc>
      </w:tr>
      <w:tr w:rsidR="00033310" w:rsidRPr="001D6D10" w14:paraId="6B7A536E" w14:textId="77777777" w:rsidTr="00E0548A">
        <w:trPr>
          <w:trHeight w:val="580"/>
        </w:trPr>
        <w:tc>
          <w:tcPr>
            <w:tcW w:w="426" w:type="dxa"/>
            <w:textDirection w:val="tbRlV"/>
          </w:tcPr>
          <w:p w14:paraId="18B0B400" w14:textId="228D443E" w:rsidR="00033310" w:rsidRPr="001D6D10" w:rsidRDefault="00033310" w:rsidP="00033310">
            <w:pPr>
              <w:pStyle w:val="ad"/>
              <w:wordWrap/>
              <w:overflowPunct w:val="0"/>
              <w:spacing w:line="240" w:lineRule="auto"/>
              <w:ind w:rightChars="-376" w:right="-794"/>
            </w:pPr>
            <w:r w:rsidRPr="001D6D10">
              <w:rPr>
                <w:rFonts w:hint="eastAsia"/>
              </w:rPr>
              <w:t>大阪港湾局</w:t>
            </w:r>
          </w:p>
        </w:tc>
        <w:tc>
          <w:tcPr>
            <w:tcW w:w="1134" w:type="dxa"/>
          </w:tcPr>
          <w:p w14:paraId="207FD1B2" w14:textId="77777777" w:rsidR="00033310" w:rsidRPr="001D6D10" w:rsidRDefault="00033310" w:rsidP="00033310">
            <w:pPr>
              <w:pStyle w:val="ad"/>
              <w:overflowPunct w:val="0"/>
              <w:ind w:rightChars="-376" w:right="-794"/>
              <w:rPr>
                <w:sz w:val="21"/>
              </w:rPr>
            </w:pPr>
            <w:r w:rsidRPr="001D6D10">
              <w:rPr>
                <w:rFonts w:hint="eastAsia"/>
                <w:sz w:val="21"/>
              </w:rPr>
              <w:t>大阪港湾</w:t>
            </w:r>
          </w:p>
          <w:p w14:paraId="4DF6269C" w14:textId="629C64F7" w:rsidR="00033310" w:rsidRPr="001D6D10" w:rsidRDefault="00033310" w:rsidP="00033310">
            <w:pPr>
              <w:pStyle w:val="ad"/>
              <w:wordWrap/>
              <w:overflowPunct w:val="0"/>
              <w:spacing w:line="240" w:lineRule="auto"/>
              <w:ind w:rightChars="-376" w:right="-794"/>
            </w:pPr>
            <w:r w:rsidRPr="001D6D10">
              <w:rPr>
                <w:rFonts w:hint="eastAsia"/>
                <w:sz w:val="21"/>
              </w:rPr>
              <w:t>局長</w:t>
            </w:r>
          </w:p>
        </w:tc>
        <w:tc>
          <w:tcPr>
            <w:tcW w:w="1276" w:type="dxa"/>
          </w:tcPr>
          <w:p w14:paraId="77341ADE" w14:textId="138A45D1" w:rsidR="00033310" w:rsidRPr="001D6D10" w:rsidRDefault="00033310" w:rsidP="00033310">
            <w:pPr>
              <w:spacing w:line="340" w:lineRule="exact"/>
              <w:rPr>
                <w:sz w:val="20"/>
                <w:szCs w:val="20"/>
              </w:rPr>
            </w:pPr>
            <w:r w:rsidRPr="001D6D10">
              <w:rPr>
                <w:rFonts w:hint="eastAsia"/>
              </w:rPr>
              <w:t>大阪港湾班</w:t>
            </w:r>
          </w:p>
        </w:tc>
        <w:tc>
          <w:tcPr>
            <w:tcW w:w="1730" w:type="dxa"/>
          </w:tcPr>
          <w:p w14:paraId="3AA52936" w14:textId="77777777" w:rsidR="00033310" w:rsidRPr="001D6D10" w:rsidRDefault="00033310" w:rsidP="00033310">
            <w:pPr>
              <w:spacing w:line="340" w:lineRule="exact"/>
            </w:pPr>
            <w:r w:rsidRPr="001D6D10">
              <w:rPr>
                <w:rFonts w:hint="eastAsia"/>
              </w:rPr>
              <w:t>企画調整担当部長</w:t>
            </w:r>
          </w:p>
          <w:p w14:paraId="6D2ABEA0" w14:textId="77777777" w:rsidR="00033310" w:rsidRPr="001D6D10" w:rsidRDefault="00033310" w:rsidP="00033310">
            <w:pPr>
              <w:spacing w:line="340" w:lineRule="exact"/>
            </w:pPr>
            <w:r w:rsidRPr="001D6D10">
              <w:rPr>
                <w:rFonts w:hint="eastAsia"/>
              </w:rPr>
              <w:t>利用促進担当部長</w:t>
            </w:r>
          </w:p>
          <w:p w14:paraId="1BE0014E" w14:textId="77777777" w:rsidR="00033310" w:rsidRPr="001D6D10" w:rsidRDefault="00033310" w:rsidP="00033310">
            <w:pPr>
              <w:spacing w:line="340" w:lineRule="exact"/>
            </w:pPr>
            <w:r w:rsidRPr="001D6D10">
              <w:rPr>
                <w:rFonts w:hint="eastAsia"/>
              </w:rPr>
              <w:t>泉州港湾・海岸部長</w:t>
            </w:r>
          </w:p>
          <w:p w14:paraId="47FC6290" w14:textId="77777777" w:rsidR="00033310" w:rsidRPr="001D6D10" w:rsidRDefault="00033310" w:rsidP="00033310">
            <w:pPr>
              <w:spacing w:line="340" w:lineRule="exact"/>
            </w:pPr>
          </w:p>
        </w:tc>
        <w:tc>
          <w:tcPr>
            <w:tcW w:w="6066" w:type="dxa"/>
          </w:tcPr>
          <w:p w14:paraId="15323369" w14:textId="77777777" w:rsidR="00033310" w:rsidRPr="001D6D10" w:rsidRDefault="00033310" w:rsidP="00033310">
            <w:pPr>
              <w:spacing w:line="380" w:lineRule="exact"/>
              <w:rPr>
                <w:szCs w:val="21"/>
              </w:rPr>
            </w:pPr>
            <w:r w:rsidRPr="001D6D10">
              <w:rPr>
                <w:rFonts w:hint="eastAsia"/>
                <w:szCs w:val="21"/>
              </w:rPr>
              <w:t>１ 防災・危機管理指令部に関すること。</w:t>
            </w:r>
          </w:p>
          <w:p w14:paraId="41EAF007" w14:textId="77777777" w:rsidR="00033310" w:rsidRPr="001D6D10" w:rsidRDefault="00033310" w:rsidP="00033310">
            <w:pPr>
              <w:spacing w:line="340" w:lineRule="exact"/>
              <w:rPr>
                <w:szCs w:val="21"/>
              </w:rPr>
            </w:pPr>
            <w:r w:rsidRPr="001D6D10">
              <w:rPr>
                <w:rFonts w:hint="eastAsia"/>
                <w:szCs w:val="21"/>
              </w:rPr>
              <w:t xml:space="preserve">２ 関係機関との連絡調整に関すること。 </w:t>
            </w:r>
          </w:p>
          <w:p w14:paraId="6CB8B2B1" w14:textId="1200907E" w:rsidR="00916BEF" w:rsidRPr="001D6D10" w:rsidRDefault="00033310" w:rsidP="00033310">
            <w:pPr>
              <w:spacing w:line="340" w:lineRule="exact"/>
              <w:rPr>
                <w:szCs w:val="21"/>
              </w:rPr>
            </w:pPr>
            <w:r w:rsidRPr="001D6D10">
              <w:rPr>
                <w:rFonts w:hint="eastAsia"/>
                <w:szCs w:val="21"/>
              </w:rPr>
              <w:t>３ 海上災害等対策に関すること。</w:t>
            </w:r>
          </w:p>
          <w:p w14:paraId="42D02C56" w14:textId="3AB3F4FC" w:rsidR="00033310" w:rsidRPr="001D6D10" w:rsidRDefault="00916BEF" w:rsidP="00033310">
            <w:pPr>
              <w:spacing w:line="340" w:lineRule="exact"/>
              <w:rPr>
                <w:szCs w:val="21"/>
              </w:rPr>
            </w:pPr>
            <w:r>
              <w:rPr>
                <w:rFonts w:hint="eastAsia"/>
                <w:szCs w:val="21"/>
              </w:rPr>
              <w:t>４</w:t>
            </w:r>
            <w:r w:rsidR="00033310" w:rsidRPr="001D6D10">
              <w:rPr>
                <w:rFonts w:hint="eastAsia"/>
                <w:szCs w:val="21"/>
              </w:rPr>
              <w:t xml:space="preserve"> 海上輸送路の確保に関すること。</w:t>
            </w:r>
          </w:p>
          <w:p w14:paraId="4741B2F0" w14:textId="77777777" w:rsidR="00033310" w:rsidRPr="001D6D10" w:rsidRDefault="00033310" w:rsidP="00033310">
            <w:pPr>
              <w:spacing w:line="340" w:lineRule="exact"/>
              <w:ind w:left="91" w:hangingChars="43" w:hanging="91"/>
              <w:rPr>
                <w:szCs w:val="21"/>
              </w:rPr>
            </w:pPr>
            <w:r w:rsidRPr="001D6D10">
              <w:rPr>
                <w:rFonts w:hint="eastAsia"/>
                <w:szCs w:val="21"/>
              </w:rPr>
              <w:t>５ 港湾における船舶避難等の海難防止対策に関すること。</w:t>
            </w:r>
          </w:p>
          <w:p w14:paraId="3E7A76E8" w14:textId="77777777" w:rsidR="00033310" w:rsidRPr="001D6D10" w:rsidRDefault="00033310" w:rsidP="00033310">
            <w:pPr>
              <w:spacing w:line="340" w:lineRule="exact"/>
              <w:ind w:left="106" w:hangingChars="50" w:hanging="106"/>
              <w:rPr>
                <w:szCs w:val="21"/>
              </w:rPr>
            </w:pPr>
            <w:r w:rsidRPr="001D6D10">
              <w:rPr>
                <w:rFonts w:hint="eastAsia"/>
                <w:szCs w:val="21"/>
              </w:rPr>
              <w:t>６ 港湾施設、海岸保全施設の復旧対策に関すること。</w:t>
            </w:r>
          </w:p>
          <w:p w14:paraId="7B307453" w14:textId="77777777" w:rsidR="00033310" w:rsidRPr="001D6D10" w:rsidRDefault="00033310" w:rsidP="00033310">
            <w:pPr>
              <w:spacing w:line="340" w:lineRule="exact"/>
              <w:rPr>
                <w:szCs w:val="21"/>
              </w:rPr>
            </w:pPr>
            <w:r w:rsidRPr="001D6D10">
              <w:rPr>
                <w:rFonts w:hint="eastAsia"/>
                <w:szCs w:val="21"/>
              </w:rPr>
              <w:t>７ 保有船舶の確保に関すること。</w:t>
            </w:r>
          </w:p>
          <w:p w14:paraId="0ABC0E39" w14:textId="0CEB9063" w:rsidR="00033310" w:rsidRPr="001D6D10" w:rsidRDefault="00033310" w:rsidP="00033310">
            <w:pPr>
              <w:spacing w:line="340" w:lineRule="exact"/>
            </w:pPr>
            <w:r w:rsidRPr="001D6D10">
              <w:rPr>
                <w:rFonts w:hint="eastAsia"/>
                <w:szCs w:val="21"/>
              </w:rPr>
              <w:t>８ 貯木対策の状況把握に関すること。</w:t>
            </w:r>
          </w:p>
        </w:tc>
      </w:tr>
      <w:tr w:rsidR="00033310" w:rsidRPr="001D6D10" w14:paraId="3D0041B5" w14:textId="77777777" w:rsidTr="005F51E1">
        <w:tc>
          <w:tcPr>
            <w:tcW w:w="426" w:type="dxa"/>
            <w:textDirection w:val="tbRlV"/>
          </w:tcPr>
          <w:p w14:paraId="4EDFA20A" w14:textId="24CA3EC4" w:rsidR="00033310" w:rsidRPr="001D6D10" w:rsidRDefault="00033310" w:rsidP="00033310">
            <w:pPr>
              <w:pStyle w:val="ad"/>
              <w:wordWrap/>
              <w:overflowPunct w:val="0"/>
              <w:spacing w:line="240" w:lineRule="auto"/>
              <w:ind w:left="113" w:rightChars="-376" w:right="-794"/>
            </w:pPr>
            <w:r w:rsidRPr="001D6D10">
              <w:rPr>
                <w:rFonts w:hint="eastAsia"/>
              </w:rPr>
              <w:t>会計局</w:t>
            </w:r>
          </w:p>
        </w:tc>
        <w:tc>
          <w:tcPr>
            <w:tcW w:w="1134" w:type="dxa"/>
          </w:tcPr>
          <w:p w14:paraId="7717767D" w14:textId="265FE397" w:rsidR="00033310" w:rsidRPr="001D6D10" w:rsidRDefault="00033310" w:rsidP="00033310">
            <w:pPr>
              <w:pStyle w:val="ad"/>
              <w:wordWrap/>
              <w:overflowPunct w:val="0"/>
              <w:spacing w:line="240" w:lineRule="auto"/>
              <w:ind w:rightChars="-376" w:right="-794"/>
              <w:rPr>
                <w:sz w:val="21"/>
              </w:rPr>
            </w:pPr>
            <w:r w:rsidRPr="001D6D10">
              <w:rPr>
                <w:rFonts w:hint="eastAsia"/>
              </w:rPr>
              <w:t>会計管理者</w:t>
            </w:r>
          </w:p>
        </w:tc>
        <w:tc>
          <w:tcPr>
            <w:tcW w:w="1276" w:type="dxa"/>
          </w:tcPr>
          <w:p w14:paraId="5A298887" w14:textId="09AA0ADD" w:rsidR="00033310" w:rsidRPr="001D6D10" w:rsidRDefault="00033310" w:rsidP="00033310">
            <w:pPr>
              <w:spacing w:line="340" w:lineRule="exact"/>
            </w:pPr>
            <w:r w:rsidRPr="001D6D10">
              <w:rPr>
                <w:rFonts w:hint="eastAsia"/>
              </w:rPr>
              <w:t>会計班</w:t>
            </w:r>
          </w:p>
        </w:tc>
        <w:tc>
          <w:tcPr>
            <w:tcW w:w="1730" w:type="dxa"/>
          </w:tcPr>
          <w:p w14:paraId="5B6F7269" w14:textId="77777777" w:rsidR="00033310" w:rsidRPr="001D6D10" w:rsidRDefault="00033310" w:rsidP="00033310">
            <w:pPr>
              <w:spacing w:line="340" w:lineRule="exact"/>
            </w:pPr>
            <w:r w:rsidRPr="001D6D10">
              <w:rPr>
                <w:rFonts w:hint="eastAsia"/>
              </w:rPr>
              <w:t>会計局</w:t>
            </w:r>
          </w:p>
          <w:p w14:paraId="5D8513D7" w14:textId="77777777" w:rsidR="00033310" w:rsidRPr="001D6D10" w:rsidRDefault="00033310" w:rsidP="00033310">
            <w:pPr>
              <w:spacing w:line="340" w:lineRule="exact"/>
            </w:pPr>
            <w:r w:rsidRPr="001D6D10">
              <w:rPr>
                <w:rFonts w:hint="eastAsia"/>
              </w:rPr>
              <w:t>会計総務課長</w:t>
            </w:r>
          </w:p>
          <w:p w14:paraId="4F4562F2" w14:textId="5556F5F2" w:rsidR="00033310" w:rsidRPr="001D6D10" w:rsidRDefault="00033310" w:rsidP="00033310">
            <w:pPr>
              <w:spacing w:line="340" w:lineRule="exact"/>
            </w:pPr>
            <w:r w:rsidRPr="001D6D10">
              <w:rPr>
                <w:rFonts w:hint="eastAsia"/>
              </w:rPr>
              <w:t>会計指導課長</w:t>
            </w:r>
          </w:p>
        </w:tc>
        <w:tc>
          <w:tcPr>
            <w:tcW w:w="6066" w:type="dxa"/>
          </w:tcPr>
          <w:p w14:paraId="48762141" w14:textId="77777777" w:rsidR="00033310" w:rsidRPr="001D6D10" w:rsidRDefault="00033310" w:rsidP="00033310">
            <w:pPr>
              <w:spacing w:line="340" w:lineRule="exact"/>
            </w:pPr>
            <w:r w:rsidRPr="001D6D10">
              <w:rPr>
                <w:rFonts w:hint="eastAsia"/>
              </w:rPr>
              <w:t>１ 防災・危機管理指令部に関すること。</w:t>
            </w:r>
          </w:p>
          <w:p w14:paraId="76E6A037" w14:textId="77777777" w:rsidR="00033310" w:rsidRPr="001D6D10" w:rsidRDefault="00033310" w:rsidP="00033310">
            <w:pPr>
              <w:spacing w:line="340" w:lineRule="exact"/>
            </w:pPr>
            <w:r w:rsidRPr="001D6D10">
              <w:rPr>
                <w:rFonts w:hint="eastAsia"/>
              </w:rPr>
              <w:t>２ 部内の連絡調整に関すること。</w:t>
            </w:r>
          </w:p>
          <w:p w14:paraId="089D4383" w14:textId="77777777" w:rsidR="00033310" w:rsidRPr="001D6D10" w:rsidRDefault="00033310" w:rsidP="00E0548A">
            <w:pPr>
              <w:spacing w:line="340" w:lineRule="exact"/>
              <w:ind w:left="272" w:hangingChars="129" w:hanging="272"/>
            </w:pPr>
            <w:r w:rsidRPr="001D6D10">
              <w:rPr>
                <w:rFonts w:hint="eastAsia"/>
              </w:rPr>
              <w:t>３ 部内の被害状況のとりまとめ及び本部への報告に関すること。</w:t>
            </w:r>
          </w:p>
          <w:p w14:paraId="1433B0DD" w14:textId="77777777" w:rsidR="00033310" w:rsidRPr="001D6D10" w:rsidRDefault="00033310" w:rsidP="00033310">
            <w:pPr>
              <w:spacing w:line="340" w:lineRule="exact"/>
              <w:ind w:left="61" w:hangingChars="29" w:hanging="61"/>
            </w:pPr>
            <w:r w:rsidRPr="001D6D10">
              <w:rPr>
                <w:rFonts w:hint="eastAsia"/>
              </w:rPr>
              <w:t>４ 緊急時の財務処理に関すること。</w:t>
            </w:r>
          </w:p>
          <w:p w14:paraId="1E14D193" w14:textId="77777777" w:rsidR="00033310" w:rsidRPr="001D6D10" w:rsidRDefault="00033310" w:rsidP="00033310">
            <w:pPr>
              <w:spacing w:line="340" w:lineRule="exact"/>
            </w:pPr>
            <w:r w:rsidRPr="001D6D10">
              <w:rPr>
                <w:rFonts w:hint="eastAsia"/>
              </w:rPr>
              <w:t>５ 他の班の応援に関すること。</w:t>
            </w:r>
          </w:p>
          <w:p w14:paraId="2EA9A3DE" w14:textId="1FB8AC3A" w:rsidR="00033310" w:rsidRPr="001D6D10" w:rsidRDefault="00033310" w:rsidP="00033310">
            <w:pPr>
              <w:spacing w:line="340" w:lineRule="exact"/>
              <w:rPr>
                <w:szCs w:val="21"/>
              </w:rPr>
            </w:pPr>
            <w:r w:rsidRPr="001D6D10">
              <w:rPr>
                <w:rFonts w:hint="eastAsia"/>
              </w:rPr>
              <w:t xml:space="preserve">６ </w:t>
            </w:r>
            <w:r w:rsidRPr="001D6D10">
              <w:rPr>
                <w:rFonts w:hint="eastAsia"/>
                <w:szCs w:val="21"/>
              </w:rPr>
              <w:t>災害対策本部へのリエゾンの派遣に関すること。</w:t>
            </w:r>
          </w:p>
        </w:tc>
      </w:tr>
      <w:tr w:rsidR="001C0B83" w:rsidRPr="001D6D10" w14:paraId="50720D89" w14:textId="77777777" w:rsidTr="005F51E1">
        <w:tc>
          <w:tcPr>
            <w:tcW w:w="426" w:type="dxa"/>
            <w:vMerge w:val="restart"/>
            <w:textDirection w:val="tbRlV"/>
          </w:tcPr>
          <w:p w14:paraId="2D2400C5" w14:textId="47AAD359" w:rsidR="001C0B83" w:rsidRPr="001D6D10" w:rsidRDefault="001C0B83" w:rsidP="00033310">
            <w:pPr>
              <w:pStyle w:val="ad"/>
              <w:wordWrap/>
              <w:overflowPunct w:val="0"/>
              <w:spacing w:line="240" w:lineRule="auto"/>
              <w:ind w:left="113" w:rightChars="-376" w:right="-794"/>
            </w:pPr>
            <w:r w:rsidRPr="001D6D10">
              <w:rPr>
                <w:rFonts w:hint="eastAsia"/>
                <w:sz w:val="21"/>
                <w:szCs w:val="21"/>
              </w:rPr>
              <w:t>教育庁</w:t>
            </w:r>
          </w:p>
          <w:p w14:paraId="49D04664" w14:textId="77777777" w:rsidR="001C0B83" w:rsidRDefault="001C0B83" w:rsidP="00033310">
            <w:pPr>
              <w:pStyle w:val="ad"/>
              <w:overflowPunct w:val="0"/>
              <w:spacing w:line="240" w:lineRule="auto"/>
              <w:ind w:left="113" w:rightChars="-376" w:right="-794"/>
              <w:rPr>
                <w:sz w:val="21"/>
                <w:szCs w:val="21"/>
              </w:rPr>
            </w:pPr>
            <w:r w:rsidRPr="001D6D10">
              <w:rPr>
                <w:rFonts w:hint="eastAsia"/>
                <w:sz w:val="21"/>
                <w:szCs w:val="21"/>
              </w:rPr>
              <w:t>教育庁</w:t>
            </w:r>
          </w:p>
          <w:p w14:paraId="4DE59039" w14:textId="4CE35F6A" w:rsidR="001C0B83" w:rsidRPr="001D6D10" w:rsidRDefault="001C0B83" w:rsidP="00033310">
            <w:pPr>
              <w:pStyle w:val="ad"/>
              <w:overflowPunct w:val="0"/>
              <w:spacing w:line="240" w:lineRule="auto"/>
              <w:ind w:left="113" w:rightChars="-376" w:right="-794"/>
            </w:pPr>
          </w:p>
        </w:tc>
        <w:tc>
          <w:tcPr>
            <w:tcW w:w="1134" w:type="dxa"/>
            <w:vMerge w:val="restart"/>
          </w:tcPr>
          <w:p w14:paraId="6366378B" w14:textId="77777777" w:rsidR="001C0B83" w:rsidRPr="001D6D10" w:rsidRDefault="001C0B83" w:rsidP="00033310">
            <w:pPr>
              <w:pStyle w:val="ad"/>
              <w:wordWrap/>
              <w:overflowPunct w:val="0"/>
              <w:spacing w:line="240" w:lineRule="auto"/>
              <w:ind w:rightChars="-376" w:right="-794"/>
              <w:rPr>
                <w:sz w:val="21"/>
                <w:szCs w:val="21"/>
              </w:rPr>
            </w:pPr>
            <w:r w:rsidRPr="001D6D10">
              <w:rPr>
                <w:rFonts w:hint="eastAsia"/>
                <w:sz w:val="21"/>
                <w:szCs w:val="21"/>
              </w:rPr>
              <w:t>教育長</w:t>
            </w:r>
          </w:p>
          <w:p w14:paraId="7ADAC1E1" w14:textId="7843FDA2" w:rsidR="001C0B83" w:rsidRPr="001D6D10" w:rsidRDefault="001C0B83" w:rsidP="00E0548A">
            <w:pPr>
              <w:pStyle w:val="ad"/>
              <w:wordWrap/>
              <w:overflowPunct w:val="0"/>
              <w:spacing w:line="240" w:lineRule="auto"/>
              <w:ind w:rightChars="-376" w:right="-794"/>
            </w:pPr>
          </w:p>
        </w:tc>
        <w:tc>
          <w:tcPr>
            <w:tcW w:w="1276" w:type="dxa"/>
          </w:tcPr>
          <w:p w14:paraId="33947732" w14:textId="77777777" w:rsidR="001C0B83" w:rsidRPr="001D6D10" w:rsidRDefault="001C0B83" w:rsidP="00033310">
            <w:pPr>
              <w:spacing w:line="340" w:lineRule="exact"/>
            </w:pPr>
            <w:r w:rsidRPr="001D6D10">
              <w:rPr>
                <w:rFonts w:hint="eastAsia"/>
              </w:rPr>
              <w:t>教育総務</w:t>
            </w:r>
          </w:p>
          <w:p w14:paraId="354CD983" w14:textId="61AD76C1" w:rsidR="001C0B83" w:rsidRPr="001D6D10" w:rsidRDefault="001C0B83" w:rsidP="00033310">
            <w:pPr>
              <w:spacing w:line="340" w:lineRule="exact"/>
              <w:rPr>
                <w:sz w:val="20"/>
                <w:szCs w:val="20"/>
              </w:rPr>
            </w:pPr>
            <w:r w:rsidRPr="001D6D10">
              <w:rPr>
                <w:rFonts w:hint="eastAsia"/>
              </w:rPr>
              <w:t>企画班</w:t>
            </w:r>
          </w:p>
        </w:tc>
        <w:tc>
          <w:tcPr>
            <w:tcW w:w="1730" w:type="dxa"/>
          </w:tcPr>
          <w:p w14:paraId="7EDBC8AC" w14:textId="79B1C4E0" w:rsidR="001C0B83" w:rsidRPr="001D6D10" w:rsidRDefault="001C0B83" w:rsidP="00033310">
            <w:pPr>
              <w:spacing w:line="340" w:lineRule="exact"/>
              <w:rPr>
                <w:sz w:val="20"/>
                <w:szCs w:val="20"/>
              </w:rPr>
            </w:pPr>
            <w:r w:rsidRPr="001D6D10">
              <w:rPr>
                <w:rFonts w:hint="eastAsia"/>
              </w:rPr>
              <w:t>教育総務企画課長</w:t>
            </w:r>
          </w:p>
        </w:tc>
        <w:tc>
          <w:tcPr>
            <w:tcW w:w="6066" w:type="dxa"/>
          </w:tcPr>
          <w:p w14:paraId="6AF18F7A" w14:textId="77777777" w:rsidR="001C0B83" w:rsidRPr="001D6D10" w:rsidRDefault="001C0B83" w:rsidP="00033310">
            <w:pPr>
              <w:spacing w:line="360" w:lineRule="exact"/>
            </w:pPr>
            <w:r w:rsidRPr="001D6D10">
              <w:rPr>
                <w:rFonts w:hint="eastAsia"/>
              </w:rPr>
              <w:t>１ 防災・危機管理指令部に関すること。</w:t>
            </w:r>
          </w:p>
          <w:p w14:paraId="501A2113" w14:textId="77777777" w:rsidR="001C0B83" w:rsidRPr="001D6D10" w:rsidRDefault="001C0B83" w:rsidP="00033310">
            <w:pPr>
              <w:spacing w:line="360" w:lineRule="exact"/>
            </w:pPr>
            <w:r w:rsidRPr="001D6D10">
              <w:rPr>
                <w:rFonts w:hint="eastAsia"/>
              </w:rPr>
              <w:t>２ 部内各班の連絡調整に関すること。</w:t>
            </w:r>
          </w:p>
          <w:p w14:paraId="1573A328" w14:textId="77777777" w:rsidR="001C0B83" w:rsidRPr="001D6D10" w:rsidRDefault="001C0B83" w:rsidP="00E0548A">
            <w:pPr>
              <w:spacing w:line="360" w:lineRule="exact"/>
              <w:ind w:left="272" w:hangingChars="129" w:hanging="272"/>
            </w:pPr>
            <w:r w:rsidRPr="001D6D10">
              <w:rPr>
                <w:rFonts w:hint="eastAsia"/>
              </w:rPr>
              <w:t>３ 部内各班の被害状況のとりまとめ及び本部への報告に関すること。</w:t>
            </w:r>
          </w:p>
          <w:p w14:paraId="1046F36D" w14:textId="77777777" w:rsidR="001C0B83" w:rsidRPr="001D6D10" w:rsidRDefault="001C0B83" w:rsidP="00033310">
            <w:pPr>
              <w:spacing w:line="380" w:lineRule="exact"/>
            </w:pPr>
            <w:r w:rsidRPr="001D6D10">
              <w:rPr>
                <w:rFonts w:hint="eastAsia"/>
              </w:rPr>
              <w:t xml:space="preserve">４ </w:t>
            </w:r>
            <w:r w:rsidRPr="001D6D10">
              <w:rPr>
                <w:rFonts w:hint="eastAsia"/>
                <w:szCs w:val="21"/>
              </w:rPr>
              <w:t>災害等の復旧・復興事業計画の策定に関すること。</w:t>
            </w:r>
          </w:p>
          <w:p w14:paraId="0CF5516D" w14:textId="77777777" w:rsidR="001C0B83" w:rsidRPr="001D6D10" w:rsidRDefault="001C0B83" w:rsidP="00033310">
            <w:pPr>
              <w:spacing w:line="340" w:lineRule="exact"/>
              <w:rPr>
                <w:szCs w:val="21"/>
              </w:rPr>
            </w:pPr>
            <w:r w:rsidRPr="001D6D10">
              <w:rPr>
                <w:rFonts w:hint="eastAsia"/>
              </w:rPr>
              <w:t xml:space="preserve">５ </w:t>
            </w:r>
            <w:r w:rsidRPr="001D6D10">
              <w:rPr>
                <w:rFonts w:hint="eastAsia"/>
                <w:szCs w:val="21"/>
              </w:rPr>
              <w:t>災害対策本部へのリエゾンの派遣に関すること。</w:t>
            </w:r>
          </w:p>
          <w:p w14:paraId="349B9A0F" w14:textId="33DAC62E" w:rsidR="001C0B83" w:rsidRPr="001D6D10" w:rsidRDefault="001C0B83" w:rsidP="00033310">
            <w:pPr>
              <w:spacing w:line="340" w:lineRule="exact"/>
              <w:rPr>
                <w:szCs w:val="21"/>
              </w:rPr>
            </w:pPr>
          </w:p>
        </w:tc>
      </w:tr>
      <w:tr w:rsidR="001C0B83" w:rsidRPr="001D6D10" w14:paraId="5538B9E2" w14:textId="77777777" w:rsidTr="005F51E1">
        <w:tc>
          <w:tcPr>
            <w:tcW w:w="426" w:type="dxa"/>
            <w:vMerge/>
            <w:textDirection w:val="tbRlV"/>
          </w:tcPr>
          <w:p w14:paraId="427E23AD" w14:textId="0F077BC5" w:rsidR="001C0B83" w:rsidRPr="001D6D10" w:rsidRDefault="001C0B83" w:rsidP="00033310">
            <w:pPr>
              <w:pStyle w:val="ad"/>
              <w:overflowPunct w:val="0"/>
              <w:spacing w:line="240" w:lineRule="auto"/>
              <w:ind w:left="113" w:rightChars="-376" w:right="-794"/>
            </w:pPr>
          </w:p>
        </w:tc>
        <w:tc>
          <w:tcPr>
            <w:tcW w:w="1134" w:type="dxa"/>
            <w:vMerge/>
          </w:tcPr>
          <w:p w14:paraId="2A28AA21" w14:textId="77777777" w:rsidR="001C0B83" w:rsidRPr="001D6D10" w:rsidRDefault="001C0B83" w:rsidP="00033310">
            <w:pPr>
              <w:pStyle w:val="ad"/>
              <w:overflowPunct w:val="0"/>
              <w:spacing w:line="240" w:lineRule="auto"/>
              <w:ind w:rightChars="-376" w:right="-794"/>
            </w:pPr>
          </w:p>
        </w:tc>
        <w:tc>
          <w:tcPr>
            <w:tcW w:w="1276" w:type="dxa"/>
          </w:tcPr>
          <w:p w14:paraId="7CAEE4D2" w14:textId="77777777" w:rsidR="001C0B83" w:rsidRPr="00D57EB4" w:rsidRDefault="001C0B83" w:rsidP="00033310">
            <w:pPr>
              <w:spacing w:line="340" w:lineRule="exact"/>
              <w:rPr>
                <w:szCs w:val="21"/>
              </w:rPr>
            </w:pPr>
            <w:r w:rsidRPr="00D57EB4">
              <w:rPr>
                <w:rFonts w:hint="eastAsia"/>
                <w:szCs w:val="21"/>
              </w:rPr>
              <w:t>教育振興</w:t>
            </w:r>
          </w:p>
          <w:p w14:paraId="09885773" w14:textId="5C8D479F" w:rsidR="001C0B83" w:rsidRPr="001D6D10" w:rsidRDefault="001C0B83" w:rsidP="00033310">
            <w:pPr>
              <w:spacing w:line="340" w:lineRule="exact"/>
              <w:rPr>
                <w:sz w:val="20"/>
                <w:szCs w:val="20"/>
              </w:rPr>
            </w:pPr>
            <w:r w:rsidRPr="00D57EB4">
              <w:rPr>
                <w:rFonts w:hint="eastAsia"/>
                <w:szCs w:val="21"/>
              </w:rPr>
              <w:t>高校改革班</w:t>
            </w:r>
          </w:p>
        </w:tc>
        <w:tc>
          <w:tcPr>
            <w:tcW w:w="1730" w:type="dxa"/>
          </w:tcPr>
          <w:p w14:paraId="5A657EA7" w14:textId="77777777" w:rsidR="001C0B83" w:rsidRPr="00D57EB4" w:rsidRDefault="001C0B83" w:rsidP="00033310">
            <w:pPr>
              <w:spacing w:line="340" w:lineRule="exact"/>
              <w:rPr>
                <w:szCs w:val="21"/>
              </w:rPr>
            </w:pPr>
            <w:r w:rsidRPr="00D57EB4">
              <w:rPr>
                <w:rFonts w:hint="eastAsia"/>
                <w:szCs w:val="21"/>
              </w:rPr>
              <w:t>教育振興室</w:t>
            </w:r>
          </w:p>
          <w:p w14:paraId="4E8F9B09" w14:textId="02B8A0AB" w:rsidR="001C0B83" w:rsidRPr="001D6D10" w:rsidRDefault="001C0B83" w:rsidP="00033310">
            <w:pPr>
              <w:spacing w:line="340" w:lineRule="exact"/>
              <w:rPr>
                <w:sz w:val="20"/>
                <w:szCs w:val="20"/>
              </w:rPr>
            </w:pPr>
            <w:r w:rsidRPr="00D57EB4">
              <w:rPr>
                <w:rFonts w:hint="eastAsia"/>
                <w:szCs w:val="21"/>
              </w:rPr>
              <w:t>高校改革課長</w:t>
            </w:r>
          </w:p>
        </w:tc>
        <w:tc>
          <w:tcPr>
            <w:tcW w:w="6066" w:type="dxa"/>
          </w:tcPr>
          <w:p w14:paraId="7FF864FB" w14:textId="77777777" w:rsidR="001C0B83" w:rsidRPr="001D6D10" w:rsidRDefault="001C0B83" w:rsidP="00033310">
            <w:pPr>
              <w:spacing w:line="360" w:lineRule="exact"/>
              <w:ind w:left="61" w:hangingChars="29" w:hanging="61"/>
            </w:pPr>
            <w:r w:rsidRPr="001D6D10">
              <w:rPr>
                <w:rFonts w:hint="eastAsia"/>
              </w:rPr>
              <w:t>１ 生徒の避難その他の対策に関すること。</w:t>
            </w:r>
          </w:p>
          <w:p w14:paraId="7746FF79" w14:textId="77777777" w:rsidR="001C0B83" w:rsidRPr="001D6D10" w:rsidRDefault="001C0B83" w:rsidP="00033310">
            <w:pPr>
              <w:spacing w:line="360" w:lineRule="exact"/>
            </w:pPr>
            <w:r w:rsidRPr="001D6D10">
              <w:rPr>
                <w:rFonts w:hint="eastAsia"/>
              </w:rPr>
              <w:t>２ 応急教育に関すること。</w:t>
            </w:r>
          </w:p>
          <w:p w14:paraId="4D65CB65" w14:textId="1F5221F5" w:rsidR="001C0B83" w:rsidRPr="001D6D10" w:rsidRDefault="001C0B83" w:rsidP="00846DA2">
            <w:pPr>
              <w:spacing w:line="340" w:lineRule="exact"/>
              <w:rPr>
                <w:sz w:val="20"/>
                <w:szCs w:val="20"/>
              </w:rPr>
            </w:pPr>
            <w:r w:rsidRPr="001D6D10">
              <w:rPr>
                <w:rFonts w:hint="eastAsia"/>
              </w:rPr>
              <w:t>３ 教科書等の供給に関すること。</w:t>
            </w:r>
          </w:p>
        </w:tc>
      </w:tr>
      <w:tr w:rsidR="001C0B83" w:rsidRPr="001D6D10" w14:paraId="13B46B9E" w14:textId="77777777" w:rsidTr="005F51E1">
        <w:trPr>
          <w:cantSplit/>
          <w:trHeight w:val="1134"/>
        </w:trPr>
        <w:tc>
          <w:tcPr>
            <w:tcW w:w="426" w:type="dxa"/>
            <w:vMerge/>
            <w:textDirection w:val="tbRlV"/>
          </w:tcPr>
          <w:p w14:paraId="7FDDBE60" w14:textId="77777777" w:rsidR="001C0B83" w:rsidRPr="001D6D10" w:rsidRDefault="001C0B83" w:rsidP="00033310">
            <w:pPr>
              <w:pStyle w:val="ad"/>
              <w:overflowPunct w:val="0"/>
              <w:spacing w:line="240" w:lineRule="auto"/>
              <w:ind w:left="113" w:rightChars="-376" w:right="-794"/>
            </w:pPr>
          </w:p>
        </w:tc>
        <w:tc>
          <w:tcPr>
            <w:tcW w:w="1134" w:type="dxa"/>
            <w:vMerge/>
          </w:tcPr>
          <w:p w14:paraId="78DD584A" w14:textId="77777777" w:rsidR="001C0B83" w:rsidRPr="001D6D10" w:rsidRDefault="001C0B83" w:rsidP="00033310">
            <w:pPr>
              <w:pStyle w:val="ad"/>
              <w:overflowPunct w:val="0"/>
              <w:spacing w:line="240" w:lineRule="auto"/>
              <w:ind w:rightChars="-376" w:right="-794"/>
            </w:pPr>
          </w:p>
        </w:tc>
        <w:tc>
          <w:tcPr>
            <w:tcW w:w="1276" w:type="dxa"/>
          </w:tcPr>
          <w:p w14:paraId="5A3D0D08" w14:textId="77777777" w:rsidR="001C0B83" w:rsidRPr="001D6D10" w:rsidRDefault="001C0B83" w:rsidP="00033310">
            <w:pPr>
              <w:spacing w:line="340" w:lineRule="exact"/>
            </w:pPr>
            <w:r w:rsidRPr="001D6D10">
              <w:rPr>
                <w:rFonts w:hint="eastAsia"/>
              </w:rPr>
              <w:t>教育振興</w:t>
            </w:r>
          </w:p>
          <w:p w14:paraId="5E9112FB" w14:textId="7329D6E7" w:rsidR="001C0B83" w:rsidRPr="00D57EB4" w:rsidRDefault="001C0B83" w:rsidP="00033310">
            <w:pPr>
              <w:spacing w:line="340" w:lineRule="exact"/>
              <w:rPr>
                <w:szCs w:val="21"/>
              </w:rPr>
            </w:pPr>
            <w:r w:rsidRPr="001D6D10">
              <w:rPr>
                <w:rFonts w:hint="eastAsia"/>
              </w:rPr>
              <w:t>高等学校班</w:t>
            </w:r>
          </w:p>
        </w:tc>
        <w:tc>
          <w:tcPr>
            <w:tcW w:w="1730" w:type="dxa"/>
          </w:tcPr>
          <w:p w14:paraId="021C8BE1" w14:textId="77777777" w:rsidR="001C0B83" w:rsidRPr="001D6D10" w:rsidRDefault="001C0B83" w:rsidP="00033310">
            <w:pPr>
              <w:spacing w:line="340" w:lineRule="exact"/>
            </w:pPr>
            <w:r w:rsidRPr="001D6D10">
              <w:rPr>
                <w:rFonts w:hint="eastAsia"/>
              </w:rPr>
              <w:t>教育振興室</w:t>
            </w:r>
          </w:p>
          <w:p w14:paraId="7E920A03" w14:textId="1C2EEEA3" w:rsidR="001C0B83" w:rsidRPr="00D57EB4" w:rsidRDefault="001C0B83" w:rsidP="00033310">
            <w:pPr>
              <w:spacing w:line="340" w:lineRule="exact"/>
              <w:rPr>
                <w:szCs w:val="21"/>
              </w:rPr>
            </w:pPr>
            <w:r w:rsidRPr="001D6D10">
              <w:rPr>
                <w:rFonts w:hint="eastAsia"/>
              </w:rPr>
              <w:t>高等学校課長</w:t>
            </w:r>
          </w:p>
        </w:tc>
        <w:tc>
          <w:tcPr>
            <w:tcW w:w="6066" w:type="dxa"/>
          </w:tcPr>
          <w:p w14:paraId="4F85AA06" w14:textId="77777777" w:rsidR="001C0B83" w:rsidRPr="001D6D10" w:rsidRDefault="001C0B83" w:rsidP="00033310">
            <w:pPr>
              <w:spacing w:line="360" w:lineRule="exact"/>
              <w:ind w:left="61" w:hangingChars="29" w:hanging="61"/>
            </w:pPr>
            <w:r w:rsidRPr="001D6D10">
              <w:rPr>
                <w:rFonts w:hint="eastAsia"/>
              </w:rPr>
              <w:t>１ 生徒の避難その他の対策に関すること。</w:t>
            </w:r>
          </w:p>
          <w:p w14:paraId="55D88B9C" w14:textId="77777777" w:rsidR="001C0B83" w:rsidRPr="001D6D10" w:rsidRDefault="001C0B83" w:rsidP="00033310">
            <w:pPr>
              <w:spacing w:line="360" w:lineRule="exact"/>
            </w:pPr>
            <w:r w:rsidRPr="001D6D10">
              <w:rPr>
                <w:rFonts w:hint="eastAsia"/>
              </w:rPr>
              <w:t>２ 応急教育に関すること。</w:t>
            </w:r>
          </w:p>
          <w:p w14:paraId="6F70BAEF" w14:textId="77777777" w:rsidR="001C0B83" w:rsidRPr="001D6D10" w:rsidRDefault="001C0B83" w:rsidP="00033310">
            <w:pPr>
              <w:spacing w:line="340" w:lineRule="exact"/>
            </w:pPr>
            <w:r w:rsidRPr="001D6D10">
              <w:rPr>
                <w:rFonts w:hint="eastAsia"/>
              </w:rPr>
              <w:t>３ 教科書等の供給に関すること。</w:t>
            </w:r>
          </w:p>
          <w:p w14:paraId="43970555" w14:textId="6D31BFB3" w:rsidR="001C0B83" w:rsidRPr="001D6D10" w:rsidRDefault="001C0B83" w:rsidP="00033310">
            <w:pPr>
              <w:spacing w:line="340" w:lineRule="exact"/>
            </w:pPr>
          </w:p>
        </w:tc>
      </w:tr>
      <w:tr w:rsidR="001C0B83" w:rsidRPr="001D6D10" w14:paraId="22EC6F23" w14:textId="77777777" w:rsidTr="005F51E1">
        <w:trPr>
          <w:cantSplit/>
          <w:trHeight w:val="1134"/>
        </w:trPr>
        <w:tc>
          <w:tcPr>
            <w:tcW w:w="426" w:type="dxa"/>
            <w:vMerge/>
            <w:textDirection w:val="tbRlV"/>
          </w:tcPr>
          <w:p w14:paraId="7C3FE4EB" w14:textId="77777777" w:rsidR="001C0B83" w:rsidRPr="001D6D10" w:rsidRDefault="001C0B83" w:rsidP="00033310">
            <w:pPr>
              <w:pStyle w:val="ad"/>
              <w:overflowPunct w:val="0"/>
              <w:spacing w:line="240" w:lineRule="auto"/>
              <w:ind w:left="113" w:rightChars="-376" w:right="-794"/>
            </w:pPr>
          </w:p>
        </w:tc>
        <w:tc>
          <w:tcPr>
            <w:tcW w:w="1134" w:type="dxa"/>
            <w:vMerge/>
          </w:tcPr>
          <w:p w14:paraId="3A3E1910" w14:textId="77777777" w:rsidR="001C0B83" w:rsidRPr="001D6D10" w:rsidRDefault="001C0B83" w:rsidP="00033310">
            <w:pPr>
              <w:pStyle w:val="ad"/>
              <w:overflowPunct w:val="0"/>
              <w:spacing w:line="240" w:lineRule="auto"/>
              <w:ind w:rightChars="-376" w:right="-794"/>
            </w:pPr>
          </w:p>
        </w:tc>
        <w:tc>
          <w:tcPr>
            <w:tcW w:w="1276" w:type="dxa"/>
          </w:tcPr>
          <w:p w14:paraId="3542C7BA" w14:textId="77777777" w:rsidR="001C0B83" w:rsidRPr="001D6D10" w:rsidRDefault="001C0B83" w:rsidP="00033310">
            <w:pPr>
              <w:spacing w:line="340" w:lineRule="exact"/>
            </w:pPr>
            <w:r w:rsidRPr="001D6D10">
              <w:rPr>
                <w:rFonts w:hint="eastAsia"/>
              </w:rPr>
              <w:t>教育振興</w:t>
            </w:r>
          </w:p>
          <w:p w14:paraId="6A497E7B" w14:textId="5DF506E1" w:rsidR="001C0B83" w:rsidRPr="001D6D10" w:rsidRDefault="001C0B83" w:rsidP="00033310">
            <w:pPr>
              <w:spacing w:line="340" w:lineRule="exact"/>
            </w:pPr>
            <w:r w:rsidRPr="001D6D10">
              <w:rPr>
                <w:rFonts w:hint="eastAsia"/>
              </w:rPr>
              <w:t>支援教育班</w:t>
            </w:r>
          </w:p>
        </w:tc>
        <w:tc>
          <w:tcPr>
            <w:tcW w:w="1730" w:type="dxa"/>
          </w:tcPr>
          <w:p w14:paraId="0DE12EB6" w14:textId="77777777" w:rsidR="001C0B83" w:rsidRPr="001D6D10" w:rsidRDefault="001C0B83" w:rsidP="00033310">
            <w:pPr>
              <w:spacing w:line="340" w:lineRule="exact"/>
            </w:pPr>
            <w:r w:rsidRPr="001D6D10">
              <w:rPr>
                <w:rFonts w:hint="eastAsia"/>
              </w:rPr>
              <w:t>教育振興室</w:t>
            </w:r>
          </w:p>
          <w:p w14:paraId="53ED6512" w14:textId="12C9B058" w:rsidR="001C0B83" w:rsidRPr="001D6D10" w:rsidRDefault="001C0B83" w:rsidP="00033310">
            <w:pPr>
              <w:spacing w:line="340" w:lineRule="exact"/>
            </w:pPr>
            <w:r w:rsidRPr="001D6D10">
              <w:rPr>
                <w:rFonts w:hint="eastAsia"/>
              </w:rPr>
              <w:t>支援教育課長</w:t>
            </w:r>
          </w:p>
        </w:tc>
        <w:tc>
          <w:tcPr>
            <w:tcW w:w="6066" w:type="dxa"/>
          </w:tcPr>
          <w:p w14:paraId="5E7EEA99" w14:textId="77777777" w:rsidR="001C0B83" w:rsidRPr="001D6D10" w:rsidRDefault="001C0B83" w:rsidP="00033310">
            <w:pPr>
              <w:spacing w:line="360" w:lineRule="exact"/>
              <w:ind w:left="61" w:hangingChars="29" w:hanging="61"/>
              <w:rPr>
                <w:szCs w:val="21"/>
              </w:rPr>
            </w:pPr>
            <w:r w:rsidRPr="001D6D10">
              <w:rPr>
                <w:rFonts w:hint="eastAsia"/>
              </w:rPr>
              <w:t xml:space="preserve">１ </w:t>
            </w:r>
            <w:r w:rsidRPr="001D6D10">
              <w:rPr>
                <w:rFonts w:hint="eastAsia"/>
                <w:szCs w:val="21"/>
              </w:rPr>
              <w:t>幼児児童生徒の避難その他の対策に関すること。</w:t>
            </w:r>
          </w:p>
          <w:p w14:paraId="45FAC620" w14:textId="77777777" w:rsidR="001C0B83" w:rsidRPr="001D6D10" w:rsidRDefault="001C0B83" w:rsidP="00033310">
            <w:pPr>
              <w:spacing w:line="360" w:lineRule="exact"/>
            </w:pPr>
            <w:r w:rsidRPr="001D6D10">
              <w:rPr>
                <w:rFonts w:hint="eastAsia"/>
              </w:rPr>
              <w:t>２ 応急教育に関すること。</w:t>
            </w:r>
          </w:p>
          <w:p w14:paraId="408F8B99" w14:textId="77777777" w:rsidR="001C0B83" w:rsidRPr="001D6D10" w:rsidRDefault="001C0B83" w:rsidP="00033310">
            <w:pPr>
              <w:spacing w:line="340" w:lineRule="exact"/>
              <w:ind w:left="81" w:hanging="81"/>
            </w:pPr>
            <w:r w:rsidRPr="001D6D10">
              <w:rPr>
                <w:rFonts w:hint="eastAsia"/>
              </w:rPr>
              <w:t>３ 教科書等の供給に関すること。</w:t>
            </w:r>
          </w:p>
          <w:p w14:paraId="391CDA38" w14:textId="77777777" w:rsidR="001C0B83" w:rsidRPr="001D6D10" w:rsidRDefault="001C0B83" w:rsidP="00033310">
            <w:pPr>
              <w:spacing w:line="340" w:lineRule="exact"/>
            </w:pPr>
          </w:p>
        </w:tc>
      </w:tr>
      <w:tr w:rsidR="001C0B83" w:rsidRPr="001D6D10" w14:paraId="7787A4B3" w14:textId="77777777" w:rsidTr="005F51E1">
        <w:trPr>
          <w:cantSplit/>
          <w:trHeight w:val="1134"/>
        </w:trPr>
        <w:tc>
          <w:tcPr>
            <w:tcW w:w="426" w:type="dxa"/>
            <w:vMerge/>
            <w:textDirection w:val="tbRlV"/>
          </w:tcPr>
          <w:p w14:paraId="63704E8E" w14:textId="77777777" w:rsidR="001C0B83" w:rsidRPr="001D6D10" w:rsidRDefault="001C0B83" w:rsidP="00033310">
            <w:pPr>
              <w:pStyle w:val="ad"/>
              <w:wordWrap/>
              <w:overflowPunct w:val="0"/>
              <w:spacing w:line="240" w:lineRule="auto"/>
              <w:ind w:left="113" w:rightChars="-376" w:right="-794"/>
              <w:rPr>
                <w:sz w:val="21"/>
                <w:szCs w:val="21"/>
              </w:rPr>
            </w:pPr>
          </w:p>
        </w:tc>
        <w:tc>
          <w:tcPr>
            <w:tcW w:w="1134" w:type="dxa"/>
            <w:vMerge/>
          </w:tcPr>
          <w:p w14:paraId="66828A4E" w14:textId="77777777" w:rsidR="001C0B83" w:rsidRPr="001D6D10" w:rsidRDefault="001C0B83" w:rsidP="00033310">
            <w:pPr>
              <w:pStyle w:val="ad"/>
              <w:overflowPunct w:val="0"/>
              <w:spacing w:line="240" w:lineRule="auto"/>
              <w:ind w:rightChars="-376" w:right="-794"/>
              <w:rPr>
                <w:sz w:val="21"/>
                <w:szCs w:val="21"/>
              </w:rPr>
            </w:pPr>
          </w:p>
        </w:tc>
        <w:tc>
          <w:tcPr>
            <w:tcW w:w="1276" w:type="dxa"/>
          </w:tcPr>
          <w:p w14:paraId="2455C1CA" w14:textId="77777777" w:rsidR="001C0B83" w:rsidRPr="001D6D10" w:rsidRDefault="001C0B83" w:rsidP="00033310">
            <w:pPr>
              <w:spacing w:line="340" w:lineRule="exact"/>
            </w:pPr>
            <w:r w:rsidRPr="001D6D10">
              <w:rPr>
                <w:rFonts w:hint="eastAsia"/>
              </w:rPr>
              <w:t>教育振興</w:t>
            </w:r>
          </w:p>
          <w:p w14:paraId="6D1306E7" w14:textId="08F82FA3" w:rsidR="001C0B83" w:rsidRPr="001D6D10" w:rsidRDefault="001C0B83" w:rsidP="00033310">
            <w:pPr>
              <w:spacing w:line="340" w:lineRule="exact"/>
            </w:pPr>
            <w:r w:rsidRPr="001D6D10">
              <w:rPr>
                <w:rFonts w:hint="eastAsia"/>
              </w:rPr>
              <w:t>保健体育班</w:t>
            </w:r>
          </w:p>
        </w:tc>
        <w:tc>
          <w:tcPr>
            <w:tcW w:w="1730" w:type="dxa"/>
          </w:tcPr>
          <w:p w14:paraId="52836CFF" w14:textId="77777777" w:rsidR="001C0B83" w:rsidRPr="001D6D10" w:rsidRDefault="001C0B83" w:rsidP="00033310">
            <w:pPr>
              <w:spacing w:line="340" w:lineRule="exact"/>
            </w:pPr>
            <w:r w:rsidRPr="001D6D10">
              <w:rPr>
                <w:rFonts w:hint="eastAsia"/>
              </w:rPr>
              <w:t>教育振興室</w:t>
            </w:r>
          </w:p>
          <w:p w14:paraId="3158AAAD" w14:textId="16F94EA7" w:rsidR="001C0B83" w:rsidRPr="001D6D10" w:rsidRDefault="001C0B83" w:rsidP="00033310">
            <w:pPr>
              <w:spacing w:line="340" w:lineRule="exact"/>
            </w:pPr>
            <w:r w:rsidRPr="001D6D10">
              <w:rPr>
                <w:rFonts w:hint="eastAsia"/>
              </w:rPr>
              <w:t>保健体育課長</w:t>
            </w:r>
          </w:p>
        </w:tc>
        <w:tc>
          <w:tcPr>
            <w:tcW w:w="6066" w:type="dxa"/>
          </w:tcPr>
          <w:p w14:paraId="754B123D" w14:textId="77777777" w:rsidR="001C0B83" w:rsidRPr="001D6D10" w:rsidRDefault="001C0B83" w:rsidP="00033310">
            <w:pPr>
              <w:spacing w:line="360" w:lineRule="exact"/>
            </w:pPr>
            <w:r w:rsidRPr="001D6D10">
              <w:rPr>
                <w:rFonts w:hint="eastAsia"/>
              </w:rPr>
              <w:t>１ 幼児児童生徒の安全確保に関すること。</w:t>
            </w:r>
          </w:p>
          <w:p w14:paraId="5C07A97E" w14:textId="77777777" w:rsidR="001C0B83" w:rsidRPr="001D6D10" w:rsidRDefault="001C0B83" w:rsidP="00033310">
            <w:pPr>
              <w:spacing w:line="360" w:lineRule="exact"/>
            </w:pPr>
            <w:r w:rsidRPr="001D6D10">
              <w:rPr>
                <w:rFonts w:hint="eastAsia"/>
              </w:rPr>
              <w:t>２ 学校給食の実施状況の把握に関すること。</w:t>
            </w:r>
          </w:p>
          <w:p w14:paraId="2CFE2004" w14:textId="77777777" w:rsidR="001C0B83" w:rsidRPr="001D6D10" w:rsidRDefault="001C0B83" w:rsidP="00033310">
            <w:pPr>
              <w:spacing w:line="380" w:lineRule="exact"/>
              <w:ind w:left="61" w:hangingChars="29" w:hanging="61"/>
            </w:pPr>
            <w:r w:rsidRPr="001D6D10">
              <w:rPr>
                <w:rFonts w:hint="eastAsia"/>
              </w:rPr>
              <w:t>３ 学校給食の応急措置に関すること。</w:t>
            </w:r>
          </w:p>
          <w:p w14:paraId="2E330D08" w14:textId="77777777" w:rsidR="001C0B83" w:rsidRPr="001D6D10" w:rsidRDefault="001C0B83" w:rsidP="00033310">
            <w:pPr>
              <w:spacing w:line="340" w:lineRule="exact"/>
              <w:ind w:left="81" w:hanging="81"/>
              <w:rPr>
                <w:szCs w:val="21"/>
              </w:rPr>
            </w:pPr>
          </w:p>
        </w:tc>
      </w:tr>
      <w:tr w:rsidR="001C0B83" w:rsidRPr="001D6D10" w14:paraId="7570EE35" w14:textId="77777777" w:rsidTr="005F51E1">
        <w:tc>
          <w:tcPr>
            <w:tcW w:w="426" w:type="dxa"/>
            <w:vMerge/>
            <w:textDirection w:val="tbRlV"/>
          </w:tcPr>
          <w:p w14:paraId="29C65B18" w14:textId="77777777" w:rsidR="001C0B83" w:rsidRPr="001D6D10" w:rsidRDefault="001C0B83" w:rsidP="00033310">
            <w:pPr>
              <w:pStyle w:val="ad"/>
              <w:wordWrap/>
              <w:overflowPunct w:val="0"/>
              <w:spacing w:line="240" w:lineRule="auto"/>
              <w:ind w:left="113" w:rightChars="-376" w:right="-794"/>
            </w:pPr>
          </w:p>
        </w:tc>
        <w:tc>
          <w:tcPr>
            <w:tcW w:w="1134" w:type="dxa"/>
            <w:vMerge/>
          </w:tcPr>
          <w:p w14:paraId="39A16922" w14:textId="77777777" w:rsidR="001C0B83" w:rsidRPr="001D6D10" w:rsidRDefault="001C0B83" w:rsidP="00033310">
            <w:pPr>
              <w:pStyle w:val="ad"/>
              <w:wordWrap/>
              <w:overflowPunct w:val="0"/>
              <w:spacing w:line="240" w:lineRule="auto"/>
              <w:ind w:rightChars="-376" w:right="-794"/>
            </w:pPr>
          </w:p>
        </w:tc>
        <w:tc>
          <w:tcPr>
            <w:tcW w:w="1276" w:type="dxa"/>
          </w:tcPr>
          <w:p w14:paraId="595000CB" w14:textId="3B5FC205" w:rsidR="001C0B83" w:rsidRPr="001D6D10" w:rsidRDefault="001C0B83" w:rsidP="00033310">
            <w:pPr>
              <w:spacing w:line="340" w:lineRule="exact"/>
            </w:pPr>
            <w:r w:rsidRPr="001D6D10">
              <w:rPr>
                <w:rFonts w:hint="eastAsia"/>
              </w:rPr>
              <w:t>市町村教育小中学校班</w:t>
            </w:r>
          </w:p>
        </w:tc>
        <w:tc>
          <w:tcPr>
            <w:tcW w:w="1730" w:type="dxa"/>
          </w:tcPr>
          <w:p w14:paraId="00055EED" w14:textId="77777777" w:rsidR="001C0B83" w:rsidRPr="001D6D10" w:rsidRDefault="001C0B83" w:rsidP="00033310">
            <w:pPr>
              <w:spacing w:line="340" w:lineRule="exact"/>
            </w:pPr>
            <w:r w:rsidRPr="001D6D10">
              <w:rPr>
                <w:rFonts w:hint="eastAsia"/>
              </w:rPr>
              <w:t>市町村教育室</w:t>
            </w:r>
          </w:p>
          <w:p w14:paraId="18DD698A" w14:textId="69175B19" w:rsidR="001C0B83" w:rsidRPr="001D6D10" w:rsidRDefault="001C0B83" w:rsidP="00033310">
            <w:pPr>
              <w:spacing w:line="340" w:lineRule="exact"/>
            </w:pPr>
            <w:r w:rsidRPr="001D6D10">
              <w:rPr>
                <w:rFonts w:hint="eastAsia"/>
              </w:rPr>
              <w:t>小中学校課長</w:t>
            </w:r>
          </w:p>
        </w:tc>
        <w:tc>
          <w:tcPr>
            <w:tcW w:w="6066" w:type="dxa"/>
          </w:tcPr>
          <w:p w14:paraId="400EC658" w14:textId="77777777" w:rsidR="001C0B83" w:rsidRPr="001D6D10" w:rsidRDefault="001C0B83" w:rsidP="00033310">
            <w:pPr>
              <w:spacing w:line="360" w:lineRule="exact"/>
            </w:pPr>
            <w:r w:rsidRPr="001D6D10">
              <w:rPr>
                <w:rFonts w:hint="eastAsia"/>
              </w:rPr>
              <w:t>１ 児童生徒の避難その他の対策に関すること。</w:t>
            </w:r>
          </w:p>
          <w:p w14:paraId="11DBF3C4" w14:textId="77777777" w:rsidR="001C0B83" w:rsidRPr="001D6D10" w:rsidRDefault="001C0B83" w:rsidP="00033310">
            <w:pPr>
              <w:spacing w:line="360" w:lineRule="exact"/>
            </w:pPr>
            <w:r w:rsidRPr="001D6D10">
              <w:rPr>
                <w:rFonts w:hint="eastAsia"/>
              </w:rPr>
              <w:t>２ 応急教育に関すること。</w:t>
            </w:r>
          </w:p>
          <w:p w14:paraId="3E2358DB" w14:textId="77777777" w:rsidR="001C0B83" w:rsidRPr="001D6D10" w:rsidRDefault="001C0B83" w:rsidP="00033310">
            <w:pPr>
              <w:spacing w:line="360" w:lineRule="exact"/>
            </w:pPr>
            <w:r w:rsidRPr="001D6D10">
              <w:rPr>
                <w:rFonts w:hint="eastAsia"/>
              </w:rPr>
              <w:t>３ 教科書等の供給に関すること。</w:t>
            </w:r>
          </w:p>
          <w:p w14:paraId="434627C8" w14:textId="77777777" w:rsidR="001C0B83" w:rsidRPr="001D6D10" w:rsidRDefault="001C0B83" w:rsidP="00033310">
            <w:pPr>
              <w:spacing w:line="380" w:lineRule="exact"/>
              <w:ind w:left="61" w:hangingChars="29" w:hanging="61"/>
            </w:pPr>
          </w:p>
        </w:tc>
      </w:tr>
      <w:tr w:rsidR="001C0B83" w:rsidRPr="001D6D10" w14:paraId="0C1DFF7A" w14:textId="77777777" w:rsidTr="005F51E1">
        <w:tc>
          <w:tcPr>
            <w:tcW w:w="426" w:type="dxa"/>
            <w:vMerge/>
          </w:tcPr>
          <w:p w14:paraId="086F5D32" w14:textId="77777777" w:rsidR="001C0B83" w:rsidRPr="001D6D10" w:rsidRDefault="001C0B83" w:rsidP="00033310">
            <w:pPr>
              <w:pStyle w:val="ad"/>
              <w:wordWrap/>
              <w:overflowPunct w:val="0"/>
              <w:spacing w:line="240" w:lineRule="auto"/>
              <w:ind w:rightChars="-376" w:right="-794"/>
            </w:pPr>
          </w:p>
        </w:tc>
        <w:tc>
          <w:tcPr>
            <w:tcW w:w="1134" w:type="dxa"/>
            <w:vMerge/>
          </w:tcPr>
          <w:p w14:paraId="3356F70B" w14:textId="77777777" w:rsidR="001C0B83" w:rsidRPr="001D6D10" w:rsidRDefault="001C0B83" w:rsidP="00033310">
            <w:pPr>
              <w:pStyle w:val="ad"/>
              <w:wordWrap/>
              <w:overflowPunct w:val="0"/>
              <w:spacing w:line="240" w:lineRule="auto"/>
              <w:ind w:rightChars="-376" w:right="-794"/>
            </w:pPr>
          </w:p>
        </w:tc>
        <w:tc>
          <w:tcPr>
            <w:tcW w:w="1276" w:type="dxa"/>
          </w:tcPr>
          <w:p w14:paraId="4A96DFB2" w14:textId="77777777" w:rsidR="001C0B83" w:rsidRPr="001D6D10" w:rsidRDefault="001C0B83" w:rsidP="00033310">
            <w:pPr>
              <w:spacing w:line="340" w:lineRule="exact"/>
            </w:pPr>
            <w:r w:rsidRPr="001D6D10">
              <w:rPr>
                <w:rFonts w:hint="eastAsia"/>
              </w:rPr>
              <w:t>教職員</w:t>
            </w:r>
          </w:p>
          <w:p w14:paraId="2A503D76" w14:textId="191079EC" w:rsidR="001C0B83" w:rsidRPr="001D6D10" w:rsidRDefault="001C0B83" w:rsidP="00033310">
            <w:pPr>
              <w:spacing w:line="340" w:lineRule="exact"/>
            </w:pPr>
            <w:r w:rsidRPr="001D6D10">
              <w:rPr>
                <w:rFonts w:hint="eastAsia"/>
              </w:rPr>
              <w:t>企画班</w:t>
            </w:r>
          </w:p>
        </w:tc>
        <w:tc>
          <w:tcPr>
            <w:tcW w:w="1730" w:type="dxa"/>
          </w:tcPr>
          <w:p w14:paraId="3C5DB6E7" w14:textId="77777777" w:rsidR="001C0B83" w:rsidRPr="001D6D10" w:rsidRDefault="001C0B83" w:rsidP="00033310">
            <w:pPr>
              <w:spacing w:line="340" w:lineRule="exact"/>
            </w:pPr>
            <w:r w:rsidRPr="001D6D10">
              <w:rPr>
                <w:rFonts w:hint="eastAsia"/>
              </w:rPr>
              <w:t>教職員室</w:t>
            </w:r>
          </w:p>
          <w:p w14:paraId="723E88F1" w14:textId="77777777" w:rsidR="001C0B83" w:rsidRPr="001D6D10" w:rsidRDefault="001C0B83" w:rsidP="00033310">
            <w:pPr>
              <w:spacing w:line="340" w:lineRule="exact"/>
              <w:rPr>
                <w:kern w:val="0"/>
              </w:rPr>
            </w:pPr>
            <w:r w:rsidRPr="001D6D10">
              <w:rPr>
                <w:rFonts w:hint="eastAsia"/>
                <w:kern w:val="0"/>
                <w:fitText w:val="1477" w:id="-1954281973"/>
              </w:rPr>
              <w:t>教職員企画課長</w:t>
            </w:r>
          </w:p>
          <w:p w14:paraId="718D3711" w14:textId="28220670" w:rsidR="001C0B83" w:rsidRPr="001D6D10" w:rsidRDefault="001C0B83" w:rsidP="00033310">
            <w:pPr>
              <w:spacing w:line="340" w:lineRule="exact"/>
            </w:pPr>
          </w:p>
        </w:tc>
        <w:tc>
          <w:tcPr>
            <w:tcW w:w="6066" w:type="dxa"/>
          </w:tcPr>
          <w:p w14:paraId="58C15671" w14:textId="64187B43" w:rsidR="001C0B83" w:rsidRPr="001D6D10" w:rsidRDefault="001C0B83" w:rsidP="00033310">
            <w:pPr>
              <w:spacing w:line="360" w:lineRule="exact"/>
            </w:pPr>
            <w:r w:rsidRPr="001D6D10">
              <w:rPr>
                <w:rFonts w:hint="eastAsia"/>
              </w:rPr>
              <w:t>教職員の被害状況の把握に関すること。</w:t>
            </w:r>
          </w:p>
        </w:tc>
      </w:tr>
      <w:tr w:rsidR="001C0B83" w:rsidRPr="001D6D10" w14:paraId="083AC228" w14:textId="77777777" w:rsidTr="005F51E1">
        <w:tc>
          <w:tcPr>
            <w:tcW w:w="426" w:type="dxa"/>
            <w:vMerge/>
          </w:tcPr>
          <w:p w14:paraId="75DE974D" w14:textId="77777777" w:rsidR="001C0B83" w:rsidRPr="001D6D10" w:rsidRDefault="001C0B83" w:rsidP="00033310">
            <w:pPr>
              <w:pStyle w:val="ad"/>
              <w:wordWrap/>
              <w:overflowPunct w:val="0"/>
              <w:spacing w:line="240" w:lineRule="auto"/>
              <w:ind w:rightChars="-376" w:right="-794"/>
            </w:pPr>
          </w:p>
        </w:tc>
        <w:tc>
          <w:tcPr>
            <w:tcW w:w="1134" w:type="dxa"/>
            <w:vMerge/>
          </w:tcPr>
          <w:p w14:paraId="775F56B6" w14:textId="77777777" w:rsidR="001C0B83" w:rsidRPr="001D6D10" w:rsidRDefault="001C0B83" w:rsidP="00033310">
            <w:pPr>
              <w:pStyle w:val="ad"/>
              <w:wordWrap/>
              <w:overflowPunct w:val="0"/>
              <w:spacing w:line="240" w:lineRule="auto"/>
              <w:ind w:rightChars="-376" w:right="-794"/>
            </w:pPr>
          </w:p>
        </w:tc>
        <w:tc>
          <w:tcPr>
            <w:tcW w:w="1276" w:type="dxa"/>
          </w:tcPr>
          <w:p w14:paraId="49550596" w14:textId="77777777" w:rsidR="001C0B83" w:rsidRPr="001D6D10" w:rsidRDefault="001C0B83" w:rsidP="00033310">
            <w:pPr>
              <w:spacing w:line="340" w:lineRule="exact"/>
            </w:pPr>
            <w:r w:rsidRPr="001D6D10">
              <w:rPr>
                <w:rFonts w:hint="eastAsia"/>
              </w:rPr>
              <w:t>教職員</w:t>
            </w:r>
          </w:p>
          <w:p w14:paraId="37F02120" w14:textId="5DC42DDF" w:rsidR="001C0B83" w:rsidRPr="001D6D10" w:rsidRDefault="001C0B83" w:rsidP="00033310">
            <w:pPr>
              <w:spacing w:line="340" w:lineRule="exact"/>
            </w:pPr>
            <w:r w:rsidRPr="001D6D10">
              <w:rPr>
                <w:rFonts w:hint="eastAsia"/>
              </w:rPr>
              <w:t>人事班</w:t>
            </w:r>
          </w:p>
        </w:tc>
        <w:tc>
          <w:tcPr>
            <w:tcW w:w="1730" w:type="dxa"/>
          </w:tcPr>
          <w:p w14:paraId="4A20B0CF" w14:textId="77777777" w:rsidR="001C0B83" w:rsidRPr="001D6D10" w:rsidRDefault="001C0B83" w:rsidP="00033310">
            <w:pPr>
              <w:spacing w:line="340" w:lineRule="exact"/>
            </w:pPr>
            <w:r w:rsidRPr="001D6D10">
              <w:rPr>
                <w:rFonts w:hint="eastAsia"/>
              </w:rPr>
              <w:t>教職員室</w:t>
            </w:r>
          </w:p>
          <w:p w14:paraId="1C0539AA" w14:textId="632BC525" w:rsidR="001C0B83" w:rsidRPr="001D6D10" w:rsidRDefault="001C0B83" w:rsidP="00033310">
            <w:pPr>
              <w:spacing w:line="340" w:lineRule="exact"/>
            </w:pPr>
            <w:r w:rsidRPr="001D6D10">
              <w:rPr>
                <w:rFonts w:hint="eastAsia"/>
                <w:kern w:val="0"/>
                <w:fitText w:val="1477" w:id="-1954281972"/>
              </w:rPr>
              <w:t>教職員人事課長</w:t>
            </w:r>
          </w:p>
        </w:tc>
        <w:tc>
          <w:tcPr>
            <w:tcW w:w="6066" w:type="dxa"/>
          </w:tcPr>
          <w:p w14:paraId="593BE428" w14:textId="77777777" w:rsidR="001C0B83" w:rsidRPr="001D6D10" w:rsidRDefault="001C0B83" w:rsidP="00033310">
            <w:pPr>
              <w:spacing w:line="360" w:lineRule="exact"/>
            </w:pPr>
            <w:r w:rsidRPr="001D6D10">
              <w:rPr>
                <w:rFonts w:hint="eastAsia"/>
              </w:rPr>
              <w:t>１ 教職員の被害状況の把握に関すること。</w:t>
            </w:r>
          </w:p>
          <w:p w14:paraId="69ACBC07" w14:textId="77777777" w:rsidR="001C0B83" w:rsidRPr="001D6D10" w:rsidRDefault="001C0B83" w:rsidP="00033310">
            <w:pPr>
              <w:spacing w:line="360" w:lineRule="exact"/>
            </w:pPr>
            <w:r w:rsidRPr="001D6D10">
              <w:rPr>
                <w:rFonts w:hint="eastAsia"/>
              </w:rPr>
              <w:t>２ 教職員の補充対策に関すること。</w:t>
            </w:r>
          </w:p>
          <w:p w14:paraId="0F81F904" w14:textId="21371561" w:rsidR="001C0B83" w:rsidRPr="001D6D10" w:rsidRDefault="001C0B83" w:rsidP="00033310">
            <w:pPr>
              <w:spacing w:line="360" w:lineRule="exact"/>
              <w:ind w:left="106" w:hangingChars="50" w:hanging="106"/>
            </w:pPr>
          </w:p>
        </w:tc>
      </w:tr>
      <w:tr w:rsidR="001C0B83" w:rsidRPr="001D6D10" w14:paraId="50885049" w14:textId="77777777" w:rsidTr="005F51E1">
        <w:tc>
          <w:tcPr>
            <w:tcW w:w="426" w:type="dxa"/>
            <w:vMerge/>
          </w:tcPr>
          <w:p w14:paraId="513738BE" w14:textId="77777777" w:rsidR="001C0B83" w:rsidRPr="001D6D10" w:rsidRDefault="001C0B83" w:rsidP="00033310">
            <w:pPr>
              <w:pStyle w:val="ad"/>
              <w:wordWrap/>
              <w:overflowPunct w:val="0"/>
              <w:spacing w:line="240" w:lineRule="auto"/>
              <w:ind w:rightChars="-376" w:right="-794"/>
            </w:pPr>
          </w:p>
        </w:tc>
        <w:tc>
          <w:tcPr>
            <w:tcW w:w="1134" w:type="dxa"/>
            <w:vMerge/>
          </w:tcPr>
          <w:p w14:paraId="4E88C46A" w14:textId="77777777" w:rsidR="001C0B83" w:rsidRPr="001D6D10" w:rsidRDefault="001C0B83" w:rsidP="00033310">
            <w:pPr>
              <w:pStyle w:val="ad"/>
              <w:wordWrap/>
              <w:overflowPunct w:val="0"/>
              <w:spacing w:line="240" w:lineRule="auto"/>
              <w:ind w:rightChars="-376" w:right="-794"/>
            </w:pPr>
          </w:p>
        </w:tc>
        <w:tc>
          <w:tcPr>
            <w:tcW w:w="1276" w:type="dxa"/>
          </w:tcPr>
          <w:p w14:paraId="4707799D" w14:textId="77777777" w:rsidR="001C0B83" w:rsidRPr="001D6D10" w:rsidRDefault="001C0B83" w:rsidP="00033310">
            <w:pPr>
              <w:spacing w:line="340" w:lineRule="exact"/>
            </w:pPr>
            <w:r w:rsidRPr="001D6D10">
              <w:rPr>
                <w:rFonts w:hint="eastAsia"/>
              </w:rPr>
              <w:t>教職員</w:t>
            </w:r>
          </w:p>
          <w:p w14:paraId="14F5EA1D" w14:textId="04D14BD6" w:rsidR="001C0B83" w:rsidRPr="001D6D10" w:rsidRDefault="001C0B83" w:rsidP="00033310">
            <w:pPr>
              <w:spacing w:line="340" w:lineRule="exact"/>
            </w:pPr>
            <w:r w:rsidRPr="001D6D10">
              <w:rPr>
                <w:rFonts w:hint="eastAsia"/>
              </w:rPr>
              <w:t>福利班</w:t>
            </w:r>
          </w:p>
        </w:tc>
        <w:tc>
          <w:tcPr>
            <w:tcW w:w="1730" w:type="dxa"/>
          </w:tcPr>
          <w:p w14:paraId="63DBEC66" w14:textId="77777777" w:rsidR="001C0B83" w:rsidRPr="001D6D10" w:rsidRDefault="001C0B83" w:rsidP="00033310">
            <w:pPr>
              <w:spacing w:line="340" w:lineRule="exact"/>
            </w:pPr>
            <w:r w:rsidRPr="001D6D10">
              <w:rPr>
                <w:rFonts w:hint="eastAsia"/>
              </w:rPr>
              <w:t>教職員室</w:t>
            </w:r>
          </w:p>
          <w:p w14:paraId="110B58B2" w14:textId="0708EDE2" w:rsidR="001C0B83" w:rsidRPr="001D6D10" w:rsidRDefault="001C0B83" w:rsidP="00033310">
            <w:pPr>
              <w:spacing w:line="340" w:lineRule="exact"/>
            </w:pPr>
            <w:r w:rsidRPr="001D6D10">
              <w:rPr>
                <w:rFonts w:hint="eastAsia"/>
              </w:rPr>
              <w:t>福利課長</w:t>
            </w:r>
          </w:p>
        </w:tc>
        <w:tc>
          <w:tcPr>
            <w:tcW w:w="6066" w:type="dxa"/>
          </w:tcPr>
          <w:p w14:paraId="7C9AAEFF" w14:textId="77777777" w:rsidR="001C0B83" w:rsidRPr="001D6D10" w:rsidRDefault="001C0B83" w:rsidP="00033310">
            <w:pPr>
              <w:spacing w:line="300" w:lineRule="exact"/>
            </w:pPr>
            <w:r w:rsidRPr="001D6D10">
              <w:rPr>
                <w:rFonts w:hint="eastAsia"/>
              </w:rPr>
              <w:t>災害等の対策のための要請に係る教職員互助組合及び共済組合との連絡調整に関すること。</w:t>
            </w:r>
          </w:p>
          <w:p w14:paraId="54836A0D" w14:textId="77777777" w:rsidR="001C0B83" w:rsidRPr="001D6D10" w:rsidRDefault="001C0B83" w:rsidP="00033310">
            <w:pPr>
              <w:spacing w:line="360" w:lineRule="exact"/>
            </w:pPr>
          </w:p>
        </w:tc>
      </w:tr>
      <w:tr w:rsidR="001C0B83" w:rsidRPr="001D6D10" w14:paraId="04418FED" w14:textId="77777777" w:rsidTr="005F51E1">
        <w:tc>
          <w:tcPr>
            <w:tcW w:w="426" w:type="dxa"/>
            <w:vMerge/>
          </w:tcPr>
          <w:p w14:paraId="187CD903" w14:textId="77777777" w:rsidR="001C0B83" w:rsidRPr="001D6D10" w:rsidRDefault="001C0B83" w:rsidP="00033310">
            <w:pPr>
              <w:pStyle w:val="ad"/>
              <w:wordWrap/>
              <w:overflowPunct w:val="0"/>
              <w:spacing w:line="240" w:lineRule="auto"/>
              <w:ind w:rightChars="-376" w:right="-794"/>
            </w:pPr>
          </w:p>
        </w:tc>
        <w:tc>
          <w:tcPr>
            <w:tcW w:w="1134" w:type="dxa"/>
            <w:vMerge/>
          </w:tcPr>
          <w:p w14:paraId="089E0F6D" w14:textId="77777777" w:rsidR="001C0B83" w:rsidRPr="001D6D10" w:rsidRDefault="001C0B83" w:rsidP="00033310">
            <w:pPr>
              <w:pStyle w:val="ad"/>
              <w:wordWrap/>
              <w:overflowPunct w:val="0"/>
              <w:spacing w:line="240" w:lineRule="auto"/>
              <w:ind w:rightChars="-376" w:right="-794"/>
            </w:pPr>
          </w:p>
        </w:tc>
        <w:tc>
          <w:tcPr>
            <w:tcW w:w="1276" w:type="dxa"/>
          </w:tcPr>
          <w:p w14:paraId="69ABBBBF" w14:textId="6DDA26B3" w:rsidR="001C0B83" w:rsidRPr="001D6D10" w:rsidRDefault="001C0B83" w:rsidP="00033310">
            <w:pPr>
              <w:spacing w:line="300" w:lineRule="exact"/>
              <w:jc w:val="left"/>
            </w:pPr>
            <w:r w:rsidRPr="001D6D10">
              <w:rPr>
                <w:rFonts w:hint="eastAsia"/>
              </w:rPr>
              <w:t>施設財務班</w:t>
            </w:r>
          </w:p>
        </w:tc>
        <w:tc>
          <w:tcPr>
            <w:tcW w:w="1730" w:type="dxa"/>
          </w:tcPr>
          <w:p w14:paraId="68A4F7DC" w14:textId="07132A31" w:rsidR="001C0B83" w:rsidRPr="001D6D10" w:rsidRDefault="001C0B83" w:rsidP="00033310">
            <w:pPr>
              <w:spacing w:line="340" w:lineRule="exact"/>
            </w:pPr>
            <w:r w:rsidRPr="001D6D10">
              <w:rPr>
                <w:rFonts w:hint="eastAsia"/>
              </w:rPr>
              <w:t>施設財務課長</w:t>
            </w:r>
          </w:p>
        </w:tc>
        <w:tc>
          <w:tcPr>
            <w:tcW w:w="6066" w:type="dxa"/>
          </w:tcPr>
          <w:p w14:paraId="05464BB5" w14:textId="77777777" w:rsidR="001C0B83" w:rsidRPr="001D6D10" w:rsidRDefault="001C0B83" w:rsidP="00033310">
            <w:pPr>
              <w:spacing w:line="340" w:lineRule="exact"/>
            </w:pPr>
            <w:r w:rsidRPr="001D6D10">
              <w:rPr>
                <w:rFonts w:hint="eastAsia"/>
              </w:rPr>
              <w:t xml:space="preserve">１ 公立学校施設の復旧対策に関すること。　</w:t>
            </w:r>
          </w:p>
          <w:p w14:paraId="74D3112E" w14:textId="77777777" w:rsidR="001C0B83" w:rsidRPr="001D6D10" w:rsidRDefault="001C0B83" w:rsidP="00033310">
            <w:pPr>
              <w:spacing w:line="360" w:lineRule="exact"/>
              <w:rPr>
                <w:kern w:val="0"/>
              </w:rPr>
            </w:pPr>
            <w:r w:rsidRPr="001D6D10">
              <w:rPr>
                <w:rFonts w:hint="eastAsia"/>
              </w:rPr>
              <w:t xml:space="preserve">２ </w:t>
            </w:r>
            <w:r w:rsidRPr="001D6D10">
              <w:rPr>
                <w:rFonts w:hint="eastAsia"/>
                <w:kern w:val="0"/>
              </w:rPr>
              <w:t>府立学校の物品等の復旧対策に関すること。</w:t>
            </w:r>
          </w:p>
          <w:p w14:paraId="06765257" w14:textId="77777777" w:rsidR="001C0B83" w:rsidRPr="001D6D10" w:rsidRDefault="001C0B83" w:rsidP="00033310">
            <w:pPr>
              <w:spacing w:line="300" w:lineRule="exact"/>
            </w:pPr>
          </w:p>
        </w:tc>
      </w:tr>
      <w:tr w:rsidR="001C0B83" w:rsidRPr="001D6D10" w14:paraId="24A5AD0E" w14:textId="77777777" w:rsidTr="005F51E1">
        <w:tc>
          <w:tcPr>
            <w:tcW w:w="426" w:type="dxa"/>
            <w:vMerge/>
          </w:tcPr>
          <w:p w14:paraId="623B330A" w14:textId="77777777" w:rsidR="001C0B83" w:rsidRPr="001D6D10" w:rsidRDefault="001C0B83" w:rsidP="00033310">
            <w:pPr>
              <w:pStyle w:val="ad"/>
              <w:wordWrap/>
              <w:overflowPunct w:val="0"/>
              <w:spacing w:line="240" w:lineRule="auto"/>
              <w:ind w:rightChars="-376" w:right="-794"/>
            </w:pPr>
          </w:p>
        </w:tc>
        <w:tc>
          <w:tcPr>
            <w:tcW w:w="1134" w:type="dxa"/>
            <w:vMerge/>
          </w:tcPr>
          <w:p w14:paraId="1421EC77" w14:textId="77777777" w:rsidR="001C0B83" w:rsidRPr="001D6D10" w:rsidRDefault="001C0B83" w:rsidP="00033310">
            <w:pPr>
              <w:pStyle w:val="ad"/>
              <w:wordWrap/>
              <w:overflowPunct w:val="0"/>
              <w:spacing w:line="240" w:lineRule="auto"/>
              <w:ind w:rightChars="-376" w:right="-794"/>
            </w:pPr>
          </w:p>
        </w:tc>
        <w:tc>
          <w:tcPr>
            <w:tcW w:w="1276" w:type="dxa"/>
          </w:tcPr>
          <w:p w14:paraId="74793EEF" w14:textId="1D2EA1BB" w:rsidR="001C0B83" w:rsidRPr="001D6D10" w:rsidRDefault="001C0B83" w:rsidP="00033310">
            <w:pPr>
              <w:spacing w:line="340" w:lineRule="exact"/>
            </w:pPr>
            <w:r w:rsidRPr="001D6D10">
              <w:rPr>
                <w:rFonts w:hint="eastAsia"/>
                <w:sz w:val="17"/>
                <w:szCs w:val="17"/>
              </w:rPr>
              <w:t>文化財保護班</w:t>
            </w:r>
          </w:p>
        </w:tc>
        <w:tc>
          <w:tcPr>
            <w:tcW w:w="1730" w:type="dxa"/>
          </w:tcPr>
          <w:p w14:paraId="7D1026B2" w14:textId="77777777" w:rsidR="001C0B83" w:rsidRPr="001D6D10" w:rsidRDefault="001C0B83" w:rsidP="00033310">
            <w:pPr>
              <w:spacing w:line="340" w:lineRule="exact"/>
              <w:rPr>
                <w:sz w:val="20"/>
                <w:szCs w:val="20"/>
              </w:rPr>
            </w:pPr>
            <w:r w:rsidRPr="001D6D10">
              <w:rPr>
                <w:rFonts w:hint="eastAsia"/>
                <w:sz w:val="20"/>
                <w:szCs w:val="20"/>
              </w:rPr>
              <w:t>文化財保護課長</w:t>
            </w:r>
          </w:p>
          <w:p w14:paraId="6A704F62" w14:textId="20FF4BEA" w:rsidR="001C0B83" w:rsidRPr="001D6D10" w:rsidRDefault="001C0B83" w:rsidP="00033310">
            <w:pPr>
              <w:spacing w:line="340" w:lineRule="exact"/>
            </w:pPr>
          </w:p>
        </w:tc>
        <w:tc>
          <w:tcPr>
            <w:tcW w:w="6066" w:type="dxa"/>
          </w:tcPr>
          <w:p w14:paraId="5AFFDBF2" w14:textId="6FA980EF" w:rsidR="001C0B83" w:rsidRPr="001D6D10" w:rsidRDefault="001C0B83" w:rsidP="00033310">
            <w:pPr>
              <w:spacing w:line="360" w:lineRule="exact"/>
            </w:pPr>
            <w:r w:rsidRPr="001D6D10">
              <w:rPr>
                <w:rFonts w:hint="eastAsia"/>
              </w:rPr>
              <w:t>文化財の保護に関すること。</w:t>
            </w:r>
          </w:p>
        </w:tc>
      </w:tr>
      <w:tr w:rsidR="001C0B83" w:rsidRPr="001D6D10" w14:paraId="42A69DF6" w14:textId="77777777" w:rsidTr="005F51E1">
        <w:tc>
          <w:tcPr>
            <w:tcW w:w="426" w:type="dxa"/>
            <w:vMerge/>
          </w:tcPr>
          <w:p w14:paraId="02ECB946" w14:textId="77777777" w:rsidR="001C0B83" w:rsidRPr="001D6D10" w:rsidRDefault="001C0B83" w:rsidP="00033310">
            <w:pPr>
              <w:pStyle w:val="ad"/>
              <w:wordWrap/>
              <w:overflowPunct w:val="0"/>
              <w:spacing w:line="240" w:lineRule="auto"/>
              <w:ind w:rightChars="-376" w:right="-794"/>
            </w:pPr>
          </w:p>
        </w:tc>
        <w:tc>
          <w:tcPr>
            <w:tcW w:w="1134" w:type="dxa"/>
            <w:vMerge/>
          </w:tcPr>
          <w:p w14:paraId="4E8C54F9" w14:textId="77777777" w:rsidR="001C0B83" w:rsidRPr="001D6D10" w:rsidRDefault="001C0B83" w:rsidP="00033310">
            <w:pPr>
              <w:pStyle w:val="ad"/>
              <w:wordWrap/>
              <w:overflowPunct w:val="0"/>
              <w:spacing w:line="240" w:lineRule="auto"/>
              <w:ind w:rightChars="-376" w:right="-794"/>
            </w:pPr>
          </w:p>
        </w:tc>
        <w:tc>
          <w:tcPr>
            <w:tcW w:w="1276" w:type="dxa"/>
          </w:tcPr>
          <w:p w14:paraId="78A4A42E" w14:textId="07856C67" w:rsidR="001C0B83" w:rsidRPr="001D6D10" w:rsidRDefault="001C0B83" w:rsidP="00033310">
            <w:pPr>
              <w:spacing w:line="340" w:lineRule="exact"/>
            </w:pPr>
            <w:r w:rsidRPr="001D6D10">
              <w:rPr>
                <w:rFonts w:hint="eastAsia"/>
              </w:rPr>
              <w:t>私学班</w:t>
            </w:r>
          </w:p>
        </w:tc>
        <w:tc>
          <w:tcPr>
            <w:tcW w:w="1730" w:type="dxa"/>
          </w:tcPr>
          <w:p w14:paraId="06D423C2" w14:textId="249C523C" w:rsidR="001C0B83" w:rsidRPr="001D6D10" w:rsidRDefault="001C0B83" w:rsidP="00033310">
            <w:pPr>
              <w:spacing w:line="340" w:lineRule="exact"/>
            </w:pPr>
            <w:r w:rsidRPr="001D6D10">
              <w:rPr>
                <w:rFonts w:hint="eastAsia"/>
              </w:rPr>
              <w:t>私学課長</w:t>
            </w:r>
          </w:p>
        </w:tc>
        <w:tc>
          <w:tcPr>
            <w:tcW w:w="6066" w:type="dxa"/>
          </w:tcPr>
          <w:p w14:paraId="00093828" w14:textId="77777777" w:rsidR="001C0B83" w:rsidRPr="001D6D10" w:rsidRDefault="001C0B83" w:rsidP="00033310">
            <w:pPr>
              <w:spacing w:line="340" w:lineRule="exact"/>
              <w:jc w:val="left"/>
            </w:pPr>
            <w:r w:rsidRPr="001D6D10">
              <w:rPr>
                <w:rFonts w:hint="eastAsia"/>
              </w:rPr>
              <w:t>私立学校の災害等の対策に係る連絡調整に関すること。</w:t>
            </w:r>
          </w:p>
          <w:p w14:paraId="136C73E4" w14:textId="1C0B7EB9" w:rsidR="001C0B83" w:rsidRPr="001D6D10" w:rsidRDefault="001C0B83" w:rsidP="00033310">
            <w:pPr>
              <w:spacing w:line="360" w:lineRule="exact"/>
              <w:ind w:left="15" w:hangingChars="7" w:hanging="15"/>
            </w:pPr>
          </w:p>
        </w:tc>
      </w:tr>
      <w:tr w:rsidR="001C0B83" w:rsidRPr="001D6D10" w14:paraId="15E5063C" w14:textId="77777777" w:rsidTr="005F51E1">
        <w:tc>
          <w:tcPr>
            <w:tcW w:w="426" w:type="dxa"/>
            <w:vMerge/>
          </w:tcPr>
          <w:p w14:paraId="0D06BFAF" w14:textId="77777777" w:rsidR="001C0B83" w:rsidRPr="001D6D10" w:rsidRDefault="001C0B83" w:rsidP="00033310">
            <w:pPr>
              <w:pStyle w:val="ad"/>
              <w:wordWrap/>
              <w:overflowPunct w:val="0"/>
              <w:spacing w:line="240" w:lineRule="auto"/>
              <w:ind w:rightChars="-376" w:right="-794"/>
            </w:pPr>
          </w:p>
        </w:tc>
        <w:tc>
          <w:tcPr>
            <w:tcW w:w="1134" w:type="dxa"/>
            <w:vMerge/>
          </w:tcPr>
          <w:p w14:paraId="56F463D4" w14:textId="77777777" w:rsidR="001C0B83" w:rsidRPr="001D6D10" w:rsidRDefault="001C0B83" w:rsidP="00033310">
            <w:pPr>
              <w:pStyle w:val="ad"/>
              <w:wordWrap/>
              <w:overflowPunct w:val="0"/>
              <w:spacing w:line="240" w:lineRule="auto"/>
              <w:ind w:rightChars="-376" w:right="-794"/>
            </w:pPr>
          </w:p>
        </w:tc>
        <w:tc>
          <w:tcPr>
            <w:tcW w:w="1276" w:type="dxa"/>
          </w:tcPr>
          <w:p w14:paraId="78A6B240" w14:textId="551DBD4C" w:rsidR="001C0B83" w:rsidRPr="001D6D10" w:rsidRDefault="001C0B83" w:rsidP="00033310">
            <w:pPr>
              <w:spacing w:line="340" w:lineRule="exact"/>
            </w:pPr>
            <w:r w:rsidRPr="001D6D10">
              <w:rPr>
                <w:rFonts w:hint="eastAsia"/>
              </w:rPr>
              <w:t>応援第１班</w:t>
            </w:r>
          </w:p>
        </w:tc>
        <w:tc>
          <w:tcPr>
            <w:tcW w:w="1730" w:type="dxa"/>
          </w:tcPr>
          <w:p w14:paraId="56896AB5" w14:textId="77777777" w:rsidR="001C0B83" w:rsidRPr="001D6D10" w:rsidRDefault="001C0B83" w:rsidP="00033310">
            <w:pPr>
              <w:spacing w:line="340" w:lineRule="exact"/>
              <w:jc w:val="left"/>
              <w:rPr>
                <w:w w:val="87"/>
                <w:kern w:val="0"/>
                <w:szCs w:val="21"/>
              </w:rPr>
            </w:pPr>
            <w:r w:rsidRPr="001D6D10">
              <w:rPr>
                <w:rFonts w:hint="eastAsia"/>
                <w:kern w:val="0"/>
                <w:szCs w:val="21"/>
              </w:rPr>
              <w:t>人権教育</w:t>
            </w:r>
          </w:p>
          <w:p w14:paraId="2E113338" w14:textId="70CF9511" w:rsidR="001C0B83" w:rsidRPr="001D6D10" w:rsidRDefault="001C0B83" w:rsidP="00033310">
            <w:pPr>
              <w:spacing w:line="340" w:lineRule="exact"/>
            </w:pPr>
            <w:r w:rsidRPr="001D6D10">
              <w:rPr>
                <w:rFonts w:hint="eastAsia"/>
                <w:kern w:val="0"/>
                <w:szCs w:val="21"/>
              </w:rPr>
              <w:t>企画課長</w:t>
            </w:r>
          </w:p>
        </w:tc>
        <w:tc>
          <w:tcPr>
            <w:tcW w:w="6066" w:type="dxa"/>
          </w:tcPr>
          <w:p w14:paraId="7FFFDD98" w14:textId="66969BEB" w:rsidR="001C0B83" w:rsidRPr="001D6D10" w:rsidRDefault="001C0B83" w:rsidP="00033310">
            <w:pPr>
              <w:spacing w:line="340" w:lineRule="exact"/>
              <w:jc w:val="left"/>
            </w:pPr>
            <w:r w:rsidRPr="001D6D10">
              <w:rPr>
                <w:rFonts w:hint="eastAsia"/>
              </w:rPr>
              <w:t>他の班の応援に関すること。</w:t>
            </w:r>
          </w:p>
        </w:tc>
      </w:tr>
      <w:tr w:rsidR="001C0B83" w:rsidRPr="001D6D10" w14:paraId="641F76F8" w14:textId="77777777" w:rsidTr="00A579BB">
        <w:trPr>
          <w:trHeight w:val="934"/>
        </w:trPr>
        <w:tc>
          <w:tcPr>
            <w:tcW w:w="426" w:type="dxa"/>
            <w:vMerge/>
          </w:tcPr>
          <w:p w14:paraId="0E2CE293" w14:textId="77777777" w:rsidR="001C0B83" w:rsidRPr="001D6D10" w:rsidRDefault="001C0B83" w:rsidP="00033310">
            <w:pPr>
              <w:pStyle w:val="ad"/>
              <w:wordWrap/>
              <w:overflowPunct w:val="0"/>
              <w:spacing w:line="240" w:lineRule="auto"/>
              <w:ind w:rightChars="-376" w:right="-794"/>
            </w:pPr>
          </w:p>
        </w:tc>
        <w:tc>
          <w:tcPr>
            <w:tcW w:w="1134" w:type="dxa"/>
            <w:vMerge/>
          </w:tcPr>
          <w:p w14:paraId="6AFCCC69" w14:textId="77777777" w:rsidR="001C0B83" w:rsidRPr="001D6D10" w:rsidRDefault="001C0B83" w:rsidP="00033310">
            <w:pPr>
              <w:pStyle w:val="ad"/>
              <w:wordWrap/>
              <w:overflowPunct w:val="0"/>
              <w:spacing w:line="240" w:lineRule="auto"/>
              <w:ind w:rightChars="-376" w:right="-794"/>
            </w:pPr>
          </w:p>
        </w:tc>
        <w:tc>
          <w:tcPr>
            <w:tcW w:w="1276" w:type="dxa"/>
          </w:tcPr>
          <w:p w14:paraId="7F3ABC05" w14:textId="0271AA41" w:rsidR="001C0B83" w:rsidRPr="001D6D10" w:rsidRDefault="001C0B83" w:rsidP="00033310">
            <w:pPr>
              <w:spacing w:line="340" w:lineRule="exact"/>
              <w:rPr>
                <w:sz w:val="17"/>
                <w:szCs w:val="17"/>
              </w:rPr>
            </w:pPr>
            <w:r w:rsidRPr="001D6D10">
              <w:rPr>
                <w:rFonts w:hint="eastAsia"/>
              </w:rPr>
              <w:t>応援第</w:t>
            </w:r>
            <w:r w:rsidRPr="00D57EB4">
              <w:rPr>
                <w:rFonts w:hint="eastAsia"/>
              </w:rPr>
              <w:t>２</w:t>
            </w:r>
            <w:r w:rsidRPr="001D6D10">
              <w:rPr>
                <w:rFonts w:hint="eastAsia"/>
              </w:rPr>
              <w:t>班</w:t>
            </w:r>
          </w:p>
        </w:tc>
        <w:tc>
          <w:tcPr>
            <w:tcW w:w="1730" w:type="dxa"/>
          </w:tcPr>
          <w:p w14:paraId="73EE7D51" w14:textId="77777777" w:rsidR="001C0B83" w:rsidRPr="001D6D10" w:rsidRDefault="001C0B83" w:rsidP="00033310">
            <w:pPr>
              <w:spacing w:line="340" w:lineRule="exact"/>
              <w:rPr>
                <w:sz w:val="20"/>
                <w:szCs w:val="20"/>
              </w:rPr>
            </w:pPr>
            <w:r w:rsidRPr="001D6D10">
              <w:rPr>
                <w:rFonts w:hint="eastAsia"/>
                <w:sz w:val="20"/>
                <w:szCs w:val="20"/>
              </w:rPr>
              <w:t>市町村教育室</w:t>
            </w:r>
          </w:p>
          <w:p w14:paraId="0033A508" w14:textId="2CED8694" w:rsidR="001C0B83" w:rsidRPr="001D6D10" w:rsidRDefault="001C0B83" w:rsidP="00E0548A">
            <w:pPr>
              <w:spacing w:line="340" w:lineRule="exact"/>
              <w:jc w:val="left"/>
              <w:rPr>
                <w:sz w:val="20"/>
                <w:szCs w:val="20"/>
              </w:rPr>
            </w:pPr>
            <w:r w:rsidRPr="001D6D10">
              <w:rPr>
                <w:rFonts w:hint="eastAsia"/>
                <w:kern w:val="0"/>
                <w:szCs w:val="21"/>
              </w:rPr>
              <w:t>地域教育振興課長</w:t>
            </w:r>
          </w:p>
        </w:tc>
        <w:tc>
          <w:tcPr>
            <w:tcW w:w="6066" w:type="dxa"/>
          </w:tcPr>
          <w:p w14:paraId="584EDA74" w14:textId="60A92EC3" w:rsidR="001C0B83" w:rsidRPr="001D6D10" w:rsidRDefault="001C0B83" w:rsidP="00033310">
            <w:pPr>
              <w:spacing w:line="360" w:lineRule="exact"/>
            </w:pPr>
            <w:r w:rsidRPr="001D6D10">
              <w:rPr>
                <w:rFonts w:hint="eastAsia"/>
              </w:rPr>
              <w:t>他の班の応援に関すること。</w:t>
            </w:r>
          </w:p>
        </w:tc>
      </w:tr>
    </w:tbl>
    <w:p w14:paraId="0FA787CB" w14:textId="77777777" w:rsidR="001C0B83" w:rsidRDefault="001C0B83">
      <w:r>
        <w:br w:type="page"/>
      </w:r>
    </w:p>
    <w:tbl>
      <w:tblPr>
        <w:tblStyle w:val="ab"/>
        <w:tblW w:w="10632" w:type="dxa"/>
        <w:tblInd w:w="-885" w:type="dxa"/>
        <w:tblLayout w:type="fixed"/>
        <w:tblLook w:val="04A0" w:firstRow="1" w:lastRow="0" w:firstColumn="1" w:lastColumn="0" w:noHBand="0" w:noVBand="1"/>
      </w:tblPr>
      <w:tblGrid>
        <w:gridCol w:w="426"/>
        <w:gridCol w:w="1134"/>
        <w:gridCol w:w="1276"/>
        <w:gridCol w:w="1730"/>
        <w:gridCol w:w="6066"/>
      </w:tblGrid>
      <w:tr w:rsidR="001C0B83" w:rsidRPr="001D6D10" w14:paraId="24D7C0C2" w14:textId="77777777" w:rsidTr="005F51E1">
        <w:tc>
          <w:tcPr>
            <w:tcW w:w="426" w:type="dxa"/>
          </w:tcPr>
          <w:p w14:paraId="019C1CB1" w14:textId="4300C58D" w:rsidR="001C0B83" w:rsidRPr="001D6D10" w:rsidRDefault="001C0B83" w:rsidP="00033310">
            <w:pPr>
              <w:pStyle w:val="ad"/>
              <w:wordWrap/>
              <w:overflowPunct w:val="0"/>
              <w:spacing w:line="240" w:lineRule="auto"/>
              <w:ind w:rightChars="-376" w:right="-794"/>
            </w:pPr>
          </w:p>
        </w:tc>
        <w:tc>
          <w:tcPr>
            <w:tcW w:w="1134" w:type="dxa"/>
          </w:tcPr>
          <w:p w14:paraId="5D0570DD" w14:textId="77777777" w:rsidR="001C0B83" w:rsidRPr="001D6D10" w:rsidRDefault="001C0B83" w:rsidP="00033310">
            <w:pPr>
              <w:pStyle w:val="ad"/>
              <w:wordWrap/>
              <w:overflowPunct w:val="0"/>
              <w:spacing w:line="240" w:lineRule="auto"/>
              <w:ind w:rightChars="-376" w:right="-794"/>
            </w:pPr>
          </w:p>
        </w:tc>
        <w:tc>
          <w:tcPr>
            <w:tcW w:w="1276" w:type="dxa"/>
          </w:tcPr>
          <w:p w14:paraId="34C7C1D4" w14:textId="58B52C8D" w:rsidR="001C0B83" w:rsidRPr="001D6D10" w:rsidRDefault="001C0B83" w:rsidP="00033310">
            <w:pPr>
              <w:spacing w:line="340" w:lineRule="exact"/>
            </w:pPr>
            <w:r w:rsidRPr="001D6D10">
              <w:rPr>
                <w:rFonts w:hint="eastAsia"/>
              </w:rPr>
              <w:t>応援第</w:t>
            </w:r>
            <w:r w:rsidRPr="00D57EB4">
              <w:rPr>
                <w:rFonts w:hint="eastAsia"/>
              </w:rPr>
              <w:t>３</w:t>
            </w:r>
            <w:r w:rsidRPr="001D6D10">
              <w:rPr>
                <w:rFonts w:hint="eastAsia"/>
              </w:rPr>
              <w:t>班</w:t>
            </w:r>
          </w:p>
        </w:tc>
        <w:tc>
          <w:tcPr>
            <w:tcW w:w="1730" w:type="dxa"/>
          </w:tcPr>
          <w:p w14:paraId="3F21431F" w14:textId="397AFC28" w:rsidR="001C0B83" w:rsidRPr="001D6D10" w:rsidRDefault="001C0B83" w:rsidP="00033310">
            <w:pPr>
              <w:spacing w:line="340" w:lineRule="exact"/>
              <w:jc w:val="left"/>
              <w:rPr>
                <w:szCs w:val="21"/>
              </w:rPr>
            </w:pPr>
            <w:r w:rsidRPr="001D6D10">
              <w:rPr>
                <w:rFonts w:hint="eastAsia"/>
              </w:rPr>
              <w:t>学校総務サービス課長</w:t>
            </w:r>
          </w:p>
        </w:tc>
        <w:tc>
          <w:tcPr>
            <w:tcW w:w="6066" w:type="dxa"/>
          </w:tcPr>
          <w:p w14:paraId="7A18CF5B" w14:textId="2F6B7901" w:rsidR="001C0B83" w:rsidRPr="001D6D10" w:rsidRDefault="001C0B83" w:rsidP="00033310">
            <w:pPr>
              <w:spacing w:line="340" w:lineRule="exact"/>
            </w:pPr>
            <w:r w:rsidRPr="001D6D10">
              <w:rPr>
                <w:rFonts w:hint="eastAsia"/>
              </w:rPr>
              <w:t>他の班の応援に関すること。</w:t>
            </w:r>
          </w:p>
        </w:tc>
      </w:tr>
      <w:tr w:rsidR="00033310" w:rsidRPr="001D6D10" w14:paraId="30B0911F" w14:textId="77777777" w:rsidTr="00E0548A">
        <w:trPr>
          <w:cantSplit/>
          <w:trHeight w:val="1564"/>
        </w:trPr>
        <w:tc>
          <w:tcPr>
            <w:tcW w:w="426" w:type="dxa"/>
            <w:textDirection w:val="tbRlV"/>
          </w:tcPr>
          <w:p w14:paraId="040A9F22" w14:textId="7F119C5A" w:rsidR="00033310" w:rsidRPr="001D6D10" w:rsidRDefault="001C0B83" w:rsidP="00E0548A">
            <w:pPr>
              <w:pStyle w:val="ad"/>
              <w:wordWrap/>
              <w:overflowPunct w:val="0"/>
              <w:spacing w:line="240" w:lineRule="auto"/>
              <w:ind w:left="113" w:rightChars="-376" w:right="-794"/>
            </w:pPr>
            <w:r w:rsidRPr="001D6D10">
              <w:rPr>
                <w:rFonts w:hint="eastAsia"/>
              </w:rPr>
              <w:t>大阪府警察</w:t>
            </w:r>
          </w:p>
        </w:tc>
        <w:tc>
          <w:tcPr>
            <w:tcW w:w="1134" w:type="dxa"/>
          </w:tcPr>
          <w:p w14:paraId="30730BC1" w14:textId="77777777" w:rsidR="001C0B83" w:rsidRPr="001D6D10" w:rsidRDefault="001C0B83" w:rsidP="001C0B83">
            <w:pPr>
              <w:spacing w:line="340" w:lineRule="exact"/>
            </w:pPr>
            <w:r w:rsidRPr="001D6D10">
              <w:rPr>
                <w:rFonts w:hint="eastAsia"/>
              </w:rPr>
              <w:t>副本部長</w:t>
            </w:r>
          </w:p>
          <w:p w14:paraId="268787DC" w14:textId="77777777" w:rsidR="00033310" w:rsidRPr="001D6D10" w:rsidRDefault="00033310" w:rsidP="00033310">
            <w:pPr>
              <w:pStyle w:val="ad"/>
              <w:wordWrap/>
              <w:overflowPunct w:val="0"/>
              <w:spacing w:line="240" w:lineRule="auto"/>
              <w:ind w:rightChars="-376" w:right="-794"/>
            </w:pPr>
          </w:p>
        </w:tc>
        <w:tc>
          <w:tcPr>
            <w:tcW w:w="1276" w:type="dxa"/>
          </w:tcPr>
          <w:p w14:paraId="3873D8B7" w14:textId="33D8A7DA" w:rsidR="00033310" w:rsidRPr="001D6D10" w:rsidRDefault="00033310" w:rsidP="00033310">
            <w:pPr>
              <w:spacing w:line="340" w:lineRule="exact"/>
            </w:pPr>
            <w:r w:rsidRPr="001D6D10">
              <w:rPr>
                <w:rFonts w:hint="eastAsia"/>
              </w:rPr>
              <w:t>警察班</w:t>
            </w:r>
          </w:p>
        </w:tc>
        <w:tc>
          <w:tcPr>
            <w:tcW w:w="1730" w:type="dxa"/>
          </w:tcPr>
          <w:p w14:paraId="746B82E1" w14:textId="7E65334F" w:rsidR="00033310" w:rsidRPr="00CC0C2D" w:rsidRDefault="00033310" w:rsidP="00033310">
            <w:pPr>
              <w:spacing w:line="340" w:lineRule="exact"/>
            </w:pPr>
            <w:r w:rsidRPr="001D6D10">
              <w:rPr>
                <w:rFonts w:hint="eastAsia"/>
              </w:rPr>
              <w:t>警備第二課長</w:t>
            </w:r>
          </w:p>
        </w:tc>
        <w:tc>
          <w:tcPr>
            <w:tcW w:w="6066" w:type="dxa"/>
          </w:tcPr>
          <w:p w14:paraId="2212AFBE" w14:textId="77777777" w:rsidR="00033310" w:rsidRPr="001D6D10" w:rsidRDefault="00033310" w:rsidP="00033310">
            <w:pPr>
              <w:spacing w:line="340" w:lineRule="exact"/>
              <w:ind w:left="57" w:hangingChars="27" w:hanging="57"/>
            </w:pPr>
            <w:r w:rsidRPr="001D6D10">
              <w:rPr>
                <w:rFonts w:hint="eastAsia"/>
              </w:rPr>
              <w:t>１ 警察の実施する対策の本部長への報告に関すること。</w:t>
            </w:r>
          </w:p>
          <w:p w14:paraId="5B88F875" w14:textId="41ECC7D1" w:rsidR="00033310" w:rsidRPr="001D6D10" w:rsidRDefault="00033310" w:rsidP="00033310">
            <w:pPr>
              <w:spacing w:line="340" w:lineRule="exact"/>
            </w:pPr>
            <w:r w:rsidRPr="001D6D10">
              <w:rPr>
                <w:rFonts w:hint="eastAsia"/>
              </w:rPr>
              <w:t>２ 関係部局との連絡調整に関すること。</w:t>
            </w:r>
          </w:p>
        </w:tc>
      </w:tr>
      <w:tr w:rsidR="001C0B83" w:rsidRPr="001D6D10" w14:paraId="7791F9A7" w14:textId="77777777" w:rsidTr="005F51E1">
        <w:tc>
          <w:tcPr>
            <w:tcW w:w="426" w:type="dxa"/>
            <w:vMerge w:val="restart"/>
          </w:tcPr>
          <w:p w14:paraId="00BC2C54" w14:textId="01FEF534" w:rsidR="001C0B83" w:rsidRPr="001D6D10" w:rsidRDefault="001C0B83" w:rsidP="00982E6E">
            <w:pPr>
              <w:spacing w:line="340" w:lineRule="exact"/>
            </w:pPr>
            <w:r w:rsidRPr="001D6D10">
              <w:rPr>
                <w:rFonts w:hint="eastAsia"/>
              </w:rPr>
              <w:t>協力第一部</w:t>
            </w:r>
          </w:p>
        </w:tc>
        <w:tc>
          <w:tcPr>
            <w:tcW w:w="1134" w:type="dxa"/>
            <w:vMerge w:val="restart"/>
          </w:tcPr>
          <w:p w14:paraId="0A5B9CF7" w14:textId="77777777" w:rsidR="001C0B83" w:rsidRPr="001D6D10" w:rsidRDefault="001C0B83" w:rsidP="00846DA2">
            <w:pPr>
              <w:spacing w:line="340" w:lineRule="exact"/>
            </w:pPr>
          </w:p>
        </w:tc>
        <w:tc>
          <w:tcPr>
            <w:tcW w:w="1276" w:type="dxa"/>
          </w:tcPr>
          <w:p w14:paraId="77A1642D" w14:textId="1320523E" w:rsidR="001C0B83" w:rsidRPr="001D6D10" w:rsidRDefault="001C0B83" w:rsidP="00033310">
            <w:pPr>
              <w:spacing w:line="340" w:lineRule="exact"/>
            </w:pPr>
            <w:r w:rsidRPr="001D6D10">
              <w:rPr>
                <w:rFonts w:hint="eastAsia"/>
              </w:rPr>
              <w:t>議会総務班</w:t>
            </w:r>
          </w:p>
        </w:tc>
        <w:tc>
          <w:tcPr>
            <w:tcW w:w="1730" w:type="dxa"/>
          </w:tcPr>
          <w:p w14:paraId="43668828" w14:textId="77777777" w:rsidR="001C0B83" w:rsidRPr="001D6D10" w:rsidRDefault="001C0B83" w:rsidP="00033310">
            <w:pPr>
              <w:spacing w:line="340" w:lineRule="exact"/>
            </w:pPr>
            <w:r w:rsidRPr="001D6D10">
              <w:rPr>
                <w:rFonts w:hint="eastAsia"/>
              </w:rPr>
              <w:t>議会事務局</w:t>
            </w:r>
          </w:p>
          <w:p w14:paraId="058D1840" w14:textId="4F82411E" w:rsidR="001C0B83" w:rsidRPr="001D6D10" w:rsidRDefault="001C0B83" w:rsidP="00033310">
            <w:pPr>
              <w:spacing w:line="340" w:lineRule="exact"/>
              <w:rPr>
                <w:szCs w:val="21"/>
              </w:rPr>
            </w:pPr>
            <w:r w:rsidRPr="001D6D10">
              <w:rPr>
                <w:rFonts w:hint="eastAsia"/>
              </w:rPr>
              <w:t>総務課長</w:t>
            </w:r>
          </w:p>
        </w:tc>
        <w:tc>
          <w:tcPr>
            <w:tcW w:w="6066" w:type="dxa"/>
          </w:tcPr>
          <w:p w14:paraId="1D405D5F" w14:textId="77777777" w:rsidR="001C0B83" w:rsidRPr="001D6D10" w:rsidRDefault="001C0B83" w:rsidP="00E0548A">
            <w:pPr>
              <w:spacing w:line="340" w:lineRule="exact"/>
              <w:ind w:left="268" w:hangingChars="127" w:hanging="268"/>
            </w:pPr>
            <w:r w:rsidRPr="001D6D10">
              <w:rPr>
                <w:rFonts w:hint="eastAsia"/>
              </w:rPr>
              <w:t>１ 災害対策本部等他の部・班の応援に係る連絡調整に関すること。</w:t>
            </w:r>
          </w:p>
          <w:p w14:paraId="2D678625" w14:textId="494AD77C" w:rsidR="001C0B83" w:rsidRPr="001D6D10" w:rsidRDefault="001C0B83" w:rsidP="00E0548A">
            <w:pPr>
              <w:spacing w:line="340" w:lineRule="exact"/>
              <w:ind w:left="211" w:hangingChars="100" w:hanging="211"/>
            </w:pPr>
            <w:r w:rsidRPr="001D6D10">
              <w:rPr>
                <w:rFonts w:hint="eastAsia"/>
              </w:rPr>
              <w:t>２ 災害対策本部等他の部・班の応援に係る事務局内調整に関すること。</w:t>
            </w:r>
          </w:p>
        </w:tc>
      </w:tr>
      <w:tr w:rsidR="001C0B83" w:rsidRPr="001D6D10" w14:paraId="411AB3A3" w14:textId="77777777" w:rsidTr="005F51E1">
        <w:tc>
          <w:tcPr>
            <w:tcW w:w="426" w:type="dxa"/>
            <w:vMerge/>
          </w:tcPr>
          <w:p w14:paraId="36236F0F" w14:textId="7451C84D" w:rsidR="001C0B83" w:rsidRPr="001D6D10" w:rsidRDefault="001C0B83" w:rsidP="00033310">
            <w:pPr>
              <w:spacing w:line="340" w:lineRule="exact"/>
            </w:pPr>
          </w:p>
        </w:tc>
        <w:tc>
          <w:tcPr>
            <w:tcW w:w="1134" w:type="dxa"/>
            <w:vMerge/>
          </w:tcPr>
          <w:p w14:paraId="086861CD" w14:textId="77777777" w:rsidR="001C0B83" w:rsidRPr="001D6D10" w:rsidRDefault="001C0B83" w:rsidP="00033310">
            <w:pPr>
              <w:spacing w:line="340" w:lineRule="exact"/>
            </w:pPr>
          </w:p>
        </w:tc>
        <w:tc>
          <w:tcPr>
            <w:tcW w:w="1276" w:type="dxa"/>
          </w:tcPr>
          <w:p w14:paraId="53C7EE04" w14:textId="77777777" w:rsidR="001C0B83" w:rsidRPr="001D6D10" w:rsidRDefault="001C0B83" w:rsidP="00033310">
            <w:pPr>
              <w:spacing w:line="340" w:lineRule="exact"/>
            </w:pPr>
            <w:r w:rsidRPr="001D6D10">
              <w:rPr>
                <w:rFonts w:hint="eastAsia"/>
              </w:rPr>
              <w:t>議会応援</w:t>
            </w:r>
          </w:p>
          <w:p w14:paraId="277CB6A9" w14:textId="38030311" w:rsidR="001C0B83" w:rsidRPr="001D6D10" w:rsidRDefault="001C0B83" w:rsidP="00033310">
            <w:pPr>
              <w:spacing w:line="340" w:lineRule="exact"/>
            </w:pPr>
            <w:r w:rsidRPr="001D6D10">
              <w:rPr>
                <w:rFonts w:hint="eastAsia"/>
              </w:rPr>
              <w:t>第１班</w:t>
            </w:r>
          </w:p>
        </w:tc>
        <w:tc>
          <w:tcPr>
            <w:tcW w:w="1730" w:type="dxa"/>
          </w:tcPr>
          <w:p w14:paraId="2AED6226" w14:textId="77777777" w:rsidR="001C0B83" w:rsidRPr="001D6D10" w:rsidRDefault="001C0B83" w:rsidP="00033310">
            <w:pPr>
              <w:spacing w:line="340" w:lineRule="exact"/>
            </w:pPr>
            <w:r w:rsidRPr="001D6D10">
              <w:rPr>
                <w:rFonts w:hint="eastAsia"/>
              </w:rPr>
              <w:t>議会事務局</w:t>
            </w:r>
          </w:p>
          <w:p w14:paraId="00134CAA" w14:textId="6FDB27D0" w:rsidR="001C0B83" w:rsidRPr="001D6D10" w:rsidRDefault="001C0B83" w:rsidP="00033310">
            <w:pPr>
              <w:spacing w:line="340" w:lineRule="exact"/>
            </w:pPr>
            <w:r w:rsidRPr="001D6D10">
              <w:rPr>
                <w:rFonts w:hint="eastAsia"/>
              </w:rPr>
              <w:t>議事課長</w:t>
            </w:r>
          </w:p>
        </w:tc>
        <w:tc>
          <w:tcPr>
            <w:tcW w:w="6066" w:type="dxa"/>
          </w:tcPr>
          <w:p w14:paraId="21EDF69D" w14:textId="40C4EB54" w:rsidR="001C0B83" w:rsidRPr="001D6D10" w:rsidRDefault="001C0B83" w:rsidP="00033310">
            <w:pPr>
              <w:spacing w:line="340" w:lineRule="exact"/>
            </w:pPr>
            <w:r w:rsidRPr="001D6D10">
              <w:rPr>
                <w:rFonts w:hint="eastAsia"/>
              </w:rPr>
              <w:t>災害対策本部等他の部・班の応援に関すること。</w:t>
            </w:r>
          </w:p>
        </w:tc>
      </w:tr>
      <w:tr w:rsidR="001C0B83" w:rsidRPr="001D6D10" w14:paraId="009F22A2" w14:textId="77777777" w:rsidTr="005C4F02">
        <w:trPr>
          <w:trHeight w:val="790"/>
        </w:trPr>
        <w:tc>
          <w:tcPr>
            <w:tcW w:w="426" w:type="dxa"/>
            <w:vMerge/>
          </w:tcPr>
          <w:p w14:paraId="386A3C72" w14:textId="77777777" w:rsidR="001C0B83" w:rsidRPr="001D6D10" w:rsidRDefault="001C0B83" w:rsidP="00033310">
            <w:pPr>
              <w:spacing w:line="340" w:lineRule="exact"/>
            </w:pPr>
          </w:p>
        </w:tc>
        <w:tc>
          <w:tcPr>
            <w:tcW w:w="1134" w:type="dxa"/>
            <w:vMerge/>
          </w:tcPr>
          <w:p w14:paraId="5E9DBF26" w14:textId="77777777" w:rsidR="001C0B83" w:rsidRPr="001D6D10" w:rsidRDefault="001C0B83" w:rsidP="00033310">
            <w:pPr>
              <w:spacing w:line="340" w:lineRule="exact"/>
            </w:pPr>
          </w:p>
        </w:tc>
        <w:tc>
          <w:tcPr>
            <w:tcW w:w="1276" w:type="dxa"/>
          </w:tcPr>
          <w:p w14:paraId="4C023CFF" w14:textId="77777777" w:rsidR="001C0B83" w:rsidRPr="001D6D10" w:rsidRDefault="001C0B83" w:rsidP="00033310">
            <w:pPr>
              <w:spacing w:line="340" w:lineRule="exact"/>
            </w:pPr>
            <w:r w:rsidRPr="001D6D10">
              <w:rPr>
                <w:rFonts w:hint="eastAsia"/>
              </w:rPr>
              <w:t>議会応援</w:t>
            </w:r>
          </w:p>
          <w:p w14:paraId="779FF669" w14:textId="0CEADF40" w:rsidR="001C0B83" w:rsidRPr="001D6D10" w:rsidRDefault="001C0B83" w:rsidP="00033310">
            <w:pPr>
              <w:spacing w:line="340" w:lineRule="exact"/>
            </w:pPr>
            <w:r w:rsidRPr="001D6D10">
              <w:rPr>
                <w:rFonts w:hint="eastAsia"/>
              </w:rPr>
              <w:t>第２班</w:t>
            </w:r>
          </w:p>
        </w:tc>
        <w:tc>
          <w:tcPr>
            <w:tcW w:w="1730" w:type="dxa"/>
          </w:tcPr>
          <w:p w14:paraId="3035089E" w14:textId="77777777" w:rsidR="001C0B83" w:rsidRPr="001D6D10" w:rsidRDefault="001C0B83" w:rsidP="00033310">
            <w:pPr>
              <w:spacing w:line="340" w:lineRule="exact"/>
            </w:pPr>
            <w:r w:rsidRPr="001D6D10">
              <w:rPr>
                <w:rFonts w:hint="eastAsia"/>
              </w:rPr>
              <w:t>議会事務局</w:t>
            </w:r>
          </w:p>
          <w:p w14:paraId="46D9A364" w14:textId="7D98717B" w:rsidR="001C0B83" w:rsidRPr="001D6D10" w:rsidRDefault="001C0B83" w:rsidP="00033310">
            <w:pPr>
              <w:spacing w:line="340" w:lineRule="exact"/>
            </w:pPr>
            <w:r w:rsidRPr="001D6D10">
              <w:rPr>
                <w:rFonts w:hint="eastAsia"/>
              </w:rPr>
              <w:t>調査課長</w:t>
            </w:r>
          </w:p>
        </w:tc>
        <w:tc>
          <w:tcPr>
            <w:tcW w:w="6066" w:type="dxa"/>
          </w:tcPr>
          <w:p w14:paraId="265E097F" w14:textId="1867557E" w:rsidR="001C0B83" w:rsidRPr="001D6D10" w:rsidRDefault="001C0B83" w:rsidP="00033310">
            <w:pPr>
              <w:spacing w:line="340" w:lineRule="exact"/>
            </w:pPr>
            <w:r w:rsidRPr="001D6D10">
              <w:rPr>
                <w:rFonts w:hint="eastAsia"/>
              </w:rPr>
              <w:t>災害対策本部等他の部・班の応援に関すること。</w:t>
            </w:r>
          </w:p>
        </w:tc>
      </w:tr>
      <w:tr w:rsidR="00846DA2" w:rsidRPr="001D6D10" w14:paraId="2D1413C4" w14:textId="77777777" w:rsidTr="005F51E1">
        <w:tc>
          <w:tcPr>
            <w:tcW w:w="426" w:type="dxa"/>
            <w:vMerge w:val="restart"/>
          </w:tcPr>
          <w:p w14:paraId="74005DFD" w14:textId="5764A149" w:rsidR="00846DA2" w:rsidRPr="001D6D10" w:rsidRDefault="00846DA2" w:rsidP="00033310">
            <w:pPr>
              <w:spacing w:line="340" w:lineRule="exact"/>
            </w:pPr>
            <w:r w:rsidRPr="001D6D10">
              <w:rPr>
                <w:rFonts w:hint="eastAsia"/>
              </w:rPr>
              <w:t>協力第二部</w:t>
            </w:r>
          </w:p>
        </w:tc>
        <w:tc>
          <w:tcPr>
            <w:tcW w:w="1134" w:type="dxa"/>
            <w:vMerge w:val="restart"/>
          </w:tcPr>
          <w:p w14:paraId="4D22BB81" w14:textId="77777777" w:rsidR="00846DA2" w:rsidRPr="001D6D10" w:rsidRDefault="00846DA2" w:rsidP="00033310">
            <w:pPr>
              <w:spacing w:line="340" w:lineRule="exact"/>
            </w:pPr>
          </w:p>
        </w:tc>
        <w:tc>
          <w:tcPr>
            <w:tcW w:w="1276" w:type="dxa"/>
          </w:tcPr>
          <w:p w14:paraId="787E7759" w14:textId="0381E793" w:rsidR="00846DA2" w:rsidRPr="001D6D10" w:rsidRDefault="00846DA2" w:rsidP="00033310">
            <w:pPr>
              <w:spacing w:line="340" w:lineRule="exact"/>
            </w:pPr>
            <w:r w:rsidRPr="001D6D10">
              <w:rPr>
                <w:rFonts w:hint="eastAsia"/>
              </w:rPr>
              <w:t>監査総務班</w:t>
            </w:r>
          </w:p>
        </w:tc>
        <w:tc>
          <w:tcPr>
            <w:tcW w:w="1730" w:type="dxa"/>
          </w:tcPr>
          <w:p w14:paraId="1F6BFD35" w14:textId="1D36F9D7" w:rsidR="00846DA2" w:rsidRPr="001D6D10" w:rsidRDefault="00846DA2" w:rsidP="00033310">
            <w:pPr>
              <w:spacing w:line="340" w:lineRule="exact"/>
            </w:pPr>
            <w:r w:rsidRPr="001D6D10">
              <w:rPr>
                <w:rFonts w:hint="eastAsia"/>
              </w:rPr>
              <w:t>総務課長</w:t>
            </w:r>
          </w:p>
        </w:tc>
        <w:tc>
          <w:tcPr>
            <w:tcW w:w="6066" w:type="dxa"/>
          </w:tcPr>
          <w:p w14:paraId="72DC1FB8" w14:textId="77777777" w:rsidR="00846DA2" w:rsidRPr="001D6D10" w:rsidRDefault="00846DA2" w:rsidP="00E0548A">
            <w:pPr>
              <w:spacing w:line="340" w:lineRule="exact"/>
              <w:ind w:left="268" w:hangingChars="127" w:hanging="268"/>
            </w:pPr>
            <w:r w:rsidRPr="001D6D10">
              <w:rPr>
                <w:rFonts w:hint="eastAsia"/>
              </w:rPr>
              <w:t>１ 災害対策本部等他の部・班の応援に係る連絡調整に関すること。</w:t>
            </w:r>
          </w:p>
          <w:p w14:paraId="0CDD9E71" w14:textId="01B9D3BA" w:rsidR="00846DA2" w:rsidRPr="001D6D10" w:rsidRDefault="00846DA2" w:rsidP="00E0548A">
            <w:pPr>
              <w:spacing w:line="340" w:lineRule="exact"/>
              <w:ind w:left="268" w:hangingChars="127" w:hanging="268"/>
            </w:pPr>
            <w:r w:rsidRPr="001D6D10">
              <w:rPr>
                <w:rFonts w:hint="eastAsia"/>
              </w:rPr>
              <w:t>２ 災害対策本部等他の部・班の応援に係る事務局内調整に関すること。</w:t>
            </w:r>
          </w:p>
        </w:tc>
      </w:tr>
      <w:tr w:rsidR="00846DA2" w:rsidRPr="001D6D10" w14:paraId="1F86B351" w14:textId="77777777" w:rsidTr="005F51E1">
        <w:tc>
          <w:tcPr>
            <w:tcW w:w="426" w:type="dxa"/>
            <w:vMerge/>
          </w:tcPr>
          <w:p w14:paraId="76472150" w14:textId="70F73978" w:rsidR="00846DA2" w:rsidRPr="001D6D10" w:rsidRDefault="00846DA2" w:rsidP="00033310">
            <w:pPr>
              <w:spacing w:line="340" w:lineRule="exact"/>
            </w:pPr>
          </w:p>
        </w:tc>
        <w:tc>
          <w:tcPr>
            <w:tcW w:w="1134" w:type="dxa"/>
            <w:vMerge/>
          </w:tcPr>
          <w:p w14:paraId="21D5F579" w14:textId="77777777" w:rsidR="00846DA2" w:rsidRPr="001D6D10" w:rsidRDefault="00846DA2" w:rsidP="00033310">
            <w:pPr>
              <w:spacing w:line="340" w:lineRule="exact"/>
            </w:pPr>
          </w:p>
        </w:tc>
        <w:tc>
          <w:tcPr>
            <w:tcW w:w="1276" w:type="dxa"/>
          </w:tcPr>
          <w:p w14:paraId="2836DCBB" w14:textId="7831A5AF" w:rsidR="00846DA2" w:rsidRPr="001D6D10" w:rsidRDefault="00846DA2" w:rsidP="00033310">
            <w:pPr>
              <w:spacing w:line="340" w:lineRule="exact"/>
            </w:pPr>
            <w:r w:rsidRPr="001D6D10">
              <w:rPr>
                <w:rFonts w:hint="eastAsia"/>
              </w:rPr>
              <w:t>監査応援班</w:t>
            </w:r>
          </w:p>
        </w:tc>
        <w:tc>
          <w:tcPr>
            <w:tcW w:w="1730" w:type="dxa"/>
          </w:tcPr>
          <w:p w14:paraId="5BBEA722" w14:textId="6BA3465A" w:rsidR="00846DA2" w:rsidRPr="001D6D10" w:rsidRDefault="00846DA2" w:rsidP="00033310">
            <w:pPr>
              <w:spacing w:line="340" w:lineRule="exact"/>
            </w:pPr>
            <w:r w:rsidRPr="001D6D10">
              <w:rPr>
                <w:rFonts w:hint="eastAsia"/>
              </w:rPr>
              <w:t>監査課長</w:t>
            </w:r>
          </w:p>
        </w:tc>
        <w:tc>
          <w:tcPr>
            <w:tcW w:w="6066" w:type="dxa"/>
          </w:tcPr>
          <w:p w14:paraId="7D4D74CC" w14:textId="261F9908" w:rsidR="00846DA2" w:rsidRPr="001D6D10" w:rsidRDefault="00846DA2" w:rsidP="00033310">
            <w:pPr>
              <w:spacing w:line="340" w:lineRule="exact"/>
              <w:ind w:left="57" w:hangingChars="27" w:hanging="57"/>
            </w:pPr>
            <w:r w:rsidRPr="001D6D10">
              <w:rPr>
                <w:rFonts w:hint="eastAsia"/>
              </w:rPr>
              <w:t>災害対策本部等他の部・班の応援に関すること。</w:t>
            </w:r>
          </w:p>
        </w:tc>
      </w:tr>
      <w:tr w:rsidR="00846DA2" w:rsidRPr="001D6D10" w14:paraId="38D412DD" w14:textId="77777777" w:rsidTr="005F51E1">
        <w:tc>
          <w:tcPr>
            <w:tcW w:w="426" w:type="dxa"/>
            <w:vMerge w:val="restart"/>
          </w:tcPr>
          <w:p w14:paraId="0D99F1FC" w14:textId="03A5B61C" w:rsidR="00846DA2" w:rsidRPr="001D6D10" w:rsidRDefault="00846DA2" w:rsidP="00033310">
            <w:pPr>
              <w:spacing w:line="340" w:lineRule="exact"/>
            </w:pPr>
            <w:r w:rsidRPr="001D6D10">
              <w:rPr>
                <w:rFonts w:hint="eastAsia"/>
              </w:rPr>
              <w:t>協力第三部</w:t>
            </w:r>
          </w:p>
        </w:tc>
        <w:tc>
          <w:tcPr>
            <w:tcW w:w="1134" w:type="dxa"/>
            <w:vMerge w:val="restart"/>
          </w:tcPr>
          <w:p w14:paraId="65E515EE" w14:textId="77777777" w:rsidR="00846DA2" w:rsidRPr="001D6D10" w:rsidRDefault="00846DA2" w:rsidP="00033310">
            <w:pPr>
              <w:spacing w:line="340" w:lineRule="exact"/>
            </w:pPr>
          </w:p>
        </w:tc>
        <w:tc>
          <w:tcPr>
            <w:tcW w:w="1276" w:type="dxa"/>
          </w:tcPr>
          <w:p w14:paraId="20872CF2" w14:textId="6AA29E2A" w:rsidR="00846DA2" w:rsidRPr="001D6D10" w:rsidRDefault="00846DA2" w:rsidP="00033310">
            <w:pPr>
              <w:spacing w:line="340" w:lineRule="exact"/>
            </w:pPr>
            <w:r w:rsidRPr="001D6D10">
              <w:rPr>
                <w:rFonts w:hint="eastAsia"/>
              </w:rPr>
              <w:t>任用審査班</w:t>
            </w:r>
          </w:p>
        </w:tc>
        <w:tc>
          <w:tcPr>
            <w:tcW w:w="1730" w:type="dxa"/>
          </w:tcPr>
          <w:p w14:paraId="7CD3FF73" w14:textId="784C10E6" w:rsidR="00846DA2" w:rsidRPr="001D6D10" w:rsidRDefault="00846DA2" w:rsidP="00033310">
            <w:pPr>
              <w:spacing w:line="340" w:lineRule="exact"/>
            </w:pPr>
            <w:r w:rsidRPr="001D6D10">
              <w:rPr>
                <w:rFonts w:hint="eastAsia"/>
              </w:rPr>
              <w:t>任用審査課長</w:t>
            </w:r>
          </w:p>
        </w:tc>
        <w:tc>
          <w:tcPr>
            <w:tcW w:w="6066" w:type="dxa"/>
          </w:tcPr>
          <w:p w14:paraId="1158BDB6" w14:textId="77777777" w:rsidR="00846DA2" w:rsidRPr="001D6D10" w:rsidRDefault="00846DA2" w:rsidP="00E0548A">
            <w:pPr>
              <w:spacing w:line="340" w:lineRule="exact"/>
              <w:ind w:left="268" w:hangingChars="127" w:hanging="268"/>
            </w:pPr>
            <w:r w:rsidRPr="001D6D10">
              <w:rPr>
                <w:rFonts w:hint="eastAsia"/>
              </w:rPr>
              <w:t>１ 災害対策本部等他の部・班の応援に係る連絡調整に関すること。</w:t>
            </w:r>
          </w:p>
          <w:p w14:paraId="6BFBE02D" w14:textId="1472AA50" w:rsidR="00846DA2" w:rsidRPr="001D6D10" w:rsidRDefault="00846DA2" w:rsidP="00E0548A">
            <w:pPr>
              <w:spacing w:line="340" w:lineRule="exact"/>
              <w:ind w:left="268" w:hangingChars="127" w:hanging="268"/>
            </w:pPr>
            <w:r w:rsidRPr="001D6D10">
              <w:rPr>
                <w:rFonts w:hint="eastAsia"/>
              </w:rPr>
              <w:t>２ 災害対策本部等他の部・班の応援に係る事務局内調整に関すること。</w:t>
            </w:r>
          </w:p>
        </w:tc>
      </w:tr>
      <w:tr w:rsidR="00846DA2" w:rsidRPr="001D6D10" w14:paraId="11CB9220" w14:textId="77777777" w:rsidTr="005F51E1">
        <w:tc>
          <w:tcPr>
            <w:tcW w:w="426" w:type="dxa"/>
            <w:vMerge/>
          </w:tcPr>
          <w:p w14:paraId="3AE46D25" w14:textId="6DCA4428" w:rsidR="00846DA2" w:rsidRPr="001D6D10" w:rsidRDefault="00846DA2" w:rsidP="00033310">
            <w:pPr>
              <w:spacing w:line="340" w:lineRule="exact"/>
            </w:pPr>
          </w:p>
        </w:tc>
        <w:tc>
          <w:tcPr>
            <w:tcW w:w="1134" w:type="dxa"/>
            <w:vMerge/>
          </w:tcPr>
          <w:p w14:paraId="683BFB82" w14:textId="77777777" w:rsidR="00846DA2" w:rsidRPr="001D6D10" w:rsidRDefault="00846DA2" w:rsidP="00033310">
            <w:pPr>
              <w:spacing w:line="340" w:lineRule="exact"/>
            </w:pPr>
          </w:p>
        </w:tc>
        <w:tc>
          <w:tcPr>
            <w:tcW w:w="1276" w:type="dxa"/>
          </w:tcPr>
          <w:p w14:paraId="602C869D" w14:textId="2B9D08F5" w:rsidR="00846DA2" w:rsidRPr="001D6D10" w:rsidRDefault="00846DA2" w:rsidP="00033310">
            <w:pPr>
              <w:spacing w:line="340" w:lineRule="exact"/>
            </w:pPr>
            <w:r w:rsidRPr="001D6D10">
              <w:rPr>
                <w:rFonts w:hint="eastAsia"/>
              </w:rPr>
              <w:t>人事委員会応援班</w:t>
            </w:r>
          </w:p>
        </w:tc>
        <w:tc>
          <w:tcPr>
            <w:tcW w:w="1730" w:type="dxa"/>
          </w:tcPr>
          <w:p w14:paraId="27350D74" w14:textId="7B0CDBCB" w:rsidR="00846DA2" w:rsidRPr="001D6D10" w:rsidRDefault="00846DA2" w:rsidP="00033310">
            <w:pPr>
              <w:spacing w:line="340" w:lineRule="exact"/>
            </w:pPr>
            <w:r w:rsidRPr="001D6D10">
              <w:rPr>
                <w:rFonts w:hint="eastAsia"/>
              </w:rPr>
              <w:t>給与課長</w:t>
            </w:r>
          </w:p>
        </w:tc>
        <w:tc>
          <w:tcPr>
            <w:tcW w:w="6066" w:type="dxa"/>
          </w:tcPr>
          <w:p w14:paraId="145EBED4" w14:textId="6D71B912" w:rsidR="00846DA2" w:rsidRPr="001D6D10" w:rsidRDefault="00846DA2" w:rsidP="00033310">
            <w:pPr>
              <w:spacing w:line="340" w:lineRule="exact"/>
              <w:ind w:left="57" w:hangingChars="27" w:hanging="57"/>
            </w:pPr>
            <w:r w:rsidRPr="001D6D10">
              <w:rPr>
                <w:rFonts w:hint="eastAsia"/>
              </w:rPr>
              <w:t>災害対策本部等他の部・班の応援に関すること。</w:t>
            </w:r>
          </w:p>
        </w:tc>
      </w:tr>
      <w:tr w:rsidR="00846DA2" w:rsidRPr="001D6D10" w14:paraId="562B6B04" w14:textId="77777777" w:rsidTr="005F51E1">
        <w:tc>
          <w:tcPr>
            <w:tcW w:w="426" w:type="dxa"/>
            <w:vMerge w:val="restart"/>
          </w:tcPr>
          <w:p w14:paraId="49B19790" w14:textId="6CB427FF" w:rsidR="00846DA2" w:rsidRPr="001D6D10" w:rsidRDefault="00846DA2" w:rsidP="00033310">
            <w:pPr>
              <w:spacing w:line="340" w:lineRule="exact"/>
            </w:pPr>
            <w:r w:rsidRPr="001D6D10">
              <w:rPr>
                <w:rFonts w:hint="eastAsia"/>
              </w:rPr>
              <w:t>協力第四部</w:t>
            </w:r>
          </w:p>
        </w:tc>
        <w:tc>
          <w:tcPr>
            <w:tcW w:w="1134" w:type="dxa"/>
            <w:vMerge w:val="restart"/>
          </w:tcPr>
          <w:p w14:paraId="49512C4B" w14:textId="77777777" w:rsidR="00846DA2" w:rsidRPr="001D6D10" w:rsidRDefault="00846DA2" w:rsidP="00033310">
            <w:pPr>
              <w:spacing w:line="340" w:lineRule="exact"/>
            </w:pPr>
          </w:p>
          <w:p w14:paraId="3D104328" w14:textId="77777777" w:rsidR="00846DA2" w:rsidRPr="001D6D10" w:rsidRDefault="00846DA2" w:rsidP="00033310">
            <w:pPr>
              <w:spacing w:line="340" w:lineRule="exact"/>
            </w:pPr>
          </w:p>
        </w:tc>
        <w:tc>
          <w:tcPr>
            <w:tcW w:w="1276" w:type="dxa"/>
          </w:tcPr>
          <w:p w14:paraId="33ED3930" w14:textId="2DD22516" w:rsidR="00846DA2" w:rsidRPr="001D6D10" w:rsidRDefault="00846DA2" w:rsidP="00033310">
            <w:pPr>
              <w:spacing w:line="340" w:lineRule="exact"/>
            </w:pPr>
            <w:r w:rsidRPr="001D6D10">
              <w:rPr>
                <w:rFonts w:hint="eastAsia"/>
              </w:rPr>
              <w:t>総務調整班</w:t>
            </w:r>
          </w:p>
        </w:tc>
        <w:tc>
          <w:tcPr>
            <w:tcW w:w="1730" w:type="dxa"/>
          </w:tcPr>
          <w:p w14:paraId="2EB7B03E" w14:textId="0E87EA2F" w:rsidR="00846DA2" w:rsidRPr="001D6D10" w:rsidRDefault="00846DA2" w:rsidP="00033310">
            <w:pPr>
              <w:spacing w:line="340" w:lineRule="exact"/>
            </w:pPr>
            <w:r w:rsidRPr="001D6D10">
              <w:rPr>
                <w:rFonts w:hint="eastAsia"/>
              </w:rPr>
              <w:t>総務調整課長</w:t>
            </w:r>
          </w:p>
        </w:tc>
        <w:tc>
          <w:tcPr>
            <w:tcW w:w="6066" w:type="dxa"/>
          </w:tcPr>
          <w:p w14:paraId="3930CDE8" w14:textId="77777777" w:rsidR="00846DA2" w:rsidRPr="001D6D10" w:rsidRDefault="00846DA2" w:rsidP="00E0548A">
            <w:pPr>
              <w:spacing w:line="340" w:lineRule="exact"/>
              <w:ind w:left="268" w:hangingChars="127" w:hanging="268"/>
            </w:pPr>
            <w:r w:rsidRPr="001D6D10">
              <w:rPr>
                <w:rFonts w:hint="eastAsia"/>
              </w:rPr>
              <w:t>１ 災害対策本部等他の部・班の応援に係る連絡調整に関すること。</w:t>
            </w:r>
          </w:p>
          <w:p w14:paraId="57F11124" w14:textId="20582150" w:rsidR="00846DA2" w:rsidRPr="001D6D10" w:rsidRDefault="00846DA2" w:rsidP="00E0548A">
            <w:pPr>
              <w:spacing w:line="340" w:lineRule="exact"/>
              <w:ind w:left="268" w:hangingChars="127" w:hanging="268"/>
            </w:pPr>
            <w:r w:rsidRPr="001D6D10">
              <w:rPr>
                <w:rFonts w:hint="eastAsia"/>
              </w:rPr>
              <w:t>２ 災害対策本部等他の部・班の応援に係る事務局内調整に関すること。</w:t>
            </w:r>
          </w:p>
        </w:tc>
      </w:tr>
      <w:tr w:rsidR="00846DA2" w:rsidRPr="001D6D10" w14:paraId="17C025A5" w14:textId="77777777" w:rsidTr="00E0548A">
        <w:trPr>
          <w:trHeight w:val="1048"/>
        </w:trPr>
        <w:tc>
          <w:tcPr>
            <w:tcW w:w="426" w:type="dxa"/>
            <w:vMerge/>
          </w:tcPr>
          <w:p w14:paraId="5AB56998" w14:textId="32867E9D" w:rsidR="00846DA2" w:rsidRPr="001D6D10" w:rsidRDefault="00846DA2" w:rsidP="00033310">
            <w:pPr>
              <w:spacing w:line="340" w:lineRule="exact"/>
            </w:pPr>
          </w:p>
        </w:tc>
        <w:tc>
          <w:tcPr>
            <w:tcW w:w="1134" w:type="dxa"/>
            <w:vMerge/>
          </w:tcPr>
          <w:p w14:paraId="40732CC2" w14:textId="77777777" w:rsidR="00846DA2" w:rsidRPr="001D6D10" w:rsidRDefault="00846DA2" w:rsidP="00033310">
            <w:pPr>
              <w:spacing w:line="340" w:lineRule="exact"/>
            </w:pPr>
          </w:p>
        </w:tc>
        <w:tc>
          <w:tcPr>
            <w:tcW w:w="1276" w:type="dxa"/>
          </w:tcPr>
          <w:p w14:paraId="1D88DE21" w14:textId="3499D858" w:rsidR="00846DA2" w:rsidRPr="001D6D10" w:rsidRDefault="00846DA2" w:rsidP="00033310">
            <w:pPr>
              <w:spacing w:line="340" w:lineRule="exact"/>
            </w:pPr>
            <w:r w:rsidRPr="001D6D10">
              <w:rPr>
                <w:rFonts w:hint="eastAsia"/>
              </w:rPr>
              <w:t>労働委員会応援班</w:t>
            </w:r>
          </w:p>
        </w:tc>
        <w:tc>
          <w:tcPr>
            <w:tcW w:w="1730" w:type="dxa"/>
          </w:tcPr>
          <w:p w14:paraId="26BE4EB0" w14:textId="5A61F20F" w:rsidR="00846DA2" w:rsidRPr="001D6D10" w:rsidRDefault="00846DA2" w:rsidP="00033310">
            <w:pPr>
              <w:spacing w:line="340" w:lineRule="exact"/>
            </w:pPr>
            <w:r w:rsidRPr="001D6D10">
              <w:rPr>
                <w:rFonts w:hint="eastAsia"/>
              </w:rPr>
              <w:t>審査課長</w:t>
            </w:r>
          </w:p>
        </w:tc>
        <w:tc>
          <w:tcPr>
            <w:tcW w:w="6066" w:type="dxa"/>
          </w:tcPr>
          <w:p w14:paraId="6591719B" w14:textId="04A3DF7C" w:rsidR="00846DA2" w:rsidRPr="001D6D10" w:rsidRDefault="00846DA2" w:rsidP="00033310">
            <w:pPr>
              <w:spacing w:line="340" w:lineRule="exact"/>
              <w:ind w:left="57" w:hangingChars="27" w:hanging="57"/>
            </w:pPr>
            <w:r w:rsidRPr="001D6D10">
              <w:rPr>
                <w:rFonts w:hint="eastAsia"/>
              </w:rPr>
              <w:t>災害対策本部等他の部・班の応援に関すること。</w:t>
            </w:r>
          </w:p>
        </w:tc>
      </w:tr>
      <w:tr w:rsidR="00846DA2" w:rsidRPr="001D6D10" w14:paraId="72202E39" w14:textId="77777777" w:rsidTr="005F51E1">
        <w:tc>
          <w:tcPr>
            <w:tcW w:w="426" w:type="dxa"/>
          </w:tcPr>
          <w:p w14:paraId="4170F8B8" w14:textId="1A295FB8" w:rsidR="00846DA2" w:rsidRPr="001D6D10" w:rsidRDefault="00846DA2" w:rsidP="00FE1398">
            <w:pPr>
              <w:spacing w:line="340" w:lineRule="exact"/>
            </w:pPr>
            <w:r w:rsidRPr="001D6D10">
              <w:rPr>
                <w:rFonts w:hint="eastAsia"/>
              </w:rPr>
              <w:t>協力第五部</w:t>
            </w:r>
          </w:p>
        </w:tc>
        <w:tc>
          <w:tcPr>
            <w:tcW w:w="1134" w:type="dxa"/>
          </w:tcPr>
          <w:p w14:paraId="26027327" w14:textId="77777777" w:rsidR="00846DA2" w:rsidRPr="001D6D10" w:rsidRDefault="00846DA2" w:rsidP="00846DA2">
            <w:pPr>
              <w:spacing w:line="340" w:lineRule="exact"/>
            </w:pPr>
          </w:p>
        </w:tc>
        <w:tc>
          <w:tcPr>
            <w:tcW w:w="1276" w:type="dxa"/>
          </w:tcPr>
          <w:p w14:paraId="47085D82" w14:textId="1D808E13" w:rsidR="00846DA2" w:rsidRPr="001D6D10" w:rsidRDefault="00846DA2" w:rsidP="00846DA2">
            <w:pPr>
              <w:spacing w:line="340" w:lineRule="exact"/>
            </w:pPr>
            <w:r w:rsidRPr="001D6D10">
              <w:rPr>
                <w:rFonts w:hint="eastAsia"/>
              </w:rPr>
              <w:t>収用委員会班</w:t>
            </w:r>
          </w:p>
        </w:tc>
        <w:tc>
          <w:tcPr>
            <w:tcW w:w="1730" w:type="dxa"/>
          </w:tcPr>
          <w:p w14:paraId="26F822DD" w14:textId="470EC9B7" w:rsidR="00846DA2" w:rsidRPr="001D6D10" w:rsidRDefault="00846DA2" w:rsidP="00846DA2">
            <w:pPr>
              <w:spacing w:line="340" w:lineRule="exact"/>
            </w:pPr>
            <w:r w:rsidRPr="001D6D10">
              <w:rPr>
                <w:rFonts w:hint="eastAsia"/>
              </w:rPr>
              <w:t>収用委員会事務局次長</w:t>
            </w:r>
          </w:p>
        </w:tc>
        <w:tc>
          <w:tcPr>
            <w:tcW w:w="6066" w:type="dxa"/>
          </w:tcPr>
          <w:p w14:paraId="1FC05339" w14:textId="77777777" w:rsidR="00846DA2" w:rsidRPr="001D6D10" w:rsidRDefault="00846DA2" w:rsidP="00E0548A">
            <w:pPr>
              <w:spacing w:line="340" w:lineRule="exact"/>
              <w:ind w:left="268" w:hangingChars="127" w:hanging="268"/>
            </w:pPr>
            <w:r w:rsidRPr="001D6D10">
              <w:rPr>
                <w:rFonts w:hint="eastAsia"/>
              </w:rPr>
              <w:t>１ 災害対策本部等他の部・班の応援に係る連絡調整に関すること。</w:t>
            </w:r>
          </w:p>
          <w:p w14:paraId="185E3B93" w14:textId="30456423" w:rsidR="00846DA2" w:rsidRPr="001D6D10" w:rsidRDefault="00846DA2" w:rsidP="00846DA2">
            <w:pPr>
              <w:spacing w:line="340" w:lineRule="exact"/>
              <w:ind w:left="57" w:hangingChars="27" w:hanging="57"/>
            </w:pPr>
            <w:r w:rsidRPr="001D6D10">
              <w:rPr>
                <w:rFonts w:hint="eastAsia"/>
              </w:rPr>
              <w:t>２ 災害対策本部等他の部・班の応援に関すること。</w:t>
            </w:r>
          </w:p>
        </w:tc>
      </w:tr>
    </w:tbl>
    <w:p w14:paraId="46A60929" w14:textId="77777777" w:rsidR="004C2586" w:rsidRPr="001D6D10" w:rsidRDefault="004C2586" w:rsidP="005D372A">
      <w:pPr>
        <w:rPr>
          <w:vanish/>
        </w:rPr>
      </w:pPr>
    </w:p>
    <w:tbl>
      <w:tblPr>
        <w:tblW w:w="0" w:type="auto"/>
        <w:tblInd w:w="-916" w:type="dxa"/>
        <w:tblBorders>
          <w:top w:val="single" w:sz="4" w:space="0" w:color="auto"/>
        </w:tblBorders>
        <w:tblCellMar>
          <w:left w:w="99" w:type="dxa"/>
          <w:right w:w="99" w:type="dxa"/>
        </w:tblCellMar>
        <w:tblLook w:val="0000" w:firstRow="0" w:lastRow="0" w:firstColumn="0" w:lastColumn="0" w:noHBand="0" w:noVBand="0"/>
      </w:tblPr>
      <w:tblGrid>
        <w:gridCol w:w="1845"/>
      </w:tblGrid>
      <w:tr w:rsidR="001D6D10" w:rsidRPr="001D6D10" w14:paraId="05DF5F52" w14:textId="77777777" w:rsidTr="004C2586">
        <w:trPr>
          <w:trHeight w:val="100"/>
          <w:hidden/>
        </w:trPr>
        <w:tc>
          <w:tcPr>
            <w:tcW w:w="1845" w:type="dxa"/>
          </w:tcPr>
          <w:p w14:paraId="6ABA3DBD" w14:textId="77777777" w:rsidR="004C2586" w:rsidRPr="001D6D10" w:rsidRDefault="004C2586" w:rsidP="005D372A">
            <w:pPr>
              <w:rPr>
                <w:vanish/>
              </w:rPr>
            </w:pPr>
          </w:p>
        </w:tc>
      </w:tr>
    </w:tbl>
    <w:p w14:paraId="6558703A" w14:textId="77777777" w:rsidR="005D372A" w:rsidRPr="001D6D10" w:rsidRDefault="005D372A" w:rsidP="005D372A">
      <w:pPr>
        <w:rPr>
          <w:vanish/>
        </w:rPr>
      </w:pPr>
      <w:r w:rsidRPr="001D6D10">
        <w:rPr>
          <w:noProof/>
          <w:vanish/>
        </w:rPr>
        <w:drawing>
          <wp:inline distT="0" distB="0" distL="0" distR="0" wp14:anchorId="7E1E83E1" wp14:editId="202413DB">
            <wp:extent cx="2749550" cy="1828800"/>
            <wp:effectExtent l="0" t="0" r="0" b="0"/>
            <wp:docPr id="5" name="オブジェクト 5"/>
            <wp:cNvGraphicFramePr>
              <a:graphicFrameLocks xmlns:a="http://schemas.openxmlformats.org/drawingml/2006/main" noChangeAspect="1"/>
            </wp:cNvGraphicFramePr>
            <a:graphic xmlns:a="http://schemas.openxmlformats.org/drawingml/2006/main">
              <a:graphicData uri="http://schemas.openxmlformats.org/drawingml/2006/chart">
                <c:chart xmlns:c="http://schemas.openxmlformats.org/drawingml/2006/chart" xmlns:r="http://schemas.openxmlformats.org/officeDocument/2006/relationships" r:id="rId17"/>
              </a:graphicData>
            </a:graphic>
          </wp:inline>
        </w:drawing>
      </w:r>
    </w:p>
    <w:p w14:paraId="0CD65E0E" w14:textId="77777777" w:rsidR="005D372A" w:rsidRPr="001D6D10" w:rsidRDefault="005D372A" w:rsidP="005D372A">
      <w:pPr>
        <w:rPr>
          <w:vanish/>
        </w:rPr>
      </w:pPr>
    </w:p>
    <w:p w14:paraId="16E2F1AA" w14:textId="77777777" w:rsidR="005D372A" w:rsidRPr="001D6D10" w:rsidRDefault="005D372A" w:rsidP="005D372A">
      <w:pPr>
        <w:spacing w:line="20" w:lineRule="exact"/>
      </w:pPr>
      <w:r w:rsidRPr="001D6D10">
        <w:br w:type="page"/>
      </w:r>
    </w:p>
    <w:p w14:paraId="1B5DD18A" w14:textId="07D21A19" w:rsidR="005D372A" w:rsidRPr="001D6D10" w:rsidRDefault="008438E9" w:rsidP="00D1363A">
      <w:pPr>
        <w:pStyle w:val="4"/>
        <w:ind w:left="844"/>
        <w:rPr>
          <w:rFonts w:ascii="ＭＳ ゴシック" w:eastAsia="ＭＳ ゴシック" w:hAnsi="ＭＳ ゴシック"/>
          <w:b w:val="0"/>
          <w:sz w:val="22"/>
          <w:szCs w:val="22"/>
          <w:u w:val="single"/>
        </w:rPr>
      </w:pPr>
      <w:bookmarkStart w:id="73" w:name="_Toc122436885"/>
      <w:bookmarkStart w:id="74" w:name="_Toc222486575"/>
      <w:bookmarkStart w:id="75" w:name="_Toc242870245"/>
      <w:r>
        <w:rPr>
          <w:rFonts w:ascii="ＭＳ ゴシック" w:eastAsia="ＭＳ ゴシック" w:hAnsi="ＭＳ ゴシック" w:hint="eastAsia"/>
          <w:b w:val="0"/>
          <w:sz w:val="22"/>
          <w:szCs w:val="22"/>
          <w:u w:val="single"/>
        </w:rPr>
        <w:lastRenderedPageBreak/>
        <w:t>８</w:t>
      </w:r>
      <w:r w:rsidRPr="001D6D10">
        <w:rPr>
          <w:rFonts w:ascii="ＭＳ ゴシック" w:eastAsia="ＭＳ ゴシック" w:hAnsi="ＭＳ ゴシック" w:hint="eastAsia"/>
          <w:b w:val="0"/>
          <w:sz w:val="22"/>
          <w:szCs w:val="22"/>
          <w:u w:val="single"/>
        </w:rPr>
        <w:t xml:space="preserve">　各部局の応急対策業務等</w:t>
      </w:r>
      <w:bookmarkEnd w:id="73"/>
      <w:bookmarkEnd w:id="74"/>
      <w:bookmarkEnd w:id="75"/>
    </w:p>
    <w:p w14:paraId="793C593F" w14:textId="77777777" w:rsidR="005D372A" w:rsidRPr="001D6D10" w:rsidRDefault="005D372A" w:rsidP="005D372A">
      <w:pPr>
        <w:ind w:firstLineChars="350" w:firstLine="774"/>
        <w:rPr>
          <w:rFonts w:ascii="ＭＳ 明朝" w:hAnsi="ＭＳ 明朝"/>
          <w:sz w:val="22"/>
          <w:szCs w:val="22"/>
        </w:rPr>
      </w:pPr>
      <w:r w:rsidRPr="001D6D10">
        <w:rPr>
          <w:rFonts w:ascii="ＭＳ 明朝" w:hAnsi="ＭＳ 明朝" w:hint="eastAsia"/>
          <w:sz w:val="22"/>
          <w:szCs w:val="22"/>
        </w:rPr>
        <w:t>(1)基本姿勢</w:t>
      </w:r>
    </w:p>
    <w:p w14:paraId="1B38B5FB" w14:textId="77777777" w:rsidR="005D372A" w:rsidRPr="001D6D10" w:rsidRDefault="005D372A" w:rsidP="005D372A">
      <w:pPr>
        <w:ind w:leftChars="100" w:left="211" w:rightChars="-270" w:right="-570" w:firstLineChars="308" w:firstLine="684"/>
        <w:rPr>
          <w:rFonts w:ascii="ＭＳ 明朝" w:hAnsi="ＭＳ 明朝"/>
          <w:b/>
          <w:sz w:val="22"/>
          <w:szCs w:val="22"/>
        </w:rPr>
      </w:pPr>
      <w:r w:rsidRPr="001D6D10">
        <w:rPr>
          <w:rFonts w:ascii="ＭＳ 明朝" w:hAnsi="ＭＳ 明朝" w:hint="eastAsia"/>
          <w:b/>
          <w:sz w:val="22"/>
          <w:szCs w:val="22"/>
        </w:rPr>
        <w:t>◎職員の安全を確認、要員を確保しつつ、全庁挙げた災害応急対策活動を開始する。</w:t>
      </w:r>
    </w:p>
    <w:p w14:paraId="69AA2DD5" w14:textId="77777777" w:rsidR="005D372A" w:rsidRPr="001D6D10" w:rsidRDefault="005D372A" w:rsidP="005D372A">
      <w:pPr>
        <w:ind w:firstLineChars="403" w:firstLine="894"/>
        <w:rPr>
          <w:rFonts w:ascii="ＭＳ 明朝" w:hAnsi="ＭＳ 明朝"/>
          <w:b/>
          <w:sz w:val="22"/>
          <w:szCs w:val="22"/>
        </w:rPr>
      </w:pPr>
      <w:r w:rsidRPr="001D6D10">
        <w:rPr>
          <w:rFonts w:ascii="ＭＳ 明朝" w:hAnsi="ＭＳ 明朝" w:hint="eastAsia"/>
          <w:b/>
          <w:sz w:val="22"/>
          <w:szCs w:val="22"/>
        </w:rPr>
        <w:t>◎発災後３日までは人命救助に関する業務を最優先する。</w:t>
      </w:r>
    </w:p>
    <w:p w14:paraId="40AD2171" w14:textId="77777777" w:rsidR="005D372A" w:rsidRPr="001D6D10" w:rsidRDefault="005D372A" w:rsidP="005D372A">
      <w:pPr>
        <w:ind w:leftChars="100" w:left="211" w:rightChars="-675" w:right="-1425" w:firstLineChars="314" w:firstLine="697"/>
        <w:rPr>
          <w:rFonts w:ascii="ＭＳ 明朝" w:hAnsi="ＭＳ 明朝"/>
          <w:b/>
          <w:sz w:val="22"/>
          <w:szCs w:val="22"/>
        </w:rPr>
      </w:pPr>
      <w:r w:rsidRPr="001D6D10">
        <w:rPr>
          <w:rFonts w:ascii="ＭＳ 明朝" w:hAnsi="ＭＳ 明朝" w:hint="eastAsia"/>
          <w:b/>
          <w:sz w:val="22"/>
          <w:szCs w:val="22"/>
        </w:rPr>
        <w:t>◎全職員は、災害対策本部の指揮の下「自分がやらねば、誰がやる」の精神で活動する。</w:t>
      </w:r>
    </w:p>
    <w:p w14:paraId="4CE8B674" w14:textId="77777777" w:rsidR="005D372A" w:rsidRPr="001D6D10" w:rsidRDefault="005D372A" w:rsidP="005D372A">
      <w:pPr>
        <w:ind w:firstLineChars="350" w:firstLine="774"/>
        <w:rPr>
          <w:rFonts w:ascii="ＭＳ 明朝" w:hAnsi="ＭＳ 明朝"/>
          <w:sz w:val="22"/>
          <w:szCs w:val="22"/>
        </w:rPr>
      </w:pPr>
      <w:r w:rsidRPr="001D6D10">
        <w:rPr>
          <w:rFonts w:ascii="ＭＳ 明朝" w:hAnsi="ＭＳ 明朝" w:hint="eastAsia"/>
          <w:sz w:val="22"/>
          <w:szCs w:val="22"/>
        </w:rPr>
        <w:t>(2)定義</w:t>
      </w:r>
    </w:p>
    <w:p w14:paraId="16AC6825" w14:textId="77777777" w:rsidR="005D372A" w:rsidRPr="001D6D10" w:rsidRDefault="005D372A" w:rsidP="005D372A">
      <w:pPr>
        <w:ind w:leftChars="400" w:left="844" w:rightChars="-41" w:right="-87" w:firstLineChars="100" w:firstLine="221"/>
        <w:rPr>
          <w:rFonts w:ascii="ＭＳ 明朝" w:hAnsi="ＭＳ 明朝"/>
          <w:sz w:val="22"/>
          <w:szCs w:val="22"/>
        </w:rPr>
      </w:pPr>
      <w:r w:rsidRPr="001D6D10">
        <w:rPr>
          <w:rFonts w:ascii="ＭＳ 明朝" w:hAnsi="ＭＳ 明朝" w:hint="eastAsia"/>
          <w:sz w:val="22"/>
          <w:szCs w:val="22"/>
        </w:rPr>
        <w:t>災害応急対策業務とは、災害が発生し、又は発生する恐れがある場合において、府の総力をもって関係機関と連携し、府民の人命確保を最優先に行うものである。</w:t>
      </w:r>
    </w:p>
    <w:p w14:paraId="6F240B69" w14:textId="77777777" w:rsidR="005D372A" w:rsidRPr="001D6D10" w:rsidRDefault="005D372A" w:rsidP="005D372A">
      <w:pPr>
        <w:ind w:left="884" w:rightChars="-41" w:right="-87" w:hangingChars="400" w:hanging="884"/>
        <w:rPr>
          <w:rFonts w:ascii="ＭＳ 明朝" w:hAnsi="ＭＳ 明朝"/>
          <w:sz w:val="22"/>
          <w:szCs w:val="22"/>
        </w:rPr>
      </w:pPr>
      <w:r w:rsidRPr="001D6D10">
        <w:rPr>
          <w:rFonts w:ascii="ＭＳ 明朝" w:hAnsi="ＭＳ 明朝" w:hint="eastAsia"/>
          <w:sz w:val="22"/>
          <w:szCs w:val="22"/>
        </w:rPr>
        <w:t xml:space="preserve">　　      また、被災者の気持ちに寄り添うことを基本に、きめ細やかな対応により、次の災害復旧・復興段階に繋げるまでの府民生活を支援する業務をいう。</w:t>
      </w:r>
    </w:p>
    <w:p w14:paraId="54D6AF48" w14:textId="77777777" w:rsidR="005D372A" w:rsidRPr="001D6D10" w:rsidRDefault="005D372A" w:rsidP="005D372A">
      <w:pPr>
        <w:ind w:firstLineChars="350" w:firstLine="774"/>
        <w:rPr>
          <w:rFonts w:ascii="ＭＳ 明朝" w:hAnsi="ＭＳ 明朝"/>
          <w:sz w:val="22"/>
          <w:szCs w:val="22"/>
        </w:rPr>
      </w:pPr>
      <w:r w:rsidRPr="001D6D10">
        <w:rPr>
          <w:rFonts w:ascii="ＭＳ 明朝" w:hAnsi="ＭＳ 明朝" w:hint="eastAsia"/>
          <w:sz w:val="22"/>
          <w:szCs w:val="22"/>
        </w:rPr>
        <w:t>(3)応急対策業務の実施期間の設定</w:t>
      </w:r>
    </w:p>
    <w:p w14:paraId="4B0F4BFA" w14:textId="77777777" w:rsidR="005D372A" w:rsidRPr="001D6D10" w:rsidRDefault="005D372A" w:rsidP="005D372A">
      <w:pPr>
        <w:ind w:left="221" w:hangingChars="100" w:hanging="221"/>
        <w:rPr>
          <w:rFonts w:ascii="ＭＳ 明朝" w:hAnsi="ＭＳ 明朝"/>
          <w:sz w:val="22"/>
          <w:szCs w:val="22"/>
        </w:rPr>
      </w:pPr>
      <w:r w:rsidRPr="001D6D10">
        <w:rPr>
          <w:rFonts w:ascii="ＭＳ ゴシック" w:eastAsia="ＭＳ ゴシック" w:hAnsi="ＭＳ ゴシック" w:hint="eastAsia"/>
          <w:sz w:val="22"/>
          <w:szCs w:val="22"/>
        </w:rPr>
        <w:t xml:space="preserve">　 　　　 </w:t>
      </w:r>
      <w:r w:rsidRPr="001D6D10">
        <w:rPr>
          <w:rFonts w:ascii="ＭＳ 明朝" w:hAnsi="ＭＳ 明朝" w:hint="eastAsia"/>
          <w:sz w:val="22"/>
          <w:szCs w:val="22"/>
        </w:rPr>
        <w:t>本要領では、災害発生後１ヵ月間を対象期間の目安とする。</w:t>
      </w:r>
    </w:p>
    <w:p w14:paraId="24E28219" w14:textId="77777777" w:rsidR="005D372A" w:rsidRPr="001D6D10" w:rsidRDefault="005D372A" w:rsidP="005D372A">
      <w:pPr>
        <w:ind w:leftChars="100" w:left="211" w:firstLineChars="400" w:firstLine="884"/>
        <w:rPr>
          <w:rFonts w:ascii="ＭＳ 明朝" w:hAnsi="ＭＳ 明朝"/>
          <w:sz w:val="22"/>
          <w:szCs w:val="22"/>
        </w:rPr>
      </w:pPr>
      <w:r w:rsidRPr="001D6D10">
        <w:rPr>
          <w:rFonts w:ascii="ＭＳ 明朝" w:hAnsi="ＭＳ 明朝" w:hint="eastAsia"/>
          <w:sz w:val="22"/>
          <w:szCs w:val="22"/>
        </w:rPr>
        <w:t>その時間区分について、以下の</w:t>
      </w:r>
      <w:r w:rsidR="00D91900" w:rsidRPr="001D6D10">
        <w:rPr>
          <w:rFonts w:ascii="ＭＳ 明朝" w:hAnsi="ＭＳ 明朝" w:hint="eastAsia"/>
          <w:sz w:val="22"/>
          <w:szCs w:val="22"/>
        </w:rPr>
        <w:t>１</w:t>
      </w:r>
      <w:r w:rsidRPr="001D6D10">
        <w:rPr>
          <w:rFonts w:ascii="ＭＳ 明朝" w:hAnsi="ＭＳ 明朝" w:hint="eastAsia"/>
          <w:sz w:val="22"/>
          <w:szCs w:val="22"/>
        </w:rPr>
        <w:t>～６フェーズに分ける。</w:t>
      </w:r>
    </w:p>
    <w:tbl>
      <w:tblPr>
        <w:tblpPr w:leftFromText="142" w:rightFromText="142" w:vertAnchor="text" w:tblpXSpec="center" w:tblpY="1"/>
        <w:tblOverlap w:val="never"/>
        <w:tblW w:w="988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60"/>
        <w:gridCol w:w="2376"/>
        <w:gridCol w:w="5953"/>
      </w:tblGrid>
      <w:tr w:rsidR="001D6D10" w:rsidRPr="001D6D10" w14:paraId="570050E2" w14:textId="77777777" w:rsidTr="008B4B2B">
        <w:trPr>
          <w:jc w:val="center"/>
        </w:trPr>
        <w:tc>
          <w:tcPr>
            <w:tcW w:w="1560" w:type="dxa"/>
            <w:tcBorders>
              <w:bottom w:val="single" w:sz="4" w:space="0" w:color="auto"/>
            </w:tcBorders>
            <w:shd w:val="clear" w:color="auto" w:fill="BFBFBF"/>
          </w:tcPr>
          <w:p w14:paraId="20A5CF7A" w14:textId="77777777" w:rsidR="005D372A" w:rsidRPr="001D6D10" w:rsidRDefault="005D372A" w:rsidP="008B4B2B">
            <w:pPr>
              <w:jc w:val="center"/>
              <w:rPr>
                <w:rFonts w:ascii="ＭＳ 明朝" w:hAnsi="ＭＳ 明朝"/>
                <w:sz w:val="22"/>
                <w:szCs w:val="22"/>
              </w:rPr>
            </w:pPr>
            <w:r w:rsidRPr="001D6D10">
              <w:rPr>
                <w:rFonts w:ascii="ＭＳ 明朝" w:hAnsi="ＭＳ 明朝" w:hint="eastAsia"/>
                <w:sz w:val="22"/>
                <w:szCs w:val="22"/>
              </w:rPr>
              <w:t>フェーズ</w:t>
            </w:r>
          </w:p>
        </w:tc>
        <w:tc>
          <w:tcPr>
            <w:tcW w:w="2376" w:type="dxa"/>
            <w:tcBorders>
              <w:bottom w:val="single" w:sz="4" w:space="0" w:color="auto"/>
            </w:tcBorders>
            <w:shd w:val="clear" w:color="auto" w:fill="BFBFBF"/>
          </w:tcPr>
          <w:p w14:paraId="14153F5C" w14:textId="77777777" w:rsidR="005D372A" w:rsidRPr="001D6D10" w:rsidRDefault="005D372A" w:rsidP="008B4B2B">
            <w:pPr>
              <w:jc w:val="center"/>
              <w:rPr>
                <w:rFonts w:ascii="ＭＳ 明朝" w:hAnsi="ＭＳ 明朝"/>
                <w:sz w:val="22"/>
                <w:szCs w:val="22"/>
              </w:rPr>
            </w:pPr>
            <w:r w:rsidRPr="001D6D10">
              <w:rPr>
                <w:rFonts w:ascii="ＭＳ 明朝" w:hAnsi="ＭＳ 明朝" w:hint="eastAsia"/>
                <w:sz w:val="22"/>
                <w:szCs w:val="22"/>
              </w:rPr>
              <w:t>時間区分</w:t>
            </w:r>
          </w:p>
        </w:tc>
        <w:tc>
          <w:tcPr>
            <w:tcW w:w="5953" w:type="dxa"/>
            <w:tcBorders>
              <w:bottom w:val="single" w:sz="4" w:space="0" w:color="auto"/>
            </w:tcBorders>
            <w:shd w:val="clear" w:color="auto" w:fill="BFBFBF"/>
          </w:tcPr>
          <w:p w14:paraId="0E2C5D34" w14:textId="77777777" w:rsidR="005D372A" w:rsidRPr="001D6D10" w:rsidRDefault="005D372A" w:rsidP="008B4B2B">
            <w:pPr>
              <w:jc w:val="center"/>
              <w:rPr>
                <w:rFonts w:ascii="ＭＳ 明朝" w:hAnsi="ＭＳ 明朝"/>
                <w:sz w:val="22"/>
                <w:szCs w:val="22"/>
              </w:rPr>
            </w:pPr>
            <w:r w:rsidRPr="001D6D10">
              <w:rPr>
                <w:rFonts w:ascii="ＭＳ 明朝" w:hAnsi="ＭＳ 明朝" w:hint="eastAsia"/>
                <w:sz w:val="22"/>
                <w:szCs w:val="22"/>
              </w:rPr>
              <w:t>考え方</w:t>
            </w:r>
          </w:p>
        </w:tc>
      </w:tr>
      <w:tr w:rsidR="001D6D10" w:rsidRPr="001D6D10" w14:paraId="6FF7B41D" w14:textId="77777777" w:rsidTr="008B4B2B">
        <w:trPr>
          <w:jc w:val="center"/>
        </w:trPr>
        <w:tc>
          <w:tcPr>
            <w:tcW w:w="1560" w:type="dxa"/>
          </w:tcPr>
          <w:p w14:paraId="422BC265" w14:textId="77777777" w:rsidR="005D372A" w:rsidRPr="001D6D10" w:rsidRDefault="005D372A" w:rsidP="008B4B2B">
            <w:pPr>
              <w:rPr>
                <w:rFonts w:ascii="ＭＳ 明朝" w:hAnsi="ＭＳ 明朝"/>
                <w:sz w:val="22"/>
                <w:szCs w:val="22"/>
              </w:rPr>
            </w:pPr>
            <w:r w:rsidRPr="001D6D10">
              <w:rPr>
                <w:rFonts w:ascii="ＭＳ 明朝" w:hAnsi="ＭＳ 明朝" w:hint="eastAsia"/>
                <w:sz w:val="22"/>
                <w:szCs w:val="22"/>
              </w:rPr>
              <w:t>第１フェーズ</w:t>
            </w:r>
          </w:p>
        </w:tc>
        <w:tc>
          <w:tcPr>
            <w:tcW w:w="2376" w:type="dxa"/>
          </w:tcPr>
          <w:p w14:paraId="23CD83CB" w14:textId="77777777" w:rsidR="005D372A" w:rsidRPr="001D6D10" w:rsidRDefault="005D372A" w:rsidP="008B4B2B">
            <w:pPr>
              <w:rPr>
                <w:rFonts w:ascii="ＭＳ 明朝" w:hAnsi="ＭＳ 明朝"/>
                <w:sz w:val="22"/>
                <w:szCs w:val="22"/>
              </w:rPr>
            </w:pPr>
            <w:r w:rsidRPr="001D6D10">
              <w:rPr>
                <w:rFonts w:ascii="ＭＳ 明朝" w:hAnsi="ＭＳ 明朝" w:hint="eastAsia"/>
                <w:sz w:val="22"/>
                <w:szCs w:val="22"/>
              </w:rPr>
              <w:t>災害発生から</w:t>
            </w:r>
          </w:p>
          <w:p w14:paraId="1E45DA31" w14:textId="77777777" w:rsidR="005D372A" w:rsidRPr="001D6D10" w:rsidRDefault="005D372A" w:rsidP="008B4B2B">
            <w:pPr>
              <w:rPr>
                <w:rFonts w:ascii="ＭＳ 明朝" w:hAnsi="ＭＳ 明朝"/>
                <w:sz w:val="22"/>
                <w:szCs w:val="22"/>
              </w:rPr>
            </w:pPr>
            <w:r w:rsidRPr="001D6D10">
              <w:rPr>
                <w:rFonts w:ascii="ＭＳ 明朝" w:hAnsi="ＭＳ 明朝" w:hint="eastAsia"/>
                <w:sz w:val="22"/>
                <w:szCs w:val="22"/>
              </w:rPr>
              <w:t>発災後３時間まで</w:t>
            </w:r>
          </w:p>
        </w:tc>
        <w:tc>
          <w:tcPr>
            <w:tcW w:w="5953" w:type="dxa"/>
          </w:tcPr>
          <w:p w14:paraId="78D03C4D" w14:textId="77777777" w:rsidR="005D372A" w:rsidRPr="001D6D10" w:rsidRDefault="005D372A" w:rsidP="008B4B2B">
            <w:pPr>
              <w:ind w:firstLineChars="100" w:firstLine="221"/>
              <w:rPr>
                <w:rFonts w:ascii="ＭＳ 明朝" w:hAnsi="ＭＳ 明朝"/>
                <w:sz w:val="22"/>
                <w:szCs w:val="22"/>
              </w:rPr>
            </w:pPr>
            <w:r w:rsidRPr="001D6D10">
              <w:rPr>
                <w:rFonts w:ascii="ＭＳ 明朝" w:hAnsi="ＭＳ 明朝" w:hint="eastAsia"/>
                <w:sz w:val="22"/>
                <w:szCs w:val="22"/>
              </w:rPr>
              <w:t>発災後、迅速な体制の確立とともに、府民に対し避難情報など緊急情報の確実な発出と、応援機関に対する速やかな救助要請の伝達などを最優先する。</w:t>
            </w:r>
          </w:p>
          <w:p w14:paraId="67A64025" w14:textId="77777777" w:rsidR="005D372A" w:rsidRPr="001D6D10" w:rsidRDefault="005D372A" w:rsidP="008B4B2B">
            <w:pPr>
              <w:ind w:firstLineChars="100" w:firstLine="221"/>
              <w:rPr>
                <w:rFonts w:ascii="ＭＳ 明朝" w:hAnsi="ＭＳ 明朝"/>
                <w:sz w:val="22"/>
                <w:szCs w:val="22"/>
              </w:rPr>
            </w:pPr>
            <w:r w:rsidRPr="001D6D10">
              <w:rPr>
                <w:rFonts w:ascii="ＭＳ 明朝" w:hAnsi="ＭＳ 明朝" w:hint="eastAsia"/>
                <w:sz w:val="22"/>
                <w:szCs w:val="22"/>
              </w:rPr>
              <w:t>また、災害対策本部会議を通じて、全庁の情報共有と対応方針の統一を図る。</w:t>
            </w:r>
          </w:p>
        </w:tc>
      </w:tr>
      <w:tr w:rsidR="001D6D10" w:rsidRPr="001D6D10" w14:paraId="01089824" w14:textId="77777777" w:rsidTr="008B4B2B">
        <w:trPr>
          <w:jc w:val="center"/>
        </w:trPr>
        <w:tc>
          <w:tcPr>
            <w:tcW w:w="1560" w:type="dxa"/>
          </w:tcPr>
          <w:p w14:paraId="0CC5B33A" w14:textId="77777777" w:rsidR="005D372A" w:rsidRPr="001D6D10" w:rsidRDefault="005D372A" w:rsidP="008B4B2B">
            <w:pPr>
              <w:rPr>
                <w:rFonts w:ascii="ＭＳ 明朝" w:hAnsi="ＭＳ 明朝"/>
                <w:sz w:val="22"/>
                <w:szCs w:val="22"/>
              </w:rPr>
            </w:pPr>
            <w:r w:rsidRPr="001D6D10">
              <w:rPr>
                <w:rFonts w:ascii="ＭＳ 明朝" w:hAnsi="ＭＳ 明朝" w:hint="eastAsia"/>
                <w:sz w:val="22"/>
                <w:szCs w:val="22"/>
              </w:rPr>
              <w:t>第２フェーズ</w:t>
            </w:r>
          </w:p>
        </w:tc>
        <w:tc>
          <w:tcPr>
            <w:tcW w:w="2376" w:type="dxa"/>
          </w:tcPr>
          <w:p w14:paraId="177960C2" w14:textId="77777777" w:rsidR="005D372A" w:rsidRPr="001D6D10" w:rsidRDefault="005D372A" w:rsidP="008B4B2B">
            <w:pPr>
              <w:rPr>
                <w:rFonts w:ascii="ＭＳ 明朝" w:hAnsi="ＭＳ 明朝"/>
                <w:sz w:val="22"/>
                <w:szCs w:val="22"/>
              </w:rPr>
            </w:pPr>
            <w:r w:rsidRPr="001D6D10">
              <w:rPr>
                <w:rFonts w:ascii="ＭＳ 明朝" w:hAnsi="ＭＳ 明朝" w:hint="eastAsia"/>
                <w:sz w:val="22"/>
                <w:szCs w:val="22"/>
              </w:rPr>
              <w:t>発災後２４時間</w:t>
            </w:r>
          </w:p>
          <w:p w14:paraId="2681BE28" w14:textId="77777777" w:rsidR="005D372A" w:rsidRPr="001D6D10" w:rsidRDefault="005D372A" w:rsidP="008B4B2B">
            <w:pPr>
              <w:rPr>
                <w:rFonts w:ascii="ＭＳ 明朝" w:hAnsi="ＭＳ 明朝"/>
                <w:sz w:val="22"/>
                <w:szCs w:val="22"/>
              </w:rPr>
            </w:pPr>
            <w:r w:rsidRPr="001D6D10">
              <w:rPr>
                <w:rFonts w:ascii="ＭＳ 明朝" w:hAnsi="ＭＳ 明朝" w:hint="eastAsia"/>
                <w:sz w:val="22"/>
                <w:szCs w:val="22"/>
              </w:rPr>
              <w:t>まで</w:t>
            </w:r>
          </w:p>
        </w:tc>
        <w:tc>
          <w:tcPr>
            <w:tcW w:w="5953" w:type="dxa"/>
          </w:tcPr>
          <w:p w14:paraId="5A68C98A" w14:textId="77777777" w:rsidR="005D372A" w:rsidRPr="001D6D10" w:rsidRDefault="005D372A" w:rsidP="008B4B2B">
            <w:pPr>
              <w:ind w:firstLineChars="100" w:firstLine="221"/>
              <w:rPr>
                <w:rFonts w:ascii="ＭＳ 明朝" w:hAnsi="ＭＳ 明朝"/>
                <w:sz w:val="22"/>
                <w:szCs w:val="22"/>
              </w:rPr>
            </w:pPr>
            <w:r w:rsidRPr="001D6D10">
              <w:rPr>
                <w:rFonts w:ascii="ＭＳ 明朝" w:hAnsi="ＭＳ 明朝" w:hint="eastAsia"/>
                <w:sz w:val="22"/>
                <w:szCs w:val="22"/>
              </w:rPr>
              <w:t>迅速かつ円滑な救出・救助活動を行うため、人命確保を最優先した被害情報の収集と各機関への提供及び交通路等の確保と二次災害を防ぐ活動を実施する。</w:t>
            </w:r>
          </w:p>
        </w:tc>
      </w:tr>
      <w:tr w:rsidR="001D6D10" w:rsidRPr="001D6D10" w14:paraId="2FA58DDB" w14:textId="77777777" w:rsidTr="008B4B2B">
        <w:trPr>
          <w:jc w:val="center"/>
        </w:trPr>
        <w:tc>
          <w:tcPr>
            <w:tcW w:w="1560" w:type="dxa"/>
          </w:tcPr>
          <w:p w14:paraId="41C14ADC" w14:textId="77777777" w:rsidR="005D372A" w:rsidRPr="001D6D10" w:rsidRDefault="005D372A" w:rsidP="008B4B2B">
            <w:pPr>
              <w:rPr>
                <w:rFonts w:ascii="ＭＳ 明朝" w:hAnsi="ＭＳ 明朝"/>
                <w:sz w:val="22"/>
                <w:szCs w:val="22"/>
              </w:rPr>
            </w:pPr>
            <w:r w:rsidRPr="001D6D10">
              <w:rPr>
                <w:rFonts w:ascii="ＭＳ 明朝" w:hAnsi="ＭＳ 明朝" w:hint="eastAsia"/>
                <w:sz w:val="22"/>
                <w:szCs w:val="22"/>
              </w:rPr>
              <w:t>第３フェーズ</w:t>
            </w:r>
          </w:p>
        </w:tc>
        <w:tc>
          <w:tcPr>
            <w:tcW w:w="2376" w:type="dxa"/>
          </w:tcPr>
          <w:p w14:paraId="2F61B317" w14:textId="77777777" w:rsidR="005D372A" w:rsidRPr="001D6D10" w:rsidRDefault="005D372A" w:rsidP="008B4B2B">
            <w:pPr>
              <w:rPr>
                <w:rFonts w:ascii="ＭＳ 明朝" w:hAnsi="ＭＳ 明朝"/>
                <w:sz w:val="22"/>
                <w:szCs w:val="22"/>
              </w:rPr>
            </w:pPr>
            <w:r w:rsidRPr="001D6D10">
              <w:rPr>
                <w:rFonts w:ascii="ＭＳ 明朝" w:hAnsi="ＭＳ 明朝" w:hint="eastAsia"/>
                <w:sz w:val="22"/>
                <w:szCs w:val="22"/>
              </w:rPr>
              <w:t>発災後７２時間</w:t>
            </w:r>
          </w:p>
          <w:p w14:paraId="52203E24" w14:textId="77777777" w:rsidR="005D372A" w:rsidRPr="001D6D10" w:rsidRDefault="005D372A" w:rsidP="008B4B2B">
            <w:pPr>
              <w:rPr>
                <w:rFonts w:ascii="ＭＳ 明朝" w:hAnsi="ＭＳ 明朝"/>
                <w:sz w:val="22"/>
                <w:szCs w:val="22"/>
              </w:rPr>
            </w:pPr>
            <w:r w:rsidRPr="001D6D10">
              <w:rPr>
                <w:rFonts w:ascii="ＭＳ 明朝" w:hAnsi="ＭＳ 明朝" w:hint="eastAsia"/>
                <w:sz w:val="22"/>
                <w:szCs w:val="22"/>
              </w:rPr>
              <w:t>まで</w:t>
            </w:r>
          </w:p>
        </w:tc>
        <w:tc>
          <w:tcPr>
            <w:tcW w:w="5953" w:type="dxa"/>
          </w:tcPr>
          <w:p w14:paraId="39FCBB2D" w14:textId="77777777" w:rsidR="005D372A" w:rsidRPr="001D6D10" w:rsidRDefault="005D372A" w:rsidP="008B4B2B">
            <w:pPr>
              <w:ind w:firstLineChars="100" w:firstLine="221"/>
              <w:rPr>
                <w:rFonts w:ascii="ＭＳ 明朝" w:hAnsi="ＭＳ 明朝"/>
                <w:sz w:val="22"/>
                <w:szCs w:val="22"/>
              </w:rPr>
            </w:pPr>
            <w:r w:rsidRPr="001D6D10">
              <w:rPr>
                <w:rFonts w:ascii="ＭＳ 明朝" w:hAnsi="ＭＳ 明朝" w:hint="eastAsia"/>
                <w:sz w:val="22"/>
                <w:szCs w:val="22"/>
              </w:rPr>
              <w:t>発災後７２時間が経過すると生存率が急激に低下するため、確保しうるマンパワーを人命確保にかかわる業務に最大限投入する。</w:t>
            </w:r>
          </w:p>
        </w:tc>
      </w:tr>
      <w:tr w:rsidR="001D6D10" w:rsidRPr="001D6D10" w14:paraId="239B72E6" w14:textId="77777777" w:rsidTr="008B4B2B">
        <w:trPr>
          <w:jc w:val="center"/>
        </w:trPr>
        <w:tc>
          <w:tcPr>
            <w:tcW w:w="1560" w:type="dxa"/>
          </w:tcPr>
          <w:p w14:paraId="7D3FE299" w14:textId="77777777" w:rsidR="005D372A" w:rsidRPr="001D6D10" w:rsidRDefault="005D372A" w:rsidP="008B4B2B">
            <w:pPr>
              <w:rPr>
                <w:rFonts w:ascii="ＭＳ 明朝" w:hAnsi="ＭＳ 明朝"/>
                <w:sz w:val="22"/>
                <w:szCs w:val="22"/>
              </w:rPr>
            </w:pPr>
            <w:r w:rsidRPr="001D6D10">
              <w:rPr>
                <w:rFonts w:ascii="ＭＳ 明朝" w:hAnsi="ＭＳ 明朝" w:hint="eastAsia"/>
                <w:sz w:val="22"/>
                <w:szCs w:val="22"/>
              </w:rPr>
              <w:t>第４フェーズ</w:t>
            </w:r>
          </w:p>
        </w:tc>
        <w:tc>
          <w:tcPr>
            <w:tcW w:w="2376" w:type="dxa"/>
          </w:tcPr>
          <w:p w14:paraId="16E4F1D5" w14:textId="77777777" w:rsidR="005D372A" w:rsidRPr="001D6D10" w:rsidRDefault="005D372A" w:rsidP="008B4B2B">
            <w:pPr>
              <w:rPr>
                <w:rFonts w:ascii="ＭＳ 明朝" w:hAnsi="ＭＳ 明朝"/>
                <w:sz w:val="22"/>
                <w:szCs w:val="22"/>
              </w:rPr>
            </w:pPr>
            <w:r w:rsidRPr="001D6D10">
              <w:rPr>
                <w:rFonts w:ascii="ＭＳ 明朝" w:hAnsi="ＭＳ 明朝" w:hint="eastAsia"/>
                <w:sz w:val="22"/>
                <w:szCs w:val="22"/>
              </w:rPr>
              <w:t>発災後１週間まで</w:t>
            </w:r>
          </w:p>
        </w:tc>
        <w:tc>
          <w:tcPr>
            <w:tcW w:w="5953" w:type="dxa"/>
          </w:tcPr>
          <w:p w14:paraId="681E41BB" w14:textId="77777777" w:rsidR="005D372A" w:rsidRPr="001D6D10" w:rsidRDefault="005D372A" w:rsidP="008B4B2B">
            <w:pPr>
              <w:ind w:firstLineChars="100" w:firstLine="221"/>
              <w:rPr>
                <w:rFonts w:ascii="ＭＳ 明朝" w:hAnsi="ＭＳ 明朝"/>
                <w:sz w:val="22"/>
                <w:szCs w:val="22"/>
              </w:rPr>
            </w:pPr>
            <w:r w:rsidRPr="001D6D10">
              <w:rPr>
                <w:rFonts w:ascii="ＭＳ 明朝" w:hAnsi="ＭＳ 明朝" w:hint="eastAsia"/>
                <w:sz w:val="22"/>
                <w:szCs w:val="22"/>
              </w:rPr>
              <w:t>避難者は発災直後のショック状態を脱しつつも、多様なニーズの発生が予測される。</w:t>
            </w:r>
          </w:p>
          <w:p w14:paraId="6BCC9C77" w14:textId="77777777" w:rsidR="005D372A" w:rsidRPr="001D6D10" w:rsidRDefault="005D372A" w:rsidP="008B4B2B">
            <w:pPr>
              <w:ind w:firstLineChars="100" w:firstLine="221"/>
              <w:rPr>
                <w:rFonts w:ascii="ＭＳ 明朝" w:hAnsi="ＭＳ 明朝"/>
                <w:sz w:val="22"/>
                <w:szCs w:val="22"/>
              </w:rPr>
            </w:pPr>
            <w:r w:rsidRPr="001D6D10">
              <w:rPr>
                <w:rFonts w:ascii="ＭＳ 明朝" w:hAnsi="ＭＳ 明朝" w:hint="eastAsia"/>
                <w:sz w:val="22"/>
                <w:szCs w:val="22"/>
              </w:rPr>
              <w:t>避難者のＱＯＬ確保を優先業務とする。</w:t>
            </w:r>
          </w:p>
        </w:tc>
      </w:tr>
      <w:tr w:rsidR="001D6D10" w:rsidRPr="001D6D10" w14:paraId="58F47049" w14:textId="77777777" w:rsidTr="008B4B2B">
        <w:trPr>
          <w:jc w:val="center"/>
        </w:trPr>
        <w:tc>
          <w:tcPr>
            <w:tcW w:w="1560" w:type="dxa"/>
          </w:tcPr>
          <w:p w14:paraId="1D93AA2A" w14:textId="77777777" w:rsidR="005D372A" w:rsidRPr="001D6D10" w:rsidRDefault="005D372A" w:rsidP="008B4B2B">
            <w:pPr>
              <w:rPr>
                <w:rFonts w:ascii="ＭＳ 明朝" w:hAnsi="ＭＳ 明朝"/>
                <w:sz w:val="22"/>
                <w:szCs w:val="22"/>
              </w:rPr>
            </w:pPr>
            <w:r w:rsidRPr="001D6D10">
              <w:rPr>
                <w:rFonts w:ascii="ＭＳ 明朝" w:hAnsi="ＭＳ 明朝" w:hint="eastAsia"/>
                <w:sz w:val="22"/>
                <w:szCs w:val="22"/>
              </w:rPr>
              <w:t>第５フェーズ</w:t>
            </w:r>
          </w:p>
        </w:tc>
        <w:tc>
          <w:tcPr>
            <w:tcW w:w="2376" w:type="dxa"/>
          </w:tcPr>
          <w:p w14:paraId="44F3C11C" w14:textId="77777777" w:rsidR="005D372A" w:rsidRPr="001D6D10" w:rsidRDefault="005D372A" w:rsidP="008B4B2B">
            <w:pPr>
              <w:rPr>
                <w:rFonts w:ascii="ＭＳ 明朝" w:hAnsi="ＭＳ 明朝"/>
                <w:sz w:val="22"/>
                <w:szCs w:val="22"/>
              </w:rPr>
            </w:pPr>
            <w:r w:rsidRPr="001D6D10">
              <w:rPr>
                <w:rFonts w:ascii="ＭＳ 明朝" w:hAnsi="ＭＳ 明朝" w:hint="eastAsia"/>
                <w:sz w:val="22"/>
                <w:szCs w:val="22"/>
              </w:rPr>
              <w:t>発災後２週間まで</w:t>
            </w:r>
          </w:p>
        </w:tc>
        <w:tc>
          <w:tcPr>
            <w:tcW w:w="5953" w:type="dxa"/>
          </w:tcPr>
          <w:p w14:paraId="56441D52" w14:textId="77777777" w:rsidR="005D372A" w:rsidRPr="001D6D10" w:rsidRDefault="005D372A" w:rsidP="008B4B2B">
            <w:pPr>
              <w:ind w:firstLineChars="100" w:firstLine="221"/>
              <w:rPr>
                <w:rFonts w:ascii="ＭＳ 明朝" w:hAnsi="ＭＳ 明朝"/>
                <w:sz w:val="22"/>
                <w:szCs w:val="22"/>
              </w:rPr>
            </w:pPr>
            <w:r w:rsidRPr="001D6D10">
              <w:rPr>
                <w:rFonts w:ascii="ＭＳ 明朝" w:hAnsi="ＭＳ 明朝" w:hint="eastAsia"/>
                <w:sz w:val="22"/>
                <w:szCs w:val="22"/>
              </w:rPr>
              <w:t>ライフラインなど社会フローシステムの復旧が始まり、府民は生活の再建を意識し行動し始める。</w:t>
            </w:r>
          </w:p>
          <w:p w14:paraId="0E25BDF1" w14:textId="77777777" w:rsidR="005D372A" w:rsidRPr="001D6D10" w:rsidRDefault="005D372A" w:rsidP="008B4B2B">
            <w:pPr>
              <w:ind w:firstLineChars="100" w:firstLine="221"/>
              <w:rPr>
                <w:rFonts w:ascii="ＭＳ 明朝" w:hAnsi="ＭＳ 明朝"/>
                <w:sz w:val="22"/>
                <w:szCs w:val="22"/>
              </w:rPr>
            </w:pPr>
            <w:r w:rsidRPr="001D6D10">
              <w:rPr>
                <w:rFonts w:ascii="ＭＳ 明朝" w:hAnsi="ＭＳ 明朝" w:hint="eastAsia"/>
                <w:sz w:val="22"/>
                <w:szCs w:val="22"/>
              </w:rPr>
              <w:t>避難者のＱＯＬを優先しつつ、生活再建に向けた動きを開始する。</w:t>
            </w:r>
          </w:p>
        </w:tc>
      </w:tr>
      <w:tr w:rsidR="001D6D10" w:rsidRPr="001D6D10" w14:paraId="2BB76172" w14:textId="77777777" w:rsidTr="008B4B2B">
        <w:trPr>
          <w:trHeight w:val="1024"/>
          <w:jc w:val="center"/>
        </w:trPr>
        <w:tc>
          <w:tcPr>
            <w:tcW w:w="1560" w:type="dxa"/>
          </w:tcPr>
          <w:p w14:paraId="34848107" w14:textId="77777777" w:rsidR="005D372A" w:rsidRPr="001D6D10" w:rsidRDefault="005D372A" w:rsidP="008B4B2B">
            <w:pPr>
              <w:rPr>
                <w:rFonts w:ascii="ＭＳ 明朝" w:hAnsi="ＭＳ 明朝"/>
                <w:sz w:val="22"/>
                <w:szCs w:val="22"/>
              </w:rPr>
            </w:pPr>
            <w:r w:rsidRPr="001D6D10">
              <w:rPr>
                <w:rFonts w:ascii="ＭＳ 明朝" w:hAnsi="ＭＳ 明朝" w:hint="eastAsia"/>
                <w:sz w:val="22"/>
                <w:szCs w:val="22"/>
              </w:rPr>
              <w:t>第６フェーズ</w:t>
            </w:r>
          </w:p>
        </w:tc>
        <w:tc>
          <w:tcPr>
            <w:tcW w:w="2376" w:type="dxa"/>
          </w:tcPr>
          <w:p w14:paraId="5A56C195" w14:textId="77777777" w:rsidR="005D372A" w:rsidRPr="001D6D10" w:rsidRDefault="005D372A" w:rsidP="008B4B2B">
            <w:pPr>
              <w:rPr>
                <w:rFonts w:ascii="ＭＳ 明朝" w:hAnsi="ＭＳ 明朝"/>
                <w:sz w:val="22"/>
                <w:szCs w:val="22"/>
              </w:rPr>
            </w:pPr>
            <w:r w:rsidRPr="001D6D10">
              <w:rPr>
                <w:rFonts w:ascii="ＭＳ 明朝" w:hAnsi="ＭＳ 明朝" w:hint="eastAsia"/>
                <w:sz w:val="22"/>
                <w:szCs w:val="22"/>
              </w:rPr>
              <w:t>発災後１ヶ月まで</w:t>
            </w:r>
          </w:p>
        </w:tc>
        <w:tc>
          <w:tcPr>
            <w:tcW w:w="5953" w:type="dxa"/>
          </w:tcPr>
          <w:p w14:paraId="4D4D5B60" w14:textId="77777777" w:rsidR="005D372A" w:rsidRPr="001D6D10" w:rsidRDefault="005D372A" w:rsidP="008B4B2B">
            <w:pPr>
              <w:ind w:firstLineChars="100" w:firstLine="221"/>
              <w:rPr>
                <w:rFonts w:ascii="ＭＳ 明朝" w:hAnsi="ＭＳ 明朝"/>
                <w:sz w:val="22"/>
                <w:szCs w:val="22"/>
              </w:rPr>
            </w:pPr>
            <w:r w:rsidRPr="001D6D10">
              <w:rPr>
                <w:rFonts w:ascii="ＭＳ 明朝" w:hAnsi="ＭＳ 明朝" w:hint="eastAsia"/>
                <w:sz w:val="22"/>
                <w:szCs w:val="22"/>
              </w:rPr>
              <w:t>災害発生後の非常体制から復旧・復興に向けた体制に変更する時期となる。応急対策業務は概ねこの時期までに完了させる。以降、中長期的視野で復旧・復興を進めていく。</w:t>
            </w:r>
          </w:p>
        </w:tc>
      </w:tr>
    </w:tbl>
    <w:p w14:paraId="2162E477" w14:textId="1821B227" w:rsidR="0052327E" w:rsidRPr="002C01FF" w:rsidRDefault="00C90DAF" w:rsidP="0052327E">
      <w:pPr>
        <w:ind w:leftChars="470" w:left="992" w:rightChars="-41" w:right="-87" w:firstLineChars="50" w:firstLine="111"/>
        <w:rPr>
          <w:rFonts w:ascii="ＭＳ 明朝" w:hAnsi="ＭＳ 明朝"/>
          <w:sz w:val="22"/>
          <w:szCs w:val="22"/>
        </w:rPr>
      </w:pPr>
      <w:r w:rsidRPr="002C01FF">
        <w:rPr>
          <w:rFonts w:ascii="ＭＳ 明朝" w:hAnsi="ＭＳ 明朝" w:hint="eastAsia"/>
          <w:sz w:val="22"/>
          <w:szCs w:val="22"/>
        </w:rPr>
        <w:t>また、災害が発生する可能性が相対的に高まっている南海トラフ地震臨時情報が発表された場合の対応についても整理する。</w:t>
      </w:r>
    </w:p>
    <w:p w14:paraId="1C3088FB" w14:textId="77777777" w:rsidR="005D372A" w:rsidRPr="001D6D10" w:rsidRDefault="005D372A" w:rsidP="005D372A">
      <w:pPr>
        <w:rPr>
          <w:rFonts w:ascii="ＭＳ 明朝" w:hAnsi="ＭＳ 明朝"/>
          <w:sz w:val="22"/>
          <w:szCs w:val="22"/>
        </w:rPr>
      </w:pPr>
      <w:r w:rsidRPr="001D6D10">
        <w:rPr>
          <w:rFonts w:ascii="ＭＳ ゴシック" w:eastAsia="ＭＳ ゴシック" w:hAnsi="ＭＳ ゴシック" w:hint="eastAsia"/>
          <w:sz w:val="24"/>
        </w:rPr>
        <w:lastRenderedPageBreak/>
        <w:t xml:space="preserve">　</w:t>
      </w:r>
      <w:r w:rsidRPr="001D6D10">
        <w:rPr>
          <w:rFonts w:ascii="ＭＳ 明朝" w:hAnsi="ＭＳ 明朝" w:hint="eastAsia"/>
          <w:sz w:val="22"/>
          <w:szCs w:val="22"/>
        </w:rPr>
        <w:t>(4)各部局の主な応急対策業務</w:t>
      </w:r>
    </w:p>
    <w:p w14:paraId="0D03B943" w14:textId="77777777" w:rsidR="005D372A" w:rsidRPr="001D6D10" w:rsidRDefault="005D372A" w:rsidP="005D372A">
      <w:pPr>
        <w:ind w:firstLineChars="650" w:firstLine="1437"/>
        <w:rPr>
          <w:rFonts w:ascii="ＭＳ 明朝" w:hAnsi="ＭＳ 明朝"/>
          <w:sz w:val="22"/>
          <w:szCs w:val="22"/>
        </w:rPr>
      </w:pPr>
      <w:r w:rsidRPr="001D6D10">
        <w:rPr>
          <w:rFonts w:ascii="ＭＳ 明朝" w:hAnsi="ＭＳ 明朝" w:hint="eastAsia"/>
          <w:sz w:val="22"/>
          <w:szCs w:val="22"/>
        </w:rPr>
        <w:t>※時間は目安であり、状況に応じて、臨機応変に対応する。</w:t>
      </w:r>
    </w:p>
    <w:p w14:paraId="62E6FC08" w14:textId="2693BCBF" w:rsidR="005D372A" w:rsidRDefault="005D372A" w:rsidP="005D372A">
      <w:pPr>
        <w:pStyle w:val="af4"/>
        <w:ind w:leftChars="0" w:left="0"/>
        <w:rPr>
          <w:rFonts w:ascii="ＭＳ ゴシック" w:eastAsia="ＭＳ ゴシック" w:hAnsi="ＭＳ ゴシック"/>
          <w:szCs w:val="21"/>
        </w:rPr>
      </w:pPr>
      <w:r w:rsidRPr="001D6D10">
        <w:rPr>
          <w:rFonts w:ascii="ＭＳ ゴシック" w:eastAsia="ＭＳ ゴシック" w:hAnsi="ＭＳ ゴシック" w:hint="eastAsia"/>
          <w:szCs w:val="21"/>
        </w:rPr>
        <w:t>①災害対策本部事務局（危機管理室ほか）</w:t>
      </w:r>
    </w:p>
    <w:p w14:paraId="0CBCBC50" w14:textId="36A5615A" w:rsidR="0024403D" w:rsidRPr="002C01FF" w:rsidRDefault="00D7249D" w:rsidP="005D372A">
      <w:pPr>
        <w:pStyle w:val="af4"/>
        <w:ind w:leftChars="0" w:left="0"/>
        <w:rPr>
          <w:rFonts w:ascii="ＭＳ ゴシック" w:eastAsia="ＭＳ ゴシック" w:hAnsi="ＭＳ ゴシック"/>
          <w:szCs w:val="21"/>
        </w:rPr>
      </w:pPr>
      <w:r w:rsidRPr="002C01FF">
        <w:rPr>
          <w:rFonts w:ascii="ＭＳ ゴシック" w:eastAsia="ＭＳ ゴシック" w:hAnsi="ＭＳ ゴシック" w:hint="eastAsia"/>
          <w:szCs w:val="21"/>
        </w:rPr>
        <w:t>＜</w:t>
      </w:r>
      <w:r w:rsidR="00DB5FFC" w:rsidRPr="002C01FF">
        <w:rPr>
          <w:rFonts w:ascii="ＭＳ ゴシック" w:eastAsia="ＭＳ ゴシック" w:hAnsi="ＭＳ ゴシック" w:hint="eastAsia"/>
          <w:szCs w:val="21"/>
        </w:rPr>
        <w:t>災害発生時</w:t>
      </w:r>
      <w:r w:rsidRPr="002C01FF">
        <w:rPr>
          <w:rFonts w:ascii="ＭＳ ゴシック" w:eastAsia="ＭＳ ゴシック" w:hAnsi="ＭＳ ゴシック" w:hint="eastAsia"/>
          <w:szCs w:val="21"/>
        </w:rPr>
        <w:t>＞</w:t>
      </w:r>
    </w:p>
    <w:tbl>
      <w:tblPr>
        <w:tblpPr w:leftFromText="142" w:rightFromText="142" w:vertAnchor="text" w:tblpXSpec="center" w:tblpY="1"/>
        <w:tblOverlap w:val="neve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96"/>
        <w:gridCol w:w="7138"/>
      </w:tblGrid>
      <w:tr w:rsidR="001D6D10" w:rsidRPr="001D6D10" w14:paraId="3650CAA0" w14:textId="77777777" w:rsidTr="006A3D02">
        <w:trPr>
          <w:jc w:val="center"/>
        </w:trPr>
        <w:tc>
          <w:tcPr>
            <w:tcW w:w="1696" w:type="dxa"/>
            <w:tcBorders>
              <w:bottom w:val="single" w:sz="4" w:space="0" w:color="auto"/>
            </w:tcBorders>
            <w:shd w:val="clear" w:color="auto" w:fill="BFBFBF"/>
          </w:tcPr>
          <w:p w14:paraId="525F9DB1" w14:textId="77777777" w:rsidR="005D372A" w:rsidRPr="001D6D10" w:rsidRDefault="005D372A" w:rsidP="008B4B2B">
            <w:pPr>
              <w:jc w:val="center"/>
              <w:rPr>
                <w:rFonts w:ascii="ＭＳ 明朝" w:hAnsi="ＭＳ 明朝"/>
                <w:szCs w:val="21"/>
              </w:rPr>
            </w:pPr>
            <w:r w:rsidRPr="001D6D10">
              <w:rPr>
                <w:rFonts w:ascii="ＭＳ 明朝" w:hAnsi="ＭＳ 明朝" w:hint="eastAsia"/>
                <w:szCs w:val="21"/>
              </w:rPr>
              <w:t>フェーズ</w:t>
            </w:r>
          </w:p>
        </w:tc>
        <w:tc>
          <w:tcPr>
            <w:tcW w:w="7138" w:type="dxa"/>
            <w:tcBorders>
              <w:bottom w:val="single" w:sz="4" w:space="0" w:color="auto"/>
            </w:tcBorders>
            <w:shd w:val="clear" w:color="auto" w:fill="BFBFBF"/>
          </w:tcPr>
          <w:p w14:paraId="39316086" w14:textId="77777777" w:rsidR="005D372A" w:rsidRPr="001D6D10" w:rsidRDefault="005D372A" w:rsidP="008B4B2B">
            <w:pPr>
              <w:jc w:val="center"/>
              <w:rPr>
                <w:rFonts w:ascii="ＭＳ 明朝" w:hAnsi="ＭＳ 明朝"/>
                <w:szCs w:val="21"/>
              </w:rPr>
            </w:pPr>
            <w:r w:rsidRPr="001D6D10">
              <w:rPr>
                <w:rFonts w:ascii="ＭＳ 明朝" w:hAnsi="ＭＳ 明朝" w:hint="eastAsia"/>
                <w:szCs w:val="21"/>
              </w:rPr>
              <w:t>主な応急対策業務</w:t>
            </w:r>
          </w:p>
        </w:tc>
      </w:tr>
      <w:tr w:rsidR="001D6D10" w:rsidRPr="001D6D10" w14:paraId="0854C562" w14:textId="77777777" w:rsidTr="006A3D02">
        <w:trPr>
          <w:jc w:val="center"/>
        </w:trPr>
        <w:tc>
          <w:tcPr>
            <w:tcW w:w="1696" w:type="dxa"/>
          </w:tcPr>
          <w:p w14:paraId="547A1CB6" w14:textId="77777777" w:rsidR="005D372A" w:rsidRPr="001D6D10" w:rsidRDefault="005D372A" w:rsidP="008B4B2B">
            <w:pPr>
              <w:rPr>
                <w:rFonts w:ascii="ＭＳ 明朝" w:hAnsi="ＭＳ 明朝"/>
                <w:szCs w:val="21"/>
              </w:rPr>
            </w:pPr>
            <w:r w:rsidRPr="001D6D10">
              <w:rPr>
                <w:rFonts w:ascii="ＭＳ 明朝" w:hAnsi="ＭＳ 明朝" w:hint="eastAsia"/>
                <w:szCs w:val="21"/>
              </w:rPr>
              <w:t>第1フェーズ</w:t>
            </w:r>
          </w:p>
          <w:p w14:paraId="6BAC61FC" w14:textId="77777777" w:rsidR="005D372A" w:rsidRPr="001D6D10" w:rsidRDefault="005D372A" w:rsidP="008B4B2B">
            <w:pPr>
              <w:rPr>
                <w:rFonts w:ascii="ＭＳ 明朝" w:hAnsi="ＭＳ 明朝"/>
                <w:szCs w:val="21"/>
              </w:rPr>
            </w:pPr>
            <w:r w:rsidRPr="001D6D10">
              <w:rPr>
                <w:rFonts w:ascii="ＭＳ 明朝" w:hAnsi="ＭＳ 明朝" w:hint="eastAsia"/>
                <w:szCs w:val="21"/>
              </w:rPr>
              <w:t>(3時間まで)</w:t>
            </w:r>
          </w:p>
          <w:p w14:paraId="4F37E1A7" w14:textId="77777777" w:rsidR="005D372A" w:rsidRPr="001D6D10" w:rsidRDefault="005D372A" w:rsidP="008B4B2B">
            <w:pPr>
              <w:rPr>
                <w:rFonts w:ascii="ＭＳ 明朝" w:hAnsi="ＭＳ 明朝"/>
                <w:szCs w:val="21"/>
              </w:rPr>
            </w:pPr>
          </w:p>
        </w:tc>
        <w:tc>
          <w:tcPr>
            <w:tcW w:w="7138" w:type="dxa"/>
          </w:tcPr>
          <w:p w14:paraId="2DD8AD18" w14:textId="77777777" w:rsidR="005D372A" w:rsidRPr="001D6D10" w:rsidRDefault="005D372A" w:rsidP="002642D1">
            <w:pPr>
              <w:ind w:left="211" w:hangingChars="100" w:hanging="211"/>
              <w:rPr>
                <w:rFonts w:ascii="ＭＳ 明朝" w:hAnsi="ＭＳ 明朝"/>
                <w:szCs w:val="21"/>
              </w:rPr>
            </w:pPr>
            <w:r w:rsidRPr="001D6D10">
              <w:rPr>
                <w:rFonts w:ascii="ＭＳ 明朝" w:hAnsi="ＭＳ 明朝" w:hint="eastAsia"/>
                <w:szCs w:val="21"/>
              </w:rPr>
              <w:t>○初動対応、体制の確立(自動設置以外の場合、各部連絡責任者を通じて連絡)</w:t>
            </w:r>
          </w:p>
          <w:p w14:paraId="6C753AFF" w14:textId="77777777" w:rsidR="005D372A" w:rsidRPr="001D6D10" w:rsidRDefault="005D372A" w:rsidP="008B4B2B">
            <w:pPr>
              <w:rPr>
                <w:rFonts w:ascii="ＭＳ 明朝" w:hAnsi="ＭＳ 明朝"/>
                <w:szCs w:val="21"/>
              </w:rPr>
            </w:pPr>
            <w:r w:rsidRPr="001D6D10">
              <w:rPr>
                <w:rFonts w:ascii="ＭＳ 明朝" w:hAnsi="ＭＳ 明朝" w:hint="eastAsia"/>
                <w:szCs w:val="21"/>
              </w:rPr>
              <w:t>○災害対策本部・地域連絡部の設置、運営開始</w:t>
            </w:r>
          </w:p>
          <w:p w14:paraId="68653B33" w14:textId="77777777" w:rsidR="005D372A" w:rsidRPr="001D6D10" w:rsidRDefault="005D372A" w:rsidP="008B4B2B">
            <w:pPr>
              <w:rPr>
                <w:rFonts w:ascii="ＭＳ 明朝" w:hAnsi="ＭＳ 明朝"/>
                <w:szCs w:val="21"/>
              </w:rPr>
            </w:pPr>
            <w:r w:rsidRPr="001D6D10">
              <w:rPr>
                <w:rFonts w:ascii="ＭＳ 明朝" w:hAnsi="ＭＳ 明朝" w:hint="eastAsia"/>
                <w:szCs w:val="21"/>
              </w:rPr>
              <w:t>○各地域連絡部、各市町村との連絡調整</w:t>
            </w:r>
          </w:p>
          <w:p w14:paraId="0E9D0965" w14:textId="77777777" w:rsidR="005D372A" w:rsidRPr="001D6D10" w:rsidRDefault="005D372A" w:rsidP="008B4B2B">
            <w:pPr>
              <w:rPr>
                <w:rFonts w:ascii="ＭＳ 明朝" w:hAnsi="ＭＳ 明朝"/>
                <w:szCs w:val="21"/>
              </w:rPr>
            </w:pPr>
            <w:r w:rsidRPr="001D6D10">
              <w:rPr>
                <w:rFonts w:ascii="ＭＳ 明朝" w:hAnsi="ＭＳ 明朝" w:hint="eastAsia"/>
                <w:szCs w:val="21"/>
              </w:rPr>
              <w:t>○避難情報等の発出確認、伝達</w:t>
            </w:r>
          </w:p>
          <w:p w14:paraId="397E1074" w14:textId="77777777" w:rsidR="005D372A" w:rsidRPr="001D6D10" w:rsidRDefault="005D372A" w:rsidP="008B4B2B">
            <w:pPr>
              <w:rPr>
                <w:rFonts w:ascii="ＭＳ 明朝" w:hAnsi="ＭＳ 明朝"/>
                <w:szCs w:val="21"/>
              </w:rPr>
            </w:pPr>
            <w:r w:rsidRPr="001D6D10">
              <w:rPr>
                <w:rFonts w:ascii="ＭＳ 明朝" w:hAnsi="ＭＳ 明朝" w:hint="eastAsia"/>
                <w:szCs w:val="21"/>
              </w:rPr>
              <w:t>○被害情報の収集・分析、状況地図の作成</w:t>
            </w:r>
          </w:p>
          <w:p w14:paraId="344A04CA" w14:textId="77777777" w:rsidR="005D372A" w:rsidRPr="001D6D10" w:rsidRDefault="005D372A" w:rsidP="008B4B2B">
            <w:pPr>
              <w:rPr>
                <w:rFonts w:ascii="ＭＳ 明朝" w:hAnsi="ＭＳ 明朝"/>
                <w:szCs w:val="21"/>
              </w:rPr>
            </w:pPr>
            <w:r w:rsidRPr="001D6D10">
              <w:rPr>
                <w:rFonts w:ascii="ＭＳ 明朝" w:hAnsi="ＭＳ 明朝" w:hint="eastAsia"/>
                <w:szCs w:val="21"/>
              </w:rPr>
              <w:t>○自衛隊、緊急消防援助隊等防災関係機関への派遣要請</w:t>
            </w:r>
          </w:p>
          <w:p w14:paraId="16A67A46" w14:textId="77777777" w:rsidR="005D372A" w:rsidRPr="001D6D10" w:rsidRDefault="005D372A" w:rsidP="008B4B2B">
            <w:pPr>
              <w:rPr>
                <w:rFonts w:ascii="ＭＳ 明朝" w:hAnsi="ＭＳ 明朝"/>
                <w:szCs w:val="21"/>
              </w:rPr>
            </w:pPr>
            <w:r w:rsidRPr="001D6D10">
              <w:rPr>
                <w:rFonts w:ascii="ＭＳ 明朝" w:hAnsi="ＭＳ 明朝" w:hint="eastAsia"/>
                <w:szCs w:val="21"/>
              </w:rPr>
              <w:t>○プレスセンター開設（報道発表開始）</w:t>
            </w:r>
          </w:p>
          <w:p w14:paraId="0BAD8E73" w14:textId="77777777" w:rsidR="005D372A" w:rsidRPr="001D6D10" w:rsidRDefault="005D372A" w:rsidP="008B4B2B">
            <w:pPr>
              <w:rPr>
                <w:rFonts w:ascii="ＭＳ 明朝" w:hAnsi="ＭＳ 明朝"/>
                <w:szCs w:val="21"/>
              </w:rPr>
            </w:pPr>
            <w:r w:rsidRPr="001D6D10">
              <w:rPr>
                <w:rFonts w:ascii="ＭＳ 明朝" w:hAnsi="ＭＳ 明朝" w:hint="eastAsia"/>
                <w:szCs w:val="21"/>
              </w:rPr>
              <w:t>○府民向け広報の開始（知事メッセージなど）</w:t>
            </w:r>
          </w:p>
          <w:p w14:paraId="1C3E7C0A" w14:textId="77777777" w:rsidR="005D372A" w:rsidRPr="001D6D10" w:rsidRDefault="005D372A" w:rsidP="008B4B2B">
            <w:pPr>
              <w:rPr>
                <w:rFonts w:ascii="ＭＳ 明朝" w:hAnsi="ＭＳ 明朝"/>
                <w:szCs w:val="21"/>
              </w:rPr>
            </w:pPr>
            <w:r w:rsidRPr="001D6D10">
              <w:rPr>
                <w:rFonts w:ascii="ＭＳ 明朝" w:hAnsi="ＭＳ 明朝" w:hint="eastAsia"/>
                <w:szCs w:val="21"/>
              </w:rPr>
              <w:t>○災害応急対策の検討、○関西広域連合、国等との連絡調整</w:t>
            </w:r>
          </w:p>
          <w:p w14:paraId="24295032" w14:textId="77777777" w:rsidR="005D372A" w:rsidRPr="001D6D10" w:rsidRDefault="005D372A" w:rsidP="008B4B2B">
            <w:pPr>
              <w:rPr>
                <w:rFonts w:ascii="ＭＳ 明朝" w:hAnsi="ＭＳ 明朝"/>
                <w:szCs w:val="21"/>
              </w:rPr>
            </w:pPr>
            <w:r w:rsidRPr="001D6D10">
              <w:rPr>
                <w:rFonts w:ascii="ＭＳ 明朝" w:hAnsi="ＭＳ 明朝" w:hint="eastAsia"/>
                <w:szCs w:val="21"/>
              </w:rPr>
              <w:t>○災害救助法の適用、○庁内各部局との連絡調整（ＢＣＰ関連業務など）</w:t>
            </w:r>
          </w:p>
          <w:p w14:paraId="5FF6495B" w14:textId="77777777" w:rsidR="005D372A" w:rsidRPr="001D6D10" w:rsidRDefault="005D372A" w:rsidP="008B4B2B">
            <w:pPr>
              <w:rPr>
                <w:rFonts w:ascii="ＭＳ 明朝" w:hAnsi="ＭＳ 明朝"/>
                <w:szCs w:val="21"/>
              </w:rPr>
            </w:pPr>
            <w:r w:rsidRPr="001D6D10">
              <w:rPr>
                <w:rFonts w:ascii="ＭＳ 明朝" w:hAnsi="ＭＳ 明朝" w:hint="eastAsia"/>
                <w:szCs w:val="21"/>
              </w:rPr>
              <w:t>○消防学校の被害状況の確認、○職員・来庁者の救助・搬送【各所属】</w:t>
            </w:r>
          </w:p>
          <w:p w14:paraId="066914EF" w14:textId="77777777" w:rsidR="005D372A" w:rsidRPr="001D6D10" w:rsidRDefault="005D372A" w:rsidP="008B4B2B">
            <w:pPr>
              <w:rPr>
                <w:rFonts w:ascii="ＭＳ 明朝" w:hAnsi="ＭＳ 明朝"/>
                <w:szCs w:val="21"/>
              </w:rPr>
            </w:pPr>
            <w:r w:rsidRPr="001D6D10">
              <w:rPr>
                <w:rFonts w:ascii="ＭＳ 明朝" w:hAnsi="ＭＳ 明朝" w:hint="eastAsia"/>
                <w:szCs w:val="21"/>
              </w:rPr>
              <w:t>〇先遣隊及び現地情報連絡員（リエゾン）の派遣の検討</w:t>
            </w:r>
          </w:p>
        </w:tc>
      </w:tr>
      <w:tr w:rsidR="001D6D10" w:rsidRPr="001D6D10" w14:paraId="0AB0E1D2" w14:textId="77777777" w:rsidTr="006A3D02">
        <w:trPr>
          <w:jc w:val="center"/>
        </w:trPr>
        <w:tc>
          <w:tcPr>
            <w:tcW w:w="1696" w:type="dxa"/>
          </w:tcPr>
          <w:p w14:paraId="3724E8B0" w14:textId="77777777" w:rsidR="005D372A" w:rsidRPr="001D6D10" w:rsidRDefault="005D372A" w:rsidP="008B4B2B">
            <w:pPr>
              <w:rPr>
                <w:rFonts w:ascii="ＭＳ 明朝" w:hAnsi="ＭＳ 明朝"/>
                <w:szCs w:val="21"/>
              </w:rPr>
            </w:pPr>
            <w:r w:rsidRPr="001D6D10">
              <w:rPr>
                <w:rFonts w:ascii="ＭＳ 明朝" w:hAnsi="ＭＳ 明朝" w:hint="eastAsia"/>
                <w:szCs w:val="21"/>
              </w:rPr>
              <w:t>第2フェーズ</w:t>
            </w:r>
          </w:p>
          <w:p w14:paraId="1DFF8899" w14:textId="733AAEF4" w:rsidR="005D372A" w:rsidRPr="001D6D10" w:rsidRDefault="005D372A" w:rsidP="008B4B2B">
            <w:pPr>
              <w:rPr>
                <w:rFonts w:ascii="ＭＳ 明朝" w:hAnsi="ＭＳ 明朝"/>
                <w:szCs w:val="21"/>
              </w:rPr>
            </w:pPr>
            <w:r w:rsidRPr="001D6D10">
              <w:rPr>
                <w:rFonts w:ascii="ＭＳ 明朝" w:hAnsi="ＭＳ 明朝" w:hint="eastAsia"/>
                <w:szCs w:val="21"/>
              </w:rPr>
              <w:t>(</w:t>
            </w:r>
            <w:r w:rsidR="006A3D02">
              <w:rPr>
                <w:rFonts w:ascii="ＭＳ 明朝" w:hAnsi="ＭＳ 明朝" w:hint="eastAsia"/>
                <w:szCs w:val="21"/>
              </w:rPr>
              <w:t>24</w:t>
            </w:r>
            <w:r w:rsidRPr="001D6D10">
              <w:rPr>
                <w:rFonts w:ascii="ＭＳ 明朝" w:hAnsi="ＭＳ 明朝" w:hint="eastAsia"/>
                <w:szCs w:val="21"/>
              </w:rPr>
              <w:t>時間まで)</w:t>
            </w:r>
          </w:p>
        </w:tc>
        <w:tc>
          <w:tcPr>
            <w:tcW w:w="7138" w:type="dxa"/>
          </w:tcPr>
          <w:p w14:paraId="6F281532" w14:textId="77777777" w:rsidR="005D372A" w:rsidRPr="001D6D10" w:rsidRDefault="005D372A" w:rsidP="008B4B2B">
            <w:pPr>
              <w:rPr>
                <w:rFonts w:ascii="ＭＳ 明朝" w:hAnsi="ＭＳ 明朝"/>
                <w:szCs w:val="21"/>
              </w:rPr>
            </w:pPr>
            <w:r w:rsidRPr="001D6D10">
              <w:rPr>
                <w:rFonts w:ascii="ＭＳ 明朝" w:hAnsi="ＭＳ 明朝" w:hint="eastAsia"/>
                <w:szCs w:val="21"/>
              </w:rPr>
              <w:t>○救出・救助及び被害情報の収集・整理</w:t>
            </w:r>
          </w:p>
          <w:p w14:paraId="6FC2012B" w14:textId="77777777" w:rsidR="005D372A" w:rsidRPr="001D6D10" w:rsidRDefault="005D372A" w:rsidP="008B4B2B">
            <w:pPr>
              <w:rPr>
                <w:rFonts w:ascii="ＭＳ 明朝" w:hAnsi="ＭＳ 明朝"/>
                <w:szCs w:val="21"/>
              </w:rPr>
            </w:pPr>
            <w:r w:rsidRPr="001D6D10">
              <w:rPr>
                <w:rFonts w:ascii="ＭＳ 明朝" w:hAnsi="ＭＳ 明朝" w:hint="eastAsia"/>
                <w:szCs w:val="21"/>
              </w:rPr>
              <w:t>○広域防災連絡会議の設置</w:t>
            </w:r>
          </w:p>
          <w:p w14:paraId="769A2628" w14:textId="704566A4" w:rsidR="005D372A" w:rsidRPr="001D6D10" w:rsidRDefault="005D372A" w:rsidP="008B4B2B">
            <w:pPr>
              <w:rPr>
                <w:rFonts w:ascii="ＭＳ 明朝" w:hAnsi="ＭＳ 明朝"/>
                <w:szCs w:val="21"/>
              </w:rPr>
            </w:pPr>
            <w:r w:rsidRPr="001D6D10">
              <w:rPr>
                <w:rFonts w:ascii="ＭＳ 明朝" w:hAnsi="ＭＳ 明朝" w:hint="eastAsia"/>
                <w:szCs w:val="21"/>
              </w:rPr>
              <w:t>○広域防災拠点、後方支援活動拠点の運営開始</w:t>
            </w:r>
          </w:p>
          <w:p w14:paraId="317F9006" w14:textId="7288F28E" w:rsidR="001A3FC3" w:rsidRPr="001D6D10" w:rsidRDefault="001A3FC3" w:rsidP="008B4B2B">
            <w:pPr>
              <w:rPr>
                <w:rFonts w:ascii="ＭＳ 明朝" w:hAnsi="ＭＳ 明朝"/>
                <w:szCs w:val="21"/>
              </w:rPr>
            </w:pPr>
            <w:r w:rsidRPr="001D6D10">
              <w:rPr>
                <w:rFonts w:ascii="ＭＳ 明朝" w:hAnsi="ＭＳ 明朝" w:hint="eastAsia"/>
                <w:szCs w:val="21"/>
              </w:rPr>
              <w:t>○支援物資の調達開始</w:t>
            </w:r>
          </w:p>
          <w:p w14:paraId="3BA1B3A0" w14:textId="56C21FA8" w:rsidR="001A3FC3" w:rsidRPr="001D6D10" w:rsidRDefault="001A3FC3" w:rsidP="008B4B2B">
            <w:pPr>
              <w:rPr>
                <w:rFonts w:ascii="ＭＳ 明朝" w:hAnsi="ＭＳ 明朝"/>
                <w:szCs w:val="21"/>
              </w:rPr>
            </w:pPr>
            <w:r w:rsidRPr="001D6D10">
              <w:rPr>
                <w:rFonts w:ascii="ＭＳ 明朝" w:hAnsi="ＭＳ 明朝" w:hint="eastAsia"/>
                <w:szCs w:val="21"/>
              </w:rPr>
              <w:t>○備蓄物資の拠出開始</w:t>
            </w:r>
          </w:p>
          <w:p w14:paraId="00B3BEF1" w14:textId="12B6C385" w:rsidR="007D79F6" w:rsidRPr="001D6D10" w:rsidRDefault="007D79F6" w:rsidP="008B4B2B">
            <w:pPr>
              <w:rPr>
                <w:rFonts w:ascii="ＭＳ 明朝" w:hAnsi="ＭＳ 明朝"/>
                <w:szCs w:val="21"/>
              </w:rPr>
            </w:pPr>
            <w:r w:rsidRPr="001D6D10">
              <w:rPr>
                <w:rFonts w:ascii="ＭＳ 明朝" w:hAnsi="ＭＳ 明朝" w:hint="eastAsia"/>
                <w:szCs w:val="21"/>
              </w:rPr>
              <w:t>○緊急通行車両確認標章交付業務</w:t>
            </w:r>
          </w:p>
        </w:tc>
      </w:tr>
      <w:tr w:rsidR="001D6D10" w:rsidRPr="001D6D10" w14:paraId="22C40F54" w14:textId="77777777" w:rsidTr="006A3D02">
        <w:trPr>
          <w:jc w:val="center"/>
        </w:trPr>
        <w:tc>
          <w:tcPr>
            <w:tcW w:w="1696" w:type="dxa"/>
          </w:tcPr>
          <w:p w14:paraId="3ED3E698" w14:textId="77777777" w:rsidR="005D372A" w:rsidRPr="001D6D10" w:rsidRDefault="005D372A" w:rsidP="008B4B2B">
            <w:pPr>
              <w:rPr>
                <w:rFonts w:ascii="ＭＳ 明朝" w:hAnsi="ＭＳ 明朝"/>
                <w:szCs w:val="21"/>
              </w:rPr>
            </w:pPr>
            <w:r w:rsidRPr="001D6D10">
              <w:rPr>
                <w:rFonts w:ascii="ＭＳ 明朝" w:hAnsi="ＭＳ 明朝" w:hint="eastAsia"/>
                <w:szCs w:val="21"/>
              </w:rPr>
              <w:t>第3フェーズ</w:t>
            </w:r>
          </w:p>
          <w:p w14:paraId="62422820" w14:textId="77777777" w:rsidR="005D372A" w:rsidRPr="001D6D10" w:rsidRDefault="005D372A" w:rsidP="008B4B2B">
            <w:pPr>
              <w:rPr>
                <w:rFonts w:ascii="ＭＳ 明朝" w:hAnsi="ＭＳ 明朝"/>
                <w:szCs w:val="21"/>
              </w:rPr>
            </w:pPr>
            <w:r w:rsidRPr="001D6D10">
              <w:rPr>
                <w:rFonts w:ascii="ＭＳ 明朝" w:hAnsi="ＭＳ 明朝" w:hint="eastAsia"/>
                <w:szCs w:val="21"/>
              </w:rPr>
              <w:t>(72時間まで)</w:t>
            </w:r>
          </w:p>
          <w:p w14:paraId="1F0A4020" w14:textId="77777777" w:rsidR="005D372A" w:rsidRPr="001D6D10" w:rsidRDefault="005D372A" w:rsidP="008B4B2B">
            <w:pPr>
              <w:rPr>
                <w:rFonts w:ascii="ＭＳ 明朝" w:hAnsi="ＭＳ 明朝"/>
                <w:szCs w:val="21"/>
              </w:rPr>
            </w:pPr>
          </w:p>
        </w:tc>
        <w:tc>
          <w:tcPr>
            <w:tcW w:w="7138" w:type="dxa"/>
          </w:tcPr>
          <w:p w14:paraId="19D885CD" w14:textId="77777777" w:rsidR="00916BEF" w:rsidRDefault="005D372A" w:rsidP="008B4B2B">
            <w:pPr>
              <w:rPr>
                <w:rFonts w:ascii="ＭＳ 明朝" w:hAnsi="ＭＳ 明朝"/>
                <w:szCs w:val="21"/>
              </w:rPr>
            </w:pPr>
            <w:r w:rsidRPr="001D6D10">
              <w:rPr>
                <w:rFonts w:ascii="ＭＳ 明朝" w:hAnsi="ＭＳ 明朝" w:hint="eastAsia"/>
                <w:szCs w:val="21"/>
              </w:rPr>
              <w:t>○機能喪失市町村への支援開始</w:t>
            </w:r>
          </w:p>
          <w:p w14:paraId="674ABFB3" w14:textId="16BF5D27" w:rsidR="005D372A" w:rsidRPr="001D6D10" w:rsidRDefault="005D372A" w:rsidP="008B4B2B">
            <w:pPr>
              <w:rPr>
                <w:rFonts w:ascii="ＭＳ 明朝" w:hAnsi="ＭＳ 明朝"/>
                <w:szCs w:val="21"/>
              </w:rPr>
            </w:pPr>
            <w:r w:rsidRPr="001D6D10">
              <w:rPr>
                <w:rFonts w:ascii="ＭＳ 明朝" w:hAnsi="ＭＳ 明朝" w:hint="eastAsia"/>
                <w:szCs w:val="21"/>
              </w:rPr>
              <w:t>○災害時緊急相談電話窓口の設置</w:t>
            </w:r>
          </w:p>
          <w:p w14:paraId="39A91915" w14:textId="0ACE383C" w:rsidR="005D372A" w:rsidRPr="001D6D10" w:rsidRDefault="005D372A" w:rsidP="008B4B2B">
            <w:pPr>
              <w:rPr>
                <w:rFonts w:ascii="ＭＳ 明朝" w:hAnsi="ＭＳ 明朝"/>
                <w:szCs w:val="21"/>
              </w:rPr>
            </w:pPr>
            <w:r w:rsidRPr="001D6D10">
              <w:rPr>
                <w:rFonts w:ascii="ＭＳ 明朝" w:hAnsi="ＭＳ 明朝" w:hint="eastAsia"/>
                <w:szCs w:val="21"/>
              </w:rPr>
              <w:t>○被災者支援に関する情報収集</w:t>
            </w:r>
          </w:p>
          <w:p w14:paraId="2734196A" w14:textId="77777777" w:rsidR="00D91900" w:rsidRPr="001D6D10" w:rsidRDefault="00D91900" w:rsidP="002642D1">
            <w:pPr>
              <w:ind w:left="422" w:hangingChars="200" w:hanging="422"/>
              <w:rPr>
                <w:rFonts w:ascii="ＭＳ 明朝" w:hAnsi="ＭＳ 明朝"/>
                <w:szCs w:val="21"/>
              </w:rPr>
            </w:pPr>
            <w:r w:rsidRPr="001D6D10">
              <w:rPr>
                <w:rFonts w:ascii="ＭＳ 明朝" w:hAnsi="ＭＳ 明朝" w:hint="eastAsia"/>
                <w:szCs w:val="21"/>
              </w:rPr>
              <w:t xml:space="preserve">　※安否不明者等の氏名等とりまとめ・救助機関（自衛隊・警察等）へ情報提供（可能な限り早期に）</w:t>
            </w:r>
          </w:p>
          <w:p w14:paraId="14BFC8BC" w14:textId="79373A3D" w:rsidR="005D372A" w:rsidRPr="001D6D10" w:rsidRDefault="005D372A" w:rsidP="008B4B2B">
            <w:pPr>
              <w:rPr>
                <w:rFonts w:ascii="ＭＳ 明朝" w:hAnsi="ＭＳ 明朝"/>
                <w:szCs w:val="21"/>
              </w:rPr>
            </w:pPr>
            <w:r w:rsidRPr="001D6D10">
              <w:rPr>
                <w:rFonts w:ascii="ＭＳ 明朝" w:hAnsi="ＭＳ 明朝" w:hint="eastAsia"/>
                <w:szCs w:val="21"/>
              </w:rPr>
              <w:t>○被災地域への物資輸送調整開始(安定供給に向けて)</w:t>
            </w:r>
          </w:p>
          <w:p w14:paraId="1C8483E1" w14:textId="03906E49" w:rsidR="005D372A" w:rsidRPr="001D6D10" w:rsidRDefault="005D372A" w:rsidP="008B4B2B">
            <w:pPr>
              <w:rPr>
                <w:rFonts w:ascii="ＭＳ 明朝" w:hAnsi="ＭＳ 明朝"/>
                <w:szCs w:val="21"/>
              </w:rPr>
            </w:pPr>
            <w:r w:rsidRPr="001D6D10">
              <w:rPr>
                <w:rFonts w:ascii="ＭＳ 明朝" w:hAnsi="ＭＳ 明朝" w:hint="eastAsia"/>
                <w:szCs w:val="21"/>
              </w:rPr>
              <w:t>○救援物資の受入れ開始</w:t>
            </w:r>
          </w:p>
        </w:tc>
      </w:tr>
      <w:tr w:rsidR="001D6D10" w:rsidRPr="001D6D10" w14:paraId="5ECCB4B0" w14:textId="77777777" w:rsidTr="006A3D02">
        <w:trPr>
          <w:jc w:val="center"/>
        </w:trPr>
        <w:tc>
          <w:tcPr>
            <w:tcW w:w="1696" w:type="dxa"/>
          </w:tcPr>
          <w:p w14:paraId="568CD305" w14:textId="77777777" w:rsidR="005D372A" w:rsidRPr="001D6D10" w:rsidRDefault="005D372A" w:rsidP="008B4B2B">
            <w:pPr>
              <w:rPr>
                <w:rFonts w:ascii="ＭＳ 明朝" w:hAnsi="ＭＳ 明朝"/>
                <w:szCs w:val="21"/>
              </w:rPr>
            </w:pPr>
            <w:r w:rsidRPr="001D6D10">
              <w:rPr>
                <w:rFonts w:ascii="ＭＳ 明朝" w:hAnsi="ＭＳ 明朝" w:hint="eastAsia"/>
                <w:szCs w:val="21"/>
              </w:rPr>
              <w:t>第4フェーズ</w:t>
            </w:r>
          </w:p>
          <w:p w14:paraId="738847EC" w14:textId="77777777" w:rsidR="005D372A" w:rsidRPr="001D6D10" w:rsidRDefault="005D372A" w:rsidP="008B4B2B">
            <w:pPr>
              <w:rPr>
                <w:rFonts w:ascii="ＭＳ 明朝" w:hAnsi="ＭＳ 明朝"/>
                <w:szCs w:val="21"/>
              </w:rPr>
            </w:pPr>
            <w:r w:rsidRPr="001D6D10">
              <w:rPr>
                <w:rFonts w:ascii="ＭＳ 明朝" w:hAnsi="ＭＳ 明朝" w:hint="eastAsia"/>
                <w:szCs w:val="21"/>
              </w:rPr>
              <w:t>(1週間まで)</w:t>
            </w:r>
          </w:p>
        </w:tc>
        <w:tc>
          <w:tcPr>
            <w:tcW w:w="7138" w:type="dxa"/>
          </w:tcPr>
          <w:p w14:paraId="4E3C1228" w14:textId="77777777" w:rsidR="005D372A" w:rsidRPr="001D6D10" w:rsidRDefault="005D372A" w:rsidP="008B4B2B">
            <w:pPr>
              <w:rPr>
                <w:rFonts w:ascii="ＭＳ 明朝" w:hAnsi="ＭＳ 明朝"/>
                <w:szCs w:val="21"/>
              </w:rPr>
            </w:pPr>
            <w:r w:rsidRPr="001D6D10">
              <w:rPr>
                <w:rFonts w:ascii="ＭＳ 明朝" w:hAnsi="ＭＳ 明朝" w:hint="eastAsia"/>
                <w:szCs w:val="21"/>
              </w:rPr>
              <w:t>○被害及び被災者状況の収集・整理</w:t>
            </w:r>
          </w:p>
          <w:p w14:paraId="7191783F" w14:textId="77777777" w:rsidR="005D372A" w:rsidRPr="001D6D10" w:rsidRDefault="005D372A" w:rsidP="008B4B2B">
            <w:pPr>
              <w:rPr>
                <w:rFonts w:ascii="ＭＳ 明朝" w:hAnsi="ＭＳ 明朝"/>
                <w:szCs w:val="21"/>
              </w:rPr>
            </w:pPr>
            <w:r w:rsidRPr="001D6D10">
              <w:rPr>
                <w:rFonts w:ascii="ＭＳ 明朝" w:hAnsi="ＭＳ 明朝" w:hint="eastAsia"/>
                <w:szCs w:val="21"/>
              </w:rPr>
              <w:t>○ボランティア活動に係る支援（災害派遣等従事車両の証明書発行など）</w:t>
            </w:r>
          </w:p>
          <w:p w14:paraId="74BF026B" w14:textId="77777777" w:rsidR="005D372A" w:rsidRPr="001D6D10" w:rsidRDefault="005D372A" w:rsidP="008B4B2B">
            <w:pPr>
              <w:rPr>
                <w:rFonts w:ascii="ＭＳ 明朝" w:hAnsi="ＭＳ 明朝"/>
                <w:szCs w:val="21"/>
              </w:rPr>
            </w:pPr>
            <w:r w:rsidRPr="001D6D10">
              <w:rPr>
                <w:rFonts w:ascii="ＭＳ 明朝" w:hAnsi="ＭＳ 明朝" w:hint="eastAsia"/>
                <w:szCs w:val="21"/>
              </w:rPr>
              <w:t>○被災者支援に係る総合調整（応急仮設住宅の建設調整など）</w:t>
            </w:r>
          </w:p>
        </w:tc>
      </w:tr>
      <w:tr w:rsidR="001D6D10" w:rsidRPr="001D6D10" w14:paraId="0093FEB6" w14:textId="77777777" w:rsidTr="006A3D02">
        <w:trPr>
          <w:jc w:val="center"/>
        </w:trPr>
        <w:tc>
          <w:tcPr>
            <w:tcW w:w="1696" w:type="dxa"/>
          </w:tcPr>
          <w:p w14:paraId="6E3C9A7A" w14:textId="77777777" w:rsidR="005D372A" w:rsidRPr="001D6D10" w:rsidRDefault="005D372A" w:rsidP="008B4B2B">
            <w:pPr>
              <w:rPr>
                <w:rFonts w:ascii="ＭＳ 明朝" w:hAnsi="ＭＳ 明朝"/>
                <w:szCs w:val="21"/>
              </w:rPr>
            </w:pPr>
            <w:r w:rsidRPr="001D6D10">
              <w:rPr>
                <w:rFonts w:ascii="ＭＳ 明朝" w:hAnsi="ＭＳ 明朝" w:hint="eastAsia"/>
                <w:szCs w:val="21"/>
              </w:rPr>
              <w:t>第5フェーズ</w:t>
            </w:r>
          </w:p>
          <w:p w14:paraId="25FF32A8" w14:textId="77777777" w:rsidR="005D372A" w:rsidRPr="001D6D10" w:rsidRDefault="005D372A" w:rsidP="008B4B2B">
            <w:pPr>
              <w:rPr>
                <w:rFonts w:ascii="ＭＳ 明朝" w:hAnsi="ＭＳ 明朝"/>
                <w:szCs w:val="21"/>
              </w:rPr>
            </w:pPr>
            <w:r w:rsidRPr="001D6D10">
              <w:rPr>
                <w:rFonts w:ascii="ＭＳ 明朝" w:hAnsi="ＭＳ 明朝" w:hint="eastAsia"/>
                <w:szCs w:val="21"/>
              </w:rPr>
              <w:t>(2週間まで)</w:t>
            </w:r>
          </w:p>
        </w:tc>
        <w:tc>
          <w:tcPr>
            <w:tcW w:w="7138" w:type="dxa"/>
          </w:tcPr>
          <w:p w14:paraId="5A57BAD6" w14:textId="77777777" w:rsidR="005D372A" w:rsidRDefault="005D372A" w:rsidP="008B4B2B">
            <w:pPr>
              <w:rPr>
                <w:rFonts w:ascii="ＭＳ 明朝" w:hAnsi="ＭＳ 明朝"/>
                <w:szCs w:val="21"/>
              </w:rPr>
            </w:pPr>
            <w:r w:rsidRPr="001D6D10">
              <w:rPr>
                <w:rFonts w:ascii="ＭＳ 明朝" w:hAnsi="ＭＳ 明朝" w:hint="eastAsia"/>
                <w:szCs w:val="21"/>
              </w:rPr>
              <w:t>○応急復旧活動に係る総合調整(インフラ復旧、災害廃棄物の広域処理など)</w:t>
            </w:r>
          </w:p>
          <w:p w14:paraId="268CBF4F" w14:textId="302F59AB" w:rsidR="006A3D02" w:rsidRPr="001D6D10" w:rsidRDefault="006A3D02" w:rsidP="008B4B2B">
            <w:pPr>
              <w:rPr>
                <w:rFonts w:ascii="ＭＳ 明朝" w:hAnsi="ＭＳ 明朝"/>
                <w:szCs w:val="21"/>
              </w:rPr>
            </w:pPr>
          </w:p>
        </w:tc>
      </w:tr>
      <w:tr w:rsidR="001D6D10" w:rsidRPr="001D6D10" w14:paraId="3FA0050B" w14:textId="77777777" w:rsidTr="006A3D02">
        <w:trPr>
          <w:jc w:val="center"/>
        </w:trPr>
        <w:tc>
          <w:tcPr>
            <w:tcW w:w="1696" w:type="dxa"/>
          </w:tcPr>
          <w:p w14:paraId="489F4AC2" w14:textId="77777777" w:rsidR="005D372A" w:rsidRPr="001D6D10" w:rsidRDefault="005D372A" w:rsidP="008B4B2B">
            <w:pPr>
              <w:rPr>
                <w:rFonts w:ascii="ＭＳ 明朝" w:hAnsi="ＭＳ 明朝"/>
                <w:szCs w:val="21"/>
              </w:rPr>
            </w:pPr>
            <w:r w:rsidRPr="001D6D10">
              <w:rPr>
                <w:rFonts w:ascii="ＭＳ 明朝" w:hAnsi="ＭＳ 明朝" w:hint="eastAsia"/>
                <w:szCs w:val="21"/>
              </w:rPr>
              <w:lastRenderedPageBreak/>
              <w:t>第6フェーズ</w:t>
            </w:r>
          </w:p>
          <w:p w14:paraId="2203C8A0" w14:textId="77777777" w:rsidR="005D372A" w:rsidRPr="001D6D10" w:rsidRDefault="005D372A" w:rsidP="008B4B2B">
            <w:pPr>
              <w:rPr>
                <w:rFonts w:ascii="ＭＳ 明朝" w:hAnsi="ＭＳ 明朝"/>
                <w:szCs w:val="21"/>
              </w:rPr>
            </w:pPr>
            <w:r w:rsidRPr="001D6D10">
              <w:rPr>
                <w:rFonts w:ascii="ＭＳ 明朝" w:hAnsi="ＭＳ 明朝" w:hint="eastAsia"/>
                <w:szCs w:val="21"/>
              </w:rPr>
              <w:t>(1ヶ月まで)</w:t>
            </w:r>
          </w:p>
        </w:tc>
        <w:tc>
          <w:tcPr>
            <w:tcW w:w="7138" w:type="dxa"/>
          </w:tcPr>
          <w:p w14:paraId="06346065" w14:textId="77777777" w:rsidR="005D372A" w:rsidRPr="001D6D10" w:rsidRDefault="005D372A" w:rsidP="008B4B2B">
            <w:pPr>
              <w:rPr>
                <w:rFonts w:ascii="ＭＳ 明朝" w:hAnsi="ＭＳ 明朝"/>
                <w:szCs w:val="21"/>
              </w:rPr>
            </w:pPr>
            <w:r w:rsidRPr="001D6D10">
              <w:rPr>
                <w:rFonts w:ascii="ＭＳ 明朝" w:hAnsi="ＭＳ 明朝" w:hint="eastAsia"/>
                <w:szCs w:val="21"/>
              </w:rPr>
              <w:t>○被災者生活再建支援金等の支給等</w:t>
            </w:r>
          </w:p>
          <w:p w14:paraId="2262B3FF" w14:textId="77777777" w:rsidR="005D372A" w:rsidRPr="001D6D10" w:rsidRDefault="005D372A" w:rsidP="008B4B2B">
            <w:pPr>
              <w:rPr>
                <w:rFonts w:ascii="ＭＳ 明朝" w:hAnsi="ＭＳ 明朝"/>
                <w:szCs w:val="21"/>
              </w:rPr>
            </w:pPr>
            <w:r w:rsidRPr="001D6D10">
              <w:rPr>
                <w:rFonts w:ascii="ＭＳ 明朝" w:hAnsi="ＭＳ 明朝" w:hint="eastAsia"/>
                <w:szCs w:val="21"/>
              </w:rPr>
              <w:t>○消防学校の応急復旧</w:t>
            </w:r>
          </w:p>
        </w:tc>
      </w:tr>
    </w:tbl>
    <w:p w14:paraId="78EE54CE" w14:textId="77777777" w:rsidR="005D372A" w:rsidRPr="001D6D10" w:rsidRDefault="005D372A" w:rsidP="005D372A">
      <w:pPr>
        <w:rPr>
          <w:rFonts w:ascii="ＭＳ 明朝" w:hAnsi="ＭＳ 明朝"/>
          <w:szCs w:val="21"/>
        </w:rPr>
      </w:pPr>
      <w:r w:rsidRPr="001D6D10">
        <w:rPr>
          <w:rFonts w:ascii="ＭＳ 明朝" w:hAnsi="ＭＳ 明朝" w:hint="eastAsia"/>
          <w:szCs w:val="21"/>
        </w:rPr>
        <w:t>※主な所管施設：消防学校</w:t>
      </w:r>
    </w:p>
    <w:p w14:paraId="6A384C8F" w14:textId="77777777" w:rsidR="005D372A" w:rsidRPr="00E0548A" w:rsidRDefault="005D372A" w:rsidP="005D372A">
      <w:pPr>
        <w:rPr>
          <w:rFonts w:ascii="ＭＳ 明朝" w:hAnsi="ＭＳ 明朝"/>
          <w:szCs w:val="21"/>
        </w:rPr>
      </w:pPr>
      <w:r w:rsidRPr="001D6D10">
        <w:rPr>
          <w:rFonts w:ascii="ＭＳ ゴシック" w:eastAsia="ＭＳ ゴシック" w:hAnsi="ＭＳ ゴシック" w:hint="eastAsia"/>
          <w:sz w:val="22"/>
          <w:szCs w:val="22"/>
        </w:rPr>
        <w:t xml:space="preserve">　　　</w:t>
      </w:r>
      <w:r w:rsidRPr="001D6D10">
        <w:rPr>
          <w:rFonts w:ascii="ＭＳ 明朝" w:hAnsi="ＭＳ 明朝" w:hint="eastAsia"/>
          <w:szCs w:val="21"/>
        </w:rPr>
        <w:t>関係機関</w:t>
      </w:r>
      <w:r w:rsidRPr="00E0548A">
        <w:rPr>
          <w:rFonts w:ascii="ＭＳ 明朝" w:hAnsi="ＭＳ 明朝" w:hint="eastAsia"/>
          <w:szCs w:val="21"/>
        </w:rPr>
        <w:t>：自衛隊、消防、警察など防災関係機関</w:t>
      </w:r>
    </w:p>
    <w:p w14:paraId="0CDDEF2E" w14:textId="1DF96E2C" w:rsidR="005D372A" w:rsidRPr="00E0548A" w:rsidRDefault="005D372A" w:rsidP="005D372A">
      <w:pPr>
        <w:rPr>
          <w:rFonts w:ascii="ＭＳ 明朝" w:hAnsi="ＭＳ 明朝"/>
          <w:szCs w:val="21"/>
        </w:rPr>
      </w:pPr>
      <w:r w:rsidRPr="00E0548A">
        <w:rPr>
          <w:rFonts w:ascii="ＭＳ 明朝" w:hAnsi="ＭＳ 明朝" w:hint="eastAsia"/>
          <w:szCs w:val="21"/>
        </w:rPr>
        <w:t xml:space="preserve">　　　システム：大阪</w:t>
      </w:r>
      <w:r w:rsidR="00AB6FBD" w:rsidRPr="00E0548A">
        <w:rPr>
          <w:rFonts w:ascii="ＭＳ 明朝" w:hAnsi="ＭＳ 明朝" w:hint="eastAsia"/>
          <w:szCs w:val="21"/>
        </w:rPr>
        <w:t>府</w:t>
      </w:r>
      <w:r w:rsidRPr="00E0548A">
        <w:rPr>
          <w:rFonts w:ascii="ＭＳ 明朝" w:hAnsi="ＭＳ 明朝" w:hint="eastAsia"/>
          <w:szCs w:val="21"/>
        </w:rPr>
        <w:t>防災情報システム</w:t>
      </w:r>
    </w:p>
    <w:p w14:paraId="06971D91" w14:textId="4F22C5CB" w:rsidR="00A75B2A" w:rsidRPr="00E0548A" w:rsidRDefault="00A75B2A" w:rsidP="00A75B2A">
      <w:pPr>
        <w:rPr>
          <w:rFonts w:ascii="ＭＳ 明朝" w:hAnsi="ＭＳ 明朝"/>
          <w:szCs w:val="21"/>
        </w:rPr>
      </w:pPr>
    </w:p>
    <w:p w14:paraId="040AE9EC" w14:textId="77777777" w:rsidR="00E144D7" w:rsidRPr="00E0548A" w:rsidRDefault="00E144D7" w:rsidP="00A75B2A">
      <w:pPr>
        <w:rPr>
          <w:rFonts w:ascii="ＭＳ 明朝" w:hAnsi="ＭＳ 明朝"/>
          <w:szCs w:val="21"/>
        </w:rPr>
      </w:pPr>
    </w:p>
    <w:p w14:paraId="6E55F7AC" w14:textId="77777777" w:rsidR="00A75B2A" w:rsidRPr="00E0548A" w:rsidRDefault="00A75B2A" w:rsidP="00A75B2A">
      <w:pPr>
        <w:pStyle w:val="af4"/>
        <w:ind w:leftChars="0" w:left="0"/>
        <w:rPr>
          <w:rFonts w:ascii="ＭＳ ゴシック" w:eastAsia="ＭＳ ゴシック" w:hAnsi="ＭＳ ゴシック"/>
          <w:szCs w:val="21"/>
        </w:rPr>
      </w:pPr>
      <w:r w:rsidRPr="00E0548A">
        <w:rPr>
          <w:rFonts w:ascii="ＭＳ ゴシック" w:eastAsia="ＭＳ ゴシック" w:hAnsi="ＭＳ ゴシック" w:hint="eastAsia"/>
          <w:szCs w:val="21"/>
        </w:rPr>
        <w:t>＜南海トラフ地震臨時情報（巨大地震警戒）発表時＞</w:t>
      </w:r>
    </w:p>
    <w:tbl>
      <w:tblPr>
        <w:tblpPr w:leftFromText="142" w:rightFromText="142" w:vertAnchor="text" w:tblpXSpec="center" w:tblpY="1"/>
        <w:tblOverlap w:val="neve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00"/>
        <w:gridCol w:w="7334"/>
      </w:tblGrid>
      <w:tr w:rsidR="00E0548A" w:rsidRPr="00E0548A" w14:paraId="472F98BA" w14:textId="77777777" w:rsidTr="008C78D9">
        <w:trPr>
          <w:jc w:val="center"/>
        </w:trPr>
        <w:tc>
          <w:tcPr>
            <w:tcW w:w="1500" w:type="dxa"/>
            <w:tcBorders>
              <w:bottom w:val="single" w:sz="4" w:space="0" w:color="auto"/>
            </w:tcBorders>
            <w:shd w:val="clear" w:color="auto" w:fill="BFBFBF"/>
          </w:tcPr>
          <w:p w14:paraId="730B83EF" w14:textId="77777777" w:rsidR="00A75B2A" w:rsidRPr="00E0548A" w:rsidRDefault="00A75B2A" w:rsidP="008C78D9">
            <w:pPr>
              <w:jc w:val="center"/>
              <w:rPr>
                <w:rFonts w:ascii="ＭＳ 明朝" w:hAnsi="ＭＳ 明朝"/>
                <w:szCs w:val="21"/>
              </w:rPr>
            </w:pPr>
            <w:r w:rsidRPr="00E0548A">
              <w:rPr>
                <w:rFonts w:ascii="ＭＳ 明朝" w:hAnsi="ＭＳ 明朝" w:hint="eastAsia"/>
                <w:szCs w:val="21"/>
              </w:rPr>
              <w:t>臨時情報</w:t>
            </w:r>
          </w:p>
        </w:tc>
        <w:tc>
          <w:tcPr>
            <w:tcW w:w="7334" w:type="dxa"/>
            <w:tcBorders>
              <w:bottom w:val="single" w:sz="4" w:space="0" w:color="auto"/>
            </w:tcBorders>
            <w:shd w:val="clear" w:color="auto" w:fill="BFBFBF"/>
          </w:tcPr>
          <w:p w14:paraId="1BD14ACF" w14:textId="77777777" w:rsidR="00A75B2A" w:rsidRPr="00E0548A" w:rsidRDefault="00A75B2A" w:rsidP="008C78D9">
            <w:pPr>
              <w:jc w:val="center"/>
              <w:rPr>
                <w:rFonts w:ascii="ＭＳ 明朝" w:hAnsi="ＭＳ 明朝"/>
                <w:szCs w:val="21"/>
              </w:rPr>
            </w:pPr>
            <w:r w:rsidRPr="00E0548A">
              <w:rPr>
                <w:rFonts w:ascii="ＭＳ 明朝" w:hAnsi="ＭＳ 明朝" w:hint="eastAsia"/>
                <w:szCs w:val="21"/>
              </w:rPr>
              <w:t>主な応急対策業務</w:t>
            </w:r>
          </w:p>
        </w:tc>
      </w:tr>
      <w:tr w:rsidR="00E0548A" w:rsidRPr="00E0548A" w14:paraId="2A773B18" w14:textId="77777777" w:rsidTr="008C78D9">
        <w:trPr>
          <w:jc w:val="center"/>
        </w:trPr>
        <w:tc>
          <w:tcPr>
            <w:tcW w:w="1500" w:type="dxa"/>
          </w:tcPr>
          <w:p w14:paraId="0802F3E3" w14:textId="77777777" w:rsidR="00A75B2A" w:rsidRPr="00E0548A" w:rsidRDefault="00A75B2A" w:rsidP="008C78D9">
            <w:pPr>
              <w:rPr>
                <w:rFonts w:ascii="ＭＳ 明朝" w:hAnsi="ＭＳ 明朝"/>
                <w:szCs w:val="21"/>
              </w:rPr>
            </w:pPr>
            <w:r w:rsidRPr="00E0548A">
              <w:rPr>
                <w:rFonts w:ascii="ＭＳ 明朝" w:hAnsi="ＭＳ 明朝" w:hint="eastAsia"/>
                <w:szCs w:val="21"/>
              </w:rPr>
              <w:t>巨大地震警戒</w:t>
            </w:r>
          </w:p>
        </w:tc>
        <w:tc>
          <w:tcPr>
            <w:tcW w:w="7334" w:type="dxa"/>
          </w:tcPr>
          <w:p w14:paraId="7452F68C" w14:textId="77777777" w:rsidR="00A75B2A" w:rsidRPr="00E0548A" w:rsidRDefault="00A75B2A" w:rsidP="008C78D9">
            <w:pPr>
              <w:rPr>
                <w:rFonts w:ascii="ＭＳ 明朝" w:hAnsi="ＭＳ 明朝"/>
                <w:szCs w:val="21"/>
              </w:rPr>
            </w:pPr>
            <w:r w:rsidRPr="00E0548A">
              <w:rPr>
                <w:rFonts w:ascii="ＭＳ 明朝" w:hAnsi="ＭＳ 明朝" w:hint="eastAsia"/>
                <w:szCs w:val="21"/>
              </w:rPr>
              <w:t>○災害警戒本部の設置、運営開始</w:t>
            </w:r>
          </w:p>
          <w:p w14:paraId="5CB0DC24" w14:textId="3030BAD5" w:rsidR="00D428EF" w:rsidRPr="00E0548A" w:rsidRDefault="00D428EF" w:rsidP="008C78D9">
            <w:pPr>
              <w:rPr>
                <w:rFonts w:ascii="ＭＳ 明朝" w:hAnsi="ＭＳ 明朝"/>
                <w:szCs w:val="21"/>
              </w:rPr>
            </w:pPr>
            <w:r w:rsidRPr="00E0548A">
              <w:rPr>
                <w:rFonts w:ascii="ＭＳ 明朝" w:hAnsi="ＭＳ 明朝" w:hint="eastAsia"/>
                <w:szCs w:val="21"/>
              </w:rPr>
              <w:t>○各種情報の収集・整理</w:t>
            </w:r>
          </w:p>
          <w:p w14:paraId="10C953CB" w14:textId="77777777" w:rsidR="00FB370B" w:rsidRPr="00E0548A" w:rsidRDefault="00A75B2A" w:rsidP="008C78D9">
            <w:pPr>
              <w:rPr>
                <w:rFonts w:ascii="ＭＳ 明朝" w:hAnsi="ＭＳ 明朝"/>
                <w:szCs w:val="21"/>
              </w:rPr>
            </w:pPr>
            <w:r w:rsidRPr="00E0548A">
              <w:rPr>
                <w:rFonts w:ascii="ＭＳ 明朝" w:hAnsi="ＭＳ 明朝" w:hint="eastAsia"/>
                <w:szCs w:val="21"/>
              </w:rPr>
              <w:t>○各市町村との連絡調整</w:t>
            </w:r>
            <w:r w:rsidR="00FB370B" w:rsidRPr="00E0548A">
              <w:rPr>
                <w:rFonts w:ascii="ＭＳ 明朝" w:hAnsi="ＭＳ 明朝" w:hint="eastAsia"/>
                <w:szCs w:val="21"/>
              </w:rPr>
              <w:t>（備えの再確認と住民等への周知など）</w:t>
            </w:r>
          </w:p>
          <w:p w14:paraId="1D37517F" w14:textId="0E1D300E" w:rsidR="00A75B2A" w:rsidRPr="00E0548A" w:rsidRDefault="00A75B2A" w:rsidP="008C78D9">
            <w:pPr>
              <w:rPr>
                <w:rFonts w:ascii="ＭＳ 明朝" w:hAnsi="ＭＳ 明朝"/>
                <w:szCs w:val="21"/>
              </w:rPr>
            </w:pPr>
            <w:r w:rsidRPr="00E0548A">
              <w:rPr>
                <w:rFonts w:ascii="ＭＳ 明朝" w:hAnsi="ＭＳ 明朝" w:hint="eastAsia"/>
                <w:szCs w:val="21"/>
              </w:rPr>
              <w:t>○府民向け広報の開始（府民へのメッセージなど）</w:t>
            </w:r>
          </w:p>
          <w:p w14:paraId="6E3E2756" w14:textId="77777777" w:rsidR="00A75B2A" w:rsidRPr="00E0548A" w:rsidRDefault="00A75B2A" w:rsidP="008C78D9">
            <w:pPr>
              <w:rPr>
                <w:rFonts w:ascii="ＭＳ 明朝" w:hAnsi="ＭＳ 明朝"/>
                <w:szCs w:val="21"/>
              </w:rPr>
            </w:pPr>
            <w:r w:rsidRPr="00E0548A">
              <w:rPr>
                <w:rFonts w:ascii="ＭＳ 明朝" w:hAnsi="ＭＳ 明朝" w:hint="eastAsia"/>
                <w:szCs w:val="21"/>
              </w:rPr>
              <w:t>○関西広域連合、国等との連絡調整</w:t>
            </w:r>
          </w:p>
          <w:p w14:paraId="617802E7" w14:textId="4B328F7C" w:rsidR="00A75B2A" w:rsidRPr="00E0548A" w:rsidRDefault="00A75B2A" w:rsidP="008C78D9">
            <w:pPr>
              <w:rPr>
                <w:rFonts w:ascii="ＭＳ 明朝" w:hAnsi="ＭＳ 明朝"/>
                <w:szCs w:val="21"/>
              </w:rPr>
            </w:pPr>
            <w:r w:rsidRPr="00E0548A">
              <w:rPr>
                <w:rFonts w:ascii="ＭＳ 明朝" w:hAnsi="ＭＳ 明朝" w:hint="eastAsia"/>
                <w:szCs w:val="21"/>
              </w:rPr>
              <w:t>○庁内各部局との連絡調整（ＢＣＰ関連業務、備えの再確認の依頼など）</w:t>
            </w:r>
          </w:p>
          <w:p w14:paraId="6DB763FB" w14:textId="7E559181" w:rsidR="00D428EF" w:rsidRPr="00E0548A" w:rsidRDefault="00D428EF" w:rsidP="008C78D9">
            <w:pPr>
              <w:rPr>
                <w:rFonts w:ascii="ＭＳ 明朝" w:hAnsi="ＭＳ 明朝"/>
                <w:szCs w:val="21"/>
              </w:rPr>
            </w:pPr>
            <w:r w:rsidRPr="00E0548A">
              <w:rPr>
                <w:rFonts w:ascii="ＭＳ 明朝" w:hAnsi="ＭＳ 明朝" w:hint="eastAsia"/>
                <w:szCs w:val="21"/>
              </w:rPr>
              <w:t>○防災協定企業や関係機関との備えや準備の</w:t>
            </w:r>
            <w:r w:rsidR="00486C74" w:rsidRPr="00E0548A">
              <w:rPr>
                <w:rFonts w:ascii="ＭＳ 明朝" w:hAnsi="ＭＳ 明朝" w:hint="eastAsia"/>
                <w:szCs w:val="21"/>
              </w:rPr>
              <w:t>再</w:t>
            </w:r>
            <w:r w:rsidRPr="00E0548A">
              <w:rPr>
                <w:rFonts w:ascii="ＭＳ 明朝" w:hAnsi="ＭＳ 明朝" w:hint="eastAsia"/>
                <w:szCs w:val="21"/>
              </w:rPr>
              <w:t>確認</w:t>
            </w:r>
          </w:p>
          <w:p w14:paraId="2F592F98" w14:textId="77777777" w:rsidR="004E79AB" w:rsidRPr="00E0548A" w:rsidRDefault="004E79AB" w:rsidP="004E79AB">
            <w:pPr>
              <w:rPr>
                <w:rFonts w:ascii="ＭＳ 明朝" w:hAnsi="ＭＳ 明朝"/>
                <w:szCs w:val="21"/>
              </w:rPr>
            </w:pPr>
            <w:r w:rsidRPr="00E0548A">
              <w:rPr>
                <w:rFonts w:ascii="ＭＳ 明朝" w:hAnsi="ＭＳ 明朝" w:hint="eastAsia"/>
                <w:szCs w:val="21"/>
              </w:rPr>
              <w:t>○所管施設や備蓄物資の確認</w:t>
            </w:r>
          </w:p>
          <w:p w14:paraId="2EA3D92C" w14:textId="77777777" w:rsidR="002D68DC" w:rsidRPr="00E0548A" w:rsidRDefault="002D68DC" w:rsidP="002D68DC">
            <w:pPr>
              <w:rPr>
                <w:rFonts w:ascii="ＭＳ 明朝" w:hAnsi="ＭＳ 明朝"/>
                <w:szCs w:val="21"/>
              </w:rPr>
            </w:pPr>
            <w:r w:rsidRPr="00E0548A">
              <w:rPr>
                <w:rFonts w:ascii="ＭＳ 明朝" w:hAnsi="ＭＳ 明朝" w:hint="eastAsia"/>
                <w:szCs w:val="21"/>
              </w:rPr>
              <w:t>○所管イベントの開催可否の判断【各所管所属】</w:t>
            </w:r>
          </w:p>
          <w:p w14:paraId="691B2E5F" w14:textId="77777777" w:rsidR="00497116" w:rsidRPr="00E0548A" w:rsidRDefault="00A75B2A" w:rsidP="00E236A3">
            <w:pPr>
              <w:ind w:left="211" w:hangingChars="100" w:hanging="211"/>
              <w:rPr>
                <w:rFonts w:ascii="ＭＳ 明朝" w:hAnsi="ＭＳ 明朝"/>
              </w:rPr>
            </w:pPr>
            <w:r w:rsidRPr="00E0548A">
              <w:rPr>
                <w:rFonts w:ascii="ＭＳ 明朝" w:hAnsi="ＭＳ 明朝" w:hint="eastAsia"/>
                <w:szCs w:val="21"/>
              </w:rPr>
              <w:t>○</w:t>
            </w:r>
            <w:r w:rsidR="00C15398" w:rsidRPr="00E0548A">
              <w:rPr>
                <w:rFonts w:ascii="ＭＳ 明朝" w:hAnsi="ＭＳ 明朝" w:hint="eastAsia"/>
              </w:rPr>
              <w:t>地震発災後、応急対策業務（第１フェーズ）を速やかに実施できる準備</w:t>
            </w:r>
          </w:p>
          <w:p w14:paraId="54145113" w14:textId="47642CE5" w:rsidR="00A75B2A" w:rsidRPr="00E0548A" w:rsidRDefault="00C15398" w:rsidP="00497116">
            <w:pPr>
              <w:ind w:leftChars="100" w:left="211"/>
              <w:rPr>
                <w:rFonts w:ascii="ＭＳ 明朝" w:hAnsi="ＭＳ 明朝"/>
                <w:szCs w:val="21"/>
              </w:rPr>
            </w:pPr>
            <w:r w:rsidRPr="00E0548A">
              <w:rPr>
                <w:rFonts w:ascii="ＭＳ 明朝" w:hAnsi="ＭＳ 明朝" w:hint="eastAsia"/>
              </w:rPr>
              <w:t>体制を維持</w:t>
            </w:r>
          </w:p>
        </w:tc>
      </w:tr>
    </w:tbl>
    <w:p w14:paraId="3B22BE7E" w14:textId="77777777" w:rsidR="00A75B2A" w:rsidRPr="00E0548A" w:rsidRDefault="00A75B2A" w:rsidP="00A75B2A">
      <w:pPr>
        <w:rPr>
          <w:rFonts w:ascii="ＭＳ 明朝" w:hAnsi="ＭＳ 明朝"/>
          <w:szCs w:val="21"/>
        </w:rPr>
      </w:pPr>
      <w:r w:rsidRPr="00E0548A">
        <w:rPr>
          <w:rFonts w:ascii="ＭＳ 明朝" w:hAnsi="ＭＳ 明朝" w:hint="eastAsia"/>
          <w:szCs w:val="21"/>
        </w:rPr>
        <w:t>「南海トラフ地震臨時情報（巨大地震警戒）」が発表され、「巨大地震警戒対応期間」（１週間）が経過した際は、「巨大地震注意対応期間」へ移行。</w:t>
      </w:r>
    </w:p>
    <w:p w14:paraId="3EF2B925" w14:textId="77777777" w:rsidR="00A75B2A" w:rsidRPr="00E0548A" w:rsidRDefault="00A75B2A" w:rsidP="00A75B2A">
      <w:pPr>
        <w:rPr>
          <w:rFonts w:ascii="ＭＳ 明朝" w:hAnsi="ＭＳ 明朝"/>
          <w:szCs w:val="21"/>
        </w:rPr>
      </w:pPr>
    </w:p>
    <w:p w14:paraId="00B5A453" w14:textId="4386FBE8" w:rsidR="00A75B2A" w:rsidRPr="00E0548A" w:rsidRDefault="00A75B2A" w:rsidP="00A75B2A">
      <w:pPr>
        <w:pStyle w:val="af4"/>
        <w:ind w:leftChars="0" w:left="0"/>
        <w:rPr>
          <w:rFonts w:ascii="ＭＳ ゴシック" w:eastAsia="ＭＳ ゴシック" w:hAnsi="ＭＳ ゴシック"/>
          <w:szCs w:val="21"/>
        </w:rPr>
      </w:pPr>
      <w:r w:rsidRPr="00E0548A">
        <w:rPr>
          <w:rFonts w:ascii="ＭＳ ゴシック" w:eastAsia="ＭＳ ゴシック" w:hAnsi="ＭＳ ゴシック" w:hint="eastAsia"/>
          <w:szCs w:val="21"/>
        </w:rPr>
        <w:t>＜南海トラフ地震臨時情報（巨大地震注意）発表時</w:t>
      </w:r>
      <w:r w:rsidR="002F25B5" w:rsidRPr="00E0548A">
        <w:rPr>
          <w:rFonts w:ascii="ＭＳ ゴシック" w:eastAsia="ＭＳ ゴシック" w:hAnsi="ＭＳ ゴシック" w:hint="eastAsia"/>
          <w:szCs w:val="21"/>
        </w:rPr>
        <w:t>（</w:t>
      </w:r>
      <w:r w:rsidR="002F25B5" w:rsidRPr="00E0548A">
        <w:rPr>
          <w:rFonts w:ascii="ＭＳ 明朝" w:hAnsi="ＭＳ 明朝" w:hint="eastAsia"/>
          <w:szCs w:val="21"/>
        </w:rPr>
        <w:t>巨大地震警戒からの移行時を含む</w:t>
      </w:r>
      <w:r w:rsidR="002F25B5" w:rsidRPr="00E0548A">
        <w:rPr>
          <w:rFonts w:ascii="ＭＳ ゴシック" w:eastAsia="ＭＳ ゴシック" w:hAnsi="ＭＳ ゴシック" w:hint="eastAsia"/>
          <w:szCs w:val="21"/>
        </w:rPr>
        <w:t>）</w:t>
      </w:r>
      <w:r w:rsidRPr="00E0548A">
        <w:rPr>
          <w:rFonts w:ascii="ＭＳ ゴシック" w:eastAsia="ＭＳ ゴシック" w:hAnsi="ＭＳ ゴシック" w:hint="eastAsia"/>
          <w:szCs w:val="21"/>
        </w:rPr>
        <w:t>＞</w:t>
      </w:r>
    </w:p>
    <w:tbl>
      <w:tblPr>
        <w:tblpPr w:leftFromText="142" w:rightFromText="142" w:vertAnchor="text" w:tblpXSpec="center" w:tblpY="1"/>
        <w:tblOverlap w:val="neve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00"/>
        <w:gridCol w:w="7334"/>
      </w:tblGrid>
      <w:tr w:rsidR="00E0548A" w:rsidRPr="00E0548A" w14:paraId="7D8B85A3" w14:textId="77777777" w:rsidTr="008C78D9">
        <w:trPr>
          <w:jc w:val="center"/>
        </w:trPr>
        <w:tc>
          <w:tcPr>
            <w:tcW w:w="1500" w:type="dxa"/>
            <w:tcBorders>
              <w:bottom w:val="single" w:sz="4" w:space="0" w:color="auto"/>
            </w:tcBorders>
            <w:shd w:val="clear" w:color="auto" w:fill="BFBFBF"/>
          </w:tcPr>
          <w:p w14:paraId="536DBC7F" w14:textId="77777777" w:rsidR="00A75B2A" w:rsidRPr="00E0548A" w:rsidRDefault="00A75B2A" w:rsidP="008C78D9">
            <w:pPr>
              <w:jc w:val="center"/>
              <w:rPr>
                <w:rFonts w:ascii="ＭＳ 明朝" w:hAnsi="ＭＳ 明朝"/>
                <w:szCs w:val="21"/>
              </w:rPr>
            </w:pPr>
            <w:r w:rsidRPr="00E0548A">
              <w:rPr>
                <w:rFonts w:ascii="ＭＳ 明朝" w:hAnsi="ＭＳ 明朝" w:hint="eastAsia"/>
                <w:szCs w:val="21"/>
              </w:rPr>
              <w:t>臨時情報</w:t>
            </w:r>
          </w:p>
        </w:tc>
        <w:tc>
          <w:tcPr>
            <w:tcW w:w="7334" w:type="dxa"/>
            <w:tcBorders>
              <w:bottom w:val="single" w:sz="4" w:space="0" w:color="auto"/>
            </w:tcBorders>
            <w:shd w:val="clear" w:color="auto" w:fill="BFBFBF"/>
          </w:tcPr>
          <w:p w14:paraId="33E544C2" w14:textId="77777777" w:rsidR="00A75B2A" w:rsidRPr="00E0548A" w:rsidRDefault="00A75B2A" w:rsidP="008C78D9">
            <w:pPr>
              <w:jc w:val="center"/>
              <w:rPr>
                <w:rFonts w:ascii="ＭＳ 明朝" w:hAnsi="ＭＳ 明朝"/>
                <w:szCs w:val="21"/>
              </w:rPr>
            </w:pPr>
            <w:r w:rsidRPr="00E0548A">
              <w:rPr>
                <w:rFonts w:ascii="ＭＳ 明朝" w:hAnsi="ＭＳ 明朝" w:hint="eastAsia"/>
                <w:szCs w:val="21"/>
              </w:rPr>
              <w:t>主な応急対策業務</w:t>
            </w:r>
          </w:p>
        </w:tc>
      </w:tr>
      <w:tr w:rsidR="00E0548A" w:rsidRPr="00E0548A" w14:paraId="1AA8228F" w14:textId="77777777" w:rsidTr="008C78D9">
        <w:trPr>
          <w:jc w:val="center"/>
        </w:trPr>
        <w:tc>
          <w:tcPr>
            <w:tcW w:w="1500" w:type="dxa"/>
          </w:tcPr>
          <w:p w14:paraId="6C92C323" w14:textId="77777777" w:rsidR="00A75B2A" w:rsidRPr="00E0548A" w:rsidRDefault="00A75B2A" w:rsidP="008C78D9">
            <w:pPr>
              <w:rPr>
                <w:rFonts w:ascii="ＭＳ 明朝" w:hAnsi="ＭＳ 明朝"/>
                <w:szCs w:val="21"/>
              </w:rPr>
            </w:pPr>
            <w:r w:rsidRPr="00E0548A">
              <w:rPr>
                <w:rFonts w:ascii="ＭＳ 明朝" w:hAnsi="ＭＳ 明朝" w:hint="eastAsia"/>
                <w:szCs w:val="21"/>
              </w:rPr>
              <w:t>巨大地震注意</w:t>
            </w:r>
          </w:p>
        </w:tc>
        <w:tc>
          <w:tcPr>
            <w:tcW w:w="7334" w:type="dxa"/>
          </w:tcPr>
          <w:p w14:paraId="5554F88B" w14:textId="693E592F" w:rsidR="00A75B2A" w:rsidRPr="00E0548A" w:rsidRDefault="00A75B2A" w:rsidP="008C78D9">
            <w:pPr>
              <w:rPr>
                <w:rFonts w:ascii="ＭＳ 明朝" w:hAnsi="ＭＳ 明朝"/>
                <w:szCs w:val="21"/>
              </w:rPr>
            </w:pPr>
            <w:r w:rsidRPr="00E0548A">
              <w:rPr>
                <w:rFonts w:ascii="ＭＳ 明朝" w:hAnsi="ＭＳ 明朝" w:hint="eastAsia"/>
                <w:szCs w:val="21"/>
              </w:rPr>
              <w:t>○防災・危機管理指令部の設置、運営開始</w:t>
            </w:r>
          </w:p>
          <w:p w14:paraId="7BC7142B" w14:textId="77777777" w:rsidR="00E236A3" w:rsidRPr="00E0548A" w:rsidRDefault="00E236A3" w:rsidP="00E236A3">
            <w:pPr>
              <w:rPr>
                <w:rFonts w:ascii="ＭＳ 明朝" w:hAnsi="ＭＳ 明朝"/>
                <w:szCs w:val="21"/>
              </w:rPr>
            </w:pPr>
            <w:r w:rsidRPr="00E0548A">
              <w:rPr>
                <w:rFonts w:ascii="ＭＳ 明朝" w:hAnsi="ＭＳ 明朝" w:hint="eastAsia"/>
                <w:szCs w:val="21"/>
              </w:rPr>
              <w:t>○各種情報の収集・整理</w:t>
            </w:r>
          </w:p>
          <w:p w14:paraId="37CFDCD0" w14:textId="22B39703" w:rsidR="00A75B2A" w:rsidRPr="00E0548A" w:rsidRDefault="00A75B2A" w:rsidP="008C78D9">
            <w:pPr>
              <w:rPr>
                <w:rFonts w:ascii="ＭＳ 明朝" w:hAnsi="ＭＳ 明朝"/>
                <w:szCs w:val="21"/>
              </w:rPr>
            </w:pPr>
            <w:r w:rsidRPr="00E0548A">
              <w:rPr>
                <w:rFonts w:ascii="ＭＳ 明朝" w:hAnsi="ＭＳ 明朝" w:hint="eastAsia"/>
                <w:szCs w:val="21"/>
              </w:rPr>
              <w:t>○各市町村との連絡調整</w:t>
            </w:r>
            <w:r w:rsidR="00FB370B" w:rsidRPr="00E0548A">
              <w:rPr>
                <w:rFonts w:ascii="ＭＳ 明朝" w:hAnsi="ＭＳ 明朝" w:hint="eastAsia"/>
                <w:szCs w:val="21"/>
              </w:rPr>
              <w:t>（備えの再確認と住民等への周知など）</w:t>
            </w:r>
          </w:p>
          <w:p w14:paraId="3C56FC1E" w14:textId="77777777" w:rsidR="00A75B2A" w:rsidRPr="00E0548A" w:rsidRDefault="00A75B2A" w:rsidP="008C78D9">
            <w:pPr>
              <w:rPr>
                <w:rFonts w:ascii="ＭＳ 明朝" w:hAnsi="ＭＳ 明朝"/>
                <w:szCs w:val="21"/>
              </w:rPr>
            </w:pPr>
            <w:r w:rsidRPr="00E0548A">
              <w:rPr>
                <w:rFonts w:ascii="ＭＳ 明朝" w:hAnsi="ＭＳ 明朝" w:hint="eastAsia"/>
                <w:szCs w:val="21"/>
              </w:rPr>
              <w:t>○府民向け広報の開始（府民へのメッセージなど）</w:t>
            </w:r>
          </w:p>
          <w:p w14:paraId="7012DB98" w14:textId="77777777" w:rsidR="00A75B2A" w:rsidRPr="00E0548A" w:rsidRDefault="00A75B2A" w:rsidP="008C78D9">
            <w:pPr>
              <w:rPr>
                <w:rFonts w:ascii="ＭＳ 明朝" w:hAnsi="ＭＳ 明朝"/>
                <w:szCs w:val="21"/>
              </w:rPr>
            </w:pPr>
            <w:r w:rsidRPr="00E0548A">
              <w:rPr>
                <w:rFonts w:ascii="ＭＳ 明朝" w:hAnsi="ＭＳ 明朝" w:hint="eastAsia"/>
                <w:szCs w:val="21"/>
              </w:rPr>
              <w:t>○関西広域連合、国等との連絡調整</w:t>
            </w:r>
          </w:p>
          <w:p w14:paraId="1E7F481D" w14:textId="4F97788F" w:rsidR="00A75B2A" w:rsidRPr="00E0548A" w:rsidRDefault="00A75B2A" w:rsidP="008C78D9">
            <w:pPr>
              <w:rPr>
                <w:rFonts w:ascii="ＭＳ 明朝" w:hAnsi="ＭＳ 明朝"/>
                <w:szCs w:val="21"/>
              </w:rPr>
            </w:pPr>
            <w:r w:rsidRPr="00E0548A">
              <w:rPr>
                <w:rFonts w:ascii="ＭＳ 明朝" w:hAnsi="ＭＳ 明朝" w:hint="eastAsia"/>
                <w:szCs w:val="21"/>
              </w:rPr>
              <w:t>○庁内各部局との連絡調整（ＢＣＰ関連業務、備えの再確認の依頼など）</w:t>
            </w:r>
          </w:p>
          <w:p w14:paraId="6A31D193" w14:textId="5DA57F04" w:rsidR="00D428EF" w:rsidRPr="00E0548A" w:rsidRDefault="00D428EF" w:rsidP="00D428EF">
            <w:pPr>
              <w:rPr>
                <w:rFonts w:ascii="ＭＳ 明朝" w:hAnsi="ＭＳ 明朝"/>
                <w:szCs w:val="21"/>
              </w:rPr>
            </w:pPr>
            <w:r w:rsidRPr="00E0548A">
              <w:rPr>
                <w:rFonts w:ascii="ＭＳ 明朝" w:hAnsi="ＭＳ 明朝" w:hint="eastAsia"/>
                <w:szCs w:val="21"/>
              </w:rPr>
              <w:t>○防災協定企業や関係機関との備えや準備の</w:t>
            </w:r>
            <w:r w:rsidR="00E236A3" w:rsidRPr="00E0548A">
              <w:rPr>
                <w:rFonts w:ascii="ＭＳ 明朝" w:hAnsi="ＭＳ 明朝" w:hint="eastAsia"/>
                <w:szCs w:val="21"/>
              </w:rPr>
              <w:t>再</w:t>
            </w:r>
            <w:r w:rsidRPr="00E0548A">
              <w:rPr>
                <w:rFonts w:ascii="ＭＳ 明朝" w:hAnsi="ＭＳ 明朝" w:hint="eastAsia"/>
                <w:szCs w:val="21"/>
              </w:rPr>
              <w:t>確認</w:t>
            </w:r>
          </w:p>
          <w:p w14:paraId="769B8C94" w14:textId="77777777" w:rsidR="004E79AB" w:rsidRPr="00E0548A" w:rsidRDefault="004E79AB" w:rsidP="004E79AB">
            <w:pPr>
              <w:rPr>
                <w:rFonts w:ascii="ＭＳ 明朝" w:hAnsi="ＭＳ 明朝"/>
                <w:szCs w:val="21"/>
              </w:rPr>
            </w:pPr>
            <w:r w:rsidRPr="00E0548A">
              <w:rPr>
                <w:rFonts w:ascii="ＭＳ 明朝" w:hAnsi="ＭＳ 明朝" w:hint="eastAsia"/>
                <w:szCs w:val="21"/>
              </w:rPr>
              <w:t>○所管施設や備蓄物資の確認</w:t>
            </w:r>
          </w:p>
          <w:p w14:paraId="13FE379C" w14:textId="77777777" w:rsidR="00A75B2A" w:rsidRPr="00E0548A" w:rsidRDefault="00A75B2A" w:rsidP="008C78D9">
            <w:pPr>
              <w:rPr>
                <w:rFonts w:ascii="ＭＳ 明朝" w:hAnsi="ＭＳ 明朝"/>
                <w:szCs w:val="21"/>
              </w:rPr>
            </w:pPr>
            <w:r w:rsidRPr="00E0548A">
              <w:rPr>
                <w:rFonts w:ascii="ＭＳ 明朝" w:hAnsi="ＭＳ 明朝" w:hint="eastAsia"/>
                <w:szCs w:val="21"/>
              </w:rPr>
              <w:t>○地震発災に備えた情報連絡体制の維持</w:t>
            </w:r>
          </w:p>
        </w:tc>
      </w:tr>
    </w:tbl>
    <w:p w14:paraId="3F4274FB" w14:textId="77777777" w:rsidR="00A75B2A" w:rsidRPr="00E0548A" w:rsidRDefault="00A75B2A" w:rsidP="00A75B2A">
      <w:pPr>
        <w:rPr>
          <w:rFonts w:ascii="ＭＳ 明朝" w:hAnsi="ＭＳ 明朝"/>
          <w:szCs w:val="21"/>
        </w:rPr>
      </w:pPr>
    </w:p>
    <w:p w14:paraId="454263D1" w14:textId="72A79781" w:rsidR="00E236A3" w:rsidRPr="00E0548A" w:rsidRDefault="005A4299" w:rsidP="006A3D02">
      <w:pPr>
        <w:ind w:firstLineChars="100" w:firstLine="211"/>
        <w:rPr>
          <w:rFonts w:ascii="ＭＳ 明朝" w:hAnsi="ＭＳ 明朝"/>
          <w:szCs w:val="21"/>
        </w:rPr>
      </w:pPr>
      <w:r w:rsidRPr="00E0548A">
        <w:rPr>
          <w:rFonts w:ascii="ＭＳ 明朝" w:hAnsi="ＭＳ 明朝" w:hint="eastAsia"/>
          <w:szCs w:val="21"/>
        </w:rPr>
        <w:t>なお、南海トラフ地震臨時情報（巨大地震警戒及び注意）発表時の主な所管施設等については、前述する＜災害発生時＞</w:t>
      </w:r>
      <w:r w:rsidR="00C23AC1" w:rsidRPr="00E0548A">
        <w:rPr>
          <w:rFonts w:ascii="ＭＳ 明朝" w:hAnsi="ＭＳ 明朝" w:hint="eastAsia"/>
          <w:szCs w:val="21"/>
        </w:rPr>
        <w:t>に</w:t>
      </w:r>
      <w:r w:rsidRPr="00E0548A">
        <w:rPr>
          <w:rFonts w:ascii="ＭＳ 明朝" w:hAnsi="ＭＳ 明朝" w:hint="eastAsia"/>
          <w:szCs w:val="21"/>
        </w:rPr>
        <w:t>記載</w:t>
      </w:r>
      <w:r w:rsidR="00C23AC1" w:rsidRPr="00E0548A">
        <w:rPr>
          <w:rFonts w:ascii="ＭＳ 明朝" w:hAnsi="ＭＳ 明朝" w:hint="eastAsia"/>
          <w:szCs w:val="21"/>
        </w:rPr>
        <w:t>する内容</w:t>
      </w:r>
      <w:r w:rsidRPr="00E0548A">
        <w:rPr>
          <w:rFonts w:ascii="ＭＳ 明朝" w:hAnsi="ＭＳ 明朝" w:hint="eastAsia"/>
          <w:szCs w:val="21"/>
        </w:rPr>
        <w:t>と同じ。</w:t>
      </w:r>
    </w:p>
    <w:p w14:paraId="392D7A66" w14:textId="237B2513" w:rsidR="005D372A" w:rsidRPr="00E0548A" w:rsidRDefault="005D372A" w:rsidP="005D372A">
      <w:pPr>
        <w:pStyle w:val="af4"/>
        <w:ind w:leftChars="0" w:left="0"/>
        <w:rPr>
          <w:rFonts w:ascii="ＭＳ ゴシック" w:eastAsia="ＭＳ ゴシック" w:hAnsi="ＭＳ ゴシック"/>
          <w:szCs w:val="21"/>
        </w:rPr>
      </w:pPr>
      <w:r w:rsidRPr="00E0548A">
        <w:rPr>
          <w:rFonts w:ascii="ＭＳ ゴシック" w:eastAsia="ＭＳ ゴシック" w:hAnsi="ＭＳ ゴシック" w:hint="eastAsia"/>
          <w:szCs w:val="21"/>
        </w:rPr>
        <w:lastRenderedPageBreak/>
        <w:t>②政策企画部</w:t>
      </w:r>
    </w:p>
    <w:p w14:paraId="594C82E8" w14:textId="77777777" w:rsidR="002C01FF" w:rsidRPr="00E0548A" w:rsidRDefault="002C01FF" w:rsidP="002C01FF">
      <w:pPr>
        <w:pStyle w:val="af4"/>
        <w:ind w:leftChars="0" w:left="0"/>
        <w:rPr>
          <w:rFonts w:ascii="ＭＳ ゴシック" w:eastAsia="ＭＳ ゴシック" w:hAnsi="ＭＳ ゴシック"/>
          <w:szCs w:val="21"/>
        </w:rPr>
      </w:pPr>
      <w:r w:rsidRPr="00E0548A">
        <w:rPr>
          <w:rFonts w:ascii="ＭＳ ゴシック" w:eastAsia="ＭＳ ゴシック" w:hAnsi="ＭＳ ゴシック" w:hint="eastAsia"/>
          <w:szCs w:val="21"/>
        </w:rPr>
        <w:t>＜災害発生時＞</w:t>
      </w:r>
    </w:p>
    <w:tbl>
      <w:tblPr>
        <w:tblpPr w:leftFromText="142" w:rightFromText="142" w:vertAnchor="text" w:tblpXSpec="center" w:tblpY="1"/>
        <w:tblOverlap w:val="neve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26"/>
        <w:gridCol w:w="7176"/>
      </w:tblGrid>
      <w:tr w:rsidR="00E0548A" w:rsidRPr="00E0548A" w14:paraId="25E16CB3" w14:textId="77777777" w:rsidTr="008B4B2B">
        <w:trPr>
          <w:jc w:val="center"/>
        </w:trPr>
        <w:tc>
          <w:tcPr>
            <w:tcW w:w="1526" w:type="dxa"/>
            <w:shd w:val="clear" w:color="auto" w:fill="BFBFBF"/>
          </w:tcPr>
          <w:p w14:paraId="20BD67DC" w14:textId="77777777" w:rsidR="005D372A" w:rsidRPr="00E0548A" w:rsidRDefault="005D372A" w:rsidP="008B4B2B">
            <w:pPr>
              <w:jc w:val="center"/>
              <w:rPr>
                <w:rFonts w:ascii="ＭＳ 明朝" w:hAnsi="ＭＳ 明朝"/>
                <w:szCs w:val="21"/>
              </w:rPr>
            </w:pPr>
            <w:r w:rsidRPr="00E0548A">
              <w:rPr>
                <w:rFonts w:ascii="ＭＳ 明朝" w:hAnsi="ＭＳ 明朝" w:hint="eastAsia"/>
                <w:szCs w:val="21"/>
              </w:rPr>
              <w:t>フェーズ</w:t>
            </w:r>
          </w:p>
        </w:tc>
        <w:tc>
          <w:tcPr>
            <w:tcW w:w="7176" w:type="dxa"/>
            <w:shd w:val="clear" w:color="auto" w:fill="BFBFBF"/>
          </w:tcPr>
          <w:p w14:paraId="1D461D5E" w14:textId="77777777" w:rsidR="005D372A" w:rsidRPr="00E0548A" w:rsidRDefault="005D372A" w:rsidP="008B4B2B">
            <w:pPr>
              <w:jc w:val="center"/>
              <w:rPr>
                <w:rFonts w:ascii="ＭＳ 明朝" w:hAnsi="ＭＳ 明朝"/>
                <w:szCs w:val="21"/>
              </w:rPr>
            </w:pPr>
            <w:r w:rsidRPr="00E0548A">
              <w:rPr>
                <w:rFonts w:ascii="ＭＳ 明朝" w:hAnsi="ＭＳ 明朝" w:hint="eastAsia"/>
                <w:szCs w:val="21"/>
              </w:rPr>
              <w:t>主な応急対策業務</w:t>
            </w:r>
          </w:p>
        </w:tc>
      </w:tr>
      <w:tr w:rsidR="00E0548A" w:rsidRPr="00E0548A" w14:paraId="5A3E47B2" w14:textId="77777777" w:rsidTr="008B4B2B">
        <w:trPr>
          <w:jc w:val="center"/>
        </w:trPr>
        <w:tc>
          <w:tcPr>
            <w:tcW w:w="1526" w:type="dxa"/>
          </w:tcPr>
          <w:p w14:paraId="5413E8CA" w14:textId="77777777" w:rsidR="005D372A" w:rsidRPr="00E0548A" w:rsidRDefault="005D372A" w:rsidP="008B4B2B">
            <w:pPr>
              <w:rPr>
                <w:rFonts w:ascii="ＭＳ 明朝" w:hAnsi="ＭＳ 明朝"/>
                <w:szCs w:val="21"/>
              </w:rPr>
            </w:pPr>
            <w:r w:rsidRPr="00E0548A">
              <w:rPr>
                <w:rFonts w:ascii="ＭＳ 明朝" w:hAnsi="ＭＳ 明朝" w:hint="eastAsia"/>
                <w:szCs w:val="21"/>
              </w:rPr>
              <w:t>第1フェーズ</w:t>
            </w:r>
          </w:p>
          <w:p w14:paraId="1AD67E74" w14:textId="77777777" w:rsidR="005D372A" w:rsidRPr="00E0548A" w:rsidRDefault="005D372A" w:rsidP="008B4B2B">
            <w:pPr>
              <w:rPr>
                <w:rFonts w:ascii="ＭＳ 明朝" w:hAnsi="ＭＳ 明朝"/>
                <w:szCs w:val="21"/>
              </w:rPr>
            </w:pPr>
            <w:r w:rsidRPr="00E0548A">
              <w:rPr>
                <w:rFonts w:ascii="ＭＳ 明朝" w:hAnsi="ＭＳ 明朝" w:hint="eastAsia"/>
                <w:szCs w:val="21"/>
              </w:rPr>
              <w:t>(3時間まで)</w:t>
            </w:r>
          </w:p>
          <w:p w14:paraId="31BDDF4A" w14:textId="77777777" w:rsidR="005D372A" w:rsidRPr="00E0548A" w:rsidRDefault="005D372A" w:rsidP="008B4B2B">
            <w:pPr>
              <w:rPr>
                <w:rFonts w:ascii="ＭＳ 明朝" w:hAnsi="ＭＳ 明朝"/>
                <w:szCs w:val="21"/>
              </w:rPr>
            </w:pPr>
          </w:p>
        </w:tc>
        <w:tc>
          <w:tcPr>
            <w:tcW w:w="7176" w:type="dxa"/>
          </w:tcPr>
          <w:p w14:paraId="5C2BE7BB" w14:textId="662E4481" w:rsidR="005D372A" w:rsidRPr="00E0548A" w:rsidRDefault="005D372A" w:rsidP="008B4B2B">
            <w:pPr>
              <w:rPr>
                <w:rFonts w:ascii="ＭＳ 明朝" w:hAnsi="ＭＳ 明朝"/>
                <w:szCs w:val="21"/>
              </w:rPr>
            </w:pPr>
            <w:r w:rsidRPr="00E0548A">
              <w:rPr>
                <w:rFonts w:ascii="ＭＳ 明朝" w:hAnsi="ＭＳ 明朝" w:hint="eastAsia"/>
                <w:szCs w:val="21"/>
              </w:rPr>
              <w:t>○初動対応、体制の確立</w:t>
            </w:r>
            <w:r w:rsidR="005E1DD6" w:rsidRPr="00E0548A">
              <w:rPr>
                <w:rFonts w:ascii="ＭＳ 明朝" w:hAnsi="ＭＳ 明朝" w:hint="eastAsia"/>
                <w:szCs w:val="21"/>
              </w:rPr>
              <w:t>【各所属】</w:t>
            </w:r>
          </w:p>
          <w:p w14:paraId="1B65E693" w14:textId="77777777" w:rsidR="005D372A" w:rsidRPr="00E0548A" w:rsidRDefault="005D372A" w:rsidP="008B4B2B">
            <w:pPr>
              <w:rPr>
                <w:rFonts w:ascii="ＭＳ 明朝" w:hAnsi="ＭＳ 明朝"/>
                <w:szCs w:val="21"/>
              </w:rPr>
            </w:pPr>
            <w:r w:rsidRPr="00E0548A">
              <w:rPr>
                <w:rFonts w:ascii="ＭＳ 明朝" w:hAnsi="ＭＳ 明朝" w:hint="eastAsia"/>
                <w:szCs w:val="21"/>
              </w:rPr>
              <w:t>○所管施設の利用者の安全確認【各所管所属】</w:t>
            </w:r>
          </w:p>
          <w:p w14:paraId="2F4B4F9F" w14:textId="3DB655F1" w:rsidR="005D372A" w:rsidRPr="00E0548A" w:rsidRDefault="005D372A" w:rsidP="008B4B2B">
            <w:pPr>
              <w:rPr>
                <w:rFonts w:ascii="ＭＳ 明朝" w:hAnsi="ＭＳ 明朝"/>
                <w:szCs w:val="21"/>
              </w:rPr>
            </w:pPr>
            <w:r w:rsidRPr="00E0548A">
              <w:rPr>
                <w:rFonts w:ascii="ＭＳ 明朝" w:hAnsi="ＭＳ 明朝" w:hint="eastAsia"/>
                <w:szCs w:val="21"/>
              </w:rPr>
              <w:t>○部内職員の安否確認と参集状況の把握、報告【政企総務</w:t>
            </w:r>
            <w:r w:rsidR="005E1DD6" w:rsidRPr="00E0548A">
              <w:rPr>
                <w:rFonts w:ascii="ＭＳ 明朝" w:hAnsi="ＭＳ 明朝" w:hint="eastAsia"/>
                <w:szCs w:val="21"/>
              </w:rPr>
              <w:t>課</w:t>
            </w:r>
            <w:r w:rsidRPr="00E0548A">
              <w:rPr>
                <w:rFonts w:ascii="ＭＳ 明朝" w:hAnsi="ＭＳ 明朝" w:hint="eastAsia"/>
                <w:szCs w:val="21"/>
              </w:rPr>
              <w:t>】</w:t>
            </w:r>
          </w:p>
          <w:p w14:paraId="773A65C5" w14:textId="2838D8AB" w:rsidR="005D372A" w:rsidRPr="00E0548A" w:rsidRDefault="005D372A" w:rsidP="008B4B2B">
            <w:pPr>
              <w:rPr>
                <w:rFonts w:ascii="ＭＳ 明朝" w:hAnsi="ＭＳ 明朝"/>
                <w:szCs w:val="21"/>
              </w:rPr>
            </w:pPr>
            <w:r w:rsidRPr="00E0548A">
              <w:rPr>
                <w:rFonts w:ascii="ＭＳ 明朝" w:hAnsi="ＭＳ 明朝" w:hint="eastAsia"/>
                <w:szCs w:val="21"/>
              </w:rPr>
              <w:t>○部内及び関係機関からの情報収集及び連絡調整【政企総務</w:t>
            </w:r>
            <w:r w:rsidR="005E1DD6" w:rsidRPr="00E0548A">
              <w:rPr>
                <w:rFonts w:ascii="ＭＳ 明朝" w:hAnsi="ＭＳ 明朝" w:hint="eastAsia"/>
                <w:szCs w:val="21"/>
              </w:rPr>
              <w:t>課</w:t>
            </w:r>
            <w:r w:rsidRPr="00E0548A">
              <w:rPr>
                <w:rFonts w:ascii="ＭＳ 明朝" w:hAnsi="ＭＳ 明朝" w:hint="eastAsia"/>
                <w:szCs w:val="21"/>
              </w:rPr>
              <w:t>】</w:t>
            </w:r>
          </w:p>
          <w:p w14:paraId="165F1CB2" w14:textId="464DC1D0" w:rsidR="005D372A" w:rsidRPr="00E0548A" w:rsidRDefault="005D372A" w:rsidP="008B4B2B">
            <w:pPr>
              <w:rPr>
                <w:rFonts w:ascii="ＭＳ 明朝" w:hAnsi="ＭＳ 明朝"/>
                <w:szCs w:val="21"/>
              </w:rPr>
            </w:pPr>
            <w:r w:rsidRPr="00E0548A">
              <w:rPr>
                <w:rFonts w:ascii="ＭＳ 明朝" w:hAnsi="ＭＳ 明朝" w:hint="eastAsia"/>
                <w:szCs w:val="21"/>
              </w:rPr>
              <w:t>○災害対策本部へのリエゾン派遣【政企総務</w:t>
            </w:r>
            <w:r w:rsidR="005E1DD6" w:rsidRPr="00E0548A">
              <w:rPr>
                <w:rFonts w:ascii="ＭＳ 明朝" w:hAnsi="ＭＳ 明朝" w:hint="eastAsia"/>
                <w:szCs w:val="21"/>
              </w:rPr>
              <w:t>課</w:t>
            </w:r>
            <w:r w:rsidRPr="00E0548A">
              <w:rPr>
                <w:rFonts w:ascii="ＭＳ 明朝" w:hAnsi="ＭＳ 明朝" w:hint="eastAsia"/>
                <w:szCs w:val="21"/>
              </w:rPr>
              <w:t>】</w:t>
            </w:r>
          </w:p>
          <w:p w14:paraId="59DCA251" w14:textId="6B2CF1A3" w:rsidR="005D372A" w:rsidRPr="00E0548A" w:rsidRDefault="005D372A" w:rsidP="008B4B2B">
            <w:pPr>
              <w:rPr>
                <w:rFonts w:ascii="ＭＳ 明朝" w:hAnsi="ＭＳ 明朝"/>
                <w:szCs w:val="21"/>
              </w:rPr>
            </w:pPr>
            <w:r w:rsidRPr="00E0548A">
              <w:rPr>
                <w:rFonts w:ascii="ＭＳ 明朝" w:hAnsi="ＭＳ 明朝" w:hint="eastAsia"/>
                <w:szCs w:val="21"/>
              </w:rPr>
              <w:t>○知事・副知事の登庁手配(庁外の場合)【秘書</w:t>
            </w:r>
            <w:r w:rsidR="005E1DD6" w:rsidRPr="00E0548A">
              <w:rPr>
                <w:rFonts w:ascii="ＭＳ 明朝" w:hAnsi="ＭＳ 明朝" w:hint="eastAsia"/>
                <w:szCs w:val="21"/>
              </w:rPr>
              <w:t>課</w:t>
            </w:r>
            <w:r w:rsidRPr="00E0548A">
              <w:rPr>
                <w:rFonts w:ascii="ＭＳ 明朝" w:hAnsi="ＭＳ 明朝" w:hint="eastAsia"/>
                <w:szCs w:val="21"/>
              </w:rPr>
              <w:t>】</w:t>
            </w:r>
          </w:p>
          <w:p w14:paraId="004BEC79" w14:textId="77777777" w:rsidR="005D372A" w:rsidRPr="00E0548A" w:rsidRDefault="005D372A" w:rsidP="008B4B2B">
            <w:pPr>
              <w:rPr>
                <w:rFonts w:ascii="ＭＳ 明朝" w:hAnsi="ＭＳ 明朝"/>
                <w:szCs w:val="21"/>
              </w:rPr>
            </w:pPr>
            <w:r w:rsidRPr="00E0548A">
              <w:rPr>
                <w:rFonts w:ascii="ＭＳ 明朝" w:hAnsi="ＭＳ 明朝" w:hint="eastAsia"/>
                <w:szCs w:val="21"/>
              </w:rPr>
              <w:t>○災害対策本部事務局報道班業務【企画室】</w:t>
            </w:r>
          </w:p>
          <w:p w14:paraId="7BBB98C6" w14:textId="774D1B16" w:rsidR="005D372A" w:rsidRPr="00E0548A" w:rsidRDefault="005E1DD6" w:rsidP="008B4B2B">
            <w:pPr>
              <w:rPr>
                <w:rFonts w:ascii="ＭＳ 明朝" w:hAnsi="ＭＳ 明朝"/>
                <w:szCs w:val="21"/>
              </w:rPr>
            </w:pPr>
            <w:r w:rsidRPr="00E0548A">
              <w:rPr>
                <w:rFonts w:ascii="ＭＳ 明朝" w:hAnsi="ＭＳ 明朝" w:hint="eastAsia"/>
                <w:szCs w:val="21"/>
              </w:rPr>
              <w:t>○空港の被害状況の把握【成長戦略局</w:t>
            </w:r>
            <w:r w:rsidR="005D372A" w:rsidRPr="00E0548A">
              <w:rPr>
                <w:rFonts w:ascii="ＭＳ 明朝" w:hAnsi="ＭＳ 明朝" w:hint="eastAsia"/>
                <w:szCs w:val="21"/>
              </w:rPr>
              <w:t>】</w:t>
            </w:r>
          </w:p>
          <w:p w14:paraId="66E0D452" w14:textId="77777777" w:rsidR="005D372A" w:rsidRPr="00E0548A" w:rsidRDefault="005D372A" w:rsidP="008B4B2B">
            <w:pPr>
              <w:rPr>
                <w:rFonts w:ascii="ＭＳ 明朝" w:hAnsi="ＭＳ 明朝"/>
                <w:szCs w:val="21"/>
              </w:rPr>
            </w:pPr>
            <w:r w:rsidRPr="00E0548A">
              <w:rPr>
                <w:rFonts w:ascii="ＭＳ 明朝" w:hAnsi="ＭＳ 明朝" w:hint="eastAsia"/>
                <w:szCs w:val="21"/>
              </w:rPr>
              <w:t>○職員・来庁者の救助・搬送【各所属】</w:t>
            </w:r>
          </w:p>
        </w:tc>
      </w:tr>
      <w:tr w:rsidR="00E0548A" w:rsidRPr="00E0548A" w14:paraId="256DF914" w14:textId="77777777" w:rsidTr="008B4B2B">
        <w:trPr>
          <w:jc w:val="center"/>
        </w:trPr>
        <w:tc>
          <w:tcPr>
            <w:tcW w:w="1526" w:type="dxa"/>
          </w:tcPr>
          <w:p w14:paraId="225165D0" w14:textId="77777777" w:rsidR="005D372A" w:rsidRPr="00E0548A" w:rsidRDefault="005D372A" w:rsidP="008B4B2B">
            <w:pPr>
              <w:rPr>
                <w:rFonts w:ascii="ＭＳ 明朝" w:hAnsi="ＭＳ 明朝"/>
                <w:szCs w:val="21"/>
              </w:rPr>
            </w:pPr>
            <w:r w:rsidRPr="00E0548A">
              <w:rPr>
                <w:rFonts w:ascii="ＭＳ 明朝" w:hAnsi="ＭＳ 明朝" w:hint="eastAsia"/>
                <w:szCs w:val="21"/>
              </w:rPr>
              <w:t>第2フェーズ</w:t>
            </w:r>
          </w:p>
          <w:p w14:paraId="27BB907D" w14:textId="77777777" w:rsidR="005D372A" w:rsidRPr="00E0548A" w:rsidRDefault="005D372A" w:rsidP="008B4B2B">
            <w:pPr>
              <w:rPr>
                <w:rFonts w:ascii="ＭＳ 明朝" w:hAnsi="ＭＳ 明朝"/>
                <w:szCs w:val="21"/>
              </w:rPr>
            </w:pPr>
            <w:r w:rsidRPr="00E0548A">
              <w:rPr>
                <w:rFonts w:ascii="ＭＳ 明朝" w:hAnsi="ＭＳ 明朝" w:hint="eastAsia"/>
                <w:szCs w:val="21"/>
              </w:rPr>
              <w:t>(24時間まで)</w:t>
            </w:r>
          </w:p>
        </w:tc>
        <w:tc>
          <w:tcPr>
            <w:tcW w:w="7176" w:type="dxa"/>
          </w:tcPr>
          <w:p w14:paraId="61A2E087" w14:textId="1FF71917" w:rsidR="005D372A" w:rsidRPr="00E0548A" w:rsidRDefault="005D372A" w:rsidP="008B4B2B">
            <w:pPr>
              <w:ind w:left="211" w:hangingChars="100" w:hanging="211"/>
              <w:rPr>
                <w:rFonts w:ascii="ＭＳ 明朝" w:hAnsi="ＭＳ 明朝"/>
                <w:szCs w:val="21"/>
              </w:rPr>
            </w:pPr>
            <w:r w:rsidRPr="00E0548A">
              <w:rPr>
                <w:rFonts w:ascii="ＭＳ 明朝" w:hAnsi="ＭＳ 明朝" w:hint="eastAsia"/>
                <w:szCs w:val="21"/>
              </w:rPr>
              <w:t>○所管施設の被害状況の把握【政企総務</w:t>
            </w:r>
            <w:r w:rsidR="005E1DD6" w:rsidRPr="00E0548A">
              <w:rPr>
                <w:rFonts w:ascii="ＭＳ 明朝" w:hAnsi="ＭＳ 明朝" w:hint="eastAsia"/>
                <w:szCs w:val="21"/>
              </w:rPr>
              <w:t>課</w:t>
            </w:r>
            <w:r w:rsidRPr="00E0548A">
              <w:rPr>
                <w:rFonts w:ascii="ＭＳ 明朝" w:hAnsi="ＭＳ 明朝" w:hint="eastAsia"/>
                <w:szCs w:val="21"/>
              </w:rPr>
              <w:t>】、報告及び二次災害防止対策の実施【各所管所属】</w:t>
            </w:r>
          </w:p>
          <w:p w14:paraId="408C8212" w14:textId="439A6BE2" w:rsidR="005D372A" w:rsidRPr="00E0548A" w:rsidRDefault="005D372A" w:rsidP="008B4B2B">
            <w:pPr>
              <w:rPr>
                <w:rFonts w:ascii="ＭＳ 明朝" w:hAnsi="ＭＳ 明朝"/>
                <w:szCs w:val="21"/>
              </w:rPr>
            </w:pPr>
            <w:r w:rsidRPr="00E0548A">
              <w:rPr>
                <w:rFonts w:ascii="ＭＳ 明朝" w:hAnsi="ＭＳ 明朝" w:hint="eastAsia"/>
                <w:szCs w:val="21"/>
              </w:rPr>
              <w:t>○知事・副知事の日程等に係る連絡調整【秘書</w:t>
            </w:r>
            <w:r w:rsidR="005E1DD6" w:rsidRPr="00E0548A">
              <w:rPr>
                <w:rFonts w:ascii="ＭＳ 明朝" w:hAnsi="ＭＳ 明朝" w:hint="eastAsia"/>
                <w:szCs w:val="21"/>
              </w:rPr>
              <w:t>課</w:t>
            </w:r>
            <w:r w:rsidRPr="00E0548A">
              <w:rPr>
                <w:rFonts w:ascii="ＭＳ 明朝" w:hAnsi="ＭＳ 明朝" w:hint="eastAsia"/>
                <w:szCs w:val="21"/>
              </w:rPr>
              <w:t>】</w:t>
            </w:r>
          </w:p>
          <w:p w14:paraId="6966BD03" w14:textId="248CCCCD" w:rsidR="005D372A" w:rsidRPr="00E0548A" w:rsidRDefault="005D372A" w:rsidP="00B35001">
            <w:pPr>
              <w:rPr>
                <w:rFonts w:ascii="ＭＳ 明朝" w:hAnsi="ＭＳ 明朝"/>
                <w:szCs w:val="21"/>
              </w:rPr>
            </w:pPr>
            <w:r w:rsidRPr="00E0548A">
              <w:rPr>
                <w:rFonts w:ascii="ＭＳ 明朝" w:hAnsi="ＭＳ 明朝" w:hint="eastAsia"/>
                <w:szCs w:val="21"/>
              </w:rPr>
              <w:t>○</w:t>
            </w:r>
            <w:r w:rsidR="005E1DD6" w:rsidRPr="00E0548A">
              <w:rPr>
                <w:rFonts w:ascii="ＭＳ 明朝" w:hAnsi="ＭＳ 明朝" w:hint="eastAsia"/>
                <w:szCs w:val="21"/>
              </w:rPr>
              <w:t>空港の被害状況の把握【成長戦略局</w:t>
            </w:r>
            <w:r w:rsidRPr="00E0548A">
              <w:rPr>
                <w:rFonts w:ascii="ＭＳ 明朝" w:hAnsi="ＭＳ 明朝" w:hint="eastAsia"/>
                <w:szCs w:val="21"/>
              </w:rPr>
              <w:t>】</w:t>
            </w:r>
          </w:p>
        </w:tc>
      </w:tr>
      <w:tr w:rsidR="00E0548A" w:rsidRPr="00E0548A" w14:paraId="496EF2FA" w14:textId="77777777" w:rsidTr="008B4B2B">
        <w:trPr>
          <w:jc w:val="center"/>
        </w:trPr>
        <w:tc>
          <w:tcPr>
            <w:tcW w:w="1526" w:type="dxa"/>
          </w:tcPr>
          <w:p w14:paraId="06F937B4" w14:textId="77777777" w:rsidR="005D372A" w:rsidRPr="00E0548A" w:rsidRDefault="005D372A" w:rsidP="008B4B2B">
            <w:pPr>
              <w:rPr>
                <w:rFonts w:ascii="ＭＳ 明朝" w:hAnsi="ＭＳ 明朝"/>
                <w:szCs w:val="21"/>
              </w:rPr>
            </w:pPr>
            <w:r w:rsidRPr="00E0548A">
              <w:rPr>
                <w:rFonts w:ascii="ＭＳ 明朝" w:hAnsi="ＭＳ 明朝" w:hint="eastAsia"/>
                <w:szCs w:val="21"/>
              </w:rPr>
              <w:t>第3フェーズ</w:t>
            </w:r>
          </w:p>
          <w:p w14:paraId="21DABA27" w14:textId="77777777" w:rsidR="005D372A" w:rsidRPr="00E0548A" w:rsidRDefault="005D372A" w:rsidP="008B4B2B">
            <w:pPr>
              <w:rPr>
                <w:rFonts w:ascii="ＭＳ 明朝" w:hAnsi="ＭＳ 明朝"/>
                <w:szCs w:val="21"/>
              </w:rPr>
            </w:pPr>
            <w:r w:rsidRPr="00E0548A">
              <w:rPr>
                <w:rFonts w:ascii="ＭＳ 明朝" w:hAnsi="ＭＳ 明朝" w:hint="eastAsia"/>
                <w:szCs w:val="21"/>
              </w:rPr>
              <w:t>(72時間まで)</w:t>
            </w:r>
          </w:p>
        </w:tc>
        <w:tc>
          <w:tcPr>
            <w:tcW w:w="7176" w:type="dxa"/>
          </w:tcPr>
          <w:p w14:paraId="5F2421C3" w14:textId="45A00244" w:rsidR="005D372A" w:rsidRPr="00E0548A" w:rsidRDefault="005D372A" w:rsidP="008B4B2B">
            <w:pPr>
              <w:rPr>
                <w:rFonts w:ascii="ＭＳ 明朝" w:hAnsi="ＭＳ 明朝"/>
                <w:szCs w:val="21"/>
              </w:rPr>
            </w:pPr>
            <w:r w:rsidRPr="00E0548A">
              <w:rPr>
                <w:rFonts w:ascii="ＭＳ 明朝" w:hAnsi="ＭＳ 明朝" w:hint="eastAsia"/>
                <w:szCs w:val="21"/>
              </w:rPr>
              <w:t>○国への緊急要望の取りまとめ【政企総務</w:t>
            </w:r>
            <w:r w:rsidR="005E1DD6" w:rsidRPr="00E0548A">
              <w:rPr>
                <w:rFonts w:ascii="ＭＳ 明朝" w:hAnsi="ＭＳ 明朝" w:hint="eastAsia"/>
                <w:szCs w:val="21"/>
              </w:rPr>
              <w:t>課</w:t>
            </w:r>
            <w:r w:rsidRPr="00E0548A">
              <w:rPr>
                <w:rFonts w:ascii="ＭＳ 明朝" w:hAnsi="ＭＳ 明朝" w:hint="eastAsia"/>
                <w:szCs w:val="21"/>
              </w:rPr>
              <w:t>】</w:t>
            </w:r>
          </w:p>
          <w:p w14:paraId="08302D81" w14:textId="1BC781E9" w:rsidR="005D372A" w:rsidRPr="00E0548A" w:rsidRDefault="005D372A" w:rsidP="008B4B2B">
            <w:r w:rsidRPr="00E0548A">
              <w:rPr>
                <w:rFonts w:hint="eastAsia"/>
              </w:rPr>
              <w:t>○知事・副知事の災害の見舞及び視察等に係る連絡調整【秘書</w:t>
            </w:r>
            <w:r w:rsidR="005E1DD6" w:rsidRPr="00E0548A">
              <w:rPr>
                <w:rFonts w:hint="eastAsia"/>
              </w:rPr>
              <w:t>課</w:t>
            </w:r>
            <w:r w:rsidRPr="00E0548A">
              <w:rPr>
                <w:rFonts w:hint="eastAsia"/>
              </w:rPr>
              <w:t>】</w:t>
            </w:r>
          </w:p>
          <w:p w14:paraId="3B4E6469" w14:textId="7AE5845D" w:rsidR="005D372A" w:rsidRPr="00E0548A" w:rsidRDefault="005D372A" w:rsidP="008B4B2B">
            <w:pPr>
              <w:rPr>
                <w:rFonts w:ascii="ＭＳ 明朝" w:hAnsi="ＭＳ 明朝"/>
                <w:szCs w:val="21"/>
              </w:rPr>
            </w:pPr>
            <w:r w:rsidRPr="00E0548A">
              <w:rPr>
                <w:rFonts w:hint="eastAsia"/>
              </w:rPr>
              <w:t>○原子力災害</w:t>
            </w:r>
            <w:r w:rsidR="00D90277" w:rsidRPr="00E0548A">
              <w:rPr>
                <w:rFonts w:hint="eastAsia"/>
              </w:rPr>
              <w:t>の状況について、大阪府原子炉問題審議会委員への情報提供【企画室</w:t>
            </w:r>
            <w:r w:rsidRPr="00E0548A">
              <w:rPr>
                <w:rFonts w:hint="eastAsia"/>
              </w:rPr>
              <w:t>】</w:t>
            </w:r>
          </w:p>
        </w:tc>
      </w:tr>
      <w:tr w:rsidR="00E0548A" w:rsidRPr="00E0548A" w14:paraId="42170013" w14:textId="77777777" w:rsidTr="008B4B2B">
        <w:trPr>
          <w:jc w:val="center"/>
        </w:trPr>
        <w:tc>
          <w:tcPr>
            <w:tcW w:w="1526" w:type="dxa"/>
          </w:tcPr>
          <w:p w14:paraId="406C2AB3" w14:textId="77777777" w:rsidR="005D372A" w:rsidRPr="00E0548A" w:rsidRDefault="005D372A" w:rsidP="008B4B2B">
            <w:pPr>
              <w:rPr>
                <w:rFonts w:ascii="ＭＳ 明朝" w:hAnsi="ＭＳ 明朝"/>
                <w:szCs w:val="21"/>
              </w:rPr>
            </w:pPr>
            <w:r w:rsidRPr="00E0548A">
              <w:rPr>
                <w:rFonts w:ascii="ＭＳ 明朝" w:hAnsi="ＭＳ 明朝" w:hint="eastAsia"/>
                <w:szCs w:val="21"/>
              </w:rPr>
              <w:t>第4フェーズ</w:t>
            </w:r>
          </w:p>
          <w:p w14:paraId="10AEF29E" w14:textId="77777777" w:rsidR="005D372A" w:rsidRPr="00E0548A" w:rsidRDefault="005D372A" w:rsidP="008B4B2B">
            <w:pPr>
              <w:rPr>
                <w:rFonts w:ascii="ＭＳ 明朝" w:hAnsi="ＭＳ 明朝"/>
                <w:szCs w:val="21"/>
              </w:rPr>
            </w:pPr>
            <w:r w:rsidRPr="00E0548A">
              <w:rPr>
                <w:rFonts w:ascii="ＭＳ 明朝" w:hAnsi="ＭＳ 明朝" w:hint="eastAsia"/>
                <w:szCs w:val="21"/>
              </w:rPr>
              <w:t>(1週間まで)</w:t>
            </w:r>
          </w:p>
        </w:tc>
        <w:tc>
          <w:tcPr>
            <w:tcW w:w="7176" w:type="dxa"/>
          </w:tcPr>
          <w:p w14:paraId="229E45DB" w14:textId="760DC8A1" w:rsidR="005D372A" w:rsidRPr="00E0548A" w:rsidRDefault="005D372A" w:rsidP="008B4B2B">
            <w:pPr>
              <w:rPr>
                <w:rFonts w:ascii="ＭＳ 明朝" w:hAnsi="ＭＳ 明朝"/>
                <w:szCs w:val="21"/>
              </w:rPr>
            </w:pPr>
            <w:r w:rsidRPr="00E0548A">
              <w:rPr>
                <w:rFonts w:ascii="ＭＳ 明朝" w:hAnsi="ＭＳ 明朝" w:hint="eastAsia"/>
                <w:szCs w:val="21"/>
              </w:rPr>
              <w:t>○</w:t>
            </w:r>
            <w:r w:rsidR="005E1DD6" w:rsidRPr="00E0548A">
              <w:rPr>
                <w:rFonts w:ascii="ＭＳ 明朝" w:hAnsi="ＭＳ 明朝" w:hint="eastAsia"/>
                <w:szCs w:val="21"/>
              </w:rPr>
              <w:t>国会議員の視察</w:t>
            </w:r>
            <w:r w:rsidRPr="00E0548A">
              <w:rPr>
                <w:rFonts w:ascii="ＭＳ 明朝" w:hAnsi="ＭＳ 明朝" w:hint="eastAsia"/>
                <w:szCs w:val="21"/>
              </w:rPr>
              <w:t>等に関する調整【政企総務</w:t>
            </w:r>
            <w:r w:rsidR="005E1DD6" w:rsidRPr="00E0548A">
              <w:rPr>
                <w:rFonts w:ascii="ＭＳ 明朝" w:hAnsi="ＭＳ 明朝" w:hint="eastAsia"/>
                <w:szCs w:val="21"/>
              </w:rPr>
              <w:t>課</w:t>
            </w:r>
            <w:r w:rsidRPr="00E0548A">
              <w:rPr>
                <w:rFonts w:ascii="ＭＳ 明朝" w:hAnsi="ＭＳ 明朝" w:hint="eastAsia"/>
                <w:szCs w:val="21"/>
              </w:rPr>
              <w:t>】</w:t>
            </w:r>
          </w:p>
          <w:p w14:paraId="2CEAADB7" w14:textId="77777777" w:rsidR="005D372A" w:rsidRPr="00E0548A" w:rsidRDefault="005D372A" w:rsidP="008B4B2B">
            <w:pPr>
              <w:rPr>
                <w:rFonts w:ascii="ＭＳ 明朝" w:hAnsi="ＭＳ 明朝"/>
                <w:szCs w:val="21"/>
              </w:rPr>
            </w:pPr>
            <w:r w:rsidRPr="00E0548A">
              <w:rPr>
                <w:rFonts w:ascii="ＭＳ 明朝" w:hAnsi="ＭＳ 明朝" w:hint="eastAsia"/>
                <w:szCs w:val="21"/>
              </w:rPr>
              <w:t>○復興対策本部の設置準備（災害復興対策）【企画室】</w:t>
            </w:r>
          </w:p>
        </w:tc>
      </w:tr>
      <w:tr w:rsidR="00E0548A" w:rsidRPr="00E0548A" w14:paraId="34ED3015" w14:textId="77777777" w:rsidTr="008B4B2B">
        <w:trPr>
          <w:jc w:val="center"/>
        </w:trPr>
        <w:tc>
          <w:tcPr>
            <w:tcW w:w="1526" w:type="dxa"/>
          </w:tcPr>
          <w:p w14:paraId="076AB465" w14:textId="77777777" w:rsidR="005D372A" w:rsidRPr="00E0548A" w:rsidRDefault="005D372A" w:rsidP="008B4B2B">
            <w:pPr>
              <w:rPr>
                <w:rFonts w:ascii="ＭＳ 明朝" w:hAnsi="ＭＳ 明朝"/>
                <w:szCs w:val="21"/>
              </w:rPr>
            </w:pPr>
            <w:r w:rsidRPr="00E0548A">
              <w:rPr>
                <w:rFonts w:ascii="ＭＳ 明朝" w:hAnsi="ＭＳ 明朝" w:hint="eastAsia"/>
                <w:szCs w:val="21"/>
              </w:rPr>
              <w:t>第5フェーズ</w:t>
            </w:r>
          </w:p>
          <w:p w14:paraId="239731DA" w14:textId="77777777" w:rsidR="005D372A" w:rsidRPr="00E0548A" w:rsidRDefault="005D372A" w:rsidP="008B4B2B">
            <w:pPr>
              <w:rPr>
                <w:rFonts w:ascii="ＭＳ 明朝" w:hAnsi="ＭＳ 明朝"/>
                <w:szCs w:val="21"/>
              </w:rPr>
            </w:pPr>
            <w:r w:rsidRPr="00E0548A">
              <w:rPr>
                <w:rFonts w:ascii="ＭＳ 明朝" w:hAnsi="ＭＳ 明朝" w:hint="eastAsia"/>
                <w:szCs w:val="21"/>
              </w:rPr>
              <w:t>(2週間まで)</w:t>
            </w:r>
          </w:p>
        </w:tc>
        <w:tc>
          <w:tcPr>
            <w:tcW w:w="7176" w:type="dxa"/>
          </w:tcPr>
          <w:p w14:paraId="7A6043A5" w14:textId="77777777" w:rsidR="005D372A" w:rsidRPr="00E0548A" w:rsidRDefault="005D372A" w:rsidP="008B4B2B">
            <w:pPr>
              <w:ind w:left="211" w:hangingChars="100" w:hanging="211"/>
              <w:rPr>
                <w:rFonts w:ascii="ＭＳ 明朝" w:hAnsi="ＭＳ 明朝"/>
                <w:szCs w:val="21"/>
              </w:rPr>
            </w:pPr>
            <w:r w:rsidRPr="00E0548A">
              <w:rPr>
                <w:rFonts w:ascii="ＭＳ 明朝" w:hAnsi="ＭＳ 明朝" w:hint="eastAsia"/>
                <w:szCs w:val="21"/>
              </w:rPr>
              <w:t>○被災所管施設の応急復旧（当該施設において応急的に業務を再開するために実施する措置のことをいう。本格的な復旧作業の前段階。）開始</w:t>
            </w:r>
          </w:p>
          <w:p w14:paraId="5A100DC5" w14:textId="77777777" w:rsidR="005D372A" w:rsidRPr="00E0548A" w:rsidRDefault="005D372A" w:rsidP="008B4B2B">
            <w:pPr>
              <w:rPr>
                <w:rFonts w:ascii="ＭＳ 明朝" w:hAnsi="ＭＳ 明朝"/>
                <w:szCs w:val="21"/>
              </w:rPr>
            </w:pPr>
            <w:r w:rsidRPr="00E0548A">
              <w:rPr>
                <w:rFonts w:ascii="ＭＳ 明朝" w:hAnsi="ＭＳ 明朝" w:hint="eastAsia"/>
                <w:szCs w:val="21"/>
              </w:rPr>
              <w:t>○復興対策本部の設置（災害復興対策）【企画室】</w:t>
            </w:r>
          </w:p>
        </w:tc>
      </w:tr>
      <w:tr w:rsidR="00E0548A" w:rsidRPr="00E0548A" w14:paraId="57B283B8" w14:textId="77777777" w:rsidTr="008B4B2B">
        <w:trPr>
          <w:jc w:val="center"/>
        </w:trPr>
        <w:tc>
          <w:tcPr>
            <w:tcW w:w="1526" w:type="dxa"/>
          </w:tcPr>
          <w:p w14:paraId="0A5A7697" w14:textId="77777777" w:rsidR="005D372A" w:rsidRPr="00E0548A" w:rsidRDefault="005D372A" w:rsidP="008B4B2B">
            <w:pPr>
              <w:rPr>
                <w:rFonts w:ascii="ＭＳ 明朝" w:hAnsi="ＭＳ 明朝"/>
                <w:szCs w:val="21"/>
              </w:rPr>
            </w:pPr>
            <w:r w:rsidRPr="00E0548A">
              <w:rPr>
                <w:rFonts w:ascii="ＭＳ 明朝" w:hAnsi="ＭＳ 明朝" w:hint="eastAsia"/>
                <w:szCs w:val="21"/>
              </w:rPr>
              <w:t>第6フェーズ</w:t>
            </w:r>
          </w:p>
          <w:p w14:paraId="4B8433FB" w14:textId="77777777" w:rsidR="005D372A" w:rsidRPr="00E0548A" w:rsidRDefault="005D372A" w:rsidP="008B4B2B">
            <w:pPr>
              <w:rPr>
                <w:rFonts w:ascii="ＭＳ 明朝" w:hAnsi="ＭＳ 明朝"/>
                <w:szCs w:val="21"/>
              </w:rPr>
            </w:pPr>
            <w:r w:rsidRPr="00E0548A">
              <w:rPr>
                <w:rFonts w:ascii="ＭＳ 明朝" w:hAnsi="ＭＳ 明朝" w:hint="eastAsia"/>
                <w:szCs w:val="21"/>
              </w:rPr>
              <w:t>(1ヶ月まで)</w:t>
            </w:r>
          </w:p>
        </w:tc>
        <w:tc>
          <w:tcPr>
            <w:tcW w:w="7176" w:type="dxa"/>
          </w:tcPr>
          <w:p w14:paraId="29CAF5B5" w14:textId="77777777" w:rsidR="005D372A" w:rsidRPr="00E0548A" w:rsidRDefault="005D372A" w:rsidP="008B4B2B">
            <w:pPr>
              <w:rPr>
                <w:rFonts w:ascii="ＭＳ ゴシック" w:eastAsia="ＭＳ ゴシック" w:hAnsi="ＭＳ ゴシック"/>
                <w:szCs w:val="21"/>
              </w:rPr>
            </w:pPr>
            <w:r w:rsidRPr="00E0548A">
              <w:rPr>
                <w:rFonts w:ascii="ＭＳ 明朝" w:hAnsi="ＭＳ 明朝" w:hint="eastAsia"/>
                <w:szCs w:val="21"/>
              </w:rPr>
              <w:t>○被災所管施設の応急復旧</w:t>
            </w:r>
          </w:p>
          <w:p w14:paraId="6A40EC34" w14:textId="77777777" w:rsidR="005D372A" w:rsidRPr="00E0548A" w:rsidRDefault="005D372A" w:rsidP="008B4B2B">
            <w:pPr>
              <w:rPr>
                <w:rFonts w:ascii="ＭＳ 明朝" w:hAnsi="ＭＳ 明朝"/>
                <w:szCs w:val="21"/>
              </w:rPr>
            </w:pPr>
            <w:r w:rsidRPr="00E0548A">
              <w:rPr>
                <w:rFonts w:ascii="ＭＳ 明朝" w:hAnsi="ＭＳ 明朝" w:hint="eastAsia"/>
                <w:szCs w:val="21"/>
              </w:rPr>
              <w:t>○復興基本方針の策定（災害復興対策）【企画室】</w:t>
            </w:r>
          </w:p>
        </w:tc>
      </w:tr>
    </w:tbl>
    <w:p w14:paraId="76741B35" w14:textId="67F03A2C" w:rsidR="005D372A" w:rsidRPr="00E0548A" w:rsidRDefault="005E1DD6" w:rsidP="005D372A">
      <w:pPr>
        <w:rPr>
          <w:rFonts w:ascii="ＭＳ 明朝" w:hAnsi="ＭＳ 明朝"/>
          <w:szCs w:val="21"/>
        </w:rPr>
      </w:pPr>
      <w:r w:rsidRPr="00E0548A">
        <w:rPr>
          <w:rFonts w:ascii="ＭＳ 明朝" w:hAnsi="ＭＳ 明朝" w:hint="eastAsia"/>
          <w:szCs w:val="21"/>
        </w:rPr>
        <w:t>※主な所管施設：東京事務所</w:t>
      </w:r>
    </w:p>
    <w:p w14:paraId="5F44B9A3" w14:textId="4EBD7EE1" w:rsidR="005D372A" w:rsidRPr="00E0548A" w:rsidRDefault="005D372A" w:rsidP="005D372A">
      <w:pPr>
        <w:ind w:firstLineChars="300" w:firstLine="633"/>
        <w:rPr>
          <w:rFonts w:ascii="ＭＳ 明朝" w:hAnsi="ＭＳ 明朝"/>
          <w:szCs w:val="21"/>
        </w:rPr>
      </w:pPr>
      <w:r w:rsidRPr="00E0548A">
        <w:rPr>
          <w:rFonts w:ascii="ＭＳ 明朝" w:hAnsi="ＭＳ 明朝" w:hint="eastAsia"/>
          <w:szCs w:val="21"/>
        </w:rPr>
        <w:t>関係機関：空港（関西国際・大阪国際）</w:t>
      </w:r>
      <w:r w:rsidR="005E1DD6" w:rsidRPr="00E0548A">
        <w:rPr>
          <w:rFonts w:ascii="ＭＳ 明朝" w:hAnsi="ＭＳ 明朝" w:hint="eastAsia"/>
          <w:szCs w:val="21"/>
        </w:rPr>
        <w:t>、多奈川地区多目的公園、</w:t>
      </w:r>
    </w:p>
    <w:p w14:paraId="56B94D03" w14:textId="0037DA00" w:rsidR="005E1DD6" w:rsidRPr="00E0548A" w:rsidRDefault="005E1DD6" w:rsidP="005D372A">
      <w:pPr>
        <w:ind w:firstLineChars="300" w:firstLine="633"/>
        <w:rPr>
          <w:rFonts w:ascii="ＭＳ 明朝" w:hAnsi="ＭＳ 明朝"/>
          <w:szCs w:val="21"/>
        </w:rPr>
      </w:pPr>
      <w:r w:rsidRPr="00E0548A">
        <w:rPr>
          <w:rFonts w:ascii="ＭＳ 明朝" w:hAnsi="ＭＳ 明朝" w:hint="eastAsia"/>
          <w:szCs w:val="21"/>
        </w:rPr>
        <w:t xml:space="preserve">　　　　　京都大学複合原子力科学研究所原子炉</w:t>
      </w:r>
    </w:p>
    <w:p w14:paraId="700D70F0" w14:textId="4EB28FF0" w:rsidR="00F2568A" w:rsidRPr="00E0548A" w:rsidRDefault="00F2568A" w:rsidP="00F2568A">
      <w:pPr>
        <w:rPr>
          <w:rFonts w:ascii="ＭＳ 明朝" w:hAnsi="ＭＳ 明朝"/>
          <w:szCs w:val="21"/>
        </w:rPr>
      </w:pPr>
    </w:p>
    <w:p w14:paraId="3348C1A1" w14:textId="0939165B" w:rsidR="00F2568A" w:rsidRPr="00E0548A" w:rsidRDefault="00F2568A" w:rsidP="00F2568A">
      <w:pPr>
        <w:rPr>
          <w:rFonts w:ascii="ＭＳ 明朝" w:hAnsi="ＭＳ 明朝"/>
          <w:szCs w:val="21"/>
        </w:rPr>
      </w:pPr>
    </w:p>
    <w:p w14:paraId="6E1B64DE" w14:textId="77777777" w:rsidR="00F2568A" w:rsidRPr="00E0548A" w:rsidRDefault="00F2568A" w:rsidP="00F2568A">
      <w:pPr>
        <w:rPr>
          <w:rFonts w:ascii="ＭＳ 明朝" w:hAnsi="ＭＳ 明朝"/>
          <w:szCs w:val="21"/>
        </w:rPr>
      </w:pPr>
    </w:p>
    <w:p w14:paraId="57C98CC2" w14:textId="77777777" w:rsidR="00DE55B0" w:rsidRPr="00E0548A" w:rsidRDefault="00DE55B0">
      <w:pPr>
        <w:widowControl/>
        <w:jc w:val="left"/>
        <w:rPr>
          <w:rFonts w:ascii="ＭＳ ゴシック" w:eastAsia="ＭＳ ゴシック" w:hAnsi="ＭＳ ゴシック"/>
          <w:szCs w:val="21"/>
        </w:rPr>
      </w:pPr>
      <w:r w:rsidRPr="00E0548A">
        <w:rPr>
          <w:rFonts w:ascii="ＭＳ ゴシック" w:eastAsia="ＭＳ ゴシック" w:hAnsi="ＭＳ ゴシック"/>
          <w:szCs w:val="21"/>
        </w:rPr>
        <w:br w:type="page"/>
      </w:r>
    </w:p>
    <w:p w14:paraId="46515D24" w14:textId="2C33BC3F" w:rsidR="00F2568A" w:rsidRPr="00E0548A" w:rsidRDefault="00F2568A" w:rsidP="00F2568A">
      <w:pPr>
        <w:pStyle w:val="af4"/>
        <w:ind w:leftChars="0" w:left="0"/>
        <w:rPr>
          <w:rFonts w:ascii="ＭＳ ゴシック" w:eastAsia="ＭＳ ゴシック" w:hAnsi="ＭＳ ゴシック"/>
          <w:szCs w:val="21"/>
        </w:rPr>
      </w:pPr>
      <w:r w:rsidRPr="00E0548A">
        <w:rPr>
          <w:rFonts w:ascii="ＭＳ ゴシック" w:eastAsia="ＭＳ ゴシック" w:hAnsi="ＭＳ ゴシック" w:hint="eastAsia"/>
          <w:szCs w:val="21"/>
        </w:rPr>
        <w:lastRenderedPageBreak/>
        <w:t>＜南海トラフ地震臨時情報（巨大地震警戒）発表時＞</w:t>
      </w:r>
    </w:p>
    <w:tbl>
      <w:tblPr>
        <w:tblpPr w:leftFromText="142" w:rightFromText="142" w:vertAnchor="text" w:tblpXSpec="center" w:tblpY="1"/>
        <w:tblOverlap w:val="neve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00"/>
        <w:gridCol w:w="7334"/>
      </w:tblGrid>
      <w:tr w:rsidR="00E0548A" w:rsidRPr="00E0548A" w14:paraId="100653BA" w14:textId="77777777" w:rsidTr="008C78D9">
        <w:trPr>
          <w:jc w:val="center"/>
        </w:trPr>
        <w:tc>
          <w:tcPr>
            <w:tcW w:w="1500" w:type="dxa"/>
            <w:tcBorders>
              <w:bottom w:val="single" w:sz="4" w:space="0" w:color="auto"/>
            </w:tcBorders>
            <w:shd w:val="clear" w:color="auto" w:fill="BFBFBF"/>
          </w:tcPr>
          <w:p w14:paraId="3A6EF9FB" w14:textId="77777777" w:rsidR="00F2568A" w:rsidRPr="00E0548A" w:rsidRDefault="00F2568A" w:rsidP="008C78D9">
            <w:pPr>
              <w:jc w:val="center"/>
              <w:rPr>
                <w:rFonts w:ascii="ＭＳ 明朝" w:hAnsi="ＭＳ 明朝"/>
                <w:szCs w:val="21"/>
              </w:rPr>
            </w:pPr>
            <w:r w:rsidRPr="00E0548A">
              <w:rPr>
                <w:rFonts w:ascii="ＭＳ 明朝" w:hAnsi="ＭＳ 明朝" w:hint="eastAsia"/>
                <w:szCs w:val="21"/>
              </w:rPr>
              <w:t>臨時情報</w:t>
            </w:r>
          </w:p>
        </w:tc>
        <w:tc>
          <w:tcPr>
            <w:tcW w:w="7334" w:type="dxa"/>
            <w:tcBorders>
              <w:bottom w:val="single" w:sz="4" w:space="0" w:color="auto"/>
            </w:tcBorders>
            <w:shd w:val="clear" w:color="auto" w:fill="BFBFBF"/>
          </w:tcPr>
          <w:p w14:paraId="4E78EC19" w14:textId="77777777" w:rsidR="00F2568A" w:rsidRPr="00E0548A" w:rsidRDefault="00F2568A" w:rsidP="008C78D9">
            <w:pPr>
              <w:jc w:val="center"/>
              <w:rPr>
                <w:rFonts w:ascii="ＭＳ 明朝" w:hAnsi="ＭＳ 明朝"/>
                <w:szCs w:val="21"/>
              </w:rPr>
            </w:pPr>
            <w:r w:rsidRPr="00E0548A">
              <w:rPr>
                <w:rFonts w:ascii="ＭＳ 明朝" w:hAnsi="ＭＳ 明朝" w:hint="eastAsia"/>
                <w:szCs w:val="21"/>
              </w:rPr>
              <w:t>主な応急対策業務</w:t>
            </w:r>
          </w:p>
        </w:tc>
      </w:tr>
      <w:tr w:rsidR="00E0548A" w:rsidRPr="00E0548A" w14:paraId="713D0006" w14:textId="77777777" w:rsidTr="008C78D9">
        <w:trPr>
          <w:jc w:val="center"/>
        </w:trPr>
        <w:tc>
          <w:tcPr>
            <w:tcW w:w="1500" w:type="dxa"/>
          </w:tcPr>
          <w:p w14:paraId="5DC6B579" w14:textId="77777777" w:rsidR="00F2568A" w:rsidRPr="00E0548A" w:rsidRDefault="00F2568A" w:rsidP="008C78D9">
            <w:pPr>
              <w:rPr>
                <w:rFonts w:ascii="ＭＳ 明朝" w:hAnsi="ＭＳ 明朝"/>
                <w:szCs w:val="21"/>
              </w:rPr>
            </w:pPr>
            <w:r w:rsidRPr="00E0548A">
              <w:rPr>
                <w:rFonts w:ascii="ＭＳ 明朝" w:hAnsi="ＭＳ 明朝" w:hint="eastAsia"/>
                <w:szCs w:val="21"/>
              </w:rPr>
              <w:t>巨大地震警戒</w:t>
            </w:r>
          </w:p>
        </w:tc>
        <w:tc>
          <w:tcPr>
            <w:tcW w:w="7334" w:type="dxa"/>
          </w:tcPr>
          <w:p w14:paraId="1F72633A" w14:textId="77777777" w:rsidR="00497116" w:rsidRPr="00E0548A" w:rsidRDefault="00FA1FD5" w:rsidP="003F2E38">
            <w:pPr>
              <w:ind w:left="211" w:hangingChars="100" w:hanging="211"/>
              <w:rPr>
                <w:rFonts w:ascii="ＭＳ 明朝" w:hAnsi="ＭＳ 明朝"/>
              </w:rPr>
            </w:pPr>
            <w:r w:rsidRPr="00E0548A">
              <w:rPr>
                <w:rFonts w:ascii="ＭＳ 明朝" w:hAnsi="ＭＳ 明朝" w:hint="eastAsia"/>
              </w:rPr>
              <w:t>○</w:t>
            </w:r>
            <w:r w:rsidR="003F2E38" w:rsidRPr="00E0548A">
              <w:rPr>
                <w:rFonts w:ascii="ＭＳ 明朝" w:hAnsi="ＭＳ 明朝" w:hint="eastAsia"/>
              </w:rPr>
              <w:t>地震発災後、応急対策業務（第１フェーズ）を速やかに実施できる準備</w:t>
            </w:r>
          </w:p>
          <w:p w14:paraId="45D244E5" w14:textId="266C2FCC" w:rsidR="00FA1FD5" w:rsidRPr="00E0548A" w:rsidRDefault="003F2E38" w:rsidP="00497116">
            <w:pPr>
              <w:ind w:leftChars="100" w:left="211"/>
              <w:rPr>
                <w:rFonts w:ascii="ＭＳ 明朝" w:hAnsi="ＭＳ 明朝"/>
                <w:szCs w:val="22"/>
              </w:rPr>
            </w:pPr>
            <w:r w:rsidRPr="00E0548A">
              <w:rPr>
                <w:rFonts w:ascii="ＭＳ 明朝" w:hAnsi="ＭＳ 明朝" w:hint="eastAsia"/>
              </w:rPr>
              <w:t>体制を維持</w:t>
            </w:r>
          </w:p>
          <w:p w14:paraId="2EA9E5B3" w14:textId="77777777" w:rsidR="00FA1FD5" w:rsidRPr="00E0548A" w:rsidRDefault="00FA1FD5" w:rsidP="00FA1FD5">
            <w:pPr>
              <w:rPr>
                <w:rFonts w:ascii="ＭＳ 明朝" w:hAnsi="ＭＳ 明朝"/>
              </w:rPr>
            </w:pPr>
            <w:r w:rsidRPr="00E0548A">
              <w:rPr>
                <w:rFonts w:ascii="ＭＳ 明朝" w:hAnsi="ＭＳ 明朝" w:hint="eastAsia"/>
              </w:rPr>
              <w:t>○部局内の発災時の体制（BCP）の確認</w:t>
            </w:r>
          </w:p>
          <w:p w14:paraId="46DDDC11" w14:textId="77777777" w:rsidR="00FA1FD5" w:rsidRPr="00E0548A" w:rsidRDefault="00FA1FD5" w:rsidP="00FA1FD5">
            <w:pPr>
              <w:rPr>
                <w:rFonts w:ascii="ＭＳ 明朝" w:hAnsi="ＭＳ 明朝"/>
              </w:rPr>
            </w:pPr>
            <w:r w:rsidRPr="00E0548A">
              <w:rPr>
                <w:rFonts w:ascii="ＭＳ 明朝" w:hAnsi="ＭＳ 明朝" w:hint="eastAsia"/>
              </w:rPr>
              <w:t>○巨大地震に備えた体制整備、備え等の再確認</w:t>
            </w:r>
          </w:p>
          <w:p w14:paraId="4850626D" w14:textId="5AC19E90" w:rsidR="00FA1FD5" w:rsidRPr="00E0548A" w:rsidRDefault="00FA1FD5" w:rsidP="00FA1FD5">
            <w:pPr>
              <w:ind w:firstLineChars="100" w:firstLine="211"/>
              <w:rPr>
                <w:rFonts w:ascii="ＭＳ 明朝" w:hAnsi="ＭＳ 明朝"/>
              </w:rPr>
            </w:pPr>
            <w:r w:rsidRPr="00E0548A">
              <w:rPr>
                <w:rFonts w:ascii="ＭＳ 明朝" w:hAnsi="ＭＳ 明朝" w:hint="eastAsia"/>
              </w:rPr>
              <w:t>・空港（関西国際・大阪国際）</w:t>
            </w:r>
          </w:p>
          <w:p w14:paraId="4EDCB8CD" w14:textId="77777777" w:rsidR="00FA1FD5" w:rsidRPr="00E0548A" w:rsidRDefault="00FA1FD5" w:rsidP="00FA1FD5">
            <w:pPr>
              <w:ind w:firstLineChars="100" w:firstLine="211"/>
              <w:rPr>
                <w:rFonts w:ascii="ＭＳ 明朝" w:hAnsi="ＭＳ 明朝"/>
              </w:rPr>
            </w:pPr>
            <w:r w:rsidRPr="00E0548A">
              <w:rPr>
                <w:rFonts w:ascii="ＭＳ 明朝" w:hAnsi="ＭＳ 明朝" w:hint="eastAsia"/>
              </w:rPr>
              <w:t>・多奈川地区多目的公園</w:t>
            </w:r>
          </w:p>
          <w:p w14:paraId="04AA7C13" w14:textId="77777777" w:rsidR="00FA1FD5" w:rsidRPr="00E0548A" w:rsidRDefault="00FA1FD5" w:rsidP="00FA1FD5">
            <w:pPr>
              <w:ind w:firstLineChars="100" w:firstLine="211"/>
              <w:rPr>
                <w:rFonts w:ascii="ＭＳ 明朝" w:hAnsi="ＭＳ 明朝"/>
              </w:rPr>
            </w:pPr>
            <w:r w:rsidRPr="00E0548A">
              <w:rPr>
                <w:rFonts w:ascii="ＭＳ 明朝" w:hAnsi="ＭＳ 明朝" w:hint="eastAsia"/>
              </w:rPr>
              <w:t>・京都大学複合原子力科学研究所原子炉</w:t>
            </w:r>
          </w:p>
          <w:p w14:paraId="1B669216" w14:textId="77777777" w:rsidR="00FA1FD5" w:rsidRPr="00E0548A" w:rsidRDefault="00FA1FD5" w:rsidP="00FA1FD5">
            <w:pPr>
              <w:ind w:left="211" w:hangingChars="100" w:hanging="211"/>
              <w:rPr>
                <w:rFonts w:ascii="ＭＳ 明朝" w:hAnsi="ＭＳ 明朝"/>
              </w:rPr>
            </w:pPr>
            <w:r w:rsidRPr="00E0548A">
              <w:rPr>
                <w:rFonts w:ascii="ＭＳ 明朝" w:hAnsi="ＭＳ 明朝" w:hint="eastAsia"/>
              </w:rPr>
              <w:t>〇知事・副知事の日程等に係る連絡調整</w:t>
            </w:r>
          </w:p>
          <w:p w14:paraId="1DF5940A" w14:textId="6E3F11E4" w:rsidR="00482F84" w:rsidRPr="00E0548A" w:rsidRDefault="00FA1FD5" w:rsidP="00FA1FD5">
            <w:pPr>
              <w:rPr>
                <w:rFonts w:ascii="ＭＳ 明朝" w:hAnsi="ＭＳ 明朝"/>
              </w:rPr>
            </w:pPr>
            <w:r w:rsidRPr="00E0548A">
              <w:rPr>
                <w:rFonts w:ascii="ＭＳ 明朝" w:hAnsi="ＭＳ 明朝" w:hint="eastAsia"/>
              </w:rPr>
              <w:t>○所管イベントの開催可否の判断</w:t>
            </w:r>
          </w:p>
        </w:tc>
      </w:tr>
    </w:tbl>
    <w:p w14:paraId="4C36CF74" w14:textId="77777777" w:rsidR="00F2568A" w:rsidRPr="00E0548A" w:rsidRDefault="00F2568A" w:rsidP="00F2568A">
      <w:pPr>
        <w:rPr>
          <w:rFonts w:ascii="ＭＳ 明朝" w:hAnsi="ＭＳ 明朝"/>
          <w:szCs w:val="21"/>
        </w:rPr>
      </w:pPr>
      <w:r w:rsidRPr="00E0548A">
        <w:rPr>
          <w:rFonts w:ascii="ＭＳ 明朝" w:hAnsi="ＭＳ 明朝" w:hint="eastAsia"/>
          <w:szCs w:val="21"/>
        </w:rPr>
        <w:t>「南海トラフ地震臨時情報（巨大地震警戒）」が発表され、「巨大地震警戒対応期間」（１週間）が経過した際は、「巨大地震注意対応期間」へ移行。</w:t>
      </w:r>
    </w:p>
    <w:p w14:paraId="6DC176EB" w14:textId="77777777" w:rsidR="00F2568A" w:rsidRPr="00E0548A" w:rsidRDefault="00F2568A" w:rsidP="00F2568A">
      <w:pPr>
        <w:rPr>
          <w:rFonts w:ascii="ＭＳ 明朝" w:hAnsi="ＭＳ 明朝"/>
          <w:szCs w:val="21"/>
        </w:rPr>
      </w:pPr>
    </w:p>
    <w:p w14:paraId="31FC1726" w14:textId="0E8BE4EB" w:rsidR="00F2568A" w:rsidRPr="00E0548A" w:rsidRDefault="00F2568A" w:rsidP="00F2568A">
      <w:pPr>
        <w:pStyle w:val="af4"/>
        <w:ind w:leftChars="0" w:left="0"/>
        <w:rPr>
          <w:rFonts w:ascii="ＭＳ ゴシック" w:eastAsia="ＭＳ ゴシック" w:hAnsi="ＭＳ ゴシック"/>
          <w:szCs w:val="21"/>
        </w:rPr>
      </w:pPr>
      <w:r w:rsidRPr="00E0548A">
        <w:rPr>
          <w:rFonts w:ascii="ＭＳ ゴシック" w:eastAsia="ＭＳ ゴシック" w:hAnsi="ＭＳ ゴシック" w:hint="eastAsia"/>
          <w:szCs w:val="21"/>
        </w:rPr>
        <w:t>＜南海トラフ地震臨時情報（巨大地震注意）発表時</w:t>
      </w:r>
      <w:r w:rsidR="002F25B5" w:rsidRPr="00E0548A">
        <w:rPr>
          <w:rFonts w:ascii="ＭＳ ゴシック" w:eastAsia="ＭＳ ゴシック" w:hAnsi="ＭＳ ゴシック" w:hint="eastAsia"/>
          <w:szCs w:val="21"/>
        </w:rPr>
        <w:t>（</w:t>
      </w:r>
      <w:r w:rsidR="002F25B5" w:rsidRPr="00E0548A">
        <w:rPr>
          <w:rFonts w:ascii="ＭＳ 明朝" w:hAnsi="ＭＳ 明朝" w:hint="eastAsia"/>
          <w:szCs w:val="21"/>
        </w:rPr>
        <w:t>巨大地震警戒からの移行時を含む</w:t>
      </w:r>
      <w:r w:rsidR="002F25B5" w:rsidRPr="00E0548A">
        <w:rPr>
          <w:rFonts w:ascii="ＭＳ ゴシック" w:eastAsia="ＭＳ ゴシック" w:hAnsi="ＭＳ ゴシック" w:hint="eastAsia"/>
          <w:szCs w:val="21"/>
        </w:rPr>
        <w:t>）</w:t>
      </w:r>
      <w:r w:rsidRPr="00E0548A">
        <w:rPr>
          <w:rFonts w:ascii="ＭＳ ゴシック" w:eastAsia="ＭＳ ゴシック" w:hAnsi="ＭＳ ゴシック" w:hint="eastAsia"/>
          <w:szCs w:val="21"/>
        </w:rPr>
        <w:t>＞</w:t>
      </w:r>
    </w:p>
    <w:tbl>
      <w:tblPr>
        <w:tblpPr w:leftFromText="142" w:rightFromText="142" w:vertAnchor="text" w:tblpXSpec="center" w:tblpY="1"/>
        <w:tblOverlap w:val="neve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00"/>
        <w:gridCol w:w="7334"/>
      </w:tblGrid>
      <w:tr w:rsidR="00E0548A" w:rsidRPr="00E0548A" w14:paraId="326013BB" w14:textId="77777777" w:rsidTr="008C78D9">
        <w:trPr>
          <w:jc w:val="center"/>
        </w:trPr>
        <w:tc>
          <w:tcPr>
            <w:tcW w:w="1500" w:type="dxa"/>
            <w:tcBorders>
              <w:bottom w:val="single" w:sz="4" w:space="0" w:color="auto"/>
            </w:tcBorders>
            <w:shd w:val="clear" w:color="auto" w:fill="BFBFBF"/>
          </w:tcPr>
          <w:p w14:paraId="2F10D75C" w14:textId="77777777" w:rsidR="00F2568A" w:rsidRPr="00E0548A" w:rsidRDefault="00F2568A" w:rsidP="008C78D9">
            <w:pPr>
              <w:jc w:val="center"/>
              <w:rPr>
                <w:rFonts w:ascii="ＭＳ 明朝" w:hAnsi="ＭＳ 明朝"/>
                <w:szCs w:val="21"/>
              </w:rPr>
            </w:pPr>
            <w:r w:rsidRPr="00E0548A">
              <w:rPr>
                <w:rFonts w:ascii="ＭＳ 明朝" w:hAnsi="ＭＳ 明朝" w:hint="eastAsia"/>
                <w:szCs w:val="21"/>
              </w:rPr>
              <w:t>臨時情報</w:t>
            </w:r>
          </w:p>
        </w:tc>
        <w:tc>
          <w:tcPr>
            <w:tcW w:w="7334" w:type="dxa"/>
            <w:tcBorders>
              <w:bottom w:val="single" w:sz="4" w:space="0" w:color="auto"/>
            </w:tcBorders>
            <w:shd w:val="clear" w:color="auto" w:fill="BFBFBF"/>
          </w:tcPr>
          <w:p w14:paraId="3422B3FF" w14:textId="77777777" w:rsidR="00F2568A" w:rsidRPr="00E0548A" w:rsidRDefault="00F2568A" w:rsidP="008C78D9">
            <w:pPr>
              <w:jc w:val="center"/>
              <w:rPr>
                <w:rFonts w:ascii="ＭＳ 明朝" w:hAnsi="ＭＳ 明朝"/>
                <w:szCs w:val="21"/>
              </w:rPr>
            </w:pPr>
            <w:r w:rsidRPr="00E0548A">
              <w:rPr>
                <w:rFonts w:ascii="ＭＳ 明朝" w:hAnsi="ＭＳ 明朝" w:hint="eastAsia"/>
                <w:szCs w:val="21"/>
              </w:rPr>
              <w:t>主な応急対策業務</w:t>
            </w:r>
          </w:p>
        </w:tc>
      </w:tr>
      <w:tr w:rsidR="00E0548A" w:rsidRPr="00E0548A" w14:paraId="5D8D9642" w14:textId="77777777" w:rsidTr="008C78D9">
        <w:trPr>
          <w:jc w:val="center"/>
        </w:trPr>
        <w:tc>
          <w:tcPr>
            <w:tcW w:w="1500" w:type="dxa"/>
          </w:tcPr>
          <w:p w14:paraId="2AE1BB76" w14:textId="77777777" w:rsidR="00F2568A" w:rsidRPr="00E0548A" w:rsidRDefault="00F2568A" w:rsidP="008C78D9">
            <w:pPr>
              <w:rPr>
                <w:rFonts w:ascii="ＭＳ 明朝" w:hAnsi="ＭＳ 明朝"/>
                <w:szCs w:val="21"/>
              </w:rPr>
            </w:pPr>
            <w:r w:rsidRPr="00E0548A">
              <w:rPr>
                <w:rFonts w:ascii="ＭＳ 明朝" w:hAnsi="ＭＳ 明朝" w:hint="eastAsia"/>
                <w:szCs w:val="21"/>
              </w:rPr>
              <w:t>巨大地震注意</w:t>
            </w:r>
          </w:p>
        </w:tc>
        <w:tc>
          <w:tcPr>
            <w:tcW w:w="7334" w:type="dxa"/>
          </w:tcPr>
          <w:p w14:paraId="68BEA51C" w14:textId="07C791F7" w:rsidR="00FA1FD5" w:rsidRPr="00E0548A" w:rsidRDefault="00FA1FD5" w:rsidP="00FA1FD5">
            <w:pPr>
              <w:rPr>
                <w:rFonts w:ascii="ＭＳ 明朝" w:hAnsi="ＭＳ 明朝"/>
                <w:szCs w:val="21"/>
              </w:rPr>
            </w:pPr>
            <w:r w:rsidRPr="00E0548A">
              <w:rPr>
                <w:rFonts w:ascii="ＭＳ 明朝" w:hAnsi="ＭＳ 明朝" w:hint="eastAsia"/>
                <w:szCs w:val="21"/>
              </w:rPr>
              <w:t>○地震発災に備えた情報連絡体制の</w:t>
            </w:r>
            <w:r w:rsidR="002642D1" w:rsidRPr="00E0548A">
              <w:rPr>
                <w:rFonts w:ascii="ＭＳ 明朝" w:hAnsi="ＭＳ 明朝" w:hint="eastAsia"/>
                <w:szCs w:val="21"/>
              </w:rPr>
              <w:t>維持</w:t>
            </w:r>
          </w:p>
          <w:p w14:paraId="74D11270" w14:textId="77777777" w:rsidR="00FA1FD5" w:rsidRPr="00E0548A" w:rsidRDefault="00FA1FD5" w:rsidP="00FA1FD5">
            <w:pPr>
              <w:rPr>
                <w:rFonts w:ascii="ＭＳ 明朝" w:hAnsi="ＭＳ 明朝"/>
                <w:szCs w:val="21"/>
              </w:rPr>
            </w:pPr>
            <w:r w:rsidRPr="00E0548A">
              <w:rPr>
                <w:rFonts w:ascii="ＭＳ 明朝" w:hAnsi="ＭＳ 明朝" w:hint="eastAsia"/>
                <w:szCs w:val="21"/>
              </w:rPr>
              <w:t>○部局内の発災時の体制（BCP）の確認</w:t>
            </w:r>
          </w:p>
          <w:p w14:paraId="13BD48C7" w14:textId="77777777" w:rsidR="00FA1FD5" w:rsidRPr="00E0548A" w:rsidRDefault="00FA1FD5" w:rsidP="00FA1FD5">
            <w:pPr>
              <w:rPr>
                <w:rFonts w:ascii="ＭＳ 明朝" w:hAnsi="ＭＳ 明朝"/>
                <w:szCs w:val="21"/>
              </w:rPr>
            </w:pPr>
            <w:r w:rsidRPr="00E0548A">
              <w:rPr>
                <w:rFonts w:ascii="ＭＳ 明朝" w:hAnsi="ＭＳ 明朝" w:hint="eastAsia"/>
                <w:szCs w:val="21"/>
              </w:rPr>
              <w:t>○巨大地震に備えた体制整備、備え等の再確認</w:t>
            </w:r>
          </w:p>
          <w:p w14:paraId="45C8257D" w14:textId="77777777" w:rsidR="00FA1FD5" w:rsidRPr="00E0548A" w:rsidRDefault="00FA1FD5" w:rsidP="00FA1FD5">
            <w:pPr>
              <w:ind w:firstLineChars="100" w:firstLine="211"/>
              <w:rPr>
                <w:rFonts w:ascii="ＭＳ 明朝" w:hAnsi="ＭＳ 明朝"/>
                <w:szCs w:val="21"/>
              </w:rPr>
            </w:pPr>
            <w:r w:rsidRPr="00E0548A">
              <w:rPr>
                <w:rFonts w:ascii="ＭＳ 明朝" w:hAnsi="ＭＳ 明朝" w:hint="eastAsia"/>
                <w:szCs w:val="21"/>
              </w:rPr>
              <w:t>・空港（関西国際・大阪国際）</w:t>
            </w:r>
          </w:p>
          <w:p w14:paraId="3244C686" w14:textId="77777777" w:rsidR="00FA1FD5" w:rsidRPr="00E0548A" w:rsidRDefault="00FA1FD5" w:rsidP="00FA1FD5">
            <w:pPr>
              <w:ind w:firstLineChars="100" w:firstLine="211"/>
              <w:rPr>
                <w:rFonts w:ascii="ＭＳ 明朝" w:hAnsi="ＭＳ 明朝"/>
                <w:szCs w:val="21"/>
              </w:rPr>
            </w:pPr>
            <w:r w:rsidRPr="00E0548A">
              <w:rPr>
                <w:rFonts w:ascii="ＭＳ 明朝" w:hAnsi="ＭＳ 明朝" w:hint="eastAsia"/>
                <w:szCs w:val="21"/>
              </w:rPr>
              <w:t>・多奈川地区多目的公園</w:t>
            </w:r>
          </w:p>
          <w:p w14:paraId="4100FA42" w14:textId="1380D87A" w:rsidR="00482F84" w:rsidRPr="00E0548A" w:rsidRDefault="00FA1FD5" w:rsidP="00FA1FD5">
            <w:pPr>
              <w:ind w:firstLineChars="100" w:firstLine="211"/>
              <w:rPr>
                <w:rFonts w:ascii="ＭＳ 明朝" w:hAnsi="ＭＳ 明朝"/>
                <w:szCs w:val="21"/>
              </w:rPr>
            </w:pPr>
            <w:r w:rsidRPr="00E0548A">
              <w:rPr>
                <w:rFonts w:ascii="ＭＳ 明朝" w:hAnsi="ＭＳ 明朝" w:hint="eastAsia"/>
                <w:szCs w:val="21"/>
              </w:rPr>
              <w:t>・京都大学複合原子力科学研究所原子炉</w:t>
            </w:r>
          </w:p>
        </w:tc>
      </w:tr>
    </w:tbl>
    <w:p w14:paraId="1BCA4B7A" w14:textId="77777777" w:rsidR="00F2568A" w:rsidRPr="00E0548A" w:rsidRDefault="00F2568A" w:rsidP="00F2568A">
      <w:pPr>
        <w:rPr>
          <w:rFonts w:ascii="ＭＳ 明朝" w:hAnsi="ＭＳ 明朝"/>
          <w:szCs w:val="21"/>
        </w:rPr>
      </w:pPr>
    </w:p>
    <w:p w14:paraId="2399A060" w14:textId="77777777" w:rsidR="005A4299" w:rsidRPr="00E0548A" w:rsidRDefault="005A4299" w:rsidP="005A4299">
      <w:pPr>
        <w:ind w:firstLineChars="100" w:firstLine="211"/>
        <w:rPr>
          <w:rFonts w:ascii="ＭＳ 明朝" w:hAnsi="ＭＳ 明朝"/>
          <w:szCs w:val="21"/>
        </w:rPr>
      </w:pPr>
      <w:r w:rsidRPr="00E0548A">
        <w:rPr>
          <w:rFonts w:ascii="ＭＳ 明朝" w:hAnsi="ＭＳ 明朝" w:hint="eastAsia"/>
          <w:szCs w:val="21"/>
        </w:rPr>
        <w:t>なお、南海トラフ地震臨時情報（巨大地震警戒及び注意）発表時の主な所管施設等については、前述する＜災害発生時＞に記載する内容と同様。</w:t>
      </w:r>
    </w:p>
    <w:p w14:paraId="15FA6C64" w14:textId="6D311A29" w:rsidR="00D93C38" w:rsidRPr="00E0548A" w:rsidRDefault="00D93C38">
      <w:pPr>
        <w:widowControl/>
        <w:jc w:val="left"/>
        <w:rPr>
          <w:rFonts w:ascii="ＭＳ ゴシック" w:eastAsia="ＭＳ ゴシック" w:hAnsi="ＭＳ ゴシック"/>
          <w:sz w:val="22"/>
          <w:szCs w:val="22"/>
        </w:rPr>
      </w:pPr>
      <w:r w:rsidRPr="00E0548A">
        <w:rPr>
          <w:rFonts w:ascii="ＭＳ ゴシック" w:eastAsia="ＭＳ ゴシック" w:hAnsi="ＭＳ ゴシック"/>
          <w:sz w:val="22"/>
          <w:szCs w:val="22"/>
        </w:rPr>
        <w:br w:type="page"/>
      </w:r>
    </w:p>
    <w:p w14:paraId="325D7DA3" w14:textId="088A3B2F" w:rsidR="008B4B2B" w:rsidRPr="00E0548A" w:rsidRDefault="008B4B2B" w:rsidP="008B4B2B">
      <w:pPr>
        <w:pStyle w:val="af4"/>
        <w:ind w:leftChars="0" w:left="0"/>
        <w:rPr>
          <w:rFonts w:ascii="ＭＳ ゴシック" w:eastAsia="ＭＳ ゴシック" w:hAnsi="ＭＳ ゴシック"/>
          <w:szCs w:val="21"/>
        </w:rPr>
      </w:pPr>
      <w:r w:rsidRPr="00E0548A">
        <w:rPr>
          <w:rFonts w:ascii="ＭＳ ゴシック" w:eastAsia="ＭＳ ゴシック" w:hAnsi="ＭＳ ゴシック" w:hint="eastAsia"/>
          <w:szCs w:val="21"/>
        </w:rPr>
        <w:lastRenderedPageBreak/>
        <w:t>③総務部</w:t>
      </w:r>
    </w:p>
    <w:p w14:paraId="3C2BEEDA" w14:textId="77777777" w:rsidR="002C01FF" w:rsidRPr="00E0548A" w:rsidRDefault="002C01FF" w:rsidP="002C01FF">
      <w:pPr>
        <w:pStyle w:val="af4"/>
        <w:ind w:leftChars="0" w:left="0"/>
        <w:rPr>
          <w:rFonts w:ascii="ＭＳ ゴシック" w:eastAsia="ＭＳ ゴシック" w:hAnsi="ＭＳ ゴシック"/>
          <w:szCs w:val="21"/>
        </w:rPr>
      </w:pPr>
      <w:r w:rsidRPr="00E0548A">
        <w:rPr>
          <w:rFonts w:ascii="ＭＳ ゴシック" w:eastAsia="ＭＳ ゴシック" w:hAnsi="ＭＳ ゴシック" w:hint="eastAsia"/>
          <w:szCs w:val="21"/>
        </w:rPr>
        <w:t>＜災害発生時＞</w:t>
      </w:r>
    </w:p>
    <w:tbl>
      <w:tblPr>
        <w:tblpPr w:leftFromText="142" w:rightFromText="142" w:vertAnchor="text" w:tblpXSpec="center" w:tblpY="1"/>
        <w:tblOverlap w:val="neve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26"/>
        <w:gridCol w:w="7176"/>
      </w:tblGrid>
      <w:tr w:rsidR="00E0548A" w:rsidRPr="00E0548A" w14:paraId="58927FAB" w14:textId="77777777" w:rsidTr="008B4B2B">
        <w:trPr>
          <w:jc w:val="center"/>
        </w:trPr>
        <w:tc>
          <w:tcPr>
            <w:tcW w:w="1526" w:type="dxa"/>
            <w:shd w:val="clear" w:color="auto" w:fill="BFBFBF"/>
          </w:tcPr>
          <w:p w14:paraId="47A99E5F" w14:textId="77777777" w:rsidR="008B4B2B" w:rsidRPr="00E0548A" w:rsidRDefault="008B4B2B" w:rsidP="008B4B2B">
            <w:pPr>
              <w:jc w:val="center"/>
              <w:rPr>
                <w:rFonts w:ascii="ＭＳ 明朝" w:hAnsi="ＭＳ 明朝"/>
                <w:szCs w:val="21"/>
              </w:rPr>
            </w:pPr>
            <w:r w:rsidRPr="00E0548A">
              <w:rPr>
                <w:rFonts w:ascii="ＭＳ 明朝" w:hAnsi="ＭＳ 明朝" w:hint="eastAsia"/>
                <w:szCs w:val="21"/>
              </w:rPr>
              <w:t>フェーズ</w:t>
            </w:r>
          </w:p>
        </w:tc>
        <w:tc>
          <w:tcPr>
            <w:tcW w:w="7176" w:type="dxa"/>
            <w:shd w:val="clear" w:color="auto" w:fill="BFBFBF"/>
          </w:tcPr>
          <w:p w14:paraId="512D7947" w14:textId="77777777" w:rsidR="008B4B2B" w:rsidRPr="00E0548A" w:rsidRDefault="008B4B2B" w:rsidP="008B4B2B">
            <w:pPr>
              <w:jc w:val="center"/>
              <w:rPr>
                <w:rFonts w:ascii="ＭＳ 明朝" w:hAnsi="ＭＳ 明朝"/>
                <w:szCs w:val="21"/>
              </w:rPr>
            </w:pPr>
            <w:r w:rsidRPr="00E0548A">
              <w:rPr>
                <w:rFonts w:ascii="ＭＳ 明朝" w:hAnsi="ＭＳ 明朝" w:hint="eastAsia"/>
                <w:szCs w:val="21"/>
              </w:rPr>
              <w:t>主な応急対策業務</w:t>
            </w:r>
          </w:p>
        </w:tc>
      </w:tr>
      <w:tr w:rsidR="00E0548A" w:rsidRPr="00E0548A" w14:paraId="45837DAD" w14:textId="77777777" w:rsidTr="008B4B2B">
        <w:trPr>
          <w:jc w:val="center"/>
        </w:trPr>
        <w:tc>
          <w:tcPr>
            <w:tcW w:w="1526" w:type="dxa"/>
          </w:tcPr>
          <w:p w14:paraId="0738AC06" w14:textId="77777777" w:rsidR="008B4B2B" w:rsidRPr="00E0548A" w:rsidRDefault="008B4B2B" w:rsidP="008B4B2B">
            <w:pPr>
              <w:rPr>
                <w:rFonts w:ascii="ＭＳ 明朝" w:hAnsi="ＭＳ 明朝"/>
                <w:szCs w:val="21"/>
              </w:rPr>
            </w:pPr>
            <w:r w:rsidRPr="00E0548A">
              <w:rPr>
                <w:rFonts w:ascii="ＭＳ 明朝" w:hAnsi="ＭＳ 明朝" w:hint="eastAsia"/>
                <w:szCs w:val="21"/>
              </w:rPr>
              <w:t>第1フェーズ</w:t>
            </w:r>
          </w:p>
          <w:p w14:paraId="242C210C" w14:textId="77777777" w:rsidR="008B4B2B" w:rsidRPr="00E0548A" w:rsidRDefault="008B4B2B" w:rsidP="008B4B2B">
            <w:pPr>
              <w:rPr>
                <w:rFonts w:ascii="ＭＳ 明朝" w:hAnsi="ＭＳ 明朝"/>
                <w:szCs w:val="21"/>
              </w:rPr>
            </w:pPr>
            <w:r w:rsidRPr="00E0548A">
              <w:rPr>
                <w:rFonts w:ascii="ＭＳ 明朝" w:hAnsi="ＭＳ 明朝" w:hint="eastAsia"/>
                <w:szCs w:val="21"/>
              </w:rPr>
              <w:t>(3時間まで)</w:t>
            </w:r>
          </w:p>
          <w:p w14:paraId="4BFC8C0C" w14:textId="77777777" w:rsidR="008B4B2B" w:rsidRPr="00E0548A" w:rsidRDefault="008B4B2B" w:rsidP="008B4B2B">
            <w:pPr>
              <w:rPr>
                <w:rFonts w:ascii="ＭＳ 明朝" w:hAnsi="ＭＳ 明朝"/>
                <w:szCs w:val="21"/>
              </w:rPr>
            </w:pPr>
          </w:p>
        </w:tc>
        <w:tc>
          <w:tcPr>
            <w:tcW w:w="7176" w:type="dxa"/>
          </w:tcPr>
          <w:p w14:paraId="32957529" w14:textId="77777777" w:rsidR="008B4B2B" w:rsidRPr="00E0548A" w:rsidRDefault="008B4B2B" w:rsidP="008B4B2B">
            <w:pPr>
              <w:rPr>
                <w:rFonts w:ascii="ＭＳ 明朝" w:hAnsi="ＭＳ 明朝"/>
                <w:szCs w:val="21"/>
              </w:rPr>
            </w:pPr>
            <w:r w:rsidRPr="00E0548A">
              <w:rPr>
                <w:rFonts w:ascii="ＭＳ 明朝" w:hAnsi="ＭＳ 明朝" w:hint="eastAsia"/>
                <w:szCs w:val="21"/>
              </w:rPr>
              <w:t>○初動対応、体制の確立</w:t>
            </w:r>
          </w:p>
          <w:p w14:paraId="2ABC86B4" w14:textId="77777777" w:rsidR="008B4B2B" w:rsidRPr="00E0548A" w:rsidRDefault="008B4B2B" w:rsidP="008B4B2B">
            <w:pPr>
              <w:rPr>
                <w:rFonts w:ascii="ＭＳ 明朝" w:hAnsi="ＭＳ 明朝"/>
                <w:szCs w:val="21"/>
              </w:rPr>
            </w:pPr>
            <w:r w:rsidRPr="00E0548A">
              <w:rPr>
                <w:rFonts w:ascii="ＭＳ 明朝" w:hAnsi="ＭＳ 明朝" w:hint="eastAsia"/>
                <w:szCs w:val="21"/>
              </w:rPr>
              <w:t>○所管施設（大手前・咲洲庁舎など）の利用者の安全確認【各所管所属】</w:t>
            </w:r>
          </w:p>
          <w:p w14:paraId="1D8874F2" w14:textId="77777777" w:rsidR="008B4B2B" w:rsidRPr="00E0548A" w:rsidRDefault="008B4B2B" w:rsidP="008B4B2B">
            <w:pPr>
              <w:rPr>
                <w:rFonts w:ascii="ＭＳ 明朝" w:hAnsi="ＭＳ 明朝"/>
                <w:szCs w:val="21"/>
              </w:rPr>
            </w:pPr>
            <w:r w:rsidRPr="00E0548A">
              <w:rPr>
                <w:rFonts w:ascii="ＭＳ 明朝" w:hAnsi="ＭＳ 明朝" w:hint="eastAsia"/>
                <w:szCs w:val="21"/>
              </w:rPr>
              <w:t>○部内職員の安否確認と参集状況の把握、報告【法務課】</w:t>
            </w:r>
          </w:p>
          <w:p w14:paraId="16FB1B51" w14:textId="77777777" w:rsidR="008B4B2B" w:rsidRPr="00E0548A" w:rsidRDefault="008B4B2B" w:rsidP="008B4B2B">
            <w:pPr>
              <w:rPr>
                <w:rFonts w:ascii="ＭＳ 明朝" w:hAnsi="ＭＳ 明朝"/>
                <w:szCs w:val="21"/>
              </w:rPr>
            </w:pPr>
            <w:r w:rsidRPr="00E0548A">
              <w:rPr>
                <w:rFonts w:ascii="ＭＳ 明朝" w:hAnsi="ＭＳ 明朝" w:hint="eastAsia"/>
                <w:szCs w:val="21"/>
              </w:rPr>
              <w:t>○部内及び関係機関からの情報収集及び連絡調整【法務課】</w:t>
            </w:r>
          </w:p>
          <w:p w14:paraId="3A53BD21" w14:textId="77777777" w:rsidR="008B4B2B" w:rsidRPr="00E0548A" w:rsidRDefault="008B4B2B" w:rsidP="008B4B2B">
            <w:pPr>
              <w:rPr>
                <w:rFonts w:ascii="ＭＳ 明朝" w:hAnsi="ＭＳ 明朝"/>
                <w:szCs w:val="21"/>
              </w:rPr>
            </w:pPr>
            <w:r w:rsidRPr="00E0548A">
              <w:rPr>
                <w:rFonts w:ascii="ＭＳ 明朝" w:hAnsi="ＭＳ 明朝" w:hint="eastAsia"/>
                <w:szCs w:val="21"/>
              </w:rPr>
              <w:t>○職員・来庁者の避難誘導【庁舎管理課】</w:t>
            </w:r>
          </w:p>
          <w:p w14:paraId="398B7880" w14:textId="77777777" w:rsidR="008B4B2B" w:rsidRPr="00E0548A" w:rsidRDefault="008B4B2B" w:rsidP="008B4B2B">
            <w:pPr>
              <w:ind w:left="211" w:hangingChars="100" w:hanging="211"/>
              <w:rPr>
                <w:rFonts w:ascii="ＭＳ 明朝" w:hAnsi="ＭＳ 明朝"/>
                <w:szCs w:val="21"/>
              </w:rPr>
            </w:pPr>
            <w:r w:rsidRPr="00E0548A">
              <w:rPr>
                <w:rFonts w:ascii="ＭＳ 明朝" w:hAnsi="ＭＳ 明朝" w:hint="eastAsia"/>
                <w:szCs w:val="21"/>
              </w:rPr>
              <w:t>○庁舎及び電気・電話・ガス・給排水・エレベーター等設備の防災保全措置【庁舎管理課】</w:t>
            </w:r>
          </w:p>
          <w:p w14:paraId="369A945A" w14:textId="77777777" w:rsidR="008B4B2B" w:rsidRPr="00E0548A" w:rsidRDefault="008B4B2B" w:rsidP="008B4B2B">
            <w:pPr>
              <w:rPr>
                <w:rFonts w:ascii="ＭＳ 明朝" w:hAnsi="ＭＳ 明朝"/>
                <w:szCs w:val="21"/>
              </w:rPr>
            </w:pPr>
            <w:r w:rsidRPr="00E0548A">
              <w:rPr>
                <w:rFonts w:ascii="ＭＳ 明朝" w:hAnsi="ＭＳ 明朝" w:hint="eastAsia"/>
                <w:szCs w:val="21"/>
              </w:rPr>
              <w:t>○庁用車両の確保【庁舎管理課】</w:t>
            </w:r>
          </w:p>
          <w:p w14:paraId="633A0FF8" w14:textId="77777777" w:rsidR="008B4B2B" w:rsidRPr="00E0548A" w:rsidRDefault="008B4B2B" w:rsidP="008B4B2B">
            <w:pPr>
              <w:rPr>
                <w:rFonts w:ascii="ＭＳ 明朝" w:hAnsi="ＭＳ 明朝"/>
                <w:szCs w:val="21"/>
              </w:rPr>
            </w:pPr>
            <w:r w:rsidRPr="00E0548A">
              <w:rPr>
                <w:rFonts w:ascii="ＭＳ 明朝" w:hAnsi="ＭＳ 明朝" w:hint="eastAsia"/>
                <w:szCs w:val="21"/>
              </w:rPr>
              <w:t>○職員・来庁者の救助・搬送【各所属】</w:t>
            </w:r>
          </w:p>
        </w:tc>
      </w:tr>
      <w:tr w:rsidR="00E0548A" w:rsidRPr="00E0548A" w14:paraId="2CA5F2AE" w14:textId="77777777" w:rsidTr="008B4B2B">
        <w:trPr>
          <w:jc w:val="center"/>
        </w:trPr>
        <w:tc>
          <w:tcPr>
            <w:tcW w:w="1526" w:type="dxa"/>
          </w:tcPr>
          <w:p w14:paraId="607934DB" w14:textId="77777777" w:rsidR="008B4B2B" w:rsidRPr="00E0548A" w:rsidRDefault="008B4B2B" w:rsidP="008B4B2B">
            <w:pPr>
              <w:rPr>
                <w:rFonts w:ascii="ＭＳ 明朝" w:hAnsi="ＭＳ 明朝"/>
                <w:szCs w:val="21"/>
              </w:rPr>
            </w:pPr>
            <w:r w:rsidRPr="00E0548A">
              <w:rPr>
                <w:rFonts w:ascii="ＭＳ 明朝" w:hAnsi="ＭＳ 明朝" w:hint="eastAsia"/>
                <w:szCs w:val="21"/>
              </w:rPr>
              <w:t>第2フェーズ</w:t>
            </w:r>
          </w:p>
          <w:p w14:paraId="24ED9BB0" w14:textId="77777777" w:rsidR="008B4B2B" w:rsidRPr="00E0548A" w:rsidRDefault="008B4B2B" w:rsidP="008B4B2B">
            <w:pPr>
              <w:rPr>
                <w:rFonts w:ascii="ＭＳ 明朝" w:hAnsi="ＭＳ 明朝"/>
                <w:szCs w:val="21"/>
              </w:rPr>
            </w:pPr>
            <w:r w:rsidRPr="00E0548A">
              <w:rPr>
                <w:rFonts w:ascii="ＭＳ 明朝" w:hAnsi="ＭＳ 明朝" w:hint="eastAsia"/>
                <w:szCs w:val="21"/>
              </w:rPr>
              <w:t>(24時間まで)</w:t>
            </w:r>
          </w:p>
          <w:p w14:paraId="4A7A7884" w14:textId="77777777" w:rsidR="008B4B2B" w:rsidRPr="00E0548A" w:rsidRDefault="008B4B2B" w:rsidP="008B4B2B">
            <w:pPr>
              <w:rPr>
                <w:rFonts w:ascii="ＭＳ 明朝" w:hAnsi="ＭＳ 明朝"/>
                <w:szCs w:val="21"/>
              </w:rPr>
            </w:pPr>
          </w:p>
        </w:tc>
        <w:tc>
          <w:tcPr>
            <w:tcW w:w="7176" w:type="dxa"/>
          </w:tcPr>
          <w:p w14:paraId="576E4807" w14:textId="77777777" w:rsidR="008B4B2B" w:rsidRPr="00E0548A" w:rsidRDefault="008B4B2B" w:rsidP="008B4B2B">
            <w:pPr>
              <w:rPr>
                <w:rFonts w:ascii="ＭＳ 明朝" w:hAnsi="ＭＳ 明朝"/>
                <w:szCs w:val="21"/>
              </w:rPr>
            </w:pPr>
            <w:r w:rsidRPr="00E0548A">
              <w:rPr>
                <w:rFonts w:ascii="ＭＳ 明朝" w:hAnsi="ＭＳ 明朝" w:hint="eastAsia"/>
                <w:szCs w:val="21"/>
              </w:rPr>
              <w:t>○所管施設の被害状況の把握【法務】、報告及び二次災害防止対策の実施</w:t>
            </w:r>
          </w:p>
          <w:p w14:paraId="3CCE19D9" w14:textId="77777777" w:rsidR="008B4B2B" w:rsidRPr="00E0548A" w:rsidRDefault="008B4B2B" w:rsidP="008B4B2B">
            <w:pPr>
              <w:rPr>
                <w:rFonts w:ascii="ＭＳ 明朝" w:hAnsi="ＭＳ 明朝"/>
                <w:szCs w:val="21"/>
              </w:rPr>
            </w:pPr>
            <w:r w:rsidRPr="00E0548A">
              <w:rPr>
                <w:rFonts w:ascii="ＭＳ 明朝" w:hAnsi="ＭＳ 明朝" w:hint="eastAsia"/>
                <w:szCs w:val="21"/>
              </w:rPr>
              <w:t>【各所管所属】</w:t>
            </w:r>
          </w:p>
          <w:p w14:paraId="49C2637C" w14:textId="77777777" w:rsidR="008B4B2B" w:rsidRPr="00E0548A" w:rsidRDefault="008B4B2B" w:rsidP="008B4B2B">
            <w:pPr>
              <w:rPr>
                <w:rFonts w:ascii="ＭＳ 明朝" w:hAnsi="ＭＳ 明朝"/>
                <w:szCs w:val="21"/>
              </w:rPr>
            </w:pPr>
            <w:r w:rsidRPr="00E0548A">
              <w:rPr>
                <w:rFonts w:ascii="ＭＳ 明朝" w:hAnsi="ＭＳ 明朝" w:hint="eastAsia"/>
                <w:szCs w:val="21"/>
              </w:rPr>
              <w:t>○全職員の安否確認、輸送計画の策定等【人事課】</w:t>
            </w:r>
          </w:p>
          <w:p w14:paraId="416F7B17" w14:textId="77777777" w:rsidR="008B4B2B" w:rsidRPr="00E0548A" w:rsidRDefault="008B4B2B" w:rsidP="008B4B2B">
            <w:pPr>
              <w:rPr>
                <w:rFonts w:ascii="ＭＳ 明朝" w:hAnsi="ＭＳ 明朝"/>
                <w:szCs w:val="21"/>
              </w:rPr>
            </w:pPr>
            <w:r w:rsidRPr="00E0548A">
              <w:rPr>
                <w:rFonts w:ascii="ＭＳ 明朝" w:hAnsi="ＭＳ 明朝" w:hint="eastAsia"/>
                <w:szCs w:val="21"/>
              </w:rPr>
              <w:t>○負傷者（職員・来庁者）対応【企画厚生課】</w:t>
            </w:r>
          </w:p>
          <w:p w14:paraId="6CD20289" w14:textId="77777777" w:rsidR="008B4B2B" w:rsidRPr="00E0548A" w:rsidRDefault="008B4B2B" w:rsidP="008B4B2B">
            <w:pPr>
              <w:rPr>
                <w:rFonts w:ascii="ＭＳ 明朝" w:hAnsi="ＭＳ 明朝"/>
                <w:szCs w:val="21"/>
              </w:rPr>
            </w:pPr>
            <w:r w:rsidRPr="00E0548A">
              <w:rPr>
                <w:rFonts w:ascii="ＭＳ 明朝" w:hAnsi="ＭＳ 明朝" w:hint="eastAsia"/>
                <w:szCs w:val="21"/>
              </w:rPr>
              <w:t>○大手前・咲洲庁舎の応急復旧開始【庁舎管理課】</w:t>
            </w:r>
          </w:p>
          <w:p w14:paraId="4FB83229" w14:textId="77777777" w:rsidR="008B4B2B" w:rsidRPr="00E0548A" w:rsidRDefault="008B4B2B" w:rsidP="008B4B2B">
            <w:pPr>
              <w:rPr>
                <w:rFonts w:ascii="ＭＳ 明朝" w:hAnsi="ＭＳ 明朝"/>
                <w:szCs w:val="21"/>
              </w:rPr>
            </w:pPr>
            <w:r w:rsidRPr="00E0548A">
              <w:rPr>
                <w:rFonts w:ascii="ＭＳ 明朝" w:hAnsi="ＭＳ 明朝" w:hint="eastAsia"/>
                <w:szCs w:val="21"/>
              </w:rPr>
              <w:t>○代替執務スペースの確保【庁舎管理課】</w:t>
            </w:r>
          </w:p>
          <w:p w14:paraId="68693A6A" w14:textId="05F23345" w:rsidR="008B4B2B" w:rsidRPr="00E0548A" w:rsidRDefault="008B4B2B" w:rsidP="008B4B2B">
            <w:pPr>
              <w:rPr>
                <w:rFonts w:ascii="ＭＳ 明朝" w:hAnsi="ＭＳ 明朝"/>
                <w:szCs w:val="21"/>
              </w:rPr>
            </w:pPr>
            <w:r w:rsidRPr="00E0548A">
              <w:rPr>
                <w:rFonts w:ascii="ＭＳ 明朝" w:hAnsi="ＭＳ 明朝" w:hint="eastAsia"/>
                <w:szCs w:val="21"/>
              </w:rPr>
              <w:t>○</w:t>
            </w:r>
            <w:r w:rsidR="00F2228B" w:rsidRPr="00E0548A">
              <w:rPr>
                <w:rFonts w:ascii="ＭＳ 明朝" w:hAnsi="ＭＳ 明朝" w:hint="eastAsia"/>
                <w:szCs w:val="21"/>
              </w:rPr>
              <w:t>電子契約</w:t>
            </w:r>
            <w:r w:rsidRPr="00E0548A">
              <w:rPr>
                <w:rFonts w:ascii="ＭＳ 明朝" w:hAnsi="ＭＳ 明朝" w:hint="eastAsia"/>
                <w:szCs w:val="21"/>
              </w:rPr>
              <w:t>システムの状況確認等【契約局】</w:t>
            </w:r>
          </w:p>
          <w:p w14:paraId="27F2E773" w14:textId="77777777" w:rsidR="008B4B2B" w:rsidRPr="00E0548A" w:rsidRDefault="008B4B2B" w:rsidP="00B35001">
            <w:pPr>
              <w:rPr>
                <w:rFonts w:ascii="ＭＳ 明朝" w:hAnsi="ＭＳ 明朝"/>
                <w:szCs w:val="21"/>
              </w:rPr>
            </w:pPr>
            <w:r w:rsidRPr="00E0548A">
              <w:rPr>
                <w:rFonts w:ascii="ＭＳ 明朝" w:hAnsi="ＭＳ 明朝" w:hint="eastAsia"/>
                <w:szCs w:val="21"/>
              </w:rPr>
              <w:t>〇</w:t>
            </w:r>
            <w:r w:rsidRPr="00E0548A">
              <w:rPr>
                <w:rFonts w:hint="eastAsia"/>
              </w:rPr>
              <w:t>住基ネットの状況確認等【市町村</w:t>
            </w:r>
            <w:r w:rsidR="00F456DE" w:rsidRPr="00E0548A">
              <w:rPr>
                <w:rFonts w:hint="eastAsia"/>
              </w:rPr>
              <w:t>局</w:t>
            </w:r>
            <w:r w:rsidRPr="00E0548A">
              <w:rPr>
                <w:rFonts w:hint="eastAsia"/>
              </w:rPr>
              <w:t>】</w:t>
            </w:r>
          </w:p>
        </w:tc>
      </w:tr>
      <w:tr w:rsidR="00E0548A" w:rsidRPr="00E0548A" w14:paraId="4000C6EE" w14:textId="77777777" w:rsidTr="008B4B2B">
        <w:trPr>
          <w:jc w:val="center"/>
        </w:trPr>
        <w:tc>
          <w:tcPr>
            <w:tcW w:w="1526" w:type="dxa"/>
          </w:tcPr>
          <w:p w14:paraId="755BD71F" w14:textId="77777777" w:rsidR="008B4B2B" w:rsidRPr="00E0548A" w:rsidRDefault="008B4B2B" w:rsidP="008B4B2B">
            <w:pPr>
              <w:rPr>
                <w:rFonts w:ascii="ＭＳ 明朝" w:hAnsi="ＭＳ 明朝"/>
                <w:szCs w:val="21"/>
              </w:rPr>
            </w:pPr>
            <w:r w:rsidRPr="00E0548A">
              <w:rPr>
                <w:rFonts w:ascii="ＭＳ 明朝" w:hAnsi="ＭＳ 明朝" w:hint="eastAsia"/>
                <w:szCs w:val="21"/>
              </w:rPr>
              <w:t>第3フェーズ</w:t>
            </w:r>
          </w:p>
          <w:p w14:paraId="5F58BF43" w14:textId="77777777" w:rsidR="008B4B2B" w:rsidRPr="00E0548A" w:rsidRDefault="008B4B2B" w:rsidP="008B4B2B">
            <w:pPr>
              <w:rPr>
                <w:rFonts w:ascii="ＭＳ 明朝" w:hAnsi="ＭＳ 明朝"/>
                <w:szCs w:val="21"/>
              </w:rPr>
            </w:pPr>
            <w:r w:rsidRPr="00E0548A">
              <w:rPr>
                <w:rFonts w:ascii="ＭＳ 明朝" w:hAnsi="ＭＳ 明朝" w:hint="eastAsia"/>
                <w:szCs w:val="21"/>
              </w:rPr>
              <w:t>(72時間まで)</w:t>
            </w:r>
          </w:p>
        </w:tc>
        <w:tc>
          <w:tcPr>
            <w:tcW w:w="7176" w:type="dxa"/>
          </w:tcPr>
          <w:p w14:paraId="6AAE690B" w14:textId="77777777" w:rsidR="008B4B2B" w:rsidRPr="00E0548A" w:rsidRDefault="008B4B2B" w:rsidP="008B4B2B">
            <w:pPr>
              <w:rPr>
                <w:rFonts w:ascii="ＭＳ 明朝" w:hAnsi="ＭＳ 明朝"/>
                <w:b/>
                <w:szCs w:val="21"/>
              </w:rPr>
            </w:pPr>
            <w:r w:rsidRPr="00E0548A">
              <w:rPr>
                <w:rFonts w:ascii="ＭＳ 明朝" w:hAnsi="ＭＳ 明朝" w:hint="eastAsia"/>
                <w:szCs w:val="21"/>
              </w:rPr>
              <w:t>○職員の健康管理と安全確保【企画厚生課】</w:t>
            </w:r>
          </w:p>
        </w:tc>
      </w:tr>
      <w:tr w:rsidR="00E0548A" w:rsidRPr="00E0548A" w14:paraId="00CBC44E" w14:textId="77777777" w:rsidTr="008B4B2B">
        <w:trPr>
          <w:jc w:val="center"/>
        </w:trPr>
        <w:tc>
          <w:tcPr>
            <w:tcW w:w="1526" w:type="dxa"/>
          </w:tcPr>
          <w:p w14:paraId="78DC5C91" w14:textId="77777777" w:rsidR="008B4B2B" w:rsidRPr="00E0548A" w:rsidRDefault="008B4B2B" w:rsidP="008B4B2B">
            <w:pPr>
              <w:rPr>
                <w:rFonts w:ascii="ＭＳ 明朝" w:hAnsi="ＭＳ 明朝"/>
                <w:szCs w:val="21"/>
              </w:rPr>
            </w:pPr>
            <w:r w:rsidRPr="00E0548A">
              <w:rPr>
                <w:rFonts w:ascii="ＭＳ 明朝" w:hAnsi="ＭＳ 明朝" w:hint="eastAsia"/>
                <w:szCs w:val="21"/>
              </w:rPr>
              <w:t>第4フェーズ</w:t>
            </w:r>
          </w:p>
          <w:p w14:paraId="38D82B26" w14:textId="77777777" w:rsidR="008B4B2B" w:rsidRPr="00E0548A" w:rsidRDefault="008B4B2B" w:rsidP="008B4B2B">
            <w:pPr>
              <w:rPr>
                <w:rFonts w:ascii="ＭＳ 明朝" w:hAnsi="ＭＳ 明朝"/>
                <w:szCs w:val="21"/>
              </w:rPr>
            </w:pPr>
            <w:r w:rsidRPr="00E0548A">
              <w:rPr>
                <w:rFonts w:ascii="ＭＳ 明朝" w:hAnsi="ＭＳ 明朝" w:hint="eastAsia"/>
                <w:szCs w:val="21"/>
              </w:rPr>
              <w:t>(1週間まで)</w:t>
            </w:r>
          </w:p>
        </w:tc>
        <w:tc>
          <w:tcPr>
            <w:tcW w:w="7176" w:type="dxa"/>
          </w:tcPr>
          <w:p w14:paraId="57FC300A" w14:textId="77777777" w:rsidR="008B4B2B" w:rsidRPr="00E0548A" w:rsidRDefault="008B4B2B" w:rsidP="00B35001">
            <w:pPr>
              <w:rPr>
                <w:rFonts w:ascii="ＭＳ 明朝" w:hAnsi="ＭＳ 明朝"/>
                <w:szCs w:val="21"/>
              </w:rPr>
            </w:pPr>
            <w:r w:rsidRPr="00E0548A">
              <w:rPr>
                <w:rFonts w:ascii="ＭＳ 明朝" w:hAnsi="ＭＳ 明朝" w:hint="eastAsia"/>
                <w:szCs w:val="21"/>
              </w:rPr>
              <w:t>○被災市町村支援に関する調整開始（職員派遣</w:t>
            </w:r>
            <w:r w:rsidRPr="00E0548A">
              <w:rPr>
                <w:rFonts w:hint="eastAsia"/>
              </w:rPr>
              <w:t>（地方自治法第</w:t>
            </w:r>
            <w:r w:rsidRPr="00E0548A">
              <w:rPr>
                <w:rFonts w:hint="eastAsia"/>
              </w:rPr>
              <w:t>252</w:t>
            </w:r>
            <w:r w:rsidRPr="00E0548A">
              <w:rPr>
                <w:rFonts w:hint="eastAsia"/>
              </w:rPr>
              <w:t>条の</w:t>
            </w:r>
            <w:r w:rsidRPr="00E0548A">
              <w:rPr>
                <w:rFonts w:hint="eastAsia"/>
              </w:rPr>
              <w:t>17</w:t>
            </w:r>
            <w:r w:rsidRPr="00E0548A">
              <w:rPr>
                <w:rFonts w:hint="eastAsia"/>
              </w:rPr>
              <w:t>に基づく派遣）</w:t>
            </w:r>
            <w:r w:rsidRPr="00E0548A">
              <w:rPr>
                <w:rFonts w:ascii="ＭＳ 明朝" w:hAnsi="ＭＳ 明朝" w:hint="eastAsia"/>
                <w:szCs w:val="21"/>
              </w:rPr>
              <w:t>、行財政相談等）【人事課・市町村</w:t>
            </w:r>
            <w:r w:rsidR="00F456DE" w:rsidRPr="00E0548A">
              <w:rPr>
                <w:rFonts w:ascii="ＭＳ 明朝" w:hAnsi="ＭＳ 明朝" w:hint="eastAsia"/>
                <w:szCs w:val="21"/>
              </w:rPr>
              <w:t>局</w:t>
            </w:r>
            <w:r w:rsidRPr="00E0548A">
              <w:rPr>
                <w:rFonts w:ascii="ＭＳ 明朝" w:hAnsi="ＭＳ 明朝" w:hint="eastAsia"/>
                <w:szCs w:val="21"/>
              </w:rPr>
              <w:t>】</w:t>
            </w:r>
          </w:p>
        </w:tc>
      </w:tr>
      <w:tr w:rsidR="00E0548A" w:rsidRPr="00E0548A" w14:paraId="40C2A935" w14:textId="77777777" w:rsidTr="008B4B2B">
        <w:trPr>
          <w:jc w:val="center"/>
        </w:trPr>
        <w:tc>
          <w:tcPr>
            <w:tcW w:w="1526" w:type="dxa"/>
          </w:tcPr>
          <w:p w14:paraId="2436A18E" w14:textId="77777777" w:rsidR="008B4B2B" w:rsidRPr="00E0548A" w:rsidRDefault="008B4B2B" w:rsidP="008B4B2B">
            <w:pPr>
              <w:rPr>
                <w:rFonts w:ascii="ＭＳ 明朝" w:hAnsi="ＭＳ 明朝"/>
                <w:szCs w:val="21"/>
              </w:rPr>
            </w:pPr>
            <w:r w:rsidRPr="00E0548A">
              <w:rPr>
                <w:rFonts w:ascii="ＭＳ 明朝" w:hAnsi="ＭＳ 明朝" w:hint="eastAsia"/>
                <w:szCs w:val="21"/>
              </w:rPr>
              <w:t>第5フェーズ</w:t>
            </w:r>
          </w:p>
          <w:p w14:paraId="5EE0876C" w14:textId="77777777" w:rsidR="008B4B2B" w:rsidRPr="00E0548A" w:rsidRDefault="008B4B2B" w:rsidP="008B4B2B">
            <w:pPr>
              <w:rPr>
                <w:rFonts w:ascii="ＭＳ 明朝" w:hAnsi="ＭＳ 明朝"/>
                <w:szCs w:val="21"/>
              </w:rPr>
            </w:pPr>
            <w:r w:rsidRPr="00E0548A">
              <w:rPr>
                <w:rFonts w:ascii="ＭＳ 明朝" w:hAnsi="ＭＳ 明朝" w:hint="eastAsia"/>
                <w:szCs w:val="21"/>
              </w:rPr>
              <w:t>(2週間まで)</w:t>
            </w:r>
          </w:p>
        </w:tc>
        <w:tc>
          <w:tcPr>
            <w:tcW w:w="7176" w:type="dxa"/>
          </w:tcPr>
          <w:p w14:paraId="66B82079" w14:textId="77777777" w:rsidR="008B4B2B" w:rsidRPr="00E0548A" w:rsidRDefault="008B4B2B" w:rsidP="008B4B2B">
            <w:pPr>
              <w:ind w:left="211" w:hangingChars="100" w:hanging="211"/>
              <w:rPr>
                <w:rFonts w:ascii="ＭＳ 明朝" w:hAnsi="ＭＳ 明朝"/>
                <w:szCs w:val="21"/>
              </w:rPr>
            </w:pPr>
            <w:r w:rsidRPr="00E0548A">
              <w:rPr>
                <w:rFonts w:ascii="ＭＳ 明朝" w:hAnsi="ＭＳ 明朝" w:hint="eastAsia"/>
                <w:szCs w:val="21"/>
              </w:rPr>
              <w:t>○被災所管施設の応急復旧（当該施設において応急的に業務を再開するために実施する措置のことをいう。本格的な復旧作業の前段階。）開始</w:t>
            </w:r>
          </w:p>
        </w:tc>
      </w:tr>
      <w:tr w:rsidR="00E0548A" w:rsidRPr="00E0548A" w14:paraId="0C18C945" w14:textId="77777777" w:rsidTr="008B4B2B">
        <w:trPr>
          <w:jc w:val="center"/>
        </w:trPr>
        <w:tc>
          <w:tcPr>
            <w:tcW w:w="1526" w:type="dxa"/>
          </w:tcPr>
          <w:p w14:paraId="06E23BA3" w14:textId="77777777" w:rsidR="008B4B2B" w:rsidRPr="00E0548A" w:rsidRDefault="008B4B2B" w:rsidP="008B4B2B">
            <w:pPr>
              <w:rPr>
                <w:rFonts w:ascii="ＭＳ 明朝" w:hAnsi="ＭＳ 明朝"/>
                <w:szCs w:val="21"/>
              </w:rPr>
            </w:pPr>
            <w:r w:rsidRPr="00E0548A">
              <w:rPr>
                <w:rFonts w:ascii="ＭＳ 明朝" w:hAnsi="ＭＳ 明朝" w:hint="eastAsia"/>
                <w:szCs w:val="21"/>
              </w:rPr>
              <w:t>第6フェーズ</w:t>
            </w:r>
          </w:p>
          <w:p w14:paraId="3016867A" w14:textId="77777777" w:rsidR="008B4B2B" w:rsidRPr="00E0548A" w:rsidRDefault="008B4B2B" w:rsidP="008B4B2B">
            <w:pPr>
              <w:rPr>
                <w:rFonts w:ascii="ＭＳ 明朝" w:hAnsi="ＭＳ 明朝"/>
                <w:szCs w:val="21"/>
              </w:rPr>
            </w:pPr>
            <w:r w:rsidRPr="00E0548A">
              <w:rPr>
                <w:rFonts w:ascii="ＭＳ 明朝" w:hAnsi="ＭＳ 明朝" w:hint="eastAsia"/>
                <w:szCs w:val="21"/>
              </w:rPr>
              <w:t>(1ヶ月まで)</w:t>
            </w:r>
          </w:p>
        </w:tc>
        <w:tc>
          <w:tcPr>
            <w:tcW w:w="7176" w:type="dxa"/>
          </w:tcPr>
          <w:p w14:paraId="6B31BAE1" w14:textId="77777777" w:rsidR="008B4B2B" w:rsidRPr="00E0548A" w:rsidRDefault="008B4B2B" w:rsidP="008B4B2B">
            <w:pPr>
              <w:rPr>
                <w:rFonts w:ascii="ＭＳ ゴシック" w:eastAsia="ＭＳ ゴシック" w:hAnsi="ＭＳ ゴシック"/>
                <w:szCs w:val="21"/>
              </w:rPr>
            </w:pPr>
            <w:r w:rsidRPr="00E0548A">
              <w:rPr>
                <w:rFonts w:ascii="ＭＳ 明朝" w:hAnsi="ＭＳ 明朝" w:hint="eastAsia"/>
                <w:szCs w:val="21"/>
              </w:rPr>
              <w:t>○被災所管施設の応急復旧</w:t>
            </w:r>
          </w:p>
          <w:p w14:paraId="6DDB2B4B" w14:textId="77777777" w:rsidR="008B4B2B" w:rsidRPr="00E0548A" w:rsidRDefault="008B4B2B" w:rsidP="008B4B2B">
            <w:pPr>
              <w:rPr>
                <w:rFonts w:ascii="ＭＳ ゴシック" w:eastAsia="ＭＳ ゴシック" w:hAnsi="ＭＳ ゴシック"/>
                <w:szCs w:val="21"/>
              </w:rPr>
            </w:pPr>
          </w:p>
        </w:tc>
      </w:tr>
    </w:tbl>
    <w:p w14:paraId="2DEE1AA2" w14:textId="77777777" w:rsidR="008B4B2B" w:rsidRPr="00E0548A" w:rsidRDefault="008B4B2B" w:rsidP="008B4B2B">
      <w:pPr>
        <w:rPr>
          <w:rFonts w:ascii="ＭＳ 明朝" w:hAnsi="ＭＳ 明朝"/>
          <w:szCs w:val="21"/>
        </w:rPr>
      </w:pPr>
      <w:r w:rsidRPr="00E0548A">
        <w:rPr>
          <w:rFonts w:ascii="ＭＳ 明朝" w:hAnsi="ＭＳ 明朝" w:hint="eastAsia"/>
          <w:szCs w:val="21"/>
        </w:rPr>
        <w:t>※主な所管施設：大手前庁舎（本館・別館・分館６号館・新別館）、咲洲庁舎</w:t>
      </w:r>
    </w:p>
    <w:p w14:paraId="22808608" w14:textId="77777777" w:rsidR="008B4B2B" w:rsidRPr="00E0548A" w:rsidRDefault="008B4B2B" w:rsidP="008B4B2B">
      <w:pPr>
        <w:ind w:leftChars="300" w:left="1900" w:hangingChars="600" w:hanging="1267"/>
        <w:rPr>
          <w:rFonts w:ascii="ＭＳ 明朝" w:hAnsi="ＭＳ 明朝"/>
          <w:szCs w:val="21"/>
        </w:rPr>
      </w:pPr>
      <w:r w:rsidRPr="00E0548A">
        <w:rPr>
          <w:rFonts w:ascii="ＭＳ 明朝" w:hAnsi="ＭＳ 明朝" w:hint="eastAsia"/>
          <w:szCs w:val="21"/>
        </w:rPr>
        <w:t>システム：総務事務システム、住基ネット、電子調達（入札）システム</w:t>
      </w:r>
    </w:p>
    <w:p w14:paraId="526F07C7" w14:textId="2DB72FC0" w:rsidR="00D93C38" w:rsidRPr="00E0548A" w:rsidRDefault="00D93C38">
      <w:pPr>
        <w:widowControl/>
        <w:jc w:val="left"/>
        <w:rPr>
          <w:rFonts w:ascii="ＭＳ ゴシック" w:eastAsia="ＭＳ ゴシック" w:hAnsi="ＭＳ ゴシック"/>
          <w:sz w:val="22"/>
          <w:szCs w:val="22"/>
        </w:rPr>
      </w:pPr>
      <w:r w:rsidRPr="00E0548A">
        <w:rPr>
          <w:rFonts w:ascii="ＭＳ ゴシック" w:eastAsia="ＭＳ ゴシック" w:hAnsi="ＭＳ ゴシック"/>
          <w:sz w:val="22"/>
          <w:szCs w:val="22"/>
        </w:rPr>
        <w:br w:type="page"/>
      </w:r>
    </w:p>
    <w:p w14:paraId="7A450C72" w14:textId="77777777" w:rsidR="00F2568A" w:rsidRPr="00E0548A" w:rsidRDefault="00F2568A" w:rsidP="00F2568A">
      <w:pPr>
        <w:pStyle w:val="af4"/>
        <w:ind w:leftChars="0" w:left="0"/>
        <w:rPr>
          <w:rFonts w:ascii="ＭＳ ゴシック" w:eastAsia="ＭＳ ゴシック" w:hAnsi="ＭＳ ゴシック"/>
          <w:szCs w:val="21"/>
        </w:rPr>
      </w:pPr>
      <w:r w:rsidRPr="00E0548A">
        <w:rPr>
          <w:rFonts w:ascii="ＭＳ ゴシック" w:eastAsia="ＭＳ ゴシック" w:hAnsi="ＭＳ ゴシック" w:hint="eastAsia"/>
          <w:szCs w:val="21"/>
        </w:rPr>
        <w:lastRenderedPageBreak/>
        <w:t>＜南海トラフ地震臨時情報（巨大地震警戒）発表時＞</w:t>
      </w:r>
    </w:p>
    <w:tbl>
      <w:tblPr>
        <w:tblpPr w:leftFromText="142" w:rightFromText="142" w:vertAnchor="text" w:tblpXSpec="center" w:tblpY="1"/>
        <w:tblOverlap w:val="neve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00"/>
        <w:gridCol w:w="7334"/>
      </w:tblGrid>
      <w:tr w:rsidR="00E0548A" w:rsidRPr="00E0548A" w14:paraId="67AFCD30" w14:textId="77777777" w:rsidTr="008C78D9">
        <w:trPr>
          <w:jc w:val="center"/>
        </w:trPr>
        <w:tc>
          <w:tcPr>
            <w:tcW w:w="1500" w:type="dxa"/>
            <w:tcBorders>
              <w:bottom w:val="single" w:sz="4" w:space="0" w:color="auto"/>
            </w:tcBorders>
            <w:shd w:val="clear" w:color="auto" w:fill="BFBFBF"/>
          </w:tcPr>
          <w:p w14:paraId="45FB69E6" w14:textId="77777777" w:rsidR="00F2568A" w:rsidRPr="00E0548A" w:rsidRDefault="00F2568A" w:rsidP="008C78D9">
            <w:pPr>
              <w:jc w:val="center"/>
              <w:rPr>
                <w:rFonts w:ascii="ＭＳ 明朝" w:hAnsi="ＭＳ 明朝"/>
                <w:szCs w:val="21"/>
              </w:rPr>
            </w:pPr>
            <w:r w:rsidRPr="00E0548A">
              <w:rPr>
                <w:rFonts w:ascii="ＭＳ 明朝" w:hAnsi="ＭＳ 明朝" w:hint="eastAsia"/>
                <w:szCs w:val="21"/>
              </w:rPr>
              <w:t>臨時情報</w:t>
            </w:r>
          </w:p>
        </w:tc>
        <w:tc>
          <w:tcPr>
            <w:tcW w:w="7334" w:type="dxa"/>
            <w:tcBorders>
              <w:bottom w:val="single" w:sz="4" w:space="0" w:color="auto"/>
            </w:tcBorders>
            <w:shd w:val="clear" w:color="auto" w:fill="BFBFBF"/>
          </w:tcPr>
          <w:p w14:paraId="591A7964" w14:textId="77777777" w:rsidR="00F2568A" w:rsidRPr="00E0548A" w:rsidRDefault="00F2568A" w:rsidP="008C78D9">
            <w:pPr>
              <w:jc w:val="center"/>
              <w:rPr>
                <w:rFonts w:ascii="ＭＳ 明朝" w:hAnsi="ＭＳ 明朝"/>
                <w:szCs w:val="21"/>
              </w:rPr>
            </w:pPr>
            <w:r w:rsidRPr="00E0548A">
              <w:rPr>
                <w:rFonts w:ascii="ＭＳ 明朝" w:hAnsi="ＭＳ 明朝" w:hint="eastAsia"/>
                <w:szCs w:val="21"/>
              </w:rPr>
              <w:t>主な応急対策業務</w:t>
            </w:r>
          </w:p>
        </w:tc>
      </w:tr>
      <w:tr w:rsidR="00E0548A" w:rsidRPr="00E0548A" w14:paraId="6D98139D" w14:textId="77777777" w:rsidTr="008C78D9">
        <w:trPr>
          <w:jc w:val="center"/>
        </w:trPr>
        <w:tc>
          <w:tcPr>
            <w:tcW w:w="1500" w:type="dxa"/>
          </w:tcPr>
          <w:p w14:paraId="5E5F9ECD" w14:textId="77777777" w:rsidR="00F2568A" w:rsidRPr="00E0548A" w:rsidRDefault="00F2568A" w:rsidP="008C78D9">
            <w:pPr>
              <w:rPr>
                <w:rFonts w:ascii="ＭＳ 明朝" w:hAnsi="ＭＳ 明朝"/>
                <w:szCs w:val="21"/>
              </w:rPr>
            </w:pPr>
            <w:r w:rsidRPr="00E0548A">
              <w:rPr>
                <w:rFonts w:ascii="ＭＳ 明朝" w:hAnsi="ＭＳ 明朝" w:hint="eastAsia"/>
                <w:szCs w:val="21"/>
              </w:rPr>
              <w:t>巨大地震警戒</w:t>
            </w:r>
          </w:p>
        </w:tc>
        <w:tc>
          <w:tcPr>
            <w:tcW w:w="7334" w:type="dxa"/>
          </w:tcPr>
          <w:p w14:paraId="779E430B" w14:textId="77777777" w:rsidR="00FA1FD5" w:rsidRPr="00E0548A" w:rsidRDefault="00FA1FD5" w:rsidP="00FA1FD5">
            <w:pPr>
              <w:ind w:left="211" w:hangingChars="100" w:hanging="211"/>
              <w:rPr>
                <w:rFonts w:ascii="ＭＳ 明朝" w:hAnsi="ＭＳ 明朝"/>
              </w:rPr>
            </w:pPr>
            <w:r w:rsidRPr="00E0548A">
              <w:rPr>
                <w:rFonts w:ascii="ＭＳ 明朝" w:hAnsi="ＭＳ 明朝" w:hint="eastAsia"/>
              </w:rPr>
              <w:t>○地震発災後、応急対策業務（第１フェーズ）を速やかに実施できる準備</w:t>
            </w:r>
          </w:p>
          <w:p w14:paraId="0D7EEC0B" w14:textId="77777777" w:rsidR="00FA1FD5" w:rsidRPr="00E0548A" w:rsidRDefault="00FA1FD5" w:rsidP="00FA1FD5">
            <w:pPr>
              <w:ind w:leftChars="100" w:left="211"/>
              <w:rPr>
                <w:rFonts w:ascii="ＭＳ 明朝" w:hAnsi="ＭＳ 明朝"/>
              </w:rPr>
            </w:pPr>
            <w:r w:rsidRPr="00E0548A">
              <w:rPr>
                <w:rFonts w:ascii="ＭＳ 明朝" w:hAnsi="ＭＳ 明朝" w:hint="eastAsia"/>
              </w:rPr>
              <w:t>体制を維持</w:t>
            </w:r>
          </w:p>
          <w:p w14:paraId="59321CF7" w14:textId="77777777" w:rsidR="00FA1FD5" w:rsidRPr="00E0548A" w:rsidRDefault="00FA1FD5" w:rsidP="00FA1FD5">
            <w:pPr>
              <w:rPr>
                <w:rFonts w:ascii="ＭＳ 明朝" w:hAnsi="ＭＳ 明朝"/>
              </w:rPr>
            </w:pPr>
            <w:r w:rsidRPr="00E0548A">
              <w:rPr>
                <w:rFonts w:ascii="ＭＳ 明朝" w:hAnsi="ＭＳ 明朝" w:hint="eastAsia"/>
              </w:rPr>
              <w:t>○部内及び関係機関からの情報収集・整理及び連絡調整【法務課】</w:t>
            </w:r>
          </w:p>
          <w:p w14:paraId="5E5253BF" w14:textId="77777777" w:rsidR="00282663" w:rsidRPr="00E0548A" w:rsidRDefault="00FA1FD5" w:rsidP="00282663">
            <w:pPr>
              <w:rPr>
                <w:rFonts w:ascii="ＭＳ 明朝" w:hAnsi="ＭＳ 明朝"/>
              </w:rPr>
            </w:pPr>
            <w:r w:rsidRPr="00E0548A">
              <w:rPr>
                <w:rFonts w:ascii="ＭＳ 明朝" w:hAnsi="ＭＳ 明朝" w:hint="eastAsia"/>
              </w:rPr>
              <w:t>○工事等所管検査の実施可否の判断【契約局】</w:t>
            </w:r>
          </w:p>
          <w:p w14:paraId="1951AE4A" w14:textId="1763A1E1" w:rsidR="003130B5" w:rsidRPr="00E0548A" w:rsidRDefault="003130B5" w:rsidP="00282663">
            <w:pPr>
              <w:rPr>
                <w:rFonts w:ascii="ＭＳ 明朝" w:hAnsi="ＭＳ 明朝"/>
                <w:szCs w:val="21"/>
              </w:rPr>
            </w:pPr>
            <w:r w:rsidRPr="00E0548A">
              <w:rPr>
                <w:rFonts w:ascii="ＭＳ 明朝" w:hAnsi="ＭＳ 明朝" w:hint="eastAsia"/>
              </w:rPr>
              <w:t>○公用車等の点検・給油【各所管所属】</w:t>
            </w:r>
          </w:p>
        </w:tc>
      </w:tr>
    </w:tbl>
    <w:p w14:paraId="7E3559DA" w14:textId="77777777" w:rsidR="00F2568A" w:rsidRPr="00E0548A" w:rsidRDefault="00F2568A" w:rsidP="00F2568A">
      <w:pPr>
        <w:rPr>
          <w:rFonts w:ascii="ＭＳ 明朝" w:hAnsi="ＭＳ 明朝"/>
          <w:szCs w:val="21"/>
        </w:rPr>
      </w:pPr>
      <w:r w:rsidRPr="00E0548A">
        <w:rPr>
          <w:rFonts w:ascii="ＭＳ 明朝" w:hAnsi="ＭＳ 明朝" w:hint="eastAsia"/>
          <w:szCs w:val="21"/>
        </w:rPr>
        <w:t>「南海トラフ地震臨時情報（巨大地震警戒）」が発表され、「巨大地震警戒対応期間」（１週間）が経過した際は、「巨大地震注意対応期間」へ移行。</w:t>
      </w:r>
    </w:p>
    <w:p w14:paraId="5FC50F15" w14:textId="77777777" w:rsidR="00F2568A" w:rsidRPr="00E0548A" w:rsidRDefault="00F2568A" w:rsidP="00F2568A">
      <w:pPr>
        <w:rPr>
          <w:rFonts w:ascii="ＭＳ 明朝" w:hAnsi="ＭＳ 明朝"/>
          <w:szCs w:val="21"/>
        </w:rPr>
      </w:pPr>
    </w:p>
    <w:p w14:paraId="25E08175" w14:textId="2FAD57E6" w:rsidR="00F2568A" w:rsidRPr="00E0548A" w:rsidRDefault="00F2568A" w:rsidP="00F2568A">
      <w:pPr>
        <w:pStyle w:val="af4"/>
        <w:ind w:leftChars="0" w:left="0"/>
        <w:rPr>
          <w:rFonts w:ascii="ＭＳ ゴシック" w:eastAsia="ＭＳ ゴシック" w:hAnsi="ＭＳ ゴシック"/>
          <w:szCs w:val="21"/>
        </w:rPr>
      </w:pPr>
      <w:r w:rsidRPr="00E0548A">
        <w:rPr>
          <w:rFonts w:ascii="ＭＳ ゴシック" w:eastAsia="ＭＳ ゴシック" w:hAnsi="ＭＳ ゴシック" w:hint="eastAsia"/>
          <w:szCs w:val="21"/>
        </w:rPr>
        <w:t>＜南海トラフ地震臨時情報（巨大地震注意）発表時</w:t>
      </w:r>
      <w:r w:rsidR="002F25B5" w:rsidRPr="00E0548A">
        <w:rPr>
          <w:rFonts w:ascii="ＭＳ ゴシック" w:eastAsia="ＭＳ ゴシック" w:hAnsi="ＭＳ ゴシック" w:hint="eastAsia"/>
          <w:szCs w:val="21"/>
        </w:rPr>
        <w:t>（</w:t>
      </w:r>
      <w:r w:rsidR="002F25B5" w:rsidRPr="00E0548A">
        <w:rPr>
          <w:rFonts w:ascii="ＭＳ 明朝" w:hAnsi="ＭＳ 明朝" w:hint="eastAsia"/>
          <w:szCs w:val="21"/>
        </w:rPr>
        <w:t>巨大地震警戒からの移行時を含む</w:t>
      </w:r>
      <w:r w:rsidR="002F25B5" w:rsidRPr="00E0548A">
        <w:rPr>
          <w:rFonts w:ascii="ＭＳ ゴシック" w:eastAsia="ＭＳ ゴシック" w:hAnsi="ＭＳ ゴシック" w:hint="eastAsia"/>
          <w:szCs w:val="21"/>
        </w:rPr>
        <w:t>）</w:t>
      </w:r>
      <w:r w:rsidRPr="00E0548A">
        <w:rPr>
          <w:rFonts w:ascii="ＭＳ ゴシック" w:eastAsia="ＭＳ ゴシック" w:hAnsi="ＭＳ ゴシック" w:hint="eastAsia"/>
          <w:szCs w:val="21"/>
        </w:rPr>
        <w:t>＞</w:t>
      </w:r>
    </w:p>
    <w:tbl>
      <w:tblPr>
        <w:tblpPr w:leftFromText="142" w:rightFromText="142" w:vertAnchor="text" w:tblpXSpec="center" w:tblpY="1"/>
        <w:tblOverlap w:val="neve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00"/>
        <w:gridCol w:w="7334"/>
      </w:tblGrid>
      <w:tr w:rsidR="00E0548A" w:rsidRPr="00E0548A" w14:paraId="7983E07E" w14:textId="77777777" w:rsidTr="008C78D9">
        <w:trPr>
          <w:jc w:val="center"/>
        </w:trPr>
        <w:tc>
          <w:tcPr>
            <w:tcW w:w="1500" w:type="dxa"/>
            <w:tcBorders>
              <w:bottom w:val="single" w:sz="4" w:space="0" w:color="auto"/>
            </w:tcBorders>
            <w:shd w:val="clear" w:color="auto" w:fill="BFBFBF"/>
          </w:tcPr>
          <w:p w14:paraId="30D31D67" w14:textId="77777777" w:rsidR="00F2568A" w:rsidRPr="00E0548A" w:rsidRDefault="00F2568A" w:rsidP="008C78D9">
            <w:pPr>
              <w:jc w:val="center"/>
              <w:rPr>
                <w:rFonts w:ascii="ＭＳ 明朝" w:hAnsi="ＭＳ 明朝"/>
                <w:szCs w:val="21"/>
              </w:rPr>
            </w:pPr>
            <w:r w:rsidRPr="00E0548A">
              <w:rPr>
                <w:rFonts w:ascii="ＭＳ 明朝" w:hAnsi="ＭＳ 明朝" w:hint="eastAsia"/>
                <w:szCs w:val="21"/>
              </w:rPr>
              <w:t>臨時情報</w:t>
            </w:r>
          </w:p>
        </w:tc>
        <w:tc>
          <w:tcPr>
            <w:tcW w:w="7334" w:type="dxa"/>
            <w:tcBorders>
              <w:bottom w:val="single" w:sz="4" w:space="0" w:color="auto"/>
            </w:tcBorders>
            <w:shd w:val="clear" w:color="auto" w:fill="BFBFBF"/>
          </w:tcPr>
          <w:p w14:paraId="2E1BBF3A" w14:textId="77777777" w:rsidR="00F2568A" w:rsidRPr="00E0548A" w:rsidRDefault="00F2568A" w:rsidP="008C78D9">
            <w:pPr>
              <w:jc w:val="center"/>
              <w:rPr>
                <w:rFonts w:ascii="ＭＳ 明朝" w:hAnsi="ＭＳ 明朝"/>
                <w:szCs w:val="21"/>
              </w:rPr>
            </w:pPr>
            <w:r w:rsidRPr="00E0548A">
              <w:rPr>
                <w:rFonts w:ascii="ＭＳ 明朝" w:hAnsi="ＭＳ 明朝" w:hint="eastAsia"/>
                <w:szCs w:val="21"/>
              </w:rPr>
              <w:t>主な応急対策業務</w:t>
            </w:r>
          </w:p>
        </w:tc>
      </w:tr>
      <w:tr w:rsidR="00E0548A" w:rsidRPr="00E0548A" w14:paraId="7830EF97" w14:textId="77777777" w:rsidTr="008C78D9">
        <w:trPr>
          <w:jc w:val="center"/>
        </w:trPr>
        <w:tc>
          <w:tcPr>
            <w:tcW w:w="1500" w:type="dxa"/>
          </w:tcPr>
          <w:p w14:paraId="53484C77" w14:textId="77777777" w:rsidR="00F2568A" w:rsidRPr="00E0548A" w:rsidRDefault="00F2568A" w:rsidP="008C78D9">
            <w:pPr>
              <w:rPr>
                <w:rFonts w:ascii="ＭＳ 明朝" w:hAnsi="ＭＳ 明朝"/>
                <w:szCs w:val="21"/>
              </w:rPr>
            </w:pPr>
            <w:r w:rsidRPr="00E0548A">
              <w:rPr>
                <w:rFonts w:ascii="ＭＳ 明朝" w:hAnsi="ＭＳ 明朝" w:hint="eastAsia"/>
                <w:szCs w:val="21"/>
              </w:rPr>
              <w:t>巨大地震注意</w:t>
            </w:r>
          </w:p>
        </w:tc>
        <w:tc>
          <w:tcPr>
            <w:tcW w:w="7334" w:type="dxa"/>
          </w:tcPr>
          <w:p w14:paraId="21AFCE1B" w14:textId="77777777" w:rsidR="00FA1FD5" w:rsidRPr="00E0548A" w:rsidRDefault="00FA1FD5" w:rsidP="00FA1FD5">
            <w:pPr>
              <w:rPr>
                <w:rFonts w:ascii="ＭＳ 明朝" w:hAnsi="ＭＳ 明朝"/>
                <w:szCs w:val="21"/>
              </w:rPr>
            </w:pPr>
            <w:r w:rsidRPr="00E0548A">
              <w:rPr>
                <w:rFonts w:ascii="ＭＳ 明朝" w:hAnsi="ＭＳ 明朝" w:hint="eastAsia"/>
                <w:szCs w:val="21"/>
              </w:rPr>
              <w:t>○地震発災に備えた情報連絡体制の維持</w:t>
            </w:r>
          </w:p>
          <w:p w14:paraId="7433F62A" w14:textId="77777777" w:rsidR="00282663" w:rsidRPr="00E0548A" w:rsidRDefault="00FA1FD5" w:rsidP="00282663">
            <w:pPr>
              <w:rPr>
                <w:rFonts w:ascii="ＭＳ 明朝" w:hAnsi="ＭＳ 明朝"/>
                <w:kern w:val="0"/>
                <w:szCs w:val="21"/>
              </w:rPr>
            </w:pPr>
            <w:r w:rsidRPr="00E0548A">
              <w:rPr>
                <w:rFonts w:ascii="ＭＳ 明朝" w:hAnsi="ＭＳ 明朝" w:hint="eastAsia"/>
                <w:kern w:val="0"/>
                <w:szCs w:val="21"/>
              </w:rPr>
              <w:t>○部内及び関係機関からの情報収集・整理及び連絡調整【法務課】</w:t>
            </w:r>
          </w:p>
          <w:p w14:paraId="005FD9BE" w14:textId="0877A2A5" w:rsidR="003130B5" w:rsidRPr="00E0548A" w:rsidRDefault="003130B5" w:rsidP="00282663">
            <w:pPr>
              <w:rPr>
                <w:rFonts w:ascii="ＭＳ 明朝" w:hAnsi="ＭＳ 明朝"/>
                <w:szCs w:val="21"/>
              </w:rPr>
            </w:pPr>
            <w:r w:rsidRPr="00E0548A">
              <w:rPr>
                <w:rFonts w:ascii="ＭＳ 明朝" w:hAnsi="ＭＳ 明朝" w:hint="eastAsia"/>
              </w:rPr>
              <w:t>○公用車等の点検・給油【各所管所属】</w:t>
            </w:r>
          </w:p>
        </w:tc>
      </w:tr>
    </w:tbl>
    <w:p w14:paraId="08645C16" w14:textId="77777777" w:rsidR="00F2568A" w:rsidRPr="00E0548A" w:rsidRDefault="00F2568A" w:rsidP="00F2568A">
      <w:pPr>
        <w:rPr>
          <w:rFonts w:ascii="ＭＳ 明朝" w:hAnsi="ＭＳ 明朝"/>
          <w:szCs w:val="21"/>
        </w:rPr>
      </w:pPr>
    </w:p>
    <w:p w14:paraId="480679A5" w14:textId="77777777" w:rsidR="005A4299" w:rsidRPr="00E0548A" w:rsidRDefault="005A4299" w:rsidP="005A4299">
      <w:pPr>
        <w:ind w:firstLineChars="100" w:firstLine="211"/>
        <w:rPr>
          <w:rFonts w:ascii="ＭＳ 明朝" w:hAnsi="ＭＳ 明朝"/>
          <w:szCs w:val="21"/>
        </w:rPr>
      </w:pPr>
      <w:r w:rsidRPr="00E0548A">
        <w:rPr>
          <w:rFonts w:ascii="ＭＳ 明朝" w:hAnsi="ＭＳ 明朝" w:hint="eastAsia"/>
          <w:szCs w:val="21"/>
        </w:rPr>
        <w:t>なお、南海トラフ地震臨時情報（巨大地震警戒及び注意）発表時の主な所管施設等については、前述する＜災害発生時＞に記載する内容と同様。</w:t>
      </w:r>
    </w:p>
    <w:p w14:paraId="73A77F52" w14:textId="77777777" w:rsidR="008B4B2B" w:rsidRPr="00E0548A" w:rsidRDefault="008B4B2B" w:rsidP="008B4B2B">
      <w:pPr>
        <w:rPr>
          <w:rFonts w:ascii="ＭＳ ゴシック" w:eastAsia="ＭＳ ゴシック" w:hAnsi="ＭＳ ゴシック"/>
          <w:sz w:val="22"/>
          <w:szCs w:val="22"/>
        </w:rPr>
      </w:pPr>
    </w:p>
    <w:p w14:paraId="1F6688CF" w14:textId="77777777" w:rsidR="00282663" w:rsidRPr="00E0548A" w:rsidRDefault="00282663" w:rsidP="008B4B2B">
      <w:pPr>
        <w:rPr>
          <w:rFonts w:ascii="ＭＳ ゴシック" w:eastAsia="ＭＳ ゴシック" w:hAnsi="ＭＳ ゴシック"/>
          <w:sz w:val="22"/>
          <w:szCs w:val="22"/>
        </w:rPr>
      </w:pPr>
    </w:p>
    <w:p w14:paraId="42584F29" w14:textId="77777777" w:rsidR="00D93C38" w:rsidRPr="00E0548A" w:rsidRDefault="00D93C38">
      <w:pPr>
        <w:widowControl/>
        <w:jc w:val="left"/>
        <w:rPr>
          <w:rFonts w:ascii="ＭＳ ゴシック" w:eastAsia="ＭＳ ゴシック" w:hAnsi="ＭＳ ゴシック"/>
          <w:szCs w:val="21"/>
        </w:rPr>
      </w:pPr>
      <w:r w:rsidRPr="00E0548A">
        <w:rPr>
          <w:rFonts w:ascii="ＭＳ ゴシック" w:eastAsia="ＭＳ ゴシック" w:hAnsi="ＭＳ ゴシック"/>
          <w:szCs w:val="21"/>
        </w:rPr>
        <w:br w:type="page"/>
      </w:r>
    </w:p>
    <w:p w14:paraId="3F993B0D" w14:textId="601FE31A" w:rsidR="008B4B2B" w:rsidRPr="00E0548A" w:rsidRDefault="008B4B2B" w:rsidP="008B4B2B">
      <w:pPr>
        <w:pStyle w:val="af4"/>
        <w:ind w:leftChars="0" w:left="0"/>
        <w:rPr>
          <w:rFonts w:ascii="ＭＳ ゴシック" w:eastAsia="ＭＳ ゴシック" w:hAnsi="ＭＳ ゴシック"/>
          <w:szCs w:val="21"/>
        </w:rPr>
      </w:pPr>
      <w:r w:rsidRPr="00E0548A">
        <w:rPr>
          <w:rFonts w:ascii="ＭＳ ゴシック" w:eastAsia="ＭＳ ゴシック" w:hAnsi="ＭＳ ゴシック" w:hint="eastAsia"/>
          <w:szCs w:val="21"/>
        </w:rPr>
        <w:lastRenderedPageBreak/>
        <w:t>④財務部</w:t>
      </w:r>
    </w:p>
    <w:p w14:paraId="79673283" w14:textId="77777777" w:rsidR="002C01FF" w:rsidRPr="00E0548A" w:rsidRDefault="002C01FF" w:rsidP="002C01FF">
      <w:pPr>
        <w:pStyle w:val="af4"/>
        <w:ind w:leftChars="0" w:left="0"/>
        <w:rPr>
          <w:rFonts w:ascii="ＭＳ ゴシック" w:eastAsia="ＭＳ ゴシック" w:hAnsi="ＭＳ ゴシック"/>
          <w:szCs w:val="21"/>
        </w:rPr>
      </w:pPr>
      <w:r w:rsidRPr="00E0548A">
        <w:rPr>
          <w:rFonts w:ascii="ＭＳ ゴシック" w:eastAsia="ＭＳ ゴシック" w:hAnsi="ＭＳ ゴシック" w:hint="eastAsia"/>
          <w:szCs w:val="21"/>
        </w:rPr>
        <w:t>＜災害発生時＞</w:t>
      </w:r>
    </w:p>
    <w:tbl>
      <w:tblPr>
        <w:tblpPr w:leftFromText="142" w:rightFromText="142" w:vertAnchor="text" w:tblpXSpec="center" w:tblpY="1"/>
        <w:tblOverlap w:val="neve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26"/>
        <w:gridCol w:w="7176"/>
      </w:tblGrid>
      <w:tr w:rsidR="00E0548A" w:rsidRPr="00E0548A" w14:paraId="370143F7" w14:textId="77777777" w:rsidTr="008B4B2B">
        <w:trPr>
          <w:jc w:val="center"/>
        </w:trPr>
        <w:tc>
          <w:tcPr>
            <w:tcW w:w="1526" w:type="dxa"/>
            <w:shd w:val="clear" w:color="auto" w:fill="BFBFBF"/>
          </w:tcPr>
          <w:p w14:paraId="747B448D" w14:textId="77777777" w:rsidR="008B4B2B" w:rsidRPr="00E0548A" w:rsidRDefault="008B4B2B" w:rsidP="008B4B2B">
            <w:pPr>
              <w:jc w:val="center"/>
              <w:rPr>
                <w:rFonts w:ascii="ＭＳ 明朝" w:hAnsi="ＭＳ 明朝"/>
                <w:szCs w:val="21"/>
              </w:rPr>
            </w:pPr>
            <w:r w:rsidRPr="00E0548A">
              <w:rPr>
                <w:rFonts w:ascii="ＭＳ 明朝" w:hAnsi="ＭＳ 明朝" w:hint="eastAsia"/>
                <w:szCs w:val="21"/>
              </w:rPr>
              <w:t>フェーズ</w:t>
            </w:r>
          </w:p>
        </w:tc>
        <w:tc>
          <w:tcPr>
            <w:tcW w:w="7176" w:type="dxa"/>
            <w:shd w:val="clear" w:color="auto" w:fill="BFBFBF"/>
          </w:tcPr>
          <w:p w14:paraId="3801C577" w14:textId="77777777" w:rsidR="008B4B2B" w:rsidRPr="00E0548A" w:rsidRDefault="008B4B2B" w:rsidP="008B4B2B">
            <w:pPr>
              <w:jc w:val="center"/>
              <w:rPr>
                <w:rFonts w:ascii="ＭＳ 明朝" w:hAnsi="ＭＳ 明朝"/>
                <w:szCs w:val="21"/>
              </w:rPr>
            </w:pPr>
            <w:r w:rsidRPr="00E0548A">
              <w:rPr>
                <w:rFonts w:ascii="ＭＳ 明朝" w:hAnsi="ＭＳ 明朝" w:hint="eastAsia"/>
                <w:szCs w:val="21"/>
              </w:rPr>
              <w:t>主な応急対策業務</w:t>
            </w:r>
          </w:p>
        </w:tc>
      </w:tr>
      <w:tr w:rsidR="00E0548A" w:rsidRPr="00E0548A" w14:paraId="60B0D62F" w14:textId="77777777" w:rsidTr="008B4B2B">
        <w:trPr>
          <w:jc w:val="center"/>
        </w:trPr>
        <w:tc>
          <w:tcPr>
            <w:tcW w:w="1526" w:type="dxa"/>
          </w:tcPr>
          <w:p w14:paraId="46993D7C" w14:textId="77777777" w:rsidR="00667831" w:rsidRPr="00E0548A" w:rsidRDefault="00667831" w:rsidP="00667831">
            <w:pPr>
              <w:rPr>
                <w:rFonts w:ascii="ＭＳ 明朝" w:hAnsi="ＭＳ 明朝"/>
                <w:szCs w:val="21"/>
              </w:rPr>
            </w:pPr>
            <w:r w:rsidRPr="00E0548A">
              <w:rPr>
                <w:rFonts w:ascii="ＭＳ 明朝" w:hAnsi="ＭＳ 明朝" w:hint="eastAsia"/>
                <w:szCs w:val="21"/>
              </w:rPr>
              <w:t>第1フェーズ</w:t>
            </w:r>
          </w:p>
          <w:p w14:paraId="7FD8A751" w14:textId="77777777" w:rsidR="00667831" w:rsidRPr="00E0548A" w:rsidRDefault="00667831" w:rsidP="00667831">
            <w:pPr>
              <w:rPr>
                <w:rFonts w:ascii="ＭＳ 明朝" w:hAnsi="ＭＳ 明朝"/>
                <w:szCs w:val="21"/>
              </w:rPr>
            </w:pPr>
            <w:r w:rsidRPr="00E0548A">
              <w:rPr>
                <w:rFonts w:ascii="ＭＳ 明朝" w:hAnsi="ＭＳ 明朝" w:hint="eastAsia"/>
                <w:szCs w:val="21"/>
              </w:rPr>
              <w:t>(3時間まで)</w:t>
            </w:r>
          </w:p>
          <w:p w14:paraId="3597D67F" w14:textId="77777777" w:rsidR="00667831" w:rsidRPr="00E0548A" w:rsidRDefault="00667831" w:rsidP="00667831">
            <w:pPr>
              <w:rPr>
                <w:rFonts w:ascii="ＭＳ 明朝" w:hAnsi="ＭＳ 明朝"/>
                <w:szCs w:val="21"/>
              </w:rPr>
            </w:pPr>
          </w:p>
        </w:tc>
        <w:tc>
          <w:tcPr>
            <w:tcW w:w="7176" w:type="dxa"/>
          </w:tcPr>
          <w:p w14:paraId="3785F98F" w14:textId="77777777" w:rsidR="00667831" w:rsidRPr="00E0548A" w:rsidRDefault="00667831" w:rsidP="00667831">
            <w:pPr>
              <w:rPr>
                <w:rFonts w:ascii="ＭＳ 明朝" w:hAnsi="ＭＳ 明朝"/>
                <w:szCs w:val="21"/>
              </w:rPr>
            </w:pPr>
            <w:r w:rsidRPr="00E0548A">
              <w:rPr>
                <w:rFonts w:ascii="ＭＳ 明朝" w:hAnsi="ＭＳ 明朝" w:hint="eastAsia"/>
                <w:szCs w:val="21"/>
              </w:rPr>
              <w:t>○初動対応、体制の確立</w:t>
            </w:r>
          </w:p>
          <w:p w14:paraId="29C3C269" w14:textId="77777777" w:rsidR="00667831" w:rsidRPr="00E0548A" w:rsidRDefault="00667831" w:rsidP="00667831">
            <w:pPr>
              <w:rPr>
                <w:rFonts w:ascii="ＭＳ 明朝" w:hAnsi="ＭＳ 明朝"/>
                <w:szCs w:val="21"/>
              </w:rPr>
            </w:pPr>
            <w:r w:rsidRPr="00E0548A">
              <w:rPr>
                <w:rFonts w:ascii="ＭＳ 明朝" w:hAnsi="ＭＳ 明朝" w:hint="eastAsia"/>
                <w:szCs w:val="21"/>
              </w:rPr>
              <w:t>○所管施設（府税事務所など）の利用者の安全確認【税務局】</w:t>
            </w:r>
          </w:p>
          <w:p w14:paraId="5605F95B" w14:textId="77777777" w:rsidR="00667831" w:rsidRPr="00E0548A" w:rsidRDefault="00667831" w:rsidP="00667831">
            <w:pPr>
              <w:rPr>
                <w:rFonts w:ascii="ＭＳ 明朝" w:hAnsi="ＭＳ 明朝"/>
                <w:szCs w:val="21"/>
              </w:rPr>
            </w:pPr>
            <w:r w:rsidRPr="00E0548A">
              <w:rPr>
                <w:rFonts w:ascii="ＭＳ 明朝" w:hAnsi="ＭＳ 明朝" w:hint="eastAsia"/>
                <w:szCs w:val="21"/>
              </w:rPr>
              <w:t>○部内職員の安否確認と参集状況の把握、報告【財政】</w:t>
            </w:r>
          </w:p>
          <w:p w14:paraId="3E3BEF47" w14:textId="77777777" w:rsidR="00667831" w:rsidRPr="00E0548A" w:rsidRDefault="00667831" w:rsidP="00667831">
            <w:pPr>
              <w:rPr>
                <w:rFonts w:ascii="ＭＳ 明朝" w:hAnsi="ＭＳ 明朝"/>
                <w:szCs w:val="21"/>
              </w:rPr>
            </w:pPr>
            <w:r w:rsidRPr="00E0548A">
              <w:rPr>
                <w:rFonts w:ascii="ＭＳ 明朝" w:hAnsi="ＭＳ 明朝" w:hint="eastAsia"/>
                <w:szCs w:val="21"/>
              </w:rPr>
              <w:t>○部内及び関係機関からの情報収集及び連絡調整【財政】</w:t>
            </w:r>
          </w:p>
          <w:p w14:paraId="1C573AC1" w14:textId="46656940" w:rsidR="00667831" w:rsidRPr="00E0548A" w:rsidRDefault="00667831" w:rsidP="00667831">
            <w:pPr>
              <w:ind w:left="211" w:hangingChars="100" w:hanging="211"/>
              <w:rPr>
                <w:rFonts w:ascii="ＭＳ 明朝" w:hAnsi="ＭＳ 明朝"/>
                <w:szCs w:val="21"/>
              </w:rPr>
            </w:pPr>
            <w:r w:rsidRPr="00E0548A">
              <w:rPr>
                <w:rFonts w:ascii="ＭＳ 明朝" w:hAnsi="ＭＳ 明朝" w:hint="eastAsia"/>
                <w:szCs w:val="21"/>
              </w:rPr>
              <w:t>○庁内ネットワーク回線、</w:t>
            </w:r>
            <w:r w:rsidR="00CB0BF4" w:rsidRPr="00E0548A">
              <w:rPr>
                <w:rFonts w:ascii="ＭＳ 明朝" w:hAnsi="ＭＳ 明朝" w:hint="eastAsia"/>
                <w:szCs w:val="21"/>
              </w:rPr>
              <w:t>職員端末基本サービス（認証・メール・インターネット等）</w:t>
            </w:r>
            <w:r w:rsidRPr="00E0548A">
              <w:rPr>
                <w:rFonts w:ascii="ＭＳ 明朝" w:hAnsi="ＭＳ 明朝" w:hint="eastAsia"/>
                <w:szCs w:val="21"/>
              </w:rPr>
              <w:t>、所管システム等の被害状況確認【行政DX企画課・行政DX推進課】</w:t>
            </w:r>
          </w:p>
          <w:p w14:paraId="7B03ED3A" w14:textId="5975CE49" w:rsidR="00667831" w:rsidRPr="00E0548A" w:rsidRDefault="00667831" w:rsidP="00667831">
            <w:pPr>
              <w:rPr>
                <w:rFonts w:ascii="ＭＳ 明朝" w:hAnsi="ＭＳ 明朝"/>
                <w:szCs w:val="21"/>
              </w:rPr>
            </w:pPr>
            <w:r w:rsidRPr="00E0548A">
              <w:rPr>
                <w:rFonts w:ascii="ＭＳ 明朝" w:hAnsi="ＭＳ 明朝" w:hint="eastAsia"/>
                <w:szCs w:val="21"/>
              </w:rPr>
              <w:t>○職員・来庁者の救助・搬送【各所属】</w:t>
            </w:r>
          </w:p>
        </w:tc>
      </w:tr>
      <w:tr w:rsidR="00E0548A" w:rsidRPr="00E0548A" w14:paraId="524FBFAA" w14:textId="77777777" w:rsidTr="008B4B2B">
        <w:trPr>
          <w:jc w:val="center"/>
        </w:trPr>
        <w:tc>
          <w:tcPr>
            <w:tcW w:w="1526" w:type="dxa"/>
          </w:tcPr>
          <w:p w14:paraId="7B15BCAF" w14:textId="77777777" w:rsidR="008B4B2B" w:rsidRPr="00E0548A" w:rsidRDefault="008B4B2B" w:rsidP="008B4B2B">
            <w:pPr>
              <w:rPr>
                <w:rFonts w:ascii="ＭＳ 明朝" w:hAnsi="ＭＳ 明朝"/>
                <w:szCs w:val="21"/>
              </w:rPr>
            </w:pPr>
            <w:r w:rsidRPr="00E0548A">
              <w:rPr>
                <w:rFonts w:ascii="ＭＳ 明朝" w:hAnsi="ＭＳ 明朝" w:hint="eastAsia"/>
                <w:szCs w:val="21"/>
              </w:rPr>
              <w:t>第2フェーズ</w:t>
            </w:r>
          </w:p>
          <w:p w14:paraId="0BF49032" w14:textId="77777777" w:rsidR="008B4B2B" w:rsidRPr="00E0548A" w:rsidRDefault="008B4B2B" w:rsidP="008B4B2B">
            <w:pPr>
              <w:rPr>
                <w:rFonts w:ascii="ＭＳ 明朝" w:hAnsi="ＭＳ 明朝"/>
                <w:szCs w:val="21"/>
              </w:rPr>
            </w:pPr>
            <w:r w:rsidRPr="00E0548A">
              <w:rPr>
                <w:rFonts w:ascii="ＭＳ 明朝" w:hAnsi="ＭＳ 明朝" w:hint="eastAsia"/>
                <w:szCs w:val="21"/>
              </w:rPr>
              <w:t>(24時間まで)</w:t>
            </w:r>
          </w:p>
        </w:tc>
        <w:tc>
          <w:tcPr>
            <w:tcW w:w="7176" w:type="dxa"/>
          </w:tcPr>
          <w:p w14:paraId="68D35E32" w14:textId="77777777" w:rsidR="00667831" w:rsidRPr="00E0548A" w:rsidRDefault="00667831" w:rsidP="00667831">
            <w:pPr>
              <w:ind w:left="211" w:hangingChars="100" w:hanging="211"/>
              <w:rPr>
                <w:rFonts w:ascii="ＭＳ 明朝" w:hAnsi="ＭＳ 明朝"/>
                <w:szCs w:val="21"/>
              </w:rPr>
            </w:pPr>
            <w:r w:rsidRPr="00E0548A">
              <w:rPr>
                <w:rFonts w:ascii="ＭＳ 明朝" w:hAnsi="ＭＳ 明朝" w:hint="eastAsia"/>
                <w:szCs w:val="21"/>
              </w:rPr>
              <w:t>○所管施設</w:t>
            </w:r>
            <w:r w:rsidRPr="00E0548A">
              <w:rPr>
                <w:rFonts w:ascii="ＭＳ 明朝" w:hAnsi="ＭＳ 明朝" w:hint="eastAsia"/>
                <w:kern w:val="0"/>
                <w:szCs w:val="21"/>
              </w:rPr>
              <w:t>・システム等</w:t>
            </w:r>
            <w:r w:rsidRPr="00E0548A">
              <w:rPr>
                <w:rFonts w:ascii="ＭＳ 明朝" w:hAnsi="ＭＳ 明朝" w:hint="eastAsia"/>
                <w:szCs w:val="21"/>
              </w:rPr>
              <w:t>の被害状況の把握【財政】、報告及び二次災害防止対策の実施【各所管所属】</w:t>
            </w:r>
          </w:p>
          <w:p w14:paraId="34FBAEC5" w14:textId="77777777" w:rsidR="00667831" w:rsidRPr="00E0548A" w:rsidRDefault="00667831" w:rsidP="00667831">
            <w:pPr>
              <w:rPr>
                <w:rFonts w:ascii="ＭＳ 明朝" w:hAnsi="ＭＳ 明朝"/>
                <w:szCs w:val="21"/>
              </w:rPr>
            </w:pPr>
            <w:r w:rsidRPr="00E0548A">
              <w:rPr>
                <w:rFonts w:ascii="ＭＳ 明朝" w:hAnsi="ＭＳ 明朝" w:hint="eastAsia"/>
                <w:szCs w:val="21"/>
              </w:rPr>
              <w:t>○庁内情報基盤システムの復旧（障害対応）又は代替手段の確保</w:t>
            </w:r>
          </w:p>
          <w:p w14:paraId="404C8324" w14:textId="2031E3C5" w:rsidR="008B4B2B" w:rsidRPr="00E0548A" w:rsidRDefault="00667831" w:rsidP="00667831">
            <w:pPr>
              <w:ind w:firstLineChars="100" w:firstLine="211"/>
              <w:rPr>
                <w:rFonts w:ascii="ＭＳ 明朝" w:hAnsi="ＭＳ 明朝"/>
                <w:szCs w:val="21"/>
              </w:rPr>
            </w:pPr>
            <w:r w:rsidRPr="00E0548A">
              <w:rPr>
                <w:rFonts w:ascii="ＭＳ 明朝" w:hAnsi="ＭＳ 明朝" w:hint="eastAsia"/>
                <w:kern w:val="0"/>
                <w:szCs w:val="21"/>
              </w:rPr>
              <w:t>【行政ＤＸ推進課】</w:t>
            </w:r>
          </w:p>
        </w:tc>
      </w:tr>
      <w:tr w:rsidR="00E0548A" w:rsidRPr="00E0548A" w14:paraId="7CD9A3F5" w14:textId="77777777" w:rsidTr="008B4B2B">
        <w:trPr>
          <w:jc w:val="center"/>
        </w:trPr>
        <w:tc>
          <w:tcPr>
            <w:tcW w:w="1526" w:type="dxa"/>
          </w:tcPr>
          <w:p w14:paraId="5878B074" w14:textId="77777777" w:rsidR="008B4B2B" w:rsidRPr="00E0548A" w:rsidRDefault="008B4B2B" w:rsidP="008B4B2B">
            <w:pPr>
              <w:rPr>
                <w:rFonts w:ascii="ＭＳ 明朝" w:hAnsi="ＭＳ 明朝"/>
                <w:szCs w:val="21"/>
              </w:rPr>
            </w:pPr>
            <w:r w:rsidRPr="00E0548A">
              <w:rPr>
                <w:rFonts w:ascii="ＭＳ 明朝" w:hAnsi="ＭＳ 明朝" w:hint="eastAsia"/>
                <w:szCs w:val="21"/>
              </w:rPr>
              <w:t>第3フェーズ</w:t>
            </w:r>
          </w:p>
          <w:p w14:paraId="291627DC" w14:textId="77777777" w:rsidR="008B4B2B" w:rsidRPr="00E0548A" w:rsidRDefault="008B4B2B" w:rsidP="008B4B2B">
            <w:pPr>
              <w:rPr>
                <w:rFonts w:ascii="ＭＳ 明朝" w:hAnsi="ＭＳ 明朝"/>
                <w:szCs w:val="21"/>
              </w:rPr>
            </w:pPr>
            <w:r w:rsidRPr="00E0548A">
              <w:rPr>
                <w:rFonts w:ascii="ＭＳ 明朝" w:hAnsi="ＭＳ 明朝" w:hint="eastAsia"/>
                <w:szCs w:val="21"/>
              </w:rPr>
              <w:t>(72時間まで)</w:t>
            </w:r>
          </w:p>
        </w:tc>
        <w:tc>
          <w:tcPr>
            <w:tcW w:w="7176" w:type="dxa"/>
          </w:tcPr>
          <w:p w14:paraId="5203F4F8" w14:textId="77777777" w:rsidR="008B4B2B" w:rsidRPr="00E0548A" w:rsidRDefault="008B4B2B" w:rsidP="008B4B2B">
            <w:pPr>
              <w:rPr>
                <w:rFonts w:ascii="ＭＳ 明朝" w:hAnsi="ＭＳ 明朝"/>
                <w:strike/>
                <w:szCs w:val="21"/>
              </w:rPr>
            </w:pPr>
          </w:p>
        </w:tc>
      </w:tr>
      <w:tr w:rsidR="00E0548A" w:rsidRPr="00E0548A" w14:paraId="7406ADC4" w14:textId="77777777" w:rsidTr="008B4B2B">
        <w:trPr>
          <w:jc w:val="center"/>
        </w:trPr>
        <w:tc>
          <w:tcPr>
            <w:tcW w:w="1526" w:type="dxa"/>
          </w:tcPr>
          <w:p w14:paraId="4473F45A" w14:textId="77777777" w:rsidR="008B4B2B" w:rsidRPr="00E0548A" w:rsidRDefault="008B4B2B" w:rsidP="008B4B2B">
            <w:pPr>
              <w:rPr>
                <w:rFonts w:ascii="ＭＳ 明朝" w:hAnsi="ＭＳ 明朝"/>
                <w:szCs w:val="21"/>
              </w:rPr>
            </w:pPr>
            <w:r w:rsidRPr="00E0548A">
              <w:rPr>
                <w:rFonts w:ascii="ＭＳ 明朝" w:hAnsi="ＭＳ 明朝" w:hint="eastAsia"/>
                <w:szCs w:val="21"/>
              </w:rPr>
              <w:t>第4フェーズ</w:t>
            </w:r>
          </w:p>
          <w:p w14:paraId="2F71EE66" w14:textId="77777777" w:rsidR="008B4B2B" w:rsidRPr="00E0548A" w:rsidRDefault="008B4B2B" w:rsidP="008B4B2B">
            <w:pPr>
              <w:rPr>
                <w:rFonts w:ascii="ＭＳ 明朝" w:hAnsi="ＭＳ 明朝"/>
                <w:szCs w:val="21"/>
              </w:rPr>
            </w:pPr>
            <w:r w:rsidRPr="00E0548A">
              <w:rPr>
                <w:rFonts w:ascii="ＭＳ 明朝" w:hAnsi="ＭＳ 明朝" w:hint="eastAsia"/>
                <w:szCs w:val="21"/>
              </w:rPr>
              <w:t>(1週間まで)</w:t>
            </w:r>
          </w:p>
        </w:tc>
        <w:tc>
          <w:tcPr>
            <w:tcW w:w="7176" w:type="dxa"/>
          </w:tcPr>
          <w:p w14:paraId="40D38064" w14:textId="77777777" w:rsidR="008B4B2B" w:rsidRPr="00E0548A" w:rsidRDefault="008B4B2B" w:rsidP="008B4B2B">
            <w:pPr>
              <w:rPr>
                <w:rFonts w:ascii="ＭＳ 明朝" w:hAnsi="ＭＳ 明朝"/>
                <w:szCs w:val="21"/>
              </w:rPr>
            </w:pPr>
            <w:r w:rsidRPr="00E0548A">
              <w:rPr>
                <w:rFonts w:ascii="ＭＳ 明朝" w:hAnsi="ＭＳ 明朝" w:hint="eastAsia"/>
                <w:szCs w:val="21"/>
              </w:rPr>
              <w:t>○災害関連予算の執行協議調整開始【財政】</w:t>
            </w:r>
          </w:p>
          <w:p w14:paraId="0CF16528" w14:textId="77777777" w:rsidR="008B4B2B" w:rsidRPr="00E0548A" w:rsidRDefault="008B4B2B" w:rsidP="008B4B2B">
            <w:pPr>
              <w:rPr>
                <w:rFonts w:ascii="ＭＳ 明朝" w:hAnsi="ＭＳ 明朝"/>
                <w:szCs w:val="21"/>
              </w:rPr>
            </w:pPr>
            <w:r w:rsidRPr="00E0548A">
              <w:rPr>
                <w:rFonts w:ascii="ＭＳ 明朝" w:hAnsi="ＭＳ 明朝" w:hint="eastAsia"/>
                <w:szCs w:val="21"/>
              </w:rPr>
              <w:t>○所管施設（管理物件）の仮復旧開始【財産活用】</w:t>
            </w:r>
          </w:p>
          <w:p w14:paraId="23C2676E" w14:textId="77777777" w:rsidR="008B4B2B" w:rsidRPr="00E0548A" w:rsidRDefault="008B4B2B" w:rsidP="008B4B2B">
            <w:pPr>
              <w:rPr>
                <w:rFonts w:ascii="ＭＳ 明朝" w:hAnsi="ＭＳ 明朝"/>
                <w:szCs w:val="21"/>
              </w:rPr>
            </w:pPr>
            <w:r w:rsidRPr="00E0548A">
              <w:rPr>
                <w:rFonts w:ascii="ＭＳ 明朝" w:hAnsi="ＭＳ 明朝" w:hint="eastAsia"/>
                <w:szCs w:val="21"/>
              </w:rPr>
              <w:t>○税務情報システムの被害状況の把握及び復旧活動の開始【税務局】</w:t>
            </w:r>
          </w:p>
        </w:tc>
      </w:tr>
      <w:tr w:rsidR="00E0548A" w:rsidRPr="00E0548A" w14:paraId="650CC508" w14:textId="77777777" w:rsidTr="008B4B2B">
        <w:trPr>
          <w:jc w:val="center"/>
        </w:trPr>
        <w:tc>
          <w:tcPr>
            <w:tcW w:w="1526" w:type="dxa"/>
          </w:tcPr>
          <w:p w14:paraId="3F452AFE" w14:textId="77777777" w:rsidR="008B4B2B" w:rsidRPr="00E0548A" w:rsidRDefault="008B4B2B" w:rsidP="008B4B2B">
            <w:pPr>
              <w:rPr>
                <w:rFonts w:ascii="ＭＳ 明朝" w:hAnsi="ＭＳ 明朝"/>
                <w:szCs w:val="21"/>
              </w:rPr>
            </w:pPr>
            <w:r w:rsidRPr="00E0548A">
              <w:rPr>
                <w:rFonts w:ascii="ＭＳ 明朝" w:hAnsi="ＭＳ 明朝" w:hint="eastAsia"/>
                <w:szCs w:val="21"/>
              </w:rPr>
              <w:t>第5フェーズ</w:t>
            </w:r>
          </w:p>
          <w:p w14:paraId="5B8F369A" w14:textId="77777777" w:rsidR="008B4B2B" w:rsidRPr="00E0548A" w:rsidRDefault="008B4B2B" w:rsidP="008B4B2B">
            <w:pPr>
              <w:rPr>
                <w:rFonts w:ascii="ＭＳ 明朝" w:hAnsi="ＭＳ 明朝"/>
                <w:szCs w:val="21"/>
              </w:rPr>
            </w:pPr>
            <w:r w:rsidRPr="00E0548A">
              <w:rPr>
                <w:rFonts w:ascii="ＭＳ 明朝" w:hAnsi="ＭＳ 明朝" w:hint="eastAsia"/>
                <w:szCs w:val="21"/>
              </w:rPr>
              <w:t>(2週間まで)</w:t>
            </w:r>
          </w:p>
        </w:tc>
        <w:tc>
          <w:tcPr>
            <w:tcW w:w="7176" w:type="dxa"/>
          </w:tcPr>
          <w:p w14:paraId="202E941B" w14:textId="530CD095" w:rsidR="008B4B2B" w:rsidRPr="00E0548A" w:rsidRDefault="008B4B2B" w:rsidP="008B4B2B">
            <w:pPr>
              <w:ind w:left="211" w:hangingChars="100" w:hanging="211"/>
              <w:rPr>
                <w:rFonts w:ascii="ＭＳ 明朝" w:hAnsi="ＭＳ 明朝"/>
                <w:szCs w:val="21"/>
              </w:rPr>
            </w:pPr>
            <w:r w:rsidRPr="00E0548A">
              <w:rPr>
                <w:rFonts w:ascii="ＭＳ 明朝" w:hAnsi="ＭＳ 明朝" w:hint="eastAsia"/>
                <w:szCs w:val="21"/>
              </w:rPr>
              <w:t>○被災所管施設</w:t>
            </w:r>
            <w:r w:rsidR="00667831" w:rsidRPr="00E0548A">
              <w:rPr>
                <w:rFonts w:ascii="ＭＳ 明朝" w:hAnsi="ＭＳ 明朝" w:hint="eastAsia"/>
                <w:kern w:val="0"/>
                <w:szCs w:val="21"/>
              </w:rPr>
              <w:t>・システム等</w:t>
            </w:r>
            <w:r w:rsidRPr="00E0548A">
              <w:rPr>
                <w:rFonts w:ascii="ＭＳ 明朝" w:hAnsi="ＭＳ 明朝" w:hint="eastAsia"/>
                <w:szCs w:val="21"/>
              </w:rPr>
              <w:t>の応急復旧（当該施設において応急的に業務を再開するために実施する措置のことをいう。本格的な復旧作業の前段階。）開始</w:t>
            </w:r>
          </w:p>
          <w:p w14:paraId="35F48156" w14:textId="77777777" w:rsidR="008B4B2B" w:rsidRPr="00E0548A" w:rsidRDefault="008B4B2B" w:rsidP="008B4B2B">
            <w:pPr>
              <w:rPr>
                <w:rFonts w:ascii="ＭＳ 明朝" w:hAnsi="ＭＳ 明朝"/>
                <w:szCs w:val="21"/>
              </w:rPr>
            </w:pPr>
            <w:r w:rsidRPr="00E0548A">
              <w:rPr>
                <w:rFonts w:ascii="ＭＳ 明朝" w:hAnsi="ＭＳ 明朝" w:hint="eastAsia"/>
                <w:szCs w:val="21"/>
              </w:rPr>
              <w:t>○府税の減免措置の決定、広報【税務局】</w:t>
            </w:r>
          </w:p>
          <w:p w14:paraId="00129C8F" w14:textId="77777777" w:rsidR="008B4B2B" w:rsidRPr="00E0548A" w:rsidRDefault="008B4B2B" w:rsidP="008B4B2B">
            <w:pPr>
              <w:rPr>
                <w:rFonts w:ascii="ＭＳ 明朝" w:hAnsi="ＭＳ 明朝"/>
                <w:szCs w:val="21"/>
              </w:rPr>
            </w:pPr>
            <w:r w:rsidRPr="00E0548A">
              <w:rPr>
                <w:rFonts w:ascii="ＭＳ 明朝" w:hAnsi="ＭＳ 明朝" w:hint="eastAsia"/>
                <w:szCs w:val="21"/>
              </w:rPr>
              <w:t>○税務情報システムの仮復旧【税務局】</w:t>
            </w:r>
          </w:p>
        </w:tc>
      </w:tr>
      <w:tr w:rsidR="00E0548A" w:rsidRPr="00E0548A" w14:paraId="49ABEE4C" w14:textId="77777777" w:rsidTr="008B4B2B">
        <w:trPr>
          <w:jc w:val="center"/>
        </w:trPr>
        <w:tc>
          <w:tcPr>
            <w:tcW w:w="1526" w:type="dxa"/>
          </w:tcPr>
          <w:p w14:paraId="35EFAEC2" w14:textId="77777777" w:rsidR="008B4B2B" w:rsidRPr="00E0548A" w:rsidRDefault="008B4B2B" w:rsidP="008B4B2B">
            <w:pPr>
              <w:rPr>
                <w:rFonts w:ascii="ＭＳ 明朝" w:hAnsi="ＭＳ 明朝"/>
                <w:szCs w:val="21"/>
              </w:rPr>
            </w:pPr>
            <w:r w:rsidRPr="00E0548A">
              <w:rPr>
                <w:rFonts w:ascii="ＭＳ 明朝" w:hAnsi="ＭＳ 明朝" w:hint="eastAsia"/>
                <w:szCs w:val="21"/>
              </w:rPr>
              <w:t>第6フェーズ</w:t>
            </w:r>
          </w:p>
          <w:p w14:paraId="47100A57" w14:textId="77777777" w:rsidR="008B4B2B" w:rsidRPr="00E0548A" w:rsidRDefault="008B4B2B" w:rsidP="008B4B2B">
            <w:pPr>
              <w:rPr>
                <w:rFonts w:ascii="ＭＳ 明朝" w:hAnsi="ＭＳ 明朝"/>
                <w:szCs w:val="21"/>
              </w:rPr>
            </w:pPr>
            <w:r w:rsidRPr="00E0548A">
              <w:rPr>
                <w:rFonts w:ascii="ＭＳ 明朝" w:hAnsi="ＭＳ 明朝" w:hint="eastAsia"/>
                <w:szCs w:val="21"/>
              </w:rPr>
              <w:t>(1ヶ月まで)</w:t>
            </w:r>
          </w:p>
        </w:tc>
        <w:tc>
          <w:tcPr>
            <w:tcW w:w="7176" w:type="dxa"/>
          </w:tcPr>
          <w:p w14:paraId="4D69787B" w14:textId="77777777" w:rsidR="008B4B2B" w:rsidRPr="00E0548A" w:rsidRDefault="008B4B2B" w:rsidP="008B4B2B">
            <w:pPr>
              <w:rPr>
                <w:rFonts w:ascii="ＭＳ ゴシック" w:eastAsia="ＭＳ ゴシック" w:hAnsi="ＭＳ ゴシック"/>
                <w:szCs w:val="21"/>
              </w:rPr>
            </w:pPr>
            <w:r w:rsidRPr="00E0548A">
              <w:rPr>
                <w:rFonts w:ascii="ＭＳ 明朝" w:hAnsi="ＭＳ 明朝" w:hint="eastAsia"/>
                <w:szCs w:val="21"/>
              </w:rPr>
              <w:t>○被災所管施設の応急復旧</w:t>
            </w:r>
          </w:p>
          <w:p w14:paraId="623FEE75" w14:textId="77777777" w:rsidR="008B4B2B" w:rsidRPr="00E0548A" w:rsidRDefault="008B4B2B" w:rsidP="008B4B2B">
            <w:pPr>
              <w:rPr>
                <w:rFonts w:ascii="ＭＳ ゴシック" w:eastAsia="ＭＳ ゴシック" w:hAnsi="ＭＳ ゴシック"/>
                <w:szCs w:val="21"/>
              </w:rPr>
            </w:pPr>
            <w:r w:rsidRPr="00E0548A">
              <w:rPr>
                <w:rFonts w:ascii="ＭＳ 明朝" w:hAnsi="ＭＳ 明朝" w:hint="eastAsia"/>
                <w:szCs w:val="21"/>
              </w:rPr>
              <w:t>○税務情報システムの本格復旧【税務局】</w:t>
            </w:r>
          </w:p>
        </w:tc>
      </w:tr>
    </w:tbl>
    <w:p w14:paraId="28FDA56D" w14:textId="77777777" w:rsidR="00667831" w:rsidRPr="00E0548A" w:rsidRDefault="008B4B2B" w:rsidP="00667831">
      <w:pPr>
        <w:rPr>
          <w:rFonts w:ascii="ＭＳ 明朝" w:hAnsi="ＭＳ 明朝"/>
          <w:szCs w:val="21"/>
        </w:rPr>
      </w:pPr>
      <w:r w:rsidRPr="00E0548A">
        <w:rPr>
          <w:rFonts w:ascii="ＭＳ 明朝" w:hAnsi="ＭＳ 明朝" w:hint="eastAsia"/>
          <w:szCs w:val="21"/>
        </w:rPr>
        <w:t>※主な所管施設：</w:t>
      </w:r>
      <w:r w:rsidR="00667831" w:rsidRPr="00E0548A">
        <w:rPr>
          <w:rFonts w:ascii="ＭＳ 明朝" w:hAnsi="ＭＳ 明朝" w:hint="eastAsia"/>
          <w:szCs w:val="21"/>
        </w:rPr>
        <w:t>なにわ北府税事務所、夕陽丘庁舎、三島府民センタービル、</w:t>
      </w:r>
    </w:p>
    <w:p w14:paraId="25C0052A" w14:textId="77777777" w:rsidR="00667831" w:rsidRPr="00E0548A" w:rsidRDefault="00667831" w:rsidP="00667831">
      <w:pPr>
        <w:ind w:firstLineChars="800" w:firstLine="1689"/>
        <w:rPr>
          <w:rFonts w:ascii="ＭＳ 明朝" w:hAnsi="ＭＳ 明朝"/>
          <w:szCs w:val="21"/>
        </w:rPr>
      </w:pPr>
      <w:r w:rsidRPr="00E0548A">
        <w:rPr>
          <w:rFonts w:ascii="ＭＳ 明朝" w:hAnsi="ＭＳ 明朝" w:hint="eastAsia"/>
          <w:szCs w:val="21"/>
        </w:rPr>
        <w:t>豊能府税事務所、泉北府税事務所、泉南府民センタービル、</w:t>
      </w:r>
    </w:p>
    <w:p w14:paraId="5292E96F" w14:textId="77777777" w:rsidR="00667831" w:rsidRPr="00E0548A" w:rsidRDefault="00667831" w:rsidP="00667831">
      <w:pPr>
        <w:ind w:firstLineChars="800" w:firstLine="1689"/>
        <w:rPr>
          <w:rFonts w:ascii="ＭＳ 明朝" w:hAnsi="ＭＳ 明朝"/>
          <w:szCs w:val="21"/>
        </w:rPr>
      </w:pPr>
      <w:r w:rsidRPr="00E0548A">
        <w:rPr>
          <w:rFonts w:ascii="ＭＳ 明朝" w:hAnsi="ＭＳ 明朝" w:hint="eastAsia"/>
          <w:szCs w:val="21"/>
        </w:rPr>
        <w:t>南河内府民センタービル、中河内府税事務所、北河内府民センター、</w:t>
      </w:r>
    </w:p>
    <w:p w14:paraId="6912249C" w14:textId="77777777" w:rsidR="00667831" w:rsidRPr="00E0548A" w:rsidRDefault="00667831" w:rsidP="00667831">
      <w:pPr>
        <w:ind w:firstLineChars="800" w:firstLine="1689"/>
        <w:rPr>
          <w:rFonts w:ascii="ＭＳ 明朝" w:hAnsi="ＭＳ 明朝"/>
          <w:szCs w:val="21"/>
        </w:rPr>
      </w:pPr>
      <w:r w:rsidRPr="00E0548A">
        <w:rPr>
          <w:rFonts w:ascii="ＭＳ 明朝" w:hAnsi="ＭＳ 明朝" w:hint="eastAsia"/>
          <w:szCs w:val="21"/>
        </w:rPr>
        <w:t xml:space="preserve">大阪自動車税事務所和泉分室、大阪自動車税事務所なにわ分室 </w:t>
      </w:r>
    </w:p>
    <w:p w14:paraId="781353FA" w14:textId="77777777" w:rsidR="00667831" w:rsidRPr="00E0548A" w:rsidRDefault="00667831" w:rsidP="00667831">
      <w:pPr>
        <w:rPr>
          <w:rFonts w:ascii="ＭＳ 明朝" w:hAnsi="ＭＳ 明朝"/>
          <w:szCs w:val="21"/>
        </w:rPr>
      </w:pPr>
      <w:r w:rsidRPr="00E0548A">
        <w:rPr>
          <w:rFonts w:ascii="ＭＳ 明朝" w:hAnsi="ＭＳ 明朝" w:hint="eastAsia"/>
          <w:szCs w:val="21"/>
        </w:rPr>
        <w:t xml:space="preserve">　　　システム：庁内情報基盤システム【行政DX推進課】、税務情報システム</w:t>
      </w:r>
    </w:p>
    <w:p w14:paraId="76C1D5A7" w14:textId="18899FD3" w:rsidR="008B4B2B" w:rsidRPr="00E0548A" w:rsidRDefault="008B4B2B" w:rsidP="00667831">
      <w:pPr>
        <w:rPr>
          <w:rFonts w:ascii="ＭＳ 明朝" w:hAnsi="ＭＳ 明朝"/>
          <w:szCs w:val="21"/>
        </w:rPr>
      </w:pPr>
    </w:p>
    <w:p w14:paraId="686DC56C" w14:textId="7950EB02" w:rsidR="00B63B25" w:rsidRPr="00E0548A" w:rsidRDefault="00B63B25">
      <w:pPr>
        <w:widowControl/>
        <w:jc w:val="left"/>
        <w:rPr>
          <w:rFonts w:ascii="ＭＳ 明朝" w:hAnsi="ＭＳ 明朝"/>
          <w:szCs w:val="21"/>
        </w:rPr>
      </w:pPr>
      <w:r w:rsidRPr="00E0548A">
        <w:rPr>
          <w:rFonts w:ascii="ＭＳ 明朝" w:hAnsi="ＭＳ 明朝"/>
          <w:szCs w:val="21"/>
        </w:rPr>
        <w:br w:type="page"/>
      </w:r>
    </w:p>
    <w:p w14:paraId="01FE334C" w14:textId="77777777" w:rsidR="00F2568A" w:rsidRPr="00E0548A" w:rsidRDefault="00F2568A" w:rsidP="00F2568A">
      <w:pPr>
        <w:pStyle w:val="af4"/>
        <w:ind w:leftChars="0" w:left="0"/>
        <w:rPr>
          <w:rFonts w:ascii="ＭＳ ゴシック" w:eastAsia="ＭＳ ゴシック" w:hAnsi="ＭＳ ゴシック"/>
          <w:szCs w:val="21"/>
        </w:rPr>
      </w:pPr>
      <w:r w:rsidRPr="00E0548A">
        <w:rPr>
          <w:rFonts w:ascii="ＭＳ ゴシック" w:eastAsia="ＭＳ ゴシック" w:hAnsi="ＭＳ ゴシック" w:hint="eastAsia"/>
          <w:szCs w:val="21"/>
        </w:rPr>
        <w:lastRenderedPageBreak/>
        <w:t>＜南海トラフ地震臨時情報（巨大地震警戒）発表時＞</w:t>
      </w:r>
    </w:p>
    <w:tbl>
      <w:tblPr>
        <w:tblpPr w:leftFromText="142" w:rightFromText="142" w:vertAnchor="text" w:tblpXSpec="center" w:tblpY="1"/>
        <w:tblOverlap w:val="neve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00"/>
        <w:gridCol w:w="7334"/>
      </w:tblGrid>
      <w:tr w:rsidR="00E0548A" w:rsidRPr="00E0548A" w14:paraId="5EDF8708" w14:textId="77777777" w:rsidTr="008C78D9">
        <w:trPr>
          <w:jc w:val="center"/>
        </w:trPr>
        <w:tc>
          <w:tcPr>
            <w:tcW w:w="1500" w:type="dxa"/>
            <w:tcBorders>
              <w:bottom w:val="single" w:sz="4" w:space="0" w:color="auto"/>
            </w:tcBorders>
            <w:shd w:val="clear" w:color="auto" w:fill="BFBFBF"/>
          </w:tcPr>
          <w:p w14:paraId="10028AFB" w14:textId="77777777" w:rsidR="00F2568A" w:rsidRPr="00E0548A" w:rsidRDefault="00F2568A" w:rsidP="008C78D9">
            <w:pPr>
              <w:jc w:val="center"/>
              <w:rPr>
                <w:rFonts w:ascii="ＭＳ 明朝" w:hAnsi="ＭＳ 明朝"/>
                <w:szCs w:val="21"/>
              </w:rPr>
            </w:pPr>
            <w:r w:rsidRPr="00E0548A">
              <w:rPr>
                <w:rFonts w:ascii="ＭＳ 明朝" w:hAnsi="ＭＳ 明朝" w:hint="eastAsia"/>
                <w:szCs w:val="21"/>
              </w:rPr>
              <w:t>臨時情報</w:t>
            </w:r>
          </w:p>
        </w:tc>
        <w:tc>
          <w:tcPr>
            <w:tcW w:w="7334" w:type="dxa"/>
            <w:tcBorders>
              <w:bottom w:val="single" w:sz="4" w:space="0" w:color="auto"/>
            </w:tcBorders>
            <w:shd w:val="clear" w:color="auto" w:fill="BFBFBF"/>
          </w:tcPr>
          <w:p w14:paraId="4C9A84A5" w14:textId="77777777" w:rsidR="00F2568A" w:rsidRPr="00E0548A" w:rsidRDefault="00F2568A" w:rsidP="008C78D9">
            <w:pPr>
              <w:jc w:val="center"/>
              <w:rPr>
                <w:rFonts w:ascii="ＭＳ 明朝" w:hAnsi="ＭＳ 明朝"/>
                <w:szCs w:val="21"/>
              </w:rPr>
            </w:pPr>
            <w:r w:rsidRPr="00E0548A">
              <w:rPr>
                <w:rFonts w:ascii="ＭＳ 明朝" w:hAnsi="ＭＳ 明朝" w:hint="eastAsia"/>
                <w:szCs w:val="21"/>
              </w:rPr>
              <w:t>主な応急対策業務</w:t>
            </w:r>
          </w:p>
        </w:tc>
      </w:tr>
      <w:tr w:rsidR="00E0548A" w:rsidRPr="00E0548A" w14:paraId="2A15291B" w14:textId="77777777" w:rsidTr="008C78D9">
        <w:trPr>
          <w:jc w:val="center"/>
        </w:trPr>
        <w:tc>
          <w:tcPr>
            <w:tcW w:w="1500" w:type="dxa"/>
          </w:tcPr>
          <w:p w14:paraId="404C169F" w14:textId="77777777" w:rsidR="00F2568A" w:rsidRPr="00E0548A" w:rsidRDefault="00F2568A" w:rsidP="008C78D9">
            <w:pPr>
              <w:rPr>
                <w:rFonts w:ascii="ＭＳ 明朝" w:hAnsi="ＭＳ 明朝"/>
                <w:szCs w:val="21"/>
              </w:rPr>
            </w:pPr>
            <w:r w:rsidRPr="00E0548A">
              <w:rPr>
                <w:rFonts w:ascii="ＭＳ 明朝" w:hAnsi="ＭＳ 明朝" w:hint="eastAsia"/>
                <w:szCs w:val="21"/>
              </w:rPr>
              <w:t>巨大地震警戒</w:t>
            </w:r>
          </w:p>
        </w:tc>
        <w:tc>
          <w:tcPr>
            <w:tcW w:w="7334" w:type="dxa"/>
          </w:tcPr>
          <w:p w14:paraId="39513C73" w14:textId="77777777" w:rsidR="0055353D" w:rsidRPr="00E0548A" w:rsidRDefault="0055353D" w:rsidP="0055353D">
            <w:pPr>
              <w:rPr>
                <w:rFonts w:ascii="ＭＳ 明朝" w:hAnsi="ＭＳ 明朝"/>
              </w:rPr>
            </w:pPr>
            <w:r w:rsidRPr="00E0548A">
              <w:rPr>
                <w:rFonts w:ascii="ＭＳ 明朝" w:hAnsi="ＭＳ 明朝" w:hint="eastAsia"/>
              </w:rPr>
              <w:t>○地震発災後、応急対策業務（第１フェーズ）を速やかに実施できる準備</w:t>
            </w:r>
          </w:p>
          <w:p w14:paraId="7C88EAD4" w14:textId="77777777" w:rsidR="0055353D" w:rsidRPr="00E0548A" w:rsidRDefault="0055353D" w:rsidP="0055353D">
            <w:pPr>
              <w:ind w:firstLineChars="100" w:firstLine="211"/>
              <w:rPr>
                <w:rFonts w:ascii="ＭＳ 明朝" w:hAnsi="ＭＳ 明朝"/>
              </w:rPr>
            </w:pPr>
            <w:r w:rsidRPr="00E0548A">
              <w:rPr>
                <w:rFonts w:ascii="ＭＳ 明朝" w:hAnsi="ＭＳ 明朝" w:hint="eastAsia"/>
              </w:rPr>
              <w:t>体制を維持</w:t>
            </w:r>
          </w:p>
          <w:p w14:paraId="2BA5CC2A" w14:textId="77777777" w:rsidR="0055353D" w:rsidRPr="00E0548A" w:rsidRDefault="0055353D" w:rsidP="0055353D">
            <w:pPr>
              <w:rPr>
                <w:rFonts w:ascii="ＭＳ 明朝" w:hAnsi="ＭＳ 明朝"/>
              </w:rPr>
            </w:pPr>
            <w:r w:rsidRPr="00E0548A">
              <w:rPr>
                <w:rFonts w:ascii="ＭＳ 明朝" w:hAnsi="ＭＳ 明朝" w:hint="eastAsia"/>
              </w:rPr>
              <w:t>○部内及び関係機関からの情報収集・整理及び連絡調整【財政課】</w:t>
            </w:r>
          </w:p>
          <w:p w14:paraId="1296388F" w14:textId="77777777" w:rsidR="0055353D" w:rsidRPr="00E0548A" w:rsidRDefault="0055353D" w:rsidP="0055353D">
            <w:pPr>
              <w:rPr>
                <w:rFonts w:ascii="ＭＳ 明朝" w:hAnsi="ＭＳ 明朝"/>
              </w:rPr>
            </w:pPr>
            <w:r w:rsidRPr="00E0548A">
              <w:rPr>
                <w:rFonts w:ascii="ＭＳ 明朝" w:hAnsi="ＭＳ 明朝" w:hint="eastAsia"/>
              </w:rPr>
              <w:t>○所管施設（府税事務所など）との連絡調整【税務局】</w:t>
            </w:r>
          </w:p>
          <w:p w14:paraId="28047C80" w14:textId="77777777" w:rsidR="0055353D" w:rsidRPr="00E0548A" w:rsidRDefault="0055353D" w:rsidP="0055353D">
            <w:pPr>
              <w:rPr>
                <w:rFonts w:ascii="ＭＳ 明朝" w:hAnsi="ＭＳ 明朝"/>
              </w:rPr>
            </w:pPr>
            <w:r w:rsidRPr="00E0548A">
              <w:rPr>
                <w:rFonts w:ascii="ＭＳ 明朝" w:hAnsi="ＭＳ 明朝" w:hint="eastAsia"/>
              </w:rPr>
              <w:t>○所管施設（府税事務所など）の避難経路等の確認【税務局】</w:t>
            </w:r>
          </w:p>
          <w:p w14:paraId="4F28F6F7" w14:textId="77777777" w:rsidR="0055353D" w:rsidRPr="00E0548A" w:rsidRDefault="0055353D" w:rsidP="0055353D">
            <w:pPr>
              <w:rPr>
                <w:rFonts w:ascii="ＭＳ 明朝" w:hAnsi="ＭＳ 明朝"/>
              </w:rPr>
            </w:pPr>
            <w:r w:rsidRPr="00E0548A">
              <w:rPr>
                <w:rFonts w:ascii="ＭＳ 明朝" w:hAnsi="ＭＳ 明朝" w:hint="eastAsia"/>
              </w:rPr>
              <w:t>○関係機関との備えや準備の再確認【各所管所属】</w:t>
            </w:r>
          </w:p>
          <w:p w14:paraId="719751F8" w14:textId="77777777" w:rsidR="0055353D" w:rsidRPr="00E0548A" w:rsidRDefault="0055353D" w:rsidP="0055353D">
            <w:pPr>
              <w:rPr>
                <w:rFonts w:ascii="ＭＳ 明朝" w:hAnsi="ＭＳ 明朝"/>
              </w:rPr>
            </w:pPr>
            <w:r w:rsidRPr="00E0548A">
              <w:rPr>
                <w:rFonts w:ascii="ＭＳ 明朝" w:hAnsi="ＭＳ 明朝" w:hint="eastAsia"/>
              </w:rPr>
              <w:t>○所管イベントの開催可否の判断【各所管所属】</w:t>
            </w:r>
          </w:p>
          <w:p w14:paraId="55309B0B" w14:textId="77777777" w:rsidR="0055353D" w:rsidRPr="00E0548A" w:rsidRDefault="0055353D" w:rsidP="0055353D">
            <w:pPr>
              <w:rPr>
                <w:rFonts w:ascii="ＭＳ 明朝" w:hAnsi="ＭＳ 明朝"/>
              </w:rPr>
            </w:pPr>
            <w:r w:rsidRPr="00E0548A">
              <w:rPr>
                <w:rFonts w:ascii="ＭＳ 明朝" w:hAnsi="ＭＳ 明朝" w:hint="eastAsia"/>
              </w:rPr>
              <w:t>○所管施設（府税事務所など）及び電気・電話・ガス・給排水・エレベーター等設備の防災保全措置【税務局】</w:t>
            </w:r>
          </w:p>
          <w:p w14:paraId="44B8C9E4" w14:textId="77777777" w:rsidR="0055353D" w:rsidRPr="00E0548A" w:rsidRDefault="0055353D" w:rsidP="0055353D">
            <w:pPr>
              <w:rPr>
                <w:rFonts w:ascii="ＭＳ 明朝" w:hAnsi="ＭＳ 明朝"/>
              </w:rPr>
            </w:pPr>
            <w:r w:rsidRPr="00E0548A">
              <w:rPr>
                <w:rFonts w:ascii="ＭＳ 明朝" w:hAnsi="ＭＳ 明朝" w:hint="eastAsia"/>
              </w:rPr>
              <w:t>○各種システムの運用方法の確認等【各所管所属】</w:t>
            </w:r>
          </w:p>
          <w:p w14:paraId="17F4EC2D" w14:textId="77974077" w:rsidR="00F2568A" w:rsidRPr="00E0548A" w:rsidRDefault="0055353D" w:rsidP="0055353D">
            <w:pPr>
              <w:rPr>
                <w:rFonts w:ascii="ＭＳ 明朝" w:hAnsi="ＭＳ 明朝"/>
                <w:szCs w:val="21"/>
              </w:rPr>
            </w:pPr>
            <w:r w:rsidRPr="00E0548A">
              <w:rPr>
                <w:rFonts w:ascii="ＭＳ 明朝" w:hAnsi="ＭＳ 明朝" w:hint="eastAsia"/>
              </w:rPr>
              <w:t>○庁内情報基盤システム障害時の対応確認【DX推進課】</w:t>
            </w:r>
          </w:p>
        </w:tc>
      </w:tr>
    </w:tbl>
    <w:p w14:paraId="08D6B17A" w14:textId="77777777" w:rsidR="00F2568A" w:rsidRPr="00E0548A" w:rsidRDefault="00F2568A" w:rsidP="00F2568A">
      <w:pPr>
        <w:rPr>
          <w:rFonts w:ascii="ＭＳ 明朝" w:hAnsi="ＭＳ 明朝"/>
          <w:szCs w:val="21"/>
        </w:rPr>
      </w:pPr>
      <w:r w:rsidRPr="00E0548A">
        <w:rPr>
          <w:rFonts w:ascii="ＭＳ 明朝" w:hAnsi="ＭＳ 明朝" w:hint="eastAsia"/>
          <w:szCs w:val="21"/>
        </w:rPr>
        <w:t>「南海トラフ地震臨時情報（巨大地震警戒）」が発表され、「巨大地震警戒対応期間」（１週間）が経過した際は、「巨大地震注意対応期間」へ移行。</w:t>
      </w:r>
    </w:p>
    <w:p w14:paraId="2F633F6E" w14:textId="77777777" w:rsidR="00F2568A" w:rsidRPr="00E0548A" w:rsidRDefault="00F2568A" w:rsidP="00F2568A">
      <w:pPr>
        <w:rPr>
          <w:rFonts w:ascii="ＭＳ 明朝" w:hAnsi="ＭＳ 明朝"/>
          <w:szCs w:val="21"/>
        </w:rPr>
      </w:pPr>
    </w:p>
    <w:p w14:paraId="0D853BF3" w14:textId="6FBA8853" w:rsidR="00F2568A" w:rsidRPr="00E0548A" w:rsidRDefault="00F2568A" w:rsidP="00F2568A">
      <w:pPr>
        <w:pStyle w:val="af4"/>
        <w:ind w:leftChars="0" w:left="0"/>
        <w:rPr>
          <w:rFonts w:ascii="ＭＳ ゴシック" w:eastAsia="ＭＳ ゴシック" w:hAnsi="ＭＳ ゴシック"/>
          <w:szCs w:val="21"/>
        </w:rPr>
      </w:pPr>
      <w:r w:rsidRPr="00E0548A">
        <w:rPr>
          <w:rFonts w:ascii="ＭＳ ゴシック" w:eastAsia="ＭＳ ゴシック" w:hAnsi="ＭＳ ゴシック" w:hint="eastAsia"/>
          <w:szCs w:val="21"/>
        </w:rPr>
        <w:t>＜南海トラフ地震臨時情報（巨大地震注意）発表時</w:t>
      </w:r>
      <w:r w:rsidR="002F25B5" w:rsidRPr="00E0548A">
        <w:rPr>
          <w:rFonts w:ascii="ＭＳ ゴシック" w:eastAsia="ＭＳ ゴシック" w:hAnsi="ＭＳ ゴシック" w:hint="eastAsia"/>
          <w:szCs w:val="21"/>
        </w:rPr>
        <w:t>（</w:t>
      </w:r>
      <w:r w:rsidR="002F25B5" w:rsidRPr="00E0548A">
        <w:rPr>
          <w:rFonts w:ascii="ＭＳ 明朝" w:hAnsi="ＭＳ 明朝" w:hint="eastAsia"/>
          <w:szCs w:val="21"/>
        </w:rPr>
        <w:t>巨大地震警戒からの移行時を含む</w:t>
      </w:r>
      <w:r w:rsidR="002F25B5" w:rsidRPr="00E0548A">
        <w:rPr>
          <w:rFonts w:ascii="ＭＳ ゴシック" w:eastAsia="ＭＳ ゴシック" w:hAnsi="ＭＳ ゴシック" w:hint="eastAsia"/>
          <w:szCs w:val="21"/>
        </w:rPr>
        <w:t>）</w:t>
      </w:r>
      <w:r w:rsidRPr="00E0548A">
        <w:rPr>
          <w:rFonts w:ascii="ＭＳ ゴシック" w:eastAsia="ＭＳ ゴシック" w:hAnsi="ＭＳ ゴシック" w:hint="eastAsia"/>
          <w:szCs w:val="21"/>
        </w:rPr>
        <w:t>＞</w:t>
      </w:r>
    </w:p>
    <w:tbl>
      <w:tblPr>
        <w:tblpPr w:leftFromText="142" w:rightFromText="142" w:vertAnchor="text" w:tblpXSpec="center" w:tblpY="1"/>
        <w:tblOverlap w:val="neve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00"/>
        <w:gridCol w:w="7334"/>
      </w:tblGrid>
      <w:tr w:rsidR="00E0548A" w:rsidRPr="00E0548A" w14:paraId="25A3A81F" w14:textId="77777777" w:rsidTr="008C78D9">
        <w:trPr>
          <w:jc w:val="center"/>
        </w:trPr>
        <w:tc>
          <w:tcPr>
            <w:tcW w:w="1500" w:type="dxa"/>
            <w:tcBorders>
              <w:bottom w:val="single" w:sz="4" w:space="0" w:color="auto"/>
            </w:tcBorders>
            <w:shd w:val="clear" w:color="auto" w:fill="BFBFBF"/>
          </w:tcPr>
          <w:p w14:paraId="4B599CB6" w14:textId="77777777" w:rsidR="00F2568A" w:rsidRPr="00E0548A" w:rsidRDefault="00F2568A" w:rsidP="008C78D9">
            <w:pPr>
              <w:jc w:val="center"/>
              <w:rPr>
                <w:rFonts w:ascii="ＭＳ 明朝" w:hAnsi="ＭＳ 明朝"/>
                <w:szCs w:val="21"/>
              </w:rPr>
            </w:pPr>
            <w:r w:rsidRPr="00E0548A">
              <w:rPr>
                <w:rFonts w:ascii="ＭＳ 明朝" w:hAnsi="ＭＳ 明朝" w:hint="eastAsia"/>
                <w:szCs w:val="21"/>
              </w:rPr>
              <w:t>臨時情報</w:t>
            </w:r>
          </w:p>
        </w:tc>
        <w:tc>
          <w:tcPr>
            <w:tcW w:w="7334" w:type="dxa"/>
            <w:tcBorders>
              <w:bottom w:val="single" w:sz="4" w:space="0" w:color="auto"/>
            </w:tcBorders>
            <w:shd w:val="clear" w:color="auto" w:fill="BFBFBF"/>
          </w:tcPr>
          <w:p w14:paraId="47DDDE3D" w14:textId="77777777" w:rsidR="00F2568A" w:rsidRPr="00E0548A" w:rsidRDefault="00F2568A" w:rsidP="008C78D9">
            <w:pPr>
              <w:jc w:val="center"/>
              <w:rPr>
                <w:rFonts w:ascii="ＭＳ 明朝" w:hAnsi="ＭＳ 明朝"/>
                <w:szCs w:val="21"/>
              </w:rPr>
            </w:pPr>
            <w:r w:rsidRPr="00E0548A">
              <w:rPr>
                <w:rFonts w:ascii="ＭＳ 明朝" w:hAnsi="ＭＳ 明朝" w:hint="eastAsia"/>
                <w:szCs w:val="21"/>
              </w:rPr>
              <w:t>主な応急対策業務</w:t>
            </w:r>
          </w:p>
        </w:tc>
      </w:tr>
      <w:tr w:rsidR="00E0548A" w:rsidRPr="00E0548A" w14:paraId="738354BD" w14:textId="77777777" w:rsidTr="008C78D9">
        <w:trPr>
          <w:jc w:val="center"/>
        </w:trPr>
        <w:tc>
          <w:tcPr>
            <w:tcW w:w="1500" w:type="dxa"/>
          </w:tcPr>
          <w:p w14:paraId="12757E90" w14:textId="77777777" w:rsidR="00F2568A" w:rsidRPr="00E0548A" w:rsidRDefault="00F2568A" w:rsidP="008C78D9">
            <w:pPr>
              <w:rPr>
                <w:rFonts w:ascii="ＭＳ 明朝" w:hAnsi="ＭＳ 明朝"/>
                <w:szCs w:val="21"/>
              </w:rPr>
            </w:pPr>
            <w:r w:rsidRPr="00E0548A">
              <w:rPr>
                <w:rFonts w:ascii="ＭＳ 明朝" w:hAnsi="ＭＳ 明朝" w:hint="eastAsia"/>
                <w:szCs w:val="21"/>
              </w:rPr>
              <w:t>巨大地震注意</w:t>
            </w:r>
          </w:p>
        </w:tc>
        <w:tc>
          <w:tcPr>
            <w:tcW w:w="7334" w:type="dxa"/>
          </w:tcPr>
          <w:p w14:paraId="44001C14" w14:textId="77777777" w:rsidR="0055353D" w:rsidRPr="00E0548A" w:rsidRDefault="0055353D" w:rsidP="0055353D">
            <w:pPr>
              <w:rPr>
                <w:rFonts w:ascii="ＭＳ 明朝" w:hAnsi="ＭＳ 明朝"/>
              </w:rPr>
            </w:pPr>
            <w:r w:rsidRPr="00E0548A">
              <w:rPr>
                <w:rFonts w:ascii="ＭＳ 明朝" w:hAnsi="ＭＳ 明朝" w:hint="eastAsia"/>
              </w:rPr>
              <w:t>○地震発災に備えた情報連絡体制の維持</w:t>
            </w:r>
          </w:p>
          <w:p w14:paraId="5342112B" w14:textId="77777777" w:rsidR="0055353D" w:rsidRPr="00E0548A" w:rsidRDefault="0055353D" w:rsidP="0055353D">
            <w:pPr>
              <w:rPr>
                <w:rFonts w:ascii="ＭＳ 明朝" w:hAnsi="ＭＳ 明朝"/>
              </w:rPr>
            </w:pPr>
            <w:r w:rsidRPr="00E0548A">
              <w:rPr>
                <w:rFonts w:ascii="ＭＳ 明朝" w:hAnsi="ＭＳ 明朝" w:hint="eastAsia"/>
              </w:rPr>
              <w:t>○部内及び関係機関からの情報収集・整理及び連絡調整【財政課】</w:t>
            </w:r>
          </w:p>
          <w:p w14:paraId="289979A9" w14:textId="77777777" w:rsidR="0055353D" w:rsidRPr="00E0548A" w:rsidRDefault="0055353D" w:rsidP="0055353D">
            <w:pPr>
              <w:rPr>
                <w:rFonts w:ascii="ＭＳ 明朝" w:hAnsi="ＭＳ 明朝"/>
              </w:rPr>
            </w:pPr>
            <w:r w:rsidRPr="00E0548A">
              <w:rPr>
                <w:rFonts w:ascii="ＭＳ 明朝" w:hAnsi="ＭＳ 明朝" w:hint="eastAsia"/>
              </w:rPr>
              <w:t>○所管施設（府税事務所など）との連絡調整【税務局】</w:t>
            </w:r>
          </w:p>
          <w:p w14:paraId="22DD1679" w14:textId="77777777" w:rsidR="0055353D" w:rsidRPr="00E0548A" w:rsidRDefault="0055353D" w:rsidP="0055353D">
            <w:pPr>
              <w:rPr>
                <w:rFonts w:ascii="ＭＳ 明朝" w:hAnsi="ＭＳ 明朝"/>
              </w:rPr>
            </w:pPr>
            <w:r w:rsidRPr="00E0548A">
              <w:rPr>
                <w:rFonts w:ascii="ＭＳ 明朝" w:hAnsi="ＭＳ 明朝" w:hint="eastAsia"/>
              </w:rPr>
              <w:t>○所管施設（府税事務所など）の避難経路等の確認【税務局】</w:t>
            </w:r>
          </w:p>
          <w:p w14:paraId="16B3DDC7" w14:textId="77777777" w:rsidR="0055353D" w:rsidRPr="00E0548A" w:rsidRDefault="0055353D" w:rsidP="0055353D">
            <w:pPr>
              <w:rPr>
                <w:rFonts w:ascii="ＭＳ 明朝" w:hAnsi="ＭＳ 明朝"/>
              </w:rPr>
            </w:pPr>
            <w:r w:rsidRPr="00E0548A">
              <w:rPr>
                <w:rFonts w:ascii="ＭＳ 明朝" w:hAnsi="ＭＳ 明朝" w:hint="eastAsia"/>
              </w:rPr>
              <w:t>○関係機関との備えや準備の再確認【各所管所属】</w:t>
            </w:r>
          </w:p>
          <w:p w14:paraId="0D4FC927" w14:textId="77777777" w:rsidR="0055353D" w:rsidRPr="00E0548A" w:rsidRDefault="0055353D" w:rsidP="0055353D">
            <w:pPr>
              <w:rPr>
                <w:rFonts w:ascii="ＭＳ 明朝" w:hAnsi="ＭＳ 明朝"/>
              </w:rPr>
            </w:pPr>
            <w:r w:rsidRPr="00E0548A">
              <w:rPr>
                <w:rFonts w:ascii="ＭＳ 明朝" w:hAnsi="ＭＳ 明朝" w:hint="eastAsia"/>
              </w:rPr>
              <w:t>○所管施設（府税事務所など）及び電気・電話・ガス・給排水・エレベー</w:t>
            </w:r>
          </w:p>
          <w:p w14:paraId="48E496F0" w14:textId="77777777" w:rsidR="0055353D" w:rsidRPr="00E0548A" w:rsidRDefault="0055353D" w:rsidP="0055353D">
            <w:pPr>
              <w:ind w:firstLineChars="100" w:firstLine="211"/>
              <w:rPr>
                <w:rFonts w:ascii="ＭＳ 明朝" w:hAnsi="ＭＳ 明朝"/>
              </w:rPr>
            </w:pPr>
            <w:r w:rsidRPr="00E0548A">
              <w:rPr>
                <w:rFonts w:ascii="ＭＳ 明朝" w:hAnsi="ＭＳ 明朝" w:hint="eastAsia"/>
              </w:rPr>
              <w:t>ター等設備の防災保全措置【税務局】</w:t>
            </w:r>
          </w:p>
          <w:p w14:paraId="047F50C1" w14:textId="77777777" w:rsidR="0055353D" w:rsidRPr="00E0548A" w:rsidRDefault="0055353D" w:rsidP="0055353D">
            <w:pPr>
              <w:rPr>
                <w:rFonts w:ascii="ＭＳ 明朝" w:hAnsi="ＭＳ 明朝"/>
              </w:rPr>
            </w:pPr>
            <w:r w:rsidRPr="00E0548A">
              <w:rPr>
                <w:rFonts w:ascii="ＭＳ 明朝" w:hAnsi="ＭＳ 明朝" w:hint="eastAsia"/>
              </w:rPr>
              <w:t>○各種システムの運用方法の確認等【各所管所属】</w:t>
            </w:r>
          </w:p>
          <w:p w14:paraId="684328DB" w14:textId="04334556" w:rsidR="00F2568A" w:rsidRPr="00E0548A" w:rsidRDefault="0055353D" w:rsidP="0055353D">
            <w:pPr>
              <w:rPr>
                <w:rFonts w:ascii="ＭＳ 明朝" w:hAnsi="ＭＳ 明朝"/>
                <w:szCs w:val="21"/>
              </w:rPr>
            </w:pPr>
            <w:r w:rsidRPr="00E0548A">
              <w:rPr>
                <w:rFonts w:ascii="ＭＳ 明朝" w:hAnsi="ＭＳ 明朝" w:hint="eastAsia"/>
              </w:rPr>
              <w:t>○庁内情報基盤システム障害時の対応確認【DX推進課】</w:t>
            </w:r>
          </w:p>
        </w:tc>
      </w:tr>
    </w:tbl>
    <w:p w14:paraId="1056C82E" w14:textId="77777777" w:rsidR="00F2568A" w:rsidRPr="00E0548A" w:rsidRDefault="00F2568A" w:rsidP="00F2568A">
      <w:pPr>
        <w:rPr>
          <w:rFonts w:ascii="ＭＳ 明朝" w:hAnsi="ＭＳ 明朝"/>
          <w:szCs w:val="21"/>
        </w:rPr>
      </w:pPr>
    </w:p>
    <w:p w14:paraId="05E532EB" w14:textId="77777777" w:rsidR="005A4299" w:rsidRPr="00E0548A" w:rsidRDefault="005A4299" w:rsidP="005A4299">
      <w:pPr>
        <w:ind w:firstLineChars="100" w:firstLine="211"/>
        <w:rPr>
          <w:rFonts w:ascii="ＭＳ 明朝" w:hAnsi="ＭＳ 明朝"/>
          <w:szCs w:val="21"/>
        </w:rPr>
      </w:pPr>
      <w:r w:rsidRPr="00E0548A">
        <w:rPr>
          <w:rFonts w:ascii="ＭＳ 明朝" w:hAnsi="ＭＳ 明朝" w:hint="eastAsia"/>
          <w:szCs w:val="21"/>
        </w:rPr>
        <w:t>なお、南海トラフ地震臨時情報（巨大地震警戒及び注意）発表時の主な所管施設等については、前述する＜災害発生時＞に記載する内容と同様。</w:t>
      </w:r>
    </w:p>
    <w:p w14:paraId="70D9806B" w14:textId="77777777" w:rsidR="008B4B2B" w:rsidRPr="00E0548A" w:rsidRDefault="008B4B2B" w:rsidP="008B4B2B">
      <w:pPr>
        <w:rPr>
          <w:rFonts w:ascii="ＭＳ 明朝" w:hAnsi="ＭＳ 明朝"/>
          <w:szCs w:val="21"/>
        </w:rPr>
      </w:pPr>
    </w:p>
    <w:p w14:paraId="55D6AD7A" w14:textId="3DF7B37B" w:rsidR="0036645A" w:rsidRPr="00E0548A" w:rsidRDefault="0036645A" w:rsidP="008B4B2B">
      <w:pPr>
        <w:rPr>
          <w:rFonts w:ascii="ＭＳ 明朝" w:hAnsi="ＭＳ 明朝"/>
          <w:szCs w:val="21"/>
        </w:rPr>
      </w:pPr>
    </w:p>
    <w:p w14:paraId="62AD5B36" w14:textId="5164B886" w:rsidR="00D93C38" w:rsidRPr="00E0548A" w:rsidRDefault="00D93C38">
      <w:pPr>
        <w:widowControl/>
        <w:jc w:val="left"/>
        <w:rPr>
          <w:rFonts w:ascii="ＭＳ 明朝" w:hAnsi="ＭＳ 明朝"/>
          <w:szCs w:val="21"/>
        </w:rPr>
      </w:pPr>
      <w:r w:rsidRPr="00E0548A">
        <w:rPr>
          <w:rFonts w:ascii="ＭＳ 明朝" w:hAnsi="ＭＳ 明朝"/>
          <w:szCs w:val="21"/>
        </w:rPr>
        <w:br w:type="page"/>
      </w:r>
    </w:p>
    <w:p w14:paraId="222ABDC6" w14:textId="2F4A4E2D" w:rsidR="008B4B2B" w:rsidRPr="00E0548A" w:rsidRDefault="008B4B2B" w:rsidP="008B4B2B">
      <w:pPr>
        <w:pStyle w:val="af4"/>
        <w:ind w:leftChars="0" w:left="0"/>
        <w:rPr>
          <w:rFonts w:ascii="ＭＳ ゴシック" w:eastAsia="ＭＳ ゴシック" w:hAnsi="ＭＳ ゴシック"/>
          <w:szCs w:val="21"/>
        </w:rPr>
      </w:pPr>
      <w:r w:rsidRPr="00E0548A">
        <w:rPr>
          <w:rFonts w:ascii="ＭＳ ゴシック" w:eastAsia="ＭＳ ゴシック" w:hAnsi="ＭＳ ゴシック" w:hint="eastAsia"/>
          <w:szCs w:val="21"/>
        </w:rPr>
        <w:lastRenderedPageBreak/>
        <w:t>⑤スマートシティ戦略部</w:t>
      </w:r>
    </w:p>
    <w:p w14:paraId="1A66A454" w14:textId="77777777" w:rsidR="002C01FF" w:rsidRPr="00E0548A" w:rsidRDefault="002C01FF" w:rsidP="002C01FF">
      <w:pPr>
        <w:pStyle w:val="af4"/>
        <w:ind w:leftChars="0" w:left="0"/>
        <w:rPr>
          <w:rFonts w:ascii="ＭＳ ゴシック" w:eastAsia="ＭＳ ゴシック" w:hAnsi="ＭＳ ゴシック"/>
          <w:szCs w:val="21"/>
        </w:rPr>
      </w:pPr>
      <w:r w:rsidRPr="00E0548A">
        <w:rPr>
          <w:rFonts w:ascii="ＭＳ ゴシック" w:eastAsia="ＭＳ ゴシック" w:hAnsi="ＭＳ ゴシック" w:hint="eastAsia"/>
          <w:szCs w:val="21"/>
        </w:rPr>
        <w:t>＜災害発生時＞</w:t>
      </w:r>
    </w:p>
    <w:tbl>
      <w:tblPr>
        <w:tblpPr w:leftFromText="142" w:rightFromText="142" w:vertAnchor="text" w:tblpXSpec="center" w:tblpY="1"/>
        <w:tblOverlap w:val="neve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26"/>
        <w:gridCol w:w="7176"/>
      </w:tblGrid>
      <w:tr w:rsidR="00E0548A" w:rsidRPr="00E0548A" w14:paraId="6EAD1F60" w14:textId="77777777" w:rsidTr="008B4B2B">
        <w:trPr>
          <w:jc w:val="center"/>
        </w:trPr>
        <w:tc>
          <w:tcPr>
            <w:tcW w:w="1526" w:type="dxa"/>
            <w:shd w:val="clear" w:color="auto" w:fill="BFBFBF"/>
          </w:tcPr>
          <w:p w14:paraId="5CBF100C" w14:textId="77777777" w:rsidR="008B4B2B" w:rsidRPr="00E0548A" w:rsidRDefault="008B4B2B" w:rsidP="008B4B2B">
            <w:pPr>
              <w:jc w:val="center"/>
              <w:rPr>
                <w:rFonts w:ascii="ＭＳ 明朝" w:hAnsi="ＭＳ 明朝"/>
                <w:szCs w:val="21"/>
              </w:rPr>
            </w:pPr>
            <w:r w:rsidRPr="00E0548A">
              <w:rPr>
                <w:rFonts w:ascii="ＭＳ 明朝" w:hAnsi="ＭＳ 明朝" w:hint="eastAsia"/>
                <w:szCs w:val="21"/>
              </w:rPr>
              <w:t>フェーズ</w:t>
            </w:r>
          </w:p>
        </w:tc>
        <w:tc>
          <w:tcPr>
            <w:tcW w:w="7176" w:type="dxa"/>
            <w:shd w:val="clear" w:color="auto" w:fill="BFBFBF"/>
          </w:tcPr>
          <w:p w14:paraId="28D78243" w14:textId="77777777" w:rsidR="008B4B2B" w:rsidRPr="00E0548A" w:rsidRDefault="008B4B2B" w:rsidP="008B4B2B">
            <w:pPr>
              <w:jc w:val="center"/>
              <w:rPr>
                <w:rFonts w:ascii="ＭＳ 明朝" w:hAnsi="ＭＳ 明朝"/>
                <w:szCs w:val="21"/>
              </w:rPr>
            </w:pPr>
            <w:r w:rsidRPr="00E0548A">
              <w:rPr>
                <w:rFonts w:ascii="ＭＳ 明朝" w:hAnsi="ＭＳ 明朝" w:hint="eastAsia"/>
                <w:szCs w:val="21"/>
              </w:rPr>
              <w:t>主な応急対策業務</w:t>
            </w:r>
          </w:p>
        </w:tc>
      </w:tr>
      <w:tr w:rsidR="00E0548A" w:rsidRPr="00E0548A" w14:paraId="558C9EBD" w14:textId="77777777" w:rsidTr="008B4B2B">
        <w:trPr>
          <w:jc w:val="center"/>
        </w:trPr>
        <w:tc>
          <w:tcPr>
            <w:tcW w:w="1526" w:type="dxa"/>
          </w:tcPr>
          <w:p w14:paraId="02999A51" w14:textId="77777777" w:rsidR="000537F9" w:rsidRPr="00E0548A" w:rsidRDefault="000537F9" w:rsidP="000537F9">
            <w:pPr>
              <w:rPr>
                <w:rFonts w:ascii="ＭＳ 明朝" w:hAnsi="ＭＳ 明朝"/>
                <w:szCs w:val="21"/>
              </w:rPr>
            </w:pPr>
            <w:r w:rsidRPr="00E0548A">
              <w:rPr>
                <w:rFonts w:ascii="ＭＳ 明朝" w:hAnsi="ＭＳ 明朝" w:hint="eastAsia"/>
                <w:szCs w:val="21"/>
              </w:rPr>
              <w:t>第</w:t>
            </w:r>
            <w:r w:rsidRPr="00E0548A">
              <w:rPr>
                <w:rFonts w:ascii="ＭＳ 明朝" w:hAnsi="ＭＳ 明朝"/>
                <w:szCs w:val="21"/>
              </w:rPr>
              <w:t>1フェーズ</w:t>
            </w:r>
          </w:p>
          <w:p w14:paraId="59C1D364" w14:textId="77777777" w:rsidR="000537F9" w:rsidRPr="00E0548A" w:rsidRDefault="000537F9" w:rsidP="000537F9">
            <w:pPr>
              <w:rPr>
                <w:rFonts w:ascii="ＭＳ 明朝" w:hAnsi="ＭＳ 明朝"/>
                <w:szCs w:val="21"/>
              </w:rPr>
            </w:pPr>
            <w:r w:rsidRPr="00E0548A">
              <w:rPr>
                <w:rFonts w:ascii="ＭＳ 明朝" w:hAnsi="ＭＳ 明朝"/>
                <w:szCs w:val="21"/>
              </w:rPr>
              <w:t>(3時間まで)</w:t>
            </w:r>
          </w:p>
          <w:p w14:paraId="7BD7857C" w14:textId="77777777" w:rsidR="000537F9" w:rsidRPr="00E0548A" w:rsidRDefault="000537F9" w:rsidP="000537F9">
            <w:pPr>
              <w:rPr>
                <w:rFonts w:ascii="ＭＳ 明朝" w:hAnsi="ＭＳ 明朝"/>
                <w:szCs w:val="21"/>
              </w:rPr>
            </w:pPr>
          </w:p>
        </w:tc>
        <w:tc>
          <w:tcPr>
            <w:tcW w:w="7176" w:type="dxa"/>
          </w:tcPr>
          <w:p w14:paraId="17E167BC" w14:textId="77777777" w:rsidR="000537F9" w:rsidRPr="00E0548A" w:rsidRDefault="000537F9" w:rsidP="000537F9">
            <w:pPr>
              <w:rPr>
                <w:rFonts w:ascii="ＭＳ 明朝" w:hAnsi="ＭＳ 明朝"/>
                <w:szCs w:val="21"/>
              </w:rPr>
            </w:pPr>
            <w:r w:rsidRPr="00E0548A">
              <w:rPr>
                <w:rFonts w:ascii="ＭＳ 明朝" w:hAnsi="ＭＳ 明朝" w:hint="eastAsia"/>
                <w:szCs w:val="21"/>
              </w:rPr>
              <w:t>○初動対応、体制の確立</w:t>
            </w:r>
          </w:p>
          <w:p w14:paraId="718ECCB1" w14:textId="77777777" w:rsidR="00032017" w:rsidRPr="00E0548A" w:rsidRDefault="000537F9" w:rsidP="000537F9">
            <w:pPr>
              <w:ind w:firstLine="1"/>
              <w:rPr>
                <w:rFonts w:ascii="ＭＳ 明朝" w:hAnsi="ＭＳ 明朝"/>
                <w:szCs w:val="21"/>
              </w:rPr>
            </w:pPr>
            <w:r w:rsidRPr="00E0548A">
              <w:rPr>
                <w:rFonts w:ascii="ＭＳ 明朝" w:hAnsi="ＭＳ 明朝" w:hint="eastAsia"/>
                <w:szCs w:val="21"/>
              </w:rPr>
              <w:t>○部内職員の安否確認と参集状況の把握、報告</w:t>
            </w:r>
          </w:p>
          <w:p w14:paraId="3D554813" w14:textId="7ED94DE9" w:rsidR="000537F9" w:rsidRPr="00E0548A" w:rsidRDefault="000537F9" w:rsidP="00032017">
            <w:pPr>
              <w:ind w:firstLineChars="100" w:firstLine="211"/>
              <w:rPr>
                <w:rFonts w:ascii="ＭＳ 明朝" w:hAnsi="ＭＳ 明朝"/>
                <w:szCs w:val="21"/>
              </w:rPr>
            </w:pPr>
            <w:r w:rsidRPr="00E0548A">
              <w:rPr>
                <w:rFonts w:ascii="ＭＳ 明朝" w:hAnsi="ＭＳ 明朝" w:hint="eastAsia"/>
                <w:szCs w:val="21"/>
              </w:rPr>
              <w:t>【スマートシティ戦略総務課】</w:t>
            </w:r>
          </w:p>
          <w:p w14:paraId="1E2B96DB" w14:textId="77777777" w:rsidR="00032017" w:rsidRPr="00E0548A" w:rsidRDefault="000537F9" w:rsidP="000537F9">
            <w:pPr>
              <w:rPr>
                <w:rFonts w:ascii="ＭＳ 明朝" w:hAnsi="ＭＳ 明朝"/>
                <w:szCs w:val="21"/>
              </w:rPr>
            </w:pPr>
            <w:r w:rsidRPr="00E0548A">
              <w:rPr>
                <w:rFonts w:ascii="ＭＳ 明朝" w:hAnsi="ＭＳ 明朝" w:hint="eastAsia"/>
                <w:szCs w:val="21"/>
              </w:rPr>
              <w:t>○部内及び関係機関からの情報収集及び連絡調整</w:t>
            </w:r>
          </w:p>
          <w:p w14:paraId="0BBAE443" w14:textId="0E4F959E" w:rsidR="000537F9" w:rsidRPr="00E0548A" w:rsidRDefault="000537F9" w:rsidP="00032017">
            <w:pPr>
              <w:ind w:firstLineChars="100" w:firstLine="211"/>
              <w:rPr>
                <w:rFonts w:ascii="ＭＳ 明朝" w:hAnsi="ＭＳ 明朝"/>
                <w:szCs w:val="21"/>
              </w:rPr>
            </w:pPr>
            <w:r w:rsidRPr="00E0548A">
              <w:rPr>
                <w:rFonts w:ascii="ＭＳ 明朝" w:hAnsi="ＭＳ 明朝" w:hint="eastAsia"/>
                <w:szCs w:val="21"/>
              </w:rPr>
              <w:t>【スマートシティ戦略総務課】</w:t>
            </w:r>
          </w:p>
          <w:p w14:paraId="1BD38C46" w14:textId="77777777" w:rsidR="000537F9" w:rsidRPr="00E0548A" w:rsidRDefault="000537F9" w:rsidP="000537F9">
            <w:pPr>
              <w:ind w:left="211" w:hangingChars="100" w:hanging="211"/>
              <w:rPr>
                <w:rFonts w:ascii="ＭＳ 明朝" w:hAnsi="ＭＳ 明朝"/>
                <w:szCs w:val="21"/>
              </w:rPr>
            </w:pPr>
            <w:r w:rsidRPr="00E0548A">
              <w:rPr>
                <w:rFonts w:ascii="ＭＳ 明朝" w:hAnsi="ＭＳ 明朝" w:hint="eastAsia"/>
                <w:szCs w:val="21"/>
              </w:rPr>
              <w:t>○所管システム等の被害状況確認【各所管所属】</w:t>
            </w:r>
          </w:p>
          <w:p w14:paraId="1939B2CA" w14:textId="1DB91A2C" w:rsidR="000537F9" w:rsidRPr="00E0548A" w:rsidRDefault="000537F9" w:rsidP="000537F9">
            <w:pPr>
              <w:rPr>
                <w:rFonts w:ascii="ＭＳ 明朝" w:hAnsi="ＭＳ 明朝"/>
                <w:szCs w:val="21"/>
              </w:rPr>
            </w:pPr>
            <w:r w:rsidRPr="00E0548A">
              <w:rPr>
                <w:rFonts w:ascii="ＭＳ 明朝" w:hAnsi="ＭＳ 明朝" w:hint="eastAsia"/>
                <w:szCs w:val="21"/>
              </w:rPr>
              <w:t>○職員・来庁者の救助・搬送【各所属】</w:t>
            </w:r>
          </w:p>
        </w:tc>
      </w:tr>
      <w:tr w:rsidR="00E0548A" w:rsidRPr="00E0548A" w14:paraId="720E4945" w14:textId="77777777" w:rsidTr="008B4B2B">
        <w:trPr>
          <w:jc w:val="center"/>
        </w:trPr>
        <w:tc>
          <w:tcPr>
            <w:tcW w:w="1526" w:type="dxa"/>
          </w:tcPr>
          <w:p w14:paraId="0EB28AB6" w14:textId="77777777" w:rsidR="000537F9" w:rsidRPr="00E0548A" w:rsidRDefault="000537F9" w:rsidP="000537F9">
            <w:pPr>
              <w:rPr>
                <w:rFonts w:ascii="ＭＳ 明朝" w:hAnsi="ＭＳ 明朝"/>
                <w:szCs w:val="21"/>
              </w:rPr>
            </w:pPr>
            <w:r w:rsidRPr="00E0548A">
              <w:rPr>
                <w:rFonts w:ascii="ＭＳ 明朝" w:hAnsi="ＭＳ 明朝" w:hint="eastAsia"/>
                <w:szCs w:val="21"/>
              </w:rPr>
              <w:t>第</w:t>
            </w:r>
            <w:r w:rsidRPr="00E0548A">
              <w:rPr>
                <w:rFonts w:ascii="ＭＳ 明朝" w:hAnsi="ＭＳ 明朝"/>
                <w:szCs w:val="21"/>
              </w:rPr>
              <w:t>2フェーズ</w:t>
            </w:r>
          </w:p>
          <w:p w14:paraId="7280179E" w14:textId="77777777" w:rsidR="000537F9" w:rsidRPr="00E0548A" w:rsidRDefault="000537F9" w:rsidP="000537F9">
            <w:pPr>
              <w:rPr>
                <w:rFonts w:ascii="ＭＳ 明朝" w:hAnsi="ＭＳ 明朝"/>
                <w:szCs w:val="21"/>
              </w:rPr>
            </w:pPr>
            <w:r w:rsidRPr="00E0548A">
              <w:rPr>
                <w:rFonts w:ascii="ＭＳ 明朝" w:hAnsi="ＭＳ 明朝"/>
                <w:szCs w:val="21"/>
              </w:rPr>
              <w:t>(24時間まで)</w:t>
            </w:r>
          </w:p>
          <w:p w14:paraId="37170EBF" w14:textId="77777777" w:rsidR="000537F9" w:rsidRPr="00E0548A" w:rsidRDefault="000537F9" w:rsidP="000537F9">
            <w:pPr>
              <w:rPr>
                <w:rFonts w:ascii="ＭＳ 明朝" w:hAnsi="ＭＳ 明朝"/>
                <w:szCs w:val="21"/>
              </w:rPr>
            </w:pPr>
          </w:p>
        </w:tc>
        <w:tc>
          <w:tcPr>
            <w:tcW w:w="7176" w:type="dxa"/>
          </w:tcPr>
          <w:p w14:paraId="47DB3005" w14:textId="67B6817E" w:rsidR="000537F9" w:rsidRPr="00E0548A" w:rsidRDefault="000537F9" w:rsidP="00032017">
            <w:pPr>
              <w:ind w:left="211" w:hangingChars="100" w:hanging="211"/>
              <w:rPr>
                <w:rFonts w:ascii="ＭＳ 明朝" w:hAnsi="ＭＳ 明朝"/>
                <w:szCs w:val="21"/>
              </w:rPr>
            </w:pPr>
            <w:r w:rsidRPr="00E0548A">
              <w:rPr>
                <w:rFonts w:ascii="ＭＳ 明朝" w:hAnsi="ＭＳ 明朝" w:hint="eastAsia"/>
                <w:szCs w:val="21"/>
              </w:rPr>
              <w:t>○所管システム等の被害状況の把握【スマートシティ戦略総務課】、報告</w:t>
            </w:r>
            <w:r w:rsidR="00032017" w:rsidRPr="00E0548A">
              <w:rPr>
                <w:rFonts w:ascii="ＭＳ 明朝" w:hAnsi="ＭＳ 明朝" w:hint="eastAsia"/>
                <w:szCs w:val="21"/>
              </w:rPr>
              <w:t xml:space="preserve">　</w:t>
            </w:r>
            <w:r w:rsidRPr="00E0548A">
              <w:rPr>
                <w:rFonts w:ascii="ＭＳ 明朝" w:hAnsi="ＭＳ 明朝" w:hint="eastAsia"/>
                <w:szCs w:val="21"/>
              </w:rPr>
              <w:t>及び二次災害防止対策の実施【各所管所属】</w:t>
            </w:r>
          </w:p>
          <w:p w14:paraId="3ECE186B" w14:textId="223FF2F2" w:rsidR="000537F9" w:rsidRPr="00E0548A" w:rsidRDefault="000537F9" w:rsidP="000537F9">
            <w:pPr>
              <w:rPr>
                <w:rFonts w:ascii="ＭＳ 明朝" w:eastAsiaTheme="minorEastAsia" w:hAnsi="ＭＳ 明朝"/>
                <w:szCs w:val="21"/>
              </w:rPr>
            </w:pPr>
            <w:r w:rsidRPr="00E0548A">
              <w:rPr>
                <w:rFonts w:ascii="ＭＳ 明朝" w:hAnsi="ＭＳ 明朝" w:hint="eastAsia"/>
                <w:szCs w:val="21"/>
              </w:rPr>
              <w:t>○ＯＲＤＥＮの応急復旧（障害対応）【戦略企画課】</w:t>
            </w:r>
          </w:p>
          <w:p w14:paraId="708442AA" w14:textId="6B41F295" w:rsidR="00032017" w:rsidRPr="00E0548A" w:rsidRDefault="000537F9" w:rsidP="00032017">
            <w:pPr>
              <w:ind w:left="211" w:hangingChars="100" w:hanging="211"/>
              <w:rPr>
                <w:rFonts w:ascii="ＭＳ 明朝" w:hAnsi="ＭＳ 明朝"/>
                <w:kern w:val="0"/>
                <w:szCs w:val="21"/>
              </w:rPr>
            </w:pPr>
            <w:r w:rsidRPr="00E0548A">
              <w:rPr>
                <w:rFonts w:ascii="ＭＳ 明朝" w:hAnsi="ＭＳ 明朝" w:hint="eastAsia"/>
                <w:kern w:val="0"/>
                <w:szCs w:val="21"/>
              </w:rPr>
              <w:t>○大阪版自治体情報セキュリティクラウドの応急復旧</w:t>
            </w:r>
            <w:r w:rsidRPr="00E0548A">
              <w:rPr>
                <w:rFonts w:ascii="ＭＳ 明朝" w:hAnsi="ＭＳ 明朝"/>
                <w:kern w:val="0"/>
                <w:szCs w:val="21"/>
              </w:rPr>
              <w:t>(障害対応)</w:t>
            </w:r>
          </w:p>
          <w:p w14:paraId="51A996E2" w14:textId="0A57FACB" w:rsidR="000537F9" w:rsidRPr="00E0548A" w:rsidRDefault="000537F9" w:rsidP="00032017">
            <w:pPr>
              <w:ind w:leftChars="100" w:left="211"/>
              <w:rPr>
                <w:rFonts w:ascii="ＭＳ 明朝" w:hAnsi="ＭＳ 明朝"/>
                <w:szCs w:val="21"/>
              </w:rPr>
            </w:pPr>
            <w:r w:rsidRPr="00E0548A">
              <w:rPr>
                <w:rFonts w:ascii="ＭＳ 明朝" w:hAnsi="ＭＳ 明朝" w:hint="eastAsia"/>
                <w:kern w:val="0"/>
                <w:szCs w:val="21"/>
              </w:rPr>
              <w:t>【地域戦略推進課】</w:t>
            </w:r>
          </w:p>
        </w:tc>
      </w:tr>
      <w:tr w:rsidR="00E0548A" w:rsidRPr="00E0548A" w14:paraId="725B5CCD" w14:textId="77777777" w:rsidTr="008B4B2B">
        <w:trPr>
          <w:jc w:val="center"/>
        </w:trPr>
        <w:tc>
          <w:tcPr>
            <w:tcW w:w="1526" w:type="dxa"/>
          </w:tcPr>
          <w:p w14:paraId="291DCEDC" w14:textId="77777777" w:rsidR="000537F9" w:rsidRPr="00E0548A" w:rsidRDefault="000537F9" w:rsidP="000537F9">
            <w:pPr>
              <w:rPr>
                <w:rFonts w:ascii="ＭＳ 明朝" w:hAnsi="ＭＳ 明朝"/>
                <w:szCs w:val="21"/>
              </w:rPr>
            </w:pPr>
            <w:r w:rsidRPr="00E0548A">
              <w:rPr>
                <w:rFonts w:ascii="ＭＳ 明朝" w:hAnsi="ＭＳ 明朝" w:hint="eastAsia"/>
                <w:szCs w:val="21"/>
              </w:rPr>
              <w:t>第</w:t>
            </w:r>
            <w:r w:rsidRPr="00E0548A">
              <w:rPr>
                <w:rFonts w:ascii="ＭＳ 明朝" w:hAnsi="ＭＳ 明朝"/>
                <w:szCs w:val="21"/>
              </w:rPr>
              <w:t>3フェーズ</w:t>
            </w:r>
          </w:p>
          <w:p w14:paraId="77958BE2" w14:textId="77777777" w:rsidR="000537F9" w:rsidRPr="00E0548A" w:rsidRDefault="000537F9" w:rsidP="000537F9">
            <w:pPr>
              <w:rPr>
                <w:rFonts w:ascii="ＭＳ 明朝" w:hAnsi="ＭＳ 明朝"/>
                <w:szCs w:val="21"/>
              </w:rPr>
            </w:pPr>
            <w:r w:rsidRPr="00E0548A">
              <w:rPr>
                <w:rFonts w:ascii="ＭＳ 明朝" w:hAnsi="ＭＳ 明朝"/>
                <w:szCs w:val="21"/>
              </w:rPr>
              <w:t>(72時間まで)</w:t>
            </w:r>
          </w:p>
        </w:tc>
        <w:tc>
          <w:tcPr>
            <w:tcW w:w="7176" w:type="dxa"/>
          </w:tcPr>
          <w:p w14:paraId="3F24659F" w14:textId="77777777" w:rsidR="000537F9" w:rsidRPr="00E0548A" w:rsidRDefault="000537F9" w:rsidP="000537F9">
            <w:pPr>
              <w:rPr>
                <w:rFonts w:ascii="ＭＳ 明朝" w:hAnsi="ＭＳ 明朝"/>
                <w:b/>
                <w:szCs w:val="21"/>
              </w:rPr>
            </w:pPr>
          </w:p>
        </w:tc>
      </w:tr>
      <w:tr w:rsidR="00E0548A" w:rsidRPr="00E0548A" w14:paraId="0DB5235A" w14:textId="77777777" w:rsidTr="008B4B2B">
        <w:trPr>
          <w:jc w:val="center"/>
        </w:trPr>
        <w:tc>
          <w:tcPr>
            <w:tcW w:w="1526" w:type="dxa"/>
          </w:tcPr>
          <w:p w14:paraId="36040EB9" w14:textId="77777777" w:rsidR="000537F9" w:rsidRPr="00E0548A" w:rsidRDefault="000537F9" w:rsidP="000537F9">
            <w:pPr>
              <w:rPr>
                <w:rFonts w:ascii="ＭＳ 明朝" w:hAnsi="ＭＳ 明朝"/>
                <w:szCs w:val="21"/>
              </w:rPr>
            </w:pPr>
            <w:r w:rsidRPr="00E0548A">
              <w:rPr>
                <w:rFonts w:ascii="ＭＳ 明朝" w:hAnsi="ＭＳ 明朝" w:hint="eastAsia"/>
                <w:szCs w:val="21"/>
              </w:rPr>
              <w:t>第</w:t>
            </w:r>
            <w:r w:rsidRPr="00E0548A">
              <w:rPr>
                <w:rFonts w:ascii="ＭＳ 明朝" w:hAnsi="ＭＳ 明朝"/>
                <w:szCs w:val="21"/>
              </w:rPr>
              <w:t>4フェーズ</w:t>
            </w:r>
          </w:p>
          <w:p w14:paraId="54B59890" w14:textId="77777777" w:rsidR="000537F9" w:rsidRPr="00E0548A" w:rsidRDefault="000537F9" w:rsidP="000537F9">
            <w:pPr>
              <w:rPr>
                <w:rFonts w:ascii="ＭＳ 明朝" w:hAnsi="ＭＳ 明朝"/>
                <w:szCs w:val="21"/>
              </w:rPr>
            </w:pPr>
            <w:r w:rsidRPr="00E0548A">
              <w:rPr>
                <w:rFonts w:ascii="ＭＳ 明朝" w:hAnsi="ＭＳ 明朝"/>
                <w:szCs w:val="21"/>
              </w:rPr>
              <w:t>(1週間まで)</w:t>
            </w:r>
          </w:p>
        </w:tc>
        <w:tc>
          <w:tcPr>
            <w:tcW w:w="7176" w:type="dxa"/>
          </w:tcPr>
          <w:p w14:paraId="55AA9F7B" w14:textId="77777777" w:rsidR="000537F9" w:rsidRPr="00E0548A" w:rsidRDefault="000537F9" w:rsidP="000537F9">
            <w:pPr>
              <w:rPr>
                <w:rFonts w:ascii="ＭＳ 明朝" w:hAnsi="ＭＳ 明朝"/>
                <w:szCs w:val="21"/>
              </w:rPr>
            </w:pPr>
          </w:p>
        </w:tc>
      </w:tr>
      <w:tr w:rsidR="00E0548A" w:rsidRPr="00E0548A" w14:paraId="28540862" w14:textId="77777777" w:rsidTr="008B4B2B">
        <w:trPr>
          <w:jc w:val="center"/>
        </w:trPr>
        <w:tc>
          <w:tcPr>
            <w:tcW w:w="1526" w:type="dxa"/>
          </w:tcPr>
          <w:p w14:paraId="7919FC39" w14:textId="77777777" w:rsidR="000537F9" w:rsidRPr="00E0548A" w:rsidRDefault="000537F9" w:rsidP="000537F9">
            <w:pPr>
              <w:rPr>
                <w:rFonts w:ascii="ＭＳ 明朝" w:hAnsi="ＭＳ 明朝"/>
                <w:szCs w:val="21"/>
              </w:rPr>
            </w:pPr>
            <w:r w:rsidRPr="00E0548A">
              <w:rPr>
                <w:rFonts w:ascii="ＭＳ 明朝" w:hAnsi="ＭＳ 明朝" w:hint="eastAsia"/>
                <w:szCs w:val="21"/>
              </w:rPr>
              <w:t>第</w:t>
            </w:r>
            <w:r w:rsidRPr="00E0548A">
              <w:rPr>
                <w:rFonts w:ascii="ＭＳ 明朝" w:hAnsi="ＭＳ 明朝"/>
                <w:szCs w:val="21"/>
              </w:rPr>
              <w:t>5フェーズ</w:t>
            </w:r>
          </w:p>
          <w:p w14:paraId="74EE1050" w14:textId="77777777" w:rsidR="000537F9" w:rsidRPr="00E0548A" w:rsidRDefault="000537F9" w:rsidP="000537F9">
            <w:pPr>
              <w:rPr>
                <w:rFonts w:ascii="ＭＳ 明朝" w:hAnsi="ＭＳ 明朝"/>
                <w:szCs w:val="21"/>
              </w:rPr>
            </w:pPr>
            <w:r w:rsidRPr="00E0548A">
              <w:rPr>
                <w:rFonts w:ascii="ＭＳ 明朝" w:hAnsi="ＭＳ 明朝"/>
                <w:szCs w:val="21"/>
              </w:rPr>
              <w:t>(2週間まで)</w:t>
            </w:r>
          </w:p>
        </w:tc>
        <w:tc>
          <w:tcPr>
            <w:tcW w:w="7176" w:type="dxa"/>
          </w:tcPr>
          <w:p w14:paraId="6BF4C5C5" w14:textId="66F063D3" w:rsidR="000537F9" w:rsidRPr="00E0548A" w:rsidRDefault="000537F9" w:rsidP="000537F9">
            <w:pPr>
              <w:ind w:left="211" w:hangingChars="100" w:hanging="211"/>
              <w:rPr>
                <w:rFonts w:ascii="ＭＳ 明朝" w:hAnsi="ＭＳ 明朝"/>
                <w:szCs w:val="21"/>
              </w:rPr>
            </w:pPr>
            <w:r w:rsidRPr="00E0548A">
              <w:rPr>
                <w:rFonts w:ascii="ＭＳ 明朝" w:hAnsi="ＭＳ 明朝" w:hint="eastAsia"/>
                <w:szCs w:val="21"/>
              </w:rPr>
              <w:t>○被災所管システム等の復旧</w:t>
            </w:r>
          </w:p>
        </w:tc>
      </w:tr>
      <w:tr w:rsidR="00E0548A" w:rsidRPr="00E0548A" w14:paraId="2CC25EB8" w14:textId="77777777" w:rsidTr="008B4B2B">
        <w:trPr>
          <w:jc w:val="center"/>
        </w:trPr>
        <w:tc>
          <w:tcPr>
            <w:tcW w:w="1526" w:type="dxa"/>
          </w:tcPr>
          <w:p w14:paraId="3AD26E25" w14:textId="77777777" w:rsidR="000537F9" w:rsidRPr="00E0548A" w:rsidRDefault="000537F9" w:rsidP="000537F9">
            <w:pPr>
              <w:rPr>
                <w:rFonts w:ascii="ＭＳ 明朝" w:hAnsi="ＭＳ 明朝"/>
                <w:szCs w:val="21"/>
              </w:rPr>
            </w:pPr>
            <w:r w:rsidRPr="00E0548A">
              <w:rPr>
                <w:rFonts w:ascii="ＭＳ 明朝" w:hAnsi="ＭＳ 明朝" w:hint="eastAsia"/>
                <w:szCs w:val="21"/>
              </w:rPr>
              <w:t>第</w:t>
            </w:r>
            <w:r w:rsidRPr="00E0548A">
              <w:rPr>
                <w:rFonts w:ascii="ＭＳ 明朝" w:hAnsi="ＭＳ 明朝"/>
                <w:szCs w:val="21"/>
              </w:rPr>
              <w:t>6フェーズ</w:t>
            </w:r>
          </w:p>
          <w:p w14:paraId="35D8536A" w14:textId="77777777" w:rsidR="000537F9" w:rsidRPr="00E0548A" w:rsidRDefault="000537F9" w:rsidP="000537F9">
            <w:pPr>
              <w:rPr>
                <w:rFonts w:ascii="ＭＳ 明朝" w:hAnsi="ＭＳ 明朝"/>
                <w:szCs w:val="21"/>
              </w:rPr>
            </w:pPr>
            <w:r w:rsidRPr="00E0548A">
              <w:rPr>
                <w:rFonts w:ascii="ＭＳ 明朝" w:hAnsi="ＭＳ 明朝"/>
                <w:szCs w:val="21"/>
              </w:rPr>
              <w:t>(1ヶ月まで)</w:t>
            </w:r>
          </w:p>
        </w:tc>
        <w:tc>
          <w:tcPr>
            <w:tcW w:w="7176" w:type="dxa"/>
          </w:tcPr>
          <w:p w14:paraId="2F32848C" w14:textId="4BE6944C" w:rsidR="000537F9" w:rsidRPr="00E0548A" w:rsidRDefault="000537F9" w:rsidP="000537F9">
            <w:pPr>
              <w:rPr>
                <w:rFonts w:ascii="ＭＳ 明朝" w:hAnsi="ＭＳ 明朝"/>
                <w:szCs w:val="21"/>
              </w:rPr>
            </w:pPr>
          </w:p>
          <w:p w14:paraId="1FEEF1E3" w14:textId="77777777" w:rsidR="000537F9" w:rsidRPr="00E0548A" w:rsidRDefault="000537F9" w:rsidP="000537F9">
            <w:pPr>
              <w:rPr>
                <w:rFonts w:ascii="ＭＳ ゴシック" w:eastAsia="ＭＳ ゴシック" w:hAnsi="ＭＳ ゴシック"/>
                <w:szCs w:val="21"/>
              </w:rPr>
            </w:pPr>
          </w:p>
        </w:tc>
      </w:tr>
    </w:tbl>
    <w:p w14:paraId="3AAFE57C" w14:textId="26545D2E" w:rsidR="008B4B2B" w:rsidRPr="00E0548A" w:rsidRDefault="008B4B2B" w:rsidP="000537F9">
      <w:pPr>
        <w:rPr>
          <w:rFonts w:ascii="ＭＳ ゴシック" w:eastAsia="ＭＳ ゴシック" w:hAnsi="ＭＳ ゴシック"/>
          <w:szCs w:val="21"/>
        </w:rPr>
      </w:pPr>
      <w:r w:rsidRPr="00E0548A">
        <w:rPr>
          <w:rFonts w:ascii="ＭＳ 明朝" w:hAnsi="ＭＳ 明朝" w:hint="eastAsia"/>
          <w:szCs w:val="21"/>
        </w:rPr>
        <w:t>※システム：</w:t>
      </w:r>
      <w:r w:rsidR="000537F9" w:rsidRPr="00E0548A">
        <w:rPr>
          <w:rFonts w:ascii="ＭＳ 明朝" w:hAnsi="ＭＳ 明朝" w:hint="eastAsia"/>
          <w:kern w:val="0"/>
          <w:szCs w:val="21"/>
        </w:rPr>
        <w:t>セキュリティクラウド、ＯＲＤＥＮ</w:t>
      </w:r>
    </w:p>
    <w:p w14:paraId="0143B9C8" w14:textId="77777777" w:rsidR="00E530F4" w:rsidRPr="00E0548A" w:rsidRDefault="00E530F4" w:rsidP="008B4B2B">
      <w:pPr>
        <w:pStyle w:val="af4"/>
        <w:ind w:leftChars="0" w:left="0"/>
        <w:rPr>
          <w:rFonts w:ascii="ＭＳ ゴシック" w:eastAsia="ＭＳ ゴシック" w:hAnsi="ＭＳ ゴシック"/>
          <w:szCs w:val="21"/>
        </w:rPr>
      </w:pPr>
    </w:p>
    <w:p w14:paraId="1C7FE1DF" w14:textId="77777777" w:rsidR="00D93C38" w:rsidRPr="00E0548A" w:rsidRDefault="00D93C38">
      <w:pPr>
        <w:widowControl/>
        <w:jc w:val="left"/>
        <w:rPr>
          <w:rFonts w:ascii="ＭＳ ゴシック" w:eastAsia="ＭＳ ゴシック" w:hAnsi="ＭＳ ゴシック"/>
          <w:szCs w:val="21"/>
        </w:rPr>
      </w:pPr>
      <w:r w:rsidRPr="00E0548A">
        <w:rPr>
          <w:rFonts w:ascii="ＭＳ ゴシック" w:eastAsia="ＭＳ ゴシック" w:hAnsi="ＭＳ ゴシック"/>
          <w:szCs w:val="21"/>
        </w:rPr>
        <w:br w:type="page"/>
      </w:r>
    </w:p>
    <w:p w14:paraId="26FD86FF" w14:textId="0586B950" w:rsidR="007650CC" w:rsidRPr="00E0548A" w:rsidRDefault="007650CC" w:rsidP="007650CC">
      <w:pPr>
        <w:pStyle w:val="af4"/>
        <w:ind w:leftChars="0" w:left="0"/>
        <w:rPr>
          <w:rFonts w:ascii="ＭＳ ゴシック" w:eastAsia="ＭＳ ゴシック" w:hAnsi="ＭＳ ゴシック"/>
          <w:szCs w:val="21"/>
        </w:rPr>
      </w:pPr>
      <w:r w:rsidRPr="00E0548A">
        <w:rPr>
          <w:rFonts w:ascii="ＭＳ ゴシック" w:eastAsia="ＭＳ ゴシック" w:hAnsi="ＭＳ ゴシック" w:hint="eastAsia"/>
          <w:szCs w:val="21"/>
        </w:rPr>
        <w:lastRenderedPageBreak/>
        <w:t>＜南海トラフ地震臨時情報（巨大地震警戒）発表時＞</w:t>
      </w:r>
    </w:p>
    <w:tbl>
      <w:tblPr>
        <w:tblpPr w:leftFromText="142" w:rightFromText="142" w:vertAnchor="text" w:tblpXSpec="center" w:tblpY="1"/>
        <w:tblOverlap w:val="neve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00"/>
        <w:gridCol w:w="7334"/>
      </w:tblGrid>
      <w:tr w:rsidR="00E0548A" w:rsidRPr="00E0548A" w14:paraId="6B598FB0" w14:textId="77777777" w:rsidTr="008C78D9">
        <w:trPr>
          <w:jc w:val="center"/>
        </w:trPr>
        <w:tc>
          <w:tcPr>
            <w:tcW w:w="1500" w:type="dxa"/>
            <w:tcBorders>
              <w:bottom w:val="single" w:sz="4" w:space="0" w:color="auto"/>
            </w:tcBorders>
            <w:shd w:val="clear" w:color="auto" w:fill="BFBFBF"/>
          </w:tcPr>
          <w:p w14:paraId="67309A22" w14:textId="77777777" w:rsidR="007650CC" w:rsidRPr="00E0548A" w:rsidRDefault="007650CC" w:rsidP="008C78D9">
            <w:pPr>
              <w:jc w:val="center"/>
              <w:rPr>
                <w:rFonts w:ascii="ＭＳ 明朝" w:hAnsi="ＭＳ 明朝"/>
                <w:szCs w:val="21"/>
              </w:rPr>
            </w:pPr>
            <w:r w:rsidRPr="00E0548A">
              <w:rPr>
                <w:rFonts w:ascii="ＭＳ 明朝" w:hAnsi="ＭＳ 明朝" w:hint="eastAsia"/>
                <w:szCs w:val="21"/>
              </w:rPr>
              <w:t>臨時情報</w:t>
            </w:r>
          </w:p>
        </w:tc>
        <w:tc>
          <w:tcPr>
            <w:tcW w:w="7334" w:type="dxa"/>
            <w:tcBorders>
              <w:bottom w:val="single" w:sz="4" w:space="0" w:color="auto"/>
            </w:tcBorders>
            <w:shd w:val="clear" w:color="auto" w:fill="BFBFBF"/>
          </w:tcPr>
          <w:p w14:paraId="4E95FEB7" w14:textId="77777777" w:rsidR="007650CC" w:rsidRPr="00E0548A" w:rsidRDefault="007650CC" w:rsidP="008C78D9">
            <w:pPr>
              <w:jc w:val="center"/>
              <w:rPr>
                <w:rFonts w:ascii="ＭＳ 明朝" w:hAnsi="ＭＳ 明朝"/>
                <w:szCs w:val="21"/>
              </w:rPr>
            </w:pPr>
            <w:r w:rsidRPr="00E0548A">
              <w:rPr>
                <w:rFonts w:ascii="ＭＳ 明朝" w:hAnsi="ＭＳ 明朝" w:hint="eastAsia"/>
                <w:szCs w:val="21"/>
              </w:rPr>
              <w:t>主な応急対策業務</w:t>
            </w:r>
          </w:p>
        </w:tc>
      </w:tr>
      <w:tr w:rsidR="00E0548A" w:rsidRPr="00E0548A" w14:paraId="5177DA71" w14:textId="77777777" w:rsidTr="008C78D9">
        <w:trPr>
          <w:jc w:val="center"/>
        </w:trPr>
        <w:tc>
          <w:tcPr>
            <w:tcW w:w="1500" w:type="dxa"/>
          </w:tcPr>
          <w:p w14:paraId="65EA51A4" w14:textId="77777777" w:rsidR="007650CC" w:rsidRPr="00E0548A" w:rsidRDefault="007650CC" w:rsidP="008C78D9">
            <w:pPr>
              <w:rPr>
                <w:rFonts w:ascii="ＭＳ 明朝" w:hAnsi="ＭＳ 明朝"/>
                <w:szCs w:val="21"/>
              </w:rPr>
            </w:pPr>
            <w:r w:rsidRPr="00E0548A">
              <w:rPr>
                <w:rFonts w:ascii="ＭＳ 明朝" w:hAnsi="ＭＳ 明朝" w:hint="eastAsia"/>
                <w:szCs w:val="21"/>
              </w:rPr>
              <w:t>巨大地震警戒</w:t>
            </w:r>
          </w:p>
        </w:tc>
        <w:tc>
          <w:tcPr>
            <w:tcW w:w="7334" w:type="dxa"/>
          </w:tcPr>
          <w:p w14:paraId="7891A9DF" w14:textId="77777777" w:rsidR="005321CA" w:rsidRPr="00E0548A" w:rsidRDefault="005321CA" w:rsidP="005321CA">
            <w:pPr>
              <w:rPr>
                <w:rFonts w:ascii="ＭＳ 明朝" w:hAnsi="ＭＳ 明朝"/>
              </w:rPr>
            </w:pPr>
            <w:r w:rsidRPr="00E0548A">
              <w:rPr>
                <w:rFonts w:ascii="ＭＳ 明朝" w:hAnsi="ＭＳ 明朝" w:hint="eastAsia"/>
              </w:rPr>
              <w:t>○地震発災後、応急対策業務（第１フェーズ）を速やかに実施できる準備</w:t>
            </w:r>
          </w:p>
          <w:p w14:paraId="072ED7B6" w14:textId="77777777" w:rsidR="005321CA" w:rsidRPr="00E0548A" w:rsidRDefault="005321CA" w:rsidP="005321CA">
            <w:pPr>
              <w:ind w:firstLineChars="100" w:firstLine="211"/>
              <w:rPr>
                <w:rFonts w:ascii="ＭＳ 明朝" w:hAnsi="ＭＳ 明朝"/>
              </w:rPr>
            </w:pPr>
            <w:r w:rsidRPr="00E0548A">
              <w:rPr>
                <w:rFonts w:ascii="ＭＳ 明朝" w:hAnsi="ＭＳ 明朝" w:hint="eastAsia"/>
              </w:rPr>
              <w:t>体制を維持</w:t>
            </w:r>
          </w:p>
          <w:p w14:paraId="2B1612CC" w14:textId="77777777" w:rsidR="005321CA" w:rsidRPr="00E0548A" w:rsidRDefault="005321CA" w:rsidP="005321CA">
            <w:pPr>
              <w:rPr>
                <w:rFonts w:ascii="ＭＳ 明朝" w:hAnsi="ＭＳ 明朝"/>
              </w:rPr>
            </w:pPr>
            <w:r w:rsidRPr="00E0548A">
              <w:rPr>
                <w:rFonts w:ascii="ＭＳ 明朝" w:hAnsi="ＭＳ 明朝" w:hint="eastAsia"/>
              </w:rPr>
              <w:t>○部内及び関係機関からの情報収集・整理及び連絡調整</w:t>
            </w:r>
          </w:p>
          <w:p w14:paraId="08DBE000" w14:textId="77777777" w:rsidR="005321CA" w:rsidRPr="00E0548A" w:rsidRDefault="005321CA" w:rsidP="005321CA">
            <w:pPr>
              <w:ind w:firstLineChars="100" w:firstLine="211"/>
              <w:rPr>
                <w:rFonts w:ascii="ＭＳ 明朝" w:hAnsi="ＭＳ 明朝"/>
              </w:rPr>
            </w:pPr>
            <w:r w:rsidRPr="00E0548A">
              <w:rPr>
                <w:rFonts w:ascii="ＭＳ 明朝" w:hAnsi="ＭＳ 明朝" w:hint="eastAsia"/>
              </w:rPr>
              <w:t>【スマートシティ戦略総務課】</w:t>
            </w:r>
          </w:p>
          <w:p w14:paraId="762D02D7" w14:textId="77777777" w:rsidR="005321CA" w:rsidRPr="00E0548A" w:rsidRDefault="005321CA" w:rsidP="005321CA">
            <w:pPr>
              <w:rPr>
                <w:rFonts w:ascii="ＭＳ 明朝" w:hAnsi="ＭＳ 明朝"/>
              </w:rPr>
            </w:pPr>
            <w:r w:rsidRPr="00E0548A">
              <w:rPr>
                <w:rFonts w:ascii="ＭＳ 明朝" w:hAnsi="ＭＳ 明朝" w:hint="eastAsia"/>
              </w:rPr>
              <w:t>○所管イベントの開催可否の判断【各所管所属】</w:t>
            </w:r>
          </w:p>
          <w:p w14:paraId="715127FC" w14:textId="4DA28FB8" w:rsidR="007650CC" w:rsidRPr="00E0548A" w:rsidRDefault="005321CA" w:rsidP="005321CA">
            <w:pPr>
              <w:ind w:left="211" w:hangingChars="100" w:hanging="211"/>
              <w:rPr>
                <w:rFonts w:ascii="ＭＳ 明朝" w:hAnsi="ＭＳ 明朝"/>
                <w:szCs w:val="21"/>
              </w:rPr>
            </w:pPr>
            <w:r w:rsidRPr="00E0548A">
              <w:rPr>
                <w:rFonts w:ascii="ＭＳ 明朝" w:hAnsi="ＭＳ 明朝" w:hint="eastAsia"/>
              </w:rPr>
              <w:t>○各種システムの運用方法の確認等【各所管所属】</w:t>
            </w:r>
          </w:p>
        </w:tc>
      </w:tr>
    </w:tbl>
    <w:p w14:paraId="7E041077" w14:textId="77777777" w:rsidR="007650CC" w:rsidRPr="00E0548A" w:rsidRDefault="007650CC" w:rsidP="007650CC">
      <w:pPr>
        <w:rPr>
          <w:rFonts w:ascii="ＭＳ 明朝" w:hAnsi="ＭＳ 明朝"/>
          <w:szCs w:val="21"/>
        </w:rPr>
      </w:pPr>
      <w:r w:rsidRPr="00E0548A">
        <w:rPr>
          <w:rFonts w:ascii="ＭＳ 明朝" w:hAnsi="ＭＳ 明朝" w:hint="eastAsia"/>
          <w:szCs w:val="21"/>
        </w:rPr>
        <w:t>「南海トラフ地震臨時情報（巨大地震警戒）」が発表され、「巨大地震警戒対応期間」（１週間）が経過した際は、「巨大地震注意対応期間」へ移行。</w:t>
      </w:r>
    </w:p>
    <w:p w14:paraId="7CF8A940" w14:textId="77777777" w:rsidR="007650CC" w:rsidRPr="00E0548A" w:rsidRDefault="007650CC" w:rsidP="007650CC">
      <w:pPr>
        <w:rPr>
          <w:rFonts w:ascii="ＭＳ 明朝" w:hAnsi="ＭＳ 明朝"/>
          <w:szCs w:val="21"/>
        </w:rPr>
      </w:pPr>
    </w:p>
    <w:p w14:paraId="6A81FE8C" w14:textId="187B11CC" w:rsidR="007650CC" w:rsidRPr="00E0548A" w:rsidRDefault="007650CC" w:rsidP="007650CC">
      <w:pPr>
        <w:pStyle w:val="af4"/>
        <w:ind w:leftChars="0" w:left="0"/>
        <w:rPr>
          <w:rFonts w:ascii="ＭＳ ゴシック" w:eastAsia="ＭＳ ゴシック" w:hAnsi="ＭＳ ゴシック"/>
          <w:szCs w:val="21"/>
        </w:rPr>
      </w:pPr>
      <w:r w:rsidRPr="00E0548A">
        <w:rPr>
          <w:rFonts w:ascii="ＭＳ ゴシック" w:eastAsia="ＭＳ ゴシック" w:hAnsi="ＭＳ ゴシック" w:hint="eastAsia"/>
          <w:szCs w:val="21"/>
        </w:rPr>
        <w:t>＜南海トラフ地震臨時情報（巨大地震注意）発表時</w:t>
      </w:r>
      <w:r w:rsidR="002F25B5" w:rsidRPr="00E0548A">
        <w:rPr>
          <w:rFonts w:ascii="ＭＳ ゴシック" w:eastAsia="ＭＳ ゴシック" w:hAnsi="ＭＳ ゴシック" w:hint="eastAsia"/>
          <w:szCs w:val="21"/>
        </w:rPr>
        <w:t>（</w:t>
      </w:r>
      <w:r w:rsidR="002F25B5" w:rsidRPr="00E0548A">
        <w:rPr>
          <w:rFonts w:ascii="ＭＳ 明朝" w:hAnsi="ＭＳ 明朝" w:hint="eastAsia"/>
          <w:szCs w:val="21"/>
        </w:rPr>
        <w:t>巨大地震警戒からの移行時を含む</w:t>
      </w:r>
      <w:r w:rsidR="002F25B5" w:rsidRPr="00E0548A">
        <w:rPr>
          <w:rFonts w:ascii="ＭＳ ゴシック" w:eastAsia="ＭＳ ゴシック" w:hAnsi="ＭＳ ゴシック" w:hint="eastAsia"/>
          <w:szCs w:val="21"/>
        </w:rPr>
        <w:t>）</w:t>
      </w:r>
      <w:r w:rsidRPr="00E0548A">
        <w:rPr>
          <w:rFonts w:ascii="ＭＳ ゴシック" w:eastAsia="ＭＳ ゴシック" w:hAnsi="ＭＳ ゴシック" w:hint="eastAsia"/>
          <w:szCs w:val="21"/>
        </w:rPr>
        <w:t>＞</w:t>
      </w:r>
    </w:p>
    <w:tbl>
      <w:tblPr>
        <w:tblpPr w:leftFromText="142" w:rightFromText="142" w:vertAnchor="text" w:tblpXSpec="center" w:tblpY="1"/>
        <w:tblOverlap w:val="neve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00"/>
        <w:gridCol w:w="7334"/>
      </w:tblGrid>
      <w:tr w:rsidR="00E0548A" w:rsidRPr="00E0548A" w14:paraId="462CF96F" w14:textId="77777777" w:rsidTr="008C78D9">
        <w:trPr>
          <w:jc w:val="center"/>
        </w:trPr>
        <w:tc>
          <w:tcPr>
            <w:tcW w:w="1500" w:type="dxa"/>
            <w:tcBorders>
              <w:bottom w:val="single" w:sz="4" w:space="0" w:color="auto"/>
            </w:tcBorders>
            <w:shd w:val="clear" w:color="auto" w:fill="BFBFBF"/>
          </w:tcPr>
          <w:p w14:paraId="180F3C45" w14:textId="77777777" w:rsidR="007650CC" w:rsidRPr="00E0548A" w:rsidRDefault="007650CC" w:rsidP="008C78D9">
            <w:pPr>
              <w:jc w:val="center"/>
              <w:rPr>
                <w:rFonts w:ascii="ＭＳ 明朝" w:hAnsi="ＭＳ 明朝"/>
                <w:szCs w:val="21"/>
              </w:rPr>
            </w:pPr>
            <w:r w:rsidRPr="00E0548A">
              <w:rPr>
                <w:rFonts w:ascii="ＭＳ 明朝" w:hAnsi="ＭＳ 明朝" w:hint="eastAsia"/>
                <w:szCs w:val="21"/>
              </w:rPr>
              <w:t>臨時情報</w:t>
            </w:r>
          </w:p>
        </w:tc>
        <w:tc>
          <w:tcPr>
            <w:tcW w:w="7334" w:type="dxa"/>
            <w:tcBorders>
              <w:bottom w:val="single" w:sz="4" w:space="0" w:color="auto"/>
            </w:tcBorders>
            <w:shd w:val="clear" w:color="auto" w:fill="BFBFBF"/>
          </w:tcPr>
          <w:p w14:paraId="1B87DCC4" w14:textId="77777777" w:rsidR="007650CC" w:rsidRPr="00E0548A" w:rsidRDefault="007650CC" w:rsidP="008C78D9">
            <w:pPr>
              <w:jc w:val="center"/>
              <w:rPr>
                <w:rFonts w:ascii="ＭＳ 明朝" w:hAnsi="ＭＳ 明朝"/>
                <w:szCs w:val="21"/>
              </w:rPr>
            </w:pPr>
            <w:r w:rsidRPr="00E0548A">
              <w:rPr>
                <w:rFonts w:ascii="ＭＳ 明朝" w:hAnsi="ＭＳ 明朝" w:hint="eastAsia"/>
                <w:szCs w:val="21"/>
              </w:rPr>
              <w:t>主な応急対策業務</w:t>
            </w:r>
          </w:p>
        </w:tc>
      </w:tr>
      <w:tr w:rsidR="00E0548A" w:rsidRPr="00E0548A" w14:paraId="65DEBC6C" w14:textId="77777777" w:rsidTr="008C78D9">
        <w:trPr>
          <w:jc w:val="center"/>
        </w:trPr>
        <w:tc>
          <w:tcPr>
            <w:tcW w:w="1500" w:type="dxa"/>
          </w:tcPr>
          <w:p w14:paraId="4669F3EF" w14:textId="77777777" w:rsidR="007650CC" w:rsidRPr="00E0548A" w:rsidRDefault="007650CC" w:rsidP="008C78D9">
            <w:pPr>
              <w:rPr>
                <w:rFonts w:ascii="ＭＳ 明朝" w:hAnsi="ＭＳ 明朝"/>
                <w:szCs w:val="21"/>
              </w:rPr>
            </w:pPr>
            <w:r w:rsidRPr="00E0548A">
              <w:rPr>
                <w:rFonts w:ascii="ＭＳ 明朝" w:hAnsi="ＭＳ 明朝" w:hint="eastAsia"/>
                <w:szCs w:val="21"/>
              </w:rPr>
              <w:t>巨大地震注意</w:t>
            </w:r>
          </w:p>
        </w:tc>
        <w:tc>
          <w:tcPr>
            <w:tcW w:w="7334" w:type="dxa"/>
          </w:tcPr>
          <w:p w14:paraId="4081ADF5" w14:textId="77777777" w:rsidR="005321CA" w:rsidRPr="00E0548A" w:rsidRDefault="005321CA" w:rsidP="005321CA">
            <w:pPr>
              <w:rPr>
                <w:rFonts w:ascii="ＭＳ 明朝" w:hAnsi="ＭＳ 明朝"/>
              </w:rPr>
            </w:pPr>
            <w:r w:rsidRPr="00E0548A">
              <w:rPr>
                <w:rFonts w:ascii="ＭＳ 明朝" w:hAnsi="ＭＳ 明朝" w:hint="eastAsia"/>
              </w:rPr>
              <w:t>○地震発災に備えた情報連絡体制の維持</w:t>
            </w:r>
          </w:p>
          <w:p w14:paraId="49FB5A42" w14:textId="77777777" w:rsidR="005321CA" w:rsidRPr="00E0548A" w:rsidRDefault="005321CA" w:rsidP="005321CA">
            <w:pPr>
              <w:rPr>
                <w:rFonts w:ascii="ＭＳ 明朝" w:hAnsi="ＭＳ 明朝"/>
              </w:rPr>
            </w:pPr>
            <w:r w:rsidRPr="00E0548A">
              <w:rPr>
                <w:rFonts w:ascii="ＭＳ 明朝" w:hAnsi="ＭＳ 明朝" w:hint="eastAsia"/>
              </w:rPr>
              <w:t>○部内及び関係機関からの情報収集・整理及び連絡調整</w:t>
            </w:r>
          </w:p>
          <w:p w14:paraId="4AC2700A" w14:textId="77777777" w:rsidR="005321CA" w:rsidRPr="00E0548A" w:rsidRDefault="005321CA" w:rsidP="005321CA">
            <w:pPr>
              <w:ind w:firstLineChars="100" w:firstLine="211"/>
              <w:rPr>
                <w:rFonts w:ascii="ＭＳ 明朝" w:hAnsi="ＭＳ 明朝"/>
              </w:rPr>
            </w:pPr>
            <w:r w:rsidRPr="00E0548A">
              <w:rPr>
                <w:rFonts w:ascii="ＭＳ 明朝" w:hAnsi="ＭＳ 明朝" w:hint="eastAsia"/>
              </w:rPr>
              <w:t>【スマートシティ戦略総務課】</w:t>
            </w:r>
          </w:p>
          <w:p w14:paraId="5C5938A3" w14:textId="47BBBE36" w:rsidR="007650CC" w:rsidRPr="00E0548A" w:rsidRDefault="005321CA" w:rsidP="005321CA">
            <w:pPr>
              <w:ind w:left="211" w:hangingChars="100" w:hanging="211"/>
              <w:rPr>
                <w:rFonts w:ascii="ＭＳ 明朝" w:hAnsi="ＭＳ 明朝"/>
                <w:szCs w:val="21"/>
              </w:rPr>
            </w:pPr>
            <w:r w:rsidRPr="00E0548A">
              <w:rPr>
                <w:rFonts w:ascii="ＭＳ 明朝" w:hAnsi="ＭＳ 明朝" w:hint="eastAsia"/>
              </w:rPr>
              <w:t>○各種システムの運用方法の確認等【各所管所属】</w:t>
            </w:r>
          </w:p>
        </w:tc>
      </w:tr>
    </w:tbl>
    <w:p w14:paraId="2CEF7B10" w14:textId="77777777" w:rsidR="007650CC" w:rsidRPr="00E0548A" w:rsidRDefault="007650CC" w:rsidP="007650CC">
      <w:pPr>
        <w:rPr>
          <w:rFonts w:ascii="ＭＳ 明朝" w:hAnsi="ＭＳ 明朝"/>
          <w:szCs w:val="21"/>
        </w:rPr>
      </w:pPr>
    </w:p>
    <w:p w14:paraId="51354491" w14:textId="77777777" w:rsidR="001A7D09" w:rsidRPr="00E0548A" w:rsidRDefault="001A7D09" w:rsidP="001A7D09">
      <w:pPr>
        <w:ind w:firstLineChars="100" w:firstLine="211"/>
        <w:rPr>
          <w:rFonts w:ascii="ＭＳ 明朝" w:hAnsi="ＭＳ 明朝"/>
          <w:szCs w:val="21"/>
        </w:rPr>
      </w:pPr>
      <w:r w:rsidRPr="00E0548A">
        <w:rPr>
          <w:rFonts w:ascii="ＭＳ 明朝" w:hAnsi="ＭＳ 明朝" w:hint="eastAsia"/>
          <w:szCs w:val="21"/>
        </w:rPr>
        <w:t>なお、南海トラフ地震臨時情報（巨大地震警戒及び注意）発表時の主な所管施設等については、前述する＜災害発生時＞に記載する内容と同様。</w:t>
      </w:r>
    </w:p>
    <w:p w14:paraId="3CFEC6E5" w14:textId="77777777" w:rsidR="0036645A" w:rsidRPr="00E0548A" w:rsidRDefault="0036645A" w:rsidP="008B4B2B">
      <w:pPr>
        <w:rPr>
          <w:rFonts w:ascii="ＭＳ ゴシック" w:eastAsia="ＭＳ ゴシック" w:hAnsi="ＭＳ ゴシック"/>
          <w:sz w:val="22"/>
          <w:szCs w:val="22"/>
        </w:rPr>
      </w:pPr>
    </w:p>
    <w:p w14:paraId="7B92C73E" w14:textId="77777777" w:rsidR="00D93C38" w:rsidRPr="00E0548A" w:rsidRDefault="00D93C38">
      <w:pPr>
        <w:widowControl/>
        <w:jc w:val="left"/>
        <w:rPr>
          <w:rFonts w:ascii="ＭＳ ゴシック" w:eastAsia="ＭＳ ゴシック" w:hAnsi="ＭＳ ゴシック"/>
          <w:szCs w:val="21"/>
        </w:rPr>
      </w:pPr>
      <w:r w:rsidRPr="00E0548A">
        <w:rPr>
          <w:rFonts w:ascii="ＭＳ ゴシック" w:eastAsia="ＭＳ ゴシック" w:hAnsi="ＭＳ ゴシック"/>
          <w:szCs w:val="21"/>
        </w:rPr>
        <w:br w:type="page"/>
      </w:r>
    </w:p>
    <w:p w14:paraId="28E330DC" w14:textId="6280A04E" w:rsidR="008B4B2B" w:rsidRPr="00E0548A" w:rsidRDefault="008B4B2B" w:rsidP="008B4B2B">
      <w:pPr>
        <w:pStyle w:val="af4"/>
        <w:ind w:leftChars="0" w:left="0"/>
        <w:rPr>
          <w:rFonts w:ascii="ＭＳ ゴシック" w:eastAsia="ＭＳ ゴシック" w:hAnsi="ＭＳ ゴシック"/>
          <w:szCs w:val="21"/>
        </w:rPr>
      </w:pPr>
      <w:r w:rsidRPr="00E0548A">
        <w:rPr>
          <w:rFonts w:ascii="ＭＳ ゴシック" w:eastAsia="ＭＳ ゴシック" w:hAnsi="ＭＳ ゴシック" w:hint="eastAsia"/>
          <w:szCs w:val="21"/>
        </w:rPr>
        <w:lastRenderedPageBreak/>
        <w:t>⑥府民文化部</w:t>
      </w:r>
    </w:p>
    <w:p w14:paraId="135BBA02" w14:textId="77777777" w:rsidR="002C01FF" w:rsidRPr="00E0548A" w:rsidRDefault="002C01FF" w:rsidP="002C01FF">
      <w:pPr>
        <w:pStyle w:val="af4"/>
        <w:ind w:leftChars="0" w:left="0"/>
        <w:rPr>
          <w:rFonts w:ascii="ＭＳ ゴシック" w:eastAsia="ＭＳ ゴシック" w:hAnsi="ＭＳ ゴシック"/>
          <w:szCs w:val="21"/>
        </w:rPr>
      </w:pPr>
      <w:r w:rsidRPr="00E0548A">
        <w:rPr>
          <w:rFonts w:ascii="ＭＳ ゴシック" w:eastAsia="ＭＳ ゴシック" w:hAnsi="ＭＳ ゴシック" w:hint="eastAsia"/>
          <w:szCs w:val="21"/>
        </w:rPr>
        <w:t>＜災害発生時＞</w:t>
      </w:r>
    </w:p>
    <w:tbl>
      <w:tblPr>
        <w:tblpPr w:leftFromText="142" w:rightFromText="142" w:vertAnchor="text" w:tblpXSpec="center" w:tblpY="1"/>
        <w:tblOverlap w:val="neve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26"/>
        <w:gridCol w:w="7176"/>
      </w:tblGrid>
      <w:tr w:rsidR="00E0548A" w:rsidRPr="00E0548A" w14:paraId="7973DA6B" w14:textId="77777777" w:rsidTr="008B4B2B">
        <w:trPr>
          <w:jc w:val="center"/>
        </w:trPr>
        <w:tc>
          <w:tcPr>
            <w:tcW w:w="1526" w:type="dxa"/>
            <w:shd w:val="clear" w:color="auto" w:fill="BFBFBF"/>
          </w:tcPr>
          <w:p w14:paraId="2ED62A29" w14:textId="77777777" w:rsidR="008B4B2B" w:rsidRPr="00E0548A" w:rsidRDefault="008B4B2B" w:rsidP="008B4B2B">
            <w:pPr>
              <w:jc w:val="center"/>
              <w:rPr>
                <w:rFonts w:ascii="ＭＳ 明朝" w:hAnsi="ＭＳ 明朝"/>
                <w:szCs w:val="21"/>
              </w:rPr>
            </w:pPr>
            <w:r w:rsidRPr="00E0548A">
              <w:rPr>
                <w:rFonts w:ascii="ＭＳ 明朝" w:hAnsi="ＭＳ 明朝" w:hint="eastAsia"/>
                <w:szCs w:val="21"/>
              </w:rPr>
              <w:t>フェーズ</w:t>
            </w:r>
          </w:p>
        </w:tc>
        <w:tc>
          <w:tcPr>
            <w:tcW w:w="7176" w:type="dxa"/>
            <w:shd w:val="clear" w:color="auto" w:fill="BFBFBF"/>
          </w:tcPr>
          <w:p w14:paraId="691C303F" w14:textId="77777777" w:rsidR="008B4B2B" w:rsidRPr="00E0548A" w:rsidRDefault="008B4B2B" w:rsidP="008B4B2B">
            <w:pPr>
              <w:jc w:val="center"/>
              <w:rPr>
                <w:rFonts w:ascii="ＭＳ 明朝" w:hAnsi="ＭＳ 明朝"/>
                <w:szCs w:val="21"/>
              </w:rPr>
            </w:pPr>
            <w:r w:rsidRPr="00E0548A">
              <w:rPr>
                <w:rFonts w:ascii="ＭＳ 明朝" w:hAnsi="ＭＳ 明朝" w:hint="eastAsia"/>
                <w:szCs w:val="21"/>
              </w:rPr>
              <w:t>主な応急対策業務</w:t>
            </w:r>
          </w:p>
        </w:tc>
      </w:tr>
      <w:tr w:rsidR="00E0548A" w:rsidRPr="00E0548A" w14:paraId="2092D159" w14:textId="77777777" w:rsidTr="008B4B2B">
        <w:trPr>
          <w:jc w:val="center"/>
        </w:trPr>
        <w:tc>
          <w:tcPr>
            <w:tcW w:w="1526" w:type="dxa"/>
          </w:tcPr>
          <w:p w14:paraId="6C8F2C89" w14:textId="77777777" w:rsidR="008B4B2B" w:rsidRPr="00E0548A" w:rsidRDefault="008B4B2B" w:rsidP="008B4B2B">
            <w:pPr>
              <w:rPr>
                <w:rFonts w:ascii="ＭＳ 明朝" w:hAnsi="ＭＳ 明朝"/>
                <w:szCs w:val="21"/>
              </w:rPr>
            </w:pPr>
            <w:r w:rsidRPr="00E0548A">
              <w:rPr>
                <w:rFonts w:ascii="ＭＳ 明朝" w:hAnsi="ＭＳ 明朝" w:hint="eastAsia"/>
                <w:szCs w:val="21"/>
              </w:rPr>
              <w:t>第1フェーズ</w:t>
            </w:r>
          </w:p>
          <w:p w14:paraId="4BAC72BD" w14:textId="77777777" w:rsidR="008B4B2B" w:rsidRPr="00E0548A" w:rsidRDefault="008B4B2B" w:rsidP="008B4B2B">
            <w:pPr>
              <w:rPr>
                <w:rFonts w:ascii="ＭＳ 明朝" w:hAnsi="ＭＳ 明朝"/>
                <w:szCs w:val="21"/>
              </w:rPr>
            </w:pPr>
            <w:r w:rsidRPr="00E0548A">
              <w:rPr>
                <w:rFonts w:ascii="ＭＳ 明朝" w:hAnsi="ＭＳ 明朝" w:hint="eastAsia"/>
                <w:szCs w:val="21"/>
              </w:rPr>
              <w:t>(3時間まで)</w:t>
            </w:r>
          </w:p>
          <w:p w14:paraId="31BA96F3" w14:textId="77777777" w:rsidR="008B4B2B" w:rsidRPr="00E0548A" w:rsidRDefault="008B4B2B" w:rsidP="008B4B2B">
            <w:pPr>
              <w:rPr>
                <w:rFonts w:ascii="ＭＳ 明朝" w:hAnsi="ＭＳ 明朝"/>
                <w:szCs w:val="21"/>
              </w:rPr>
            </w:pPr>
          </w:p>
        </w:tc>
        <w:tc>
          <w:tcPr>
            <w:tcW w:w="7176" w:type="dxa"/>
          </w:tcPr>
          <w:p w14:paraId="5E3DBD65" w14:textId="77777777" w:rsidR="008B4B2B" w:rsidRPr="00E0548A" w:rsidRDefault="008B4B2B" w:rsidP="008B4B2B">
            <w:pPr>
              <w:rPr>
                <w:rFonts w:ascii="ＭＳ 明朝" w:hAnsi="ＭＳ 明朝"/>
                <w:szCs w:val="21"/>
              </w:rPr>
            </w:pPr>
            <w:r w:rsidRPr="00E0548A">
              <w:rPr>
                <w:rFonts w:ascii="ＭＳ 明朝" w:hAnsi="ＭＳ 明朝" w:hint="eastAsia"/>
                <w:szCs w:val="21"/>
              </w:rPr>
              <w:t>○初動対応、体制の確立</w:t>
            </w:r>
          </w:p>
          <w:p w14:paraId="0197B2B9" w14:textId="77777777" w:rsidR="008B4B2B" w:rsidRPr="00E0548A" w:rsidRDefault="008B4B2B" w:rsidP="008B4B2B">
            <w:pPr>
              <w:rPr>
                <w:rFonts w:ascii="ＭＳ 明朝" w:hAnsi="ＭＳ 明朝"/>
                <w:szCs w:val="21"/>
              </w:rPr>
            </w:pPr>
            <w:r w:rsidRPr="00E0548A">
              <w:rPr>
                <w:rFonts w:ascii="ＭＳ 明朝" w:hAnsi="ＭＳ 明朝" w:hint="eastAsia"/>
                <w:szCs w:val="21"/>
              </w:rPr>
              <w:t>○所管施設（パスポートセンターなど）の利用者の安全確認【各所管所属】</w:t>
            </w:r>
          </w:p>
          <w:p w14:paraId="33B00D51" w14:textId="77777777" w:rsidR="008B4B2B" w:rsidRPr="00E0548A" w:rsidRDefault="008B4B2B" w:rsidP="008B4B2B">
            <w:pPr>
              <w:rPr>
                <w:rFonts w:ascii="ＭＳ 明朝" w:hAnsi="ＭＳ 明朝"/>
                <w:szCs w:val="21"/>
              </w:rPr>
            </w:pPr>
            <w:r w:rsidRPr="00E0548A">
              <w:rPr>
                <w:rFonts w:ascii="ＭＳ 明朝" w:hAnsi="ＭＳ 明朝" w:hint="eastAsia"/>
                <w:szCs w:val="21"/>
              </w:rPr>
              <w:t>○部内職員の安否確認と参集状況の把握、報告【府文総務】</w:t>
            </w:r>
          </w:p>
          <w:p w14:paraId="03FBB96B" w14:textId="77777777" w:rsidR="008B4B2B" w:rsidRPr="00E0548A" w:rsidRDefault="008B4B2B" w:rsidP="008B4B2B">
            <w:pPr>
              <w:rPr>
                <w:rFonts w:ascii="ＭＳ 明朝" w:hAnsi="ＭＳ 明朝"/>
                <w:szCs w:val="21"/>
              </w:rPr>
            </w:pPr>
            <w:r w:rsidRPr="00E0548A">
              <w:rPr>
                <w:rFonts w:ascii="ＭＳ 明朝" w:hAnsi="ＭＳ 明朝" w:hint="eastAsia"/>
                <w:szCs w:val="21"/>
              </w:rPr>
              <w:t>○部内及び関係機関からの情報収集及び連絡調整【府文総務】</w:t>
            </w:r>
          </w:p>
          <w:p w14:paraId="6B04E671" w14:textId="77777777" w:rsidR="008B4B2B" w:rsidRPr="00E0548A" w:rsidRDefault="008B4B2B" w:rsidP="008B4B2B">
            <w:pPr>
              <w:rPr>
                <w:rFonts w:ascii="ＭＳ 明朝" w:hAnsi="ＭＳ 明朝"/>
                <w:szCs w:val="21"/>
              </w:rPr>
            </w:pPr>
            <w:r w:rsidRPr="00E0548A">
              <w:rPr>
                <w:rFonts w:ascii="ＭＳ 明朝" w:hAnsi="ＭＳ 明朝" w:hint="eastAsia"/>
                <w:szCs w:val="21"/>
              </w:rPr>
              <w:t>○</w:t>
            </w:r>
            <w:r w:rsidRPr="00E0548A">
              <w:rPr>
                <w:rFonts w:ascii="ＭＳ 明朝" w:hAnsi="ＭＳ 明朝" w:cs="Meiryo UI" w:hint="eastAsia"/>
                <w:snapToGrid w:val="0"/>
                <w:kern w:val="0"/>
                <w:szCs w:val="21"/>
              </w:rPr>
              <w:t>災害対策本部と連携した</w:t>
            </w:r>
            <w:r w:rsidR="006C04DB" w:rsidRPr="00E0548A">
              <w:rPr>
                <w:rFonts w:ascii="ＭＳ 明朝" w:hAnsi="ＭＳ 明朝" w:hint="eastAsia"/>
                <w:szCs w:val="21"/>
              </w:rPr>
              <w:t>府ＨＰなどを使った広報開始【広報広聴</w:t>
            </w:r>
            <w:r w:rsidRPr="00E0548A">
              <w:rPr>
                <w:rFonts w:ascii="ＭＳ 明朝" w:hAnsi="ＭＳ 明朝" w:hint="eastAsia"/>
                <w:szCs w:val="21"/>
              </w:rPr>
              <w:t>】</w:t>
            </w:r>
          </w:p>
          <w:p w14:paraId="360977D2" w14:textId="0534879A" w:rsidR="008B4B2B" w:rsidRPr="00E0548A" w:rsidRDefault="008B4B2B" w:rsidP="008B4B2B">
            <w:pPr>
              <w:spacing w:line="320" w:lineRule="exact"/>
              <w:rPr>
                <w:rFonts w:ascii="ＭＳ 明朝" w:hAnsi="ＭＳ 明朝" w:cs="Meiryo UI"/>
                <w:snapToGrid w:val="0"/>
                <w:kern w:val="0"/>
                <w:szCs w:val="21"/>
              </w:rPr>
            </w:pPr>
            <w:r w:rsidRPr="00E0548A">
              <w:rPr>
                <w:rFonts w:ascii="ＭＳ 明朝" w:hAnsi="ＭＳ 明朝" w:cs="Meiryo UI" w:hint="eastAsia"/>
                <w:snapToGrid w:val="0"/>
                <w:kern w:val="0"/>
                <w:szCs w:val="21"/>
              </w:rPr>
              <w:t>○大阪観光局の災害対策に係る連絡調整 【企画観光】</w:t>
            </w:r>
          </w:p>
          <w:p w14:paraId="0BC84029" w14:textId="79B8B859" w:rsidR="005321CA" w:rsidRPr="00E0548A" w:rsidRDefault="005321CA" w:rsidP="005321CA">
            <w:pPr>
              <w:spacing w:line="320" w:lineRule="exact"/>
              <w:rPr>
                <w:rFonts w:ascii="ＭＳ 明朝" w:hAnsi="ＭＳ 明朝" w:cs="Meiryo UI"/>
                <w:snapToGrid w:val="0"/>
                <w:kern w:val="0"/>
                <w:szCs w:val="21"/>
              </w:rPr>
            </w:pPr>
            <w:r w:rsidRPr="00E0548A">
              <w:rPr>
                <w:rFonts w:ascii="ＭＳ 明朝" w:hAnsi="ＭＳ 明朝" w:cs="Meiryo UI" w:hint="eastAsia"/>
                <w:snapToGrid w:val="0"/>
                <w:kern w:val="0"/>
                <w:szCs w:val="21"/>
              </w:rPr>
              <w:t>○来阪中の</w:t>
            </w:r>
            <w:proofErr w:type="gramStart"/>
            <w:r w:rsidR="00AE2F19" w:rsidRPr="00E0548A">
              <w:rPr>
                <w:rFonts w:ascii="ＭＳ 明朝" w:hAnsi="ＭＳ 明朝" w:cs="Meiryo UI" w:hint="eastAsia"/>
                <w:snapToGrid w:val="0"/>
                <w:kern w:val="0"/>
                <w:szCs w:val="21"/>
              </w:rPr>
              <w:t>招へい</w:t>
            </w:r>
            <w:proofErr w:type="gramEnd"/>
            <w:r w:rsidRPr="00E0548A">
              <w:rPr>
                <w:rFonts w:ascii="ＭＳ 明朝" w:hAnsi="ＭＳ 明朝" w:cs="Meiryo UI" w:hint="eastAsia"/>
                <w:snapToGrid w:val="0"/>
                <w:kern w:val="0"/>
                <w:szCs w:val="21"/>
              </w:rPr>
              <w:t>外国要人の災害対策に係る連絡調整 【国際】</w:t>
            </w:r>
          </w:p>
          <w:p w14:paraId="3E852E76" w14:textId="7B3079E1" w:rsidR="00AE2F19" w:rsidRPr="00E0548A" w:rsidRDefault="00AE2F19" w:rsidP="00E0548A">
            <w:pPr>
              <w:spacing w:line="320" w:lineRule="exact"/>
              <w:ind w:left="211" w:hangingChars="100" w:hanging="211"/>
              <w:rPr>
                <w:rFonts w:ascii="ＭＳ 明朝" w:hAnsi="ＭＳ 明朝" w:cs="Meiryo UI"/>
                <w:snapToGrid w:val="0"/>
                <w:kern w:val="0"/>
                <w:szCs w:val="21"/>
              </w:rPr>
            </w:pPr>
            <w:r w:rsidRPr="00E0548A">
              <w:rPr>
                <w:rFonts w:ascii="ＭＳ 明朝" w:hAnsi="ＭＳ 明朝" w:cs="Meiryo UI" w:hint="eastAsia"/>
                <w:snapToGrid w:val="0"/>
                <w:kern w:val="0"/>
                <w:szCs w:val="21"/>
              </w:rPr>
              <w:t>○外国人が必要とする情報の把握・共有および外国人に対する行政情報の提供</w:t>
            </w:r>
            <w:r w:rsidRPr="00E0548A">
              <w:rPr>
                <w:rFonts w:ascii="ＭＳ 明朝" w:hAnsi="ＭＳ 明朝" w:cs="Meiryo UI"/>
                <w:snapToGrid w:val="0"/>
                <w:kern w:val="0"/>
                <w:szCs w:val="21"/>
              </w:rPr>
              <w:t xml:space="preserve"> </w:t>
            </w:r>
            <w:r w:rsidRPr="00E0548A">
              <w:rPr>
                <w:rFonts w:ascii="ＭＳ 明朝" w:hAnsi="ＭＳ 明朝" w:cs="Meiryo UI" w:hint="eastAsia"/>
                <w:snapToGrid w:val="0"/>
                <w:kern w:val="0"/>
                <w:szCs w:val="21"/>
              </w:rPr>
              <w:t>【国際】</w:t>
            </w:r>
          </w:p>
          <w:p w14:paraId="1C5221F7" w14:textId="77777777" w:rsidR="005321CA" w:rsidRPr="00E0548A" w:rsidRDefault="005321CA" w:rsidP="005321CA">
            <w:pPr>
              <w:spacing w:line="320" w:lineRule="exact"/>
              <w:rPr>
                <w:rFonts w:ascii="ＭＳ 明朝" w:hAnsi="ＭＳ 明朝" w:cs="Meiryo UI"/>
                <w:snapToGrid w:val="0"/>
                <w:kern w:val="0"/>
                <w:szCs w:val="21"/>
              </w:rPr>
            </w:pPr>
            <w:r w:rsidRPr="00E0548A">
              <w:rPr>
                <w:rFonts w:ascii="ＭＳ 明朝" w:hAnsi="ＭＳ 明朝" w:cs="Meiryo UI" w:hint="eastAsia"/>
                <w:snapToGrid w:val="0"/>
                <w:kern w:val="0"/>
                <w:szCs w:val="21"/>
              </w:rPr>
              <w:t>○海外出張者一行への連絡 【各所属】</w:t>
            </w:r>
          </w:p>
          <w:p w14:paraId="0D175E02" w14:textId="6E95BE75" w:rsidR="008B4B2B" w:rsidRPr="00E0548A" w:rsidRDefault="008B4B2B" w:rsidP="008B4B2B">
            <w:pPr>
              <w:tabs>
                <w:tab w:val="left" w:pos="5340"/>
              </w:tabs>
              <w:spacing w:line="320" w:lineRule="exact"/>
              <w:rPr>
                <w:rFonts w:ascii="ＭＳ 明朝" w:hAnsi="ＭＳ 明朝" w:cs="Meiryo UI"/>
                <w:snapToGrid w:val="0"/>
                <w:kern w:val="0"/>
                <w:szCs w:val="21"/>
              </w:rPr>
            </w:pPr>
            <w:r w:rsidRPr="00E0548A">
              <w:rPr>
                <w:rFonts w:ascii="ＭＳ 明朝" w:hAnsi="ＭＳ 明朝" w:cs="Meiryo UI" w:hint="eastAsia"/>
                <w:snapToGrid w:val="0"/>
                <w:kern w:val="0"/>
                <w:szCs w:val="21"/>
              </w:rPr>
              <w:t xml:space="preserve">○災害対策本部へのリエゾン派遣 </w:t>
            </w:r>
            <w:r w:rsidR="006C04DB" w:rsidRPr="00E0548A">
              <w:rPr>
                <w:rFonts w:ascii="ＭＳ 明朝" w:hAnsi="ＭＳ 明朝" w:cs="Meiryo UI" w:hint="eastAsia"/>
                <w:snapToGrid w:val="0"/>
                <w:kern w:val="0"/>
                <w:szCs w:val="21"/>
              </w:rPr>
              <w:t>【広報広聴</w:t>
            </w:r>
            <w:r w:rsidRPr="00E0548A">
              <w:rPr>
                <w:rFonts w:ascii="ＭＳ 明朝" w:hAnsi="ＭＳ 明朝" w:cs="Meiryo UI" w:hint="eastAsia"/>
                <w:snapToGrid w:val="0"/>
                <w:kern w:val="0"/>
                <w:szCs w:val="21"/>
              </w:rPr>
              <w:t>・国際】</w:t>
            </w:r>
            <w:r w:rsidRPr="00E0548A">
              <w:rPr>
                <w:rFonts w:ascii="ＭＳ 明朝" w:hAnsi="ＭＳ 明朝" w:cs="Meiryo UI"/>
                <w:snapToGrid w:val="0"/>
                <w:kern w:val="0"/>
                <w:szCs w:val="21"/>
              </w:rPr>
              <w:tab/>
            </w:r>
          </w:p>
          <w:p w14:paraId="547E31D1" w14:textId="01B87F0D" w:rsidR="008B4B2B" w:rsidRPr="00E0548A" w:rsidRDefault="008B4B2B" w:rsidP="008B4B2B">
            <w:pPr>
              <w:spacing w:line="320" w:lineRule="exact"/>
              <w:ind w:left="211" w:hangingChars="100" w:hanging="211"/>
              <w:rPr>
                <w:rFonts w:ascii="ＭＳ 明朝" w:hAnsi="ＭＳ 明朝" w:cs="Meiryo UI"/>
                <w:snapToGrid w:val="0"/>
                <w:kern w:val="0"/>
                <w:szCs w:val="21"/>
              </w:rPr>
            </w:pPr>
            <w:r w:rsidRPr="00E0548A">
              <w:rPr>
                <w:rFonts w:ascii="ＭＳ 明朝" w:hAnsi="ＭＳ 明朝" w:cs="Meiryo UI" w:hint="eastAsia"/>
                <w:snapToGrid w:val="0"/>
                <w:kern w:val="0"/>
                <w:szCs w:val="21"/>
              </w:rPr>
              <w:t>○大阪府国際交流財団と連携した多言語支援センター設置、外国人支援に関する調整 【国際】</w:t>
            </w:r>
          </w:p>
          <w:p w14:paraId="0849F685" w14:textId="1DEEC29B" w:rsidR="008B4B2B" w:rsidRPr="00E0548A" w:rsidRDefault="008B4B2B" w:rsidP="008B4B2B">
            <w:pPr>
              <w:ind w:left="211" w:hangingChars="100" w:hanging="211"/>
              <w:rPr>
                <w:rFonts w:ascii="ＭＳ 明朝" w:hAnsi="ＭＳ 明朝" w:cs="Meiryo UI"/>
                <w:snapToGrid w:val="0"/>
                <w:kern w:val="0"/>
                <w:szCs w:val="21"/>
              </w:rPr>
            </w:pPr>
            <w:r w:rsidRPr="00E0548A">
              <w:rPr>
                <w:rFonts w:ascii="ＭＳ 明朝" w:hAnsi="ＭＳ 明朝" w:cs="Meiryo UI" w:hint="eastAsia"/>
                <w:snapToGrid w:val="0"/>
                <w:kern w:val="0"/>
                <w:szCs w:val="21"/>
              </w:rPr>
              <w:t>○北部広域</w:t>
            </w:r>
            <w:r w:rsidR="00373564" w:rsidRPr="00E0548A">
              <w:rPr>
                <w:rFonts w:ascii="ＭＳ 明朝" w:hAnsi="ＭＳ 明朝" w:cs="Meiryo UI" w:hint="eastAsia"/>
                <w:snapToGrid w:val="0"/>
                <w:kern w:val="0"/>
                <w:szCs w:val="21"/>
              </w:rPr>
              <w:t>防災</w:t>
            </w:r>
            <w:r w:rsidRPr="00E0548A">
              <w:rPr>
                <w:rFonts w:ascii="ＭＳ 明朝" w:hAnsi="ＭＳ 明朝" w:cs="Meiryo UI" w:hint="eastAsia"/>
                <w:snapToGrid w:val="0"/>
                <w:kern w:val="0"/>
                <w:szCs w:val="21"/>
              </w:rPr>
              <w:t>拠点、後方支援活動拠点使用可否状況の把握と災害対策本部への報告 【万博】</w:t>
            </w:r>
          </w:p>
          <w:p w14:paraId="18830CC2" w14:textId="77777777" w:rsidR="001255D8" w:rsidRPr="00E0548A" w:rsidRDefault="008B4B2B" w:rsidP="001255D8">
            <w:pPr>
              <w:rPr>
                <w:rFonts w:ascii="ＭＳ 明朝" w:hAnsi="ＭＳ 明朝"/>
                <w:szCs w:val="21"/>
              </w:rPr>
            </w:pPr>
            <w:r w:rsidRPr="00E0548A">
              <w:rPr>
                <w:rFonts w:ascii="ＭＳ 明朝" w:hAnsi="ＭＳ 明朝" w:hint="eastAsia"/>
                <w:szCs w:val="21"/>
              </w:rPr>
              <w:t>○職員・来庁者の救助・搬送【各所属】</w:t>
            </w:r>
          </w:p>
          <w:p w14:paraId="768D2A0B" w14:textId="77777777" w:rsidR="001255D8" w:rsidRPr="00E0548A" w:rsidRDefault="001255D8" w:rsidP="001255D8">
            <w:pPr>
              <w:ind w:left="106" w:hangingChars="50" w:hanging="106"/>
              <w:rPr>
                <w:rFonts w:ascii="ＭＳ 明朝" w:hAnsi="ＭＳ 明朝"/>
                <w:szCs w:val="21"/>
              </w:rPr>
            </w:pPr>
            <w:r w:rsidRPr="00E0548A">
              <w:rPr>
                <w:rFonts w:ascii="ＭＳ 明朝" w:hAnsi="ＭＳ 明朝" w:hint="eastAsia"/>
                <w:szCs w:val="21"/>
              </w:rPr>
              <w:t>○</w:t>
            </w:r>
            <w:r w:rsidRPr="00E0548A">
              <w:rPr>
                <w:rFonts w:hint="eastAsia"/>
              </w:rPr>
              <w:t>災害時における旅行者の受入れ等に関する協定書に基づく市町村との連絡調整【企画観光】</w:t>
            </w:r>
          </w:p>
        </w:tc>
      </w:tr>
      <w:tr w:rsidR="00E0548A" w:rsidRPr="00E0548A" w14:paraId="5D49023A" w14:textId="77777777" w:rsidTr="008B4B2B">
        <w:trPr>
          <w:jc w:val="center"/>
        </w:trPr>
        <w:tc>
          <w:tcPr>
            <w:tcW w:w="1526" w:type="dxa"/>
          </w:tcPr>
          <w:p w14:paraId="3B7605CB" w14:textId="77777777" w:rsidR="008B4B2B" w:rsidRPr="00E0548A" w:rsidRDefault="008B4B2B" w:rsidP="008B4B2B">
            <w:pPr>
              <w:rPr>
                <w:rFonts w:ascii="ＭＳ 明朝" w:hAnsi="ＭＳ 明朝"/>
                <w:szCs w:val="21"/>
              </w:rPr>
            </w:pPr>
            <w:r w:rsidRPr="00E0548A">
              <w:rPr>
                <w:rFonts w:ascii="ＭＳ 明朝" w:hAnsi="ＭＳ 明朝" w:hint="eastAsia"/>
                <w:szCs w:val="21"/>
              </w:rPr>
              <w:t>第2フェーズ</w:t>
            </w:r>
          </w:p>
          <w:p w14:paraId="39C91B02" w14:textId="77777777" w:rsidR="008B4B2B" w:rsidRPr="00E0548A" w:rsidRDefault="008B4B2B" w:rsidP="008B4B2B">
            <w:pPr>
              <w:rPr>
                <w:rFonts w:ascii="ＭＳ 明朝" w:hAnsi="ＭＳ 明朝"/>
                <w:szCs w:val="21"/>
              </w:rPr>
            </w:pPr>
            <w:r w:rsidRPr="00E0548A">
              <w:rPr>
                <w:rFonts w:ascii="ＭＳ 明朝" w:hAnsi="ＭＳ 明朝" w:hint="eastAsia"/>
                <w:szCs w:val="21"/>
              </w:rPr>
              <w:t>(24時間まで)</w:t>
            </w:r>
          </w:p>
          <w:p w14:paraId="731DE288" w14:textId="77777777" w:rsidR="008B4B2B" w:rsidRPr="00E0548A" w:rsidRDefault="008B4B2B" w:rsidP="008B4B2B">
            <w:pPr>
              <w:rPr>
                <w:rFonts w:ascii="ＭＳ 明朝" w:hAnsi="ＭＳ 明朝"/>
                <w:szCs w:val="21"/>
              </w:rPr>
            </w:pPr>
          </w:p>
        </w:tc>
        <w:tc>
          <w:tcPr>
            <w:tcW w:w="7176" w:type="dxa"/>
          </w:tcPr>
          <w:p w14:paraId="5C886E32" w14:textId="77777777" w:rsidR="008B4B2B" w:rsidRPr="00E0548A" w:rsidRDefault="008B4B2B" w:rsidP="008B4B2B">
            <w:pPr>
              <w:ind w:left="211" w:hangingChars="100" w:hanging="211"/>
              <w:rPr>
                <w:rFonts w:ascii="ＭＳ 明朝" w:hAnsi="ＭＳ 明朝"/>
                <w:szCs w:val="21"/>
              </w:rPr>
            </w:pPr>
            <w:r w:rsidRPr="00E0548A">
              <w:rPr>
                <w:rFonts w:ascii="ＭＳ 明朝" w:hAnsi="ＭＳ 明朝" w:hint="eastAsia"/>
                <w:szCs w:val="21"/>
              </w:rPr>
              <w:t>○所管施設の被害状況の把握【府文総務】、報告及び二次災害防止対策の実施【各所管所属】</w:t>
            </w:r>
          </w:p>
          <w:p w14:paraId="78F8587D" w14:textId="77777777" w:rsidR="008B4B2B" w:rsidRPr="00E0548A" w:rsidRDefault="008B4B2B" w:rsidP="008B4B2B">
            <w:pPr>
              <w:rPr>
                <w:rFonts w:ascii="ＭＳ 明朝" w:hAnsi="ＭＳ 明朝"/>
                <w:szCs w:val="21"/>
              </w:rPr>
            </w:pPr>
            <w:r w:rsidRPr="00E0548A">
              <w:rPr>
                <w:rFonts w:ascii="ＭＳ 明朝" w:hAnsi="ＭＳ 明朝" w:hint="eastAsia"/>
                <w:szCs w:val="21"/>
              </w:rPr>
              <w:t>○部内外からの要請等に関する調整 【府文総務】</w:t>
            </w:r>
          </w:p>
          <w:p w14:paraId="28A17181" w14:textId="77777777" w:rsidR="008B4B2B" w:rsidRPr="00E0548A" w:rsidRDefault="008B4B2B" w:rsidP="008B4B2B">
            <w:pPr>
              <w:rPr>
                <w:rFonts w:ascii="ＭＳ 明朝" w:hAnsi="ＭＳ 明朝"/>
                <w:szCs w:val="21"/>
              </w:rPr>
            </w:pPr>
            <w:r w:rsidRPr="00E0548A">
              <w:rPr>
                <w:rFonts w:ascii="ＭＳ 明朝" w:hAnsi="ＭＳ 明朝" w:hint="eastAsia"/>
                <w:szCs w:val="21"/>
              </w:rPr>
              <w:t>○応急生活物資の調達、安定供給及び情報収集・提供等に係る連絡調整</w:t>
            </w:r>
          </w:p>
          <w:p w14:paraId="548C25BF" w14:textId="77777777" w:rsidR="008B4B2B" w:rsidRPr="00E0548A" w:rsidRDefault="008B4B2B" w:rsidP="008B4B2B">
            <w:pPr>
              <w:ind w:firstLineChars="100" w:firstLine="211"/>
              <w:rPr>
                <w:rFonts w:ascii="ＭＳ 明朝" w:hAnsi="ＭＳ 明朝"/>
                <w:szCs w:val="21"/>
              </w:rPr>
            </w:pPr>
            <w:r w:rsidRPr="00E0548A">
              <w:rPr>
                <w:rFonts w:ascii="ＭＳ 明朝" w:hAnsi="ＭＳ 明朝" w:hint="eastAsia"/>
                <w:szCs w:val="21"/>
              </w:rPr>
              <w:t>【男女府民】</w:t>
            </w:r>
          </w:p>
          <w:p w14:paraId="1F90FFF5" w14:textId="77777777" w:rsidR="008B4B2B" w:rsidRPr="00E0548A" w:rsidRDefault="008B4B2B" w:rsidP="008B4B2B">
            <w:pPr>
              <w:rPr>
                <w:rFonts w:ascii="ＭＳ 明朝" w:hAnsi="ＭＳ 明朝"/>
                <w:szCs w:val="21"/>
              </w:rPr>
            </w:pPr>
            <w:r w:rsidRPr="00E0548A">
              <w:rPr>
                <w:rFonts w:ascii="ＭＳ 明朝" w:hAnsi="ＭＳ 明朝" w:hint="eastAsia"/>
                <w:szCs w:val="21"/>
              </w:rPr>
              <w:t>○大阪観光局の災害対策に係る連絡調整 【企画観光】</w:t>
            </w:r>
          </w:p>
          <w:p w14:paraId="18B81F3E" w14:textId="77777777" w:rsidR="008B4B2B" w:rsidRPr="00E0548A" w:rsidRDefault="008B4B2B" w:rsidP="008B4B2B">
            <w:pPr>
              <w:rPr>
                <w:rFonts w:ascii="ＭＳ 明朝" w:hAnsi="ＭＳ 明朝"/>
                <w:szCs w:val="21"/>
              </w:rPr>
            </w:pPr>
            <w:r w:rsidRPr="00E0548A">
              <w:rPr>
                <w:rFonts w:ascii="ＭＳ 明朝" w:hAnsi="ＭＳ 明朝" w:hint="eastAsia"/>
                <w:szCs w:val="21"/>
              </w:rPr>
              <w:t>○外国政府関係機関等との連絡調整【国際】</w:t>
            </w:r>
          </w:p>
          <w:p w14:paraId="6A933AB4" w14:textId="430979B4" w:rsidR="008B4B2B" w:rsidRPr="00E0548A" w:rsidRDefault="008B4B2B" w:rsidP="008B4B2B">
            <w:pPr>
              <w:ind w:left="211" w:hangingChars="100" w:hanging="211"/>
              <w:rPr>
                <w:rFonts w:ascii="ＭＳ 明朝" w:hAnsi="ＭＳ 明朝"/>
                <w:szCs w:val="21"/>
              </w:rPr>
            </w:pPr>
            <w:r w:rsidRPr="00E0548A">
              <w:rPr>
                <w:rFonts w:ascii="ＭＳ 明朝" w:hAnsi="ＭＳ 明朝" w:hint="eastAsia"/>
                <w:szCs w:val="21"/>
              </w:rPr>
              <w:t>○行政文書管理</w:t>
            </w:r>
            <w:r w:rsidR="006C04DB" w:rsidRPr="00E0548A">
              <w:rPr>
                <w:rFonts w:ascii="ＭＳ 明朝" w:hAnsi="ＭＳ 明朝" w:hint="eastAsia"/>
                <w:szCs w:val="21"/>
              </w:rPr>
              <w:t>システムの状況確認、復旧（障害対応）又は代替手段の周知【情報公開</w:t>
            </w:r>
            <w:r w:rsidRPr="00E0548A">
              <w:rPr>
                <w:rFonts w:ascii="ＭＳ 明朝" w:hAnsi="ＭＳ 明朝" w:hint="eastAsia"/>
                <w:szCs w:val="21"/>
              </w:rPr>
              <w:t>】</w:t>
            </w:r>
          </w:p>
          <w:p w14:paraId="5D8EC921" w14:textId="37F546DA" w:rsidR="00427EAB" w:rsidRPr="00E0548A" w:rsidRDefault="00427EAB" w:rsidP="008B4B2B">
            <w:pPr>
              <w:ind w:left="211" w:hangingChars="100" w:hanging="211"/>
              <w:rPr>
                <w:rFonts w:ascii="ＭＳ 明朝" w:hAnsi="ＭＳ 明朝"/>
                <w:szCs w:val="21"/>
              </w:rPr>
            </w:pPr>
            <w:r w:rsidRPr="00E0548A">
              <w:rPr>
                <w:rFonts w:ascii="ＭＳ 明朝" w:hAnsi="ＭＳ 明朝" w:hint="eastAsia"/>
                <w:szCs w:val="21"/>
              </w:rPr>
              <w:t>○外国人が必要とする情報の把握・共有および外国人に対する行政情報の提供</w:t>
            </w:r>
            <w:r w:rsidRPr="00E0548A">
              <w:rPr>
                <w:rFonts w:ascii="ＭＳ 明朝" w:hAnsi="ＭＳ 明朝"/>
                <w:szCs w:val="21"/>
              </w:rPr>
              <w:t xml:space="preserve"> </w:t>
            </w:r>
            <w:r w:rsidRPr="00E0548A">
              <w:rPr>
                <w:rFonts w:ascii="ＭＳ 明朝" w:hAnsi="ＭＳ 明朝" w:hint="eastAsia"/>
                <w:szCs w:val="21"/>
              </w:rPr>
              <w:t>【国際】</w:t>
            </w:r>
          </w:p>
          <w:p w14:paraId="2D3FF989" w14:textId="6BAC8694" w:rsidR="008B4B2B" w:rsidRPr="00E0548A" w:rsidRDefault="008B4B2B" w:rsidP="008B4B2B">
            <w:pPr>
              <w:spacing w:line="320" w:lineRule="exact"/>
              <w:rPr>
                <w:rFonts w:ascii="ＭＳ 明朝" w:hAnsi="ＭＳ 明朝" w:cs="Meiryo UI"/>
                <w:snapToGrid w:val="0"/>
                <w:kern w:val="0"/>
                <w:szCs w:val="20"/>
              </w:rPr>
            </w:pPr>
            <w:r w:rsidRPr="00E0548A">
              <w:rPr>
                <w:rFonts w:ascii="ＭＳ 明朝" w:hAnsi="ＭＳ 明朝" w:cs="Meiryo UI" w:hint="eastAsia"/>
                <w:snapToGrid w:val="0"/>
                <w:kern w:val="0"/>
                <w:szCs w:val="20"/>
              </w:rPr>
              <w:t>○通訳・翻訳業務の支援要請への対応 【国際】</w:t>
            </w:r>
          </w:p>
          <w:p w14:paraId="0A54D710" w14:textId="54B3DD8A" w:rsidR="008B4B2B" w:rsidRPr="00E0548A" w:rsidRDefault="008B4B2B" w:rsidP="008B4B2B">
            <w:pPr>
              <w:spacing w:line="320" w:lineRule="exact"/>
              <w:rPr>
                <w:rFonts w:ascii="ＭＳ 明朝" w:hAnsi="ＭＳ 明朝" w:cs="Meiryo UI"/>
                <w:snapToGrid w:val="0"/>
                <w:kern w:val="0"/>
                <w:szCs w:val="20"/>
              </w:rPr>
            </w:pPr>
            <w:r w:rsidRPr="00E0548A">
              <w:rPr>
                <w:rFonts w:ascii="ＭＳ 明朝" w:hAnsi="ＭＳ 明朝" w:cs="Meiryo UI" w:hint="eastAsia"/>
                <w:snapToGrid w:val="0"/>
                <w:kern w:val="0"/>
                <w:szCs w:val="20"/>
              </w:rPr>
              <w:t xml:space="preserve">○災害対策本部へのリエゾン派遣 </w:t>
            </w:r>
            <w:r w:rsidR="006C04DB" w:rsidRPr="00E0548A">
              <w:rPr>
                <w:rFonts w:ascii="ＭＳ 明朝" w:hAnsi="ＭＳ 明朝" w:cs="Meiryo UI" w:hint="eastAsia"/>
                <w:snapToGrid w:val="0"/>
                <w:kern w:val="0"/>
                <w:szCs w:val="20"/>
              </w:rPr>
              <w:t>【広報広聴</w:t>
            </w:r>
            <w:r w:rsidRPr="00E0548A">
              <w:rPr>
                <w:rFonts w:ascii="ＭＳ 明朝" w:hAnsi="ＭＳ 明朝" w:cs="Meiryo UI" w:hint="eastAsia"/>
                <w:snapToGrid w:val="0"/>
                <w:kern w:val="0"/>
                <w:szCs w:val="20"/>
              </w:rPr>
              <w:t>・国際】</w:t>
            </w:r>
          </w:p>
          <w:p w14:paraId="73CB2F91" w14:textId="1346E80E" w:rsidR="008B4B2B" w:rsidRPr="00E0548A" w:rsidRDefault="008B4B2B" w:rsidP="008B4B2B">
            <w:pPr>
              <w:spacing w:line="320" w:lineRule="exact"/>
              <w:ind w:left="211" w:hangingChars="100" w:hanging="211"/>
              <w:rPr>
                <w:rFonts w:ascii="ＭＳ 明朝" w:hAnsi="ＭＳ 明朝" w:cs="Meiryo UI"/>
                <w:snapToGrid w:val="0"/>
                <w:kern w:val="0"/>
                <w:szCs w:val="20"/>
              </w:rPr>
            </w:pPr>
            <w:r w:rsidRPr="00E0548A">
              <w:rPr>
                <w:rFonts w:ascii="ＭＳ 明朝" w:hAnsi="ＭＳ 明朝" w:cs="Meiryo UI" w:hint="eastAsia"/>
                <w:snapToGrid w:val="0"/>
                <w:kern w:val="0"/>
                <w:szCs w:val="20"/>
              </w:rPr>
              <w:t>○大阪府国際交流財団と連携した多言語支援センター設置、外国人支援に関する調整 【国際】</w:t>
            </w:r>
          </w:p>
          <w:p w14:paraId="54ECB4B4" w14:textId="22410A4C" w:rsidR="008B4B2B" w:rsidRPr="00E0548A" w:rsidRDefault="008B4B2B" w:rsidP="008B4B2B">
            <w:pPr>
              <w:spacing w:line="320" w:lineRule="exact"/>
              <w:rPr>
                <w:rFonts w:ascii="ＭＳ 明朝" w:hAnsi="ＭＳ 明朝" w:cs="Meiryo UI"/>
                <w:snapToGrid w:val="0"/>
                <w:kern w:val="0"/>
                <w:szCs w:val="20"/>
              </w:rPr>
            </w:pPr>
            <w:r w:rsidRPr="00E0548A">
              <w:rPr>
                <w:rFonts w:ascii="ＭＳ 明朝" w:hAnsi="ＭＳ 明朝" w:cs="Meiryo UI" w:hint="eastAsia"/>
                <w:snapToGrid w:val="0"/>
                <w:kern w:val="0"/>
                <w:szCs w:val="20"/>
              </w:rPr>
              <w:t>○消費者庁及び国民生活センター等との連絡調整 【消費】</w:t>
            </w:r>
          </w:p>
          <w:p w14:paraId="17DD2DF1" w14:textId="3434DBB4" w:rsidR="008B4B2B" w:rsidRPr="00E0548A" w:rsidRDefault="008B4B2B" w:rsidP="008B4B2B">
            <w:pPr>
              <w:spacing w:line="320" w:lineRule="exact"/>
              <w:rPr>
                <w:rFonts w:ascii="ＭＳ 明朝" w:hAnsi="ＭＳ 明朝" w:cs="Meiryo UI"/>
                <w:snapToGrid w:val="0"/>
                <w:kern w:val="0"/>
                <w:szCs w:val="20"/>
              </w:rPr>
            </w:pPr>
            <w:r w:rsidRPr="00E0548A">
              <w:rPr>
                <w:rFonts w:ascii="ＭＳ 明朝" w:hAnsi="ＭＳ 明朝" w:cs="Meiryo UI" w:hint="eastAsia"/>
                <w:snapToGrid w:val="0"/>
                <w:kern w:val="0"/>
                <w:szCs w:val="20"/>
              </w:rPr>
              <w:t>○災害に便乗した悪質商法に対する注意喚起の情報提供 【消費】</w:t>
            </w:r>
          </w:p>
          <w:p w14:paraId="1B383425" w14:textId="6ADD56EA" w:rsidR="008B4B2B" w:rsidRPr="00E0548A" w:rsidRDefault="008B4B2B" w:rsidP="008B4B2B">
            <w:pPr>
              <w:spacing w:line="320" w:lineRule="exact"/>
              <w:rPr>
                <w:rFonts w:ascii="ＭＳ 明朝" w:hAnsi="ＭＳ 明朝" w:cs="Meiryo UI"/>
                <w:snapToGrid w:val="0"/>
                <w:kern w:val="0"/>
                <w:szCs w:val="20"/>
              </w:rPr>
            </w:pPr>
            <w:r w:rsidRPr="00E0548A">
              <w:rPr>
                <w:rFonts w:ascii="ＭＳ 明朝" w:hAnsi="ＭＳ 明朝" w:cs="Meiryo UI" w:hint="eastAsia"/>
                <w:snapToGrid w:val="0"/>
                <w:kern w:val="0"/>
                <w:szCs w:val="20"/>
              </w:rPr>
              <w:t>○避難所開設情報の掲示や園内放送等による避難者への連絡 【万博】</w:t>
            </w:r>
          </w:p>
          <w:p w14:paraId="56352EC1" w14:textId="485C36A2" w:rsidR="008B4B2B" w:rsidRPr="00E0548A" w:rsidRDefault="008B4B2B" w:rsidP="008B4B2B">
            <w:pPr>
              <w:spacing w:line="320" w:lineRule="exact"/>
              <w:ind w:left="211" w:hangingChars="100" w:hanging="211"/>
              <w:rPr>
                <w:rFonts w:ascii="ＭＳ 明朝" w:hAnsi="ＭＳ 明朝" w:cs="Meiryo UI"/>
                <w:snapToGrid w:val="0"/>
                <w:kern w:val="0"/>
                <w:szCs w:val="20"/>
              </w:rPr>
            </w:pPr>
            <w:r w:rsidRPr="00E0548A">
              <w:rPr>
                <w:rFonts w:ascii="ＭＳ 明朝" w:hAnsi="ＭＳ 明朝" w:cs="Meiryo UI" w:hint="eastAsia"/>
                <w:snapToGrid w:val="0"/>
                <w:kern w:val="0"/>
                <w:szCs w:val="20"/>
              </w:rPr>
              <w:lastRenderedPageBreak/>
              <w:t>○広域避難場所の安全確保、後方支援活動拠点の受入れ開始及び北部広域防災拠点の支援 【万博】</w:t>
            </w:r>
          </w:p>
          <w:p w14:paraId="514F8E9C" w14:textId="14A8C6C9" w:rsidR="008B4B2B" w:rsidRPr="00E0548A" w:rsidRDefault="008B4B2B" w:rsidP="008B4B2B">
            <w:pPr>
              <w:rPr>
                <w:rFonts w:ascii="ＭＳ 明朝" w:hAnsi="ＭＳ 明朝" w:cs="Meiryo UI"/>
                <w:snapToGrid w:val="0"/>
                <w:kern w:val="0"/>
                <w:szCs w:val="20"/>
              </w:rPr>
            </w:pPr>
            <w:r w:rsidRPr="00E0548A">
              <w:rPr>
                <w:rFonts w:ascii="ＭＳ 明朝" w:hAnsi="ＭＳ 明朝" w:cs="Meiryo UI" w:hint="eastAsia"/>
                <w:snapToGrid w:val="0"/>
                <w:kern w:val="0"/>
                <w:szCs w:val="20"/>
              </w:rPr>
              <w:t>○外務省等との連絡調整 【パス】</w:t>
            </w:r>
          </w:p>
          <w:p w14:paraId="741ED11C" w14:textId="77777777" w:rsidR="008B4B2B" w:rsidRPr="00E0548A" w:rsidRDefault="001255D8" w:rsidP="0036645A">
            <w:pPr>
              <w:ind w:left="211" w:hangingChars="100" w:hanging="211"/>
              <w:rPr>
                <w:rFonts w:ascii="ＭＳ 明朝" w:hAnsi="ＭＳ 明朝" w:cs="Meiryo UI"/>
                <w:snapToGrid w:val="0"/>
                <w:spacing w:val="-14"/>
                <w:kern w:val="0"/>
                <w:szCs w:val="20"/>
              </w:rPr>
            </w:pPr>
            <w:r w:rsidRPr="00E0548A">
              <w:rPr>
                <w:rFonts w:ascii="ＭＳ 明朝" w:hAnsi="ＭＳ 明朝" w:hint="eastAsia"/>
                <w:szCs w:val="21"/>
              </w:rPr>
              <w:t>○</w:t>
            </w:r>
            <w:r w:rsidRPr="00E0548A">
              <w:rPr>
                <w:rFonts w:hint="eastAsia"/>
              </w:rPr>
              <w:t>災害時における旅行者の受入れ等に関する協定書に基づく市町村との連絡調整【企画観光】</w:t>
            </w:r>
          </w:p>
        </w:tc>
      </w:tr>
      <w:tr w:rsidR="00E0548A" w:rsidRPr="00E0548A" w14:paraId="18AE2C2C" w14:textId="77777777" w:rsidTr="008B4B2B">
        <w:trPr>
          <w:jc w:val="center"/>
        </w:trPr>
        <w:tc>
          <w:tcPr>
            <w:tcW w:w="1526" w:type="dxa"/>
          </w:tcPr>
          <w:p w14:paraId="54E74A01" w14:textId="77777777" w:rsidR="008B4B2B" w:rsidRPr="00E0548A" w:rsidRDefault="008B4B2B" w:rsidP="008B4B2B">
            <w:pPr>
              <w:rPr>
                <w:rFonts w:ascii="ＭＳ 明朝" w:hAnsi="ＭＳ 明朝"/>
                <w:szCs w:val="21"/>
              </w:rPr>
            </w:pPr>
            <w:r w:rsidRPr="00E0548A">
              <w:rPr>
                <w:rFonts w:ascii="ＭＳ 明朝" w:hAnsi="ＭＳ 明朝" w:hint="eastAsia"/>
                <w:szCs w:val="21"/>
              </w:rPr>
              <w:lastRenderedPageBreak/>
              <w:t>第3フェーズ</w:t>
            </w:r>
          </w:p>
          <w:p w14:paraId="480EE786" w14:textId="77777777" w:rsidR="008B4B2B" w:rsidRPr="00E0548A" w:rsidRDefault="008B4B2B" w:rsidP="008B4B2B">
            <w:pPr>
              <w:rPr>
                <w:rFonts w:ascii="ＭＳ 明朝" w:hAnsi="ＭＳ 明朝"/>
                <w:szCs w:val="21"/>
              </w:rPr>
            </w:pPr>
            <w:r w:rsidRPr="00E0548A">
              <w:rPr>
                <w:rFonts w:ascii="ＭＳ 明朝" w:hAnsi="ＭＳ 明朝" w:hint="eastAsia"/>
                <w:szCs w:val="21"/>
              </w:rPr>
              <w:t>(72時間まで)</w:t>
            </w:r>
          </w:p>
        </w:tc>
        <w:tc>
          <w:tcPr>
            <w:tcW w:w="7176" w:type="dxa"/>
          </w:tcPr>
          <w:p w14:paraId="7ED4CD60" w14:textId="77777777" w:rsidR="008B4B2B" w:rsidRPr="00E0548A" w:rsidRDefault="008B4B2B" w:rsidP="008B4B2B">
            <w:pPr>
              <w:spacing w:line="320" w:lineRule="exact"/>
              <w:rPr>
                <w:rFonts w:ascii="ＭＳ 明朝" w:hAnsi="ＭＳ 明朝" w:cs="Meiryo UI"/>
                <w:snapToGrid w:val="0"/>
                <w:kern w:val="0"/>
                <w:szCs w:val="20"/>
              </w:rPr>
            </w:pPr>
            <w:r w:rsidRPr="00E0548A">
              <w:rPr>
                <w:rFonts w:ascii="ＭＳ 明朝" w:hAnsi="ＭＳ 明朝" w:cs="Meiryo UI" w:hint="eastAsia"/>
                <w:snapToGrid w:val="0"/>
                <w:kern w:val="0"/>
                <w:szCs w:val="20"/>
              </w:rPr>
              <w:t>○部内外からの要請等に関する調整 【府文総務】</w:t>
            </w:r>
          </w:p>
          <w:p w14:paraId="44D7E9F0" w14:textId="77777777" w:rsidR="008B4B2B" w:rsidRPr="00E0548A" w:rsidRDefault="008B4B2B" w:rsidP="008B4B2B">
            <w:pPr>
              <w:spacing w:line="320" w:lineRule="exact"/>
              <w:rPr>
                <w:rFonts w:ascii="ＭＳ 明朝" w:hAnsi="ＭＳ 明朝" w:cs="Meiryo UI"/>
                <w:snapToGrid w:val="0"/>
                <w:kern w:val="0"/>
                <w:szCs w:val="20"/>
              </w:rPr>
            </w:pPr>
            <w:r w:rsidRPr="00E0548A">
              <w:rPr>
                <w:rFonts w:ascii="ＭＳ 明朝" w:hAnsi="ＭＳ 明朝" w:cs="Meiryo UI" w:hint="eastAsia"/>
                <w:snapToGrid w:val="0"/>
                <w:kern w:val="0"/>
                <w:szCs w:val="20"/>
              </w:rPr>
              <w:t>○大阪観光局の災害対策に係る連絡調整 【企画観光】</w:t>
            </w:r>
          </w:p>
          <w:p w14:paraId="2A368504" w14:textId="0D878694" w:rsidR="008B4B2B" w:rsidRPr="00E0548A" w:rsidRDefault="008B4B2B" w:rsidP="008B4B2B">
            <w:pPr>
              <w:spacing w:line="320" w:lineRule="exact"/>
              <w:rPr>
                <w:rFonts w:ascii="ＭＳ 明朝" w:hAnsi="ＭＳ 明朝" w:cs="Meiryo UI"/>
                <w:snapToGrid w:val="0"/>
                <w:kern w:val="0"/>
                <w:szCs w:val="20"/>
              </w:rPr>
            </w:pPr>
            <w:r w:rsidRPr="00E0548A">
              <w:rPr>
                <w:rFonts w:ascii="ＭＳ 明朝" w:hAnsi="ＭＳ 明朝" w:cs="Meiryo UI" w:hint="eastAsia"/>
                <w:snapToGrid w:val="0"/>
                <w:kern w:val="0"/>
                <w:szCs w:val="20"/>
              </w:rPr>
              <w:t>○外国人の被災状況に関する情報</w:t>
            </w:r>
            <w:r w:rsidR="00427EAB" w:rsidRPr="00E0548A">
              <w:rPr>
                <w:rFonts w:ascii="ＭＳ 明朝" w:hAnsi="ＭＳ 明朝" w:cs="Meiryo UI" w:hint="eastAsia"/>
                <w:snapToGrid w:val="0"/>
                <w:kern w:val="0"/>
                <w:szCs w:val="20"/>
              </w:rPr>
              <w:t>確認</w:t>
            </w:r>
            <w:r w:rsidRPr="00E0548A">
              <w:rPr>
                <w:rFonts w:ascii="ＭＳ 明朝" w:hAnsi="ＭＳ 明朝" w:cs="Meiryo UI" w:hint="eastAsia"/>
                <w:snapToGrid w:val="0"/>
                <w:kern w:val="0"/>
                <w:szCs w:val="20"/>
              </w:rPr>
              <w:t xml:space="preserve"> 【国際】</w:t>
            </w:r>
          </w:p>
          <w:p w14:paraId="0899A25A" w14:textId="23429F94" w:rsidR="008B4B2B" w:rsidRPr="00E0548A" w:rsidRDefault="008B4B2B" w:rsidP="008B4B2B">
            <w:pPr>
              <w:spacing w:line="320" w:lineRule="exact"/>
              <w:rPr>
                <w:rFonts w:ascii="ＭＳ 明朝" w:hAnsi="ＭＳ 明朝" w:cs="Meiryo UI"/>
                <w:snapToGrid w:val="0"/>
                <w:kern w:val="0"/>
                <w:szCs w:val="20"/>
              </w:rPr>
            </w:pPr>
            <w:r w:rsidRPr="00E0548A">
              <w:rPr>
                <w:rFonts w:ascii="ＭＳ 明朝" w:hAnsi="ＭＳ 明朝" w:cs="Meiryo UI" w:hint="eastAsia"/>
                <w:snapToGrid w:val="0"/>
                <w:kern w:val="0"/>
                <w:szCs w:val="20"/>
              </w:rPr>
              <w:t>○</w:t>
            </w:r>
            <w:r w:rsidRPr="00E0548A">
              <w:rPr>
                <w:rFonts w:ascii="ＭＳ 明朝" w:hAnsi="ＭＳ 明朝" w:cs="Meiryo UI" w:hint="eastAsia"/>
                <w:snapToGrid w:val="0"/>
                <w:spacing w:val="-10"/>
                <w:kern w:val="0"/>
                <w:szCs w:val="20"/>
              </w:rPr>
              <w:t>外国人が必要とする情報の</w:t>
            </w:r>
            <w:r w:rsidR="00427EAB" w:rsidRPr="00E0548A">
              <w:rPr>
                <w:rFonts w:ascii="ＭＳ 明朝" w:hAnsi="ＭＳ 明朝" w:cs="Meiryo UI" w:hint="eastAsia"/>
                <w:snapToGrid w:val="0"/>
                <w:spacing w:val="-10"/>
                <w:kern w:val="0"/>
                <w:szCs w:val="20"/>
              </w:rPr>
              <w:t>確認</w:t>
            </w:r>
            <w:r w:rsidRPr="00E0548A">
              <w:rPr>
                <w:rFonts w:ascii="ＭＳ 明朝" w:hAnsi="ＭＳ 明朝" w:cs="Meiryo UI" w:hint="eastAsia"/>
                <w:snapToGrid w:val="0"/>
                <w:spacing w:val="-10"/>
                <w:kern w:val="0"/>
                <w:szCs w:val="20"/>
              </w:rPr>
              <w:t>および外国人に対する行政情報の提供</w:t>
            </w:r>
            <w:r w:rsidRPr="00E0548A">
              <w:rPr>
                <w:rFonts w:ascii="ＭＳ 明朝" w:hAnsi="ＭＳ 明朝" w:cs="Meiryo UI" w:hint="eastAsia"/>
                <w:snapToGrid w:val="0"/>
                <w:kern w:val="0"/>
                <w:szCs w:val="20"/>
              </w:rPr>
              <w:t xml:space="preserve"> 【国際】</w:t>
            </w:r>
          </w:p>
          <w:p w14:paraId="08F61D82" w14:textId="77777777" w:rsidR="008B4B2B" w:rsidRPr="00E0548A" w:rsidRDefault="008B4B2B" w:rsidP="008B4B2B">
            <w:pPr>
              <w:spacing w:line="320" w:lineRule="exact"/>
              <w:rPr>
                <w:rFonts w:ascii="ＭＳ 明朝" w:hAnsi="ＭＳ 明朝" w:cs="Meiryo UI"/>
                <w:snapToGrid w:val="0"/>
                <w:kern w:val="0"/>
                <w:szCs w:val="20"/>
              </w:rPr>
            </w:pPr>
            <w:r w:rsidRPr="00E0548A">
              <w:rPr>
                <w:rFonts w:ascii="ＭＳ 明朝" w:hAnsi="ＭＳ 明朝" w:cs="Meiryo UI" w:hint="eastAsia"/>
                <w:snapToGrid w:val="0"/>
                <w:kern w:val="0"/>
                <w:szCs w:val="20"/>
              </w:rPr>
              <w:t>○海外からの支援団の活動支援の調整 【国際】</w:t>
            </w:r>
          </w:p>
          <w:p w14:paraId="64D6AA4A" w14:textId="77777777" w:rsidR="008B4B2B" w:rsidRPr="00E0548A" w:rsidRDefault="008B4B2B" w:rsidP="008B4B2B">
            <w:pPr>
              <w:spacing w:line="320" w:lineRule="exact"/>
              <w:rPr>
                <w:rFonts w:ascii="ＭＳ 明朝" w:hAnsi="ＭＳ 明朝" w:cs="Meiryo UI"/>
                <w:snapToGrid w:val="0"/>
                <w:kern w:val="0"/>
                <w:szCs w:val="20"/>
              </w:rPr>
            </w:pPr>
            <w:r w:rsidRPr="00E0548A">
              <w:rPr>
                <w:rFonts w:ascii="ＭＳ 明朝" w:hAnsi="ＭＳ 明朝" w:cs="Meiryo UI" w:hint="eastAsia"/>
                <w:snapToGrid w:val="0"/>
                <w:kern w:val="0"/>
                <w:szCs w:val="20"/>
              </w:rPr>
              <w:t>○通訳・翻訳業務の支援要請への対応 【国際】</w:t>
            </w:r>
          </w:p>
          <w:p w14:paraId="1A4FBD37" w14:textId="77777777" w:rsidR="008B4B2B" w:rsidRPr="00E0548A" w:rsidRDefault="008B4B2B" w:rsidP="008B4B2B">
            <w:pPr>
              <w:spacing w:line="320" w:lineRule="exact"/>
              <w:rPr>
                <w:rFonts w:ascii="ＭＳ 明朝" w:hAnsi="ＭＳ 明朝" w:cs="Meiryo UI"/>
                <w:snapToGrid w:val="0"/>
                <w:kern w:val="0"/>
                <w:szCs w:val="20"/>
              </w:rPr>
            </w:pPr>
            <w:r w:rsidRPr="00E0548A">
              <w:rPr>
                <w:rFonts w:ascii="ＭＳ 明朝" w:hAnsi="ＭＳ 明朝" w:cs="Meiryo UI" w:hint="eastAsia"/>
                <w:snapToGrid w:val="0"/>
                <w:kern w:val="0"/>
                <w:szCs w:val="20"/>
              </w:rPr>
              <w:t>○災害対策本部へのリエゾン派遣 【</w:t>
            </w:r>
            <w:r w:rsidR="006C04DB" w:rsidRPr="00E0548A">
              <w:rPr>
                <w:rFonts w:ascii="ＭＳ 明朝" w:hAnsi="ＭＳ 明朝" w:cs="Meiryo UI" w:hint="eastAsia"/>
                <w:snapToGrid w:val="0"/>
                <w:kern w:val="0"/>
                <w:szCs w:val="20"/>
              </w:rPr>
              <w:t>広報広聴</w:t>
            </w:r>
            <w:r w:rsidRPr="00E0548A">
              <w:rPr>
                <w:rFonts w:ascii="ＭＳ 明朝" w:hAnsi="ＭＳ 明朝" w:cs="Meiryo UI" w:hint="eastAsia"/>
                <w:snapToGrid w:val="0"/>
                <w:kern w:val="0"/>
                <w:szCs w:val="20"/>
              </w:rPr>
              <w:t>・国際】</w:t>
            </w:r>
          </w:p>
          <w:p w14:paraId="001AA2C7" w14:textId="77777777" w:rsidR="008B4B2B" w:rsidRPr="00E0548A" w:rsidRDefault="008B4B2B" w:rsidP="008B4B2B">
            <w:pPr>
              <w:spacing w:line="320" w:lineRule="exact"/>
              <w:ind w:left="211" w:hangingChars="100" w:hanging="211"/>
              <w:rPr>
                <w:rFonts w:ascii="ＭＳ 明朝" w:hAnsi="ＭＳ 明朝" w:cs="Meiryo UI"/>
                <w:snapToGrid w:val="0"/>
                <w:kern w:val="0"/>
                <w:szCs w:val="20"/>
              </w:rPr>
            </w:pPr>
            <w:r w:rsidRPr="00E0548A">
              <w:rPr>
                <w:rFonts w:ascii="ＭＳ 明朝" w:hAnsi="ＭＳ 明朝" w:cs="Meiryo UI" w:hint="eastAsia"/>
                <w:snapToGrid w:val="0"/>
                <w:kern w:val="0"/>
                <w:szCs w:val="20"/>
              </w:rPr>
              <w:t>○大阪府国際交流財団と連携した多言語支援センター設置、外国人支援に関する調整 【国際】</w:t>
            </w:r>
          </w:p>
          <w:p w14:paraId="18E35DD3" w14:textId="77777777" w:rsidR="008B4B2B" w:rsidRPr="00E0548A" w:rsidRDefault="008B4B2B" w:rsidP="008B4B2B">
            <w:pPr>
              <w:spacing w:line="320" w:lineRule="exact"/>
              <w:ind w:left="211" w:hangingChars="100" w:hanging="211"/>
              <w:rPr>
                <w:rFonts w:ascii="ＭＳ 明朝" w:hAnsi="ＭＳ 明朝" w:cs="Meiryo UI"/>
                <w:snapToGrid w:val="0"/>
                <w:kern w:val="0"/>
                <w:szCs w:val="20"/>
              </w:rPr>
            </w:pPr>
            <w:r w:rsidRPr="00E0548A">
              <w:rPr>
                <w:rFonts w:ascii="ＭＳ 明朝" w:hAnsi="ＭＳ 明朝" w:cs="Meiryo UI" w:hint="eastAsia"/>
                <w:snapToGrid w:val="0"/>
                <w:kern w:val="0"/>
                <w:szCs w:val="20"/>
              </w:rPr>
              <w:t>○物価関連二法及び消費者保護条例に基づく生活関連物資に関する情報提供 【消費】</w:t>
            </w:r>
          </w:p>
          <w:p w14:paraId="65931D9A" w14:textId="77777777" w:rsidR="008B4B2B" w:rsidRPr="00E0548A" w:rsidRDefault="008B4B2B" w:rsidP="008B4B2B">
            <w:pPr>
              <w:spacing w:line="320" w:lineRule="exact"/>
              <w:rPr>
                <w:rFonts w:ascii="ＭＳ 明朝" w:hAnsi="ＭＳ 明朝" w:cs="Meiryo UI"/>
                <w:snapToGrid w:val="0"/>
                <w:kern w:val="0"/>
                <w:szCs w:val="20"/>
              </w:rPr>
            </w:pPr>
            <w:r w:rsidRPr="00E0548A">
              <w:rPr>
                <w:rFonts w:ascii="ＭＳ 明朝" w:hAnsi="ＭＳ 明朝" w:cs="Meiryo UI" w:hint="eastAsia"/>
                <w:snapToGrid w:val="0"/>
                <w:kern w:val="0"/>
                <w:szCs w:val="20"/>
              </w:rPr>
              <w:t>○災害に便乗した悪質商法に対する注意喚起の情報提供 【消費】</w:t>
            </w:r>
          </w:p>
          <w:p w14:paraId="57E37CC2" w14:textId="77777777" w:rsidR="008B4B2B" w:rsidRPr="00E0548A" w:rsidRDefault="008B4B2B" w:rsidP="008B4B2B">
            <w:pPr>
              <w:spacing w:line="320" w:lineRule="exact"/>
              <w:rPr>
                <w:rFonts w:ascii="ＭＳ 明朝" w:hAnsi="ＭＳ 明朝" w:cs="Meiryo UI"/>
                <w:snapToGrid w:val="0"/>
                <w:kern w:val="0"/>
                <w:szCs w:val="20"/>
              </w:rPr>
            </w:pPr>
            <w:r w:rsidRPr="00E0548A">
              <w:rPr>
                <w:rFonts w:ascii="ＭＳ 明朝" w:hAnsi="ＭＳ 明朝" w:cs="Meiryo UI" w:hint="eastAsia"/>
                <w:snapToGrid w:val="0"/>
                <w:kern w:val="0"/>
                <w:szCs w:val="20"/>
              </w:rPr>
              <w:t>○北部広域防災拠点、後方支援活動拠点の受入れ、支援 【万博】</w:t>
            </w:r>
          </w:p>
          <w:p w14:paraId="4D360C65" w14:textId="77777777" w:rsidR="008B4B2B" w:rsidRPr="00E0548A" w:rsidRDefault="008B4B2B" w:rsidP="008B4B2B">
            <w:pPr>
              <w:rPr>
                <w:rFonts w:ascii="ＭＳ 明朝" w:hAnsi="ＭＳ 明朝" w:cs="Meiryo UI"/>
                <w:snapToGrid w:val="0"/>
                <w:kern w:val="0"/>
                <w:szCs w:val="20"/>
              </w:rPr>
            </w:pPr>
            <w:r w:rsidRPr="00E0548A">
              <w:rPr>
                <w:rFonts w:ascii="ＭＳ 明朝" w:hAnsi="ＭＳ 明朝" w:cs="Meiryo UI" w:hint="eastAsia"/>
                <w:snapToGrid w:val="0"/>
                <w:kern w:val="0"/>
                <w:szCs w:val="20"/>
              </w:rPr>
              <w:t>○被災所管施設の応急復旧必要箇所の把握と関係者調整 【万博】</w:t>
            </w:r>
          </w:p>
          <w:p w14:paraId="2D866A71" w14:textId="77777777" w:rsidR="001255D8" w:rsidRPr="00E0548A" w:rsidRDefault="001255D8" w:rsidP="0036645A">
            <w:pPr>
              <w:spacing w:line="320" w:lineRule="exact"/>
              <w:ind w:left="211" w:hangingChars="100" w:hanging="211"/>
              <w:rPr>
                <w:rFonts w:ascii="ＭＳ 明朝" w:hAnsi="ＭＳ 明朝"/>
                <w:szCs w:val="21"/>
              </w:rPr>
            </w:pPr>
            <w:r w:rsidRPr="00E0548A">
              <w:rPr>
                <w:rFonts w:ascii="ＭＳ 明朝" w:hAnsi="ＭＳ 明朝" w:hint="eastAsia"/>
                <w:szCs w:val="21"/>
              </w:rPr>
              <w:t>○</w:t>
            </w:r>
            <w:r w:rsidRPr="00E0548A">
              <w:rPr>
                <w:rFonts w:hint="eastAsia"/>
              </w:rPr>
              <w:t>災害時における旅行者の受入れ等に関する協定書に基づく市町村との連絡調整【企画観光】</w:t>
            </w:r>
          </w:p>
        </w:tc>
      </w:tr>
      <w:tr w:rsidR="00E0548A" w:rsidRPr="00E0548A" w14:paraId="6D56B654" w14:textId="77777777" w:rsidTr="008B4B2B">
        <w:trPr>
          <w:jc w:val="center"/>
        </w:trPr>
        <w:tc>
          <w:tcPr>
            <w:tcW w:w="1526" w:type="dxa"/>
          </w:tcPr>
          <w:p w14:paraId="6CE15385" w14:textId="77777777" w:rsidR="008B4B2B" w:rsidRPr="00E0548A" w:rsidRDefault="008B4B2B" w:rsidP="008B4B2B">
            <w:pPr>
              <w:rPr>
                <w:rFonts w:ascii="ＭＳ 明朝" w:hAnsi="ＭＳ 明朝"/>
                <w:szCs w:val="21"/>
              </w:rPr>
            </w:pPr>
            <w:r w:rsidRPr="00E0548A">
              <w:rPr>
                <w:rFonts w:ascii="ＭＳ 明朝" w:hAnsi="ＭＳ 明朝" w:hint="eastAsia"/>
                <w:szCs w:val="21"/>
              </w:rPr>
              <w:t>第4フェーズ</w:t>
            </w:r>
          </w:p>
          <w:p w14:paraId="1B4E16B8" w14:textId="77777777" w:rsidR="008B4B2B" w:rsidRPr="00E0548A" w:rsidRDefault="008B4B2B" w:rsidP="008B4B2B">
            <w:pPr>
              <w:rPr>
                <w:rFonts w:ascii="ＭＳ 明朝" w:hAnsi="ＭＳ 明朝"/>
                <w:szCs w:val="21"/>
              </w:rPr>
            </w:pPr>
            <w:r w:rsidRPr="00E0548A">
              <w:rPr>
                <w:rFonts w:ascii="ＭＳ 明朝" w:hAnsi="ＭＳ 明朝" w:hint="eastAsia"/>
                <w:szCs w:val="21"/>
              </w:rPr>
              <w:t>(1週間まで)</w:t>
            </w:r>
          </w:p>
        </w:tc>
        <w:tc>
          <w:tcPr>
            <w:tcW w:w="7176" w:type="dxa"/>
          </w:tcPr>
          <w:p w14:paraId="1DCA5EFF" w14:textId="77777777" w:rsidR="008B4B2B" w:rsidRPr="00E0548A" w:rsidRDefault="008B4B2B" w:rsidP="008B4B2B">
            <w:pPr>
              <w:spacing w:line="320" w:lineRule="exact"/>
              <w:rPr>
                <w:rFonts w:ascii="ＭＳ 明朝" w:hAnsi="ＭＳ 明朝" w:cs="Meiryo UI"/>
                <w:snapToGrid w:val="0"/>
                <w:kern w:val="0"/>
                <w:szCs w:val="20"/>
              </w:rPr>
            </w:pPr>
            <w:r w:rsidRPr="00E0548A">
              <w:rPr>
                <w:rFonts w:ascii="ＭＳ 明朝" w:hAnsi="ＭＳ 明朝" w:cs="Meiryo UI" w:hint="eastAsia"/>
                <w:snapToGrid w:val="0"/>
                <w:kern w:val="0"/>
                <w:szCs w:val="20"/>
              </w:rPr>
              <w:t>○部内外からの要請等に関する調整 【府文総務】</w:t>
            </w:r>
          </w:p>
          <w:p w14:paraId="77AB216B" w14:textId="59D5E2E5" w:rsidR="008B4B2B" w:rsidRPr="00E0548A" w:rsidRDefault="008B4B2B" w:rsidP="008B4B2B">
            <w:pPr>
              <w:spacing w:line="320" w:lineRule="exact"/>
              <w:rPr>
                <w:rFonts w:ascii="ＭＳ 明朝" w:hAnsi="ＭＳ 明朝" w:cs="Meiryo UI"/>
                <w:snapToGrid w:val="0"/>
                <w:kern w:val="0"/>
                <w:szCs w:val="20"/>
              </w:rPr>
            </w:pPr>
            <w:r w:rsidRPr="00E0548A">
              <w:rPr>
                <w:rFonts w:ascii="ＭＳ 明朝" w:hAnsi="ＭＳ 明朝" w:cs="Meiryo UI" w:hint="eastAsia"/>
                <w:snapToGrid w:val="0"/>
                <w:kern w:val="0"/>
                <w:szCs w:val="20"/>
              </w:rPr>
              <w:t>○大阪観光局の災害対策に係る連絡調整 【企画観光】</w:t>
            </w:r>
          </w:p>
          <w:p w14:paraId="7D6E5463" w14:textId="6D5D33F6" w:rsidR="00427EAB" w:rsidRPr="00E0548A" w:rsidRDefault="00427EAB" w:rsidP="00E0548A">
            <w:pPr>
              <w:spacing w:line="320" w:lineRule="exact"/>
              <w:ind w:left="211" w:hangingChars="100" w:hanging="211"/>
              <w:rPr>
                <w:rFonts w:ascii="ＭＳ 明朝" w:hAnsi="ＭＳ 明朝" w:cs="Meiryo UI"/>
                <w:snapToGrid w:val="0"/>
                <w:kern w:val="0"/>
                <w:szCs w:val="20"/>
              </w:rPr>
            </w:pPr>
            <w:r w:rsidRPr="00E0548A">
              <w:rPr>
                <w:rFonts w:ascii="ＭＳ 明朝" w:hAnsi="ＭＳ 明朝" w:cs="Meiryo UI" w:hint="eastAsia"/>
                <w:snapToGrid w:val="0"/>
                <w:kern w:val="0"/>
                <w:szCs w:val="20"/>
              </w:rPr>
              <w:t>○外国人が必要とする情報の把握・共有および外国人に対する行政情報の提供</w:t>
            </w:r>
            <w:r w:rsidRPr="00E0548A">
              <w:rPr>
                <w:rFonts w:ascii="ＭＳ 明朝" w:hAnsi="ＭＳ 明朝" w:cs="Meiryo UI"/>
                <w:snapToGrid w:val="0"/>
                <w:kern w:val="0"/>
                <w:szCs w:val="20"/>
              </w:rPr>
              <w:t xml:space="preserve"> </w:t>
            </w:r>
            <w:r w:rsidRPr="00E0548A">
              <w:rPr>
                <w:rFonts w:ascii="ＭＳ 明朝" w:hAnsi="ＭＳ 明朝" w:cs="Meiryo UI" w:hint="eastAsia"/>
                <w:snapToGrid w:val="0"/>
                <w:kern w:val="0"/>
                <w:szCs w:val="20"/>
              </w:rPr>
              <w:t>【国際】</w:t>
            </w:r>
          </w:p>
          <w:p w14:paraId="2B9F5F2D" w14:textId="62FA8388" w:rsidR="00427EAB" w:rsidRPr="00E0548A" w:rsidRDefault="00427EAB" w:rsidP="008B4B2B">
            <w:pPr>
              <w:spacing w:line="320" w:lineRule="exact"/>
              <w:rPr>
                <w:rFonts w:ascii="ＭＳ 明朝" w:hAnsi="ＭＳ 明朝" w:cs="Meiryo UI"/>
                <w:snapToGrid w:val="0"/>
                <w:kern w:val="0"/>
                <w:szCs w:val="20"/>
              </w:rPr>
            </w:pPr>
            <w:r w:rsidRPr="00E0548A">
              <w:rPr>
                <w:rFonts w:ascii="ＭＳ 明朝" w:hAnsi="ＭＳ 明朝" w:cs="Meiryo UI" w:hint="eastAsia"/>
                <w:snapToGrid w:val="0"/>
                <w:kern w:val="0"/>
                <w:szCs w:val="20"/>
              </w:rPr>
              <w:t>○通訳・翻訳業務の支援要請への対応</w:t>
            </w:r>
            <w:r w:rsidRPr="00E0548A">
              <w:rPr>
                <w:rFonts w:ascii="ＭＳ 明朝" w:hAnsi="ＭＳ 明朝" w:cs="Meiryo UI"/>
                <w:snapToGrid w:val="0"/>
                <w:kern w:val="0"/>
                <w:szCs w:val="20"/>
              </w:rPr>
              <w:t xml:space="preserve"> </w:t>
            </w:r>
            <w:r w:rsidRPr="00E0548A">
              <w:rPr>
                <w:rFonts w:ascii="ＭＳ 明朝" w:hAnsi="ＭＳ 明朝" w:cs="Meiryo UI" w:hint="eastAsia"/>
                <w:snapToGrid w:val="0"/>
                <w:kern w:val="0"/>
                <w:szCs w:val="20"/>
              </w:rPr>
              <w:t>【国際】</w:t>
            </w:r>
          </w:p>
          <w:p w14:paraId="7B2DFC54" w14:textId="77777777" w:rsidR="008B4B2B" w:rsidRPr="00E0548A" w:rsidRDefault="008B4B2B" w:rsidP="008B4B2B">
            <w:pPr>
              <w:spacing w:line="320" w:lineRule="exact"/>
              <w:rPr>
                <w:rFonts w:ascii="ＭＳ 明朝" w:hAnsi="ＭＳ 明朝" w:cs="Meiryo UI"/>
                <w:snapToGrid w:val="0"/>
                <w:kern w:val="0"/>
                <w:szCs w:val="20"/>
              </w:rPr>
            </w:pPr>
            <w:r w:rsidRPr="00E0548A">
              <w:rPr>
                <w:rFonts w:ascii="ＭＳ 明朝" w:hAnsi="ＭＳ 明朝" w:cs="Meiryo UI" w:hint="eastAsia"/>
                <w:snapToGrid w:val="0"/>
                <w:kern w:val="0"/>
                <w:szCs w:val="20"/>
              </w:rPr>
              <w:t xml:space="preserve">○災害対策本部へのリエゾン派遣 </w:t>
            </w:r>
            <w:r w:rsidR="006C04DB" w:rsidRPr="00E0548A">
              <w:rPr>
                <w:rFonts w:ascii="ＭＳ 明朝" w:hAnsi="ＭＳ 明朝" w:cs="Meiryo UI" w:hint="eastAsia"/>
                <w:snapToGrid w:val="0"/>
                <w:kern w:val="0"/>
                <w:szCs w:val="20"/>
              </w:rPr>
              <w:t>【広報広聴</w:t>
            </w:r>
            <w:r w:rsidRPr="00E0548A">
              <w:rPr>
                <w:rFonts w:ascii="ＭＳ 明朝" w:hAnsi="ＭＳ 明朝" w:cs="Meiryo UI" w:hint="eastAsia"/>
                <w:snapToGrid w:val="0"/>
                <w:kern w:val="0"/>
                <w:szCs w:val="20"/>
              </w:rPr>
              <w:t>・国際】</w:t>
            </w:r>
          </w:p>
          <w:p w14:paraId="2E362977" w14:textId="77777777" w:rsidR="008B4B2B" w:rsidRPr="00E0548A" w:rsidRDefault="008B4B2B" w:rsidP="008B4B2B">
            <w:pPr>
              <w:spacing w:line="320" w:lineRule="exact"/>
              <w:ind w:left="211" w:hangingChars="100" w:hanging="211"/>
              <w:rPr>
                <w:rFonts w:ascii="ＭＳ 明朝" w:hAnsi="ＭＳ 明朝" w:cs="Meiryo UI"/>
                <w:snapToGrid w:val="0"/>
                <w:kern w:val="0"/>
                <w:szCs w:val="20"/>
              </w:rPr>
            </w:pPr>
            <w:r w:rsidRPr="00E0548A">
              <w:rPr>
                <w:rFonts w:ascii="ＭＳ 明朝" w:hAnsi="ＭＳ 明朝" w:cs="Meiryo UI" w:hint="eastAsia"/>
                <w:snapToGrid w:val="0"/>
                <w:kern w:val="0"/>
                <w:szCs w:val="20"/>
              </w:rPr>
              <w:t>○大阪府国際交流財団と連携した多言語支援センター設置、外国人支援に関する調整 【国際】</w:t>
            </w:r>
          </w:p>
          <w:p w14:paraId="6EE172F3" w14:textId="77777777" w:rsidR="008B4B2B" w:rsidRPr="00E0548A" w:rsidRDefault="008B4B2B" w:rsidP="008B4B2B">
            <w:pPr>
              <w:spacing w:line="320" w:lineRule="exact"/>
              <w:rPr>
                <w:rFonts w:ascii="ＭＳ 明朝" w:hAnsi="ＭＳ 明朝" w:cs="Meiryo UI"/>
                <w:snapToGrid w:val="0"/>
                <w:kern w:val="0"/>
                <w:szCs w:val="20"/>
              </w:rPr>
            </w:pPr>
            <w:r w:rsidRPr="00E0548A">
              <w:rPr>
                <w:rFonts w:ascii="ＭＳ 明朝" w:hAnsi="ＭＳ 明朝" w:cs="Meiryo UI" w:hint="eastAsia"/>
                <w:snapToGrid w:val="0"/>
                <w:kern w:val="0"/>
                <w:szCs w:val="20"/>
              </w:rPr>
              <w:t>○</w:t>
            </w:r>
            <w:r w:rsidRPr="00E0548A">
              <w:rPr>
                <w:rFonts w:ascii="ＭＳ 明朝" w:hAnsi="ＭＳ 明朝" w:cs="Meiryo UI" w:hint="eastAsia"/>
                <w:snapToGrid w:val="0"/>
                <w:spacing w:val="-10"/>
                <w:kern w:val="0"/>
                <w:szCs w:val="20"/>
              </w:rPr>
              <w:t>被災所管施設の応急復旧必要箇所の対応状況の確認と関係者調整</w:t>
            </w:r>
            <w:r w:rsidRPr="00E0548A">
              <w:rPr>
                <w:rFonts w:ascii="ＭＳ 明朝" w:hAnsi="ＭＳ 明朝" w:cs="Meiryo UI" w:hint="eastAsia"/>
                <w:snapToGrid w:val="0"/>
                <w:kern w:val="0"/>
                <w:szCs w:val="20"/>
              </w:rPr>
              <w:t>【万博】</w:t>
            </w:r>
          </w:p>
          <w:p w14:paraId="5A03C15F" w14:textId="77777777" w:rsidR="008B4B2B" w:rsidRPr="00E0548A" w:rsidRDefault="008B4B2B" w:rsidP="008B4B2B">
            <w:pPr>
              <w:spacing w:line="320" w:lineRule="exact"/>
              <w:ind w:left="211" w:hangingChars="100" w:hanging="211"/>
              <w:rPr>
                <w:rFonts w:ascii="ＭＳ 明朝" w:hAnsi="ＭＳ 明朝" w:cs="Meiryo UI"/>
                <w:snapToGrid w:val="0"/>
                <w:kern w:val="0"/>
                <w:szCs w:val="20"/>
              </w:rPr>
            </w:pPr>
            <w:r w:rsidRPr="00E0548A">
              <w:rPr>
                <w:rFonts w:ascii="ＭＳ 明朝" w:hAnsi="ＭＳ 明朝" w:cs="Meiryo UI" w:hint="eastAsia"/>
                <w:snapToGrid w:val="0"/>
                <w:kern w:val="0"/>
                <w:szCs w:val="20"/>
              </w:rPr>
              <w:t>○物価関連二法及び消費者保護条例に基づく生活関連物資に関する情報提供 【消費】</w:t>
            </w:r>
          </w:p>
          <w:p w14:paraId="5D1E4555" w14:textId="77777777" w:rsidR="008B4B2B" w:rsidRPr="00E0548A" w:rsidRDefault="008B4B2B" w:rsidP="008B4B2B">
            <w:pPr>
              <w:rPr>
                <w:rFonts w:ascii="ＭＳ 明朝" w:hAnsi="ＭＳ 明朝"/>
                <w:szCs w:val="21"/>
              </w:rPr>
            </w:pPr>
            <w:r w:rsidRPr="00E0548A">
              <w:rPr>
                <w:rFonts w:ascii="ＭＳ 明朝" w:hAnsi="ＭＳ 明朝" w:cs="Meiryo UI" w:hint="eastAsia"/>
                <w:snapToGrid w:val="0"/>
                <w:kern w:val="0"/>
                <w:szCs w:val="20"/>
              </w:rPr>
              <w:t>○災害に便乗した悪質商法に対する注意喚起の情報提供 【消費】</w:t>
            </w:r>
          </w:p>
        </w:tc>
      </w:tr>
      <w:tr w:rsidR="00E0548A" w:rsidRPr="00E0548A" w14:paraId="1767E727" w14:textId="77777777" w:rsidTr="008B4B2B">
        <w:trPr>
          <w:jc w:val="center"/>
        </w:trPr>
        <w:tc>
          <w:tcPr>
            <w:tcW w:w="1526" w:type="dxa"/>
          </w:tcPr>
          <w:p w14:paraId="329D964C" w14:textId="77777777" w:rsidR="008B4B2B" w:rsidRPr="00E0548A" w:rsidRDefault="008B4B2B" w:rsidP="008B4B2B">
            <w:pPr>
              <w:rPr>
                <w:rFonts w:ascii="ＭＳ 明朝" w:hAnsi="ＭＳ 明朝"/>
                <w:szCs w:val="21"/>
              </w:rPr>
            </w:pPr>
            <w:r w:rsidRPr="00E0548A">
              <w:rPr>
                <w:rFonts w:ascii="ＭＳ 明朝" w:hAnsi="ＭＳ 明朝" w:hint="eastAsia"/>
                <w:szCs w:val="21"/>
              </w:rPr>
              <w:t>第5フェーズ</w:t>
            </w:r>
          </w:p>
          <w:p w14:paraId="629BBD18" w14:textId="77777777" w:rsidR="008B4B2B" w:rsidRPr="00E0548A" w:rsidRDefault="008B4B2B" w:rsidP="008B4B2B">
            <w:pPr>
              <w:rPr>
                <w:rFonts w:ascii="ＭＳ 明朝" w:hAnsi="ＭＳ 明朝"/>
                <w:szCs w:val="21"/>
              </w:rPr>
            </w:pPr>
            <w:r w:rsidRPr="00E0548A">
              <w:rPr>
                <w:rFonts w:ascii="ＭＳ 明朝" w:hAnsi="ＭＳ 明朝" w:hint="eastAsia"/>
                <w:szCs w:val="21"/>
              </w:rPr>
              <w:t>(2週間まで)</w:t>
            </w:r>
          </w:p>
        </w:tc>
        <w:tc>
          <w:tcPr>
            <w:tcW w:w="7176" w:type="dxa"/>
          </w:tcPr>
          <w:p w14:paraId="0BB2399C" w14:textId="77777777" w:rsidR="008B4B2B" w:rsidRPr="00E0548A" w:rsidRDefault="008B4B2B" w:rsidP="008B4B2B">
            <w:pPr>
              <w:ind w:left="211" w:hangingChars="100" w:hanging="211"/>
              <w:rPr>
                <w:rFonts w:ascii="ＭＳ 明朝" w:hAnsi="ＭＳ 明朝"/>
                <w:szCs w:val="21"/>
              </w:rPr>
            </w:pPr>
            <w:r w:rsidRPr="00E0548A">
              <w:rPr>
                <w:rFonts w:ascii="ＭＳ 明朝" w:hAnsi="ＭＳ 明朝" w:hint="eastAsia"/>
                <w:szCs w:val="21"/>
              </w:rPr>
              <w:t>○被災所管施設の応急復旧（当該施設において応急的に業務を再開するために実施する措置のことをいう。本格的な復旧作業の前段階。）開始</w:t>
            </w:r>
          </w:p>
          <w:p w14:paraId="4F58BAC3" w14:textId="77777777" w:rsidR="008B4B2B" w:rsidRPr="00E0548A" w:rsidRDefault="008B4B2B" w:rsidP="008B4B2B">
            <w:pPr>
              <w:spacing w:line="320" w:lineRule="exact"/>
              <w:rPr>
                <w:rFonts w:ascii="ＭＳ 明朝" w:hAnsi="ＭＳ 明朝" w:cs="Meiryo UI"/>
                <w:snapToGrid w:val="0"/>
                <w:kern w:val="0"/>
                <w:szCs w:val="20"/>
              </w:rPr>
            </w:pPr>
            <w:r w:rsidRPr="00E0548A">
              <w:rPr>
                <w:rFonts w:ascii="ＭＳ 明朝" w:hAnsi="ＭＳ 明朝" w:cs="Meiryo UI" w:hint="eastAsia"/>
                <w:snapToGrid w:val="0"/>
                <w:kern w:val="0"/>
                <w:szCs w:val="20"/>
              </w:rPr>
              <w:t>○大阪観光局の災害対策に係る連絡調整 【企画観光】</w:t>
            </w:r>
          </w:p>
          <w:p w14:paraId="1A01A14F" w14:textId="77777777" w:rsidR="008B4B2B" w:rsidRPr="00E0548A" w:rsidRDefault="008B4B2B" w:rsidP="008B4B2B">
            <w:pPr>
              <w:spacing w:line="320" w:lineRule="exact"/>
              <w:ind w:left="211" w:hangingChars="100" w:hanging="211"/>
              <w:rPr>
                <w:rFonts w:ascii="ＭＳ 明朝" w:hAnsi="ＭＳ 明朝" w:cs="Meiryo UI"/>
                <w:snapToGrid w:val="0"/>
                <w:kern w:val="0"/>
                <w:szCs w:val="20"/>
              </w:rPr>
            </w:pPr>
            <w:r w:rsidRPr="00E0548A">
              <w:rPr>
                <w:rFonts w:ascii="ＭＳ 明朝" w:hAnsi="ＭＳ 明朝" w:cs="Meiryo UI" w:hint="eastAsia"/>
                <w:snapToGrid w:val="0"/>
                <w:kern w:val="0"/>
                <w:szCs w:val="20"/>
              </w:rPr>
              <w:t>○物価関連二法及び消費者保護条例に基づく生活関連物資に関する情報提供 【消費】</w:t>
            </w:r>
          </w:p>
          <w:p w14:paraId="4B961EB4" w14:textId="77777777" w:rsidR="008B4B2B" w:rsidRPr="00E0548A" w:rsidRDefault="008B4B2B" w:rsidP="008B4B2B">
            <w:pPr>
              <w:spacing w:line="320" w:lineRule="exact"/>
              <w:rPr>
                <w:rFonts w:ascii="ＭＳ 明朝" w:hAnsi="ＭＳ 明朝" w:cs="Meiryo UI"/>
                <w:snapToGrid w:val="0"/>
                <w:kern w:val="0"/>
                <w:szCs w:val="20"/>
              </w:rPr>
            </w:pPr>
            <w:r w:rsidRPr="00E0548A">
              <w:rPr>
                <w:rFonts w:ascii="ＭＳ 明朝" w:hAnsi="ＭＳ 明朝" w:cs="Meiryo UI" w:hint="eastAsia"/>
                <w:snapToGrid w:val="0"/>
                <w:kern w:val="0"/>
                <w:szCs w:val="20"/>
              </w:rPr>
              <w:t>○災害に便乗した悪質商法に対する注意喚起の情報提供 【消費】</w:t>
            </w:r>
          </w:p>
          <w:p w14:paraId="5924B269" w14:textId="77777777" w:rsidR="008B4B2B" w:rsidRPr="00E0548A" w:rsidRDefault="008B4B2B" w:rsidP="008B4B2B">
            <w:pPr>
              <w:spacing w:line="320" w:lineRule="exact"/>
              <w:rPr>
                <w:rFonts w:ascii="ＭＳ 明朝" w:hAnsi="ＭＳ 明朝" w:cs="Meiryo UI"/>
                <w:snapToGrid w:val="0"/>
                <w:kern w:val="0"/>
                <w:szCs w:val="20"/>
              </w:rPr>
            </w:pPr>
            <w:r w:rsidRPr="00E0548A">
              <w:rPr>
                <w:rFonts w:ascii="ＭＳ 明朝" w:hAnsi="ＭＳ 明朝" w:cs="Meiryo UI" w:hint="eastAsia"/>
                <w:snapToGrid w:val="0"/>
                <w:kern w:val="0"/>
                <w:szCs w:val="20"/>
              </w:rPr>
              <w:t xml:space="preserve">○災害対策本部へのリエゾン派遣 </w:t>
            </w:r>
            <w:r w:rsidR="006C04DB" w:rsidRPr="00E0548A">
              <w:rPr>
                <w:rFonts w:ascii="ＭＳ 明朝" w:hAnsi="ＭＳ 明朝" w:cs="Meiryo UI" w:hint="eastAsia"/>
                <w:snapToGrid w:val="0"/>
                <w:kern w:val="0"/>
                <w:szCs w:val="20"/>
              </w:rPr>
              <w:t>【広報広聴</w:t>
            </w:r>
            <w:r w:rsidRPr="00E0548A">
              <w:rPr>
                <w:rFonts w:ascii="ＭＳ 明朝" w:hAnsi="ＭＳ 明朝" w:cs="Meiryo UI" w:hint="eastAsia"/>
                <w:snapToGrid w:val="0"/>
                <w:kern w:val="0"/>
                <w:szCs w:val="20"/>
              </w:rPr>
              <w:t>・国際】</w:t>
            </w:r>
          </w:p>
          <w:p w14:paraId="6FDD49DF" w14:textId="77777777" w:rsidR="008B4B2B" w:rsidRPr="00E0548A" w:rsidRDefault="008B4B2B" w:rsidP="008B4B2B">
            <w:pPr>
              <w:ind w:left="211" w:hangingChars="100" w:hanging="211"/>
              <w:rPr>
                <w:rFonts w:ascii="ＭＳ 明朝" w:hAnsi="ＭＳ 明朝"/>
                <w:szCs w:val="21"/>
              </w:rPr>
            </w:pPr>
            <w:r w:rsidRPr="00E0548A">
              <w:rPr>
                <w:rFonts w:ascii="ＭＳ 明朝" w:hAnsi="ＭＳ 明朝" w:cs="Meiryo UI" w:hint="eastAsia"/>
                <w:snapToGrid w:val="0"/>
                <w:kern w:val="0"/>
                <w:szCs w:val="20"/>
              </w:rPr>
              <w:t>○大阪府国際交流財団と連携した多言語支援センター設置、外国人支援に</w:t>
            </w:r>
            <w:r w:rsidRPr="00E0548A">
              <w:rPr>
                <w:rFonts w:ascii="ＭＳ 明朝" w:hAnsi="ＭＳ 明朝" w:cs="Meiryo UI" w:hint="eastAsia"/>
                <w:snapToGrid w:val="0"/>
                <w:kern w:val="0"/>
                <w:szCs w:val="20"/>
              </w:rPr>
              <w:lastRenderedPageBreak/>
              <w:t>関する調整 【国際】</w:t>
            </w:r>
          </w:p>
        </w:tc>
      </w:tr>
      <w:tr w:rsidR="00E0548A" w:rsidRPr="00E0548A" w14:paraId="27822142" w14:textId="77777777" w:rsidTr="008B4B2B">
        <w:trPr>
          <w:jc w:val="center"/>
        </w:trPr>
        <w:tc>
          <w:tcPr>
            <w:tcW w:w="1526" w:type="dxa"/>
          </w:tcPr>
          <w:p w14:paraId="081B6F74" w14:textId="77777777" w:rsidR="008B4B2B" w:rsidRPr="00E0548A" w:rsidRDefault="008B4B2B" w:rsidP="008B4B2B">
            <w:pPr>
              <w:rPr>
                <w:rFonts w:ascii="ＭＳ 明朝" w:hAnsi="ＭＳ 明朝"/>
                <w:szCs w:val="21"/>
              </w:rPr>
            </w:pPr>
            <w:r w:rsidRPr="00E0548A">
              <w:rPr>
                <w:rFonts w:ascii="ＭＳ 明朝" w:hAnsi="ＭＳ 明朝" w:hint="eastAsia"/>
                <w:szCs w:val="21"/>
              </w:rPr>
              <w:lastRenderedPageBreak/>
              <w:t>第6フェーズ</w:t>
            </w:r>
          </w:p>
          <w:p w14:paraId="1F8F7608" w14:textId="77777777" w:rsidR="008B4B2B" w:rsidRPr="00E0548A" w:rsidRDefault="008B4B2B" w:rsidP="008B4B2B">
            <w:pPr>
              <w:rPr>
                <w:rFonts w:ascii="ＭＳ 明朝" w:hAnsi="ＭＳ 明朝"/>
                <w:szCs w:val="21"/>
              </w:rPr>
            </w:pPr>
            <w:r w:rsidRPr="00E0548A">
              <w:rPr>
                <w:rFonts w:ascii="ＭＳ 明朝" w:hAnsi="ＭＳ 明朝" w:hint="eastAsia"/>
                <w:szCs w:val="21"/>
              </w:rPr>
              <w:t>(1ヶ月まで)</w:t>
            </w:r>
          </w:p>
        </w:tc>
        <w:tc>
          <w:tcPr>
            <w:tcW w:w="7176" w:type="dxa"/>
          </w:tcPr>
          <w:p w14:paraId="5DAFCFEB" w14:textId="77777777" w:rsidR="008B4B2B" w:rsidRPr="00E0548A" w:rsidRDefault="008B4B2B" w:rsidP="008B4B2B">
            <w:pPr>
              <w:rPr>
                <w:rFonts w:ascii="ＭＳ ゴシック" w:eastAsia="ＭＳ ゴシック" w:hAnsi="ＭＳ ゴシック"/>
                <w:szCs w:val="21"/>
              </w:rPr>
            </w:pPr>
            <w:r w:rsidRPr="00E0548A">
              <w:rPr>
                <w:rFonts w:ascii="ＭＳ 明朝" w:hAnsi="ＭＳ 明朝" w:hint="eastAsia"/>
                <w:szCs w:val="21"/>
              </w:rPr>
              <w:t>○被災所管施設の応急復旧</w:t>
            </w:r>
          </w:p>
          <w:p w14:paraId="3CC8615C" w14:textId="77777777" w:rsidR="008B4B2B" w:rsidRPr="00E0548A" w:rsidRDefault="008B4B2B" w:rsidP="008B4B2B">
            <w:pPr>
              <w:spacing w:line="320" w:lineRule="exact"/>
              <w:rPr>
                <w:rFonts w:ascii="ＭＳ 明朝" w:hAnsi="ＭＳ 明朝" w:cs="Meiryo UI"/>
                <w:snapToGrid w:val="0"/>
                <w:kern w:val="0"/>
                <w:szCs w:val="20"/>
              </w:rPr>
            </w:pPr>
            <w:r w:rsidRPr="00E0548A">
              <w:rPr>
                <w:rFonts w:ascii="ＭＳ 明朝" w:hAnsi="ＭＳ 明朝" w:cs="Meiryo UI" w:hint="eastAsia"/>
                <w:snapToGrid w:val="0"/>
                <w:kern w:val="0"/>
                <w:szCs w:val="20"/>
              </w:rPr>
              <w:t>○大阪観光局の災害対策に係る連絡調整 【企画観光】</w:t>
            </w:r>
          </w:p>
          <w:p w14:paraId="6E4BCAFB" w14:textId="77777777" w:rsidR="008B4B2B" w:rsidRPr="00E0548A" w:rsidRDefault="008B4B2B" w:rsidP="008B4B2B">
            <w:pPr>
              <w:spacing w:line="320" w:lineRule="exact"/>
              <w:ind w:left="211" w:hangingChars="100" w:hanging="211"/>
              <w:rPr>
                <w:rFonts w:ascii="ＭＳ 明朝" w:hAnsi="ＭＳ 明朝" w:cs="Meiryo UI"/>
                <w:snapToGrid w:val="0"/>
                <w:kern w:val="0"/>
                <w:szCs w:val="20"/>
              </w:rPr>
            </w:pPr>
            <w:r w:rsidRPr="00E0548A">
              <w:rPr>
                <w:rFonts w:ascii="ＭＳ 明朝" w:hAnsi="ＭＳ 明朝" w:cs="Meiryo UI" w:hint="eastAsia"/>
                <w:snapToGrid w:val="0"/>
                <w:kern w:val="0"/>
                <w:szCs w:val="20"/>
              </w:rPr>
              <w:t>○物価関連二法及び消費者保護条例に基づく生活関連物資に関する情報提供 【消費】</w:t>
            </w:r>
          </w:p>
          <w:p w14:paraId="6CB6E0BD" w14:textId="77777777" w:rsidR="008B4B2B" w:rsidRPr="00E0548A" w:rsidRDefault="008B4B2B" w:rsidP="008B4B2B">
            <w:pPr>
              <w:spacing w:line="320" w:lineRule="exact"/>
              <w:rPr>
                <w:rFonts w:ascii="ＭＳ 明朝" w:hAnsi="ＭＳ 明朝" w:cs="Meiryo UI"/>
                <w:snapToGrid w:val="0"/>
                <w:kern w:val="0"/>
                <w:szCs w:val="20"/>
              </w:rPr>
            </w:pPr>
            <w:r w:rsidRPr="00E0548A">
              <w:rPr>
                <w:rFonts w:ascii="ＭＳ 明朝" w:hAnsi="ＭＳ 明朝" w:cs="Meiryo UI" w:hint="eastAsia"/>
                <w:snapToGrid w:val="0"/>
                <w:kern w:val="0"/>
                <w:szCs w:val="20"/>
              </w:rPr>
              <w:t>○災害に便乗した悪質商法に対する注意喚起の情報提供 【消費】</w:t>
            </w:r>
          </w:p>
          <w:p w14:paraId="3ED89FAE" w14:textId="77777777" w:rsidR="008B4B2B" w:rsidRPr="00E0548A" w:rsidRDefault="008B4B2B" w:rsidP="008B4B2B">
            <w:pPr>
              <w:spacing w:line="320" w:lineRule="exact"/>
              <w:rPr>
                <w:rFonts w:ascii="ＭＳ 明朝" w:hAnsi="ＭＳ 明朝" w:cs="Meiryo UI"/>
                <w:snapToGrid w:val="0"/>
                <w:kern w:val="0"/>
                <w:szCs w:val="20"/>
              </w:rPr>
            </w:pPr>
            <w:r w:rsidRPr="00E0548A">
              <w:rPr>
                <w:rFonts w:ascii="ＭＳ 明朝" w:hAnsi="ＭＳ 明朝" w:cs="Meiryo UI" w:hint="eastAsia"/>
                <w:snapToGrid w:val="0"/>
                <w:kern w:val="0"/>
                <w:szCs w:val="20"/>
              </w:rPr>
              <w:t xml:space="preserve">○災害対策本部へのリエゾン派遣 </w:t>
            </w:r>
            <w:r w:rsidR="006C04DB" w:rsidRPr="00E0548A">
              <w:rPr>
                <w:rFonts w:ascii="ＭＳ 明朝" w:hAnsi="ＭＳ 明朝" w:cs="Meiryo UI" w:hint="eastAsia"/>
                <w:snapToGrid w:val="0"/>
                <w:kern w:val="0"/>
                <w:szCs w:val="20"/>
              </w:rPr>
              <w:t>【広報広聴</w:t>
            </w:r>
            <w:r w:rsidRPr="00E0548A">
              <w:rPr>
                <w:rFonts w:ascii="ＭＳ 明朝" w:hAnsi="ＭＳ 明朝" w:cs="Meiryo UI" w:hint="eastAsia"/>
                <w:snapToGrid w:val="0"/>
                <w:kern w:val="0"/>
                <w:szCs w:val="20"/>
              </w:rPr>
              <w:t>・国際】</w:t>
            </w:r>
          </w:p>
          <w:p w14:paraId="1772BB24" w14:textId="77777777" w:rsidR="008B4B2B" w:rsidRPr="00E0548A" w:rsidRDefault="008B4B2B" w:rsidP="008B4B2B">
            <w:pPr>
              <w:ind w:left="211" w:hangingChars="100" w:hanging="211"/>
              <w:rPr>
                <w:rFonts w:ascii="ＭＳ ゴシック" w:eastAsia="ＭＳ ゴシック" w:hAnsi="ＭＳ ゴシック"/>
                <w:szCs w:val="21"/>
              </w:rPr>
            </w:pPr>
            <w:r w:rsidRPr="00E0548A">
              <w:rPr>
                <w:rFonts w:ascii="ＭＳ 明朝" w:hAnsi="ＭＳ 明朝" w:cs="Meiryo UI" w:hint="eastAsia"/>
                <w:snapToGrid w:val="0"/>
                <w:kern w:val="0"/>
                <w:szCs w:val="20"/>
              </w:rPr>
              <w:t>○大阪府国際交流財団と連携した多言語支援センター設置、外国人支援に関する調整 【国際】</w:t>
            </w:r>
          </w:p>
        </w:tc>
      </w:tr>
    </w:tbl>
    <w:p w14:paraId="464297E6" w14:textId="77777777" w:rsidR="008B4B2B" w:rsidRPr="00E0548A" w:rsidRDefault="008B4B2B" w:rsidP="008B4B2B">
      <w:pPr>
        <w:ind w:left="1689" w:hangingChars="800" w:hanging="1689"/>
        <w:rPr>
          <w:rFonts w:ascii="ＭＳ 明朝" w:hAnsi="ＭＳ 明朝"/>
          <w:szCs w:val="21"/>
        </w:rPr>
      </w:pPr>
      <w:r w:rsidRPr="00E0548A">
        <w:rPr>
          <w:rFonts w:ascii="ＭＳ 明朝" w:hAnsi="ＭＳ 明朝" w:hint="eastAsia"/>
          <w:szCs w:val="21"/>
        </w:rPr>
        <w:t>※主な所管施設：消費生活センター、日本万国博覧会記念公園、パスポートセンター、</w:t>
      </w:r>
    </w:p>
    <w:p w14:paraId="03CA31DE" w14:textId="77777777" w:rsidR="008B4B2B" w:rsidRPr="00E0548A" w:rsidRDefault="008B4B2B" w:rsidP="008B4B2B">
      <w:pPr>
        <w:ind w:leftChars="800" w:left="1689"/>
        <w:rPr>
          <w:rFonts w:ascii="ＭＳ 明朝" w:hAnsi="ＭＳ 明朝"/>
          <w:szCs w:val="21"/>
        </w:rPr>
      </w:pPr>
      <w:r w:rsidRPr="00E0548A">
        <w:rPr>
          <w:rFonts w:ascii="ＭＳ 明朝" w:hAnsi="ＭＳ 明朝" w:hint="eastAsia"/>
          <w:szCs w:val="21"/>
        </w:rPr>
        <w:t>男女共同参画・青少年センター、大阪国際会議場、文化施設（上方</w:t>
      </w:r>
      <w:r w:rsidRPr="00E0548A">
        <w:rPr>
          <w:rFonts w:ascii="ＭＳ 明朝" w:hAnsi="ＭＳ 明朝" w:cs="Meiryo UI" w:hint="eastAsia"/>
          <w:szCs w:val="21"/>
        </w:rPr>
        <w:t>演芸資料館</w:t>
      </w:r>
      <w:r w:rsidRPr="00E0548A">
        <w:rPr>
          <w:rFonts w:ascii="ＭＳ 明朝" w:hAnsi="ＭＳ 明朝" w:hint="eastAsia"/>
          <w:szCs w:val="21"/>
        </w:rPr>
        <w:t>等）</w:t>
      </w:r>
    </w:p>
    <w:p w14:paraId="7EE7C6EB" w14:textId="09C579B4" w:rsidR="008B4B2B" w:rsidRPr="00E0548A" w:rsidRDefault="006074DC" w:rsidP="008B4B2B">
      <w:pPr>
        <w:ind w:firstLineChars="300" w:firstLine="633"/>
        <w:rPr>
          <w:rFonts w:ascii="ＭＳ 明朝" w:hAnsi="ＭＳ 明朝"/>
          <w:szCs w:val="21"/>
        </w:rPr>
      </w:pPr>
      <w:r w:rsidRPr="00E0548A">
        <w:rPr>
          <w:rFonts w:ascii="ＭＳ 明朝" w:hAnsi="ＭＳ 明朝" w:hint="eastAsia"/>
          <w:szCs w:val="21"/>
        </w:rPr>
        <w:t>関係機関：</w:t>
      </w:r>
      <w:r w:rsidR="008B4B2B" w:rsidRPr="00E0548A">
        <w:rPr>
          <w:rFonts w:ascii="ＭＳ 明朝" w:hAnsi="ＭＳ 明朝" w:cs="Meiryo UI" w:hint="eastAsia"/>
          <w:szCs w:val="21"/>
        </w:rPr>
        <w:t>大阪国際平和センター</w:t>
      </w:r>
      <w:r w:rsidR="008B4B2B" w:rsidRPr="00E0548A">
        <w:rPr>
          <w:rFonts w:ascii="ＭＳ 明朝" w:hAnsi="ＭＳ 明朝" w:hint="eastAsia"/>
          <w:szCs w:val="21"/>
        </w:rPr>
        <w:t>、</w:t>
      </w:r>
      <w:r w:rsidR="001255D8" w:rsidRPr="00E0548A">
        <w:rPr>
          <w:rFonts w:ascii="ＭＳ 明朝" w:hAnsi="ＭＳ 明朝" w:hint="eastAsia"/>
          <w:szCs w:val="21"/>
        </w:rPr>
        <w:t>外務省、</w:t>
      </w:r>
      <w:r w:rsidR="008B4B2B" w:rsidRPr="00E0548A">
        <w:rPr>
          <w:rFonts w:ascii="ＭＳ 明朝" w:hAnsi="ＭＳ 明朝" w:hint="eastAsia"/>
          <w:szCs w:val="21"/>
        </w:rPr>
        <w:t>外国政府</w:t>
      </w:r>
    </w:p>
    <w:p w14:paraId="1FD0E087" w14:textId="416B4F7C" w:rsidR="008B4B2B" w:rsidRPr="00E0548A" w:rsidRDefault="008B4B2B" w:rsidP="009078F5">
      <w:pPr>
        <w:rPr>
          <w:rFonts w:ascii="ＭＳ 明朝" w:hAnsi="ＭＳ 明朝"/>
          <w:szCs w:val="21"/>
        </w:rPr>
      </w:pPr>
      <w:r w:rsidRPr="00E0548A">
        <w:rPr>
          <w:rFonts w:ascii="ＭＳ 明朝" w:hAnsi="ＭＳ 明朝" w:hint="eastAsia"/>
          <w:szCs w:val="21"/>
        </w:rPr>
        <w:t xml:space="preserve">　　　システム：府Ｗｅｂサイト管理システム、行政文書管理システム</w:t>
      </w:r>
    </w:p>
    <w:p w14:paraId="678E4FA7" w14:textId="77777777" w:rsidR="00E530F4" w:rsidRPr="00E0548A" w:rsidRDefault="00E530F4" w:rsidP="007650CC">
      <w:pPr>
        <w:pStyle w:val="af4"/>
        <w:ind w:leftChars="0" w:left="0"/>
        <w:rPr>
          <w:rFonts w:ascii="ＭＳ ゴシック" w:eastAsia="ＭＳ ゴシック" w:hAnsi="ＭＳ ゴシック"/>
          <w:szCs w:val="21"/>
        </w:rPr>
      </w:pPr>
    </w:p>
    <w:p w14:paraId="26DB1AA4" w14:textId="53D45BDB" w:rsidR="007650CC" w:rsidRPr="00E0548A" w:rsidRDefault="007650CC" w:rsidP="007650CC">
      <w:pPr>
        <w:pStyle w:val="af4"/>
        <w:ind w:leftChars="0" w:left="0"/>
        <w:rPr>
          <w:rFonts w:ascii="ＭＳ ゴシック" w:eastAsia="ＭＳ ゴシック" w:hAnsi="ＭＳ ゴシック"/>
          <w:szCs w:val="21"/>
        </w:rPr>
      </w:pPr>
      <w:r w:rsidRPr="00E0548A">
        <w:rPr>
          <w:rFonts w:ascii="ＭＳ ゴシック" w:eastAsia="ＭＳ ゴシック" w:hAnsi="ＭＳ ゴシック" w:hint="eastAsia"/>
          <w:szCs w:val="21"/>
        </w:rPr>
        <w:t>＜南海トラフ地震臨時情報（巨大地震警戒）発表時＞</w:t>
      </w:r>
    </w:p>
    <w:tbl>
      <w:tblPr>
        <w:tblpPr w:leftFromText="142" w:rightFromText="142" w:vertAnchor="text" w:tblpXSpec="center" w:tblpY="1"/>
        <w:tblOverlap w:val="neve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00"/>
        <w:gridCol w:w="7334"/>
      </w:tblGrid>
      <w:tr w:rsidR="00E0548A" w:rsidRPr="00E0548A" w14:paraId="106682A0" w14:textId="77777777" w:rsidTr="008C78D9">
        <w:trPr>
          <w:jc w:val="center"/>
        </w:trPr>
        <w:tc>
          <w:tcPr>
            <w:tcW w:w="1500" w:type="dxa"/>
            <w:tcBorders>
              <w:bottom w:val="single" w:sz="4" w:space="0" w:color="auto"/>
            </w:tcBorders>
            <w:shd w:val="clear" w:color="auto" w:fill="BFBFBF"/>
          </w:tcPr>
          <w:p w14:paraId="3E99C172" w14:textId="77777777" w:rsidR="007650CC" w:rsidRPr="00E0548A" w:rsidRDefault="007650CC" w:rsidP="008C78D9">
            <w:pPr>
              <w:jc w:val="center"/>
              <w:rPr>
                <w:rFonts w:ascii="ＭＳ 明朝" w:hAnsi="ＭＳ 明朝"/>
                <w:szCs w:val="21"/>
              </w:rPr>
            </w:pPr>
            <w:r w:rsidRPr="00E0548A">
              <w:rPr>
                <w:rFonts w:ascii="ＭＳ 明朝" w:hAnsi="ＭＳ 明朝" w:hint="eastAsia"/>
                <w:szCs w:val="21"/>
              </w:rPr>
              <w:t>臨時情報</w:t>
            </w:r>
          </w:p>
        </w:tc>
        <w:tc>
          <w:tcPr>
            <w:tcW w:w="7334" w:type="dxa"/>
            <w:tcBorders>
              <w:bottom w:val="single" w:sz="4" w:space="0" w:color="auto"/>
            </w:tcBorders>
            <w:shd w:val="clear" w:color="auto" w:fill="BFBFBF"/>
          </w:tcPr>
          <w:p w14:paraId="2B9F1146" w14:textId="77777777" w:rsidR="007650CC" w:rsidRPr="00E0548A" w:rsidRDefault="007650CC" w:rsidP="008C78D9">
            <w:pPr>
              <w:jc w:val="center"/>
              <w:rPr>
                <w:rFonts w:ascii="ＭＳ 明朝" w:hAnsi="ＭＳ 明朝"/>
                <w:szCs w:val="21"/>
              </w:rPr>
            </w:pPr>
            <w:r w:rsidRPr="00E0548A">
              <w:rPr>
                <w:rFonts w:ascii="ＭＳ 明朝" w:hAnsi="ＭＳ 明朝" w:hint="eastAsia"/>
                <w:szCs w:val="21"/>
              </w:rPr>
              <w:t>主な応急対策業務</w:t>
            </w:r>
          </w:p>
        </w:tc>
      </w:tr>
      <w:tr w:rsidR="00E0548A" w:rsidRPr="00E0548A" w14:paraId="0DEB535F" w14:textId="77777777" w:rsidTr="008C78D9">
        <w:trPr>
          <w:jc w:val="center"/>
        </w:trPr>
        <w:tc>
          <w:tcPr>
            <w:tcW w:w="1500" w:type="dxa"/>
          </w:tcPr>
          <w:p w14:paraId="47ADDF95" w14:textId="77777777" w:rsidR="007650CC" w:rsidRPr="00E0548A" w:rsidRDefault="007650CC" w:rsidP="008C78D9">
            <w:pPr>
              <w:rPr>
                <w:rFonts w:ascii="ＭＳ 明朝" w:hAnsi="ＭＳ 明朝"/>
                <w:szCs w:val="21"/>
              </w:rPr>
            </w:pPr>
            <w:r w:rsidRPr="00E0548A">
              <w:rPr>
                <w:rFonts w:ascii="ＭＳ 明朝" w:hAnsi="ＭＳ 明朝" w:hint="eastAsia"/>
                <w:szCs w:val="21"/>
              </w:rPr>
              <w:t>巨大地震警戒</w:t>
            </w:r>
          </w:p>
        </w:tc>
        <w:tc>
          <w:tcPr>
            <w:tcW w:w="7334" w:type="dxa"/>
          </w:tcPr>
          <w:p w14:paraId="66CF3533" w14:textId="77777777" w:rsidR="00BF3FE2" w:rsidRPr="00E0548A" w:rsidRDefault="00BF3FE2" w:rsidP="00BF3FE2">
            <w:pPr>
              <w:rPr>
                <w:rFonts w:ascii="ＭＳ 明朝" w:hAnsi="ＭＳ 明朝"/>
              </w:rPr>
            </w:pPr>
            <w:r w:rsidRPr="00E0548A">
              <w:rPr>
                <w:rFonts w:ascii="ＭＳ 明朝" w:hAnsi="ＭＳ 明朝" w:hint="eastAsia"/>
              </w:rPr>
              <w:t>○地震発災後、応急対策業務（第１フェーズ）を速やかに実施できる準備</w:t>
            </w:r>
          </w:p>
          <w:p w14:paraId="3638D2D9" w14:textId="77777777" w:rsidR="00BF3FE2" w:rsidRPr="00E0548A" w:rsidRDefault="00BF3FE2" w:rsidP="00BF3FE2">
            <w:pPr>
              <w:ind w:firstLineChars="100" w:firstLine="211"/>
              <w:rPr>
                <w:rFonts w:ascii="ＭＳ 明朝" w:hAnsi="ＭＳ 明朝"/>
              </w:rPr>
            </w:pPr>
            <w:r w:rsidRPr="00E0548A">
              <w:rPr>
                <w:rFonts w:ascii="ＭＳ 明朝" w:hAnsi="ＭＳ 明朝" w:hint="eastAsia"/>
              </w:rPr>
              <w:t>体制を維持</w:t>
            </w:r>
          </w:p>
          <w:p w14:paraId="169A4E5F" w14:textId="77777777" w:rsidR="007F681D" w:rsidRPr="00E0548A" w:rsidRDefault="007F681D" w:rsidP="007F681D">
            <w:pPr>
              <w:rPr>
                <w:rFonts w:ascii="ＭＳ 明朝" w:hAnsi="ＭＳ 明朝"/>
              </w:rPr>
            </w:pPr>
            <w:r w:rsidRPr="00E0548A">
              <w:rPr>
                <w:rFonts w:ascii="ＭＳ 明朝" w:hAnsi="ＭＳ 明朝" w:hint="eastAsia"/>
              </w:rPr>
              <w:t>○所管イベントの開催可否の判断【各所管所属】</w:t>
            </w:r>
          </w:p>
          <w:p w14:paraId="3CFDA932" w14:textId="77777777" w:rsidR="00BF3FE2" w:rsidRPr="00E0548A" w:rsidRDefault="00BF3FE2" w:rsidP="00BF3FE2">
            <w:pPr>
              <w:rPr>
                <w:rFonts w:ascii="ＭＳ 明朝" w:hAnsi="ＭＳ 明朝"/>
              </w:rPr>
            </w:pPr>
            <w:r w:rsidRPr="00E0548A">
              <w:rPr>
                <w:rFonts w:ascii="ＭＳ 明朝" w:hAnsi="ＭＳ 明朝" w:hint="eastAsia"/>
              </w:rPr>
              <w:t>○公用車等の点検・給油【万博】</w:t>
            </w:r>
          </w:p>
          <w:p w14:paraId="6A50BF40" w14:textId="77777777" w:rsidR="00BF3FE2" w:rsidRPr="00E0548A" w:rsidRDefault="00BF3FE2" w:rsidP="00BF3FE2">
            <w:pPr>
              <w:rPr>
                <w:rFonts w:ascii="ＭＳ 明朝" w:hAnsi="ＭＳ 明朝"/>
              </w:rPr>
            </w:pPr>
            <w:r w:rsidRPr="00E0548A">
              <w:rPr>
                <w:rFonts w:ascii="ＭＳ 明朝" w:hAnsi="ＭＳ 明朝" w:hint="eastAsia"/>
              </w:rPr>
              <w:t>○各種システムの運用方法の確認等【万博】</w:t>
            </w:r>
          </w:p>
          <w:p w14:paraId="088914B0" w14:textId="48918220" w:rsidR="007650CC" w:rsidRPr="00E0548A" w:rsidRDefault="00BF3FE2" w:rsidP="00BF3FE2">
            <w:pPr>
              <w:spacing w:line="320" w:lineRule="exact"/>
              <w:ind w:left="211" w:hangingChars="100" w:hanging="211"/>
              <w:rPr>
                <w:rFonts w:ascii="ＭＳ 明朝" w:hAnsi="ＭＳ 明朝"/>
                <w:szCs w:val="21"/>
              </w:rPr>
            </w:pPr>
            <w:r w:rsidRPr="00E0548A">
              <w:rPr>
                <w:rFonts w:ascii="ＭＳ 明朝" w:hAnsi="ＭＳ 明朝" w:hint="eastAsia"/>
              </w:rPr>
              <w:t>○北部広域防災拠点、後方支援活動拠点の点検準備等【万博】</w:t>
            </w:r>
          </w:p>
        </w:tc>
      </w:tr>
    </w:tbl>
    <w:p w14:paraId="17EA162B" w14:textId="77777777" w:rsidR="007650CC" w:rsidRPr="00E0548A" w:rsidRDefault="007650CC" w:rsidP="007650CC">
      <w:pPr>
        <w:rPr>
          <w:rFonts w:ascii="ＭＳ 明朝" w:hAnsi="ＭＳ 明朝"/>
          <w:szCs w:val="21"/>
        </w:rPr>
      </w:pPr>
      <w:r w:rsidRPr="00E0548A">
        <w:rPr>
          <w:rFonts w:ascii="ＭＳ 明朝" w:hAnsi="ＭＳ 明朝" w:hint="eastAsia"/>
          <w:szCs w:val="21"/>
        </w:rPr>
        <w:t>「南海トラフ地震臨時情報（巨大地震警戒）」が発表され、「巨大地震警戒対応期間」（１週間）が経過した際は、「巨大地震注意対応期間」へ移行。</w:t>
      </w:r>
    </w:p>
    <w:p w14:paraId="0A611B02" w14:textId="77777777" w:rsidR="007650CC" w:rsidRPr="00E0548A" w:rsidRDefault="007650CC" w:rsidP="007650CC">
      <w:pPr>
        <w:rPr>
          <w:rFonts w:ascii="ＭＳ 明朝" w:hAnsi="ＭＳ 明朝"/>
          <w:szCs w:val="21"/>
        </w:rPr>
      </w:pPr>
    </w:p>
    <w:p w14:paraId="4A55D5B9" w14:textId="0320C74F" w:rsidR="007650CC" w:rsidRPr="00E0548A" w:rsidRDefault="007650CC" w:rsidP="007650CC">
      <w:pPr>
        <w:pStyle w:val="af4"/>
        <w:ind w:leftChars="0" w:left="0"/>
        <w:rPr>
          <w:rFonts w:ascii="ＭＳ ゴシック" w:eastAsia="ＭＳ ゴシック" w:hAnsi="ＭＳ ゴシック"/>
          <w:szCs w:val="21"/>
        </w:rPr>
      </w:pPr>
      <w:r w:rsidRPr="00E0548A">
        <w:rPr>
          <w:rFonts w:ascii="ＭＳ ゴシック" w:eastAsia="ＭＳ ゴシック" w:hAnsi="ＭＳ ゴシック" w:hint="eastAsia"/>
          <w:szCs w:val="21"/>
        </w:rPr>
        <w:t>＜南海トラフ地震臨時情報（巨大地震注意）発表時</w:t>
      </w:r>
      <w:r w:rsidR="002F25B5" w:rsidRPr="00E0548A">
        <w:rPr>
          <w:rFonts w:ascii="ＭＳ ゴシック" w:eastAsia="ＭＳ ゴシック" w:hAnsi="ＭＳ ゴシック" w:hint="eastAsia"/>
          <w:szCs w:val="21"/>
        </w:rPr>
        <w:t>（</w:t>
      </w:r>
      <w:r w:rsidR="002F25B5" w:rsidRPr="00E0548A">
        <w:rPr>
          <w:rFonts w:ascii="ＭＳ 明朝" w:hAnsi="ＭＳ 明朝" w:hint="eastAsia"/>
          <w:szCs w:val="21"/>
        </w:rPr>
        <w:t>巨大地震警戒からの移行時を含む</w:t>
      </w:r>
      <w:r w:rsidR="002F25B5" w:rsidRPr="00E0548A">
        <w:rPr>
          <w:rFonts w:ascii="ＭＳ ゴシック" w:eastAsia="ＭＳ ゴシック" w:hAnsi="ＭＳ ゴシック" w:hint="eastAsia"/>
          <w:szCs w:val="21"/>
        </w:rPr>
        <w:t>）</w:t>
      </w:r>
      <w:r w:rsidRPr="00E0548A">
        <w:rPr>
          <w:rFonts w:ascii="ＭＳ ゴシック" w:eastAsia="ＭＳ ゴシック" w:hAnsi="ＭＳ ゴシック" w:hint="eastAsia"/>
          <w:szCs w:val="21"/>
        </w:rPr>
        <w:t>＞</w:t>
      </w:r>
    </w:p>
    <w:tbl>
      <w:tblPr>
        <w:tblpPr w:leftFromText="142" w:rightFromText="142" w:vertAnchor="text" w:tblpXSpec="center" w:tblpY="1"/>
        <w:tblOverlap w:val="neve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00"/>
        <w:gridCol w:w="7334"/>
      </w:tblGrid>
      <w:tr w:rsidR="00E0548A" w:rsidRPr="00E0548A" w14:paraId="2A862942" w14:textId="77777777" w:rsidTr="008C78D9">
        <w:trPr>
          <w:jc w:val="center"/>
        </w:trPr>
        <w:tc>
          <w:tcPr>
            <w:tcW w:w="1500" w:type="dxa"/>
            <w:tcBorders>
              <w:bottom w:val="single" w:sz="4" w:space="0" w:color="auto"/>
            </w:tcBorders>
            <w:shd w:val="clear" w:color="auto" w:fill="BFBFBF"/>
          </w:tcPr>
          <w:p w14:paraId="59F4E44F" w14:textId="77777777" w:rsidR="007650CC" w:rsidRPr="00E0548A" w:rsidRDefault="007650CC" w:rsidP="008C78D9">
            <w:pPr>
              <w:jc w:val="center"/>
              <w:rPr>
                <w:rFonts w:ascii="ＭＳ 明朝" w:hAnsi="ＭＳ 明朝"/>
                <w:szCs w:val="21"/>
              </w:rPr>
            </w:pPr>
            <w:r w:rsidRPr="00E0548A">
              <w:rPr>
                <w:rFonts w:ascii="ＭＳ 明朝" w:hAnsi="ＭＳ 明朝" w:hint="eastAsia"/>
                <w:szCs w:val="21"/>
              </w:rPr>
              <w:t>臨時情報</w:t>
            </w:r>
          </w:p>
        </w:tc>
        <w:tc>
          <w:tcPr>
            <w:tcW w:w="7334" w:type="dxa"/>
            <w:tcBorders>
              <w:bottom w:val="single" w:sz="4" w:space="0" w:color="auto"/>
            </w:tcBorders>
            <w:shd w:val="clear" w:color="auto" w:fill="BFBFBF"/>
          </w:tcPr>
          <w:p w14:paraId="22E79D31" w14:textId="77777777" w:rsidR="007650CC" w:rsidRPr="00E0548A" w:rsidRDefault="007650CC" w:rsidP="008C78D9">
            <w:pPr>
              <w:jc w:val="center"/>
              <w:rPr>
                <w:rFonts w:ascii="ＭＳ 明朝" w:hAnsi="ＭＳ 明朝"/>
                <w:szCs w:val="21"/>
              </w:rPr>
            </w:pPr>
            <w:r w:rsidRPr="00E0548A">
              <w:rPr>
                <w:rFonts w:ascii="ＭＳ 明朝" w:hAnsi="ＭＳ 明朝" w:hint="eastAsia"/>
                <w:szCs w:val="21"/>
              </w:rPr>
              <w:t>主な応急対策業務</w:t>
            </w:r>
          </w:p>
        </w:tc>
      </w:tr>
      <w:tr w:rsidR="00E0548A" w:rsidRPr="00E0548A" w14:paraId="02462EA2" w14:textId="77777777" w:rsidTr="008C78D9">
        <w:trPr>
          <w:jc w:val="center"/>
        </w:trPr>
        <w:tc>
          <w:tcPr>
            <w:tcW w:w="1500" w:type="dxa"/>
          </w:tcPr>
          <w:p w14:paraId="77E99540" w14:textId="77777777" w:rsidR="007650CC" w:rsidRPr="00E0548A" w:rsidRDefault="007650CC" w:rsidP="008C78D9">
            <w:pPr>
              <w:rPr>
                <w:rFonts w:ascii="ＭＳ 明朝" w:hAnsi="ＭＳ 明朝"/>
                <w:szCs w:val="21"/>
              </w:rPr>
            </w:pPr>
            <w:r w:rsidRPr="00E0548A">
              <w:rPr>
                <w:rFonts w:ascii="ＭＳ 明朝" w:hAnsi="ＭＳ 明朝" w:hint="eastAsia"/>
                <w:szCs w:val="21"/>
              </w:rPr>
              <w:t>巨大地震注意</w:t>
            </w:r>
          </w:p>
        </w:tc>
        <w:tc>
          <w:tcPr>
            <w:tcW w:w="7334" w:type="dxa"/>
          </w:tcPr>
          <w:p w14:paraId="704C98E7" w14:textId="77777777" w:rsidR="00BF3FE2" w:rsidRPr="00E0548A" w:rsidRDefault="00BF3FE2" w:rsidP="00BF3FE2">
            <w:pPr>
              <w:rPr>
                <w:rFonts w:ascii="ＭＳ 明朝" w:hAnsi="ＭＳ 明朝"/>
              </w:rPr>
            </w:pPr>
            <w:r w:rsidRPr="00E0548A">
              <w:rPr>
                <w:rFonts w:ascii="ＭＳ 明朝" w:hAnsi="ＭＳ 明朝" w:hint="eastAsia"/>
              </w:rPr>
              <w:t>○地震発災に備えた情報連絡体制の維持</w:t>
            </w:r>
          </w:p>
          <w:p w14:paraId="4592BF44" w14:textId="77777777" w:rsidR="00BF3FE2" w:rsidRPr="00E0548A" w:rsidRDefault="00BF3FE2" w:rsidP="00BF3FE2">
            <w:pPr>
              <w:rPr>
                <w:rFonts w:ascii="ＭＳ 明朝" w:hAnsi="ＭＳ 明朝"/>
              </w:rPr>
            </w:pPr>
            <w:r w:rsidRPr="00E0548A">
              <w:rPr>
                <w:rFonts w:ascii="ＭＳ 明朝" w:hAnsi="ＭＳ 明朝" w:hint="eastAsia"/>
              </w:rPr>
              <w:t>○公用車等の点検・給油【万博】</w:t>
            </w:r>
          </w:p>
          <w:p w14:paraId="29C07C88" w14:textId="77777777" w:rsidR="00BF3FE2" w:rsidRPr="00E0548A" w:rsidRDefault="00BF3FE2" w:rsidP="00BF3FE2">
            <w:pPr>
              <w:rPr>
                <w:rFonts w:ascii="ＭＳ 明朝" w:hAnsi="ＭＳ 明朝"/>
              </w:rPr>
            </w:pPr>
            <w:r w:rsidRPr="00E0548A">
              <w:rPr>
                <w:rFonts w:ascii="ＭＳ 明朝" w:hAnsi="ＭＳ 明朝" w:hint="eastAsia"/>
              </w:rPr>
              <w:t>○各種システムの運用方法の確認等【万博】</w:t>
            </w:r>
          </w:p>
          <w:p w14:paraId="1FC2766E" w14:textId="2451B7FA" w:rsidR="00FB2BB1" w:rsidRPr="00E0548A" w:rsidRDefault="00BF3FE2" w:rsidP="00BF3FE2">
            <w:pPr>
              <w:rPr>
                <w:rFonts w:ascii="ＭＳ 明朝" w:hAnsi="ＭＳ 明朝"/>
                <w:szCs w:val="21"/>
              </w:rPr>
            </w:pPr>
            <w:r w:rsidRPr="00E0548A">
              <w:rPr>
                <w:rFonts w:ascii="ＭＳ 明朝" w:hAnsi="ＭＳ 明朝" w:hint="eastAsia"/>
              </w:rPr>
              <w:t>○北部広域防災拠点、後方支援活動拠点の点検準備等【万博】</w:t>
            </w:r>
          </w:p>
        </w:tc>
      </w:tr>
    </w:tbl>
    <w:p w14:paraId="5977BA11" w14:textId="77777777" w:rsidR="007650CC" w:rsidRPr="00E0548A" w:rsidRDefault="007650CC" w:rsidP="007650CC">
      <w:pPr>
        <w:rPr>
          <w:rFonts w:ascii="ＭＳ 明朝" w:hAnsi="ＭＳ 明朝"/>
          <w:szCs w:val="21"/>
        </w:rPr>
      </w:pPr>
    </w:p>
    <w:p w14:paraId="5C94568D" w14:textId="77777777" w:rsidR="00BD6692" w:rsidRPr="00E0548A" w:rsidRDefault="00BD6692" w:rsidP="00BD6692">
      <w:pPr>
        <w:ind w:firstLineChars="100" w:firstLine="211"/>
        <w:rPr>
          <w:rFonts w:ascii="ＭＳ 明朝" w:hAnsi="ＭＳ 明朝"/>
          <w:szCs w:val="21"/>
        </w:rPr>
      </w:pPr>
      <w:r w:rsidRPr="00E0548A">
        <w:rPr>
          <w:rFonts w:ascii="ＭＳ 明朝" w:hAnsi="ＭＳ 明朝" w:hint="eastAsia"/>
          <w:szCs w:val="21"/>
        </w:rPr>
        <w:t>なお、南海トラフ地震臨時情報（巨大地震警戒及び注意）発表時の主な所管施設等については、前述する＜災害発生時＞に記載する内容と同様。</w:t>
      </w:r>
    </w:p>
    <w:p w14:paraId="4CD51D8A" w14:textId="77777777" w:rsidR="007650CC" w:rsidRPr="00E0548A" w:rsidRDefault="007650CC" w:rsidP="009078F5">
      <w:pPr>
        <w:rPr>
          <w:rFonts w:ascii="ＭＳ 明朝" w:hAnsi="ＭＳ 明朝"/>
          <w:szCs w:val="21"/>
        </w:rPr>
      </w:pPr>
    </w:p>
    <w:p w14:paraId="2B4259D6" w14:textId="77777777" w:rsidR="00D95C46" w:rsidRPr="00E0548A" w:rsidRDefault="00D95C46">
      <w:pPr>
        <w:widowControl/>
        <w:jc w:val="left"/>
        <w:rPr>
          <w:rFonts w:ascii="ＭＳ 明朝" w:hAnsi="ＭＳ 明朝"/>
          <w:szCs w:val="21"/>
        </w:rPr>
      </w:pPr>
      <w:r w:rsidRPr="00E0548A">
        <w:rPr>
          <w:rFonts w:ascii="ＭＳ 明朝" w:hAnsi="ＭＳ 明朝"/>
          <w:szCs w:val="21"/>
        </w:rPr>
        <w:br w:type="page"/>
      </w:r>
    </w:p>
    <w:p w14:paraId="2B7D2276" w14:textId="53B51D88" w:rsidR="008B4B2B" w:rsidRPr="00E0548A" w:rsidRDefault="008B4B2B" w:rsidP="008B4B2B">
      <w:pPr>
        <w:rPr>
          <w:rFonts w:ascii="ＭＳ ゴシック" w:eastAsia="ＭＳ ゴシック" w:hAnsi="ＭＳ ゴシック"/>
          <w:szCs w:val="21"/>
        </w:rPr>
      </w:pPr>
      <w:r w:rsidRPr="00E0548A">
        <w:rPr>
          <w:rFonts w:ascii="ＭＳ ゴシック" w:eastAsia="ＭＳ ゴシック" w:hAnsi="ＭＳ ゴシック" w:hint="eastAsia"/>
          <w:szCs w:val="21"/>
        </w:rPr>
        <w:lastRenderedPageBreak/>
        <w:t>⑦ＩＲ推進局</w:t>
      </w:r>
    </w:p>
    <w:p w14:paraId="0DABEBFF" w14:textId="77777777" w:rsidR="002C01FF" w:rsidRPr="00E0548A" w:rsidRDefault="002C01FF" w:rsidP="002C01FF">
      <w:pPr>
        <w:pStyle w:val="af4"/>
        <w:ind w:leftChars="0" w:left="0"/>
        <w:rPr>
          <w:rFonts w:ascii="ＭＳ ゴシック" w:eastAsia="ＭＳ ゴシック" w:hAnsi="ＭＳ ゴシック"/>
          <w:szCs w:val="21"/>
        </w:rPr>
      </w:pPr>
      <w:r w:rsidRPr="00E0548A">
        <w:rPr>
          <w:rFonts w:ascii="ＭＳ ゴシック" w:eastAsia="ＭＳ ゴシック" w:hAnsi="ＭＳ ゴシック" w:hint="eastAsia"/>
          <w:szCs w:val="21"/>
        </w:rPr>
        <w:t>＜災害発生時＞</w:t>
      </w:r>
    </w:p>
    <w:tbl>
      <w:tblPr>
        <w:tblpPr w:leftFromText="142" w:rightFromText="142" w:vertAnchor="text" w:tblpXSpec="center" w:tblpY="1"/>
        <w:tblOverlap w:val="neve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26"/>
        <w:gridCol w:w="7176"/>
      </w:tblGrid>
      <w:tr w:rsidR="00E0548A" w:rsidRPr="00E0548A" w14:paraId="130CF514" w14:textId="77777777" w:rsidTr="008B4B2B">
        <w:trPr>
          <w:jc w:val="center"/>
        </w:trPr>
        <w:tc>
          <w:tcPr>
            <w:tcW w:w="1526" w:type="dxa"/>
            <w:shd w:val="clear" w:color="auto" w:fill="BFBFBF"/>
          </w:tcPr>
          <w:p w14:paraId="7A9FD9C9" w14:textId="77777777" w:rsidR="008B4B2B" w:rsidRPr="00E0548A" w:rsidRDefault="008B4B2B" w:rsidP="008B4B2B">
            <w:pPr>
              <w:jc w:val="center"/>
              <w:rPr>
                <w:rFonts w:ascii="ＭＳ 明朝" w:hAnsi="ＭＳ 明朝"/>
                <w:szCs w:val="21"/>
              </w:rPr>
            </w:pPr>
            <w:r w:rsidRPr="00E0548A">
              <w:rPr>
                <w:rFonts w:ascii="ＭＳ 明朝" w:hAnsi="ＭＳ 明朝" w:hint="eastAsia"/>
                <w:szCs w:val="21"/>
              </w:rPr>
              <w:t>フェーズ</w:t>
            </w:r>
          </w:p>
        </w:tc>
        <w:tc>
          <w:tcPr>
            <w:tcW w:w="7176" w:type="dxa"/>
            <w:shd w:val="clear" w:color="auto" w:fill="BFBFBF"/>
          </w:tcPr>
          <w:p w14:paraId="6172FAD0" w14:textId="77777777" w:rsidR="008B4B2B" w:rsidRPr="00E0548A" w:rsidRDefault="008B4B2B" w:rsidP="008B4B2B">
            <w:pPr>
              <w:jc w:val="center"/>
              <w:rPr>
                <w:rFonts w:ascii="ＭＳ 明朝" w:hAnsi="ＭＳ 明朝"/>
                <w:szCs w:val="21"/>
              </w:rPr>
            </w:pPr>
            <w:r w:rsidRPr="00E0548A">
              <w:rPr>
                <w:rFonts w:ascii="ＭＳ 明朝" w:hAnsi="ＭＳ 明朝" w:hint="eastAsia"/>
                <w:szCs w:val="21"/>
              </w:rPr>
              <w:t>主な応急対策業務</w:t>
            </w:r>
          </w:p>
        </w:tc>
      </w:tr>
      <w:tr w:rsidR="00E0548A" w:rsidRPr="00E0548A" w14:paraId="35D6F6C6" w14:textId="77777777" w:rsidTr="008B4B2B">
        <w:trPr>
          <w:jc w:val="center"/>
        </w:trPr>
        <w:tc>
          <w:tcPr>
            <w:tcW w:w="1526" w:type="dxa"/>
          </w:tcPr>
          <w:p w14:paraId="7322A8E0" w14:textId="77777777" w:rsidR="008B4B2B" w:rsidRPr="00E0548A" w:rsidRDefault="008B4B2B" w:rsidP="008B4B2B">
            <w:pPr>
              <w:rPr>
                <w:rFonts w:ascii="ＭＳ 明朝" w:hAnsi="ＭＳ 明朝"/>
                <w:szCs w:val="21"/>
              </w:rPr>
            </w:pPr>
            <w:r w:rsidRPr="00E0548A">
              <w:rPr>
                <w:rFonts w:ascii="ＭＳ 明朝" w:hAnsi="ＭＳ 明朝" w:hint="eastAsia"/>
                <w:szCs w:val="21"/>
              </w:rPr>
              <w:t>第1フェーズ</w:t>
            </w:r>
          </w:p>
          <w:p w14:paraId="13B58473" w14:textId="77777777" w:rsidR="008B4B2B" w:rsidRPr="00E0548A" w:rsidRDefault="008B4B2B" w:rsidP="008B4B2B">
            <w:pPr>
              <w:rPr>
                <w:rFonts w:ascii="ＭＳ 明朝" w:hAnsi="ＭＳ 明朝"/>
                <w:szCs w:val="21"/>
              </w:rPr>
            </w:pPr>
            <w:r w:rsidRPr="00E0548A">
              <w:rPr>
                <w:rFonts w:ascii="ＭＳ 明朝" w:hAnsi="ＭＳ 明朝" w:hint="eastAsia"/>
                <w:szCs w:val="21"/>
              </w:rPr>
              <w:t>(3時間まで)</w:t>
            </w:r>
          </w:p>
          <w:p w14:paraId="35A6F8FC" w14:textId="77777777" w:rsidR="008B4B2B" w:rsidRPr="00E0548A" w:rsidRDefault="008B4B2B" w:rsidP="008B4B2B">
            <w:pPr>
              <w:rPr>
                <w:rFonts w:ascii="ＭＳ 明朝" w:hAnsi="ＭＳ 明朝"/>
                <w:szCs w:val="21"/>
              </w:rPr>
            </w:pPr>
          </w:p>
        </w:tc>
        <w:tc>
          <w:tcPr>
            <w:tcW w:w="7176" w:type="dxa"/>
          </w:tcPr>
          <w:p w14:paraId="61AAA0C7" w14:textId="77777777" w:rsidR="008B4B2B" w:rsidRPr="00E0548A" w:rsidRDefault="008B4B2B" w:rsidP="008B4B2B">
            <w:pPr>
              <w:rPr>
                <w:rFonts w:ascii="ＭＳ 明朝" w:hAnsi="ＭＳ 明朝"/>
                <w:szCs w:val="21"/>
              </w:rPr>
            </w:pPr>
            <w:r w:rsidRPr="00E0548A">
              <w:rPr>
                <w:rFonts w:ascii="ＭＳ 明朝" w:hAnsi="ＭＳ 明朝" w:hint="eastAsia"/>
                <w:szCs w:val="21"/>
              </w:rPr>
              <w:t>○初動対応、体制の確立</w:t>
            </w:r>
          </w:p>
          <w:p w14:paraId="69E6EC33" w14:textId="77777777" w:rsidR="008B4B2B" w:rsidRPr="00E0548A" w:rsidRDefault="008B4B2B" w:rsidP="008B4B2B">
            <w:pPr>
              <w:ind w:firstLine="1"/>
              <w:rPr>
                <w:rFonts w:ascii="ＭＳ 明朝" w:hAnsi="ＭＳ 明朝"/>
                <w:szCs w:val="21"/>
              </w:rPr>
            </w:pPr>
            <w:r w:rsidRPr="00E0548A">
              <w:rPr>
                <w:rFonts w:ascii="ＭＳ 明朝" w:hAnsi="ＭＳ 明朝" w:hint="eastAsia"/>
                <w:szCs w:val="21"/>
              </w:rPr>
              <w:t>○局内職員の安否確認と参集状況の把握、報告【企画課】</w:t>
            </w:r>
          </w:p>
          <w:p w14:paraId="7F637868" w14:textId="77777777" w:rsidR="008B4B2B" w:rsidRPr="00E0548A" w:rsidRDefault="008B4B2B" w:rsidP="008B4B2B">
            <w:pPr>
              <w:rPr>
                <w:rFonts w:ascii="ＭＳ 明朝" w:hAnsi="ＭＳ 明朝"/>
                <w:szCs w:val="21"/>
              </w:rPr>
            </w:pPr>
            <w:r w:rsidRPr="00E0548A">
              <w:rPr>
                <w:rFonts w:ascii="ＭＳ 明朝" w:hAnsi="ＭＳ 明朝" w:hint="eastAsia"/>
                <w:szCs w:val="21"/>
              </w:rPr>
              <w:t>○職員・来庁者の救助・搬送【各所属】</w:t>
            </w:r>
          </w:p>
          <w:p w14:paraId="5B004EAC" w14:textId="6FDFC9B4" w:rsidR="00BF3FE2" w:rsidRPr="00E0548A" w:rsidRDefault="00BF3FE2" w:rsidP="008B4B2B">
            <w:pPr>
              <w:rPr>
                <w:rFonts w:ascii="ＭＳ 明朝" w:hAnsi="ＭＳ 明朝"/>
                <w:szCs w:val="21"/>
              </w:rPr>
            </w:pPr>
            <w:r w:rsidRPr="00E0548A">
              <w:rPr>
                <w:rFonts w:ascii="ＭＳ 明朝" w:hAnsi="ＭＳ 明朝" w:hint="eastAsia"/>
                <w:kern w:val="0"/>
                <w:szCs w:val="21"/>
              </w:rPr>
              <w:t>○関係機関からの情報収集・整理及び連絡調整【各所属】</w:t>
            </w:r>
          </w:p>
        </w:tc>
      </w:tr>
      <w:tr w:rsidR="00E0548A" w:rsidRPr="00E0548A" w14:paraId="7593D9AC" w14:textId="77777777" w:rsidTr="008B4B2B">
        <w:trPr>
          <w:jc w:val="center"/>
        </w:trPr>
        <w:tc>
          <w:tcPr>
            <w:tcW w:w="1526" w:type="dxa"/>
          </w:tcPr>
          <w:p w14:paraId="12C5DF0D" w14:textId="77777777" w:rsidR="008B4B2B" w:rsidRPr="00E0548A" w:rsidRDefault="008B4B2B" w:rsidP="008B4B2B">
            <w:pPr>
              <w:rPr>
                <w:rFonts w:ascii="ＭＳ 明朝" w:hAnsi="ＭＳ 明朝"/>
                <w:szCs w:val="21"/>
              </w:rPr>
            </w:pPr>
            <w:r w:rsidRPr="00E0548A">
              <w:rPr>
                <w:rFonts w:ascii="ＭＳ 明朝" w:hAnsi="ＭＳ 明朝" w:hint="eastAsia"/>
                <w:szCs w:val="21"/>
              </w:rPr>
              <w:t>第2フェーズ</w:t>
            </w:r>
          </w:p>
          <w:p w14:paraId="4C0AB663" w14:textId="77777777" w:rsidR="008B4B2B" w:rsidRPr="00E0548A" w:rsidRDefault="008B4B2B" w:rsidP="008B4B2B">
            <w:pPr>
              <w:rPr>
                <w:rFonts w:ascii="ＭＳ 明朝" w:hAnsi="ＭＳ 明朝"/>
                <w:szCs w:val="21"/>
              </w:rPr>
            </w:pPr>
            <w:r w:rsidRPr="00E0548A">
              <w:rPr>
                <w:rFonts w:ascii="ＭＳ 明朝" w:hAnsi="ＭＳ 明朝" w:hint="eastAsia"/>
                <w:szCs w:val="21"/>
              </w:rPr>
              <w:t>(24時間まで)</w:t>
            </w:r>
          </w:p>
        </w:tc>
        <w:tc>
          <w:tcPr>
            <w:tcW w:w="7176" w:type="dxa"/>
          </w:tcPr>
          <w:p w14:paraId="7B40447A" w14:textId="77777777" w:rsidR="008B4B2B" w:rsidRPr="00E0548A" w:rsidRDefault="008B4B2B" w:rsidP="008B4B2B">
            <w:pPr>
              <w:rPr>
                <w:rFonts w:ascii="ＭＳ 明朝" w:hAnsi="ＭＳ 明朝"/>
                <w:szCs w:val="21"/>
              </w:rPr>
            </w:pPr>
            <w:r w:rsidRPr="00E0548A">
              <w:rPr>
                <w:rFonts w:ascii="ＭＳ 明朝" w:hAnsi="ＭＳ 明朝" w:hint="eastAsia"/>
                <w:szCs w:val="21"/>
              </w:rPr>
              <w:t>○所管施設の被害状況の把握、報告及び二次災害防止対策の実施【企画課】</w:t>
            </w:r>
          </w:p>
          <w:p w14:paraId="5203C470" w14:textId="4A2C00AB" w:rsidR="00BF3FE2" w:rsidRPr="00E0548A" w:rsidRDefault="00BF3FE2" w:rsidP="008B4B2B">
            <w:pPr>
              <w:rPr>
                <w:rFonts w:ascii="ＭＳ 明朝" w:hAnsi="ＭＳ 明朝"/>
                <w:szCs w:val="21"/>
              </w:rPr>
            </w:pPr>
            <w:r w:rsidRPr="00E0548A">
              <w:rPr>
                <w:rFonts w:ascii="ＭＳ 明朝" w:hAnsi="ＭＳ 明朝" w:hint="eastAsia"/>
                <w:kern w:val="0"/>
                <w:szCs w:val="21"/>
              </w:rPr>
              <w:t>○関係機関の被害状況の把握、報告及び二次災害防止対策の確認【各所属】</w:t>
            </w:r>
          </w:p>
        </w:tc>
      </w:tr>
      <w:tr w:rsidR="00E0548A" w:rsidRPr="00E0548A" w14:paraId="6C1A1968" w14:textId="77777777" w:rsidTr="008B4B2B">
        <w:trPr>
          <w:jc w:val="center"/>
        </w:trPr>
        <w:tc>
          <w:tcPr>
            <w:tcW w:w="1526" w:type="dxa"/>
          </w:tcPr>
          <w:p w14:paraId="44128548" w14:textId="77777777" w:rsidR="008B4B2B" w:rsidRPr="00E0548A" w:rsidRDefault="008B4B2B" w:rsidP="008B4B2B">
            <w:pPr>
              <w:rPr>
                <w:rFonts w:ascii="ＭＳ 明朝" w:hAnsi="ＭＳ 明朝"/>
                <w:szCs w:val="21"/>
              </w:rPr>
            </w:pPr>
            <w:r w:rsidRPr="00E0548A">
              <w:rPr>
                <w:rFonts w:ascii="ＭＳ 明朝" w:hAnsi="ＭＳ 明朝" w:hint="eastAsia"/>
                <w:szCs w:val="21"/>
              </w:rPr>
              <w:t>第3フェーズ</w:t>
            </w:r>
          </w:p>
          <w:p w14:paraId="15900748" w14:textId="77777777" w:rsidR="008B4B2B" w:rsidRPr="00E0548A" w:rsidRDefault="008B4B2B" w:rsidP="008B4B2B">
            <w:pPr>
              <w:rPr>
                <w:rFonts w:ascii="ＭＳ 明朝" w:hAnsi="ＭＳ 明朝"/>
                <w:szCs w:val="21"/>
              </w:rPr>
            </w:pPr>
            <w:r w:rsidRPr="00E0548A">
              <w:rPr>
                <w:rFonts w:ascii="ＭＳ 明朝" w:hAnsi="ＭＳ 明朝" w:hint="eastAsia"/>
                <w:szCs w:val="21"/>
              </w:rPr>
              <w:t>(72時間まで)</w:t>
            </w:r>
          </w:p>
        </w:tc>
        <w:tc>
          <w:tcPr>
            <w:tcW w:w="7176" w:type="dxa"/>
          </w:tcPr>
          <w:p w14:paraId="51740CC1" w14:textId="77777777" w:rsidR="008B4B2B" w:rsidRPr="00E0548A" w:rsidRDefault="008B4B2B" w:rsidP="008B4B2B">
            <w:pPr>
              <w:rPr>
                <w:rFonts w:ascii="ＭＳ 明朝" w:hAnsi="ＭＳ 明朝"/>
                <w:szCs w:val="21"/>
              </w:rPr>
            </w:pPr>
          </w:p>
        </w:tc>
      </w:tr>
      <w:tr w:rsidR="00E0548A" w:rsidRPr="00E0548A" w14:paraId="0A334AFD" w14:textId="77777777" w:rsidTr="008B4B2B">
        <w:trPr>
          <w:jc w:val="center"/>
        </w:trPr>
        <w:tc>
          <w:tcPr>
            <w:tcW w:w="1526" w:type="dxa"/>
          </w:tcPr>
          <w:p w14:paraId="404DAE0E" w14:textId="77777777" w:rsidR="008B4B2B" w:rsidRPr="00E0548A" w:rsidRDefault="008B4B2B" w:rsidP="008B4B2B">
            <w:pPr>
              <w:rPr>
                <w:rFonts w:ascii="ＭＳ 明朝" w:hAnsi="ＭＳ 明朝"/>
                <w:szCs w:val="21"/>
              </w:rPr>
            </w:pPr>
            <w:r w:rsidRPr="00E0548A">
              <w:rPr>
                <w:rFonts w:ascii="ＭＳ 明朝" w:hAnsi="ＭＳ 明朝" w:hint="eastAsia"/>
                <w:szCs w:val="21"/>
              </w:rPr>
              <w:t>第4フェーズ</w:t>
            </w:r>
          </w:p>
          <w:p w14:paraId="7F1B31EA" w14:textId="77777777" w:rsidR="008B4B2B" w:rsidRPr="00E0548A" w:rsidRDefault="008B4B2B" w:rsidP="008B4B2B">
            <w:pPr>
              <w:rPr>
                <w:rFonts w:ascii="ＭＳ 明朝" w:hAnsi="ＭＳ 明朝"/>
                <w:szCs w:val="21"/>
              </w:rPr>
            </w:pPr>
            <w:r w:rsidRPr="00E0548A">
              <w:rPr>
                <w:rFonts w:ascii="ＭＳ 明朝" w:hAnsi="ＭＳ 明朝" w:hint="eastAsia"/>
                <w:szCs w:val="21"/>
              </w:rPr>
              <w:t>(1週間まで)</w:t>
            </w:r>
          </w:p>
        </w:tc>
        <w:tc>
          <w:tcPr>
            <w:tcW w:w="7176" w:type="dxa"/>
          </w:tcPr>
          <w:p w14:paraId="5156CE40" w14:textId="77777777" w:rsidR="008B4B2B" w:rsidRPr="00E0548A" w:rsidRDefault="008B4B2B" w:rsidP="008B4B2B">
            <w:pPr>
              <w:rPr>
                <w:rFonts w:ascii="ＭＳ 明朝" w:hAnsi="ＭＳ 明朝"/>
                <w:szCs w:val="21"/>
              </w:rPr>
            </w:pPr>
          </w:p>
        </w:tc>
      </w:tr>
      <w:tr w:rsidR="00E0548A" w:rsidRPr="00E0548A" w14:paraId="04DA388A" w14:textId="77777777" w:rsidTr="008B4B2B">
        <w:trPr>
          <w:jc w:val="center"/>
        </w:trPr>
        <w:tc>
          <w:tcPr>
            <w:tcW w:w="1526" w:type="dxa"/>
          </w:tcPr>
          <w:p w14:paraId="6CD0884D" w14:textId="77777777" w:rsidR="008B4B2B" w:rsidRPr="00E0548A" w:rsidRDefault="008B4B2B" w:rsidP="008B4B2B">
            <w:pPr>
              <w:rPr>
                <w:rFonts w:ascii="ＭＳ 明朝" w:hAnsi="ＭＳ 明朝"/>
                <w:szCs w:val="21"/>
              </w:rPr>
            </w:pPr>
            <w:r w:rsidRPr="00E0548A">
              <w:rPr>
                <w:rFonts w:ascii="ＭＳ 明朝" w:hAnsi="ＭＳ 明朝" w:hint="eastAsia"/>
                <w:szCs w:val="21"/>
              </w:rPr>
              <w:t>第5フェーズ</w:t>
            </w:r>
          </w:p>
          <w:p w14:paraId="1709DB40" w14:textId="77777777" w:rsidR="008B4B2B" w:rsidRPr="00E0548A" w:rsidRDefault="008B4B2B" w:rsidP="008B4B2B">
            <w:pPr>
              <w:rPr>
                <w:rFonts w:ascii="ＭＳ 明朝" w:hAnsi="ＭＳ 明朝"/>
                <w:szCs w:val="21"/>
              </w:rPr>
            </w:pPr>
            <w:r w:rsidRPr="00E0548A">
              <w:rPr>
                <w:rFonts w:ascii="ＭＳ 明朝" w:hAnsi="ＭＳ 明朝" w:hint="eastAsia"/>
                <w:szCs w:val="21"/>
              </w:rPr>
              <w:t>(2週間まで)</w:t>
            </w:r>
          </w:p>
        </w:tc>
        <w:tc>
          <w:tcPr>
            <w:tcW w:w="7176" w:type="dxa"/>
          </w:tcPr>
          <w:p w14:paraId="702CE1AA" w14:textId="77777777" w:rsidR="008B4B2B" w:rsidRPr="00E0548A" w:rsidRDefault="008B4B2B" w:rsidP="008B4B2B">
            <w:pPr>
              <w:ind w:left="211" w:hangingChars="100" w:hanging="211"/>
              <w:rPr>
                <w:rFonts w:ascii="ＭＳ 明朝" w:hAnsi="ＭＳ 明朝"/>
                <w:szCs w:val="21"/>
              </w:rPr>
            </w:pPr>
            <w:r w:rsidRPr="00E0548A">
              <w:rPr>
                <w:rFonts w:ascii="ＭＳ 明朝" w:hAnsi="ＭＳ 明朝" w:hint="eastAsia"/>
                <w:szCs w:val="21"/>
              </w:rPr>
              <w:t>○被災所管施設の応急復旧（当該施設において応急的に業務を再開するために実施する措置のことをいう。本格的な復旧作業の前段階。）開始</w:t>
            </w:r>
          </w:p>
        </w:tc>
      </w:tr>
      <w:tr w:rsidR="00E0548A" w:rsidRPr="00E0548A" w14:paraId="5D54FBC8" w14:textId="77777777" w:rsidTr="008B4B2B">
        <w:trPr>
          <w:jc w:val="center"/>
        </w:trPr>
        <w:tc>
          <w:tcPr>
            <w:tcW w:w="1526" w:type="dxa"/>
          </w:tcPr>
          <w:p w14:paraId="42B7AA53" w14:textId="77777777" w:rsidR="008B4B2B" w:rsidRPr="00E0548A" w:rsidRDefault="008B4B2B" w:rsidP="008B4B2B">
            <w:pPr>
              <w:rPr>
                <w:rFonts w:ascii="ＭＳ 明朝" w:hAnsi="ＭＳ 明朝"/>
                <w:szCs w:val="21"/>
              </w:rPr>
            </w:pPr>
            <w:r w:rsidRPr="00E0548A">
              <w:rPr>
                <w:rFonts w:ascii="ＭＳ 明朝" w:hAnsi="ＭＳ 明朝" w:hint="eastAsia"/>
                <w:szCs w:val="21"/>
              </w:rPr>
              <w:t>第6フェーズ</w:t>
            </w:r>
          </w:p>
          <w:p w14:paraId="1B0E01BB" w14:textId="77777777" w:rsidR="008B4B2B" w:rsidRPr="00E0548A" w:rsidRDefault="008B4B2B" w:rsidP="008B4B2B">
            <w:pPr>
              <w:rPr>
                <w:rFonts w:ascii="ＭＳ 明朝" w:hAnsi="ＭＳ 明朝"/>
                <w:szCs w:val="21"/>
              </w:rPr>
            </w:pPr>
            <w:r w:rsidRPr="00E0548A">
              <w:rPr>
                <w:rFonts w:ascii="ＭＳ 明朝" w:hAnsi="ＭＳ 明朝" w:hint="eastAsia"/>
                <w:szCs w:val="21"/>
              </w:rPr>
              <w:t>(1ヶ月まで)</w:t>
            </w:r>
          </w:p>
        </w:tc>
        <w:tc>
          <w:tcPr>
            <w:tcW w:w="7176" w:type="dxa"/>
          </w:tcPr>
          <w:p w14:paraId="036512AB" w14:textId="77777777" w:rsidR="008B4B2B" w:rsidRPr="00E0548A" w:rsidRDefault="008B4B2B" w:rsidP="008B4B2B">
            <w:pPr>
              <w:rPr>
                <w:rFonts w:ascii="ＭＳ ゴシック" w:eastAsia="ＭＳ ゴシック" w:hAnsi="ＭＳ ゴシック"/>
                <w:szCs w:val="21"/>
              </w:rPr>
            </w:pPr>
            <w:r w:rsidRPr="00E0548A">
              <w:rPr>
                <w:rFonts w:ascii="ＭＳ 明朝" w:hAnsi="ＭＳ 明朝" w:hint="eastAsia"/>
                <w:szCs w:val="21"/>
              </w:rPr>
              <w:t>○被災所管施設の応急復旧</w:t>
            </w:r>
          </w:p>
          <w:p w14:paraId="5789D248" w14:textId="77777777" w:rsidR="008B4B2B" w:rsidRPr="00E0548A" w:rsidRDefault="008B4B2B" w:rsidP="008B4B2B">
            <w:pPr>
              <w:rPr>
                <w:rFonts w:ascii="ＭＳ ゴシック" w:eastAsia="ＭＳ ゴシック" w:hAnsi="ＭＳ ゴシック"/>
                <w:szCs w:val="21"/>
              </w:rPr>
            </w:pPr>
          </w:p>
        </w:tc>
      </w:tr>
    </w:tbl>
    <w:p w14:paraId="204C0984" w14:textId="3FEAC2D2" w:rsidR="008B4B2B" w:rsidRPr="00E0548A" w:rsidRDefault="008B4B2B" w:rsidP="008B4B2B">
      <w:pPr>
        <w:rPr>
          <w:rFonts w:ascii="ＭＳ ゴシック" w:eastAsia="ＭＳ ゴシック" w:hAnsi="ＭＳ ゴシック"/>
          <w:sz w:val="22"/>
          <w:szCs w:val="22"/>
        </w:rPr>
      </w:pPr>
    </w:p>
    <w:p w14:paraId="2C40DB1E" w14:textId="77777777" w:rsidR="00E144D7" w:rsidRPr="00E0548A" w:rsidRDefault="00E144D7" w:rsidP="008B4B2B">
      <w:pPr>
        <w:rPr>
          <w:rFonts w:ascii="ＭＳ ゴシック" w:eastAsia="ＭＳ ゴシック" w:hAnsi="ＭＳ ゴシック"/>
          <w:sz w:val="22"/>
          <w:szCs w:val="22"/>
        </w:rPr>
      </w:pPr>
    </w:p>
    <w:p w14:paraId="366AF4C4" w14:textId="77777777" w:rsidR="007650CC" w:rsidRPr="00E0548A" w:rsidRDefault="007650CC" w:rsidP="007650CC">
      <w:pPr>
        <w:pStyle w:val="af4"/>
        <w:ind w:leftChars="0" w:left="0"/>
        <w:rPr>
          <w:rFonts w:ascii="ＭＳ ゴシック" w:eastAsia="ＭＳ ゴシック" w:hAnsi="ＭＳ ゴシック"/>
          <w:szCs w:val="21"/>
        </w:rPr>
      </w:pPr>
      <w:r w:rsidRPr="00E0548A">
        <w:rPr>
          <w:rFonts w:ascii="ＭＳ ゴシック" w:eastAsia="ＭＳ ゴシック" w:hAnsi="ＭＳ ゴシック" w:hint="eastAsia"/>
          <w:szCs w:val="21"/>
        </w:rPr>
        <w:t>＜南海トラフ地震臨時情報（巨大地震警戒）発表時＞</w:t>
      </w:r>
    </w:p>
    <w:tbl>
      <w:tblPr>
        <w:tblpPr w:leftFromText="142" w:rightFromText="142" w:vertAnchor="text" w:tblpXSpec="center" w:tblpY="1"/>
        <w:tblOverlap w:val="neve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00"/>
        <w:gridCol w:w="7334"/>
      </w:tblGrid>
      <w:tr w:rsidR="00E0548A" w:rsidRPr="00E0548A" w14:paraId="4B5CA6EA" w14:textId="77777777" w:rsidTr="008C78D9">
        <w:trPr>
          <w:jc w:val="center"/>
        </w:trPr>
        <w:tc>
          <w:tcPr>
            <w:tcW w:w="1500" w:type="dxa"/>
            <w:tcBorders>
              <w:bottom w:val="single" w:sz="4" w:space="0" w:color="auto"/>
            </w:tcBorders>
            <w:shd w:val="clear" w:color="auto" w:fill="BFBFBF"/>
          </w:tcPr>
          <w:p w14:paraId="403CD699" w14:textId="77777777" w:rsidR="007650CC" w:rsidRPr="00E0548A" w:rsidRDefault="007650CC" w:rsidP="008C78D9">
            <w:pPr>
              <w:jc w:val="center"/>
              <w:rPr>
                <w:rFonts w:ascii="ＭＳ 明朝" w:hAnsi="ＭＳ 明朝"/>
                <w:szCs w:val="21"/>
              </w:rPr>
            </w:pPr>
            <w:r w:rsidRPr="00E0548A">
              <w:rPr>
                <w:rFonts w:ascii="ＭＳ 明朝" w:hAnsi="ＭＳ 明朝" w:hint="eastAsia"/>
                <w:szCs w:val="21"/>
              </w:rPr>
              <w:t>臨時情報</w:t>
            </w:r>
          </w:p>
        </w:tc>
        <w:tc>
          <w:tcPr>
            <w:tcW w:w="7334" w:type="dxa"/>
            <w:tcBorders>
              <w:bottom w:val="single" w:sz="4" w:space="0" w:color="auto"/>
            </w:tcBorders>
            <w:shd w:val="clear" w:color="auto" w:fill="BFBFBF"/>
          </w:tcPr>
          <w:p w14:paraId="79018BC9" w14:textId="77777777" w:rsidR="007650CC" w:rsidRPr="00E0548A" w:rsidRDefault="007650CC" w:rsidP="008C78D9">
            <w:pPr>
              <w:jc w:val="center"/>
              <w:rPr>
                <w:rFonts w:ascii="ＭＳ 明朝" w:hAnsi="ＭＳ 明朝"/>
                <w:szCs w:val="21"/>
              </w:rPr>
            </w:pPr>
            <w:r w:rsidRPr="00E0548A">
              <w:rPr>
                <w:rFonts w:ascii="ＭＳ 明朝" w:hAnsi="ＭＳ 明朝" w:hint="eastAsia"/>
                <w:szCs w:val="21"/>
              </w:rPr>
              <w:t>主な応急対策業務</w:t>
            </w:r>
          </w:p>
        </w:tc>
      </w:tr>
      <w:tr w:rsidR="00E0548A" w:rsidRPr="00E0548A" w14:paraId="75D720A2" w14:textId="77777777" w:rsidTr="008C78D9">
        <w:trPr>
          <w:jc w:val="center"/>
        </w:trPr>
        <w:tc>
          <w:tcPr>
            <w:tcW w:w="1500" w:type="dxa"/>
          </w:tcPr>
          <w:p w14:paraId="3C7C3374" w14:textId="77777777" w:rsidR="007650CC" w:rsidRPr="00E0548A" w:rsidRDefault="007650CC" w:rsidP="008C78D9">
            <w:pPr>
              <w:rPr>
                <w:rFonts w:ascii="ＭＳ 明朝" w:hAnsi="ＭＳ 明朝"/>
                <w:szCs w:val="21"/>
              </w:rPr>
            </w:pPr>
            <w:r w:rsidRPr="00E0548A">
              <w:rPr>
                <w:rFonts w:ascii="ＭＳ 明朝" w:hAnsi="ＭＳ 明朝" w:hint="eastAsia"/>
                <w:szCs w:val="21"/>
              </w:rPr>
              <w:t>巨大地震警戒</w:t>
            </w:r>
          </w:p>
        </w:tc>
        <w:tc>
          <w:tcPr>
            <w:tcW w:w="7334" w:type="dxa"/>
          </w:tcPr>
          <w:p w14:paraId="55584457" w14:textId="77777777" w:rsidR="00E80E18" w:rsidRPr="00E0548A" w:rsidRDefault="00E80E18" w:rsidP="00E80E18">
            <w:pPr>
              <w:rPr>
                <w:rFonts w:ascii="ＭＳ 明朝" w:hAnsi="ＭＳ 明朝"/>
              </w:rPr>
            </w:pPr>
            <w:r w:rsidRPr="00E0548A">
              <w:rPr>
                <w:rFonts w:ascii="ＭＳ 明朝" w:hAnsi="ＭＳ 明朝" w:hint="eastAsia"/>
              </w:rPr>
              <w:t>○地震発災後、応急対策業務（第１フェーズ）を速やかに実施できる準備</w:t>
            </w:r>
          </w:p>
          <w:p w14:paraId="3642B052" w14:textId="77777777" w:rsidR="00E80E18" w:rsidRPr="00E0548A" w:rsidRDefault="00E80E18" w:rsidP="00E80E18">
            <w:pPr>
              <w:ind w:firstLineChars="100" w:firstLine="211"/>
              <w:rPr>
                <w:rFonts w:ascii="ＭＳ 明朝" w:hAnsi="ＭＳ 明朝"/>
              </w:rPr>
            </w:pPr>
            <w:r w:rsidRPr="00E0548A">
              <w:rPr>
                <w:rFonts w:ascii="ＭＳ 明朝" w:hAnsi="ＭＳ 明朝" w:hint="eastAsia"/>
              </w:rPr>
              <w:t>体制を維持【各所属】</w:t>
            </w:r>
          </w:p>
          <w:p w14:paraId="37731727" w14:textId="77777777" w:rsidR="00E80E18" w:rsidRPr="00E0548A" w:rsidRDefault="00E80E18" w:rsidP="00E80E18">
            <w:pPr>
              <w:rPr>
                <w:rFonts w:ascii="ＭＳ 明朝" w:hAnsi="ＭＳ 明朝"/>
              </w:rPr>
            </w:pPr>
            <w:r w:rsidRPr="00E0548A">
              <w:rPr>
                <w:rFonts w:ascii="ＭＳ 明朝" w:hAnsi="ＭＳ 明朝" w:hint="eastAsia"/>
              </w:rPr>
              <w:t>○局内及び関係機関からの情報収集・整理及び連絡調整【各所属】</w:t>
            </w:r>
          </w:p>
          <w:p w14:paraId="554BF315" w14:textId="77777777" w:rsidR="00E80E18" w:rsidRPr="00E0548A" w:rsidRDefault="00E80E18" w:rsidP="00E80E18">
            <w:pPr>
              <w:rPr>
                <w:rFonts w:ascii="ＭＳ 明朝" w:hAnsi="ＭＳ 明朝"/>
              </w:rPr>
            </w:pPr>
            <w:r w:rsidRPr="00E0548A">
              <w:rPr>
                <w:rFonts w:ascii="ＭＳ 明朝" w:hAnsi="ＭＳ 明朝" w:hint="eastAsia"/>
              </w:rPr>
              <w:t>○所管施設との連絡調整【企画課】</w:t>
            </w:r>
          </w:p>
          <w:p w14:paraId="7F017449" w14:textId="2D770A3B" w:rsidR="00FB2BB1" w:rsidRPr="00E0548A" w:rsidRDefault="00E80E18" w:rsidP="00E80E18">
            <w:pPr>
              <w:ind w:left="211" w:hangingChars="100" w:hanging="211"/>
              <w:rPr>
                <w:rFonts w:ascii="ＭＳ 明朝" w:hAnsi="ＭＳ 明朝"/>
                <w:szCs w:val="21"/>
              </w:rPr>
            </w:pPr>
            <w:r w:rsidRPr="00E0548A">
              <w:rPr>
                <w:rFonts w:ascii="ＭＳ 明朝" w:hAnsi="ＭＳ 明朝" w:hint="eastAsia"/>
              </w:rPr>
              <w:t>○所管施設の避難経路等の確認【企画課】</w:t>
            </w:r>
          </w:p>
        </w:tc>
      </w:tr>
    </w:tbl>
    <w:p w14:paraId="590BDA77" w14:textId="77777777" w:rsidR="007650CC" w:rsidRPr="00E0548A" w:rsidRDefault="007650CC" w:rsidP="007650CC">
      <w:pPr>
        <w:rPr>
          <w:rFonts w:ascii="ＭＳ 明朝" w:hAnsi="ＭＳ 明朝"/>
          <w:szCs w:val="21"/>
        </w:rPr>
      </w:pPr>
      <w:r w:rsidRPr="00E0548A">
        <w:rPr>
          <w:rFonts w:ascii="ＭＳ 明朝" w:hAnsi="ＭＳ 明朝" w:hint="eastAsia"/>
          <w:szCs w:val="21"/>
        </w:rPr>
        <w:t>「南海トラフ地震臨時情報（巨大地震警戒）」が発表され、「巨大地震警戒対応期間」（１週間）が経過した際は、「巨大地震注意対応期間」へ移行。</w:t>
      </w:r>
    </w:p>
    <w:p w14:paraId="36C8EB8F" w14:textId="77777777" w:rsidR="007650CC" w:rsidRPr="00E0548A" w:rsidRDefault="007650CC" w:rsidP="007650CC">
      <w:pPr>
        <w:rPr>
          <w:rFonts w:ascii="ＭＳ 明朝" w:hAnsi="ＭＳ 明朝"/>
          <w:szCs w:val="21"/>
        </w:rPr>
      </w:pPr>
    </w:p>
    <w:p w14:paraId="5501AF1B" w14:textId="31E8B770" w:rsidR="007650CC" w:rsidRPr="00E0548A" w:rsidRDefault="007650CC" w:rsidP="007650CC">
      <w:pPr>
        <w:pStyle w:val="af4"/>
        <w:ind w:leftChars="0" w:left="0"/>
        <w:rPr>
          <w:rFonts w:ascii="ＭＳ ゴシック" w:eastAsia="ＭＳ ゴシック" w:hAnsi="ＭＳ ゴシック"/>
          <w:szCs w:val="21"/>
        </w:rPr>
      </w:pPr>
      <w:r w:rsidRPr="00E0548A">
        <w:rPr>
          <w:rFonts w:ascii="ＭＳ ゴシック" w:eastAsia="ＭＳ ゴシック" w:hAnsi="ＭＳ ゴシック" w:hint="eastAsia"/>
          <w:szCs w:val="21"/>
        </w:rPr>
        <w:t>＜南海トラフ地震臨時情報（巨大地震注意）発表時</w:t>
      </w:r>
      <w:r w:rsidR="002F25B5" w:rsidRPr="00E0548A">
        <w:rPr>
          <w:rFonts w:ascii="ＭＳ ゴシック" w:eastAsia="ＭＳ ゴシック" w:hAnsi="ＭＳ ゴシック" w:hint="eastAsia"/>
          <w:szCs w:val="21"/>
        </w:rPr>
        <w:t>（</w:t>
      </w:r>
      <w:r w:rsidR="002F25B5" w:rsidRPr="00E0548A">
        <w:rPr>
          <w:rFonts w:ascii="ＭＳ 明朝" w:hAnsi="ＭＳ 明朝" w:hint="eastAsia"/>
          <w:szCs w:val="21"/>
        </w:rPr>
        <w:t>巨大地震警戒からの移行時を含む</w:t>
      </w:r>
      <w:r w:rsidR="002F25B5" w:rsidRPr="00E0548A">
        <w:rPr>
          <w:rFonts w:ascii="ＭＳ ゴシック" w:eastAsia="ＭＳ ゴシック" w:hAnsi="ＭＳ ゴシック" w:hint="eastAsia"/>
          <w:szCs w:val="21"/>
        </w:rPr>
        <w:t>）</w:t>
      </w:r>
      <w:r w:rsidRPr="00E0548A">
        <w:rPr>
          <w:rFonts w:ascii="ＭＳ ゴシック" w:eastAsia="ＭＳ ゴシック" w:hAnsi="ＭＳ ゴシック" w:hint="eastAsia"/>
          <w:szCs w:val="21"/>
        </w:rPr>
        <w:t>＞</w:t>
      </w:r>
    </w:p>
    <w:tbl>
      <w:tblPr>
        <w:tblpPr w:leftFromText="142" w:rightFromText="142" w:vertAnchor="text" w:tblpXSpec="center" w:tblpY="1"/>
        <w:tblOverlap w:val="neve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00"/>
        <w:gridCol w:w="7334"/>
      </w:tblGrid>
      <w:tr w:rsidR="00E0548A" w:rsidRPr="00E0548A" w14:paraId="2818140E" w14:textId="77777777" w:rsidTr="008C78D9">
        <w:trPr>
          <w:jc w:val="center"/>
        </w:trPr>
        <w:tc>
          <w:tcPr>
            <w:tcW w:w="1500" w:type="dxa"/>
            <w:tcBorders>
              <w:bottom w:val="single" w:sz="4" w:space="0" w:color="auto"/>
            </w:tcBorders>
            <w:shd w:val="clear" w:color="auto" w:fill="BFBFBF"/>
          </w:tcPr>
          <w:p w14:paraId="3CA776B3" w14:textId="77777777" w:rsidR="007650CC" w:rsidRPr="00E0548A" w:rsidRDefault="007650CC" w:rsidP="008C78D9">
            <w:pPr>
              <w:jc w:val="center"/>
              <w:rPr>
                <w:rFonts w:ascii="ＭＳ 明朝" w:hAnsi="ＭＳ 明朝"/>
                <w:szCs w:val="21"/>
              </w:rPr>
            </w:pPr>
            <w:r w:rsidRPr="00E0548A">
              <w:rPr>
                <w:rFonts w:ascii="ＭＳ 明朝" w:hAnsi="ＭＳ 明朝" w:hint="eastAsia"/>
                <w:szCs w:val="21"/>
              </w:rPr>
              <w:t>臨時情報</w:t>
            </w:r>
          </w:p>
        </w:tc>
        <w:tc>
          <w:tcPr>
            <w:tcW w:w="7334" w:type="dxa"/>
            <w:tcBorders>
              <w:bottom w:val="single" w:sz="4" w:space="0" w:color="auto"/>
            </w:tcBorders>
            <w:shd w:val="clear" w:color="auto" w:fill="BFBFBF"/>
          </w:tcPr>
          <w:p w14:paraId="7F818D56" w14:textId="77777777" w:rsidR="007650CC" w:rsidRPr="00E0548A" w:rsidRDefault="007650CC" w:rsidP="008C78D9">
            <w:pPr>
              <w:jc w:val="center"/>
              <w:rPr>
                <w:rFonts w:ascii="ＭＳ 明朝" w:hAnsi="ＭＳ 明朝"/>
                <w:szCs w:val="21"/>
              </w:rPr>
            </w:pPr>
            <w:r w:rsidRPr="00E0548A">
              <w:rPr>
                <w:rFonts w:ascii="ＭＳ 明朝" w:hAnsi="ＭＳ 明朝" w:hint="eastAsia"/>
                <w:szCs w:val="21"/>
              </w:rPr>
              <w:t>主な応急対策業務</w:t>
            </w:r>
          </w:p>
        </w:tc>
      </w:tr>
      <w:tr w:rsidR="00E0548A" w:rsidRPr="00E0548A" w14:paraId="3BD6A0FC" w14:textId="77777777" w:rsidTr="008C78D9">
        <w:trPr>
          <w:jc w:val="center"/>
        </w:trPr>
        <w:tc>
          <w:tcPr>
            <w:tcW w:w="1500" w:type="dxa"/>
          </w:tcPr>
          <w:p w14:paraId="3EC621A5" w14:textId="77777777" w:rsidR="007650CC" w:rsidRPr="00E0548A" w:rsidRDefault="007650CC" w:rsidP="008C78D9">
            <w:pPr>
              <w:rPr>
                <w:rFonts w:ascii="ＭＳ 明朝" w:hAnsi="ＭＳ 明朝"/>
                <w:szCs w:val="21"/>
              </w:rPr>
            </w:pPr>
            <w:r w:rsidRPr="00E0548A">
              <w:rPr>
                <w:rFonts w:ascii="ＭＳ 明朝" w:hAnsi="ＭＳ 明朝" w:hint="eastAsia"/>
                <w:szCs w:val="21"/>
              </w:rPr>
              <w:t>巨大地震注意</w:t>
            </w:r>
          </w:p>
        </w:tc>
        <w:tc>
          <w:tcPr>
            <w:tcW w:w="7334" w:type="dxa"/>
          </w:tcPr>
          <w:p w14:paraId="0B8D52DE" w14:textId="2146C51D" w:rsidR="00E80E18" w:rsidRPr="00E0548A" w:rsidRDefault="00E80E18" w:rsidP="00E80E18">
            <w:pPr>
              <w:rPr>
                <w:rFonts w:ascii="ＭＳ 明朝" w:hAnsi="ＭＳ 明朝"/>
                <w:szCs w:val="22"/>
              </w:rPr>
            </w:pPr>
            <w:r w:rsidRPr="00E0548A">
              <w:rPr>
                <w:rFonts w:ascii="ＭＳ 明朝" w:hAnsi="ＭＳ 明朝" w:hint="eastAsia"/>
              </w:rPr>
              <w:t>○地震発災に備えた情報連絡体制の</w:t>
            </w:r>
            <w:r w:rsidR="00AF7B73" w:rsidRPr="00E0548A">
              <w:rPr>
                <w:rFonts w:ascii="ＭＳ 明朝" w:hAnsi="ＭＳ 明朝" w:hint="eastAsia"/>
              </w:rPr>
              <w:t>維持【各所属】</w:t>
            </w:r>
          </w:p>
          <w:p w14:paraId="47B0D1DC" w14:textId="77777777" w:rsidR="00E80E18" w:rsidRPr="00E0548A" w:rsidRDefault="00E80E18" w:rsidP="00E80E18">
            <w:pPr>
              <w:rPr>
                <w:rFonts w:ascii="ＭＳ 明朝" w:hAnsi="ＭＳ 明朝"/>
              </w:rPr>
            </w:pPr>
            <w:r w:rsidRPr="00E0548A">
              <w:rPr>
                <w:rFonts w:ascii="ＭＳ 明朝" w:hAnsi="ＭＳ 明朝" w:hint="eastAsia"/>
              </w:rPr>
              <w:t>○局内及び関係機関からの情報収集・整理及び連絡調整【各所属】</w:t>
            </w:r>
          </w:p>
          <w:p w14:paraId="656FBC23" w14:textId="77777777" w:rsidR="00E80E18" w:rsidRPr="00E0548A" w:rsidRDefault="00E80E18" w:rsidP="00E80E18">
            <w:pPr>
              <w:rPr>
                <w:rFonts w:ascii="ＭＳ 明朝" w:hAnsi="ＭＳ 明朝"/>
              </w:rPr>
            </w:pPr>
            <w:r w:rsidRPr="00E0548A">
              <w:rPr>
                <w:rFonts w:ascii="ＭＳ 明朝" w:hAnsi="ＭＳ 明朝" w:hint="eastAsia"/>
              </w:rPr>
              <w:t>○所管施設との連絡調整【企画課】</w:t>
            </w:r>
          </w:p>
          <w:p w14:paraId="51F19464" w14:textId="1B759DCF" w:rsidR="007650CC" w:rsidRPr="00E0548A" w:rsidRDefault="00E80E18" w:rsidP="00E80E18">
            <w:pPr>
              <w:rPr>
                <w:rFonts w:ascii="ＭＳ 明朝" w:hAnsi="ＭＳ 明朝"/>
                <w:szCs w:val="21"/>
              </w:rPr>
            </w:pPr>
            <w:r w:rsidRPr="00E0548A">
              <w:rPr>
                <w:rFonts w:ascii="ＭＳ 明朝" w:hAnsi="ＭＳ 明朝" w:hint="eastAsia"/>
              </w:rPr>
              <w:t>○所管施設の避難経路等の確認【企画課】</w:t>
            </w:r>
          </w:p>
        </w:tc>
      </w:tr>
    </w:tbl>
    <w:p w14:paraId="68F7434F" w14:textId="77777777" w:rsidR="008B4B2B" w:rsidRPr="00E0548A" w:rsidRDefault="008B4B2B" w:rsidP="008B4B2B">
      <w:pPr>
        <w:rPr>
          <w:rFonts w:ascii="ＭＳ ゴシック" w:eastAsia="ＭＳ ゴシック" w:hAnsi="ＭＳ ゴシック"/>
          <w:sz w:val="22"/>
          <w:szCs w:val="22"/>
        </w:rPr>
      </w:pPr>
    </w:p>
    <w:p w14:paraId="1160E479" w14:textId="77777777" w:rsidR="00D95C46" w:rsidRPr="00E0548A" w:rsidRDefault="00D95C46">
      <w:pPr>
        <w:widowControl/>
        <w:jc w:val="left"/>
        <w:rPr>
          <w:rFonts w:ascii="ＭＳ ゴシック" w:eastAsia="ＭＳ ゴシック" w:hAnsi="ＭＳ ゴシック"/>
          <w:szCs w:val="21"/>
        </w:rPr>
      </w:pPr>
      <w:r w:rsidRPr="00E0548A">
        <w:rPr>
          <w:rFonts w:ascii="ＭＳ ゴシック" w:eastAsia="ＭＳ ゴシック" w:hAnsi="ＭＳ ゴシック"/>
          <w:szCs w:val="21"/>
        </w:rPr>
        <w:br w:type="page"/>
      </w:r>
    </w:p>
    <w:p w14:paraId="4D299EF1" w14:textId="5141FBAF" w:rsidR="008B4B2B" w:rsidRPr="00E0548A" w:rsidRDefault="008B4B2B" w:rsidP="008B4B2B">
      <w:pPr>
        <w:widowControl/>
        <w:jc w:val="left"/>
        <w:rPr>
          <w:rFonts w:ascii="ＭＳ ゴシック" w:eastAsia="ＭＳ ゴシック" w:hAnsi="ＭＳ ゴシック"/>
          <w:szCs w:val="21"/>
        </w:rPr>
      </w:pPr>
      <w:r w:rsidRPr="00E0548A">
        <w:rPr>
          <w:rFonts w:ascii="ＭＳ ゴシック" w:eastAsia="ＭＳ ゴシック" w:hAnsi="ＭＳ ゴシック" w:hint="eastAsia"/>
          <w:szCs w:val="21"/>
        </w:rPr>
        <w:lastRenderedPageBreak/>
        <w:t>⑧福祉部</w:t>
      </w:r>
    </w:p>
    <w:p w14:paraId="0BA68E1A" w14:textId="77777777" w:rsidR="002C01FF" w:rsidRPr="00E0548A" w:rsidRDefault="002C01FF" w:rsidP="002C01FF">
      <w:pPr>
        <w:pStyle w:val="af4"/>
        <w:ind w:leftChars="0" w:left="0"/>
        <w:rPr>
          <w:rFonts w:ascii="ＭＳ ゴシック" w:eastAsia="ＭＳ ゴシック" w:hAnsi="ＭＳ ゴシック"/>
          <w:szCs w:val="21"/>
        </w:rPr>
      </w:pPr>
      <w:r w:rsidRPr="00E0548A">
        <w:rPr>
          <w:rFonts w:ascii="ＭＳ ゴシック" w:eastAsia="ＭＳ ゴシック" w:hAnsi="ＭＳ ゴシック" w:hint="eastAsia"/>
          <w:szCs w:val="21"/>
        </w:rPr>
        <w:t>＜災害発生時＞</w:t>
      </w:r>
    </w:p>
    <w:tbl>
      <w:tblPr>
        <w:tblpPr w:leftFromText="142" w:rightFromText="142" w:vertAnchor="text" w:tblpXSpec="center" w:tblpY="1"/>
        <w:tblOverlap w:val="neve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26"/>
        <w:gridCol w:w="7176"/>
      </w:tblGrid>
      <w:tr w:rsidR="00E0548A" w:rsidRPr="00E0548A" w14:paraId="711D6661" w14:textId="77777777" w:rsidTr="008B4B2B">
        <w:trPr>
          <w:jc w:val="center"/>
        </w:trPr>
        <w:tc>
          <w:tcPr>
            <w:tcW w:w="1526" w:type="dxa"/>
            <w:shd w:val="clear" w:color="auto" w:fill="BFBFBF"/>
          </w:tcPr>
          <w:p w14:paraId="50C36B1A" w14:textId="77777777" w:rsidR="008B4B2B" w:rsidRPr="00E0548A" w:rsidRDefault="008B4B2B" w:rsidP="008B4B2B">
            <w:pPr>
              <w:jc w:val="center"/>
              <w:rPr>
                <w:rFonts w:ascii="ＭＳ 明朝" w:hAnsi="ＭＳ 明朝"/>
                <w:szCs w:val="21"/>
              </w:rPr>
            </w:pPr>
            <w:r w:rsidRPr="00E0548A">
              <w:rPr>
                <w:rFonts w:ascii="ＭＳ 明朝" w:hAnsi="ＭＳ 明朝" w:hint="eastAsia"/>
                <w:szCs w:val="21"/>
              </w:rPr>
              <w:t>フェーズ</w:t>
            </w:r>
          </w:p>
        </w:tc>
        <w:tc>
          <w:tcPr>
            <w:tcW w:w="7176" w:type="dxa"/>
            <w:shd w:val="clear" w:color="auto" w:fill="BFBFBF"/>
          </w:tcPr>
          <w:p w14:paraId="73F09F55" w14:textId="77777777" w:rsidR="008B4B2B" w:rsidRPr="00E0548A" w:rsidRDefault="008B4B2B" w:rsidP="008B4B2B">
            <w:pPr>
              <w:jc w:val="center"/>
              <w:rPr>
                <w:rFonts w:ascii="ＭＳ 明朝" w:hAnsi="ＭＳ 明朝"/>
                <w:szCs w:val="21"/>
              </w:rPr>
            </w:pPr>
            <w:r w:rsidRPr="00E0548A">
              <w:rPr>
                <w:rFonts w:ascii="ＭＳ 明朝" w:hAnsi="ＭＳ 明朝" w:hint="eastAsia"/>
                <w:szCs w:val="21"/>
              </w:rPr>
              <w:t>主な応急対策業務</w:t>
            </w:r>
          </w:p>
        </w:tc>
      </w:tr>
      <w:tr w:rsidR="00E0548A" w:rsidRPr="00E0548A" w14:paraId="6ACA0CC9" w14:textId="77777777" w:rsidTr="008B4B2B">
        <w:trPr>
          <w:jc w:val="center"/>
        </w:trPr>
        <w:tc>
          <w:tcPr>
            <w:tcW w:w="1526" w:type="dxa"/>
          </w:tcPr>
          <w:p w14:paraId="0FED83AA" w14:textId="77777777" w:rsidR="008B4B2B" w:rsidRPr="00E0548A" w:rsidRDefault="008B4B2B" w:rsidP="008B4B2B">
            <w:pPr>
              <w:rPr>
                <w:rFonts w:ascii="ＭＳ 明朝" w:hAnsi="ＭＳ 明朝"/>
                <w:szCs w:val="21"/>
              </w:rPr>
            </w:pPr>
            <w:r w:rsidRPr="00E0548A">
              <w:rPr>
                <w:rFonts w:ascii="ＭＳ 明朝" w:hAnsi="ＭＳ 明朝" w:hint="eastAsia"/>
                <w:szCs w:val="21"/>
              </w:rPr>
              <w:t>第1フェーズ</w:t>
            </w:r>
          </w:p>
          <w:p w14:paraId="25E0BDF1" w14:textId="77777777" w:rsidR="008B4B2B" w:rsidRPr="00E0548A" w:rsidRDefault="008B4B2B" w:rsidP="008B4B2B">
            <w:pPr>
              <w:rPr>
                <w:rFonts w:ascii="ＭＳ 明朝" w:hAnsi="ＭＳ 明朝"/>
                <w:szCs w:val="21"/>
              </w:rPr>
            </w:pPr>
            <w:r w:rsidRPr="00E0548A">
              <w:rPr>
                <w:rFonts w:ascii="ＭＳ 明朝" w:hAnsi="ＭＳ 明朝" w:hint="eastAsia"/>
                <w:szCs w:val="21"/>
              </w:rPr>
              <w:t>(3時間まで)</w:t>
            </w:r>
          </w:p>
          <w:p w14:paraId="39E38E55" w14:textId="77777777" w:rsidR="008B4B2B" w:rsidRPr="00E0548A" w:rsidRDefault="008B4B2B" w:rsidP="008B4B2B">
            <w:pPr>
              <w:rPr>
                <w:rFonts w:ascii="ＭＳ 明朝" w:hAnsi="ＭＳ 明朝"/>
                <w:szCs w:val="21"/>
              </w:rPr>
            </w:pPr>
          </w:p>
        </w:tc>
        <w:tc>
          <w:tcPr>
            <w:tcW w:w="7176" w:type="dxa"/>
          </w:tcPr>
          <w:p w14:paraId="69D82D2A" w14:textId="77777777" w:rsidR="008B4B2B" w:rsidRPr="00E0548A" w:rsidRDefault="008B4B2B" w:rsidP="008B4B2B">
            <w:pPr>
              <w:rPr>
                <w:rFonts w:ascii="ＭＳ 明朝" w:hAnsi="ＭＳ 明朝"/>
                <w:szCs w:val="21"/>
              </w:rPr>
            </w:pPr>
            <w:r w:rsidRPr="00E0548A">
              <w:rPr>
                <w:rFonts w:ascii="ＭＳ 明朝" w:hAnsi="ＭＳ 明朝" w:hint="eastAsia"/>
                <w:szCs w:val="21"/>
              </w:rPr>
              <w:t>○初動対応、体制の確立</w:t>
            </w:r>
          </w:p>
          <w:p w14:paraId="25499FBE" w14:textId="77777777" w:rsidR="008B4B2B" w:rsidRPr="00E0548A" w:rsidRDefault="008B4B2B" w:rsidP="008B4B2B">
            <w:pPr>
              <w:rPr>
                <w:rFonts w:ascii="ＭＳ 明朝" w:hAnsi="ＭＳ 明朝"/>
                <w:szCs w:val="21"/>
              </w:rPr>
            </w:pPr>
            <w:r w:rsidRPr="00E0548A">
              <w:rPr>
                <w:rFonts w:ascii="ＭＳ 明朝" w:hAnsi="ＭＳ 明朝" w:hint="eastAsia"/>
                <w:szCs w:val="21"/>
              </w:rPr>
              <w:t>○所管施設（修徳学院など）の利用者の安全確認【各所管所属】</w:t>
            </w:r>
          </w:p>
          <w:p w14:paraId="1481FCB1" w14:textId="77777777" w:rsidR="008B4B2B" w:rsidRPr="00E0548A" w:rsidRDefault="008B4B2B" w:rsidP="008B4B2B">
            <w:pPr>
              <w:rPr>
                <w:rFonts w:ascii="ＭＳ 明朝" w:hAnsi="ＭＳ 明朝"/>
                <w:szCs w:val="21"/>
              </w:rPr>
            </w:pPr>
            <w:r w:rsidRPr="00E0548A">
              <w:rPr>
                <w:rFonts w:ascii="ＭＳ 明朝" w:hAnsi="ＭＳ 明朝" w:hint="eastAsia"/>
                <w:szCs w:val="21"/>
              </w:rPr>
              <w:t>○部内職員の安否確認と参集状況の把握、報告【福祉総務】</w:t>
            </w:r>
          </w:p>
          <w:p w14:paraId="59C7BC69" w14:textId="77777777" w:rsidR="008B4B2B" w:rsidRPr="00E0548A" w:rsidRDefault="008B4B2B" w:rsidP="008B4B2B">
            <w:pPr>
              <w:rPr>
                <w:rFonts w:ascii="ＭＳ 明朝" w:hAnsi="ＭＳ 明朝"/>
                <w:szCs w:val="21"/>
              </w:rPr>
            </w:pPr>
            <w:r w:rsidRPr="00E0548A">
              <w:rPr>
                <w:rFonts w:ascii="ＭＳ 明朝" w:hAnsi="ＭＳ 明朝" w:hint="eastAsia"/>
                <w:szCs w:val="21"/>
              </w:rPr>
              <w:t>○部内及び関係機関からの情報収集及び連絡調整【福祉総務】</w:t>
            </w:r>
          </w:p>
          <w:p w14:paraId="205F6B15" w14:textId="77777777" w:rsidR="008B4B2B" w:rsidRPr="00E0548A" w:rsidRDefault="008B4B2B" w:rsidP="008B4B2B">
            <w:pPr>
              <w:rPr>
                <w:rFonts w:ascii="ＭＳ 明朝" w:hAnsi="ＭＳ 明朝"/>
                <w:szCs w:val="21"/>
              </w:rPr>
            </w:pPr>
            <w:r w:rsidRPr="00E0548A">
              <w:rPr>
                <w:rFonts w:ascii="ＭＳ 明朝" w:hAnsi="ＭＳ 明朝" w:hint="eastAsia"/>
                <w:szCs w:val="21"/>
              </w:rPr>
              <w:t>○職員・来庁者の救助・搬送【各所属】</w:t>
            </w:r>
          </w:p>
          <w:p w14:paraId="5E93E521" w14:textId="079BCA17" w:rsidR="00E006EB" w:rsidRPr="00E0548A" w:rsidRDefault="00E006EB" w:rsidP="008B4B2B">
            <w:pPr>
              <w:rPr>
                <w:rFonts w:ascii="ＭＳ 明朝" w:hAnsi="ＭＳ 明朝"/>
                <w:szCs w:val="21"/>
              </w:rPr>
            </w:pPr>
            <w:r w:rsidRPr="00E0548A">
              <w:rPr>
                <w:rFonts w:ascii="ＭＳ 明朝" w:hAnsi="ＭＳ 明朝" w:hint="eastAsia"/>
                <w:szCs w:val="21"/>
              </w:rPr>
              <w:t>〇福祉調整本部の設置</w:t>
            </w:r>
          </w:p>
        </w:tc>
      </w:tr>
      <w:tr w:rsidR="00E0548A" w:rsidRPr="00E0548A" w14:paraId="567C78CA" w14:textId="77777777" w:rsidTr="008B4B2B">
        <w:trPr>
          <w:jc w:val="center"/>
        </w:trPr>
        <w:tc>
          <w:tcPr>
            <w:tcW w:w="1526" w:type="dxa"/>
          </w:tcPr>
          <w:p w14:paraId="64596724" w14:textId="77777777" w:rsidR="008B4B2B" w:rsidRPr="00E0548A" w:rsidRDefault="008B4B2B" w:rsidP="008B4B2B">
            <w:pPr>
              <w:rPr>
                <w:rFonts w:ascii="ＭＳ 明朝" w:hAnsi="ＭＳ 明朝"/>
                <w:szCs w:val="21"/>
              </w:rPr>
            </w:pPr>
            <w:r w:rsidRPr="00E0548A">
              <w:rPr>
                <w:rFonts w:ascii="ＭＳ 明朝" w:hAnsi="ＭＳ 明朝" w:hint="eastAsia"/>
                <w:szCs w:val="21"/>
              </w:rPr>
              <w:t>第2フェーズ</w:t>
            </w:r>
          </w:p>
          <w:p w14:paraId="54D6AE1D" w14:textId="77777777" w:rsidR="008B4B2B" w:rsidRPr="00E0548A" w:rsidRDefault="008B4B2B" w:rsidP="008B4B2B">
            <w:pPr>
              <w:rPr>
                <w:rFonts w:ascii="ＭＳ 明朝" w:hAnsi="ＭＳ 明朝"/>
                <w:szCs w:val="21"/>
              </w:rPr>
            </w:pPr>
            <w:r w:rsidRPr="00E0548A">
              <w:rPr>
                <w:rFonts w:ascii="ＭＳ 明朝" w:hAnsi="ＭＳ 明朝" w:hint="eastAsia"/>
                <w:szCs w:val="21"/>
              </w:rPr>
              <w:t>(24時間まで)</w:t>
            </w:r>
          </w:p>
          <w:p w14:paraId="4AE266CD" w14:textId="77777777" w:rsidR="008B4B2B" w:rsidRPr="00E0548A" w:rsidRDefault="008B4B2B" w:rsidP="008B4B2B">
            <w:pPr>
              <w:rPr>
                <w:rFonts w:ascii="ＭＳ 明朝" w:hAnsi="ＭＳ 明朝"/>
                <w:szCs w:val="21"/>
              </w:rPr>
            </w:pPr>
          </w:p>
        </w:tc>
        <w:tc>
          <w:tcPr>
            <w:tcW w:w="7176" w:type="dxa"/>
          </w:tcPr>
          <w:p w14:paraId="6A8E9F43" w14:textId="77777777" w:rsidR="008B4B2B" w:rsidRPr="00E0548A" w:rsidRDefault="008B4B2B" w:rsidP="008B4B2B">
            <w:pPr>
              <w:ind w:left="211" w:hangingChars="100" w:hanging="211"/>
              <w:rPr>
                <w:rFonts w:ascii="ＭＳ 明朝" w:hAnsi="ＭＳ 明朝"/>
                <w:szCs w:val="21"/>
              </w:rPr>
            </w:pPr>
            <w:r w:rsidRPr="00E0548A">
              <w:rPr>
                <w:rFonts w:ascii="ＭＳ 明朝" w:hAnsi="ＭＳ 明朝" w:hint="eastAsia"/>
                <w:szCs w:val="21"/>
              </w:rPr>
              <w:t>○所管施設の被害状況の把握【福祉総務】、報告及び二次災害防止対策の実施【各所管所属】</w:t>
            </w:r>
          </w:p>
          <w:p w14:paraId="7C80B08B" w14:textId="260FF6B8" w:rsidR="008B4B2B" w:rsidRPr="00E0548A" w:rsidRDefault="008B4B2B" w:rsidP="008B4B2B">
            <w:pPr>
              <w:rPr>
                <w:rFonts w:ascii="ＭＳ 明朝" w:hAnsi="ＭＳ 明朝"/>
                <w:szCs w:val="21"/>
              </w:rPr>
            </w:pPr>
            <w:r w:rsidRPr="00E0548A">
              <w:rPr>
                <w:rFonts w:ascii="ＭＳ 明朝" w:hAnsi="ＭＳ 明朝" w:hint="eastAsia"/>
                <w:szCs w:val="21"/>
              </w:rPr>
              <w:t>○災害福祉支援ネットワーク</w:t>
            </w:r>
            <w:r w:rsidR="00FB40E4" w:rsidRPr="00E0548A">
              <w:rPr>
                <w:rFonts w:ascii="ＭＳ 明朝" w:hAnsi="ＭＳ 明朝" w:hint="eastAsia"/>
                <w:szCs w:val="21"/>
              </w:rPr>
              <w:t>運用</w:t>
            </w:r>
            <w:r w:rsidRPr="00E0548A">
              <w:rPr>
                <w:rFonts w:ascii="ＭＳ 明朝" w:hAnsi="ＭＳ 明朝" w:hint="eastAsia"/>
                <w:szCs w:val="21"/>
              </w:rPr>
              <w:t>開始、ＤＷＡＴ本部設置【地域福祉】</w:t>
            </w:r>
          </w:p>
          <w:p w14:paraId="0BF87A67" w14:textId="77777777" w:rsidR="008B4B2B" w:rsidRPr="00E0548A" w:rsidRDefault="008B4B2B" w:rsidP="008B4B2B">
            <w:pPr>
              <w:ind w:left="211" w:hangingChars="100" w:hanging="211"/>
              <w:rPr>
                <w:rFonts w:ascii="ＭＳ 明朝" w:hAnsi="ＭＳ 明朝"/>
                <w:szCs w:val="21"/>
              </w:rPr>
            </w:pPr>
            <w:r w:rsidRPr="00E0548A">
              <w:rPr>
                <w:rFonts w:ascii="ＭＳ 明朝" w:hAnsi="ＭＳ 明朝" w:hint="eastAsia"/>
                <w:szCs w:val="21"/>
              </w:rPr>
              <w:t>○社会福祉施設など（保育所・児童養護施設・高齢者施設・障がい者施設など）の被害状況の把握など【福祉総務及び各所管所属】</w:t>
            </w:r>
          </w:p>
        </w:tc>
      </w:tr>
      <w:tr w:rsidR="00E0548A" w:rsidRPr="00E0548A" w14:paraId="5D7FB136" w14:textId="77777777" w:rsidTr="008B4B2B">
        <w:trPr>
          <w:jc w:val="center"/>
        </w:trPr>
        <w:tc>
          <w:tcPr>
            <w:tcW w:w="1526" w:type="dxa"/>
          </w:tcPr>
          <w:p w14:paraId="0032C024" w14:textId="77777777" w:rsidR="008B4B2B" w:rsidRPr="00E0548A" w:rsidRDefault="008B4B2B" w:rsidP="008B4B2B">
            <w:pPr>
              <w:rPr>
                <w:rFonts w:ascii="ＭＳ 明朝" w:hAnsi="ＭＳ 明朝"/>
                <w:szCs w:val="21"/>
              </w:rPr>
            </w:pPr>
            <w:r w:rsidRPr="00E0548A">
              <w:rPr>
                <w:rFonts w:ascii="ＭＳ 明朝" w:hAnsi="ＭＳ 明朝" w:hint="eastAsia"/>
                <w:szCs w:val="21"/>
              </w:rPr>
              <w:t>第3フェーズ</w:t>
            </w:r>
          </w:p>
          <w:p w14:paraId="3601E7FD" w14:textId="77777777" w:rsidR="008B4B2B" w:rsidRPr="00E0548A" w:rsidRDefault="008B4B2B" w:rsidP="008B4B2B">
            <w:pPr>
              <w:rPr>
                <w:rFonts w:ascii="ＭＳ 明朝" w:hAnsi="ＭＳ 明朝"/>
                <w:szCs w:val="21"/>
              </w:rPr>
            </w:pPr>
            <w:r w:rsidRPr="00E0548A">
              <w:rPr>
                <w:rFonts w:ascii="ＭＳ 明朝" w:hAnsi="ＭＳ 明朝" w:hint="eastAsia"/>
                <w:szCs w:val="21"/>
              </w:rPr>
              <w:t>(72時間まで)</w:t>
            </w:r>
          </w:p>
        </w:tc>
        <w:tc>
          <w:tcPr>
            <w:tcW w:w="7176" w:type="dxa"/>
          </w:tcPr>
          <w:p w14:paraId="022DB69F" w14:textId="77777777" w:rsidR="008B4B2B" w:rsidRPr="00E0548A" w:rsidRDefault="008B4B2B" w:rsidP="007650CC">
            <w:pPr>
              <w:ind w:left="211" w:hangingChars="100" w:hanging="211"/>
              <w:rPr>
                <w:rFonts w:ascii="ＭＳ 明朝" w:hAnsi="ＭＳ 明朝"/>
                <w:szCs w:val="21"/>
              </w:rPr>
            </w:pPr>
            <w:r w:rsidRPr="00E0548A">
              <w:rPr>
                <w:rFonts w:ascii="ＭＳ 明朝" w:hAnsi="ＭＳ 明朝" w:hint="eastAsia"/>
                <w:szCs w:val="21"/>
              </w:rPr>
              <w:t>○義援金（府で配分するものに限る）に関する庁内及び外部機関との調整等開始【福祉総務】</w:t>
            </w:r>
          </w:p>
          <w:p w14:paraId="2EC3AE3B" w14:textId="77777777" w:rsidR="008B4B2B" w:rsidRPr="00E0548A" w:rsidRDefault="008B4B2B" w:rsidP="008B4B2B">
            <w:pPr>
              <w:rPr>
                <w:rFonts w:ascii="ＭＳ 明朝" w:hAnsi="ＭＳ 明朝"/>
                <w:szCs w:val="21"/>
              </w:rPr>
            </w:pPr>
            <w:r w:rsidRPr="00E0548A">
              <w:rPr>
                <w:rFonts w:ascii="ＭＳ 明朝" w:hAnsi="ＭＳ 明朝" w:hint="eastAsia"/>
                <w:szCs w:val="21"/>
              </w:rPr>
              <w:t>○福祉ニーズの把握、支援開始【各所管所属】</w:t>
            </w:r>
          </w:p>
          <w:p w14:paraId="0CA314AB" w14:textId="4D78C403" w:rsidR="00E006EB" w:rsidRPr="00E0548A" w:rsidRDefault="008B4B2B" w:rsidP="003E0341">
            <w:pPr>
              <w:ind w:left="344" w:hangingChars="163" w:hanging="344"/>
              <w:rPr>
                <w:rFonts w:ascii="ＭＳ 明朝" w:hAnsi="ＭＳ 明朝"/>
                <w:szCs w:val="21"/>
              </w:rPr>
            </w:pPr>
            <w:r w:rsidRPr="00E0548A">
              <w:rPr>
                <w:rFonts w:ascii="ＭＳ 明朝" w:hAnsi="ＭＳ 明朝" w:hint="eastAsia"/>
                <w:szCs w:val="21"/>
              </w:rPr>
              <w:t xml:space="preserve">　</w:t>
            </w:r>
            <w:r w:rsidR="00E006EB" w:rsidRPr="00E0548A">
              <w:rPr>
                <w:rFonts w:ascii="ＭＳ 明朝" w:hAnsi="ＭＳ 明朝" w:hint="eastAsia"/>
                <w:szCs w:val="21"/>
              </w:rPr>
              <w:t>‣災害福祉支援ネットワーク等を活用した人的支援（ＤＷＡＴ派遣</w:t>
            </w:r>
            <w:r w:rsidR="00FB40E4" w:rsidRPr="00E0548A">
              <w:rPr>
                <w:rFonts w:ascii="ＭＳ 明朝" w:hAnsi="ＭＳ 明朝" w:hint="eastAsia"/>
                <w:szCs w:val="21"/>
              </w:rPr>
              <w:t>調整開始</w:t>
            </w:r>
            <w:r w:rsidR="003E0341" w:rsidRPr="00E0548A">
              <w:rPr>
                <w:rFonts w:ascii="ＭＳ 明朝" w:hAnsi="ＭＳ 明朝" w:hint="eastAsia"/>
                <w:szCs w:val="21"/>
              </w:rPr>
              <w:t>等</w:t>
            </w:r>
            <w:r w:rsidR="00E006EB" w:rsidRPr="00E0548A">
              <w:rPr>
                <w:rFonts w:ascii="ＭＳ 明朝" w:hAnsi="ＭＳ 明朝" w:hint="eastAsia"/>
                <w:szCs w:val="21"/>
              </w:rPr>
              <w:t>）</w:t>
            </w:r>
          </w:p>
          <w:p w14:paraId="28F40CA7" w14:textId="686400E7" w:rsidR="008B4B2B" w:rsidRPr="00E0548A" w:rsidRDefault="008B4B2B" w:rsidP="008B4B2B">
            <w:pPr>
              <w:rPr>
                <w:rFonts w:ascii="ＭＳ 明朝" w:hAnsi="ＭＳ 明朝"/>
                <w:szCs w:val="21"/>
              </w:rPr>
            </w:pPr>
            <w:r w:rsidRPr="00E0548A">
              <w:rPr>
                <w:rFonts w:ascii="ＭＳ 明朝" w:hAnsi="ＭＳ 明朝" w:hint="eastAsia"/>
                <w:szCs w:val="21"/>
              </w:rPr>
              <w:t xml:space="preserve">　‣被災児童のこころのケア</w:t>
            </w:r>
          </w:p>
          <w:p w14:paraId="35962E6C" w14:textId="77777777" w:rsidR="008B4B2B" w:rsidRPr="00E0548A" w:rsidRDefault="008B4B2B" w:rsidP="008B4B2B">
            <w:pPr>
              <w:rPr>
                <w:rFonts w:ascii="ＭＳ 明朝" w:hAnsi="ＭＳ 明朝"/>
                <w:szCs w:val="21"/>
              </w:rPr>
            </w:pPr>
            <w:r w:rsidRPr="00E0548A">
              <w:rPr>
                <w:rFonts w:ascii="ＭＳ 明朝" w:hAnsi="ＭＳ 明朝" w:hint="eastAsia"/>
                <w:szCs w:val="21"/>
              </w:rPr>
              <w:t xml:space="preserve">　‣要支援者等に係る生活再建支援策検討</w:t>
            </w:r>
          </w:p>
        </w:tc>
      </w:tr>
      <w:tr w:rsidR="00E0548A" w:rsidRPr="00E0548A" w14:paraId="1CF5740E" w14:textId="77777777" w:rsidTr="008B4B2B">
        <w:trPr>
          <w:jc w:val="center"/>
        </w:trPr>
        <w:tc>
          <w:tcPr>
            <w:tcW w:w="1526" w:type="dxa"/>
          </w:tcPr>
          <w:p w14:paraId="06BE4581" w14:textId="77777777" w:rsidR="008B4B2B" w:rsidRPr="00E0548A" w:rsidRDefault="008B4B2B" w:rsidP="008B4B2B">
            <w:pPr>
              <w:rPr>
                <w:rFonts w:ascii="ＭＳ 明朝" w:hAnsi="ＭＳ 明朝"/>
                <w:szCs w:val="21"/>
              </w:rPr>
            </w:pPr>
            <w:r w:rsidRPr="00E0548A">
              <w:rPr>
                <w:rFonts w:ascii="ＭＳ 明朝" w:hAnsi="ＭＳ 明朝" w:hint="eastAsia"/>
                <w:szCs w:val="21"/>
              </w:rPr>
              <w:t>第4フェーズ</w:t>
            </w:r>
          </w:p>
          <w:p w14:paraId="4C7D1405" w14:textId="77777777" w:rsidR="008B4B2B" w:rsidRPr="00E0548A" w:rsidRDefault="008B4B2B" w:rsidP="008B4B2B">
            <w:pPr>
              <w:rPr>
                <w:rFonts w:ascii="ＭＳ 明朝" w:hAnsi="ＭＳ 明朝"/>
                <w:strike/>
                <w:szCs w:val="21"/>
              </w:rPr>
            </w:pPr>
            <w:r w:rsidRPr="00E0548A">
              <w:rPr>
                <w:rFonts w:ascii="ＭＳ 明朝" w:hAnsi="ＭＳ 明朝" w:hint="eastAsia"/>
                <w:szCs w:val="21"/>
              </w:rPr>
              <w:t>(1週間まで)</w:t>
            </w:r>
          </w:p>
        </w:tc>
        <w:tc>
          <w:tcPr>
            <w:tcW w:w="7176" w:type="dxa"/>
          </w:tcPr>
          <w:p w14:paraId="7575D975" w14:textId="77777777" w:rsidR="008B4B2B" w:rsidRPr="00E0548A" w:rsidRDefault="008B4B2B" w:rsidP="008B4B2B">
            <w:pPr>
              <w:rPr>
                <w:rFonts w:ascii="ＭＳ 明朝" w:hAnsi="ＭＳ 明朝"/>
                <w:szCs w:val="21"/>
              </w:rPr>
            </w:pPr>
            <w:r w:rsidRPr="00E0548A">
              <w:rPr>
                <w:rFonts w:ascii="ＭＳ 明朝" w:hAnsi="ＭＳ 明朝" w:hint="eastAsia"/>
                <w:szCs w:val="21"/>
              </w:rPr>
              <w:t>○被災者向けの緊急貸付（生活福祉資金貸付制度）対応【地域福祉】</w:t>
            </w:r>
          </w:p>
          <w:p w14:paraId="1AB666D8" w14:textId="77777777" w:rsidR="008B4B2B" w:rsidRPr="00E0548A" w:rsidRDefault="008B4B2B" w:rsidP="008B4B2B">
            <w:pPr>
              <w:rPr>
                <w:rFonts w:ascii="ＭＳ 明朝" w:hAnsi="ＭＳ 明朝"/>
                <w:szCs w:val="21"/>
              </w:rPr>
            </w:pPr>
            <w:r w:rsidRPr="00E0548A">
              <w:rPr>
                <w:rFonts w:ascii="ＭＳ 明朝" w:hAnsi="ＭＳ 明朝" w:hint="eastAsia"/>
                <w:szCs w:val="21"/>
              </w:rPr>
              <w:t>○ＤＷＡＴによる一般避難所での福祉支援活動開始</w:t>
            </w:r>
          </w:p>
          <w:p w14:paraId="62943E24" w14:textId="77777777" w:rsidR="00FB40E4" w:rsidRPr="00E0548A" w:rsidRDefault="00FB40E4" w:rsidP="00FB40E4">
            <w:pPr>
              <w:rPr>
                <w:rFonts w:ascii="ＭＳ 明朝" w:hAnsi="ＭＳ 明朝"/>
                <w:szCs w:val="21"/>
              </w:rPr>
            </w:pPr>
            <w:r w:rsidRPr="00E0548A">
              <w:rPr>
                <w:rFonts w:ascii="ＭＳ 明朝" w:hAnsi="ＭＳ 明朝" w:hint="eastAsia"/>
                <w:szCs w:val="21"/>
              </w:rPr>
              <w:t>〇市町村からの介護職員等の応援に関するニーズの収集【各所管所属】</w:t>
            </w:r>
          </w:p>
          <w:p w14:paraId="45244EF2" w14:textId="6C20C477" w:rsidR="00FB40E4" w:rsidRPr="00E0548A" w:rsidRDefault="00FB40E4" w:rsidP="00FB40E4">
            <w:pPr>
              <w:rPr>
                <w:rFonts w:ascii="ＭＳ 明朝" w:hAnsi="ＭＳ 明朝"/>
                <w:szCs w:val="21"/>
              </w:rPr>
            </w:pPr>
            <w:r w:rsidRPr="00E0548A">
              <w:rPr>
                <w:rFonts w:ascii="ＭＳ 明朝" w:hAnsi="ＭＳ 明朝" w:hint="eastAsia"/>
                <w:szCs w:val="21"/>
              </w:rPr>
              <w:t>〇関係団体等へ応援派遣依頼要請を実施</w:t>
            </w:r>
          </w:p>
        </w:tc>
      </w:tr>
      <w:tr w:rsidR="00E0548A" w:rsidRPr="00E0548A" w14:paraId="116DD3BE" w14:textId="77777777" w:rsidTr="008B4B2B">
        <w:trPr>
          <w:jc w:val="center"/>
        </w:trPr>
        <w:tc>
          <w:tcPr>
            <w:tcW w:w="1526" w:type="dxa"/>
          </w:tcPr>
          <w:p w14:paraId="0F720445" w14:textId="77777777" w:rsidR="008B4B2B" w:rsidRPr="00E0548A" w:rsidRDefault="008B4B2B" w:rsidP="008B4B2B">
            <w:pPr>
              <w:rPr>
                <w:rFonts w:ascii="ＭＳ 明朝" w:hAnsi="ＭＳ 明朝"/>
                <w:szCs w:val="21"/>
              </w:rPr>
            </w:pPr>
            <w:r w:rsidRPr="00E0548A">
              <w:rPr>
                <w:rFonts w:ascii="ＭＳ 明朝" w:hAnsi="ＭＳ 明朝" w:hint="eastAsia"/>
                <w:szCs w:val="21"/>
              </w:rPr>
              <w:t>第5フェーズ</w:t>
            </w:r>
          </w:p>
          <w:p w14:paraId="241A93F9" w14:textId="77777777" w:rsidR="008B4B2B" w:rsidRPr="00E0548A" w:rsidRDefault="008B4B2B" w:rsidP="008B4B2B">
            <w:pPr>
              <w:rPr>
                <w:rFonts w:ascii="ＭＳ 明朝" w:hAnsi="ＭＳ 明朝"/>
                <w:szCs w:val="21"/>
              </w:rPr>
            </w:pPr>
            <w:r w:rsidRPr="00E0548A">
              <w:rPr>
                <w:rFonts w:ascii="ＭＳ 明朝" w:hAnsi="ＭＳ 明朝" w:hint="eastAsia"/>
                <w:szCs w:val="21"/>
              </w:rPr>
              <w:t>(2週間まで)</w:t>
            </w:r>
          </w:p>
        </w:tc>
        <w:tc>
          <w:tcPr>
            <w:tcW w:w="7176" w:type="dxa"/>
          </w:tcPr>
          <w:p w14:paraId="616B0A79" w14:textId="77777777" w:rsidR="008B4B2B" w:rsidRPr="00E0548A" w:rsidRDefault="008B4B2B" w:rsidP="008B4B2B">
            <w:pPr>
              <w:ind w:left="211" w:hangingChars="100" w:hanging="211"/>
              <w:rPr>
                <w:rFonts w:ascii="ＭＳ 明朝" w:hAnsi="ＭＳ 明朝"/>
                <w:szCs w:val="21"/>
              </w:rPr>
            </w:pPr>
            <w:r w:rsidRPr="00E0548A">
              <w:rPr>
                <w:rFonts w:ascii="ＭＳ 明朝" w:hAnsi="ＭＳ 明朝" w:hint="eastAsia"/>
                <w:szCs w:val="21"/>
              </w:rPr>
              <w:t>○被災所管施設の応急復旧（当該施設において応急的に業務を再開するために実施する措置のことをいう。本格的な復旧作業の前段階。）開始</w:t>
            </w:r>
          </w:p>
          <w:p w14:paraId="2AAB872F" w14:textId="627DA895" w:rsidR="00FB40E4" w:rsidRPr="00E0548A" w:rsidRDefault="00FB40E4" w:rsidP="008B4B2B">
            <w:pPr>
              <w:ind w:left="211" w:hangingChars="100" w:hanging="211"/>
              <w:rPr>
                <w:rFonts w:ascii="ＭＳ 明朝" w:hAnsi="ＭＳ 明朝"/>
                <w:szCs w:val="21"/>
              </w:rPr>
            </w:pPr>
            <w:r w:rsidRPr="00E0548A">
              <w:rPr>
                <w:rFonts w:ascii="ＭＳ 明朝" w:hAnsi="ＭＳ 明朝" w:hint="eastAsia"/>
                <w:szCs w:val="21"/>
              </w:rPr>
              <w:t>〇社会福祉施設等入所者等に関する調整の開始</w:t>
            </w:r>
          </w:p>
        </w:tc>
      </w:tr>
      <w:tr w:rsidR="00E0548A" w:rsidRPr="00E0548A" w14:paraId="612CA3E4" w14:textId="77777777" w:rsidTr="008B4B2B">
        <w:trPr>
          <w:jc w:val="center"/>
        </w:trPr>
        <w:tc>
          <w:tcPr>
            <w:tcW w:w="1526" w:type="dxa"/>
          </w:tcPr>
          <w:p w14:paraId="3D60E64F" w14:textId="77777777" w:rsidR="008B4B2B" w:rsidRPr="00E0548A" w:rsidRDefault="008B4B2B" w:rsidP="008B4B2B">
            <w:pPr>
              <w:rPr>
                <w:rFonts w:ascii="ＭＳ 明朝" w:hAnsi="ＭＳ 明朝"/>
                <w:szCs w:val="21"/>
              </w:rPr>
            </w:pPr>
            <w:r w:rsidRPr="00E0548A">
              <w:rPr>
                <w:rFonts w:ascii="ＭＳ 明朝" w:hAnsi="ＭＳ 明朝" w:hint="eastAsia"/>
                <w:szCs w:val="21"/>
              </w:rPr>
              <w:t>第6フェーズ</w:t>
            </w:r>
          </w:p>
          <w:p w14:paraId="497026B6" w14:textId="77777777" w:rsidR="008B4B2B" w:rsidRPr="00E0548A" w:rsidRDefault="008B4B2B" w:rsidP="008B4B2B">
            <w:pPr>
              <w:rPr>
                <w:rFonts w:ascii="ＭＳ 明朝" w:hAnsi="ＭＳ 明朝"/>
                <w:szCs w:val="21"/>
              </w:rPr>
            </w:pPr>
            <w:r w:rsidRPr="00E0548A">
              <w:rPr>
                <w:rFonts w:ascii="ＭＳ 明朝" w:hAnsi="ＭＳ 明朝" w:hint="eastAsia"/>
                <w:szCs w:val="21"/>
              </w:rPr>
              <w:t>(1ヶ月まで)</w:t>
            </w:r>
          </w:p>
        </w:tc>
        <w:tc>
          <w:tcPr>
            <w:tcW w:w="7176" w:type="dxa"/>
          </w:tcPr>
          <w:p w14:paraId="6E89EEEE" w14:textId="77777777" w:rsidR="008B4B2B" w:rsidRPr="00E0548A" w:rsidRDefault="008B4B2B" w:rsidP="008B4B2B">
            <w:pPr>
              <w:rPr>
                <w:rFonts w:ascii="ＭＳ ゴシック" w:eastAsia="ＭＳ ゴシック" w:hAnsi="ＭＳ ゴシック"/>
                <w:szCs w:val="21"/>
              </w:rPr>
            </w:pPr>
            <w:r w:rsidRPr="00E0548A">
              <w:rPr>
                <w:rFonts w:ascii="ＭＳ 明朝" w:hAnsi="ＭＳ 明朝" w:hint="eastAsia"/>
                <w:szCs w:val="21"/>
              </w:rPr>
              <w:t>○被災所管施設の応急復旧</w:t>
            </w:r>
          </w:p>
          <w:p w14:paraId="3C9FFFFF" w14:textId="77777777" w:rsidR="008B4B2B" w:rsidRPr="00E0548A" w:rsidRDefault="008B4B2B" w:rsidP="008B4B2B">
            <w:pPr>
              <w:rPr>
                <w:rFonts w:ascii="ＭＳ ゴシック" w:eastAsia="ＭＳ ゴシック" w:hAnsi="ＭＳ ゴシック"/>
                <w:szCs w:val="21"/>
              </w:rPr>
            </w:pPr>
          </w:p>
        </w:tc>
      </w:tr>
    </w:tbl>
    <w:p w14:paraId="08983BE5" w14:textId="40F350BB" w:rsidR="008B4B2B" w:rsidRPr="00E0548A" w:rsidRDefault="008B4B2B" w:rsidP="008B4B2B">
      <w:pPr>
        <w:ind w:left="1689" w:hangingChars="800" w:hanging="1689"/>
        <w:rPr>
          <w:rFonts w:ascii="ＭＳ 明朝" w:hAnsi="ＭＳ 明朝"/>
          <w:szCs w:val="21"/>
        </w:rPr>
      </w:pPr>
      <w:r w:rsidRPr="00E0548A">
        <w:rPr>
          <w:rFonts w:ascii="ＭＳ 明朝" w:hAnsi="ＭＳ 明朝" w:hint="eastAsia"/>
          <w:szCs w:val="21"/>
        </w:rPr>
        <w:t>※主な所管施設：修徳学院、子どもライフサポートセンター、砂川厚生福祉センター</w:t>
      </w:r>
      <w:r w:rsidR="008C36F6" w:rsidRPr="00E0548A">
        <w:rPr>
          <w:rFonts w:ascii="ＭＳ 明朝" w:hAnsi="ＭＳ 明朝" w:hint="eastAsia"/>
          <w:szCs w:val="21"/>
        </w:rPr>
        <w:t>やこんごう福祉センター</w:t>
      </w:r>
      <w:r w:rsidRPr="00E0548A">
        <w:rPr>
          <w:rFonts w:ascii="ＭＳ 明朝" w:hAnsi="ＭＳ 明朝" w:hint="eastAsia"/>
          <w:szCs w:val="21"/>
        </w:rPr>
        <w:t>など</w:t>
      </w:r>
    </w:p>
    <w:p w14:paraId="533E8067" w14:textId="77777777" w:rsidR="008B4B2B" w:rsidRPr="00E0548A" w:rsidRDefault="008B4B2B" w:rsidP="008B4B2B">
      <w:pPr>
        <w:rPr>
          <w:rFonts w:ascii="ＭＳ ゴシック" w:eastAsia="ＭＳ ゴシック" w:hAnsi="ＭＳ ゴシック"/>
          <w:szCs w:val="21"/>
        </w:rPr>
      </w:pPr>
      <w:r w:rsidRPr="00E0548A">
        <w:rPr>
          <w:rFonts w:ascii="ＭＳ 明朝" w:hAnsi="ＭＳ 明朝" w:hint="eastAsia"/>
          <w:szCs w:val="21"/>
        </w:rPr>
        <w:t>関係機関：市町村、社会福祉施設（保育所・児童養護施設・高齢者施設・障がい者施設など）</w:t>
      </w:r>
    </w:p>
    <w:p w14:paraId="1FD0E2CF" w14:textId="0EE141C5" w:rsidR="008B4B2B" w:rsidRPr="00E0548A" w:rsidRDefault="008B4B2B" w:rsidP="008B4B2B">
      <w:pPr>
        <w:rPr>
          <w:rFonts w:ascii="ＭＳ 明朝" w:hAnsi="ＭＳ 明朝"/>
          <w:szCs w:val="21"/>
        </w:rPr>
      </w:pPr>
    </w:p>
    <w:p w14:paraId="6430131F" w14:textId="77777777" w:rsidR="007650CC" w:rsidRPr="00E0548A" w:rsidRDefault="007650CC" w:rsidP="008B4B2B">
      <w:pPr>
        <w:rPr>
          <w:rFonts w:ascii="ＭＳ 明朝" w:hAnsi="ＭＳ 明朝"/>
          <w:szCs w:val="21"/>
        </w:rPr>
      </w:pPr>
    </w:p>
    <w:p w14:paraId="67EB04E3" w14:textId="77777777" w:rsidR="00D93C38" w:rsidRPr="00E0548A" w:rsidRDefault="00D93C38">
      <w:pPr>
        <w:widowControl/>
        <w:jc w:val="left"/>
        <w:rPr>
          <w:rFonts w:ascii="ＭＳ ゴシック" w:eastAsia="ＭＳ ゴシック" w:hAnsi="ＭＳ ゴシック"/>
          <w:szCs w:val="21"/>
        </w:rPr>
      </w:pPr>
      <w:r w:rsidRPr="00E0548A">
        <w:rPr>
          <w:rFonts w:ascii="ＭＳ ゴシック" w:eastAsia="ＭＳ ゴシック" w:hAnsi="ＭＳ ゴシック"/>
          <w:szCs w:val="21"/>
        </w:rPr>
        <w:br w:type="page"/>
      </w:r>
    </w:p>
    <w:p w14:paraId="1C3131D8" w14:textId="5F8AB913" w:rsidR="007650CC" w:rsidRPr="00E0548A" w:rsidRDefault="007650CC" w:rsidP="007650CC">
      <w:pPr>
        <w:pStyle w:val="af4"/>
        <w:ind w:leftChars="0" w:left="0"/>
        <w:rPr>
          <w:rFonts w:ascii="ＭＳ ゴシック" w:eastAsia="ＭＳ ゴシック" w:hAnsi="ＭＳ ゴシック"/>
          <w:szCs w:val="21"/>
        </w:rPr>
      </w:pPr>
      <w:r w:rsidRPr="00E0548A">
        <w:rPr>
          <w:rFonts w:ascii="ＭＳ ゴシック" w:eastAsia="ＭＳ ゴシック" w:hAnsi="ＭＳ ゴシック" w:hint="eastAsia"/>
          <w:szCs w:val="21"/>
        </w:rPr>
        <w:lastRenderedPageBreak/>
        <w:t>＜南海トラフ地震臨時情報（巨大地震警戒）発表時＞</w:t>
      </w:r>
    </w:p>
    <w:tbl>
      <w:tblPr>
        <w:tblpPr w:leftFromText="142" w:rightFromText="142" w:vertAnchor="text" w:tblpXSpec="center" w:tblpY="1"/>
        <w:tblOverlap w:val="neve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00"/>
        <w:gridCol w:w="7334"/>
      </w:tblGrid>
      <w:tr w:rsidR="00E0548A" w:rsidRPr="00E0548A" w14:paraId="737B7AA5" w14:textId="77777777" w:rsidTr="008C78D9">
        <w:trPr>
          <w:jc w:val="center"/>
        </w:trPr>
        <w:tc>
          <w:tcPr>
            <w:tcW w:w="1500" w:type="dxa"/>
            <w:tcBorders>
              <w:bottom w:val="single" w:sz="4" w:space="0" w:color="auto"/>
            </w:tcBorders>
            <w:shd w:val="clear" w:color="auto" w:fill="BFBFBF"/>
          </w:tcPr>
          <w:p w14:paraId="2651FA85" w14:textId="77777777" w:rsidR="007650CC" w:rsidRPr="00E0548A" w:rsidRDefault="007650CC" w:rsidP="008C78D9">
            <w:pPr>
              <w:jc w:val="center"/>
              <w:rPr>
                <w:rFonts w:ascii="ＭＳ 明朝" w:hAnsi="ＭＳ 明朝"/>
                <w:szCs w:val="21"/>
              </w:rPr>
            </w:pPr>
            <w:r w:rsidRPr="00E0548A">
              <w:rPr>
                <w:rFonts w:ascii="ＭＳ 明朝" w:hAnsi="ＭＳ 明朝" w:hint="eastAsia"/>
                <w:szCs w:val="21"/>
              </w:rPr>
              <w:t>臨時情報</w:t>
            </w:r>
          </w:p>
        </w:tc>
        <w:tc>
          <w:tcPr>
            <w:tcW w:w="7334" w:type="dxa"/>
            <w:tcBorders>
              <w:bottom w:val="single" w:sz="4" w:space="0" w:color="auto"/>
            </w:tcBorders>
            <w:shd w:val="clear" w:color="auto" w:fill="BFBFBF"/>
          </w:tcPr>
          <w:p w14:paraId="32048BFF" w14:textId="77777777" w:rsidR="007650CC" w:rsidRPr="00E0548A" w:rsidRDefault="007650CC" w:rsidP="008C78D9">
            <w:pPr>
              <w:jc w:val="center"/>
              <w:rPr>
                <w:rFonts w:ascii="ＭＳ 明朝" w:hAnsi="ＭＳ 明朝"/>
                <w:szCs w:val="21"/>
              </w:rPr>
            </w:pPr>
            <w:r w:rsidRPr="00E0548A">
              <w:rPr>
                <w:rFonts w:ascii="ＭＳ 明朝" w:hAnsi="ＭＳ 明朝" w:hint="eastAsia"/>
                <w:szCs w:val="21"/>
              </w:rPr>
              <w:t>主な応急対策業務</w:t>
            </w:r>
          </w:p>
        </w:tc>
      </w:tr>
      <w:tr w:rsidR="00E0548A" w:rsidRPr="00E0548A" w14:paraId="71508038" w14:textId="77777777" w:rsidTr="008C78D9">
        <w:trPr>
          <w:jc w:val="center"/>
        </w:trPr>
        <w:tc>
          <w:tcPr>
            <w:tcW w:w="1500" w:type="dxa"/>
          </w:tcPr>
          <w:p w14:paraId="631CF0F1" w14:textId="77777777" w:rsidR="007650CC" w:rsidRPr="00E0548A" w:rsidRDefault="007650CC" w:rsidP="008C78D9">
            <w:pPr>
              <w:rPr>
                <w:rFonts w:ascii="ＭＳ 明朝" w:hAnsi="ＭＳ 明朝"/>
                <w:szCs w:val="21"/>
              </w:rPr>
            </w:pPr>
            <w:r w:rsidRPr="00E0548A">
              <w:rPr>
                <w:rFonts w:ascii="ＭＳ 明朝" w:hAnsi="ＭＳ 明朝" w:hint="eastAsia"/>
                <w:szCs w:val="21"/>
              </w:rPr>
              <w:t>巨大地震警戒</w:t>
            </w:r>
          </w:p>
        </w:tc>
        <w:tc>
          <w:tcPr>
            <w:tcW w:w="7334" w:type="dxa"/>
          </w:tcPr>
          <w:p w14:paraId="48C673A1" w14:textId="77777777" w:rsidR="001E79A3" w:rsidRPr="00E0548A" w:rsidRDefault="001E79A3" w:rsidP="001E79A3">
            <w:pPr>
              <w:rPr>
                <w:rFonts w:ascii="ＭＳ 明朝" w:hAnsi="ＭＳ 明朝"/>
              </w:rPr>
            </w:pPr>
            <w:r w:rsidRPr="00E0548A">
              <w:rPr>
                <w:rFonts w:ascii="ＭＳ 明朝" w:hAnsi="ＭＳ 明朝" w:hint="eastAsia"/>
              </w:rPr>
              <w:t>○地震発災後、応急対策業務（第１フェーズ）を速やかに実施できる準備</w:t>
            </w:r>
          </w:p>
          <w:p w14:paraId="49A88F12" w14:textId="77777777" w:rsidR="001E79A3" w:rsidRPr="00E0548A" w:rsidRDefault="001E79A3" w:rsidP="000F0846">
            <w:pPr>
              <w:ind w:firstLineChars="100" w:firstLine="211"/>
              <w:rPr>
                <w:rFonts w:ascii="ＭＳ 明朝" w:hAnsi="ＭＳ 明朝"/>
              </w:rPr>
            </w:pPr>
            <w:r w:rsidRPr="00E0548A">
              <w:rPr>
                <w:rFonts w:ascii="ＭＳ 明朝" w:hAnsi="ＭＳ 明朝" w:hint="eastAsia"/>
              </w:rPr>
              <w:t>体制を維持</w:t>
            </w:r>
          </w:p>
          <w:p w14:paraId="5430DABC" w14:textId="66619BF2" w:rsidR="001E79A3" w:rsidRPr="00E0548A" w:rsidRDefault="001E79A3" w:rsidP="001E79A3">
            <w:pPr>
              <w:rPr>
                <w:rFonts w:ascii="ＭＳ 明朝" w:hAnsi="ＭＳ 明朝"/>
              </w:rPr>
            </w:pPr>
            <w:r w:rsidRPr="00E0548A">
              <w:rPr>
                <w:rFonts w:ascii="ＭＳ 明朝" w:hAnsi="ＭＳ 明朝" w:hint="eastAsia"/>
              </w:rPr>
              <w:t>○社会福祉施設など（保育所・児童養護施設・高齢者施設・障がい者施設</w:t>
            </w:r>
          </w:p>
          <w:p w14:paraId="63FCB8F5" w14:textId="2CC1D428" w:rsidR="00FB2BB1" w:rsidRPr="00E0548A" w:rsidRDefault="001E79A3" w:rsidP="001E79A3">
            <w:pPr>
              <w:rPr>
                <w:rFonts w:ascii="ＭＳ 明朝" w:hAnsi="ＭＳ 明朝"/>
                <w:szCs w:val="21"/>
              </w:rPr>
            </w:pPr>
            <w:r w:rsidRPr="00E0548A">
              <w:rPr>
                <w:rFonts w:ascii="ＭＳ 明朝" w:hAnsi="ＭＳ 明朝" w:hint="eastAsia"/>
              </w:rPr>
              <w:t>など）への注意喚起と備えの再確認依頼など</w:t>
            </w:r>
          </w:p>
        </w:tc>
      </w:tr>
    </w:tbl>
    <w:p w14:paraId="3853CFCB" w14:textId="77777777" w:rsidR="007650CC" w:rsidRPr="00E0548A" w:rsidRDefault="007650CC" w:rsidP="007650CC">
      <w:pPr>
        <w:rPr>
          <w:rFonts w:ascii="ＭＳ 明朝" w:hAnsi="ＭＳ 明朝"/>
          <w:szCs w:val="21"/>
        </w:rPr>
      </w:pPr>
      <w:r w:rsidRPr="00E0548A">
        <w:rPr>
          <w:rFonts w:ascii="ＭＳ 明朝" w:hAnsi="ＭＳ 明朝" w:hint="eastAsia"/>
          <w:szCs w:val="21"/>
        </w:rPr>
        <w:t>「南海トラフ地震臨時情報（巨大地震警戒）」が発表され、「巨大地震警戒対応期間」（１週間）が経過した際は、「巨大地震注意対応期間」へ移行。</w:t>
      </w:r>
    </w:p>
    <w:p w14:paraId="02576482" w14:textId="77777777" w:rsidR="007650CC" w:rsidRPr="00E0548A" w:rsidRDefault="007650CC" w:rsidP="007650CC">
      <w:pPr>
        <w:rPr>
          <w:rFonts w:ascii="ＭＳ 明朝" w:hAnsi="ＭＳ 明朝"/>
          <w:szCs w:val="21"/>
        </w:rPr>
      </w:pPr>
    </w:p>
    <w:p w14:paraId="6DB786D2" w14:textId="45A43039" w:rsidR="007650CC" w:rsidRPr="00E0548A" w:rsidRDefault="007650CC" w:rsidP="007650CC">
      <w:pPr>
        <w:pStyle w:val="af4"/>
        <w:ind w:leftChars="0" w:left="0"/>
        <w:rPr>
          <w:rFonts w:ascii="ＭＳ ゴシック" w:eastAsia="ＭＳ ゴシック" w:hAnsi="ＭＳ ゴシック"/>
          <w:szCs w:val="21"/>
        </w:rPr>
      </w:pPr>
      <w:r w:rsidRPr="00E0548A">
        <w:rPr>
          <w:rFonts w:ascii="ＭＳ ゴシック" w:eastAsia="ＭＳ ゴシック" w:hAnsi="ＭＳ ゴシック" w:hint="eastAsia"/>
          <w:szCs w:val="21"/>
        </w:rPr>
        <w:t>＜南海トラフ地震臨時情報（巨大地震注意）発表時</w:t>
      </w:r>
      <w:r w:rsidR="002F25B5" w:rsidRPr="00E0548A">
        <w:rPr>
          <w:rFonts w:ascii="ＭＳ ゴシック" w:eastAsia="ＭＳ ゴシック" w:hAnsi="ＭＳ ゴシック" w:hint="eastAsia"/>
          <w:szCs w:val="21"/>
        </w:rPr>
        <w:t>（</w:t>
      </w:r>
      <w:r w:rsidR="002F25B5" w:rsidRPr="00E0548A">
        <w:rPr>
          <w:rFonts w:ascii="ＭＳ 明朝" w:hAnsi="ＭＳ 明朝" w:hint="eastAsia"/>
          <w:szCs w:val="21"/>
        </w:rPr>
        <w:t>巨大地震警戒からの移行時を含む</w:t>
      </w:r>
      <w:r w:rsidR="002F25B5" w:rsidRPr="00E0548A">
        <w:rPr>
          <w:rFonts w:ascii="ＭＳ ゴシック" w:eastAsia="ＭＳ ゴシック" w:hAnsi="ＭＳ ゴシック" w:hint="eastAsia"/>
          <w:szCs w:val="21"/>
        </w:rPr>
        <w:t>）</w:t>
      </w:r>
      <w:r w:rsidRPr="00E0548A">
        <w:rPr>
          <w:rFonts w:ascii="ＭＳ ゴシック" w:eastAsia="ＭＳ ゴシック" w:hAnsi="ＭＳ ゴシック" w:hint="eastAsia"/>
          <w:szCs w:val="21"/>
        </w:rPr>
        <w:t>＞</w:t>
      </w:r>
    </w:p>
    <w:tbl>
      <w:tblPr>
        <w:tblpPr w:leftFromText="142" w:rightFromText="142" w:vertAnchor="text" w:tblpXSpec="center" w:tblpY="1"/>
        <w:tblOverlap w:val="neve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00"/>
        <w:gridCol w:w="7334"/>
      </w:tblGrid>
      <w:tr w:rsidR="00E0548A" w:rsidRPr="00E0548A" w14:paraId="3C131C91" w14:textId="77777777" w:rsidTr="008C78D9">
        <w:trPr>
          <w:jc w:val="center"/>
        </w:trPr>
        <w:tc>
          <w:tcPr>
            <w:tcW w:w="1500" w:type="dxa"/>
            <w:tcBorders>
              <w:bottom w:val="single" w:sz="4" w:space="0" w:color="auto"/>
            </w:tcBorders>
            <w:shd w:val="clear" w:color="auto" w:fill="BFBFBF"/>
          </w:tcPr>
          <w:p w14:paraId="34BC1DF4" w14:textId="77777777" w:rsidR="007650CC" w:rsidRPr="00E0548A" w:rsidRDefault="007650CC" w:rsidP="008C78D9">
            <w:pPr>
              <w:jc w:val="center"/>
              <w:rPr>
                <w:rFonts w:ascii="ＭＳ 明朝" w:hAnsi="ＭＳ 明朝"/>
                <w:szCs w:val="21"/>
              </w:rPr>
            </w:pPr>
            <w:r w:rsidRPr="00E0548A">
              <w:rPr>
                <w:rFonts w:ascii="ＭＳ 明朝" w:hAnsi="ＭＳ 明朝" w:hint="eastAsia"/>
                <w:szCs w:val="21"/>
              </w:rPr>
              <w:t>臨時情報</w:t>
            </w:r>
          </w:p>
        </w:tc>
        <w:tc>
          <w:tcPr>
            <w:tcW w:w="7334" w:type="dxa"/>
            <w:tcBorders>
              <w:bottom w:val="single" w:sz="4" w:space="0" w:color="auto"/>
            </w:tcBorders>
            <w:shd w:val="clear" w:color="auto" w:fill="BFBFBF"/>
          </w:tcPr>
          <w:p w14:paraId="2FD5E731" w14:textId="77777777" w:rsidR="007650CC" w:rsidRPr="00E0548A" w:rsidRDefault="007650CC" w:rsidP="008C78D9">
            <w:pPr>
              <w:jc w:val="center"/>
              <w:rPr>
                <w:rFonts w:ascii="ＭＳ 明朝" w:hAnsi="ＭＳ 明朝"/>
                <w:szCs w:val="21"/>
              </w:rPr>
            </w:pPr>
            <w:r w:rsidRPr="00E0548A">
              <w:rPr>
                <w:rFonts w:ascii="ＭＳ 明朝" w:hAnsi="ＭＳ 明朝" w:hint="eastAsia"/>
                <w:szCs w:val="21"/>
              </w:rPr>
              <w:t>主な応急対策業務</w:t>
            </w:r>
          </w:p>
        </w:tc>
      </w:tr>
      <w:tr w:rsidR="00E0548A" w:rsidRPr="00E0548A" w14:paraId="2715541C" w14:textId="77777777" w:rsidTr="008C78D9">
        <w:trPr>
          <w:jc w:val="center"/>
        </w:trPr>
        <w:tc>
          <w:tcPr>
            <w:tcW w:w="1500" w:type="dxa"/>
          </w:tcPr>
          <w:p w14:paraId="443BB161" w14:textId="77777777" w:rsidR="007650CC" w:rsidRPr="00E0548A" w:rsidRDefault="007650CC" w:rsidP="008C78D9">
            <w:pPr>
              <w:rPr>
                <w:rFonts w:ascii="ＭＳ 明朝" w:hAnsi="ＭＳ 明朝"/>
                <w:szCs w:val="21"/>
              </w:rPr>
            </w:pPr>
            <w:r w:rsidRPr="00E0548A">
              <w:rPr>
                <w:rFonts w:ascii="ＭＳ 明朝" w:hAnsi="ＭＳ 明朝" w:hint="eastAsia"/>
                <w:szCs w:val="21"/>
              </w:rPr>
              <w:t>巨大地震注意</w:t>
            </w:r>
          </w:p>
        </w:tc>
        <w:tc>
          <w:tcPr>
            <w:tcW w:w="7334" w:type="dxa"/>
          </w:tcPr>
          <w:p w14:paraId="447655AC" w14:textId="6975E1D7" w:rsidR="003E0341" w:rsidRPr="00E0548A" w:rsidRDefault="001E79A3" w:rsidP="001E79A3">
            <w:pPr>
              <w:rPr>
                <w:rFonts w:ascii="ＭＳ 明朝" w:hAnsi="ＭＳ 明朝"/>
              </w:rPr>
            </w:pPr>
            <w:r w:rsidRPr="00E0548A">
              <w:rPr>
                <w:rFonts w:ascii="ＭＳ 明朝" w:hAnsi="ＭＳ 明朝" w:hint="eastAsia"/>
              </w:rPr>
              <w:t>○地震発災に備えた情報連絡体制の</w:t>
            </w:r>
            <w:r w:rsidR="003E0341" w:rsidRPr="00E0548A">
              <w:rPr>
                <w:rFonts w:ascii="ＭＳ 明朝" w:hAnsi="ＭＳ 明朝" w:hint="eastAsia"/>
              </w:rPr>
              <w:t>維持</w:t>
            </w:r>
          </w:p>
          <w:p w14:paraId="3F966658" w14:textId="77777777" w:rsidR="001E79A3" w:rsidRPr="00E0548A" w:rsidRDefault="001E79A3" w:rsidP="001E79A3">
            <w:pPr>
              <w:rPr>
                <w:rFonts w:ascii="ＭＳ 明朝" w:hAnsi="ＭＳ 明朝"/>
              </w:rPr>
            </w:pPr>
            <w:r w:rsidRPr="00E0548A">
              <w:rPr>
                <w:rFonts w:ascii="ＭＳ 明朝" w:hAnsi="ＭＳ 明朝" w:hint="eastAsia"/>
              </w:rPr>
              <w:t>○社会福祉施設など（保育所・児童養護施設・高齢者施設・障がい者施設</w:t>
            </w:r>
          </w:p>
          <w:p w14:paraId="5727A5ED" w14:textId="1982EF45" w:rsidR="007650CC" w:rsidRPr="00E0548A" w:rsidRDefault="001E79A3" w:rsidP="001E79A3">
            <w:pPr>
              <w:rPr>
                <w:rFonts w:ascii="ＭＳ 明朝" w:hAnsi="ＭＳ 明朝"/>
                <w:szCs w:val="21"/>
              </w:rPr>
            </w:pPr>
            <w:r w:rsidRPr="00E0548A">
              <w:rPr>
                <w:rFonts w:ascii="ＭＳ 明朝" w:hAnsi="ＭＳ 明朝" w:hint="eastAsia"/>
              </w:rPr>
              <w:t>など）への注意喚起と備えの再確認依頼など</w:t>
            </w:r>
          </w:p>
        </w:tc>
      </w:tr>
    </w:tbl>
    <w:p w14:paraId="784875EF" w14:textId="77777777" w:rsidR="007650CC" w:rsidRPr="00E0548A" w:rsidRDefault="007650CC" w:rsidP="007650CC">
      <w:pPr>
        <w:rPr>
          <w:rFonts w:ascii="ＭＳ 明朝" w:hAnsi="ＭＳ 明朝"/>
          <w:szCs w:val="21"/>
        </w:rPr>
      </w:pPr>
    </w:p>
    <w:p w14:paraId="54572D91" w14:textId="77777777" w:rsidR="00BD6692" w:rsidRPr="00E0548A" w:rsidRDefault="00BD6692" w:rsidP="00BD6692">
      <w:pPr>
        <w:ind w:firstLineChars="100" w:firstLine="211"/>
        <w:rPr>
          <w:rFonts w:ascii="ＭＳ 明朝" w:hAnsi="ＭＳ 明朝"/>
          <w:szCs w:val="21"/>
        </w:rPr>
      </w:pPr>
      <w:r w:rsidRPr="00E0548A">
        <w:rPr>
          <w:rFonts w:ascii="ＭＳ 明朝" w:hAnsi="ＭＳ 明朝" w:hint="eastAsia"/>
          <w:szCs w:val="21"/>
        </w:rPr>
        <w:t>なお、南海トラフ地震臨時情報（巨大地震警戒及び注意）発表時の主な所管施設等については、前述する＜災害発生時＞に記載する内容と同様。</w:t>
      </w:r>
    </w:p>
    <w:p w14:paraId="2B99EE8D" w14:textId="77777777" w:rsidR="008B4B2B" w:rsidRPr="00E0548A" w:rsidRDefault="008B4B2B" w:rsidP="008B4B2B">
      <w:pPr>
        <w:rPr>
          <w:rFonts w:ascii="ＭＳ ゴシック" w:eastAsia="ＭＳ ゴシック" w:hAnsi="ＭＳ ゴシック"/>
          <w:sz w:val="22"/>
          <w:szCs w:val="22"/>
        </w:rPr>
      </w:pPr>
    </w:p>
    <w:p w14:paraId="4B615869" w14:textId="77777777" w:rsidR="008B4B2B" w:rsidRPr="00E0548A" w:rsidRDefault="008B4B2B" w:rsidP="008B4B2B">
      <w:pPr>
        <w:rPr>
          <w:rFonts w:ascii="ＭＳ ゴシック" w:eastAsia="ＭＳ ゴシック" w:hAnsi="ＭＳ ゴシック"/>
          <w:sz w:val="22"/>
          <w:szCs w:val="22"/>
        </w:rPr>
      </w:pPr>
    </w:p>
    <w:p w14:paraId="70898F08" w14:textId="1CF83999" w:rsidR="00D93C38" w:rsidRPr="00E0548A" w:rsidRDefault="00D93C38">
      <w:pPr>
        <w:widowControl/>
        <w:jc w:val="left"/>
        <w:rPr>
          <w:rFonts w:ascii="ＭＳ ゴシック" w:eastAsia="ＭＳ ゴシック" w:hAnsi="ＭＳ ゴシック"/>
          <w:sz w:val="22"/>
          <w:szCs w:val="22"/>
        </w:rPr>
      </w:pPr>
      <w:r w:rsidRPr="00E0548A">
        <w:rPr>
          <w:rFonts w:ascii="ＭＳ ゴシック" w:eastAsia="ＭＳ ゴシック" w:hAnsi="ＭＳ ゴシック"/>
          <w:sz w:val="22"/>
          <w:szCs w:val="22"/>
        </w:rPr>
        <w:br w:type="page"/>
      </w:r>
    </w:p>
    <w:p w14:paraId="03D91FFF" w14:textId="0F182985" w:rsidR="008B4B2B" w:rsidRPr="00E0548A" w:rsidRDefault="008B4B2B" w:rsidP="008B4B2B">
      <w:pPr>
        <w:rPr>
          <w:rFonts w:ascii="ＭＳ ゴシック" w:eastAsia="ＭＳ ゴシック" w:hAnsi="ＭＳ ゴシック"/>
          <w:szCs w:val="21"/>
        </w:rPr>
      </w:pPr>
      <w:r w:rsidRPr="00E0548A">
        <w:rPr>
          <w:rFonts w:ascii="ＭＳ ゴシック" w:eastAsia="ＭＳ ゴシック" w:hAnsi="ＭＳ ゴシック" w:hint="eastAsia"/>
          <w:szCs w:val="21"/>
        </w:rPr>
        <w:lastRenderedPageBreak/>
        <w:t>⑨健康医療部</w:t>
      </w:r>
    </w:p>
    <w:p w14:paraId="60FFC31A" w14:textId="78318512" w:rsidR="007650CC" w:rsidRPr="00E0548A" w:rsidRDefault="002C01FF" w:rsidP="002C01FF">
      <w:pPr>
        <w:pStyle w:val="af4"/>
        <w:ind w:leftChars="0" w:left="0"/>
        <w:rPr>
          <w:rFonts w:ascii="ＭＳ ゴシック" w:eastAsia="ＭＳ ゴシック" w:hAnsi="ＭＳ ゴシック"/>
          <w:szCs w:val="21"/>
        </w:rPr>
      </w:pPr>
      <w:r w:rsidRPr="00E0548A">
        <w:rPr>
          <w:rFonts w:ascii="ＭＳ ゴシック" w:eastAsia="ＭＳ ゴシック" w:hAnsi="ＭＳ ゴシック" w:hint="eastAsia"/>
          <w:szCs w:val="21"/>
        </w:rPr>
        <w:t>＜災害発生時＞</w:t>
      </w:r>
    </w:p>
    <w:tbl>
      <w:tblPr>
        <w:tblpPr w:leftFromText="142" w:rightFromText="142" w:vertAnchor="text" w:tblpXSpec="center" w:tblpY="1"/>
        <w:tblOverlap w:val="never"/>
        <w:tblW w:w="879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12"/>
        <w:gridCol w:w="7287"/>
      </w:tblGrid>
      <w:tr w:rsidR="00E0548A" w:rsidRPr="00E0548A" w14:paraId="7A0A4113" w14:textId="77777777" w:rsidTr="007650CC">
        <w:trPr>
          <w:jc w:val="center"/>
        </w:trPr>
        <w:tc>
          <w:tcPr>
            <w:tcW w:w="1512" w:type="dxa"/>
            <w:shd w:val="clear" w:color="auto" w:fill="BFBFBF"/>
          </w:tcPr>
          <w:p w14:paraId="3BAD2805" w14:textId="77777777" w:rsidR="008B4B2B" w:rsidRPr="00E0548A" w:rsidRDefault="008B4B2B" w:rsidP="008B4B2B">
            <w:pPr>
              <w:jc w:val="center"/>
              <w:rPr>
                <w:rFonts w:ascii="ＭＳ 明朝" w:hAnsi="ＭＳ 明朝"/>
                <w:szCs w:val="21"/>
              </w:rPr>
            </w:pPr>
            <w:r w:rsidRPr="00E0548A">
              <w:rPr>
                <w:rFonts w:ascii="ＭＳ 明朝" w:hAnsi="ＭＳ 明朝" w:hint="eastAsia"/>
                <w:szCs w:val="21"/>
              </w:rPr>
              <w:t>フェーズ</w:t>
            </w:r>
          </w:p>
        </w:tc>
        <w:tc>
          <w:tcPr>
            <w:tcW w:w="7287" w:type="dxa"/>
            <w:shd w:val="clear" w:color="auto" w:fill="BFBFBF"/>
          </w:tcPr>
          <w:p w14:paraId="7CE50BFF" w14:textId="77777777" w:rsidR="008B4B2B" w:rsidRPr="00E0548A" w:rsidRDefault="008B4B2B" w:rsidP="008B4B2B">
            <w:pPr>
              <w:jc w:val="center"/>
              <w:rPr>
                <w:rFonts w:ascii="ＭＳ 明朝" w:hAnsi="ＭＳ 明朝"/>
                <w:szCs w:val="21"/>
              </w:rPr>
            </w:pPr>
            <w:r w:rsidRPr="00E0548A">
              <w:rPr>
                <w:rFonts w:ascii="ＭＳ 明朝" w:hAnsi="ＭＳ 明朝" w:hint="eastAsia"/>
                <w:szCs w:val="21"/>
              </w:rPr>
              <w:t>主な応急対策業務</w:t>
            </w:r>
          </w:p>
        </w:tc>
      </w:tr>
      <w:tr w:rsidR="00E0548A" w:rsidRPr="00E0548A" w14:paraId="304B8424" w14:textId="77777777" w:rsidTr="007650CC">
        <w:trPr>
          <w:jc w:val="center"/>
        </w:trPr>
        <w:tc>
          <w:tcPr>
            <w:tcW w:w="1512" w:type="dxa"/>
          </w:tcPr>
          <w:p w14:paraId="766F7773" w14:textId="77777777" w:rsidR="008B4B2B" w:rsidRPr="00E0548A" w:rsidRDefault="008B4B2B" w:rsidP="008B4B2B">
            <w:pPr>
              <w:rPr>
                <w:rFonts w:ascii="ＭＳ 明朝" w:hAnsi="ＭＳ 明朝"/>
                <w:szCs w:val="21"/>
              </w:rPr>
            </w:pPr>
            <w:r w:rsidRPr="00E0548A">
              <w:rPr>
                <w:rFonts w:ascii="ＭＳ 明朝" w:hAnsi="ＭＳ 明朝" w:hint="eastAsia"/>
                <w:szCs w:val="21"/>
              </w:rPr>
              <w:t>第1フェーズ</w:t>
            </w:r>
          </w:p>
          <w:p w14:paraId="2D46793B" w14:textId="77777777" w:rsidR="008B4B2B" w:rsidRPr="00E0548A" w:rsidRDefault="008B4B2B" w:rsidP="008B4B2B">
            <w:pPr>
              <w:rPr>
                <w:rFonts w:ascii="ＭＳ 明朝" w:hAnsi="ＭＳ 明朝"/>
                <w:szCs w:val="21"/>
              </w:rPr>
            </w:pPr>
            <w:r w:rsidRPr="00E0548A">
              <w:rPr>
                <w:rFonts w:ascii="ＭＳ 明朝" w:hAnsi="ＭＳ 明朝" w:hint="eastAsia"/>
                <w:szCs w:val="21"/>
              </w:rPr>
              <w:t>(3時間まで)</w:t>
            </w:r>
          </w:p>
          <w:p w14:paraId="03A5890E" w14:textId="77777777" w:rsidR="008B4B2B" w:rsidRPr="00E0548A" w:rsidRDefault="008B4B2B" w:rsidP="008B4B2B">
            <w:pPr>
              <w:rPr>
                <w:rFonts w:ascii="ＭＳ 明朝" w:hAnsi="ＭＳ 明朝"/>
                <w:szCs w:val="21"/>
              </w:rPr>
            </w:pPr>
          </w:p>
        </w:tc>
        <w:tc>
          <w:tcPr>
            <w:tcW w:w="7287" w:type="dxa"/>
          </w:tcPr>
          <w:p w14:paraId="00878F8B" w14:textId="77777777" w:rsidR="008B4B2B" w:rsidRPr="00E0548A" w:rsidRDefault="008B4B2B" w:rsidP="008B4B2B">
            <w:pPr>
              <w:rPr>
                <w:rFonts w:ascii="ＭＳ 明朝" w:hAnsi="ＭＳ 明朝"/>
                <w:szCs w:val="21"/>
              </w:rPr>
            </w:pPr>
            <w:r w:rsidRPr="00E0548A">
              <w:rPr>
                <w:rFonts w:ascii="ＭＳ 明朝" w:hAnsi="ＭＳ 明朝" w:hint="eastAsia"/>
                <w:szCs w:val="21"/>
              </w:rPr>
              <w:t>○初動対応、体制の確立</w:t>
            </w:r>
          </w:p>
          <w:p w14:paraId="6B9A7679" w14:textId="77777777" w:rsidR="008B4B2B" w:rsidRPr="00E0548A" w:rsidRDefault="008B4B2B" w:rsidP="008B4B2B">
            <w:pPr>
              <w:rPr>
                <w:rFonts w:ascii="ＭＳ 明朝" w:hAnsi="ＭＳ 明朝"/>
                <w:szCs w:val="21"/>
              </w:rPr>
            </w:pPr>
            <w:r w:rsidRPr="00E0548A">
              <w:rPr>
                <w:rFonts w:ascii="ＭＳ 明朝" w:hAnsi="ＭＳ 明朝" w:hint="eastAsia"/>
                <w:szCs w:val="21"/>
              </w:rPr>
              <w:t>○所管施設（保健所など）の利用者の安全確認【各所管所属】</w:t>
            </w:r>
          </w:p>
          <w:p w14:paraId="1FBFFBE4" w14:textId="77777777" w:rsidR="008B4B2B" w:rsidRPr="00E0548A" w:rsidRDefault="008B4B2B" w:rsidP="008B4B2B">
            <w:pPr>
              <w:rPr>
                <w:rFonts w:ascii="ＭＳ 明朝" w:hAnsi="ＭＳ 明朝"/>
                <w:szCs w:val="21"/>
              </w:rPr>
            </w:pPr>
            <w:r w:rsidRPr="00E0548A">
              <w:rPr>
                <w:rFonts w:ascii="ＭＳ 明朝" w:hAnsi="ＭＳ 明朝" w:hint="eastAsia"/>
                <w:szCs w:val="21"/>
              </w:rPr>
              <w:t>○部内職員の安否確認と参集状況の把握【健医総務】</w:t>
            </w:r>
          </w:p>
          <w:p w14:paraId="232F297B" w14:textId="77777777" w:rsidR="008B4B2B" w:rsidRPr="00E0548A" w:rsidRDefault="008B4B2B" w:rsidP="008B4B2B">
            <w:pPr>
              <w:rPr>
                <w:rFonts w:ascii="ＭＳ 明朝" w:hAnsi="ＭＳ 明朝"/>
                <w:szCs w:val="21"/>
              </w:rPr>
            </w:pPr>
            <w:r w:rsidRPr="00E0548A">
              <w:rPr>
                <w:rFonts w:ascii="ＭＳ 明朝" w:hAnsi="ＭＳ 明朝" w:hint="eastAsia"/>
                <w:szCs w:val="21"/>
              </w:rPr>
              <w:t>○部内及び関係機関からの情報収集及び連絡調整【健医総務】</w:t>
            </w:r>
          </w:p>
          <w:p w14:paraId="63570A61" w14:textId="77777777" w:rsidR="008B4B2B" w:rsidRPr="00E0548A" w:rsidRDefault="008B4B2B" w:rsidP="008B4B2B">
            <w:pPr>
              <w:ind w:left="211" w:hangingChars="100" w:hanging="211"/>
              <w:rPr>
                <w:rFonts w:ascii="ＭＳ 明朝" w:hAnsi="ＭＳ 明朝"/>
                <w:szCs w:val="21"/>
              </w:rPr>
            </w:pPr>
            <w:r w:rsidRPr="00E0548A">
              <w:rPr>
                <w:rFonts w:ascii="ＭＳ 明朝" w:hAnsi="ＭＳ 明朝" w:hint="eastAsia"/>
                <w:szCs w:val="21"/>
              </w:rPr>
              <w:t>○保健医療調整本部、保健所保健医療調整本部、ＤＭＡＴ調整本部、ＤＭＡＴ活動拠点本部、ＤＰＡＴ調整本部の設置、運営開始【健医総務、医療対策、地域保健】</w:t>
            </w:r>
          </w:p>
          <w:p w14:paraId="1D361C02" w14:textId="77777777" w:rsidR="008B4B2B" w:rsidRPr="00E0548A" w:rsidRDefault="008B4B2B" w:rsidP="008B4B2B">
            <w:pPr>
              <w:ind w:left="245" w:hangingChars="116" w:hanging="245"/>
              <w:rPr>
                <w:rFonts w:ascii="ＭＳ 明朝" w:hAnsi="ＭＳ 明朝"/>
                <w:szCs w:val="21"/>
              </w:rPr>
            </w:pPr>
            <w:r w:rsidRPr="00E0548A">
              <w:rPr>
                <w:rFonts w:ascii="ＭＳ 明朝" w:hAnsi="ＭＳ 明朝" w:hint="eastAsia"/>
                <w:szCs w:val="21"/>
              </w:rPr>
              <w:t>○災害拠点病院、救急病院（二次・三次機関）及び一般病院の被害状況の把握及び連絡調整【医療対策】</w:t>
            </w:r>
          </w:p>
          <w:p w14:paraId="3FDD3A5D" w14:textId="77777777" w:rsidR="008B4B2B" w:rsidRPr="00E0548A" w:rsidRDefault="008B4B2B" w:rsidP="008B4B2B">
            <w:pPr>
              <w:ind w:left="245" w:hangingChars="116" w:hanging="245"/>
              <w:rPr>
                <w:rFonts w:ascii="ＭＳ 明朝" w:hAnsi="ＭＳ 明朝"/>
                <w:szCs w:val="21"/>
              </w:rPr>
            </w:pPr>
            <w:r w:rsidRPr="00E0548A">
              <w:rPr>
                <w:rFonts w:ascii="ＭＳ 明朝" w:hAnsi="ＭＳ 明朝" w:hint="eastAsia"/>
                <w:szCs w:val="21"/>
              </w:rPr>
              <w:t>○関係施設等の被害状況の把握【各所管所属】</w:t>
            </w:r>
          </w:p>
          <w:p w14:paraId="2514E01F" w14:textId="77777777" w:rsidR="008B4B2B" w:rsidRPr="00E0548A" w:rsidRDefault="008B4B2B" w:rsidP="008B4B2B">
            <w:pPr>
              <w:rPr>
                <w:rFonts w:ascii="ＭＳ 明朝" w:hAnsi="ＭＳ 明朝"/>
                <w:szCs w:val="21"/>
              </w:rPr>
            </w:pPr>
            <w:r w:rsidRPr="00E0548A">
              <w:rPr>
                <w:rFonts w:ascii="ＭＳ 明朝" w:hAnsi="ＭＳ 明朝" w:hint="eastAsia"/>
                <w:szCs w:val="21"/>
              </w:rPr>
              <w:t>○保健医療活動チーム及びドクターヘリの派遣調整開始【各所管所属】</w:t>
            </w:r>
          </w:p>
          <w:p w14:paraId="2CE6D30A" w14:textId="01172E51" w:rsidR="008B4B2B" w:rsidRPr="00E0548A" w:rsidRDefault="008B4B2B" w:rsidP="007435F7">
            <w:pPr>
              <w:ind w:left="211" w:hangingChars="100" w:hanging="211"/>
              <w:rPr>
                <w:rFonts w:ascii="ＭＳ 明朝" w:hAnsi="ＭＳ 明朝"/>
                <w:szCs w:val="21"/>
              </w:rPr>
            </w:pPr>
            <w:r w:rsidRPr="00E0548A">
              <w:rPr>
                <w:rFonts w:ascii="ＭＳ 明朝" w:hAnsi="ＭＳ 明朝" w:hint="eastAsia"/>
                <w:szCs w:val="21"/>
              </w:rPr>
              <w:t>○災害時透析リエゾン、災害時小児周産期リエゾン</w:t>
            </w:r>
            <w:r w:rsidR="002A07A1" w:rsidRPr="00E0548A">
              <w:rPr>
                <w:rFonts w:ascii="ＭＳ 明朝" w:hAnsi="ＭＳ 明朝" w:hint="eastAsia"/>
                <w:szCs w:val="21"/>
              </w:rPr>
              <w:t>、災害医療コーディネーター(難病)活動</w:t>
            </w:r>
            <w:r w:rsidRPr="00E0548A">
              <w:rPr>
                <w:rFonts w:ascii="ＭＳ 明朝" w:hAnsi="ＭＳ 明朝" w:hint="eastAsia"/>
                <w:szCs w:val="21"/>
              </w:rPr>
              <w:t>の開始【地域保健】</w:t>
            </w:r>
          </w:p>
          <w:p w14:paraId="25ED51E5" w14:textId="77777777" w:rsidR="008B4B2B" w:rsidRPr="00E0548A" w:rsidRDefault="008B4B2B" w:rsidP="008B4B2B">
            <w:pPr>
              <w:ind w:left="211" w:hangingChars="100" w:hanging="211"/>
              <w:rPr>
                <w:rFonts w:ascii="ＭＳ 明朝" w:hAnsi="ＭＳ 明朝"/>
                <w:szCs w:val="21"/>
              </w:rPr>
            </w:pPr>
            <w:r w:rsidRPr="00E0548A">
              <w:rPr>
                <w:rFonts w:ascii="ＭＳ 明朝" w:hAnsi="ＭＳ 明朝" w:hint="eastAsia"/>
                <w:szCs w:val="21"/>
              </w:rPr>
              <w:t>○毒物・劇物の漏洩事故の情報収集【薬務】</w:t>
            </w:r>
          </w:p>
          <w:p w14:paraId="61AC7684" w14:textId="4A3D95EC" w:rsidR="008B4B2B" w:rsidRPr="00E0548A" w:rsidRDefault="008B4B2B" w:rsidP="008B4B2B">
            <w:pPr>
              <w:ind w:left="211" w:hangingChars="100" w:hanging="211"/>
              <w:rPr>
                <w:rFonts w:ascii="ＭＳ 明朝" w:hAnsi="ＭＳ 明朝"/>
                <w:szCs w:val="21"/>
              </w:rPr>
            </w:pPr>
            <w:r w:rsidRPr="00E0548A">
              <w:rPr>
                <w:rFonts w:ascii="ＭＳ 明朝" w:hAnsi="ＭＳ 明朝" w:hint="eastAsia"/>
                <w:szCs w:val="21"/>
              </w:rPr>
              <w:t>○</w:t>
            </w:r>
            <w:r w:rsidRPr="00E0548A">
              <w:rPr>
                <w:rFonts w:asciiTheme="minorEastAsia" w:hAnsiTheme="minorEastAsia" w:cs="Meiryo UI" w:hint="eastAsia"/>
              </w:rPr>
              <w:t>大阪府水道災害調整本部の設置</w:t>
            </w:r>
            <w:r w:rsidR="00FE3E73" w:rsidRPr="00E0548A">
              <w:rPr>
                <w:rFonts w:ascii="ＭＳ 明朝" w:hAnsi="ＭＳ 明朝" w:hint="eastAsia"/>
                <w:szCs w:val="21"/>
              </w:rPr>
              <w:t>（被害状況の把握、日本水道協会大阪府支部による応急給水・復旧の応援要請等の情報収集、国・他府県等との連絡調整など）【環境衛生】</w:t>
            </w:r>
            <w:r w:rsidRPr="00E0548A">
              <w:rPr>
                <w:rFonts w:ascii="ＭＳ 明朝" w:hAnsi="ＭＳ 明朝" w:hint="eastAsia"/>
                <w:szCs w:val="21"/>
              </w:rPr>
              <w:t>○職員・来庁者の救助・搬送【各所属】</w:t>
            </w:r>
          </w:p>
        </w:tc>
      </w:tr>
      <w:tr w:rsidR="00E0548A" w:rsidRPr="00E0548A" w14:paraId="361E26D1" w14:textId="77777777" w:rsidTr="007650CC">
        <w:trPr>
          <w:jc w:val="center"/>
        </w:trPr>
        <w:tc>
          <w:tcPr>
            <w:tcW w:w="1512" w:type="dxa"/>
          </w:tcPr>
          <w:p w14:paraId="5C1918EA" w14:textId="77777777" w:rsidR="008B4B2B" w:rsidRPr="00E0548A" w:rsidRDefault="008B4B2B" w:rsidP="008B4B2B">
            <w:pPr>
              <w:rPr>
                <w:rFonts w:ascii="ＭＳ 明朝" w:hAnsi="ＭＳ 明朝"/>
                <w:szCs w:val="21"/>
              </w:rPr>
            </w:pPr>
            <w:r w:rsidRPr="00E0548A">
              <w:rPr>
                <w:rFonts w:ascii="ＭＳ 明朝" w:hAnsi="ＭＳ 明朝" w:hint="eastAsia"/>
                <w:szCs w:val="21"/>
              </w:rPr>
              <w:t>第2フェーズ</w:t>
            </w:r>
          </w:p>
          <w:p w14:paraId="49DDBFEB" w14:textId="77777777" w:rsidR="008B4B2B" w:rsidRPr="00E0548A" w:rsidRDefault="008B4B2B" w:rsidP="008B4B2B">
            <w:pPr>
              <w:rPr>
                <w:rFonts w:ascii="ＭＳ 明朝" w:hAnsi="ＭＳ 明朝"/>
                <w:szCs w:val="21"/>
              </w:rPr>
            </w:pPr>
            <w:r w:rsidRPr="00E0548A">
              <w:rPr>
                <w:rFonts w:ascii="ＭＳ 明朝" w:hAnsi="ＭＳ 明朝" w:hint="eastAsia"/>
                <w:szCs w:val="21"/>
              </w:rPr>
              <w:t>(24時間まで)</w:t>
            </w:r>
          </w:p>
          <w:p w14:paraId="5B187E53" w14:textId="77777777" w:rsidR="008B4B2B" w:rsidRPr="00E0548A" w:rsidRDefault="008B4B2B" w:rsidP="008B4B2B">
            <w:pPr>
              <w:rPr>
                <w:rFonts w:ascii="ＭＳ 明朝" w:hAnsi="ＭＳ 明朝"/>
                <w:szCs w:val="21"/>
              </w:rPr>
            </w:pPr>
          </w:p>
        </w:tc>
        <w:tc>
          <w:tcPr>
            <w:tcW w:w="7287" w:type="dxa"/>
          </w:tcPr>
          <w:p w14:paraId="55B31BD4" w14:textId="6B91C934" w:rsidR="008B4B2B" w:rsidRPr="00E0548A" w:rsidRDefault="008B4B2B" w:rsidP="007435F7">
            <w:pPr>
              <w:ind w:left="211" w:hangingChars="100" w:hanging="211"/>
              <w:rPr>
                <w:rFonts w:ascii="ＭＳ 明朝" w:hAnsi="ＭＳ 明朝"/>
                <w:szCs w:val="21"/>
              </w:rPr>
            </w:pPr>
            <w:r w:rsidRPr="00E0548A">
              <w:rPr>
                <w:rFonts w:ascii="ＭＳ 明朝" w:hAnsi="ＭＳ 明朝" w:hint="eastAsia"/>
                <w:szCs w:val="21"/>
              </w:rPr>
              <w:t>○所管施設の被害状況の把握【健医総務】、報告及び二次災害防止対策の</w:t>
            </w:r>
            <w:r w:rsidR="007435F7" w:rsidRPr="00E0548A">
              <w:rPr>
                <w:rFonts w:ascii="ＭＳ 明朝" w:hAnsi="ＭＳ 明朝" w:hint="eastAsia"/>
                <w:szCs w:val="21"/>
              </w:rPr>
              <w:t xml:space="preserve">　</w:t>
            </w:r>
            <w:r w:rsidRPr="00E0548A">
              <w:rPr>
                <w:rFonts w:ascii="ＭＳ 明朝" w:hAnsi="ＭＳ 明朝" w:hint="eastAsia"/>
                <w:szCs w:val="21"/>
              </w:rPr>
              <w:t>実施</w:t>
            </w:r>
          </w:p>
          <w:p w14:paraId="533F8083" w14:textId="77777777" w:rsidR="008B4B2B" w:rsidRPr="00E0548A" w:rsidRDefault="008B4B2B" w:rsidP="008B4B2B">
            <w:pPr>
              <w:rPr>
                <w:rFonts w:ascii="ＭＳ 明朝" w:hAnsi="ＭＳ 明朝"/>
                <w:szCs w:val="21"/>
              </w:rPr>
            </w:pPr>
            <w:r w:rsidRPr="00E0548A">
              <w:rPr>
                <w:rFonts w:ascii="ＭＳ 明朝" w:hAnsi="ＭＳ 明朝" w:hint="eastAsia"/>
                <w:szCs w:val="21"/>
              </w:rPr>
              <w:t>【各所管所属】</w:t>
            </w:r>
          </w:p>
          <w:p w14:paraId="4631FC07" w14:textId="77777777" w:rsidR="008B4B2B" w:rsidRPr="00E0548A" w:rsidRDefault="008B4B2B" w:rsidP="008B4B2B">
            <w:pPr>
              <w:rPr>
                <w:rFonts w:ascii="ＭＳ 明朝" w:hAnsi="ＭＳ 明朝"/>
                <w:szCs w:val="21"/>
              </w:rPr>
            </w:pPr>
            <w:r w:rsidRPr="00E0548A">
              <w:rPr>
                <w:rFonts w:ascii="ＭＳ 明朝" w:hAnsi="ＭＳ 明朝" w:hint="eastAsia"/>
                <w:szCs w:val="21"/>
              </w:rPr>
              <w:t>○保健医療調整本部における後方医療活動の調整開始【各所管所属】</w:t>
            </w:r>
          </w:p>
          <w:p w14:paraId="069E7B9A" w14:textId="2C1D7AD9" w:rsidR="008B4B2B" w:rsidRPr="00E0548A" w:rsidRDefault="008B4B2B" w:rsidP="008B4B2B">
            <w:pPr>
              <w:ind w:left="211" w:hangingChars="100" w:hanging="211"/>
              <w:rPr>
                <w:rFonts w:ascii="ＭＳ 明朝" w:hAnsi="ＭＳ 明朝"/>
                <w:szCs w:val="21"/>
              </w:rPr>
            </w:pPr>
            <w:r w:rsidRPr="00E0548A">
              <w:rPr>
                <w:rFonts w:ascii="ＭＳ 明朝" w:hAnsi="ＭＳ 明朝" w:hint="eastAsia"/>
                <w:szCs w:val="21"/>
              </w:rPr>
              <w:t>○災害時医薬品等確保供給体制の確保及び輸血用血液の状況把握(搬送体制を含む)【医療対策・薬務】</w:t>
            </w:r>
          </w:p>
          <w:p w14:paraId="1E2C3D71" w14:textId="77777777" w:rsidR="00FE3E73" w:rsidRPr="00E0548A" w:rsidRDefault="00FE3E73" w:rsidP="00FE3E73">
            <w:pPr>
              <w:ind w:left="211" w:hangingChars="100" w:hanging="211"/>
              <w:rPr>
                <w:rFonts w:ascii="ＭＳ 明朝" w:hAnsi="ＭＳ 明朝"/>
                <w:szCs w:val="21"/>
              </w:rPr>
            </w:pPr>
            <w:r w:rsidRPr="00E0548A">
              <w:rPr>
                <w:rFonts w:ascii="ＭＳ 明朝" w:hAnsi="ＭＳ 明朝" w:hint="eastAsia"/>
                <w:szCs w:val="21"/>
              </w:rPr>
              <w:t>○府外ＤＨＥＡＴ先遣隊の受入調整開始【健医総務】</w:t>
            </w:r>
          </w:p>
          <w:p w14:paraId="08F87B5F" w14:textId="7E660BA0" w:rsidR="008B4B2B" w:rsidRPr="00E0548A" w:rsidRDefault="008B4B2B" w:rsidP="008B4B2B">
            <w:pPr>
              <w:rPr>
                <w:rFonts w:ascii="ＭＳ 明朝" w:hAnsi="ＭＳ 明朝"/>
                <w:szCs w:val="21"/>
              </w:rPr>
            </w:pPr>
            <w:r w:rsidRPr="00E0548A">
              <w:rPr>
                <w:rFonts w:ascii="ＭＳ 明朝" w:hAnsi="ＭＳ 明朝" w:hint="eastAsia"/>
                <w:szCs w:val="21"/>
              </w:rPr>
              <w:t>○</w:t>
            </w:r>
            <w:r w:rsidR="00E33EB1" w:rsidRPr="00E0548A">
              <w:rPr>
                <w:rFonts w:ascii="ＭＳ 明朝" w:hAnsi="ＭＳ 明朝" w:hint="eastAsia"/>
                <w:szCs w:val="21"/>
              </w:rPr>
              <w:t>府内</w:t>
            </w:r>
            <w:r w:rsidRPr="00E0548A">
              <w:rPr>
                <w:rFonts w:ascii="ＭＳ 明朝" w:hAnsi="ＭＳ 明朝" w:hint="eastAsia"/>
                <w:szCs w:val="21"/>
              </w:rPr>
              <w:t>ＤＨＥＡＴ</w:t>
            </w:r>
            <w:r w:rsidR="00E33EB1" w:rsidRPr="00E0548A">
              <w:rPr>
                <w:rFonts w:ascii="ＭＳ 明朝" w:hAnsi="ＭＳ 明朝" w:hint="eastAsia"/>
                <w:szCs w:val="21"/>
              </w:rPr>
              <w:t>・公衆衛生チーム</w:t>
            </w:r>
            <w:r w:rsidRPr="00E0548A">
              <w:rPr>
                <w:rFonts w:ascii="ＭＳ 明朝" w:hAnsi="ＭＳ 明朝" w:hint="eastAsia"/>
                <w:szCs w:val="21"/>
              </w:rPr>
              <w:t>の派遣調整開始【健医総務】</w:t>
            </w:r>
          </w:p>
          <w:p w14:paraId="3FA1965F" w14:textId="77777777" w:rsidR="008B4B2B" w:rsidRPr="00E0548A" w:rsidRDefault="008B4B2B" w:rsidP="008B4B2B">
            <w:pPr>
              <w:rPr>
                <w:rFonts w:ascii="ＭＳ 明朝" w:hAnsi="ＭＳ 明朝"/>
                <w:szCs w:val="21"/>
              </w:rPr>
            </w:pPr>
            <w:r w:rsidRPr="00E0548A">
              <w:rPr>
                <w:rFonts w:ascii="ＭＳ 明朝" w:hAnsi="ＭＳ 明朝" w:hint="eastAsia"/>
                <w:szCs w:val="21"/>
              </w:rPr>
              <w:t>〇国民健康保険事業に係る国への対応要請開始【国民健康保険】</w:t>
            </w:r>
          </w:p>
          <w:p w14:paraId="35129075" w14:textId="77777777" w:rsidR="008B4B2B" w:rsidRPr="00E0548A" w:rsidRDefault="008B4B2B" w:rsidP="008B4B2B">
            <w:pPr>
              <w:rPr>
                <w:rFonts w:ascii="ＭＳ 明朝" w:hAnsi="ＭＳ 明朝"/>
                <w:szCs w:val="21"/>
              </w:rPr>
            </w:pPr>
            <w:r w:rsidRPr="00E0548A">
              <w:rPr>
                <w:rFonts w:ascii="ＭＳ 明朝" w:hAnsi="ＭＳ 明朝" w:hint="eastAsia"/>
                <w:szCs w:val="21"/>
              </w:rPr>
              <w:t>○粉ミルクの供出開始【食の安全】</w:t>
            </w:r>
          </w:p>
          <w:p w14:paraId="243C9918" w14:textId="77777777" w:rsidR="008B4B2B" w:rsidRPr="00E0548A" w:rsidRDefault="008B4B2B" w:rsidP="008B4B2B">
            <w:pPr>
              <w:rPr>
                <w:rFonts w:ascii="ＭＳ 明朝" w:hAnsi="ＭＳ 明朝"/>
                <w:szCs w:val="21"/>
              </w:rPr>
            </w:pPr>
            <w:r w:rsidRPr="00E0548A">
              <w:rPr>
                <w:rFonts w:ascii="ＭＳ 明朝" w:hAnsi="ＭＳ 明朝" w:hint="eastAsia"/>
                <w:szCs w:val="21"/>
              </w:rPr>
              <w:t>○生活用水の確保に係る情報収集（災害時協力井戸関係）【環境衛生】</w:t>
            </w:r>
          </w:p>
          <w:p w14:paraId="7AB2B452" w14:textId="77777777" w:rsidR="008B4B2B" w:rsidRPr="00E0548A" w:rsidRDefault="008B4B2B" w:rsidP="008B4B2B">
            <w:pPr>
              <w:ind w:left="211" w:hangingChars="100" w:hanging="211"/>
              <w:rPr>
                <w:rFonts w:ascii="ＭＳ 明朝" w:hAnsi="ＭＳ 明朝"/>
                <w:szCs w:val="21"/>
              </w:rPr>
            </w:pPr>
            <w:r w:rsidRPr="00E0548A">
              <w:rPr>
                <w:rFonts w:ascii="ＭＳ 明朝" w:hAnsi="ＭＳ 明朝" w:hint="eastAsia"/>
                <w:szCs w:val="21"/>
              </w:rPr>
              <w:t>○し尿処理施設の被害状況の把握及び収集運搬・処理に係る応援調整【環境衛生】</w:t>
            </w:r>
          </w:p>
          <w:p w14:paraId="43C9F739" w14:textId="3AA92338" w:rsidR="00D90277" w:rsidRPr="00E0548A" w:rsidRDefault="00D90277" w:rsidP="00D90277">
            <w:pPr>
              <w:rPr>
                <w:rFonts w:ascii="ＭＳ 明朝" w:hAnsi="ＭＳ 明朝"/>
                <w:szCs w:val="21"/>
              </w:rPr>
            </w:pPr>
            <w:r w:rsidRPr="00E0548A">
              <w:rPr>
                <w:rFonts w:ascii="ＭＳ 明朝" w:hAnsi="ＭＳ 明朝" w:hint="eastAsia"/>
                <w:szCs w:val="21"/>
              </w:rPr>
              <w:t>○感染症の発生状況及び動向に係る情報収集【感染症対策】</w:t>
            </w:r>
          </w:p>
        </w:tc>
      </w:tr>
      <w:tr w:rsidR="00E0548A" w:rsidRPr="00E0548A" w14:paraId="474D726F" w14:textId="77777777" w:rsidTr="007650CC">
        <w:trPr>
          <w:jc w:val="center"/>
        </w:trPr>
        <w:tc>
          <w:tcPr>
            <w:tcW w:w="1512" w:type="dxa"/>
          </w:tcPr>
          <w:p w14:paraId="3DC3E2FD" w14:textId="77777777" w:rsidR="008B4B2B" w:rsidRPr="00E0548A" w:rsidRDefault="008B4B2B" w:rsidP="008B4B2B">
            <w:pPr>
              <w:rPr>
                <w:rFonts w:ascii="ＭＳ 明朝" w:hAnsi="ＭＳ 明朝"/>
                <w:szCs w:val="21"/>
              </w:rPr>
            </w:pPr>
            <w:r w:rsidRPr="00E0548A">
              <w:rPr>
                <w:rFonts w:ascii="ＭＳ 明朝" w:hAnsi="ＭＳ 明朝" w:hint="eastAsia"/>
                <w:szCs w:val="21"/>
              </w:rPr>
              <w:t>第3フェーズ</w:t>
            </w:r>
          </w:p>
          <w:p w14:paraId="1EE7CD31" w14:textId="77777777" w:rsidR="008B4B2B" w:rsidRPr="00E0548A" w:rsidRDefault="008B4B2B" w:rsidP="008B4B2B">
            <w:pPr>
              <w:rPr>
                <w:rFonts w:ascii="ＭＳ 明朝" w:hAnsi="ＭＳ 明朝"/>
                <w:szCs w:val="21"/>
              </w:rPr>
            </w:pPr>
            <w:r w:rsidRPr="00E0548A">
              <w:rPr>
                <w:rFonts w:ascii="ＭＳ 明朝" w:hAnsi="ＭＳ 明朝" w:hint="eastAsia"/>
                <w:szCs w:val="21"/>
              </w:rPr>
              <w:t>(72時間まで)</w:t>
            </w:r>
          </w:p>
        </w:tc>
        <w:tc>
          <w:tcPr>
            <w:tcW w:w="7287" w:type="dxa"/>
          </w:tcPr>
          <w:p w14:paraId="363C2DA8" w14:textId="77777777" w:rsidR="007435F7" w:rsidRPr="00E0548A" w:rsidRDefault="008B4B2B" w:rsidP="008B4B2B">
            <w:pPr>
              <w:rPr>
                <w:rFonts w:ascii="ＭＳ 明朝" w:hAnsi="ＭＳ 明朝"/>
                <w:szCs w:val="21"/>
              </w:rPr>
            </w:pPr>
            <w:r w:rsidRPr="00E0548A">
              <w:rPr>
                <w:rFonts w:ascii="ＭＳ 明朝" w:hAnsi="ＭＳ 明朝" w:hint="eastAsia"/>
                <w:szCs w:val="21"/>
              </w:rPr>
              <w:t>○</w:t>
            </w:r>
            <w:r w:rsidR="00E33EB1" w:rsidRPr="00E0548A">
              <w:rPr>
                <w:rFonts w:ascii="ＭＳ 明朝" w:hAnsi="ＭＳ 明朝" w:hint="eastAsia"/>
                <w:szCs w:val="21"/>
              </w:rPr>
              <w:t>府内</w:t>
            </w:r>
            <w:r w:rsidRPr="00E0548A">
              <w:rPr>
                <w:rFonts w:ascii="ＭＳ 明朝" w:hAnsi="ＭＳ 明朝" w:hint="eastAsia"/>
                <w:szCs w:val="21"/>
              </w:rPr>
              <w:t>ＤＨＥＡＴ</w:t>
            </w:r>
            <w:r w:rsidR="00E33EB1" w:rsidRPr="00E0548A">
              <w:rPr>
                <w:rFonts w:ascii="ＭＳ 明朝" w:hAnsi="ＭＳ 明朝" w:hint="eastAsia"/>
                <w:szCs w:val="21"/>
              </w:rPr>
              <w:t>・公衆衛生チーム</w:t>
            </w:r>
            <w:r w:rsidRPr="00E0548A">
              <w:rPr>
                <w:rFonts w:ascii="ＭＳ 明朝" w:hAnsi="ＭＳ 明朝" w:hint="eastAsia"/>
                <w:szCs w:val="21"/>
              </w:rPr>
              <w:t>及びこころの健康相談等の活動開始</w:t>
            </w:r>
          </w:p>
          <w:p w14:paraId="3DB79D01" w14:textId="234F59FE" w:rsidR="008B4B2B" w:rsidRPr="00E0548A" w:rsidRDefault="008B4B2B" w:rsidP="007435F7">
            <w:pPr>
              <w:ind w:firstLineChars="100" w:firstLine="211"/>
              <w:rPr>
                <w:rFonts w:ascii="ＭＳ 明朝" w:hAnsi="ＭＳ 明朝"/>
                <w:szCs w:val="21"/>
              </w:rPr>
            </w:pPr>
            <w:r w:rsidRPr="00E0548A">
              <w:rPr>
                <w:rFonts w:ascii="ＭＳ 明朝" w:hAnsi="ＭＳ 明朝" w:hint="eastAsia"/>
                <w:szCs w:val="21"/>
              </w:rPr>
              <w:t>【健医総務、地域保健】</w:t>
            </w:r>
          </w:p>
          <w:p w14:paraId="406E5F86" w14:textId="490C7E5A" w:rsidR="00E33EB1" w:rsidRPr="00E0548A" w:rsidRDefault="002A07A1" w:rsidP="008B4B2B">
            <w:pPr>
              <w:rPr>
                <w:rFonts w:ascii="ＭＳ 明朝" w:hAnsi="ＭＳ 明朝"/>
                <w:szCs w:val="21"/>
              </w:rPr>
            </w:pPr>
            <w:r w:rsidRPr="00E0548A">
              <w:rPr>
                <w:rFonts w:ascii="ＭＳ 明朝" w:hAnsi="ＭＳ 明朝" w:hint="eastAsia"/>
                <w:szCs w:val="21"/>
              </w:rPr>
              <w:t>○府外ＤＨＥＡＴ・公衆衛生チームの派遣依頼調整開始【健医総務】</w:t>
            </w:r>
          </w:p>
          <w:p w14:paraId="480EFEC9" w14:textId="77777777" w:rsidR="008B4B2B" w:rsidRPr="00E0548A" w:rsidRDefault="008B4B2B" w:rsidP="008B4B2B">
            <w:pPr>
              <w:rPr>
                <w:rFonts w:ascii="ＭＳ 明朝" w:hAnsi="ＭＳ 明朝"/>
                <w:szCs w:val="21"/>
              </w:rPr>
            </w:pPr>
            <w:r w:rsidRPr="00E0548A">
              <w:rPr>
                <w:rFonts w:ascii="ＭＳ 明朝" w:hAnsi="ＭＳ 明朝" w:hint="eastAsia"/>
                <w:szCs w:val="21"/>
              </w:rPr>
              <w:lastRenderedPageBreak/>
              <w:t>〇ＳＣＵ本部の設置、運営開始【医療対策】</w:t>
            </w:r>
          </w:p>
          <w:p w14:paraId="0251538B" w14:textId="2401B97B" w:rsidR="008B4B2B" w:rsidRPr="00E0548A" w:rsidRDefault="008B4B2B" w:rsidP="008B4B2B">
            <w:pPr>
              <w:rPr>
                <w:rFonts w:ascii="ＭＳ 明朝" w:hAnsi="ＭＳ 明朝"/>
                <w:szCs w:val="21"/>
              </w:rPr>
            </w:pPr>
            <w:r w:rsidRPr="00E0548A">
              <w:rPr>
                <w:rFonts w:ascii="ＭＳ 明朝" w:hAnsi="ＭＳ 明朝" w:hint="eastAsia"/>
                <w:szCs w:val="21"/>
              </w:rPr>
              <w:t>○国有ワクチン供給体制の把握【感染症対策】</w:t>
            </w:r>
          </w:p>
          <w:p w14:paraId="2F47231F" w14:textId="77777777" w:rsidR="007435F7" w:rsidRPr="00E0548A" w:rsidRDefault="008B4B2B" w:rsidP="008B4B2B">
            <w:pPr>
              <w:rPr>
                <w:rFonts w:ascii="ＭＳ 明朝" w:hAnsi="ＭＳ 明朝"/>
                <w:szCs w:val="21"/>
              </w:rPr>
            </w:pPr>
            <w:r w:rsidRPr="00E0548A">
              <w:rPr>
                <w:rFonts w:ascii="ＭＳ 明朝" w:hAnsi="ＭＳ 明朝" w:hint="eastAsia"/>
                <w:szCs w:val="21"/>
              </w:rPr>
              <w:t>○感染症指定医療機関（結核指定医療機関を含む）等との連絡調整</w:t>
            </w:r>
          </w:p>
          <w:p w14:paraId="04FEABE7" w14:textId="28EA1436" w:rsidR="008B4B2B" w:rsidRPr="00E0548A" w:rsidRDefault="008B4B2B" w:rsidP="007435F7">
            <w:pPr>
              <w:ind w:firstLineChars="100" w:firstLine="211"/>
              <w:rPr>
                <w:rFonts w:ascii="ＭＳ 明朝" w:hAnsi="ＭＳ 明朝"/>
                <w:szCs w:val="21"/>
              </w:rPr>
            </w:pPr>
            <w:r w:rsidRPr="00E0548A">
              <w:rPr>
                <w:rFonts w:ascii="ＭＳ 明朝" w:hAnsi="ＭＳ 明朝" w:hint="eastAsia"/>
                <w:szCs w:val="21"/>
              </w:rPr>
              <w:t>【感染症対策】</w:t>
            </w:r>
          </w:p>
          <w:p w14:paraId="46A47B66" w14:textId="77777777" w:rsidR="007435F7" w:rsidRPr="00E0548A" w:rsidRDefault="008B4B2B" w:rsidP="008B4B2B">
            <w:pPr>
              <w:rPr>
                <w:rFonts w:ascii="ＭＳ 明朝" w:hAnsi="ＭＳ 明朝"/>
                <w:szCs w:val="21"/>
              </w:rPr>
            </w:pPr>
            <w:r w:rsidRPr="00E0548A">
              <w:rPr>
                <w:rFonts w:ascii="ＭＳ 明朝" w:hAnsi="ＭＳ 明朝" w:hint="eastAsia"/>
                <w:szCs w:val="21"/>
              </w:rPr>
              <w:t>○</w:t>
            </w:r>
            <w:r w:rsidR="000A2340" w:rsidRPr="00E0548A">
              <w:rPr>
                <w:rFonts w:ascii="ＭＳ 明朝" w:hAnsi="ＭＳ 明朝" w:hint="eastAsia"/>
                <w:szCs w:val="21"/>
              </w:rPr>
              <w:t>食品製造施設・流通拠点・</w:t>
            </w:r>
            <w:r w:rsidRPr="00E0548A">
              <w:rPr>
                <w:rFonts w:ascii="ＭＳ 明朝" w:hAnsi="ＭＳ 明朝" w:hint="eastAsia"/>
                <w:szCs w:val="21"/>
              </w:rPr>
              <w:t>避難所その他の臨時食事提供施設等の衛生監視</w:t>
            </w:r>
          </w:p>
          <w:p w14:paraId="39157D6F" w14:textId="571B1FEC" w:rsidR="008B4B2B" w:rsidRPr="00E0548A" w:rsidRDefault="008B4B2B" w:rsidP="007435F7">
            <w:pPr>
              <w:ind w:firstLineChars="100" w:firstLine="211"/>
              <w:rPr>
                <w:rFonts w:ascii="ＭＳ 明朝" w:hAnsi="ＭＳ 明朝"/>
                <w:szCs w:val="21"/>
              </w:rPr>
            </w:pPr>
            <w:r w:rsidRPr="00E0548A">
              <w:rPr>
                <w:rFonts w:ascii="ＭＳ 明朝" w:hAnsi="ＭＳ 明朝" w:hint="eastAsia"/>
                <w:szCs w:val="21"/>
              </w:rPr>
              <w:t>【食の安全】</w:t>
            </w:r>
          </w:p>
          <w:p w14:paraId="0879E4DC" w14:textId="77777777" w:rsidR="008B4B2B" w:rsidRPr="00E0548A" w:rsidRDefault="008B4B2B" w:rsidP="008B4B2B">
            <w:pPr>
              <w:rPr>
                <w:rFonts w:ascii="ＭＳ 明朝" w:hAnsi="ＭＳ 明朝"/>
                <w:szCs w:val="21"/>
              </w:rPr>
            </w:pPr>
            <w:r w:rsidRPr="00E0548A">
              <w:rPr>
                <w:rFonts w:ascii="ＭＳ 明朝" w:hAnsi="ＭＳ 明朝" w:hint="eastAsia"/>
                <w:szCs w:val="21"/>
              </w:rPr>
              <w:t>○広域火葬計画等に基づく支援調整開始【環境衛生課】</w:t>
            </w:r>
          </w:p>
        </w:tc>
      </w:tr>
      <w:tr w:rsidR="00E0548A" w:rsidRPr="00E0548A" w14:paraId="39E9DBA3" w14:textId="77777777" w:rsidTr="007650CC">
        <w:trPr>
          <w:jc w:val="center"/>
        </w:trPr>
        <w:tc>
          <w:tcPr>
            <w:tcW w:w="1512" w:type="dxa"/>
          </w:tcPr>
          <w:p w14:paraId="012BF41B" w14:textId="77777777" w:rsidR="008B4B2B" w:rsidRPr="00E0548A" w:rsidRDefault="008B4B2B" w:rsidP="008B4B2B">
            <w:pPr>
              <w:rPr>
                <w:rFonts w:ascii="ＭＳ 明朝" w:hAnsi="ＭＳ 明朝"/>
                <w:szCs w:val="21"/>
              </w:rPr>
            </w:pPr>
            <w:r w:rsidRPr="00E0548A">
              <w:rPr>
                <w:rFonts w:ascii="ＭＳ 明朝" w:hAnsi="ＭＳ 明朝" w:hint="eastAsia"/>
                <w:szCs w:val="21"/>
              </w:rPr>
              <w:lastRenderedPageBreak/>
              <w:t>第4フェーズ</w:t>
            </w:r>
          </w:p>
          <w:p w14:paraId="0E4052E1" w14:textId="77777777" w:rsidR="008B4B2B" w:rsidRPr="00E0548A" w:rsidRDefault="008B4B2B" w:rsidP="008B4B2B">
            <w:pPr>
              <w:rPr>
                <w:rFonts w:ascii="ＭＳ 明朝" w:hAnsi="ＭＳ 明朝"/>
                <w:szCs w:val="21"/>
              </w:rPr>
            </w:pPr>
            <w:r w:rsidRPr="00E0548A">
              <w:rPr>
                <w:rFonts w:ascii="ＭＳ 明朝" w:hAnsi="ＭＳ 明朝" w:hint="eastAsia"/>
                <w:szCs w:val="21"/>
              </w:rPr>
              <w:t>(1週間まで)</w:t>
            </w:r>
          </w:p>
        </w:tc>
        <w:tc>
          <w:tcPr>
            <w:tcW w:w="7287" w:type="dxa"/>
          </w:tcPr>
          <w:p w14:paraId="54B83584" w14:textId="516CDA58" w:rsidR="008B4B2B" w:rsidRPr="00E0548A" w:rsidRDefault="008B4B2B" w:rsidP="008B4B2B">
            <w:pPr>
              <w:rPr>
                <w:rFonts w:ascii="ＭＳ 明朝" w:hAnsi="ＭＳ 明朝"/>
                <w:szCs w:val="21"/>
              </w:rPr>
            </w:pPr>
            <w:r w:rsidRPr="00E0548A">
              <w:rPr>
                <w:rFonts w:ascii="ＭＳ 明朝" w:hAnsi="ＭＳ 明朝" w:hint="eastAsia"/>
                <w:szCs w:val="21"/>
              </w:rPr>
              <w:t>○</w:t>
            </w:r>
            <w:r w:rsidR="00491F31" w:rsidRPr="00E0548A">
              <w:rPr>
                <w:rFonts w:ascii="ＭＳ 明朝" w:hAnsi="ＭＳ 明朝" w:hint="eastAsia"/>
                <w:szCs w:val="21"/>
              </w:rPr>
              <w:t>災害</w:t>
            </w:r>
            <w:r w:rsidR="00E90883" w:rsidRPr="00E0548A">
              <w:rPr>
                <w:rFonts w:ascii="ＭＳ 明朝" w:hAnsi="ＭＳ 明朝" w:hint="eastAsia"/>
                <w:szCs w:val="21"/>
              </w:rPr>
              <w:t>支援</w:t>
            </w:r>
            <w:r w:rsidR="00491F31" w:rsidRPr="00E0548A">
              <w:rPr>
                <w:rFonts w:ascii="ＭＳ 明朝" w:hAnsi="ＭＳ 明朝" w:hint="eastAsia"/>
                <w:szCs w:val="21"/>
              </w:rPr>
              <w:t>ナース</w:t>
            </w:r>
            <w:r w:rsidRPr="00E0548A">
              <w:rPr>
                <w:rFonts w:ascii="ＭＳ 明朝" w:hAnsi="ＭＳ 明朝" w:hint="eastAsia"/>
                <w:szCs w:val="21"/>
              </w:rPr>
              <w:t>による医療救護活動の開始【医療対策】</w:t>
            </w:r>
          </w:p>
        </w:tc>
      </w:tr>
      <w:tr w:rsidR="00E0548A" w:rsidRPr="00E0548A" w14:paraId="0EBFA397" w14:textId="77777777" w:rsidTr="007650CC">
        <w:trPr>
          <w:jc w:val="center"/>
        </w:trPr>
        <w:tc>
          <w:tcPr>
            <w:tcW w:w="1512" w:type="dxa"/>
          </w:tcPr>
          <w:p w14:paraId="5B9BD3BB" w14:textId="77777777" w:rsidR="008B4B2B" w:rsidRPr="00E0548A" w:rsidRDefault="008B4B2B" w:rsidP="008B4B2B">
            <w:pPr>
              <w:rPr>
                <w:rFonts w:ascii="ＭＳ 明朝" w:hAnsi="ＭＳ 明朝"/>
                <w:szCs w:val="21"/>
              </w:rPr>
            </w:pPr>
            <w:r w:rsidRPr="00E0548A">
              <w:rPr>
                <w:rFonts w:ascii="ＭＳ 明朝" w:hAnsi="ＭＳ 明朝" w:hint="eastAsia"/>
                <w:szCs w:val="21"/>
              </w:rPr>
              <w:t>第5フェーズ</w:t>
            </w:r>
          </w:p>
          <w:p w14:paraId="04168CC5" w14:textId="77777777" w:rsidR="008B4B2B" w:rsidRPr="00E0548A" w:rsidRDefault="008B4B2B" w:rsidP="008B4B2B">
            <w:pPr>
              <w:rPr>
                <w:rFonts w:ascii="ＭＳ 明朝" w:hAnsi="ＭＳ 明朝"/>
                <w:szCs w:val="21"/>
              </w:rPr>
            </w:pPr>
            <w:r w:rsidRPr="00E0548A">
              <w:rPr>
                <w:rFonts w:ascii="ＭＳ 明朝" w:hAnsi="ＭＳ 明朝" w:hint="eastAsia"/>
                <w:szCs w:val="21"/>
              </w:rPr>
              <w:t>(2週間まで)</w:t>
            </w:r>
          </w:p>
        </w:tc>
        <w:tc>
          <w:tcPr>
            <w:tcW w:w="7287" w:type="dxa"/>
          </w:tcPr>
          <w:p w14:paraId="70232141" w14:textId="77777777" w:rsidR="008B4B2B" w:rsidRPr="00E0548A" w:rsidRDefault="008B4B2B" w:rsidP="008B4B2B">
            <w:pPr>
              <w:ind w:left="211" w:hangingChars="100" w:hanging="211"/>
              <w:rPr>
                <w:rFonts w:ascii="ＭＳ 明朝" w:hAnsi="ＭＳ 明朝"/>
                <w:szCs w:val="21"/>
              </w:rPr>
            </w:pPr>
            <w:r w:rsidRPr="00E0548A">
              <w:rPr>
                <w:rFonts w:ascii="ＭＳ 明朝" w:hAnsi="ＭＳ 明朝" w:hint="eastAsia"/>
                <w:szCs w:val="21"/>
              </w:rPr>
              <w:t>○被災所管施設の応急復旧（当該施設において応急的に業務を再開するために実施する措置のことをいう。本格的な復旧作業の前段階。）開始</w:t>
            </w:r>
          </w:p>
        </w:tc>
      </w:tr>
      <w:tr w:rsidR="00E0548A" w:rsidRPr="00E0548A" w14:paraId="262D6E25" w14:textId="77777777" w:rsidTr="007650CC">
        <w:trPr>
          <w:jc w:val="center"/>
        </w:trPr>
        <w:tc>
          <w:tcPr>
            <w:tcW w:w="1512" w:type="dxa"/>
          </w:tcPr>
          <w:p w14:paraId="68F39DC3" w14:textId="77777777" w:rsidR="008B4B2B" w:rsidRPr="00E0548A" w:rsidRDefault="008B4B2B" w:rsidP="008B4B2B">
            <w:pPr>
              <w:rPr>
                <w:rFonts w:ascii="ＭＳ 明朝" w:hAnsi="ＭＳ 明朝"/>
                <w:szCs w:val="21"/>
              </w:rPr>
            </w:pPr>
            <w:r w:rsidRPr="00E0548A">
              <w:rPr>
                <w:rFonts w:ascii="ＭＳ 明朝" w:hAnsi="ＭＳ 明朝" w:hint="eastAsia"/>
                <w:szCs w:val="21"/>
              </w:rPr>
              <w:t>第6フェーズ</w:t>
            </w:r>
          </w:p>
          <w:p w14:paraId="64F82DBC" w14:textId="77777777" w:rsidR="008B4B2B" w:rsidRPr="00E0548A" w:rsidRDefault="008B4B2B" w:rsidP="008B4B2B">
            <w:pPr>
              <w:rPr>
                <w:rFonts w:ascii="ＭＳ 明朝" w:hAnsi="ＭＳ 明朝"/>
                <w:szCs w:val="21"/>
              </w:rPr>
            </w:pPr>
            <w:r w:rsidRPr="00E0548A">
              <w:rPr>
                <w:rFonts w:ascii="ＭＳ 明朝" w:hAnsi="ＭＳ 明朝" w:hint="eastAsia"/>
                <w:szCs w:val="21"/>
              </w:rPr>
              <w:t>(1ヶ月まで)</w:t>
            </w:r>
          </w:p>
        </w:tc>
        <w:tc>
          <w:tcPr>
            <w:tcW w:w="7287" w:type="dxa"/>
          </w:tcPr>
          <w:p w14:paraId="1FFF74B8" w14:textId="77777777" w:rsidR="008B4B2B" w:rsidRPr="00E0548A" w:rsidRDefault="008B4B2B" w:rsidP="008B4B2B">
            <w:pPr>
              <w:rPr>
                <w:rFonts w:ascii="ＭＳ ゴシック" w:eastAsia="ＭＳ ゴシック" w:hAnsi="ＭＳ ゴシック"/>
                <w:szCs w:val="21"/>
              </w:rPr>
            </w:pPr>
            <w:r w:rsidRPr="00E0548A">
              <w:rPr>
                <w:rFonts w:ascii="ＭＳ 明朝" w:hAnsi="ＭＳ 明朝" w:hint="eastAsia"/>
                <w:szCs w:val="21"/>
              </w:rPr>
              <w:t>○被災所管施設の応急復旧</w:t>
            </w:r>
          </w:p>
        </w:tc>
      </w:tr>
    </w:tbl>
    <w:p w14:paraId="37E736DE" w14:textId="77777777" w:rsidR="008B4B2B" w:rsidRPr="00E0548A" w:rsidRDefault="008B4B2B" w:rsidP="008B4B2B">
      <w:pPr>
        <w:ind w:left="1689" w:hangingChars="800" w:hanging="1689"/>
        <w:rPr>
          <w:rFonts w:ascii="ＭＳ 明朝" w:hAnsi="ＭＳ 明朝"/>
          <w:szCs w:val="21"/>
        </w:rPr>
      </w:pPr>
      <w:r w:rsidRPr="00E0548A">
        <w:rPr>
          <w:rFonts w:ascii="ＭＳ 明朝" w:hAnsi="ＭＳ 明朝" w:hint="eastAsia"/>
          <w:szCs w:val="21"/>
        </w:rPr>
        <w:t>※主な所管施設：保健所、こころの健康総合センター</w:t>
      </w:r>
    </w:p>
    <w:p w14:paraId="3C30A9AE" w14:textId="77777777" w:rsidR="008B4B2B" w:rsidRPr="00E0548A" w:rsidRDefault="008B4B2B" w:rsidP="008B4B2B">
      <w:pPr>
        <w:ind w:firstLineChars="300" w:firstLine="633"/>
        <w:rPr>
          <w:rFonts w:ascii="ＭＳ 明朝" w:hAnsi="ＭＳ 明朝"/>
          <w:szCs w:val="21"/>
        </w:rPr>
      </w:pPr>
      <w:r w:rsidRPr="00E0548A">
        <w:rPr>
          <w:rFonts w:ascii="ＭＳ 明朝" w:hAnsi="ＭＳ 明朝" w:hint="eastAsia"/>
          <w:szCs w:val="21"/>
        </w:rPr>
        <w:t>関係機関：災害拠点病院、特定診療災害医療センター、大阪府医師会、</w:t>
      </w:r>
    </w:p>
    <w:p w14:paraId="31EA598B" w14:textId="77777777" w:rsidR="008B4B2B" w:rsidRPr="00E0548A" w:rsidRDefault="008B4B2B" w:rsidP="008B4B2B">
      <w:pPr>
        <w:ind w:firstLineChars="800" w:firstLine="1689"/>
        <w:rPr>
          <w:rFonts w:ascii="ＭＳ 明朝" w:hAnsi="ＭＳ 明朝"/>
          <w:szCs w:val="21"/>
        </w:rPr>
      </w:pPr>
      <w:r w:rsidRPr="00E0548A">
        <w:rPr>
          <w:rFonts w:ascii="ＭＳ 明朝" w:hAnsi="ＭＳ 明朝" w:hint="eastAsia"/>
          <w:szCs w:val="21"/>
        </w:rPr>
        <w:t>大阪府歯科医師会、大阪府薬剤師会、大阪府看護協会</w:t>
      </w:r>
    </w:p>
    <w:p w14:paraId="067A0177" w14:textId="77777777" w:rsidR="008B4B2B" w:rsidRPr="00E0548A" w:rsidRDefault="008B4B2B" w:rsidP="008B4B2B">
      <w:pPr>
        <w:ind w:firstLineChars="800" w:firstLine="1689"/>
        <w:rPr>
          <w:rFonts w:ascii="ＭＳ 明朝" w:hAnsi="ＭＳ 明朝"/>
          <w:szCs w:val="21"/>
        </w:rPr>
      </w:pPr>
      <w:r w:rsidRPr="00E0548A">
        <w:rPr>
          <w:rFonts w:ascii="ＭＳ 明朝" w:hAnsi="ＭＳ 明朝" w:hint="eastAsia"/>
          <w:szCs w:val="21"/>
        </w:rPr>
        <w:t>大阪府訪問看護ステーション協会</w:t>
      </w:r>
    </w:p>
    <w:p w14:paraId="1196EF26" w14:textId="77777777" w:rsidR="008B4B2B" w:rsidRPr="00E0548A" w:rsidRDefault="008B4B2B" w:rsidP="008B4B2B">
      <w:pPr>
        <w:ind w:firstLineChars="800" w:firstLine="1689"/>
        <w:rPr>
          <w:rFonts w:ascii="ＭＳ 明朝" w:hAnsi="ＭＳ 明朝"/>
          <w:szCs w:val="21"/>
        </w:rPr>
      </w:pPr>
      <w:r w:rsidRPr="00E0548A">
        <w:rPr>
          <w:rFonts w:ascii="ＭＳ 明朝" w:hAnsi="ＭＳ 明朝" w:hint="eastAsia"/>
          <w:szCs w:val="21"/>
        </w:rPr>
        <w:t>日本赤十字社大阪府支部など医療関係機関</w:t>
      </w:r>
    </w:p>
    <w:p w14:paraId="66615221" w14:textId="77777777" w:rsidR="008B4B2B" w:rsidRPr="00E0548A" w:rsidRDefault="008B4B2B" w:rsidP="008B4B2B">
      <w:pPr>
        <w:rPr>
          <w:rFonts w:ascii="ＭＳ 明朝" w:hAnsi="ＭＳ 明朝"/>
          <w:szCs w:val="21"/>
        </w:rPr>
      </w:pPr>
      <w:r w:rsidRPr="00E0548A">
        <w:rPr>
          <w:rFonts w:ascii="ＭＳ 明朝" w:hAnsi="ＭＳ 明朝" w:hint="eastAsia"/>
          <w:szCs w:val="21"/>
        </w:rPr>
        <w:t xml:space="preserve">　　　システム：広域災害救急医療情報システム、大阪府救急・災害医療情報システム、</w:t>
      </w:r>
    </w:p>
    <w:p w14:paraId="3E98A736" w14:textId="268B4E2C" w:rsidR="008B4B2B" w:rsidRPr="00E0548A" w:rsidRDefault="008B4B2B" w:rsidP="008B4B2B">
      <w:pPr>
        <w:rPr>
          <w:rFonts w:ascii="ＭＳ 明朝" w:hAnsi="ＭＳ 明朝"/>
          <w:szCs w:val="21"/>
        </w:rPr>
      </w:pPr>
      <w:r w:rsidRPr="00E0548A">
        <w:rPr>
          <w:rFonts w:ascii="ＭＳ 明朝" w:hAnsi="ＭＳ 明朝" w:hint="eastAsia"/>
          <w:szCs w:val="21"/>
        </w:rPr>
        <w:t xml:space="preserve">　　　　　　　　医療機関情報システム</w:t>
      </w:r>
      <w:r w:rsidR="00491F31" w:rsidRPr="00E0548A">
        <w:rPr>
          <w:rFonts w:ascii="ＭＳ 明朝" w:hAnsi="ＭＳ 明朝" w:hint="eastAsia"/>
          <w:szCs w:val="21"/>
        </w:rPr>
        <w:t>、保健所現状報告システム</w:t>
      </w:r>
    </w:p>
    <w:p w14:paraId="311AEE02" w14:textId="7E5CC59D" w:rsidR="00D93C38" w:rsidRPr="00E0548A" w:rsidRDefault="00D93C38">
      <w:pPr>
        <w:widowControl/>
        <w:jc w:val="left"/>
        <w:rPr>
          <w:rFonts w:ascii="ＭＳ ゴシック" w:eastAsia="ＭＳ ゴシック" w:hAnsi="ＭＳ ゴシック"/>
          <w:szCs w:val="21"/>
        </w:rPr>
      </w:pPr>
    </w:p>
    <w:p w14:paraId="3CF4EFA4" w14:textId="4BC71FC7" w:rsidR="007650CC" w:rsidRPr="00E0548A" w:rsidRDefault="007650CC" w:rsidP="007650CC">
      <w:pPr>
        <w:pStyle w:val="af4"/>
        <w:ind w:leftChars="0" w:left="0"/>
        <w:rPr>
          <w:rFonts w:ascii="ＭＳ ゴシック" w:eastAsia="ＭＳ ゴシック" w:hAnsi="ＭＳ ゴシック"/>
          <w:szCs w:val="21"/>
        </w:rPr>
      </w:pPr>
      <w:r w:rsidRPr="00E0548A">
        <w:rPr>
          <w:rFonts w:ascii="ＭＳ ゴシック" w:eastAsia="ＭＳ ゴシック" w:hAnsi="ＭＳ ゴシック" w:hint="eastAsia"/>
          <w:szCs w:val="21"/>
        </w:rPr>
        <w:t>＜南海トラフ地震臨時情報（巨大地震警戒）発表時＞</w:t>
      </w:r>
    </w:p>
    <w:tbl>
      <w:tblPr>
        <w:tblpPr w:leftFromText="142" w:rightFromText="142" w:vertAnchor="text" w:tblpXSpec="center" w:tblpY="1"/>
        <w:tblOverlap w:val="neve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00"/>
        <w:gridCol w:w="7334"/>
      </w:tblGrid>
      <w:tr w:rsidR="00E0548A" w:rsidRPr="00E0548A" w14:paraId="1FDC7E20" w14:textId="77777777" w:rsidTr="008C78D9">
        <w:trPr>
          <w:jc w:val="center"/>
        </w:trPr>
        <w:tc>
          <w:tcPr>
            <w:tcW w:w="1500" w:type="dxa"/>
            <w:tcBorders>
              <w:bottom w:val="single" w:sz="4" w:space="0" w:color="auto"/>
            </w:tcBorders>
            <w:shd w:val="clear" w:color="auto" w:fill="BFBFBF"/>
          </w:tcPr>
          <w:p w14:paraId="1B9A45BD" w14:textId="77777777" w:rsidR="007650CC" w:rsidRPr="00E0548A" w:rsidRDefault="007650CC" w:rsidP="008C78D9">
            <w:pPr>
              <w:jc w:val="center"/>
              <w:rPr>
                <w:rFonts w:ascii="ＭＳ 明朝" w:hAnsi="ＭＳ 明朝"/>
                <w:szCs w:val="21"/>
              </w:rPr>
            </w:pPr>
            <w:r w:rsidRPr="00E0548A">
              <w:rPr>
                <w:rFonts w:ascii="ＭＳ 明朝" w:hAnsi="ＭＳ 明朝" w:hint="eastAsia"/>
                <w:szCs w:val="21"/>
              </w:rPr>
              <w:t>臨時情報</w:t>
            </w:r>
          </w:p>
        </w:tc>
        <w:tc>
          <w:tcPr>
            <w:tcW w:w="7334" w:type="dxa"/>
            <w:tcBorders>
              <w:bottom w:val="single" w:sz="4" w:space="0" w:color="auto"/>
            </w:tcBorders>
            <w:shd w:val="clear" w:color="auto" w:fill="BFBFBF"/>
          </w:tcPr>
          <w:p w14:paraId="0872315D" w14:textId="77777777" w:rsidR="007650CC" w:rsidRPr="00E0548A" w:rsidRDefault="007650CC" w:rsidP="008C78D9">
            <w:pPr>
              <w:jc w:val="center"/>
              <w:rPr>
                <w:rFonts w:ascii="ＭＳ 明朝" w:hAnsi="ＭＳ 明朝"/>
                <w:szCs w:val="21"/>
              </w:rPr>
            </w:pPr>
            <w:r w:rsidRPr="00E0548A">
              <w:rPr>
                <w:rFonts w:ascii="ＭＳ 明朝" w:hAnsi="ＭＳ 明朝" w:hint="eastAsia"/>
                <w:szCs w:val="21"/>
              </w:rPr>
              <w:t>主な応急対策業務</w:t>
            </w:r>
          </w:p>
        </w:tc>
      </w:tr>
      <w:tr w:rsidR="00E0548A" w:rsidRPr="00E0548A" w14:paraId="0C5E4B5E" w14:textId="77777777" w:rsidTr="008C78D9">
        <w:trPr>
          <w:jc w:val="center"/>
        </w:trPr>
        <w:tc>
          <w:tcPr>
            <w:tcW w:w="1500" w:type="dxa"/>
          </w:tcPr>
          <w:p w14:paraId="68DF5416" w14:textId="77777777" w:rsidR="007650CC" w:rsidRPr="00E0548A" w:rsidRDefault="007650CC" w:rsidP="008C78D9">
            <w:pPr>
              <w:rPr>
                <w:rFonts w:ascii="ＭＳ 明朝" w:hAnsi="ＭＳ 明朝"/>
                <w:szCs w:val="21"/>
              </w:rPr>
            </w:pPr>
            <w:r w:rsidRPr="00E0548A">
              <w:rPr>
                <w:rFonts w:ascii="ＭＳ 明朝" w:hAnsi="ＭＳ 明朝" w:hint="eastAsia"/>
                <w:szCs w:val="21"/>
              </w:rPr>
              <w:t>巨大地震警戒</w:t>
            </w:r>
          </w:p>
        </w:tc>
        <w:tc>
          <w:tcPr>
            <w:tcW w:w="7334" w:type="dxa"/>
          </w:tcPr>
          <w:p w14:paraId="0711E3CF" w14:textId="77777777" w:rsidR="00776EA2" w:rsidRPr="00E0548A" w:rsidRDefault="00776EA2" w:rsidP="00776EA2">
            <w:pPr>
              <w:rPr>
                <w:rFonts w:ascii="ＭＳ 明朝" w:hAnsi="ＭＳ 明朝"/>
              </w:rPr>
            </w:pPr>
            <w:r w:rsidRPr="00E0548A">
              <w:rPr>
                <w:rFonts w:ascii="ＭＳ 明朝" w:hAnsi="ＭＳ 明朝" w:hint="eastAsia"/>
              </w:rPr>
              <w:t>○地震発災後、応急対策業務（第１フェーズ）を速やかに実施できる準備</w:t>
            </w:r>
          </w:p>
          <w:p w14:paraId="545D39A4" w14:textId="77777777" w:rsidR="00776EA2" w:rsidRPr="00E0548A" w:rsidRDefault="00776EA2" w:rsidP="00776EA2">
            <w:pPr>
              <w:ind w:firstLineChars="100" w:firstLine="211"/>
              <w:rPr>
                <w:rFonts w:ascii="ＭＳ 明朝" w:hAnsi="ＭＳ 明朝"/>
              </w:rPr>
            </w:pPr>
            <w:r w:rsidRPr="00E0548A">
              <w:rPr>
                <w:rFonts w:ascii="ＭＳ 明朝" w:hAnsi="ＭＳ 明朝" w:hint="eastAsia"/>
              </w:rPr>
              <w:t>体制を維持</w:t>
            </w:r>
          </w:p>
          <w:p w14:paraId="17792052" w14:textId="77777777" w:rsidR="00776EA2" w:rsidRPr="00E0548A" w:rsidRDefault="00776EA2" w:rsidP="00776EA2">
            <w:pPr>
              <w:rPr>
                <w:rFonts w:ascii="ＭＳ 明朝" w:hAnsi="ＭＳ 明朝"/>
              </w:rPr>
            </w:pPr>
            <w:r w:rsidRPr="00E0548A">
              <w:rPr>
                <w:rFonts w:ascii="ＭＳ 明朝" w:hAnsi="ＭＳ 明朝" w:hint="eastAsia"/>
              </w:rPr>
              <w:t>○本庁各課、出先機関の発災時の体制（BCP）の確認、危険個所の点検確認</w:t>
            </w:r>
          </w:p>
          <w:p w14:paraId="1CD9B82B" w14:textId="77777777" w:rsidR="00776EA2" w:rsidRPr="00E0548A" w:rsidRDefault="00776EA2" w:rsidP="00776EA2">
            <w:pPr>
              <w:rPr>
                <w:rFonts w:ascii="ＭＳ 明朝" w:hAnsi="ＭＳ 明朝"/>
              </w:rPr>
            </w:pPr>
            <w:r w:rsidRPr="00E0548A">
              <w:rPr>
                <w:rFonts w:ascii="ＭＳ 明朝" w:hAnsi="ＭＳ 明朝" w:hint="eastAsia"/>
              </w:rPr>
              <w:t>○巨大地震に備えた体制整備の再確認などの連絡調整、注意喚起など</w:t>
            </w:r>
          </w:p>
          <w:p w14:paraId="677AFCF2" w14:textId="77777777" w:rsidR="00776EA2" w:rsidRPr="00E0548A" w:rsidRDefault="00776EA2" w:rsidP="00776EA2">
            <w:pPr>
              <w:ind w:leftChars="100" w:left="422" w:hangingChars="100" w:hanging="211"/>
              <w:rPr>
                <w:rFonts w:ascii="ＭＳ 明朝" w:hAnsi="ＭＳ 明朝"/>
              </w:rPr>
            </w:pPr>
            <w:r w:rsidRPr="00E0548A">
              <w:rPr>
                <w:rFonts w:ascii="ＭＳ 明朝" w:hAnsi="ＭＳ 明朝" w:hint="eastAsia"/>
              </w:rPr>
              <w:t>①部所管施設（保健所、こころの健康総合センター、監察医事務所、府立病院機構、大阪健康安全基盤研究所等）</w:t>
            </w:r>
          </w:p>
          <w:p w14:paraId="7446BA02" w14:textId="77777777" w:rsidR="00776EA2" w:rsidRPr="00E0548A" w:rsidRDefault="00776EA2" w:rsidP="00776EA2">
            <w:pPr>
              <w:ind w:firstLineChars="100" w:firstLine="211"/>
              <w:rPr>
                <w:rFonts w:ascii="ＭＳ 明朝" w:hAnsi="ＭＳ 明朝"/>
              </w:rPr>
            </w:pPr>
            <w:r w:rsidRPr="00E0548A">
              <w:rPr>
                <w:rFonts w:ascii="ＭＳ 明朝" w:hAnsi="ＭＳ 明朝" w:hint="eastAsia"/>
              </w:rPr>
              <w:t>②医療機関（病院等）</w:t>
            </w:r>
          </w:p>
          <w:p w14:paraId="585AE6B8" w14:textId="77777777" w:rsidR="00776EA2" w:rsidRPr="00E0548A" w:rsidRDefault="00776EA2" w:rsidP="00776EA2">
            <w:pPr>
              <w:ind w:firstLineChars="100" w:firstLine="211"/>
              <w:rPr>
                <w:rFonts w:ascii="ＭＳ 明朝" w:hAnsi="ＭＳ 明朝"/>
              </w:rPr>
            </w:pPr>
            <w:r w:rsidRPr="00E0548A">
              <w:rPr>
                <w:rFonts w:ascii="ＭＳ 明朝" w:hAnsi="ＭＳ 明朝" w:hint="eastAsia"/>
              </w:rPr>
              <w:t>③医療関係団体（３師会、病院関係、看護関係、その他関係団体等）</w:t>
            </w:r>
          </w:p>
          <w:p w14:paraId="325214C2" w14:textId="77777777" w:rsidR="00776EA2" w:rsidRPr="00E0548A" w:rsidRDefault="00776EA2" w:rsidP="00776EA2">
            <w:pPr>
              <w:ind w:firstLineChars="100" w:firstLine="211"/>
              <w:rPr>
                <w:rFonts w:ascii="ＭＳ 明朝" w:hAnsi="ＭＳ 明朝"/>
              </w:rPr>
            </w:pPr>
            <w:r w:rsidRPr="00E0548A">
              <w:rPr>
                <w:rFonts w:ascii="ＭＳ 明朝" w:hAnsi="ＭＳ 明朝" w:hint="eastAsia"/>
              </w:rPr>
              <w:t>④衛生関係団体（宿泊関係、海水浴場関係、各市町村担当部局等）</w:t>
            </w:r>
          </w:p>
          <w:p w14:paraId="11F3303E" w14:textId="77777777" w:rsidR="00776EA2" w:rsidRPr="00E0548A" w:rsidRDefault="00776EA2" w:rsidP="00776EA2">
            <w:pPr>
              <w:ind w:firstLineChars="100" w:firstLine="211"/>
              <w:rPr>
                <w:rFonts w:ascii="ＭＳ 明朝" w:hAnsi="ＭＳ 明朝"/>
              </w:rPr>
            </w:pPr>
            <w:r w:rsidRPr="00E0548A">
              <w:rPr>
                <w:rFonts w:ascii="ＭＳ 明朝" w:hAnsi="ＭＳ 明朝" w:hint="eastAsia"/>
              </w:rPr>
              <w:t>⑤全水道事業体</w:t>
            </w:r>
          </w:p>
          <w:p w14:paraId="398E853A" w14:textId="77777777" w:rsidR="00776EA2" w:rsidRPr="00E0548A" w:rsidRDefault="00776EA2" w:rsidP="00776EA2">
            <w:pPr>
              <w:rPr>
                <w:rFonts w:ascii="ＭＳ 明朝" w:hAnsi="ＭＳ 明朝"/>
              </w:rPr>
            </w:pPr>
            <w:r w:rsidRPr="00E0548A">
              <w:rPr>
                <w:rFonts w:ascii="ＭＳ 明朝" w:hAnsi="ＭＳ 明朝" w:hint="eastAsia"/>
              </w:rPr>
              <w:t>〔注意喚起事項〕</w:t>
            </w:r>
          </w:p>
          <w:p w14:paraId="2B99DF95" w14:textId="77777777" w:rsidR="00776EA2" w:rsidRPr="00E0548A" w:rsidRDefault="00776EA2" w:rsidP="00776EA2">
            <w:pPr>
              <w:ind w:leftChars="100" w:left="422" w:hangingChars="100" w:hanging="211"/>
              <w:rPr>
                <w:rFonts w:ascii="ＭＳ 明朝" w:hAnsi="ＭＳ 明朝"/>
              </w:rPr>
            </w:pPr>
            <w:r w:rsidRPr="00E0548A">
              <w:rPr>
                <w:rFonts w:ascii="ＭＳ 明朝" w:hAnsi="ＭＳ 明朝" w:hint="eastAsia"/>
              </w:rPr>
              <w:t>・災害対応マニュアルや事業継続計画（BCP）に基づく対応や行政・関係機関との連絡方法等の確認、食料・水・医療資材等の非常用物資確保など、</w:t>
            </w:r>
          </w:p>
          <w:p w14:paraId="492324FB" w14:textId="77777777" w:rsidR="00776EA2" w:rsidRPr="00E0548A" w:rsidRDefault="00776EA2" w:rsidP="00776EA2">
            <w:pPr>
              <w:ind w:firstLineChars="100" w:firstLine="211"/>
              <w:rPr>
                <w:rFonts w:ascii="ＭＳ 明朝" w:hAnsi="ＭＳ 明朝"/>
              </w:rPr>
            </w:pPr>
            <w:r w:rsidRPr="00E0548A">
              <w:rPr>
                <w:rFonts w:ascii="ＭＳ 明朝" w:hAnsi="ＭＳ 明朝" w:hint="eastAsia"/>
              </w:rPr>
              <w:t xml:space="preserve">　災害発生に備えた必要な準備、体制等の整備</w:t>
            </w:r>
          </w:p>
          <w:p w14:paraId="644E8075" w14:textId="4F181862" w:rsidR="00776EA2" w:rsidRPr="00E0548A" w:rsidRDefault="00776EA2" w:rsidP="00776EA2">
            <w:pPr>
              <w:rPr>
                <w:rFonts w:ascii="ＭＳ 明朝" w:hAnsi="ＭＳ 明朝"/>
              </w:rPr>
            </w:pPr>
            <w:r w:rsidRPr="00E0548A">
              <w:rPr>
                <w:rFonts w:ascii="ＭＳ 明朝" w:hAnsi="ＭＳ 明朝" w:hint="eastAsia"/>
              </w:rPr>
              <w:lastRenderedPageBreak/>
              <w:t>○災害派遣医療チーム（DMAT）等、各</w:t>
            </w:r>
            <w:r w:rsidR="00B10205" w:rsidRPr="00E0548A">
              <w:rPr>
                <w:rFonts w:ascii="ＭＳ 明朝" w:hAnsi="ＭＳ 明朝" w:hint="eastAsia"/>
              </w:rPr>
              <w:t>保健</w:t>
            </w:r>
            <w:r w:rsidRPr="00E0548A">
              <w:rPr>
                <w:rFonts w:ascii="ＭＳ 明朝" w:hAnsi="ＭＳ 明朝" w:hint="eastAsia"/>
              </w:rPr>
              <w:t>医療活動チームにおける対応準備</w:t>
            </w:r>
          </w:p>
          <w:p w14:paraId="32A2E916" w14:textId="77777777" w:rsidR="00776EA2" w:rsidRPr="00E0548A" w:rsidRDefault="00776EA2" w:rsidP="00776EA2">
            <w:pPr>
              <w:rPr>
                <w:rFonts w:ascii="ＭＳ 明朝" w:hAnsi="ＭＳ 明朝"/>
              </w:rPr>
            </w:pPr>
            <w:r w:rsidRPr="00E0548A">
              <w:rPr>
                <w:rFonts w:ascii="ＭＳ 明朝" w:hAnsi="ＭＳ 明朝" w:hint="eastAsia"/>
              </w:rPr>
              <w:t>○航空搬送拠点臨時医療施設（SCU）の設置準備</w:t>
            </w:r>
          </w:p>
          <w:p w14:paraId="2ED4D001" w14:textId="77777777" w:rsidR="00776EA2" w:rsidRPr="00E0548A" w:rsidRDefault="00776EA2" w:rsidP="00776EA2">
            <w:pPr>
              <w:rPr>
                <w:rFonts w:ascii="ＭＳ 明朝" w:hAnsi="ＭＳ 明朝"/>
              </w:rPr>
            </w:pPr>
            <w:r w:rsidRPr="00E0548A">
              <w:rPr>
                <w:rFonts w:ascii="ＭＳ 明朝" w:hAnsi="ＭＳ 明朝" w:hint="eastAsia"/>
              </w:rPr>
              <w:t>○訪問看護ステーションにおける設置STの簡易発電機等の対応準備等</w:t>
            </w:r>
          </w:p>
          <w:p w14:paraId="615170B9" w14:textId="353C7621" w:rsidR="00FB2BB1" w:rsidRPr="00E0548A" w:rsidRDefault="00776EA2" w:rsidP="00776EA2">
            <w:pPr>
              <w:rPr>
                <w:rFonts w:ascii="ＭＳ 明朝" w:hAnsi="ＭＳ 明朝"/>
                <w:szCs w:val="21"/>
              </w:rPr>
            </w:pPr>
            <w:r w:rsidRPr="00E0548A">
              <w:rPr>
                <w:rFonts w:ascii="ＭＳ 明朝" w:hAnsi="ＭＳ 明朝" w:hint="eastAsia"/>
              </w:rPr>
              <w:t>○在宅患者（難病患者、慢性疾患児）への対応準備等</w:t>
            </w:r>
          </w:p>
        </w:tc>
      </w:tr>
    </w:tbl>
    <w:p w14:paraId="187E06AE" w14:textId="77777777" w:rsidR="007650CC" w:rsidRPr="00E0548A" w:rsidRDefault="007650CC" w:rsidP="007650CC">
      <w:pPr>
        <w:rPr>
          <w:rFonts w:ascii="ＭＳ 明朝" w:hAnsi="ＭＳ 明朝"/>
          <w:szCs w:val="21"/>
        </w:rPr>
      </w:pPr>
      <w:r w:rsidRPr="00E0548A">
        <w:rPr>
          <w:rFonts w:ascii="ＭＳ 明朝" w:hAnsi="ＭＳ 明朝" w:hint="eastAsia"/>
          <w:szCs w:val="21"/>
        </w:rPr>
        <w:lastRenderedPageBreak/>
        <w:t>「南海トラフ地震臨時情報（巨大地震警戒）」が発表され、「巨大地震警戒対応期間」（１週間）が経過した際は、「巨大地震注意対応期間」へ移行。</w:t>
      </w:r>
    </w:p>
    <w:p w14:paraId="4877F553" w14:textId="77777777" w:rsidR="00A61028" w:rsidRPr="00E0548A" w:rsidRDefault="00A61028" w:rsidP="007650CC">
      <w:pPr>
        <w:rPr>
          <w:rFonts w:ascii="ＭＳ 明朝" w:hAnsi="ＭＳ 明朝"/>
          <w:szCs w:val="21"/>
        </w:rPr>
      </w:pPr>
    </w:p>
    <w:p w14:paraId="7960B157" w14:textId="729E2C8B" w:rsidR="007650CC" w:rsidRPr="00E0548A" w:rsidRDefault="007650CC" w:rsidP="007650CC">
      <w:pPr>
        <w:pStyle w:val="af4"/>
        <w:ind w:leftChars="0" w:left="0"/>
        <w:rPr>
          <w:rFonts w:ascii="ＭＳ ゴシック" w:eastAsia="ＭＳ ゴシック" w:hAnsi="ＭＳ ゴシック"/>
          <w:szCs w:val="21"/>
        </w:rPr>
      </w:pPr>
      <w:r w:rsidRPr="00E0548A">
        <w:rPr>
          <w:rFonts w:ascii="ＭＳ ゴシック" w:eastAsia="ＭＳ ゴシック" w:hAnsi="ＭＳ ゴシック" w:hint="eastAsia"/>
          <w:szCs w:val="21"/>
        </w:rPr>
        <w:t>＜南海トラフ地震臨時情報（巨大地震注意）発表時</w:t>
      </w:r>
      <w:r w:rsidR="002F25B5" w:rsidRPr="00E0548A">
        <w:rPr>
          <w:rFonts w:ascii="ＭＳ ゴシック" w:eastAsia="ＭＳ ゴシック" w:hAnsi="ＭＳ ゴシック" w:hint="eastAsia"/>
          <w:szCs w:val="21"/>
        </w:rPr>
        <w:t>（</w:t>
      </w:r>
      <w:r w:rsidR="002F25B5" w:rsidRPr="00E0548A">
        <w:rPr>
          <w:rFonts w:ascii="ＭＳ 明朝" w:hAnsi="ＭＳ 明朝" w:hint="eastAsia"/>
          <w:szCs w:val="21"/>
        </w:rPr>
        <w:t>巨大地震警戒からの移行時を含む</w:t>
      </w:r>
      <w:r w:rsidR="002F25B5" w:rsidRPr="00E0548A">
        <w:rPr>
          <w:rFonts w:ascii="ＭＳ ゴシック" w:eastAsia="ＭＳ ゴシック" w:hAnsi="ＭＳ ゴシック" w:hint="eastAsia"/>
          <w:szCs w:val="21"/>
        </w:rPr>
        <w:t>）</w:t>
      </w:r>
      <w:r w:rsidRPr="00E0548A">
        <w:rPr>
          <w:rFonts w:ascii="ＭＳ ゴシック" w:eastAsia="ＭＳ ゴシック" w:hAnsi="ＭＳ ゴシック" w:hint="eastAsia"/>
          <w:szCs w:val="21"/>
        </w:rPr>
        <w:t>＞</w:t>
      </w:r>
    </w:p>
    <w:tbl>
      <w:tblPr>
        <w:tblpPr w:leftFromText="142" w:rightFromText="142" w:vertAnchor="text" w:tblpXSpec="center" w:tblpY="1"/>
        <w:tblOverlap w:val="neve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00"/>
        <w:gridCol w:w="7334"/>
      </w:tblGrid>
      <w:tr w:rsidR="00E0548A" w:rsidRPr="00E0548A" w14:paraId="3AC2654E" w14:textId="77777777" w:rsidTr="008C78D9">
        <w:trPr>
          <w:jc w:val="center"/>
        </w:trPr>
        <w:tc>
          <w:tcPr>
            <w:tcW w:w="1500" w:type="dxa"/>
            <w:tcBorders>
              <w:bottom w:val="single" w:sz="4" w:space="0" w:color="auto"/>
            </w:tcBorders>
            <w:shd w:val="clear" w:color="auto" w:fill="BFBFBF"/>
          </w:tcPr>
          <w:p w14:paraId="0D804175" w14:textId="77777777" w:rsidR="007650CC" w:rsidRPr="00E0548A" w:rsidRDefault="007650CC" w:rsidP="008C78D9">
            <w:pPr>
              <w:jc w:val="center"/>
              <w:rPr>
                <w:rFonts w:ascii="ＭＳ 明朝" w:hAnsi="ＭＳ 明朝"/>
                <w:szCs w:val="21"/>
              </w:rPr>
            </w:pPr>
            <w:r w:rsidRPr="00E0548A">
              <w:rPr>
                <w:rFonts w:ascii="ＭＳ 明朝" w:hAnsi="ＭＳ 明朝" w:hint="eastAsia"/>
                <w:szCs w:val="21"/>
              </w:rPr>
              <w:t>臨時情報</w:t>
            </w:r>
          </w:p>
        </w:tc>
        <w:tc>
          <w:tcPr>
            <w:tcW w:w="7334" w:type="dxa"/>
            <w:tcBorders>
              <w:bottom w:val="single" w:sz="4" w:space="0" w:color="auto"/>
            </w:tcBorders>
            <w:shd w:val="clear" w:color="auto" w:fill="BFBFBF"/>
          </w:tcPr>
          <w:p w14:paraId="0C5BD9E2" w14:textId="77777777" w:rsidR="007650CC" w:rsidRPr="00E0548A" w:rsidRDefault="007650CC" w:rsidP="008C78D9">
            <w:pPr>
              <w:jc w:val="center"/>
              <w:rPr>
                <w:rFonts w:ascii="ＭＳ 明朝" w:hAnsi="ＭＳ 明朝"/>
                <w:szCs w:val="21"/>
              </w:rPr>
            </w:pPr>
            <w:r w:rsidRPr="00E0548A">
              <w:rPr>
                <w:rFonts w:ascii="ＭＳ 明朝" w:hAnsi="ＭＳ 明朝" w:hint="eastAsia"/>
                <w:szCs w:val="21"/>
              </w:rPr>
              <w:t>主な応急対策業務</w:t>
            </w:r>
          </w:p>
        </w:tc>
      </w:tr>
      <w:tr w:rsidR="00E0548A" w:rsidRPr="00E0548A" w14:paraId="6AAA8A12" w14:textId="77777777" w:rsidTr="008C78D9">
        <w:trPr>
          <w:jc w:val="center"/>
        </w:trPr>
        <w:tc>
          <w:tcPr>
            <w:tcW w:w="1500" w:type="dxa"/>
          </w:tcPr>
          <w:p w14:paraId="4EB52FA3" w14:textId="77777777" w:rsidR="007650CC" w:rsidRPr="00E0548A" w:rsidRDefault="007650CC" w:rsidP="008C78D9">
            <w:pPr>
              <w:rPr>
                <w:rFonts w:ascii="ＭＳ 明朝" w:hAnsi="ＭＳ 明朝"/>
                <w:szCs w:val="21"/>
              </w:rPr>
            </w:pPr>
            <w:r w:rsidRPr="00E0548A">
              <w:rPr>
                <w:rFonts w:ascii="ＭＳ 明朝" w:hAnsi="ＭＳ 明朝" w:hint="eastAsia"/>
                <w:szCs w:val="21"/>
              </w:rPr>
              <w:t>巨大地震注意</w:t>
            </w:r>
          </w:p>
        </w:tc>
        <w:tc>
          <w:tcPr>
            <w:tcW w:w="7334" w:type="dxa"/>
          </w:tcPr>
          <w:p w14:paraId="2703CE01" w14:textId="77777777" w:rsidR="00FE3E73" w:rsidRPr="00E0548A" w:rsidRDefault="00FE3E73" w:rsidP="00FE3E73">
            <w:pPr>
              <w:rPr>
                <w:rFonts w:ascii="ＭＳ 明朝" w:hAnsi="ＭＳ 明朝"/>
              </w:rPr>
            </w:pPr>
            <w:r w:rsidRPr="00E0548A">
              <w:rPr>
                <w:rFonts w:ascii="ＭＳ 明朝" w:hAnsi="ＭＳ 明朝" w:hint="eastAsia"/>
              </w:rPr>
              <w:t>○地震発災に備えた情報連絡体制の維持</w:t>
            </w:r>
          </w:p>
          <w:p w14:paraId="5802B1F0" w14:textId="77777777" w:rsidR="00FE3E73" w:rsidRPr="00E0548A" w:rsidRDefault="00FE3E73" w:rsidP="00FE3E73">
            <w:pPr>
              <w:rPr>
                <w:rFonts w:ascii="ＭＳ 明朝" w:hAnsi="ＭＳ 明朝"/>
              </w:rPr>
            </w:pPr>
            <w:r w:rsidRPr="00E0548A">
              <w:rPr>
                <w:rFonts w:ascii="ＭＳ 明朝" w:hAnsi="ＭＳ 明朝" w:hint="eastAsia"/>
              </w:rPr>
              <w:t>○本庁各課、出先機関の発災時の体制（BCP）の確認、危険個所の点検確認</w:t>
            </w:r>
          </w:p>
          <w:p w14:paraId="7A711927" w14:textId="77777777" w:rsidR="00FE3E73" w:rsidRPr="00E0548A" w:rsidRDefault="00FE3E73" w:rsidP="00FE3E73">
            <w:pPr>
              <w:rPr>
                <w:rFonts w:ascii="ＭＳ 明朝" w:hAnsi="ＭＳ 明朝"/>
              </w:rPr>
            </w:pPr>
            <w:r w:rsidRPr="00E0548A">
              <w:rPr>
                <w:rFonts w:ascii="ＭＳ 明朝" w:hAnsi="ＭＳ 明朝" w:hint="eastAsia"/>
              </w:rPr>
              <w:t>○巨大地震に備えた体制整備の再確認などの連絡調整、注意喚起など</w:t>
            </w:r>
          </w:p>
          <w:p w14:paraId="5FDEEC9F" w14:textId="77777777" w:rsidR="00FE3E73" w:rsidRPr="00E0548A" w:rsidRDefault="00FE3E73" w:rsidP="00FE3E73">
            <w:pPr>
              <w:ind w:leftChars="100" w:left="422" w:hangingChars="100" w:hanging="211"/>
              <w:rPr>
                <w:rFonts w:ascii="ＭＳ 明朝" w:hAnsi="ＭＳ 明朝"/>
              </w:rPr>
            </w:pPr>
            <w:r w:rsidRPr="00E0548A">
              <w:rPr>
                <w:rFonts w:ascii="ＭＳ 明朝" w:hAnsi="ＭＳ 明朝" w:hint="eastAsia"/>
              </w:rPr>
              <w:t>①部所管施設（保健所、こころの健康総合センター、監察医事務所、府立病院機構、大阪健康安全基盤研究所等）</w:t>
            </w:r>
          </w:p>
          <w:p w14:paraId="0628688E" w14:textId="77777777" w:rsidR="00FE3E73" w:rsidRPr="00E0548A" w:rsidRDefault="00FE3E73" w:rsidP="00FE3E73">
            <w:pPr>
              <w:ind w:firstLineChars="100" w:firstLine="211"/>
              <w:rPr>
                <w:rFonts w:ascii="ＭＳ 明朝" w:hAnsi="ＭＳ 明朝"/>
              </w:rPr>
            </w:pPr>
            <w:r w:rsidRPr="00E0548A">
              <w:rPr>
                <w:rFonts w:ascii="ＭＳ 明朝" w:hAnsi="ＭＳ 明朝" w:hint="eastAsia"/>
              </w:rPr>
              <w:t>②医療機関（病院等）</w:t>
            </w:r>
          </w:p>
          <w:p w14:paraId="573FCC6D" w14:textId="77777777" w:rsidR="00FE3E73" w:rsidRPr="00E0548A" w:rsidRDefault="00FE3E73" w:rsidP="00FE3E73">
            <w:pPr>
              <w:ind w:firstLineChars="100" w:firstLine="211"/>
              <w:rPr>
                <w:rFonts w:ascii="ＭＳ 明朝" w:hAnsi="ＭＳ 明朝"/>
              </w:rPr>
            </w:pPr>
            <w:r w:rsidRPr="00E0548A">
              <w:rPr>
                <w:rFonts w:ascii="ＭＳ 明朝" w:hAnsi="ＭＳ 明朝" w:hint="eastAsia"/>
              </w:rPr>
              <w:t>③医療関係団体（３師会、病院関係、看護関係、その他関係団体等）</w:t>
            </w:r>
          </w:p>
          <w:p w14:paraId="45925E52" w14:textId="77777777" w:rsidR="00FE3E73" w:rsidRPr="00E0548A" w:rsidRDefault="00FE3E73" w:rsidP="00FE3E73">
            <w:pPr>
              <w:ind w:firstLineChars="100" w:firstLine="211"/>
              <w:rPr>
                <w:rFonts w:ascii="ＭＳ 明朝" w:hAnsi="ＭＳ 明朝"/>
              </w:rPr>
            </w:pPr>
            <w:r w:rsidRPr="00E0548A">
              <w:rPr>
                <w:rFonts w:ascii="ＭＳ 明朝" w:hAnsi="ＭＳ 明朝" w:hint="eastAsia"/>
              </w:rPr>
              <w:t>④衛生関係団体（宿泊関係、海水浴場関係、各市町村担当部局等）</w:t>
            </w:r>
          </w:p>
          <w:p w14:paraId="1B3938C6" w14:textId="77777777" w:rsidR="00FE3E73" w:rsidRPr="00E0548A" w:rsidRDefault="00FE3E73" w:rsidP="00FE3E73">
            <w:pPr>
              <w:ind w:firstLineChars="100" w:firstLine="211"/>
              <w:rPr>
                <w:rFonts w:ascii="ＭＳ 明朝" w:hAnsi="ＭＳ 明朝"/>
              </w:rPr>
            </w:pPr>
            <w:r w:rsidRPr="00E0548A">
              <w:rPr>
                <w:rFonts w:ascii="ＭＳ 明朝" w:hAnsi="ＭＳ 明朝" w:hint="eastAsia"/>
              </w:rPr>
              <w:t>⑤全水道事業体</w:t>
            </w:r>
          </w:p>
          <w:p w14:paraId="7D43B441" w14:textId="77777777" w:rsidR="00FE3E73" w:rsidRPr="00E0548A" w:rsidRDefault="00FE3E73" w:rsidP="00FE3E73">
            <w:pPr>
              <w:rPr>
                <w:rFonts w:ascii="ＭＳ 明朝" w:hAnsi="ＭＳ 明朝"/>
              </w:rPr>
            </w:pPr>
            <w:r w:rsidRPr="00E0548A">
              <w:rPr>
                <w:rFonts w:ascii="ＭＳ 明朝" w:hAnsi="ＭＳ 明朝" w:hint="eastAsia"/>
              </w:rPr>
              <w:t>〔注意喚起事項〕</w:t>
            </w:r>
          </w:p>
          <w:p w14:paraId="296727E3" w14:textId="77777777" w:rsidR="00FE3E73" w:rsidRPr="00E0548A" w:rsidRDefault="00FE3E73" w:rsidP="00FE3E73">
            <w:pPr>
              <w:ind w:leftChars="100" w:left="422" w:hangingChars="100" w:hanging="211"/>
              <w:rPr>
                <w:rFonts w:ascii="ＭＳ 明朝" w:hAnsi="ＭＳ 明朝"/>
              </w:rPr>
            </w:pPr>
            <w:r w:rsidRPr="00E0548A">
              <w:rPr>
                <w:rFonts w:ascii="ＭＳ 明朝" w:hAnsi="ＭＳ 明朝" w:hint="eastAsia"/>
              </w:rPr>
              <w:t>・災害対応マニュアルや事業継続計画（BCP）に基づく対応や行政・関係機関との連絡方法等の確認、食料・水・医療資材等の非常用物資確保など、災害発生に備えた必要な準備、体制等の整備</w:t>
            </w:r>
          </w:p>
          <w:p w14:paraId="7571F61F" w14:textId="77777777" w:rsidR="00FE3E73" w:rsidRPr="00E0548A" w:rsidRDefault="00FE3E73" w:rsidP="00FE3E73">
            <w:pPr>
              <w:rPr>
                <w:rFonts w:ascii="ＭＳ 明朝" w:hAnsi="ＭＳ 明朝"/>
              </w:rPr>
            </w:pPr>
            <w:r w:rsidRPr="00E0548A">
              <w:rPr>
                <w:rFonts w:ascii="ＭＳ 明朝" w:hAnsi="ＭＳ 明朝" w:hint="eastAsia"/>
              </w:rPr>
              <w:t>○災害派遣医療チーム（DMAT）等、各保健医療活動チームにおける対応準備</w:t>
            </w:r>
          </w:p>
          <w:p w14:paraId="2FFBE81E" w14:textId="77777777" w:rsidR="00FE3E73" w:rsidRPr="00E0548A" w:rsidRDefault="00FE3E73" w:rsidP="00FE3E73">
            <w:pPr>
              <w:rPr>
                <w:rFonts w:ascii="ＭＳ 明朝" w:hAnsi="ＭＳ 明朝"/>
              </w:rPr>
            </w:pPr>
            <w:r w:rsidRPr="00E0548A">
              <w:rPr>
                <w:rFonts w:ascii="ＭＳ 明朝" w:hAnsi="ＭＳ 明朝" w:hint="eastAsia"/>
              </w:rPr>
              <w:t>○航空搬送拠点臨時医療施設（SCU）の設置準備</w:t>
            </w:r>
          </w:p>
          <w:p w14:paraId="6E048D41" w14:textId="77777777" w:rsidR="00FE3E73" w:rsidRPr="00E0548A" w:rsidRDefault="00FE3E73" w:rsidP="00FE3E73">
            <w:pPr>
              <w:rPr>
                <w:rFonts w:ascii="ＭＳ 明朝" w:hAnsi="ＭＳ 明朝"/>
              </w:rPr>
            </w:pPr>
            <w:r w:rsidRPr="00E0548A">
              <w:rPr>
                <w:rFonts w:ascii="ＭＳ 明朝" w:hAnsi="ＭＳ 明朝" w:hint="eastAsia"/>
              </w:rPr>
              <w:t>○訪問看護ステーションにおける設置STの簡易発電機等の対応準備等</w:t>
            </w:r>
          </w:p>
          <w:p w14:paraId="3FABE5F5" w14:textId="77777777" w:rsidR="00FE3E73" w:rsidRPr="00E0548A" w:rsidRDefault="00FE3E73" w:rsidP="00FE3E73">
            <w:pPr>
              <w:rPr>
                <w:rFonts w:ascii="ＭＳ 明朝" w:hAnsi="ＭＳ 明朝"/>
              </w:rPr>
            </w:pPr>
            <w:r w:rsidRPr="00E0548A">
              <w:rPr>
                <w:rFonts w:ascii="ＭＳ 明朝" w:hAnsi="ＭＳ 明朝" w:hint="eastAsia"/>
              </w:rPr>
              <w:t>○在宅患者（難病患者、慢性疾患児）への対応準備等</w:t>
            </w:r>
          </w:p>
          <w:p w14:paraId="04772A9D" w14:textId="40A1BED9" w:rsidR="007650CC" w:rsidRPr="00E0548A" w:rsidRDefault="00FE3E73" w:rsidP="00FE3E73">
            <w:pPr>
              <w:rPr>
                <w:rFonts w:ascii="ＭＳ 明朝" w:hAnsi="ＭＳ 明朝"/>
                <w:szCs w:val="21"/>
              </w:rPr>
            </w:pPr>
            <w:r w:rsidRPr="00E0548A">
              <w:rPr>
                <w:rFonts w:ascii="ＭＳ 明朝" w:hAnsi="ＭＳ 明朝" w:hint="eastAsia"/>
              </w:rPr>
              <w:t>【巨大地震警戒から巨大地震注意へ変わった場合においては、必要に応じて上記の応急対応業務を実施する。】</w:t>
            </w:r>
          </w:p>
        </w:tc>
      </w:tr>
    </w:tbl>
    <w:p w14:paraId="683A27E2" w14:textId="77777777" w:rsidR="007C2917" w:rsidRPr="00E0548A" w:rsidRDefault="007C2917" w:rsidP="008B4B2B">
      <w:pPr>
        <w:rPr>
          <w:rFonts w:ascii="ＭＳ ゴシック" w:eastAsia="ＭＳ ゴシック" w:hAnsi="ＭＳ ゴシック"/>
          <w:szCs w:val="21"/>
        </w:rPr>
      </w:pPr>
    </w:p>
    <w:p w14:paraId="2F7BF96E" w14:textId="77777777" w:rsidR="00BD6692" w:rsidRPr="00E0548A" w:rsidRDefault="00BD6692" w:rsidP="00BD6692">
      <w:pPr>
        <w:ind w:firstLineChars="100" w:firstLine="211"/>
        <w:rPr>
          <w:rFonts w:ascii="ＭＳ 明朝" w:hAnsi="ＭＳ 明朝"/>
          <w:szCs w:val="21"/>
        </w:rPr>
      </w:pPr>
      <w:r w:rsidRPr="00E0548A">
        <w:rPr>
          <w:rFonts w:ascii="ＭＳ 明朝" w:hAnsi="ＭＳ 明朝" w:hint="eastAsia"/>
          <w:szCs w:val="21"/>
        </w:rPr>
        <w:t>なお、南海トラフ地震臨時情報（巨大地震警戒及び注意）発表時の主な所管施設等については、前述する＜災害発生時＞に記載する内容と同様。</w:t>
      </w:r>
    </w:p>
    <w:p w14:paraId="6BE58315" w14:textId="77777777" w:rsidR="007C2917" w:rsidRPr="00E0548A" w:rsidRDefault="007C2917" w:rsidP="008B4B2B">
      <w:pPr>
        <w:rPr>
          <w:rFonts w:ascii="ＭＳ ゴシック" w:eastAsia="ＭＳ ゴシック" w:hAnsi="ＭＳ ゴシック"/>
          <w:szCs w:val="21"/>
        </w:rPr>
      </w:pPr>
    </w:p>
    <w:p w14:paraId="544A01B3" w14:textId="77777777" w:rsidR="00D93C38" w:rsidRPr="00E0548A" w:rsidRDefault="00D93C38">
      <w:pPr>
        <w:widowControl/>
        <w:jc w:val="left"/>
        <w:rPr>
          <w:rFonts w:ascii="ＭＳ ゴシック" w:eastAsia="ＭＳ ゴシック" w:hAnsi="ＭＳ ゴシック"/>
          <w:szCs w:val="21"/>
        </w:rPr>
      </w:pPr>
      <w:r w:rsidRPr="00E0548A">
        <w:rPr>
          <w:rFonts w:ascii="ＭＳ ゴシック" w:eastAsia="ＭＳ ゴシック" w:hAnsi="ＭＳ ゴシック"/>
          <w:szCs w:val="21"/>
        </w:rPr>
        <w:br w:type="page"/>
      </w:r>
    </w:p>
    <w:p w14:paraId="1CAA4FA8" w14:textId="7FBEC2F4" w:rsidR="008B4B2B" w:rsidRPr="00E0548A" w:rsidRDefault="008B4B2B" w:rsidP="008B4B2B">
      <w:pPr>
        <w:rPr>
          <w:rFonts w:ascii="ＭＳ ゴシック" w:eastAsia="ＭＳ ゴシック" w:hAnsi="ＭＳ ゴシック"/>
          <w:szCs w:val="21"/>
        </w:rPr>
      </w:pPr>
      <w:r w:rsidRPr="00E0548A">
        <w:rPr>
          <w:rFonts w:ascii="ＭＳ ゴシック" w:eastAsia="ＭＳ ゴシック" w:hAnsi="ＭＳ ゴシック" w:hint="eastAsia"/>
          <w:szCs w:val="21"/>
        </w:rPr>
        <w:lastRenderedPageBreak/>
        <w:t>⑩商工労働部</w:t>
      </w:r>
    </w:p>
    <w:p w14:paraId="57367623" w14:textId="77777777" w:rsidR="002C01FF" w:rsidRPr="00E0548A" w:rsidRDefault="002C01FF" w:rsidP="002C01FF">
      <w:pPr>
        <w:pStyle w:val="af4"/>
        <w:ind w:leftChars="0" w:left="0"/>
        <w:rPr>
          <w:rFonts w:ascii="ＭＳ ゴシック" w:eastAsia="ＭＳ ゴシック" w:hAnsi="ＭＳ ゴシック"/>
          <w:szCs w:val="21"/>
        </w:rPr>
      </w:pPr>
      <w:r w:rsidRPr="00E0548A">
        <w:rPr>
          <w:rFonts w:ascii="ＭＳ ゴシック" w:eastAsia="ＭＳ ゴシック" w:hAnsi="ＭＳ ゴシック" w:hint="eastAsia"/>
          <w:szCs w:val="21"/>
        </w:rPr>
        <w:t>＜災害発生時＞</w:t>
      </w:r>
    </w:p>
    <w:tbl>
      <w:tblPr>
        <w:tblpPr w:leftFromText="142" w:rightFromText="142" w:vertAnchor="text" w:tblpXSpec="center" w:tblpY="1"/>
        <w:tblOverlap w:val="neve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26"/>
        <w:gridCol w:w="7176"/>
      </w:tblGrid>
      <w:tr w:rsidR="00E0548A" w:rsidRPr="00E0548A" w14:paraId="46C1F632" w14:textId="77777777" w:rsidTr="008B4B2B">
        <w:trPr>
          <w:jc w:val="center"/>
        </w:trPr>
        <w:tc>
          <w:tcPr>
            <w:tcW w:w="1526" w:type="dxa"/>
            <w:shd w:val="clear" w:color="auto" w:fill="BFBFBF"/>
          </w:tcPr>
          <w:p w14:paraId="4CBE94B5" w14:textId="77777777" w:rsidR="008B4B2B" w:rsidRPr="00E0548A" w:rsidRDefault="008B4B2B" w:rsidP="008B4B2B">
            <w:pPr>
              <w:jc w:val="center"/>
              <w:rPr>
                <w:rFonts w:ascii="ＭＳ 明朝" w:hAnsi="ＭＳ 明朝"/>
                <w:szCs w:val="21"/>
              </w:rPr>
            </w:pPr>
            <w:r w:rsidRPr="00E0548A">
              <w:rPr>
                <w:rFonts w:ascii="ＭＳ 明朝" w:hAnsi="ＭＳ 明朝" w:hint="eastAsia"/>
                <w:szCs w:val="21"/>
              </w:rPr>
              <w:t>フェーズ</w:t>
            </w:r>
          </w:p>
        </w:tc>
        <w:tc>
          <w:tcPr>
            <w:tcW w:w="7176" w:type="dxa"/>
            <w:shd w:val="clear" w:color="auto" w:fill="BFBFBF"/>
          </w:tcPr>
          <w:p w14:paraId="465BB1D4" w14:textId="77777777" w:rsidR="008B4B2B" w:rsidRPr="00E0548A" w:rsidRDefault="008B4B2B" w:rsidP="008B4B2B">
            <w:pPr>
              <w:jc w:val="center"/>
              <w:rPr>
                <w:rFonts w:ascii="ＭＳ 明朝" w:hAnsi="ＭＳ 明朝"/>
                <w:szCs w:val="21"/>
              </w:rPr>
            </w:pPr>
            <w:r w:rsidRPr="00E0548A">
              <w:rPr>
                <w:rFonts w:ascii="ＭＳ 明朝" w:hAnsi="ＭＳ 明朝" w:hint="eastAsia"/>
                <w:szCs w:val="21"/>
              </w:rPr>
              <w:t>主な応急対策業務</w:t>
            </w:r>
          </w:p>
        </w:tc>
      </w:tr>
      <w:tr w:rsidR="00E0548A" w:rsidRPr="00E0548A" w14:paraId="2DC6C361" w14:textId="77777777" w:rsidTr="008B4B2B">
        <w:trPr>
          <w:jc w:val="center"/>
        </w:trPr>
        <w:tc>
          <w:tcPr>
            <w:tcW w:w="1526" w:type="dxa"/>
          </w:tcPr>
          <w:p w14:paraId="1A0EB063" w14:textId="77777777" w:rsidR="008B4B2B" w:rsidRPr="00E0548A" w:rsidRDefault="008B4B2B" w:rsidP="008B4B2B">
            <w:pPr>
              <w:rPr>
                <w:rFonts w:ascii="ＭＳ 明朝" w:hAnsi="ＭＳ 明朝"/>
                <w:szCs w:val="21"/>
              </w:rPr>
            </w:pPr>
            <w:r w:rsidRPr="00E0548A">
              <w:rPr>
                <w:rFonts w:ascii="ＭＳ 明朝" w:hAnsi="ＭＳ 明朝" w:hint="eastAsia"/>
                <w:szCs w:val="21"/>
              </w:rPr>
              <w:t>第1フェーズ</w:t>
            </w:r>
          </w:p>
          <w:p w14:paraId="40917FBC" w14:textId="77777777" w:rsidR="008B4B2B" w:rsidRPr="00E0548A" w:rsidRDefault="008B4B2B" w:rsidP="008B4B2B">
            <w:pPr>
              <w:rPr>
                <w:rFonts w:ascii="ＭＳ 明朝" w:hAnsi="ＭＳ 明朝"/>
                <w:szCs w:val="21"/>
              </w:rPr>
            </w:pPr>
            <w:r w:rsidRPr="00E0548A">
              <w:rPr>
                <w:rFonts w:ascii="ＭＳ 明朝" w:hAnsi="ＭＳ 明朝" w:hint="eastAsia"/>
                <w:szCs w:val="21"/>
              </w:rPr>
              <w:t>(3時間まで)</w:t>
            </w:r>
          </w:p>
          <w:p w14:paraId="28DE2ADC" w14:textId="77777777" w:rsidR="008B4B2B" w:rsidRPr="00E0548A" w:rsidRDefault="008B4B2B" w:rsidP="008B4B2B">
            <w:pPr>
              <w:rPr>
                <w:rFonts w:ascii="ＭＳ 明朝" w:hAnsi="ＭＳ 明朝"/>
                <w:szCs w:val="21"/>
              </w:rPr>
            </w:pPr>
          </w:p>
        </w:tc>
        <w:tc>
          <w:tcPr>
            <w:tcW w:w="7176" w:type="dxa"/>
          </w:tcPr>
          <w:p w14:paraId="6E1F1269" w14:textId="77777777" w:rsidR="008B4B2B" w:rsidRPr="00E0548A" w:rsidRDefault="008B4B2B" w:rsidP="008B4B2B">
            <w:pPr>
              <w:rPr>
                <w:rFonts w:ascii="ＭＳ 明朝" w:hAnsi="ＭＳ 明朝"/>
                <w:szCs w:val="21"/>
              </w:rPr>
            </w:pPr>
            <w:r w:rsidRPr="00E0548A">
              <w:rPr>
                <w:rFonts w:ascii="ＭＳ 明朝" w:hAnsi="ＭＳ 明朝" w:hint="eastAsia"/>
                <w:szCs w:val="21"/>
              </w:rPr>
              <w:t>○初動対応、体制の確立</w:t>
            </w:r>
          </w:p>
          <w:p w14:paraId="391233D7" w14:textId="77777777" w:rsidR="008B4B2B" w:rsidRPr="00E0548A" w:rsidRDefault="008B4B2B" w:rsidP="008B4B2B">
            <w:pPr>
              <w:rPr>
                <w:rFonts w:ascii="ＭＳ 明朝" w:hAnsi="ＭＳ 明朝"/>
                <w:szCs w:val="21"/>
              </w:rPr>
            </w:pPr>
            <w:r w:rsidRPr="00E0548A">
              <w:rPr>
                <w:rFonts w:ascii="ＭＳ 明朝" w:hAnsi="ＭＳ 明朝" w:hint="eastAsia"/>
                <w:szCs w:val="21"/>
              </w:rPr>
              <w:t>○所管施設（技専校など）の利用者の安全確認【各所管所属】</w:t>
            </w:r>
          </w:p>
          <w:p w14:paraId="0A5B95F3" w14:textId="77777777" w:rsidR="008B4B2B" w:rsidRPr="00E0548A" w:rsidRDefault="008B4B2B" w:rsidP="008B4B2B">
            <w:pPr>
              <w:rPr>
                <w:rFonts w:ascii="ＭＳ 明朝" w:hAnsi="ＭＳ 明朝"/>
                <w:szCs w:val="21"/>
              </w:rPr>
            </w:pPr>
            <w:r w:rsidRPr="00E0548A">
              <w:rPr>
                <w:rFonts w:ascii="ＭＳ 明朝" w:hAnsi="ＭＳ 明朝" w:hint="eastAsia"/>
                <w:szCs w:val="21"/>
              </w:rPr>
              <w:t xml:space="preserve">　（生徒の被災状況の把握を含む）</w:t>
            </w:r>
          </w:p>
          <w:p w14:paraId="769452C2" w14:textId="77777777" w:rsidR="008B4B2B" w:rsidRPr="00E0548A" w:rsidRDefault="008B4B2B" w:rsidP="008B4B2B">
            <w:pPr>
              <w:rPr>
                <w:rFonts w:ascii="ＭＳ 明朝" w:hAnsi="ＭＳ 明朝"/>
                <w:szCs w:val="21"/>
              </w:rPr>
            </w:pPr>
            <w:r w:rsidRPr="00E0548A">
              <w:rPr>
                <w:rFonts w:ascii="ＭＳ 明朝" w:hAnsi="ＭＳ 明朝" w:hint="eastAsia"/>
                <w:szCs w:val="21"/>
              </w:rPr>
              <w:t>○部内職員の安否確認と参集状況の把握、報告【商労総務】</w:t>
            </w:r>
          </w:p>
          <w:p w14:paraId="3337C142" w14:textId="77777777" w:rsidR="008B4B2B" w:rsidRPr="00E0548A" w:rsidRDefault="008B4B2B" w:rsidP="008B4B2B">
            <w:pPr>
              <w:rPr>
                <w:rFonts w:ascii="ＭＳ 明朝" w:hAnsi="ＭＳ 明朝"/>
                <w:szCs w:val="21"/>
              </w:rPr>
            </w:pPr>
            <w:r w:rsidRPr="00E0548A">
              <w:rPr>
                <w:rFonts w:ascii="ＭＳ 明朝" w:hAnsi="ＭＳ 明朝" w:hint="eastAsia"/>
                <w:szCs w:val="21"/>
              </w:rPr>
              <w:t>○部内及び関係機関からの情報収集及び連絡調整【商労総務】</w:t>
            </w:r>
          </w:p>
          <w:p w14:paraId="7CFDC04A" w14:textId="77777777" w:rsidR="008B4B2B" w:rsidRPr="00E0548A" w:rsidRDefault="008B4B2B" w:rsidP="008B4B2B">
            <w:pPr>
              <w:rPr>
                <w:rFonts w:ascii="ＭＳ 明朝" w:hAnsi="ＭＳ 明朝"/>
                <w:szCs w:val="21"/>
              </w:rPr>
            </w:pPr>
            <w:r w:rsidRPr="00E0548A">
              <w:rPr>
                <w:rFonts w:ascii="ＭＳ 明朝" w:hAnsi="ＭＳ 明朝" w:hint="eastAsia"/>
                <w:szCs w:val="21"/>
              </w:rPr>
              <w:t>○職員・来庁者の救助・搬送【各所属】</w:t>
            </w:r>
          </w:p>
        </w:tc>
      </w:tr>
      <w:tr w:rsidR="00E0548A" w:rsidRPr="00E0548A" w14:paraId="071C80C7" w14:textId="77777777" w:rsidTr="008B4B2B">
        <w:trPr>
          <w:jc w:val="center"/>
        </w:trPr>
        <w:tc>
          <w:tcPr>
            <w:tcW w:w="1526" w:type="dxa"/>
          </w:tcPr>
          <w:p w14:paraId="3D423AAD" w14:textId="77777777" w:rsidR="008B4B2B" w:rsidRPr="00E0548A" w:rsidRDefault="008B4B2B" w:rsidP="008B4B2B">
            <w:pPr>
              <w:rPr>
                <w:rFonts w:ascii="ＭＳ 明朝" w:hAnsi="ＭＳ 明朝"/>
                <w:szCs w:val="21"/>
              </w:rPr>
            </w:pPr>
            <w:r w:rsidRPr="00E0548A">
              <w:rPr>
                <w:rFonts w:ascii="ＭＳ 明朝" w:hAnsi="ＭＳ 明朝" w:hint="eastAsia"/>
                <w:szCs w:val="21"/>
              </w:rPr>
              <w:t>第2フェーズ</w:t>
            </w:r>
          </w:p>
          <w:p w14:paraId="30D1E1E7" w14:textId="77777777" w:rsidR="008B4B2B" w:rsidRPr="00E0548A" w:rsidRDefault="008B4B2B" w:rsidP="008B4B2B">
            <w:pPr>
              <w:rPr>
                <w:rFonts w:ascii="ＭＳ 明朝" w:hAnsi="ＭＳ 明朝"/>
                <w:szCs w:val="21"/>
              </w:rPr>
            </w:pPr>
            <w:r w:rsidRPr="00E0548A">
              <w:rPr>
                <w:rFonts w:ascii="ＭＳ 明朝" w:hAnsi="ＭＳ 明朝" w:hint="eastAsia"/>
                <w:szCs w:val="21"/>
              </w:rPr>
              <w:t>(24時間まで)</w:t>
            </w:r>
          </w:p>
          <w:p w14:paraId="7ED439B3" w14:textId="77777777" w:rsidR="008B4B2B" w:rsidRPr="00E0548A" w:rsidRDefault="008B4B2B" w:rsidP="008B4B2B">
            <w:pPr>
              <w:rPr>
                <w:rFonts w:ascii="ＭＳ 明朝" w:hAnsi="ＭＳ 明朝"/>
                <w:szCs w:val="21"/>
              </w:rPr>
            </w:pPr>
          </w:p>
        </w:tc>
        <w:tc>
          <w:tcPr>
            <w:tcW w:w="7176" w:type="dxa"/>
          </w:tcPr>
          <w:p w14:paraId="2EB67F9D" w14:textId="77777777" w:rsidR="008B4B2B" w:rsidRPr="00E0548A" w:rsidRDefault="008B4B2B" w:rsidP="008B4B2B">
            <w:pPr>
              <w:ind w:left="211" w:hangingChars="100" w:hanging="211"/>
              <w:rPr>
                <w:rFonts w:ascii="ＭＳ 明朝" w:hAnsi="ＭＳ 明朝"/>
                <w:szCs w:val="21"/>
              </w:rPr>
            </w:pPr>
            <w:r w:rsidRPr="00E0548A">
              <w:rPr>
                <w:rFonts w:ascii="ＭＳ 明朝" w:hAnsi="ＭＳ 明朝" w:hint="eastAsia"/>
                <w:szCs w:val="21"/>
              </w:rPr>
              <w:t>○所管施設の被害状況の把握【商労総務】、報告及び二次災害防止対策の実施【各所管所属】</w:t>
            </w:r>
          </w:p>
          <w:p w14:paraId="2A4A7FFB" w14:textId="77777777" w:rsidR="008B4B2B" w:rsidRPr="00E0548A" w:rsidRDefault="008B4B2B" w:rsidP="008B4B2B">
            <w:pPr>
              <w:rPr>
                <w:rFonts w:ascii="ＭＳ 明朝" w:hAnsi="ＭＳ 明朝"/>
                <w:szCs w:val="21"/>
              </w:rPr>
            </w:pPr>
            <w:r w:rsidRPr="00E0548A">
              <w:rPr>
                <w:rFonts w:ascii="ＭＳ 明朝" w:hAnsi="ＭＳ 明朝" w:hint="eastAsia"/>
                <w:szCs w:val="21"/>
              </w:rPr>
              <w:t>○関係機関・団体等を通じた企業の被害状況等の情報収集【各所管所属】</w:t>
            </w:r>
          </w:p>
        </w:tc>
      </w:tr>
      <w:tr w:rsidR="00E0548A" w:rsidRPr="00E0548A" w14:paraId="5B68E116" w14:textId="77777777" w:rsidTr="008B4B2B">
        <w:trPr>
          <w:jc w:val="center"/>
        </w:trPr>
        <w:tc>
          <w:tcPr>
            <w:tcW w:w="1526" w:type="dxa"/>
          </w:tcPr>
          <w:p w14:paraId="6B84F56F" w14:textId="77777777" w:rsidR="008B4B2B" w:rsidRPr="00E0548A" w:rsidRDefault="008B4B2B" w:rsidP="008B4B2B">
            <w:pPr>
              <w:rPr>
                <w:rFonts w:ascii="ＭＳ 明朝" w:hAnsi="ＭＳ 明朝"/>
                <w:szCs w:val="21"/>
              </w:rPr>
            </w:pPr>
            <w:r w:rsidRPr="00E0548A">
              <w:rPr>
                <w:rFonts w:ascii="ＭＳ 明朝" w:hAnsi="ＭＳ 明朝" w:hint="eastAsia"/>
                <w:szCs w:val="21"/>
              </w:rPr>
              <w:t>第3フェーズ</w:t>
            </w:r>
          </w:p>
          <w:p w14:paraId="66C8846E" w14:textId="77777777" w:rsidR="008B4B2B" w:rsidRPr="00E0548A" w:rsidRDefault="008B4B2B" w:rsidP="008B4B2B">
            <w:pPr>
              <w:rPr>
                <w:rFonts w:ascii="ＭＳ 明朝" w:hAnsi="ＭＳ 明朝"/>
                <w:szCs w:val="21"/>
              </w:rPr>
            </w:pPr>
            <w:r w:rsidRPr="00E0548A">
              <w:rPr>
                <w:rFonts w:ascii="ＭＳ 明朝" w:hAnsi="ＭＳ 明朝" w:hint="eastAsia"/>
                <w:szCs w:val="21"/>
              </w:rPr>
              <w:t>(72時間まで)</w:t>
            </w:r>
          </w:p>
        </w:tc>
        <w:tc>
          <w:tcPr>
            <w:tcW w:w="7176" w:type="dxa"/>
          </w:tcPr>
          <w:p w14:paraId="358D5963" w14:textId="591F5EE0" w:rsidR="008B4B2B" w:rsidRPr="00E0548A" w:rsidRDefault="008B4B2B" w:rsidP="008B4B2B">
            <w:pPr>
              <w:ind w:left="211" w:hangingChars="100" w:hanging="211"/>
              <w:rPr>
                <w:rFonts w:ascii="ＭＳ 明朝" w:hAnsi="ＭＳ 明朝"/>
                <w:szCs w:val="21"/>
              </w:rPr>
            </w:pPr>
            <w:r w:rsidRPr="00E0548A">
              <w:rPr>
                <w:rFonts w:ascii="ＭＳ 明朝" w:hAnsi="ＭＳ 明朝" w:hint="eastAsia"/>
                <w:szCs w:val="21"/>
              </w:rPr>
              <w:t>○緊急物資(生活必需品)の調達斡旋【中小企業支援室（</w:t>
            </w:r>
            <w:r w:rsidR="007A386B" w:rsidRPr="00E0548A">
              <w:rPr>
                <w:rFonts w:ascii="ＭＳ 明朝" w:hAnsi="ＭＳ 明朝" w:hint="eastAsia"/>
                <w:szCs w:val="21"/>
              </w:rPr>
              <w:t>商業振興</w:t>
            </w:r>
            <w:r w:rsidRPr="00E0548A">
              <w:rPr>
                <w:rFonts w:ascii="ＭＳ 明朝" w:hAnsi="ＭＳ 明朝" w:hint="eastAsia"/>
                <w:szCs w:val="21"/>
              </w:rPr>
              <w:t>・ものづくり支援）</w:t>
            </w:r>
          </w:p>
          <w:p w14:paraId="0AAAF440" w14:textId="77777777" w:rsidR="008B4B2B" w:rsidRPr="00E0548A" w:rsidRDefault="008B4B2B" w:rsidP="008B4B2B">
            <w:pPr>
              <w:rPr>
                <w:rFonts w:ascii="ＭＳ 明朝" w:hAnsi="ＭＳ 明朝"/>
                <w:szCs w:val="21"/>
              </w:rPr>
            </w:pPr>
            <w:r w:rsidRPr="00E0548A">
              <w:rPr>
                <w:rFonts w:ascii="ＭＳ 明朝" w:hAnsi="ＭＳ 明朝" w:hint="eastAsia"/>
                <w:szCs w:val="21"/>
              </w:rPr>
              <w:t>○中小企業の災害関連相談の実施【中小企業支援室】</w:t>
            </w:r>
          </w:p>
        </w:tc>
      </w:tr>
      <w:tr w:rsidR="00E0548A" w:rsidRPr="00E0548A" w14:paraId="66F2ED8A" w14:textId="77777777" w:rsidTr="008B4B2B">
        <w:trPr>
          <w:jc w:val="center"/>
        </w:trPr>
        <w:tc>
          <w:tcPr>
            <w:tcW w:w="1526" w:type="dxa"/>
          </w:tcPr>
          <w:p w14:paraId="618FFEC7" w14:textId="77777777" w:rsidR="008B4B2B" w:rsidRPr="00E0548A" w:rsidRDefault="008B4B2B" w:rsidP="008B4B2B">
            <w:pPr>
              <w:rPr>
                <w:rFonts w:ascii="ＭＳ 明朝" w:hAnsi="ＭＳ 明朝"/>
                <w:szCs w:val="21"/>
              </w:rPr>
            </w:pPr>
            <w:r w:rsidRPr="00E0548A">
              <w:rPr>
                <w:rFonts w:ascii="ＭＳ 明朝" w:hAnsi="ＭＳ 明朝" w:hint="eastAsia"/>
                <w:szCs w:val="21"/>
              </w:rPr>
              <w:t>第4フェーズ</w:t>
            </w:r>
          </w:p>
          <w:p w14:paraId="6C2E06CF" w14:textId="77777777" w:rsidR="008B4B2B" w:rsidRPr="00E0548A" w:rsidRDefault="008B4B2B" w:rsidP="008B4B2B">
            <w:pPr>
              <w:rPr>
                <w:rFonts w:ascii="ＭＳ 明朝" w:hAnsi="ＭＳ 明朝"/>
                <w:szCs w:val="21"/>
              </w:rPr>
            </w:pPr>
            <w:r w:rsidRPr="00E0548A">
              <w:rPr>
                <w:rFonts w:ascii="ＭＳ 明朝" w:hAnsi="ＭＳ 明朝" w:hint="eastAsia"/>
                <w:szCs w:val="21"/>
              </w:rPr>
              <w:t>(1週間まで)</w:t>
            </w:r>
          </w:p>
        </w:tc>
        <w:tc>
          <w:tcPr>
            <w:tcW w:w="7176" w:type="dxa"/>
          </w:tcPr>
          <w:p w14:paraId="5B376C5C" w14:textId="77777777" w:rsidR="006E367C" w:rsidRPr="00E0548A" w:rsidRDefault="006E367C" w:rsidP="006E367C">
            <w:pPr>
              <w:rPr>
                <w:rFonts w:ascii="ＭＳ 明朝" w:hAnsi="ＭＳ 明朝"/>
                <w:szCs w:val="21"/>
              </w:rPr>
            </w:pPr>
            <w:r w:rsidRPr="00E0548A">
              <w:rPr>
                <w:rFonts w:ascii="ＭＳ 明朝" w:hAnsi="ＭＳ 明朝" w:hint="eastAsia"/>
                <w:szCs w:val="21"/>
              </w:rPr>
              <w:t>○中小企業の災害復旧等を支援するための融資制度の調整（国の動向に</w:t>
            </w:r>
          </w:p>
          <w:p w14:paraId="3CC83054" w14:textId="58013596" w:rsidR="008B4B2B" w:rsidRPr="00E0548A" w:rsidRDefault="006E367C" w:rsidP="006E367C">
            <w:pPr>
              <w:rPr>
                <w:rFonts w:ascii="ＭＳ 明朝" w:hAnsi="ＭＳ 明朝"/>
                <w:szCs w:val="21"/>
              </w:rPr>
            </w:pPr>
            <w:r w:rsidRPr="00E0548A">
              <w:rPr>
                <w:rFonts w:ascii="ＭＳ 明朝" w:hAnsi="ＭＳ 明朝" w:hint="eastAsia"/>
                <w:szCs w:val="21"/>
              </w:rPr>
              <w:t>より変動）【金融】</w:t>
            </w:r>
            <w:r w:rsidR="00BE6325" w:rsidRPr="00E0548A">
              <w:rPr>
                <w:rFonts w:ascii="ＭＳ 明朝" w:hAnsi="ＭＳ 明朝" w:hint="eastAsia"/>
                <w:szCs w:val="21"/>
              </w:rPr>
              <w:t xml:space="preserve">　　　　　　　　　　　　　　　　　　　　　　　　　　　　　　　　　　　　　　　　　　　　　　　　　　　　　　　　　　　</w:t>
            </w:r>
          </w:p>
        </w:tc>
      </w:tr>
      <w:tr w:rsidR="00E0548A" w:rsidRPr="00E0548A" w14:paraId="415FFC51" w14:textId="77777777" w:rsidTr="008B4B2B">
        <w:trPr>
          <w:jc w:val="center"/>
        </w:trPr>
        <w:tc>
          <w:tcPr>
            <w:tcW w:w="1526" w:type="dxa"/>
          </w:tcPr>
          <w:p w14:paraId="108FBDF9" w14:textId="77777777" w:rsidR="008B4B2B" w:rsidRPr="00E0548A" w:rsidRDefault="008B4B2B" w:rsidP="008B4B2B">
            <w:pPr>
              <w:rPr>
                <w:rFonts w:ascii="ＭＳ 明朝" w:hAnsi="ＭＳ 明朝"/>
                <w:szCs w:val="21"/>
              </w:rPr>
            </w:pPr>
            <w:r w:rsidRPr="00E0548A">
              <w:rPr>
                <w:rFonts w:ascii="ＭＳ 明朝" w:hAnsi="ＭＳ 明朝" w:hint="eastAsia"/>
                <w:szCs w:val="21"/>
              </w:rPr>
              <w:t>第5フェーズ</w:t>
            </w:r>
          </w:p>
          <w:p w14:paraId="7577B014" w14:textId="77777777" w:rsidR="008B4B2B" w:rsidRPr="00E0548A" w:rsidRDefault="008B4B2B" w:rsidP="008B4B2B">
            <w:pPr>
              <w:rPr>
                <w:rFonts w:ascii="ＭＳ 明朝" w:hAnsi="ＭＳ 明朝"/>
                <w:szCs w:val="21"/>
              </w:rPr>
            </w:pPr>
            <w:r w:rsidRPr="00E0548A">
              <w:rPr>
                <w:rFonts w:ascii="ＭＳ 明朝" w:hAnsi="ＭＳ 明朝" w:hint="eastAsia"/>
                <w:szCs w:val="21"/>
              </w:rPr>
              <w:t>(2週間まで)</w:t>
            </w:r>
          </w:p>
        </w:tc>
        <w:tc>
          <w:tcPr>
            <w:tcW w:w="7176" w:type="dxa"/>
          </w:tcPr>
          <w:p w14:paraId="68207CC8" w14:textId="05B3E9D8" w:rsidR="008B4B2B" w:rsidRPr="00E0548A" w:rsidRDefault="008B4B2B" w:rsidP="006E367C">
            <w:pPr>
              <w:ind w:left="211" w:hangingChars="100" w:hanging="211"/>
              <w:rPr>
                <w:rFonts w:ascii="ＭＳ ゴシック" w:eastAsia="ＭＳ ゴシック" w:hAnsi="ＭＳ ゴシック"/>
                <w:szCs w:val="21"/>
              </w:rPr>
            </w:pPr>
            <w:r w:rsidRPr="00E0548A">
              <w:rPr>
                <w:rFonts w:ascii="ＭＳ 明朝" w:hAnsi="ＭＳ 明朝" w:hint="eastAsia"/>
                <w:szCs w:val="21"/>
              </w:rPr>
              <w:t>○被災所管施設の応急復旧（当該施設において応急的に業務を再開するために実施する措置のことをいう。本格的な復旧作業の前段階。）開始</w:t>
            </w:r>
            <w:r w:rsidR="00760DB5" w:rsidRPr="00E0548A">
              <w:rPr>
                <w:rFonts w:ascii="ＭＳ 明朝" w:hAnsi="ＭＳ 明朝" w:hint="eastAsia"/>
                <w:szCs w:val="21"/>
              </w:rPr>
              <w:t>【各所管所属】</w:t>
            </w:r>
          </w:p>
        </w:tc>
      </w:tr>
      <w:tr w:rsidR="00E0548A" w:rsidRPr="00E0548A" w14:paraId="52D0396B" w14:textId="77777777" w:rsidTr="008B4B2B">
        <w:trPr>
          <w:jc w:val="center"/>
        </w:trPr>
        <w:tc>
          <w:tcPr>
            <w:tcW w:w="1526" w:type="dxa"/>
          </w:tcPr>
          <w:p w14:paraId="1A5F8C57" w14:textId="77777777" w:rsidR="008B4B2B" w:rsidRPr="00E0548A" w:rsidRDefault="008B4B2B" w:rsidP="008B4B2B">
            <w:pPr>
              <w:rPr>
                <w:rFonts w:ascii="ＭＳ 明朝" w:hAnsi="ＭＳ 明朝"/>
                <w:szCs w:val="21"/>
              </w:rPr>
            </w:pPr>
            <w:r w:rsidRPr="00E0548A">
              <w:rPr>
                <w:rFonts w:ascii="ＭＳ 明朝" w:hAnsi="ＭＳ 明朝" w:hint="eastAsia"/>
                <w:szCs w:val="21"/>
              </w:rPr>
              <w:t>第6フェーズ</w:t>
            </w:r>
          </w:p>
          <w:p w14:paraId="5E97A212" w14:textId="77777777" w:rsidR="008B4B2B" w:rsidRPr="00E0548A" w:rsidRDefault="008B4B2B" w:rsidP="008B4B2B">
            <w:pPr>
              <w:rPr>
                <w:rFonts w:ascii="ＭＳ 明朝" w:hAnsi="ＭＳ 明朝"/>
                <w:szCs w:val="21"/>
              </w:rPr>
            </w:pPr>
            <w:r w:rsidRPr="00E0548A">
              <w:rPr>
                <w:rFonts w:ascii="ＭＳ 明朝" w:hAnsi="ＭＳ 明朝" w:hint="eastAsia"/>
                <w:szCs w:val="21"/>
              </w:rPr>
              <w:t>(1ヶ月まで)</w:t>
            </w:r>
          </w:p>
        </w:tc>
        <w:tc>
          <w:tcPr>
            <w:tcW w:w="7176" w:type="dxa"/>
          </w:tcPr>
          <w:p w14:paraId="7A317CC7" w14:textId="77777777" w:rsidR="008B4B2B" w:rsidRPr="00E0548A" w:rsidRDefault="008B4B2B" w:rsidP="008B4B2B">
            <w:pPr>
              <w:rPr>
                <w:rFonts w:ascii="ＭＳ 明朝" w:hAnsi="ＭＳ 明朝"/>
                <w:szCs w:val="21"/>
              </w:rPr>
            </w:pPr>
            <w:r w:rsidRPr="00E0548A">
              <w:rPr>
                <w:rFonts w:ascii="ＭＳ 明朝" w:hAnsi="ＭＳ 明朝" w:hint="eastAsia"/>
                <w:szCs w:val="21"/>
              </w:rPr>
              <w:t>○被災所管施設の応急復旧</w:t>
            </w:r>
          </w:p>
          <w:p w14:paraId="578CE23E" w14:textId="4171B09B" w:rsidR="008B4B2B" w:rsidRPr="00E0548A" w:rsidRDefault="008B4B2B" w:rsidP="008B4B2B">
            <w:pPr>
              <w:rPr>
                <w:rFonts w:ascii="ＭＳ 明朝" w:hAnsi="ＭＳ 明朝"/>
                <w:szCs w:val="21"/>
              </w:rPr>
            </w:pPr>
            <w:r w:rsidRPr="00E0548A">
              <w:rPr>
                <w:rFonts w:ascii="ＭＳ 明朝" w:hAnsi="ＭＳ 明朝" w:hint="eastAsia"/>
                <w:szCs w:val="21"/>
              </w:rPr>
              <w:t>○被災者の就職支援の実施（国の措置・動向により変動）【</w:t>
            </w:r>
            <w:r w:rsidR="00760DB5" w:rsidRPr="00E0548A">
              <w:rPr>
                <w:rFonts w:ascii="ＭＳ 明朝" w:hAnsi="ＭＳ 明朝" w:hint="eastAsia"/>
                <w:szCs w:val="21"/>
              </w:rPr>
              <w:t>労働環境</w:t>
            </w:r>
            <w:r w:rsidRPr="00E0548A">
              <w:rPr>
                <w:rFonts w:ascii="ＭＳ 明朝" w:hAnsi="ＭＳ 明朝" w:hint="eastAsia"/>
                <w:szCs w:val="21"/>
              </w:rPr>
              <w:t>】</w:t>
            </w:r>
          </w:p>
        </w:tc>
      </w:tr>
    </w:tbl>
    <w:p w14:paraId="19378FFF" w14:textId="0C88A410" w:rsidR="008B4B2B" w:rsidRPr="00E0548A" w:rsidRDefault="008B4B2B" w:rsidP="008B4B2B">
      <w:pPr>
        <w:ind w:left="1689" w:hangingChars="800" w:hanging="1689"/>
        <w:rPr>
          <w:rFonts w:ascii="ＭＳ 明朝" w:hAnsi="ＭＳ 明朝"/>
          <w:szCs w:val="21"/>
        </w:rPr>
      </w:pPr>
      <w:r w:rsidRPr="00E0548A">
        <w:rPr>
          <w:rFonts w:ascii="ＭＳ 明朝" w:hAnsi="ＭＳ 明朝" w:hint="eastAsia"/>
          <w:szCs w:val="21"/>
        </w:rPr>
        <w:t>※主な所管施設：技専校</w:t>
      </w:r>
      <w:r w:rsidR="005B4EFE" w:rsidRPr="00E0548A">
        <w:rPr>
          <w:rFonts w:ascii="ＭＳ 明朝" w:hAnsi="ＭＳ 明朝" w:hint="eastAsia"/>
          <w:szCs w:val="21"/>
        </w:rPr>
        <w:t>等</w:t>
      </w:r>
      <w:r w:rsidRPr="00E0548A">
        <w:rPr>
          <w:rFonts w:ascii="ＭＳ 明朝" w:hAnsi="ＭＳ 明朝" w:hint="eastAsia"/>
          <w:szCs w:val="21"/>
        </w:rPr>
        <w:t>、計量検定所</w:t>
      </w:r>
      <w:r w:rsidR="006E367C" w:rsidRPr="00E0548A">
        <w:rPr>
          <w:rFonts w:ascii="ＭＳ 明朝" w:hAnsi="ＭＳ 明朝" w:hint="eastAsia"/>
          <w:szCs w:val="21"/>
        </w:rPr>
        <w:t>、労働センター</w:t>
      </w:r>
    </w:p>
    <w:p w14:paraId="039BE01D" w14:textId="79446E6F" w:rsidR="008B4B2B" w:rsidRPr="00E0548A" w:rsidRDefault="008B4B2B" w:rsidP="008B4B2B">
      <w:pPr>
        <w:ind w:leftChars="300" w:left="1688" w:hangingChars="500" w:hanging="1055"/>
        <w:rPr>
          <w:rFonts w:ascii="ＭＳ 明朝" w:hAnsi="ＭＳ 明朝"/>
          <w:szCs w:val="21"/>
        </w:rPr>
      </w:pPr>
      <w:r w:rsidRPr="00E0548A">
        <w:rPr>
          <w:rFonts w:ascii="ＭＳ 明朝" w:hAnsi="ＭＳ 明朝" w:hint="eastAsia"/>
          <w:szCs w:val="21"/>
        </w:rPr>
        <w:t>関係機関：近畿経済産業局、</w:t>
      </w:r>
      <w:r w:rsidR="005B4EFE" w:rsidRPr="00E0548A">
        <w:rPr>
          <w:rFonts w:ascii="ＭＳ 明朝" w:hAnsi="ＭＳ 明朝" w:hint="eastAsia"/>
          <w:szCs w:val="21"/>
        </w:rPr>
        <w:t>大阪労働局、各市町村、</w:t>
      </w:r>
      <w:r w:rsidRPr="00E0548A">
        <w:rPr>
          <w:rFonts w:ascii="ＭＳ 明朝" w:hAnsi="ＭＳ 明朝" w:hint="eastAsia"/>
          <w:szCs w:val="21"/>
        </w:rPr>
        <w:t>商工会・商工会議所等の中小企業支援機関、金融機関、立地企業</w:t>
      </w:r>
    </w:p>
    <w:p w14:paraId="57AF8144" w14:textId="77777777" w:rsidR="00FB2BB1" w:rsidRPr="00E0548A" w:rsidRDefault="00FB2BB1" w:rsidP="008B4B2B">
      <w:pPr>
        <w:rPr>
          <w:rFonts w:ascii="ＭＳ 明朝" w:hAnsi="ＭＳ 明朝"/>
          <w:szCs w:val="21"/>
        </w:rPr>
      </w:pPr>
    </w:p>
    <w:p w14:paraId="6BAF90EF" w14:textId="77777777" w:rsidR="00D93C38" w:rsidRPr="00E0548A" w:rsidRDefault="00D93C38">
      <w:pPr>
        <w:widowControl/>
        <w:jc w:val="left"/>
        <w:rPr>
          <w:rFonts w:ascii="ＭＳ ゴシック" w:eastAsia="ＭＳ ゴシック" w:hAnsi="ＭＳ ゴシック"/>
          <w:szCs w:val="21"/>
        </w:rPr>
      </w:pPr>
      <w:r w:rsidRPr="00E0548A">
        <w:rPr>
          <w:rFonts w:ascii="ＭＳ ゴシック" w:eastAsia="ＭＳ ゴシック" w:hAnsi="ＭＳ ゴシック"/>
          <w:szCs w:val="21"/>
        </w:rPr>
        <w:br w:type="page"/>
      </w:r>
    </w:p>
    <w:p w14:paraId="6D1BF5FC" w14:textId="3B66A408" w:rsidR="007650CC" w:rsidRPr="00E0548A" w:rsidRDefault="007650CC" w:rsidP="007650CC">
      <w:pPr>
        <w:pStyle w:val="af4"/>
        <w:ind w:leftChars="0" w:left="0"/>
        <w:rPr>
          <w:rFonts w:ascii="ＭＳ ゴシック" w:eastAsia="ＭＳ ゴシック" w:hAnsi="ＭＳ ゴシック"/>
          <w:szCs w:val="21"/>
        </w:rPr>
      </w:pPr>
      <w:r w:rsidRPr="00E0548A">
        <w:rPr>
          <w:rFonts w:ascii="ＭＳ ゴシック" w:eastAsia="ＭＳ ゴシック" w:hAnsi="ＭＳ ゴシック" w:hint="eastAsia"/>
          <w:szCs w:val="21"/>
        </w:rPr>
        <w:lastRenderedPageBreak/>
        <w:t>＜南海トラフ地震臨時情報（巨大地震警戒）発表時＞</w:t>
      </w:r>
    </w:p>
    <w:tbl>
      <w:tblPr>
        <w:tblpPr w:leftFromText="142" w:rightFromText="142" w:vertAnchor="text" w:tblpXSpec="center" w:tblpY="1"/>
        <w:tblOverlap w:val="neve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00"/>
        <w:gridCol w:w="7334"/>
      </w:tblGrid>
      <w:tr w:rsidR="00E0548A" w:rsidRPr="00E0548A" w14:paraId="5E3F7212" w14:textId="77777777" w:rsidTr="008C78D9">
        <w:trPr>
          <w:jc w:val="center"/>
        </w:trPr>
        <w:tc>
          <w:tcPr>
            <w:tcW w:w="1500" w:type="dxa"/>
            <w:tcBorders>
              <w:bottom w:val="single" w:sz="4" w:space="0" w:color="auto"/>
            </w:tcBorders>
            <w:shd w:val="clear" w:color="auto" w:fill="BFBFBF"/>
          </w:tcPr>
          <w:p w14:paraId="64B8A4D4" w14:textId="77777777" w:rsidR="007650CC" w:rsidRPr="00E0548A" w:rsidRDefault="007650CC" w:rsidP="008C78D9">
            <w:pPr>
              <w:jc w:val="center"/>
              <w:rPr>
                <w:rFonts w:ascii="ＭＳ 明朝" w:hAnsi="ＭＳ 明朝"/>
                <w:szCs w:val="21"/>
              </w:rPr>
            </w:pPr>
            <w:r w:rsidRPr="00E0548A">
              <w:rPr>
                <w:rFonts w:ascii="ＭＳ 明朝" w:hAnsi="ＭＳ 明朝" w:hint="eastAsia"/>
                <w:szCs w:val="21"/>
              </w:rPr>
              <w:t>臨時情報</w:t>
            </w:r>
          </w:p>
        </w:tc>
        <w:tc>
          <w:tcPr>
            <w:tcW w:w="7334" w:type="dxa"/>
            <w:tcBorders>
              <w:bottom w:val="single" w:sz="4" w:space="0" w:color="auto"/>
            </w:tcBorders>
            <w:shd w:val="clear" w:color="auto" w:fill="BFBFBF"/>
          </w:tcPr>
          <w:p w14:paraId="1A984298" w14:textId="77777777" w:rsidR="007650CC" w:rsidRPr="00E0548A" w:rsidRDefault="007650CC" w:rsidP="008C78D9">
            <w:pPr>
              <w:jc w:val="center"/>
              <w:rPr>
                <w:rFonts w:ascii="ＭＳ 明朝" w:hAnsi="ＭＳ 明朝"/>
                <w:szCs w:val="21"/>
              </w:rPr>
            </w:pPr>
            <w:r w:rsidRPr="00E0548A">
              <w:rPr>
                <w:rFonts w:ascii="ＭＳ 明朝" w:hAnsi="ＭＳ 明朝" w:hint="eastAsia"/>
                <w:szCs w:val="21"/>
              </w:rPr>
              <w:t>主な応急対策業務</w:t>
            </w:r>
          </w:p>
        </w:tc>
      </w:tr>
      <w:tr w:rsidR="00E0548A" w:rsidRPr="00E0548A" w14:paraId="1379C83A" w14:textId="77777777" w:rsidTr="008C78D9">
        <w:trPr>
          <w:jc w:val="center"/>
        </w:trPr>
        <w:tc>
          <w:tcPr>
            <w:tcW w:w="1500" w:type="dxa"/>
          </w:tcPr>
          <w:p w14:paraId="430806DD" w14:textId="77777777" w:rsidR="007650CC" w:rsidRPr="00E0548A" w:rsidRDefault="007650CC" w:rsidP="008C78D9">
            <w:pPr>
              <w:rPr>
                <w:rFonts w:ascii="ＭＳ 明朝" w:hAnsi="ＭＳ 明朝"/>
                <w:szCs w:val="21"/>
              </w:rPr>
            </w:pPr>
            <w:r w:rsidRPr="00E0548A">
              <w:rPr>
                <w:rFonts w:ascii="ＭＳ 明朝" w:hAnsi="ＭＳ 明朝" w:hint="eastAsia"/>
                <w:szCs w:val="21"/>
              </w:rPr>
              <w:t>巨大地震警戒</w:t>
            </w:r>
          </w:p>
        </w:tc>
        <w:tc>
          <w:tcPr>
            <w:tcW w:w="7334" w:type="dxa"/>
          </w:tcPr>
          <w:p w14:paraId="3811666A" w14:textId="77777777" w:rsidR="00FF0509" w:rsidRPr="00E0548A" w:rsidRDefault="00FF0509" w:rsidP="00FF0509">
            <w:pPr>
              <w:rPr>
                <w:rFonts w:ascii="ＭＳ 明朝" w:hAnsi="ＭＳ 明朝"/>
              </w:rPr>
            </w:pPr>
            <w:r w:rsidRPr="00E0548A">
              <w:rPr>
                <w:rFonts w:ascii="ＭＳ 明朝" w:hAnsi="ＭＳ 明朝" w:hint="eastAsia"/>
              </w:rPr>
              <w:t>○地震発災後、応急対策業務（第１フェーズ）を速やかに実施できる準備</w:t>
            </w:r>
          </w:p>
          <w:p w14:paraId="0E92B79E" w14:textId="77777777" w:rsidR="00FF0509" w:rsidRPr="00E0548A" w:rsidRDefault="00FF0509" w:rsidP="00FF0509">
            <w:pPr>
              <w:ind w:firstLineChars="100" w:firstLine="211"/>
              <w:rPr>
                <w:rFonts w:ascii="ＭＳ 明朝" w:hAnsi="ＭＳ 明朝"/>
              </w:rPr>
            </w:pPr>
            <w:r w:rsidRPr="00E0548A">
              <w:rPr>
                <w:rFonts w:ascii="ＭＳ 明朝" w:hAnsi="ＭＳ 明朝" w:hint="eastAsia"/>
              </w:rPr>
              <w:t>体制を維持</w:t>
            </w:r>
          </w:p>
          <w:p w14:paraId="2D9AEA56" w14:textId="77777777" w:rsidR="00FF0509" w:rsidRPr="00E0548A" w:rsidRDefault="00FF0509" w:rsidP="00FF0509">
            <w:pPr>
              <w:rPr>
                <w:rFonts w:ascii="ＭＳ 明朝" w:hAnsi="ＭＳ 明朝"/>
              </w:rPr>
            </w:pPr>
            <w:r w:rsidRPr="00E0548A">
              <w:rPr>
                <w:rFonts w:ascii="ＭＳ 明朝" w:hAnsi="ＭＳ 明朝" w:hint="eastAsia"/>
              </w:rPr>
              <w:t>○部（局）内及び関係機関からの情報収集・整理及び連絡調整</w:t>
            </w:r>
          </w:p>
          <w:p w14:paraId="2B1CB917" w14:textId="72CC1DD0" w:rsidR="00FF0509" w:rsidRPr="00E0548A" w:rsidRDefault="00FF0509" w:rsidP="00FF0509">
            <w:pPr>
              <w:ind w:left="211" w:hangingChars="100" w:hanging="211"/>
              <w:rPr>
                <w:rFonts w:ascii="ＭＳ 明朝" w:hAnsi="ＭＳ 明朝"/>
              </w:rPr>
            </w:pPr>
            <w:r w:rsidRPr="00E0548A">
              <w:rPr>
                <w:rFonts w:ascii="ＭＳ 明朝" w:hAnsi="ＭＳ 明朝" w:hint="eastAsia"/>
              </w:rPr>
              <w:t>○所管施設との連絡調整</w:t>
            </w:r>
            <w:r w:rsidR="005B4EFE" w:rsidRPr="00E0548A">
              <w:rPr>
                <w:rFonts w:ascii="ＭＳ 明朝" w:hAnsi="ＭＳ 明朝" w:hint="eastAsia"/>
              </w:rPr>
              <w:t>【各所管所属】</w:t>
            </w:r>
          </w:p>
          <w:p w14:paraId="07F564A7" w14:textId="14F94AD3" w:rsidR="00FF0509" w:rsidRPr="00E0548A" w:rsidRDefault="00FF0509" w:rsidP="00FF0509">
            <w:pPr>
              <w:rPr>
                <w:rFonts w:ascii="ＭＳ 明朝" w:hAnsi="ＭＳ 明朝"/>
              </w:rPr>
            </w:pPr>
            <w:r w:rsidRPr="00E0548A">
              <w:rPr>
                <w:rFonts w:ascii="ＭＳ 明朝" w:hAnsi="ＭＳ 明朝" w:hint="eastAsia"/>
              </w:rPr>
              <w:t>○所管施設の避難経路等の確認</w:t>
            </w:r>
            <w:r w:rsidR="005B4EFE" w:rsidRPr="00E0548A">
              <w:rPr>
                <w:rFonts w:ascii="ＭＳ 明朝" w:hAnsi="ＭＳ 明朝" w:hint="eastAsia"/>
              </w:rPr>
              <w:t>【各所管所属】</w:t>
            </w:r>
          </w:p>
          <w:p w14:paraId="6C22FE1B" w14:textId="6ECC78A6" w:rsidR="00FF0509" w:rsidRPr="00E0548A" w:rsidRDefault="00FF0509" w:rsidP="00FF0509">
            <w:pPr>
              <w:rPr>
                <w:rFonts w:ascii="ＭＳ 明朝" w:hAnsi="ＭＳ 明朝"/>
              </w:rPr>
            </w:pPr>
            <w:r w:rsidRPr="00E0548A">
              <w:rPr>
                <w:rFonts w:ascii="ＭＳ 明朝" w:hAnsi="ＭＳ 明朝" w:hint="eastAsia"/>
              </w:rPr>
              <w:t>○所管施設の休館・休校等の判断</w:t>
            </w:r>
            <w:r w:rsidR="005B4EFE" w:rsidRPr="00E0548A">
              <w:rPr>
                <w:rFonts w:ascii="ＭＳ 明朝" w:hAnsi="ＭＳ 明朝" w:hint="eastAsia"/>
              </w:rPr>
              <w:t>【各所管所属】</w:t>
            </w:r>
          </w:p>
          <w:p w14:paraId="157B4ECB" w14:textId="34410AF2" w:rsidR="00FF0509" w:rsidRPr="00E0548A" w:rsidRDefault="00FF0509" w:rsidP="00FF0509">
            <w:pPr>
              <w:rPr>
                <w:rFonts w:ascii="ＭＳ 明朝" w:hAnsi="ＭＳ 明朝"/>
              </w:rPr>
            </w:pPr>
            <w:r w:rsidRPr="00E0548A">
              <w:rPr>
                <w:rFonts w:ascii="ＭＳ 明朝" w:hAnsi="ＭＳ 明朝" w:hint="eastAsia"/>
              </w:rPr>
              <w:t>○防災協定企業や関係機関との備えや準備の再確認</w:t>
            </w:r>
            <w:r w:rsidR="005B4EFE" w:rsidRPr="00E0548A">
              <w:rPr>
                <w:rFonts w:ascii="ＭＳ 明朝" w:hAnsi="ＭＳ 明朝" w:hint="eastAsia"/>
              </w:rPr>
              <w:t>【各所管所属】</w:t>
            </w:r>
          </w:p>
          <w:p w14:paraId="368A7453" w14:textId="49176D64" w:rsidR="00FF0509" w:rsidRPr="00E0548A" w:rsidRDefault="00FF0509" w:rsidP="00FF0509">
            <w:pPr>
              <w:rPr>
                <w:rFonts w:ascii="ＭＳ 明朝" w:hAnsi="ＭＳ 明朝"/>
              </w:rPr>
            </w:pPr>
            <w:r w:rsidRPr="00E0548A">
              <w:rPr>
                <w:rFonts w:ascii="ＭＳ 明朝" w:hAnsi="ＭＳ 明朝" w:hint="eastAsia"/>
              </w:rPr>
              <w:t>○所管イベントの開催可否の判断</w:t>
            </w:r>
            <w:r w:rsidR="005B4EFE" w:rsidRPr="00E0548A">
              <w:rPr>
                <w:rFonts w:ascii="ＭＳ 明朝" w:hAnsi="ＭＳ 明朝" w:hint="eastAsia"/>
              </w:rPr>
              <w:t>【各所管所属】</w:t>
            </w:r>
          </w:p>
          <w:p w14:paraId="789D5EED" w14:textId="632FB364" w:rsidR="00FF0509" w:rsidRPr="00E0548A" w:rsidRDefault="00FF0509" w:rsidP="00FF0509">
            <w:pPr>
              <w:rPr>
                <w:rFonts w:ascii="ＭＳ 明朝" w:hAnsi="ＭＳ 明朝"/>
              </w:rPr>
            </w:pPr>
            <w:r w:rsidRPr="00E0548A">
              <w:rPr>
                <w:rFonts w:ascii="ＭＳ 明朝" w:hAnsi="ＭＳ 明朝" w:hint="eastAsia"/>
              </w:rPr>
              <w:t>○公用車等の点検・給油（充電、充填）</w:t>
            </w:r>
            <w:r w:rsidR="005B4EFE" w:rsidRPr="00E0548A">
              <w:rPr>
                <w:rFonts w:ascii="ＭＳ 明朝" w:hAnsi="ＭＳ 明朝" w:hint="eastAsia"/>
              </w:rPr>
              <w:t>【各所管所属】</w:t>
            </w:r>
          </w:p>
          <w:p w14:paraId="484FB4F1" w14:textId="41C2D216" w:rsidR="00FF0509" w:rsidRPr="00E0548A" w:rsidRDefault="00FF0509" w:rsidP="00FF0509">
            <w:pPr>
              <w:rPr>
                <w:rFonts w:ascii="ＭＳ 明朝" w:hAnsi="ＭＳ 明朝"/>
              </w:rPr>
            </w:pPr>
            <w:r w:rsidRPr="00E0548A">
              <w:rPr>
                <w:rFonts w:ascii="ＭＳ 明朝" w:hAnsi="ＭＳ 明朝" w:hint="eastAsia"/>
              </w:rPr>
              <w:t>○各種システムの運用方法の確認等</w:t>
            </w:r>
            <w:r w:rsidR="005B4EFE" w:rsidRPr="00E0548A">
              <w:rPr>
                <w:rFonts w:ascii="ＭＳ 明朝" w:hAnsi="ＭＳ 明朝" w:hint="eastAsia"/>
              </w:rPr>
              <w:t>【各所管所属】</w:t>
            </w:r>
          </w:p>
          <w:p w14:paraId="34DD4B5B" w14:textId="080FD826" w:rsidR="00FF0509" w:rsidRPr="00E0548A" w:rsidRDefault="00FF0509" w:rsidP="00FF0509">
            <w:pPr>
              <w:rPr>
                <w:rFonts w:ascii="ＭＳ 明朝" w:hAnsi="ＭＳ 明朝"/>
              </w:rPr>
            </w:pPr>
            <w:r w:rsidRPr="00E0548A">
              <w:rPr>
                <w:rFonts w:ascii="ＭＳ 明朝" w:hAnsi="ＭＳ 明朝" w:hint="eastAsia"/>
              </w:rPr>
              <w:t>○防災協定企業等との連絡体制の確保</w:t>
            </w:r>
            <w:r w:rsidR="005B4EFE" w:rsidRPr="00E0548A">
              <w:rPr>
                <w:rFonts w:ascii="ＭＳ 明朝" w:hAnsi="ＭＳ 明朝" w:hint="eastAsia"/>
              </w:rPr>
              <w:t>【商業振興・ものづくり支援】</w:t>
            </w:r>
          </w:p>
          <w:p w14:paraId="28A0B8AD" w14:textId="77777777" w:rsidR="00FF0509" w:rsidRPr="00E0548A" w:rsidRDefault="00FF0509" w:rsidP="00FF0509">
            <w:pPr>
              <w:rPr>
                <w:rFonts w:ascii="ＭＳ 明朝" w:hAnsi="ＭＳ 明朝"/>
                <w:szCs w:val="21"/>
              </w:rPr>
            </w:pPr>
            <w:r w:rsidRPr="00E0548A">
              <w:rPr>
                <w:rFonts w:ascii="ＭＳ 明朝" w:hAnsi="ＭＳ 明朝" w:hint="eastAsia"/>
              </w:rPr>
              <w:t>○</w:t>
            </w:r>
            <w:r w:rsidRPr="00E0548A">
              <w:rPr>
                <w:rFonts w:ascii="ＭＳ 明朝" w:hAnsi="ＭＳ 明朝" w:hint="eastAsia"/>
                <w:szCs w:val="21"/>
              </w:rPr>
              <w:t>発注工事現場の安全確保及び継続可否の判断【各所管所属】</w:t>
            </w:r>
          </w:p>
          <w:p w14:paraId="54CE9011" w14:textId="031D1288" w:rsidR="007650CC" w:rsidRPr="00E0548A" w:rsidRDefault="00FF0509" w:rsidP="00FF0509">
            <w:pPr>
              <w:rPr>
                <w:rFonts w:ascii="ＭＳ 明朝" w:hAnsi="ＭＳ 明朝"/>
                <w:szCs w:val="21"/>
              </w:rPr>
            </w:pPr>
            <w:r w:rsidRPr="00E0548A">
              <w:rPr>
                <w:rFonts w:ascii="ＭＳ 明朝" w:hAnsi="ＭＳ 明朝" w:hint="eastAsia"/>
              </w:rPr>
              <w:t>○海外事務所・海外出張者一行への連絡</w:t>
            </w:r>
            <w:r w:rsidR="005B4EFE" w:rsidRPr="00E0548A">
              <w:rPr>
                <w:rFonts w:ascii="ＭＳ 明朝" w:hAnsi="ＭＳ 明朝" w:hint="eastAsia"/>
              </w:rPr>
              <w:t>【国際ビジネス】</w:t>
            </w:r>
          </w:p>
        </w:tc>
      </w:tr>
    </w:tbl>
    <w:p w14:paraId="420309B3" w14:textId="77777777" w:rsidR="007650CC" w:rsidRPr="00E0548A" w:rsidRDefault="007650CC" w:rsidP="007650CC">
      <w:pPr>
        <w:rPr>
          <w:rFonts w:ascii="ＭＳ 明朝" w:hAnsi="ＭＳ 明朝"/>
          <w:szCs w:val="21"/>
        </w:rPr>
      </w:pPr>
      <w:r w:rsidRPr="00E0548A">
        <w:rPr>
          <w:rFonts w:ascii="ＭＳ 明朝" w:hAnsi="ＭＳ 明朝" w:hint="eastAsia"/>
          <w:szCs w:val="21"/>
        </w:rPr>
        <w:t>「南海トラフ地震臨時情報（巨大地震警戒）」が発表され、「巨大地震警戒対応期間」（１週間）が経過した際は、「巨大地震注意対応期間」へ移行。</w:t>
      </w:r>
    </w:p>
    <w:p w14:paraId="1A2D0826" w14:textId="4C9E5A2B" w:rsidR="007650CC" w:rsidRPr="00E0548A" w:rsidRDefault="007650CC" w:rsidP="007650CC">
      <w:pPr>
        <w:rPr>
          <w:rFonts w:ascii="ＭＳ 明朝" w:hAnsi="ＭＳ 明朝"/>
          <w:szCs w:val="21"/>
        </w:rPr>
      </w:pPr>
    </w:p>
    <w:p w14:paraId="71F5FE95" w14:textId="77777777" w:rsidR="007650CC" w:rsidRPr="00E0548A" w:rsidRDefault="007650CC" w:rsidP="007650CC">
      <w:pPr>
        <w:rPr>
          <w:rFonts w:ascii="ＭＳ 明朝" w:hAnsi="ＭＳ 明朝"/>
          <w:szCs w:val="21"/>
        </w:rPr>
      </w:pPr>
    </w:p>
    <w:p w14:paraId="247D0AF4" w14:textId="26CD5C1D" w:rsidR="007650CC" w:rsidRPr="00E0548A" w:rsidRDefault="007650CC" w:rsidP="007650CC">
      <w:pPr>
        <w:pStyle w:val="af4"/>
        <w:ind w:leftChars="0" w:left="0"/>
        <w:rPr>
          <w:rFonts w:ascii="ＭＳ ゴシック" w:eastAsia="ＭＳ ゴシック" w:hAnsi="ＭＳ ゴシック"/>
          <w:szCs w:val="21"/>
        </w:rPr>
      </w:pPr>
      <w:r w:rsidRPr="00E0548A">
        <w:rPr>
          <w:rFonts w:ascii="ＭＳ ゴシック" w:eastAsia="ＭＳ ゴシック" w:hAnsi="ＭＳ ゴシック" w:hint="eastAsia"/>
          <w:szCs w:val="21"/>
        </w:rPr>
        <w:t>＜南海トラフ地震臨時情報（巨大地震注意）発表時</w:t>
      </w:r>
      <w:r w:rsidR="002F25B5" w:rsidRPr="00E0548A">
        <w:rPr>
          <w:rFonts w:ascii="ＭＳ ゴシック" w:eastAsia="ＭＳ ゴシック" w:hAnsi="ＭＳ ゴシック" w:hint="eastAsia"/>
          <w:szCs w:val="21"/>
        </w:rPr>
        <w:t>（</w:t>
      </w:r>
      <w:r w:rsidR="002F25B5" w:rsidRPr="00E0548A">
        <w:rPr>
          <w:rFonts w:ascii="ＭＳ 明朝" w:hAnsi="ＭＳ 明朝" w:hint="eastAsia"/>
          <w:szCs w:val="21"/>
        </w:rPr>
        <w:t>巨大地震警戒からの移行時を含む</w:t>
      </w:r>
      <w:r w:rsidR="002F25B5" w:rsidRPr="00E0548A">
        <w:rPr>
          <w:rFonts w:ascii="ＭＳ ゴシック" w:eastAsia="ＭＳ ゴシック" w:hAnsi="ＭＳ ゴシック" w:hint="eastAsia"/>
          <w:szCs w:val="21"/>
        </w:rPr>
        <w:t>）</w:t>
      </w:r>
      <w:r w:rsidRPr="00E0548A">
        <w:rPr>
          <w:rFonts w:ascii="ＭＳ ゴシック" w:eastAsia="ＭＳ ゴシック" w:hAnsi="ＭＳ ゴシック" w:hint="eastAsia"/>
          <w:szCs w:val="21"/>
        </w:rPr>
        <w:t>＞</w:t>
      </w:r>
    </w:p>
    <w:tbl>
      <w:tblPr>
        <w:tblpPr w:leftFromText="142" w:rightFromText="142" w:vertAnchor="text" w:tblpXSpec="center" w:tblpY="1"/>
        <w:tblOverlap w:val="neve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00"/>
        <w:gridCol w:w="7334"/>
      </w:tblGrid>
      <w:tr w:rsidR="00E0548A" w:rsidRPr="00E0548A" w14:paraId="0B5F743F" w14:textId="77777777" w:rsidTr="008C78D9">
        <w:trPr>
          <w:jc w:val="center"/>
        </w:trPr>
        <w:tc>
          <w:tcPr>
            <w:tcW w:w="1500" w:type="dxa"/>
            <w:tcBorders>
              <w:bottom w:val="single" w:sz="4" w:space="0" w:color="auto"/>
            </w:tcBorders>
            <w:shd w:val="clear" w:color="auto" w:fill="BFBFBF"/>
          </w:tcPr>
          <w:p w14:paraId="6C19F2A1" w14:textId="77777777" w:rsidR="007650CC" w:rsidRPr="00E0548A" w:rsidRDefault="007650CC" w:rsidP="008C78D9">
            <w:pPr>
              <w:jc w:val="center"/>
              <w:rPr>
                <w:rFonts w:ascii="ＭＳ 明朝" w:hAnsi="ＭＳ 明朝"/>
                <w:szCs w:val="21"/>
              </w:rPr>
            </w:pPr>
            <w:r w:rsidRPr="00E0548A">
              <w:rPr>
                <w:rFonts w:ascii="ＭＳ 明朝" w:hAnsi="ＭＳ 明朝" w:hint="eastAsia"/>
                <w:szCs w:val="21"/>
              </w:rPr>
              <w:t>臨時情報</w:t>
            </w:r>
          </w:p>
        </w:tc>
        <w:tc>
          <w:tcPr>
            <w:tcW w:w="7334" w:type="dxa"/>
            <w:tcBorders>
              <w:bottom w:val="single" w:sz="4" w:space="0" w:color="auto"/>
            </w:tcBorders>
            <w:shd w:val="clear" w:color="auto" w:fill="BFBFBF"/>
          </w:tcPr>
          <w:p w14:paraId="3A7DE8F9" w14:textId="77777777" w:rsidR="007650CC" w:rsidRPr="00E0548A" w:rsidRDefault="007650CC" w:rsidP="008C78D9">
            <w:pPr>
              <w:jc w:val="center"/>
              <w:rPr>
                <w:rFonts w:ascii="ＭＳ 明朝" w:hAnsi="ＭＳ 明朝"/>
                <w:szCs w:val="21"/>
              </w:rPr>
            </w:pPr>
            <w:r w:rsidRPr="00E0548A">
              <w:rPr>
                <w:rFonts w:ascii="ＭＳ 明朝" w:hAnsi="ＭＳ 明朝" w:hint="eastAsia"/>
                <w:szCs w:val="21"/>
              </w:rPr>
              <w:t>主な応急対策業務</w:t>
            </w:r>
          </w:p>
        </w:tc>
      </w:tr>
      <w:tr w:rsidR="00E0548A" w:rsidRPr="00E0548A" w14:paraId="469A75AF" w14:textId="77777777" w:rsidTr="008C78D9">
        <w:trPr>
          <w:jc w:val="center"/>
        </w:trPr>
        <w:tc>
          <w:tcPr>
            <w:tcW w:w="1500" w:type="dxa"/>
          </w:tcPr>
          <w:p w14:paraId="67FB5BEB" w14:textId="77777777" w:rsidR="007650CC" w:rsidRPr="00E0548A" w:rsidRDefault="007650CC" w:rsidP="008C78D9">
            <w:pPr>
              <w:rPr>
                <w:rFonts w:ascii="ＭＳ 明朝" w:hAnsi="ＭＳ 明朝"/>
                <w:szCs w:val="21"/>
              </w:rPr>
            </w:pPr>
            <w:r w:rsidRPr="00E0548A">
              <w:rPr>
                <w:rFonts w:ascii="ＭＳ 明朝" w:hAnsi="ＭＳ 明朝" w:hint="eastAsia"/>
                <w:szCs w:val="21"/>
              </w:rPr>
              <w:t>巨大地震注意</w:t>
            </w:r>
          </w:p>
        </w:tc>
        <w:tc>
          <w:tcPr>
            <w:tcW w:w="7334" w:type="dxa"/>
          </w:tcPr>
          <w:p w14:paraId="6A46B90B" w14:textId="77777777" w:rsidR="00FF0509" w:rsidRPr="00E0548A" w:rsidRDefault="00FF0509" w:rsidP="00FF0509">
            <w:pPr>
              <w:rPr>
                <w:rFonts w:ascii="ＭＳ 明朝" w:hAnsi="ＭＳ 明朝"/>
              </w:rPr>
            </w:pPr>
            <w:r w:rsidRPr="00E0548A">
              <w:rPr>
                <w:rFonts w:ascii="ＭＳ 明朝" w:hAnsi="ＭＳ 明朝" w:hint="eastAsia"/>
              </w:rPr>
              <w:t>○地震発災に備えた情報連絡体制の維持</w:t>
            </w:r>
          </w:p>
          <w:p w14:paraId="3635CC37" w14:textId="77777777" w:rsidR="00FF0509" w:rsidRPr="00E0548A" w:rsidRDefault="00FF0509" w:rsidP="00FF0509">
            <w:pPr>
              <w:rPr>
                <w:rFonts w:ascii="ＭＳ 明朝" w:hAnsi="ＭＳ 明朝"/>
              </w:rPr>
            </w:pPr>
            <w:r w:rsidRPr="00E0548A">
              <w:rPr>
                <w:rFonts w:ascii="ＭＳ 明朝" w:hAnsi="ＭＳ 明朝" w:hint="eastAsia"/>
              </w:rPr>
              <w:t>○部（局）内及び関係機関からの情報収集・整理及び連絡調整</w:t>
            </w:r>
          </w:p>
          <w:p w14:paraId="48E81F10" w14:textId="1BA09812" w:rsidR="00FF0509" w:rsidRPr="00E0548A" w:rsidRDefault="00FF0509" w:rsidP="00FF0509">
            <w:pPr>
              <w:ind w:left="211" w:hangingChars="100" w:hanging="211"/>
              <w:rPr>
                <w:rFonts w:ascii="ＭＳ 明朝" w:hAnsi="ＭＳ 明朝"/>
              </w:rPr>
            </w:pPr>
            <w:r w:rsidRPr="00E0548A">
              <w:rPr>
                <w:rFonts w:ascii="ＭＳ 明朝" w:hAnsi="ＭＳ 明朝" w:hint="eastAsia"/>
              </w:rPr>
              <w:t>○所管施設との連絡調整</w:t>
            </w:r>
            <w:r w:rsidR="005B4EFE" w:rsidRPr="00E0548A">
              <w:rPr>
                <w:rFonts w:ascii="ＭＳ 明朝" w:hAnsi="ＭＳ 明朝" w:hint="eastAsia"/>
              </w:rPr>
              <w:t>【各所管所属】</w:t>
            </w:r>
          </w:p>
          <w:p w14:paraId="0BFC94CA" w14:textId="50D73A0E" w:rsidR="00FF0509" w:rsidRPr="00E0548A" w:rsidRDefault="00FF0509" w:rsidP="00FF0509">
            <w:pPr>
              <w:rPr>
                <w:rFonts w:ascii="ＭＳ 明朝" w:hAnsi="ＭＳ 明朝"/>
              </w:rPr>
            </w:pPr>
            <w:r w:rsidRPr="00E0548A">
              <w:rPr>
                <w:rFonts w:ascii="ＭＳ 明朝" w:hAnsi="ＭＳ 明朝" w:hint="eastAsia"/>
              </w:rPr>
              <w:t>○所管施設の避難経路等の確認</w:t>
            </w:r>
            <w:r w:rsidR="005B4EFE" w:rsidRPr="00E0548A">
              <w:rPr>
                <w:rFonts w:ascii="ＭＳ 明朝" w:hAnsi="ＭＳ 明朝" w:hint="eastAsia"/>
              </w:rPr>
              <w:t>【各所管所属】</w:t>
            </w:r>
          </w:p>
          <w:p w14:paraId="73E4B30A" w14:textId="619C5C9A" w:rsidR="00FF0509" w:rsidRPr="00E0548A" w:rsidRDefault="00FF0509" w:rsidP="00FF0509">
            <w:pPr>
              <w:rPr>
                <w:rFonts w:ascii="ＭＳ 明朝" w:hAnsi="ＭＳ 明朝"/>
              </w:rPr>
            </w:pPr>
            <w:r w:rsidRPr="00E0548A">
              <w:rPr>
                <w:rFonts w:ascii="ＭＳ 明朝" w:hAnsi="ＭＳ 明朝" w:hint="eastAsia"/>
              </w:rPr>
              <w:t>○防災協定企業や関係機関との備えや準備の再確認</w:t>
            </w:r>
            <w:r w:rsidR="005B4EFE" w:rsidRPr="00E0548A">
              <w:rPr>
                <w:rFonts w:ascii="ＭＳ 明朝" w:hAnsi="ＭＳ 明朝" w:hint="eastAsia"/>
              </w:rPr>
              <w:t>【各所管所属】</w:t>
            </w:r>
          </w:p>
          <w:p w14:paraId="27B5868A" w14:textId="46996792" w:rsidR="00FF0509" w:rsidRPr="00E0548A" w:rsidRDefault="00FF0509" w:rsidP="00FF0509">
            <w:pPr>
              <w:rPr>
                <w:rFonts w:ascii="ＭＳ 明朝" w:hAnsi="ＭＳ 明朝"/>
              </w:rPr>
            </w:pPr>
            <w:r w:rsidRPr="00E0548A">
              <w:rPr>
                <w:rFonts w:ascii="ＭＳ 明朝" w:hAnsi="ＭＳ 明朝" w:hint="eastAsia"/>
              </w:rPr>
              <w:t>○公用車等の点検・給油（充電、充填）</w:t>
            </w:r>
            <w:r w:rsidR="005B4EFE" w:rsidRPr="00E0548A">
              <w:rPr>
                <w:rFonts w:ascii="ＭＳ 明朝" w:hAnsi="ＭＳ 明朝" w:hint="eastAsia"/>
              </w:rPr>
              <w:t>【各所管所属】</w:t>
            </w:r>
          </w:p>
          <w:p w14:paraId="79F71201" w14:textId="50D5A9D6" w:rsidR="00FF0509" w:rsidRPr="00E0548A" w:rsidRDefault="00FF0509" w:rsidP="00FF0509">
            <w:pPr>
              <w:rPr>
                <w:rFonts w:ascii="ＭＳ 明朝" w:hAnsi="ＭＳ 明朝"/>
              </w:rPr>
            </w:pPr>
            <w:r w:rsidRPr="00E0548A">
              <w:rPr>
                <w:rFonts w:ascii="ＭＳ 明朝" w:hAnsi="ＭＳ 明朝" w:hint="eastAsia"/>
              </w:rPr>
              <w:t>○各種システムの運用方法の確認等</w:t>
            </w:r>
            <w:r w:rsidR="005B4EFE" w:rsidRPr="00E0548A">
              <w:rPr>
                <w:rFonts w:ascii="ＭＳ 明朝" w:hAnsi="ＭＳ 明朝" w:hint="eastAsia"/>
              </w:rPr>
              <w:t>【各所管所属】</w:t>
            </w:r>
          </w:p>
          <w:p w14:paraId="167AA135" w14:textId="48E6DE95" w:rsidR="00FF0509" w:rsidRPr="00E0548A" w:rsidRDefault="00FF0509" w:rsidP="00FF0509">
            <w:pPr>
              <w:rPr>
                <w:rFonts w:ascii="ＭＳ 明朝" w:hAnsi="ＭＳ 明朝"/>
              </w:rPr>
            </w:pPr>
            <w:r w:rsidRPr="00E0548A">
              <w:rPr>
                <w:rFonts w:ascii="ＭＳ 明朝" w:hAnsi="ＭＳ 明朝" w:hint="eastAsia"/>
              </w:rPr>
              <w:t>○防災協定企業等との連絡体制の確保</w:t>
            </w:r>
            <w:r w:rsidR="005B4EFE" w:rsidRPr="00E0548A">
              <w:rPr>
                <w:rFonts w:ascii="ＭＳ 明朝" w:hAnsi="ＭＳ 明朝" w:hint="eastAsia"/>
              </w:rPr>
              <w:t>【商業振興・ものづくり支援】</w:t>
            </w:r>
          </w:p>
          <w:p w14:paraId="79873702" w14:textId="77777777" w:rsidR="00FF0509" w:rsidRPr="00E0548A" w:rsidRDefault="00FF0509" w:rsidP="00FF0509">
            <w:pPr>
              <w:rPr>
                <w:rFonts w:ascii="ＭＳ 明朝" w:hAnsi="ＭＳ 明朝"/>
              </w:rPr>
            </w:pPr>
            <w:r w:rsidRPr="00E0548A">
              <w:rPr>
                <w:rFonts w:ascii="ＭＳ 明朝" w:hAnsi="ＭＳ 明朝" w:hint="eastAsia"/>
              </w:rPr>
              <w:t>○発注工事現場の安全確保【各所管所属】</w:t>
            </w:r>
          </w:p>
          <w:p w14:paraId="52B360EE" w14:textId="3AE82C3E" w:rsidR="007650CC" w:rsidRPr="00E0548A" w:rsidRDefault="00FF0509" w:rsidP="00FF0509">
            <w:pPr>
              <w:rPr>
                <w:rFonts w:ascii="ＭＳ 明朝" w:hAnsi="ＭＳ 明朝"/>
                <w:szCs w:val="21"/>
              </w:rPr>
            </w:pPr>
            <w:r w:rsidRPr="00E0548A">
              <w:rPr>
                <w:rFonts w:ascii="ＭＳ 明朝" w:hAnsi="ＭＳ 明朝" w:hint="eastAsia"/>
              </w:rPr>
              <w:t>○海外事務所・海外出張者一行への連絡</w:t>
            </w:r>
            <w:r w:rsidR="005B4EFE" w:rsidRPr="00E0548A">
              <w:rPr>
                <w:rFonts w:ascii="ＭＳ 明朝" w:hAnsi="ＭＳ 明朝" w:hint="eastAsia"/>
              </w:rPr>
              <w:t>【国際ビジネス】</w:t>
            </w:r>
          </w:p>
        </w:tc>
      </w:tr>
    </w:tbl>
    <w:p w14:paraId="2EA191A4" w14:textId="77777777" w:rsidR="007650CC" w:rsidRPr="00E0548A" w:rsidRDefault="007650CC" w:rsidP="007650CC">
      <w:pPr>
        <w:rPr>
          <w:rFonts w:ascii="ＭＳ 明朝" w:hAnsi="ＭＳ 明朝"/>
          <w:szCs w:val="21"/>
        </w:rPr>
      </w:pPr>
    </w:p>
    <w:p w14:paraId="421CBE10" w14:textId="77777777" w:rsidR="00BD6692" w:rsidRPr="00E0548A" w:rsidRDefault="00BD6692" w:rsidP="00BD6692">
      <w:pPr>
        <w:ind w:firstLineChars="100" w:firstLine="211"/>
        <w:rPr>
          <w:rFonts w:ascii="ＭＳ 明朝" w:hAnsi="ＭＳ 明朝"/>
          <w:szCs w:val="21"/>
        </w:rPr>
      </w:pPr>
      <w:r w:rsidRPr="00E0548A">
        <w:rPr>
          <w:rFonts w:ascii="ＭＳ 明朝" w:hAnsi="ＭＳ 明朝" w:hint="eastAsia"/>
          <w:szCs w:val="21"/>
        </w:rPr>
        <w:t>なお、南海トラフ地震臨時情報（巨大地震警戒及び注意）発表時の主な所管施設等については、前述する＜災害発生時＞に記載する内容と同様。</w:t>
      </w:r>
    </w:p>
    <w:p w14:paraId="02171D46" w14:textId="0D28679D" w:rsidR="008B4B2B" w:rsidRPr="00E0548A" w:rsidRDefault="008B4B2B" w:rsidP="008B4B2B">
      <w:pPr>
        <w:rPr>
          <w:rFonts w:ascii="ＭＳ 明朝" w:hAnsi="ＭＳ 明朝"/>
          <w:szCs w:val="21"/>
        </w:rPr>
      </w:pPr>
    </w:p>
    <w:p w14:paraId="0B784AAB" w14:textId="77777777" w:rsidR="00D93C38" w:rsidRPr="00E0548A" w:rsidRDefault="00D93C38">
      <w:pPr>
        <w:widowControl/>
        <w:jc w:val="left"/>
        <w:rPr>
          <w:rFonts w:ascii="ＭＳ ゴシック" w:eastAsia="ＭＳ ゴシック" w:hAnsi="ＭＳ ゴシック"/>
          <w:szCs w:val="21"/>
        </w:rPr>
      </w:pPr>
      <w:r w:rsidRPr="00E0548A">
        <w:rPr>
          <w:rFonts w:ascii="ＭＳ ゴシック" w:eastAsia="ＭＳ ゴシック" w:hAnsi="ＭＳ ゴシック"/>
          <w:szCs w:val="21"/>
        </w:rPr>
        <w:br w:type="page"/>
      </w:r>
    </w:p>
    <w:p w14:paraId="43B0AAF1" w14:textId="5FBA5C6A" w:rsidR="008B4B2B" w:rsidRPr="00E0548A" w:rsidRDefault="008B4B2B" w:rsidP="008B4B2B">
      <w:pPr>
        <w:rPr>
          <w:rFonts w:ascii="ＭＳ ゴシック" w:eastAsia="ＭＳ ゴシック" w:hAnsi="ＭＳ ゴシック"/>
          <w:szCs w:val="21"/>
        </w:rPr>
      </w:pPr>
      <w:r w:rsidRPr="00E0548A">
        <w:rPr>
          <w:rFonts w:ascii="ＭＳ ゴシック" w:eastAsia="ＭＳ ゴシック" w:hAnsi="ＭＳ ゴシック" w:hint="eastAsia"/>
          <w:szCs w:val="21"/>
        </w:rPr>
        <w:lastRenderedPageBreak/>
        <w:t>⑪環境農林水産部</w:t>
      </w:r>
    </w:p>
    <w:p w14:paraId="5D8964B1" w14:textId="77777777" w:rsidR="002C01FF" w:rsidRPr="00E0548A" w:rsidRDefault="002C01FF" w:rsidP="002C01FF">
      <w:pPr>
        <w:pStyle w:val="af4"/>
        <w:ind w:leftChars="0" w:left="0"/>
        <w:rPr>
          <w:rFonts w:ascii="ＭＳ ゴシック" w:eastAsia="ＭＳ ゴシック" w:hAnsi="ＭＳ ゴシック"/>
          <w:szCs w:val="21"/>
        </w:rPr>
      </w:pPr>
      <w:r w:rsidRPr="00E0548A">
        <w:rPr>
          <w:rFonts w:ascii="ＭＳ ゴシック" w:eastAsia="ＭＳ ゴシック" w:hAnsi="ＭＳ ゴシック" w:hint="eastAsia"/>
          <w:szCs w:val="21"/>
        </w:rPr>
        <w:t>＜災害発生時＞</w:t>
      </w:r>
    </w:p>
    <w:tbl>
      <w:tblPr>
        <w:tblpPr w:leftFromText="142" w:rightFromText="142" w:vertAnchor="text" w:tblpXSpec="center" w:tblpY="1"/>
        <w:tblOverlap w:val="never"/>
        <w:tblW w:w="890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49"/>
        <w:gridCol w:w="7353"/>
      </w:tblGrid>
      <w:tr w:rsidR="00E0548A" w:rsidRPr="00E0548A" w14:paraId="13FC9CCA" w14:textId="77777777" w:rsidTr="007650CC">
        <w:trPr>
          <w:jc w:val="center"/>
        </w:trPr>
        <w:tc>
          <w:tcPr>
            <w:tcW w:w="1549" w:type="dxa"/>
            <w:shd w:val="clear" w:color="auto" w:fill="BFBFBF"/>
          </w:tcPr>
          <w:p w14:paraId="6B9AB0FF" w14:textId="77777777" w:rsidR="008B4B2B" w:rsidRPr="00E0548A" w:rsidRDefault="008B4B2B" w:rsidP="008B4B2B">
            <w:pPr>
              <w:jc w:val="center"/>
              <w:rPr>
                <w:rFonts w:ascii="ＭＳ 明朝" w:hAnsi="ＭＳ 明朝"/>
                <w:szCs w:val="21"/>
              </w:rPr>
            </w:pPr>
            <w:r w:rsidRPr="00E0548A">
              <w:rPr>
                <w:rFonts w:ascii="ＭＳ 明朝" w:hAnsi="ＭＳ 明朝" w:hint="eastAsia"/>
                <w:szCs w:val="21"/>
              </w:rPr>
              <w:t>フェーズ</w:t>
            </w:r>
          </w:p>
        </w:tc>
        <w:tc>
          <w:tcPr>
            <w:tcW w:w="7353" w:type="dxa"/>
            <w:shd w:val="clear" w:color="auto" w:fill="BFBFBF"/>
          </w:tcPr>
          <w:p w14:paraId="2885117C" w14:textId="77777777" w:rsidR="008B4B2B" w:rsidRPr="00E0548A" w:rsidRDefault="008B4B2B" w:rsidP="008B4B2B">
            <w:pPr>
              <w:jc w:val="center"/>
              <w:rPr>
                <w:rFonts w:ascii="ＭＳ 明朝" w:hAnsi="ＭＳ 明朝"/>
                <w:szCs w:val="21"/>
              </w:rPr>
            </w:pPr>
            <w:r w:rsidRPr="00E0548A">
              <w:rPr>
                <w:rFonts w:ascii="ＭＳ 明朝" w:hAnsi="ＭＳ 明朝" w:hint="eastAsia"/>
                <w:szCs w:val="21"/>
              </w:rPr>
              <w:t>主な応急対策業務</w:t>
            </w:r>
          </w:p>
        </w:tc>
      </w:tr>
      <w:tr w:rsidR="00E0548A" w:rsidRPr="00E0548A" w14:paraId="4353D039" w14:textId="77777777" w:rsidTr="007650CC">
        <w:trPr>
          <w:jc w:val="center"/>
        </w:trPr>
        <w:tc>
          <w:tcPr>
            <w:tcW w:w="1549" w:type="dxa"/>
          </w:tcPr>
          <w:p w14:paraId="5D17A395" w14:textId="77777777" w:rsidR="008B4B2B" w:rsidRPr="00E0548A" w:rsidRDefault="008B4B2B" w:rsidP="008B4B2B">
            <w:pPr>
              <w:rPr>
                <w:rFonts w:ascii="ＭＳ 明朝" w:hAnsi="ＭＳ 明朝"/>
                <w:szCs w:val="21"/>
              </w:rPr>
            </w:pPr>
            <w:r w:rsidRPr="00E0548A">
              <w:rPr>
                <w:rFonts w:ascii="ＭＳ 明朝" w:hAnsi="ＭＳ 明朝" w:hint="eastAsia"/>
                <w:szCs w:val="21"/>
              </w:rPr>
              <w:t>第1フェーズ</w:t>
            </w:r>
          </w:p>
          <w:p w14:paraId="6EEB7FCA" w14:textId="77777777" w:rsidR="008B4B2B" w:rsidRPr="00E0548A" w:rsidRDefault="008B4B2B" w:rsidP="008B4B2B">
            <w:pPr>
              <w:rPr>
                <w:rFonts w:ascii="ＭＳ 明朝" w:hAnsi="ＭＳ 明朝"/>
                <w:szCs w:val="21"/>
              </w:rPr>
            </w:pPr>
            <w:r w:rsidRPr="00E0548A">
              <w:rPr>
                <w:rFonts w:ascii="ＭＳ 明朝" w:hAnsi="ＭＳ 明朝" w:hint="eastAsia"/>
                <w:szCs w:val="21"/>
              </w:rPr>
              <w:t>(3時間まで)</w:t>
            </w:r>
          </w:p>
          <w:p w14:paraId="5B926177" w14:textId="77777777" w:rsidR="008B4B2B" w:rsidRPr="00E0548A" w:rsidRDefault="008B4B2B" w:rsidP="008B4B2B">
            <w:pPr>
              <w:rPr>
                <w:rFonts w:ascii="ＭＳ 明朝" w:hAnsi="ＭＳ 明朝"/>
                <w:szCs w:val="21"/>
              </w:rPr>
            </w:pPr>
          </w:p>
        </w:tc>
        <w:tc>
          <w:tcPr>
            <w:tcW w:w="7353" w:type="dxa"/>
          </w:tcPr>
          <w:p w14:paraId="19B20074" w14:textId="77777777" w:rsidR="008B4B2B" w:rsidRPr="00E0548A" w:rsidRDefault="008B4B2B" w:rsidP="008B4B2B">
            <w:pPr>
              <w:rPr>
                <w:rFonts w:ascii="ＭＳ 明朝" w:hAnsi="ＭＳ 明朝"/>
                <w:szCs w:val="21"/>
              </w:rPr>
            </w:pPr>
            <w:r w:rsidRPr="00E0548A">
              <w:rPr>
                <w:rFonts w:ascii="ＭＳ 明朝" w:hAnsi="ＭＳ 明朝" w:hint="eastAsia"/>
                <w:szCs w:val="21"/>
              </w:rPr>
              <w:t>○初動対応、体制の確立</w:t>
            </w:r>
          </w:p>
          <w:p w14:paraId="78BC0303" w14:textId="77777777" w:rsidR="00FD30FC" w:rsidRPr="00E0548A" w:rsidRDefault="008B4B2B" w:rsidP="007650CC">
            <w:pPr>
              <w:ind w:left="211" w:hangingChars="100" w:hanging="211"/>
              <w:rPr>
                <w:rFonts w:ascii="ＭＳ 明朝" w:hAnsi="ＭＳ 明朝"/>
                <w:szCs w:val="21"/>
              </w:rPr>
            </w:pPr>
            <w:r w:rsidRPr="00E0548A">
              <w:rPr>
                <w:rFonts w:ascii="ＭＳ 明朝" w:hAnsi="ＭＳ 明朝" w:hint="eastAsia"/>
                <w:szCs w:val="21"/>
              </w:rPr>
              <w:t>○所管施設（中央卸売市場、自然公園など）の利用者の安全確認</w:t>
            </w:r>
          </w:p>
          <w:p w14:paraId="5CC81D08" w14:textId="2DF7065E" w:rsidR="008B4B2B" w:rsidRPr="00E0548A" w:rsidRDefault="008B4B2B" w:rsidP="00FD30FC">
            <w:pPr>
              <w:ind w:leftChars="100" w:left="211"/>
              <w:rPr>
                <w:rFonts w:ascii="ＭＳ 明朝" w:hAnsi="ＭＳ 明朝"/>
                <w:szCs w:val="21"/>
              </w:rPr>
            </w:pPr>
            <w:r w:rsidRPr="00E0548A">
              <w:rPr>
                <w:rFonts w:ascii="ＭＳ 明朝" w:hAnsi="ＭＳ 明朝" w:hint="eastAsia"/>
                <w:szCs w:val="21"/>
              </w:rPr>
              <w:t>【各所管所属】</w:t>
            </w:r>
          </w:p>
          <w:p w14:paraId="040EB345" w14:textId="77777777" w:rsidR="008B4B2B" w:rsidRPr="00E0548A" w:rsidRDefault="008B4B2B" w:rsidP="008B4B2B">
            <w:pPr>
              <w:rPr>
                <w:rFonts w:ascii="ＭＳ 明朝" w:hAnsi="ＭＳ 明朝"/>
                <w:szCs w:val="21"/>
              </w:rPr>
            </w:pPr>
            <w:r w:rsidRPr="00E0548A">
              <w:rPr>
                <w:rFonts w:ascii="ＭＳ 明朝" w:hAnsi="ＭＳ 明朝" w:hint="eastAsia"/>
                <w:szCs w:val="21"/>
              </w:rPr>
              <w:t>○部内職員の安否確認と参集状況の把握、報告【環農総務】</w:t>
            </w:r>
          </w:p>
          <w:p w14:paraId="43001F1B" w14:textId="7AF6A667" w:rsidR="008B4B2B" w:rsidRPr="00E0548A" w:rsidRDefault="008B4B2B" w:rsidP="008B4B2B">
            <w:pPr>
              <w:rPr>
                <w:rFonts w:ascii="ＭＳ 明朝" w:hAnsi="ＭＳ 明朝"/>
                <w:szCs w:val="21"/>
              </w:rPr>
            </w:pPr>
            <w:r w:rsidRPr="00E0548A">
              <w:rPr>
                <w:rFonts w:ascii="ＭＳ 明朝" w:hAnsi="ＭＳ 明朝" w:hint="eastAsia"/>
                <w:szCs w:val="21"/>
              </w:rPr>
              <w:t>○部内及び関係機関からの情報収集及び連絡調整【</w:t>
            </w:r>
            <w:r w:rsidR="00AC146C" w:rsidRPr="00E0548A">
              <w:rPr>
                <w:rFonts w:ascii="ＭＳ 明朝" w:hAnsi="ＭＳ 明朝" w:hint="eastAsia"/>
                <w:szCs w:val="21"/>
              </w:rPr>
              <w:t>各所管所属</w:t>
            </w:r>
            <w:r w:rsidRPr="00E0548A">
              <w:rPr>
                <w:rFonts w:ascii="ＭＳ 明朝" w:hAnsi="ＭＳ 明朝" w:hint="eastAsia"/>
                <w:szCs w:val="21"/>
              </w:rPr>
              <w:t>】</w:t>
            </w:r>
          </w:p>
          <w:p w14:paraId="1EE88278" w14:textId="77777777" w:rsidR="008B4B2B" w:rsidRPr="00E0548A" w:rsidRDefault="008B4B2B" w:rsidP="008B4B2B">
            <w:pPr>
              <w:rPr>
                <w:rFonts w:ascii="ＭＳ 明朝" w:hAnsi="ＭＳ 明朝"/>
                <w:szCs w:val="21"/>
              </w:rPr>
            </w:pPr>
            <w:r w:rsidRPr="00E0548A">
              <w:rPr>
                <w:rFonts w:ascii="ＭＳ 明朝" w:hAnsi="ＭＳ 明朝" w:hint="eastAsia"/>
                <w:szCs w:val="21"/>
              </w:rPr>
              <w:t>○職員・来庁者の救助・搬送【各所属】</w:t>
            </w:r>
          </w:p>
          <w:p w14:paraId="76B61BC2" w14:textId="2F259B74" w:rsidR="009C2D53" w:rsidRPr="00E0548A" w:rsidRDefault="009C2D53" w:rsidP="008B4B2B">
            <w:pPr>
              <w:rPr>
                <w:rFonts w:ascii="ＭＳ 明朝" w:hAnsi="ＭＳ 明朝"/>
                <w:szCs w:val="21"/>
              </w:rPr>
            </w:pPr>
            <w:r w:rsidRPr="00E0548A">
              <w:rPr>
                <w:rFonts w:ascii="ＭＳ 明朝" w:hAnsi="ＭＳ 明朝" w:hint="eastAsia"/>
                <w:szCs w:val="21"/>
              </w:rPr>
              <w:t>〇災害時等動物救護本部の設置、運営開始【動物愛護】</w:t>
            </w:r>
          </w:p>
        </w:tc>
      </w:tr>
      <w:tr w:rsidR="00E0548A" w:rsidRPr="00E0548A" w14:paraId="02BA39EC" w14:textId="77777777" w:rsidTr="007650CC">
        <w:trPr>
          <w:jc w:val="center"/>
        </w:trPr>
        <w:tc>
          <w:tcPr>
            <w:tcW w:w="1549" w:type="dxa"/>
          </w:tcPr>
          <w:p w14:paraId="0167E02B" w14:textId="77777777" w:rsidR="008B4B2B" w:rsidRPr="00E0548A" w:rsidRDefault="008B4B2B" w:rsidP="008B4B2B">
            <w:pPr>
              <w:rPr>
                <w:rFonts w:ascii="ＭＳ 明朝" w:hAnsi="ＭＳ 明朝"/>
                <w:szCs w:val="21"/>
              </w:rPr>
            </w:pPr>
            <w:r w:rsidRPr="00E0548A">
              <w:rPr>
                <w:rFonts w:ascii="ＭＳ 明朝" w:hAnsi="ＭＳ 明朝" w:hint="eastAsia"/>
                <w:szCs w:val="21"/>
              </w:rPr>
              <w:t>第2フェーズ</w:t>
            </w:r>
          </w:p>
          <w:p w14:paraId="090F93B6" w14:textId="77777777" w:rsidR="008B4B2B" w:rsidRPr="00E0548A" w:rsidRDefault="008B4B2B" w:rsidP="008B4B2B">
            <w:pPr>
              <w:rPr>
                <w:rFonts w:ascii="ＭＳ 明朝" w:hAnsi="ＭＳ 明朝"/>
                <w:szCs w:val="21"/>
              </w:rPr>
            </w:pPr>
            <w:r w:rsidRPr="00E0548A">
              <w:rPr>
                <w:rFonts w:ascii="ＭＳ 明朝" w:hAnsi="ＭＳ 明朝" w:hint="eastAsia"/>
                <w:szCs w:val="21"/>
              </w:rPr>
              <w:t>(24時間まで)</w:t>
            </w:r>
          </w:p>
          <w:p w14:paraId="35A2688A" w14:textId="77777777" w:rsidR="008B4B2B" w:rsidRPr="00E0548A" w:rsidRDefault="008B4B2B" w:rsidP="008B4B2B">
            <w:pPr>
              <w:rPr>
                <w:rFonts w:ascii="ＭＳ 明朝" w:hAnsi="ＭＳ 明朝"/>
                <w:szCs w:val="21"/>
              </w:rPr>
            </w:pPr>
          </w:p>
        </w:tc>
        <w:tc>
          <w:tcPr>
            <w:tcW w:w="7353" w:type="dxa"/>
          </w:tcPr>
          <w:p w14:paraId="329136AF" w14:textId="635AC2A3" w:rsidR="008B4B2B" w:rsidRPr="00E0548A" w:rsidRDefault="008B4B2B" w:rsidP="008B4B2B">
            <w:pPr>
              <w:ind w:left="211" w:hangingChars="100" w:hanging="211"/>
              <w:rPr>
                <w:rFonts w:ascii="ＭＳ 明朝" w:hAnsi="ＭＳ 明朝"/>
                <w:szCs w:val="21"/>
              </w:rPr>
            </w:pPr>
            <w:r w:rsidRPr="00E0548A">
              <w:rPr>
                <w:rFonts w:ascii="ＭＳ 明朝" w:hAnsi="ＭＳ 明朝" w:hint="eastAsia"/>
                <w:szCs w:val="21"/>
              </w:rPr>
              <w:t>○所管施設（廃棄物処分場・ため池等農業用施設・漁港施設など）の被害状況の把握【環農総務】</w:t>
            </w:r>
          </w:p>
          <w:p w14:paraId="4708AB18" w14:textId="5ACBCD8F" w:rsidR="00AC146C" w:rsidRPr="00E0548A" w:rsidRDefault="00AC146C" w:rsidP="008B4B2B">
            <w:pPr>
              <w:ind w:left="211" w:hangingChars="100" w:hanging="211"/>
              <w:rPr>
                <w:rFonts w:ascii="ＭＳ 明朝" w:hAnsi="ＭＳ 明朝"/>
                <w:szCs w:val="21"/>
              </w:rPr>
            </w:pPr>
            <w:r w:rsidRPr="00E0548A">
              <w:rPr>
                <w:rFonts w:ascii="ＭＳ 明朝" w:hAnsi="ＭＳ 明朝" w:hint="eastAsia"/>
                <w:szCs w:val="21"/>
              </w:rPr>
              <w:t>○所管施設の報告及び二次災害防止対策の実施【各所管所属】</w:t>
            </w:r>
          </w:p>
          <w:p w14:paraId="07EBB0BE" w14:textId="77777777" w:rsidR="008B4B2B" w:rsidRPr="00E0548A" w:rsidRDefault="008B4B2B" w:rsidP="008B4B2B">
            <w:pPr>
              <w:rPr>
                <w:rFonts w:ascii="ＭＳ 明朝" w:hAnsi="ＭＳ 明朝"/>
                <w:szCs w:val="21"/>
              </w:rPr>
            </w:pPr>
            <w:r w:rsidRPr="00E0548A">
              <w:rPr>
                <w:rFonts w:ascii="ＭＳ 明朝" w:hAnsi="ＭＳ 明朝" w:hint="eastAsia"/>
                <w:szCs w:val="21"/>
              </w:rPr>
              <w:t>○林野火災、山地災害、地すべり、山崩れ等に関する情報収集【各所管所属】</w:t>
            </w:r>
          </w:p>
          <w:p w14:paraId="5FCC7323" w14:textId="2BE9E5EC" w:rsidR="00FD30FC" w:rsidRPr="00E0548A" w:rsidRDefault="00FD30FC" w:rsidP="00FD30FC">
            <w:pPr>
              <w:rPr>
                <w:rFonts w:ascii="ＭＳ 明朝" w:hAnsi="ＭＳ 明朝"/>
                <w:szCs w:val="21"/>
              </w:rPr>
            </w:pPr>
            <w:r w:rsidRPr="00E0548A">
              <w:rPr>
                <w:rFonts w:ascii="ＭＳ 明朝" w:hAnsi="ＭＳ 明朝" w:hint="eastAsia"/>
                <w:szCs w:val="21"/>
              </w:rPr>
              <w:t>○施工中の石綿除去作業に関する情報収集【</w:t>
            </w:r>
            <w:r w:rsidR="00A335EF" w:rsidRPr="00E0548A">
              <w:rPr>
                <w:rFonts w:ascii="ＭＳ 明朝" w:hAnsi="ＭＳ 明朝" w:hint="eastAsia"/>
                <w:szCs w:val="21"/>
              </w:rPr>
              <w:t>環境管理室</w:t>
            </w:r>
            <w:r w:rsidRPr="00E0548A">
              <w:rPr>
                <w:rFonts w:ascii="ＭＳ 明朝" w:hAnsi="ＭＳ 明朝" w:hint="eastAsia"/>
                <w:szCs w:val="21"/>
              </w:rPr>
              <w:t>】</w:t>
            </w:r>
          </w:p>
          <w:p w14:paraId="1F7A6216" w14:textId="77777777" w:rsidR="008B4B2B" w:rsidRPr="00E0548A" w:rsidRDefault="008B4B2B" w:rsidP="008B4B2B">
            <w:pPr>
              <w:rPr>
                <w:rFonts w:ascii="ＭＳ 明朝" w:hAnsi="ＭＳ 明朝"/>
                <w:szCs w:val="21"/>
              </w:rPr>
            </w:pPr>
            <w:r w:rsidRPr="00E0548A">
              <w:rPr>
                <w:rFonts w:ascii="ＭＳ 明朝" w:hAnsi="ＭＳ 明朝" w:hint="eastAsia"/>
                <w:szCs w:val="21"/>
              </w:rPr>
              <w:t>○市町村の廃棄物処理施設の被害状況の把握【資源循環】</w:t>
            </w:r>
          </w:p>
          <w:p w14:paraId="3511B0D9" w14:textId="287783AE" w:rsidR="008B4B2B" w:rsidRPr="00E0548A" w:rsidRDefault="007A01F4" w:rsidP="008B4B2B">
            <w:pPr>
              <w:rPr>
                <w:rFonts w:ascii="ＭＳ 明朝" w:hAnsi="ＭＳ 明朝"/>
                <w:szCs w:val="21"/>
              </w:rPr>
            </w:pPr>
            <w:r w:rsidRPr="00E0548A">
              <w:rPr>
                <w:rFonts w:ascii="ＭＳ 明朝" w:hAnsi="ＭＳ 明朝" w:hint="eastAsia"/>
                <w:szCs w:val="21"/>
              </w:rPr>
              <w:t>○食料（米穀・副食品）の調達斡旋開始</w:t>
            </w:r>
            <w:r w:rsidRPr="00E0548A">
              <w:rPr>
                <w:rFonts w:hint="eastAsia"/>
              </w:rPr>
              <w:t>【市場・検査指導】</w:t>
            </w:r>
          </w:p>
        </w:tc>
      </w:tr>
      <w:tr w:rsidR="00E0548A" w:rsidRPr="00E0548A" w14:paraId="1717E414" w14:textId="77777777" w:rsidTr="007650CC">
        <w:trPr>
          <w:jc w:val="center"/>
        </w:trPr>
        <w:tc>
          <w:tcPr>
            <w:tcW w:w="1549" w:type="dxa"/>
          </w:tcPr>
          <w:p w14:paraId="3D4CB1FB" w14:textId="77777777" w:rsidR="008B4B2B" w:rsidRPr="00E0548A" w:rsidRDefault="008B4B2B" w:rsidP="008B4B2B">
            <w:pPr>
              <w:rPr>
                <w:rFonts w:ascii="ＭＳ 明朝" w:hAnsi="ＭＳ 明朝"/>
                <w:szCs w:val="21"/>
              </w:rPr>
            </w:pPr>
            <w:r w:rsidRPr="00E0548A">
              <w:rPr>
                <w:rFonts w:ascii="ＭＳ 明朝" w:hAnsi="ＭＳ 明朝" w:hint="eastAsia"/>
                <w:szCs w:val="21"/>
              </w:rPr>
              <w:t>第3フェーズ</w:t>
            </w:r>
          </w:p>
          <w:p w14:paraId="4254BA36" w14:textId="77777777" w:rsidR="008B4B2B" w:rsidRPr="00E0548A" w:rsidRDefault="008B4B2B" w:rsidP="008B4B2B">
            <w:pPr>
              <w:rPr>
                <w:rFonts w:ascii="ＭＳ 明朝" w:hAnsi="ＭＳ 明朝"/>
                <w:szCs w:val="21"/>
              </w:rPr>
            </w:pPr>
            <w:r w:rsidRPr="00E0548A">
              <w:rPr>
                <w:rFonts w:ascii="ＭＳ 明朝" w:hAnsi="ＭＳ 明朝" w:hint="eastAsia"/>
                <w:szCs w:val="21"/>
              </w:rPr>
              <w:t>(72時間まで)</w:t>
            </w:r>
          </w:p>
        </w:tc>
        <w:tc>
          <w:tcPr>
            <w:tcW w:w="7353" w:type="dxa"/>
          </w:tcPr>
          <w:p w14:paraId="1F4A0E51" w14:textId="47264821" w:rsidR="00FD30FC" w:rsidRPr="00E0548A" w:rsidRDefault="008B4B2B" w:rsidP="007650CC">
            <w:pPr>
              <w:ind w:left="211" w:hangingChars="100" w:hanging="211"/>
              <w:rPr>
                <w:rFonts w:ascii="ＭＳ 明朝" w:hAnsi="ＭＳ 明朝"/>
                <w:szCs w:val="21"/>
              </w:rPr>
            </w:pPr>
            <w:r w:rsidRPr="00E0548A">
              <w:rPr>
                <w:rFonts w:ascii="ＭＳ 明朝" w:hAnsi="ＭＳ 明朝" w:hint="eastAsia"/>
                <w:szCs w:val="21"/>
              </w:rPr>
              <w:t>○被災市町村のごみ</w:t>
            </w:r>
            <w:r w:rsidR="00AC146C" w:rsidRPr="00E0548A">
              <w:rPr>
                <w:rFonts w:ascii="ＭＳ 明朝" w:hAnsi="ＭＳ 明朝" w:hint="eastAsia"/>
                <w:szCs w:val="21"/>
              </w:rPr>
              <w:t>の適正処理にかかる</w:t>
            </w:r>
            <w:r w:rsidRPr="00E0548A">
              <w:rPr>
                <w:rFonts w:ascii="ＭＳ 明朝" w:hAnsi="ＭＳ 明朝" w:hint="eastAsia"/>
                <w:szCs w:val="21"/>
              </w:rPr>
              <w:t>他市町村と</w:t>
            </w:r>
            <w:r w:rsidR="00AC146C" w:rsidRPr="00E0548A">
              <w:rPr>
                <w:rFonts w:ascii="ＭＳ 明朝" w:hAnsi="ＭＳ 明朝" w:hint="eastAsia"/>
                <w:szCs w:val="21"/>
              </w:rPr>
              <w:t>の</w:t>
            </w:r>
            <w:r w:rsidRPr="00E0548A">
              <w:rPr>
                <w:rFonts w:ascii="ＭＳ 明朝" w:hAnsi="ＭＳ 明朝" w:hint="eastAsia"/>
                <w:szCs w:val="21"/>
              </w:rPr>
              <w:t>調整</w:t>
            </w:r>
          </w:p>
          <w:p w14:paraId="477873CC" w14:textId="62778C31" w:rsidR="008B4B2B" w:rsidRPr="00E0548A" w:rsidRDefault="008B4B2B" w:rsidP="00FD30FC">
            <w:pPr>
              <w:ind w:leftChars="100" w:left="211"/>
              <w:rPr>
                <w:rFonts w:ascii="ＭＳ 明朝" w:hAnsi="ＭＳ 明朝"/>
                <w:szCs w:val="21"/>
              </w:rPr>
            </w:pPr>
            <w:r w:rsidRPr="00E0548A">
              <w:rPr>
                <w:rFonts w:ascii="ＭＳ 明朝" w:hAnsi="ＭＳ 明朝" w:hint="eastAsia"/>
                <w:szCs w:val="21"/>
              </w:rPr>
              <w:t>【資源循環】</w:t>
            </w:r>
          </w:p>
          <w:p w14:paraId="72FF2C34" w14:textId="77777777" w:rsidR="008B4B2B" w:rsidRPr="00E0548A" w:rsidRDefault="008B4B2B" w:rsidP="008B4B2B">
            <w:pPr>
              <w:ind w:left="211" w:hangingChars="100" w:hanging="211"/>
              <w:rPr>
                <w:rFonts w:ascii="ＭＳ 明朝" w:hAnsi="ＭＳ 明朝"/>
                <w:szCs w:val="21"/>
              </w:rPr>
            </w:pPr>
            <w:r w:rsidRPr="00E0548A">
              <w:rPr>
                <w:rFonts w:ascii="ＭＳ 明朝" w:hAnsi="ＭＳ 明朝" w:hint="eastAsia"/>
                <w:szCs w:val="21"/>
              </w:rPr>
              <w:t>○家畜飼料等の調達斡旋、家畜伝染病の予防とまん延防止、死亡畜の適正処理の実施、被災動物の保護・収容等【動物愛護】</w:t>
            </w:r>
          </w:p>
          <w:p w14:paraId="424FB197" w14:textId="22A9F913" w:rsidR="008B4B2B" w:rsidRPr="00E0548A" w:rsidRDefault="008B4B2B" w:rsidP="008B4B2B">
            <w:pPr>
              <w:rPr>
                <w:rFonts w:ascii="ＭＳ 明朝" w:hAnsi="ＭＳ 明朝"/>
                <w:szCs w:val="21"/>
              </w:rPr>
            </w:pPr>
            <w:r w:rsidRPr="00E0548A">
              <w:rPr>
                <w:rFonts w:ascii="ＭＳ 明朝" w:hAnsi="ＭＳ 明朝" w:hint="eastAsia"/>
                <w:szCs w:val="21"/>
              </w:rPr>
              <w:t>○化学物質取扱事業者における緊急事態の発生時の措置【</w:t>
            </w:r>
            <w:r w:rsidR="003B45F1" w:rsidRPr="00E0548A">
              <w:rPr>
                <w:rFonts w:ascii="ＭＳ 明朝" w:hAnsi="ＭＳ 明朝" w:hint="eastAsia"/>
                <w:szCs w:val="21"/>
              </w:rPr>
              <w:t>環境管理室</w:t>
            </w:r>
            <w:r w:rsidRPr="00E0548A">
              <w:rPr>
                <w:rFonts w:ascii="ＭＳ 明朝" w:hAnsi="ＭＳ 明朝" w:hint="eastAsia"/>
                <w:szCs w:val="21"/>
              </w:rPr>
              <w:t>】</w:t>
            </w:r>
          </w:p>
          <w:p w14:paraId="54E10FA8" w14:textId="77777777" w:rsidR="00FD30FC" w:rsidRPr="00E0548A" w:rsidRDefault="008B4B2B" w:rsidP="007650CC">
            <w:pPr>
              <w:ind w:left="211" w:hangingChars="100" w:hanging="211"/>
              <w:rPr>
                <w:rFonts w:ascii="ＭＳ 明朝" w:hAnsi="ＭＳ 明朝"/>
                <w:szCs w:val="21"/>
              </w:rPr>
            </w:pPr>
            <w:r w:rsidRPr="00E0548A">
              <w:rPr>
                <w:rFonts w:ascii="ＭＳ 明朝" w:hAnsi="ＭＳ 明朝" w:hint="eastAsia"/>
                <w:szCs w:val="21"/>
              </w:rPr>
              <w:t>○各事業者が保管するＰＣＢ廃棄物漏洩事故発生時の措置</w:t>
            </w:r>
          </w:p>
          <w:p w14:paraId="065CBA83" w14:textId="7713FD15" w:rsidR="008B4B2B" w:rsidRPr="00E0548A" w:rsidRDefault="008B4B2B" w:rsidP="00FD30FC">
            <w:pPr>
              <w:ind w:leftChars="100" w:left="211"/>
              <w:rPr>
                <w:rFonts w:ascii="ＭＳ 明朝" w:hAnsi="ＭＳ 明朝"/>
                <w:szCs w:val="21"/>
              </w:rPr>
            </w:pPr>
            <w:r w:rsidRPr="00E0548A">
              <w:rPr>
                <w:rFonts w:ascii="ＭＳ 明朝" w:hAnsi="ＭＳ 明朝" w:hint="eastAsia"/>
                <w:szCs w:val="21"/>
              </w:rPr>
              <w:t>【産業廃棄物指導】</w:t>
            </w:r>
          </w:p>
          <w:p w14:paraId="2E6BE019" w14:textId="3249BA7A" w:rsidR="008B4B2B" w:rsidRPr="00E0548A" w:rsidRDefault="007A01F4" w:rsidP="008B4B2B">
            <w:pPr>
              <w:rPr>
                <w:rFonts w:ascii="ＭＳ 明朝" w:hAnsi="ＭＳ 明朝"/>
                <w:szCs w:val="21"/>
              </w:rPr>
            </w:pPr>
            <w:r w:rsidRPr="00E0548A">
              <w:rPr>
                <w:rFonts w:ascii="ＭＳ 明朝" w:hAnsi="ＭＳ 明朝" w:hint="eastAsia"/>
                <w:szCs w:val="21"/>
              </w:rPr>
              <w:t>○災害救助用食料備蓄関係団体等への供給要請</w:t>
            </w:r>
            <w:r w:rsidRPr="00E0548A">
              <w:rPr>
                <w:rFonts w:hint="eastAsia"/>
              </w:rPr>
              <w:t>【市場・検査指導】</w:t>
            </w:r>
          </w:p>
          <w:p w14:paraId="7B80F4DF" w14:textId="6DC514A2" w:rsidR="008B4B2B" w:rsidRPr="00E0548A" w:rsidRDefault="007A01F4" w:rsidP="008B4B2B">
            <w:pPr>
              <w:rPr>
                <w:rFonts w:ascii="ＭＳ 明朝" w:hAnsi="ＭＳ 明朝"/>
                <w:szCs w:val="21"/>
              </w:rPr>
            </w:pPr>
            <w:r w:rsidRPr="00E0548A">
              <w:rPr>
                <w:rFonts w:ascii="ＭＳ 明朝" w:hAnsi="ＭＳ 明朝" w:hint="eastAsia"/>
                <w:szCs w:val="21"/>
              </w:rPr>
              <w:t>○市町村からの食</w:t>
            </w:r>
            <w:r w:rsidR="00AC146C" w:rsidRPr="00E0548A">
              <w:rPr>
                <w:rFonts w:ascii="ＭＳ 明朝" w:hAnsi="ＭＳ 明朝" w:hint="eastAsia"/>
                <w:szCs w:val="21"/>
              </w:rPr>
              <w:t>料</w:t>
            </w:r>
            <w:r w:rsidRPr="00E0548A">
              <w:rPr>
                <w:rFonts w:ascii="ＭＳ 明朝" w:hAnsi="ＭＳ 明朝" w:hint="eastAsia"/>
                <w:szCs w:val="21"/>
              </w:rPr>
              <w:t>（精米等）要請に対する緊急引渡</w:t>
            </w:r>
            <w:r w:rsidRPr="00E0548A">
              <w:rPr>
                <w:rFonts w:hint="eastAsia"/>
              </w:rPr>
              <w:t>【市場・検査指導】</w:t>
            </w:r>
          </w:p>
          <w:p w14:paraId="1D3F0E64" w14:textId="3CB576AD" w:rsidR="008B4B2B" w:rsidRPr="00E0548A" w:rsidRDefault="007A01F4" w:rsidP="00E0548A">
            <w:pPr>
              <w:ind w:left="211" w:hangingChars="100" w:hanging="211"/>
              <w:rPr>
                <w:rFonts w:ascii="ＭＳ 明朝" w:hAnsi="ＭＳ 明朝"/>
                <w:szCs w:val="21"/>
              </w:rPr>
            </w:pPr>
            <w:r w:rsidRPr="00E0548A">
              <w:rPr>
                <w:rFonts w:ascii="ＭＳ 明朝" w:hAnsi="ＭＳ 明朝" w:hint="eastAsia"/>
                <w:szCs w:val="21"/>
              </w:rPr>
              <w:t>○生鮮食料品の</w:t>
            </w:r>
            <w:r w:rsidR="00AC146C" w:rsidRPr="00E0548A">
              <w:rPr>
                <w:rFonts w:ascii="ＭＳ 明朝" w:hAnsi="ＭＳ 明朝" w:hint="eastAsia"/>
                <w:szCs w:val="21"/>
              </w:rPr>
              <w:t>供給を確保するため生鮮食料品関係業者に協力を要請</w:t>
            </w:r>
            <w:r w:rsidRPr="00E0548A">
              <w:rPr>
                <w:rFonts w:hint="eastAsia"/>
              </w:rPr>
              <w:t>【市場・検査指導】</w:t>
            </w:r>
          </w:p>
        </w:tc>
      </w:tr>
      <w:tr w:rsidR="00E0548A" w:rsidRPr="00E0548A" w14:paraId="6EB09DFA" w14:textId="77777777" w:rsidTr="007650CC">
        <w:trPr>
          <w:jc w:val="center"/>
        </w:trPr>
        <w:tc>
          <w:tcPr>
            <w:tcW w:w="1549" w:type="dxa"/>
          </w:tcPr>
          <w:p w14:paraId="0A958D44" w14:textId="77777777" w:rsidR="008B4B2B" w:rsidRPr="00E0548A" w:rsidRDefault="008B4B2B" w:rsidP="008B4B2B">
            <w:pPr>
              <w:rPr>
                <w:rFonts w:ascii="ＭＳ 明朝" w:hAnsi="ＭＳ 明朝"/>
                <w:szCs w:val="21"/>
              </w:rPr>
            </w:pPr>
            <w:r w:rsidRPr="00E0548A">
              <w:rPr>
                <w:rFonts w:ascii="ＭＳ 明朝" w:hAnsi="ＭＳ 明朝" w:hint="eastAsia"/>
                <w:szCs w:val="21"/>
              </w:rPr>
              <w:t>第4フェーズ</w:t>
            </w:r>
          </w:p>
          <w:p w14:paraId="26590D72" w14:textId="77777777" w:rsidR="008B4B2B" w:rsidRPr="00E0548A" w:rsidRDefault="008B4B2B" w:rsidP="008B4B2B">
            <w:pPr>
              <w:rPr>
                <w:rFonts w:ascii="ＭＳ 明朝" w:hAnsi="ＭＳ 明朝"/>
                <w:szCs w:val="21"/>
              </w:rPr>
            </w:pPr>
            <w:r w:rsidRPr="00E0548A">
              <w:rPr>
                <w:rFonts w:ascii="ＭＳ 明朝" w:hAnsi="ＭＳ 明朝" w:hint="eastAsia"/>
                <w:szCs w:val="21"/>
              </w:rPr>
              <w:t>(1週間まで)</w:t>
            </w:r>
          </w:p>
        </w:tc>
        <w:tc>
          <w:tcPr>
            <w:tcW w:w="7353" w:type="dxa"/>
          </w:tcPr>
          <w:p w14:paraId="1973BFA7" w14:textId="62AC6E79" w:rsidR="00FD30FC" w:rsidRPr="00E0548A" w:rsidRDefault="008B4B2B" w:rsidP="007650CC">
            <w:pPr>
              <w:ind w:left="211" w:hangingChars="100" w:hanging="211"/>
              <w:rPr>
                <w:rFonts w:ascii="ＭＳ 明朝" w:hAnsi="ＭＳ 明朝"/>
                <w:szCs w:val="21"/>
              </w:rPr>
            </w:pPr>
            <w:r w:rsidRPr="00E0548A">
              <w:rPr>
                <w:rFonts w:ascii="ＭＳ 明朝" w:hAnsi="ＭＳ 明朝" w:hint="eastAsia"/>
                <w:szCs w:val="21"/>
              </w:rPr>
              <w:t>○災害廃棄物等の発生状況と処理施設の余力等に</w:t>
            </w:r>
            <w:r w:rsidR="00B55AF6" w:rsidRPr="00E0548A">
              <w:rPr>
                <w:rFonts w:ascii="ＭＳ 明朝" w:hAnsi="ＭＳ 明朝" w:hint="eastAsia"/>
                <w:szCs w:val="21"/>
              </w:rPr>
              <w:t>かかる</w:t>
            </w:r>
          </w:p>
          <w:p w14:paraId="3506F2EB" w14:textId="592271C7" w:rsidR="008B4B2B" w:rsidRPr="00E0548A" w:rsidRDefault="008B4B2B" w:rsidP="00FD30FC">
            <w:pPr>
              <w:ind w:leftChars="100" w:left="211"/>
              <w:rPr>
                <w:rFonts w:ascii="ＭＳ 明朝" w:hAnsi="ＭＳ 明朝"/>
                <w:szCs w:val="21"/>
              </w:rPr>
            </w:pPr>
            <w:r w:rsidRPr="00E0548A">
              <w:rPr>
                <w:rFonts w:ascii="ＭＳ 明朝" w:hAnsi="ＭＳ 明朝" w:hint="eastAsia"/>
                <w:szCs w:val="21"/>
              </w:rPr>
              <w:t>情報収集【資源循環】</w:t>
            </w:r>
          </w:p>
          <w:p w14:paraId="66A1F7E9" w14:textId="0C17159E" w:rsidR="008B4B2B" w:rsidRPr="00E0548A" w:rsidRDefault="00FD30FC" w:rsidP="008B4B2B">
            <w:pPr>
              <w:rPr>
                <w:rFonts w:ascii="ＭＳ 明朝" w:hAnsi="ＭＳ 明朝"/>
                <w:szCs w:val="21"/>
              </w:rPr>
            </w:pPr>
            <w:r w:rsidRPr="00E0548A">
              <w:rPr>
                <w:rFonts w:ascii="ＭＳ 明朝" w:hAnsi="ＭＳ 明朝" w:hint="eastAsia"/>
                <w:kern w:val="0"/>
                <w:szCs w:val="21"/>
              </w:rPr>
              <w:t>○石綿露出状況の確認及び</w:t>
            </w:r>
            <w:r w:rsidR="00A335EF" w:rsidRPr="00E0548A">
              <w:rPr>
                <w:rFonts w:ascii="ＭＳ 明朝" w:hAnsi="ＭＳ 明朝" w:hint="eastAsia"/>
                <w:kern w:val="0"/>
                <w:szCs w:val="21"/>
              </w:rPr>
              <w:t>環境測定等の</w:t>
            </w:r>
            <w:r w:rsidRPr="00E0548A">
              <w:rPr>
                <w:rFonts w:ascii="ＭＳ 明朝" w:hAnsi="ＭＳ 明朝" w:hint="eastAsia"/>
                <w:kern w:val="0"/>
                <w:szCs w:val="21"/>
              </w:rPr>
              <w:t>対応【</w:t>
            </w:r>
            <w:r w:rsidR="003B45F1" w:rsidRPr="00E0548A">
              <w:rPr>
                <w:rFonts w:ascii="ＭＳ 明朝" w:hAnsi="ＭＳ 明朝" w:hint="eastAsia"/>
                <w:kern w:val="0"/>
                <w:szCs w:val="21"/>
              </w:rPr>
              <w:t>環境管理室</w:t>
            </w:r>
            <w:r w:rsidRPr="00E0548A">
              <w:rPr>
                <w:rFonts w:ascii="ＭＳ 明朝" w:hAnsi="ＭＳ 明朝" w:hint="eastAsia"/>
                <w:kern w:val="0"/>
                <w:szCs w:val="21"/>
              </w:rPr>
              <w:t>】</w:t>
            </w:r>
          </w:p>
        </w:tc>
      </w:tr>
      <w:tr w:rsidR="00E0548A" w:rsidRPr="00E0548A" w14:paraId="3489B9ED" w14:textId="77777777" w:rsidTr="007650CC">
        <w:trPr>
          <w:jc w:val="center"/>
        </w:trPr>
        <w:tc>
          <w:tcPr>
            <w:tcW w:w="1549" w:type="dxa"/>
          </w:tcPr>
          <w:p w14:paraId="08A97516" w14:textId="77777777" w:rsidR="008B4B2B" w:rsidRPr="00E0548A" w:rsidRDefault="008B4B2B" w:rsidP="008B4B2B">
            <w:pPr>
              <w:rPr>
                <w:rFonts w:ascii="ＭＳ 明朝" w:hAnsi="ＭＳ 明朝"/>
                <w:szCs w:val="21"/>
              </w:rPr>
            </w:pPr>
            <w:r w:rsidRPr="00E0548A">
              <w:rPr>
                <w:rFonts w:ascii="ＭＳ 明朝" w:hAnsi="ＭＳ 明朝" w:hint="eastAsia"/>
                <w:szCs w:val="21"/>
              </w:rPr>
              <w:t>第5フェーズ</w:t>
            </w:r>
          </w:p>
          <w:p w14:paraId="67FD8ACE" w14:textId="77777777" w:rsidR="008B4B2B" w:rsidRPr="00E0548A" w:rsidRDefault="008B4B2B" w:rsidP="008B4B2B">
            <w:pPr>
              <w:rPr>
                <w:rFonts w:ascii="ＭＳ 明朝" w:hAnsi="ＭＳ 明朝"/>
                <w:szCs w:val="21"/>
              </w:rPr>
            </w:pPr>
            <w:r w:rsidRPr="00E0548A">
              <w:rPr>
                <w:rFonts w:ascii="ＭＳ 明朝" w:hAnsi="ＭＳ 明朝" w:hint="eastAsia"/>
                <w:szCs w:val="21"/>
              </w:rPr>
              <w:t>(2週間まで)</w:t>
            </w:r>
          </w:p>
        </w:tc>
        <w:tc>
          <w:tcPr>
            <w:tcW w:w="7353" w:type="dxa"/>
          </w:tcPr>
          <w:p w14:paraId="16E4829C" w14:textId="77777777" w:rsidR="00B55AF6" w:rsidRPr="00E0548A" w:rsidRDefault="00B55AF6" w:rsidP="00B55AF6">
            <w:pPr>
              <w:ind w:left="211" w:hangingChars="100" w:hanging="211"/>
              <w:rPr>
                <w:rFonts w:ascii="ＭＳ 明朝" w:hAnsi="ＭＳ 明朝"/>
                <w:szCs w:val="21"/>
              </w:rPr>
            </w:pPr>
            <w:r w:rsidRPr="00E0548A">
              <w:rPr>
                <w:rFonts w:ascii="ＭＳ 明朝" w:hAnsi="ＭＳ 明朝" w:hint="eastAsia"/>
                <w:szCs w:val="21"/>
              </w:rPr>
              <w:t>○被災所管施設の応急復旧（当該施設において応急的に業務を再開するために実施する措置のことをいう。本格的な復旧作業の前段階。）開始【各所管所属】</w:t>
            </w:r>
          </w:p>
          <w:p w14:paraId="47341801" w14:textId="2CB5486D" w:rsidR="008B4B2B" w:rsidRPr="00E0548A" w:rsidRDefault="00B55AF6" w:rsidP="00E0548A">
            <w:pPr>
              <w:rPr>
                <w:rFonts w:ascii="ＭＳ 明朝" w:hAnsi="ＭＳ 明朝"/>
                <w:szCs w:val="21"/>
              </w:rPr>
            </w:pPr>
            <w:r w:rsidRPr="00E0548A">
              <w:rPr>
                <w:rFonts w:ascii="ＭＳ 明朝" w:hAnsi="ＭＳ 明朝" w:hint="eastAsia"/>
                <w:szCs w:val="21"/>
              </w:rPr>
              <w:t>○災害廃棄物等の処理にかかる支援等の調整【資源循環】</w:t>
            </w:r>
          </w:p>
        </w:tc>
      </w:tr>
      <w:tr w:rsidR="00E0548A" w:rsidRPr="00E0548A" w14:paraId="78B784FF" w14:textId="77777777" w:rsidTr="007650CC">
        <w:trPr>
          <w:jc w:val="center"/>
        </w:trPr>
        <w:tc>
          <w:tcPr>
            <w:tcW w:w="1549" w:type="dxa"/>
          </w:tcPr>
          <w:p w14:paraId="22AE9197" w14:textId="77777777" w:rsidR="008B4B2B" w:rsidRPr="00E0548A" w:rsidRDefault="008B4B2B" w:rsidP="008B4B2B">
            <w:pPr>
              <w:rPr>
                <w:rFonts w:ascii="ＭＳ 明朝" w:hAnsi="ＭＳ 明朝"/>
                <w:szCs w:val="21"/>
              </w:rPr>
            </w:pPr>
            <w:r w:rsidRPr="00E0548A">
              <w:rPr>
                <w:rFonts w:ascii="ＭＳ 明朝" w:hAnsi="ＭＳ 明朝" w:hint="eastAsia"/>
                <w:szCs w:val="21"/>
              </w:rPr>
              <w:t>第6フェーズ</w:t>
            </w:r>
          </w:p>
          <w:p w14:paraId="1E141531" w14:textId="77777777" w:rsidR="008B4B2B" w:rsidRPr="00E0548A" w:rsidRDefault="008B4B2B" w:rsidP="008B4B2B">
            <w:pPr>
              <w:rPr>
                <w:rFonts w:ascii="ＭＳ 明朝" w:hAnsi="ＭＳ 明朝"/>
                <w:szCs w:val="21"/>
              </w:rPr>
            </w:pPr>
            <w:r w:rsidRPr="00E0548A">
              <w:rPr>
                <w:rFonts w:ascii="ＭＳ 明朝" w:hAnsi="ＭＳ 明朝" w:hint="eastAsia"/>
                <w:szCs w:val="21"/>
              </w:rPr>
              <w:t>(1ヶ月まで)</w:t>
            </w:r>
          </w:p>
          <w:p w14:paraId="037DA949" w14:textId="77777777" w:rsidR="008B4B2B" w:rsidRPr="00E0548A" w:rsidRDefault="008B4B2B" w:rsidP="008B4B2B">
            <w:pPr>
              <w:rPr>
                <w:rFonts w:ascii="ＭＳ 明朝" w:hAnsi="ＭＳ 明朝"/>
                <w:szCs w:val="21"/>
              </w:rPr>
            </w:pPr>
          </w:p>
        </w:tc>
        <w:tc>
          <w:tcPr>
            <w:tcW w:w="7353" w:type="dxa"/>
          </w:tcPr>
          <w:p w14:paraId="06D3F6A4" w14:textId="7655F1E6" w:rsidR="008B4B2B" w:rsidRPr="00E0548A" w:rsidRDefault="008B4B2B" w:rsidP="008B4B2B">
            <w:pPr>
              <w:rPr>
                <w:rFonts w:ascii="ＭＳ ゴシック" w:eastAsia="ＭＳ ゴシック" w:hAnsi="ＭＳ ゴシック"/>
                <w:szCs w:val="21"/>
              </w:rPr>
            </w:pPr>
            <w:r w:rsidRPr="00E0548A">
              <w:rPr>
                <w:rFonts w:ascii="ＭＳ 明朝" w:hAnsi="ＭＳ 明朝" w:hint="eastAsia"/>
                <w:szCs w:val="21"/>
              </w:rPr>
              <w:lastRenderedPageBreak/>
              <w:t>○被災所管施設の応急復旧</w:t>
            </w:r>
            <w:r w:rsidR="00B55AF6" w:rsidRPr="00E0548A">
              <w:rPr>
                <w:rFonts w:ascii="ＭＳ 明朝" w:hAnsi="ＭＳ 明朝" w:hint="eastAsia"/>
                <w:szCs w:val="21"/>
              </w:rPr>
              <w:t>【各所管所属】</w:t>
            </w:r>
          </w:p>
          <w:p w14:paraId="0CA9AFFF" w14:textId="77777777" w:rsidR="008B4B2B" w:rsidRPr="00E0548A" w:rsidRDefault="008B4B2B" w:rsidP="008B4B2B">
            <w:pPr>
              <w:rPr>
                <w:rFonts w:ascii="ＭＳ 明朝" w:hAnsi="ＭＳ 明朝"/>
                <w:szCs w:val="21"/>
              </w:rPr>
            </w:pPr>
            <w:r w:rsidRPr="00E0548A">
              <w:rPr>
                <w:rFonts w:ascii="ＭＳ 明朝" w:hAnsi="ＭＳ 明朝" w:hint="eastAsia"/>
                <w:szCs w:val="21"/>
              </w:rPr>
              <w:t>○災害廃棄物等処理の実行計画等着手【資源循環】</w:t>
            </w:r>
          </w:p>
          <w:p w14:paraId="4618BCC4" w14:textId="703C7BCB" w:rsidR="00FD30FC" w:rsidRPr="00E0548A" w:rsidRDefault="00FD30FC" w:rsidP="00FD30FC">
            <w:pPr>
              <w:rPr>
                <w:rFonts w:ascii="ＭＳ 明朝" w:hAnsi="ＭＳ 明朝"/>
                <w:szCs w:val="21"/>
              </w:rPr>
            </w:pPr>
            <w:r w:rsidRPr="00E0548A">
              <w:rPr>
                <w:rFonts w:ascii="ＭＳ 明朝" w:hAnsi="ＭＳ 明朝" w:hint="eastAsia"/>
                <w:szCs w:val="21"/>
              </w:rPr>
              <w:lastRenderedPageBreak/>
              <w:t>○解体等工事の石綿飛散防止【</w:t>
            </w:r>
            <w:r w:rsidR="003B45F1" w:rsidRPr="00E0548A">
              <w:rPr>
                <w:rFonts w:ascii="ＭＳ 明朝" w:hAnsi="ＭＳ 明朝" w:hint="eastAsia"/>
                <w:szCs w:val="21"/>
              </w:rPr>
              <w:t>環境管理室</w:t>
            </w:r>
            <w:r w:rsidRPr="00E0548A">
              <w:rPr>
                <w:rFonts w:ascii="ＭＳ 明朝" w:hAnsi="ＭＳ 明朝" w:hint="eastAsia"/>
                <w:szCs w:val="21"/>
              </w:rPr>
              <w:t>】</w:t>
            </w:r>
          </w:p>
          <w:p w14:paraId="557CDEE7" w14:textId="77777777" w:rsidR="008B4B2B" w:rsidRPr="00E0548A" w:rsidRDefault="008B4B2B" w:rsidP="008B4B2B">
            <w:pPr>
              <w:rPr>
                <w:rFonts w:ascii="ＭＳ 明朝" w:hAnsi="ＭＳ 明朝"/>
                <w:szCs w:val="21"/>
              </w:rPr>
            </w:pPr>
            <w:r w:rsidRPr="00E0548A">
              <w:rPr>
                <w:rFonts w:ascii="ＭＳ 明朝" w:hAnsi="ＭＳ 明朝" w:hint="eastAsia"/>
                <w:szCs w:val="21"/>
              </w:rPr>
              <w:t>○応急仮設住宅用木材の調達斡旋開始【森づくり】</w:t>
            </w:r>
          </w:p>
          <w:p w14:paraId="3280227B" w14:textId="77777777" w:rsidR="008B4B2B" w:rsidRPr="00E0548A" w:rsidRDefault="008B4B2B" w:rsidP="008B4B2B">
            <w:pPr>
              <w:rPr>
                <w:rFonts w:ascii="ＭＳ 明朝" w:hAnsi="ＭＳ 明朝"/>
                <w:szCs w:val="21"/>
              </w:rPr>
            </w:pPr>
            <w:r w:rsidRPr="00E0548A">
              <w:rPr>
                <w:rFonts w:ascii="ＭＳ 明朝" w:hAnsi="ＭＳ 明朝" w:hint="eastAsia"/>
                <w:szCs w:val="21"/>
              </w:rPr>
              <w:t>○被災農林水産業者の経営支援に係る相談対応【各所管所属】</w:t>
            </w:r>
          </w:p>
        </w:tc>
      </w:tr>
    </w:tbl>
    <w:p w14:paraId="42395FEA" w14:textId="77777777" w:rsidR="00CE1FFC" w:rsidRPr="00E0548A" w:rsidRDefault="008B4B2B" w:rsidP="00CE1FFC">
      <w:pPr>
        <w:ind w:left="1689" w:hangingChars="800" w:hanging="1689"/>
        <w:rPr>
          <w:rFonts w:ascii="ＭＳ 明朝" w:hAnsi="ＭＳ 明朝"/>
          <w:szCs w:val="21"/>
        </w:rPr>
      </w:pPr>
      <w:r w:rsidRPr="00E0548A">
        <w:rPr>
          <w:rFonts w:ascii="ＭＳ 明朝" w:hAnsi="ＭＳ 明朝" w:hint="eastAsia"/>
          <w:szCs w:val="21"/>
        </w:rPr>
        <w:lastRenderedPageBreak/>
        <w:t>※主な所管施設：</w:t>
      </w:r>
      <w:r w:rsidR="004F0226" w:rsidRPr="00E0548A">
        <w:rPr>
          <w:rFonts w:ascii="ＭＳ 明朝" w:hAnsi="ＭＳ 明朝" w:hint="eastAsia"/>
          <w:szCs w:val="21"/>
        </w:rPr>
        <w:t>中央卸売市場、農と緑の総合事務所、滝畑ダム、家畜保健衛生所、</w:t>
      </w:r>
    </w:p>
    <w:p w14:paraId="55C1CC83" w14:textId="77777777" w:rsidR="00CE1FFC" w:rsidRPr="00E0548A" w:rsidRDefault="004F0226" w:rsidP="00CE1FFC">
      <w:pPr>
        <w:ind w:leftChars="800" w:left="1689"/>
        <w:rPr>
          <w:rFonts w:ascii="ＭＳ 明朝" w:hAnsi="ＭＳ 明朝"/>
          <w:szCs w:val="21"/>
        </w:rPr>
      </w:pPr>
      <w:r w:rsidRPr="00E0548A">
        <w:rPr>
          <w:rFonts w:ascii="ＭＳ 明朝" w:hAnsi="ＭＳ 明朝" w:hint="eastAsia"/>
          <w:szCs w:val="21"/>
        </w:rPr>
        <w:t>動物愛護管理センター、各漁港施設、花の文化園、府立農業公園、</w:t>
      </w:r>
    </w:p>
    <w:p w14:paraId="65DCDE07" w14:textId="77777777" w:rsidR="00CE1FFC" w:rsidRPr="00E0548A" w:rsidRDefault="004F0226" w:rsidP="00CE1FFC">
      <w:pPr>
        <w:ind w:leftChars="800" w:left="1689"/>
        <w:rPr>
          <w:rFonts w:ascii="ＭＳ 明朝" w:hAnsi="ＭＳ 明朝"/>
          <w:kern w:val="0"/>
          <w:szCs w:val="21"/>
        </w:rPr>
      </w:pPr>
      <w:r w:rsidRPr="00E0548A">
        <w:rPr>
          <w:rFonts w:ascii="ＭＳ 明朝" w:hAnsi="ＭＳ 明朝" w:hint="eastAsia"/>
          <w:szCs w:val="21"/>
        </w:rPr>
        <w:t>自然公園施設、堺7-3区、フェニックス、</w:t>
      </w:r>
      <w:r w:rsidRPr="00E0548A">
        <w:rPr>
          <w:rFonts w:ascii="ＭＳ 明朝" w:hAnsi="ＭＳ 明朝" w:hint="eastAsia"/>
          <w:kern w:val="0"/>
          <w:szCs w:val="21"/>
        </w:rPr>
        <w:t>北大阪流通業務団地充填所、</w:t>
      </w:r>
    </w:p>
    <w:p w14:paraId="09098EEF" w14:textId="3569D872" w:rsidR="004F0226" w:rsidRPr="00E0548A" w:rsidRDefault="004F0226" w:rsidP="00CE1FFC">
      <w:pPr>
        <w:ind w:leftChars="800" w:left="1689"/>
        <w:rPr>
          <w:rFonts w:ascii="ＭＳ 明朝" w:hAnsi="ＭＳ 明朝"/>
          <w:kern w:val="0"/>
          <w:szCs w:val="21"/>
        </w:rPr>
      </w:pPr>
      <w:r w:rsidRPr="00E0548A">
        <w:rPr>
          <w:rFonts w:ascii="ＭＳ 明朝" w:hAnsi="ＭＳ 明朝" w:hint="eastAsia"/>
          <w:kern w:val="0"/>
          <w:szCs w:val="21"/>
        </w:rPr>
        <w:t>保管PCB廃棄物、（地独）環境農林水産総合研究所</w:t>
      </w:r>
    </w:p>
    <w:p w14:paraId="38A14F94" w14:textId="1F76A328" w:rsidR="00CE1FFC" w:rsidRPr="00E0548A" w:rsidRDefault="00CE1FFC" w:rsidP="00CE1FFC">
      <w:pPr>
        <w:ind w:firstLineChars="300" w:firstLine="633"/>
        <w:rPr>
          <w:rFonts w:ascii="ＭＳ 明朝" w:hAnsi="ＭＳ 明朝"/>
          <w:szCs w:val="21"/>
        </w:rPr>
      </w:pPr>
      <w:r w:rsidRPr="00E0548A">
        <w:rPr>
          <w:rFonts w:ascii="ＭＳ 明朝" w:hAnsi="ＭＳ 明朝" w:hint="eastAsia"/>
          <w:szCs w:val="21"/>
        </w:rPr>
        <w:t>関係機関：各施設指定管理者、大阪府漁業協同組合連合会、各漁協（内水面を含む）</w:t>
      </w:r>
    </w:p>
    <w:p w14:paraId="1EA369B3" w14:textId="77777777" w:rsidR="008968EE" w:rsidRPr="00E0548A" w:rsidRDefault="008968EE" w:rsidP="008B4B2B">
      <w:pPr>
        <w:ind w:firstLineChars="300" w:firstLine="543"/>
        <w:rPr>
          <w:rFonts w:ascii="ＭＳ 明朝" w:hAnsi="ＭＳ 明朝"/>
          <w:sz w:val="18"/>
          <w:szCs w:val="18"/>
        </w:rPr>
      </w:pPr>
    </w:p>
    <w:p w14:paraId="72947BB7" w14:textId="77777777" w:rsidR="007650CC" w:rsidRPr="00E0548A" w:rsidRDefault="007650CC" w:rsidP="007650CC">
      <w:pPr>
        <w:pStyle w:val="af4"/>
        <w:ind w:leftChars="0" w:left="0"/>
        <w:rPr>
          <w:rFonts w:ascii="ＭＳ ゴシック" w:eastAsia="ＭＳ ゴシック" w:hAnsi="ＭＳ ゴシック"/>
          <w:szCs w:val="21"/>
        </w:rPr>
      </w:pPr>
      <w:r w:rsidRPr="00E0548A">
        <w:rPr>
          <w:rFonts w:ascii="ＭＳ ゴシック" w:eastAsia="ＭＳ ゴシック" w:hAnsi="ＭＳ ゴシック" w:hint="eastAsia"/>
          <w:szCs w:val="21"/>
        </w:rPr>
        <w:t>＜南海トラフ地震臨時情報（巨大地震警戒）発表時＞</w:t>
      </w:r>
    </w:p>
    <w:tbl>
      <w:tblPr>
        <w:tblpPr w:leftFromText="142" w:rightFromText="142" w:vertAnchor="text" w:tblpXSpec="center" w:tblpY="1"/>
        <w:tblOverlap w:val="neve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00"/>
        <w:gridCol w:w="7334"/>
      </w:tblGrid>
      <w:tr w:rsidR="00E0548A" w:rsidRPr="00E0548A" w14:paraId="072B52E5" w14:textId="77777777" w:rsidTr="008C78D9">
        <w:trPr>
          <w:jc w:val="center"/>
        </w:trPr>
        <w:tc>
          <w:tcPr>
            <w:tcW w:w="1500" w:type="dxa"/>
            <w:tcBorders>
              <w:bottom w:val="single" w:sz="4" w:space="0" w:color="auto"/>
            </w:tcBorders>
            <w:shd w:val="clear" w:color="auto" w:fill="BFBFBF"/>
          </w:tcPr>
          <w:p w14:paraId="455B0C19" w14:textId="77777777" w:rsidR="007650CC" w:rsidRPr="00E0548A" w:rsidRDefault="007650CC" w:rsidP="008C78D9">
            <w:pPr>
              <w:jc w:val="center"/>
              <w:rPr>
                <w:rFonts w:ascii="ＭＳ 明朝" w:hAnsi="ＭＳ 明朝"/>
                <w:szCs w:val="21"/>
              </w:rPr>
            </w:pPr>
            <w:r w:rsidRPr="00E0548A">
              <w:rPr>
                <w:rFonts w:ascii="ＭＳ 明朝" w:hAnsi="ＭＳ 明朝" w:hint="eastAsia"/>
                <w:szCs w:val="21"/>
              </w:rPr>
              <w:t>臨時情報</w:t>
            </w:r>
          </w:p>
        </w:tc>
        <w:tc>
          <w:tcPr>
            <w:tcW w:w="7334" w:type="dxa"/>
            <w:tcBorders>
              <w:bottom w:val="single" w:sz="4" w:space="0" w:color="auto"/>
            </w:tcBorders>
            <w:shd w:val="clear" w:color="auto" w:fill="BFBFBF"/>
          </w:tcPr>
          <w:p w14:paraId="50EBF538" w14:textId="77777777" w:rsidR="007650CC" w:rsidRPr="00E0548A" w:rsidRDefault="007650CC" w:rsidP="008C78D9">
            <w:pPr>
              <w:jc w:val="center"/>
              <w:rPr>
                <w:rFonts w:ascii="ＭＳ 明朝" w:hAnsi="ＭＳ 明朝"/>
                <w:szCs w:val="21"/>
              </w:rPr>
            </w:pPr>
            <w:r w:rsidRPr="00E0548A">
              <w:rPr>
                <w:rFonts w:ascii="ＭＳ 明朝" w:hAnsi="ＭＳ 明朝" w:hint="eastAsia"/>
                <w:szCs w:val="21"/>
              </w:rPr>
              <w:t>主な応急対策業務</w:t>
            </w:r>
          </w:p>
        </w:tc>
      </w:tr>
      <w:tr w:rsidR="00E0548A" w:rsidRPr="00E0548A" w14:paraId="3C248C33" w14:textId="77777777" w:rsidTr="008C78D9">
        <w:trPr>
          <w:jc w:val="center"/>
        </w:trPr>
        <w:tc>
          <w:tcPr>
            <w:tcW w:w="1500" w:type="dxa"/>
          </w:tcPr>
          <w:p w14:paraId="2417BDBC" w14:textId="77777777" w:rsidR="007650CC" w:rsidRPr="00E0548A" w:rsidRDefault="007650CC" w:rsidP="008C78D9">
            <w:pPr>
              <w:rPr>
                <w:rFonts w:ascii="ＭＳ 明朝" w:hAnsi="ＭＳ 明朝"/>
                <w:szCs w:val="21"/>
              </w:rPr>
            </w:pPr>
            <w:r w:rsidRPr="00E0548A">
              <w:rPr>
                <w:rFonts w:ascii="ＭＳ 明朝" w:hAnsi="ＭＳ 明朝" w:hint="eastAsia"/>
                <w:szCs w:val="21"/>
              </w:rPr>
              <w:t>巨大地震警戒</w:t>
            </w:r>
          </w:p>
        </w:tc>
        <w:tc>
          <w:tcPr>
            <w:tcW w:w="7334" w:type="dxa"/>
          </w:tcPr>
          <w:p w14:paraId="6C783A89" w14:textId="77777777" w:rsidR="00CE1FFC" w:rsidRPr="00E0548A" w:rsidRDefault="00CE1FFC" w:rsidP="00CE1FFC">
            <w:pPr>
              <w:rPr>
                <w:rFonts w:ascii="ＭＳ 明朝" w:hAnsi="ＭＳ 明朝"/>
              </w:rPr>
            </w:pPr>
            <w:r w:rsidRPr="00E0548A">
              <w:rPr>
                <w:rFonts w:ascii="ＭＳ 明朝" w:hAnsi="ＭＳ 明朝" w:hint="eastAsia"/>
              </w:rPr>
              <w:t>○地震発災後、応急対策業務（第１フェーズ）を速やかに実施できる準備</w:t>
            </w:r>
          </w:p>
          <w:p w14:paraId="5B6A8763" w14:textId="77777777" w:rsidR="00CE1FFC" w:rsidRPr="00E0548A" w:rsidRDefault="00CE1FFC" w:rsidP="00CE1FFC">
            <w:pPr>
              <w:ind w:firstLineChars="100" w:firstLine="211"/>
              <w:rPr>
                <w:rFonts w:ascii="ＭＳ 明朝" w:hAnsi="ＭＳ 明朝"/>
              </w:rPr>
            </w:pPr>
            <w:r w:rsidRPr="00E0548A">
              <w:rPr>
                <w:rFonts w:ascii="ＭＳ 明朝" w:hAnsi="ＭＳ 明朝" w:hint="eastAsia"/>
              </w:rPr>
              <w:t>体制を維持</w:t>
            </w:r>
          </w:p>
          <w:p w14:paraId="20D8D747" w14:textId="77777777" w:rsidR="00CE1FFC" w:rsidRPr="00E0548A" w:rsidRDefault="00CE1FFC" w:rsidP="00CE1FFC">
            <w:pPr>
              <w:ind w:left="211" w:hangingChars="100" w:hanging="211"/>
              <w:rPr>
                <w:rFonts w:ascii="ＭＳ 明朝" w:hAnsi="ＭＳ 明朝"/>
              </w:rPr>
            </w:pPr>
            <w:r w:rsidRPr="00E0548A">
              <w:rPr>
                <w:rFonts w:ascii="ＭＳ 明朝" w:hAnsi="ＭＳ 明朝" w:hint="eastAsia"/>
              </w:rPr>
              <w:t>○発災時初動マニュアル等の確認、連絡・配備体制の確認、備蓄等の確認 等）【各所管所属】</w:t>
            </w:r>
          </w:p>
          <w:p w14:paraId="39C7915D" w14:textId="77777777" w:rsidR="00CE1FFC" w:rsidRPr="00E0548A" w:rsidRDefault="00CE1FFC" w:rsidP="00CE1FFC">
            <w:pPr>
              <w:rPr>
                <w:rFonts w:ascii="ＭＳ 明朝" w:hAnsi="ＭＳ 明朝"/>
              </w:rPr>
            </w:pPr>
            <w:r w:rsidRPr="00E0548A">
              <w:rPr>
                <w:rFonts w:ascii="ＭＳ 明朝" w:hAnsi="ＭＳ 明朝" w:hint="eastAsia"/>
              </w:rPr>
              <w:t>○資機材（水防資材等）の点検、確認【各農緑事務所】</w:t>
            </w:r>
          </w:p>
          <w:p w14:paraId="38207D12" w14:textId="77777777" w:rsidR="00CE1FFC" w:rsidRPr="00E0548A" w:rsidRDefault="00CE1FFC" w:rsidP="00CE1FFC">
            <w:pPr>
              <w:rPr>
                <w:rFonts w:ascii="ＭＳ 明朝" w:hAnsi="ＭＳ 明朝"/>
              </w:rPr>
            </w:pPr>
            <w:r w:rsidRPr="00E0548A">
              <w:rPr>
                <w:rFonts w:ascii="ＭＳ 明朝" w:hAnsi="ＭＳ 明朝" w:hint="eastAsia"/>
              </w:rPr>
              <w:t>○部内及び関係機関からの情報収集・整理及び連絡調整【各所管所属】</w:t>
            </w:r>
          </w:p>
          <w:p w14:paraId="516ADEAD" w14:textId="77777777" w:rsidR="00CE1FFC" w:rsidRPr="00E0548A" w:rsidRDefault="00CE1FFC" w:rsidP="00CE1FFC">
            <w:pPr>
              <w:rPr>
                <w:rFonts w:ascii="ＭＳ 明朝" w:hAnsi="ＭＳ 明朝"/>
              </w:rPr>
            </w:pPr>
            <w:r w:rsidRPr="00E0548A">
              <w:rPr>
                <w:rFonts w:ascii="ＭＳ 明朝" w:hAnsi="ＭＳ 明朝" w:hint="eastAsia"/>
              </w:rPr>
              <w:t>（市町村・関係機関等への注意喚起、備えや準備の再確認 等）</w:t>
            </w:r>
          </w:p>
          <w:p w14:paraId="0BED6319" w14:textId="77777777" w:rsidR="00CE1FFC" w:rsidRPr="00E0548A" w:rsidRDefault="00CE1FFC" w:rsidP="00CE1FFC">
            <w:pPr>
              <w:rPr>
                <w:rFonts w:ascii="ＭＳ 明朝" w:hAnsi="ＭＳ 明朝"/>
              </w:rPr>
            </w:pPr>
            <w:r w:rsidRPr="00E0548A">
              <w:rPr>
                <w:rFonts w:ascii="ＭＳ 明朝" w:hAnsi="ＭＳ 明朝" w:hint="eastAsia"/>
              </w:rPr>
              <w:t>○所管施設との連絡調整【各所管所属】</w:t>
            </w:r>
          </w:p>
          <w:p w14:paraId="2CFF7E2A" w14:textId="77777777" w:rsidR="00CE1FFC" w:rsidRPr="00E0548A" w:rsidRDefault="00CE1FFC" w:rsidP="00CE1FFC">
            <w:pPr>
              <w:rPr>
                <w:rFonts w:ascii="ＭＳ 明朝" w:hAnsi="ＭＳ 明朝"/>
              </w:rPr>
            </w:pPr>
            <w:r w:rsidRPr="00E0548A">
              <w:rPr>
                <w:rFonts w:ascii="ＭＳ 明朝" w:hAnsi="ＭＳ 明朝" w:hint="eastAsia"/>
              </w:rPr>
              <w:t>○所管施設（自然公園等）の避難経路等の確認【各所管所属】</w:t>
            </w:r>
          </w:p>
          <w:p w14:paraId="6097E10E" w14:textId="77777777" w:rsidR="00CE1FFC" w:rsidRPr="00E0548A" w:rsidRDefault="00CE1FFC" w:rsidP="00CE1FFC">
            <w:pPr>
              <w:rPr>
                <w:rFonts w:ascii="ＭＳ 明朝" w:hAnsi="ＭＳ 明朝"/>
              </w:rPr>
            </w:pPr>
            <w:r w:rsidRPr="00E0548A">
              <w:rPr>
                <w:rFonts w:ascii="ＭＳ 明朝" w:hAnsi="ＭＳ 明朝" w:hint="eastAsia"/>
              </w:rPr>
              <w:t>○防災協定企業等の備えや準備の再確認と連絡体制の確保【各所管所属】</w:t>
            </w:r>
          </w:p>
          <w:p w14:paraId="3DA1C116" w14:textId="77777777" w:rsidR="00CE1FFC" w:rsidRPr="00E0548A" w:rsidRDefault="00CE1FFC" w:rsidP="00CE1FFC">
            <w:pPr>
              <w:rPr>
                <w:rFonts w:ascii="ＭＳ 明朝" w:hAnsi="ＭＳ 明朝"/>
              </w:rPr>
            </w:pPr>
            <w:r w:rsidRPr="00E0548A">
              <w:rPr>
                <w:rFonts w:ascii="ＭＳ 明朝" w:hAnsi="ＭＳ 明朝" w:hint="eastAsia"/>
              </w:rPr>
              <w:t>○所管イベントの開催可否の判断【各所管所属】</w:t>
            </w:r>
          </w:p>
          <w:p w14:paraId="01792B28" w14:textId="77777777" w:rsidR="00CE1FFC" w:rsidRPr="00E0548A" w:rsidRDefault="00CE1FFC" w:rsidP="00CE1FFC">
            <w:pPr>
              <w:ind w:left="211" w:hangingChars="100" w:hanging="211"/>
              <w:rPr>
                <w:rFonts w:ascii="ＭＳ 明朝" w:hAnsi="ＭＳ 明朝"/>
              </w:rPr>
            </w:pPr>
            <w:r w:rsidRPr="00E0548A">
              <w:rPr>
                <w:rFonts w:ascii="ＭＳ 明朝" w:hAnsi="ＭＳ 明朝" w:hint="eastAsia"/>
              </w:rPr>
              <w:t>○庁舎及び電気・電話・ガス・給排水・エレベーター等設備の防災保全措置【施設管理所属】</w:t>
            </w:r>
          </w:p>
          <w:p w14:paraId="20795FEC" w14:textId="77777777" w:rsidR="00CE1FFC" w:rsidRPr="00E0548A" w:rsidRDefault="00CE1FFC" w:rsidP="00CE1FFC">
            <w:pPr>
              <w:ind w:left="211" w:hangingChars="100" w:hanging="211"/>
              <w:rPr>
                <w:rFonts w:ascii="ＭＳ 明朝" w:hAnsi="ＭＳ 明朝"/>
              </w:rPr>
            </w:pPr>
            <w:r w:rsidRPr="00E0548A">
              <w:rPr>
                <w:rFonts w:ascii="ＭＳ 明朝" w:hAnsi="ＭＳ 明朝" w:hint="eastAsia"/>
              </w:rPr>
              <w:t>○公用車等の点検・給油【各所管所属】</w:t>
            </w:r>
          </w:p>
          <w:p w14:paraId="6B6191A9" w14:textId="77777777" w:rsidR="00CE1FFC" w:rsidRPr="00E0548A" w:rsidRDefault="00CE1FFC" w:rsidP="00CE1FFC">
            <w:pPr>
              <w:rPr>
                <w:rFonts w:ascii="ＭＳ 明朝" w:hAnsi="ＭＳ 明朝"/>
              </w:rPr>
            </w:pPr>
            <w:r w:rsidRPr="00E0548A">
              <w:rPr>
                <w:rFonts w:ascii="ＭＳ 明朝" w:hAnsi="ＭＳ 明朝" w:hint="eastAsia"/>
              </w:rPr>
              <w:t>○各種システムの運用方法の確認等【各所管所属】</w:t>
            </w:r>
          </w:p>
          <w:p w14:paraId="191DFD31" w14:textId="77777777" w:rsidR="00CE1FFC" w:rsidRPr="00E0548A" w:rsidRDefault="00CE1FFC" w:rsidP="00CE1FFC">
            <w:pPr>
              <w:rPr>
                <w:rFonts w:ascii="ＭＳ 明朝" w:hAnsi="ＭＳ 明朝"/>
              </w:rPr>
            </w:pPr>
            <w:r w:rsidRPr="00E0548A">
              <w:rPr>
                <w:rFonts w:ascii="ＭＳ 明朝" w:hAnsi="ＭＳ 明朝" w:hint="eastAsia"/>
              </w:rPr>
              <w:t>○防災上重要な施設（津波防御施設・ため池等）の確認・点検【各所管所属】</w:t>
            </w:r>
          </w:p>
          <w:p w14:paraId="2E86F52D" w14:textId="77777777" w:rsidR="00CE1FFC" w:rsidRPr="00E0548A" w:rsidRDefault="00CE1FFC" w:rsidP="00CE1FFC">
            <w:pPr>
              <w:rPr>
                <w:rFonts w:ascii="ＭＳ 明朝" w:hAnsi="ＭＳ 明朝"/>
              </w:rPr>
            </w:pPr>
            <w:r w:rsidRPr="00E0548A">
              <w:rPr>
                <w:rFonts w:ascii="ＭＳ 明朝" w:hAnsi="ＭＳ 明朝" w:hint="eastAsia"/>
              </w:rPr>
              <w:t>○危険個所の確認・パトロール【各農緑事務所】</w:t>
            </w:r>
          </w:p>
          <w:p w14:paraId="0A7897EB" w14:textId="3C0B9A55" w:rsidR="00CE1FFC" w:rsidRPr="00E0548A" w:rsidRDefault="00CE1FFC" w:rsidP="00CE1FFC">
            <w:pPr>
              <w:rPr>
                <w:rFonts w:ascii="ＭＳ 明朝" w:hAnsi="ＭＳ 明朝"/>
              </w:rPr>
            </w:pPr>
            <w:r w:rsidRPr="00E0548A">
              <w:rPr>
                <w:rFonts w:ascii="ＭＳ 明朝" w:hAnsi="ＭＳ 明朝" w:hint="eastAsia"/>
              </w:rPr>
              <w:t>○発注工事</w:t>
            </w:r>
            <w:r w:rsidR="009E3501" w:rsidRPr="00E0548A">
              <w:rPr>
                <w:rFonts w:ascii="ＭＳ 明朝" w:hAnsi="ＭＳ 明朝" w:hint="eastAsia"/>
              </w:rPr>
              <w:t>現場</w:t>
            </w:r>
            <w:r w:rsidRPr="00E0548A">
              <w:rPr>
                <w:rFonts w:ascii="ＭＳ 明朝" w:hAnsi="ＭＳ 明朝" w:hint="eastAsia"/>
              </w:rPr>
              <w:t>の安全</w:t>
            </w:r>
            <w:r w:rsidR="009E3501" w:rsidRPr="00E0548A">
              <w:rPr>
                <w:rFonts w:ascii="ＭＳ 明朝" w:hAnsi="ＭＳ 明朝" w:hint="eastAsia"/>
              </w:rPr>
              <w:t>確保</w:t>
            </w:r>
            <w:r w:rsidRPr="00E0548A">
              <w:rPr>
                <w:rFonts w:ascii="ＭＳ 明朝" w:hAnsi="ＭＳ 明朝" w:hint="eastAsia"/>
              </w:rPr>
              <w:t>及び継続可否の判断【各所管所属】</w:t>
            </w:r>
          </w:p>
          <w:p w14:paraId="04CCB410" w14:textId="4F68BA4F" w:rsidR="00FB2BB1" w:rsidRPr="00E0548A" w:rsidRDefault="00CE1FFC" w:rsidP="00CE1FFC">
            <w:pPr>
              <w:ind w:left="211" w:hangingChars="100" w:hanging="211"/>
              <w:rPr>
                <w:rFonts w:ascii="ＭＳ 明朝" w:hAnsi="ＭＳ 明朝"/>
                <w:szCs w:val="21"/>
              </w:rPr>
            </w:pPr>
            <w:r w:rsidRPr="00E0548A">
              <w:rPr>
                <w:rFonts w:ascii="ＭＳ 明朝" w:hAnsi="ＭＳ 明朝" w:hint="eastAsia"/>
              </w:rPr>
              <w:t>○海外出張者一行への連絡 【各所管所属】</w:t>
            </w:r>
          </w:p>
        </w:tc>
      </w:tr>
    </w:tbl>
    <w:p w14:paraId="612357D1" w14:textId="3357045B" w:rsidR="007650CC" w:rsidRPr="00E0548A" w:rsidRDefault="007650CC" w:rsidP="007650CC">
      <w:pPr>
        <w:rPr>
          <w:rFonts w:ascii="ＭＳ 明朝" w:hAnsi="ＭＳ 明朝"/>
          <w:szCs w:val="21"/>
        </w:rPr>
      </w:pPr>
      <w:r w:rsidRPr="00E0548A">
        <w:rPr>
          <w:rFonts w:ascii="ＭＳ 明朝" w:hAnsi="ＭＳ 明朝" w:hint="eastAsia"/>
          <w:szCs w:val="21"/>
        </w:rPr>
        <w:t>「南海トラフ地震臨時情報（巨大地震警戒）」が発表され、「巨大地震警戒対応期間」（１週間）が経過した際は、「巨大地震注意対応期間」へ移行。</w:t>
      </w:r>
    </w:p>
    <w:p w14:paraId="2C4EF0C0" w14:textId="5B27C603" w:rsidR="00D93C38" w:rsidRPr="00E0548A" w:rsidRDefault="00D93C38">
      <w:pPr>
        <w:widowControl/>
        <w:jc w:val="left"/>
        <w:rPr>
          <w:rFonts w:ascii="ＭＳ 明朝" w:hAnsi="ＭＳ 明朝"/>
          <w:szCs w:val="21"/>
        </w:rPr>
      </w:pPr>
      <w:r w:rsidRPr="00E0548A">
        <w:rPr>
          <w:rFonts w:ascii="ＭＳ 明朝" w:hAnsi="ＭＳ 明朝"/>
          <w:szCs w:val="21"/>
        </w:rPr>
        <w:br w:type="page"/>
      </w:r>
    </w:p>
    <w:p w14:paraId="5115D665" w14:textId="73DE33B4" w:rsidR="007650CC" w:rsidRPr="00E0548A" w:rsidRDefault="007650CC" w:rsidP="007650CC">
      <w:pPr>
        <w:pStyle w:val="af4"/>
        <w:ind w:leftChars="0" w:left="0"/>
        <w:rPr>
          <w:rFonts w:ascii="ＭＳ ゴシック" w:eastAsia="ＭＳ ゴシック" w:hAnsi="ＭＳ ゴシック"/>
          <w:szCs w:val="21"/>
        </w:rPr>
      </w:pPr>
      <w:r w:rsidRPr="00E0548A">
        <w:rPr>
          <w:rFonts w:ascii="ＭＳ ゴシック" w:eastAsia="ＭＳ ゴシック" w:hAnsi="ＭＳ ゴシック" w:hint="eastAsia"/>
          <w:szCs w:val="21"/>
        </w:rPr>
        <w:lastRenderedPageBreak/>
        <w:t>＜南海トラフ地震臨時情報（巨大地震注意）発表時</w:t>
      </w:r>
      <w:r w:rsidR="002F25B5" w:rsidRPr="00E0548A">
        <w:rPr>
          <w:rFonts w:ascii="ＭＳ ゴシック" w:eastAsia="ＭＳ ゴシック" w:hAnsi="ＭＳ ゴシック" w:hint="eastAsia"/>
          <w:szCs w:val="21"/>
        </w:rPr>
        <w:t>（</w:t>
      </w:r>
      <w:r w:rsidR="002F25B5" w:rsidRPr="00E0548A">
        <w:rPr>
          <w:rFonts w:ascii="ＭＳ 明朝" w:hAnsi="ＭＳ 明朝" w:hint="eastAsia"/>
          <w:szCs w:val="21"/>
        </w:rPr>
        <w:t>巨大地震警戒からの移行時を含む</w:t>
      </w:r>
      <w:r w:rsidR="002F25B5" w:rsidRPr="00E0548A">
        <w:rPr>
          <w:rFonts w:ascii="ＭＳ ゴシック" w:eastAsia="ＭＳ ゴシック" w:hAnsi="ＭＳ ゴシック" w:hint="eastAsia"/>
          <w:szCs w:val="21"/>
        </w:rPr>
        <w:t>）</w:t>
      </w:r>
      <w:r w:rsidRPr="00E0548A">
        <w:rPr>
          <w:rFonts w:ascii="ＭＳ ゴシック" w:eastAsia="ＭＳ ゴシック" w:hAnsi="ＭＳ ゴシック" w:hint="eastAsia"/>
          <w:szCs w:val="21"/>
        </w:rPr>
        <w:t>＞</w:t>
      </w:r>
    </w:p>
    <w:tbl>
      <w:tblPr>
        <w:tblpPr w:leftFromText="142" w:rightFromText="142" w:vertAnchor="text" w:tblpXSpec="center" w:tblpY="1"/>
        <w:tblOverlap w:val="neve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00"/>
        <w:gridCol w:w="7334"/>
      </w:tblGrid>
      <w:tr w:rsidR="00E0548A" w:rsidRPr="00E0548A" w14:paraId="6DC2C335" w14:textId="77777777" w:rsidTr="008C78D9">
        <w:trPr>
          <w:jc w:val="center"/>
        </w:trPr>
        <w:tc>
          <w:tcPr>
            <w:tcW w:w="1500" w:type="dxa"/>
            <w:tcBorders>
              <w:bottom w:val="single" w:sz="4" w:space="0" w:color="auto"/>
            </w:tcBorders>
            <w:shd w:val="clear" w:color="auto" w:fill="BFBFBF"/>
          </w:tcPr>
          <w:p w14:paraId="4DCEC88B" w14:textId="77777777" w:rsidR="007650CC" w:rsidRPr="00E0548A" w:rsidRDefault="007650CC" w:rsidP="008C78D9">
            <w:pPr>
              <w:jc w:val="center"/>
              <w:rPr>
                <w:rFonts w:ascii="ＭＳ 明朝" w:hAnsi="ＭＳ 明朝"/>
                <w:szCs w:val="21"/>
              </w:rPr>
            </w:pPr>
            <w:r w:rsidRPr="00E0548A">
              <w:rPr>
                <w:rFonts w:ascii="ＭＳ 明朝" w:hAnsi="ＭＳ 明朝" w:hint="eastAsia"/>
                <w:szCs w:val="21"/>
              </w:rPr>
              <w:t>臨時情報</w:t>
            </w:r>
          </w:p>
        </w:tc>
        <w:tc>
          <w:tcPr>
            <w:tcW w:w="7334" w:type="dxa"/>
            <w:tcBorders>
              <w:bottom w:val="single" w:sz="4" w:space="0" w:color="auto"/>
            </w:tcBorders>
            <w:shd w:val="clear" w:color="auto" w:fill="BFBFBF"/>
          </w:tcPr>
          <w:p w14:paraId="10F04CE6" w14:textId="77777777" w:rsidR="007650CC" w:rsidRPr="00E0548A" w:rsidRDefault="007650CC" w:rsidP="008C78D9">
            <w:pPr>
              <w:jc w:val="center"/>
              <w:rPr>
                <w:rFonts w:ascii="ＭＳ 明朝" w:hAnsi="ＭＳ 明朝"/>
                <w:szCs w:val="21"/>
              </w:rPr>
            </w:pPr>
            <w:r w:rsidRPr="00E0548A">
              <w:rPr>
                <w:rFonts w:ascii="ＭＳ 明朝" w:hAnsi="ＭＳ 明朝" w:hint="eastAsia"/>
                <w:szCs w:val="21"/>
              </w:rPr>
              <w:t>主な応急対策業務</w:t>
            </w:r>
          </w:p>
        </w:tc>
      </w:tr>
      <w:tr w:rsidR="00E0548A" w:rsidRPr="00E0548A" w14:paraId="4AC25B4D" w14:textId="77777777" w:rsidTr="008C78D9">
        <w:trPr>
          <w:jc w:val="center"/>
        </w:trPr>
        <w:tc>
          <w:tcPr>
            <w:tcW w:w="1500" w:type="dxa"/>
          </w:tcPr>
          <w:p w14:paraId="63C7B62C" w14:textId="77777777" w:rsidR="007650CC" w:rsidRPr="00E0548A" w:rsidRDefault="007650CC" w:rsidP="008C78D9">
            <w:pPr>
              <w:rPr>
                <w:rFonts w:ascii="ＭＳ 明朝" w:hAnsi="ＭＳ 明朝"/>
                <w:szCs w:val="21"/>
              </w:rPr>
            </w:pPr>
            <w:r w:rsidRPr="00E0548A">
              <w:rPr>
                <w:rFonts w:ascii="ＭＳ 明朝" w:hAnsi="ＭＳ 明朝" w:hint="eastAsia"/>
                <w:szCs w:val="21"/>
              </w:rPr>
              <w:t>巨大地震注意</w:t>
            </w:r>
          </w:p>
        </w:tc>
        <w:tc>
          <w:tcPr>
            <w:tcW w:w="7334" w:type="dxa"/>
          </w:tcPr>
          <w:p w14:paraId="0BAB18C6" w14:textId="77777777" w:rsidR="00CE1FFC" w:rsidRPr="00E0548A" w:rsidRDefault="00CE1FFC" w:rsidP="00CE1FFC">
            <w:pPr>
              <w:ind w:left="211" w:hangingChars="100" w:hanging="211"/>
              <w:rPr>
                <w:rFonts w:ascii="ＭＳ 明朝" w:hAnsi="ＭＳ 明朝"/>
              </w:rPr>
            </w:pPr>
            <w:r w:rsidRPr="00E0548A">
              <w:rPr>
                <w:rFonts w:ascii="ＭＳ 明朝" w:hAnsi="ＭＳ 明朝" w:hint="eastAsia"/>
              </w:rPr>
              <w:t>○地震発災に備えた情報連絡体制の維持</w:t>
            </w:r>
          </w:p>
          <w:p w14:paraId="3DE20A4B" w14:textId="77777777" w:rsidR="00CE1FFC" w:rsidRPr="00E0548A" w:rsidRDefault="00CE1FFC" w:rsidP="00CE1FFC">
            <w:pPr>
              <w:ind w:left="211" w:hangingChars="100" w:hanging="211"/>
              <w:rPr>
                <w:rFonts w:ascii="ＭＳ 明朝" w:hAnsi="ＭＳ 明朝"/>
              </w:rPr>
            </w:pPr>
            <w:r w:rsidRPr="00E0548A">
              <w:rPr>
                <w:rFonts w:ascii="ＭＳ 明朝" w:hAnsi="ＭＳ 明朝" w:hint="eastAsia"/>
              </w:rPr>
              <w:t>○発災時初動マニュアル等の確認、連絡・配備体制の確認、備蓄等の確認 等）【各所管所属】</w:t>
            </w:r>
          </w:p>
          <w:p w14:paraId="23B1B916" w14:textId="77777777" w:rsidR="00CE1FFC" w:rsidRPr="00E0548A" w:rsidRDefault="00CE1FFC" w:rsidP="00CE1FFC">
            <w:pPr>
              <w:rPr>
                <w:rFonts w:ascii="ＭＳ 明朝" w:hAnsi="ＭＳ 明朝"/>
              </w:rPr>
            </w:pPr>
            <w:r w:rsidRPr="00E0548A">
              <w:rPr>
                <w:rFonts w:ascii="ＭＳ 明朝" w:hAnsi="ＭＳ 明朝" w:hint="eastAsia"/>
              </w:rPr>
              <w:t>○資機材（水防資材等）の点検、確認【各農緑事務所】</w:t>
            </w:r>
          </w:p>
          <w:p w14:paraId="741652A9" w14:textId="77777777" w:rsidR="00CE1FFC" w:rsidRPr="00E0548A" w:rsidRDefault="00CE1FFC" w:rsidP="00CE1FFC">
            <w:pPr>
              <w:rPr>
                <w:rFonts w:ascii="ＭＳ 明朝" w:hAnsi="ＭＳ 明朝"/>
              </w:rPr>
            </w:pPr>
            <w:r w:rsidRPr="00E0548A">
              <w:rPr>
                <w:rFonts w:ascii="ＭＳ 明朝" w:hAnsi="ＭＳ 明朝" w:hint="eastAsia"/>
              </w:rPr>
              <w:t>○部内及び関係機関からの情報収集・整理及び連絡調整【各所管所属】</w:t>
            </w:r>
          </w:p>
          <w:p w14:paraId="176E1D26" w14:textId="77777777" w:rsidR="00CE1FFC" w:rsidRPr="00E0548A" w:rsidRDefault="00CE1FFC" w:rsidP="00CE1FFC">
            <w:pPr>
              <w:rPr>
                <w:rFonts w:ascii="ＭＳ 明朝" w:hAnsi="ＭＳ 明朝"/>
              </w:rPr>
            </w:pPr>
            <w:r w:rsidRPr="00E0548A">
              <w:rPr>
                <w:rFonts w:ascii="ＭＳ 明朝" w:hAnsi="ＭＳ 明朝" w:hint="eastAsia"/>
              </w:rPr>
              <w:t>（市町村・関係機関等への注意喚起、備えや準備の再確認 等）</w:t>
            </w:r>
          </w:p>
          <w:p w14:paraId="7661091A" w14:textId="77777777" w:rsidR="00CE1FFC" w:rsidRPr="00E0548A" w:rsidRDefault="00CE1FFC" w:rsidP="00CE1FFC">
            <w:pPr>
              <w:rPr>
                <w:rFonts w:ascii="ＭＳ 明朝" w:hAnsi="ＭＳ 明朝"/>
              </w:rPr>
            </w:pPr>
            <w:r w:rsidRPr="00E0548A">
              <w:rPr>
                <w:rFonts w:ascii="ＭＳ 明朝" w:hAnsi="ＭＳ 明朝" w:hint="eastAsia"/>
              </w:rPr>
              <w:t>○所管施設との連絡調整【各所管所属】</w:t>
            </w:r>
          </w:p>
          <w:p w14:paraId="03A72389" w14:textId="77777777" w:rsidR="00CE1FFC" w:rsidRPr="00E0548A" w:rsidRDefault="00CE1FFC" w:rsidP="00CE1FFC">
            <w:pPr>
              <w:rPr>
                <w:rFonts w:ascii="ＭＳ 明朝" w:hAnsi="ＭＳ 明朝"/>
              </w:rPr>
            </w:pPr>
            <w:r w:rsidRPr="00E0548A">
              <w:rPr>
                <w:rFonts w:ascii="ＭＳ 明朝" w:hAnsi="ＭＳ 明朝" w:hint="eastAsia"/>
              </w:rPr>
              <w:t>○所管施設（自然公園等）の避難経路等の確認【各所管所属】</w:t>
            </w:r>
          </w:p>
          <w:p w14:paraId="3E0AE043" w14:textId="77777777" w:rsidR="00CE1FFC" w:rsidRPr="00E0548A" w:rsidRDefault="00CE1FFC" w:rsidP="00CE1FFC">
            <w:pPr>
              <w:rPr>
                <w:rFonts w:ascii="ＭＳ 明朝" w:hAnsi="ＭＳ 明朝"/>
              </w:rPr>
            </w:pPr>
            <w:r w:rsidRPr="00E0548A">
              <w:rPr>
                <w:rFonts w:ascii="ＭＳ 明朝" w:hAnsi="ＭＳ 明朝" w:hint="eastAsia"/>
              </w:rPr>
              <w:t>○防災協定企業等の備えや準備の再確認と連絡体制の確保【各所管所属】</w:t>
            </w:r>
          </w:p>
          <w:p w14:paraId="424A4B99" w14:textId="77777777" w:rsidR="00CE1FFC" w:rsidRPr="00E0548A" w:rsidRDefault="00CE1FFC" w:rsidP="00CE1FFC">
            <w:pPr>
              <w:rPr>
                <w:rFonts w:ascii="ＭＳ 明朝" w:hAnsi="ＭＳ 明朝"/>
              </w:rPr>
            </w:pPr>
            <w:r w:rsidRPr="00E0548A">
              <w:rPr>
                <w:rFonts w:ascii="ＭＳ 明朝" w:hAnsi="ＭＳ 明朝" w:hint="eastAsia"/>
              </w:rPr>
              <w:t>○所管イベントの開催時の避難経路・安全対策確認【各所管所属】</w:t>
            </w:r>
          </w:p>
          <w:p w14:paraId="3742FD95" w14:textId="77777777" w:rsidR="00CE1FFC" w:rsidRPr="00E0548A" w:rsidRDefault="00CE1FFC" w:rsidP="00CE1FFC">
            <w:pPr>
              <w:ind w:left="211" w:hangingChars="100" w:hanging="211"/>
              <w:rPr>
                <w:rFonts w:ascii="ＭＳ 明朝" w:hAnsi="ＭＳ 明朝"/>
              </w:rPr>
            </w:pPr>
            <w:r w:rsidRPr="00E0548A">
              <w:rPr>
                <w:rFonts w:ascii="ＭＳ 明朝" w:hAnsi="ＭＳ 明朝" w:hint="eastAsia"/>
              </w:rPr>
              <w:t>○庁舎及び電気・電話・ガス・給排水・エレベーター等設備の防災保全措置【施設管理所属】</w:t>
            </w:r>
          </w:p>
          <w:p w14:paraId="2006FE2B" w14:textId="77777777" w:rsidR="00CE1FFC" w:rsidRPr="00E0548A" w:rsidRDefault="00CE1FFC" w:rsidP="00CE1FFC">
            <w:pPr>
              <w:ind w:left="211" w:hangingChars="100" w:hanging="211"/>
              <w:rPr>
                <w:rFonts w:ascii="ＭＳ 明朝" w:hAnsi="ＭＳ 明朝"/>
              </w:rPr>
            </w:pPr>
            <w:r w:rsidRPr="00E0548A">
              <w:rPr>
                <w:rFonts w:ascii="ＭＳ 明朝" w:hAnsi="ＭＳ 明朝" w:hint="eastAsia"/>
              </w:rPr>
              <w:t>○公用車等の点検・給油【各所管所属】</w:t>
            </w:r>
          </w:p>
          <w:p w14:paraId="47518493" w14:textId="77777777" w:rsidR="00CE1FFC" w:rsidRPr="00E0548A" w:rsidRDefault="00CE1FFC" w:rsidP="00CE1FFC">
            <w:pPr>
              <w:rPr>
                <w:rFonts w:ascii="ＭＳ 明朝" w:hAnsi="ＭＳ 明朝"/>
              </w:rPr>
            </w:pPr>
            <w:r w:rsidRPr="00E0548A">
              <w:rPr>
                <w:rFonts w:ascii="ＭＳ 明朝" w:hAnsi="ＭＳ 明朝" w:hint="eastAsia"/>
              </w:rPr>
              <w:t>○各種システムの運用方法の確認等【各所管所属】</w:t>
            </w:r>
          </w:p>
          <w:p w14:paraId="1D57C3C9" w14:textId="77777777" w:rsidR="00CE1FFC" w:rsidRPr="00E0548A" w:rsidRDefault="00CE1FFC" w:rsidP="00CE1FFC">
            <w:pPr>
              <w:rPr>
                <w:rFonts w:ascii="ＭＳ 明朝" w:hAnsi="ＭＳ 明朝"/>
              </w:rPr>
            </w:pPr>
            <w:r w:rsidRPr="00E0548A">
              <w:rPr>
                <w:rFonts w:ascii="ＭＳ 明朝" w:hAnsi="ＭＳ 明朝" w:hint="eastAsia"/>
              </w:rPr>
              <w:t>○防災上重要な施設（津波防御施設・ため池等）の確認・点検【各所管所属】</w:t>
            </w:r>
          </w:p>
          <w:p w14:paraId="4AFEBB54" w14:textId="77777777" w:rsidR="00CE1FFC" w:rsidRPr="00E0548A" w:rsidRDefault="00CE1FFC" w:rsidP="00CE1FFC">
            <w:pPr>
              <w:rPr>
                <w:rFonts w:ascii="ＭＳ 明朝" w:hAnsi="ＭＳ 明朝"/>
              </w:rPr>
            </w:pPr>
            <w:r w:rsidRPr="00E0548A">
              <w:rPr>
                <w:rFonts w:ascii="ＭＳ 明朝" w:hAnsi="ＭＳ 明朝" w:hint="eastAsia"/>
              </w:rPr>
              <w:t>○危険個所の確認・パトロール【各農緑事務所】</w:t>
            </w:r>
          </w:p>
          <w:p w14:paraId="29656008" w14:textId="53BB8E1D" w:rsidR="00CE1FFC" w:rsidRPr="00E0548A" w:rsidRDefault="00CE1FFC" w:rsidP="00CE1FFC">
            <w:pPr>
              <w:rPr>
                <w:rFonts w:ascii="ＭＳ 明朝" w:hAnsi="ＭＳ 明朝"/>
              </w:rPr>
            </w:pPr>
            <w:r w:rsidRPr="00E0548A">
              <w:rPr>
                <w:rFonts w:ascii="ＭＳ 明朝" w:hAnsi="ＭＳ 明朝" w:hint="eastAsia"/>
              </w:rPr>
              <w:t>○発注工事</w:t>
            </w:r>
            <w:r w:rsidR="009E3501" w:rsidRPr="00E0548A">
              <w:rPr>
                <w:rFonts w:ascii="ＭＳ 明朝" w:hAnsi="ＭＳ 明朝" w:hint="eastAsia"/>
              </w:rPr>
              <w:t>現場</w:t>
            </w:r>
            <w:r w:rsidRPr="00E0548A">
              <w:rPr>
                <w:rFonts w:ascii="ＭＳ 明朝" w:hAnsi="ＭＳ 明朝" w:hint="eastAsia"/>
              </w:rPr>
              <w:t>の</w:t>
            </w:r>
            <w:r w:rsidR="009E3501" w:rsidRPr="00E0548A">
              <w:rPr>
                <w:rFonts w:ascii="ＭＳ 明朝" w:hAnsi="ＭＳ 明朝" w:hint="eastAsia"/>
              </w:rPr>
              <w:t>安全確保</w:t>
            </w:r>
            <w:r w:rsidRPr="00E0548A">
              <w:rPr>
                <w:rFonts w:ascii="ＭＳ 明朝" w:hAnsi="ＭＳ 明朝" w:hint="eastAsia"/>
              </w:rPr>
              <w:t>【各所管所属】</w:t>
            </w:r>
          </w:p>
          <w:p w14:paraId="6B3AD320" w14:textId="3121D691" w:rsidR="000C3CFA" w:rsidRPr="00E0548A" w:rsidRDefault="00CE1FFC" w:rsidP="00CE1FFC">
            <w:pPr>
              <w:rPr>
                <w:rFonts w:ascii="ＭＳ 明朝" w:hAnsi="ＭＳ 明朝"/>
                <w:szCs w:val="21"/>
              </w:rPr>
            </w:pPr>
            <w:r w:rsidRPr="00E0548A">
              <w:rPr>
                <w:rFonts w:ascii="ＭＳ 明朝" w:hAnsi="ＭＳ 明朝" w:hint="eastAsia"/>
                <w:kern w:val="0"/>
              </w:rPr>
              <w:t>○海外出張者一行への連絡 【各所管所属】</w:t>
            </w:r>
          </w:p>
        </w:tc>
      </w:tr>
    </w:tbl>
    <w:p w14:paraId="17A8893E" w14:textId="77777777" w:rsidR="00CE1FFC" w:rsidRPr="00E0548A" w:rsidRDefault="00CE1FFC" w:rsidP="007650CC">
      <w:pPr>
        <w:rPr>
          <w:rFonts w:ascii="ＭＳ 明朝" w:hAnsi="ＭＳ 明朝"/>
          <w:szCs w:val="21"/>
        </w:rPr>
      </w:pPr>
    </w:p>
    <w:p w14:paraId="1D356960" w14:textId="00855F60" w:rsidR="007650CC" w:rsidRPr="00E0548A" w:rsidRDefault="00CE1FFC" w:rsidP="007650CC">
      <w:pPr>
        <w:rPr>
          <w:rFonts w:ascii="ＭＳ 明朝" w:hAnsi="ＭＳ 明朝"/>
          <w:szCs w:val="21"/>
        </w:rPr>
      </w:pPr>
      <w:r w:rsidRPr="00E0548A">
        <w:rPr>
          <w:rFonts w:ascii="ＭＳ 明朝" w:hAnsi="ＭＳ 明朝" w:hint="eastAsia"/>
          <w:szCs w:val="21"/>
        </w:rPr>
        <w:t>なお、南海トラフ地震臨時情報（巨大地震警戒及び注意）発表時の主な所管施設等については、前述する＜災害発生時＞に記載する内容と同様。</w:t>
      </w:r>
    </w:p>
    <w:p w14:paraId="04C8BE57" w14:textId="25183788" w:rsidR="007650CC" w:rsidRPr="00E0548A" w:rsidRDefault="007650CC" w:rsidP="008B4B2B">
      <w:pPr>
        <w:ind w:firstLineChars="300" w:firstLine="543"/>
        <w:rPr>
          <w:rFonts w:ascii="ＭＳ 明朝" w:hAnsi="ＭＳ 明朝"/>
          <w:sz w:val="18"/>
          <w:szCs w:val="18"/>
        </w:rPr>
      </w:pPr>
    </w:p>
    <w:p w14:paraId="2D1723F7" w14:textId="060AA453" w:rsidR="007650CC" w:rsidRPr="00E0548A" w:rsidRDefault="007650CC" w:rsidP="008B4B2B">
      <w:pPr>
        <w:ind w:firstLineChars="300" w:firstLine="543"/>
        <w:rPr>
          <w:rFonts w:ascii="ＭＳ 明朝" w:hAnsi="ＭＳ 明朝"/>
          <w:sz w:val="18"/>
          <w:szCs w:val="18"/>
        </w:rPr>
      </w:pPr>
    </w:p>
    <w:p w14:paraId="614EB06F" w14:textId="22D37994" w:rsidR="000C3CFA" w:rsidRPr="00E0548A" w:rsidRDefault="000C3CFA" w:rsidP="008B4B2B">
      <w:pPr>
        <w:ind w:firstLineChars="300" w:firstLine="543"/>
        <w:rPr>
          <w:rFonts w:ascii="ＭＳ 明朝" w:hAnsi="ＭＳ 明朝"/>
          <w:sz w:val="18"/>
          <w:szCs w:val="18"/>
        </w:rPr>
      </w:pPr>
    </w:p>
    <w:p w14:paraId="1F71AC30" w14:textId="77777777" w:rsidR="00D93C38" w:rsidRPr="00E0548A" w:rsidRDefault="00D93C38">
      <w:pPr>
        <w:widowControl/>
        <w:jc w:val="left"/>
        <w:rPr>
          <w:rFonts w:ascii="ＭＳ ゴシック" w:eastAsia="ＭＳ ゴシック" w:hAnsi="ＭＳ ゴシック"/>
          <w:szCs w:val="21"/>
        </w:rPr>
      </w:pPr>
      <w:r w:rsidRPr="00E0548A">
        <w:rPr>
          <w:rFonts w:ascii="ＭＳ ゴシック" w:eastAsia="ＭＳ ゴシック" w:hAnsi="ＭＳ ゴシック"/>
          <w:szCs w:val="21"/>
        </w:rPr>
        <w:br w:type="page"/>
      </w:r>
    </w:p>
    <w:p w14:paraId="51BAA854" w14:textId="1894CC63" w:rsidR="008B4B2B" w:rsidRPr="00E0548A" w:rsidRDefault="008B4B2B" w:rsidP="008B4B2B">
      <w:pPr>
        <w:rPr>
          <w:rFonts w:ascii="ＭＳ ゴシック" w:eastAsia="ＭＳ ゴシック" w:hAnsi="ＭＳ ゴシック"/>
          <w:szCs w:val="21"/>
        </w:rPr>
      </w:pPr>
      <w:r w:rsidRPr="00E0548A">
        <w:rPr>
          <w:rFonts w:ascii="ＭＳ ゴシック" w:eastAsia="ＭＳ ゴシック" w:hAnsi="ＭＳ ゴシック" w:hint="eastAsia"/>
          <w:szCs w:val="21"/>
        </w:rPr>
        <w:lastRenderedPageBreak/>
        <w:t>⑫都市整備部</w:t>
      </w:r>
    </w:p>
    <w:p w14:paraId="4C3F7BA8" w14:textId="77777777" w:rsidR="002C01FF" w:rsidRPr="00E0548A" w:rsidRDefault="002C01FF" w:rsidP="002C01FF">
      <w:pPr>
        <w:pStyle w:val="af4"/>
        <w:ind w:leftChars="0" w:left="0"/>
        <w:rPr>
          <w:rFonts w:ascii="ＭＳ ゴシック" w:eastAsia="ＭＳ ゴシック" w:hAnsi="ＭＳ ゴシック"/>
          <w:szCs w:val="21"/>
        </w:rPr>
      </w:pPr>
      <w:r w:rsidRPr="00E0548A">
        <w:rPr>
          <w:rFonts w:ascii="ＭＳ ゴシック" w:eastAsia="ＭＳ ゴシック" w:hAnsi="ＭＳ ゴシック" w:hint="eastAsia"/>
          <w:szCs w:val="21"/>
        </w:rPr>
        <w:t>＜災害発生時＞</w:t>
      </w:r>
    </w:p>
    <w:tbl>
      <w:tblPr>
        <w:tblpPr w:leftFromText="142" w:rightFromText="142" w:vertAnchor="text" w:tblpXSpec="center" w:tblpY="1"/>
        <w:tblOverlap w:val="neve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18"/>
        <w:gridCol w:w="7316"/>
      </w:tblGrid>
      <w:tr w:rsidR="00E0548A" w:rsidRPr="00E0548A" w14:paraId="737D0A79" w14:textId="77777777" w:rsidTr="008B4B2B">
        <w:trPr>
          <w:jc w:val="center"/>
        </w:trPr>
        <w:tc>
          <w:tcPr>
            <w:tcW w:w="1518" w:type="dxa"/>
            <w:shd w:val="clear" w:color="auto" w:fill="BFBFBF"/>
          </w:tcPr>
          <w:p w14:paraId="00D870B7" w14:textId="77777777" w:rsidR="008B4B2B" w:rsidRPr="00E0548A" w:rsidRDefault="008B4B2B" w:rsidP="008B4B2B">
            <w:pPr>
              <w:jc w:val="center"/>
              <w:rPr>
                <w:rFonts w:ascii="ＭＳ 明朝" w:hAnsi="ＭＳ 明朝"/>
                <w:szCs w:val="21"/>
              </w:rPr>
            </w:pPr>
            <w:r w:rsidRPr="00E0548A">
              <w:rPr>
                <w:rFonts w:ascii="ＭＳ 明朝" w:hAnsi="ＭＳ 明朝" w:hint="eastAsia"/>
                <w:szCs w:val="21"/>
              </w:rPr>
              <w:t>フェーズ</w:t>
            </w:r>
          </w:p>
        </w:tc>
        <w:tc>
          <w:tcPr>
            <w:tcW w:w="7316" w:type="dxa"/>
            <w:shd w:val="clear" w:color="auto" w:fill="BFBFBF"/>
          </w:tcPr>
          <w:p w14:paraId="0A68D9ED" w14:textId="77777777" w:rsidR="008B4B2B" w:rsidRPr="00E0548A" w:rsidRDefault="008B4B2B" w:rsidP="008B4B2B">
            <w:pPr>
              <w:jc w:val="center"/>
              <w:rPr>
                <w:rFonts w:ascii="ＭＳ 明朝" w:hAnsi="ＭＳ 明朝"/>
                <w:szCs w:val="21"/>
              </w:rPr>
            </w:pPr>
            <w:r w:rsidRPr="00E0548A">
              <w:rPr>
                <w:rFonts w:ascii="ＭＳ 明朝" w:hAnsi="ＭＳ 明朝" w:hint="eastAsia"/>
                <w:szCs w:val="21"/>
              </w:rPr>
              <w:t>主な応急対策業務</w:t>
            </w:r>
          </w:p>
        </w:tc>
      </w:tr>
      <w:tr w:rsidR="00E0548A" w:rsidRPr="00E0548A" w14:paraId="17D06D43" w14:textId="77777777" w:rsidTr="008B4B2B">
        <w:trPr>
          <w:jc w:val="center"/>
        </w:trPr>
        <w:tc>
          <w:tcPr>
            <w:tcW w:w="1518" w:type="dxa"/>
          </w:tcPr>
          <w:p w14:paraId="1F07C433" w14:textId="77777777" w:rsidR="008B4B2B" w:rsidRPr="00E0548A" w:rsidRDefault="008B4B2B" w:rsidP="008B4B2B">
            <w:pPr>
              <w:rPr>
                <w:rFonts w:ascii="ＭＳ 明朝" w:hAnsi="ＭＳ 明朝"/>
                <w:szCs w:val="21"/>
              </w:rPr>
            </w:pPr>
            <w:r w:rsidRPr="00E0548A">
              <w:rPr>
                <w:rFonts w:ascii="ＭＳ 明朝" w:hAnsi="ＭＳ 明朝" w:hint="eastAsia"/>
                <w:szCs w:val="21"/>
              </w:rPr>
              <w:t>第1フェーズ</w:t>
            </w:r>
          </w:p>
          <w:p w14:paraId="07FE9A8B" w14:textId="77777777" w:rsidR="008B4B2B" w:rsidRPr="00E0548A" w:rsidRDefault="008B4B2B" w:rsidP="008B4B2B">
            <w:pPr>
              <w:rPr>
                <w:rFonts w:ascii="ＭＳ 明朝" w:hAnsi="ＭＳ 明朝"/>
                <w:szCs w:val="21"/>
              </w:rPr>
            </w:pPr>
            <w:r w:rsidRPr="00E0548A">
              <w:rPr>
                <w:rFonts w:ascii="ＭＳ 明朝" w:hAnsi="ＭＳ 明朝" w:hint="eastAsia"/>
                <w:szCs w:val="21"/>
              </w:rPr>
              <w:t>(3時間まで)</w:t>
            </w:r>
          </w:p>
          <w:p w14:paraId="4D7B7AF2" w14:textId="77777777" w:rsidR="008B4B2B" w:rsidRPr="00E0548A" w:rsidRDefault="008B4B2B" w:rsidP="008B4B2B">
            <w:pPr>
              <w:rPr>
                <w:rFonts w:ascii="ＭＳ 明朝" w:hAnsi="ＭＳ 明朝"/>
                <w:szCs w:val="21"/>
              </w:rPr>
            </w:pPr>
          </w:p>
        </w:tc>
        <w:tc>
          <w:tcPr>
            <w:tcW w:w="7316" w:type="dxa"/>
          </w:tcPr>
          <w:p w14:paraId="15287573" w14:textId="77777777" w:rsidR="008B4B2B" w:rsidRPr="00E0548A" w:rsidRDefault="008B4B2B" w:rsidP="008B4B2B">
            <w:pPr>
              <w:rPr>
                <w:rFonts w:ascii="ＭＳ 明朝" w:hAnsi="ＭＳ 明朝"/>
                <w:szCs w:val="21"/>
              </w:rPr>
            </w:pPr>
            <w:r w:rsidRPr="00E0548A">
              <w:rPr>
                <w:rFonts w:ascii="ＭＳ 明朝" w:hAnsi="ＭＳ 明朝" w:hint="eastAsia"/>
                <w:szCs w:val="21"/>
              </w:rPr>
              <w:t>○初動対応、体制の確立</w:t>
            </w:r>
          </w:p>
          <w:p w14:paraId="4C2E86F5" w14:textId="77777777" w:rsidR="008B4B2B" w:rsidRPr="00E0548A" w:rsidRDefault="008B4B2B" w:rsidP="008B4B2B">
            <w:pPr>
              <w:rPr>
                <w:rFonts w:ascii="ＭＳ 明朝" w:hAnsi="ＭＳ 明朝"/>
                <w:szCs w:val="21"/>
              </w:rPr>
            </w:pPr>
            <w:r w:rsidRPr="00E0548A">
              <w:rPr>
                <w:rFonts w:ascii="ＭＳ 明朝" w:hAnsi="ＭＳ 明朝" w:hint="eastAsia"/>
                <w:szCs w:val="21"/>
              </w:rPr>
              <w:t>○水門・鉄扉等の閉鎖確認(津波の場合)</w:t>
            </w:r>
          </w:p>
          <w:p w14:paraId="5786CC7B" w14:textId="77777777" w:rsidR="00D02441" w:rsidRPr="00E0548A" w:rsidRDefault="008B4B2B" w:rsidP="008B4B2B">
            <w:pPr>
              <w:rPr>
                <w:rFonts w:ascii="ＭＳ 明朝" w:hAnsi="ＭＳ 明朝"/>
                <w:szCs w:val="21"/>
              </w:rPr>
            </w:pPr>
            <w:r w:rsidRPr="00E0548A">
              <w:rPr>
                <w:rFonts w:ascii="ＭＳ 明朝" w:hAnsi="ＭＳ 明朝" w:hint="eastAsia"/>
                <w:szCs w:val="21"/>
              </w:rPr>
              <w:t>○所管施設</w:t>
            </w:r>
            <w:r w:rsidR="00D02441" w:rsidRPr="00E0548A">
              <w:rPr>
                <w:rFonts w:ascii="ＭＳ 明朝" w:hAnsi="ＭＳ 明朝" w:hint="eastAsia"/>
                <w:szCs w:val="21"/>
              </w:rPr>
              <w:t>（府営公園・府営住宅など）及び施設利用者</w:t>
            </w:r>
            <w:r w:rsidR="00D22D4F" w:rsidRPr="00E0548A">
              <w:rPr>
                <w:rFonts w:ascii="ＭＳ 明朝" w:hAnsi="ＭＳ 明朝" w:hint="eastAsia"/>
                <w:szCs w:val="21"/>
              </w:rPr>
              <w:t>等</w:t>
            </w:r>
            <w:r w:rsidRPr="00E0548A">
              <w:rPr>
                <w:rFonts w:ascii="ＭＳ 明朝" w:hAnsi="ＭＳ 明朝" w:hint="eastAsia"/>
                <w:szCs w:val="21"/>
              </w:rPr>
              <w:t>の安全確認</w:t>
            </w:r>
          </w:p>
          <w:p w14:paraId="2FFC381A" w14:textId="2183C770" w:rsidR="008B4B2B" w:rsidRPr="00E0548A" w:rsidRDefault="008B4B2B" w:rsidP="00D02441">
            <w:pPr>
              <w:ind w:firstLineChars="100" w:firstLine="211"/>
              <w:rPr>
                <w:rFonts w:ascii="ＭＳ 明朝" w:hAnsi="ＭＳ 明朝"/>
                <w:szCs w:val="21"/>
              </w:rPr>
            </w:pPr>
            <w:r w:rsidRPr="00E0548A">
              <w:rPr>
                <w:rFonts w:ascii="ＭＳ 明朝" w:hAnsi="ＭＳ 明朝" w:hint="eastAsia"/>
                <w:szCs w:val="21"/>
              </w:rPr>
              <w:t>【各所管所属】</w:t>
            </w:r>
          </w:p>
          <w:p w14:paraId="7A0101C7" w14:textId="77777777" w:rsidR="008B4B2B" w:rsidRPr="00E0548A" w:rsidRDefault="008B4B2B" w:rsidP="008B4B2B">
            <w:pPr>
              <w:rPr>
                <w:rFonts w:ascii="ＭＳ 明朝" w:hAnsi="ＭＳ 明朝"/>
                <w:szCs w:val="21"/>
              </w:rPr>
            </w:pPr>
            <w:r w:rsidRPr="00E0548A">
              <w:rPr>
                <w:rFonts w:ascii="ＭＳ 明朝" w:hAnsi="ＭＳ 明朝" w:hint="eastAsia"/>
                <w:szCs w:val="21"/>
              </w:rPr>
              <w:t>○部内職員の安否確認と参集状況の把握【都整総務】</w:t>
            </w:r>
          </w:p>
          <w:p w14:paraId="13AE2250" w14:textId="15E141A3" w:rsidR="008B4B2B" w:rsidRPr="00E0548A" w:rsidRDefault="00D02441" w:rsidP="008B4B2B">
            <w:pPr>
              <w:rPr>
                <w:rFonts w:ascii="ＭＳ 明朝" w:hAnsi="ＭＳ 明朝"/>
                <w:szCs w:val="21"/>
              </w:rPr>
            </w:pPr>
            <w:r w:rsidRPr="00E0548A">
              <w:rPr>
                <w:rFonts w:ascii="ＭＳ 明朝" w:hAnsi="ＭＳ 明朝" w:hint="eastAsia"/>
                <w:szCs w:val="21"/>
              </w:rPr>
              <w:t>○部内及び関係機関からの情報収集及び連絡調整【各所管所属</w:t>
            </w:r>
            <w:r w:rsidR="008B4B2B" w:rsidRPr="00E0548A">
              <w:rPr>
                <w:rFonts w:ascii="ＭＳ 明朝" w:hAnsi="ＭＳ 明朝" w:hint="eastAsia"/>
                <w:szCs w:val="21"/>
              </w:rPr>
              <w:t>】</w:t>
            </w:r>
          </w:p>
          <w:p w14:paraId="1A6703A6" w14:textId="706480BD" w:rsidR="008B4B2B" w:rsidRPr="00E0548A" w:rsidRDefault="008B4B2B" w:rsidP="008B4B2B">
            <w:pPr>
              <w:rPr>
                <w:rFonts w:ascii="ＭＳ 明朝" w:hAnsi="ＭＳ 明朝"/>
                <w:szCs w:val="21"/>
              </w:rPr>
            </w:pPr>
            <w:r w:rsidRPr="00E0548A">
              <w:rPr>
                <w:rFonts w:ascii="ＭＳ 明朝" w:hAnsi="ＭＳ 明朝" w:hint="eastAsia"/>
                <w:szCs w:val="21"/>
              </w:rPr>
              <w:t>○ダム臨時点検のとりまとめ（</w:t>
            </w:r>
            <w:r w:rsidR="00D02441" w:rsidRPr="00E0548A">
              <w:rPr>
                <w:rFonts w:ascii="ＭＳ 明朝" w:hAnsi="ＭＳ 明朝" w:hint="eastAsia"/>
                <w:szCs w:val="21"/>
              </w:rPr>
              <w:t>箕面川ダム、狭山池ダム</w:t>
            </w:r>
            <w:r w:rsidRPr="00E0548A">
              <w:rPr>
                <w:rFonts w:ascii="ＭＳ 明朝" w:hAnsi="ＭＳ 明朝" w:hint="eastAsia"/>
                <w:szCs w:val="21"/>
              </w:rPr>
              <w:t>、安威川ダム）</w:t>
            </w:r>
          </w:p>
          <w:p w14:paraId="7D03ADB3" w14:textId="77777777" w:rsidR="008B4B2B" w:rsidRPr="00E0548A" w:rsidRDefault="008B4B2B" w:rsidP="008B4B2B">
            <w:pPr>
              <w:ind w:firstLineChars="100" w:firstLine="211"/>
              <w:rPr>
                <w:rFonts w:ascii="ＭＳ 明朝" w:hAnsi="ＭＳ 明朝"/>
                <w:szCs w:val="21"/>
              </w:rPr>
            </w:pPr>
            <w:r w:rsidRPr="00E0548A">
              <w:rPr>
                <w:rFonts w:ascii="ＭＳ 明朝" w:hAnsi="ＭＳ 明朝" w:hint="eastAsia"/>
                <w:szCs w:val="21"/>
              </w:rPr>
              <w:t>【各所管所属】</w:t>
            </w:r>
          </w:p>
          <w:p w14:paraId="112BA74A" w14:textId="77777777" w:rsidR="008B4B2B" w:rsidRPr="00E0548A" w:rsidRDefault="008B4B2B" w:rsidP="008B4B2B">
            <w:pPr>
              <w:rPr>
                <w:rFonts w:ascii="ＭＳ 明朝" w:hAnsi="ＭＳ 明朝"/>
                <w:szCs w:val="21"/>
              </w:rPr>
            </w:pPr>
            <w:r w:rsidRPr="00E0548A">
              <w:rPr>
                <w:rFonts w:ascii="ＭＳ 明朝" w:hAnsi="ＭＳ 明朝" w:hint="eastAsia"/>
                <w:szCs w:val="21"/>
              </w:rPr>
              <w:t>○職員・来庁者の救助・搬送【各所属】</w:t>
            </w:r>
          </w:p>
          <w:p w14:paraId="52BD6DB7" w14:textId="77777777" w:rsidR="00172952" w:rsidRPr="00E0548A" w:rsidRDefault="00172952" w:rsidP="00B35001">
            <w:pPr>
              <w:rPr>
                <w:rFonts w:ascii="ＭＳ 明朝" w:hAnsi="ＭＳ 明朝"/>
                <w:szCs w:val="21"/>
              </w:rPr>
            </w:pPr>
            <w:r w:rsidRPr="00E0548A">
              <w:rPr>
                <w:rFonts w:ascii="ＭＳ 明朝" w:hAnsi="ＭＳ 明朝" w:hint="eastAsia"/>
                <w:szCs w:val="21"/>
              </w:rPr>
              <w:t>○被災建築物応急危険度判定支援本部の設置、運営開始</w:t>
            </w:r>
            <w:r w:rsidR="00D22D4F" w:rsidRPr="00E0548A">
              <w:rPr>
                <w:rFonts w:ascii="ＭＳ 明朝" w:hAnsi="ＭＳ 明朝" w:hint="eastAsia"/>
                <w:szCs w:val="21"/>
              </w:rPr>
              <w:t>【</w:t>
            </w:r>
            <w:r w:rsidR="004411E1" w:rsidRPr="00E0548A">
              <w:rPr>
                <w:rFonts w:ascii="ＭＳ 明朝" w:hAnsi="ＭＳ 明朝" w:hint="eastAsia"/>
                <w:szCs w:val="21"/>
              </w:rPr>
              <w:t>事業調整室</w:t>
            </w:r>
            <w:r w:rsidRPr="00E0548A">
              <w:rPr>
                <w:rFonts w:ascii="ＭＳ 明朝" w:hAnsi="ＭＳ 明朝" w:hint="eastAsia"/>
                <w:szCs w:val="21"/>
              </w:rPr>
              <w:t>】</w:t>
            </w:r>
          </w:p>
          <w:p w14:paraId="4826E949" w14:textId="77777777" w:rsidR="00D22D4F" w:rsidRPr="00E0548A" w:rsidRDefault="00D22D4F" w:rsidP="00B35001">
            <w:pPr>
              <w:ind w:left="209" w:hangingChars="99" w:hanging="209"/>
              <w:rPr>
                <w:rFonts w:ascii="ＭＳ 明朝" w:hAnsi="ＭＳ 明朝"/>
                <w:szCs w:val="21"/>
              </w:rPr>
            </w:pPr>
            <w:r w:rsidRPr="00E0548A">
              <w:rPr>
                <w:rFonts w:ascii="ＭＳ 明朝" w:hAnsi="ＭＳ 明朝" w:hint="eastAsia"/>
                <w:szCs w:val="21"/>
              </w:rPr>
              <w:t>○大阪府災害時</w:t>
            </w:r>
            <w:r w:rsidR="00544D37" w:rsidRPr="00E0548A">
              <w:rPr>
                <w:rFonts w:ascii="ＭＳ 明朝" w:hAnsi="ＭＳ 明朝" w:hint="eastAsia"/>
                <w:szCs w:val="21"/>
              </w:rPr>
              <w:t>民間賃貸住宅借上制度に係る協定団体との連絡体制の確保【建築指導室</w:t>
            </w:r>
            <w:r w:rsidRPr="00E0548A">
              <w:rPr>
                <w:rFonts w:ascii="ＭＳ 明朝" w:hAnsi="ＭＳ 明朝" w:hint="eastAsia"/>
                <w:szCs w:val="21"/>
              </w:rPr>
              <w:t>】</w:t>
            </w:r>
          </w:p>
        </w:tc>
      </w:tr>
      <w:tr w:rsidR="00E0548A" w:rsidRPr="00E0548A" w14:paraId="5303A99A" w14:textId="77777777" w:rsidTr="008B4B2B">
        <w:trPr>
          <w:jc w:val="center"/>
        </w:trPr>
        <w:tc>
          <w:tcPr>
            <w:tcW w:w="1518" w:type="dxa"/>
          </w:tcPr>
          <w:p w14:paraId="31FC71B7" w14:textId="77777777" w:rsidR="008B4B2B" w:rsidRPr="00E0548A" w:rsidRDefault="008B4B2B" w:rsidP="008B4B2B">
            <w:pPr>
              <w:rPr>
                <w:rFonts w:ascii="ＭＳ 明朝" w:hAnsi="ＭＳ 明朝"/>
                <w:szCs w:val="21"/>
              </w:rPr>
            </w:pPr>
            <w:r w:rsidRPr="00E0548A">
              <w:rPr>
                <w:rFonts w:ascii="ＭＳ 明朝" w:hAnsi="ＭＳ 明朝" w:hint="eastAsia"/>
                <w:szCs w:val="21"/>
              </w:rPr>
              <w:t>第2フェーズ</w:t>
            </w:r>
          </w:p>
          <w:p w14:paraId="3CA3532C" w14:textId="77777777" w:rsidR="008B4B2B" w:rsidRPr="00E0548A" w:rsidRDefault="008B4B2B" w:rsidP="008B4B2B">
            <w:pPr>
              <w:rPr>
                <w:rFonts w:ascii="ＭＳ 明朝" w:hAnsi="ＭＳ 明朝"/>
                <w:szCs w:val="21"/>
              </w:rPr>
            </w:pPr>
            <w:r w:rsidRPr="00E0548A">
              <w:rPr>
                <w:rFonts w:ascii="ＭＳ 明朝" w:hAnsi="ＭＳ 明朝" w:hint="eastAsia"/>
                <w:szCs w:val="21"/>
              </w:rPr>
              <w:t>(24時間まで)</w:t>
            </w:r>
          </w:p>
          <w:p w14:paraId="60BA82B8" w14:textId="77777777" w:rsidR="008B4B2B" w:rsidRPr="00E0548A" w:rsidRDefault="008B4B2B" w:rsidP="008B4B2B">
            <w:pPr>
              <w:rPr>
                <w:rFonts w:ascii="ＭＳ 明朝" w:hAnsi="ＭＳ 明朝"/>
                <w:szCs w:val="21"/>
              </w:rPr>
            </w:pPr>
          </w:p>
        </w:tc>
        <w:tc>
          <w:tcPr>
            <w:tcW w:w="7316" w:type="dxa"/>
          </w:tcPr>
          <w:p w14:paraId="6E35AE79" w14:textId="77777777" w:rsidR="008B4B2B" w:rsidRPr="00E0548A" w:rsidRDefault="008B4B2B" w:rsidP="008B4B2B">
            <w:pPr>
              <w:ind w:left="211" w:hangingChars="100" w:hanging="211"/>
              <w:rPr>
                <w:rFonts w:ascii="ＭＳ 明朝" w:hAnsi="ＭＳ 明朝"/>
                <w:szCs w:val="21"/>
              </w:rPr>
            </w:pPr>
            <w:r w:rsidRPr="00E0548A">
              <w:rPr>
                <w:rFonts w:ascii="ＭＳ 明朝" w:hAnsi="ＭＳ 明朝" w:hint="eastAsia"/>
                <w:szCs w:val="21"/>
              </w:rPr>
              <w:t>○所管施設及び国・市町村等の関係施設（道路・河川等）の内、府民生活に重要なものの被害状況の把握とその他の施設の被害状況のとりまとめ</w:t>
            </w:r>
          </w:p>
          <w:p w14:paraId="1C734BCC" w14:textId="77777777" w:rsidR="008B4B2B" w:rsidRPr="00E0548A" w:rsidRDefault="008B4B2B" w:rsidP="008B4B2B">
            <w:pPr>
              <w:ind w:firstLineChars="100" w:firstLine="211"/>
              <w:rPr>
                <w:rFonts w:ascii="ＭＳ 明朝" w:hAnsi="ＭＳ 明朝"/>
                <w:szCs w:val="21"/>
              </w:rPr>
            </w:pPr>
            <w:r w:rsidRPr="00E0548A">
              <w:rPr>
                <w:rFonts w:ascii="ＭＳ 明朝" w:hAnsi="ＭＳ 明朝" w:hint="eastAsia"/>
                <w:szCs w:val="21"/>
              </w:rPr>
              <w:t>【事業</w:t>
            </w:r>
            <w:r w:rsidR="005A20B7" w:rsidRPr="00E0548A">
              <w:rPr>
                <w:rFonts w:ascii="ＭＳ 明朝" w:hAnsi="ＭＳ 明朝" w:hint="eastAsia"/>
                <w:szCs w:val="21"/>
              </w:rPr>
              <w:t>調整</w:t>
            </w:r>
            <w:r w:rsidRPr="00E0548A">
              <w:rPr>
                <w:rFonts w:ascii="ＭＳ 明朝" w:hAnsi="ＭＳ 明朝" w:hint="eastAsia"/>
                <w:szCs w:val="21"/>
              </w:rPr>
              <w:t>室】</w:t>
            </w:r>
          </w:p>
          <w:p w14:paraId="0E2FA40F" w14:textId="691A012B" w:rsidR="008B4B2B" w:rsidRPr="00E0548A" w:rsidRDefault="008B4B2B" w:rsidP="008B4B2B">
            <w:pPr>
              <w:rPr>
                <w:rFonts w:ascii="ＭＳ 明朝" w:hAnsi="ＭＳ 明朝"/>
                <w:szCs w:val="21"/>
              </w:rPr>
            </w:pPr>
            <w:r w:rsidRPr="00E0548A">
              <w:rPr>
                <w:rFonts w:ascii="ＭＳ 明朝" w:hAnsi="ＭＳ 明朝" w:hint="eastAsia"/>
                <w:szCs w:val="21"/>
              </w:rPr>
              <w:t>○</w:t>
            </w:r>
            <w:r w:rsidR="00D577B9" w:rsidRPr="00E0548A">
              <w:rPr>
                <w:rFonts w:ascii="ＭＳ 明朝" w:hAnsi="ＭＳ 明朝" w:hint="eastAsia"/>
                <w:szCs w:val="21"/>
              </w:rPr>
              <w:t>所管施設等の</w:t>
            </w:r>
            <w:r w:rsidRPr="00E0548A">
              <w:rPr>
                <w:rFonts w:ascii="ＭＳ 明朝" w:hAnsi="ＭＳ 明朝" w:hint="eastAsia"/>
                <w:szCs w:val="21"/>
              </w:rPr>
              <w:t>被害報告及び二次災害防止対策の実施【各所管所属】</w:t>
            </w:r>
          </w:p>
          <w:p w14:paraId="54B589D9" w14:textId="77777777" w:rsidR="008B4B2B" w:rsidRPr="00E0548A" w:rsidRDefault="008B4B2B" w:rsidP="008B4B2B">
            <w:pPr>
              <w:rPr>
                <w:rFonts w:ascii="ＭＳ 明朝" w:hAnsi="ＭＳ 明朝"/>
                <w:szCs w:val="21"/>
              </w:rPr>
            </w:pPr>
            <w:r w:rsidRPr="00E0548A">
              <w:rPr>
                <w:rFonts w:ascii="ＭＳ 明朝" w:hAnsi="ＭＳ 明朝" w:hint="eastAsia"/>
                <w:szCs w:val="21"/>
              </w:rPr>
              <w:t>○公共交通の運行状況</w:t>
            </w:r>
            <w:r w:rsidR="000102DF" w:rsidRPr="00E0548A">
              <w:rPr>
                <w:rFonts w:ascii="ＭＳ 明朝" w:hAnsi="ＭＳ 明朝" w:hint="eastAsia"/>
                <w:szCs w:val="21"/>
              </w:rPr>
              <w:t>・踏切遮断状況</w:t>
            </w:r>
            <w:r w:rsidRPr="00E0548A">
              <w:rPr>
                <w:rFonts w:ascii="ＭＳ 明朝" w:hAnsi="ＭＳ 明朝" w:hint="eastAsia"/>
                <w:szCs w:val="21"/>
              </w:rPr>
              <w:t>の情報収集【交通</w:t>
            </w:r>
            <w:r w:rsidR="00E6472E" w:rsidRPr="00E0548A">
              <w:rPr>
                <w:rFonts w:ascii="ＭＳ 明朝" w:hAnsi="ＭＳ 明朝" w:hint="eastAsia"/>
                <w:szCs w:val="21"/>
              </w:rPr>
              <w:t>戦略</w:t>
            </w:r>
            <w:r w:rsidRPr="00E0548A">
              <w:rPr>
                <w:rFonts w:ascii="ＭＳ 明朝" w:hAnsi="ＭＳ 明朝" w:hint="eastAsia"/>
                <w:szCs w:val="21"/>
              </w:rPr>
              <w:t>室】</w:t>
            </w:r>
          </w:p>
          <w:p w14:paraId="758597B0" w14:textId="7D6263D1" w:rsidR="008B4B2B" w:rsidRPr="00E0548A" w:rsidRDefault="005C4F02" w:rsidP="005C4F02">
            <w:pPr>
              <w:rPr>
                <w:rFonts w:ascii="ＭＳ 明朝" w:hAnsi="ＭＳ 明朝"/>
                <w:szCs w:val="21"/>
              </w:rPr>
            </w:pPr>
            <w:r w:rsidRPr="00E0548A">
              <w:rPr>
                <w:rFonts w:ascii="ＭＳ 明朝" w:hAnsi="ＭＳ 明朝" w:hint="eastAsia"/>
                <w:szCs w:val="21"/>
              </w:rPr>
              <w:t>○広域緊急交通路の</w:t>
            </w:r>
            <w:r w:rsidR="008B4B2B" w:rsidRPr="00E0548A">
              <w:rPr>
                <w:rFonts w:ascii="ＭＳ 明朝" w:hAnsi="ＭＳ 明朝" w:hint="eastAsia"/>
                <w:szCs w:val="21"/>
              </w:rPr>
              <w:t>道路啓開作業の開始【道路室】</w:t>
            </w:r>
          </w:p>
          <w:p w14:paraId="21193E24" w14:textId="77777777" w:rsidR="008B4B2B" w:rsidRPr="00E0548A" w:rsidRDefault="008B4B2B" w:rsidP="008B4B2B">
            <w:pPr>
              <w:rPr>
                <w:rFonts w:ascii="ＭＳ 明朝" w:hAnsi="ＭＳ 明朝"/>
                <w:szCs w:val="21"/>
              </w:rPr>
            </w:pPr>
            <w:r w:rsidRPr="00E0548A">
              <w:rPr>
                <w:rFonts w:ascii="ＭＳ 明朝" w:hAnsi="ＭＳ 明朝" w:hint="eastAsia"/>
                <w:szCs w:val="21"/>
              </w:rPr>
              <w:t>○道路交通確保に要する建設業界との応援等に係る連絡調整【各所管所属】</w:t>
            </w:r>
          </w:p>
          <w:p w14:paraId="6071A0A6" w14:textId="77777777" w:rsidR="008B4B2B" w:rsidRPr="00E0548A" w:rsidRDefault="008B4B2B" w:rsidP="008B4B2B">
            <w:pPr>
              <w:rPr>
                <w:rFonts w:ascii="ＭＳ 明朝" w:hAnsi="ＭＳ 明朝"/>
                <w:szCs w:val="21"/>
              </w:rPr>
            </w:pPr>
            <w:r w:rsidRPr="00E0548A">
              <w:rPr>
                <w:rFonts w:ascii="ＭＳ 明朝" w:hAnsi="ＭＳ 明朝" w:hint="eastAsia"/>
                <w:szCs w:val="21"/>
              </w:rPr>
              <w:t>○広域避難場所の安全性確保及び後方支援活動拠点の受入れ準備開始</w:t>
            </w:r>
          </w:p>
          <w:p w14:paraId="022CFBA4" w14:textId="77777777" w:rsidR="008B4B2B" w:rsidRPr="00E0548A" w:rsidRDefault="008B4B2B" w:rsidP="008B4B2B">
            <w:pPr>
              <w:ind w:firstLineChars="100" w:firstLine="211"/>
              <w:rPr>
                <w:rFonts w:ascii="ＭＳ 明朝" w:hAnsi="ＭＳ 明朝"/>
                <w:szCs w:val="21"/>
              </w:rPr>
            </w:pPr>
            <w:r w:rsidRPr="00E0548A">
              <w:rPr>
                <w:rFonts w:ascii="ＭＳ 明朝" w:hAnsi="ＭＳ 明朝" w:hint="eastAsia"/>
                <w:szCs w:val="21"/>
              </w:rPr>
              <w:t>【</w:t>
            </w:r>
            <w:r w:rsidR="00B57B9A" w:rsidRPr="00E0548A">
              <w:rPr>
                <w:rFonts w:ascii="ＭＳ 明朝" w:hAnsi="ＭＳ 明朝" w:hint="eastAsia"/>
                <w:szCs w:val="21"/>
              </w:rPr>
              <w:t>公園課</w:t>
            </w:r>
            <w:r w:rsidRPr="00E0548A">
              <w:rPr>
                <w:rFonts w:ascii="ＭＳ 明朝" w:hAnsi="ＭＳ 明朝" w:hint="eastAsia"/>
                <w:szCs w:val="21"/>
              </w:rPr>
              <w:t>】</w:t>
            </w:r>
          </w:p>
          <w:p w14:paraId="12BE754F" w14:textId="77777777" w:rsidR="008B4B2B" w:rsidRPr="00E0548A" w:rsidRDefault="008B4B2B" w:rsidP="008B4B2B">
            <w:pPr>
              <w:rPr>
                <w:rFonts w:ascii="ＭＳ 明朝" w:hAnsi="ＭＳ 明朝"/>
                <w:szCs w:val="21"/>
              </w:rPr>
            </w:pPr>
            <w:r w:rsidRPr="00E0548A">
              <w:rPr>
                <w:rFonts w:ascii="ＭＳ 明朝" w:hAnsi="ＭＳ 明朝" w:hint="eastAsia"/>
                <w:szCs w:val="21"/>
              </w:rPr>
              <w:t>○災害時情報基盤（水防災ｼｽﾃﾑ・土砂災害等ｼｽﾃﾑ）の状況把握【河川室】</w:t>
            </w:r>
          </w:p>
          <w:p w14:paraId="2FA70A0E" w14:textId="7EF69E3D" w:rsidR="00D22D4F" w:rsidRPr="00E0548A" w:rsidRDefault="00D577B9" w:rsidP="00B35001">
            <w:pPr>
              <w:ind w:left="209" w:hangingChars="99" w:hanging="209"/>
              <w:rPr>
                <w:rFonts w:ascii="ＭＳ 明朝" w:hAnsi="ＭＳ 明朝"/>
                <w:szCs w:val="21"/>
              </w:rPr>
            </w:pPr>
            <w:r w:rsidRPr="00E0548A">
              <w:rPr>
                <w:rFonts w:ascii="ＭＳ 明朝" w:hAnsi="ＭＳ 明朝" w:hint="eastAsia"/>
                <w:szCs w:val="21"/>
              </w:rPr>
              <w:t>〇大阪府</w:t>
            </w:r>
            <w:r w:rsidR="003C5F7F" w:rsidRPr="00E0548A">
              <w:rPr>
                <w:rFonts w:ascii="ＭＳ 明朝" w:hAnsi="ＭＳ 明朝" w:hint="eastAsia"/>
                <w:szCs w:val="21"/>
              </w:rPr>
              <w:t>住宅供給公社</w:t>
            </w:r>
            <w:r w:rsidR="00D22D4F" w:rsidRPr="00E0548A">
              <w:rPr>
                <w:rFonts w:ascii="ＭＳ 明朝" w:hAnsi="ＭＳ 明朝" w:hint="eastAsia"/>
                <w:szCs w:val="21"/>
              </w:rPr>
              <w:t>、都</w:t>
            </w:r>
            <w:r w:rsidR="003C5F7F" w:rsidRPr="00E0548A">
              <w:rPr>
                <w:rFonts w:ascii="ＭＳ 明朝" w:hAnsi="ＭＳ 明朝" w:hint="eastAsia"/>
                <w:szCs w:val="21"/>
              </w:rPr>
              <w:t>市再生機構住宅</w:t>
            </w:r>
            <w:r w:rsidR="00D22D4F" w:rsidRPr="00E0548A">
              <w:rPr>
                <w:rFonts w:ascii="ＭＳ 明朝" w:hAnsi="ＭＳ 明朝" w:hint="eastAsia"/>
                <w:szCs w:val="21"/>
              </w:rPr>
              <w:t>、市町営住宅の被害状況及び提供可能空家に関する情報収集【居住企画課】</w:t>
            </w:r>
          </w:p>
          <w:p w14:paraId="363987F7" w14:textId="72B881EA" w:rsidR="00D22D4F" w:rsidRPr="00E0548A" w:rsidRDefault="00D22D4F" w:rsidP="00B35001">
            <w:pPr>
              <w:rPr>
                <w:rFonts w:ascii="ＭＳ 明朝" w:hAnsi="ＭＳ 明朝"/>
                <w:szCs w:val="21"/>
              </w:rPr>
            </w:pPr>
            <w:r w:rsidRPr="00E0548A">
              <w:rPr>
                <w:rFonts w:ascii="ＭＳ 明朝" w:hAnsi="ＭＳ 明朝" w:hint="eastAsia"/>
                <w:szCs w:val="21"/>
              </w:rPr>
              <w:t>○被災宅地危険度判定支援本部の設置、運営開始【</w:t>
            </w:r>
            <w:r w:rsidR="006E6F1E" w:rsidRPr="00E0548A">
              <w:rPr>
                <w:rFonts w:ascii="ＭＳ 明朝" w:hAnsi="ＭＳ 明朝" w:hint="eastAsia"/>
                <w:szCs w:val="21"/>
              </w:rPr>
              <w:t>事業調整室</w:t>
            </w:r>
            <w:r w:rsidRPr="00E0548A">
              <w:rPr>
                <w:rFonts w:ascii="ＭＳ 明朝" w:hAnsi="ＭＳ 明朝" w:hint="eastAsia"/>
                <w:szCs w:val="21"/>
              </w:rPr>
              <w:t>】</w:t>
            </w:r>
          </w:p>
          <w:p w14:paraId="5821D024" w14:textId="77777777" w:rsidR="00D22D4F" w:rsidRPr="00E0548A" w:rsidRDefault="00D22D4F" w:rsidP="00D22D4F">
            <w:pPr>
              <w:rPr>
                <w:rFonts w:ascii="ＭＳ 明朝" w:hAnsi="ＭＳ 明朝"/>
                <w:szCs w:val="21"/>
              </w:rPr>
            </w:pPr>
            <w:r w:rsidRPr="00E0548A">
              <w:rPr>
                <w:rFonts w:ascii="ＭＳ 明朝" w:hAnsi="ＭＳ 明朝" w:hint="eastAsia"/>
                <w:szCs w:val="21"/>
              </w:rPr>
              <w:t>○応急仮設建築物に対する規制緩和区域指定の検討開始【建築指導室】</w:t>
            </w:r>
          </w:p>
          <w:p w14:paraId="243AE4E0" w14:textId="77777777" w:rsidR="00D22D4F" w:rsidRPr="00E0548A" w:rsidRDefault="00D22D4F" w:rsidP="00D22D4F">
            <w:pPr>
              <w:rPr>
                <w:rFonts w:ascii="ＭＳ 明朝" w:hAnsi="ＭＳ 明朝"/>
                <w:szCs w:val="21"/>
              </w:rPr>
            </w:pPr>
            <w:r w:rsidRPr="00E0548A">
              <w:rPr>
                <w:rFonts w:ascii="ＭＳ 明朝" w:hAnsi="ＭＳ 明朝" w:hint="eastAsia"/>
                <w:szCs w:val="21"/>
              </w:rPr>
              <w:t>○府営住宅の供給可能戸数の把握・リストアップ【住宅経営室】</w:t>
            </w:r>
          </w:p>
          <w:p w14:paraId="026B1928" w14:textId="77777777" w:rsidR="00D22D4F" w:rsidRPr="00E0548A" w:rsidRDefault="00D22D4F" w:rsidP="00B35001">
            <w:pPr>
              <w:ind w:left="209" w:hangingChars="99" w:hanging="209"/>
              <w:rPr>
                <w:rFonts w:ascii="ＭＳ 明朝" w:hAnsi="ＭＳ 明朝"/>
                <w:szCs w:val="21"/>
              </w:rPr>
            </w:pPr>
            <w:r w:rsidRPr="00E0548A">
              <w:rPr>
                <w:rFonts w:ascii="ＭＳ 明朝" w:hAnsi="ＭＳ 明朝" w:hint="eastAsia"/>
                <w:szCs w:val="21"/>
              </w:rPr>
              <w:t>〇プレハブ建築協会等への建設型仮設住宅供給準備要請及び建設可能戸数確認【住宅経営室】</w:t>
            </w:r>
          </w:p>
          <w:p w14:paraId="0CC06651" w14:textId="77777777" w:rsidR="003C5F7F" w:rsidRPr="00E0548A" w:rsidRDefault="005A20B7" w:rsidP="00544D37">
            <w:pPr>
              <w:ind w:left="209" w:hangingChars="99" w:hanging="209"/>
              <w:rPr>
                <w:rFonts w:ascii="ＭＳ 明朝" w:hAnsi="ＭＳ 明朝"/>
                <w:szCs w:val="21"/>
              </w:rPr>
            </w:pPr>
            <w:r w:rsidRPr="00E0548A">
              <w:rPr>
                <w:rFonts w:ascii="ＭＳ 明朝" w:hAnsi="ＭＳ 明朝" w:hint="eastAsia"/>
                <w:szCs w:val="21"/>
              </w:rPr>
              <w:t>〇庁内関係課から</w:t>
            </w:r>
            <w:r w:rsidR="003C5F7F" w:rsidRPr="00E0548A">
              <w:rPr>
                <w:rFonts w:ascii="ＭＳ 明朝" w:hAnsi="ＭＳ 明朝" w:hint="eastAsia"/>
                <w:szCs w:val="21"/>
              </w:rPr>
              <w:t>応急仮設住宅の供給に関する</w:t>
            </w:r>
            <w:r w:rsidRPr="00E0548A">
              <w:rPr>
                <w:rFonts w:ascii="ＭＳ 明朝" w:hAnsi="ＭＳ 明朝" w:hint="eastAsia"/>
                <w:szCs w:val="21"/>
              </w:rPr>
              <w:t>府内被害情報を収集</w:t>
            </w:r>
          </w:p>
          <w:p w14:paraId="61B0B459" w14:textId="0C073D1E" w:rsidR="005A20B7" w:rsidRPr="00E0548A" w:rsidRDefault="005A20B7" w:rsidP="003C5F7F">
            <w:pPr>
              <w:ind w:left="209"/>
              <w:rPr>
                <w:rFonts w:ascii="ＭＳ 明朝" w:hAnsi="ＭＳ 明朝"/>
                <w:szCs w:val="21"/>
              </w:rPr>
            </w:pPr>
            <w:r w:rsidRPr="00E0548A">
              <w:rPr>
                <w:rFonts w:ascii="ＭＳ 明朝" w:hAnsi="ＭＳ 明朝" w:hint="eastAsia"/>
                <w:szCs w:val="21"/>
              </w:rPr>
              <w:t>【</w:t>
            </w:r>
            <w:r w:rsidR="00544D37" w:rsidRPr="00E0548A">
              <w:rPr>
                <w:rFonts w:ascii="ＭＳ 明朝" w:hAnsi="ＭＳ 明朝" w:hint="eastAsia"/>
                <w:szCs w:val="21"/>
              </w:rPr>
              <w:t>建築指導室</w:t>
            </w:r>
            <w:r w:rsidRPr="00E0548A">
              <w:rPr>
                <w:rFonts w:ascii="ＭＳ 明朝" w:hAnsi="ＭＳ 明朝" w:hint="eastAsia"/>
                <w:szCs w:val="21"/>
              </w:rPr>
              <w:t>】</w:t>
            </w:r>
          </w:p>
        </w:tc>
      </w:tr>
      <w:tr w:rsidR="00E0548A" w:rsidRPr="00E0548A" w14:paraId="22D61A51" w14:textId="77777777" w:rsidTr="008B4B2B">
        <w:trPr>
          <w:jc w:val="center"/>
        </w:trPr>
        <w:tc>
          <w:tcPr>
            <w:tcW w:w="1518" w:type="dxa"/>
          </w:tcPr>
          <w:p w14:paraId="4E8E5FAC" w14:textId="77777777" w:rsidR="008B4B2B" w:rsidRPr="00E0548A" w:rsidRDefault="008B4B2B" w:rsidP="008B4B2B">
            <w:pPr>
              <w:rPr>
                <w:rFonts w:ascii="ＭＳ 明朝" w:hAnsi="ＭＳ 明朝"/>
                <w:szCs w:val="21"/>
              </w:rPr>
            </w:pPr>
            <w:r w:rsidRPr="00E0548A">
              <w:rPr>
                <w:rFonts w:ascii="ＭＳ 明朝" w:hAnsi="ＭＳ 明朝" w:hint="eastAsia"/>
                <w:szCs w:val="21"/>
              </w:rPr>
              <w:t>第3フェーズ</w:t>
            </w:r>
          </w:p>
          <w:p w14:paraId="46F92472" w14:textId="77777777" w:rsidR="008B4B2B" w:rsidRPr="00E0548A" w:rsidRDefault="008B4B2B" w:rsidP="008B4B2B">
            <w:pPr>
              <w:rPr>
                <w:rFonts w:ascii="ＭＳ 明朝" w:hAnsi="ＭＳ 明朝"/>
                <w:szCs w:val="21"/>
              </w:rPr>
            </w:pPr>
            <w:r w:rsidRPr="00E0548A">
              <w:rPr>
                <w:rFonts w:ascii="ＭＳ 明朝" w:hAnsi="ＭＳ 明朝" w:hint="eastAsia"/>
                <w:szCs w:val="21"/>
              </w:rPr>
              <w:t>(72時間まで)</w:t>
            </w:r>
          </w:p>
        </w:tc>
        <w:tc>
          <w:tcPr>
            <w:tcW w:w="7316" w:type="dxa"/>
          </w:tcPr>
          <w:p w14:paraId="5EF816E2" w14:textId="63618E58" w:rsidR="008B4B2B" w:rsidRPr="00E0548A" w:rsidRDefault="008B4B2B" w:rsidP="008B4B2B">
            <w:pPr>
              <w:rPr>
                <w:rFonts w:ascii="ＭＳ 明朝" w:hAnsi="ＭＳ 明朝"/>
                <w:szCs w:val="21"/>
              </w:rPr>
            </w:pPr>
            <w:r w:rsidRPr="00E0548A">
              <w:rPr>
                <w:rFonts w:ascii="ＭＳ 明朝" w:hAnsi="ＭＳ 明朝" w:hint="eastAsia"/>
                <w:szCs w:val="21"/>
              </w:rPr>
              <w:t>○他府県及び建設業界との応援等に係る連絡調整【事業</w:t>
            </w:r>
            <w:r w:rsidR="00C011F2" w:rsidRPr="00E0548A">
              <w:rPr>
                <w:rFonts w:ascii="ＭＳ 明朝" w:hAnsi="ＭＳ 明朝" w:hint="eastAsia"/>
                <w:szCs w:val="21"/>
              </w:rPr>
              <w:t>調整</w:t>
            </w:r>
            <w:r w:rsidRPr="00E0548A">
              <w:rPr>
                <w:rFonts w:ascii="ＭＳ 明朝" w:hAnsi="ＭＳ 明朝" w:hint="eastAsia"/>
                <w:szCs w:val="21"/>
              </w:rPr>
              <w:t>室】</w:t>
            </w:r>
          </w:p>
          <w:p w14:paraId="309EABB9" w14:textId="67963037" w:rsidR="005C4F02" w:rsidRPr="00E0548A" w:rsidRDefault="005C4F02" w:rsidP="008B4B2B">
            <w:pPr>
              <w:rPr>
                <w:rFonts w:ascii="ＭＳ 明朝" w:hAnsi="ＭＳ 明朝"/>
                <w:szCs w:val="21"/>
              </w:rPr>
            </w:pPr>
            <w:r w:rsidRPr="00E0548A">
              <w:rPr>
                <w:rFonts w:ascii="ＭＳ 明朝" w:hAnsi="ＭＳ 明朝" w:hint="eastAsia"/>
                <w:szCs w:val="21"/>
              </w:rPr>
              <w:t>○高速道路、広域緊急交通路（重点14</w:t>
            </w:r>
            <w:r w:rsidR="00851AB0" w:rsidRPr="00E0548A">
              <w:rPr>
                <w:rFonts w:ascii="ＭＳ 明朝" w:hAnsi="ＭＳ 明朝" w:hint="eastAsia"/>
                <w:szCs w:val="21"/>
              </w:rPr>
              <w:t>路線）及び</w:t>
            </w:r>
            <w:r w:rsidRPr="00E0548A">
              <w:rPr>
                <w:rFonts w:ascii="ＭＳ 明朝" w:hAnsi="ＭＳ 明朝" w:hint="eastAsia"/>
                <w:szCs w:val="21"/>
              </w:rPr>
              <w:t>必要なアクセス道路の道路啓開作業完了【道路室】</w:t>
            </w:r>
          </w:p>
          <w:p w14:paraId="6E92C466" w14:textId="72148BC5" w:rsidR="008B4B2B" w:rsidRPr="00E0548A" w:rsidRDefault="008B4B2B" w:rsidP="008B4B2B">
            <w:pPr>
              <w:rPr>
                <w:rFonts w:ascii="ＭＳ 明朝" w:hAnsi="ＭＳ 明朝"/>
                <w:szCs w:val="21"/>
              </w:rPr>
            </w:pPr>
            <w:r w:rsidRPr="00E0548A">
              <w:rPr>
                <w:rFonts w:ascii="ＭＳ 明朝" w:hAnsi="ＭＳ 明朝" w:hint="eastAsia"/>
                <w:szCs w:val="21"/>
              </w:rPr>
              <w:lastRenderedPageBreak/>
              <w:t>○所管施設の</w:t>
            </w:r>
            <w:r w:rsidR="00EE3043" w:rsidRPr="00E0548A">
              <w:rPr>
                <w:rFonts w:ascii="ＭＳ 明朝" w:hAnsi="ＭＳ 明朝" w:hint="eastAsia"/>
                <w:szCs w:val="21"/>
              </w:rPr>
              <w:t>緊急・</w:t>
            </w:r>
            <w:r w:rsidRPr="00E0548A">
              <w:rPr>
                <w:rFonts w:ascii="ＭＳ 明朝" w:hAnsi="ＭＳ 明朝" w:hint="eastAsia"/>
                <w:szCs w:val="21"/>
              </w:rPr>
              <w:t>応急復旧必要箇所の把握と関係者調整</w:t>
            </w:r>
            <w:r w:rsidR="00EE3043" w:rsidRPr="00E0548A">
              <w:rPr>
                <w:rFonts w:ascii="ＭＳ 明朝" w:hAnsi="ＭＳ 明朝" w:hint="eastAsia"/>
                <w:szCs w:val="21"/>
              </w:rPr>
              <w:t>、対策工事の実施（以降、順次対応）</w:t>
            </w:r>
            <w:r w:rsidRPr="00E0548A">
              <w:rPr>
                <w:rFonts w:ascii="ＭＳ 明朝" w:hAnsi="ＭＳ 明朝" w:hint="eastAsia"/>
                <w:szCs w:val="21"/>
              </w:rPr>
              <w:t>【各所管所属】</w:t>
            </w:r>
          </w:p>
          <w:p w14:paraId="0F857744" w14:textId="77777777" w:rsidR="008B4B2B" w:rsidRPr="00E0548A" w:rsidRDefault="008B4B2B" w:rsidP="008B4B2B">
            <w:pPr>
              <w:rPr>
                <w:rFonts w:ascii="ＭＳ 明朝" w:hAnsi="ＭＳ 明朝"/>
                <w:szCs w:val="21"/>
              </w:rPr>
            </w:pPr>
            <w:r w:rsidRPr="00E0548A">
              <w:rPr>
                <w:rFonts w:ascii="ＭＳ 明朝" w:hAnsi="ＭＳ 明朝" w:hint="eastAsia"/>
                <w:szCs w:val="21"/>
              </w:rPr>
              <w:t>○土砂災害緊急調査のとりまとめ【各所管所属】</w:t>
            </w:r>
          </w:p>
          <w:p w14:paraId="0E3D2913" w14:textId="77777777" w:rsidR="005A20B7" w:rsidRPr="00E0548A" w:rsidRDefault="005A20B7" w:rsidP="008B4B2B">
            <w:pPr>
              <w:rPr>
                <w:rFonts w:ascii="ＭＳ 明朝" w:hAnsi="ＭＳ 明朝"/>
                <w:szCs w:val="21"/>
              </w:rPr>
            </w:pPr>
            <w:r w:rsidRPr="00E0548A">
              <w:rPr>
                <w:rFonts w:ascii="ＭＳ 明朝" w:hAnsi="ＭＳ 明朝" w:hint="eastAsia"/>
                <w:szCs w:val="21"/>
              </w:rPr>
              <w:t>○府内外提供可能住宅の空家情報の収集【居住企画課、住宅経営室】</w:t>
            </w:r>
          </w:p>
          <w:p w14:paraId="2977978F" w14:textId="77777777" w:rsidR="005A20B7" w:rsidRPr="00E0548A" w:rsidRDefault="005A20B7" w:rsidP="005A20B7">
            <w:pPr>
              <w:ind w:left="211" w:hangingChars="100" w:hanging="211"/>
              <w:rPr>
                <w:rFonts w:ascii="ＭＳ 明朝" w:hAnsi="ＭＳ 明朝"/>
                <w:szCs w:val="21"/>
              </w:rPr>
            </w:pPr>
            <w:r w:rsidRPr="00E0548A">
              <w:rPr>
                <w:rFonts w:ascii="ＭＳ 明朝" w:hAnsi="ＭＳ 明朝" w:hint="eastAsia"/>
                <w:szCs w:val="21"/>
              </w:rPr>
              <w:t>○保全対象施設現地確認及び技術協力【公共建築室】</w:t>
            </w:r>
          </w:p>
          <w:p w14:paraId="6BFE2243" w14:textId="77777777" w:rsidR="005A20B7" w:rsidRPr="00E0548A" w:rsidRDefault="008E6331" w:rsidP="005A20B7">
            <w:pPr>
              <w:ind w:left="211" w:hangingChars="100" w:hanging="211"/>
              <w:rPr>
                <w:rFonts w:ascii="ＭＳ 明朝" w:hAnsi="ＭＳ 明朝"/>
                <w:szCs w:val="21"/>
              </w:rPr>
            </w:pPr>
            <w:r w:rsidRPr="00E0548A">
              <w:rPr>
                <w:rFonts w:ascii="ＭＳ 明朝" w:hAnsi="ＭＳ 明朝" w:hint="eastAsia"/>
                <w:szCs w:val="21"/>
              </w:rPr>
              <w:t>○大阪府災害時民間賃貸住宅借上制度の運用調整【建築指導室</w:t>
            </w:r>
            <w:r w:rsidR="005A20B7" w:rsidRPr="00E0548A">
              <w:rPr>
                <w:rFonts w:ascii="ＭＳ 明朝" w:hAnsi="ＭＳ 明朝" w:hint="eastAsia"/>
                <w:szCs w:val="21"/>
              </w:rPr>
              <w:t>】</w:t>
            </w:r>
          </w:p>
          <w:p w14:paraId="0F7551F7" w14:textId="77777777" w:rsidR="005A20B7" w:rsidRPr="00E0548A" w:rsidRDefault="005A20B7" w:rsidP="005A20B7">
            <w:pPr>
              <w:rPr>
                <w:rFonts w:ascii="ＭＳ 明朝" w:hAnsi="ＭＳ 明朝"/>
                <w:szCs w:val="21"/>
              </w:rPr>
            </w:pPr>
            <w:r w:rsidRPr="00E0548A">
              <w:rPr>
                <w:rFonts w:ascii="ＭＳ 明朝" w:hAnsi="ＭＳ 明朝" w:hint="eastAsia"/>
                <w:szCs w:val="21"/>
              </w:rPr>
              <w:t>〇プレハブ建築協会等への応急仮設住宅建設要請【住宅経営室】</w:t>
            </w:r>
          </w:p>
        </w:tc>
      </w:tr>
      <w:tr w:rsidR="00E0548A" w:rsidRPr="00E0548A" w14:paraId="627FE32B" w14:textId="77777777" w:rsidTr="008B4B2B">
        <w:trPr>
          <w:jc w:val="center"/>
        </w:trPr>
        <w:tc>
          <w:tcPr>
            <w:tcW w:w="1518" w:type="dxa"/>
          </w:tcPr>
          <w:p w14:paraId="0ABC6800" w14:textId="77777777" w:rsidR="008B4B2B" w:rsidRPr="00E0548A" w:rsidRDefault="008B4B2B" w:rsidP="008B4B2B">
            <w:pPr>
              <w:rPr>
                <w:rFonts w:ascii="ＭＳ 明朝" w:hAnsi="ＭＳ 明朝"/>
                <w:szCs w:val="21"/>
              </w:rPr>
            </w:pPr>
            <w:r w:rsidRPr="00E0548A">
              <w:rPr>
                <w:rFonts w:ascii="ＭＳ 明朝" w:hAnsi="ＭＳ 明朝" w:hint="eastAsia"/>
                <w:szCs w:val="21"/>
              </w:rPr>
              <w:lastRenderedPageBreak/>
              <w:t>第4フェーズ</w:t>
            </w:r>
          </w:p>
          <w:p w14:paraId="78EE81EB" w14:textId="77777777" w:rsidR="008B4B2B" w:rsidRPr="00E0548A" w:rsidRDefault="008B4B2B" w:rsidP="008B4B2B">
            <w:pPr>
              <w:rPr>
                <w:rFonts w:ascii="ＭＳ 明朝" w:hAnsi="ＭＳ 明朝"/>
                <w:szCs w:val="21"/>
              </w:rPr>
            </w:pPr>
            <w:r w:rsidRPr="00E0548A">
              <w:rPr>
                <w:rFonts w:ascii="ＭＳ 明朝" w:hAnsi="ＭＳ 明朝" w:hint="eastAsia"/>
                <w:szCs w:val="21"/>
              </w:rPr>
              <w:t>(1週間まで)</w:t>
            </w:r>
          </w:p>
        </w:tc>
        <w:tc>
          <w:tcPr>
            <w:tcW w:w="7316" w:type="dxa"/>
          </w:tcPr>
          <w:p w14:paraId="70FAFDDE" w14:textId="7739DB1B" w:rsidR="008B4B2B" w:rsidRPr="00E0548A" w:rsidRDefault="008B4B2B" w:rsidP="00E0548A">
            <w:bookmarkStart w:id="76" w:name="_Toc122427279"/>
            <w:bookmarkStart w:id="77" w:name="_Toc122436886"/>
            <w:bookmarkStart w:id="78" w:name="_Toc122455778"/>
            <w:bookmarkStart w:id="79" w:name="_Toc125650492"/>
            <w:bookmarkStart w:id="80" w:name="_Toc127992648"/>
            <w:bookmarkStart w:id="81" w:name="_Toc127993484"/>
            <w:bookmarkStart w:id="82" w:name="_Toc129279957"/>
            <w:bookmarkStart w:id="83" w:name="_Toc130394766"/>
            <w:r w:rsidRPr="00E0548A">
              <w:rPr>
                <w:rFonts w:hint="eastAsia"/>
              </w:rPr>
              <w:t>○所管施設の応急復旧必要箇所の対応状況の確認と関係者調整</w:t>
            </w:r>
            <w:bookmarkEnd w:id="76"/>
            <w:bookmarkEnd w:id="77"/>
            <w:bookmarkEnd w:id="78"/>
            <w:bookmarkEnd w:id="79"/>
            <w:bookmarkEnd w:id="80"/>
            <w:bookmarkEnd w:id="81"/>
            <w:bookmarkEnd w:id="82"/>
            <w:bookmarkEnd w:id="83"/>
          </w:p>
          <w:p w14:paraId="67EA2442" w14:textId="4DA4BCEB" w:rsidR="008B4B2B" w:rsidRPr="00E0548A" w:rsidRDefault="008B4B2B" w:rsidP="00E0548A">
            <w:bookmarkStart w:id="84" w:name="_Toc122427280"/>
            <w:bookmarkStart w:id="85" w:name="_Toc122436887"/>
            <w:bookmarkStart w:id="86" w:name="_Toc122455779"/>
            <w:bookmarkStart w:id="87" w:name="_Toc125650493"/>
            <w:bookmarkStart w:id="88" w:name="_Toc127992649"/>
            <w:bookmarkStart w:id="89" w:name="_Toc127993485"/>
            <w:bookmarkStart w:id="90" w:name="_Toc129279958"/>
            <w:bookmarkStart w:id="91" w:name="_Toc130394767"/>
            <w:r w:rsidRPr="00E0548A">
              <w:rPr>
                <w:rFonts w:hint="eastAsia"/>
              </w:rPr>
              <w:t>【各所管所属】</w:t>
            </w:r>
            <w:bookmarkEnd w:id="84"/>
            <w:bookmarkEnd w:id="85"/>
            <w:bookmarkEnd w:id="86"/>
            <w:bookmarkEnd w:id="87"/>
            <w:bookmarkEnd w:id="88"/>
            <w:bookmarkEnd w:id="89"/>
            <w:bookmarkEnd w:id="90"/>
            <w:bookmarkEnd w:id="91"/>
          </w:p>
          <w:p w14:paraId="1C7DE680" w14:textId="77777777" w:rsidR="005A20B7" w:rsidRPr="00E0548A" w:rsidRDefault="005A20B7" w:rsidP="005A20B7">
            <w:pPr>
              <w:ind w:left="211" w:hangingChars="100" w:hanging="211"/>
              <w:rPr>
                <w:rFonts w:ascii="ＭＳ 明朝" w:hAnsi="ＭＳ 明朝"/>
                <w:szCs w:val="21"/>
              </w:rPr>
            </w:pPr>
            <w:r w:rsidRPr="00E0548A">
              <w:rPr>
                <w:rFonts w:ascii="ＭＳ 明朝" w:hAnsi="ＭＳ 明朝" w:hint="eastAsia"/>
                <w:szCs w:val="21"/>
              </w:rPr>
              <w:t>○住まい情報提供室の設置・運営開始【居住企画課】</w:t>
            </w:r>
          </w:p>
          <w:p w14:paraId="25006CE8" w14:textId="77777777" w:rsidR="005A20B7" w:rsidRPr="00E0548A" w:rsidRDefault="005A20B7" w:rsidP="005A20B7">
            <w:pPr>
              <w:rPr>
                <w:rFonts w:ascii="ＭＳ 明朝" w:hAnsi="ＭＳ 明朝"/>
                <w:szCs w:val="21"/>
              </w:rPr>
            </w:pPr>
            <w:r w:rsidRPr="00E0548A">
              <w:rPr>
                <w:rFonts w:ascii="ＭＳ 明朝" w:hAnsi="ＭＳ 明朝" w:hint="eastAsia"/>
                <w:szCs w:val="21"/>
              </w:rPr>
              <w:t>○応急仮設住宅建設用地の現地調査等及び建設協議【住宅経営室】</w:t>
            </w:r>
          </w:p>
          <w:p w14:paraId="1C5EC0CC" w14:textId="77777777" w:rsidR="005A20B7" w:rsidRPr="00E0548A" w:rsidRDefault="005A20B7" w:rsidP="00B35001">
            <w:pPr>
              <w:ind w:left="209" w:hangingChars="99" w:hanging="209"/>
              <w:rPr>
                <w:rFonts w:ascii="ＭＳ 明朝" w:hAnsi="ＭＳ 明朝"/>
                <w:szCs w:val="21"/>
              </w:rPr>
            </w:pPr>
            <w:r w:rsidRPr="00E0548A">
              <w:rPr>
                <w:rFonts w:ascii="ＭＳ 明朝" w:hAnsi="ＭＳ 明朝" w:hint="eastAsia"/>
                <w:szCs w:val="21"/>
              </w:rPr>
              <w:t>○必要に応じ応急仮設建築物に対する規制緩和の区域指定（告示）、被災市街地の建築制限区域の指定の情報収集（大阪都市計画局計画推進室と連携）【建築指導室】</w:t>
            </w:r>
          </w:p>
          <w:p w14:paraId="7A1714A4" w14:textId="77777777" w:rsidR="005A20B7" w:rsidRPr="00E0548A" w:rsidRDefault="005A20B7" w:rsidP="00B35001">
            <w:pPr>
              <w:ind w:left="209" w:hangingChars="99" w:hanging="209"/>
            </w:pPr>
            <w:r w:rsidRPr="00E0548A">
              <w:rPr>
                <w:rFonts w:ascii="ＭＳ 明朝" w:hAnsi="ＭＳ 明朝" w:hint="eastAsia"/>
                <w:szCs w:val="21"/>
              </w:rPr>
              <w:t>○大阪府災害時民間賃貸住宅借上制度に係る入居条件等を決定し、</w:t>
            </w:r>
            <w:r w:rsidR="008E6331" w:rsidRPr="00E0548A">
              <w:rPr>
                <w:rFonts w:ascii="ＭＳ 明朝" w:hAnsi="ＭＳ 明朝" w:hint="eastAsia"/>
                <w:szCs w:val="21"/>
              </w:rPr>
              <w:t>市町村に制度マニュアルを周知及び、協定団体に協力要請【建築指導室</w:t>
            </w:r>
            <w:r w:rsidRPr="00E0548A">
              <w:rPr>
                <w:rFonts w:ascii="ＭＳ 明朝" w:hAnsi="ＭＳ 明朝" w:hint="eastAsia"/>
                <w:szCs w:val="21"/>
              </w:rPr>
              <w:t>】</w:t>
            </w:r>
          </w:p>
        </w:tc>
      </w:tr>
      <w:tr w:rsidR="00E0548A" w:rsidRPr="00E0548A" w14:paraId="43E32EEB" w14:textId="77777777" w:rsidTr="008B4B2B">
        <w:trPr>
          <w:jc w:val="center"/>
        </w:trPr>
        <w:tc>
          <w:tcPr>
            <w:tcW w:w="1518" w:type="dxa"/>
          </w:tcPr>
          <w:p w14:paraId="5F3AD1BE" w14:textId="77777777" w:rsidR="008B4B2B" w:rsidRPr="00E0548A" w:rsidRDefault="008B4B2B" w:rsidP="008B4B2B">
            <w:pPr>
              <w:rPr>
                <w:rFonts w:ascii="ＭＳ 明朝" w:hAnsi="ＭＳ 明朝"/>
                <w:szCs w:val="21"/>
              </w:rPr>
            </w:pPr>
            <w:r w:rsidRPr="00E0548A">
              <w:rPr>
                <w:rFonts w:ascii="ＭＳ 明朝" w:hAnsi="ＭＳ 明朝" w:hint="eastAsia"/>
                <w:szCs w:val="21"/>
              </w:rPr>
              <w:t>第5フェーズ</w:t>
            </w:r>
          </w:p>
          <w:p w14:paraId="6E8D6027" w14:textId="77777777" w:rsidR="008B4B2B" w:rsidRPr="00E0548A" w:rsidRDefault="008B4B2B" w:rsidP="008B4B2B">
            <w:pPr>
              <w:rPr>
                <w:rFonts w:ascii="ＭＳ 明朝" w:hAnsi="ＭＳ 明朝"/>
                <w:szCs w:val="21"/>
              </w:rPr>
            </w:pPr>
            <w:r w:rsidRPr="00E0548A">
              <w:rPr>
                <w:rFonts w:ascii="ＭＳ 明朝" w:hAnsi="ＭＳ 明朝" w:hint="eastAsia"/>
                <w:szCs w:val="21"/>
              </w:rPr>
              <w:t>(2週間まで)</w:t>
            </w:r>
          </w:p>
        </w:tc>
        <w:tc>
          <w:tcPr>
            <w:tcW w:w="7316" w:type="dxa"/>
          </w:tcPr>
          <w:p w14:paraId="40AEBB38" w14:textId="3D1D1E6B" w:rsidR="008B4B2B" w:rsidRPr="00E0548A" w:rsidRDefault="008B4B2B" w:rsidP="008B4B2B">
            <w:pPr>
              <w:ind w:left="211" w:hangingChars="100" w:hanging="211"/>
              <w:rPr>
                <w:rFonts w:ascii="ＭＳ 明朝" w:hAnsi="ＭＳ 明朝"/>
                <w:szCs w:val="21"/>
              </w:rPr>
            </w:pPr>
            <w:r w:rsidRPr="00E0548A">
              <w:rPr>
                <w:rFonts w:ascii="ＭＳ 明朝" w:hAnsi="ＭＳ 明朝" w:hint="eastAsia"/>
                <w:szCs w:val="21"/>
              </w:rPr>
              <w:t>○被災所管施設の応急復旧（当該施設において応急的に業務を再開するために実施する措置のことをいう。本格的な復旧作業の前段階。）開始</w:t>
            </w:r>
            <w:r w:rsidR="00EE3043" w:rsidRPr="00E0548A">
              <w:rPr>
                <w:rFonts w:ascii="ＭＳ 明朝" w:hAnsi="ＭＳ 明朝" w:hint="eastAsia"/>
                <w:szCs w:val="21"/>
              </w:rPr>
              <w:t>【各所管所属】</w:t>
            </w:r>
          </w:p>
          <w:p w14:paraId="0A512159" w14:textId="77777777" w:rsidR="008B4B2B" w:rsidRPr="00E0548A" w:rsidRDefault="008B4B2B" w:rsidP="008B4B2B">
            <w:pPr>
              <w:rPr>
                <w:rFonts w:ascii="ＭＳ 明朝" w:hAnsi="ＭＳ 明朝"/>
                <w:szCs w:val="21"/>
              </w:rPr>
            </w:pPr>
            <w:r w:rsidRPr="00E0548A">
              <w:rPr>
                <w:rFonts w:ascii="ＭＳ 明朝" w:hAnsi="ＭＳ 明朝" w:hint="eastAsia"/>
                <w:szCs w:val="21"/>
              </w:rPr>
              <w:t>○災害時情報基盤（水防災システム・土砂災害等システム）の復旧【河川室】</w:t>
            </w:r>
          </w:p>
          <w:p w14:paraId="65790A2D" w14:textId="77777777" w:rsidR="005A20B7" w:rsidRPr="00E0548A" w:rsidRDefault="005A20B7" w:rsidP="005A20B7">
            <w:pPr>
              <w:rPr>
                <w:rFonts w:ascii="ＭＳ 明朝" w:hAnsi="ＭＳ 明朝"/>
                <w:dstrike/>
                <w:szCs w:val="21"/>
              </w:rPr>
            </w:pPr>
            <w:r w:rsidRPr="00E0548A">
              <w:rPr>
                <w:rFonts w:ascii="ＭＳ 明朝" w:hAnsi="ＭＳ 明朝" w:hint="eastAsia"/>
                <w:szCs w:val="21"/>
              </w:rPr>
              <w:t>○</w:t>
            </w:r>
            <w:r w:rsidRPr="00E0548A">
              <w:rPr>
                <w:rFonts w:ascii="ＭＳ 明朝" w:hAnsi="ＭＳ 明朝" w:hint="eastAsia"/>
                <w:kern w:val="0"/>
                <w:szCs w:val="21"/>
              </w:rPr>
              <w:t>被災住宅の応急修理等の実施へ向けての調整開始</w:t>
            </w:r>
            <w:r w:rsidRPr="00E0548A">
              <w:rPr>
                <w:rFonts w:ascii="ＭＳ 明朝" w:hAnsi="ＭＳ 明朝" w:hint="eastAsia"/>
                <w:szCs w:val="21"/>
              </w:rPr>
              <w:t>【公共建築室】</w:t>
            </w:r>
          </w:p>
          <w:p w14:paraId="6F885F0C" w14:textId="6F4D21E1" w:rsidR="008B4B2B" w:rsidRPr="00E0548A" w:rsidRDefault="00EE3043" w:rsidP="005A20B7">
            <w:pPr>
              <w:rPr>
                <w:rFonts w:ascii="ＭＳ 明朝" w:hAnsi="ＭＳ 明朝"/>
                <w:szCs w:val="21"/>
              </w:rPr>
            </w:pPr>
            <w:r w:rsidRPr="00E0548A">
              <w:rPr>
                <w:rFonts w:ascii="ＭＳ 明朝" w:hAnsi="ＭＳ 明朝" w:hint="eastAsia"/>
                <w:szCs w:val="21"/>
              </w:rPr>
              <w:t>○被災市街地の</w:t>
            </w:r>
            <w:r w:rsidR="005A20B7" w:rsidRPr="00E0548A">
              <w:rPr>
                <w:rFonts w:ascii="ＭＳ 明朝" w:hAnsi="ＭＳ 明朝" w:hint="eastAsia"/>
                <w:szCs w:val="21"/>
              </w:rPr>
              <w:t>建築制限</w:t>
            </w:r>
            <w:r w:rsidRPr="00E0548A">
              <w:rPr>
                <w:rFonts w:ascii="ＭＳ 明朝" w:hAnsi="ＭＳ 明朝" w:hint="eastAsia"/>
                <w:szCs w:val="21"/>
              </w:rPr>
              <w:t>・禁止の</w:t>
            </w:r>
            <w:r w:rsidR="005A20B7" w:rsidRPr="00E0548A">
              <w:rPr>
                <w:rFonts w:ascii="ＭＳ 明朝" w:hAnsi="ＭＳ 明朝" w:hint="eastAsia"/>
                <w:szCs w:val="21"/>
              </w:rPr>
              <w:t>区域指定（告示）【建築指導室】</w:t>
            </w:r>
          </w:p>
          <w:p w14:paraId="5DB3557B" w14:textId="77777777" w:rsidR="008B4B2B" w:rsidRPr="00E0548A" w:rsidRDefault="00C011F2" w:rsidP="00B35001">
            <w:pPr>
              <w:ind w:left="209" w:hangingChars="99" w:hanging="209"/>
              <w:rPr>
                <w:rFonts w:ascii="ＭＳ 明朝" w:hAnsi="ＭＳ 明朝"/>
                <w:szCs w:val="21"/>
              </w:rPr>
            </w:pPr>
            <w:r w:rsidRPr="00E0548A">
              <w:rPr>
                <w:rFonts w:ascii="ＭＳ 明朝" w:hAnsi="ＭＳ 明朝" w:hint="eastAsia"/>
                <w:szCs w:val="21"/>
              </w:rPr>
              <w:t>○大阪府災害時民間</w:t>
            </w:r>
            <w:r w:rsidR="008E6331" w:rsidRPr="00E0548A">
              <w:rPr>
                <w:rFonts w:ascii="ＭＳ 明朝" w:hAnsi="ＭＳ 明朝" w:hint="eastAsia"/>
                <w:szCs w:val="21"/>
              </w:rPr>
              <w:t>賃貸住宅借上制度に係る市町村相談窓口の運用支援を開始【建築指導室</w:t>
            </w:r>
            <w:r w:rsidRPr="00E0548A">
              <w:rPr>
                <w:rFonts w:ascii="ＭＳ 明朝" w:hAnsi="ＭＳ 明朝" w:hint="eastAsia"/>
                <w:szCs w:val="21"/>
              </w:rPr>
              <w:t>】</w:t>
            </w:r>
          </w:p>
        </w:tc>
      </w:tr>
      <w:tr w:rsidR="00E0548A" w:rsidRPr="00E0548A" w14:paraId="64B8B96E" w14:textId="77777777" w:rsidTr="008B4B2B">
        <w:trPr>
          <w:jc w:val="center"/>
        </w:trPr>
        <w:tc>
          <w:tcPr>
            <w:tcW w:w="1518" w:type="dxa"/>
          </w:tcPr>
          <w:p w14:paraId="7D8BC209" w14:textId="77777777" w:rsidR="008B4B2B" w:rsidRPr="00E0548A" w:rsidRDefault="008B4B2B" w:rsidP="008B4B2B">
            <w:pPr>
              <w:rPr>
                <w:rFonts w:ascii="ＭＳ 明朝" w:hAnsi="ＭＳ 明朝"/>
                <w:szCs w:val="21"/>
              </w:rPr>
            </w:pPr>
            <w:r w:rsidRPr="00E0548A">
              <w:rPr>
                <w:rFonts w:ascii="ＭＳ 明朝" w:hAnsi="ＭＳ 明朝" w:hint="eastAsia"/>
                <w:szCs w:val="21"/>
              </w:rPr>
              <w:t>第6フェーズ</w:t>
            </w:r>
          </w:p>
          <w:p w14:paraId="759FDD36" w14:textId="77777777" w:rsidR="008B4B2B" w:rsidRPr="00E0548A" w:rsidRDefault="008B4B2B" w:rsidP="008B4B2B">
            <w:pPr>
              <w:rPr>
                <w:rFonts w:ascii="ＭＳ 明朝" w:hAnsi="ＭＳ 明朝"/>
                <w:szCs w:val="21"/>
              </w:rPr>
            </w:pPr>
            <w:r w:rsidRPr="00E0548A">
              <w:rPr>
                <w:rFonts w:ascii="ＭＳ 明朝" w:hAnsi="ＭＳ 明朝" w:hint="eastAsia"/>
                <w:szCs w:val="21"/>
              </w:rPr>
              <w:t>(1ヶ月まで)</w:t>
            </w:r>
          </w:p>
        </w:tc>
        <w:tc>
          <w:tcPr>
            <w:tcW w:w="7316" w:type="dxa"/>
          </w:tcPr>
          <w:p w14:paraId="10F649E5" w14:textId="77777777" w:rsidR="008B4B2B" w:rsidRPr="00E0548A" w:rsidRDefault="008B4B2B" w:rsidP="008B4B2B">
            <w:pPr>
              <w:rPr>
                <w:rFonts w:ascii="ＭＳ 明朝" w:hAnsi="ＭＳ 明朝"/>
                <w:szCs w:val="21"/>
              </w:rPr>
            </w:pPr>
            <w:r w:rsidRPr="00E0548A">
              <w:rPr>
                <w:rFonts w:ascii="ＭＳ 明朝" w:hAnsi="ＭＳ 明朝" w:hint="eastAsia"/>
                <w:szCs w:val="21"/>
              </w:rPr>
              <w:t>○被災所管施設の応急復旧</w:t>
            </w:r>
            <w:r w:rsidR="00C011F2" w:rsidRPr="00E0548A">
              <w:rPr>
                <w:rFonts w:ascii="ＭＳ 明朝" w:hAnsi="ＭＳ 明朝" w:hint="eastAsia"/>
                <w:szCs w:val="21"/>
              </w:rPr>
              <w:t>【各所管所属】</w:t>
            </w:r>
          </w:p>
          <w:p w14:paraId="537D919C" w14:textId="77777777" w:rsidR="00C011F2" w:rsidRPr="00E0548A" w:rsidRDefault="00C011F2" w:rsidP="00C011F2">
            <w:pPr>
              <w:rPr>
                <w:rFonts w:ascii="ＭＳ 明朝" w:hAnsi="ＭＳ 明朝"/>
                <w:szCs w:val="21"/>
              </w:rPr>
            </w:pPr>
            <w:r w:rsidRPr="00E0548A">
              <w:rPr>
                <w:rFonts w:ascii="ＭＳ 明朝" w:hAnsi="ＭＳ 明朝" w:hint="eastAsia"/>
                <w:szCs w:val="21"/>
              </w:rPr>
              <w:t>○住まいのケア・専門家チームの組成【居住企画課】</w:t>
            </w:r>
          </w:p>
          <w:p w14:paraId="1347E916" w14:textId="77777777" w:rsidR="00C011F2" w:rsidRPr="00E0548A" w:rsidRDefault="00C011F2" w:rsidP="00C011F2">
            <w:pPr>
              <w:rPr>
                <w:rFonts w:ascii="ＭＳ 明朝" w:hAnsi="ＭＳ 明朝"/>
                <w:szCs w:val="21"/>
              </w:rPr>
            </w:pPr>
            <w:r w:rsidRPr="00E0548A">
              <w:rPr>
                <w:rFonts w:ascii="ＭＳ 明朝" w:hAnsi="ＭＳ 明朝" w:hint="eastAsia"/>
                <w:szCs w:val="21"/>
              </w:rPr>
              <w:t>○応急仮設住宅の着工（20日以内）【住宅経営室】</w:t>
            </w:r>
          </w:p>
          <w:p w14:paraId="48C5BB8C" w14:textId="77777777" w:rsidR="005A20B7" w:rsidRPr="00E0548A" w:rsidRDefault="00C011F2" w:rsidP="008E6331">
            <w:pPr>
              <w:ind w:left="209" w:hangingChars="99" w:hanging="209"/>
              <w:rPr>
                <w:rFonts w:ascii="ＭＳ 明朝" w:hAnsi="ＭＳ 明朝"/>
                <w:szCs w:val="21"/>
              </w:rPr>
            </w:pPr>
            <w:r w:rsidRPr="00E0548A">
              <w:rPr>
                <w:rFonts w:ascii="ＭＳ 明朝" w:hAnsi="ＭＳ 明朝" w:hint="eastAsia"/>
                <w:szCs w:val="21"/>
              </w:rPr>
              <w:t>○大阪府災害時民間賃貸住宅借上制度に係る申込書類を審査、賃貸借契約の締結及び、家賃等</w:t>
            </w:r>
            <w:r w:rsidR="008E6331" w:rsidRPr="00E0548A">
              <w:rPr>
                <w:rFonts w:ascii="ＭＳ 明朝" w:hAnsi="ＭＳ 明朝" w:hint="eastAsia"/>
                <w:szCs w:val="21"/>
              </w:rPr>
              <w:t>支払【建築指導室</w:t>
            </w:r>
            <w:r w:rsidRPr="00E0548A">
              <w:rPr>
                <w:rFonts w:ascii="ＭＳ 明朝" w:hAnsi="ＭＳ 明朝" w:hint="eastAsia"/>
                <w:szCs w:val="21"/>
              </w:rPr>
              <w:t>】</w:t>
            </w:r>
          </w:p>
        </w:tc>
      </w:tr>
    </w:tbl>
    <w:p w14:paraId="56AFD60E" w14:textId="77777777" w:rsidR="008968EE" w:rsidRPr="00E0548A" w:rsidRDefault="008B4B2B" w:rsidP="008B4B2B">
      <w:pPr>
        <w:ind w:left="1689" w:hangingChars="800" w:hanging="1689"/>
        <w:rPr>
          <w:rFonts w:ascii="ＭＳ 明朝" w:hAnsi="ＭＳ 明朝"/>
          <w:szCs w:val="21"/>
        </w:rPr>
      </w:pPr>
      <w:r w:rsidRPr="00E0548A">
        <w:rPr>
          <w:rFonts w:ascii="ＭＳ 明朝" w:hAnsi="ＭＳ 明朝" w:hint="eastAsia"/>
          <w:szCs w:val="21"/>
        </w:rPr>
        <w:t>※主な所管施設：府道、一級河川（指定区間）・二級河川、流域下水道、府営公園、</w:t>
      </w:r>
    </w:p>
    <w:p w14:paraId="1DAEAD6B" w14:textId="3F4860A1" w:rsidR="008B4B2B" w:rsidRPr="00E0548A" w:rsidRDefault="008B4B2B" w:rsidP="008968EE">
      <w:pPr>
        <w:ind w:leftChars="800" w:left="1689"/>
        <w:rPr>
          <w:rFonts w:ascii="ＭＳ 明朝" w:hAnsi="ＭＳ 明朝"/>
          <w:szCs w:val="21"/>
        </w:rPr>
      </w:pPr>
      <w:r w:rsidRPr="00E0548A">
        <w:rPr>
          <w:rFonts w:ascii="ＭＳ 明朝" w:hAnsi="ＭＳ 明朝" w:hint="eastAsia"/>
          <w:szCs w:val="21"/>
        </w:rPr>
        <w:t>土木事務所等、</w:t>
      </w:r>
      <w:r w:rsidR="00EE3043" w:rsidRPr="00E0548A">
        <w:rPr>
          <w:rFonts w:ascii="ＭＳ 明朝" w:hAnsi="ＭＳ 明朝" w:hint="eastAsia"/>
          <w:szCs w:val="21"/>
        </w:rPr>
        <w:t>府営住宅等</w:t>
      </w:r>
    </w:p>
    <w:p w14:paraId="513FB065" w14:textId="3AF15B86" w:rsidR="008B4B2B" w:rsidRPr="00E0548A" w:rsidRDefault="008B4B2B" w:rsidP="008B4B2B">
      <w:pPr>
        <w:ind w:firstLineChars="300" w:firstLine="633"/>
        <w:rPr>
          <w:rFonts w:ascii="ＭＳ 明朝" w:hAnsi="ＭＳ 明朝"/>
          <w:szCs w:val="21"/>
        </w:rPr>
      </w:pPr>
      <w:r w:rsidRPr="00E0548A">
        <w:rPr>
          <w:rFonts w:ascii="ＭＳ 明朝" w:hAnsi="ＭＳ 明朝" w:hint="eastAsia"/>
          <w:szCs w:val="21"/>
        </w:rPr>
        <w:t>関係機関：国、他府県、警察、消防、自衛隊、建設業界</w:t>
      </w:r>
    </w:p>
    <w:p w14:paraId="135EFA52" w14:textId="77777777" w:rsidR="008B4B2B" w:rsidRPr="00E0548A" w:rsidRDefault="008B4B2B" w:rsidP="008B4B2B">
      <w:pPr>
        <w:rPr>
          <w:rFonts w:ascii="ＭＳ 明朝" w:hAnsi="ＭＳ 明朝"/>
          <w:szCs w:val="21"/>
        </w:rPr>
      </w:pPr>
      <w:r w:rsidRPr="00E0548A">
        <w:rPr>
          <w:rFonts w:ascii="ＭＳ 明朝" w:hAnsi="ＭＳ 明朝" w:hint="eastAsia"/>
          <w:szCs w:val="21"/>
        </w:rPr>
        <w:t xml:space="preserve">　　　システム：水防災システム・土砂災害等システム、建設ＣＡＬＳシステム</w:t>
      </w:r>
    </w:p>
    <w:p w14:paraId="1B8535A7" w14:textId="77777777" w:rsidR="007650CC" w:rsidRPr="00E0548A" w:rsidRDefault="007650CC">
      <w:pPr>
        <w:widowControl/>
        <w:jc w:val="left"/>
        <w:rPr>
          <w:rFonts w:ascii="ＭＳ ゴシック" w:eastAsia="ＭＳ ゴシック" w:hAnsi="ＭＳ ゴシック"/>
          <w:szCs w:val="21"/>
        </w:rPr>
      </w:pPr>
    </w:p>
    <w:p w14:paraId="564419C1" w14:textId="77777777" w:rsidR="00D93C38" w:rsidRPr="00E0548A" w:rsidRDefault="00D93C38">
      <w:pPr>
        <w:widowControl/>
        <w:jc w:val="left"/>
        <w:rPr>
          <w:rFonts w:ascii="ＭＳ ゴシック" w:eastAsia="ＭＳ ゴシック" w:hAnsi="ＭＳ ゴシック"/>
          <w:szCs w:val="21"/>
        </w:rPr>
      </w:pPr>
      <w:r w:rsidRPr="00E0548A">
        <w:rPr>
          <w:rFonts w:ascii="ＭＳ ゴシック" w:eastAsia="ＭＳ ゴシック" w:hAnsi="ＭＳ ゴシック"/>
          <w:szCs w:val="21"/>
        </w:rPr>
        <w:br w:type="page"/>
      </w:r>
    </w:p>
    <w:p w14:paraId="60680E06" w14:textId="66E76615" w:rsidR="007650CC" w:rsidRPr="00E0548A" w:rsidRDefault="007650CC" w:rsidP="007650CC">
      <w:pPr>
        <w:pStyle w:val="af4"/>
        <w:ind w:leftChars="0" w:left="0"/>
        <w:rPr>
          <w:rFonts w:ascii="ＭＳ ゴシック" w:eastAsia="ＭＳ ゴシック" w:hAnsi="ＭＳ ゴシック"/>
          <w:szCs w:val="21"/>
        </w:rPr>
      </w:pPr>
      <w:r w:rsidRPr="00E0548A">
        <w:rPr>
          <w:rFonts w:ascii="ＭＳ ゴシック" w:eastAsia="ＭＳ ゴシック" w:hAnsi="ＭＳ ゴシック" w:hint="eastAsia"/>
          <w:szCs w:val="21"/>
        </w:rPr>
        <w:lastRenderedPageBreak/>
        <w:t>＜南海トラフ地震臨時情報（巨大地震警戒）発表時＞</w:t>
      </w:r>
    </w:p>
    <w:tbl>
      <w:tblPr>
        <w:tblpPr w:leftFromText="142" w:rightFromText="142" w:vertAnchor="text" w:tblpXSpec="center" w:tblpY="1"/>
        <w:tblOverlap w:val="neve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00"/>
        <w:gridCol w:w="7334"/>
      </w:tblGrid>
      <w:tr w:rsidR="00E0548A" w:rsidRPr="00E0548A" w14:paraId="6F07FE6B" w14:textId="77777777" w:rsidTr="008C78D9">
        <w:trPr>
          <w:jc w:val="center"/>
        </w:trPr>
        <w:tc>
          <w:tcPr>
            <w:tcW w:w="1500" w:type="dxa"/>
            <w:tcBorders>
              <w:bottom w:val="single" w:sz="4" w:space="0" w:color="auto"/>
            </w:tcBorders>
            <w:shd w:val="clear" w:color="auto" w:fill="BFBFBF"/>
          </w:tcPr>
          <w:p w14:paraId="12EEEB87" w14:textId="77777777" w:rsidR="007650CC" w:rsidRPr="00E0548A" w:rsidRDefault="007650CC" w:rsidP="008C78D9">
            <w:pPr>
              <w:jc w:val="center"/>
              <w:rPr>
                <w:rFonts w:ascii="ＭＳ 明朝" w:hAnsi="ＭＳ 明朝"/>
                <w:szCs w:val="21"/>
              </w:rPr>
            </w:pPr>
            <w:r w:rsidRPr="00E0548A">
              <w:rPr>
                <w:rFonts w:ascii="ＭＳ 明朝" w:hAnsi="ＭＳ 明朝" w:hint="eastAsia"/>
                <w:szCs w:val="21"/>
              </w:rPr>
              <w:t>臨時情報</w:t>
            </w:r>
          </w:p>
        </w:tc>
        <w:tc>
          <w:tcPr>
            <w:tcW w:w="7334" w:type="dxa"/>
            <w:tcBorders>
              <w:bottom w:val="single" w:sz="4" w:space="0" w:color="auto"/>
            </w:tcBorders>
            <w:shd w:val="clear" w:color="auto" w:fill="BFBFBF"/>
          </w:tcPr>
          <w:p w14:paraId="72CE4A5E" w14:textId="77777777" w:rsidR="007650CC" w:rsidRPr="00E0548A" w:rsidRDefault="007650CC" w:rsidP="008C78D9">
            <w:pPr>
              <w:jc w:val="center"/>
              <w:rPr>
                <w:rFonts w:ascii="ＭＳ 明朝" w:hAnsi="ＭＳ 明朝"/>
                <w:szCs w:val="21"/>
              </w:rPr>
            </w:pPr>
            <w:r w:rsidRPr="00E0548A">
              <w:rPr>
                <w:rFonts w:ascii="ＭＳ 明朝" w:hAnsi="ＭＳ 明朝" w:hint="eastAsia"/>
                <w:szCs w:val="21"/>
              </w:rPr>
              <w:t>主な応急対策業務</w:t>
            </w:r>
          </w:p>
        </w:tc>
      </w:tr>
      <w:tr w:rsidR="00E0548A" w:rsidRPr="00E0548A" w14:paraId="34570CEA" w14:textId="77777777" w:rsidTr="008C78D9">
        <w:trPr>
          <w:jc w:val="center"/>
        </w:trPr>
        <w:tc>
          <w:tcPr>
            <w:tcW w:w="1500" w:type="dxa"/>
          </w:tcPr>
          <w:p w14:paraId="20B83BE5" w14:textId="77777777" w:rsidR="007650CC" w:rsidRPr="00E0548A" w:rsidRDefault="007650CC" w:rsidP="008C78D9">
            <w:pPr>
              <w:rPr>
                <w:rFonts w:ascii="ＭＳ 明朝" w:hAnsi="ＭＳ 明朝"/>
                <w:szCs w:val="21"/>
              </w:rPr>
            </w:pPr>
            <w:r w:rsidRPr="00E0548A">
              <w:rPr>
                <w:rFonts w:ascii="ＭＳ 明朝" w:hAnsi="ＭＳ 明朝" w:hint="eastAsia"/>
                <w:szCs w:val="21"/>
              </w:rPr>
              <w:t>巨大地震警戒</w:t>
            </w:r>
          </w:p>
        </w:tc>
        <w:tc>
          <w:tcPr>
            <w:tcW w:w="7334" w:type="dxa"/>
          </w:tcPr>
          <w:p w14:paraId="72D70770" w14:textId="77777777" w:rsidR="00806707" w:rsidRPr="00E0548A" w:rsidRDefault="00806707" w:rsidP="00806707">
            <w:pPr>
              <w:rPr>
                <w:rFonts w:ascii="ＭＳ 明朝" w:hAnsi="ＭＳ 明朝"/>
              </w:rPr>
            </w:pPr>
            <w:r w:rsidRPr="00E0548A">
              <w:rPr>
                <w:rFonts w:ascii="ＭＳ 明朝" w:hAnsi="ＭＳ 明朝" w:hint="eastAsia"/>
              </w:rPr>
              <w:t>○地震発災後、応急対策業務（第１フェーズ）を速やかに実施できる準備</w:t>
            </w:r>
          </w:p>
          <w:p w14:paraId="3E45510B" w14:textId="77777777" w:rsidR="00806707" w:rsidRPr="00E0548A" w:rsidRDefault="00806707" w:rsidP="00806707">
            <w:pPr>
              <w:ind w:firstLineChars="100" w:firstLine="211"/>
              <w:rPr>
                <w:rFonts w:ascii="ＭＳ 明朝" w:hAnsi="ＭＳ 明朝"/>
              </w:rPr>
            </w:pPr>
            <w:r w:rsidRPr="00E0548A">
              <w:rPr>
                <w:rFonts w:ascii="ＭＳ 明朝" w:hAnsi="ＭＳ 明朝" w:hint="eastAsia"/>
              </w:rPr>
              <w:t>体制を維持</w:t>
            </w:r>
          </w:p>
          <w:p w14:paraId="26292B1B" w14:textId="77777777" w:rsidR="00791F9B" w:rsidRPr="00E0548A" w:rsidRDefault="00791F9B" w:rsidP="00791F9B">
            <w:pPr>
              <w:ind w:left="211" w:hangingChars="100" w:hanging="211"/>
              <w:rPr>
                <w:rFonts w:ascii="ＭＳ 明朝" w:hAnsi="ＭＳ 明朝"/>
                <w:szCs w:val="21"/>
              </w:rPr>
            </w:pPr>
            <w:r w:rsidRPr="00E0548A">
              <w:rPr>
                <w:rFonts w:ascii="ＭＳ 明朝" w:hAnsi="ＭＳ 明朝" w:hint="eastAsia"/>
              </w:rPr>
              <w:t>○初動マニュアル等の確認</w:t>
            </w:r>
            <w:r w:rsidRPr="00E0548A">
              <w:rPr>
                <w:rFonts w:ascii="ＭＳ 明朝" w:hAnsi="ＭＳ 明朝" w:hint="eastAsia"/>
                <w:szCs w:val="21"/>
              </w:rPr>
              <w:t>【各所管所属】</w:t>
            </w:r>
          </w:p>
          <w:p w14:paraId="146782DA" w14:textId="77777777" w:rsidR="00791F9B" w:rsidRPr="00E0548A" w:rsidRDefault="00791F9B" w:rsidP="00791F9B">
            <w:pPr>
              <w:ind w:left="211" w:hangingChars="100" w:hanging="211"/>
              <w:rPr>
                <w:rFonts w:ascii="ＭＳ 明朝" w:hAnsi="ＭＳ 明朝"/>
                <w:szCs w:val="21"/>
              </w:rPr>
            </w:pPr>
            <w:r w:rsidRPr="00E0548A">
              <w:rPr>
                <w:rFonts w:ascii="ＭＳ 明朝" w:hAnsi="ＭＳ 明朝" w:hint="eastAsia"/>
              </w:rPr>
              <w:t>○職員との連絡体制等防災体制の確認</w:t>
            </w:r>
            <w:r w:rsidRPr="00E0548A">
              <w:rPr>
                <w:rFonts w:ascii="ＭＳ 明朝" w:hAnsi="ＭＳ 明朝" w:hint="eastAsia"/>
                <w:szCs w:val="21"/>
              </w:rPr>
              <w:t>【各所管所属】</w:t>
            </w:r>
          </w:p>
          <w:p w14:paraId="6213A914" w14:textId="77777777" w:rsidR="00791F9B" w:rsidRPr="00E0548A" w:rsidRDefault="00791F9B" w:rsidP="00791F9B">
            <w:pPr>
              <w:ind w:left="211" w:hangingChars="100" w:hanging="211"/>
              <w:rPr>
                <w:rFonts w:ascii="ＭＳ 明朝" w:hAnsi="ＭＳ 明朝"/>
                <w:szCs w:val="22"/>
              </w:rPr>
            </w:pPr>
            <w:r w:rsidRPr="00E0548A">
              <w:rPr>
                <w:rFonts w:ascii="ＭＳ 明朝" w:hAnsi="ＭＳ 明朝" w:hint="eastAsia"/>
              </w:rPr>
              <w:t>○津波防御施設（水門・鉄扉）等、防災上重要な施設の確認・点検</w:t>
            </w:r>
          </w:p>
          <w:p w14:paraId="274A53D6" w14:textId="77777777" w:rsidR="00791F9B" w:rsidRPr="00E0548A" w:rsidRDefault="00791F9B" w:rsidP="00791F9B">
            <w:pPr>
              <w:ind w:left="211" w:hangingChars="100" w:hanging="211"/>
              <w:rPr>
                <w:rFonts w:ascii="ＭＳ 明朝" w:hAnsi="ＭＳ 明朝"/>
              </w:rPr>
            </w:pPr>
            <w:r w:rsidRPr="00E0548A">
              <w:rPr>
                <w:rFonts w:ascii="ＭＳ 明朝" w:hAnsi="ＭＳ 明朝" w:hint="eastAsia"/>
              </w:rPr>
              <w:t>○道路啓開体制の確認</w:t>
            </w:r>
          </w:p>
          <w:p w14:paraId="697EFDF9" w14:textId="77777777" w:rsidR="00791F9B" w:rsidRPr="00E0548A" w:rsidRDefault="00791F9B" w:rsidP="00791F9B">
            <w:pPr>
              <w:ind w:left="211" w:hangingChars="100" w:hanging="211"/>
              <w:rPr>
                <w:rFonts w:ascii="ＭＳ 明朝" w:hAnsi="ＭＳ 明朝"/>
              </w:rPr>
            </w:pPr>
            <w:r w:rsidRPr="00E0548A">
              <w:rPr>
                <w:rFonts w:ascii="ＭＳ 明朝" w:hAnsi="ＭＳ 明朝" w:hint="eastAsia"/>
                <w:szCs w:val="21"/>
              </w:rPr>
              <w:t>○部（局）内及び関係機関（防災協定企業・防災ボランティア・ライフライン・鉄道事業者等）との連絡体制の確認【各所管所属】</w:t>
            </w:r>
          </w:p>
          <w:p w14:paraId="47E2335D" w14:textId="77777777" w:rsidR="00791F9B" w:rsidRPr="00E0548A" w:rsidRDefault="00791F9B" w:rsidP="00791F9B">
            <w:pPr>
              <w:rPr>
                <w:rFonts w:ascii="ＭＳ 明朝" w:hAnsi="ＭＳ 明朝"/>
                <w:szCs w:val="21"/>
              </w:rPr>
            </w:pPr>
            <w:r w:rsidRPr="00E0548A">
              <w:rPr>
                <w:rFonts w:ascii="ＭＳ 明朝" w:hAnsi="ＭＳ 明朝" w:hint="eastAsia"/>
                <w:szCs w:val="21"/>
              </w:rPr>
              <w:t>○発注工事現場の安全確保及び継続可否の判断【各所管所属】</w:t>
            </w:r>
          </w:p>
          <w:p w14:paraId="4BD964EE" w14:textId="77777777" w:rsidR="00791F9B" w:rsidRPr="00E0548A" w:rsidRDefault="00791F9B" w:rsidP="00791F9B">
            <w:pPr>
              <w:ind w:left="211" w:hangingChars="100" w:hanging="211"/>
              <w:rPr>
                <w:rFonts w:ascii="ＭＳ 明朝" w:hAnsi="ＭＳ 明朝"/>
                <w:szCs w:val="21"/>
              </w:rPr>
            </w:pPr>
            <w:r w:rsidRPr="00E0548A">
              <w:rPr>
                <w:rFonts w:ascii="ＭＳ 明朝" w:hAnsi="ＭＳ 明朝" w:hint="eastAsia"/>
                <w:szCs w:val="21"/>
              </w:rPr>
              <w:t>○所管施設（府営公園・狭山池博物館・府営住宅等）の避難経路、誘導手法等の確認【各所管所属】</w:t>
            </w:r>
          </w:p>
          <w:p w14:paraId="6E01D8BF" w14:textId="77777777" w:rsidR="00791F9B" w:rsidRPr="00E0548A" w:rsidRDefault="00791F9B" w:rsidP="00791F9B">
            <w:pPr>
              <w:ind w:left="211" w:hangingChars="100" w:hanging="211"/>
              <w:rPr>
                <w:rFonts w:ascii="ＭＳ 明朝" w:hAnsi="ＭＳ 明朝"/>
                <w:szCs w:val="21"/>
              </w:rPr>
            </w:pPr>
            <w:r w:rsidRPr="00E0548A">
              <w:rPr>
                <w:rFonts w:ascii="ＭＳ 明朝" w:hAnsi="ＭＳ 明朝" w:hint="eastAsia"/>
                <w:szCs w:val="21"/>
              </w:rPr>
              <w:t>○所管イベントの開催可否の判断</w:t>
            </w:r>
          </w:p>
          <w:p w14:paraId="14F273F4" w14:textId="2FB4BC43" w:rsidR="007650CC" w:rsidRPr="00E0548A" w:rsidRDefault="00791F9B" w:rsidP="00791F9B">
            <w:pPr>
              <w:ind w:left="211" w:hangingChars="100" w:hanging="211"/>
              <w:rPr>
                <w:rFonts w:ascii="ＭＳ 明朝" w:hAnsi="ＭＳ 明朝"/>
                <w:szCs w:val="21"/>
              </w:rPr>
            </w:pPr>
            <w:r w:rsidRPr="00E0548A">
              <w:rPr>
                <w:rFonts w:ascii="ＭＳ 明朝" w:hAnsi="ＭＳ 明朝" w:hint="eastAsia"/>
                <w:kern w:val="0"/>
                <w:szCs w:val="21"/>
              </w:rPr>
              <w:t>○道路・府営公園等施設利用者（イベント参加者）の情報提供及び安全確認【各所管所属】</w:t>
            </w:r>
          </w:p>
        </w:tc>
      </w:tr>
    </w:tbl>
    <w:p w14:paraId="0A974C78" w14:textId="77777777" w:rsidR="007650CC" w:rsidRPr="00E0548A" w:rsidRDefault="007650CC" w:rsidP="007650CC">
      <w:pPr>
        <w:rPr>
          <w:rFonts w:ascii="ＭＳ 明朝" w:hAnsi="ＭＳ 明朝"/>
          <w:szCs w:val="21"/>
        </w:rPr>
      </w:pPr>
      <w:r w:rsidRPr="00E0548A">
        <w:rPr>
          <w:rFonts w:ascii="ＭＳ 明朝" w:hAnsi="ＭＳ 明朝" w:hint="eastAsia"/>
          <w:szCs w:val="21"/>
        </w:rPr>
        <w:t>「南海トラフ地震臨時情報（巨大地震警戒）」が発表され、「巨大地震警戒対応期間」（１週間）が経過した際は、「巨大地震注意対応期間」へ移行。</w:t>
      </w:r>
    </w:p>
    <w:p w14:paraId="695D5ACD" w14:textId="77777777" w:rsidR="007650CC" w:rsidRPr="00E0548A" w:rsidRDefault="007650CC" w:rsidP="007650CC">
      <w:pPr>
        <w:rPr>
          <w:rFonts w:ascii="ＭＳ 明朝" w:hAnsi="ＭＳ 明朝"/>
          <w:szCs w:val="21"/>
        </w:rPr>
      </w:pPr>
    </w:p>
    <w:p w14:paraId="3D71680E" w14:textId="111DDA41" w:rsidR="007650CC" w:rsidRPr="00E0548A" w:rsidRDefault="007650CC" w:rsidP="007650CC">
      <w:pPr>
        <w:pStyle w:val="af4"/>
        <w:ind w:leftChars="0" w:left="0"/>
        <w:rPr>
          <w:rFonts w:ascii="ＭＳ ゴシック" w:eastAsia="ＭＳ ゴシック" w:hAnsi="ＭＳ ゴシック"/>
          <w:szCs w:val="21"/>
        </w:rPr>
      </w:pPr>
      <w:r w:rsidRPr="00E0548A">
        <w:rPr>
          <w:rFonts w:ascii="ＭＳ ゴシック" w:eastAsia="ＭＳ ゴシック" w:hAnsi="ＭＳ ゴシック" w:hint="eastAsia"/>
          <w:szCs w:val="21"/>
        </w:rPr>
        <w:t>＜南海トラフ地震臨時情報（巨大地震注意）発表時</w:t>
      </w:r>
      <w:r w:rsidR="002F25B5" w:rsidRPr="00E0548A">
        <w:rPr>
          <w:rFonts w:ascii="ＭＳ ゴシック" w:eastAsia="ＭＳ ゴシック" w:hAnsi="ＭＳ ゴシック" w:hint="eastAsia"/>
          <w:szCs w:val="21"/>
        </w:rPr>
        <w:t>（</w:t>
      </w:r>
      <w:r w:rsidR="002F25B5" w:rsidRPr="00E0548A">
        <w:rPr>
          <w:rFonts w:ascii="ＭＳ 明朝" w:hAnsi="ＭＳ 明朝" w:hint="eastAsia"/>
          <w:szCs w:val="21"/>
        </w:rPr>
        <w:t>巨大地震警戒からの移行時を含む</w:t>
      </w:r>
      <w:r w:rsidR="002F25B5" w:rsidRPr="00E0548A">
        <w:rPr>
          <w:rFonts w:ascii="ＭＳ ゴシック" w:eastAsia="ＭＳ ゴシック" w:hAnsi="ＭＳ ゴシック" w:hint="eastAsia"/>
          <w:szCs w:val="21"/>
        </w:rPr>
        <w:t>）</w:t>
      </w:r>
      <w:r w:rsidRPr="00E0548A">
        <w:rPr>
          <w:rFonts w:ascii="ＭＳ ゴシック" w:eastAsia="ＭＳ ゴシック" w:hAnsi="ＭＳ ゴシック" w:hint="eastAsia"/>
          <w:szCs w:val="21"/>
        </w:rPr>
        <w:t>＞</w:t>
      </w:r>
    </w:p>
    <w:tbl>
      <w:tblPr>
        <w:tblpPr w:leftFromText="142" w:rightFromText="142" w:vertAnchor="text" w:tblpXSpec="center" w:tblpY="1"/>
        <w:tblOverlap w:val="neve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00"/>
        <w:gridCol w:w="7334"/>
      </w:tblGrid>
      <w:tr w:rsidR="00E0548A" w:rsidRPr="00E0548A" w14:paraId="39E381E2" w14:textId="77777777" w:rsidTr="008C78D9">
        <w:trPr>
          <w:jc w:val="center"/>
        </w:trPr>
        <w:tc>
          <w:tcPr>
            <w:tcW w:w="1500" w:type="dxa"/>
            <w:tcBorders>
              <w:bottom w:val="single" w:sz="4" w:space="0" w:color="auto"/>
            </w:tcBorders>
            <w:shd w:val="clear" w:color="auto" w:fill="BFBFBF"/>
          </w:tcPr>
          <w:p w14:paraId="42B1A50C" w14:textId="77777777" w:rsidR="007650CC" w:rsidRPr="00E0548A" w:rsidRDefault="007650CC" w:rsidP="008C78D9">
            <w:pPr>
              <w:jc w:val="center"/>
              <w:rPr>
                <w:rFonts w:ascii="ＭＳ 明朝" w:hAnsi="ＭＳ 明朝"/>
                <w:szCs w:val="21"/>
              </w:rPr>
            </w:pPr>
            <w:r w:rsidRPr="00E0548A">
              <w:rPr>
                <w:rFonts w:ascii="ＭＳ 明朝" w:hAnsi="ＭＳ 明朝" w:hint="eastAsia"/>
                <w:szCs w:val="21"/>
              </w:rPr>
              <w:t>臨時情報</w:t>
            </w:r>
          </w:p>
        </w:tc>
        <w:tc>
          <w:tcPr>
            <w:tcW w:w="7334" w:type="dxa"/>
            <w:tcBorders>
              <w:bottom w:val="single" w:sz="4" w:space="0" w:color="auto"/>
            </w:tcBorders>
            <w:shd w:val="clear" w:color="auto" w:fill="BFBFBF"/>
          </w:tcPr>
          <w:p w14:paraId="34158D89" w14:textId="77777777" w:rsidR="007650CC" w:rsidRPr="00E0548A" w:rsidRDefault="007650CC" w:rsidP="008C78D9">
            <w:pPr>
              <w:jc w:val="center"/>
              <w:rPr>
                <w:rFonts w:ascii="ＭＳ 明朝" w:hAnsi="ＭＳ 明朝"/>
                <w:szCs w:val="21"/>
              </w:rPr>
            </w:pPr>
            <w:r w:rsidRPr="00E0548A">
              <w:rPr>
                <w:rFonts w:ascii="ＭＳ 明朝" w:hAnsi="ＭＳ 明朝" w:hint="eastAsia"/>
                <w:szCs w:val="21"/>
              </w:rPr>
              <w:t>主な応急対策業務</w:t>
            </w:r>
          </w:p>
        </w:tc>
      </w:tr>
      <w:tr w:rsidR="00E0548A" w:rsidRPr="00E0548A" w14:paraId="3AF82E82" w14:textId="77777777" w:rsidTr="008C78D9">
        <w:trPr>
          <w:jc w:val="center"/>
        </w:trPr>
        <w:tc>
          <w:tcPr>
            <w:tcW w:w="1500" w:type="dxa"/>
          </w:tcPr>
          <w:p w14:paraId="67FA8F05" w14:textId="77777777" w:rsidR="007650CC" w:rsidRPr="00E0548A" w:rsidRDefault="007650CC" w:rsidP="008C78D9">
            <w:pPr>
              <w:rPr>
                <w:rFonts w:ascii="ＭＳ 明朝" w:hAnsi="ＭＳ 明朝"/>
                <w:szCs w:val="21"/>
              </w:rPr>
            </w:pPr>
            <w:r w:rsidRPr="00E0548A">
              <w:rPr>
                <w:rFonts w:ascii="ＭＳ 明朝" w:hAnsi="ＭＳ 明朝" w:hint="eastAsia"/>
                <w:szCs w:val="21"/>
              </w:rPr>
              <w:t>巨大地震注意</w:t>
            </w:r>
          </w:p>
        </w:tc>
        <w:tc>
          <w:tcPr>
            <w:tcW w:w="7334" w:type="dxa"/>
          </w:tcPr>
          <w:p w14:paraId="21B33B77" w14:textId="7DB428FA" w:rsidR="00791F9B" w:rsidRPr="00E0548A" w:rsidRDefault="00791F9B" w:rsidP="00791F9B">
            <w:pPr>
              <w:rPr>
                <w:rFonts w:ascii="ＭＳ 明朝" w:hAnsi="ＭＳ 明朝"/>
                <w:szCs w:val="21"/>
              </w:rPr>
            </w:pPr>
            <w:r w:rsidRPr="00E0548A">
              <w:rPr>
                <w:rFonts w:ascii="ＭＳ 明朝" w:hAnsi="ＭＳ 明朝" w:hint="eastAsia"/>
                <w:szCs w:val="21"/>
              </w:rPr>
              <w:t>○地震発災に備えた情報連絡体制の</w:t>
            </w:r>
            <w:r w:rsidR="00806707" w:rsidRPr="00E0548A">
              <w:rPr>
                <w:rFonts w:ascii="ＭＳ 明朝" w:hAnsi="ＭＳ 明朝" w:hint="eastAsia"/>
                <w:szCs w:val="21"/>
              </w:rPr>
              <w:t>維持</w:t>
            </w:r>
          </w:p>
          <w:p w14:paraId="73FD0C02" w14:textId="77777777" w:rsidR="00791F9B" w:rsidRPr="00E0548A" w:rsidRDefault="00791F9B" w:rsidP="00791F9B">
            <w:pPr>
              <w:rPr>
                <w:rFonts w:ascii="ＭＳ 明朝" w:hAnsi="ＭＳ 明朝"/>
                <w:szCs w:val="21"/>
              </w:rPr>
            </w:pPr>
            <w:r w:rsidRPr="00E0548A">
              <w:rPr>
                <w:rFonts w:ascii="ＭＳ 明朝" w:hAnsi="ＭＳ 明朝" w:hint="eastAsia"/>
                <w:szCs w:val="21"/>
              </w:rPr>
              <w:t>○初動マニュアル等の確認【各所管所属】</w:t>
            </w:r>
          </w:p>
          <w:p w14:paraId="4DC2A961" w14:textId="77777777" w:rsidR="00791F9B" w:rsidRPr="00E0548A" w:rsidRDefault="00791F9B" w:rsidP="00791F9B">
            <w:pPr>
              <w:rPr>
                <w:rFonts w:ascii="ＭＳ 明朝" w:hAnsi="ＭＳ 明朝"/>
                <w:szCs w:val="21"/>
              </w:rPr>
            </w:pPr>
            <w:r w:rsidRPr="00E0548A">
              <w:rPr>
                <w:rFonts w:ascii="ＭＳ 明朝" w:hAnsi="ＭＳ 明朝" w:hint="eastAsia"/>
                <w:szCs w:val="21"/>
              </w:rPr>
              <w:t>○職員との連絡体制等防災体制の確認【各所管所属】</w:t>
            </w:r>
          </w:p>
          <w:p w14:paraId="3FE8C36F" w14:textId="77777777" w:rsidR="00791F9B" w:rsidRPr="00E0548A" w:rsidRDefault="00791F9B" w:rsidP="00791F9B">
            <w:pPr>
              <w:rPr>
                <w:rFonts w:ascii="ＭＳ 明朝" w:hAnsi="ＭＳ 明朝"/>
                <w:szCs w:val="21"/>
              </w:rPr>
            </w:pPr>
            <w:r w:rsidRPr="00E0548A">
              <w:rPr>
                <w:rFonts w:ascii="ＭＳ 明朝" w:hAnsi="ＭＳ 明朝" w:hint="eastAsia"/>
                <w:szCs w:val="21"/>
              </w:rPr>
              <w:t>○津波防御施設（水門・鉄扉）等、防災上重要な施設の確認・点検</w:t>
            </w:r>
          </w:p>
          <w:p w14:paraId="5F9E40F4" w14:textId="77777777" w:rsidR="00791F9B" w:rsidRPr="00E0548A" w:rsidRDefault="00791F9B" w:rsidP="00791F9B">
            <w:pPr>
              <w:rPr>
                <w:rFonts w:ascii="ＭＳ 明朝" w:hAnsi="ＭＳ 明朝"/>
                <w:szCs w:val="21"/>
              </w:rPr>
            </w:pPr>
            <w:r w:rsidRPr="00E0548A">
              <w:rPr>
                <w:rFonts w:ascii="ＭＳ 明朝" w:hAnsi="ＭＳ 明朝" w:hint="eastAsia"/>
                <w:szCs w:val="21"/>
              </w:rPr>
              <w:t>○道路啓開体制の確認</w:t>
            </w:r>
          </w:p>
          <w:p w14:paraId="552EC35B" w14:textId="77777777" w:rsidR="00791F9B" w:rsidRPr="00E0548A" w:rsidRDefault="00791F9B" w:rsidP="00E30F0B">
            <w:pPr>
              <w:ind w:left="211" w:hangingChars="100" w:hanging="211"/>
              <w:rPr>
                <w:rFonts w:ascii="ＭＳ 明朝" w:hAnsi="ＭＳ 明朝"/>
                <w:szCs w:val="21"/>
              </w:rPr>
            </w:pPr>
            <w:r w:rsidRPr="00E0548A">
              <w:rPr>
                <w:rFonts w:ascii="ＭＳ 明朝" w:hAnsi="ＭＳ 明朝" w:hint="eastAsia"/>
                <w:szCs w:val="21"/>
              </w:rPr>
              <w:t>○部（局）内及び関係機関（防災協定企業・防災ボランティア・ライフライン・鉄道事業者等）との連絡体制の確認【各所管所属】</w:t>
            </w:r>
          </w:p>
          <w:p w14:paraId="7E09576A" w14:textId="77777777" w:rsidR="00791F9B" w:rsidRPr="00E0548A" w:rsidRDefault="00791F9B" w:rsidP="00791F9B">
            <w:pPr>
              <w:rPr>
                <w:rFonts w:ascii="ＭＳ 明朝" w:hAnsi="ＭＳ 明朝"/>
                <w:szCs w:val="21"/>
              </w:rPr>
            </w:pPr>
            <w:r w:rsidRPr="00E0548A">
              <w:rPr>
                <w:rFonts w:ascii="ＭＳ 明朝" w:hAnsi="ＭＳ 明朝" w:hint="eastAsia"/>
                <w:szCs w:val="21"/>
              </w:rPr>
              <w:t>○発注工事現場の安全確保【各所管所属】</w:t>
            </w:r>
          </w:p>
          <w:p w14:paraId="476B8A26" w14:textId="77777777" w:rsidR="00791F9B" w:rsidRPr="00E0548A" w:rsidRDefault="00791F9B" w:rsidP="00E30F0B">
            <w:pPr>
              <w:ind w:left="211" w:hangingChars="100" w:hanging="211"/>
              <w:rPr>
                <w:rFonts w:ascii="ＭＳ 明朝" w:hAnsi="ＭＳ 明朝"/>
                <w:szCs w:val="21"/>
              </w:rPr>
            </w:pPr>
            <w:r w:rsidRPr="00E0548A">
              <w:rPr>
                <w:rFonts w:ascii="ＭＳ 明朝" w:hAnsi="ＭＳ 明朝" w:hint="eastAsia"/>
                <w:szCs w:val="21"/>
              </w:rPr>
              <w:t>○所管施設（府営公園・狭山池博物館・府営住宅等）の避難経路、誘導手法等の確認【各所管所属】</w:t>
            </w:r>
          </w:p>
          <w:p w14:paraId="78D2684C" w14:textId="039FAB66" w:rsidR="007650CC" w:rsidRPr="00E0548A" w:rsidRDefault="00791F9B" w:rsidP="00E30F0B">
            <w:pPr>
              <w:ind w:left="211" w:hangingChars="100" w:hanging="211"/>
              <w:rPr>
                <w:rFonts w:ascii="ＭＳ 明朝" w:hAnsi="ＭＳ 明朝"/>
                <w:szCs w:val="21"/>
              </w:rPr>
            </w:pPr>
            <w:r w:rsidRPr="00E0548A">
              <w:rPr>
                <w:rFonts w:ascii="ＭＳ 明朝" w:hAnsi="ＭＳ 明朝" w:hint="eastAsia"/>
                <w:szCs w:val="21"/>
              </w:rPr>
              <w:t>○道路・府営公園等施設利用者（イベント参加者）の情報提供及び安全確認【各所管所属】</w:t>
            </w:r>
          </w:p>
        </w:tc>
      </w:tr>
    </w:tbl>
    <w:p w14:paraId="5E1D17A7" w14:textId="40BF5655" w:rsidR="007650CC" w:rsidRPr="00E0548A" w:rsidRDefault="007650CC" w:rsidP="007650CC">
      <w:pPr>
        <w:rPr>
          <w:rFonts w:ascii="ＭＳ 明朝" w:hAnsi="ＭＳ 明朝"/>
          <w:szCs w:val="21"/>
        </w:rPr>
      </w:pPr>
    </w:p>
    <w:p w14:paraId="0222CC03" w14:textId="77777777" w:rsidR="00BD6692" w:rsidRPr="00E0548A" w:rsidRDefault="00BD6692" w:rsidP="00BD6692">
      <w:pPr>
        <w:ind w:firstLineChars="100" w:firstLine="211"/>
        <w:rPr>
          <w:rFonts w:ascii="ＭＳ 明朝" w:hAnsi="ＭＳ 明朝"/>
          <w:szCs w:val="21"/>
        </w:rPr>
      </w:pPr>
      <w:r w:rsidRPr="00E0548A">
        <w:rPr>
          <w:rFonts w:ascii="ＭＳ 明朝" w:hAnsi="ＭＳ 明朝" w:hint="eastAsia"/>
          <w:szCs w:val="21"/>
        </w:rPr>
        <w:t>なお、南海トラフ地震臨時情報（巨大地震警戒及び注意）発表時の主な所管施設等については、前述する＜災害発生時＞に記載する内容と同様。</w:t>
      </w:r>
    </w:p>
    <w:p w14:paraId="0410C78B" w14:textId="3E85511A" w:rsidR="00D95C46" w:rsidRPr="00E0548A" w:rsidRDefault="00D95C46">
      <w:pPr>
        <w:widowControl/>
        <w:jc w:val="left"/>
        <w:rPr>
          <w:rFonts w:ascii="ＭＳ ゴシック" w:eastAsia="ＭＳ ゴシック" w:hAnsi="ＭＳ ゴシック"/>
          <w:szCs w:val="21"/>
        </w:rPr>
      </w:pPr>
      <w:r w:rsidRPr="00E0548A">
        <w:rPr>
          <w:rFonts w:ascii="ＭＳ ゴシック" w:eastAsia="ＭＳ ゴシック" w:hAnsi="ＭＳ ゴシック"/>
          <w:szCs w:val="21"/>
        </w:rPr>
        <w:br w:type="page"/>
      </w:r>
    </w:p>
    <w:p w14:paraId="12C3BF92" w14:textId="1D214720" w:rsidR="00D225BB" w:rsidRPr="00E0548A" w:rsidRDefault="00D225BB" w:rsidP="00D225BB">
      <w:pPr>
        <w:rPr>
          <w:rFonts w:ascii="ＭＳ ゴシック" w:eastAsia="ＭＳ ゴシック" w:hAnsi="ＭＳ ゴシック"/>
          <w:szCs w:val="21"/>
        </w:rPr>
      </w:pPr>
      <w:r w:rsidRPr="00E0548A">
        <w:rPr>
          <w:rFonts w:ascii="ＭＳ ゴシック" w:eastAsia="ＭＳ ゴシック" w:hAnsi="ＭＳ ゴシック" w:hint="eastAsia"/>
          <w:szCs w:val="21"/>
        </w:rPr>
        <w:lastRenderedPageBreak/>
        <w:t>⑬大阪都市計画局</w:t>
      </w:r>
    </w:p>
    <w:p w14:paraId="1C0D8EC2" w14:textId="77777777" w:rsidR="002C01FF" w:rsidRPr="00E0548A" w:rsidRDefault="002C01FF" w:rsidP="002C01FF">
      <w:pPr>
        <w:pStyle w:val="af4"/>
        <w:ind w:leftChars="0" w:left="0"/>
        <w:rPr>
          <w:rFonts w:ascii="ＭＳ ゴシック" w:eastAsia="ＭＳ ゴシック" w:hAnsi="ＭＳ ゴシック"/>
          <w:szCs w:val="21"/>
        </w:rPr>
      </w:pPr>
      <w:r w:rsidRPr="00E0548A">
        <w:rPr>
          <w:rFonts w:ascii="ＭＳ ゴシック" w:eastAsia="ＭＳ ゴシック" w:hAnsi="ＭＳ ゴシック" w:hint="eastAsia"/>
          <w:szCs w:val="21"/>
        </w:rPr>
        <w:t>＜災害発生時＞</w:t>
      </w:r>
    </w:p>
    <w:tbl>
      <w:tblPr>
        <w:tblpPr w:leftFromText="142" w:rightFromText="142" w:vertAnchor="text" w:tblpXSpec="center" w:tblpY="1"/>
        <w:tblOverlap w:val="neve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18"/>
        <w:gridCol w:w="7316"/>
      </w:tblGrid>
      <w:tr w:rsidR="00E0548A" w:rsidRPr="00E0548A" w14:paraId="69D8BE18" w14:textId="77777777" w:rsidTr="00D225BB">
        <w:tc>
          <w:tcPr>
            <w:tcW w:w="1518" w:type="dxa"/>
            <w:tcBorders>
              <w:top w:val="single" w:sz="4" w:space="0" w:color="auto"/>
              <w:left w:val="single" w:sz="4" w:space="0" w:color="auto"/>
              <w:bottom w:val="single" w:sz="4" w:space="0" w:color="auto"/>
              <w:right w:val="single" w:sz="4" w:space="0" w:color="auto"/>
            </w:tcBorders>
            <w:shd w:val="clear" w:color="auto" w:fill="BFBFBF"/>
            <w:hideMark/>
          </w:tcPr>
          <w:p w14:paraId="7A98ED9F" w14:textId="77777777" w:rsidR="00D225BB" w:rsidRPr="00E0548A" w:rsidRDefault="00D225BB">
            <w:pPr>
              <w:jc w:val="center"/>
              <w:rPr>
                <w:rFonts w:ascii="ＭＳ 明朝" w:hAnsi="ＭＳ 明朝"/>
                <w:szCs w:val="21"/>
              </w:rPr>
            </w:pPr>
            <w:r w:rsidRPr="00E0548A">
              <w:rPr>
                <w:rFonts w:ascii="ＭＳ 明朝" w:hAnsi="ＭＳ 明朝" w:hint="eastAsia"/>
                <w:szCs w:val="21"/>
              </w:rPr>
              <w:t>フェーズ</w:t>
            </w:r>
          </w:p>
        </w:tc>
        <w:tc>
          <w:tcPr>
            <w:tcW w:w="7316" w:type="dxa"/>
            <w:tcBorders>
              <w:top w:val="single" w:sz="4" w:space="0" w:color="auto"/>
              <w:left w:val="single" w:sz="4" w:space="0" w:color="auto"/>
              <w:bottom w:val="single" w:sz="4" w:space="0" w:color="auto"/>
              <w:right w:val="single" w:sz="4" w:space="0" w:color="auto"/>
            </w:tcBorders>
            <w:shd w:val="clear" w:color="auto" w:fill="BFBFBF"/>
            <w:hideMark/>
          </w:tcPr>
          <w:p w14:paraId="57E0E5B2" w14:textId="77777777" w:rsidR="00D225BB" w:rsidRPr="00E0548A" w:rsidRDefault="00D225BB">
            <w:pPr>
              <w:jc w:val="center"/>
              <w:rPr>
                <w:rFonts w:ascii="ＭＳ 明朝" w:hAnsi="ＭＳ 明朝"/>
                <w:szCs w:val="21"/>
              </w:rPr>
            </w:pPr>
            <w:r w:rsidRPr="00E0548A">
              <w:rPr>
                <w:rFonts w:ascii="ＭＳ 明朝" w:hAnsi="ＭＳ 明朝" w:hint="eastAsia"/>
                <w:szCs w:val="21"/>
              </w:rPr>
              <w:t>主な応急対策業務</w:t>
            </w:r>
          </w:p>
        </w:tc>
      </w:tr>
      <w:tr w:rsidR="00E0548A" w:rsidRPr="00E0548A" w14:paraId="19BDD081" w14:textId="77777777" w:rsidTr="00D225BB">
        <w:tc>
          <w:tcPr>
            <w:tcW w:w="1518" w:type="dxa"/>
            <w:tcBorders>
              <w:top w:val="single" w:sz="4" w:space="0" w:color="auto"/>
              <w:left w:val="single" w:sz="4" w:space="0" w:color="auto"/>
              <w:bottom w:val="single" w:sz="4" w:space="0" w:color="auto"/>
              <w:right w:val="single" w:sz="4" w:space="0" w:color="auto"/>
            </w:tcBorders>
          </w:tcPr>
          <w:p w14:paraId="3B019628" w14:textId="77777777" w:rsidR="00D225BB" w:rsidRPr="00E0548A" w:rsidRDefault="00D225BB">
            <w:pPr>
              <w:rPr>
                <w:rFonts w:ascii="ＭＳ 明朝" w:hAnsi="ＭＳ 明朝"/>
                <w:szCs w:val="21"/>
              </w:rPr>
            </w:pPr>
            <w:r w:rsidRPr="00E0548A">
              <w:rPr>
                <w:rFonts w:ascii="ＭＳ 明朝" w:hAnsi="ＭＳ 明朝" w:hint="eastAsia"/>
                <w:szCs w:val="21"/>
              </w:rPr>
              <w:t>第</w:t>
            </w:r>
            <w:r w:rsidRPr="00E0548A">
              <w:rPr>
                <w:rFonts w:ascii="ＭＳ 明朝" w:hAnsi="ＭＳ 明朝"/>
                <w:szCs w:val="21"/>
              </w:rPr>
              <w:t>1フェーズ</w:t>
            </w:r>
          </w:p>
          <w:p w14:paraId="46EA448A" w14:textId="77777777" w:rsidR="00D225BB" w:rsidRPr="00E0548A" w:rsidRDefault="00D225BB">
            <w:pPr>
              <w:rPr>
                <w:rFonts w:ascii="ＭＳ 明朝" w:hAnsi="ＭＳ 明朝"/>
                <w:szCs w:val="21"/>
              </w:rPr>
            </w:pPr>
            <w:r w:rsidRPr="00E0548A">
              <w:rPr>
                <w:rFonts w:ascii="ＭＳ 明朝" w:hAnsi="ＭＳ 明朝"/>
                <w:szCs w:val="21"/>
              </w:rPr>
              <w:t>(3時間まで)</w:t>
            </w:r>
          </w:p>
          <w:p w14:paraId="24542AF7" w14:textId="77777777" w:rsidR="00D225BB" w:rsidRPr="00E0548A" w:rsidRDefault="00D225BB">
            <w:pPr>
              <w:rPr>
                <w:rFonts w:ascii="ＭＳ 明朝" w:hAnsi="ＭＳ 明朝"/>
                <w:szCs w:val="21"/>
              </w:rPr>
            </w:pPr>
          </w:p>
        </w:tc>
        <w:tc>
          <w:tcPr>
            <w:tcW w:w="7316" w:type="dxa"/>
            <w:tcBorders>
              <w:top w:val="single" w:sz="4" w:space="0" w:color="auto"/>
              <w:left w:val="single" w:sz="4" w:space="0" w:color="auto"/>
              <w:bottom w:val="single" w:sz="4" w:space="0" w:color="auto"/>
              <w:right w:val="single" w:sz="4" w:space="0" w:color="auto"/>
            </w:tcBorders>
            <w:hideMark/>
          </w:tcPr>
          <w:p w14:paraId="4C010E7C" w14:textId="77777777" w:rsidR="00D225BB" w:rsidRPr="00E0548A" w:rsidRDefault="00D225BB">
            <w:pPr>
              <w:rPr>
                <w:rFonts w:ascii="ＭＳ 明朝" w:hAnsi="ＭＳ 明朝"/>
                <w:szCs w:val="21"/>
              </w:rPr>
            </w:pPr>
            <w:r w:rsidRPr="00E0548A">
              <w:rPr>
                <w:rFonts w:ascii="ＭＳ 明朝" w:hAnsi="ＭＳ 明朝" w:hint="eastAsia"/>
                <w:szCs w:val="21"/>
              </w:rPr>
              <w:t>○初動対応、体制の確立</w:t>
            </w:r>
          </w:p>
          <w:p w14:paraId="5F959332" w14:textId="77777777" w:rsidR="00D225BB" w:rsidRPr="00E0548A" w:rsidRDefault="00D225BB">
            <w:pPr>
              <w:rPr>
                <w:rFonts w:ascii="ＭＳ 明朝" w:hAnsi="ＭＳ 明朝"/>
                <w:szCs w:val="21"/>
              </w:rPr>
            </w:pPr>
            <w:r w:rsidRPr="00E0548A">
              <w:rPr>
                <w:rFonts w:ascii="ＭＳ 明朝" w:hAnsi="ＭＳ 明朝" w:hint="eastAsia"/>
                <w:szCs w:val="21"/>
              </w:rPr>
              <w:t>○職員・来庁者の救助・搬送【各所属】</w:t>
            </w:r>
          </w:p>
          <w:p w14:paraId="083CD170" w14:textId="77777777" w:rsidR="00D225BB" w:rsidRPr="00E0548A" w:rsidRDefault="00D225BB">
            <w:pPr>
              <w:rPr>
                <w:rFonts w:ascii="ＭＳ 明朝" w:hAnsi="ＭＳ 明朝"/>
                <w:szCs w:val="21"/>
              </w:rPr>
            </w:pPr>
            <w:r w:rsidRPr="00E0548A">
              <w:rPr>
                <w:rFonts w:ascii="ＭＳ 明朝" w:hAnsi="ＭＳ 明朝" w:hint="eastAsia"/>
                <w:szCs w:val="21"/>
              </w:rPr>
              <w:t>○局内職員の安否確認と参集状況の把握【局総務企画課】</w:t>
            </w:r>
          </w:p>
          <w:p w14:paraId="203B7B39" w14:textId="77777777" w:rsidR="00D225BB" w:rsidRPr="00E0548A" w:rsidRDefault="00D225BB">
            <w:pPr>
              <w:rPr>
                <w:rFonts w:ascii="ＭＳ 明朝" w:hAnsi="ＭＳ 明朝"/>
                <w:szCs w:val="21"/>
              </w:rPr>
            </w:pPr>
            <w:r w:rsidRPr="00E0548A">
              <w:rPr>
                <w:rFonts w:ascii="ＭＳ 明朝" w:hAnsi="ＭＳ 明朝" w:hint="eastAsia"/>
                <w:szCs w:val="21"/>
              </w:rPr>
              <w:t>○所管施設・工事現場等の安全確認【各所管施設】</w:t>
            </w:r>
          </w:p>
          <w:p w14:paraId="24F302C4" w14:textId="77777777" w:rsidR="00D225BB" w:rsidRPr="00E0548A" w:rsidRDefault="00D225BB">
            <w:pPr>
              <w:rPr>
                <w:rFonts w:ascii="ＭＳ 明朝" w:hAnsi="ＭＳ 明朝"/>
                <w:szCs w:val="21"/>
              </w:rPr>
            </w:pPr>
            <w:r w:rsidRPr="00E0548A">
              <w:rPr>
                <w:rFonts w:ascii="ＭＳ 明朝" w:hAnsi="ＭＳ 明朝" w:hint="eastAsia"/>
                <w:szCs w:val="21"/>
              </w:rPr>
              <w:t>○局内及び関係機関からの情報収集及び連絡調整</w:t>
            </w:r>
          </w:p>
        </w:tc>
      </w:tr>
      <w:tr w:rsidR="00E0548A" w:rsidRPr="00E0548A" w14:paraId="6931AD1D" w14:textId="77777777" w:rsidTr="00D225BB">
        <w:tc>
          <w:tcPr>
            <w:tcW w:w="1518" w:type="dxa"/>
            <w:tcBorders>
              <w:top w:val="single" w:sz="4" w:space="0" w:color="auto"/>
              <w:left w:val="single" w:sz="4" w:space="0" w:color="auto"/>
              <w:bottom w:val="single" w:sz="4" w:space="0" w:color="auto"/>
              <w:right w:val="single" w:sz="4" w:space="0" w:color="auto"/>
            </w:tcBorders>
          </w:tcPr>
          <w:p w14:paraId="21F49A4A" w14:textId="77777777" w:rsidR="00D225BB" w:rsidRPr="00E0548A" w:rsidRDefault="00D225BB">
            <w:pPr>
              <w:rPr>
                <w:rFonts w:ascii="ＭＳ 明朝" w:hAnsi="ＭＳ 明朝"/>
                <w:szCs w:val="21"/>
              </w:rPr>
            </w:pPr>
            <w:r w:rsidRPr="00E0548A">
              <w:rPr>
                <w:rFonts w:ascii="ＭＳ 明朝" w:hAnsi="ＭＳ 明朝" w:hint="eastAsia"/>
                <w:szCs w:val="21"/>
              </w:rPr>
              <w:t>第</w:t>
            </w:r>
            <w:r w:rsidRPr="00E0548A">
              <w:rPr>
                <w:rFonts w:ascii="ＭＳ 明朝" w:hAnsi="ＭＳ 明朝"/>
                <w:szCs w:val="21"/>
              </w:rPr>
              <w:t>2フェーズ</w:t>
            </w:r>
          </w:p>
          <w:p w14:paraId="3FCFCFEA" w14:textId="77777777" w:rsidR="00D225BB" w:rsidRPr="00E0548A" w:rsidRDefault="00D225BB">
            <w:pPr>
              <w:rPr>
                <w:rFonts w:ascii="ＭＳ 明朝" w:hAnsi="ＭＳ 明朝"/>
                <w:szCs w:val="21"/>
              </w:rPr>
            </w:pPr>
            <w:r w:rsidRPr="00E0548A">
              <w:rPr>
                <w:rFonts w:ascii="ＭＳ 明朝" w:hAnsi="ＭＳ 明朝"/>
                <w:szCs w:val="21"/>
              </w:rPr>
              <w:t>(24時間まで)</w:t>
            </w:r>
          </w:p>
          <w:p w14:paraId="22682557" w14:textId="77777777" w:rsidR="00D225BB" w:rsidRPr="00E0548A" w:rsidRDefault="00D225BB">
            <w:pPr>
              <w:rPr>
                <w:rFonts w:ascii="ＭＳ 明朝" w:hAnsi="ＭＳ 明朝"/>
                <w:szCs w:val="21"/>
              </w:rPr>
            </w:pPr>
          </w:p>
        </w:tc>
        <w:tc>
          <w:tcPr>
            <w:tcW w:w="7316" w:type="dxa"/>
            <w:tcBorders>
              <w:top w:val="single" w:sz="4" w:space="0" w:color="auto"/>
              <w:left w:val="single" w:sz="4" w:space="0" w:color="auto"/>
              <w:bottom w:val="single" w:sz="4" w:space="0" w:color="auto"/>
              <w:right w:val="single" w:sz="4" w:space="0" w:color="auto"/>
            </w:tcBorders>
            <w:hideMark/>
          </w:tcPr>
          <w:p w14:paraId="106D5293" w14:textId="77777777" w:rsidR="00D225BB" w:rsidRPr="00E0548A" w:rsidRDefault="00D225BB">
            <w:pPr>
              <w:ind w:left="211" w:hangingChars="100" w:hanging="211"/>
              <w:rPr>
                <w:rFonts w:ascii="ＭＳ 明朝" w:hAnsi="ＭＳ 明朝"/>
                <w:szCs w:val="21"/>
              </w:rPr>
            </w:pPr>
            <w:r w:rsidRPr="00E0548A">
              <w:rPr>
                <w:rFonts w:ascii="ＭＳ 明朝" w:hAnsi="ＭＳ 明朝" w:hint="eastAsia"/>
                <w:szCs w:val="21"/>
              </w:rPr>
              <w:t>○所管施設の被害状況の把握【局総務企画課】</w:t>
            </w:r>
          </w:p>
          <w:p w14:paraId="4D058E52" w14:textId="77777777" w:rsidR="00D225BB" w:rsidRPr="00E0548A" w:rsidRDefault="00D225BB">
            <w:pPr>
              <w:rPr>
                <w:rFonts w:ascii="ＭＳ 明朝" w:hAnsi="ＭＳ 明朝"/>
                <w:szCs w:val="21"/>
              </w:rPr>
            </w:pPr>
            <w:r w:rsidRPr="00E0548A">
              <w:rPr>
                <w:rFonts w:ascii="ＭＳ 明朝" w:hAnsi="ＭＳ 明朝" w:hint="eastAsia"/>
                <w:szCs w:val="21"/>
              </w:rPr>
              <w:t>○現地調査確認、被害報告及び二次災害防止対策の実施【各所管所属】</w:t>
            </w:r>
          </w:p>
        </w:tc>
      </w:tr>
      <w:tr w:rsidR="00E0548A" w:rsidRPr="00E0548A" w14:paraId="166F65AF" w14:textId="77777777" w:rsidTr="00D225BB">
        <w:tc>
          <w:tcPr>
            <w:tcW w:w="1518" w:type="dxa"/>
            <w:tcBorders>
              <w:top w:val="single" w:sz="4" w:space="0" w:color="auto"/>
              <w:left w:val="single" w:sz="4" w:space="0" w:color="auto"/>
              <w:bottom w:val="single" w:sz="4" w:space="0" w:color="auto"/>
              <w:right w:val="single" w:sz="4" w:space="0" w:color="auto"/>
            </w:tcBorders>
            <w:hideMark/>
          </w:tcPr>
          <w:p w14:paraId="31CB1CC2" w14:textId="77777777" w:rsidR="00D225BB" w:rsidRPr="00E0548A" w:rsidRDefault="00D225BB">
            <w:pPr>
              <w:rPr>
                <w:rFonts w:ascii="ＭＳ 明朝" w:hAnsi="ＭＳ 明朝"/>
                <w:szCs w:val="21"/>
              </w:rPr>
            </w:pPr>
            <w:r w:rsidRPr="00E0548A">
              <w:rPr>
                <w:rFonts w:ascii="ＭＳ 明朝" w:hAnsi="ＭＳ 明朝" w:hint="eastAsia"/>
                <w:szCs w:val="21"/>
              </w:rPr>
              <w:t>第</w:t>
            </w:r>
            <w:r w:rsidRPr="00E0548A">
              <w:rPr>
                <w:rFonts w:ascii="ＭＳ 明朝" w:hAnsi="ＭＳ 明朝"/>
                <w:szCs w:val="21"/>
              </w:rPr>
              <w:t>3フェーズ</w:t>
            </w:r>
          </w:p>
          <w:p w14:paraId="581B158B" w14:textId="77777777" w:rsidR="00D225BB" w:rsidRPr="00E0548A" w:rsidRDefault="00D225BB">
            <w:pPr>
              <w:rPr>
                <w:rFonts w:ascii="ＭＳ 明朝" w:hAnsi="ＭＳ 明朝"/>
                <w:szCs w:val="21"/>
              </w:rPr>
            </w:pPr>
            <w:r w:rsidRPr="00E0548A">
              <w:rPr>
                <w:rFonts w:ascii="ＭＳ 明朝" w:hAnsi="ＭＳ 明朝"/>
                <w:szCs w:val="21"/>
              </w:rPr>
              <w:t>(72時間まで)</w:t>
            </w:r>
          </w:p>
        </w:tc>
        <w:tc>
          <w:tcPr>
            <w:tcW w:w="7316" w:type="dxa"/>
            <w:tcBorders>
              <w:top w:val="single" w:sz="4" w:space="0" w:color="auto"/>
              <w:left w:val="single" w:sz="4" w:space="0" w:color="auto"/>
              <w:bottom w:val="single" w:sz="4" w:space="0" w:color="auto"/>
              <w:right w:val="single" w:sz="4" w:space="0" w:color="auto"/>
            </w:tcBorders>
          </w:tcPr>
          <w:p w14:paraId="221651E3" w14:textId="77777777" w:rsidR="00D225BB" w:rsidRPr="00E0548A" w:rsidRDefault="00D225BB">
            <w:pPr>
              <w:rPr>
                <w:rFonts w:ascii="ＭＳ 明朝" w:hAnsi="ＭＳ 明朝"/>
                <w:szCs w:val="21"/>
              </w:rPr>
            </w:pPr>
            <w:r w:rsidRPr="00E0548A">
              <w:rPr>
                <w:rFonts w:ascii="ＭＳ 明朝" w:hAnsi="ＭＳ 明朝" w:hint="eastAsia"/>
                <w:szCs w:val="21"/>
              </w:rPr>
              <w:t>○所管施設・工事現場等の復旧対策【各所管所属】</w:t>
            </w:r>
          </w:p>
          <w:p w14:paraId="4D502384" w14:textId="77777777" w:rsidR="00D225BB" w:rsidRPr="00E0548A" w:rsidRDefault="00D225BB">
            <w:pPr>
              <w:rPr>
                <w:rFonts w:ascii="ＭＳ 明朝" w:hAnsi="ＭＳ 明朝"/>
                <w:strike/>
                <w:szCs w:val="21"/>
              </w:rPr>
            </w:pPr>
          </w:p>
        </w:tc>
      </w:tr>
      <w:tr w:rsidR="00E0548A" w:rsidRPr="00E0548A" w14:paraId="715530D8" w14:textId="77777777" w:rsidTr="00D225BB">
        <w:tc>
          <w:tcPr>
            <w:tcW w:w="1518" w:type="dxa"/>
            <w:tcBorders>
              <w:top w:val="single" w:sz="4" w:space="0" w:color="auto"/>
              <w:left w:val="single" w:sz="4" w:space="0" w:color="auto"/>
              <w:bottom w:val="single" w:sz="4" w:space="0" w:color="auto"/>
              <w:right w:val="single" w:sz="4" w:space="0" w:color="auto"/>
            </w:tcBorders>
            <w:hideMark/>
          </w:tcPr>
          <w:p w14:paraId="4A9C9F2C" w14:textId="77777777" w:rsidR="00D225BB" w:rsidRPr="00E0548A" w:rsidRDefault="00D225BB">
            <w:pPr>
              <w:rPr>
                <w:rFonts w:ascii="ＭＳ 明朝" w:hAnsi="ＭＳ 明朝"/>
                <w:szCs w:val="21"/>
              </w:rPr>
            </w:pPr>
            <w:r w:rsidRPr="00E0548A">
              <w:rPr>
                <w:rFonts w:ascii="ＭＳ 明朝" w:hAnsi="ＭＳ 明朝" w:hint="eastAsia"/>
                <w:szCs w:val="21"/>
              </w:rPr>
              <w:t>第</w:t>
            </w:r>
            <w:r w:rsidRPr="00E0548A">
              <w:rPr>
                <w:rFonts w:ascii="ＭＳ 明朝" w:hAnsi="ＭＳ 明朝"/>
                <w:szCs w:val="21"/>
              </w:rPr>
              <w:t>4フェーズ</w:t>
            </w:r>
          </w:p>
          <w:p w14:paraId="75934874" w14:textId="77777777" w:rsidR="00D225BB" w:rsidRPr="00E0548A" w:rsidRDefault="00D225BB">
            <w:pPr>
              <w:rPr>
                <w:rFonts w:ascii="ＭＳ 明朝" w:hAnsi="ＭＳ 明朝"/>
                <w:szCs w:val="21"/>
              </w:rPr>
            </w:pPr>
            <w:r w:rsidRPr="00E0548A">
              <w:rPr>
                <w:rFonts w:ascii="ＭＳ 明朝" w:hAnsi="ＭＳ 明朝"/>
                <w:szCs w:val="21"/>
              </w:rPr>
              <w:t>(1週間まで)</w:t>
            </w:r>
          </w:p>
        </w:tc>
        <w:tc>
          <w:tcPr>
            <w:tcW w:w="7316" w:type="dxa"/>
            <w:tcBorders>
              <w:top w:val="single" w:sz="4" w:space="0" w:color="auto"/>
              <w:left w:val="single" w:sz="4" w:space="0" w:color="auto"/>
              <w:bottom w:val="single" w:sz="4" w:space="0" w:color="auto"/>
              <w:right w:val="single" w:sz="4" w:space="0" w:color="auto"/>
            </w:tcBorders>
            <w:hideMark/>
          </w:tcPr>
          <w:p w14:paraId="2E4F7271" w14:textId="480B099C" w:rsidR="00D225BB" w:rsidRPr="00E0548A" w:rsidRDefault="00D225BB" w:rsidP="00E0548A">
            <w:bookmarkStart w:id="92" w:name="_Toc122427281"/>
            <w:bookmarkStart w:id="93" w:name="_Toc122436888"/>
            <w:bookmarkStart w:id="94" w:name="_Toc122455780"/>
            <w:bookmarkStart w:id="95" w:name="_Toc125650494"/>
            <w:bookmarkStart w:id="96" w:name="_Toc127992650"/>
            <w:bookmarkStart w:id="97" w:name="_Toc127993486"/>
            <w:bookmarkStart w:id="98" w:name="_Toc129279959"/>
            <w:bookmarkStart w:id="99" w:name="_Toc130394768"/>
            <w:r w:rsidRPr="00E0548A">
              <w:rPr>
                <w:rFonts w:hint="eastAsia"/>
              </w:rPr>
              <w:t>○所管施設の応急復旧必要箇所の対応状況の確認と関係者調整</w:t>
            </w:r>
            <w:bookmarkEnd w:id="92"/>
            <w:bookmarkEnd w:id="93"/>
            <w:bookmarkEnd w:id="94"/>
            <w:bookmarkEnd w:id="95"/>
            <w:bookmarkEnd w:id="96"/>
            <w:bookmarkEnd w:id="97"/>
            <w:bookmarkEnd w:id="98"/>
            <w:bookmarkEnd w:id="99"/>
          </w:p>
          <w:p w14:paraId="38E62CE5" w14:textId="3B676C19" w:rsidR="00D225BB" w:rsidRPr="00E0548A" w:rsidRDefault="00D225BB" w:rsidP="00E0548A">
            <w:bookmarkStart w:id="100" w:name="_Toc122427282"/>
            <w:bookmarkStart w:id="101" w:name="_Toc122436889"/>
            <w:bookmarkStart w:id="102" w:name="_Toc122455781"/>
            <w:bookmarkStart w:id="103" w:name="_Toc125650495"/>
            <w:bookmarkStart w:id="104" w:name="_Toc127992651"/>
            <w:bookmarkStart w:id="105" w:name="_Toc127993487"/>
            <w:bookmarkStart w:id="106" w:name="_Toc129279960"/>
            <w:bookmarkStart w:id="107" w:name="_Toc130394769"/>
            <w:r w:rsidRPr="00E0548A">
              <w:rPr>
                <w:rFonts w:hint="eastAsia"/>
              </w:rPr>
              <w:t>【各所管所属】</w:t>
            </w:r>
            <w:bookmarkEnd w:id="100"/>
            <w:bookmarkEnd w:id="101"/>
            <w:bookmarkEnd w:id="102"/>
            <w:bookmarkEnd w:id="103"/>
            <w:bookmarkEnd w:id="104"/>
            <w:bookmarkEnd w:id="105"/>
            <w:bookmarkEnd w:id="106"/>
            <w:bookmarkEnd w:id="107"/>
          </w:p>
        </w:tc>
      </w:tr>
      <w:tr w:rsidR="00E0548A" w:rsidRPr="00E0548A" w14:paraId="5F31EE3F" w14:textId="77777777" w:rsidTr="00D225BB">
        <w:tc>
          <w:tcPr>
            <w:tcW w:w="1518" w:type="dxa"/>
            <w:tcBorders>
              <w:top w:val="single" w:sz="4" w:space="0" w:color="auto"/>
              <w:left w:val="single" w:sz="4" w:space="0" w:color="auto"/>
              <w:bottom w:val="single" w:sz="4" w:space="0" w:color="auto"/>
              <w:right w:val="single" w:sz="4" w:space="0" w:color="auto"/>
            </w:tcBorders>
            <w:hideMark/>
          </w:tcPr>
          <w:p w14:paraId="6C3FBEA2" w14:textId="77777777" w:rsidR="00D225BB" w:rsidRPr="00E0548A" w:rsidRDefault="00D225BB">
            <w:pPr>
              <w:rPr>
                <w:rFonts w:ascii="ＭＳ 明朝" w:hAnsi="ＭＳ 明朝"/>
                <w:szCs w:val="21"/>
              </w:rPr>
            </w:pPr>
            <w:r w:rsidRPr="00E0548A">
              <w:rPr>
                <w:rFonts w:ascii="ＭＳ 明朝" w:hAnsi="ＭＳ 明朝" w:hint="eastAsia"/>
                <w:szCs w:val="21"/>
              </w:rPr>
              <w:t>第</w:t>
            </w:r>
            <w:r w:rsidRPr="00E0548A">
              <w:rPr>
                <w:rFonts w:ascii="ＭＳ 明朝" w:hAnsi="ＭＳ 明朝"/>
                <w:szCs w:val="21"/>
              </w:rPr>
              <w:t>5フェーズ</w:t>
            </w:r>
          </w:p>
          <w:p w14:paraId="648149E8" w14:textId="77777777" w:rsidR="00D225BB" w:rsidRPr="00E0548A" w:rsidRDefault="00D225BB">
            <w:pPr>
              <w:rPr>
                <w:rFonts w:ascii="ＭＳ 明朝" w:hAnsi="ＭＳ 明朝"/>
                <w:szCs w:val="21"/>
              </w:rPr>
            </w:pPr>
            <w:r w:rsidRPr="00E0548A">
              <w:rPr>
                <w:rFonts w:ascii="ＭＳ 明朝" w:hAnsi="ＭＳ 明朝"/>
                <w:szCs w:val="21"/>
              </w:rPr>
              <w:t>(2週間まで)</w:t>
            </w:r>
          </w:p>
        </w:tc>
        <w:tc>
          <w:tcPr>
            <w:tcW w:w="7316" w:type="dxa"/>
            <w:tcBorders>
              <w:top w:val="single" w:sz="4" w:space="0" w:color="auto"/>
              <w:left w:val="single" w:sz="4" w:space="0" w:color="auto"/>
              <w:bottom w:val="single" w:sz="4" w:space="0" w:color="auto"/>
              <w:right w:val="single" w:sz="4" w:space="0" w:color="auto"/>
            </w:tcBorders>
          </w:tcPr>
          <w:p w14:paraId="4EFD2944" w14:textId="77777777" w:rsidR="00D225BB" w:rsidRPr="00E0548A" w:rsidRDefault="00D225BB">
            <w:pPr>
              <w:ind w:left="211" w:hangingChars="100" w:hanging="211"/>
              <w:rPr>
                <w:rFonts w:ascii="ＭＳ 明朝" w:hAnsi="ＭＳ 明朝"/>
                <w:szCs w:val="21"/>
              </w:rPr>
            </w:pPr>
            <w:r w:rsidRPr="00E0548A">
              <w:rPr>
                <w:rFonts w:ascii="ＭＳ 明朝" w:hAnsi="ＭＳ 明朝" w:hint="eastAsia"/>
                <w:szCs w:val="21"/>
              </w:rPr>
              <w:t>○被災所管施設の応急復旧（当該施設において応急的に業務を再開するために実施する措置のことをいう。本格的な復旧作業の前段階。）開始</w:t>
            </w:r>
          </w:p>
          <w:p w14:paraId="6124E354" w14:textId="77777777" w:rsidR="00D225BB" w:rsidRPr="00E0548A" w:rsidRDefault="00D225BB">
            <w:pPr>
              <w:rPr>
                <w:rFonts w:ascii="ＭＳ 明朝" w:hAnsi="ＭＳ 明朝"/>
                <w:szCs w:val="21"/>
              </w:rPr>
            </w:pPr>
          </w:p>
        </w:tc>
      </w:tr>
      <w:tr w:rsidR="00E0548A" w:rsidRPr="00E0548A" w14:paraId="6ED532F0" w14:textId="77777777" w:rsidTr="00D225BB">
        <w:tc>
          <w:tcPr>
            <w:tcW w:w="1518" w:type="dxa"/>
            <w:tcBorders>
              <w:top w:val="single" w:sz="4" w:space="0" w:color="auto"/>
              <w:left w:val="single" w:sz="4" w:space="0" w:color="auto"/>
              <w:bottom w:val="single" w:sz="4" w:space="0" w:color="auto"/>
              <w:right w:val="single" w:sz="4" w:space="0" w:color="auto"/>
            </w:tcBorders>
            <w:hideMark/>
          </w:tcPr>
          <w:p w14:paraId="198DD3D6" w14:textId="77777777" w:rsidR="00D225BB" w:rsidRPr="00E0548A" w:rsidRDefault="00D225BB">
            <w:pPr>
              <w:rPr>
                <w:rFonts w:ascii="ＭＳ 明朝" w:hAnsi="ＭＳ 明朝"/>
                <w:szCs w:val="21"/>
              </w:rPr>
            </w:pPr>
            <w:r w:rsidRPr="00E0548A">
              <w:rPr>
                <w:rFonts w:ascii="ＭＳ 明朝" w:hAnsi="ＭＳ 明朝" w:hint="eastAsia"/>
                <w:szCs w:val="21"/>
              </w:rPr>
              <w:t>第</w:t>
            </w:r>
            <w:r w:rsidRPr="00E0548A">
              <w:rPr>
                <w:rFonts w:ascii="ＭＳ 明朝" w:hAnsi="ＭＳ 明朝"/>
                <w:szCs w:val="21"/>
              </w:rPr>
              <w:t>6フェーズ</w:t>
            </w:r>
          </w:p>
          <w:p w14:paraId="71047043" w14:textId="77777777" w:rsidR="00D225BB" w:rsidRPr="00E0548A" w:rsidRDefault="00D225BB">
            <w:pPr>
              <w:rPr>
                <w:rFonts w:ascii="ＭＳ 明朝" w:hAnsi="ＭＳ 明朝"/>
                <w:szCs w:val="21"/>
              </w:rPr>
            </w:pPr>
            <w:r w:rsidRPr="00E0548A">
              <w:rPr>
                <w:rFonts w:ascii="ＭＳ 明朝" w:hAnsi="ＭＳ 明朝"/>
                <w:szCs w:val="21"/>
              </w:rPr>
              <w:t>(1ヶ月まで)</w:t>
            </w:r>
          </w:p>
        </w:tc>
        <w:tc>
          <w:tcPr>
            <w:tcW w:w="7316" w:type="dxa"/>
            <w:tcBorders>
              <w:top w:val="single" w:sz="4" w:space="0" w:color="auto"/>
              <w:left w:val="single" w:sz="4" w:space="0" w:color="auto"/>
              <w:bottom w:val="single" w:sz="4" w:space="0" w:color="auto"/>
              <w:right w:val="single" w:sz="4" w:space="0" w:color="auto"/>
            </w:tcBorders>
            <w:hideMark/>
          </w:tcPr>
          <w:p w14:paraId="5253AB08" w14:textId="77777777" w:rsidR="00D225BB" w:rsidRPr="00E0548A" w:rsidRDefault="00D225BB">
            <w:pPr>
              <w:rPr>
                <w:rFonts w:ascii="ＭＳ 明朝" w:hAnsi="ＭＳ 明朝"/>
                <w:szCs w:val="21"/>
              </w:rPr>
            </w:pPr>
            <w:r w:rsidRPr="00E0548A">
              <w:rPr>
                <w:rFonts w:ascii="ＭＳ 明朝" w:hAnsi="ＭＳ 明朝" w:hint="eastAsia"/>
                <w:szCs w:val="21"/>
              </w:rPr>
              <w:t>○被災所管施設の応急復旧【各所管所属】</w:t>
            </w:r>
          </w:p>
        </w:tc>
      </w:tr>
    </w:tbl>
    <w:p w14:paraId="041003A6" w14:textId="77777777" w:rsidR="00D225BB" w:rsidRPr="00E0548A" w:rsidRDefault="00D225BB" w:rsidP="00D225BB">
      <w:pPr>
        <w:ind w:left="1449" w:hangingChars="800" w:hanging="1449"/>
        <w:rPr>
          <w:rFonts w:ascii="ＭＳ 明朝" w:hAnsi="ＭＳ 明朝"/>
          <w:sz w:val="18"/>
          <w:szCs w:val="18"/>
        </w:rPr>
      </w:pPr>
      <w:r w:rsidRPr="00E0548A">
        <w:rPr>
          <w:rFonts w:ascii="ＭＳ 明朝" w:hAnsi="ＭＳ 明朝" w:hint="eastAsia"/>
          <w:sz w:val="18"/>
          <w:szCs w:val="18"/>
        </w:rPr>
        <w:t>※主な所管施設：箕面森町・彩都・りんくうタウン等</w:t>
      </w:r>
    </w:p>
    <w:p w14:paraId="75689E7D" w14:textId="609FEA0F" w:rsidR="00C76090" w:rsidRPr="00E0548A" w:rsidRDefault="00C76090">
      <w:pPr>
        <w:widowControl/>
        <w:jc w:val="left"/>
        <w:rPr>
          <w:rFonts w:ascii="ＭＳ 明朝" w:hAnsi="ＭＳ 明朝"/>
          <w:sz w:val="18"/>
          <w:szCs w:val="18"/>
        </w:rPr>
      </w:pPr>
      <w:r w:rsidRPr="00E0548A">
        <w:rPr>
          <w:rFonts w:ascii="ＭＳ 明朝" w:hAnsi="ＭＳ 明朝"/>
          <w:sz w:val="18"/>
          <w:szCs w:val="18"/>
        </w:rPr>
        <w:br w:type="page"/>
      </w:r>
    </w:p>
    <w:p w14:paraId="18279AE8" w14:textId="77777777" w:rsidR="00605F6F" w:rsidRPr="00E0548A" w:rsidRDefault="00605F6F" w:rsidP="00605F6F">
      <w:pPr>
        <w:pStyle w:val="af4"/>
        <w:ind w:leftChars="0" w:left="0"/>
        <w:rPr>
          <w:rFonts w:ascii="ＭＳ ゴシック" w:eastAsia="ＭＳ ゴシック" w:hAnsi="ＭＳ ゴシック"/>
          <w:szCs w:val="21"/>
        </w:rPr>
      </w:pPr>
      <w:r w:rsidRPr="00E0548A">
        <w:rPr>
          <w:rFonts w:ascii="ＭＳ ゴシック" w:eastAsia="ＭＳ ゴシック" w:hAnsi="ＭＳ ゴシック" w:hint="eastAsia"/>
          <w:szCs w:val="21"/>
        </w:rPr>
        <w:lastRenderedPageBreak/>
        <w:t>＜南海トラフ地震臨時情報（巨大地震警戒）発表時＞</w:t>
      </w:r>
    </w:p>
    <w:tbl>
      <w:tblPr>
        <w:tblpPr w:leftFromText="142" w:rightFromText="142" w:vertAnchor="text" w:tblpXSpec="center" w:tblpY="1"/>
        <w:tblOverlap w:val="neve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00"/>
        <w:gridCol w:w="7334"/>
      </w:tblGrid>
      <w:tr w:rsidR="00E0548A" w:rsidRPr="00E0548A" w14:paraId="4B87D848" w14:textId="77777777" w:rsidTr="008079C8">
        <w:trPr>
          <w:jc w:val="center"/>
        </w:trPr>
        <w:tc>
          <w:tcPr>
            <w:tcW w:w="1500" w:type="dxa"/>
            <w:tcBorders>
              <w:bottom w:val="single" w:sz="4" w:space="0" w:color="auto"/>
            </w:tcBorders>
            <w:shd w:val="clear" w:color="auto" w:fill="BFBFBF"/>
          </w:tcPr>
          <w:p w14:paraId="426E7B84" w14:textId="77777777" w:rsidR="00605F6F" w:rsidRPr="00E0548A" w:rsidRDefault="00605F6F" w:rsidP="008079C8">
            <w:pPr>
              <w:jc w:val="center"/>
              <w:rPr>
                <w:rFonts w:ascii="ＭＳ 明朝" w:hAnsi="ＭＳ 明朝"/>
                <w:szCs w:val="21"/>
              </w:rPr>
            </w:pPr>
            <w:r w:rsidRPr="00E0548A">
              <w:rPr>
                <w:rFonts w:ascii="ＭＳ 明朝" w:hAnsi="ＭＳ 明朝" w:hint="eastAsia"/>
                <w:szCs w:val="21"/>
              </w:rPr>
              <w:t>臨時情報</w:t>
            </w:r>
          </w:p>
        </w:tc>
        <w:tc>
          <w:tcPr>
            <w:tcW w:w="7334" w:type="dxa"/>
            <w:tcBorders>
              <w:bottom w:val="single" w:sz="4" w:space="0" w:color="auto"/>
            </w:tcBorders>
            <w:shd w:val="clear" w:color="auto" w:fill="BFBFBF"/>
          </w:tcPr>
          <w:p w14:paraId="23854A80" w14:textId="77777777" w:rsidR="00605F6F" w:rsidRPr="00E0548A" w:rsidRDefault="00605F6F" w:rsidP="008079C8">
            <w:pPr>
              <w:jc w:val="center"/>
              <w:rPr>
                <w:rFonts w:ascii="ＭＳ 明朝" w:hAnsi="ＭＳ 明朝"/>
                <w:szCs w:val="21"/>
              </w:rPr>
            </w:pPr>
            <w:r w:rsidRPr="00E0548A">
              <w:rPr>
                <w:rFonts w:ascii="ＭＳ 明朝" w:hAnsi="ＭＳ 明朝" w:hint="eastAsia"/>
                <w:szCs w:val="21"/>
              </w:rPr>
              <w:t>主な応急対策業務</w:t>
            </w:r>
          </w:p>
        </w:tc>
      </w:tr>
      <w:tr w:rsidR="00E0548A" w:rsidRPr="00E0548A" w14:paraId="5024CF18" w14:textId="77777777" w:rsidTr="008079C8">
        <w:trPr>
          <w:jc w:val="center"/>
        </w:trPr>
        <w:tc>
          <w:tcPr>
            <w:tcW w:w="1500" w:type="dxa"/>
          </w:tcPr>
          <w:p w14:paraId="35811C72" w14:textId="77777777" w:rsidR="00605F6F" w:rsidRPr="00E0548A" w:rsidRDefault="00605F6F" w:rsidP="008079C8">
            <w:pPr>
              <w:rPr>
                <w:rFonts w:ascii="ＭＳ 明朝" w:hAnsi="ＭＳ 明朝"/>
                <w:szCs w:val="21"/>
              </w:rPr>
            </w:pPr>
            <w:r w:rsidRPr="00E0548A">
              <w:rPr>
                <w:rFonts w:ascii="ＭＳ 明朝" w:hAnsi="ＭＳ 明朝" w:hint="eastAsia"/>
                <w:szCs w:val="21"/>
              </w:rPr>
              <w:t>巨大地震警戒</w:t>
            </w:r>
          </w:p>
        </w:tc>
        <w:tc>
          <w:tcPr>
            <w:tcW w:w="7334" w:type="dxa"/>
          </w:tcPr>
          <w:p w14:paraId="269FEA93" w14:textId="77777777" w:rsidR="00835994" w:rsidRPr="00E0548A" w:rsidRDefault="00835994" w:rsidP="00835994">
            <w:pPr>
              <w:rPr>
                <w:rFonts w:ascii="ＭＳ 明朝" w:hAnsi="ＭＳ 明朝"/>
              </w:rPr>
            </w:pPr>
            <w:r w:rsidRPr="00E0548A">
              <w:rPr>
                <w:rFonts w:ascii="ＭＳ 明朝" w:hAnsi="ＭＳ 明朝" w:hint="eastAsia"/>
              </w:rPr>
              <w:t>○局内職員への周知及び初動マニュアル等の確認</w:t>
            </w:r>
          </w:p>
          <w:p w14:paraId="5FF6BF6D" w14:textId="77777777" w:rsidR="00835994" w:rsidRPr="00E0548A" w:rsidRDefault="00835994" w:rsidP="00835994">
            <w:pPr>
              <w:rPr>
                <w:rFonts w:ascii="ＭＳ 明朝" w:hAnsi="ＭＳ 明朝"/>
              </w:rPr>
            </w:pPr>
            <w:r w:rsidRPr="00E0548A">
              <w:rPr>
                <w:rFonts w:ascii="ＭＳ 明朝" w:hAnsi="ＭＳ 明朝" w:hint="eastAsia"/>
              </w:rPr>
              <w:t>○庁内関係部局との連絡調整</w:t>
            </w:r>
          </w:p>
          <w:p w14:paraId="181AA805" w14:textId="77777777" w:rsidR="00835994" w:rsidRPr="00E0548A" w:rsidRDefault="00835994" w:rsidP="00835994">
            <w:pPr>
              <w:rPr>
                <w:rFonts w:ascii="ＭＳ 明朝" w:hAnsi="ＭＳ 明朝"/>
              </w:rPr>
            </w:pPr>
            <w:r w:rsidRPr="00E0548A">
              <w:rPr>
                <w:rFonts w:ascii="ＭＳ 明朝" w:hAnsi="ＭＳ 明朝" w:hint="eastAsia"/>
              </w:rPr>
              <w:t>○公用車の給油、資機材等の確認</w:t>
            </w:r>
          </w:p>
          <w:p w14:paraId="51AC7F1D" w14:textId="77777777" w:rsidR="00835994" w:rsidRPr="00E0548A" w:rsidRDefault="00835994" w:rsidP="00835994">
            <w:pPr>
              <w:rPr>
                <w:rFonts w:ascii="ＭＳ 明朝" w:hAnsi="ＭＳ 明朝"/>
              </w:rPr>
            </w:pPr>
            <w:r w:rsidRPr="00E0548A">
              <w:rPr>
                <w:rFonts w:ascii="ＭＳ 明朝" w:hAnsi="ＭＳ 明朝" w:hint="eastAsia"/>
              </w:rPr>
              <w:t>○所管イベントの開催可否の判断</w:t>
            </w:r>
          </w:p>
          <w:p w14:paraId="61955752" w14:textId="77777777" w:rsidR="00835994" w:rsidRPr="00E0548A" w:rsidRDefault="00835994" w:rsidP="00835994">
            <w:pPr>
              <w:rPr>
                <w:rFonts w:ascii="ＭＳ 明朝" w:hAnsi="ＭＳ 明朝"/>
              </w:rPr>
            </w:pPr>
            <w:r w:rsidRPr="00E0548A">
              <w:rPr>
                <w:rFonts w:ascii="ＭＳ 明朝" w:hAnsi="ＭＳ 明朝" w:hint="eastAsia"/>
              </w:rPr>
              <w:t>○地震発災後、応急対策業務（第１フェーズ）を速やかに実施できる準備</w:t>
            </w:r>
          </w:p>
          <w:p w14:paraId="5A88E0CC" w14:textId="20F70A31" w:rsidR="00605F6F" w:rsidRPr="00E0548A" w:rsidRDefault="00835994" w:rsidP="00835994">
            <w:pPr>
              <w:ind w:leftChars="100" w:left="211"/>
              <w:rPr>
                <w:rFonts w:ascii="ＭＳ 明朝" w:hAnsi="ＭＳ 明朝"/>
                <w:szCs w:val="21"/>
              </w:rPr>
            </w:pPr>
            <w:r w:rsidRPr="00E0548A">
              <w:rPr>
                <w:rFonts w:ascii="ＭＳ 明朝" w:hAnsi="ＭＳ 明朝" w:hint="eastAsia"/>
              </w:rPr>
              <w:t>体制を維持</w:t>
            </w:r>
          </w:p>
        </w:tc>
      </w:tr>
    </w:tbl>
    <w:p w14:paraId="2F29B585" w14:textId="77777777" w:rsidR="00605F6F" w:rsidRPr="00E0548A" w:rsidRDefault="00605F6F" w:rsidP="00605F6F">
      <w:pPr>
        <w:rPr>
          <w:rFonts w:ascii="ＭＳ 明朝" w:hAnsi="ＭＳ 明朝"/>
          <w:szCs w:val="21"/>
        </w:rPr>
      </w:pPr>
      <w:r w:rsidRPr="00E0548A">
        <w:rPr>
          <w:rFonts w:ascii="ＭＳ 明朝" w:hAnsi="ＭＳ 明朝" w:hint="eastAsia"/>
          <w:szCs w:val="21"/>
        </w:rPr>
        <w:t>「南海トラフ地震臨時情報（巨大地震警戒）」が発表され、「巨大地震警戒対応期間」（１週間）が経過した際は、「巨大地震注意対応期間」へ移行。</w:t>
      </w:r>
    </w:p>
    <w:p w14:paraId="6E257512" w14:textId="77777777" w:rsidR="00605F6F" w:rsidRPr="00E0548A" w:rsidRDefault="00605F6F" w:rsidP="00605F6F">
      <w:pPr>
        <w:rPr>
          <w:rFonts w:ascii="ＭＳ 明朝" w:hAnsi="ＭＳ 明朝"/>
          <w:szCs w:val="21"/>
        </w:rPr>
      </w:pPr>
    </w:p>
    <w:p w14:paraId="2E0937DD" w14:textId="77777777" w:rsidR="00605F6F" w:rsidRPr="00E0548A" w:rsidRDefault="00605F6F" w:rsidP="00605F6F">
      <w:pPr>
        <w:rPr>
          <w:rFonts w:ascii="ＭＳ 明朝" w:hAnsi="ＭＳ 明朝"/>
          <w:szCs w:val="21"/>
        </w:rPr>
      </w:pPr>
    </w:p>
    <w:p w14:paraId="32B0EABC" w14:textId="77777777" w:rsidR="00605F6F" w:rsidRPr="00E0548A" w:rsidRDefault="00605F6F" w:rsidP="00605F6F">
      <w:pPr>
        <w:pStyle w:val="af4"/>
        <w:ind w:leftChars="0" w:left="0"/>
        <w:rPr>
          <w:rFonts w:ascii="ＭＳ ゴシック" w:eastAsia="ＭＳ ゴシック" w:hAnsi="ＭＳ ゴシック"/>
          <w:szCs w:val="21"/>
        </w:rPr>
      </w:pPr>
      <w:r w:rsidRPr="00E0548A">
        <w:rPr>
          <w:rFonts w:ascii="ＭＳ ゴシック" w:eastAsia="ＭＳ ゴシック" w:hAnsi="ＭＳ ゴシック" w:hint="eastAsia"/>
          <w:szCs w:val="21"/>
        </w:rPr>
        <w:t>＜南海トラフ地震臨時情報（巨大地震注意）発表時（</w:t>
      </w:r>
      <w:r w:rsidRPr="00E0548A">
        <w:rPr>
          <w:rFonts w:ascii="ＭＳ 明朝" w:hAnsi="ＭＳ 明朝" w:hint="eastAsia"/>
          <w:szCs w:val="21"/>
        </w:rPr>
        <w:t>巨大地震警戒からの移行時を含む</w:t>
      </w:r>
      <w:r w:rsidRPr="00E0548A">
        <w:rPr>
          <w:rFonts w:ascii="ＭＳ ゴシック" w:eastAsia="ＭＳ ゴシック" w:hAnsi="ＭＳ ゴシック" w:hint="eastAsia"/>
          <w:szCs w:val="21"/>
        </w:rPr>
        <w:t>）＞</w:t>
      </w:r>
    </w:p>
    <w:tbl>
      <w:tblPr>
        <w:tblpPr w:leftFromText="142" w:rightFromText="142" w:vertAnchor="text" w:tblpXSpec="center" w:tblpY="1"/>
        <w:tblOverlap w:val="neve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00"/>
        <w:gridCol w:w="7334"/>
      </w:tblGrid>
      <w:tr w:rsidR="00E0548A" w:rsidRPr="00E0548A" w14:paraId="038FE485" w14:textId="77777777" w:rsidTr="008079C8">
        <w:trPr>
          <w:jc w:val="center"/>
        </w:trPr>
        <w:tc>
          <w:tcPr>
            <w:tcW w:w="1500" w:type="dxa"/>
            <w:tcBorders>
              <w:bottom w:val="single" w:sz="4" w:space="0" w:color="auto"/>
            </w:tcBorders>
            <w:shd w:val="clear" w:color="auto" w:fill="BFBFBF"/>
          </w:tcPr>
          <w:p w14:paraId="4829F2C8" w14:textId="77777777" w:rsidR="00605F6F" w:rsidRPr="00E0548A" w:rsidRDefault="00605F6F" w:rsidP="008079C8">
            <w:pPr>
              <w:jc w:val="center"/>
              <w:rPr>
                <w:rFonts w:ascii="ＭＳ 明朝" w:hAnsi="ＭＳ 明朝"/>
                <w:szCs w:val="21"/>
              </w:rPr>
            </w:pPr>
            <w:r w:rsidRPr="00E0548A">
              <w:rPr>
                <w:rFonts w:ascii="ＭＳ 明朝" w:hAnsi="ＭＳ 明朝" w:hint="eastAsia"/>
                <w:szCs w:val="21"/>
              </w:rPr>
              <w:t>臨時情報</w:t>
            </w:r>
          </w:p>
        </w:tc>
        <w:tc>
          <w:tcPr>
            <w:tcW w:w="7334" w:type="dxa"/>
            <w:tcBorders>
              <w:bottom w:val="single" w:sz="4" w:space="0" w:color="auto"/>
            </w:tcBorders>
            <w:shd w:val="clear" w:color="auto" w:fill="BFBFBF"/>
          </w:tcPr>
          <w:p w14:paraId="0C53BD3F" w14:textId="77777777" w:rsidR="00605F6F" w:rsidRPr="00E0548A" w:rsidRDefault="00605F6F" w:rsidP="008079C8">
            <w:pPr>
              <w:jc w:val="center"/>
              <w:rPr>
                <w:rFonts w:ascii="ＭＳ 明朝" w:hAnsi="ＭＳ 明朝"/>
                <w:szCs w:val="21"/>
              </w:rPr>
            </w:pPr>
            <w:r w:rsidRPr="00E0548A">
              <w:rPr>
                <w:rFonts w:ascii="ＭＳ 明朝" w:hAnsi="ＭＳ 明朝" w:hint="eastAsia"/>
                <w:szCs w:val="21"/>
              </w:rPr>
              <w:t>主な応急対策業務</w:t>
            </w:r>
          </w:p>
        </w:tc>
      </w:tr>
      <w:tr w:rsidR="00E0548A" w:rsidRPr="00E0548A" w14:paraId="59F50210" w14:textId="77777777" w:rsidTr="008079C8">
        <w:trPr>
          <w:jc w:val="center"/>
        </w:trPr>
        <w:tc>
          <w:tcPr>
            <w:tcW w:w="1500" w:type="dxa"/>
          </w:tcPr>
          <w:p w14:paraId="423E727F" w14:textId="77777777" w:rsidR="00605F6F" w:rsidRPr="00E0548A" w:rsidRDefault="00605F6F" w:rsidP="008079C8">
            <w:pPr>
              <w:rPr>
                <w:rFonts w:ascii="ＭＳ 明朝" w:hAnsi="ＭＳ 明朝"/>
                <w:szCs w:val="21"/>
              </w:rPr>
            </w:pPr>
            <w:r w:rsidRPr="00E0548A">
              <w:rPr>
                <w:rFonts w:ascii="ＭＳ 明朝" w:hAnsi="ＭＳ 明朝" w:hint="eastAsia"/>
                <w:szCs w:val="21"/>
              </w:rPr>
              <w:t>巨大地震注意</w:t>
            </w:r>
          </w:p>
        </w:tc>
        <w:tc>
          <w:tcPr>
            <w:tcW w:w="7334" w:type="dxa"/>
          </w:tcPr>
          <w:p w14:paraId="404F7CE9" w14:textId="77777777" w:rsidR="00835994" w:rsidRPr="00E0548A" w:rsidRDefault="00835994" w:rsidP="00835994">
            <w:pPr>
              <w:rPr>
                <w:rFonts w:ascii="ＭＳ 明朝" w:hAnsi="ＭＳ 明朝"/>
              </w:rPr>
            </w:pPr>
            <w:r w:rsidRPr="00E0548A">
              <w:rPr>
                <w:rFonts w:ascii="ＭＳ 明朝" w:hAnsi="ＭＳ 明朝" w:hint="eastAsia"/>
              </w:rPr>
              <w:t>○局内職員への周知及び初動マニュアル等の確認</w:t>
            </w:r>
          </w:p>
          <w:p w14:paraId="4477CBB0" w14:textId="77777777" w:rsidR="00835994" w:rsidRPr="00E0548A" w:rsidRDefault="00835994" w:rsidP="00835994">
            <w:pPr>
              <w:rPr>
                <w:rFonts w:ascii="ＭＳ 明朝" w:hAnsi="ＭＳ 明朝"/>
              </w:rPr>
            </w:pPr>
            <w:r w:rsidRPr="00E0548A">
              <w:rPr>
                <w:rFonts w:ascii="ＭＳ 明朝" w:hAnsi="ＭＳ 明朝" w:hint="eastAsia"/>
              </w:rPr>
              <w:t>○庁内関係部局との連絡調整</w:t>
            </w:r>
          </w:p>
          <w:p w14:paraId="42CDFEFF" w14:textId="77777777" w:rsidR="00835994" w:rsidRPr="00E0548A" w:rsidRDefault="00835994" w:rsidP="00835994">
            <w:pPr>
              <w:rPr>
                <w:rFonts w:ascii="ＭＳ 明朝" w:hAnsi="ＭＳ 明朝"/>
              </w:rPr>
            </w:pPr>
            <w:r w:rsidRPr="00E0548A">
              <w:rPr>
                <w:rFonts w:ascii="ＭＳ 明朝" w:hAnsi="ＭＳ 明朝" w:hint="eastAsia"/>
              </w:rPr>
              <w:t>○公用車の給油、資機材等の確認</w:t>
            </w:r>
          </w:p>
          <w:p w14:paraId="73BC513A" w14:textId="77777777" w:rsidR="00835994" w:rsidRPr="00E0548A" w:rsidRDefault="00835994" w:rsidP="00835994">
            <w:pPr>
              <w:rPr>
                <w:rFonts w:ascii="ＭＳ 明朝" w:hAnsi="ＭＳ 明朝"/>
              </w:rPr>
            </w:pPr>
            <w:r w:rsidRPr="00E0548A">
              <w:rPr>
                <w:rFonts w:ascii="ＭＳ 明朝" w:hAnsi="ＭＳ 明朝" w:hint="eastAsia"/>
              </w:rPr>
              <w:t>○所管イベントの開催可否の判断</w:t>
            </w:r>
          </w:p>
          <w:p w14:paraId="769F57B7" w14:textId="46B36862" w:rsidR="00605F6F" w:rsidRPr="00E0548A" w:rsidRDefault="00835994" w:rsidP="00835994">
            <w:pPr>
              <w:rPr>
                <w:rFonts w:ascii="ＭＳ 明朝" w:hAnsi="ＭＳ 明朝"/>
                <w:szCs w:val="21"/>
              </w:rPr>
            </w:pPr>
            <w:r w:rsidRPr="00E0548A">
              <w:rPr>
                <w:rFonts w:ascii="ＭＳ 明朝" w:hAnsi="ＭＳ 明朝" w:hint="eastAsia"/>
                <w:szCs w:val="21"/>
              </w:rPr>
              <w:t>○地震発災に備えた情報連絡体制の維持</w:t>
            </w:r>
          </w:p>
        </w:tc>
      </w:tr>
    </w:tbl>
    <w:p w14:paraId="275CFFF3" w14:textId="77777777" w:rsidR="00605F6F" w:rsidRPr="00E0548A" w:rsidRDefault="00605F6F" w:rsidP="00605F6F">
      <w:pPr>
        <w:rPr>
          <w:rFonts w:ascii="ＭＳ 明朝" w:hAnsi="ＭＳ 明朝"/>
          <w:szCs w:val="21"/>
        </w:rPr>
      </w:pPr>
    </w:p>
    <w:p w14:paraId="35D3C27A" w14:textId="77777777" w:rsidR="00605F6F" w:rsidRPr="00E0548A" w:rsidRDefault="00605F6F" w:rsidP="00605F6F">
      <w:pPr>
        <w:ind w:firstLineChars="100" w:firstLine="211"/>
        <w:rPr>
          <w:rFonts w:ascii="ＭＳ 明朝" w:hAnsi="ＭＳ 明朝"/>
          <w:szCs w:val="21"/>
        </w:rPr>
      </w:pPr>
      <w:r w:rsidRPr="00E0548A">
        <w:rPr>
          <w:rFonts w:ascii="ＭＳ 明朝" w:hAnsi="ＭＳ 明朝" w:hint="eastAsia"/>
          <w:szCs w:val="21"/>
        </w:rPr>
        <w:t>なお、南海トラフ地震臨時情報（巨大地震警戒及び注意）発表時の主な所管施設等については、前述する＜災害発生時＞に記載する内容と同様。</w:t>
      </w:r>
    </w:p>
    <w:p w14:paraId="4995218A" w14:textId="77777777" w:rsidR="00D95C46" w:rsidRPr="00E0548A" w:rsidRDefault="00D95C46">
      <w:pPr>
        <w:widowControl/>
        <w:jc w:val="left"/>
        <w:rPr>
          <w:rFonts w:ascii="ＭＳ ゴシック" w:eastAsia="ＭＳ ゴシック" w:hAnsi="ＭＳ ゴシック"/>
          <w:szCs w:val="21"/>
        </w:rPr>
      </w:pPr>
      <w:r w:rsidRPr="00E0548A">
        <w:rPr>
          <w:rFonts w:ascii="ＭＳ ゴシック" w:eastAsia="ＭＳ ゴシック" w:hAnsi="ＭＳ ゴシック"/>
          <w:szCs w:val="21"/>
        </w:rPr>
        <w:br w:type="page"/>
      </w:r>
    </w:p>
    <w:p w14:paraId="793475FC" w14:textId="26499E3A" w:rsidR="008B4B2B" w:rsidRPr="00E0548A" w:rsidRDefault="00D225BB" w:rsidP="008B4B2B">
      <w:pPr>
        <w:rPr>
          <w:rFonts w:ascii="ＭＳ ゴシック" w:eastAsia="ＭＳ ゴシック" w:hAnsi="ＭＳ ゴシック"/>
          <w:szCs w:val="21"/>
        </w:rPr>
      </w:pPr>
      <w:r w:rsidRPr="00E0548A">
        <w:rPr>
          <w:rFonts w:ascii="ＭＳ ゴシック" w:eastAsia="ＭＳ ゴシック" w:hAnsi="ＭＳ ゴシック" w:hint="eastAsia"/>
          <w:szCs w:val="21"/>
        </w:rPr>
        <w:lastRenderedPageBreak/>
        <w:t>⑭</w:t>
      </w:r>
      <w:r w:rsidR="008B4B2B" w:rsidRPr="00E0548A">
        <w:rPr>
          <w:rFonts w:ascii="ＭＳ ゴシック" w:eastAsia="ＭＳ ゴシック" w:hAnsi="ＭＳ ゴシック" w:hint="eastAsia"/>
          <w:szCs w:val="21"/>
        </w:rPr>
        <w:t>大阪港湾局</w:t>
      </w:r>
    </w:p>
    <w:p w14:paraId="280DA631" w14:textId="77777777" w:rsidR="002C01FF" w:rsidRPr="00E0548A" w:rsidRDefault="002C01FF" w:rsidP="002C01FF">
      <w:pPr>
        <w:pStyle w:val="af4"/>
        <w:ind w:leftChars="0" w:left="0"/>
        <w:rPr>
          <w:rFonts w:ascii="ＭＳ ゴシック" w:eastAsia="ＭＳ ゴシック" w:hAnsi="ＭＳ ゴシック"/>
          <w:szCs w:val="21"/>
        </w:rPr>
      </w:pPr>
      <w:r w:rsidRPr="00E0548A">
        <w:rPr>
          <w:rFonts w:ascii="ＭＳ ゴシック" w:eastAsia="ＭＳ ゴシック" w:hAnsi="ＭＳ ゴシック" w:hint="eastAsia"/>
          <w:szCs w:val="21"/>
        </w:rPr>
        <w:t>＜災害発生時＞</w:t>
      </w:r>
    </w:p>
    <w:tbl>
      <w:tblPr>
        <w:tblpPr w:leftFromText="142" w:rightFromText="142" w:vertAnchor="text" w:tblpXSpec="center" w:tblpY="1"/>
        <w:tblOverlap w:val="neve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18"/>
        <w:gridCol w:w="7316"/>
      </w:tblGrid>
      <w:tr w:rsidR="00E0548A" w:rsidRPr="00E0548A" w14:paraId="6DB873B9" w14:textId="77777777" w:rsidTr="008B4B2B">
        <w:trPr>
          <w:jc w:val="center"/>
        </w:trPr>
        <w:tc>
          <w:tcPr>
            <w:tcW w:w="1518" w:type="dxa"/>
            <w:shd w:val="clear" w:color="auto" w:fill="BFBFBF"/>
          </w:tcPr>
          <w:p w14:paraId="6C9F2FFE" w14:textId="77777777" w:rsidR="008B4B2B" w:rsidRPr="00E0548A" w:rsidRDefault="008B4B2B" w:rsidP="008B4B2B">
            <w:pPr>
              <w:jc w:val="center"/>
              <w:rPr>
                <w:rFonts w:ascii="ＭＳ 明朝" w:hAnsi="ＭＳ 明朝"/>
                <w:szCs w:val="21"/>
              </w:rPr>
            </w:pPr>
            <w:r w:rsidRPr="00E0548A">
              <w:rPr>
                <w:rFonts w:ascii="ＭＳ 明朝" w:hAnsi="ＭＳ 明朝" w:hint="eastAsia"/>
                <w:szCs w:val="21"/>
              </w:rPr>
              <w:t>フェーズ</w:t>
            </w:r>
          </w:p>
        </w:tc>
        <w:tc>
          <w:tcPr>
            <w:tcW w:w="7316" w:type="dxa"/>
            <w:shd w:val="clear" w:color="auto" w:fill="BFBFBF"/>
          </w:tcPr>
          <w:p w14:paraId="32010F65" w14:textId="77777777" w:rsidR="008B4B2B" w:rsidRPr="00E0548A" w:rsidRDefault="008B4B2B" w:rsidP="008B4B2B">
            <w:pPr>
              <w:jc w:val="center"/>
              <w:rPr>
                <w:rFonts w:ascii="ＭＳ 明朝" w:hAnsi="ＭＳ 明朝"/>
                <w:szCs w:val="21"/>
              </w:rPr>
            </w:pPr>
            <w:r w:rsidRPr="00E0548A">
              <w:rPr>
                <w:rFonts w:ascii="ＭＳ 明朝" w:hAnsi="ＭＳ 明朝" w:hint="eastAsia"/>
                <w:szCs w:val="21"/>
              </w:rPr>
              <w:t>主な応急対策業務</w:t>
            </w:r>
          </w:p>
        </w:tc>
      </w:tr>
      <w:tr w:rsidR="00E0548A" w:rsidRPr="00E0548A" w14:paraId="15E76DF2" w14:textId="77777777" w:rsidTr="008B4B2B">
        <w:trPr>
          <w:jc w:val="center"/>
        </w:trPr>
        <w:tc>
          <w:tcPr>
            <w:tcW w:w="1518" w:type="dxa"/>
          </w:tcPr>
          <w:p w14:paraId="583C7ED6" w14:textId="77777777" w:rsidR="008B4B2B" w:rsidRPr="00E0548A" w:rsidRDefault="008B4B2B" w:rsidP="008B4B2B">
            <w:pPr>
              <w:rPr>
                <w:rFonts w:ascii="ＭＳ 明朝" w:hAnsi="ＭＳ 明朝"/>
                <w:szCs w:val="21"/>
              </w:rPr>
            </w:pPr>
            <w:r w:rsidRPr="00E0548A">
              <w:rPr>
                <w:rFonts w:ascii="ＭＳ 明朝" w:hAnsi="ＭＳ 明朝" w:hint="eastAsia"/>
                <w:szCs w:val="21"/>
              </w:rPr>
              <w:t>第1フェーズ</w:t>
            </w:r>
          </w:p>
          <w:p w14:paraId="23DAB0AF" w14:textId="77777777" w:rsidR="008B4B2B" w:rsidRPr="00E0548A" w:rsidRDefault="008B4B2B" w:rsidP="008B4B2B">
            <w:pPr>
              <w:rPr>
                <w:rFonts w:ascii="ＭＳ 明朝" w:hAnsi="ＭＳ 明朝"/>
                <w:szCs w:val="21"/>
              </w:rPr>
            </w:pPr>
            <w:r w:rsidRPr="00E0548A">
              <w:rPr>
                <w:rFonts w:ascii="ＭＳ 明朝" w:hAnsi="ＭＳ 明朝" w:hint="eastAsia"/>
                <w:szCs w:val="21"/>
              </w:rPr>
              <w:t>(3時間まで)</w:t>
            </w:r>
          </w:p>
          <w:p w14:paraId="17B8F45B" w14:textId="77777777" w:rsidR="008B4B2B" w:rsidRPr="00E0548A" w:rsidRDefault="008B4B2B" w:rsidP="008B4B2B">
            <w:pPr>
              <w:rPr>
                <w:rFonts w:ascii="ＭＳ 明朝" w:hAnsi="ＭＳ 明朝"/>
                <w:szCs w:val="21"/>
              </w:rPr>
            </w:pPr>
          </w:p>
        </w:tc>
        <w:tc>
          <w:tcPr>
            <w:tcW w:w="7316" w:type="dxa"/>
          </w:tcPr>
          <w:p w14:paraId="2D83052D" w14:textId="77777777" w:rsidR="008B4B2B" w:rsidRPr="00E0548A" w:rsidRDefault="008B4B2B" w:rsidP="008B4B2B">
            <w:pPr>
              <w:rPr>
                <w:rFonts w:ascii="ＭＳ 明朝" w:hAnsi="ＭＳ 明朝"/>
                <w:szCs w:val="21"/>
              </w:rPr>
            </w:pPr>
            <w:r w:rsidRPr="00E0548A">
              <w:rPr>
                <w:rFonts w:ascii="ＭＳ 明朝" w:hAnsi="ＭＳ 明朝" w:hint="eastAsia"/>
                <w:szCs w:val="21"/>
              </w:rPr>
              <w:t>○初動対応、体制の確立</w:t>
            </w:r>
          </w:p>
          <w:p w14:paraId="166A5914" w14:textId="77777777" w:rsidR="008B4B2B" w:rsidRPr="00E0548A" w:rsidRDefault="008B4B2B" w:rsidP="008B4B2B">
            <w:pPr>
              <w:rPr>
                <w:rFonts w:ascii="ＭＳ 明朝" w:hAnsi="ＭＳ 明朝"/>
                <w:szCs w:val="21"/>
              </w:rPr>
            </w:pPr>
            <w:r w:rsidRPr="00E0548A">
              <w:rPr>
                <w:rFonts w:ascii="ＭＳ 明朝" w:hAnsi="ＭＳ 明朝" w:hint="eastAsia"/>
                <w:szCs w:val="21"/>
              </w:rPr>
              <w:t>○水門・鉄扉等の閉鎖確認</w:t>
            </w:r>
          </w:p>
          <w:p w14:paraId="08E823EB" w14:textId="77777777" w:rsidR="008B4B2B" w:rsidRPr="00E0548A" w:rsidRDefault="008B4B2B" w:rsidP="008B4B2B">
            <w:pPr>
              <w:rPr>
                <w:rFonts w:ascii="ＭＳ 明朝" w:hAnsi="ＭＳ 明朝"/>
                <w:szCs w:val="21"/>
              </w:rPr>
            </w:pPr>
            <w:r w:rsidRPr="00E0548A">
              <w:rPr>
                <w:rFonts w:ascii="ＭＳ 明朝" w:hAnsi="ＭＳ 明朝" w:hint="eastAsia"/>
                <w:szCs w:val="21"/>
              </w:rPr>
              <w:t>○職員の安否確認と参集状況の把握</w:t>
            </w:r>
          </w:p>
          <w:p w14:paraId="4CB6A511" w14:textId="77777777" w:rsidR="008B4B2B" w:rsidRPr="00E0548A" w:rsidRDefault="008B4B2B" w:rsidP="008B4B2B">
            <w:pPr>
              <w:rPr>
                <w:rFonts w:ascii="ＭＳ 明朝" w:hAnsi="ＭＳ 明朝"/>
                <w:szCs w:val="21"/>
              </w:rPr>
            </w:pPr>
            <w:r w:rsidRPr="00E0548A">
              <w:rPr>
                <w:rFonts w:ascii="ＭＳ 明朝" w:hAnsi="ＭＳ 明朝" w:hint="eastAsia"/>
                <w:szCs w:val="21"/>
              </w:rPr>
              <w:t>○情報収集と連絡調整</w:t>
            </w:r>
          </w:p>
        </w:tc>
      </w:tr>
      <w:tr w:rsidR="00E0548A" w:rsidRPr="00E0548A" w14:paraId="68813F34" w14:textId="77777777" w:rsidTr="008B4B2B">
        <w:trPr>
          <w:jc w:val="center"/>
        </w:trPr>
        <w:tc>
          <w:tcPr>
            <w:tcW w:w="1518" w:type="dxa"/>
          </w:tcPr>
          <w:p w14:paraId="6A719E8D" w14:textId="77777777" w:rsidR="008B4B2B" w:rsidRPr="00E0548A" w:rsidRDefault="008B4B2B" w:rsidP="008B4B2B">
            <w:pPr>
              <w:rPr>
                <w:rFonts w:ascii="ＭＳ 明朝" w:hAnsi="ＭＳ 明朝"/>
                <w:szCs w:val="21"/>
              </w:rPr>
            </w:pPr>
            <w:r w:rsidRPr="00E0548A">
              <w:rPr>
                <w:rFonts w:ascii="ＭＳ 明朝" w:hAnsi="ＭＳ 明朝" w:hint="eastAsia"/>
                <w:szCs w:val="21"/>
              </w:rPr>
              <w:t>第2フェーズ</w:t>
            </w:r>
          </w:p>
          <w:p w14:paraId="23DC658F" w14:textId="77777777" w:rsidR="008B4B2B" w:rsidRPr="00E0548A" w:rsidRDefault="008B4B2B" w:rsidP="008B4B2B">
            <w:pPr>
              <w:rPr>
                <w:rFonts w:ascii="ＭＳ 明朝" w:hAnsi="ＭＳ 明朝"/>
                <w:szCs w:val="21"/>
              </w:rPr>
            </w:pPr>
            <w:r w:rsidRPr="00E0548A">
              <w:rPr>
                <w:rFonts w:ascii="ＭＳ 明朝" w:hAnsi="ＭＳ 明朝" w:hint="eastAsia"/>
                <w:szCs w:val="21"/>
              </w:rPr>
              <w:t>(24時間まで)</w:t>
            </w:r>
          </w:p>
          <w:p w14:paraId="5930ECB9" w14:textId="77777777" w:rsidR="008B4B2B" w:rsidRPr="00E0548A" w:rsidRDefault="008B4B2B" w:rsidP="008B4B2B">
            <w:pPr>
              <w:rPr>
                <w:rFonts w:ascii="ＭＳ 明朝" w:hAnsi="ＭＳ 明朝"/>
                <w:szCs w:val="21"/>
              </w:rPr>
            </w:pPr>
          </w:p>
        </w:tc>
        <w:tc>
          <w:tcPr>
            <w:tcW w:w="7316" w:type="dxa"/>
          </w:tcPr>
          <w:p w14:paraId="44F663E0" w14:textId="77777777" w:rsidR="008B4B2B" w:rsidRPr="00E0548A" w:rsidRDefault="008B4B2B" w:rsidP="008B4B2B">
            <w:pPr>
              <w:ind w:left="211" w:hangingChars="100" w:hanging="211"/>
              <w:rPr>
                <w:rFonts w:ascii="ＭＳ 明朝" w:hAnsi="ＭＳ 明朝"/>
                <w:szCs w:val="21"/>
              </w:rPr>
            </w:pPr>
            <w:r w:rsidRPr="00E0548A">
              <w:rPr>
                <w:rFonts w:ascii="ＭＳ 明朝" w:hAnsi="ＭＳ 明朝" w:hint="eastAsia"/>
                <w:szCs w:val="21"/>
              </w:rPr>
              <w:t>○堺２区基幹的広域防災拠点の国直轄管理に関する連絡調整</w:t>
            </w:r>
          </w:p>
          <w:p w14:paraId="3B626D14" w14:textId="77777777" w:rsidR="008B4B2B" w:rsidRPr="00E0548A" w:rsidRDefault="008B4B2B" w:rsidP="008B4B2B">
            <w:pPr>
              <w:ind w:left="211" w:hangingChars="100" w:hanging="211"/>
              <w:rPr>
                <w:rFonts w:ascii="ＭＳ 明朝" w:hAnsi="ＭＳ 明朝"/>
                <w:szCs w:val="21"/>
              </w:rPr>
            </w:pPr>
            <w:r w:rsidRPr="00E0548A">
              <w:rPr>
                <w:rFonts w:ascii="ＭＳ 明朝" w:hAnsi="ＭＳ 明朝" w:hint="eastAsia"/>
                <w:szCs w:val="21"/>
              </w:rPr>
              <w:t>○所管施設の被害状況の把握及び報告</w:t>
            </w:r>
          </w:p>
          <w:p w14:paraId="49FF76E6" w14:textId="77777777" w:rsidR="008B4B2B" w:rsidRPr="00E0548A" w:rsidRDefault="008B4B2B" w:rsidP="008B4B2B">
            <w:pPr>
              <w:ind w:left="211" w:hangingChars="100" w:hanging="211"/>
              <w:rPr>
                <w:rFonts w:ascii="ＭＳ 明朝" w:hAnsi="ＭＳ 明朝"/>
                <w:szCs w:val="21"/>
              </w:rPr>
            </w:pPr>
            <w:r w:rsidRPr="00E0548A">
              <w:rPr>
                <w:rFonts w:ascii="ＭＳ 明朝" w:hAnsi="ＭＳ 明朝" w:hint="eastAsia"/>
                <w:szCs w:val="21"/>
              </w:rPr>
              <w:t>○耐震強化岸壁及び接続道路の使用に向けた準備開始</w:t>
            </w:r>
          </w:p>
        </w:tc>
      </w:tr>
      <w:tr w:rsidR="00E0548A" w:rsidRPr="00E0548A" w14:paraId="52CC83BD" w14:textId="77777777" w:rsidTr="008B4B2B">
        <w:trPr>
          <w:jc w:val="center"/>
        </w:trPr>
        <w:tc>
          <w:tcPr>
            <w:tcW w:w="1518" w:type="dxa"/>
          </w:tcPr>
          <w:p w14:paraId="41628C13" w14:textId="77777777" w:rsidR="008B4B2B" w:rsidRPr="00E0548A" w:rsidRDefault="008B4B2B" w:rsidP="008B4B2B">
            <w:pPr>
              <w:rPr>
                <w:rFonts w:ascii="ＭＳ 明朝" w:hAnsi="ＭＳ 明朝"/>
                <w:szCs w:val="21"/>
              </w:rPr>
            </w:pPr>
            <w:r w:rsidRPr="00E0548A">
              <w:rPr>
                <w:rFonts w:ascii="ＭＳ 明朝" w:hAnsi="ＭＳ 明朝" w:hint="eastAsia"/>
                <w:szCs w:val="21"/>
              </w:rPr>
              <w:t>第3フェーズ</w:t>
            </w:r>
          </w:p>
          <w:p w14:paraId="7CA49B1A" w14:textId="77777777" w:rsidR="008B4B2B" w:rsidRPr="00E0548A" w:rsidRDefault="008B4B2B" w:rsidP="008B4B2B">
            <w:pPr>
              <w:rPr>
                <w:rFonts w:ascii="ＭＳ 明朝" w:hAnsi="ＭＳ 明朝"/>
                <w:szCs w:val="21"/>
              </w:rPr>
            </w:pPr>
            <w:r w:rsidRPr="00E0548A">
              <w:rPr>
                <w:rFonts w:ascii="ＭＳ 明朝" w:hAnsi="ＭＳ 明朝" w:hint="eastAsia"/>
                <w:szCs w:val="21"/>
              </w:rPr>
              <w:t>(72時間まで)</w:t>
            </w:r>
          </w:p>
        </w:tc>
        <w:tc>
          <w:tcPr>
            <w:tcW w:w="7316" w:type="dxa"/>
          </w:tcPr>
          <w:p w14:paraId="51DF2B5B" w14:textId="77777777" w:rsidR="008B4B2B" w:rsidRPr="00E0548A" w:rsidRDefault="008B4B2B" w:rsidP="008B4B2B">
            <w:pPr>
              <w:rPr>
                <w:rFonts w:ascii="ＭＳ 明朝" w:hAnsi="ＭＳ 明朝"/>
                <w:szCs w:val="21"/>
              </w:rPr>
            </w:pPr>
            <w:r w:rsidRPr="00E0548A">
              <w:rPr>
                <w:rFonts w:ascii="ＭＳ 明朝" w:hAnsi="ＭＳ 明朝" w:hint="eastAsia"/>
                <w:szCs w:val="21"/>
              </w:rPr>
              <w:t>○堺２区防災拠点への航路啓開及び道路啓開等の連絡調整</w:t>
            </w:r>
          </w:p>
          <w:p w14:paraId="798F2616" w14:textId="77777777" w:rsidR="008B4B2B" w:rsidRPr="00E0548A" w:rsidRDefault="008B4B2B" w:rsidP="008B4B2B">
            <w:pPr>
              <w:rPr>
                <w:rFonts w:ascii="ＭＳ 明朝" w:hAnsi="ＭＳ 明朝"/>
                <w:szCs w:val="21"/>
              </w:rPr>
            </w:pPr>
            <w:r w:rsidRPr="00E0548A">
              <w:rPr>
                <w:rFonts w:ascii="ＭＳ 明朝" w:hAnsi="ＭＳ 明朝" w:hint="eastAsia"/>
                <w:szCs w:val="21"/>
              </w:rPr>
              <w:t>○所管施設の応急復旧必要箇所の把握と関係者調整</w:t>
            </w:r>
          </w:p>
          <w:p w14:paraId="03B506A4" w14:textId="77777777" w:rsidR="008B4B2B" w:rsidRPr="00E0548A" w:rsidRDefault="008B4B2B" w:rsidP="008B4B2B">
            <w:pPr>
              <w:rPr>
                <w:rFonts w:ascii="ＭＳ 明朝" w:hAnsi="ＭＳ 明朝"/>
                <w:szCs w:val="21"/>
              </w:rPr>
            </w:pPr>
            <w:r w:rsidRPr="00E0548A">
              <w:rPr>
                <w:rFonts w:ascii="ＭＳ 明朝" w:hAnsi="ＭＳ 明朝" w:hint="eastAsia"/>
                <w:szCs w:val="21"/>
              </w:rPr>
              <w:t>○他府県、防災協定先との調査・復旧作業に係る連絡調整</w:t>
            </w:r>
          </w:p>
        </w:tc>
      </w:tr>
      <w:tr w:rsidR="00E0548A" w:rsidRPr="00E0548A" w14:paraId="150EF4E4" w14:textId="77777777" w:rsidTr="008B4B2B">
        <w:trPr>
          <w:jc w:val="center"/>
        </w:trPr>
        <w:tc>
          <w:tcPr>
            <w:tcW w:w="1518" w:type="dxa"/>
          </w:tcPr>
          <w:p w14:paraId="0AE6D26A" w14:textId="77777777" w:rsidR="008B4B2B" w:rsidRPr="00E0548A" w:rsidRDefault="008B4B2B" w:rsidP="008B4B2B">
            <w:pPr>
              <w:rPr>
                <w:rFonts w:ascii="ＭＳ 明朝" w:hAnsi="ＭＳ 明朝"/>
                <w:szCs w:val="21"/>
              </w:rPr>
            </w:pPr>
            <w:r w:rsidRPr="00E0548A">
              <w:rPr>
                <w:rFonts w:ascii="ＭＳ 明朝" w:hAnsi="ＭＳ 明朝" w:hint="eastAsia"/>
                <w:szCs w:val="21"/>
              </w:rPr>
              <w:t>第4フェーズ</w:t>
            </w:r>
          </w:p>
          <w:p w14:paraId="5422DD6F" w14:textId="77777777" w:rsidR="008B4B2B" w:rsidRPr="00E0548A" w:rsidRDefault="008B4B2B" w:rsidP="008B4B2B">
            <w:pPr>
              <w:rPr>
                <w:rFonts w:ascii="ＭＳ 明朝" w:hAnsi="ＭＳ 明朝"/>
                <w:szCs w:val="21"/>
              </w:rPr>
            </w:pPr>
            <w:r w:rsidRPr="00E0548A">
              <w:rPr>
                <w:rFonts w:ascii="ＭＳ 明朝" w:hAnsi="ＭＳ 明朝" w:hint="eastAsia"/>
                <w:szCs w:val="21"/>
              </w:rPr>
              <w:t>(1週間まで)</w:t>
            </w:r>
          </w:p>
        </w:tc>
        <w:tc>
          <w:tcPr>
            <w:tcW w:w="7316" w:type="dxa"/>
          </w:tcPr>
          <w:p w14:paraId="5895DC9D" w14:textId="77777777" w:rsidR="008B4B2B" w:rsidRPr="00E0548A" w:rsidRDefault="008B4B2B" w:rsidP="00E0548A">
            <w:bookmarkStart w:id="108" w:name="_Toc122427283"/>
            <w:bookmarkStart w:id="109" w:name="_Toc122436890"/>
            <w:bookmarkStart w:id="110" w:name="_Toc122455782"/>
            <w:bookmarkStart w:id="111" w:name="_Toc125650496"/>
            <w:bookmarkStart w:id="112" w:name="_Toc127992652"/>
            <w:bookmarkStart w:id="113" w:name="_Toc127993488"/>
            <w:bookmarkStart w:id="114" w:name="_Toc129279961"/>
            <w:bookmarkStart w:id="115" w:name="_Toc130394770"/>
            <w:r w:rsidRPr="00E0548A">
              <w:rPr>
                <w:rFonts w:hint="eastAsia"/>
              </w:rPr>
              <w:t>○耐震強化岸壁やエネルギー関連施設への航路泊地を測量し、異常箇所の</w:t>
            </w:r>
            <w:bookmarkEnd w:id="108"/>
            <w:bookmarkEnd w:id="109"/>
            <w:bookmarkEnd w:id="110"/>
            <w:bookmarkEnd w:id="111"/>
            <w:bookmarkEnd w:id="112"/>
            <w:bookmarkEnd w:id="113"/>
            <w:bookmarkEnd w:id="114"/>
            <w:bookmarkEnd w:id="115"/>
            <w:r w:rsidRPr="00E0548A">
              <w:t xml:space="preserve">  </w:t>
            </w:r>
          </w:p>
          <w:p w14:paraId="083D6574" w14:textId="6A2E147E" w:rsidR="008B4B2B" w:rsidRPr="00E0548A" w:rsidRDefault="008B4B2B" w:rsidP="00E0548A">
            <w:r w:rsidRPr="00E0548A">
              <w:t xml:space="preserve">  </w:t>
            </w:r>
            <w:bookmarkStart w:id="116" w:name="_Toc122427284"/>
            <w:bookmarkStart w:id="117" w:name="_Toc122436891"/>
            <w:bookmarkStart w:id="118" w:name="_Toc122455783"/>
            <w:bookmarkStart w:id="119" w:name="_Toc125650497"/>
            <w:bookmarkStart w:id="120" w:name="_Toc127992653"/>
            <w:bookmarkStart w:id="121" w:name="_Toc127993489"/>
            <w:bookmarkStart w:id="122" w:name="_Toc129279962"/>
            <w:bookmarkStart w:id="123" w:name="_Toc130394771"/>
            <w:r w:rsidRPr="00E0548A">
              <w:rPr>
                <w:rFonts w:hint="eastAsia"/>
              </w:rPr>
              <w:t>把握・明示及び啓開</w:t>
            </w:r>
            <w:bookmarkEnd w:id="116"/>
            <w:bookmarkEnd w:id="117"/>
            <w:bookmarkEnd w:id="118"/>
            <w:bookmarkEnd w:id="119"/>
            <w:bookmarkEnd w:id="120"/>
            <w:bookmarkEnd w:id="121"/>
            <w:bookmarkEnd w:id="122"/>
            <w:bookmarkEnd w:id="123"/>
          </w:p>
          <w:p w14:paraId="3669D4A1" w14:textId="6E9B0BA8" w:rsidR="008B4B2B" w:rsidRPr="00E0548A" w:rsidRDefault="008B4B2B" w:rsidP="00E0548A">
            <w:bookmarkStart w:id="124" w:name="_Toc122427285"/>
            <w:bookmarkStart w:id="125" w:name="_Toc122436892"/>
            <w:bookmarkStart w:id="126" w:name="_Toc122455784"/>
            <w:bookmarkStart w:id="127" w:name="_Toc125650498"/>
            <w:bookmarkStart w:id="128" w:name="_Toc127992654"/>
            <w:bookmarkStart w:id="129" w:name="_Toc127993490"/>
            <w:bookmarkStart w:id="130" w:name="_Toc129279963"/>
            <w:bookmarkStart w:id="131" w:name="_Toc130394772"/>
            <w:r w:rsidRPr="00E0548A">
              <w:rPr>
                <w:rFonts w:hint="eastAsia"/>
              </w:rPr>
              <w:t>○上記施設への接続道路の啓開</w:t>
            </w:r>
            <w:bookmarkEnd w:id="124"/>
            <w:bookmarkEnd w:id="125"/>
            <w:bookmarkEnd w:id="126"/>
            <w:bookmarkEnd w:id="127"/>
            <w:bookmarkEnd w:id="128"/>
            <w:bookmarkEnd w:id="129"/>
            <w:bookmarkEnd w:id="130"/>
            <w:bookmarkEnd w:id="131"/>
          </w:p>
        </w:tc>
      </w:tr>
      <w:tr w:rsidR="00E0548A" w:rsidRPr="00E0548A" w14:paraId="6B3E9CA7" w14:textId="77777777" w:rsidTr="008B4B2B">
        <w:trPr>
          <w:jc w:val="center"/>
        </w:trPr>
        <w:tc>
          <w:tcPr>
            <w:tcW w:w="1518" w:type="dxa"/>
          </w:tcPr>
          <w:p w14:paraId="79D57E7B" w14:textId="77777777" w:rsidR="008B4B2B" w:rsidRPr="00E0548A" w:rsidRDefault="008B4B2B" w:rsidP="008B4B2B">
            <w:pPr>
              <w:rPr>
                <w:rFonts w:ascii="ＭＳ 明朝" w:hAnsi="ＭＳ 明朝"/>
                <w:szCs w:val="21"/>
              </w:rPr>
            </w:pPr>
            <w:r w:rsidRPr="00E0548A">
              <w:rPr>
                <w:rFonts w:ascii="ＭＳ 明朝" w:hAnsi="ＭＳ 明朝" w:hint="eastAsia"/>
                <w:szCs w:val="21"/>
              </w:rPr>
              <w:t>第5フェーズ</w:t>
            </w:r>
          </w:p>
          <w:p w14:paraId="0E62229B" w14:textId="77777777" w:rsidR="008B4B2B" w:rsidRPr="00E0548A" w:rsidRDefault="008B4B2B" w:rsidP="008B4B2B">
            <w:pPr>
              <w:rPr>
                <w:rFonts w:ascii="ＭＳ 明朝" w:hAnsi="ＭＳ 明朝"/>
                <w:szCs w:val="21"/>
              </w:rPr>
            </w:pPr>
            <w:r w:rsidRPr="00E0548A">
              <w:rPr>
                <w:rFonts w:ascii="ＭＳ 明朝" w:hAnsi="ＭＳ 明朝" w:hint="eastAsia"/>
                <w:szCs w:val="21"/>
              </w:rPr>
              <w:t>(2週間まで)</w:t>
            </w:r>
          </w:p>
        </w:tc>
        <w:tc>
          <w:tcPr>
            <w:tcW w:w="7316" w:type="dxa"/>
          </w:tcPr>
          <w:p w14:paraId="65D659C4" w14:textId="77777777" w:rsidR="008B4B2B" w:rsidRPr="00E0548A" w:rsidRDefault="008B4B2B" w:rsidP="008B4B2B">
            <w:pPr>
              <w:ind w:left="211" w:hangingChars="100" w:hanging="211"/>
              <w:rPr>
                <w:rFonts w:ascii="ＭＳ 明朝" w:hAnsi="ＭＳ 明朝"/>
                <w:szCs w:val="21"/>
              </w:rPr>
            </w:pPr>
            <w:r w:rsidRPr="00E0548A">
              <w:rPr>
                <w:rFonts w:ascii="ＭＳ 明朝" w:hAnsi="ＭＳ 明朝" w:hint="eastAsia"/>
                <w:szCs w:val="21"/>
              </w:rPr>
              <w:t>○被災施設の応急復旧（当該施設において応急的に業務を再開するために実施する措置のことをいう。本格的な復旧作業の前段階）開始</w:t>
            </w:r>
          </w:p>
        </w:tc>
      </w:tr>
      <w:tr w:rsidR="00E0548A" w:rsidRPr="00E0548A" w14:paraId="23372986" w14:textId="77777777" w:rsidTr="008B4B2B">
        <w:trPr>
          <w:jc w:val="center"/>
        </w:trPr>
        <w:tc>
          <w:tcPr>
            <w:tcW w:w="1518" w:type="dxa"/>
          </w:tcPr>
          <w:p w14:paraId="5C0C9473" w14:textId="77777777" w:rsidR="008B4B2B" w:rsidRPr="00E0548A" w:rsidRDefault="008B4B2B" w:rsidP="008B4B2B">
            <w:pPr>
              <w:rPr>
                <w:rFonts w:ascii="ＭＳ 明朝" w:hAnsi="ＭＳ 明朝"/>
                <w:szCs w:val="21"/>
              </w:rPr>
            </w:pPr>
            <w:r w:rsidRPr="00E0548A">
              <w:rPr>
                <w:rFonts w:ascii="ＭＳ 明朝" w:hAnsi="ＭＳ 明朝" w:hint="eastAsia"/>
                <w:szCs w:val="21"/>
              </w:rPr>
              <w:t>第6フェーズ</w:t>
            </w:r>
          </w:p>
          <w:p w14:paraId="69A7DB43" w14:textId="77777777" w:rsidR="008B4B2B" w:rsidRPr="00E0548A" w:rsidRDefault="008B4B2B" w:rsidP="008B4B2B">
            <w:pPr>
              <w:rPr>
                <w:rFonts w:ascii="ＭＳ 明朝" w:hAnsi="ＭＳ 明朝"/>
                <w:szCs w:val="21"/>
              </w:rPr>
            </w:pPr>
            <w:r w:rsidRPr="00E0548A">
              <w:rPr>
                <w:rFonts w:ascii="ＭＳ 明朝" w:hAnsi="ＭＳ 明朝" w:hint="eastAsia"/>
                <w:szCs w:val="21"/>
              </w:rPr>
              <w:t>(1ヶ月まで)</w:t>
            </w:r>
          </w:p>
        </w:tc>
        <w:tc>
          <w:tcPr>
            <w:tcW w:w="7316" w:type="dxa"/>
          </w:tcPr>
          <w:p w14:paraId="67939139" w14:textId="77777777" w:rsidR="008B4B2B" w:rsidRPr="00E0548A" w:rsidRDefault="008B4B2B" w:rsidP="008B4B2B">
            <w:pPr>
              <w:rPr>
                <w:rFonts w:ascii="ＭＳ 明朝" w:hAnsi="ＭＳ 明朝"/>
                <w:szCs w:val="21"/>
              </w:rPr>
            </w:pPr>
            <w:r w:rsidRPr="00E0548A">
              <w:rPr>
                <w:rFonts w:ascii="ＭＳ 明朝" w:hAnsi="ＭＳ 明朝" w:hint="eastAsia"/>
                <w:szCs w:val="21"/>
              </w:rPr>
              <w:t>○被災施設の応急復旧</w:t>
            </w:r>
          </w:p>
        </w:tc>
      </w:tr>
    </w:tbl>
    <w:p w14:paraId="1640D026" w14:textId="77777777" w:rsidR="008B4B2B" w:rsidRPr="00E0548A" w:rsidRDefault="008B4B2B" w:rsidP="008B4B2B">
      <w:pPr>
        <w:rPr>
          <w:rFonts w:ascii="ＭＳ 明朝" w:hAnsi="ＭＳ 明朝"/>
          <w:szCs w:val="21"/>
        </w:rPr>
      </w:pPr>
      <w:r w:rsidRPr="00E0548A">
        <w:rPr>
          <w:rFonts w:ascii="ＭＳ 明朝" w:hAnsi="ＭＳ 明朝" w:hint="eastAsia"/>
          <w:szCs w:val="21"/>
        </w:rPr>
        <w:t>※主な所管施設：府が管理する港湾、</w:t>
      </w:r>
      <w:r w:rsidRPr="00E0548A">
        <w:rPr>
          <w:rFonts w:hint="eastAsia"/>
          <w:kern w:val="0"/>
        </w:rPr>
        <w:t>海岸施設</w:t>
      </w:r>
    </w:p>
    <w:p w14:paraId="4F7E0CCF" w14:textId="77777777" w:rsidR="008B4B2B" w:rsidRPr="00E0548A" w:rsidRDefault="008B4B2B" w:rsidP="006F21D1">
      <w:pPr>
        <w:ind w:firstLineChars="300" w:firstLine="633"/>
        <w:rPr>
          <w:rFonts w:ascii="ＭＳ 明朝" w:hAnsi="ＭＳ 明朝"/>
          <w:szCs w:val="21"/>
        </w:rPr>
      </w:pPr>
      <w:r w:rsidRPr="00E0548A">
        <w:rPr>
          <w:rFonts w:ascii="ＭＳ 明朝" w:hAnsi="ＭＳ 明朝" w:hint="eastAsia"/>
          <w:szCs w:val="21"/>
        </w:rPr>
        <w:t>関係機関：国、他府県、警察、消防、自衛隊、建設業界</w:t>
      </w:r>
    </w:p>
    <w:p w14:paraId="31BE3439" w14:textId="77777777" w:rsidR="008B4B2B" w:rsidRPr="00E0548A" w:rsidRDefault="008B4B2B" w:rsidP="006F21D1">
      <w:pPr>
        <w:ind w:firstLineChars="300" w:firstLine="633"/>
        <w:rPr>
          <w:rFonts w:ascii="ＭＳ 明朝" w:hAnsi="ＭＳ 明朝"/>
          <w:szCs w:val="21"/>
        </w:rPr>
      </w:pPr>
      <w:r w:rsidRPr="00E0548A">
        <w:rPr>
          <w:rFonts w:ascii="ＭＳ 明朝" w:hAnsi="ＭＳ 明朝" w:hint="eastAsia"/>
          <w:szCs w:val="21"/>
        </w:rPr>
        <w:t>システム：水防災システム、建設ＣＡＬＳシステム</w:t>
      </w:r>
    </w:p>
    <w:p w14:paraId="68E62C12" w14:textId="6D093777" w:rsidR="00D93C38" w:rsidRPr="00E0548A" w:rsidRDefault="00D93C38">
      <w:pPr>
        <w:widowControl/>
        <w:jc w:val="left"/>
        <w:rPr>
          <w:rFonts w:ascii="ＭＳ 明朝" w:hAnsi="ＭＳ 明朝"/>
          <w:szCs w:val="21"/>
        </w:rPr>
      </w:pPr>
      <w:r w:rsidRPr="00E0548A">
        <w:rPr>
          <w:rFonts w:ascii="ＭＳ 明朝" w:hAnsi="ＭＳ 明朝"/>
          <w:szCs w:val="21"/>
        </w:rPr>
        <w:br w:type="page"/>
      </w:r>
    </w:p>
    <w:p w14:paraId="5C0AED47" w14:textId="77777777" w:rsidR="007650CC" w:rsidRPr="00E0548A" w:rsidRDefault="007650CC" w:rsidP="007650CC">
      <w:pPr>
        <w:pStyle w:val="af4"/>
        <w:ind w:leftChars="0" w:left="0"/>
        <w:rPr>
          <w:rFonts w:ascii="ＭＳ ゴシック" w:eastAsia="ＭＳ ゴシック" w:hAnsi="ＭＳ ゴシック"/>
          <w:szCs w:val="21"/>
        </w:rPr>
      </w:pPr>
      <w:r w:rsidRPr="00E0548A">
        <w:rPr>
          <w:rFonts w:ascii="ＭＳ ゴシック" w:eastAsia="ＭＳ ゴシック" w:hAnsi="ＭＳ ゴシック" w:hint="eastAsia"/>
          <w:szCs w:val="21"/>
        </w:rPr>
        <w:lastRenderedPageBreak/>
        <w:t>＜南海トラフ地震臨時情報（巨大地震警戒）発表時＞</w:t>
      </w:r>
    </w:p>
    <w:tbl>
      <w:tblPr>
        <w:tblpPr w:leftFromText="142" w:rightFromText="142" w:vertAnchor="text" w:tblpXSpec="center" w:tblpY="1"/>
        <w:tblOverlap w:val="neve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00"/>
        <w:gridCol w:w="7334"/>
      </w:tblGrid>
      <w:tr w:rsidR="00E0548A" w:rsidRPr="00E0548A" w14:paraId="2C462634" w14:textId="77777777" w:rsidTr="008C78D9">
        <w:trPr>
          <w:jc w:val="center"/>
        </w:trPr>
        <w:tc>
          <w:tcPr>
            <w:tcW w:w="1500" w:type="dxa"/>
            <w:tcBorders>
              <w:bottom w:val="single" w:sz="4" w:space="0" w:color="auto"/>
            </w:tcBorders>
            <w:shd w:val="clear" w:color="auto" w:fill="BFBFBF"/>
          </w:tcPr>
          <w:p w14:paraId="2A3DA59F" w14:textId="77777777" w:rsidR="007650CC" w:rsidRPr="00E0548A" w:rsidRDefault="007650CC" w:rsidP="008C78D9">
            <w:pPr>
              <w:jc w:val="center"/>
              <w:rPr>
                <w:rFonts w:ascii="ＭＳ 明朝" w:hAnsi="ＭＳ 明朝"/>
                <w:szCs w:val="21"/>
              </w:rPr>
            </w:pPr>
            <w:r w:rsidRPr="00E0548A">
              <w:rPr>
                <w:rFonts w:ascii="ＭＳ 明朝" w:hAnsi="ＭＳ 明朝" w:hint="eastAsia"/>
                <w:szCs w:val="21"/>
              </w:rPr>
              <w:t>臨時情報</w:t>
            </w:r>
          </w:p>
        </w:tc>
        <w:tc>
          <w:tcPr>
            <w:tcW w:w="7334" w:type="dxa"/>
            <w:tcBorders>
              <w:bottom w:val="single" w:sz="4" w:space="0" w:color="auto"/>
            </w:tcBorders>
            <w:shd w:val="clear" w:color="auto" w:fill="BFBFBF"/>
          </w:tcPr>
          <w:p w14:paraId="1A077CA9" w14:textId="77777777" w:rsidR="007650CC" w:rsidRPr="00E0548A" w:rsidRDefault="007650CC" w:rsidP="008C78D9">
            <w:pPr>
              <w:jc w:val="center"/>
              <w:rPr>
                <w:rFonts w:ascii="ＭＳ 明朝" w:hAnsi="ＭＳ 明朝"/>
                <w:szCs w:val="21"/>
              </w:rPr>
            </w:pPr>
            <w:r w:rsidRPr="00E0548A">
              <w:rPr>
                <w:rFonts w:ascii="ＭＳ 明朝" w:hAnsi="ＭＳ 明朝" w:hint="eastAsia"/>
                <w:szCs w:val="21"/>
              </w:rPr>
              <w:t>主な応急対策業務</w:t>
            </w:r>
          </w:p>
        </w:tc>
      </w:tr>
      <w:tr w:rsidR="00E0548A" w:rsidRPr="00E0548A" w14:paraId="7AC4B7DF" w14:textId="77777777" w:rsidTr="008C78D9">
        <w:trPr>
          <w:jc w:val="center"/>
        </w:trPr>
        <w:tc>
          <w:tcPr>
            <w:tcW w:w="1500" w:type="dxa"/>
          </w:tcPr>
          <w:p w14:paraId="1A346552" w14:textId="77777777" w:rsidR="007650CC" w:rsidRPr="00E0548A" w:rsidRDefault="007650CC" w:rsidP="008C78D9">
            <w:pPr>
              <w:rPr>
                <w:rFonts w:ascii="ＭＳ 明朝" w:hAnsi="ＭＳ 明朝"/>
                <w:szCs w:val="21"/>
              </w:rPr>
            </w:pPr>
            <w:r w:rsidRPr="00E0548A">
              <w:rPr>
                <w:rFonts w:ascii="ＭＳ 明朝" w:hAnsi="ＭＳ 明朝" w:hint="eastAsia"/>
                <w:szCs w:val="21"/>
              </w:rPr>
              <w:t>巨大地震警戒</w:t>
            </w:r>
          </w:p>
        </w:tc>
        <w:tc>
          <w:tcPr>
            <w:tcW w:w="7334" w:type="dxa"/>
          </w:tcPr>
          <w:p w14:paraId="74096037" w14:textId="77777777" w:rsidR="00CA5F03" w:rsidRPr="00E0548A" w:rsidRDefault="00CA5F03" w:rsidP="00CA5F03">
            <w:pPr>
              <w:ind w:left="211" w:hangingChars="100" w:hanging="211"/>
              <w:rPr>
                <w:rFonts w:ascii="ＭＳ 明朝" w:hAnsi="ＭＳ 明朝"/>
                <w:szCs w:val="21"/>
              </w:rPr>
            </w:pPr>
            <w:r w:rsidRPr="00E0548A">
              <w:rPr>
                <w:rFonts w:ascii="ＭＳ 明朝" w:hAnsi="ＭＳ 明朝" w:hint="eastAsia"/>
                <w:szCs w:val="21"/>
              </w:rPr>
              <w:t>○地震発災後、応急対策業務（第１フェーズ）を速やかに実施できる準備</w:t>
            </w:r>
          </w:p>
          <w:p w14:paraId="26BD1D23" w14:textId="77777777" w:rsidR="00CA5F03" w:rsidRPr="00E0548A" w:rsidRDefault="00CA5F03" w:rsidP="00CA5F03">
            <w:pPr>
              <w:ind w:leftChars="100" w:left="211"/>
              <w:rPr>
                <w:rFonts w:ascii="ＭＳ 明朝" w:hAnsi="ＭＳ 明朝"/>
                <w:szCs w:val="21"/>
              </w:rPr>
            </w:pPr>
            <w:r w:rsidRPr="00E0548A">
              <w:rPr>
                <w:rFonts w:ascii="ＭＳ 明朝" w:hAnsi="ＭＳ 明朝" w:hint="eastAsia"/>
                <w:szCs w:val="21"/>
              </w:rPr>
              <w:t>体制を維持</w:t>
            </w:r>
          </w:p>
          <w:p w14:paraId="401384A2" w14:textId="77777777" w:rsidR="00CA5F03" w:rsidRPr="00E0548A" w:rsidRDefault="00CA5F03" w:rsidP="00CA5F03">
            <w:pPr>
              <w:ind w:left="211" w:hangingChars="100" w:hanging="211"/>
              <w:rPr>
                <w:rFonts w:ascii="ＭＳ 明朝" w:hAnsi="ＭＳ 明朝"/>
                <w:szCs w:val="21"/>
              </w:rPr>
            </w:pPr>
            <w:r w:rsidRPr="00E0548A">
              <w:rPr>
                <w:rFonts w:ascii="ＭＳ 明朝" w:hAnsi="ＭＳ 明朝" w:hint="eastAsia"/>
                <w:szCs w:val="21"/>
              </w:rPr>
              <w:t>○初動マニュアル等の確認</w:t>
            </w:r>
          </w:p>
          <w:p w14:paraId="47D4082D" w14:textId="77777777" w:rsidR="00CA5F03" w:rsidRPr="00E0548A" w:rsidRDefault="00CA5F03" w:rsidP="00CA5F03">
            <w:pPr>
              <w:ind w:left="211" w:hangingChars="100" w:hanging="211"/>
              <w:rPr>
                <w:rFonts w:ascii="ＭＳ 明朝" w:hAnsi="ＭＳ 明朝"/>
                <w:szCs w:val="21"/>
              </w:rPr>
            </w:pPr>
            <w:r w:rsidRPr="00E0548A">
              <w:rPr>
                <w:rFonts w:ascii="ＭＳ 明朝" w:hAnsi="ＭＳ 明朝" w:hint="eastAsia"/>
                <w:szCs w:val="21"/>
              </w:rPr>
              <w:t>○職員との連絡体制等防災体制の確認</w:t>
            </w:r>
          </w:p>
          <w:p w14:paraId="2C4A9192" w14:textId="77777777" w:rsidR="00CA5F03" w:rsidRPr="00E0548A" w:rsidRDefault="00CA5F03" w:rsidP="00CA5F03">
            <w:pPr>
              <w:ind w:left="211" w:hangingChars="100" w:hanging="211"/>
              <w:rPr>
                <w:rFonts w:ascii="ＭＳ 明朝" w:hAnsi="ＭＳ 明朝"/>
                <w:szCs w:val="21"/>
              </w:rPr>
            </w:pPr>
            <w:r w:rsidRPr="00E0548A">
              <w:rPr>
                <w:rFonts w:ascii="ＭＳ 明朝" w:hAnsi="ＭＳ 明朝" w:hint="eastAsia"/>
                <w:szCs w:val="21"/>
              </w:rPr>
              <w:t>○津波防御施設（水門・鉄扉等）、防災上重要な施設の確認・点検</w:t>
            </w:r>
          </w:p>
          <w:p w14:paraId="43BF651B" w14:textId="77777777" w:rsidR="00CA5F03" w:rsidRPr="00E0548A" w:rsidRDefault="00CA5F03" w:rsidP="00CA5F03">
            <w:pPr>
              <w:ind w:left="211" w:hangingChars="100" w:hanging="211"/>
              <w:rPr>
                <w:rFonts w:ascii="ＭＳ 明朝" w:hAnsi="ＭＳ 明朝"/>
                <w:szCs w:val="21"/>
              </w:rPr>
            </w:pPr>
            <w:r w:rsidRPr="00E0548A">
              <w:rPr>
                <w:rFonts w:ascii="ＭＳ 明朝" w:hAnsi="ＭＳ 明朝" w:hint="eastAsia"/>
                <w:szCs w:val="21"/>
              </w:rPr>
              <w:t>○庁内関係部局及び関係機関（国、沿岸市町等）との連絡調整</w:t>
            </w:r>
          </w:p>
          <w:p w14:paraId="20969933" w14:textId="77777777" w:rsidR="00CA5F03" w:rsidRPr="00E0548A" w:rsidRDefault="00CA5F03" w:rsidP="00CA5F03">
            <w:pPr>
              <w:ind w:left="211" w:hangingChars="100" w:hanging="211"/>
              <w:rPr>
                <w:rFonts w:ascii="ＭＳ 明朝" w:hAnsi="ＭＳ 明朝"/>
                <w:szCs w:val="21"/>
              </w:rPr>
            </w:pPr>
            <w:r w:rsidRPr="00E0548A">
              <w:rPr>
                <w:rFonts w:ascii="ＭＳ 明朝" w:hAnsi="ＭＳ 明朝" w:hint="eastAsia"/>
                <w:szCs w:val="21"/>
              </w:rPr>
              <w:t>○発注工事現場の安全確保及び継続可否の判断</w:t>
            </w:r>
          </w:p>
          <w:p w14:paraId="4C7FEB94" w14:textId="77777777" w:rsidR="00CA5F03" w:rsidRPr="00E0548A" w:rsidRDefault="00CA5F03" w:rsidP="00CA5F03">
            <w:pPr>
              <w:ind w:left="211" w:hangingChars="100" w:hanging="211"/>
              <w:rPr>
                <w:rFonts w:ascii="ＭＳ 明朝" w:hAnsi="ＭＳ 明朝"/>
                <w:szCs w:val="21"/>
              </w:rPr>
            </w:pPr>
            <w:r w:rsidRPr="00E0548A">
              <w:rPr>
                <w:rFonts w:ascii="ＭＳ 明朝" w:hAnsi="ＭＳ 明朝" w:hint="eastAsia"/>
                <w:szCs w:val="21"/>
              </w:rPr>
              <w:t>○公用車の給油、資機材等の確認</w:t>
            </w:r>
          </w:p>
          <w:p w14:paraId="627D737E" w14:textId="77777777" w:rsidR="00CA5F03" w:rsidRPr="00E0548A" w:rsidRDefault="00CA5F03" w:rsidP="00CA5F03">
            <w:pPr>
              <w:ind w:left="211" w:hangingChars="100" w:hanging="211"/>
              <w:rPr>
                <w:rFonts w:ascii="ＭＳ 明朝" w:hAnsi="ＭＳ 明朝"/>
                <w:szCs w:val="21"/>
              </w:rPr>
            </w:pPr>
            <w:r w:rsidRPr="00E0548A">
              <w:rPr>
                <w:rFonts w:ascii="ＭＳ 明朝" w:hAnsi="ＭＳ 明朝" w:hint="eastAsia"/>
                <w:szCs w:val="21"/>
              </w:rPr>
              <w:t>○所管イベントの開催可否の判断</w:t>
            </w:r>
          </w:p>
          <w:p w14:paraId="39B89F51" w14:textId="01C483BE" w:rsidR="000C3CFA" w:rsidRPr="00E0548A" w:rsidRDefault="00CA5F03" w:rsidP="00CA5F03">
            <w:pPr>
              <w:ind w:left="211" w:hangingChars="100" w:hanging="211"/>
            </w:pPr>
            <w:r w:rsidRPr="00E0548A">
              <w:rPr>
                <w:rFonts w:ascii="ＭＳ 明朝" w:hAnsi="ＭＳ 明朝" w:hint="eastAsia"/>
                <w:szCs w:val="21"/>
              </w:rPr>
              <w:t>○港湾利用者等への注意喚起と備えの再確認</w:t>
            </w:r>
          </w:p>
        </w:tc>
      </w:tr>
    </w:tbl>
    <w:p w14:paraId="67CED0DB" w14:textId="77777777" w:rsidR="007650CC" w:rsidRPr="00E0548A" w:rsidRDefault="007650CC" w:rsidP="007650CC">
      <w:pPr>
        <w:rPr>
          <w:rFonts w:ascii="ＭＳ 明朝" w:hAnsi="ＭＳ 明朝"/>
          <w:szCs w:val="21"/>
        </w:rPr>
      </w:pPr>
      <w:r w:rsidRPr="00E0548A">
        <w:rPr>
          <w:rFonts w:ascii="ＭＳ 明朝" w:hAnsi="ＭＳ 明朝" w:hint="eastAsia"/>
          <w:szCs w:val="21"/>
        </w:rPr>
        <w:t>「南海トラフ地震臨時情報（巨大地震警戒）」が発表され、「巨大地震警戒対応期間」（１週間）が経過した際は、「巨大地震注意対応期間」へ移行。</w:t>
      </w:r>
    </w:p>
    <w:p w14:paraId="1DA5ACA6" w14:textId="77777777" w:rsidR="007650CC" w:rsidRPr="00E0548A" w:rsidRDefault="007650CC" w:rsidP="007650CC">
      <w:pPr>
        <w:rPr>
          <w:rFonts w:ascii="ＭＳ 明朝" w:hAnsi="ＭＳ 明朝"/>
          <w:szCs w:val="21"/>
        </w:rPr>
      </w:pPr>
    </w:p>
    <w:p w14:paraId="28E8C5F6" w14:textId="564003CD" w:rsidR="007650CC" w:rsidRPr="00E0548A" w:rsidRDefault="007650CC" w:rsidP="007650CC">
      <w:pPr>
        <w:pStyle w:val="af4"/>
        <w:ind w:leftChars="0" w:left="0"/>
        <w:rPr>
          <w:rFonts w:ascii="ＭＳ ゴシック" w:eastAsia="ＭＳ ゴシック" w:hAnsi="ＭＳ ゴシック"/>
          <w:szCs w:val="21"/>
        </w:rPr>
      </w:pPr>
      <w:r w:rsidRPr="00E0548A">
        <w:rPr>
          <w:rFonts w:ascii="ＭＳ ゴシック" w:eastAsia="ＭＳ ゴシック" w:hAnsi="ＭＳ ゴシック" w:hint="eastAsia"/>
          <w:szCs w:val="21"/>
        </w:rPr>
        <w:t>＜南海トラフ地震臨時情報（巨大地震注意）発表時</w:t>
      </w:r>
      <w:r w:rsidR="002F25B5" w:rsidRPr="00E0548A">
        <w:rPr>
          <w:rFonts w:ascii="ＭＳ ゴシック" w:eastAsia="ＭＳ ゴシック" w:hAnsi="ＭＳ ゴシック" w:hint="eastAsia"/>
          <w:szCs w:val="21"/>
        </w:rPr>
        <w:t>（</w:t>
      </w:r>
      <w:r w:rsidR="002F25B5" w:rsidRPr="00E0548A">
        <w:rPr>
          <w:rFonts w:ascii="ＭＳ 明朝" w:hAnsi="ＭＳ 明朝" w:hint="eastAsia"/>
          <w:szCs w:val="21"/>
        </w:rPr>
        <w:t>巨大地震警戒からの移行時を含む</w:t>
      </w:r>
      <w:r w:rsidR="002F25B5" w:rsidRPr="00E0548A">
        <w:rPr>
          <w:rFonts w:ascii="ＭＳ ゴシック" w:eastAsia="ＭＳ ゴシック" w:hAnsi="ＭＳ ゴシック" w:hint="eastAsia"/>
          <w:szCs w:val="21"/>
        </w:rPr>
        <w:t>）</w:t>
      </w:r>
      <w:r w:rsidRPr="00E0548A">
        <w:rPr>
          <w:rFonts w:ascii="ＭＳ ゴシック" w:eastAsia="ＭＳ ゴシック" w:hAnsi="ＭＳ ゴシック" w:hint="eastAsia"/>
          <w:szCs w:val="21"/>
        </w:rPr>
        <w:t>＞</w:t>
      </w:r>
    </w:p>
    <w:tbl>
      <w:tblPr>
        <w:tblpPr w:leftFromText="142" w:rightFromText="142" w:vertAnchor="text" w:tblpXSpec="center" w:tblpY="1"/>
        <w:tblOverlap w:val="neve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00"/>
        <w:gridCol w:w="7334"/>
      </w:tblGrid>
      <w:tr w:rsidR="00E0548A" w:rsidRPr="00E0548A" w14:paraId="4CC2AC53" w14:textId="77777777" w:rsidTr="008C78D9">
        <w:trPr>
          <w:jc w:val="center"/>
        </w:trPr>
        <w:tc>
          <w:tcPr>
            <w:tcW w:w="1500" w:type="dxa"/>
            <w:tcBorders>
              <w:bottom w:val="single" w:sz="4" w:space="0" w:color="auto"/>
            </w:tcBorders>
            <w:shd w:val="clear" w:color="auto" w:fill="BFBFBF"/>
          </w:tcPr>
          <w:p w14:paraId="04FF3CAC" w14:textId="77777777" w:rsidR="007650CC" w:rsidRPr="00E0548A" w:rsidRDefault="007650CC" w:rsidP="008C78D9">
            <w:pPr>
              <w:jc w:val="center"/>
              <w:rPr>
                <w:rFonts w:ascii="ＭＳ 明朝" w:hAnsi="ＭＳ 明朝"/>
                <w:szCs w:val="21"/>
              </w:rPr>
            </w:pPr>
            <w:r w:rsidRPr="00E0548A">
              <w:rPr>
                <w:rFonts w:ascii="ＭＳ 明朝" w:hAnsi="ＭＳ 明朝" w:hint="eastAsia"/>
                <w:szCs w:val="21"/>
              </w:rPr>
              <w:t>臨時情報</w:t>
            </w:r>
          </w:p>
        </w:tc>
        <w:tc>
          <w:tcPr>
            <w:tcW w:w="7334" w:type="dxa"/>
            <w:tcBorders>
              <w:bottom w:val="single" w:sz="4" w:space="0" w:color="auto"/>
            </w:tcBorders>
            <w:shd w:val="clear" w:color="auto" w:fill="BFBFBF"/>
          </w:tcPr>
          <w:p w14:paraId="4EC73ED7" w14:textId="77777777" w:rsidR="007650CC" w:rsidRPr="00E0548A" w:rsidRDefault="007650CC" w:rsidP="008C78D9">
            <w:pPr>
              <w:jc w:val="center"/>
              <w:rPr>
                <w:rFonts w:ascii="ＭＳ 明朝" w:hAnsi="ＭＳ 明朝"/>
                <w:szCs w:val="21"/>
              </w:rPr>
            </w:pPr>
            <w:r w:rsidRPr="00E0548A">
              <w:rPr>
                <w:rFonts w:ascii="ＭＳ 明朝" w:hAnsi="ＭＳ 明朝" w:hint="eastAsia"/>
                <w:szCs w:val="21"/>
              </w:rPr>
              <w:t>主な応急対策業務</w:t>
            </w:r>
          </w:p>
        </w:tc>
      </w:tr>
      <w:tr w:rsidR="00E0548A" w:rsidRPr="00E0548A" w14:paraId="551188C3" w14:textId="77777777" w:rsidTr="008C78D9">
        <w:trPr>
          <w:jc w:val="center"/>
        </w:trPr>
        <w:tc>
          <w:tcPr>
            <w:tcW w:w="1500" w:type="dxa"/>
          </w:tcPr>
          <w:p w14:paraId="6359CD68" w14:textId="77777777" w:rsidR="007650CC" w:rsidRPr="00E0548A" w:rsidRDefault="007650CC" w:rsidP="008C78D9">
            <w:pPr>
              <w:rPr>
                <w:rFonts w:ascii="ＭＳ 明朝" w:hAnsi="ＭＳ 明朝"/>
                <w:szCs w:val="21"/>
              </w:rPr>
            </w:pPr>
            <w:r w:rsidRPr="00E0548A">
              <w:rPr>
                <w:rFonts w:ascii="ＭＳ 明朝" w:hAnsi="ＭＳ 明朝" w:hint="eastAsia"/>
                <w:szCs w:val="21"/>
              </w:rPr>
              <w:t>巨大地震注意</w:t>
            </w:r>
          </w:p>
        </w:tc>
        <w:tc>
          <w:tcPr>
            <w:tcW w:w="7334" w:type="dxa"/>
          </w:tcPr>
          <w:p w14:paraId="70C4809B" w14:textId="77777777" w:rsidR="00CA5F03" w:rsidRPr="00E0548A" w:rsidRDefault="00CA5F03" w:rsidP="00CA5F03">
            <w:pPr>
              <w:rPr>
                <w:rFonts w:ascii="ＭＳ 明朝" w:hAnsi="ＭＳ 明朝"/>
              </w:rPr>
            </w:pPr>
            <w:r w:rsidRPr="00E0548A">
              <w:rPr>
                <w:rFonts w:ascii="ＭＳ 明朝" w:hAnsi="ＭＳ 明朝" w:hint="eastAsia"/>
              </w:rPr>
              <w:t>○地震発災に備えた情報連絡体制の維持</w:t>
            </w:r>
          </w:p>
          <w:p w14:paraId="3D86B5CA" w14:textId="77777777" w:rsidR="00CA5F03" w:rsidRPr="00E0548A" w:rsidRDefault="00CA5F03" w:rsidP="00CA5F03">
            <w:pPr>
              <w:rPr>
                <w:rFonts w:ascii="ＭＳ 明朝" w:hAnsi="ＭＳ 明朝"/>
              </w:rPr>
            </w:pPr>
            <w:r w:rsidRPr="00E0548A">
              <w:rPr>
                <w:rFonts w:ascii="ＭＳ 明朝" w:hAnsi="ＭＳ 明朝" w:hint="eastAsia"/>
              </w:rPr>
              <w:t>○初動マニュアル等の確認</w:t>
            </w:r>
          </w:p>
          <w:p w14:paraId="73F8ED68" w14:textId="77777777" w:rsidR="00CA5F03" w:rsidRPr="00E0548A" w:rsidRDefault="00CA5F03" w:rsidP="00CA5F03">
            <w:pPr>
              <w:rPr>
                <w:rFonts w:ascii="ＭＳ 明朝" w:hAnsi="ＭＳ 明朝"/>
              </w:rPr>
            </w:pPr>
            <w:r w:rsidRPr="00E0548A">
              <w:rPr>
                <w:rFonts w:ascii="ＭＳ 明朝" w:hAnsi="ＭＳ 明朝" w:hint="eastAsia"/>
              </w:rPr>
              <w:t>○職員との連絡体制等防災体制の確認</w:t>
            </w:r>
          </w:p>
          <w:p w14:paraId="2FB8A59E" w14:textId="77777777" w:rsidR="00CA5F03" w:rsidRPr="00E0548A" w:rsidRDefault="00CA5F03" w:rsidP="00CA5F03">
            <w:pPr>
              <w:rPr>
                <w:rFonts w:ascii="ＭＳ 明朝" w:hAnsi="ＭＳ 明朝"/>
              </w:rPr>
            </w:pPr>
            <w:r w:rsidRPr="00E0548A">
              <w:rPr>
                <w:rFonts w:ascii="ＭＳ 明朝" w:hAnsi="ＭＳ 明朝" w:hint="eastAsia"/>
              </w:rPr>
              <w:t>○津波防御施設（水門・鉄扉等）、防災上重要な施設の確認・点検</w:t>
            </w:r>
          </w:p>
          <w:p w14:paraId="59B67B88" w14:textId="77777777" w:rsidR="00CA5F03" w:rsidRPr="00E0548A" w:rsidRDefault="00CA5F03" w:rsidP="00CA5F03">
            <w:pPr>
              <w:rPr>
                <w:rFonts w:ascii="ＭＳ 明朝" w:hAnsi="ＭＳ 明朝"/>
              </w:rPr>
            </w:pPr>
            <w:r w:rsidRPr="00E0548A">
              <w:rPr>
                <w:rFonts w:ascii="ＭＳ 明朝" w:hAnsi="ＭＳ 明朝" w:hint="eastAsia"/>
              </w:rPr>
              <w:t>○庁内関係部局及び関係機関（国、沿岸市町等）との連絡調整</w:t>
            </w:r>
          </w:p>
          <w:p w14:paraId="48AE0824" w14:textId="77777777" w:rsidR="00CA5F03" w:rsidRPr="00E0548A" w:rsidRDefault="00CA5F03" w:rsidP="00CA5F03">
            <w:pPr>
              <w:rPr>
                <w:rFonts w:ascii="ＭＳ 明朝" w:hAnsi="ＭＳ 明朝"/>
              </w:rPr>
            </w:pPr>
            <w:r w:rsidRPr="00E0548A">
              <w:rPr>
                <w:rFonts w:ascii="ＭＳ 明朝" w:hAnsi="ＭＳ 明朝" w:hint="eastAsia"/>
              </w:rPr>
              <w:t>○発注工事現場の安全確保</w:t>
            </w:r>
          </w:p>
          <w:p w14:paraId="577B30F5" w14:textId="77777777" w:rsidR="00CA5F03" w:rsidRPr="00E0548A" w:rsidRDefault="00CA5F03" w:rsidP="00CA5F03">
            <w:pPr>
              <w:rPr>
                <w:rFonts w:ascii="ＭＳ 明朝" w:hAnsi="ＭＳ 明朝"/>
              </w:rPr>
            </w:pPr>
            <w:r w:rsidRPr="00E0548A">
              <w:rPr>
                <w:rFonts w:ascii="ＭＳ 明朝" w:hAnsi="ＭＳ 明朝" w:hint="eastAsia"/>
              </w:rPr>
              <w:t>○公用車の給油、資機材等の確認</w:t>
            </w:r>
          </w:p>
          <w:p w14:paraId="7A3B6EAB" w14:textId="2C1205B7" w:rsidR="007650CC" w:rsidRPr="00E0548A" w:rsidRDefault="00CA5F03" w:rsidP="00CA5F03">
            <w:pPr>
              <w:rPr>
                <w:rFonts w:ascii="ＭＳ 明朝" w:hAnsi="ＭＳ 明朝"/>
                <w:szCs w:val="21"/>
              </w:rPr>
            </w:pPr>
            <w:r w:rsidRPr="00E0548A">
              <w:rPr>
                <w:rFonts w:ascii="ＭＳ 明朝" w:hAnsi="ＭＳ 明朝" w:hint="eastAsia"/>
              </w:rPr>
              <w:t>○港湾利用者等への注意喚起と備えの再確認</w:t>
            </w:r>
          </w:p>
        </w:tc>
      </w:tr>
    </w:tbl>
    <w:p w14:paraId="1CB87762" w14:textId="77777777" w:rsidR="007650CC" w:rsidRPr="00E0548A" w:rsidRDefault="007650CC" w:rsidP="007650CC">
      <w:pPr>
        <w:rPr>
          <w:rFonts w:ascii="ＭＳ 明朝" w:hAnsi="ＭＳ 明朝"/>
          <w:szCs w:val="21"/>
        </w:rPr>
      </w:pPr>
    </w:p>
    <w:p w14:paraId="3F04113C" w14:textId="77777777" w:rsidR="00BD6692" w:rsidRPr="00E0548A" w:rsidRDefault="00BD6692" w:rsidP="00BD6692">
      <w:pPr>
        <w:ind w:firstLineChars="100" w:firstLine="211"/>
        <w:rPr>
          <w:rFonts w:ascii="ＭＳ 明朝" w:hAnsi="ＭＳ 明朝"/>
          <w:szCs w:val="21"/>
        </w:rPr>
      </w:pPr>
      <w:r w:rsidRPr="00E0548A">
        <w:rPr>
          <w:rFonts w:ascii="ＭＳ 明朝" w:hAnsi="ＭＳ 明朝" w:hint="eastAsia"/>
          <w:szCs w:val="21"/>
        </w:rPr>
        <w:t>なお、南海トラフ地震臨時情報（巨大地震警戒及び注意）発表時の主な所管施設等については、前述する＜災害発生時＞に記載する内容と同様。</w:t>
      </w:r>
    </w:p>
    <w:p w14:paraId="6135A5AC" w14:textId="77777777" w:rsidR="008B4B2B" w:rsidRPr="00E0548A" w:rsidRDefault="008B4B2B" w:rsidP="008B4B2B">
      <w:pPr>
        <w:rPr>
          <w:rFonts w:ascii="ＭＳ 明朝" w:hAnsi="ＭＳ 明朝"/>
          <w:szCs w:val="21"/>
        </w:rPr>
      </w:pPr>
    </w:p>
    <w:p w14:paraId="6221B058" w14:textId="6BDB2A70" w:rsidR="00D93C38" w:rsidRPr="00E0548A" w:rsidRDefault="00D93C38">
      <w:pPr>
        <w:widowControl/>
        <w:jc w:val="left"/>
        <w:rPr>
          <w:rFonts w:ascii="ＭＳ 明朝" w:hAnsi="ＭＳ 明朝"/>
          <w:szCs w:val="21"/>
        </w:rPr>
      </w:pPr>
      <w:r w:rsidRPr="00E0548A">
        <w:rPr>
          <w:rFonts w:ascii="ＭＳ 明朝" w:hAnsi="ＭＳ 明朝"/>
          <w:szCs w:val="21"/>
        </w:rPr>
        <w:br w:type="page"/>
      </w:r>
    </w:p>
    <w:p w14:paraId="735C7EF6" w14:textId="77DD0E94" w:rsidR="008B4B2B" w:rsidRPr="00E0548A" w:rsidRDefault="008372F9" w:rsidP="008B4B2B">
      <w:pPr>
        <w:rPr>
          <w:rFonts w:ascii="ＭＳ ゴシック" w:eastAsia="ＭＳ ゴシック" w:hAnsi="ＭＳ ゴシック"/>
          <w:szCs w:val="21"/>
        </w:rPr>
      </w:pPr>
      <w:r w:rsidRPr="00E0548A">
        <w:rPr>
          <w:rFonts w:ascii="ＭＳ ゴシック" w:eastAsia="ＭＳ ゴシック" w:hAnsi="ＭＳ ゴシック" w:hint="eastAsia"/>
          <w:szCs w:val="21"/>
        </w:rPr>
        <w:lastRenderedPageBreak/>
        <w:t>⑮</w:t>
      </w:r>
      <w:r w:rsidR="008B4B2B" w:rsidRPr="00E0548A">
        <w:rPr>
          <w:rFonts w:ascii="ＭＳ ゴシック" w:eastAsia="ＭＳ ゴシック" w:hAnsi="ＭＳ ゴシック" w:hint="eastAsia"/>
          <w:szCs w:val="21"/>
        </w:rPr>
        <w:t>会計局</w:t>
      </w:r>
    </w:p>
    <w:p w14:paraId="6BE6A360" w14:textId="77777777" w:rsidR="002C01FF" w:rsidRPr="00E0548A" w:rsidRDefault="002C01FF" w:rsidP="002C01FF">
      <w:pPr>
        <w:pStyle w:val="af4"/>
        <w:ind w:leftChars="0" w:left="0"/>
        <w:rPr>
          <w:rFonts w:ascii="ＭＳ ゴシック" w:eastAsia="ＭＳ ゴシック" w:hAnsi="ＭＳ ゴシック"/>
          <w:szCs w:val="21"/>
        </w:rPr>
      </w:pPr>
      <w:r w:rsidRPr="00E0548A">
        <w:rPr>
          <w:rFonts w:ascii="ＭＳ ゴシック" w:eastAsia="ＭＳ ゴシック" w:hAnsi="ＭＳ ゴシック" w:hint="eastAsia"/>
          <w:szCs w:val="21"/>
        </w:rPr>
        <w:t>＜災害発生時＞</w:t>
      </w:r>
    </w:p>
    <w:tbl>
      <w:tblPr>
        <w:tblpPr w:leftFromText="142" w:rightFromText="142" w:vertAnchor="text" w:tblpXSpec="center" w:tblpY="1"/>
        <w:tblOverlap w:val="neve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26"/>
        <w:gridCol w:w="7176"/>
      </w:tblGrid>
      <w:tr w:rsidR="00E0548A" w:rsidRPr="00E0548A" w14:paraId="3EB42DAA" w14:textId="77777777" w:rsidTr="008B4B2B">
        <w:trPr>
          <w:jc w:val="center"/>
        </w:trPr>
        <w:tc>
          <w:tcPr>
            <w:tcW w:w="1526" w:type="dxa"/>
            <w:shd w:val="clear" w:color="auto" w:fill="BFBFBF"/>
          </w:tcPr>
          <w:p w14:paraId="3E7FAAEA" w14:textId="77777777" w:rsidR="008B4B2B" w:rsidRPr="00E0548A" w:rsidRDefault="008B4B2B" w:rsidP="008B4B2B">
            <w:pPr>
              <w:jc w:val="center"/>
              <w:rPr>
                <w:rFonts w:ascii="ＭＳ 明朝" w:hAnsi="ＭＳ 明朝"/>
                <w:szCs w:val="21"/>
              </w:rPr>
            </w:pPr>
            <w:r w:rsidRPr="00E0548A">
              <w:rPr>
                <w:rFonts w:ascii="ＭＳ 明朝" w:hAnsi="ＭＳ 明朝" w:hint="eastAsia"/>
                <w:szCs w:val="21"/>
              </w:rPr>
              <w:t>フェーズ</w:t>
            </w:r>
          </w:p>
        </w:tc>
        <w:tc>
          <w:tcPr>
            <w:tcW w:w="7176" w:type="dxa"/>
            <w:shd w:val="clear" w:color="auto" w:fill="BFBFBF"/>
          </w:tcPr>
          <w:p w14:paraId="42CC9D1D" w14:textId="77777777" w:rsidR="008B4B2B" w:rsidRPr="00E0548A" w:rsidRDefault="008B4B2B" w:rsidP="008B4B2B">
            <w:pPr>
              <w:jc w:val="center"/>
              <w:rPr>
                <w:rFonts w:ascii="ＭＳ 明朝" w:hAnsi="ＭＳ 明朝"/>
                <w:szCs w:val="21"/>
              </w:rPr>
            </w:pPr>
            <w:r w:rsidRPr="00E0548A">
              <w:rPr>
                <w:rFonts w:ascii="ＭＳ 明朝" w:hAnsi="ＭＳ 明朝" w:hint="eastAsia"/>
                <w:szCs w:val="21"/>
              </w:rPr>
              <w:t>主な応急対策業務</w:t>
            </w:r>
          </w:p>
        </w:tc>
      </w:tr>
      <w:tr w:rsidR="00E0548A" w:rsidRPr="00E0548A" w14:paraId="716841F9" w14:textId="77777777" w:rsidTr="008B4B2B">
        <w:trPr>
          <w:jc w:val="center"/>
        </w:trPr>
        <w:tc>
          <w:tcPr>
            <w:tcW w:w="1526" w:type="dxa"/>
          </w:tcPr>
          <w:p w14:paraId="21489B37" w14:textId="77777777" w:rsidR="008B4B2B" w:rsidRPr="00E0548A" w:rsidRDefault="008B4B2B" w:rsidP="008B4B2B">
            <w:pPr>
              <w:rPr>
                <w:rFonts w:ascii="ＭＳ 明朝" w:hAnsi="ＭＳ 明朝"/>
                <w:szCs w:val="21"/>
              </w:rPr>
            </w:pPr>
            <w:r w:rsidRPr="00E0548A">
              <w:rPr>
                <w:rFonts w:ascii="ＭＳ 明朝" w:hAnsi="ＭＳ 明朝" w:hint="eastAsia"/>
                <w:szCs w:val="21"/>
              </w:rPr>
              <w:t>第1フェーズ</w:t>
            </w:r>
          </w:p>
          <w:p w14:paraId="79775941" w14:textId="77777777" w:rsidR="008B4B2B" w:rsidRPr="00E0548A" w:rsidRDefault="008B4B2B" w:rsidP="008B4B2B">
            <w:pPr>
              <w:rPr>
                <w:rFonts w:ascii="ＭＳ 明朝" w:hAnsi="ＭＳ 明朝"/>
                <w:szCs w:val="21"/>
              </w:rPr>
            </w:pPr>
            <w:r w:rsidRPr="00E0548A">
              <w:rPr>
                <w:rFonts w:ascii="ＭＳ 明朝" w:hAnsi="ＭＳ 明朝" w:hint="eastAsia"/>
                <w:szCs w:val="21"/>
              </w:rPr>
              <w:t>(3時間まで)</w:t>
            </w:r>
          </w:p>
          <w:p w14:paraId="72A80F5E" w14:textId="77777777" w:rsidR="008B4B2B" w:rsidRPr="00E0548A" w:rsidRDefault="008B4B2B" w:rsidP="008B4B2B">
            <w:pPr>
              <w:rPr>
                <w:rFonts w:ascii="ＭＳ 明朝" w:hAnsi="ＭＳ 明朝"/>
                <w:szCs w:val="21"/>
              </w:rPr>
            </w:pPr>
          </w:p>
        </w:tc>
        <w:tc>
          <w:tcPr>
            <w:tcW w:w="7176" w:type="dxa"/>
          </w:tcPr>
          <w:p w14:paraId="3462739F" w14:textId="77777777" w:rsidR="008B4B2B" w:rsidRPr="00E0548A" w:rsidRDefault="008B4B2B" w:rsidP="008B4B2B">
            <w:pPr>
              <w:rPr>
                <w:rFonts w:ascii="ＭＳ 明朝" w:hAnsi="ＭＳ 明朝"/>
                <w:szCs w:val="21"/>
              </w:rPr>
            </w:pPr>
            <w:r w:rsidRPr="00E0548A">
              <w:rPr>
                <w:rFonts w:ascii="ＭＳ 明朝" w:hAnsi="ＭＳ 明朝" w:hint="eastAsia"/>
                <w:szCs w:val="21"/>
              </w:rPr>
              <w:t>○初動対応、体制の確立</w:t>
            </w:r>
          </w:p>
          <w:p w14:paraId="3FFA78F2" w14:textId="77777777" w:rsidR="008B4B2B" w:rsidRPr="00E0548A" w:rsidRDefault="008B4B2B" w:rsidP="008B4B2B">
            <w:pPr>
              <w:rPr>
                <w:rFonts w:ascii="ＭＳ 明朝" w:hAnsi="ＭＳ 明朝"/>
                <w:szCs w:val="21"/>
              </w:rPr>
            </w:pPr>
            <w:r w:rsidRPr="00E0548A">
              <w:rPr>
                <w:rFonts w:ascii="ＭＳ 明朝" w:hAnsi="ＭＳ 明朝" w:hint="eastAsia"/>
                <w:szCs w:val="21"/>
              </w:rPr>
              <w:t>○局内職員の安否確認と参集状況の把握、報告【会計総務】</w:t>
            </w:r>
          </w:p>
          <w:p w14:paraId="06FEC21F" w14:textId="77777777" w:rsidR="008B4B2B" w:rsidRPr="00E0548A" w:rsidRDefault="008B4B2B" w:rsidP="008B4B2B">
            <w:pPr>
              <w:rPr>
                <w:rFonts w:ascii="ＭＳ 明朝" w:hAnsi="ＭＳ 明朝"/>
                <w:szCs w:val="21"/>
              </w:rPr>
            </w:pPr>
            <w:r w:rsidRPr="00E0548A">
              <w:rPr>
                <w:rFonts w:ascii="ＭＳ 明朝" w:hAnsi="ＭＳ 明朝" w:hint="eastAsia"/>
                <w:szCs w:val="21"/>
              </w:rPr>
              <w:t>○局内及び関係機関からの情報収集及び連絡調整【会計総務】</w:t>
            </w:r>
          </w:p>
          <w:p w14:paraId="7669C971" w14:textId="77777777" w:rsidR="008B4B2B" w:rsidRPr="00E0548A" w:rsidRDefault="008B4B2B" w:rsidP="008B4B2B">
            <w:pPr>
              <w:rPr>
                <w:rFonts w:ascii="ＭＳ 明朝" w:hAnsi="ＭＳ 明朝"/>
                <w:szCs w:val="21"/>
              </w:rPr>
            </w:pPr>
            <w:r w:rsidRPr="00E0548A">
              <w:rPr>
                <w:rFonts w:ascii="ＭＳ 明朝" w:hAnsi="ＭＳ 明朝" w:hint="eastAsia"/>
                <w:szCs w:val="21"/>
              </w:rPr>
              <w:t>○財務会計（府費）システムの稼働状況確認・復旧等【会計総務】</w:t>
            </w:r>
          </w:p>
          <w:p w14:paraId="5361FE5E" w14:textId="77777777" w:rsidR="008B4B2B" w:rsidRPr="00E0548A" w:rsidRDefault="008B4B2B" w:rsidP="008B4B2B">
            <w:pPr>
              <w:rPr>
                <w:rFonts w:ascii="ＭＳ 明朝" w:hAnsi="ＭＳ 明朝"/>
                <w:szCs w:val="21"/>
              </w:rPr>
            </w:pPr>
            <w:r w:rsidRPr="00E0548A">
              <w:rPr>
                <w:rFonts w:ascii="ＭＳ 明朝" w:hAnsi="ＭＳ 明朝" w:hint="eastAsia"/>
                <w:szCs w:val="21"/>
              </w:rPr>
              <w:t>○職員・来庁者の救助・搬送【各所属】</w:t>
            </w:r>
          </w:p>
        </w:tc>
      </w:tr>
      <w:tr w:rsidR="00E0548A" w:rsidRPr="00E0548A" w14:paraId="5391FF3C" w14:textId="77777777" w:rsidTr="008B4B2B">
        <w:trPr>
          <w:jc w:val="center"/>
        </w:trPr>
        <w:tc>
          <w:tcPr>
            <w:tcW w:w="1526" w:type="dxa"/>
          </w:tcPr>
          <w:p w14:paraId="47B7E7E4" w14:textId="77777777" w:rsidR="008B4B2B" w:rsidRPr="00E0548A" w:rsidRDefault="008B4B2B" w:rsidP="008B4B2B">
            <w:pPr>
              <w:rPr>
                <w:rFonts w:ascii="ＭＳ 明朝" w:hAnsi="ＭＳ 明朝"/>
                <w:szCs w:val="21"/>
              </w:rPr>
            </w:pPr>
            <w:r w:rsidRPr="00E0548A">
              <w:rPr>
                <w:rFonts w:ascii="ＭＳ 明朝" w:hAnsi="ＭＳ 明朝" w:hint="eastAsia"/>
                <w:szCs w:val="21"/>
              </w:rPr>
              <w:t>第2フェーズ</w:t>
            </w:r>
          </w:p>
          <w:p w14:paraId="7547E82C" w14:textId="77777777" w:rsidR="008B4B2B" w:rsidRPr="00E0548A" w:rsidRDefault="008B4B2B" w:rsidP="008B4B2B">
            <w:pPr>
              <w:rPr>
                <w:rFonts w:ascii="ＭＳ 明朝" w:hAnsi="ＭＳ 明朝"/>
                <w:szCs w:val="21"/>
              </w:rPr>
            </w:pPr>
            <w:r w:rsidRPr="00E0548A">
              <w:rPr>
                <w:rFonts w:ascii="ＭＳ 明朝" w:hAnsi="ＭＳ 明朝" w:hint="eastAsia"/>
                <w:szCs w:val="21"/>
              </w:rPr>
              <w:t>(24時間まで)</w:t>
            </w:r>
          </w:p>
        </w:tc>
        <w:tc>
          <w:tcPr>
            <w:tcW w:w="7176" w:type="dxa"/>
          </w:tcPr>
          <w:p w14:paraId="62A2D1B9" w14:textId="77777777" w:rsidR="008B4B2B" w:rsidRPr="00E0548A" w:rsidRDefault="008B4B2B" w:rsidP="008B4B2B">
            <w:pPr>
              <w:ind w:left="211" w:hangingChars="100" w:hanging="211"/>
              <w:rPr>
                <w:rFonts w:ascii="ＭＳ 明朝" w:hAnsi="ＭＳ 明朝"/>
                <w:szCs w:val="21"/>
              </w:rPr>
            </w:pPr>
            <w:r w:rsidRPr="00E0548A">
              <w:rPr>
                <w:rFonts w:ascii="ＭＳ 明朝" w:hAnsi="ＭＳ 明朝" w:hint="eastAsia"/>
                <w:szCs w:val="21"/>
              </w:rPr>
              <w:t>○所管施設の被害状況の把握【会計総務】、報告及び二次災害防止対策の実施</w:t>
            </w:r>
          </w:p>
          <w:p w14:paraId="1B549C39" w14:textId="77777777" w:rsidR="008B4B2B" w:rsidRPr="00E0548A" w:rsidRDefault="008B4B2B" w:rsidP="008B4B2B">
            <w:pPr>
              <w:rPr>
                <w:rFonts w:ascii="ＭＳ 明朝" w:hAnsi="ＭＳ 明朝"/>
                <w:szCs w:val="21"/>
              </w:rPr>
            </w:pPr>
            <w:r w:rsidRPr="00E0548A">
              <w:rPr>
                <w:rFonts w:ascii="ＭＳ 明朝" w:hAnsi="ＭＳ 明朝" w:hint="eastAsia"/>
                <w:szCs w:val="21"/>
              </w:rPr>
              <w:t>○指定（収納）代理金融機関との連絡調整・被災状況の把握【会計総務】</w:t>
            </w:r>
          </w:p>
          <w:p w14:paraId="17F9ED68" w14:textId="77777777" w:rsidR="008B4B2B" w:rsidRPr="00E0548A" w:rsidRDefault="008B4B2B" w:rsidP="008B4B2B">
            <w:pPr>
              <w:rPr>
                <w:rFonts w:ascii="ＭＳ 明朝" w:hAnsi="ＭＳ 明朝"/>
                <w:szCs w:val="21"/>
              </w:rPr>
            </w:pPr>
            <w:r w:rsidRPr="00E0548A">
              <w:rPr>
                <w:rFonts w:ascii="ＭＳ 明朝" w:hAnsi="ＭＳ 明朝" w:hint="eastAsia"/>
                <w:szCs w:val="21"/>
              </w:rPr>
              <w:t>○官庁会計（国費）システムの動作環境の確保等【会計総務】</w:t>
            </w:r>
          </w:p>
          <w:p w14:paraId="6A15792F" w14:textId="77777777" w:rsidR="008B4B2B" w:rsidRPr="00E0548A" w:rsidRDefault="008B4B2B" w:rsidP="008B4B2B">
            <w:pPr>
              <w:rPr>
                <w:rFonts w:ascii="ＭＳ 明朝" w:hAnsi="ＭＳ 明朝"/>
                <w:szCs w:val="21"/>
              </w:rPr>
            </w:pPr>
            <w:r w:rsidRPr="00E0548A">
              <w:rPr>
                <w:rFonts w:ascii="ＭＳ 明朝" w:hAnsi="ＭＳ 明朝" w:hint="eastAsia"/>
                <w:szCs w:val="21"/>
              </w:rPr>
              <w:t>○府費の支払（緊急を要するもの）に関すること【会計総務】</w:t>
            </w:r>
          </w:p>
          <w:p w14:paraId="54D6E813" w14:textId="77777777" w:rsidR="008B4B2B" w:rsidRPr="00E0548A" w:rsidRDefault="008B4B2B" w:rsidP="008B4B2B">
            <w:pPr>
              <w:rPr>
                <w:rFonts w:ascii="ＭＳ 明朝" w:hAnsi="ＭＳ 明朝"/>
                <w:szCs w:val="21"/>
              </w:rPr>
            </w:pPr>
            <w:r w:rsidRPr="00E0548A">
              <w:rPr>
                <w:rFonts w:ascii="ＭＳ 明朝" w:hAnsi="ＭＳ 明朝" w:hint="eastAsia"/>
                <w:szCs w:val="21"/>
              </w:rPr>
              <w:t>○小口支払基金の機関保有限度額の協議【会計指導】</w:t>
            </w:r>
          </w:p>
        </w:tc>
      </w:tr>
      <w:tr w:rsidR="00E0548A" w:rsidRPr="00E0548A" w14:paraId="2AD6EFF5" w14:textId="77777777" w:rsidTr="008B4B2B">
        <w:trPr>
          <w:jc w:val="center"/>
        </w:trPr>
        <w:tc>
          <w:tcPr>
            <w:tcW w:w="1526" w:type="dxa"/>
          </w:tcPr>
          <w:p w14:paraId="22F994F0" w14:textId="77777777" w:rsidR="008B4B2B" w:rsidRPr="00E0548A" w:rsidRDefault="008B4B2B" w:rsidP="008B4B2B">
            <w:pPr>
              <w:rPr>
                <w:rFonts w:ascii="ＭＳ 明朝" w:hAnsi="ＭＳ 明朝"/>
                <w:szCs w:val="21"/>
              </w:rPr>
            </w:pPr>
            <w:r w:rsidRPr="00E0548A">
              <w:rPr>
                <w:rFonts w:ascii="ＭＳ 明朝" w:hAnsi="ＭＳ 明朝" w:hint="eastAsia"/>
                <w:szCs w:val="21"/>
              </w:rPr>
              <w:t>第3フェーズ</w:t>
            </w:r>
          </w:p>
          <w:p w14:paraId="5BD3837E" w14:textId="77777777" w:rsidR="008B4B2B" w:rsidRPr="00E0548A" w:rsidRDefault="008B4B2B" w:rsidP="008B4B2B">
            <w:pPr>
              <w:rPr>
                <w:rFonts w:ascii="ＭＳ 明朝" w:hAnsi="ＭＳ 明朝"/>
                <w:szCs w:val="21"/>
              </w:rPr>
            </w:pPr>
            <w:r w:rsidRPr="00E0548A">
              <w:rPr>
                <w:rFonts w:ascii="ＭＳ 明朝" w:hAnsi="ＭＳ 明朝" w:hint="eastAsia"/>
                <w:szCs w:val="21"/>
              </w:rPr>
              <w:t>(72時間まで)</w:t>
            </w:r>
          </w:p>
        </w:tc>
        <w:tc>
          <w:tcPr>
            <w:tcW w:w="7176" w:type="dxa"/>
          </w:tcPr>
          <w:p w14:paraId="5C685D7A" w14:textId="77777777" w:rsidR="008B4B2B" w:rsidRPr="00E0548A" w:rsidRDefault="008B4B2B" w:rsidP="008B4B2B">
            <w:pPr>
              <w:rPr>
                <w:rFonts w:ascii="ＭＳ 明朝" w:hAnsi="ＭＳ 明朝"/>
                <w:strike/>
                <w:szCs w:val="21"/>
              </w:rPr>
            </w:pPr>
          </w:p>
        </w:tc>
      </w:tr>
      <w:tr w:rsidR="00E0548A" w:rsidRPr="00E0548A" w14:paraId="0C3DA1CA" w14:textId="77777777" w:rsidTr="008B4B2B">
        <w:trPr>
          <w:jc w:val="center"/>
        </w:trPr>
        <w:tc>
          <w:tcPr>
            <w:tcW w:w="1526" w:type="dxa"/>
          </w:tcPr>
          <w:p w14:paraId="12C04D4B" w14:textId="77777777" w:rsidR="008B4B2B" w:rsidRPr="00E0548A" w:rsidRDefault="008B4B2B" w:rsidP="008B4B2B">
            <w:pPr>
              <w:rPr>
                <w:rFonts w:ascii="ＭＳ 明朝" w:hAnsi="ＭＳ 明朝"/>
                <w:szCs w:val="21"/>
              </w:rPr>
            </w:pPr>
            <w:r w:rsidRPr="00E0548A">
              <w:rPr>
                <w:rFonts w:ascii="ＭＳ 明朝" w:hAnsi="ＭＳ 明朝" w:hint="eastAsia"/>
                <w:szCs w:val="21"/>
              </w:rPr>
              <w:t>第4フェーズ</w:t>
            </w:r>
          </w:p>
          <w:p w14:paraId="7661EE11" w14:textId="77777777" w:rsidR="008B4B2B" w:rsidRPr="00E0548A" w:rsidRDefault="008B4B2B" w:rsidP="008B4B2B">
            <w:pPr>
              <w:rPr>
                <w:rFonts w:ascii="ＭＳ 明朝" w:hAnsi="ＭＳ 明朝"/>
                <w:szCs w:val="21"/>
              </w:rPr>
            </w:pPr>
            <w:r w:rsidRPr="00E0548A">
              <w:rPr>
                <w:rFonts w:ascii="ＭＳ 明朝" w:hAnsi="ＭＳ 明朝" w:hint="eastAsia"/>
                <w:szCs w:val="21"/>
              </w:rPr>
              <w:t>(1週間まで)</w:t>
            </w:r>
          </w:p>
        </w:tc>
        <w:tc>
          <w:tcPr>
            <w:tcW w:w="7176" w:type="dxa"/>
          </w:tcPr>
          <w:p w14:paraId="25F6E861" w14:textId="77777777" w:rsidR="008B4B2B" w:rsidRPr="00E0548A" w:rsidRDefault="008B4B2B" w:rsidP="008B4B2B">
            <w:pPr>
              <w:rPr>
                <w:rFonts w:ascii="ＭＳ 明朝" w:hAnsi="ＭＳ 明朝"/>
                <w:szCs w:val="21"/>
              </w:rPr>
            </w:pPr>
          </w:p>
        </w:tc>
      </w:tr>
      <w:tr w:rsidR="00E0548A" w:rsidRPr="00E0548A" w14:paraId="2C2FEA0C" w14:textId="77777777" w:rsidTr="008B4B2B">
        <w:trPr>
          <w:jc w:val="center"/>
        </w:trPr>
        <w:tc>
          <w:tcPr>
            <w:tcW w:w="1526" w:type="dxa"/>
          </w:tcPr>
          <w:p w14:paraId="33747FFA" w14:textId="77777777" w:rsidR="008B4B2B" w:rsidRPr="00E0548A" w:rsidRDefault="008B4B2B" w:rsidP="008B4B2B">
            <w:pPr>
              <w:rPr>
                <w:rFonts w:ascii="ＭＳ 明朝" w:hAnsi="ＭＳ 明朝"/>
                <w:szCs w:val="21"/>
              </w:rPr>
            </w:pPr>
            <w:r w:rsidRPr="00E0548A">
              <w:rPr>
                <w:rFonts w:ascii="ＭＳ 明朝" w:hAnsi="ＭＳ 明朝" w:hint="eastAsia"/>
                <w:szCs w:val="21"/>
              </w:rPr>
              <w:t>第5フェーズ</w:t>
            </w:r>
          </w:p>
          <w:p w14:paraId="175E5923" w14:textId="77777777" w:rsidR="008B4B2B" w:rsidRPr="00E0548A" w:rsidRDefault="008B4B2B" w:rsidP="008B4B2B">
            <w:pPr>
              <w:rPr>
                <w:rFonts w:ascii="ＭＳ 明朝" w:hAnsi="ＭＳ 明朝"/>
                <w:szCs w:val="21"/>
              </w:rPr>
            </w:pPr>
            <w:r w:rsidRPr="00E0548A">
              <w:rPr>
                <w:rFonts w:ascii="ＭＳ 明朝" w:hAnsi="ＭＳ 明朝" w:hint="eastAsia"/>
                <w:szCs w:val="21"/>
              </w:rPr>
              <w:t>(2週間まで)</w:t>
            </w:r>
          </w:p>
        </w:tc>
        <w:tc>
          <w:tcPr>
            <w:tcW w:w="7176" w:type="dxa"/>
          </w:tcPr>
          <w:p w14:paraId="198E59DA" w14:textId="77777777" w:rsidR="008B4B2B" w:rsidRPr="00E0548A" w:rsidRDefault="008B4B2B" w:rsidP="008B4B2B">
            <w:pPr>
              <w:rPr>
                <w:rFonts w:ascii="ＭＳ 明朝" w:hAnsi="ＭＳ 明朝"/>
                <w:szCs w:val="21"/>
              </w:rPr>
            </w:pPr>
            <w:r w:rsidRPr="00E0548A">
              <w:rPr>
                <w:rFonts w:ascii="ＭＳ 明朝" w:hAnsi="ＭＳ 明朝" w:hint="eastAsia"/>
                <w:szCs w:val="21"/>
              </w:rPr>
              <w:t>○被災所管施設の応急復旧（当該施設において応急的に業務を再開する</w:t>
            </w:r>
          </w:p>
          <w:p w14:paraId="0519B446" w14:textId="77777777" w:rsidR="008B4B2B" w:rsidRPr="00E0548A" w:rsidRDefault="008B4B2B" w:rsidP="008B4B2B">
            <w:pPr>
              <w:rPr>
                <w:rFonts w:ascii="ＭＳ 明朝" w:hAnsi="ＭＳ 明朝"/>
                <w:szCs w:val="21"/>
              </w:rPr>
            </w:pPr>
            <w:r w:rsidRPr="00E0548A">
              <w:rPr>
                <w:rFonts w:ascii="ＭＳ 明朝" w:hAnsi="ＭＳ 明朝" w:hint="eastAsia"/>
                <w:szCs w:val="21"/>
              </w:rPr>
              <w:t>ために実施する措置のことをいう。本格的な復旧作業の前段階。）開始</w:t>
            </w:r>
          </w:p>
          <w:p w14:paraId="46259E1F" w14:textId="77777777" w:rsidR="008B4B2B" w:rsidRPr="00E0548A" w:rsidRDefault="008B4B2B" w:rsidP="008B4B2B">
            <w:pPr>
              <w:rPr>
                <w:rFonts w:ascii="ＭＳ 明朝" w:hAnsi="ＭＳ 明朝"/>
                <w:szCs w:val="21"/>
              </w:rPr>
            </w:pPr>
            <w:r w:rsidRPr="00E0548A">
              <w:rPr>
                <w:rFonts w:ascii="ＭＳ 明朝" w:hAnsi="ＭＳ 明朝" w:hint="eastAsia"/>
                <w:szCs w:val="21"/>
              </w:rPr>
              <w:t>○各システムの定時運用【会計総務】</w:t>
            </w:r>
          </w:p>
        </w:tc>
      </w:tr>
      <w:tr w:rsidR="00E0548A" w:rsidRPr="00E0548A" w14:paraId="6DFB65E6" w14:textId="77777777" w:rsidTr="008B4B2B">
        <w:trPr>
          <w:jc w:val="center"/>
        </w:trPr>
        <w:tc>
          <w:tcPr>
            <w:tcW w:w="1526" w:type="dxa"/>
          </w:tcPr>
          <w:p w14:paraId="45329F95" w14:textId="77777777" w:rsidR="008B4B2B" w:rsidRPr="00E0548A" w:rsidRDefault="008B4B2B" w:rsidP="008B4B2B">
            <w:pPr>
              <w:rPr>
                <w:rFonts w:ascii="ＭＳ 明朝" w:hAnsi="ＭＳ 明朝"/>
                <w:szCs w:val="21"/>
              </w:rPr>
            </w:pPr>
            <w:r w:rsidRPr="00E0548A">
              <w:rPr>
                <w:rFonts w:ascii="ＭＳ 明朝" w:hAnsi="ＭＳ 明朝" w:hint="eastAsia"/>
                <w:szCs w:val="21"/>
              </w:rPr>
              <w:t>第6フェーズ</w:t>
            </w:r>
          </w:p>
          <w:p w14:paraId="4220ED12" w14:textId="77777777" w:rsidR="008B4B2B" w:rsidRPr="00E0548A" w:rsidRDefault="008B4B2B" w:rsidP="008B4B2B">
            <w:pPr>
              <w:rPr>
                <w:rFonts w:ascii="ＭＳ 明朝" w:hAnsi="ＭＳ 明朝"/>
                <w:szCs w:val="21"/>
              </w:rPr>
            </w:pPr>
            <w:r w:rsidRPr="00E0548A">
              <w:rPr>
                <w:rFonts w:ascii="ＭＳ 明朝" w:hAnsi="ＭＳ 明朝" w:hint="eastAsia"/>
                <w:szCs w:val="21"/>
              </w:rPr>
              <w:t>(1ヶ月まで)</w:t>
            </w:r>
          </w:p>
        </w:tc>
        <w:tc>
          <w:tcPr>
            <w:tcW w:w="7176" w:type="dxa"/>
          </w:tcPr>
          <w:p w14:paraId="0433B27F" w14:textId="77777777" w:rsidR="008B4B2B" w:rsidRPr="00E0548A" w:rsidRDefault="008B4B2B" w:rsidP="008B4B2B">
            <w:pPr>
              <w:rPr>
                <w:rFonts w:ascii="ＭＳ 明朝" w:hAnsi="ＭＳ 明朝"/>
                <w:szCs w:val="21"/>
              </w:rPr>
            </w:pPr>
            <w:r w:rsidRPr="00E0548A">
              <w:rPr>
                <w:rFonts w:ascii="ＭＳ 明朝" w:hAnsi="ＭＳ 明朝" w:hint="eastAsia"/>
                <w:szCs w:val="21"/>
              </w:rPr>
              <w:t>○被災所管施設の応急復旧</w:t>
            </w:r>
          </w:p>
          <w:p w14:paraId="4E535547" w14:textId="77777777" w:rsidR="008B4B2B" w:rsidRPr="00E0548A" w:rsidRDefault="008B4B2B" w:rsidP="008B4B2B">
            <w:pPr>
              <w:rPr>
                <w:rFonts w:ascii="ＭＳ 明朝" w:hAnsi="ＭＳ 明朝"/>
                <w:szCs w:val="21"/>
              </w:rPr>
            </w:pPr>
          </w:p>
        </w:tc>
      </w:tr>
    </w:tbl>
    <w:p w14:paraId="671F6DB7" w14:textId="45574884" w:rsidR="006F21D1" w:rsidRPr="00E0548A" w:rsidRDefault="006F21D1" w:rsidP="006F21D1">
      <w:pPr>
        <w:rPr>
          <w:rFonts w:ascii="ＭＳ ゴシック" w:eastAsia="ＭＳ ゴシック" w:hAnsi="ＭＳ ゴシック"/>
          <w:sz w:val="22"/>
          <w:szCs w:val="22"/>
        </w:rPr>
      </w:pPr>
      <w:r w:rsidRPr="00E0548A">
        <w:rPr>
          <w:rFonts w:ascii="ＭＳ 明朝" w:hAnsi="ＭＳ 明朝" w:hint="eastAsia"/>
          <w:szCs w:val="21"/>
        </w:rPr>
        <w:t>※主な所管施設：手数料収納窓口（本館・別館・咲洲庁舎）</w:t>
      </w:r>
    </w:p>
    <w:p w14:paraId="608111FA" w14:textId="77777777" w:rsidR="008B4B2B" w:rsidRPr="00E0548A" w:rsidRDefault="008B4B2B" w:rsidP="006F21D1">
      <w:pPr>
        <w:ind w:firstLineChars="300" w:firstLine="633"/>
        <w:rPr>
          <w:rFonts w:ascii="ＭＳ 明朝" w:hAnsi="ＭＳ 明朝"/>
          <w:szCs w:val="21"/>
        </w:rPr>
      </w:pPr>
      <w:r w:rsidRPr="00E0548A">
        <w:rPr>
          <w:rFonts w:ascii="ＭＳ 明朝" w:hAnsi="ＭＳ 明朝" w:hint="eastAsia"/>
          <w:szCs w:val="21"/>
        </w:rPr>
        <w:t>関係機関：指定金融機関</w:t>
      </w:r>
    </w:p>
    <w:p w14:paraId="529B938A" w14:textId="73CE3F6C" w:rsidR="008B4B2B" w:rsidRPr="00E0548A" w:rsidRDefault="008B4B2B" w:rsidP="008B4B2B">
      <w:pPr>
        <w:rPr>
          <w:rFonts w:ascii="ＭＳ 明朝" w:hAnsi="ＭＳ 明朝"/>
          <w:szCs w:val="21"/>
        </w:rPr>
      </w:pPr>
      <w:r w:rsidRPr="00E0548A">
        <w:rPr>
          <w:rFonts w:ascii="ＭＳ 明朝" w:hAnsi="ＭＳ 明朝" w:hint="eastAsia"/>
          <w:szCs w:val="21"/>
        </w:rPr>
        <w:t xml:space="preserve">   </w:t>
      </w:r>
      <w:r w:rsidR="006F21D1" w:rsidRPr="00E0548A">
        <w:rPr>
          <w:rFonts w:ascii="ＭＳ 明朝" w:hAnsi="ＭＳ 明朝"/>
          <w:szCs w:val="21"/>
        </w:rPr>
        <w:t xml:space="preserve">   </w:t>
      </w:r>
      <w:r w:rsidRPr="00E0548A">
        <w:rPr>
          <w:rFonts w:ascii="ＭＳ 明朝" w:hAnsi="ＭＳ 明朝" w:hint="eastAsia"/>
          <w:szCs w:val="21"/>
        </w:rPr>
        <w:t>システム：財務会計システム、官庁会計システム</w:t>
      </w:r>
    </w:p>
    <w:p w14:paraId="3577E84E" w14:textId="29195D44" w:rsidR="008B4B2B" w:rsidRPr="00E0548A" w:rsidRDefault="008B4B2B" w:rsidP="008B4B2B">
      <w:pPr>
        <w:rPr>
          <w:rFonts w:ascii="ＭＳ ゴシック" w:eastAsia="ＭＳ ゴシック" w:hAnsi="ＭＳ ゴシック"/>
          <w:sz w:val="22"/>
          <w:szCs w:val="22"/>
        </w:rPr>
      </w:pPr>
    </w:p>
    <w:p w14:paraId="4D1BC861" w14:textId="0BF1E737" w:rsidR="00D93C38" w:rsidRPr="00E0548A" w:rsidRDefault="00D93C38">
      <w:pPr>
        <w:widowControl/>
        <w:jc w:val="left"/>
        <w:rPr>
          <w:rFonts w:ascii="ＭＳ ゴシック" w:eastAsia="ＭＳ ゴシック" w:hAnsi="ＭＳ ゴシック"/>
          <w:sz w:val="22"/>
          <w:szCs w:val="22"/>
        </w:rPr>
      </w:pPr>
      <w:r w:rsidRPr="00E0548A">
        <w:rPr>
          <w:rFonts w:ascii="ＭＳ ゴシック" w:eastAsia="ＭＳ ゴシック" w:hAnsi="ＭＳ ゴシック"/>
          <w:sz w:val="22"/>
        </w:rPr>
        <w:br w:type="page"/>
      </w:r>
    </w:p>
    <w:p w14:paraId="046842C4" w14:textId="77777777" w:rsidR="007650CC" w:rsidRPr="00E0548A" w:rsidRDefault="007650CC" w:rsidP="007650CC">
      <w:pPr>
        <w:pStyle w:val="af4"/>
        <w:ind w:leftChars="0" w:left="0"/>
        <w:rPr>
          <w:rFonts w:ascii="ＭＳ ゴシック" w:eastAsia="ＭＳ ゴシック" w:hAnsi="ＭＳ ゴシック"/>
          <w:szCs w:val="21"/>
        </w:rPr>
      </w:pPr>
      <w:r w:rsidRPr="00E0548A">
        <w:rPr>
          <w:rFonts w:ascii="ＭＳ ゴシック" w:eastAsia="ＭＳ ゴシック" w:hAnsi="ＭＳ ゴシック" w:hint="eastAsia"/>
          <w:szCs w:val="21"/>
        </w:rPr>
        <w:lastRenderedPageBreak/>
        <w:t>＜南海トラフ地震臨時情報（巨大地震警戒）発表時＞</w:t>
      </w:r>
    </w:p>
    <w:tbl>
      <w:tblPr>
        <w:tblpPr w:leftFromText="142" w:rightFromText="142" w:vertAnchor="text" w:tblpXSpec="center" w:tblpY="1"/>
        <w:tblOverlap w:val="neve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00"/>
        <w:gridCol w:w="7334"/>
      </w:tblGrid>
      <w:tr w:rsidR="00E0548A" w:rsidRPr="00E0548A" w14:paraId="2A9E2865" w14:textId="77777777" w:rsidTr="008C78D9">
        <w:trPr>
          <w:jc w:val="center"/>
        </w:trPr>
        <w:tc>
          <w:tcPr>
            <w:tcW w:w="1500" w:type="dxa"/>
            <w:tcBorders>
              <w:bottom w:val="single" w:sz="4" w:space="0" w:color="auto"/>
            </w:tcBorders>
            <w:shd w:val="clear" w:color="auto" w:fill="BFBFBF"/>
          </w:tcPr>
          <w:p w14:paraId="2ED603D7" w14:textId="77777777" w:rsidR="007650CC" w:rsidRPr="00E0548A" w:rsidRDefault="007650CC" w:rsidP="008C78D9">
            <w:pPr>
              <w:jc w:val="center"/>
              <w:rPr>
                <w:rFonts w:ascii="ＭＳ 明朝" w:hAnsi="ＭＳ 明朝"/>
                <w:szCs w:val="21"/>
              </w:rPr>
            </w:pPr>
            <w:r w:rsidRPr="00E0548A">
              <w:rPr>
                <w:rFonts w:ascii="ＭＳ 明朝" w:hAnsi="ＭＳ 明朝" w:hint="eastAsia"/>
                <w:szCs w:val="21"/>
              </w:rPr>
              <w:t>臨時情報</w:t>
            </w:r>
          </w:p>
        </w:tc>
        <w:tc>
          <w:tcPr>
            <w:tcW w:w="7334" w:type="dxa"/>
            <w:tcBorders>
              <w:bottom w:val="single" w:sz="4" w:space="0" w:color="auto"/>
            </w:tcBorders>
            <w:shd w:val="clear" w:color="auto" w:fill="BFBFBF"/>
          </w:tcPr>
          <w:p w14:paraId="635E1024" w14:textId="77777777" w:rsidR="007650CC" w:rsidRPr="00E0548A" w:rsidRDefault="007650CC" w:rsidP="008C78D9">
            <w:pPr>
              <w:jc w:val="center"/>
              <w:rPr>
                <w:rFonts w:ascii="ＭＳ 明朝" w:hAnsi="ＭＳ 明朝"/>
                <w:szCs w:val="21"/>
              </w:rPr>
            </w:pPr>
            <w:r w:rsidRPr="00E0548A">
              <w:rPr>
                <w:rFonts w:ascii="ＭＳ 明朝" w:hAnsi="ＭＳ 明朝" w:hint="eastAsia"/>
                <w:szCs w:val="21"/>
              </w:rPr>
              <w:t>主な応急対策業務</w:t>
            </w:r>
          </w:p>
        </w:tc>
      </w:tr>
      <w:tr w:rsidR="00E0548A" w:rsidRPr="00E0548A" w14:paraId="3D07A1B6" w14:textId="77777777" w:rsidTr="008C78D9">
        <w:trPr>
          <w:jc w:val="center"/>
        </w:trPr>
        <w:tc>
          <w:tcPr>
            <w:tcW w:w="1500" w:type="dxa"/>
          </w:tcPr>
          <w:p w14:paraId="10807313" w14:textId="77777777" w:rsidR="007650CC" w:rsidRPr="00E0548A" w:rsidRDefault="007650CC" w:rsidP="008C78D9">
            <w:pPr>
              <w:rPr>
                <w:rFonts w:ascii="ＭＳ 明朝" w:hAnsi="ＭＳ 明朝"/>
                <w:szCs w:val="21"/>
              </w:rPr>
            </w:pPr>
            <w:r w:rsidRPr="00E0548A">
              <w:rPr>
                <w:rFonts w:ascii="ＭＳ 明朝" w:hAnsi="ＭＳ 明朝" w:hint="eastAsia"/>
                <w:szCs w:val="21"/>
              </w:rPr>
              <w:t>巨大地震警戒</w:t>
            </w:r>
          </w:p>
        </w:tc>
        <w:tc>
          <w:tcPr>
            <w:tcW w:w="7334" w:type="dxa"/>
          </w:tcPr>
          <w:p w14:paraId="3B0E7295" w14:textId="77777777" w:rsidR="006F21D1" w:rsidRPr="00E0548A" w:rsidRDefault="006F21D1" w:rsidP="006F21D1">
            <w:pPr>
              <w:rPr>
                <w:rFonts w:ascii="ＭＳ 明朝" w:hAnsi="ＭＳ 明朝"/>
              </w:rPr>
            </w:pPr>
            <w:r w:rsidRPr="00E0548A">
              <w:rPr>
                <w:rFonts w:ascii="ＭＳ 明朝" w:hAnsi="ＭＳ 明朝" w:hint="eastAsia"/>
              </w:rPr>
              <w:t>○地震発災後、応急対策業務（第１フェーズ）を速やかに実施できる準備</w:t>
            </w:r>
          </w:p>
          <w:p w14:paraId="344E8592" w14:textId="77777777" w:rsidR="006F21D1" w:rsidRPr="00E0548A" w:rsidRDefault="006F21D1" w:rsidP="006F21D1">
            <w:pPr>
              <w:ind w:firstLineChars="100" w:firstLine="211"/>
              <w:rPr>
                <w:rFonts w:ascii="ＭＳ 明朝" w:hAnsi="ＭＳ 明朝"/>
              </w:rPr>
            </w:pPr>
            <w:r w:rsidRPr="00E0548A">
              <w:rPr>
                <w:rFonts w:ascii="ＭＳ 明朝" w:hAnsi="ＭＳ 明朝" w:hint="eastAsia"/>
              </w:rPr>
              <w:t>体制を維持</w:t>
            </w:r>
          </w:p>
          <w:p w14:paraId="4366F88C" w14:textId="77777777" w:rsidR="006F21D1" w:rsidRPr="00E0548A" w:rsidRDefault="006F21D1" w:rsidP="006F21D1">
            <w:pPr>
              <w:rPr>
                <w:rFonts w:ascii="ＭＳ 明朝" w:hAnsi="ＭＳ 明朝"/>
              </w:rPr>
            </w:pPr>
            <w:r w:rsidRPr="00E0548A">
              <w:rPr>
                <w:rFonts w:ascii="ＭＳ 明朝" w:hAnsi="ＭＳ 明朝" w:hint="eastAsia"/>
              </w:rPr>
              <w:t>○局内及び関係機関からの情報収集・整理及び連絡調整【会計総務】</w:t>
            </w:r>
          </w:p>
          <w:p w14:paraId="6059E9C6" w14:textId="77777777" w:rsidR="006F21D1" w:rsidRPr="00E0548A" w:rsidRDefault="006F21D1" w:rsidP="006F21D1">
            <w:pPr>
              <w:rPr>
                <w:rFonts w:ascii="ＭＳ 明朝" w:hAnsi="ＭＳ 明朝"/>
              </w:rPr>
            </w:pPr>
            <w:r w:rsidRPr="00E0548A">
              <w:rPr>
                <w:rFonts w:ascii="ＭＳ 明朝" w:hAnsi="ＭＳ 明朝" w:hint="eastAsia"/>
              </w:rPr>
              <w:t>○所管施設との連絡調整・避難経路等の確認【会計総務】</w:t>
            </w:r>
          </w:p>
          <w:p w14:paraId="746A45BD" w14:textId="77777777" w:rsidR="006F21D1" w:rsidRPr="00E0548A" w:rsidRDefault="006F21D1" w:rsidP="006F21D1">
            <w:pPr>
              <w:rPr>
                <w:rFonts w:ascii="ＭＳ 明朝" w:hAnsi="ＭＳ 明朝"/>
              </w:rPr>
            </w:pPr>
            <w:r w:rsidRPr="00E0548A">
              <w:rPr>
                <w:rFonts w:ascii="ＭＳ 明朝" w:hAnsi="ＭＳ 明朝" w:hint="eastAsia"/>
              </w:rPr>
              <w:t>○関係機関との備え・連絡体制等の再確認【会計総務】</w:t>
            </w:r>
          </w:p>
          <w:p w14:paraId="2C026AAF" w14:textId="77777777" w:rsidR="006F21D1" w:rsidRPr="00E0548A" w:rsidRDefault="006F21D1" w:rsidP="006F21D1">
            <w:pPr>
              <w:rPr>
                <w:rFonts w:ascii="ＭＳ 明朝" w:hAnsi="ＭＳ 明朝"/>
              </w:rPr>
            </w:pPr>
            <w:r w:rsidRPr="00E0548A">
              <w:rPr>
                <w:rFonts w:ascii="ＭＳ 明朝" w:hAnsi="ＭＳ 明朝" w:hint="eastAsia"/>
              </w:rPr>
              <w:t>○財務会計（府費）システム及び官庁会計（国費）システムの運用方法の</w:t>
            </w:r>
          </w:p>
          <w:p w14:paraId="5B2F34C0" w14:textId="0046FF9D" w:rsidR="000C3CFA" w:rsidRPr="00E0548A" w:rsidRDefault="006F21D1" w:rsidP="006F21D1">
            <w:pPr>
              <w:rPr>
                <w:rFonts w:ascii="ＭＳ 明朝" w:hAnsi="ＭＳ 明朝"/>
                <w:szCs w:val="21"/>
              </w:rPr>
            </w:pPr>
            <w:r w:rsidRPr="00E0548A">
              <w:rPr>
                <w:rFonts w:ascii="ＭＳ 明朝" w:hAnsi="ＭＳ 明朝" w:hint="eastAsia"/>
              </w:rPr>
              <w:t>確認等【会計総務】</w:t>
            </w:r>
          </w:p>
        </w:tc>
      </w:tr>
    </w:tbl>
    <w:p w14:paraId="68D39589" w14:textId="77777777" w:rsidR="007650CC" w:rsidRPr="00E0548A" w:rsidRDefault="007650CC" w:rsidP="007650CC">
      <w:pPr>
        <w:rPr>
          <w:rFonts w:ascii="ＭＳ 明朝" w:hAnsi="ＭＳ 明朝"/>
          <w:szCs w:val="21"/>
        </w:rPr>
      </w:pPr>
      <w:r w:rsidRPr="00E0548A">
        <w:rPr>
          <w:rFonts w:ascii="ＭＳ 明朝" w:hAnsi="ＭＳ 明朝" w:hint="eastAsia"/>
          <w:szCs w:val="21"/>
        </w:rPr>
        <w:t>「南海トラフ地震臨時情報（巨大地震警戒）」が発表され、「巨大地震警戒対応期間」（１週間）が経過した際は、「巨大地震注意対応期間」へ移行。</w:t>
      </w:r>
    </w:p>
    <w:p w14:paraId="47756CB4" w14:textId="2EF8FF93" w:rsidR="007650CC" w:rsidRPr="00E0548A" w:rsidRDefault="007650CC" w:rsidP="007650CC">
      <w:pPr>
        <w:rPr>
          <w:rFonts w:ascii="ＭＳ 明朝" w:hAnsi="ＭＳ 明朝"/>
          <w:szCs w:val="21"/>
        </w:rPr>
      </w:pPr>
    </w:p>
    <w:p w14:paraId="1D6BB710" w14:textId="55F0EE96" w:rsidR="007650CC" w:rsidRPr="00E0548A" w:rsidRDefault="007650CC" w:rsidP="007650CC">
      <w:pPr>
        <w:pStyle w:val="af4"/>
        <w:ind w:leftChars="0" w:left="0"/>
        <w:rPr>
          <w:rFonts w:ascii="ＭＳ ゴシック" w:eastAsia="ＭＳ ゴシック" w:hAnsi="ＭＳ ゴシック"/>
          <w:szCs w:val="21"/>
        </w:rPr>
      </w:pPr>
      <w:r w:rsidRPr="00E0548A">
        <w:rPr>
          <w:rFonts w:ascii="ＭＳ ゴシック" w:eastAsia="ＭＳ ゴシック" w:hAnsi="ＭＳ ゴシック" w:hint="eastAsia"/>
          <w:szCs w:val="21"/>
        </w:rPr>
        <w:t>＜南海トラフ地震臨時情報（巨大地震注意）発表時</w:t>
      </w:r>
      <w:r w:rsidR="002F25B5" w:rsidRPr="00E0548A">
        <w:rPr>
          <w:rFonts w:ascii="ＭＳ ゴシック" w:eastAsia="ＭＳ ゴシック" w:hAnsi="ＭＳ ゴシック" w:hint="eastAsia"/>
          <w:szCs w:val="21"/>
        </w:rPr>
        <w:t>（</w:t>
      </w:r>
      <w:r w:rsidR="002F25B5" w:rsidRPr="00E0548A">
        <w:rPr>
          <w:rFonts w:ascii="ＭＳ 明朝" w:hAnsi="ＭＳ 明朝" w:hint="eastAsia"/>
          <w:szCs w:val="21"/>
        </w:rPr>
        <w:t>巨大地震警戒からの移行時を含む</w:t>
      </w:r>
      <w:r w:rsidR="002F25B5" w:rsidRPr="00E0548A">
        <w:rPr>
          <w:rFonts w:ascii="ＭＳ ゴシック" w:eastAsia="ＭＳ ゴシック" w:hAnsi="ＭＳ ゴシック" w:hint="eastAsia"/>
          <w:szCs w:val="21"/>
        </w:rPr>
        <w:t>）</w:t>
      </w:r>
      <w:r w:rsidRPr="00E0548A">
        <w:rPr>
          <w:rFonts w:ascii="ＭＳ ゴシック" w:eastAsia="ＭＳ ゴシック" w:hAnsi="ＭＳ ゴシック" w:hint="eastAsia"/>
          <w:szCs w:val="21"/>
        </w:rPr>
        <w:t>＞</w:t>
      </w:r>
    </w:p>
    <w:tbl>
      <w:tblPr>
        <w:tblpPr w:leftFromText="142" w:rightFromText="142" w:vertAnchor="text" w:tblpXSpec="center" w:tblpY="1"/>
        <w:tblOverlap w:val="neve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00"/>
        <w:gridCol w:w="7334"/>
      </w:tblGrid>
      <w:tr w:rsidR="00E0548A" w:rsidRPr="00E0548A" w14:paraId="34825016" w14:textId="77777777" w:rsidTr="008C78D9">
        <w:trPr>
          <w:jc w:val="center"/>
        </w:trPr>
        <w:tc>
          <w:tcPr>
            <w:tcW w:w="1500" w:type="dxa"/>
            <w:tcBorders>
              <w:bottom w:val="single" w:sz="4" w:space="0" w:color="auto"/>
            </w:tcBorders>
            <w:shd w:val="clear" w:color="auto" w:fill="BFBFBF"/>
          </w:tcPr>
          <w:p w14:paraId="485AB050" w14:textId="77777777" w:rsidR="007650CC" w:rsidRPr="00E0548A" w:rsidRDefault="007650CC" w:rsidP="008C78D9">
            <w:pPr>
              <w:jc w:val="center"/>
              <w:rPr>
                <w:rFonts w:ascii="ＭＳ 明朝" w:hAnsi="ＭＳ 明朝"/>
                <w:szCs w:val="21"/>
              </w:rPr>
            </w:pPr>
            <w:r w:rsidRPr="00E0548A">
              <w:rPr>
                <w:rFonts w:ascii="ＭＳ 明朝" w:hAnsi="ＭＳ 明朝" w:hint="eastAsia"/>
                <w:szCs w:val="21"/>
              </w:rPr>
              <w:t>臨時情報</w:t>
            </w:r>
          </w:p>
        </w:tc>
        <w:tc>
          <w:tcPr>
            <w:tcW w:w="7334" w:type="dxa"/>
            <w:tcBorders>
              <w:bottom w:val="single" w:sz="4" w:space="0" w:color="auto"/>
            </w:tcBorders>
            <w:shd w:val="clear" w:color="auto" w:fill="BFBFBF"/>
          </w:tcPr>
          <w:p w14:paraId="5A2ABC2F" w14:textId="77777777" w:rsidR="007650CC" w:rsidRPr="00E0548A" w:rsidRDefault="007650CC" w:rsidP="008C78D9">
            <w:pPr>
              <w:jc w:val="center"/>
              <w:rPr>
                <w:rFonts w:ascii="ＭＳ 明朝" w:hAnsi="ＭＳ 明朝"/>
                <w:szCs w:val="21"/>
              </w:rPr>
            </w:pPr>
            <w:r w:rsidRPr="00E0548A">
              <w:rPr>
                <w:rFonts w:ascii="ＭＳ 明朝" w:hAnsi="ＭＳ 明朝" w:hint="eastAsia"/>
                <w:szCs w:val="21"/>
              </w:rPr>
              <w:t>主な応急対策業務</w:t>
            </w:r>
          </w:p>
        </w:tc>
      </w:tr>
      <w:tr w:rsidR="00E0548A" w:rsidRPr="00E0548A" w14:paraId="77922F59" w14:textId="77777777" w:rsidTr="008C78D9">
        <w:trPr>
          <w:jc w:val="center"/>
        </w:trPr>
        <w:tc>
          <w:tcPr>
            <w:tcW w:w="1500" w:type="dxa"/>
          </w:tcPr>
          <w:p w14:paraId="06471CE2" w14:textId="77777777" w:rsidR="007650CC" w:rsidRPr="00E0548A" w:rsidRDefault="007650CC" w:rsidP="008C78D9">
            <w:pPr>
              <w:rPr>
                <w:rFonts w:ascii="ＭＳ 明朝" w:hAnsi="ＭＳ 明朝"/>
                <w:szCs w:val="21"/>
              </w:rPr>
            </w:pPr>
            <w:r w:rsidRPr="00E0548A">
              <w:rPr>
                <w:rFonts w:ascii="ＭＳ 明朝" w:hAnsi="ＭＳ 明朝" w:hint="eastAsia"/>
                <w:szCs w:val="21"/>
              </w:rPr>
              <w:t>巨大地震注意</w:t>
            </w:r>
          </w:p>
        </w:tc>
        <w:tc>
          <w:tcPr>
            <w:tcW w:w="7334" w:type="dxa"/>
          </w:tcPr>
          <w:p w14:paraId="4F91E5E6" w14:textId="77777777" w:rsidR="006F21D1" w:rsidRPr="00E0548A" w:rsidRDefault="006F21D1" w:rsidP="006F21D1">
            <w:pPr>
              <w:rPr>
                <w:rFonts w:ascii="ＭＳ 明朝" w:hAnsi="ＭＳ 明朝"/>
              </w:rPr>
            </w:pPr>
            <w:r w:rsidRPr="00E0548A">
              <w:rPr>
                <w:rFonts w:ascii="ＭＳ 明朝" w:hAnsi="ＭＳ 明朝" w:hint="eastAsia"/>
              </w:rPr>
              <w:t>○地震発災に備えた情報連絡体制の維持</w:t>
            </w:r>
          </w:p>
          <w:p w14:paraId="2B2D8DA2" w14:textId="77777777" w:rsidR="006F21D1" w:rsidRPr="00E0548A" w:rsidRDefault="006F21D1" w:rsidP="006F21D1">
            <w:pPr>
              <w:rPr>
                <w:rFonts w:ascii="ＭＳ 明朝" w:hAnsi="ＭＳ 明朝"/>
              </w:rPr>
            </w:pPr>
            <w:r w:rsidRPr="00E0548A">
              <w:rPr>
                <w:rFonts w:ascii="ＭＳ 明朝" w:hAnsi="ＭＳ 明朝" w:hint="eastAsia"/>
              </w:rPr>
              <w:t>○局内及び関係機関からの情報収集・整理及び連絡調整【会計総務】</w:t>
            </w:r>
          </w:p>
          <w:p w14:paraId="0D9F5AF8" w14:textId="77777777" w:rsidR="006F21D1" w:rsidRPr="00E0548A" w:rsidRDefault="006F21D1" w:rsidP="006F21D1">
            <w:pPr>
              <w:rPr>
                <w:rFonts w:ascii="ＭＳ 明朝" w:hAnsi="ＭＳ 明朝"/>
              </w:rPr>
            </w:pPr>
            <w:r w:rsidRPr="00E0548A">
              <w:rPr>
                <w:rFonts w:ascii="ＭＳ 明朝" w:hAnsi="ＭＳ 明朝" w:hint="eastAsia"/>
              </w:rPr>
              <w:t>○所管施設との連絡調整・避難経路等の確認【会計総務】</w:t>
            </w:r>
          </w:p>
          <w:p w14:paraId="35718AC6" w14:textId="77777777" w:rsidR="006F21D1" w:rsidRPr="00E0548A" w:rsidRDefault="006F21D1" w:rsidP="006F21D1">
            <w:pPr>
              <w:rPr>
                <w:rFonts w:ascii="ＭＳ 明朝" w:hAnsi="ＭＳ 明朝"/>
              </w:rPr>
            </w:pPr>
            <w:r w:rsidRPr="00E0548A">
              <w:rPr>
                <w:rFonts w:ascii="ＭＳ 明朝" w:hAnsi="ＭＳ 明朝" w:hint="eastAsia"/>
              </w:rPr>
              <w:t>○関係機関との備え・連絡体制等の再確認【会計総務】</w:t>
            </w:r>
          </w:p>
          <w:p w14:paraId="5FE5ADFC" w14:textId="77777777" w:rsidR="006F21D1" w:rsidRPr="00E0548A" w:rsidRDefault="006F21D1" w:rsidP="006F21D1">
            <w:pPr>
              <w:rPr>
                <w:rFonts w:ascii="ＭＳ 明朝" w:hAnsi="ＭＳ 明朝"/>
              </w:rPr>
            </w:pPr>
            <w:r w:rsidRPr="00E0548A">
              <w:rPr>
                <w:rFonts w:ascii="ＭＳ 明朝" w:hAnsi="ＭＳ 明朝" w:hint="eastAsia"/>
              </w:rPr>
              <w:t>○財務会計（府費）システム及び官庁会計（国費）システムの運用方法の</w:t>
            </w:r>
          </w:p>
          <w:p w14:paraId="6507CEB7" w14:textId="4A985D3B" w:rsidR="00F4017A" w:rsidRPr="00E0548A" w:rsidRDefault="006F21D1" w:rsidP="006F21D1">
            <w:pPr>
              <w:rPr>
                <w:rFonts w:ascii="ＭＳ 明朝" w:hAnsi="ＭＳ 明朝"/>
                <w:szCs w:val="21"/>
              </w:rPr>
            </w:pPr>
            <w:r w:rsidRPr="00E0548A">
              <w:rPr>
                <w:rFonts w:ascii="ＭＳ 明朝" w:hAnsi="ＭＳ 明朝" w:hint="eastAsia"/>
              </w:rPr>
              <w:t>確認等【会計総務】</w:t>
            </w:r>
          </w:p>
        </w:tc>
      </w:tr>
    </w:tbl>
    <w:p w14:paraId="3E2F669D" w14:textId="77777777" w:rsidR="007650CC" w:rsidRPr="00E0548A" w:rsidRDefault="007650CC" w:rsidP="007650CC">
      <w:pPr>
        <w:rPr>
          <w:rFonts w:ascii="ＭＳ 明朝" w:hAnsi="ＭＳ 明朝"/>
          <w:szCs w:val="21"/>
        </w:rPr>
      </w:pPr>
    </w:p>
    <w:p w14:paraId="1A16052A" w14:textId="77777777" w:rsidR="00BD6692" w:rsidRPr="00E0548A" w:rsidRDefault="00BD6692" w:rsidP="00BD6692">
      <w:pPr>
        <w:ind w:firstLineChars="100" w:firstLine="211"/>
        <w:rPr>
          <w:rFonts w:ascii="ＭＳ 明朝" w:hAnsi="ＭＳ 明朝"/>
          <w:szCs w:val="21"/>
        </w:rPr>
      </w:pPr>
      <w:r w:rsidRPr="00E0548A">
        <w:rPr>
          <w:rFonts w:ascii="ＭＳ 明朝" w:hAnsi="ＭＳ 明朝" w:hint="eastAsia"/>
          <w:szCs w:val="21"/>
        </w:rPr>
        <w:t>なお、南海トラフ地震臨時情報（巨大地震警戒及び注意）発表時の主な所管施設等については、前述する＜災害発生時＞に記載する内容と同様。</w:t>
      </w:r>
    </w:p>
    <w:p w14:paraId="5417C3A3" w14:textId="77777777" w:rsidR="008B4B2B" w:rsidRPr="00E0548A" w:rsidRDefault="008B4B2B" w:rsidP="008B4B2B">
      <w:pPr>
        <w:rPr>
          <w:rFonts w:ascii="ＭＳ ゴシック" w:eastAsia="ＭＳ ゴシック" w:hAnsi="ＭＳ ゴシック"/>
          <w:szCs w:val="21"/>
        </w:rPr>
      </w:pPr>
    </w:p>
    <w:p w14:paraId="2EB9331C" w14:textId="736FC9DC" w:rsidR="00D93C38" w:rsidRPr="00E0548A" w:rsidRDefault="00D93C38">
      <w:pPr>
        <w:widowControl/>
        <w:jc w:val="left"/>
        <w:rPr>
          <w:rFonts w:ascii="ＭＳ ゴシック" w:eastAsia="ＭＳ ゴシック" w:hAnsi="ＭＳ ゴシック"/>
          <w:szCs w:val="21"/>
        </w:rPr>
      </w:pPr>
      <w:r w:rsidRPr="00E0548A">
        <w:rPr>
          <w:rFonts w:ascii="ＭＳ ゴシック" w:eastAsia="ＭＳ ゴシック" w:hAnsi="ＭＳ ゴシック"/>
          <w:szCs w:val="21"/>
        </w:rPr>
        <w:br w:type="page"/>
      </w:r>
    </w:p>
    <w:p w14:paraId="1DFD548D" w14:textId="7ED81B5D" w:rsidR="008B4B2B" w:rsidRPr="00E0548A" w:rsidRDefault="008372F9" w:rsidP="008B4B2B">
      <w:pPr>
        <w:rPr>
          <w:rFonts w:ascii="ＭＳ ゴシック" w:eastAsia="ＭＳ ゴシック" w:hAnsi="ＭＳ ゴシック"/>
          <w:szCs w:val="21"/>
        </w:rPr>
      </w:pPr>
      <w:r w:rsidRPr="00E0548A">
        <w:rPr>
          <w:rFonts w:ascii="ＭＳ ゴシック" w:eastAsia="ＭＳ ゴシック" w:hAnsi="ＭＳ ゴシック" w:hint="eastAsia"/>
          <w:szCs w:val="21"/>
        </w:rPr>
        <w:lastRenderedPageBreak/>
        <w:t>⑯</w:t>
      </w:r>
      <w:r w:rsidR="008B4B2B" w:rsidRPr="00E0548A">
        <w:rPr>
          <w:rFonts w:ascii="ＭＳ ゴシック" w:eastAsia="ＭＳ ゴシック" w:hAnsi="ＭＳ ゴシック" w:hint="eastAsia"/>
          <w:szCs w:val="21"/>
        </w:rPr>
        <w:t>教育庁</w:t>
      </w:r>
    </w:p>
    <w:p w14:paraId="1E9AD49A" w14:textId="77777777" w:rsidR="002C01FF" w:rsidRPr="00E0548A" w:rsidRDefault="002C01FF" w:rsidP="002C01FF">
      <w:pPr>
        <w:pStyle w:val="af4"/>
        <w:ind w:leftChars="0" w:left="0"/>
        <w:rPr>
          <w:rFonts w:ascii="ＭＳ ゴシック" w:eastAsia="ＭＳ ゴシック" w:hAnsi="ＭＳ ゴシック"/>
          <w:szCs w:val="21"/>
        </w:rPr>
      </w:pPr>
      <w:r w:rsidRPr="00E0548A">
        <w:rPr>
          <w:rFonts w:ascii="ＭＳ ゴシック" w:eastAsia="ＭＳ ゴシック" w:hAnsi="ＭＳ ゴシック" w:hint="eastAsia"/>
          <w:szCs w:val="21"/>
        </w:rPr>
        <w:t>＜災害発生時＞</w:t>
      </w:r>
    </w:p>
    <w:tbl>
      <w:tblPr>
        <w:tblpPr w:leftFromText="142" w:rightFromText="142" w:vertAnchor="text" w:tblpXSpec="center" w:tblpY="1"/>
        <w:tblOverlap w:val="neve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26"/>
        <w:gridCol w:w="7176"/>
      </w:tblGrid>
      <w:tr w:rsidR="00E0548A" w:rsidRPr="00E0548A" w14:paraId="7D685164" w14:textId="77777777" w:rsidTr="008B4B2B">
        <w:trPr>
          <w:jc w:val="center"/>
        </w:trPr>
        <w:tc>
          <w:tcPr>
            <w:tcW w:w="1526" w:type="dxa"/>
            <w:shd w:val="clear" w:color="auto" w:fill="BFBFBF"/>
          </w:tcPr>
          <w:p w14:paraId="1AA165BD" w14:textId="77777777" w:rsidR="008B4B2B" w:rsidRPr="00E0548A" w:rsidRDefault="008B4B2B" w:rsidP="008B4B2B">
            <w:pPr>
              <w:jc w:val="center"/>
              <w:rPr>
                <w:rFonts w:ascii="ＭＳ 明朝" w:hAnsi="ＭＳ 明朝"/>
                <w:szCs w:val="21"/>
              </w:rPr>
            </w:pPr>
            <w:r w:rsidRPr="00E0548A">
              <w:rPr>
                <w:rFonts w:ascii="ＭＳ 明朝" w:hAnsi="ＭＳ 明朝" w:hint="eastAsia"/>
                <w:szCs w:val="21"/>
              </w:rPr>
              <w:t>フェーズ</w:t>
            </w:r>
          </w:p>
        </w:tc>
        <w:tc>
          <w:tcPr>
            <w:tcW w:w="7176" w:type="dxa"/>
            <w:shd w:val="clear" w:color="auto" w:fill="BFBFBF"/>
          </w:tcPr>
          <w:p w14:paraId="3CC8C632" w14:textId="77777777" w:rsidR="008B4B2B" w:rsidRPr="00E0548A" w:rsidRDefault="008B4B2B" w:rsidP="008B4B2B">
            <w:pPr>
              <w:jc w:val="center"/>
              <w:rPr>
                <w:rFonts w:ascii="ＭＳ 明朝" w:hAnsi="ＭＳ 明朝"/>
                <w:szCs w:val="21"/>
              </w:rPr>
            </w:pPr>
            <w:r w:rsidRPr="00E0548A">
              <w:rPr>
                <w:rFonts w:ascii="ＭＳ 明朝" w:hAnsi="ＭＳ 明朝" w:hint="eastAsia"/>
                <w:szCs w:val="21"/>
              </w:rPr>
              <w:t>主な応急対策業務</w:t>
            </w:r>
          </w:p>
        </w:tc>
      </w:tr>
      <w:tr w:rsidR="00E0548A" w:rsidRPr="00E0548A" w14:paraId="66BD2DBE" w14:textId="77777777" w:rsidTr="00252C7D">
        <w:trPr>
          <w:trHeight w:val="2746"/>
          <w:jc w:val="center"/>
        </w:trPr>
        <w:tc>
          <w:tcPr>
            <w:tcW w:w="1526" w:type="dxa"/>
          </w:tcPr>
          <w:p w14:paraId="26075261" w14:textId="77777777" w:rsidR="008B4B2B" w:rsidRPr="00E0548A" w:rsidRDefault="008B4B2B" w:rsidP="008B4B2B">
            <w:pPr>
              <w:rPr>
                <w:rFonts w:ascii="ＭＳ 明朝" w:hAnsi="ＭＳ 明朝"/>
                <w:szCs w:val="21"/>
              </w:rPr>
            </w:pPr>
            <w:r w:rsidRPr="00E0548A">
              <w:rPr>
                <w:rFonts w:ascii="ＭＳ 明朝" w:hAnsi="ＭＳ 明朝" w:hint="eastAsia"/>
                <w:szCs w:val="21"/>
              </w:rPr>
              <w:t>第1フェーズ</w:t>
            </w:r>
          </w:p>
          <w:p w14:paraId="01F02032" w14:textId="77777777" w:rsidR="008B4B2B" w:rsidRPr="00E0548A" w:rsidRDefault="008B4B2B" w:rsidP="008B4B2B">
            <w:pPr>
              <w:rPr>
                <w:rFonts w:ascii="ＭＳ 明朝" w:hAnsi="ＭＳ 明朝"/>
                <w:szCs w:val="21"/>
              </w:rPr>
            </w:pPr>
            <w:r w:rsidRPr="00E0548A">
              <w:rPr>
                <w:rFonts w:ascii="ＭＳ 明朝" w:hAnsi="ＭＳ 明朝" w:hint="eastAsia"/>
                <w:szCs w:val="21"/>
              </w:rPr>
              <w:t>(3時間まで)</w:t>
            </w:r>
          </w:p>
          <w:p w14:paraId="740FC02E" w14:textId="77777777" w:rsidR="008B4B2B" w:rsidRPr="00E0548A" w:rsidRDefault="008B4B2B" w:rsidP="008B4B2B">
            <w:pPr>
              <w:rPr>
                <w:rFonts w:ascii="ＭＳ 明朝" w:hAnsi="ＭＳ 明朝"/>
                <w:szCs w:val="21"/>
              </w:rPr>
            </w:pPr>
          </w:p>
        </w:tc>
        <w:tc>
          <w:tcPr>
            <w:tcW w:w="7176" w:type="dxa"/>
          </w:tcPr>
          <w:p w14:paraId="573D220D" w14:textId="77777777" w:rsidR="00252C7D" w:rsidRPr="00E0548A" w:rsidRDefault="00252C7D" w:rsidP="00252C7D">
            <w:pPr>
              <w:rPr>
                <w:rFonts w:ascii="ＭＳ 明朝" w:hAnsi="ＭＳ 明朝"/>
                <w:szCs w:val="21"/>
              </w:rPr>
            </w:pPr>
            <w:r w:rsidRPr="00E0548A">
              <w:rPr>
                <w:rFonts w:ascii="ＭＳ 明朝" w:hAnsi="ＭＳ 明朝" w:hint="eastAsia"/>
                <w:szCs w:val="21"/>
              </w:rPr>
              <w:t>○初動対応、体制の確立</w:t>
            </w:r>
          </w:p>
          <w:p w14:paraId="5F502762" w14:textId="77777777" w:rsidR="00252C7D" w:rsidRPr="00E0548A" w:rsidRDefault="00252C7D" w:rsidP="00252C7D">
            <w:pPr>
              <w:rPr>
                <w:rFonts w:ascii="ＭＳ 明朝" w:hAnsi="ＭＳ 明朝"/>
                <w:szCs w:val="21"/>
              </w:rPr>
            </w:pPr>
            <w:r w:rsidRPr="00E0548A">
              <w:rPr>
                <w:rFonts w:ascii="ＭＳ 明朝" w:hAnsi="ＭＳ 明朝" w:hint="eastAsia"/>
                <w:szCs w:val="21"/>
              </w:rPr>
              <w:t>○管理下における所管施設（府立学校等）の利用者の安全確認</w:t>
            </w:r>
          </w:p>
          <w:p w14:paraId="2103D290" w14:textId="77777777" w:rsidR="00252C7D" w:rsidRPr="00E0548A" w:rsidRDefault="00252C7D" w:rsidP="00252C7D">
            <w:pPr>
              <w:ind w:firstLineChars="100" w:firstLine="211"/>
              <w:rPr>
                <w:rFonts w:ascii="ＭＳ 明朝" w:hAnsi="ＭＳ 明朝"/>
                <w:szCs w:val="21"/>
              </w:rPr>
            </w:pPr>
            <w:r w:rsidRPr="00E0548A">
              <w:rPr>
                <w:rFonts w:ascii="ＭＳ 明朝" w:hAnsi="ＭＳ 明朝" w:hint="eastAsia"/>
                <w:szCs w:val="21"/>
              </w:rPr>
              <w:t>【各所管所属】（幼児児童生徒、教職員の被災状況の把握を含む。）</w:t>
            </w:r>
          </w:p>
          <w:p w14:paraId="2AB1B0BC" w14:textId="77777777" w:rsidR="00252C7D" w:rsidRPr="00E0548A" w:rsidRDefault="00252C7D" w:rsidP="00252C7D">
            <w:pPr>
              <w:rPr>
                <w:rFonts w:ascii="ＭＳ 明朝" w:hAnsi="ＭＳ 明朝"/>
                <w:szCs w:val="21"/>
              </w:rPr>
            </w:pPr>
            <w:r w:rsidRPr="00E0548A">
              <w:rPr>
                <w:rFonts w:ascii="ＭＳ 明朝" w:hAnsi="ＭＳ 明朝" w:hint="eastAsia"/>
                <w:szCs w:val="21"/>
              </w:rPr>
              <w:t>○教育庁内職員の安否状況及び執務室の被害状況の集約</w:t>
            </w:r>
          </w:p>
          <w:p w14:paraId="7DD5EEA4" w14:textId="77777777" w:rsidR="00252C7D" w:rsidRPr="00E0548A" w:rsidRDefault="00252C7D" w:rsidP="00252C7D">
            <w:pPr>
              <w:ind w:firstLineChars="100" w:firstLine="211"/>
              <w:rPr>
                <w:rFonts w:ascii="ＭＳ 明朝" w:hAnsi="ＭＳ 明朝"/>
                <w:szCs w:val="21"/>
              </w:rPr>
            </w:pPr>
            <w:r w:rsidRPr="00E0548A">
              <w:rPr>
                <w:rFonts w:ascii="ＭＳ 明朝" w:hAnsi="ＭＳ 明朝" w:hint="eastAsia"/>
                <w:szCs w:val="21"/>
              </w:rPr>
              <w:t>【教育総務企画課】</w:t>
            </w:r>
          </w:p>
          <w:p w14:paraId="1330FB53" w14:textId="77777777" w:rsidR="00252C7D" w:rsidRPr="00E0548A" w:rsidRDefault="00252C7D" w:rsidP="00252C7D">
            <w:pPr>
              <w:rPr>
                <w:rFonts w:ascii="ＭＳ 明朝" w:hAnsi="ＭＳ 明朝"/>
                <w:szCs w:val="21"/>
              </w:rPr>
            </w:pPr>
            <w:r w:rsidRPr="00E0548A">
              <w:rPr>
                <w:rFonts w:ascii="ＭＳ 明朝" w:hAnsi="ＭＳ 明朝" w:hint="eastAsia"/>
                <w:szCs w:val="21"/>
              </w:rPr>
              <w:t>○教育庁内及び関係機関からの情報収集及び連絡調整</w:t>
            </w:r>
          </w:p>
          <w:p w14:paraId="59264870" w14:textId="77777777" w:rsidR="00252C7D" w:rsidRPr="00E0548A" w:rsidRDefault="00252C7D" w:rsidP="00252C7D">
            <w:pPr>
              <w:ind w:firstLineChars="100" w:firstLine="211"/>
              <w:rPr>
                <w:rFonts w:ascii="ＭＳ 明朝" w:hAnsi="ＭＳ 明朝"/>
                <w:szCs w:val="21"/>
              </w:rPr>
            </w:pPr>
            <w:r w:rsidRPr="00E0548A">
              <w:rPr>
                <w:rFonts w:ascii="ＭＳ 明朝" w:hAnsi="ＭＳ 明朝" w:hint="eastAsia"/>
                <w:szCs w:val="21"/>
              </w:rPr>
              <w:t>【教育総務企画課】</w:t>
            </w:r>
          </w:p>
          <w:p w14:paraId="7385954A" w14:textId="2CB5CDC0" w:rsidR="008B4B2B" w:rsidRPr="00E0548A" w:rsidRDefault="00252C7D" w:rsidP="00252C7D">
            <w:pPr>
              <w:rPr>
                <w:rFonts w:ascii="ＭＳ 明朝" w:hAnsi="ＭＳ 明朝"/>
                <w:szCs w:val="21"/>
              </w:rPr>
            </w:pPr>
            <w:r w:rsidRPr="00E0548A">
              <w:rPr>
                <w:rFonts w:ascii="ＭＳ 明朝" w:hAnsi="ＭＳ 明朝" w:hint="eastAsia"/>
                <w:szCs w:val="21"/>
              </w:rPr>
              <w:t>○職員・来庁者の救助・搬送【各所属】</w:t>
            </w:r>
          </w:p>
        </w:tc>
      </w:tr>
      <w:tr w:rsidR="00E0548A" w:rsidRPr="00E0548A" w14:paraId="5F8D7261" w14:textId="77777777" w:rsidTr="008B4B2B">
        <w:trPr>
          <w:trHeight w:val="2396"/>
          <w:jc w:val="center"/>
        </w:trPr>
        <w:tc>
          <w:tcPr>
            <w:tcW w:w="1526" w:type="dxa"/>
          </w:tcPr>
          <w:p w14:paraId="0290C797" w14:textId="77777777" w:rsidR="008B4B2B" w:rsidRPr="00E0548A" w:rsidRDefault="008B4B2B" w:rsidP="008B4B2B">
            <w:pPr>
              <w:rPr>
                <w:rFonts w:ascii="ＭＳ 明朝" w:hAnsi="ＭＳ 明朝"/>
                <w:szCs w:val="21"/>
              </w:rPr>
            </w:pPr>
            <w:r w:rsidRPr="00E0548A">
              <w:rPr>
                <w:rFonts w:ascii="ＭＳ 明朝" w:hAnsi="ＭＳ 明朝" w:hint="eastAsia"/>
                <w:szCs w:val="21"/>
              </w:rPr>
              <w:t>第2フェーズ</w:t>
            </w:r>
          </w:p>
          <w:p w14:paraId="07459F1C" w14:textId="77777777" w:rsidR="008B4B2B" w:rsidRPr="00E0548A" w:rsidRDefault="008B4B2B" w:rsidP="008B4B2B">
            <w:pPr>
              <w:rPr>
                <w:rFonts w:ascii="ＭＳ 明朝" w:hAnsi="ＭＳ 明朝"/>
                <w:szCs w:val="21"/>
              </w:rPr>
            </w:pPr>
            <w:r w:rsidRPr="00E0548A">
              <w:rPr>
                <w:rFonts w:ascii="ＭＳ 明朝" w:hAnsi="ＭＳ 明朝" w:hint="eastAsia"/>
                <w:szCs w:val="21"/>
              </w:rPr>
              <w:t>(24時間まで)</w:t>
            </w:r>
          </w:p>
          <w:p w14:paraId="14F5B1F2" w14:textId="77777777" w:rsidR="008B4B2B" w:rsidRPr="00E0548A" w:rsidRDefault="008B4B2B" w:rsidP="008B4B2B">
            <w:pPr>
              <w:rPr>
                <w:rFonts w:ascii="ＭＳ 明朝" w:hAnsi="ＭＳ 明朝"/>
                <w:szCs w:val="21"/>
              </w:rPr>
            </w:pPr>
          </w:p>
        </w:tc>
        <w:tc>
          <w:tcPr>
            <w:tcW w:w="7176" w:type="dxa"/>
          </w:tcPr>
          <w:p w14:paraId="173EDF15" w14:textId="77777777" w:rsidR="00252C7D" w:rsidRPr="00E0548A" w:rsidRDefault="00252C7D" w:rsidP="00252C7D">
            <w:pPr>
              <w:ind w:left="211" w:hangingChars="100" w:hanging="211"/>
              <w:rPr>
                <w:rFonts w:ascii="ＭＳ 明朝" w:hAnsi="ＭＳ 明朝"/>
                <w:szCs w:val="21"/>
              </w:rPr>
            </w:pPr>
            <w:r w:rsidRPr="00E0548A">
              <w:rPr>
                <w:rFonts w:ascii="ＭＳ 明朝" w:hAnsi="ＭＳ 明朝" w:hint="eastAsia"/>
                <w:szCs w:val="21"/>
              </w:rPr>
              <w:t>○所管施設の被害状況の把握【教育総務企画課】、報告及び二次災害防止対策の実施【各所管所属】</w:t>
            </w:r>
          </w:p>
          <w:p w14:paraId="6200E5C5" w14:textId="77777777" w:rsidR="00252C7D" w:rsidRPr="00E0548A" w:rsidRDefault="00252C7D" w:rsidP="00252C7D">
            <w:pPr>
              <w:rPr>
                <w:rFonts w:ascii="ＭＳ 明朝" w:hAnsi="ＭＳ 明朝"/>
                <w:szCs w:val="21"/>
              </w:rPr>
            </w:pPr>
            <w:r w:rsidRPr="00E0548A">
              <w:rPr>
                <w:rFonts w:ascii="ＭＳ 明朝" w:hAnsi="ＭＳ 明朝" w:hint="eastAsia"/>
                <w:szCs w:val="21"/>
              </w:rPr>
              <w:t>○府立学校の避難所運営状況の把握【各所管所属】</w:t>
            </w:r>
          </w:p>
          <w:p w14:paraId="577B98CC" w14:textId="77777777" w:rsidR="00252C7D" w:rsidRPr="00E0548A" w:rsidRDefault="00252C7D" w:rsidP="00252C7D">
            <w:pPr>
              <w:rPr>
                <w:rFonts w:ascii="ＭＳ 明朝" w:hAnsi="ＭＳ 明朝"/>
                <w:szCs w:val="21"/>
              </w:rPr>
            </w:pPr>
            <w:r w:rsidRPr="00E0548A">
              <w:rPr>
                <w:rFonts w:ascii="ＭＳ 明朝" w:hAnsi="ＭＳ 明朝" w:hint="eastAsia"/>
                <w:szCs w:val="21"/>
              </w:rPr>
              <w:t>○管理外における幼児児童生徒の安全確認【各所管所属】</w:t>
            </w:r>
          </w:p>
          <w:p w14:paraId="3BA1A8F8" w14:textId="77777777" w:rsidR="00252C7D" w:rsidRPr="00E0548A" w:rsidRDefault="00252C7D" w:rsidP="00252C7D">
            <w:pPr>
              <w:spacing w:line="330" w:lineRule="exact"/>
              <w:ind w:left="211" w:hangingChars="100" w:hanging="211"/>
              <w:rPr>
                <w:rFonts w:ascii="ＭＳ 明朝" w:hAnsi="ＭＳ 明朝"/>
                <w:szCs w:val="21"/>
              </w:rPr>
            </w:pPr>
            <w:r w:rsidRPr="00E0548A">
              <w:rPr>
                <w:rFonts w:ascii="ＭＳ 明朝" w:hAnsi="ＭＳ 明朝" w:hint="eastAsia"/>
                <w:szCs w:val="21"/>
              </w:rPr>
              <w:t>○府立学校施設の２次災害防止等緊急対策の実施【施設財務課】</w:t>
            </w:r>
          </w:p>
          <w:p w14:paraId="43DC0A49" w14:textId="77777777" w:rsidR="00252C7D" w:rsidRPr="00E0548A" w:rsidRDefault="00252C7D" w:rsidP="00252C7D">
            <w:pPr>
              <w:rPr>
                <w:rFonts w:ascii="ＭＳ 明朝" w:hAnsi="ＭＳ 明朝"/>
                <w:szCs w:val="21"/>
              </w:rPr>
            </w:pPr>
            <w:r w:rsidRPr="00E0548A">
              <w:rPr>
                <w:rFonts w:ascii="ＭＳ 明朝" w:hAnsi="ＭＳ 明朝" w:hint="eastAsia"/>
                <w:szCs w:val="21"/>
              </w:rPr>
              <w:t>○市町村立学校園の被害状況の把握【小中学校課、施設財務課】</w:t>
            </w:r>
          </w:p>
          <w:p w14:paraId="67771C81" w14:textId="6B836457" w:rsidR="008B4B2B" w:rsidRPr="00E0548A" w:rsidRDefault="00252C7D" w:rsidP="00252C7D">
            <w:pPr>
              <w:rPr>
                <w:rFonts w:ascii="ＭＳ 明朝" w:hAnsi="ＭＳ 明朝"/>
                <w:szCs w:val="21"/>
              </w:rPr>
            </w:pPr>
            <w:r w:rsidRPr="00E0548A">
              <w:rPr>
                <w:rFonts w:ascii="ＭＳ 明朝" w:hAnsi="ＭＳ 明朝" w:hint="eastAsia"/>
                <w:szCs w:val="21"/>
              </w:rPr>
              <w:t>○私立学校の被害状況等の情報収集【私学課】</w:t>
            </w:r>
          </w:p>
        </w:tc>
      </w:tr>
      <w:tr w:rsidR="00E0548A" w:rsidRPr="00E0548A" w14:paraId="4143A041" w14:textId="77777777" w:rsidTr="008B4B2B">
        <w:trPr>
          <w:jc w:val="center"/>
        </w:trPr>
        <w:tc>
          <w:tcPr>
            <w:tcW w:w="1526" w:type="dxa"/>
          </w:tcPr>
          <w:p w14:paraId="5069D432" w14:textId="77777777" w:rsidR="008B4B2B" w:rsidRPr="00E0548A" w:rsidRDefault="008B4B2B" w:rsidP="008B4B2B">
            <w:pPr>
              <w:rPr>
                <w:rFonts w:ascii="ＭＳ 明朝" w:hAnsi="ＭＳ 明朝"/>
                <w:szCs w:val="21"/>
              </w:rPr>
            </w:pPr>
            <w:r w:rsidRPr="00E0548A">
              <w:rPr>
                <w:rFonts w:ascii="ＭＳ 明朝" w:hAnsi="ＭＳ 明朝" w:hint="eastAsia"/>
                <w:szCs w:val="21"/>
              </w:rPr>
              <w:t>第3フェーズ</w:t>
            </w:r>
          </w:p>
          <w:p w14:paraId="06FE5DA8" w14:textId="77777777" w:rsidR="008B4B2B" w:rsidRPr="00E0548A" w:rsidRDefault="008B4B2B" w:rsidP="008B4B2B">
            <w:pPr>
              <w:rPr>
                <w:rFonts w:ascii="ＭＳ 明朝" w:hAnsi="ＭＳ 明朝"/>
                <w:szCs w:val="21"/>
              </w:rPr>
            </w:pPr>
            <w:r w:rsidRPr="00E0548A">
              <w:rPr>
                <w:rFonts w:ascii="ＭＳ 明朝" w:hAnsi="ＭＳ 明朝" w:hint="eastAsia"/>
                <w:szCs w:val="21"/>
              </w:rPr>
              <w:t>(72時間まで)</w:t>
            </w:r>
          </w:p>
        </w:tc>
        <w:tc>
          <w:tcPr>
            <w:tcW w:w="7176" w:type="dxa"/>
          </w:tcPr>
          <w:p w14:paraId="675BA130" w14:textId="77777777" w:rsidR="008B4B2B" w:rsidRPr="00E0548A" w:rsidRDefault="008B4B2B" w:rsidP="008B4B2B">
            <w:pPr>
              <w:rPr>
                <w:rFonts w:ascii="ＭＳ 明朝" w:hAnsi="ＭＳ 明朝"/>
                <w:szCs w:val="21"/>
              </w:rPr>
            </w:pPr>
          </w:p>
        </w:tc>
      </w:tr>
      <w:tr w:rsidR="00E0548A" w:rsidRPr="00E0548A" w14:paraId="24F8389B" w14:textId="77777777" w:rsidTr="00252C7D">
        <w:trPr>
          <w:trHeight w:val="1061"/>
          <w:jc w:val="center"/>
        </w:trPr>
        <w:tc>
          <w:tcPr>
            <w:tcW w:w="1526" w:type="dxa"/>
          </w:tcPr>
          <w:p w14:paraId="5A67B414" w14:textId="77777777" w:rsidR="00CC0C2D" w:rsidRPr="00E0548A" w:rsidRDefault="00CC0C2D" w:rsidP="00CC0C2D">
            <w:pPr>
              <w:rPr>
                <w:rFonts w:ascii="ＭＳ 明朝" w:hAnsi="ＭＳ 明朝"/>
                <w:szCs w:val="21"/>
              </w:rPr>
            </w:pPr>
            <w:r w:rsidRPr="00E0548A">
              <w:rPr>
                <w:rFonts w:ascii="ＭＳ 明朝" w:hAnsi="ＭＳ 明朝" w:hint="eastAsia"/>
                <w:szCs w:val="21"/>
              </w:rPr>
              <w:t>第4フェーズ</w:t>
            </w:r>
          </w:p>
          <w:p w14:paraId="577454A2" w14:textId="77777777" w:rsidR="00CC0C2D" w:rsidRPr="00E0548A" w:rsidRDefault="00CC0C2D" w:rsidP="00CC0C2D">
            <w:pPr>
              <w:rPr>
                <w:rFonts w:ascii="ＭＳ 明朝" w:hAnsi="ＭＳ 明朝"/>
                <w:szCs w:val="21"/>
              </w:rPr>
            </w:pPr>
            <w:r w:rsidRPr="00E0548A">
              <w:rPr>
                <w:rFonts w:ascii="ＭＳ 明朝" w:hAnsi="ＭＳ 明朝" w:hint="eastAsia"/>
                <w:szCs w:val="21"/>
              </w:rPr>
              <w:t>(1週間まで)</w:t>
            </w:r>
          </w:p>
        </w:tc>
        <w:tc>
          <w:tcPr>
            <w:tcW w:w="7176" w:type="dxa"/>
          </w:tcPr>
          <w:p w14:paraId="445097F8" w14:textId="77777777" w:rsidR="00CC0C2D" w:rsidRPr="00E0548A" w:rsidRDefault="00CC0C2D" w:rsidP="00CC0C2D">
            <w:pPr>
              <w:spacing w:line="330" w:lineRule="exact"/>
              <w:rPr>
                <w:rFonts w:ascii="ＭＳ 明朝" w:hAnsi="ＭＳ 明朝"/>
                <w:szCs w:val="21"/>
              </w:rPr>
            </w:pPr>
            <w:r w:rsidRPr="00E0548A">
              <w:rPr>
                <w:rFonts w:ascii="ＭＳ 明朝" w:hAnsi="ＭＳ 明朝" w:hint="eastAsia"/>
                <w:szCs w:val="21"/>
              </w:rPr>
              <w:t>○文部科学省に対する緊急要望【教育総務企画課】</w:t>
            </w:r>
          </w:p>
          <w:p w14:paraId="62E2CD19" w14:textId="77777777" w:rsidR="00CC0C2D" w:rsidRPr="00E0548A" w:rsidRDefault="00CC0C2D" w:rsidP="00CC0C2D">
            <w:pPr>
              <w:rPr>
                <w:rFonts w:ascii="ＭＳ 明朝" w:hAnsi="ＭＳ 明朝"/>
                <w:szCs w:val="21"/>
              </w:rPr>
            </w:pPr>
            <w:r w:rsidRPr="00E0548A">
              <w:rPr>
                <w:rFonts w:ascii="ＭＳ 明朝" w:hAnsi="ＭＳ 明朝" w:hint="eastAsia"/>
                <w:szCs w:val="21"/>
              </w:rPr>
              <w:t>○被災幼児児童生徒の他府県等への受け入れ要請等</w:t>
            </w:r>
          </w:p>
          <w:p w14:paraId="080AE4CD" w14:textId="31E32747" w:rsidR="00CC0C2D" w:rsidRPr="00E0548A" w:rsidRDefault="00CC0C2D" w:rsidP="00CC0C2D">
            <w:pPr>
              <w:ind w:firstLineChars="100" w:firstLine="211"/>
              <w:rPr>
                <w:rFonts w:ascii="ＭＳ 明朝" w:hAnsi="ＭＳ 明朝"/>
                <w:szCs w:val="21"/>
              </w:rPr>
            </w:pPr>
            <w:r w:rsidRPr="00E0548A">
              <w:rPr>
                <w:rFonts w:ascii="ＭＳ 明朝" w:hAnsi="ＭＳ 明朝" w:hint="eastAsia"/>
                <w:szCs w:val="21"/>
              </w:rPr>
              <w:t>【高校改革課、高等学校課、支援教育課、小中学校課】</w:t>
            </w:r>
          </w:p>
        </w:tc>
      </w:tr>
      <w:tr w:rsidR="00E0548A" w:rsidRPr="00E0548A" w14:paraId="5BF76FFF" w14:textId="77777777" w:rsidTr="008B4B2B">
        <w:trPr>
          <w:jc w:val="center"/>
        </w:trPr>
        <w:tc>
          <w:tcPr>
            <w:tcW w:w="1526" w:type="dxa"/>
          </w:tcPr>
          <w:p w14:paraId="61A06B9F" w14:textId="77777777" w:rsidR="00CC0C2D" w:rsidRPr="00E0548A" w:rsidRDefault="00CC0C2D" w:rsidP="00CC0C2D">
            <w:pPr>
              <w:rPr>
                <w:rFonts w:ascii="ＭＳ 明朝" w:hAnsi="ＭＳ 明朝"/>
                <w:szCs w:val="21"/>
              </w:rPr>
            </w:pPr>
            <w:r w:rsidRPr="00E0548A">
              <w:rPr>
                <w:rFonts w:ascii="ＭＳ 明朝" w:hAnsi="ＭＳ 明朝" w:hint="eastAsia"/>
                <w:szCs w:val="21"/>
              </w:rPr>
              <w:t>第5フェーズ</w:t>
            </w:r>
          </w:p>
          <w:p w14:paraId="624DA061" w14:textId="77777777" w:rsidR="00CC0C2D" w:rsidRPr="00E0548A" w:rsidRDefault="00CC0C2D" w:rsidP="00CC0C2D">
            <w:pPr>
              <w:rPr>
                <w:rFonts w:ascii="ＭＳ 明朝" w:hAnsi="ＭＳ 明朝"/>
                <w:szCs w:val="21"/>
              </w:rPr>
            </w:pPr>
            <w:r w:rsidRPr="00E0548A">
              <w:rPr>
                <w:rFonts w:ascii="ＭＳ 明朝" w:hAnsi="ＭＳ 明朝" w:hint="eastAsia"/>
                <w:szCs w:val="21"/>
              </w:rPr>
              <w:t>(2週間まで)</w:t>
            </w:r>
          </w:p>
          <w:p w14:paraId="570E9F79" w14:textId="77777777" w:rsidR="00CC0C2D" w:rsidRPr="00E0548A" w:rsidRDefault="00CC0C2D" w:rsidP="00CC0C2D">
            <w:pPr>
              <w:rPr>
                <w:rFonts w:ascii="ＭＳ 明朝" w:hAnsi="ＭＳ 明朝"/>
                <w:szCs w:val="21"/>
              </w:rPr>
            </w:pPr>
          </w:p>
        </w:tc>
        <w:tc>
          <w:tcPr>
            <w:tcW w:w="7176" w:type="dxa"/>
          </w:tcPr>
          <w:p w14:paraId="64D0BE02" w14:textId="77777777" w:rsidR="00CC0C2D" w:rsidRPr="00E0548A" w:rsidRDefault="00CC0C2D" w:rsidP="00CC0C2D">
            <w:pPr>
              <w:rPr>
                <w:rFonts w:ascii="ＭＳ 明朝" w:hAnsi="ＭＳ 明朝"/>
                <w:szCs w:val="21"/>
              </w:rPr>
            </w:pPr>
            <w:r w:rsidRPr="00E0548A">
              <w:rPr>
                <w:rFonts w:ascii="ＭＳ 明朝" w:hAnsi="ＭＳ 明朝" w:hint="eastAsia"/>
                <w:szCs w:val="21"/>
              </w:rPr>
              <w:t>○被災所管施設の応急復旧（当該施設において応急的に業務を再開する</w:t>
            </w:r>
          </w:p>
          <w:p w14:paraId="37163F26" w14:textId="77777777" w:rsidR="00CC0C2D" w:rsidRPr="00E0548A" w:rsidRDefault="00CC0C2D" w:rsidP="00CC0C2D">
            <w:pPr>
              <w:ind w:firstLineChars="100" w:firstLine="211"/>
              <w:rPr>
                <w:rFonts w:ascii="ＭＳ ゴシック" w:eastAsia="ＭＳ ゴシック" w:hAnsi="ＭＳ ゴシック"/>
                <w:szCs w:val="21"/>
              </w:rPr>
            </w:pPr>
            <w:r w:rsidRPr="00E0548A">
              <w:rPr>
                <w:rFonts w:ascii="ＭＳ 明朝" w:hAnsi="ＭＳ 明朝" w:hint="eastAsia"/>
                <w:szCs w:val="21"/>
              </w:rPr>
              <w:t>ために実施する措置のことをいう。本格的な復旧作業の前段階。）開始</w:t>
            </w:r>
          </w:p>
          <w:p w14:paraId="6B816846" w14:textId="77777777" w:rsidR="00CC0C2D" w:rsidRPr="00E0548A" w:rsidRDefault="00CC0C2D" w:rsidP="00CC0C2D">
            <w:pPr>
              <w:spacing w:line="330" w:lineRule="exact"/>
              <w:ind w:left="211" w:hangingChars="100" w:hanging="211"/>
              <w:rPr>
                <w:rFonts w:ascii="ＭＳ 明朝" w:hAnsi="ＭＳ 明朝"/>
                <w:szCs w:val="21"/>
              </w:rPr>
            </w:pPr>
            <w:r w:rsidRPr="00E0548A">
              <w:rPr>
                <w:rFonts w:ascii="ＭＳ 明朝" w:hAnsi="ＭＳ 明朝" w:hint="eastAsia"/>
                <w:szCs w:val="21"/>
              </w:rPr>
              <w:t>○教育活動再開に向けた連絡調整（教科書、教材、教職員の確保等）</w:t>
            </w:r>
          </w:p>
          <w:p w14:paraId="5E8A2C9B" w14:textId="77777777" w:rsidR="00CC0C2D" w:rsidRPr="00E0548A" w:rsidRDefault="00CC0C2D" w:rsidP="00CC0C2D">
            <w:pPr>
              <w:spacing w:line="330" w:lineRule="exact"/>
              <w:ind w:leftChars="100" w:left="422" w:hangingChars="100" w:hanging="211"/>
              <w:rPr>
                <w:rFonts w:ascii="ＭＳ 明朝" w:hAnsi="ＭＳ 明朝"/>
                <w:szCs w:val="21"/>
              </w:rPr>
            </w:pPr>
            <w:r w:rsidRPr="00E0548A">
              <w:rPr>
                <w:rFonts w:ascii="ＭＳ 明朝" w:hAnsi="ＭＳ 明朝" w:hint="eastAsia"/>
                <w:szCs w:val="21"/>
              </w:rPr>
              <w:t>【高校改革課、高等学校課、支援教育課、小中学校課、教職員室、施設財務課】</w:t>
            </w:r>
          </w:p>
          <w:p w14:paraId="75DE14CA" w14:textId="77777777" w:rsidR="00CC0C2D" w:rsidRPr="00E0548A" w:rsidRDefault="00CC0C2D" w:rsidP="00CC0C2D">
            <w:pPr>
              <w:rPr>
                <w:rFonts w:ascii="ＭＳ 明朝" w:hAnsi="ＭＳ 明朝"/>
                <w:szCs w:val="21"/>
              </w:rPr>
            </w:pPr>
            <w:r w:rsidRPr="00E0548A">
              <w:rPr>
                <w:rFonts w:ascii="ＭＳ 明朝" w:hAnsi="ＭＳ 明朝" w:hint="eastAsia"/>
                <w:szCs w:val="21"/>
              </w:rPr>
              <w:t>○給食設備等の安全確認、衛生管理【保健体育課】</w:t>
            </w:r>
          </w:p>
          <w:p w14:paraId="63D08B75" w14:textId="77777777" w:rsidR="00CC0C2D" w:rsidRPr="00E0548A" w:rsidRDefault="00CC0C2D" w:rsidP="00CC0C2D">
            <w:pPr>
              <w:rPr>
                <w:rFonts w:ascii="ＭＳ 明朝" w:hAnsi="ＭＳ 明朝"/>
                <w:szCs w:val="21"/>
              </w:rPr>
            </w:pPr>
            <w:r w:rsidRPr="00E0548A">
              <w:rPr>
                <w:rFonts w:ascii="ＭＳ 明朝" w:hAnsi="ＭＳ 明朝" w:hint="eastAsia"/>
                <w:szCs w:val="21"/>
              </w:rPr>
              <w:t>○文化財の被害状況の把握、対応【文化財保護課】</w:t>
            </w:r>
          </w:p>
          <w:p w14:paraId="5282EDEE" w14:textId="77777777" w:rsidR="00CC0C2D" w:rsidRPr="00E0548A" w:rsidRDefault="00CC0C2D" w:rsidP="00CC0C2D">
            <w:pPr>
              <w:spacing w:line="330" w:lineRule="exact"/>
              <w:rPr>
                <w:rFonts w:ascii="ＭＳ 明朝" w:hAnsi="ＭＳ 明朝"/>
                <w:szCs w:val="21"/>
              </w:rPr>
            </w:pPr>
            <w:r w:rsidRPr="00E0548A">
              <w:rPr>
                <w:rFonts w:ascii="ＭＳ 明朝" w:hAnsi="ＭＳ 明朝" w:hint="eastAsia"/>
                <w:szCs w:val="21"/>
              </w:rPr>
              <w:t>○文化財発掘調査現場・文化財収蔵庫等の被害状況の把握、2次災害防止対策の実施【文化財保護課】</w:t>
            </w:r>
          </w:p>
          <w:p w14:paraId="03EEA8EB" w14:textId="77777777" w:rsidR="00CC0C2D" w:rsidRPr="00E0548A" w:rsidRDefault="00CC0C2D" w:rsidP="00CC0C2D">
            <w:pPr>
              <w:spacing w:line="330" w:lineRule="exact"/>
              <w:ind w:left="211" w:hangingChars="100" w:hanging="211"/>
              <w:rPr>
                <w:rFonts w:ascii="ＭＳ 明朝" w:hAnsi="ＭＳ 明朝"/>
                <w:szCs w:val="21"/>
              </w:rPr>
            </w:pPr>
            <w:r w:rsidRPr="00E0548A">
              <w:rPr>
                <w:rFonts w:ascii="ＭＳ 明朝" w:hAnsi="ＭＳ 明朝" w:hint="eastAsia"/>
                <w:szCs w:val="21"/>
              </w:rPr>
              <w:t>○幼児児童生徒の心のケア</w:t>
            </w:r>
          </w:p>
          <w:p w14:paraId="75D2F099" w14:textId="77777777" w:rsidR="00CC0C2D" w:rsidRPr="00E0548A" w:rsidRDefault="00CC0C2D" w:rsidP="00CC0C2D">
            <w:pPr>
              <w:spacing w:line="330" w:lineRule="exact"/>
              <w:ind w:leftChars="100" w:left="211"/>
              <w:rPr>
                <w:rFonts w:ascii="ＭＳ 明朝" w:hAnsi="ＭＳ 明朝"/>
                <w:szCs w:val="21"/>
              </w:rPr>
            </w:pPr>
            <w:r w:rsidRPr="00E0548A">
              <w:rPr>
                <w:rFonts w:ascii="ＭＳ 明朝" w:hAnsi="ＭＳ 明朝" w:hint="eastAsia"/>
                <w:szCs w:val="21"/>
              </w:rPr>
              <w:t>【高校改革課、高等学校課、支援教育課、小中学校課】</w:t>
            </w:r>
          </w:p>
          <w:p w14:paraId="38650462" w14:textId="77777777" w:rsidR="00CC0C2D" w:rsidRPr="00E0548A" w:rsidRDefault="00CC0C2D" w:rsidP="00CC0C2D">
            <w:pPr>
              <w:spacing w:line="330" w:lineRule="exact"/>
              <w:ind w:leftChars="100" w:left="211"/>
              <w:rPr>
                <w:rFonts w:ascii="ＭＳ 明朝" w:hAnsi="ＭＳ 明朝"/>
                <w:szCs w:val="21"/>
              </w:rPr>
            </w:pPr>
            <w:r w:rsidRPr="00E0548A">
              <w:rPr>
                <w:rFonts w:ascii="ＭＳ 明朝" w:hAnsi="ＭＳ 明朝" w:hint="eastAsia"/>
                <w:szCs w:val="21"/>
              </w:rPr>
              <w:t>（スクールカウンセラー・ソーシャルワーカーの緊急派遣等）</w:t>
            </w:r>
          </w:p>
          <w:p w14:paraId="16660589" w14:textId="6C233E64" w:rsidR="00CC0C2D" w:rsidRPr="00E0548A" w:rsidRDefault="00CC0C2D" w:rsidP="00CC0C2D">
            <w:pPr>
              <w:ind w:leftChars="100" w:left="211"/>
              <w:rPr>
                <w:rFonts w:ascii="ＭＳ 明朝" w:hAnsi="ＭＳ 明朝"/>
                <w:szCs w:val="21"/>
              </w:rPr>
            </w:pPr>
            <w:r w:rsidRPr="00E0548A">
              <w:rPr>
                <w:rFonts w:ascii="ＭＳ 明朝" w:hAnsi="ＭＳ 明朝" w:hint="eastAsia"/>
                <w:szCs w:val="21"/>
              </w:rPr>
              <w:t>【</w:t>
            </w:r>
            <w:r w:rsidRPr="00E0548A">
              <w:rPr>
                <w:rFonts w:ascii="ＭＳ 明朝" w:hAnsi="ＭＳ 明朝" w:hint="eastAsia"/>
              </w:rPr>
              <w:t>高等学校課、支援教育課、小中学校課</w:t>
            </w:r>
            <w:r w:rsidRPr="00E0548A">
              <w:rPr>
                <w:rFonts w:ascii="ＭＳ 明朝" w:hAnsi="ＭＳ 明朝" w:hint="eastAsia"/>
                <w:szCs w:val="21"/>
              </w:rPr>
              <w:t>】</w:t>
            </w:r>
          </w:p>
          <w:p w14:paraId="2CC9FCE4" w14:textId="62EF1BC1" w:rsidR="00CC0C2D" w:rsidRPr="00E0548A" w:rsidRDefault="00CC0C2D" w:rsidP="00CC0C2D">
            <w:pPr>
              <w:rPr>
                <w:rFonts w:ascii="ＭＳ 明朝" w:hAnsi="ＭＳ 明朝"/>
                <w:szCs w:val="21"/>
              </w:rPr>
            </w:pPr>
            <w:r w:rsidRPr="00E0548A">
              <w:rPr>
                <w:rFonts w:ascii="ＭＳ 明朝" w:hAnsi="ＭＳ 明朝" w:hint="eastAsia"/>
                <w:szCs w:val="21"/>
              </w:rPr>
              <w:t>○就学援助等に関する措置【支援教育課、施設財務課】</w:t>
            </w:r>
          </w:p>
        </w:tc>
      </w:tr>
      <w:tr w:rsidR="00E0548A" w:rsidRPr="00E0548A" w14:paraId="05957BE6" w14:textId="77777777" w:rsidTr="00252C7D">
        <w:trPr>
          <w:trHeight w:val="1122"/>
          <w:jc w:val="center"/>
        </w:trPr>
        <w:tc>
          <w:tcPr>
            <w:tcW w:w="1526" w:type="dxa"/>
          </w:tcPr>
          <w:p w14:paraId="3E907A2E" w14:textId="77777777" w:rsidR="008B4B2B" w:rsidRPr="00E0548A" w:rsidRDefault="008B4B2B" w:rsidP="008B4B2B">
            <w:pPr>
              <w:rPr>
                <w:rFonts w:ascii="ＭＳ 明朝" w:hAnsi="ＭＳ 明朝"/>
                <w:szCs w:val="21"/>
              </w:rPr>
            </w:pPr>
            <w:r w:rsidRPr="00E0548A">
              <w:rPr>
                <w:rFonts w:ascii="ＭＳ 明朝" w:hAnsi="ＭＳ 明朝" w:hint="eastAsia"/>
                <w:szCs w:val="21"/>
              </w:rPr>
              <w:lastRenderedPageBreak/>
              <w:t>第6フェーズ</w:t>
            </w:r>
          </w:p>
          <w:p w14:paraId="47AC09CE" w14:textId="77777777" w:rsidR="008B4B2B" w:rsidRPr="00E0548A" w:rsidRDefault="008B4B2B" w:rsidP="008B4B2B">
            <w:pPr>
              <w:rPr>
                <w:rFonts w:ascii="ＭＳ 明朝" w:hAnsi="ＭＳ 明朝"/>
                <w:szCs w:val="21"/>
              </w:rPr>
            </w:pPr>
            <w:r w:rsidRPr="00E0548A">
              <w:rPr>
                <w:rFonts w:ascii="ＭＳ 明朝" w:hAnsi="ＭＳ 明朝" w:hint="eastAsia"/>
                <w:szCs w:val="21"/>
              </w:rPr>
              <w:t>(1ヶ月まで)</w:t>
            </w:r>
          </w:p>
          <w:p w14:paraId="2E010E89" w14:textId="77777777" w:rsidR="008B4B2B" w:rsidRPr="00E0548A" w:rsidRDefault="008B4B2B" w:rsidP="008B4B2B">
            <w:pPr>
              <w:rPr>
                <w:rFonts w:ascii="ＭＳ 明朝" w:hAnsi="ＭＳ 明朝"/>
                <w:szCs w:val="21"/>
              </w:rPr>
            </w:pPr>
          </w:p>
        </w:tc>
        <w:tc>
          <w:tcPr>
            <w:tcW w:w="7176" w:type="dxa"/>
          </w:tcPr>
          <w:p w14:paraId="79976A6B" w14:textId="77777777" w:rsidR="008B4B2B" w:rsidRPr="00E0548A" w:rsidRDefault="008B4B2B" w:rsidP="008B4B2B">
            <w:pPr>
              <w:rPr>
                <w:rFonts w:ascii="ＭＳ ゴシック" w:eastAsia="ＭＳ ゴシック" w:hAnsi="ＭＳ ゴシック"/>
                <w:szCs w:val="21"/>
              </w:rPr>
            </w:pPr>
            <w:r w:rsidRPr="00E0548A">
              <w:rPr>
                <w:rFonts w:ascii="ＭＳ 明朝" w:hAnsi="ＭＳ 明朝" w:hint="eastAsia"/>
                <w:szCs w:val="21"/>
              </w:rPr>
              <w:t>○被災所管施設の応急復旧【各所管所属】</w:t>
            </w:r>
          </w:p>
          <w:p w14:paraId="40DA841B" w14:textId="77777777" w:rsidR="008B4B2B" w:rsidRPr="00E0548A" w:rsidRDefault="008B4B2B" w:rsidP="008B4B2B">
            <w:pPr>
              <w:rPr>
                <w:rFonts w:ascii="ＭＳ 明朝" w:hAnsi="ＭＳ 明朝"/>
                <w:szCs w:val="21"/>
              </w:rPr>
            </w:pPr>
            <w:r w:rsidRPr="00E0548A">
              <w:rPr>
                <w:rFonts w:ascii="ＭＳ 明朝" w:hAnsi="ＭＳ 明朝" w:hint="eastAsia"/>
                <w:szCs w:val="21"/>
              </w:rPr>
              <w:t>○給食業務の再開【保健体育課】</w:t>
            </w:r>
          </w:p>
          <w:p w14:paraId="1A0AD5C1" w14:textId="77777777" w:rsidR="008B4B2B" w:rsidRPr="00E0548A" w:rsidRDefault="008B4B2B" w:rsidP="008B4B2B">
            <w:pPr>
              <w:rPr>
                <w:rFonts w:ascii="ＭＳ 明朝" w:hAnsi="ＭＳ 明朝"/>
                <w:szCs w:val="21"/>
              </w:rPr>
            </w:pPr>
            <w:r w:rsidRPr="00E0548A">
              <w:rPr>
                <w:rFonts w:ascii="ＭＳ 明朝" w:hAnsi="ＭＳ 明朝" w:hint="eastAsia"/>
                <w:szCs w:val="21"/>
              </w:rPr>
              <w:t>○被災で他府県へ転出した幼児児童生徒の進路指導に関する連絡調整</w:t>
            </w:r>
          </w:p>
          <w:p w14:paraId="2CB70DB4" w14:textId="77777777" w:rsidR="008B4B2B" w:rsidRPr="00E0548A" w:rsidRDefault="008B4B2B" w:rsidP="008B4B2B">
            <w:pPr>
              <w:rPr>
                <w:rFonts w:ascii="ＭＳ 明朝" w:hAnsi="ＭＳ 明朝"/>
                <w:szCs w:val="21"/>
              </w:rPr>
            </w:pPr>
            <w:r w:rsidRPr="00E0548A">
              <w:rPr>
                <w:rFonts w:ascii="ＭＳ 明朝" w:hAnsi="ＭＳ 明朝" w:hint="eastAsia"/>
                <w:szCs w:val="21"/>
              </w:rPr>
              <w:t>【</w:t>
            </w:r>
            <w:r w:rsidRPr="00E0548A">
              <w:rPr>
                <w:rFonts w:ascii="ＭＳ 明朝" w:hAnsi="ＭＳ 明朝" w:hint="eastAsia"/>
              </w:rPr>
              <w:t>支援教育課、小中学校課</w:t>
            </w:r>
            <w:r w:rsidRPr="00E0548A">
              <w:rPr>
                <w:rFonts w:ascii="ＭＳ 明朝" w:hAnsi="ＭＳ 明朝" w:hint="eastAsia"/>
                <w:szCs w:val="21"/>
              </w:rPr>
              <w:t>】</w:t>
            </w:r>
          </w:p>
        </w:tc>
      </w:tr>
    </w:tbl>
    <w:p w14:paraId="52BEE14C" w14:textId="5A819F27" w:rsidR="008B4B2B" w:rsidRPr="00E0548A" w:rsidRDefault="008B4B2B" w:rsidP="008B4B2B">
      <w:pPr>
        <w:ind w:left="1689" w:hangingChars="800" w:hanging="1689"/>
        <w:rPr>
          <w:rFonts w:ascii="ＭＳ 明朝" w:hAnsi="ＭＳ 明朝"/>
          <w:szCs w:val="21"/>
        </w:rPr>
      </w:pPr>
      <w:r w:rsidRPr="00E0548A">
        <w:rPr>
          <w:rFonts w:ascii="ＭＳ 明朝" w:hAnsi="ＭＳ 明朝" w:hint="eastAsia"/>
          <w:szCs w:val="21"/>
        </w:rPr>
        <w:t>※主な所管施設：</w:t>
      </w:r>
      <w:r w:rsidR="00252C7D" w:rsidRPr="00E0548A">
        <w:rPr>
          <w:rFonts w:asciiTheme="minorEastAsia" w:eastAsiaTheme="minorEastAsia" w:hAnsiTheme="minorEastAsia" w:hint="eastAsia"/>
          <w:szCs w:val="21"/>
        </w:rPr>
        <w:t>体育会館、臨海スポーツセンター、漕艇センター、門真スポーツセンター、府立図書館、府立少年自然の家、教育センター、弥生文化博物館、近</w:t>
      </w:r>
      <w:proofErr w:type="gramStart"/>
      <w:r w:rsidR="00252C7D" w:rsidRPr="00E0548A">
        <w:rPr>
          <w:rFonts w:asciiTheme="minorEastAsia" w:eastAsiaTheme="minorEastAsia" w:hAnsiTheme="minorEastAsia" w:hint="eastAsia"/>
          <w:szCs w:val="21"/>
        </w:rPr>
        <w:t>つ</w:t>
      </w:r>
      <w:proofErr w:type="gramEnd"/>
      <w:r w:rsidR="00252C7D" w:rsidRPr="00E0548A">
        <w:rPr>
          <w:rFonts w:asciiTheme="minorEastAsia" w:eastAsiaTheme="minorEastAsia" w:hAnsiTheme="minorEastAsia" w:hint="eastAsia"/>
          <w:szCs w:val="21"/>
        </w:rPr>
        <w:t>飛鳥博物館、近</w:t>
      </w:r>
      <w:proofErr w:type="gramStart"/>
      <w:r w:rsidR="00252C7D" w:rsidRPr="00E0548A">
        <w:rPr>
          <w:rFonts w:asciiTheme="minorEastAsia" w:eastAsiaTheme="minorEastAsia" w:hAnsiTheme="minorEastAsia" w:hint="eastAsia"/>
          <w:szCs w:val="21"/>
        </w:rPr>
        <w:t>つ</w:t>
      </w:r>
      <w:proofErr w:type="gramEnd"/>
      <w:r w:rsidR="00252C7D" w:rsidRPr="00E0548A">
        <w:rPr>
          <w:rFonts w:asciiTheme="minorEastAsia" w:eastAsiaTheme="minorEastAsia" w:hAnsiTheme="minorEastAsia" w:hint="eastAsia"/>
          <w:szCs w:val="21"/>
        </w:rPr>
        <w:t>飛鳥風土記の丘、文化財調査事務所</w:t>
      </w:r>
      <w:r w:rsidR="00252C7D" w:rsidRPr="00E0548A">
        <w:rPr>
          <w:rFonts w:ascii="ＭＳ 明朝" w:hAnsi="ＭＳ 明朝"/>
          <w:szCs w:val="21"/>
        </w:rPr>
        <w:t xml:space="preserve"> </w:t>
      </w:r>
    </w:p>
    <w:p w14:paraId="7FD60A08" w14:textId="77777777" w:rsidR="008B4B2B" w:rsidRPr="00E0548A" w:rsidRDefault="008B4B2B" w:rsidP="008B4B2B">
      <w:pPr>
        <w:rPr>
          <w:rFonts w:ascii="ＭＳ 明朝" w:hAnsi="ＭＳ 明朝"/>
          <w:szCs w:val="21"/>
        </w:rPr>
      </w:pPr>
      <w:r w:rsidRPr="00E0548A">
        <w:rPr>
          <w:rFonts w:ascii="ＭＳ 明朝" w:hAnsi="ＭＳ 明朝" w:hint="eastAsia"/>
          <w:szCs w:val="21"/>
        </w:rPr>
        <w:t xml:space="preserve">      システム：学校総務サービスシステム</w:t>
      </w:r>
    </w:p>
    <w:p w14:paraId="514BC48C" w14:textId="77777777" w:rsidR="008B4B2B" w:rsidRPr="00E0548A" w:rsidRDefault="008B4B2B" w:rsidP="008B4B2B">
      <w:pPr>
        <w:ind w:leftChars="400" w:left="844"/>
        <w:rPr>
          <w:rFonts w:ascii="ＭＳ 明朝" w:hAnsi="ＭＳ 明朝"/>
          <w:sz w:val="18"/>
          <w:szCs w:val="21"/>
        </w:rPr>
      </w:pPr>
      <w:r w:rsidRPr="00E0548A">
        <w:rPr>
          <w:rFonts w:ascii="ＭＳ 明朝" w:hAnsi="ＭＳ 明朝" w:hint="eastAsia"/>
          <w:sz w:val="18"/>
          <w:szCs w:val="21"/>
        </w:rPr>
        <w:t xml:space="preserve">        ※学校における防災教育の手引き（改訂版）～大阪の子どもたちを災害から守るために～</w:t>
      </w:r>
    </w:p>
    <w:p w14:paraId="62C02193" w14:textId="4D54F0D1" w:rsidR="008B4B2B" w:rsidRPr="00E0548A" w:rsidRDefault="008B4B2B" w:rsidP="008B4B2B">
      <w:pPr>
        <w:widowControl/>
        <w:ind w:leftChars="400" w:left="844"/>
        <w:jc w:val="left"/>
        <w:rPr>
          <w:rFonts w:ascii="ＭＳ 明朝" w:hAnsi="ＭＳ 明朝"/>
          <w:sz w:val="18"/>
          <w:szCs w:val="21"/>
        </w:rPr>
      </w:pPr>
      <w:r w:rsidRPr="00E0548A">
        <w:rPr>
          <w:rFonts w:ascii="ＭＳ 明朝" w:hAnsi="ＭＳ 明朝" w:hint="eastAsia"/>
          <w:sz w:val="18"/>
          <w:szCs w:val="21"/>
        </w:rPr>
        <w:t xml:space="preserve">　        大阪府教育委員会　令和元年6月改訂も参照</w:t>
      </w:r>
    </w:p>
    <w:p w14:paraId="4EA754CC" w14:textId="4F2A077C" w:rsidR="007661FD" w:rsidRPr="00E0548A" w:rsidRDefault="007661FD" w:rsidP="008B4B2B">
      <w:pPr>
        <w:widowControl/>
        <w:ind w:leftChars="400" w:left="844"/>
        <w:jc w:val="left"/>
        <w:rPr>
          <w:rFonts w:ascii="ＭＳ 明朝" w:hAnsi="ＭＳ 明朝"/>
          <w:sz w:val="18"/>
          <w:szCs w:val="21"/>
        </w:rPr>
      </w:pPr>
    </w:p>
    <w:p w14:paraId="1A6DFEFC" w14:textId="77777777" w:rsidR="00E144D7" w:rsidRPr="00E0548A" w:rsidRDefault="00E144D7" w:rsidP="008B4B2B">
      <w:pPr>
        <w:widowControl/>
        <w:ind w:leftChars="400" w:left="844"/>
        <w:jc w:val="left"/>
        <w:rPr>
          <w:rFonts w:ascii="ＭＳ 明朝" w:hAnsi="ＭＳ 明朝"/>
          <w:sz w:val="18"/>
          <w:szCs w:val="21"/>
        </w:rPr>
      </w:pPr>
    </w:p>
    <w:p w14:paraId="1EED87EA" w14:textId="77777777" w:rsidR="007661FD" w:rsidRPr="00E0548A" w:rsidRDefault="007661FD" w:rsidP="007661FD">
      <w:pPr>
        <w:pStyle w:val="af4"/>
        <w:ind w:leftChars="0" w:left="0"/>
        <w:rPr>
          <w:rFonts w:ascii="ＭＳ ゴシック" w:eastAsia="ＭＳ ゴシック" w:hAnsi="ＭＳ ゴシック"/>
          <w:szCs w:val="21"/>
        </w:rPr>
      </w:pPr>
      <w:r w:rsidRPr="00E0548A">
        <w:rPr>
          <w:rFonts w:ascii="ＭＳ ゴシック" w:eastAsia="ＭＳ ゴシック" w:hAnsi="ＭＳ ゴシック" w:hint="eastAsia"/>
          <w:szCs w:val="21"/>
        </w:rPr>
        <w:t>＜南海トラフ地震臨時情報（巨大地震警戒）発表時＞</w:t>
      </w:r>
    </w:p>
    <w:tbl>
      <w:tblPr>
        <w:tblpPr w:leftFromText="142" w:rightFromText="142" w:vertAnchor="text" w:tblpXSpec="center" w:tblpY="1"/>
        <w:tblOverlap w:val="neve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00"/>
        <w:gridCol w:w="7334"/>
      </w:tblGrid>
      <w:tr w:rsidR="00E0548A" w:rsidRPr="00E0548A" w14:paraId="5B6485C8" w14:textId="77777777" w:rsidTr="008C78D9">
        <w:trPr>
          <w:jc w:val="center"/>
        </w:trPr>
        <w:tc>
          <w:tcPr>
            <w:tcW w:w="1500" w:type="dxa"/>
            <w:tcBorders>
              <w:bottom w:val="single" w:sz="4" w:space="0" w:color="auto"/>
            </w:tcBorders>
            <w:shd w:val="clear" w:color="auto" w:fill="BFBFBF"/>
          </w:tcPr>
          <w:p w14:paraId="1983F001" w14:textId="77777777" w:rsidR="007661FD" w:rsidRPr="00E0548A" w:rsidRDefault="007661FD" w:rsidP="008C78D9">
            <w:pPr>
              <w:jc w:val="center"/>
              <w:rPr>
                <w:rFonts w:ascii="ＭＳ 明朝" w:hAnsi="ＭＳ 明朝"/>
                <w:szCs w:val="21"/>
              </w:rPr>
            </w:pPr>
            <w:r w:rsidRPr="00E0548A">
              <w:rPr>
                <w:rFonts w:ascii="ＭＳ 明朝" w:hAnsi="ＭＳ 明朝" w:hint="eastAsia"/>
                <w:szCs w:val="21"/>
              </w:rPr>
              <w:t>臨時情報</w:t>
            </w:r>
          </w:p>
        </w:tc>
        <w:tc>
          <w:tcPr>
            <w:tcW w:w="7334" w:type="dxa"/>
            <w:tcBorders>
              <w:bottom w:val="single" w:sz="4" w:space="0" w:color="auto"/>
            </w:tcBorders>
            <w:shd w:val="clear" w:color="auto" w:fill="BFBFBF"/>
          </w:tcPr>
          <w:p w14:paraId="759B2197" w14:textId="77777777" w:rsidR="007661FD" w:rsidRPr="00E0548A" w:rsidRDefault="007661FD" w:rsidP="008C78D9">
            <w:pPr>
              <w:jc w:val="center"/>
              <w:rPr>
                <w:rFonts w:ascii="ＭＳ 明朝" w:hAnsi="ＭＳ 明朝"/>
                <w:szCs w:val="21"/>
              </w:rPr>
            </w:pPr>
            <w:r w:rsidRPr="00E0548A">
              <w:rPr>
                <w:rFonts w:ascii="ＭＳ 明朝" w:hAnsi="ＭＳ 明朝" w:hint="eastAsia"/>
                <w:szCs w:val="21"/>
              </w:rPr>
              <w:t>主な応急対策業務</w:t>
            </w:r>
          </w:p>
        </w:tc>
      </w:tr>
      <w:tr w:rsidR="00E0548A" w:rsidRPr="00E0548A" w14:paraId="6D00B892" w14:textId="77777777" w:rsidTr="008C78D9">
        <w:trPr>
          <w:jc w:val="center"/>
        </w:trPr>
        <w:tc>
          <w:tcPr>
            <w:tcW w:w="1500" w:type="dxa"/>
          </w:tcPr>
          <w:p w14:paraId="3A6D2119" w14:textId="77777777" w:rsidR="007661FD" w:rsidRPr="00E0548A" w:rsidRDefault="007661FD" w:rsidP="008C78D9">
            <w:pPr>
              <w:rPr>
                <w:rFonts w:ascii="ＭＳ 明朝" w:hAnsi="ＭＳ 明朝"/>
                <w:szCs w:val="21"/>
              </w:rPr>
            </w:pPr>
            <w:r w:rsidRPr="00E0548A">
              <w:rPr>
                <w:rFonts w:ascii="ＭＳ 明朝" w:hAnsi="ＭＳ 明朝" w:hint="eastAsia"/>
                <w:szCs w:val="21"/>
              </w:rPr>
              <w:t>巨大地震警戒</w:t>
            </w:r>
          </w:p>
        </w:tc>
        <w:tc>
          <w:tcPr>
            <w:tcW w:w="7334" w:type="dxa"/>
          </w:tcPr>
          <w:p w14:paraId="4D01C2C6" w14:textId="77777777" w:rsidR="006F21D1" w:rsidRPr="00E0548A" w:rsidRDefault="006F21D1" w:rsidP="006F21D1">
            <w:pPr>
              <w:rPr>
                <w:rFonts w:ascii="ＭＳ 明朝" w:hAnsi="ＭＳ 明朝"/>
              </w:rPr>
            </w:pPr>
            <w:r w:rsidRPr="00E0548A">
              <w:rPr>
                <w:rFonts w:ascii="ＭＳ 明朝" w:hAnsi="ＭＳ 明朝" w:hint="eastAsia"/>
              </w:rPr>
              <w:t>○地震発災後、応急対策業務（第１フェーズ）を速やかに実施できる準備</w:t>
            </w:r>
          </w:p>
          <w:p w14:paraId="579A02EA" w14:textId="77777777" w:rsidR="006F21D1" w:rsidRPr="00E0548A" w:rsidRDefault="006F21D1" w:rsidP="006F21D1">
            <w:pPr>
              <w:ind w:firstLineChars="100" w:firstLine="211"/>
              <w:rPr>
                <w:rFonts w:ascii="ＭＳ 明朝" w:hAnsi="ＭＳ 明朝"/>
              </w:rPr>
            </w:pPr>
            <w:r w:rsidRPr="00E0548A">
              <w:rPr>
                <w:rFonts w:ascii="ＭＳ 明朝" w:hAnsi="ＭＳ 明朝" w:hint="eastAsia"/>
              </w:rPr>
              <w:t>体制を維持</w:t>
            </w:r>
          </w:p>
          <w:p w14:paraId="4A6EB4CE" w14:textId="77777777" w:rsidR="006F21D1" w:rsidRPr="00E0548A" w:rsidRDefault="006F21D1" w:rsidP="006F21D1">
            <w:pPr>
              <w:rPr>
                <w:rFonts w:ascii="ＭＳ 明朝" w:hAnsi="ＭＳ 明朝"/>
              </w:rPr>
            </w:pPr>
            <w:r w:rsidRPr="00E0548A">
              <w:rPr>
                <w:rFonts w:ascii="ＭＳ 明朝" w:hAnsi="ＭＳ 明朝" w:hint="eastAsia"/>
              </w:rPr>
              <w:t>○休校並びに学校行事の開催可否の判断</w:t>
            </w:r>
          </w:p>
          <w:p w14:paraId="141B2EF6" w14:textId="77777777" w:rsidR="006F21D1" w:rsidRPr="00E0548A" w:rsidRDefault="006F21D1" w:rsidP="006F21D1">
            <w:pPr>
              <w:rPr>
                <w:rFonts w:ascii="ＭＳ 明朝" w:hAnsi="ＭＳ 明朝"/>
              </w:rPr>
            </w:pPr>
            <w:r w:rsidRPr="00E0548A">
              <w:rPr>
                <w:rFonts w:ascii="ＭＳ 明朝" w:hAnsi="ＭＳ 明朝" w:hint="eastAsia"/>
              </w:rPr>
              <w:t>○部（局）内及び関係機関からの情報収集・整理及び連絡調整【各所管所属】</w:t>
            </w:r>
          </w:p>
          <w:p w14:paraId="71E54AF6" w14:textId="77777777" w:rsidR="006F21D1" w:rsidRPr="00E0548A" w:rsidRDefault="006F21D1" w:rsidP="006F21D1">
            <w:pPr>
              <w:rPr>
                <w:rFonts w:ascii="ＭＳ 明朝" w:hAnsi="ＭＳ 明朝"/>
              </w:rPr>
            </w:pPr>
            <w:r w:rsidRPr="00E0548A">
              <w:rPr>
                <w:rFonts w:ascii="ＭＳ 明朝" w:hAnsi="ＭＳ 明朝" w:hint="eastAsia"/>
              </w:rPr>
              <w:t>○所管施設との連絡調整【各所管所属】</w:t>
            </w:r>
          </w:p>
          <w:p w14:paraId="6A48C7E1" w14:textId="77777777" w:rsidR="007661FD" w:rsidRPr="00E0548A" w:rsidRDefault="006F21D1" w:rsidP="006F21D1">
            <w:pPr>
              <w:ind w:left="211" w:hangingChars="100" w:hanging="211"/>
              <w:rPr>
                <w:rFonts w:ascii="ＭＳ 明朝" w:hAnsi="ＭＳ 明朝"/>
              </w:rPr>
            </w:pPr>
            <w:r w:rsidRPr="00E0548A">
              <w:rPr>
                <w:rFonts w:ascii="ＭＳ 明朝" w:hAnsi="ＭＳ 明朝" w:hint="eastAsia"/>
              </w:rPr>
              <w:t>○所管施設（学校等）の避難経路等の確認【各所管所属】</w:t>
            </w:r>
          </w:p>
          <w:p w14:paraId="7FFB7692" w14:textId="0528E233" w:rsidR="002D3A42" w:rsidRPr="00E0548A" w:rsidRDefault="002D3A42" w:rsidP="006F21D1">
            <w:pPr>
              <w:ind w:left="211" w:hangingChars="100" w:hanging="211"/>
              <w:rPr>
                <w:rFonts w:ascii="ＭＳ 明朝" w:hAnsi="ＭＳ 明朝"/>
                <w:szCs w:val="21"/>
              </w:rPr>
            </w:pPr>
            <w:r w:rsidRPr="00E0548A">
              <w:rPr>
                <w:rFonts w:hint="eastAsia"/>
                <w:kern w:val="0"/>
              </w:rPr>
              <w:t>○所管イベントの開催可否の判断【各所管所属】</w:t>
            </w:r>
          </w:p>
        </w:tc>
      </w:tr>
    </w:tbl>
    <w:p w14:paraId="4FB5AADB" w14:textId="77777777" w:rsidR="007661FD" w:rsidRPr="00E0548A" w:rsidRDefault="007661FD" w:rsidP="007661FD">
      <w:pPr>
        <w:rPr>
          <w:rFonts w:ascii="ＭＳ 明朝" w:hAnsi="ＭＳ 明朝"/>
          <w:szCs w:val="21"/>
        </w:rPr>
      </w:pPr>
      <w:r w:rsidRPr="00E0548A">
        <w:rPr>
          <w:rFonts w:ascii="ＭＳ 明朝" w:hAnsi="ＭＳ 明朝" w:hint="eastAsia"/>
          <w:szCs w:val="21"/>
        </w:rPr>
        <w:t>「南海トラフ地震臨時情報（巨大地震警戒）」が発表され、「巨大地震警戒対応期間」（１週間）が経過した際は、「巨大地震注意対応期間」へ移行。</w:t>
      </w:r>
    </w:p>
    <w:p w14:paraId="07686A1B" w14:textId="77777777" w:rsidR="007661FD" w:rsidRPr="00E0548A" w:rsidRDefault="007661FD" w:rsidP="007661FD">
      <w:pPr>
        <w:rPr>
          <w:rFonts w:ascii="ＭＳ 明朝" w:hAnsi="ＭＳ 明朝"/>
          <w:szCs w:val="21"/>
        </w:rPr>
      </w:pPr>
    </w:p>
    <w:p w14:paraId="4BBB396B" w14:textId="4469E5F8" w:rsidR="007661FD" w:rsidRPr="00E0548A" w:rsidRDefault="007661FD" w:rsidP="007661FD">
      <w:pPr>
        <w:pStyle w:val="af4"/>
        <w:ind w:leftChars="0" w:left="0"/>
        <w:rPr>
          <w:rFonts w:ascii="ＭＳ ゴシック" w:eastAsia="ＭＳ ゴシック" w:hAnsi="ＭＳ ゴシック"/>
          <w:szCs w:val="21"/>
        </w:rPr>
      </w:pPr>
      <w:r w:rsidRPr="00E0548A">
        <w:rPr>
          <w:rFonts w:ascii="ＭＳ ゴシック" w:eastAsia="ＭＳ ゴシック" w:hAnsi="ＭＳ ゴシック" w:hint="eastAsia"/>
          <w:szCs w:val="21"/>
        </w:rPr>
        <w:t>＜南海トラフ地震臨時情報（巨大地震注意）発表時</w:t>
      </w:r>
      <w:r w:rsidR="002F25B5" w:rsidRPr="00E0548A">
        <w:rPr>
          <w:rFonts w:ascii="ＭＳ ゴシック" w:eastAsia="ＭＳ ゴシック" w:hAnsi="ＭＳ ゴシック" w:hint="eastAsia"/>
          <w:szCs w:val="21"/>
        </w:rPr>
        <w:t>（</w:t>
      </w:r>
      <w:r w:rsidR="002F25B5" w:rsidRPr="00E0548A">
        <w:rPr>
          <w:rFonts w:ascii="ＭＳ 明朝" w:hAnsi="ＭＳ 明朝" w:hint="eastAsia"/>
          <w:szCs w:val="21"/>
        </w:rPr>
        <w:t>巨大地震警戒からの移行時を含む</w:t>
      </w:r>
      <w:r w:rsidR="002F25B5" w:rsidRPr="00E0548A">
        <w:rPr>
          <w:rFonts w:ascii="ＭＳ ゴシック" w:eastAsia="ＭＳ ゴシック" w:hAnsi="ＭＳ ゴシック" w:hint="eastAsia"/>
          <w:szCs w:val="21"/>
        </w:rPr>
        <w:t>）</w:t>
      </w:r>
      <w:r w:rsidRPr="00E0548A">
        <w:rPr>
          <w:rFonts w:ascii="ＭＳ ゴシック" w:eastAsia="ＭＳ ゴシック" w:hAnsi="ＭＳ ゴシック" w:hint="eastAsia"/>
          <w:szCs w:val="21"/>
        </w:rPr>
        <w:t>＞</w:t>
      </w:r>
    </w:p>
    <w:tbl>
      <w:tblPr>
        <w:tblpPr w:leftFromText="142" w:rightFromText="142" w:vertAnchor="text" w:tblpXSpec="center" w:tblpY="1"/>
        <w:tblOverlap w:val="neve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00"/>
        <w:gridCol w:w="7334"/>
      </w:tblGrid>
      <w:tr w:rsidR="00E0548A" w:rsidRPr="00E0548A" w14:paraId="7CB4A4BB" w14:textId="77777777" w:rsidTr="008C78D9">
        <w:trPr>
          <w:jc w:val="center"/>
        </w:trPr>
        <w:tc>
          <w:tcPr>
            <w:tcW w:w="1500" w:type="dxa"/>
            <w:tcBorders>
              <w:bottom w:val="single" w:sz="4" w:space="0" w:color="auto"/>
            </w:tcBorders>
            <w:shd w:val="clear" w:color="auto" w:fill="BFBFBF"/>
          </w:tcPr>
          <w:p w14:paraId="68968CC5" w14:textId="77777777" w:rsidR="007661FD" w:rsidRPr="00E0548A" w:rsidRDefault="007661FD" w:rsidP="008C78D9">
            <w:pPr>
              <w:jc w:val="center"/>
              <w:rPr>
                <w:rFonts w:ascii="ＭＳ 明朝" w:hAnsi="ＭＳ 明朝"/>
                <w:szCs w:val="21"/>
              </w:rPr>
            </w:pPr>
            <w:r w:rsidRPr="00E0548A">
              <w:rPr>
                <w:rFonts w:ascii="ＭＳ 明朝" w:hAnsi="ＭＳ 明朝" w:hint="eastAsia"/>
                <w:szCs w:val="21"/>
              </w:rPr>
              <w:t>臨時情報</w:t>
            </w:r>
          </w:p>
        </w:tc>
        <w:tc>
          <w:tcPr>
            <w:tcW w:w="7334" w:type="dxa"/>
            <w:tcBorders>
              <w:bottom w:val="single" w:sz="4" w:space="0" w:color="auto"/>
            </w:tcBorders>
            <w:shd w:val="clear" w:color="auto" w:fill="BFBFBF"/>
          </w:tcPr>
          <w:p w14:paraId="72A345AB" w14:textId="77777777" w:rsidR="007661FD" w:rsidRPr="00E0548A" w:rsidRDefault="007661FD" w:rsidP="008C78D9">
            <w:pPr>
              <w:jc w:val="center"/>
              <w:rPr>
                <w:rFonts w:ascii="ＭＳ 明朝" w:hAnsi="ＭＳ 明朝"/>
                <w:szCs w:val="21"/>
              </w:rPr>
            </w:pPr>
            <w:r w:rsidRPr="00E0548A">
              <w:rPr>
                <w:rFonts w:ascii="ＭＳ 明朝" w:hAnsi="ＭＳ 明朝" w:hint="eastAsia"/>
                <w:szCs w:val="21"/>
              </w:rPr>
              <w:t>主な応急対策業務</w:t>
            </w:r>
          </w:p>
        </w:tc>
      </w:tr>
      <w:tr w:rsidR="00E0548A" w:rsidRPr="00E0548A" w14:paraId="7713C9AD" w14:textId="77777777" w:rsidTr="008C78D9">
        <w:trPr>
          <w:jc w:val="center"/>
        </w:trPr>
        <w:tc>
          <w:tcPr>
            <w:tcW w:w="1500" w:type="dxa"/>
          </w:tcPr>
          <w:p w14:paraId="3920A4A0" w14:textId="77777777" w:rsidR="007661FD" w:rsidRPr="00E0548A" w:rsidRDefault="007661FD" w:rsidP="008C78D9">
            <w:pPr>
              <w:rPr>
                <w:rFonts w:ascii="ＭＳ 明朝" w:hAnsi="ＭＳ 明朝"/>
                <w:szCs w:val="21"/>
              </w:rPr>
            </w:pPr>
            <w:r w:rsidRPr="00E0548A">
              <w:rPr>
                <w:rFonts w:ascii="ＭＳ 明朝" w:hAnsi="ＭＳ 明朝" w:hint="eastAsia"/>
                <w:szCs w:val="21"/>
              </w:rPr>
              <w:t>巨大地震注意</w:t>
            </w:r>
          </w:p>
        </w:tc>
        <w:tc>
          <w:tcPr>
            <w:tcW w:w="7334" w:type="dxa"/>
          </w:tcPr>
          <w:p w14:paraId="32916692" w14:textId="77777777" w:rsidR="006F21D1" w:rsidRPr="00E0548A" w:rsidRDefault="006F21D1" w:rsidP="006F21D1">
            <w:pPr>
              <w:rPr>
                <w:rFonts w:ascii="ＭＳ 明朝" w:hAnsi="ＭＳ 明朝"/>
              </w:rPr>
            </w:pPr>
            <w:r w:rsidRPr="00E0548A">
              <w:rPr>
                <w:rFonts w:ascii="ＭＳ 明朝" w:hAnsi="ＭＳ 明朝" w:hint="eastAsia"/>
              </w:rPr>
              <w:t>○地震発災に備えた情報連絡体制の維持</w:t>
            </w:r>
          </w:p>
          <w:p w14:paraId="0F18B480" w14:textId="77777777" w:rsidR="006F21D1" w:rsidRPr="00E0548A" w:rsidRDefault="006F21D1" w:rsidP="006F21D1">
            <w:pPr>
              <w:rPr>
                <w:rFonts w:ascii="ＭＳ 明朝" w:hAnsi="ＭＳ 明朝"/>
              </w:rPr>
            </w:pPr>
            <w:r w:rsidRPr="00E0548A">
              <w:rPr>
                <w:rFonts w:ascii="ＭＳ 明朝" w:hAnsi="ＭＳ 明朝" w:hint="eastAsia"/>
              </w:rPr>
              <w:t>○部（局）内及び関係機関からの情報収集・整理及び連絡調整【各所管所属】○所管施設との連絡調整【各所管所属】</w:t>
            </w:r>
          </w:p>
          <w:p w14:paraId="750F0833" w14:textId="77777777" w:rsidR="000C3CFA" w:rsidRPr="00E0548A" w:rsidRDefault="006F21D1" w:rsidP="006F21D1">
            <w:pPr>
              <w:rPr>
                <w:rFonts w:ascii="ＭＳ 明朝" w:hAnsi="ＭＳ 明朝"/>
              </w:rPr>
            </w:pPr>
            <w:r w:rsidRPr="00E0548A">
              <w:rPr>
                <w:rFonts w:ascii="ＭＳ 明朝" w:hAnsi="ＭＳ 明朝" w:hint="eastAsia"/>
              </w:rPr>
              <w:t>○所管施設（学校等）の避難経路等の確認【各所管所属】</w:t>
            </w:r>
          </w:p>
          <w:p w14:paraId="23185223" w14:textId="5CBA7400" w:rsidR="002D3A42" w:rsidRPr="00E0548A" w:rsidRDefault="002D3A42" w:rsidP="006F21D1">
            <w:pPr>
              <w:rPr>
                <w:rFonts w:ascii="ＭＳ 明朝" w:hAnsi="ＭＳ 明朝"/>
                <w:szCs w:val="21"/>
              </w:rPr>
            </w:pPr>
            <w:r w:rsidRPr="00E0548A">
              <w:rPr>
                <w:rFonts w:hint="eastAsia"/>
                <w:kern w:val="0"/>
              </w:rPr>
              <w:t>○所管イベントの開催可否の判断【各所管所属】</w:t>
            </w:r>
          </w:p>
        </w:tc>
      </w:tr>
    </w:tbl>
    <w:p w14:paraId="4D2CDE32" w14:textId="3FFB8B1E" w:rsidR="007661FD" w:rsidRPr="00E0548A" w:rsidRDefault="007661FD" w:rsidP="007661FD">
      <w:pPr>
        <w:rPr>
          <w:rFonts w:ascii="ＭＳ 明朝" w:hAnsi="ＭＳ 明朝"/>
          <w:szCs w:val="21"/>
        </w:rPr>
      </w:pPr>
    </w:p>
    <w:p w14:paraId="59D0D1FB" w14:textId="77777777" w:rsidR="00BD6692" w:rsidRPr="00E0548A" w:rsidRDefault="00BD6692" w:rsidP="00BD6692">
      <w:pPr>
        <w:ind w:firstLineChars="100" w:firstLine="211"/>
        <w:rPr>
          <w:rFonts w:ascii="ＭＳ 明朝" w:hAnsi="ＭＳ 明朝"/>
          <w:szCs w:val="21"/>
        </w:rPr>
      </w:pPr>
      <w:r w:rsidRPr="00E0548A">
        <w:rPr>
          <w:rFonts w:ascii="ＭＳ 明朝" w:hAnsi="ＭＳ 明朝" w:hint="eastAsia"/>
          <w:szCs w:val="21"/>
        </w:rPr>
        <w:t>なお、南海トラフ地震臨時情報（巨大地震警戒及び注意）発表時の主な所管施設等については、前述する＜災害発生時＞に記載する内容と同様。</w:t>
      </w:r>
    </w:p>
    <w:p w14:paraId="24E5DC1E" w14:textId="77777777" w:rsidR="008B4B2B" w:rsidRPr="00E0548A" w:rsidRDefault="008B4B2B" w:rsidP="007661FD">
      <w:pPr>
        <w:widowControl/>
        <w:jc w:val="left"/>
        <w:rPr>
          <w:rFonts w:ascii="ＭＳ 明朝" w:hAnsi="ＭＳ 明朝"/>
          <w:sz w:val="18"/>
          <w:szCs w:val="21"/>
        </w:rPr>
      </w:pPr>
    </w:p>
    <w:p w14:paraId="213A427E" w14:textId="77777777" w:rsidR="008B4B2B" w:rsidRPr="00E0548A" w:rsidRDefault="008B4B2B" w:rsidP="008B4B2B">
      <w:pPr>
        <w:widowControl/>
        <w:ind w:leftChars="400" w:left="844"/>
        <w:jc w:val="left"/>
        <w:rPr>
          <w:rFonts w:ascii="ＭＳ 明朝" w:hAnsi="ＭＳ 明朝"/>
          <w:sz w:val="18"/>
          <w:szCs w:val="21"/>
        </w:rPr>
      </w:pPr>
    </w:p>
    <w:p w14:paraId="53159C36" w14:textId="046CEBE8" w:rsidR="008B4B2B" w:rsidRPr="00E0548A" w:rsidRDefault="008B4B2B" w:rsidP="008B4B2B">
      <w:pPr>
        <w:widowControl/>
        <w:ind w:leftChars="400" w:left="844"/>
        <w:jc w:val="left"/>
        <w:rPr>
          <w:rFonts w:ascii="ＭＳ 明朝" w:hAnsi="ＭＳ 明朝"/>
          <w:sz w:val="18"/>
          <w:szCs w:val="21"/>
        </w:rPr>
      </w:pPr>
    </w:p>
    <w:p w14:paraId="7F16A58C" w14:textId="3B126C41" w:rsidR="008B4B2B" w:rsidRPr="00E0548A" w:rsidRDefault="008372F9" w:rsidP="00D95C46">
      <w:pPr>
        <w:widowControl/>
        <w:jc w:val="left"/>
        <w:rPr>
          <w:rFonts w:ascii="ＭＳ ゴシック" w:eastAsia="ＭＳ ゴシック" w:hAnsi="ＭＳ ゴシック"/>
          <w:szCs w:val="21"/>
        </w:rPr>
      </w:pPr>
      <w:r w:rsidRPr="00E0548A">
        <w:rPr>
          <w:rFonts w:ascii="ＭＳ ゴシック" w:eastAsia="ＭＳ ゴシック" w:hAnsi="ＭＳ ゴシック" w:hint="eastAsia"/>
          <w:szCs w:val="21"/>
        </w:rPr>
        <w:lastRenderedPageBreak/>
        <w:t>⑰</w:t>
      </w:r>
      <w:r w:rsidR="008B4B2B" w:rsidRPr="00E0548A">
        <w:rPr>
          <w:rFonts w:ascii="ＭＳ ゴシック" w:eastAsia="ＭＳ ゴシック" w:hAnsi="ＭＳ ゴシック" w:hint="eastAsia"/>
          <w:szCs w:val="21"/>
        </w:rPr>
        <w:t>議会事務局</w:t>
      </w:r>
    </w:p>
    <w:p w14:paraId="4D35AC4E" w14:textId="77777777" w:rsidR="002C01FF" w:rsidRPr="00E0548A" w:rsidRDefault="002C01FF" w:rsidP="002C01FF">
      <w:pPr>
        <w:pStyle w:val="af4"/>
        <w:ind w:leftChars="0" w:left="0"/>
        <w:rPr>
          <w:rFonts w:ascii="ＭＳ ゴシック" w:eastAsia="ＭＳ ゴシック" w:hAnsi="ＭＳ ゴシック"/>
          <w:szCs w:val="21"/>
        </w:rPr>
      </w:pPr>
      <w:r w:rsidRPr="00E0548A">
        <w:rPr>
          <w:rFonts w:ascii="ＭＳ ゴシック" w:eastAsia="ＭＳ ゴシック" w:hAnsi="ＭＳ ゴシック" w:hint="eastAsia"/>
          <w:szCs w:val="21"/>
        </w:rPr>
        <w:t>＜災害発生時＞</w:t>
      </w:r>
    </w:p>
    <w:tbl>
      <w:tblPr>
        <w:tblpPr w:leftFromText="142" w:rightFromText="142" w:vertAnchor="text" w:tblpXSpec="center" w:tblpY="1"/>
        <w:tblOverlap w:val="neve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26"/>
        <w:gridCol w:w="7176"/>
      </w:tblGrid>
      <w:tr w:rsidR="00E0548A" w:rsidRPr="00E0548A" w14:paraId="24484C87" w14:textId="77777777" w:rsidTr="008B4B2B">
        <w:trPr>
          <w:jc w:val="center"/>
        </w:trPr>
        <w:tc>
          <w:tcPr>
            <w:tcW w:w="1526" w:type="dxa"/>
            <w:shd w:val="clear" w:color="auto" w:fill="BFBFBF"/>
          </w:tcPr>
          <w:p w14:paraId="22D9D536" w14:textId="77777777" w:rsidR="008B4B2B" w:rsidRPr="00E0548A" w:rsidRDefault="008B4B2B" w:rsidP="008B4B2B">
            <w:pPr>
              <w:jc w:val="center"/>
              <w:rPr>
                <w:rFonts w:ascii="ＭＳ 明朝" w:hAnsi="ＭＳ 明朝"/>
                <w:szCs w:val="21"/>
              </w:rPr>
            </w:pPr>
            <w:r w:rsidRPr="00E0548A">
              <w:rPr>
                <w:rFonts w:ascii="ＭＳ 明朝" w:hAnsi="ＭＳ 明朝" w:hint="eastAsia"/>
                <w:szCs w:val="21"/>
              </w:rPr>
              <w:t>フェーズ</w:t>
            </w:r>
          </w:p>
        </w:tc>
        <w:tc>
          <w:tcPr>
            <w:tcW w:w="7176" w:type="dxa"/>
            <w:shd w:val="clear" w:color="auto" w:fill="BFBFBF"/>
          </w:tcPr>
          <w:p w14:paraId="19D53B15" w14:textId="77777777" w:rsidR="008B4B2B" w:rsidRPr="00E0548A" w:rsidRDefault="008B4B2B" w:rsidP="008B4B2B">
            <w:pPr>
              <w:jc w:val="center"/>
              <w:rPr>
                <w:rFonts w:ascii="ＭＳ 明朝" w:hAnsi="ＭＳ 明朝"/>
                <w:szCs w:val="21"/>
              </w:rPr>
            </w:pPr>
            <w:r w:rsidRPr="00E0548A">
              <w:rPr>
                <w:rFonts w:ascii="ＭＳ 明朝" w:hAnsi="ＭＳ 明朝" w:hint="eastAsia"/>
                <w:szCs w:val="21"/>
              </w:rPr>
              <w:t>主な応急対策業務</w:t>
            </w:r>
          </w:p>
        </w:tc>
      </w:tr>
      <w:tr w:rsidR="00E0548A" w:rsidRPr="00E0548A" w14:paraId="169E1C64" w14:textId="77777777" w:rsidTr="008B4B2B">
        <w:trPr>
          <w:jc w:val="center"/>
        </w:trPr>
        <w:tc>
          <w:tcPr>
            <w:tcW w:w="1526" w:type="dxa"/>
          </w:tcPr>
          <w:p w14:paraId="04AC9DDB" w14:textId="77777777" w:rsidR="008B4B2B" w:rsidRPr="00E0548A" w:rsidRDefault="008B4B2B" w:rsidP="008B4B2B">
            <w:pPr>
              <w:rPr>
                <w:rFonts w:ascii="ＭＳ 明朝" w:hAnsi="ＭＳ 明朝"/>
                <w:szCs w:val="21"/>
              </w:rPr>
            </w:pPr>
            <w:r w:rsidRPr="00E0548A">
              <w:rPr>
                <w:rFonts w:ascii="ＭＳ 明朝" w:hAnsi="ＭＳ 明朝" w:hint="eastAsia"/>
                <w:szCs w:val="21"/>
              </w:rPr>
              <w:t>第1フェーズ</w:t>
            </w:r>
          </w:p>
          <w:p w14:paraId="6D30809F" w14:textId="77777777" w:rsidR="008B4B2B" w:rsidRPr="00E0548A" w:rsidRDefault="008B4B2B" w:rsidP="008B4B2B">
            <w:pPr>
              <w:rPr>
                <w:rFonts w:ascii="ＭＳ 明朝" w:hAnsi="ＭＳ 明朝"/>
                <w:szCs w:val="21"/>
              </w:rPr>
            </w:pPr>
            <w:r w:rsidRPr="00E0548A">
              <w:rPr>
                <w:rFonts w:ascii="ＭＳ 明朝" w:hAnsi="ＭＳ 明朝" w:hint="eastAsia"/>
                <w:szCs w:val="21"/>
              </w:rPr>
              <w:t>(3時間まで)</w:t>
            </w:r>
          </w:p>
          <w:p w14:paraId="78C33816" w14:textId="77777777" w:rsidR="008B4B2B" w:rsidRPr="00E0548A" w:rsidRDefault="008B4B2B" w:rsidP="008B4B2B">
            <w:pPr>
              <w:rPr>
                <w:rFonts w:ascii="ＭＳ 明朝" w:hAnsi="ＭＳ 明朝"/>
                <w:szCs w:val="21"/>
              </w:rPr>
            </w:pPr>
          </w:p>
        </w:tc>
        <w:tc>
          <w:tcPr>
            <w:tcW w:w="7176" w:type="dxa"/>
          </w:tcPr>
          <w:p w14:paraId="744BAC95" w14:textId="77777777" w:rsidR="008B4B2B" w:rsidRPr="00E0548A" w:rsidRDefault="008B4B2B" w:rsidP="008B4B2B">
            <w:pPr>
              <w:rPr>
                <w:rFonts w:ascii="ＭＳ 明朝" w:hAnsi="ＭＳ 明朝"/>
                <w:szCs w:val="21"/>
              </w:rPr>
            </w:pPr>
            <w:r w:rsidRPr="00E0548A">
              <w:rPr>
                <w:rFonts w:ascii="ＭＳ 明朝" w:hAnsi="ＭＳ 明朝" w:hint="eastAsia"/>
                <w:szCs w:val="21"/>
              </w:rPr>
              <w:t>○初動対応、体制の確立</w:t>
            </w:r>
          </w:p>
          <w:p w14:paraId="1628D56E" w14:textId="77777777" w:rsidR="008B4B2B" w:rsidRPr="00E0548A" w:rsidRDefault="008B4B2B" w:rsidP="008B4B2B">
            <w:pPr>
              <w:rPr>
                <w:rFonts w:ascii="ＭＳ 明朝" w:hAnsi="ＭＳ 明朝"/>
                <w:szCs w:val="21"/>
              </w:rPr>
            </w:pPr>
            <w:r w:rsidRPr="00E0548A">
              <w:rPr>
                <w:rFonts w:ascii="ＭＳ 明朝" w:hAnsi="ＭＳ 明朝" w:hint="eastAsia"/>
                <w:szCs w:val="21"/>
              </w:rPr>
              <w:t>○事務局内職員の安否確認と参集状況の把握、報告【議会総務】</w:t>
            </w:r>
          </w:p>
          <w:p w14:paraId="379095D5" w14:textId="77777777" w:rsidR="008B4B2B" w:rsidRPr="00E0548A" w:rsidRDefault="008B4B2B" w:rsidP="008B4B2B">
            <w:pPr>
              <w:rPr>
                <w:rFonts w:ascii="ＭＳ 明朝" w:hAnsi="ＭＳ 明朝"/>
                <w:szCs w:val="21"/>
              </w:rPr>
            </w:pPr>
            <w:r w:rsidRPr="00E0548A">
              <w:rPr>
                <w:rFonts w:ascii="ＭＳ 明朝" w:hAnsi="ＭＳ 明朝" w:hint="eastAsia"/>
                <w:szCs w:val="21"/>
              </w:rPr>
              <w:t>○府議会議員の安否確認【議会総務】</w:t>
            </w:r>
          </w:p>
          <w:p w14:paraId="40D0E10C" w14:textId="77777777" w:rsidR="008B4B2B" w:rsidRPr="00E0548A" w:rsidRDefault="008B4B2B" w:rsidP="008B4B2B">
            <w:pPr>
              <w:rPr>
                <w:rFonts w:ascii="ＭＳ 明朝" w:hAnsi="ＭＳ 明朝"/>
                <w:szCs w:val="21"/>
              </w:rPr>
            </w:pPr>
            <w:r w:rsidRPr="00E0548A">
              <w:rPr>
                <w:rFonts w:ascii="ＭＳ 明朝" w:hAnsi="ＭＳ 明朝" w:hint="eastAsia"/>
                <w:szCs w:val="21"/>
              </w:rPr>
              <w:t>○事務局内及び関係機関からの情報収集及び連絡調整【議会総務】</w:t>
            </w:r>
          </w:p>
          <w:p w14:paraId="28566CF1" w14:textId="77777777" w:rsidR="008B4B2B" w:rsidRPr="00E0548A" w:rsidRDefault="008B4B2B" w:rsidP="008B4B2B">
            <w:pPr>
              <w:rPr>
                <w:rFonts w:ascii="ＭＳ 明朝" w:hAnsi="ＭＳ 明朝"/>
                <w:szCs w:val="21"/>
              </w:rPr>
            </w:pPr>
            <w:r w:rsidRPr="00E0548A">
              <w:rPr>
                <w:rFonts w:ascii="ＭＳ 明朝" w:hAnsi="ＭＳ 明朝" w:hint="eastAsia"/>
                <w:szCs w:val="21"/>
              </w:rPr>
              <w:t>○職員・来庁者の救助・搬送【各所属】</w:t>
            </w:r>
          </w:p>
        </w:tc>
      </w:tr>
      <w:tr w:rsidR="00E0548A" w:rsidRPr="00E0548A" w14:paraId="7AE79C3F" w14:textId="77777777" w:rsidTr="008B4B2B">
        <w:trPr>
          <w:jc w:val="center"/>
        </w:trPr>
        <w:tc>
          <w:tcPr>
            <w:tcW w:w="1526" w:type="dxa"/>
          </w:tcPr>
          <w:p w14:paraId="4AB3DCB4" w14:textId="77777777" w:rsidR="008B4B2B" w:rsidRPr="00E0548A" w:rsidRDefault="008B4B2B" w:rsidP="008B4B2B">
            <w:pPr>
              <w:rPr>
                <w:rFonts w:ascii="ＭＳ 明朝" w:hAnsi="ＭＳ 明朝"/>
                <w:szCs w:val="21"/>
              </w:rPr>
            </w:pPr>
            <w:r w:rsidRPr="00E0548A">
              <w:rPr>
                <w:rFonts w:ascii="ＭＳ 明朝" w:hAnsi="ＭＳ 明朝" w:hint="eastAsia"/>
                <w:szCs w:val="21"/>
              </w:rPr>
              <w:t>第2フェーズ</w:t>
            </w:r>
          </w:p>
          <w:p w14:paraId="7126BDF4" w14:textId="77777777" w:rsidR="008B4B2B" w:rsidRPr="00E0548A" w:rsidRDefault="008B4B2B" w:rsidP="008B4B2B">
            <w:pPr>
              <w:rPr>
                <w:rFonts w:ascii="ＭＳ 明朝" w:hAnsi="ＭＳ 明朝"/>
                <w:szCs w:val="21"/>
              </w:rPr>
            </w:pPr>
            <w:r w:rsidRPr="00E0548A">
              <w:rPr>
                <w:rFonts w:ascii="ＭＳ 明朝" w:hAnsi="ＭＳ 明朝" w:hint="eastAsia"/>
                <w:szCs w:val="21"/>
              </w:rPr>
              <w:t>(24時間まで)</w:t>
            </w:r>
          </w:p>
        </w:tc>
        <w:tc>
          <w:tcPr>
            <w:tcW w:w="7176" w:type="dxa"/>
          </w:tcPr>
          <w:p w14:paraId="76522E4D" w14:textId="77777777" w:rsidR="008B4B2B" w:rsidRPr="00E0548A" w:rsidRDefault="008B4B2B" w:rsidP="008B4B2B">
            <w:pPr>
              <w:ind w:left="211" w:hangingChars="100" w:hanging="211"/>
              <w:rPr>
                <w:rFonts w:ascii="ＭＳ 明朝" w:hAnsi="ＭＳ 明朝"/>
                <w:szCs w:val="21"/>
              </w:rPr>
            </w:pPr>
            <w:r w:rsidRPr="00E0548A">
              <w:rPr>
                <w:rFonts w:ascii="ＭＳ 明朝" w:hAnsi="ＭＳ 明朝" w:hint="eastAsia"/>
                <w:szCs w:val="21"/>
              </w:rPr>
              <w:t>○所管施設の被害状況の把握【議会総務】、報告及び二次災害防止対策の実施</w:t>
            </w:r>
          </w:p>
          <w:p w14:paraId="49C73922" w14:textId="77777777" w:rsidR="008B4B2B" w:rsidRPr="00E0548A" w:rsidRDefault="008B4B2B" w:rsidP="008B4B2B">
            <w:pPr>
              <w:rPr>
                <w:rFonts w:ascii="ＭＳ 明朝" w:hAnsi="ＭＳ 明朝"/>
                <w:szCs w:val="21"/>
              </w:rPr>
            </w:pPr>
            <w:r w:rsidRPr="00E0548A">
              <w:rPr>
                <w:rFonts w:ascii="ＭＳ 明朝" w:hAnsi="ＭＳ 明朝" w:hint="eastAsia"/>
                <w:szCs w:val="21"/>
              </w:rPr>
              <w:t>○府議会議員への情報提供等開始【議会総務】</w:t>
            </w:r>
          </w:p>
        </w:tc>
      </w:tr>
      <w:tr w:rsidR="00E0548A" w:rsidRPr="00E0548A" w14:paraId="7A9DB0D3" w14:textId="77777777" w:rsidTr="008B4B2B">
        <w:trPr>
          <w:jc w:val="center"/>
        </w:trPr>
        <w:tc>
          <w:tcPr>
            <w:tcW w:w="1526" w:type="dxa"/>
          </w:tcPr>
          <w:p w14:paraId="2262275B" w14:textId="77777777" w:rsidR="008B4B2B" w:rsidRPr="00E0548A" w:rsidRDefault="008B4B2B" w:rsidP="008B4B2B">
            <w:pPr>
              <w:rPr>
                <w:rFonts w:ascii="ＭＳ 明朝" w:hAnsi="ＭＳ 明朝"/>
                <w:szCs w:val="21"/>
              </w:rPr>
            </w:pPr>
            <w:r w:rsidRPr="00E0548A">
              <w:rPr>
                <w:rFonts w:ascii="ＭＳ 明朝" w:hAnsi="ＭＳ 明朝" w:hint="eastAsia"/>
                <w:szCs w:val="21"/>
              </w:rPr>
              <w:t>第3フェーズ</w:t>
            </w:r>
          </w:p>
          <w:p w14:paraId="2A8C9B50" w14:textId="77777777" w:rsidR="008B4B2B" w:rsidRPr="00E0548A" w:rsidRDefault="008B4B2B" w:rsidP="008B4B2B">
            <w:pPr>
              <w:rPr>
                <w:rFonts w:ascii="ＭＳ 明朝" w:hAnsi="ＭＳ 明朝"/>
                <w:szCs w:val="21"/>
              </w:rPr>
            </w:pPr>
            <w:r w:rsidRPr="00E0548A">
              <w:rPr>
                <w:rFonts w:ascii="ＭＳ 明朝" w:hAnsi="ＭＳ 明朝" w:hint="eastAsia"/>
                <w:szCs w:val="21"/>
              </w:rPr>
              <w:t>(72時間まで)</w:t>
            </w:r>
          </w:p>
        </w:tc>
        <w:tc>
          <w:tcPr>
            <w:tcW w:w="7176" w:type="dxa"/>
          </w:tcPr>
          <w:p w14:paraId="6F2F09F3" w14:textId="77777777" w:rsidR="008B4B2B" w:rsidRPr="00E0548A" w:rsidRDefault="008B4B2B" w:rsidP="008B4B2B">
            <w:pPr>
              <w:rPr>
                <w:rFonts w:ascii="ＭＳ 明朝" w:hAnsi="ＭＳ 明朝"/>
                <w:szCs w:val="21"/>
              </w:rPr>
            </w:pPr>
          </w:p>
        </w:tc>
      </w:tr>
      <w:tr w:rsidR="00E0548A" w:rsidRPr="00E0548A" w14:paraId="4A6CEDDA" w14:textId="77777777" w:rsidTr="008B4B2B">
        <w:trPr>
          <w:jc w:val="center"/>
        </w:trPr>
        <w:tc>
          <w:tcPr>
            <w:tcW w:w="1526" w:type="dxa"/>
          </w:tcPr>
          <w:p w14:paraId="0E95911B" w14:textId="77777777" w:rsidR="008B4B2B" w:rsidRPr="00E0548A" w:rsidRDefault="008B4B2B" w:rsidP="008B4B2B">
            <w:pPr>
              <w:rPr>
                <w:rFonts w:ascii="ＭＳ 明朝" w:hAnsi="ＭＳ 明朝"/>
                <w:szCs w:val="21"/>
              </w:rPr>
            </w:pPr>
            <w:r w:rsidRPr="00E0548A">
              <w:rPr>
                <w:rFonts w:ascii="ＭＳ 明朝" w:hAnsi="ＭＳ 明朝" w:hint="eastAsia"/>
                <w:szCs w:val="21"/>
              </w:rPr>
              <w:t>第4フェーズ</w:t>
            </w:r>
          </w:p>
          <w:p w14:paraId="1AEC756E" w14:textId="77777777" w:rsidR="008B4B2B" w:rsidRPr="00E0548A" w:rsidRDefault="008B4B2B" w:rsidP="008B4B2B">
            <w:pPr>
              <w:rPr>
                <w:rFonts w:ascii="ＭＳ 明朝" w:hAnsi="ＭＳ 明朝"/>
                <w:szCs w:val="21"/>
              </w:rPr>
            </w:pPr>
            <w:r w:rsidRPr="00E0548A">
              <w:rPr>
                <w:rFonts w:ascii="ＭＳ 明朝" w:hAnsi="ＭＳ 明朝" w:hint="eastAsia"/>
                <w:szCs w:val="21"/>
              </w:rPr>
              <w:t>(1週間まで)</w:t>
            </w:r>
          </w:p>
        </w:tc>
        <w:tc>
          <w:tcPr>
            <w:tcW w:w="7176" w:type="dxa"/>
          </w:tcPr>
          <w:p w14:paraId="7C61AE69" w14:textId="77777777" w:rsidR="008B4B2B" w:rsidRPr="00E0548A" w:rsidRDefault="008B4B2B" w:rsidP="008B4B2B">
            <w:pPr>
              <w:rPr>
                <w:rFonts w:ascii="ＭＳ 明朝" w:hAnsi="ＭＳ 明朝"/>
                <w:strike/>
                <w:szCs w:val="21"/>
              </w:rPr>
            </w:pPr>
          </w:p>
        </w:tc>
      </w:tr>
      <w:tr w:rsidR="00E0548A" w:rsidRPr="00E0548A" w14:paraId="7E01CE6B" w14:textId="77777777" w:rsidTr="008B4B2B">
        <w:trPr>
          <w:jc w:val="center"/>
        </w:trPr>
        <w:tc>
          <w:tcPr>
            <w:tcW w:w="1526" w:type="dxa"/>
          </w:tcPr>
          <w:p w14:paraId="4FED99D6" w14:textId="77777777" w:rsidR="008B4B2B" w:rsidRPr="00E0548A" w:rsidRDefault="008B4B2B" w:rsidP="008B4B2B">
            <w:pPr>
              <w:rPr>
                <w:rFonts w:ascii="ＭＳ 明朝" w:hAnsi="ＭＳ 明朝"/>
                <w:szCs w:val="21"/>
              </w:rPr>
            </w:pPr>
            <w:r w:rsidRPr="00E0548A">
              <w:rPr>
                <w:rFonts w:ascii="ＭＳ 明朝" w:hAnsi="ＭＳ 明朝" w:hint="eastAsia"/>
                <w:szCs w:val="21"/>
              </w:rPr>
              <w:t>第5フェーズ</w:t>
            </w:r>
          </w:p>
          <w:p w14:paraId="6933982E" w14:textId="77777777" w:rsidR="008B4B2B" w:rsidRPr="00E0548A" w:rsidRDefault="008B4B2B" w:rsidP="008B4B2B">
            <w:pPr>
              <w:rPr>
                <w:rFonts w:ascii="ＭＳ 明朝" w:hAnsi="ＭＳ 明朝"/>
                <w:szCs w:val="21"/>
              </w:rPr>
            </w:pPr>
            <w:r w:rsidRPr="00E0548A">
              <w:rPr>
                <w:rFonts w:ascii="ＭＳ 明朝" w:hAnsi="ＭＳ 明朝" w:hint="eastAsia"/>
                <w:szCs w:val="21"/>
              </w:rPr>
              <w:t>(2週間まで)</w:t>
            </w:r>
          </w:p>
        </w:tc>
        <w:tc>
          <w:tcPr>
            <w:tcW w:w="7176" w:type="dxa"/>
          </w:tcPr>
          <w:p w14:paraId="7B621D0F" w14:textId="77777777" w:rsidR="008B4B2B" w:rsidRPr="00E0548A" w:rsidRDefault="008B4B2B" w:rsidP="008B4B2B">
            <w:pPr>
              <w:ind w:left="211" w:hangingChars="100" w:hanging="211"/>
              <w:rPr>
                <w:rFonts w:ascii="ＭＳ 明朝" w:hAnsi="ＭＳ 明朝"/>
                <w:szCs w:val="21"/>
              </w:rPr>
            </w:pPr>
            <w:r w:rsidRPr="00E0548A">
              <w:rPr>
                <w:rFonts w:ascii="ＭＳ 明朝" w:hAnsi="ＭＳ 明朝" w:hint="eastAsia"/>
                <w:szCs w:val="21"/>
              </w:rPr>
              <w:t>○被災所管施設の応急復旧（当該施設において応急的に業務を再開するために実施する措置のことをいう。本格的な復旧作業の前段階。）開始</w:t>
            </w:r>
          </w:p>
        </w:tc>
      </w:tr>
      <w:tr w:rsidR="00E0548A" w:rsidRPr="00E0548A" w14:paraId="66EDCB9B" w14:textId="77777777" w:rsidTr="008B4B2B">
        <w:trPr>
          <w:jc w:val="center"/>
        </w:trPr>
        <w:tc>
          <w:tcPr>
            <w:tcW w:w="1526" w:type="dxa"/>
          </w:tcPr>
          <w:p w14:paraId="2658D662" w14:textId="77777777" w:rsidR="008B4B2B" w:rsidRPr="00E0548A" w:rsidRDefault="008B4B2B" w:rsidP="008B4B2B">
            <w:pPr>
              <w:rPr>
                <w:rFonts w:ascii="ＭＳ 明朝" w:hAnsi="ＭＳ 明朝"/>
                <w:szCs w:val="21"/>
              </w:rPr>
            </w:pPr>
            <w:r w:rsidRPr="00E0548A">
              <w:rPr>
                <w:rFonts w:ascii="ＭＳ 明朝" w:hAnsi="ＭＳ 明朝" w:hint="eastAsia"/>
                <w:szCs w:val="21"/>
              </w:rPr>
              <w:t>第6フェーズ</w:t>
            </w:r>
          </w:p>
          <w:p w14:paraId="39253CA7" w14:textId="77777777" w:rsidR="008B4B2B" w:rsidRPr="00E0548A" w:rsidRDefault="008B4B2B" w:rsidP="008B4B2B">
            <w:pPr>
              <w:rPr>
                <w:rFonts w:ascii="ＭＳ 明朝" w:hAnsi="ＭＳ 明朝"/>
                <w:szCs w:val="21"/>
              </w:rPr>
            </w:pPr>
            <w:r w:rsidRPr="00E0548A">
              <w:rPr>
                <w:rFonts w:ascii="ＭＳ 明朝" w:hAnsi="ＭＳ 明朝" w:hint="eastAsia"/>
                <w:szCs w:val="21"/>
              </w:rPr>
              <w:t>(1ヶ月まで)</w:t>
            </w:r>
          </w:p>
        </w:tc>
        <w:tc>
          <w:tcPr>
            <w:tcW w:w="7176" w:type="dxa"/>
          </w:tcPr>
          <w:p w14:paraId="64949E58" w14:textId="77777777" w:rsidR="008B4B2B" w:rsidRPr="00E0548A" w:rsidRDefault="008B4B2B" w:rsidP="008B4B2B">
            <w:pPr>
              <w:rPr>
                <w:rFonts w:ascii="ＭＳ ゴシック" w:eastAsia="ＭＳ ゴシック" w:hAnsi="ＭＳ ゴシック"/>
                <w:szCs w:val="21"/>
              </w:rPr>
            </w:pPr>
            <w:r w:rsidRPr="00E0548A">
              <w:rPr>
                <w:rFonts w:ascii="ＭＳ 明朝" w:hAnsi="ＭＳ 明朝" w:hint="eastAsia"/>
                <w:szCs w:val="21"/>
              </w:rPr>
              <w:t>○被災所管施設の応急復旧</w:t>
            </w:r>
          </w:p>
          <w:p w14:paraId="348B8158" w14:textId="77777777" w:rsidR="008B4B2B" w:rsidRPr="00E0548A" w:rsidRDefault="008B4B2B" w:rsidP="008B4B2B">
            <w:pPr>
              <w:rPr>
                <w:rFonts w:ascii="ＭＳ ゴシック" w:eastAsia="ＭＳ ゴシック" w:hAnsi="ＭＳ ゴシック"/>
                <w:szCs w:val="21"/>
              </w:rPr>
            </w:pPr>
          </w:p>
        </w:tc>
      </w:tr>
    </w:tbl>
    <w:p w14:paraId="4BA8F3D1" w14:textId="1CFEFDBB" w:rsidR="008B4B2B" w:rsidRPr="00E0548A" w:rsidRDefault="008B4B2B" w:rsidP="008B4B2B">
      <w:pPr>
        <w:rPr>
          <w:rFonts w:ascii="ＭＳ 明朝" w:hAnsi="ＭＳ 明朝"/>
          <w:szCs w:val="21"/>
        </w:rPr>
      </w:pPr>
    </w:p>
    <w:p w14:paraId="7D58B523" w14:textId="77777777" w:rsidR="00E144D7" w:rsidRPr="00E0548A" w:rsidRDefault="00E144D7" w:rsidP="008B4B2B">
      <w:pPr>
        <w:rPr>
          <w:rFonts w:ascii="ＭＳ 明朝" w:hAnsi="ＭＳ 明朝"/>
          <w:szCs w:val="21"/>
        </w:rPr>
      </w:pPr>
    </w:p>
    <w:p w14:paraId="59F72278" w14:textId="77777777" w:rsidR="007661FD" w:rsidRPr="00E0548A" w:rsidRDefault="007661FD" w:rsidP="007661FD">
      <w:pPr>
        <w:pStyle w:val="af4"/>
        <w:ind w:leftChars="0" w:left="0"/>
        <w:rPr>
          <w:rFonts w:ascii="ＭＳ ゴシック" w:eastAsia="ＭＳ ゴシック" w:hAnsi="ＭＳ ゴシック"/>
          <w:szCs w:val="21"/>
        </w:rPr>
      </w:pPr>
      <w:r w:rsidRPr="00E0548A">
        <w:rPr>
          <w:rFonts w:ascii="ＭＳ ゴシック" w:eastAsia="ＭＳ ゴシック" w:hAnsi="ＭＳ ゴシック" w:hint="eastAsia"/>
          <w:szCs w:val="21"/>
        </w:rPr>
        <w:t>＜南海トラフ地震臨時情報（巨大地震警戒）発表時＞</w:t>
      </w:r>
    </w:p>
    <w:tbl>
      <w:tblPr>
        <w:tblpPr w:leftFromText="142" w:rightFromText="142" w:vertAnchor="text" w:tblpXSpec="center" w:tblpY="1"/>
        <w:tblOverlap w:val="neve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00"/>
        <w:gridCol w:w="7334"/>
      </w:tblGrid>
      <w:tr w:rsidR="00E0548A" w:rsidRPr="00E0548A" w14:paraId="295B4AD9" w14:textId="77777777" w:rsidTr="008C78D9">
        <w:trPr>
          <w:jc w:val="center"/>
        </w:trPr>
        <w:tc>
          <w:tcPr>
            <w:tcW w:w="1500" w:type="dxa"/>
            <w:tcBorders>
              <w:bottom w:val="single" w:sz="4" w:space="0" w:color="auto"/>
            </w:tcBorders>
            <w:shd w:val="clear" w:color="auto" w:fill="BFBFBF"/>
          </w:tcPr>
          <w:p w14:paraId="78F240BD" w14:textId="77777777" w:rsidR="007661FD" w:rsidRPr="00E0548A" w:rsidRDefault="007661FD" w:rsidP="008C78D9">
            <w:pPr>
              <w:jc w:val="center"/>
              <w:rPr>
                <w:rFonts w:ascii="ＭＳ 明朝" w:hAnsi="ＭＳ 明朝"/>
                <w:szCs w:val="21"/>
              </w:rPr>
            </w:pPr>
            <w:r w:rsidRPr="00E0548A">
              <w:rPr>
                <w:rFonts w:ascii="ＭＳ 明朝" w:hAnsi="ＭＳ 明朝" w:hint="eastAsia"/>
                <w:szCs w:val="21"/>
              </w:rPr>
              <w:t>臨時情報</w:t>
            </w:r>
          </w:p>
        </w:tc>
        <w:tc>
          <w:tcPr>
            <w:tcW w:w="7334" w:type="dxa"/>
            <w:tcBorders>
              <w:bottom w:val="single" w:sz="4" w:space="0" w:color="auto"/>
            </w:tcBorders>
            <w:shd w:val="clear" w:color="auto" w:fill="BFBFBF"/>
          </w:tcPr>
          <w:p w14:paraId="00AA8920" w14:textId="77777777" w:rsidR="007661FD" w:rsidRPr="00E0548A" w:rsidRDefault="007661FD" w:rsidP="008C78D9">
            <w:pPr>
              <w:jc w:val="center"/>
              <w:rPr>
                <w:rFonts w:ascii="ＭＳ 明朝" w:hAnsi="ＭＳ 明朝"/>
                <w:szCs w:val="21"/>
              </w:rPr>
            </w:pPr>
            <w:r w:rsidRPr="00E0548A">
              <w:rPr>
                <w:rFonts w:ascii="ＭＳ 明朝" w:hAnsi="ＭＳ 明朝" w:hint="eastAsia"/>
                <w:szCs w:val="21"/>
              </w:rPr>
              <w:t>主な応急対策業務</w:t>
            </w:r>
          </w:p>
        </w:tc>
      </w:tr>
      <w:tr w:rsidR="00E0548A" w:rsidRPr="00E0548A" w14:paraId="7E330A9F" w14:textId="77777777" w:rsidTr="008C78D9">
        <w:trPr>
          <w:jc w:val="center"/>
        </w:trPr>
        <w:tc>
          <w:tcPr>
            <w:tcW w:w="1500" w:type="dxa"/>
          </w:tcPr>
          <w:p w14:paraId="2E531F7B" w14:textId="77777777" w:rsidR="007661FD" w:rsidRPr="00E0548A" w:rsidRDefault="007661FD" w:rsidP="008C78D9">
            <w:pPr>
              <w:rPr>
                <w:rFonts w:ascii="ＭＳ 明朝" w:hAnsi="ＭＳ 明朝"/>
                <w:szCs w:val="21"/>
              </w:rPr>
            </w:pPr>
            <w:r w:rsidRPr="00E0548A">
              <w:rPr>
                <w:rFonts w:ascii="ＭＳ 明朝" w:hAnsi="ＭＳ 明朝" w:hint="eastAsia"/>
                <w:szCs w:val="21"/>
              </w:rPr>
              <w:t>巨大地震警戒</w:t>
            </w:r>
          </w:p>
        </w:tc>
        <w:tc>
          <w:tcPr>
            <w:tcW w:w="7334" w:type="dxa"/>
          </w:tcPr>
          <w:p w14:paraId="377BCABF" w14:textId="77777777" w:rsidR="002D3A42" w:rsidRPr="00E0548A" w:rsidRDefault="002D3A42" w:rsidP="002D3A42">
            <w:pPr>
              <w:rPr>
                <w:rFonts w:ascii="ＭＳ 明朝" w:hAnsi="ＭＳ 明朝"/>
              </w:rPr>
            </w:pPr>
            <w:r w:rsidRPr="00E0548A">
              <w:rPr>
                <w:rFonts w:ascii="ＭＳ 明朝" w:hAnsi="ＭＳ 明朝" w:hint="eastAsia"/>
              </w:rPr>
              <w:t>○地震発災後、応急対策業務（第１フェーズ）を速やかに実施できる準備</w:t>
            </w:r>
          </w:p>
          <w:p w14:paraId="231DC340" w14:textId="77777777" w:rsidR="002D3A42" w:rsidRPr="00E0548A" w:rsidRDefault="002D3A42" w:rsidP="002D3A42">
            <w:pPr>
              <w:ind w:firstLineChars="100" w:firstLine="211"/>
              <w:rPr>
                <w:rFonts w:ascii="ＭＳ 明朝" w:hAnsi="ＭＳ 明朝"/>
              </w:rPr>
            </w:pPr>
            <w:r w:rsidRPr="00E0548A">
              <w:rPr>
                <w:rFonts w:ascii="ＭＳ 明朝" w:hAnsi="ＭＳ 明朝" w:hint="eastAsia"/>
              </w:rPr>
              <w:t>体制を維持</w:t>
            </w:r>
          </w:p>
          <w:p w14:paraId="3EBD45FF" w14:textId="0896DFA5" w:rsidR="00E144D7" w:rsidRPr="00E0548A" w:rsidRDefault="002D3A42" w:rsidP="002D3A42">
            <w:pPr>
              <w:ind w:left="211" w:hangingChars="100" w:hanging="211"/>
              <w:rPr>
                <w:rFonts w:ascii="ＭＳ 明朝" w:hAnsi="ＭＳ 明朝"/>
                <w:szCs w:val="21"/>
              </w:rPr>
            </w:pPr>
            <w:r w:rsidRPr="00E0548A">
              <w:rPr>
                <w:rFonts w:ascii="ＭＳ 明朝" w:hAnsi="ＭＳ 明朝" w:hint="eastAsia"/>
              </w:rPr>
              <w:t>○部（局）内及び関係機関からの情報収集・整理及び連絡調整【各所管所属】</w:t>
            </w:r>
          </w:p>
        </w:tc>
      </w:tr>
    </w:tbl>
    <w:p w14:paraId="072B5E71" w14:textId="77777777" w:rsidR="007661FD" w:rsidRPr="00E0548A" w:rsidRDefault="007661FD" w:rsidP="007661FD">
      <w:pPr>
        <w:rPr>
          <w:rFonts w:ascii="ＭＳ 明朝" w:hAnsi="ＭＳ 明朝"/>
          <w:szCs w:val="21"/>
        </w:rPr>
      </w:pPr>
      <w:r w:rsidRPr="00E0548A">
        <w:rPr>
          <w:rFonts w:ascii="ＭＳ 明朝" w:hAnsi="ＭＳ 明朝" w:hint="eastAsia"/>
          <w:szCs w:val="21"/>
        </w:rPr>
        <w:t>「南海トラフ地震臨時情報（巨大地震警戒）」が発表され、「巨大地震警戒対応期間」（１週間）が経過した際は、「巨大地震注意対応期間」へ移行。</w:t>
      </w:r>
    </w:p>
    <w:p w14:paraId="25D2BF16" w14:textId="77777777" w:rsidR="007661FD" w:rsidRPr="00E0548A" w:rsidRDefault="007661FD" w:rsidP="007661FD">
      <w:pPr>
        <w:rPr>
          <w:rFonts w:ascii="ＭＳ 明朝" w:hAnsi="ＭＳ 明朝"/>
          <w:szCs w:val="21"/>
        </w:rPr>
      </w:pPr>
    </w:p>
    <w:p w14:paraId="20F98503" w14:textId="4619E348" w:rsidR="007661FD" w:rsidRPr="00E0548A" w:rsidRDefault="007661FD" w:rsidP="007661FD">
      <w:pPr>
        <w:pStyle w:val="af4"/>
        <w:ind w:leftChars="0" w:left="0"/>
        <w:rPr>
          <w:rFonts w:ascii="ＭＳ ゴシック" w:eastAsia="ＭＳ ゴシック" w:hAnsi="ＭＳ ゴシック"/>
          <w:szCs w:val="21"/>
        </w:rPr>
      </w:pPr>
      <w:r w:rsidRPr="00E0548A">
        <w:rPr>
          <w:rFonts w:ascii="ＭＳ ゴシック" w:eastAsia="ＭＳ ゴシック" w:hAnsi="ＭＳ ゴシック" w:hint="eastAsia"/>
          <w:szCs w:val="21"/>
        </w:rPr>
        <w:t>＜南海トラフ地震臨時情報（巨大地震注意）発表時</w:t>
      </w:r>
      <w:r w:rsidR="002F25B5" w:rsidRPr="00E0548A">
        <w:rPr>
          <w:rFonts w:ascii="ＭＳ ゴシック" w:eastAsia="ＭＳ ゴシック" w:hAnsi="ＭＳ ゴシック" w:hint="eastAsia"/>
          <w:szCs w:val="21"/>
        </w:rPr>
        <w:t>（</w:t>
      </w:r>
      <w:r w:rsidR="002F25B5" w:rsidRPr="00E0548A">
        <w:rPr>
          <w:rFonts w:ascii="ＭＳ 明朝" w:hAnsi="ＭＳ 明朝" w:hint="eastAsia"/>
          <w:szCs w:val="21"/>
        </w:rPr>
        <w:t>巨大地震警戒からの移行時を含む</w:t>
      </w:r>
      <w:r w:rsidR="002F25B5" w:rsidRPr="00E0548A">
        <w:rPr>
          <w:rFonts w:ascii="ＭＳ ゴシック" w:eastAsia="ＭＳ ゴシック" w:hAnsi="ＭＳ ゴシック" w:hint="eastAsia"/>
          <w:szCs w:val="21"/>
        </w:rPr>
        <w:t>）</w:t>
      </w:r>
      <w:r w:rsidRPr="00E0548A">
        <w:rPr>
          <w:rFonts w:ascii="ＭＳ ゴシック" w:eastAsia="ＭＳ ゴシック" w:hAnsi="ＭＳ ゴシック" w:hint="eastAsia"/>
          <w:szCs w:val="21"/>
        </w:rPr>
        <w:t>＞</w:t>
      </w:r>
    </w:p>
    <w:tbl>
      <w:tblPr>
        <w:tblpPr w:leftFromText="142" w:rightFromText="142" w:vertAnchor="text" w:tblpXSpec="center" w:tblpY="1"/>
        <w:tblOverlap w:val="neve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00"/>
        <w:gridCol w:w="7334"/>
      </w:tblGrid>
      <w:tr w:rsidR="00E0548A" w:rsidRPr="00E0548A" w14:paraId="094E556C" w14:textId="77777777" w:rsidTr="008C78D9">
        <w:trPr>
          <w:jc w:val="center"/>
        </w:trPr>
        <w:tc>
          <w:tcPr>
            <w:tcW w:w="1500" w:type="dxa"/>
            <w:tcBorders>
              <w:bottom w:val="single" w:sz="4" w:space="0" w:color="auto"/>
            </w:tcBorders>
            <w:shd w:val="clear" w:color="auto" w:fill="BFBFBF"/>
          </w:tcPr>
          <w:p w14:paraId="1F708BA6" w14:textId="77777777" w:rsidR="007661FD" w:rsidRPr="00E0548A" w:rsidRDefault="007661FD" w:rsidP="008C78D9">
            <w:pPr>
              <w:jc w:val="center"/>
              <w:rPr>
                <w:rFonts w:ascii="ＭＳ 明朝" w:hAnsi="ＭＳ 明朝"/>
                <w:szCs w:val="21"/>
              </w:rPr>
            </w:pPr>
            <w:r w:rsidRPr="00E0548A">
              <w:rPr>
                <w:rFonts w:ascii="ＭＳ 明朝" w:hAnsi="ＭＳ 明朝" w:hint="eastAsia"/>
                <w:szCs w:val="21"/>
              </w:rPr>
              <w:t>臨時情報</w:t>
            </w:r>
          </w:p>
        </w:tc>
        <w:tc>
          <w:tcPr>
            <w:tcW w:w="7334" w:type="dxa"/>
            <w:tcBorders>
              <w:bottom w:val="single" w:sz="4" w:space="0" w:color="auto"/>
            </w:tcBorders>
            <w:shd w:val="clear" w:color="auto" w:fill="BFBFBF"/>
          </w:tcPr>
          <w:p w14:paraId="3BAA24B0" w14:textId="77777777" w:rsidR="007661FD" w:rsidRPr="00E0548A" w:rsidRDefault="007661FD" w:rsidP="008C78D9">
            <w:pPr>
              <w:jc w:val="center"/>
              <w:rPr>
                <w:rFonts w:ascii="ＭＳ 明朝" w:hAnsi="ＭＳ 明朝"/>
                <w:szCs w:val="21"/>
              </w:rPr>
            </w:pPr>
            <w:r w:rsidRPr="00E0548A">
              <w:rPr>
                <w:rFonts w:ascii="ＭＳ 明朝" w:hAnsi="ＭＳ 明朝" w:hint="eastAsia"/>
                <w:szCs w:val="21"/>
              </w:rPr>
              <w:t>主な応急対策業務</w:t>
            </w:r>
          </w:p>
        </w:tc>
      </w:tr>
      <w:tr w:rsidR="00E0548A" w:rsidRPr="00E0548A" w14:paraId="3A54C04E" w14:textId="77777777" w:rsidTr="008C78D9">
        <w:trPr>
          <w:jc w:val="center"/>
        </w:trPr>
        <w:tc>
          <w:tcPr>
            <w:tcW w:w="1500" w:type="dxa"/>
          </w:tcPr>
          <w:p w14:paraId="1D2FCFC7" w14:textId="77777777" w:rsidR="007661FD" w:rsidRPr="00E0548A" w:rsidRDefault="007661FD" w:rsidP="008C78D9">
            <w:pPr>
              <w:rPr>
                <w:rFonts w:ascii="ＭＳ 明朝" w:hAnsi="ＭＳ 明朝"/>
                <w:szCs w:val="21"/>
              </w:rPr>
            </w:pPr>
            <w:r w:rsidRPr="00E0548A">
              <w:rPr>
                <w:rFonts w:ascii="ＭＳ 明朝" w:hAnsi="ＭＳ 明朝" w:hint="eastAsia"/>
                <w:szCs w:val="21"/>
              </w:rPr>
              <w:t>巨大地震注意</w:t>
            </w:r>
          </w:p>
        </w:tc>
        <w:tc>
          <w:tcPr>
            <w:tcW w:w="7334" w:type="dxa"/>
          </w:tcPr>
          <w:p w14:paraId="02B3D846" w14:textId="77777777" w:rsidR="002D3A42" w:rsidRPr="00E0548A" w:rsidRDefault="002D3A42" w:rsidP="002D3A42">
            <w:pPr>
              <w:rPr>
                <w:rFonts w:ascii="ＭＳ 明朝" w:hAnsi="ＭＳ 明朝"/>
              </w:rPr>
            </w:pPr>
            <w:r w:rsidRPr="00E0548A">
              <w:rPr>
                <w:rFonts w:ascii="ＭＳ 明朝" w:hAnsi="ＭＳ 明朝" w:hint="eastAsia"/>
              </w:rPr>
              <w:t>○地震発災に備えた情報連絡体制の維持</w:t>
            </w:r>
          </w:p>
          <w:p w14:paraId="38F8C2C5" w14:textId="487CB066" w:rsidR="004E2486" w:rsidRPr="00E0548A" w:rsidRDefault="002D3A42" w:rsidP="002D3A42">
            <w:pPr>
              <w:rPr>
                <w:rFonts w:ascii="ＭＳ 明朝" w:hAnsi="ＭＳ 明朝"/>
                <w:szCs w:val="21"/>
              </w:rPr>
            </w:pPr>
            <w:r w:rsidRPr="00E0548A">
              <w:rPr>
                <w:rFonts w:ascii="ＭＳ 明朝" w:hAnsi="ＭＳ 明朝" w:hint="eastAsia"/>
              </w:rPr>
              <w:t>○部（局）内及び関係機関からの情報収集・整理及び連絡調整【各所管所属】</w:t>
            </w:r>
          </w:p>
        </w:tc>
      </w:tr>
    </w:tbl>
    <w:p w14:paraId="606247C7" w14:textId="090B94B5" w:rsidR="007661FD" w:rsidRPr="00E0548A" w:rsidRDefault="007661FD" w:rsidP="007661FD">
      <w:pPr>
        <w:rPr>
          <w:rFonts w:ascii="ＭＳ 明朝" w:hAnsi="ＭＳ 明朝"/>
          <w:szCs w:val="21"/>
        </w:rPr>
      </w:pPr>
    </w:p>
    <w:p w14:paraId="1C54A971" w14:textId="77777777" w:rsidR="002D3A42" w:rsidRPr="00E0548A" w:rsidRDefault="002D3A42" w:rsidP="007661FD">
      <w:pPr>
        <w:rPr>
          <w:rFonts w:ascii="ＭＳ 明朝" w:hAnsi="ＭＳ 明朝"/>
          <w:szCs w:val="21"/>
        </w:rPr>
      </w:pPr>
    </w:p>
    <w:p w14:paraId="6A7A6FA6" w14:textId="761A2618" w:rsidR="00E144D7" w:rsidRPr="00E0548A" w:rsidRDefault="00E144D7" w:rsidP="007661FD">
      <w:pPr>
        <w:rPr>
          <w:rFonts w:ascii="ＭＳ 明朝" w:hAnsi="ＭＳ 明朝"/>
          <w:szCs w:val="21"/>
        </w:rPr>
      </w:pPr>
    </w:p>
    <w:p w14:paraId="64344B0C" w14:textId="77777777" w:rsidR="00E144D7" w:rsidRPr="00E0548A" w:rsidRDefault="00E144D7" w:rsidP="007661FD">
      <w:pPr>
        <w:rPr>
          <w:rFonts w:ascii="ＭＳ 明朝" w:hAnsi="ＭＳ 明朝"/>
          <w:szCs w:val="21"/>
        </w:rPr>
      </w:pPr>
    </w:p>
    <w:p w14:paraId="5BB54A64" w14:textId="35687629" w:rsidR="008B4B2B" w:rsidRPr="00E0548A" w:rsidRDefault="008372F9" w:rsidP="008B4B2B">
      <w:pPr>
        <w:rPr>
          <w:rFonts w:ascii="ＭＳ ゴシック" w:eastAsia="ＭＳ ゴシック" w:hAnsi="ＭＳ ゴシック"/>
          <w:szCs w:val="21"/>
        </w:rPr>
      </w:pPr>
      <w:r w:rsidRPr="00E0548A">
        <w:rPr>
          <w:rFonts w:ascii="ＭＳ ゴシック" w:eastAsia="ＭＳ ゴシック" w:hAnsi="ＭＳ ゴシック" w:hint="eastAsia"/>
          <w:szCs w:val="21"/>
        </w:rPr>
        <w:lastRenderedPageBreak/>
        <w:t>⑱</w:t>
      </w:r>
      <w:r w:rsidR="008B4B2B" w:rsidRPr="00E0548A">
        <w:rPr>
          <w:rFonts w:ascii="ＭＳ ゴシック" w:eastAsia="ＭＳ ゴシック" w:hAnsi="ＭＳ ゴシック" w:hint="eastAsia"/>
          <w:szCs w:val="21"/>
        </w:rPr>
        <w:t>監査委員事務局</w:t>
      </w:r>
    </w:p>
    <w:p w14:paraId="18A91DCE" w14:textId="77777777" w:rsidR="002C01FF" w:rsidRPr="00E0548A" w:rsidRDefault="002C01FF" w:rsidP="002C01FF">
      <w:pPr>
        <w:pStyle w:val="af4"/>
        <w:ind w:leftChars="0" w:left="0"/>
        <w:rPr>
          <w:rFonts w:ascii="ＭＳ ゴシック" w:eastAsia="ＭＳ ゴシック" w:hAnsi="ＭＳ ゴシック"/>
          <w:szCs w:val="21"/>
        </w:rPr>
      </w:pPr>
      <w:r w:rsidRPr="00E0548A">
        <w:rPr>
          <w:rFonts w:ascii="ＭＳ ゴシック" w:eastAsia="ＭＳ ゴシック" w:hAnsi="ＭＳ ゴシック" w:hint="eastAsia"/>
          <w:szCs w:val="21"/>
        </w:rPr>
        <w:t>＜災害発生時＞</w:t>
      </w:r>
    </w:p>
    <w:tbl>
      <w:tblPr>
        <w:tblpPr w:leftFromText="142" w:rightFromText="142" w:vertAnchor="text" w:tblpXSpec="center" w:tblpY="1"/>
        <w:tblOverlap w:val="neve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26"/>
        <w:gridCol w:w="7176"/>
      </w:tblGrid>
      <w:tr w:rsidR="00E0548A" w:rsidRPr="00E0548A" w14:paraId="75CCFF2C" w14:textId="77777777" w:rsidTr="008B4B2B">
        <w:trPr>
          <w:jc w:val="center"/>
        </w:trPr>
        <w:tc>
          <w:tcPr>
            <w:tcW w:w="1526" w:type="dxa"/>
            <w:shd w:val="clear" w:color="auto" w:fill="BFBFBF"/>
          </w:tcPr>
          <w:p w14:paraId="54F3CA4D" w14:textId="77777777" w:rsidR="008B4B2B" w:rsidRPr="00E0548A" w:rsidRDefault="008B4B2B" w:rsidP="008B4B2B">
            <w:pPr>
              <w:jc w:val="center"/>
              <w:rPr>
                <w:rFonts w:ascii="ＭＳ 明朝" w:hAnsi="ＭＳ 明朝"/>
                <w:szCs w:val="21"/>
              </w:rPr>
            </w:pPr>
            <w:r w:rsidRPr="00E0548A">
              <w:rPr>
                <w:rFonts w:ascii="ＭＳ 明朝" w:hAnsi="ＭＳ 明朝" w:hint="eastAsia"/>
                <w:szCs w:val="21"/>
              </w:rPr>
              <w:t>フェーズ</w:t>
            </w:r>
          </w:p>
        </w:tc>
        <w:tc>
          <w:tcPr>
            <w:tcW w:w="7176" w:type="dxa"/>
            <w:shd w:val="clear" w:color="auto" w:fill="BFBFBF"/>
          </w:tcPr>
          <w:p w14:paraId="27A4BBFF" w14:textId="77777777" w:rsidR="008B4B2B" w:rsidRPr="00E0548A" w:rsidRDefault="008B4B2B" w:rsidP="008B4B2B">
            <w:pPr>
              <w:jc w:val="center"/>
              <w:rPr>
                <w:rFonts w:ascii="ＭＳ 明朝" w:hAnsi="ＭＳ 明朝"/>
                <w:szCs w:val="21"/>
              </w:rPr>
            </w:pPr>
            <w:r w:rsidRPr="00E0548A">
              <w:rPr>
                <w:rFonts w:ascii="ＭＳ 明朝" w:hAnsi="ＭＳ 明朝" w:hint="eastAsia"/>
                <w:szCs w:val="21"/>
              </w:rPr>
              <w:t>主な応急対策業務</w:t>
            </w:r>
          </w:p>
        </w:tc>
      </w:tr>
      <w:tr w:rsidR="00E0548A" w:rsidRPr="00E0548A" w14:paraId="30689AE5" w14:textId="77777777" w:rsidTr="008B4B2B">
        <w:trPr>
          <w:jc w:val="center"/>
        </w:trPr>
        <w:tc>
          <w:tcPr>
            <w:tcW w:w="1526" w:type="dxa"/>
          </w:tcPr>
          <w:p w14:paraId="54663D82" w14:textId="77777777" w:rsidR="008B4B2B" w:rsidRPr="00E0548A" w:rsidRDefault="008B4B2B" w:rsidP="008B4B2B">
            <w:pPr>
              <w:rPr>
                <w:rFonts w:ascii="ＭＳ 明朝" w:hAnsi="ＭＳ 明朝"/>
                <w:szCs w:val="21"/>
              </w:rPr>
            </w:pPr>
            <w:r w:rsidRPr="00E0548A">
              <w:rPr>
                <w:rFonts w:ascii="ＭＳ 明朝" w:hAnsi="ＭＳ 明朝" w:hint="eastAsia"/>
                <w:szCs w:val="21"/>
              </w:rPr>
              <w:t>第1フェーズ</w:t>
            </w:r>
          </w:p>
          <w:p w14:paraId="71528E3F" w14:textId="77777777" w:rsidR="008B4B2B" w:rsidRPr="00E0548A" w:rsidRDefault="008B4B2B" w:rsidP="008B4B2B">
            <w:pPr>
              <w:rPr>
                <w:rFonts w:ascii="ＭＳ 明朝" w:hAnsi="ＭＳ 明朝"/>
                <w:szCs w:val="21"/>
              </w:rPr>
            </w:pPr>
            <w:r w:rsidRPr="00E0548A">
              <w:rPr>
                <w:rFonts w:ascii="ＭＳ 明朝" w:hAnsi="ＭＳ 明朝" w:hint="eastAsia"/>
                <w:szCs w:val="21"/>
              </w:rPr>
              <w:t>(3時間まで)</w:t>
            </w:r>
          </w:p>
          <w:p w14:paraId="072807EB" w14:textId="77777777" w:rsidR="008B4B2B" w:rsidRPr="00E0548A" w:rsidRDefault="008B4B2B" w:rsidP="008B4B2B">
            <w:pPr>
              <w:rPr>
                <w:rFonts w:ascii="ＭＳ 明朝" w:hAnsi="ＭＳ 明朝"/>
                <w:szCs w:val="21"/>
              </w:rPr>
            </w:pPr>
          </w:p>
        </w:tc>
        <w:tc>
          <w:tcPr>
            <w:tcW w:w="7176" w:type="dxa"/>
          </w:tcPr>
          <w:p w14:paraId="25C46DC2" w14:textId="77777777" w:rsidR="008B4B2B" w:rsidRPr="00E0548A" w:rsidRDefault="008B4B2B" w:rsidP="008B4B2B">
            <w:pPr>
              <w:rPr>
                <w:rFonts w:ascii="ＭＳ 明朝" w:hAnsi="ＭＳ 明朝"/>
                <w:szCs w:val="21"/>
              </w:rPr>
            </w:pPr>
            <w:r w:rsidRPr="00E0548A">
              <w:rPr>
                <w:rFonts w:ascii="ＭＳ 明朝" w:hAnsi="ＭＳ 明朝" w:hint="eastAsia"/>
                <w:szCs w:val="21"/>
              </w:rPr>
              <w:t>○初動対応、体制の確立</w:t>
            </w:r>
          </w:p>
          <w:p w14:paraId="7BB36578" w14:textId="77777777" w:rsidR="008B4B2B" w:rsidRPr="00E0548A" w:rsidRDefault="008B4B2B" w:rsidP="008B4B2B">
            <w:pPr>
              <w:rPr>
                <w:rFonts w:ascii="ＭＳ 明朝" w:hAnsi="ＭＳ 明朝"/>
                <w:szCs w:val="21"/>
              </w:rPr>
            </w:pPr>
            <w:r w:rsidRPr="00E0548A">
              <w:rPr>
                <w:rFonts w:ascii="ＭＳ 明朝" w:hAnsi="ＭＳ 明朝" w:hint="eastAsia"/>
                <w:szCs w:val="21"/>
              </w:rPr>
              <w:t>○事務局内職員の安否確認と参集状況の把握、報告【総務】</w:t>
            </w:r>
          </w:p>
          <w:p w14:paraId="2C489D10" w14:textId="77777777" w:rsidR="008B4B2B" w:rsidRPr="00E0548A" w:rsidRDefault="008B4B2B" w:rsidP="008B4B2B">
            <w:pPr>
              <w:rPr>
                <w:rFonts w:ascii="ＭＳ 明朝" w:hAnsi="ＭＳ 明朝"/>
                <w:szCs w:val="21"/>
              </w:rPr>
            </w:pPr>
            <w:r w:rsidRPr="00E0548A">
              <w:rPr>
                <w:rFonts w:ascii="ＭＳ 明朝" w:hAnsi="ＭＳ 明朝" w:hint="eastAsia"/>
                <w:szCs w:val="21"/>
              </w:rPr>
              <w:t>○監査委員の安否確認【総務】</w:t>
            </w:r>
          </w:p>
          <w:p w14:paraId="78BE3B03" w14:textId="77777777" w:rsidR="008B4B2B" w:rsidRPr="00E0548A" w:rsidRDefault="008B4B2B" w:rsidP="008B4B2B">
            <w:pPr>
              <w:rPr>
                <w:rFonts w:ascii="ＭＳ 明朝" w:hAnsi="ＭＳ 明朝"/>
                <w:szCs w:val="21"/>
              </w:rPr>
            </w:pPr>
            <w:r w:rsidRPr="00E0548A">
              <w:rPr>
                <w:rFonts w:ascii="ＭＳ 明朝" w:hAnsi="ＭＳ 明朝" w:hint="eastAsia"/>
                <w:szCs w:val="21"/>
              </w:rPr>
              <w:t>○事務局内及び関係機関からの情報収集及び連絡調整【総務】</w:t>
            </w:r>
          </w:p>
          <w:p w14:paraId="34EAD7E1" w14:textId="77777777" w:rsidR="008B4B2B" w:rsidRPr="00E0548A" w:rsidRDefault="008B4B2B" w:rsidP="008B4B2B">
            <w:pPr>
              <w:rPr>
                <w:rFonts w:ascii="ＭＳ 明朝" w:hAnsi="ＭＳ 明朝"/>
                <w:szCs w:val="21"/>
              </w:rPr>
            </w:pPr>
            <w:r w:rsidRPr="00E0548A">
              <w:rPr>
                <w:rFonts w:ascii="ＭＳ 明朝" w:hAnsi="ＭＳ 明朝" w:hint="eastAsia"/>
                <w:szCs w:val="21"/>
              </w:rPr>
              <w:t>○職員・来庁者の救助・搬送【各所属】</w:t>
            </w:r>
          </w:p>
        </w:tc>
      </w:tr>
      <w:tr w:rsidR="00E0548A" w:rsidRPr="00E0548A" w14:paraId="63723471" w14:textId="77777777" w:rsidTr="008B4B2B">
        <w:trPr>
          <w:jc w:val="center"/>
        </w:trPr>
        <w:tc>
          <w:tcPr>
            <w:tcW w:w="1526" w:type="dxa"/>
          </w:tcPr>
          <w:p w14:paraId="380B19F6" w14:textId="77777777" w:rsidR="008B4B2B" w:rsidRPr="00E0548A" w:rsidRDefault="008B4B2B" w:rsidP="008B4B2B">
            <w:pPr>
              <w:rPr>
                <w:rFonts w:ascii="ＭＳ 明朝" w:hAnsi="ＭＳ 明朝"/>
                <w:szCs w:val="21"/>
              </w:rPr>
            </w:pPr>
            <w:r w:rsidRPr="00E0548A">
              <w:rPr>
                <w:rFonts w:ascii="ＭＳ 明朝" w:hAnsi="ＭＳ 明朝" w:hint="eastAsia"/>
                <w:szCs w:val="21"/>
              </w:rPr>
              <w:t>第2フェーズ</w:t>
            </w:r>
          </w:p>
          <w:p w14:paraId="1CEFB2E2" w14:textId="77777777" w:rsidR="008B4B2B" w:rsidRPr="00E0548A" w:rsidRDefault="008B4B2B" w:rsidP="008B4B2B">
            <w:pPr>
              <w:rPr>
                <w:rFonts w:ascii="ＭＳ 明朝" w:hAnsi="ＭＳ 明朝"/>
                <w:szCs w:val="21"/>
              </w:rPr>
            </w:pPr>
            <w:r w:rsidRPr="00E0548A">
              <w:rPr>
                <w:rFonts w:ascii="ＭＳ 明朝" w:hAnsi="ＭＳ 明朝" w:hint="eastAsia"/>
                <w:szCs w:val="21"/>
              </w:rPr>
              <w:t>(24時間まで)</w:t>
            </w:r>
          </w:p>
        </w:tc>
        <w:tc>
          <w:tcPr>
            <w:tcW w:w="7176" w:type="dxa"/>
          </w:tcPr>
          <w:p w14:paraId="32AE4AA4" w14:textId="77777777" w:rsidR="008B4B2B" w:rsidRPr="00E0548A" w:rsidRDefault="008B4B2B" w:rsidP="008B4B2B">
            <w:pPr>
              <w:rPr>
                <w:rFonts w:ascii="ＭＳ 明朝" w:hAnsi="ＭＳ 明朝"/>
                <w:szCs w:val="21"/>
              </w:rPr>
            </w:pPr>
            <w:r w:rsidRPr="00E0548A">
              <w:rPr>
                <w:rFonts w:ascii="ＭＳ 明朝" w:hAnsi="ＭＳ 明朝" w:hint="eastAsia"/>
                <w:szCs w:val="21"/>
              </w:rPr>
              <w:t>○所管施設の被害状況の把握【総務】、報告及び二次災害防止対策の実施</w:t>
            </w:r>
          </w:p>
        </w:tc>
      </w:tr>
      <w:tr w:rsidR="00E0548A" w:rsidRPr="00E0548A" w14:paraId="274C5537" w14:textId="77777777" w:rsidTr="008B4B2B">
        <w:trPr>
          <w:jc w:val="center"/>
        </w:trPr>
        <w:tc>
          <w:tcPr>
            <w:tcW w:w="1526" w:type="dxa"/>
          </w:tcPr>
          <w:p w14:paraId="2F52BC1A" w14:textId="77777777" w:rsidR="008B4B2B" w:rsidRPr="00E0548A" w:rsidRDefault="008B4B2B" w:rsidP="008B4B2B">
            <w:pPr>
              <w:rPr>
                <w:rFonts w:ascii="ＭＳ 明朝" w:hAnsi="ＭＳ 明朝"/>
                <w:szCs w:val="21"/>
              </w:rPr>
            </w:pPr>
            <w:r w:rsidRPr="00E0548A">
              <w:rPr>
                <w:rFonts w:ascii="ＭＳ 明朝" w:hAnsi="ＭＳ 明朝" w:hint="eastAsia"/>
                <w:szCs w:val="21"/>
              </w:rPr>
              <w:t>第3フェーズ</w:t>
            </w:r>
          </w:p>
          <w:p w14:paraId="1406FE40" w14:textId="77777777" w:rsidR="008B4B2B" w:rsidRPr="00E0548A" w:rsidRDefault="008B4B2B" w:rsidP="008B4B2B">
            <w:pPr>
              <w:rPr>
                <w:rFonts w:ascii="ＭＳ 明朝" w:hAnsi="ＭＳ 明朝"/>
                <w:szCs w:val="21"/>
              </w:rPr>
            </w:pPr>
            <w:r w:rsidRPr="00E0548A">
              <w:rPr>
                <w:rFonts w:ascii="ＭＳ 明朝" w:hAnsi="ＭＳ 明朝" w:hint="eastAsia"/>
                <w:szCs w:val="21"/>
              </w:rPr>
              <w:t>(72時間まで)</w:t>
            </w:r>
          </w:p>
        </w:tc>
        <w:tc>
          <w:tcPr>
            <w:tcW w:w="7176" w:type="dxa"/>
          </w:tcPr>
          <w:p w14:paraId="6B5497B1" w14:textId="77777777" w:rsidR="008B4B2B" w:rsidRPr="00E0548A" w:rsidRDefault="008B4B2B" w:rsidP="008B4B2B">
            <w:pPr>
              <w:rPr>
                <w:rFonts w:ascii="ＭＳ 明朝" w:hAnsi="ＭＳ 明朝"/>
                <w:szCs w:val="21"/>
              </w:rPr>
            </w:pPr>
          </w:p>
        </w:tc>
      </w:tr>
      <w:tr w:rsidR="00E0548A" w:rsidRPr="00E0548A" w14:paraId="3DCD27B4" w14:textId="77777777" w:rsidTr="008B4B2B">
        <w:trPr>
          <w:jc w:val="center"/>
        </w:trPr>
        <w:tc>
          <w:tcPr>
            <w:tcW w:w="1526" w:type="dxa"/>
          </w:tcPr>
          <w:p w14:paraId="366DF8D2" w14:textId="77777777" w:rsidR="008B4B2B" w:rsidRPr="00E0548A" w:rsidRDefault="008B4B2B" w:rsidP="008B4B2B">
            <w:pPr>
              <w:rPr>
                <w:rFonts w:ascii="ＭＳ 明朝" w:hAnsi="ＭＳ 明朝"/>
                <w:szCs w:val="21"/>
              </w:rPr>
            </w:pPr>
            <w:r w:rsidRPr="00E0548A">
              <w:rPr>
                <w:rFonts w:ascii="ＭＳ 明朝" w:hAnsi="ＭＳ 明朝" w:hint="eastAsia"/>
                <w:szCs w:val="21"/>
              </w:rPr>
              <w:t>第4フェーズ</w:t>
            </w:r>
          </w:p>
          <w:p w14:paraId="33EF61F6" w14:textId="77777777" w:rsidR="008B4B2B" w:rsidRPr="00E0548A" w:rsidRDefault="008B4B2B" w:rsidP="008B4B2B">
            <w:pPr>
              <w:rPr>
                <w:rFonts w:ascii="ＭＳ 明朝" w:hAnsi="ＭＳ 明朝"/>
                <w:szCs w:val="21"/>
              </w:rPr>
            </w:pPr>
            <w:r w:rsidRPr="00E0548A">
              <w:rPr>
                <w:rFonts w:ascii="ＭＳ 明朝" w:hAnsi="ＭＳ 明朝" w:hint="eastAsia"/>
                <w:szCs w:val="21"/>
              </w:rPr>
              <w:t>(1週間まで)</w:t>
            </w:r>
          </w:p>
        </w:tc>
        <w:tc>
          <w:tcPr>
            <w:tcW w:w="7176" w:type="dxa"/>
          </w:tcPr>
          <w:p w14:paraId="018DF3C3" w14:textId="77777777" w:rsidR="008B4B2B" w:rsidRPr="00E0548A" w:rsidRDefault="008B4B2B" w:rsidP="008B4B2B">
            <w:pPr>
              <w:rPr>
                <w:rFonts w:ascii="ＭＳ 明朝" w:hAnsi="ＭＳ 明朝"/>
                <w:szCs w:val="21"/>
              </w:rPr>
            </w:pPr>
          </w:p>
        </w:tc>
      </w:tr>
      <w:tr w:rsidR="00E0548A" w:rsidRPr="00E0548A" w14:paraId="33D3C4FC" w14:textId="77777777" w:rsidTr="008B4B2B">
        <w:trPr>
          <w:jc w:val="center"/>
        </w:trPr>
        <w:tc>
          <w:tcPr>
            <w:tcW w:w="1526" w:type="dxa"/>
          </w:tcPr>
          <w:p w14:paraId="0278F026" w14:textId="77777777" w:rsidR="008B4B2B" w:rsidRPr="00E0548A" w:rsidRDefault="008B4B2B" w:rsidP="008B4B2B">
            <w:pPr>
              <w:rPr>
                <w:rFonts w:ascii="ＭＳ 明朝" w:hAnsi="ＭＳ 明朝"/>
                <w:szCs w:val="21"/>
              </w:rPr>
            </w:pPr>
            <w:r w:rsidRPr="00E0548A">
              <w:rPr>
                <w:rFonts w:ascii="ＭＳ 明朝" w:hAnsi="ＭＳ 明朝" w:hint="eastAsia"/>
                <w:szCs w:val="21"/>
              </w:rPr>
              <w:t>第5フェーズ</w:t>
            </w:r>
          </w:p>
          <w:p w14:paraId="74A192E1" w14:textId="77777777" w:rsidR="008B4B2B" w:rsidRPr="00E0548A" w:rsidRDefault="008B4B2B" w:rsidP="008B4B2B">
            <w:pPr>
              <w:rPr>
                <w:rFonts w:ascii="ＭＳ 明朝" w:hAnsi="ＭＳ 明朝"/>
                <w:szCs w:val="21"/>
              </w:rPr>
            </w:pPr>
            <w:r w:rsidRPr="00E0548A">
              <w:rPr>
                <w:rFonts w:ascii="ＭＳ 明朝" w:hAnsi="ＭＳ 明朝" w:hint="eastAsia"/>
                <w:szCs w:val="21"/>
              </w:rPr>
              <w:t>(2週間まで)</w:t>
            </w:r>
          </w:p>
        </w:tc>
        <w:tc>
          <w:tcPr>
            <w:tcW w:w="7176" w:type="dxa"/>
          </w:tcPr>
          <w:p w14:paraId="758CC0F7" w14:textId="77777777" w:rsidR="008B4B2B" w:rsidRPr="00E0548A" w:rsidRDefault="008B4B2B" w:rsidP="008B4B2B">
            <w:pPr>
              <w:ind w:left="211" w:hangingChars="100" w:hanging="211"/>
              <w:rPr>
                <w:rFonts w:ascii="ＭＳ 明朝" w:hAnsi="ＭＳ 明朝"/>
                <w:szCs w:val="21"/>
              </w:rPr>
            </w:pPr>
            <w:r w:rsidRPr="00E0548A">
              <w:rPr>
                <w:rFonts w:ascii="ＭＳ 明朝" w:hAnsi="ＭＳ 明朝" w:hint="eastAsia"/>
                <w:szCs w:val="21"/>
              </w:rPr>
              <w:t>○被災所管施設の応急復旧（当該施設において応急的に業務を再開するために実施する措置のことをいう。本格的な復旧作業の前段階。）開始</w:t>
            </w:r>
          </w:p>
        </w:tc>
      </w:tr>
      <w:tr w:rsidR="00E0548A" w:rsidRPr="00E0548A" w14:paraId="33F65D54" w14:textId="77777777" w:rsidTr="008B4B2B">
        <w:trPr>
          <w:jc w:val="center"/>
        </w:trPr>
        <w:tc>
          <w:tcPr>
            <w:tcW w:w="1526" w:type="dxa"/>
          </w:tcPr>
          <w:p w14:paraId="5E38B7C2" w14:textId="77777777" w:rsidR="008B4B2B" w:rsidRPr="00E0548A" w:rsidRDefault="008B4B2B" w:rsidP="008B4B2B">
            <w:pPr>
              <w:rPr>
                <w:rFonts w:ascii="ＭＳ 明朝" w:hAnsi="ＭＳ 明朝"/>
                <w:szCs w:val="21"/>
              </w:rPr>
            </w:pPr>
            <w:r w:rsidRPr="00E0548A">
              <w:rPr>
                <w:rFonts w:ascii="ＭＳ 明朝" w:hAnsi="ＭＳ 明朝" w:hint="eastAsia"/>
                <w:szCs w:val="21"/>
              </w:rPr>
              <w:t>第6フェーズ</w:t>
            </w:r>
          </w:p>
          <w:p w14:paraId="40EE80DE" w14:textId="77777777" w:rsidR="008B4B2B" w:rsidRPr="00E0548A" w:rsidRDefault="008B4B2B" w:rsidP="008B4B2B">
            <w:pPr>
              <w:rPr>
                <w:rFonts w:ascii="ＭＳ 明朝" w:hAnsi="ＭＳ 明朝"/>
                <w:szCs w:val="21"/>
              </w:rPr>
            </w:pPr>
            <w:r w:rsidRPr="00E0548A">
              <w:rPr>
                <w:rFonts w:ascii="ＭＳ 明朝" w:hAnsi="ＭＳ 明朝" w:hint="eastAsia"/>
                <w:szCs w:val="21"/>
              </w:rPr>
              <w:t>(1ヶ月まで)</w:t>
            </w:r>
          </w:p>
        </w:tc>
        <w:tc>
          <w:tcPr>
            <w:tcW w:w="7176" w:type="dxa"/>
          </w:tcPr>
          <w:p w14:paraId="18D29400" w14:textId="77777777" w:rsidR="008B4B2B" w:rsidRPr="00E0548A" w:rsidRDefault="008B4B2B" w:rsidP="008B4B2B">
            <w:pPr>
              <w:rPr>
                <w:rFonts w:ascii="ＭＳ ゴシック" w:eastAsia="ＭＳ ゴシック" w:hAnsi="ＭＳ ゴシック"/>
                <w:szCs w:val="21"/>
              </w:rPr>
            </w:pPr>
            <w:r w:rsidRPr="00E0548A">
              <w:rPr>
                <w:rFonts w:ascii="ＭＳ 明朝" w:hAnsi="ＭＳ 明朝" w:hint="eastAsia"/>
                <w:szCs w:val="21"/>
              </w:rPr>
              <w:t>○被災所管施設の応急復旧</w:t>
            </w:r>
          </w:p>
          <w:p w14:paraId="61848530" w14:textId="77777777" w:rsidR="008B4B2B" w:rsidRPr="00E0548A" w:rsidRDefault="008B4B2B" w:rsidP="008B4B2B">
            <w:pPr>
              <w:rPr>
                <w:rFonts w:ascii="ＭＳ ゴシック" w:eastAsia="ＭＳ ゴシック" w:hAnsi="ＭＳ ゴシック"/>
                <w:szCs w:val="21"/>
              </w:rPr>
            </w:pPr>
          </w:p>
        </w:tc>
      </w:tr>
    </w:tbl>
    <w:p w14:paraId="0D671FA8" w14:textId="507E08D2" w:rsidR="008B4B2B" w:rsidRPr="00E0548A" w:rsidRDefault="008B4B2B" w:rsidP="008B4B2B">
      <w:pPr>
        <w:rPr>
          <w:rFonts w:ascii="ＭＳ 明朝" w:hAnsi="ＭＳ 明朝"/>
          <w:szCs w:val="21"/>
        </w:rPr>
      </w:pPr>
    </w:p>
    <w:p w14:paraId="0E2536FC" w14:textId="77777777" w:rsidR="00E144D7" w:rsidRPr="00E0548A" w:rsidRDefault="00E144D7" w:rsidP="008B4B2B">
      <w:pPr>
        <w:rPr>
          <w:rFonts w:ascii="ＭＳ 明朝" w:hAnsi="ＭＳ 明朝"/>
          <w:szCs w:val="21"/>
        </w:rPr>
      </w:pPr>
    </w:p>
    <w:p w14:paraId="57378E87" w14:textId="77777777" w:rsidR="007661FD" w:rsidRPr="00E0548A" w:rsidRDefault="007661FD" w:rsidP="007661FD">
      <w:pPr>
        <w:pStyle w:val="af4"/>
        <w:ind w:leftChars="0" w:left="0"/>
        <w:rPr>
          <w:rFonts w:ascii="ＭＳ ゴシック" w:eastAsia="ＭＳ ゴシック" w:hAnsi="ＭＳ ゴシック"/>
          <w:szCs w:val="21"/>
        </w:rPr>
      </w:pPr>
      <w:r w:rsidRPr="00E0548A">
        <w:rPr>
          <w:rFonts w:ascii="ＭＳ ゴシック" w:eastAsia="ＭＳ ゴシック" w:hAnsi="ＭＳ ゴシック" w:hint="eastAsia"/>
          <w:szCs w:val="21"/>
        </w:rPr>
        <w:t>＜南海トラフ地震臨時情報（巨大地震警戒）発表時＞</w:t>
      </w:r>
    </w:p>
    <w:tbl>
      <w:tblPr>
        <w:tblpPr w:leftFromText="142" w:rightFromText="142" w:vertAnchor="text" w:tblpXSpec="center" w:tblpY="1"/>
        <w:tblOverlap w:val="neve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00"/>
        <w:gridCol w:w="7334"/>
      </w:tblGrid>
      <w:tr w:rsidR="00E0548A" w:rsidRPr="00E0548A" w14:paraId="38CF78BA" w14:textId="77777777" w:rsidTr="008C78D9">
        <w:trPr>
          <w:jc w:val="center"/>
        </w:trPr>
        <w:tc>
          <w:tcPr>
            <w:tcW w:w="1500" w:type="dxa"/>
            <w:tcBorders>
              <w:bottom w:val="single" w:sz="4" w:space="0" w:color="auto"/>
            </w:tcBorders>
            <w:shd w:val="clear" w:color="auto" w:fill="BFBFBF"/>
          </w:tcPr>
          <w:p w14:paraId="0963A93D" w14:textId="77777777" w:rsidR="007661FD" w:rsidRPr="00E0548A" w:rsidRDefault="007661FD" w:rsidP="008C78D9">
            <w:pPr>
              <w:jc w:val="center"/>
              <w:rPr>
                <w:rFonts w:ascii="ＭＳ 明朝" w:hAnsi="ＭＳ 明朝"/>
                <w:szCs w:val="21"/>
              </w:rPr>
            </w:pPr>
            <w:r w:rsidRPr="00E0548A">
              <w:rPr>
                <w:rFonts w:ascii="ＭＳ 明朝" w:hAnsi="ＭＳ 明朝" w:hint="eastAsia"/>
                <w:szCs w:val="21"/>
              </w:rPr>
              <w:t>臨時情報</w:t>
            </w:r>
          </w:p>
        </w:tc>
        <w:tc>
          <w:tcPr>
            <w:tcW w:w="7334" w:type="dxa"/>
            <w:tcBorders>
              <w:bottom w:val="single" w:sz="4" w:space="0" w:color="auto"/>
            </w:tcBorders>
            <w:shd w:val="clear" w:color="auto" w:fill="BFBFBF"/>
          </w:tcPr>
          <w:p w14:paraId="4F60349E" w14:textId="77777777" w:rsidR="007661FD" w:rsidRPr="00E0548A" w:rsidRDefault="007661FD" w:rsidP="008C78D9">
            <w:pPr>
              <w:jc w:val="center"/>
              <w:rPr>
                <w:rFonts w:ascii="ＭＳ 明朝" w:hAnsi="ＭＳ 明朝"/>
                <w:szCs w:val="21"/>
              </w:rPr>
            </w:pPr>
            <w:r w:rsidRPr="00E0548A">
              <w:rPr>
                <w:rFonts w:ascii="ＭＳ 明朝" w:hAnsi="ＭＳ 明朝" w:hint="eastAsia"/>
                <w:szCs w:val="21"/>
              </w:rPr>
              <w:t>主な応急対策業務</w:t>
            </w:r>
          </w:p>
        </w:tc>
      </w:tr>
      <w:tr w:rsidR="00E0548A" w:rsidRPr="00E0548A" w14:paraId="1C7E2D02" w14:textId="77777777" w:rsidTr="008C78D9">
        <w:trPr>
          <w:jc w:val="center"/>
        </w:trPr>
        <w:tc>
          <w:tcPr>
            <w:tcW w:w="1500" w:type="dxa"/>
          </w:tcPr>
          <w:p w14:paraId="0A573D8F" w14:textId="77777777" w:rsidR="007661FD" w:rsidRPr="00E0548A" w:rsidRDefault="007661FD" w:rsidP="008C78D9">
            <w:pPr>
              <w:rPr>
                <w:rFonts w:ascii="ＭＳ 明朝" w:hAnsi="ＭＳ 明朝"/>
                <w:szCs w:val="21"/>
              </w:rPr>
            </w:pPr>
            <w:r w:rsidRPr="00E0548A">
              <w:rPr>
                <w:rFonts w:ascii="ＭＳ 明朝" w:hAnsi="ＭＳ 明朝" w:hint="eastAsia"/>
                <w:szCs w:val="21"/>
              </w:rPr>
              <w:t>巨大地震警戒</w:t>
            </w:r>
          </w:p>
        </w:tc>
        <w:tc>
          <w:tcPr>
            <w:tcW w:w="7334" w:type="dxa"/>
          </w:tcPr>
          <w:p w14:paraId="1328FEB1" w14:textId="77777777" w:rsidR="00DE55B0" w:rsidRPr="00E0548A" w:rsidRDefault="00DE55B0" w:rsidP="00DE55B0">
            <w:pPr>
              <w:rPr>
                <w:rFonts w:ascii="ＭＳ 明朝" w:hAnsi="ＭＳ 明朝"/>
              </w:rPr>
            </w:pPr>
            <w:r w:rsidRPr="00E0548A">
              <w:rPr>
                <w:rFonts w:ascii="ＭＳ 明朝" w:hAnsi="ＭＳ 明朝" w:hint="eastAsia"/>
              </w:rPr>
              <w:t>○地震発災後、応急対策業務（第１フェーズ）を速やかに実施できる準備</w:t>
            </w:r>
          </w:p>
          <w:p w14:paraId="26BF8C84" w14:textId="77777777" w:rsidR="00DE55B0" w:rsidRPr="00E0548A" w:rsidRDefault="00DE55B0" w:rsidP="00DE55B0">
            <w:pPr>
              <w:ind w:firstLineChars="100" w:firstLine="211"/>
              <w:rPr>
                <w:rFonts w:ascii="ＭＳ 明朝" w:hAnsi="ＭＳ 明朝"/>
              </w:rPr>
            </w:pPr>
            <w:r w:rsidRPr="00E0548A">
              <w:rPr>
                <w:rFonts w:ascii="ＭＳ 明朝" w:hAnsi="ＭＳ 明朝" w:hint="eastAsia"/>
              </w:rPr>
              <w:t>体制を維持</w:t>
            </w:r>
          </w:p>
          <w:p w14:paraId="108013A4" w14:textId="1D7E70FB" w:rsidR="00E144D7" w:rsidRPr="00E0548A" w:rsidRDefault="00DE55B0" w:rsidP="00DE55B0">
            <w:pPr>
              <w:rPr>
                <w:rFonts w:ascii="ＭＳ 明朝" w:hAnsi="ＭＳ 明朝"/>
                <w:szCs w:val="21"/>
              </w:rPr>
            </w:pPr>
            <w:r w:rsidRPr="00E0548A">
              <w:rPr>
                <w:rFonts w:ascii="ＭＳ 明朝" w:hAnsi="ＭＳ 明朝" w:hint="eastAsia"/>
              </w:rPr>
              <w:t>○事務局内及び関係機関からの情報収集・整理及び連絡調整</w:t>
            </w:r>
          </w:p>
        </w:tc>
      </w:tr>
    </w:tbl>
    <w:p w14:paraId="2F916292" w14:textId="77777777" w:rsidR="007661FD" w:rsidRPr="00E0548A" w:rsidRDefault="007661FD" w:rsidP="007661FD">
      <w:pPr>
        <w:rPr>
          <w:rFonts w:ascii="ＭＳ 明朝" w:hAnsi="ＭＳ 明朝"/>
          <w:szCs w:val="21"/>
        </w:rPr>
      </w:pPr>
      <w:r w:rsidRPr="00E0548A">
        <w:rPr>
          <w:rFonts w:ascii="ＭＳ 明朝" w:hAnsi="ＭＳ 明朝" w:hint="eastAsia"/>
          <w:szCs w:val="21"/>
        </w:rPr>
        <w:t>「南海トラフ地震臨時情報（巨大地震警戒）」が発表され、「巨大地震警戒対応期間」（１週間）が経過した際は、「巨大地震注意対応期間」へ移行。</w:t>
      </w:r>
    </w:p>
    <w:p w14:paraId="777F4165" w14:textId="77777777" w:rsidR="007661FD" w:rsidRPr="00E0548A" w:rsidRDefault="007661FD" w:rsidP="007661FD">
      <w:pPr>
        <w:rPr>
          <w:rFonts w:ascii="ＭＳ 明朝" w:hAnsi="ＭＳ 明朝"/>
          <w:szCs w:val="21"/>
        </w:rPr>
      </w:pPr>
    </w:p>
    <w:p w14:paraId="67FCAF08" w14:textId="7F23BFC9" w:rsidR="007661FD" w:rsidRPr="00E0548A" w:rsidRDefault="007661FD" w:rsidP="007661FD">
      <w:pPr>
        <w:pStyle w:val="af4"/>
        <w:ind w:leftChars="0" w:left="0"/>
        <w:rPr>
          <w:rFonts w:ascii="ＭＳ ゴシック" w:eastAsia="ＭＳ ゴシック" w:hAnsi="ＭＳ ゴシック"/>
          <w:szCs w:val="21"/>
        </w:rPr>
      </w:pPr>
      <w:r w:rsidRPr="00E0548A">
        <w:rPr>
          <w:rFonts w:ascii="ＭＳ ゴシック" w:eastAsia="ＭＳ ゴシック" w:hAnsi="ＭＳ ゴシック" w:hint="eastAsia"/>
          <w:szCs w:val="21"/>
        </w:rPr>
        <w:t>＜南海トラフ地震臨時情報（巨大地震注意）発表時</w:t>
      </w:r>
      <w:r w:rsidR="002F25B5" w:rsidRPr="00E0548A">
        <w:rPr>
          <w:rFonts w:ascii="ＭＳ ゴシック" w:eastAsia="ＭＳ ゴシック" w:hAnsi="ＭＳ ゴシック" w:hint="eastAsia"/>
          <w:szCs w:val="21"/>
        </w:rPr>
        <w:t>（</w:t>
      </w:r>
      <w:r w:rsidR="002F25B5" w:rsidRPr="00E0548A">
        <w:rPr>
          <w:rFonts w:ascii="ＭＳ 明朝" w:hAnsi="ＭＳ 明朝" w:hint="eastAsia"/>
          <w:szCs w:val="21"/>
        </w:rPr>
        <w:t>巨大地震警戒からの移行時を含む</w:t>
      </w:r>
      <w:r w:rsidR="002F25B5" w:rsidRPr="00E0548A">
        <w:rPr>
          <w:rFonts w:ascii="ＭＳ ゴシック" w:eastAsia="ＭＳ ゴシック" w:hAnsi="ＭＳ ゴシック" w:hint="eastAsia"/>
          <w:szCs w:val="21"/>
        </w:rPr>
        <w:t>）</w:t>
      </w:r>
      <w:r w:rsidRPr="00E0548A">
        <w:rPr>
          <w:rFonts w:ascii="ＭＳ ゴシック" w:eastAsia="ＭＳ ゴシック" w:hAnsi="ＭＳ ゴシック" w:hint="eastAsia"/>
          <w:szCs w:val="21"/>
        </w:rPr>
        <w:t>＞</w:t>
      </w:r>
    </w:p>
    <w:tbl>
      <w:tblPr>
        <w:tblpPr w:leftFromText="142" w:rightFromText="142" w:vertAnchor="text" w:tblpXSpec="center" w:tblpY="1"/>
        <w:tblOverlap w:val="neve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00"/>
        <w:gridCol w:w="7334"/>
      </w:tblGrid>
      <w:tr w:rsidR="00E0548A" w:rsidRPr="00E0548A" w14:paraId="3041393C" w14:textId="77777777" w:rsidTr="008C78D9">
        <w:trPr>
          <w:jc w:val="center"/>
        </w:trPr>
        <w:tc>
          <w:tcPr>
            <w:tcW w:w="1500" w:type="dxa"/>
            <w:tcBorders>
              <w:bottom w:val="single" w:sz="4" w:space="0" w:color="auto"/>
            </w:tcBorders>
            <w:shd w:val="clear" w:color="auto" w:fill="BFBFBF"/>
          </w:tcPr>
          <w:p w14:paraId="63D3C31C" w14:textId="77777777" w:rsidR="007661FD" w:rsidRPr="00E0548A" w:rsidRDefault="007661FD" w:rsidP="008C78D9">
            <w:pPr>
              <w:jc w:val="center"/>
              <w:rPr>
                <w:rFonts w:ascii="ＭＳ 明朝" w:hAnsi="ＭＳ 明朝"/>
                <w:szCs w:val="21"/>
              </w:rPr>
            </w:pPr>
            <w:r w:rsidRPr="00E0548A">
              <w:rPr>
                <w:rFonts w:ascii="ＭＳ 明朝" w:hAnsi="ＭＳ 明朝" w:hint="eastAsia"/>
                <w:szCs w:val="21"/>
              </w:rPr>
              <w:t>臨時情報</w:t>
            </w:r>
          </w:p>
        </w:tc>
        <w:tc>
          <w:tcPr>
            <w:tcW w:w="7334" w:type="dxa"/>
            <w:tcBorders>
              <w:bottom w:val="single" w:sz="4" w:space="0" w:color="auto"/>
            </w:tcBorders>
            <w:shd w:val="clear" w:color="auto" w:fill="BFBFBF"/>
          </w:tcPr>
          <w:p w14:paraId="4DF0F704" w14:textId="77777777" w:rsidR="007661FD" w:rsidRPr="00E0548A" w:rsidRDefault="007661FD" w:rsidP="008C78D9">
            <w:pPr>
              <w:jc w:val="center"/>
              <w:rPr>
                <w:rFonts w:ascii="ＭＳ 明朝" w:hAnsi="ＭＳ 明朝"/>
                <w:szCs w:val="21"/>
              </w:rPr>
            </w:pPr>
            <w:r w:rsidRPr="00E0548A">
              <w:rPr>
                <w:rFonts w:ascii="ＭＳ 明朝" w:hAnsi="ＭＳ 明朝" w:hint="eastAsia"/>
                <w:szCs w:val="21"/>
              </w:rPr>
              <w:t>主な応急対策業務</w:t>
            </w:r>
          </w:p>
        </w:tc>
      </w:tr>
      <w:tr w:rsidR="00E0548A" w:rsidRPr="00E0548A" w14:paraId="5A9A141F" w14:textId="77777777" w:rsidTr="008C78D9">
        <w:trPr>
          <w:jc w:val="center"/>
        </w:trPr>
        <w:tc>
          <w:tcPr>
            <w:tcW w:w="1500" w:type="dxa"/>
          </w:tcPr>
          <w:p w14:paraId="513D7209" w14:textId="77777777" w:rsidR="007661FD" w:rsidRPr="00E0548A" w:rsidRDefault="007661FD" w:rsidP="008C78D9">
            <w:pPr>
              <w:rPr>
                <w:rFonts w:ascii="ＭＳ 明朝" w:hAnsi="ＭＳ 明朝"/>
                <w:szCs w:val="21"/>
              </w:rPr>
            </w:pPr>
            <w:r w:rsidRPr="00E0548A">
              <w:rPr>
                <w:rFonts w:ascii="ＭＳ 明朝" w:hAnsi="ＭＳ 明朝" w:hint="eastAsia"/>
                <w:szCs w:val="21"/>
              </w:rPr>
              <w:t>巨大地震注意</w:t>
            </w:r>
          </w:p>
        </w:tc>
        <w:tc>
          <w:tcPr>
            <w:tcW w:w="7334" w:type="dxa"/>
          </w:tcPr>
          <w:p w14:paraId="1953F063" w14:textId="77777777" w:rsidR="00EE451F" w:rsidRPr="00E0548A" w:rsidRDefault="00EE451F" w:rsidP="00EE451F">
            <w:pPr>
              <w:rPr>
                <w:rFonts w:ascii="ＭＳ 明朝" w:hAnsi="ＭＳ 明朝"/>
              </w:rPr>
            </w:pPr>
            <w:r w:rsidRPr="00E0548A">
              <w:rPr>
                <w:rFonts w:ascii="ＭＳ 明朝" w:hAnsi="ＭＳ 明朝" w:hint="eastAsia"/>
              </w:rPr>
              <w:t>○地震発災に備えた情報連絡体制の維持</w:t>
            </w:r>
          </w:p>
          <w:p w14:paraId="33FF0CC8" w14:textId="4439C3C8" w:rsidR="007661FD" w:rsidRPr="00E0548A" w:rsidRDefault="00EE451F" w:rsidP="00EE451F">
            <w:pPr>
              <w:rPr>
                <w:rFonts w:ascii="ＭＳ 明朝" w:hAnsi="ＭＳ 明朝"/>
                <w:szCs w:val="21"/>
              </w:rPr>
            </w:pPr>
            <w:r w:rsidRPr="00E0548A">
              <w:rPr>
                <w:rFonts w:ascii="ＭＳ 明朝" w:hAnsi="ＭＳ 明朝" w:hint="eastAsia"/>
                <w:kern w:val="0"/>
              </w:rPr>
              <w:t>○事務局内及び関係機関からの情報収集・整理及び連絡調整</w:t>
            </w:r>
          </w:p>
        </w:tc>
      </w:tr>
    </w:tbl>
    <w:p w14:paraId="6402BD54" w14:textId="77777777" w:rsidR="007661FD" w:rsidRPr="00E0548A" w:rsidRDefault="007661FD" w:rsidP="007661FD">
      <w:pPr>
        <w:rPr>
          <w:rFonts w:ascii="ＭＳ 明朝" w:hAnsi="ＭＳ 明朝"/>
          <w:szCs w:val="21"/>
        </w:rPr>
      </w:pPr>
    </w:p>
    <w:p w14:paraId="1ABAA454" w14:textId="45DD5BD0" w:rsidR="00E144D7" w:rsidRPr="00E0548A" w:rsidRDefault="00E144D7" w:rsidP="008B4B2B">
      <w:pPr>
        <w:rPr>
          <w:rFonts w:ascii="ＭＳ 明朝" w:hAnsi="ＭＳ 明朝"/>
          <w:szCs w:val="21"/>
        </w:rPr>
      </w:pPr>
    </w:p>
    <w:p w14:paraId="5818021E" w14:textId="77777777" w:rsidR="00EE451F" w:rsidRPr="00E0548A" w:rsidRDefault="00EE451F" w:rsidP="008B4B2B">
      <w:pPr>
        <w:rPr>
          <w:rFonts w:ascii="ＭＳ 明朝" w:hAnsi="ＭＳ 明朝"/>
          <w:szCs w:val="21"/>
        </w:rPr>
      </w:pPr>
    </w:p>
    <w:p w14:paraId="56F6F508" w14:textId="5B231BD5" w:rsidR="00E144D7" w:rsidRPr="00E0548A" w:rsidRDefault="00E144D7" w:rsidP="008B4B2B">
      <w:pPr>
        <w:rPr>
          <w:rFonts w:ascii="ＭＳ 明朝" w:hAnsi="ＭＳ 明朝"/>
          <w:szCs w:val="21"/>
        </w:rPr>
      </w:pPr>
    </w:p>
    <w:p w14:paraId="6CEF91BE" w14:textId="77777777" w:rsidR="00E144D7" w:rsidRPr="00E0548A" w:rsidRDefault="00E144D7" w:rsidP="008B4B2B">
      <w:pPr>
        <w:rPr>
          <w:rFonts w:ascii="ＭＳ 明朝" w:hAnsi="ＭＳ 明朝"/>
          <w:szCs w:val="21"/>
        </w:rPr>
      </w:pPr>
    </w:p>
    <w:p w14:paraId="62C5E3D3" w14:textId="58263813" w:rsidR="008B4B2B" w:rsidRPr="00E0548A" w:rsidRDefault="008372F9" w:rsidP="008B4B2B">
      <w:pPr>
        <w:rPr>
          <w:rFonts w:ascii="ＭＳ ゴシック" w:eastAsia="ＭＳ ゴシック" w:hAnsi="ＭＳ ゴシック"/>
          <w:szCs w:val="21"/>
        </w:rPr>
      </w:pPr>
      <w:r w:rsidRPr="00E0548A">
        <w:rPr>
          <w:rFonts w:ascii="ＭＳ ゴシック" w:eastAsia="ＭＳ ゴシック" w:hAnsi="ＭＳ ゴシック" w:hint="eastAsia"/>
          <w:szCs w:val="21"/>
        </w:rPr>
        <w:lastRenderedPageBreak/>
        <w:t>⑲</w:t>
      </w:r>
      <w:r w:rsidR="008B4B2B" w:rsidRPr="00E0548A">
        <w:rPr>
          <w:rFonts w:ascii="ＭＳ ゴシック" w:eastAsia="ＭＳ ゴシック" w:hAnsi="ＭＳ ゴシック" w:hint="eastAsia"/>
          <w:szCs w:val="21"/>
        </w:rPr>
        <w:t>人事委員会事務局</w:t>
      </w:r>
    </w:p>
    <w:p w14:paraId="0FBFC647" w14:textId="77777777" w:rsidR="002C01FF" w:rsidRPr="00E0548A" w:rsidRDefault="002C01FF" w:rsidP="002C01FF">
      <w:pPr>
        <w:pStyle w:val="af4"/>
        <w:ind w:leftChars="0" w:left="0"/>
        <w:rPr>
          <w:rFonts w:ascii="ＭＳ ゴシック" w:eastAsia="ＭＳ ゴシック" w:hAnsi="ＭＳ ゴシック"/>
          <w:szCs w:val="21"/>
        </w:rPr>
      </w:pPr>
      <w:r w:rsidRPr="00E0548A">
        <w:rPr>
          <w:rFonts w:ascii="ＭＳ ゴシック" w:eastAsia="ＭＳ ゴシック" w:hAnsi="ＭＳ ゴシック" w:hint="eastAsia"/>
          <w:szCs w:val="21"/>
        </w:rPr>
        <w:t>＜災害発生時＞</w:t>
      </w:r>
    </w:p>
    <w:tbl>
      <w:tblPr>
        <w:tblpPr w:leftFromText="142" w:rightFromText="142" w:vertAnchor="text" w:tblpXSpec="center" w:tblpY="1"/>
        <w:tblOverlap w:val="neve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26"/>
        <w:gridCol w:w="7176"/>
      </w:tblGrid>
      <w:tr w:rsidR="00E0548A" w:rsidRPr="00E0548A" w14:paraId="29E13D58" w14:textId="77777777" w:rsidTr="008B4B2B">
        <w:trPr>
          <w:jc w:val="center"/>
        </w:trPr>
        <w:tc>
          <w:tcPr>
            <w:tcW w:w="1526" w:type="dxa"/>
            <w:shd w:val="clear" w:color="auto" w:fill="BFBFBF"/>
          </w:tcPr>
          <w:p w14:paraId="5CC1FCD4" w14:textId="77777777" w:rsidR="008B4B2B" w:rsidRPr="00E0548A" w:rsidRDefault="008B4B2B" w:rsidP="008B4B2B">
            <w:pPr>
              <w:jc w:val="center"/>
              <w:rPr>
                <w:rFonts w:ascii="ＭＳ 明朝" w:hAnsi="ＭＳ 明朝"/>
                <w:szCs w:val="21"/>
              </w:rPr>
            </w:pPr>
            <w:r w:rsidRPr="00E0548A">
              <w:rPr>
                <w:rFonts w:ascii="ＭＳ 明朝" w:hAnsi="ＭＳ 明朝" w:hint="eastAsia"/>
                <w:szCs w:val="21"/>
              </w:rPr>
              <w:t>フェーズ</w:t>
            </w:r>
          </w:p>
        </w:tc>
        <w:tc>
          <w:tcPr>
            <w:tcW w:w="7176" w:type="dxa"/>
            <w:shd w:val="clear" w:color="auto" w:fill="BFBFBF"/>
          </w:tcPr>
          <w:p w14:paraId="190D2F6E" w14:textId="77777777" w:rsidR="008B4B2B" w:rsidRPr="00E0548A" w:rsidRDefault="008B4B2B" w:rsidP="008B4B2B">
            <w:pPr>
              <w:jc w:val="center"/>
              <w:rPr>
                <w:rFonts w:ascii="ＭＳ 明朝" w:hAnsi="ＭＳ 明朝"/>
                <w:szCs w:val="21"/>
              </w:rPr>
            </w:pPr>
            <w:r w:rsidRPr="00E0548A">
              <w:rPr>
                <w:rFonts w:ascii="ＭＳ 明朝" w:hAnsi="ＭＳ 明朝" w:hint="eastAsia"/>
                <w:szCs w:val="21"/>
              </w:rPr>
              <w:t>主な応急対策業務</w:t>
            </w:r>
          </w:p>
        </w:tc>
      </w:tr>
      <w:tr w:rsidR="00E0548A" w:rsidRPr="00E0548A" w14:paraId="67425EED" w14:textId="77777777" w:rsidTr="008B4B2B">
        <w:trPr>
          <w:jc w:val="center"/>
        </w:trPr>
        <w:tc>
          <w:tcPr>
            <w:tcW w:w="1526" w:type="dxa"/>
          </w:tcPr>
          <w:p w14:paraId="40FB1D27" w14:textId="77777777" w:rsidR="008B4B2B" w:rsidRPr="00E0548A" w:rsidRDefault="008B4B2B" w:rsidP="008B4B2B">
            <w:pPr>
              <w:rPr>
                <w:rFonts w:ascii="ＭＳ 明朝" w:hAnsi="ＭＳ 明朝"/>
                <w:szCs w:val="21"/>
              </w:rPr>
            </w:pPr>
            <w:r w:rsidRPr="00E0548A">
              <w:rPr>
                <w:rFonts w:ascii="ＭＳ 明朝" w:hAnsi="ＭＳ 明朝" w:hint="eastAsia"/>
                <w:szCs w:val="21"/>
              </w:rPr>
              <w:t>第1フェーズ</w:t>
            </w:r>
          </w:p>
          <w:p w14:paraId="7C9A463E" w14:textId="77777777" w:rsidR="008B4B2B" w:rsidRPr="00E0548A" w:rsidRDefault="008B4B2B" w:rsidP="008B4B2B">
            <w:pPr>
              <w:rPr>
                <w:rFonts w:ascii="ＭＳ 明朝" w:hAnsi="ＭＳ 明朝"/>
                <w:szCs w:val="21"/>
              </w:rPr>
            </w:pPr>
            <w:r w:rsidRPr="00E0548A">
              <w:rPr>
                <w:rFonts w:ascii="ＭＳ 明朝" w:hAnsi="ＭＳ 明朝" w:hint="eastAsia"/>
                <w:szCs w:val="21"/>
              </w:rPr>
              <w:t>(3時間まで)</w:t>
            </w:r>
          </w:p>
          <w:p w14:paraId="4585BA00" w14:textId="77777777" w:rsidR="008B4B2B" w:rsidRPr="00E0548A" w:rsidRDefault="008B4B2B" w:rsidP="008B4B2B">
            <w:pPr>
              <w:rPr>
                <w:rFonts w:ascii="ＭＳ 明朝" w:hAnsi="ＭＳ 明朝"/>
                <w:szCs w:val="21"/>
              </w:rPr>
            </w:pPr>
          </w:p>
        </w:tc>
        <w:tc>
          <w:tcPr>
            <w:tcW w:w="7176" w:type="dxa"/>
          </w:tcPr>
          <w:p w14:paraId="363D670B" w14:textId="77777777" w:rsidR="008B4B2B" w:rsidRPr="00E0548A" w:rsidRDefault="008B4B2B" w:rsidP="008B4B2B">
            <w:pPr>
              <w:rPr>
                <w:rFonts w:ascii="ＭＳ 明朝" w:hAnsi="ＭＳ 明朝"/>
                <w:szCs w:val="21"/>
              </w:rPr>
            </w:pPr>
            <w:r w:rsidRPr="00E0548A">
              <w:rPr>
                <w:rFonts w:ascii="ＭＳ 明朝" w:hAnsi="ＭＳ 明朝" w:hint="eastAsia"/>
                <w:szCs w:val="21"/>
              </w:rPr>
              <w:t>○初動対応、体制の確立</w:t>
            </w:r>
          </w:p>
          <w:p w14:paraId="6CA6F10D" w14:textId="77777777" w:rsidR="008B4B2B" w:rsidRPr="00E0548A" w:rsidRDefault="008B4B2B" w:rsidP="008B4B2B">
            <w:pPr>
              <w:rPr>
                <w:rFonts w:ascii="ＭＳ 明朝" w:hAnsi="ＭＳ 明朝"/>
                <w:szCs w:val="21"/>
              </w:rPr>
            </w:pPr>
            <w:r w:rsidRPr="00E0548A">
              <w:rPr>
                <w:rFonts w:ascii="ＭＳ 明朝" w:hAnsi="ＭＳ 明朝" w:hint="eastAsia"/>
                <w:szCs w:val="21"/>
              </w:rPr>
              <w:t>○事務局内職員の安否確認と参集状況の把握、報告【任用審査】</w:t>
            </w:r>
          </w:p>
          <w:p w14:paraId="5B7A7AAE" w14:textId="77777777" w:rsidR="008B4B2B" w:rsidRPr="00E0548A" w:rsidRDefault="008B4B2B" w:rsidP="008B4B2B">
            <w:pPr>
              <w:rPr>
                <w:rFonts w:ascii="ＭＳ 明朝" w:hAnsi="ＭＳ 明朝"/>
                <w:szCs w:val="21"/>
              </w:rPr>
            </w:pPr>
            <w:r w:rsidRPr="00E0548A">
              <w:rPr>
                <w:rFonts w:ascii="ＭＳ 明朝" w:hAnsi="ＭＳ 明朝" w:hint="eastAsia"/>
                <w:szCs w:val="21"/>
              </w:rPr>
              <w:t>○人事委員の安否確認【任用審査】</w:t>
            </w:r>
          </w:p>
          <w:p w14:paraId="04C141E7" w14:textId="77777777" w:rsidR="008B4B2B" w:rsidRPr="00E0548A" w:rsidRDefault="008B4B2B" w:rsidP="008B4B2B">
            <w:pPr>
              <w:rPr>
                <w:rFonts w:ascii="ＭＳ 明朝" w:hAnsi="ＭＳ 明朝"/>
                <w:szCs w:val="21"/>
              </w:rPr>
            </w:pPr>
            <w:r w:rsidRPr="00E0548A">
              <w:rPr>
                <w:rFonts w:ascii="ＭＳ 明朝" w:hAnsi="ＭＳ 明朝" w:hint="eastAsia"/>
                <w:szCs w:val="21"/>
              </w:rPr>
              <w:t>○事務局内及び関係機関からの情報収集及び連絡調整【任用審査】</w:t>
            </w:r>
          </w:p>
          <w:p w14:paraId="0509E27C" w14:textId="77777777" w:rsidR="008B4B2B" w:rsidRPr="00E0548A" w:rsidRDefault="008B4B2B" w:rsidP="008B4B2B">
            <w:pPr>
              <w:rPr>
                <w:rFonts w:ascii="ＭＳ 明朝" w:hAnsi="ＭＳ 明朝"/>
                <w:szCs w:val="21"/>
              </w:rPr>
            </w:pPr>
            <w:r w:rsidRPr="00E0548A">
              <w:rPr>
                <w:rFonts w:ascii="ＭＳ 明朝" w:hAnsi="ＭＳ 明朝" w:hint="eastAsia"/>
                <w:szCs w:val="21"/>
              </w:rPr>
              <w:t>○職員・来庁者の救助・搬送【各所属】</w:t>
            </w:r>
          </w:p>
        </w:tc>
      </w:tr>
      <w:tr w:rsidR="00E0548A" w:rsidRPr="00E0548A" w14:paraId="0E597172" w14:textId="77777777" w:rsidTr="008B4B2B">
        <w:trPr>
          <w:jc w:val="center"/>
        </w:trPr>
        <w:tc>
          <w:tcPr>
            <w:tcW w:w="1526" w:type="dxa"/>
          </w:tcPr>
          <w:p w14:paraId="7840868E" w14:textId="77777777" w:rsidR="008B4B2B" w:rsidRPr="00E0548A" w:rsidRDefault="008B4B2B" w:rsidP="008B4B2B">
            <w:pPr>
              <w:rPr>
                <w:rFonts w:ascii="ＭＳ 明朝" w:hAnsi="ＭＳ 明朝"/>
                <w:szCs w:val="21"/>
              </w:rPr>
            </w:pPr>
            <w:r w:rsidRPr="00E0548A">
              <w:rPr>
                <w:rFonts w:ascii="ＭＳ 明朝" w:hAnsi="ＭＳ 明朝" w:hint="eastAsia"/>
                <w:szCs w:val="21"/>
              </w:rPr>
              <w:t>第2フェーズ</w:t>
            </w:r>
          </w:p>
          <w:p w14:paraId="5E76FB55" w14:textId="77777777" w:rsidR="008B4B2B" w:rsidRPr="00E0548A" w:rsidRDefault="008B4B2B" w:rsidP="008B4B2B">
            <w:pPr>
              <w:rPr>
                <w:rFonts w:ascii="ＭＳ 明朝" w:hAnsi="ＭＳ 明朝"/>
                <w:szCs w:val="21"/>
              </w:rPr>
            </w:pPr>
            <w:r w:rsidRPr="00E0548A">
              <w:rPr>
                <w:rFonts w:ascii="ＭＳ 明朝" w:hAnsi="ＭＳ 明朝" w:hint="eastAsia"/>
                <w:szCs w:val="21"/>
              </w:rPr>
              <w:t>(24時間まで)</w:t>
            </w:r>
          </w:p>
        </w:tc>
        <w:tc>
          <w:tcPr>
            <w:tcW w:w="7176" w:type="dxa"/>
          </w:tcPr>
          <w:p w14:paraId="1594CE90" w14:textId="77777777" w:rsidR="008B4B2B" w:rsidRPr="00E0548A" w:rsidRDefault="008B4B2B" w:rsidP="008B4B2B">
            <w:pPr>
              <w:rPr>
                <w:rFonts w:ascii="ＭＳ 明朝" w:hAnsi="ＭＳ 明朝"/>
                <w:szCs w:val="21"/>
              </w:rPr>
            </w:pPr>
            <w:r w:rsidRPr="00E0548A">
              <w:rPr>
                <w:rFonts w:ascii="ＭＳ 明朝" w:hAnsi="ＭＳ 明朝" w:hint="eastAsia"/>
                <w:szCs w:val="21"/>
              </w:rPr>
              <w:t>○所管施設の被害状況の把握、報告及び二次災害防止対策の実施</w:t>
            </w:r>
          </w:p>
          <w:p w14:paraId="08C52642" w14:textId="77777777" w:rsidR="008B4B2B" w:rsidRPr="00E0548A" w:rsidRDefault="008B4B2B" w:rsidP="008B4B2B">
            <w:pPr>
              <w:rPr>
                <w:rFonts w:ascii="ＭＳ 明朝" w:hAnsi="ＭＳ 明朝"/>
                <w:szCs w:val="21"/>
              </w:rPr>
            </w:pPr>
            <w:r w:rsidRPr="00E0548A">
              <w:rPr>
                <w:rFonts w:ascii="ＭＳ 明朝" w:hAnsi="ＭＳ 明朝" w:hint="eastAsia"/>
                <w:szCs w:val="21"/>
              </w:rPr>
              <w:t>【任用審査】</w:t>
            </w:r>
          </w:p>
        </w:tc>
      </w:tr>
      <w:tr w:rsidR="00E0548A" w:rsidRPr="00E0548A" w14:paraId="3C286971" w14:textId="77777777" w:rsidTr="008B4B2B">
        <w:trPr>
          <w:jc w:val="center"/>
        </w:trPr>
        <w:tc>
          <w:tcPr>
            <w:tcW w:w="1526" w:type="dxa"/>
          </w:tcPr>
          <w:p w14:paraId="1861D020" w14:textId="77777777" w:rsidR="008B4B2B" w:rsidRPr="00E0548A" w:rsidRDefault="008B4B2B" w:rsidP="008B4B2B">
            <w:pPr>
              <w:rPr>
                <w:rFonts w:ascii="ＭＳ 明朝" w:hAnsi="ＭＳ 明朝"/>
                <w:szCs w:val="21"/>
              </w:rPr>
            </w:pPr>
            <w:r w:rsidRPr="00E0548A">
              <w:rPr>
                <w:rFonts w:ascii="ＭＳ 明朝" w:hAnsi="ＭＳ 明朝" w:hint="eastAsia"/>
                <w:szCs w:val="21"/>
              </w:rPr>
              <w:t>第3フェーズ</w:t>
            </w:r>
          </w:p>
          <w:p w14:paraId="7B7A0774" w14:textId="77777777" w:rsidR="008B4B2B" w:rsidRPr="00E0548A" w:rsidRDefault="008B4B2B" w:rsidP="008B4B2B">
            <w:pPr>
              <w:rPr>
                <w:rFonts w:ascii="ＭＳ 明朝" w:hAnsi="ＭＳ 明朝"/>
                <w:szCs w:val="21"/>
              </w:rPr>
            </w:pPr>
            <w:r w:rsidRPr="00E0548A">
              <w:rPr>
                <w:rFonts w:ascii="ＭＳ 明朝" w:hAnsi="ＭＳ 明朝" w:hint="eastAsia"/>
                <w:szCs w:val="21"/>
              </w:rPr>
              <w:t>(72時間まで)</w:t>
            </w:r>
          </w:p>
        </w:tc>
        <w:tc>
          <w:tcPr>
            <w:tcW w:w="7176" w:type="dxa"/>
          </w:tcPr>
          <w:p w14:paraId="137CF750" w14:textId="77777777" w:rsidR="008B4B2B" w:rsidRPr="00E0548A" w:rsidRDefault="008B4B2B" w:rsidP="008B4B2B">
            <w:pPr>
              <w:rPr>
                <w:rFonts w:ascii="ＭＳ 明朝" w:hAnsi="ＭＳ 明朝"/>
                <w:szCs w:val="21"/>
              </w:rPr>
            </w:pPr>
          </w:p>
        </w:tc>
      </w:tr>
      <w:tr w:rsidR="00E0548A" w:rsidRPr="00E0548A" w14:paraId="6D43F1E6" w14:textId="77777777" w:rsidTr="008B4B2B">
        <w:trPr>
          <w:jc w:val="center"/>
        </w:trPr>
        <w:tc>
          <w:tcPr>
            <w:tcW w:w="1526" w:type="dxa"/>
          </w:tcPr>
          <w:p w14:paraId="7561E26C" w14:textId="77777777" w:rsidR="008B4B2B" w:rsidRPr="00E0548A" w:rsidRDefault="008B4B2B" w:rsidP="008B4B2B">
            <w:pPr>
              <w:rPr>
                <w:rFonts w:ascii="ＭＳ 明朝" w:hAnsi="ＭＳ 明朝"/>
                <w:szCs w:val="21"/>
              </w:rPr>
            </w:pPr>
            <w:r w:rsidRPr="00E0548A">
              <w:rPr>
                <w:rFonts w:ascii="ＭＳ 明朝" w:hAnsi="ＭＳ 明朝" w:hint="eastAsia"/>
                <w:szCs w:val="21"/>
              </w:rPr>
              <w:t>第4フェーズ</w:t>
            </w:r>
          </w:p>
          <w:p w14:paraId="47384949" w14:textId="77777777" w:rsidR="008B4B2B" w:rsidRPr="00E0548A" w:rsidRDefault="008B4B2B" w:rsidP="008B4B2B">
            <w:pPr>
              <w:rPr>
                <w:rFonts w:ascii="ＭＳ 明朝" w:hAnsi="ＭＳ 明朝"/>
                <w:szCs w:val="21"/>
              </w:rPr>
            </w:pPr>
            <w:r w:rsidRPr="00E0548A">
              <w:rPr>
                <w:rFonts w:ascii="ＭＳ 明朝" w:hAnsi="ＭＳ 明朝" w:hint="eastAsia"/>
                <w:szCs w:val="21"/>
              </w:rPr>
              <w:t>(1週間まで)</w:t>
            </w:r>
          </w:p>
        </w:tc>
        <w:tc>
          <w:tcPr>
            <w:tcW w:w="7176" w:type="dxa"/>
          </w:tcPr>
          <w:p w14:paraId="55605FB1" w14:textId="77777777" w:rsidR="008B4B2B" w:rsidRPr="00E0548A" w:rsidRDefault="008B4B2B" w:rsidP="008B4B2B">
            <w:pPr>
              <w:rPr>
                <w:rFonts w:ascii="ＭＳ 明朝" w:hAnsi="ＭＳ 明朝"/>
                <w:szCs w:val="21"/>
              </w:rPr>
            </w:pPr>
          </w:p>
        </w:tc>
      </w:tr>
      <w:tr w:rsidR="00E0548A" w:rsidRPr="00E0548A" w14:paraId="03B060AD" w14:textId="77777777" w:rsidTr="008B4B2B">
        <w:trPr>
          <w:jc w:val="center"/>
        </w:trPr>
        <w:tc>
          <w:tcPr>
            <w:tcW w:w="1526" w:type="dxa"/>
          </w:tcPr>
          <w:p w14:paraId="62A3F445" w14:textId="77777777" w:rsidR="008B4B2B" w:rsidRPr="00E0548A" w:rsidRDefault="008B4B2B" w:rsidP="008B4B2B">
            <w:pPr>
              <w:rPr>
                <w:rFonts w:ascii="ＭＳ 明朝" w:hAnsi="ＭＳ 明朝"/>
                <w:szCs w:val="21"/>
              </w:rPr>
            </w:pPr>
            <w:r w:rsidRPr="00E0548A">
              <w:rPr>
                <w:rFonts w:ascii="ＭＳ 明朝" w:hAnsi="ＭＳ 明朝" w:hint="eastAsia"/>
                <w:szCs w:val="21"/>
              </w:rPr>
              <w:t>第5フェーズ</w:t>
            </w:r>
          </w:p>
          <w:p w14:paraId="46DEF4AD" w14:textId="77777777" w:rsidR="008B4B2B" w:rsidRPr="00E0548A" w:rsidRDefault="008B4B2B" w:rsidP="008B4B2B">
            <w:pPr>
              <w:rPr>
                <w:rFonts w:ascii="ＭＳ 明朝" w:hAnsi="ＭＳ 明朝"/>
                <w:szCs w:val="21"/>
              </w:rPr>
            </w:pPr>
            <w:r w:rsidRPr="00E0548A">
              <w:rPr>
                <w:rFonts w:ascii="ＭＳ 明朝" w:hAnsi="ＭＳ 明朝" w:hint="eastAsia"/>
                <w:szCs w:val="21"/>
              </w:rPr>
              <w:t>(2週間まで)</w:t>
            </w:r>
          </w:p>
        </w:tc>
        <w:tc>
          <w:tcPr>
            <w:tcW w:w="7176" w:type="dxa"/>
          </w:tcPr>
          <w:p w14:paraId="725D631E" w14:textId="77777777" w:rsidR="008B4B2B" w:rsidRPr="00E0548A" w:rsidRDefault="008B4B2B" w:rsidP="008B4B2B">
            <w:pPr>
              <w:ind w:left="211" w:hangingChars="100" w:hanging="211"/>
              <w:rPr>
                <w:rFonts w:ascii="ＭＳ 明朝" w:hAnsi="ＭＳ 明朝"/>
                <w:szCs w:val="21"/>
              </w:rPr>
            </w:pPr>
            <w:r w:rsidRPr="00E0548A">
              <w:rPr>
                <w:rFonts w:ascii="ＭＳ 明朝" w:hAnsi="ＭＳ 明朝" w:hint="eastAsia"/>
                <w:szCs w:val="21"/>
              </w:rPr>
              <w:t>○被災所管施設の応急復旧（当該施設において応急的に業務を再開するために実施する措置のことをいう。本格的な復旧作業の前段階。）開始</w:t>
            </w:r>
          </w:p>
        </w:tc>
      </w:tr>
      <w:tr w:rsidR="00E0548A" w:rsidRPr="00E0548A" w14:paraId="62855B12" w14:textId="77777777" w:rsidTr="008B4B2B">
        <w:trPr>
          <w:jc w:val="center"/>
        </w:trPr>
        <w:tc>
          <w:tcPr>
            <w:tcW w:w="1526" w:type="dxa"/>
          </w:tcPr>
          <w:p w14:paraId="20797A2E" w14:textId="77777777" w:rsidR="008B4B2B" w:rsidRPr="00E0548A" w:rsidRDefault="008B4B2B" w:rsidP="008B4B2B">
            <w:pPr>
              <w:rPr>
                <w:rFonts w:ascii="ＭＳ 明朝" w:hAnsi="ＭＳ 明朝"/>
                <w:szCs w:val="21"/>
              </w:rPr>
            </w:pPr>
            <w:r w:rsidRPr="00E0548A">
              <w:rPr>
                <w:rFonts w:ascii="ＭＳ 明朝" w:hAnsi="ＭＳ 明朝" w:hint="eastAsia"/>
                <w:szCs w:val="21"/>
              </w:rPr>
              <w:t>第6フェーズ</w:t>
            </w:r>
          </w:p>
          <w:p w14:paraId="6F510C6D" w14:textId="77777777" w:rsidR="008B4B2B" w:rsidRPr="00E0548A" w:rsidRDefault="008B4B2B" w:rsidP="008B4B2B">
            <w:pPr>
              <w:rPr>
                <w:rFonts w:ascii="ＭＳ 明朝" w:hAnsi="ＭＳ 明朝"/>
                <w:szCs w:val="21"/>
              </w:rPr>
            </w:pPr>
            <w:r w:rsidRPr="00E0548A">
              <w:rPr>
                <w:rFonts w:ascii="ＭＳ 明朝" w:hAnsi="ＭＳ 明朝" w:hint="eastAsia"/>
                <w:szCs w:val="21"/>
              </w:rPr>
              <w:t>(1ヶ月まで)</w:t>
            </w:r>
          </w:p>
        </w:tc>
        <w:tc>
          <w:tcPr>
            <w:tcW w:w="7176" w:type="dxa"/>
          </w:tcPr>
          <w:p w14:paraId="1356AA03" w14:textId="77777777" w:rsidR="008B4B2B" w:rsidRPr="00E0548A" w:rsidRDefault="008B4B2B" w:rsidP="008B4B2B">
            <w:pPr>
              <w:rPr>
                <w:rFonts w:ascii="ＭＳ ゴシック" w:eastAsia="ＭＳ ゴシック" w:hAnsi="ＭＳ ゴシック"/>
                <w:szCs w:val="21"/>
              </w:rPr>
            </w:pPr>
            <w:r w:rsidRPr="00E0548A">
              <w:rPr>
                <w:rFonts w:ascii="ＭＳ 明朝" w:hAnsi="ＭＳ 明朝" w:hint="eastAsia"/>
                <w:szCs w:val="21"/>
              </w:rPr>
              <w:t>○被災所管施設の応急復旧</w:t>
            </w:r>
          </w:p>
          <w:p w14:paraId="7EC4E4AA" w14:textId="77777777" w:rsidR="008B4B2B" w:rsidRPr="00E0548A" w:rsidRDefault="008B4B2B" w:rsidP="008B4B2B">
            <w:pPr>
              <w:rPr>
                <w:rFonts w:ascii="ＭＳ ゴシック" w:eastAsia="ＭＳ ゴシック" w:hAnsi="ＭＳ ゴシック"/>
                <w:szCs w:val="21"/>
              </w:rPr>
            </w:pPr>
          </w:p>
        </w:tc>
      </w:tr>
    </w:tbl>
    <w:p w14:paraId="3103B18F" w14:textId="44BB1B18" w:rsidR="008B4B2B" w:rsidRPr="00E0548A" w:rsidRDefault="008B4B2B" w:rsidP="008B4B2B">
      <w:pPr>
        <w:widowControl/>
        <w:jc w:val="left"/>
        <w:rPr>
          <w:rFonts w:ascii="ＭＳ 明朝" w:hAnsi="ＭＳ 明朝"/>
          <w:szCs w:val="21"/>
        </w:rPr>
      </w:pPr>
    </w:p>
    <w:p w14:paraId="590B2E60" w14:textId="77777777" w:rsidR="00E144D7" w:rsidRPr="00E0548A" w:rsidRDefault="00E144D7" w:rsidP="008B4B2B">
      <w:pPr>
        <w:widowControl/>
        <w:jc w:val="left"/>
        <w:rPr>
          <w:rFonts w:ascii="ＭＳ 明朝" w:hAnsi="ＭＳ 明朝"/>
          <w:szCs w:val="21"/>
        </w:rPr>
      </w:pPr>
    </w:p>
    <w:p w14:paraId="4AAC361F" w14:textId="77777777" w:rsidR="007661FD" w:rsidRPr="00E0548A" w:rsidRDefault="007661FD" w:rsidP="007661FD">
      <w:pPr>
        <w:pStyle w:val="af4"/>
        <w:ind w:leftChars="0" w:left="0"/>
        <w:rPr>
          <w:rFonts w:ascii="ＭＳ ゴシック" w:eastAsia="ＭＳ ゴシック" w:hAnsi="ＭＳ ゴシック"/>
          <w:szCs w:val="21"/>
        </w:rPr>
      </w:pPr>
      <w:r w:rsidRPr="00E0548A">
        <w:rPr>
          <w:rFonts w:ascii="ＭＳ ゴシック" w:eastAsia="ＭＳ ゴシック" w:hAnsi="ＭＳ ゴシック" w:hint="eastAsia"/>
          <w:szCs w:val="21"/>
        </w:rPr>
        <w:t>＜南海トラフ地震臨時情報（巨大地震警戒）発表時＞</w:t>
      </w:r>
    </w:p>
    <w:tbl>
      <w:tblPr>
        <w:tblpPr w:leftFromText="142" w:rightFromText="142" w:vertAnchor="text" w:tblpXSpec="center" w:tblpY="1"/>
        <w:tblOverlap w:val="neve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00"/>
        <w:gridCol w:w="7334"/>
      </w:tblGrid>
      <w:tr w:rsidR="00E0548A" w:rsidRPr="00E0548A" w14:paraId="2C45DAA5" w14:textId="77777777" w:rsidTr="008C78D9">
        <w:trPr>
          <w:jc w:val="center"/>
        </w:trPr>
        <w:tc>
          <w:tcPr>
            <w:tcW w:w="1500" w:type="dxa"/>
            <w:tcBorders>
              <w:bottom w:val="single" w:sz="4" w:space="0" w:color="auto"/>
            </w:tcBorders>
            <w:shd w:val="clear" w:color="auto" w:fill="BFBFBF"/>
          </w:tcPr>
          <w:p w14:paraId="4BA514A2" w14:textId="77777777" w:rsidR="007661FD" w:rsidRPr="00E0548A" w:rsidRDefault="007661FD" w:rsidP="008C78D9">
            <w:pPr>
              <w:jc w:val="center"/>
              <w:rPr>
                <w:rFonts w:ascii="ＭＳ 明朝" w:hAnsi="ＭＳ 明朝"/>
                <w:szCs w:val="21"/>
              </w:rPr>
            </w:pPr>
            <w:r w:rsidRPr="00E0548A">
              <w:rPr>
                <w:rFonts w:ascii="ＭＳ 明朝" w:hAnsi="ＭＳ 明朝" w:hint="eastAsia"/>
                <w:szCs w:val="21"/>
              </w:rPr>
              <w:t>臨時情報</w:t>
            </w:r>
          </w:p>
        </w:tc>
        <w:tc>
          <w:tcPr>
            <w:tcW w:w="7334" w:type="dxa"/>
            <w:tcBorders>
              <w:bottom w:val="single" w:sz="4" w:space="0" w:color="auto"/>
            </w:tcBorders>
            <w:shd w:val="clear" w:color="auto" w:fill="BFBFBF"/>
          </w:tcPr>
          <w:p w14:paraId="17156EBC" w14:textId="77777777" w:rsidR="007661FD" w:rsidRPr="00E0548A" w:rsidRDefault="007661FD" w:rsidP="008C78D9">
            <w:pPr>
              <w:jc w:val="center"/>
              <w:rPr>
                <w:rFonts w:ascii="ＭＳ 明朝" w:hAnsi="ＭＳ 明朝"/>
                <w:szCs w:val="21"/>
              </w:rPr>
            </w:pPr>
            <w:r w:rsidRPr="00E0548A">
              <w:rPr>
                <w:rFonts w:ascii="ＭＳ 明朝" w:hAnsi="ＭＳ 明朝" w:hint="eastAsia"/>
                <w:szCs w:val="21"/>
              </w:rPr>
              <w:t>主な応急対策業務</w:t>
            </w:r>
          </w:p>
        </w:tc>
      </w:tr>
      <w:tr w:rsidR="00E0548A" w:rsidRPr="00E0548A" w14:paraId="5478929F" w14:textId="77777777" w:rsidTr="008C78D9">
        <w:trPr>
          <w:jc w:val="center"/>
        </w:trPr>
        <w:tc>
          <w:tcPr>
            <w:tcW w:w="1500" w:type="dxa"/>
          </w:tcPr>
          <w:p w14:paraId="0EE1B633" w14:textId="77777777" w:rsidR="007661FD" w:rsidRPr="00E0548A" w:rsidRDefault="007661FD" w:rsidP="008C78D9">
            <w:pPr>
              <w:rPr>
                <w:rFonts w:ascii="ＭＳ 明朝" w:hAnsi="ＭＳ 明朝"/>
                <w:szCs w:val="21"/>
              </w:rPr>
            </w:pPr>
            <w:r w:rsidRPr="00E0548A">
              <w:rPr>
                <w:rFonts w:ascii="ＭＳ 明朝" w:hAnsi="ＭＳ 明朝" w:hint="eastAsia"/>
                <w:szCs w:val="21"/>
              </w:rPr>
              <w:t>巨大地震警戒</w:t>
            </w:r>
          </w:p>
        </w:tc>
        <w:tc>
          <w:tcPr>
            <w:tcW w:w="7334" w:type="dxa"/>
          </w:tcPr>
          <w:p w14:paraId="7B4AA9C3" w14:textId="77777777" w:rsidR="00ED1042" w:rsidRPr="00E0548A" w:rsidRDefault="00ED1042" w:rsidP="00ED1042">
            <w:pPr>
              <w:rPr>
                <w:rFonts w:ascii="ＭＳ 明朝" w:hAnsi="ＭＳ 明朝"/>
              </w:rPr>
            </w:pPr>
            <w:r w:rsidRPr="00E0548A">
              <w:rPr>
                <w:rFonts w:ascii="ＭＳ 明朝" w:hAnsi="ＭＳ 明朝" w:hint="eastAsia"/>
              </w:rPr>
              <w:t>○地震発災後、応急対策業務（第１フェーズ）を速やかに実施できる準備</w:t>
            </w:r>
          </w:p>
          <w:p w14:paraId="7A5F91FA" w14:textId="77777777" w:rsidR="00ED1042" w:rsidRPr="00E0548A" w:rsidRDefault="00ED1042" w:rsidP="00ED1042">
            <w:pPr>
              <w:ind w:firstLineChars="100" w:firstLine="211"/>
              <w:rPr>
                <w:rFonts w:ascii="ＭＳ 明朝" w:hAnsi="ＭＳ 明朝"/>
              </w:rPr>
            </w:pPr>
            <w:r w:rsidRPr="00E0548A">
              <w:rPr>
                <w:rFonts w:ascii="ＭＳ 明朝" w:hAnsi="ＭＳ 明朝" w:hint="eastAsia"/>
              </w:rPr>
              <w:t>体制を維持</w:t>
            </w:r>
          </w:p>
          <w:p w14:paraId="3F7012A4" w14:textId="77777777" w:rsidR="00ED1042" w:rsidRPr="00E0548A" w:rsidRDefault="00ED1042" w:rsidP="00ED1042">
            <w:pPr>
              <w:rPr>
                <w:rFonts w:ascii="ＭＳ 明朝" w:hAnsi="ＭＳ 明朝"/>
              </w:rPr>
            </w:pPr>
            <w:r w:rsidRPr="00E0548A">
              <w:rPr>
                <w:rFonts w:ascii="ＭＳ 明朝" w:hAnsi="ＭＳ 明朝" w:hint="eastAsia"/>
              </w:rPr>
              <w:t>○事務局内及び関係機関からの情報収集・整理及び連絡調整【任用審査】</w:t>
            </w:r>
          </w:p>
          <w:p w14:paraId="178B423B" w14:textId="4987E9EE" w:rsidR="00E144D7" w:rsidRPr="00E0548A" w:rsidRDefault="00ED1042" w:rsidP="00ED1042">
            <w:pPr>
              <w:ind w:left="211" w:hangingChars="100" w:hanging="211"/>
              <w:rPr>
                <w:rFonts w:ascii="ＭＳ 明朝" w:hAnsi="ＭＳ 明朝"/>
                <w:szCs w:val="21"/>
              </w:rPr>
            </w:pPr>
            <w:r w:rsidRPr="00E0548A">
              <w:rPr>
                <w:rFonts w:ascii="ＭＳ 明朝" w:hAnsi="ＭＳ 明朝" w:hint="eastAsia"/>
                <w:kern w:val="0"/>
              </w:rPr>
              <w:t>○所管イベント等の開催可否の判断【各所管所属】</w:t>
            </w:r>
          </w:p>
        </w:tc>
      </w:tr>
    </w:tbl>
    <w:p w14:paraId="309DB8A7" w14:textId="77777777" w:rsidR="007661FD" w:rsidRPr="00E0548A" w:rsidRDefault="007661FD" w:rsidP="007661FD">
      <w:pPr>
        <w:rPr>
          <w:rFonts w:ascii="ＭＳ 明朝" w:hAnsi="ＭＳ 明朝"/>
          <w:szCs w:val="21"/>
        </w:rPr>
      </w:pPr>
      <w:r w:rsidRPr="00E0548A">
        <w:rPr>
          <w:rFonts w:ascii="ＭＳ 明朝" w:hAnsi="ＭＳ 明朝" w:hint="eastAsia"/>
          <w:szCs w:val="21"/>
        </w:rPr>
        <w:t>「南海トラフ地震臨時情報（巨大地震警戒）」が発表され、「巨大地震警戒対応期間」（１週間）が経過した際は、「巨大地震注意対応期間」へ移行。</w:t>
      </w:r>
    </w:p>
    <w:p w14:paraId="2DC19ECF" w14:textId="77777777" w:rsidR="007661FD" w:rsidRPr="00E0548A" w:rsidRDefault="007661FD" w:rsidP="007661FD">
      <w:pPr>
        <w:rPr>
          <w:rFonts w:ascii="ＭＳ 明朝" w:hAnsi="ＭＳ 明朝"/>
          <w:szCs w:val="21"/>
        </w:rPr>
      </w:pPr>
    </w:p>
    <w:p w14:paraId="77F63141" w14:textId="6EC8F3BD" w:rsidR="007661FD" w:rsidRPr="00E0548A" w:rsidRDefault="007661FD" w:rsidP="007661FD">
      <w:pPr>
        <w:pStyle w:val="af4"/>
        <w:ind w:leftChars="0" w:left="0"/>
        <w:rPr>
          <w:rFonts w:ascii="ＭＳ ゴシック" w:eastAsia="ＭＳ ゴシック" w:hAnsi="ＭＳ ゴシック"/>
          <w:szCs w:val="21"/>
        </w:rPr>
      </w:pPr>
      <w:r w:rsidRPr="00E0548A">
        <w:rPr>
          <w:rFonts w:ascii="ＭＳ ゴシック" w:eastAsia="ＭＳ ゴシック" w:hAnsi="ＭＳ ゴシック" w:hint="eastAsia"/>
          <w:szCs w:val="21"/>
        </w:rPr>
        <w:t>＜南海トラフ地震臨時情報（巨大地震注意）発表時</w:t>
      </w:r>
      <w:r w:rsidR="002F25B5" w:rsidRPr="00E0548A">
        <w:rPr>
          <w:rFonts w:ascii="ＭＳ ゴシック" w:eastAsia="ＭＳ ゴシック" w:hAnsi="ＭＳ ゴシック" w:hint="eastAsia"/>
          <w:szCs w:val="21"/>
        </w:rPr>
        <w:t>（</w:t>
      </w:r>
      <w:r w:rsidR="002F25B5" w:rsidRPr="00E0548A">
        <w:rPr>
          <w:rFonts w:ascii="ＭＳ 明朝" w:hAnsi="ＭＳ 明朝" w:hint="eastAsia"/>
          <w:szCs w:val="21"/>
        </w:rPr>
        <w:t>巨大地震警戒からの移行時を含む</w:t>
      </w:r>
      <w:r w:rsidR="002F25B5" w:rsidRPr="00E0548A">
        <w:rPr>
          <w:rFonts w:ascii="ＭＳ ゴシック" w:eastAsia="ＭＳ ゴシック" w:hAnsi="ＭＳ ゴシック" w:hint="eastAsia"/>
          <w:szCs w:val="21"/>
        </w:rPr>
        <w:t>）</w:t>
      </w:r>
      <w:r w:rsidRPr="00E0548A">
        <w:rPr>
          <w:rFonts w:ascii="ＭＳ ゴシック" w:eastAsia="ＭＳ ゴシック" w:hAnsi="ＭＳ ゴシック" w:hint="eastAsia"/>
          <w:szCs w:val="21"/>
        </w:rPr>
        <w:t>＞</w:t>
      </w:r>
    </w:p>
    <w:tbl>
      <w:tblPr>
        <w:tblpPr w:leftFromText="142" w:rightFromText="142" w:vertAnchor="text" w:tblpXSpec="center" w:tblpY="1"/>
        <w:tblOverlap w:val="neve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00"/>
        <w:gridCol w:w="7334"/>
      </w:tblGrid>
      <w:tr w:rsidR="00E0548A" w:rsidRPr="00E0548A" w14:paraId="0C7D6F03" w14:textId="77777777" w:rsidTr="008C78D9">
        <w:trPr>
          <w:jc w:val="center"/>
        </w:trPr>
        <w:tc>
          <w:tcPr>
            <w:tcW w:w="1500" w:type="dxa"/>
            <w:tcBorders>
              <w:bottom w:val="single" w:sz="4" w:space="0" w:color="auto"/>
            </w:tcBorders>
            <w:shd w:val="clear" w:color="auto" w:fill="BFBFBF"/>
          </w:tcPr>
          <w:p w14:paraId="3ACC8473" w14:textId="77777777" w:rsidR="007661FD" w:rsidRPr="00E0548A" w:rsidRDefault="007661FD" w:rsidP="008C78D9">
            <w:pPr>
              <w:jc w:val="center"/>
              <w:rPr>
                <w:rFonts w:ascii="ＭＳ 明朝" w:hAnsi="ＭＳ 明朝"/>
                <w:szCs w:val="21"/>
              </w:rPr>
            </w:pPr>
            <w:r w:rsidRPr="00E0548A">
              <w:rPr>
                <w:rFonts w:ascii="ＭＳ 明朝" w:hAnsi="ＭＳ 明朝" w:hint="eastAsia"/>
                <w:szCs w:val="21"/>
              </w:rPr>
              <w:t>臨時情報</w:t>
            </w:r>
          </w:p>
        </w:tc>
        <w:tc>
          <w:tcPr>
            <w:tcW w:w="7334" w:type="dxa"/>
            <w:tcBorders>
              <w:bottom w:val="single" w:sz="4" w:space="0" w:color="auto"/>
            </w:tcBorders>
            <w:shd w:val="clear" w:color="auto" w:fill="BFBFBF"/>
          </w:tcPr>
          <w:p w14:paraId="5301F0BD" w14:textId="77777777" w:rsidR="007661FD" w:rsidRPr="00E0548A" w:rsidRDefault="007661FD" w:rsidP="008C78D9">
            <w:pPr>
              <w:jc w:val="center"/>
              <w:rPr>
                <w:rFonts w:ascii="ＭＳ 明朝" w:hAnsi="ＭＳ 明朝"/>
                <w:szCs w:val="21"/>
              </w:rPr>
            </w:pPr>
            <w:r w:rsidRPr="00E0548A">
              <w:rPr>
                <w:rFonts w:ascii="ＭＳ 明朝" w:hAnsi="ＭＳ 明朝" w:hint="eastAsia"/>
                <w:szCs w:val="21"/>
              </w:rPr>
              <w:t>主な応急対策業務</w:t>
            </w:r>
          </w:p>
        </w:tc>
      </w:tr>
      <w:tr w:rsidR="00E0548A" w:rsidRPr="00E0548A" w14:paraId="0EC436B7" w14:textId="77777777" w:rsidTr="008C78D9">
        <w:trPr>
          <w:jc w:val="center"/>
        </w:trPr>
        <w:tc>
          <w:tcPr>
            <w:tcW w:w="1500" w:type="dxa"/>
          </w:tcPr>
          <w:p w14:paraId="43186C3A" w14:textId="77777777" w:rsidR="007661FD" w:rsidRPr="00E0548A" w:rsidRDefault="007661FD" w:rsidP="008C78D9">
            <w:pPr>
              <w:rPr>
                <w:rFonts w:ascii="ＭＳ 明朝" w:hAnsi="ＭＳ 明朝"/>
                <w:szCs w:val="21"/>
              </w:rPr>
            </w:pPr>
            <w:r w:rsidRPr="00E0548A">
              <w:rPr>
                <w:rFonts w:ascii="ＭＳ 明朝" w:hAnsi="ＭＳ 明朝" w:hint="eastAsia"/>
                <w:szCs w:val="21"/>
              </w:rPr>
              <w:t>巨大地震注意</w:t>
            </w:r>
          </w:p>
        </w:tc>
        <w:tc>
          <w:tcPr>
            <w:tcW w:w="7334" w:type="dxa"/>
          </w:tcPr>
          <w:p w14:paraId="6F8CBF64" w14:textId="77777777" w:rsidR="00ED1042" w:rsidRPr="00E0548A" w:rsidRDefault="00ED1042" w:rsidP="00ED1042">
            <w:pPr>
              <w:rPr>
                <w:rFonts w:ascii="ＭＳ 明朝" w:hAnsi="ＭＳ 明朝"/>
              </w:rPr>
            </w:pPr>
            <w:r w:rsidRPr="00E0548A">
              <w:rPr>
                <w:rFonts w:ascii="ＭＳ 明朝" w:hAnsi="ＭＳ 明朝" w:hint="eastAsia"/>
              </w:rPr>
              <w:t>○地震発災に備えた情報連絡体制の維持</w:t>
            </w:r>
          </w:p>
          <w:p w14:paraId="3703258C" w14:textId="05975605" w:rsidR="007661FD" w:rsidRPr="00E0548A" w:rsidRDefault="00ED1042" w:rsidP="00ED1042">
            <w:pPr>
              <w:rPr>
                <w:rFonts w:ascii="ＭＳ 明朝" w:hAnsi="ＭＳ 明朝"/>
                <w:szCs w:val="21"/>
              </w:rPr>
            </w:pPr>
            <w:r w:rsidRPr="00E0548A">
              <w:rPr>
                <w:rFonts w:ascii="ＭＳ 明朝" w:hAnsi="ＭＳ 明朝" w:hint="eastAsia"/>
              </w:rPr>
              <w:t>○事務局内及び関係機関からの情報収集・整理及び連絡調整</w:t>
            </w:r>
            <w:r w:rsidRPr="00E0548A">
              <w:rPr>
                <w:rFonts w:ascii="ＭＳ 明朝" w:hAnsi="ＭＳ 明朝" w:hint="eastAsia"/>
                <w:kern w:val="0"/>
              </w:rPr>
              <w:t>【任用審査】</w:t>
            </w:r>
          </w:p>
        </w:tc>
      </w:tr>
    </w:tbl>
    <w:p w14:paraId="1873CF91" w14:textId="579DC4AD" w:rsidR="007661FD" w:rsidRPr="00E0548A" w:rsidRDefault="007661FD" w:rsidP="007661FD">
      <w:pPr>
        <w:rPr>
          <w:rFonts w:ascii="ＭＳ 明朝" w:hAnsi="ＭＳ 明朝"/>
          <w:szCs w:val="21"/>
        </w:rPr>
      </w:pPr>
    </w:p>
    <w:p w14:paraId="3581DDDC" w14:textId="52291344" w:rsidR="00E144D7" w:rsidRPr="00E0548A" w:rsidRDefault="00E144D7" w:rsidP="007661FD">
      <w:pPr>
        <w:rPr>
          <w:rFonts w:ascii="ＭＳ 明朝" w:hAnsi="ＭＳ 明朝"/>
          <w:szCs w:val="21"/>
        </w:rPr>
      </w:pPr>
    </w:p>
    <w:p w14:paraId="0CD50973" w14:textId="77777777" w:rsidR="00E144D7" w:rsidRPr="00E0548A" w:rsidRDefault="00E144D7" w:rsidP="007661FD">
      <w:pPr>
        <w:rPr>
          <w:rFonts w:ascii="ＭＳ 明朝" w:hAnsi="ＭＳ 明朝"/>
          <w:szCs w:val="21"/>
        </w:rPr>
      </w:pPr>
    </w:p>
    <w:p w14:paraId="0CCDB52D" w14:textId="77777777" w:rsidR="007661FD" w:rsidRPr="00E0548A" w:rsidRDefault="007661FD" w:rsidP="008B4B2B">
      <w:pPr>
        <w:widowControl/>
        <w:jc w:val="left"/>
        <w:rPr>
          <w:rFonts w:ascii="ＭＳ 明朝" w:hAnsi="ＭＳ 明朝"/>
          <w:szCs w:val="21"/>
        </w:rPr>
      </w:pPr>
    </w:p>
    <w:p w14:paraId="75BF83A0" w14:textId="2DEEB349" w:rsidR="008B4B2B" w:rsidRPr="00E0548A" w:rsidRDefault="008372F9" w:rsidP="008B4B2B">
      <w:pPr>
        <w:rPr>
          <w:rFonts w:ascii="ＭＳ ゴシック" w:eastAsia="ＭＳ ゴシック" w:hAnsi="ＭＳ ゴシック"/>
          <w:szCs w:val="21"/>
        </w:rPr>
      </w:pPr>
      <w:r w:rsidRPr="00E0548A">
        <w:rPr>
          <w:rFonts w:ascii="ＭＳ ゴシック" w:eastAsia="ＭＳ ゴシック" w:hAnsi="ＭＳ ゴシック" w:hint="eastAsia"/>
          <w:szCs w:val="21"/>
        </w:rPr>
        <w:lastRenderedPageBreak/>
        <w:t>⑳</w:t>
      </w:r>
      <w:r w:rsidR="008B4B2B" w:rsidRPr="00E0548A">
        <w:rPr>
          <w:rFonts w:ascii="ＭＳ ゴシック" w:eastAsia="ＭＳ ゴシック" w:hAnsi="ＭＳ ゴシック" w:hint="eastAsia"/>
          <w:szCs w:val="21"/>
        </w:rPr>
        <w:t>労働委員会事務局</w:t>
      </w:r>
    </w:p>
    <w:p w14:paraId="504D29BF" w14:textId="77777777" w:rsidR="002C01FF" w:rsidRPr="00E0548A" w:rsidRDefault="002C01FF" w:rsidP="002C01FF">
      <w:pPr>
        <w:pStyle w:val="af4"/>
        <w:ind w:leftChars="0" w:left="0"/>
        <w:rPr>
          <w:rFonts w:ascii="ＭＳ ゴシック" w:eastAsia="ＭＳ ゴシック" w:hAnsi="ＭＳ ゴシック"/>
          <w:szCs w:val="21"/>
        </w:rPr>
      </w:pPr>
      <w:r w:rsidRPr="00E0548A">
        <w:rPr>
          <w:rFonts w:ascii="ＭＳ ゴシック" w:eastAsia="ＭＳ ゴシック" w:hAnsi="ＭＳ ゴシック" w:hint="eastAsia"/>
          <w:szCs w:val="21"/>
        </w:rPr>
        <w:t>＜災害発生時＞</w:t>
      </w:r>
    </w:p>
    <w:tbl>
      <w:tblPr>
        <w:tblpPr w:leftFromText="142" w:rightFromText="142" w:vertAnchor="text" w:tblpXSpec="center" w:tblpY="1"/>
        <w:tblOverlap w:val="neve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26"/>
        <w:gridCol w:w="7176"/>
      </w:tblGrid>
      <w:tr w:rsidR="00E0548A" w:rsidRPr="00E0548A" w14:paraId="766614FB" w14:textId="77777777" w:rsidTr="008B4B2B">
        <w:trPr>
          <w:jc w:val="center"/>
        </w:trPr>
        <w:tc>
          <w:tcPr>
            <w:tcW w:w="1526" w:type="dxa"/>
            <w:shd w:val="clear" w:color="auto" w:fill="BFBFBF"/>
          </w:tcPr>
          <w:p w14:paraId="4F2998AB" w14:textId="77777777" w:rsidR="008B4B2B" w:rsidRPr="00E0548A" w:rsidRDefault="008B4B2B" w:rsidP="008B4B2B">
            <w:pPr>
              <w:jc w:val="center"/>
              <w:rPr>
                <w:rFonts w:ascii="ＭＳ 明朝" w:hAnsi="ＭＳ 明朝"/>
                <w:szCs w:val="21"/>
              </w:rPr>
            </w:pPr>
            <w:r w:rsidRPr="00E0548A">
              <w:rPr>
                <w:rFonts w:ascii="ＭＳ 明朝" w:hAnsi="ＭＳ 明朝" w:hint="eastAsia"/>
                <w:szCs w:val="21"/>
              </w:rPr>
              <w:t>フェーズ</w:t>
            </w:r>
          </w:p>
        </w:tc>
        <w:tc>
          <w:tcPr>
            <w:tcW w:w="7176" w:type="dxa"/>
            <w:shd w:val="clear" w:color="auto" w:fill="BFBFBF"/>
          </w:tcPr>
          <w:p w14:paraId="09D2C898" w14:textId="77777777" w:rsidR="008B4B2B" w:rsidRPr="00E0548A" w:rsidRDefault="008B4B2B" w:rsidP="008B4B2B">
            <w:pPr>
              <w:jc w:val="center"/>
              <w:rPr>
                <w:rFonts w:ascii="ＭＳ 明朝" w:hAnsi="ＭＳ 明朝"/>
                <w:szCs w:val="21"/>
              </w:rPr>
            </w:pPr>
            <w:r w:rsidRPr="00E0548A">
              <w:rPr>
                <w:rFonts w:ascii="ＭＳ 明朝" w:hAnsi="ＭＳ 明朝" w:hint="eastAsia"/>
                <w:szCs w:val="21"/>
              </w:rPr>
              <w:t>主な応急対策業務</w:t>
            </w:r>
          </w:p>
        </w:tc>
      </w:tr>
      <w:tr w:rsidR="00E0548A" w:rsidRPr="00E0548A" w14:paraId="70AD7783" w14:textId="77777777" w:rsidTr="008B4B2B">
        <w:trPr>
          <w:jc w:val="center"/>
        </w:trPr>
        <w:tc>
          <w:tcPr>
            <w:tcW w:w="1526" w:type="dxa"/>
          </w:tcPr>
          <w:p w14:paraId="453FD001" w14:textId="77777777" w:rsidR="008B4B2B" w:rsidRPr="00E0548A" w:rsidRDefault="008B4B2B" w:rsidP="008B4B2B">
            <w:pPr>
              <w:rPr>
                <w:rFonts w:ascii="ＭＳ 明朝" w:hAnsi="ＭＳ 明朝"/>
                <w:szCs w:val="21"/>
              </w:rPr>
            </w:pPr>
            <w:r w:rsidRPr="00E0548A">
              <w:rPr>
                <w:rFonts w:ascii="ＭＳ 明朝" w:hAnsi="ＭＳ 明朝" w:hint="eastAsia"/>
                <w:szCs w:val="21"/>
              </w:rPr>
              <w:t>第1フェーズ</w:t>
            </w:r>
          </w:p>
          <w:p w14:paraId="3C1B82B7" w14:textId="77777777" w:rsidR="008B4B2B" w:rsidRPr="00E0548A" w:rsidRDefault="008B4B2B" w:rsidP="008B4B2B">
            <w:pPr>
              <w:rPr>
                <w:rFonts w:ascii="ＭＳ 明朝" w:hAnsi="ＭＳ 明朝"/>
                <w:szCs w:val="21"/>
              </w:rPr>
            </w:pPr>
            <w:r w:rsidRPr="00E0548A">
              <w:rPr>
                <w:rFonts w:ascii="ＭＳ 明朝" w:hAnsi="ＭＳ 明朝" w:hint="eastAsia"/>
                <w:szCs w:val="21"/>
              </w:rPr>
              <w:t>(3時間まで)</w:t>
            </w:r>
          </w:p>
          <w:p w14:paraId="067283D8" w14:textId="77777777" w:rsidR="008B4B2B" w:rsidRPr="00E0548A" w:rsidRDefault="008B4B2B" w:rsidP="008B4B2B">
            <w:pPr>
              <w:rPr>
                <w:rFonts w:ascii="ＭＳ 明朝" w:hAnsi="ＭＳ 明朝"/>
                <w:szCs w:val="21"/>
              </w:rPr>
            </w:pPr>
          </w:p>
        </w:tc>
        <w:tc>
          <w:tcPr>
            <w:tcW w:w="7176" w:type="dxa"/>
          </w:tcPr>
          <w:p w14:paraId="7238B561" w14:textId="77777777" w:rsidR="008B4B2B" w:rsidRPr="00E0548A" w:rsidRDefault="008B4B2B" w:rsidP="008B4B2B">
            <w:pPr>
              <w:rPr>
                <w:rFonts w:ascii="ＭＳ 明朝" w:hAnsi="ＭＳ 明朝"/>
                <w:szCs w:val="21"/>
              </w:rPr>
            </w:pPr>
            <w:r w:rsidRPr="00E0548A">
              <w:rPr>
                <w:rFonts w:ascii="ＭＳ 明朝" w:hAnsi="ＭＳ 明朝" w:hint="eastAsia"/>
                <w:szCs w:val="21"/>
              </w:rPr>
              <w:t>○初動対応、体制の確立</w:t>
            </w:r>
          </w:p>
          <w:p w14:paraId="0493481F" w14:textId="77777777" w:rsidR="008B4B2B" w:rsidRPr="00E0548A" w:rsidRDefault="008B4B2B" w:rsidP="008B4B2B">
            <w:pPr>
              <w:rPr>
                <w:rFonts w:ascii="ＭＳ 明朝" w:hAnsi="ＭＳ 明朝"/>
                <w:szCs w:val="21"/>
              </w:rPr>
            </w:pPr>
            <w:r w:rsidRPr="00E0548A">
              <w:rPr>
                <w:rFonts w:ascii="ＭＳ 明朝" w:hAnsi="ＭＳ 明朝" w:hint="eastAsia"/>
                <w:szCs w:val="21"/>
              </w:rPr>
              <w:t>○事務局内職員の安否確認と参集状況の把握、報告【総務調整】</w:t>
            </w:r>
          </w:p>
          <w:p w14:paraId="214286BC" w14:textId="77777777" w:rsidR="008B4B2B" w:rsidRPr="00E0548A" w:rsidRDefault="008B4B2B" w:rsidP="008B4B2B">
            <w:pPr>
              <w:rPr>
                <w:rFonts w:ascii="ＭＳ 明朝" w:hAnsi="ＭＳ 明朝"/>
                <w:szCs w:val="21"/>
              </w:rPr>
            </w:pPr>
            <w:r w:rsidRPr="00E0548A">
              <w:rPr>
                <w:rFonts w:ascii="ＭＳ 明朝" w:hAnsi="ＭＳ 明朝" w:hint="eastAsia"/>
                <w:szCs w:val="21"/>
              </w:rPr>
              <w:t>○労働委員会委員の安否確認【総務調整】</w:t>
            </w:r>
          </w:p>
          <w:p w14:paraId="103799FD" w14:textId="77777777" w:rsidR="008B4B2B" w:rsidRPr="00E0548A" w:rsidRDefault="008B4B2B" w:rsidP="008B4B2B">
            <w:pPr>
              <w:rPr>
                <w:rFonts w:ascii="ＭＳ 明朝" w:hAnsi="ＭＳ 明朝"/>
                <w:szCs w:val="21"/>
              </w:rPr>
            </w:pPr>
            <w:r w:rsidRPr="00E0548A">
              <w:rPr>
                <w:rFonts w:ascii="ＭＳ 明朝" w:hAnsi="ＭＳ 明朝" w:hint="eastAsia"/>
                <w:szCs w:val="21"/>
              </w:rPr>
              <w:t>○事務局内及び関係機関からの情報収集及び連絡調整【総務調整】</w:t>
            </w:r>
          </w:p>
          <w:p w14:paraId="401B4186" w14:textId="77777777" w:rsidR="008B4B2B" w:rsidRPr="00E0548A" w:rsidRDefault="008B4B2B" w:rsidP="008B4B2B">
            <w:pPr>
              <w:rPr>
                <w:rFonts w:ascii="ＭＳ 明朝" w:hAnsi="ＭＳ 明朝"/>
                <w:szCs w:val="21"/>
              </w:rPr>
            </w:pPr>
            <w:r w:rsidRPr="00E0548A">
              <w:rPr>
                <w:rFonts w:ascii="ＭＳ 明朝" w:hAnsi="ＭＳ 明朝" w:hint="eastAsia"/>
                <w:szCs w:val="21"/>
              </w:rPr>
              <w:t>○職員・来庁者の救助・搬送【各所属】</w:t>
            </w:r>
          </w:p>
        </w:tc>
      </w:tr>
      <w:tr w:rsidR="00E0548A" w:rsidRPr="00E0548A" w14:paraId="3A865351" w14:textId="77777777" w:rsidTr="008B4B2B">
        <w:trPr>
          <w:jc w:val="center"/>
        </w:trPr>
        <w:tc>
          <w:tcPr>
            <w:tcW w:w="1526" w:type="dxa"/>
          </w:tcPr>
          <w:p w14:paraId="49CEC185" w14:textId="77777777" w:rsidR="008B4B2B" w:rsidRPr="00E0548A" w:rsidRDefault="008B4B2B" w:rsidP="008B4B2B">
            <w:pPr>
              <w:rPr>
                <w:rFonts w:ascii="ＭＳ 明朝" w:hAnsi="ＭＳ 明朝"/>
                <w:szCs w:val="21"/>
              </w:rPr>
            </w:pPr>
            <w:r w:rsidRPr="00E0548A">
              <w:rPr>
                <w:rFonts w:ascii="ＭＳ 明朝" w:hAnsi="ＭＳ 明朝" w:hint="eastAsia"/>
                <w:szCs w:val="21"/>
              </w:rPr>
              <w:t>第2フェーズ</w:t>
            </w:r>
          </w:p>
          <w:p w14:paraId="1BE2D892" w14:textId="77777777" w:rsidR="008B4B2B" w:rsidRPr="00E0548A" w:rsidRDefault="008B4B2B" w:rsidP="008B4B2B">
            <w:pPr>
              <w:rPr>
                <w:rFonts w:ascii="ＭＳ 明朝" w:hAnsi="ＭＳ 明朝"/>
                <w:szCs w:val="21"/>
              </w:rPr>
            </w:pPr>
            <w:r w:rsidRPr="00E0548A">
              <w:rPr>
                <w:rFonts w:ascii="ＭＳ 明朝" w:hAnsi="ＭＳ 明朝" w:hint="eastAsia"/>
                <w:szCs w:val="21"/>
              </w:rPr>
              <w:t>(24時間まで)</w:t>
            </w:r>
          </w:p>
        </w:tc>
        <w:tc>
          <w:tcPr>
            <w:tcW w:w="7176" w:type="dxa"/>
          </w:tcPr>
          <w:p w14:paraId="689B16ED" w14:textId="77777777" w:rsidR="008B4B2B" w:rsidRPr="00E0548A" w:rsidRDefault="008B4B2B" w:rsidP="008B4B2B">
            <w:pPr>
              <w:rPr>
                <w:rFonts w:ascii="ＭＳ 明朝" w:hAnsi="ＭＳ 明朝"/>
                <w:szCs w:val="21"/>
              </w:rPr>
            </w:pPr>
            <w:r w:rsidRPr="00E0548A">
              <w:rPr>
                <w:rFonts w:ascii="ＭＳ 明朝" w:hAnsi="ＭＳ 明朝" w:hint="eastAsia"/>
                <w:szCs w:val="21"/>
              </w:rPr>
              <w:t>○所管施設の被害状況の把握、報告及び二次災害防止対策の実施</w:t>
            </w:r>
          </w:p>
          <w:p w14:paraId="20CB83A7" w14:textId="77777777" w:rsidR="008B4B2B" w:rsidRPr="00E0548A" w:rsidRDefault="008B4B2B" w:rsidP="008B4B2B">
            <w:pPr>
              <w:rPr>
                <w:rFonts w:ascii="ＭＳ 明朝" w:hAnsi="ＭＳ 明朝"/>
                <w:szCs w:val="21"/>
              </w:rPr>
            </w:pPr>
            <w:r w:rsidRPr="00E0548A">
              <w:rPr>
                <w:rFonts w:ascii="ＭＳ 明朝" w:hAnsi="ＭＳ 明朝" w:hint="eastAsia"/>
                <w:szCs w:val="21"/>
              </w:rPr>
              <w:t>【総務調整】</w:t>
            </w:r>
          </w:p>
        </w:tc>
      </w:tr>
      <w:tr w:rsidR="00E0548A" w:rsidRPr="00E0548A" w14:paraId="61FAD69B" w14:textId="77777777" w:rsidTr="008B4B2B">
        <w:trPr>
          <w:jc w:val="center"/>
        </w:trPr>
        <w:tc>
          <w:tcPr>
            <w:tcW w:w="1526" w:type="dxa"/>
          </w:tcPr>
          <w:p w14:paraId="4E37265D" w14:textId="77777777" w:rsidR="008B4B2B" w:rsidRPr="00E0548A" w:rsidRDefault="008B4B2B" w:rsidP="008B4B2B">
            <w:pPr>
              <w:rPr>
                <w:rFonts w:ascii="ＭＳ 明朝" w:hAnsi="ＭＳ 明朝"/>
                <w:szCs w:val="21"/>
              </w:rPr>
            </w:pPr>
            <w:r w:rsidRPr="00E0548A">
              <w:rPr>
                <w:rFonts w:ascii="ＭＳ 明朝" w:hAnsi="ＭＳ 明朝" w:hint="eastAsia"/>
                <w:szCs w:val="21"/>
              </w:rPr>
              <w:t>第3フェーズ</w:t>
            </w:r>
          </w:p>
          <w:p w14:paraId="34C792C1" w14:textId="77777777" w:rsidR="008B4B2B" w:rsidRPr="00E0548A" w:rsidRDefault="008B4B2B" w:rsidP="008B4B2B">
            <w:pPr>
              <w:rPr>
                <w:rFonts w:ascii="ＭＳ 明朝" w:hAnsi="ＭＳ 明朝"/>
                <w:szCs w:val="21"/>
              </w:rPr>
            </w:pPr>
            <w:r w:rsidRPr="00E0548A">
              <w:rPr>
                <w:rFonts w:ascii="ＭＳ 明朝" w:hAnsi="ＭＳ 明朝" w:hint="eastAsia"/>
                <w:szCs w:val="21"/>
              </w:rPr>
              <w:t>(72時間まで)</w:t>
            </w:r>
          </w:p>
        </w:tc>
        <w:tc>
          <w:tcPr>
            <w:tcW w:w="7176" w:type="dxa"/>
          </w:tcPr>
          <w:p w14:paraId="6755CF33" w14:textId="77777777" w:rsidR="008B4B2B" w:rsidRPr="00E0548A" w:rsidRDefault="008B4B2B" w:rsidP="008B4B2B">
            <w:pPr>
              <w:rPr>
                <w:rFonts w:ascii="ＭＳ 明朝" w:hAnsi="ＭＳ 明朝"/>
                <w:szCs w:val="21"/>
              </w:rPr>
            </w:pPr>
          </w:p>
        </w:tc>
      </w:tr>
      <w:tr w:rsidR="00E0548A" w:rsidRPr="00E0548A" w14:paraId="0463CC93" w14:textId="77777777" w:rsidTr="008B4B2B">
        <w:trPr>
          <w:jc w:val="center"/>
        </w:trPr>
        <w:tc>
          <w:tcPr>
            <w:tcW w:w="1526" w:type="dxa"/>
          </w:tcPr>
          <w:p w14:paraId="6F07D48B" w14:textId="77777777" w:rsidR="008B4B2B" w:rsidRPr="00E0548A" w:rsidRDefault="008B4B2B" w:rsidP="008B4B2B">
            <w:pPr>
              <w:rPr>
                <w:rFonts w:ascii="ＭＳ 明朝" w:hAnsi="ＭＳ 明朝"/>
                <w:szCs w:val="21"/>
              </w:rPr>
            </w:pPr>
            <w:r w:rsidRPr="00E0548A">
              <w:rPr>
                <w:rFonts w:ascii="ＭＳ 明朝" w:hAnsi="ＭＳ 明朝" w:hint="eastAsia"/>
                <w:szCs w:val="21"/>
              </w:rPr>
              <w:t>第4フェーズ</w:t>
            </w:r>
          </w:p>
          <w:p w14:paraId="1A71C957" w14:textId="77777777" w:rsidR="008B4B2B" w:rsidRPr="00E0548A" w:rsidRDefault="008B4B2B" w:rsidP="008B4B2B">
            <w:pPr>
              <w:rPr>
                <w:rFonts w:ascii="ＭＳ 明朝" w:hAnsi="ＭＳ 明朝"/>
                <w:szCs w:val="21"/>
              </w:rPr>
            </w:pPr>
            <w:r w:rsidRPr="00E0548A">
              <w:rPr>
                <w:rFonts w:ascii="ＭＳ 明朝" w:hAnsi="ＭＳ 明朝" w:hint="eastAsia"/>
                <w:szCs w:val="21"/>
              </w:rPr>
              <w:t>(1週間まで)</w:t>
            </w:r>
          </w:p>
        </w:tc>
        <w:tc>
          <w:tcPr>
            <w:tcW w:w="7176" w:type="dxa"/>
          </w:tcPr>
          <w:p w14:paraId="1A45D75D" w14:textId="77777777" w:rsidR="008B4B2B" w:rsidRPr="00E0548A" w:rsidRDefault="008B4B2B" w:rsidP="008B4B2B">
            <w:pPr>
              <w:rPr>
                <w:rFonts w:ascii="ＭＳ 明朝" w:hAnsi="ＭＳ 明朝"/>
                <w:szCs w:val="21"/>
              </w:rPr>
            </w:pPr>
          </w:p>
        </w:tc>
      </w:tr>
      <w:tr w:rsidR="00E0548A" w:rsidRPr="00E0548A" w14:paraId="7B3047F2" w14:textId="77777777" w:rsidTr="008B4B2B">
        <w:trPr>
          <w:jc w:val="center"/>
        </w:trPr>
        <w:tc>
          <w:tcPr>
            <w:tcW w:w="1526" w:type="dxa"/>
          </w:tcPr>
          <w:p w14:paraId="03ABE950" w14:textId="77777777" w:rsidR="008B4B2B" w:rsidRPr="00E0548A" w:rsidRDefault="008B4B2B" w:rsidP="008B4B2B">
            <w:pPr>
              <w:rPr>
                <w:rFonts w:ascii="ＭＳ 明朝" w:hAnsi="ＭＳ 明朝"/>
                <w:szCs w:val="21"/>
              </w:rPr>
            </w:pPr>
            <w:r w:rsidRPr="00E0548A">
              <w:rPr>
                <w:rFonts w:ascii="ＭＳ 明朝" w:hAnsi="ＭＳ 明朝" w:hint="eastAsia"/>
                <w:szCs w:val="21"/>
              </w:rPr>
              <w:t>第5フェーズ</w:t>
            </w:r>
          </w:p>
          <w:p w14:paraId="75226798" w14:textId="77777777" w:rsidR="008B4B2B" w:rsidRPr="00E0548A" w:rsidRDefault="008B4B2B" w:rsidP="008B4B2B">
            <w:pPr>
              <w:rPr>
                <w:rFonts w:ascii="ＭＳ 明朝" w:hAnsi="ＭＳ 明朝"/>
                <w:szCs w:val="21"/>
              </w:rPr>
            </w:pPr>
            <w:r w:rsidRPr="00E0548A">
              <w:rPr>
                <w:rFonts w:ascii="ＭＳ 明朝" w:hAnsi="ＭＳ 明朝" w:hint="eastAsia"/>
                <w:szCs w:val="21"/>
              </w:rPr>
              <w:t>(2週間まで)</w:t>
            </w:r>
          </w:p>
        </w:tc>
        <w:tc>
          <w:tcPr>
            <w:tcW w:w="7176" w:type="dxa"/>
          </w:tcPr>
          <w:p w14:paraId="43ED21A3" w14:textId="593AE5FE" w:rsidR="008B4B2B" w:rsidRPr="00E0548A" w:rsidRDefault="008B4B2B" w:rsidP="008B4B2B">
            <w:pPr>
              <w:ind w:left="211" w:hangingChars="100" w:hanging="211"/>
              <w:rPr>
                <w:rFonts w:ascii="ＭＳ 明朝" w:hAnsi="ＭＳ 明朝"/>
                <w:szCs w:val="21"/>
              </w:rPr>
            </w:pPr>
            <w:r w:rsidRPr="00E0548A">
              <w:rPr>
                <w:rFonts w:ascii="ＭＳ 明朝" w:hAnsi="ＭＳ 明朝" w:hint="eastAsia"/>
                <w:szCs w:val="21"/>
              </w:rPr>
              <w:t>○被災所管施設の応急復旧（当該施設において応急的に業務を再開するために実施する措置のことをいう。本格的な復旧作業の前段階。）開始</w:t>
            </w:r>
            <w:r w:rsidR="00157E17" w:rsidRPr="00E0548A">
              <w:rPr>
                <w:rFonts w:ascii="ＭＳ 明朝" w:hAnsi="ＭＳ 明朝" w:hint="eastAsia"/>
                <w:szCs w:val="21"/>
              </w:rPr>
              <w:t>【総務調整】</w:t>
            </w:r>
          </w:p>
        </w:tc>
      </w:tr>
      <w:tr w:rsidR="00E0548A" w:rsidRPr="00E0548A" w14:paraId="65E77581" w14:textId="77777777" w:rsidTr="008B4B2B">
        <w:trPr>
          <w:jc w:val="center"/>
        </w:trPr>
        <w:tc>
          <w:tcPr>
            <w:tcW w:w="1526" w:type="dxa"/>
          </w:tcPr>
          <w:p w14:paraId="06451809" w14:textId="77777777" w:rsidR="008B4B2B" w:rsidRPr="00E0548A" w:rsidRDefault="008B4B2B" w:rsidP="008B4B2B">
            <w:pPr>
              <w:rPr>
                <w:rFonts w:ascii="ＭＳ 明朝" w:hAnsi="ＭＳ 明朝"/>
                <w:szCs w:val="21"/>
              </w:rPr>
            </w:pPr>
            <w:r w:rsidRPr="00E0548A">
              <w:rPr>
                <w:rFonts w:ascii="ＭＳ 明朝" w:hAnsi="ＭＳ 明朝" w:hint="eastAsia"/>
                <w:szCs w:val="21"/>
              </w:rPr>
              <w:t>第6フェーズ</w:t>
            </w:r>
          </w:p>
          <w:p w14:paraId="23B7D455" w14:textId="77777777" w:rsidR="008B4B2B" w:rsidRPr="00E0548A" w:rsidRDefault="008B4B2B" w:rsidP="008B4B2B">
            <w:pPr>
              <w:rPr>
                <w:rFonts w:ascii="ＭＳ 明朝" w:hAnsi="ＭＳ 明朝"/>
                <w:szCs w:val="21"/>
              </w:rPr>
            </w:pPr>
            <w:r w:rsidRPr="00E0548A">
              <w:rPr>
                <w:rFonts w:ascii="ＭＳ 明朝" w:hAnsi="ＭＳ 明朝" w:hint="eastAsia"/>
                <w:szCs w:val="21"/>
              </w:rPr>
              <w:t>(1ヶ月まで)</w:t>
            </w:r>
          </w:p>
        </w:tc>
        <w:tc>
          <w:tcPr>
            <w:tcW w:w="7176" w:type="dxa"/>
          </w:tcPr>
          <w:p w14:paraId="5E598A28" w14:textId="48CB56C0" w:rsidR="008B4B2B" w:rsidRPr="00E0548A" w:rsidRDefault="008B4B2B" w:rsidP="008B4B2B">
            <w:pPr>
              <w:rPr>
                <w:rFonts w:ascii="ＭＳ ゴシック" w:eastAsia="ＭＳ ゴシック" w:hAnsi="ＭＳ ゴシック"/>
                <w:szCs w:val="21"/>
              </w:rPr>
            </w:pPr>
            <w:r w:rsidRPr="00E0548A">
              <w:rPr>
                <w:rFonts w:ascii="ＭＳ 明朝" w:hAnsi="ＭＳ 明朝" w:hint="eastAsia"/>
                <w:szCs w:val="21"/>
              </w:rPr>
              <w:t>○被災所管施設の応急復旧</w:t>
            </w:r>
            <w:r w:rsidR="005C44D5" w:rsidRPr="00E0548A">
              <w:rPr>
                <w:rFonts w:ascii="ＭＳ 明朝" w:hAnsi="ＭＳ 明朝" w:hint="eastAsia"/>
                <w:szCs w:val="21"/>
              </w:rPr>
              <w:t>【総務調整】</w:t>
            </w:r>
          </w:p>
          <w:p w14:paraId="2C161319" w14:textId="77777777" w:rsidR="008B4B2B" w:rsidRPr="00E0548A" w:rsidRDefault="008B4B2B" w:rsidP="008B4B2B">
            <w:pPr>
              <w:rPr>
                <w:rFonts w:ascii="ＭＳ ゴシック" w:eastAsia="ＭＳ ゴシック" w:hAnsi="ＭＳ ゴシック"/>
                <w:szCs w:val="21"/>
              </w:rPr>
            </w:pPr>
          </w:p>
        </w:tc>
      </w:tr>
    </w:tbl>
    <w:p w14:paraId="7B93C461" w14:textId="31BCA8CD" w:rsidR="008B4B2B" w:rsidRPr="00E0548A" w:rsidRDefault="008B4B2B" w:rsidP="008B4B2B">
      <w:pPr>
        <w:rPr>
          <w:rFonts w:ascii="ＭＳ 明朝" w:hAnsi="ＭＳ 明朝"/>
          <w:szCs w:val="21"/>
        </w:rPr>
      </w:pPr>
    </w:p>
    <w:p w14:paraId="2DA47E71" w14:textId="77777777" w:rsidR="00E144D7" w:rsidRPr="00E0548A" w:rsidRDefault="00E144D7" w:rsidP="008B4B2B">
      <w:pPr>
        <w:rPr>
          <w:rFonts w:ascii="ＭＳ 明朝" w:hAnsi="ＭＳ 明朝"/>
          <w:szCs w:val="21"/>
        </w:rPr>
      </w:pPr>
    </w:p>
    <w:p w14:paraId="5ACC764D" w14:textId="77777777" w:rsidR="007661FD" w:rsidRPr="00E0548A" w:rsidRDefault="007661FD" w:rsidP="007661FD">
      <w:pPr>
        <w:pStyle w:val="af4"/>
        <w:ind w:leftChars="0" w:left="0"/>
        <w:rPr>
          <w:rFonts w:ascii="ＭＳ ゴシック" w:eastAsia="ＭＳ ゴシック" w:hAnsi="ＭＳ ゴシック"/>
          <w:szCs w:val="21"/>
        </w:rPr>
      </w:pPr>
      <w:r w:rsidRPr="00E0548A">
        <w:rPr>
          <w:rFonts w:ascii="ＭＳ ゴシック" w:eastAsia="ＭＳ ゴシック" w:hAnsi="ＭＳ ゴシック" w:hint="eastAsia"/>
          <w:szCs w:val="21"/>
        </w:rPr>
        <w:t>＜南海トラフ地震臨時情報（巨大地震警戒）発表時＞</w:t>
      </w:r>
    </w:p>
    <w:tbl>
      <w:tblPr>
        <w:tblpPr w:leftFromText="142" w:rightFromText="142" w:vertAnchor="text" w:tblpXSpec="center" w:tblpY="1"/>
        <w:tblOverlap w:val="neve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00"/>
        <w:gridCol w:w="7334"/>
      </w:tblGrid>
      <w:tr w:rsidR="00E0548A" w:rsidRPr="00E0548A" w14:paraId="2E6DAC1A" w14:textId="77777777" w:rsidTr="008C78D9">
        <w:trPr>
          <w:jc w:val="center"/>
        </w:trPr>
        <w:tc>
          <w:tcPr>
            <w:tcW w:w="1500" w:type="dxa"/>
            <w:tcBorders>
              <w:bottom w:val="single" w:sz="4" w:space="0" w:color="auto"/>
            </w:tcBorders>
            <w:shd w:val="clear" w:color="auto" w:fill="BFBFBF"/>
          </w:tcPr>
          <w:p w14:paraId="70E3572A" w14:textId="77777777" w:rsidR="007661FD" w:rsidRPr="00E0548A" w:rsidRDefault="007661FD" w:rsidP="008C78D9">
            <w:pPr>
              <w:jc w:val="center"/>
              <w:rPr>
                <w:rFonts w:ascii="ＭＳ 明朝" w:hAnsi="ＭＳ 明朝"/>
                <w:szCs w:val="21"/>
              </w:rPr>
            </w:pPr>
            <w:r w:rsidRPr="00E0548A">
              <w:rPr>
                <w:rFonts w:ascii="ＭＳ 明朝" w:hAnsi="ＭＳ 明朝" w:hint="eastAsia"/>
                <w:szCs w:val="21"/>
              </w:rPr>
              <w:t>臨時情報</w:t>
            </w:r>
          </w:p>
        </w:tc>
        <w:tc>
          <w:tcPr>
            <w:tcW w:w="7334" w:type="dxa"/>
            <w:tcBorders>
              <w:bottom w:val="single" w:sz="4" w:space="0" w:color="auto"/>
            </w:tcBorders>
            <w:shd w:val="clear" w:color="auto" w:fill="BFBFBF"/>
          </w:tcPr>
          <w:p w14:paraId="5C93D560" w14:textId="77777777" w:rsidR="007661FD" w:rsidRPr="00E0548A" w:rsidRDefault="007661FD" w:rsidP="008C78D9">
            <w:pPr>
              <w:jc w:val="center"/>
              <w:rPr>
                <w:rFonts w:ascii="ＭＳ 明朝" w:hAnsi="ＭＳ 明朝"/>
                <w:szCs w:val="21"/>
              </w:rPr>
            </w:pPr>
            <w:r w:rsidRPr="00E0548A">
              <w:rPr>
                <w:rFonts w:ascii="ＭＳ 明朝" w:hAnsi="ＭＳ 明朝" w:hint="eastAsia"/>
                <w:szCs w:val="21"/>
              </w:rPr>
              <w:t>主な応急対策業務</w:t>
            </w:r>
          </w:p>
        </w:tc>
      </w:tr>
      <w:tr w:rsidR="00E0548A" w:rsidRPr="00E0548A" w14:paraId="58521CA4" w14:textId="77777777" w:rsidTr="008C78D9">
        <w:trPr>
          <w:jc w:val="center"/>
        </w:trPr>
        <w:tc>
          <w:tcPr>
            <w:tcW w:w="1500" w:type="dxa"/>
          </w:tcPr>
          <w:p w14:paraId="40702E52" w14:textId="77777777" w:rsidR="007661FD" w:rsidRPr="00E0548A" w:rsidRDefault="007661FD" w:rsidP="008C78D9">
            <w:pPr>
              <w:rPr>
                <w:rFonts w:ascii="ＭＳ 明朝" w:hAnsi="ＭＳ 明朝"/>
                <w:szCs w:val="21"/>
              </w:rPr>
            </w:pPr>
            <w:r w:rsidRPr="00E0548A">
              <w:rPr>
                <w:rFonts w:ascii="ＭＳ 明朝" w:hAnsi="ＭＳ 明朝" w:hint="eastAsia"/>
                <w:szCs w:val="21"/>
              </w:rPr>
              <w:t>巨大地震警戒</w:t>
            </w:r>
          </w:p>
        </w:tc>
        <w:tc>
          <w:tcPr>
            <w:tcW w:w="7334" w:type="dxa"/>
          </w:tcPr>
          <w:p w14:paraId="0480AD1C" w14:textId="77777777" w:rsidR="00046E29" w:rsidRPr="00E0548A" w:rsidRDefault="00046E29" w:rsidP="00046E29">
            <w:pPr>
              <w:rPr>
                <w:rFonts w:ascii="ＭＳ 明朝" w:hAnsi="ＭＳ 明朝"/>
              </w:rPr>
            </w:pPr>
            <w:r w:rsidRPr="00E0548A">
              <w:rPr>
                <w:rFonts w:ascii="ＭＳ 明朝" w:hAnsi="ＭＳ 明朝" w:hint="eastAsia"/>
              </w:rPr>
              <w:t>○地震発災後、応急対策業務（第１フェーズ）を速やかに実施できる準備</w:t>
            </w:r>
          </w:p>
          <w:p w14:paraId="577DBDD3" w14:textId="3BCBF0FF" w:rsidR="00046E29" w:rsidRPr="00E0548A" w:rsidRDefault="00046E29" w:rsidP="00046E29">
            <w:pPr>
              <w:ind w:firstLineChars="100" w:firstLine="211"/>
              <w:rPr>
                <w:rFonts w:ascii="ＭＳ 明朝" w:hAnsi="ＭＳ 明朝"/>
              </w:rPr>
            </w:pPr>
            <w:r w:rsidRPr="00E0548A">
              <w:rPr>
                <w:rFonts w:ascii="ＭＳ 明朝" w:hAnsi="ＭＳ 明朝" w:hint="eastAsia"/>
              </w:rPr>
              <w:t>体制を維持</w:t>
            </w:r>
            <w:r w:rsidR="005C44D5" w:rsidRPr="00E0548A">
              <w:rPr>
                <w:rFonts w:ascii="ＭＳ 明朝" w:hAnsi="ＭＳ 明朝" w:hint="eastAsia"/>
                <w:szCs w:val="21"/>
              </w:rPr>
              <w:t>【総務調整】</w:t>
            </w:r>
          </w:p>
          <w:p w14:paraId="4EBD8989" w14:textId="19E93A09" w:rsidR="00E144D7" w:rsidRPr="00E0548A" w:rsidRDefault="00046E29" w:rsidP="00046E29">
            <w:pPr>
              <w:ind w:left="211" w:hangingChars="100" w:hanging="211"/>
              <w:rPr>
                <w:rFonts w:ascii="ＭＳ 明朝" w:hAnsi="ＭＳ 明朝"/>
                <w:szCs w:val="21"/>
              </w:rPr>
            </w:pPr>
            <w:r w:rsidRPr="00E0548A">
              <w:rPr>
                <w:rFonts w:ascii="ＭＳ 明朝" w:hAnsi="ＭＳ 明朝" w:hint="eastAsia"/>
              </w:rPr>
              <w:t>○商工労働部からの情報収集・整理及び連絡調整</w:t>
            </w:r>
            <w:r w:rsidR="005C44D5" w:rsidRPr="00E0548A">
              <w:rPr>
                <w:rFonts w:ascii="ＭＳ 明朝" w:hAnsi="ＭＳ 明朝" w:hint="eastAsia"/>
                <w:szCs w:val="21"/>
              </w:rPr>
              <w:t>【総務調整】</w:t>
            </w:r>
          </w:p>
        </w:tc>
      </w:tr>
    </w:tbl>
    <w:p w14:paraId="6121B18B" w14:textId="77777777" w:rsidR="007661FD" w:rsidRPr="00E0548A" w:rsidRDefault="007661FD" w:rsidP="007661FD">
      <w:pPr>
        <w:rPr>
          <w:rFonts w:ascii="ＭＳ 明朝" w:hAnsi="ＭＳ 明朝"/>
          <w:szCs w:val="21"/>
        </w:rPr>
      </w:pPr>
      <w:r w:rsidRPr="00E0548A">
        <w:rPr>
          <w:rFonts w:ascii="ＭＳ 明朝" w:hAnsi="ＭＳ 明朝" w:hint="eastAsia"/>
          <w:szCs w:val="21"/>
        </w:rPr>
        <w:t>「南海トラフ地震臨時情報（巨大地震警戒）」が発表され、「巨大地震警戒対応期間」（１週間）が経過した際は、「巨大地震注意対応期間」へ移行。</w:t>
      </w:r>
    </w:p>
    <w:p w14:paraId="64A505E6" w14:textId="77777777" w:rsidR="007661FD" w:rsidRPr="00E0548A" w:rsidRDefault="007661FD" w:rsidP="007661FD">
      <w:pPr>
        <w:rPr>
          <w:rFonts w:ascii="ＭＳ 明朝" w:hAnsi="ＭＳ 明朝"/>
          <w:szCs w:val="21"/>
        </w:rPr>
      </w:pPr>
    </w:p>
    <w:p w14:paraId="29E031AE" w14:textId="51F7177B" w:rsidR="007661FD" w:rsidRPr="00E0548A" w:rsidRDefault="007661FD" w:rsidP="007661FD">
      <w:pPr>
        <w:pStyle w:val="af4"/>
        <w:ind w:leftChars="0" w:left="0"/>
        <w:rPr>
          <w:rFonts w:ascii="ＭＳ ゴシック" w:eastAsia="ＭＳ ゴシック" w:hAnsi="ＭＳ ゴシック"/>
          <w:szCs w:val="21"/>
        </w:rPr>
      </w:pPr>
      <w:r w:rsidRPr="00E0548A">
        <w:rPr>
          <w:rFonts w:ascii="ＭＳ ゴシック" w:eastAsia="ＭＳ ゴシック" w:hAnsi="ＭＳ ゴシック" w:hint="eastAsia"/>
          <w:szCs w:val="21"/>
        </w:rPr>
        <w:t>＜南海トラフ地震臨時情報（巨大地震注意）発表時</w:t>
      </w:r>
      <w:r w:rsidR="002F25B5" w:rsidRPr="00E0548A">
        <w:rPr>
          <w:rFonts w:ascii="ＭＳ ゴシック" w:eastAsia="ＭＳ ゴシック" w:hAnsi="ＭＳ ゴシック" w:hint="eastAsia"/>
          <w:szCs w:val="21"/>
        </w:rPr>
        <w:t>（</w:t>
      </w:r>
      <w:r w:rsidR="002F25B5" w:rsidRPr="00E0548A">
        <w:rPr>
          <w:rFonts w:ascii="ＭＳ 明朝" w:hAnsi="ＭＳ 明朝" w:hint="eastAsia"/>
          <w:szCs w:val="21"/>
        </w:rPr>
        <w:t>巨大地震警戒からの移行時を含む</w:t>
      </w:r>
      <w:r w:rsidR="002F25B5" w:rsidRPr="00E0548A">
        <w:rPr>
          <w:rFonts w:ascii="ＭＳ ゴシック" w:eastAsia="ＭＳ ゴシック" w:hAnsi="ＭＳ ゴシック" w:hint="eastAsia"/>
          <w:szCs w:val="21"/>
        </w:rPr>
        <w:t>）</w:t>
      </w:r>
      <w:r w:rsidRPr="00E0548A">
        <w:rPr>
          <w:rFonts w:ascii="ＭＳ ゴシック" w:eastAsia="ＭＳ ゴシック" w:hAnsi="ＭＳ ゴシック" w:hint="eastAsia"/>
          <w:szCs w:val="21"/>
        </w:rPr>
        <w:t>＞</w:t>
      </w:r>
    </w:p>
    <w:tbl>
      <w:tblPr>
        <w:tblpPr w:leftFromText="142" w:rightFromText="142" w:vertAnchor="text" w:tblpXSpec="center" w:tblpY="1"/>
        <w:tblOverlap w:val="neve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00"/>
        <w:gridCol w:w="7334"/>
      </w:tblGrid>
      <w:tr w:rsidR="00E0548A" w:rsidRPr="00E0548A" w14:paraId="787BB8EF" w14:textId="77777777" w:rsidTr="008C78D9">
        <w:trPr>
          <w:jc w:val="center"/>
        </w:trPr>
        <w:tc>
          <w:tcPr>
            <w:tcW w:w="1500" w:type="dxa"/>
            <w:tcBorders>
              <w:bottom w:val="single" w:sz="4" w:space="0" w:color="auto"/>
            </w:tcBorders>
            <w:shd w:val="clear" w:color="auto" w:fill="BFBFBF"/>
          </w:tcPr>
          <w:p w14:paraId="18DEB3FC" w14:textId="77777777" w:rsidR="007661FD" w:rsidRPr="00E0548A" w:rsidRDefault="007661FD" w:rsidP="008C78D9">
            <w:pPr>
              <w:jc w:val="center"/>
              <w:rPr>
                <w:rFonts w:ascii="ＭＳ 明朝" w:hAnsi="ＭＳ 明朝"/>
                <w:szCs w:val="21"/>
              </w:rPr>
            </w:pPr>
            <w:r w:rsidRPr="00E0548A">
              <w:rPr>
                <w:rFonts w:ascii="ＭＳ 明朝" w:hAnsi="ＭＳ 明朝" w:hint="eastAsia"/>
                <w:szCs w:val="21"/>
              </w:rPr>
              <w:t>臨時情報</w:t>
            </w:r>
          </w:p>
        </w:tc>
        <w:tc>
          <w:tcPr>
            <w:tcW w:w="7334" w:type="dxa"/>
            <w:tcBorders>
              <w:bottom w:val="single" w:sz="4" w:space="0" w:color="auto"/>
            </w:tcBorders>
            <w:shd w:val="clear" w:color="auto" w:fill="BFBFBF"/>
          </w:tcPr>
          <w:p w14:paraId="32AB80DF" w14:textId="77777777" w:rsidR="007661FD" w:rsidRPr="00E0548A" w:rsidRDefault="007661FD" w:rsidP="008C78D9">
            <w:pPr>
              <w:jc w:val="center"/>
              <w:rPr>
                <w:rFonts w:ascii="ＭＳ 明朝" w:hAnsi="ＭＳ 明朝"/>
                <w:szCs w:val="21"/>
              </w:rPr>
            </w:pPr>
            <w:r w:rsidRPr="00E0548A">
              <w:rPr>
                <w:rFonts w:ascii="ＭＳ 明朝" w:hAnsi="ＭＳ 明朝" w:hint="eastAsia"/>
                <w:szCs w:val="21"/>
              </w:rPr>
              <w:t>主な応急対策業務</w:t>
            </w:r>
          </w:p>
        </w:tc>
      </w:tr>
      <w:tr w:rsidR="00E0548A" w:rsidRPr="00E0548A" w14:paraId="6E66B420" w14:textId="77777777" w:rsidTr="008C78D9">
        <w:trPr>
          <w:jc w:val="center"/>
        </w:trPr>
        <w:tc>
          <w:tcPr>
            <w:tcW w:w="1500" w:type="dxa"/>
          </w:tcPr>
          <w:p w14:paraId="3D72A56E" w14:textId="77777777" w:rsidR="007661FD" w:rsidRPr="00E0548A" w:rsidRDefault="007661FD" w:rsidP="008C78D9">
            <w:pPr>
              <w:rPr>
                <w:rFonts w:ascii="ＭＳ 明朝" w:hAnsi="ＭＳ 明朝"/>
                <w:szCs w:val="21"/>
              </w:rPr>
            </w:pPr>
            <w:r w:rsidRPr="00E0548A">
              <w:rPr>
                <w:rFonts w:ascii="ＭＳ 明朝" w:hAnsi="ＭＳ 明朝" w:hint="eastAsia"/>
                <w:szCs w:val="21"/>
              </w:rPr>
              <w:t>巨大地震注意</w:t>
            </w:r>
          </w:p>
        </w:tc>
        <w:tc>
          <w:tcPr>
            <w:tcW w:w="7334" w:type="dxa"/>
          </w:tcPr>
          <w:p w14:paraId="04699CDF" w14:textId="2364251E" w:rsidR="00046E29" w:rsidRPr="00E0548A" w:rsidRDefault="00046E29" w:rsidP="00046E29">
            <w:pPr>
              <w:rPr>
                <w:rFonts w:ascii="ＭＳ 明朝" w:hAnsi="ＭＳ 明朝"/>
              </w:rPr>
            </w:pPr>
            <w:r w:rsidRPr="00E0548A">
              <w:rPr>
                <w:rFonts w:ascii="ＭＳ 明朝" w:hAnsi="ＭＳ 明朝" w:hint="eastAsia"/>
              </w:rPr>
              <w:t>○地震発災に備えた情報連絡体制の維持</w:t>
            </w:r>
            <w:r w:rsidR="005C44D5" w:rsidRPr="00E0548A">
              <w:rPr>
                <w:rFonts w:ascii="ＭＳ 明朝" w:hAnsi="ＭＳ 明朝" w:hint="eastAsia"/>
                <w:szCs w:val="21"/>
              </w:rPr>
              <w:t>【総務調整】</w:t>
            </w:r>
          </w:p>
          <w:p w14:paraId="7E7BCCA4" w14:textId="53F0AC11" w:rsidR="007661FD" w:rsidRPr="00E0548A" w:rsidRDefault="00046E29" w:rsidP="00046E29">
            <w:pPr>
              <w:rPr>
                <w:rFonts w:ascii="ＭＳ 明朝" w:hAnsi="ＭＳ 明朝"/>
                <w:szCs w:val="21"/>
              </w:rPr>
            </w:pPr>
            <w:r w:rsidRPr="00E0548A">
              <w:rPr>
                <w:rFonts w:ascii="ＭＳ 明朝" w:hAnsi="ＭＳ 明朝" w:hint="eastAsia"/>
              </w:rPr>
              <w:t>○商工労働部からの情報収集・整理及び連絡調整</w:t>
            </w:r>
            <w:r w:rsidR="005C44D5" w:rsidRPr="00E0548A">
              <w:rPr>
                <w:rFonts w:ascii="ＭＳ 明朝" w:hAnsi="ＭＳ 明朝" w:hint="eastAsia"/>
                <w:szCs w:val="21"/>
              </w:rPr>
              <w:t>【総務調整】</w:t>
            </w:r>
          </w:p>
        </w:tc>
      </w:tr>
    </w:tbl>
    <w:p w14:paraId="751915E6" w14:textId="77777777" w:rsidR="007661FD" w:rsidRPr="00484861" w:rsidRDefault="007661FD" w:rsidP="007661FD">
      <w:pPr>
        <w:rPr>
          <w:rFonts w:ascii="ＭＳ 明朝" w:hAnsi="ＭＳ 明朝"/>
          <w:color w:val="FF0000"/>
          <w:szCs w:val="21"/>
        </w:rPr>
      </w:pPr>
    </w:p>
    <w:p w14:paraId="53078A4D" w14:textId="77777777" w:rsidR="00284B88" w:rsidRPr="007661FD" w:rsidRDefault="00284B88" w:rsidP="008B4B2B">
      <w:pPr>
        <w:rPr>
          <w:rFonts w:ascii="ＭＳ 明朝" w:hAnsi="ＭＳ 明朝"/>
          <w:szCs w:val="21"/>
        </w:rPr>
      </w:pPr>
    </w:p>
    <w:p w14:paraId="45341C37" w14:textId="77777777" w:rsidR="00D93C38" w:rsidRDefault="00D93C38">
      <w:pPr>
        <w:widowControl/>
        <w:jc w:val="left"/>
        <w:rPr>
          <w:rFonts w:ascii="ＭＳ ゴシック" w:eastAsia="ＭＳ ゴシック" w:hAnsi="ＭＳ ゴシック"/>
          <w:szCs w:val="21"/>
        </w:rPr>
      </w:pPr>
      <w:r>
        <w:rPr>
          <w:rFonts w:ascii="ＭＳ ゴシック" w:eastAsia="ＭＳ ゴシック" w:hAnsi="ＭＳ ゴシック"/>
          <w:szCs w:val="21"/>
        </w:rPr>
        <w:br w:type="page"/>
      </w:r>
    </w:p>
    <w:p w14:paraId="64B78F2C" w14:textId="4A4B48C9" w:rsidR="008B4B2B" w:rsidRDefault="008372F9" w:rsidP="008B4B2B">
      <w:pPr>
        <w:rPr>
          <w:rFonts w:ascii="ＭＳ ゴシック" w:eastAsia="ＭＳ ゴシック" w:hAnsi="ＭＳ ゴシック"/>
          <w:szCs w:val="21"/>
        </w:rPr>
      </w:pPr>
      <w:r w:rsidRPr="001D6D10">
        <w:rPr>
          <w:rFonts w:ascii="ＭＳ ゴシック" w:eastAsia="ＭＳ ゴシック" w:hAnsi="ＭＳ ゴシック" w:hint="eastAsia"/>
          <w:szCs w:val="21"/>
        </w:rPr>
        <w:lastRenderedPageBreak/>
        <w:t>㉑</w:t>
      </w:r>
      <w:r w:rsidR="008B4B2B" w:rsidRPr="001D6D10">
        <w:rPr>
          <w:rFonts w:ascii="ＭＳ ゴシック" w:eastAsia="ＭＳ ゴシック" w:hAnsi="ＭＳ ゴシック" w:hint="eastAsia"/>
          <w:szCs w:val="21"/>
        </w:rPr>
        <w:t>収用委員会事務局</w:t>
      </w:r>
    </w:p>
    <w:p w14:paraId="3AD735AD" w14:textId="77777777" w:rsidR="002C01FF" w:rsidRPr="002C01FF" w:rsidRDefault="002C01FF" w:rsidP="002C01FF">
      <w:pPr>
        <w:pStyle w:val="af4"/>
        <w:ind w:leftChars="0" w:left="0"/>
        <w:rPr>
          <w:rFonts w:ascii="ＭＳ ゴシック" w:eastAsia="ＭＳ ゴシック" w:hAnsi="ＭＳ ゴシック"/>
          <w:szCs w:val="21"/>
        </w:rPr>
      </w:pPr>
      <w:r w:rsidRPr="002C01FF">
        <w:rPr>
          <w:rFonts w:ascii="ＭＳ ゴシック" w:eastAsia="ＭＳ ゴシック" w:hAnsi="ＭＳ ゴシック" w:hint="eastAsia"/>
          <w:szCs w:val="21"/>
        </w:rPr>
        <w:t>＜災害発生時＞</w:t>
      </w:r>
    </w:p>
    <w:tbl>
      <w:tblPr>
        <w:tblpPr w:leftFromText="142" w:rightFromText="142" w:vertAnchor="text" w:tblpXSpec="center" w:tblpY="1"/>
        <w:tblOverlap w:val="neve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26"/>
        <w:gridCol w:w="7176"/>
      </w:tblGrid>
      <w:tr w:rsidR="001D6D10" w:rsidRPr="001D6D10" w14:paraId="5D94FB44" w14:textId="77777777" w:rsidTr="008B4B2B">
        <w:trPr>
          <w:jc w:val="center"/>
        </w:trPr>
        <w:tc>
          <w:tcPr>
            <w:tcW w:w="1526" w:type="dxa"/>
            <w:shd w:val="clear" w:color="auto" w:fill="BFBFBF"/>
          </w:tcPr>
          <w:p w14:paraId="70FC81E5" w14:textId="77777777" w:rsidR="008B4B2B" w:rsidRPr="001D6D10" w:rsidRDefault="008B4B2B" w:rsidP="008B4B2B">
            <w:pPr>
              <w:jc w:val="center"/>
              <w:rPr>
                <w:rFonts w:ascii="ＭＳ 明朝" w:hAnsi="ＭＳ 明朝"/>
                <w:szCs w:val="21"/>
              </w:rPr>
            </w:pPr>
            <w:r w:rsidRPr="001D6D10">
              <w:rPr>
                <w:rFonts w:ascii="ＭＳ 明朝" w:hAnsi="ＭＳ 明朝" w:hint="eastAsia"/>
                <w:szCs w:val="21"/>
              </w:rPr>
              <w:t>フェーズ</w:t>
            </w:r>
          </w:p>
        </w:tc>
        <w:tc>
          <w:tcPr>
            <w:tcW w:w="7176" w:type="dxa"/>
            <w:shd w:val="clear" w:color="auto" w:fill="BFBFBF"/>
          </w:tcPr>
          <w:p w14:paraId="22101226" w14:textId="77777777" w:rsidR="008B4B2B" w:rsidRPr="001D6D10" w:rsidRDefault="008B4B2B" w:rsidP="008B4B2B">
            <w:pPr>
              <w:jc w:val="center"/>
              <w:rPr>
                <w:rFonts w:ascii="ＭＳ 明朝" w:hAnsi="ＭＳ 明朝"/>
                <w:szCs w:val="21"/>
              </w:rPr>
            </w:pPr>
            <w:r w:rsidRPr="001D6D10">
              <w:rPr>
                <w:rFonts w:ascii="ＭＳ 明朝" w:hAnsi="ＭＳ 明朝" w:hint="eastAsia"/>
                <w:szCs w:val="21"/>
              </w:rPr>
              <w:t>主な応急対策業務</w:t>
            </w:r>
          </w:p>
        </w:tc>
      </w:tr>
      <w:tr w:rsidR="001D6D10" w:rsidRPr="001D6D10" w14:paraId="7D61B6E5" w14:textId="77777777" w:rsidTr="008B4B2B">
        <w:trPr>
          <w:jc w:val="center"/>
        </w:trPr>
        <w:tc>
          <w:tcPr>
            <w:tcW w:w="1526" w:type="dxa"/>
          </w:tcPr>
          <w:p w14:paraId="37785A23" w14:textId="77777777" w:rsidR="008B4B2B" w:rsidRPr="001D6D10" w:rsidRDefault="008B4B2B" w:rsidP="008B4B2B">
            <w:pPr>
              <w:rPr>
                <w:rFonts w:ascii="ＭＳ 明朝" w:hAnsi="ＭＳ 明朝"/>
                <w:szCs w:val="21"/>
              </w:rPr>
            </w:pPr>
            <w:r w:rsidRPr="001D6D10">
              <w:rPr>
                <w:rFonts w:ascii="ＭＳ 明朝" w:hAnsi="ＭＳ 明朝" w:hint="eastAsia"/>
                <w:szCs w:val="21"/>
              </w:rPr>
              <w:t>第1フェーズ</w:t>
            </w:r>
          </w:p>
          <w:p w14:paraId="1F26C2EA" w14:textId="77777777" w:rsidR="008B4B2B" w:rsidRPr="001D6D10" w:rsidRDefault="008B4B2B" w:rsidP="008B4B2B">
            <w:pPr>
              <w:rPr>
                <w:rFonts w:ascii="ＭＳ 明朝" w:hAnsi="ＭＳ 明朝"/>
                <w:szCs w:val="21"/>
              </w:rPr>
            </w:pPr>
            <w:r w:rsidRPr="001D6D10">
              <w:rPr>
                <w:rFonts w:ascii="ＭＳ 明朝" w:hAnsi="ＭＳ 明朝" w:hint="eastAsia"/>
                <w:szCs w:val="21"/>
              </w:rPr>
              <w:t>(3時間まで)</w:t>
            </w:r>
          </w:p>
          <w:p w14:paraId="2D104873" w14:textId="77777777" w:rsidR="008B4B2B" w:rsidRPr="001D6D10" w:rsidRDefault="008B4B2B" w:rsidP="008B4B2B">
            <w:pPr>
              <w:rPr>
                <w:rFonts w:ascii="ＭＳ 明朝" w:hAnsi="ＭＳ 明朝"/>
                <w:szCs w:val="21"/>
              </w:rPr>
            </w:pPr>
          </w:p>
        </w:tc>
        <w:tc>
          <w:tcPr>
            <w:tcW w:w="7176" w:type="dxa"/>
          </w:tcPr>
          <w:p w14:paraId="64B83B84" w14:textId="77777777" w:rsidR="008B4B2B" w:rsidRPr="001D6D10" w:rsidRDefault="008B4B2B" w:rsidP="008B4B2B">
            <w:pPr>
              <w:rPr>
                <w:rFonts w:ascii="ＭＳ 明朝" w:hAnsi="ＭＳ 明朝"/>
                <w:szCs w:val="21"/>
              </w:rPr>
            </w:pPr>
            <w:r w:rsidRPr="001D6D10">
              <w:rPr>
                <w:rFonts w:ascii="ＭＳ 明朝" w:hAnsi="ＭＳ 明朝" w:hint="eastAsia"/>
                <w:szCs w:val="21"/>
              </w:rPr>
              <w:t>○初動対応、体制の確立</w:t>
            </w:r>
          </w:p>
          <w:p w14:paraId="0AD02BB2" w14:textId="77777777" w:rsidR="008B4B2B" w:rsidRPr="001D6D10" w:rsidRDefault="008B4B2B" w:rsidP="008B4B2B">
            <w:pPr>
              <w:rPr>
                <w:rFonts w:ascii="ＭＳ 明朝" w:hAnsi="ＭＳ 明朝"/>
                <w:szCs w:val="21"/>
              </w:rPr>
            </w:pPr>
            <w:r w:rsidRPr="001D6D10">
              <w:rPr>
                <w:rFonts w:ascii="ＭＳ 明朝" w:hAnsi="ＭＳ 明朝" w:hint="eastAsia"/>
                <w:szCs w:val="21"/>
              </w:rPr>
              <w:t>○事務局内職員の安否確認と参集状況の把握、報告</w:t>
            </w:r>
          </w:p>
          <w:p w14:paraId="6F28FEFD" w14:textId="77777777" w:rsidR="008B4B2B" w:rsidRPr="001D6D10" w:rsidRDefault="008B4B2B" w:rsidP="008B4B2B">
            <w:pPr>
              <w:rPr>
                <w:rFonts w:ascii="ＭＳ 明朝" w:hAnsi="ＭＳ 明朝"/>
                <w:szCs w:val="21"/>
              </w:rPr>
            </w:pPr>
            <w:r w:rsidRPr="001D6D10">
              <w:rPr>
                <w:rFonts w:ascii="ＭＳ 明朝" w:hAnsi="ＭＳ 明朝" w:hint="eastAsia"/>
                <w:szCs w:val="21"/>
              </w:rPr>
              <w:t>○収用委員の安否確認</w:t>
            </w:r>
          </w:p>
          <w:p w14:paraId="12CB1A03" w14:textId="77777777" w:rsidR="008B4B2B" w:rsidRPr="001D6D10" w:rsidRDefault="008B4B2B" w:rsidP="008B4B2B">
            <w:pPr>
              <w:rPr>
                <w:rFonts w:ascii="ＭＳ 明朝" w:hAnsi="ＭＳ 明朝"/>
                <w:szCs w:val="21"/>
              </w:rPr>
            </w:pPr>
            <w:r w:rsidRPr="001D6D10">
              <w:rPr>
                <w:rFonts w:ascii="ＭＳ 明朝" w:hAnsi="ＭＳ 明朝" w:hint="eastAsia"/>
                <w:szCs w:val="21"/>
              </w:rPr>
              <w:t>○事務局内及び関係機関からの情報収集及び連絡調整</w:t>
            </w:r>
          </w:p>
          <w:p w14:paraId="14B1A05C" w14:textId="77777777" w:rsidR="008B4B2B" w:rsidRPr="001D6D10" w:rsidRDefault="008B4B2B" w:rsidP="008B4B2B">
            <w:pPr>
              <w:rPr>
                <w:rFonts w:ascii="ＭＳ 明朝" w:hAnsi="ＭＳ 明朝"/>
                <w:szCs w:val="21"/>
              </w:rPr>
            </w:pPr>
            <w:r w:rsidRPr="001D6D10">
              <w:rPr>
                <w:rFonts w:ascii="ＭＳ 明朝" w:hAnsi="ＭＳ 明朝" w:hint="eastAsia"/>
                <w:szCs w:val="21"/>
              </w:rPr>
              <w:t>○職員・来庁者の救助・搬送【各所属】</w:t>
            </w:r>
          </w:p>
        </w:tc>
      </w:tr>
      <w:tr w:rsidR="001D6D10" w:rsidRPr="001D6D10" w14:paraId="4D304767" w14:textId="77777777" w:rsidTr="008B4B2B">
        <w:trPr>
          <w:jc w:val="center"/>
        </w:trPr>
        <w:tc>
          <w:tcPr>
            <w:tcW w:w="1526" w:type="dxa"/>
          </w:tcPr>
          <w:p w14:paraId="28B2685A" w14:textId="77777777" w:rsidR="008B4B2B" w:rsidRPr="001D6D10" w:rsidRDefault="008B4B2B" w:rsidP="008B4B2B">
            <w:pPr>
              <w:rPr>
                <w:rFonts w:ascii="ＭＳ 明朝" w:hAnsi="ＭＳ 明朝"/>
                <w:szCs w:val="21"/>
              </w:rPr>
            </w:pPr>
            <w:r w:rsidRPr="001D6D10">
              <w:rPr>
                <w:rFonts w:ascii="ＭＳ 明朝" w:hAnsi="ＭＳ 明朝" w:hint="eastAsia"/>
                <w:szCs w:val="21"/>
              </w:rPr>
              <w:t>第2フェーズ</w:t>
            </w:r>
          </w:p>
          <w:p w14:paraId="5F5A1398" w14:textId="77777777" w:rsidR="008B4B2B" w:rsidRPr="001D6D10" w:rsidRDefault="008B4B2B" w:rsidP="008B4B2B">
            <w:pPr>
              <w:rPr>
                <w:rFonts w:ascii="ＭＳ 明朝" w:hAnsi="ＭＳ 明朝"/>
                <w:szCs w:val="21"/>
              </w:rPr>
            </w:pPr>
            <w:r w:rsidRPr="001D6D10">
              <w:rPr>
                <w:rFonts w:ascii="ＭＳ 明朝" w:hAnsi="ＭＳ 明朝" w:hint="eastAsia"/>
                <w:szCs w:val="21"/>
              </w:rPr>
              <w:t>(24時間まで)</w:t>
            </w:r>
          </w:p>
        </w:tc>
        <w:tc>
          <w:tcPr>
            <w:tcW w:w="7176" w:type="dxa"/>
          </w:tcPr>
          <w:p w14:paraId="1DAE9253" w14:textId="77777777" w:rsidR="008B4B2B" w:rsidRPr="001D6D10" w:rsidRDefault="008B4B2B" w:rsidP="008B4B2B">
            <w:pPr>
              <w:rPr>
                <w:rFonts w:ascii="ＭＳ 明朝" w:hAnsi="ＭＳ 明朝"/>
                <w:szCs w:val="21"/>
                <w:u w:val="single"/>
              </w:rPr>
            </w:pPr>
          </w:p>
        </w:tc>
      </w:tr>
      <w:tr w:rsidR="001D6D10" w:rsidRPr="001D6D10" w14:paraId="0BC6BD14" w14:textId="77777777" w:rsidTr="008B4B2B">
        <w:trPr>
          <w:jc w:val="center"/>
        </w:trPr>
        <w:tc>
          <w:tcPr>
            <w:tcW w:w="1526" w:type="dxa"/>
          </w:tcPr>
          <w:p w14:paraId="50301EAC" w14:textId="77777777" w:rsidR="008B4B2B" w:rsidRPr="001D6D10" w:rsidRDefault="008B4B2B" w:rsidP="008B4B2B">
            <w:pPr>
              <w:rPr>
                <w:rFonts w:ascii="ＭＳ 明朝" w:hAnsi="ＭＳ 明朝"/>
                <w:szCs w:val="21"/>
              </w:rPr>
            </w:pPr>
            <w:r w:rsidRPr="001D6D10">
              <w:rPr>
                <w:rFonts w:ascii="ＭＳ 明朝" w:hAnsi="ＭＳ 明朝" w:hint="eastAsia"/>
                <w:szCs w:val="21"/>
              </w:rPr>
              <w:t>第3フェーズ</w:t>
            </w:r>
          </w:p>
          <w:p w14:paraId="611587AC" w14:textId="77777777" w:rsidR="008B4B2B" w:rsidRPr="001D6D10" w:rsidRDefault="008B4B2B" w:rsidP="008B4B2B">
            <w:pPr>
              <w:rPr>
                <w:rFonts w:ascii="ＭＳ 明朝" w:hAnsi="ＭＳ 明朝"/>
                <w:szCs w:val="21"/>
              </w:rPr>
            </w:pPr>
            <w:r w:rsidRPr="001D6D10">
              <w:rPr>
                <w:rFonts w:ascii="ＭＳ 明朝" w:hAnsi="ＭＳ 明朝" w:hint="eastAsia"/>
                <w:szCs w:val="21"/>
              </w:rPr>
              <w:t>(72時間まで)</w:t>
            </w:r>
          </w:p>
        </w:tc>
        <w:tc>
          <w:tcPr>
            <w:tcW w:w="7176" w:type="dxa"/>
          </w:tcPr>
          <w:p w14:paraId="1202AD80" w14:textId="77777777" w:rsidR="008B4B2B" w:rsidRPr="001D6D10" w:rsidRDefault="008B4B2B" w:rsidP="008B4B2B">
            <w:pPr>
              <w:rPr>
                <w:rFonts w:ascii="ＭＳ 明朝" w:hAnsi="ＭＳ 明朝"/>
                <w:szCs w:val="21"/>
                <w:u w:val="single"/>
              </w:rPr>
            </w:pPr>
          </w:p>
        </w:tc>
      </w:tr>
      <w:tr w:rsidR="001D6D10" w:rsidRPr="001D6D10" w14:paraId="38A51922" w14:textId="77777777" w:rsidTr="008B4B2B">
        <w:trPr>
          <w:jc w:val="center"/>
        </w:trPr>
        <w:tc>
          <w:tcPr>
            <w:tcW w:w="1526" w:type="dxa"/>
          </w:tcPr>
          <w:p w14:paraId="625056DF" w14:textId="77777777" w:rsidR="008B4B2B" w:rsidRPr="001D6D10" w:rsidRDefault="008B4B2B" w:rsidP="008B4B2B">
            <w:pPr>
              <w:rPr>
                <w:rFonts w:ascii="ＭＳ 明朝" w:hAnsi="ＭＳ 明朝"/>
                <w:szCs w:val="21"/>
              </w:rPr>
            </w:pPr>
            <w:r w:rsidRPr="001D6D10">
              <w:rPr>
                <w:rFonts w:ascii="ＭＳ 明朝" w:hAnsi="ＭＳ 明朝" w:hint="eastAsia"/>
                <w:szCs w:val="21"/>
              </w:rPr>
              <w:t>第4フェーズ</w:t>
            </w:r>
          </w:p>
          <w:p w14:paraId="3F21821A" w14:textId="77777777" w:rsidR="008B4B2B" w:rsidRPr="001D6D10" w:rsidRDefault="008B4B2B" w:rsidP="008B4B2B">
            <w:pPr>
              <w:rPr>
                <w:rFonts w:ascii="ＭＳ 明朝" w:hAnsi="ＭＳ 明朝"/>
                <w:szCs w:val="21"/>
              </w:rPr>
            </w:pPr>
            <w:r w:rsidRPr="001D6D10">
              <w:rPr>
                <w:rFonts w:ascii="ＭＳ 明朝" w:hAnsi="ＭＳ 明朝" w:hint="eastAsia"/>
                <w:szCs w:val="21"/>
              </w:rPr>
              <w:t>(1週間まで)</w:t>
            </w:r>
          </w:p>
        </w:tc>
        <w:tc>
          <w:tcPr>
            <w:tcW w:w="7176" w:type="dxa"/>
          </w:tcPr>
          <w:p w14:paraId="0388F82A" w14:textId="77777777" w:rsidR="008B4B2B" w:rsidRPr="001D6D10" w:rsidRDefault="008B4B2B" w:rsidP="008B4B2B">
            <w:pPr>
              <w:rPr>
                <w:rFonts w:ascii="ＭＳ 明朝" w:hAnsi="ＭＳ 明朝"/>
                <w:szCs w:val="21"/>
                <w:u w:val="single"/>
              </w:rPr>
            </w:pPr>
          </w:p>
        </w:tc>
      </w:tr>
      <w:tr w:rsidR="001D6D10" w:rsidRPr="001D6D10" w14:paraId="74DC6DFD" w14:textId="77777777" w:rsidTr="008B4B2B">
        <w:trPr>
          <w:jc w:val="center"/>
        </w:trPr>
        <w:tc>
          <w:tcPr>
            <w:tcW w:w="1526" w:type="dxa"/>
          </w:tcPr>
          <w:p w14:paraId="30C1F7D5" w14:textId="77777777" w:rsidR="008B4B2B" w:rsidRPr="001D6D10" w:rsidRDefault="008B4B2B" w:rsidP="008B4B2B">
            <w:pPr>
              <w:rPr>
                <w:rFonts w:ascii="ＭＳ 明朝" w:hAnsi="ＭＳ 明朝"/>
                <w:szCs w:val="21"/>
              </w:rPr>
            </w:pPr>
            <w:r w:rsidRPr="001D6D10">
              <w:rPr>
                <w:rFonts w:ascii="ＭＳ 明朝" w:hAnsi="ＭＳ 明朝" w:hint="eastAsia"/>
                <w:szCs w:val="21"/>
              </w:rPr>
              <w:t>第5フェーズ</w:t>
            </w:r>
          </w:p>
          <w:p w14:paraId="1C4D6EFD" w14:textId="77777777" w:rsidR="008B4B2B" w:rsidRPr="001D6D10" w:rsidRDefault="008B4B2B" w:rsidP="008B4B2B">
            <w:pPr>
              <w:rPr>
                <w:rFonts w:ascii="ＭＳ 明朝" w:hAnsi="ＭＳ 明朝"/>
                <w:szCs w:val="21"/>
              </w:rPr>
            </w:pPr>
            <w:r w:rsidRPr="001D6D10">
              <w:rPr>
                <w:rFonts w:ascii="ＭＳ 明朝" w:hAnsi="ＭＳ 明朝" w:hint="eastAsia"/>
                <w:szCs w:val="21"/>
              </w:rPr>
              <w:t>(2週間まで)</w:t>
            </w:r>
          </w:p>
        </w:tc>
        <w:tc>
          <w:tcPr>
            <w:tcW w:w="7176" w:type="dxa"/>
          </w:tcPr>
          <w:p w14:paraId="61A793C2" w14:textId="77777777" w:rsidR="008B4B2B" w:rsidRPr="001D6D10" w:rsidRDefault="008B4B2B" w:rsidP="008B4B2B">
            <w:pPr>
              <w:ind w:left="211" w:hangingChars="100" w:hanging="211"/>
              <w:rPr>
                <w:rFonts w:ascii="ＭＳ 明朝" w:hAnsi="ＭＳ 明朝"/>
                <w:szCs w:val="21"/>
                <w:u w:val="single"/>
              </w:rPr>
            </w:pPr>
          </w:p>
        </w:tc>
      </w:tr>
      <w:tr w:rsidR="001D6D10" w:rsidRPr="001D6D10" w14:paraId="6C923DF8" w14:textId="77777777" w:rsidTr="008B4B2B">
        <w:trPr>
          <w:jc w:val="center"/>
        </w:trPr>
        <w:tc>
          <w:tcPr>
            <w:tcW w:w="1526" w:type="dxa"/>
          </w:tcPr>
          <w:p w14:paraId="47746E0F" w14:textId="77777777" w:rsidR="008B4B2B" w:rsidRPr="001D6D10" w:rsidRDefault="008B4B2B" w:rsidP="008B4B2B">
            <w:pPr>
              <w:rPr>
                <w:rFonts w:ascii="ＭＳ 明朝" w:hAnsi="ＭＳ 明朝"/>
                <w:szCs w:val="21"/>
              </w:rPr>
            </w:pPr>
            <w:r w:rsidRPr="001D6D10">
              <w:rPr>
                <w:rFonts w:ascii="ＭＳ 明朝" w:hAnsi="ＭＳ 明朝" w:hint="eastAsia"/>
                <w:szCs w:val="21"/>
              </w:rPr>
              <w:t>第6フェーズ</w:t>
            </w:r>
          </w:p>
          <w:p w14:paraId="58AF05B2" w14:textId="77777777" w:rsidR="008B4B2B" w:rsidRPr="001D6D10" w:rsidRDefault="008B4B2B" w:rsidP="008B4B2B">
            <w:pPr>
              <w:rPr>
                <w:rFonts w:ascii="ＭＳ 明朝" w:hAnsi="ＭＳ 明朝"/>
                <w:szCs w:val="21"/>
              </w:rPr>
            </w:pPr>
            <w:r w:rsidRPr="001D6D10">
              <w:rPr>
                <w:rFonts w:ascii="ＭＳ 明朝" w:hAnsi="ＭＳ 明朝" w:hint="eastAsia"/>
                <w:szCs w:val="21"/>
              </w:rPr>
              <w:t>(1ヶ月まで)</w:t>
            </w:r>
          </w:p>
        </w:tc>
        <w:tc>
          <w:tcPr>
            <w:tcW w:w="7176" w:type="dxa"/>
          </w:tcPr>
          <w:p w14:paraId="4D7A6C1C" w14:textId="77777777" w:rsidR="008B4B2B" w:rsidRPr="001D6D10" w:rsidRDefault="008B4B2B" w:rsidP="008B4B2B">
            <w:pPr>
              <w:rPr>
                <w:rFonts w:ascii="ＭＳ ゴシック" w:eastAsia="ＭＳ ゴシック" w:hAnsi="ＭＳ ゴシック"/>
                <w:szCs w:val="21"/>
                <w:u w:val="single"/>
              </w:rPr>
            </w:pPr>
          </w:p>
        </w:tc>
      </w:tr>
    </w:tbl>
    <w:p w14:paraId="41603E17" w14:textId="77FE33BB" w:rsidR="008B4B2B" w:rsidRDefault="008B4B2B" w:rsidP="008B4B2B">
      <w:pPr>
        <w:rPr>
          <w:rFonts w:ascii="ＭＳ ゴシック" w:eastAsia="ＭＳ ゴシック" w:hAnsi="ＭＳ ゴシック"/>
          <w:sz w:val="22"/>
          <w:szCs w:val="22"/>
        </w:rPr>
      </w:pPr>
    </w:p>
    <w:p w14:paraId="6E1384BE" w14:textId="77777777" w:rsidR="00E144D7" w:rsidRPr="00ED1042" w:rsidRDefault="00E144D7" w:rsidP="008B4B2B">
      <w:pPr>
        <w:rPr>
          <w:rFonts w:ascii="ＭＳ ゴシック" w:eastAsia="ＭＳ ゴシック" w:hAnsi="ＭＳ ゴシック"/>
          <w:color w:val="FF0000"/>
          <w:sz w:val="22"/>
          <w:szCs w:val="22"/>
        </w:rPr>
      </w:pPr>
    </w:p>
    <w:p w14:paraId="55AC5E4F" w14:textId="77777777" w:rsidR="007661FD" w:rsidRPr="00AD2C7A" w:rsidRDefault="007661FD" w:rsidP="007661FD">
      <w:pPr>
        <w:pStyle w:val="af4"/>
        <w:ind w:leftChars="0" w:left="0"/>
        <w:rPr>
          <w:rFonts w:ascii="ＭＳ ゴシック" w:eastAsia="ＭＳ ゴシック" w:hAnsi="ＭＳ ゴシック"/>
          <w:szCs w:val="21"/>
        </w:rPr>
      </w:pPr>
      <w:r w:rsidRPr="00AD2C7A">
        <w:rPr>
          <w:rFonts w:ascii="ＭＳ ゴシック" w:eastAsia="ＭＳ ゴシック" w:hAnsi="ＭＳ ゴシック" w:hint="eastAsia"/>
          <w:szCs w:val="21"/>
        </w:rPr>
        <w:t>＜南海トラフ地震臨時情報（巨大地震警戒）発表時＞</w:t>
      </w:r>
    </w:p>
    <w:tbl>
      <w:tblPr>
        <w:tblpPr w:leftFromText="142" w:rightFromText="142" w:vertAnchor="text" w:tblpXSpec="center" w:tblpY="1"/>
        <w:tblOverlap w:val="neve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00"/>
        <w:gridCol w:w="7334"/>
      </w:tblGrid>
      <w:tr w:rsidR="00AD2C7A" w:rsidRPr="00AD2C7A" w14:paraId="794D0E8F" w14:textId="77777777" w:rsidTr="008C78D9">
        <w:trPr>
          <w:jc w:val="center"/>
        </w:trPr>
        <w:tc>
          <w:tcPr>
            <w:tcW w:w="1500" w:type="dxa"/>
            <w:tcBorders>
              <w:bottom w:val="single" w:sz="4" w:space="0" w:color="auto"/>
            </w:tcBorders>
            <w:shd w:val="clear" w:color="auto" w:fill="BFBFBF"/>
          </w:tcPr>
          <w:p w14:paraId="50AAE4B3" w14:textId="77777777" w:rsidR="007661FD" w:rsidRPr="00AD2C7A" w:rsidRDefault="007661FD" w:rsidP="008C78D9">
            <w:pPr>
              <w:jc w:val="center"/>
              <w:rPr>
                <w:rFonts w:ascii="ＭＳ 明朝" w:hAnsi="ＭＳ 明朝"/>
                <w:szCs w:val="21"/>
              </w:rPr>
            </w:pPr>
            <w:r w:rsidRPr="00AD2C7A">
              <w:rPr>
                <w:rFonts w:ascii="ＭＳ 明朝" w:hAnsi="ＭＳ 明朝" w:hint="eastAsia"/>
                <w:szCs w:val="21"/>
              </w:rPr>
              <w:t>臨時情報</w:t>
            </w:r>
          </w:p>
        </w:tc>
        <w:tc>
          <w:tcPr>
            <w:tcW w:w="7334" w:type="dxa"/>
            <w:tcBorders>
              <w:bottom w:val="single" w:sz="4" w:space="0" w:color="auto"/>
            </w:tcBorders>
            <w:shd w:val="clear" w:color="auto" w:fill="BFBFBF"/>
          </w:tcPr>
          <w:p w14:paraId="4714855D" w14:textId="77777777" w:rsidR="007661FD" w:rsidRPr="00AD2C7A" w:rsidRDefault="007661FD" w:rsidP="008C78D9">
            <w:pPr>
              <w:jc w:val="center"/>
              <w:rPr>
                <w:rFonts w:ascii="ＭＳ 明朝" w:hAnsi="ＭＳ 明朝"/>
                <w:szCs w:val="21"/>
              </w:rPr>
            </w:pPr>
            <w:r w:rsidRPr="00AD2C7A">
              <w:rPr>
                <w:rFonts w:ascii="ＭＳ 明朝" w:hAnsi="ＭＳ 明朝" w:hint="eastAsia"/>
                <w:szCs w:val="21"/>
              </w:rPr>
              <w:t>主な応急対策業務</w:t>
            </w:r>
          </w:p>
        </w:tc>
      </w:tr>
      <w:tr w:rsidR="00AD2C7A" w:rsidRPr="00AD2C7A" w14:paraId="1DB0A060" w14:textId="77777777" w:rsidTr="008C78D9">
        <w:trPr>
          <w:jc w:val="center"/>
        </w:trPr>
        <w:tc>
          <w:tcPr>
            <w:tcW w:w="1500" w:type="dxa"/>
          </w:tcPr>
          <w:p w14:paraId="1C34729F" w14:textId="77777777" w:rsidR="007661FD" w:rsidRPr="00AD2C7A" w:rsidRDefault="007661FD" w:rsidP="008C78D9">
            <w:pPr>
              <w:rPr>
                <w:rFonts w:ascii="ＭＳ 明朝" w:hAnsi="ＭＳ 明朝"/>
                <w:szCs w:val="21"/>
              </w:rPr>
            </w:pPr>
            <w:r w:rsidRPr="00AD2C7A">
              <w:rPr>
                <w:rFonts w:ascii="ＭＳ 明朝" w:hAnsi="ＭＳ 明朝" w:hint="eastAsia"/>
                <w:szCs w:val="21"/>
              </w:rPr>
              <w:t>巨大地震警戒</w:t>
            </w:r>
          </w:p>
        </w:tc>
        <w:tc>
          <w:tcPr>
            <w:tcW w:w="7334" w:type="dxa"/>
          </w:tcPr>
          <w:p w14:paraId="51D88078" w14:textId="77777777" w:rsidR="00ED1042" w:rsidRPr="00AD2C7A" w:rsidRDefault="00ED1042" w:rsidP="00ED1042">
            <w:pPr>
              <w:rPr>
                <w:rFonts w:ascii="ＭＳ 明朝" w:hAnsi="ＭＳ 明朝"/>
              </w:rPr>
            </w:pPr>
            <w:r w:rsidRPr="00AD2C7A">
              <w:rPr>
                <w:rFonts w:ascii="ＭＳ 明朝" w:hAnsi="ＭＳ 明朝" w:hint="eastAsia"/>
              </w:rPr>
              <w:t>○地震発災後、応急対策業務（第１フェーズ）を速やかに実施できる準備</w:t>
            </w:r>
          </w:p>
          <w:p w14:paraId="79C55667" w14:textId="77777777" w:rsidR="00ED1042" w:rsidRPr="00AD2C7A" w:rsidRDefault="00ED1042" w:rsidP="00ED1042">
            <w:pPr>
              <w:ind w:firstLineChars="100" w:firstLine="211"/>
              <w:rPr>
                <w:rFonts w:ascii="ＭＳ 明朝" w:hAnsi="ＭＳ 明朝"/>
              </w:rPr>
            </w:pPr>
            <w:r w:rsidRPr="00AD2C7A">
              <w:rPr>
                <w:rFonts w:ascii="ＭＳ 明朝" w:hAnsi="ＭＳ 明朝" w:hint="eastAsia"/>
              </w:rPr>
              <w:t>体制を維持</w:t>
            </w:r>
          </w:p>
          <w:p w14:paraId="7D075764" w14:textId="2290B351" w:rsidR="007661FD" w:rsidRPr="00AD2C7A" w:rsidRDefault="00ED1042" w:rsidP="00ED1042">
            <w:pPr>
              <w:rPr>
                <w:rFonts w:ascii="ＭＳ 明朝" w:hAnsi="ＭＳ 明朝"/>
                <w:szCs w:val="21"/>
              </w:rPr>
            </w:pPr>
            <w:r w:rsidRPr="00AD2C7A">
              <w:rPr>
                <w:rFonts w:ascii="ＭＳ 明朝" w:hAnsi="ＭＳ 明朝" w:hint="eastAsia"/>
                <w:kern w:val="0"/>
              </w:rPr>
              <w:t>○事務局内及び関係機関からの情報収集・整理及び連絡調整</w:t>
            </w:r>
          </w:p>
        </w:tc>
      </w:tr>
    </w:tbl>
    <w:p w14:paraId="1C053EE5" w14:textId="77777777" w:rsidR="007661FD" w:rsidRPr="00AD2C7A" w:rsidRDefault="007661FD" w:rsidP="007661FD">
      <w:pPr>
        <w:rPr>
          <w:rFonts w:ascii="ＭＳ 明朝" w:hAnsi="ＭＳ 明朝"/>
          <w:szCs w:val="21"/>
        </w:rPr>
      </w:pPr>
      <w:r w:rsidRPr="00AD2C7A">
        <w:rPr>
          <w:rFonts w:ascii="ＭＳ 明朝" w:hAnsi="ＭＳ 明朝" w:hint="eastAsia"/>
          <w:szCs w:val="21"/>
        </w:rPr>
        <w:t>「南海トラフ地震臨時情報（巨大地震警戒）」が発表され、「巨大地震警戒対応期間」（１週間）が経過した際は、「巨大地震注意対応期間」へ移行。</w:t>
      </w:r>
    </w:p>
    <w:p w14:paraId="104A9DA1" w14:textId="77777777" w:rsidR="007661FD" w:rsidRPr="00AD2C7A" w:rsidRDefault="007661FD" w:rsidP="007661FD">
      <w:pPr>
        <w:rPr>
          <w:rFonts w:ascii="ＭＳ 明朝" w:hAnsi="ＭＳ 明朝"/>
          <w:szCs w:val="21"/>
        </w:rPr>
      </w:pPr>
    </w:p>
    <w:p w14:paraId="198DD313" w14:textId="751F819C" w:rsidR="007661FD" w:rsidRPr="00AD2C7A" w:rsidRDefault="007661FD" w:rsidP="007661FD">
      <w:pPr>
        <w:pStyle w:val="af4"/>
        <w:ind w:leftChars="0" w:left="0"/>
        <w:rPr>
          <w:rFonts w:ascii="ＭＳ ゴシック" w:eastAsia="ＭＳ ゴシック" w:hAnsi="ＭＳ ゴシック"/>
          <w:szCs w:val="21"/>
        </w:rPr>
      </w:pPr>
      <w:r w:rsidRPr="00AD2C7A">
        <w:rPr>
          <w:rFonts w:ascii="ＭＳ ゴシック" w:eastAsia="ＭＳ ゴシック" w:hAnsi="ＭＳ ゴシック" w:hint="eastAsia"/>
          <w:szCs w:val="21"/>
        </w:rPr>
        <w:t>＜南海トラフ地震臨時情報（巨大地震注意）発表時</w:t>
      </w:r>
      <w:r w:rsidR="0083525D" w:rsidRPr="00AD2C7A">
        <w:rPr>
          <w:rFonts w:ascii="ＭＳ ゴシック" w:eastAsia="ＭＳ ゴシック" w:hAnsi="ＭＳ ゴシック" w:hint="eastAsia"/>
          <w:szCs w:val="21"/>
        </w:rPr>
        <w:t>（</w:t>
      </w:r>
      <w:r w:rsidR="0083525D" w:rsidRPr="00AD2C7A">
        <w:rPr>
          <w:rFonts w:ascii="ＭＳ 明朝" w:hAnsi="ＭＳ 明朝" w:hint="eastAsia"/>
          <w:szCs w:val="21"/>
        </w:rPr>
        <w:t>巨大地震警戒からの移行時を含む</w:t>
      </w:r>
      <w:r w:rsidR="0083525D" w:rsidRPr="00AD2C7A">
        <w:rPr>
          <w:rFonts w:ascii="ＭＳ ゴシック" w:eastAsia="ＭＳ ゴシック" w:hAnsi="ＭＳ ゴシック" w:hint="eastAsia"/>
          <w:szCs w:val="21"/>
        </w:rPr>
        <w:t>）</w:t>
      </w:r>
      <w:r w:rsidRPr="00AD2C7A">
        <w:rPr>
          <w:rFonts w:ascii="ＭＳ ゴシック" w:eastAsia="ＭＳ ゴシック" w:hAnsi="ＭＳ ゴシック" w:hint="eastAsia"/>
          <w:szCs w:val="21"/>
        </w:rPr>
        <w:t>＞</w:t>
      </w:r>
    </w:p>
    <w:tbl>
      <w:tblPr>
        <w:tblpPr w:leftFromText="142" w:rightFromText="142" w:vertAnchor="text" w:tblpXSpec="center" w:tblpY="1"/>
        <w:tblOverlap w:val="neve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00"/>
        <w:gridCol w:w="7334"/>
      </w:tblGrid>
      <w:tr w:rsidR="00AD2C7A" w:rsidRPr="00AD2C7A" w14:paraId="2ACF29BC" w14:textId="77777777" w:rsidTr="008C78D9">
        <w:trPr>
          <w:jc w:val="center"/>
        </w:trPr>
        <w:tc>
          <w:tcPr>
            <w:tcW w:w="1500" w:type="dxa"/>
            <w:tcBorders>
              <w:bottom w:val="single" w:sz="4" w:space="0" w:color="auto"/>
            </w:tcBorders>
            <w:shd w:val="clear" w:color="auto" w:fill="BFBFBF"/>
          </w:tcPr>
          <w:p w14:paraId="70E75278" w14:textId="77777777" w:rsidR="007661FD" w:rsidRPr="00AD2C7A" w:rsidRDefault="007661FD" w:rsidP="008C78D9">
            <w:pPr>
              <w:jc w:val="center"/>
              <w:rPr>
                <w:rFonts w:ascii="ＭＳ 明朝" w:hAnsi="ＭＳ 明朝"/>
                <w:szCs w:val="21"/>
              </w:rPr>
            </w:pPr>
            <w:r w:rsidRPr="00AD2C7A">
              <w:rPr>
                <w:rFonts w:ascii="ＭＳ 明朝" w:hAnsi="ＭＳ 明朝" w:hint="eastAsia"/>
                <w:szCs w:val="21"/>
              </w:rPr>
              <w:t>臨時情報</w:t>
            </w:r>
          </w:p>
        </w:tc>
        <w:tc>
          <w:tcPr>
            <w:tcW w:w="7334" w:type="dxa"/>
            <w:tcBorders>
              <w:bottom w:val="single" w:sz="4" w:space="0" w:color="auto"/>
            </w:tcBorders>
            <w:shd w:val="clear" w:color="auto" w:fill="BFBFBF"/>
          </w:tcPr>
          <w:p w14:paraId="7553CC3D" w14:textId="77777777" w:rsidR="007661FD" w:rsidRPr="00AD2C7A" w:rsidRDefault="007661FD" w:rsidP="008C78D9">
            <w:pPr>
              <w:jc w:val="center"/>
              <w:rPr>
                <w:rFonts w:ascii="ＭＳ 明朝" w:hAnsi="ＭＳ 明朝"/>
                <w:szCs w:val="21"/>
              </w:rPr>
            </w:pPr>
            <w:r w:rsidRPr="00AD2C7A">
              <w:rPr>
                <w:rFonts w:ascii="ＭＳ 明朝" w:hAnsi="ＭＳ 明朝" w:hint="eastAsia"/>
                <w:szCs w:val="21"/>
              </w:rPr>
              <w:t>主な応急対策業務</w:t>
            </w:r>
          </w:p>
        </w:tc>
      </w:tr>
      <w:tr w:rsidR="00AD2C7A" w:rsidRPr="00AD2C7A" w14:paraId="60987596" w14:textId="77777777" w:rsidTr="008C78D9">
        <w:trPr>
          <w:jc w:val="center"/>
        </w:trPr>
        <w:tc>
          <w:tcPr>
            <w:tcW w:w="1500" w:type="dxa"/>
          </w:tcPr>
          <w:p w14:paraId="6880E896" w14:textId="77777777" w:rsidR="007661FD" w:rsidRPr="00AD2C7A" w:rsidRDefault="007661FD" w:rsidP="008C78D9">
            <w:pPr>
              <w:rPr>
                <w:rFonts w:ascii="ＭＳ 明朝" w:hAnsi="ＭＳ 明朝"/>
                <w:szCs w:val="21"/>
              </w:rPr>
            </w:pPr>
            <w:r w:rsidRPr="00AD2C7A">
              <w:rPr>
                <w:rFonts w:ascii="ＭＳ 明朝" w:hAnsi="ＭＳ 明朝" w:hint="eastAsia"/>
                <w:szCs w:val="21"/>
              </w:rPr>
              <w:t>巨大地震注意</w:t>
            </w:r>
          </w:p>
        </w:tc>
        <w:tc>
          <w:tcPr>
            <w:tcW w:w="7334" w:type="dxa"/>
          </w:tcPr>
          <w:p w14:paraId="532F8708" w14:textId="77777777" w:rsidR="00ED1042" w:rsidRPr="00AD2C7A" w:rsidRDefault="00ED1042" w:rsidP="00ED1042">
            <w:pPr>
              <w:rPr>
                <w:rFonts w:ascii="ＭＳ 明朝" w:hAnsi="ＭＳ 明朝"/>
              </w:rPr>
            </w:pPr>
            <w:r w:rsidRPr="00AD2C7A">
              <w:rPr>
                <w:rFonts w:ascii="ＭＳ 明朝" w:hAnsi="ＭＳ 明朝" w:hint="eastAsia"/>
              </w:rPr>
              <w:t>○地震発災に備えた情報連絡体制の維持</w:t>
            </w:r>
          </w:p>
          <w:p w14:paraId="2CB2C0BA" w14:textId="4663F632" w:rsidR="007661FD" w:rsidRPr="00AD2C7A" w:rsidRDefault="00ED1042" w:rsidP="00ED1042">
            <w:pPr>
              <w:rPr>
                <w:rFonts w:ascii="ＭＳ 明朝" w:hAnsi="ＭＳ 明朝"/>
                <w:szCs w:val="21"/>
              </w:rPr>
            </w:pPr>
            <w:r w:rsidRPr="00AD2C7A">
              <w:rPr>
                <w:rFonts w:ascii="ＭＳ 明朝" w:hAnsi="ＭＳ 明朝" w:hint="eastAsia"/>
                <w:kern w:val="0"/>
              </w:rPr>
              <w:t>○事務局内及び関係機関からの情報収集・整理及び連絡調整</w:t>
            </w:r>
          </w:p>
        </w:tc>
      </w:tr>
    </w:tbl>
    <w:p w14:paraId="53E3E969" w14:textId="652AFDFB" w:rsidR="007661FD" w:rsidRDefault="007661FD" w:rsidP="007661FD">
      <w:pPr>
        <w:rPr>
          <w:rFonts w:ascii="ＭＳ 明朝" w:hAnsi="ＭＳ 明朝"/>
          <w:szCs w:val="21"/>
        </w:rPr>
      </w:pPr>
    </w:p>
    <w:p w14:paraId="144FD508" w14:textId="3C3268AF" w:rsidR="00DE33AD" w:rsidRDefault="00DE33AD">
      <w:pPr>
        <w:widowControl/>
        <w:jc w:val="left"/>
        <w:rPr>
          <w:rFonts w:ascii="ＭＳ ゴシック" w:eastAsia="ＭＳ ゴシック" w:hAnsi="ＭＳ ゴシック"/>
          <w:sz w:val="22"/>
          <w:szCs w:val="22"/>
        </w:rPr>
      </w:pPr>
      <w:r>
        <w:rPr>
          <w:rFonts w:ascii="ＭＳ ゴシック" w:eastAsia="ＭＳ ゴシック" w:hAnsi="ＭＳ ゴシック"/>
          <w:sz w:val="22"/>
          <w:szCs w:val="22"/>
        </w:rPr>
        <w:br w:type="page"/>
      </w:r>
    </w:p>
    <w:p w14:paraId="243AE0E2" w14:textId="6C3CFF28" w:rsidR="008B4B2B" w:rsidRPr="001D6D10" w:rsidRDefault="008438E9" w:rsidP="001F5965">
      <w:pPr>
        <w:pStyle w:val="4"/>
        <w:ind w:leftChars="0" w:left="0" w:firstLineChars="300" w:firstLine="663"/>
        <w:rPr>
          <w:rFonts w:ascii="ＭＳ ゴシック" w:eastAsia="ＭＳ ゴシック" w:hAnsi="ＭＳ ゴシック"/>
          <w:b w:val="0"/>
          <w:sz w:val="22"/>
          <w:szCs w:val="22"/>
          <w:u w:val="single"/>
        </w:rPr>
      </w:pPr>
      <w:bookmarkStart w:id="132" w:name="_Toc122436893"/>
      <w:bookmarkStart w:id="133" w:name="_Toc222486576"/>
      <w:bookmarkStart w:id="134" w:name="_Toc242870246"/>
      <w:r>
        <w:rPr>
          <w:rFonts w:ascii="ＭＳ ゴシック" w:eastAsia="ＭＳ ゴシック" w:hAnsi="ＭＳ ゴシック" w:hint="eastAsia"/>
          <w:b w:val="0"/>
          <w:sz w:val="22"/>
          <w:szCs w:val="22"/>
          <w:u w:val="single"/>
        </w:rPr>
        <w:lastRenderedPageBreak/>
        <w:t>９</w:t>
      </w:r>
      <w:r w:rsidRPr="001D6D10">
        <w:rPr>
          <w:rFonts w:ascii="ＭＳ ゴシック" w:eastAsia="ＭＳ ゴシック" w:hAnsi="ＭＳ ゴシック" w:hint="eastAsia"/>
          <w:b w:val="0"/>
          <w:sz w:val="22"/>
          <w:szCs w:val="22"/>
          <w:u w:val="single"/>
        </w:rPr>
        <w:t xml:space="preserve">　出先機関等の体制及び事務分掌</w:t>
      </w:r>
      <w:bookmarkEnd w:id="132"/>
      <w:bookmarkEnd w:id="133"/>
      <w:bookmarkEnd w:id="134"/>
    </w:p>
    <w:p w14:paraId="01D2007E" w14:textId="77777777" w:rsidR="008B4B2B" w:rsidRPr="001D6D10" w:rsidRDefault="008B4B2B" w:rsidP="008B4B2B">
      <w:pPr>
        <w:ind w:firstLineChars="500" w:firstLine="1105"/>
        <w:rPr>
          <w:rFonts w:ascii="ＭＳ ゴシック" w:eastAsia="ＭＳ ゴシック" w:hAnsi="ＭＳ ゴシック"/>
          <w:sz w:val="22"/>
          <w:szCs w:val="22"/>
          <w:bdr w:val="single" w:sz="4" w:space="0" w:color="auto"/>
        </w:rPr>
      </w:pPr>
      <w:r w:rsidRPr="001D6D10">
        <w:rPr>
          <w:rFonts w:ascii="ＭＳ ゴシック" w:eastAsia="ＭＳ ゴシック" w:hAnsi="ＭＳ ゴシック" w:hint="eastAsia"/>
          <w:sz w:val="22"/>
          <w:szCs w:val="22"/>
          <w:bdr w:val="single" w:sz="4" w:space="0" w:color="auto"/>
        </w:rPr>
        <w:t>主たる担当：出先機関等</w:t>
      </w:r>
    </w:p>
    <w:p w14:paraId="706992B3" w14:textId="77777777" w:rsidR="008B4B2B" w:rsidRPr="001D6D10" w:rsidRDefault="008B4B2B" w:rsidP="008B4B2B">
      <w:pPr>
        <w:pStyle w:val="a0"/>
        <w:ind w:leftChars="420" w:left="1219" w:hangingChars="150" w:hanging="332"/>
        <w:rPr>
          <w:rFonts w:hAnsi="ＭＳ 明朝"/>
          <w:sz w:val="22"/>
          <w:szCs w:val="22"/>
        </w:rPr>
      </w:pPr>
      <w:r w:rsidRPr="001D6D10">
        <w:rPr>
          <w:rFonts w:hAnsi="ＭＳ 明朝" w:hint="eastAsia"/>
          <w:sz w:val="22"/>
          <w:szCs w:val="22"/>
        </w:rPr>
        <w:t>(1)　出先機関等の体制</w:t>
      </w:r>
    </w:p>
    <w:p w14:paraId="1D2DCE53" w14:textId="77777777" w:rsidR="008B4B2B" w:rsidRPr="001D6D10" w:rsidRDefault="008B4B2B" w:rsidP="008B4B2B">
      <w:pPr>
        <w:pStyle w:val="a0"/>
        <w:ind w:leftChars="578" w:left="1220" w:firstLineChars="100" w:firstLine="221"/>
        <w:rPr>
          <w:rFonts w:hAnsi="ＭＳ 明朝"/>
          <w:sz w:val="22"/>
          <w:szCs w:val="22"/>
        </w:rPr>
      </w:pPr>
      <w:r w:rsidRPr="001D6D10">
        <w:rPr>
          <w:rFonts w:hAnsi="ＭＳ 明朝" w:hint="eastAsia"/>
          <w:sz w:val="22"/>
          <w:szCs w:val="22"/>
        </w:rPr>
        <w:t>出先機関等の災害等応急対策の実施体制については、次のとおりとする。</w:t>
      </w:r>
    </w:p>
    <w:p w14:paraId="015102EC" w14:textId="77777777" w:rsidR="008B4B2B" w:rsidRPr="001D6D10" w:rsidRDefault="008B4B2B" w:rsidP="008B4B2B">
      <w:pPr>
        <w:pStyle w:val="a0"/>
        <w:ind w:left="1105" w:hangingChars="500" w:hanging="1105"/>
        <w:rPr>
          <w:sz w:val="22"/>
          <w:szCs w:val="22"/>
        </w:rPr>
      </w:pPr>
      <w:r w:rsidRPr="001D6D10">
        <w:rPr>
          <w:rFonts w:hAnsi="ＭＳ 明朝" w:hint="eastAsia"/>
          <w:sz w:val="22"/>
          <w:szCs w:val="22"/>
        </w:rPr>
        <w:t xml:space="preserve">　　　　</w:t>
      </w:r>
      <w:r w:rsidRPr="001D6D10">
        <w:rPr>
          <w:rFonts w:hint="eastAsia"/>
          <w:sz w:val="22"/>
          <w:szCs w:val="22"/>
        </w:rPr>
        <w:t xml:space="preserve">　①　災害等応急対策実施体制</w:t>
      </w:r>
    </w:p>
    <w:p w14:paraId="1BE9D720" w14:textId="77777777" w:rsidR="008B4B2B" w:rsidRPr="001D6D10" w:rsidRDefault="008B4B2B" w:rsidP="008B4B2B">
      <w:pPr>
        <w:pStyle w:val="a0"/>
        <w:ind w:left="1548" w:hangingChars="700" w:hanging="1548"/>
        <w:rPr>
          <w:sz w:val="22"/>
          <w:szCs w:val="22"/>
        </w:rPr>
      </w:pPr>
      <w:r w:rsidRPr="001D6D10">
        <w:rPr>
          <w:rFonts w:hint="eastAsia"/>
          <w:sz w:val="22"/>
          <w:szCs w:val="22"/>
        </w:rPr>
        <w:t xml:space="preserve">　　　　　　　実施体制は、各出先機関等において定める活動細目による。</w:t>
      </w:r>
    </w:p>
    <w:p w14:paraId="74EEB3B9" w14:textId="77777777" w:rsidR="008B4B2B" w:rsidRPr="001D6D10" w:rsidRDefault="00B84BFC" w:rsidP="008B4B2B">
      <w:pPr>
        <w:pStyle w:val="a0"/>
        <w:ind w:leftChars="578" w:left="1220" w:rightChars="-376" w:right="-794" w:firstLineChars="150" w:firstLine="332"/>
        <w:rPr>
          <w:rFonts w:hAnsi="ＭＳ 明朝"/>
          <w:sz w:val="22"/>
          <w:szCs w:val="22"/>
        </w:rPr>
      </w:pPr>
      <w:r w:rsidRPr="001D6D10">
        <w:rPr>
          <w:rFonts w:hint="eastAsia"/>
          <w:sz w:val="22"/>
          <w:szCs w:val="22"/>
        </w:rPr>
        <w:t>なお、</w:t>
      </w:r>
      <w:r w:rsidR="008B4B2B" w:rsidRPr="001D6D10">
        <w:rPr>
          <w:rFonts w:hint="eastAsia"/>
          <w:sz w:val="22"/>
          <w:szCs w:val="22"/>
        </w:rPr>
        <w:t>地域防災監は、</w:t>
      </w:r>
      <w:r w:rsidR="008B4B2B" w:rsidRPr="001D6D10">
        <w:rPr>
          <w:rFonts w:hAnsi="ＭＳ 明朝" w:hint="eastAsia"/>
          <w:sz w:val="22"/>
          <w:szCs w:val="22"/>
        </w:rPr>
        <w:t>地域防災マニュアルを別に定めるものとする。</w:t>
      </w:r>
    </w:p>
    <w:p w14:paraId="0471C865" w14:textId="77777777" w:rsidR="008B4B2B" w:rsidRPr="001D6D10" w:rsidRDefault="008B4B2B" w:rsidP="008B4B2B">
      <w:pPr>
        <w:rPr>
          <w:rFonts w:ascii="ＭＳ 明朝" w:hAnsi="ＭＳ 明朝"/>
          <w:sz w:val="22"/>
          <w:szCs w:val="22"/>
        </w:rPr>
      </w:pPr>
      <w:r w:rsidRPr="001D6D10">
        <w:rPr>
          <w:rFonts w:ascii="ＭＳ 明朝" w:hAnsi="ＭＳ 明朝" w:hint="eastAsia"/>
          <w:sz w:val="22"/>
          <w:szCs w:val="22"/>
        </w:rPr>
        <w:t xml:space="preserve">　　　　　②　職員の相互応援</w:t>
      </w:r>
    </w:p>
    <w:p w14:paraId="1C217015" w14:textId="77777777" w:rsidR="008B4B2B" w:rsidRPr="001D6D10" w:rsidRDefault="008B4B2B" w:rsidP="008B4B2B">
      <w:pPr>
        <w:ind w:left="1327" w:hangingChars="600" w:hanging="1327"/>
        <w:rPr>
          <w:rFonts w:ascii="ＭＳ 明朝" w:hAnsi="ＭＳ 明朝"/>
          <w:sz w:val="22"/>
          <w:szCs w:val="22"/>
        </w:rPr>
      </w:pPr>
      <w:r w:rsidRPr="001D6D10">
        <w:rPr>
          <w:rFonts w:ascii="ＭＳ 明朝" w:hAnsi="ＭＳ 明朝" w:hint="eastAsia"/>
          <w:sz w:val="22"/>
          <w:szCs w:val="22"/>
        </w:rPr>
        <w:t xml:space="preserve">　　　　　　　</w:t>
      </w:r>
      <w:r w:rsidRPr="001D6D10">
        <w:rPr>
          <w:rFonts w:hint="eastAsia"/>
          <w:sz w:val="22"/>
          <w:szCs w:val="22"/>
        </w:rPr>
        <w:t>地域防災監は、必要に応じて、他の出先機関等の長に対して、職員の応援派遣を要請することができる。</w:t>
      </w:r>
    </w:p>
    <w:p w14:paraId="49D5A19B" w14:textId="77777777" w:rsidR="008B4B2B" w:rsidRPr="001D6D10" w:rsidRDefault="008B4B2B" w:rsidP="008B4B2B">
      <w:pPr>
        <w:pStyle w:val="a0"/>
        <w:ind w:left="1327" w:hangingChars="600" w:hanging="1327"/>
        <w:rPr>
          <w:sz w:val="22"/>
          <w:szCs w:val="22"/>
        </w:rPr>
      </w:pPr>
      <w:r w:rsidRPr="001D6D10">
        <w:rPr>
          <w:rFonts w:hint="eastAsia"/>
          <w:sz w:val="22"/>
          <w:szCs w:val="22"/>
        </w:rPr>
        <w:t xml:space="preserve">　　　　　　　この応援派遣の要請を受けた出先機関等の長は、配備職員の範囲内で出来る限り応援しなければならない。</w:t>
      </w:r>
    </w:p>
    <w:p w14:paraId="23A59831" w14:textId="77777777" w:rsidR="008B4B2B" w:rsidRPr="001D6D10" w:rsidRDefault="008B4B2B" w:rsidP="008B4B2B">
      <w:pPr>
        <w:pStyle w:val="a0"/>
        <w:ind w:left="1327" w:hangingChars="600" w:hanging="1327"/>
        <w:rPr>
          <w:sz w:val="22"/>
          <w:szCs w:val="22"/>
        </w:rPr>
      </w:pPr>
    </w:p>
    <w:p w14:paraId="22CC6452" w14:textId="77777777" w:rsidR="008B4B2B" w:rsidRPr="001D6D10" w:rsidRDefault="008B4B2B" w:rsidP="008B4B2B">
      <w:pPr>
        <w:pStyle w:val="a0"/>
        <w:ind w:leftChars="425" w:left="1282" w:hangingChars="174" w:hanging="385"/>
        <w:rPr>
          <w:sz w:val="22"/>
          <w:szCs w:val="22"/>
        </w:rPr>
      </w:pPr>
      <w:r w:rsidRPr="001D6D10">
        <w:rPr>
          <w:rFonts w:hint="eastAsia"/>
          <w:sz w:val="22"/>
          <w:szCs w:val="22"/>
        </w:rPr>
        <w:t>(2)　出先機関等の長の事務分掌</w:t>
      </w:r>
    </w:p>
    <w:p w14:paraId="1631736F" w14:textId="77777777" w:rsidR="008B4B2B" w:rsidRPr="001D6D10" w:rsidRDefault="008B4B2B" w:rsidP="008B4B2B">
      <w:pPr>
        <w:pStyle w:val="a0"/>
        <w:ind w:left="1327" w:hangingChars="600" w:hanging="1327"/>
        <w:rPr>
          <w:sz w:val="22"/>
          <w:szCs w:val="22"/>
        </w:rPr>
      </w:pPr>
      <w:r w:rsidRPr="001D6D10">
        <w:rPr>
          <w:rFonts w:hint="eastAsia"/>
          <w:sz w:val="22"/>
          <w:szCs w:val="22"/>
        </w:rPr>
        <w:t xml:space="preserve">　　　　　 　出先機関等の長の事務分掌は、次のとおりとする。</w:t>
      </w:r>
    </w:p>
    <w:tbl>
      <w:tblPr>
        <w:tblpPr w:leftFromText="142" w:rightFromText="142" w:vertAnchor="text" w:tblpXSpec="center" w:tblpY="1"/>
        <w:tblOverlap w:val="never"/>
        <w:tblW w:w="921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119"/>
        <w:gridCol w:w="6095"/>
      </w:tblGrid>
      <w:tr w:rsidR="001D6D10" w:rsidRPr="00E0548A" w14:paraId="579BCE64" w14:textId="77777777" w:rsidTr="008B4B2B">
        <w:trPr>
          <w:jc w:val="center"/>
        </w:trPr>
        <w:tc>
          <w:tcPr>
            <w:tcW w:w="3119" w:type="dxa"/>
            <w:shd w:val="clear" w:color="auto" w:fill="F2F2F2"/>
          </w:tcPr>
          <w:p w14:paraId="02263468" w14:textId="77777777" w:rsidR="008B4B2B" w:rsidRPr="00E0548A" w:rsidRDefault="008B4B2B" w:rsidP="008B4B2B">
            <w:pPr>
              <w:pStyle w:val="a0"/>
              <w:jc w:val="center"/>
              <w:rPr>
                <w:sz w:val="22"/>
                <w:szCs w:val="22"/>
              </w:rPr>
            </w:pPr>
            <w:r w:rsidRPr="00E0548A">
              <w:rPr>
                <w:rFonts w:hint="eastAsia"/>
                <w:sz w:val="22"/>
                <w:szCs w:val="22"/>
              </w:rPr>
              <w:t>出先機関等の長</w:t>
            </w:r>
          </w:p>
        </w:tc>
        <w:tc>
          <w:tcPr>
            <w:tcW w:w="6095" w:type="dxa"/>
            <w:shd w:val="clear" w:color="auto" w:fill="F2F2F2"/>
          </w:tcPr>
          <w:p w14:paraId="0EB52D69" w14:textId="77777777" w:rsidR="008B4B2B" w:rsidRPr="00E0548A" w:rsidRDefault="008B4B2B" w:rsidP="008B4B2B">
            <w:pPr>
              <w:pStyle w:val="a0"/>
              <w:jc w:val="center"/>
              <w:rPr>
                <w:sz w:val="22"/>
                <w:szCs w:val="22"/>
              </w:rPr>
            </w:pPr>
            <w:r w:rsidRPr="00E0548A">
              <w:rPr>
                <w:rFonts w:hint="eastAsia"/>
                <w:sz w:val="22"/>
                <w:szCs w:val="22"/>
              </w:rPr>
              <w:t>事　務　分　掌</w:t>
            </w:r>
          </w:p>
        </w:tc>
      </w:tr>
      <w:tr w:rsidR="001D6D10" w:rsidRPr="00E0548A" w14:paraId="504E963F" w14:textId="77777777" w:rsidTr="008B4B2B">
        <w:trPr>
          <w:jc w:val="center"/>
        </w:trPr>
        <w:tc>
          <w:tcPr>
            <w:tcW w:w="3119" w:type="dxa"/>
          </w:tcPr>
          <w:p w14:paraId="0F49BA7B" w14:textId="77777777" w:rsidR="008B4B2B" w:rsidRPr="00E0548A" w:rsidRDefault="008B4B2B" w:rsidP="008B4B2B">
            <w:pPr>
              <w:pStyle w:val="a0"/>
              <w:rPr>
                <w:sz w:val="22"/>
                <w:szCs w:val="22"/>
              </w:rPr>
            </w:pPr>
            <w:r w:rsidRPr="00E0548A">
              <w:rPr>
                <w:rFonts w:hAnsi="ＭＳ 明朝" w:hint="eastAsia"/>
              </w:rPr>
              <w:t>地域防災監</w:t>
            </w:r>
          </w:p>
        </w:tc>
        <w:tc>
          <w:tcPr>
            <w:tcW w:w="6095" w:type="dxa"/>
          </w:tcPr>
          <w:p w14:paraId="1A83C698" w14:textId="77777777" w:rsidR="008B4B2B" w:rsidRPr="00E0548A" w:rsidRDefault="008B4B2B" w:rsidP="008B4B2B">
            <w:pPr>
              <w:pStyle w:val="ad"/>
              <w:overflowPunct w:val="0"/>
              <w:spacing w:line="240" w:lineRule="auto"/>
              <w:rPr>
                <w:rFonts w:ascii="ＭＳ 明朝" w:hAnsi="ＭＳ 明朝"/>
              </w:rPr>
            </w:pPr>
            <w:r w:rsidRPr="00E0548A">
              <w:rPr>
                <w:rFonts w:ascii="ＭＳ 明朝" w:hAnsi="ＭＳ 明朝" w:hint="eastAsia"/>
              </w:rPr>
              <w:t>１ 管内の原因情報、被害情報、対策情報の収集及び報告</w:t>
            </w:r>
          </w:p>
          <w:p w14:paraId="4C667AC0" w14:textId="05C71EAD" w:rsidR="008B4B2B" w:rsidRPr="00E0548A" w:rsidRDefault="008B4B2B" w:rsidP="00E0548A">
            <w:pPr>
              <w:pStyle w:val="ad"/>
              <w:overflowPunct w:val="0"/>
              <w:spacing w:line="240" w:lineRule="auto"/>
              <w:ind w:left="221" w:hangingChars="100" w:hanging="221"/>
              <w:rPr>
                <w:rFonts w:ascii="ＭＳ 明朝" w:hAnsi="ＭＳ 明朝"/>
              </w:rPr>
            </w:pPr>
            <w:r w:rsidRPr="00E0548A">
              <w:rPr>
                <w:rFonts w:ascii="ＭＳ 明朝" w:hAnsi="ＭＳ 明朝" w:hint="eastAsia"/>
              </w:rPr>
              <w:t xml:space="preserve">２ </w:t>
            </w:r>
            <w:r w:rsidR="00AB6FBD" w:rsidRPr="00E0548A">
              <w:rPr>
                <w:rFonts w:ascii="ＭＳ 明朝" w:hAnsi="ＭＳ 明朝" w:hint="eastAsia"/>
              </w:rPr>
              <w:t>大阪府</w:t>
            </w:r>
            <w:r w:rsidRPr="00E0548A">
              <w:rPr>
                <w:rFonts w:ascii="ＭＳ 明朝" w:hAnsi="ＭＳ 明朝" w:hint="eastAsia"/>
              </w:rPr>
              <w:t>防災情報システムの運用による管内市町村の状況把握</w:t>
            </w:r>
          </w:p>
          <w:p w14:paraId="1280072C" w14:textId="77777777" w:rsidR="008B4B2B" w:rsidRPr="00E0548A" w:rsidRDefault="008B4B2B" w:rsidP="008B4B2B">
            <w:pPr>
              <w:pStyle w:val="ad"/>
              <w:overflowPunct w:val="0"/>
              <w:spacing w:line="240" w:lineRule="auto"/>
            </w:pPr>
            <w:r w:rsidRPr="00E0548A">
              <w:rPr>
                <w:rFonts w:hint="eastAsia"/>
              </w:rPr>
              <w:t>３</w:t>
            </w:r>
            <w:r w:rsidRPr="00E0548A">
              <w:rPr>
                <w:rFonts w:hint="eastAsia"/>
              </w:rPr>
              <w:t xml:space="preserve"> </w:t>
            </w:r>
            <w:r w:rsidRPr="00E0548A">
              <w:rPr>
                <w:rFonts w:hint="eastAsia"/>
              </w:rPr>
              <w:t>防災行政無線の事前点検及び運用</w:t>
            </w:r>
          </w:p>
          <w:p w14:paraId="549FDA48" w14:textId="77777777" w:rsidR="008B4B2B" w:rsidRPr="00E0548A" w:rsidRDefault="008B4B2B" w:rsidP="008B4B2B">
            <w:pPr>
              <w:pStyle w:val="ad"/>
              <w:overflowPunct w:val="0"/>
              <w:spacing w:line="240" w:lineRule="auto"/>
              <w:rPr>
                <w:rFonts w:ascii="ＭＳ 明朝" w:hAnsi="ＭＳ 明朝"/>
              </w:rPr>
            </w:pPr>
            <w:r w:rsidRPr="00E0548A">
              <w:rPr>
                <w:rFonts w:ascii="ＭＳ 明朝" w:hAnsi="ＭＳ 明朝" w:hint="eastAsia"/>
              </w:rPr>
              <w:t>４ 有線電話途絶時における非常通信による通信の確保</w:t>
            </w:r>
          </w:p>
          <w:p w14:paraId="1385D7F2" w14:textId="77777777" w:rsidR="008B4B2B" w:rsidRPr="00E0548A" w:rsidRDefault="008B4B2B" w:rsidP="008B4B2B">
            <w:pPr>
              <w:pStyle w:val="ad"/>
              <w:overflowPunct w:val="0"/>
              <w:spacing w:line="240" w:lineRule="auto"/>
              <w:rPr>
                <w:rFonts w:ascii="ＭＳ 明朝" w:hAnsi="ＭＳ 明朝"/>
              </w:rPr>
            </w:pPr>
            <w:r w:rsidRPr="00E0548A">
              <w:rPr>
                <w:rFonts w:ascii="ＭＳ 明朝" w:hAnsi="ＭＳ 明朝" w:hint="eastAsia"/>
              </w:rPr>
              <w:t>５ 災害対策課長との協議による災害用備蓄物資の出庫</w:t>
            </w:r>
          </w:p>
          <w:p w14:paraId="10BA25F3" w14:textId="77777777" w:rsidR="008B4B2B" w:rsidRPr="00E0548A" w:rsidRDefault="008B4B2B" w:rsidP="008B4B2B">
            <w:pPr>
              <w:pStyle w:val="ad"/>
              <w:overflowPunct w:val="0"/>
              <w:spacing w:line="240" w:lineRule="auto"/>
              <w:rPr>
                <w:rFonts w:ascii="ＭＳ 明朝" w:hAnsi="ＭＳ 明朝"/>
              </w:rPr>
            </w:pPr>
            <w:r w:rsidRPr="00E0548A">
              <w:rPr>
                <w:rFonts w:ascii="ＭＳ 明朝" w:hAnsi="ＭＳ 明朝" w:hint="eastAsia"/>
              </w:rPr>
              <w:t>６ 現地災害対策本部に係る活動</w:t>
            </w:r>
          </w:p>
        </w:tc>
      </w:tr>
      <w:tr w:rsidR="001D6D10" w:rsidRPr="00E0548A" w14:paraId="652828BD" w14:textId="77777777" w:rsidTr="008B4B2B">
        <w:trPr>
          <w:jc w:val="center"/>
        </w:trPr>
        <w:tc>
          <w:tcPr>
            <w:tcW w:w="3119" w:type="dxa"/>
          </w:tcPr>
          <w:p w14:paraId="71E6C6DA" w14:textId="77777777" w:rsidR="008B4B2B" w:rsidRPr="00E0548A" w:rsidRDefault="008B4B2B" w:rsidP="008B4B2B">
            <w:pPr>
              <w:pStyle w:val="a0"/>
              <w:rPr>
                <w:rFonts w:hAnsi="ＭＳ 明朝"/>
              </w:rPr>
            </w:pPr>
            <w:r w:rsidRPr="00E0548A">
              <w:rPr>
                <w:rFonts w:hAnsi="ＭＳ 明朝" w:hint="eastAsia"/>
              </w:rPr>
              <w:t>土木事務所長、治水事務所長、工営所長、</w:t>
            </w:r>
          </w:p>
          <w:p w14:paraId="3D677C7A" w14:textId="77777777" w:rsidR="008B4B2B" w:rsidRPr="00E0548A" w:rsidRDefault="008B4B2B" w:rsidP="008B4B2B">
            <w:pPr>
              <w:pStyle w:val="a0"/>
              <w:rPr>
                <w:sz w:val="22"/>
                <w:szCs w:val="22"/>
              </w:rPr>
            </w:pPr>
            <w:r w:rsidRPr="00E0548A">
              <w:rPr>
                <w:rFonts w:hAnsi="ＭＳ 明朝" w:hint="eastAsia"/>
              </w:rPr>
              <w:t>農と緑の総合事務所長</w:t>
            </w:r>
          </w:p>
        </w:tc>
        <w:tc>
          <w:tcPr>
            <w:tcW w:w="6095" w:type="dxa"/>
          </w:tcPr>
          <w:p w14:paraId="461F21B9" w14:textId="77777777" w:rsidR="008B4B2B" w:rsidRPr="00E0548A" w:rsidRDefault="008B4B2B" w:rsidP="008B4B2B">
            <w:pPr>
              <w:pStyle w:val="ad"/>
              <w:overflowPunct w:val="0"/>
              <w:spacing w:line="240" w:lineRule="auto"/>
              <w:rPr>
                <w:rFonts w:ascii="ＭＳ 明朝" w:hAnsi="ＭＳ 明朝"/>
              </w:rPr>
            </w:pPr>
            <w:r w:rsidRPr="00E0548A">
              <w:rPr>
                <w:rFonts w:ascii="ＭＳ 明朝" w:hAnsi="ＭＳ 明朝" w:hint="eastAsia"/>
              </w:rPr>
              <w:t>１ 防災計画に定められている措置</w:t>
            </w:r>
          </w:p>
          <w:p w14:paraId="335D8209" w14:textId="77777777" w:rsidR="008B4B2B" w:rsidRPr="00E0548A" w:rsidRDefault="008B4B2B" w:rsidP="008B4B2B">
            <w:pPr>
              <w:pStyle w:val="ad"/>
              <w:overflowPunct w:val="0"/>
              <w:spacing w:line="240" w:lineRule="auto"/>
              <w:rPr>
                <w:rFonts w:ascii="ＭＳ 明朝" w:hAnsi="ＭＳ 明朝"/>
              </w:rPr>
            </w:pPr>
            <w:r w:rsidRPr="00E0548A">
              <w:rPr>
                <w:rFonts w:ascii="ＭＳ 明朝" w:hAnsi="ＭＳ 明朝" w:hint="eastAsia"/>
              </w:rPr>
              <w:t>２ 無線付自動車の応援派遣、地域防災監との相互連絡</w:t>
            </w:r>
          </w:p>
          <w:p w14:paraId="25526638" w14:textId="77777777" w:rsidR="008B4B2B" w:rsidRPr="00E0548A" w:rsidRDefault="008B4B2B" w:rsidP="008B4B2B">
            <w:pPr>
              <w:pStyle w:val="ad"/>
              <w:overflowPunct w:val="0"/>
              <w:spacing w:line="240" w:lineRule="auto"/>
              <w:rPr>
                <w:rFonts w:ascii="ＭＳ 明朝" w:hAnsi="ＭＳ 明朝"/>
              </w:rPr>
            </w:pPr>
            <w:r w:rsidRPr="00E0548A">
              <w:rPr>
                <w:rFonts w:hint="eastAsia"/>
              </w:rPr>
              <w:t>３</w:t>
            </w:r>
            <w:r w:rsidRPr="00E0548A">
              <w:rPr>
                <w:rFonts w:hint="eastAsia"/>
              </w:rPr>
              <w:t xml:space="preserve"> </w:t>
            </w:r>
            <w:r w:rsidRPr="00E0548A">
              <w:rPr>
                <w:rFonts w:hint="eastAsia"/>
              </w:rPr>
              <w:t>現地災害対策本部に係る活動</w:t>
            </w:r>
          </w:p>
        </w:tc>
      </w:tr>
      <w:tr w:rsidR="001D6D10" w:rsidRPr="00E0548A" w14:paraId="33137C89" w14:textId="77777777" w:rsidTr="008B4B2B">
        <w:trPr>
          <w:trHeight w:val="330"/>
          <w:jc w:val="center"/>
        </w:trPr>
        <w:tc>
          <w:tcPr>
            <w:tcW w:w="3119" w:type="dxa"/>
          </w:tcPr>
          <w:p w14:paraId="50AFD5EB" w14:textId="77777777" w:rsidR="008B4B2B" w:rsidRPr="00E0548A" w:rsidRDefault="008B4B2B" w:rsidP="008B4B2B">
            <w:pPr>
              <w:pStyle w:val="ad"/>
              <w:overflowPunct w:val="0"/>
              <w:spacing w:line="240" w:lineRule="auto"/>
              <w:rPr>
                <w:rFonts w:ascii="ＭＳ 明朝" w:hAnsi="ＭＳ 明朝"/>
              </w:rPr>
            </w:pPr>
            <w:r w:rsidRPr="00E0548A">
              <w:rPr>
                <w:rFonts w:hint="eastAsia"/>
              </w:rPr>
              <w:t>後方支援活動拠点又は広域避難地に指定された府営公園を所管する土木事務所長等</w:t>
            </w:r>
          </w:p>
        </w:tc>
        <w:tc>
          <w:tcPr>
            <w:tcW w:w="6095" w:type="dxa"/>
          </w:tcPr>
          <w:p w14:paraId="04AE6A7F" w14:textId="77777777" w:rsidR="008B4B2B" w:rsidRPr="00E0548A" w:rsidRDefault="008B4B2B" w:rsidP="008B4B2B">
            <w:pPr>
              <w:pStyle w:val="ad"/>
              <w:overflowPunct w:val="0"/>
              <w:spacing w:line="240" w:lineRule="auto"/>
              <w:rPr>
                <w:rFonts w:ascii="ＭＳ 明朝" w:hAnsi="ＭＳ 明朝"/>
              </w:rPr>
            </w:pPr>
            <w:r w:rsidRPr="00E0548A">
              <w:rPr>
                <w:rFonts w:ascii="ＭＳ 明朝" w:hAnsi="ＭＳ 明朝" w:hint="eastAsia"/>
              </w:rPr>
              <w:t>１ 後方支援活動拠点として、広域応援等の受入れ支援</w:t>
            </w:r>
          </w:p>
          <w:p w14:paraId="3238409C" w14:textId="77777777" w:rsidR="008B4B2B" w:rsidRPr="00E0548A" w:rsidRDefault="008B4B2B" w:rsidP="008B4B2B">
            <w:pPr>
              <w:pStyle w:val="ad"/>
              <w:overflowPunct w:val="0"/>
              <w:spacing w:line="240" w:lineRule="auto"/>
              <w:ind w:left="111" w:hangingChars="50" w:hanging="111"/>
              <w:rPr>
                <w:rFonts w:ascii="ＭＳ 明朝" w:hAnsi="ＭＳ 明朝"/>
              </w:rPr>
            </w:pPr>
            <w:r w:rsidRPr="00E0548A">
              <w:rPr>
                <w:rFonts w:hint="eastAsia"/>
              </w:rPr>
              <w:t>２</w:t>
            </w:r>
            <w:r w:rsidRPr="00E0548A">
              <w:rPr>
                <w:rFonts w:hint="eastAsia"/>
              </w:rPr>
              <w:t xml:space="preserve"> </w:t>
            </w:r>
            <w:r w:rsidRPr="00E0548A">
              <w:rPr>
                <w:rFonts w:hint="eastAsia"/>
              </w:rPr>
              <w:t>広域避難地として、避難の指示に基づく避難者の受入れ支援</w:t>
            </w:r>
          </w:p>
        </w:tc>
      </w:tr>
      <w:tr w:rsidR="001D6D10" w:rsidRPr="001D6D10" w14:paraId="365CBF9C" w14:textId="77777777" w:rsidTr="008B4B2B">
        <w:trPr>
          <w:trHeight w:val="70"/>
          <w:jc w:val="center"/>
        </w:trPr>
        <w:tc>
          <w:tcPr>
            <w:tcW w:w="3119" w:type="dxa"/>
          </w:tcPr>
          <w:p w14:paraId="0D9D61C6" w14:textId="77777777" w:rsidR="008B4B2B" w:rsidRPr="00E0548A" w:rsidRDefault="008B4B2B" w:rsidP="008B4B2B">
            <w:pPr>
              <w:pStyle w:val="a0"/>
              <w:rPr>
                <w:sz w:val="22"/>
                <w:szCs w:val="22"/>
              </w:rPr>
            </w:pPr>
            <w:r w:rsidRPr="00E0548A">
              <w:rPr>
                <w:rFonts w:hAnsi="ＭＳ 明朝" w:hint="eastAsia"/>
              </w:rPr>
              <w:t>その他の出先機関等の長</w:t>
            </w:r>
          </w:p>
        </w:tc>
        <w:tc>
          <w:tcPr>
            <w:tcW w:w="6095" w:type="dxa"/>
          </w:tcPr>
          <w:p w14:paraId="69BC9FC6" w14:textId="77777777" w:rsidR="008B4B2B" w:rsidRPr="00E0548A" w:rsidRDefault="008B4B2B" w:rsidP="000B0AA8">
            <w:pPr>
              <w:pStyle w:val="ad"/>
              <w:overflowPunct w:val="0"/>
              <w:spacing w:line="240" w:lineRule="auto"/>
              <w:ind w:left="111" w:hangingChars="50" w:hanging="111"/>
              <w:rPr>
                <w:rFonts w:ascii="ＭＳ 明朝" w:hAnsi="ＭＳ 明朝"/>
              </w:rPr>
            </w:pPr>
            <w:r w:rsidRPr="00E0548A">
              <w:rPr>
                <w:rFonts w:ascii="ＭＳ 明朝" w:hAnsi="ＭＳ 明朝" w:hint="eastAsia"/>
              </w:rPr>
              <w:t>１ 各機関の所掌事務を処理するとともに、必要な措置を</w:t>
            </w:r>
            <w:r w:rsidRPr="00E0548A">
              <w:rPr>
                <w:rFonts w:ascii="ＭＳ 明朝" w:hAnsi="ＭＳ 明朝"/>
              </w:rPr>
              <w:br/>
            </w:r>
            <w:r w:rsidRPr="00E0548A">
              <w:rPr>
                <w:rFonts w:ascii="ＭＳ 明朝" w:hAnsi="ＭＳ 明朝" w:hint="eastAsia"/>
              </w:rPr>
              <w:t>とるものとする。なお、公用自動車を保有する各出先機関等の長は、地域防災監から管内の情報収集活動等のために公用自動車を使用したい旨の要請を受けたときは、自動車の応援派遣を行う。</w:t>
            </w:r>
          </w:p>
          <w:p w14:paraId="044A6DA3" w14:textId="77777777" w:rsidR="008B4B2B" w:rsidRPr="001D6D10" w:rsidRDefault="008B4B2B" w:rsidP="000B0AA8">
            <w:pPr>
              <w:pStyle w:val="ad"/>
              <w:overflowPunct w:val="0"/>
              <w:spacing w:line="240" w:lineRule="auto"/>
              <w:ind w:left="111" w:hangingChars="50" w:hanging="111"/>
            </w:pPr>
            <w:r w:rsidRPr="00E0548A">
              <w:rPr>
                <w:rFonts w:hint="eastAsia"/>
              </w:rPr>
              <w:t>２</w:t>
            </w:r>
            <w:r w:rsidRPr="00E0548A">
              <w:rPr>
                <w:rFonts w:hint="eastAsia"/>
              </w:rPr>
              <w:t xml:space="preserve"> </w:t>
            </w:r>
            <w:r w:rsidRPr="00E0548A">
              <w:rPr>
                <w:rFonts w:hint="eastAsia"/>
              </w:rPr>
              <w:t>また、勤務時間外においても、地域防災監が公用自動車を使用できるよう、公用自動車を保有する各事務所等の長は、自動車の所在等を地域防災監に予め報告しておく。</w:t>
            </w:r>
          </w:p>
        </w:tc>
      </w:tr>
    </w:tbl>
    <w:p w14:paraId="347EE414" w14:textId="77777777" w:rsidR="008B4B2B" w:rsidRPr="001D6D10" w:rsidRDefault="008B4B2B" w:rsidP="00E0548A">
      <w:pPr>
        <w:pStyle w:val="3"/>
        <w:ind w:firstLineChars="0" w:firstLine="0"/>
      </w:pPr>
      <w:bookmarkStart w:id="135" w:name="_Toc122436894"/>
      <w:bookmarkStart w:id="136" w:name="_Toc222486577"/>
      <w:bookmarkStart w:id="137" w:name="_Toc242870247"/>
      <w:r w:rsidRPr="001D6D10">
        <w:rPr>
          <w:rFonts w:hint="eastAsia"/>
        </w:rPr>
        <w:lastRenderedPageBreak/>
        <w:t>第２　動員配備体制</w:t>
      </w:r>
      <w:bookmarkEnd w:id="135"/>
      <w:bookmarkEnd w:id="136"/>
      <w:bookmarkEnd w:id="137"/>
    </w:p>
    <w:p w14:paraId="0300955C" w14:textId="77777777" w:rsidR="008B4B2B" w:rsidRPr="001D6D10" w:rsidRDefault="008B4B2B" w:rsidP="008B4B2B">
      <w:pPr>
        <w:ind w:firstLineChars="500" w:firstLine="1105"/>
        <w:rPr>
          <w:rFonts w:ascii="ＭＳ ゴシック" w:eastAsia="ＭＳ ゴシック" w:hAnsi="ＭＳ ゴシック"/>
          <w:sz w:val="22"/>
          <w:szCs w:val="22"/>
          <w:bdr w:val="single" w:sz="4" w:space="0" w:color="auto"/>
        </w:rPr>
      </w:pPr>
      <w:r w:rsidRPr="001D6D10">
        <w:rPr>
          <w:rFonts w:ascii="ＭＳ ゴシック" w:eastAsia="ＭＳ ゴシック" w:hAnsi="ＭＳ ゴシック" w:hint="eastAsia"/>
          <w:sz w:val="22"/>
          <w:szCs w:val="22"/>
          <w:bdr w:val="single" w:sz="4" w:space="0" w:color="auto"/>
        </w:rPr>
        <w:t>主たる担当：危機管理室、秘書課、人事課、関係室・課：全部局室・課</w:t>
      </w:r>
    </w:p>
    <w:p w14:paraId="486E8AFA" w14:textId="77777777" w:rsidR="008B4B2B" w:rsidRPr="001D6D10" w:rsidRDefault="008B4B2B" w:rsidP="001F5965">
      <w:pPr>
        <w:pStyle w:val="ad"/>
        <w:overflowPunct w:val="0"/>
        <w:spacing w:line="240" w:lineRule="auto"/>
        <w:ind w:firstLineChars="300" w:firstLine="663"/>
        <w:outlineLvl w:val="3"/>
        <w:rPr>
          <w:rFonts w:ascii="ＭＳ ゴシック" w:eastAsia="ＭＳ ゴシック" w:hAnsi="ＭＳ ゴシック"/>
          <w:u w:val="single"/>
        </w:rPr>
      </w:pPr>
      <w:bookmarkStart w:id="138" w:name="_Toc122436895"/>
      <w:bookmarkStart w:id="139" w:name="_Toc222486578"/>
      <w:bookmarkStart w:id="140" w:name="_Toc242870248"/>
      <w:r w:rsidRPr="001D6D10">
        <w:rPr>
          <w:rFonts w:ascii="ＭＳ ゴシック" w:eastAsia="ＭＳ ゴシック" w:hAnsi="ＭＳ ゴシック" w:hint="eastAsia"/>
          <w:u w:val="single"/>
        </w:rPr>
        <w:t>１　知事等の緊急登庁</w:t>
      </w:r>
      <w:bookmarkEnd w:id="138"/>
      <w:bookmarkEnd w:id="139"/>
      <w:bookmarkEnd w:id="140"/>
    </w:p>
    <w:p w14:paraId="53D682E2" w14:textId="77777777" w:rsidR="008B4B2B" w:rsidRPr="001D6D10" w:rsidRDefault="008B4B2B" w:rsidP="008B4B2B">
      <w:pPr>
        <w:pStyle w:val="ad"/>
        <w:overflowPunct w:val="0"/>
        <w:spacing w:line="240" w:lineRule="auto"/>
        <w:ind w:firstLineChars="400" w:firstLine="884"/>
        <w:rPr>
          <w:rFonts w:ascii="ＭＳ 明朝" w:hAnsi="ＭＳ 明朝"/>
        </w:rPr>
      </w:pPr>
      <w:r w:rsidRPr="001D6D10">
        <w:rPr>
          <w:rFonts w:ascii="ＭＳ 明朝" w:hAnsi="ＭＳ 明朝" w:hint="eastAsia"/>
        </w:rPr>
        <w:t>(1)　知　事</w:t>
      </w:r>
    </w:p>
    <w:p w14:paraId="6767FA08" w14:textId="77777777" w:rsidR="008B4B2B" w:rsidRPr="001D6D10" w:rsidRDefault="008B4B2B" w:rsidP="008B4B2B">
      <w:pPr>
        <w:pStyle w:val="ad"/>
        <w:overflowPunct w:val="0"/>
        <w:spacing w:line="240" w:lineRule="auto"/>
        <w:ind w:leftChars="580" w:left="1224" w:firstLineChars="100" w:firstLine="221"/>
        <w:rPr>
          <w:rFonts w:ascii="ＭＳ 明朝" w:hAnsi="ＭＳ 明朝"/>
        </w:rPr>
      </w:pPr>
      <w:r w:rsidRPr="001D6D10">
        <w:rPr>
          <w:rFonts w:ascii="ＭＳ 明朝" w:hAnsi="ＭＳ 明朝" w:hint="eastAsia"/>
        </w:rPr>
        <w:t>秘書課長は、本庁舎以外の場所にいる知事が公用車等によっては迅速に登庁できないと認めたときは、災害対策課長に搬送を要請する。</w:t>
      </w:r>
    </w:p>
    <w:p w14:paraId="1AEFEE42" w14:textId="77777777" w:rsidR="008B4B2B" w:rsidRPr="001D6D10" w:rsidRDefault="008B4B2B" w:rsidP="008B4B2B">
      <w:pPr>
        <w:pStyle w:val="ad"/>
        <w:overflowPunct w:val="0"/>
        <w:spacing w:line="240" w:lineRule="auto"/>
        <w:ind w:leftChars="580" w:left="1224" w:firstLineChars="100" w:firstLine="221"/>
        <w:rPr>
          <w:rFonts w:ascii="ＭＳ 明朝" w:hAnsi="ＭＳ 明朝"/>
        </w:rPr>
      </w:pPr>
      <w:r w:rsidRPr="001D6D10">
        <w:rPr>
          <w:rFonts w:ascii="ＭＳ 明朝" w:hAnsi="ＭＳ 明朝" w:hint="eastAsia"/>
        </w:rPr>
        <w:t>災害対策課長はその要請に応じて府警本部に対し、搬送の協力を依頼する。</w:t>
      </w:r>
    </w:p>
    <w:p w14:paraId="01941C4B" w14:textId="77777777" w:rsidR="008B4B2B" w:rsidRPr="001D6D10" w:rsidRDefault="008B4B2B" w:rsidP="008B4B2B">
      <w:pPr>
        <w:pStyle w:val="ad"/>
        <w:overflowPunct w:val="0"/>
        <w:spacing w:line="240" w:lineRule="auto"/>
        <w:ind w:firstLineChars="400" w:firstLine="884"/>
        <w:rPr>
          <w:rFonts w:ascii="ＭＳ 明朝" w:hAnsi="ＭＳ 明朝"/>
        </w:rPr>
      </w:pPr>
      <w:r w:rsidRPr="001D6D10">
        <w:rPr>
          <w:rFonts w:ascii="ＭＳ 明朝" w:hAnsi="ＭＳ 明朝" w:hint="eastAsia"/>
        </w:rPr>
        <w:t>(2)　災対本部員・指令部員等</w:t>
      </w:r>
    </w:p>
    <w:p w14:paraId="2A0E1335" w14:textId="77777777" w:rsidR="008B4B2B" w:rsidRPr="001D6D10" w:rsidRDefault="008B4B2B" w:rsidP="008B4B2B">
      <w:pPr>
        <w:pStyle w:val="ad"/>
        <w:overflowPunct w:val="0"/>
        <w:spacing w:line="240" w:lineRule="auto"/>
        <w:ind w:leftChars="570" w:left="1203" w:firstLineChars="100" w:firstLine="221"/>
        <w:rPr>
          <w:rFonts w:ascii="ＭＳ 明朝" w:hAnsi="ＭＳ 明朝"/>
        </w:rPr>
      </w:pPr>
      <w:r w:rsidRPr="001D6D10">
        <w:rPr>
          <w:rFonts w:ascii="ＭＳ 明朝" w:hAnsi="ＭＳ 明朝" w:hint="eastAsia"/>
        </w:rPr>
        <w:t>本庁舎以外の場所にいる災対本部員・指令部員等は、府域において震度５弱以上の震度を観測したとき、又は災害等発生の情報を入手し、重大な人的、物的被害の発生を認めたときは、自宅又は災害対策要員公舎（本庁舎から徒歩30分圏内）などから、直ちに登庁する。</w:t>
      </w:r>
    </w:p>
    <w:p w14:paraId="7903A74D" w14:textId="77777777" w:rsidR="008B4B2B" w:rsidRPr="001D6D10" w:rsidRDefault="008B4B2B" w:rsidP="008B4B2B">
      <w:pPr>
        <w:pStyle w:val="ad"/>
        <w:overflowPunct w:val="0"/>
        <w:spacing w:line="240" w:lineRule="auto"/>
        <w:ind w:firstLineChars="300" w:firstLine="663"/>
        <w:rPr>
          <w:rFonts w:ascii="ＭＳ ゴシック" w:eastAsia="ＭＳ ゴシック" w:hAnsi="ＭＳ ゴシック"/>
        </w:rPr>
      </w:pPr>
    </w:p>
    <w:p w14:paraId="1C363284" w14:textId="77777777" w:rsidR="008B4B2B" w:rsidRPr="001D6D10" w:rsidRDefault="008B4B2B" w:rsidP="001F5965">
      <w:pPr>
        <w:pStyle w:val="ad"/>
        <w:overflowPunct w:val="0"/>
        <w:spacing w:line="240" w:lineRule="auto"/>
        <w:ind w:firstLineChars="300" w:firstLine="663"/>
        <w:outlineLvl w:val="3"/>
        <w:rPr>
          <w:rFonts w:ascii="ＭＳ ゴシック" w:eastAsia="ＭＳ ゴシック" w:hAnsi="ＭＳ ゴシック"/>
          <w:u w:val="single"/>
        </w:rPr>
      </w:pPr>
      <w:bookmarkStart w:id="141" w:name="_Toc122436896"/>
      <w:bookmarkStart w:id="142" w:name="_Toc222486579"/>
      <w:bookmarkStart w:id="143" w:name="_Toc242870249"/>
      <w:r w:rsidRPr="001D6D10">
        <w:rPr>
          <w:rFonts w:ascii="ＭＳ ゴシック" w:eastAsia="ＭＳ ゴシック" w:hAnsi="ＭＳ ゴシック" w:hint="eastAsia"/>
          <w:u w:val="single"/>
        </w:rPr>
        <w:t>２　動員体制の整備</w:t>
      </w:r>
      <w:bookmarkEnd w:id="141"/>
      <w:bookmarkEnd w:id="142"/>
      <w:bookmarkEnd w:id="143"/>
    </w:p>
    <w:p w14:paraId="44774706" w14:textId="7D71756A" w:rsidR="008B4B2B" w:rsidRPr="00B931D9" w:rsidRDefault="008B4B2B" w:rsidP="00B931D9">
      <w:pPr>
        <w:pStyle w:val="ad"/>
        <w:overflowPunct w:val="0"/>
        <w:spacing w:line="240" w:lineRule="auto"/>
        <w:ind w:firstLineChars="400" w:firstLine="884"/>
        <w:rPr>
          <w:rFonts w:ascii="ＭＳ 明朝" w:hAnsi="ＭＳ 明朝"/>
        </w:rPr>
      </w:pPr>
      <w:r w:rsidRPr="001D6D10">
        <w:rPr>
          <w:rFonts w:ascii="ＭＳ 明朝" w:hAnsi="ＭＳ 明朝" w:hint="eastAsia"/>
        </w:rPr>
        <w:t>(1)　配備基準</w:t>
      </w:r>
    </w:p>
    <w:tbl>
      <w:tblPr>
        <w:tblpPr w:leftFromText="142" w:rightFromText="142" w:vertAnchor="text" w:tblpXSpec="center" w:tblpY="1"/>
        <w:tblOverlap w:val="never"/>
        <w:tblW w:w="859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555"/>
        <w:gridCol w:w="7043"/>
      </w:tblGrid>
      <w:tr w:rsidR="001064AE" w:rsidRPr="001D6D10" w14:paraId="1F88209C" w14:textId="77777777" w:rsidTr="000045D9">
        <w:trPr>
          <w:jc w:val="center"/>
        </w:trPr>
        <w:tc>
          <w:tcPr>
            <w:tcW w:w="1555" w:type="dxa"/>
            <w:shd w:val="clear" w:color="auto" w:fill="F2F2F2"/>
          </w:tcPr>
          <w:p w14:paraId="4871E9DD" w14:textId="77777777" w:rsidR="001064AE" w:rsidRPr="001D6D10" w:rsidRDefault="001064AE" w:rsidP="001064AE">
            <w:pPr>
              <w:pStyle w:val="ad"/>
              <w:overflowPunct w:val="0"/>
              <w:spacing w:line="340" w:lineRule="exact"/>
              <w:jc w:val="center"/>
              <w:rPr>
                <w:rFonts w:ascii="ＭＳ 明朝" w:hAnsi="ＭＳ 明朝"/>
              </w:rPr>
            </w:pPr>
            <w:r w:rsidRPr="001D6D10">
              <w:rPr>
                <w:rFonts w:ascii="ＭＳ 明朝" w:hAnsi="ＭＳ 明朝" w:hint="eastAsia"/>
              </w:rPr>
              <w:t>配備体制</w:t>
            </w:r>
          </w:p>
        </w:tc>
        <w:tc>
          <w:tcPr>
            <w:tcW w:w="7043" w:type="dxa"/>
            <w:shd w:val="clear" w:color="auto" w:fill="F2F2F2"/>
          </w:tcPr>
          <w:p w14:paraId="5525A06C" w14:textId="77777777" w:rsidR="001064AE" w:rsidRPr="001D6D10" w:rsidRDefault="001064AE" w:rsidP="001064AE">
            <w:pPr>
              <w:pStyle w:val="ad"/>
              <w:overflowPunct w:val="0"/>
              <w:spacing w:line="340" w:lineRule="exact"/>
              <w:jc w:val="center"/>
              <w:rPr>
                <w:rFonts w:ascii="ＭＳ 明朝" w:hAnsi="ＭＳ 明朝"/>
              </w:rPr>
            </w:pPr>
            <w:r w:rsidRPr="001D6D10">
              <w:rPr>
                <w:rFonts w:ascii="ＭＳ 明朝" w:hAnsi="ＭＳ 明朝" w:hint="eastAsia"/>
              </w:rPr>
              <w:t>配　　　備　　　基　　　準</w:t>
            </w:r>
          </w:p>
        </w:tc>
      </w:tr>
      <w:tr w:rsidR="001064AE" w:rsidRPr="001D6D10" w14:paraId="7F8F0996" w14:textId="77777777" w:rsidTr="000045D9">
        <w:trPr>
          <w:trHeight w:val="1402"/>
          <w:jc w:val="center"/>
        </w:trPr>
        <w:tc>
          <w:tcPr>
            <w:tcW w:w="1555" w:type="dxa"/>
            <w:vMerge w:val="restart"/>
          </w:tcPr>
          <w:p w14:paraId="4457BE30" w14:textId="77777777" w:rsidR="001064AE" w:rsidRPr="001D6D10" w:rsidRDefault="001064AE" w:rsidP="001064AE">
            <w:pPr>
              <w:pStyle w:val="ad"/>
              <w:overflowPunct w:val="0"/>
              <w:spacing w:line="340" w:lineRule="exact"/>
              <w:jc w:val="center"/>
              <w:rPr>
                <w:rFonts w:ascii="ＭＳ 明朝" w:hAnsi="ＭＳ 明朝"/>
              </w:rPr>
            </w:pPr>
            <w:r w:rsidRPr="001D6D10">
              <w:rPr>
                <w:rFonts w:ascii="ＭＳ 明朝" w:hAnsi="ＭＳ 明朝" w:hint="eastAsia"/>
              </w:rPr>
              <w:t>非常１号配備</w:t>
            </w:r>
          </w:p>
          <w:p w14:paraId="75281625" w14:textId="77777777" w:rsidR="001064AE" w:rsidRPr="001D6D10" w:rsidRDefault="001064AE" w:rsidP="001064AE">
            <w:pPr>
              <w:pStyle w:val="ad"/>
              <w:overflowPunct w:val="0"/>
              <w:spacing w:line="340" w:lineRule="exact"/>
              <w:rPr>
                <w:rFonts w:ascii="ＭＳ 明朝" w:hAnsi="ＭＳ 明朝"/>
                <w:strike/>
              </w:rPr>
            </w:pPr>
          </w:p>
        </w:tc>
        <w:tc>
          <w:tcPr>
            <w:tcW w:w="7043" w:type="dxa"/>
          </w:tcPr>
          <w:p w14:paraId="1DE67A10" w14:textId="77777777" w:rsidR="001064AE" w:rsidRPr="001D6D10" w:rsidRDefault="001064AE" w:rsidP="001064AE">
            <w:pPr>
              <w:pStyle w:val="ad"/>
              <w:overflowPunct w:val="0"/>
              <w:spacing w:line="340" w:lineRule="exact"/>
              <w:ind w:left="111" w:hangingChars="50" w:hanging="111"/>
              <w:rPr>
                <w:rFonts w:ascii="ＭＳ 明朝" w:hAnsi="ＭＳ 明朝"/>
              </w:rPr>
            </w:pPr>
            <w:r w:rsidRPr="001D6D10">
              <w:rPr>
                <w:rFonts w:ascii="ＭＳ 明朝" w:hAnsi="ＭＳ 明朝" w:hint="eastAsia"/>
              </w:rPr>
              <w:t>【地震発生に伴う初動対応の場合】</w:t>
            </w:r>
          </w:p>
          <w:p w14:paraId="2DE56B97" w14:textId="77777777" w:rsidR="001064AE" w:rsidRPr="001D6D10" w:rsidRDefault="001064AE" w:rsidP="001064AE">
            <w:pPr>
              <w:pStyle w:val="ad"/>
              <w:overflowPunct w:val="0"/>
              <w:spacing w:line="340" w:lineRule="exact"/>
              <w:ind w:leftChars="100" w:left="211"/>
              <w:rPr>
                <w:rFonts w:ascii="ＭＳ 明朝" w:hAnsi="ＭＳ 明朝"/>
              </w:rPr>
            </w:pPr>
            <w:r w:rsidRPr="001D6D10">
              <w:rPr>
                <w:rFonts w:ascii="ＭＳ 明朝" w:hAnsi="ＭＳ 明朝" w:hint="eastAsia"/>
              </w:rPr>
              <w:t>府域において震度４を観測したとき（自動配備）</w:t>
            </w:r>
          </w:p>
          <w:p w14:paraId="767B1389" w14:textId="77777777" w:rsidR="001064AE" w:rsidRPr="001D6D10" w:rsidRDefault="001064AE" w:rsidP="001064AE">
            <w:pPr>
              <w:pStyle w:val="ad"/>
              <w:overflowPunct w:val="0"/>
              <w:spacing w:line="340" w:lineRule="exact"/>
              <w:ind w:left="111" w:hangingChars="50" w:hanging="111"/>
              <w:rPr>
                <w:rFonts w:ascii="ＭＳ 明朝" w:hAnsi="ＭＳ 明朝"/>
              </w:rPr>
            </w:pPr>
            <w:r w:rsidRPr="001D6D10">
              <w:rPr>
                <w:rFonts w:ascii="ＭＳ 明朝" w:hAnsi="ＭＳ 明朝" w:hint="eastAsia"/>
              </w:rPr>
              <w:t>【台風・風水害、津波、大規模事故等、その他の場合】</w:t>
            </w:r>
          </w:p>
          <w:p w14:paraId="6AA964DB" w14:textId="77777777" w:rsidR="001064AE" w:rsidRPr="001D6D10" w:rsidRDefault="001064AE" w:rsidP="001064AE">
            <w:pPr>
              <w:pStyle w:val="ad"/>
              <w:overflowPunct w:val="0"/>
              <w:spacing w:line="340" w:lineRule="exact"/>
              <w:ind w:left="111" w:hangingChars="50" w:hanging="111"/>
              <w:rPr>
                <w:rFonts w:ascii="ＭＳ 明朝" w:hAnsi="ＭＳ 明朝"/>
              </w:rPr>
            </w:pPr>
            <w:r w:rsidRPr="001D6D10">
              <w:rPr>
                <w:rFonts w:ascii="ＭＳ 明朝" w:hAnsi="ＭＳ 明朝" w:hint="eastAsia"/>
              </w:rPr>
              <w:t xml:space="preserve">　指令部において配備を決定</w:t>
            </w:r>
          </w:p>
        </w:tc>
      </w:tr>
      <w:tr w:rsidR="001064AE" w:rsidRPr="001D6D10" w14:paraId="5E9418EF" w14:textId="77777777" w:rsidTr="000045D9">
        <w:trPr>
          <w:trHeight w:val="697"/>
          <w:jc w:val="center"/>
        </w:trPr>
        <w:tc>
          <w:tcPr>
            <w:tcW w:w="1555" w:type="dxa"/>
            <w:vMerge/>
          </w:tcPr>
          <w:p w14:paraId="2D6FAC24" w14:textId="77777777" w:rsidR="001064AE" w:rsidRPr="001D6D10" w:rsidRDefault="001064AE" w:rsidP="001064AE">
            <w:pPr>
              <w:pStyle w:val="ad"/>
              <w:overflowPunct w:val="0"/>
              <w:spacing w:line="340" w:lineRule="exact"/>
              <w:jc w:val="center"/>
              <w:rPr>
                <w:rFonts w:ascii="ＭＳ 明朝" w:hAnsi="ＭＳ 明朝"/>
              </w:rPr>
            </w:pPr>
          </w:p>
        </w:tc>
        <w:tc>
          <w:tcPr>
            <w:tcW w:w="7043" w:type="dxa"/>
          </w:tcPr>
          <w:p w14:paraId="302BA33E" w14:textId="6F247B88" w:rsidR="001064AE" w:rsidRPr="00AD2C7A" w:rsidRDefault="001064AE" w:rsidP="001064AE">
            <w:pPr>
              <w:pStyle w:val="ad"/>
              <w:overflowPunct w:val="0"/>
              <w:spacing w:line="340" w:lineRule="exact"/>
              <w:ind w:left="111" w:hangingChars="50" w:hanging="111"/>
              <w:rPr>
                <w:rFonts w:ascii="ＭＳ 明朝" w:hAnsi="ＭＳ 明朝"/>
              </w:rPr>
            </w:pPr>
            <w:r w:rsidRPr="00AD2C7A">
              <w:rPr>
                <w:rFonts w:ascii="ＭＳ 明朝" w:hAnsi="ＭＳ 明朝" w:hint="eastAsia"/>
              </w:rPr>
              <w:t>【南海トラフ地震臨時情報（巨大地震注意）が発表された場合</w:t>
            </w:r>
            <w:r w:rsidR="008D0619" w:rsidRPr="00AD2C7A">
              <w:rPr>
                <w:rFonts w:ascii="ＭＳ 明朝" w:hAnsi="ＭＳ 明朝" w:hint="eastAsia"/>
              </w:rPr>
              <w:t>※</w:t>
            </w:r>
            <w:r w:rsidRPr="00AD2C7A">
              <w:rPr>
                <w:rFonts w:ascii="ＭＳ 明朝" w:hAnsi="ＭＳ 明朝" w:hint="eastAsia"/>
              </w:rPr>
              <w:t>】</w:t>
            </w:r>
          </w:p>
          <w:p w14:paraId="721440B9" w14:textId="66E66811" w:rsidR="001064AE" w:rsidRPr="00AD2C7A" w:rsidRDefault="001064AE" w:rsidP="00284B88">
            <w:pPr>
              <w:pStyle w:val="ad"/>
              <w:overflowPunct w:val="0"/>
              <w:spacing w:line="340" w:lineRule="exact"/>
              <w:ind w:left="111"/>
              <w:rPr>
                <w:rFonts w:ascii="ＭＳ 明朝" w:hAnsi="ＭＳ 明朝"/>
              </w:rPr>
            </w:pPr>
            <w:r w:rsidRPr="00AD2C7A">
              <w:rPr>
                <w:rFonts w:ascii="ＭＳ 明朝" w:hAnsi="ＭＳ 明朝" w:hint="eastAsia"/>
              </w:rPr>
              <w:t>地震発災に備えた情報連絡体制の維持（自動配備）</w:t>
            </w:r>
          </w:p>
          <w:p w14:paraId="152243EA" w14:textId="00B1408D" w:rsidR="008D0619" w:rsidRPr="001D6D10" w:rsidRDefault="008D0619" w:rsidP="00284B88">
            <w:pPr>
              <w:pStyle w:val="ad"/>
              <w:overflowPunct w:val="0"/>
              <w:spacing w:line="340" w:lineRule="exact"/>
              <w:ind w:leftChars="51" w:left="309" w:hangingChars="100" w:hanging="201"/>
              <w:rPr>
                <w:rFonts w:ascii="ＭＳ 明朝" w:hAnsi="ＭＳ 明朝"/>
              </w:rPr>
            </w:pPr>
            <w:r w:rsidRPr="00AD2C7A">
              <w:rPr>
                <w:rFonts w:ascii="ＭＳ 明朝" w:hAnsi="ＭＳ 明朝" w:hint="eastAsia"/>
                <w:sz w:val="20"/>
                <w:szCs w:val="20"/>
              </w:rPr>
              <w:t>※南海トラフ地震臨時情報（巨大地震警戒）が発表された後、１週間が経過し、巨大地震注意対応期間に移行した場合を含む</w:t>
            </w:r>
          </w:p>
        </w:tc>
      </w:tr>
      <w:tr w:rsidR="001064AE" w:rsidRPr="001D6D10" w14:paraId="05250B99" w14:textId="77777777" w:rsidTr="000045D9">
        <w:trPr>
          <w:trHeight w:val="1433"/>
          <w:jc w:val="center"/>
        </w:trPr>
        <w:tc>
          <w:tcPr>
            <w:tcW w:w="1555" w:type="dxa"/>
            <w:vMerge w:val="restart"/>
          </w:tcPr>
          <w:p w14:paraId="728D7A1D" w14:textId="77777777" w:rsidR="001064AE" w:rsidRPr="001D6D10" w:rsidRDefault="001064AE" w:rsidP="001064AE">
            <w:pPr>
              <w:pStyle w:val="ad"/>
              <w:overflowPunct w:val="0"/>
              <w:spacing w:line="340" w:lineRule="exact"/>
              <w:jc w:val="center"/>
              <w:rPr>
                <w:rFonts w:ascii="ＭＳ 明朝" w:hAnsi="ＭＳ 明朝"/>
              </w:rPr>
            </w:pPr>
            <w:r w:rsidRPr="001D6D10">
              <w:rPr>
                <w:rFonts w:ascii="ＭＳ 明朝" w:hAnsi="ＭＳ 明朝" w:hint="eastAsia"/>
              </w:rPr>
              <w:t>非常２号配備</w:t>
            </w:r>
          </w:p>
          <w:p w14:paraId="38929CF4" w14:textId="77777777" w:rsidR="001064AE" w:rsidRPr="001D6D10" w:rsidRDefault="001064AE" w:rsidP="001064AE">
            <w:pPr>
              <w:pStyle w:val="ad"/>
              <w:overflowPunct w:val="0"/>
              <w:spacing w:line="340" w:lineRule="exact"/>
              <w:rPr>
                <w:rFonts w:ascii="ＭＳ 明朝" w:hAnsi="ＭＳ 明朝"/>
                <w:strike/>
              </w:rPr>
            </w:pPr>
          </w:p>
        </w:tc>
        <w:tc>
          <w:tcPr>
            <w:tcW w:w="7043" w:type="dxa"/>
          </w:tcPr>
          <w:p w14:paraId="6B9BFE33" w14:textId="77777777" w:rsidR="001064AE" w:rsidRPr="001D6D10" w:rsidRDefault="001064AE" w:rsidP="001064AE">
            <w:pPr>
              <w:pStyle w:val="ad"/>
              <w:overflowPunct w:val="0"/>
              <w:spacing w:line="340" w:lineRule="exact"/>
              <w:ind w:left="111" w:hangingChars="50" w:hanging="111"/>
              <w:rPr>
                <w:rFonts w:ascii="ＭＳ 明朝" w:hAnsi="ＭＳ 明朝"/>
              </w:rPr>
            </w:pPr>
            <w:r w:rsidRPr="001D6D10">
              <w:rPr>
                <w:rFonts w:ascii="ＭＳ 明朝" w:hAnsi="ＭＳ 明朝" w:hint="eastAsia"/>
              </w:rPr>
              <w:t>【地震発生に伴う初動対応の場合】</w:t>
            </w:r>
          </w:p>
          <w:p w14:paraId="5A73E841" w14:textId="77777777" w:rsidR="001064AE" w:rsidRPr="001D6D10" w:rsidRDefault="001064AE" w:rsidP="001064AE">
            <w:pPr>
              <w:pStyle w:val="ad"/>
              <w:overflowPunct w:val="0"/>
              <w:spacing w:line="340" w:lineRule="exact"/>
              <w:ind w:firstLineChars="100" w:firstLine="221"/>
              <w:rPr>
                <w:rFonts w:ascii="ＭＳ 明朝" w:hAnsi="ＭＳ 明朝"/>
              </w:rPr>
            </w:pPr>
            <w:r w:rsidRPr="001D6D10">
              <w:rPr>
                <w:rFonts w:ascii="ＭＳ 明朝" w:hAnsi="ＭＳ 明朝" w:hint="eastAsia"/>
              </w:rPr>
              <w:t>府域において震度５弱又は震度５強を観測したとき（自動配備）</w:t>
            </w:r>
          </w:p>
          <w:p w14:paraId="009B020D" w14:textId="77777777" w:rsidR="001064AE" w:rsidRPr="001D6D10" w:rsidRDefault="001064AE" w:rsidP="001064AE">
            <w:pPr>
              <w:pStyle w:val="ad"/>
              <w:overflowPunct w:val="0"/>
              <w:spacing w:line="340" w:lineRule="exact"/>
              <w:ind w:left="111" w:hangingChars="50" w:hanging="111"/>
              <w:rPr>
                <w:rFonts w:ascii="ＭＳ 明朝" w:hAnsi="ＭＳ 明朝"/>
              </w:rPr>
            </w:pPr>
            <w:r w:rsidRPr="001D6D10">
              <w:rPr>
                <w:rFonts w:ascii="ＭＳ 明朝" w:hAnsi="ＭＳ 明朝" w:hint="eastAsia"/>
              </w:rPr>
              <w:t>【台風・風水害、津波、大規模事故等、その他の場合】</w:t>
            </w:r>
          </w:p>
          <w:p w14:paraId="55AA6657" w14:textId="77777777" w:rsidR="001064AE" w:rsidRPr="001D6D10" w:rsidRDefault="001064AE" w:rsidP="001064AE">
            <w:pPr>
              <w:pStyle w:val="ad"/>
              <w:overflowPunct w:val="0"/>
              <w:spacing w:line="340" w:lineRule="exact"/>
              <w:ind w:left="111" w:hangingChars="50" w:hanging="111"/>
              <w:rPr>
                <w:rFonts w:ascii="ＭＳ 明朝" w:hAnsi="ＭＳ 明朝"/>
                <w:strike/>
              </w:rPr>
            </w:pPr>
            <w:r w:rsidRPr="001D6D10">
              <w:rPr>
                <w:rFonts w:ascii="ＭＳ 明朝" w:hAnsi="ＭＳ 明朝" w:hint="eastAsia"/>
              </w:rPr>
              <w:t xml:space="preserve">　指令部において配備を決定</w:t>
            </w:r>
          </w:p>
        </w:tc>
      </w:tr>
      <w:tr w:rsidR="001064AE" w:rsidRPr="001D6D10" w14:paraId="49C6B571" w14:textId="77777777" w:rsidTr="000045D9">
        <w:trPr>
          <w:trHeight w:val="547"/>
          <w:jc w:val="center"/>
        </w:trPr>
        <w:tc>
          <w:tcPr>
            <w:tcW w:w="1555" w:type="dxa"/>
            <w:vMerge/>
          </w:tcPr>
          <w:p w14:paraId="793AB269" w14:textId="77777777" w:rsidR="001064AE" w:rsidRPr="001D6D10" w:rsidRDefault="001064AE" w:rsidP="001064AE">
            <w:pPr>
              <w:pStyle w:val="ad"/>
              <w:overflowPunct w:val="0"/>
              <w:spacing w:line="340" w:lineRule="exact"/>
              <w:jc w:val="center"/>
              <w:rPr>
                <w:rFonts w:ascii="ＭＳ 明朝" w:hAnsi="ＭＳ 明朝"/>
              </w:rPr>
            </w:pPr>
          </w:p>
        </w:tc>
        <w:tc>
          <w:tcPr>
            <w:tcW w:w="7043" w:type="dxa"/>
          </w:tcPr>
          <w:p w14:paraId="7D4A3B02" w14:textId="6DF233CD" w:rsidR="001064AE" w:rsidRPr="00AD2C7A" w:rsidRDefault="001064AE" w:rsidP="001064AE">
            <w:pPr>
              <w:pStyle w:val="ad"/>
              <w:overflowPunct w:val="0"/>
              <w:spacing w:line="340" w:lineRule="exact"/>
              <w:ind w:left="111" w:hangingChars="50" w:hanging="111"/>
              <w:rPr>
                <w:rFonts w:ascii="ＭＳ 明朝" w:hAnsi="ＭＳ 明朝"/>
              </w:rPr>
            </w:pPr>
            <w:r w:rsidRPr="00AD2C7A">
              <w:rPr>
                <w:rFonts w:ascii="ＭＳ 明朝" w:hAnsi="ＭＳ 明朝" w:hint="eastAsia"/>
              </w:rPr>
              <w:t>【南海トラフ地震臨時情報（巨大地震警戒）が発表された場合</w:t>
            </w:r>
            <w:r w:rsidR="008D0619" w:rsidRPr="00AD2C7A">
              <w:rPr>
                <w:rFonts w:ascii="ＭＳ 明朝" w:hAnsi="ＭＳ 明朝" w:hint="eastAsia"/>
              </w:rPr>
              <w:t>※</w:t>
            </w:r>
            <w:r w:rsidRPr="00AD2C7A">
              <w:rPr>
                <w:rFonts w:ascii="ＭＳ 明朝" w:hAnsi="ＭＳ 明朝" w:hint="eastAsia"/>
              </w:rPr>
              <w:t>】</w:t>
            </w:r>
          </w:p>
          <w:p w14:paraId="02BE7111" w14:textId="32C79028" w:rsidR="000F532A" w:rsidRPr="00AD2C7A" w:rsidRDefault="00B931D9" w:rsidP="00284B88">
            <w:pPr>
              <w:pStyle w:val="ad"/>
              <w:overflowPunct w:val="0"/>
              <w:spacing w:line="340" w:lineRule="exact"/>
              <w:ind w:left="205"/>
              <w:rPr>
                <w:rFonts w:ascii="ＭＳ 明朝" w:hAnsi="ＭＳ 明朝"/>
              </w:rPr>
            </w:pPr>
            <w:r w:rsidRPr="00AD2C7A">
              <w:rPr>
                <w:rFonts w:ascii="ＭＳ 明朝" w:hAnsi="ＭＳ 明朝" w:cs="Times New Roman" w:hint="eastAsia"/>
                <w:kern w:val="2"/>
                <w:sz w:val="21"/>
              </w:rPr>
              <w:t>（臨時情報発表の原因となる）地震発災後、各部局で定める応急対策業務（第１フェーズ）を速やかに実施できる準備体制を維持</w:t>
            </w:r>
            <w:r w:rsidR="00C15398" w:rsidRPr="00AD2C7A">
              <w:rPr>
                <w:rFonts w:ascii="ＭＳ 明朝" w:hAnsi="ＭＳ 明朝" w:hint="eastAsia"/>
              </w:rPr>
              <w:t>（自動配備）</w:t>
            </w:r>
          </w:p>
          <w:p w14:paraId="0C9BA2F1" w14:textId="12295504" w:rsidR="008D0619" w:rsidRPr="001D6D10" w:rsidRDefault="008D0619" w:rsidP="000F532A">
            <w:pPr>
              <w:pStyle w:val="ad"/>
              <w:overflowPunct w:val="0"/>
              <w:spacing w:line="340" w:lineRule="exact"/>
              <w:ind w:leftChars="100" w:left="412" w:hangingChars="100" w:hanging="201"/>
              <w:rPr>
                <w:rFonts w:ascii="ＭＳ 明朝" w:hAnsi="ＭＳ 明朝"/>
              </w:rPr>
            </w:pPr>
            <w:r w:rsidRPr="00AD2C7A">
              <w:rPr>
                <w:rFonts w:ascii="ＭＳ 明朝" w:hAnsi="ＭＳ 明朝" w:hint="eastAsia"/>
                <w:sz w:val="20"/>
                <w:szCs w:val="20"/>
              </w:rPr>
              <w:t>※南海トラフ地震臨時情報（巨大地震警戒）が発表</w:t>
            </w:r>
            <w:r w:rsidR="000F532A" w:rsidRPr="00AD2C7A">
              <w:rPr>
                <w:rFonts w:ascii="ＭＳ 明朝" w:hAnsi="ＭＳ 明朝" w:hint="eastAsia"/>
                <w:sz w:val="20"/>
                <w:szCs w:val="20"/>
              </w:rPr>
              <w:t>された後、</w:t>
            </w:r>
            <w:r w:rsidRPr="00AD2C7A">
              <w:rPr>
                <w:rFonts w:ascii="ＭＳ 明朝" w:hAnsi="ＭＳ 明朝" w:hint="eastAsia"/>
                <w:sz w:val="20"/>
                <w:szCs w:val="20"/>
              </w:rPr>
              <w:t>１週間が経過し、巨大地震注意対応期間に移行した場合</w:t>
            </w:r>
            <w:r w:rsidR="000F532A" w:rsidRPr="00AD2C7A">
              <w:rPr>
                <w:rFonts w:ascii="ＭＳ 明朝" w:hAnsi="ＭＳ 明朝" w:hint="eastAsia"/>
                <w:sz w:val="20"/>
                <w:szCs w:val="20"/>
              </w:rPr>
              <w:t>は非常１号配備とする</w:t>
            </w:r>
          </w:p>
        </w:tc>
      </w:tr>
      <w:tr w:rsidR="001064AE" w:rsidRPr="001D6D10" w14:paraId="6B706B9D" w14:textId="77777777" w:rsidTr="000045D9">
        <w:trPr>
          <w:trHeight w:val="360"/>
          <w:jc w:val="center"/>
        </w:trPr>
        <w:tc>
          <w:tcPr>
            <w:tcW w:w="1555" w:type="dxa"/>
          </w:tcPr>
          <w:p w14:paraId="672B8B3D" w14:textId="77777777" w:rsidR="001064AE" w:rsidRPr="001D6D10" w:rsidRDefault="001064AE" w:rsidP="001064AE">
            <w:pPr>
              <w:pStyle w:val="ad"/>
              <w:overflowPunct w:val="0"/>
              <w:spacing w:line="340" w:lineRule="exact"/>
              <w:jc w:val="center"/>
              <w:rPr>
                <w:rFonts w:ascii="ＭＳ 明朝" w:hAnsi="ＭＳ 明朝"/>
              </w:rPr>
            </w:pPr>
            <w:r w:rsidRPr="001D6D10">
              <w:rPr>
                <w:rFonts w:ascii="ＭＳ 明朝" w:hAnsi="ＭＳ 明朝" w:hint="eastAsia"/>
              </w:rPr>
              <w:t>非常３号配備</w:t>
            </w:r>
          </w:p>
          <w:p w14:paraId="0C897F2D" w14:textId="77777777" w:rsidR="001064AE" w:rsidRPr="001D6D10" w:rsidRDefault="001064AE" w:rsidP="001064AE">
            <w:pPr>
              <w:pStyle w:val="ad"/>
              <w:overflowPunct w:val="0"/>
              <w:spacing w:line="340" w:lineRule="exact"/>
              <w:rPr>
                <w:rFonts w:ascii="ＭＳ 明朝" w:hAnsi="ＭＳ 明朝"/>
                <w:strike/>
              </w:rPr>
            </w:pPr>
          </w:p>
        </w:tc>
        <w:tc>
          <w:tcPr>
            <w:tcW w:w="7043" w:type="dxa"/>
            <w:tcBorders>
              <w:bottom w:val="single" w:sz="4" w:space="0" w:color="auto"/>
            </w:tcBorders>
          </w:tcPr>
          <w:p w14:paraId="11E096ED" w14:textId="77777777" w:rsidR="001064AE" w:rsidRPr="001D6D10" w:rsidRDefault="001064AE" w:rsidP="001064AE">
            <w:pPr>
              <w:pStyle w:val="ad"/>
              <w:overflowPunct w:val="0"/>
              <w:spacing w:line="340" w:lineRule="exact"/>
              <w:ind w:left="111" w:hangingChars="50" w:hanging="111"/>
              <w:rPr>
                <w:rFonts w:ascii="ＭＳ 明朝" w:hAnsi="ＭＳ 明朝"/>
              </w:rPr>
            </w:pPr>
            <w:r w:rsidRPr="001D6D10">
              <w:rPr>
                <w:rFonts w:ascii="ＭＳ 明朝" w:hAnsi="ＭＳ 明朝" w:hint="eastAsia"/>
              </w:rPr>
              <w:t>【地震発生に伴う初動対応の場合】</w:t>
            </w:r>
          </w:p>
          <w:p w14:paraId="700AB0B3" w14:textId="77777777" w:rsidR="001064AE" w:rsidRPr="001D6D10" w:rsidRDefault="001064AE" w:rsidP="001064AE">
            <w:pPr>
              <w:pStyle w:val="ad"/>
              <w:overflowPunct w:val="0"/>
              <w:spacing w:line="340" w:lineRule="exact"/>
              <w:ind w:firstLineChars="100" w:firstLine="221"/>
              <w:rPr>
                <w:rFonts w:ascii="ＭＳ 明朝" w:hAnsi="ＭＳ 明朝"/>
              </w:rPr>
            </w:pPr>
            <w:r w:rsidRPr="001D6D10">
              <w:rPr>
                <w:rFonts w:ascii="ＭＳ 明朝" w:hAnsi="ＭＳ 明朝" w:hint="eastAsia"/>
              </w:rPr>
              <w:t>府域において震度６弱以上の震度を観測したとき（自動配備）</w:t>
            </w:r>
          </w:p>
          <w:p w14:paraId="0E16C17A" w14:textId="77777777" w:rsidR="001064AE" w:rsidRPr="001D6D10" w:rsidRDefault="001064AE" w:rsidP="001064AE">
            <w:pPr>
              <w:pStyle w:val="ad"/>
              <w:overflowPunct w:val="0"/>
              <w:spacing w:line="340" w:lineRule="exact"/>
              <w:ind w:left="111" w:hangingChars="50" w:hanging="111"/>
              <w:rPr>
                <w:rFonts w:ascii="ＭＳ 明朝" w:hAnsi="ＭＳ 明朝"/>
              </w:rPr>
            </w:pPr>
            <w:r w:rsidRPr="001D6D10">
              <w:rPr>
                <w:rFonts w:ascii="ＭＳ 明朝" w:hAnsi="ＭＳ 明朝" w:hint="eastAsia"/>
              </w:rPr>
              <w:t>【台風・風水害、津波、大規模事故等、その他の場合】</w:t>
            </w:r>
          </w:p>
          <w:p w14:paraId="1A09222A" w14:textId="7DE771AC" w:rsidR="001064AE" w:rsidRPr="001D6D10" w:rsidRDefault="001064AE" w:rsidP="001064AE">
            <w:pPr>
              <w:pStyle w:val="ad"/>
              <w:overflowPunct w:val="0"/>
              <w:spacing w:line="340" w:lineRule="exact"/>
              <w:rPr>
                <w:rFonts w:hAnsi="ＭＳ 明朝"/>
                <w:strike/>
              </w:rPr>
            </w:pPr>
            <w:r w:rsidRPr="001D6D10">
              <w:rPr>
                <w:rFonts w:ascii="ＭＳ 明朝" w:hAnsi="ＭＳ 明朝" w:hint="eastAsia"/>
              </w:rPr>
              <w:t xml:space="preserve">　指令部</w:t>
            </w:r>
            <w:r w:rsidR="00387AB5" w:rsidRPr="00AD2C7A">
              <w:rPr>
                <w:rFonts w:ascii="ＭＳ 明朝" w:hAnsi="ＭＳ 明朝" w:cs="Times New Roman" w:hint="eastAsia"/>
                <w:kern w:val="2"/>
                <w:sz w:val="21"/>
              </w:rPr>
              <w:t>又は警戒本部</w:t>
            </w:r>
            <w:r w:rsidRPr="001D6D10">
              <w:rPr>
                <w:rFonts w:ascii="ＭＳ 明朝" w:hAnsi="ＭＳ 明朝" w:hint="eastAsia"/>
              </w:rPr>
              <w:t>において配備を決定</w:t>
            </w:r>
          </w:p>
        </w:tc>
      </w:tr>
    </w:tbl>
    <w:p w14:paraId="5B54D119" w14:textId="77777777" w:rsidR="000045D9" w:rsidRDefault="000045D9" w:rsidP="008B4B2B">
      <w:pPr>
        <w:pStyle w:val="ad"/>
        <w:overflowPunct w:val="0"/>
        <w:spacing w:line="340" w:lineRule="exact"/>
        <w:ind w:firstLineChars="400" w:firstLine="884"/>
        <w:rPr>
          <w:rFonts w:ascii="ＭＳ 明朝" w:hAnsi="ＭＳ 明朝"/>
        </w:rPr>
      </w:pPr>
    </w:p>
    <w:p w14:paraId="089B4081" w14:textId="6773AA30" w:rsidR="008B4B2B" w:rsidRPr="001D6D10" w:rsidRDefault="008B4B2B" w:rsidP="008B4B2B">
      <w:pPr>
        <w:pStyle w:val="ad"/>
        <w:overflowPunct w:val="0"/>
        <w:spacing w:line="340" w:lineRule="exact"/>
        <w:ind w:firstLineChars="400" w:firstLine="884"/>
        <w:rPr>
          <w:rFonts w:ascii="ＭＳ 明朝" w:hAnsi="ＭＳ 明朝"/>
        </w:rPr>
      </w:pPr>
      <w:r w:rsidRPr="001D6D10">
        <w:rPr>
          <w:rFonts w:ascii="ＭＳ 明朝" w:hAnsi="ＭＳ 明朝" w:hint="eastAsia"/>
        </w:rPr>
        <w:lastRenderedPageBreak/>
        <w:t>(2)　配備指令等</w:t>
      </w:r>
    </w:p>
    <w:p w14:paraId="470656A7" w14:textId="77777777" w:rsidR="008B4B2B" w:rsidRPr="001D6D10" w:rsidRDefault="008B4B2B" w:rsidP="008B4B2B">
      <w:pPr>
        <w:pStyle w:val="ad"/>
        <w:overflowPunct w:val="0"/>
        <w:spacing w:line="240" w:lineRule="auto"/>
        <w:ind w:firstLineChars="600" w:firstLine="1327"/>
        <w:rPr>
          <w:rFonts w:ascii="ＭＳ 明朝" w:hAnsi="ＭＳ 明朝"/>
        </w:rPr>
      </w:pPr>
      <w:r w:rsidRPr="001D6D10">
        <w:rPr>
          <w:rFonts w:ascii="ＭＳ 明朝" w:hAnsi="ＭＳ 明朝" w:hint="eastAsia"/>
        </w:rPr>
        <w:t>①　配備指令</w:t>
      </w:r>
    </w:p>
    <w:p w14:paraId="330FB196" w14:textId="4FC15E80" w:rsidR="008B4B2B" w:rsidRPr="001D6D10" w:rsidRDefault="008B4B2B" w:rsidP="00CD50FD">
      <w:pPr>
        <w:pStyle w:val="ad"/>
        <w:overflowPunct w:val="0"/>
        <w:spacing w:line="240" w:lineRule="auto"/>
        <w:ind w:leftChars="716" w:left="1511" w:firstLineChars="100" w:firstLine="221"/>
        <w:rPr>
          <w:rFonts w:ascii="ＭＳ 明朝" w:hAnsi="ＭＳ 明朝"/>
        </w:rPr>
      </w:pPr>
      <w:r w:rsidRPr="001D6D10">
        <w:rPr>
          <w:rFonts w:ascii="ＭＳ 明朝" w:hAnsi="ＭＳ 明朝" w:hint="eastAsia"/>
        </w:rPr>
        <w:t>原則として、上記配備基準に基づき、指令部長が指令を発する。ただし、各部局の計画等で別途配備基準を定めている場合はその計画によるものとする。</w:t>
      </w:r>
    </w:p>
    <w:p w14:paraId="7C1C8F45" w14:textId="77777777" w:rsidR="008B4B2B" w:rsidRPr="001D6D10" w:rsidRDefault="008B4B2B" w:rsidP="008B4B2B">
      <w:pPr>
        <w:pStyle w:val="ad"/>
        <w:overflowPunct w:val="0"/>
        <w:spacing w:line="240" w:lineRule="auto"/>
        <w:ind w:firstLineChars="600" w:firstLine="1327"/>
        <w:rPr>
          <w:rFonts w:ascii="ＭＳ 明朝" w:hAnsi="ＭＳ 明朝"/>
        </w:rPr>
      </w:pPr>
      <w:r w:rsidRPr="001D6D10">
        <w:rPr>
          <w:rFonts w:ascii="ＭＳ 明朝" w:hAnsi="ＭＳ 明朝" w:hint="eastAsia"/>
        </w:rPr>
        <w:t>②　配備指令の伝達</w:t>
      </w:r>
    </w:p>
    <w:p w14:paraId="6EB14AB7" w14:textId="77777777" w:rsidR="008B4B2B" w:rsidRPr="001D6D10" w:rsidRDefault="008B4B2B" w:rsidP="008B4B2B">
      <w:pPr>
        <w:pStyle w:val="ad"/>
        <w:overflowPunct w:val="0"/>
        <w:spacing w:line="240" w:lineRule="auto"/>
        <w:ind w:firstLineChars="800" w:firstLine="1769"/>
        <w:rPr>
          <w:rFonts w:ascii="ＭＳ 明朝" w:hAnsi="ＭＳ 明朝"/>
        </w:rPr>
      </w:pPr>
      <w:r w:rsidRPr="001D6D10">
        <w:rPr>
          <w:rFonts w:ascii="ＭＳ 明朝" w:hAnsi="ＭＳ 明朝" w:hint="eastAsia"/>
        </w:rPr>
        <w:t>配備指令は、次の経路により伝達する。</w:t>
      </w:r>
    </w:p>
    <w:p w14:paraId="228C4A0A" w14:textId="77777777" w:rsidR="008B4B2B" w:rsidRPr="001D6D10" w:rsidRDefault="008B4B2B" w:rsidP="008B4B2B">
      <w:pPr>
        <w:pStyle w:val="a0"/>
        <w:ind w:leftChars="647" w:left="1587" w:hangingChars="100" w:hanging="221"/>
        <w:rPr>
          <w:sz w:val="22"/>
          <w:szCs w:val="22"/>
        </w:rPr>
      </w:pPr>
      <w:r w:rsidRPr="001D6D10">
        <w:rPr>
          <w:rFonts w:hint="eastAsia"/>
          <w:sz w:val="22"/>
          <w:szCs w:val="22"/>
        </w:rPr>
        <w:t>③　各部主管課長は、各部連絡責任者（原則として各部主管課総括補佐とする）の職、氏名、住所、電話番号を予め災害対策課長に通知しておく。</w:t>
      </w:r>
    </w:p>
    <w:p w14:paraId="7B012956" w14:textId="77777777" w:rsidR="008B4B2B" w:rsidRPr="001D6D10" w:rsidRDefault="008B4B2B" w:rsidP="008B4B2B">
      <w:pPr>
        <w:pStyle w:val="a0"/>
        <w:ind w:leftChars="647" w:left="1587" w:hangingChars="100" w:hanging="221"/>
        <w:rPr>
          <w:sz w:val="22"/>
          <w:szCs w:val="22"/>
        </w:rPr>
      </w:pPr>
      <w:r w:rsidRPr="001D6D10">
        <w:rPr>
          <w:rFonts w:hint="eastAsia"/>
          <w:sz w:val="22"/>
          <w:szCs w:val="22"/>
        </w:rPr>
        <w:t>④　各部連絡責任者は、指令部、警戒本部又は災対本部との連絡にあたるものとする（勤務時間外も含む）。</w:t>
      </w:r>
    </w:p>
    <w:p w14:paraId="769BC1EC" w14:textId="77777777" w:rsidR="008B4B2B" w:rsidRPr="001D6D10" w:rsidRDefault="008B4B2B" w:rsidP="008B4B2B">
      <w:pPr>
        <w:pStyle w:val="a0"/>
        <w:ind w:leftChars="630" w:left="1551" w:hangingChars="100" w:hanging="221"/>
        <w:rPr>
          <w:sz w:val="22"/>
          <w:szCs w:val="22"/>
        </w:rPr>
      </w:pPr>
      <w:r w:rsidRPr="001D6D10">
        <w:rPr>
          <w:rFonts w:hint="eastAsia"/>
          <w:sz w:val="22"/>
          <w:szCs w:val="22"/>
        </w:rPr>
        <w:t>⑤　各部主管課長は、各部内における配備指令の伝達計画をあらかじめ</w:t>
      </w:r>
    </w:p>
    <w:p w14:paraId="506B7A56" w14:textId="77777777" w:rsidR="008B4B2B" w:rsidRPr="001D6D10" w:rsidRDefault="008B4B2B" w:rsidP="008B4B2B">
      <w:pPr>
        <w:pStyle w:val="a0"/>
        <w:ind w:leftChars="730" w:left="1542" w:hanging="1"/>
        <w:rPr>
          <w:sz w:val="22"/>
          <w:szCs w:val="22"/>
        </w:rPr>
      </w:pPr>
      <w:r w:rsidRPr="001D6D10">
        <w:rPr>
          <w:rFonts w:hint="eastAsia"/>
          <w:sz w:val="22"/>
          <w:szCs w:val="22"/>
        </w:rPr>
        <w:t>定めておく。</w:t>
      </w:r>
    </w:p>
    <w:p w14:paraId="46411BF8" w14:textId="77777777" w:rsidR="008B4B2B" w:rsidRPr="001D6D10" w:rsidRDefault="008B4B2B" w:rsidP="008B4B2B">
      <w:pPr>
        <w:pStyle w:val="a0"/>
        <w:ind w:leftChars="630" w:left="1551" w:hangingChars="100" w:hanging="221"/>
        <w:rPr>
          <w:sz w:val="22"/>
          <w:szCs w:val="22"/>
        </w:rPr>
      </w:pPr>
      <w:r w:rsidRPr="001D6D10">
        <w:rPr>
          <w:rFonts w:hint="eastAsia"/>
          <w:sz w:val="22"/>
          <w:szCs w:val="22"/>
        </w:rPr>
        <w:t>⑥　各課長及び各出先機関の長は、各所属内における配備指令の伝達計画をあらかじめ定めておく。</w:t>
      </w:r>
    </w:p>
    <w:p w14:paraId="4ADAD40E" w14:textId="77777777" w:rsidR="008B4B2B" w:rsidRPr="001D6D10" w:rsidRDefault="008B4B2B" w:rsidP="008B4B2B">
      <w:r w:rsidRPr="001D6D10">
        <w:rPr>
          <w:noProof/>
        </w:rPr>
        <mc:AlternateContent>
          <mc:Choice Requires="wpg">
            <w:drawing>
              <wp:anchor distT="0" distB="0" distL="114300" distR="114300" simplePos="0" relativeHeight="253303808" behindDoc="0" locked="0" layoutInCell="1" allowOverlap="1" wp14:anchorId="33BA4867" wp14:editId="231A6EF5">
                <wp:simplePos x="0" y="0"/>
                <wp:positionH relativeFrom="column">
                  <wp:posOffset>566420</wp:posOffset>
                </wp:positionH>
                <wp:positionV relativeFrom="paragraph">
                  <wp:posOffset>154940</wp:posOffset>
                </wp:positionV>
                <wp:extent cx="4295775" cy="1981200"/>
                <wp:effectExtent l="19050" t="19050" r="28575" b="19050"/>
                <wp:wrapNone/>
                <wp:docPr id="4275" name="グループ化 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4295775" cy="1981200"/>
                          <a:chOff x="3114" y="11653"/>
                          <a:chExt cx="6765" cy="3120"/>
                        </a:xfrm>
                      </wpg:grpSpPr>
                      <wps:wsp>
                        <wps:cNvPr id="4278" name="Text Box 5"/>
                        <wps:cNvSpPr txBox="1">
                          <a:spLocks noChangeArrowheads="1"/>
                        </wps:cNvSpPr>
                        <wps:spPr bwMode="auto">
                          <a:xfrm>
                            <a:off x="3114" y="11653"/>
                            <a:ext cx="495" cy="3016"/>
                          </a:xfrm>
                          <a:prstGeom prst="rect">
                            <a:avLst/>
                          </a:prstGeom>
                          <a:solidFill>
                            <a:srgbClr val="FFFFFF"/>
                          </a:solidFill>
                          <a:ln w="38100" cmpd="dbl">
                            <a:solidFill>
                              <a:srgbClr val="000000"/>
                            </a:solidFill>
                            <a:miter lim="800000"/>
                            <a:headEnd/>
                            <a:tailEnd/>
                          </a:ln>
                        </wps:spPr>
                        <wps:txbx>
                          <w:txbxContent>
                            <w:p w14:paraId="50D64C82" w14:textId="77777777" w:rsidR="006A5267" w:rsidRPr="00FB7476" w:rsidRDefault="006A5267" w:rsidP="008B4B2B">
                              <w:pPr>
                                <w:rPr>
                                  <w:color w:val="000000"/>
                                </w:rPr>
                              </w:pPr>
                              <w:r w:rsidRPr="00FB7476">
                                <w:rPr>
                                  <w:rFonts w:hint="eastAsia"/>
                                  <w:color w:val="000000"/>
                                </w:rPr>
                                <w:t>防災・危機管理指令部</w:t>
                              </w:r>
                            </w:p>
                          </w:txbxContent>
                        </wps:txbx>
                        <wps:bodyPr rot="0" vert="eaVert" wrap="square" lIns="18000" tIns="144000" rIns="18000" bIns="108000" anchor="t" anchorCtr="0" upright="1">
                          <a:noAutofit/>
                        </wps:bodyPr>
                      </wps:wsp>
                      <wps:wsp>
                        <wps:cNvPr id="4279" name="Text Box 6"/>
                        <wps:cNvSpPr txBox="1">
                          <a:spLocks noChangeArrowheads="1"/>
                        </wps:cNvSpPr>
                        <wps:spPr bwMode="auto">
                          <a:xfrm>
                            <a:off x="5754" y="11653"/>
                            <a:ext cx="1650" cy="416"/>
                          </a:xfrm>
                          <a:prstGeom prst="rect">
                            <a:avLst/>
                          </a:prstGeom>
                          <a:solidFill>
                            <a:srgbClr val="FFFFFF"/>
                          </a:solidFill>
                          <a:ln w="9525">
                            <a:solidFill>
                              <a:srgbClr val="000000"/>
                            </a:solidFill>
                            <a:miter lim="800000"/>
                            <a:headEnd/>
                            <a:tailEnd/>
                          </a:ln>
                        </wps:spPr>
                        <wps:txbx>
                          <w:txbxContent>
                            <w:p w14:paraId="234B9C0D" w14:textId="77777777" w:rsidR="006A5267" w:rsidRDefault="006A5267" w:rsidP="008B4B2B">
                              <w:pPr>
                                <w:jc w:val="center"/>
                              </w:pPr>
                              <w:r>
                                <w:rPr>
                                  <w:rFonts w:hint="eastAsia"/>
                                </w:rPr>
                                <w:t>各</w:t>
                              </w:r>
                              <w:r>
                                <w:rPr>
                                  <w:rFonts w:hint="eastAsia"/>
                                </w:rPr>
                                <w:t xml:space="preserve"> </w:t>
                              </w:r>
                              <w:r>
                                <w:rPr>
                                  <w:rFonts w:hint="eastAsia"/>
                                </w:rPr>
                                <w:t>部</w:t>
                              </w:r>
                              <w:r>
                                <w:rPr>
                                  <w:rFonts w:hint="eastAsia"/>
                                </w:rPr>
                                <w:t xml:space="preserve"> </w:t>
                              </w:r>
                              <w:r>
                                <w:rPr>
                                  <w:rFonts w:hint="eastAsia"/>
                                </w:rPr>
                                <w:t>長</w:t>
                              </w:r>
                            </w:p>
                          </w:txbxContent>
                        </wps:txbx>
                        <wps:bodyPr rot="0" vert="horz" wrap="square" lIns="0" tIns="0" rIns="0" bIns="0" anchor="t" anchorCtr="0" upright="1">
                          <a:noAutofit/>
                        </wps:bodyPr>
                      </wps:wsp>
                      <wps:wsp>
                        <wps:cNvPr id="4280" name="Text Box 7"/>
                        <wps:cNvSpPr txBox="1">
                          <a:spLocks noChangeArrowheads="1"/>
                        </wps:cNvSpPr>
                        <wps:spPr bwMode="auto">
                          <a:xfrm>
                            <a:off x="6964" y="12069"/>
                            <a:ext cx="1650" cy="416"/>
                          </a:xfrm>
                          <a:prstGeom prst="rect">
                            <a:avLst/>
                          </a:prstGeom>
                          <a:solidFill>
                            <a:srgbClr val="FFFFFF"/>
                          </a:solidFill>
                          <a:ln w="9525">
                            <a:solidFill>
                              <a:srgbClr val="000000"/>
                            </a:solidFill>
                            <a:miter lim="800000"/>
                            <a:headEnd/>
                            <a:tailEnd/>
                          </a:ln>
                        </wps:spPr>
                        <wps:txbx>
                          <w:txbxContent>
                            <w:p w14:paraId="0A298DF8" w14:textId="77777777" w:rsidR="006A5267" w:rsidRDefault="006A5267" w:rsidP="008B4B2B">
                              <w:pPr>
                                <w:jc w:val="center"/>
                              </w:pPr>
                              <w:r>
                                <w:rPr>
                                  <w:rFonts w:hint="eastAsia"/>
                                </w:rPr>
                                <w:t>次</w:t>
                              </w:r>
                              <w:r>
                                <w:rPr>
                                  <w:rFonts w:hint="eastAsia"/>
                                </w:rPr>
                                <w:t xml:space="preserve">  </w:t>
                              </w:r>
                              <w:r>
                                <w:rPr>
                                  <w:rFonts w:hint="eastAsia"/>
                                </w:rPr>
                                <w:t>長</w:t>
                              </w:r>
                            </w:p>
                          </w:txbxContent>
                        </wps:txbx>
                        <wps:bodyPr rot="0" vert="horz" wrap="square" lIns="0" tIns="0" rIns="0" bIns="0" anchor="t" anchorCtr="0" upright="1">
                          <a:noAutofit/>
                        </wps:bodyPr>
                      </wps:wsp>
                      <wps:wsp>
                        <wps:cNvPr id="4281" name="Text Box 8"/>
                        <wps:cNvSpPr txBox="1">
                          <a:spLocks noChangeArrowheads="1"/>
                        </wps:cNvSpPr>
                        <wps:spPr bwMode="auto">
                          <a:xfrm>
                            <a:off x="5754" y="12693"/>
                            <a:ext cx="1650" cy="416"/>
                          </a:xfrm>
                          <a:prstGeom prst="rect">
                            <a:avLst/>
                          </a:prstGeom>
                          <a:solidFill>
                            <a:srgbClr val="FFFFFF"/>
                          </a:solidFill>
                          <a:ln w="9525">
                            <a:solidFill>
                              <a:srgbClr val="000000"/>
                            </a:solidFill>
                            <a:miter lim="800000"/>
                            <a:headEnd/>
                            <a:tailEnd/>
                          </a:ln>
                        </wps:spPr>
                        <wps:txbx>
                          <w:txbxContent>
                            <w:p w14:paraId="3CDDDB30" w14:textId="77777777" w:rsidR="006A5267" w:rsidRDefault="006A5267" w:rsidP="008B4B2B">
                              <w:pPr>
                                <w:jc w:val="center"/>
                              </w:pPr>
                              <w:r>
                                <w:rPr>
                                  <w:rFonts w:hint="eastAsia"/>
                                </w:rPr>
                                <w:t>各部主管課長</w:t>
                              </w:r>
                            </w:p>
                            <w:p w14:paraId="262E8E71" w14:textId="77777777" w:rsidR="006A5267" w:rsidRDefault="006A5267" w:rsidP="008B4B2B">
                              <w:pPr>
                                <w:jc w:val="center"/>
                              </w:pPr>
                            </w:p>
                          </w:txbxContent>
                        </wps:txbx>
                        <wps:bodyPr rot="0" vert="horz" wrap="square" lIns="0" tIns="0" rIns="0" bIns="0" anchor="t" anchorCtr="0" upright="1">
                          <a:noAutofit/>
                        </wps:bodyPr>
                      </wps:wsp>
                      <wps:wsp>
                        <wps:cNvPr id="4282" name="Text Box 9"/>
                        <wps:cNvSpPr txBox="1">
                          <a:spLocks noChangeArrowheads="1"/>
                        </wps:cNvSpPr>
                        <wps:spPr bwMode="auto">
                          <a:xfrm>
                            <a:off x="4434" y="12693"/>
                            <a:ext cx="495" cy="1976"/>
                          </a:xfrm>
                          <a:prstGeom prst="rect">
                            <a:avLst/>
                          </a:prstGeom>
                          <a:solidFill>
                            <a:srgbClr val="FFFFFF"/>
                          </a:solidFill>
                          <a:ln w="9525">
                            <a:solidFill>
                              <a:srgbClr val="000000"/>
                            </a:solidFill>
                            <a:miter lim="800000"/>
                            <a:headEnd/>
                            <a:tailEnd/>
                          </a:ln>
                        </wps:spPr>
                        <wps:txbx>
                          <w:txbxContent>
                            <w:p w14:paraId="26D5BEE6" w14:textId="77777777" w:rsidR="006A5267" w:rsidRDefault="006A5267" w:rsidP="008B4B2B">
                              <w:r>
                                <w:rPr>
                                  <w:rFonts w:hint="eastAsia"/>
                                </w:rPr>
                                <w:t>各部連絡責任者</w:t>
                              </w:r>
                            </w:p>
                          </w:txbxContent>
                        </wps:txbx>
                        <wps:bodyPr rot="0" vert="eaVert" wrap="square" lIns="18000" tIns="144000" rIns="18000" bIns="108000" anchor="t" anchorCtr="0" upright="1">
                          <a:noAutofit/>
                        </wps:bodyPr>
                      </wps:wsp>
                      <wps:wsp>
                        <wps:cNvPr id="4283" name="Text Box 10"/>
                        <wps:cNvSpPr txBox="1">
                          <a:spLocks noChangeArrowheads="1"/>
                        </wps:cNvSpPr>
                        <wps:spPr bwMode="auto">
                          <a:xfrm>
                            <a:off x="5754" y="13525"/>
                            <a:ext cx="1650" cy="416"/>
                          </a:xfrm>
                          <a:prstGeom prst="rect">
                            <a:avLst/>
                          </a:prstGeom>
                          <a:solidFill>
                            <a:srgbClr val="FFFFFF"/>
                          </a:solidFill>
                          <a:ln w="9525">
                            <a:solidFill>
                              <a:srgbClr val="000000"/>
                            </a:solidFill>
                            <a:miter lim="800000"/>
                            <a:headEnd/>
                            <a:tailEnd/>
                          </a:ln>
                        </wps:spPr>
                        <wps:txbx>
                          <w:txbxContent>
                            <w:p w14:paraId="098DE75D" w14:textId="77777777" w:rsidR="006A5267" w:rsidRDefault="006A5267" w:rsidP="008B4B2B">
                              <w:pPr>
                                <w:jc w:val="center"/>
                              </w:pPr>
                              <w:r>
                                <w:rPr>
                                  <w:rFonts w:hint="eastAsia"/>
                                </w:rPr>
                                <w:t>各</w:t>
                              </w:r>
                              <w:r>
                                <w:rPr>
                                  <w:rFonts w:hint="eastAsia"/>
                                </w:rPr>
                                <w:t xml:space="preserve"> </w:t>
                              </w:r>
                              <w:r>
                                <w:rPr>
                                  <w:rFonts w:hint="eastAsia"/>
                                </w:rPr>
                                <w:t>課</w:t>
                              </w:r>
                              <w:r>
                                <w:rPr>
                                  <w:rFonts w:hint="eastAsia"/>
                                </w:rPr>
                                <w:t xml:space="preserve"> </w:t>
                              </w:r>
                              <w:r>
                                <w:rPr>
                                  <w:rFonts w:hint="eastAsia"/>
                                </w:rPr>
                                <w:t>長</w:t>
                              </w:r>
                            </w:p>
                          </w:txbxContent>
                        </wps:txbx>
                        <wps:bodyPr rot="0" vert="horz" wrap="square" lIns="0" tIns="0" rIns="0" bIns="0" anchor="t" anchorCtr="0" upright="1">
                          <a:noAutofit/>
                        </wps:bodyPr>
                      </wps:wsp>
                      <wps:wsp>
                        <wps:cNvPr id="4284" name="Text Box 11"/>
                        <wps:cNvSpPr txBox="1">
                          <a:spLocks noChangeArrowheads="1"/>
                        </wps:cNvSpPr>
                        <wps:spPr bwMode="auto">
                          <a:xfrm>
                            <a:off x="5754" y="14357"/>
                            <a:ext cx="1650" cy="416"/>
                          </a:xfrm>
                          <a:prstGeom prst="rect">
                            <a:avLst/>
                          </a:prstGeom>
                          <a:solidFill>
                            <a:srgbClr val="FFFFFF"/>
                          </a:solidFill>
                          <a:ln w="9525">
                            <a:solidFill>
                              <a:srgbClr val="000000"/>
                            </a:solidFill>
                            <a:miter lim="800000"/>
                            <a:headEnd/>
                            <a:tailEnd/>
                          </a:ln>
                        </wps:spPr>
                        <wps:txbx>
                          <w:txbxContent>
                            <w:p w14:paraId="07D110A6" w14:textId="77777777" w:rsidR="006A5267" w:rsidRDefault="006A5267" w:rsidP="008B4B2B">
                              <w:pPr>
                                <w:jc w:val="center"/>
                              </w:pPr>
                              <w:r>
                                <w:rPr>
                                  <w:rFonts w:hint="eastAsia"/>
                                </w:rPr>
                                <w:t>各</w:t>
                              </w:r>
                              <w:r>
                                <w:rPr>
                                  <w:rFonts w:hint="eastAsia"/>
                                </w:rPr>
                                <w:t xml:space="preserve"> </w:t>
                              </w:r>
                              <w:r>
                                <w:rPr>
                                  <w:rFonts w:hint="eastAsia"/>
                                </w:rPr>
                                <w:t>職</w:t>
                              </w:r>
                              <w:r>
                                <w:rPr>
                                  <w:rFonts w:hint="eastAsia"/>
                                </w:rPr>
                                <w:t xml:space="preserve"> </w:t>
                              </w:r>
                              <w:r>
                                <w:rPr>
                                  <w:rFonts w:hint="eastAsia"/>
                                </w:rPr>
                                <w:t>員</w:t>
                              </w:r>
                            </w:p>
                          </w:txbxContent>
                        </wps:txbx>
                        <wps:bodyPr rot="0" vert="horz" wrap="square" lIns="0" tIns="0" rIns="0" bIns="0" anchor="t" anchorCtr="0" upright="1">
                          <a:noAutofit/>
                        </wps:bodyPr>
                      </wps:wsp>
                      <wps:wsp>
                        <wps:cNvPr id="4285" name="Text Box 12"/>
                        <wps:cNvSpPr txBox="1">
                          <a:spLocks noChangeArrowheads="1"/>
                        </wps:cNvSpPr>
                        <wps:spPr bwMode="auto">
                          <a:xfrm>
                            <a:off x="8229" y="14357"/>
                            <a:ext cx="1650" cy="416"/>
                          </a:xfrm>
                          <a:prstGeom prst="rect">
                            <a:avLst/>
                          </a:prstGeom>
                          <a:solidFill>
                            <a:srgbClr val="FFFFFF"/>
                          </a:solidFill>
                          <a:ln w="9525">
                            <a:solidFill>
                              <a:srgbClr val="000000"/>
                            </a:solidFill>
                            <a:miter lim="800000"/>
                            <a:headEnd/>
                            <a:tailEnd/>
                          </a:ln>
                        </wps:spPr>
                        <wps:txbx>
                          <w:txbxContent>
                            <w:p w14:paraId="792B2F38" w14:textId="77777777" w:rsidR="006A5267" w:rsidRDefault="006A5267" w:rsidP="008B4B2B">
                              <w:pPr>
                                <w:jc w:val="center"/>
                              </w:pPr>
                              <w:r>
                                <w:rPr>
                                  <w:rFonts w:hint="eastAsia"/>
                                </w:rPr>
                                <w:t>各</w:t>
                              </w:r>
                              <w:r>
                                <w:rPr>
                                  <w:rFonts w:hint="eastAsia"/>
                                </w:rPr>
                                <w:t xml:space="preserve"> </w:t>
                              </w:r>
                              <w:r>
                                <w:rPr>
                                  <w:rFonts w:hint="eastAsia"/>
                                </w:rPr>
                                <w:t>職</w:t>
                              </w:r>
                              <w:r>
                                <w:rPr>
                                  <w:rFonts w:hint="eastAsia"/>
                                </w:rPr>
                                <w:t xml:space="preserve"> </w:t>
                              </w:r>
                              <w:r>
                                <w:rPr>
                                  <w:rFonts w:hint="eastAsia"/>
                                </w:rPr>
                                <w:t>員</w:t>
                              </w:r>
                            </w:p>
                          </w:txbxContent>
                        </wps:txbx>
                        <wps:bodyPr rot="0" vert="horz" wrap="square" lIns="0" tIns="0" rIns="0" bIns="0" anchor="t" anchorCtr="0" upright="1">
                          <a:noAutofit/>
                        </wps:bodyPr>
                      </wps:wsp>
                      <wps:wsp>
                        <wps:cNvPr id="4286" name="Text Box 13"/>
                        <wps:cNvSpPr txBox="1">
                          <a:spLocks noChangeArrowheads="1"/>
                        </wps:cNvSpPr>
                        <wps:spPr bwMode="auto">
                          <a:xfrm>
                            <a:off x="8229" y="13525"/>
                            <a:ext cx="1650" cy="416"/>
                          </a:xfrm>
                          <a:prstGeom prst="rect">
                            <a:avLst/>
                          </a:prstGeom>
                          <a:solidFill>
                            <a:srgbClr val="FFFFFF"/>
                          </a:solidFill>
                          <a:ln w="9525">
                            <a:solidFill>
                              <a:srgbClr val="000000"/>
                            </a:solidFill>
                            <a:miter lim="800000"/>
                            <a:headEnd/>
                            <a:tailEnd/>
                          </a:ln>
                        </wps:spPr>
                        <wps:txbx>
                          <w:txbxContent>
                            <w:p w14:paraId="34150AB6" w14:textId="77777777" w:rsidR="006A5267" w:rsidRDefault="006A5267" w:rsidP="008B4B2B">
                              <w:pPr>
                                <w:jc w:val="center"/>
                              </w:pPr>
                              <w:r>
                                <w:rPr>
                                  <w:rFonts w:hint="eastAsia"/>
                                </w:rPr>
                                <w:t>各出先機関の長</w:t>
                              </w:r>
                            </w:p>
                          </w:txbxContent>
                        </wps:txbx>
                        <wps:bodyPr rot="0" vert="horz" wrap="square" lIns="0" tIns="0" rIns="0" bIns="0" anchor="t" anchorCtr="0" upright="1">
                          <a:noAutofit/>
                        </wps:bodyPr>
                      </wps:wsp>
                      <wps:wsp>
                        <wps:cNvPr id="4288" name="Line 15"/>
                        <wps:cNvCnPr>
                          <a:cxnSpLocks noChangeShapeType="1"/>
                        </wps:cNvCnPr>
                        <wps:spPr bwMode="auto">
                          <a:xfrm>
                            <a:off x="3612" y="12901"/>
                            <a:ext cx="825" cy="0"/>
                          </a:xfrm>
                          <a:prstGeom prst="line">
                            <a:avLst/>
                          </a:prstGeom>
                          <a:noFill/>
                          <a:ln w="9525">
                            <a:solidFill>
                              <a:srgbClr val="000000"/>
                            </a:solidFill>
                            <a:round/>
                            <a:headEnd/>
                            <a:tailEnd type="stealth" w="med" len="med"/>
                          </a:ln>
                          <a:extLst>
                            <a:ext uri="{909E8E84-426E-40DD-AFC4-6F175D3DCCD1}">
                              <a14:hiddenFill xmlns:a14="http://schemas.microsoft.com/office/drawing/2010/main">
                                <a:noFill/>
                              </a14:hiddenFill>
                            </a:ext>
                          </a:extLst>
                        </wps:spPr>
                        <wps:bodyPr/>
                      </wps:wsp>
                      <wps:wsp>
                        <wps:cNvPr id="4289" name="Line 16"/>
                        <wps:cNvCnPr>
                          <a:cxnSpLocks noChangeShapeType="1"/>
                        </wps:cNvCnPr>
                        <wps:spPr bwMode="auto">
                          <a:xfrm>
                            <a:off x="4929" y="12901"/>
                            <a:ext cx="825" cy="0"/>
                          </a:xfrm>
                          <a:prstGeom prst="line">
                            <a:avLst/>
                          </a:prstGeom>
                          <a:noFill/>
                          <a:ln w="9525">
                            <a:solidFill>
                              <a:srgbClr val="000000"/>
                            </a:solidFill>
                            <a:round/>
                            <a:headEnd/>
                            <a:tailEnd type="stealth" w="med" len="med"/>
                          </a:ln>
                          <a:extLst>
                            <a:ext uri="{909E8E84-426E-40DD-AFC4-6F175D3DCCD1}">
                              <a14:hiddenFill xmlns:a14="http://schemas.microsoft.com/office/drawing/2010/main">
                                <a:noFill/>
                              </a14:hiddenFill>
                            </a:ext>
                          </a:extLst>
                        </wps:spPr>
                        <wps:bodyPr/>
                      </wps:wsp>
                      <wps:wsp>
                        <wps:cNvPr id="4290" name="Line 17"/>
                        <wps:cNvCnPr>
                          <a:cxnSpLocks noChangeShapeType="1"/>
                        </wps:cNvCnPr>
                        <wps:spPr bwMode="auto">
                          <a:xfrm>
                            <a:off x="4929" y="13733"/>
                            <a:ext cx="825" cy="0"/>
                          </a:xfrm>
                          <a:prstGeom prst="line">
                            <a:avLst/>
                          </a:prstGeom>
                          <a:noFill/>
                          <a:ln w="9525">
                            <a:solidFill>
                              <a:srgbClr val="000000"/>
                            </a:solidFill>
                            <a:round/>
                            <a:headEnd/>
                            <a:tailEnd type="stealth" w="med" len="med"/>
                          </a:ln>
                          <a:extLst>
                            <a:ext uri="{909E8E84-426E-40DD-AFC4-6F175D3DCCD1}">
                              <a14:hiddenFill xmlns:a14="http://schemas.microsoft.com/office/drawing/2010/main">
                                <a:noFill/>
                              </a14:hiddenFill>
                            </a:ext>
                          </a:extLst>
                        </wps:spPr>
                        <wps:bodyPr/>
                      </wps:wsp>
                      <wps:wsp>
                        <wps:cNvPr id="4291" name="Line 18"/>
                        <wps:cNvCnPr>
                          <a:cxnSpLocks noChangeShapeType="1"/>
                        </wps:cNvCnPr>
                        <wps:spPr bwMode="auto">
                          <a:xfrm>
                            <a:off x="7404" y="13733"/>
                            <a:ext cx="825" cy="0"/>
                          </a:xfrm>
                          <a:prstGeom prst="line">
                            <a:avLst/>
                          </a:prstGeom>
                          <a:noFill/>
                          <a:ln w="9525">
                            <a:solidFill>
                              <a:srgbClr val="000000"/>
                            </a:solidFill>
                            <a:round/>
                            <a:headEnd/>
                            <a:tailEnd type="stealth" w="med" len="med"/>
                          </a:ln>
                          <a:extLst>
                            <a:ext uri="{909E8E84-426E-40DD-AFC4-6F175D3DCCD1}">
                              <a14:hiddenFill xmlns:a14="http://schemas.microsoft.com/office/drawing/2010/main">
                                <a:noFill/>
                              </a14:hiddenFill>
                            </a:ext>
                          </a:extLst>
                        </wps:spPr>
                        <wps:bodyPr/>
                      </wps:wsp>
                      <wps:wsp>
                        <wps:cNvPr id="4292" name="Line 19"/>
                        <wps:cNvCnPr>
                          <a:cxnSpLocks noChangeShapeType="1"/>
                        </wps:cNvCnPr>
                        <wps:spPr bwMode="auto">
                          <a:xfrm>
                            <a:off x="4712" y="11861"/>
                            <a:ext cx="1045" cy="0"/>
                          </a:xfrm>
                          <a:prstGeom prst="line">
                            <a:avLst/>
                          </a:prstGeom>
                          <a:noFill/>
                          <a:ln w="9525">
                            <a:solidFill>
                              <a:srgbClr val="000000"/>
                            </a:solidFill>
                            <a:round/>
                            <a:headEnd/>
                            <a:tailEnd type="stealth" w="med" len="med"/>
                          </a:ln>
                          <a:extLst>
                            <a:ext uri="{909E8E84-426E-40DD-AFC4-6F175D3DCCD1}">
                              <a14:hiddenFill xmlns:a14="http://schemas.microsoft.com/office/drawing/2010/main">
                                <a:noFill/>
                              </a14:hiddenFill>
                            </a:ext>
                          </a:extLst>
                        </wps:spPr>
                        <wps:bodyPr/>
                      </wps:wsp>
                      <wps:wsp>
                        <wps:cNvPr id="4293" name="Line 20"/>
                        <wps:cNvCnPr>
                          <a:cxnSpLocks noChangeShapeType="1"/>
                        </wps:cNvCnPr>
                        <wps:spPr bwMode="auto">
                          <a:xfrm>
                            <a:off x="4709" y="11861"/>
                            <a:ext cx="0" cy="832"/>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4294" name="Line 21"/>
                        <wps:cNvCnPr>
                          <a:cxnSpLocks noChangeShapeType="1"/>
                        </wps:cNvCnPr>
                        <wps:spPr bwMode="auto">
                          <a:xfrm>
                            <a:off x="6579" y="13941"/>
                            <a:ext cx="0" cy="416"/>
                          </a:xfrm>
                          <a:prstGeom prst="line">
                            <a:avLst/>
                          </a:prstGeom>
                          <a:noFill/>
                          <a:ln w="9525">
                            <a:solidFill>
                              <a:srgbClr val="000000"/>
                            </a:solidFill>
                            <a:round/>
                            <a:headEnd/>
                            <a:tailEnd type="stealth" w="med" len="med"/>
                          </a:ln>
                          <a:extLst>
                            <a:ext uri="{909E8E84-426E-40DD-AFC4-6F175D3DCCD1}">
                              <a14:hiddenFill xmlns:a14="http://schemas.microsoft.com/office/drawing/2010/main">
                                <a:noFill/>
                              </a14:hiddenFill>
                            </a:ext>
                          </a:extLst>
                        </wps:spPr>
                        <wps:bodyPr/>
                      </wps:wsp>
                      <wps:wsp>
                        <wps:cNvPr id="4295" name="Line 22"/>
                        <wps:cNvCnPr>
                          <a:cxnSpLocks noChangeShapeType="1"/>
                        </wps:cNvCnPr>
                        <wps:spPr bwMode="auto">
                          <a:xfrm>
                            <a:off x="9054" y="13941"/>
                            <a:ext cx="0" cy="416"/>
                          </a:xfrm>
                          <a:prstGeom prst="line">
                            <a:avLst/>
                          </a:prstGeom>
                          <a:noFill/>
                          <a:ln w="9525">
                            <a:solidFill>
                              <a:srgbClr val="000000"/>
                            </a:solidFill>
                            <a:round/>
                            <a:headEnd/>
                            <a:tailEnd type="stealth" w="med" len="me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xmlns:w16cei="http://schemas.microsoft.com/office/word/2026/wordml/cei">
            <w:pict>
              <v:group w14:anchorId="33BA4867" id="グループ化 1" o:spid="_x0000_s1226" style="position:absolute;left:0;text-align:left;margin-left:44.6pt;margin-top:12.2pt;width:338.25pt;height:156pt;z-index:253303808" coordorigin="3114,11653" coordsize="6765,31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">
                <v:shape id="Text Box 5" o:spid="_x0000_s1227" type="#_x0000_t202" style="position:absolute;left:3114;top:11653;width:495;height:301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" strokeweight="3pt">
                  <v:stroke linestyle="thinThin"/>
                  <v:textbox style="layout-flow:vertical-ideographic" inset=".5mm,4mm,.5mm,3mm">
                    <w:txbxContent>
                      <w:p w14:paraId="50D64C82" w14:textId="77777777" w:rsidR="006A5267" w:rsidRPr="00FB7476" w:rsidRDefault="006A5267" w:rsidP="008B4B2B">
                        <w:pPr>
                          <w:rPr>
                            <w:color w:val="000000"/>
                          </w:rPr>
                        </w:pPr>
                        <w:r w:rsidRPr="00FB7476">
                          <w:rPr>
                            <w:rFonts w:hint="eastAsia"/>
                            <w:color w:val="000000"/>
                          </w:rPr>
                          <w:t>防災・危機管理指令部</w:t>
                        </w:r>
                      </w:p>
                    </w:txbxContent>
                  </v:textbox>
                </v:shape>
                <v:shape id="Text Box 6" o:spid="_x0000_s1228" type="#_x0000_t202" style="position:absolute;left:5754;top:11653;width:1650;height:41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">
                  <v:textbox inset="0,0,0,0">
                    <w:txbxContent>
                      <w:p w14:paraId="234B9C0D" w14:textId="77777777" w:rsidR="006A5267" w:rsidRDefault="006A5267" w:rsidP="008B4B2B">
                        <w:pPr>
                          <w:jc w:val="center"/>
                        </w:pPr>
                        <w:r>
                          <w:rPr>
                            <w:rFonts w:hint="eastAsia"/>
                          </w:rPr>
                          <w:t>各</w:t>
                        </w:r>
                        <w:r>
                          <w:rPr>
                            <w:rFonts w:hint="eastAsia"/>
                          </w:rPr>
                          <w:t xml:space="preserve"> </w:t>
                        </w:r>
                        <w:r>
                          <w:rPr>
                            <w:rFonts w:hint="eastAsia"/>
                          </w:rPr>
                          <w:t>部</w:t>
                        </w:r>
                        <w:r>
                          <w:rPr>
                            <w:rFonts w:hint="eastAsia"/>
                          </w:rPr>
                          <w:t xml:space="preserve"> </w:t>
                        </w:r>
                        <w:r>
                          <w:rPr>
                            <w:rFonts w:hint="eastAsia"/>
                          </w:rPr>
                          <w:t>長</w:t>
                        </w:r>
                      </w:p>
                    </w:txbxContent>
                  </v:textbox>
                </v:shape>
                <v:shape id="Text Box 7" o:spid="_x0000_s1229" type="#_x0000_t202" style="position:absolute;left:6964;top:12069;width:1650;height:41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">
                  <v:textbox inset="0,0,0,0">
                    <w:txbxContent>
                      <w:p w14:paraId="0A298DF8" w14:textId="77777777" w:rsidR="006A5267" w:rsidRDefault="006A5267" w:rsidP="008B4B2B">
                        <w:pPr>
                          <w:jc w:val="center"/>
                        </w:pPr>
                        <w:r>
                          <w:rPr>
                            <w:rFonts w:hint="eastAsia"/>
                          </w:rPr>
                          <w:t>次</w:t>
                        </w:r>
                        <w:r>
                          <w:rPr>
                            <w:rFonts w:hint="eastAsia"/>
                          </w:rPr>
                          <w:t xml:space="preserve">  </w:t>
                        </w:r>
                        <w:r>
                          <w:rPr>
                            <w:rFonts w:hint="eastAsia"/>
                          </w:rPr>
                          <w:t>長</w:t>
                        </w:r>
                      </w:p>
                    </w:txbxContent>
                  </v:textbox>
                </v:shape>
                <v:shape id="Text Box 8" o:spid="_x0000_s1230" type="#_x0000_t202" style="position:absolute;left:5754;top:12693;width:1650;height:41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">
                  <v:textbox inset="0,0,0,0">
                    <w:txbxContent>
                      <w:p w14:paraId="3CDDDB30" w14:textId="77777777" w:rsidR="006A5267" w:rsidRDefault="006A5267" w:rsidP="008B4B2B">
                        <w:pPr>
                          <w:jc w:val="center"/>
                        </w:pPr>
                        <w:r>
                          <w:rPr>
                            <w:rFonts w:hint="eastAsia"/>
                          </w:rPr>
                          <w:t>各部主管課長</w:t>
                        </w:r>
                      </w:p>
                      <w:p w14:paraId="262E8E71" w14:textId="77777777" w:rsidR="006A5267" w:rsidRDefault="006A5267" w:rsidP="008B4B2B">
                        <w:pPr>
                          <w:jc w:val="center"/>
                        </w:pPr>
                      </w:p>
                    </w:txbxContent>
                  </v:textbox>
                </v:shape>
                <v:shape id="Text Box 9" o:spid="_x0000_s1231" type="#_x0000_t202" style="position:absolute;left:4434;top:12693;width:495;height:19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">
                  <v:textbox style="layout-flow:vertical-ideographic" inset=".5mm,4mm,.5mm,3mm">
                    <w:txbxContent>
                      <w:p w14:paraId="26D5BEE6" w14:textId="77777777" w:rsidR="006A5267" w:rsidRDefault="006A5267" w:rsidP="008B4B2B">
                        <w:r>
                          <w:rPr>
                            <w:rFonts w:hint="eastAsia"/>
                          </w:rPr>
                          <w:t>各部連絡責任者</w:t>
                        </w:r>
                      </w:p>
                    </w:txbxContent>
                  </v:textbox>
                </v:shape>
                <v:shape id="Text Box 10" o:spid="_x0000_s1232" type="#_x0000_t202" style="position:absolute;left:5754;top:13525;width:1650;height:41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">
                  <v:textbox inset="0,0,0,0">
                    <w:txbxContent>
                      <w:p w14:paraId="098DE75D" w14:textId="77777777" w:rsidR="006A5267" w:rsidRDefault="006A5267" w:rsidP="008B4B2B">
                        <w:pPr>
                          <w:jc w:val="center"/>
                        </w:pPr>
                        <w:r>
                          <w:rPr>
                            <w:rFonts w:hint="eastAsia"/>
                          </w:rPr>
                          <w:t>各</w:t>
                        </w:r>
                        <w:r>
                          <w:rPr>
                            <w:rFonts w:hint="eastAsia"/>
                          </w:rPr>
                          <w:t xml:space="preserve"> </w:t>
                        </w:r>
                        <w:r>
                          <w:rPr>
                            <w:rFonts w:hint="eastAsia"/>
                          </w:rPr>
                          <w:t>課</w:t>
                        </w:r>
                        <w:r>
                          <w:rPr>
                            <w:rFonts w:hint="eastAsia"/>
                          </w:rPr>
                          <w:t xml:space="preserve"> </w:t>
                        </w:r>
                        <w:r>
                          <w:rPr>
                            <w:rFonts w:hint="eastAsia"/>
                          </w:rPr>
                          <w:t>長</w:t>
                        </w:r>
                      </w:p>
                    </w:txbxContent>
                  </v:textbox>
                </v:shape>
                <v:shape id="Text Box 11" o:spid="_x0000_s1233" type="#_x0000_t202" style="position:absolute;left:5754;top:14357;width:1650;height:41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">
                  <v:textbox inset="0,0,0,0">
                    <w:txbxContent>
                      <w:p w14:paraId="07D110A6" w14:textId="77777777" w:rsidR="006A5267" w:rsidRDefault="006A5267" w:rsidP="008B4B2B">
                        <w:pPr>
                          <w:jc w:val="center"/>
                        </w:pPr>
                        <w:r>
                          <w:rPr>
                            <w:rFonts w:hint="eastAsia"/>
                          </w:rPr>
                          <w:t>各</w:t>
                        </w:r>
                        <w:r>
                          <w:rPr>
                            <w:rFonts w:hint="eastAsia"/>
                          </w:rPr>
                          <w:t xml:space="preserve"> </w:t>
                        </w:r>
                        <w:r>
                          <w:rPr>
                            <w:rFonts w:hint="eastAsia"/>
                          </w:rPr>
                          <w:t>職</w:t>
                        </w:r>
                        <w:r>
                          <w:rPr>
                            <w:rFonts w:hint="eastAsia"/>
                          </w:rPr>
                          <w:t xml:space="preserve"> </w:t>
                        </w:r>
                        <w:r>
                          <w:rPr>
                            <w:rFonts w:hint="eastAsia"/>
                          </w:rPr>
                          <w:t>員</w:t>
                        </w:r>
                      </w:p>
                    </w:txbxContent>
                  </v:textbox>
                </v:shape>
                <v:shape id="Text Box 12" o:spid="_x0000_s1234" type="#_x0000_t202" style="position:absolute;left:8229;top:14357;width:1650;height:41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">
                  <v:textbox inset="0,0,0,0">
                    <w:txbxContent>
                      <w:p w14:paraId="792B2F38" w14:textId="77777777" w:rsidR="006A5267" w:rsidRDefault="006A5267" w:rsidP="008B4B2B">
                        <w:pPr>
                          <w:jc w:val="center"/>
                        </w:pPr>
                        <w:r>
                          <w:rPr>
                            <w:rFonts w:hint="eastAsia"/>
                          </w:rPr>
                          <w:t>各</w:t>
                        </w:r>
                        <w:r>
                          <w:rPr>
                            <w:rFonts w:hint="eastAsia"/>
                          </w:rPr>
                          <w:t xml:space="preserve"> </w:t>
                        </w:r>
                        <w:r>
                          <w:rPr>
                            <w:rFonts w:hint="eastAsia"/>
                          </w:rPr>
                          <w:t>職</w:t>
                        </w:r>
                        <w:r>
                          <w:rPr>
                            <w:rFonts w:hint="eastAsia"/>
                          </w:rPr>
                          <w:t xml:space="preserve"> </w:t>
                        </w:r>
                        <w:r>
                          <w:rPr>
                            <w:rFonts w:hint="eastAsia"/>
                          </w:rPr>
                          <w:t>員</w:t>
                        </w:r>
                      </w:p>
                    </w:txbxContent>
                  </v:textbox>
                </v:shape>
                <v:shape id="Text Box 13" o:spid="_x0000_s1235" type="#_x0000_t202" style="position:absolute;left:8229;top:13525;width:1650;height:41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">
                  <v:textbox inset="0,0,0,0">
                    <w:txbxContent>
                      <w:p w14:paraId="34150AB6" w14:textId="77777777" w:rsidR="006A5267" w:rsidRDefault="006A5267" w:rsidP="008B4B2B">
                        <w:pPr>
                          <w:jc w:val="center"/>
                        </w:pPr>
                        <w:r>
                          <w:rPr>
                            <w:rFonts w:hint="eastAsia"/>
                          </w:rPr>
                          <w:t>各出先機関の長</w:t>
                        </w:r>
                      </w:p>
                    </w:txbxContent>
                  </v:textbox>
                </v:shape>
                <v:line id="Line 15" o:spid="_x0000_s1236" style="position:absolute;visibility:visible;mso-wrap-style:square" from="3612,12901" to="4437,1290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">
                  <v:stroke endarrow="classic"/>
                </v:line>
                <v:line id="Line 16" o:spid="_x0000_s1237" style="position:absolute;visibility:visible;mso-wrap-style:square" from="4929,12901" to="5754,1290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">
                  <v:stroke endarrow="classic"/>
                </v:line>
                <v:line id="Line 17" o:spid="_x0000_s1238" style="position:absolute;visibility:visible;mso-wrap-style:square" from="4929,13733" to="5754,1373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">
                  <v:stroke endarrow="classic"/>
                </v:line>
                <v:line id="Line 18" o:spid="_x0000_s1239" style="position:absolute;visibility:visible;mso-wrap-style:square" from="7404,13733" to="8229,1373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">
                  <v:stroke endarrow="classic"/>
                </v:line>
                <v:line id="Line 19" o:spid="_x0000_s1240" style="position:absolute;visibility:visible;mso-wrap-style:square" from="4712,11861" to="5757,1186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">
                  <v:stroke endarrow="classic"/>
                </v:line>
                <v:line id="Line 20" o:spid="_x0000_s1241" style="position:absolute;visibility:visible;mso-wrap-style:square" from="4709,11861" to="4709,1269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"/>
                <v:line id="Line 21" o:spid="_x0000_s1242" style="position:absolute;visibility:visible;mso-wrap-style:square" from="6579,13941" to="6579,1435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">
                  <v:stroke endarrow="classic"/>
                </v:line>
                <v:line id="Line 22" o:spid="_x0000_s1243" style="position:absolute;visibility:visible;mso-wrap-style:square" from="9054,13941" to="9054,1435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">
                  <v:stroke endarrow="classic"/>
                </v:line>
              </v:group>
            </w:pict>
          </mc:Fallback>
        </mc:AlternateContent>
      </w:r>
    </w:p>
    <w:p w14:paraId="48060A8E" w14:textId="77777777" w:rsidR="008B4B2B" w:rsidRPr="001D6D10" w:rsidRDefault="008B4B2B" w:rsidP="008B4B2B"/>
    <w:p w14:paraId="2ACFD1E3" w14:textId="77777777" w:rsidR="008B4B2B" w:rsidRPr="001D6D10" w:rsidRDefault="008B4B2B" w:rsidP="008B4B2B"/>
    <w:p w14:paraId="01B3C550" w14:textId="77777777" w:rsidR="008B4B2B" w:rsidRPr="001D6D10" w:rsidRDefault="008B4B2B" w:rsidP="008B4B2B"/>
    <w:p w14:paraId="68A54B5A" w14:textId="77777777" w:rsidR="008B4B2B" w:rsidRPr="001D6D10" w:rsidRDefault="008B4B2B" w:rsidP="008B4B2B"/>
    <w:p w14:paraId="2848ABDE" w14:textId="77777777" w:rsidR="008B4B2B" w:rsidRPr="001D6D10" w:rsidRDefault="008B4B2B" w:rsidP="008B4B2B"/>
    <w:p w14:paraId="06F62AE9" w14:textId="77777777" w:rsidR="008B4B2B" w:rsidRPr="001D6D10" w:rsidRDefault="008B4B2B" w:rsidP="008B4B2B"/>
    <w:p w14:paraId="2CD8D628" w14:textId="77777777" w:rsidR="008B4B2B" w:rsidRPr="001D6D10" w:rsidRDefault="008B4B2B" w:rsidP="008B4B2B"/>
    <w:p w14:paraId="159C8823" w14:textId="77777777" w:rsidR="008B4B2B" w:rsidRPr="001D6D10" w:rsidRDefault="008B4B2B" w:rsidP="008B4B2B"/>
    <w:p w14:paraId="3AC3AA2A" w14:textId="66EE9002" w:rsidR="00CD50FD" w:rsidRDefault="00CD50FD" w:rsidP="00111850">
      <w:pPr>
        <w:pStyle w:val="a0"/>
        <w:rPr>
          <w:sz w:val="22"/>
          <w:szCs w:val="22"/>
        </w:rPr>
      </w:pPr>
    </w:p>
    <w:p w14:paraId="69177F68" w14:textId="77777777" w:rsidR="00F90978" w:rsidRDefault="00F90978" w:rsidP="00111850">
      <w:pPr>
        <w:pStyle w:val="a0"/>
        <w:rPr>
          <w:sz w:val="22"/>
          <w:szCs w:val="22"/>
        </w:rPr>
      </w:pPr>
    </w:p>
    <w:p w14:paraId="1C69293D" w14:textId="48533276" w:rsidR="008B4B2B" w:rsidRPr="001D6D10" w:rsidRDefault="008B4B2B" w:rsidP="008B4B2B">
      <w:pPr>
        <w:pStyle w:val="a0"/>
        <w:ind w:leftChars="400" w:left="1176" w:hangingChars="150" w:hanging="332"/>
        <w:rPr>
          <w:sz w:val="22"/>
          <w:szCs w:val="22"/>
        </w:rPr>
      </w:pPr>
      <w:r w:rsidRPr="001D6D10">
        <w:rPr>
          <w:rFonts w:hint="eastAsia"/>
          <w:sz w:val="22"/>
          <w:szCs w:val="22"/>
        </w:rPr>
        <w:t>(3)　勤務時間外における動員体制等</w:t>
      </w:r>
    </w:p>
    <w:p w14:paraId="11208FB8" w14:textId="77777777" w:rsidR="00F90978" w:rsidRPr="00AD2C7A" w:rsidRDefault="008B4B2B" w:rsidP="00F90978">
      <w:pPr>
        <w:pStyle w:val="a0"/>
        <w:ind w:leftChars="550" w:left="1161" w:firstLineChars="100" w:firstLine="221"/>
        <w:rPr>
          <w:sz w:val="22"/>
          <w:szCs w:val="22"/>
        </w:rPr>
      </w:pPr>
      <w:r w:rsidRPr="001D6D10">
        <w:rPr>
          <w:rFonts w:hint="eastAsia"/>
          <w:sz w:val="22"/>
          <w:szCs w:val="22"/>
        </w:rPr>
        <w:t>勤務時間外に、府域において震度４を観測したときは非常１号配備が、また、震度５弱・５強を観測したときは非常２号配備が、震度６弱以上の震度を観測したときは非常３号配備が自動的に指令されたものとし、配備職員は直ちに、自らが所属する勤務場所へ</w:t>
      </w:r>
      <w:r w:rsidR="00F90978" w:rsidRPr="00AD2C7A">
        <w:rPr>
          <w:rFonts w:hint="eastAsia"/>
          <w:sz w:val="22"/>
          <w:szCs w:val="22"/>
        </w:rPr>
        <w:t>原則参集する。</w:t>
      </w:r>
    </w:p>
    <w:p w14:paraId="293633B4" w14:textId="52F784C4" w:rsidR="00F90978" w:rsidRPr="00AD2C7A" w:rsidRDefault="00F90978" w:rsidP="00F90978">
      <w:pPr>
        <w:pStyle w:val="a0"/>
        <w:ind w:leftChars="550" w:left="1161" w:firstLineChars="100" w:firstLine="221"/>
        <w:rPr>
          <w:sz w:val="22"/>
          <w:szCs w:val="22"/>
        </w:rPr>
      </w:pPr>
      <w:r w:rsidRPr="00AD2C7A">
        <w:rPr>
          <w:rFonts w:hint="eastAsia"/>
          <w:sz w:val="22"/>
          <w:szCs w:val="22"/>
        </w:rPr>
        <w:t>ただし、非常３号配備を除き、配備区分に伴う対応が</w:t>
      </w:r>
      <w:r w:rsidR="0058625B" w:rsidRPr="00AD2C7A">
        <w:rPr>
          <w:rFonts w:hAnsi="ＭＳ 明朝" w:cs="Times New Roman" w:hint="eastAsia"/>
          <w:kern w:val="0"/>
          <w:sz w:val="22"/>
        </w:rPr>
        <w:t>可能な場合（例：自宅において連絡や指示が行えるなど）には</w:t>
      </w:r>
      <w:r w:rsidRPr="00AD2C7A">
        <w:rPr>
          <w:rFonts w:hAnsi="ＭＳ 明朝" w:cs="Times New Roman" w:hint="eastAsia"/>
          <w:sz w:val="22"/>
        </w:rPr>
        <w:t>、勤務場所又は所定の場所への参集を求めるものではない。</w:t>
      </w:r>
    </w:p>
    <w:p w14:paraId="512D91CC" w14:textId="1F6A3A2A" w:rsidR="00496047" w:rsidRPr="00AD2C7A" w:rsidRDefault="00496047" w:rsidP="00F90978">
      <w:pPr>
        <w:pStyle w:val="a0"/>
        <w:ind w:leftChars="550" w:left="1161" w:firstLineChars="100" w:firstLine="221"/>
        <w:rPr>
          <w:sz w:val="22"/>
          <w:szCs w:val="22"/>
        </w:rPr>
      </w:pPr>
    </w:p>
    <w:p w14:paraId="756D46BA" w14:textId="5B919608" w:rsidR="008B4B2B" w:rsidRPr="001D6D10" w:rsidRDefault="00F90978" w:rsidP="008B4B2B">
      <w:pPr>
        <w:pStyle w:val="a0"/>
        <w:ind w:leftChars="550" w:left="1161" w:firstLineChars="100" w:firstLine="221"/>
        <w:rPr>
          <w:sz w:val="22"/>
          <w:szCs w:val="22"/>
        </w:rPr>
      </w:pPr>
      <w:r w:rsidRPr="00AD2C7A">
        <w:rPr>
          <w:rFonts w:hint="eastAsia"/>
          <w:sz w:val="22"/>
          <w:szCs w:val="22"/>
        </w:rPr>
        <w:t>また</w:t>
      </w:r>
      <w:r w:rsidR="008B4B2B" w:rsidRPr="001D6D10">
        <w:rPr>
          <w:rFonts w:hint="eastAsia"/>
          <w:sz w:val="22"/>
          <w:szCs w:val="22"/>
        </w:rPr>
        <w:t>、府域に震度５弱以上の震度を観測したとき、緊急防災推進員（表１－｢緊急防災推進員配備職員数｣）及び各部で参集場所が決められている職員は、あらかじめ指定された参集場所に参集するものとする。</w:t>
      </w:r>
    </w:p>
    <w:p w14:paraId="7C3F4A2C" w14:textId="77777777" w:rsidR="00F951FA" w:rsidRPr="001D6D10" w:rsidRDefault="00F951FA" w:rsidP="00F951FA">
      <w:pPr>
        <w:pStyle w:val="a0"/>
        <w:ind w:leftChars="550" w:left="1161" w:firstLineChars="100" w:firstLine="221"/>
        <w:rPr>
          <w:sz w:val="22"/>
          <w:szCs w:val="22"/>
        </w:rPr>
      </w:pPr>
      <w:r w:rsidRPr="001D6D10">
        <w:rPr>
          <w:rFonts w:hint="eastAsia"/>
          <w:sz w:val="22"/>
          <w:szCs w:val="22"/>
        </w:rPr>
        <w:lastRenderedPageBreak/>
        <w:t>（ただ</w:t>
      </w:r>
      <w:r w:rsidR="00F62C99" w:rsidRPr="001D6D10">
        <w:rPr>
          <w:rFonts w:hint="eastAsia"/>
          <w:sz w:val="22"/>
          <w:szCs w:val="22"/>
        </w:rPr>
        <w:t>し、市町村本庁舎に参集する緊急防災推進員については、当該市町村において震度５弱以上を観測した場合に指定された場所に参集する。）</w:t>
      </w:r>
    </w:p>
    <w:p w14:paraId="1B1539CF" w14:textId="7EC63D68" w:rsidR="00D479F5" w:rsidRPr="00AD2C7A" w:rsidRDefault="00D479F5" w:rsidP="00E804A4">
      <w:pPr>
        <w:pStyle w:val="a0"/>
        <w:ind w:leftChars="550" w:left="1161" w:firstLineChars="100" w:firstLine="221"/>
        <w:rPr>
          <w:rFonts w:asciiTheme="minorEastAsia" w:hAnsiTheme="minorEastAsia"/>
          <w:sz w:val="22"/>
          <w:szCs w:val="22"/>
        </w:rPr>
      </w:pPr>
      <w:r w:rsidRPr="00AD2C7A">
        <w:rPr>
          <w:rFonts w:asciiTheme="minorEastAsia" w:hAnsiTheme="minorEastAsia" w:hint="eastAsia"/>
          <w:sz w:val="22"/>
          <w:szCs w:val="22"/>
        </w:rPr>
        <w:t>なお、南海トラフ地震臨時情報が発表された場合</w:t>
      </w:r>
      <w:r w:rsidR="0033023B" w:rsidRPr="00AD2C7A">
        <w:rPr>
          <w:rFonts w:asciiTheme="minorEastAsia" w:hAnsiTheme="minorEastAsia" w:hint="eastAsia"/>
          <w:sz w:val="22"/>
          <w:szCs w:val="22"/>
        </w:rPr>
        <w:t>、地震発生のリスクが相対的に高まっていることから、緊急防災推進員は災害への意識を高めるとともに非常時に対応できるよう準備</w:t>
      </w:r>
      <w:r w:rsidR="00E804A4" w:rsidRPr="00AD2C7A">
        <w:rPr>
          <w:rFonts w:asciiTheme="minorEastAsia" w:hAnsiTheme="minorEastAsia" w:hint="eastAsia"/>
          <w:sz w:val="22"/>
          <w:szCs w:val="22"/>
        </w:rPr>
        <w:t>（マニュアル</w:t>
      </w:r>
      <w:r w:rsidR="00D04315" w:rsidRPr="00AD2C7A">
        <w:rPr>
          <w:rFonts w:asciiTheme="minorEastAsia" w:hAnsiTheme="minorEastAsia" w:hint="eastAsia"/>
          <w:sz w:val="22"/>
          <w:szCs w:val="22"/>
        </w:rPr>
        <w:t>等</w:t>
      </w:r>
      <w:r w:rsidR="00E804A4" w:rsidRPr="00AD2C7A">
        <w:rPr>
          <w:rFonts w:asciiTheme="minorEastAsia" w:hAnsiTheme="minorEastAsia" w:hint="eastAsia"/>
          <w:sz w:val="22"/>
          <w:szCs w:val="22"/>
        </w:rPr>
        <w:t>の確認）</w:t>
      </w:r>
      <w:r w:rsidR="0033023B" w:rsidRPr="00AD2C7A">
        <w:rPr>
          <w:rFonts w:asciiTheme="minorEastAsia" w:hAnsiTheme="minorEastAsia" w:hint="eastAsia"/>
          <w:sz w:val="22"/>
          <w:szCs w:val="22"/>
        </w:rPr>
        <w:t>を行うものとする。</w:t>
      </w:r>
    </w:p>
    <w:p w14:paraId="6D427594" w14:textId="77777777" w:rsidR="00D479F5" w:rsidRPr="001D6D10" w:rsidRDefault="00D479F5" w:rsidP="008B4B2B">
      <w:pPr>
        <w:pStyle w:val="a0"/>
        <w:ind w:leftChars="550" w:left="1161" w:firstLineChars="100" w:firstLine="221"/>
        <w:rPr>
          <w:rFonts w:asciiTheme="minorEastAsia" w:hAnsiTheme="minorEastAsia"/>
          <w:sz w:val="22"/>
          <w:szCs w:val="22"/>
        </w:rPr>
      </w:pPr>
    </w:p>
    <w:p w14:paraId="577CD087" w14:textId="60D46C7A" w:rsidR="008B4B2B" w:rsidRPr="001D6D10" w:rsidRDefault="008B4B2B" w:rsidP="008B4B2B">
      <w:pPr>
        <w:pStyle w:val="a0"/>
        <w:ind w:leftChars="550" w:left="1161" w:firstLineChars="100" w:firstLine="221"/>
        <w:rPr>
          <w:sz w:val="22"/>
          <w:szCs w:val="22"/>
        </w:rPr>
      </w:pPr>
      <w:r w:rsidRPr="001D6D10">
        <w:rPr>
          <w:rFonts w:asciiTheme="minorEastAsia" w:hAnsiTheme="minorEastAsia" w:hint="eastAsia"/>
          <w:sz w:val="22"/>
          <w:szCs w:val="22"/>
        </w:rPr>
        <w:t>また、府域に震度６弱以上の震度を観測したときで、緊急防災推進員及び各部で参集場所が決められている職員以外のものは、</w:t>
      </w:r>
      <w:r w:rsidRPr="001D6D10">
        <w:rPr>
          <w:rFonts w:hint="eastAsia"/>
          <w:sz w:val="22"/>
          <w:szCs w:val="22"/>
        </w:rPr>
        <w:t>できる限り自らが所属する勤務場所へ参集するものとするが、交通機関等の途絶により自ら所属する勤務場所に参集することが困難となった場合、</w:t>
      </w:r>
      <w:r w:rsidR="00502931" w:rsidRPr="001D6D10">
        <w:rPr>
          <w:rFonts w:hint="eastAsia"/>
          <w:sz w:val="22"/>
          <w:szCs w:val="22"/>
        </w:rPr>
        <w:t>安否確認システムにて安否の報</w:t>
      </w:r>
      <w:r w:rsidR="008E2DD5" w:rsidRPr="001D6D10">
        <w:rPr>
          <w:rFonts w:hint="eastAsia"/>
          <w:sz w:val="22"/>
          <w:szCs w:val="22"/>
        </w:rPr>
        <w:t>告を行ったうえ、安全な場所で待機しつつ情報収集に努め、通信環境が確保されている場合は、可能な災害時の業務について、在宅勤務を組み合わせる。</w:t>
      </w:r>
    </w:p>
    <w:p w14:paraId="6A58B07E" w14:textId="77777777" w:rsidR="008B4B2B" w:rsidRPr="001D6D10" w:rsidRDefault="008B4B2B" w:rsidP="008B4B2B">
      <w:pPr>
        <w:pStyle w:val="a0"/>
        <w:ind w:leftChars="550" w:left="1161" w:rightChars="26" w:right="55"/>
        <w:rPr>
          <w:sz w:val="22"/>
          <w:szCs w:val="22"/>
        </w:rPr>
      </w:pPr>
      <w:r w:rsidRPr="001D6D10">
        <w:rPr>
          <w:rFonts w:hint="eastAsia"/>
          <w:sz w:val="22"/>
          <w:szCs w:val="22"/>
        </w:rPr>
        <w:t>（参集困難の目安は、概ね勤務場所から徒歩で20km圏外、自転車で40km圏外に居住している場合とする。）</w:t>
      </w:r>
    </w:p>
    <w:p w14:paraId="5706CC83" w14:textId="77777777" w:rsidR="006F7A27" w:rsidRPr="00AD2C7A" w:rsidRDefault="006F7A27" w:rsidP="006F7A27">
      <w:pPr>
        <w:pStyle w:val="a0"/>
        <w:ind w:leftChars="550" w:left="1161" w:firstLineChars="100" w:firstLine="221"/>
        <w:rPr>
          <w:rFonts w:asciiTheme="minorEastAsia" w:hAnsiTheme="minorEastAsia"/>
          <w:sz w:val="22"/>
          <w:szCs w:val="22"/>
        </w:rPr>
      </w:pPr>
      <w:r w:rsidRPr="00AD2C7A">
        <w:rPr>
          <w:rFonts w:asciiTheme="minorEastAsia" w:hAnsiTheme="minorEastAsia" w:hint="eastAsia"/>
          <w:sz w:val="22"/>
          <w:szCs w:val="22"/>
        </w:rPr>
        <w:t>なお、いずれの場合においても、配備期間が長期化することを想定し、一部職員に負担が偏ることのないよう、初動対応以降においては、できる限りローテーションで配備するものとする。</w:t>
      </w:r>
    </w:p>
    <w:p w14:paraId="28EA2B03" w14:textId="77777777" w:rsidR="006F7A27" w:rsidRPr="006F7A27" w:rsidRDefault="006F7A27" w:rsidP="008B4B2B">
      <w:pPr>
        <w:pStyle w:val="a0"/>
        <w:ind w:leftChars="550" w:left="1161"/>
        <w:rPr>
          <w:sz w:val="22"/>
          <w:szCs w:val="22"/>
        </w:rPr>
      </w:pPr>
    </w:p>
    <w:p w14:paraId="7A68F95E" w14:textId="77777777" w:rsidR="008B4B2B" w:rsidRPr="001D6D10" w:rsidRDefault="008B4B2B" w:rsidP="008B4B2B">
      <w:pPr>
        <w:pStyle w:val="a0"/>
        <w:ind w:leftChars="550" w:left="1161"/>
        <w:rPr>
          <w:sz w:val="22"/>
          <w:szCs w:val="22"/>
        </w:rPr>
      </w:pPr>
      <w:r w:rsidRPr="001D6D10">
        <w:rPr>
          <w:rFonts w:hint="eastAsia"/>
          <w:sz w:val="22"/>
          <w:szCs w:val="22"/>
        </w:rPr>
        <w:t xml:space="preserve">　また、時間外に災害等が発生した場合で、大阪府に</w:t>
      </w:r>
      <w:r w:rsidRPr="001D6D10">
        <w:rPr>
          <w:rFonts w:hAnsi="ＭＳ 明朝" w:hint="eastAsia"/>
          <w:sz w:val="22"/>
          <w:szCs w:val="22"/>
        </w:rPr>
        <w:t>（大）津波警報</w:t>
      </w:r>
      <w:r w:rsidRPr="001D6D10">
        <w:rPr>
          <w:rFonts w:hint="eastAsia"/>
          <w:sz w:val="22"/>
          <w:szCs w:val="22"/>
        </w:rPr>
        <w:t>が発表されている場合、咲洲庁舎勤務の職員は、原則として大手前（非常参集場所）に参集するものとする。</w:t>
      </w:r>
    </w:p>
    <w:p w14:paraId="28339372" w14:textId="423FEFA0" w:rsidR="008B4B2B" w:rsidRDefault="008B4B2B" w:rsidP="008B4B2B">
      <w:pPr>
        <w:pStyle w:val="a0"/>
        <w:ind w:leftChars="550" w:left="1161" w:firstLineChars="100" w:firstLine="221"/>
        <w:rPr>
          <w:sz w:val="22"/>
          <w:szCs w:val="22"/>
        </w:rPr>
      </w:pPr>
      <w:r w:rsidRPr="001D6D10">
        <w:rPr>
          <w:rFonts w:hint="eastAsia"/>
          <w:sz w:val="22"/>
          <w:szCs w:val="22"/>
        </w:rPr>
        <w:t>なお、あらかじめ参集する場所を指定されている職員（災対本部員、指令部員、各部連絡責任者、災対本部地域連絡部員、災対本部事務局職員、緊急防災推進員等）には、補完的に防災情報メールにより緊急連絡を行うものとする。</w:t>
      </w:r>
    </w:p>
    <w:p w14:paraId="01A250BE" w14:textId="147690BB" w:rsidR="00DE33AD" w:rsidRDefault="00DE33AD">
      <w:pPr>
        <w:widowControl/>
        <w:jc w:val="left"/>
        <w:rPr>
          <w:rFonts w:ascii="ＭＳ 明朝" w:hAnsi="Courier New" w:cs="Courier New"/>
          <w:sz w:val="22"/>
          <w:szCs w:val="22"/>
        </w:rPr>
      </w:pPr>
      <w:r>
        <w:rPr>
          <w:sz w:val="22"/>
          <w:szCs w:val="22"/>
        </w:rPr>
        <w:br w:type="page"/>
      </w:r>
    </w:p>
    <w:p w14:paraId="340BF49A" w14:textId="77777777" w:rsidR="008B4B2B" w:rsidRPr="001D6D10" w:rsidRDefault="008B4B2B" w:rsidP="008B4B2B">
      <w:pPr>
        <w:ind w:left="1105" w:hangingChars="500" w:hanging="1105"/>
        <w:jc w:val="center"/>
        <w:rPr>
          <w:rFonts w:hAnsi="ＭＳ 明朝"/>
          <w:sz w:val="22"/>
          <w:szCs w:val="22"/>
        </w:rPr>
      </w:pPr>
      <w:r w:rsidRPr="001D6D10">
        <w:rPr>
          <w:rFonts w:hAnsi="ＭＳ 明朝" w:hint="eastAsia"/>
          <w:sz w:val="22"/>
          <w:szCs w:val="22"/>
        </w:rPr>
        <w:lastRenderedPageBreak/>
        <w:t>表１－「緊急防災推進員配備職員数」</w:t>
      </w:r>
    </w:p>
    <w:tbl>
      <w:tblPr>
        <w:tblpPr w:leftFromText="142" w:rightFromText="142" w:vertAnchor="text" w:tblpXSpec="center" w:tblpY="1"/>
        <w:tblOverlap w:val="never"/>
        <w:tblW w:w="886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058"/>
        <w:gridCol w:w="3267"/>
        <w:gridCol w:w="3543"/>
      </w:tblGrid>
      <w:tr w:rsidR="001D6D10" w:rsidRPr="001D6D10" w14:paraId="4CFE179F" w14:textId="77777777" w:rsidTr="006A3D02">
        <w:trPr>
          <w:jc w:val="center"/>
        </w:trPr>
        <w:tc>
          <w:tcPr>
            <w:tcW w:w="2058" w:type="dxa"/>
            <w:shd w:val="clear" w:color="auto" w:fill="F2F2F2"/>
          </w:tcPr>
          <w:p w14:paraId="49B38426" w14:textId="77777777" w:rsidR="008B4B2B" w:rsidRPr="001D6D10" w:rsidRDefault="008B4B2B" w:rsidP="008B4B2B">
            <w:pPr>
              <w:pStyle w:val="a0"/>
              <w:jc w:val="center"/>
              <w:rPr>
                <w:sz w:val="22"/>
                <w:szCs w:val="22"/>
              </w:rPr>
            </w:pPr>
            <w:r w:rsidRPr="001D6D10">
              <w:rPr>
                <w:rFonts w:hint="eastAsia"/>
                <w:sz w:val="22"/>
                <w:szCs w:val="22"/>
              </w:rPr>
              <w:t>配備場所</w:t>
            </w:r>
          </w:p>
        </w:tc>
        <w:tc>
          <w:tcPr>
            <w:tcW w:w="3267" w:type="dxa"/>
            <w:shd w:val="clear" w:color="auto" w:fill="F2F2F2"/>
          </w:tcPr>
          <w:p w14:paraId="06E1753C" w14:textId="77777777" w:rsidR="008B4B2B" w:rsidRPr="001D6D10" w:rsidRDefault="008B4B2B" w:rsidP="008B4B2B">
            <w:pPr>
              <w:pStyle w:val="a0"/>
              <w:jc w:val="center"/>
              <w:rPr>
                <w:sz w:val="22"/>
                <w:szCs w:val="22"/>
              </w:rPr>
            </w:pPr>
            <w:r w:rsidRPr="001D6D10">
              <w:rPr>
                <w:rFonts w:hint="eastAsia"/>
                <w:sz w:val="22"/>
                <w:szCs w:val="22"/>
              </w:rPr>
              <w:t>人　　数</w:t>
            </w:r>
          </w:p>
        </w:tc>
        <w:tc>
          <w:tcPr>
            <w:tcW w:w="3543" w:type="dxa"/>
            <w:shd w:val="clear" w:color="auto" w:fill="F2F2F2"/>
          </w:tcPr>
          <w:p w14:paraId="125B2098" w14:textId="77777777" w:rsidR="008B4B2B" w:rsidRPr="001D6D10" w:rsidRDefault="008B4B2B" w:rsidP="008B4B2B">
            <w:pPr>
              <w:pStyle w:val="a0"/>
              <w:jc w:val="center"/>
              <w:rPr>
                <w:sz w:val="22"/>
                <w:szCs w:val="22"/>
              </w:rPr>
            </w:pPr>
            <w:r w:rsidRPr="001D6D10">
              <w:rPr>
                <w:rFonts w:hint="eastAsia"/>
                <w:sz w:val="22"/>
                <w:szCs w:val="22"/>
              </w:rPr>
              <w:t>業務内容</w:t>
            </w:r>
          </w:p>
        </w:tc>
      </w:tr>
      <w:tr w:rsidR="001D6D10" w:rsidRPr="001D6D10" w14:paraId="267B7D4C" w14:textId="77777777" w:rsidTr="006A3D02">
        <w:trPr>
          <w:jc w:val="center"/>
        </w:trPr>
        <w:tc>
          <w:tcPr>
            <w:tcW w:w="2058" w:type="dxa"/>
            <w:vAlign w:val="center"/>
          </w:tcPr>
          <w:p w14:paraId="4ADD15A3" w14:textId="77777777" w:rsidR="008B4B2B" w:rsidRPr="001D6D10" w:rsidRDefault="008B4B2B" w:rsidP="008B4B2B">
            <w:pPr>
              <w:pStyle w:val="a0"/>
              <w:jc w:val="center"/>
              <w:rPr>
                <w:rFonts w:hAnsi="ＭＳ 明朝"/>
                <w:sz w:val="22"/>
                <w:szCs w:val="22"/>
              </w:rPr>
            </w:pPr>
            <w:r w:rsidRPr="001D6D10">
              <w:rPr>
                <w:rFonts w:hAnsi="ＭＳ 明朝" w:hint="eastAsia"/>
                <w:sz w:val="22"/>
                <w:szCs w:val="22"/>
              </w:rPr>
              <w:t>府庁本庁舎</w:t>
            </w:r>
          </w:p>
          <w:p w14:paraId="1E93F71E" w14:textId="77777777" w:rsidR="008B4B2B" w:rsidRPr="001D6D10" w:rsidRDefault="008B4B2B" w:rsidP="008B4B2B">
            <w:pPr>
              <w:pStyle w:val="a0"/>
              <w:jc w:val="center"/>
              <w:rPr>
                <w:rFonts w:hAnsi="ＭＳ 明朝"/>
                <w:sz w:val="22"/>
                <w:szCs w:val="22"/>
              </w:rPr>
            </w:pPr>
            <w:r w:rsidRPr="001D6D10">
              <w:rPr>
                <w:rFonts w:hAnsi="ＭＳ 明朝" w:hint="eastAsia"/>
                <w:sz w:val="22"/>
                <w:szCs w:val="22"/>
              </w:rPr>
              <w:t>（大手前）</w:t>
            </w:r>
          </w:p>
        </w:tc>
        <w:tc>
          <w:tcPr>
            <w:tcW w:w="3267" w:type="dxa"/>
            <w:vAlign w:val="center"/>
          </w:tcPr>
          <w:p w14:paraId="2D7BF8C4" w14:textId="77777777" w:rsidR="008B4B2B" w:rsidRPr="001D6D10" w:rsidRDefault="008B4B2B" w:rsidP="008B4B2B">
            <w:pPr>
              <w:pStyle w:val="a0"/>
              <w:jc w:val="center"/>
              <w:rPr>
                <w:sz w:val="22"/>
                <w:szCs w:val="22"/>
              </w:rPr>
            </w:pPr>
            <w:r w:rsidRPr="006A3D02">
              <w:rPr>
                <w:rFonts w:hAnsi="ＭＳ 明朝" w:hint="eastAsia"/>
                <w:b/>
                <w:sz w:val="22"/>
                <w:szCs w:val="22"/>
              </w:rPr>
              <w:t>６０</w:t>
            </w:r>
            <w:r w:rsidRPr="001D6D10">
              <w:rPr>
                <w:rFonts w:hAnsi="ＭＳ 明朝" w:hint="eastAsia"/>
                <w:sz w:val="22"/>
                <w:szCs w:val="22"/>
              </w:rPr>
              <w:t>名</w:t>
            </w:r>
          </w:p>
        </w:tc>
        <w:tc>
          <w:tcPr>
            <w:tcW w:w="3543" w:type="dxa"/>
          </w:tcPr>
          <w:p w14:paraId="080339E5" w14:textId="77777777" w:rsidR="008B4B2B" w:rsidRPr="001D6D10" w:rsidRDefault="008B4B2B" w:rsidP="008B4B2B">
            <w:pPr>
              <w:pStyle w:val="a0"/>
              <w:ind w:left="2"/>
              <w:rPr>
                <w:rFonts w:hAnsi="ＭＳ 明朝"/>
                <w:sz w:val="22"/>
                <w:szCs w:val="22"/>
              </w:rPr>
            </w:pPr>
            <w:r w:rsidRPr="001D6D10">
              <w:rPr>
                <w:rFonts w:hAnsi="ＭＳ 明朝" w:hint="eastAsia"/>
                <w:sz w:val="22"/>
                <w:szCs w:val="22"/>
              </w:rPr>
              <w:t>警戒本部・災対本部事務局の</w:t>
            </w:r>
          </w:p>
          <w:p w14:paraId="7ED0ACA0" w14:textId="77777777" w:rsidR="008B4B2B" w:rsidRPr="001D6D10" w:rsidRDefault="008B4B2B" w:rsidP="008B4B2B">
            <w:pPr>
              <w:pStyle w:val="a0"/>
              <w:ind w:left="2"/>
              <w:rPr>
                <w:sz w:val="22"/>
                <w:szCs w:val="22"/>
              </w:rPr>
            </w:pPr>
            <w:r w:rsidRPr="001D6D10">
              <w:rPr>
                <w:rFonts w:hAnsi="ＭＳ 明朝" w:hint="eastAsia"/>
                <w:sz w:val="22"/>
                <w:szCs w:val="22"/>
              </w:rPr>
              <w:t>サポート等</w:t>
            </w:r>
          </w:p>
        </w:tc>
      </w:tr>
      <w:tr w:rsidR="001D6D10" w:rsidRPr="001D6D10" w14:paraId="5E33A4E3" w14:textId="77777777" w:rsidTr="006A3D02">
        <w:trPr>
          <w:jc w:val="center"/>
        </w:trPr>
        <w:tc>
          <w:tcPr>
            <w:tcW w:w="2058" w:type="dxa"/>
            <w:vAlign w:val="center"/>
          </w:tcPr>
          <w:p w14:paraId="6A829A28" w14:textId="77777777" w:rsidR="008B4B2B" w:rsidRPr="001D6D10" w:rsidRDefault="008B4B2B" w:rsidP="008B4B2B">
            <w:pPr>
              <w:pStyle w:val="a0"/>
              <w:jc w:val="center"/>
              <w:rPr>
                <w:sz w:val="22"/>
                <w:szCs w:val="22"/>
              </w:rPr>
            </w:pPr>
            <w:r w:rsidRPr="001D6D10">
              <w:rPr>
                <w:rFonts w:hAnsi="ＭＳ 明朝" w:hint="eastAsia"/>
                <w:sz w:val="22"/>
                <w:szCs w:val="22"/>
              </w:rPr>
              <w:t>府民センタービル</w:t>
            </w:r>
          </w:p>
        </w:tc>
        <w:tc>
          <w:tcPr>
            <w:tcW w:w="3267" w:type="dxa"/>
            <w:vAlign w:val="center"/>
          </w:tcPr>
          <w:p w14:paraId="2F60F0A9" w14:textId="77777777" w:rsidR="008B4B2B" w:rsidRPr="001D6D10" w:rsidRDefault="008B4B2B" w:rsidP="008B4B2B">
            <w:pPr>
              <w:pStyle w:val="a0"/>
              <w:jc w:val="center"/>
              <w:rPr>
                <w:rFonts w:hAnsi="ＭＳ 明朝"/>
                <w:sz w:val="22"/>
                <w:szCs w:val="22"/>
              </w:rPr>
            </w:pPr>
            <w:r w:rsidRPr="006A3D02">
              <w:rPr>
                <w:rFonts w:hAnsi="ＭＳ 明朝" w:hint="eastAsia"/>
                <w:b/>
                <w:sz w:val="22"/>
                <w:szCs w:val="22"/>
              </w:rPr>
              <w:t>１０５</w:t>
            </w:r>
            <w:r w:rsidRPr="001D6D10">
              <w:rPr>
                <w:rFonts w:hAnsi="ＭＳ 明朝" w:hint="eastAsia"/>
                <w:sz w:val="22"/>
                <w:szCs w:val="22"/>
              </w:rPr>
              <w:t>名</w:t>
            </w:r>
          </w:p>
          <w:p w14:paraId="34FD4E19" w14:textId="77777777" w:rsidR="008B4B2B" w:rsidRPr="001D6D10" w:rsidRDefault="008B4B2B" w:rsidP="008B4B2B">
            <w:pPr>
              <w:pStyle w:val="a0"/>
              <w:jc w:val="center"/>
              <w:rPr>
                <w:sz w:val="22"/>
                <w:szCs w:val="22"/>
              </w:rPr>
            </w:pPr>
            <w:r w:rsidRPr="001D6D10">
              <w:rPr>
                <w:rFonts w:hAnsi="ＭＳ 明朝" w:hint="eastAsia"/>
                <w:sz w:val="22"/>
                <w:szCs w:val="22"/>
              </w:rPr>
              <w:t>（</w:t>
            </w:r>
            <w:r w:rsidRPr="006A3D02">
              <w:rPr>
                <w:rFonts w:hAnsi="ＭＳ 明朝" w:hint="eastAsia"/>
                <w:b/>
                <w:sz w:val="22"/>
                <w:szCs w:val="22"/>
              </w:rPr>
              <w:t>１５</w:t>
            </w:r>
            <w:r w:rsidRPr="001D6D10">
              <w:rPr>
                <w:rFonts w:hAnsi="ＭＳ 明朝" w:hint="eastAsia"/>
                <w:sz w:val="22"/>
                <w:szCs w:val="22"/>
              </w:rPr>
              <w:t>名×７箇所）</w:t>
            </w:r>
          </w:p>
        </w:tc>
        <w:tc>
          <w:tcPr>
            <w:tcW w:w="3543" w:type="dxa"/>
          </w:tcPr>
          <w:p w14:paraId="74A9F297" w14:textId="77777777" w:rsidR="008B4B2B" w:rsidRPr="001D6D10" w:rsidRDefault="008B4B2B" w:rsidP="008B4B2B">
            <w:pPr>
              <w:pStyle w:val="a0"/>
              <w:rPr>
                <w:rFonts w:hAnsi="ＭＳ 明朝"/>
                <w:sz w:val="22"/>
                <w:szCs w:val="22"/>
              </w:rPr>
            </w:pPr>
            <w:r w:rsidRPr="001D6D10">
              <w:rPr>
                <w:rFonts w:hAnsi="ＭＳ 明朝" w:hint="eastAsia"/>
                <w:sz w:val="22"/>
                <w:szCs w:val="22"/>
              </w:rPr>
              <w:t>地域情報の収集・伝達</w:t>
            </w:r>
          </w:p>
          <w:p w14:paraId="36CC7F12" w14:textId="77777777" w:rsidR="008B4B2B" w:rsidRPr="001D6D10" w:rsidRDefault="008B4B2B" w:rsidP="008B4B2B">
            <w:pPr>
              <w:pStyle w:val="a0"/>
              <w:rPr>
                <w:sz w:val="22"/>
                <w:szCs w:val="22"/>
              </w:rPr>
            </w:pPr>
            <w:r w:rsidRPr="001D6D10">
              <w:rPr>
                <w:rFonts w:hAnsi="ＭＳ 明朝" w:hint="eastAsia"/>
                <w:sz w:val="22"/>
                <w:szCs w:val="22"/>
              </w:rPr>
              <w:t>避難者対応等</w:t>
            </w:r>
          </w:p>
        </w:tc>
      </w:tr>
      <w:tr w:rsidR="001D6D10" w:rsidRPr="001D6D10" w14:paraId="7AB6334B" w14:textId="77777777" w:rsidTr="006A3D02">
        <w:trPr>
          <w:jc w:val="center"/>
        </w:trPr>
        <w:tc>
          <w:tcPr>
            <w:tcW w:w="2058" w:type="dxa"/>
            <w:vAlign w:val="center"/>
          </w:tcPr>
          <w:p w14:paraId="7E498003" w14:textId="77777777" w:rsidR="008B4B2B" w:rsidRPr="001D6D10" w:rsidRDefault="008B4B2B" w:rsidP="008B4B2B">
            <w:pPr>
              <w:pStyle w:val="a0"/>
              <w:jc w:val="center"/>
              <w:rPr>
                <w:sz w:val="22"/>
                <w:szCs w:val="22"/>
              </w:rPr>
            </w:pPr>
            <w:r w:rsidRPr="001D6D10">
              <w:rPr>
                <w:rFonts w:hAnsi="ＭＳ 明朝" w:hint="eastAsia"/>
                <w:sz w:val="22"/>
                <w:szCs w:val="22"/>
              </w:rPr>
              <w:t>広域防災拠点</w:t>
            </w:r>
          </w:p>
        </w:tc>
        <w:tc>
          <w:tcPr>
            <w:tcW w:w="3267" w:type="dxa"/>
            <w:vAlign w:val="center"/>
          </w:tcPr>
          <w:p w14:paraId="64C0F457" w14:textId="77777777" w:rsidR="008B4B2B" w:rsidRPr="001D6D10" w:rsidRDefault="008B4B2B" w:rsidP="008B4B2B">
            <w:pPr>
              <w:pStyle w:val="a0"/>
              <w:jc w:val="center"/>
              <w:rPr>
                <w:rFonts w:hAnsi="ＭＳ 明朝"/>
                <w:sz w:val="22"/>
                <w:szCs w:val="22"/>
              </w:rPr>
            </w:pPr>
            <w:r w:rsidRPr="006A3D02">
              <w:rPr>
                <w:rFonts w:hAnsi="ＭＳ 明朝" w:hint="eastAsia"/>
                <w:b/>
                <w:bCs/>
                <w:sz w:val="22"/>
                <w:szCs w:val="22"/>
              </w:rPr>
              <w:t>３０</w:t>
            </w:r>
            <w:r w:rsidRPr="001D6D10">
              <w:rPr>
                <w:rFonts w:hAnsi="ＭＳ 明朝" w:hint="eastAsia"/>
                <w:sz w:val="22"/>
                <w:szCs w:val="22"/>
              </w:rPr>
              <w:t>名</w:t>
            </w:r>
          </w:p>
          <w:p w14:paraId="596A942E" w14:textId="77777777" w:rsidR="008B4B2B" w:rsidRPr="001D6D10" w:rsidRDefault="008B4B2B" w:rsidP="008B4B2B">
            <w:pPr>
              <w:pStyle w:val="a0"/>
              <w:jc w:val="center"/>
              <w:rPr>
                <w:sz w:val="22"/>
                <w:szCs w:val="22"/>
              </w:rPr>
            </w:pPr>
            <w:r w:rsidRPr="001D6D10">
              <w:rPr>
                <w:rFonts w:hAnsi="ＭＳ 明朝" w:hint="eastAsia"/>
                <w:sz w:val="22"/>
                <w:szCs w:val="22"/>
              </w:rPr>
              <w:t>（</w:t>
            </w:r>
            <w:r w:rsidRPr="006A3D02">
              <w:rPr>
                <w:rFonts w:hAnsi="ＭＳ 明朝" w:hint="eastAsia"/>
                <w:b/>
                <w:bCs/>
                <w:sz w:val="22"/>
                <w:szCs w:val="22"/>
              </w:rPr>
              <w:t>１０</w:t>
            </w:r>
            <w:r w:rsidRPr="001D6D10">
              <w:rPr>
                <w:rFonts w:hAnsi="ＭＳ 明朝" w:hint="eastAsia"/>
                <w:sz w:val="22"/>
                <w:szCs w:val="22"/>
              </w:rPr>
              <w:t>名×３箇所）</w:t>
            </w:r>
          </w:p>
        </w:tc>
        <w:tc>
          <w:tcPr>
            <w:tcW w:w="3543" w:type="dxa"/>
          </w:tcPr>
          <w:p w14:paraId="68C39C19" w14:textId="77777777" w:rsidR="008B4B2B" w:rsidRPr="001D6D10" w:rsidRDefault="008B4B2B" w:rsidP="008B4B2B">
            <w:pPr>
              <w:pStyle w:val="a0"/>
              <w:rPr>
                <w:rFonts w:hAnsi="ＭＳ 明朝"/>
                <w:sz w:val="22"/>
                <w:szCs w:val="22"/>
              </w:rPr>
            </w:pPr>
            <w:r w:rsidRPr="001D6D10">
              <w:rPr>
                <w:rFonts w:hAnsi="ＭＳ 明朝" w:hint="eastAsia"/>
                <w:sz w:val="22"/>
                <w:szCs w:val="22"/>
              </w:rPr>
              <w:t>施設等被害の確認</w:t>
            </w:r>
          </w:p>
          <w:p w14:paraId="334860CC" w14:textId="77777777" w:rsidR="008B4B2B" w:rsidRPr="001D6D10" w:rsidRDefault="008B4B2B" w:rsidP="008B4B2B">
            <w:pPr>
              <w:pStyle w:val="a0"/>
              <w:rPr>
                <w:sz w:val="22"/>
                <w:szCs w:val="22"/>
              </w:rPr>
            </w:pPr>
            <w:r w:rsidRPr="001D6D10">
              <w:rPr>
                <w:rFonts w:hAnsi="ＭＳ 明朝" w:hint="eastAsia"/>
                <w:sz w:val="22"/>
                <w:szCs w:val="22"/>
              </w:rPr>
              <w:t>備蓄物資搬出入等</w:t>
            </w:r>
          </w:p>
        </w:tc>
      </w:tr>
      <w:tr w:rsidR="001D6D10" w:rsidRPr="001D6D10" w14:paraId="21F10CF5" w14:textId="77777777" w:rsidTr="006A3D02">
        <w:trPr>
          <w:jc w:val="center"/>
        </w:trPr>
        <w:tc>
          <w:tcPr>
            <w:tcW w:w="2058" w:type="dxa"/>
            <w:vAlign w:val="center"/>
          </w:tcPr>
          <w:p w14:paraId="3ADAC57F" w14:textId="77777777" w:rsidR="008B4B2B" w:rsidRPr="001D6D10" w:rsidRDefault="008B4B2B" w:rsidP="008B4B2B">
            <w:pPr>
              <w:pStyle w:val="a0"/>
              <w:jc w:val="center"/>
              <w:rPr>
                <w:sz w:val="22"/>
                <w:szCs w:val="22"/>
              </w:rPr>
            </w:pPr>
            <w:r w:rsidRPr="001D6D10">
              <w:rPr>
                <w:rFonts w:hAnsi="ＭＳ 明朝" w:hint="eastAsia"/>
                <w:sz w:val="22"/>
                <w:szCs w:val="22"/>
              </w:rPr>
              <w:t>後方支援活動拠点</w:t>
            </w:r>
          </w:p>
        </w:tc>
        <w:tc>
          <w:tcPr>
            <w:tcW w:w="3267" w:type="dxa"/>
            <w:vAlign w:val="center"/>
          </w:tcPr>
          <w:p w14:paraId="75D77FB6" w14:textId="77777777" w:rsidR="008B4B2B" w:rsidRPr="001D6D10" w:rsidRDefault="008B4B2B" w:rsidP="008B4B2B">
            <w:pPr>
              <w:pStyle w:val="a0"/>
              <w:jc w:val="center"/>
              <w:rPr>
                <w:rFonts w:hAnsi="ＭＳ 明朝"/>
                <w:sz w:val="22"/>
                <w:szCs w:val="22"/>
              </w:rPr>
            </w:pPr>
            <w:r w:rsidRPr="006A3D02">
              <w:rPr>
                <w:rFonts w:hAnsi="ＭＳ 明朝" w:hint="eastAsia"/>
                <w:b/>
                <w:sz w:val="22"/>
                <w:szCs w:val="22"/>
              </w:rPr>
              <w:t>５０</w:t>
            </w:r>
            <w:r w:rsidRPr="001D6D10">
              <w:rPr>
                <w:rFonts w:hAnsi="ＭＳ 明朝" w:hint="eastAsia"/>
                <w:sz w:val="22"/>
                <w:szCs w:val="22"/>
              </w:rPr>
              <w:t>名</w:t>
            </w:r>
          </w:p>
          <w:p w14:paraId="674B5C81" w14:textId="19A6D2A2" w:rsidR="008B4B2B" w:rsidRPr="001D6D10" w:rsidRDefault="008B4B2B" w:rsidP="008B4B2B">
            <w:pPr>
              <w:pStyle w:val="a0"/>
              <w:jc w:val="center"/>
              <w:rPr>
                <w:sz w:val="22"/>
                <w:szCs w:val="22"/>
              </w:rPr>
            </w:pPr>
            <w:r w:rsidRPr="001D6D10">
              <w:rPr>
                <w:rFonts w:hAnsi="ＭＳ 明朝" w:hint="eastAsia"/>
                <w:sz w:val="22"/>
                <w:szCs w:val="22"/>
              </w:rPr>
              <w:t>（</w:t>
            </w:r>
            <w:r w:rsidR="006A3D02" w:rsidRPr="006A3D02">
              <w:rPr>
                <w:rFonts w:hAnsi="ＭＳ 明朝" w:hint="eastAsia"/>
                <w:b/>
                <w:bCs/>
                <w:sz w:val="22"/>
                <w:szCs w:val="22"/>
              </w:rPr>
              <w:t>10</w:t>
            </w:r>
            <w:r w:rsidRPr="001D6D10">
              <w:rPr>
                <w:rFonts w:hAnsi="ＭＳ 明朝" w:hint="eastAsia"/>
                <w:sz w:val="22"/>
                <w:szCs w:val="22"/>
              </w:rPr>
              <w:t>名×府営公園等</w:t>
            </w:r>
            <w:r w:rsidRPr="006A3D02">
              <w:rPr>
                <w:rFonts w:hAnsi="ＭＳ 明朝" w:hint="eastAsia"/>
                <w:bCs/>
                <w:sz w:val="22"/>
                <w:szCs w:val="22"/>
              </w:rPr>
              <w:t>5</w:t>
            </w:r>
            <w:r w:rsidRPr="001D6D10">
              <w:rPr>
                <w:rFonts w:hAnsi="ＭＳ 明朝" w:hint="eastAsia"/>
                <w:sz w:val="22"/>
                <w:szCs w:val="22"/>
              </w:rPr>
              <w:t>箇所）</w:t>
            </w:r>
          </w:p>
        </w:tc>
        <w:tc>
          <w:tcPr>
            <w:tcW w:w="3543" w:type="dxa"/>
          </w:tcPr>
          <w:p w14:paraId="5128B693" w14:textId="77777777" w:rsidR="008B4B2B" w:rsidRPr="001D6D10" w:rsidRDefault="008B4B2B" w:rsidP="008B4B2B">
            <w:pPr>
              <w:spacing w:line="320" w:lineRule="exact"/>
              <w:rPr>
                <w:rFonts w:ascii="ＭＳ 明朝" w:hAnsi="ＭＳ 明朝"/>
                <w:b/>
                <w:sz w:val="22"/>
                <w:szCs w:val="22"/>
              </w:rPr>
            </w:pPr>
            <w:r w:rsidRPr="001D6D10">
              <w:rPr>
                <w:rFonts w:hint="eastAsia"/>
              </w:rPr>
              <w:t>消防・警察・自衛隊の応援派遣部隊等の受入、避難者対応等</w:t>
            </w:r>
          </w:p>
        </w:tc>
      </w:tr>
      <w:tr w:rsidR="001D6D10" w:rsidRPr="001D6D10" w14:paraId="4ACF714F" w14:textId="77777777" w:rsidTr="006A3D02">
        <w:trPr>
          <w:trHeight w:val="840"/>
          <w:jc w:val="center"/>
        </w:trPr>
        <w:tc>
          <w:tcPr>
            <w:tcW w:w="2058" w:type="dxa"/>
            <w:vAlign w:val="center"/>
          </w:tcPr>
          <w:p w14:paraId="378AC788" w14:textId="77777777" w:rsidR="008B4B2B" w:rsidRPr="001D6D10" w:rsidRDefault="008B4B2B" w:rsidP="008B4B2B">
            <w:pPr>
              <w:pStyle w:val="a0"/>
              <w:jc w:val="center"/>
              <w:rPr>
                <w:sz w:val="22"/>
                <w:szCs w:val="22"/>
              </w:rPr>
            </w:pPr>
            <w:r w:rsidRPr="001D6D10">
              <w:rPr>
                <w:rFonts w:hAnsi="ＭＳ 明朝" w:hint="eastAsia"/>
                <w:sz w:val="22"/>
                <w:szCs w:val="22"/>
              </w:rPr>
              <w:t>市町村庁舎</w:t>
            </w:r>
          </w:p>
        </w:tc>
        <w:tc>
          <w:tcPr>
            <w:tcW w:w="3267" w:type="dxa"/>
            <w:vAlign w:val="center"/>
          </w:tcPr>
          <w:p w14:paraId="62156C8B" w14:textId="77777777" w:rsidR="008B4B2B" w:rsidRPr="001D6D10" w:rsidRDefault="008B4B2B" w:rsidP="008B4B2B">
            <w:pPr>
              <w:pStyle w:val="a0"/>
              <w:jc w:val="center"/>
              <w:rPr>
                <w:rFonts w:hAnsi="ＭＳ 明朝"/>
                <w:sz w:val="22"/>
                <w:szCs w:val="22"/>
              </w:rPr>
            </w:pPr>
            <w:r w:rsidRPr="006A3D02">
              <w:rPr>
                <w:rFonts w:hAnsi="ＭＳ 明朝" w:hint="eastAsia"/>
                <w:b/>
                <w:sz w:val="22"/>
                <w:szCs w:val="22"/>
              </w:rPr>
              <w:t>１７２</w:t>
            </w:r>
            <w:r w:rsidRPr="001D6D10">
              <w:rPr>
                <w:rFonts w:hAnsi="ＭＳ 明朝" w:hint="eastAsia"/>
                <w:sz w:val="22"/>
                <w:szCs w:val="22"/>
              </w:rPr>
              <w:t>名</w:t>
            </w:r>
          </w:p>
          <w:p w14:paraId="6AF1FCEA" w14:textId="77777777" w:rsidR="008B4B2B" w:rsidRPr="001D6D10" w:rsidRDefault="008B4B2B" w:rsidP="008B4B2B">
            <w:pPr>
              <w:pStyle w:val="a0"/>
              <w:jc w:val="center"/>
              <w:rPr>
                <w:rFonts w:hAnsi="ＭＳ 明朝"/>
                <w:sz w:val="22"/>
                <w:szCs w:val="22"/>
              </w:rPr>
            </w:pPr>
            <w:r w:rsidRPr="001D6D10">
              <w:rPr>
                <w:rFonts w:hAnsi="ＭＳ 明朝" w:hint="eastAsia"/>
                <w:sz w:val="22"/>
                <w:szCs w:val="22"/>
              </w:rPr>
              <w:t>（</w:t>
            </w:r>
            <w:r w:rsidRPr="001D6D10">
              <w:rPr>
                <w:rFonts w:hAnsi="ＭＳ 明朝" w:hint="eastAsia"/>
                <w:b/>
                <w:sz w:val="22"/>
                <w:szCs w:val="22"/>
              </w:rPr>
              <w:t>４</w:t>
            </w:r>
            <w:r w:rsidRPr="001D6D10">
              <w:rPr>
                <w:rFonts w:hAnsi="ＭＳ 明朝" w:hint="eastAsia"/>
                <w:sz w:val="22"/>
                <w:szCs w:val="22"/>
              </w:rPr>
              <w:t>名×４３市町村）</w:t>
            </w:r>
          </w:p>
        </w:tc>
        <w:tc>
          <w:tcPr>
            <w:tcW w:w="3543" w:type="dxa"/>
          </w:tcPr>
          <w:p w14:paraId="608096D7" w14:textId="77777777" w:rsidR="008B4B2B" w:rsidRPr="001D6D10" w:rsidRDefault="008B4B2B" w:rsidP="008B4B2B">
            <w:pPr>
              <w:pStyle w:val="a0"/>
              <w:rPr>
                <w:rFonts w:hAnsi="ＭＳ 明朝"/>
                <w:sz w:val="22"/>
                <w:szCs w:val="22"/>
              </w:rPr>
            </w:pPr>
            <w:r w:rsidRPr="001D6D10">
              <w:rPr>
                <w:rFonts w:hAnsi="ＭＳ 明朝" w:hint="eastAsia"/>
                <w:sz w:val="22"/>
                <w:szCs w:val="22"/>
              </w:rPr>
              <w:t>被害情報、救援要請予測情報の</w:t>
            </w:r>
          </w:p>
          <w:p w14:paraId="40279D6F" w14:textId="77777777" w:rsidR="008B4B2B" w:rsidRPr="001D6D10" w:rsidRDefault="008B4B2B" w:rsidP="008B4B2B">
            <w:pPr>
              <w:pStyle w:val="a0"/>
              <w:rPr>
                <w:sz w:val="22"/>
                <w:szCs w:val="22"/>
              </w:rPr>
            </w:pPr>
            <w:r w:rsidRPr="001D6D10">
              <w:rPr>
                <w:rFonts w:hAnsi="ＭＳ 明朝" w:hint="eastAsia"/>
                <w:sz w:val="22"/>
                <w:szCs w:val="22"/>
              </w:rPr>
              <w:t>収集、防災情報端末の代行入力等</w:t>
            </w:r>
          </w:p>
        </w:tc>
      </w:tr>
      <w:tr w:rsidR="001D6D10" w:rsidRPr="001D6D10" w14:paraId="3BE29FB0" w14:textId="77777777" w:rsidTr="008B4B2B">
        <w:trPr>
          <w:trHeight w:val="701"/>
          <w:jc w:val="center"/>
        </w:trPr>
        <w:tc>
          <w:tcPr>
            <w:tcW w:w="2058" w:type="dxa"/>
            <w:vAlign w:val="center"/>
          </w:tcPr>
          <w:p w14:paraId="133AB034" w14:textId="77777777" w:rsidR="008B4B2B" w:rsidRPr="001D6D10" w:rsidRDefault="008B4B2B" w:rsidP="008B4B2B">
            <w:pPr>
              <w:pStyle w:val="a0"/>
              <w:jc w:val="center"/>
              <w:rPr>
                <w:rFonts w:hAnsi="ＭＳ 明朝"/>
                <w:sz w:val="22"/>
                <w:szCs w:val="22"/>
              </w:rPr>
            </w:pPr>
            <w:r w:rsidRPr="001D6D10">
              <w:rPr>
                <w:rFonts w:hAnsi="ＭＳ 明朝" w:hint="eastAsia"/>
                <w:sz w:val="22"/>
                <w:szCs w:val="22"/>
              </w:rPr>
              <w:t>合　　計</w:t>
            </w:r>
          </w:p>
        </w:tc>
        <w:tc>
          <w:tcPr>
            <w:tcW w:w="6810" w:type="dxa"/>
            <w:gridSpan w:val="2"/>
            <w:vAlign w:val="center"/>
          </w:tcPr>
          <w:p w14:paraId="4D867FD3" w14:textId="77777777" w:rsidR="008B4B2B" w:rsidRPr="001D6D10" w:rsidRDefault="008B4B2B" w:rsidP="008B4B2B">
            <w:pPr>
              <w:pStyle w:val="a0"/>
              <w:ind w:firstLineChars="450" w:firstLine="999"/>
              <w:rPr>
                <w:rFonts w:hAnsi="ＭＳ 明朝"/>
                <w:sz w:val="22"/>
                <w:szCs w:val="22"/>
              </w:rPr>
            </w:pPr>
            <w:r w:rsidRPr="001D6D10">
              <w:rPr>
                <w:rFonts w:hAnsi="ＭＳ 明朝" w:hint="eastAsia"/>
                <w:b/>
                <w:sz w:val="22"/>
                <w:szCs w:val="22"/>
              </w:rPr>
              <w:t>４１７</w:t>
            </w:r>
            <w:r w:rsidRPr="001D6D10">
              <w:rPr>
                <w:rFonts w:hAnsi="ＭＳ 明朝" w:hint="eastAsia"/>
                <w:sz w:val="22"/>
                <w:szCs w:val="22"/>
              </w:rPr>
              <w:t>名</w:t>
            </w:r>
          </w:p>
        </w:tc>
      </w:tr>
    </w:tbl>
    <w:p w14:paraId="0014FB35" w14:textId="77777777" w:rsidR="008B4B2B" w:rsidRPr="001D6D10" w:rsidRDefault="008B4B2B" w:rsidP="008B4B2B">
      <w:pPr>
        <w:pStyle w:val="a0"/>
        <w:ind w:leftChars="400" w:left="1065" w:hangingChars="100" w:hanging="221"/>
        <w:rPr>
          <w:sz w:val="22"/>
          <w:szCs w:val="22"/>
        </w:rPr>
      </w:pPr>
      <w:r w:rsidRPr="001D6D10">
        <w:rPr>
          <w:rFonts w:hint="eastAsia"/>
          <w:sz w:val="22"/>
          <w:szCs w:val="22"/>
        </w:rPr>
        <w:t>※　緊急防災推進員とは、府災対本部及び府の災害対策主要施設における初動体制の迅速な確立をはじめ、市町村の被害状況及び対策状況等の収集・伝達による府の災害応急対策の円滑な実施を期するため、勤務時間外に府域で震度５弱以上の震度を観測したとき、自宅から、府庁本庁舎、府民センタービル、広域防災拠点、後方支援活動拠点、市町村庁舎に徒歩又は自転車で６０分以内に参集可能な職員の中から知事があらかじめ指名した者をいう。</w:t>
      </w:r>
    </w:p>
    <w:p w14:paraId="3FF5D2AE" w14:textId="77777777" w:rsidR="005C634F" w:rsidRPr="001D6D10" w:rsidRDefault="00F951FA" w:rsidP="00085B41">
      <w:pPr>
        <w:spacing w:line="320" w:lineRule="exact"/>
        <w:ind w:leftChars="500" w:left="1055"/>
      </w:pPr>
      <w:r w:rsidRPr="001D6D10">
        <w:rPr>
          <w:rFonts w:hint="eastAsia"/>
        </w:rPr>
        <w:t>（ただ</w:t>
      </w:r>
      <w:r w:rsidR="005C634F" w:rsidRPr="001D6D10">
        <w:rPr>
          <w:rFonts w:hint="eastAsia"/>
        </w:rPr>
        <w:t>し、</w:t>
      </w:r>
      <w:r w:rsidRPr="001D6D10">
        <w:rPr>
          <w:rFonts w:hint="eastAsia"/>
        </w:rPr>
        <w:t>市町村本庁舎に参集する緊急防災推進員については、当該市町村に</w:t>
      </w:r>
      <w:r w:rsidR="00085B41" w:rsidRPr="001D6D10">
        <w:rPr>
          <w:rFonts w:hint="eastAsia"/>
        </w:rPr>
        <w:t xml:space="preserve">お　</w:t>
      </w:r>
      <w:r w:rsidRPr="001D6D10">
        <w:rPr>
          <w:rFonts w:hint="eastAsia"/>
        </w:rPr>
        <w:t>い</w:t>
      </w:r>
      <w:r w:rsidR="005C634F" w:rsidRPr="001D6D10">
        <w:rPr>
          <w:rFonts w:hint="eastAsia"/>
        </w:rPr>
        <w:t>て震度５弱以上を観測した場合に指定された場所に参集する。）</w:t>
      </w:r>
    </w:p>
    <w:p w14:paraId="2659E84D" w14:textId="77777777" w:rsidR="008B4B2B" w:rsidRPr="001D6D10" w:rsidRDefault="008B4B2B" w:rsidP="008B4B2B">
      <w:pPr>
        <w:pStyle w:val="ad"/>
        <w:overflowPunct w:val="0"/>
        <w:spacing w:line="240" w:lineRule="auto"/>
        <w:rPr>
          <w:rFonts w:ascii="ＭＳ 明朝" w:hAnsi="ＭＳ 明朝"/>
        </w:rPr>
      </w:pPr>
    </w:p>
    <w:p w14:paraId="6231A956" w14:textId="77777777" w:rsidR="008B4B2B" w:rsidRPr="001D6D10" w:rsidRDefault="008B4B2B" w:rsidP="008B4B2B">
      <w:pPr>
        <w:pStyle w:val="ad"/>
        <w:overflowPunct w:val="0"/>
        <w:spacing w:line="240" w:lineRule="auto"/>
        <w:ind w:firstLineChars="385" w:firstLine="851"/>
        <w:rPr>
          <w:rFonts w:ascii="ＭＳ 明朝" w:hAnsi="ＭＳ 明朝"/>
        </w:rPr>
      </w:pPr>
      <w:r w:rsidRPr="001D6D10">
        <w:rPr>
          <w:rFonts w:ascii="ＭＳ 明朝" w:hAnsi="ＭＳ 明朝" w:hint="eastAsia"/>
        </w:rPr>
        <w:t>(4)  配備職員数</w:t>
      </w:r>
    </w:p>
    <w:p w14:paraId="263A4081" w14:textId="77777777" w:rsidR="008B4B2B" w:rsidRPr="001D6D10" w:rsidRDefault="00502931" w:rsidP="008B4B2B">
      <w:pPr>
        <w:pStyle w:val="ad"/>
        <w:overflowPunct w:val="0"/>
        <w:spacing w:line="240" w:lineRule="auto"/>
        <w:ind w:leftChars="550" w:left="1161" w:firstLineChars="100" w:firstLine="221"/>
        <w:rPr>
          <w:rFonts w:ascii="ＭＳ 明朝" w:hAnsi="ＭＳ 明朝"/>
        </w:rPr>
      </w:pPr>
      <w:r w:rsidRPr="001D6D10">
        <w:rPr>
          <w:rFonts w:ascii="ＭＳ 明朝" w:hAnsi="ＭＳ 明朝" w:hint="eastAsia"/>
        </w:rPr>
        <w:t>配備基準に基づく配備職員数は、各部局</w:t>
      </w:r>
      <w:r w:rsidR="008B4B2B" w:rsidRPr="001D6D10">
        <w:rPr>
          <w:rFonts w:ascii="ＭＳ 明朝" w:hAnsi="ＭＳ 明朝" w:hint="eastAsia"/>
        </w:rPr>
        <w:t>で定めるものとする。</w:t>
      </w:r>
    </w:p>
    <w:p w14:paraId="23C95CCC" w14:textId="77777777" w:rsidR="008B4B2B" w:rsidRPr="001D6D10" w:rsidRDefault="008B4B2B" w:rsidP="008B4B2B">
      <w:pPr>
        <w:pStyle w:val="ad"/>
        <w:overflowPunct w:val="0"/>
        <w:spacing w:line="240" w:lineRule="auto"/>
        <w:ind w:firstLineChars="633" w:firstLine="1400"/>
        <w:rPr>
          <w:rFonts w:ascii="ＭＳ 明朝" w:hAnsi="ＭＳ 明朝"/>
        </w:rPr>
      </w:pPr>
      <w:r w:rsidRPr="001D6D10">
        <w:rPr>
          <w:rFonts w:ascii="ＭＳ 明朝" w:hAnsi="ＭＳ 明朝" w:hint="eastAsia"/>
        </w:rPr>
        <w:t>但し、非常３号配備は、各出先機関を含む全職員とする。</w:t>
      </w:r>
    </w:p>
    <w:p w14:paraId="7EF9BFF8" w14:textId="77777777" w:rsidR="008B4B2B" w:rsidRPr="001D6D10" w:rsidRDefault="008B4B2B" w:rsidP="008B4B2B">
      <w:pPr>
        <w:pStyle w:val="ad"/>
        <w:overflowPunct w:val="0"/>
        <w:spacing w:line="240" w:lineRule="auto"/>
        <w:ind w:leftChars="574" w:left="1212" w:firstLineChars="78" w:firstLine="172"/>
        <w:rPr>
          <w:rFonts w:ascii="ＭＳ 明朝" w:hAnsi="ＭＳ 明朝"/>
        </w:rPr>
      </w:pPr>
      <w:r w:rsidRPr="001D6D10">
        <w:rPr>
          <w:rFonts w:ascii="ＭＳ 明朝" w:hAnsi="ＭＳ 明朝" w:hint="eastAsia"/>
        </w:rPr>
        <w:t>なお、各部局長等は、必要に応じ、所管各課の配備職員数を増減し、又は所管各課相互に職員の応援を行うことができる。</w:t>
      </w:r>
    </w:p>
    <w:p w14:paraId="4E468055" w14:textId="77777777" w:rsidR="008B4B2B" w:rsidRPr="001D6D10" w:rsidRDefault="008B4B2B" w:rsidP="008B4B2B">
      <w:pPr>
        <w:pStyle w:val="ad"/>
        <w:overflowPunct w:val="0"/>
        <w:spacing w:line="240" w:lineRule="auto"/>
        <w:ind w:leftChars="566" w:left="1195" w:firstLineChars="70" w:firstLine="155"/>
      </w:pPr>
      <w:r w:rsidRPr="001D6D10">
        <w:rPr>
          <w:rFonts w:hint="eastAsia"/>
        </w:rPr>
        <w:t>また、指令部長は、特に必要があると認められるときは、各課に対し、配備職員数の増減を指令することができる。</w:t>
      </w:r>
    </w:p>
    <w:p w14:paraId="01B624CF" w14:textId="77777777" w:rsidR="008B4B2B" w:rsidRPr="001D6D10" w:rsidRDefault="008B4B2B" w:rsidP="008B4B2B">
      <w:pPr>
        <w:pStyle w:val="ad"/>
        <w:overflowPunct w:val="0"/>
        <w:spacing w:line="240" w:lineRule="auto"/>
        <w:ind w:firstLineChars="500" w:firstLine="1105"/>
        <w:rPr>
          <w:rFonts w:ascii="ＭＳ 明朝" w:hAnsi="ＭＳ 明朝"/>
        </w:rPr>
      </w:pPr>
    </w:p>
    <w:p w14:paraId="43AECA34" w14:textId="77777777" w:rsidR="008B4B2B" w:rsidRPr="001D6D10" w:rsidRDefault="008B4B2B" w:rsidP="008B4B2B">
      <w:pPr>
        <w:ind w:firstLineChars="400" w:firstLine="884"/>
        <w:rPr>
          <w:rFonts w:asciiTheme="minorEastAsia" w:eastAsiaTheme="minorEastAsia" w:hAnsiTheme="minorEastAsia"/>
          <w:sz w:val="22"/>
          <w:szCs w:val="22"/>
        </w:rPr>
      </w:pPr>
      <w:r w:rsidRPr="001D6D10">
        <w:rPr>
          <w:rFonts w:asciiTheme="minorEastAsia" w:eastAsiaTheme="minorEastAsia" w:hAnsiTheme="minorEastAsia"/>
          <w:sz w:val="22"/>
          <w:szCs w:val="22"/>
        </w:rPr>
        <w:t>(5)　職員配備・安否状況の報告</w:t>
      </w:r>
    </w:p>
    <w:p w14:paraId="238FFECB" w14:textId="77777777" w:rsidR="008B4B2B" w:rsidRPr="001D6D10" w:rsidRDefault="008B4B2B" w:rsidP="008B4B2B">
      <w:pPr>
        <w:ind w:leftChars="600" w:left="1267" w:rightChars="-108" w:right="-228" w:firstLineChars="100" w:firstLine="221"/>
        <w:rPr>
          <w:rFonts w:asciiTheme="minorEastAsia" w:eastAsiaTheme="minorEastAsia" w:hAnsiTheme="minorEastAsia"/>
          <w:sz w:val="22"/>
          <w:szCs w:val="22"/>
        </w:rPr>
      </w:pPr>
      <w:r w:rsidRPr="001D6D10">
        <w:rPr>
          <w:rFonts w:asciiTheme="minorEastAsia" w:eastAsiaTheme="minorEastAsia" w:hAnsiTheme="minorEastAsia" w:hint="eastAsia"/>
          <w:sz w:val="22"/>
          <w:szCs w:val="22"/>
        </w:rPr>
        <w:t>職員配備・安否状況の報告については、大阪府域において震度5弱以上の地震を観測した際、職員参集・安否確認システム（以下「システム」という。）により行うことを原則とし、①に定める方法による。</w:t>
      </w:r>
    </w:p>
    <w:p w14:paraId="662E6A51" w14:textId="77777777" w:rsidR="008B4B2B" w:rsidRPr="001D6D10" w:rsidRDefault="008B4B2B" w:rsidP="008B4B2B">
      <w:pPr>
        <w:ind w:leftChars="600" w:left="1267" w:rightChars="-108" w:right="-228" w:firstLineChars="100" w:firstLine="221"/>
        <w:rPr>
          <w:rFonts w:asciiTheme="minorEastAsia" w:eastAsiaTheme="minorEastAsia" w:hAnsiTheme="minorEastAsia"/>
          <w:sz w:val="22"/>
          <w:szCs w:val="22"/>
        </w:rPr>
      </w:pPr>
      <w:r w:rsidRPr="001D6D10">
        <w:rPr>
          <w:rFonts w:asciiTheme="minorEastAsia" w:eastAsiaTheme="minorEastAsia" w:hAnsiTheme="minorEastAsia" w:hint="eastAsia"/>
          <w:sz w:val="22"/>
          <w:szCs w:val="22"/>
        </w:rPr>
        <w:t>ただし、不測の事態によりシステムが利用できない場合や、システムによらない場合は、それぞれ②③に定める方法による。</w:t>
      </w:r>
    </w:p>
    <w:p w14:paraId="3E383C31" w14:textId="77777777" w:rsidR="008B4B2B" w:rsidRPr="001D6D10" w:rsidRDefault="008B4B2B" w:rsidP="008B4B2B">
      <w:pPr>
        <w:ind w:rightChars="-108" w:right="-228" w:firstLineChars="600" w:firstLine="1327"/>
        <w:rPr>
          <w:rFonts w:asciiTheme="minorEastAsia" w:eastAsiaTheme="minorEastAsia" w:hAnsiTheme="minorEastAsia"/>
          <w:sz w:val="22"/>
          <w:szCs w:val="22"/>
        </w:rPr>
      </w:pPr>
      <w:r w:rsidRPr="001D6D10">
        <w:rPr>
          <w:rFonts w:asciiTheme="minorEastAsia" w:eastAsiaTheme="minorEastAsia" w:hAnsiTheme="minorEastAsia" w:hint="eastAsia"/>
          <w:sz w:val="22"/>
          <w:szCs w:val="22"/>
        </w:rPr>
        <w:lastRenderedPageBreak/>
        <w:t>①　システムによる報告（原則）</w:t>
      </w:r>
    </w:p>
    <w:p w14:paraId="0E6A0B81" w14:textId="77777777" w:rsidR="008B4B2B" w:rsidRPr="001D6D10" w:rsidRDefault="008B4B2B" w:rsidP="008B4B2B">
      <w:pPr>
        <w:ind w:leftChars="800" w:left="1910" w:rightChars="-108" w:right="-228" w:hangingChars="100" w:hanging="221"/>
        <w:rPr>
          <w:rFonts w:asciiTheme="minorEastAsia" w:eastAsiaTheme="minorEastAsia" w:hAnsiTheme="minorEastAsia"/>
          <w:sz w:val="22"/>
          <w:szCs w:val="22"/>
        </w:rPr>
      </w:pPr>
      <w:r w:rsidRPr="001D6D10">
        <w:rPr>
          <w:rFonts w:asciiTheme="minorEastAsia" w:eastAsiaTheme="minorEastAsia" w:hAnsiTheme="minorEastAsia" w:hint="eastAsia"/>
          <w:sz w:val="22"/>
          <w:szCs w:val="22"/>
        </w:rPr>
        <w:t>ア　府域において震度５弱以上の地震を観測した際、全職員</w:t>
      </w:r>
      <w:r w:rsidRPr="001D6D10">
        <w:rPr>
          <w:rFonts w:asciiTheme="minorEastAsia" w:eastAsiaTheme="minorEastAsia" w:hAnsiTheme="minorEastAsia" w:hint="eastAsia"/>
          <w:sz w:val="22"/>
          <w:szCs w:val="22"/>
          <w:vertAlign w:val="superscript"/>
        </w:rPr>
        <w:t>※</w:t>
      </w:r>
      <w:r w:rsidRPr="001D6D10">
        <w:rPr>
          <w:rFonts w:asciiTheme="minorEastAsia" w:eastAsiaTheme="minorEastAsia" w:hAnsiTheme="minorEastAsia" w:hint="eastAsia"/>
          <w:sz w:val="22"/>
          <w:szCs w:val="22"/>
        </w:rPr>
        <w:t>に対しシステムに登録したメールアドレス（以下「登録メールアドレス」という。）に、地震情報と参集・安否状況を確認するメールが配信されるので、職員はメールに記載のURLよりシステムにログインし、参集状況、安否状況などについて、速やかに回答を行う。</w:t>
      </w:r>
    </w:p>
    <w:p w14:paraId="15481654" w14:textId="77777777" w:rsidR="008B4B2B" w:rsidRPr="001D6D10" w:rsidRDefault="008B4B2B" w:rsidP="008B4B2B">
      <w:pPr>
        <w:ind w:leftChars="400" w:left="844" w:rightChars="-108" w:right="-228" w:firstLineChars="300" w:firstLine="663"/>
        <w:rPr>
          <w:rFonts w:asciiTheme="minorEastAsia" w:eastAsiaTheme="minorEastAsia" w:hAnsiTheme="minorEastAsia"/>
          <w:sz w:val="22"/>
          <w:szCs w:val="22"/>
        </w:rPr>
      </w:pPr>
      <w:r w:rsidRPr="001D6D10">
        <w:rPr>
          <w:rFonts w:asciiTheme="minorEastAsia" w:eastAsiaTheme="minorEastAsia" w:hAnsiTheme="minorEastAsia" w:hint="eastAsia"/>
          <w:sz w:val="22"/>
          <w:szCs w:val="22"/>
        </w:rPr>
        <w:t>※</w:t>
      </w:r>
      <w:r w:rsidRPr="001D6D10">
        <w:rPr>
          <w:rFonts w:asciiTheme="minorEastAsia" w:eastAsiaTheme="minorEastAsia" w:hAnsiTheme="minorEastAsia"/>
          <w:sz w:val="22"/>
          <w:szCs w:val="22"/>
        </w:rPr>
        <w:t xml:space="preserve"> </w:t>
      </w:r>
      <w:r w:rsidRPr="001D6D10">
        <w:rPr>
          <w:rFonts w:asciiTheme="minorEastAsia" w:eastAsiaTheme="minorEastAsia" w:hAnsiTheme="minorEastAsia" w:hint="eastAsia"/>
          <w:sz w:val="22"/>
          <w:szCs w:val="22"/>
        </w:rPr>
        <w:t>システムにメールアドレスを登録した職員。</w:t>
      </w:r>
    </w:p>
    <w:p w14:paraId="098D4C6A" w14:textId="77777777" w:rsidR="008B4B2B" w:rsidRPr="001D6D10" w:rsidRDefault="008B4B2B" w:rsidP="00E0548A">
      <w:pPr>
        <w:ind w:leftChars="806" w:left="1984" w:rightChars="-108" w:right="-228" w:hangingChars="128" w:hanging="283"/>
        <w:rPr>
          <w:rFonts w:asciiTheme="minorEastAsia" w:eastAsiaTheme="minorEastAsia" w:hAnsiTheme="minorEastAsia"/>
          <w:sz w:val="22"/>
          <w:szCs w:val="22"/>
        </w:rPr>
      </w:pPr>
      <w:r w:rsidRPr="001D6D10">
        <w:rPr>
          <w:rFonts w:asciiTheme="minorEastAsia" w:eastAsiaTheme="minorEastAsia" w:hAnsiTheme="minorEastAsia" w:hint="eastAsia"/>
          <w:sz w:val="22"/>
          <w:szCs w:val="22"/>
        </w:rPr>
        <w:t>イ　職員（アにおいて、すでに参集済みや、参集の対象外と回答した職員を除く）は、それぞれの参集場所に到着した後、速やかにシステムに再度ログインし、参集場所に到着した旨の回答を行う。</w:t>
      </w:r>
    </w:p>
    <w:p w14:paraId="0CB94552" w14:textId="77777777" w:rsidR="008B4B2B" w:rsidRPr="001D6D10" w:rsidRDefault="008B4B2B" w:rsidP="00E0548A">
      <w:pPr>
        <w:ind w:leftChars="805" w:left="1984" w:rightChars="-108" w:right="-228" w:hangingChars="129" w:hanging="285"/>
        <w:rPr>
          <w:rFonts w:asciiTheme="minorEastAsia" w:eastAsiaTheme="minorEastAsia" w:hAnsiTheme="minorEastAsia"/>
          <w:sz w:val="22"/>
          <w:szCs w:val="22"/>
        </w:rPr>
      </w:pPr>
      <w:r w:rsidRPr="001D6D10">
        <w:rPr>
          <w:rFonts w:asciiTheme="minorEastAsia" w:eastAsiaTheme="minorEastAsia" w:hAnsiTheme="minorEastAsia" w:hint="eastAsia"/>
          <w:sz w:val="22"/>
          <w:szCs w:val="22"/>
        </w:rPr>
        <w:t>ウ　メール配信後概ね１時間経過したのち、職員からの回答がない場合（システムで未回答と表示）、所属長等は当該職員の状況を、</w:t>
      </w:r>
      <w:r w:rsidRPr="001D6D10">
        <w:rPr>
          <w:rFonts w:asciiTheme="minorEastAsia" w:eastAsiaTheme="minorEastAsia" w:hAnsiTheme="minorEastAsia"/>
          <w:sz w:val="22"/>
          <w:szCs w:val="22"/>
        </w:rPr>
        <w:t>SNS</w:t>
      </w:r>
      <w:r w:rsidRPr="001D6D10">
        <w:rPr>
          <w:rFonts w:asciiTheme="minorEastAsia" w:eastAsiaTheme="minorEastAsia" w:hAnsiTheme="minorEastAsia" w:hint="eastAsia"/>
          <w:sz w:val="22"/>
          <w:szCs w:val="22"/>
        </w:rPr>
        <w:t>や</w:t>
      </w:r>
      <w:r w:rsidRPr="001D6D10">
        <w:rPr>
          <w:rFonts w:asciiTheme="minorEastAsia" w:eastAsiaTheme="minorEastAsia" w:hAnsiTheme="minorEastAsia"/>
          <w:sz w:val="22"/>
          <w:szCs w:val="22"/>
        </w:rPr>
        <w:t>メールを活用</w:t>
      </w:r>
      <w:r w:rsidRPr="001D6D10">
        <w:rPr>
          <w:rFonts w:asciiTheme="minorEastAsia" w:eastAsiaTheme="minorEastAsia" w:hAnsiTheme="minorEastAsia" w:hint="eastAsia"/>
          <w:sz w:val="22"/>
          <w:szCs w:val="22"/>
        </w:rPr>
        <w:t>するなど</w:t>
      </w:r>
      <w:r w:rsidRPr="001D6D10">
        <w:rPr>
          <w:rFonts w:asciiTheme="minorEastAsia" w:eastAsiaTheme="minorEastAsia" w:hAnsiTheme="minorEastAsia"/>
          <w:sz w:val="22"/>
          <w:szCs w:val="22"/>
        </w:rPr>
        <w:t>、</w:t>
      </w:r>
      <w:r w:rsidRPr="001D6D10">
        <w:rPr>
          <w:rFonts w:asciiTheme="minorEastAsia" w:eastAsiaTheme="minorEastAsia" w:hAnsiTheme="minorEastAsia" w:hint="eastAsia"/>
          <w:sz w:val="22"/>
          <w:szCs w:val="22"/>
        </w:rPr>
        <w:t>予め各所属が定めた方法により確認を行い、システムに代理入力を行う。</w:t>
      </w:r>
    </w:p>
    <w:p w14:paraId="3AA500DA" w14:textId="77777777" w:rsidR="008B4B2B" w:rsidRPr="001D6D10" w:rsidRDefault="008B4B2B" w:rsidP="008B4B2B">
      <w:pPr>
        <w:ind w:leftChars="300" w:left="633" w:rightChars="-108" w:right="-228" w:firstLineChars="500" w:firstLine="1105"/>
        <w:rPr>
          <w:rFonts w:asciiTheme="minorEastAsia" w:eastAsiaTheme="minorEastAsia" w:hAnsiTheme="minorEastAsia"/>
          <w:sz w:val="22"/>
          <w:szCs w:val="22"/>
        </w:rPr>
      </w:pPr>
      <w:r w:rsidRPr="001D6D10">
        <w:rPr>
          <w:rFonts w:asciiTheme="minorEastAsia" w:eastAsiaTheme="minorEastAsia" w:hAnsiTheme="minorEastAsia" w:hint="eastAsia"/>
          <w:sz w:val="22"/>
          <w:szCs w:val="22"/>
        </w:rPr>
        <w:t>エ　本庁の所属長等は、次のとおり職員の参集状況の確認を行う。</w:t>
      </w:r>
    </w:p>
    <w:p w14:paraId="671E8F86" w14:textId="77777777" w:rsidR="008B4B2B" w:rsidRPr="001D6D10" w:rsidRDefault="008B4B2B" w:rsidP="008B4B2B">
      <w:pPr>
        <w:ind w:leftChars="900" w:left="2342" w:rightChars="-108" w:right="-228" w:hangingChars="200" w:hanging="442"/>
        <w:rPr>
          <w:rFonts w:asciiTheme="minorEastAsia" w:eastAsiaTheme="minorEastAsia" w:hAnsiTheme="minorEastAsia"/>
          <w:sz w:val="22"/>
          <w:szCs w:val="22"/>
        </w:rPr>
      </w:pPr>
      <w:r w:rsidRPr="001D6D10">
        <w:rPr>
          <w:rFonts w:asciiTheme="minorEastAsia" w:eastAsiaTheme="minorEastAsia" w:hAnsiTheme="minorEastAsia" w:hint="eastAsia"/>
          <w:sz w:val="22"/>
          <w:szCs w:val="22"/>
        </w:rPr>
        <w:t>（ⅰ）府域において震度５弱以上の地震を観測したときは、本庁の所属長は当該所属及び所管する出先機関の職員の参集状況を、主管課長は当該部局の職員の参集状況をシステムにより速やかに確認する。</w:t>
      </w:r>
    </w:p>
    <w:p w14:paraId="1A74E9D7" w14:textId="77777777" w:rsidR="008B4B2B" w:rsidRPr="001D6D10" w:rsidRDefault="008B4B2B" w:rsidP="008B4B2B">
      <w:pPr>
        <w:ind w:leftChars="900" w:left="2342" w:rightChars="-108" w:right="-228" w:hangingChars="200" w:hanging="442"/>
        <w:rPr>
          <w:rFonts w:asciiTheme="minorEastAsia" w:eastAsiaTheme="minorEastAsia" w:hAnsiTheme="minorEastAsia"/>
          <w:sz w:val="22"/>
          <w:szCs w:val="22"/>
        </w:rPr>
      </w:pPr>
      <w:r w:rsidRPr="001D6D10">
        <w:rPr>
          <w:rFonts w:asciiTheme="minorEastAsia" w:eastAsiaTheme="minorEastAsia" w:hAnsiTheme="minorEastAsia" w:hint="eastAsia"/>
          <w:sz w:val="22"/>
          <w:szCs w:val="22"/>
        </w:rPr>
        <w:t>（ⅱ）災害対策本部事務局は、職員の参集状況をシステムで出力した帳票により、指令部、警戒本部又は災害対策本部に報告する。</w:t>
      </w:r>
    </w:p>
    <w:p w14:paraId="123B8EA3" w14:textId="77777777" w:rsidR="008B4B2B" w:rsidRPr="001D6D10" w:rsidRDefault="008B4B2B" w:rsidP="008B4B2B">
      <w:pPr>
        <w:ind w:leftChars="1100" w:left="2322" w:rightChars="-108" w:right="-228" w:firstLineChars="100" w:firstLine="221"/>
        <w:rPr>
          <w:rFonts w:asciiTheme="minorEastAsia" w:eastAsiaTheme="minorEastAsia" w:hAnsiTheme="minorEastAsia"/>
          <w:sz w:val="22"/>
          <w:szCs w:val="22"/>
        </w:rPr>
      </w:pPr>
      <w:r w:rsidRPr="001D6D10">
        <w:rPr>
          <w:rFonts w:asciiTheme="minorEastAsia" w:eastAsiaTheme="minorEastAsia" w:hAnsiTheme="minorEastAsia" w:hint="eastAsia"/>
          <w:sz w:val="22"/>
          <w:szCs w:val="22"/>
        </w:rPr>
        <w:t>なお、災害対策本部事務局員及び緊急防災推進員の参集状況については、災害対策本部事務局より報告する。</w:t>
      </w:r>
    </w:p>
    <w:p w14:paraId="355B51B5" w14:textId="77777777" w:rsidR="008B4B2B" w:rsidRPr="001D6D10" w:rsidRDefault="008B4B2B" w:rsidP="008B4B2B">
      <w:pPr>
        <w:ind w:leftChars="300" w:left="633" w:rightChars="-108" w:right="-228" w:firstLineChars="500" w:firstLine="1105"/>
        <w:rPr>
          <w:rFonts w:asciiTheme="minorEastAsia" w:eastAsiaTheme="minorEastAsia" w:hAnsiTheme="minorEastAsia"/>
          <w:sz w:val="22"/>
          <w:szCs w:val="22"/>
        </w:rPr>
      </w:pPr>
    </w:p>
    <w:p w14:paraId="0B5A513E" w14:textId="77777777" w:rsidR="008B4B2B" w:rsidRPr="001D6D10" w:rsidRDefault="008B4B2B" w:rsidP="008B4B2B">
      <w:pPr>
        <w:ind w:leftChars="300" w:left="633" w:rightChars="-108" w:right="-228" w:firstLineChars="500" w:firstLine="1105"/>
        <w:rPr>
          <w:rFonts w:asciiTheme="minorEastAsia" w:eastAsiaTheme="minorEastAsia" w:hAnsiTheme="minorEastAsia"/>
          <w:sz w:val="22"/>
          <w:szCs w:val="22"/>
        </w:rPr>
      </w:pPr>
      <w:r w:rsidRPr="001D6D10">
        <w:rPr>
          <w:rFonts w:asciiTheme="minorEastAsia" w:eastAsiaTheme="minorEastAsia" w:hAnsiTheme="minorEastAsia" w:hint="eastAsia"/>
          <w:sz w:val="22"/>
          <w:szCs w:val="22"/>
        </w:rPr>
        <w:t>オ　本庁の所属長等は、次のとおり職員の安否状況の確認を行う。</w:t>
      </w:r>
    </w:p>
    <w:p w14:paraId="22EB6BC0" w14:textId="77777777" w:rsidR="008B4B2B" w:rsidRPr="001D6D10" w:rsidRDefault="008B4B2B" w:rsidP="008B4B2B">
      <w:pPr>
        <w:ind w:leftChars="900" w:left="2342" w:rightChars="-108" w:right="-228" w:hangingChars="200" w:hanging="442"/>
        <w:rPr>
          <w:rFonts w:asciiTheme="minorEastAsia" w:eastAsiaTheme="minorEastAsia" w:hAnsiTheme="minorEastAsia"/>
          <w:sz w:val="22"/>
          <w:szCs w:val="22"/>
        </w:rPr>
      </w:pPr>
      <w:r w:rsidRPr="001D6D10">
        <w:rPr>
          <w:rFonts w:asciiTheme="minorEastAsia" w:eastAsiaTheme="minorEastAsia" w:hAnsiTheme="minorEastAsia" w:hint="eastAsia"/>
          <w:sz w:val="22"/>
          <w:szCs w:val="22"/>
        </w:rPr>
        <w:t>（ⅰ）府域において震度５弱以上の地震を観測したときは、本庁の所属長は当該所属及び所管する出先機関の職員（緊急防災推進員を含む）の安否状況を、主管課長は当該部局（出先機関を含む）の職員の安否状況をシステムにより確認する。</w:t>
      </w:r>
    </w:p>
    <w:p w14:paraId="3C916F61" w14:textId="77777777" w:rsidR="008B4B2B" w:rsidRPr="001D6D10" w:rsidRDefault="008B4B2B" w:rsidP="008B4B2B">
      <w:pPr>
        <w:ind w:leftChars="900" w:left="2342" w:rightChars="-108" w:right="-228" w:hangingChars="200" w:hanging="442"/>
        <w:rPr>
          <w:rFonts w:asciiTheme="minorEastAsia" w:eastAsiaTheme="minorEastAsia" w:hAnsiTheme="minorEastAsia"/>
          <w:sz w:val="22"/>
          <w:szCs w:val="22"/>
        </w:rPr>
      </w:pPr>
      <w:r w:rsidRPr="001D6D10">
        <w:rPr>
          <w:rFonts w:asciiTheme="minorEastAsia" w:eastAsiaTheme="minorEastAsia" w:hAnsiTheme="minorEastAsia" w:hint="eastAsia"/>
          <w:sz w:val="22"/>
          <w:szCs w:val="22"/>
        </w:rPr>
        <w:t>（ⅱ）人事課長は全庁の職員の安否状況をシステムにより確認し、警戒本部又は災害対策本部に報告する。</w:t>
      </w:r>
    </w:p>
    <w:p w14:paraId="326AB2C8" w14:textId="77777777" w:rsidR="008B4B2B" w:rsidRPr="001D6D10" w:rsidRDefault="008B4B2B" w:rsidP="008B4B2B">
      <w:pPr>
        <w:ind w:leftChars="700" w:left="1699" w:rightChars="-108" w:right="-228" w:hangingChars="100" w:hanging="221"/>
        <w:rPr>
          <w:rFonts w:asciiTheme="minorEastAsia" w:eastAsiaTheme="minorEastAsia" w:hAnsiTheme="minorEastAsia"/>
          <w:sz w:val="22"/>
          <w:szCs w:val="22"/>
        </w:rPr>
      </w:pPr>
      <w:r w:rsidRPr="001D6D10">
        <w:rPr>
          <w:rFonts w:asciiTheme="minorEastAsia" w:eastAsiaTheme="minorEastAsia" w:hAnsiTheme="minorEastAsia" w:hint="eastAsia"/>
          <w:sz w:val="22"/>
          <w:szCs w:val="22"/>
        </w:rPr>
        <w:t>※</w:t>
      </w:r>
      <w:r w:rsidRPr="001D6D10">
        <w:rPr>
          <w:rFonts w:asciiTheme="minorEastAsia" w:eastAsiaTheme="minorEastAsia" w:hAnsiTheme="minorEastAsia"/>
          <w:sz w:val="22"/>
          <w:szCs w:val="22"/>
        </w:rPr>
        <w:t xml:space="preserve"> </w:t>
      </w:r>
      <w:r w:rsidRPr="001D6D10">
        <w:rPr>
          <w:rFonts w:asciiTheme="minorEastAsia" w:eastAsiaTheme="minorEastAsia" w:hAnsiTheme="minorEastAsia" w:hint="eastAsia"/>
          <w:sz w:val="22"/>
          <w:szCs w:val="22"/>
        </w:rPr>
        <w:t>府域において震度４を観測した地震により負傷した職員は、速やかに所属に連絡を行う。（②イ（ⅳ）参照）</w:t>
      </w:r>
    </w:p>
    <w:p w14:paraId="425974A1" w14:textId="77777777" w:rsidR="008B4B2B" w:rsidRPr="001D6D10" w:rsidRDefault="008B4B2B" w:rsidP="008B4B2B">
      <w:pPr>
        <w:ind w:leftChars="300" w:left="1075" w:rightChars="-108" w:right="-228" w:hangingChars="200" w:hanging="442"/>
        <w:rPr>
          <w:rFonts w:asciiTheme="minorEastAsia" w:eastAsiaTheme="minorEastAsia" w:hAnsiTheme="minorEastAsia"/>
          <w:strike/>
          <w:sz w:val="22"/>
          <w:szCs w:val="22"/>
        </w:rPr>
      </w:pPr>
    </w:p>
    <w:p w14:paraId="7CDC1362" w14:textId="77777777" w:rsidR="008B4B2B" w:rsidRPr="001D6D10" w:rsidRDefault="008B4B2B" w:rsidP="008B4B2B">
      <w:pPr>
        <w:ind w:rightChars="-108" w:right="-228" w:firstLineChars="600" w:firstLine="1327"/>
        <w:rPr>
          <w:rFonts w:asciiTheme="minorEastAsia" w:eastAsiaTheme="minorEastAsia" w:hAnsiTheme="minorEastAsia"/>
          <w:sz w:val="22"/>
          <w:szCs w:val="22"/>
        </w:rPr>
      </w:pPr>
      <w:r w:rsidRPr="001D6D10">
        <w:rPr>
          <w:rFonts w:asciiTheme="minorEastAsia" w:eastAsiaTheme="minorEastAsia" w:hAnsiTheme="minorEastAsia" w:hint="eastAsia"/>
          <w:sz w:val="22"/>
          <w:szCs w:val="22"/>
        </w:rPr>
        <w:t>②　システムが利用できない場合の報告（例外１）</w:t>
      </w:r>
    </w:p>
    <w:p w14:paraId="21E0A112" w14:textId="77777777" w:rsidR="008B4B2B" w:rsidRPr="001D6D10" w:rsidRDefault="008B4B2B" w:rsidP="008B4B2B">
      <w:pPr>
        <w:ind w:leftChars="100" w:left="653" w:rightChars="-108" w:right="-228" w:hangingChars="200" w:hanging="442"/>
        <w:rPr>
          <w:rFonts w:asciiTheme="minorEastAsia" w:eastAsiaTheme="minorEastAsia" w:hAnsiTheme="minorEastAsia"/>
          <w:sz w:val="22"/>
          <w:szCs w:val="22"/>
        </w:rPr>
      </w:pPr>
      <w:r w:rsidRPr="001D6D10">
        <w:rPr>
          <w:rFonts w:asciiTheme="minorEastAsia" w:eastAsiaTheme="minorEastAsia" w:hAnsiTheme="minorEastAsia" w:hint="eastAsia"/>
          <w:sz w:val="22"/>
          <w:szCs w:val="22"/>
        </w:rPr>
        <w:t xml:space="preserve">　　　　　　　ア　本庁の所属長等は、次のとおり職員の配備状況の報告を行う。</w:t>
      </w:r>
    </w:p>
    <w:p w14:paraId="418FFCCA" w14:textId="77777777" w:rsidR="008B4B2B" w:rsidRPr="001D6D10" w:rsidRDefault="008B4B2B" w:rsidP="008B4B2B">
      <w:pPr>
        <w:ind w:leftChars="900" w:left="2342" w:rightChars="-108" w:right="-228" w:hangingChars="200" w:hanging="442"/>
        <w:rPr>
          <w:rFonts w:asciiTheme="minorEastAsia" w:eastAsiaTheme="minorEastAsia" w:hAnsiTheme="minorEastAsia"/>
          <w:sz w:val="22"/>
          <w:szCs w:val="22"/>
        </w:rPr>
      </w:pPr>
      <w:r w:rsidRPr="001D6D10">
        <w:rPr>
          <w:rFonts w:asciiTheme="minorEastAsia" w:eastAsiaTheme="minorEastAsia" w:hAnsiTheme="minorEastAsia" w:hint="eastAsia"/>
          <w:sz w:val="22"/>
          <w:szCs w:val="22"/>
        </w:rPr>
        <w:t>（ⅰ）本庁の所属長は、職員の配備が指令されたとき、又はその後、配備人員を増減したときは、速やかに当該所属及び所管する出先機関の職員の配備状況を「７</w:t>
      </w:r>
      <w:r w:rsidRPr="001D6D10">
        <w:rPr>
          <w:rFonts w:asciiTheme="minorEastAsia" w:eastAsiaTheme="minorEastAsia" w:hAnsiTheme="minorEastAsia"/>
          <w:sz w:val="22"/>
          <w:szCs w:val="22"/>
        </w:rPr>
        <w:t>-</w:t>
      </w:r>
      <w:r w:rsidR="00A4310A" w:rsidRPr="001D6D10">
        <w:rPr>
          <w:rFonts w:asciiTheme="minorEastAsia" w:eastAsiaTheme="minorEastAsia" w:hAnsiTheme="minorEastAsia"/>
          <w:sz w:val="22"/>
          <w:szCs w:val="22"/>
        </w:rPr>
        <w:t>１職員配備状況報告書」（資料集２</w:t>
      </w:r>
      <w:r w:rsidR="00A4310A" w:rsidRPr="001D6D10">
        <w:rPr>
          <w:rFonts w:asciiTheme="minorEastAsia" w:eastAsiaTheme="minorEastAsia" w:hAnsiTheme="minorEastAsia" w:hint="eastAsia"/>
          <w:sz w:val="22"/>
          <w:szCs w:val="22"/>
        </w:rPr>
        <w:t>５</w:t>
      </w:r>
      <w:r w:rsidRPr="001D6D10">
        <w:rPr>
          <w:rFonts w:asciiTheme="minorEastAsia" w:eastAsiaTheme="minorEastAsia" w:hAnsiTheme="minorEastAsia"/>
          <w:sz w:val="22"/>
          <w:szCs w:val="22"/>
        </w:rPr>
        <w:t>頁）によ</w:t>
      </w:r>
      <w:r w:rsidRPr="001D6D10">
        <w:rPr>
          <w:rFonts w:asciiTheme="minorEastAsia" w:eastAsiaTheme="minorEastAsia" w:hAnsiTheme="minorEastAsia"/>
          <w:sz w:val="22"/>
          <w:szCs w:val="22"/>
        </w:rPr>
        <w:lastRenderedPageBreak/>
        <w:t>り、当該部</w:t>
      </w:r>
      <w:r w:rsidRPr="001D6D10">
        <w:rPr>
          <w:rFonts w:asciiTheme="minorEastAsia" w:eastAsiaTheme="minorEastAsia" w:hAnsiTheme="minorEastAsia" w:hint="eastAsia"/>
          <w:sz w:val="22"/>
          <w:szCs w:val="22"/>
        </w:rPr>
        <w:t>局</w:t>
      </w:r>
      <w:r w:rsidRPr="001D6D10">
        <w:rPr>
          <w:rFonts w:asciiTheme="minorEastAsia" w:eastAsiaTheme="minorEastAsia" w:hAnsiTheme="minorEastAsia"/>
          <w:sz w:val="22"/>
          <w:szCs w:val="22"/>
        </w:rPr>
        <w:t>の主管課長に報告する。</w:t>
      </w:r>
    </w:p>
    <w:p w14:paraId="4BE1B5A3" w14:textId="77777777" w:rsidR="008B4B2B" w:rsidRPr="001D6D10" w:rsidRDefault="008B4B2B" w:rsidP="008B4B2B">
      <w:pPr>
        <w:ind w:leftChars="900" w:left="2342" w:rightChars="-108" w:right="-228" w:hangingChars="200" w:hanging="442"/>
        <w:rPr>
          <w:rFonts w:asciiTheme="minorEastAsia" w:eastAsiaTheme="minorEastAsia" w:hAnsiTheme="minorEastAsia"/>
          <w:sz w:val="22"/>
          <w:szCs w:val="22"/>
        </w:rPr>
      </w:pPr>
      <w:r w:rsidRPr="001D6D10">
        <w:rPr>
          <w:rFonts w:asciiTheme="minorEastAsia" w:eastAsiaTheme="minorEastAsia" w:hAnsiTheme="minorEastAsia" w:hint="eastAsia"/>
          <w:sz w:val="22"/>
          <w:szCs w:val="22"/>
        </w:rPr>
        <w:t>（ⅱ）各部主管課長は、当該部局（出先機関を含む）の職員の配備状況を「７</w:t>
      </w:r>
      <w:r w:rsidRPr="001D6D10">
        <w:rPr>
          <w:rFonts w:asciiTheme="minorEastAsia" w:eastAsiaTheme="minorEastAsia" w:hAnsiTheme="minorEastAsia"/>
          <w:sz w:val="22"/>
          <w:szCs w:val="22"/>
        </w:rPr>
        <w:t>-</w:t>
      </w:r>
      <w:r w:rsidR="00A4310A" w:rsidRPr="001D6D10">
        <w:rPr>
          <w:rFonts w:asciiTheme="minorEastAsia" w:eastAsiaTheme="minorEastAsia" w:hAnsiTheme="minorEastAsia"/>
          <w:sz w:val="22"/>
          <w:szCs w:val="22"/>
        </w:rPr>
        <w:t>１職員配備状況報告書」（資料集２</w:t>
      </w:r>
      <w:r w:rsidR="00A4310A" w:rsidRPr="001D6D10">
        <w:rPr>
          <w:rFonts w:asciiTheme="minorEastAsia" w:eastAsiaTheme="minorEastAsia" w:hAnsiTheme="minorEastAsia" w:hint="eastAsia"/>
          <w:sz w:val="22"/>
          <w:szCs w:val="22"/>
        </w:rPr>
        <w:t>５</w:t>
      </w:r>
      <w:r w:rsidRPr="001D6D10">
        <w:rPr>
          <w:rFonts w:asciiTheme="minorEastAsia" w:eastAsiaTheme="minorEastAsia" w:hAnsiTheme="minorEastAsia"/>
          <w:sz w:val="22"/>
          <w:szCs w:val="22"/>
        </w:rPr>
        <w:t>頁）</w:t>
      </w:r>
      <w:r w:rsidRPr="001D6D10">
        <w:rPr>
          <w:rFonts w:asciiTheme="minorEastAsia" w:eastAsiaTheme="minorEastAsia" w:hAnsiTheme="minorEastAsia" w:hint="eastAsia"/>
          <w:sz w:val="22"/>
          <w:szCs w:val="22"/>
        </w:rPr>
        <w:t>により、</w:t>
      </w:r>
      <w:r w:rsidRPr="001D6D10">
        <w:rPr>
          <w:rFonts w:asciiTheme="minorEastAsia" w:eastAsiaTheme="minorEastAsia" w:hAnsiTheme="minorEastAsia"/>
          <w:sz w:val="22"/>
          <w:szCs w:val="22"/>
        </w:rPr>
        <w:t>災害対策本部事務局に報告する。</w:t>
      </w:r>
    </w:p>
    <w:p w14:paraId="2D020967" w14:textId="77777777" w:rsidR="008B4B2B" w:rsidRPr="001D6D10" w:rsidRDefault="008B4B2B" w:rsidP="008B4B2B">
      <w:pPr>
        <w:ind w:leftChars="900" w:left="2342" w:rightChars="-108" w:right="-228" w:hangingChars="200" w:hanging="442"/>
        <w:rPr>
          <w:rFonts w:asciiTheme="minorEastAsia" w:eastAsiaTheme="minorEastAsia" w:hAnsiTheme="minorEastAsia"/>
          <w:sz w:val="22"/>
          <w:szCs w:val="22"/>
        </w:rPr>
      </w:pPr>
      <w:r w:rsidRPr="001D6D10">
        <w:rPr>
          <w:rFonts w:asciiTheme="minorEastAsia" w:eastAsiaTheme="minorEastAsia" w:hAnsiTheme="minorEastAsia" w:hint="eastAsia"/>
          <w:sz w:val="22"/>
          <w:szCs w:val="22"/>
        </w:rPr>
        <w:t>（ⅲ）災害対策本部事務局は、各部主管課長から報告のあった職員の配備状況をとりまとめて指令部、警戒本部又は災対本部に報告する。</w:t>
      </w:r>
    </w:p>
    <w:p w14:paraId="422F906E" w14:textId="77777777" w:rsidR="008B4B2B" w:rsidRPr="001D6D10" w:rsidRDefault="008B4B2B" w:rsidP="008B4B2B">
      <w:pPr>
        <w:ind w:leftChars="1100" w:left="2322" w:rightChars="-108" w:right="-228" w:firstLineChars="100" w:firstLine="221"/>
        <w:rPr>
          <w:rFonts w:asciiTheme="minorEastAsia" w:eastAsiaTheme="minorEastAsia" w:hAnsiTheme="minorEastAsia"/>
          <w:sz w:val="22"/>
          <w:szCs w:val="22"/>
        </w:rPr>
      </w:pPr>
      <w:r w:rsidRPr="001D6D10">
        <w:rPr>
          <w:rFonts w:asciiTheme="minorEastAsia" w:eastAsiaTheme="minorEastAsia" w:hAnsiTheme="minorEastAsia" w:hint="eastAsia"/>
          <w:sz w:val="22"/>
          <w:szCs w:val="22"/>
        </w:rPr>
        <w:t>なお、災害対策本部事務局員及び緊急防災推進員の配備状況については、災害対策本部事務局より報告する。</w:t>
      </w:r>
    </w:p>
    <w:p w14:paraId="35C4A7E6" w14:textId="77777777" w:rsidR="008B4B2B" w:rsidRPr="001D6D10" w:rsidRDefault="008B4B2B" w:rsidP="008B4B2B">
      <w:pPr>
        <w:ind w:leftChars="400" w:left="844" w:rightChars="-108" w:right="-228" w:firstLineChars="400" w:firstLine="884"/>
        <w:rPr>
          <w:rFonts w:asciiTheme="minorEastAsia" w:eastAsiaTheme="minorEastAsia" w:hAnsiTheme="minorEastAsia"/>
          <w:sz w:val="22"/>
          <w:szCs w:val="22"/>
        </w:rPr>
      </w:pPr>
      <w:r w:rsidRPr="001D6D10">
        <w:rPr>
          <w:rFonts w:asciiTheme="minorEastAsia" w:eastAsiaTheme="minorEastAsia" w:hAnsiTheme="minorEastAsia" w:hint="eastAsia"/>
          <w:sz w:val="22"/>
          <w:szCs w:val="22"/>
        </w:rPr>
        <w:t>イ　本庁の所属長等は、次のとおり職員の安否状況の報告を行う。</w:t>
      </w:r>
    </w:p>
    <w:p w14:paraId="5469F786" w14:textId="77777777" w:rsidR="008B4B2B" w:rsidRPr="001D6D10" w:rsidRDefault="008B4B2B" w:rsidP="008B4B2B">
      <w:pPr>
        <w:ind w:leftChars="900" w:left="2342" w:rightChars="-108" w:right="-228" w:hangingChars="200" w:hanging="442"/>
        <w:rPr>
          <w:rFonts w:asciiTheme="minorEastAsia" w:eastAsiaTheme="minorEastAsia" w:hAnsiTheme="minorEastAsia"/>
          <w:sz w:val="22"/>
          <w:szCs w:val="22"/>
        </w:rPr>
      </w:pPr>
      <w:r w:rsidRPr="001D6D10">
        <w:rPr>
          <w:rFonts w:asciiTheme="minorEastAsia" w:eastAsiaTheme="minorEastAsia" w:hAnsiTheme="minorEastAsia" w:hint="eastAsia"/>
          <w:sz w:val="22"/>
          <w:szCs w:val="22"/>
        </w:rPr>
        <w:t>（ⅰ）本庁の所属長は、府域において震度５弱以上の地震を観測したときは、速やかに（概ね１時間以内に）当該所属及び所管する出先機関の職員の安否状況を「７</w:t>
      </w:r>
      <w:r w:rsidRPr="001D6D10">
        <w:rPr>
          <w:rFonts w:asciiTheme="minorEastAsia" w:eastAsiaTheme="minorEastAsia" w:hAnsiTheme="minorEastAsia"/>
          <w:sz w:val="22"/>
          <w:szCs w:val="22"/>
        </w:rPr>
        <w:t>-</w:t>
      </w:r>
      <w:r w:rsidR="00A4310A" w:rsidRPr="001D6D10">
        <w:rPr>
          <w:rFonts w:asciiTheme="minorEastAsia" w:eastAsiaTheme="minorEastAsia" w:hAnsiTheme="minorEastAsia"/>
          <w:sz w:val="22"/>
          <w:szCs w:val="22"/>
        </w:rPr>
        <w:t>２職員安否報告書」（資料集２</w:t>
      </w:r>
      <w:r w:rsidR="00A4310A" w:rsidRPr="001D6D10">
        <w:rPr>
          <w:rFonts w:asciiTheme="minorEastAsia" w:eastAsiaTheme="minorEastAsia" w:hAnsiTheme="minorEastAsia" w:hint="eastAsia"/>
          <w:sz w:val="22"/>
          <w:szCs w:val="22"/>
        </w:rPr>
        <w:t>７</w:t>
      </w:r>
      <w:r w:rsidRPr="001D6D10">
        <w:rPr>
          <w:rFonts w:asciiTheme="minorEastAsia" w:eastAsiaTheme="minorEastAsia" w:hAnsiTheme="minorEastAsia"/>
          <w:sz w:val="22"/>
          <w:szCs w:val="22"/>
        </w:rPr>
        <w:t>頁）により、当該部</w:t>
      </w:r>
      <w:r w:rsidRPr="001D6D10">
        <w:rPr>
          <w:rFonts w:asciiTheme="minorEastAsia" w:eastAsiaTheme="minorEastAsia" w:hAnsiTheme="minorEastAsia" w:hint="eastAsia"/>
          <w:sz w:val="22"/>
          <w:szCs w:val="22"/>
        </w:rPr>
        <w:t>局</w:t>
      </w:r>
      <w:r w:rsidRPr="001D6D10">
        <w:rPr>
          <w:rFonts w:asciiTheme="minorEastAsia" w:eastAsiaTheme="minorEastAsia" w:hAnsiTheme="minorEastAsia"/>
          <w:sz w:val="22"/>
          <w:szCs w:val="22"/>
        </w:rPr>
        <w:t>の主管課長に報告する。</w:t>
      </w:r>
    </w:p>
    <w:p w14:paraId="0049A8C6" w14:textId="77777777" w:rsidR="008B4B2B" w:rsidRPr="001D6D10" w:rsidRDefault="008B4B2B" w:rsidP="008B4B2B">
      <w:pPr>
        <w:ind w:leftChars="900" w:left="2342" w:rightChars="-108" w:right="-228" w:hangingChars="200" w:hanging="442"/>
        <w:rPr>
          <w:rFonts w:asciiTheme="minorEastAsia" w:eastAsiaTheme="minorEastAsia" w:hAnsiTheme="minorEastAsia"/>
          <w:sz w:val="22"/>
          <w:szCs w:val="22"/>
        </w:rPr>
      </w:pPr>
      <w:r w:rsidRPr="001D6D10">
        <w:rPr>
          <w:rFonts w:asciiTheme="minorEastAsia" w:eastAsiaTheme="minorEastAsia" w:hAnsiTheme="minorEastAsia" w:hint="eastAsia"/>
          <w:sz w:val="22"/>
          <w:szCs w:val="22"/>
        </w:rPr>
        <w:t>（ⅱ）各部主管課長は、当該部局（出先機関を含む）の職員の安否状況を「７</w:t>
      </w:r>
      <w:r w:rsidRPr="001D6D10">
        <w:rPr>
          <w:rFonts w:asciiTheme="minorEastAsia" w:eastAsiaTheme="minorEastAsia" w:hAnsiTheme="minorEastAsia"/>
          <w:sz w:val="22"/>
          <w:szCs w:val="22"/>
        </w:rPr>
        <w:t>-</w:t>
      </w:r>
      <w:r w:rsidR="00A4310A" w:rsidRPr="001D6D10">
        <w:rPr>
          <w:rFonts w:asciiTheme="minorEastAsia" w:eastAsiaTheme="minorEastAsia" w:hAnsiTheme="minorEastAsia"/>
          <w:sz w:val="22"/>
          <w:szCs w:val="22"/>
        </w:rPr>
        <w:t>３職員安否報告書」（資料集２</w:t>
      </w:r>
      <w:r w:rsidR="00A4310A" w:rsidRPr="001D6D10">
        <w:rPr>
          <w:rFonts w:asciiTheme="minorEastAsia" w:eastAsiaTheme="minorEastAsia" w:hAnsiTheme="minorEastAsia" w:hint="eastAsia"/>
          <w:sz w:val="22"/>
          <w:szCs w:val="22"/>
        </w:rPr>
        <w:t>７</w:t>
      </w:r>
      <w:r w:rsidRPr="001D6D10">
        <w:rPr>
          <w:rFonts w:asciiTheme="minorEastAsia" w:eastAsiaTheme="minorEastAsia" w:hAnsiTheme="minorEastAsia"/>
          <w:sz w:val="22"/>
          <w:szCs w:val="22"/>
        </w:rPr>
        <w:t>頁）により、人事課長に報告する。</w:t>
      </w:r>
    </w:p>
    <w:p w14:paraId="24DC6649" w14:textId="77777777" w:rsidR="008B4B2B" w:rsidRPr="001D6D10" w:rsidRDefault="008B4B2B" w:rsidP="008B4B2B">
      <w:pPr>
        <w:ind w:leftChars="1100" w:left="2322" w:rightChars="-108" w:right="-228" w:firstLineChars="100" w:firstLine="221"/>
        <w:rPr>
          <w:rFonts w:asciiTheme="minorEastAsia" w:eastAsiaTheme="minorEastAsia" w:hAnsiTheme="minorEastAsia"/>
          <w:sz w:val="22"/>
          <w:szCs w:val="22"/>
        </w:rPr>
      </w:pPr>
      <w:r w:rsidRPr="001D6D10">
        <w:rPr>
          <w:rFonts w:asciiTheme="minorEastAsia" w:eastAsiaTheme="minorEastAsia" w:hAnsiTheme="minorEastAsia" w:hint="eastAsia"/>
          <w:sz w:val="22"/>
          <w:szCs w:val="22"/>
        </w:rPr>
        <w:t>なお、警戒本部事務局又は災害対策本部事務局員の安否状況については、各事務局がとりまとめて人事課長へ報告する。</w:t>
      </w:r>
    </w:p>
    <w:p w14:paraId="364CB465" w14:textId="77777777" w:rsidR="008B4B2B" w:rsidRPr="001D6D10" w:rsidRDefault="008B4B2B" w:rsidP="008B4B2B">
      <w:pPr>
        <w:ind w:leftChars="900" w:left="2563" w:rightChars="-108" w:right="-228" w:hangingChars="300" w:hanging="663"/>
        <w:rPr>
          <w:rFonts w:asciiTheme="minorEastAsia" w:eastAsiaTheme="minorEastAsia" w:hAnsiTheme="minorEastAsia"/>
          <w:sz w:val="22"/>
          <w:szCs w:val="22"/>
        </w:rPr>
      </w:pPr>
      <w:r w:rsidRPr="001D6D10">
        <w:rPr>
          <w:rFonts w:asciiTheme="minorEastAsia" w:eastAsiaTheme="minorEastAsia" w:hAnsiTheme="minorEastAsia" w:hint="eastAsia"/>
          <w:sz w:val="22"/>
          <w:szCs w:val="22"/>
        </w:rPr>
        <w:t>（ⅲ）人事課長は、各部主管課長、警戒本部事務局又は災害対策本部事務局から報告のあった職員安否状況を取りまとめて「７</w:t>
      </w:r>
      <w:r w:rsidRPr="001D6D10">
        <w:rPr>
          <w:rFonts w:asciiTheme="minorEastAsia" w:eastAsiaTheme="minorEastAsia" w:hAnsiTheme="minorEastAsia"/>
          <w:sz w:val="22"/>
          <w:szCs w:val="22"/>
        </w:rPr>
        <w:t>-４職員安否報告書」（資</w:t>
      </w:r>
      <w:r w:rsidR="00A4310A" w:rsidRPr="001D6D10">
        <w:rPr>
          <w:rFonts w:asciiTheme="minorEastAsia" w:eastAsiaTheme="minorEastAsia" w:hAnsiTheme="minorEastAsia" w:hint="eastAsia"/>
          <w:sz w:val="22"/>
          <w:szCs w:val="22"/>
        </w:rPr>
        <w:t>料集２８</w:t>
      </w:r>
      <w:r w:rsidRPr="001D6D10">
        <w:rPr>
          <w:rFonts w:asciiTheme="minorEastAsia" w:eastAsiaTheme="minorEastAsia" w:hAnsiTheme="minorEastAsia" w:hint="eastAsia"/>
          <w:sz w:val="22"/>
          <w:szCs w:val="22"/>
        </w:rPr>
        <w:t>頁）により警戒本部又は災対本部へ報告する。</w:t>
      </w:r>
    </w:p>
    <w:p w14:paraId="37B15F8F" w14:textId="77777777" w:rsidR="008B4B2B" w:rsidRPr="001D6D10" w:rsidRDefault="00085B41" w:rsidP="008B4B2B">
      <w:pPr>
        <w:ind w:leftChars="900" w:left="2342" w:rightChars="-108" w:right="-228" w:hangingChars="200" w:hanging="442"/>
        <w:rPr>
          <w:rFonts w:asciiTheme="minorEastAsia" w:eastAsiaTheme="minorEastAsia" w:hAnsiTheme="minorEastAsia"/>
          <w:sz w:val="22"/>
          <w:szCs w:val="22"/>
        </w:rPr>
      </w:pPr>
      <w:r w:rsidRPr="001D6D10">
        <w:rPr>
          <w:rFonts w:asciiTheme="minorEastAsia" w:eastAsiaTheme="minorEastAsia" w:hAnsiTheme="minorEastAsia" w:hint="eastAsia"/>
          <w:sz w:val="22"/>
          <w:szCs w:val="22"/>
        </w:rPr>
        <w:t>（ⅳ）府域において震度４を観測した地震により負傷した職員は、速</w:t>
      </w:r>
      <w:r w:rsidR="008B4B2B" w:rsidRPr="001D6D10">
        <w:rPr>
          <w:rFonts w:asciiTheme="minorEastAsia" w:eastAsiaTheme="minorEastAsia" w:hAnsiTheme="minorEastAsia" w:hint="eastAsia"/>
          <w:sz w:val="22"/>
          <w:szCs w:val="22"/>
        </w:rPr>
        <w:t>やかに所属に連絡を行う。この場合において、本庁の所属長、各部主管課長及び人事課長は（ⅰ）～（ⅲ）に定めるルートによりそれぞれ報告を行う。</w:t>
      </w:r>
    </w:p>
    <w:p w14:paraId="2AABB4C3" w14:textId="77777777" w:rsidR="008B4B2B" w:rsidRPr="001D6D10" w:rsidRDefault="008B4B2B" w:rsidP="008B4B2B">
      <w:pPr>
        <w:pStyle w:val="ad"/>
        <w:overflowPunct w:val="0"/>
        <w:spacing w:line="240" w:lineRule="auto"/>
        <w:ind w:firstLineChars="500" w:firstLine="1105"/>
        <w:rPr>
          <w:rFonts w:ascii="ＭＳ 明朝" w:hAnsi="ＭＳ 明朝"/>
        </w:rPr>
      </w:pPr>
    </w:p>
    <w:p w14:paraId="18425F14" w14:textId="77777777" w:rsidR="008B4B2B" w:rsidRPr="001D6D10" w:rsidRDefault="008B4B2B" w:rsidP="008B4B2B">
      <w:pPr>
        <w:pStyle w:val="ad"/>
        <w:overflowPunct w:val="0"/>
        <w:spacing w:line="240" w:lineRule="auto"/>
        <w:ind w:firstLineChars="500" w:firstLine="1105"/>
        <w:rPr>
          <w:rFonts w:ascii="ＭＳ 明朝" w:hAnsi="ＭＳ 明朝"/>
        </w:rPr>
      </w:pPr>
    </w:p>
    <w:p w14:paraId="647B488F" w14:textId="77777777" w:rsidR="005F0A8E" w:rsidRPr="001D6D10" w:rsidRDefault="005F0A8E" w:rsidP="008B4B2B">
      <w:pPr>
        <w:pStyle w:val="ad"/>
        <w:overflowPunct w:val="0"/>
        <w:spacing w:line="240" w:lineRule="auto"/>
        <w:ind w:firstLineChars="500" w:firstLine="1105"/>
        <w:rPr>
          <w:rFonts w:ascii="ＭＳ 明朝" w:hAnsi="ＭＳ 明朝"/>
        </w:rPr>
      </w:pPr>
    </w:p>
    <w:p w14:paraId="689B8E95" w14:textId="77777777" w:rsidR="005F0A8E" w:rsidRPr="001D6D10" w:rsidRDefault="005F0A8E" w:rsidP="008B4B2B">
      <w:pPr>
        <w:pStyle w:val="ad"/>
        <w:overflowPunct w:val="0"/>
        <w:spacing w:line="240" w:lineRule="auto"/>
        <w:ind w:firstLineChars="500" w:firstLine="1105"/>
        <w:rPr>
          <w:rFonts w:ascii="ＭＳ 明朝" w:hAnsi="ＭＳ 明朝"/>
        </w:rPr>
      </w:pPr>
    </w:p>
    <w:p w14:paraId="32B9E05E" w14:textId="77777777" w:rsidR="005F0A8E" w:rsidRPr="001D6D10" w:rsidRDefault="005F0A8E" w:rsidP="008B4B2B">
      <w:pPr>
        <w:pStyle w:val="ad"/>
        <w:overflowPunct w:val="0"/>
        <w:spacing w:line="240" w:lineRule="auto"/>
        <w:ind w:firstLineChars="500" w:firstLine="1105"/>
        <w:rPr>
          <w:rFonts w:ascii="ＭＳ 明朝" w:hAnsi="ＭＳ 明朝"/>
        </w:rPr>
      </w:pPr>
    </w:p>
    <w:p w14:paraId="1FE141C1" w14:textId="77777777" w:rsidR="005F0A8E" w:rsidRPr="001D6D10" w:rsidRDefault="005F0A8E" w:rsidP="008B4B2B">
      <w:pPr>
        <w:pStyle w:val="ad"/>
        <w:overflowPunct w:val="0"/>
        <w:spacing w:line="240" w:lineRule="auto"/>
        <w:ind w:firstLineChars="500" w:firstLine="1105"/>
        <w:rPr>
          <w:rFonts w:ascii="ＭＳ 明朝" w:hAnsi="ＭＳ 明朝"/>
        </w:rPr>
      </w:pPr>
    </w:p>
    <w:p w14:paraId="1FA44728" w14:textId="77777777" w:rsidR="005F0A8E" w:rsidRPr="001D6D10" w:rsidRDefault="005F0A8E" w:rsidP="008B4B2B">
      <w:pPr>
        <w:pStyle w:val="ad"/>
        <w:overflowPunct w:val="0"/>
        <w:spacing w:line="240" w:lineRule="auto"/>
        <w:ind w:firstLineChars="500" w:firstLine="1105"/>
        <w:rPr>
          <w:rFonts w:ascii="ＭＳ 明朝" w:hAnsi="ＭＳ 明朝"/>
        </w:rPr>
      </w:pPr>
    </w:p>
    <w:p w14:paraId="7C4A8C4A" w14:textId="77777777" w:rsidR="005F0A8E" w:rsidRPr="001D6D10" w:rsidRDefault="005F0A8E" w:rsidP="008B4B2B">
      <w:pPr>
        <w:pStyle w:val="ad"/>
        <w:overflowPunct w:val="0"/>
        <w:spacing w:line="240" w:lineRule="auto"/>
        <w:ind w:firstLineChars="500" w:firstLine="1105"/>
        <w:rPr>
          <w:rFonts w:ascii="ＭＳ 明朝" w:hAnsi="ＭＳ 明朝"/>
        </w:rPr>
      </w:pPr>
    </w:p>
    <w:p w14:paraId="52F4ED04" w14:textId="77777777" w:rsidR="007F7170" w:rsidRPr="001D6D10" w:rsidRDefault="007F7170">
      <w:pPr>
        <w:widowControl/>
        <w:jc w:val="left"/>
        <w:rPr>
          <w:rFonts w:ascii="ＭＳ ゴシック" w:eastAsia="ＭＳ ゴシック" w:hAnsi="ＭＳ ゴシック"/>
          <w:sz w:val="28"/>
          <w:szCs w:val="28"/>
        </w:rPr>
      </w:pPr>
      <w:r w:rsidRPr="001D6D10">
        <w:rPr>
          <w:rFonts w:ascii="ＭＳ ゴシック" w:eastAsia="ＭＳ ゴシック" w:hAnsi="ＭＳ ゴシック"/>
          <w:sz w:val="28"/>
          <w:szCs w:val="28"/>
        </w:rPr>
        <w:br w:type="page"/>
      </w:r>
    </w:p>
    <w:p w14:paraId="19358F4B" w14:textId="565702E8" w:rsidR="008B4B2B" w:rsidRPr="00E0548A" w:rsidRDefault="008B4B2B" w:rsidP="00E0548A">
      <w:pPr>
        <w:pStyle w:val="2"/>
        <w:rPr>
          <w:rFonts w:asciiTheme="majorEastAsia" w:eastAsiaTheme="majorEastAsia" w:hAnsiTheme="majorEastAsia"/>
          <w:szCs w:val="28"/>
        </w:rPr>
      </w:pPr>
      <w:bookmarkStart w:id="144" w:name="_Toc122436897"/>
      <w:bookmarkStart w:id="145" w:name="_Toc222486580"/>
      <w:bookmarkStart w:id="146" w:name="_Toc242870250"/>
      <w:r w:rsidRPr="00E0548A">
        <w:rPr>
          <w:rFonts w:asciiTheme="majorEastAsia" w:eastAsiaTheme="majorEastAsia" w:hAnsiTheme="majorEastAsia" w:hint="eastAsia"/>
          <w:szCs w:val="28"/>
        </w:rPr>
        <w:lastRenderedPageBreak/>
        <w:t>第２節　自衛隊の派遣要請</w:t>
      </w:r>
      <w:bookmarkEnd w:id="144"/>
      <w:bookmarkEnd w:id="145"/>
      <w:bookmarkEnd w:id="146"/>
    </w:p>
    <w:p w14:paraId="36C6E5BF" w14:textId="2CF7EF55" w:rsidR="008B4B2B" w:rsidRPr="001D6D10" w:rsidRDefault="008B4B2B" w:rsidP="00E0548A">
      <w:pPr>
        <w:pStyle w:val="3"/>
        <w:ind w:firstLineChars="0" w:firstLine="0"/>
      </w:pPr>
      <w:bookmarkStart w:id="147" w:name="_Toc122436898"/>
      <w:bookmarkStart w:id="148" w:name="_Toc222486581"/>
      <w:bookmarkStart w:id="149" w:name="_Toc242870251"/>
      <w:r w:rsidRPr="001D6D10">
        <w:rPr>
          <w:rFonts w:hint="eastAsia"/>
        </w:rPr>
        <w:t>第１　派遣要請</w:t>
      </w:r>
      <w:r w:rsidRPr="001D6D10">
        <w:rPr>
          <w:rFonts w:hint="eastAsia"/>
          <w:shd w:val="pct15" w:color="auto" w:fill="FFFFFF"/>
        </w:rPr>
        <w:t>【第１フェーズ】</w:t>
      </w:r>
      <w:bookmarkEnd w:id="147"/>
      <w:bookmarkEnd w:id="148"/>
      <w:bookmarkEnd w:id="149"/>
    </w:p>
    <w:p w14:paraId="07689E64" w14:textId="77777777" w:rsidR="008B4B2B" w:rsidRPr="001D6D10" w:rsidRDefault="008B4B2B" w:rsidP="008B4B2B">
      <w:pPr>
        <w:ind w:firstLineChars="500" w:firstLine="1105"/>
        <w:rPr>
          <w:rFonts w:ascii="ＭＳ 明朝" w:hAnsi="ＭＳ 明朝"/>
          <w:sz w:val="22"/>
          <w:szCs w:val="22"/>
        </w:rPr>
      </w:pPr>
      <w:r w:rsidRPr="001D6D10">
        <w:rPr>
          <w:rFonts w:ascii="ＭＳ ゴシック" w:eastAsia="ＭＳ ゴシック" w:hAnsi="ＭＳ ゴシック" w:hint="eastAsia"/>
          <w:sz w:val="22"/>
          <w:szCs w:val="22"/>
          <w:bdr w:val="single" w:sz="4" w:space="0" w:color="auto"/>
        </w:rPr>
        <w:t>主たる担当：危機管理室</w:t>
      </w:r>
    </w:p>
    <w:p w14:paraId="5391192D" w14:textId="77777777" w:rsidR="008B4B2B" w:rsidRPr="001D6D10" w:rsidRDefault="008B4B2B" w:rsidP="008B4B2B">
      <w:pPr>
        <w:rPr>
          <w:rFonts w:ascii="ＭＳ ゴシック" w:eastAsia="ＭＳ ゴシック" w:hAnsi="ＭＳ ゴシック"/>
          <w:sz w:val="22"/>
          <w:szCs w:val="22"/>
        </w:rPr>
      </w:pPr>
      <w:r w:rsidRPr="001D6D10">
        <w:rPr>
          <w:rFonts w:ascii="ＭＳ ゴシック" w:eastAsia="ＭＳ ゴシック" w:hAnsi="ＭＳ ゴシック" w:hint="eastAsia"/>
          <w:noProof/>
          <w:sz w:val="22"/>
          <w:szCs w:val="22"/>
        </w:rPr>
        <mc:AlternateContent>
          <mc:Choice Requires="wps">
            <w:drawing>
              <wp:anchor distT="0" distB="0" distL="114300" distR="114300" simplePos="0" relativeHeight="253031424" behindDoc="0" locked="0" layoutInCell="1" allowOverlap="1" wp14:anchorId="022DD335" wp14:editId="481F81E6">
                <wp:simplePos x="0" y="0"/>
                <wp:positionH relativeFrom="column">
                  <wp:posOffset>342900</wp:posOffset>
                </wp:positionH>
                <wp:positionV relativeFrom="paragraph">
                  <wp:posOffset>52070</wp:posOffset>
                </wp:positionV>
                <wp:extent cx="5600700" cy="2276475"/>
                <wp:effectExtent l="0" t="4445" r="0" b="0"/>
                <wp:wrapNone/>
                <wp:docPr id="4273" name="Text Box 219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600700" cy="22764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ED2D65C" w14:textId="77777777" w:rsidR="006A5267" w:rsidRDefault="006A5267" w:rsidP="008B4B2B">
                            <w:pPr>
                              <w:rPr>
                                <w:bdr w:val="single" w:sz="4" w:space="0" w:color="auto"/>
                              </w:rPr>
                            </w:pPr>
                            <w:r w:rsidRPr="005434EC">
                              <w:rPr>
                                <w:rFonts w:ascii="ＭＳ ゴシック" w:eastAsia="ＭＳ ゴシック" w:hAnsi="ＭＳ ゴシック" w:hint="eastAsia"/>
                                <w:sz w:val="22"/>
                                <w:szCs w:val="22"/>
                                <w:bdr w:val="single" w:sz="4" w:space="0" w:color="auto"/>
                                <w:shd w:val="pct15" w:color="auto" w:fill="FFFFFF"/>
                              </w:rPr>
                              <w:t>要請派遣</w:t>
                            </w:r>
                            <w:r>
                              <w:rPr>
                                <w:rFonts w:ascii="ＭＳ ゴシック" w:eastAsia="ＭＳ ゴシック" w:hAnsi="ＭＳ ゴシック" w:hint="eastAsia"/>
                                <w:sz w:val="22"/>
                                <w:szCs w:val="22"/>
                              </w:rPr>
                              <w:t>（</w:t>
                            </w:r>
                            <w:r w:rsidRPr="00704691">
                              <w:rPr>
                                <w:rFonts w:ascii="ＭＳ ゴシック" w:eastAsia="ＭＳ ゴシック" w:hAnsi="ＭＳ ゴシック" w:hint="eastAsia"/>
                                <w:sz w:val="22"/>
                                <w:szCs w:val="22"/>
                              </w:rPr>
                              <w:t>根拠法令）災害対策基本法第68条の2、自衛隊法第83条第1項</w:t>
                            </w:r>
                          </w:p>
                          <w:p w14:paraId="09765B58" w14:textId="77777777" w:rsidR="006A5267" w:rsidRPr="00A737CE" w:rsidRDefault="006A5267" w:rsidP="008B4B2B">
                            <w:pPr>
                              <w:rPr>
                                <w:rFonts w:ascii="ＭＳ ゴシック" w:eastAsia="ＭＳ ゴシック" w:hAnsi="ＭＳ ゴシック"/>
                                <w:sz w:val="22"/>
                                <w:szCs w:val="22"/>
                              </w:rPr>
                            </w:pPr>
                            <w:r>
                              <w:rPr>
                                <w:rFonts w:ascii="ＭＳ ゴシック" w:eastAsia="ＭＳ ゴシック" w:hAnsi="ＭＳ ゴシック" w:hint="eastAsia"/>
                                <w:sz w:val="22"/>
                                <w:szCs w:val="22"/>
                              </w:rPr>
                              <w:t xml:space="preserve">　　　　　　　　　　自衛隊法第77条の4第1項</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shape w14:anchorId="022DD335" id="Text Box 2191" o:spid="_x0000_s1244" type="#_x0000_t202" style="position:absolute;left:0;text-align:left;margin-left:27pt;margin-top:4.1pt;width:441pt;height:179.25pt;z-index:2530314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" filled="f" stroked="f">
                <v:textbox inset="5.85pt,.7pt,5.85pt,.7pt">
                  <w:txbxContent>
                    <w:p w14:paraId="4ED2D65C" w14:textId="77777777" w:rsidR="006A5267" w:rsidRDefault="006A5267" w:rsidP="008B4B2B">
                      <w:pPr>
                        <w:rPr>
                          <w:bdr w:val="single" w:sz="4" w:space="0" w:color="auto"/>
                        </w:rPr>
                      </w:pPr>
                      <w:r w:rsidRPr="005434EC">
                        <w:rPr>
                          <w:rFonts w:ascii="ＭＳ ゴシック" w:eastAsia="ＭＳ ゴシック" w:hAnsi="ＭＳ ゴシック" w:hint="eastAsia"/>
                          <w:sz w:val="22"/>
                          <w:szCs w:val="22"/>
                          <w:bdr w:val="single" w:sz="4" w:space="0" w:color="auto"/>
                          <w:shd w:val="pct15" w:color="auto" w:fill="FFFFFF"/>
                        </w:rPr>
                        <w:t>要請派遣</w:t>
                      </w:r>
                      <w:r>
                        <w:rPr>
                          <w:rFonts w:ascii="ＭＳ ゴシック" w:eastAsia="ＭＳ ゴシック" w:hAnsi="ＭＳ ゴシック" w:hint="eastAsia"/>
                          <w:sz w:val="22"/>
                          <w:szCs w:val="22"/>
                        </w:rPr>
                        <w:t>（</w:t>
                      </w:r>
                      <w:r w:rsidRPr="00704691">
                        <w:rPr>
                          <w:rFonts w:ascii="ＭＳ ゴシック" w:eastAsia="ＭＳ ゴシック" w:hAnsi="ＭＳ ゴシック" w:hint="eastAsia"/>
                          <w:sz w:val="22"/>
                          <w:szCs w:val="22"/>
                        </w:rPr>
                        <w:t>根拠法令）災害対策基本法第68条の2、自衛隊法第83条第1項</w:t>
                      </w:r>
                    </w:p>
                    <w:p w14:paraId="09765B58" w14:textId="77777777" w:rsidR="006A5267" w:rsidRPr="00A737CE" w:rsidRDefault="006A5267" w:rsidP="008B4B2B">
                      <w:pPr>
                        <w:rPr>
                          <w:rFonts w:ascii="ＭＳ ゴシック" w:eastAsia="ＭＳ ゴシック" w:hAnsi="ＭＳ ゴシック"/>
                          <w:sz w:val="22"/>
                          <w:szCs w:val="22"/>
                        </w:rPr>
                      </w:pPr>
                      <w:r>
                        <w:rPr>
                          <w:rFonts w:ascii="ＭＳ ゴシック" w:eastAsia="ＭＳ ゴシック" w:hAnsi="ＭＳ ゴシック" w:hint="eastAsia"/>
                          <w:sz w:val="22"/>
                          <w:szCs w:val="22"/>
                        </w:rPr>
                        <w:t xml:space="preserve">　　　　　　　　　　自衛隊法第77条の4第1項</w:t>
                      </w:r>
                    </w:p>
                  </w:txbxContent>
                </v:textbox>
              </v:shape>
            </w:pict>
          </mc:Fallback>
        </mc:AlternateContent>
      </w:r>
    </w:p>
    <w:p w14:paraId="007FABB1" w14:textId="77777777" w:rsidR="008B4B2B" w:rsidRPr="001D6D10" w:rsidRDefault="008B4B2B" w:rsidP="008B4B2B">
      <w:pPr>
        <w:rPr>
          <w:rFonts w:ascii="ＭＳ ゴシック" w:eastAsia="ＭＳ ゴシック" w:hAnsi="ＭＳ ゴシック"/>
          <w:sz w:val="22"/>
          <w:szCs w:val="22"/>
        </w:rPr>
      </w:pPr>
    </w:p>
    <w:p w14:paraId="3CEA5EB2" w14:textId="77777777" w:rsidR="008B4B2B" w:rsidRPr="001D6D10" w:rsidRDefault="008B4B2B" w:rsidP="008B4B2B">
      <w:pPr>
        <w:rPr>
          <w:rFonts w:ascii="ＭＳ ゴシック" w:eastAsia="ＭＳ ゴシック" w:hAnsi="ＭＳ ゴシック"/>
          <w:sz w:val="22"/>
          <w:szCs w:val="22"/>
        </w:rPr>
      </w:pPr>
      <w:r w:rsidRPr="001D6D10">
        <w:rPr>
          <w:rFonts w:ascii="ＭＳ ゴシック" w:eastAsia="ＭＳ ゴシック" w:hAnsi="ＭＳ ゴシック" w:hint="eastAsia"/>
          <w:noProof/>
          <w:sz w:val="22"/>
        </w:rPr>
        <mc:AlternateContent>
          <mc:Choice Requires="wps">
            <w:drawing>
              <wp:anchor distT="0" distB="0" distL="114300" distR="114300" simplePos="0" relativeHeight="253305856" behindDoc="0" locked="0" layoutInCell="1" allowOverlap="1" wp14:anchorId="7840E7EF" wp14:editId="7BC726AC">
                <wp:simplePos x="0" y="0"/>
                <wp:positionH relativeFrom="column">
                  <wp:posOffset>-20955</wp:posOffset>
                </wp:positionH>
                <wp:positionV relativeFrom="paragraph">
                  <wp:posOffset>-2540</wp:posOffset>
                </wp:positionV>
                <wp:extent cx="1057275" cy="723900"/>
                <wp:effectExtent l="0" t="0" r="28575" b="19050"/>
                <wp:wrapNone/>
                <wp:docPr id="4303" name="テキスト ボックス 4303"/>
                <wp:cNvGraphicFramePr/>
                <a:graphic xmlns:a="http://schemas.openxmlformats.org/drawingml/2006/main">
                  <a:graphicData uri="http://schemas.microsoft.com/office/word/2010/wordprocessingShape">
                    <wps:wsp>
                      <wps:cNvSpPr txBox="1"/>
                      <wps:spPr>
                        <a:xfrm>
                          <a:off x="0" y="0"/>
                          <a:ext cx="1057275" cy="723900"/>
                        </a:xfrm>
                        <a:prstGeom prst="rect">
                          <a:avLst/>
                        </a:prstGeom>
                        <a:solidFill>
                          <a:sysClr val="window" lastClr="FFFFFF"/>
                        </a:solidFill>
                        <a:ln w="6350">
                          <a:solidFill>
                            <a:prstClr val="black"/>
                          </a:solidFill>
                          <a:prstDash val="dashDot"/>
                        </a:ln>
                      </wps:spPr>
                      <wps:txbx>
                        <w:txbxContent>
                          <w:p w14:paraId="01D7B41F" w14:textId="77777777" w:rsidR="006A5267" w:rsidRPr="001C02E4" w:rsidRDefault="006A5267" w:rsidP="008B4B2B">
                            <w:pPr>
                              <w:spacing w:line="240" w:lineRule="exact"/>
                              <w:rPr>
                                <w:rFonts w:ascii="ＭＳ ゴシック" w:eastAsia="ＭＳ ゴシック" w:hAnsi="ＭＳ ゴシック"/>
                                <w:sz w:val="20"/>
                                <w:szCs w:val="20"/>
                              </w:rPr>
                            </w:pPr>
                            <w:r w:rsidRPr="001C02E4">
                              <w:rPr>
                                <w:rFonts w:ascii="ＭＳ ゴシック" w:eastAsia="ＭＳ ゴシック" w:hAnsi="ＭＳ ゴシック" w:hint="eastAsia"/>
                                <w:sz w:val="20"/>
                                <w:szCs w:val="20"/>
                              </w:rPr>
                              <w:t>(例</w:t>
                            </w:r>
                            <w:r w:rsidRPr="001C02E4">
                              <w:rPr>
                                <w:rFonts w:ascii="ＭＳ ゴシック" w:eastAsia="ＭＳ ゴシック" w:hAnsi="ＭＳ ゴシック"/>
                                <w:sz w:val="20"/>
                                <w:szCs w:val="20"/>
                              </w:rPr>
                              <w:t>）</w:t>
                            </w:r>
                          </w:p>
                          <w:p w14:paraId="4B25B9E4" w14:textId="77777777" w:rsidR="006A5267" w:rsidRPr="001C02E4" w:rsidRDefault="006A5267" w:rsidP="008B4B2B">
                            <w:pPr>
                              <w:spacing w:line="240" w:lineRule="exact"/>
                              <w:ind w:firstLineChars="100" w:firstLine="201"/>
                              <w:rPr>
                                <w:rFonts w:ascii="ＭＳ ゴシック" w:eastAsia="ＭＳ ゴシック" w:hAnsi="ＭＳ ゴシック"/>
                                <w:sz w:val="20"/>
                                <w:szCs w:val="20"/>
                              </w:rPr>
                            </w:pPr>
                            <w:r w:rsidRPr="001C02E4">
                              <w:rPr>
                                <w:rFonts w:ascii="ＭＳ ゴシック" w:eastAsia="ＭＳ ゴシック" w:hAnsi="ＭＳ ゴシック" w:hint="eastAsia"/>
                                <w:sz w:val="20"/>
                                <w:szCs w:val="20"/>
                              </w:rPr>
                              <w:t>市町村長から要求のあった場合</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xmlns:w16cei="http://schemas.microsoft.com/office/word/2026/wordml/cei">
            <w:pict>
              <v:shape w14:anchorId="7840E7EF" id="テキスト ボックス 4303" o:spid="_x0000_s1245" type="#_x0000_t202" style="position:absolute;left:0;text-align:left;margin-left:-1.65pt;margin-top:-.2pt;width:83.25pt;height:57pt;z-index:25330585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" fillcolor="window" strokeweight=".5pt">
                <v:stroke dashstyle="dashDot"/>
                <v:textbox>
                  <w:txbxContent>
                    <w:p w14:paraId="01D7B41F" w14:textId="77777777" w:rsidR="006A5267" w:rsidRPr="001C02E4" w:rsidRDefault="006A5267" w:rsidP="008B4B2B">
                      <w:pPr>
                        <w:spacing w:line="240" w:lineRule="exact"/>
                        <w:rPr>
                          <w:rFonts w:ascii="ＭＳ ゴシック" w:eastAsia="ＭＳ ゴシック" w:hAnsi="ＭＳ ゴシック"/>
                          <w:sz w:val="20"/>
                          <w:szCs w:val="20"/>
                        </w:rPr>
                      </w:pPr>
                      <w:r w:rsidRPr="001C02E4">
                        <w:rPr>
                          <w:rFonts w:ascii="ＭＳ ゴシック" w:eastAsia="ＭＳ ゴシック" w:hAnsi="ＭＳ ゴシック" w:hint="eastAsia"/>
                          <w:sz w:val="20"/>
                          <w:szCs w:val="20"/>
                        </w:rPr>
                        <w:t>(例</w:t>
                      </w:r>
                      <w:r w:rsidRPr="001C02E4">
                        <w:rPr>
                          <w:rFonts w:ascii="ＭＳ ゴシック" w:eastAsia="ＭＳ ゴシック" w:hAnsi="ＭＳ ゴシック"/>
                          <w:sz w:val="20"/>
                          <w:szCs w:val="20"/>
                        </w:rPr>
                        <w:t>）</w:t>
                      </w:r>
                    </w:p>
                    <w:p w14:paraId="4B25B9E4" w14:textId="77777777" w:rsidR="006A5267" w:rsidRPr="001C02E4" w:rsidRDefault="006A5267" w:rsidP="008B4B2B">
                      <w:pPr>
                        <w:spacing w:line="240" w:lineRule="exact"/>
                        <w:ind w:firstLineChars="100" w:firstLine="201"/>
                        <w:rPr>
                          <w:rFonts w:ascii="ＭＳ ゴシック" w:eastAsia="ＭＳ ゴシック" w:hAnsi="ＭＳ ゴシック"/>
                          <w:sz w:val="20"/>
                          <w:szCs w:val="20"/>
                        </w:rPr>
                      </w:pPr>
                      <w:r w:rsidRPr="001C02E4">
                        <w:rPr>
                          <w:rFonts w:ascii="ＭＳ ゴシック" w:eastAsia="ＭＳ ゴシック" w:hAnsi="ＭＳ ゴシック" w:hint="eastAsia"/>
                          <w:sz w:val="20"/>
                          <w:szCs w:val="20"/>
                        </w:rPr>
                        <w:t>市町村長から要求のあった場合</w:t>
                      </w:r>
                    </w:p>
                  </w:txbxContent>
                </v:textbox>
              </v:shape>
            </w:pict>
          </mc:Fallback>
        </mc:AlternateContent>
      </w:r>
      <w:r w:rsidRPr="001D6D10">
        <w:rPr>
          <w:rFonts w:ascii="ＭＳ ゴシック" w:eastAsia="ＭＳ ゴシック" w:hAnsi="ＭＳ ゴシック" w:hint="eastAsia"/>
          <w:noProof/>
          <w:sz w:val="22"/>
          <w:szCs w:val="22"/>
        </w:rPr>
        <mc:AlternateContent>
          <mc:Choice Requires="wps">
            <w:drawing>
              <wp:anchor distT="0" distB="0" distL="114300" distR="114300" simplePos="0" relativeHeight="253032448" behindDoc="0" locked="0" layoutInCell="1" allowOverlap="1" wp14:anchorId="69364B87" wp14:editId="222397B0">
                <wp:simplePos x="0" y="0"/>
                <wp:positionH relativeFrom="column">
                  <wp:posOffset>1536065</wp:posOffset>
                </wp:positionH>
                <wp:positionV relativeFrom="paragraph">
                  <wp:posOffset>105410</wp:posOffset>
                </wp:positionV>
                <wp:extent cx="1081405" cy="342900"/>
                <wp:effectExtent l="12065" t="10160" r="11430" b="8890"/>
                <wp:wrapNone/>
                <wp:docPr id="4272" name="Oval 219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81405" cy="342900"/>
                        </a:xfrm>
                        <a:prstGeom prst="ellipse">
                          <a:avLst/>
                        </a:prstGeom>
                        <a:solidFill>
                          <a:srgbClr val="FFFFFF"/>
                        </a:solidFill>
                        <a:ln w="9525">
                          <a:solidFill>
                            <a:srgbClr val="000000"/>
                          </a:solidFill>
                          <a:round/>
                          <a:headEnd/>
                          <a:tailEnd/>
                        </a:ln>
                      </wps:spPr>
                      <wps:txbx>
                        <w:txbxContent>
                          <w:p w14:paraId="565CA56D" w14:textId="77777777" w:rsidR="006A5267" w:rsidRPr="00704691" w:rsidRDefault="006A5267" w:rsidP="008B4B2B">
                            <w:pPr>
                              <w:jc w:val="center"/>
                              <w:rPr>
                                <w:rFonts w:ascii="ＭＳ ゴシック" w:eastAsia="ＭＳ ゴシック" w:hAnsi="ＭＳ ゴシック"/>
                                <w:sz w:val="22"/>
                                <w:szCs w:val="22"/>
                              </w:rPr>
                            </w:pPr>
                            <w:r w:rsidRPr="00704691">
                              <w:rPr>
                                <w:rFonts w:ascii="ＭＳ ゴシック" w:eastAsia="ＭＳ ゴシック" w:hAnsi="ＭＳ ゴシック" w:hint="eastAsia"/>
                                <w:sz w:val="22"/>
                                <w:szCs w:val="22"/>
                              </w:rPr>
                              <w:t>市町村</w:t>
                            </w:r>
                            <w:r w:rsidRPr="001C02E4">
                              <w:rPr>
                                <w:rFonts w:ascii="ＭＳ ゴシック" w:eastAsia="ＭＳ ゴシック" w:hAnsi="ＭＳ ゴシック" w:hint="eastAsia"/>
                                <w:sz w:val="22"/>
                                <w:szCs w:val="22"/>
                              </w:rPr>
                              <w:t>長</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oval w14:anchorId="69364B87" id="Oval 2192" o:spid="_x0000_s1246" style="position:absolute;left:0;text-align:left;margin-left:120.95pt;margin-top:8.3pt;width:85.15pt;height:27pt;z-index:2530324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">
                <v:textbox inset="5.85pt,.7pt,5.85pt,.7pt">
                  <w:txbxContent>
                    <w:p w14:paraId="565CA56D" w14:textId="77777777" w:rsidR="006A5267" w:rsidRPr="00704691" w:rsidRDefault="006A5267" w:rsidP="008B4B2B">
                      <w:pPr>
                        <w:jc w:val="center"/>
                        <w:rPr>
                          <w:rFonts w:ascii="ＭＳ ゴシック" w:eastAsia="ＭＳ ゴシック" w:hAnsi="ＭＳ ゴシック"/>
                          <w:sz w:val="22"/>
                          <w:szCs w:val="22"/>
                        </w:rPr>
                      </w:pPr>
                      <w:r w:rsidRPr="00704691">
                        <w:rPr>
                          <w:rFonts w:ascii="ＭＳ ゴシック" w:eastAsia="ＭＳ ゴシック" w:hAnsi="ＭＳ ゴシック" w:hint="eastAsia"/>
                          <w:sz w:val="22"/>
                          <w:szCs w:val="22"/>
                        </w:rPr>
                        <w:t>市町村</w:t>
                      </w:r>
                      <w:r w:rsidRPr="001C02E4">
                        <w:rPr>
                          <w:rFonts w:ascii="ＭＳ ゴシック" w:eastAsia="ＭＳ ゴシック" w:hAnsi="ＭＳ ゴシック" w:hint="eastAsia"/>
                          <w:sz w:val="22"/>
                          <w:szCs w:val="22"/>
                        </w:rPr>
                        <w:t>長</w:t>
                      </w:r>
                    </w:p>
                  </w:txbxContent>
                </v:textbox>
              </v:oval>
            </w:pict>
          </mc:Fallback>
        </mc:AlternateContent>
      </w:r>
    </w:p>
    <w:p w14:paraId="063FB1C1" w14:textId="77777777" w:rsidR="008B4B2B" w:rsidRPr="001D6D10" w:rsidRDefault="008B4B2B" w:rsidP="008B4B2B">
      <w:pPr>
        <w:rPr>
          <w:rFonts w:ascii="ＭＳ ゴシック" w:eastAsia="ＭＳ ゴシック" w:hAnsi="ＭＳ ゴシック"/>
          <w:sz w:val="22"/>
          <w:szCs w:val="22"/>
        </w:rPr>
      </w:pPr>
      <w:r w:rsidRPr="001D6D10">
        <w:rPr>
          <w:rFonts w:ascii="ＭＳ ゴシック" w:eastAsia="ＭＳ ゴシック" w:hAnsi="ＭＳ ゴシック" w:hint="eastAsia"/>
          <w:noProof/>
          <w:sz w:val="22"/>
          <w:szCs w:val="22"/>
        </w:rPr>
        <mc:AlternateContent>
          <mc:Choice Requires="wps">
            <w:drawing>
              <wp:anchor distT="0" distB="0" distL="114300" distR="114300" simplePos="0" relativeHeight="253040640" behindDoc="0" locked="0" layoutInCell="1" allowOverlap="1" wp14:anchorId="07024191" wp14:editId="4A7EF083">
                <wp:simplePos x="0" y="0"/>
                <wp:positionH relativeFrom="column">
                  <wp:posOffset>2597280</wp:posOffset>
                </wp:positionH>
                <wp:positionV relativeFrom="paragraph">
                  <wp:posOffset>149064</wp:posOffset>
                </wp:positionV>
                <wp:extent cx="1707615" cy="903383"/>
                <wp:effectExtent l="0" t="0" r="64135" b="49530"/>
                <wp:wrapNone/>
                <wp:docPr id="4270" name="Line 220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707615" cy="903383"/>
                        </a:xfrm>
                        <a:prstGeom prst="line">
                          <a:avLst/>
                        </a:prstGeom>
                        <a:noFill/>
                        <a:ln w="12700">
                          <a:solidFill>
                            <a:srgbClr val="000000"/>
                          </a:solidFill>
                          <a:prstDash val="dash"/>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line w14:anchorId="6F6DEA37" id="Line 2200" o:spid="_x0000_s1026" style="position:absolute;left:0;text-align:left;z-index:2530406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04.5pt,11.75pt" to="338.95pt,82.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" strokeweight="1pt">
                <v:stroke dashstyle="dash" endarrow="block"/>
              </v:line>
            </w:pict>
          </mc:Fallback>
        </mc:AlternateContent>
      </w:r>
    </w:p>
    <w:p w14:paraId="5492E4F2" w14:textId="77777777" w:rsidR="008B4B2B" w:rsidRPr="001D6D10" w:rsidRDefault="008B4B2B" w:rsidP="008B4B2B">
      <w:pPr>
        <w:rPr>
          <w:rFonts w:ascii="ＭＳ ゴシック" w:eastAsia="ＭＳ ゴシック" w:hAnsi="ＭＳ ゴシック"/>
          <w:sz w:val="22"/>
          <w:szCs w:val="22"/>
        </w:rPr>
      </w:pPr>
      <w:r w:rsidRPr="001D6D10">
        <w:rPr>
          <w:rFonts w:ascii="ＭＳ ゴシック" w:eastAsia="ＭＳ ゴシック" w:hAnsi="ＭＳ ゴシック"/>
          <w:noProof/>
          <w:sz w:val="22"/>
        </w:rPr>
        <mc:AlternateContent>
          <mc:Choice Requires="wps">
            <w:drawing>
              <wp:anchor distT="0" distB="0" distL="114300" distR="114300" simplePos="0" relativeHeight="253308928" behindDoc="0" locked="0" layoutInCell="1" allowOverlap="1" wp14:anchorId="3ECCD045" wp14:editId="02DDA690">
                <wp:simplePos x="0" y="0"/>
                <wp:positionH relativeFrom="column">
                  <wp:posOffset>2277745</wp:posOffset>
                </wp:positionH>
                <wp:positionV relativeFrom="paragraph">
                  <wp:posOffset>34925</wp:posOffset>
                </wp:positionV>
                <wp:extent cx="285750" cy="297180"/>
                <wp:effectExtent l="38100" t="38100" r="19050" b="26670"/>
                <wp:wrapNone/>
                <wp:docPr id="4311" name="直線矢印コネクタ 4311"/>
                <wp:cNvGraphicFramePr/>
                <a:graphic xmlns:a="http://schemas.openxmlformats.org/drawingml/2006/main">
                  <a:graphicData uri="http://schemas.microsoft.com/office/word/2010/wordprocessingShape">
                    <wps:wsp>
                      <wps:cNvCnPr/>
                      <wps:spPr>
                        <a:xfrm flipH="1" flipV="1">
                          <a:off x="0" y="0"/>
                          <a:ext cx="285750" cy="297180"/>
                        </a:xfrm>
                        <a:prstGeom prst="straightConnector1">
                          <a:avLst/>
                        </a:prstGeom>
                        <a:noFill/>
                        <a:ln w="6350" cap="flat" cmpd="sng" algn="ctr">
                          <a:solidFill>
                            <a:sysClr val="windowText" lastClr="000000"/>
                          </a:solidFill>
                          <a:prstDash val="solid"/>
                          <a:miter lim="800000"/>
                          <a:tailEnd type="triangle"/>
                        </a:ln>
                        <a:effectLst/>
                      </wps:spPr>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shape w14:anchorId="7CEE9586" id="直線矢印コネクタ 4311" o:spid="_x0000_s1026" type="#_x0000_t32" style="position:absolute;left:0;text-align:left;margin-left:179.35pt;margin-top:2.75pt;width:22.5pt;height:23.4pt;flip:x y;z-index:2533089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" strokecolor="windowText" strokeweight=".5pt">
                <v:stroke endarrow="block" joinstyle="miter"/>
              </v:shape>
            </w:pict>
          </mc:Fallback>
        </mc:AlternateContent>
      </w:r>
      <w:r w:rsidRPr="001D6D10">
        <w:rPr>
          <w:rFonts w:ascii="ＭＳ ゴシック" w:eastAsia="ＭＳ ゴシック" w:hAnsi="ＭＳ ゴシック" w:hint="eastAsia"/>
          <w:noProof/>
          <w:sz w:val="22"/>
          <w:szCs w:val="22"/>
        </w:rPr>
        <mc:AlternateContent>
          <mc:Choice Requires="wps">
            <w:drawing>
              <wp:anchor distT="0" distB="0" distL="114300" distR="114300" simplePos="0" relativeHeight="253036544" behindDoc="0" locked="0" layoutInCell="1" allowOverlap="1" wp14:anchorId="15AE71E4" wp14:editId="0C4B950B">
                <wp:simplePos x="0" y="0"/>
                <wp:positionH relativeFrom="column">
                  <wp:posOffset>3355340</wp:posOffset>
                </wp:positionH>
                <wp:positionV relativeFrom="paragraph">
                  <wp:posOffset>39370</wp:posOffset>
                </wp:positionV>
                <wp:extent cx="1943100" cy="457200"/>
                <wp:effectExtent l="0" t="0" r="0" b="0"/>
                <wp:wrapNone/>
                <wp:docPr id="4271" name="Text Box 219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43100" cy="4572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9C47FE1" w14:textId="77777777" w:rsidR="006A5267" w:rsidRDefault="006A5267" w:rsidP="008B4B2B">
                            <w:pPr>
                              <w:rPr>
                                <w:rFonts w:ascii="ＭＳ ゴシック" w:eastAsia="ＭＳ ゴシック" w:hAnsi="ＭＳ ゴシック"/>
                                <w:sz w:val="22"/>
                                <w:szCs w:val="22"/>
                              </w:rPr>
                            </w:pPr>
                            <w:r w:rsidRPr="00704691">
                              <w:rPr>
                                <w:rFonts w:ascii="ＭＳ ゴシック" w:eastAsia="ＭＳ ゴシック" w:hAnsi="ＭＳ ゴシック" w:hint="eastAsia"/>
                                <w:sz w:val="22"/>
                                <w:szCs w:val="22"/>
                              </w:rPr>
                              <w:t>※知事</w:t>
                            </w:r>
                            <w:r>
                              <w:rPr>
                                <w:rFonts w:ascii="ＭＳ ゴシック" w:eastAsia="ＭＳ ゴシック" w:hAnsi="ＭＳ ゴシック" w:hint="eastAsia"/>
                                <w:sz w:val="22"/>
                                <w:szCs w:val="22"/>
                              </w:rPr>
                              <w:t>に要求できない場合</w:t>
                            </w:r>
                          </w:p>
                          <w:p w14:paraId="226A87FF" w14:textId="77777777" w:rsidR="006A5267" w:rsidRPr="00704691" w:rsidRDefault="006A5267" w:rsidP="008B4B2B">
                            <w:pPr>
                              <w:rPr>
                                <w:rFonts w:ascii="ＭＳ ゴシック" w:eastAsia="ＭＳ ゴシック" w:hAnsi="ＭＳ ゴシック"/>
                                <w:sz w:val="22"/>
                                <w:szCs w:val="22"/>
                              </w:rPr>
                            </w:pPr>
                            <w:r>
                              <w:rPr>
                                <w:rFonts w:ascii="ＭＳ ゴシック" w:eastAsia="ＭＳ ゴシック" w:hAnsi="ＭＳ ゴシック" w:hint="eastAsia"/>
                                <w:sz w:val="22"/>
                                <w:szCs w:val="22"/>
                              </w:rPr>
                              <w:t xml:space="preserve">　</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shape w14:anchorId="15AE71E4" id="Text Box 2196" o:spid="_x0000_s1247" type="#_x0000_t202" style="position:absolute;left:0;text-align:left;margin-left:264.2pt;margin-top:3.1pt;width:153pt;height:36pt;z-index:2530365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" filled="f" stroked="f">
                <v:textbox inset="5.85pt,.7pt,5.85pt,.7pt">
                  <w:txbxContent>
                    <w:p w14:paraId="19C47FE1" w14:textId="77777777" w:rsidR="006A5267" w:rsidRDefault="006A5267" w:rsidP="008B4B2B">
                      <w:pPr>
                        <w:rPr>
                          <w:rFonts w:ascii="ＭＳ ゴシック" w:eastAsia="ＭＳ ゴシック" w:hAnsi="ＭＳ ゴシック"/>
                          <w:sz w:val="22"/>
                          <w:szCs w:val="22"/>
                        </w:rPr>
                      </w:pPr>
                      <w:r w:rsidRPr="00704691">
                        <w:rPr>
                          <w:rFonts w:ascii="ＭＳ ゴシック" w:eastAsia="ＭＳ ゴシック" w:hAnsi="ＭＳ ゴシック" w:hint="eastAsia"/>
                          <w:sz w:val="22"/>
                          <w:szCs w:val="22"/>
                        </w:rPr>
                        <w:t>※知事</w:t>
                      </w:r>
                      <w:r>
                        <w:rPr>
                          <w:rFonts w:ascii="ＭＳ ゴシック" w:eastAsia="ＭＳ ゴシック" w:hAnsi="ＭＳ ゴシック" w:hint="eastAsia"/>
                          <w:sz w:val="22"/>
                          <w:szCs w:val="22"/>
                        </w:rPr>
                        <w:t>に要求できない場合</w:t>
                      </w:r>
                    </w:p>
                    <w:p w14:paraId="226A87FF" w14:textId="77777777" w:rsidR="006A5267" w:rsidRPr="00704691" w:rsidRDefault="006A5267" w:rsidP="008B4B2B">
                      <w:pPr>
                        <w:rPr>
                          <w:rFonts w:ascii="ＭＳ ゴシック" w:eastAsia="ＭＳ ゴシック" w:hAnsi="ＭＳ ゴシック"/>
                          <w:sz w:val="22"/>
                          <w:szCs w:val="22"/>
                        </w:rPr>
                      </w:pPr>
                      <w:r>
                        <w:rPr>
                          <w:rFonts w:ascii="ＭＳ ゴシック" w:eastAsia="ＭＳ ゴシック" w:hAnsi="ＭＳ ゴシック" w:hint="eastAsia"/>
                          <w:sz w:val="22"/>
                          <w:szCs w:val="22"/>
                        </w:rPr>
                        <w:t xml:space="preserve">　</w:t>
                      </w:r>
                    </w:p>
                  </w:txbxContent>
                </v:textbox>
              </v:shape>
            </w:pict>
          </mc:Fallback>
        </mc:AlternateContent>
      </w:r>
      <w:r w:rsidRPr="001D6D10">
        <w:rPr>
          <w:rFonts w:ascii="ＭＳ ゴシック" w:eastAsia="ＭＳ ゴシック" w:hAnsi="ＭＳ ゴシック" w:hint="eastAsia"/>
          <w:noProof/>
          <w:sz w:val="22"/>
          <w:szCs w:val="22"/>
        </w:rPr>
        <mc:AlternateContent>
          <mc:Choice Requires="wps">
            <w:drawing>
              <wp:anchor distT="0" distB="0" distL="114300" distR="114300" simplePos="0" relativeHeight="253039616" behindDoc="0" locked="0" layoutInCell="1" allowOverlap="1" wp14:anchorId="0F909456" wp14:editId="4AA1795A">
                <wp:simplePos x="0" y="0"/>
                <wp:positionH relativeFrom="column">
                  <wp:posOffset>1947285</wp:posOffset>
                </wp:positionH>
                <wp:positionV relativeFrom="paragraph">
                  <wp:posOffset>2026</wp:posOffset>
                </wp:positionV>
                <wp:extent cx="114300" cy="1068637"/>
                <wp:effectExtent l="19050" t="0" r="38100" b="36830"/>
                <wp:wrapNone/>
                <wp:docPr id="4268" name="AutoShape 219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4300" cy="1068637"/>
                        </a:xfrm>
                        <a:prstGeom prst="downArrow">
                          <a:avLst>
                            <a:gd name="adj1" fmla="val 50000"/>
                            <a:gd name="adj2" fmla="val 125000"/>
                          </a:avLst>
                        </a:prstGeom>
                        <a:solidFill>
                          <a:srgbClr val="FFFFFF"/>
                        </a:solidFill>
                        <a:ln w="9525">
                          <a:solidFill>
                            <a:srgbClr val="000000"/>
                          </a:solidFill>
                          <a:miter lim="800000"/>
                          <a:headEnd/>
                          <a:tailEnd/>
                        </a:ln>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shape w14:anchorId="7C5F6556" id="AutoShape 2199" o:spid="_x0000_s1026" type="#_x0000_t67" style="position:absolute;left:0;text-align:left;margin-left:153.35pt;margin-top:.15pt;width:9pt;height:84.15pt;z-index:2530396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" adj="18712">
                <v:textbox inset="5.85pt,.7pt,5.85pt,.7pt"/>
              </v:shape>
            </w:pict>
          </mc:Fallback>
        </mc:AlternateContent>
      </w:r>
    </w:p>
    <w:p w14:paraId="2265FBB8" w14:textId="77777777" w:rsidR="008B4B2B" w:rsidRPr="001D6D10" w:rsidRDefault="008B4B2B" w:rsidP="008B4B2B">
      <w:pPr>
        <w:rPr>
          <w:rFonts w:ascii="ＭＳ ゴシック" w:eastAsia="ＭＳ ゴシック" w:hAnsi="ＭＳ ゴシック"/>
          <w:sz w:val="22"/>
          <w:szCs w:val="22"/>
        </w:rPr>
      </w:pPr>
      <w:r w:rsidRPr="001D6D10">
        <w:rPr>
          <w:rFonts w:ascii="ＭＳ ゴシック" w:eastAsia="ＭＳ ゴシック" w:hAnsi="ＭＳ ゴシック" w:hint="eastAsia"/>
          <w:noProof/>
          <w:sz w:val="22"/>
        </w:rPr>
        <mc:AlternateContent>
          <mc:Choice Requires="wps">
            <w:drawing>
              <wp:anchor distT="0" distB="0" distL="114300" distR="114300" simplePos="0" relativeHeight="253306880" behindDoc="0" locked="0" layoutInCell="1" allowOverlap="1" wp14:anchorId="242677FF" wp14:editId="2FB93E90">
                <wp:simplePos x="0" y="0"/>
                <wp:positionH relativeFrom="column">
                  <wp:posOffset>2279734</wp:posOffset>
                </wp:positionH>
                <wp:positionV relativeFrom="paragraph">
                  <wp:posOffset>140335</wp:posOffset>
                </wp:positionV>
                <wp:extent cx="1076325" cy="552450"/>
                <wp:effectExtent l="0" t="0" r="0" b="0"/>
                <wp:wrapNone/>
                <wp:docPr id="4304" name="テキスト ボックス 4304"/>
                <wp:cNvGraphicFramePr/>
                <a:graphic xmlns:a="http://schemas.openxmlformats.org/drawingml/2006/main">
                  <a:graphicData uri="http://schemas.microsoft.com/office/word/2010/wordprocessingShape">
                    <wps:wsp>
                      <wps:cNvSpPr txBox="1"/>
                      <wps:spPr>
                        <a:xfrm>
                          <a:off x="0" y="0"/>
                          <a:ext cx="1076325" cy="552450"/>
                        </a:xfrm>
                        <a:prstGeom prst="rect">
                          <a:avLst/>
                        </a:prstGeom>
                        <a:noFill/>
                        <a:ln w="6350">
                          <a:noFill/>
                        </a:ln>
                      </wps:spPr>
                      <wps:txbx>
                        <w:txbxContent>
                          <w:p w14:paraId="73B17C21" w14:textId="77777777" w:rsidR="006A5267" w:rsidRPr="001C02E4" w:rsidRDefault="006A5267" w:rsidP="008B4B2B">
                            <w:pPr>
                              <w:ind w:left="211" w:hangingChars="100" w:hanging="211"/>
                              <w:rPr>
                                <w:rFonts w:ascii="ＭＳ ゴシック" w:eastAsia="ＭＳ ゴシック" w:hAnsi="ＭＳ ゴシック"/>
                              </w:rPr>
                            </w:pPr>
                            <w:r w:rsidRPr="001C02E4">
                              <w:rPr>
                                <w:rFonts w:ascii="ＭＳ ゴシック" w:eastAsia="ＭＳ ゴシック" w:hAnsi="ＭＳ ゴシック" w:hint="eastAsia"/>
                              </w:rPr>
                              <w:t>③</w:t>
                            </w:r>
                            <w:r w:rsidRPr="001C02E4">
                              <w:rPr>
                                <w:rFonts w:ascii="ＭＳ ゴシック" w:eastAsia="ＭＳ ゴシック" w:hAnsi="ＭＳ ゴシック"/>
                              </w:rPr>
                              <w:t>必要に</w:t>
                            </w:r>
                            <w:r w:rsidRPr="001C02E4">
                              <w:rPr>
                                <w:rFonts w:ascii="ＭＳ ゴシック" w:eastAsia="ＭＳ ゴシック" w:hAnsi="ＭＳ ゴシック" w:hint="eastAsia"/>
                              </w:rPr>
                              <w:t>応じ</w:t>
                            </w:r>
                            <w:r w:rsidRPr="001C02E4">
                              <w:rPr>
                                <w:rFonts w:ascii="ＭＳ ゴシック" w:eastAsia="ＭＳ ゴシック" w:hAnsi="ＭＳ ゴシック"/>
                              </w:rPr>
                              <w:t>協議</w:t>
                            </w:r>
                            <w:r w:rsidRPr="001C02E4">
                              <w:rPr>
                                <w:rFonts w:ascii="ＭＳ ゴシック" w:eastAsia="ＭＳ ゴシック" w:hAnsi="ＭＳ ゴシック" w:hint="eastAsia"/>
                              </w:rPr>
                              <w:t>調整</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shape w14:anchorId="242677FF" id="テキスト ボックス 4304" o:spid="_x0000_s1248" type="#_x0000_t202" style="position:absolute;left:0;text-align:left;margin-left:179.5pt;margin-top:11.05pt;width:84.75pt;height:43.5pt;z-index:2533068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" filled="f" stroked="f" strokeweight=".5pt">
                <v:textbox>
                  <w:txbxContent>
                    <w:p w14:paraId="73B17C21" w14:textId="77777777" w:rsidR="006A5267" w:rsidRPr="001C02E4" w:rsidRDefault="006A5267" w:rsidP="008B4B2B">
                      <w:pPr>
                        <w:ind w:left="211" w:hangingChars="100" w:hanging="211"/>
                        <w:rPr>
                          <w:rFonts w:ascii="ＭＳ ゴシック" w:eastAsia="ＭＳ ゴシック" w:hAnsi="ＭＳ ゴシック"/>
                        </w:rPr>
                      </w:pPr>
                      <w:r w:rsidRPr="001C02E4">
                        <w:rPr>
                          <w:rFonts w:ascii="ＭＳ ゴシック" w:eastAsia="ＭＳ ゴシック" w:hAnsi="ＭＳ ゴシック" w:hint="eastAsia"/>
                        </w:rPr>
                        <w:t>③</w:t>
                      </w:r>
                      <w:r w:rsidRPr="001C02E4">
                        <w:rPr>
                          <w:rFonts w:ascii="ＭＳ ゴシック" w:eastAsia="ＭＳ ゴシック" w:hAnsi="ＭＳ ゴシック"/>
                        </w:rPr>
                        <w:t>必要に</w:t>
                      </w:r>
                      <w:r w:rsidRPr="001C02E4">
                        <w:rPr>
                          <w:rFonts w:ascii="ＭＳ ゴシック" w:eastAsia="ＭＳ ゴシック" w:hAnsi="ＭＳ ゴシック" w:hint="eastAsia"/>
                        </w:rPr>
                        <w:t>応じ</w:t>
                      </w:r>
                      <w:r w:rsidRPr="001C02E4">
                        <w:rPr>
                          <w:rFonts w:ascii="ＭＳ ゴシック" w:eastAsia="ＭＳ ゴシック" w:hAnsi="ＭＳ ゴシック"/>
                        </w:rPr>
                        <w:t>協議</w:t>
                      </w:r>
                      <w:r w:rsidRPr="001C02E4">
                        <w:rPr>
                          <w:rFonts w:ascii="ＭＳ ゴシック" w:eastAsia="ＭＳ ゴシック" w:hAnsi="ＭＳ ゴシック" w:hint="eastAsia"/>
                        </w:rPr>
                        <w:t>調整</w:t>
                      </w:r>
                    </w:p>
                  </w:txbxContent>
                </v:textbox>
              </v:shape>
            </w:pict>
          </mc:Fallback>
        </mc:AlternateContent>
      </w:r>
    </w:p>
    <w:p w14:paraId="3D769996" w14:textId="77777777" w:rsidR="008B4B2B" w:rsidRPr="001D6D10" w:rsidRDefault="008B4B2B" w:rsidP="008B4B2B">
      <w:pPr>
        <w:rPr>
          <w:rFonts w:ascii="ＭＳ ゴシック" w:eastAsia="ＭＳ ゴシック" w:hAnsi="ＭＳ ゴシック"/>
          <w:sz w:val="22"/>
          <w:szCs w:val="22"/>
        </w:rPr>
      </w:pPr>
      <w:r w:rsidRPr="001D6D10">
        <w:rPr>
          <w:rFonts w:ascii="ＭＳ ゴシック" w:eastAsia="ＭＳ ゴシック" w:hAnsi="ＭＳ ゴシック" w:hint="eastAsia"/>
          <w:noProof/>
          <w:sz w:val="22"/>
          <w:szCs w:val="22"/>
        </w:rPr>
        <mc:AlternateContent>
          <mc:Choice Requires="wps">
            <w:drawing>
              <wp:anchor distT="0" distB="0" distL="114300" distR="114300" simplePos="0" relativeHeight="253035520" behindDoc="0" locked="0" layoutInCell="1" allowOverlap="1" wp14:anchorId="2003B10D" wp14:editId="70A1F2CD">
                <wp:simplePos x="0" y="0"/>
                <wp:positionH relativeFrom="column">
                  <wp:posOffset>685165</wp:posOffset>
                </wp:positionH>
                <wp:positionV relativeFrom="paragraph">
                  <wp:posOffset>40640</wp:posOffset>
                </wp:positionV>
                <wp:extent cx="1257300" cy="228600"/>
                <wp:effectExtent l="0" t="0" r="0" b="0"/>
                <wp:wrapNone/>
                <wp:docPr id="4269" name="Text Box 219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57300" cy="2286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CCA76C9" w14:textId="77777777" w:rsidR="006A5267" w:rsidRPr="00704691" w:rsidRDefault="006A5267" w:rsidP="008B4B2B">
                            <w:pPr>
                              <w:rPr>
                                <w:rFonts w:ascii="ＭＳ ゴシック" w:eastAsia="ＭＳ ゴシック" w:hAnsi="ＭＳ ゴシック"/>
                                <w:sz w:val="22"/>
                                <w:szCs w:val="22"/>
                              </w:rPr>
                            </w:pPr>
                            <w:r w:rsidRPr="001C02E4">
                              <w:rPr>
                                <w:rFonts w:ascii="ＭＳ ゴシック" w:eastAsia="ＭＳ ゴシック" w:hAnsi="ＭＳ ゴシック" w:hint="eastAsia"/>
                                <w:sz w:val="22"/>
                                <w:szCs w:val="22"/>
                              </w:rPr>
                              <w:t>①</w:t>
                            </w:r>
                            <w:r w:rsidRPr="00704691">
                              <w:rPr>
                                <w:rFonts w:ascii="ＭＳ ゴシック" w:eastAsia="ＭＳ ゴシック" w:hAnsi="ＭＳ ゴシック" w:hint="eastAsia"/>
                                <w:sz w:val="22"/>
                                <w:szCs w:val="22"/>
                              </w:rPr>
                              <w:t>派遣要請要求</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shape w14:anchorId="2003B10D" id="Text Box 2195" o:spid="_x0000_s1249" type="#_x0000_t202" style="position:absolute;left:0;text-align:left;margin-left:53.95pt;margin-top:3.2pt;width:99pt;height:18pt;z-index:2530355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" filled="f" stroked="f">
                <v:textbox inset="5.85pt,.7pt,5.85pt,.7pt">
                  <w:txbxContent>
                    <w:p w14:paraId="7CCA76C9" w14:textId="77777777" w:rsidR="006A5267" w:rsidRPr="00704691" w:rsidRDefault="006A5267" w:rsidP="008B4B2B">
                      <w:pPr>
                        <w:rPr>
                          <w:rFonts w:ascii="ＭＳ ゴシック" w:eastAsia="ＭＳ ゴシック" w:hAnsi="ＭＳ ゴシック"/>
                          <w:sz w:val="22"/>
                          <w:szCs w:val="22"/>
                        </w:rPr>
                      </w:pPr>
                      <w:r w:rsidRPr="001C02E4">
                        <w:rPr>
                          <w:rFonts w:ascii="ＭＳ ゴシック" w:eastAsia="ＭＳ ゴシック" w:hAnsi="ＭＳ ゴシック" w:hint="eastAsia"/>
                          <w:sz w:val="22"/>
                          <w:szCs w:val="22"/>
                        </w:rPr>
                        <w:t>①</w:t>
                      </w:r>
                      <w:r w:rsidRPr="00704691">
                        <w:rPr>
                          <w:rFonts w:ascii="ＭＳ ゴシック" w:eastAsia="ＭＳ ゴシック" w:hAnsi="ＭＳ ゴシック" w:hint="eastAsia"/>
                          <w:sz w:val="22"/>
                          <w:szCs w:val="22"/>
                        </w:rPr>
                        <w:t>派遣要請要求</w:t>
                      </w:r>
                    </w:p>
                  </w:txbxContent>
                </v:textbox>
              </v:shape>
            </w:pict>
          </mc:Fallback>
        </mc:AlternateContent>
      </w:r>
    </w:p>
    <w:p w14:paraId="09EEDDDF" w14:textId="77777777" w:rsidR="008B4B2B" w:rsidRPr="001D6D10" w:rsidRDefault="008B4B2B" w:rsidP="008B4B2B">
      <w:pPr>
        <w:rPr>
          <w:rFonts w:ascii="ＭＳ ゴシック" w:eastAsia="ＭＳ ゴシック" w:hAnsi="ＭＳ ゴシック"/>
          <w:sz w:val="22"/>
          <w:szCs w:val="22"/>
        </w:rPr>
      </w:pPr>
      <w:r w:rsidRPr="001D6D10">
        <w:rPr>
          <w:rFonts w:ascii="ＭＳ ゴシック" w:eastAsia="ＭＳ ゴシック" w:hAnsi="ＭＳ ゴシック"/>
          <w:noProof/>
          <w:sz w:val="22"/>
        </w:rPr>
        <mc:AlternateContent>
          <mc:Choice Requires="wps">
            <w:drawing>
              <wp:anchor distT="0" distB="0" distL="114300" distR="114300" simplePos="0" relativeHeight="253309952" behindDoc="0" locked="0" layoutInCell="1" allowOverlap="1" wp14:anchorId="076FBF46" wp14:editId="0FEC902C">
                <wp:simplePos x="0" y="0"/>
                <wp:positionH relativeFrom="column">
                  <wp:posOffset>3247030</wp:posOffset>
                </wp:positionH>
                <wp:positionV relativeFrom="paragraph">
                  <wp:posOffset>100743</wp:posOffset>
                </wp:positionV>
                <wp:extent cx="451623" cy="175895"/>
                <wp:effectExtent l="0" t="0" r="81915" b="71755"/>
                <wp:wrapNone/>
                <wp:docPr id="4312" name="直線矢印コネクタ 4312"/>
                <wp:cNvGraphicFramePr/>
                <a:graphic xmlns:a="http://schemas.openxmlformats.org/drawingml/2006/main">
                  <a:graphicData uri="http://schemas.microsoft.com/office/word/2010/wordprocessingShape">
                    <wps:wsp>
                      <wps:cNvCnPr/>
                      <wps:spPr>
                        <a:xfrm>
                          <a:off x="0" y="0"/>
                          <a:ext cx="451623" cy="175895"/>
                        </a:xfrm>
                        <a:prstGeom prst="straightConnector1">
                          <a:avLst/>
                        </a:prstGeom>
                        <a:noFill/>
                        <a:ln w="6350" cap="flat" cmpd="sng" algn="ctr">
                          <a:solidFill>
                            <a:sysClr val="windowText" lastClr="000000"/>
                          </a:solidFill>
                          <a:prstDash val="solid"/>
                          <a:miter lim="800000"/>
                          <a:tailEnd type="triangle"/>
                        </a:ln>
                        <a:effectLst/>
                      </wps:spPr>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shape w14:anchorId="7C54343A" id="直線矢印コネクタ 4312" o:spid="_x0000_s1026" type="#_x0000_t32" style="position:absolute;left:0;text-align:left;margin-left:255.65pt;margin-top:7.95pt;width:35.55pt;height:13.85pt;z-index:2533099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" strokecolor="windowText" strokeweight=".5pt">
                <v:stroke endarrow="block" joinstyle="miter"/>
              </v:shape>
            </w:pict>
          </mc:Fallback>
        </mc:AlternateContent>
      </w:r>
      <w:r w:rsidRPr="001D6D10">
        <w:rPr>
          <w:rFonts w:ascii="ＭＳ ゴシック" w:eastAsia="ＭＳ ゴシック" w:hAnsi="ＭＳ ゴシック"/>
          <w:noProof/>
          <w:sz w:val="22"/>
        </w:rPr>
        <mc:AlternateContent>
          <mc:Choice Requires="wps">
            <w:drawing>
              <wp:anchor distT="0" distB="0" distL="114300" distR="114300" simplePos="0" relativeHeight="253307904" behindDoc="0" locked="0" layoutInCell="1" allowOverlap="1" wp14:anchorId="39CCD05A" wp14:editId="01639878">
                <wp:simplePos x="0" y="0"/>
                <wp:positionH relativeFrom="column">
                  <wp:posOffset>2145588</wp:posOffset>
                </wp:positionH>
                <wp:positionV relativeFrom="paragraph">
                  <wp:posOffset>155414</wp:posOffset>
                </wp:positionV>
                <wp:extent cx="264405" cy="175995"/>
                <wp:effectExtent l="38100" t="0" r="21590" b="52705"/>
                <wp:wrapNone/>
                <wp:docPr id="4305" name="直線矢印コネクタ 4305"/>
                <wp:cNvGraphicFramePr/>
                <a:graphic xmlns:a="http://schemas.openxmlformats.org/drawingml/2006/main">
                  <a:graphicData uri="http://schemas.microsoft.com/office/word/2010/wordprocessingShape">
                    <wps:wsp>
                      <wps:cNvCnPr/>
                      <wps:spPr>
                        <a:xfrm flipH="1">
                          <a:off x="0" y="0"/>
                          <a:ext cx="264405" cy="175995"/>
                        </a:xfrm>
                        <a:prstGeom prst="straightConnector1">
                          <a:avLst/>
                        </a:prstGeom>
                        <a:noFill/>
                        <a:ln w="6350" cap="flat" cmpd="sng" algn="ctr">
                          <a:solidFill>
                            <a:sysClr val="windowText" lastClr="000000"/>
                          </a:solidFill>
                          <a:prstDash val="solid"/>
                          <a:miter lim="800000"/>
                          <a:tailEnd type="triangle"/>
                        </a:ln>
                        <a:effectLst/>
                      </wps:spPr>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shape w14:anchorId="6DB34B30" id="直線矢印コネクタ 4305" o:spid="_x0000_s1026" type="#_x0000_t32" style="position:absolute;left:0;text-align:left;margin-left:168.95pt;margin-top:12.25pt;width:20.8pt;height:13.85pt;flip:x;z-index:2533079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" strokecolor="windowText" strokeweight=".5pt">
                <v:stroke endarrow="block" joinstyle="miter"/>
              </v:shape>
            </w:pict>
          </mc:Fallback>
        </mc:AlternateContent>
      </w:r>
    </w:p>
    <w:p w14:paraId="2BC26757" w14:textId="77777777" w:rsidR="008B4B2B" w:rsidRPr="001D6D10" w:rsidRDefault="008B4B2B" w:rsidP="008B4B2B">
      <w:pPr>
        <w:rPr>
          <w:rFonts w:ascii="ＭＳ ゴシック" w:eastAsia="ＭＳ ゴシック" w:hAnsi="ＭＳ ゴシック"/>
          <w:sz w:val="22"/>
          <w:szCs w:val="22"/>
        </w:rPr>
      </w:pPr>
      <w:r w:rsidRPr="001D6D10">
        <w:rPr>
          <w:rFonts w:ascii="ＭＳ ゴシック" w:eastAsia="ＭＳ ゴシック" w:hAnsi="ＭＳ ゴシック" w:hint="eastAsia"/>
          <w:noProof/>
          <w:sz w:val="22"/>
          <w:szCs w:val="22"/>
        </w:rPr>
        <mc:AlternateContent>
          <mc:Choice Requires="wps">
            <w:drawing>
              <wp:anchor distT="0" distB="0" distL="114300" distR="114300" simplePos="0" relativeHeight="253033472" behindDoc="0" locked="0" layoutInCell="1" allowOverlap="1" wp14:anchorId="246B60B8" wp14:editId="64DCD4B6">
                <wp:simplePos x="0" y="0"/>
                <wp:positionH relativeFrom="column">
                  <wp:posOffset>3698462</wp:posOffset>
                </wp:positionH>
                <wp:positionV relativeFrom="paragraph">
                  <wp:posOffset>-2540</wp:posOffset>
                </wp:positionV>
                <wp:extent cx="1143000" cy="685800"/>
                <wp:effectExtent l="0" t="0" r="19050" b="19050"/>
                <wp:wrapNone/>
                <wp:docPr id="4267" name="AutoShape 219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43000" cy="685800"/>
                        </a:xfrm>
                        <a:prstGeom prst="octagon">
                          <a:avLst>
                            <a:gd name="adj" fmla="val 29287"/>
                          </a:avLst>
                        </a:prstGeom>
                        <a:solidFill>
                          <a:srgbClr val="FFFFFF"/>
                        </a:solidFill>
                        <a:ln w="9525">
                          <a:solidFill>
                            <a:srgbClr val="000000"/>
                          </a:solidFill>
                          <a:miter lim="800000"/>
                          <a:headEnd/>
                          <a:tailEnd/>
                        </a:ln>
                      </wps:spPr>
                      <wps:txbx>
                        <w:txbxContent>
                          <w:p w14:paraId="5F823909" w14:textId="77777777" w:rsidR="006A5267" w:rsidRPr="00704691" w:rsidRDefault="006A5267" w:rsidP="008B4B2B">
                            <w:pPr>
                              <w:rPr>
                                <w:rFonts w:ascii="ＭＳ ゴシック" w:eastAsia="ＭＳ ゴシック" w:hAnsi="ＭＳ ゴシック"/>
                                <w:sz w:val="22"/>
                                <w:szCs w:val="22"/>
                              </w:rPr>
                            </w:pPr>
                            <w:r w:rsidRPr="00704691">
                              <w:rPr>
                                <w:rFonts w:ascii="ＭＳ ゴシック" w:eastAsia="ＭＳ ゴシック" w:hAnsi="ＭＳ ゴシック" w:hint="eastAsia"/>
                                <w:sz w:val="22"/>
                                <w:szCs w:val="22"/>
                              </w:rPr>
                              <w:t>陸上自衛隊</w:t>
                            </w:r>
                          </w:p>
                          <w:p w14:paraId="21D30914" w14:textId="77777777" w:rsidR="006A5267" w:rsidRPr="00704691" w:rsidRDefault="006A5267" w:rsidP="008B4B2B">
                            <w:pPr>
                              <w:rPr>
                                <w:rFonts w:ascii="ＭＳ ゴシック" w:eastAsia="ＭＳ ゴシック" w:hAnsi="ＭＳ ゴシック"/>
                                <w:sz w:val="22"/>
                                <w:szCs w:val="22"/>
                              </w:rPr>
                            </w:pPr>
                            <w:r w:rsidRPr="00704691">
                              <w:rPr>
                                <w:rFonts w:ascii="ＭＳ ゴシック" w:eastAsia="ＭＳ ゴシック" w:hAnsi="ＭＳ ゴシック" w:hint="eastAsia"/>
                                <w:sz w:val="22"/>
                                <w:szCs w:val="22"/>
                              </w:rPr>
                              <w:t>第３師団</w:t>
                            </w:r>
                            <w:r w:rsidRPr="001C02E4">
                              <w:rPr>
                                <w:rFonts w:ascii="ＭＳ ゴシック" w:eastAsia="ＭＳ ゴシック" w:hAnsi="ＭＳ ゴシック" w:hint="eastAsia"/>
                                <w:sz w:val="22"/>
                                <w:szCs w:val="22"/>
                              </w:rPr>
                              <w:t>長</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shapetype w14:anchorId="246B60B8" id="_x0000_t10" coordsize="21600,21600" o:spt="10" adj="6326" path="m@0,l0@0,0@2@0,21600@1,21600,21600@2,21600@0@1,xe">
                <v:stroke joinstyle="miter"/>
                <v:formulas>
                  <v:f eqn="val #0"/>
                  <v:f eqn="sum width 0 #0"/>
                  <v:f eqn="sum height 0 #0"/>
                  <v:f eqn="prod @0 2929 10000"/>
                  <v:f eqn="sum width 0 @3"/>
                  <v:f eqn="sum height 0 @3"/>
                  <v:f eqn="val width"/>
                  <v:f eqn="val height"/>
                  <v:f eqn="prod width 1 2"/>
                  <v:f eqn="prod height 1 2"/>
                </v:formulas>
                <v:path gradientshapeok="t" limo="10800,10800" o:connecttype="custom" o:connectlocs="@8,0;0,@9;@8,@7;@6,@9" textboxrect="0,0,21600,21600;2700,2700,18900,18900;5400,5400,16200,16200"/>
                <v:handles>
                  <v:h position="#0,topLeft" switch="" xrange="0,10800"/>
                </v:handles>
              </v:shapetype>
              <v:shape id="AutoShape 2193" o:spid="_x0000_s1250" type="#_x0000_t10" style="position:absolute;left:0;text-align:left;margin-left:291.2pt;margin-top:-.2pt;width:90pt;height:54pt;z-index:2530334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">
                <v:textbox inset="5.85pt,.7pt,5.85pt,.7pt">
                  <w:txbxContent>
                    <w:p w14:paraId="5F823909" w14:textId="77777777" w:rsidR="006A5267" w:rsidRPr="00704691" w:rsidRDefault="006A5267" w:rsidP="008B4B2B">
                      <w:pPr>
                        <w:rPr>
                          <w:rFonts w:ascii="ＭＳ ゴシック" w:eastAsia="ＭＳ ゴシック" w:hAnsi="ＭＳ ゴシック"/>
                          <w:sz w:val="22"/>
                          <w:szCs w:val="22"/>
                        </w:rPr>
                      </w:pPr>
                      <w:r w:rsidRPr="00704691">
                        <w:rPr>
                          <w:rFonts w:ascii="ＭＳ ゴシック" w:eastAsia="ＭＳ ゴシック" w:hAnsi="ＭＳ ゴシック" w:hint="eastAsia"/>
                          <w:sz w:val="22"/>
                          <w:szCs w:val="22"/>
                        </w:rPr>
                        <w:t>陸上自衛隊</w:t>
                      </w:r>
                    </w:p>
                    <w:p w14:paraId="21D30914" w14:textId="77777777" w:rsidR="006A5267" w:rsidRPr="00704691" w:rsidRDefault="006A5267" w:rsidP="008B4B2B">
                      <w:pPr>
                        <w:rPr>
                          <w:rFonts w:ascii="ＭＳ ゴシック" w:eastAsia="ＭＳ ゴシック" w:hAnsi="ＭＳ ゴシック"/>
                          <w:sz w:val="22"/>
                          <w:szCs w:val="22"/>
                        </w:rPr>
                      </w:pPr>
                      <w:r w:rsidRPr="00704691">
                        <w:rPr>
                          <w:rFonts w:ascii="ＭＳ ゴシック" w:eastAsia="ＭＳ ゴシック" w:hAnsi="ＭＳ ゴシック" w:hint="eastAsia"/>
                          <w:sz w:val="22"/>
                          <w:szCs w:val="22"/>
                        </w:rPr>
                        <w:t>第３師団</w:t>
                      </w:r>
                      <w:r w:rsidRPr="001C02E4">
                        <w:rPr>
                          <w:rFonts w:ascii="ＭＳ ゴシック" w:eastAsia="ＭＳ ゴシック" w:hAnsi="ＭＳ ゴシック" w:hint="eastAsia"/>
                          <w:sz w:val="22"/>
                          <w:szCs w:val="22"/>
                        </w:rPr>
                        <w:t>長</w:t>
                      </w:r>
                    </w:p>
                  </w:txbxContent>
                </v:textbox>
              </v:shape>
            </w:pict>
          </mc:Fallback>
        </mc:AlternateContent>
      </w:r>
      <w:r w:rsidRPr="001D6D10">
        <w:rPr>
          <w:rFonts w:ascii="ＭＳ ゴシック" w:eastAsia="ＭＳ ゴシック" w:hAnsi="ＭＳ ゴシック" w:hint="eastAsia"/>
          <w:noProof/>
          <w:sz w:val="22"/>
          <w:szCs w:val="22"/>
        </w:rPr>
        <mc:AlternateContent>
          <mc:Choice Requires="wps">
            <w:drawing>
              <wp:anchor distT="0" distB="0" distL="114300" distR="114300" simplePos="0" relativeHeight="253034496" behindDoc="0" locked="0" layoutInCell="1" allowOverlap="1" wp14:anchorId="739D1A52" wp14:editId="06D92EE7">
                <wp:simplePos x="0" y="0"/>
                <wp:positionH relativeFrom="column">
                  <wp:posOffset>1645920</wp:posOffset>
                </wp:positionH>
                <wp:positionV relativeFrom="paragraph">
                  <wp:posOffset>173990</wp:posOffset>
                </wp:positionV>
                <wp:extent cx="914400" cy="342900"/>
                <wp:effectExtent l="0" t="0" r="19050" b="19050"/>
                <wp:wrapNone/>
                <wp:docPr id="4266" name="AutoShape 219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14400" cy="342900"/>
                        </a:xfrm>
                        <a:prstGeom prst="roundRect">
                          <a:avLst>
                            <a:gd name="adj" fmla="val 16667"/>
                          </a:avLst>
                        </a:prstGeom>
                        <a:solidFill>
                          <a:srgbClr val="FFFFFF"/>
                        </a:solidFill>
                        <a:ln w="9525">
                          <a:solidFill>
                            <a:srgbClr val="000000"/>
                          </a:solidFill>
                          <a:round/>
                          <a:headEnd/>
                          <a:tailEnd/>
                        </a:ln>
                      </wps:spPr>
                      <wps:txbx>
                        <w:txbxContent>
                          <w:p w14:paraId="5BB376C0" w14:textId="77777777" w:rsidR="006A5267" w:rsidRPr="00704691" w:rsidRDefault="006A5267" w:rsidP="008B4B2B">
                            <w:pPr>
                              <w:rPr>
                                <w:rFonts w:ascii="ＭＳ ゴシック" w:eastAsia="ＭＳ ゴシック" w:hAnsi="ＭＳ ゴシック"/>
                                <w:sz w:val="22"/>
                                <w:szCs w:val="22"/>
                              </w:rPr>
                            </w:pPr>
                            <w:r w:rsidRPr="00704691">
                              <w:rPr>
                                <w:rFonts w:ascii="ＭＳ ゴシック" w:eastAsia="ＭＳ ゴシック" w:hAnsi="ＭＳ ゴシック" w:hint="eastAsia"/>
                                <w:sz w:val="22"/>
                                <w:szCs w:val="22"/>
                              </w:rPr>
                              <w:t>大阪府知事</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roundrect w14:anchorId="739D1A52" id="AutoShape 2194" o:spid="_x0000_s1251" style="position:absolute;left:0;text-align:left;margin-left:129.6pt;margin-top:13.7pt;width:1in;height:27pt;z-index:2530344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">
                <v:textbox inset="5.85pt,.7pt,5.85pt,.7pt">
                  <w:txbxContent>
                    <w:p w14:paraId="5BB376C0" w14:textId="77777777" w:rsidR="006A5267" w:rsidRPr="00704691" w:rsidRDefault="006A5267" w:rsidP="008B4B2B">
                      <w:pPr>
                        <w:rPr>
                          <w:rFonts w:ascii="ＭＳ ゴシック" w:eastAsia="ＭＳ ゴシック" w:hAnsi="ＭＳ ゴシック"/>
                          <w:sz w:val="22"/>
                          <w:szCs w:val="22"/>
                        </w:rPr>
                      </w:pPr>
                      <w:r w:rsidRPr="00704691">
                        <w:rPr>
                          <w:rFonts w:ascii="ＭＳ ゴシック" w:eastAsia="ＭＳ ゴシック" w:hAnsi="ＭＳ ゴシック" w:hint="eastAsia"/>
                          <w:sz w:val="22"/>
                          <w:szCs w:val="22"/>
                        </w:rPr>
                        <w:t>大阪府知事</w:t>
                      </w:r>
                    </w:p>
                  </w:txbxContent>
                </v:textbox>
              </v:roundrect>
            </w:pict>
          </mc:Fallback>
        </mc:AlternateContent>
      </w:r>
    </w:p>
    <w:p w14:paraId="5C033857" w14:textId="77777777" w:rsidR="008B4B2B" w:rsidRPr="001D6D10" w:rsidRDefault="008B4B2B" w:rsidP="008B4B2B">
      <w:pPr>
        <w:rPr>
          <w:rFonts w:ascii="ＭＳ ゴシック" w:eastAsia="ＭＳ ゴシック" w:hAnsi="ＭＳ ゴシック"/>
          <w:sz w:val="22"/>
          <w:szCs w:val="22"/>
        </w:rPr>
      </w:pPr>
      <w:r w:rsidRPr="001D6D10">
        <w:rPr>
          <w:rFonts w:ascii="ＭＳ ゴシック" w:eastAsia="ＭＳ ゴシック" w:hAnsi="ＭＳ ゴシック" w:hint="eastAsia"/>
          <w:noProof/>
          <w:sz w:val="22"/>
          <w:szCs w:val="22"/>
        </w:rPr>
        <mc:AlternateContent>
          <mc:Choice Requires="wps">
            <w:drawing>
              <wp:anchor distT="0" distB="0" distL="114300" distR="114300" simplePos="0" relativeHeight="253037568" behindDoc="0" locked="0" layoutInCell="1" allowOverlap="1" wp14:anchorId="5865A367" wp14:editId="54E8F842">
                <wp:simplePos x="0" y="0"/>
                <wp:positionH relativeFrom="column">
                  <wp:posOffset>2618740</wp:posOffset>
                </wp:positionH>
                <wp:positionV relativeFrom="paragraph">
                  <wp:posOffset>147955</wp:posOffset>
                </wp:positionV>
                <wp:extent cx="1079500" cy="228600"/>
                <wp:effectExtent l="0" t="0" r="0" b="0"/>
                <wp:wrapNone/>
                <wp:docPr id="4265" name="Text Box 219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79500" cy="2286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ED93BEB" w14:textId="77777777" w:rsidR="006A5267" w:rsidRPr="00A737CE" w:rsidRDefault="006A5267" w:rsidP="008B4B2B">
                            <w:pPr>
                              <w:rPr>
                                <w:rFonts w:ascii="ＭＳ ゴシック" w:eastAsia="ＭＳ ゴシック" w:hAnsi="ＭＳ ゴシック"/>
                                <w:sz w:val="22"/>
                                <w:szCs w:val="22"/>
                              </w:rPr>
                            </w:pPr>
                            <w:r w:rsidRPr="001C02E4">
                              <w:rPr>
                                <w:rFonts w:ascii="ＭＳ ゴシック" w:eastAsia="ＭＳ ゴシック" w:hAnsi="ＭＳ ゴシック" w:hint="eastAsia"/>
                                <w:sz w:val="22"/>
                                <w:szCs w:val="22"/>
                              </w:rPr>
                              <w:t>②</w:t>
                            </w:r>
                            <w:r w:rsidRPr="00A737CE">
                              <w:rPr>
                                <w:rFonts w:ascii="ＭＳ ゴシック" w:eastAsia="ＭＳ ゴシック" w:hAnsi="ＭＳ ゴシック" w:hint="eastAsia"/>
                                <w:sz w:val="22"/>
                                <w:szCs w:val="22"/>
                              </w:rPr>
                              <w:t>派遣要請</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shape w14:anchorId="5865A367" id="Text Box 2197" o:spid="_x0000_s1252" type="#_x0000_t202" style="position:absolute;left:0;text-align:left;margin-left:206.2pt;margin-top:11.65pt;width:85pt;height:18pt;z-index:2530375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" filled="f" stroked="f">
                <v:textbox inset="5.85pt,.7pt,5.85pt,.7pt">
                  <w:txbxContent>
                    <w:p w14:paraId="2ED93BEB" w14:textId="77777777" w:rsidR="006A5267" w:rsidRPr="00A737CE" w:rsidRDefault="006A5267" w:rsidP="008B4B2B">
                      <w:pPr>
                        <w:rPr>
                          <w:rFonts w:ascii="ＭＳ ゴシック" w:eastAsia="ＭＳ ゴシック" w:hAnsi="ＭＳ ゴシック"/>
                          <w:sz w:val="22"/>
                          <w:szCs w:val="22"/>
                        </w:rPr>
                      </w:pPr>
                      <w:r w:rsidRPr="001C02E4">
                        <w:rPr>
                          <w:rFonts w:ascii="ＭＳ ゴシック" w:eastAsia="ＭＳ ゴシック" w:hAnsi="ＭＳ ゴシック" w:hint="eastAsia"/>
                          <w:sz w:val="22"/>
                          <w:szCs w:val="22"/>
                        </w:rPr>
                        <w:t>②</w:t>
                      </w:r>
                      <w:r w:rsidRPr="00A737CE">
                        <w:rPr>
                          <w:rFonts w:ascii="ＭＳ ゴシック" w:eastAsia="ＭＳ ゴシック" w:hAnsi="ＭＳ ゴシック" w:hint="eastAsia"/>
                          <w:sz w:val="22"/>
                          <w:szCs w:val="22"/>
                        </w:rPr>
                        <w:t>派遣要請</w:t>
                      </w:r>
                    </w:p>
                  </w:txbxContent>
                </v:textbox>
              </v:shape>
            </w:pict>
          </mc:Fallback>
        </mc:AlternateContent>
      </w:r>
      <w:r w:rsidRPr="001D6D10">
        <w:rPr>
          <w:rFonts w:ascii="ＭＳ ゴシック" w:eastAsia="ＭＳ ゴシック" w:hAnsi="ＭＳ ゴシック" w:hint="eastAsia"/>
          <w:noProof/>
          <w:sz w:val="22"/>
          <w:szCs w:val="22"/>
        </w:rPr>
        <mc:AlternateContent>
          <mc:Choice Requires="wps">
            <w:drawing>
              <wp:anchor distT="0" distB="0" distL="114300" distR="114300" simplePos="0" relativeHeight="253038592" behindDoc="0" locked="0" layoutInCell="1" allowOverlap="1" wp14:anchorId="36262C56" wp14:editId="0888D97E">
                <wp:simplePos x="0" y="0"/>
                <wp:positionH relativeFrom="column">
                  <wp:posOffset>2673985</wp:posOffset>
                </wp:positionH>
                <wp:positionV relativeFrom="paragraph">
                  <wp:posOffset>37465</wp:posOffset>
                </wp:positionV>
                <wp:extent cx="1024255" cy="109855"/>
                <wp:effectExtent l="0" t="19050" r="42545" b="42545"/>
                <wp:wrapNone/>
                <wp:docPr id="4264" name="AutoShape 219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24255" cy="109855"/>
                        </a:xfrm>
                        <a:prstGeom prst="rightArrow">
                          <a:avLst>
                            <a:gd name="adj1" fmla="val 50000"/>
                            <a:gd name="adj2" fmla="val 150000"/>
                          </a:avLst>
                        </a:prstGeom>
                        <a:solidFill>
                          <a:srgbClr val="FFFFFF"/>
                        </a:solidFill>
                        <a:ln w="9525">
                          <a:solidFill>
                            <a:srgbClr val="000000"/>
                          </a:solidFill>
                          <a:miter lim="800000"/>
                          <a:headEnd/>
                          <a:tailEnd/>
                        </a:ln>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shapetype w14:anchorId="59233175" id="_x0000_t13" coordsize="21600,21600" o:spt="13" adj="16200,5400" path="m@0,l@0@1,0@1,0@2@0@2@0,21600,21600,10800xe">
                <v:stroke joinstyle="miter"/>
                <v:formulas>
                  <v:f eqn="val #0"/>
                  <v:f eqn="val #1"/>
                  <v:f eqn="sum height 0 #1"/>
                  <v:f eqn="sum 10800 0 #1"/>
                  <v:f eqn="sum width 0 #0"/>
                  <v:f eqn="prod @4 @3 10800"/>
                  <v:f eqn="sum width 0 @5"/>
                </v:formulas>
                <v:path o:connecttype="custom" o:connectlocs="@0,0;0,10800;@0,21600;21600,10800" o:connectangles="270,180,90,0" textboxrect="0,@1,@6,@2"/>
                <v:handles>
                  <v:h position="#0,#1" xrange="0,21600" yrange="0,10800"/>
                </v:handles>
              </v:shapetype>
              <v:shape id="AutoShape 2198" o:spid="_x0000_s1026" type="#_x0000_t13" style="position:absolute;left:0;text-align:left;margin-left:210.55pt;margin-top:2.95pt;width:80.65pt;height:8.65pt;z-index:2530385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" adj="18125">
                <v:textbox inset="5.85pt,.7pt,5.85pt,.7pt"/>
              </v:shape>
            </w:pict>
          </mc:Fallback>
        </mc:AlternateContent>
      </w:r>
    </w:p>
    <w:p w14:paraId="0295433E" w14:textId="77777777" w:rsidR="008B4B2B" w:rsidRPr="001D6D10" w:rsidRDefault="008B4B2B" w:rsidP="008B4B2B">
      <w:pPr>
        <w:rPr>
          <w:rFonts w:ascii="ＭＳ ゴシック" w:eastAsia="ＭＳ ゴシック" w:hAnsi="ＭＳ ゴシック"/>
          <w:sz w:val="22"/>
          <w:szCs w:val="22"/>
        </w:rPr>
      </w:pPr>
    </w:p>
    <w:p w14:paraId="334148A3" w14:textId="77777777" w:rsidR="008B4B2B" w:rsidRPr="001D6D10" w:rsidRDefault="008B4B2B" w:rsidP="008B4B2B">
      <w:pPr>
        <w:rPr>
          <w:rFonts w:ascii="ＭＳ ゴシック" w:eastAsia="ＭＳ ゴシック" w:hAnsi="ＭＳ ゴシック"/>
          <w:sz w:val="22"/>
          <w:szCs w:val="22"/>
        </w:rPr>
      </w:pPr>
    </w:p>
    <w:p w14:paraId="6A8C6803" w14:textId="77777777" w:rsidR="008B4B2B" w:rsidRPr="001D6D10" w:rsidRDefault="008B4B2B" w:rsidP="008B4B2B">
      <w:pPr>
        <w:pStyle w:val="a0"/>
        <w:ind w:firstLineChars="200" w:firstLine="442"/>
        <w:rPr>
          <w:rFonts w:ascii="ＭＳ ゴシック" w:eastAsia="ＭＳ ゴシック" w:hAnsi="ＭＳ ゴシック"/>
          <w:sz w:val="22"/>
          <w:szCs w:val="22"/>
          <w:u w:val="single"/>
        </w:rPr>
      </w:pPr>
      <w:r w:rsidRPr="001D6D10">
        <w:rPr>
          <w:rFonts w:hAnsi="ＭＳ 明朝" w:hint="eastAsia"/>
          <w:sz w:val="22"/>
          <w:szCs w:val="22"/>
        </w:rPr>
        <w:t xml:space="preserve">　</w:t>
      </w:r>
      <w:r w:rsidRPr="001D6D10">
        <w:rPr>
          <w:rFonts w:ascii="ＭＳ ゴシック" w:eastAsia="ＭＳ ゴシック" w:hAnsi="ＭＳ ゴシック" w:hint="eastAsia"/>
          <w:sz w:val="22"/>
          <w:szCs w:val="22"/>
          <w:u w:val="single"/>
        </w:rPr>
        <w:t>１　要請基準</w:t>
      </w:r>
    </w:p>
    <w:p w14:paraId="277F20EB" w14:textId="77777777" w:rsidR="008B4B2B" w:rsidRPr="001D6D10" w:rsidRDefault="008B4B2B" w:rsidP="008B4B2B">
      <w:pPr>
        <w:pStyle w:val="a0"/>
        <w:rPr>
          <w:rFonts w:hAnsi="ＭＳ 明朝"/>
          <w:sz w:val="22"/>
          <w:szCs w:val="22"/>
        </w:rPr>
      </w:pPr>
      <w:r w:rsidRPr="001D6D10">
        <w:rPr>
          <w:rFonts w:hAnsi="ＭＳ 明朝" w:hint="eastAsia"/>
          <w:sz w:val="22"/>
          <w:szCs w:val="22"/>
        </w:rPr>
        <w:t xml:space="preserve">　　　　　知事は、次の場合に陸上自衛隊第３師団長に部隊等の派遣を要請する。</w:t>
      </w:r>
    </w:p>
    <w:p w14:paraId="531EAB71" w14:textId="77777777" w:rsidR="008B4B2B" w:rsidRPr="001D6D10" w:rsidRDefault="008B4B2B" w:rsidP="008B4B2B">
      <w:pPr>
        <w:pStyle w:val="a0"/>
        <w:ind w:leftChars="400" w:left="1286" w:hangingChars="200" w:hanging="442"/>
        <w:rPr>
          <w:rFonts w:hAnsi="ＭＳ 明朝"/>
          <w:sz w:val="22"/>
          <w:szCs w:val="22"/>
        </w:rPr>
      </w:pPr>
      <w:r w:rsidRPr="001D6D10">
        <w:rPr>
          <w:rFonts w:hAnsi="ＭＳ 明朝" w:hint="eastAsia"/>
          <w:sz w:val="22"/>
          <w:szCs w:val="22"/>
        </w:rPr>
        <w:t>(1)　府内市町村長をはじめ防災関係機関の長から派遣要請の要求があり、知事が必要と認めた場合。</w:t>
      </w:r>
    </w:p>
    <w:p w14:paraId="5AA3E03F" w14:textId="77777777" w:rsidR="008B4B2B" w:rsidRPr="001D6D10" w:rsidRDefault="008B4B2B" w:rsidP="008B4B2B">
      <w:pPr>
        <w:pStyle w:val="a0"/>
        <w:ind w:leftChars="400" w:left="1286" w:hangingChars="200" w:hanging="442"/>
        <w:rPr>
          <w:rFonts w:hAnsi="ＭＳ 明朝"/>
          <w:sz w:val="22"/>
          <w:szCs w:val="22"/>
        </w:rPr>
      </w:pPr>
    </w:p>
    <w:p w14:paraId="5BDEB4B1" w14:textId="77777777" w:rsidR="008B4B2B" w:rsidRPr="001D6D10" w:rsidRDefault="008B4B2B" w:rsidP="00495626">
      <w:pPr>
        <w:pStyle w:val="a0"/>
        <w:ind w:leftChars="403" w:left="1276" w:hangingChars="192" w:hanging="425"/>
        <w:rPr>
          <w:rFonts w:hAnsi="ＭＳ 明朝"/>
          <w:sz w:val="22"/>
        </w:rPr>
      </w:pPr>
      <w:r w:rsidRPr="001D6D10">
        <w:rPr>
          <w:rFonts w:hAnsi="ＭＳ 明朝" w:hint="eastAsia"/>
          <w:sz w:val="22"/>
          <w:szCs w:val="22"/>
        </w:rPr>
        <w:t>(2)　府域で震度6弱以上を観測する地震が発生し</w:t>
      </w:r>
      <w:r w:rsidR="00495626" w:rsidRPr="001D6D10">
        <w:rPr>
          <w:rFonts w:hAnsi="ＭＳ 明朝" w:hint="eastAsia"/>
          <w:sz w:val="22"/>
          <w:szCs w:val="22"/>
        </w:rPr>
        <w:t>、相当程度の被害が見込まれる</w:t>
      </w:r>
      <w:r w:rsidRPr="001D6D10">
        <w:rPr>
          <w:rFonts w:hAnsi="ＭＳ 明朝" w:hint="eastAsia"/>
          <w:sz w:val="22"/>
          <w:szCs w:val="22"/>
        </w:rPr>
        <w:t>場合。</w:t>
      </w:r>
    </w:p>
    <w:p w14:paraId="09C6C20C" w14:textId="77777777" w:rsidR="008B4B2B" w:rsidRPr="001D6D10" w:rsidRDefault="008B4B2B" w:rsidP="008B4B2B">
      <w:pPr>
        <w:pStyle w:val="a0"/>
        <w:ind w:firstLineChars="400" w:firstLine="884"/>
        <w:rPr>
          <w:rFonts w:hAnsi="ＭＳ 明朝"/>
          <w:sz w:val="22"/>
          <w:szCs w:val="22"/>
        </w:rPr>
      </w:pPr>
    </w:p>
    <w:p w14:paraId="290EEE5F" w14:textId="77777777" w:rsidR="008B4B2B" w:rsidRPr="001D6D10" w:rsidRDefault="008B4B2B" w:rsidP="008B4B2B">
      <w:pPr>
        <w:pStyle w:val="a0"/>
        <w:ind w:rightChars="-108" w:right="-228" w:firstLineChars="385" w:firstLine="851"/>
        <w:rPr>
          <w:rFonts w:hAnsi="ＭＳ 明朝"/>
          <w:sz w:val="22"/>
          <w:szCs w:val="22"/>
        </w:rPr>
      </w:pPr>
      <w:r w:rsidRPr="001D6D10">
        <w:rPr>
          <w:rFonts w:hAnsi="ＭＳ 明朝" w:hint="eastAsia"/>
          <w:sz w:val="22"/>
          <w:szCs w:val="22"/>
        </w:rPr>
        <w:t>(3)　市町村の通信途絶の状況から、知事が自らの判断で派遣の必要を認めた場合。</w:t>
      </w:r>
    </w:p>
    <w:p w14:paraId="3CDB8C34" w14:textId="77777777" w:rsidR="008B4B2B" w:rsidRPr="001D6D10" w:rsidRDefault="008B4B2B" w:rsidP="008B4B2B">
      <w:pPr>
        <w:pStyle w:val="a0"/>
        <w:ind w:left="1216" w:rightChars="-108" w:right="-228" w:hangingChars="550" w:hanging="1216"/>
        <w:rPr>
          <w:rFonts w:hAnsi="ＭＳ 明朝"/>
          <w:sz w:val="22"/>
          <w:szCs w:val="22"/>
        </w:rPr>
      </w:pPr>
      <w:r w:rsidRPr="001D6D10">
        <w:rPr>
          <w:rFonts w:hAnsi="ＭＳ 明朝" w:hint="eastAsia"/>
          <w:sz w:val="22"/>
          <w:szCs w:val="22"/>
        </w:rPr>
        <w:t xml:space="preserve">　　　　　　 なお、自衛隊は災害等が突発的で、その救援が特に急を要し、知事の要請を待ついとまがないときは、要請を待つことなく自らの判断基準に基づいて部隊を派遣することがある。</w:t>
      </w:r>
    </w:p>
    <w:p w14:paraId="4D9E6AA0" w14:textId="77777777" w:rsidR="008B4B2B" w:rsidRPr="001D6D10" w:rsidRDefault="008B4B2B" w:rsidP="008B4B2B">
      <w:pPr>
        <w:pStyle w:val="a0"/>
        <w:ind w:left="1216" w:hangingChars="550" w:hanging="1216"/>
        <w:rPr>
          <w:rFonts w:hAnsi="ＭＳ 明朝"/>
          <w:sz w:val="22"/>
          <w:szCs w:val="22"/>
        </w:rPr>
      </w:pPr>
    </w:p>
    <w:p w14:paraId="516D5DC1" w14:textId="77777777" w:rsidR="008B4B2B" w:rsidRPr="001D6D10" w:rsidRDefault="008B4B2B" w:rsidP="008B4B2B">
      <w:pPr>
        <w:pStyle w:val="a0"/>
        <w:ind w:firstLineChars="200" w:firstLine="442"/>
        <w:rPr>
          <w:rFonts w:ascii="ＭＳ ゴシック" w:eastAsia="ＭＳ ゴシック" w:hAnsi="ＭＳ ゴシック"/>
          <w:sz w:val="22"/>
          <w:szCs w:val="22"/>
          <w:u w:val="single"/>
        </w:rPr>
      </w:pPr>
      <w:r w:rsidRPr="001D6D10">
        <w:rPr>
          <w:rFonts w:hAnsi="ＭＳ 明朝" w:hint="eastAsia"/>
          <w:sz w:val="22"/>
          <w:szCs w:val="22"/>
        </w:rPr>
        <w:t xml:space="preserve">　</w:t>
      </w:r>
      <w:r w:rsidRPr="001D6D10">
        <w:rPr>
          <w:rFonts w:ascii="ＭＳ ゴシック" w:eastAsia="ＭＳ ゴシック" w:hAnsi="ＭＳ ゴシック" w:hint="eastAsia"/>
          <w:sz w:val="22"/>
          <w:szCs w:val="22"/>
          <w:u w:val="single"/>
        </w:rPr>
        <w:t>２　要請方法</w:t>
      </w:r>
    </w:p>
    <w:p w14:paraId="6BB2A8F3" w14:textId="77777777" w:rsidR="008B4B2B" w:rsidRPr="001D6D10" w:rsidRDefault="008B4B2B" w:rsidP="008B4B2B">
      <w:pPr>
        <w:ind w:leftChars="400" w:left="1286" w:hangingChars="200" w:hanging="442"/>
        <w:rPr>
          <w:rFonts w:ascii="ＭＳ 明朝" w:hAnsi="ＭＳ 明朝" w:cs="Courier New"/>
          <w:sz w:val="22"/>
        </w:rPr>
      </w:pPr>
      <w:r w:rsidRPr="001D6D10">
        <w:rPr>
          <w:rFonts w:ascii="ＭＳ 明朝" w:hAnsi="ＭＳ 明朝" w:cs="Courier New" w:hint="eastAsia"/>
          <w:sz w:val="22"/>
        </w:rPr>
        <w:t>(1)　市町村長をはじめ防災関係機関の長（以下、この項では「市町村長等」という。）から派遣要請の要求があった場合、危機管理監は、速やかに陸上自衛隊第３師団司令部第</w:t>
      </w:r>
      <w:r w:rsidR="005308A9" w:rsidRPr="001D6D10">
        <w:rPr>
          <w:rFonts w:ascii="ＭＳ 明朝" w:hAnsi="ＭＳ 明朝" w:cs="Courier New" w:hint="eastAsia"/>
          <w:sz w:val="22"/>
        </w:rPr>
        <w:t>３部長を通じて、次に掲げる事項を記載した災害派遣要請書（資料集５７</w:t>
      </w:r>
      <w:r w:rsidRPr="001D6D10">
        <w:rPr>
          <w:rFonts w:ascii="ＭＳ 明朝" w:hAnsi="ＭＳ 明朝" w:cs="Courier New" w:hint="eastAsia"/>
          <w:sz w:val="22"/>
        </w:rPr>
        <w:t>頁）をもって要請する。第３師団と連絡が取れない場合は、大阪地方協力本部渉外広報室を通じて行う。</w:t>
      </w:r>
    </w:p>
    <w:p w14:paraId="40086B70" w14:textId="77777777" w:rsidR="008B4B2B" w:rsidRPr="001D6D10" w:rsidRDefault="008B4B2B" w:rsidP="008B4B2B">
      <w:pPr>
        <w:ind w:leftChars="606" w:left="1279" w:firstLineChars="100" w:firstLine="221"/>
        <w:rPr>
          <w:rFonts w:ascii="ＭＳ 明朝" w:hAnsi="ＭＳ 明朝" w:cs="Courier New"/>
          <w:sz w:val="22"/>
        </w:rPr>
      </w:pPr>
      <w:r w:rsidRPr="001D6D10">
        <w:rPr>
          <w:rFonts w:ascii="ＭＳ 明朝" w:hAnsi="ＭＳ 明朝" w:cs="Courier New" w:hint="eastAsia"/>
          <w:sz w:val="22"/>
        </w:rPr>
        <w:t>ただし、緊急の場合若しくは文書によることができない場合は、口頭又は電話その他の通信により行う（事後速やかに災害派遣要請書を提出）。</w:t>
      </w:r>
    </w:p>
    <w:p w14:paraId="1E0E7697" w14:textId="77777777" w:rsidR="008B4B2B" w:rsidRPr="001D6D10" w:rsidRDefault="008B4B2B" w:rsidP="008B4B2B">
      <w:pPr>
        <w:ind w:leftChars="606" w:left="1279" w:firstLineChars="100" w:firstLine="221"/>
        <w:rPr>
          <w:rFonts w:ascii="ＭＳ 明朝" w:hAnsi="ＭＳ 明朝" w:cs="Courier New"/>
          <w:sz w:val="22"/>
        </w:rPr>
      </w:pPr>
      <w:r w:rsidRPr="001D6D10">
        <w:rPr>
          <w:rFonts w:ascii="ＭＳ 明朝" w:hAnsi="ＭＳ 明朝" w:cs="Courier New" w:hint="eastAsia"/>
          <w:sz w:val="22"/>
        </w:rPr>
        <w:t>この際、派遣要請の要求があった市町村長等の連絡窓口についても確認のうえ、伝達する。</w:t>
      </w:r>
    </w:p>
    <w:p w14:paraId="2BE83C99" w14:textId="77777777" w:rsidR="008B4B2B" w:rsidRPr="001D6D10" w:rsidRDefault="008B4B2B" w:rsidP="008B4B2B">
      <w:pPr>
        <w:pStyle w:val="a0"/>
        <w:ind w:firstLineChars="500" w:firstLine="1105"/>
        <w:rPr>
          <w:rFonts w:hAnsi="ＭＳ 明朝"/>
          <w:sz w:val="22"/>
          <w:szCs w:val="22"/>
        </w:rPr>
      </w:pPr>
      <w:r w:rsidRPr="001D6D10">
        <w:rPr>
          <w:rFonts w:hAnsi="ＭＳ 明朝" w:hint="eastAsia"/>
          <w:sz w:val="22"/>
          <w:szCs w:val="22"/>
        </w:rPr>
        <w:lastRenderedPageBreak/>
        <w:t>①　災害の状況及び派遣を要請する事由</w:t>
      </w:r>
    </w:p>
    <w:p w14:paraId="076986D6" w14:textId="77777777" w:rsidR="008B4B2B" w:rsidRPr="001D6D10" w:rsidRDefault="008B4B2B" w:rsidP="008B4B2B">
      <w:pPr>
        <w:pStyle w:val="a0"/>
        <w:ind w:firstLineChars="500" w:firstLine="1105"/>
        <w:rPr>
          <w:rFonts w:hAnsi="ＭＳ 明朝"/>
          <w:sz w:val="22"/>
          <w:szCs w:val="22"/>
        </w:rPr>
      </w:pPr>
      <w:r w:rsidRPr="001D6D10">
        <w:rPr>
          <w:rFonts w:hAnsi="ＭＳ 明朝" w:hint="eastAsia"/>
          <w:sz w:val="22"/>
          <w:szCs w:val="22"/>
        </w:rPr>
        <w:t>②　派遣を希望する期間</w:t>
      </w:r>
    </w:p>
    <w:p w14:paraId="76667DA1" w14:textId="77777777" w:rsidR="008B4B2B" w:rsidRPr="001D6D10" w:rsidRDefault="008B4B2B" w:rsidP="008B4B2B">
      <w:pPr>
        <w:pStyle w:val="a0"/>
        <w:ind w:firstLineChars="500" w:firstLine="1105"/>
        <w:rPr>
          <w:rFonts w:hAnsi="ＭＳ 明朝"/>
          <w:sz w:val="22"/>
          <w:szCs w:val="22"/>
        </w:rPr>
      </w:pPr>
      <w:r w:rsidRPr="001D6D10">
        <w:rPr>
          <w:rFonts w:hAnsi="ＭＳ 明朝" w:hint="eastAsia"/>
          <w:sz w:val="22"/>
          <w:szCs w:val="22"/>
        </w:rPr>
        <w:t>③　派遣を希望する区域及び活動内容</w:t>
      </w:r>
    </w:p>
    <w:p w14:paraId="54EE8B0A" w14:textId="77777777" w:rsidR="008B4B2B" w:rsidRPr="001D6D10" w:rsidRDefault="008B4B2B" w:rsidP="008B4B2B">
      <w:pPr>
        <w:pStyle w:val="a0"/>
        <w:ind w:leftChars="520" w:left="1651" w:rightChars="-108" w:right="-228" w:hangingChars="250" w:hanging="553"/>
        <w:rPr>
          <w:rFonts w:hAnsi="ＭＳ 明朝"/>
          <w:sz w:val="22"/>
          <w:szCs w:val="22"/>
        </w:rPr>
      </w:pPr>
      <w:r w:rsidRPr="001D6D10">
        <w:rPr>
          <w:rFonts w:hAnsi="ＭＳ 明朝" w:hint="eastAsia"/>
          <w:sz w:val="22"/>
          <w:szCs w:val="22"/>
        </w:rPr>
        <w:t>④　その他参考となるべき事項（派遣を希望する人員、船舶、航空機その他機材の概数等）</w:t>
      </w:r>
    </w:p>
    <w:p w14:paraId="5E58DAB8" w14:textId="31158EB2" w:rsidR="008B4B2B" w:rsidRPr="001D6D10" w:rsidRDefault="008B4B2B" w:rsidP="00E0548A">
      <w:pPr>
        <w:ind w:leftChars="604" w:left="1275" w:rightChars="-41" w:right="-87" w:firstLineChars="128" w:firstLine="283"/>
        <w:rPr>
          <w:rFonts w:ascii="ＭＳ 明朝" w:hAnsi="ＭＳ 明朝" w:cs="Courier New"/>
          <w:sz w:val="22"/>
        </w:rPr>
      </w:pPr>
      <w:r w:rsidRPr="001D6D10">
        <w:rPr>
          <w:rFonts w:ascii="ＭＳ 明朝" w:hAnsi="ＭＳ 明朝" w:cs="Courier New" w:hint="eastAsia"/>
          <w:sz w:val="22"/>
        </w:rPr>
        <w:t>なお、市町村長等からの要求が口頭・電話で行われた場合は、後日、要求に係る文書（災害派遣要請書に準ずる）の提出を市町村長等に求めること</w:t>
      </w:r>
      <w:r w:rsidR="00454723">
        <w:rPr>
          <w:rFonts w:ascii="ＭＳ 明朝" w:hAnsi="ＭＳ 明朝" w:cs="Courier New" w:hint="eastAsia"/>
          <w:sz w:val="22"/>
        </w:rPr>
        <w:t>。</w:t>
      </w:r>
    </w:p>
    <w:p w14:paraId="11CBA7C1" w14:textId="77777777" w:rsidR="008B4B2B" w:rsidRPr="001D6D10" w:rsidRDefault="008B4B2B" w:rsidP="008B4B2B">
      <w:pPr>
        <w:ind w:rightChars="-270" w:right="-570"/>
        <w:rPr>
          <w:rFonts w:ascii="ＭＳ 明朝" w:hAnsi="ＭＳ 明朝" w:cs="Courier New"/>
          <w:sz w:val="22"/>
        </w:rPr>
      </w:pPr>
    </w:p>
    <w:p w14:paraId="4CEF4199" w14:textId="77777777" w:rsidR="008B4B2B" w:rsidRPr="001D6D10" w:rsidRDefault="008B4B2B" w:rsidP="008B4B2B">
      <w:pPr>
        <w:ind w:left="1327" w:rightChars="-108" w:right="-228" w:hangingChars="600" w:hanging="1327"/>
        <w:rPr>
          <w:rFonts w:ascii="ＭＳ 明朝" w:hAnsi="ＭＳ 明朝" w:cs="Courier New"/>
          <w:sz w:val="22"/>
        </w:rPr>
      </w:pPr>
      <w:r w:rsidRPr="001D6D10">
        <w:rPr>
          <w:rFonts w:ascii="ＭＳ 明朝" w:hAnsi="ＭＳ 明朝" w:cs="Courier New" w:hint="eastAsia"/>
          <w:sz w:val="22"/>
        </w:rPr>
        <w:t xml:space="preserve">　　　　(2)　市町村長等の要求に基づかない（１要請基準の(2)、(3)）の場合、危機管理監は、速やかに陸上自衛隊第３師団司令部第３部長を通じて、上記(1)</w:t>
      </w:r>
      <w:r w:rsidR="005308A9" w:rsidRPr="001D6D10">
        <w:rPr>
          <w:rFonts w:ascii="ＭＳ 明朝" w:hAnsi="ＭＳ 明朝" w:cs="Courier New" w:hint="eastAsia"/>
          <w:sz w:val="22"/>
        </w:rPr>
        <w:t>①～④に掲げる事項を記載した災害派遣要請書（資料集５７</w:t>
      </w:r>
      <w:r w:rsidRPr="001D6D10">
        <w:rPr>
          <w:rFonts w:ascii="ＭＳ 明朝" w:hAnsi="ＭＳ 明朝" w:cs="Courier New" w:hint="eastAsia"/>
          <w:sz w:val="22"/>
        </w:rPr>
        <w:t>頁）をもって要請する。第３師団と連絡が取れない場合は、大阪地方協力本部渉外広報室を通じて行う。</w:t>
      </w:r>
    </w:p>
    <w:p w14:paraId="11B4640D" w14:textId="77777777" w:rsidR="008B4B2B" w:rsidRPr="001D6D10" w:rsidRDefault="008B4B2B" w:rsidP="008B4B2B">
      <w:pPr>
        <w:ind w:leftChars="600" w:left="1267" w:rightChars="-108" w:right="-228" w:firstLineChars="100" w:firstLine="221"/>
        <w:rPr>
          <w:rFonts w:ascii="ＭＳ 明朝" w:hAnsi="ＭＳ 明朝" w:cs="Courier New"/>
          <w:sz w:val="22"/>
        </w:rPr>
      </w:pPr>
      <w:r w:rsidRPr="001D6D10">
        <w:rPr>
          <w:rFonts w:ascii="ＭＳ 明朝" w:hAnsi="ＭＳ 明朝" w:cs="Courier New" w:hint="eastAsia"/>
          <w:sz w:val="22"/>
        </w:rPr>
        <w:t>ただし、緊急の場合若しくは文書によることができない場合は、口頭又は電話その他の通信により行う（事後速やかに災害派遣要請書を提出）。</w:t>
      </w:r>
    </w:p>
    <w:p w14:paraId="506EF58D" w14:textId="77777777" w:rsidR="008B4B2B" w:rsidRPr="001D6D10" w:rsidRDefault="008B4B2B" w:rsidP="008B4B2B">
      <w:pPr>
        <w:pStyle w:val="a0"/>
        <w:ind w:firstLineChars="200" w:firstLine="442"/>
        <w:rPr>
          <w:rFonts w:ascii="ＭＳ ゴシック" w:eastAsia="ＭＳ ゴシック" w:hAnsi="ＭＳ ゴシック"/>
          <w:sz w:val="22"/>
          <w:szCs w:val="22"/>
        </w:rPr>
      </w:pPr>
    </w:p>
    <w:p w14:paraId="4BCF1038" w14:textId="77777777" w:rsidR="008B4B2B" w:rsidRPr="001D6D10" w:rsidRDefault="008B4B2B" w:rsidP="00B9457C">
      <w:pPr>
        <w:pStyle w:val="a0"/>
        <w:ind w:firstLineChars="200" w:firstLine="442"/>
        <w:outlineLvl w:val="2"/>
        <w:rPr>
          <w:rFonts w:ascii="ＭＳ ゴシック" w:eastAsia="ＭＳ ゴシック" w:hAnsi="ＭＳ ゴシック"/>
          <w:sz w:val="22"/>
          <w:szCs w:val="22"/>
          <w:u w:val="double"/>
        </w:rPr>
      </w:pPr>
      <w:bookmarkStart w:id="150" w:name="_Toc122436899"/>
      <w:bookmarkStart w:id="151" w:name="_Toc222486582"/>
      <w:bookmarkStart w:id="152" w:name="_Toc242870252"/>
      <w:r w:rsidRPr="001D6D10">
        <w:rPr>
          <w:rFonts w:ascii="ＭＳ ゴシック" w:eastAsia="ＭＳ ゴシック" w:hAnsi="ＭＳ ゴシック" w:hint="eastAsia"/>
          <w:sz w:val="22"/>
          <w:szCs w:val="22"/>
          <w:u w:val="double"/>
        </w:rPr>
        <w:t>第２　派遣部隊の誘導及び受入れ体制</w:t>
      </w:r>
      <w:r w:rsidRPr="001D6D10">
        <w:rPr>
          <w:rFonts w:ascii="ＭＳ ゴシック" w:eastAsia="ＭＳ ゴシック" w:hAnsi="ＭＳ ゴシック" w:hint="eastAsia"/>
          <w:sz w:val="22"/>
          <w:szCs w:val="22"/>
          <w:u w:val="double"/>
          <w:shd w:val="pct15" w:color="auto" w:fill="FFFFFF"/>
        </w:rPr>
        <w:t>【第２フェーズ】</w:t>
      </w:r>
      <w:bookmarkEnd w:id="150"/>
      <w:bookmarkEnd w:id="151"/>
      <w:bookmarkEnd w:id="152"/>
    </w:p>
    <w:p w14:paraId="61AE00B2" w14:textId="77777777" w:rsidR="008B4B2B" w:rsidRPr="001D6D10" w:rsidRDefault="008B4B2B" w:rsidP="008B4B2B">
      <w:pPr>
        <w:ind w:firstLineChars="400" w:firstLine="884"/>
        <w:rPr>
          <w:rFonts w:ascii="ＭＳ 明朝" w:hAnsi="ＭＳ 明朝"/>
          <w:sz w:val="22"/>
          <w:szCs w:val="22"/>
        </w:rPr>
      </w:pPr>
      <w:r w:rsidRPr="001D6D10">
        <w:rPr>
          <w:rFonts w:ascii="ＭＳ ゴシック" w:eastAsia="ＭＳ ゴシック" w:hAnsi="ＭＳ ゴシック" w:hint="eastAsia"/>
          <w:sz w:val="22"/>
          <w:szCs w:val="22"/>
        </w:rPr>
        <w:t xml:space="preserve">　</w:t>
      </w:r>
      <w:r w:rsidRPr="001D6D10">
        <w:rPr>
          <w:rFonts w:ascii="ＭＳ ゴシック" w:eastAsia="ＭＳ ゴシック" w:hAnsi="ＭＳ ゴシック" w:hint="eastAsia"/>
          <w:sz w:val="22"/>
          <w:szCs w:val="22"/>
          <w:bdr w:val="single" w:sz="4" w:space="0" w:color="auto"/>
        </w:rPr>
        <w:t>主たる担当：危機管理室</w:t>
      </w:r>
    </w:p>
    <w:p w14:paraId="6B5D8A06" w14:textId="77777777" w:rsidR="008B4B2B" w:rsidRPr="001D6D10" w:rsidRDefault="008B4B2B" w:rsidP="008B4B2B">
      <w:pPr>
        <w:pStyle w:val="a0"/>
        <w:rPr>
          <w:rFonts w:ascii="ＭＳ ゴシック" w:eastAsia="ＭＳ ゴシック" w:hAnsi="ＭＳ ゴシック"/>
          <w:sz w:val="22"/>
          <w:szCs w:val="22"/>
          <w:u w:val="single"/>
        </w:rPr>
      </w:pPr>
      <w:r w:rsidRPr="001D6D10">
        <w:rPr>
          <w:rFonts w:hAnsi="ＭＳ 明朝" w:hint="eastAsia"/>
          <w:sz w:val="22"/>
          <w:szCs w:val="22"/>
        </w:rPr>
        <w:t xml:space="preserve">　　　</w:t>
      </w:r>
      <w:r w:rsidRPr="001D6D10">
        <w:rPr>
          <w:rFonts w:hAnsi="ＭＳ 明朝" w:hint="eastAsia"/>
          <w:sz w:val="22"/>
          <w:szCs w:val="22"/>
          <w:u w:val="single"/>
        </w:rPr>
        <w:t>１</w:t>
      </w:r>
      <w:r w:rsidRPr="001D6D10">
        <w:rPr>
          <w:rFonts w:ascii="ＭＳ ゴシック" w:eastAsia="ＭＳ ゴシック" w:hAnsi="ＭＳ ゴシック" w:hint="eastAsia"/>
          <w:sz w:val="22"/>
          <w:szCs w:val="22"/>
          <w:u w:val="single"/>
        </w:rPr>
        <w:t xml:space="preserve">　派遣部隊の誘導等</w:t>
      </w:r>
    </w:p>
    <w:p w14:paraId="7E84EE74" w14:textId="73C3EC03" w:rsidR="008B4B2B" w:rsidRPr="001D6D10" w:rsidRDefault="008B4B2B" w:rsidP="008B4B2B">
      <w:pPr>
        <w:pStyle w:val="a0"/>
        <w:ind w:leftChars="400" w:left="844" w:rightChars="26" w:right="55" w:firstLineChars="100" w:firstLine="221"/>
        <w:rPr>
          <w:rFonts w:hAnsi="ＭＳ 明朝"/>
          <w:sz w:val="22"/>
          <w:szCs w:val="22"/>
        </w:rPr>
      </w:pPr>
      <w:r w:rsidRPr="001D6D10">
        <w:rPr>
          <w:rFonts w:hAnsi="ＭＳ 明朝" w:hint="eastAsia"/>
          <w:sz w:val="22"/>
          <w:szCs w:val="22"/>
        </w:rPr>
        <w:t>自衛隊に派遣を要請した場合は、府警察本部警備</w:t>
      </w:r>
      <w:r w:rsidR="006E0CDA" w:rsidRPr="001D6D10">
        <w:rPr>
          <w:rFonts w:hAnsi="ＭＳ 明朝" w:hint="eastAsia"/>
          <w:sz w:val="22"/>
          <w:szCs w:val="22"/>
        </w:rPr>
        <w:t>第二</w:t>
      </w:r>
      <w:r w:rsidRPr="001D6D10">
        <w:rPr>
          <w:rFonts w:hAnsi="ＭＳ 明朝" w:hint="eastAsia"/>
          <w:sz w:val="22"/>
          <w:szCs w:val="22"/>
        </w:rPr>
        <w:t>課（警察班）に連絡するとともに、必要に応じて派遣部隊の誘導を依頼する。</w:t>
      </w:r>
    </w:p>
    <w:p w14:paraId="4CBCD618" w14:textId="77777777" w:rsidR="008B4B2B" w:rsidRPr="001D6D10" w:rsidRDefault="008B4B2B" w:rsidP="008B4B2B">
      <w:pPr>
        <w:pStyle w:val="a0"/>
        <w:rPr>
          <w:rFonts w:hAnsi="ＭＳ 明朝"/>
          <w:sz w:val="22"/>
          <w:szCs w:val="22"/>
        </w:rPr>
      </w:pPr>
    </w:p>
    <w:p w14:paraId="036E3D99" w14:textId="77777777" w:rsidR="008B4B2B" w:rsidRPr="001D6D10" w:rsidRDefault="008B4B2B" w:rsidP="008B4B2B">
      <w:pPr>
        <w:pStyle w:val="a0"/>
        <w:ind w:firstLineChars="200" w:firstLine="442"/>
        <w:rPr>
          <w:rFonts w:ascii="ＭＳ ゴシック" w:eastAsia="ＭＳ ゴシック" w:hAnsi="ＭＳ ゴシック"/>
          <w:sz w:val="22"/>
          <w:szCs w:val="22"/>
          <w:u w:val="single"/>
        </w:rPr>
      </w:pPr>
      <w:r w:rsidRPr="001D6D10">
        <w:rPr>
          <w:rFonts w:hAnsi="ＭＳ 明朝" w:hint="eastAsia"/>
          <w:sz w:val="22"/>
          <w:szCs w:val="22"/>
        </w:rPr>
        <w:t xml:space="preserve">　</w:t>
      </w:r>
      <w:r w:rsidRPr="001D6D10">
        <w:rPr>
          <w:rFonts w:ascii="ＭＳ ゴシック" w:eastAsia="ＭＳ ゴシック" w:hAnsi="ＭＳ ゴシック" w:hint="eastAsia"/>
          <w:sz w:val="22"/>
          <w:szCs w:val="22"/>
          <w:u w:val="single"/>
        </w:rPr>
        <w:t>２　派遣部隊の受入れ体制</w:t>
      </w:r>
    </w:p>
    <w:p w14:paraId="373DD91F" w14:textId="77777777" w:rsidR="008B4B2B" w:rsidRPr="001D6D10" w:rsidRDefault="008B4B2B" w:rsidP="008B4B2B">
      <w:pPr>
        <w:pStyle w:val="a0"/>
        <w:numPr>
          <w:ilvl w:val="0"/>
          <w:numId w:val="1"/>
        </w:numPr>
        <w:rPr>
          <w:rFonts w:hAnsi="ＭＳ 明朝"/>
          <w:sz w:val="22"/>
          <w:szCs w:val="22"/>
        </w:rPr>
      </w:pPr>
      <w:r w:rsidRPr="001D6D10">
        <w:rPr>
          <w:rFonts w:hAnsi="ＭＳ 明朝" w:hint="eastAsia"/>
          <w:sz w:val="22"/>
          <w:szCs w:val="22"/>
        </w:rPr>
        <w:t>連絡所の設置</w:t>
      </w:r>
    </w:p>
    <w:p w14:paraId="5ABF3920" w14:textId="77777777" w:rsidR="008B4B2B" w:rsidRPr="001D6D10" w:rsidRDefault="008B4B2B" w:rsidP="008B4B2B">
      <w:pPr>
        <w:pStyle w:val="a0"/>
        <w:ind w:leftChars="550" w:left="1161" w:firstLineChars="136" w:firstLine="301"/>
        <w:rPr>
          <w:rFonts w:hAnsi="ＭＳ 明朝"/>
          <w:sz w:val="22"/>
          <w:szCs w:val="22"/>
        </w:rPr>
      </w:pPr>
      <w:r w:rsidRPr="001D6D10">
        <w:rPr>
          <w:rFonts w:hAnsi="ＭＳ 明朝" w:hint="eastAsia"/>
          <w:sz w:val="22"/>
          <w:szCs w:val="22"/>
        </w:rPr>
        <w:t>自衛隊の派遣活動を円滑かつ効果的に行うため、災対本部等への自衛隊連絡員の派遣を要請するとともに、災対本部等内に自衛隊連絡所（現地指揮所等）を設置し、情報の交換や調整を図る。</w:t>
      </w:r>
    </w:p>
    <w:p w14:paraId="74FF69AC" w14:textId="77777777" w:rsidR="008B4B2B" w:rsidRPr="001D6D10" w:rsidRDefault="008B4B2B" w:rsidP="008B4B2B">
      <w:pPr>
        <w:pStyle w:val="a0"/>
        <w:ind w:left="1435"/>
        <w:rPr>
          <w:rFonts w:hAnsi="ＭＳ 明朝"/>
          <w:sz w:val="22"/>
          <w:szCs w:val="22"/>
        </w:rPr>
      </w:pPr>
    </w:p>
    <w:p w14:paraId="0585DEA7" w14:textId="6CC916FB" w:rsidR="008B4B2B" w:rsidRPr="001D6D10" w:rsidRDefault="008B4B2B" w:rsidP="008B4B2B">
      <w:pPr>
        <w:pStyle w:val="a0"/>
        <w:numPr>
          <w:ilvl w:val="0"/>
          <w:numId w:val="1"/>
        </w:numPr>
        <w:rPr>
          <w:rFonts w:hAnsi="ＭＳ 明朝"/>
          <w:sz w:val="22"/>
          <w:szCs w:val="22"/>
        </w:rPr>
      </w:pPr>
      <w:r w:rsidRPr="001D6D10">
        <w:rPr>
          <w:rFonts w:hAnsi="ＭＳ 明朝" w:hint="eastAsia"/>
          <w:sz w:val="22"/>
          <w:szCs w:val="22"/>
        </w:rPr>
        <w:t>現地責任者の指名・派遣</w:t>
      </w:r>
    </w:p>
    <w:p w14:paraId="7BBB672F" w14:textId="79BE57F5" w:rsidR="008B4B2B" w:rsidRPr="001D6D10" w:rsidRDefault="008B4B2B" w:rsidP="008B4B2B">
      <w:pPr>
        <w:pStyle w:val="a0"/>
        <w:ind w:leftChars="500" w:left="1055" w:firstLineChars="150" w:firstLine="332"/>
        <w:rPr>
          <w:rFonts w:hAnsi="ＭＳ 明朝"/>
          <w:sz w:val="22"/>
          <w:szCs w:val="22"/>
        </w:rPr>
      </w:pPr>
      <w:r w:rsidRPr="001D6D10">
        <w:rPr>
          <w:rFonts w:hAnsi="ＭＳ 明朝" w:hint="eastAsia"/>
          <w:sz w:val="22"/>
          <w:szCs w:val="22"/>
        </w:rPr>
        <w:t>自衛隊の部隊等と現地での連絡調整のため、現地責任者を指名するとともに、自衛隊の部隊が現地へ到着する前に、派遣部隊と市町村等の受入れ機関との連絡調整を図るため、努めて現地責任者を派遣する。</w:t>
      </w:r>
    </w:p>
    <w:p w14:paraId="5F7270F4" w14:textId="77777777" w:rsidR="008B4B2B" w:rsidRPr="001D6D10" w:rsidRDefault="008B4B2B" w:rsidP="008B4B2B">
      <w:pPr>
        <w:pStyle w:val="a0"/>
        <w:ind w:leftChars="500" w:left="1055" w:firstLineChars="150" w:firstLine="332"/>
        <w:rPr>
          <w:rFonts w:hAnsi="ＭＳ 明朝"/>
          <w:sz w:val="22"/>
          <w:szCs w:val="22"/>
        </w:rPr>
      </w:pPr>
    </w:p>
    <w:p w14:paraId="44643CA6" w14:textId="4306FEDF" w:rsidR="008B4B2B" w:rsidRPr="001D6D10" w:rsidRDefault="008B4B2B" w:rsidP="006D7FE2">
      <w:pPr>
        <w:pStyle w:val="a0"/>
        <w:numPr>
          <w:ilvl w:val="0"/>
          <w:numId w:val="1"/>
        </w:numPr>
        <w:rPr>
          <w:rFonts w:hAnsi="ＭＳ 明朝"/>
          <w:sz w:val="22"/>
          <w:szCs w:val="22"/>
        </w:rPr>
      </w:pPr>
      <w:r w:rsidRPr="001D6D10">
        <w:rPr>
          <w:rFonts w:hAnsi="ＭＳ 明朝" w:hint="eastAsia"/>
          <w:sz w:val="22"/>
          <w:szCs w:val="22"/>
        </w:rPr>
        <w:t>現地責任者の職務</w:t>
      </w:r>
    </w:p>
    <w:p w14:paraId="54777762" w14:textId="6859A6F0" w:rsidR="008B4B2B" w:rsidRPr="001D6D10" w:rsidRDefault="008B4B2B" w:rsidP="008B4B2B">
      <w:pPr>
        <w:pStyle w:val="a0"/>
        <w:ind w:leftChars="574" w:left="1212" w:firstLineChars="100" w:firstLine="221"/>
        <w:rPr>
          <w:rFonts w:hAnsi="ＭＳ 明朝"/>
          <w:sz w:val="22"/>
          <w:szCs w:val="22"/>
        </w:rPr>
      </w:pPr>
      <w:r w:rsidRPr="001D6D10">
        <w:rPr>
          <w:rFonts w:hAnsi="ＭＳ 明朝" w:hint="eastAsia"/>
          <w:sz w:val="22"/>
          <w:szCs w:val="22"/>
        </w:rPr>
        <w:t>現地責任者は、部隊の活動内容及びその必要資機材、隊員の宿舎、燃料、給水、災害時用臨時ヘリポート等の準備その他部隊の受入れ体制について、派遣部隊の指揮官等責任者と市町村等受入れ機関の責任者との連絡調整にあたるとともに、次の事項に変更があった場合、現地の状況を適宜、本部事務局対策班長（災害対策課長）に連絡するものとする。</w:t>
      </w:r>
    </w:p>
    <w:p w14:paraId="062BC498" w14:textId="77777777" w:rsidR="008B4B2B" w:rsidRPr="001D6D10" w:rsidRDefault="008B4B2B" w:rsidP="008B4B2B">
      <w:pPr>
        <w:pStyle w:val="a0"/>
        <w:ind w:firstLineChars="500" w:firstLine="1105"/>
        <w:rPr>
          <w:rFonts w:hAnsi="ＭＳ 明朝"/>
          <w:sz w:val="22"/>
          <w:szCs w:val="22"/>
        </w:rPr>
      </w:pPr>
      <w:r w:rsidRPr="001D6D10">
        <w:rPr>
          <w:rFonts w:hAnsi="ＭＳ 明朝" w:hint="eastAsia"/>
          <w:sz w:val="22"/>
          <w:szCs w:val="22"/>
        </w:rPr>
        <w:lastRenderedPageBreak/>
        <w:t>①　派遣部隊の人員数</w:t>
      </w:r>
    </w:p>
    <w:p w14:paraId="5821B476" w14:textId="77777777" w:rsidR="008B4B2B" w:rsidRPr="001D6D10" w:rsidRDefault="008B4B2B" w:rsidP="008B4B2B">
      <w:pPr>
        <w:pStyle w:val="a0"/>
        <w:ind w:firstLineChars="500" w:firstLine="1105"/>
        <w:rPr>
          <w:rFonts w:hAnsi="ＭＳ 明朝"/>
          <w:sz w:val="22"/>
          <w:szCs w:val="22"/>
        </w:rPr>
      </w:pPr>
      <w:r w:rsidRPr="001D6D10">
        <w:rPr>
          <w:rFonts w:hAnsi="ＭＳ 明朝" w:hint="eastAsia"/>
          <w:sz w:val="22"/>
          <w:szCs w:val="22"/>
        </w:rPr>
        <w:t>②　派遣部隊の活動内容及び活動場所</w:t>
      </w:r>
    </w:p>
    <w:p w14:paraId="20150A61" w14:textId="77777777" w:rsidR="008B4B2B" w:rsidRPr="001D6D10" w:rsidRDefault="008B4B2B" w:rsidP="008B4B2B">
      <w:pPr>
        <w:pStyle w:val="a0"/>
        <w:ind w:firstLineChars="500" w:firstLine="1105"/>
        <w:rPr>
          <w:rFonts w:hAnsi="ＭＳ 明朝"/>
          <w:sz w:val="22"/>
          <w:szCs w:val="22"/>
        </w:rPr>
      </w:pPr>
      <w:r w:rsidRPr="001D6D10">
        <w:rPr>
          <w:rFonts w:hAnsi="ＭＳ 明朝" w:hint="eastAsia"/>
          <w:sz w:val="22"/>
          <w:szCs w:val="22"/>
        </w:rPr>
        <w:t>③　今後の作業予定及び作業終了の見込み</w:t>
      </w:r>
    </w:p>
    <w:p w14:paraId="18CD2C39" w14:textId="77777777" w:rsidR="006D7FE2" w:rsidRDefault="006D7FE2" w:rsidP="006D7FE2">
      <w:pPr>
        <w:pStyle w:val="a0"/>
        <w:rPr>
          <w:rFonts w:hAnsi="ＭＳ 明朝"/>
          <w:sz w:val="22"/>
          <w:szCs w:val="22"/>
        </w:rPr>
      </w:pPr>
    </w:p>
    <w:p w14:paraId="12263504" w14:textId="7CCF2844" w:rsidR="006D7FE2" w:rsidRPr="001D6D10" w:rsidRDefault="006D7FE2" w:rsidP="006D7FE2">
      <w:pPr>
        <w:pStyle w:val="a0"/>
        <w:numPr>
          <w:ilvl w:val="0"/>
          <w:numId w:val="1"/>
        </w:numPr>
        <w:rPr>
          <w:rFonts w:hAnsi="ＭＳ 明朝"/>
          <w:sz w:val="22"/>
          <w:szCs w:val="22"/>
        </w:rPr>
      </w:pPr>
      <w:r>
        <w:rPr>
          <w:rFonts w:hAnsi="ＭＳ 明朝" w:hint="eastAsia"/>
          <w:sz w:val="22"/>
          <w:szCs w:val="22"/>
        </w:rPr>
        <w:t>調整要員</w:t>
      </w:r>
      <w:r w:rsidRPr="001D6D10">
        <w:rPr>
          <w:rFonts w:hAnsi="ＭＳ 明朝" w:hint="eastAsia"/>
          <w:sz w:val="22"/>
          <w:szCs w:val="22"/>
        </w:rPr>
        <w:t>の</w:t>
      </w:r>
      <w:r w:rsidR="00D44CD7">
        <w:rPr>
          <w:rFonts w:hAnsi="ＭＳ 明朝" w:hint="eastAsia"/>
          <w:sz w:val="22"/>
          <w:szCs w:val="22"/>
        </w:rPr>
        <w:t>派遣と職務</w:t>
      </w:r>
    </w:p>
    <w:p w14:paraId="5ECC97AB" w14:textId="77777777" w:rsidR="006D7FE2" w:rsidRPr="001D6D10" w:rsidRDefault="006D7FE2" w:rsidP="006D7FE2">
      <w:pPr>
        <w:pStyle w:val="a0"/>
        <w:ind w:leftChars="574" w:left="1212" w:firstLineChars="100" w:firstLine="221"/>
        <w:rPr>
          <w:rFonts w:hAnsi="ＭＳ 明朝"/>
          <w:sz w:val="22"/>
          <w:szCs w:val="22"/>
        </w:rPr>
      </w:pPr>
      <w:r>
        <w:rPr>
          <w:rFonts w:hAnsi="ＭＳ 明朝" w:hint="eastAsia"/>
          <w:sz w:val="22"/>
          <w:szCs w:val="22"/>
        </w:rPr>
        <w:t>災対本部は広域的支援部隊の受入を決定した後に、調整要員を指名して現地（後方支援活動拠点）に派遣する。調整要員は現地責任者の指揮の下、広域的支援部隊との調整業務を行う。</w:t>
      </w:r>
    </w:p>
    <w:p w14:paraId="623BFA36" w14:textId="77777777" w:rsidR="008B4B2B" w:rsidRPr="006D7FE2" w:rsidRDefault="008B4B2B" w:rsidP="008B4B2B">
      <w:pPr>
        <w:pStyle w:val="a0"/>
        <w:rPr>
          <w:rFonts w:hAnsi="ＭＳ 明朝"/>
          <w:sz w:val="22"/>
          <w:szCs w:val="22"/>
        </w:rPr>
      </w:pPr>
    </w:p>
    <w:p w14:paraId="31FAD4B1" w14:textId="77777777" w:rsidR="008B4B2B" w:rsidRPr="001D6D10" w:rsidRDefault="008B4B2B" w:rsidP="00B9457C">
      <w:pPr>
        <w:pStyle w:val="a0"/>
        <w:ind w:firstLineChars="200" w:firstLine="442"/>
        <w:outlineLvl w:val="2"/>
        <w:rPr>
          <w:rFonts w:ascii="ＭＳ ゴシック" w:eastAsia="ＭＳ ゴシック" w:hAnsi="ＭＳ ゴシック"/>
          <w:sz w:val="22"/>
          <w:szCs w:val="22"/>
          <w:u w:val="double"/>
        </w:rPr>
      </w:pPr>
      <w:bookmarkStart w:id="153" w:name="_Toc122436900"/>
      <w:bookmarkStart w:id="154" w:name="_Toc222486583"/>
      <w:bookmarkStart w:id="155" w:name="_Toc242870253"/>
      <w:r w:rsidRPr="001D6D10">
        <w:rPr>
          <w:rFonts w:ascii="ＭＳ ゴシック" w:eastAsia="ＭＳ ゴシック" w:hAnsi="ＭＳ ゴシック" w:hint="eastAsia"/>
          <w:sz w:val="22"/>
          <w:szCs w:val="22"/>
          <w:u w:val="double"/>
        </w:rPr>
        <w:t>第３　派遣部隊の撤収要請</w:t>
      </w:r>
      <w:bookmarkEnd w:id="153"/>
      <w:bookmarkEnd w:id="154"/>
      <w:bookmarkEnd w:id="155"/>
    </w:p>
    <w:p w14:paraId="7EBE536D" w14:textId="77777777" w:rsidR="008B4B2B" w:rsidRPr="001D6D10" w:rsidRDefault="008B4B2B" w:rsidP="008B4B2B">
      <w:pPr>
        <w:ind w:firstLineChars="500" w:firstLine="1105"/>
        <w:rPr>
          <w:rFonts w:ascii="ＭＳ ゴシック" w:eastAsia="ＭＳ ゴシック" w:hAnsi="ＭＳ ゴシック"/>
          <w:sz w:val="22"/>
          <w:szCs w:val="22"/>
        </w:rPr>
      </w:pPr>
      <w:r w:rsidRPr="001D6D10">
        <w:rPr>
          <w:rFonts w:ascii="ＭＳ ゴシック" w:eastAsia="ＭＳ ゴシック" w:hAnsi="ＭＳ ゴシック" w:hint="eastAsia"/>
          <w:sz w:val="22"/>
          <w:szCs w:val="22"/>
          <w:bdr w:val="single" w:sz="4" w:space="0" w:color="auto"/>
        </w:rPr>
        <w:t>主たる担当：危機管理室</w:t>
      </w:r>
    </w:p>
    <w:p w14:paraId="66938796" w14:textId="77777777" w:rsidR="008B4B2B" w:rsidRPr="001D6D10" w:rsidRDefault="008B4B2B" w:rsidP="008B4B2B">
      <w:pPr>
        <w:pStyle w:val="a0"/>
        <w:ind w:leftChars="413" w:left="872" w:firstLineChars="100" w:firstLine="221"/>
        <w:rPr>
          <w:rFonts w:hAnsi="ＭＳ 明朝"/>
          <w:sz w:val="22"/>
          <w:szCs w:val="22"/>
        </w:rPr>
      </w:pPr>
      <w:r w:rsidRPr="001D6D10">
        <w:rPr>
          <w:rFonts w:hAnsi="ＭＳ 明朝" w:hint="eastAsia"/>
          <w:sz w:val="22"/>
          <w:szCs w:val="22"/>
        </w:rPr>
        <w:t>災害派遣の目的を達したときは、速やかに部隊の撤収を要請しなければならない。その方法は、派遣要請の手続きに準ずる。</w:t>
      </w:r>
    </w:p>
    <w:p w14:paraId="44C58399" w14:textId="77777777" w:rsidR="008B4B2B" w:rsidRPr="001D6D10" w:rsidRDefault="008B4B2B" w:rsidP="008B4B2B">
      <w:pPr>
        <w:pStyle w:val="ad"/>
        <w:wordWrap/>
        <w:overflowPunct w:val="0"/>
        <w:spacing w:line="400" w:lineRule="exact"/>
        <w:ind w:left="442" w:hangingChars="200" w:hanging="442"/>
        <w:rPr>
          <w:rFonts w:ascii="ＭＳ ゴシック" w:eastAsia="ＭＳ ゴシック" w:hAnsi="ＭＳ ゴシック"/>
        </w:rPr>
      </w:pPr>
    </w:p>
    <w:p w14:paraId="685652F4" w14:textId="3AC4C93A" w:rsidR="00254093" w:rsidRDefault="00254093">
      <w:pPr>
        <w:widowControl/>
        <w:jc w:val="left"/>
        <w:rPr>
          <w:rFonts w:ascii="ＭＳ ゴシック" w:eastAsia="ＭＳ ゴシック" w:hAnsi="ＭＳ ゴシック" w:cs="ＭＳ 明朝"/>
          <w:kern w:val="0"/>
          <w:sz w:val="22"/>
          <w:szCs w:val="22"/>
        </w:rPr>
      </w:pPr>
      <w:r>
        <w:rPr>
          <w:rFonts w:ascii="ＭＳ ゴシック" w:eastAsia="ＭＳ ゴシック" w:hAnsi="ＭＳ ゴシック"/>
        </w:rPr>
        <w:br w:type="page"/>
      </w:r>
    </w:p>
    <w:p w14:paraId="088D1DC1" w14:textId="53A56324" w:rsidR="008B4B2B" w:rsidRPr="00E0548A" w:rsidRDefault="008B4B2B" w:rsidP="00E0548A">
      <w:pPr>
        <w:pStyle w:val="2"/>
        <w:rPr>
          <w:rFonts w:asciiTheme="majorEastAsia" w:eastAsiaTheme="majorEastAsia" w:hAnsiTheme="majorEastAsia"/>
        </w:rPr>
      </w:pPr>
      <w:bookmarkStart w:id="156" w:name="_Toc122436901"/>
      <w:bookmarkStart w:id="157" w:name="_Toc222486584"/>
      <w:bookmarkStart w:id="158" w:name="_Toc242870254"/>
      <w:r w:rsidRPr="00E0548A">
        <w:rPr>
          <w:rFonts w:asciiTheme="majorEastAsia" w:eastAsiaTheme="majorEastAsia" w:hAnsiTheme="majorEastAsia" w:hint="eastAsia"/>
          <w:szCs w:val="28"/>
        </w:rPr>
        <w:lastRenderedPageBreak/>
        <w:t>第３節　府内消防の相互応援及び緊急消防援助隊の派遣要請等</w:t>
      </w:r>
      <w:bookmarkEnd w:id="156"/>
      <w:bookmarkEnd w:id="157"/>
      <w:bookmarkEnd w:id="158"/>
    </w:p>
    <w:p w14:paraId="28BB21B3" w14:textId="3634E71F" w:rsidR="008B4B2B" w:rsidRPr="001D6D10" w:rsidRDefault="008B4B2B" w:rsidP="00E0548A">
      <w:pPr>
        <w:pStyle w:val="3"/>
        <w:ind w:firstLine="442"/>
      </w:pPr>
      <w:bookmarkStart w:id="159" w:name="_Toc122436902"/>
      <w:bookmarkStart w:id="160" w:name="_Toc222486585"/>
      <w:bookmarkStart w:id="161" w:name="_Toc242870255"/>
      <w:r w:rsidRPr="001D6D10">
        <w:rPr>
          <w:rFonts w:hint="eastAsia"/>
        </w:rPr>
        <w:t>第１　府内消防の相互応援</w:t>
      </w:r>
      <w:r w:rsidRPr="001D6D10">
        <w:rPr>
          <w:rFonts w:hint="eastAsia"/>
          <w:shd w:val="pct15" w:color="auto" w:fill="FFFFFF"/>
        </w:rPr>
        <w:t>【第１フェーズ】</w:t>
      </w:r>
      <w:bookmarkEnd w:id="159"/>
      <w:bookmarkEnd w:id="160"/>
      <w:bookmarkEnd w:id="161"/>
    </w:p>
    <w:p w14:paraId="2E08866D" w14:textId="77777777" w:rsidR="008B4B2B" w:rsidRPr="001D6D10" w:rsidRDefault="008B4B2B" w:rsidP="008B4B2B">
      <w:pPr>
        <w:ind w:firstLineChars="500" w:firstLine="1105"/>
        <w:rPr>
          <w:rFonts w:ascii="ＭＳ 明朝" w:hAnsi="ＭＳ 明朝"/>
          <w:sz w:val="22"/>
          <w:szCs w:val="22"/>
        </w:rPr>
      </w:pPr>
      <w:r w:rsidRPr="001D6D10">
        <w:rPr>
          <w:rFonts w:ascii="ＭＳ ゴシック" w:eastAsia="ＭＳ ゴシック" w:hAnsi="ＭＳ ゴシック" w:hint="eastAsia"/>
          <w:sz w:val="22"/>
          <w:szCs w:val="22"/>
          <w:bdr w:val="single" w:sz="4" w:space="0" w:color="auto"/>
        </w:rPr>
        <w:t>主たる担当：危機管理室</w:t>
      </w:r>
    </w:p>
    <w:p w14:paraId="1819D87F" w14:textId="77777777" w:rsidR="008B4B2B" w:rsidRPr="001D6D10" w:rsidRDefault="008B4B2B" w:rsidP="008B4B2B">
      <w:pPr>
        <w:ind w:leftChars="100" w:left="874" w:hangingChars="300" w:hanging="663"/>
        <w:rPr>
          <w:rFonts w:ascii="ＭＳ 明朝" w:hAnsi="ＭＳ 明朝"/>
          <w:sz w:val="22"/>
          <w:szCs w:val="22"/>
        </w:rPr>
      </w:pPr>
      <w:r w:rsidRPr="001D6D10">
        <w:rPr>
          <w:rFonts w:ascii="ＭＳ ゴシック" w:eastAsia="ＭＳ ゴシック" w:hAnsi="ＭＳ ゴシック" w:hint="eastAsia"/>
          <w:sz w:val="22"/>
          <w:szCs w:val="22"/>
        </w:rPr>
        <w:t xml:space="preserve">　　　　</w:t>
      </w:r>
      <w:r w:rsidRPr="001D6D10">
        <w:rPr>
          <w:rFonts w:ascii="ＭＳ 明朝" w:hAnsi="ＭＳ 明朝" w:hint="eastAsia"/>
          <w:sz w:val="22"/>
          <w:szCs w:val="22"/>
        </w:rPr>
        <w:t>大阪府内において大規模な災害等の発生によって、広域的な消防部隊の応援要請（府内消防間）を行う必要が生じた場合、「大阪府下広域消防相互応援協定」に基づく「府下広域災害応援マニュアル」により、応援要請、広域消防部隊の派遣及び消防部隊の運用を円滑かつ迅速に行う。</w:t>
      </w:r>
    </w:p>
    <w:p w14:paraId="32932BE5" w14:textId="77777777" w:rsidR="008B4B2B" w:rsidRPr="001D6D10" w:rsidRDefault="008B4B2B" w:rsidP="008B4B2B">
      <w:pPr>
        <w:ind w:leftChars="400" w:left="844" w:firstLineChars="100" w:firstLine="221"/>
        <w:rPr>
          <w:rFonts w:ascii="ＭＳ 明朝" w:hAnsi="ＭＳ 明朝"/>
          <w:sz w:val="22"/>
          <w:szCs w:val="22"/>
        </w:rPr>
      </w:pPr>
      <w:r w:rsidRPr="001D6D10">
        <w:rPr>
          <w:rFonts w:ascii="ＭＳ 明朝" w:hAnsi="ＭＳ 明朝" w:hint="eastAsia"/>
          <w:sz w:val="22"/>
          <w:szCs w:val="22"/>
        </w:rPr>
        <w:t>なお、大規模な災害等に対して、迅速かつ適正で効果的な消防応援活動を実施するには、早期に情報を入手することが必要不可欠なことから、代表消防本部（大阪市消防局）へ情報連絡員を派遣できるものとする。</w:t>
      </w:r>
    </w:p>
    <w:p w14:paraId="5307CD07" w14:textId="77777777" w:rsidR="008B4B2B" w:rsidRPr="001D6D10" w:rsidRDefault="008B4B2B" w:rsidP="008B4B2B">
      <w:pPr>
        <w:ind w:leftChars="105" w:left="885" w:hangingChars="300" w:hanging="663"/>
        <w:rPr>
          <w:rFonts w:ascii="ＭＳ ゴシック" w:eastAsia="ＭＳ ゴシック" w:hAnsi="ＭＳ ゴシック"/>
          <w:sz w:val="22"/>
          <w:szCs w:val="22"/>
        </w:rPr>
      </w:pPr>
      <w:r w:rsidRPr="001D6D10">
        <w:rPr>
          <w:rFonts w:ascii="ＭＳ ゴシック" w:eastAsia="ＭＳ ゴシック" w:hAnsi="ＭＳ ゴシック" w:hint="eastAsia"/>
          <w:noProof/>
          <w:sz w:val="22"/>
          <w:szCs w:val="22"/>
        </w:rPr>
        <mc:AlternateContent>
          <mc:Choice Requires="wps">
            <w:drawing>
              <wp:anchor distT="0" distB="0" distL="114300" distR="114300" simplePos="0" relativeHeight="253030400" behindDoc="0" locked="0" layoutInCell="1" allowOverlap="1" wp14:anchorId="4D61DB7D" wp14:editId="050C5E44">
                <wp:simplePos x="0" y="0"/>
                <wp:positionH relativeFrom="column">
                  <wp:posOffset>-78806</wp:posOffset>
                </wp:positionH>
                <wp:positionV relativeFrom="paragraph">
                  <wp:posOffset>48698</wp:posOffset>
                </wp:positionV>
                <wp:extent cx="5943600" cy="6032938"/>
                <wp:effectExtent l="0" t="0" r="19050" b="25400"/>
                <wp:wrapNone/>
                <wp:docPr id="4262" name="Text Box 220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43600" cy="6032938"/>
                        </a:xfrm>
                        <a:prstGeom prst="rect">
                          <a:avLst/>
                        </a:prstGeom>
                        <a:solidFill>
                          <a:srgbClr val="FFFFFF"/>
                        </a:solidFill>
                        <a:ln w="9525">
                          <a:solidFill>
                            <a:srgbClr val="000000"/>
                          </a:solidFill>
                          <a:miter lim="800000"/>
                          <a:headEnd/>
                          <a:tailEnd/>
                        </a:ln>
                      </wps:spPr>
                      <wps:txbx>
                        <w:txbxContent>
                          <w:p w14:paraId="4838B6F1" w14:textId="77777777" w:rsidR="006A5267" w:rsidRPr="00C614F4" w:rsidRDefault="006A5267" w:rsidP="008B4B2B"/>
                          <w:p w14:paraId="42CF11DE" w14:textId="77777777" w:rsidR="006A5267" w:rsidRPr="00C614F4" w:rsidRDefault="006A5267" w:rsidP="008B4B2B">
                            <w:pPr>
                              <w:rPr>
                                <w:rFonts w:ascii="ＭＳ ゴシック" w:eastAsia="ＭＳ ゴシック" w:hAnsi="ＭＳ ゴシック"/>
                              </w:rPr>
                            </w:pPr>
                            <w:r w:rsidRPr="00C614F4">
                              <w:rPr>
                                <w:rFonts w:ascii="ＭＳ ゴシック" w:eastAsia="ＭＳ ゴシック" w:hAnsi="ＭＳ ゴシック" w:hint="eastAsia"/>
                              </w:rPr>
                              <w:t>（根拠法令）消防組織法第39条</w:t>
                            </w:r>
                          </w:p>
                          <w:p w14:paraId="1CED5515" w14:textId="77777777" w:rsidR="006A5267" w:rsidRPr="00C614F4" w:rsidRDefault="006A5267" w:rsidP="008B4B2B">
                            <w:pPr>
                              <w:jc w:val="center"/>
                              <w:rPr>
                                <w:rFonts w:ascii="ＭＳ ゴシック" w:eastAsia="ＭＳ ゴシック" w:hAnsi="ＭＳ ゴシック"/>
                                <w:sz w:val="22"/>
                                <w:szCs w:val="22"/>
                              </w:rPr>
                            </w:pPr>
                          </w:p>
                          <w:p w14:paraId="57E5BB87" w14:textId="77777777" w:rsidR="006A5267" w:rsidRPr="00C614F4" w:rsidRDefault="006A5267" w:rsidP="008B4B2B">
                            <w:pPr>
                              <w:rPr>
                                <w:rFonts w:ascii="ＭＳ ゴシック" w:eastAsia="ＭＳ ゴシック" w:hAnsi="ＭＳ ゴシック"/>
                                <w:sz w:val="22"/>
                                <w:szCs w:val="22"/>
                              </w:rPr>
                            </w:pPr>
                          </w:p>
                          <w:p w14:paraId="23580D06" w14:textId="77777777" w:rsidR="006A5267" w:rsidRPr="00C614F4" w:rsidRDefault="006A5267" w:rsidP="008B4B2B">
                            <w:pPr>
                              <w:rPr>
                                <w:rFonts w:ascii="ＭＳ ゴシック" w:eastAsia="ＭＳ ゴシック" w:hAnsi="ＭＳ ゴシック"/>
                                <w:sz w:val="22"/>
                                <w:szCs w:val="22"/>
                              </w:rPr>
                            </w:pPr>
                          </w:p>
                          <w:p w14:paraId="03F87700" w14:textId="77777777" w:rsidR="006A5267" w:rsidRPr="00C614F4" w:rsidRDefault="006A5267" w:rsidP="008B4B2B">
                            <w:pPr>
                              <w:rPr>
                                <w:rFonts w:ascii="ＭＳ ゴシック" w:eastAsia="ＭＳ ゴシック" w:hAnsi="ＭＳ ゴシック"/>
                                <w:sz w:val="22"/>
                                <w:szCs w:val="22"/>
                              </w:rPr>
                            </w:pPr>
                          </w:p>
                          <w:p w14:paraId="6DF9E9FA" w14:textId="77777777" w:rsidR="006A5267" w:rsidRPr="00C614F4" w:rsidRDefault="006A5267" w:rsidP="008B4B2B">
                            <w:pPr>
                              <w:rPr>
                                <w:rFonts w:ascii="ＭＳ ゴシック" w:eastAsia="ＭＳ ゴシック" w:hAnsi="ＭＳ ゴシック"/>
                                <w:sz w:val="22"/>
                                <w:szCs w:val="22"/>
                              </w:rPr>
                            </w:pPr>
                          </w:p>
                          <w:p w14:paraId="279217C1" w14:textId="77777777" w:rsidR="006A5267" w:rsidRPr="00C614F4" w:rsidRDefault="006A5267" w:rsidP="008B4B2B">
                            <w:pPr>
                              <w:rPr>
                                <w:rFonts w:ascii="ＭＳ ゴシック" w:eastAsia="ＭＳ ゴシック" w:hAnsi="ＭＳ ゴシック"/>
                                <w:sz w:val="22"/>
                                <w:szCs w:val="22"/>
                              </w:rPr>
                            </w:pPr>
                          </w:p>
                          <w:p w14:paraId="2AA60B60" w14:textId="77777777" w:rsidR="006A5267" w:rsidRPr="00C614F4" w:rsidRDefault="006A5267" w:rsidP="008B4B2B">
                            <w:pPr>
                              <w:rPr>
                                <w:rFonts w:ascii="ＭＳ ゴシック" w:eastAsia="ＭＳ ゴシック" w:hAnsi="ＭＳ ゴシック"/>
                                <w:sz w:val="22"/>
                                <w:szCs w:val="22"/>
                              </w:rPr>
                            </w:pPr>
                          </w:p>
                          <w:p w14:paraId="3F0F278F" w14:textId="77777777" w:rsidR="006A5267" w:rsidRPr="00C614F4" w:rsidRDefault="006A5267" w:rsidP="008B4B2B">
                            <w:pPr>
                              <w:rPr>
                                <w:rFonts w:ascii="ＭＳ ゴシック" w:eastAsia="ＭＳ ゴシック" w:hAnsi="ＭＳ ゴシック"/>
                                <w:sz w:val="22"/>
                                <w:szCs w:val="22"/>
                              </w:rPr>
                            </w:pPr>
                          </w:p>
                          <w:p w14:paraId="436D6FF1" w14:textId="77777777" w:rsidR="006A5267" w:rsidRPr="00C614F4" w:rsidRDefault="006A5267" w:rsidP="008B4B2B">
                            <w:pPr>
                              <w:rPr>
                                <w:rFonts w:ascii="ＭＳ ゴシック" w:eastAsia="ＭＳ ゴシック" w:hAnsi="ＭＳ ゴシック"/>
                                <w:sz w:val="22"/>
                                <w:szCs w:val="22"/>
                              </w:rPr>
                            </w:pP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shape w14:anchorId="4D61DB7D" id="Text Box 2201" o:spid="_x0000_s1253" type="#_x0000_t202" style="position:absolute;left:0;text-align:left;margin-left:-6.2pt;margin-top:3.85pt;width:468pt;height:475.05pt;z-index:2530304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">
                <v:textbox inset="5.85pt,.7pt,5.85pt,.7pt">
                  <w:txbxContent>
                    <w:p w14:paraId="4838B6F1" w14:textId="77777777" w:rsidR="006A5267" w:rsidRPr="00C614F4" w:rsidRDefault="006A5267" w:rsidP="008B4B2B"/>
                    <w:p w14:paraId="42CF11DE" w14:textId="77777777" w:rsidR="006A5267" w:rsidRPr="00C614F4" w:rsidRDefault="006A5267" w:rsidP="008B4B2B">
                      <w:pPr>
                        <w:rPr>
                          <w:rFonts w:ascii="ＭＳ ゴシック" w:eastAsia="ＭＳ ゴシック" w:hAnsi="ＭＳ ゴシック"/>
                        </w:rPr>
                      </w:pPr>
                      <w:r w:rsidRPr="00C614F4">
                        <w:rPr>
                          <w:rFonts w:ascii="ＭＳ ゴシック" w:eastAsia="ＭＳ ゴシック" w:hAnsi="ＭＳ ゴシック" w:hint="eastAsia"/>
                        </w:rPr>
                        <w:t>（根拠法令）消防組織法第39条</w:t>
                      </w:r>
                    </w:p>
                    <w:p w14:paraId="1CED5515" w14:textId="77777777" w:rsidR="006A5267" w:rsidRPr="00C614F4" w:rsidRDefault="006A5267" w:rsidP="008B4B2B">
                      <w:pPr>
                        <w:jc w:val="center"/>
                        <w:rPr>
                          <w:rFonts w:ascii="ＭＳ ゴシック" w:eastAsia="ＭＳ ゴシック" w:hAnsi="ＭＳ ゴシック"/>
                          <w:sz w:val="22"/>
                          <w:szCs w:val="22"/>
                        </w:rPr>
                      </w:pPr>
                    </w:p>
                    <w:p w14:paraId="57E5BB87" w14:textId="77777777" w:rsidR="006A5267" w:rsidRPr="00C614F4" w:rsidRDefault="006A5267" w:rsidP="008B4B2B">
                      <w:pPr>
                        <w:rPr>
                          <w:rFonts w:ascii="ＭＳ ゴシック" w:eastAsia="ＭＳ ゴシック" w:hAnsi="ＭＳ ゴシック"/>
                          <w:sz w:val="22"/>
                          <w:szCs w:val="22"/>
                        </w:rPr>
                      </w:pPr>
                    </w:p>
                    <w:p w14:paraId="23580D06" w14:textId="77777777" w:rsidR="006A5267" w:rsidRPr="00C614F4" w:rsidRDefault="006A5267" w:rsidP="008B4B2B">
                      <w:pPr>
                        <w:rPr>
                          <w:rFonts w:ascii="ＭＳ ゴシック" w:eastAsia="ＭＳ ゴシック" w:hAnsi="ＭＳ ゴシック"/>
                          <w:sz w:val="22"/>
                          <w:szCs w:val="22"/>
                        </w:rPr>
                      </w:pPr>
                    </w:p>
                    <w:p w14:paraId="03F87700" w14:textId="77777777" w:rsidR="006A5267" w:rsidRPr="00C614F4" w:rsidRDefault="006A5267" w:rsidP="008B4B2B">
                      <w:pPr>
                        <w:rPr>
                          <w:rFonts w:ascii="ＭＳ ゴシック" w:eastAsia="ＭＳ ゴシック" w:hAnsi="ＭＳ ゴシック"/>
                          <w:sz w:val="22"/>
                          <w:szCs w:val="22"/>
                        </w:rPr>
                      </w:pPr>
                    </w:p>
                    <w:p w14:paraId="6DF9E9FA" w14:textId="77777777" w:rsidR="006A5267" w:rsidRPr="00C614F4" w:rsidRDefault="006A5267" w:rsidP="008B4B2B">
                      <w:pPr>
                        <w:rPr>
                          <w:rFonts w:ascii="ＭＳ ゴシック" w:eastAsia="ＭＳ ゴシック" w:hAnsi="ＭＳ ゴシック"/>
                          <w:sz w:val="22"/>
                          <w:szCs w:val="22"/>
                        </w:rPr>
                      </w:pPr>
                    </w:p>
                    <w:p w14:paraId="279217C1" w14:textId="77777777" w:rsidR="006A5267" w:rsidRPr="00C614F4" w:rsidRDefault="006A5267" w:rsidP="008B4B2B">
                      <w:pPr>
                        <w:rPr>
                          <w:rFonts w:ascii="ＭＳ ゴシック" w:eastAsia="ＭＳ ゴシック" w:hAnsi="ＭＳ ゴシック"/>
                          <w:sz w:val="22"/>
                          <w:szCs w:val="22"/>
                        </w:rPr>
                      </w:pPr>
                    </w:p>
                    <w:p w14:paraId="2AA60B60" w14:textId="77777777" w:rsidR="006A5267" w:rsidRPr="00C614F4" w:rsidRDefault="006A5267" w:rsidP="008B4B2B">
                      <w:pPr>
                        <w:rPr>
                          <w:rFonts w:ascii="ＭＳ ゴシック" w:eastAsia="ＭＳ ゴシック" w:hAnsi="ＭＳ ゴシック"/>
                          <w:sz w:val="22"/>
                          <w:szCs w:val="22"/>
                        </w:rPr>
                      </w:pPr>
                    </w:p>
                    <w:p w14:paraId="3F0F278F" w14:textId="77777777" w:rsidR="006A5267" w:rsidRPr="00C614F4" w:rsidRDefault="006A5267" w:rsidP="008B4B2B">
                      <w:pPr>
                        <w:rPr>
                          <w:rFonts w:ascii="ＭＳ ゴシック" w:eastAsia="ＭＳ ゴシック" w:hAnsi="ＭＳ ゴシック"/>
                          <w:sz w:val="22"/>
                          <w:szCs w:val="22"/>
                        </w:rPr>
                      </w:pPr>
                    </w:p>
                    <w:p w14:paraId="436D6FF1" w14:textId="77777777" w:rsidR="006A5267" w:rsidRPr="00C614F4" w:rsidRDefault="006A5267" w:rsidP="008B4B2B">
                      <w:pPr>
                        <w:rPr>
                          <w:rFonts w:ascii="ＭＳ ゴシック" w:eastAsia="ＭＳ ゴシック" w:hAnsi="ＭＳ ゴシック"/>
                          <w:sz w:val="22"/>
                          <w:szCs w:val="22"/>
                        </w:rPr>
                      </w:pPr>
                    </w:p>
                  </w:txbxContent>
                </v:textbox>
              </v:shape>
            </w:pict>
          </mc:Fallback>
        </mc:AlternateContent>
      </w:r>
      <w:r w:rsidRPr="001D6D10">
        <w:rPr>
          <w:rFonts w:ascii="ＭＳ ゴシック" w:eastAsia="ＭＳ ゴシック" w:hAnsi="ＭＳ ゴシック" w:hint="eastAsia"/>
          <w:noProof/>
          <w:sz w:val="22"/>
          <w:szCs w:val="22"/>
        </w:rPr>
        <mc:AlternateContent>
          <mc:Choice Requires="wps">
            <w:drawing>
              <wp:anchor distT="0" distB="0" distL="114300" distR="114300" simplePos="0" relativeHeight="253301760" behindDoc="0" locked="0" layoutInCell="1" allowOverlap="1" wp14:anchorId="0B53FB60" wp14:editId="4688FF9D">
                <wp:simplePos x="0" y="0"/>
                <wp:positionH relativeFrom="column">
                  <wp:posOffset>56374</wp:posOffset>
                </wp:positionH>
                <wp:positionV relativeFrom="paragraph">
                  <wp:posOffset>13970</wp:posOffset>
                </wp:positionV>
                <wp:extent cx="2835275" cy="228600"/>
                <wp:effectExtent l="0" t="0" r="22225" b="19050"/>
                <wp:wrapNone/>
                <wp:docPr id="4263" name="Text Box 220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35275" cy="228600"/>
                        </a:xfrm>
                        <a:prstGeom prst="rect">
                          <a:avLst/>
                        </a:prstGeom>
                        <a:solidFill>
                          <a:srgbClr val="FFFFFF"/>
                        </a:solidFill>
                        <a:ln w="9525">
                          <a:solidFill>
                            <a:srgbClr val="000000"/>
                          </a:solidFill>
                          <a:miter lim="800000"/>
                          <a:headEnd/>
                          <a:tailEnd/>
                        </a:ln>
                      </wps:spPr>
                      <wps:txbx>
                        <w:txbxContent>
                          <w:p w14:paraId="4CC517A1" w14:textId="77777777" w:rsidR="006A5267" w:rsidRPr="00C614F4" w:rsidRDefault="006A5267" w:rsidP="008B4B2B">
                            <w:pPr>
                              <w:rPr>
                                <w:rFonts w:ascii="ＭＳ ゴシック" w:eastAsia="ＭＳ ゴシック" w:hAnsi="ＭＳ ゴシック"/>
                                <w:sz w:val="22"/>
                                <w:szCs w:val="22"/>
                              </w:rPr>
                            </w:pPr>
                            <w:r w:rsidRPr="00C614F4">
                              <w:rPr>
                                <w:rFonts w:ascii="ＭＳ ゴシック" w:eastAsia="ＭＳ ゴシック" w:hAnsi="ＭＳ ゴシック" w:hint="eastAsia"/>
                                <w:sz w:val="22"/>
                                <w:szCs w:val="22"/>
                              </w:rPr>
                              <w:t>大阪府下広域消防相互応援の活動フロー</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shape w14:anchorId="0B53FB60" id="Text Box 2206" o:spid="_x0000_s1254" type="#_x0000_t202" style="position:absolute;left:0;text-align:left;margin-left:4.45pt;margin-top:1.1pt;width:223.25pt;height:18pt;z-index:2533017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">
                <v:textbox inset="5.85pt,.7pt,5.85pt,.7pt">
                  <w:txbxContent>
                    <w:p w14:paraId="4CC517A1" w14:textId="77777777" w:rsidR="006A5267" w:rsidRPr="00C614F4" w:rsidRDefault="006A5267" w:rsidP="008B4B2B">
                      <w:pPr>
                        <w:rPr>
                          <w:rFonts w:ascii="ＭＳ ゴシック" w:eastAsia="ＭＳ ゴシック" w:hAnsi="ＭＳ ゴシック"/>
                          <w:sz w:val="22"/>
                          <w:szCs w:val="22"/>
                        </w:rPr>
                      </w:pPr>
                      <w:r w:rsidRPr="00C614F4">
                        <w:rPr>
                          <w:rFonts w:ascii="ＭＳ ゴシック" w:eastAsia="ＭＳ ゴシック" w:hAnsi="ＭＳ ゴシック" w:hint="eastAsia"/>
                          <w:sz w:val="22"/>
                          <w:szCs w:val="22"/>
                        </w:rPr>
                        <w:t>大阪府下広域消防相互応援の活動フロー</w:t>
                      </w:r>
                    </w:p>
                  </w:txbxContent>
                </v:textbox>
              </v:shape>
            </w:pict>
          </mc:Fallback>
        </mc:AlternateContent>
      </w:r>
    </w:p>
    <w:p w14:paraId="6D516167" w14:textId="77777777" w:rsidR="008B4B2B" w:rsidRPr="001D6D10" w:rsidRDefault="008B4B2B" w:rsidP="008B4B2B">
      <w:pPr>
        <w:ind w:leftChars="105" w:left="885" w:hangingChars="300" w:hanging="663"/>
        <w:rPr>
          <w:rFonts w:ascii="ＭＳ ゴシック" w:eastAsia="ＭＳ ゴシック" w:hAnsi="ＭＳ ゴシック"/>
          <w:sz w:val="22"/>
          <w:szCs w:val="22"/>
        </w:rPr>
      </w:pPr>
      <w:r w:rsidRPr="001D6D10">
        <w:rPr>
          <w:rFonts w:ascii="ＭＳ ゴシック" w:eastAsia="ＭＳ ゴシック" w:hAnsi="ＭＳ ゴシック" w:hint="eastAsia"/>
          <w:noProof/>
          <w:sz w:val="22"/>
          <w:szCs w:val="22"/>
        </w:rPr>
        <mc:AlternateContent>
          <mc:Choice Requires="wps">
            <w:drawing>
              <wp:anchor distT="0" distB="0" distL="114300" distR="114300" simplePos="0" relativeHeight="253045760" behindDoc="0" locked="0" layoutInCell="1" allowOverlap="1" wp14:anchorId="21B9B349" wp14:editId="10C30A9F">
                <wp:simplePos x="0" y="0"/>
                <wp:positionH relativeFrom="column">
                  <wp:posOffset>2009775</wp:posOffset>
                </wp:positionH>
                <wp:positionV relativeFrom="paragraph">
                  <wp:posOffset>0</wp:posOffset>
                </wp:positionV>
                <wp:extent cx="2628900" cy="628650"/>
                <wp:effectExtent l="57150" t="19050" r="76200" b="9525"/>
                <wp:wrapNone/>
                <wp:docPr id="4261" name="AutoShape 222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628900" cy="628650"/>
                        </a:xfrm>
                        <a:prstGeom prst="irregularSeal1">
                          <a:avLst/>
                        </a:prstGeom>
                        <a:solidFill>
                          <a:srgbClr val="FFFFFF"/>
                        </a:solidFill>
                        <a:ln w="9525">
                          <a:solidFill>
                            <a:srgbClr val="000000"/>
                          </a:solidFill>
                          <a:miter lim="800000"/>
                          <a:headEnd/>
                          <a:tailEnd/>
                        </a:ln>
                      </wps:spPr>
                      <wps:txbx>
                        <w:txbxContent>
                          <w:p w14:paraId="683E5397" w14:textId="77777777" w:rsidR="006A5267" w:rsidRPr="00C614F4" w:rsidRDefault="006A5267" w:rsidP="008B4B2B">
                            <w:pPr>
                              <w:jc w:val="center"/>
                              <w:rPr>
                                <w:rFonts w:ascii="ＭＳ ゴシック" w:eastAsia="ＭＳ ゴシック" w:hAnsi="ＭＳ ゴシック"/>
                                <w:b/>
                                <w:sz w:val="24"/>
                              </w:rPr>
                            </w:pPr>
                            <w:r w:rsidRPr="00C614F4">
                              <w:rPr>
                                <w:rFonts w:ascii="ＭＳ ゴシック" w:eastAsia="ＭＳ ゴシック" w:hAnsi="ＭＳ ゴシック" w:hint="eastAsia"/>
                                <w:b/>
                                <w:sz w:val="24"/>
                              </w:rPr>
                              <w:t>災害等発生</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shape w14:anchorId="21B9B349" id="AutoShape 2226" o:spid="_x0000_s1255" type="#_x0000_t71" style="position:absolute;left:0;text-align:left;margin-left:158.25pt;margin-top:0;width:207pt;height:49.5pt;z-index:2530457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">
                <v:textbox inset="5.85pt,.7pt,5.85pt,.7pt">
                  <w:txbxContent>
                    <w:p w14:paraId="683E5397" w14:textId="77777777" w:rsidR="006A5267" w:rsidRPr="00C614F4" w:rsidRDefault="006A5267" w:rsidP="008B4B2B">
                      <w:pPr>
                        <w:jc w:val="center"/>
                        <w:rPr>
                          <w:rFonts w:ascii="ＭＳ ゴシック" w:eastAsia="ＭＳ ゴシック" w:hAnsi="ＭＳ ゴシック"/>
                          <w:b/>
                          <w:sz w:val="24"/>
                        </w:rPr>
                      </w:pPr>
                      <w:r w:rsidRPr="00C614F4">
                        <w:rPr>
                          <w:rFonts w:ascii="ＭＳ ゴシック" w:eastAsia="ＭＳ ゴシック" w:hAnsi="ＭＳ ゴシック" w:hint="eastAsia"/>
                          <w:b/>
                          <w:sz w:val="24"/>
                        </w:rPr>
                        <w:t>災害等発生</w:t>
                      </w:r>
                    </w:p>
                  </w:txbxContent>
                </v:textbox>
              </v:shape>
            </w:pict>
          </mc:Fallback>
        </mc:AlternateContent>
      </w:r>
    </w:p>
    <w:p w14:paraId="6612A0C8" w14:textId="77777777" w:rsidR="008B4B2B" w:rsidRPr="001D6D10" w:rsidRDefault="008B4B2B" w:rsidP="008B4B2B">
      <w:pPr>
        <w:ind w:leftChars="105" w:left="885" w:hangingChars="300" w:hanging="663"/>
        <w:rPr>
          <w:rFonts w:ascii="ＭＳ ゴシック" w:eastAsia="ＭＳ ゴシック" w:hAnsi="ＭＳ ゴシック"/>
          <w:sz w:val="22"/>
          <w:szCs w:val="22"/>
        </w:rPr>
      </w:pPr>
    </w:p>
    <w:p w14:paraId="73AEF5F0" w14:textId="77777777" w:rsidR="008B4B2B" w:rsidRPr="001D6D10" w:rsidRDefault="008B4B2B" w:rsidP="008B4B2B">
      <w:pPr>
        <w:ind w:leftChars="105" w:left="885" w:hangingChars="300" w:hanging="663"/>
        <w:rPr>
          <w:rFonts w:ascii="ＭＳ ゴシック" w:eastAsia="ＭＳ ゴシック" w:hAnsi="ＭＳ ゴシック"/>
          <w:sz w:val="22"/>
          <w:szCs w:val="22"/>
        </w:rPr>
      </w:pPr>
    </w:p>
    <w:p w14:paraId="1A1DFDDD" w14:textId="77777777" w:rsidR="008B4B2B" w:rsidRPr="001D6D10" w:rsidRDefault="008B4B2B" w:rsidP="008B4B2B">
      <w:pPr>
        <w:ind w:leftChars="105" w:left="885" w:hangingChars="300" w:hanging="663"/>
        <w:rPr>
          <w:rFonts w:ascii="ＭＳ ゴシック" w:eastAsia="ＭＳ ゴシック" w:hAnsi="ＭＳ ゴシック"/>
          <w:sz w:val="22"/>
          <w:szCs w:val="22"/>
        </w:rPr>
      </w:pPr>
      <w:r w:rsidRPr="001D6D10">
        <w:rPr>
          <w:rFonts w:ascii="ＭＳ ゴシック" w:eastAsia="ＭＳ ゴシック" w:hAnsi="ＭＳ ゴシック" w:hint="eastAsia"/>
          <w:noProof/>
          <w:sz w:val="22"/>
          <w:szCs w:val="22"/>
        </w:rPr>
        <mc:AlternateContent>
          <mc:Choice Requires="wps">
            <w:drawing>
              <wp:anchor distT="0" distB="0" distL="114300" distR="114300" simplePos="0" relativeHeight="253043712" behindDoc="0" locked="0" layoutInCell="1" allowOverlap="1" wp14:anchorId="18FDA722" wp14:editId="257B2E69">
                <wp:simplePos x="0" y="0"/>
                <wp:positionH relativeFrom="column">
                  <wp:posOffset>299720</wp:posOffset>
                </wp:positionH>
                <wp:positionV relativeFrom="paragraph">
                  <wp:posOffset>61595</wp:posOffset>
                </wp:positionV>
                <wp:extent cx="5010150" cy="327660"/>
                <wp:effectExtent l="13970" t="13970" r="5080" b="10795"/>
                <wp:wrapNone/>
                <wp:docPr id="4260" name="AutoShape 220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010150" cy="327660"/>
                        </a:xfrm>
                        <a:prstGeom prst="roundRect">
                          <a:avLst>
                            <a:gd name="adj" fmla="val 16667"/>
                          </a:avLst>
                        </a:prstGeom>
                        <a:solidFill>
                          <a:srgbClr val="FFFFFF"/>
                        </a:solidFill>
                        <a:ln w="9525">
                          <a:solidFill>
                            <a:srgbClr val="000000"/>
                          </a:solidFill>
                          <a:round/>
                          <a:headEnd/>
                          <a:tailEnd/>
                        </a:ln>
                      </wps:spPr>
                      <wps:txbx>
                        <w:txbxContent>
                          <w:p w14:paraId="04A4D81B" w14:textId="77777777" w:rsidR="006A5267" w:rsidRPr="00C614F4" w:rsidRDefault="006A5267" w:rsidP="008B4B2B">
                            <w:pPr>
                              <w:jc w:val="distribute"/>
                              <w:rPr>
                                <w:rFonts w:ascii="ＭＳ ゴシック" w:eastAsia="ＭＳ ゴシック" w:hAnsi="ＭＳ ゴシック"/>
                              </w:rPr>
                            </w:pPr>
                            <w:r w:rsidRPr="00C614F4">
                              <w:rPr>
                                <w:rFonts w:ascii="ＭＳ ゴシック" w:eastAsia="ＭＳ ゴシック" w:hAnsi="ＭＳ ゴシック" w:hint="eastAsia"/>
                              </w:rPr>
                              <w:t>災害等の発生した地域を管轄する消防本部</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roundrect w14:anchorId="18FDA722" id="AutoShape 2207" o:spid="_x0000_s1256" style="position:absolute;left:0;text-align:left;margin-left:23.6pt;margin-top:4.85pt;width:394.5pt;height:25.8pt;z-index:2530437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">
                <v:textbox inset="5.85pt,.7pt,5.85pt,.7pt">
                  <w:txbxContent>
                    <w:p w14:paraId="04A4D81B" w14:textId="77777777" w:rsidR="006A5267" w:rsidRPr="00C614F4" w:rsidRDefault="006A5267" w:rsidP="008B4B2B">
                      <w:pPr>
                        <w:jc w:val="distribute"/>
                        <w:rPr>
                          <w:rFonts w:ascii="ＭＳ ゴシック" w:eastAsia="ＭＳ ゴシック" w:hAnsi="ＭＳ ゴシック"/>
                        </w:rPr>
                      </w:pPr>
                      <w:r w:rsidRPr="00C614F4">
                        <w:rPr>
                          <w:rFonts w:ascii="ＭＳ ゴシック" w:eastAsia="ＭＳ ゴシック" w:hAnsi="ＭＳ ゴシック" w:hint="eastAsia"/>
                        </w:rPr>
                        <w:t>災害等の発生した地域を管轄する消防本部</w:t>
                      </w:r>
                    </w:p>
                  </w:txbxContent>
                </v:textbox>
              </v:roundrect>
            </w:pict>
          </mc:Fallback>
        </mc:AlternateContent>
      </w:r>
    </w:p>
    <w:p w14:paraId="0BA0BC90" w14:textId="77777777" w:rsidR="008B4B2B" w:rsidRPr="001D6D10" w:rsidRDefault="008B4B2B" w:rsidP="008B4B2B">
      <w:pPr>
        <w:ind w:leftChars="105" w:left="885" w:hangingChars="300" w:hanging="663"/>
        <w:rPr>
          <w:rFonts w:ascii="ＭＳ ゴシック" w:eastAsia="ＭＳ ゴシック" w:hAnsi="ＭＳ ゴシック"/>
          <w:sz w:val="22"/>
          <w:szCs w:val="22"/>
        </w:rPr>
      </w:pPr>
      <w:r w:rsidRPr="001D6D10">
        <w:rPr>
          <w:rFonts w:ascii="ＭＳ ゴシック" w:eastAsia="ＭＳ ゴシック" w:hAnsi="ＭＳ ゴシック" w:hint="eastAsia"/>
          <w:noProof/>
          <w:sz w:val="22"/>
          <w:szCs w:val="22"/>
        </w:rPr>
        <mc:AlternateContent>
          <mc:Choice Requires="wps">
            <w:drawing>
              <wp:anchor distT="0" distB="0" distL="114300" distR="114300" simplePos="0" relativeHeight="253292544" behindDoc="0" locked="0" layoutInCell="1" allowOverlap="1" wp14:anchorId="15AAC17A" wp14:editId="01B031EA">
                <wp:simplePos x="0" y="0"/>
                <wp:positionH relativeFrom="column">
                  <wp:posOffset>4230436</wp:posOffset>
                </wp:positionH>
                <wp:positionV relativeFrom="paragraph">
                  <wp:posOffset>168144</wp:posOffset>
                </wp:positionV>
                <wp:extent cx="619125" cy="1891862"/>
                <wp:effectExtent l="19050" t="19050" r="47625" b="13335"/>
                <wp:wrapNone/>
                <wp:docPr id="4258" name="AutoShape 222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19125" cy="1891862"/>
                        </a:xfrm>
                        <a:prstGeom prst="upArrow">
                          <a:avLst>
                            <a:gd name="adj1" fmla="val 50000"/>
                            <a:gd name="adj2" fmla="val 100410"/>
                          </a:avLst>
                        </a:prstGeom>
                        <a:solidFill>
                          <a:srgbClr val="FFFFFF"/>
                        </a:solidFill>
                        <a:ln w="9525">
                          <a:solidFill>
                            <a:srgbClr val="000000"/>
                          </a:solidFill>
                          <a:miter lim="800000"/>
                          <a:headEnd/>
                          <a:tailEnd/>
                        </a:ln>
                      </wps:spPr>
                      <wps:bodyPr rot="0" vert="eaVert"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shapetype w14:anchorId="3FFA27AD" id="_x0000_t68" coordsize="21600,21600" o:spt="68" adj="5400,5400" path="m0@0l@1@0@1,21600@2,21600@2@0,21600@0,10800,xe">
                <v:stroke joinstyle="miter"/>
                <v:formulas>
                  <v:f eqn="val #0"/>
                  <v:f eqn="val #1"/>
                  <v:f eqn="sum 21600 0 #1"/>
                  <v:f eqn="prod #0 #1 10800"/>
                  <v:f eqn="sum #0 0 @3"/>
                </v:formulas>
                <v:path o:connecttype="custom" o:connectlocs="10800,0;0,@0;10800,21600;21600,@0" o:connectangles="270,180,90,0" textboxrect="@1,@4,@2,21600"/>
                <v:handles>
                  <v:h position="#1,#0" xrange="0,10800" yrange="0,21600"/>
                </v:handles>
              </v:shapetype>
              <v:shape id="AutoShape 2221" o:spid="_x0000_s1026" type="#_x0000_t68" style="position:absolute;left:0;text-align:left;margin-left:333.1pt;margin-top:13.25pt;width:48.75pt;height:148.95pt;z-index:2532925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" adj="7098">
                <v:textbox style="layout-flow:vertical-ideographic" inset="5.85pt,.7pt,5.85pt,.7pt"/>
              </v:shape>
            </w:pict>
          </mc:Fallback>
        </mc:AlternateContent>
      </w:r>
      <w:r w:rsidRPr="001D6D10">
        <w:rPr>
          <w:rFonts w:ascii="ＭＳ ゴシック" w:eastAsia="ＭＳ ゴシック" w:hAnsi="ＭＳ ゴシック" w:hint="eastAsia"/>
          <w:noProof/>
          <w:sz w:val="22"/>
          <w:szCs w:val="22"/>
        </w:rPr>
        <mc:AlternateContent>
          <mc:Choice Requires="wps">
            <w:drawing>
              <wp:anchor distT="0" distB="0" distL="114300" distR="114300" simplePos="0" relativeHeight="253296640" behindDoc="0" locked="0" layoutInCell="1" allowOverlap="1" wp14:anchorId="23D23E0A" wp14:editId="5F778139">
                <wp:simplePos x="0" y="0"/>
                <wp:positionH relativeFrom="column">
                  <wp:posOffset>283297</wp:posOffset>
                </wp:positionH>
                <wp:positionV relativeFrom="paragraph">
                  <wp:posOffset>162560</wp:posOffset>
                </wp:positionV>
                <wp:extent cx="666750" cy="923925"/>
                <wp:effectExtent l="4445" t="635" r="0" b="0"/>
                <wp:wrapNone/>
                <wp:docPr id="4257" name="Text Box 222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66750" cy="9239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F2A4925" w14:textId="77777777" w:rsidR="006A5267" w:rsidRPr="00C614F4" w:rsidRDefault="006A5267" w:rsidP="008B4B2B">
                            <w:r>
                              <w:rPr>
                                <w:rFonts w:hint="eastAsia"/>
                                <w:sz w:val="18"/>
                                <w:szCs w:val="18"/>
                              </w:rPr>
                              <w:t>➀</w:t>
                            </w:r>
                            <w:r w:rsidRPr="00C614F4">
                              <w:rPr>
                                <w:rFonts w:hint="eastAsia"/>
                                <w:sz w:val="18"/>
                                <w:szCs w:val="18"/>
                              </w:rPr>
                              <w:t>情報提供</w:t>
                            </w:r>
                          </w:p>
                          <w:p w14:paraId="4444F73E" w14:textId="77777777" w:rsidR="006A5267" w:rsidRPr="00806CAD" w:rsidRDefault="006A5267" w:rsidP="008B4B2B">
                            <w:pPr>
                              <w:ind w:firstLineChars="100" w:firstLine="181"/>
                              <w:rPr>
                                <w:color w:val="FF0000"/>
                              </w:rPr>
                            </w:pPr>
                            <w:r w:rsidRPr="00C614F4">
                              <w:rPr>
                                <w:rFonts w:hint="eastAsia"/>
                                <w:sz w:val="18"/>
                                <w:szCs w:val="18"/>
                              </w:rPr>
                              <w:t>応援要</w:t>
                            </w:r>
                            <w:r w:rsidRPr="00C614F4">
                              <w:rPr>
                                <w:rFonts w:hint="eastAsia"/>
                              </w:rPr>
                              <w:t>請</w:t>
                            </w:r>
                          </w:p>
                        </w:txbxContent>
                      </wps:txbx>
                      <wps:bodyPr rot="0" vert="eaVert"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shape w14:anchorId="23D23E0A" id="Text Box 2227" o:spid="_x0000_s1257" type="#_x0000_t202" style="position:absolute;left:0;text-align:left;margin-left:22.3pt;margin-top:12.8pt;width:52.5pt;height:72.75pt;z-index:2532966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" filled="f" stroked="f">
                <v:textbox style="layout-flow:vertical-ideographic" inset="5.85pt,.7pt,5.85pt,.7pt">
                  <w:txbxContent>
                    <w:p w14:paraId="6F2A4925" w14:textId="77777777" w:rsidR="006A5267" w:rsidRPr="00C614F4" w:rsidRDefault="006A5267" w:rsidP="008B4B2B">
                      <w:r>
                        <w:rPr>
                          <w:rFonts w:hint="eastAsia"/>
                          <w:sz w:val="18"/>
                          <w:szCs w:val="18"/>
                        </w:rPr>
                        <w:t>➀</w:t>
                      </w:r>
                      <w:r w:rsidRPr="00C614F4">
                        <w:rPr>
                          <w:rFonts w:hint="eastAsia"/>
                          <w:sz w:val="18"/>
                          <w:szCs w:val="18"/>
                        </w:rPr>
                        <w:t>情報提供</w:t>
                      </w:r>
                    </w:p>
                    <w:p w14:paraId="4444F73E" w14:textId="77777777" w:rsidR="006A5267" w:rsidRPr="00806CAD" w:rsidRDefault="006A5267" w:rsidP="008B4B2B">
                      <w:pPr>
                        <w:ind w:firstLineChars="100" w:firstLine="181"/>
                        <w:rPr>
                          <w:color w:val="FF0000"/>
                        </w:rPr>
                      </w:pPr>
                      <w:r w:rsidRPr="00C614F4">
                        <w:rPr>
                          <w:rFonts w:hint="eastAsia"/>
                          <w:sz w:val="18"/>
                          <w:szCs w:val="18"/>
                        </w:rPr>
                        <w:t>応援要</w:t>
                      </w:r>
                      <w:r w:rsidRPr="00C614F4">
                        <w:rPr>
                          <w:rFonts w:hint="eastAsia"/>
                        </w:rPr>
                        <w:t>請</w:t>
                      </w:r>
                    </w:p>
                  </w:txbxContent>
                </v:textbox>
              </v:shape>
            </w:pict>
          </mc:Fallback>
        </mc:AlternateContent>
      </w:r>
      <w:r w:rsidRPr="001D6D10">
        <w:rPr>
          <w:rFonts w:ascii="ＭＳ ゴシック" w:eastAsia="ＭＳ ゴシック" w:hAnsi="ＭＳ ゴシック" w:hint="eastAsia"/>
          <w:noProof/>
          <w:sz w:val="22"/>
          <w:szCs w:val="22"/>
        </w:rPr>
        <mc:AlternateContent>
          <mc:Choice Requires="wps">
            <w:drawing>
              <wp:anchor distT="0" distB="0" distL="114300" distR="114300" simplePos="0" relativeHeight="253279232" behindDoc="0" locked="0" layoutInCell="1" allowOverlap="1" wp14:anchorId="26422639" wp14:editId="06A54FCA">
                <wp:simplePos x="0" y="0"/>
                <wp:positionH relativeFrom="column">
                  <wp:posOffset>2990850</wp:posOffset>
                </wp:positionH>
                <wp:positionV relativeFrom="paragraph">
                  <wp:posOffset>217805</wp:posOffset>
                </wp:positionV>
                <wp:extent cx="361950" cy="695325"/>
                <wp:effectExtent l="0" t="0" r="0" b="9525"/>
                <wp:wrapNone/>
                <wp:docPr id="4255" name="Text Box 22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1950" cy="6953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A35367E" w14:textId="77777777" w:rsidR="006A5267" w:rsidRPr="00C614F4" w:rsidRDefault="006A5267" w:rsidP="008B4B2B">
                            <w:pPr>
                              <w:jc w:val="center"/>
                              <w:rPr>
                                <w:rFonts w:ascii="ＭＳ ゴシック" w:eastAsia="ＭＳ ゴシック" w:hAnsi="ＭＳ ゴシック"/>
                                <w:sz w:val="18"/>
                                <w:szCs w:val="18"/>
                              </w:rPr>
                            </w:pPr>
                            <w:r w:rsidRPr="00C614F4">
                              <w:rPr>
                                <w:rFonts w:ascii="ＭＳ ゴシック" w:eastAsia="ＭＳ ゴシック" w:hAnsi="ＭＳ ゴシック" w:hint="eastAsia"/>
                                <w:sz w:val="18"/>
                                <w:szCs w:val="18"/>
                              </w:rPr>
                              <w:t>③応　援</w:t>
                            </w:r>
                          </w:p>
                        </w:txbxContent>
                      </wps:txbx>
                      <wps:bodyPr rot="0" vert="eaVert"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shape w14:anchorId="26422639" id="Text Box 2211" o:spid="_x0000_s1258" type="#_x0000_t202" style="position:absolute;left:0;text-align:left;margin-left:235.5pt;margin-top:17.15pt;width:28.5pt;height:54.75pt;z-index:2532792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" filled="f" stroked="f">
                <v:textbox style="layout-flow:vertical-ideographic" inset="5.85pt,.7pt,5.85pt,.7pt">
                  <w:txbxContent>
                    <w:p w14:paraId="0A35367E" w14:textId="77777777" w:rsidR="006A5267" w:rsidRPr="00C614F4" w:rsidRDefault="006A5267" w:rsidP="008B4B2B">
                      <w:pPr>
                        <w:jc w:val="center"/>
                        <w:rPr>
                          <w:rFonts w:ascii="ＭＳ ゴシック" w:eastAsia="ＭＳ ゴシック" w:hAnsi="ＭＳ ゴシック"/>
                          <w:sz w:val="18"/>
                          <w:szCs w:val="18"/>
                        </w:rPr>
                      </w:pPr>
                      <w:r w:rsidRPr="00C614F4">
                        <w:rPr>
                          <w:rFonts w:ascii="ＭＳ ゴシック" w:eastAsia="ＭＳ ゴシック" w:hAnsi="ＭＳ ゴシック" w:hint="eastAsia"/>
                          <w:sz w:val="18"/>
                          <w:szCs w:val="18"/>
                        </w:rPr>
                        <w:t>③応　援</w:t>
                      </w:r>
                    </w:p>
                  </w:txbxContent>
                </v:textbox>
              </v:shape>
            </w:pict>
          </mc:Fallback>
        </mc:AlternateContent>
      </w:r>
      <w:r w:rsidRPr="001D6D10">
        <w:rPr>
          <w:rFonts w:ascii="ＭＳ ゴシック" w:eastAsia="ＭＳ ゴシック" w:hAnsi="ＭＳ ゴシック" w:hint="eastAsia"/>
          <w:noProof/>
          <w:sz w:val="22"/>
          <w:szCs w:val="22"/>
        </w:rPr>
        <mc:AlternateContent>
          <mc:Choice Requires="wps">
            <w:drawing>
              <wp:anchor distT="0" distB="0" distL="114300" distR="114300" simplePos="0" relativeHeight="253277184" behindDoc="0" locked="0" layoutInCell="1" allowOverlap="1" wp14:anchorId="55F9D658" wp14:editId="0EF2A7F7">
                <wp:simplePos x="0" y="0"/>
                <wp:positionH relativeFrom="column">
                  <wp:posOffset>833120</wp:posOffset>
                </wp:positionH>
                <wp:positionV relativeFrom="paragraph">
                  <wp:posOffset>162560</wp:posOffset>
                </wp:positionV>
                <wp:extent cx="542925" cy="720000"/>
                <wp:effectExtent l="19050" t="0" r="28575" b="42545"/>
                <wp:wrapNone/>
                <wp:docPr id="4259" name="AutoShape 220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42925" cy="720000"/>
                        </a:xfrm>
                        <a:prstGeom prst="downArrow">
                          <a:avLst>
                            <a:gd name="adj1" fmla="val 50000"/>
                            <a:gd name="adj2" fmla="val 41023"/>
                          </a:avLst>
                        </a:prstGeom>
                        <a:solidFill>
                          <a:srgbClr val="FFFFFF"/>
                        </a:solidFill>
                        <a:ln w="9525">
                          <a:solidFill>
                            <a:srgbClr val="000000"/>
                          </a:solidFill>
                          <a:miter lim="800000"/>
                          <a:headEnd/>
                          <a:tailEnd/>
                        </a:ln>
                      </wps:spPr>
                      <wps:bodyPr rot="0" vert="eaVert"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shape w14:anchorId="4FB8A735" id="AutoShape 2208" o:spid="_x0000_s1026" type="#_x0000_t67" style="position:absolute;left:0;text-align:left;margin-left:65.6pt;margin-top:12.8pt;width:42.75pt;height:56.7pt;z-index:2532771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" adj="14918">
                <v:textbox style="layout-flow:vertical-ideographic" inset="5.85pt,.7pt,5.85pt,.7pt"/>
              </v:shape>
            </w:pict>
          </mc:Fallback>
        </mc:AlternateContent>
      </w:r>
      <w:r w:rsidRPr="001D6D10">
        <w:rPr>
          <w:rFonts w:ascii="ＭＳ ゴシック" w:eastAsia="ＭＳ ゴシック" w:hAnsi="ＭＳ ゴシック" w:hint="eastAsia"/>
          <w:noProof/>
          <w:sz w:val="22"/>
          <w:szCs w:val="22"/>
        </w:rPr>
        <mc:AlternateContent>
          <mc:Choice Requires="wps">
            <w:drawing>
              <wp:anchor distT="0" distB="0" distL="114300" distR="114300" simplePos="0" relativeHeight="253280256" behindDoc="0" locked="0" layoutInCell="1" allowOverlap="1" wp14:anchorId="717F8674" wp14:editId="0E226F52">
                <wp:simplePos x="0" y="0"/>
                <wp:positionH relativeFrom="column">
                  <wp:posOffset>2499995</wp:posOffset>
                </wp:positionH>
                <wp:positionV relativeFrom="paragraph">
                  <wp:posOffset>162560</wp:posOffset>
                </wp:positionV>
                <wp:extent cx="514350" cy="720000"/>
                <wp:effectExtent l="19050" t="19050" r="38100" b="23495"/>
                <wp:wrapNone/>
                <wp:docPr id="4256" name="AutoShape 221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14350" cy="720000"/>
                        </a:xfrm>
                        <a:prstGeom prst="upArrow">
                          <a:avLst>
                            <a:gd name="adj1" fmla="val 50000"/>
                            <a:gd name="adj2" fmla="val 42315"/>
                          </a:avLst>
                        </a:prstGeom>
                        <a:solidFill>
                          <a:srgbClr val="FFFFFF"/>
                        </a:solidFill>
                        <a:ln w="9525">
                          <a:solidFill>
                            <a:srgbClr val="000000"/>
                          </a:solidFill>
                          <a:miter lim="800000"/>
                          <a:headEnd/>
                          <a:tailEnd/>
                        </a:ln>
                      </wps:spPr>
                      <wps:bodyPr rot="0" vert="eaVert"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shape w14:anchorId="43717C59" id="AutoShape 2212" o:spid="_x0000_s1026" type="#_x0000_t68" style="position:absolute;left:0;text-align:left;margin-left:196.85pt;margin-top:12.8pt;width:40.5pt;height:56.7pt;z-index:2532802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" adj="6529">
                <v:textbox style="layout-flow:vertical-ideographic" inset="5.85pt,.7pt,5.85pt,.7pt"/>
              </v:shape>
            </w:pict>
          </mc:Fallback>
        </mc:AlternateContent>
      </w:r>
    </w:p>
    <w:p w14:paraId="306E9969" w14:textId="77777777" w:rsidR="008B4B2B" w:rsidRPr="001D6D10" w:rsidRDefault="008B4B2B" w:rsidP="008B4B2B">
      <w:pPr>
        <w:ind w:leftChars="105" w:left="885" w:hangingChars="300" w:hanging="663"/>
        <w:rPr>
          <w:rFonts w:ascii="ＭＳ ゴシック" w:eastAsia="ＭＳ ゴシック" w:hAnsi="ＭＳ ゴシック"/>
          <w:sz w:val="22"/>
          <w:szCs w:val="22"/>
        </w:rPr>
      </w:pPr>
    </w:p>
    <w:p w14:paraId="1E00145C" w14:textId="77777777" w:rsidR="008B4B2B" w:rsidRPr="001D6D10" w:rsidRDefault="008B4B2B" w:rsidP="008B4B2B">
      <w:pPr>
        <w:ind w:leftChars="105" w:left="885" w:hangingChars="300" w:hanging="663"/>
        <w:rPr>
          <w:rFonts w:ascii="ＭＳ ゴシック" w:eastAsia="ＭＳ ゴシック" w:hAnsi="ＭＳ ゴシック"/>
          <w:sz w:val="22"/>
          <w:szCs w:val="22"/>
        </w:rPr>
      </w:pPr>
    </w:p>
    <w:p w14:paraId="0419BE47" w14:textId="77777777" w:rsidR="008B4B2B" w:rsidRPr="001D6D10" w:rsidRDefault="008B4B2B" w:rsidP="008B4B2B">
      <w:pPr>
        <w:ind w:leftChars="105" w:left="885" w:hangingChars="300" w:hanging="663"/>
        <w:rPr>
          <w:rFonts w:ascii="ＭＳ ゴシック" w:eastAsia="ＭＳ ゴシック" w:hAnsi="ＭＳ ゴシック"/>
          <w:sz w:val="22"/>
          <w:szCs w:val="22"/>
        </w:rPr>
      </w:pPr>
    </w:p>
    <w:p w14:paraId="6AA56DC0" w14:textId="77777777" w:rsidR="008B4B2B" w:rsidRPr="001D6D10" w:rsidRDefault="008B4B2B" w:rsidP="008B4B2B">
      <w:pPr>
        <w:ind w:leftChars="105" w:left="885" w:hangingChars="300" w:hanging="663"/>
        <w:rPr>
          <w:rFonts w:ascii="ＭＳ ゴシック" w:eastAsia="ＭＳ ゴシック" w:hAnsi="ＭＳ ゴシック"/>
          <w:sz w:val="22"/>
          <w:szCs w:val="22"/>
        </w:rPr>
      </w:pPr>
      <w:r w:rsidRPr="001D6D10">
        <w:rPr>
          <w:rFonts w:ascii="ＭＳ ゴシック" w:eastAsia="ＭＳ ゴシック" w:hAnsi="ＭＳ ゴシック" w:hint="eastAsia"/>
          <w:noProof/>
          <w:sz w:val="22"/>
          <w:szCs w:val="22"/>
        </w:rPr>
        <mc:AlternateContent>
          <mc:Choice Requires="wps">
            <w:drawing>
              <wp:anchor distT="0" distB="0" distL="114300" distR="114300" simplePos="0" relativeHeight="253041664" behindDoc="0" locked="0" layoutInCell="1" allowOverlap="1" wp14:anchorId="30400572" wp14:editId="5A15664B">
                <wp:simplePos x="0" y="0"/>
                <wp:positionH relativeFrom="column">
                  <wp:posOffset>356870</wp:posOffset>
                </wp:positionH>
                <wp:positionV relativeFrom="paragraph">
                  <wp:posOffset>21590</wp:posOffset>
                </wp:positionV>
                <wp:extent cx="3810000" cy="866775"/>
                <wp:effectExtent l="13970" t="13970" r="5080" b="5080"/>
                <wp:wrapNone/>
                <wp:docPr id="4254" name="AutoShape 220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810000" cy="866775"/>
                        </a:xfrm>
                        <a:prstGeom prst="roundRect">
                          <a:avLst>
                            <a:gd name="adj" fmla="val 16667"/>
                          </a:avLst>
                        </a:prstGeom>
                        <a:solidFill>
                          <a:srgbClr val="FFFFFF"/>
                        </a:solidFill>
                        <a:ln w="9525">
                          <a:solidFill>
                            <a:srgbClr val="000000"/>
                          </a:solidFill>
                          <a:round/>
                          <a:headEnd/>
                          <a:tailEnd/>
                        </a:ln>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roundrect w14:anchorId="6EFD9D90" id="AutoShape 2204" o:spid="_x0000_s1026" style="position:absolute;left:0;text-align:left;margin-left:28.1pt;margin-top:1.7pt;width:300pt;height:68.25pt;z-index:2530416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">
                <v:textbox inset="5.85pt,.7pt,5.85pt,.7pt"/>
              </v:roundrect>
            </w:pict>
          </mc:Fallback>
        </mc:AlternateContent>
      </w:r>
      <w:r w:rsidRPr="001D6D10">
        <w:rPr>
          <w:rFonts w:ascii="ＭＳ ゴシック" w:eastAsia="ＭＳ ゴシック" w:hAnsi="ＭＳ ゴシック" w:hint="eastAsia"/>
          <w:noProof/>
          <w:sz w:val="22"/>
          <w:szCs w:val="22"/>
        </w:rPr>
        <mc:AlternateContent>
          <mc:Choice Requires="wps">
            <w:drawing>
              <wp:anchor distT="0" distB="0" distL="114300" distR="114300" simplePos="0" relativeHeight="253042688" behindDoc="0" locked="0" layoutInCell="1" allowOverlap="1" wp14:anchorId="4831661A" wp14:editId="02022C5B">
                <wp:simplePos x="0" y="0"/>
                <wp:positionH relativeFrom="column">
                  <wp:posOffset>2442845</wp:posOffset>
                </wp:positionH>
                <wp:positionV relativeFrom="paragraph">
                  <wp:posOffset>131445</wp:posOffset>
                </wp:positionV>
                <wp:extent cx="1514475" cy="495300"/>
                <wp:effectExtent l="13970" t="13970" r="5080" b="5080"/>
                <wp:wrapNone/>
                <wp:docPr id="4253" name="AutoShape 220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14475" cy="495300"/>
                        </a:xfrm>
                        <a:prstGeom prst="roundRect">
                          <a:avLst>
                            <a:gd name="adj" fmla="val 16667"/>
                          </a:avLst>
                        </a:prstGeom>
                        <a:solidFill>
                          <a:srgbClr val="FFFFFF"/>
                        </a:solidFill>
                        <a:ln w="9525">
                          <a:solidFill>
                            <a:srgbClr val="000000"/>
                          </a:solidFill>
                          <a:round/>
                          <a:headEnd/>
                          <a:tailEnd/>
                        </a:ln>
                      </wps:spPr>
                      <wps:txbx>
                        <w:txbxContent>
                          <w:p w14:paraId="3E8C1651" w14:textId="77777777" w:rsidR="006A5267" w:rsidRPr="00C614F4" w:rsidRDefault="006A5267" w:rsidP="008B4B2B">
                            <w:pPr>
                              <w:jc w:val="center"/>
                              <w:rPr>
                                <w:rFonts w:ascii="ＭＳ ゴシック" w:eastAsia="ＭＳ ゴシック" w:hAnsi="ＭＳ ゴシック"/>
                              </w:rPr>
                            </w:pPr>
                            <w:r w:rsidRPr="00C614F4">
                              <w:rPr>
                                <w:rFonts w:ascii="ＭＳ ゴシック" w:eastAsia="ＭＳ ゴシック" w:hAnsi="ＭＳ ゴシック" w:hint="eastAsia"/>
                              </w:rPr>
                              <w:t>ブロック内</w:t>
                            </w:r>
                          </w:p>
                          <w:p w14:paraId="1F40F07A" w14:textId="77777777" w:rsidR="006A5267" w:rsidRPr="00C614F4" w:rsidRDefault="006A5267" w:rsidP="008B4B2B">
                            <w:pPr>
                              <w:jc w:val="center"/>
                              <w:rPr>
                                <w:rFonts w:ascii="ＭＳ ゴシック" w:eastAsia="ＭＳ ゴシック" w:hAnsi="ＭＳ ゴシック"/>
                              </w:rPr>
                            </w:pPr>
                            <w:r w:rsidRPr="00C614F4">
                              <w:rPr>
                                <w:rFonts w:ascii="ＭＳ ゴシック" w:eastAsia="ＭＳ ゴシック" w:hAnsi="ＭＳ ゴシック" w:hint="eastAsia"/>
                              </w:rPr>
                              <w:t>消防本部</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roundrect w14:anchorId="4831661A" id="AutoShape 2205" o:spid="_x0000_s1259" style="position:absolute;left:0;text-align:left;margin-left:192.35pt;margin-top:10.35pt;width:119.25pt;height:39pt;z-index:2530426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">
                <v:textbox inset="5.85pt,.7pt,5.85pt,.7pt">
                  <w:txbxContent>
                    <w:p w14:paraId="3E8C1651" w14:textId="77777777" w:rsidR="006A5267" w:rsidRPr="00C614F4" w:rsidRDefault="006A5267" w:rsidP="008B4B2B">
                      <w:pPr>
                        <w:jc w:val="center"/>
                        <w:rPr>
                          <w:rFonts w:ascii="ＭＳ ゴシック" w:eastAsia="ＭＳ ゴシック" w:hAnsi="ＭＳ ゴシック"/>
                        </w:rPr>
                      </w:pPr>
                      <w:r w:rsidRPr="00C614F4">
                        <w:rPr>
                          <w:rFonts w:ascii="ＭＳ ゴシック" w:eastAsia="ＭＳ ゴシック" w:hAnsi="ＭＳ ゴシック" w:hint="eastAsia"/>
                        </w:rPr>
                        <w:t>ブロック内</w:t>
                      </w:r>
                    </w:p>
                    <w:p w14:paraId="1F40F07A" w14:textId="77777777" w:rsidR="006A5267" w:rsidRPr="00C614F4" w:rsidRDefault="006A5267" w:rsidP="008B4B2B">
                      <w:pPr>
                        <w:jc w:val="center"/>
                        <w:rPr>
                          <w:rFonts w:ascii="ＭＳ ゴシック" w:eastAsia="ＭＳ ゴシック" w:hAnsi="ＭＳ ゴシック"/>
                        </w:rPr>
                      </w:pPr>
                      <w:r w:rsidRPr="00C614F4">
                        <w:rPr>
                          <w:rFonts w:ascii="ＭＳ ゴシック" w:eastAsia="ＭＳ ゴシック" w:hAnsi="ＭＳ ゴシック" w:hint="eastAsia"/>
                        </w:rPr>
                        <w:t>消防本部</w:t>
                      </w:r>
                    </w:p>
                  </w:txbxContent>
                </v:textbox>
              </v:roundrect>
            </w:pict>
          </mc:Fallback>
        </mc:AlternateContent>
      </w:r>
      <w:r w:rsidRPr="001D6D10">
        <w:rPr>
          <w:rFonts w:ascii="ＭＳ ゴシック" w:eastAsia="ＭＳ ゴシック" w:hAnsi="ＭＳ ゴシック" w:hint="eastAsia"/>
          <w:noProof/>
          <w:sz w:val="22"/>
          <w:szCs w:val="22"/>
        </w:rPr>
        <mc:AlternateContent>
          <mc:Choice Requires="wps">
            <w:drawing>
              <wp:anchor distT="0" distB="0" distL="114300" distR="114300" simplePos="0" relativeHeight="253046784" behindDoc="0" locked="0" layoutInCell="1" allowOverlap="1" wp14:anchorId="2FB20344" wp14:editId="286C621F">
                <wp:simplePos x="0" y="0"/>
                <wp:positionH relativeFrom="column">
                  <wp:posOffset>1804670</wp:posOffset>
                </wp:positionH>
                <wp:positionV relativeFrom="paragraph">
                  <wp:posOffset>179070</wp:posOffset>
                </wp:positionV>
                <wp:extent cx="638175" cy="371475"/>
                <wp:effectExtent l="13970" t="23495" r="14605" b="5080"/>
                <wp:wrapNone/>
                <wp:docPr id="4252" name="AutoShape 222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38175" cy="371475"/>
                        </a:xfrm>
                        <a:prstGeom prst="rightArrow">
                          <a:avLst>
                            <a:gd name="adj1" fmla="val 50000"/>
                            <a:gd name="adj2" fmla="val 42949"/>
                          </a:avLst>
                        </a:prstGeom>
                        <a:solidFill>
                          <a:srgbClr val="FFFFFF"/>
                        </a:solidFill>
                        <a:ln w="9525">
                          <a:solidFill>
                            <a:srgbClr val="000000"/>
                          </a:solidFill>
                          <a:miter lim="800000"/>
                          <a:headEnd/>
                          <a:tailEnd/>
                        </a:ln>
                      </wps:spPr>
                      <wps:txbx>
                        <w:txbxContent>
                          <w:p w14:paraId="1D7B7903" w14:textId="77777777" w:rsidR="006A5267" w:rsidRPr="005441A8" w:rsidRDefault="006A5267" w:rsidP="008B4B2B">
                            <w:pPr>
                              <w:rPr>
                                <w:rFonts w:ascii="ＭＳ ゴシック" w:eastAsia="ＭＳ ゴシック" w:hAnsi="ＭＳ ゴシック"/>
                                <w:color w:val="FF0000"/>
                                <w:sz w:val="18"/>
                                <w:szCs w:val="18"/>
                              </w:rPr>
                            </w:pP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shapetype w14:anchorId="2FB20344" id="_x0000_t13" coordsize="21600,21600" o:spt="13" adj="16200,5400" path="m@0,l@0@1,0@1,0@2@0@2@0,21600,21600,10800xe">
                <v:stroke joinstyle="miter"/>
                <v:formulas>
                  <v:f eqn="val #0"/>
                  <v:f eqn="val #1"/>
                  <v:f eqn="sum height 0 #1"/>
                  <v:f eqn="sum 10800 0 #1"/>
                  <v:f eqn="sum width 0 #0"/>
                  <v:f eqn="prod @4 @3 10800"/>
                  <v:f eqn="sum width 0 @5"/>
                </v:formulas>
                <v:path o:connecttype="custom" o:connectlocs="@0,0;0,10800;@0,21600;21600,10800" o:connectangles="270,180,90,0" textboxrect="0,@1,@6,@2"/>
                <v:handles>
                  <v:h position="#0,#1" xrange="0,21600" yrange="0,10800"/>
                </v:handles>
              </v:shapetype>
              <v:shape id="AutoShape 2228" o:spid="_x0000_s1260" type="#_x0000_t13" style="position:absolute;left:0;text-align:left;margin-left:142.1pt;margin-top:14.1pt;width:50.25pt;height:29.25pt;z-index:2530467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">
                <v:textbox inset="5.85pt,.7pt,5.85pt,.7pt">
                  <w:txbxContent>
                    <w:p w14:paraId="1D7B7903" w14:textId="77777777" w:rsidR="006A5267" w:rsidRPr="005441A8" w:rsidRDefault="006A5267" w:rsidP="008B4B2B">
                      <w:pPr>
                        <w:rPr>
                          <w:rFonts w:ascii="ＭＳ ゴシック" w:eastAsia="ＭＳ ゴシック" w:hAnsi="ＭＳ ゴシック"/>
                          <w:color w:val="FF0000"/>
                          <w:sz w:val="18"/>
                          <w:szCs w:val="18"/>
                        </w:rPr>
                      </w:pPr>
                    </w:p>
                  </w:txbxContent>
                </v:textbox>
              </v:shape>
            </w:pict>
          </mc:Fallback>
        </mc:AlternateContent>
      </w:r>
      <w:r w:rsidRPr="001D6D10">
        <w:rPr>
          <w:rFonts w:ascii="ＭＳ ゴシック" w:eastAsia="ＭＳ ゴシック" w:hAnsi="ＭＳ ゴシック" w:hint="eastAsia"/>
          <w:noProof/>
          <w:sz w:val="22"/>
          <w:szCs w:val="22"/>
        </w:rPr>
        <mc:AlternateContent>
          <mc:Choice Requires="wps">
            <w:drawing>
              <wp:anchor distT="0" distB="0" distL="114300" distR="114300" simplePos="0" relativeHeight="253044736" behindDoc="0" locked="0" layoutInCell="1" allowOverlap="1" wp14:anchorId="7AA13B89" wp14:editId="60FD088B">
                <wp:simplePos x="0" y="0"/>
                <wp:positionH relativeFrom="column">
                  <wp:posOffset>515620</wp:posOffset>
                </wp:positionH>
                <wp:positionV relativeFrom="paragraph">
                  <wp:posOffset>131445</wp:posOffset>
                </wp:positionV>
                <wp:extent cx="1216025" cy="495300"/>
                <wp:effectExtent l="10795" t="13970" r="11430" b="5080"/>
                <wp:wrapNone/>
                <wp:docPr id="4251" name="AutoShape 220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16025" cy="495300"/>
                        </a:xfrm>
                        <a:prstGeom prst="roundRect">
                          <a:avLst>
                            <a:gd name="adj" fmla="val 16667"/>
                          </a:avLst>
                        </a:prstGeom>
                        <a:solidFill>
                          <a:srgbClr val="FFFFFF"/>
                        </a:solidFill>
                        <a:ln w="9525">
                          <a:solidFill>
                            <a:srgbClr val="000000"/>
                          </a:solidFill>
                          <a:round/>
                          <a:headEnd/>
                          <a:tailEnd/>
                        </a:ln>
                      </wps:spPr>
                      <wps:txbx>
                        <w:txbxContent>
                          <w:p w14:paraId="7980A813" w14:textId="77777777" w:rsidR="006A5267" w:rsidRPr="00C614F4" w:rsidRDefault="006A5267" w:rsidP="008B4B2B">
                            <w:pPr>
                              <w:jc w:val="center"/>
                              <w:rPr>
                                <w:rFonts w:ascii="ＭＳ ゴシック" w:eastAsia="ＭＳ ゴシック" w:hAnsi="ＭＳ ゴシック"/>
                              </w:rPr>
                            </w:pPr>
                            <w:r w:rsidRPr="00C614F4">
                              <w:rPr>
                                <w:rFonts w:ascii="ＭＳ ゴシック" w:eastAsia="ＭＳ ゴシック" w:hAnsi="ＭＳ ゴシック" w:hint="eastAsia"/>
                              </w:rPr>
                              <w:t>ブロック幹事</w:t>
                            </w:r>
                          </w:p>
                          <w:p w14:paraId="57BCE06E" w14:textId="77777777" w:rsidR="006A5267" w:rsidRPr="00C614F4" w:rsidRDefault="006A5267" w:rsidP="008B4B2B">
                            <w:pPr>
                              <w:jc w:val="center"/>
                              <w:rPr>
                                <w:rFonts w:ascii="ＭＳ ゴシック" w:eastAsia="ＭＳ ゴシック" w:hAnsi="ＭＳ ゴシック"/>
                              </w:rPr>
                            </w:pPr>
                            <w:r w:rsidRPr="00C614F4">
                              <w:rPr>
                                <w:rFonts w:ascii="ＭＳ ゴシック" w:eastAsia="ＭＳ ゴシック" w:hAnsi="ＭＳ ゴシック" w:hint="eastAsia"/>
                              </w:rPr>
                              <w:t>消防本部</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roundrect w14:anchorId="7AA13B89" id="AutoShape 2209" o:spid="_x0000_s1261" style="position:absolute;left:0;text-align:left;margin-left:40.6pt;margin-top:10.35pt;width:95.75pt;height:39pt;z-index:2530447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">
                <v:textbox inset="5.85pt,.7pt,5.85pt,.7pt">
                  <w:txbxContent>
                    <w:p w14:paraId="7980A813" w14:textId="77777777" w:rsidR="006A5267" w:rsidRPr="00C614F4" w:rsidRDefault="006A5267" w:rsidP="008B4B2B">
                      <w:pPr>
                        <w:jc w:val="center"/>
                        <w:rPr>
                          <w:rFonts w:ascii="ＭＳ ゴシック" w:eastAsia="ＭＳ ゴシック" w:hAnsi="ＭＳ ゴシック"/>
                        </w:rPr>
                      </w:pPr>
                      <w:r w:rsidRPr="00C614F4">
                        <w:rPr>
                          <w:rFonts w:ascii="ＭＳ ゴシック" w:eastAsia="ＭＳ ゴシック" w:hAnsi="ＭＳ ゴシック" w:hint="eastAsia"/>
                        </w:rPr>
                        <w:t>ブロック幹事</w:t>
                      </w:r>
                    </w:p>
                    <w:p w14:paraId="57BCE06E" w14:textId="77777777" w:rsidR="006A5267" w:rsidRPr="00C614F4" w:rsidRDefault="006A5267" w:rsidP="008B4B2B">
                      <w:pPr>
                        <w:jc w:val="center"/>
                        <w:rPr>
                          <w:rFonts w:ascii="ＭＳ ゴシック" w:eastAsia="ＭＳ ゴシック" w:hAnsi="ＭＳ ゴシック"/>
                        </w:rPr>
                      </w:pPr>
                      <w:r w:rsidRPr="00C614F4">
                        <w:rPr>
                          <w:rFonts w:ascii="ＭＳ ゴシック" w:eastAsia="ＭＳ ゴシック" w:hAnsi="ＭＳ ゴシック" w:hint="eastAsia"/>
                        </w:rPr>
                        <w:t>消防本部</w:t>
                      </w:r>
                    </w:p>
                  </w:txbxContent>
                </v:textbox>
              </v:roundrect>
            </w:pict>
          </mc:Fallback>
        </mc:AlternateContent>
      </w:r>
    </w:p>
    <w:p w14:paraId="67705549" w14:textId="77777777" w:rsidR="008B4B2B" w:rsidRPr="001D6D10" w:rsidRDefault="008B4B2B" w:rsidP="008B4B2B">
      <w:pPr>
        <w:ind w:leftChars="105" w:left="885" w:hangingChars="300" w:hanging="663"/>
        <w:rPr>
          <w:rFonts w:ascii="ＭＳ ゴシック" w:eastAsia="ＭＳ ゴシック" w:hAnsi="ＭＳ ゴシック"/>
          <w:sz w:val="22"/>
          <w:szCs w:val="22"/>
        </w:rPr>
      </w:pPr>
      <w:r w:rsidRPr="001D6D10">
        <w:rPr>
          <w:rFonts w:ascii="ＭＳ ゴシック" w:eastAsia="ＭＳ ゴシック" w:hAnsi="ＭＳ ゴシック" w:hint="eastAsia"/>
          <w:noProof/>
          <w:sz w:val="22"/>
          <w:szCs w:val="22"/>
        </w:rPr>
        <mc:AlternateContent>
          <mc:Choice Requires="wps">
            <w:drawing>
              <wp:anchor distT="0" distB="0" distL="114300" distR="114300" simplePos="0" relativeHeight="253299712" behindDoc="0" locked="0" layoutInCell="1" allowOverlap="1" wp14:anchorId="448DF747" wp14:editId="663D9FB3">
                <wp:simplePos x="0" y="0"/>
                <wp:positionH relativeFrom="column">
                  <wp:posOffset>4624070</wp:posOffset>
                </wp:positionH>
                <wp:positionV relativeFrom="paragraph">
                  <wp:posOffset>156845</wp:posOffset>
                </wp:positionV>
                <wp:extent cx="428625" cy="1104900"/>
                <wp:effectExtent l="4445" t="4445" r="0" b="0"/>
                <wp:wrapNone/>
                <wp:docPr id="4250" name="Text Box 223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28625" cy="11049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50340CC" w14:textId="77777777" w:rsidR="006A5267" w:rsidRPr="00DF55E2" w:rsidRDefault="006A5267" w:rsidP="008B4B2B">
                            <w:pPr>
                              <w:rPr>
                                <w:rFonts w:ascii="ＭＳ ゴシック" w:eastAsia="ＭＳ ゴシック" w:hAnsi="ＭＳ ゴシック"/>
                                <w:sz w:val="18"/>
                                <w:szCs w:val="18"/>
                              </w:rPr>
                            </w:pPr>
                            <w:r w:rsidRPr="00DF55E2">
                              <w:rPr>
                                <w:rFonts w:ascii="ＭＳ ゴシック" w:eastAsia="ＭＳ ゴシック" w:hAnsi="ＭＳ ゴシック" w:hint="eastAsia"/>
                                <w:sz w:val="18"/>
                                <w:szCs w:val="18"/>
                              </w:rPr>
                              <w:t>⑥応　援</w:t>
                            </w:r>
                          </w:p>
                        </w:txbxContent>
                      </wps:txbx>
                      <wps:bodyPr rot="0" vert="eaVert"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shape w14:anchorId="448DF747" id="Text Box 2233" o:spid="_x0000_s1262" type="#_x0000_t202" style="position:absolute;left:0;text-align:left;margin-left:364.1pt;margin-top:12.35pt;width:33.75pt;height:87pt;z-index:2532997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" filled="f" stroked="f">
                <v:textbox style="layout-flow:vertical-ideographic" inset="5.85pt,.7pt,5.85pt,.7pt">
                  <w:txbxContent>
                    <w:p w14:paraId="450340CC" w14:textId="77777777" w:rsidR="006A5267" w:rsidRPr="00DF55E2" w:rsidRDefault="006A5267" w:rsidP="008B4B2B">
                      <w:pPr>
                        <w:rPr>
                          <w:rFonts w:ascii="ＭＳ ゴシック" w:eastAsia="ＭＳ ゴシック" w:hAnsi="ＭＳ ゴシック"/>
                          <w:sz w:val="18"/>
                          <w:szCs w:val="18"/>
                        </w:rPr>
                      </w:pPr>
                      <w:r w:rsidRPr="00DF55E2">
                        <w:rPr>
                          <w:rFonts w:ascii="ＭＳ ゴシック" w:eastAsia="ＭＳ ゴシック" w:hAnsi="ＭＳ ゴシック" w:hint="eastAsia"/>
                          <w:sz w:val="18"/>
                          <w:szCs w:val="18"/>
                        </w:rPr>
                        <w:t>⑥応　援</w:t>
                      </w:r>
                    </w:p>
                  </w:txbxContent>
                </v:textbox>
              </v:shape>
            </w:pict>
          </mc:Fallback>
        </mc:AlternateContent>
      </w:r>
    </w:p>
    <w:p w14:paraId="5B84B8FF" w14:textId="77777777" w:rsidR="008B4B2B" w:rsidRPr="001D6D10" w:rsidRDefault="008B4B2B" w:rsidP="008B4B2B">
      <w:pPr>
        <w:ind w:leftChars="105" w:left="885" w:hangingChars="300" w:hanging="663"/>
        <w:rPr>
          <w:rFonts w:ascii="ＭＳ ゴシック" w:eastAsia="ＭＳ ゴシック" w:hAnsi="ＭＳ ゴシック"/>
          <w:sz w:val="22"/>
          <w:szCs w:val="22"/>
        </w:rPr>
      </w:pPr>
      <w:r w:rsidRPr="001D6D10">
        <w:rPr>
          <w:rFonts w:ascii="ＭＳ ゴシック" w:eastAsia="ＭＳ ゴシック" w:hAnsi="ＭＳ ゴシック" w:hint="eastAsia"/>
          <w:noProof/>
          <w:sz w:val="22"/>
          <w:szCs w:val="22"/>
        </w:rPr>
        <mc:AlternateContent>
          <mc:Choice Requires="wps">
            <w:drawing>
              <wp:anchor distT="0" distB="0" distL="114300" distR="114300" simplePos="0" relativeHeight="253281280" behindDoc="0" locked="0" layoutInCell="1" allowOverlap="1" wp14:anchorId="5C4C822B" wp14:editId="652482BF">
                <wp:simplePos x="0" y="0"/>
                <wp:positionH relativeFrom="column">
                  <wp:posOffset>1631249</wp:posOffset>
                </wp:positionH>
                <wp:positionV relativeFrom="paragraph">
                  <wp:posOffset>19400</wp:posOffset>
                </wp:positionV>
                <wp:extent cx="895350" cy="219075"/>
                <wp:effectExtent l="4445" t="3810" r="0" b="0"/>
                <wp:wrapNone/>
                <wp:docPr id="4249" name="Text Box 221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95350" cy="2190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3EB00D3" w14:textId="77777777" w:rsidR="006A5267" w:rsidRPr="00C614F4" w:rsidRDefault="006A5267" w:rsidP="008B4B2B">
                            <w:pPr>
                              <w:jc w:val="center"/>
                              <w:rPr>
                                <w:rFonts w:ascii="ＭＳ ゴシック" w:eastAsia="ＭＳ ゴシック" w:hAnsi="ＭＳ ゴシック"/>
                                <w:sz w:val="18"/>
                                <w:szCs w:val="18"/>
                              </w:rPr>
                            </w:pPr>
                            <w:r w:rsidRPr="00C614F4">
                              <w:rPr>
                                <w:rFonts w:ascii="ＭＳ ゴシック" w:eastAsia="ＭＳ ゴシック" w:hAnsi="ＭＳ ゴシック" w:hint="eastAsia"/>
                                <w:sz w:val="18"/>
                                <w:szCs w:val="18"/>
                              </w:rPr>
                              <w:t>②応援要請</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shape w14:anchorId="5C4C822B" id="Text Box 2213" o:spid="_x0000_s1263" type="#_x0000_t202" style="position:absolute;left:0;text-align:left;margin-left:128.45pt;margin-top:1.55pt;width:70.5pt;height:17.25pt;z-index:2532812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" filled="f" stroked="f">
                <v:textbox inset="5.85pt,.7pt,5.85pt,.7pt">
                  <w:txbxContent>
                    <w:p w14:paraId="43EB00D3" w14:textId="77777777" w:rsidR="006A5267" w:rsidRPr="00C614F4" w:rsidRDefault="006A5267" w:rsidP="008B4B2B">
                      <w:pPr>
                        <w:jc w:val="center"/>
                        <w:rPr>
                          <w:rFonts w:ascii="ＭＳ ゴシック" w:eastAsia="ＭＳ ゴシック" w:hAnsi="ＭＳ ゴシック"/>
                          <w:sz w:val="18"/>
                          <w:szCs w:val="18"/>
                        </w:rPr>
                      </w:pPr>
                      <w:r w:rsidRPr="00C614F4">
                        <w:rPr>
                          <w:rFonts w:ascii="ＭＳ ゴシック" w:eastAsia="ＭＳ ゴシック" w:hAnsi="ＭＳ ゴシック" w:hint="eastAsia"/>
                          <w:sz w:val="18"/>
                          <w:szCs w:val="18"/>
                        </w:rPr>
                        <w:t>②応援要請</w:t>
                      </w:r>
                    </w:p>
                  </w:txbxContent>
                </v:textbox>
              </v:shape>
            </w:pict>
          </mc:Fallback>
        </mc:AlternateContent>
      </w:r>
    </w:p>
    <w:p w14:paraId="0DB9E28F" w14:textId="77777777" w:rsidR="008B4B2B" w:rsidRPr="001D6D10" w:rsidRDefault="008B4B2B" w:rsidP="008B4B2B">
      <w:pPr>
        <w:ind w:leftChars="105" w:left="885" w:hangingChars="300" w:hanging="663"/>
        <w:rPr>
          <w:rFonts w:ascii="ＭＳ ゴシック" w:eastAsia="ＭＳ ゴシック" w:hAnsi="ＭＳ ゴシック"/>
          <w:sz w:val="22"/>
          <w:szCs w:val="22"/>
        </w:rPr>
      </w:pPr>
      <w:r w:rsidRPr="001D6D10">
        <w:rPr>
          <w:rFonts w:ascii="ＭＳ ゴシック" w:eastAsia="ＭＳ ゴシック" w:hAnsi="ＭＳ ゴシック" w:hint="eastAsia"/>
          <w:noProof/>
          <w:sz w:val="22"/>
          <w:szCs w:val="22"/>
        </w:rPr>
        <mc:AlternateContent>
          <mc:Choice Requires="wps">
            <w:drawing>
              <wp:anchor distT="0" distB="0" distL="114300" distR="114300" simplePos="0" relativeHeight="253278208" behindDoc="0" locked="0" layoutInCell="1" allowOverlap="1" wp14:anchorId="40ADAD46" wp14:editId="44B8C8BB">
                <wp:simplePos x="0" y="0"/>
                <wp:positionH relativeFrom="column">
                  <wp:posOffset>835594</wp:posOffset>
                </wp:positionH>
                <wp:positionV relativeFrom="paragraph">
                  <wp:posOffset>217653</wp:posOffset>
                </wp:positionV>
                <wp:extent cx="609600" cy="420414"/>
                <wp:effectExtent l="38100" t="0" r="57150" b="36830"/>
                <wp:wrapNone/>
                <wp:docPr id="4248" name="AutoShape 221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09600" cy="420414"/>
                        </a:xfrm>
                        <a:prstGeom prst="downArrow">
                          <a:avLst>
                            <a:gd name="adj1" fmla="val 50000"/>
                            <a:gd name="adj2" fmla="val 26224"/>
                          </a:avLst>
                        </a:prstGeom>
                        <a:solidFill>
                          <a:srgbClr val="FFFFFF"/>
                        </a:solidFill>
                        <a:ln w="9525">
                          <a:solidFill>
                            <a:srgbClr val="000000"/>
                          </a:solidFill>
                          <a:miter lim="800000"/>
                          <a:headEnd/>
                          <a:tailEnd/>
                        </a:ln>
                      </wps:spPr>
                      <wps:bodyPr rot="0" vert="eaVert"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shape w14:anchorId="6B498E32" id="AutoShape 2210" o:spid="_x0000_s1026" type="#_x0000_t67" style="position:absolute;left:0;text-align:left;margin-left:65.8pt;margin-top:17.15pt;width:48pt;height:33.1pt;z-index:2532782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" adj="15936">
                <v:textbox style="layout-flow:vertical-ideographic" inset="5.85pt,.7pt,5.85pt,.7pt"/>
              </v:shape>
            </w:pict>
          </mc:Fallback>
        </mc:AlternateContent>
      </w:r>
    </w:p>
    <w:p w14:paraId="2F354C36" w14:textId="77777777" w:rsidR="008B4B2B" w:rsidRPr="001D6D10" w:rsidRDefault="008B4B2B" w:rsidP="008B4B2B">
      <w:pPr>
        <w:ind w:leftChars="105" w:left="885" w:hangingChars="300" w:hanging="663"/>
        <w:rPr>
          <w:rFonts w:ascii="ＭＳ ゴシック" w:eastAsia="ＭＳ ゴシック" w:hAnsi="ＭＳ ゴシック"/>
          <w:sz w:val="22"/>
          <w:szCs w:val="22"/>
        </w:rPr>
      </w:pPr>
      <w:r w:rsidRPr="001D6D10">
        <w:rPr>
          <w:rFonts w:ascii="ＭＳ ゴシック" w:eastAsia="ＭＳ ゴシック" w:hAnsi="ＭＳ ゴシック" w:hint="eastAsia"/>
          <w:noProof/>
          <w:sz w:val="22"/>
          <w:szCs w:val="22"/>
        </w:rPr>
        <mc:AlternateContent>
          <mc:Choice Requires="wps">
            <w:drawing>
              <wp:anchor distT="0" distB="0" distL="114300" distR="114300" simplePos="0" relativeHeight="253282304" behindDoc="0" locked="0" layoutInCell="1" allowOverlap="1" wp14:anchorId="7A613D77" wp14:editId="7FF9849F">
                <wp:simplePos x="0" y="0"/>
                <wp:positionH relativeFrom="column">
                  <wp:posOffset>1311231</wp:posOffset>
                </wp:positionH>
                <wp:positionV relativeFrom="paragraph">
                  <wp:posOffset>16817</wp:posOffset>
                </wp:positionV>
                <wp:extent cx="1682750" cy="465455"/>
                <wp:effectExtent l="4445" t="4445" r="0" b="0"/>
                <wp:wrapNone/>
                <wp:docPr id="4247" name="Text Box 221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82750" cy="4654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843B84E" w14:textId="77777777" w:rsidR="006A5267" w:rsidRPr="00C614F4" w:rsidRDefault="006A5267" w:rsidP="008B4B2B">
                            <w:pPr>
                              <w:spacing w:line="240" w:lineRule="exact"/>
                              <w:rPr>
                                <w:rFonts w:ascii="ＭＳ ゴシック" w:eastAsia="ＭＳ ゴシック" w:hAnsi="ＭＳ ゴシック"/>
                                <w:sz w:val="18"/>
                                <w:szCs w:val="18"/>
                              </w:rPr>
                            </w:pPr>
                            <w:r w:rsidRPr="00C614F4">
                              <w:rPr>
                                <w:rFonts w:ascii="ＭＳ ゴシック" w:eastAsia="ＭＳ ゴシック" w:hAnsi="ＭＳ ゴシック" w:hint="eastAsia"/>
                                <w:sz w:val="18"/>
                                <w:szCs w:val="18"/>
                              </w:rPr>
                              <w:t>④ブロック内で対応</w:t>
                            </w:r>
                          </w:p>
                          <w:p w14:paraId="090265A0" w14:textId="77777777" w:rsidR="006A5267" w:rsidRPr="00C614F4" w:rsidRDefault="006A5267" w:rsidP="008B4B2B">
                            <w:pPr>
                              <w:spacing w:line="240" w:lineRule="exact"/>
                              <w:ind w:firstLineChars="100" w:firstLine="181"/>
                              <w:rPr>
                                <w:rFonts w:ascii="ＭＳ ゴシック" w:eastAsia="ＭＳ ゴシック" w:hAnsi="ＭＳ ゴシック"/>
                                <w:sz w:val="18"/>
                                <w:szCs w:val="18"/>
                              </w:rPr>
                            </w:pPr>
                            <w:r w:rsidRPr="00C614F4">
                              <w:rPr>
                                <w:rFonts w:ascii="ＭＳ ゴシック" w:eastAsia="ＭＳ ゴシック" w:hAnsi="ＭＳ ゴシック" w:hint="eastAsia"/>
                                <w:sz w:val="18"/>
                                <w:szCs w:val="18"/>
                              </w:rPr>
                              <w:t>不可の場合、応援要請</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shape w14:anchorId="7A613D77" id="Text Box 2214" o:spid="_x0000_s1264" type="#_x0000_t202" style="position:absolute;left:0;text-align:left;margin-left:103.25pt;margin-top:1.3pt;width:132.5pt;height:36.65pt;z-index:2532823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" filled="f" stroked="f">
                <v:textbox inset="5.85pt,.7pt,5.85pt,.7pt">
                  <w:txbxContent>
                    <w:p w14:paraId="6843B84E" w14:textId="77777777" w:rsidR="006A5267" w:rsidRPr="00C614F4" w:rsidRDefault="006A5267" w:rsidP="008B4B2B">
                      <w:pPr>
                        <w:spacing w:line="240" w:lineRule="exact"/>
                        <w:rPr>
                          <w:rFonts w:ascii="ＭＳ ゴシック" w:eastAsia="ＭＳ ゴシック" w:hAnsi="ＭＳ ゴシック"/>
                          <w:sz w:val="18"/>
                          <w:szCs w:val="18"/>
                        </w:rPr>
                      </w:pPr>
                      <w:r w:rsidRPr="00C614F4">
                        <w:rPr>
                          <w:rFonts w:ascii="ＭＳ ゴシック" w:eastAsia="ＭＳ ゴシック" w:hAnsi="ＭＳ ゴシック" w:hint="eastAsia"/>
                          <w:sz w:val="18"/>
                          <w:szCs w:val="18"/>
                        </w:rPr>
                        <w:t>④ブロック内で対応</w:t>
                      </w:r>
                    </w:p>
                    <w:p w14:paraId="090265A0" w14:textId="77777777" w:rsidR="006A5267" w:rsidRPr="00C614F4" w:rsidRDefault="006A5267" w:rsidP="008B4B2B">
                      <w:pPr>
                        <w:spacing w:line="240" w:lineRule="exact"/>
                        <w:ind w:firstLineChars="100" w:firstLine="181"/>
                        <w:rPr>
                          <w:rFonts w:ascii="ＭＳ ゴシック" w:eastAsia="ＭＳ ゴシック" w:hAnsi="ＭＳ ゴシック"/>
                          <w:sz w:val="18"/>
                          <w:szCs w:val="18"/>
                        </w:rPr>
                      </w:pPr>
                      <w:r w:rsidRPr="00C614F4">
                        <w:rPr>
                          <w:rFonts w:ascii="ＭＳ ゴシック" w:eastAsia="ＭＳ ゴシック" w:hAnsi="ＭＳ ゴシック" w:hint="eastAsia"/>
                          <w:sz w:val="18"/>
                          <w:szCs w:val="18"/>
                        </w:rPr>
                        <w:t>不可の場合、応援要請</w:t>
                      </w:r>
                    </w:p>
                  </w:txbxContent>
                </v:textbox>
              </v:shape>
            </w:pict>
          </mc:Fallback>
        </mc:AlternateContent>
      </w:r>
    </w:p>
    <w:p w14:paraId="2AB9794D" w14:textId="77777777" w:rsidR="008B4B2B" w:rsidRPr="001D6D10" w:rsidRDefault="008B4B2B" w:rsidP="008B4B2B">
      <w:pPr>
        <w:ind w:leftChars="105" w:left="885" w:hangingChars="300" w:hanging="663"/>
        <w:rPr>
          <w:rFonts w:ascii="ＭＳ ゴシック" w:eastAsia="ＭＳ ゴシック" w:hAnsi="ＭＳ ゴシック"/>
          <w:sz w:val="22"/>
          <w:szCs w:val="22"/>
        </w:rPr>
      </w:pPr>
    </w:p>
    <w:p w14:paraId="286F55F7" w14:textId="77777777" w:rsidR="008B4B2B" w:rsidRPr="001D6D10" w:rsidRDefault="008B4B2B" w:rsidP="008B4B2B">
      <w:pPr>
        <w:ind w:leftChars="105" w:left="885" w:hangingChars="300" w:hanging="663"/>
        <w:rPr>
          <w:rFonts w:ascii="ＭＳ ゴシック" w:eastAsia="ＭＳ ゴシック" w:hAnsi="ＭＳ ゴシック"/>
          <w:sz w:val="22"/>
          <w:szCs w:val="22"/>
        </w:rPr>
      </w:pPr>
      <w:r w:rsidRPr="001D6D10">
        <w:rPr>
          <w:rFonts w:ascii="ＭＳ ゴシック" w:eastAsia="ＭＳ ゴシック" w:hAnsi="ＭＳ ゴシック" w:hint="eastAsia"/>
          <w:noProof/>
          <w:sz w:val="22"/>
          <w:szCs w:val="22"/>
        </w:rPr>
        <mc:AlternateContent>
          <mc:Choice Requires="wps">
            <w:drawing>
              <wp:anchor distT="0" distB="0" distL="114300" distR="114300" simplePos="0" relativeHeight="253276160" behindDoc="0" locked="0" layoutInCell="1" allowOverlap="1" wp14:anchorId="696B1B6F" wp14:editId="2261CE09">
                <wp:simplePos x="0" y="0"/>
                <wp:positionH relativeFrom="column">
                  <wp:posOffset>331098</wp:posOffset>
                </wp:positionH>
                <wp:positionV relativeFrom="paragraph">
                  <wp:posOffset>7642</wp:posOffset>
                </wp:positionV>
                <wp:extent cx="4905375" cy="1355834"/>
                <wp:effectExtent l="0" t="0" r="28575" b="15875"/>
                <wp:wrapNone/>
                <wp:docPr id="4246" name="AutoShape 220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905375" cy="1355834"/>
                        </a:xfrm>
                        <a:prstGeom prst="roundRect">
                          <a:avLst>
                            <a:gd name="adj" fmla="val 16667"/>
                          </a:avLst>
                        </a:prstGeom>
                        <a:solidFill>
                          <a:srgbClr val="FFFFFF"/>
                        </a:solidFill>
                        <a:ln w="9525">
                          <a:solidFill>
                            <a:srgbClr val="000000"/>
                          </a:solidFill>
                          <a:round/>
                          <a:headEnd/>
                          <a:tailEnd/>
                        </a:ln>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roundrect w14:anchorId="07E3A94D" id="AutoShape 2203" o:spid="_x0000_s1026" style="position:absolute;left:0;text-align:left;margin-left:26.05pt;margin-top:.6pt;width:386.25pt;height:106.75pt;z-index:2532761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">
                <v:textbox inset="5.85pt,.7pt,5.85pt,.7pt"/>
              </v:roundrect>
            </w:pict>
          </mc:Fallback>
        </mc:AlternateContent>
      </w:r>
      <w:r w:rsidRPr="001D6D10">
        <w:rPr>
          <w:rFonts w:ascii="ＭＳ ゴシック" w:eastAsia="ＭＳ ゴシック" w:hAnsi="ＭＳ ゴシック" w:hint="eastAsia"/>
          <w:noProof/>
          <w:sz w:val="22"/>
          <w:szCs w:val="22"/>
        </w:rPr>
        <mc:AlternateContent>
          <mc:Choice Requires="wps">
            <w:drawing>
              <wp:anchor distT="0" distB="0" distL="114300" distR="114300" simplePos="0" relativeHeight="253291520" behindDoc="0" locked="0" layoutInCell="1" allowOverlap="1" wp14:anchorId="57516137" wp14:editId="1D29F5EE">
                <wp:simplePos x="0" y="0"/>
                <wp:positionH relativeFrom="column">
                  <wp:posOffset>1970712</wp:posOffset>
                </wp:positionH>
                <wp:positionV relativeFrom="paragraph">
                  <wp:posOffset>133767</wp:posOffset>
                </wp:positionV>
                <wp:extent cx="1317625" cy="430924"/>
                <wp:effectExtent l="0" t="19050" r="34925" b="45720"/>
                <wp:wrapNone/>
                <wp:docPr id="4244" name="AutoShape 222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317625" cy="430924"/>
                        </a:xfrm>
                        <a:prstGeom prst="rightArrow">
                          <a:avLst>
                            <a:gd name="adj1" fmla="val 50000"/>
                            <a:gd name="adj2" fmla="val 60673"/>
                          </a:avLst>
                        </a:prstGeom>
                        <a:solidFill>
                          <a:srgbClr val="FFFFFF"/>
                        </a:solidFill>
                        <a:ln w="9525">
                          <a:solidFill>
                            <a:srgbClr val="000000"/>
                          </a:solidFill>
                          <a:miter lim="800000"/>
                          <a:headEnd/>
                          <a:tailEnd/>
                        </a:ln>
                      </wps:spPr>
                      <wps:txbx>
                        <w:txbxContent>
                          <w:p w14:paraId="1C68E22E" w14:textId="77777777" w:rsidR="006A5267" w:rsidRPr="00C614F4" w:rsidRDefault="006A5267" w:rsidP="008B4B2B">
                            <w:pPr>
                              <w:rPr>
                                <w:rFonts w:ascii="ＭＳ ゴシック" w:eastAsia="ＭＳ ゴシック" w:hAnsi="ＭＳ ゴシック"/>
                                <w:sz w:val="18"/>
                                <w:szCs w:val="18"/>
                              </w:rPr>
                            </w:pPr>
                            <w:r w:rsidRPr="00C614F4">
                              <w:rPr>
                                <w:rFonts w:ascii="ＭＳ ゴシック" w:eastAsia="ＭＳ ゴシック" w:hAnsi="ＭＳ ゴシック" w:hint="eastAsia"/>
                                <w:sz w:val="18"/>
                                <w:szCs w:val="18"/>
                              </w:rPr>
                              <w:t>⑤応援体制決定</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shape w14:anchorId="57516137" id="AutoShape 2220" o:spid="_x0000_s1265" type="#_x0000_t13" style="position:absolute;left:0;text-align:left;margin-left:155.15pt;margin-top:10.55pt;width:103.75pt;height:33.95pt;z-index:2532915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" adj="17314">
                <v:textbox inset="5.85pt,.7pt,5.85pt,.7pt">
                  <w:txbxContent>
                    <w:p w14:paraId="1C68E22E" w14:textId="77777777" w:rsidR="006A5267" w:rsidRPr="00C614F4" w:rsidRDefault="006A5267" w:rsidP="008B4B2B">
                      <w:pPr>
                        <w:rPr>
                          <w:rFonts w:ascii="ＭＳ ゴシック" w:eastAsia="ＭＳ ゴシック" w:hAnsi="ＭＳ ゴシック"/>
                          <w:sz w:val="18"/>
                          <w:szCs w:val="18"/>
                        </w:rPr>
                      </w:pPr>
                      <w:r w:rsidRPr="00C614F4">
                        <w:rPr>
                          <w:rFonts w:ascii="ＭＳ ゴシック" w:eastAsia="ＭＳ ゴシック" w:hAnsi="ＭＳ ゴシック" w:hint="eastAsia"/>
                          <w:sz w:val="18"/>
                          <w:szCs w:val="18"/>
                        </w:rPr>
                        <w:t>⑤応援体制決定</w:t>
                      </w:r>
                    </w:p>
                  </w:txbxContent>
                </v:textbox>
              </v:shape>
            </w:pict>
          </mc:Fallback>
        </mc:AlternateContent>
      </w:r>
      <w:r w:rsidRPr="001D6D10">
        <w:rPr>
          <w:rFonts w:ascii="ＭＳ ゴシック" w:eastAsia="ＭＳ ゴシック" w:hAnsi="ＭＳ ゴシック" w:hint="eastAsia"/>
          <w:noProof/>
          <w:sz w:val="22"/>
          <w:szCs w:val="22"/>
        </w:rPr>
        <mc:AlternateContent>
          <mc:Choice Requires="wps">
            <w:drawing>
              <wp:anchor distT="0" distB="0" distL="114300" distR="114300" simplePos="0" relativeHeight="253294592" behindDoc="0" locked="0" layoutInCell="1" allowOverlap="1" wp14:anchorId="1703BF7B" wp14:editId="6DCC69F3">
                <wp:simplePos x="0" y="0"/>
                <wp:positionH relativeFrom="column">
                  <wp:posOffset>1983105</wp:posOffset>
                </wp:positionH>
                <wp:positionV relativeFrom="paragraph">
                  <wp:posOffset>717550</wp:posOffset>
                </wp:positionV>
                <wp:extent cx="294640" cy="410845"/>
                <wp:effectExtent l="31750" t="11430" r="5080" b="36830"/>
                <wp:wrapNone/>
                <wp:docPr id="4240" name="AutoShape 222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6701530">
                          <a:off x="0" y="0"/>
                          <a:ext cx="294640" cy="410845"/>
                        </a:xfrm>
                        <a:prstGeom prst="upArrow">
                          <a:avLst>
                            <a:gd name="adj1" fmla="val 50000"/>
                            <a:gd name="adj2" fmla="val 34860"/>
                          </a:avLst>
                        </a:prstGeom>
                        <a:solidFill>
                          <a:srgbClr val="FFFFFF"/>
                        </a:solidFill>
                        <a:ln w="9525">
                          <a:solidFill>
                            <a:srgbClr val="000000"/>
                          </a:solidFill>
                          <a:miter lim="800000"/>
                          <a:headEnd/>
                          <a:tailEnd/>
                        </a:ln>
                      </wps:spPr>
                      <wps:txbx>
                        <w:txbxContent>
                          <w:p w14:paraId="35CD4369" w14:textId="77777777" w:rsidR="006A5267" w:rsidRDefault="006A5267" w:rsidP="008B4B2B"/>
                        </w:txbxContent>
                      </wps:txbx>
                      <wps:bodyPr rot="0" vert="eaVert"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shapetype w14:anchorId="1703BF7B" id="_x0000_t68" coordsize="21600,21600" o:spt="68" adj="5400,5400" path="m0@0l@1@0@1,21600@2,21600@2@0,21600@0,10800,xe">
                <v:stroke joinstyle="miter"/>
                <v:formulas>
                  <v:f eqn="val #0"/>
                  <v:f eqn="val #1"/>
                  <v:f eqn="sum 21600 0 #1"/>
                  <v:f eqn="prod #0 #1 10800"/>
                  <v:f eqn="sum #0 0 @3"/>
                </v:formulas>
                <v:path o:connecttype="custom" o:connectlocs="10800,0;0,@0;10800,21600;21600,@0" o:connectangles="270,180,90,0" textboxrect="@1,@4,@2,21600"/>
                <v:handles>
                  <v:h position="#1,#0" xrange="0,10800" yrange="0,21600"/>
                </v:handles>
              </v:shapetype>
              <v:shape id="AutoShape 2224" o:spid="_x0000_s1266" type="#_x0000_t68" style="position:absolute;left:0;text-align:left;margin-left:156.15pt;margin-top:56.5pt;width:23.2pt;height:32.35pt;rotation:7319858fd;z-index:2532945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">
                <v:textbox style="layout-flow:vertical-ideographic" inset="5.85pt,.7pt,5.85pt,.7pt">
                  <w:txbxContent>
                    <w:p w14:paraId="35CD4369" w14:textId="77777777" w:rsidR="006A5267" w:rsidRDefault="006A5267" w:rsidP="008B4B2B"/>
                  </w:txbxContent>
                </v:textbox>
              </v:shape>
            </w:pict>
          </mc:Fallback>
        </mc:AlternateContent>
      </w:r>
      <w:r w:rsidRPr="001D6D10">
        <w:rPr>
          <w:rFonts w:ascii="ＭＳ ゴシック" w:eastAsia="ＭＳ ゴシック" w:hAnsi="ＭＳ ゴシック" w:hint="eastAsia"/>
          <w:noProof/>
          <w:sz w:val="22"/>
          <w:szCs w:val="22"/>
        </w:rPr>
        <mc:AlternateContent>
          <mc:Choice Requires="wps">
            <w:drawing>
              <wp:anchor distT="0" distB="0" distL="114300" distR="114300" simplePos="0" relativeHeight="253284352" behindDoc="0" locked="0" layoutInCell="1" allowOverlap="1" wp14:anchorId="6B230A69" wp14:editId="56097BD9">
                <wp:simplePos x="0" y="0"/>
                <wp:positionH relativeFrom="column">
                  <wp:posOffset>494030</wp:posOffset>
                </wp:positionH>
                <wp:positionV relativeFrom="paragraph">
                  <wp:posOffset>127635</wp:posOffset>
                </wp:positionV>
                <wp:extent cx="1476375" cy="648335"/>
                <wp:effectExtent l="10795" t="6985" r="8255" b="11430"/>
                <wp:wrapNone/>
                <wp:docPr id="4243" name="AutoShape 221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76375" cy="648335"/>
                        </a:xfrm>
                        <a:prstGeom prst="roundRect">
                          <a:avLst>
                            <a:gd name="adj" fmla="val 16667"/>
                          </a:avLst>
                        </a:prstGeom>
                        <a:solidFill>
                          <a:srgbClr val="FFFFFF"/>
                        </a:solidFill>
                        <a:ln w="9525">
                          <a:solidFill>
                            <a:srgbClr val="000000"/>
                          </a:solidFill>
                          <a:round/>
                          <a:headEnd/>
                          <a:tailEnd/>
                        </a:ln>
                      </wps:spPr>
                      <wps:txbx>
                        <w:txbxContent>
                          <w:p w14:paraId="77F1959D" w14:textId="77777777" w:rsidR="006A5267" w:rsidRPr="00C614F4" w:rsidRDefault="006A5267" w:rsidP="008B4B2B">
                            <w:pPr>
                              <w:jc w:val="center"/>
                              <w:rPr>
                                <w:rFonts w:ascii="ＭＳ ゴシック" w:eastAsia="ＭＳ ゴシック" w:hAnsi="ＭＳ ゴシック"/>
                                <w:b/>
                              </w:rPr>
                            </w:pPr>
                            <w:r w:rsidRPr="00C614F4">
                              <w:rPr>
                                <w:rFonts w:ascii="ＭＳ ゴシック" w:eastAsia="ＭＳ ゴシック" w:hAnsi="ＭＳ ゴシック" w:hint="eastAsia"/>
                                <w:b/>
                              </w:rPr>
                              <w:t>代表消防本部</w:t>
                            </w:r>
                          </w:p>
                          <w:p w14:paraId="0A059A74" w14:textId="77777777" w:rsidR="006A5267" w:rsidRPr="00C614F4" w:rsidRDefault="006A5267" w:rsidP="008B4B2B">
                            <w:pPr>
                              <w:jc w:val="center"/>
                              <w:rPr>
                                <w:rFonts w:ascii="ＭＳ ゴシック" w:eastAsia="ＭＳ ゴシック" w:hAnsi="ＭＳ ゴシック"/>
                                <w:b/>
                              </w:rPr>
                            </w:pPr>
                            <w:r w:rsidRPr="00C614F4">
                              <w:rPr>
                                <w:rFonts w:ascii="ＭＳ ゴシック" w:eastAsia="ＭＳ ゴシック" w:hAnsi="ＭＳ ゴシック" w:hint="eastAsia"/>
                                <w:b/>
                              </w:rPr>
                              <w:t>(大阪市消防局)</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roundrect w14:anchorId="6B230A69" id="AutoShape 2215" o:spid="_x0000_s1267" style="position:absolute;left:0;text-align:left;margin-left:38.9pt;margin-top:10.05pt;width:116.25pt;height:51.05pt;z-index:2532843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">
                <v:textbox inset="5.85pt,.7pt,5.85pt,.7pt">
                  <w:txbxContent>
                    <w:p w14:paraId="77F1959D" w14:textId="77777777" w:rsidR="006A5267" w:rsidRPr="00C614F4" w:rsidRDefault="006A5267" w:rsidP="008B4B2B">
                      <w:pPr>
                        <w:jc w:val="center"/>
                        <w:rPr>
                          <w:rFonts w:ascii="ＭＳ ゴシック" w:eastAsia="ＭＳ ゴシック" w:hAnsi="ＭＳ ゴシック"/>
                          <w:b/>
                        </w:rPr>
                      </w:pPr>
                      <w:r w:rsidRPr="00C614F4">
                        <w:rPr>
                          <w:rFonts w:ascii="ＭＳ ゴシック" w:eastAsia="ＭＳ ゴシック" w:hAnsi="ＭＳ ゴシック" w:hint="eastAsia"/>
                          <w:b/>
                        </w:rPr>
                        <w:t>代表消防本部</w:t>
                      </w:r>
                    </w:p>
                    <w:p w14:paraId="0A059A74" w14:textId="77777777" w:rsidR="006A5267" w:rsidRPr="00C614F4" w:rsidRDefault="006A5267" w:rsidP="008B4B2B">
                      <w:pPr>
                        <w:jc w:val="center"/>
                        <w:rPr>
                          <w:rFonts w:ascii="ＭＳ ゴシック" w:eastAsia="ＭＳ ゴシック" w:hAnsi="ＭＳ ゴシック"/>
                          <w:b/>
                        </w:rPr>
                      </w:pPr>
                      <w:r w:rsidRPr="00C614F4">
                        <w:rPr>
                          <w:rFonts w:ascii="ＭＳ ゴシック" w:eastAsia="ＭＳ ゴシック" w:hAnsi="ＭＳ ゴシック" w:hint="eastAsia"/>
                          <w:b/>
                        </w:rPr>
                        <w:t>(大阪市消防局)</w:t>
                      </w:r>
                    </w:p>
                  </w:txbxContent>
                </v:textbox>
              </v:roundrect>
            </w:pict>
          </mc:Fallback>
        </mc:AlternateContent>
      </w:r>
      <w:r w:rsidRPr="001D6D10">
        <w:rPr>
          <w:rFonts w:ascii="ＭＳ ゴシック" w:eastAsia="ＭＳ ゴシック" w:hAnsi="ＭＳ ゴシック" w:hint="eastAsia"/>
          <w:noProof/>
          <w:sz w:val="22"/>
          <w:szCs w:val="22"/>
        </w:rPr>
        <mc:AlternateContent>
          <mc:Choice Requires="wps">
            <w:drawing>
              <wp:anchor distT="0" distB="0" distL="114300" distR="114300" simplePos="0" relativeHeight="253289472" behindDoc="0" locked="0" layoutInCell="1" allowOverlap="1" wp14:anchorId="279CF904" wp14:editId="44E11550">
                <wp:simplePos x="0" y="0"/>
                <wp:positionH relativeFrom="column">
                  <wp:posOffset>3288030</wp:posOffset>
                </wp:positionH>
                <wp:positionV relativeFrom="paragraph">
                  <wp:posOffset>127635</wp:posOffset>
                </wp:positionV>
                <wp:extent cx="1590675" cy="600075"/>
                <wp:effectExtent l="13970" t="6985" r="5080" b="12065"/>
                <wp:wrapNone/>
                <wp:docPr id="4245" name="AutoShape 221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90675" cy="600075"/>
                        </a:xfrm>
                        <a:prstGeom prst="roundRect">
                          <a:avLst>
                            <a:gd name="adj" fmla="val 16667"/>
                          </a:avLst>
                        </a:prstGeom>
                        <a:solidFill>
                          <a:srgbClr val="FFFFFF"/>
                        </a:solidFill>
                        <a:ln w="9525">
                          <a:solidFill>
                            <a:srgbClr val="000000"/>
                          </a:solidFill>
                          <a:round/>
                          <a:headEnd/>
                          <a:tailEnd/>
                        </a:ln>
                      </wps:spPr>
                      <wps:txbx>
                        <w:txbxContent>
                          <w:p w14:paraId="556471C2" w14:textId="77777777" w:rsidR="006A5267" w:rsidRPr="00C614F4" w:rsidRDefault="006A5267" w:rsidP="008B4B2B">
                            <w:pPr>
                              <w:jc w:val="center"/>
                              <w:rPr>
                                <w:rFonts w:ascii="ＭＳ ゴシック" w:eastAsia="ＭＳ ゴシック" w:hAnsi="ＭＳ ゴシック"/>
                                <w:sz w:val="22"/>
                                <w:szCs w:val="22"/>
                              </w:rPr>
                            </w:pPr>
                            <w:r w:rsidRPr="00C614F4">
                              <w:rPr>
                                <w:rFonts w:ascii="ＭＳ ゴシック" w:eastAsia="ＭＳ ゴシック" w:hAnsi="ＭＳ ゴシック" w:hint="eastAsia"/>
                                <w:sz w:val="22"/>
                                <w:szCs w:val="22"/>
                              </w:rPr>
                              <w:t>府内他ブロック</w:t>
                            </w:r>
                          </w:p>
                          <w:p w14:paraId="096CF160" w14:textId="77777777" w:rsidR="006A5267" w:rsidRPr="00C614F4" w:rsidRDefault="006A5267" w:rsidP="008B4B2B">
                            <w:pPr>
                              <w:jc w:val="center"/>
                              <w:rPr>
                                <w:rFonts w:ascii="ＭＳ ゴシック" w:eastAsia="ＭＳ ゴシック" w:hAnsi="ＭＳ ゴシック"/>
                                <w:sz w:val="22"/>
                                <w:szCs w:val="22"/>
                              </w:rPr>
                            </w:pPr>
                            <w:r w:rsidRPr="00C614F4">
                              <w:rPr>
                                <w:rFonts w:ascii="ＭＳ ゴシック" w:eastAsia="ＭＳ ゴシック" w:hAnsi="ＭＳ ゴシック" w:hint="eastAsia"/>
                                <w:sz w:val="22"/>
                                <w:szCs w:val="22"/>
                              </w:rPr>
                              <w:t>消防本部</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roundrect w14:anchorId="279CF904" id="AutoShape 2219" o:spid="_x0000_s1268" style="position:absolute;left:0;text-align:left;margin-left:258.9pt;margin-top:10.05pt;width:125.25pt;height:47.25pt;z-index:2532894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">
                <v:textbox inset="5.85pt,.7pt,5.85pt,.7pt">
                  <w:txbxContent>
                    <w:p w14:paraId="556471C2" w14:textId="77777777" w:rsidR="006A5267" w:rsidRPr="00C614F4" w:rsidRDefault="006A5267" w:rsidP="008B4B2B">
                      <w:pPr>
                        <w:jc w:val="center"/>
                        <w:rPr>
                          <w:rFonts w:ascii="ＭＳ ゴシック" w:eastAsia="ＭＳ ゴシック" w:hAnsi="ＭＳ ゴシック"/>
                          <w:sz w:val="22"/>
                          <w:szCs w:val="22"/>
                        </w:rPr>
                      </w:pPr>
                      <w:r w:rsidRPr="00C614F4">
                        <w:rPr>
                          <w:rFonts w:ascii="ＭＳ ゴシック" w:eastAsia="ＭＳ ゴシック" w:hAnsi="ＭＳ ゴシック" w:hint="eastAsia"/>
                          <w:sz w:val="22"/>
                          <w:szCs w:val="22"/>
                        </w:rPr>
                        <w:t>府内他ブロック</w:t>
                      </w:r>
                    </w:p>
                    <w:p w14:paraId="096CF160" w14:textId="77777777" w:rsidR="006A5267" w:rsidRPr="00C614F4" w:rsidRDefault="006A5267" w:rsidP="008B4B2B">
                      <w:pPr>
                        <w:jc w:val="center"/>
                        <w:rPr>
                          <w:rFonts w:ascii="ＭＳ ゴシック" w:eastAsia="ＭＳ ゴシック" w:hAnsi="ＭＳ ゴシック"/>
                          <w:sz w:val="22"/>
                          <w:szCs w:val="22"/>
                        </w:rPr>
                      </w:pPr>
                      <w:r w:rsidRPr="00C614F4">
                        <w:rPr>
                          <w:rFonts w:ascii="ＭＳ ゴシック" w:eastAsia="ＭＳ ゴシック" w:hAnsi="ＭＳ ゴシック" w:hint="eastAsia"/>
                          <w:sz w:val="22"/>
                          <w:szCs w:val="22"/>
                        </w:rPr>
                        <w:t>消防本部</w:t>
                      </w:r>
                    </w:p>
                  </w:txbxContent>
                </v:textbox>
              </v:roundrect>
            </w:pict>
          </mc:Fallback>
        </mc:AlternateContent>
      </w:r>
    </w:p>
    <w:p w14:paraId="5241BA26" w14:textId="77777777" w:rsidR="008B4B2B" w:rsidRPr="001D6D10" w:rsidRDefault="008B4B2B" w:rsidP="008B4B2B">
      <w:pPr>
        <w:ind w:leftChars="105" w:left="885" w:hangingChars="300" w:hanging="663"/>
        <w:rPr>
          <w:rFonts w:ascii="ＭＳ ゴシック" w:eastAsia="ＭＳ ゴシック" w:hAnsi="ＭＳ ゴシック"/>
          <w:sz w:val="22"/>
          <w:szCs w:val="22"/>
        </w:rPr>
      </w:pPr>
    </w:p>
    <w:p w14:paraId="3E8F2057" w14:textId="77777777" w:rsidR="008B4B2B" w:rsidRPr="001D6D10" w:rsidRDefault="008B4B2B" w:rsidP="008B4B2B">
      <w:pPr>
        <w:ind w:leftChars="105" w:left="885" w:hangingChars="300" w:hanging="663"/>
        <w:rPr>
          <w:rFonts w:ascii="ＭＳ ゴシック" w:eastAsia="ＭＳ ゴシック" w:hAnsi="ＭＳ ゴシック"/>
          <w:sz w:val="22"/>
          <w:szCs w:val="22"/>
        </w:rPr>
      </w:pPr>
    </w:p>
    <w:p w14:paraId="13D88FF6" w14:textId="77777777" w:rsidR="008B4B2B" w:rsidRPr="001D6D10" w:rsidRDefault="008B4B2B" w:rsidP="008B4B2B">
      <w:pPr>
        <w:ind w:leftChars="105" w:left="885" w:hangingChars="300" w:hanging="663"/>
        <w:rPr>
          <w:rFonts w:ascii="ＭＳ ゴシック" w:eastAsia="ＭＳ ゴシック" w:hAnsi="ＭＳ ゴシック"/>
          <w:sz w:val="22"/>
          <w:szCs w:val="22"/>
        </w:rPr>
      </w:pPr>
      <w:r w:rsidRPr="001D6D10">
        <w:rPr>
          <w:rFonts w:ascii="ＭＳ ゴシック" w:eastAsia="ＭＳ ゴシック" w:hAnsi="ＭＳ ゴシック" w:hint="eastAsia"/>
          <w:noProof/>
          <w:sz w:val="22"/>
          <w:szCs w:val="22"/>
        </w:rPr>
        <mc:AlternateContent>
          <mc:Choice Requires="wps">
            <w:drawing>
              <wp:anchor distT="0" distB="0" distL="114300" distR="114300" simplePos="0" relativeHeight="253287424" behindDoc="0" locked="0" layoutInCell="1" allowOverlap="1" wp14:anchorId="322D01E9" wp14:editId="1CA9BE2E">
                <wp:simplePos x="0" y="0"/>
                <wp:positionH relativeFrom="column">
                  <wp:posOffset>803910</wp:posOffset>
                </wp:positionH>
                <wp:positionV relativeFrom="paragraph">
                  <wp:posOffset>75565</wp:posOffset>
                </wp:positionV>
                <wp:extent cx="571500" cy="641131"/>
                <wp:effectExtent l="38100" t="19050" r="19050" b="45085"/>
                <wp:wrapNone/>
                <wp:docPr id="4242" name="AutoShape 221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71500" cy="641131"/>
                        </a:xfrm>
                        <a:prstGeom prst="upDownArrow">
                          <a:avLst>
                            <a:gd name="adj1" fmla="val 50000"/>
                            <a:gd name="adj2" fmla="val 27244"/>
                          </a:avLst>
                        </a:prstGeom>
                        <a:solidFill>
                          <a:srgbClr val="FFFFFF"/>
                        </a:solidFill>
                        <a:ln w="9525">
                          <a:solidFill>
                            <a:srgbClr val="000000"/>
                          </a:solidFill>
                          <a:miter lim="800000"/>
                          <a:headEnd/>
                          <a:tailEnd/>
                        </a:ln>
                      </wps:spPr>
                      <wps:bodyPr rot="0" vert="eaVert"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shape w14:anchorId="49EDBEED" id="AutoShape 2217" o:spid="_x0000_s1026" type="#_x0000_t70" style="position:absolute;left:0;text-align:left;margin-left:63.3pt;margin-top:5.95pt;width:45pt;height:50.5pt;z-index:2532874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" adj=",5246">
                <v:textbox style="layout-flow:vertical-ideographic" inset="5.85pt,.7pt,5.85pt,.7pt"/>
              </v:shape>
            </w:pict>
          </mc:Fallback>
        </mc:AlternateContent>
      </w:r>
      <w:r w:rsidRPr="001D6D10">
        <w:rPr>
          <w:rFonts w:ascii="ＭＳ ゴシック" w:eastAsia="ＭＳ ゴシック" w:hAnsi="ＭＳ ゴシック" w:hint="eastAsia"/>
          <w:noProof/>
          <w:sz w:val="22"/>
          <w:szCs w:val="22"/>
        </w:rPr>
        <mc:AlternateContent>
          <mc:Choice Requires="wps">
            <w:drawing>
              <wp:anchor distT="0" distB="0" distL="114300" distR="114300" simplePos="0" relativeHeight="253295616" behindDoc="0" locked="0" layoutInCell="1" allowOverlap="1" wp14:anchorId="7153BBD4" wp14:editId="110275C6">
                <wp:simplePos x="0" y="0"/>
                <wp:positionH relativeFrom="column">
                  <wp:posOffset>2359660</wp:posOffset>
                </wp:positionH>
                <wp:positionV relativeFrom="paragraph">
                  <wp:posOffset>39020</wp:posOffset>
                </wp:positionV>
                <wp:extent cx="901700" cy="273685"/>
                <wp:effectExtent l="0" t="0" r="0" b="0"/>
                <wp:wrapNone/>
                <wp:docPr id="4241" name="Text Box 222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01700" cy="27368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FBC4210" w14:textId="77777777" w:rsidR="006A5267" w:rsidRPr="00C614F4" w:rsidRDefault="006A5267" w:rsidP="008B4B2B">
                            <w:pPr>
                              <w:jc w:val="center"/>
                              <w:rPr>
                                <w:rFonts w:ascii="ＭＳ ゴシック" w:eastAsia="ＭＳ ゴシック" w:hAnsi="ＭＳ ゴシック"/>
                                <w:sz w:val="18"/>
                                <w:szCs w:val="18"/>
                              </w:rPr>
                            </w:pPr>
                            <w:r w:rsidRPr="00C614F4">
                              <w:rPr>
                                <w:rFonts w:ascii="ＭＳ ゴシック" w:eastAsia="ＭＳ ゴシック" w:hAnsi="ＭＳ ゴシック" w:hint="eastAsia"/>
                                <w:sz w:val="16"/>
                                <w:szCs w:val="16"/>
                              </w:rPr>
                              <w:t>状況により設置</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shape w14:anchorId="7153BBD4" id="Text Box 2225" o:spid="_x0000_s1269" type="#_x0000_t202" style="position:absolute;left:0;text-align:left;margin-left:185.8pt;margin-top:3.05pt;width:71pt;height:21.55pt;z-index:2532956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" filled="f" stroked="f">
                <v:textbox inset="5.85pt,.7pt,5.85pt,.7pt">
                  <w:txbxContent>
                    <w:p w14:paraId="1FBC4210" w14:textId="77777777" w:rsidR="006A5267" w:rsidRPr="00C614F4" w:rsidRDefault="006A5267" w:rsidP="008B4B2B">
                      <w:pPr>
                        <w:jc w:val="center"/>
                        <w:rPr>
                          <w:rFonts w:ascii="ＭＳ ゴシック" w:eastAsia="ＭＳ ゴシック" w:hAnsi="ＭＳ ゴシック"/>
                          <w:sz w:val="18"/>
                          <w:szCs w:val="18"/>
                        </w:rPr>
                      </w:pPr>
                      <w:r w:rsidRPr="00C614F4">
                        <w:rPr>
                          <w:rFonts w:ascii="ＭＳ ゴシック" w:eastAsia="ＭＳ ゴシック" w:hAnsi="ＭＳ ゴシック" w:hint="eastAsia"/>
                          <w:sz w:val="16"/>
                          <w:szCs w:val="16"/>
                        </w:rPr>
                        <w:t>状況により設置</w:t>
                      </w:r>
                    </w:p>
                  </w:txbxContent>
                </v:textbox>
              </v:shape>
            </w:pict>
          </mc:Fallback>
        </mc:AlternateContent>
      </w:r>
    </w:p>
    <w:p w14:paraId="7617887C" w14:textId="77777777" w:rsidR="008B4B2B" w:rsidRPr="001D6D10" w:rsidRDefault="008B4B2B" w:rsidP="008B4B2B">
      <w:pPr>
        <w:ind w:leftChars="105" w:left="885" w:hangingChars="300" w:hanging="663"/>
        <w:rPr>
          <w:rFonts w:ascii="ＭＳ ゴシック" w:eastAsia="ＭＳ ゴシック" w:hAnsi="ＭＳ ゴシック"/>
          <w:sz w:val="22"/>
          <w:szCs w:val="22"/>
        </w:rPr>
      </w:pPr>
      <w:r w:rsidRPr="001D6D10">
        <w:rPr>
          <w:rFonts w:ascii="ＭＳ ゴシック" w:eastAsia="ＭＳ ゴシック" w:hAnsi="ＭＳ ゴシック" w:hint="eastAsia"/>
          <w:noProof/>
          <w:sz w:val="22"/>
          <w:szCs w:val="22"/>
        </w:rPr>
        <mc:AlternateContent>
          <mc:Choice Requires="wps">
            <w:drawing>
              <wp:anchor distT="0" distB="0" distL="114300" distR="114300" simplePos="0" relativeHeight="253293568" behindDoc="0" locked="0" layoutInCell="1" allowOverlap="1" wp14:anchorId="6D24DF8A" wp14:editId="266CD4A5">
                <wp:simplePos x="0" y="0"/>
                <wp:positionH relativeFrom="column">
                  <wp:posOffset>2328698</wp:posOffset>
                </wp:positionH>
                <wp:positionV relativeFrom="paragraph">
                  <wp:posOffset>16883</wp:posOffset>
                </wp:positionV>
                <wp:extent cx="1335405" cy="421005"/>
                <wp:effectExtent l="12065" t="8890" r="5080" b="8255"/>
                <wp:wrapNone/>
                <wp:docPr id="4239" name="AutoShape 222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335405" cy="421005"/>
                        </a:xfrm>
                        <a:prstGeom prst="roundRect">
                          <a:avLst>
                            <a:gd name="adj" fmla="val 16667"/>
                          </a:avLst>
                        </a:prstGeom>
                        <a:solidFill>
                          <a:srgbClr val="FFFFFF"/>
                        </a:solidFill>
                        <a:ln w="9525">
                          <a:solidFill>
                            <a:srgbClr val="000000"/>
                          </a:solidFill>
                          <a:round/>
                          <a:headEnd/>
                          <a:tailEnd/>
                        </a:ln>
                      </wps:spPr>
                      <wps:txbx>
                        <w:txbxContent>
                          <w:p w14:paraId="56A243B6" w14:textId="77777777" w:rsidR="006A5267" w:rsidRPr="00C614F4" w:rsidRDefault="006A5267" w:rsidP="008B4B2B">
                            <w:pPr>
                              <w:spacing w:line="240" w:lineRule="exact"/>
                              <w:jc w:val="center"/>
                              <w:rPr>
                                <w:rFonts w:ascii="ＭＳ ゴシック" w:eastAsia="ＭＳ ゴシック" w:hAnsi="ＭＳ ゴシック"/>
                                <w:sz w:val="22"/>
                                <w:szCs w:val="22"/>
                              </w:rPr>
                            </w:pPr>
                            <w:r w:rsidRPr="00C614F4">
                              <w:rPr>
                                <w:rFonts w:ascii="ＭＳ ゴシック" w:eastAsia="ＭＳ ゴシック" w:hAnsi="ＭＳ ゴシック" w:hint="eastAsia"/>
                                <w:sz w:val="22"/>
                                <w:szCs w:val="22"/>
                              </w:rPr>
                              <w:t>後方支援本部</w:t>
                            </w:r>
                          </w:p>
                          <w:p w14:paraId="2A0C8CE9" w14:textId="77777777" w:rsidR="006A5267" w:rsidRPr="00C614F4" w:rsidRDefault="006A5267" w:rsidP="008B4B2B">
                            <w:pPr>
                              <w:spacing w:line="240" w:lineRule="exact"/>
                              <w:jc w:val="center"/>
                              <w:rPr>
                                <w:rFonts w:ascii="ＭＳ ゴシック" w:eastAsia="ＭＳ ゴシック" w:hAnsi="ＭＳ ゴシック"/>
                                <w:sz w:val="18"/>
                                <w:szCs w:val="18"/>
                              </w:rPr>
                            </w:pPr>
                            <w:r w:rsidRPr="00C614F4">
                              <w:rPr>
                                <w:rFonts w:ascii="ＭＳ ゴシック" w:eastAsia="ＭＳ ゴシック" w:hAnsi="ＭＳ ゴシック" w:hint="eastAsia"/>
                                <w:sz w:val="18"/>
                                <w:szCs w:val="18"/>
                              </w:rPr>
                              <w:t>(代表消防本部内)</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roundrect w14:anchorId="6D24DF8A" id="AutoShape 2222" o:spid="_x0000_s1270" style="position:absolute;left:0;text-align:left;margin-left:183.35pt;margin-top:1.35pt;width:105.15pt;height:33.15pt;z-index:2532935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">
                <v:textbox inset="5.85pt,.7pt,5.85pt,.7pt">
                  <w:txbxContent>
                    <w:p w14:paraId="56A243B6" w14:textId="77777777" w:rsidR="006A5267" w:rsidRPr="00C614F4" w:rsidRDefault="006A5267" w:rsidP="008B4B2B">
                      <w:pPr>
                        <w:spacing w:line="240" w:lineRule="exact"/>
                        <w:jc w:val="center"/>
                        <w:rPr>
                          <w:rFonts w:ascii="ＭＳ ゴシック" w:eastAsia="ＭＳ ゴシック" w:hAnsi="ＭＳ ゴシック"/>
                          <w:sz w:val="22"/>
                          <w:szCs w:val="22"/>
                        </w:rPr>
                      </w:pPr>
                      <w:r w:rsidRPr="00C614F4">
                        <w:rPr>
                          <w:rFonts w:ascii="ＭＳ ゴシック" w:eastAsia="ＭＳ ゴシック" w:hAnsi="ＭＳ ゴシック" w:hint="eastAsia"/>
                          <w:sz w:val="22"/>
                          <w:szCs w:val="22"/>
                        </w:rPr>
                        <w:t>後方支援本部</w:t>
                      </w:r>
                    </w:p>
                    <w:p w14:paraId="2A0C8CE9" w14:textId="77777777" w:rsidR="006A5267" w:rsidRPr="00C614F4" w:rsidRDefault="006A5267" w:rsidP="008B4B2B">
                      <w:pPr>
                        <w:spacing w:line="240" w:lineRule="exact"/>
                        <w:jc w:val="center"/>
                        <w:rPr>
                          <w:rFonts w:ascii="ＭＳ ゴシック" w:eastAsia="ＭＳ ゴシック" w:hAnsi="ＭＳ ゴシック"/>
                          <w:sz w:val="18"/>
                          <w:szCs w:val="18"/>
                        </w:rPr>
                      </w:pPr>
                      <w:r w:rsidRPr="00C614F4">
                        <w:rPr>
                          <w:rFonts w:ascii="ＭＳ ゴシック" w:eastAsia="ＭＳ ゴシック" w:hAnsi="ＭＳ ゴシック" w:hint="eastAsia"/>
                          <w:sz w:val="18"/>
                          <w:szCs w:val="18"/>
                        </w:rPr>
                        <w:t>(代表消防本部内)</w:t>
                      </w:r>
                    </w:p>
                  </w:txbxContent>
                </v:textbox>
              </v:roundrect>
            </w:pict>
          </mc:Fallback>
        </mc:AlternateContent>
      </w:r>
      <w:r w:rsidRPr="001D6D10">
        <w:rPr>
          <w:rFonts w:ascii="ＭＳ ゴシック" w:eastAsia="ＭＳ ゴシック" w:hAnsi="ＭＳ ゴシック" w:hint="eastAsia"/>
          <w:noProof/>
          <w:sz w:val="22"/>
          <w:szCs w:val="22"/>
        </w:rPr>
        <mc:AlternateContent>
          <mc:Choice Requires="wps">
            <w:drawing>
              <wp:anchor distT="0" distB="0" distL="114300" distR="114300" simplePos="0" relativeHeight="253288448" behindDoc="0" locked="0" layoutInCell="1" allowOverlap="1" wp14:anchorId="3E47CA07" wp14:editId="38267BC2">
                <wp:simplePos x="0" y="0"/>
                <wp:positionH relativeFrom="column">
                  <wp:posOffset>698149</wp:posOffset>
                </wp:positionH>
                <wp:positionV relativeFrom="paragraph">
                  <wp:posOffset>12766</wp:posOffset>
                </wp:positionV>
                <wp:extent cx="809625" cy="200025"/>
                <wp:effectExtent l="3810" t="635" r="0" b="0"/>
                <wp:wrapNone/>
                <wp:docPr id="4238" name="Text Box 221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09625" cy="2000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DD30633" w14:textId="77777777" w:rsidR="006A5267" w:rsidRPr="00C614F4" w:rsidRDefault="006A5267" w:rsidP="008B4B2B">
                            <w:pPr>
                              <w:jc w:val="center"/>
                              <w:rPr>
                                <w:sz w:val="18"/>
                                <w:szCs w:val="18"/>
                              </w:rPr>
                            </w:pPr>
                            <w:r w:rsidRPr="00C614F4">
                              <w:rPr>
                                <w:rFonts w:hint="eastAsia"/>
                                <w:sz w:val="18"/>
                                <w:szCs w:val="18"/>
                              </w:rPr>
                              <w:t>連絡調整</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shape w14:anchorId="3E47CA07" id="Text Box 2218" o:spid="_x0000_s1271" type="#_x0000_t202" style="position:absolute;left:0;text-align:left;margin-left:54.95pt;margin-top:1pt;width:63.75pt;height:15.75pt;z-index:2532884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" filled="f" stroked="f">
                <v:textbox inset="5.85pt,.7pt,5.85pt,.7pt">
                  <w:txbxContent>
                    <w:p w14:paraId="4DD30633" w14:textId="77777777" w:rsidR="006A5267" w:rsidRPr="00C614F4" w:rsidRDefault="006A5267" w:rsidP="008B4B2B">
                      <w:pPr>
                        <w:jc w:val="center"/>
                        <w:rPr>
                          <w:sz w:val="18"/>
                          <w:szCs w:val="18"/>
                        </w:rPr>
                      </w:pPr>
                      <w:r w:rsidRPr="00C614F4">
                        <w:rPr>
                          <w:rFonts w:hint="eastAsia"/>
                          <w:sz w:val="18"/>
                          <w:szCs w:val="18"/>
                        </w:rPr>
                        <w:t>連絡調整</w:t>
                      </w:r>
                    </w:p>
                  </w:txbxContent>
                </v:textbox>
              </v:shape>
            </w:pict>
          </mc:Fallback>
        </mc:AlternateContent>
      </w:r>
    </w:p>
    <w:p w14:paraId="7FDBFF1E" w14:textId="77777777" w:rsidR="008B4B2B" w:rsidRPr="001D6D10" w:rsidRDefault="008B4B2B" w:rsidP="008B4B2B">
      <w:pPr>
        <w:ind w:leftChars="105" w:left="885" w:hangingChars="300" w:hanging="663"/>
        <w:rPr>
          <w:rFonts w:ascii="ＭＳ ゴシック" w:eastAsia="ＭＳ ゴシック" w:hAnsi="ＭＳ ゴシック"/>
          <w:sz w:val="22"/>
          <w:szCs w:val="22"/>
        </w:rPr>
      </w:pPr>
    </w:p>
    <w:p w14:paraId="35D72EB1" w14:textId="77777777" w:rsidR="008B4B2B" w:rsidRPr="001D6D10" w:rsidRDefault="008B4B2B" w:rsidP="008B4B2B">
      <w:pPr>
        <w:ind w:leftChars="105" w:left="885" w:hangingChars="300" w:hanging="663"/>
        <w:rPr>
          <w:rFonts w:ascii="ＭＳ ゴシック" w:eastAsia="ＭＳ ゴシック" w:hAnsi="ＭＳ ゴシック"/>
          <w:sz w:val="22"/>
          <w:szCs w:val="22"/>
        </w:rPr>
      </w:pPr>
      <w:r w:rsidRPr="001D6D10">
        <w:rPr>
          <w:rFonts w:ascii="ＭＳ ゴシック" w:eastAsia="ＭＳ ゴシック" w:hAnsi="ＭＳ ゴシック" w:hint="eastAsia"/>
          <w:noProof/>
          <w:sz w:val="22"/>
          <w:szCs w:val="22"/>
        </w:rPr>
        <mc:AlternateContent>
          <mc:Choice Requires="wps">
            <w:drawing>
              <wp:anchor distT="0" distB="0" distL="114300" distR="114300" simplePos="0" relativeHeight="253286400" behindDoc="0" locked="0" layoutInCell="1" allowOverlap="1" wp14:anchorId="192DE769" wp14:editId="376695B2">
                <wp:simplePos x="0" y="0"/>
                <wp:positionH relativeFrom="column">
                  <wp:posOffset>2526030</wp:posOffset>
                </wp:positionH>
                <wp:positionV relativeFrom="paragraph">
                  <wp:posOffset>318770</wp:posOffset>
                </wp:positionV>
                <wp:extent cx="914400" cy="276225"/>
                <wp:effectExtent l="13970" t="13970" r="14605" b="5080"/>
                <wp:wrapNone/>
                <wp:docPr id="4235" name="AutoShape 222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14400" cy="276225"/>
                        </a:xfrm>
                        <a:prstGeom prst="rightArrow">
                          <a:avLst>
                            <a:gd name="adj1" fmla="val 50000"/>
                            <a:gd name="adj2" fmla="val 82759"/>
                          </a:avLst>
                        </a:prstGeom>
                        <a:solidFill>
                          <a:srgbClr val="FFFFFF"/>
                        </a:solidFill>
                        <a:ln w="9525">
                          <a:solidFill>
                            <a:srgbClr val="000000"/>
                          </a:solidFill>
                          <a:miter lim="800000"/>
                          <a:headEnd/>
                          <a:tailEnd/>
                        </a:ln>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shape w14:anchorId="18B80F70" id="AutoShape 2229" o:spid="_x0000_s1026" type="#_x0000_t13" style="position:absolute;left:0;text-align:left;margin-left:198.9pt;margin-top:25.1pt;width:1in;height:21.75pt;z-index:2532864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">
                <v:textbox inset="5.85pt,.7pt,5.85pt,.7pt"/>
              </v:shape>
            </w:pict>
          </mc:Fallback>
        </mc:AlternateContent>
      </w:r>
      <w:r w:rsidRPr="001D6D10">
        <w:rPr>
          <w:rFonts w:ascii="ＭＳ ゴシック" w:eastAsia="ＭＳ ゴシック" w:hAnsi="ＭＳ ゴシック" w:hint="eastAsia"/>
          <w:noProof/>
          <w:sz w:val="22"/>
          <w:szCs w:val="22"/>
        </w:rPr>
        <mc:AlternateContent>
          <mc:Choice Requires="wps">
            <w:drawing>
              <wp:anchor distT="0" distB="0" distL="114300" distR="114300" simplePos="0" relativeHeight="253283328" behindDoc="0" locked="0" layoutInCell="1" allowOverlap="1" wp14:anchorId="2EA23645" wp14:editId="7589ADCB">
                <wp:simplePos x="0" y="0"/>
                <wp:positionH relativeFrom="column">
                  <wp:posOffset>335280</wp:posOffset>
                </wp:positionH>
                <wp:positionV relativeFrom="paragraph">
                  <wp:posOffset>133350</wp:posOffset>
                </wp:positionV>
                <wp:extent cx="4953000" cy="543560"/>
                <wp:effectExtent l="13970" t="5080" r="5080" b="13335"/>
                <wp:wrapNone/>
                <wp:docPr id="4237" name="AutoShape 220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953000" cy="543560"/>
                        </a:xfrm>
                        <a:prstGeom prst="roundRect">
                          <a:avLst>
                            <a:gd name="adj" fmla="val 16667"/>
                          </a:avLst>
                        </a:prstGeom>
                        <a:solidFill>
                          <a:srgbClr val="FFFFFF"/>
                        </a:solidFill>
                        <a:ln w="9525">
                          <a:solidFill>
                            <a:srgbClr val="000000"/>
                          </a:solidFill>
                          <a:round/>
                          <a:headEnd/>
                          <a:tailEnd/>
                        </a:ln>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roundrect w14:anchorId="05B44EA8" id="AutoShape 2202" o:spid="_x0000_s1026" style="position:absolute;left:0;text-align:left;margin-left:26.4pt;margin-top:10.5pt;width:390pt;height:42.8pt;z-index:2532833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">
                <v:textbox inset="5.85pt,.7pt,5.85pt,.7pt"/>
              </v:roundrect>
            </w:pict>
          </mc:Fallback>
        </mc:AlternateContent>
      </w:r>
      <w:r w:rsidRPr="001D6D10">
        <w:rPr>
          <w:rFonts w:ascii="ＭＳ ゴシック" w:eastAsia="ＭＳ ゴシック" w:hAnsi="ＭＳ ゴシック" w:hint="eastAsia"/>
          <w:noProof/>
          <w:sz w:val="22"/>
          <w:szCs w:val="22"/>
        </w:rPr>
        <mc:AlternateContent>
          <mc:Choice Requires="wps">
            <w:drawing>
              <wp:anchor distT="0" distB="0" distL="114300" distR="114300" simplePos="0" relativeHeight="253290496" behindDoc="0" locked="0" layoutInCell="1" allowOverlap="1" wp14:anchorId="0D160A89" wp14:editId="3DDD46AC">
                <wp:simplePos x="0" y="0"/>
                <wp:positionH relativeFrom="column">
                  <wp:posOffset>2478405</wp:posOffset>
                </wp:positionH>
                <wp:positionV relativeFrom="paragraph">
                  <wp:posOffset>179705</wp:posOffset>
                </wp:positionV>
                <wp:extent cx="990600" cy="224155"/>
                <wp:effectExtent l="0" t="0" r="0" b="4445"/>
                <wp:wrapNone/>
                <wp:docPr id="4234" name="Text Box 223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90600" cy="2241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F947ED5" w14:textId="77777777" w:rsidR="006A5267" w:rsidRPr="00C614F4" w:rsidRDefault="006A5267" w:rsidP="008B4B2B">
                            <w:pPr>
                              <w:rPr>
                                <w:sz w:val="16"/>
                                <w:szCs w:val="16"/>
                              </w:rPr>
                            </w:pPr>
                            <w:r w:rsidRPr="00C614F4">
                              <w:rPr>
                                <w:rFonts w:hint="eastAsia"/>
                                <w:sz w:val="16"/>
                                <w:szCs w:val="16"/>
                              </w:rPr>
                              <w:t>状況により設置</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shape w14:anchorId="0D160A89" id="Text Box 2230" o:spid="_x0000_s1272" type="#_x0000_t202" style="position:absolute;left:0;text-align:left;margin-left:195.15pt;margin-top:14.15pt;width:78pt;height:17.65pt;z-index:2532904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" filled="f" stroked="f">
                <v:textbox inset="5.85pt,.7pt,5.85pt,.7pt">
                  <w:txbxContent>
                    <w:p w14:paraId="5F947ED5" w14:textId="77777777" w:rsidR="006A5267" w:rsidRPr="00C614F4" w:rsidRDefault="006A5267" w:rsidP="008B4B2B">
                      <w:pPr>
                        <w:rPr>
                          <w:sz w:val="16"/>
                          <w:szCs w:val="16"/>
                        </w:rPr>
                      </w:pPr>
                      <w:r w:rsidRPr="00C614F4">
                        <w:rPr>
                          <w:rFonts w:hint="eastAsia"/>
                          <w:sz w:val="16"/>
                          <w:szCs w:val="16"/>
                        </w:rPr>
                        <w:t>状況により設置</w:t>
                      </w:r>
                    </w:p>
                  </w:txbxContent>
                </v:textbox>
              </v:shape>
            </w:pict>
          </mc:Fallback>
        </mc:AlternateContent>
      </w:r>
      <w:r w:rsidRPr="001D6D10">
        <w:rPr>
          <w:rFonts w:ascii="ＭＳ ゴシック" w:eastAsia="ＭＳ ゴシック" w:hAnsi="ＭＳ ゴシック" w:hint="eastAsia"/>
          <w:noProof/>
          <w:sz w:val="22"/>
          <w:szCs w:val="22"/>
        </w:rPr>
        <mc:AlternateContent>
          <mc:Choice Requires="wps">
            <w:drawing>
              <wp:anchor distT="0" distB="0" distL="114300" distR="114300" simplePos="0" relativeHeight="253285376" behindDoc="0" locked="0" layoutInCell="1" allowOverlap="1" wp14:anchorId="657DF85C" wp14:editId="6CED0D1F">
                <wp:simplePos x="0" y="0"/>
                <wp:positionH relativeFrom="column">
                  <wp:posOffset>3469005</wp:posOffset>
                </wp:positionH>
                <wp:positionV relativeFrom="paragraph">
                  <wp:posOffset>271145</wp:posOffset>
                </wp:positionV>
                <wp:extent cx="1666875" cy="323850"/>
                <wp:effectExtent l="13970" t="13970" r="5080" b="5080"/>
                <wp:wrapNone/>
                <wp:docPr id="4236" name="AutoShape 222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666875" cy="323850"/>
                        </a:xfrm>
                        <a:prstGeom prst="roundRect">
                          <a:avLst>
                            <a:gd name="adj" fmla="val 16667"/>
                          </a:avLst>
                        </a:prstGeom>
                        <a:solidFill>
                          <a:srgbClr val="FFFFFF"/>
                        </a:solidFill>
                        <a:ln w="9525">
                          <a:solidFill>
                            <a:srgbClr val="000000"/>
                          </a:solidFill>
                          <a:round/>
                          <a:headEnd/>
                          <a:tailEnd/>
                        </a:ln>
                      </wps:spPr>
                      <wps:txbx>
                        <w:txbxContent>
                          <w:p w14:paraId="4FBAA36D" w14:textId="77777777" w:rsidR="006A5267" w:rsidRPr="00C614F4" w:rsidRDefault="006A5267" w:rsidP="008B4B2B">
                            <w:pPr>
                              <w:jc w:val="center"/>
                              <w:rPr>
                                <w:rFonts w:ascii="ＭＳ ゴシック" w:eastAsia="ＭＳ ゴシック" w:hAnsi="ＭＳ ゴシック"/>
                                <w:b/>
                                <w:sz w:val="24"/>
                              </w:rPr>
                            </w:pPr>
                            <w:r w:rsidRPr="00C614F4">
                              <w:rPr>
                                <w:rFonts w:ascii="ＭＳ ゴシック" w:eastAsia="ＭＳ ゴシック" w:hAnsi="ＭＳ ゴシック" w:hint="eastAsia"/>
                                <w:b/>
                                <w:sz w:val="24"/>
                              </w:rPr>
                              <w:t>大阪府災害対策本部</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roundrect w14:anchorId="657DF85C" id="AutoShape 2223" o:spid="_x0000_s1273" style="position:absolute;left:0;text-align:left;margin-left:273.15pt;margin-top:21.35pt;width:131.25pt;height:25.5pt;z-index:2532853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">
                <v:textbox inset="5.85pt,.7pt,5.85pt,.7pt">
                  <w:txbxContent>
                    <w:p w14:paraId="4FBAA36D" w14:textId="77777777" w:rsidR="006A5267" w:rsidRPr="00C614F4" w:rsidRDefault="006A5267" w:rsidP="008B4B2B">
                      <w:pPr>
                        <w:jc w:val="center"/>
                        <w:rPr>
                          <w:rFonts w:ascii="ＭＳ ゴシック" w:eastAsia="ＭＳ ゴシック" w:hAnsi="ＭＳ ゴシック"/>
                          <w:b/>
                          <w:sz w:val="24"/>
                        </w:rPr>
                      </w:pPr>
                      <w:r w:rsidRPr="00C614F4">
                        <w:rPr>
                          <w:rFonts w:ascii="ＭＳ ゴシック" w:eastAsia="ＭＳ ゴシック" w:hAnsi="ＭＳ ゴシック" w:hint="eastAsia"/>
                          <w:b/>
                          <w:sz w:val="24"/>
                        </w:rPr>
                        <w:t>大阪府災害対策本部</w:t>
                      </w:r>
                    </w:p>
                  </w:txbxContent>
                </v:textbox>
              </v:roundrect>
            </w:pict>
          </mc:Fallback>
        </mc:AlternateContent>
      </w:r>
    </w:p>
    <w:p w14:paraId="1B26FB78" w14:textId="77777777" w:rsidR="008B4B2B" w:rsidRPr="001D6D10" w:rsidRDefault="008B4B2B" w:rsidP="008B4B2B">
      <w:pPr>
        <w:ind w:leftChars="105" w:left="885" w:hangingChars="300" w:hanging="663"/>
        <w:rPr>
          <w:rFonts w:ascii="ＭＳ ゴシック" w:eastAsia="ＭＳ ゴシック" w:hAnsi="ＭＳ ゴシック"/>
          <w:sz w:val="22"/>
          <w:szCs w:val="22"/>
        </w:rPr>
      </w:pPr>
      <w:r w:rsidRPr="001D6D10">
        <w:rPr>
          <w:rFonts w:ascii="ＭＳ ゴシック" w:eastAsia="ＭＳ ゴシック" w:hAnsi="ＭＳ ゴシック" w:hint="eastAsia"/>
          <w:noProof/>
          <w:sz w:val="22"/>
          <w:szCs w:val="22"/>
        </w:rPr>
        <mc:AlternateContent>
          <mc:Choice Requires="wps">
            <w:drawing>
              <wp:anchor distT="0" distB="0" distL="114300" distR="114300" simplePos="0" relativeHeight="253302784" behindDoc="0" locked="0" layoutInCell="1" allowOverlap="1" wp14:anchorId="238AC1C2" wp14:editId="5D1D59E4">
                <wp:simplePos x="0" y="0"/>
                <wp:positionH relativeFrom="column">
                  <wp:posOffset>475330</wp:posOffset>
                </wp:positionH>
                <wp:positionV relativeFrom="paragraph">
                  <wp:posOffset>31028</wp:posOffset>
                </wp:positionV>
                <wp:extent cx="1978025" cy="295275"/>
                <wp:effectExtent l="7620" t="13970" r="5080" b="5080"/>
                <wp:wrapNone/>
                <wp:docPr id="4233" name="AutoShape 221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978025" cy="295275"/>
                        </a:xfrm>
                        <a:prstGeom prst="roundRect">
                          <a:avLst>
                            <a:gd name="adj" fmla="val 16667"/>
                          </a:avLst>
                        </a:prstGeom>
                        <a:solidFill>
                          <a:srgbClr val="FFFFFF"/>
                        </a:solidFill>
                        <a:ln w="9525">
                          <a:solidFill>
                            <a:srgbClr val="000000"/>
                          </a:solidFill>
                          <a:round/>
                          <a:headEnd/>
                          <a:tailEnd/>
                        </a:ln>
                      </wps:spPr>
                      <wps:txbx>
                        <w:txbxContent>
                          <w:p w14:paraId="4CC04F45" w14:textId="77777777" w:rsidR="006A5267" w:rsidRPr="00C614F4" w:rsidRDefault="006A5267" w:rsidP="008B4B2B">
                            <w:pPr>
                              <w:jc w:val="center"/>
                              <w:rPr>
                                <w:rFonts w:ascii="ＭＳ ゴシック" w:eastAsia="ＭＳ ゴシック" w:hAnsi="ＭＳ ゴシック"/>
                                <w:b/>
                              </w:rPr>
                            </w:pPr>
                            <w:r w:rsidRPr="00C614F4">
                              <w:rPr>
                                <w:rFonts w:ascii="ＭＳ ゴシック" w:eastAsia="ＭＳ ゴシック" w:hAnsi="ＭＳ ゴシック" w:hint="eastAsia"/>
                                <w:b/>
                              </w:rPr>
                              <w:t>大阪府(危機管理室)</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roundrect w14:anchorId="238AC1C2" id="AutoShape 2216" o:spid="_x0000_s1274" style="position:absolute;left:0;text-align:left;margin-left:37.45pt;margin-top:2.45pt;width:155.75pt;height:23.25pt;z-index:2533027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">
                <v:textbox inset="5.85pt,.7pt,5.85pt,.7pt">
                  <w:txbxContent>
                    <w:p w14:paraId="4CC04F45" w14:textId="77777777" w:rsidR="006A5267" w:rsidRPr="00C614F4" w:rsidRDefault="006A5267" w:rsidP="008B4B2B">
                      <w:pPr>
                        <w:jc w:val="center"/>
                        <w:rPr>
                          <w:rFonts w:ascii="ＭＳ ゴシック" w:eastAsia="ＭＳ ゴシック" w:hAnsi="ＭＳ ゴシック"/>
                          <w:b/>
                        </w:rPr>
                      </w:pPr>
                      <w:r w:rsidRPr="00C614F4">
                        <w:rPr>
                          <w:rFonts w:ascii="ＭＳ ゴシック" w:eastAsia="ＭＳ ゴシック" w:hAnsi="ＭＳ ゴシック" w:hint="eastAsia"/>
                          <w:b/>
                        </w:rPr>
                        <w:t>大阪府(危機管理室)</w:t>
                      </w:r>
                    </w:p>
                  </w:txbxContent>
                </v:textbox>
              </v:roundrect>
            </w:pict>
          </mc:Fallback>
        </mc:AlternateContent>
      </w:r>
    </w:p>
    <w:p w14:paraId="4189E2CA" w14:textId="77777777" w:rsidR="008B4B2B" w:rsidRPr="001D6D10" w:rsidRDefault="008B4B2B" w:rsidP="008B4B2B">
      <w:pPr>
        <w:ind w:leftChars="105" w:left="885" w:hangingChars="300" w:hanging="663"/>
        <w:rPr>
          <w:rFonts w:ascii="ＭＳ ゴシック" w:eastAsia="ＭＳ ゴシック" w:hAnsi="ＭＳ ゴシック"/>
          <w:sz w:val="22"/>
          <w:szCs w:val="22"/>
        </w:rPr>
      </w:pPr>
    </w:p>
    <w:p w14:paraId="61CE4210" w14:textId="77777777" w:rsidR="008B4B2B" w:rsidRPr="001D6D10" w:rsidRDefault="008B4B2B" w:rsidP="008B4B2B">
      <w:pPr>
        <w:ind w:leftChars="105" w:left="885" w:hangingChars="300" w:hanging="663"/>
        <w:rPr>
          <w:rFonts w:ascii="ＭＳ ゴシック" w:eastAsia="ＭＳ ゴシック" w:hAnsi="ＭＳ ゴシック"/>
          <w:sz w:val="22"/>
          <w:szCs w:val="22"/>
        </w:rPr>
      </w:pPr>
      <w:r w:rsidRPr="001D6D10">
        <w:rPr>
          <w:rFonts w:ascii="ＭＳ ゴシック" w:eastAsia="ＭＳ ゴシック" w:hAnsi="ＭＳ ゴシック" w:hint="eastAsia"/>
          <w:noProof/>
          <w:sz w:val="22"/>
          <w:szCs w:val="22"/>
        </w:rPr>
        <mc:AlternateContent>
          <mc:Choice Requires="wps">
            <w:drawing>
              <wp:anchor distT="0" distB="0" distL="114300" distR="114300" simplePos="0" relativeHeight="253300736" behindDoc="0" locked="0" layoutInCell="1" allowOverlap="1" wp14:anchorId="082F2C98" wp14:editId="4A0E74F1">
                <wp:simplePos x="0" y="0"/>
                <wp:positionH relativeFrom="column">
                  <wp:posOffset>855805</wp:posOffset>
                </wp:positionH>
                <wp:positionV relativeFrom="paragraph">
                  <wp:posOffset>98687</wp:posOffset>
                </wp:positionV>
                <wp:extent cx="874395" cy="247650"/>
                <wp:effectExtent l="4445" t="0" r="0" b="635"/>
                <wp:wrapNone/>
                <wp:docPr id="4232" name="Text Box 223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74395" cy="2476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2E78321" w14:textId="77777777" w:rsidR="006A5267" w:rsidRPr="00C614F4" w:rsidRDefault="006A5267" w:rsidP="008B4B2B">
                            <w:pPr>
                              <w:rPr>
                                <w:rFonts w:ascii="ＭＳ ゴシック" w:eastAsia="ＭＳ ゴシック" w:hAnsi="ＭＳ ゴシック"/>
                                <w:sz w:val="18"/>
                                <w:szCs w:val="18"/>
                              </w:rPr>
                            </w:pPr>
                            <w:r w:rsidRPr="00C614F4">
                              <w:rPr>
                                <w:rFonts w:ascii="ＭＳ ゴシック" w:eastAsia="ＭＳ ゴシック" w:hAnsi="ＭＳ ゴシック" w:hint="eastAsia"/>
                                <w:sz w:val="18"/>
                                <w:szCs w:val="18"/>
                              </w:rPr>
                              <w:t>連絡調整</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shape w14:anchorId="082F2C98" id="Text Box 2234" o:spid="_x0000_s1275" type="#_x0000_t202" style="position:absolute;left:0;text-align:left;margin-left:67.4pt;margin-top:7.75pt;width:68.85pt;height:19.5pt;z-index:2533007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" filled="f" stroked="f">
                <v:textbox inset="5.85pt,.7pt,5.85pt,.7pt">
                  <w:txbxContent>
                    <w:p w14:paraId="12E78321" w14:textId="77777777" w:rsidR="006A5267" w:rsidRPr="00C614F4" w:rsidRDefault="006A5267" w:rsidP="008B4B2B">
                      <w:pPr>
                        <w:rPr>
                          <w:rFonts w:ascii="ＭＳ ゴシック" w:eastAsia="ＭＳ ゴシック" w:hAnsi="ＭＳ ゴシック"/>
                          <w:sz w:val="18"/>
                          <w:szCs w:val="18"/>
                        </w:rPr>
                      </w:pPr>
                      <w:r w:rsidRPr="00C614F4">
                        <w:rPr>
                          <w:rFonts w:ascii="ＭＳ ゴシック" w:eastAsia="ＭＳ ゴシック" w:hAnsi="ＭＳ ゴシック" w:hint="eastAsia"/>
                          <w:sz w:val="18"/>
                          <w:szCs w:val="18"/>
                        </w:rPr>
                        <w:t>連絡調整</w:t>
                      </w:r>
                    </w:p>
                  </w:txbxContent>
                </v:textbox>
              </v:shape>
            </w:pict>
          </mc:Fallback>
        </mc:AlternateContent>
      </w:r>
      <w:r w:rsidRPr="001D6D10">
        <w:rPr>
          <w:rFonts w:ascii="ＭＳ ゴシック" w:eastAsia="ＭＳ ゴシック" w:hAnsi="ＭＳ ゴシック" w:hint="eastAsia"/>
          <w:noProof/>
          <w:sz w:val="22"/>
          <w:szCs w:val="22"/>
        </w:rPr>
        <mc:AlternateContent>
          <mc:Choice Requires="wps">
            <w:drawing>
              <wp:anchor distT="0" distB="0" distL="114300" distR="114300" simplePos="0" relativeHeight="253298688" behindDoc="0" locked="0" layoutInCell="1" allowOverlap="1" wp14:anchorId="51AEE530" wp14:editId="27A917B8">
                <wp:simplePos x="0" y="0"/>
                <wp:positionH relativeFrom="column">
                  <wp:posOffset>856615</wp:posOffset>
                </wp:positionH>
                <wp:positionV relativeFrom="paragraph">
                  <wp:posOffset>50275</wp:posOffset>
                </wp:positionV>
                <wp:extent cx="571500" cy="357352"/>
                <wp:effectExtent l="38100" t="19050" r="76200" b="43180"/>
                <wp:wrapNone/>
                <wp:docPr id="4231" name="AutoShape 223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71500" cy="357352"/>
                        </a:xfrm>
                        <a:prstGeom prst="upDownArrow">
                          <a:avLst>
                            <a:gd name="adj1" fmla="val 50000"/>
                            <a:gd name="adj2" fmla="val 20000"/>
                          </a:avLst>
                        </a:prstGeom>
                        <a:solidFill>
                          <a:srgbClr val="FFFFFF"/>
                        </a:solidFill>
                        <a:ln w="9525">
                          <a:solidFill>
                            <a:srgbClr val="000000"/>
                          </a:solidFill>
                          <a:miter lim="800000"/>
                          <a:headEnd/>
                          <a:tailEnd/>
                        </a:ln>
                      </wps:spPr>
                      <wps:bodyPr rot="0" vert="eaVert"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shape w14:anchorId="2DE8313D" id="AutoShape 2232" o:spid="_x0000_s1026" type="#_x0000_t70" style="position:absolute;left:0;text-align:left;margin-left:67.45pt;margin-top:3.95pt;width:45pt;height:28.15pt;z-index:2532986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">
                <v:textbox style="layout-flow:vertical-ideographic" inset="5.85pt,.7pt,5.85pt,.7pt"/>
              </v:shape>
            </w:pict>
          </mc:Fallback>
        </mc:AlternateContent>
      </w:r>
    </w:p>
    <w:p w14:paraId="40C9421E" w14:textId="77777777" w:rsidR="008B4B2B" w:rsidRPr="001D6D10" w:rsidRDefault="008B4B2B" w:rsidP="008B4B2B">
      <w:pPr>
        <w:ind w:leftChars="105" w:left="885" w:hangingChars="300" w:hanging="663"/>
        <w:rPr>
          <w:rFonts w:ascii="ＭＳ ゴシック" w:eastAsia="ＭＳ ゴシック" w:hAnsi="ＭＳ ゴシック"/>
          <w:sz w:val="22"/>
          <w:szCs w:val="22"/>
        </w:rPr>
      </w:pPr>
      <w:r w:rsidRPr="001D6D10">
        <w:rPr>
          <w:rFonts w:ascii="ＭＳ ゴシック" w:eastAsia="ＭＳ ゴシック" w:hAnsi="ＭＳ ゴシック" w:hint="eastAsia"/>
          <w:noProof/>
          <w:sz w:val="22"/>
          <w:szCs w:val="22"/>
        </w:rPr>
        <mc:AlternateContent>
          <mc:Choice Requires="wps">
            <w:drawing>
              <wp:anchor distT="0" distB="0" distL="114300" distR="114300" simplePos="0" relativeHeight="253297664" behindDoc="0" locked="0" layoutInCell="1" allowOverlap="1" wp14:anchorId="0602B160" wp14:editId="1CFFC357">
                <wp:simplePos x="0" y="0"/>
                <wp:positionH relativeFrom="column">
                  <wp:posOffset>648904</wp:posOffset>
                </wp:positionH>
                <wp:positionV relativeFrom="paragraph">
                  <wp:posOffset>178764</wp:posOffset>
                </wp:positionV>
                <wp:extent cx="1066800" cy="257175"/>
                <wp:effectExtent l="10795" t="8890" r="8255" b="10160"/>
                <wp:wrapNone/>
                <wp:docPr id="4230" name="AutoShape 223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66800" cy="257175"/>
                        </a:xfrm>
                        <a:prstGeom prst="roundRect">
                          <a:avLst>
                            <a:gd name="adj" fmla="val 16667"/>
                          </a:avLst>
                        </a:prstGeom>
                        <a:solidFill>
                          <a:srgbClr val="FFFFFF"/>
                        </a:solidFill>
                        <a:ln w="9525">
                          <a:solidFill>
                            <a:srgbClr val="000000"/>
                          </a:solidFill>
                          <a:round/>
                          <a:headEnd/>
                          <a:tailEnd/>
                        </a:ln>
                      </wps:spPr>
                      <wps:txbx>
                        <w:txbxContent>
                          <w:p w14:paraId="0E7FBE8C" w14:textId="77777777" w:rsidR="006A5267" w:rsidRPr="00C614F4" w:rsidRDefault="006A5267" w:rsidP="008B4B2B">
                            <w:pPr>
                              <w:jc w:val="center"/>
                              <w:rPr>
                                <w:rFonts w:ascii="ＭＳ ゴシック" w:eastAsia="ＭＳ ゴシック" w:hAnsi="ＭＳ ゴシック"/>
                                <w:b/>
                                <w:sz w:val="24"/>
                              </w:rPr>
                            </w:pPr>
                            <w:r w:rsidRPr="00C614F4">
                              <w:rPr>
                                <w:rFonts w:ascii="ＭＳ ゴシック" w:eastAsia="ＭＳ ゴシック" w:hAnsi="ＭＳ ゴシック" w:hint="eastAsia"/>
                                <w:b/>
                                <w:sz w:val="24"/>
                              </w:rPr>
                              <w:t>消防庁</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roundrect w14:anchorId="0602B160" id="AutoShape 2231" o:spid="_x0000_s1276" style="position:absolute;left:0;text-align:left;margin-left:51.1pt;margin-top:14.1pt;width:84pt;height:20.25pt;z-index:2532976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">
                <v:textbox inset="5.85pt,.7pt,5.85pt,.7pt">
                  <w:txbxContent>
                    <w:p w14:paraId="0E7FBE8C" w14:textId="77777777" w:rsidR="006A5267" w:rsidRPr="00C614F4" w:rsidRDefault="006A5267" w:rsidP="008B4B2B">
                      <w:pPr>
                        <w:jc w:val="center"/>
                        <w:rPr>
                          <w:rFonts w:ascii="ＭＳ ゴシック" w:eastAsia="ＭＳ ゴシック" w:hAnsi="ＭＳ ゴシック"/>
                          <w:b/>
                          <w:sz w:val="24"/>
                        </w:rPr>
                      </w:pPr>
                      <w:r w:rsidRPr="00C614F4">
                        <w:rPr>
                          <w:rFonts w:ascii="ＭＳ ゴシック" w:eastAsia="ＭＳ ゴシック" w:hAnsi="ＭＳ ゴシック" w:hint="eastAsia"/>
                          <w:b/>
                          <w:sz w:val="24"/>
                        </w:rPr>
                        <w:t>消防庁</w:t>
                      </w:r>
                    </w:p>
                  </w:txbxContent>
                </v:textbox>
              </v:roundrect>
            </w:pict>
          </mc:Fallback>
        </mc:AlternateContent>
      </w:r>
    </w:p>
    <w:p w14:paraId="03FA5EBB" w14:textId="77777777" w:rsidR="00917316" w:rsidRPr="001D6D10" w:rsidRDefault="00917316" w:rsidP="008B4B2B">
      <w:pPr>
        <w:ind w:firstLineChars="200" w:firstLine="442"/>
        <w:rPr>
          <w:rFonts w:ascii="ＭＳ ゴシック" w:eastAsia="ＭＳ ゴシック" w:hAnsi="ＭＳ ゴシック"/>
          <w:sz w:val="22"/>
          <w:szCs w:val="22"/>
          <w:u w:val="double"/>
        </w:rPr>
      </w:pPr>
    </w:p>
    <w:p w14:paraId="71828BDE" w14:textId="77777777" w:rsidR="00254093" w:rsidRDefault="00254093">
      <w:pPr>
        <w:widowControl/>
        <w:jc w:val="left"/>
        <w:rPr>
          <w:rFonts w:ascii="ＭＳ ゴシック" w:eastAsia="ＭＳ ゴシック" w:hAnsi="ＭＳ ゴシック"/>
          <w:color w:val="000000" w:themeColor="text1"/>
          <w:sz w:val="22"/>
          <w:u w:val="double"/>
        </w:rPr>
      </w:pPr>
      <w:bookmarkStart w:id="162" w:name="_Toc122436903"/>
      <w:r>
        <w:br w:type="page"/>
      </w:r>
    </w:p>
    <w:p w14:paraId="3710D9A4" w14:textId="158983B9" w:rsidR="008B4B2B" w:rsidRPr="001D6D10" w:rsidRDefault="008B4B2B" w:rsidP="00E0548A">
      <w:pPr>
        <w:pStyle w:val="3"/>
        <w:ind w:firstLine="442"/>
      </w:pPr>
      <w:bookmarkStart w:id="163" w:name="_Toc222486586"/>
      <w:bookmarkStart w:id="164" w:name="_Toc242870256"/>
      <w:r w:rsidRPr="001D6D10">
        <w:rPr>
          <w:rFonts w:hint="eastAsia"/>
        </w:rPr>
        <w:lastRenderedPageBreak/>
        <w:t>第２　緊急消防援助隊の派遣要請</w:t>
      </w:r>
      <w:r w:rsidRPr="001D6D10">
        <w:rPr>
          <w:rFonts w:hint="eastAsia"/>
          <w:shd w:val="pct15" w:color="auto" w:fill="FFFFFF"/>
        </w:rPr>
        <w:t>【第１フェーズ】</w:t>
      </w:r>
      <w:bookmarkEnd w:id="162"/>
      <w:bookmarkEnd w:id="163"/>
      <w:bookmarkEnd w:id="164"/>
    </w:p>
    <w:p w14:paraId="1C7A3AC7" w14:textId="77777777" w:rsidR="008B4B2B" w:rsidRPr="001D6D10" w:rsidRDefault="008B4B2B" w:rsidP="008B4B2B">
      <w:pPr>
        <w:ind w:firstLineChars="500" w:firstLine="1105"/>
        <w:rPr>
          <w:rFonts w:ascii="ＭＳ 明朝" w:hAnsi="ＭＳ 明朝"/>
          <w:sz w:val="22"/>
          <w:szCs w:val="22"/>
        </w:rPr>
      </w:pPr>
      <w:r w:rsidRPr="001D6D10">
        <w:rPr>
          <w:rFonts w:ascii="ＭＳ ゴシック" w:eastAsia="ＭＳ ゴシック" w:hAnsi="ＭＳ ゴシック" w:hint="eastAsia"/>
          <w:sz w:val="22"/>
          <w:szCs w:val="22"/>
          <w:bdr w:val="single" w:sz="4" w:space="0" w:color="auto"/>
        </w:rPr>
        <w:t>主たる担当：危機管理室</w:t>
      </w:r>
    </w:p>
    <w:p w14:paraId="182DA1BD" w14:textId="77777777" w:rsidR="008B4B2B" w:rsidRPr="001D6D10" w:rsidRDefault="008B4B2B" w:rsidP="008B4B2B">
      <w:pPr>
        <w:ind w:firstLineChars="100" w:firstLine="221"/>
        <w:rPr>
          <w:rFonts w:ascii="ＭＳ ゴシック" w:eastAsia="ＭＳ ゴシック" w:hAnsi="ＭＳ ゴシック"/>
          <w:sz w:val="22"/>
          <w:szCs w:val="22"/>
        </w:rPr>
      </w:pPr>
      <w:r w:rsidRPr="001D6D10">
        <w:rPr>
          <w:rFonts w:ascii="ＭＳ ゴシック" w:eastAsia="ＭＳ ゴシック" w:hAnsi="ＭＳ ゴシック" w:hint="eastAsia"/>
          <w:noProof/>
          <w:sz w:val="22"/>
          <w:szCs w:val="22"/>
        </w:rPr>
        <mc:AlternateContent>
          <mc:Choice Requires="wps">
            <w:drawing>
              <wp:anchor distT="0" distB="0" distL="114300" distR="114300" simplePos="0" relativeHeight="253047808" behindDoc="0" locked="0" layoutInCell="1" allowOverlap="1" wp14:anchorId="3E27580C" wp14:editId="1AF59DC0">
                <wp:simplePos x="0" y="0"/>
                <wp:positionH relativeFrom="column">
                  <wp:posOffset>-68580</wp:posOffset>
                </wp:positionH>
                <wp:positionV relativeFrom="paragraph">
                  <wp:posOffset>168910</wp:posOffset>
                </wp:positionV>
                <wp:extent cx="5943600" cy="4905375"/>
                <wp:effectExtent l="7620" t="6985" r="11430" b="12065"/>
                <wp:wrapNone/>
                <wp:docPr id="4229" name="Text Box 223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43600" cy="4905375"/>
                        </a:xfrm>
                        <a:prstGeom prst="rect">
                          <a:avLst/>
                        </a:prstGeom>
                        <a:solidFill>
                          <a:srgbClr val="FFFFFF"/>
                        </a:solidFill>
                        <a:ln w="9525">
                          <a:solidFill>
                            <a:srgbClr val="000000"/>
                          </a:solidFill>
                          <a:miter lim="800000"/>
                          <a:headEnd/>
                          <a:tailEnd/>
                        </a:ln>
                      </wps:spPr>
                      <wps:txbx>
                        <w:txbxContent>
                          <w:p w14:paraId="67C22FAC" w14:textId="77777777" w:rsidR="006A5267" w:rsidRDefault="006A5267" w:rsidP="008B4B2B"/>
                          <w:p w14:paraId="1FABD5A5" w14:textId="77777777" w:rsidR="006A5267" w:rsidRDefault="006A5267" w:rsidP="008B4B2B">
                            <w:pPr>
                              <w:rPr>
                                <w:rFonts w:ascii="ＭＳ ゴシック" w:eastAsia="ＭＳ ゴシック" w:hAnsi="ＭＳ ゴシック"/>
                                <w:sz w:val="22"/>
                                <w:szCs w:val="22"/>
                              </w:rPr>
                            </w:pPr>
                            <w:r w:rsidRPr="004824F3">
                              <w:rPr>
                                <w:rFonts w:ascii="ＭＳ ゴシック" w:eastAsia="ＭＳ ゴシック" w:hAnsi="ＭＳ ゴシック" w:hint="eastAsia"/>
                                <w:sz w:val="22"/>
                                <w:szCs w:val="22"/>
                              </w:rPr>
                              <w:t>（根拠法令</w:t>
                            </w:r>
                            <w:r>
                              <w:rPr>
                                <w:rFonts w:ascii="ＭＳ ゴシック" w:eastAsia="ＭＳ ゴシック" w:hAnsi="ＭＳ ゴシック" w:hint="eastAsia"/>
                                <w:sz w:val="22"/>
                                <w:szCs w:val="22"/>
                              </w:rPr>
                              <w:t>）消防組織法第４４条第１項～第５項</w:t>
                            </w:r>
                          </w:p>
                          <w:p w14:paraId="1E2FCD98" w14:textId="77777777" w:rsidR="006A5267" w:rsidRPr="004824F3" w:rsidRDefault="006A5267" w:rsidP="008B4B2B">
                            <w:pPr>
                              <w:rPr>
                                <w:rFonts w:ascii="ＭＳ ゴシック" w:eastAsia="ＭＳ ゴシック" w:hAnsi="ＭＳ ゴシック"/>
                                <w:sz w:val="22"/>
                                <w:szCs w:val="22"/>
                              </w:rPr>
                            </w:pP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shape w14:anchorId="3E27580C" id="Text Box 2235" o:spid="_x0000_s1277" type="#_x0000_t202" style="position:absolute;left:0;text-align:left;margin-left:-5.4pt;margin-top:13.3pt;width:468pt;height:386.25pt;z-index:2530478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">
                <v:textbox inset="5.85pt,.7pt,5.85pt,.7pt">
                  <w:txbxContent>
                    <w:p w14:paraId="67C22FAC" w14:textId="77777777" w:rsidR="006A5267" w:rsidRDefault="006A5267" w:rsidP="008B4B2B"/>
                    <w:p w14:paraId="1FABD5A5" w14:textId="77777777" w:rsidR="006A5267" w:rsidRDefault="006A5267" w:rsidP="008B4B2B">
                      <w:pPr>
                        <w:rPr>
                          <w:rFonts w:ascii="ＭＳ ゴシック" w:eastAsia="ＭＳ ゴシック" w:hAnsi="ＭＳ ゴシック"/>
                          <w:sz w:val="22"/>
                          <w:szCs w:val="22"/>
                        </w:rPr>
                      </w:pPr>
                      <w:r w:rsidRPr="004824F3">
                        <w:rPr>
                          <w:rFonts w:ascii="ＭＳ ゴシック" w:eastAsia="ＭＳ ゴシック" w:hAnsi="ＭＳ ゴシック" w:hint="eastAsia"/>
                          <w:sz w:val="22"/>
                          <w:szCs w:val="22"/>
                        </w:rPr>
                        <w:t>（根拠法令</w:t>
                      </w:r>
                      <w:r>
                        <w:rPr>
                          <w:rFonts w:ascii="ＭＳ ゴシック" w:eastAsia="ＭＳ ゴシック" w:hAnsi="ＭＳ ゴシック" w:hint="eastAsia"/>
                          <w:sz w:val="22"/>
                          <w:szCs w:val="22"/>
                        </w:rPr>
                        <w:t>）消防組織法第４４条第１項～第５項</w:t>
                      </w:r>
                    </w:p>
                    <w:p w14:paraId="1E2FCD98" w14:textId="77777777" w:rsidR="006A5267" w:rsidRPr="004824F3" w:rsidRDefault="006A5267" w:rsidP="008B4B2B">
                      <w:pPr>
                        <w:rPr>
                          <w:rFonts w:ascii="ＭＳ ゴシック" w:eastAsia="ＭＳ ゴシック" w:hAnsi="ＭＳ ゴシック"/>
                          <w:sz w:val="22"/>
                          <w:szCs w:val="22"/>
                        </w:rPr>
                      </w:pPr>
                    </w:p>
                  </w:txbxContent>
                </v:textbox>
              </v:shape>
            </w:pict>
          </mc:Fallback>
        </mc:AlternateContent>
      </w:r>
      <w:r w:rsidRPr="001D6D10">
        <w:rPr>
          <w:rFonts w:ascii="ＭＳ ゴシック" w:eastAsia="ＭＳ ゴシック" w:hAnsi="ＭＳ ゴシック" w:hint="eastAsia"/>
          <w:noProof/>
          <w:sz w:val="22"/>
          <w:szCs w:val="22"/>
        </w:rPr>
        <mc:AlternateContent>
          <mc:Choice Requires="wps">
            <w:drawing>
              <wp:anchor distT="0" distB="0" distL="114300" distR="114300" simplePos="0" relativeHeight="253048832" behindDoc="0" locked="0" layoutInCell="1" allowOverlap="1" wp14:anchorId="1C76C13F" wp14:editId="5BB18A9E">
                <wp:simplePos x="0" y="0"/>
                <wp:positionH relativeFrom="column">
                  <wp:posOffset>160020</wp:posOffset>
                </wp:positionH>
                <wp:positionV relativeFrom="paragraph">
                  <wp:posOffset>54610</wp:posOffset>
                </wp:positionV>
                <wp:extent cx="2057400" cy="228600"/>
                <wp:effectExtent l="7620" t="6985" r="11430" b="12065"/>
                <wp:wrapNone/>
                <wp:docPr id="4228" name="Text Box 223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57400" cy="228600"/>
                        </a:xfrm>
                        <a:prstGeom prst="rect">
                          <a:avLst/>
                        </a:prstGeom>
                        <a:solidFill>
                          <a:srgbClr val="FFFFFF"/>
                        </a:solidFill>
                        <a:ln w="9525">
                          <a:solidFill>
                            <a:srgbClr val="000000"/>
                          </a:solidFill>
                          <a:miter lim="800000"/>
                          <a:headEnd/>
                          <a:tailEnd/>
                        </a:ln>
                      </wps:spPr>
                      <wps:txbx>
                        <w:txbxContent>
                          <w:p w14:paraId="30911117" w14:textId="77777777" w:rsidR="006A5267" w:rsidRPr="004824F3" w:rsidRDefault="006A5267" w:rsidP="008B4B2B">
                            <w:pPr>
                              <w:rPr>
                                <w:rFonts w:ascii="ＭＳ ゴシック" w:eastAsia="ＭＳ ゴシック" w:hAnsi="ＭＳ ゴシック"/>
                                <w:sz w:val="22"/>
                                <w:szCs w:val="22"/>
                              </w:rPr>
                            </w:pPr>
                            <w:r>
                              <w:rPr>
                                <w:rFonts w:ascii="ＭＳ ゴシック" w:eastAsia="ＭＳ ゴシック" w:hAnsi="ＭＳ ゴシック" w:hint="eastAsia"/>
                                <w:sz w:val="22"/>
                                <w:szCs w:val="22"/>
                              </w:rPr>
                              <w:t>緊急消防援助隊の出動フロー</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shape w14:anchorId="1C76C13F" id="Text Box 2236" o:spid="_x0000_s1278" type="#_x0000_t202" style="position:absolute;left:0;text-align:left;margin-left:12.6pt;margin-top:4.3pt;width:162pt;height:18pt;z-index:2530488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">
                <v:textbox inset="5.85pt,.7pt,5.85pt,.7pt">
                  <w:txbxContent>
                    <w:p w14:paraId="30911117" w14:textId="77777777" w:rsidR="006A5267" w:rsidRPr="004824F3" w:rsidRDefault="006A5267" w:rsidP="008B4B2B">
                      <w:pPr>
                        <w:rPr>
                          <w:rFonts w:ascii="ＭＳ ゴシック" w:eastAsia="ＭＳ ゴシック" w:hAnsi="ＭＳ ゴシック"/>
                          <w:sz w:val="22"/>
                          <w:szCs w:val="22"/>
                        </w:rPr>
                      </w:pPr>
                      <w:r>
                        <w:rPr>
                          <w:rFonts w:ascii="ＭＳ ゴシック" w:eastAsia="ＭＳ ゴシック" w:hAnsi="ＭＳ ゴシック" w:hint="eastAsia"/>
                          <w:sz w:val="22"/>
                          <w:szCs w:val="22"/>
                        </w:rPr>
                        <w:t>緊急消防援助隊の出動フロー</w:t>
                      </w:r>
                    </w:p>
                  </w:txbxContent>
                </v:textbox>
              </v:shape>
            </w:pict>
          </mc:Fallback>
        </mc:AlternateContent>
      </w:r>
    </w:p>
    <w:p w14:paraId="29A2810A" w14:textId="77777777" w:rsidR="008B4B2B" w:rsidRPr="001D6D10" w:rsidRDefault="008B4B2B" w:rsidP="008B4B2B">
      <w:pPr>
        <w:ind w:firstLineChars="100" w:firstLine="221"/>
        <w:rPr>
          <w:rFonts w:ascii="ＭＳ ゴシック" w:eastAsia="ＭＳ ゴシック" w:hAnsi="ＭＳ ゴシック"/>
          <w:sz w:val="22"/>
          <w:szCs w:val="22"/>
        </w:rPr>
      </w:pPr>
      <w:r w:rsidRPr="001D6D10">
        <w:rPr>
          <w:rFonts w:ascii="ＭＳ ゴシック" w:eastAsia="ＭＳ ゴシック" w:hAnsi="ＭＳ ゴシック" w:hint="eastAsia"/>
          <w:noProof/>
          <w:sz w:val="22"/>
          <w:szCs w:val="22"/>
        </w:rPr>
        <mc:AlternateContent>
          <mc:Choice Requires="wps">
            <w:drawing>
              <wp:anchor distT="0" distB="0" distL="114300" distR="114300" simplePos="0" relativeHeight="253053952" behindDoc="0" locked="0" layoutInCell="1" allowOverlap="1" wp14:anchorId="413DF2B0" wp14:editId="451FAE42">
                <wp:simplePos x="0" y="0"/>
                <wp:positionH relativeFrom="column">
                  <wp:posOffset>3931920</wp:posOffset>
                </wp:positionH>
                <wp:positionV relativeFrom="paragraph">
                  <wp:posOffset>189865</wp:posOffset>
                </wp:positionV>
                <wp:extent cx="1828800" cy="4448810"/>
                <wp:effectExtent l="7620" t="8890" r="11430" b="9525"/>
                <wp:wrapNone/>
                <wp:docPr id="4227" name="AutoShape 224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28800" cy="4448810"/>
                        </a:xfrm>
                        <a:prstGeom prst="roundRect">
                          <a:avLst>
                            <a:gd name="adj" fmla="val 16667"/>
                          </a:avLst>
                        </a:prstGeom>
                        <a:solidFill>
                          <a:srgbClr val="FFFFFF"/>
                        </a:solidFill>
                        <a:ln w="9525">
                          <a:solidFill>
                            <a:srgbClr val="000000"/>
                          </a:solidFill>
                          <a:round/>
                          <a:headEnd/>
                          <a:tailEnd/>
                        </a:ln>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roundrect w14:anchorId="35C1EF17" id="AutoShape 2241" o:spid="_x0000_s1026" style="position:absolute;left:0;text-align:left;margin-left:309.6pt;margin-top:14.95pt;width:2in;height:350.3pt;z-index:2530539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">
                <v:textbox inset="5.85pt,.7pt,5.85pt,.7pt"/>
              </v:roundrect>
            </w:pict>
          </mc:Fallback>
        </mc:AlternateContent>
      </w:r>
    </w:p>
    <w:p w14:paraId="5A3D2B02" w14:textId="77777777" w:rsidR="008B4B2B" w:rsidRPr="001D6D10" w:rsidRDefault="008B4B2B" w:rsidP="008B4B2B">
      <w:pPr>
        <w:ind w:firstLineChars="100" w:firstLine="221"/>
        <w:rPr>
          <w:rFonts w:ascii="ＭＳ ゴシック" w:eastAsia="ＭＳ ゴシック" w:hAnsi="ＭＳ ゴシック"/>
          <w:sz w:val="22"/>
          <w:szCs w:val="22"/>
        </w:rPr>
      </w:pPr>
      <w:r w:rsidRPr="001D6D10">
        <w:rPr>
          <w:rFonts w:ascii="ＭＳ ゴシック" w:eastAsia="ＭＳ ゴシック" w:hAnsi="ＭＳ ゴシック" w:hint="eastAsia"/>
          <w:noProof/>
          <w:sz w:val="22"/>
          <w:szCs w:val="22"/>
        </w:rPr>
        <mc:AlternateContent>
          <mc:Choice Requires="wps">
            <w:drawing>
              <wp:anchor distT="0" distB="0" distL="114300" distR="114300" simplePos="0" relativeHeight="253054976" behindDoc="0" locked="0" layoutInCell="1" allowOverlap="1" wp14:anchorId="4F66ACDE" wp14:editId="6B6CF22A">
                <wp:simplePos x="0" y="0"/>
                <wp:positionH relativeFrom="column">
                  <wp:posOffset>4160520</wp:posOffset>
                </wp:positionH>
                <wp:positionV relativeFrom="paragraph">
                  <wp:posOffset>173990</wp:posOffset>
                </wp:positionV>
                <wp:extent cx="1371600" cy="685800"/>
                <wp:effectExtent l="7620" t="12065" r="11430" b="6985"/>
                <wp:wrapNone/>
                <wp:docPr id="4226" name="AutoShape 224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371600" cy="685800"/>
                        </a:xfrm>
                        <a:prstGeom prst="roundRect">
                          <a:avLst>
                            <a:gd name="adj" fmla="val 16667"/>
                          </a:avLst>
                        </a:prstGeom>
                        <a:solidFill>
                          <a:srgbClr val="FFFFFF"/>
                        </a:solidFill>
                        <a:ln w="9525">
                          <a:solidFill>
                            <a:srgbClr val="000000"/>
                          </a:solidFill>
                          <a:round/>
                          <a:headEnd/>
                          <a:tailEnd/>
                        </a:ln>
                      </wps:spPr>
                      <wps:txbx>
                        <w:txbxContent>
                          <w:p w14:paraId="435F9FFF" w14:textId="77777777" w:rsidR="006A5267" w:rsidRDefault="006A5267" w:rsidP="008B4B2B"/>
                          <w:p w14:paraId="4689C218" w14:textId="77777777" w:rsidR="006A5267" w:rsidRPr="002F153F" w:rsidRDefault="006A5267" w:rsidP="008B4B2B">
                            <w:pPr>
                              <w:jc w:val="center"/>
                              <w:rPr>
                                <w:rFonts w:ascii="ＭＳ ゴシック" w:eastAsia="ＭＳ ゴシック" w:hAnsi="ＭＳ ゴシック"/>
                                <w:sz w:val="22"/>
                                <w:szCs w:val="22"/>
                              </w:rPr>
                            </w:pPr>
                            <w:r w:rsidRPr="002F153F">
                              <w:rPr>
                                <w:rFonts w:ascii="ＭＳ ゴシック" w:eastAsia="ＭＳ ゴシック" w:hAnsi="ＭＳ ゴシック" w:hint="eastAsia"/>
                                <w:sz w:val="22"/>
                                <w:szCs w:val="22"/>
                              </w:rPr>
                              <w:t>市</w:t>
                            </w:r>
                            <w:r>
                              <w:rPr>
                                <w:rFonts w:ascii="ＭＳ ゴシック" w:eastAsia="ＭＳ ゴシック" w:hAnsi="ＭＳ ゴシック" w:hint="eastAsia"/>
                                <w:sz w:val="22"/>
                                <w:szCs w:val="22"/>
                              </w:rPr>
                              <w:t xml:space="preserve">　</w:t>
                            </w:r>
                            <w:r w:rsidRPr="002F153F">
                              <w:rPr>
                                <w:rFonts w:ascii="ＭＳ ゴシック" w:eastAsia="ＭＳ ゴシック" w:hAnsi="ＭＳ ゴシック" w:hint="eastAsia"/>
                                <w:sz w:val="22"/>
                                <w:szCs w:val="22"/>
                              </w:rPr>
                              <w:t>町</w:t>
                            </w:r>
                            <w:r>
                              <w:rPr>
                                <w:rFonts w:ascii="ＭＳ ゴシック" w:eastAsia="ＭＳ ゴシック" w:hAnsi="ＭＳ ゴシック" w:hint="eastAsia"/>
                                <w:sz w:val="22"/>
                                <w:szCs w:val="22"/>
                              </w:rPr>
                              <w:t xml:space="preserve">　</w:t>
                            </w:r>
                            <w:r w:rsidRPr="002F153F">
                              <w:rPr>
                                <w:rFonts w:ascii="ＭＳ ゴシック" w:eastAsia="ＭＳ ゴシック" w:hAnsi="ＭＳ ゴシック" w:hint="eastAsia"/>
                                <w:sz w:val="22"/>
                                <w:szCs w:val="22"/>
                              </w:rPr>
                              <w:t>村</w:t>
                            </w:r>
                            <w:r>
                              <w:rPr>
                                <w:rFonts w:ascii="ＭＳ ゴシック" w:eastAsia="ＭＳ ゴシック" w:hAnsi="ＭＳ ゴシック" w:hint="eastAsia"/>
                                <w:sz w:val="22"/>
                                <w:szCs w:val="22"/>
                              </w:rPr>
                              <w:t xml:space="preserve">　</w:t>
                            </w:r>
                            <w:r w:rsidRPr="002F153F">
                              <w:rPr>
                                <w:rFonts w:ascii="ＭＳ ゴシック" w:eastAsia="ＭＳ ゴシック" w:hAnsi="ＭＳ ゴシック" w:hint="eastAsia"/>
                                <w:sz w:val="22"/>
                                <w:szCs w:val="22"/>
                              </w:rPr>
                              <w:t>長</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roundrect w14:anchorId="4F66ACDE" id="AutoShape 2242" o:spid="_x0000_s1279" style="position:absolute;left:0;text-align:left;margin-left:327.6pt;margin-top:13.7pt;width:108pt;height:54pt;z-index:2530549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">
                <v:textbox inset="5.85pt,.7pt,5.85pt,.7pt">
                  <w:txbxContent>
                    <w:p w14:paraId="435F9FFF" w14:textId="77777777" w:rsidR="006A5267" w:rsidRDefault="006A5267" w:rsidP="008B4B2B"/>
                    <w:p w14:paraId="4689C218" w14:textId="77777777" w:rsidR="006A5267" w:rsidRPr="002F153F" w:rsidRDefault="006A5267" w:rsidP="008B4B2B">
                      <w:pPr>
                        <w:jc w:val="center"/>
                        <w:rPr>
                          <w:rFonts w:ascii="ＭＳ ゴシック" w:eastAsia="ＭＳ ゴシック" w:hAnsi="ＭＳ ゴシック"/>
                          <w:sz w:val="22"/>
                          <w:szCs w:val="22"/>
                        </w:rPr>
                      </w:pPr>
                      <w:r w:rsidRPr="002F153F">
                        <w:rPr>
                          <w:rFonts w:ascii="ＭＳ ゴシック" w:eastAsia="ＭＳ ゴシック" w:hAnsi="ＭＳ ゴシック" w:hint="eastAsia"/>
                          <w:sz w:val="22"/>
                          <w:szCs w:val="22"/>
                        </w:rPr>
                        <w:t>市</w:t>
                      </w:r>
                      <w:r>
                        <w:rPr>
                          <w:rFonts w:ascii="ＭＳ ゴシック" w:eastAsia="ＭＳ ゴシック" w:hAnsi="ＭＳ ゴシック" w:hint="eastAsia"/>
                          <w:sz w:val="22"/>
                          <w:szCs w:val="22"/>
                        </w:rPr>
                        <w:t xml:space="preserve">　</w:t>
                      </w:r>
                      <w:r w:rsidRPr="002F153F">
                        <w:rPr>
                          <w:rFonts w:ascii="ＭＳ ゴシック" w:eastAsia="ＭＳ ゴシック" w:hAnsi="ＭＳ ゴシック" w:hint="eastAsia"/>
                          <w:sz w:val="22"/>
                          <w:szCs w:val="22"/>
                        </w:rPr>
                        <w:t>町</w:t>
                      </w:r>
                      <w:r>
                        <w:rPr>
                          <w:rFonts w:ascii="ＭＳ ゴシック" w:eastAsia="ＭＳ ゴシック" w:hAnsi="ＭＳ ゴシック" w:hint="eastAsia"/>
                          <w:sz w:val="22"/>
                          <w:szCs w:val="22"/>
                        </w:rPr>
                        <w:t xml:space="preserve">　</w:t>
                      </w:r>
                      <w:r w:rsidRPr="002F153F">
                        <w:rPr>
                          <w:rFonts w:ascii="ＭＳ ゴシック" w:eastAsia="ＭＳ ゴシック" w:hAnsi="ＭＳ ゴシック" w:hint="eastAsia"/>
                          <w:sz w:val="22"/>
                          <w:szCs w:val="22"/>
                        </w:rPr>
                        <w:t>村</w:t>
                      </w:r>
                      <w:r>
                        <w:rPr>
                          <w:rFonts w:ascii="ＭＳ ゴシック" w:eastAsia="ＭＳ ゴシック" w:hAnsi="ＭＳ ゴシック" w:hint="eastAsia"/>
                          <w:sz w:val="22"/>
                          <w:szCs w:val="22"/>
                        </w:rPr>
                        <w:t xml:space="preserve">　</w:t>
                      </w:r>
                      <w:r w:rsidRPr="002F153F">
                        <w:rPr>
                          <w:rFonts w:ascii="ＭＳ ゴシック" w:eastAsia="ＭＳ ゴシック" w:hAnsi="ＭＳ ゴシック" w:hint="eastAsia"/>
                          <w:sz w:val="22"/>
                          <w:szCs w:val="22"/>
                        </w:rPr>
                        <w:t>長</w:t>
                      </w:r>
                    </w:p>
                  </w:txbxContent>
                </v:textbox>
              </v:roundrect>
            </w:pict>
          </mc:Fallback>
        </mc:AlternateContent>
      </w:r>
      <w:r w:rsidRPr="001D6D10">
        <w:rPr>
          <w:rFonts w:ascii="ＭＳ ゴシック" w:eastAsia="ＭＳ ゴシック" w:hAnsi="ＭＳ ゴシック" w:hint="eastAsia"/>
          <w:noProof/>
          <w:sz w:val="22"/>
          <w:szCs w:val="22"/>
        </w:rPr>
        <mc:AlternateContent>
          <mc:Choice Requires="wps">
            <w:drawing>
              <wp:anchor distT="0" distB="0" distL="114300" distR="114300" simplePos="0" relativeHeight="253058048" behindDoc="0" locked="0" layoutInCell="1" allowOverlap="1" wp14:anchorId="4D88980D" wp14:editId="4D932D71">
                <wp:simplePos x="0" y="0"/>
                <wp:positionH relativeFrom="column">
                  <wp:posOffset>2217420</wp:posOffset>
                </wp:positionH>
                <wp:positionV relativeFrom="paragraph">
                  <wp:posOffset>173990</wp:posOffset>
                </wp:positionV>
                <wp:extent cx="1600200" cy="914400"/>
                <wp:effectExtent l="17145" t="21590" r="11430" b="6985"/>
                <wp:wrapNone/>
                <wp:docPr id="4225" name="AutoShape 224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600200" cy="914400"/>
                        </a:xfrm>
                        <a:prstGeom prst="leftArrow">
                          <a:avLst>
                            <a:gd name="adj1" fmla="val 50000"/>
                            <a:gd name="adj2" fmla="val 43750"/>
                          </a:avLst>
                        </a:prstGeom>
                        <a:solidFill>
                          <a:srgbClr val="FFFFFF"/>
                        </a:solidFill>
                        <a:ln w="9525">
                          <a:solidFill>
                            <a:srgbClr val="000000"/>
                          </a:solidFill>
                          <a:miter lim="800000"/>
                          <a:headEnd/>
                          <a:tailEnd/>
                        </a:ln>
                      </wps:spPr>
                      <wps:txbx>
                        <w:txbxContent>
                          <w:p w14:paraId="3362B308" w14:textId="77777777" w:rsidR="006A5267" w:rsidRDefault="006A5267" w:rsidP="008B4B2B">
                            <w:pPr>
                              <w:ind w:firstLineChars="100" w:firstLine="221"/>
                              <w:rPr>
                                <w:rFonts w:ascii="ＭＳ ゴシック" w:eastAsia="ＭＳ ゴシック" w:hAnsi="ＭＳ ゴシック"/>
                                <w:sz w:val="22"/>
                                <w:szCs w:val="22"/>
                              </w:rPr>
                            </w:pPr>
                            <w:r>
                              <w:rPr>
                                <w:rFonts w:ascii="ＭＳ ゴシック" w:eastAsia="ＭＳ ゴシック" w:hAnsi="ＭＳ ゴシック" w:hint="eastAsia"/>
                                <w:sz w:val="22"/>
                                <w:szCs w:val="22"/>
                              </w:rPr>
                              <w:t>緊急消防援助隊</w:t>
                            </w:r>
                          </w:p>
                          <w:p w14:paraId="6C7AFDF0" w14:textId="77777777" w:rsidR="006A5267" w:rsidRPr="002D24D5" w:rsidRDefault="006A5267" w:rsidP="008B4B2B">
                            <w:pPr>
                              <w:ind w:firstLineChars="100" w:firstLine="221"/>
                              <w:rPr>
                                <w:rFonts w:ascii="ＭＳ ゴシック" w:eastAsia="ＭＳ ゴシック" w:hAnsi="ＭＳ ゴシック"/>
                                <w:sz w:val="22"/>
                                <w:szCs w:val="22"/>
                              </w:rPr>
                            </w:pPr>
                            <w:r>
                              <w:rPr>
                                <w:rFonts w:ascii="ＭＳ ゴシック" w:eastAsia="ＭＳ ゴシック" w:hAnsi="ＭＳ ゴシック" w:hint="eastAsia"/>
                                <w:sz w:val="22"/>
                                <w:szCs w:val="22"/>
                              </w:rPr>
                              <w:t>の出動</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shapetype w14:anchorId="4D88980D" id="_x0000_t66" coordsize="21600,21600" o:spt="66" adj="5400,5400" path="m@0,l@0@1,21600@1,21600@2@0@2@0,21600,,10800xe">
                <v:stroke joinstyle="miter"/>
                <v:formulas>
                  <v:f eqn="val #0"/>
                  <v:f eqn="val #1"/>
                  <v:f eqn="sum 21600 0 #1"/>
                  <v:f eqn="prod #0 #1 10800"/>
                  <v:f eqn="sum #0 0 @3"/>
                </v:formulas>
                <v:path o:connecttype="custom" o:connectlocs="@0,0;0,10800;@0,21600;21600,10800" o:connectangles="270,180,90,0" textboxrect="@4,@1,21600,@2"/>
                <v:handles>
                  <v:h position="#0,#1" xrange="0,21600" yrange="0,10800"/>
                </v:handles>
              </v:shapetype>
              <v:shape id="AutoShape 2245" o:spid="_x0000_s1280" type="#_x0000_t66" style="position:absolute;left:0;text-align:left;margin-left:174.6pt;margin-top:13.7pt;width:126pt;height:1in;z-index:2530580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">
                <v:textbox inset="5.85pt,.7pt,5.85pt,.7pt">
                  <w:txbxContent>
                    <w:p w14:paraId="3362B308" w14:textId="77777777" w:rsidR="006A5267" w:rsidRDefault="006A5267" w:rsidP="008B4B2B">
                      <w:pPr>
                        <w:ind w:firstLineChars="100" w:firstLine="221"/>
                        <w:rPr>
                          <w:rFonts w:ascii="ＭＳ ゴシック" w:eastAsia="ＭＳ ゴシック" w:hAnsi="ＭＳ ゴシック"/>
                          <w:sz w:val="22"/>
                          <w:szCs w:val="22"/>
                        </w:rPr>
                      </w:pPr>
                      <w:r>
                        <w:rPr>
                          <w:rFonts w:ascii="ＭＳ ゴシック" w:eastAsia="ＭＳ ゴシック" w:hAnsi="ＭＳ ゴシック" w:hint="eastAsia"/>
                          <w:sz w:val="22"/>
                          <w:szCs w:val="22"/>
                        </w:rPr>
                        <w:t>緊急消防援助隊</w:t>
                      </w:r>
                    </w:p>
                    <w:p w14:paraId="6C7AFDF0" w14:textId="77777777" w:rsidR="006A5267" w:rsidRPr="002D24D5" w:rsidRDefault="006A5267" w:rsidP="008B4B2B">
                      <w:pPr>
                        <w:ind w:firstLineChars="100" w:firstLine="221"/>
                        <w:rPr>
                          <w:rFonts w:ascii="ＭＳ ゴシック" w:eastAsia="ＭＳ ゴシック" w:hAnsi="ＭＳ ゴシック"/>
                          <w:sz w:val="22"/>
                          <w:szCs w:val="22"/>
                        </w:rPr>
                      </w:pPr>
                      <w:r>
                        <w:rPr>
                          <w:rFonts w:ascii="ＭＳ ゴシック" w:eastAsia="ＭＳ ゴシック" w:hAnsi="ＭＳ ゴシック" w:hint="eastAsia"/>
                          <w:sz w:val="22"/>
                          <w:szCs w:val="22"/>
                        </w:rPr>
                        <w:t>の出動</w:t>
                      </w:r>
                    </w:p>
                  </w:txbxContent>
                </v:textbox>
              </v:shape>
            </w:pict>
          </mc:Fallback>
        </mc:AlternateContent>
      </w:r>
      <w:r w:rsidRPr="001D6D10">
        <w:rPr>
          <w:rFonts w:ascii="ＭＳ ゴシック" w:eastAsia="ＭＳ ゴシック" w:hAnsi="ＭＳ ゴシック" w:hint="eastAsia"/>
          <w:noProof/>
          <w:sz w:val="22"/>
          <w:szCs w:val="22"/>
        </w:rPr>
        <mc:AlternateContent>
          <mc:Choice Requires="wps">
            <w:drawing>
              <wp:anchor distT="0" distB="0" distL="114300" distR="114300" simplePos="0" relativeHeight="253050880" behindDoc="0" locked="0" layoutInCell="1" allowOverlap="1" wp14:anchorId="44A8FE4F" wp14:editId="22432F61">
                <wp:simplePos x="0" y="0"/>
                <wp:positionH relativeFrom="column">
                  <wp:posOffset>160020</wp:posOffset>
                </wp:positionH>
                <wp:positionV relativeFrom="paragraph">
                  <wp:posOffset>173990</wp:posOffset>
                </wp:positionV>
                <wp:extent cx="1943100" cy="571500"/>
                <wp:effectExtent l="45720" t="21590" r="59055" b="6985"/>
                <wp:wrapNone/>
                <wp:docPr id="4224" name="AutoShape 223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943100" cy="571500"/>
                        </a:xfrm>
                        <a:prstGeom prst="irregularSeal1">
                          <a:avLst/>
                        </a:prstGeom>
                        <a:solidFill>
                          <a:srgbClr val="FFFFFF"/>
                        </a:solidFill>
                        <a:ln w="9525">
                          <a:solidFill>
                            <a:srgbClr val="000000"/>
                          </a:solidFill>
                          <a:miter lim="800000"/>
                          <a:headEnd/>
                          <a:tailEnd/>
                        </a:ln>
                      </wps:spPr>
                      <wps:txbx>
                        <w:txbxContent>
                          <w:p w14:paraId="7C81B2BA" w14:textId="77777777" w:rsidR="006A5267" w:rsidRPr="004824F3" w:rsidRDefault="006A5267" w:rsidP="008B4B2B">
                            <w:pPr>
                              <w:ind w:firstLineChars="100" w:firstLine="201"/>
                              <w:rPr>
                                <w:rFonts w:ascii="ＭＳ ゴシック" w:eastAsia="ＭＳ ゴシック" w:hAnsi="ＭＳ ゴシック"/>
                                <w:sz w:val="20"/>
                                <w:szCs w:val="20"/>
                              </w:rPr>
                            </w:pPr>
                            <w:r>
                              <w:rPr>
                                <w:rFonts w:ascii="ＭＳ ゴシック" w:eastAsia="ＭＳ ゴシック" w:hAnsi="ＭＳ ゴシック" w:hint="eastAsia"/>
                                <w:sz w:val="20"/>
                                <w:szCs w:val="20"/>
                              </w:rPr>
                              <w:t>災害等発生</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shape w14:anchorId="44A8FE4F" id="AutoShape 2238" o:spid="_x0000_s1281" type="#_x0000_t71" style="position:absolute;left:0;text-align:left;margin-left:12.6pt;margin-top:13.7pt;width:153pt;height:45pt;z-index:2530508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">
                <v:textbox inset="5.85pt,.7pt,5.85pt,.7pt">
                  <w:txbxContent>
                    <w:p w14:paraId="7C81B2BA" w14:textId="77777777" w:rsidR="006A5267" w:rsidRPr="004824F3" w:rsidRDefault="006A5267" w:rsidP="008B4B2B">
                      <w:pPr>
                        <w:ind w:firstLineChars="100" w:firstLine="201"/>
                        <w:rPr>
                          <w:rFonts w:ascii="ＭＳ ゴシック" w:eastAsia="ＭＳ ゴシック" w:hAnsi="ＭＳ ゴシック"/>
                          <w:sz w:val="20"/>
                          <w:szCs w:val="20"/>
                        </w:rPr>
                      </w:pPr>
                      <w:r>
                        <w:rPr>
                          <w:rFonts w:ascii="ＭＳ ゴシック" w:eastAsia="ＭＳ ゴシック" w:hAnsi="ＭＳ ゴシック" w:hint="eastAsia"/>
                          <w:sz w:val="20"/>
                          <w:szCs w:val="20"/>
                        </w:rPr>
                        <w:t>災害等発生</w:t>
                      </w:r>
                    </w:p>
                  </w:txbxContent>
                </v:textbox>
              </v:shape>
            </w:pict>
          </mc:Fallback>
        </mc:AlternateContent>
      </w:r>
    </w:p>
    <w:p w14:paraId="77A7C56A" w14:textId="77777777" w:rsidR="008B4B2B" w:rsidRPr="001D6D10" w:rsidRDefault="008B4B2B" w:rsidP="008B4B2B">
      <w:pPr>
        <w:ind w:firstLineChars="100" w:firstLine="221"/>
        <w:rPr>
          <w:rFonts w:ascii="ＭＳ ゴシック" w:eastAsia="ＭＳ ゴシック" w:hAnsi="ＭＳ ゴシック"/>
          <w:sz w:val="22"/>
          <w:szCs w:val="22"/>
        </w:rPr>
      </w:pPr>
    </w:p>
    <w:p w14:paraId="7A4D5D9A" w14:textId="77777777" w:rsidR="008B4B2B" w:rsidRPr="001D6D10" w:rsidRDefault="008B4B2B" w:rsidP="008B4B2B">
      <w:pPr>
        <w:ind w:firstLineChars="100" w:firstLine="221"/>
        <w:rPr>
          <w:rFonts w:ascii="ＭＳ ゴシック" w:eastAsia="ＭＳ ゴシック" w:hAnsi="ＭＳ ゴシック"/>
          <w:sz w:val="22"/>
          <w:szCs w:val="22"/>
        </w:rPr>
      </w:pPr>
    </w:p>
    <w:p w14:paraId="050CE4F2" w14:textId="77777777" w:rsidR="008B4B2B" w:rsidRPr="001D6D10" w:rsidRDefault="008B4B2B" w:rsidP="008B4B2B">
      <w:pPr>
        <w:ind w:firstLineChars="100" w:firstLine="221"/>
        <w:rPr>
          <w:rFonts w:ascii="ＭＳ ゴシック" w:eastAsia="ＭＳ ゴシック" w:hAnsi="ＭＳ ゴシック"/>
          <w:sz w:val="22"/>
          <w:szCs w:val="22"/>
        </w:rPr>
      </w:pPr>
    </w:p>
    <w:p w14:paraId="5AB7BF1A" w14:textId="77777777" w:rsidR="008B4B2B" w:rsidRPr="001D6D10" w:rsidRDefault="008B4B2B" w:rsidP="008B4B2B">
      <w:pPr>
        <w:ind w:firstLineChars="100" w:firstLine="221"/>
        <w:rPr>
          <w:rFonts w:ascii="ＭＳ ゴシック" w:eastAsia="ＭＳ ゴシック" w:hAnsi="ＭＳ ゴシック"/>
          <w:sz w:val="22"/>
          <w:szCs w:val="22"/>
        </w:rPr>
      </w:pPr>
      <w:r w:rsidRPr="001D6D10">
        <w:rPr>
          <w:rFonts w:ascii="ＭＳ ゴシック" w:eastAsia="ＭＳ ゴシック" w:hAnsi="ＭＳ ゴシック" w:hint="eastAsia"/>
          <w:noProof/>
          <w:sz w:val="22"/>
          <w:szCs w:val="22"/>
        </w:rPr>
        <mc:AlternateContent>
          <mc:Choice Requires="wps">
            <w:drawing>
              <wp:anchor distT="0" distB="0" distL="114300" distR="114300" simplePos="0" relativeHeight="253049856" behindDoc="0" locked="0" layoutInCell="1" allowOverlap="1" wp14:anchorId="4B6EDDCE" wp14:editId="067D623A">
                <wp:simplePos x="0" y="0"/>
                <wp:positionH relativeFrom="column">
                  <wp:posOffset>45720</wp:posOffset>
                </wp:positionH>
                <wp:positionV relativeFrom="paragraph">
                  <wp:posOffset>2540</wp:posOffset>
                </wp:positionV>
                <wp:extent cx="1257300" cy="800100"/>
                <wp:effectExtent l="7620" t="12065" r="11430" b="6985"/>
                <wp:wrapNone/>
                <wp:docPr id="4223" name="AutoShape 223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57300" cy="800100"/>
                        </a:xfrm>
                        <a:prstGeom prst="roundRect">
                          <a:avLst>
                            <a:gd name="adj" fmla="val 16667"/>
                          </a:avLst>
                        </a:prstGeom>
                        <a:solidFill>
                          <a:srgbClr val="FFFFFF"/>
                        </a:solidFill>
                        <a:ln w="9525">
                          <a:solidFill>
                            <a:srgbClr val="000000"/>
                          </a:solidFill>
                          <a:round/>
                          <a:headEnd/>
                          <a:tailEnd/>
                        </a:ln>
                      </wps:spPr>
                      <wps:txbx>
                        <w:txbxContent>
                          <w:p w14:paraId="5A92E04B" w14:textId="77777777" w:rsidR="006A5267" w:rsidRPr="004824F3" w:rsidRDefault="006A5267" w:rsidP="008B4B2B">
                            <w:pPr>
                              <w:rPr>
                                <w:rFonts w:ascii="ＭＳ ゴシック" w:eastAsia="ＭＳ ゴシック" w:hAnsi="ＭＳ ゴシック"/>
                                <w:sz w:val="22"/>
                                <w:szCs w:val="22"/>
                              </w:rPr>
                            </w:pPr>
                            <w:r w:rsidRPr="004824F3">
                              <w:rPr>
                                <w:rFonts w:ascii="ＭＳ ゴシック" w:eastAsia="ＭＳ ゴシック" w:hAnsi="ＭＳ ゴシック" w:hint="eastAsia"/>
                                <w:sz w:val="18"/>
                                <w:szCs w:val="18"/>
                              </w:rPr>
                              <w:t>災害等の発生した市町村の属する</w:t>
                            </w:r>
                            <w:r>
                              <w:rPr>
                                <w:rFonts w:ascii="ＭＳ ゴシック" w:eastAsia="ＭＳ ゴシック" w:hAnsi="ＭＳ ゴシック" w:hint="eastAsia"/>
                                <w:sz w:val="18"/>
                                <w:szCs w:val="18"/>
                              </w:rPr>
                              <w:t xml:space="preserve">　</w:t>
                            </w:r>
                            <w:r w:rsidRPr="009E7F7D">
                              <w:rPr>
                                <w:rFonts w:ascii="ＭＳ ゴシック" w:eastAsia="ＭＳ ゴシック" w:hAnsi="ＭＳ ゴシック" w:hint="eastAsia"/>
                                <w:sz w:val="24"/>
                              </w:rPr>
                              <w:t>都道府県知事</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roundrect w14:anchorId="4B6EDDCE" id="AutoShape 2237" o:spid="_x0000_s1282" style="position:absolute;left:0;text-align:left;margin-left:3.6pt;margin-top:.2pt;width:99pt;height:63pt;z-index:2530498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">
                <v:textbox inset="5.85pt,.7pt,5.85pt,.7pt">
                  <w:txbxContent>
                    <w:p w14:paraId="5A92E04B" w14:textId="77777777" w:rsidR="006A5267" w:rsidRPr="004824F3" w:rsidRDefault="006A5267" w:rsidP="008B4B2B">
                      <w:pPr>
                        <w:rPr>
                          <w:rFonts w:ascii="ＭＳ ゴシック" w:eastAsia="ＭＳ ゴシック" w:hAnsi="ＭＳ ゴシック"/>
                          <w:sz w:val="22"/>
                          <w:szCs w:val="22"/>
                        </w:rPr>
                      </w:pPr>
                      <w:r w:rsidRPr="004824F3">
                        <w:rPr>
                          <w:rFonts w:ascii="ＭＳ ゴシック" w:eastAsia="ＭＳ ゴシック" w:hAnsi="ＭＳ ゴシック" w:hint="eastAsia"/>
                          <w:sz w:val="18"/>
                          <w:szCs w:val="18"/>
                        </w:rPr>
                        <w:t>災害等の発生した市町村の属する</w:t>
                      </w:r>
                      <w:r>
                        <w:rPr>
                          <w:rFonts w:ascii="ＭＳ ゴシック" w:eastAsia="ＭＳ ゴシック" w:hAnsi="ＭＳ ゴシック" w:hint="eastAsia"/>
                          <w:sz w:val="18"/>
                          <w:szCs w:val="18"/>
                        </w:rPr>
                        <w:t xml:space="preserve">　</w:t>
                      </w:r>
                      <w:r w:rsidRPr="009E7F7D">
                        <w:rPr>
                          <w:rFonts w:ascii="ＭＳ ゴシック" w:eastAsia="ＭＳ ゴシック" w:hAnsi="ＭＳ ゴシック" w:hint="eastAsia"/>
                          <w:sz w:val="24"/>
                        </w:rPr>
                        <w:t>都道府県知事</w:t>
                      </w:r>
                    </w:p>
                  </w:txbxContent>
                </v:textbox>
              </v:roundrect>
            </w:pict>
          </mc:Fallback>
        </mc:AlternateContent>
      </w:r>
      <w:r w:rsidRPr="001D6D10">
        <w:rPr>
          <w:rFonts w:ascii="ＭＳ ゴシック" w:eastAsia="ＭＳ ゴシック" w:hAnsi="ＭＳ ゴシック" w:hint="eastAsia"/>
          <w:noProof/>
          <w:sz w:val="22"/>
          <w:szCs w:val="22"/>
        </w:rPr>
        <mc:AlternateContent>
          <mc:Choice Requires="wps">
            <w:drawing>
              <wp:anchor distT="0" distB="0" distL="114300" distR="114300" simplePos="0" relativeHeight="253067264" behindDoc="0" locked="0" layoutInCell="1" allowOverlap="1" wp14:anchorId="6D7BDC4B" wp14:editId="132DF136">
                <wp:simplePos x="0" y="0"/>
                <wp:positionH relativeFrom="column">
                  <wp:posOffset>4503420</wp:posOffset>
                </wp:positionH>
                <wp:positionV relativeFrom="paragraph">
                  <wp:posOffset>2540</wp:posOffset>
                </wp:positionV>
                <wp:extent cx="525780" cy="1485900"/>
                <wp:effectExtent l="17145" t="21590" r="19050" b="6985"/>
                <wp:wrapNone/>
                <wp:docPr id="4222" name="AutoShape 225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25780" cy="1485900"/>
                        </a:xfrm>
                        <a:prstGeom prst="upArrow">
                          <a:avLst>
                            <a:gd name="adj1" fmla="val 50000"/>
                            <a:gd name="adj2" fmla="val 70652"/>
                          </a:avLst>
                        </a:prstGeom>
                        <a:solidFill>
                          <a:srgbClr val="FFFFFF"/>
                        </a:solidFill>
                        <a:ln w="9525">
                          <a:solidFill>
                            <a:srgbClr val="000000"/>
                          </a:solidFill>
                          <a:miter lim="800000"/>
                          <a:headEnd/>
                          <a:tailEnd/>
                        </a:ln>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shape w14:anchorId="3F71F435" id="AutoShape 2254" o:spid="_x0000_s1026" type="#_x0000_t68" style="position:absolute;left:0;text-align:left;margin-left:354.6pt;margin-top:.2pt;width:41.4pt;height:117pt;z-index:253067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">
                <v:textbox inset="5.85pt,.7pt,5.85pt,.7pt"/>
              </v:shape>
            </w:pict>
          </mc:Fallback>
        </mc:AlternateContent>
      </w:r>
    </w:p>
    <w:p w14:paraId="562B2235" w14:textId="77777777" w:rsidR="008B4B2B" w:rsidRPr="001D6D10" w:rsidRDefault="008B4B2B" w:rsidP="008B4B2B">
      <w:pPr>
        <w:ind w:firstLineChars="100" w:firstLine="221"/>
        <w:rPr>
          <w:rFonts w:ascii="ＭＳ ゴシック" w:eastAsia="ＭＳ ゴシック" w:hAnsi="ＭＳ ゴシック"/>
          <w:sz w:val="22"/>
          <w:szCs w:val="22"/>
        </w:rPr>
      </w:pPr>
      <w:r w:rsidRPr="001D6D10">
        <w:rPr>
          <w:rFonts w:ascii="ＭＳ ゴシック" w:eastAsia="ＭＳ ゴシック" w:hAnsi="ＭＳ ゴシック" w:hint="eastAsia"/>
          <w:noProof/>
          <w:sz w:val="22"/>
          <w:szCs w:val="22"/>
        </w:rPr>
        <mc:AlternateContent>
          <mc:Choice Requires="wps">
            <w:drawing>
              <wp:anchor distT="0" distB="0" distL="114300" distR="114300" simplePos="0" relativeHeight="253063168" behindDoc="0" locked="0" layoutInCell="1" allowOverlap="1" wp14:anchorId="15898AD7" wp14:editId="648B698D">
                <wp:simplePos x="0" y="0"/>
                <wp:positionH relativeFrom="column">
                  <wp:posOffset>1417320</wp:posOffset>
                </wp:positionH>
                <wp:positionV relativeFrom="paragraph">
                  <wp:posOffset>55245</wp:posOffset>
                </wp:positionV>
                <wp:extent cx="1257300" cy="685800"/>
                <wp:effectExtent l="0" t="0" r="1905" b="1905"/>
                <wp:wrapNone/>
                <wp:docPr id="4221" name="Text Box 225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57300" cy="685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4B5641A" w14:textId="77777777" w:rsidR="006A5267" w:rsidRDefault="006A5267" w:rsidP="008B4B2B">
                            <w:pPr>
                              <w:spacing w:line="240" w:lineRule="exact"/>
                              <w:rPr>
                                <w:rFonts w:ascii="ＭＳ ゴシック" w:eastAsia="ＭＳ ゴシック" w:hAnsi="ＭＳ ゴシック"/>
                                <w:sz w:val="20"/>
                                <w:szCs w:val="20"/>
                              </w:rPr>
                            </w:pPr>
                            <w:r>
                              <w:rPr>
                                <w:rFonts w:ascii="ＭＳ ゴシック" w:eastAsia="ＭＳ ゴシック" w:hAnsi="ＭＳ ゴシック" w:hint="eastAsia"/>
                                <w:sz w:val="20"/>
                                <w:szCs w:val="20"/>
                              </w:rPr>
                              <w:t>緊急の場合の市町村長への応援出動等の措置の求め</w:t>
                            </w:r>
                          </w:p>
                          <w:p w14:paraId="2DCE0FC4" w14:textId="77777777" w:rsidR="006A5267" w:rsidRPr="009E7F7D" w:rsidRDefault="006A5267" w:rsidP="008B4B2B">
                            <w:pPr>
                              <w:spacing w:line="240" w:lineRule="exact"/>
                              <w:rPr>
                                <w:rFonts w:ascii="ＭＳ ゴシック" w:eastAsia="ＭＳ ゴシック" w:hAnsi="ＭＳ ゴシック"/>
                                <w:sz w:val="20"/>
                                <w:szCs w:val="20"/>
                              </w:rPr>
                            </w:pPr>
                            <w:r>
                              <w:rPr>
                                <w:rFonts w:ascii="ＭＳ ゴシック" w:eastAsia="ＭＳ ゴシック" w:hAnsi="ＭＳ ゴシック" w:hint="eastAsia"/>
                                <w:sz w:val="20"/>
                                <w:szCs w:val="20"/>
                              </w:rPr>
                              <w:t>（法第44条第4項）</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shape w14:anchorId="15898AD7" id="Text Box 2250" o:spid="_x0000_s1283" type="#_x0000_t202" style="position:absolute;left:0;text-align:left;margin-left:111.6pt;margin-top:4.35pt;width:99pt;height:54pt;z-index:253063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" filled="f" stroked="f">
                <v:textbox inset="5.85pt,.7pt,5.85pt,.7pt">
                  <w:txbxContent>
                    <w:p w14:paraId="34B5641A" w14:textId="77777777" w:rsidR="006A5267" w:rsidRDefault="006A5267" w:rsidP="008B4B2B">
                      <w:pPr>
                        <w:spacing w:line="240" w:lineRule="exact"/>
                        <w:rPr>
                          <w:rFonts w:ascii="ＭＳ ゴシック" w:eastAsia="ＭＳ ゴシック" w:hAnsi="ＭＳ ゴシック"/>
                          <w:sz w:val="20"/>
                          <w:szCs w:val="20"/>
                        </w:rPr>
                      </w:pPr>
                      <w:r>
                        <w:rPr>
                          <w:rFonts w:ascii="ＭＳ ゴシック" w:eastAsia="ＭＳ ゴシック" w:hAnsi="ＭＳ ゴシック" w:hint="eastAsia"/>
                          <w:sz w:val="20"/>
                          <w:szCs w:val="20"/>
                        </w:rPr>
                        <w:t>緊急の場合の市町村長への応援出動等の措置の求め</w:t>
                      </w:r>
                    </w:p>
                    <w:p w14:paraId="2DCE0FC4" w14:textId="77777777" w:rsidR="006A5267" w:rsidRPr="009E7F7D" w:rsidRDefault="006A5267" w:rsidP="008B4B2B">
                      <w:pPr>
                        <w:spacing w:line="240" w:lineRule="exact"/>
                        <w:rPr>
                          <w:rFonts w:ascii="ＭＳ ゴシック" w:eastAsia="ＭＳ ゴシック" w:hAnsi="ＭＳ ゴシック"/>
                          <w:sz w:val="20"/>
                          <w:szCs w:val="20"/>
                        </w:rPr>
                      </w:pPr>
                      <w:r>
                        <w:rPr>
                          <w:rFonts w:ascii="ＭＳ ゴシック" w:eastAsia="ＭＳ ゴシック" w:hAnsi="ＭＳ ゴシック" w:hint="eastAsia"/>
                          <w:sz w:val="20"/>
                          <w:szCs w:val="20"/>
                        </w:rPr>
                        <w:t>（法第44条第4項）</w:t>
                      </w:r>
                    </w:p>
                  </w:txbxContent>
                </v:textbox>
              </v:shape>
            </w:pict>
          </mc:Fallback>
        </mc:AlternateContent>
      </w:r>
    </w:p>
    <w:p w14:paraId="4FCC3C52" w14:textId="77777777" w:rsidR="008B4B2B" w:rsidRPr="001D6D10" w:rsidRDefault="008B4B2B" w:rsidP="008B4B2B">
      <w:pPr>
        <w:ind w:firstLineChars="100" w:firstLine="221"/>
        <w:rPr>
          <w:rFonts w:ascii="ＭＳ ゴシック" w:eastAsia="ＭＳ ゴシック" w:hAnsi="ＭＳ ゴシック"/>
          <w:sz w:val="22"/>
          <w:szCs w:val="22"/>
        </w:rPr>
      </w:pPr>
    </w:p>
    <w:p w14:paraId="6932F34C" w14:textId="77777777" w:rsidR="008B4B2B" w:rsidRPr="001D6D10" w:rsidRDefault="008B4B2B" w:rsidP="008B4B2B">
      <w:pPr>
        <w:ind w:firstLineChars="100" w:firstLine="221"/>
        <w:rPr>
          <w:rFonts w:ascii="ＭＳ ゴシック" w:eastAsia="ＭＳ ゴシック" w:hAnsi="ＭＳ ゴシック"/>
          <w:sz w:val="22"/>
          <w:szCs w:val="22"/>
        </w:rPr>
      </w:pPr>
    </w:p>
    <w:p w14:paraId="62AC9ED2" w14:textId="77777777" w:rsidR="008B4B2B" w:rsidRPr="001D6D10" w:rsidRDefault="008B4B2B" w:rsidP="008B4B2B">
      <w:pPr>
        <w:ind w:firstLineChars="100" w:firstLine="221"/>
        <w:rPr>
          <w:rFonts w:ascii="ＭＳ ゴシック" w:eastAsia="ＭＳ ゴシック" w:hAnsi="ＭＳ ゴシック"/>
          <w:sz w:val="22"/>
          <w:szCs w:val="22"/>
        </w:rPr>
      </w:pPr>
      <w:r w:rsidRPr="001D6D10">
        <w:rPr>
          <w:rFonts w:ascii="ＭＳ ゴシック" w:eastAsia="ＭＳ ゴシック" w:hAnsi="ＭＳ ゴシック" w:hint="eastAsia"/>
          <w:noProof/>
          <w:sz w:val="22"/>
          <w:szCs w:val="22"/>
        </w:rPr>
        <mc:AlternateContent>
          <mc:Choice Requires="wps">
            <w:drawing>
              <wp:anchor distT="0" distB="0" distL="114300" distR="114300" simplePos="0" relativeHeight="253051904" behindDoc="0" locked="0" layoutInCell="1" allowOverlap="1" wp14:anchorId="114F669F" wp14:editId="535D2442">
                <wp:simplePos x="0" y="0"/>
                <wp:positionH relativeFrom="column">
                  <wp:posOffset>45720</wp:posOffset>
                </wp:positionH>
                <wp:positionV relativeFrom="paragraph">
                  <wp:posOffset>2540</wp:posOffset>
                </wp:positionV>
                <wp:extent cx="1257300" cy="457200"/>
                <wp:effectExtent l="0" t="2540" r="1905" b="0"/>
                <wp:wrapNone/>
                <wp:docPr id="4220" name="Text Box 223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57300" cy="4572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2682555" w14:textId="77777777" w:rsidR="006A5267" w:rsidRDefault="006A5267" w:rsidP="008B4B2B">
                            <w:pPr>
                              <w:spacing w:line="240" w:lineRule="exact"/>
                              <w:rPr>
                                <w:rFonts w:ascii="ＭＳ ゴシック" w:eastAsia="ＭＳ ゴシック" w:hAnsi="ＭＳ ゴシック"/>
                                <w:sz w:val="20"/>
                                <w:szCs w:val="20"/>
                              </w:rPr>
                            </w:pPr>
                            <w:r>
                              <w:rPr>
                                <w:rFonts w:ascii="ＭＳ ゴシック" w:eastAsia="ＭＳ ゴシック" w:hAnsi="ＭＳ ゴシック" w:hint="eastAsia"/>
                                <w:sz w:val="20"/>
                                <w:szCs w:val="20"/>
                              </w:rPr>
                              <w:t>被災市町村の消防の応援等の要請</w:t>
                            </w:r>
                          </w:p>
                          <w:p w14:paraId="706CEA7E" w14:textId="77777777" w:rsidR="006A5267" w:rsidRPr="004824F3" w:rsidRDefault="006A5267" w:rsidP="008B4B2B">
                            <w:pPr>
                              <w:spacing w:line="240" w:lineRule="exact"/>
                              <w:rPr>
                                <w:rFonts w:ascii="ＭＳ ゴシック" w:eastAsia="ＭＳ ゴシック" w:hAnsi="ＭＳ ゴシック"/>
                                <w:sz w:val="20"/>
                                <w:szCs w:val="20"/>
                              </w:rPr>
                            </w:pPr>
                            <w:r w:rsidRPr="00EE7823">
                              <w:rPr>
                                <w:rFonts w:ascii="ＭＳ ゴシック" w:eastAsia="ＭＳ ゴシック" w:hAnsi="ＭＳ ゴシック" w:hint="eastAsia"/>
                                <w:sz w:val="20"/>
                                <w:szCs w:val="20"/>
                              </w:rPr>
                              <w:t>（法第44条第1項）</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shape w14:anchorId="114F669F" id="Text Box 2239" o:spid="_x0000_s1284" type="#_x0000_t202" style="position:absolute;left:0;text-align:left;margin-left:3.6pt;margin-top:.2pt;width:99pt;height:36pt;z-index:2530519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" filled="f" stroked="f">
                <v:textbox inset="5.85pt,.7pt,5.85pt,.7pt">
                  <w:txbxContent>
                    <w:p w14:paraId="02682555" w14:textId="77777777" w:rsidR="006A5267" w:rsidRDefault="006A5267" w:rsidP="008B4B2B">
                      <w:pPr>
                        <w:spacing w:line="240" w:lineRule="exact"/>
                        <w:rPr>
                          <w:rFonts w:ascii="ＭＳ ゴシック" w:eastAsia="ＭＳ ゴシック" w:hAnsi="ＭＳ ゴシック"/>
                          <w:sz w:val="20"/>
                          <w:szCs w:val="20"/>
                        </w:rPr>
                      </w:pPr>
                      <w:r>
                        <w:rPr>
                          <w:rFonts w:ascii="ＭＳ ゴシック" w:eastAsia="ＭＳ ゴシック" w:hAnsi="ＭＳ ゴシック" w:hint="eastAsia"/>
                          <w:sz w:val="20"/>
                          <w:szCs w:val="20"/>
                        </w:rPr>
                        <w:t>被災市町村の消防の応援等の要請</w:t>
                      </w:r>
                    </w:p>
                    <w:p w14:paraId="706CEA7E" w14:textId="77777777" w:rsidR="006A5267" w:rsidRPr="004824F3" w:rsidRDefault="006A5267" w:rsidP="008B4B2B">
                      <w:pPr>
                        <w:spacing w:line="240" w:lineRule="exact"/>
                        <w:rPr>
                          <w:rFonts w:ascii="ＭＳ ゴシック" w:eastAsia="ＭＳ ゴシック" w:hAnsi="ＭＳ ゴシック"/>
                          <w:sz w:val="20"/>
                          <w:szCs w:val="20"/>
                        </w:rPr>
                      </w:pPr>
                      <w:r w:rsidRPr="00EE7823">
                        <w:rPr>
                          <w:rFonts w:ascii="ＭＳ ゴシック" w:eastAsia="ＭＳ ゴシック" w:hAnsi="ＭＳ ゴシック" w:hint="eastAsia"/>
                          <w:sz w:val="20"/>
                          <w:szCs w:val="20"/>
                        </w:rPr>
                        <w:t>（法第44条第1項）</w:t>
                      </w:r>
                    </w:p>
                  </w:txbxContent>
                </v:textbox>
              </v:shape>
            </w:pict>
          </mc:Fallback>
        </mc:AlternateContent>
      </w:r>
    </w:p>
    <w:p w14:paraId="1355D3EE" w14:textId="77777777" w:rsidR="008B4B2B" w:rsidRPr="001D6D10" w:rsidRDefault="008B4B2B" w:rsidP="008B4B2B">
      <w:pPr>
        <w:ind w:firstLineChars="100" w:firstLine="221"/>
        <w:rPr>
          <w:rFonts w:ascii="ＭＳ ゴシック" w:eastAsia="ＭＳ ゴシック" w:hAnsi="ＭＳ ゴシック"/>
          <w:sz w:val="22"/>
          <w:szCs w:val="22"/>
        </w:rPr>
      </w:pPr>
      <w:r w:rsidRPr="001D6D10">
        <w:rPr>
          <w:rFonts w:ascii="ＭＳ ゴシック" w:eastAsia="ＭＳ ゴシック" w:hAnsi="ＭＳ ゴシック" w:hint="eastAsia"/>
          <w:noProof/>
          <w:sz w:val="22"/>
          <w:szCs w:val="22"/>
        </w:rPr>
        <mc:AlternateContent>
          <mc:Choice Requires="wps">
            <w:drawing>
              <wp:anchor distT="0" distB="0" distL="114300" distR="114300" simplePos="0" relativeHeight="253064192" behindDoc="0" locked="0" layoutInCell="1" allowOverlap="1" wp14:anchorId="32777D6E" wp14:editId="3744D03E">
                <wp:simplePos x="0" y="0"/>
                <wp:positionH relativeFrom="column">
                  <wp:posOffset>2560320</wp:posOffset>
                </wp:positionH>
                <wp:positionV relativeFrom="paragraph">
                  <wp:posOffset>160020</wp:posOffset>
                </wp:positionV>
                <wp:extent cx="1257300" cy="571500"/>
                <wp:effectExtent l="0" t="0" r="1905" b="1905"/>
                <wp:wrapNone/>
                <wp:docPr id="4219" name="Text Box 225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57300" cy="5715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5253A0F" w14:textId="77777777" w:rsidR="006A5267" w:rsidRDefault="006A5267" w:rsidP="008B4B2B">
                            <w:pPr>
                              <w:spacing w:line="240" w:lineRule="exact"/>
                              <w:rPr>
                                <w:rFonts w:ascii="ＭＳ ゴシック" w:eastAsia="ＭＳ ゴシック" w:hAnsi="ＭＳ ゴシック"/>
                                <w:sz w:val="20"/>
                                <w:szCs w:val="20"/>
                              </w:rPr>
                            </w:pPr>
                            <w:r w:rsidRPr="009E7F7D">
                              <w:rPr>
                                <w:rFonts w:ascii="ＭＳ ゴシック" w:eastAsia="ＭＳ ゴシック" w:hAnsi="ＭＳ ゴシック" w:hint="eastAsia"/>
                                <w:sz w:val="20"/>
                                <w:szCs w:val="20"/>
                              </w:rPr>
                              <w:t>大</w:t>
                            </w:r>
                            <w:r>
                              <w:rPr>
                                <w:rFonts w:ascii="ＭＳ ゴシック" w:eastAsia="ＭＳ ゴシック" w:hAnsi="ＭＳ ゴシック" w:hint="eastAsia"/>
                                <w:sz w:val="20"/>
                                <w:szCs w:val="20"/>
                              </w:rPr>
                              <w:t>規模・特殊災害時の出動の指示</w:t>
                            </w:r>
                          </w:p>
                          <w:p w14:paraId="30314B49" w14:textId="77777777" w:rsidR="006A5267" w:rsidRPr="009E7F7D" w:rsidRDefault="006A5267" w:rsidP="008B4B2B">
                            <w:pPr>
                              <w:spacing w:line="240" w:lineRule="exact"/>
                              <w:rPr>
                                <w:rFonts w:ascii="ＭＳ ゴシック" w:eastAsia="ＭＳ ゴシック" w:hAnsi="ＭＳ ゴシック"/>
                                <w:sz w:val="20"/>
                                <w:szCs w:val="20"/>
                              </w:rPr>
                            </w:pPr>
                            <w:r>
                              <w:rPr>
                                <w:rFonts w:ascii="ＭＳ ゴシック" w:eastAsia="ＭＳ ゴシック" w:hAnsi="ＭＳ ゴシック" w:hint="eastAsia"/>
                                <w:sz w:val="20"/>
                                <w:szCs w:val="20"/>
                              </w:rPr>
                              <w:t>（法第44条第5項）</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shape w14:anchorId="32777D6E" id="Text Box 2251" o:spid="_x0000_s1285" type="#_x0000_t202" style="position:absolute;left:0;text-align:left;margin-left:201.6pt;margin-top:12.6pt;width:99pt;height:45pt;z-index:253064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" filled="f" stroked="f">
                <v:textbox inset="5.85pt,.7pt,5.85pt,.7pt">
                  <w:txbxContent>
                    <w:p w14:paraId="75253A0F" w14:textId="77777777" w:rsidR="006A5267" w:rsidRDefault="006A5267" w:rsidP="008B4B2B">
                      <w:pPr>
                        <w:spacing w:line="240" w:lineRule="exact"/>
                        <w:rPr>
                          <w:rFonts w:ascii="ＭＳ ゴシック" w:eastAsia="ＭＳ ゴシック" w:hAnsi="ＭＳ ゴシック"/>
                          <w:sz w:val="20"/>
                          <w:szCs w:val="20"/>
                        </w:rPr>
                      </w:pPr>
                      <w:r w:rsidRPr="009E7F7D">
                        <w:rPr>
                          <w:rFonts w:ascii="ＭＳ ゴシック" w:eastAsia="ＭＳ ゴシック" w:hAnsi="ＭＳ ゴシック" w:hint="eastAsia"/>
                          <w:sz w:val="20"/>
                          <w:szCs w:val="20"/>
                        </w:rPr>
                        <w:t>大</w:t>
                      </w:r>
                      <w:r>
                        <w:rPr>
                          <w:rFonts w:ascii="ＭＳ ゴシック" w:eastAsia="ＭＳ ゴシック" w:hAnsi="ＭＳ ゴシック" w:hint="eastAsia"/>
                          <w:sz w:val="20"/>
                          <w:szCs w:val="20"/>
                        </w:rPr>
                        <w:t>規模・特殊災害時の出動の指示</w:t>
                      </w:r>
                    </w:p>
                    <w:p w14:paraId="30314B49" w14:textId="77777777" w:rsidR="006A5267" w:rsidRPr="009E7F7D" w:rsidRDefault="006A5267" w:rsidP="008B4B2B">
                      <w:pPr>
                        <w:spacing w:line="240" w:lineRule="exact"/>
                        <w:rPr>
                          <w:rFonts w:ascii="ＭＳ ゴシック" w:eastAsia="ＭＳ ゴシック" w:hAnsi="ＭＳ ゴシック"/>
                          <w:sz w:val="20"/>
                          <w:szCs w:val="20"/>
                        </w:rPr>
                      </w:pPr>
                      <w:r>
                        <w:rPr>
                          <w:rFonts w:ascii="ＭＳ ゴシック" w:eastAsia="ＭＳ ゴシック" w:hAnsi="ＭＳ ゴシック" w:hint="eastAsia"/>
                          <w:sz w:val="20"/>
                          <w:szCs w:val="20"/>
                        </w:rPr>
                        <w:t>（法第44条第5項）</w:t>
                      </w:r>
                    </w:p>
                  </w:txbxContent>
                </v:textbox>
              </v:shape>
            </w:pict>
          </mc:Fallback>
        </mc:AlternateContent>
      </w:r>
      <w:r w:rsidRPr="001D6D10">
        <w:rPr>
          <w:rFonts w:ascii="ＭＳ ゴシック" w:eastAsia="ＭＳ ゴシック" w:hAnsi="ＭＳ ゴシック" w:hint="eastAsia"/>
          <w:noProof/>
          <w:sz w:val="22"/>
          <w:szCs w:val="22"/>
        </w:rPr>
        <mc:AlternateContent>
          <mc:Choice Requires="wps">
            <w:drawing>
              <wp:anchor distT="0" distB="0" distL="114300" distR="114300" simplePos="0" relativeHeight="253062144" behindDoc="0" locked="0" layoutInCell="1" allowOverlap="1" wp14:anchorId="667AD373" wp14:editId="65F5B350">
                <wp:simplePos x="0" y="0"/>
                <wp:positionH relativeFrom="column">
                  <wp:posOffset>635635</wp:posOffset>
                </wp:positionH>
                <wp:positionV relativeFrom="paragraph">
                  <wp:posOffset>72390</wp:posOffset>
                </wp:positionV>
                <wp:extent cx="3471545" cy="228600"/>
                <wp:effectExtent l="0" t="958215" r="0" b="984885"/>
                <wp:wrapNone/>
                <wp:docPr id="4218" name="AutoShape 224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2202891">
                          <a:off x="0" y="0"/>
                          <a:ext cx="3471545" cy="228600"/>
                        </a:xfrm>
                        <a:prstGeom prst="rightArrow">
                          <a:avLst>
                            <a:gd name="adj1" fmla="val 50000"/>
                            <a:gd name="adj2" fmla="val 379653"/>
                          </a:avLst>
                        </a:prstGeom>
                        <a:solidFill>
                          <a:srgbClr val="FFFFFF"/>
                        </a:solidFill>
                        <a:ln w="9525">
                          <a:solidFill>
                            <a:srgbClr val="000000"/>
                          </a:solidFill>
                          <a:miter lim="800000"/>
                          <a:headEnd/>
                          <a:tailEnd/>
                        </a:ln>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shape w14:anchorId="00697234" id="AutoShape 2249" o:spid="_x0000_s1026" type="#_x0000_t13" style="position:absolute;left:0;text-align:left;margin-left:50.05pt;margin-top:5.7pt;width:273.35pt;height:18pt;rotation:-2406144fd;z-index:2530621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">
                <v:textbox inset="5.85pt,.7pt,5.85pt,.7pt"/>
              </v:shape>
            </w:pict>
          </mc:Fallback>
        </mc:AlternateContent>
      </w:r>
    </w:p>
    <w:p w14:paraId="5EB00BAE" w14:textId="77777777" w:rsidR="008B4B2B" w:rsidRPr="001D6D10" w:rsidRDefault="008B4B2B" w:rsidP="008B4B2B">
      <w:pPr>
        <w:ind w:firstLineChars="100" w:firstLine="221"/>
        <w:rPr>
          <w:rFonts w:ascii="ＭＳ ゴシック" w:eastAsia="ＭＳ ゴシック" w:hAnsi="ＭＳ ゴシック"/>
          <w:sz w:val="22"/>
          <w:szCs w:val="22"/>
        </w:rPr>
      </w:pPr>
      <w:r w:rsidRPr="001D6D10">
        <w:rPr>
          <w:rFonts w:ascii="ＭＳ ゴシック" w:eastAsia="ＭＳ ゴシック" w:hAnsi="ＭＳ ゴシック" w:hint="eastAsia"/>
          <w:noProof/>
          <w:sz w:val="22"/>
          <w:szCs w:val="22"/>
        </w:rPr>
        <mc:AlternateContent>
          <mc:Choice Requires="wps">
            <w:drawing>
              <wp:anchor distT="0" distB="0" distL="114300" distR="114300" simplePos="0" relativeHeight="253066240" behindDoc="0" locked="0" layoutInCell="1" allowOverlap="1" wp14:anchorId="7F35963F" wp14:editId="1DECE745">
                <wp:simplePos x="0" y="0"/>
                <wp:positionH relativeFrom="column">
                  <wp:posOffset>388620</wp:posOffset>
                </wp:positionH>
                <wp:positionV relativeFrom="paragraph">
                  <wp:posOffset>151130</wp:posOffset>
                </wp:positionV>
                <wp:extent cx="457200" cy="914400"/>
                <wp:effectExtent l="17145" t="8255" r="20955" b="20320"/>
                <wp:wrapNone/>
                <wp:docPr id="4217" name="AutoShape 225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57200" cy="914400"/>
                        </a:xfrm>
                        <a:prstGeom prst="downArrow">
                          <a:avLst>
                            <a:gd name="adj1" fmla="val 50000"/>
                            <a:gd name="adj2" fmla="val 50000"/>
                          </a:avLst>
                        </a:prstGeom>
                        <a:solidFill>
                          <a:srgbClr val="FFFFFF"/>
                        </a:solidFill>
                        <a:ln w="9525">
                          <a:solidFill>
                            <a:srgbClr val="000000"/>
                          </a:solidFill>
                          <a:miter lim="800000"/>
                          <a:headEnd/>
                          <a:tailEnd/>
                        </a:ln>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shape w14:anchorId="0FC554EE" id="AutoShape 2253" o:spid="_x0000_s1026" type="#_x0000_t67" style="position:absolute;left:0;text-align:left;margin-left:30.6pt;margin-top:11.9pt;width:36pt;height:1in;z-index:253066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">
                <v:textbox inset="5.85pt,.7pt,5.85pt,.7pt"/>
              </v:shape>
            </w:pict>
          </mc:Fallback>
        </mc:AlternateContent>
      </w:r>
    </w:p>
    <w:p w14:paraId="22BCF139" w14:textId="77777777" w:rsidR="008B4B2B" w:rsidRPr="001D6D10" w:rsidRDefault="008B4B2B" w:rsidP="008B4B2B">
      <w:pPr>
        <w:ind w:firstLineChars="100" w:firstLine="221"/>
        <w:rPr>
          <w:rFonts w:ascii="ＭＳ ゴシック" w:eastAsia="ＭＳ ゴシック" w:hAnsi="ＭＳ ゴシック"/>
          <w:sz w:val="22"/>
          <w:szCs w:val="22"/>
        </w:rPr>
      </w:pPr>
      <w:r w:rsidRPr="001D6D10">
        <w:rPr>
          <w:rFonts w:ascii="ＭＳ ゴシック" w:eastAsia="ＭＳ ゴシック" w:hAnsi="ＭＳ ゴシック" w:hint="eastAsia"/>
          <w:noProof/>
          <w:sz w:val="22"/>
          <w:szCs w:val="22"/>
        </w:rPr>
        <mc:AlternateContent>
          <mc:Choice Requires="wps">
            <w:drawing>
              <wp:anchor distT="0" distB="0" distL="114300" distR="114300" simplePos="0" relativeHeight="253057024" behindDoc="0" locked="0" layoutInCell="1" allowOverlap="1" wp14:anchorId="200ACB7C" wp14:editId="2471086D">
                <wp:simplePos x="0" y="0"/>
                <wp:positionH relativeFrom="column">
                  <wp:posOffset>4046220</wp:posOffset>
                </wp:positionH>
                <wp:positionV relativeFrom="paragraph">
                  <wp:posOffset>41275</wp:posOffset>
                </wp:positionV>
                <wp:extent cx="1647825" cy="685800"/>
                <wp:effectExtent l="0" t="3175" r="1905" b="0"/>
                <wp:wrapNone/>
                <wp:docPr id="4216" name="Text Box 224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47825" cy="685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7138B08" w14:textId="77777777" w:rsidR="006A5267" w:rsidRPr="002D24D5" w:rsidRDefault="006A5267" w:rsidP="008B4B2B">
                            <w:pPr>
                              <w:spacing w:line="240" w:lineRule="exact"/>
                              <w:rPr>
                                <w:rFonts w:ascii="ＭＳ ゴシック" w:eastAsia="ＭＳ ゴシック" w:hAnsi="ＭＳ ゴシック"/>
                                <w:sz w:val="20"/>
                                <w:szCs w:val="20"/>
                              </w:rPr>
                            </w:pPr>
                            <w:r>
                              <w:rPr>
                                <w:rFonts w:ascii="ＭＳ ゴシック" w:eastAsia="ＭＳ ゴシック" w:hAnsi="ＭＳ ゴシック" w:hint="eastAsia"/>
                                <w:sz w:val="20"/>
                                <w:szCs w:val="20"/>
                              </w:rPr>
                              <w:t>消防庁長官の求めに応じた応援出動等の措置の求め（法第44条第3項）</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shape w14:anchorId="200ACB7C" id="Text Box 2244" o:spid="_x0000_s1286" type="#_x0000_t202" style="position:absolute;left:0;text-align:left;margin-left:318.6pt;margin-top:3.25pt;width:129.75pt;height:54pt;z-index:2530570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" filled="f" stroked="f">
                <v:textbox inset="5.85pt,.7pt,5.85pt,.7pt">
                  <w:txbxContent>
                    <w:p w14:paraId="27138B08" w14:textId="77777777" w:rsidR="006A5267" w:rsidRPr="002D24D5" w:rsidRDefault="006A5267" w:rsidP="008B4B2B">
                      <w:pPr>
                        <w:spacing w:line="240" w:lineRule="exact"/>
                        <w:rPr>
                          <w:rFonts w:ascii="ＭＳ ゴシック" w:eastAsia="ＭＳ ゴシック" w:hAnsi="ＭＳ ゴシック"/>
                          <w:sz w:val="20"/>
                          <w:szCs w:val="20"/>
                        </w:rPr>
                      </w:pPr>
                      <w:r>
                        <w:rPr>
                          <w:rFonts w:ascii="ＭＳ ゴシック" w:eastAsia="ＭＳ ゴシック" w:hAnsi="ＭＳ ゴシック" w:hint="eastAsia"/>
                          <w:sz w:val="20"/>
                          <w:szCs w:val="20"/>
                        </w:rPr>
                        <w:t>消防庁長官の求めに応じた応援出動等の措置の求め（法第44条第3項）</w:t>
                      </w:r>
                    </w:p>
                  </w:txbxContent>
                </v:textbox>
              </v:shape>
            </w:pict>
          </mc:Fallback>
        </mc:AlternateContent>
      </w:r>
    </w:p>
    <w:p w14:paraId="457ED779" w14:textId="77777777" w:rsidR="008B4B2B" w:rsidRPr="001D6D10" w:rsidRDefault="008B4B2B" w:rsidP="008B4B2B">
      <w:pPr>
        <w:ind w:firstLineChars="100" w:firstLine="221"/>
        <w:rPr>
          <w:rFonts w:ascii="ＭＳ ゴシック" w:eastAsia="ＭＳ ゴシック" w:hAnsi="ＭＳ ゴシック"/>
          <w:sz w:val="22"/>
          <w:szCs w:val="22"/>
        </w:rPr>
      </w:pPr>
      <w:r w:rsidRPr="001D6D10">
        <w:rPr>
          <w:rFonts w:ascii="ＭＳ ゴシック" w:eastAsia="ＭＳ ゴシック" w:hAnsi="ＭＳ ゴシック" w:hint="eastAsia"/>
          <w:noProof/>
          <w:sz w:val="22"/>
          <w:szCs w:val="22"/>
        </w:rPr>
        <mc:AlternateContent>
          <mc:Choice Requires="wps">
            <w:drawing>
              <wp:anchor distT="0" distB="0" distL="114300" distR="114300" simplePos="0" relativeHeight="253065216" behindDoc="0" locked="0" layoutInCell="1" allowOverlap="1" wp14:anchorId="30C582FF" wp14:editId="1F5D0695">
                <wp:simplePos x="0" y="0"/>
                <wp:positionH relativeFrom="column">
                  <wp:posOffset>1760220</wp:posOffset>
                </wp:positionH>
                <wp:positionV relativeFrom="paragraph">
                  <wp:posOffset>124460</wp:posOffset>
                </wp:positionV>
                <wp:extent cx="2057400" cy="685800"/>
                <wp:effectExtent l="0" t="635" r="1905" b="0"/>
                <wp:wrapNone/>
                <wp:docPr id="4215" name="Text Box 225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57400" cy="685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40906D2" w14:textId="77777777" w:rsidR="006A5267" w:rsidRDefault="006A5267" w:rsidP="008B4B2B">
                            <w:pPr>
                              <w:spacing w:line="240" w:lineRule="exact"/>
                              <w:rPr>
                                <w:rFonts w:ascii="ＭＳ ゴシック" w:eastAsia="ＭＳ ゴシック" w:hAnsi="ＭＳ ゴシック"/>
                                <w:sz w:val="20"/>
                                <w:szCs w:val="20"/>
                              </w:rPr>
                            </w:pPr>
                            <w:r>
                              <w:rPr>
                                <w:rFonts w:ascii="ＭＳ ゴシック" w:eastAsia="ＭＳ ゴシック" w:hAnsi="ＭＳ ゴシック" w:hint="eastAsia"/>
                                <w:sz w:val="20"/>
                                <w:szCs w:val="20"/>
                              </w:rPr>
                              <w:t>都道府県知事の要請又は緊急の場合の消防庁長官による消防の応援等の措置の求め</w:t>
                            </w:r>
                          </w:p>
                          <w:p w14:paraId="79577C14" w14:textId="77777777" w:rsidR="006A5267" w:rsidRPr="00EE7823" w:rsidRDefault="006A5267" w:rsidP="008B4B2B">
                            <w:pPr>
                              <w:spacing w:line="240" w:lineRule="exact"/>
                              <w:rPr>
                                <w:rFonts w:ascii="ＭＳ ゴシック" w:eastAsia="ＭＳ ゴシック" w:hAnsi="ＭＳ ゴシック"/>
                                <w:sz w:val="20"/>
                                <w:szCs w:val="20"/>
                              </w:rPr>
                            </w:pPr>
                            <w:r>
                              <w:rPr>
                                <w:rFonts w:ascii="ＭＳ ゴシック" w:eastAsia="ＭＳ ゴシック" w:hAnsi="ＭＳ ゴシック" w:hint="eastAsia"/>
                                <w:sz w:val="20"/>
                                <w:szCs w:val="20"/>
                              </w:rPr>
                              <w:t>（法第44条第1・2項）</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shape w14:anchorId="30C582FF" id="Text Box 2252" o:spid="_x0000_s1287" type="#_x0000_t202" style="position:absolute;left:0;text-align:left;margin-left:138.6pt;margin-top:9.8pt;width:162pt;height:54pt;z-index:253065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" filled="f" stroked="f">
                <v:textbox inset="5.85pt,.7pt,5.85pt,.7pt">
                  <w:txbxContent>
                    <w:p w14:paraId="540906D2" w14:textId="77777777" w:rsidR="006A5267" w:rsidRDefault="006A5267" w:rsidP="008B4B2B">
                      <w:pPr>
                        <w:spacing w:line="240" w:lineRule="exact"/>
                        <w:rPr>
                          <w:rFonts w:ascii="ＭＳ ゴシック" w:eastAsia="ＭＳ ゴシック" w:hAnsi="ＭＳ ゴシック"/>
                          <w:sz w:val="20"/>
                          <w:szCs w:val="20"/>
                        </w:rPr>
                      </w:pPr>
                      <w:r>
                        <w:rPr>
                          <w:rFonts w:ascii="ＭＳ ゴシック" w:eastAsia="ＭＳ ゴシック" w:hAnsi="ＭＳ ゴシック" w:hint="eastAsia"/>
                          <w:sz w:val="20"/>
                          <w:szCs w:val="20"/>
                        </w:rPr>
                        <w:t>都道府県知事の要請又は緊急の場合の消防庁長官による消防の応援等の措置の求め</w:t>
                      </w:r>
                    </w:p>
                    <w:p w14:paraId="79577C14" w14:textId="77777777" w:rsidR="006A5267" w:rsidRPr="00EE7823" w:rsidRDefault="006A5267" w:rsidP="008B4B2B">
                      <w:pPr>
                        <w:spacing w:line="240" w:lineRule="exact"/>
                        <w:rPr>
                          <w:rFonts w:ascii="ＭＳ ゴシック" w:eastAsia="ＭＳ ゴシック" w:hAnsi="ＭＳ ゴシック"/>
                          <w:sz w:val="20"/>
                          <w:szCs w:val="20"/>
                        </w:rPr>
                      </w:pPr>
                      <w:r>
                        <w:rPr>
                          <w:rFonts w:ascii="ＭＳ ゴシック" w:eastAsia="ＭＳ ゴシック" w:hAnsi="ＭＳ ゴシック" w:hint="eastAsia"/>
                          <w:sz w:val="20"/>
                          <w:szCs w:val="20"/>
                        </w:rPr>
                        <w:t>（法第44条第1・2項）</w:t>
                      </w:r>
                    </w:p>
                  </w:txbxContent>
                </v:textbox>
              </v:shape>
            </w:pict>
          </mc:Fallback>
        </mc:AlternateContent>
      </w:r>
    </w:p>
    <w:p w14:paraId="2E1D068A" w14:textId="77777777" w:rsidR="008B4B2B" w:rsidRPr="001D6D10" w:rsidRDefault="008B4B2B" w:rsidP="008B4B2B">
      <w:pPr>
        <w:ind w:firstLineChars="100" w:firstLine="221"/>
        <w:rPr>
          <w:rFonts w:ascii="ＭＳ ゴシック" w:eastAsia="ＭＳ ゴシック" w:hAnsi="ＭＳ ゴシック"/>
          <w:sz w:val="22"/>
          <w:szCs w:val="22"/>
        </w:rPr>
      </w:pPr>
    </w:p>
    <w:p w14:paraId="2A909DD9" w14:textId="77777777" w:rsidR="008B4B2B" w:rsidRPr="001D6D10" w:rsidRDefault="008B4B2B" w:rsidP="008B4B2B">
      <w:pPr>
        <w:ind w:firstLineChars="100" w:firstLine="221"/>
        <w:rPr>
          <w:rFonts w:ascii="ＭＳ ゴシック" w:eastAsia="ＭＳ ゴシック" w:hAnsi="ＭＳ ゴシック"/>
          <w:sz w:val="22"/>
          <w:szCs w:val="22"/>
        </w:rPr>
      </w:pPr>
      <w:r w:rsidRPr="001D6D10">
        <w:rPr>
          <w:rFonts w:ascii="ＭＳ ゴシック" w:eastAsia="ＭＳ ゴシック" w:hAnsi="ＭＳ ゴシック" w:hint="eastAsia"/>
          <w:noProof/>
          <w:sz w:val="22"/>
          <w:szCs w:val="22"/>
        </w:rPr>
        <mc:AlternateContent>
          <mc:Choice Requires="wps">
            <w:drawing>
              <wp:anchor distT="0" distB="0" distL="114300" distR="114300" simplePos="0" relativeHeight="253056000" behindDoc="0" locked="0" layoutInCell="1" allowOverlap="1" wp14:anchorId="2B77D7BA" wp14:editId="4ED23275">
                <wp:simplePos x="0" y="0"/>
                <wp:positionH relativeFrom="column">
                  <wp:posOffset>4046220</wp:posOffset>
                </wp:positionH>
                <wp:positionV relativeFrom="paragraph">
                  <wp:posOffset>67945</wp:posOffset>
                </wp:positionV>
                <wp:extent cx="1600200" cy="685800"/>
                <wp:effectExtent l="7620" t="10795" r="11430" b="8255"/>
                <wp:wrapNone/>
                <wp:docPr id="4214" name="Text Box 224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00200" cy="685800"/>
                        </a:xfrm>
                        <a:prstGeom prst="rect">
                          <a:avLst/>
                        </a:prstGeom>
                        <a:solidFill>
                          <a:srgbClr val="FFFFFF"/>
                        </a:solidFill>
                        <a:ln w="9525">
                          <a:solidFill>
                            <a:srgbClr val="000000"/>
                          </a:solidFill>
                          <a:miter lim="800000"/>
                          <a:headEnd/>
                          <a:tailEnd/>
                        </a:ln>
                      </wps:spPr>
                      <wps:txbx>
                        <w:txbxContent>
                          <w:p w14:paraId="2FE52DB1" w14:textId="77777777" w:rsidR="006A5267" w:rsidRDefault="006A5267" w:rsidP="008B4B2B"/>
                          <w:p w14:paraId="0616994D" w14:textId="77777777" w:rsidR="006A5267" w:rsidRPr="002F153F" w:rsidRDefault="006A5267" w:rsidP="008B4B2B">
                            <w:pPr>
                              <w:ind w:firstLineChars="50" w:firstLine="111"/>
                              <w:rPr>
                                <w:rFonts w:ascii="ＭＳ ゴシック" w:eastAsia="ＭＳ ゴシック" w:hAnsi="ＭＳ ゴシック"/>
                                <w:sz w:val="22"/>
                                <w:szCs w:val="22"/>
                              </w:rPr>
                            </w:pPr>
                            <w:r w:rsidRPr="002F153F">
                              <w:rPr>
                                <w:rFonts w:ascii="ＭＳ ゴシック" w:eastAsia="ＭＳ ゴシック" w:hAnsi="ＭＳ ゴシック" w:hint="eastAsia"/>
                                <w:sz w:val="22"/>
                                <w:szCs w:val="22"/>
                              </w:rPr>
                              <w:t>他の都道府県知事</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shape w14:anchorId="2B77D7BA" id="Text Box 2243" o:spid="_x0000_s1288" type="#_x0000_t202" style="position:absolute;left:0;text-align:left;margin-left:318.6pt;margin-top:5.35pt;width:126pt;height:54pt;z-index:2530560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">
                <v:textbox inset="5.85pt,.7pt,5.85pt,.7pt">
                  <w:txbxContent>
                    <w:p w14:paraId="2FE52DB1" w14:textId="77777777" w:rsidR="006A5267" w:rsidRDefault="006A5267" w:rsidP="008B4B2B"/>
                    <w:p w14:paraId="0616994D" w14:textId="77777777" w:rsidR="006A5267" w:rsidRPr="002F153F" w:rsidRDefault="006A5267" w:rsidP="008B4B2B">
                      <w:pPr>
                        <w:ind w:firstLineChars="50" w:firstLine="111"/>
                        <w:rPr>
                          <w:rFonts w:ascii="ＭＳ ゴシック" w:eastAsia="ＭＳ ゴシック" w:hAnsi="ＭＳ ゴシック"/>
                          <w:sz w:val="22"/>
                          <w:szCs w:val="22"/>
                        </w:rPr>
                      </w:pPr>
                      <w:r w:rsidRPr="002F153F">
                        <w:rPr>
                          <w:rFonts w:ascii="ＭＳ ゴシック" w:eastAsia="ＭＳ ゴシック" w:hAnsi="ＭＳ ゴシック" w:hint="eastAsia"/>
                          <w:sz w:val="22"/>
                          <w:szCs w:val="22"/>
                        </w:rPr>
                        <w:t>他の都道府県知事</w:t>
                      </w:r>
                    </w:p>
                  </w:txbxContent>
                </v:textbox>
              </v:shape>
            </w:pict>
          </mc:Fallback>
        </mc:AlternateContent>
      </w:r>
    </w:p>
    <w:p w14:paraId="09044CC7" w14:textId="77777777" w:rsidR="008B4B2B" w:rsidRPr="001D6D10" w:rsidRDefault="008B4B2B" w:rsidP="008B4B2B">
      <w:pPr>
        <w:ind w:firstLineChars="100" w:firstLine="221"/>
        <w:rPr>
          <w:rFonts w:ascii="ＭＳ ゴシック" w:eastAsia="ＭＳ ゴシック" w:hAnsi="ＭＳ ゴシック"/>
          <w:sz w:val="22"/>
          <w:szCs w:val="22"/>
        </w:rPr>
      </w:pPr>
      <w:r w:rsidRPr="001D6D10">
        <w:rPr>
          <w:rFonts w:ascii="ＭＳ ゴシック" w:eastAsia="ＭＳ ゴシック" w:hAnsi="ＭＳ ゴシック" w:hint="eastAsia"/>
          <w:noProof/>
          <w:sz w:val="22"/>
          <w:szCs w:val="22"/>
        </w:rPr>
        <mc:AlternateContent>
          <mc:Choice Requires="wps">
            <w:drawing>
              <wp:anchor distT="0" distB="0" distL="114300" distR="114300" simplePos="0" relativeHeight="253059072" behindDoc="0" locked="0" layoutInCell="1" allowOverlap="1" wp14:anchorId="04FD56AE" wp14:editId="70E69269">
                <wp:simplePos x="0" y="0"/>
                <wp:positionH relativeFrom="column">
                  <wp:posOffset>1417320</wp:posOffset>
                </wp:positionH>
                <wp:positionV relativeFrom="paragraph">
                  <wp:posOffset>137795</wp:posOffset>
                </wp:positionV>
                <wp:extent cx="2286000" cy="228600"/>
                <wp:effectExtent l="7620" t="13970" r="30480" b="5080"/>
                <wp:wrapNone/>
                <wp:docPr id="4213" name="AutoShape 224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86000" cy="228600"/>
                        </a:xfrm>
                        <a:prstGeom prst="rightArrow">
                          <a:avLst>
                            <a:gd name="adj1" fmla="val 50000"/>
                            <a:gd name="adj2" fmla="val 250000"/>
                          </a:avLst>
                        </a:prstGeom>
                        <a:solidFill>
                          <a:srgbClr val="FFFFFF"/>
                        </a:solidFill>
                        <a:ln w="9525">
                          <a:solidFill>
                            <a:srgbClr val="000000"/>
                          </a:solidFill>
                          <a:miter lim="800000"/>
                          <a:headEnd/>
                          <a:tailEnd/>
                        </a:ln>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shape w14:anchorId="1D78A4D8" id="AutoShape 2246" o:spid="_x0000_s1026" type="#_x0000_t13" style="position:absolute;left:0;text-align:left;margin-left:111.6pt;margin-top:10.85pt;width:180pt;height:18pt;z-index:2530590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">
                <v:textbox inset="5.85pt,.7pt,5.85pt,.7pt"/>
              </v:shape>
            </w:pict>
          </mc:Fallback>
        </mc:AlternateContent>
      </w:r>
      <w:r w:rsidRPr="001D6D10">
        <w:rPr>
          <w:rFonts w:ascii="ＭＳ ゴシック" w:eastAsia="ＭＳ ゴシック" w:hAnsi="ＭＳ ゴシック" w:hint="eastAsia"/>
          <w:noProof/>
          <w:sz w:val="22"/>
          <w:szCs w:val="22"/>
        </w:rPr>
        <mc:AlternateContent>
          <mc:Choice Requires="wps">
            <w:drawing>
              <wp:anchor distT="0" distB="0" distL="114300" distR="114300" simplePos="0" relativeHeight="253052928" behindDoc="0" locked="0" layoutInCell="1" allowOverlap="1" wp14:anchorId="54C01FDD" wp14:editId="588BB32A">
                <wp:simplePos x="0" y="0"/>
                <wp:positionH relativeFrom="column">
                  <wp:posOffset>45720</wp:posOffset>
                </wp:positionH>
                <wp:positionV relativeFrom="paragraph">
                  <wp:posOffset>13970</wp:posOffset>
                </wp:positionV>
                <wp:extent cx="1257300" cy="800100"/>
                <wp:effectExtent l="7620" t="13970" r="11430" b="5080"/>
                <wp:wrapNone/>
                <wp:docPr id="4212" name="AutoShape 224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57300" cy="800100"/>
                        </a:xfrm>
                        <a:prstGeom prst="roundRect">
                          <a:avLst>
                            <a:gd name="adj" fmla="val 16667"/>
                          </a:avLst>
                        </a:prstGeom>
                        <a:solidFill>
                          <a:srgbClr val="FFFFFF"/>
                        </a:solidFill>
                        <a:ln w="9525">
                          <a:solidFill>
                            <a:srgbClr val="000000"/>
                          </a:solidFill>
                          <a:round/>
                          <a:headEnd/>
                          <a:tailEnd/>
                        </a:ln>
                      </wps:spPr>
                      <wps:txbx>
                        <w:txbxContent>
                          <w:p w14:paraId="2751B29C" w14:textId="77777777" w:rsidR="006A5267" w:rsidRDefault="006A5267" w:rsidP="008B4B2B"/>
                          <w:p w14:paraId="043DD322" w14:textId="77777777" w:rsidR="006A5267" w:rsidRPr="002F153F" w:rsidRDefault="006A5267" w:rsidP="008B4B2B">
                            <w:pPr>
                              <w:jc w:val="center"/>
                              <w:rPr>
                                <w:rFonts w:ascii="ＭＳ ゴシック" w:eastAsia="ＭＳ ゴシック" w:hAnsi="ＭＳ ゴシック"/>
                                <w:sz w:val="22"/>
                                <w:szCs w:val="22"/>
                              </w:rPr>
                            </w:pPr>
                            <w:r w:rsidRPr="002F153F">
                              <w:rPr>
                                <w:rFonts w:ascii="ＭＳ ゴシック" w:eastAsia="ＭＳ ゴシック" w:hAnsi="ＭＳ ゴシック" w:hint="eastAsia"/>
                                <w:sz w:val="22"/>
                                <w:szCs w:val="22"/>
                              </w:rPr>
                              <w:t>消防庁長官</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roundrect w14:anchorId="54C01FDD" id="AutoShape 2240" o:spid="_x0000_s1289" style="position:absolute;left:0;text-align:left;margin-left:3.6pt;margin-top:1.1pt;width:99pt;height:63pt;z-index:2530529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">
                <v:textbox inset="5.85pt,.7pt,5.85pt,.7pt">
                  <w:txbxContent>
                    <w:p w14:paraId="2751B29C" w14:textId="77777777" w:rsidR="006A5267" w:rsidRDefault="006A5267" w:rsidP="008B4B2B"/>
                    <w:p w14:paraId="043DD322" w14:textId="77777777" w:rsidR="006A5267" w:rsidRPr="002F153F" w:rsidRDefault="006A5267" w:rsidP="008B4B2B">
                      <w:pPr>
                        <w:jc w:val="center"/>
                        <w:rPr>
                          <w:rFonts w:ascii="ＭＳ ゴシック" w:eastAsia="ＭＳ ゴシック" w:hAnsi="ＭＳ ゴシック"/>
                          <w:sz w:val="22"/>
                          <w:szCs w:val="22"/>
                        </w:rPr>
                      </w:pPr>
                      <w:r w:rsidRPr="002F153F">
                        <w:rPr>
                          <w:rFonts w:ascii="ＭＳ ゴシック" w:eastAsia="ＭＳ ゴシック" w:hAnsi="ＭＳ ゴシック" w:hint="eastAsia"/>
                          <w:sz w:val="22"/>
                          <w:szCs w:val="22"/>
                        </w:rPr>
                        <w:t>消防庁長官</w:t>
                      </w:r>
                    </w:p>
                  </w:txbxContent>
                </v:textbox>
              </v:roundrect>
            </w:pict>
          </mc:Fallback>
        </mc:AlternateContent>
      </w:r>
    </w:p>
    <w:p w14:paraId="05021197" w14:textId="77777777" w:rsidR="008B4B2B" w:rsidRPr="001D6D10" w:rsidRDefault="008B4B2B" w:rsidP="008B4B2B">
      <w:pPr>
        <w:ind w:firstLineChars="100" w:firstLine="221"/>
        <w:rPr>
          <w:rFonts w:ascii="ＭＳ ゴシック" w:eastAsia="ＭＳ ゴシック" w:hAnsi="ＭＳ ゴシック"/>
          <w:sz w:val="22"/>
          <w:szCs w:val="22"/>
        </w:rPr>
      </w:pPr>
    </w:p>
    <w:p w14:paraId="3B69702C" w14:textId="77777777" w:rsidR="008B4B2B" w:rsidRPr="001D6D10" w:rsidRDefault="008B4B2B" w:rsidP="008B4B2B">
      <w:pPr>
        <w:ind w:firstLineChars="100" w:firstLine="221"/>
        <w:rPr>
          <w:rFonts w:ascii="ＭＳ ゴシック" w:eastAsia="ＭＳ ゴシック" w:hAnsi="ＭＳ ゴシック"/>
          <w:sz w:val="22"/>
          <w:szCs w:val="22"/>
        </w:rPr>
      </w:pPr>
      <w:r w:rsidRPr="001D6D10">
        <w:rPr>
          <w:rFonts w:ascii="ＭＳ ゴシック" w:eastAsia="ＭＳ ゴシック" w:hAnsi="ＭＳ ゴシック" w:hint="eastAsia"/>
          <w:noProof/>
          <w:sz w:val="22"/>
          <w:szCs w:val="22"/>
        </w:rPr>
        <mc:AlternateContent>
          <mc:Choice Requires="wps">
            <w:drawing>
              <wp:anchor distT="0" distB="0" distL="114300" distR="114300" simplePos="0" relativeHeight="253060096" behindDoc="0" locked="0" layoutInCell="1" allowOverlap="1" wp14:anchorId="4F2239E0" wp14:editId="02653731">
                <wp:simplePos x="0" y="0"/>
                <wp:positionH relativeFrom="column">
                  <wp:posOffset>1417320</wp:posOffset>
                </wp:positionH>
                <wp:positionV relativeFrom="paragraph">
                  <wp:posOffset>81280</wp:posOffset>
                </wp:positionV>
                <wp:extent cx="2286000" cy="228600"/>
                <wp:effectExtent l="7620" t="14605" r="30480" b="13970"/>
                <wp:wrapNone/>
                <wp:docPr id="4211" name="AutoShape 224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86000" cy="228600"/>
                        </a:xfrm>
                        <a:prstGeom prst="rightArrow">
                          <a:avLst>
                            <a:gd name="adj1" fmla="val 50000"/>
                            <a:gd name="adj2" fmla="val 250000"/>
                          </a:avLst>
                        </a:prstGeom>
                        <a:solidFill>
                          <a:srgbClr val="FFFFFF"/>
                        </a:solidFill>
                        <a:ln w="9525">
                          <a:solidFill>
                            <a:srgbClr val="000000"/>
                          </a:solidFill>
                          <a:miter lim="800000"/>
                          <a:headEnd/>
                          <a:tailEnd/>
                        </a:ln>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shape w14:anchorId="3A86DE76" id="AutoShape 2247" o:spid="_x0000_s1026" type="#_x0000_t13" style="position:absolute;left:0;text-align:left;margin-left:111.6pt;margin-top:6.4pt;width:180pt;height:18pt;z-index:2530600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">
                <v:textbox inset="5.85pt,.7pt,5.85pt,.7pt"/>
              </v:shape>
            </w:pict>
          </mc:Fallback>
        </mc:AlternateContent>
      </w:r>
    </w:p>
    <w:p w14:paraId="5701292A" w14:textId="77777777" w:rsidR="008B4B2B" w:rsidRPr="001D6D10" w:rsidRDefault="008B4B2B" w:rsidP="008B4B2B">
      <w:pPr>
        <w:ind w:firstLineChars="100" w:firstLine="221"/>
        <w:rPr>
          <w:rFonts w:ascii="ＭＳ ゴシック" w:eastAsia="ＭＳ ゴシック" w:hAnsi="ＭＳ ゴシック"/>
          <w:sz w:val="22"/>
          <w:szCs w:val="22"/>
        </w:rPr>
      </w:pPr>
      <w:r w:rsidRPr="001D6D10">
        <w:rPr>
          <w:rFonts w:ascii="ＭＳ ゴシック" w:eastAsia="ＭＳ ゴシック" w:hAnsi="ＭＳ ゴシック" w:hint="eastAsia"/>
          <w:noProof/>
          <w:sz w:val="22"/>
          <w:szCs w:val="22"/>
        </w:rPr>
        <mc:AlternateContent>
          <mc:Choice Requires="wps">
            <w:drawing>
              <wp:anchor distT="0" distB="0" distL="114300" distR="114300" simplePos="0" relativeHeight="253061120" behindDoc="0" locked="0" layoutInCell="1" allowOverlap="1" wp14:anchorId="4D517DEF" wp14:editId="0002F99E">
                <wp:simplePos x="0" y="0"/>
                <wp:positionH relativeFrom="column">
                  <wp:posOffset>1464945</wp:posOffset>
                </wp:positionH>
                <wp:positionV relativeFrom="paragraph">
                  <wp:posOffset>141605</wp:posOffset>
                </wp:positionV>
                <wp:extent cx="1828800" cy="342900"/>
                <wp:effectExtent l="0" t="0" r="1905" b="1270"/>
                <wp:wrapNone/>
                <wp:docPr id="4210" name="Text Box 224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28800" cy="3429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90EB818" w14:textId="77777777" w:rsidR="006A5267" w:rsidRDefault="006A5267" w:rsidP="008B4B2B">
                            <w:pPr>
                              <w:spacing w:line="240" w:lineRule="exact"/>
                              <w:rPr>
                                <w:rFonts w:ascii="ＭＳ ゴシック" w:eastAsia="ＭＳ ゴシック" w:hAnsi="ＭＳ ゴシック"/>
                                <w:sz w:val="20"/>
                                <w:szCs w:val="20"/>
                              </w:rPr>
                            </w:pPr>
                            <w:r>
                              <w:rPr>
                                <w:rFonts w:ascii="ＭＳ ゴシック" w:eastAsia="ＭＳ ゴシック" w:hAnsi="ＭＳ ゴシック" w:hint="eastAsia"/>
                                <w:sz w:val="20"/>
                                <w:szCs w:val="20"/>
                              </w:rPr>
                              <w:t>大規模・特殊災害時の出動</w:t>
                            </w:r>
                          </w:p>
                          <w:p w14:paraId="44B95B1E" w14:textId="77777777" w:rsidR="006A5267" w:rsidRPr="004A7338" w:rsidRDefault="006A5267" w:rsidP="008B4B2B">
                            <w:pPr>
                              <w:spacing w:line="240" w:lineRule="exact"/>
                              <w:rPr>
                                <w:rFonts w:ascii="ＭＳ ゴシック" w:eastAsia="ＭＳ ゴシック" w:hAnsi="ＭＳ ゴシック"/>
                                <w:sz w:val="20"/>
                                <w:szCs w:val="20"/>
                              </w:rPr>
                            </w:pPr>
                            <w:r>
                              <w:rPr>
                                <w:rFonts w:ascii="ＭＳ ゴシック" w:eastAsia="ＭＳ ゴシック" w:hAnsi="ＭＳ ゴシック" w:hint="eastAsia"/>
                                <w:sz w:val="20"/>
                                <w:szCs w:val="20"/>
                              </w:rPr>
                              <w:t>の指示（法第44条第5項）</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shape w14:anchorId="4D517DEF" id="Text Box 2248" o:spid="_x0000_s1290" type="#_x0000_t202" style="position:absolute;left:0;text-align:left;margin-left:115.35pt;margin-top:11.15pt;width:2in;height:27pt;z-index:2530611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" filled="f" stroked="f">
                <v:textbox inset="5.85pt,.7pt,5.85pt,.7pt">
                  <w:txbxContent>
                    <w:p w14:paraId="790EB818" w14:textId="77777777" w:rsidR="006A5267" w:rsidRDefault="006A5267" w:rsidP="008B4B2B">
                      <w:pPr>
                        <w:spacing w:line="240" w:lineRule="exact"/>
                        <w:rPr>
                          <w:rFonts w:ascii="ＭＳ ゴシック" w:eastAsia="ＭＳ ゴシック" w:hAnsi="ＭＳ ゴシック"/>
                          <w:sz w:val="20"/>
                          <w:szCs w:val="20"/>
                        </w:rPr>
                      </w:pPr>
                      <w:r>
                        <w:rPr>
                          <w:rFonts w:ascii="ＭＳ ゴシック" w:eastAsia="ＭＳ ゴシック" w:hAnsi="ＭＳ ゴシック" w:hint="eastAsia"/>
                          <w:sz w:val="20"/>
                          <w:szCs w:val="20"/>
                        </w:rPr>
                        <w:t>大規模・特殊災害時の出動</w:t>
                      </w:r>
                    </w:p>
                    <w:p w14:paraId="44B95B1E" w14:textId="77777777" w:rsidR="006A5267" w:rsidRPr="004A7338" w:rsidRDefault="006A5267" w:rsidP="008B4B2B">
                      <w:pPr>
                        <w:spacing w:line="240" w:lineRule="exact"/>
                        <w:rPr>
                          <w:rFonts w:ascii="ＭＳ ゴシック" w:eastAsia="ＭＳ ゴシック" w:hAnsi="ＭＳ ゴシック"/>
                          <w:sz w:val="20"/>
                          <w:szCs w:val="20"/>
                        </w:rPr>
                      </w:pPr>
                      <w:r>
                        <w:rPr>
                          <w:rFonts w:ascii="ＭＳ ゴシック" w:eastAsia="ＭＳ ゴシック" w:hAnsi="ＭＳ ゴシック" w:hint="eastAsia"/>
                          <w:sz w:val="20"/>
                          <w:szCs w:val="20"/>
                        </w:rPr>
                        <w:t>の指示（法第44条第5項）</w:t>
                      </w:r>
                    </w:p>
                  </w:txbxContent>
                </v:textbox>
              </v:shape>
            </w:pict>
          </mc:Fallback>
        </mc:AlternateContent>
      </w:r>
    </w:p>
    <w:p w14:paraId="629520A6" w14:textId="77777777" w:rsidR="008B4B2B" w:rsidRPr="001D6D10" w:rsidRDefault="008B4B2B" w:rsidP="008B4B2B">
      <w:pPr>
        <w:ind w:firstLineChars="100" w:firstLine="221"/>
        <w:rPr>
          <w:rFonts w:ascii="ＭＳ ゴシック" w:eastAsia="ＭＳ ゴシック" w:hAnsi="ＭＳ ゴシック"/>
          <w:sz w:val="22"/>
          <w:szCs w:val="22"/>
        </w:rPr>
      </w:pPr>
    </w:p>
    <w:p w14:paraId="0E126BD5" w14:textId="77777777" w:rsidR="008B4B2B" w:rsidRPr="001D6D10" w:rsidRDefault="008B4B2B" w:rsidP="008B4B2B">
      <w:pPr>
        <w:ind w:firstLineChars="100" w:firstLine="221"/>
        <w:rPr>
          <w:rFonts w:ascii="ＭＳ ゴシック" w:eastAsia="ＭＳ ゴシック" w:hAnsi="ＭＳ ゴシック"/>
          <w:sz w:val="22"/>
          <w:szCs w:val="22"/>
        </w:rPr>
      </w:pPr>
    </w:p>
    <w:p w14:paraId="73BF7097" w14:textId="77777777" w:rsidR="008B4B2B" w:rsidRPr="001D6D10" w:rsidRDefault="008B4B2B" w:rsidP="008B4B2B">
      <w:pPr>
        <w:pStyle w:val="a0"/>
        <w:ind w:firstLineChars="300" w:firstLine="663"/>
        <w:rPr>
          <w:rFonts w:ascii="ＭＳ ゴシック" w:eastAsia="ＭＳ ゴシック" w:hAnsi="ＭＳ ゴシック"/>
          <w:sz w:val="22"/>
          <w:szCs w:val="22"/>
          <w:u w:val="single"/>
        </w:rPr>
      </w:pPr>
      <w:r w:rsidRPr="001D6D10">
        <w:rPr>
          <w:rFonts w:ascii="ＭＳ ゴシック" w:eastAsia="ＭＳ ゴシック" w:hAnsi="ＭＳ ゴシック" w:hint="eastAsia"/>
          <w:sz w:val="22"/>
          <w:szCs w:val="22"/>
          <w:u w:val="single"/>
        </w:rPr>
        <w:t>１　実施方法</w:t>
      </w:r>
    </w:p>
    <w:p w14:paraId="124F4320" w14:textId="77777777" w:rsidR="008B4B2B" w:rsidRPr="001D6D10" w:rsidRDefault="008B4B2B" w:rsidP="008B4B2B">
      <w:pPr>
        <w:pStyle w:val="a0"/>
        <w:ind w:leftChars="417" w:left="880" w:firstLineChars="100" w:firstLine="221"/>
        <w:rPr>
          <w:sz w:val="22"/>
          <w:szCs w:val="22"/>
        </w:rPr>
      </w:pPr>
      <w:r w:rsidRPr="001D6D10">
        <w:rPr>
          <w:rFonts w:hint="eastAsia"/>
          <w:sz w:val="22"/>
          <w:szCs w:val="22"/>
        </w:rPr>
        <w:t>知事は、地震等の大規模災害の発生により、市町村長から依頼があった場合又は府内の市町村の消防力をもってしてはこれに対処できないと自ら判断した場合、消防組織法第４４条及び緊急消防援助隊要綱（平成７年１０月３０日付け消防庁長官通知）に基づき消防庁</w:t>
      </w:r>
      <w:r w:rsidR="005308A9" w:rsidRPr="001D6D10">
        <w:rPr>
          <w:rFonts w:hint="eastAsia"/>
          <w:sz w:val="22"/>
          <w:szCs w:val="22"/>
        </w:rPr>
        <w:t>長官に対し、緊急消防援助隊の派遣を要請する（要請様式は資料集３６</w:t>
      </w:r>
      <w:r w:rsidRPr="001D6D10">
        <w:rPr>
          <w:rFonts w:hint="eastAsia"/>
          <w:sz w:val="22"/>
          <w:szCs w:val="22"/>
        </w:rPr>
        <w:t>頁）。</w:t>
      </w:r>
    </w:p>
    <w:p w14:paraId="05CED641" w14:textId="77777777" w:rsidR="008B4B2B" w:rsidRPr="001D6D10" w:rsidRDefault="008B4B2B" w:rsidP="008B4B2B">
      <w:pPr>
        <w:pStyle w:val="a0"/>
        <w:rPr>
          <w:rFonts w:ascii="ＭＳ ゴシック" w:eastAsia="ＭＳ ゴシック" w:hAnsi="ＭＳ ゴシック"/>
          <w:sz w:val="22"/>
          <w:szCs w:val="22"/>
          <w:u w:val="single"/>
        </w:rPr>
      </w:pPr>
      <w:r w:rsidRPr="001D6D10">
        <w:rPr>
          <w:rFonts w:hint="eastAsia"/>
        </w:rPr>
        <w:t xml:space="preserve">　    </w:t>
      </w:r>
      <w:r w:rsidRPr="001D6D10">
        <w:rPr>
          <w:rFonts w:ascii="ＭＳ ゴシック" w:eastAsia="ＭＳ ゴシック" w:hAnsi="ＭＳ ゴシック" w:hint="eastAsia"/>
          <w:sz w:val="22"/>
          <w:szCs w:val="22"/>
          <w:u w:val="single"/>
        </w:rPr>
        <w:t>２　関係機関との連携</w:t>
      </w:r>
    </w:p>
    <w:p w14:paraId="6AFE34DB" w14:textId="77777777" w:rsidR="008B4B2B" w:rsidRPr="001D6D10" w:rsidRDefault="008B4B2B" w:rsidP="008B4B2B">
      <w:pPr>
        <w:pStyle w:val="a0"/>
        <w:ind w:leftChars="367" w:left="1107" w:hangingChars="150" w:hanging="332"/>
        <w:rPr>
          <w:sz w:val="22"/>
          <w:szCs w:val="22"/>
        </w:rPr>
      </w:pPr>
      <w:r w:rsidRPr="001D6D10">
        <w:rPr>
          <w:rFonts w:hint="eastAsia"/>
          <w:sz w:val="22"/>
          <w:szCs w:val="22"/>
        </w:rPr>
        <w:t>(1)　大阪府危機管理センターＢに消防応援活動調整本部（本部長：知事）を設置し、市町村等を通じ被災地の被害状況の迅速な収集に努める。（別に定める「大阪府消防応援活動調整本部運営マニュアル」参照）</w:t>
      </w:r>
    </w:p>
    <w:p w14:paraId="353EAD12" w14:textId="77777777" w:rsidR="008B4B2B" w:rsidRPr="001D6D10" w:rsidRDefault="008B4B2B" w:rsidP="008B4B2B">
      <w:pPr>
        <w:pStyle w:val="a0"/>
        <w:ind w:leftChars="366" w:left="1105" w:hangingChars="150" w:hanging="332"/>
        <w:rPr>
          <w:sz w:val="22"/>
          <w:szCs w:val="22"/>
        </w:rPr>
      </w:pPr>
      <w:r w:rsidRPr="001D6D10">
        <w:rPr>
          <w:rFonts w:hint="eastAsia"/>
          <w:sz w:val="22"/>
          <w:szCs w:val="22"/>
        </w:rPr>
        <w:t>(2)　緊急消防援助隊大阪府代表消防機関（大阪市消防局）と情報交換を行い、派遣要請の判断材料とする。</w:t>
      </w:r>
    </w:p>
    <w:p w14:paraId="40825A97" w14:textId="77777777" w:rsidR="008B4B2B" w:rsidRPr="001D6D10" w:rsidRDefault="008B4B2B" w:rsidP="008B4B2B">
      <w:pPr>
        <w:pStyle w:val="a0"/>
        <w:ind w:firstLineChars="350" w:firstLine="774"/>
        <w:rPr>
          <w:sz w:val="22"/>
          <w:szCs w:val="22"/>
        </w:rPr>
      </w:pPr>
      <w:r w:rsidRPr="001D6D10">
        <w:rPr>
          <w:rFonts w:hint="eastAsia"/>
          <w:sz w:val="22"/>
          <w:szCs w:val="22"/>
        </w:rPr>
        <w:t>(3)　被災地の被害状況について消防庁長官に情報提供を行う。</w:t>
      </w:r>
    </w:p>
    <w:p w14:paraId="63DA1E88" w14:textId="096FB4F2" w:rsidR="008B4B2B" w:rsidRPr="00E0548A" w:rsidRDefault="008B4B2B" w:rsidP="00E0548A">
      <w:pPr>
        <w:pStyle w:val="2"/>
        <w:rPr>
          <w:rFonts w:asciiTheme="majorEastAsia" w:eastAsiaTheme="majorEastAsia" w:hAnsiTheme="majorEastAsia"/>
          <w:szCs w:val="40"/>
        </w:rPr>
      </w:pPr>
      <w:bookmarkStart w:id="165" w:name="_Toc122436904"/>
      <w:bookmarkStart w:id="166" w:name="_Toc222486587"/>
      <w:bookmarkStart w:id="167" w:name="_Toc242870257"/>
      <w:r w:rsidRPr="00E0548A">
        <w:rPr>
          <w:rFonts w:asciiTheme="majorEastAsia" w:eastAsiaTheme="majorEastAsia" w:hAnsiTheme="majorEastAsia" w:hint="eastAsia"/>
          <w:szCs w:val="40"/>
        </w:rPr>
        <w:lastRenderedPageBreak/>
        <w:t>第</w:t>
      </w:r>
      <w:r w:rsidR="0099357C" w:rsidRPr="00E0548A">
        <w:rPr>
          <w:rFonts w:asciiTheme="majorEastAsia" w:eastAsiaTheme="majorEastAsia" w:hAnsiTheme="majorEastAsia" w:hint="eastAsia"/>
          <w:szCs w:val="40"/>
        </w:rPr>
        <w:t>４</w:t>
      </w:r>
      <w:r w:rsidR="00377F09" w:rsidRPr="00E0548A">
        <w:rPr>
          <w:rFonts w:asciiTheme="majorEastAsia" w:eastAsiaTheme="majorEastAsia" w:hAnsiTheme="majorEastAsia" w:hint="eastAsia"/>
          <w:szCs w:val="40"/>
        </w:rPr>
        <w:t>節　広域応援等の</w:t>
      </w:r>
      <w:r w:rsidR="000D247D" w:rsidRPr="00E0548A">
        <w:rPr>
          <w:rFonts w:asciiTheme="majorEastAsia" w:eastAsiaTheme="majorEastAsia" w:hAnsiTheme="majorEastAsia" w:hint="eastAsia"/>
          <w:szCs w:val="40"/>
        </w:rPr>
        <w:t>要請</w:t>
      </w:r>
      <w:r w:rsidR="00377F09" w:rsidRPr="00E0548A">
        <w:rPr>
          <w:rFonts w:asciiTheme="majorEastAsia" w:eastAsiaTheme="majorEastAsia" w:hAnsiTheme="majorEastAsia" w:hint="eastAsia"/>
          <w:szCs w:val="40"/>
        </w:rPr>
        <w:t>・受入・支援</w:t>
      </w:r>
      <w:bookmarkEnd w:id="165"/>
      <w:bookmarkEnd w:id="166"/>
      <w:bookmarkEnd w:id="167"/>
    </w:p>
    <w:p w14:paraId="41D232C7" w14:textId="4C9348B8" w:rsidR="008B4B2B" w:rsidRPr="001D6D10" w:rsidRDefault="008B4B2B" w:rsidP="00E0548A">
      <w:pPr>
        <w:pStyle w:val="3"/>
        <w:ind w:firstLineChars="0" w:firstLine="0"/>
      </w:pPr>
      <w:bookmarkStart w:id="168" w:name="_Toc122436905"/>
      <w:bookmarkStart w:id="169" w:name="_Toc222486588"/>
      <w:bookmarkStart w:id="170" w:name="_Toc242870258"/>
      <w:r w:rsidRPr="001D6D10">
        <w:rPr>
          <w:rFonts w:hint="eastAsia"/>
        </w:rPr>
        <w:t>第１　関西広域連合等への応援要請</w:t>
      </w:r>
      <w:r w:rsidRPr="001D6D10">
        <w:rPr>
          <w:rFonts w:hint="eastAsia"/>
          <w:shd w:val="pct15" w:color="auto" w:fill="FFFFFF"/>
        </w:rPr>
        <w:t>【第１フェーズ～】</w:t>
      </w:r>
      <w:bookmarkEnd w:id="168"/>
      <w:bookmarkEnd w:id="169"/>
      <w:bookmarkEnd w:id="170"/>
    </w:p>
    <w:p w14:paraId="37F2E14C" w14:textId="77777777" w:rsidR="008B4B2B" w:rsidRPr="001D6D10" w:rsidRDefault="008B4B2B" w:rsidP="008B4B2B">
      <w:pPr>
        <w:ind w:firstLineChars="500" w:firstLine="1105"/>
        <w:rPr>
          <w:rFonts w:ascii="ＭＳ 明朝" w:hAnsi="ＭＳ 明朝"/>
          <w:sz w:val="22"/>
          <w:szCs w:val="22"/>
        </w:rPr>
      </w:pPr>
      <w:r w:rsidRPr="001D6D10">
        <w:rPr>
          <w:rFonts w:ascii="ＭＳ ゴシック" w:eastAsia="ＭＳ ゴシック" w:hAnsi="ＭＳ ゴシック" w:hint="eastAsia"/>
          <w:sz w:val="22"/>
          <w:szCs w:val="22"/>
          <w:bdr w:val="single" w:sz="4" w:space="0" w:color="auto"/>
        </w:rPr>
        <w:t>主たる担当：危機管理室</w:t>
      </w:r>
    </w:p>
    <w:p w14:paraId="7BB9F4C0" w14:textId="77777777" w:rsidR="008B4B2B" w:rsidRPr="001D6D10" w:rsidRDefault="008B4B2B" w:rsidP="008B4B2B">
      <w:pPr>
        <w:ind w:left="1216" w:hangingChars="550" w:hanging="1216"/>
        <w:rPr>
          <w:rFonts w:ascii="ＭＳ ゴシック" w:eastAsia="ＭＳ ゴシック" w:hAnsi="ＭＳ ゴシック"/>
          <w:sz w:val="22"/>
          <w:szCs w:val="22"/>
        </w:rPr>
      </w:pPr>
      <w:r w:rsidRPr="001D6D10">
        <w:rPr>
          <w:rFonts w:ascii="ＭＳ ゴシック" w:eastAsia="ＭＳ ゴシック" w:hAnsi="ＭＳ ゴシック" w:hint="eastAsia"/>
          <w:noProof/>
          <w:sz w:val="22"/>
          <w:szCs w:val="22"/>
        </w:rPr>
        <mc:AlternateContent>
          <mc:Choice Requires="wps">
            <w:drawing>
              <wp:anchor distT="0" distB="0" distL="114300" distR="114300" simplePos="0" relativeHeight="253086720" behindDoc="0" locked="0" layoutInCell="1" allowOverlap="1" wp14:anchorId="57E6A053" wp14:editId="0D2ED954">
                <wp:simplePos x="0" y="0"/>
                <wp:positionH relativeFrom="column">
                  <wp:posOffset>3728720</wp:posOffset>
                </wp:positionH>
                <wp:positionV relativeFrom="paragraph">
                  <wp:posOffset>212725</wp:posOffset>
                </wp:positionV>
                <wp:extent cx="114300" cy="800100"/>
                <wp:effectExtent l="13970" t="12700" r="5080" b="6350"/>
                <wp:wrapNone/>
                <wp:docPr id="4209" name="AutoShape 228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14300" cy="800100"/>
                        </a:xfrm>
                        <a:prstGeom prst="leftBrace">
                          <a:avLst>
                            <a:gd name="adj1" fmla="val 58333"/>
                            <a:gd name="adj2" fmla="val 50000"/>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shapetype w14:anchorId="28098E00" id="_x0000_t87" coordsize="21600,21600" o:spt="87" adj="1800,10800" path="m21600,qx10800@0l10800@2qy0@11,10800@3l10800@1qy21600,21600e" filled="f">
                <v:formulas>
                  <v:f eqn="val #0"/>
                  <v:f eqn="sum 21600 0 #0"/>
                  <v:f eqn="sum #1 0 #0"/>
                  <v:f eqn="sum #1 #0 0"/>
                  <v:f eqn="prod #0 9598 32768"/>
                  <v:f eqn="sum 21600 0 @4"/>
                  <v:f eqn="sum 21600 0 #1"/>
                  <v:f eqn="min #1 @6"/>
                  <v:f eqn="prod @7 1 2"/>
                  <v:f eqn="prod #0 2 1"/>
                  <v:f eqn="sum 21600 0 @9"/>
                  <v:f eqn="val #1"/>
                </v:formulas>
                <v:path arrowok="t" o:connecttype="custom" o:connectlocs="21600,0;0,10800;21600,21600" textboxrect="13963,@4,21600,@5"/>
                <v:handles>
                  <v:h position="center,#0" yrange="0,@8"/>
                  <v:h position="topLeft,#1" yrange="@9,@10"/>
                </v:handles>
              </v:shapetype>
              <v:shape id="AutoShape 2280" o:spid="_x0000_s1026" type="#_x0000_t87" style="position:absolute;left:0;text-align:left;margin-left:293.6pt;margin-top:16.75pt;width:9pt;height:63pt;z-index:253086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">
                <v:textbox inset="5.85pt,.7pt,5.85pt,.7pt"/>
              </v:shape>
            </w:pict>
          </mc:Fallback>
        </mc:AlternateContent>
      </w:r>
      <w:r w:rsidRPr="001D6D10">
        <w:rPr>
          <w:rFonts w:ascii="ＭＳ ゴシック" w:eastAsia="ＭＳ ゴシック" w:hAnsi="ＭＳ ゴシック" w:hint="eastAsia"/>
          <w:noProof/>
          <w:sz w:val="22"/>
          <w:szCs w:val="22"/>
        </w:rPr>
        <mc:AlternateContent>
          <mc:Choice Requires="wps">
            <w:drawing>
              <wp:anchor distT="0" distB="0" distL="114300" distR="114300" simplePos="0" relativeHeight="253080576" behindDoc="0" locked="0" layoutInCell="1" allowOverlap="1" wp14:anchorId="5C214A4E" wp14:editId="59541518">
                <wp:simplePos x="0" y="0"/>
                <wp:positionH relativeFrom="column">
                  <wp:posOffset>394970</wp:posOffset>
                </wp:positionH>
                <wp:positionV relativeFrom="paragraph">
                  <wp:posOffset>114300</wp:posOffset>
                </wp:positionV>
                <wp:extent cx="2165350" cy="228600"/>
                <wp:effectExtent l="13970" t="9525" r="11430" b="9525"/>
                <wp:wrapNone/>
                <wp:docPr id="4208" name="Text Box 226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65350" cy="228600"/>
                        </a:xfrm>
                        <a:prstGeom prst="rect">
                          <a:avLst/>
                        </a:prstGeom>
                        <a:solidFill>
                          <a:srgbClr val="FFFFFF"/>
                        </a:solidFill>
                        <a:ln w="9525">
                          <a:solidFill>
                            <a:srgbClr val="000000"/>
                          </a:solidFill>
                          <a:miter lim="800000"/>
                          <a:headEnd/>
                          <a:tailEnd/>
                        </a:ln>
                      </wps:spPr>
                      <wps:txbx>
                        <w:txbxContent>
                          <w:p w14:paraId="35D613FD" w14:textId="77777777" w:rsidR="006A5267" w:rsidRPr="00E51FD6" w:rsidRDefault="006A5267" w:rsidP="008B4B2B">
                            <w:pPr>
                              <w:rPr>
                                <w:rFonts w:ascii="ＭＳ ゴシック" w:eastAsia="ＭＳ ゴシック" w:hAnsi="ＭＳ ゴシック"/>
                                <w:sz w:val="22"/>
                                <w:szCs w:val="22"/>
                              </w:rPr>
                            </w:pPr>
                            <w:r w:rsidRPr="00DF55E2">
                              <w:rPr>
                                <w:rFonts w:ascii="ＭＳ ゴシック" w:eastAsia="ＭＳ ゴシック" w:hAnsi="ＭＳ ゴシック" w:hint="eastAsia"/>
                                <w:sz w:val="22"/>
                                <w:szCs w:val="22"/>
                              </w:rPr>
                              <w:t>関西広域連合等</w:t>
                            </w:r>
                            <w:r w:rsidRPr="00E51FD6">
                              <w:rPr>
                                <w:rFonts w:ascii="ＭＳ ゴシック" w:eastAsia="ＭＳ ゴシック" w:hAnsi="ＭＳ ゴシック" w:hint="eastAsia"/>
                                <w:sz w:val="22"/>
                                <w:szCs w:val="22"/>
                              </w:rPr>
                              <w:t>の広域応援体制</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shape w14:anchorId="5C214A4E" id="Text Box 2267" o:spid="_x0000_s1291" type="#_x0000_t202" style="position:absolute;left:0;text-align:left;margin-left:31.1pt;margin-top:9pt;width:170.5pt;height:18pt;z-index:253080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">
                <v:textbox inset="5.85pt,.7pt,5.85pt,.7pt">
                  <w:txbxContent>
                    <w:p w14:paraId="35D613FD" w14:textId="77777777" w:rsidR="006A5267" w:rsidRPr="00E51FD6" w:rsidRDefault="006A5267" w:rsidP="008B4B2B">
                      <w:pPr>
                        <w:rPr>
                          <w:rFonts w:ascii="ＭＳ ゴシック" w:eastAsia="ＭＳ ゴシック" w:hAnsi="ＭＳ ゴシック"/>
                          <w:sz w:val="22"/>
                          <w:szCs w:val="22"/>
                        </w:rPr>
                      </w:pPr>
                      <w:r w:rsidRPr="00DF55E2">
                        <w:rPr>
                          <w:rFonts w:ascii="ＭＳ ゴシック" w:eastAsia="ＭＳ ゴシック" w:hAnsi="ＭＳ ゴシック" w:hint="eastAsia"/>
                          <w:sz w:val="22"/>
                          <w:szCs w:val="22"/>
                        </w:rPr>
                        <w:t>関西広域連合等</w:t>
                      </w:r>
                      <w:r w:rsidRPr="00E51FD6">
                        <w:rPr>
                          <w:rFonts w:ascii="ＭＳ ゴシック" w:eastAsia="ＭＳ ゴシック" w:hAnsi="ＭＳ ゴシック" w:hint="eastAsia"/>
                          <w:sz w:val="22"/>
                          <w:szCs w:val="22"/>
                        </w:rPr>
                        <w:t>の広域応援体制</w:t>
                      </w:r>
                    </w:p>
                  </w:txbxContent>
                </v:textbox>
              </v:shape>
            </w:pict>
          </mc:Fallback>
        </mc:AlternateContent>
      </w:r>
    </w:p>
    <w:p w14:paraId="27EF6948" w14:textId="77777777" w:rsidR="008B4B2B" w:rsidRPr="001D6D10" w:rsidRDefault="008B4B2B" w:rsidP="008B4B2B">
      <w:pPr>
        <w:ind w:left="1216" w:hangingChars="550" w:hanging="1216"/>
        <w:rPr>
          <w:rFonts w:ascii="ＭＳ ゴシック" w:eastAsia="ＭＳ ゴシック" w:hAnsi="ＭＳ ゴシック"/>
          <w:sz w:val="22"/>
          <w:szCs w:val="22"/>
        </w:rPr>
      </w:pPr>
      <w:r w:rsidRPr="001D6D10">
        <w:rPr>
          <w:rFonts w:ascii="ＭＳ ゴシック" w:eastAsia="ＭＳ ゴシック" w:hAnsi="ＭＳ ゴシック" w:hint="eastAsia"/>
          <w:noProof/>
          <w:sz w:val="22"/>
          <w:szCs w:val="22"/>
        </w:rPr>
        <mc:AlternateContent>
          <mc:Choice Requires="wps">
            <w:drawing>
              <wp:anchor distT="0" distB="0" distL="114300" distR="114300" simplePos="0" relativeHeight="253068288" behindDoc="0" locked="0" layoutInCell="1" allowOverlap="1" wp14:anchorId="3BBC984A" wp14:editId="09BA21DD">
                <wp:simplePos x="0" y="0"/>
                <wp:positionH relativeFrom="column">
                  <wp:posOffset>109220</wp:posOffset>
                </wp:positionH>
                <wp:positionV relativeFrom="paragraph">
                  <wp:posOffset>0</wp:posOffset>
                </wp:positionV>
                <wp:extent cx="5834380" cy="4409440"/>
                <wp:effectExtent l="13970" t="9525" r="9525" b="10160"/>
                <wp:wrapNone/>
                <wp:docPr id="4207" name="Text Box 225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34380" cy="4409440"/>
                        </a:xfrm>
                        <a:prstGeom prst="rect">
                          <a:avLst/>
                        </a:prstGeom>
                        <a:solidFill>
                          <a:srgbClr val="FFFFFF"/>
                        </a:solidFill>
                        <a:ln w="9525">
                          <a:solidFill>
                            <a:srgbClr val="000000"/>
                          </a:solidFill>
                          <a:miter lim="800000"/>
                          <a:headEnd/>
                          <a:tailEnd/>
                        </a:ln>
                      </wps:spPr>
                      <wps:txbx>
                        <w:txbxContent>
                          <w:p w14:paraId="02D3A2FF" w14:textId="77777777" w:rsidR="006A5267" w:rsidRDefault="006A5267" w:rsidP="008B4B2B"/>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shape w14:anchorId="3BBC984A" id="Text Box 2255" o:spid="_x0000_s1292" type="#_x0000_t202" style="position:absolute;left:0;text-align:left;margin-left:8.6pt;margin-top:0;width:459.4pt;height:347.2pt;z-index:253068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">
                <v:textbox inset="5.85pt,.7pt,5.85pt,.7pt">
                  <w:txbxContent>
                    <w:p w14:paraId="02D3A2FF" w14:textId="77777777" w:rsidR="006A5267" w:rsidRDefault="006A5267" w:rsidP="008B4B2B"/>
                  </w:txbxContent>
                </v:textbox>
              </v:shape>
            </w:pict>
          </mc:Fallback>
        </mc:AlternateContent>
      </w:r>
      <w:r w:rsidRPr="001D6D10">
        <w:rPr>
          <w:rFonts w:ascii="ＭＳ ゴシック" w:eastAsia="ＭＳ ゴシック" w:hAnsi="ＭＳ ゴシック" w:hint="eastAsia"/>
          <w:noProof/>
          <w:sz w:val="22"/>
          <w:szCs w:val="22"/>
        </w:rPr>
        <mc:AlternateContent>
          <mc:Choice Requires="wps">
            <w:drawing>
              <wp:anchor distT="0" distB="0" distL="114300" distR="114300" simplePos="0" relativeHeight="253085696" behindDoc="0" locked="0" layoutInCell="1" allowOverlap="1" wp14:anchorId="0BE2D197" wp14:editId="44B1D1E8">
                <wp:simplePos x="0" y="0"/>
                <wp:positionH relativeFrom="column">
                  <wp:posOffset>3773170</wp:posOffset>
                </wp:positionH>
                <wp:positionV relativeFrom="paragraph">
                  <wp:posOffset>0</wp:posOffset>
                </wp:positionV>
                <wp:extent cx="2057400" cy="707390"/>
                <wp:effectExtent l="1270" t="0" r="0" b="0"/>
                <wp:wrapNone/>
                <wp:docPr id="4206" name="Text Box 227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57400" cy="70739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FB46259" w14:textId="77777777" w:rsidR="006A5267" w:rsidRPr="00DF55E2" w:rsidRDefault="006A5267" w:rsidP="008B4B2B">
                            <w:pPr>
                              <w:rPr>
                                <w:rFonts w:ascii="ＭＳ ゴシック" w:eastAsia="ＭＳ ゴシック" w:hAnsi="ＭＳ ゴシック"/>
                                <w:sz w:val="16"/>
                                <w:szCs w:val="16"/>
                              </w:rPr>
                            </w:pPr>
                            <w:r w:rsidRPr="00DF55E2">
                              <w:rPr>
                                <w:rFonts w:ascii="ＭＳ ゴシック" w:eastAsia="ＭＳ ゴシック" w:hAnsi="ＭＳ ゴシック" w:hint="eastAsia"/>
                                <w:sz w:val="16"/>
                                <w:szCs w:val="16"/>
                              </w:rPr>
                              <w:t>【派遣基準】</w:t>
                            </w:r>
                          </w:p>
                          <w:p w14:paraId="262DCB23" w14:textId="77777777" w:rsidR="006A5267" w:rsidRDefault="006A5267" w:rsidP="008B4B2B">
                            <w:pPr>
                              <w:spacing w:line="240" w:lineRule="exact"/>
                              <w:rPr>
                                <w:rFonts w:ascii="ＭＳ ゴシック" w:eastAsia="ＭＳ ゴシック" w:hAnsi="ＭＳ ゴシック"/>
                                <w:sz w:val="16"/>
                                <w:szCs w:val="16"/>
                              </w:rPr>
                            </w:pPr>
                            <w:r w:rsidRPr="00DF55E2">
                              <w:rPr>
                                <w:rFonts w:ascii="ＭＳ ゴシック" w:eastAsia="ＭＳ ゴシック" w:hAnsi="ＭＳ ゴシック" w:hint="eastAsia"/>
                                <w:sz w:val="16"/>
                                <w:szCs w:val="16"/>
                              </w:rPr>
                              <w:t>・甚大な被害が推測される場合で、</w:t>
                            </w:r>
                          </w:p>
                          <w:p w14:paraId="45D6CDF7" w14:textId="77777777" w:rsidR="006A5267" w:rsidRPr="00DF55E2" w:rsidRDefault="006A5267" w:rsidP="008B4B2B">
                            <w:pPr>
                              <w:spacing w:line="240" w:lineRule="exact"/>
                              <w:rPr>
                                <w:rFonts w:ascii="ＭＳ ゴシック" w:eastAsia="ＭＳ ゴシック" w:hAnsi="ＭＳ ゴシック"/>
                                <w:sz w:val="16"/>
                                <w:szCs w:val="16"/>
                              </w:rPr>
                            </w:pPr>
                            <w:r w:rsidRPr="00DF55E2">
                              <w:rPr>
                                <w:rFonts w:ascii="ＭＳ ゴシック" w:eastAsia="ＭＳ ゴシック" w:hAnsi="ＭＳ ゴシック" w:hint="eastAsia"/>
                                <w:sz w:val="16"/>
                                <w:szCs w:val="16"/>
                              </w:rPr>
                              <w:t>震度6弱以上の揺れを観測</w:t>
                            </w:r>
                          </w:p>
                          <w:p w14:paraId="5CA844CF" w14:textId="77777777" w:rsidR="006A5267" w:rsidRPr="00DF55E2" w:rsidRDefault="006A5267" w:rsidP="008B4B2B">
                            <w:pPr>
                              <w:rPr>
                                <w:rFonts w:ascii="ＭＳ ゴシック" w:eastAsia="ＭＳ ゴシック" w:hAnsi="ＭＳ ゴシック"/>
                                <w:sz w:val="16"/>
                                <w:szCs w:val="16"/>
                              </w:rPr>
                            </w:pPr>
                            <w:r w:rsidRPr="00DF55E2">
                              <w:rPr>
                                <w:rFonts w:ascii="ＭＳ ゴシック" w:eastAsia="ＭＳ ゴシック" w:hAnsi="ＭＳ ゴシック" w:hint="eastAsia"/>
                                <w:sz w:val="16"/>
                                <w:szCs w:val="16"/>
                              </w:rPr>
                              <w:t>・通信の途絶等により情報の収集が困難</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shape w14:anchorId="0BE2D197" id="Text Box 2279" o:spid="_x0000_s1293" type="#_x0000_t202" style="position:absolute;left:0;text-align:left;margin-left:297.1pt;margin-top:0;width:162pt;height:55.7pt;z-index:253085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" filled="f" stroked="f">
                <v:textbox inset="5.85pt,.7pt,5.85pt,.7pt">
                  <w:txbxContent>
                    <w:p w14:paraId="5FB46259" w14:textId="77777777" w:rsidR="006A5267" w:rsidRPr="00DF55E2" w:rsidRDefault="006A5267" w:rsidP="008B4B2B">
                      <w:pPr>
                        <w:rPr>
                          <w:rFonts w:ascii="ＭＳ ゴシック" w:eastAsia="ＭＳ ゴシック" w:hAnsi="ＭＳ ゴシック"/>
                          <w:sz w:val="16"/>
                          <w:szCs w:val="16"/>
                        </w:rPr>
                      </w:pPr>
                      <w:r w:rsidRPr="00DF55E2">
                        <w:rPr>
                          <w:rFonts w:ascii="ＭＳ ゴシック" w:eastAsia="ＭＳ ゴシック" w:hAnsi="ＭＳ ゴシック" w:hint="eastAsia"/>
                          <w:sz w:val="16"/>
                          <w:szCs w:val="16"/>
                        </w:rPr>
                        <w:t>【派遣基準】</w:t>
                      </w:r>
                    </w:p>
                    <w:p w14:paraId="262DCB23" w14:textId="77777777" w:rsidR="006A5267" w:rsidRDefault="006A5267" w:rsidP="008B4B2B">
                      <w:pPr>
                        <w:spacing w:line="240" w:lineRule="exact"/>
                        <w:rPr>
                          <w:rFonts w:ascii="ＭＳ ゴシック" w:eastAsia="ＭＳ ゴシック" w:hAnsi="ＭＳ ゴシック"/>
                          <w:sz w:val="16"/>
                          <w:szCs w:val="16"/>
                        </w:rPr>
                      </w:pPr>
                      <w:r w:rsidRPr="00DF55E2">
                        <w:rPr>
                          <w:rFonts w:ascii="ＭＳ ゴシック" w:eastAsia="ＭＳ ゴシック" w:hAnsi="ＭＳ ゴシック" w:hint="eastAsia"/>
                          <w:sz w:val="16"/>
                          <w:szCs w:val="16"/>
                        </w:rPr>
                        <w:t>・甚大な被害が推測される場合で、</w:t>
                      </w:r>
                    </w:p>
                    <w:p w14:paraId="45D6CDF7" w14:textId="77777777" w:rsidR="006A5267" w:rsidRPr="00DF55E2" w:rsidRDefault="006A5267" w:rsidP="008B4B2B">
                      <w:pPr>
                        <w:spacing w:line="240" w:lineRule="exact"/>
                        <w:rPr>
                          <w:rFonts w:ascii="ＭＳ ゴシック" w:eastAsia="ＭＳ ゴシック" w:hAnsi="ＭＳ ゴシック"/>
                          <w:sz w:val="16"/>
                          <w:szCs w:val="16"/>
                        </w:rPr>
                      </w:pPr>
                      <w:r w:rsidRPr="00DF55E2">
                        <w:rPr>
                          <w:rFonts w:ascii="ＭＳ ゴシック" w:eastAsia="ＭＳ ゴシック" w:hAnsi="ＭＳ ゴシック" w:hint="eastAsia"/>
                          <w:sz w:val="16"/>
                          <w:szCs w:val="16"/>
                        </w:rPr>
                        <w:t>震度6弱以上の揺れを観測</w:t>
                      </w:r>
                    </w:p>
                    <w:p w14:paraId="5CA844CF" w14:textId="77777777" w:rsidR="006A5267" w:rsidRPr="00DF55E2" w:rsidRDefault="006A5267" w:rsidP="008B4B2B">
                      <w:pPr>
                        <w:rPr>
                          <w:rFonts w:ascii="ＭＳ ゴシック" w:eastAsia="ＭＳ ゴシック" w:hAnsi="ＭＳ ゴシック"/>
                          <w:sz w:val="16"/>
                          <w:szCs w:val="16"/>
                        </w:rPr>
                      </w:pPr>
                      <w:r w:rsidRPr="00DF55E2">
                        <w:rPr>
                          <w:rFonts w:ascii="ＭＳ ゴシック" w:eastAsia="ＭＳ ゴシック" w:hAnsi="ＭＳ ゴシック" w:hint="eastAsia"/>
                          <w:sz w:val="16"/>
                          <w:szCs w:val="16"/>
                        </w:rPr>
                        <w:t>・通信の途絶等により情報の収集が困難</w:t>
                      </w:r>
                    </w:p>
                  </w:txbxContent>
                </v:textbox>
              </v:shape>
            </w:pict>
          </mc:Fallback>
        </mc:AlternateContent>
      </w:r>
    </w:p>
    <w:p w14:paraId="26A6A8A1" w14:textId="77777777" w:rsidR="008B4B2B" w:rsidRPr="001D6D10" w:rsidRDefault="008B4B2B" w:rsidP="008B4B2B">
      <w:pPr>
        <w:ind w:left="1161" w:hangingChars="550" w:hanging="1161"/>
        <w:rPr>
          <w:rFonts w:ascii="ＭＳ ゴシック" w:eastAsia="ＭＳ ゴシック" w:hAnsi="ＭＳ ゴシック"/>
          <w:sz w:val="22"/>
          <w:szCs w:val="22"/>
        </w:rPr>
      </w:pPr>
      <w:r w:rsidRPr="001D6D10">
        <w:rPr>
          <w:noProof/>
        </w:rPr>
        <mc:AlternateContent>
          <mc:Choice Requires="wps">
            <w:drawing>
              <wp:anchor distT="0" distB="0" distL="114300" distR="114300" simplePos="0" relativeHeight="253084672" behindDoc="0" locked="0" layoutInCell="1" allowOverlap="1" wp14:anchorId="6D4BB13D" wp14:editId="74CE9B14">
                <wp:simplePos x="0" y="0"/>
                <wp:positionH relativeFrom="column">
                  <wp:posOffset>543560</wp:posOffset>
                </wp:positionH>
                <wp:positionV relativeFrom="paragraph">
                  <wp:posOffset>-635</wp:posOffset>
                </wp:positionV>
                <wp:extent cx="3775710" cy="338455"/>
                <wp:effectExtent l="635" t="0" r="0" b="0"/>
                <wp:wrapNone/>
                <wp:docPr id="4205"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775710" cy="3384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7A8476C" w14:textId="77777777" w:rsidR="006A5267" w:rsidRPr="00DF55E2" w:rsidRDefault="006A5267" w:rsidP="008B4B2B">
                            <w:pPr>
                              <w:numPr>
                                <w:ilvl w:val="0"/>
                                <w:numId w:val="2"/>
                              </w:numPr>
                              <w:rPr>
                                <w:rFonts w:ascii="ＭＳ ゴシック" w:eastAsia="ＭＳ ゴシック" w:hAnsi="ＭＳ ゴシック"/>
                              </w:rPr>
                            </w:pPr>
                            <w:r w:rsidRPr="00DF55E2">
                              <w:rPr>
                                <w:rFonts w:ascii="ＭＳ ゴシック" w:eastAsia="ＭＳ ゴシック" w:hAnsi="ＭＳ ゴシック" w:hint="eastAsia"/>
                              </w:rPr>
                              <w:t>緊急派遣チームの派遣、被害状況等の情報収集</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shape w14:anchorId="6D4BB13D" id="_x0000_s1294" type="#_x0000_t202" style="position:absolute;left:0;text-align:left;margin-left:42.8pt;margin-top:-.05pt;width:297.3pt;height:26.65pt;z-index:253084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" filled="f" stroked="f">
                <v:textbox>
                  <w:txbxContent>
                    <w:p w14:paraId="37A8476C" w14:textId="77777777" w:rsidR="006A5267" w:rsidRPr="00DF55E2" w:rsidRDefault="006A5267" w:rsidP="008B4B2B">
                      <w:pPr>
                        <w:numPr>
                          <w:ilvl w:val="0"/>
                          <w:numId w:val="2"/>
                        </w:numPr>
                        <w:rPr>
                          <w:rFonts w:ascii="ＭＳ ゴシック" w:eastAsia="ＭＳ ゴシック" w:hAnsi="ＭＳ ゴシック"/>
                        </w:rPr>
                      </w:pPr>
                      <w:r w:rsidRPr="00DF55E2">
                        <w:rPr>
                          <w:rFonts w:ascii="ＭＳ ゴシック" w:eastAsia="ＭＳ ゴシック" w:hAnsi="ＭＳ ゴシック" w:hint="eastAsia"/>
                        </w:rPr>
                        <w:t>緊急派遣チームの派遣、被害状況等の情報収集</w:t>
                      </w:r>
                    </w:p>
                  </w:txbxContent>
                </v:textbox>
              </v:shape>
            </w:pict>
          </mc:Fallback>
        </mc:AlternateContent>
      </w:r>
    </w:p>
    <w:p w14:paraId="629FE82D" w14:textId="77777777" w:rsidR="008B4B2B" w:rsidRPr="001D6D10" w:rsidRDefault="008B4B2B" w:rsidP="008B4B2B">
      <w:pPr>
        <w:rPr>
          <w:rFonts w:ascii="ＭＳ ゴシック" w:eastAsia="ＭＳ ゴシック" w:hAnsi="ＭＳ ゴシック"/>
          <w:sz w:val="22"/>
          <w:szCs w:val="22"/>
        </w:rPr>
      </w:pPr>
      <w:r w:rsidRPr="001D6D10">
        <w:rPr>
          <w:rFonts w:ascii="ＭＳ ゴシック" w:eastAsia="ＭＳ ゴシック" w:hAnsi="ＭＳ ゴシック" w:hint="eastAsia"/>
          <w:noProof/>
          <w:sz w:val="22"/>
          <w:szCs w:val="22"/>
        </w:rPr>
        <mc:AlternateContent>
          <mc:Choice Requires="wps">
            <w:drawing>
              <wp:anchor distT="0" distB="0" distL="114300" distR="114300" simplePos="0" relativeHeight="253073408" behindDoc="0" locked="0" layoutInCell="1" allowOverlap="1" wp14:anchorId="7AF52169" wp14:editId="35203A63">
                <wp:simplePos x="0" y="0"/>
                <wp:positionH relativeFrom="column">
                  <wp:posOffset>3843020</wp:posOffset>
                </wp:positionH>
                <wp:positionV relativeFrom="paragraph">
                  <wp:posOffset>140970</wp:posOffset>
                </wp:positionV>
                <wp:extent cx="0" cy="223520"/>
                <wp:effectExtent l="13970" t="7620" r="5080" b="6985"/>
                <wp:wrapNone/>
                <wp:docPr id="4204" name="Line 226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2352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line w14:anchorId="3448F8C0" id="Line 2260" o:spid="_x0000_s1026" style="position:absolute;left:0;text-align:left;z-index:253073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02.6pt,11.1pt" to="302.6pt,28.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"/>
            </w:pict>
          </mc:Fallback>
        </mc:AlternateContent>
      </w:r>
      <w:r w:rsidRPr="001D6D10">
        <w:rPr>
          <w:rFonts w:ascii="ＭＳ ゴシック" w:eastAsia="ＭＳ ゴシック" w:hAnsi="ＭＳ ゴシック" w:hint="eastAsia"/>
          <w:noProof/>
          <w:sz w:val="22"/>
          <w:szCs w:val="22"/>
        </w:rPr>
        <mc:AlternateContent>
          <mc:Choice Requires="wps">
            <w:drawing>
              <wp:anchor distT="0" distB="0" distL="114300" distR="114300" simplePos="0" relativeHeight="253074432" behindDoc="0" locked="0" layoutInCell="1" allowOverlap="1" wp14:anchorId="5A6EC6B4" wp14:editId="306CC600">
                <wp:simplePos x="0" y="0"/>
                <wp:positionH relativeFrom="column">
                  <wp:posOffset>518795</wp:posOffset>
                </wp:positionH>
                <wp:positionV relativeFrom="paragraph">
                  <wp:posOffset>113665</wp:posOffset>
                </wp:positionV>
                <wp:extent cx="0" cy="342900"/>
                <wp:effectExtent l="61595" t="8890" r="52705" b="19685"/>
                <wp:wrapNone/>
                <wp:docPr id="4203" name="Line 226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34290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line w14:anchorId="3F948E2D" id="Line 2261" o:spid="_x0000_s1026" style="position:absolute;left:0;text-align:left;z-index:253074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0.85pt,8.95pt" to="40.85pt,35.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">
                <v:stroke endarrow="block"/>
              </v:line>
            </w:pict>
          </mc:Fallback>
        </mc:AlternateContent>
      </w:r>
      <w:r w:rsidRPr="001D6D10">
        <w:rPr>
          <w:rFonts w:ascii="ＭＳ ゴシック" w:eastAsia="ＭＳ ゴシック" w:hAnsi="ＭＳ ゴシック" w:hint="eastAsia"/>
          <w:noProof/>
          <w:sz w:val="22"/>
          <w:szCs w:val="22"/>
        </w:rPr>
        <mc:AlternateContent>
          <mc:Choice Requires="wps">
            <w:drawing>
              <wp:anchor distT="0" distB="0" distL="114300" distR="114300" simplePos="0" relativeHeight="253072384" behindDoc="0" locked="0" layoutInCell="1" allowOverlap="1" wp14:anchorId="6548E321" wp14:editId="57F4C644">
                <wp:simplePos x="0" y="0"/>
                <wp:positionH relativeFrom="column">
                  <wp:posOffset>518795</wp:posOffset>
                </wp:positionH>
                <wp:positionV relativeFrom="paragraph">
                  <wp:posOffset>113665</wp:posOffset>
                </wp:positionV>
                <wp:extent cx="3324225" cy="0"/>
                <wp:effectExtent l="13970" t="8890" r="5080" b="10160"/>
                <wp:wrapNone/>
                <wp:docPr id="4202" name="Line 225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32422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line w14:anchorId="1281169F" id="Line 2259" o:spid="_x0000_s1026" style="position:absolute;left:0;text-align:left;z-index:253072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0.85pt,8.95pt" to="302.6pt,8.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"/>
            </w:pict>
          </mc:Fallback>
        </mc:AlternateContent>
      </w:r>
    </w:p>
    <w:p w14:paraId="2B9AEF53" w14:textId="77777777" w:rsidR="008B4B2B" w:rsidRPr="001D6D10" w:rsidRDefault="008B4B2B" w:rsidP="008B4B2B">
      <w:pPr>
        <w:rPr>
          <w:rFonts w:ascii="ＭＳ ゴシック" w:eastAsia="ＭＳ ゴシック" w:hAnsi="ＭＳ ゴシック"/>
          <w:sz w:val="22"/>
          <w:szCs w:val="22"/>
        </w:rPr>
      </w:pPr>
      <w:r w:rsidRPr="001D6D10">
        <w:rPr>
          <w:rFonts w:ascii="ＭＳ ゴシック" w:eastAsia="ＭＳ ゴシック" w:hAnsi="ＭＳ ゴシック" w:hint="eastAsia"/>
          <w:noProof/>
          <w:sz w:val="22"/>
          <w:szCs w:val="22"/>
        </w:rPr>
        <mc:AlternateContent>
          <mc:Choice Requires="wps">
            <w:drawing>
              <wp:anchor distT="0" distB="0" distL="114300" distR="114300" simplePos="0" relativeHeight="253069312" behindDoc="0" locked="0" layoutInCell="1" allowOverlap="1" wp14:anchorId="4A904E6A" wp14:editId="6466F77E">
                <wp:simplePos x="0" y="0"/>
                <wp:positionH relativeFrom="column">
                  <wp:posOffset>3509645</wp:posOffset>
                </wp:positionH>
                <wp:positionV relativeFrom="paragraph">
                  <wp:posOffset>140335</wp:posOffset>
                </wp:positionV>
                <wp:extent cx="2324100" cy="3091180"/>
                <wp:effectExtent l="13970" t="6985" r="5080" b="6985"/>
                <wp:wrapNone/>
                <wp:docPr id="4201" name="AutoShape 225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324100" cy="3091180"/>
                        </a:xfrm>
                        <a:prstGeom prst="roundRect">
                          <a:avLst>
                            <a:gd name="adj" fmla="val 16667"/>
                          </a:avLst>
                        </a:prstGeom>
                        <a:solidFill>
                          <a:srgbClr val="FFFFFF"/>
                        </a:solidFill>
                        <a:ln w="9525">
                          <a:solidFill>
                            <a:srgbClr val="000000"/>
                          </a:solidFill>
                          <a:round/>
                          <a:headEnd/>
                          <a:tailEnd/>
                        </a:ln>
                      </wps:spPr>
                      <wps:txbx>
                        <w:txbxContent>
                          <w:p w14:paraId="28F05771" w14:textId="77777777" w:rsidR="006A5267" w:rsidRPr="00196286" w:rsidRDefault="006A5267" w:rsidP="008B4B2B">
                            <w:pPr>
                              <w:jc w:val="center"/>
                              <w:rPr>
                                <w:rFonts w:ascii="ＭＳ ゴシック" w:eastAsia="ＭＳ ゴシック" w:hAnsi="ＭＳ ゴシック"/>
                                <w:color w:val="FF0000"/>
                                <w:sz w:val="24"/>
                              </w:rPr>
                            </w:pP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roundrect w14:anchorId="4A904E6A" id="AutoShape 2256" o:spid="_x0000_s1295" style="position:absolute;left:0;text-align:left;margin-left:276.35pt;margin-top:11.05pt;width:183pt;height:243.4pt;z-index:253069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">
                <v:textbox inset="5.85pt,.7pt,5.85pt,.7pt">
                  <w:txbxContent>
                    <w:p w14:paraId="28F05771" w14:textId="77777777" w:rsidR="006A5267" w:rsidRPr="00196286" w:rsidRDefault="006A5267" w:rsidP="008B4B2B">
                      <w:pPr>
                        <w:jc w:val="center"/>
                        <w:rPr>
                          <w:rFonts w:ascii="ＭＳ ゴシック" w:eastAsia="ＭＳ ゴシック" w:hAnsi="ＭＳ ゴシック"/>
                          <w:color w:val="FF0000"/>
                          <w:sz w:val="24"/>
                        </w:rPr>
                      </w:pPr>
                    </w:p>
                  </w:txbxContent>
                </v:textbox>
              </v:roundrect>
            </w:pict>
          </mc:Fallback>
        </mc:AlternateContent>
      </w:r>
    </w:p>
    <w:p w14:paraId="71DC08FC" w14:textId="77777777" w:rsidR="008B4B2B" w:rsidRPr="001D6D10" w:rsidRDefault="008B4B2B" w:rsidP="008B4B2B">
      <w:pPr>
        <w:rPr>
          <w:rFonts w:ascii="ＭＳ ゴシック" w:eastAsia="ＭＳ ゴシック" w:hAnsi="ＭＳ ゴシック"/>
          <w:sz w:val="22"/>
          <w:szCs w:val="22"/>
        </w:rPr>
      </w:pPr>
      <w:r w:rsidRPr="001D6D10">
        <w:rPr>
          <w:rFonts w:ascii="ＭＳ ゴシック" w:eastAsia="ＭＳ ゴシック" w:hAnsi="ＭＳ ゴシック" w:hint="eastAsia"/>
          <w:noProof/>
          <w:sz w:val="22"/>
          <w:szCs w:val="22"/>
        </w:rPr>
        <mc:AlternateContent>
          <mc:Choice Requires="wpg">
            <w:drawing>
              <wp:anchor distT="0" distB="0" distL="114300" distR="114300" simplePos="0" relativeHeight="253083648" behindDoc="0" locked="0" layoutInCell="1" allowOverlap="1" wp14:anchorId="02552F7A" wp14:editId="5D317FFA">
                <wp:simplePos x="0" y="0"/>
                <wp:positionH relativeFrom="column">
                  <wp:posOffset>347345</wp:posOffset>
                </wp:positionH>
                <wp:positionV relativeFrom="paragraph">
                  <wp:posOffset>8890</wp:posOffset>
                </wp:positionV>
                <wp:extent cx="390525" cy="3429000"/>
                <wp:effectExtent l="13970" t="8890" r="0" b="10160"/>
                <wp:wrapNone/>
                <wp:docPr id="4198" name="Group 227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0525" cy="3429000"/>
                          <a:chOff x="2678" y="5018"/>
                          <a:chExt cx="615" cy="5400"/>
                        </a:xfrm>
                      </wpg:grpSpPr>
                      <wps:wsp>
                        <wps:cNvPr id="4199" name="AutoShape 2276"/>
                        <wps:cNvSpPr>
                          <a:spLocks noChangeArrowheads="1"/>
                        </wps:cNvSpPr>
                        <wps:spPr bwMode="auto">
                          <a:xfrm>
                            <a:off x="2678" y="5018"/>
                            <a:ext cx="540" cy="5400"/>
                          </a:xfrm>
                          <a:prstGeom prst="hexagon">
                            <a:avLst>
                              <a:gd name="adj" fmla="val 25000"/>
                              <a:gd name="vf" fmla="val 115470"/>
                            </a:avLst>
                          </a:prstGeom>
                          <a:solidFill>
                            <a:srgbClr val="FFFFFF"/>
                          </a:solidFill>
                          <a:ln w="9525">
                            <a:solidFill>
                              <a:srgbClr val="000000"/>
                            </a:solidFill>
                            <a:miter lim="800000"/>
                            <a:headEnd/>
                            <a:tailEnd/>
                          </a:ln>
                        </wps:spPr>
                        <wps:txbx>
                          <w:txbxContent>
                            <w:p w14:paraId="5E3E37E5" w14:textId="77777777" w:rsidR="006A5267" w:rsidRDefault="006A5267" w:rsidP="008B4B2B">
                              <w:pPr>
                                <w:rPr>
                                  <w:rFonts w:ascii="ＭＳ ゴシック" w:eastAsia="ＭＳ ゴシック" w:hAnsi="ＭＳ ゴシック"/>
                                  <w:sz w:val="22"/>
                                  <w:szCs w:val="22"/>
                                </w:rPr>
                              </w:pPr>
                              <w:r w:rsidRPr="00F946B3">
                                <w:rPr>
                                  <w:rFonts w:ascii="ＭＳ ゴシック" w:eastAsia="ＭＳ ゴシック" w:hAnsi="ＭＳ ゴシック" w:hint="eastAsia"/>
                                  <w:sz w:val="22"/>
                                  <w:szCs w:val="22"/>
                                </w:rPr>
                                <w:t>大</w:t>
                              </w:r>
                            </w:p>
                            <w:p w14:paraId="13F33E9C" w14:textId="77777777" w:rsidR="006A5267" w:rsidRDefault="006A5267" w:rsidP="008B4B2B">
                              <w:pPr>
                                <w:rPr>
                                  <w:rFonts w:ascii="ＭＳ ゴシック" w:eastAsia="ＭＳ ゴシック" w:hAnsi="ＭＳ ゴシック"/>
                                  <w:sz w:val="22"/>
                                  <w:szCs w:val="22"/>
                                </w:rPr>
                              </w:pPr>
                            </w:p>
                            <w:p w14:paraId="75B5A828" w14:textId="77777777" w:rsidR="006A5267" w:rsidRDefault="006A5267" w:rsidP="008B4B2B">
                              <w:pPr>
                                <w:rPr>
                                  <w:rFonts w:ascii="ＭＳ ゴシック" w:eastAsia="ＭＳ ゴシック" w:hAnsi="ＭＳ ゴシック"/>
                                  <w:sz w:val="22"/>
                                  <w:szCs w:val="22"/>
                                </w:rPr>
                              </w:pPr>
                              <w:r w:rsidRPr="00F946B3">
                                <w:rPr>
                                  <w:rFonts w:ascii="ＭＳ ゴシック" w:eastAsia="ＭＳ ゴシック" w:hAnsi="ＭＳ ゴシック" w:hint="eastAsia"/>
                                  <w:sz w:val="22"/>
                                  <w:szCs w:val="22"/>
                                </w:rPr>
                                <w:t>阪</w:t>
                              </w:r>
                            </w:p>
                            <w:p w14:paraId="5500FD4B" w14:textId="77777777" w:rsidR="006A5267" w:rsidRDefault="006A5267" w:rsidP="008B4B2B">
                              <w:pPr>
                                <w:rPr>
                                  <w:rFonts w:ascii="ＭＳ ゴシック" w:eastAsia="ＭＳ ゴシック" w:hAnsi="ＭＳ ゴシック"/>
                                  <w:sz w:val="22"/>
                                  <w:szCs w:val="22"/>
                                </w:rPr>
                              </w:pPr>
                            </w:p>
                            <w:p w14:paraId="2201FC57" w14:textId="77777777" w:rsidR="006A5267" w:rsidRDefault="006A5267" w:rsidP="008B4B2B">
                              <w:pPr>
                                <w:rPr>
                                  <w:rFonts w:ascii="ＭＳ ゴシック" w:eastAsia="ＭＳ ゴシック" w:hAnsi="ＭＳ ゴシック"/>
                                  <w:sz w:val="22"/>
                                  <w:szCs w:val="22"/>
                                </w:rPr>
                              </w:pPr>
                              <w:r w:rsidRPr="00F946B3">
                                <w:rPr>
                                  <w:rFonts w:ascii="ＭＳ ゴシック" w:eastAsia="ＭＳ ゴシック" w:hAnsi="ＭＳ ゴシック" w:hint="eastAsia"/>
                                  <w:sz w:val="22"/>
                                  <w:szCs w:val="22"/>
                                </w:rPr>
                                <w:t>府</w:t>
                              </w:r>
                            </w:p>
                            <w:p w14:paraId="413A6421" w14:textId="77777777" w:rsidR="006A5267" w:rsidRPr="00F946B3" w:rsidRDefault="006A5267" w:rsidP="008B4B2B">
                              <w:pPr>
                                <w:rPr>
                                  <w:rFonts w:ascii="ＭＳ ゴシック" w:eastAsia="ＭＳ ゴシック" w:hAnsi="ＭＳ ゴシック"/>
                                  <w:sz w:val="22"/>
                                  <w:szCs w:val="22"/>
                                </w:rPr>
                              </w:pPr>
                            </w:p>
                          </w:txbxContent>
                        </wps:txbx>
                        <wps:bodyPr rot="0" vert="horz" wrap="square" lIns="74295" tIns="8890" rIns="74295" bIns="8890" anchor="t" anchorCtr="0" upright="1">
                          <a:noAutofit/>
                        </wps:bodyPr>
                      </wps:wsp>
                      <wps:wsp>
                        <wps:cNvPr id="4200" name="Text Box 2277"/>
                        <wps:cNvSpPr txBox="1">
                          <a:spLocks noChangeArrowheads="1"/>
                        </wps:cNvSpPr>
                        <wps:spPr bwMode="auto">
                          <a:xfrm>
                            <a:off x="2753" y="7785"/>
                            <a:ext cx="540" cy="227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582C1E5" w14:textId="77777777" w:rsidR="006A5267" w:rsidRPr="000C30D2" w:rsidRDefault="006A5267" w:rsidP="008B4B2B">
                              <w:pPr>
                                <w:rPr>
                                  <w:rFonts w:ascii="ＭＳ ゴシック" w:eastAsia="ＭＳ ゴシック" w:hAnsi="ＭＳ ゴシック"/>
                                  <w:sz w:val="16"/>
                                  <w:szCs w:val="16"/>
                                </w:rPr>
                              </w:pPr>
                              <w:r w:rsidRPr="000C30D2">
                                <w:rPr>
                                  <w:rFonts w:ascii="ＭＳ ゴシック" w:eastAsia="ＭＳ ゴシック" w:hAnsi="ＭＳ ゴシック" w:hint="eastAsia"/>
                                  <w:sz w:val="16"/>
                                  <w:szCs w:val="16"/>
                                </w:rPr>
                                <w:t>(大阪市・堺市含む)</w:t>
                              </w:r>
                            </w:p>
                          </w:txbxContent>
                        </wps:txbx>
                        <wps:bodyPr rot="0" vert="eaVert" wrap="square" lIns="74295" tIns="8890" rIns="74295" bIns="8890" anchor="t" anchorCtr="0" upright="1">
                          <a:noAutofit/>
                        </wps:bodyPr>
                      </wps:wsp>
                    </wpg:wgp>
                  </a:graphicData>
                </a:graphic>
                <wp14:sizeRelH relativeFrom="page">
                  <wp14:pctWidth>0</wp14:pctWidth>
                </wp14:sizeRelH>
                <wp14:sizeRelV relativeFrom="page">
                  <wp14:pctHeight>0</wp14:pctHeight>
                </wp14:sizeRelV>
              </wp:anchor>
            </w:drawing>
          </mc:Choice>
          <mc:Fallback xmlns:w16cei="http://schemas.microsoft.com/office/word/2026/wordml/cei">
            <w:pict>
              <v:group w14:anchorId="02552F7A" id="Group 2275" o:spid="_x0000_s1296" style="position:absolute;left:0;text-align:left;margin-left:27.35pt;margin-top:.7pt;width:30.75pt;height:270pt;z-index:253083648" coordorigin="2678,5018" coordsize="615,54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">
                <v:shapetype id="_x0000_t9" coordsize="21600,21600" o:spt="9" adj="5400" path="m@0,l,10800@0,21600@1,21600,21600,10800@1,xe">
                  <v:stroke joinstyle="miter"/>
                  <v:formulas>
                    <v:f eqn="val #0"/>
                    <v:f eqn="sum width 0 #0"/>
                    <v:f eqn="sum height 0 #0"/>
                    <v:f eqn="prod @0 2929 10000"/>
                    <v:f eqn="sum width 0 @3"/>
                    <v:f eqn="sum height 0 @3"/>
                  </v:formulas>
                  <v:path gradientshapeok="t" o:connecttype="rect" textboxrect="1800,1800,19800,19800;3600,3600,18000,18000;6300,6300,15300,15300"/>
                  <v:handles>
                    <v:h position="#0,topLeft" xrange="0,10800"/>
                  </v:handles>
                </v:shapetype>
                <v:shape id="AutoShape 2276" o:spid="_x0000_s1297" type="#_x0000_t9" style="position:absolute;left:2678;top:5018;width:540;height:54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">
                  <v:textbox inset="5.85pt,.7pt,5.85pt,.7pt">
                    <w:txbxContent>
                      <w:p w14:paraId="5E3E37E5" w14:textId="77777777" w:rsidR="006A5267" w:rsidRDefault="006A5267" w:rsidP="008B4B2B">
                        <w:pPr>
                          <w:rPr>
                            <w:rFonts w:ascii="ＭＳ ゴシック" w:eastAsia="ＭＳ ゴシック" w:hAnsi="ＭＳ ゴシック"/>
                            <w:sz w:val="22"/>
                            <w:szCs w:val="22"/>
                          </w:rPr>
                        </w:pPr>
                        <w:r w:rsidRPr="00F946B3">
                          <w:rPr>
                            <w:rFonts w:ascii="ＭＳ ゴシック" w:eastAsia="ＭＳ ゴシック" w:hAnsi="ＭＳ ゴシック" w:hint="eastAsia"/>
                            <w:sz w:val="22"/>
                            <w:szCs w:val="22"/>
                          </w:rPr>
                          <w:t>大</w:t>
                        </w:r>
                      </w:p>
                      <w:p w14:paraId="13F33E9C" w14:textId="77777777" w:rsidR="006A5267" w:rsidRDefault="006A5267" w:rsidP="008B4B2B">
                        <w:pPr>
                          <w:rPr>
                            <w:rFonts w:ascii="ＭＳ ゴシック" w:eastAsia="ＭＳ ゴシック" w:hAnsi="ＭＳ ゴシック"/>
                            <w:sz w:val="22"/>
                            <w:szCs w:val="22"/>
                          </w:rPr>
                        </w:pPr>
                      </w:p>
                      <w:p w14:paraId="75B5A828" w14:textId="77777777" w:rsidR="006A5267" w:rsidRDefault="006A5267" w:rsidP="008B4B2B">
                        <w:pPr>
                          <w:rPr>
                            <w:rFonts w:ascii="ＭＳ ゴシック" w:eastAsia="ＭＳ ゴシック" w:hAnsi="ＭＳ ゴシック"/>
                            <w:sz w:val="22"/>
                            <w:szCs w:val="22"/>
                          </w:rPr>
                        </w:pPr>
                        <w:r w:rsidRPr="00F946B3">
                          <w:rPr>
                            <w:rFonts w:ascii="ＭＳ ゴシック" w:eastAsia="ＭＳ ゴシック" w:hAnsi="ＭＳ ゴシック" w:hint="eastAsia"/>
                            <w:sz w:val="22"/>
                            <w:szCs w:val="22"/>
                          </w:rPr>
                          <w:t>阪</w:t>
                        </w:r>
                      </w:p>
                      <w:p w14:paraId="5500FD4B" w14:textId="77777777" w:rsidR="006A5267" w:rsidRDefault="006A5267" w:rsidP="008B4B2B">
                        <w:pPr>
                          <w:rPr>
                            <w:rFonts w:ascii="ＭＳ ゴシック" w:eastAsia="ＭＳ ゴシック" w:hAnsi="ＭＳ ゴシック"/>
                            <w:sz w:val="22"/>
                            <w:szCs w:val="22"/>
                          </w:rPr>
                        </w:pPr>
                      </w:p>
                      <w:p w14:paraId="2201FC57" w14:textId="77777777" w:rsidR="006A5267" w:rsidRDefault="006A5267" w:rsidP="008B4B2B">
                        <w:pPr>
                          <w:rPr>
                            <w:rFonts w:ascii="ＭＳ ゴシック" w:eastAsia="ＭＳ ゴシック" w:hAnsi="ＭＳ ゴシック"/>
                            <w:sz w:val="22"/>
                            <w:szCs w:val="22"/>
                          </w:rPr>
                        </w:pPr>
                        <w:r w:rsidRPr="00F946B3">
                          <w:rPr>
                            <w:rFonts w:ascii="ＭＳ ゴシック" w:eastAsia="ＭＳ ゴシック" w:hAnsi="ＭＳ ゴシック" w:hint="eastAsia"/>
                            <w:sz w:val="22"/>
                            <w:szCs w:val="22"/>
                          </w:rPr>
                          <w:t>府</w:t>
                        </w:r>
                      </w:p>
                      <w:p w14:paraId="413A6421" w14:textId="77777777" w:rsidR="006A5267" w:rsidRPr="00F946B3" w:rsidRDefault="006A5267" w:rsidP="008B4B2B">
                        <w:pPr>
                          <w:rPr>
                            <w:rFonts w:ascii="ＭＳ ゴシック" w:eastAsia="ＭＳ ゴシック" w:hAnsi="ＭＳ ゴシック"/>
                            <w:sz w:val="22"/>
                            <w:szCs w:val="22"/>
                          </w:rPr>
                        </w:pPr>
                      </w:p>
                    </w:txbxContent>
                  </v:textbox>
                </v:shape>
                <v:shape id="Text Box 2277" o:spid="_x0000_s1298" type="#_x0000_t202" style="position:absolute;left:2753;top:7785;width:540;height:227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" filled="f" stroked="f">
                  <v:textbox style="layout-flow:vertical-ideographic" inset="5.85pt,.7pt,5.85pt,.7pt">
                    <w:txbxContent>
                      <w:p w14:paraId="0582C1E5" w14:textId="77777777" w:rsidR="006A5267" w:rsidRPr="000C30D2" w:rsidRDefault="006A5267" w:rsidP="008B4B2B">
                        <w:pPr>
                          <w:rPr>
                            <w:rFonts w:ascii="ＭＳ ゴシック" w:eastAsia="ＭＳ ゴシック" w:hAnsi="ＭＳ ゴシック"/>
                            <w:sz w:val="16"/>
                            <w:szCs w:val="16"/>
                          </w:rPr>
                        </w:pPr>
                        <w:r w:rsidRPr="000C30D2">
                          <w:rPr>
                            <w:rFonts w:ascii="ＭＳ ゴシック" w:eastAsia="ＭＳ ゴシック" w:hAnsi="ＭＳ ゴシック" w:hint="eastAsia"/>
                            <w:sz w:val="16"/>
                            <w:szCs w:val="16"/>
                          </w:rPr>
                          <w:t>(大阪市・堺市含む)</w:t>
                        </w:r>
                      </w:p>
                    </w:txbxContent>
                  </v:textbox>
                </v:shape>
              </v:group>
            </w:pict>
          </mc:Fallback>
        </mc:AlternateContent>
      </w:r>
      <w:r w:rsidRPr="001D6D10">
        <w:rPr>
          <w:noProof/>
        </w:rPr>
        <mc:AlternateContent>
          <mc:Choice Requires="wps">
            <w:drawing>
              <wp:anchor distT="0" distB="0" distL="114300" distR="114300" simplePos="0" relativeHeight="253093888" behindDoc="0" locked="0" layoutInCell="1" allowOverlap="1" wp14:anchorId="5A06C57A" wp14:editId="4F07868A">
                <wp:simplePos x="0" y="0"/>
                <wp:positionH relativeFrom="column">
                  <wp:posOffset>3521075</wp:posOffset>
                </wp:positionH>
                <wp:positionV relativeFrom="paragraph">
                  <wp:posOffset>8255</wp:posOffset>
                </wp:positionV>
                <wp:extent cx="2242185" cy="386715"/>
                <wp:effectExtent l="0" t="0" r="4445" b="0"/>
                <wp:wrapNone/>
                <wp:docPr id="4197"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42185" cy="38671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246DFCA" w14:textId="77777777" w:rsidR="006A5267" w:rsidRPr="00DF55E2" w:rsidRDefault="006A5267" w:rsidP="008B4B2B">
                            <w:pPr>
                              <w:jc w:val="center"/>
                              <w:rPr>
                                <w:rFonts w:ascii="ＭＳ ゴシック" w:eastAsia="ＭＳ ゴシック" w:hAnsi="ＭＳ ゴシック"/>
                                <w:sz w:val="24"/>
                              </w:rPr>
                            </w:pPr>
                            <w:r w:rsidRPr="00DF55E2">
                              <w:rPr>
                                <w:rFonts w:ascii="ＭＳ ゴシック" w:eastAsia="ＭＳ ゴシック" w:hAnsi="ＭＳ ゴシック" w:hint="eastAsia"/>
                                <w:sz w:val="24"/>
                              </w:rPr>
                              <w:t>関西広域連合</w:t>
                            </w:r>
                          </w:p>
                        </w:txbxContent>
                      </wps:txbx>
                      <wps:bodyPr rot="0" vert="horz" wrap="square" lIns="91440" tIns="45720" rIns="91440" bIns="45720" anchor="t" anchorCtr="0" upright="1">
                        <a:noAutofit/>
                      </wps:bodyPr>
                    </wps:wsp>
                  </a:graphicData>
                </a:graphic>
                <wp14:sizeRelH relativeFrom="margin">
                  <wp14:pctWidth>40000</wp14:pctWidth>
                </wp14:sizeRelH>
                <wp14:sizeRelV relativeFrom="margin">
                  <wp14:pctHeight>0</wp14:pctHeight>
                </wp14:sizeRelV>
              </wp:anchor>
            </w:drawing>
          </mc:Choice>
          <mc:Fallback xmlns:w16cei="http://schemas.microsoft.com/office/word/2026/wordml/cei">
            <w:pict>
              <v:shape w14:anchorId="5A06C57A" id="_x0000_s1299" type="#_x0000_t202" style="position:absolute;left:0;text-align:left;margin-left:277.25pt;margin-top:.65pt;width:176.55pt;height:30.45pt;z-index:253093888;visibility:visible;mso-wrap-style:square;mso-width-percent:400;mso-height-percent:0;mso-wrap-distance-left:9pt;mso-wrap-distance-top:0;mso-wrap-distance-right:9pt;mso-wrap-distance-bottom:0;mso-position-horizontal:absolute;mso-position-horizontal-relative:text;mso-position-vertical:absolute;mso-position-vertical-relative:text;mso-width-percent:40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" filled="f" stroked="f">
                <v:textbox>
                  <w:txbxContent>
                    <w:p w14:paraId="5246DFCA" w14:textId="77777777" w:rsidR="006A5267" w:rsidRPr="00DF55E2" w:rsidRDefault="006A5267" w:rsidP="008B4B2B">
                      <w:pPr>
                        <w:jc w:val="center"/>
                        <w:rPr>
                          <w:rFonts w:ascii="ＭＳ ゴシック" w:eastAsia="ＭＳ ゴシック" w:hAnsi="ＭＳ ゴシック"/>
                          <w:sz w:val="24"/>
                        </w:rPr>
                      </w:pPr>
                      <w:r w:rsidRPr="00DF55E2">
                        <w:rPr>
                          <w:rFonts w:ascii="ＭＳ ゴシック" w:eastAsia="ＭＳ ゴシック" w:hAnsi="ＭＳ ゴシック" w:hint="eastAsia"/>
                          <w:sz w:val="24"/>
                        </w:rPr>
                        <w:t>関西広域連合</w:t>
                      </w:r>
                    </w:p>
                  </w:txbxContent>
                </v:textbox>
              </v:shape>
            </w:pict>
          </mc:Fallback>
        </mc:AlternateContent>
      </w:r>
    </w:p>
    <w:p w14:paraId="2151907A" w14:textId="77777777" w:rsidR="008B4B2B" w:rsidRPr="001D6D10" w:rsidRDefault="008B4B2B" w:rsidP="008B4B2B">
      <w:pPr>
        <w:rPr>
          <w:rFonts w:ascii="ＭＳ ゴシック" w:eastAsia="ＭＳ ゴシック" w:hAnsi="ＭＳ ゴシック"/>
          <w:sz w:val="22"/>
          <w:szCs w:val="22"/>
        </w:rPr>
      </w:pPr>
      <w:r w:rsidRPr="001D6D10">
        <w:rPr>
          <w:rFonts w:ascii="ＭＳ ゴシック" w:eastAsia="ＭＳ ゴシック" w:hAnsi="ＭＳ ゴシック" w:hint="eastAsia"/>
          <w:noProof/>
          <w:sz w:val="22"/>
          <w:szCs w:val="22"/>
        </w:rPr>
        <mc:AlternateContent>
          <mc:Choice Requires="wps">
            <w:drawing>
              <wp:anchor distT="0" distB="0" distL="114300" distR="114300" simplePos="0" relativeHeight="253077504" behindDoc="0" locked="0" layoutInCell="1" allowOverlap="1" wp14:anchorId="42578DB7" wp14:editId="6EC14B79">
                <wp:simplePos x="0" y="0"/>
                <wp:positionH relativeFrom="column">
                  <wp:posOffset>623570</wp:posOffset>
                </wp:positionH>
                <wp:positionV relativeFrom="paragraph">
                  <wp:posOffset>69215</wp:posOffset>
                </wp:positionV>
                <wp:extent cx="1714500" cy="342900"/>
                <wp:effectExtent l="4445" t="2540" r="0" b="0"/>
                <wp:wrapNone/>
                <wp:docPr id="4196" name="Text Box 226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14500" cy="3429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0A9D376" w14:textId="77777777" w:rsidR="006A5267" w:rsidRPr="00DF55E2" w:rsidRDefault="006A5267" w:rsidP="008B4B2B">
                            <w:pPr>
                              <w:spacing w:line="240" w:lineRule="exact"/>
                              <w:ind w:firstLineChars="200" w:firstLine="402"/>
                            </w:pPr>
                            <w:r w:rsidRPr="00DF55E2">
                              <w:rPr>
                                <w:rFonts w:ascii="ＭＳ ゴシック" w:eastAsia="ＭＳ ゴシック" w:hAnsi="ＭＳ ゴシック" w:hint="eastAsia"/>
                                <w:sz w:val="20"/>
                                <w:szCs w:val="20"/>
                              </w:rPr>
                              <w:t>②応援要請</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shape w14:anchorId="42578DB7" id="Text Box 2264" o:spid="_x0000_s1300" type="#_x0000_t202" style="position:absolute;left:0;text-align:left;margin-left:49.1pt;margin-top:5.45pt;width:135pt;height:27pt;z-index:253077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" filled="f" stroked="f">
                <v:textbox inset="5.85pt,.7pt,5.85pt,.7pt">
                  <w:txbxContent>
                    <w:p w14:paraId="30A9D376" w14:textId="77777777" w:rsidR="006A5267" w:rsidRPr="00DF55E2" w:rsidRDefault="006A5267" w:rsidP="008B4B2B">
                      <w:pPr>
                        <w:spacing w:line="240" w:lineRule="exact"/>
                        <w:ind w:firstLineChars="200" w:firstLine="402"/>
                      </w:pPr>
                      <w:r w:rsidRPr="00DF55E2">
                        <w:rPr>
                          <w:rFonts w:ascii="ＭＳ ゴシック" w:eastAsia="ＭＳ ゴシック" w:hAnsi="ＭＳ ゴシック" w:hint="eastAsia"/>
                          <w:sz w:val="20"/>
                          <w:szCs w:val="20"/>
                        </w:rPr>
                        <w:t>②応援要請</w:t>
                      </w:r>
                    </w:p>
                  </w:txbxContent>
                </v:textbox>
              </v:shape>
            </w:pict>
          </mc:Fallback>
        </mc:AlternateContent>
      </w:r>
      <w:r w:rsidRPr="001D6D10">
        <w:rPr>
          <w:rFonts w:ascii="ＭＳ ゴシック" w:eastAsia="ＭＳ ゴシック" w:hAnsi="ＭＳ ゴシック" w:hint="eastAsia"/>
          <w:noProof/>
          <w:sz w:val="22"/>
          <w:szCs w:val="22"/>
        </w:rPr>
        <mc:AlternateContent>
          <mc:Choice Requires="wps">
            <w:drawing>
              <wp:anchor distT="0" distB="0" distL="114300" distR="114300" simplePos="0" relativeHeight="253075456" behindDoc="0" locked="0" layoutInCell="1" allowOverlap="1" wp14:anchorId="6159AE6C" wp14:editId="08795E04">
                <wp:simplePos x="0" y="0"/>
                <wp:positionH relativeFrom="column">
                  <wp:posOffset>604520</wp:posOffset>
                </wp:positionH>
                <wp:positionV relativeFrom="paragraph">
                  <wp:posOffset>65405</wp:posOffset>
                </wp:positionV>
                <wp:extent cx="2952750" cy="3810"/>
                <wp:effectExtent l="13970" t="55880" r="14605" b="54610"/>
                <wp:wrapNone/>
                <wp:docPr id="4195" name="Line 226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952750" cy="381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line w14:anchorId="0E3ADA82" id="Line 2262" o:spid="_x0000_s1026" style="position:absolute;left:0;text-align:left;z-index:253075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7.6pt,5.15pt" to="280.1pt,5.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">
                <v:stroke endarrow="block"/>
              </v:line>
            </w:pict>
          </mc:Fallback>
        </mc:AlternateContent>
      </w:r>
      <w:r w:rsidRPr="001D6D10">
        <w:rPr>
          <w:rFonts w:ascii="ＭＳ ゴシック" w:eastAsia="ＭＳ ゴシック" w:hAnsi="ＭＳ ゴシック" w:hint="eastAsia"/>
          <w:noProof/>
          <w:sz w:val="22"/>
          <w:szCs w:val="22"/>
        </w:rPr>
        <mc:AlternateContent>
          <mc:Choice Requires="wps">
            <w:drawing>
              <wp:anchor distT="0" distB="0" distL="114300" distR="114300" simplePos="0" relativeHeight="253070336" behindDoc="0" locked="0" layoutInCell="1" allowOverlap="1" wp14:anchorId="3EA8A158" wp14:editId="33187913">
                <wp:simplePos x="0" y="0"/>
                <wp:positionH relativeFrom="column">
                  <wp:posOffset>3633470</wp:posOffset>
                </wp:positionH>
                <wp:positionV relativeFrom="paragraph">
                  <wp:posOffset>69215</wp:posOffset>
                </wp:positionV>
                <wp:extent cx="2095500" cy="457200"/>
                <wp:effectExtent l="13970" t="12065" r="5080" b="6985"/>
                <wp:wrapNone/>
                <wp:docPr id="4194" name="Oval 225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095500" cy="457200"/>
                        </a:xfrm>
                        <a:prstGeom prst="ellipse">
                          <a:avLst/>
                        </a:prstGeom>
                        <a:solidFill>
                          <a:srgbClr val="FFFFFF"/>
                        </a:solidFill>
                        <a:ln w="9525">
                          <a:solidFill>
                            <a:srgbClr val="000000"/>
                          </a:solidFill>
                          <a:round/>
                          <a:headEnd/>
                          <a:tailEnd/>
                        </a:ln>
                      </wps:spPr>
                      <wps:txbx>
                        <w:txbxContent>
                          <w:p w14:paraId="00760577" w14:textId="77777777" w:rsidR="006A5267" w:rsidRPr="00DF55E2" w:rsidRDefault="006A5267" w:rsidP="008B4B2B">
                            <w:pPr>
                              <w:spacing w:line="240" w:lineRule="exact"/>
                              <w:jc w:val="center"/>
                              <w:rPr>
                                <w:rFonts w:ascii="ＭＳ ゴシック" w:eastAsia="ＭＳ ゴシック" w:hAnsi="ＭＳ ゴシック"/>
                                <w:sz w:val="18"/>
                                <w:szCs w:val="18"/>
                              </w:rPr>
                            </w:pPr>
                            <w:r w:rsidRPr="00DF55E2">
                              <w:rPr>
                                <w:rFonts w:ascii="ＭＳ ゴシック" w:eastAsia="ＭＳ ゴシック" w:hAnsi="ＭＳ ゴシック" w:hint="eastAsia"/>
                                <w:sz w:val="18"/>
                                <w:szCs w:val="18"/>
                              </w:rPr>
                              <w:t>兵庫県</w:t>
                            </w:r>
                          </w:p>
                          <w:p w14:paraId="4ABC5403" w14:textId="77777777" w:rsidR="006A5267" w:rsidRPr="00DF55E2" w:rsidRDefault="006A5267" w:rsidP="008B4B2B">
                            <w:pPr>
                              <w:spacing w:line="240" w:lineRule="exact"/>
                              <w:jc w:val="center"/>
                              <w:rPr>
                                <w:rFonts w:ascii="ＭＳ ゴシック" w:eastAsia="ＭＳ ゴシック" w:hAnsi="ＭＳ ゴシック"/>
                                <w:sz w:val="18"/>
                                <w:szCs w:val="18"/>
                              </w:rPr>
                            </w:pPr>
                            <w:r w:rsidRPr="00DF55E2">
                              <w:rPr>
                                <w:rFonts w:ascii="ＭＳ ゴシック" w:eastAsia="ＭＳ ゴシック" w:hAnsi="ＭＳ ゴシック" w:hint="eastAsia"/>
                                <w:sz w:val="18"/>
                                <w:szCs w:val="18"/>
                              </w:rPr>
                              <w:t>（広域防災局）</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oval w14:anchorId="3EA8A158" id="Oval 2257" o:spid="_x0000_s1301" style="position:absolute;left:0;text-align:left;margin-left:286.1pt;margin-top:5.45pt;width:165pt;height:36pt;z-index:253070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">
                <v:textbox inset="5.85pt,.7pt,5.85pt,.7pt">
                  <w:txbxContent>
                    <w:p w14:paraId="00760577" w14:textId="77777777" w:rsidR="006A5267" w:rsidRPr="00DF55E2" w:rsidRDefault="006A5267" w:rsidP="008B4B2B">
                      <w:pPr>
                        <w:spacing w:line="240" w:lineRule="exact"/>
                        <w:jc w:val="center"/>
                        <w:rPr>
                          <w:rFonts w:ascii="ＭＳ ゴシック" w:eastAsia="ＭＳ ゴシック" w:hAnsi="ＭＳ ゴシック"/>
                          <w:sz w:val="18"/>
                          <w:szCs w:val="18"/>
                        </w:rPr>
                      </w:pPr>
                      <w:r w:rsidRPr="00DF55E2">
                        <w:rPr>
                          <w:rFonts w:ascii="ＭＳ ゴシック" w:eastAsia="ＭＳ ゴシック" w:hAnsi="ＭＳ ゴシック" w:hint="eastAsia"/>
                          <w:sz w:val="18"/>
                          <w:szCs w:val="18"/>
                        </w:rPr>
                        <w:t>兵庫県</w:t>
                      </w:r>
                    </w:p>
                    <w:p w14:paraId="4ABC5403" w14:textId="77777777" w:rsidR="006A5267" w:rsidRPr="00DF55E2" w:rsidRDefault="006A5267" w:rsidP="008B4B2B">
                      <w:pPr>
                        <w:spacing w:line="240" w:lineRule="exact"/>
                        <w:jc w:val="center"/>
                        <w:rPr>
                          <w:rFonts w:ascii="ＭＳ ゴシック" w:eastAsia="ＭＳ ゴシック" w:hAnsi="ＭＳ ゴシック"/>
                          <w:sz w:val="18"/>
                          <w:szCs w:val="18"/>
                        </w:rPr>
                      </w:pPr>
                      <w:r w:rsidRPr="00DF55E2">
                        <w:rPr>
                          <w:rFonts w:ascii="ＭＳ ゴシック" w:eastAsia="ＭＳ ゴシック" w:hAnsi="ＭＳ ゴシック" w:hint="eastAsia"/>
                          <w:sz w:val="18"/>
                          <w:szCs w:val="18"/>
                        </w:rPr>
                        <w:t>（広域防災局）</w:t>
                      </w:r>
                    </w:p>
                  </w:txbxContent>
                </v:textbox>
              </v:oval>
            </w:pict>
          </mc:Fallback>
        </mc:AlternateContent>
      </w:r>
    </w:p>
    <w:p w14:paraId="51206592" w14:textId="77777777" w:rsidR="008B4B2B" w:rsidRPr="001D6D10" w:rsidRDefault="008B4B2B" w:rsidP="008B4B2B">
      <w:pPr>
        <w:rPr>
          <w:rFonts w:ascii="ＭＳ ゴシック" w:eastAsia="ＭＳ ゴシック" w:hAnsi="ＭＳ ゴシック"/>
          <w:sz w:val="22"/>
          <w:szCs w:val="22"/>
        </w:rPr>
      </w:pPr>
      <w:r w:rsidRPr="001D6D10">
        <w:rPr>
          <w:rFonts w:ascii="ＭＳ ゴシック" w:eastAsia="ＭＳ ゴシック" w:hAnsi="ＭＳ ゴシック" w:hint="eastAsia"/>
          <w:noProof/>
          <w:sz w:val="22"/>
          <w:szCs w:val="22"/>
        </w:rPr>
        <mc:AlternateContent>
          <mc:Choice Requires="wps">
            <w:drawing>
              <wp:anchor distT="0" distB="0" distL="114300" distR="114300" simplePos="0" relativeHeight="253076480" behindDoc="0" locked="0" layoutInCell="1" allowOverlap="1" wp14:anchorId="22AA7452" wp14:editId="4CE99B87">
                <wp:simplePos x="0" y="0"/>
                <wp:positionH relativeFrom="column">
                  <wp:posOffset>690245</wp:posOffset>
                </wp:positionH>
                <wp:positionV relativeFrom="paragraph">
                  <wp:posOffset>195580</wp:posOffset>
                </wp:positionV>
                <wp:extent cx="2771775" cy="114300"/>
                <wp:effectExtent l="71120" t="14605" r="5080" b="13970"/>
                <wp:wrapNone/>
                <wp:docPr id="4193" name="AutoShape 226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771775" cy="114300"/>
                        </a:xfrm>
                        <a:prstGeom prst="leftArrow">
                          <a:avLst>
                            <a:gd name="adj1" fmla="val 50000"/>
                            <a:gd name="adj2" fmla="val 606250"/>
                          </a:avLst>
                        </a:prstGeom>
                        <a:solidFill>
                          <a:srgbClr val="FFFFFF"/>
                        </a:solidFill>
                        <a:ln w="9525">
                          <a:solidFill>
                            <a:srgbClr val="000000"/>
                          </a:solidFill>
                          <a:miter lim="800000"/>
                          <a:headEnd/>
                          <a:tailEnd/>
                        </a:ln>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shape w14:anchorId="4EF6CA2D" id="AutoShape 2263" o:spid="_x0000_s1026" type="#_x0000_t66" style="position:absolute;left:0;text-align:left;margin-left:54.35pt;margin-top:15.4pt;width:218.25pt;height:9pt;z-index:253076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">
                <v:textbox inset="5.85pt,.7pt,5.85pt,.7pt"/>
              </v:shape>
            </w:pict>
          </mc:Fallback>
        </mc:AlternateContent>
      </w:r>
    </w:p>
    <w:p w14:paraId="62E5764B" w14:textId="77777777" w:rsidR="008B4B2B" w:rsidRPr="001D6D10" w:rsidRDefault="008B4B2B" w:rsidP="008B4B2B">
      <w:pPr>
        <w:rPr>
          <w:rFonts w:ascii="ＭＳ ゴシック" w:eastAsia="ＭＳ ゴシック" w:hAnsi="ＭＳ ゴシック"/>
          <w:sz w:val="22"/>
          <w:szCs w:val="22"/>
        </w:rPr>
      </w:pPr>
      <w:r w:rsidRPr="001D6D10">
        <w:rPr>
          <w:rFonts w:ascii="ＭＳ ゴシック" w:eastAsia="ＭＳ ゴシック" w:hAnsi="ＭＳ ゴシック"/>
          <w:noProof/>
          <w:sz w:val="22"/>
          <w:szCs w:val="22"/>
        </w:rPr>
        <mc:AlternateContent>
          <mc:Choice Requires="wps">
            <w:drawing>
              <wp:anchor distT="0" distB="0" distL="114300" distR="114300" simplePos="0" relativeHeight="253088768" behindDoc="0" locked="0" layoutInCell="1" allowOverlap="1" wp14:anchorId="4590AF99" wp14:editId="39006AC7">
                <wp:simplePos x="0" y="0"/>
                <wp:positionH relativeFrom="column">
                  <wp:posOffset>1099820</wp:posOffset>
                </wp:positionH>
                <wp:positionV relativeFrom="paragraph">
                  <wp:posOffset>144145</wp:posOffset>
                </wp:positionV>
                <wp:extent cx="2209800" cy="790575"/>
                <wp:effectExtent l="4445" t="1270" r="0" b="0"/>
                <wp:wrapNone/>
                <wp:docPr id="4192" name="Text Box 228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09800" cy="7905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C1538C3" w14:textId="77777777" w:rsidR="006A5267" w:rsidRPr="00DF55E2" w:rsidRDefault="006A5267" w:rsidP="008B4B2B">
                            <w:pPr>
                              <w:spacing w:line="200" w:lineRule="exact"/>
                              <w:rPr>
                                <w:rFonts w:ascii="ＭＳ ゴシック" w:eastAsia="ＭＳ ゴシック" w:hAnsi="ＭＳ ゴシック"/>
                                <w:sz w:val="16"/>
                                <w:szCs w:val="16"/>
                              </w:rPr>
                            </w:pPr>
                            <w:r w:rsidRPr="00DF55E2">
                              <w:rPr>
                                <w:rFonts w:ascii="ＭＳ ゴシック" w:eastAsia="ＭＳ ゴシック" w:hAnsi="ＭＳ ゴシック" w:hint="eastAsia"/>
                                <w:sz w:val="20"/>
                                <w:szCs w:val="20"/>
                              </w:rPr>
                              <w:t>④応援</w:t>
                            </w:r>
                            <w:r w:rsidRPr="00DF55E2">
                              <w:rPr>
                                <w:rFonts w:ascii="ＭＳ ゴシック" w:eastAsia="ＭＳ ゴシック" w:hAnsi="ＭＳ ゴシック" w:hint="eastAsia"/>
                                <w:sz w:val="16"/>
                                <w:szCs w:val="16"/>
                              </w:rPr>
                              <w:t>※被災府県が複数の場合は</w:t>
                            </w:r>
                          </w:p>
                          <w:p w14:paraId="652F60F0" w14:textId="77777777" w:rsidR="006A5267" w:rsidRPr="00DF55E2" w:rsidRDefault="006A5267" w:rsidP="008B4B2B">
                            <w:pPr>
                              <w:spacing w:line="200" w:lineRule="exact"/>
                              <w:ind w:firstLineChars="500" w:firstLine="805"/>
                              <w:rPr>
                                <w:rFonts w:ascii="ＭＳ ゴシック" w:eastAsia="ＭＳ ゴシック" w:hAnsi="ＭＳ ゴシック"/>
                                <w:sz w:val="16"/>
                                <w:szCs w:val="16"/>
                              </w:rPr>
                            </w:pPr>
                            <w:r w:rsidRPr="00DF55E2">
                              <w:rPr>
                                <w:rFonts w:ascii="ＭＳ ゴシック" w:eastAsia="ＭＳ ゴシック" w:hAnsi="ＭＳ ゴシック" w:hint="eastAsia"/>
                                <w:sz w:val="16"/>
                                <w:szCs w:val="16"/>
                              </w:rPr>
                              <w:t>カウンターパート方式を取る</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shape w14:anchorId="4590AF99" id="Text Box 2282" o:spid="_x0000_s1302" type="#_x0000_t202" style="position:absolute;left:0;text-align:left;margin-left:86.6pt;margin-top:11.35pt;width:174pt;height:62.25pt;z-index:253088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" filled="f" stroked="f">
                <v:textbox inset="5.85pt,.7pt,5.85pt,.7pt">
                  <w:txbxContent>
                    <w:p w14:paraId="4C1538C3" w14:textId="77777777" w:rsidR="006A5267" w:rsidRPr="00DF55E2" w:rsidRDefault="006A5267" w:rsidP="008B4B2B">
                      <w:pPr>
                        <w:spacing w:line="200" w:lineRule="exact"/>
                        <w:rPr>
                          <w:rFonts w:ascii="ＭＳ ゴシック" w:eastAsia="ＭＳ ゴシック" w:hAnsi="ＭＳ ゴシック"/>
                          <w:sz w:val="16"/>
                          <w:szCs w:val="16"/>
                        </w:rPr>
                      </w:pPr>
                      <w:r w:rsidRPr="00DF55E2">
                        <w:rPr>
                          <w:rFonts w:ascii="ＭＳ ゴシック" w:eastAsia="ＭＳ ゴシック" w:hAnsi="ＭＳ ゴシック" w:hint="eastAsia"/>
                          <w:sz w:val="20"/>
                          <w:szCs w:val="20"/>
                        </w:rPr>
                        <w:t>④応援</w:t>
                      </w:r>
                      <w:r w:rsidRPr="00DF55E2">
                        <w:rPr>
                          <w:rFonts w:ascii="ＭＳ ゴシック" w:eastAsia="ＭＳ ゴシック" w:hAnsi="ＭＳ ゴシック" w:hint="eastAsia"/>
                          <w:sz w:val="16"/>
                          <w:szCs w:val="16"/>
                        </w:rPr>
                        <w:t>※被災府県が複数の場合は</w:t>
                      </w:r>
                    </w:p>
                    <w:p w14:paraId="652F60F0" w14:textId="77777777" w:rsidR="006A5267" w:rsidRPr="00DF55E2" w:rsidRDefault="006A5267" w:rsidP="008B4B2B">
                      <w:pPr>
                        <w:spacing w:line="200" w:lineRule="exact"/>
                        <w:ind w:firstLineChars="500" w:firstLine="805"/>
                        <w:rPr>
                          <w:rFonts w:ascii="ＭＳ ゴシック" w:eastAsia="ＭＳ ゴシック" w:hAnsi="ＭＳ ゴシック"/>
                          <w:sz w:val="16"/>
                          <w:szCs w:val="16"/>
                        </w:rPr>
                      </w:pPr>
                      <w:r w:rsidRPr="00DF55E2">
                        <w:rPr>
                          <w:rFonts w:ascii="ＭＳ ゴシック" w:eastAsia="ＭＳ ゴシック" w:hAnsi="ＭＳ ゴシック" w:hint="eastAsia"/>
                          <w:sz w:val="16"/>
                          <w:szCs w:val="16"/>
                        </w:rPr>
                        <w:t>カウンターパート方式を取る</w:t>
                      </w:r>
                    </w:p>
                  </w:txbxContent>
                </v:textbox>
              </v:shape>
            </w:pict>
          </mc:Fallback>
        </mc:AlternateContent>
      </w:r>
      <w:r w:rsidRPr="001D6D10">
        <w:rPr>
          <w:noProof/>
        </w:rPr>
        <mc:AlternateContent>
          <mc:Choice Requires="wps">
            <w:drawing>
              <wp:anchor distT="0" distB="0" distL="114300" distR="114300" simplePos="0" relativeHeight="253092864" behindDoc="0" locked="0" layoutInCell="1" allowOverlap="1" wp14:anchorId="46C6490D" wp14:editId="600D1AE0">
                <wp:simplePos x="0" y="0"/>
                <wp:positionH relativeFrom="column">
                  <wp:posOffset>5086985</wp:posOffset>
                </wp:positionH>
                <wp:positionV relativeFrom="paragraph">
                  <wp:posOffset>139700</wp:posOffset>
                </wp:positionV>
                <wp:extent cx="1087755" cy="345440"/>
                <wp:effectExtent l="635" t="0" r="0" b="635"/>
                <wp:wrapNone/>
                <wp:docPr id="4191"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87755" cy="3454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7E1FFB4" w14:textId="77777777" w:rsidR="006A5267" w:rsidRPr="00DF55E2" w:rsidRDefault="006A5267" w:rsidP="008B4B2B">
                            <w:pPr>
                              <w:spacing w:line="200" w:lineRule="exact"/>
                              <w:rPr>
                                <w:rFonts w:ascii="ＭＳ ゴシック" w:eastAsia="ＭＳ ゴシック" w:hAnsi="ＭＳ ゴシック"/>
                                <w:sz w:val="16"/>
                                <w:szCs w:val="16"/>
                              </w:rPr>
                            </w:pPr>
                            <w:r w:rsidRPr="00DF55E2">
                              <w:rPr>
                                <w:rFonts w:ascii="ＭＳ ゴシック" w:eastAsia="ＭＳ ゴシック" w:hAnsi="ＭＳ ゴシック" w:hint="eastAsia"/>
                                <w:sz w:val="16"/>
                                <w:szCs w:val="16"/>
                              </w:rPr>
                              <w:t>必要に応じて</w:t>
                            </w:r>
                          </w:p>
                          <w:p w14:paraId="441B86A4" w14:textId="77777777" w:rsidR="006A5267" w:rsidRPr="00DF55E2" w:rsidRDefault="006A5267" w:rsidP="008B4B2B">
                            <w:pPr>
                              <w:spacing w:line="200" w:lineRule="exact"/>
                              <w:ind w:firstLineChars="100" w:firstLine="161"/>
                              <w:rPr>
                                <w:rFonts w:ascii="ＭＳ ゴシック" w:eastAsia="ＭＳ ゴシック" w:hAnsi="ＭＳ ゴシック"/>
                                <w:sz w:val="16"/>
                                <w:szCs w:val="16"/>
                              </w:rPr>
                            </w:pPr>
                            <w:r w:rsidRPr="00DF55E2">
                              <w:rPr>
                                <w:rFonts w:ascii="ＭＳ ゴシック" w:eastAsia="ＭＳ ゴシック" w:hAnsi="ＭＳ ゴシック" w:hint="eastAsia"/>
                                <w:sz w:val="16"/>
                                <w:szCs w:val="16"/>
                              </w:rPr>
                              <w:t>設置</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xmlns:w16cei="http://schemas.microsoft.com/office/word/2026/wordml/cei">
            <w:pict>
              <v:shape w14:anchorId="46C6490D" id="_x0000_s1303" type="#_x0000_t202" style="position:absolute;left:0;text-align:left;margin-left:400.55pt;margin-top:11pt;width:85.65pt;height:27.2pt;z-index:253092864;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" filled="f" stroked="f">
                <v:textbox style="mso-fit-shape-to-text:t">
                  <w:txbxContent>
                    <w:p w14:paraId="47E1FFB4" w14:textId="77777777" w:rsidR="006A5267" w:rsidRPr="00DF55E2" w:rsidRDefault="006A5267" w:rsidP="008B4B2B">
                      <w:pPr>
                        <w:spacing w:line="200" w:lineRule="exact"/>
                        <w:rPr>
                          <w:rFonts w:ascii="ＭＳ ゴシック" w:eastAsia="ＭＳ ゴシック" w:hAnsi="ＭＳ ゴシック"/>
                          <w:sz w:val="16"/>
                          <w:szCs w:val="16"/>
                        </w:rPr>
                      </w:pPr>
                      <w:r w:rsidRPr="00DF55E2">
                        <w:rPr>
                          <w:rFonts w:ascii="ＭＳ ゴシック" w:eastAsia="ＭＳ ゴシック" w:hAnsi="ＭＳ ゴシック" w:hint="eastAsia"/>
                          <w:sz w:val="16"/>
                          <w:szCs w:val="16"/>
                        </w:rPr>
                        <w:t>必要に応じて</w:t>
                      </w:r>
                    </w:p>
                    <w:p w14:paraId="441B86A4" w14:textId="77777777" w:rsidR="006A5267" w:rsidRPr="00DF55E2" w:rsidRDefault="006A5267" w:rsidP="008B4B2B">
                      <w:pPr>
                        <w:spacing w:line="200" w:lineRule="exact"/>
                        <w:ind w:firstLineChars="100" w:firstLine="161"/>
                        <w:rPr>
                          <w:rFonts w:ascii="ＭＳ ゴシック" w:eastAsia="ＭＳ ゴシック" w:hAnsi="ＭＳ ゴシック"/>
                          <w:sz w:val="16"/>
                          <w:szCs w:val="16"/>
                        </w:rPr>
                      </w:pPr>
                      <w:r w:rsidRPr="00DF55E2">
                        <w:rPr>
                          <w:rFonts w:ascii="ＭＳ ゴシック" w:eastAsia="ＭＳ ゴシック" w:hAnsi="ＭＳ ゴシック" w:hint="eastAsia"/>
                          <w:sz w:val="16"/>
                          <w:szCs w:val="16"/>
                        </w:rPr>
                        <w:t>設置</w:t>
                      </w:r>
                    </w:p>
                  </w:txbxContent>
                </v:textbox>
              </v:shape>
            </w:pict>
          </mc:Fallback>
        </mc:AlternateContent>
      </w:r>
      <w:r w:rsidRPr="001D6D10">
        <w:rPr>
          <w:rFonts w:ascii="ＭＳ ゴシック" w:eastAsia="ＭＳ ゴシック" w:hAnsi="ＭＳ ゴシック" w:hint="eastAsia"/>
          <w:noProof/>
          <w:sz w:val="22"/>
          <w:szCs w:val="22"/>
        </w:rPr>
        <mc:AlternateContent>
          <mc:Choice Requires="wps">
            <w:drawing>
              <wp:anchor distT="0" distB="0" distL="114300" distR="114300" simplePos="0" relativeHeight="253091840" behindDoc="0" locked="0" layoutInCell="1" allowOverlap="1" wp14:anchorId="1024FE8E" wp14:editId="71CCE142">
                <wp:simplePos x="0" y="0"/>
                <wp:positionH relativeFrom="column">
                  <wp:posOffset>4938395</wp:posOffset>
                </wp:positionH>
                <wp:positionV relativeFrom="paragraph">
                  <wp:posOffset>85725</wp:posOffset>
                </wp:positionV>
                <wp:extent cx="533400" cy="828675"/>
                <wp:effectExtent l="13970" t="9525" r="52705" b="47625"/>
                <wp:wrapNone/>
                <wp:docPr id="4190" name="AutoShape 228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33400" cy="82867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shape w14:anchorId="4D05F348" id="AutoShape 2284" o:spid="_x0000_s1026" type="#_x0000_t32" style="position:absolute;left:0;text-align:left;margin-left:388.85pt;margin-top:6.75pt;width:42pt;height:65.25pt;z-index:2530918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">
                <v:stroke endarrow="block"/>
              </v:shape>
            </w:pict>
          </mc:Fallback>
        </mc:AlternateContent>
      </w:r>
      <w:r w:rsidRPr="001D6D10">
        <w:rPr>
          <w:rFonts w:ascii="ＭＳ ゴシック" w:eastAsia="ＭＳ ゴシック" w:hAnsi="ＭＳ ゴシック" w:hint="eastAsia"/>
          <w:noProof/>
          <w:sz w:val="22"/>
          <w:szCs w:val="22"/>
        </w:rPr>
        <mc:AlternateContent>
          <mc:Choice Requires="wps">
            <w:drawing>
              <wp:anchor distT="0" distB="0" distL="114300" distR="114300" simplePos="0" relativeHeight="253087744" behindDoc="0" locked="0" layoutInCell="1" allowOverlap="1" wp14:anchorId="0051D374" wp14:editId="5BEA91AB">
                <wp:simplePos x="0" y="0"/>
                <wp:positionH relativeFrom="column">
                  <wp:posOffset>4471670</wp:posOffset>
                </wp:positionH>
                <wp:positionV relativeFrom="paragraph">
                  <wp:posOffset>85725</wp:posOffset>
                </wp:positionV>
                <wp:extent cx="95250" cy="586105"/>
                <wp:effectExtent l="61595" t="9525" r="5080" b="23495"/>
                <wp:wrapNone/>
                <wp:docPr id="4189" name="AutoShape 228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95250" cy="58610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shape w14:anchorId="387ABED7" id="AutoShape 2281" o:spid="_x0000_s1026" type="#_x0000_t32" style="position:absolute;left:0;text-align:left;margin-left:352.1pt;margin-top:6.75pt;width:7.5pt;height:46.15pt;flip:x;z-index:253087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">
                <v:stroke endarrow="block"/>
              </v:shape>
            </w:pict>
          </mc:Fallback>
        </mc:AlternateContent>
      </w:r>
      <w:r w:rsidRPr="001D6D10">
        <w:rPr>
          <w:rFonts w:ascii="ＭＳ ゴシック" w:eastAsia="ＭＳ ゴシック" w:hAnsi="ＭＳ ゴシック" w:hint="eastAsia"/>
          <w:noProof/>
          <w:sz w:val="22"/>
          <w:szCs w:val="22"/>
        </w:rPr>
        <mc:AlternateContent>
          <mc:Choice Requires="wps">
            <w:drawing>
              <wp:anchor distT="0" distB="0" distL="114300" distR="114300" simplePos="0" relativeHeight="253071360" behindDoc="0" locked="0" layoutInCell="1" allowOverlap="1" wp14:anchorId="02F94248" wp14:editId="50E32E27">
                <wp:simplePos x="0" y="0"/>
                <wp:positionH relativeFrom="column">
                  <wp:posOffset>3557270</wp:posOffset>
                </wp:positionH>
                <wp:positionV relativeFrom="paragraph">
                  <wp:posOffset>85725</wp:posOffset>
                </wp:positionV>
                <wp:extent cx="990600" cy="704850"/>
                <wp:effectExtent l="4445" t="0" r="0" b="0"/>
                <wp:wrapNone/>
                <wp:docPr id="4188" name="Text Box 225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90600" cy="7048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8EF8641" w14:textId="77777777" w:rsidR="006A5267" w:rsidRPr="00DF55E2" w:rsidRDefault="006A5267" w:rsidP="008B4B2B">
                            <w:pPr>
                              <w:spacing w:line="200" w:lineRule="exact"/>
                              <w:rPr>
                                <w:rFonts w:ascii="ＭＳ ゴシック" w:eastAsia="ＭＳ ゴシック" w:hAnsi="ＭＳ ゴシック"/>
                                <w:sz w:val="16"/>
                                <w:szCs w:val="16"/>
                              </w:rPr>
                            </w:pPr>
                            <w:r w:rsidRPr="00DF55E2">
                              <w:rPr>
                                <w:rFonts w:ascii="ＭＳ ゴシック" w:eastAsia="ＭＳ ゴシック" w:hAnsi="ＭＳ ゴシック" w:hint="eastAsia"/>
                                <w:sz w:val="20"/>
                                <w:szCs w:val="20"/>
                              </w:rPr>
                              <w:t>③</w:t>
                            </w:r>
                            <w:r w:rsidRPr="00DF55E2">
                              <w:rPr>
                                <w:rFonts w:ascii="ＭＳ ゴシック" w:eastAsia="ＭＳ ゴシック" w:hAnsi="ＭＳ ゴシック" w:hint="eastAsia"/>
                                <w:sz w:val="16"/>
                                <w:szCs w:val="16"/>
                              </w:rPr>
                              <w:t>応援計画作成</w:t>
                            </w:r>
                          </w:p>
                          <w:p w14:paraId="27FE3F29" w14:textId="77777777" w:rsidR="006A5267" w:rsidRPr="00DF55E2" w:rsidRDefault="006A5267" w:rsidP="008B4B2B">
                            <w:pPr>
                              <w:spacing w:line="200" w:lineRule="exact"/>
                              <w:ind w:firstLineChars="100" w:firstLine="161"/>
                              <w:rPr>
                                <w:rFonts w:ascii="ＭＳ ゴシック" w:eastAsia="ＭＳ ゴシック" w:hAnsi="ＭＳ ゴシック"/>
                                <w:sz w:val="16"/>
                                <w:szCs w:val="16"/>
                              </w:rPr>
                            </w:pPr>
                            <w:r w:rsidRPr="00DF55E2">
                              <w:rPr>
                                <w:rFonts w:ascii="ＭＳ ゴシック" w:eastAsia="ＭＳ ゴシック" w:hAnsi="ＭＳ ゴシック" w:hint="eastAsia"/>
                                <w:sz w:val="16"/>
                                <w:szCs w:val="16"/>
                              </w:rPr>
                              <w:t>・決定</w:t>
                            </w:r>
                          </w:p>
                          <w:p w14:paraId="5FC9CFAD" w14:textId="77777777" w:rsidR="006A5267" w:rsidRPr="00DF55E2" w:rsidRDefault="006A5267" w:rsidP="008B4B2B">
                            <w:pPr>
                              <w:spacing w:line="200" w:lineRule="exact"/>
                              <w:ind w:leftChars="76" w:left="160"/>
                              <w:rPr>
                                <w:rFonts w:ascii="ＭＳ ゴシック" w:eastAsia="ＭＳ ゴシック" w:hAnsi="ＭＳ ゴシック"/>
                                <w:sz w:val="20"/>
                                <w:szCs w:val="20"/>
                              </w:rPr>
                            </w:pPr>
                            <w:r w:rsidRPr="00DF55E2">
                              <w:rPr>
                                <w:rFonts w:ascii="ＭＳ ゴシック" w:eastAsia="ＭＳ ゴシック" w:hAnsi="ＭＳ ゴシック" w:hint="eastAsia"/>
                                <w:sz w:val="16"/>
                                <w:szCs w:val="16"/>
                              </w:rPr>
                              <w:t>カウンターパートの割り当て</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shape w14:anchorId="02F94248" id="Text Box 2258" o:spid="_x0000_s1304" type="#_x0000_t202" style="position:absolute;left:0;text-align:left;margin-left:280.1pt;margin-top:6.75pt;width:78pt;height:55.5pt;z-index:253071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" filled="f" stroked="f">
                <v:textbox inset="5.85pt,.7pt,5.85pt,.7pt">
                  <w:txbxContent>
                    <w:p w14:paraId="48EF8641" w14:textId="77777777" w:rsidR="006A5267" w:rsidRPr="00DF55E2" w:rsidRDefault="006A5267" w:rsidP="008B4B2B">
                      <w:pPr>
                        <w:spacing w:line="200" w:lineRule="exact"/>
                        <w:rPr>
                          <w:rFonts w:ascii="ＭＳ ゴシック" w:eastAsia="ＭＳ ゴシック" w:hAnsi="ＭＳ ゴシック"/>
                          <w:sz w:val="16"/>
                          <w:szCs w:val="16"/>
                        </w:rPr>
                      </w:pPr>
                      <w:r w:rsidRPr="00DF55E2">
                        <w:rPr>
                          <w:rFonts w:ascii="ＭＳ ゴシック" w:eastAsia="ＭＳ ゴシック" w:hAnsi="ＭＳ ゴシック" w:hint="eastAsia"/>
                          <w:sz w:val="20"/>
                          <w:szCs w:val="20"/>
                        </w:rPr>
                        <w:t>③</w:t>
                      </w:r>
                      <w:r w:rsidRPr="00DF55E2">
                        <w:rPr>
                          <w:rFonts w:ascii="ＭＳ ゴシック" w:eastAsia="ＭＳ ゴシック" w:hAnsi="ＭＳ ゴシック" w:hint="eastAsia"/>
                          <w:sz w:val="16"/>
                          <w:szCs w:val="16"/>
                        </w:rPr>
                        <w:t>応援計画作成</w:t>
                      </w:r>
                    </w:p>
                    <w:p w14:paraId="27FE3F29" w14:textId="77777777" w:rsidR="006A5267" w:rsidRPr="00DF55E2" w:rsidRDefault="006A5267" w:rsidP="008B4B2B">
                      <w:pPr>
                        <w:spacing w:line="200" w:lineRule="exact"/>
                        <w:ind w:firstLineChars="100" w:firstLine="161"/>
                        <w:rPr>
                          <w:rFonts w:ascii="ＭＳ ゴシック" w:eastAsia="ＭＳ ゴシック" w:hAnsi="ＭＳ ゴシック"/>
                          <w:sz w:val="16"/>
                          <w:szCs w:val="16"/>
                        </w:rPr>
                      </w:pPr>
                      <w:r w:rsidRPr="00DF55E2">
                        <w:rPr>
                          <w:rFonts w:ascii="ＭＳ ゴシック" w:eastAsia="ＭＳ ゴシック" w:hAnsi="ＭＳ ゴシック" w:hint="eastAsia"/>
                          <w:sz w:val="16"/>
                          <w:szCs w:val="16"/>
                        </w:rPr>
                        <w:t>・決定</w:t>
                      </w:r>
                    </w:p>
                    <w:p w14:paraId="5FC9CFAD" w14:textId="77777777" w:rsidR="006A5267" w:rsidRPr="00DF55E2" w:rsidRDefault="006A5267" w:rsidP="008B4B2B">
                      <w:pPr>
                        <w:spacing w:line="200" w:lineRule="exact"/>
                        <w:ind w:leftChars="76" w:left="160"/>
                        <w:rPr>
                          <w:rFonts w:ascii="ＭＳ ゴシック" w:eastAsia="ＭＳ ゴシック" w:hAnsi="ＭＳ ゴシック"/>
                          <w:sz w:val="20"/>
                          <w:szCs w:val="20"/>
                        </w:rPr>
                      </w:pPr>
                      <w:r w:rsidRPr="00DF55E2">
                        <w:rPr>
                          <w:rFonts w:ascii="ＭＳ ゴシック" w:eastAsia="ＭＳ ゴシック" w:hAnsi="ＭＳ ゴシック" w:hint="eastAsia"/>
                          <w:sz w:val="16"/>
                          <w:szCs w:val="16"/>
                        </w:rPr>
                        <w:t>カウンターパートの割り当て</w:t>
                      </w:r>
                    </w:p>
                  </w:txbxContent>
                </v:textbox>
              </v:shape>
            </w:pict>
          </mc:Fallback>
        </mc:AlternateContent>
      </w:r>
    </w:p>
    <w:p w14:paraId="17F7F670" w14:textId="77777777" w:rsidR="008B4B2B" w:rsidRPr="001D6D10" w:rsidRDefault="008B4B2B" w:rsidP="008B4B2B">
      <w:pPr>
        <w:rPr>
          <w:rFonts w:ascii="ＭＳ ゴシック" w:eastAsia="ＭＳ ゴシック" w:hAnsi="ＭＳ ゴシック"/>
          <w:sz w:val="22"/>
          <w:szCs w:val="22"/>
        </w:rPr>
      </w:pPr>
    </w:p>
    <w:p w14:paraId="1EB5DC57" w14:textId="77777777" w:rsidR="008B4B2B" w:rsidRPr="001D6D10" w:rsidRDefault="008B4B2B" w:rsidP="008B4B2B">
      <w:pPr>
        <w:rPr>
          <w:rFonts w:ascii="ＭＳ ゴシック" w:eastAsia="ＭＳ ゴシック" w:hAnsi="ＭＳ ゴシック"/>
          <w:sz w:val="22"/>
          <w:szCs w:val="22"/>
        </w:rPr>
      </w:pPr>
      <w:r w:rsidRPr="001D6D10">
        <w:rPr>
          <w:rFonts w:ascii="ＭＳ ゴシック" w:eastAsia="ＭＳ ゴシック" w:hAnsi="ＭＳ ゴシック" w:hint="eastAsia"/>
          <w:noProof/>
          <w:sz w:val="22"/>
          <w:szCs w:val="22"/>
        </w:rPr>
        <mc:AlternateContent>
          <mc:Choice Requires="wps">
            <w:drawing>
              <wp:anchor distT="0" distB="0" distL="114300" distR="114300" simplePos="0" relativeHeight="253078528" behindDoc="0" locked="0" layoutInCell="1" allowOverlap="1" wp14:anchorId="09008FA6" wp14:editId="366E70A0">
                <wp:simplePos x="0" y="0"/>
                <wp:positionH relativeFrom="column">
                  <wp:posOffset>823595</wp:posOffset>
                </wp:positionH>
                <wp:positionV relativeFrom="paragraph">
                  <wp:posOffset>7620</wp:posOffset>
                </wp:positionV>
                <wp:extent cx="2686050" cy="1901190"/>
                <wp:effectExtent l="4445" t="0" r="0" b="0"/>
                <wp:wrapNone/>
                <wp:docPr id="4187" name="Text Box 226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86050" cy="190119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DF8E5D5" w14:textId="77777777" w:rsidR="006A5267" w:rsidRPr="00DF55E2" w:rsidRDefault="006A5267" w:rsidP="008B4B2B">
                            <w:pPr>
                              <w:spacing w:line="240" w:lineRule="exact"/>
                              <w:rPr>
                                <w:rFonts w:ascii="ＭＳ ゴシック" w:eastAsia="ＭＳ ゴシック" w:hAnsi="ＭＳ ゴシック"/>
                                <w:sz w:val="20"/>
                                <w:szCs w:val="20"/>
                              </w:rPr>
                            </w:pPr>
                            <w:r w:rsidRPr="00DF55E2">
                              <w:rPr>
                                <w:rFonts w:ascii="ＭＳ ゴシック" w:eastAsia="ＭＳ ゴシック" w:hAnsi="ＭＳ ゴシック" w:hint="eastAsia"/>
                                <w:sz w:val="20"/>
                                <w:szCs w:val="20"/>
                              </w:rPr>
                              <w:t>（応援内容）</w:t>
                            </w:r>
                          </w:p>
                          <w:p w14:paraId="30960368" w14:textId="77777777" w:rsidR="006A5267" w:rsidRPr="00DF55E2" w:rsidRDefault="006A5267" w:rsidP="008B4B2B">
                            <w:pPr>
                              <w:spacing w:line="240" w:lineRule="exact"/>
                              <w:rPr>
                                <w:rFonts w:ascii="ＭＳ ゴシック" w:eastAsia="ＭＳ ゴシック" w:hAnsi="ＭＳ ゴシック"/>
                                <w:sz w:val="18"/>
                                <w:szCs w:val="18"/>
                              </w:rPr>
                            </w:pPr>
                            <w:r w:rsidRPr="00DF55E2">
                              <w:rPr>
                                <w:rFonts w:ascii="ＭＳ ゴシック" w:eastAsia="ＭＳ ゴシック" w:hAnsi="ＭＳ ゴシック" w:hint="eastAsia"/>
                                <w:sz w:val="16"/>
                                <w:szCs w:val="16"/>
                              </w:rPr>
                              <w:t>❶食料・飲料水及び生活必需物資等の救援物資の提供</w:t>
                            </w:r>
                          </w:p>
                          <w:p w14:paraId="060D7D42" w14:textId="77777777" w:rsidR="006A5267" w:rsidRPr="00DF55E2" w:rsidRDefault="006A5267" w:rsidP="008B4B2B">
                            <w:pPr>
                              <w:spacing w:line="240" w:lineRule="exact"/>
                              <w:rPr>
                                <w:rFonts w:ascii="ＭＳ ゴシック" w:eastAsia="ＭＳ ゴシック" w:hAnsi="ＭＳ ゴシック"/>
                                <w:sz w:val="16"/>
                                <w:szCs w:val="16"/>
                              </w:rPr>
                            </w:pPr>
                            <w:r w:rsidRPr="00DF55E2">
                              <w:rPr>
                                <w:rFonts w:ascii="ＭＳ ゴシック" w:eastAsia="ＭＳ ゴシック" w:hAnsi="ＭＳ ゴシック" w:hint="eastAsia"/>
                                <w:sz w:val="16"/>
                                <w:szCs w:val="16"/>
                              </w:rPr>
                              <w:t>❷発災直後の緊急派遣チーム(先遣隊)の派遣、</w:t>
                            </w:r>
                          </w:p>
                          <w:p w14:paraId="4E8B0399" w14:textId="77777777" w:rsidR="006A5267" w:rsidRPr="00DF55E2" w:rsidRDefault="006A5267" w:rsidP="008B4B2B">
                            <w:pPr>
                              <w:spacing w:line="240" w:lineRule="exact"/>
                              <w:ind w:firstLineChars="100" w:firstLine="161"/>
                              <w:rPr>
                                <w:rFonts w:ascii="ＭＳ ゴシック" w:eastAsia="ＭＳ ゴシック" w:hAnsi="ＭＳ ゴシック"/>
                                <w:sz w:val="16"/>
                                <w:szCs w:val="16"/>
                              </w:rPr>
                            </w:pPr>
                            <w:r w:rsidRPr="00DF55E2">
                              <w:rPr>
                                <w:rFonts w:ascii="ＭＳ ゴシック" w:eastAsia="ＭＳ ゴシック" w:hAnsi="ＭＳ ゴシック" w:hint="eastAsia"/>
                                <w:sz w:val="16"/>
                                <w:szCs w:val="16"/>
                              </w:rPr>
                              <w:t>情報収集及び災害応急活動に必要な職員の派遣</w:t>
                            </w:r>
                          </w:p>
                          <w:p w14:paraId="4615EE61" w14:textId="77777777" w:rsidR="006A5267" w:rsidRPr="00DF55E2" w:rsidRDefault="006A5267" w:rsidP="008B4B2B">
                            <w:pPr>
                              <w:spacing w:line="240" w:lineRule="exact"/>
                              <w:rPr>
                                <w:rFonts w:ascii="ＭＳ ゴシック" w:eastAsia="ＭＳ ゴシック" w:hAnsi="ＭＳ ゴシック"/>
                                <w:sz w:val="16"/>
                                <w:szCs w:val="16"/>
                              </w:rPr>
                            </w:pPr>
                            <w:r w:rsidRPr="00DF55E2">
                              <w:rPr>
                                <w:rFonts w:ascii="ＭＳ ゴシック" w:eastAsia="ＭＳ ゴシック" w:hAnsi="ＭＳ ゴシック" w:hint="eastAsia"/>
                                <w:sz w:val="16"/>
                                <w:szCs w:val="16"/>
                              </w:rPr>
                              <w:t>❸広域避難の調整及び避難者・傷病者の受入れ、</w:t>
                            </w:r>
                          </w:p>
                          <w:p w14:paraId="5266EB5C" w14:textId="77777777" w:rsidR="006A5267" w:rsidRPr="00DF55E2" w:rsidRDefault="006A5267" w:rsidP="008B4B2B">
                            <w:pPr>
                              <w:spacing w:line="240" w:lineRule="exact"/>
                              <w:ind w:firstLineChars="100" w:firstLine="161"/>
                              <w:rPr>
                                <w:rFonts w:ascii="ＭＳ ゴシック" w:eastAsia="ＭＳ ゴシック" w:hAnsi="ＭＳ ゴシック"/>
                                <w:sz w:val="16"/>
                                <w:szCs w:val="16"/>
                              </w:rPr>
                            </w:pPr>
                            <w:r w:rsidRPr="00DF55E2">
                              <w:rPr>
                                <w:rFonts w:ascii="ＭＳ ゴシック" w:eastAsia="ＭＳ ゴシック" w:hAnsi="ＭＳ ゴシック" w:hint="eastAsia"/>
                                <w:sz w:val="16"/>
                                <w:szCs w:val="16"/>
                              </w:rPr>
                              <w:t>ドクターヘリの運航</w:t>
                            </w:r>
                          </w:p>
                          <w:p w14:paraId="51600662" w14:textId="77777777" w:rsidR="006A5267" w:rsidRPr="00DF55E2" w:rsidRDefault="006A5267" w:rsidP="008B4B2B">
                            <w:pPr>
                              <w:spacing w:line="240" w:lineRule="exact"/>
                              <w:rPr>
                                <w:rFonts w:ascii="ＭＳ ゴシック" w:eastAsia="ＭＳ ゴシック" w:hAnsi="ＭＳ ゴシック"/>
                                <w:sz w:val="16"/>
                                <w:szCs w:val="16"/>
                              </w:rPr>
                            </w:pPr>
                            <w:r w:rsidRPr="00DF55E2">
                              <w:rPr>
                                <w:rFonts w:ascii="ＭＳ ゴシック" w:eastAsia="ＭＳ ゴシック" w:hAnsi="ＭＳ ゴシック" w:hint="eastAsia"/>
                                <w:sz w:val="16"/>
                                <w:szCs w:val="16"/>
                              </w:rPr>
                              <w:t>❹行政機能が大幅に低下した被災市町村に現地連絡所　を設置し、通常の行政業務も含めた直接支援</w:t>
                            </w:r>
                          </w:p>
                          <w:p w14:paraId="6BE1AEE5" w14:textId="77777777" w:rsidR="006A5267" w:rsidRPr="00DF55E2" w:rsidRDefault="006A5267" w:rsidP="008B4B2B">
                            <w:pPr>
                              <w:spacing w:line="240" w:lineRule="exact"/>
                              <w:ind w:left="181" w:hangingChars="100" w:hanging="181"/>
                              <w:rPr>
                                <w:rFonts w:ascii="ＭＳ ゴシック" w:eastAsia="ＭＳ ゴシック" w:hAnsi="ＭＳ ゴシック"/>
                                <w:sz w:val="18"/>
                                <w:szCs w:val="18"/>
                              </w:rPr>
                            </w:pPr>
                            <w:r w:rsidRPr="00DF55E2">
                              <w:rPr>
                                <w:rFonts w:ascii="ＭＳ ゴシック" w:eastAsia="ＭＳ ゴシック" w:hAnsi="ＭＳ ゴシック" w:hint="eastAsia"/>
                                <w:sz w:val="18"/>
                                <w:szCs w:val="18"/>
                              </w:rPr>
                              <w:t>❺ボランティア活動の促進</w:t>
                            </w:r>
                          </w:p>
                          <w:p w14:paraId="4BFF8A77" w14:textId="77777777" w:rsidR="006A5267" w:rsidRPr="00DF55E2" w:rsidRDefault="006A5267" w:rsidP="008B4B2B">
                            <w:pPr>
                              <w:spacing w:line="240" w:lineRule="exact"/>
                              <w:rPr>
                                <w:rFonts w:ascii="ＭＳ ゴシック" w:eastAsia="ＭＳ ゴシック" w:hAnsi="ＭＳ ゴシック"/>
                                <w:sz w:val="18"/>
                                <w:szCs w:val="18"/>
                              </w:rPr>
                            </w:pPr>
                            <w:r w:rsidRPr="00DF55E2">
                              <w:rPr>
                                <w:rFonts w:ascii="ＭＳ ゴシック" w:eastAsia="ＭＳ ゴシック" w:hAnsi="ＭＳ ゴシック" w:hint="eastAsia"/>
                                <w:sz w:val="18"/>
                                <w:szCs w:val="18"/>
                              </w:rPr>
                              <w:t>❻帰宅困難者への支援</w:t>
                            </w:r>
                          </w:p>
                          <w:p w14:paraId="256FDA10" w14:textId="77777777" w:rsidR="006A5267" w:rsidRPr="00DF55E2" w:rsidRDefault="006A5267" w:rsidP="008B4B2B">
                            <w:pPr>
                              <w:spacing w:line="240" w:lineRule="exact"/>
                              <w:rPr>
                                <w:rFonts w:ascii="ＭＳ ゴシック" w:eastAsia="ＭＳ ゴシック" w:hAnsi="ＭＳ ゴシック"/>
                                <w:sz w:val="18"/>
                                <w:szCs w:val="18"/>
                              </w:rPr>
                            </w:pPr>
                            <w:r w:rsidRPr="00DF55E2">
                              <w:rPr>
                                <w:rFonts w:ascii="ＭＳ ゴシック" w:eastAsia="ＭＳ ゴシック" w:hAnsi="ＭＳ ゴシック" w:hint="eastAsia"/>
                                <w:sz w:val="18"/>
                                <w:szCs w:val="18"/>
                              </w:rPr>
                              <w:t>❼</w:t>
                            </w:r>
                            <w:r w:rsidRPr="00C95D79">
                              <w:rPr>
                                <w:rFonts w:ascii="ＭＳ ゴシック" w:eastAsia="ＭＳ ゴシック" w:hAnsi="ＭＳ ゴシック" w:hint="eastAsia"/>
                                <w:sz w:val="18"/>
                                <w:szCs w:val="18"/>
                              </w:rPr>
                              <w:t>災害廃棄物等処理の推進</w:t>
                            </w:r>
                          </w:p>
                          <w:p w14:paraId="4F0D61B1" w14:textId="77777777" w:rsidR="006A5267" w:rsidRPr="00DF55E2" w:rsidRDefault="006A5267" w:rsidP="008B4B2B">
                            <w:pPr>
                              <w:spacing w:line="240" w:lineRule="exact"/>
                              <w:rPr>
                                <w:rFonts w:ascii="ＭＳ ゴシック" w:eastAsia="ＭＳ ゴシック" w:hAnsi="ＭＳ ゴシック"/>
                                <w:sz w:val="20"/>
                                <w:szCs w:val="20"/>
                              </w:rPr>
                            </w:pPr>
                            <w:r w:rsidRPr="00DF55E2">
                              <w:rPr>
                                <w:rFonts w:ascii="ＭＳ ゴシック" w:eastAsia="ＭＳ ゴシック" w:hAnsi="ＭＳ ゴシック" w:hint="eastAsia"/>
                                <w:sz w:val="18"/>
                                <w:szCs w:val="18"/>
                              </w:rPr>
                              <w:t>❽その他特に必要な事項</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shape w14:anchorId="09008FA6" id="Text Box 2265" o:spid="_x0000_s1305" type="#_x0000_t202" style="position:absolute;left:0;text-align:left;margin-left:64.85pt;margin-top:.6pt;width:211.5pt;height:149.7pt;z-index:253078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" filled="f" stroked="f">
                <v:textbox inset="5.85pt,.7pt,5.85pt,.7pt">
                  <w:txbxContent>
                    <w:p w14:paraId="5DF8E5D5" w14:textId="77777777" w:rsidR="006A5267" w:rsidRPr="00DF55E2" w:rsidRDefault="006A5267" w:rsidP="008B4B2B">
                      <w:pPr>
                        <w:spacing w:line="240" w:lineRule="exact"/>
                        <w:rPr>
                          <w:rFonts w:ascii="ＭＳ ゴシック" w:eastAsia="ＭＳ ゴシック" w:hAnsi="ＭＳ ゴシック"/>
                          <w:sz w:val="20"/>
                          <w:szCs w:val="20"/>
                        </w:rPr>
                      </w:pPr>
                      <w:r w:rsidRPr="00DF55E2">
                        <w:rPr>
                          <w:rFonts w:ascii="ＭＳ ゴシック" w:eastAsia="ＭＳ ゴシック" w:hAnsi="ＭＳ ゴシック" w:hint="eastAsia"/>
                          <w:sz w:val="20"/>
                          <w:szCs w:val="20"/>
                        </w:rPr>
                        <w:t>（応援内容）</w:t>
                      </w:r>
                    </w:p>
                    <w:p w14:paraId="30960368" w14:textId="77777777" w:rsidR="006A5267" w:rsidRPr="00DF55E2" w:rsidRDefault="006A5267" w:rsidP="008B4B2B">
                      <w:pPr>
                        <w:spacing w:line="240" w:lineRule="exact"/>
                        <w:rPr>
                          <w:rFonts w:ascii="ＭＳ ゴシック" w:eastAsia="ＭＳ ゴシック" w:hAnsi="ＭＳ ゴシック"/>
                          <w:sz w:val="18"/>
                          <w:szCs w:val="18"/>
                        </w:rPr>
                      </w:pPr>
                      <w:r w:rsidRPr="00DF55E2">
                        <w:rPr>
                          <w:rFonts w:ascii="ＭＳ ゴシック" w:eastAsia="ＭＳ ゴシック" w:hAnsi="ＭＳ ゴシック" w:hint="eastAsia"/>
                          <w:sz w:val="16"/>
                          <w:szCs w:val="16"/>
                        </w:rPr>
                        <w:t>❶食料・飲料水及び生活必需物資等の救援物資の提供</w:t>
                      </w:r>
                    </w:p>
                    <w:p w14:paraId="060D7D42" w14:textId="77777777" w:rsidR="006A5267" w:rsidRPr="00DF55E2" w:rsidRDefault="006A5267" w:rsidP="008B4B2B">
                      <w:pPr>
                        <w:spacing w:line="240" w:lineRule="exact"/>
                        <w:rPr>
                          <w:rFonts w:ascii="ＭＳ ゴシック" w:eastAsia="ＭＳ ゴシック" w:hAnsi="ＭＳ ゴシック"/>
                          <w:sz w:val="16"/>
                          <w:szCs w:val="16"/>
                        </w:rPr>
                      </w:pPr>
                      <w:r w:rsidRPr="00DF55E2">
                        <w:rPr>
                          <w:rFonts w:ascii="ＭＳ ゴシック" w:eastAsia="ＭＳ ゴシック" w:hAnsi="ＭＳ ゴシック" w:hint="eastAsia"/>
                          <w:sz w:val="16"/>
                          <w:szCs w:val="16"/>
                        </w:rPr>
                        <w:t>❷発災直後の緊急派遣チーム(先遣隊)の派遣、</w:t>
                      </w:r>
                    </w:p>
                    <w:p w14:paraId="4E8B0399" w14:textId="77777777" w:rsidR="006A5267" w:rsidRPr="00DF55E2" w:rsidRDefault="006A5267" w:rsidP="008B4B2B">
                      <w:pPr>
                        <w:spacing w:line="240" w:lineRule="exact"/>
                        <w:ind w:firstLineChars="100" w:firstLine="161"/>
                        <w:rPr>
                          <w:rFonts w:ascii="ＭＳ ゴシック" w:eastAsia="ＭＳ ゴシック" w:hAnsi="ＭＳ ゴシック"/>
                          <w:sz w:val="16"/>
                          <w:szCs w:val="16"/>
                        </w:rPr>
                      </w:pPr>
                      <w:r w:rsidRPr="00DF55E2">
                        <w:rPr>
                          <w:rFonts w:ascii="ＭＳ ゴシック" w:eastAsia="ＭＳ ゴシック" w:hAnsi="ＭＳ ゴシック" w:hint="eastAsia"/>
                          <w:sz w:val="16"/>
                          <w:szCs w:val="16"/>
                        </w:rPr>
                        <w:t>情報収集及び災害応急活動に必要な職員の派遣</w:t>
                      </w:r>
                    </w:p>
                    <w:p w14:paraId="4615EE61" w14:textId="77777777" w:rsidR="006A5267" w:rsidRPr="00DF55E2" w:rsidRDefault="006A5267" w:rsidP="008B4B2B">
                      <w:pPr>
                        <w:spacing w:line="240" w:lineRule="exact"/>
                        <w:rPr>
                          <w:rFonts w:ascii="ＭＳ ゴシック" w:eastAsia="ＭＳ ゴシック" w:hAnsi="ＭＳ ゴシック"/>
                          <w:sz w:val="16"/>
                          <w:szCs w:val="16"/>
                        </w:rPr>
                      </w:pPr>
                      <w:r w:rsidRPr="00DF55E2">
                        <w:rPr>
                          <w:rFonts w:ascii="ＭＳ ゴシック" w:eastAsia="ＭＳ ゴシック" w:hAnsi="ＭＳ ゴシック" w:hint="eastAsia"/>
                          <w:sz w:val="16"/>
                          <w:szCs w:val="16"/>
                        </w:rPr>
                        <w:t>❸広域避難の調整及び避難者・傷病者の受入れ、</w:t>
                      </w:r>
                    </w:p>
                    <w:p w14:paraId="5266EB5C" w14:textId="77777777" w:rsidR="006A5267" w:rsidRPr="00DF55E2" w:rsidRDefault="006A5267" w:rsidP="008B4B2B">
                      <w:pPr>
                        <w:spacing w:line="240" w:lineRule="exact"/>
                        <w:ind w:firstLineChars="100" w:firstLine="161"/>
                        <w:rPr>
                          <w:rFonts w:ascii="ＭＳ ゴシック" w:eastAsia="ＭＳ ゴシック" w:hAnsi="ＭＳ ゴシック"/>
                          <w:sz w:val="16"/>
                          <w:szCs w:val="16"/>
                        </w:rPr>
                      </w:pPr>
                      <w:r w:rsidRPr="00DF55E2">
                        <w:rPr>
                          <w:rFonts w:ascii="ＭＳ ゴシック" w:eastAsia="ＭＳ ゴシック" w:hAnsi="ＭＳ ゴシック" w:hint="eastAsia"/>
                          <w:sz w:val="16"/>
                          <w:szCs w:val="16"/>
                        </w:rPr>
                        <w:t>ドクターヘリの運航</w:t>
                      </w:r>
                    </w:p>
                    <w:p w14:paraId="51600662" w14:textId="77777777" w:rsidR="006A5267" w:rsidRPr="00DF55E2" w:rsidRDefault="006A5267" w:rsidP="008B4B2B">
                      <w:pPr>
                        <w:spacing w:line="240" w:lineRule="exact"/>
                        <w:rPr>
                          <w:rFonts w:ascii="ＭＳ ゴシック" w:eastAsia="ＭＳ ゴシック" w:hAnsi="ＭＳ ゴシック"/>
                          <w:sz w:val="16"/>
                          <w:szCs w:val="16"/>
                        </w:rPr>
                      </w:pPr>
                      <w:r w:rsidRPr="00DF55E2">
                        <w:rPr>
                          <w:rFonts w:ascii="ＭＳ ゴシック" w:eastAsia="ＭＳ ゴシック" w:hAnsi="ＭＳ ゴシック" w:hint="eastAsia"/>
                          <w:sz w:val="16"/>
                          <w:szCs w:val="16"/>
                        </w:rPr>
                        <w:t>❹行政機能が大幅に低下した被災市町村に現地連絡所　を設置し、通常の行政業務も含めた直接支援</w:t>
                      </w:r>
                    </w:p>
                    <w:p w14:paraId="6BE1AEE5" w14:textId="77777777" w:rsidR="006A5267" w:rsidRPr="00DF55E2" w:rsidRDefault="006A5267" w:rsidP="008B4B2B">
                      <w:pPr>
                        <w:spacing w:line="240" w:lineRule="exact"/>
                        <w:ind w:left="181" w:hangingChars="100" w:hanging="181"/>
                        <w:rPr>
                          <w:rFonts w:ascii="ＭＳ ゴシック" w:eastAsia="ＭＳ ゴシック" w:hAnsi="ＭＳ ゴシック"/>
                          <w:sz w:val="18"/>
                          <w:szCs w:val="18"/>
                        </w:rPr>
                      </w:pPr>
                      <w:r w:rsidRPr="00DF55E2">
                        <w:rPr>
                          <w:rFonts w:ascii="ＭＳ ゴシック" w:eastAsia="ＭＳ ゴシック" w:hAnsi="ＭＳ ゴシック" w:hint="eastAsia"/>
                          <w:sz w:val="18"/>
                          <w:szCs w:val="18"/>
                        </w:rPr>
                        <w:t>❺ボランティア活動の促進</w:t>
                      </w:r>
                    </w:p>
                    <w:p w14:paraId="4BFF8A77" w14:textId="77777777" w:rsidR="006A5267" w:rsidRPr="00DF55E2" w:rsidRDefault="006A5267" w:rsidP="008B4B2B">
                      <w:pPr>
                        <w:spacing w:line="240" w:lineRule="exact"/>
                        <w:rPr>
                          <w:rFonts w:ascii="ＭＳ ゴシック" w:eastAsia="ＭＳ ゴシック" w:hAnsi="ＭＳ ゴシック"/>
                          <w:sz w:val="18"/>
                          <w:szCs w:val="18"/>
                        </w:rPr>
                      </w:pPr>
                      <w:r w:rsidRPr="00DF55E2">
                        <w:rPr>
                          <w:rFonts w:ascii="ＭＳ ゴシック" w:eastAsia="ＭＳ ゴシック" w:hAnsi="ＭＳ ゴシック" w:hint="eastAsia"/>
                          <w:sz w:val="18"/>
                          <w:szCs w:val="18"/>
                        </w:rPr>
                        <w:t>❻帰宅困難者への支援</w:t>
                      </w:r>
                    </w:p>
                    <w:p w14:paraId="256FDA10" w14:textId="77777777" w:rsidR="006A5267" w:rsidRPr="00DF55E2" w:rsidRDefault="006A5267" w:rsidP="008B4B2B">
                      <w:pPr>
                        <w:spacing w:line="240" w:lineRule="exact"/>
                        <w:rPr>
                          <w:rFonts w:ascii="ＭＳ ゴシック" w:eastAsia="ＭＳ ゴシック" w:hAnsi="ＭＳ ゴシック"/>
                          <w:sz w:val="18"/>
                          <w:szCs w:val="18"/>
                        </w:rPr>
                      </w:pPr>
                      <w:r w:rsidRPr="00DF55E2">
                        <w:rPr>
                          <w:rFonts w:ascii="ＭＳ ゴシック" w:eastAsia="ＭＳ ゴシック" w:hAnsi="ＭＳ ゴシック" w:hint="eastAsia"/>
                          <w:sz w:val="18"/>
                          <w:szCs w:val="18"/>
                        </w:rPr>
                        <w:t>❼</w:t>
                      </w:r>
                      <w:r w:rsidRPr="00C95D79">
                        <w:rPr>
                          <w:rFonts w:ascii="ＭＳ ゴシック" w:eastAsia="ＭＳ ゴシック" w:hAnsi="ＭＳ ゴシック" w:hint="eastAsia"/>
                          <w:sz w:val="18"/>
                          <w:szCs w:val="18"/>
                        </w:rPr>
                        <w:t>災害廃棄物等処理の推進</w:t>
                      </w:r>
                    </w:p>
                    <w:p w14:paraId="4F0D61B1" w14:textId="77777777" w:rsidR="006A5267" w:rsidRPr="00DF55E2" w:rsidRDefault="006A5267" w:rsidP="008B4B2B">
                      <w:pPr>
                        <w:spacing w:line="240" w:lineRule="exact"/>
                        <w:rPr>
                          <w:rFonts w:ascii="ＭＳ ゴシック" w:eastAsia="ＭＳ ゴシック" w:hAnsi="ＭＳ ゴシック"/>
                          <w:sz w:val="20"/>
                          <w:szCs w:val="20"/>
                        </w:rPr>
                      </w:pPr>
                      <w:r w:rsidRPr="00DF55E2">
                        <w:rPr>
                          <w:rFonts w:ascii="ＭＳ ゴシック" w:eastAsia="ＭＳ ゴシック" w:hAnsi="ＭＳ ゴシック" w:hint="eastAsia"/>
                          <w:sz w:val="18"/>
                          <w:szCs w:val="18"/>
                        </w:rPr>
                        <w:t>❽その他特に必要な事項</w:t>
                      </w:r>
                    </w:p>
                  </w:txbxContent>
                </v:textbox>
              </v:shape>
            </w:pict>
          </mc:Fallback>
        </mc:AlternateContent>
      </w:r>
    </w:p>
    <w:p w14:paraId="41D2AB2E" w14:textId="77777777" w:rsidR="008B4B2B" w:rsidRPr="001D6D10" w:rsidRDefault="008B4B2B" w:rsidP="008B4B2B">
      <w:pPr>
        <w:rPr>
          <w:rFonts w:ascii="ＭＳ ゴシック" w:eastAsia="ＭＳ ゴシック" w:hAnsi="ＭＳ ゴシック"/>
          <w:sz w:val="22"/>
          <w:szCs w:val="22"/>
        </w:rPr>
      </w:pPr>
      <w:r w:rsidRPr="001D6D10">
        <w:rPr>
          <w:rFonts w:ascii="ＭＳ ゴシック" w:eastAsia="ＭＳ ゴシック" w:hAnsi="ＭＳ ゴシック" w:hint="eastAsia"/>
          <w:noProof/>
          <w:sz w:val="22"/>
          <w:szCs w:val="22"/>
        </w:rPr>
        <mc:AlternateContent>
          <mc:Choice Requires="wpg">
            <w:drawing>
              <wp:anchor distT="0" distB="0" distL="114300" distR="114300" simplePos="0" relativeHeight="253082624" behindDoc="0" locked="0" layoutInCell="1" allowOverlap="1" wp14:anchorId="39C00025" wp14:editId="45E37787">
                <wp:simplePos x="0" y="0"/>
                <wp:positionH relativeFrom="column">
                  <wp:posOffset>3681095</wp:posOffset>
                </wp:positionH>
                <wp:positionV relativeFrom="paragraph">
                  <wp:posOffset>-635</wp:posOffset>
                </wp:positionV>
                <wp:extent cx="1571625" cy="1600200"/>
                <wp:effectExtent l="13970" t="8890" r="5080" b="10160"/>
                <wp:wrapNone/>
                <wp:docPr id="4181" name="Group 226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571625" cy="1600200"/>
                          <a:chOff x="7200" y="6878"/>
                          <a:chExt cx="2475" cy="2520"/>
                        </a:xfrm>
                      </wpg:grpSpPr>
                      <wps:wsp>
                        <wps:cNvPr id="4182" name="AutoShape 2270"/>
                        <wps:cNvSpPr>
                          <a:spLocks noChangeArrowheads="1"/>
                        </wps:cNvSpPr>
                        <wps:spPr bwMode="auto">
                          <a:xfrm>
                            <a:off x="7200" y="7260"/>
                            <a:ext cx="1260" cy="1710"/>
                          </a:xfrm>
                          <a:prstGeom prst="roundRect">
                            <a:avLst>
                              <a:gd name="adj" fmla="val 16667"/>
                            </a:avLst>
                          </a:prstGeom>
                          <a:solidFill>
                            <a:srgbClr val="FFFFFF"/>
                          </a:solidFill>
                          <a:ln w="12700">
                            <a:solidFill>
                              <a:srgbClr val="000000"/>
                            </a:solidFill>
                            <a:prstDash val="dash"/>
                            <a:round/>
                            <a:headEnd/>
                            <a:tailEnd/>
                          </a:ln>
                        </wps:spPr>
                        <wps:txbx>
                          <w:txbxContent>
                            <w:p w14:paraId="224DF949" w14:textId="77777777" w:rsidR="006A5267" w:rsidRPr="00DF55E2" w:rsidRDefault="006A5267" w:rsidP="008B4B2B">
                              <w:pPr>
                                <w:spacing w:line="220" w:lineRule="exact"/>
                                <w:jc w:val="center"/>
                                <w:rPr>
                                  <w:rFonts w:ascii="ＭＳ ゴシック" w:eastAsia="ＭＳ ゴシック" w:hAnsi="ＭＳ ゴシック"/>
                                  <w:sz w:val="20"/>
                                  <w:szCs w:val="20"/>
                                </w:rPr>
                              </w:pPr>
                              <w:r w:rsidRPr="00DF55E2">
                                <w:rPr>
                                  <w:rFonts w:ascii="ＭＳ ゴシック" w:eastAsia="ＭＳ ゴシック" w:hAnsi="ＭＳ ゴシック" w:hint="eastAsia"/>
                                  <w:sz w:val="20"/>
                                  <w:szCs w:val="20"/>
                                </w:rPr>
                                <w:t>京都府</w:t>
                              </w:r>
                            </w:p>
                            <w:p w14:paraId="246130AD" w14:textId="77777777" w:rsidR="006A5267" w:rsidRPr="00DF55E2" w:rsidRDefault="006A5267" w:rsidP="008B4B2B">
                              <w:pPr>
                                <w:spacing w:line="220" w:lineRule="exact"/>
                                <w:jc w:val="center"/>
                                <w:rPr>
                                  <w:rFonts w:ascii="ＭＳ ゴシック" w:eastAsia="ＭＳ ゴシック" w:hAnsi="ＭＳ ゴシック"/>
                                  <w:sz w:val="20"/>
                                  <w:szCs w:val="20"/>
                                </w:rPr>
                              </w:pPr>
                              <w:r w:rsidRPr="00DF55E2">
                                <w:rPr>
                                  <w:rFonts w:ascii="ＭＳ ゴシック" w:eastAsia="ＭＳ ゴシック" w:hAnsi="ＭＳ ゴシック" w:hint="eastAsia"/>
                                  <w:sz w:val="20"/>
                                  <w:szCs w:val="20"/>
                                </w:rPr>
                                <w:t>和歌山県 滋賀県</w:t>
                              </w:r>
                            </w:p>
                            <w:p w14:paraId="3F951771" w14:textId="77777777" w:rsidR="006A5267" w:rsidRPr="00DF55E2" w:rsidRDefault="006A5267" w:rsidP="008B4B2B">
                              <w:pPr>
                                <w:spacing w:line="220" w:lineRule="exact"/>
                                <w:jc w:val="center"/>
                                <w:rPr>
                                  <w:rFonts w:ascii="ＭＳ ゴシック" w:eastAsia="ＭＳ ゴシック" w:hAnsi="ＭＳ ゴシック"/>
                                  <w:sz w:val="20"/>
                                  <w:szCs w:val="20"/>
                                </w:rPr>
                              </w:pPr>
                              <w:r w:rsidRPr="00DF55E2">
                                <w:rPr>
                                  <w:rFonts w:ascii="ＭＳ ゴシック" w:eastAsia="ＭＳ ゴシック" w:hAnsi="ＭＳ ゴシック" w:hint="eastAsia"/>
                                  <w:sz w:val="20"/>
                                  <w:szCs w:val="20"/>
                                </w:rPr>
                                <w:t>徳島県</w:t>
                              </w:r>
                            </w:p>
                            <w:p w14:paraId="55B1258A" w14:textId="77777777" w:rsidR="006A5267" w:rsidRPr="00DF55E2" w:rsidRDefault="006A5267" w:rsidP="008B4B2B">
                              <w:pPr>
                                <w:spacing w:line="220" w:lineRule="exact"/>
                                <w:jc w:val="center"/>
                                <w:rPr>
                                  <w:rFonts w:ascii="ＭＳ ゴシック" w:eastAsia="ＭＳ ゴシック" w:hAnsi="ＭＳ ゴシック"/>
                                  <w:sz w:val="20"/>
                                  <w:szCs w:val="20"/>
                                </w:rPr>
                              </w:pPr>
                              <w:r w:rsidRPr="00DF55E2">
                                <w:rPr>
                                  <w:rFonts w:ascii="ＭＳ ゴシック" w:eastAsia="ＭＳ ゴシック" w:hAnsi="ＭＳ ゴシック" w:hint="eastAsia"/>
                                  <w:sz w:val="20"/>
                                  <w:szCs w:val="20"/>
                                </w:rPr>
                                <w:t>鳥取県</w:t>
                              </w:r>
                            </w:p>
                            <w:p w14:paraId="07F9F0A9" w14:textId="77777777" w:rsidR="006A5267" w:rsidRPr="00DF55E2" w:rsidRDefault="006A5267" w:rsidP="008B4B2B">
                              <w:pPr>
                                <w:spacing w:line="220" w:lineRule="exact"/>
                                <w:jc w:val="center"/>
                                <w:rPr>
                                  <w:rFonts w:ascii="ＭＳ ゴシック" w:eastAsia="ＭＳ ゴシック" w:hAnsi="ＭＳ ゴシック"/>
                                  <w:sz w:val="20"/>
                                  <w:szCs w:val="20"/>
                                </w:rPr>
                              </w:pPr>
                              <w:r w:rsidRPr="00DF55E2">
                                <w:rPr>
                                  <w:rFonts w:ascii="ＭＳ ゴシック" w:eastAsia="ＭＳ ゴシック" w:hAnsi="ＭＳ ゴシック" w:hint="eastAsia"/>
                                  <w:sz w:val="20"/>
                                  <w:szCs w:val="20"/>
                                </w:rPr>
                                <w:t>京都市</w:t>
                              </w:r>
                            </w:p>
                            <w:p w14:paraId="1A92287D" w14:textId="77777777" w:rsidR="006A5267" w:rsidRPr="00DF55E2" w:rsidRDefault="006A5267" w:rsidP="008B4B2B">
                              <w:pPr>
                                <w:spacing w:line="220" w:lineRule="exact"/>
                                <w:jc w:val="center"/>
                                <w:rPr>
                                  <w:rFonts w:ascii="ＭＳ ゴシック" w:eastAsia="ＭＳ ゴシック" w:hAnsi="ＭＳ ゴシック"/>
                                  <w:sz w:val="20"/>
                                  <w:szCs w:val="20"/>
                                </w:rPr>
                              </w:pPr>
                              <w:r w:rsidRPr="00DF55E2">
                                <w:rPr>
                                  <w:rFonts w:ascii="ＭＳ ゴシック" w:eastAsia="ＭＳ ゴシック" w:hAnsi="ＭＳ ゴシック" w:hint="eastAsia"/>
                                  <w:sz w:val="20"/>
                                  <w:szCs w:val="20"/>
                                </w:rPr>
                                <w:t>神戸市</w:t>
                              </w:r>
                            </w:p>
                          </w:txbxContent>
                        </wps:txbx>
                        <wps:bodyPr rot="0" vert="horz" wrap="square" lIns="74295" tIns="8890" rIns="74295" bIns="8890" anchor="t" anchorCtr="0" upright="1">
                          <a:noAutofit/>
                        </wps:bodyPr>
                      </wps:wsp>
                      <wps:wsp>
                        <wps:cNvPr id="4183" name="AutoShape 2271"/>
                        <wps:cNvSpPr>
                          <a:spLocks noChangeArrowheads="1"/>
                        </wps:cNvSpPr>
                        <wps:spPr bwMode="auto">
                          <a:xfrm>
                            <a:off x="8580" y="7263"/>
                            <a:ext cx="1095" cy="1707"/>
                          </a:xfrm>
                          <a:prstGeom prst="roundRect">
                            <a:avLst>
                              <a:gd name="adj" fmla="val 16667"/>
                            </a:avLst>
                          </a:prstGeom>
                          <a:solidFill>
                            <a:srgbClr val="FFFFFF"/>
                          </a:solidFill>
                          <a:ln w="9525">
                            <a:solidFill>
                              <a:srgbClr val="000000"/>
                            </a:solidFill>
                            <a:prstDash val="dash"/>
                            <a:round/>
                            <a:headEnd/>
                            <a:tailEnd/>
                          </a:ln>
                        </wps:spPr>
                        <wps:txbx>
                          <w:txbxContent>
                            <w:p w14:paraId="3BB5D9F5" w14:textId="77777777" w:rsidR="006A5267" w:rsidRPr="00DF55E2" w:rsidRDefault="006A5267" w:rsidP="008B4B2B">
                              <w:pPr>
                                <w:spacing w:line="360" w:lineRule="auto"/>
                                <w:jc w:val="center"/>
                                <w:rPr>
                                  <w:rFonts w:ascii="ＭＳ ゴシック" w:eastAsia="ＭＳ ゴシック" w:hAnsi="ＭＳ ゴシック"/>
                                </w:rPr>
                              </w:pPr>
                              <w:r w:rsidRPr="00DF55E2">
                                <w:rPr>
                                  <w:rFonts w:ascii="ＭＳ ゴシック" w:eastAsia="ＭＳ ゴシック" w:hAnsi="ＭＳ ゴシック" w:hint="eastAsia"/>
                                </w:rPr>
                                <w:t>福井県</w:t>
                              </w:r>
                            </w:p>
                            <w:p w14:paraId="4A775F19" w14:textId="77777777" w:rsidR="006A5267" w:rsidRPr="00DF55E2" w:rsidRDefault="006A5267" w:rsidP="008B4B2B">
                              <w:pPr>
                                <w:spacing w:line="360" w:lineRule="auto"/>
                                <w:jc w:val="center"/>
                                <w:rPr>
                                  <w:rFonts w:ascii="ＭＳ ゴシック" w:eastAsia="ＭＳ ゴシック" w:hAnsi="ＭＳ ゴシック"/>
                                </w:rPr>
                              </w:pPr>
                              <w:r w:rsidRPr="00DF55E2">
                                <w:rPr>
                                  <w:rFonts w:ascii="ＭＳ ゴシック" w:eastAsia="ＭＳ ゴシック" w:hAnsi="ＭＳ ゴシック" w:hint="eastAsia"/>
                                </w:rPr>
                                <w:t>三重県</w:t>
                              </w:r>
                            </w:p>
                            <w:p w14:paraId="60882CC7" w14:textId="77777777" w:rsidR="006A5267" w:rsidRPr="00DF55E2" w:rsidRDefault="006A5267" w:rsidP="008B4B2B">
                              <w:pPr>
                                <w:spacing w:line="360" w:lineRule="auto"/>
                                <w:jc w:val="center"/>
                                <w:rPr>
                                  <w:rFonts w:ascii="ＭＳ ゴシック" w:eastAsia="ＭＳ ゴシック" w:hAnsi="ＭＳ ゴシック"/>
                                </w:rPr>
                              </w:pPr>
                              <w:r w:rsidRPr="00DF55E2">
                                <w:rPr>
                                  <w:rFonts w:ascii="ＭＳ ゴシック" w:eastAsia="ＭＳ ゴシック" w:hAnsi="ＭＳ ゴシック" w:hint="eastAsia"/>
                                </w:rPr>
                                <w:t>奈良県</w:t>
                              </w:r>
                            </w:p>
                          </w:txbxContent>
                        </wps:txbx>
                        <wps:bodyPr rot="0" vert="horz" wrap="square" lIns="74295" tIns="8890" rIns="74295" bIns="8890" anchor="t" anchorCtr="0" upright="1">
                          <a:noAutofit/>
                        </wps:bodyPr>
                      </wps:wsp>
                      <wps:wsp>
                        <wps:cNvPr id="4184" name="AutoShape 2272"/>
                        <wps:cNvSpPr>
                          <a:spLocks noChangeArrowheads="1"/>
                        </wps:cNvSpPr>
                        <wps:spPr bwMode="auto">
                          <a:xfrm>
                            <a:off x="7200" y="8970"/>
                            <a:ext cx="1260" cy="428"/>
                          </a:xfrm>
                          <a:prstGeom prst="roundRect">
                            <a:avLst>
                              <a:gd name="adj" fmla="val 16667"/>
                            </a:avLst>
                          </a:prstGeom>
                          <a:solidFill>
                            <a:srgbClr val="FFFFFF"/>
                          </a:solidFill>
                          <a:ln w="9525">
                            <a:solidFill>
                              <a:srgbClr val="000000"/>
                            </a:solidFill>
                            <a:round/>
                            <a:headEnd/>
                            <a:tailEnd/>
                          </a:ln>
                        </wps:spPr>
                        <wps:txbx>
                          <w:txbxContent>
                            <w:p w14:paraId="7A46C691" w14:textId="77777777" w:rsidR="006A5267" w:rsidRPr="00ED3C73" w:rsidRDefault="006A5267" w:rsidP="008B4B2B">
                              <w:pPr>
                                <w:jc w:val="center"/>
                                <w:rPr>
                                  <w:rFonts w:ascii="ＭＳ ゴシック" w:eastAsia="ＭＳ ゴシック" w:hAnsi="ＭＳ ゴシック"/>
                                  <w:color w:val="FF0000"/>
                                  <w:sz w:val="18"/>
                                  <w:szCs w:val="18"/>
                                </w:rPr>
                              </w:pPr>
                              <w:r>
                                <w:rPr>
                                  <w:rFonts w:ascii="ＭＳ ゴシック" w:eastAsia="ＭＳ ゴシック" w:hAnsi="ＭＳ ゴシック" w:hint="eastAsia"/>
                                  <w:sz w:val="18"/>
                                  <w:szCs w:val="18"/>
                                </w:rPr>
                                <w:t>構成府県市</w:t>
                              </w:r>
                            </w:p>
                          </w:txbxContent>
                        </wps:txbx>
                        <wps:bodyPr rot="0" vert="horz" wrap="square" lIns="74295" tIns="8890" rIns="74295" bIns="8890" anchor="t" anchorCtr="0" upright="1">
                          <a:noAutofit/>
                        </wps:bodyPr>
                      </wps:wsp>
                      <wps:wsp>
                        <wps:cNvPr id="4185" name="AutoShape 2273"/>
                        <wps:cNvSpPr>
                          <a:spLocks noChangeArrowheads="1"/>
                        </wps:cNvSpPr>
                        <wps:spPr bwMode="auto">
                          <a:xfrm>
                            <a:off x="8610" y="8970"/>
                            <a:ext cx="1065" cy="428"/>
                          </a:xfrm>
                          <a:prstGeom prst="roundRect">
                            <a:avLst>
                              <a:gd name="adj" fmla="val 16667"/>
                            </a:avLst>
                          </a:prstGeom>
                          <a:solidFill>
                            <a:srgbClr val="FFFFFF"/>
                          </a:solidFill>
                          <a:ln w="9525">
                            <a:solidFill>
                              <a:srgbClr val="000000"/>
                            </a:solidFill>
                            <a:round/>
                            <a:headEnd/>
                            <a:tailEnd/>
                          </a:ln>
                        </wps:spPr>
                        <wps:txbx>
                          <w:txbxContent>
                            <w:p w14:paraId="198C5879" w14:textId="77777777" w:rsidR="006A5267" w:rsidRPr="00DF55E2" w:rsidRDefault="006A5267" w:rsidP="008B4B2B">
                              <w:pPr>
                                <w:jc w:val="center"/>
                                <w:rPr>
                                  <w:rFonts w:ascii="ＭＳ ゴシック" w:eastAsia="ＭＳ ゴシック" w:hAnsi="ＭＳ ゴシック"/>
                                </w:rPr>
                              </w:pPr>
                              <w:r>
                                <w:rPr>
                                  <w:rFonts w:ascii="ＭＳ ゴシック" w:eastAsia="ＭＳ ゴシック" w:hAnsi="ＭＳ ゴシック" w:hint="eastAsia"/>
                                </w:rPr>
                                <w:t>連携県</w:t>
                              </w:r>
                            </w:p>
                            <w:p w14:paraId="382ACC4F" w14:textId="77777777" w:rsidR="006A5267" w:rsidRDefault="006A5267" w:rsidP="008B4B2B"/>
                          </w:txbxContent>
                        </wps:txbx>
                        <wps:bodyPr rot="0" vert="horz" wrap="square" lIns="74295" tIns="8890" rIns="74295" bIns="8890" anchor="t" anchorCtr="0" upright="1">
                          <a:noAutofit/>
                        </wps:bodyPr>
                      </wps:wsp>
                      <wps:wsp>
                        <wps:cNvPr id="4186" name="AutoShape 2274"/>
                        <wps:cNvSpPr>
                          <a:spLocks/>
                        </wps:cNvSpPr>
                        <wps:spPr bwMode="auto">
                          <a:xfrm rot="16200000">
                            <a:off x="8198" y="5880"/>
                            <a:ext cx="480" cy="2475"/>
                          </a:xfrm>
                          <a:prstGeom prst="rightBrace">
                            <a:avLst>
                              <a:gd name="adj1" fmla="val 45499"/>
                              <a:gd name="adj2" fmla="val 50000"/>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74295" tIns="8890" rIns="74295" bIns="8890" anchor="t" anchorCtr="0" upright="1">
                          <a:noAutofit/>
                        </wps:bodyPr>
                      </wps:wsp>
                    </wpg:wgp>
                  </a:graphicData>
                </a:graphic>
                <wp14:sizeRelH relativeFrom="page">
                  <wp14:pctWidth>0</wp14:pctWidth>
                </wp14:sizeRelH>
                <wp14:sizeRelV relativeFrom="page">
                  <wp14:pctHeight>0</wp14:pctHeight>
                </wp14:sizeRelV>
              </wp:anchor>
            </w:drawing>
          </mc:Choice>
          <mc:Fallback xmlns:w16cei="http://schemas.microsoft.com/office/word/2026/wordml/cei">
            <w:pict>
              <v:group w14:anchorId="39C00025" id="Group 2269" o:spid="_x0000_s1306" style="position:absolute;left:0;text-align:left;margin-left:289.85pt;margin-top:-.05pt;width:123.75pt;height:126pt;z-index:253082624" coordorigin="7200,6878" coordsize="2475,25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">
                <v:roundrect id="AutoShape 2270" o:spid="_x0000_s1307" style="position:absolute;left:7200;top:7260;width:1260;height:1710;visibility:visible;mso-wrap-style:square;v-text-anchor:top"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" strokeweight="1pt">
                  <v:stroke dashstyle="dash"/>
                  <v:textbox inset="5.85pt,.7pt,5.85pt,.7pt">
                    <w:txbxContent>
                      <w:p w14:paraId="224DF949" w14:textId="77777777" w:rsidR="006A5267" w:rsidRPr="00DF55E2" w:rsidRDefault="006A5267" w:rsidP="008B4B2B">
                        <w:pPr>
                          <w:spacing w:line="220" w:lineRule="exact"/>
                          <w:jc w:val="center"/>
                          <w:rPr>
                            <w:rFonts w:ascii="ＭＳ ゴシック" w:eastAsia="ＭＳ ゴシック" w:hAnsi="ＭＳ ゴシック"/>
                            <w:sz w:val="20"/>
                            <w:szCs w:val="20"/>
                          </w:rPr>
                        </w:pPr>
                        <w:r w:rsidRPr="00DF55E2">
                          <w:rPr>
                            <w:rFonts w:ascii="ＭＳ ゴシック" w:eastAsia="ＭＳ ゴシック" w:hAnsi="ＭＳ ゴシック" w:hint="eastAsia"/>
                            <w:sz w:val="20"/>
                            <w:szCs w:val="20"/>
                          </w:rPr>
                          <w:t>京都府</w:t>
                        </w:r>
                      </w:p>
                      <w:p w14:paraId="246130AD" w14:textId="77777777" w:rsidR="006A5267" w:rsidRPr="00DF55E2" w:rsidRDefault="006A5267" w:rsidP="008B4B2B">
                        <w:pPr>
                          <w:spacing w:line="220" w:lineRule="exact"/>
                          <w:jc w:val="center"/>
                          <w:rPr>
                            <w:rFonts w:ascii="ＭＳ ゴシック" w:eastAsia="ＭＳ ゴシック" w:hAnsi="ＭＳ ゴシック"/>
                            <w:sz w:val="20"/>
                            <w:szCs w:val="20"/>
                          </w:rPr>
                        </w:pPr>
                        <w:r w:rsidRPr="00DF55E2">
                          <w:rPr>
                            <w:rFonts w:ascii="ＭＳ ゴシック" w:eastAsia="ＭＳ ゴシック" w:hAnsi="ＭＳ ゴシック" w:hint="eastAsia"/>
                            <w:sz w:val="20"/>
                            <w:szCs w:val="20"/>
                          </w:rPr>
                          <w:t>和歌山県 滋賀県</w:t>
                        </w:r>
                      </w:p>
                      <w:p w14:paraId="3F951771" w14:textId="77777777" w:rsidR="006A5267" w:rsidRPr="00DF55E2" w:rsidRDefault="006A5267" w:rsidP="008B4B2B">
                        <w:pPr>
                          <w:spacing w:line="220" w:lineRule="exact"/>
                          <w:jc w:val="center"/>
                          <w:rPr>
                            <w:rFonts w:ascii="ＭＳ ゴシック" w:eastAsia="ＭＳ ゴシック" w:hAnsi="ＭＳ ゴシック"/>
                            <w:sz w:val="20"/>
                            <w:szCs w:val="20"/>
                          </w:rPr>
                        </w:pPr>
                        <w:r w:rsidRPr="00DF55E2">
                          <w:rPr>
                            <w:rFonts w:ascii="ＭＳ ゴシック" w:eastAsia="ＭＳ ゴシック" w:hAnsi="ＭＳ ゴシック" w:hint="eastAsia"/>
                            <w:sz w:val="20"/>
                            <w:szCs w:val="20"/>
                          </w:rPr>
                          <w:t>徳島県</w:t>
                        </w:r>
                      </w:p>
                      <w:p w14:paraId="55B1258A" w14:textId="77777777" w:rsidR="006A5267" w:rsidRPr="00DF55E2" w:rsidRDefault="006A5267" w:rsidP="008B4B2B">
                        <w:pPr>
                          <w:spacing w:line="220" w:lineRule="exact"/>
                          <w:jc w:val="center"/>
                          <w:rPr>
                            <w:rFonts w:ascii="ＭＳ ゴシック" w:eastAsia="ＭＳ ゴシック" w:hAnsi="ＭＳ ゴシック"/>
                            <w:sz w:val="20"/>
                            <w:szCs w:val="20"/>
                          </w:rPr>
                        </w:pPr>
                        <w:r w:rsidRPr="00DF55E2">
                          <w:rPr>
                            <w:rFonts w:ascii="ＭＳ ゴシック" w:eastAsia="ＭＳ ゴシック" w:hAnsi="ＭＳ ゴシック" w:hint="eastAsia"/>
                            <w:sz w:val="20"/>
                            <w:szCs w:val="20"/>
                          </w:rPr>
                          <w:t>鳥取県</w:t>
                        </w:r>
                      </w:p>
                      <w:p w14:paraId="07F9F0A9" w14:textId="77777777" w:rsidR="006A5267" w:rsidRPr="00DF55E2" w:rsidRDefault="006A5267" w:rsidP="008B4B2B">
                        <w:pPr>
                          <w:spacing w:line="220" w:lineRule="exact"/>
                          <w:jc w:val="center"/>
                          <w:rPr>
                            <w:rFonts w:ascii="ＭＳ ゴシック" w:eastAsia="ＭＳ ゴシック" w:hAnsi="ＭＳ ゴシック"/>
                            <w:sz w:val="20"/>
                            <w:szCs w:val="20"/>
                          </w:rPr>
                        </w:pPr>
                        <w:r w:rsidRPr="00DF55E2">
                          <w:rPr>
                            <w:rFonts w:ascii="ＭＳ ゴシック" w:eastAsia="ＭＳ ゴシック" w:hAnsi="ＭＳ ゴシック" w:hint="eastAsia"/>
                            <w:sz w:val="20"/>
                            <w:szCs w:val="20"/>
                          </w:rPr>
                          <w:t>京都市</w:t>
                        </w:r>
                      </w:p>
                      <w:p w14:paraId="1A92287D" w14:textId="77777777" w:rsidR="006A5267" w:rsidRPr="00DF55E2" w:rsidRDefault="006A5267" w:rsidP="008B4B2B">
                        <w:pPr>
                          <w:spacing w:line="220" w:lineRule="exact"/>
                          <w:jc w:val="center"/>
                          <w:rPr>
                            <w:rFonts w:ascii="ＭＳ ゴシック" w:eastAsia="ＭＳ ゴシック" w:hAnsi="ＭＳ ゴシック"/>
                            <w:sz w:val="20"/>
                            <w:szCs w:val="20"/>
                          </w:rPr>
                        </w:pPr>
                        <w:r w:rsidRPr="00DF55E2">
                          <w:rPr>
                            <w:rFonts w:ascii="ＭＳ ゴシック" w:eastAsia="ＭＳ ゴシック" w:hAnsi="ＭＳ ゴシック" w:hint="eastAsia"/>
                            <w:sz w:val="20"/>
                            <w:szCs w:val="20"/>
                          </w:rPr>
                          <w:t>神戸市</w:t>
                        </w:r>
                      </w:p>
                    </w:txbxContent>
                  </v:textbox>
                </v:roundrect>
                <v:roundrect id="AutoShape 2271" o:spid="_x0000_s1308" style="position:absolute;left:8580;top:7263;width:1095;height:1707;visibility:visible;mso-wrap-style:square;v-text-anchor:top"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">
                  <v:stroke dashstyle="dash"/>
                  <v:textbox inset="5.85pt,.7pt,5.85pt,.7pt">
                    <w:txbxContent>
                      <w:p w14:paraId="3BB5D9F5" w14:textId="77777777" w:rsidR="006A5267" w:rsidRPr="00DF55E2" w:rsidRDefault="006A5267" w:rsidP="008B4B2B">
                        <w:pPr>
                          <w:spacing w:line="360" w:lineRule="auto"/>
                          <w:jc w:val="center"/>
                          <w:rPr>
                            <w:rFonts w:ascii="ＭＳ ゴシック" w:eastAsia="ＭＳ ゴシック" w:hAnsi="ＭＳ ゴシック"/>
                          </w:rPr>
                        </w:pPr>
                        <w:r w:rsidRPr="00DF55E2">
                          <w:rPr>
                            <w:rFonts w:ascii="ＭＳ ゴシック" w:eastAsia="ＭＳ ゴシック" w:hAnsi="ＭＳ ゴシック" w:hint="eastAsia"/>
                          </w:rPr>
                          <w:t>福井県</w:t>
                        </w:r>
                      </w:p>
                      <w:p w14:paraId="4A775F19" w14:textId="77777777" w:rsidR="006A5267" w:rsidRPr="00DF55E2" w:rsidRDefault="006A5267" w:rsidP="008B4B2B">
                        <w:pPr>
                          <w:spacing w:line="360" w:lineRule="auto"/>
                          <w:jc w:val="center"/>
                          <w:rPr>
                            <w:rFonts w:ascii="ＭＳ ゴシック" w:eastAsia="ＭＳ ゴシック" w:hAnsi="ＭＳ ゴシック"/>
                          </w:rPr>
                        </w:pPr>
                        <w:r w:rsidRPr="00DF55E2">
                          <w:rPr>
                            <w:rFonts w:ascii="ＭＳ ゴシック" w:eastAsia="ＭＳ ゴシック" w:hAnsi="ＭＳ ゴシック" w:hint="eastAsia"/>
                          </w:rPr>
                          <w:t>三重県</w:t>
                        </w:r>
                      </w:p>
                      <w:p w14:paraId="60882CC7" w14:textId="77777777" w:rsidR="006A5267" w:rsidRPr="00DF55E2" w:rsidRDefault="006A5267" w:rsidP="008B4B2B">
                        <w:pPr>
                          <w:spacing w:line="360" w:lineRule="auto"/>
                          <w:jc w:val="center"/>
                          <w:rPr>
                            <w:rFonts w:ascii="ＭＳ ゴシック" w:eastAsia="ＭＳ ゴシック" w:hAnsi="ＭＳ ゴシック"/>
                          </w:rPr>
                        </w:pPr>
                        <w:r w:rsidRPr="00DF55E2">
                          <w:rPr>
                            <w:rFonts w:ascii="ＭＳ ゴシック" w:eastAsia="ＭＳ ゴシック" w:hAnsi="ＭＳ ゴシック" w:hint="eastAsia"/>
                          </w:rPr>
                          <w:t>奈良県</w:t>
                        </w:r>
                      </w:p>
                    </w:txbxContent>
                  </v:textbox>
                </v:roundrect>
                <v:roundrect id="AutoShape 2272" o:spid="_x0000_s1309" style="position:absolute;left:7200;top:8970;width:1260;height:428;visibility:visible;mso-wrap-style:square;v-text-anchor:top"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">
                  <v:textbox inset="5.85pt,.7pt,5.85pt,.7pt">
                    <w:txbxContent>
                      <w:p w14:paraId="7A46C691" w14:textId="77777777" w:rsidR="006A5267" w:rsidRPr="00ED3C73" w:rsidRDefault="006A5267" w:rsidP="008B4B2B">
                        <w:pPr>
                          <w:jc w:val="center"/>
                          <w:rPr>
                            <w:rFonts w:ascii="ＭＳ ゴシック" w:eastAsia="ＭＳ ゴシック" w:hAnsi="ＭＳ ゴシック"/>
                            <w:color w:val="FF0000"/>
                            <w:sz w:val="18"/>
                            <w:szCs w:val="18"/>
                          </w:rPr>
                        </w:pPr>
                        <w:r>
                          <w:rPr>
                            <w:rFonts w:ascii="ＭＳ ゴシック" w:eastAsia="ＭＳ ゴシック" w:hAnsi="ＭＳ ゴシック" w:hint="eastAsia"/>
                            <w:sz w:val="18"/>
                            <w:szCs w:val="18"/>
                          </w:rPr>
                          <w:t>構成府県市</w:t>
                        </w:r>
                      </w:p>
                    </w:txbxContent>
                  </v:textbox>
                </v:roundrect>
                <v:roundrect id="AutoShape 2273" o:spid="_x0000_s1310" style="position:absolute;left:8610;top:8970;width:1065;height:428;visibility:visible;mso-wrap-style:square;v-text-anchor:top"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">
                  <v:textbox inset="5.85pt,.7pt,5.85pt,.7pt">
                    <w:txbxContent>
                      <w:p w14:paraId="198C5879" w14:textId="77777777" w:rsidR="006A5267" w:rsidRPr="00DF55E2" w:rsidRDefault="006A5267" w:rsidP="008B4B2B">
                        <w:pPr>
                          <w:jc w:val="center"/>
                          <w:rPr>
                            <w:rFonts w:ascii="ＭＳ ゴシック" w:eastAsia="ＭＳ ゴシック" w:hAnsi="ＭＳ ゴシック"/>
                          </w:rPr>
                        </w:pPr>
                        <w:r>
                          <w:rPr>
                            <w:rFonts w:ascii="ＭＳ ゴシック" w:eastAsia="ＭＳ ゴシック" w:hAnsi="ＭＳ ゴシック" w:hint="eastAsia"/>
                          </w:rPr>
                          <w:t>連携県</w:t>
                        </w:r>
                      </w:p>
                      <w:p w14:paraId="382ACC4F" w14:textId="77777777" w:rsidR="006A5267" w:rsidRDefault="006A5267" w:rsidP="008B4B2B"/>
                    </w:txbxContent>
                  </v:textbox>
                </v:roundrect>
                <v:shapetype id="_x0000_t88" coordsize="21600,21600" o:spt="88" adj="1800,10800" path="m,qx10800@0l10800@2qy21600@11,10800@3l10800@1qy,21600e" filled="f">
                  <v:formulas>
                    <v:f eqn="val #0"/>
                    <v:f eqn="sum 21600 0 #0"/>
                    <v:f eqn="sum #1 0 #0"/>
                    <v:f eqn="sum #1 #0 0"/>
                    <v:f eqn="prod #0 9598 32768"/>
                    <v:f eqn="sum 21600 0 @4"/>
                    <v:f eqn="sum 21600 0 #1"/>
                    <v:f eqn="min #1 @6"/>
                    <v:f eqn="prod @7 1 2"/>
                    <v:f eqn="prod #0 2 1"/>
                    <v:f eqn="sum 21600 0 @9"/>
                    <v:f eqn="val #1"/>
                  </v:formulas>
                  <v:path arrowok="t" o:connecttype="custom" o:connectlocs="0,0;21600,@11;0,21600" textboxrect="0,@4,7637,@5"/>
                  <v:handles>
                    <v:h position="center,#0" yrange="0,@8"/>
                    <v:h position="bottomRight,#1" yrange="@9,@10"/>
                  </v:handles>
                </v:shapetype>
                <v:shape id="AutoShape 2274" o:spid="_x0000_s1311" type="#_x0000_t88" style="position:absolute;left:8198;top:5880;width:480;height:2475;rotation:-9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" adj="1906">
                  <v:textbox inset="5.85pt,.7pt,5.85pt,.7pt"/>
                </v:shape>
              </v:group>
            </w:pict>
          </mc:Fallback>
        </mc:AlternateContent>
      </w:r>
    </w:p>
    <w:p w14:paraId="49FDD8AE" w14:textId="77777777" w:rsidR="008B4B2B" w:rsidRPr="001D6D10" w:rsidRDefault="008B4B2B" w:rsidP="008B4B2B">
      <w:pPr>
        <w:rPr>
          <w:rFonts w:ascii="ＭＳ ゴシック" w:eastAsia="ＭＳ ゴシック" w:hAnsi="ＭＳ ゴシック"/>
          <w:sz w:val="22"/>
          <w:szCs w:val="22"/>
        </w:rPr>
      </w:pPr>
      <w:r w:rsidRPr="001D6D10">
        <w:rPr>
          <w:rFonts w:ascii="ＭＳ ゴシック" w:eastAsia="ＭＳ ゴシック" w:hAnsi="ＭＳ ゴシック"/>
          <w:noProof/>
          <w:sz w:val="22"/>
          <w:szCs w:val="22"/>
        </w:rPr>
        <mc:AlternateContent>
          <mc:Choice Requires="wps">
            <w:drawing>
              <wp:anchor distT="0" distB="0" distL="114300" distR="114300" simplePos="0" relativeHeight="253090816" behindDoc="0" locked="0" layoutInCell="1" allowOverlap="1" wp14:anchorId="42F4934B" wp14:editId="426D41DF">
                <wp:simplePos x="0" y="0"/>
                <wp:positionH relativeFrom="column">
                  <wp:posOffset>5278120</wp:posOffset>
                </wp:positionH>
                <wp:positionV relativeFrom="paragraph">
                  <wp:posOffset>19685</wp:posOffset>
                </wp:positionV>
                <wp:extent cx="552450" cy="1123950"/>
                <wp:effectExtent l="10795" t="10160" r="8255" b="8890"/>
                <wp:wrapNone/>
                <wp:docPr id="4180" name="AutoShape 228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52450" cy="1123950"/>
                        </a:xfrm>
                        <a:prstGeom prst="roundRect">
                          <a:avLst>
                            <a:gd name="adj" fmla="val 16667"/>
                          </a:avLst>
                        </a:prstGeom>
                        <a:solidFill>
                          <a:srgbClr val="FFFFFF"/>
                        </a:solidFill>
                        <a:ln w="9525">
                          <a:solidFill>
                            <a:srgbClr val="000000"/>
                          </a:solidFill>
                          <a:round/>
                          <a:headEnd/>
                          <a:tailEnd/>
                        </a:ln>
                      </wps:spPr>
                      <wps:txbx>
                        <w:txbxContent>
                          <w:p w14:paraId="03CB97AC" w14:textId="77777777" w:rsidR="006A5267" w:rsidRPr="00DF55E2" w:rsidRDefault="006A5267" w:rsidP="008B4B2B">
                            <w:pPr>
                              <w:jc w:val="center"/>
                              <w:rPr>
                                <w:sz w:val="18"/>
                                <w:szCs w:val="18"/>
                              </w:rPr>
                            </w:pPr>
                            <w:r w:rsidRPr="00DF55E2">
                              <w:rPr>
                                <w:rFonts w:hint="eastAsia"/>
                                <w:sz w:val="18"/>
                                <w:szCs w:val="18"/>
                              </w:rPr>
                              <w:t>災害</w:t>
                            </w:r>
                          </w:p>
                          <w:p w14:paraId="348643BA" w14:textId="77777777" w:rsidR="006A5267" w:rsidRPr="00DF55E2" w:rsidRDefault="006A5267" w:rsidP="008B4B2B">
                            <w:pPr>
                              <w:jc w:val="center"/>
                              <w:rPr>
                                <w:sz w:val="18"/>
                                <w:szCs w:val="18"/>
                              </w:rPr>
                            </w:pPr>
                            <w:r w:rsidRPr="00DF55E2">
                              <w:rPr>
                                <w:rFonts w:hint="eastAsia"/>
                                <w:sz w:val="18"/>
                                <w:szCs w:val="18"/>
                              </w:rPr>
                              <w:t>対策</w:t>
                            </w:r>
                          </w:p>
                          <w:p w14:paraId="1DE110C9" w14:textId="77777777" w:rsidR="006A5267" w:rsidRPr="00DF55E2" w:rsidRDefault="006A5267" w:rsidP="008B4B2B">
                            <w:pPr>
                              <w:jc w:val="center"/>
                              <w:rPr>
                                <w:sz w:val="18"/>
                                <w:szCs w:val="18"/>
                              </w:rPr>
                            </w:pPr>
                            <w:r w:rsidRPr="00DF55E2">
                              <w:rPr>
                                <w:rFonts w:hint="eastAsia"/>
                                <w:sz w:val="18"/>
                                <w:szCs w:val="18"/>
                              </w:rPr>
                              <w:t>(</w:t>
                            </w:r>
                            <w:r w:rsidRPr="00DF55E2">
                              <w:rPr>
                                <w:rFonts w:hint="eastAsia"/>
                                <w:sz w:val="18"/>
                                <w:szCs w:val="18"/>
                              </w:rPr>
                              <w:t>支援</w:t>
                            </w:r>
                            <w:r w:rsidRPr="00DF55E2">
                              <w:rPr>
                                <w:rFonts w:hint="eastAsia"/>
                                <w:sz w:val="18"/>
                                <w:szCs w:val="18"/>
                              </w:rPr>
                              <w:t>)</w:t>
                            </w:r>
                            <w:r w:rsidRPr="00DF55E2">
                              <w:rPr>
                                <w:rFonts w:hint="eastAsia"/>
                                <w:sz w:val="18"/>
                                <w:szCs w:val="18"/>
                              </w:rPr>
                              <w:t>本部</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roundrect w14:anchorId="42F4934B" id="AutoShape 2283" o:spid="_x0000_s1312" style="position:absolute;left:0;text-align:left;margin-left:415.6pt;margin-top:1.55pt;width:43.5pt;height:88.5pt;z-index:253090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">
                <v:textbox inset="5.85pt,.7pt,5.85pt,.7pt">
                  <w:txbxContent>
                    <w:p w14:paraId="03CB97AC" w14:textId="77777777" w:rsidR="006A5267" w:rsidRPr="00DF55E2" w:rsidRDefault="006A5267" w:rsidP="008B4B2B">
                      <w:pPr>
                        <w:jc w:val="center"/>
                        <w:rPr>
                          <w:sz w:val="18"/>
                          <w:szCs w:val="18"/>
                        </w:rPr>
                      </w:pPr>
                      <w:r w:rsidRPr="00DF55E2">
                        <w:rPr>
                          <w:rFonts w:hint="eastAsia"/>
                          <w:sz w:val="18"/>
                          <w:szCs w:val="18"/>
                        </w:rPr>
                        <w:t>災害</w:t>
                      </w:r>
                    </w:p>
                    <w:p w14:paraId="348643BA" w14:textId="77777777" w:rsidR="006A5267" w:rsidRPr="00DF55E2" w:rsidRDefault="006A5267" w:rsidP="008B4B2B">
                      <w:pPr>
                        <w:jc w:val="center"/>
                        <w:rPr>
                          <w:sz w:val="18"/>
                          <w:szCs w:val="18"/>
                        </w:rPr>
                      </w:pPr>
                      <w:r w:rsidRPr="00DF55E2">
                        <w:rPr>
                          <w:rFonts w:hint="eastAsia"/>
                          <w:sz w:val="18"/>
                          <w:szCs w:val="18"/>
                        </w:rPr>
                        <w:t>対策</w:t>
                      </w:r>
                    </w:p>
                    <w:p w14:paraId="1DE110C9" w14:textId="77777777" w:rsidR="006A5267" w:rsidRPr="00DF55E2" w:rsidRDefault="006A5267" w:rsidP="008B4B2B">
                      <w:pPr>
                        <w:jc w:val="center"/>
                        <w:rPr>
                          <w:sz w:val="18"/>
                          <w:szCs w:val="18"/>
                        </w:rPr>
                      </w:pPr>
                      <w:r w:rsidRPr="00DF55E2">
                        <w:rPr>
                          <w:rFonts w:hint="eastAsia"/>
                          <w:sz w:val="18"/>
                          <w:szCs w:val="18"/>
                        </w:rPr>
                        <w:t>(</w:t>
                      </w:r>
                      <w:r w:rsidRPr="00DF55E2">
                        <w:rPr>
                          <w:rFonts w:hint="eastAsia"/>
                          <w:sz w:val="18"/>
                          <w:szCs w:val="18"/>
                        </w:rPr>
                        <w:t>支援</w:t>
                      </w:r>
                      <w:r w:rsidRPr="00DF55E2">
                        <w:rPr>
                          <w:rFonts w:hint="eastAsia"/>
                          <w:sz w:val="18"/>
                          <w:szCs w:val="18"/>
                        </w:rPr>
                        <w:t>)</w:t>
                      </w:r>
                      <w:r w:rsidRPr="00DF55E2">
                        <w:rPr>
                          <w:rFonts w:hint="eastAsia"/>
                          <w:sz w:val="18"/>
                          <w:szCs w:val="18"/>
                        </w:rPr>
                        <w:t>本部</w:t>
                      </w:r>
                    </w:p>
                  </w:txbxContent>
                </v:textbox>
              </v:roundrect>
            </w:pict>
          </mc:Fallback>
        </mc:AlternateContent>
      </w:r>
    </w:p>
    <w:p w14:paraId="2A6E644D" w14:textId="77777777" w:rsidR="008B4B2B" w:rsidRPr="001D6D10" w:rsidRDefault="008B4B2B" w:rsidP="008B4B2B">
      <w:pPr>
        <w:rPr>
          <w:rFonts w:ascii="ＭＳ ゴシック" w:eastAsia="ＭＳ ゴシック" w:hAnsi="ＭＳ ゴシック"/>
          <w:sz w:val="22"/>
          <w:szCs w:val="22"/>
        </w:rPr>
      </w:pPr>
    </w:p>
    <w:p w14:paraId="680AB6B0" w14:textId="77777777" w:rsidR="008B4B2B" w:rsidRPr="001D6D10" w:rsidRDefault="008B4B2B" w:rsidP="008B4B2B">
      <w:pPr>
        <w:rPr>
          <w:rFonts w:ascii="ＭＳ ゴシック" w:eastAsia="ＭＳ ゴシック" w:hAnsi="ＭＳ ゴシック"/>
          <w:sz w:val="22"/>
          <w:szCs w:val="22"/>
        </w:rPr>
      </w:pPr>
    </w:p>
    <w:p w14:paraId="7E0F5A2C" w14:textId="77777777" w:rsidR="008B4B2B" w:rsidRPr="001D6D10" w:rsidRDefault="008B4B2B" w:rsidP="008B4B2B">
      <w:pPr>
        <w:rPr>
          <w:rFonts w:ascii="ＭＳ ゴシック" w:eastAsia="ＭＳ ゴシック" w:hAnsi="ＭＳ ゴシック"/>
          <w:sz w:val="22"/>
          <w:szCs w:val="22"/>
        </w:rPr>
      </w:pPr>
    </w:p>
    <w:p w14:paraId="2E033AD4" w14:textId="77777777" w:rsidR="008B4B2B" w:rsidRPr="001D6D10" w:rsidRDefault="008B4B2B" w:rsidP="008B4B2B">
      <w:pPr>
        <w:rPr>
          <w:rFonts w:ascii="ＭＳ ゴシック" w:eastAsia="ＭＳ ゴシック" w:hAnsi="ＭＳ ゴシック"/>
          <w:sz w:val="22"/>
          <w:szCs w:val="22"/>
        </w:rPr>
      </w:pPr>
    </w:p>
    <w:p w14:paraId="4CF49FC5" w14:textId="77777777" w:rsidR="008B4B2B" w:rsidRPr="001D6D10" w:rsidRDefault="008B4B2B" w:rsidP="008B4B2B">
      <w:pPr>
        <w:rPr>
          <w:rFonts w:ascii="ＭＳ ゴシック" w:eastAsia="ＭＳ ゴシック" w:hAnsi="ＭＳ ゴシック"/>
          <w:sz w:val="22"/>
          <w:szCs w:val="22"/>
        </w:rPr>
      </w:pPr>
    </w:p>
    <w:p w14:paraId="5FA230B7" w14:textId="77777777" w:rsidR="008B4B2B" w:rsidRPr="001D6D10" w:rsidRDefault="008B4B2B" w:rsidP="008B4B2B">
      <w:pPr>
        <w:rPr>
          <w:rFonts w:ascii="ＭＳ ゴシック" w:eastAsia="ＭＳ ゴシック" w:hAnsi="ＭＳ ゴシック"/>
          <w:sz w:val="22"/>
          <w:szCs w:val="22"/>
        </w:rPr>
      </w:pPr>
      <w:r w:rsidRPr="001D6D10">
        <w:rPr>
          <w:rFonts w:ascii="ＭＳ ゴシック" w:eastAsia="ＭＳ ゴシック" w:hAnsi="ＭＳ ゴシック" w:hint="eastAsia"/>
          <w:noProof/>
          <w:sz w:val="22"/>
          <w:szCs w:val="22"/>
        </w:rPr>
        <mc:AlternateContent>
          <mc:Choice Requires="wps">
            <w:drawing>
              <wp:anchor distT="0" distB="0" distL="114300" distR="114300" simplePos="0" relativeHeight="253079552" behindDoc="0" locked="0" layoutInCell="1" allowOverlap="1" wp14:anchorId="57D9CBDE" wp14:editId="7484DAF4">
                <wp:simplePos x="0" y="0"/>
                <wp:positionH relativeFrom="column">
                  <wp:posOffset>1461770</wp:posOffset>
                </wp:positionH>
                <wp:positionV relativeFrom="paragraph">
                  <wp:posOffset>180975</wp:posOffset>
                </wp:positionV>
                <wp:extent cx="3009900" cy="342900"/>
                <wp:effectExtent l="13970" t="9525" r="14605" b="9525"/>
                <wp:wrapNone/>
                <wp:docPr id="4179" name="AutoShape 226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009900" cy="342900"/>
                        </a:xfrm>
                        <a:prstGeom prst="roundRect">
                          <a:avLst>
                            <a:gd name="adj" fmla="val 16667"/>
                          </a:avLst>
                        </a:prstGeom>
                        <a:noFill/>
                        <a:ln w="12700">
                          <a:solidFill>
                            <a:srgbClr val="000000"/>
                          </a:solidFill>
                          <a:prstDash val="dash"/>
                          <a:round/>
                          <a:headEnd/>
                          <a:tailEnd/>
                        </a:ln>
                        <a:extLst>
                          <a:ext uri="{909E8E84-426E-40DD-AFC4-6F175D3DCCD1}">
                            <a14:hiddenFill xmlns:a14="http://schemas.microsoft.com/office/drawing/2010/main">
                              <a:solidFill>
                                <a:srgbClr val="FFFFFF"/>
                              </a:solidFill>
                            </a14:hiddenFill>
                          </a:ext>
                        </a:extLst>
                      </wps:spPr>
                      <wps:txbx>
                        <w:txbxContent>
                          <w:p w14:paraId="675F05C4" w14:textId="77777777" w:rsidR="006A5267" w:rsidRDefault="006A5267" w:rsidP="008B4B2B">
                            <w:pPr>
                              <w:spacing w:line="240" w:lineRule="exact"/>
                              <w:jc w:val="center"/>
                              <w:rPr>
                                <w:rFonts w:ascii="ＭＳ ゴシック" w:eastAsia="ＭＳ ゴシック" w:hAnsi="ＭＳ ゴシック"/>
                                <w:sz w:val="22"/>
                                <w:szCs w:val="22"/>
                              </w:rPr>
                            </w:pPr>
                            <w:r w:rsidRPr="006D042E">
                              <w:rPr>
                                <w:rFonts w:ascii="ＭＳ ゴシック" w:eastAsia="ＭＳ ゴシック" w:hAnsi="ＭＳ ゴシック" w:hint="eastAsia"/>
                                <w:sz w:val="22"/>
                                <w:szCs w:val="22"/>
                              </w:rPr>
                              <w:t>全国都道府県</w:t>
                            </w:r>
                          </w:p>
                          <w:p w14:paraId="436D26AA" w14:textId="77777777" w:rsidR="006A5267" w:rsidRPr="006D6B77" w:rsidRDefault="006A5267" w:rsidP="008B4B2B">
                            <w:pPr>
                              <w:spacing w:line="240" w:lineRule="exact"/>
                              <w:rPr>
                                <w:rFonts w:ascii="ＭＳ ゴシック" w:eastAsia="ＭＳ ゴシック" w:hAnsi="ＭＳ ゴシック"/>
                                <w:sz w:val="16"/>
                                <w:szCs w:val="16"/>
                              </w:rPr>
                            </w:pPr>
                            <w:r w:rsidRPr="006D6B77">
                              <w:rPr>
                                <w:rFonts w:ascii="ＭＳ ゴシック" w:eastAsia="ＭＳ ゴシック" w:hAnsi="ＭＳ ゴシック" w:hint="eastAsia"/>
                                <w:sz w:val="16"/>
                                <w:szCs w:val="16"/>
                              </w:rPr>
                              <w:t>（全国都道府県における</w:t>
                            </w:r>
                            <w:r>
                              <w:rPr>
                                <w:rFonts w:ascii="ＭＳ ゴシック" w:eastAsia="ＭＳ ゴシック" w:hAnsi="ＭＳ ゴシック" w:hint="eastAsia"/>
                                <w:sz w:val="16"/>
                                <w:szCs w:val="16"/>
                              </w:rPr>
                              <w:t>災害時等の広域応援に関する協定）</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roundrect w14:anchorId="57D9CBDE" id="AutoShape 2266" o:spid="_x0000_s1313" style="position:absolute;left:0;text-align:left;margin-left:115.1pt;margin-top:14.25pt;width:237pt;height:27pt;z-index:253079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" filled="f" strokeweight="1pt">
                <v:stroke dashstyle="dash"/>
                <v:textbox inset="5.85pt,.7pt,5.85pt,.7pt">
                  <w:txbxContent>
                    <w:p w14:paraId="675F05C4" w14:textId="77777777" w:rsidR="006A5267" w:rsidRDefault="006A5267" w:rsidP="008B4B2B">
                      <w:pPr>
                        <w:spacing w:line="240" w:lineRule="exact"/>
                        <w:jc w:val="center"/>
                        <w:rPr>
                          <w:rFonts w:ascii="ＭＳ ゴシック" w:eastAsia="ＭＳ ゴシック" w:hAnsi="ＭＳ ゴシック"/>
                          <w:sz w:val="22"/>
                          <w:szCs w:val="22"/>
                        </w:rPr>
                      </w:pPr>
                      <w:r w:rsidRPr="006D042E">
                        <w:rPr>
                          <w:rFonts w:ascii="ＭＳ ゴシック" w:eastAsia="ＭＳ ゴシック" w:hAnsi="ＭＳ ゴシック" w:hint="eastAsia"/>
                          <w:sz w:val="22"/>
                          <w:szCs w:val="22"/>
                        </w:rPr>
                        <w:t>全国都道府県</w:t>
                      </w:r>
                    </w:p>
                    <w:p w14:paraId="436D26AA" w14:textId="77777777" w:rsidR="006A5267" w:rsidRPr="006D6B77" w:rsidRDefault="006A5267" w:rsidP="008B4B2B">
                      <w:pPr>
                        <w:spacing w:line="240" w:lineRule="exact"/>
                        <w:rPr>
                          <w:rFonts w:ascii="ＭＳ ゴシック" w:eastAsia="ＭＳ ゴシック" w:hAnsi="ＭＳ ゴシック"/>
                          <w:sz w:val="16"/>
                          <w:szCs w:val="16"/>
                        </w:rPr>
                      </w:pPr>
                      <w:r w:rsidRPr="006D6B77">
                        <w:rPr>
                          <w:rFonts w:ascii="ＭＳ ゴシック" w:eastAsia="ＭＳ ゴシック" w:hAnsi="ＭＳ ゴシック" w:hint="eastAsia"/>
                          <w:sz w:val="16"/>
                          <w:szCs w:val="16"/>
                        </w:rPr>
                        <w:t>（全国都道府県における</w:t>
                      </w:r>
                      <w:r>
                        <w:rPr>
                          <w:rFonts w:ascii="ＭＳ ゴシック" w:eastAsia="ＭＳ ゴシック" w:hAnsi="ＭＳ ゴシック" w:hint="eastAsia"/>
                          <w:sz w:val="16"/>
                          <w:szCs w:val="16"/>
                        </w:rPr>
                        <w:t>災害時等の広域応援に関する協定）</w:t>
                      </w:r>
                    </w:p>
                  </w:txbxContent>
                </v:textbox>
              </v:roundrect>
            </w:pict>
          </mc:Fallback>
        </mc:AlternateContent>
      </w:r>
      <w:r w:rsidRPr="001D6D10">
        <w:rPr>
          <w:rFonts w:ascii="ＭＳ ゴシック" w:eastAsia="ＭＳ ゴシック" w:hAnsi="ＭＳ ゴシック" w:hint="eastAsia"/>
          <w:noProof/>
          <w:sz w:val="22"/>
          <w:szCs w:val="22"/>
        </w:rPr>
        <mc:AlternateContent>
          <mc:Choice Requires="wps">
            <w:drawing>
              <wp:anchor distT="0" distB="0" distL="114300" distR="114300" simplePos="0" relativeHeight="253094912" behindDoc="0" locked="0" layoutInCell="1" allowOverlap="1" wp14:anchorId="0E7B8758" wp14:editId="27D0C5C4">
                <wp:simplePos x="0" y="0"/>
                <wp:positionH relativeFrom="column">
                  <wp:posOffset>4643120</wp:posOffset>
                </wp:positionH>
                <wp:positionV relativeFrom="paragraph">
                  <wp:posOffset>93345</wp:posOffset>
                </wp:positionV>
                <wp:extent cx="0" cy="324485"/>
                <wp:effectExtent l="13970" t="7620" r="5080" b="10795"/>
                <wp:wrapNone/>
                <wp:docPr id="4178" name="AutoShape 228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32448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shape w14:anchorId="794198B6" id="AutoShape 2287" o:spid="_x0000_s1026" type="#_x0000_t32" style="position:absolute;left:0;text-align:left;margin-left:365.6pt;margin-top:7.35pt;width:0;height:25.55pt;z-index:2530949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"/>
            </w:pict>
          </mc:Fallback>
        </mc:AlternateContent>
      </w:r>
      <w:r w:rsidRPr="001D6D10">
        <w:rPr>
          <w:rFonts w:ascii="ＭＳ ゴシック" w:eastAsia="ＭＳ ゴシック" w:hAnsi="ＭＳ ゴシック" w:hint="eastAsia"/>
          <w:noProof/>
          <w:sz w:val="22"/>
          <w:szCs w:val="22"/>
        </w:rPr>
        <mc:AlternateContent>
          <mc:Choice Requires="wps">
            <w:drawing>
              <wp:anchor distT="0" distB="0" distL="114300" distR="114300" simplePos="0" relativeHeight="253097984" behindDoc="0" locked="0" layoutInCell="1" allowOverlap="1" wp14:anchorId="1463EE29" wp14:editId="0F3FC540">
                <wp:simplePos x="0" y="0"/>
                <wp:positionH relativeFrom="column">
                  <wp:posOffset>4677410</wp:posOffset>
                </wp:positionH>
                <wp:positionV relativeFrom="paragraph">
                  <wp:posOffset>115570</wp:posOffset>
                </wp:positionV>
                <wp:extent cx="1085850" cy="302260"/>
                <wp:effectExtent l="635" t="1270" r="0" b="1270"/>
                <wp:wrapNone/>
                <wp:docPr id="4177" name="Text Box 228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85850" cy="302260"/>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lgn="ctr">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092290BF" w14:textId="77777777" w:rsidR="006A5267" w:rsidRPr="00DF55E2" w:rsidRDefault="006A5267" w:rsidP="008B4B2B">
                            <w:pPr>
                              <w:rPr>
                                <w:rFonts w:ascii="ＭＳ ゴシック" w:eastAsia="ＭＳ ゴシック" w:hAnsi="ＭＳ ゴシック"/>
                                <w:sz w:val="20"/>
                                <w:szCs w:val="20"/>
                              </w:rPr>
                            </w:pPr>
                            <w:r w:rsidRPr="00DF55E2">
                              <w:rPr>
                                <w:rFonts w:ascii="ＭＳ ゴシック" w:eastAsia="ＭＳ ゴシック" w:hAnsi="ＭＳ ゴシック" w:hint="eastAsia"/>
                                <w:sz w:val="20"/>
                                <w:szCs w:val="20"/>
                              </w:rPr>
                              <w:t>⑤応援要請</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shape w14:anchorId="1463EE29" id="Text Box 2289" o:spid="_x0000_s1314" type="#_x0000_t202" style="position:absolute;left:0;text-align:left;margin-left:368.3pt;margin-top:9.1pt;width:85.5pt;height:23.8pt;z-index:2530979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" filled="f" stroked="f">
                <v:textbox inset="5.85pt,.7pt,5.85pt,.7pt">
                  <w:txbxContent>
                    <w:p w14:paraId="092290BF" w14:textId="77777777" w:rsidR="006A5267" w:rsidRPr="00DF55E2" w:rsidRDefault="006A5267" w:rsidP="008B4B2B">
                      <w:pPr>
                        <w:rPr>
                          <w:rFonts w:ascii="ＭＳ ゴシック" w:eastAsia="ＭＳ ゴシック" w:hAnsi="ＭＳ ゴシック"/>
                          <w:sz w:val="20"/>
                          <w:szCs w:val="20"/>
                        </w:rPr>
                      </w:pPr>
                      <w:r w:rsidRPr="00DF55E2">
                        <w:rPr>
                          <w:rFonts w:ascii="ＭＳ ゴシック" w:eastAsia="ＭＳ ゴシック" w:hAnsi="ＭＳ ゴシック" w:hint="eastAsia"/>
                          <w:sz w:val="20"/>
                          <w:szCs w:val="20"/>
                        </w:rPr>
                        <w:t>⑤応援要請</w:t>
                      </w:r>
                    </w:p>
                  </w:txbxContent>
                </v:textbox>
              </v:shape>
            </w:pict>
          </mc:Fallback>
        </mc:AlternateContent>
      </w:r>
    </w:p>
    <w:p w14:paraId="6C33C8C0" w14:textId="77777777" w:rsidR="008B4B2B" w:rsidRPr="001D6D10" w:rsidRDefault="008B4B2B" w:rsidP="008B4B2B">
      <w:pPr>
        <w:rPr>
          <w:rFonts w:ascii="ＭＳ ゴシック" w:eastAsia="ＭＳ ゴシック" w:hAnsi="ＭＳ ゴシック"/>
          <w:sz w:val="22"/>
          <w:szCs w:val="22"/>
        </w:rPr>
      </w:pPr>
      <w:r w:rsidRPr="001D6D10">
        <w:rPr>
          <w:rFonts w:ascii="ＭＳ ゴシック" w:eastAsia="ＭＳ ゴシック" w:hAnsi="ＭＳ ゴシック"/>
          <w:noProof/>
          <w:sz w:val="22"/>
          <w:szCs w:val="22"/>
        </w:rPr>
        <mc:AlternateContent>
          <mc:Choice Requires="wps">
            <w:drawing>
              <wp:anchor distT="0" distB="0" distL="114300" distR="114300" simplePos="0" relativeHeight="253095936" behindDoc="0" locked="0" layoutInCell="1" allowOverlap="1" wp14:anchorId="19269910" wp14:editId="1C7EE1F3">
                <wp:simplePos x="0" y="0"/>
                <wp:positionH relativeFrom="column">
                  <wp:posOffset>4471670</wp:posOffset>
                </wp:positionH>
                <wp:positionV relativeFrom="paragraph">
                  <wp:posOffset>193675</wp:posOffset>
                </wp:positionV>
                <wp:extent cx="171450" cy="0"/>
                <wp:effectExtent l="23495" t="60325" r="5080" b="53975"/>
                <wp:wrapNone/>
                <wp:docPr id="4176" name="AutoShape 228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171450" cy="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shape w14:anchorId="4DC875EE" id="AutoShape 2288" o:spid="_x0000_s1026" type="#_x0000_t32" style="position:absolute;left:0;text-align:left;margin-left:352.1pt;margin-top:15.25pt;width:13.5pt;height:0;flip:x;z-index:2530959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">
                <v:stroke endarrow="block"/>
              </v:shape>
            </w:pict>
          </mc:Fallback>
        </mc:AlternateContent>
      </w:r>
      <w:r w:rsidRPr="001D6D10">
        <w:rPr>
          <w:rFonts w:ascii="ＭＳ ゴシック" w:eastAsia="ＭＳ ゴシック" w:hAnsi="ＭＳ ゴシック"/>
          <w:noProof/>
          <w:sz w:val="22"/>
          <w:szCs w:val="22"/>
        </w:rPr>
        <mc:AlternateContent>
          <mc:Choice Requires="wps">
            <w:drawing>
              <wp:anchor distT="0" distB="0" distL="114300" distR="114300" simplePos="0" relativeHeight="253081600" behindDoc="0" locked="0" layoutInCell="1" allowOverlap="1" wp14:anchorId="16DCECE5" wp14:editId="4AAED582">
                <wp:simplePos x="0" y="0"/>
                <wp:positionH relativeFrom="column">
                  <wp:posOffset>623570</wp:posOffset>
                </wp:positionH>
                <wp:positionV relativeFrom="paragraph">
                  <wp:posOffset>159385</wp:posOffset>
                </wp:positionV>
                <wp:extent cx="838200" cy="0"/>
                <wp:effectExtent l="23495" t="54610" r="5080" b="59690"/>
                <wp:wrapNone/>
                <wp:docPr id="4175" name="Line 226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838200" cy="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line w14:anchorId="7D3838C9" id="Line 2268" o:spid="_x0000_s1026" style="position:absolute;left:0;text-align:left;flip:x;z-index:253081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9.1pt,12.55pt" to="115.1pt,12.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">
                <v:stroke endarrow="block"/>
              </v:line>
            </w:pict>
          </mc:Fallback>
        </mc:AlternateContent>
      </w:r>
    </w:p>
    <w:p w14:paraId="19A959A6" w14:textId="77777777" w:rsidR="008B4B2B" w:rsidRPr="001D6D10" w:rsidRDefault="008B4B2B" w:rsidP="008B4B2B">
      <w:pPr>
        <w:rPr>
          <w:rFonts w:ascii="ＭＳ ゴシック" w:eastAsia="ＭＳ ゴシック" w:hAnsi="ＭＳ ゴシック"/>
          <w:sz w:val="22"/>
          <w:szCs w:val="22"/>
        </w:rPr>
      </w:pPr>
    </w:p>
    <w:p w14:paraId="10E0FE5D" w14:textId="77777777" w:rsidR="008B4B2B" w:rsidRPr="001D6D10" w:rsidRDefault="008B4B2B" w:rsidP="008B4B2B">
      <w:pPr>
        <w:pStyle w:val="a0"/>
        <w:ind w:firstLineChars="300" w:firstLine="663"/>
        <w:rPr>
          <w:rFonts w:ascii="ＭＳ ゴシック" w:eastAsia="ＭＳ ゴシック" w:hAnsi="ＭＳ ゴシック"/>
          <w:sz w:val="22"/>
          <w:szCs w:val="22"/>
          <w:u w:val="single"/>
        </w:rPr>
      </w:pPr>
      <w:r w:rsidRPr="001D6D10">
        <w:rPr>
          <w:rFonts w:ascii="ＭＳ ゴシック" w:eastAsia="ＭＳ ゴシック" w:hAnsi="ＭＳ ゴシック" w:hint="eastAsia"/>
          <w:sz w:val="22"/>
          <w:szCs w:val="22"/>
          <w:u w:val="single"/>
        </w:rPr>
        <w:t>１　関西広域連合への応援要請</w:t>
      </w:r>
      <w:r w:rsidRPr="001D6D10">
        <w:rPr>
          <w:rFonts w:ascii="ＭＳ ゴシック" w:eastAsia="ＭＳ ゴシック" w:hAnsi="ＭＳ ゴシック" w:hint="eastAsia"/>
          <w:sz w:val="22"/>
          <w:szCs w:val="22"/>
          <w:u w:val="single"/>
          <w:shd w:val="pct15" w:color="auto" w:fill="FFFFFF"/>
        </w:rPr>
        <w:t>【第１フェーズ】</w:t>
      </w:r>
    </w:p>
    <w:p w14:paraId="228AED16" w14:textId="77777777" w:rsidR="008B4B2B" w:rsidRPr="00E0548A" w:rsidRDefault="008B4B2B" w:rsidP="007E668F">
      <w:pPr>
        <w:pStyle w:val="a0"/>
        <w:numPr>
          <w:ilvl w:val="0"/>
          <w:numId w:val="23"/>
        </w:numPr>
        <w:rPr>
          <w:rFonts w:hAnsi="ＭＳ 明朝"/>
          <w:sz w:val="22"/>
          <w:szCs w:val="22"/>
        </w:rPr>
      </w:pPr>
      <w:r w:rsidRPr="00E0548A">
        <w:rPr>
          <w:rFonts w:hAnsi="ＭＳ 明朝" w:hint="eastAsia"/>
          <w:sz w:val="22"/>
          <w:szCs w:val="22"/>
        </w:rPr>
        <w:t>要請の方法及び応援の内容</w:t>
      </w:r>
    </w:p>
    <w:p w14:paraId="46B61A6A" w14:textId="6EA0E5C8" w:rsidR="008B4B2B" w:rsidRPr="00E0548A" w:rsidRDefault="008B4B2B" w:rsidP="008B4B2B">
      <w:pPr>
        <w:pStyle w:val="a0"/>
        <w:ind w:leftChars="406" w:left="857" w:rightChars="-108" w:right="-228" w:firstLineChars="100" w:firstLine="221"/>
        <w:rPr>
          <w:rFonts w:hAnsi="ＭＳ 明朝"/>
          <w:sz w:val="22"/>
          <w:szCs w:val="22"/>
        </w:rPr>
      </w:pPr>
      <w:r w:rsidRPr="00E0548A">
        <w:rPr>
          <w:rFonts w:hAnsi="ＭＳ 明朝" w:hint="eastAsia"/>
          <w:sz w:val="22"/>
          <w:szCs w:val="22"/>
        </w:rPr>
        <w:t>知事は、府単独では十分に応急措置が実施できない場合、「関西広域応援・受援実施要綱」等の定めに基づき、関西広域連合広域防災局（兵庫県）に被害状況等を連絡し、必要とする応援の内容を</w:t>
      </w:r>
      <w:r w:rsidR="00D107B6" w:rsidRPr="00E0548A">
        <w:rPr>
          <w:rFonts w:hAnsi="ＭＳ 明朝" w:hint="eastAsia"/>
          <w:sz w:val="22"/>
          <w:szCs w:val="22"/>
        </w:rPr>
        <w:t>「関西広域連合広域防災局応援・受援調整支援ステム」を用いて</w:t>
      </w:r>
      <w:r w:rsidRPr="00E0548A">
        <w:rPr>
          <w:rFonts w:hAnsi="ＭＳ 明朝" w:hint="eastAsia"/>
          <w:sz w:val="22"/>
          <w:szCs w:val="22"/>
        </w:rPr>
        <w:t>要請する。</w:t>
      </w:r>
    </w:p>
    <w:p w14:paraId="532041E7" w14:textId="77777777" w:rsidR="008B4B2B" w:rsidRPr="00E0548A" w:rsidRDefault="008B4B2B" w:rsidP="008B4B2B">
      <w:pPr>
        <w:pStyle w:val="a0"/>
        <w:numPr>
          <w:ilvl w:val="0"/>
          <w:numId w:val="3"/>
        </w:numPr>
        <w:rPr>
          <w:rFonts w:hAnsi="ＭＳ 明朝"/>
          <w:sz w:val="22"/>
          <w:szCs w:val="22"/>
        </w:rPr>
      </w:pPr>
      <w:r w:rsidRPr="00E0548A">
        <w:rPr>
          <w:rFonts w:hAnsi="ＭＳ 明朝" w:hint="eastAsia"/>
          <w:sz w:val="22"/>
          <w:szCs w:val="22"/>
        </w:rPr>
        <w:t>食料、飲料水及び生活必需品などの救援物資の提供</w:t>
      </w:r>
    </w:p>
    <w:p w14:paraId="178D1C41" w14:textId="77777777" w:rsidR="008B4B2B" w:rsidRPr="00E0548A" w:rsidRDefault="008B4B2B" w:rsidP="008B4B2B">
      <w:pPr>
        <w:pStyle w:val="a0"/>
        <w:numPr>
          <w:ilvl w:val="0"/>
          <w:numId w:val="3"/>
        </w:numPr>
        <w:rPr>
          <w:rFonts w:hAnsi="ＭＳ 明朝"/>
          <w:sz w:val="22"/>
          <w:szCs w:val="22"/>
        </w:rPr>
      </w:pPr>
      <w:r w:rsidRPr="00E0548A">
        <w:rPr>
          <w:rFonts w:hAnsi="ＭＳ 明朝" w:hint="eastAsia"/>
          <w:sz w:val="22"/>
          <w:szCs w:val="22"/>
        </w:rPr>
        <w:t>発災直後の緊急派遣チーム(先遣隊)の派遣、情報収集及び災害応急活動に必要な職員の派遣</w:t>
      </w:r>
    </w:p>
    <w:p w14:paraId="1B819B38" w14:textId="77777777" w:rsidR="008B4B2B" w:rsidRPr="00E0548A" w:rsidRDefault="008B4B2B" w:rsidP="008B4B2B">
      <w:pPr>
        <w:pStyle w:val="a0"/>
        <w:numPr>
          <w:ilvl w:val="0"/>
          <w:numId w:val="3"/>
        </w:numPr>
        <w:rPr>
          <w:rFonts w:hAnsi="ＭＳ 明朝"/>
          <w:sz w:val="22"/>
          <w:szCs w:val="22"/>
        </w:rPr>
      </w:pPr>
      <w:r w:rsidRPr="00E0548A">
        <w:rPr>
          <w:rFonts w:hAnsi="ＭＳ 明朝" w:hint="eastAsia"/>
          <w:sz w:val="22"/>
          <w:szCs w:val="22"/>
        </w:rPr>
        <w:t>広域避難の調整及び避難者、傷病者の受け入れ、ドクターヘリの運航</w:t>
      </w:r>
    </w:p>
    <w:p w14:paraId="562C7042" w14:textId="77777777" w:rsidR="008B4B2B" w:rsidRPr="00E0548A" w:rsidRDefault="008B4B2B" w:rsidP="008B4B2B">
      <w:pPr>
        <w:pStyle w:val="a0"/>
        <w:numPr>
          <w:ilvl w:val="0"/>
          <w:numId w:val="3"/>
        </w:numPr>
        <w:rPr>
          <w:rFonts w:hAnsi="ＭＳ 明朝"/>
          <w:sz w:val="22"/>
          <w:szCs w:val="22"/>
        </w:rPr>
      </w:pPr>
      <w:r w:rsidRPr="00E0548A">
        <w:rPr>
          <w:rFonts w:hAnsi="ＭＳ 明朝" w:hint="eastAsia"/>
          <w:sz w:val="22"/>
          <w:szCs w:val="22"/>
        </w:rPr>
        <w:t>行政機能が大幅に低下した被災市町村に現地連絡所を設置し、通常の行政業務も含めた直接支援</w:t>
      </w:r>
    </w:p>
    <w:p w14:paraId="01DB87AC" w14:textId="77777777" w:rsidR="008B4B2B" w:rsidRPr="001D6D10" w:rsidRDefault="008B4B2B" w:rsidP="008B4B2B">
      <w:pPr>
        <w:pStyle w:val="a0"/>
        <w:numPr>
          <w:ilvl w:val="0"/>
          <w:numId w:val="3"/>
        </w:numPr>
        <w:rPr>
          <w:rFonts w:hAnsi="ＭＳ 明朝"/>
          <w:sz w:val="22"/>
          <w:szCs w:val="22"/>
        </w:rPr>
      </w:pPr>
      <w:r w:rsidRPr="001D6D10">
        <w:rPr>
          <w:rFonts w:hAnsi="ＭＳ 明朝" w:hint="eastAsia"/>
          <w:sz w:val="22"/>
          <w:szCs w:val="22"/>
        </w:rPr>
        <w:t>ボランティア活動の促進、⑥帰宅困難者への支援</w:t>
      </w:r>
    </w:p>
    <w:p w14:paraId="5DF06FFB" w14:textId="77777777" w:rsidR="008B4B2B" w:rsidRPr="001D6D10" w:rsidRDefault="008B4B2B" w:rsidP="008B4B2B">
      <w:pPr>
        <w:pStyle w:val="a0"/>
        <w:ind w:left="1100"/>
        <w:rPr>
          <w:rFonts w:hAnsi="ＭＳ 明朝"/>
          <w:sz w:val="22"/>
          <w:szCs w:val="22"/>
        </w:rPr>
      </w:pPr>
      <w:r w:rsidRPr="001D6D10">
        <w:rPr>
          <w:rFonts w:hAnsi="ＭＳ 明朝" w:hint="eastAsia"/>
          <w:sz w:val="22"/>
          <w:szCs w:val="22"/>
        </w:rPr>
        <w:t>⑦ 災害廃棄物等処理の推進、⑧その他、特に必要な事項</w:t>
      </w:r>
    </w:p>
    <w:p w14:paraId="6C04C740" w14:textId="77777777" w:rsidR="008B4B2B" w:rsidRPr="001D6D10" w:rsidRDefault="008B4B2B" w:rsidP="008B4B2B">
      <w:pPr>
        <w:pStyle w:val="a0"/>
        <w:ind w:firstLineChars="400" w:firstLine="884"/>
        <w:rPr>
          <w:rFonts w:hAnsi="ＭＳ 明朝"/>
          <w:sz w:val="22"/>
          <w:szCs w:val="22"/>
        </w:rPr>
      </w:pPr>
      <w:r w:rsidRPr="001D6D10">
        <w:rPr>
          <w:rFonts w:hAnsi="ＭＳ 明朝" w:hint="eastAsia"/>
          <w:sz w:val="22"/>
          <w:szCs w:val="22"/>
        </w:rPr>
        <w:lastRenderedPageBreak/>
        <w:t>(2) 受援体制の確立</w:t>
      </w:r>
    </w:p>
    <w:p w14:paraId="0E5CD5A5" w14:textId="2D9C29EF" w:rsidR="008B4B2B" w:rsidRPr="001D6D10" w:rsidRDefault="008B4B2B" w:rsidP="008B4B2B">
      <w:pPr>
        <w:pStyle w:val="a0"/>
        <w:ind w:leftChars="420" w:left="887"/>
        <w:rPr>
          <w:rFonts w:hAnsi="ＭＳ 明朝"/>
          <w:sz w:val="22"/>
          <w:szCs w:val="22"/>
        </w:rPr>
      </w:pPr>
      <w:r w:rsidRPr="001D6D10">
        <w:rPr>
          <w:rFonts w:hAnsi="ＭＳ 明朝" w:hint="eastAsia"/>
          <w:sz w:val="22"/>
          <w:szCs w:val="22"/>
        </w:rPr>
        <w:t>災害対策課長は、円滑に応援を受け入れるため、次のとおり受援体制の確立を行う。</w:t>
      </w:r>
    </w:p>
    <w:p w14:paraId="1A7CC3EE" w14:textId="77777777" w:rsidR="008B4B2B" w:rsidRPr="001D6D10" w:rsidRDefault="008B4B2B" w:rsidP="008B4B2B">
      <w:pPr>
        <w:pStyle w:val="a0"/>
        <w:numPr>
          <w:ilvl w:val="0"/>
          <w:numId w:val="4"/>
        </w:numPr>
        <w:rPr>
          <w:rFonts w:hAnsi="ＭＳ 明朝"/>
          <w:sz w:val="22"/>
          <w:szCs w:val="22"/>
        </w:rPr>
      </w:pPr>
      <w:r w:rsidRPr="001D6D10">
        <w:rPr>
          <w:rFonts w:hAnsi="ＭＳ 明朝" w:hint="eastAsia"/>
          <w:sz w:val="22"/>
          <w:szCs w:val="22"/>
        </w:rPr>
        <w:t>緊急派遣チームの受入体制</w:t>
      </w:r>
    </w:p>
    <w:p w14:paraId="3F7542A6" w14:textId="77777777" w:rsidR="008B4B2B" w:rsidRPr="001D6D10" w:rsidRDefault="008B4B2B" w:rsidP="008B4B2B">
      <w:pPr>
        <w:pStyle w:val="a0"/>
        <w:ind w:leftChars="607" w:left="1281" w:firstLineChars="100" w:firstLine="221"/>
        <w:rPr>
          <w:rFonts w:hAnsi="ＭＳ 明朝"/>
          <w:sz w:val="22"/>
          <w:szCs w:val="22"/>
        </w:rPr>
      </w:pPr>
      <w:r w:rsidRPr="001D6D10">
        <w:rPr>
          <w:rFonts w:hAnsi="ＭＳ 明朝" w:hint="eastAsia"/>
          <w:sz w:val="22"/>
          <w:szCs w:val="22"/>
        </w:rPr>
        <w:t>関西広域連合及び構成府県市から派遣される緊急派遣チームに対し、被害状況、支援ニーズ等の情報を提供するとともに、可能な限り、通信手段の貸与、業務スペース、駐車場、仮眠場所の確保等を行い、緊急派遣チームの活動が円滑に行われるよう配慮する。</w:t>
      </w:r>
    </w:p>
    <w:p w14:paraId="108AB532" w14:textId="77777777" w:rsidR="008B4B2B" w:rsidRPr="001D6D10" w:rsidRDefault="008B4B2B" w:rsidP="008B4B2B">
      <w:pPr>
        <w:pStyle w:val="a0"/>
        <w:numPr>
          <w:ilvl w:val="0"/>
          <w:numId w:val="4"/>
        </w:numPr>
        <w:rPr>
          <w:rFonts w:hAnsi="ＭＳ 明朝"/>
          <w:sz w:val="22"/>
          <w:szCs w:val="22"/>
        </w:rPr>
      </w:pPr>
      <w:r w:rsidRPr="001D6D10">
        <w:rPr>
          <w:rFonts w:hAnsi="ＭＳ 明朝" w:hint="eastAsia"/>
          <w:sz w:val="22"/>
          <w:szCs w:val="22"/>
        </w:rPr>
        <w:t>現地支援本部の受入体制</w:t>
      </w:r>
    </w:p>
    <w:p w14:paraId="0B3C52D1" w14:textId="5DB85A2E" w:rsidR="004E3557" w:rsidRPr="004E3557" w:rsidRDefault="008B4B2B" w:rsidP="004E3557">
      <w:pPr>
        <w:pStyle w:val="a0"/>
        <w:ind w:left="1276" w:firstLineChars="86" w:firstLine="190"/>
        <w:rPr>
          <w:rFonts w:hAnsi="ＭＳ 明朝"/>
          <w:sz w:val="22"/>
          <w:szCs w:val="22"/>
        </w:rPr>
      </w:pPr>
      <w:r w:rsidRPr="001D6D10">
        <w:rPr>
          <w:rFonts w:hAnsi="ＭＳ 明朝" w:hint="eastAsia"/>
          <w:sz w:val="22"/>
          <w:szCs w:val="22"/>
        </w:rPr>
        <w:t>関西広域連合の現地支援本部が設置される場合は、受入担当者を置き、被害状況、支援ニーズ等の情報を提供するとともに、可能な限り、通信手段の貸与、業務スペース、駐車場、仮眠場所の確保等を行い、活動が円滑に行われるよう配慮する。</w:t>
      </w:r>
    </w:p>
    <w:p w14:paraId="62301964" w14:textId="77777777" w:rsidR="008B4B2B" w:rsidRPr="001D6D10" w:rsidRDefault="008B4B2B" w:rsidP="008B4B2B">
      <w:pPr>
        <w:pStyle w:val="a0"/>
        <w:ind w:firstLineChars="300" w:firstLine="663"/>
        <w:rPr>
          <w:rFonts w:ascii="ＭＳ ゴシック" w:eastAsia="ＭＳ ゴシック" w:hAnsi="ＭＳ ゴシック"/>
          <w:sz w:val="22"/>
          <w:szCs w:val="22"/>
        </w:rPr>
      </w:pPr>
    </w:p>
    <w:p w14:paraId="6A4B0B29" w14:textId="77777777" w:rsidR="008B4B2B" w:rsidRPr="001D6D10" w:rsidRDefault="008B4B2B" w:rsidP="008B4B2B">
      <w:pPr>
        <w:pStyle w:val="a0"/>
        <w:ind w:firstLineChars="300" w:firstLine="663"/>
        <w:rPr>
          <w:rFonts w:ascii="ＭＳ ゴシック" w:eastAsia="ＭＳ ゴシック" w:hAnsi="ＭＳ ゴシック"/>
          <w:sz w:val="22"/>
          <w:szCs w:val="22"/>
          <w:u w:val="single"/>
          <w:shd w:val="pct15" w:color="auto" w:fill="FFFFFF"/>
        </w:rPr>
      </w:pPr>
      <w:r w:rsidRPr="001D6D10">
        <w:rPr>
          <w:rFonts w:ascii="ＭＳ ゴシック" w:eastAsia="ＭＳ ゴシック" w:hAnsi="ＭＳ ゴシック" w:hint="eastAsia"/>
          <w:sz w:val="22"/>
          <w:szCs w:val="22"/>
          <w:u w:val="single"/>
        </w:rPr>
        <w:t>２　全国都道府県への応援要請</w:t>
      </w:r>
      <w:r w:rsidRPr="001D6D10">
        <w:rPr>
          <w:rFonts w:ascii="ＭＳ ゴシック" w:eastAsia="ＭＳ ゴシック" w:hAnsi="ＭＳ ゴシック" w:hint="eastAsia"/>
          <w:sz w:val="22"/>
          <w:szCs w:val="22"/>
          <w:u w:val="single"/>
          <w:shd w:val="pct15" w:color="auto" w:fill="FFFFFF"/>
        </w:rPr>
        <w:t>【第３フェーズ～】</w:t>
      </w:r>
    </w:p>
    <w:p w14:paraId="5BF80B12" w14:textId="77777777" w:rsidR="008B4B2B" w:rsidRPr="001D6D10" w:rsidRDefault="008B4B2B" w:rsidP="008B4B2B">
      <w:pPr>
        <w:pStyle w:val="a0"/>
        <w:ind w:leftChars="420" w:left="887" w:firstLineChars="100" w:firstLine="221"/>
        <w:rPr>
          <w:rFonts w:hAnsi="ＭＳ 明朝"/>
          <w:sz w:val="22"/>
          <w:szCs w:val="22"/>
        </w:rPr>
      </w:pPr>
      <w:r w:rsidRPr="001D6D10">
        <w:rPr>
          <w:rFonts w:hAnsi="ＭＳ 明朝" w:hint="eastAsia"/>
          <w:sz w:val="22"/>
          <w:szCs w:val="22"/>
        </w:rPr>
        <w:t>知事は、関西広域連合及び連携県による相互応援だけでは被災者の救援等の対策が十分に実施できない場合、「関西広域連合と九州地方知事会との災害時の相互応援に関する協定」、「関西広域連合と九都県市との災害時の相互応援に関する協定」、「関西広域連合と中国地方知事会との災害時の相互応援に関する協定」、「関西広域連合と四国知事会との災害時の相互応援に関する協定」及び「全国都道府県における災害時等の広域応援に関する協定」に基づき、速やかに関西広域連合に対し、被災状況等を連絡するとともに、必要とする広域応援の内容に関する事項（被災地における救援・救護及び災害応急・復旧対策並びに復興対策に係る人的・物的支援、施設若しくは業務の提供又はそれらのあっせん）を記載した文書をもって要請する。</w:t>
      </w:r>
    </w:p>
    <w:p w14:paraId="55CD8FF3" w14:textId="77777777" w:rsidR="009927CE" w:rsidRPr="001D6D10" w:rsidRDefault="009927CE" w:rsidP="00B35001">
      <w:pPr>
        <w:pStyle w:val="a0"/>
        <w:rPr>
          <w:rFonts w:hAnsi="ＭＳ 明朝"/>
          <w:sz w:val="22"/>
          <w:szCs w:val="22"/>
        </w:rPr>
      </w:pPr>
    </w:p>
    <w:p w14:paraId="4A183205" w14:textId="77777777" w:rsidR="009927CE" w:rsidRPr="00E0548A" w:rsidRDefault="009927CE" w:rsidP="00B35001">
      <w:pPr>
        <w:pStyle w:val="a0"/>
        <w:ind w:firstLineChars="300" w:firstLine="663"/>
        <w:rPr>
          <w:rFonts w:asciiTheme="majorEastAsia" w:eastAsiaTheme="majorEastAsia" w:hAnsiTheme="majorEastAsia"/>
          <w:sz w:val="22"/>
          <w:szCs w:val="22"/>
          <w:u w:val="single"/>
        </w:rPr>
      </w:pPr>
      <w:r w:rsidRPr="00E0548A">
        <w:rPr>
          <w:rFonts w:asciiTheme="majorEastAsia" w:eastAsiaTheme="majorEastAsia" w:hAnsiTheme="majorEastAsia" w:hint="eastAsia"/>
          <w:sz w:val="22"/>
          <w:szCs w:val="22"/>
          <w:u w:val="single"/>
        </w:rPr>
        <w:t>３　総務省の「応急対策職員派遣制度」に対する派遣要請</w:t>
      </w:r>
      <w:r w:rsidRPr="00E0548A">
        <w:rPr>
          <w:rFonts w:asciiTheme="majorEastAsia" w:eastAsiaTheme="majorEastAsia" w:hAnsiTheme="majorEastAsia" w:hint="eastAsia"/>
          <w:sz w:val="22"/>
          <w:szCs w:val="22"/>
          <w:u w:val="single"/>
          <w:shd w:val="pct15" w:color="auto" w:fill="FFFFFF"/>
        </w:rPr>
        <w:t>【第３フェーズ】</w:t>
      </w:r>
    </w:p>
    <w:p w14:paraId="1D43D45E" w14:textId="77777777" w:rsidR="001516C1" w:rsidRPr="001D6D10" w:rsidRDefault="009927CE" w:rsidP="00B35001">
      <w:pPr>
        <w:pStyle w:val="a0"/>
        <w:ind w:leftChars="314" w:left="866" w:hangingChars="92" w:hanging="203"/>
        <w:rPr>
          <w:rFonts w:hAnsi="ＭＳ 明朝"/>
          <w:sz w:val="22"/>
          <w:szCs w:val="22"/>
        </w:rPr>
      </w:pPr>
      <w:r w:rsidRPr="001D6D10">
        <w:rPr>
          <w:rFonts w:hAnsi="ＭＳ 明朝" w:hint="eastAsia"/>
          <w:sz w:val="22"/>
          <w:szCs w:val="22"/>
        </w:rPr>
        <w:t xml:space="preserve">　　府は、被災した市町村の職員だけでは人員が圧倒的に不足することとなり、被災住民の生活再建等を円滑に進めるために、短期集中的に、大量の応援職員を迅速に確保する必要があると</w:t>
      </w:r>
      <w:r w:rsidR="001516C1" w:rsidRPr="001D6D10">
        <w:rPr>
          <w:rFonts w:hAnsi="ＭＳ 明朝" w:hint="eastAsia"/>
          <w:sz w:val="22"/>
          <w:szCs w:val="22"/>
        </w:rPr>
        <w:t>認めるときは、必要に応じ、</w:t>
      </w:r>
      <w:r w:rsidR="00910BFB" w:rsidRPr="001D6D10">
        <w:rPr>
          <w:rFonts w:hAnsi="ＭＳ 明朝" w:hint="eastAsia"/>
          <w:sz w:val="22"/>
          <w:szCs w:val="22"/>
        </w:rPr>
        <w:t>応援職員確保調整本部（設置前にあっては総務省）</w:t>
      </w:r>
      <w:r w:rsidR="001516C1" w:rsidRPr="001D6D10">
        <w:rPr>
          <w:rFonts w:hAnsi="ＭＳ 明朝" w:hint="eastAsia"/>
          <w:sz w:val="22"/>
          <w:szCs w:val="22"/>
        </w:rPr>
        <w:t>に対し、</w:t>
      </w:r>
      <w:r w:rsidR="00910BFB" w:rsidRPr="001D6D10">
        <w:rPr>
          <w:rFonts w:hAnsi="ＭＳ 明朝" w:hint="eastAsia"/>
          <w:sz w:val="22"/>
          <w:szCs w:val="22"/>
        </w:rPr>
        <w:t>派遣を</w:t>
      </w:r>
      <w:r w:rsidR="001516C1" w:rsidRPr="001D6D10">
        <w:rPr>
          <w:rFonts w:hAnsi="ＭＳ 明朝" w:hint="eastAsia"/>
          <w:sz w:val="22"/>
          <w:szCs w:val="22"/>
        </w:rPr>
        <w:t>要請する。</w:t>
      </w:r>
    </w:p>
    <w:p w14:paraId="4E36D8DD" w14:textId="77777777" w:rsidR="009927CE" w:rsidRPr="001D6D10" w:rsidRDefault="001516C1" w:rsidP="008B4B2B">
      <w:pPr>
        <w:pStyle w:val="a0"/>
        <w:ind w:leftChars="420" w:left="887" w:firstLineChars="100" w:firstLine="221"/>
        <w:rPr>
          <w:rFonts w:hAnsi="ＭＳ 明朝"/>
          <w:sz w:val="22"/>
          <w:szCs w:val="22"/>
        </w:rPr>
      </w:pPr>
      <w:r w:rsidRPr="001D6D10">
        <w:rPr>
          <w:rFonts w:hAnsi="ＭＳ 明朝" w:hint="eastAsia"/>
          <w:sz w:val="22"/>
          <w:szCs w:val="22"/>
        </w:rPr>
        <w:t>また、当該制度の派遣目的は、被災した市町村の長の指揮の下、次に掲げる業務に携わるものであることとしている。</w:t>
      </w:r>
    </w:p>
    <w:p w14:paraId="292A7166" w14:textId="77777777" w:rsidR="001516C1" w:rsidRPr="001D6D10" w:rsidRDefault="001516C1" w:rsidP="008B4B2B">
      <w:pPr>
        <w:pStyle w:val="a0"/>
        <w:ind w:leftChars="420" w:left="887" w:firstLineChars="100" w:firstLine="221"/>
        <w:rPr>
          <w:rFonts w:hAnsi="ＭＳ 明朝"/>
          <w:sz w:val="22"/>
          <w:szCs w:val="22"/>
        </w:rPr>
      </w:pPr>
      <w:r w:rsidRPr="001D6D10">
        <w:rPr>
          <w:rFonts w:hAnsi="ＭＳ 明朝" w:hint="eastAsia"/>
          <w:sz w:val="22"/>
          <w:szCs w:val="22"/>
        </w:rPr>
        <w:t>➀避難所運営や罹災証明書の交付等の災害対応業務を支援すること</w:t>
      </w:r>
    </w:p>
    <w:p w14:paraId="5C4D2B19" w14:textId="77777777" w:rsidR="001516C1" w:rsidRPr="001D6D10" w:rsidRDefault="001516C1" w:rsidP="008B4B2B">
      <w:pPr>
        <w:pStyle w:val="a0"/>
        <w:ind w:leftChars="420" w:left="887" w:firstLineChars="100" w:firstLine="221"/>
        <w:rPr>
          <w:rFonts w:hAnsi="ＭＳ 明朝"/>
          <w:sz w:val="22"/>
          <w:szCs w:val="22"/>
        </w:rPr>
      </w:pPr>
      <w:r w:rsidRPr="001D6D10">
        <w:rPr>
          <w:rFonts w:hAnsi="ＭＳ 明朝" w:hint="eastAsia"/>
          <w:sz w:val="22"/>
          <w:szCs w:val="22"/>
        </w:rPr>
        <w:t>➁被災市町村が行う災害マネジメントを総括的に支援すること</w:t>
      </w:r>
    </w:p>
    <w:p w14:paraId="177B3E25" w14:textId="77777777" w:rsidR="001516C1" w:rsidRPr="001D6D10" w:rsidRDefault="001516C1" w:rsidP="008B4B2B">
      <w:pPr>
        <w:pStyle w:val="a0"/>
        <w:ind w:leftChars="420" w:left="887" w:firstLineChars="100" w:firstLine="221"/>
        <w:rPr>
          <w:rFonts w:hAnsi="ＭＳ 明朝"/>
          <w:sz w:val="22"/>
          <w:szCs w:val="22"/>
        </w:rPr>
      </w:pPr>
    </w:p>
    <w:p w14:paraId="6E0BBFAB" w14:textId="77777777" w:rsidR="009927CE" w:rsidRPr="001D6D10" w:rsidRDefault="009927CE" w:rsidP="00B35001">
      <w:pPr>
        <w:pStyle w:val="a0"/>
        <w:rPr>
          <w:rFonts w:hAnsi="ＭＳ 明朝"/>
          <w:sz w:val="22"/>
          <w:szCs w:val="22"/>
        </w:rPr>
      </w:pPr>
    </w:p>
    <w:p w14:paraId="53C50618" w14:textId="77777777" w:rsidR="007F7170" w:rsidRPr="001D6D10" w:rsidRDefault="007F7170" w:rsidP="00B35001">
      <w:pPr>
        <w:pStyle w:val="a0"/>
        <w:rPr>
          <w:rFonts w:hAnsi="ＭＳ 明朝"/>
          <w:sz w:val="22"/>
          <w:szCs w:val="22"/>
        </w:rPr>
      </w:pPr>
    </w:p>
    <w:p w14:paraId="4887B40A" w14:textId="77777777" w:rsidR="008B4B2B" w:rsidRPr="001D6D10" w:rsidRDefault="008B4B2B" w:rsidP="008B4B2B">
      <w:pPr>
        <w:pStyle w:val="a0"/>
        <w:rPr>
          <w:rFonts w:ascii="ＭＳ ゴシック" w:eastAsia="ＭＳ ゴシック" w:hAnsi="ＭＳ ゴシック"/>
          <w:sz w:val="22"/>
          <w:szCs w:val="22"/>
          <w:u w:val="single"/>
        </w:rPr>
      </w:pPr>
      <w:r w:rsidRPr="001D6D10">
        <w:rPr>
          <w:rFonts w:hAnsi="ＭＳ 明朝" w:hint="eastAsia"/>
          <w:sz w:val="22"/>
          <w:szCs w:val="22"/>
        </w:rPr>
        <w:lastRenderedPageBreak/>
        <w:t xml:space="preserve">　　　</w:t>
      </w:r>
      <w:r w:rsidR="00C46779" w:rsidRPr="00E0548A">
        <w:rPr>
          <w:rFonts w:asciiTheme="majorEastAsia" w:eastAsiaTheme="majorEastAsia" w:hAnsiTheme="majorEastAsia" w:hint="eastAsia"/>
          <w:sz w:val="22"/>
          <w:szCs w:val="22"/>
          <w:u w:val="single"/>
        </w:rPr>
        <w:t>４</w:t>
      </w:r>
      <w:r w:rsidRPr="001D6D10">
        <w:rPr>
          <w:rFonts w:ascii="ＭＳ ゴシック" w:eastAsia="ＭＳ ゴシック" w:hAnsi="ＭＳ ゴシック" w:hint="eastAsia"/>
          <w:sz w:val="22"/>
          <w:szCs w:val="22"/>
          <w:u w:val="single"/>
        </w:rPr>
        <w:t xml:space="preserve">　内閣総理大臣に対する応援の要求</w:t>
      </w:r>
      <w:r w:rsidRPr="001D6D10">
        <w:rPr>
          <w:rFonts w:ascii="ＭＳ ゴシック" w:eastAsia="ＭＳ ゴシック" w:hAnsi="ＭＳ ゴシック" w:hint="eastAsia"/>
          <w:sz w:val="22"/>
          <w:szCs w:val="22"/>
          <w:u w:val="single"/>
          <w:shd w:val="pct15" w:color="auto" w:fill="FFFFFF"/>
        </w:rPr>
        <w:t>【第３フェーズ～】</w:t>
      </w:r>
    </w:p>
    <w:p w14:paraId="1912BE00" w14:textId="77777777" w:rsidR="008B4B2B" w:rsidRPr="001D6D10" w:rsidRDefault="008B4B2B" w:rsidP="008B4B2B">
      <w:pPr>
        <w:pStyle w:val="a0"/>
        <w:ind w:left="884" w:hangingChars="400" w:hanging="884"/>
        <w:rPr>
          <w:rFonts w:hAnsi="ＭＳ 明朝"/>
          <w:sz w:val="22"/>
          <w:szCs w:val="22"/>
        </w:rPr>
      </w:pPr>
      <w:r w:rsidRPr="001D6D10">
        <w:rPr>
          <w:rFonts w:hAnsi="ＭＳ 明朝" w:hint="eastAsia"/>
          <w:sz w:val="22"/>
          <w:szCs w:val="22"/>
        </w:rPr>
        <w:t xml:space="preserve">　　　　　知事は、市町村に対する指示や関西広域連合からの応援、他の都道府県知事等に対する要求のみによっては災害応急対策に係る応援が円滑に実施されないと認めるときは、必要に応じ、内閣総理大臣に対し、他の都道府県知事に応援を行うよう求める。</w:t>
      </w:r>
    </w:p>
    <w:p w14:paraId="7F0FBBB8" w14:textId="77777777" w:rsidR="008B4B2B" w:rsidRPr="001D6D10" w:rsidRDefault="008B4B2B" w:rsidP="008B4B2B">
      <w:pPr>
        <w:pStyle w:val="a0"/>
        <w:ind w:left="884" w:hangingChars="400" w:hanging="884"/>
        <w:rPr>
          <w:rFonts w:hAnsi="ＭＳ 明朝"/>
          <w:sz w:val="22"/>
          <w:szCs w:val="22"/>
        </w:rPr>
      </w:pPr>
    </w:p>
    <w:p w14:paraId="19A18B1D" w14:textId="77777777" w:rsidR="008B4B2B" w:rsidRPr="001D6D10" w:rsidRDefault="00C46779" w:rsidP="008B4B2B">
      <w:pPr>
        <w:pStyle w:val="a0"/>
        <w:ind w:firstLineChars="300" w:firstLine="663"/>
        <w:rPr>
          <w:rFonts w:ascii="ＭＳ ゴシック" w:eastAsia="ＭＳ ゴシック" w:hAnsi="ＭＳ ゴシック"/>
          <w:sz w:val="22"/>
          <w:szCs w:val="22"/>
          <w:u w:val="single"/>
          <w:shd w:val="pct15" w:color="auto" w:fill="FFFFFF"/>
        </w:rPr>
      </w:pPr>
      <w:r w:rsidRPr="001D6D10">
        <w:rPr>
          <w:rFonts w:ascii="ＭＳ ゴシック" w:eastAsia="ＭＳ ゴシック" w:hAnsi="ＭＳ ゴシック" w:hint="eastAsia"/>
          <w:sz w:val="22"/>
          <w:szCs w:val="22"/>
          <w:u w:val="single"/>
        </w:rPr>
        <w:t>５</w:t>
      </w:r>
      <w:r w:rsidR="008B4B2B" w:rsidRPr="001D6D10">
        <w:rPr>
          <w:rFonts w:ascii="ＭＳ ゴシック" w:eastAsia="ＭＳ ゴシック" w:hAnsi="ＭＳ ゴシック" w:hint="eastAsia"/>
          <w:sz w:val="22"/>
          <w:szCs w:val="22"/>
          <w:u w:val="single"/>
        </w:rPr>
        <w:t xml:space="preserve">　指定行政機関等の長等に対する応援の要求等</w:t>
      </w:r>
      <w:r w:rsidR="008B4B2B" w:rsidRPr="001D6D10">
        <w:rPr>
          <w:rFonts w:ascii="ＭＳ ゴシック" w:eastAsia="ＭＳ ゴシック" w:hAnsi="ＭＳ ゴシック" w:hint="eastAsia"/>
          <w:sz w:val="22"/>
          <w:szCs w:val="22"/>
          <w:u w:val="single"/>
          <w:shd w:val="pct15" w:color="auto" w:fill="FFFFFF"/>
        </w:rPr>
        <w:t>【第３フェーズ～】</w:t>
      </w:r>
    </w:p>
    <w:p w14:paraId="6562A861" w14:textId="77777777" w:rsidR="008B4B2B" w:rsidRPr="001D6D10" w:rsidRDefault="008B4B2B" w:rsidP="008B4B2B">
      <w:pPr>
        <w:ind w:firstLineChars="500" w:firstLine="1105"/>
        <w:rPr>
          <w:rFonts w:ascii="ＭＳ ゴシック" w:eastAsia="ＭＳ ゴシック" w:hAnsi="ＭＳ ゴシック"/>
          <w:sz w:val="22"/>
          <w:szCs w:val="22"/>
          <w:bdr w:val="single" w:sz="4" w:space="0" w:color="auto"/>
        </w:rPr>
      </w:pPr>
      <w:r w:rsidRPr="001D6D10">
        <w:rPr>
          <w:rFonts w:ascii="ＭＳ ゴシック" w:eastAsia="ＭＳ ゴシック" w:hAnsi="ＭＳ ゴシック" w:hint="eastAsia"/>
          <w:sz w:val="22"/>
          <w:szCs w:val="22"/>
          <w:bdr w:val="single" w:sz="4" w:space="0" w:color="auto"/>
        </w:rPr>
        <w:t>主たる担当：災害対策課、人事課</w:t>
      </w:r>
    </w:p>
    <w:p w14:paraId="14E29112" w14:textId="77777777" w:rsidR="008B4B2B" w:rsidRPr="001D6D10" w:rsidRDefault="008B4B2B" w:rsidP="008B4B2B">
      <w:pPr>
        <w:pStyle w:val="a0"/>
        <w:ind w:left="884" w:hangingChars="400" w:hanging="884"/>
        <w:rPr>
          <w:rFonts w:hAnsi="ＭＳ 明朝"/>
          <w:sz w:val="22"/>
          <w:szCs w:val="22"/>
        </w:rPr>
      </w:pPr>
      <w:r w:rsidRPr="001D6D10">
        <w:rPr>
          <w:rFonts w:ascii="ＭＳ ゴシック" w:eastAsia="ＭＳ ゴシック" w:hAnsi="ＭＳ ゴシック" w:hint="eastAsia"/>
          <w:sz w:val="22"/>
          <w:szCs w:val="22"/>
        </w:rPr>
        <w:t xml:space="preserve">　　　　　</w:t>
      </w:r>
      <w:r w:rsidRPr="001D6D10">
        <w:rPr>
          <w:rFonts w:hAnsi="ＭＳ 明朝" w:hint="eastAsia"/>
          <w:sz w:val="22"/>
          <w:szCs w:val="22"/>
        </w:rPr>
        <w:t>知事は、災害応急対策を実施するため必要な場合、指定行政機関の長等に対し、応援を求め、または災害応急対策の実施を要請する。</w:t>
      </w:r>
    </w:p>
    <w:p w14:paraId="52E40E5E" w14:textId="77777777" w:rsidR="008B4B2B" w:rsidRPr="001D6D10" w:rsidRDefault="008B4B2B" w:rsidP="008B4B2B">
      <w:pPr>
        <w:numPr>
          <w:ilvl w:val="0"/>
          <w:numId w:val="5"/>
        </w:numPr>
        <w:rPr>
          <w:rFonts w:ascii="ＭＳ 明朝" w:hAnsi="ＭＳ 明朝"/>
          <w:sz w:val="22"/>
          <w:szCs w:val="22"/>
        </w:rPr>
      </w:pPr>
      <w:r w:rsidRPr="001D6D10">
        <w:rPr>
          <w:rFonts w:ascii="ＭＳ 明朝" w:hAnsi="ＭＳ 明朝" w:hint="eastAsia"/>
          <w:sz w:val="22"/>
          <w:szCs w:val="22"/>
        </w:rPr>
        <w:t xml:space="preserve"> 指定行政機関等の長への職員の派遣要請等</w:t>
      </w:r>
    </w:p>
    <w:p w14:paraId="12081A25" w14:textId="77777777" w:rsidR="008B4B2B" w:rsidRPr="001D6D10" w:rsidRDefault="008B4B2B" w:rsidP="008B4B2B">
      <w:pPr>
        <w:pStyle w:val="a0"/>
        <w:ind w:leftChars="520" w:left="1098" w:firstLineChars="100" w:firstLine="221"/>
        <w:rPr>
          <w:rFonts w:ascii="ＭＳ ゴシック" w:eastAsia="ＭＳ ゴシック" w:hAnsi="ＭＳ ゴシック"/>
          <w:sz w:val="22"/>
          <w:szCs w:val="22"/>
        </w:rPr>
      </w:pPr>
      <w:r w:rsidRPr="001D6D10">
        <w:rPr>
          <w:rFonts w:hAnsi="ＭＳ 明朝" w:hint="eastAsia"/>
          <w:sz w:val="22"/>
          <w:szCs w:val="22"/>
        </w:rPr>
        <w:t>災害対策課長は、災害応急対策を円滑に実施するため、指定行政機関等の長に対する職員の派遣要請、内閣総理大臣対する職員の派遣のあっせん要請を、次のとおり行う。なお、地方自治法第252条の17に基づく派遣受け入れ手続きについては、人事課が実施する。</w:t>
      </w:r>
    </w:p>
    <w:p w14:paraId="5BDFC9CB" w14:textId="77777777" w:rsidR="008B4B2B" w:rsidRPr="001D6D10" w:rsidRDefault="008B4B2B" w:rsidP="008B4B2B">
      <w:pPr>
        <w:pStyle w:val="a0"/>
        <w:numPr>
          <w:ilvl w:val="0"/>
          <w:numId w:val="6"/>
        </w:numPr>
        <w:rPr>
          <w:rFonts w:hAnsi="ＭＳ 明朝"/>
          <w:sz w:val="22"/>
          <w:szCs w:val="22"/>
        </w:rPr>
      </w:pPr>
      <w:r w:rsidRPr="001D6D10">
        <w:rPr>
          <w:rFonts w:hAnsi="ＭＳ 明朝" w:hint="eastAsia"/>
          <w:sz w:val="22"/>
          <w:szCs w:val="22"/>
        </w:rPr>
        <w:t>各部長は指定行政機関の長、指定地方行政機関の長、又は指定公共機関（特定独立行政法人に限る）他都道府県知事又は市町村長に対し、当該機関の職員の派遣を要請するときは、災害対策課長に対し、次に掲げる事項を記載した文書をもって依頼する。</w:t>
      </w:r>
    </w:p>
    <w:p w14:paraId="334D4E1C" w14:textId="77777777" w:rsidR="008B4B2B" w:rsidRPr="001D6D10" w:rsidRDefault="008B4B2B" w:rsidP="008B4B2B">
      <w:pPr>
        <w:pStyle w:val="a0"/>
        <w:ind w:firstLineChars="600" w:firstLine="1327"/>
        <w:rPr>
          <w:rFonts w:hAnsi="ＭＳ 明朝"/>
          <w:sz w:val="22"/>
          <w:szCs w:val="22"/>
        </w:rPr>
      </w:pPr>
      <w:r w:rsidRPr="001D6D10">
        <w:rPr>
          <w:rFonts w:hAnsi="ＭＳ 明朝" w:hint="eastAsia"/>
          <w:sz w:val="22"/>
          <w:szCs w:val="22"/>
        </w:rPr>
        <w:t>ア　派遣を要請する理由</w:t>
      </w:r>
    </w:p>
    <w:p w14:paraId="37BA4816" w14:textId="77777777" w:rsidR="008B4B2B" w:rsidRPr="001D6D10" w:rsidRDefault="008B4B2B" w:rsidP="008B4B2B">
      <w:pPr>
        <w:pStyle w:val="a0"/>
        <w:ind w:firstLineChars="600" w:firstLine="1327"/>
        <w:rPr>
          <w:rFonts w:hAnsi="ＭＳ 明朝"/>
          <w:sz w:val="22"/>
          <w:szCs w:val="22"/>
        </w:rPr>
      </w:pPr>
      <w:r w:rsidRPr="001D6D10">
        <w:rPr>
          <w:rFonts w:hAnsi="ＭＳ 明朝" w:hint="eastAsia"/>
          <w:sz w:val="22"/>
          <w:szCs w:val="22"/>
        </w:rPr>
        <w:t>イ　派遣を要請する職員の職種別人員数</w:t>
      </w:r>
    </w:p>
    <w:p w14:paraId="006C4B83" w14:textId="77777777" w:rsidR="008B4B2B" w:rsidRPr="001D6D10" w:rsidRDefault="008B4B2B" w:rsidP="008B4B2B">
      <w:pPr>
        <w:pStyle w:val="a0"/>
        <w:ind w:firstLineChars="600" w:firstLine="1327"/>
        <w:rPr>
          <w:rFonts w:hAnsi="ＭＳ 明朝"/>
          <w:sz w:val="22"/>
          <w:szCs w:val="22"/>
        </w:rPr>
      </w:pPr>
      <w:r w:rsidRPr="001D6D10">
        <w:rPr>
          <w:rFonts w:hAnsi="ＭＳ 明朝" w:hint="eastAsia"/>
          <w:sz w:val="22"/>
          <w:szCs w:val="22"/>
        </w:rPr>
        <w:t>ウ　派遣を必要とする期間</w:t>
      </w:r>
    </w:p>
    <w:p w14:paraId="55999A0F" w14:textId="77777777" w:rsidR="008B4B2B" w:rsidRPr="001D6D10" w:rsidRDefault="008B4B2B" w:rsidP="008B4B2B">
      <w:pPr>
        <w:pStyle w:val="a0"/>
        <w:ind w:firstLineChars="600" w:firstLine="1327"/>
        <w:rPr>
          <w:rFonts w:hAnsi="ＭＳ 明朝"/>
          <w:sz w:val="22"/>
          <w:szCs w:val="22"/>
        </w:rPr>
      </w:pPr>
      <w:r w:rsidRPr="001D6D10">
        <w:rPr>
          <w:rFonts w:hAnsi="ＭＳ 明朝" w:hint="eastAsia"/>
          <w:sz w:val="22"/>
          <w:szCs w:val="22"/>
        </w:rPr>
        <w:t>エ　派遣される職員の給与その他の勤務条件</w:t>
      </w:r>
    </w:p>
    <w:p w14:paraId="00B81782" w14:textId="77777777" w:rsidR="008B4B2B" w:rsidRPr="001D6D10" w:rsidRDefault="008B4B2B" w:rsidP="008B4B2B">
      <w:pPr>
        <w:pStyle w:val="a0"/>
        <w:ind w:firstLineChars="600" w:firstLine="1327"/>
        <w:rPr>
          <w:rFonts w:hAnsi="ＭＳ 明朝"/>
          <w:sz w:val="22"/>
          <w:szCs w:val="22"/>
        </w:rPr>
      </w:pPr>
      <w:r w:rsidRPr="001D6D10">
        <w:rPr>
          <w:rFonts w:hAnsi="ＭＳ 明朝" w:hint="eastAsia"/>
          <w:sz w:val="22"/>
          <w:szCs w:val="22"/>
        </w:rPr>
        <w:t>オ　その他、職員の派遣について必要な事項</w:t>
      </w:r>
    </w:p>
    <w:p w14:paraId="316A7DF1" w14:textId="77777777" w:rsidR="008B4B2B" w:rsidRPr="001D6D10" w:rsidRDefault="008B4B2B" w:rsidP="008B4B2B">
      <w:pPr>
        <w:pStyle w:val="a0"/>
        <w:ind w:firstLineChars="600" w:firstLine="1327"/>
        <w:rPr>
          <w:rFonts w:hAnsi="ＭＳ 明朝"/>
          <w:sz w:val="22"/>
          <w:szCs w:val="22"/>
        </w:rPr>
      </w:pPr>
    </w:p>
    <w:p w14:paraId="5D6E445E" w14:textId="77777777" w:rsidR="008B4B2B" w:rsidRPr="001D6D10" w:rsidRDefault="008B4B2B" w:rsidP="008B4B2B">
      <w:pPr>
        <w:pStyle w:val="a0"/>
        <w:numPr>
          <w:ilvl w:val="0"/>
          <w:numId w:val="6"/>
        </w:numPr>
        <w:ind w:rightChars="-108" w:right="-228"/>
        <w:rPr>
          <w:rFonts w:hAnsi="ＭＳ 明朝"/>
          <w:sz w:val="22"/>
          <w:szCs w:val="22"/>
        </w:rPr>
      </w:pPr>
      <w:r w:rsidRPr="001D6D10">
        <w:rPr>
          <w:rFonts w:hAnsi="ＭＳ 明朝" w:hint="eastAsia"/>
          <w:sz w:val="22"/>
          <w:szCs w:val="22"/>
        </w:rPr>
        <w:t>災害対策課長は、各部長から前項の依頼があった場合には、要請内容を検討の上、必要と認めるものについて、各機関の長に対して、前項の文書をもって職員の派遣を要請する（地方自治法第252条の17）。</w:t>
      </w:r>
    </w:p>
    <w:p w14:paraId="6A41A9DE" w14:textId="77777777" w:rsidR="008B4B2B" w:rsidRPr="001D6D10" w:rsidRDefault="008B4B2B" w:rsidP="008B4B2B">
      <w:pPr>
        <w:pStyle w:val="a0"/>
        <w:ind w:left="1465" w:rightChars="-108" w:right="-228"/>
        <w:rPr>
          <w:rFonts w:hAnsi="ＭＳ 明朝"/>
          <w:sz w:val="22"/>
          <w:szCs w:val="22"/>
        </w:rPr>
      </w:pPr>
    </w:p>
    <w:p w14:paraId="741E9864" w14:textId="77777777" w:rsidR="008B4B2B" w:rsidRPr="001D6D10" w:rsidRDefault="008B4B2B" w:rsidP="008B4B2B">
      <w:pPr>
        <w:pStyle w:val="a0"/>
        <w:numPr>
          <w:ilvl w:val="0"/>
          <w:numId w:val="6"/>
        </w:numPr>
        <w:ind w:rightChars="-108" w:right="-228"/>
        <w:rPr>
          <w:rFonts w:hAnsi="ＭＳ 明朝"/>
          <w:sz w:val="22"/>
          <w:szCs w:val="22"/>
        </w:rPr>
      </w:pPr>
      <w:r w:rsidRPr="001D6D10">
        <w:rPr>
          <w:rFonts w:hAnsi="ＭＳ 明朝" w:hint="eastAsia"/>
          <w:sz w:val="22"/>
          <w:szCs w:val="22"/>
        </w:rPr>
        <w:t>要請を行っても必要な職員の派遣が行われない場合において、内閣総理大臣に対し、次に掲げる事項を記載した文書をもって、職員の派遣のあっせんを求める。</w:t>
      </w:r>
    </w:p>
    <w:p w14:paraId="54C92000" w14:textId="77777777" w:rsidR="008B4B2B" w:rsidRPr="001D6D10" w:rsidRDefault="008B4B2B" w:rsidP="008B4B2B">
      <w:pPr>
        <w:pStyle w:val="a0"/>
        <w:ind w:firstLineChars="600" w:firstLine="1327"/>
        <w:rPr>
          <w:rFonts w:hAnsi="ＭＳ 明朝"/>
          <w:sz w:val="22"/>
          <w:szCs w:val="22"/>
        </w:rPr>
      </w:pPr>
      <w:r w:rsidRPr="001D6D10">
        <w:rPr>
          <w:rFonts w:hAnsi="ＭＳ 明朝" w:hint="eastAsia"/>
          <w:sz w:val="22"/>
          <w:szCs w:val="22"/>
        </w:rPr>
        <w:t>ア　派遣のあっせんを求める理由</w:t>
      </w:r>
    </w:p>
    <w:p w14:paraId="42DD7A97" w14:textId="77777777" w:rsidR="008B4B2B" w:rsidRPr="001D6D10" w:rsidRDefault="008B4B2B" w:rsidP="008B4B2B">
      <w:pPr>
        <w:pStyle w:val="a0"/>
        <w:ind w:firstLineChars="600" w:firstLine="1327"/>
        <w:rPr>
          <w:rFonts w:hAnsi="ＭＳ 明朝"/>
          <w:sz w:val="22"/>
          <w:szCs w:val="22"/>
        </w:rPr>
      </w:pPr>
      <w:r w:rsidRPr="001D6D10">
        <w:rPr>
          <w:rFonts w:hAnsi="ＭＳ 明朝" w:hint="eastAsia"/>
          <w:sz w:val="22"/>
          <w:szCs w:val="22"/>
        </w:rPr>
        <w:t>イ　派遣のあっせんを求める職員の職種別人員数</w:t>
      </w:r>
    </w:p>
    <w:p w14:paraId="45B4BD7C" w14:textId="77777777" w:rsidR="008B4B2B" w:rsidRPr="001D6D10" w:rsidRDefault="008B4B2B" w:rsidP="008B4B2B">
      <w:pPr>
        <w:pStyle w:val="a0"/>
        <w:ind w:firstLineChars="600" w:firstLine="1327"/>
        <w:rPr>
          <w:rFonts w:hAnsi="ＭＳ 明朝"/>
          <w:sz w:val="22"/>
          <w:szCs w:val="22"/>
        </w:rPr>
      </w:pPr>
      <w:r w:rsidRPr="001D6D10">
        <w:rPr>
          <w:rFonts w:hAnsi="ＭＳ 明朝" w:hint="eastAsia"/>
          <w:sz w:val="22"/>
          <w:szCs w:val="22"/>
        </w:rPr>
        <w:t>ウ　派遣のあっせんを必要とする期間</w:t>
      </w:r>
    </w:p>
    <w:p w14:paraId="41D61497" w14:textId="77777777" w:rsidR="008B4B2B" w:rsidRPr="001D6D10" w:rsidRDefault="008B4B2B" w:rsidP="008B4B2B">
      <w:pPr>
        <w:pStyle w:val="a0"/>
        <w:ind w:firstLineChars="600" w:firstLine="1327"/>
        <w:rPr>
          <w:rFonts w:hAnsi="ＭＳ 明朝"/>
          <w:sz w:val="22"/>
          <w:szCs w:val="22"/>
        </w:rPr>
      </w:pPr>
      <w:r w:rsidRPr="001D6D10">
        <w:rPr>
          <w:rFonts w:hAnsi="ＭＳ 明朝" w:hint="eastAsia"/>
          <w:sz w:val="22"/>
          <w:szCs w:val="22"/>
        </w:rPr>
        <w:t>エ　派遣される職員の給与その他の勤務条件</w:t>
      </w:r>
    </w:p>
    <w:p w14:paraId="4CE0B6D4" w14:textId="77777777" w:rsidR="008B4B2B" w:rsidRPr="001D6D10" w:rsidRDefault="008B4B2B" w:rsidP="008B4B2B">
      <w:pPr>
        <w:pStyle w:val="a0"/>
        <w:ind w:firstLineChars="600" w:firstLine="1327"/>
        <w:rPr>
          <w:rFonts w:hAnsi="ＭＳ 明朝"/>
          <w:sz w:val="22"/>
          <w:szCs w:val="22"/>
        </w:rPr>
      </w:pPr>
      <w:r w:rsidRPr="001D6D10">
        <w:rPr>
          <w:rFonts w:hAnsi="ＭＳ 明朝" w:hint="eastAsia"/>
          <w:sz w:val="22"/>
          <w:szCs w:val="22"/>
        </w:rPr>
        <w:t>オ　その他、職員の派遣のあっせんについて必要な事項</w:t>
      </w:r>
    </w:p>
    <w:p w14:paraId="63D2B1EA" w14:textId="77777777" w:rsidR="008B4B2B" w:rsidRPr="001D6D10" w:rsidRDefault="008B4B2B" w:rsidP="008B4B2B">
      <w:pPr>
        <w:pStyle w:val="a0"/>
        <w:ind w:firstLineChars="600" w:firstLine="1327"/>
        <w:rPr>
          <w:rFonts w:hAnsi="ＭＳ 明朝"/>
          <w:sz w:val="22"/>
          <w:szCs w:val="22"/>
        </w:rPr>
      </w:pPr>
    </w:p>
    <w:p w14:paraId="2500421D" w14:textId="77777777" w:rsidR="008B4B2B" w:rsidRPr="001D6D10" w:rsidRDefault="008B4B2B" w:rsidP="008B4B2B">
      <w:pPr>
        <w:pStyle w:val="a0"/>
        <w:ind w:firstLineChars="400" w:firstLine="884"/>
        <w:rPr>
          <w:rFonts w:hAnsi="ＭＳ 明朝"/>
          <w:sz w:val="22"/>
          <w:szCs w:val="22"/>
        </w:rPr>
      </w:pPr>
      <w:r w:rsidRPr="001D6D10">
        <w:rPr>
          <w:rFonts w:hAnsi="ＭＳ 明朝" w:hint="eastAsia"/>
          <w:sz w:val="22"/>
          <w:szCs w:val="22"/>
        </w:rPr>
        <w:lastRenderedPageBreak/>
        <w:t>(2) 指定（地方）行政機関の長への措置要請</w:t>
      </w:r>
    </w:p>
    <w:p w14:paraId="15F51FCA" w14:textId="77777777" w:rsidR="008B4B2B" w:rsidRPr="00E0548A" w:rsidRDefault="008B4B2B" w:rsidP="008B4B2B">
      <w:pPr>
        <w:pStyle w:val="a0"/>
        <w:ind w:leftChars="472" w:left="996" w:firstLineChars="139" w:firstLine="307"/>
        <w:rPr>
          <w:rFonts w:hAnsi="ＭＳ 明朝"/>
          <w:sz w:val="22"/>
          <w:szCs w:val="22"/>
        </w:rPr>
      </w:pPr>
      <w:r w:rsidRPr="001D6D10">
        <w:rPr>
          <w:rFonts w:hAnsi="ＭＳ 明朝" w:hint="eastAsia"/>
          <w:sz w:val="22"/>
          <w:szCs w:val="22"/>
        </w:rPr>
        <w:t>災対本部（事務局）は、消防庁（国民保護・防災部）を通じて、指定（地方）行</w:t>
      </w:r>
      <w:r w:rsidRPr="00E0548A">
        <w:rPr>
          <w:rFonts w:hAnsi="ＭＳ 明朝" w:hint="eastAsia"/>
          <w:sz w:val="22"/>
          <w:szCs w:val="22"/>
        </w:rPr>
        <w:t>政機関の長に対し、その所掌事務に係る災害応急対策の実施に関し必要な要請を、次に掲げる事項を記載した文書をもって行う。</w:t>
      </w:r>
    </w:p>
    <w:p w14:paraId="77D14645" w14:textId="77777777" w:rsidR="008B4B2B" w:rsidRPr="00E0548A" w:rsidRDefault="008B4B2B" w:rsidP="008B4B2B">
      <w:pPr>
        <w:pStyle w:val="a0"/>
        <w:ind w:firstLineChars="600" w:firstLine="1327"/>
        <w:rPr>
          <w:rFonts w:hAnsi="ＭＳ 明朝"/>
          <w:sz w:val="22"/>
          <w:szCs w:val="22"/>
        </w:rPr>
      </w:pPr>
      <w:r w:rsidRPr="00E0548A">
        <w:rPr>
          <w:rFonts w:hAnsi="ＭＳ 明朝" w:hint="eastAsia"/>
          <w:sz w:val="22"/>
          <w:szCs w:val="22"/>
        </w:rPr>
        <w:t>ア　要請する理由、イ　要請する活動の内容</w:t>
      </w:r>
    </w:p>
    <w:p w14:paraId="3281C69E" w14:textId="77777777" w:rsidR="008B4B2B" w:rsidRPr="00E0548A" w:rsidRDefault="008B4B2B" w:rsidP="008B4B2B">
      <w:pPr>
        <w:pStyle w:val="a0"/>
        <w:ind w:firstLineChars="600" w:firstLine="1327"/>
        <w:rPr>
          <w:rFonts w:hAnsi="ＭＳ 明朝"/>
          <w:sz w:val="22"/>
          <w:szCs w:val="22"/>
        </w:rPr>
      </w:pPr>
      <w:r w:rsidRPr="00E0548A">
        <w:rPr>
          <w:rFonts w:hAnsi="ＭＳ 明朝" w:hint="eastAsia"/>
          <w:sz w:val="22"/>
          <w:szCs w:val="22"/>
        </w:rPr>
        <w:t>ウ　要請する活動の時期、エ　その他の必要な事項</w:t>
      </w:r>
    </w:p>
    <w:p w14:paraId="37AD777C" w14:textId="0468781F" w:rsidR="008C596E" w:rsidRPr="00E0548A" w:rsidRDefault="008C596E" w:rsidP="004E3557">
      <w:pPr>
        <w:pStyle w:val="a0"/>
        <w:rPr>
          <w:rFonts w:hAnsi="ＭＳ 明朝"/>
          <w:sz w:val="22"/>
          <w:szCs w:val="22"/>
        </w:rPr>
      </w:pPr>
    </w:p>
    <w:p w14:paraId="1B3DC22B" w14:textId="5B018E77" w:rsidR="00454723" w:rsidRPr="00E0548A" w:rsidRDefault="004E3557" w:rsidP="00E0548A">
      <w:pPr>
        <w:pStyle w:val="a0"/>
        <w:ind w:firstLineChars="200" w:firstLine="442"/>
        <w:rPr>
          <w:rFonts w:ascii="ＭＳ ゴシック" w:eastAsia="ＭＳ ゴシック" w:hAnsi="ＭＳ ゴシック"/>
          <w:sz w:val="22"/>
          <w:szCs w:val="22"/>
          <w:u w:val="single"/>
          <w:shd w:val="pct15" w:color="auto" w:fill="FFFFFF"/>
        </w:rPr>
      </w:pPr>
      <w:r w:rsidRPr="00E0548A">
        <w:rPr>
          <w:rFonts w:ascii="ＭＳ ゴシック" w:eastAsia="ＭＳ ゴシック" w:hAnsi="ＭＳ ゴシック" w:hint="eastAsia"/>
          <w:sz w:val="22"/>
          <w:szCs w:val="22"/>
          <w:u w:val="single"/>
        </w:rPr>
        <w:t>６　各応援機関等の活動スペースや宿泊場所の確保等</w:t>
      </w:r>
      <w:r w:rsidRPr="00E0548A">
        <w:rPr>
          <w:rFonts w:ascii="ＭＳ ゴシック" w:eastAsia="ＭＳ ゴシック" w:hAnsi="ＭＳ ゴシック" w:hint="eastAsia"/>
          <w:sz w:val="22"/>
          <w:szCs w:val="22"/>
          <w:u w:val="single"/>
          <w:shd w:val="pct15" w:color="auto" w:fill="FFFFFF"/>
        </w:rPr>
        <w:t>【第１フェーズ～】</w:t>
      </w:r>
    </w:p>
    <w:p w14:paraId="7E18D283" w14:textId="5D9A8895" w:rsidR="00454723" w:rsidRPr="00E0548A" w:rsidRDefault="00454723" w:rsidP="00E0548A">
      <w:pPr>
        <w:pStyle w:val="a0"/>
        <w:ind w:leftChars="403" w:left="1134" w:hangingChars="128" w:hanging="283"/>
        <w:rPr>
          <w:rFonts w:hAnsi="ＭＳ 明朝"/>
          <w:sz w:val="22"/>
          <w:szCs w:val="22"/>
        </w:rPr>
      </w:pPr>
      <w:r w:rsidRPr="00E0548A">
        <w:rPr>
          <w:rFonts w:hAnsi="ＭＳ 明朝" w:hint="eastAsia"/>
          <w:sz w:val="22"/>
          <w:szCs w:val="22"/>
        </w:rPr>
        <w:t>(1)　災</w:t>
      </w:r>
      <w:r w:rsidR="00B03381" w:rsidRPr="00E0548A">
        <w:rPr>
          <w:rFonts w:hAnsi="ＭＳ 明朝" w:hint="eastAsia"/>
          <w:sz w:val="22"/>
          <w:szCs w:val="22"/>
        </w:rPr>
        <w:t>害対策課長</w:t>
      </w:r>
      <w:r w:rsidR="004E3557" w:rsidRPr="00E0548A">
        <w:rPr>
          <w:rFonts w:hAnsi="ＭＳ 明朝" w:hint="eastAsia"/>
          <w:sz w:val="22"/>
          <w:szCs w:val="22"/>
        </w:rPr>
        <w:t>は、関西広域連合、国及</w:t>
      </w:r>
      <w:r w:rsidR="00E012A7" w:rsidRPr="00E0548A">
        <w:rPr>
          <w:rFonts w:hAnsi="ＭＳ 明朝" w:hint="eastAsia"/>
          <w:sz w:val="22"/>
          <w:szCs w:val="22"/>
        </w:rPr>
        <w:t>び</w:t>
      </w:r>
      <w:r w:rsidR="004E3557" w:rsidRPr="00E0548A">
        <w:rPr>
          <w:rFonts w:hAnsi="ＭＳ 明朝" w:hint="eastAsia"/>
          <w:sz w:val="22"/>
          <w:szCs w:val="22"/>
        </w:rPr>
        <w:t>関係機関等からのリエゾン・応援職員の受入れのため、新別館</w:t>
      </w:r>
      <w:r w:rsidR="001A5AE4" w:rsidRPr="00E0548A">
        <w:rPr>
          <w:rFonts w:hAnsi="ＭＳ 明朝" w:hint="eastAsia"/>
          <w:sz w:val="22"/>
          <w:szCs w:val="22"/>
        </w:rPr>
        <w:t>北館</w:t>
      </w:r>
      <w:r w:rsidR="006F7044" w:rsidRPr="00E0548A">
        <w:rPr>
          <w:rFonts w:hAnsi="ＭＳ 明朝" w:hint="eastAsia"/>
          <w:sz w:val="22"/>
          <w:szCs w:val="22"/>
        </w:rPr>
        <w:t>２</w:t>
      </w:r>
      <w:r w:rsidR="004E3557" w:rsidRPr="00E0548A">
        <w:rPr>
          <w:rFonts w:hAnsi="ＭＳ 明朝"/>
          <w:sz w:val="22"/>
          <w:szCs w:val="22"/>
        </w:rPr>
        <w:t>階危機管理センター</w:t>
      </w:r>
      <w:r w:rsidR="006F7044" w:rsidRPr="00E0548A">
        <w:rPr>
          <w:rFonts w:hAnsi="ＭＳ 明朝" w:hint="eastAsia"/>
          <w:sz w:val="22"/>
          <w:szCs w:val="22"/>
        </w:rPr>
        <w:t>Ｂ</w:t>
      </w:r>
      <w:r w:rsidR="004E3557" w:rsidRPr="00E0548A">
        <w:rPr>
          <w:rFonts w:hAnsi="ＭＳ 明朝"/>
          <w:sz w:val="22"/>
          <w:szCs w:val="22"/>
        </w:rPr>
        <w:t>及び新別館北館４階多目的スペース等に受入スペースを確保する。</w:t>
      </w:r>
    </w:p>
    <w:p w14:paraId="727434F0" w14:textId="07C3D155" w:rsidR="00454723" w:rsidRPr="00E0548A" w:rsidRDefault="00454723" w:rsidP="00E0548A">
      <w:pPr>
        <w:pStyle w:val="a0"/>
        <w:ind w:leftChars="403" w:left="1134" w:hangingChars="128" w:hanging="283"/>
        <w:rPr>
          <w:rFonts w:hAnsi="ＭＳ 明朝"/>
          <w:sz w:val="22"/>
          <w:szCs w:val="22"/>
        </w:rPr>
      </w:pPr>
      <w:r w:rsidRPr="00E0548A">
        <w:rPr>
          <w:rFonts w:hAnsi="ＭＳ 明朝" w:hint="eastAsia"/>
          <w:sz w:val="22"/>
          <w:szCs w:val="22"/>
        </w:rPr>
        <w:t xml:space="preserve">(2)　</w:t>
      </w:r>
      <w:r w:rsidR="004E3557" w:rsidRPr="00E0548A">
        <w:rPr>
          <w:rFonts w:hAnsi="ＭＳ 明朝"/>
          <w:sz w:val="22"/>
          <w:szCs w:val="22"/>
        </w:rPr>
        <w:t>応援側に宿泊場所の確保を要請した上で、確保できない場合の宿泊場所として、庁内の会議室等を提供する。また、庁内の会議室等だけで宿泊場所が不足する場合は</w:t>
      </w:r>
      <w:r w:rsidR="006F7044" w:rsidRPr="00E0548A">
        <w:rPr>
          <w:rFonts w:hAnsi="ＭＳ 明朝" w:hint="eastAsia"/>
          <w:sz w:val="22"/>
          <w:szCs w:val="22"/>
        </w:rPr>
        <w:t>民間の宿泊施設等も</w:t>
      </w:r>
      <w:r w:rsidR="004E3557" w:rsidRPr="00E0548A">
        <w:rPr>
          <w:rFonts w:hAnsi="ＭＳ 明朝"/>
          <w:sz w:val="22"/>
          <w:szCs w:val="22"/>
        </w:rPr>
        <w:t>活用する。</w:t>
      </w:r>
    </w:p>
    <w:p w14:paraId="745ED296" w14:textId="2A1DD418" w:rsidR="004E3557" w:rsidRPr="00E0548A" w:rsidRDefault="00454723" w:rsidP="00E0548A">
      <w:pPr>
        <w:pStyle w:val="a0"/>
        <w:ind w:leftChars="403" w:left="1134" w:hangingChars="128" w:hanging="283"/>
        <w:rPr>
          <w:rFonts w:hAnsi="ＭＳ 明朝"/>
          <w:sz w:val="22"/>
          <w:szCs w:val="22"/>
        </w:rPr>
      </w:pPr>
      <w:r w:rsidRPr="00E0548A">
        <w:rPr>
          <w:rFonts w:hAnsi="ＭＳ 明朝" w:hint="eastAsia"/>
          <w:sz w:val="22"/>
          <w:szCs w:val="22"/>
        </w:rPr>
        <w:t xml:space="preserve">(3)　</w:t>
      </w:r>
      <w:r w:rsidR="004E3557" w:rsidRPr="00E0548A">
        <w:rPr>
          <w:rFonts w:hAnsi="ＭＳ 明朝"/>
          <w:sz w:val="22"/>
          <w:szCs w:val="22"/>
        </w:rPr>
        <w:t>応援職員の宿泊場所から勤務場所までの移動手段の確保に努める。</w:t>
      </w:r>
    </w:p>
    <w:p w14:paraId="0F7D49D7" w14:textId="58DDC559" w:rsidR="00D93C38" w:rsidRDefault="00D93C38">
      <w:pPr>
        <w:widowControl/>
        <w:jc w:val="left"/>
        <w:rPr>
          <w:rFonts w:ascii="ＭＳ 明朝" w:hAnsi="ＭＳ 明朝" w:cs="Courier New"/>
          <w:sz w:val="22"/>
          <w:szCs w:val="22"/>
        </w:rPr>
      </w:pPr>
      <w:r>
        <w:rPr>
          <w:rFonts w:hAnsi="ＭＳ 明朝"/>
          <w:sz w:val="22"/>
          <w:szCs w:val="22"/>
        </w:rPr>
        <w:br w:type="page"/>
      </w:r>
    </w:p>
    <w:p w14:paraId="14CDB2F5" w14:textId="3AEF5EEB" w:rsidR="008B4B2B" w:rsidRPr="001D6D10" w:rsidRDefault="008B4B2B" w:rsidP="0099357C">
      <w:pPr>
        <w:pStyle w:val="a0"/>
        <w:ind w:firstLineChars="200" w:firstLine="442"/>
        <w:outlineLvl w:val="2"/>
        <w:rPr>
          <w:rFonts w:ascii="ＭＳ ゴシック" w:eastAsia="ＭＳ ゴシック" w:hAnsi="ＭＳ ゴシック"/>
          <w:sz w:val="22"/>
          <w:szCs w:val="22"/>
          <w:u w:val="double"/>
        </w:rPr>
      </w:pPr>
      <w:bookmarkStart w:id="171" w:name="_Toc122436906"/>
      <w:bookmarkStart w:id="172" w:name="_Toc222486589"/>
      <w:bookmarkStart w:id="173" w:name="_Toc242870259"/>
      <w:r w:rsidRPr="001D6D10">
        <w:rPr>
          <w:rFonts w:ascii="ＭＳ ゴシック" w:eastAsia="ＭＳ ゴシック" w:hAnsi="ＭＳ ゴシック" w:hint="eastAsia"/>
          <w:sz w:val="22"/>
          <w:szCs w:val="22"/>
          <w:u w:val="double"/>
        </w:rPr>
        <w:lastRenderedPageBreak/>
        <w:t>第２　市町村への職員派遣</w:t>
      </w:r>
      <w:r w:rsidRPr="001D6D10">
        <w:rPr>
          <w:rFonts w:ascii="ＭＳ ゴシック" w:eastAsia="ＭＳ ゴシック" w:hAnsi="ＭＳ ゴシック" w:hint="eastAsia"/>
          <w:sz w:val="22"/>
          <w:szCs w:val="22"/>
          <w:u w:val="double"/>
          <w:shd w:val="pct15" w:color="auto" w:fill="FFFFFF"/>
        </w:rPr>
        <w:t>【第１フェーズ～】</w:t>
      </w:r>
      <w:bookmarkEnd w:id="171"/>
      <w:bookmarkEnd w:id="172"/>
      <w:bookmarkEnd w:id="173"/>
    </w:p>
    <w:p w14:paraId="32570B7D" w14:textId="77777777" w:rsidR="008B4B2B" w:rsidRPr="001D6D10" w:rsidRDefault="008B4B2B" w:rsidP="008B4B2B">
      <w:pPr>
        <w:ind w:firstLineChars="500" w:firstLine="1105"/>
        <w:rPr>
          <w:rFonts w:ascii="ＭＳ ゴシック" w:eastAsia="ＭＳ ゴシック" w:hAnsi="ＭＳ ゴシック"/>
          <w:sz w:val="22"/>
          <w:szCs w:val="22"/>
          <w:bdr w:val="single" w:sz="4" w:space="0" w:color="auto"/>
        </w:rPr>
      </w:pPr>
      <w:r w:rsidRPr="001D6D10">
        <w:rPr>
          <w:rFonts w:ascii="ＭＳ ゴシック" w:eastAsia="ＭＳ ゴシック" w:hAnsi="ＭＳ ゴシック" w:hint="eastAsia"/>
          <w:sz w:val="22"/>
          <w:szCs w:val="22"/>
          <w:bdr w:val="single" w:sz="4" w:space="0" w:color="auto"/>
        </w:rPr>
        <w:t>主たる担当：人事課、危機管理室</w:t>
      </w:r>
    </w:p>
    <w:p w14:paraId="506093E0" w14:textId="77777777" w:rsidR="008B4B2B" w:rsidRPr="001D6D10" w:rsidRDefault="008B4B2B" w:rsidP="008B4B2B">
      <w:pPr>
        <w:rPr>
          <w:rFonts w:ascii="ＭＳ ゴシック" w:eastAsia="ＭＳ ゴシック" w:hAnsi="ＭＳ ゴシック"/>
          <w:sz w:val="22"/>
          <w:szCs w:val="22"/>
          <w:bdr w:val="single" w:sz="4" w:space="0" w:color="auto"/>
        </w:rPr>
      </w:pPr>
    </w:p>
    <w:p w14:paraId="2415CD92" w14:textId="77777777" w:rsidR="008B4B2B" w:rsidRPr="00E0548A" w:rsidRDefault="008B4B2B" w:rsidP="008B4B2B">
      <w:pPr>
        <w:rPr>
          <w:rFonts w:ascii="ＭＳ ゴシック" w:eastAsia="ＭＳ ゴシック" w:hAnsi="ＭＳ ゴシック"/>
          <w:sz w:val="22"/>
          <w:szCs w:val="22"/>
          <w:u w:val="single"/>
        </w:rPr>
      </w:pPr>
      <w:r w:rsidRPr="001D6D10">
        <w:rPr>
          <w:rFonts w:ascii="ＭＳ ゴシック" w:eastAsia="ＭＳ ゴシック" w:hAnsi="ＭＳ ゴシック" w:hint="eastAsia"/>
          <w:sz w:val="22"/>
          <w:szCs w:val="22"/>
        </w:rPr>
        <w:t xml:space="preserve">　　　</w:t>
      </w:r>
      <w:r w:rsidRPr="00E0548A">
        <w:rPr>
          <w:rFonts w:ascii="ＭＳ ゴシック" w:eastAsia="ＭＳ ゴシック" w:hAnsi="ＭＳ ゴシック" w:hint="eastAsia"/>
          <w:sz w:val="22"/>
          <w:szCs w:val="22"/>
          <w:u w:val="single"/>
        </w:rPr>
        <w:t>１　職員派遣の分類</w:t>
      </w:r>
    </w:p>
    <w:tbl>
      <w:tblPr>
        <w:tblStyle w:val="ab"/>
        <w:tblW w:w="10352" w:type="dxa"/>
        <w:tblInd w:w="-605" w:type="dxa"/>
        <w:tblLook w:val="04A0" w:firstRow="1" w:lastRow="0" w:firstColumn="1" w:lastColumn="0" w:noHBand="0" w:noVBand="1"/>
      </w:tblPr>
      <w:tblGrid>
        <w:gridCol w:w="761"/>
        <w:gridCol w:w="1664"/>
        <w:gridCol w:w="1134"/>
        <w:gridCol w:w="842"/>
        <w:gridCol w:w="1116"/>
        <w:gridCol w:w="1527"/>
        <w:gridCol w:w="3308"/>
      </w:tblGrid>
      <w:tr w:rsidR="001D6D10" w:rsidRPr="001D6D10" w14:paraId="7363B80B" w14:textId="77777777" w:rsidTr="00C45231">
        <w:trPr>
          <w:cantSplit/>
          <w:trHeight w:val="1263"/>
        </w:trPr>
        <w:tc>
          <w:tcPr>
            <w:tcW w:w="567" w:type="dxa"/>
            <w:textDirection w:val="tbRlV"/>
            <w:vAlign w:val="center"/>
          </w:tcPr>
          <w:p w14:paraId="737C21AB" w14:textId="77777777" w:rsidR="008B4B2B" w:rsidRPr="001D6D10" w:rsidRDefault="008B4B2B" w:rsidP="008B4B2B">
            <w:pPr>
              <w:spacing w:line="0" w:lineRule="atLeast"/>
              <w:ind w:left="113" w:right="113"/>
              <w:jc w:val="center"/>
              <w:rPr>
                <w:rFonts w:asciiTheme="minorEastAsia" w:eastAsiaTheme="minorEastAsia" w:hAnsiTheme="minorEastAsia"/>
                <w:sz w:val="20"/>
                <w:szCs w:val="20"/>
              </w:rPr>
            </w:pPr>
            <w:r w:rsidRPr="001D6D10">
              <w:rPr>
                <w:rFonts w:asciiTheme="minorEastAsia" w:eastAsiaTheme="minorEastAsia" w:hAnsiTheme="minorEastAsia" w:hint="eastAsia"/>
                <w:sz w:val="20"/>
                <w:szCs w:val="20"/>
              </w:rPr>
              <w:t>分類</w:t>
            </w:r>
          </w:p>
          <w:p w14:paraId="7C248FD5" w14:textId="77777777" w:rsidR="008B4B2B" w:rsidRPr="001D6D10" w:rsidRDefault="008B4B2B" w:rsidP="008B4B2B">
            <w:pPr>
              <w:spacing w:line="0" w:lineRule="atLeast"/>
              <w:ind w:left="113" w:right="113"/>
              <w:jc w:val="center"/>
              <w:rPr>
                <w:rFonts w:asciiTheme="minorEastAsia" w:eastAsiaTheme="minorEastAsia" w:hAnsiTheme="minorEastAsia"/>
                <w:sz w:val="20"/>
                <w:szCs w:val="20"/>
              </w:rPr>
            </w:pPr>
            <w:r w:rsidRPr="001D6D10">
              <w:rPr>
                <w:rFonts w:asciiTheme="minorEastAsia" w:eastAsiaTheme="minorEastAsia" w:hAnsiTheme="minorEastAsia" w:hint="eastAsia"/>
                <w:kern w:val="0"/>
                <w:sz w:val="20"/>
                <w:szCs w:val="20"/>
              </w:rPr>
              <w:t xml:space="preserve">　（※</w:t>
            </w:r>
            <w:r w:rsidR="00C45231" w:rsidRPr="001D6D10">
              <w:rPr>
                <w:rFonts w:asciiTheme="minorEastAsia" w:eastAsiaTheme="minorEastAsia" w:hAnsiTheme="minorEastAsia" w:hint="eastAsia"/>
                <w:kern w:val="0"/>
                <w:sz w:val="20"/>
                <w:szCs w:val="20"/>
              </w:rPr>
              <w:t>１）</w:t>
            </w:r>
            <w:r w:rsidRPr="001D6D10">
              <w:rPr>
                <w:rFonts w:asciiTheme="minorEastAsia" w:eastAsiaTheme="minorEastAsia" w:hAnsiTheme="minorEastAsia" w:hint="eastAsia"/>
                <w:kern w:val="0"/>
                <w:sz w:val="20"/>
                <w:szCs w:val="20"/>
              </w:rPr>
              <w:t>１）</w:t>
            </w:r>
          </w:p>
        </w:tc>
        <w:tc>
          <w:tcPr>
            <w:tcW w:w="1702" w:type="dxa"/>
            <w:vAlign w:val="center"/>
          </w:tcPr>
          <w:p w14:paraId="21AEE22E" w14:textId="77777777" w:rsidR="008B4B2B" w:rsidRPr="001D6D10" w:rsidRDefault="008B4B2B" w:rsidP="008B4B2B">
            <w:pPr>
              <w:spacing w:line="0" w:lineRule="atLeast"/>
              <w:jc w:val="center"/>
              <w:rPr>
                <w:rFonts w:asciiTheme="minorEastAsia" w:eastAsiaTheme="minorEastAsia" w:hAnsiTheme="minorEastAsia"/>
                <w:sz w:val="20"/>
                <w:szCs w:val="20"/>
              </w:rPr>
            </w:pPr>
            <w:r w:rsidRPr="001D6D10">
              <w:rPr>
                <w:rFonts w:asciiTheme="minorEastAsia" w:eastAsiaTheme="minorEastAsia" w:hAnsiTheme="minorEastAsia" w:hint="eastAsia"/>
                <w:sz w:val="20"/>
                <w:szCs w:val="20"/>
              </w:rPr>
              <w:t>名称</w:t>
            </w:r>
          </w:p>
        </w:tc>
        <w:tc>
          <w:tcPr>
            <w:tcW w:w="1134" w:type="dxa"/>
            <w:vAlign w:val="center"/>
          </w:tcPr>
          <w:p w14:paraId="4D27C5AB" w14:textId="77777777" w:rsidR="008B4B2B" w:rsidRPr="001D6D10" w:rsidRDefault="008B4B2B" w:rsidP="008B4B2B">
            <w:pPr>
              <w:spacing w:line="0" w:lineRule="atLeast"/>
              <w:jc w:val="center"/>
              <w:rPr>
                <w:rFonts w:asciiTheme="minorEastAsia" w:eastAsiaTheme="minorEastAsia" w:hAnsiTheme="minorEastAsia"/>
                <w:sz w:val="20"/>
                <w:szCs w:val="20"/>
              </w:rPr>
            </w:pPr>
            <w:r w:rsidRPr="001D6D10">
              <w:rPr>
                <w:rFonts w:asciiTheme="minorEastAsia" w:eastAsiaTheme="minorEastAsia" w:hAnsiTheme="minorEastAsia" w:hint="eastAsia"/>
                <w:w w:val="90"/>
                <w:kern w:val="0"/>
                <w:sz w:val="20"/>
                <w:szCs w:val="20"/>
                <w:fitText w:val="905" w:id="-1954281216"/>
              </w:rPr>
              <w:t>派遣時期</w:t>
            </w:r>
            <w:r w:rsidRPr="001D6D10">
              <w:rPr>
                <w:rFonts w:asciiTheme="minorEastAsia" w:eastAsiaTheme="minorEastAsia" w:hAnsiTheme="minorEastAsia" w:hint="eastAsia"/>
                <w:spacing w:val="3"/>
                <w:w w:val="90"/>
                <w:kern w:val="0"/>
                <w:sz w:val="20"/>
                <w:szCs w:val="20"/>
                <w:fitText w:val="905" w:id="-1954281216"/>
              </w:rPr>
              <w:t>・</w:t>
            </w:r>
          </w:p>
          <w:p w14:paraId="09D70B7D" w14:textId="77777777" w:rsidR="008B4B2B" w:rsidRPr="001D6D10" w:rsidRDefault="008B4B2B" w:rsidP="008B4B2B">
            <w:pPr>
              <w:spacing w:line="0" w:lineRule="atLeast"/>
              <w:jc w:val="center"/>
              <w:rPr>
                <w:rFonts w:asciiTheme="minorEastAsia" w:eastAsiaTheme="minorEastAsia" w:hAnsiTheme="minorEastAsia"/>
                <w:sz w:val="20"/>
                <w:szCs w:val="20"/>
              </w:rPr>
            </w:pPr>
            <w:r w:rsidRPr="001D6D10">
              <w:rPr>
                <w:rFonts w:asciiTheme="minorEastAsia" w:eastAsiaTheme="minorEastAsia" w:hAnsiTheme="minorEastAsia" w:hint="eastAsia"/>
                <w:sz w:val="20"/>
                <w:szCs w:val="20"/>
              </w:rPr>
              <w:t>期間</w:t>
            </w:r>
          </w:p>
          <w:p w14:paraId="19E07023" w14:textId="77777777" w:rsidR="008B4B2B" w:rsidRPr="001D6D10" w:rsidRDefault="008B4B2B" w:rsidP="008B4B2B">
            <w:pPr>
              <w:spacing w:line="0" w:lineRule="atLeast"/>
              <w:jc w:val="center"/>
              <w:rPr>
                <w:rFonts w:asciiTheme="minorEastAsia" w:eastAsiaTheme="minorEastAsia" w:hAnsiTheme="minorEastAsia"/>
                <w:sz w:val="20"/>
                <w:szCs w:val="20"/>
              </w:rPr>
            </w:pPr>
            <w:r w:rsidRPr="001D6D10">
              <w:rPr>
                <w:rFonts w:asciiTheme="minorEastAsia" w:eastAsiaTheme="minorEastAsia" w:hAnsiTheme="minorEastAsia" w:hint="eastAsia"/>
                <w:sz w:val="20"/>
                <w:szCs w:val="20"/>
              </w:rPr>
              <w:t>（※2）</w:t>
            </w:r>
          </w:p>
        </w:tc>
        <w:tc>
          <w:tcPr>
            <w:tcW w:w="850" w:type="dxa"/>
            <w:vAlign w:val="center"/>
          </w:tcPr>
          <w:p w14:paraId="523AAB42" w14:textId="77777777" w:rsidR="008B4B2B" w:rsidRPr="001D6D10" w:rsidRDefault="008B4B2B" w:rsidP="008B4B2B">
            <w:pPr>
              <w:spacing w:line="0" w:lineRule="atLeast"/>
              <w:jc w:val="center"/>
              <w:rPr>
                <w:rFonts w:asciiTheme="minorEastAsia" w:eastAsiaTheme="minorEastAsia" w:hAnsiTheme="minorEastAsia"/>
                <w:sz w:val="20"/>
                <w:szCs w:val="20"/>
              </w:rPr>
            </w:pPr>
            <w:r w:rsidRPr="001D6D10">
              <w:rPr>
                <w:rFonts w:asciiTheme="minorEastAsia" w:eastAsiaTheme="minorEastAsia" w:hAnsiTheme="minorEastAsia" w:hint="eastAsia"/>
                <w:sz w:val="20"/>
                <w:szCs w:val="20"/>
              </w:rPr>
              <w:t>タイプ</w:t>
            </w:r>
          </w:p>
          <w:p w14:paraId="2FC8D3D3" w14:textId="77777777" w:rsidR="008B4B2B" w:rsidRPr="001D6D10" w:rsidRDefault="008B4B2B" w:rsidP="008B4B2B">
            <w:pPr>
              <w:spacing w:line="0" w:lineRule="atLeast"/>
              <w:jc w:val="center"/>
              <w:rPr>
                <w:rFonts w:asciiTheme="minorEastAsia" w:eastAsiaTheme="minorEastAsia" w:hAnsiTheme="minorEastAsia"/>
                <w:sz w:val="20"/>
                <w:szCs w:val="20"/>
              </w:rPr>
            </w:pPr>
            <w:r w:rsidRPr="001D6D10">
              <w:rPr>
                <w:rFonts w:asciiTheme="minorEastAsia" w:eastAsiaTheme="minorEastAsia" w:hAnsiTheme="minorEastAsia" w:hint="eastAsia"/>
                <w:sz w:val="20"/>
                <w:szCs w:val="20"/>
              </w:rPr>
              <w:t>（※3）</w:t>
            </w:r>
          </w:p>
        </w:tc>
        <w:tc>
          <w:tcPr>
            <w:tcW w:w="1134" w:type="dxa"/>
            <w:vAlign w:val="center"/>
          </w:tcPr>
          <w:p w14:paraId="46731F1E" w14:textId="77777777" w:rsidR="008B4B2B" w:rsidRPr="001D6D10" w:rsidRDefault="008B4B2B" w:rsidP="008B4B2B">
            <w:pPr>
              <w:spacing w:line="0" w:lineRule="atLeast"/>
              <w:jc w:val="center"/>
              <w:rPr>
                <w:rFonts w:asciiTheme="minorEastAsia" w:eastAsiaTheme="minorEastAsia" w:hAnsiTheme="minorEastAsia"/>
                <w:sz w:val="20"/>
                <w:szCs w:val="20"/>
              </w:rPr>
            </w:pPr>
            <w:r w:rsidRPr="001D6D10">
              <w:rPr>
                <w:rFonts w:asciiTheme="minorEastAsia" w:eastAsiaTheme="minorEastAsia" w:hAnsiTheme="minorEastAsia" w:hint="eastAsia"/>
                <w:sz w:val="20"/>
                <w:szCs w:val="20"/>
              </w:rPr>
              <w:t>派遣者</w:t>
            </w:r>
          </w:p>
        </w:tc>
        <w:tc>
          <w:tcPr>
            <w:tcW w:w="1560" w:type="dxa"/>
            <w:vAlign w:val="center"/>
          </w:tcPr>
          <w:p w14:paraId="497D9717" w14:textId="77777777" w:rsidR="008B4B2B" w:rsidRPr="001D6D10" w:rsidRDefault="008B4B2B" w:rsidP="008B4B2B">
            <w:pPr>
              <w:spacing w:line="0" w:lineRule="atLeast"/>
              <w:jc w:val="center"/>
              <w:rPr>
                <w:rFonts w:asciiTheme="minorEastAsia" w:eastAsiaTheme="minorEastAsia" w:hAnsiTheme="minorEastAsia"/>
                <w:sz w:val="20"/>
                <w:szCs w:val="20"/>
              </w:rPr>
            </w:pPr>
            <w:r w:rsidRPr="001D6D10">
              <w:rPr>
                <w:rFonts w:asciiTheme="minorEastAsia" w:eastAsiaTheme="minorEastAsia" w:hAnsiTheme="minorEastAsia" w:hint="eastAsia"/>
                <w:sz w:val="20"/>
                <w:szCs w:val="20"/>
              </w:rPr>
              <w:t>派遣基準</w:t>
            </w:r>
          </w:p>
        </w:tc>
        <w:tc>
          <w:tcPr>
            <w:tcW w:w="3405" w:type="dxa"/>
            <w:vAlign w:val="center"/>
          </w:tcPr>
          <w:p w14:paraId="721A3B59" w14:textId="77777777" w:rsidR="008B4B2B" w:rsidRPr="001D6D10" w:rsidRDefault="008B4B2B" w:rsidP="008B4B2B">
            <w:pPr>
              <w:spacing w:line="0" w:lineRule="atLeast"/>
              <w:jc w:val="center"/>
              <w:rPr>
                <w:rFonts w:asciiTheme="minorEastAsia" w:eastAsiaTheme="minorEastAsia" w:hAnsiTheme="minorEastAsia"/>
                <w:sz w:val="20"/>
                <w:szCs w:val="20"/>
              </w:rPr>
            </w:pPr>
            <w:r w:rsidRPr="001D6D10">
              <w:rPr>
                <w:rFonts w:asciiTheme="minorEastAsia" w:eastAsiaTheme="minorEastAsia" w:hAnsiTheme="minorEastAsia" w:hint="eastAsia"/>
                <w:sz w:val="20"/>
                <w:szCs w:val="20"/>
              </w:rPr>
              <w:t>業務</w:t>
            </w:r>
          </w:p>
        </w:tc>
      </w:tr>
      <w:tr w:rsidR="001D6D10" w:rsidRPr="001D6D10" w14:paraId="49867832" w14:textId="77777777" w:rsidTr="008B4B2B">
        <w:tc>
          <w:tcPr>
            <w:tcW w:w="567" w:type="dxa"/>
            <w:vMerge w:val="restart"/>
            <w:textDirection w:val="tbRlV"/>
            <w:vAlign w:val="center"/>
          </w:tcPr>
          <w:p w14:paraId="539881CB" w14:textId="77777777" w:rsidR="008B4B2B" w:rsidRPr="001D6D10" w:rsidRDefault="008B4B2B" w:rsidP="008B4B2B">
            <w:pPr>
              <w:spacing w:line="0" w:lineRule="atLeast"/>
              <w:ind w:left="113" w:right="113"/>
              <w:jc w:val="center"/>
              <w:rPr>
                <w:rFonts w:asciiTheme="minorEastAsia" w:eastAsiaTheme="minorEastAsia" w:hAnsiTheme="minorEastAsia"/>
                <w:sz w:val="20"/>
                <w:szCs w:val="20"/>
              </w:rPr>
            </w:pPr>
            <w:r w:rsidRPr="001D6D10">
              <w:rPr>
                <w:rFonts w:asciiTheme="minorEastAsia" w:eastAsiaTheme="minorEastAsia" w:hAnsiTheme="minorEastAsia" w:hint="eastAsia"/>
                <w:sz w:val="20"/>
                <w:szCs w:val="20"/>
              </w:rPr>
              <w:t>応　　　援</w:t>
            </w:r>
          </w:p>
        </w:tc>
        <w:tc>
          <w:tcPr>
            <w:tcW w:w="1702" w:type="dxa"/>
            <w:vAlign w:val="center"/>
          </w:tcPr>
          <w:p w14:paraId="1CB83612" w14:textId="77777777" w:rsidR="008B4B2B" w:rsidRPr="001D6D10" w:rsidRDefault="008B4B2B" w:rsidP="008B4B2B">
            <w:pPr>
              <w:spacing w:line="0" w:lineRule="atLeast"/>
              <w:rPr>
                <w:rFonts w:asciiTheme="minorEastAsia" w:eastAsiaTheme="minorEastAsia" w:hAnsiTheme="minorEastAsia"/>
                <w:sz w:val="20"/>
                <w:szCs w:val="20"/>
              </w:rPr>
            </w:pPr>
            <w:r w:rsidRPr="001D6D10">
              <w:rPr>
                <w:rFonts w:asciiTheme="minorEastAsia" w:eastAsiaTheme="minorEastAsia" w:hAnsiTheme="minorEastAsia" w:hint="eastAsia"/>
                <w:sz w:val="20"/>
                <w:szCs w:val="20"/>
              </w:rPr>
              <w:t>緊急防災推進員</w:t>
            </w:r>
          </w:p>
        </w:tc>
        <w:tc>
          <w:tcPr>
            <w:tcW w:w="1134" w:type="dxa"/>
            <w:vAlign w:val="center"/>
          </w:tcPr>
          <w:p w14:paraId="61FF048A" w14:textId="77777777" w:rsidR="008B4B2B" w:rsidRPr="001D6D10" w:rsidRDefault="008B4B2B" w:rsidP="008B4B2B">
            <w:pPr>
              <w:spacing w:line="0" w:lineRule="atLeast"/>
              <w:rPr>
                <w:rFonts w:asciiTheme="minorEastAsia" w:eastAsiaTheme="minorEastAsia" w:hAnsiTheme="minorEastAsia"/>
                <w:sz w:val="20"/>
                <w:szCs w:val="20"/>
              </w:rPr>
            </w:pPr>
            <w:r w:rsidRPr="001D6D10">
              <w:rPr>
                <w:rFonts w:asciiTheme="minorEastAsia" w:eastAsiaTheme="minorEastAsia" w:hAnsiTheme="minorEastAsia" w:hint="eastAsia"/>
                <w:sz w:val="20"/>
                <w:szCs w:val="20"/>
              </w:rPr>
              <w:t>第１</w:t>
            </w:r>
          </w:p>
          <w:p w14:paraId="0F5DFE39" w14:textId="77777777" w:rsidR="008B4B2B" w:rsidRPr="001D6D10" w:rsidRDefault="008B4B2B" w:rsidP="008B4B2B">
            <w:pPr>
              <w:spacing w:line="0" w:lineRule="atLeast"/>
              <w:rPr>
                <w:rFonts w:asciiTheme="minorEastAsia" w:eastAsiaTheme="minorEastAsia" w:hAnsiTheme="minorEastAsia"/>
                <w:sz w:val="20"/>
                <w:szCs w:val="20"/>
              </w:rPr>
            </w:pPr>
            <w:r w:rsidRPr="001D6D10">
              <w:rPr>
                <w:rFonts w:asciiTheme="minorEastAsia" w:eastAsiaTheme="minorEastAsia" w:hAnsiTheme="minorEastAsia" w:hint="eastAsia"/>
                <w:sz w:val="20"/>
                <w:szCs w:val="20"/>
              </w:rPr>
              <w:t>フェーズ</w:t>
            </w:r>
          </w:p>
        </w:tc>
        <w:tc>
          <w:tcPr>
            <w:tcW w:w="850" w:type="dxa"/>
            <w:vAlign w:val="center"/>
          </w:tcPr>
          <w:p w14:paraId="23EE8D40" w14:textId="77777777" w:rsidR="008B4B2B" w:rsidRPr="001D6D10" w:rsidRDefault="008B4B2B" w:rsidP="008B4B2B">
            <w:pPr>
              <w:spacing w:line="0" w:lineRule="atLeast"/>
              <w:jc w:val="center"/>
              <w:rPr>
                <w:rFonts w:asciiTheme="minorEastAsia" w:eastAsiaTheme="minorEastAsia" w:hAnsiTheme="minorEastAsia"/>
                <w:sz w:val="20"/>
                <w:szCs w:val="20"/>
              </w:rPr>
            </w:pPr>
            <w:r w:rsidRPr="001D6D10">
              <w:rPr>
                <w:rFonts w:asciiTheme="minorEastAsia" w:eastAsiaTheme="minorEastAsia" w:hAnsiTheme="minorEastAsia" w:hint="eastAsia"/>
                <w:sz w:val="20"/>
                <w:szCs w:val="20"/>
              </w:rPr>
              <w:t>自動</w:t>
            </w:r>
          </w:p>
        </w:tc>
        <w:tc>
          <w:tcPr>
            <w:tcW w:w="1134" w:type="dxa"/>
            <w:vAlign w:val="center"/>
          </w:tcPr>
          <w:p w14:paraId="11ADA11A" w14:textId="77777777" w:rsidR="008B4B2B" w:rsidRPr="001D6D10" w:rsidRDefault="008B4B2B" w:rsidP="008B4B2B">
            <w:pPr>
              <w:spacing w:line="0" w:lineRule="atLeast"/>
              <w:rPr>
                <w:rFonts w:asciiTheme="minorEastAsia" w:eastAsiaTheme="minorEastAsia" w:hAnsiTheme="minorEastAsia"/>
                <w:sz w:val="20"/>
                <w:szCs w:val="20"/>
              </w:rPr>
            </w:pPr>
            <w:r w:rsidRPr="001D6D10">
              <w:rPr>
                <w:rFonts w:asciiTheme="minorEastAsia" w:eastAsiaTheme="minorEastAsia" w:hAnsiTheme="minorEastAsia" w:hint="eastAsia"/>
                <w:sz w:val="20"/>
                <w:szCs w:val="20"/>
              </w:rPr>
              <w:t>知事</w:t>
            </w:r>
          </w:p>
          <w:p w14:paraId="4D0A158C" w14:textId="77777777" w:rsidR="008B4B2B" w:rsidRPr="001D6D10" w:rsidRDefault="008B4B2B" w:rsidP="008B4B2B">
            <w:pPr>
              <w:spacing w:line="0" w:lineRule="atLeast"/>
              <w:rPr>
                <w:rFonts w:asciiTheme="minorEastAsia" w:eastAsiaTheme="minorEastAsia" w:hAnsiTheme="minorEastAsia"/>
                <w:sz w:val="20"/>
                <w:szCs w:val="20"/>
              </w:rPr>
            </w:pPr>
          </w:p>
        </w:tc>
        <w:tc>
          <w:tcPr>
            <w:tcW w:w="1560" w:type="dxa"/>
            <w:vAlign w:val="center"/>
          </w:tcPr>
          <w:p w14:paraId="16E9710E" w14:textId="77777777" w:rsidR="008B4B2B" w:rsidRPr="001D6D10" w:rsidRDefault="008B4B2B" w:rsidP="008B4B2B">
            <w:pPr>
              <w:spacing w:line="0" w:lineRule="atLeast"/>
              <w:rPr>
                <w:rFonts w:asciiTheme="minorEastAsia" w:eastAsiaTheme="minorEastAsia" w:hAnsiTheme="minorEastAsia"/>
                <w:sz w:val="20"/>
                <w:szCs w:val="20"/>
              </w:rPr>
            </w:pPr>
            <w:r w:rsidRPr="001D6D10">
              <w:rPr>
                <w:rFonts w:asciiTheme="minorEastAsia" w:eastAsiaTheme="minorEastAsia" w:hAnsiTheme="minorEastAsia" w:hint="eastAsia"/>
                <w:sz w:val="20"/>
                <w:szCs w:val="20"/>
              </w:rPr>
              <w:t>時間外において府内で震度５弱以上を観測したとき</w:t>
            </w:r>
          </w:p>
        </w:tc>
        <w:tc>
          <w:tcPr>
            <w:tcW w:w="3405" w:type="dxa"/>
            <w:vAlign w:val="center"/>
          </w:tcPr>
          <w:p w14:paraId="14A2EDB8" w14:textId="77777777" w:rsidR="008B4B2B" w:rsidRPr="001D6D10" w:rsidRDefault="008B4B2B" w:rsidP="008B4B2B">
            <w:pPr>
              <w:spacing w:line="0" w:lineRule="atLeast"/>
              <w:rPr>
                <w:rFonts w:asciiTheme="minorEastAsia" w:eastAsiaTheme="minorEastAsia" w:hAnsiTheme="minorEastAsia"/>
                <w:sz w:val="20"/>
                <w:szCs w:val="20"/>
              </w:rPr>
            </w:pPr>
            <w:r w:rsidRPr="001D6D10">
              <w:rPr>
                <w:rFonts w:asciiTheme="minorEastAsia" w:eastAsiaTheme="minorEastAsia" w:hAnsiTheme="minorEastAsia" w:hint="eastAsia"/>
                <w:sz w:val="20"/>
                <w:szCs w:val="20"/>
              </w:rPr>
              <w:t>大阪府災害対策本部事務局、及び災害対策主要施設における初動体制の迅速な確立をはじめ、市町村の被害状況及び対策状況の収集・伝達による府の応急対策の円滑な実施を期する</w:t>
            </w:r>
          </w:p>
        </w:tc>
      </w:tr>
      <w:tr w:rsidR="001D6D10" w:rsidRPr="001D6D10" w14:paraId="339B1874" w14:textId="77777777" w:rsidTr="008B4B2B">
        <w:tc>
          <w:tcPr>
            <w:tcW w:w="567" w:type="dxa"/>
            <w:vMerge/>
            <w:textDirection w:val="tbRlV"/>
          </w:tcPr>
          <w:p w14:paraId="46BDF386" w14:textId="77777777" w:rsidR="008B4B2B" w:rsidRPr="001D6D10" w:rsidRDefault="008B4B2B" w:rsidP="008B4B2B">
            <w:pPr>
              <w:spacing w:line="0" w:lineRule="atLeast"/>
              <w:ind w:left="113" w:right="113"/>
              <w:jc w:val="center"/>
              <w:rPr>
                <w:rFonts w:asciiTheme="minorEastAsia" w:eastAsiaTheme="minorEastAsia" w:hAnsiTheme="minorEastAsia"/>
                <w:sz w:val="20"/>
                <w:szCs w:val="20"/>
              </w:rPr>
            </w:pPr>
          </w:p>
        </w:tc>
        <w:tc>
          <w:tcPr>
            <w:tcW w:w="1702" w:type="dxa"/>
            <w:vAlign w:val="center"/>
          </w:tcPr>
          <w:p w14:paraId="003441F6" w14:textId="77777777" w:rsidR="008B4B2B" w:rsidRPr="001D6D10" w:rsidRDefault="008B4B2B" w:rsidP="008B4B2B">
            <w:pPr>
              <w:spacing w:line="0" w:lineRule="atLeast"/>
              <w:rPr>
                <w:rFonts w:asciiTheme="minorEastAsia" w:eastAsiaTheme="minorEastAsia" w:hAnsiTheme="minorEastAsia"/>
                <w:sz w:val="20"/>
                <w:szCs w:val="20"/>
              </w:rPr>
            </w:pPr>
            <w:r w:rsidRPr="001D6D10">
              <w:rPr>
                <w:rFonts w:asciiTheme="minorEastAsia" w:eastAsiaTheme="minorEastAsia" w:hAnsiTheme="minorEastAsia" w:hint="eastAsia"/>
                <w:sz w:val="20"/>
                <w:szCs w:val="20"/>
              </w:rPr>
              <w:t>災害時先遣隊</w:t>
            </w:r>
          </w:p>
        </w:tc>
        <w:tc>
          <w:tcPr>
            <w:tcW w:w="1134" w:type="dxa"/>
            <w:vAlign w:val="center"/>
          </w:tcPr>
          <w:p w14:paraId="6FD32B84" w14:textId="77777777" w:rsidR="008B4B2B" w:rsidRPr="001D6D10" w:rsidRDefault="008B4B2B" w:rsidP="008B4B2B">
            <w:pPr>
              <w:spacing w:line="0" w:lineRule="atLeast"/>
              <w:rPr>
                <w:rFonts w:asciiTheme="minorEastAsia" w:eastAsiaTheme="minorEastAsia" w:hAnsiTheme="minorEastAsia"/>
                <w:sz w:val="20"/>
                <w:szCs w:val="20"/>
              </w:rPr>
            </w:pPr>
            <w:r w:rsidRPr="001D6D10">
              <w:rPr>
                <w:rFonts w:asciiTheme="minorEastAsia" w:eastAsiaTheme="minorEastAsia" w:hAnsiTheme="minorEastAsia" w:hint="eastAsia"/>
                <w:sz w:val="20"/>
                <w:szCs w:val="20"/>
              </w:rPr>
              <w:t>第２</w:t>
            </w:r>
          </w:p>
          <w:p w14:paraId="13396D27" w14:textId="77777777" w:rsidR="008B4B2B" w:rsidRPr="001D6D10" w:rsidRDefault="008B4B2B" w:rsidP="008B4B2B">
            <w:pPr>
              <w:spacing w:line="0" w:lineRule="atLeast"/>
              <w:rPr>
                <w:rFonts w:asciiTheme="minorEastAsia" w:eastAsiaTheme="minorEastAsia" w:hAnsiTheme="minorEastAsia"/>
                <w:sz w:val="20"/>
                <w:szCs w:val="20"/>
              </w:rPr>
            </w:pPr>
            <w:r w:rsidRPr="001D6D10">
              <w:rPr>
                <w:rFonts w:asciiTheme="minorEastAsia" w:eastAsiaTheme="minorEastAsia" w:hAnsiTheme="minorEastAsia" w:hint="eastAsia"/>
                <w:sz w:val="20"/>
                <w:szCs w:val="20"/>
              </w:rPr>
              <w:t>フェーズ</w:t>
            </w:r>
          </w:p>
          <w:p w14:paraId="1D1D3F52" w14:textId="77777777" w:rsidR="008B4B2B" w:rsidRPr="001D6D10" w:rsidRDefault="008B4B2B" w:rsidP="008B4B2B">
            <w:pPr>
              <w:spacing w:line="0" w:lineRule="atLeast"/>
              <w:rPr>
                <w:rFonts w:asciiTheme="minorEastAsia" w:eastAsiaTheme="minorEastAsia" w:hAnsiTheme="minorEastAsia"/>
                <w:sz w:val="20"/>
                <w:szCs w:val="20"/>
              </w:rPr>
            </w:pPr>
            <w:r w:rsidRPr="001D6D10">
              <w:rPr>
                <w:rFonts w:asciiTheme="minorEastAsia" w:eastAsiaTheme="minorEastAsia" w:hAnsiTheme="minorEastAsia" w:hint="eastAsia"/>
                <w:sz w:val="20"/>
                <w:szCs w:val="20"/>
              </w:rPr>
              <w:t>（短期）</w:t>
            </w:r>
          </w:p>
        </w:tc>
        <w:tc>
          <w:tcPr>
            <w:tcW w:w="850" w:type="dxa"/>
            <w:vAlign w:val="center"/>
          </w:tcPr>
          <w:p w14:paraId="0612F194" w14:textId="77777777" w:rsidR="008B4B2B" w:rsidRPr="001D6D10" w:rsidRDefault="008B4B2B" w:rsidP="008B4B2B">
            <w:pPr>
              <w:spacing w:line="0" w:lineRule="atLeast"/>
              <w:jc w:val="center"/>
              <w:rPr>
                <w:rFonts w:asciiTheme="minorEastAsia" w:eastAsiaTheme="minorEastAsia" w:hAnsiTheme="minorEastAsia"/>
                <w:sz w:val="20"/>
                <w:szCs w:val="20"/>
              </w:rPr>
            </w:pPr>
            <w:proofErr w:type="gramStart"/>
            <w:r w:rsidRPr="001D6D10">
              <w:rPr>
                <w:rFonts w:asciiTheme="minorEastAsia" w:eastAsiaTheme="minorEastAsia" w:hAnsiTheme="minorEastAsia" w:hint="eastAsia"/>
                <w:sz w:val="20"/>
                <w:szCs w:val="20"/>
              </w:rPr>
              <w:t>ﾌﾟｯｼｭ</w:t>
            </w:r>
            <w:proofErr w:type="gramEnd"/>
          </w:p>
        </w:tc>
        <w:tc>
          <w:tcPr>
            <w:tcW w:w="1134" w:type="dxa"/>
            <w:vAlign w:val="center"/>
          </w:tcPr>
          <w:p w14:paraId="1FCA6481" w14:textId="77777777" w:rsidR="008B4B2B" w:rsidRPr="001D6D10" w:rsidRDefault="008B4B2B" w:rsidP="008B4B2B">
            <w:pPr>
              <w:spacing w:line="0" w:lineRule="atLeast"/>
              <w:rPr>
                <w:rFonts w:asciiTheme="minorEastAsia" w:eastAsiaTheme="minorEastAsia" w:hAnsiTheme="minorEastAsia"/>
                <w:sz w:val="20"/>
                <w:szCs w:val="20"/>
              </w:rPr>
            </w:pPr>
            <w:r w:rsidRPr="001D6D10">
              <w:rPr>
                <w:rFonts w:asciiTheme="minorEastAsia" w:eastAsiaTheme="minorEastAsia" w:hAnsiTheme="minorEastAsia" w:hint="eastAsia"/>
                <w:sz w:val="20"/>
                <w:szCs w:val="20"/>
              </w:rPr>
              <w:t>危機管理監</w:t>
            </w:r>
          </w:p>
        </w:tc>
        <w:tc>
          <w:tcPr>
            <w:tcW w:w="1560" w:type="dxa"/>
            <w:vMerge w:val="restart"/>
            <w:vAlign w:val="center"/>
          </w:tcPr>
          <w:p w14:paraId="327E6302" w14:textId="77777777" w:rsidR="008B4B2B" w:rsidRPr="001D6D10" w:rsidRDefault="008B4B2B" w:rsidP="008B4B2B">
            <w:pPr>
              <w:spacing w:line="0" w:lineRule="atLeast"/>
              <w:rPr>
                <w:rFonts w:asciiTheme="minorEastAsia" w:eastAsiaTheme="minorEastAsia" w:hAnsiTheme="minorEastAsia"/>
                <w:sz w:val="20"/>
                <w:szCs w:val="20"/>
              </w:rPr>
            </w:pPr>
            <w:r w:rsidRPr="001D6D10">
              <w:rPr>
                <w:rFonts w:asciiTheme="minorEastAsia" w:eastAsiaTheme="minorEastAsia" w:hAnsiTheme="minorEastAsia" w:hint="eastAsia"/>
                <w:sz w:val="20"/>
                <w:szCs w:val="20"/>
              </w:rPr>
              <w:t>大規模な自然災害が発生し、被災市町村の行政機能の全部又は一部が麻痺した場合</w:t>
            </w:r>
          </w:p>
        </w:tc>
        <w:tc>
          <w:tcPr>
            <w:tcW w:w="3405" w:type="dxa"/>
            <w:vAlign w:val="center"/>
          </w:tcPr>
          <w:p w14:paraId="35A91BC5" w14:textId="77777777" w:rsidR="008B4B2B" w:rsidRPr="001D6D10" w:rsidRDefault="008B4B2B" w:rsidP="008B4B2B">
            <w:pPr>
              <w:spacing w:line="0" w:lineRule="atLeast"/>
              <w:rPr>
                <w:rFonts w:asciiTheme="minorEastAsia" w:eastAsiaTheme="minorEastAsia" w:hAnsiTheme="minorEastAsia"/>
                <w:sz w:val="20"/>
                <w:szCs w:val="20"/>
              </w:rPr>
            </w:pPr>
            <w:r w:rsidRPr="001D6D10">
              <w:rPr>
                <w:rFonts w:asciiTheme="minorEastAsia" w:eastAsiaTheme="minorEastAsia" w:hAnsiTheme="minorEastAsia" w:hint="eastAsia"/>
                <w:sz w:val="20"/>
                <w:szCs w:val="20"/>
              </w:rPr>
              <w:t>被災状況の把握</w:t>
            </w:r>
          </w:p>
        </w:tc>
      </w:tr>
      <w:tr w:rsidR="001D6D10" w:rsidRPr="001D6D10" w14:paraId="6D1DB281" w14:textId="77777777" w:rsidTr="008B4B2B">
        <w:tc>
          <w:tcPr>
            <w:tcW w:w="567" w:type="dxa"/>
            <w:vMerge/>
            <w:textDirection w:val="tbRlV"/>
          </w:tcPr>
          <w:p w14:paraId="6005E358" w14:textId="77777777" w:rsidR="008B4B2B" w:rsidRPr="001D6D10" w:rsidRDefault="008B4B2B" w:rsidP="008B4B2B">
            <w:pPr>
              <w:spacing w:line="0" w:lineRule="atLeast"/>
              <w:ind w:left="113" w:right="113"/>
              <w:jc w:val="center"/>
              <w:rPr>
                <w:rFonts w:asciiTheme="minorEastAsia" w:eastAsiaTheme="minorEastAsia" w:hAnsiTheme="minorEastAsia"/>
                <w:sz w:val="20"/>
                <w:szCs w:val="20"/>
              </w:rPr>
            </w:pPr>
          </w:p>
        </w:tc>
        <w:tc>
          <w:tcPr>
            <w:tcW w:w="1702" w:type="dxa"/>
            <w:vAlign w:val="center"/>
          </w:tcPr>
          <w:p w14:paraId="5CEF9290" w14:textId="77777777" w:rsidR="008B4B2B" w:rsidRPr="001D6D10" w:rsidRDefault="008B4B2B" w:rsidP="008B4B2B">
            <w:pPr>
              <w:spacing w:line="0" w:lineRule="atLeast"/>
              <w:rPr>
                <w:rFonts w:asciiTheme="minorEastAsia" w:eastAsiaTheme="minorEastAsia" w:hAnsiTheme="minorEastAsia"/>
                <w:sz w:val="20"/>
                <w:szCs w:val="20"/>
              </w:rPr>
            </w:pPr>
            <w:r w:rsidRPr="001D6D10">
              <w:rPr>
                <w:rFonts w:asciiTheme="minorEastAsia" w:eastAsiaTheme="minorEastAsia" w:hAnsiTheme="minorEastAsia" w:hint="eastAsia"/>
                <w:sz w:val="20"/>
                <w:szCs w:val="20"/>
              </w:rPr>
              <w:t>現地情報連絡員</w:t>
            </w:r>
          </w:p>
          <w:p w14:paraId="6DD69838" w14:textId="77777777" w:rsidR="008B4B2B" w:rsidRPr="001D6D10" w:rsidRDefault="008B4B2B" w:rsidP="008B4B2B">
            <w:pPr>
              <w:spacing w:line="0" w:lineRule="atLeast"/>
              <w:rPr>
                <w:rFonts w:asciiTheme="minorEastAsia" w:eastAsiaTheme="minorEastAsia" w:hAnsiTheme="minorEastAsia"/>
                <w:sz w:val="20"/>
                <w:szCs w:val="20"/>
              </w:rPr>
            </w:pPr>
            <w:r w:rsidRPr="001D6D10">
              <w:rPr>
                <w:rFonts w:asciiTheme="minorEastAsia" w:eastAsiaTheme="minorEastAsia" w:hAnsiTheme="minorEastAsia" w:hint="eastAsia"/>
                <w:sz w:val="20"/>
                <w:szCs w:val="20"/>
              </w:rPr>
              <w:t>（リエゾン）</w:t>
            </w:r>
          </w:p>
        </w:tc>
        <w:tc>
          <w:tcPr>
            <w:tcW w:w="1134" w:type="dxa"/>
            <w:vAlign w:val="center"/>
          </w:tcPr>
          <w:p w14:paraId="5C9A8A7D" w14:textId="77777777" w:rsidR="008B4B2B" w:rsidRPr="001D6D10" w:rsidRDefault="008B4B2B" w:rsidP="008B4B2B">
            <w:pPr>
              <w:spacing w:line="0" w:lineRule="atLeast"/>
              <w:rPr>
                <w:rFonts w:asciiTheme="minorEastAsia" w:eastAsiaTheme="minorEastAsia" w:hAnsiTheme="minorEastAsia"/>
                <w:sz w:val="20"/>
                <w:szCs w:val="20"/>
              </w:rPr>
            </w:pPr>
            <w:r w:rsidRPr="001D6D10">
              <w:rPr>
                <w:rFonts w:asciiTheme="minorEastAsia" w:eastAsiaTheme="minorEastAsia" w:hAnsiTheme="minorEastAsia" w:hint="eastAsia"/>
                <w:sz w:val="20"/>
                <w:szCs w:val="20"/>
              </w:rPr>
              <w:t>第２～３</w:t>
            </w:r>
          </w:p>
          <w:p w14:paraId="2FBFB7DA" w14:textId="77777777" w:rsidR="008B4B2B" w:rsidRPr="001D6D10" w:rsidRDefault="008B4B2B" w:rsidP="008B4B2B">
            <w:pPr>
              <w:spacing w:line="0" w:lineRule="atLeast"/>
              <w:rPr>
                <w:rFonts w:asciiTheme="minorEastAsia" w:eastAsiaTheme="minorEastAsia" w:hAnsiTheme="minorEastAsia"/>
                <w:sz w:val="20"/>
                <w:szCs w:val="20"/>
              </w:rPr>
            </w:pPr>
            <w:r w:rsidRPr="001D6D10">
              <w:rPr>
                <w:rFonts w:asciiTheme="minorEastAsia" w:eastAsiaTheme="minorEastAsia" w:hAnsiTheme="minorEastAsia" w:hint="eastAsia"/>
                <w:sz w:val="20"/>
                <w:szCs w:val="20"/>
              </w:rPr>
              <w:t>フェーズ</w:t>
            </w:r>
          </w:p>
        </w:tc>
        <w:tc>
          <w:tcPr>
            <w:tcW w:w="850" w:type="dxa"/>
            <w:vAlign w:val="center"/>
          </w:tcPr>
          <w:p w14:paraId="68FCE2E3" w14:textId="77777777" w:rsidR="008B4B2B" w:rsidRPr="001D6D10" w:rsidRDefault="008B4B2B" w:rsidP="008B4B2B">
            <w:pPr>
              <w:spacing w:line="0" w:lineRule="atLeast"/>
              <w:jc w:val="center"/>
              <w:rPr>
                <w:rFonts w:asciiTheme="minorEastAsia" w:eastAsiaTheme="minorEastAsia" w:hAnsiTheme="minorEastAsia"/>
                <w:sz w:val="20"/>
                <w:szCs w:val="20"/>
              </w:rPr>
            </w:pPr>
            <w:proofErr w:type="gramStart"/>
            <w:r w:rsidRPr="001D6D10">
              <w:rPr>
                <w:rFonts w:asciiTheme="minorEastAsia" w:eastAsiaTheme="minorEastAsia" w:hAnsiTheme="minorEastAsia" w:hint="eastAsia"/>
                <w:sz w:val="20"/>
                <w:szCs w:val="20"/>
              </w:rPr>
              <w:t>ﾌﾟｯｼｭ</w:t>
            </w:r>
            <w:proofErr w:type="gramEnd"/>
          </w:p>
        </w:tc>
        <w:tc>
          <w:tcPr>
            <w:tcW w:w="1134" w:type="dxa"/>
            <w:vAlign w:val="center"/>
          </w:tcPr>
          <w:p w14:paraId="4898FD40" w14:textId="77777777" w:rsidR="008B4B2B" w:rsidRPr="001D6D10" w:rsidRDefault="008B4B2B" w:rsidP="008B4B2B">
            <w:pPr>
              <w:spacing w:line="0" w:lineRule="atLeast"/>
              <w:rPr>
                <w:rFonts w:asciiTheme="minorEastAsia" w:eastAsiaTheme="minorEastAsia" w:hAnsiTheme="minorEastAsia"/>
                <w:sz w:val="20"/>
                <w:szCs w:val="20"/>
              </w:rPr>
            </w:pPr>
            <w:r w:rsidRPr="001D6D10">
              <w:rPr>
                <w:rFonts w:asciiTheme="minorEastAsia" w:eastAsiaTheme="minorEastAsia" w:hAnsiTheme="minorEastAsia" w:hint="eastAsia"/>
                <w:sz w:val="20"/>
                <w:szCs w:val="20"/>
              </w:rPr>
              <w:t>危機管理監</w:t>
            </w:r>
          </w:p>
        </w:tc>
        <w:tc>
          <w:tcPr>
            <w:tcW w:w="1560" w:type="dxa"/>
            <w:vMerge/>
            <w:vAlign w:val="center"/>
          </w:tcPr>
          <w:p w14:paraId="30385179" w14:textId="77777777" w:rsidR="008B4B2B" w:rsidRPr="001D6D10" w:rsidRDefault="008B4B2B" w:rsidP="008B4B2B">
            <w:pPr>
              <w:spacing w:line="0" w:lineRule="atLeast"/>
              <w:rPr>
                <w:rFonts w:asciiTheme="minorEastAsia" w:eastAsiaTheme="minorEastAsia" w:hAnsiTheme="minorEastAsia"/>
                <w:sz w:val="20"/>
                <w:szCs w:val="20"/>
              </w:rPr>
            </w:pPr>
          </w:p>
        </w:tc>
        <w:tc>
          <w:tcPr>
            <w:tcW w:w="3405" w:type="dxa"/>
            <w:vAlign w:val="center"/>
          </w:tcPr>
          <w:p w14:paraId="7B9A64E5" w14:textId="77777777" w:rsidR="008B4B2B" w:rsidRPr="001D6D10" w:rsidRDefault="008B4B2B" w:rsidP="008B4B2B">
            <w:pPr>
              <w:spacing w:line="0" w:lineRule="atLeast"/>
              <w:rPr>
                <w:rFonts w:asciiTheme="minorEastAsia" w:eastAsiaTheme="minorEastAsia" w:hAnsiTheme="minorEastAsia"/>
                <w:sz w:val="20"/>
                <w:szCs w:val="20"/>
              </w:rPr>
            </w:pPr>
            <w:r w:rsidRPr="001D6D10">
              <w:rPr>
                <w:rFonts w:asciiTheme="minorEastAsia" w:eastAsiaTheme="minorEastAsia" w:hAnsiTheme="minorEastAsia" w:hint="eastAsia"/>
                <w:sz w:val="20"/>
                <w:szCs w:val="20"/>
              </w:rPr>
              <w:t>情報収集（市町村災害情報、必要な物的・人的支援に関する情報等）</w:t>
            </w:r>
          </w:p>
        </w:tc>
      </w:tr>
      <w:tr w:rsidR="001D6D10" w:rsidRPr="001D6D10" w14:paraId="16225D8A" w14:textId="77777777" w:rsidTr="008B4B2B">
        <w:tc>
          <w:tcPr>
            <w:tcW w:w="567" w:type="dxa"/>
            <w:vMerge/>
            <w:textDirection w:val="tbRlV"/>
          </w:tcPr>
          <w:p w14:paraId="2755EEE2" w14:textId="77777777" w:rsidR="008B4B2B" w:rsidRPr="001D6D10" w:rsidRDefault="008B4B2B" w:rsidP="008B4B2B">
            <w:pPr>
              <w:spacing w:line="0" w:lineRule="atLeast"/>
              <w:ind w:left="113" w:right="113"/>
              <w:jc w:val="center"/>
              <w:rPr>
                <w:rFonts w:asciiTheme="minorEastAsia" w:eastAsiaTheme="minorEastAsia" w:hAnsiTheme="minorEastAsia"/>
                <w:sz w:val="20"/>
                <w:szCs w:val="20"/>
              </w:rPr>
            </w:pPr>
          </w:p>
        </w:tc>
        <w:tc>
          <w:tcPr>
            <w:tcW w:w="1702" w:type="dxa"/>
            <w:vAlign w:val="center"/>
          </w:tcPr>
          <w:p w14:paraId="26BA1CDC" w14:textId="77777777" w:rsidR="008B4B2B" w:rsidRPr="001D6D10" w:rsidRDefault="008B4B2B" w:rsidP="008B4B2B">
            <w:pPr>
              <w:spacing w:line="0" w:lineRule="atLeast"/>
              <w:rPr>
                <w:rFonts w:asciiTheme="minorEastAsia" w:eastAsiaTheme="minorEastAsia" w:hAnsiTheme="minorEastAsia"/>
                <w:sz w:val="20"/>
                <w:szCs w:val="20"/>
              </w:rPr>
            </w:pPr>
            <w:r w:rsidRPr="001D6D10">
              <w:rPr>
                <w:rFonts w:asciiTheme="minorEastAsia" w:eastAsiaTheme="minorEastAsia" w:hAnsiTheme="minorEastAsia" w:hint="eastAsia"/>
                <w:sz w:val="20"/>
                <w:szCs w:val="20"/>
              </w:rPr>
              <w:t>派遣職員①</w:t>
            </w:r>
          </w:p>
        </w:tc>
        <w:tc>
          <w:tcPr>
            <w:tcW w:w="1134" w:type="dxa"/>
            <w:vAlign w:val="center"/>
          </w:tcPr>
          <w:p w14:paraId="4CF1E5B5" w14:textId="77777777" w:rsidR="008B4B2B" w:rsidRPr="001D6D10" w:rsidRDefault="008B4B2B" w:rsidP="008B4B2B">
            <w:pPr>
              <w:spacing w:line="0" w:lineRule="atLeast"/>
              <w:rPr>
                <w:rFonts w:asciiTheme="minorEastAsia" w:eastAsiaTheme="minorEastAsia" w:hAnsiTheme="minorEastAsia"/>
                <w:sz w:val="20"/>
                <w:szCs w:val="20"/>
              </w:rPr>
            </w:pPr>
            <w:r w:rsidRPr="001D6D10">
              <w:rPr>
                <w:rFonts w:asciiTheme="minorEastAsia" w:eastAsiaTheme="minorEastAsia" w:hAnsiTheme="minorEastAsia" w:hint="eastAsia"/>
                <w:sz w:val="20"/>
                <w:szCs w:val="20"/>
              </w:rPr>
              <w:t>第３</w:t>
            </w:r>
          </w:p>
          <w:p w14:paraId="77063D06" w14:textId="77777777" w:rsidR="008B4B2B" w:rsidRPr="001D6D10" w:rsidRDefault="008B4B2B" w:rsidP="008B4B2B">
            <w:pPr>
              <w:spacing w:line="0" w:lineRule="atLeast"/>
              <w:rPr>
                <w:rFonts w:asciiTheme="minorEastAsia" w:eastAsiaTheme="minorEastAsia" w:hAnsiTheme="minorEastAsia"/>
                <w:sz w:val="20"/>
                <w:szCs w:val="20"/>
              </w:rPr>
            </w:pPr>
            <w:r w:rsidRPr="001D6D10">
              <w:rPr>
                <w:rFonts w:asciiTheme="minorEastAsia" w:eastAsiaTheme="minorEastAsia" w:hAnsiTheme="minorEastAsia" w:hint="eastAsia"/>
                <w:sz w:val="20"/>
                <w:szCs w:val="20"/>
              </w:rPr>
              <w:t>フェーズ</w:t>
            </w:r>
          </w:p>
          <w:p w14:paraId="455FFB14" w14:textId="77777777" w:rsidR="008B4B2B" w:rsidRPr="001D6D10" w:rsidRDefault="008B4B2B" w:rsidP="008B4B2B">
            <w:pPr>
              <w:spacing w:line="0" w:lineRule="atLeast"/>
              <w:rPr>
                <w:rFonts w:asciiTheme="minorEastAsia" w:eastAsiaTheme="minorEastAsia" w:hAnsiTheme="minorEastAsia"/>
                <w:sz w:val="20"/>
                <w:szCs w:val="20"/>
              </w:rPr>
            </w:pPr>
            <w:r w:rsidRPr="001D6D10">
              <w:rPr>
                <w:rFonts w:asciiTheme="minorEastAsia" w:eastAsiaTheme="minorEastAsia" w:hAnsiTheme="minorEastAsia" w:hint="eastAsia"/>
                <w:sz w:val="20"/>
                <w:szCs w:val="20"/>
              </w:rPr>
              <w:t>（短期）</w:t>
            </w:r>
          </w:p>
        </w:tc>
        <w:tc>
          <w:tcPr>
            <w:tcW w:w="850" w:type="dxa"/>
            <w:vAlign w:val="center"/>
          </w:tcPr>
          <w:p w14:paraId="0E2FF753" w14:textId="77777777" w:rsidR="008B4B2B" w:rsidRPr="001D6D10" w:rsidRDefault="008B4B2B" w:rsidP="008B4B2B">
            <w:pPr>
              <w:spacing w:line="0" w:lineRule="atLeast"/>
              <w:jc w:val="center"/>
              <w:rPr>
                <w:rFonts w:asciiTheme="minorEastAsia" w:eastAsiaTheme="minorEastAsia" w:hAnsiTheme="minorEastAsia"/>
                <w:sz w:val="20"/>
                <w:szCs w:val="20"/>
              </w:rPr>
            </w:pPr>
            <w:proofErr w:type="gramStart"/>
            <w:r w:rsidRPr="001D6D10">
              <w:rPr>
                <w:rFonts w:asciiTheme="minorEastAsia" w:eastAsiaTheme="minorEastAsia" w:hAnsiTheme="minorEastAsia" w:hint="eastAsia"/>
                <w:sz w:val="20"/>
                <w:szCs w:val="20"/>
              </w:rPr>
              <w:t>ﾌﾟｯｼｭ</w:t>
            </w:r>
            <w:proofErr w:type="gramEnd"/>
          </w:p>
          <w:p w14:paraId="612FE273" w14:textId="77777777" w:rsidR="008B4B2B" w:rsidRPr="001D6D10" w:rsidRDefault="008B4B2B" w:rsidP="008B4B2B">
            <w:pPr>
              <w:spacing w:line="0" w:lineRule="atLeast"/>
              <w:jc w:val="center"/>
              <w:rPr>
                <w:rFonts w:asciiTheme="minorEastAsia" w:eastAsiaTheme="minorEastAsia" w:hAnsiTheme="minorEastAsia"/>
                <w:sz w:val="20"/>
                <w:szCs w:val="20"/>
              </w:rPr>
            </w:pPr>
          </w:p>
          <w:p w14:paraId="050F3192" w14:textId="77777777" w:rsidR="008B4B2B" w:rsidRPr="001D6D10" w:rsidRDefault="008B4B2B" w:rsidP="008B4B2B">
            <w:pPr>
              <w:spacing w:line="0" w:lineRule="atLeast"/>
              <w:jc w:val="center"/>
              <w:rPr>
                <w:rFonts w:asciiTheme="minorEastAsia" w:eastAsiaTheme="minorEastAsia" w:hAnsiTheme="minorEastAsia"/>
                <w:sz w:val="20"/>
                <w:szCs w:val="20"/>
              </w:rPr>
            </w:pPr>
          </w:p>
          <w:p w14:paraId="32ED4EB5" w14:textId="77777777" w:rsidR="008B4B2B" w:rsidRPr="001D6D10" w:rsidRDefault="008B4B2B" w:rsidP="008B4B2B">
            <w:pPr>
              <w:spacing w:line="0" w:lineRule="atLeast"/>
              <w:jc w:val="center"/>
              <w:rPr>
                <w:rFonts w:asciiTheme="minorEastAsia" w:eastAsiaTheme="minorEastAsia" w:hAnsiTheme="minorEastAsia"/>
                <w:sz w:val="20"/>
                <w:szCs w:val="20"/>
              </w:rPr>
            </w:pPr>
          </w:p>
          <w:p w14:paraId="54F15716" w14:textId="77777777" w:rsidR="008B4B2B" w:rsidRPr="001D6D10" w:rsidRDefault="008B4B2B" w:rsidP="008B4B2B">
            <w:pPr>
              <w:spacing w:line="0" w:lineRule="atLeast"/>
              <w:jc w:val="center"/>
              <w:rPr>
                <w:rFonts w:asciiTheme="minorEastAsia" w:eastAsiaTheme="minorEastAsia" w:hAnsiTheme="minorEastAsia"/>
                <w:sz w:val="20"/>
                <w:szCs w:val="20"/>
              </w:rPr>
            </w:pPr>
            <w:r w:rsidRPr="001D6D10">
              <w:rPr>
                <w:rFonts w:asciiTheme="minorEastAsia" w:eastAsiaTheme="minorEastAsia" w:hAnsiTheme="minorEastAsia" w:hint="eastAsia"/>
                <w:sz w:val="20"/>
                <w:szCs w:val="20"/>
              </w:rPr>
              <w:t>プル</w:t>
            </w:r>
          </w:p>
        </w:tc>
        <w:tc>
          <w:tcPr>
            <w:tcW w:w="1134" w:type="dxa"/>
            <w:vAlign w:val="center"/>
          </w:tcPr>
          <w:p w14:paraId="49A6BEF5" w14:textId="77777777" w:rsidR="008B4B2B" w:rsidRPr="001D6D10" w:rsidRDefault="008B4B2B" w:rsidP="008B4B2B">
            <w:pPr>
              <w:spacing w:line="0" w:lineRule="atLeast"/>
              <w:rPr>
                <w:rFonts w:asciiTheme="minorEastAsia" w:eastAsiaTheme="minorEastAsia" w:hAnsiTheme="minorEastAsia"/>
                <w:sz w:val="20"/>
                <w:szCs w:val="20"/>
              </w:rPr>
            </w:pPr>
            <w:r w:rsidRPr="001D6D10">
              <w:rPr>
                <w:rFonts w:asciiTheme="minorEastAsia" w:eastAsiaTheme="minorEastAsia" w:hAnsiTheme="minorEastAsia" w:hint="eastAsia"/>
                <w:sz w:val="20"/>
                <w:szCs w:val="20"/>
              </w:rPr>
              <w:t>知事</w:t>
            </w:r>
          </w:p>
          <w:p w14:paraId="1CF8A049" w14:textId="77777777" w:rsidR="008B4B2B" w:rsidRPr="001D6D10" w:rsidRDefault="008B4B2B" w:rsidP="008B4B2B">
            <w:pPr>
              <w:spacing w:line="0" w:lineRule="atLeast"/>
              <w:rPr>
                <w:rFonts w:asciiTheme="minorEastAsia" w:eastAsiaTheme="minorEastAsia" w:hAnsiTheme="minorEastAsia"/>
                <w:sz w:val="20"/>
                <w:szCs w:val="20"/>
              </w:rPr>
            </w:pPr>
            <w:r w:rsidRPr="001D6D10">
              <w:rPr>
                <w:rFonts w:asciiTheme="minorEastAsia" w:eastAsiaTheme="minorEastAsia" w:hAnsiTheme="minorEastAsia" w:hint="eastAsia"/>
                <w:sz w:val="20"/>
                <w:szCs w:val="20"/>
              </w:rPr>
              <w:t>（災害対策本部）</w:t>
            </w:r>
          </w:p>
        </w:tc>
        <w:tc>
          <w:tcPr>
            <w:tcW w:w="1560" w:type="dxa"/>
            <w:vAlign w:val="center"/>
          </w:tcPr>
          <w:p w14:paraId="0929DDD9" w14:textId="77777777" w:rsidR="008B4B2B" w:rsidRPr="001D6D10" w:rsidRDefault="008B4B2B" w:rsidP="008B4B2B">
            <w:pPr>
              <w:spacing w:line="0" w:lineRule="atLeast"/>
              <w:rPr>
                <w:rFonts w:asciiTheme="minorEastAsia" w:eastAsiaTheme="minorEastAsia" w:hAnsiTheme="minorEastAsia"/>
                <w:sz w:val="20"/>
                <w:szCs w:val="20"/>
              </w:rPr>
            </w:pPr>
            <w:r w:rsidRPr="001D6D10">
              <w:rPr>
                <w:rFonts w:asciiTheme="minorEastAsia" w:eastAsiaTheme="minorEastAsia" w:hAnsiTheme="minorEastAsia" w:hint="eastAsia"/>
                <w:sz w:val="20"/>
                <w:szCs w:val="20"/>
              </w:rPr>
              <w:t>・リエゾンからの情報により必要性が確認できたとき</w:t>
            </w:r>
          </w:p>
          <w:p w14:paraId="263092B1" w14:textId="77777777" w:rsidR="008B4B2B" w:rsidRPr="001D6D10" w:rsidRDefault="008B4B2B" w:rsidP="008B4B2B">
            <w:pPr>
              <w:spacing w:line="0" w:lineRule="atLeast"/>
              <w:rPr>
                <w:rFonts w:asciiTheme="minorEastAsia" w:eastAsiaTheme="minorEastAsia" w:hAnsiTheme="minorEastAsia"/>
                <w:sz w:val="20"/>
                <w:szCs w:val="20"/>
              </w:rPr>
            </w:pPr>
            <w:r w:rsidRPr="001D6D10">
              <w:rPr>
                <w:rFonts w:asciiTheme="minorEastAsia" w:eastAsiaTheme="minorEastAsia" w:hAnsiTheme="minorEastAsia" w:hint="eastAsia"/>
                <w:sz w:val="20"/>
                <w:szCs w:val="20"/>
              </w:rPr>
              <w:t>・市町村長から求めがあったとき</w:t>
            </w:r>
          </w:p>
        </w:tc>
        <w:tc>
          <w:tcPr>
            <w:tcW w:w="3405" w:type="dxa"/>
            <w:vAlign w:val="center"/>
          </w:tcPr>
          <w:p w14:paraId="3078675E" w14:textId="77777777" w:rsidR="008B4B2B" w:rsidRPr="001D6D10" w:rsidRDefault="008B4B2B" w:rsidP="008B4B2B">
            <w:pPr>
              <w:spacing w:line="0" w:lineRule="atLeast"/>
              <w:rPr>
                <w:rFonts w:asciiTheme="minorEastAsia" w:eastAsiaTheme="minorEastAsia" w:hAnsiTheme="minorEastAsia"/>
                <w:sz w:val="20"/>
                <w:szCs w:val="20"/>
              </w:rPr>
            </w:pPr>
            <w:r w:rsidRPr="001D6D10">
              <w:rPr>
                <w:rFonts w:asciiTheme="minorEastAsia" w:eastAsiaTheme="minorEastAsia" w:hAnsiTheme="minorEastAsia" w:hint="eastAsia"/>
                <w:sz w:val="20"/>
                <w:szCs w:val="20"/>
              </w:rPr>
              <w:t>初動時の災害応急対策の実施を支援</w:t>
            </w:r>
          </w:p>
        </w:tc>
      </w:tr>
      <w:tr w:rsidR="001D6D10" w:rsidRPr="001D6D10" w14:paraId="0772DE1D" w14:textId="77777777" w:rsidTr="008B4B2B">
        <w:trPr>
          <w:trHeight w:val="1210"/>
        </w:trPr>
        <w:tc>
          <w:tcPr>
            <w:tcW w:w="567" w:type="dxa"/>
            <w:textDirection w:val="tbRlV"/>
            <w:vAlign w:val="center"/>
          </w:tcPr>
          <w:p w14:paraId="3F6B292F" w14:textId="77777777" w:rsidR="008B4B2B" w:rsidRPr="001D6D10" w:rsidRDefault="008B4B2B" w:rsidP="008B4B2B">
            <w:pPr>
              <w:spacing w:line="0" w:lineRule="atLeast"/>
              <w:ind w:left="113" w:right="113"/>
              <w:jc w:val="center"/>
              <w:rPr>
                <w:rFonts w:asciiTheme="minorEastAsia" w:eastAsiaTheme="minorEastAsia" w:hAnsiTheme="minorEastAsia"/>
                <w:sz w:val="20"/>
                <w:szCs w:val="20"/>
              </w:rPr>
            </w:pPr>
            <w:r w:rsidRPr="001D6D10">
              <w:rPr>
                <w:rFonts w:asciiTheme="minorEastAsia" w:eastAsiaTheme="minorEastAsia" w:hAnsiTheme="minorEastAsia" w:hint="eastAsia"/>
                <w:sz w:val="20"/>
                <w:szCs w:val="20"/>
              </w:rPr>
              <w:t>職員派遣</w:t>
            </w:r>
          </w:p>
        </w:tc>
        <w:tc>
          <w:tcPr>
            <w:tcW w:w="1702" w:type="dxa"/>
            <w:vAlign w:val="center"/>
          </w:tcPr>
          <w:p w14:paraId="0D17D6CE" w14:textId="77777777" w:rsidR="008B4B2B" w:rsidRPr="001D6D10" w:rsidRDefault="008B4B2B" w:rsidP="008B4B2B">
            <w:pPr>
              <w:spacing w:line="0" w:lineRule="atLeast"/>
              <w:rPr>
                <w:rFonts w:asciiTheme="minorEastAsia" w:eastAsiaTheme="minorEastAsia" w:hAnsiTheme="minorEastAsia"/>
                <w:sz w:val="20"/>
                <w:szCs w:val="20"/>
              </w:rPr>
            </w:pPr>
            <w:r w:rsidRPr="001D6D10">
              <w:rPr>
                <w:rFonts w:asciiTheme="minorEastAsia" w:eastAsiaTheme="minorEastAsia" w:hAnsiTheme="minorEastAsia" w:hint="eastAsia"/>
                <w:sz w:val="20"/>
                <w:szCs w:val="20"/>
              </w:rPr>
              <w:t>派遣職員②</w:t>
            </w:r>
          </w:p>
        </w:tc>
        <w:tc>
          <w:tcPr>
            <w:tcW w:w="1134" w:type="dxa"/>
            <w:vAlign w:val="center"/>
          </w:tcPr>
          <w:p w14:paraId="6698516F" w14:textId="77777777" w:rsidR="008B4B2B" w:rsidRPr="001D6D10" w:rsidRDefault="008B4B2B" w:rsidP="008B4B2B">
            <w:pPr>
              <w:spacing w:line="0" w:lineRule="atLeast"/>
              <w:rPr>
                <w:rFonts w:asciiTheme="minorEastAsia" w:eastAsiaTheme="minorEastAsia" w:hAnsiTheme="minorEastAsia"/>
                <w:sz w:val="20"/>
                <w:szCs w:val="20"/>
              </w:rPr>
            </w:pPr>
            <w:r w:rsidRPr="001D6D10">
              <w:rPr>
                <w:rFonts w:asciiTheme="minorEastAsia" w:eastAsiaTheme="minorEastAsia" w:hAnsiTheme="minorEastAsia" w:hint="eastAsia"/>
                <w:sz w:val="20"/>
                <w:szCs w:val="20"/>
              </w:rPr>
              <w:t>第４</w:t>
            </w:r>
          </w:p>
          <w:p w14:paraId="7C78FCCB" w14:textId="77777777" w:rsidR="008B4B2B" w:rsidRPr="001D6D10" w:rsidRDefault="008B4B2B" w:rsidP="008B4B2B">
            <w:pPr>
              <w:spacing w:line="0" w:lineRule="atLeast"/>
              <w:rPr>
                <w:rFonts w:asciiTheme="minorEastAsia" w:eastAsiaTheme="minorEastAsia" w:hAnsiTheme="minorEastAsia"/>
                <w:sz w:val="20"/>
                <w:szCs w:val="20"/>
              </w:rPr>
            </w:pPr>
            <w:r w:rsidRPr="001D6D10">
              <w:rPr>
                <w:rFonts w:asciiTheme="minorEastAsia" w:eastAsiaTheme="minorEastAsia" w:hAnsiTheme="minorEastAsia" w:hint="eastAsia"/>
                <w:sz w:val="20"/>
                <w:szCs w:val="20"/>
              </w:rPr>
              <w:t>フェーズ</w:t>
            </w:r>
          </w:p>
          <w:p w14:paraId="4886E00C" w14:textId="77777777" w:rsidR="008B4B2B" w:rsidRPr="001D6D10" w:rsidRDefault="008B4B2B" w:rsidP="008B4B2B">
            <w:pPr>
              <w:spacing w:line="0" w:lineRule="atLeast"/>
              <w:rPr>
                <w:rFonts w:asciiTheme="minorEastAsia" w:eastAsiaTheme="minorEastAsia" w:hAnsiTheme="minorEastAsia"/>
                <w:sz w:val="20"/>
                <w:szCs w:val="20"/>
              </w:rPr>
            </w:pPr>
            <w:r w:rsidRPr="001D6D10">
              <w:rPr>
                <w:rFonts w:asciiTheme="minorEastAsia" w:eastAsiaTheme="minorEastAsia" w:hAnsiTheme="minorEastAsia" w:hint="eastAsia"/>
                <w:sz w:val="20"/>
                <w:szCs w:val="20"/>
              </w:rPr>
              <w:t>以降</w:t>
            </w:r>
          </w:p>
        </w:tc>
        <w:tc>
          <w:tcPr>
            <w:tcW w:w="850" w:type="dxa"/>
            <w:vAlign w:val="center"/>
          </w:tcPr>
          <w:p w14:paraId="794E0033" w14:textId="77777777" w:rsidR="008B4B2B" w:rsidRPr="001D6D10" w:rsidRDefault="008B4B2B" w:rsidP="008B4B2B">
            <w:pPr>
              <w:spacing w:line="0" w:lineRule="atLeast"/>
              <w:jc w:val="center"/>
              <w:rPr>
                <w:rFonts w:asciiTheme="minorEastAsia" w:eastAsiaTheme="minorEastAsia" w:hAnsiTheme="minorEastAsia"/>
                <w:sz w:val="20"/>
                <w:szCs w:val="20"/>
              </w:rPr>
            </w:pPr>
            <w:r w:rsidRPr="001D6D10">
              <w:rPr>
                <w:rFonts w:asciiTheme="minorEastAsia" w:eastAsiaTheme="minorEastAsia" w:hAnsiTheme="minorEastAsia" w:hint="eastAsia"/>
                <w:sz w:val="20"/>
                <w:szCs w:val="20"/>
              </w:rPr>
              <w:t>プル</w:t>
            </w:r>
          </w:p>
        </w:tc>
        <w:tc>
          <w:tcPr>
            <w:tcW w:w="1134" w:type="dxa"/>
            <w:vAlign w:val="center"/>
          </w:tcPr>
          <w:p w14:paraId="406AAE8C" w14:textId="77777777" w:rsidR="008B4B2B" w:rsidRPr="001D6D10" w:rsidRDefault="008B4B2B" w:rsidP="008B4B2B">
            <w:pPr>
              <w:spacing w:line="0" w:lineRule="atLeast"/>
              <w:rPr>
                <w:rFonts w:asciiTheme="minorEastAsia" w:eastAsiaTheme="minorEastAsia" w:hAnsiTheme="minorEastAsia"/>
                <w:sz w:val="20"/>
                <w:szCs w:val="20"/>
              </w:rPr>
            </w:pPr>
            <w:r w:rsidRPr="001D6D10">
              <w:rPr>
                <w:rFonts w:asciiTheme="minorEastAsia" w:eastAsiaTheme="minorEastAsia" w:hAnsiTheme="minorEastAsia" w:hint="eastAsia"/>
                <w:sz w:val="20"/>
                <w:szCs w:val="20"/>
              </w:rPr>
              <w:t>知事</w:t>
            </w:r>
          </w:p>
          <w:p w14:paraId="57B6FAD0" w14:textId="77777777" w:rsidR="008B4B2B" w:rsidRPr="001D6D10" w:rsidRDefault="008B4B2B" w:rsidP="008B4B2B">
            <w:pPr>
              <w:spacing w:line="0" w:lineRule="atLeast"/>
              <w:rPr>
                <w:rFonts w:asciiTheme="minorEastAsia" w:eastAsiaTheme="minorEastAsia" w:hAnsiTheme="minorEastAsia"/>
                <w:sz w:val="20"/>
                <w:szCs w:val="20"/>
              </w:rPr>
            </w:pPr>
            <w:r w:rsidRPr="001D6D10">
              <w:rPr>
                <w:rFonts w:asciiTheme="minorEastAsia" w:eastAsiaTheme="minorEastAsia" w:hAnsiTheme="minorEastAsia" w:hint="eastAsia"/>
                <w:sz w:val="20"/>
                <w:szCs w:val="20"/>
              </w:rPr>
              <w:t>（災害対策本部・人事課）</w:t>
            </w:r>
          </w:p>
        </w:tc>
        <w:tc>
          <w:tcPr>
            <w:tcW w:w="1560" w:type="dxa"/>
            <w:vAlign w:val="center"/>
          </w:tcPr>
          <w:p w14:paraId="21C0E21E" w14:textId="77777777" w:rsidR="008B4B2B" w:rsidRPr="001D6D10" w:rsidRDefault="008B4B2B" w:rsidP="008B4B2B">
            <w:pPr>
              <w:spacing w:line="0" w:lineRule="atLeast"/>
              <w:rPr>
                <w:rFonts w:asciiTheme="minorEastAsia" w:eastAsiaTheme="minorEastAsia" w:hAnsiTheme="minorEastAsia"/>
                <w:sz w:val="20"/>
                <w:szCs w:val="20"/>
              </w:rPr>
            </w:pPr>
            <w:r w:rsidRPr="001D6D10">
              <w:rPr>
                <w:rFonts w:asciiTheme="minorEastAsia" w:eastAsiaTheme="minorEastAsia" w:hAnsiTheme="minorEastAsia" w:hint="eastAsia"/>
                <w:sz w:val="20"/>
                <w:szCs w:val="20"/>
              </w:rPr>
              <w:t>市町村長等からの要請を受けたとき</w:t>
            </w:r>
          </w:p>
        </w:tc>
        <w:tc>
          <w:tcPr>
            <w:tcW w:w="3405" w:type="dxa"/>
            <w:vAlign w:val="center"/>
          </w:tcPr>
          <w:p w14:paraId="7FAF6998" w14:textId="77777777" w:rsidR="008B4B2B" w:rsidRPr="001D6D10" w:rsidRDefault="008B4B2B" w:rsidP="008B4B2B">
            <w:pPr>
              <w:spacing w:line="0" w:lineRule="atLeast"/>
              <w:rPr>
                <w:rFonts w:asciiTheme="minorEastAsia" w:eastAsiaTheme="minorEastAsia" w:hAnsiTheme="minorEastAsia"/>
                <w:sz w:val="20"/>
                <w:szCs w:val="20"/>
              </w:rPr>
            </w:pPr>
            <w:r w:rsidRPr="001D6D10">
              <w:rPr>
                <w:rFonts w:asciiTheme="minorEastAsia" w:eastAsiaTheme="minorEastAsia" w:hAnsiTheme="minorEastAsia" w:hint="eastAsia"/>
                <w:sz w:val="20"/>
                <w:szCs w:val="20"/>
              </w:rPr>
              <w:t>市町村から求められる業務</w:t>
            </w:r>
          </w:p>
        </w:tc>
      </w:tr>
    </w:tbl>
    <w:p w14:paraId="5CBFB59B" w14:textId="77777777" w:rsidR="008B4B2B" w:rsidRPr="001D6D10" w:rsidRDefault="008B4B2B" w:rsidP="008B4B2B">
      <w:pPr>
        <w:rPr>
          <w:rFonts w:asciiTheme="minorEastAsia" w:eastAsiaTheme="minorEastAsia" w:hAnsiTheme="minorEastAsia"/>
          <w:sz w:val="22"/>
          <w:szCs w:val="22"/>
        </w:rPr>
      </w:pPr>
      <w:r w:rsidRPr="001D6D10">
        <w:rPr>
          <w:rFonts w:asciiTheme="minorEastAsia" w:eastAsiaTheme="minorEastAsia" w:hAnsiTheme="minorEastAsia" w:hint="eastAsia"/>
          <w:sz w:val="22"/>
          <w:szCs w:val="22"/>
        </w:rPr>
        <w:t>（※１）応　　援：主にマンパワーとしての人員に着目した短期の応援</w:t>
      </w:r>
    </w:p>
    <w:p w14:paraId="41A6E88E" w14:textId="77777777" w:rsidR="008B4B2B" w:rsidRPr="001D6D10" w:rsidRDefault="008B4B2B" w:rsidP="008B4B2B">
      <w:pPr>
        <w:ind w:firstLineChars="400" w:firstLine="884"/>
        <w:rPr>
          <w:rFonts w:asciiTheme="minorEastAsia" w:eastAsiaTheme="minorEastAsia" w:hAnsiTheme="minorEastAsia"/>
          <w:sz w:val="22"/>
          <w:szCs w:val="22"/>
        </w:rPr>
      </w:pPr>
      <w:r w:rsidRPr="001D6D10">
        <w:rPr>
          <w:rFonts w:asciiTheme="minorEastAsia" w:eastAsiaTheme="minorEastAsia" w:hAnsiTheme="minorEastAsia" w:hint="eastAsia"/>
          <w:sz w:val="22"/>
          <w:szCs w:val="22"/>
        </w:rPr>
        <w:t>職員派遣：職員個人の有する技術・知識・経験等に着目した長期の職員派遣</w:t>
      </w:r>
    </w:p>
    <w:p w14:paraId="3B3462FB" w14:textId="77777777" w:rsidR="008B4B2B" w:rsidRPr="001D6D10" w:rsidRDefault="008B4B2B" w:rsidP="008B4B2B">
      <w:pPr>
        <w:ind w:left="884" w:hangingChars="400" w:hanging="884"/>
        <w:rPr>
          <w:rFonts w:asciiTheme="minorEastAsia" w:eastAsiaTheme="minorEastAsia" w:hAnsiTheme="minorEastAsia"/>
          <w:sz w:val="22"/>
          <w:szCs w:val="22"/>
        </w:rPr>
      </w:pPr>
      <w:r w:rsidRPr="001D6D10">
        <w:rPr>
          <w:rFonts w:asciiTheme="minorEastAsia" w:eastAsiaTheme="minorEastAsia" w:hAnsiTheme="minorEastAsia" w:hint="eastAsia"/>
          <w:sz w:val="22"/>
          <w:szCs w:val="22"/>
        </w:rPr>
        <w:t>（※２）第１フェーズ：～３時間まで、第２フェーズ：～２４時間まで、第３フェーズ：～７２時間（３日目）まで、第４フェーズ：～１週間まで、第５フェーズ：～２週間まで</w:t>
      </w:r>
    </w:p>
    <w:p w14:paraId="63C61764" w14:textId="77777777" w:rsidR="008B4B2B" w:rsidRPr="001D6D10" w:rsidRDefault="008B4B2B" w:rsidP="008B4B2B">
      <w:pPr>
        <w:ind w:left="884" w:hangingChars="400" w:hanging="884"/>
        <w:rPr>
          <w:rFonts w:asciiTheme="minorEastAsia" w:eastAsiaTheme="minorEastAsia" w:hAnsiTheme="minorEastAsia"/>
          <w:sz w:val="22"/>
          <w:szCs w:val="22"/>
        </w:rPr>
      </w:pPr>
      <w:r w:rsidRPr="001D6D10">
        <w:rPr>
          <w:rFonts w:asciiTheme="minorEastAsia" w:eastAsiaTheme="minorEastAsia" w:hAnsiTheme="minorEastAsia" w:hint="eastAsia"/>
          <w:sz w:val="22"/>
          <w:szCs w:val="22"/>
        </w:rPr>
        <w:t>（※３）</w:t>
      </w:r>
      <w:proofErr w:type="gramStart"/>
      <w:r w:rsidRPr="001D6D10">
        <w:rPr>
          <w:rFonts w:asciiTheme="minorEastAsia" w:eastAsiaTheme="minorEastAsia" w:hAnsiTheme="minorEastAsia" w:hint="eastAsia"/>
          <w:sz w:val="22"/>
          <w:szCs w:val="22"/>
        </w:rPr>
        <w:t>プッシュ</w:t>
      </w:r>
      <w:proofErr w:type="gramEnd"/>
      <w:r w:rsidRPr="001D6D10">
        <w:rPr>
          <w:rFonts w:asciiTheme="minorEastAsia" w:eastAsiaTheme="minorEastAsia" w:hAnsiTheme="minorEastAsia" w:hint="eastAsia"/>
          <w:sz w:val="22"/>
          <w:szCs w:val="22"/>
        </w:rPr>
        <w:t>型：市町村からの要請を待たずに職員を派遣する方式</w:t>
      </w:r>
    </w:p>
    <w:p w14:paraId="417C39DC" w14:textId="77777777" w:rsidR="008B4B2B" w:rsidRPr="001D6D10" w:rsidRDefault="008B4B2B" w:rsidP="008B4B2B">
      <w:pPr>
        <w:ind w:left="884" w:hangingChars="400" w:hanging="884"/>
        <w:rPr>
          <w:rFonts w:asciiTheme="minorEastAsia" w:eastAsiaTheme="minorEastAsia" w:hAnsiTheme="minorEastAsia"/>
          <w:sz w:val="22"/>
          <w:szCs w:val="22"/>
        </w:rPr>
      </w:pPr>
      <w:r w:rsidRPr="001D6D10">
        <w:rPr>
          <w:rFonts w:asciiTheme="minorEastAsia" w:eastAsiaTheme="minorEastAsia" w:hAnsiTheme="minorEastAsia" w:hint="eastAsia"/>
          <w:sz w:val="22"/>
          <w:szCs w:val="22"/>
        </w:rPr>
        <w:t xml:space="preserve">　　　　プル型：市町村からの要請に応じて職員を派遣する方式</w:t>
      </w:r>
    </w:p>
    <w:p w14:paraId="55C4814A" w14:textId="77777777" w:rsidR="008C596E" w:rsidRPr="001D6D10" w:rsidRDefault="008C596E" w:rsidP="008B4B2B">
      <w:pPr>
        <w:ind w:left="884" w:hangingChars="400" w:hanging="884"/>
        <w:rPr>
          <w:rFonts w:asciiTheme="minorEastAsia" w:eastAsiaTheme="minorEastAsia" w:hAnsiTheme="minorEastAsia"/>
          <w:sz w:val="22"/>
          <w:szCs w:val="22"/>
        </w:rPr>
      </w:pPr>
    </w:p>
    <w:p w14:paraId="6EA0E1F3" w14:textId="77777777" w:rsidR="008B4B2B" w:rsidRPr="001D6D10" w:rsidRDefault="008B4B2B" w:rsidP="008B4B2B">
      <w:pPr>
        <w:pStyle w:val="a0"/>
        <w:ind w:rightChars="-108" w:right="-228" w:firstLineChars="200" w:firstLine="442"/>
        <w:rPr>
          <w:rFonts w:hAnsi="ＭＳ 明朝"/>
          <w:sz w:val="22"/>
          <w:szCs w:val="22"/>
          <w:u w:val="single"/>
        </w:rPr>
      </w:pPr>
      <w:r w:rsidRPr="001D6D10">
        <w:rPr>
          <w:rFonts w:ascii="ＭＳ ゴシック" w:eastAsia="ＭＳ ゴシック" w:hAnsi="ＭＳ ゴシック" w:hint="eastAsia"/>
          <w:sz w:val="22"/>
          <w:szCs w:val="22"/>
        </w:rPr>
        <w:t xml:space="preserve">　</w:t>
      </w:r>
      <w:r w:rsidRPr="001D6D10">
        <w:rPr>
          <w:rFonts w:ascii="ＭＳ ゴシック" w:eastAsia="ＭＳ ゴシック" w:hAnsi="ＭＳ ゴシック" w:hint="eastAsia"/>
          <w:sz w:val="22"/>
          <w:szCs w:val="22"/>
          <w:u w:val="single"/>
        </w:rPr>
        <w:t>２－１　災害時先遣隊及び現地情報連絡員（リエゾン）の派遣</w:t>
      </w:r>
      <w:r w:rsidRPr="001D6D10">
        <w:rPr>
          <w:rFonts w:ascii="ＭＳ ゴシック" w:eastAsia="ＭＳ ゴシック" w:hAnsi="ＭＳ ゴシック" w:hint="eastAsia"/>
          <w:sz w:val="22"/>
          <w:szCs w:val="22"/>
          <w:u w:val="single"/>
          <w:shd w:val="pct15" w:color="auto" w:fill="FFFFFF"/>
        </w:rPr>
        <w:t>【第２～３フェーズ】</w:t>
      </w:r>
    </w:p>
    <w:p w14:paraId="5242569B" w14:textId="666DAB0D" w:rsidR="008C596E" w:rsidRPr="001D6D10" w:rsidRDefault="008B4B2B" w:rsidP="008B4B2B">
      <w:pPr>
        <w:pStyle w:val="a0"/>
        <w:ind w:leftChars="410" w:left="866" w:firstLineChars="100" w:firstLine="221"/>
        <w:rPr>
          <w:rFonts w:hAnsi="ＭＳ 明朝"/>
          <w:sz w:val="22"/>
          <w:szCs w:val="22"/>
        </w:rPr>
      </w:pPr>
      <w:r w:rsidRPr="001D6D10">
        <w:rPr>
          <w:rFonts w:hAnsi="ＭＳ 明朝" w:hint="eastAsia"/>
          <w:sz w:val="22"/>
          <w:szCs w:val="22"/>
        </w:rPr>
        <w:t>危機管理監は、府内において大規模な自然災害が発生し、被災市町村の行政機能の全部又は一部麻痺した場合に被災市町村の被災状況や初動時の災害応急対策の実施を支援するため、当該市町村からの要請を待つことなく、「大阪府災害時先遣隊」及び「現地情報連絡員（リエゾン）」を派遣する。</w:t>
      </w:r>
    </w:p>
    <w:p w14:paraId="56015EF6" w14:textId="77777777" w:rsidR="008B4B2B" w:rsidRPr="001D6D10" w:rsidRDefault="008B4B2B" w:rsidP="008B4B2B">
      <w:pPr>
        <w:pStyle w:val="a0"/>
        <w:ind w:firstLineChars="300" w:firstLine="663"/>
        <w:rPr>
          <w:rFonts w:ascii="ＭＳ ゴシック" w:eastAsia="ＭＳ ゴシック" w:hAnsi="ＭＳ ゴシック"/>
          <w:sz w:val="22"/>
          <w:szCs w:val="22"/>
          <w:u w:val="single"/>
        </w:rPr>
      </w:pPr>
      <w:r w:rsidRPr="001D6D10">
        <w:rPr>
          <w:rFonts w:ascii="ＭＳ ゴシック" w:eastAsia="ＭＳ ゴシック" w:hAnsi="ＭＳ ゴシック" w:hint="eastAsia"/>
          <w:sz w:val="22"/>
          <w:szCs w:val="22"/>
          <w:u w:val="single"/>
        </w:rPr>
        <w:lastRenderedPageBreak/>
        <w:t>２－２　リエゾンからの情報又は市町村長からの要請による職員派遣</w:t>
      </w:r>
    </w:p>
    <w:p w14:paraId="0DA4D75D" w14:textId="77777777" w:rsidR="008B4B2B" w:rsidRPr="001D6D10" w:rsidRDefault="008B4B2B" w:rsidP="008B4B2B">
      <w:pPr>
        <w:pStyle w:val="a0"/>
        <w:ind w:firstLineChars="300" w:firstLine="663"/>
        <w:rPr>
          <w:rFonts w:ascii="ＭＳ ゴシック" w:eastAsia="ＭＳ ゴシック" w:hAnsi="ＭＳ ゴシック"/>
          <w:sz w:val="22"/>
          <w:szCs w:val="22"/>
          <w:u w:val="single"/>
          <w:shd w:val="pct15" w:color="auto" w:fill="FFFFFF"/>
        </w:rPr>
      </w:pPr>
      <w:r w:rsidRPr="001D6D10">
        <w:rPr>
          <w:rFonts w:ascii="ＭＳ ゴシック" w:eastAsia="ＭＳ ゴシック" w:hAnsi="ＭＳ ゴシック" w:hint="eastAsia"/>
          <w:sz w:val="22"/>
          <w:szCs w:val="22"/>
          <w:u w:val="single"/>
          <w:shd w:val="pct15" w:color="auto" w:fill="FFFFFF"/>
        </w:rPr>
        <w:t>【第３フェーズ】</w:t>
      </w:r>
    </w:p>
    <w:p w14:paraId="07E6D604" w14:textId="77777777" w:rsidR="008B4B2B" w:rsidRPr="001D6D10" w:rsidRDefault="008B4B2B" w:rsidP="008B4B2B">
      <w:pPr>
        <w:pStyle w:val="a0"/>
        <w:ind w:leftChars="400" w:left="844" w:firstLineChars="100" w:firstLine="221"/>
        <w:rPr>
          <w:rFonts w:asciiTheme="minorEastAsia" w:eastAsiaTheme="minorEastAsia" w:hAnsiTheme="minorEastAsia"/>
          <w:sz w:val="22"/>
          <w:szCs w:val="22"/>
        </w:rPr>
      </w:pPr>
      <w:r w:rsidRPr="001D6D10">
        <w:rPr>
          <w:rFonts w:asciiTheme="minorEastAsia" w:eastAsiaTheme="minorEastAsia" w:hAnsiTheme="minorEastAsia" w:hint="eastAsia"/>
          <w:sz w:val="22"/>
          <w:szCs w:val="22"/>
        </w:rPr>
        <w:t>リエゾンからの情報により必要性が確認できたとき、又は、市町村長から応援の要請を受けたときは、災害対策基本法第68条に基づき、短期の応援を行う。（派遣職員①）</w:t>
      </w:r>
    </w:p>
    <w:p w14:paraId="3DAD1904" w14:textId="77777777" w:rsidR="008B4B2B" w:rsidRPr="001D6D10" w:rsidRDefault="008B4B2B" w:rsidP="008B4B2B">
      <w:pPr>
        <w:pStyle w:val="a0"/>
        <w:ind w:leftChars="400" w:left="844" w:firstLineChars="100" w:firstLine="221"/>
        <w:rPr>
          <w:rFonts w:ascii="ＭＳ ゴシック" w:eastAsia="ＭＳ ゴシック" w:hAnsi="ＭＳ ゴシック"/>
          <w:sz w:val="22"/>
          <w:szCs w:val="22"/>
        </w:rPr>
      </w:pPr>
    </w:p>
    <w:p w14:paraId="34A585D2" w14:textId="77777777" w:rsidR="008B4B2B" w:rsidRPr="001D6D10" w:rsidRDefault="008B4B2B" w:rsidP="008B4B2B">
      <w:pPr>
        <w:pStyle w:val="a0"/>
        <w:ind w:firstLineChars="300" w:firstLine="663"/>
        <w:rPr>
          <w:rFonts w:ascii="ＭＳ ゴシック" w:eastAsia="ＭＳ ゴシック" w:hAnsi="ＭＳ ゴシック"/>
          <w:sz w:val="22"/>
          <w:szCs w:val="22"/>
          <w:u w:val="single"/>
        </w:rPr>
      </w:pPr>
      <w:r w:rsidRPr="001D6D10">
        <w:rPr>
          <w:rFonts w:ascii="ＭＳ ゴシック" w:eastAsia="ＭＳ ゴシック" w:hAnsi="ＭＳ ゴシック" w:hint="eastAsia"/>
          <w:sz w:val="22"/>
          <w:szCs w:val="22"/>
          <w:u w:val="single"/>
        </w:rPr>
        <w:t>２－３　地方自治法に基づく市町村の要請による職員派遣</w:t>
      </w:r>
      <w:r w:rsidRPr="001D6D10">
        <w:rPr>
          <w:rFonts w:ascii="ＭＳ ゴシック" w:eastAsia="ＭＳ ゴシック" w:hAnsi="ＭＳ ゴシック" w:hint="eastAsia"/>
          <w:sz w:val="22"/>
          <w:szCs w:val="22"/>
          <w:u w:val="single"/>
          <w:shd w:val="pct15" w:color="auto" w:fill="FFFFFF"/>
        </w:rPr>
        <w:t>【第４フェーズ～】</w:t>
      </w:r>
    </w:p>
    <w:p w14:paraId="4D0B9B2F" w14:textId="77777777" w:rsidR="008B4B2B" w:rsidRPr="001D6D10" w:rsidRDefault="008B4B2B" w:rsidP="008B4B2B">
      <w:pPr>
        <w:pStyle w:val="a0"/>
        <w:ind w:leftChars="400" w:left="844" w:firstLineChars="100" w:firstLine="221"/>
        <w:rPr>
          <w:rFonts w:hAnsi="ＭＳ 明朝"/>
          <w:sz w:val="22"/>
          <w:szCs w:val="22"/>
        </w:rPr>
      </w:pPr>
      <w:r w:rsidRPr="001D6D10">
        <w:rPr>
          <w:rFonts w:hAnsi="ＭＳ 明朝" w:hint="eastAsia"/>
          <w:sz w:val="22"/>
          <w:szCs w:val="22"/>
        </w:rPr>
        <w:t>知事等（人事課長）は、災害対策本部を通じて市町村長等から、地方自治法第252条の17の規定に基づき、職員の派遣要請を受けたときは、その所掌事務又は業務の遂行に支障のない限り、関係部局と協議のうえ、適任と認める職員を派遣する。</w:t>
      </w:r>
      <w:r w:rsidRPr="001D6D10">
        <w:rPr>
          <w:rFonts w:asciiTheme="minorEastAsia" w:eastAsiaTheme="minorEastAsia" w:hAnsiTheme="minorEastAsia" w:hint="eastAsia"/>
          <w:sz w:val="22"/>
          <w:szCs w:val="22"/>
        </w:rPr>
        <w:t>（派遣職員②）</w:t>
      </w:r>
    </w:p>
    <w:p w14:paraId="514D485E" w14:textId="77777777" w:rsidR="008B4B2B" w:rsidRPr="001D6D10" w:rsidRDefault="008B4B2B" w:rsidP="008B4B2B">
      <w:pPr>
        <w:pStyle w:val="a0"/>
        <w:ind w:leftChars="200" w:left="422" w:firstLineChars="100" w:firstLine="221"/>
        <w:rPr>
          <w:rFonts w:hAnsi="ＭＳ 明朝"/>
          <w:sz w:val="22"/>
          <w:szCs w:val="22"/>
        </w:rPr>
      </w:pPr>
    </w:p>
    <w:p w14:paraId="1CDE2660" w14:textId="77777777" w:rsidR="008B4B2B" w:rsidRPr="001D6D10" w:rsidRDefault="008B4B2B" w:rsidP="0099357C">
      <w:pPr>
        <w:pStyle w:val="a0"/>
        <w:ind w:firstLineChars="200" w:firstLine="442"/>
        <w:outlineLvl w:val="2"/>
        <w:rPr>
          <w:rFonts w:ascii="ＭＳ ゴシック" w:eastAsia="ＭＳ ゴシック" w:hAnsi="ＭＳ ゴシック"/>
          <w:sz w:val="22"/>
          <w:szCs w:val="22"/>
          <w:u w:val="double"/>
        </w:rPr>
      </w:pPr>
      <w:bookmarkStart w:id="174" w:name="_Toc122436907"/>
      <w:bookmarkStart w:id="175" w:name="_Toc222486590"/>
      <w:bookmarkStart w:id="176" w:name="_Toc242870260"/>
      <w:r w:rsidRPr="001D6D10">
        <w:rPr>
          <w:rFonts w:ascii="ＭＳ ゴシック" w:eastAsia="ＭＳ ゴシック" w:hAnsi="ＭＳ ゴシック" w:hint="eastAsia"/>
          <w:sz w:val="22"/>
          <w:szCs w:val="22"/>
          <w:u w:val="double"/>
        </w:rPr>
        <w:t>第３　指定（地方）公共機関との連携</w:t>
      </w:r>
      <w:r w:rsidRPr="001D6D10">
        <w:rPr>
          <w:rFonts w:ascii="ＭＳ ゴシック" w:eastAsia="ＭＳ ゴシック" w:hAnsi="ＭＳ ゴシック" w:hint="eastAsia"/>
          <w:sz w:val="22"/>
          <w:szCs w:val="22"/>
          <w:u w:val="double"/>
          <w:shd w:val="pct15" w:color="auto" w:fill="FFFFFF"/>
        </w:rPr>
        <w:t>【第３フェーズ～】</w:t>
      </w:r>
      <w:bookmarkEnd w:id="174"/>
      <w:bookmarkEnd w:id="175"/>
      <w:bookmarkEnd w:id="176"/>
    </w:p>
    <w:p w14:paraId="1172FDC1" w14:textId="77777777" w:rsidR="008B4B2B" w:rsidRPr="001D6D10" w:rsidRDefault="008B4B2B" w:rsidP="008B4B2B">
      <w:pPr>
        <w:pStyle w:val="a0"/>
        <w:ind w:firstLineChars="500" w:firstLine="1105"/>
        <w:rPr>
          <w:rFonts w:ascii="ＭＳ ゴシック" w:eastAsia="ＭＳ ゴシック" w:hAnsi="ＭＳ ゴシック"/>
          <w:sz w:val="22"/>
          <w:szCs w:val="22"/>
        </w:rPr>
      </w:pPr>
      <w:r w:rsidRPr="001D6D10">
        <w:rPr>
          <w:rFonts w:ascii="ＭＳ ゴシック" w:eastAsia="ＭＳ ゴシック" w:hAnsi="ＭＳ ゴシック" w:hint="eastAsia"/>
          <w:sz w:val="22"/>
          <w:szCs w:val="22"/>
          <w:bdr w:val="single" w:sz="4" w:space="0" w:color="auto"/>
        </w:rPr>
        <w:t>主たる担当：危機管理室</w:t>
      </w:r>
    </w:p>
    <w:p w14:paraId="037D9688" w14:textId="77777777" w:rsidR="008B4B2B" w:rsidRPr="001D6D10" w:rsidRDefault="008B4B2B" w:rsidP="008B4B2B">
      <w:pPr>
        <w:pStyle w:val="a0"/>
        <w:ind w:firstLineChars="300" w:firstLine="663"/>
        <w:rPr>
          <w:rFonts w:ascii="ＭＳ ゴシック" w:eastAsia="ＭＳ ゴシック" w:hAnsi="ＭＳ ゴシック"/>
          <w:sz w:val="22"/>
          <w:szCs w:val="22"/>
          <w:u w:val="single"/>
        </w:rPr>
      </w:pPr>
      <w:r w:rsidRPr="001D6D10">
        <w:rPr>
          <w:rFonts w:ascii="ＭＳ ゴシック" w:eastAsia="ＭＳ ゴシック" w:hAnsi="ＭＳ ゴシック" w:hint="eastAsia"/>
          <w:sz w:val="22"/>
          <w:szCs w:val="22"/>
          <w:u w:val="single"/>
        </w:rPr>
        <w:t>１　指定（地方）公共機関への措置要請</w:t>
      </w:r>
    </w:p>
    <w:p w14:paraId="0404827A" w14:textId="77777777" w:rsidR="008B4B2B" w:rsidRPr="001D6D10" w:rsidRDefault="008B4B2B" w:rsidP="008B4B2B">
      <w:pPr>
        <w:pStyle w:val="a0"/>
        <w:ind w:leftChars="418" w:left="882" w:firstLineChars="90" w:firstLine="199"/>
        <w:rPr>
          <w:rFonts w:hAnsi="ＭＳ 明朝"/>
          <w:sz w:val="22"/>
          <w:szCs w:val="22"/>
        </w:rPr>
      </w:pPr>
      <w:r w:rsidRPr="001D6D10">
        <w:rPr>
          <w:rFonts w:hAnsi="ＭＳ 明朝" w:hint="eastAsia"/>
          <w:sz w:val="22"/>
          <w:szCs w:val="22"/>
        </w:rPr>
        <w:t>知事等（災害対策課長）は、災害応急対策を的確かつ迅速に実施するため必要があると認めるときは、関係する指定（地方）公共機関に対し、その業務に係る災害応急対策の実施に関し必要な要請</w:t>
      </w:r>
      <w:proofErr w:type="gramStart"/>
      <w:r w:rsidRPr="001D6D10">
        <w:rPr>
          <w:rFonts w:hAnsi="ＭＳ 明朝" w:hint="eastAsia"/>
          <w:sz w:val="22"/>
          <w:szCs w:val="22"/>
        </w:rPr>
        <w:t>を</w:t>
      </w:r>
      <w:proofErr w:type="gramEnd"/>
      <w:r w:rsidRPr="001D6D10">
        <w:rPr>
          <w:rFonts w:hAnsi="ＭＳ 明朝" w:hint="eastAsia"/>
          <w:sz w:val="22"/>
          <w:szCs w:val="22"/>
        </w:rPr>
        <w:t>文書</w:t>
      </w:r>
      <w:proofErr w:type="gramStart"/>
      <w:r w:rsidRPr="001D6D10">
        <w:rPr>
          <w:rFonts w:hAnsi="ＭＳ 明朝" w:hint="eastAsia"/>
          <w:sz w:val="22"/>
          <w:szCs w:val="22"/>
        </w:rPr>
        <w:t>を</w:t>
      </w:r>
      <w:proofErr w:type="gramEnd"/>
      <w:r w:rsidRPr="001D6D10">
        <w:rPr>
          <w:rFonts w:hAnsi="ＭＳ 明朝" w:hint="eastAsia"/>
          <w:sz w:val="22"/>
          <w:szCs w:val="22"/>
        </w:rPr>
        <w:t>もって要請する。</w:t>
      </w:r>
    </w:p>
    <w:p w14:paraId="3C0E3619" w14:textId="77777777" w:rsidR="008B4B2B" w:rsidRPr="001D6D10" w:rsidRDefault="008B4B2B" w:rsidP="008B4B2B">
      <w:pPr>
        <w:pStyle w:val="a0"/>
        <w:ind w:firstLineChars="300" w:firstLine="663"/>
        <w:rPr>
          <w:rFonts w:ascii="ＭＳ ゴシック" w:eastAsia="ＭＳ ゴシック" w:hAnsi="ＭＳ ゴシック"/>
          <w:sz w:val="22"/>
          <w:szCs w:val="22"/>
        </w:rPr>
      </w:pPr>
    </w:p>
    <w:p w14:paraId="083E2445" w14:textId="77777777" w:rsidR="008B4B2B" w:rsidRPr="001D6D10" w:rsidRDefault="008B4B2B" w:rsidP="008B4B2B">
      <w:pPr>
        <w:pStyle w:val="a0"/>
        <w:ind w:firstLineChars="300" w:firstLine="663"/>
        <w:rPr>
          <w:rFonts w:ascii="ＭＳ ゴシック" w:eastAsia="ＭＳ ゴシック" w:hAnsi="ＭＳ ゴシック"/>
          <w:sz w:val="22"/>
          <w:szCs w:val="22"/>
          <w:u w:val="single"/>
        </w:rPr>
      </w:pPr>
      <w:r w:rsidRPr="001D6D10">
        <w:rPr>
          <w:rFonts w:ascii="ＭＳ ゴシック" w:eastAsia="ＭＳ ゴシック" w:hAnsi="ＭＳ ゴシック" w:hint="eastAsia"/>
          <w:sz w:val="22"/>
          <w:szCs w:val="22"/>
          <w:u w:val="single"/>
        </w:rPr>
        <w:t>２　指定（地方）公共機関に対する応援</w:t>
      </w:r>
    </w:p>
    <w:p w14:paraId="53020D9C" w14:textId="77777777" w:rsidR="008B4B2B" w:rsidRPr="001D6D10" w:rsidRDefault="008B4B2B" w:rsidP="008B4B2B">
      <w:pPr>
        <w:pStyle w:val="a0"/>
        <w:ind w:leftChars="410" w:left="866" w:firstLineChars="100" w:firstLine="221"/>
        <w:rPr>
          <w:rFonts w:hAnsi="ＭＳ 明朝"/>
          <w:sz w:val="22"/>
          <w:szCs w:val="22"/>
        </w:rPr>
      </w:pPr>
      <w:r w:rsidRPr="001D6D10">
        <w:rPr>
          <w:rFonts w:hAnsi="ＭＳ 明朝" w:hint="eastAsia"/>
          <w:sz w:val="22"/>
          <w:szCs w:val="22"/>
        </w:rPr>
        <w:t>知事等（災害対策課長）は、指定（地方）公共機関から、その業務に係る災害応急対策を実施するため特に必要があるとして、労務、施設、設備又は物資の確保について応援を求められたときは、関係部局と協議のうえ、必要な支援を行う。</w:t>
      </w:r>
    </w:p>
    <w:p w14:paraId="10D0E966" w14:textId="77777777" w:rsidR="008B4B2B" w:rsidRPr="001D6D10" w:rsidRDefault="008B4B2B" w:rsidP="008B4B2B">
      <w:pPr>
        <w:pStyle w:val="a0"/>
        <w:rPr>
          <w:rFonts w:hAnsi="ＭＳ 明朝"/>
          <w:sz w:val="22"/>
          <w:szCs w:val="22"/>
        </w:rPr>
      </w:pPr>
    </w:p>
    <w:p w14:paraId="3996ABB9" w14:textId="77777777" w:rsidR="008B4B2B" w:rsidRPr="001D6D10" w:rsidRDefault="008B4B2B" w:rsidP="0099357C">
      <w:pPr>
        <w:pStyle w:val="a0"/>
        <w:ind w:firstLineChars="200" w:firstLine="442"/>
        <w:outlineLvl w:val="2"/>
        <w:rPr>
          <w:rFonts w:ascii="ＭＳ ゴシック" w:eastAsia="ＭＳ ゴシック" w:hAnsi="ＭＳ ゴシック"/>
          <w:sz w:val="22"/>
          <w:szCs w:val="22"/>
          <w:u w:val="double"/>
        </w:rPr>
      </w:pPr>
      <w:bookmarkStart w:id="177" w:name="_Toc122436908"/>
      <w:bookmarkStart w:id="178" w:name="_Toc222486591"/>
      <w:bookmarkStart w:id="179" w:name="_Toc242870261"/>
      <w:r w:rsidRPr="001D6D10">
        <w:rPr>
          <w:rFonts w:ascii="ＭＳ ゴシック" w:eastAsia="ＭＳ ゴシック" w:hAnsi="ＭＳ ゴシック" w:hint="eastAsia"/>
          <w:sz w:val="22"/>
          <w:szCs w:val="22"/>
          <w:u w:val="double"/>
        </w:rPr>
        <w:t>第４　住民等の自発的な協力との連携</w:t>
      </w:r>
      <w:r w:rsidRPr="001D6D10">
        <w:rPr>
          <w:rFonts w:ascii="ＭＳ ゴシック" w:eastAsia="ＭＳ ゴシック" w:hAnsi="ＭＳ ゴシック" w:hint="eastAsia"/>
          <w:sz w:val="22"/>
          <w:szCs w:val="22"/>
          <w:u w:val="double"/>
          <w:shd w:val="pct15" w:color="auto" w:fill="FFFFFF"/>
        </w:rPr>
        <w:t>【第４フェーズ～】</w:t>
      </w:r>
      <w:bookmarkEnd w:id="177"/>
      <w:bookmarkEnd w:id="178"/>
      <w:bookmarkEnd w:id="179"/>
    </w:p>
    <w:p w14:paraId="64469E7D" w14:textId="77777777" w:rsidR="008B4B2B" w:rsidRPr="001D6D10" w:rsidRDefault="008B4B2B" w:rsidP="008B4B2B">
      <w:pPr>
        <w:pStyle w:val="a0"/>
        <w:ind w:firstLineChars="500" w:firstLine="1105"/>
        <w:rPr>
          <w:rFonts w:ascii="ＭＳ ゴシック" w:eastAsia="ＭＳ ゴシック" w:hAnsi="ＭＳ ゴシック"/>
          <w:sz w:val="22"/>
          <w:szCs w:val="22"/>
          <w:bdr w:val="single" w:sz="4" w:space="0" w:color="auto"/>
        </w:rPr>
      </w:pPr>
      <w:r w:rsidRPr="001D6D10">
        <w:rPr>
          <w:rFonts w:ascii="ＭＳ ゴシック" w:eastAsia="ＭＳ ゴシック" w:hAnsi="ＭＳ ゴシック" w:hint="eastAsia"/>
          <w:sz w:val="22"/>
          <w:szCs w:val="22"/>
          <w:bdr w:val="single" w:sz="4" w:space="0" w:color="auto"/>
        </w:rPr>
        <w:t>主たる担当：危機管理室、地域福祉推進室</w:t>
      </w:r>
    </w:p>
    <w:p w14:paraId="043B09CA" w14:textId="77777777" w:rsidR="008B4B2B" w:rsidRPr="001D6D10" w:rsidRDefault="008B4B2B" w:rsidP="008B4B2B">
      <w:pPr>
        <w:pStyle w:val="a0"/>
        <w:ind w:leftChars="415" w:left="876" w:firstLineChars="99" w:firstLine="219"/>
        <w:rPr>
          <w:rFonts w:hAnsi="ＭＳ 明朝"/>
          <w:sz w:val="22"/>
          <w:szCs w:val="22"/>
        </w:rPr>
      </w:pPr>
      <w:r w:rsidRPr="001D6D10">
        <w:rPr>
          <w:rFonts w:hAnsi="ＭＳ 明朝" w:hint="eastAsia"/>
          <w:sz w:val="22"/>
          <w:szCs w:val="22"/>
        </w:rPr>
        <w:t>災害対策課長、地域福祉課長は、住民等から下記(1)～(4)について自発的な協力の申し入れがあり、安全の確保が十分であると判断したときは、その需給調整を行う窓口を開設する社会福祉法人大阪府社会福祉協議会を支援するなどして、住民等の自発的な協力との連携を図る。</w:t>
      </w:r>
    </w:p>
    <w:p w14:paraId="67F33ED5" w14:textId="77777777" w:rsidR="008B4B2B" w:rsidRPr="001D6D10" w:rsidRDefault="008B4B2B" w:rsidP="008B4B2B">
      <w:pPr>
        <w:pStyle w:val="a0"/>
        <w:ind w:firstLineChars="401" w:firstLine="887"/>
        <w:rPr>
          <w:rFonts w:hAnsi="ＭＳ 明朝"/>
          <w:sz w:val="22"/>
          <w:szCs w:val="22"/>
        </w:rPr>
      </w:pPr>
      <w:r w:rsidRPr="001D6D10">
        <w:rPr>
          <w:rFonts w:hAnsi="ＭＳ 明朝" w:hint="eastAsia"/>
          <w:sz w:val="22"/>
          <w:szCs w:val="22"/>
        </w:rPr>
        <w:t>(1)　避難住民の誘導に必要な援助</w:t>
      </w:r>
    </w:p>
    <w:p w14:paraId="79BE50E9" w14:textId="77777777" w:rsidR="008B4B2B" w:rsidRPr="001D6D10" w:rsidRDefault="008B4B2B" w:rsidP="008B4B2B">
      <w:pPr>
        <w:pStyle w:val="a0"/>
        <w:ind w:firstLineChars="401" w:firstLine="887"/>
        <w:rPr>
          <w:rFonts w:hAnsi="ＭＳ 明朝"/>
          <w:sz w:val="22"/>
          <w:szCs w:val="22"/>
        </w:rPr>
      </w:pPr>
      <w:r w:rsidRPr="001D6D10">
        <w:rPr>
          <w:rFonts w:hAnsi="ＭＳ 明朝" w:hint="eastAsia"/>
          <w:sz w:val="22"/>
          <w:szCs w:val="22"/>
        </w:rPr>
        <w:t>(2)　避難住民等の救援に必要な援助</w:t>
      </w:r>
    </w:p>
    <w:p w14:paraId="1532EB31" w14:textId="77777777" w:rsidR="008B4B2B" w:rsidRPr="001D6D10" w:rsidRDefault="008B4B2B" w:rsidP="008B4B2B">
      <w:pPr>
        <w:pStyle w:val="a0"/>
        <w:ind w:firstLineChars="400" w:firstLine="884"/>
        <w:rPr>
          <w:rFonts w:hAnsi="ＭＳ 明朝"/>
          <w:sz w:val="22"/>
          <w:szCs w:val="22"/>
        </w:rPr>
      </w:pPr>
      <w:r w:rsidRPr="001D6D10">
        <w:rPr>
          <w:rFonts w:hAnsi="ＭＳ 明朝" w:hint="eastAsia"/>
          <w:sz w:val="22"/>
          <w:szCs w:val="22"/>
        </w:rPr>
        <w:t>(3)　消防、負傷者の搬送、被災者の援助その他の応急措置に必要な援助</w:t>
      </w:r>
    </w:p>
    <w:p w14:paraId="5D7563AE" w14:textId="77777777" w:rsidR="008B4B2B" w:rsidRPr="001D6D10" w:rsidRDefault="008B4B2B" w:rsidP="008B4B2B">
      <w:pPr>
        <w:pStyle w:val="a0"/>
        <w:ind w:firstLineChars="400" w:firstLine="884"/>
        <w:rPr>
          <w:rFonts w:hAnsi="ＭＳ 明朝"/>
          <w:sz w:val="22"/>
          <w:szCs w:val="22"/>
        </w:rPr>
      </w:pPr>
      <w:r w:rsidRPr="001D6D10">
        <w:rPr>
          <w:rFonts w:hAnsi="ＭＳ 明朝" w:hint="eastAsia"/>
          <w:sz w:val="22"/>
          <w:szCs w:val="22"/>
        </w:rPr>
        <w:t>(4)　保健衛生の確保に必要な援助</w:t>
      </w:r>
    </w:p>
    <w:p w14:paraId="7B7E02D8" w14:textId="4E20C8F8" w:rsidR="00254093" w:rsidRDefault="00254093">
      <w:pPr>
        <w:widowControl/>
        <w:jc w:val="left"/>
        <w:rPr>
          <w:rFonts w:ascii="ＭＳ 明朝" w:hAnsi="ＭＳ 明朝" w:cs="Courier New"/>
          <w:sz w:val="22"/>
          <w:szCs w:val="22"/>
        </w:rPr>
      </w:pPr>
      <w:r>
        <w:rPr>
          <w:rFonts w:hAnsi="ＭＳ 明朝"/>
          <w:sz w:val="22"/>
          <w:szCs w:val="22"/>
        </w:rPr>
        <w:br w:type="page"/>
      </w:r>
    </w:p>
    <w:p w14:paraId="2C40033E" w14:textId="53635667" w:rsidR="008B4B2B" w:rsidRPr="001D6D10" w:rsidRDefault="008B4B2B" w:rsidP="0099357C">
      <w:pPr>
        <w:pStyle w:val="a0"/>
        <w:ind w:firstLineChars="200" w:firstLine="442"/>
        <w:outlineLvl w:val="2"/>
        <w:rPr>
          <w:rFonts w:ascii="ＭＳ ゴシック" w:eastAsia="ＭＳ ゴシック" w:hAnsi="ＭＳ ゴシック"/>
          <w:sz w:val="22"/>
          <w:szCs w:val="22"/>
          <w:u w:val="double"/>
        </w:rPr>
      </w:pPr>
      <w:bookmarkStart w:id="180" w:name="_Toc122436909"/>
      <w:bookmarkStart w:id="181" w:name="_Toc222486592"/>
      <w:bookmarkStart w:id="182" w:name="_Toc242870262"/>
      <w:r w:rsidRPr="001D6D10">
        <w:rPr>
          <w:rFonts w:ascii="ＭＳ ゴシック" w:eastAsia="ＭＳ ゴシック" w:hAnsi="ＭＳ ゴシック" w:hint="eastAsia"/>
          <w:sz w:val="22"/>
          <w:szCs w:val="22"/>
          <w:u w:val="double"/>
        </w:rPr>
        <w:lastRenderedPageBreak/>
        <w:t>第５　広域応援の受入れ</w:t>
      </w:r>
      <w:r w:rsidRPr="001D6D10">
        <w:rPr>
          <w:rFonts w:ascii="ＭＳ ゴシック" w:eastAsia="ＭＳ ゴシック" w:hAnsi="ＭＳ ゴシック" w:hint="eastAsia"/>
          <w:sz w:val="22"/>
          <w:szCs w:val="22"/>
          <w:u w:val="double"/>
          <w:shd w:val="pct15" w:color="auto" w:fill="FFFFFF"/>
        </w:rPr>
        <w:t>【第２フェーズ】</w:t>
      </w:r>
      <w:bookmarkEnd w:id="180"/>
      <w:bookmarkEnd w:id="181"/>
      <w:bookmarkEnd w:id="182"/>
    </w:p>
    <w:p w14:paraId="2EC93538" w14:textId="77777777" w:rsidR="008B4B2B" w:rsidRPr="001D6D10" w:rsidRDefault="008B4B2B" w:rsidP="008B4B2B">
      <w:pPr>
        <w:pStyle w:val="a0"/>
        <w:ind w:firstLineChars="200" w:firstLine="442"/>
        <w:rPr>
          <w:rFonts w:ascii="ＭＳ ゴシック" w:eastAsia="ＭＳ ゴシック" w:hAnsi="ＭＳ ゴシック"/>
          <w:sz w:val="22"/>
          <w:szCs w:val="22"/>
          <w:bdr w:val="single" w:sz="4" w:space="0" w:color="auto" w:frame="1"/>
        </w:rPr>
      </w:pPr>
      <w:r w:rsidRPr="001D6D10">
        <w:rPr>
          <w:rFonts w:ascii="ＭＳ ゴシック" w:eastAsia="ＭＳ ゴシック" w:hAnsi="ＭＳ ゴシック" w:hint="eastAsia"/>
          <w:sz w:val="22"/>
          <w:szCs w:val="22"/>
        </w:rPr>
        <w:t xml:space="preserve">　　　</w:t>
      </w:r>
      <w:r w:rsidRPr="001D6D10">
        <w:rPr>
          <w:rFonts w:ascii="ＭＳ ゴシック" w:eastAsia="ＭＳ ゴシック" w:hAnsi="ＭＳ ゴシック" w:hint="eastAsia"/>
          <w:sz w:val="22"/>
          <w:szCs w:val="22"/>
          <w:bdr w:val="single" w:sz="4" w:space="0" w:color="auto"/>
        </w:rPr>
        <w:t>主たる担当：危機管理室、関係室・課：関係出先機関</w:t>
      </w:r>
    </w:p>
    <w:p w14:paraId="780B7B0F" w14:textId="77777777" w:rsidR="008B4B2B" w:rsidRPr="001D6D10" w:rsidRDefault="008B4B2B" w:rsidP="008B4B2B">
      <w:pPr>
        <w:pStyle w:val="a0"/>
        <w:ind w:firstLineChars="300" w:firstLine="663"/>
        <w:rPr>
          <w:rFonts w:ascii="ＭＳ ゴシック" w:eastAsia="ＭＳ ゴシック" w:hAnsi="ＭＳ ゴシック"/>
          <w:sz w:val="22"/>
          <w:szCs w:val="22"/>
          <w:u w:val="single"/>
        </w:rPr>
      </w:pPr>
      <w:r w:rsidRPr="001D6D10">
        <w:rPr>
          <w:rFonts w:ascii="ＭＳ ゴシック" w:eastAsia="ＭＳ ゴシック" w:hAnsi="ＭＳ ゴシック" w:hint="eastAsia"/>
          <w:sz w:val="22"/>
          <w:szCs w:val="22"/>
          <w:u w:val="single"/>
        </w:rPr>
        <w:t>１　受入計画</w:t>
      </w:r>
    </w:p>
    <w:p w14:paraId="6B7CE6DB" w14:textId="7114DD07" w:rsidR="008B4B2B" w:rsidRPr="001D6D10" w:rsidRDefault="008B4B2B" w:rsidP="008B4B2B">
      <w:pPr>
        <w:pStyle w:val="a0"/>
        <w:ind w:leftChars="410" w:left="866" w:rightChars="-108" w:right="-228" w:firstLineChars="100" w:firstLine="221"/>
        <w:rPr>
          <w:rFonts w:hAnsi="ＭＳ 明朝"/>
          <w:sz w:val="22"/>
          <w:szCs w:val="22"/>
        </w:rPr>
      </w:pPr>
      <w:r w:rsidRPr="001D6D10">
        <w:rPr>
          <w:rFonts w:hAnsi="ＭＳ 明朝" w:hint="eastAsia"/>
          <w:sz w:val="22"/>
          <w:szCs w:val="22"/>
        </w:rPr>
        <w:t>大阪府が、他の都道府県、消防庁（緊急消防援助隊）、防衛省（自衛隊派遣部隊）などに対し、広域的な応援を要請した場合（危険度判定支援本部からの要請を含む）は、</w:t>
      </w:r>
      <w:r>
        <w:fldChar w:fldCharType="begin"/>
      </w:r>
      <w:r>
        <w:instrText>HYPERLINK "https://www.pref.osaka.lg.jp/shobobosai/bousairenkei/koikisienkeikaku.html"</w:instrText>
      </w:r>
      <w:r>
        <w:fldChar w:fldCharType="separate"/>
      </w:r>
      <w:r w:rsidRPr="001D6D10">
        <w:rPr>
          <w:rStyle w:val="ac"/>
          <w:rFonts w:hAnsi="ＭＳ 明朝" w:hint="eastAsia"/>
          <w:color w:val="auto"/>
          <w:sz w:val="22"/>
          <w:szCs w:val="22"/>
        </w:rPr>
        <w:t>「広域的支援部隊受入計画」</w:t>
      </w:r>
      <w:r>
        <w:fldChar w:fldCharType="end"/>
      </w:r>
      <w:r w:rsidRPr="001D6D10">
        <w:rPr>
          <w:rFonts w:hAnsi="ＭＳ 明朝" w:hint="eastAsia"/>
          <w:sz w:val="22"/>
          <w:szCs w:val="22"/>
        </w:rPr>
        <w:t>を踏まえ、当該部隊を受け入れる。</w:t>
      </w:r>
    </w:p>
    <w:p w14:paraId="31B15BDE" w14:textId="77777777" w:rsidR="008B4B2B" w:rsidRPr="001D6D10" w:rsidRDefault="008B4B2B" w:rsidP="008B4B2B">
      <w:pPr>
        <w:pStyle w:val="a0"/>
        <w:ind w:firstLineChars="300" w:firstLine="663"/>
        <w:rPr>
          <w:rFonts w:ascii="ＭＳ ゴシック" w:eastAsia="ＭＳ ゴシック" w:hAnsi="ＭＳ ゴシック"/>
          <w:sz w:val="22"/>
          <w:szCs w:val="22"/>
        </w:rPr>
      </w:pPr>
    </w:p>
    <w:p w14:paraId="7C1E144F" w14:textId="77777777" w:rsidR="008B4B2B" w:rsidRPr="001D6D10" w:rsidRDefault="008B4B2B" w:rsidP="008B4B2B">
      <w:pPr>
        <w:pStyle w:val="a0"/>
        <w:ind w:firstLineChars="300" w:firstLine="663"/>
        <w:rPr>
          <w:rFonts w:ascii="ＭＳ ゴシック" w:eastAsia="ＭＳ ゴシック" w:hAnsi="ＭＳ ゴシック"/>
          <w:sz w:val="22"/>
          <w:szCs w:val="22"/>
          <w:u w:val="single"/>
        </w:rPr>
      </w:pPr>
      <w:r w:rsidRPr="001D6D10">
        <w:rPr>
          <w:rFonts w:ascii="ＭＳ ゴシック" w:eastAsia="ＭＳ ゴシック" w:hAnsi="ＭＳ ゴシック" w:hint="eastAsia"/>
          <w:sz w:val="22"/>
          <w:szCs w:val="22"/>
          <w:u w:val="single"/>
        </w:rPr>
        <w:t>２　部隊の誘導</w:t>
      </w:r>
    </w:p>
    <w:p w14:paraId="28FE118A" w14:textId="77777777" w:rsidR="008B4B2B" w:rsidRPr="001D6D10" w:rsidRDefault="008B4B2B" w:rsidP="008B4B2B">
      <w:pPr>
        <w:pStyle w:val="a0"/>
        <w:ind w:leftChars="410" w:left="866" w:rightChars="-108" w:right="-228" w:firstLineChars="100" w:firstLine="221"/>
        <w:rPr>
          <w:rFonts w:hAnsi="ＭＳ 明朝"/>
          <w:sz w:val="22"/>
          <w:szCs w:val="22"/>
        </w:rPr>
      </w:pPr>
      <w:r w:rsidRPr="001D6D10">
        <w:rPr>
          <w:rFonts w:hAnsi="ＭＳ 明朝" w:hint="eastAsia"/>
          <w:sz w:val="22"/>
          <w:szCs w:val="22"/>
        </w:rPr>
        <w:t>災害対策課長は、広域応援部隊の内容、到着予定日時、場所、活動日程等を確認する。応援に伴い、部隊の誘導の要請があった場合は、府警察本部に依頼し、広域防災拠点、後方支援活動拠点その他適切な場所へ誘導する。</w:t>
      </w:r>
    </w:p>
    <w:p w14:paraId="35F391E8" w14:textId="77777777" w:rsidR="008B4B2B" w:rsidRPr="001D6D10" w:rsidRDefault="008B4B2B" w:rsidP="008B4B2B">
      <w:pPr>
        <w:pStyle w:val="a0"/>
        <w:ind w:firstLineChars="300" w:firstLine="663"/>
        <w:rPr>
          <w:rFonts w:ascii="ＭＳ ゴシック" w:eastAsia="ＭＳ ゴシック" w:hAnsi="ＭＳ ゴシック"/>
          <w:sz w:val="22"/>
          <w:szCs w:val="22"/>
        </w:rPr>
      </w:pPr>
    </w:p>
    <w:p w14:paraId="5C3142A7" w14:textId="77777777" w:rsidR="008B4B2B" w:rsidRPr="001D6D10" w:rsidRDefault="008B4B2B" w:rsidP="008B4B2B">
      <w:pPr>
        <w:pStyle w:val="a0"/>
        <w:ind w:firstLineChars="300" w:firstLine="663"/>
        <w:rPr>
          <w:rFonts w:ascii="ＭＳ ゴシック" w:eastAsia="ＭＳ ゴシック" w:hAnsi="ＭＳ ゴシック"/>
          <w:sz w:val="22"/>
          <w:szCs w:val="22"/>
          <w:u w:val="single"/>
        </w:rPr>
      </w:pPr>
      <w:r w:rsidRPr="001D6D10">
        <w:rPr>
          <w:rFonts w:ascii="ＭＳ ゴシック" w:eastAsia="ＭＳ ゴシック" w:hAnsi="ＭＳ ゴシック" w:hint="eastAsia"/>
          <w:sz w:val="22"/>
          <w:szCs w:val="22"/>
          <w:u w:val="single"/>
        </w:rPr>
        <w:t>３　広域防災連絡会議の設置</w:t>
      </w:r>
    </w:p>
    <w:p w14:paraId="68D6E48C" w14:textId="6D2A28B3" w:rsidR="008B4B2B" w:rsidRPr="001D6D10" w:rsidRDefault="008B4B2B" w:rsidP="008B4B2B">
      <w:pPr>
        <w:pStyle w:val="a0"/>
        <w:ind w:leftChars="410" w:left="866" w:firstLineChars="100" w:firstLine="221"/>
        <w:rPr>
          <w:rFonts w:hAnsi="ＭＳ 明朝"/>
          <w:sz w:val="22"/>
          <w:szCs w:val="22"/>
        </w:rPr>
      </w:pPr>
      <w:r w:rsidRPr="001D6D10">
        <w:rPr>
          <w:rFonts w:hAnsi="ＭＳ 明朝" w:hint="eastAsia"/>
          <w:sz w:val="22"/>
          <w:szCs w:val="22"/>
        </w:rPr>
        <w:t>災害対策課長は、広域応援部隊の連絡調整のため、危機管理センターに広域防災連絡会議を設置する。</w:t>
      </w:r>
    </w:p>
    <w:p w14:paraId="170AAD92" w14:textId="77777777" w:rsidR="008B4B2B" w:rsidRPr="001D6D10" w:rsidRDefault="008B4B2B" w:rsidP="008B4B2B">
      <w:pPr>
        <w:pStyle w:val="a0"/>
        <w:ind w:firstLineChars="300" w:firstLine="663"/>
        <w:rPr>
          <w:rFonts w:ascii="ＭＳ ゴシック" w:eastAsia="ＭＳ ゴシック" w:hAnsi="ＭＳ ゴシック"/>
          <w:sz w:val="22"/>
          <w:szCs w:val="22"/>
        </w:rPr>
      </w:pPr>
    </w:p>
    <w:p w14:paraId="0FB1844C" w14:textId="77777777" w:rsidR="008B4B2B" w:rsidRPr="001D6D10" w:rsidRDefault="008B4B2B" w:rsidP="008B4B2B">
      <w:pPr>
        <w:pStyle w:val="a0"/>
        <w:ind w:firstLineChars="300" w:firstLine="663"/>
        <w:rPr>
          <w:rFonts w:ascii="ＭＳ ゴシック" w:eastAsia="ＭＳ ゴシック" w:hAnsi="ＭＳ ゴシック"/>
          <w:sz w:val="22"/>
          <w:szCs w:val="22"/>
          <w:u w:val="single"/>
        </w:rPr>
      </w:pPr>
      <w:r w:rsidRPr="001D6D10">
        <w:rPr>
          <w:rFonts w:ascii="ＭＳ ゴシック" w:eastAsia="ＭＳ ゴシック" w:hAnsi="ＭＳ ゴシック" w:hint="eastAsia"/>
          <w:sz w:val="22"/>
          <w:szCs w:val="22"/>
          <w:u w:val="single"/>
        </w:rPr>
        <w:t>４　災害時用臨時へリポートの開設</w:t>
      </w:r>
    </w:p>
    <w:p w14:paraId="282D0B50" w14:textId="77777777" w:rsidR="008B4B2B" w:rsidRPr="001D6D10" w:rsidRDefault="008B4B2B" w:rsidP="008B4B2B">
      <w:pPr>
        <w:pStyle w:val="a0"/>
        <w:ind w:leftChars="410" w:left="866" w:firstLineChars="100" w:firstLine="221"/>
        <w:rPr>
          <w:rFonts w:hAnsi="ＭＳ 明朝"/>
          <w:sz w:val="22"/>
          <w:szCs w:val="22"/>
        </w:rPr>
      </w:pPr>
      <w:r w:rsidRPr="001D6D10">
        <w:rPr>
          <w:rFonts w:hAnsi="ＭＳ 明朝" w:hint="eastAsia"/>
          <w:sz w:val="22"/>
          <w:szCs w:val="22"/>
        </w:rPr>
        <w:t>ヘリコプターを使用する活動を要請した場合、災害対策課長は災害時用臨時へリポートの開設を指示する。</w:t>
      </w:r>
    </w:p>
    <w:p w14:paraId="6317BC46" w14:textId="77777777" w:rsidR="008B4B2B" w:rsidRPr="001D6D10" w:rsidRDefault="008B4B2B" w:rsidP="008B4B2B">
      <w:pPr>
        <w:pStyle w:val="a0"/>
        <w:rPr>
          <w:rFonts w:hAnsi="ＭＳ 明朝"/>
          <w:sz w:val="22"/>
          <w:szCs w:val="22"/>
        </w:rPr>
      </w:pPr>
    </w:p>
    <w:p w14:paraId="209EBCD2" w14:textId="77777777" w:rsidR="008B4B2B" w:rsidRPr="001D6D10" w:rsidRDefault="008B4B2B" w:rsidP="008B4B2B">
      <w:pPr>
        <w:pStyle w:val="a0"/>
        <w:ind w:firstLineChars="300" w:firstLine="663"/>
        <w:rPr>
          <w:rFonts w:asciiTheme="majorEastAsia" w:eastAsiaTheme="majorEastAsia" w:hAnsiTheme="majorEastAsia"/>
          <w:sz w:val="22"/>
          <w:szCs w:val="22"/>
          <w:u w:val="single"/>
        </w:rPr>
      </w:pPr>
      <w:r w:rsidRPr="001D6D10">
        <w:rPr>
          <w:rFonts w:asciiTheme="majorEastAsia" w:eastAsiaTheme="majorEastAsia" w:hAnsiTheme="majorEastAsia" w:hint="eastAsia"/>
          <w:sz w:val="22"/>
          <w:szCs w:val="22"/>
          <w:u w:val="single"/>
        </w:rPr>
        <w:t>５　航空運用調整班の設置</w:t>
      </w:r>
    </w:p>
    <w:p w14:paraId="04BE93A4" w14:textId="77777777" w:rsidR="008B4B2B" w:rsidRPr="001D6D10" w:rsidRDefault="008B4B2B" w:rsidP="008B4B2B">
      <w:pPr>
        <w:pStyle w:val="a0"/>
        <w:ind w:left="884" w:hangingChars="400" w:hanging="884"/>
        <w:rPr>
          <w:rFonts w:hAnsi="ＭＳ 明朝"/>
          <w:sz w:val="22"/>
          <w:szCs w:val="22"/>
        </w:rPr>
      </w:pPr>
      <w:r w:rsidRPr="001D6D10">
        <w:rPr>
          <w:rFonts w:hAnsi="ＭＳ 明朝" w:hint="eastAsia"/>
          <w:sz w:val="22"/>
          <w:szCs w:val="22"/>
        </w:rPr>
        <w:t xml:space="preserve">　　　　　災害対策課長は広域的支援部隊の派遣を要請した場合に、相互に連携した救助・救急活動が実施できるよう、危機管理センターＢに航空運用調整班を設置する。</w:t>
      </w:r>
    </w:p>
    <w:p w14:paraId="1E32BBC5" w14:textId="77777777" w:rsidR="008B4B2B" w:rsidRPr="001D6D10" w:rsidRDefault="008B4B2B" w:rsidP="008B4B2B">
      <w:pPr>
        <w:pStyle w:val="a0"/>
        <w:rPr>
          <w:rFonts w:hAnsi="ＭＳ 明朝"/>
          <w:sz w:val="22"/>
          <w:szCs w:val="22"/>
        </w:rPr>
      </w:pPr>
    </w:p>
    <w:p w14:paraId="1B5A2918" w14:textId="77777777" w:rsidR="008B4B2B" w:rsidRPr="001D6D10" w:rsidRDefault="008B4B2B" w:rsidP="0099357C">
      <w:pPr>
        <w:pStyle w:val="a0"/>
        <w:ind w:firstLineChars="200" w:firstLine="442"/>
        <w:outlineLvl w:val="2"/>
        <w:rPr>
          <w:rFonts w:ascii="ＭＳ ゴシック" w:eastAsia="ＭＳ ゴシック" w:hAnsi="ＭＳ ゴシック"/>
          <w:sz w:val="22"/>
          <w:szCs w:val="22"/>
          <w:u w:val="double"/>
        </w:rPr>
      </w:pPr>
      <w:bookmarkStart w:id="183" w:name="_Toc122436910"/>
      <w:bookmarkStart w:id="184" w:name="_Toc222486593"/>
      <w:bookmarkStart w:id="185" w:name="_Toc242870263"/>
      <w:r w:rsidRPr="001D6D10">
        <w:rPr>
          <w:rFonts w:ascii="ＭＳ ゴシック" w:eastAsia="ＭＳ ゴシック" w:hAnsi="ＭＳ ゴシック" w:hint="eastAsia"/>
          <w:sz w:val="22"/>
          <w:szCs w:val="22"/>
          <w:u w:val="double"/>
        </w:rPr>
        <w:t>第６　府災対本部への受入れ</w:t>
      </w:r>
      <w:r w:rsidRPr="001D6D10">
        <w:rPr>
          <w:rFonts w:ascii="ＭＳ ゴシック" w:eastAsia="ＭＳ ゴシック" w:hAnsi="ＭＳ ゴシック" w:hint="eastAsia"/>
          <w:sz w:val="22"/>
          <w:szCs w:val="22"/>
          <w:u w:val="double"/>
          <w:shd w:val="pct15" w:color="auto" w:fill="FFFFFF"/>
        </w:rPr>
        <w:t>【第３フェーズ】</w:t>
      </w:r>
      <w:bookmarkEnd w:id="183"/>
      <w:bookmarkEnd w:id="184"/>
      <w:bookmarkEnd w:id="185"/>
    </w:p>
    <w:p w14:paraId="6CE73DDB" w14:textId="77777777" w:rsidR="008B4B2B" w:rsidRPr="001D6D10" w:rsidRDefault="008B4B2B" w:rsidP="008B4B2B">
      <w:pPr>
        <w:pStyle w:val="a0"/>
        <w:ind w:firstLineChars="200" w:firstLine="442"/>
        <w:rPr>
          <w:rFonts w:ascii="ＭＳ ゴシック" w:eastAsia="ＭＳ ゴシック" w:hAnsi="ＭＳ ゴシック"/>
          <w:sz w:val="22"/>
          <w:szCs w:val="22"/>
          <w:bdr w:val="single" w:sz="4" w:space="0" w:color="auto" w:frame="1"/>
        </w:rPr>
      </w:pPr>
      <w:r w:rsidRPr="001D6D10">
        <w:rPr>
          <w:rFonts w:ascii="ＭＳ ゴシック" w:eastAsia="ＭＳ ゴシック" w:hAnsi="ＭＳ ゴシック" w:hint="eastAsia"/>
          <w:sz w:val="22"/>
          <w:szCs w:val="22"/>
        </w:rPr>
        <w:t xml:space="preserve">　　　</w:t>
      </w:r>
      <w:r w:rsidRPr="001D6D10">
        <w:rPr>
          <w:rFonts w:ascii="ＭＳ ゴシック" w:eastAsia="ＭＳ ゴシック" w:hAnsi="ＭＳ ゴシック" w:hint="eastAsia"/>
          <w:sz w:val="22"/>
          <w:szCs w:val="22"/>
          <w:bdr w:val="single" w:sz="4" w:space="0" w:color="auto"/>
        </w:rPr>
        <w:t>主たる担当：危機管理室、関係室・課：関係部局室・課</w:t>
      </w:r>
    </w:p>
    <w:p w14:paraId="7E3CE6FA" w14:textId="77777777" w:rsidR="008B4B2B" w:rsidRPr="001D6D10" w:rsidRDefault="008B4B2B" w:rsidP="008B4B2B">
      <w:pPr>
        <w:ind w:left="884" w:hangingChars="400" w:hanging="884"/>
        <w:rPr>
          <w:rFonts w:ascii="ＭＳ 明朝" w:hAnsi="ＭＳ 明朝"/>
          <w:sz w:val="22"/>
          <w:szCs w:val="22"/>
        </w:rPr>
      </w:pPr>
      <w:r w:rsidRPr="001D6D10">
        <w:rPr>
          <w:rFonts w:ascii="ＭＳ ゴシック" w:eastAsia="ＭＳ ゴシック" w:hAnsi="ＭＳ ゴシック" w:hint="eastAsia"/>
          <w:sz w:val="22"/>
          <w:szCs w:val="22"/>
        </w:rPr>
        <w:t xml:space="preserve">　　　　　</w:t>
      </w:r>
      <w:r w:rsidRPr="001D6D10">
        <w:rPr>
          <w:rFonts w:ascii="ＭＳ 明朝" w:hAnsi="ＭＳ 明朝" w:hint="eastAsia"/>
          <w:sz w:val="22"/>
          <w:szCs w:val="22"/>
        </w:rPr>
        <w:t>災害対策課長は、国、関西広域連合及び関係団体等から、府災対本部業務に係る人的支援の申し入れがあった場合は、その必要性を検討し、支援内容、日程等を調整のうえ、府災対本部事務局に受入れるものとする。</w:t>
      </w:r>
    </w:p>
    <w:p w14:paraId="0175FEBC" w14:textId="77777777" w:rsidR="008B4B2B" w:rsidRPr="001D6D10" w:rsidRDefault="008B4B2B" w:rsidP="008B4B2B">
      <w:pPr>
        <w:ind w:left="884" w:rightChars="-41" w:right="-87" w:hangingChars="400" w:hanging="884"/>
        <w:rPr>
          <w:rFonts w:ascii="ＭＳ ゴシック" w:eastAsia="ＭＳ ゴシック" w:hAnsi="ＭＳ ゴシック"/>
          <w:sz w:val="22"/>
          <w:szCs w:val="22"/>
        </w:rPr>
      </w:pPr>
      <w:r w:rsidRPr="001D6D10">
        <w:rPr>
          <w:rFonts w:ascii="ＭＳ 明朝" w:hAnsi="ＭＳ 明朝" w:hint="eastAsia"/>
          <w:sz w:val="22"/>
          <w:szCs w:val="22"/>
        </w:rPr>
        <w:t xml:space="preserve">　　　　　なお、この場合、府災対本部事務局内に活動スペース等を確保するものとする。</w:t>
      </w:r>
    </w:p>
    <w:p w14:paraId="26BA13CB" w14:textId="09679A10" w:rsidR="00254093" w:rsidRDefault="00254093">
      <w:pPr>
        <w:widowControl/>
        <w:jc w:val="left"/>
        <w:rPr>
          <w:rFonts w:ascii="ＭＳ ゴシック" w:eastAsia="ＭＳ ゴシック" w:hAnsi="ＭＳ ゴシック"/>
          <w:sz w:val="22"/>
          <w:szCs w:val="22"/>
        </w:rPr>
      </w:pPr>
      <w:r>
        <w:rPr>
          <w:rFonts w:ascii="ＭＳ ゴシック" w:eastAsia="ＭＳ ゴシック" w:hAnsi="ＭＳ ゴシック"/>
          <w:sz w:val="22"/>
          <w:szCs w:val="22"/>
        </w:rPr>
        <w:br w:type="page"/>
      </w:r>
    </w:p>
    <w:p w14:paraId="59B2B3FD" w14:textId="05A4FBCC" w:rsidR="008B4B2B" w:rsidRPr="001D6D10" w:rsidRDefault="008B4B2B" w:rsidP="0099357C">
      <w:pPr>
        <w:pStyle w:val="a0"/>
        <w:ind w:firstLineChars="200" w:firstLine="442"/>
        <w:outlineLvl w:val="2"/>
        <w:rPr>
          <w:rFonts w:ascii="ＭＳ ゴシック" w:eastAsia="ＭＳ ゴシック" w:hAnsi="ＭＳ ゴシック"/>
          <w:sz w:val="22"/>
          <w:szCs w:val="22"/>
          <w:u w:val="double"/>
        </w:rPr>
      </w:pPr>
      <w:bookmarkStart w:id="186" w:name="_Toc122436911"/>
      <w:bookmarkStart w:id="187" w:name="_Toc222486594"/>
      <w:bookmarkStart w:id="188" w:name="_Toc242870264"/>
      <w:r w:rsidRPr="001D6D10">
        <w:rPr>
          <w:rFonts w:ascii="ＭＳ ゴシック" w:eastAsia="ＭＳ ゴシック" w:hAnsi="ＭＳ ゴシック" w:hint="eastAsia"/>
          <w:sz w:val="22"/>
          <w:szCs w:val="22"/>
          <w:u w:val="double"/>
        </w:rPr>
        <w:lastRenderedPageBreak/>
        <w:t>第７　広域防災拠点等の運用</w:t>
      </w:r>
      <w:r w:rsidRPr="001D6D10">
        <w:rPr>
          <w:rFonts w:ascii="ＭＳ ゴシック" w:eastAsia="ＭＳ ゴシック" w:hAnsi="ＭＳ ゴシック" w:hint="eastAsia"/>
          <w:sz w:val="22"/>
          <w:szCs w:val="22"/>
          <w:u w:val="double"/>
          <w:shd w:val="pct15" w:color="auto" w:fill="FFFFFF"/>
        </w:rPr>
        <w:t>【第２フェーズ】</w:t>
      </w:r>
      <w:bookmarkEnd w:id="186"/>
      <w:bookmarkEnd w:id="187"/>
      <w:bookmarkEnd w:id="188"/>
    </w:p>
    <w:p w14:paraId="37AFD4F1" w14:textId="77777777" w:rsidR="008B4B2B" w:rsidRPr="001D6D10" w:rsidRDefault="008B4B2B" w:rsidP="008B4B2B">
      <w:pPr>
        <w:pStyle w:val="a0"/>
        <w:ind w:firstLineChars="200" w:firstLine="442"/>
        <w:rPr>
          <w:rFonts w:ascii="ＭＳ ゴシック" w:eastAsia="ＭＳ ゴシック" w:hAnsi="ＭＳ ゴシック"/>
          <w:sz w:val="22"/>
          <w:szCs w:val="22"/>
          <w:bdr w:val="single" w:sz="4" w:space="0" w:color="auto"/>
        </w:rPr>
      </w:pPr>
      <w:r w:rsidRPr="001D6D10">
        <w:rPr>
          <w:rFonts w:ascii="ＭＳ ゴシック" w:eastAsia="ＭＳ ゴシック" w:hAnsi="ＭＳ ゴシック" w:hint="eastAsia"/>
          <w:sz w:val="22"/>
          <w:szCs w:val="22"/>
        </w:rPr>
        <w:t xml:space="preserve">　　　</w:t>
      </w:r>
      <w:r w:rsidRPr="001D6D10">
        <w:rPr>
          <w:rFonts w:ascii="ＭＳ ゴシック" w:eastAsia="ＭＳ ゴシック" w:hAnsi="ＭＳ ゴシック" w:hint="eastAsia"/>
          <w:sz w:val="22"/>
          <w:szCs w:val="22"/>
          <w:bdr w:val="single" w:sz="4" w:space="0" w:color="auto"/>
        </w:rPr>
        <w:t>主たる担当：危機管理室、関係室・課：関係出先機関</w:t>
      </w:r>
    </w:p>
    <w:p w14:paraId="6F88E7D5" w14:textId="77777777" w:rsidR="008B4B2B" w:rsidRPr="001D6D10" w:rsidRDefault="008B4B2B" w:rsidP="008B4B2B">
      <w:pPr>
        <w:ind w:left="884" w:hangingChars="400" w:hanging="884"/>
        <w:rPr>
          <w:rFonts w:ascii="ＭＳ ゴシック" w:eastAsia="ＭＳ ゴシック" w:hAnsi="ＭＳ ゴシック"/>
          <w:sz w:val="22"/>
          <w:szCs w:val="22"/>
          <w:u w:val="single"/>
        </w:rPr>
      </w:pPr>
      <w:r w:rsidRPr="001D6D10">
        <w:rPr>
          <w:rFonts w:ascii="ＭＳ 明朝" w:hAnsi="ＭＳ 明朝" w:hint="eastAsia"/>
          <w:sz w:val="22"/>
          <w:szCs w:val="22"/>
        </w:rPr>
        <w:t xml:space="preserve">　　　</w:t>
      </w:r>
      <w:r w:rsidRPr="001D6D10">
        <w:rPr>
          <w:rFonts w:ascii="ＭＳ ゴシック" w:eastAsia="ＭＳ ゴシック" w:hAnsi="ＭＳ ゴシック" w:hint="eastAsia"/>
          <w:sz w:val="22"/>
          <w:szCs w:val="22"/>
          <w:u w:val="single"/>
        </w:rPr>
        <w:t>１　広域防災拠点の運用</w:t>
      </w:r>
    </w:p>
    <w:p w14:paraId="7232BEC0" w14:textId="77777777" w:rsidR="008B4B2B" w:rsidRPr="001D6D10" w:rsidRDefault="008B4B2B" w:rsidP="008B4B2B">
      <w:pPr>
        <w:ind w:left="884" w:hangingChars="400" w:hanging="884"/>
        <w:rPr>
          <w:rFonts w:ascii="ＭＳ 明朝" w:hAnsi="ＭＳ 明朝"/>
          <w:sz w:val="22"/>
          <w:szCs w:val="22"/>
        </w:rPr>
      </w:pPr>
      <w:r w:rsidRPr="001D6D10">
        <w:rPr>
          <w:rFonts w:ascii="ＭＳ ゴシック" w:eastAsia="ＭＳ ゴシック" w:hAnsi="ＭＳ ゴシック" w:hint="eastAsia"/>
          <w:sz w:val="22"/>
          <w:szCs w:val="22"/>
        </w:rPr>
        <w:t xml:space="preserve">　　　　</w:t>
      </w:r>
      <w:r w:rsidRPr="001D6D10">
        <w:rPr>
          <w:rFonts w:ascii="ＭＳ 明朝" w:hAnsi="ＭＳ 明朝" w:hint="eastAsia"/>
          <w:sz w:val="22"/>
          <w:szCs w:val="22"/>
        </w:rPr>
        <w:t>(1)　施設の概要</w:t>
      </w:r>
    </w:p>
    <w:tbl>
      <w:tblPr>
        <w:tblW w:w="8397" w:type="dxa"/>
        <w:tblInd w:w="81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360"/>
        <w:gridCol w:w="1620"/>
        <w:gridCol w:w="2160"/>
        <w:gridCol w:w="2160"/>
        <w:gridCol w:w="2097"/>
      </w:tblGrid>
      <w:tr w:rsidR="001D6D10" w:rsidRPr="001D6D10" w14:paraId="43CF55D3" w14:textId="77777777" w:rsidTr="008B4B2B">
        <w:trPr>
          <w:trHeight w:val="598"/>
        </w:trPr>
        <w:tc>
          <w:tcPr>
            <w:tcW w:w="1980" w:type="dxa"/>
            <w:gridSpan w:val="2"/>
            <w:tcBorders>
              <w:tl2br w:val="single" w:sz="4" w:space="0" w:color="auto"/>
            </w:tcBorders>
            <w:shd w:val="clear" w:color="auto" w:fill="F2F2F2"/>
          </w:tcPr>
          <w:p w14:paraId="1FCCCD01" w14:textId="77777777" w:rsidR="008B4B2B" w:rsidRPr="001D6D10" w:rsidRDefault="008B4B2B" w:rsidP="008B4B2B">
            <w:pPr>
              <w:spacing w:line="300" w:lineRule="exact"/>
              <w:ind w:left="-97"/>
              <w:rPr>
                <w:rFonts w:ascii="ＭＳ ゴシック" w:eastAsia="ＭＳ ゴシック" w:hAnsi="ＭＳ ゴシック"/>
                <w:sz w:val="20"/>
                <w:szCs w:val="20"/>
              </w:rPr>
            </w:pPr>
            <w:r w:rsidRPr="001D6D10">
              <w:rPr>
                <w:rFonts w:ascii="ＭＳ ゴシック" w:eastAsia="ＭＳ ゴシック" w:hAnsi="ＭＳ ゴシック" w:hint="eastAsia"/>
                <w:sz w:val="22"/>
                <w:szCs w:val="22"/>
              </w:rPr>
              <w:t xml:space="preserve">　</w:t>
            </w:r>
            <w:r w:rsidRPr="001D6D10">
              <w:rPr>
                <w:rFonts w:ascii="ＭＳ ゴシック" w:eastAsia="ＭＳ ゴシック" w:hAnsi="ＭＳ ゴシック" w:hint="eastAsia"/>
                <w:sz w:val="20"/>
                <w:szCs w:val="20"/>
              </w:rPr>
              <w:t xml:space="preserve">　　　　　　名称</w:t>
            </w:r>
          </w:p>
          <w:p w14:paraId="0EE15F95" w14:textId="77777777" w:rsidR="008B4B2B" w:rsidRPr="001D6D10" w:rsidRDefault="008B4B2B" w:rsidP="008B4B2B">
            <w:pPr>
              <w:spacing w:line="300" w:lineRule="exact"/>
              <w:ind w:left="-97"/>
              <w:rPr>
                <w:rFonts w:ascii="ＭＳ ゴシック" w:eastAsia="ＭＳ ゴシック" w:hAnsi="ＭＳ ゴシック"/>
                <w:sz w:val="20"/>
                <w:szCs w:val="20"/>
              </w:rPr>
            </w:pPr>
            <w:r w:rsidRPr="001D6D10">
              <w:rPr>
                <w:rFonts w:ascii="ＭＳ ゴシック" w:eastAsia="ＭＳ ゴシック" w:hAnsi="ＭＳ ゴシック" w:hint="eastAsia"/>
                <w:sz w:val="20"/>
                <w:szCs w:val="20"/>
              </w:rPr>
              <w:t xml:space="preserve">　区分</w:t>
            </w:r>
          </w:p>
        </w:tc>
        <w:tc>
          <w:tcPr>
            <w:tcW w:w="2160" w:type="dxa"/>
            <w:shd w:val="clear" w:color="auto" w:fill="F2F2F2"/>
            <w:vAlign w:val="center"/>
          </w:tcPr>
          <w:p w14:paraId="771C7DCA" w14:textId="77777777" w:rsidR="008B4B2B" w:rsidRPr="001D6D10" w:rsidRDefault="008B4B2B" w:rsidP="008B4B2B">
            <w:pPr>
              <w:spacing w:line="300" w:lineRule="exact"/>
              <w:jc w:val="center"/>
              <w:rPr>
                <w:rFonts w:ascii="ＭＳ ゴシック" w:eastAsia="ＭＳ ゴシック" w:hAnsi="ＭＳ ゴシック"/>
                <w:sz w:val="20"/>
                <w:szCs w:val="20"/>
              </w:rPr>
            </w:pPr>
            <w:r w:rsidRPr="001D6D10">
              <w:rPr>
                <w:rFonts w:ascii="ＭＳ ゴシック" w:eastAsia="ＭＳ ゴシック" w:hAnsi="ＭＳ ゴシック" w:hint="eastAsia"/>
                <w:sz w:val="20"/>
                <w:szCs w:val="20"/>
              </w:rPr>
              <w:t>北部広域防災拠点</w:t>
            </w:r>
          </w:p>
        </w:tc>
        <w:tc>
          <w:tcPr>
            <w:tcW w:w="2160" w:type="dxa"/>
            <w:shd w:val="clear" w:color="auto" w:fill="F2F2F2"/>
            <w:vAlign w:val="center"/>
          </w:tcPr>
          <w:p w14:paraId="1B12A419" w14:textId="77777777" w:rsidR="008B4B2B" w:rsidRPr="001D6D10" w:rsidRDefault="008B4B2B" w:rsidP="008B4B2B">
            <w:pPr>
              <w:spacing w:line="300" w:lineRule="exact"/>
              <w:jc w:val="center"/>
              <w:rPr>
                <w:rFonts w:ascii="ＭＳ ゴシック" w:eastAsia="ＭＳ ゴシック" w:hAnsi="ＭＳ ゴシック"/>
                <w:sz w:val="20"/>
                <w:szCs w:val="20"/>
              </w:rPr>
            </w:pPr>
            <w:r w:rsidRPr="001D6D10">
              <w:rPr>
                <w:rFonts w:ascii="ＭＳ ゴシック" w:eastAsia="ＭＳ ゴシック" w:hAnsi="ＭＳ ゴシック" w:hint="eastAsia"/>
                <w:sz w:val="20"/>
                <w:szCs w:val="20"/>
              </w:rPr>
              <w:t>中部広域防災拠点</w:t>
            </w:r>
          </w:p>
        </w:tc>
        <w:tc>
          <w:tcPr>
            <w:tcW w:w="2097" w:type="dxa"/>
            <w:shd w:val="clear" w:color="auto" w:fill="F2F2F2"/>
            <w:vAlign w:val="center"/>
          </w:tcPr>
          <w:p w14:paraId="352E1458" w14:textId="77777777" w:rsidR="008B4B2B" w:rsidRPr="001D6D10" w:rsidRDefault="008B4B2B" w:rsidP="008B4B2B">
            <w:pPr>
              <w:spacing w:line="300" w:lineRule="exact"/>
              <w:jc w:val="center"/>
              <w:rPr>
                <w:rFonts w:ascii="ＭＳ ゴシック" w:eastAsia="ＭＳ ゴシック" w:hAnsi="ＭＳ ゴシック"/>
                <w:sz w:val="20"/>
                <w:szCs w:val="20"/>
              </w:rPr>
            </w:pPr>
            <w:r w:rsidRPr="001D6D10">
              <w:rPr>
                <w:rFonts w:ascii="ＭＳ ゴシック" w:eastAsia="ＭＳ ゴシック" w:hAnsi="ＭＳ ゴシック" w:hint="eastAsia"/>
                <w:sz w:val="20"/>
                <w:szCs w:val="20"/>
              </w:rPr>
              <w:t>南部広域防災拠点</w:t>
            </w:r>
          </w:p>
        </w:tc>
      </w:tr>
      <w:tr w:rsidR="001D6D10" w:rsidRPr="001D6D10" w14:paraId="5101B728" w14:textId="77777777" w:rsidTr="008B4B2B">
        <w:trPr>
          <w:trHeight w:val="570"/>
        </w:trPr>
        <w:tc>
          <w:tcPr>
            <w:tcW w:w="1980" w:type="dxa"/>
            <w:gridSpan w:val="2"/>
            <w:vAlign w:val="center"/>
          </w:tcPr>
          <w:p w14:paraId="041C620A" w14:textId="77777777" w:rsidR="008B4B2B" w:rsidRPr="001D6D10" w:rsidRDefault="008B4B2B" w:rsidP="008B4B2B">
            <w:pPr>
              <w:spacing w:line="300" w:lineRule="exact"/>
              <w:jc w:val="center"/>
              <w:rPr>
                <w:rFonts w:ascii="ＭＳ ゴシック" w:eastAsia="ＭＳ ゴシック" w:hAnsi="ＭＳ ゴシック"/>
                <w:sz w:val="20"/>
                <w:szCs w:val="20"/>
              </w:rPr>
            </w:pPr>
            <w:r w:rsidRPr="001D6D10">
              <w:rPr>
                <w:rFonts w:ascii="ＭＳ ゴシック" w:eastAsia="ＭＳ ゴシック" w:hAnsi="ＭＳ ゴシック" w:hint="eastAsia"/>
                <w:spacing w:val="60"/>
                <w:kern w:val="0"/>
                <w:sz w:val="20"/>
                <w:szCs w:val="20"/>
                <w:fitText w:val="840" w:id="-1954281215"/>
              </w:rPr>
              <w:t>所在</w:t>
            </w:r>
            <w:r w:rsidRPr="001D6D10">
              <w:rPr>
                <w:rFonts w:ascii="ＭＳ ゴシック" w:eastAsia="ＭＳ ゴシック" w:hAnsi="ＭＳ ゴシック" w:hint="eastAsia"/>
                <w:kern w:val="0"/>
                <w:sz w:val="20"/>
                <w:szCs w:val="20"/>
                <w:fitText w:val="840" w:id="-1954281215"/>
              </w:rPr>
              <w:t>地</w:t>
            </w:r>
          </w:p>
        </w:tc>
        <w:tc>
          <w:tcPr>
            <w:tcW w:w="2160" w:type="dxa"/>
          </w:tcPr>
          <w:p w14:paraId="4FE9B9B4" w14:textId="77777777" w:rsidR="008B4B2B" w:rsidRPr="001D6D10" w:rsidRDefault="008B4B2B" w:rsidP="008B4B2B">
            <w:pPr>
              <w:spacing w:line="300" w:lineRule="exact"/>
              <w:jc w:val="center"/>
              <w:rPr>
                <w:rFonts w:ascii="ＭＳ ゴシック" w:eastAsia="ＭＳ ゴシック" w:hAnsi="ＭＳ ゴシック"/>
                <w:sz w:val="20"/>
                <w:szCs w:val="20"/>
              </w:rPr>
            </w:pPr>
            <w:r w:rsidRPr="001D6D10">
              <w:rPr>
                <w:rFonts w:ascii="ＭＳ ゴシック" w:eastAsia="ＭＳ ゴシック" w:hAnsi="ＭＳ ゴシック" w:hint="eastAsia"/>
                <w:sz w:val="20"/>
                <w:szCs w:val="20"/>
              </w:rPr>
              <w:t>万博記念公園東地区（吹田市）</w:t>
            </w:r>
          </w:p>
        </w:tc>
        <w:tc>
          <w:tcPr>
            <w:tcW w:w="2160" w:type="dxa"/>
          </w:tcPr>
          <w:p w14:paraId="5485FE57" w14:textId="77777777" w:rsidR="008B4B2B" w:rsidRPr="001D6D10" w:rsidRDefault="008B4B2B" w:rsidP="008B4B2B">
            <w:pPr>
              <w:widowControl/>
              <w:spacing w:line="300" w:lineRule="exact"/>
              <w:jc w:val="left"/>
              <w:rPr>
                <w:rFonts w:ascii="ＭＳ ゴシック" w:eastAsia="ＭＳ ゴシック" w:hAnsi="ＭＳ ゴシック"/>
                <w:sz w:val="20"/>
                <w:szCs w:val="20"/>
              </w:rPr>
            </w:pPr>
            <w:r w:rsidRPr="001D6D10">
              <w:rPr>
                <w:rFonts w:ascii="ＭＳ ゴシック" w:eastAsia="ＭＳ ゴシック" w:hAnsi="ＭＳ ゴシック" w:hint="eastAsia"/>
                <w:sz w:val="20"/>
                <w:szCs w:val="20"/>
              </w:rPr>
              <w:t>八尾空港北側隣接地</w:t>
            </w:r>
          </w:p>
          <w:p w14:paraId="337B222D" w14:textId="77777777" w:rsidR="008B4B2B" w:rsidRPr="001D6D10" w:rsidRDefault="008B4B2B" w:rsidP="008B4B2B">
            <w:pPr>
              <w:spacing w:line="300" w:lineRule="exact"/>
              <w:jc w:val="center"/>
              <w:rPr>
                <w:rFonts w:ascii="ＭＳ ゴシック" w:eastAsia="ＭＳ ゴシック" w:hAnsi="ＭＳ ゴシック"/>
                <w:sz w:val="20"/>
                <w:szCs w:val="20"/>
              </w:rPr>
            </w:pPr>
            <w:r w:rsidRPr="001D6D10">
              <w:rPr>
                <w:rFonts w:ascii="ＭＳ ゴシック" w:eastAsia="ＭＳ ゴシック" w:hAnsi="ＭＳ ゴシック" w:hint="eastAsia"/>
                <w:sz w:val="20"/>
                <w:szCs w:val="20"/>
              </w:rPr>
              <w:t>（八尾市）</w:t>
            </w:r>
          </w:p>
        </w:tc>
        <w:tc>
          <w:tcPr>
            <w:tcW w:w="2097" w:type="dxa"/>
          </w:tcPr>
          <w:p w14:paraId="15DAF8A2" w14:textId="77777777" w:rsidR="008B4B2B" w:rsidRPr="001D6D10" w:rsidRDefault="008B4B2B" w:rsidP="008B4B2B">
            <w:pPr>
              <w:widowControl/>
              <w:spacing w:line="300" w:lineRule="exact"/>
              <w:jc w:val="left"/>
              <w:rPr>
                <w:rFonts w:ascii="ＭＳ ゴシック" w:eastAsia="ＭＳ ゴシック" w:hAnsi="ＭＳ ゴシック"/>
                <w:sz w:val="20"/>
                <w:szCs w:val="20"/>
              </w:rPr>
            </w:pPr>
            <w:r w:rsidRPr="001D6D10">
              <w:rPr>
                <w:rFonts w:ascii="ＭＳ ゴシック" w:eastAsia="ＭＳ ゴシック" w:hAnsi="ＭＳ ゴシック" w:hint="eastAsia"/>
                <w:sz w:val="18"/>
                <w:szCs w:val="18"/>
              </w:rPr>
              <w:t>りんくうタウン</w:t>
            </w:r>
            <w:r w:rsidRPr="001D6D10">
              <w:rPr>
                <w:rFonts w:ascii="ＭＳ ゴシック" w:eastAsia="ＭＳ ゴシック" w:hAnsi="ＭＳ ゴシック" w:hint="eastAsia"/>
                <w:sz w:val="20"/>
                <w:szCs w:val="20"/>
              </w:rPr>
              <w:t>南地区</w:t>
            </w:r>
          </w:p>
          <w:p w14:paraId="0C8121FE" w14:textId="77777777" w:rsidR="008B4B2B" w:rsidRPr="001D6D10" w:rsidRDefault="008B4B2B" w:rsidP="008B4B2B">
            <w:pPr>
              <w:spacing w:line="300" w:lineRule="exact"/>
              <w:jc w:val="center"/>
              <w:rPr>
                <w:rFonts w:ascii="ＭＳ ゴシック" w:eastAsia="ＭＳ ゴシック" w:hAnsi="ＭＳ ゴシック"/>
                <w:sz w:val="20"/>
                <w:szCs w:val="20"/>
              </w:rPr>
            </w:pPr>
            <w:r w:rsidRPr="001D6D10">
              <w:rPr>
                <w:rFonts w:ascii="ＭＳ ゴシック" w:eastAsia="ＭＳ ゴシック" w:hAnsi="ＭＳ ゴシック" w:hint="eastAsia"/>
                <w:sz w:val="20"/>
                <w:szCs w:val="20"/>
              </w:rPr>
              <w:t>（泉南市）</w:t>
            </w:r>
          </w:p>
        </w:tc>
      </w:tr>
      <w:tr w:rsidR="001D6D10" w:rsidRPr="001D6D10" w14:paraId="34E6F2BC" w14:textId="77777777" w:rsidTr="008B4B2B">
        <w:trPr>
          <w:trHeight w:val="289"/>
        </w:trPr>
        <w:tc>
          <w:tcPr>
            <w:tcW w:w="1980" w:type="dxa"/>
            <w:gridSpan w:val="2"/>
          </w:tcPr>
          <w:p w14:paraId="49DC67FA" w14:textId="77777777" w:rsidR="008B4B2B" w:rsidRPr="001D6D10" w:rsidRDefault="008B4B2B" w:rsidP="008B4B2B">
            <w:pPr>
              <w:spacing w:line="300" w:lineRule="exact"/>
              <w:jc w:val="center"/>
              <w:rPr>
                <w:rFonts w:ascii="ＭＳ ゴシック" w:eastAsia="ＭＳ ゴシック" w:hAnsi="ＭＳ ゴシック"/>
                <w:sz w:val="20"/>
                <w:szCs w:val="20"/>
              </w:rPr>
            </w:pPr>
            <w:r w:rsidRPr="001D6D10">
              <w:rPr>
                <w:rFonts w:ascii="ＭＳ ゴシック" w:eastAsia="ＭＳ ゴシック" w:hAnsi="ＭＳ ゴシック" w:hint="eastAsia"/>
                <w:sz w:val="20"/>
                <w:szCs w:val="20"/>
              </w:rPr>
              <w:t>敷地面積</w:t>
            </w:r>
          </w:p>
        </w:tc>
        <w:tc>
          <w:tcPr>
            <w:tcW w:w="2160" w:type="dxa"/>
          </w:tcPr>
          <w:p w14:paraId="278DB19F" w14:textId="77777777" w:rsidR="008B4B2B" w:rsidRPr="001D6D10" w:rsidRDefault="008B4B2B" w:rsidP="008B4B2B">
            <w:pPr>
              <w:spacing w:line="300" w:lineRule="exact"/>
              <w:jc w:val="center"/>
              <w:rPr>
                <w:rFonts w:ascii="ＭＳ ゴシック" w:eastAsia="ＭＳ ゴシック" w:hAnsi="ＭＳ ゴシック"/>
                <w:sz w:val="20"/>
                <w:szCs w:val="20"/>
              </w:rPr>
            </w:pPr>
            <w:r w:rsidRPr="001D6D10">
              <w:rPr>
                <w:rFonts w:ascii="ＭＳ ゴシック" w:eastAsia="ＭＳ ゴシック" w:hAnsi="ＭＳ ゴシック" w:hint="eastAsia"/>
                <w:sz w:val="20"/>
                <w:szCs w:val="20"/>
              </w:rPr>
              <w:t>約1,700㎡</w:t>
            </w:r>
          </w:p>
        </w:tc>
        <w:tc>
          <w:tcPr>
            <w:tcW w:w="2160" w:type="dxa"/>
          </w:tcPr>
          <w:p w14:paraId="01E3E566" w14:textId="77777777" w:rsidR="008B4B2B" w:rsidRPr="001D6D10" w:rsidRDefault="008B4B2B" w:rsidP="008B4B2B">
            <w:pPr>
              <w:spacing w:line="300" w:lineRule="exact"/>
              <w:jc w:val="center"/>
              <w:rPr>
                <w:rFonts w:ascii="ＭＳ ゴシック" w:eastAsia="ＭＳ ゴシック" w:hAnsi="ＭＳ ゴシック"/>
                <w:sz w:val="20"/>
                <w:szCs w:val="20"/>
              </w:rPr>
            </w:pPr>
            <w:r w:rsidRPr="001D6D10">
              <w:rPr>
                <w:rFonts w:ascii="ＭＳ ゴシック" w:eastAsia="ＭＳ ゴシック" w:hAnsi="ＭＳ ゴシック" w:hint="eastAsia"/>
                <w:sz w:val="20"/>
                <w:szCs w:val="20"/>
              </w:rPr>
              <w:t>約57,000㎡</w:t>
            </w:r>
          </w:p>
        </w:tc>
        <w:tc>
          <w:tcPr>
            <w:tcW w:w="2097" w:type="dxa"/>
          </w:tcPr>
          <w:p w14:paraId="1EE43C38" w14:textId="77777777" w:rsidR="008B4B2B" w:rsidRPr="001D6D10" w:rsidRDefault="008B4B2B" w:rsidP="008B4B2B">
            <w:pPr>
              <w:spacing w:line="300" w:lineRule="exact"/>
              <w:jc w:val="center"/>
              <w:rPr>
                <w:rFonts w:ascii="ＭＳ ゴシック" w:eastAsia="ＭＳ ゴシック" w:hAnsi="ＭＳ ゴシック"/>
                <w:sz w:val="20"/>
                <w:szCs w:val="20"/>
              </w:rPr>
            </w:pPr>
            <w:r w:rsidRPr="001D6D10">
              <w:rPr>
                <w:rFonts w:ascii="ＭＳ ゴシック" w:eastAsia="ＭＳ ゴシック" w:hAnsi="ＭＳ ゴシック" w:hint="eastAsia"/>
                <w:sz w:val="20"/>
                <w:szCs w:val="20"/>
              </w:rPr>
              <w:t>約24,000㎡</w:t>
            </w:r>
          </w:p>
        </w:tc>
      </w:tr>
      <w:tr w:rsidR="001D6D10" w:rsidRPr="001D6D10" w14:paraId="4B875F15" w14:textId="77777777" w:rsidTr="008B4B2B">
        <w:trPr>
          <w:trHeight w:val="279"/>
        </w:trPr>
        <w:tc>
          <w:tcPr>
            <w:tcW w:w="1980" w:type="dxa"/>
            <w:gridSpan w:val="2"/>
          </w:tcPr>
          <w:p w14:paraId="1AFADE3B" w14:textId="77777777" w:rsidR="008B4B2B" w:rsidRPr="001D6D10" w:rsidRDefault="008B4B2B" w:rsidP="008B4B2B">
            <w:pPr>
              <w:spacing w:line="300" w:lineRule="exact"/>
              <w:jc w:val="center"/>
              <w:rPr>
                <w:rFonts w:ascii="ＭＳ ゴシック" w:eastAsia="ＭＳ ゴシック" w:hAnsi="ＭＳ ゴシック"/>
                <w:sz w:val="20"/>
                <w:szCs w:val="20"/>
              </w:rPr>
            </w:pPr>
            <w:r w:rsidRPr="001D6D10">
              <w:rPr>
                <w:rFonts w:ascii="ＭＳ ゴシック" w:eastAsia="ＭＳ ゴシック" w:hAnsi="ＭＳ ゴシック" w:hint="eastAsia"/>
                <w:sz w:val="20"/>
                <w:szCs w:val="20"/>
              </w:rPr>
              <w:t>建築面積</w:t>
            </w:r>
          </w:p>
        </w:tc>
        <w:tc>
          <w:tcPr>
            <w:tcW w:w="2160" w:type="dxa"/>
          </w:tcPr>
          <w:p w14:paraId="252C3F4C" w14:textId="77777777" w:rsidR="008B4B2B" w:rsidRPr="001D6D10" w:rsidRDefault="008B4B2B" w:rsidP="008B4B2B">
            <w:pPr>
              <w:spacing w:line="300" w:lineRule="exact"/>
              <w:jc w:val="center"/>
              <w:rPr>
                <w:rFonts w:ascii="ＭＳ ゴシック" w:eastAsia="ＭＳ ゴシック" w:hAnsi="ＭＳ ゴシック"/>
                <w:sz w:val="20"/>
                <w:szCs w:val="20"/>
              </w:rPr>
            </w:pPr>
            <w:r w:rsidRPr="001D6D10">
              <w:rPr>
                <w:rFonts w:ascii="ＭＳ ゴシック" w:eastAsia="ＭＳ ゴシック" w:hAnsi="ＭＳ ゴシック" w:hint="eastAsia"/>
                <w:sz w:val="20"/>
                <w:szCs w:val="20"/>
              </w:rPr>
              <w:t>約1,070㎡</w:t>
            </w:r>
          </w:p>
        </w:tc>
        <w:tc>
          <w:tcPr>
            <w:tcW w:w="2160" w:type="dxa"/>
          </w:tcPr>
          <w:p w14:paraId="2D85137D" w14:textId="77777777" w:rsidR="008B4B2B" w:rsidRPr="001D6D10" w:rsidRDefault="008B4B2B" w:rsidP="008B4B2B">
            <w:pPr>
              <w:spacing w:line="300" w:lineRule="exact"/>
              <w:jc w:val="center"/>
              <w:rPr>
                <w:rFonts w:ascii="ＭＳ ゴシック" w:eastAsia="ＭＳ ゴシック" w:hAnsi="ＭＳ ゴシック"/>
                <w:sz w:val="20"/>
                <w:szCs w:val="20"/>
              </w:rPr>
            </w:pPr>
            <w:r w:rsidRPr="001D6D10">
              <w:rPr>
                <w:rFonts w:ascii="ＭＳ ゴシック" w:eastAsia="ＭＳ ゴシック" w:hAnsi="ＭＳ ゴシック" w:hint="eastAsia"/>
                <w:sz w:val="20"/>
                <w:szCs w:val="20"/>
              </w:rPr>
              <w:t>約 5,180㎡</w:t>
            </w:r>
          </w:p>
        </w:tc>
        <w:tc>
          <w:tcPr>
            <w:tcW w:w="2097" w:type="dxa"/>
          </w:tcPr>
          <w:p w14:paraId="654963D2" w14:textId="77777777" w:rsidR="008B4B2B" w:rsidRPr="001D6D10" w:rsidRDefault="008B4B2B" w:rsidP="008B4B2B">
            <w:pPr>
              <w:spacing w:line="300" w:lineRule="exact"/>
              <w:jc w:val="center"/>
              <w:rPr>
                <w:rFonts w:ascii="ＭＳ ゴシック" w:eastAsia="ＭＳ ゴシック" w:hAnsi="ＭＳ ゴシック"/>
                <w:sz w:val="20"/>
                <w:szCs w:val="20"/>
              </w:rPr>
            </w:pPr>
            <w:r w:rsidRPr="001D6D10">
              <w:rPr>
                <w:rFonts w:ascii="ＭＳ ゴシック" w:eastAsia="ＭＳ ゴシック" w:hAnsi="ＭＳ ゴシック" w:hint="eastAsia"/>
                <w:sz w:val="20"/>
                <w:szCs w:val="20"/>
              </w:rPr>
              <w:t>約 2,080㎡</w:t>
            </w:r>
          </w:p>
        </w:tc>
      </w:tr>
      <w:tr w:rsidR="001D6D10" w:rsidRPr="001D6D10" w14:paraId="15CA5804" w14:textId="77777777" w:rsidTr="008B4B2B">
        <w:trPr>
          <w:trHeight w:val="255"/>
        </w:trPr>
        <w:tc>
          <w:tcPr>
            <w:tcW w:w="1980" w:type="dxa"/>
            <w:gridSpan w:val="2"/>
          </w:tcPr>
          <w:p w14:paraId="235782C5" w14:textId="77777777" w:rsidR="008B4B2B" w:rsidRPr="001D6D10" w:rsidRDefault="008B4B2B" w:rsidP="008B4B2B">
            <w:pPr>
              <w:spacing w:line="300" w:lineRule="exact"/>
              <w:jc w:val="center"/>
              <w:rPr>
                <w:rFonts w:ascii="ＭＳ ゴシック" w:eastAsia="ＭＳ ゴシック" w:hAnsi="ＭＳ ゴシック"/>
                <w:sz w:val="20"/>
                <w:szCs w:val="20"/>
              </w:rPr>
            </w:pPr>
            <w:r w:rsidRPr="001D6D10">
              <w:rPr>
                <w:rFonts w:ascii="ＭＳ ゴシック" w:eastAsia="ＭＳ ゴシック" w:hAnsi="ＭＳ ゴシック" w:hint="eastAsia"/>
                <w:sz w:val="20"/>
                <w:szCs w:val="20"/>
              </w:rPr>
              <w:t>延床面積</w:t>
            </w:r>
          </w:p>
        </w:tc>
        <w:tc>
          <w:tcPr>
            <w:tcW w:w="2160" w:type="dxa"/>
          </w:tcPr>
          <w:p w14:paraId="6F4086BF" w14:textId="77777777" w:rsidR="008B4B2B" w:rsidRPr="001D6D10" w:rsidRDefault="008B4B2B" w:rsidP="008B4B2B">
            <w:pPr>
              <w:spacing w:line="300" w:lineRule="exact"/>
              <w:jc w:val="center"/>
              <w:rPr>
                <w:rFonts w:ascii="ＭＳ ゴシック" w:eastAsia="ＭＳ ゴシック" w:hAnsi="ＭＳ ゴシック"/>
                <w:sz w:val="20"/>
                <w:szCs w:val="20"/>
              </w:rPr>
            </w:pPr>
            <w:r w:rsidRPr="001D6D10">
              <w:rPr>
                <w:rFonts w:ascii="ＭＳ ゴシック" w:eastAsia="ＭＳ ゴシック" w:hAnsi="ＭＳ ゴシック" w:hint="eastAsia"/>
                <w:sz w:val="20"/>
                <w:szCs w:val="20"/>
              </w:rPr>
              <w:t>約2,300㎡</w:t>
            </w:r>
          </w:p>
        </w:tc>
        <w:tc>
          <w:tcPr>
            <w:tcW w:w="2160" w:type="dxa"/>
          </w:tcPr>
          <w:p w14:paraId="197E3CA8" w14:textId="77777777" w:rsidR="008B4B2B" w:rsidRPr="001D6D10" w:rsidRDefault="008B4B2B" w:rsidP="008B4B2B">
            <w:pPr>
              <w:spacing w:line="300" w:lineRule="exact"/>
              <w:jc w:val="center"/>
              <w:rPr>
                <w:rFonts w:ascii="ＭＳ ゴシック" w:eastAsia="ＭＳ ゴシック" w:hAnsi="ＭＳ ゴシック"/>
                <w:sz w:val="20"/>
                <w:szCs w:val="20"/>
              </w:rPr>
            </w:pPr>
            <w:r w:rsidRPr="001D6D10">
              <w:rPr>
                <w:rFonts w:ascii="ＭＳ ゴシック" w:eastAsia="ＭＳ ゴシック" w:hAnsi="ＭＳ ゴシック" w:hint="eastAsia"/>
                <w:sz w:val="20"/>
                <w:szCs w:val="20"/>
              </w:rPr>
              <w:t>約10,170㎡</w:t>
            </w:r>
          </w:p>
        </w:tc>
        <w:tc>
          <w:tcPr>
            <w:tcW w:w="2097" w:type="dxa"/>
          </w:tcPr>
          <w:p w14:paraId="1AE9C8D5" w14:textId="77777777" w:rsidR="008B4B2B" w:rsidRPr="001D6D10" w:rsidRDefault="008B4B2B" w:rsidP="008B4B2B">
            <w:pPr>
              <w:spacing w:line="300" w:lineRule="exact"/>
              <w:jc w:val="center"/>
              <w:rPr>
                <w:rFonts w:ascii="ＭＳ ゴシック" w:eastAsia="ＭＳ ゴシック" w:hAnsi="ＭＳ ゴシック"/>
                <w:sz w:val="20"/>
                <w:szCs w:val="20"/>
              </w:rPr>
            </w:pPr>
            <w:r w:rsidRPr="001D6D10">
              <w:rPr>
                <w:rFonts w:ascii="ＭＳ ゴシック" w:eastAsia="ＭＳ ゴシック" w:hAnsi="ＭＳ ゴシック" w:hint="eastAsia"/>
                <w:sz w:val="20"/>
                <w:szCs w:val="20"/>
              </w:rPr>
              <w:t>約 3,250㎡</w:t>
            </w:r>
          </w:p>
        </w:tc>
      </w:tr>
      <w:tr w:rsidR="001D6D10" w:rsidRPr="001D6D10" w14:paraId="723BDE7A" w14:textId="77777777" w:rsidTr="008B4B2B">
        <w:trPr>
          <w:trHeight w:val="537"/>
        </w:trPr>
        <w:tc>
          <w:tcPr>
            <w:tcW w:w="360" w:type="dxa"/>
            <w:vMerge w:val="restart"/>
            <w:vAlign w:val="center"/>
          </w:tcPr>
          <w:p w14:paraId="0E9F539E" w14:textId="77777777" w:rsidR="008B4B2B" w:rsidRPr="001D6D10" w:rsidRDefault="008B4B2B" w:rsidP="008B4B2B">
            <w:pPr>
              <w:spacing w:line="300" w:lineRule="exact"/>
              <w:ind w:leftChars="-46" w:left="-97"/>
              <w:jc w:val="center"/>
              <w:rPr>
                <w:rFonts w:ascii="ＭＳ ゴシック" w:eastAsia="ＭＳ ゴシック" w:hAnsi="ＭＳ ゴシック"/>
                <w:sz w:val="20"/>
                <w:szCs w:val="20"/>
              </w:rPr>
            </w:pPr>
            <w:r w:rsidRPr="001D6D10">
              <w:rPr>
                <w:rFonts w:ascii="ＭＳ ゴシック" w:eastAsia="ＭＳ ゴシック" w:hAnsi="ＭＳ ゴシック" w:hint="eastAsia"/>
                <w:sz w:val="20"/>
                <w:szCs w:val="20"/>
              </w:rPr>
              <w:t>施設概要</w:t>
            </w:r>
          </w:p>
        </w:tc>
        <w:tc>
          <w:tcPr>
            <w:tcW w:w="1620" w:type="dxa"/>
            <w:tcBorders>
              <w:bottom w:val="single" w:sz="4" w:space="0" w:color="auto"/>
            </w:tcBorders>
            <w:vAlign w:val="center"/>
          </w:tcPr>
          <w:p w14:paraId="115796CA" w14:textId="77777777" w:rsidR="008B4B2B" w:rsidRPr="001D6D10" w:rsidRDefault="008B4B2B" w:rsidP="008B4B2B">
            <w:pPr>
              <w:spacing w:line="300" w:lineRule="exact"/>
              <w:jc w:val="center"/>
              <w:rPr>
                <w:rFonts w:ascii="ＭＳ ゴシック" w:eastAsia="ＭＳ ゴシック" w:hAnsi="ＭＳ ゴシック"/>
                <w:sz w:val="20"/>
                <w:szCs w:val="20"/>
              </w:rPr>
            </w:pPr>
            <w:r w:rsidRPr="001D6D10">
              <w:rPr>
                <w:rFonts w:ascii="ＭＳ ゴシック" w:eastAsia="ＭＳ ゴシック" w:hAnsi="ＭＳ ゴシック" w:hint="eastAsia"/>
                <w:spacing w:val="111"/>
                <w:kern w:val="0"/>
                <w:sz w:val="20"/>
                <w:szCs w:val="20"/>
                <w:fitText w:val="1470" w:id="-1954281214"/>
              </w:rPr>
              <w:t>備蓄倉</w:t>
            </w:r>
            <w:r w:rsidRPr="001D6D10">
              <w:rPr>
                <w:rFonts w:ascii="ＭＳ ゴシック" w:eastAsia="ＭＳ ゴシック" w:hAnsi="ＭＳ ゴシック" w:hint="eastAsia"/>
                <w:spacing w:val="2"/>
                <w:kern w:val="0"/>
                <w:sz w:val="20"/>
                <w:szCs w:val="20"/>
                <w:fitText w:val="1470" w:id="-1954281214"/>
              </w:rPr>
              <w:t>庫</w:t>
            </w:r>
          </w:p>
        </w:tc>
        <w:tc>
          <w:tcPr>
            <w:tcW w:w="2160" w:type="dxa"/>
            <w:tcBorders>
              <w:bottom w:val="single" w:sz="4" w:space="0" w:color="auto"/>
            </w:tcBorders>
          </w:tcPr>
          <w:p w14:paraId="6840744F" w14:textId="77777777" w:rsidR="008B4B2B" w:rsidRPr="001D6D10" w:rsidRDefault="008B4B2B" w:rsidP="008B4B2B">
            <w:pPr>
              <w:spacing w:line="300" w:lineRule="exact"/>
              <w:rPr>
                <w:rFonts w:ascii="ＭＳ ゴシック" w:eastAsia="ＭＳ ゴシック" w:hAnsi="ＭＳ ゴシック"/>
                <w:sz w:val="20"/>
                <w:szCs w:val="20"/>
              </w:rPr>
            </w:pPr>
            <w:r w:rsidRPr="001D6D10">
              <w:rPr>
                <w:rFonts w:ascii="ＭＳ ゴシック" w:eastAsia="ＭＳ ゴシック" w:hAnsi="ＭＳ ゴシック" w:hint="eastAsia"/>
                <w:sz w:val="20"/>
                <w:szCs w:val="20"/>
              </w:rPr>
              <w:t>面積1F約980㎡</w:t>
            </w:r>
          </w:p>
          <w:p w14:paraId="0BBAEBFF" w14:textId="77777777" w:rsidR="008B4B2B" w:rsidRPr="001D6D10" w:rsidRDefault="008B4B2B" w:rsidP="008B4B2B">
            <w:pPr>
              <w:spacing w:line="300" w:lineRule="exact"/>
              <w:rPr>
                <w:rFonts w:ascii="ＭＳ ゴシック" w:eastAsia="ＭＳ ゴシック" w:hAnsi="ＭＳ ゴシック"/>
                <w:sz w:val="20"/>
                <w:szCs w:val="20"/>
              </w:rPr>
            </w:pPr>
            <w:r w:rsidRPr="001D6D10">
              <w:rPr>
                <w:rFonts w:ascii="ＭＳ ゴシック" w:eastAsia="ＭＳ ゴシック" w:hAnsi="ＭＳ ゴシック" w:hint="eastAsia"/>
                <w:sz w:val="20"/>
                <w:szCs w:val="20"/>
              </w:rPr>
              <w:t xml:space="preserve">　　2F約1,050㎡</w:t>
            </w:r>
          </w:p>
        </w:tc>
        <w:tc>
          <w:tcPr>
            <w:tcW w:w="2160" w:type="dxa"/>
            <w:tcBorders>
              <w:bottom w:val="single" w:sz="4" w:space="0" w:color="auto"/>
            </w:tcBorders>
          </w:tcPr>
          <w:p w14:paraId="1CFC3B54" w14:textId="77777777" w:rsidR="008B4B2B" w:rsidRPr="001D6D10" w:rsidRDefault="008B4B2B" w:rsidP="008B4B2B">
            <w:pPr>
              <w:spacing w:line="300" w:lineRule="exact"/>
              <w:rPr>
                <w:rFonts w:ascii="ＭＳ ゴシック" w:eastAsia="ＭＳ ゴシック" w:hAnsi="ＭＳ ゴシック"/>
                <w:sz w:val="20"/>
                <w:szCs w:val="20"/>
              </w:rPr>
            </w:pPr>
            <w:r w:rsidRPr="001D6D10">
              <w:rPr>
                <w:rFonts w:ascii="ＭＳ ゴシック" w:eastAsia="ＭＳ ゴシック" w:hAnsi="ＭＳ ゴシック" w:hint="eastAsia"/>
                <w:sz w:val="20"/>
                <w:szCs w:val="20"/>
              </w:rPr>
              <w:t>面積1Ｆ約2,411㎡</w:t>
            </w:r>
          </w:p>
          <w:p w14:paraId="137CC702" w14:textId="77777777" w:rsidR="008B4B2B" w:rsidRPr="001D6D10" w:rsidRDefault="008B4B2B" w:rsidP="008B4B2B">
            <w:pPr>
              <w:spacing w:line="300" w:lineRule="exact"/>
              <w:rPr>
                <w:rFonts w:ascii="ＭＳ ゴシック" w:eastAsia="ＭＳ ゴシック" w:hAnsi="ＭＳ ゴシック"/>
                <w:sz w:val="20"/>
                <w:szCs w:val="20"/>
              </w:rPr>
            </w:pPr>
            <w:r w:rsidRPr="001D6D10">
              <w:rPr>
                <w:rFonts w:ascii="ＭＳ ゴシック" w:eastAsia="ＭＳ ゴシック" w:hAnsi="ＭＳ ゴシック" w:hint="eastAsia"/>
                <w:sz w:val="20"/>
                <w:szCs w:val="20"/>
              </w:rPr>
              <w:t xml:space="preserve">　　2F約3,950㎡</w:t>
            </w:r>
          </w:p>
        </w:tc>
        <w:tc>
          <w:tcPr>
            <w:tcW w:w="2097" w:type="dxa"/>
            <w:tcBorders>
              <w:bottom w:val="single" w:sz="4" w:space="0" w:color="auto"/>
            </w:tcBorders>
          </w:tcPr>
          <w:p w14:paraId="34EB41C3" w14:textId="77777777" w:rsidR="008B4B2B" w:rsidRPr="001D6D10" w:rsidRDefault="008B4B2B" w:rsidP="008B4B2B">
            <w:pPr>
              <w:spacing w:line="300" w:lineRule="exact"/>
              <w:rPr>
                <w:rFonts w:ascii="ＭＳ ゴシック" w:eastAsia="ＭＳ ゴシック" w:hAnsi="ＭＳ ゴシック"/>
                <w:sz w:val="20"/>
                <w:szCs w:val="20"/>
              </w:rPr>
            </w:pPr>
            <w:r w:rsidRPr="001D6D10">
              <w:rPr>
                <w:rFonts w:ascii="ＭＳ ゴシック" w:eastAsia="ＭＳ ゴシック" w:hAnsi="ＭＳ ゴシック" w:hint="eastAsia"/>
                <w:sz w:val="20"/>
                <w:szCs w:val="20"/>
              </w:rPr>
              <w:t>面積1Ｆ約  800㎡</w:t>
            </w:r>
          </w:p>
          <w:p w14:paraId="4046ABDC" w14:textId="77777777" w:rsidR="008B4B2B" w:rsidRPr="001D6D10" w:rsidRDefault="008B4B2B" w:rsidP="008B4B2B">
            <w:pPr>
              <w:spacing w:line="300" w:lineRule="exact"/>
              <w:rPr>
                <w:rFonts w:ascii="ＭＳ ゴシック" w:eastAsia="ＭＳ ゴシック" w:hAnsi="ＭＳ ゴシック"/>
                <w:sz w:val="20"/>
                <w:szCs w:val="20"/>
              </w:rPr>
            </w:pPr>
            <w:r w:rsidRPr="001D6D10">
              <w:rPr>
                <w:rFonts w:ascii="ＭＳ ゴシック" w:eastAsia="ＭＳ ゴシック" w:hAnsi="ＭＳ ゴシック" w:hint="eastAsia"/>
                <w:sz w:val="20"/>
                <w:szCs w:val="20"/>
              </w:rPr>
              <w:t xml:space="preserve">　　2Ｆ約1,100㎡</w:t>
            </w:r>
          </w:p>
        </w:tc>
      </w:tr>
      <w:tr w:rsidR="001D6D10" w:rsidRPr="001D6D10" w14:paraId="4161D48B" w14:textId="77777777" w:rsidTr="008B4B2B">
        <w:trPr>
          <w:trHeight w:val="361"/>
        </w:trPr>
        <w:tc>
          <w:tcPr>
            <w:tcW w:w="360" w:type="dxa"/>
            <w:vMerge/>
          </w:tcPr>
          <w:p w14:paraId="7DD2DA10" w14:textId="77777777" w:rsidR="008B4B2B" w:rsidRPr="001D6D10" w:rsidRDefault="008B4B2B" w:rsidP="008B4B2B">
            <w:pPr>
              <w:spacing w:line="300" w:lineRule="exact"/>
              <w:ind w:leftChars="-46" w:left="-97"/>
              <w:rPr>
                <w:rFonts w:ascii="ＭＳ ゴシック" w:eastAsia="ＭＳ ゴシック" w:hAnsi="ＭＳ ゴシック"/>
                <w:sz w:val="20"/>
                <w:szCs w:val="20"/>
              </w:rPr>
            </w:pPr>
          </w:p>
        </w:tc>
        <w:tc>
          <w:tcPr>
            <w:tcW w:w="1620" w:type="dxa"/>
            <w:vAlign w:val="center"/>
          </w:tcPr>
          <w:p w14:paraId="1D049FCF" w14:textId="77777777" w:rsidR="008B4B2B" w:rsidRPr="001D6D10" w:rsidRDefault="008B4B2B" w:rsidP="008B4B2B">
            <w:pPr>
              <w:spacing w:line="300" w:lineRule="exact"/>
              <w:jc w:val="center"/>
              <w:rPr>
                <w:rFonts w:ascii="ＭＳ ゴシック" w:eastAsia="ＭＳ ゴシック" w:hAnsi="ＭＳ ゴシック"/>
                <w:sz w:val="20"/>
                <w:szCs w:val="20"/>
              </w:rPr>
            </w:pPr>
            <w:r w:rsidRPr="001D6D10">
              <w:rPr>
                <w:rFonts w:ascii="ＭＳ ゴシック" w:eastAsia="ＭＳ ゴシック" w:hAnsi="ＭＳ ゴシック" w:hint="eastAsia"/>
                <w:spacing w:val="217"/>
                <w:kern w:val="0"/>
                <w:sz w:val="20"/>
                <w:szCs w:val="20"/>
                <w:fitText w:val="1470" w:id="-1954281213"/>
              </w:rPr>
              <w:t>荷捌</w:t>
            </w:r>
            <w:r w:rsidRPr="001D6D10">
              <w:rPr>
                <w:rFonts w:ascii="ＭＳ ゴシック" w:eastAsia="ＭＳ ゴシック" w:hAnsi="ＭＳ ゴシック" w:hint="eastAsia"/>
                <w:spacing w:val="1"/>
                <w:kern w:val="0"/>
                <w:sz w:val="20"/>
                <w:szCs w:val="20"/>
                <w:fitText w:val="1470" w:id="-1954281213"/>
              </w:rPr>
              <w:t>場</w:t>
            </w:r>
          </w:p>
        </w:tc>
        <w:tc>
          <w:tcPr>
            <w:tcW w:w="2160" w:type="dxa"/>
            <w:vMerge w:val="restart"/>
            <w:vAlign w:val="center"/>
          </w:tcPr>
          <w:p w14:paraId="557395C0" w14:textId="77777777" w:rsidR="008B4B2B" w:rsidRPr="001D6D10" w:rsidRDefault="008B4B2B" w:rsidP="008B4B2B">
            <w:pPr>
              <w:spacing w:line="300" w:lineRule="exact"/>
              <w:jc w:val="center"/>
              <w:rPr>
                <w:rFonts w:ascii="ＭＳ ゴシック" w:eastAsia="ＭＳ ゴシック" w:hAnsi="ＭＳ ゴシック"/>
                <w:sz w:val="20"/>
                <w:szCs w:val="20"/>
              </w:rPr>
            </w:pPr>
            <w:r w:rsidRPr="001D6D10">
              <w:rPr>
                <w:rFonts w:ascii="ＭＳ ゴシック" w:eastAsia="ＭＳ ゴシック" w:hAnsi="ＭＳ ゴシック" w:hint="eastAsia"/>
                <w:sz w:val="20"/>
                <w:szCs w:val="20"/>
              </w:rPr>
              <w:t>万博公園使用</w:t>
            </w:r>
          </w:p>
        </w:tc>
        <w:tc>
          <w:tcPr>
            <w:tcW w:w="2160" w:type="dxa"/>
            <w:vAlign w:val="center"/>
          </w:tcPr>
          <w:p w14:paraId="4E44C083" w14:textId="77777777" w:rsidR="008B4B2B" w:rsidRPr="001D6D10" w:rsidRDefault="008B4B2B" w:rsidP="008B4B2B">
            <w:pPr>
              <w:spacing w:line="300" w:lineRule="exact"/>
              <w:jc w:val="center"/>
              <w:rPr>
                <w:rFonts w:ascii="ＭＳ ゴシック" w:eastAsia="ＭＳ ゴシック" w:hAnsi="ＭＳ ゴシック"/>
                <w:sz w:val="20"/>
                <w:szCs w:val="20"/>
              </w:rPr>
            </w:pPr>
            <w:r w:rsidRPr="001D6D10">
              <w:rPr>
                <w:rFonts w:ascii="ＭＳ ゴシック" w:eastAsia="ＭＳ ゴシック" w:hAnsi="ＭＳ ゴシック" w:hint="eastAsia"/>
                <w:sz w:val="20"/>
                <w:szCs w:val="20"/>
              </w:rPr>
              <w:t>約930㎡</w:t>
            </w:r>
          </w:p>
        </w:tc>
        <w:tc>
          <w:tcPr>
            <w:tcW w:w="2097" w:type="dxa"/>
            <w:vAlign w:val="center"/>
          </w:tcPr>
          <w:p w14:paraId="3E9A52A8" w14:textId="77777777" w:rsidR="008B4B2B" w:rsidRPr="001D6D10" w:rsidRDefault="008B4B2B" w:rsidP="008B4B2B">
            <w:pPr>
              <w:spacing w:line="300" w:lineRule="exact"/>
              <w:jc w:val="center"/>
              <w:rPr>
                <w:rFonts w:ascii="ＭＳ ゴシック" w:eastAsia="ＭＳ ゴシック" w:hAnsi="ＭＳ ゴシック"/>
                <w:sz w:val="20"/>
                <w:szCs w:val="20"/>
              </w:rPr>
            </w:pPr>
            <w:r w:rsidRPr="001D6D10">
              <w:rPr>
                <w:rFonts w:ascii="ＭＳ ゴシック" w:eastAsia="ＭＳ ゴシック" w:hAnsi="ＭＳ ゴシック" w:hint="eastAsia"/>
                <w:sz w:val="20"/>
                <w:szCs w:val="20"/>
              </w:rPr>
              <w:t>約650㎡</w:t>
            </w:r>
          </w:p>
        </w:tc>
      </w:tr>
      <w:tr w:rsidR="008B4B2B" w:rsidRPr="001D6D10" w14:paraId="53CCDCDB" w14:textId="77777777" w:rsidTr="008B4B2B">
        <w:trPr>
          <w:trHeight w:val="697"/>
        </w:trPr>
        <w:tc>
          <w:tcPr>
            <w:tcW w:w="360" w:type="dxa"/>
            <w:vMerge/>
            <w:tcBorders>
              <w:bottom w:val="single" w:sz="4" w:space="0" w:color="auto"/>
            </w:tcBorders>
          </w:tcPr>
          <w:p w14:paraId="6123A658" w14:textId="77777777" w:rsidR="008B4B2B" w:rsidRPr="001D6D10" w:rsidRDefault="008B4B2B" w:rsidP="008B4B2B">
            <w:pPr>
              <w:spacing w:line="300" w:lineRule="exact"/>
              <w:ind w:left="-97"/>
              <w:rPr>
                <w:rFonts w:ascii="ＭＳ ゴシック" w:eastAsia="ＭＳ ゴシック" w:hAnsi="ＭＳ ゴシック"/>
                <w:sz w:val="20"/>
                <w:szCs w:val="20"/>
              </w:rPr>
            </w:pPr>
          </w:p>
        </w:tc>
        <w:tc>
          <w:tcPr>
            <w:tcW w:w="1620" w:type="dxa"/>
            <w:tcBorders>
              <w:bottom w:val="single" w:sz="4" w:space="0" w:color="auto"/>
            </w:tcBorders>
          </w:tcPr>
          <w:p w14:paraId="2FB1739C" w14:textId="77777777" w:rsidR="008B4B2B" w:rsidRPr="001D6D10" w:rsidRDefault="008B4B2B" w:rsidP="008B4B2B">
            <w:pPr>
              <w:spacing w:line="300" w:lineRule="exact"/>
              <w:rPr>
                <w:rFonts w:ascii="ＭＳ ゴシック" w:eastAsia="ＭＳ ゴシック" w:hAnsi="ＭＳ ゴシック"/>
                <w:sz w:val="20"/>
                <w:szCs w:val="20"/>
              </w:rPr>
            </w:pPr>
            <w:r w:rsidRPr="001D6D10">
              <w:rPr>
                <w:rFonts w:ascii="ＭＳ ゴシック" w:eastAsia="ＭＳ ゴシック" w:hAnsi="ＭＳ ゴシック" w:hint="eastAsia"/>
                <w:sz w:val="20"/>
                <w:szCs w:val="20"/>
              </w:rPr>
              <w:t>臨時ヘリポ－ト</w:t>
            </w:r>
          </w:p>
          <w:p w14:paraId="45ACE1E4" w14:textId="77777777" w:rsidR="008B4B2B" w:rsidRPr="001D6D10" w:rsidRDefault="008B4B2B" w:rsidP="008B4B2B">
            <w:pPr>
              <w:spacing w:line="300" w:lineRule="exact"/>
              <w:rPr>
                <w:rFonts w:ascii="ＭＳ ゴシック" w:eastAsia="ＭＳ ゴシック" w:hAnsi="ＭＳ ゴシック"/>
                <w:sz w:val="20"/>
                <w:szCs w:val="20"/>
              </w:rPr>
            </w:pPr>
            <w:r w:rsidRPr="001D6D10">
              <w:rPr>
                <w:rFonts w:ascii="ＭＳ ゴシック" w:eastAsia="ＭＳ ゴシック" w:hAnsi="ＭＳ ゴシック" w:hint="eastAsia"/>
                <w:spacing w:val="59"/>
                <w:kern w:val="0"/>
                <w:sz w:val="20"/>
                <w:szCs w:val="20"/>
                <w:fitText w:val="1470" w:id="-1954281212"/>
              </w:rPr>
              <w:t>多目的広</w:t>
            </w:r>
            <w:r w:rsidRPr="001D6D10">
              <w:rPr>
                <w:rFonts w:ascii="ＭＳ ゴシック" w:eastAsia="ＭＳ ゴシック" w:hAnsi="ＭＳ ゴシック" w:hint="eastAsia"/>
                <w:kern w:val="0"/>
                <w:sz w:val="20"/>
                <w:szCs w:val="20"/>
                <w:fitText w:val="1470" w:id="-1954281212"/>
              </w:rPr>
              <w:t>場</w:t>
            </w:r>
          </w:p>
        </w:tc>
        <w:tc>
          <w:tcPr>
            <w:tcW w:w="2160" w:type="dxa"/>
            <w:vMerge/>
            <w:tcBorders>
              <w:bottom w:val="single" w:sz="4" w:space="0" w:color="auto"/>
            </w:tcBorders>
          </w:tcPr>
          <w:p w14:paraId="1462C6D7" w14:textId="77777777" w:rsidR="008B4B2B" w:rsidRPr="001D6D10" w:rsidRDefault="008B4B2B" w:rsidP="008B4B2B">
            <w:pPr>
              <w:spacing w:line="300" w:lineRule="exact"/>
              <w:rPr>
                <w:rFonts w:ascii="ＭＳ ゴシック" w:eastAsia="ＭＳ ゴシック" w:hAnsi="ＭＳ ゴシック"/>
                <w:sz w:val="20"/>
                <w:szCs w:val="20"/>
              </w:rPr>
            </w:pPr>
          </w:p>
        </w:tc>
        <w:tc>
          <w:tcPr>
            <w:tcW w:w="2160" w:type="dxa"/>
            <w:tcBorders>
              <w:bottom w:val="single" w:sz="4" w:space="0" w:color="auto"/>
            </w:tcBorders>
          </w:tcPr>
          <w:p w14:paraId="2C72E5DF" w14:textId="77777777" w:rsidR="008B4B2B" w:rsidRPr="001D6D10" w:rsidRDefault="008B4B2B" w:rsidP="008B4B2B">
            <w:pPr>
              <w:spacing w:line="300" w:lineRule="exact"/>
              <w:jc w:val="center"/>
              <w:rPr>
                <w:rFonts w:ascii="ＭＳ ゴシック" w:eastAsia="ＭＳ ゴシック" w:hAnsi="ＭＳ ゴシック"/>
                <w:sz w:val="20"/>
                <w:szCs w:val="20"/>
              </w:rPr>
            </w:pPr>
            <w:r w:rsidRPr="001D6D10">
              <w:rPr>
                <w:rFonts w:ascii="ＭＳ ゴシック" w:eastAsia="ＭＳ ゴシック" w:hAnsi="ＭＳ ゴシック" w:hint="eastAsia"/>
                <w:sz w:val="20"/>
                <w:szCs w:val="20"/>
              </w:rPr>
              <w:t>約42,000㎡</w:t>
            </w:r>
          </w:p>
          <w:p w14:paraId="4EE96597" w14:textId="77777777" w:rsidR="008B4B2B" w:rsidRPr="001D6D10" w:rsidRDefault="008B4B2B" w:rsidP="008B4B2B">
            <w:pPr>
              <w:spacing w:line="300" w:lineRule="exact"/>
              <w:rPr>
                <w:rFonts w:ascii="ＭＳ ゴシック" w:eastAsia="ＭＳ ゴシック" w:hAnsi="ＭＳ ゴシック"/>
                <w:sz w:val="20"/>
                <w:szCs w:val="20"/>
              </w:rPr>
            </w:pPr>
            <w:r w:rsidRPr="001D6D10">
              <w:rPr>
                <w:rFonts w:ascii="ＭＳ ゴシック" w:eastAsia="ＭＳ ゴシック" w:hAnsi="ＭＳ ゴシック" w:hint="eastAsia"/>
                <w:sz w:val="20"/>
                <w:szCs w:val="20"/>
              </w:rPr>
              <w:t>（ヘリ13機駐機可能）</w:t>
            </w:r>
          </w:p>
        </w:tc>
        <w:tc>
          <w:tcPr>
            <w:tcW w:w="2097" w:type="dxa"/>
            <w:tcBorders>
              <w:bottom w:val="single" w:sz="4" w:space="0" w:color="auto"/>
            </w:tcBorders>
          </w:tcPr>
          <w:p w14:paraId="6AEB39EE" w14:textId="77777777" w:rsidR="008B4B2B" w:rsidRPr="001D6D10" w:rsidRDefault="008B4B2B" w:rsidP="008B4B2B">
            <w:pPr>
              <w:spacing w:line="300" w:lineRule="exact"/>
              <w:jc w:val="center"/>
              <w:rPr>
                <w:rFonts w:ascii="ＭＳ ゴシック" w:eastAsia="ＭＳ ゴシック" w:hAnsi="ＭＳ ゴシック"/>
                <w:sz w:val="20"/>
                <w:szCs w:val="20"/>
              </w:rPr>
            </w:pPr>
            <w:r w:rsidRPr="001D6D10">
              <w:rPr>
                <w:rFonts w:ascii="ＭＳ ゴシック" w:eastAsia="ＭＳ ゴシック" w:hAnsi="ＭＳ ゴシック" w:hint="eastAsia"/>
                <w:sz w:val="20"/>
                <w:szCs w:val="20"/>
              </w:rPr>
              <w:t>約16,400㎡</w:t>
            </w:r>
          </w:p>
          <w:p w14:paraId="5D1A44C3" w14:textId="77777777" w:rsidR="008B4B2B" w:rsidRPr="001D6D10" w:rsidRDefault="008B4B2B" w:rsidP="008B4B2B">
            <w:pPr>
              <w:spacing w:line="300" w:lineRule="exact"/>
              <w:rPr>
                <w:rFonts w:ascii="ＭＳ ゴシック" w:eastAsia="ＭＳ ゴシック" w:hAnsi="ＭＳ ゴシック"/>
                <w:sz w:val="20"/>
                <w:szCs w:val="20"/>
              </w:rPr>
            </w:pPr>
            <w:r w:rsidRPr="001D6D10">
              <w:rPr>
                <w:rFonts w:ascii="ＭＳ ゴシック" w:eastAsia="ＭＳ ゴシック" w:hAnsi="ＭＳ ゴシック" w:hint="eastAsia"/>
                <w:sz w:val="20"/>
                <w:szCs w:val="20"/>
              </w:rPr>
              <w:t>（ヘリ3機駐機可能）</w:t>
            </w:r>
          </w:p>
        </w:tc>
      </w:tr>
    </w:tbl>
    <w:p w14:paraId="7541AC99" w14:textId="77777777" w:rsidR="008B4B2B" w:rsidRPr="001D6D10" w:rsidRDefault="008B4B2B" w:rsidP="008B4B2B">
      <w:pPr>
        <w:ind w:left="884" w:hangingChars="400" w:hanging="884"/>
        <w:rPr>
          <w:sz w:val="22"/>
          <w:szCs w:val="22"/>
        </w:rPr>
      </w:pPr>
    </w:p>
    <w:p w14:paraId="73877120" w14:textId="77777777" w:rsidR="008B4B2B" w:rsidRPr="001D6D10" w:rsidRDefault="008B4B2B" w:rsidP="008B4B2B">
      <w:pPr>
        <w:ind w:firstLineChars="400" w:firstLine="884"/>
        <w:rPr>
          <w:rFonts w:ascii="ＭＳ 明朝" w:hAnsi="ＭＳ 明朝"/>
          <w:sz w:val="22"/>
          <w:szCs w:val="22"/>
        </w:rPr>
      </w:pPr>
      <w:r w:rsidRPr="001D6D10">
        <w:rPr>
          <w:rFonts w:ascii="ＭＳ 明朝" w:hAnsi="ＭＳ 明朝" w:hint="eastAsia"/>
          <w:sz w:val="22"/>
          <w:szCs w:val="22"/>
        </w:rPr>
        <w:t>(2)　広域防災拠点の運用</w:t>
      </w:r>
    </w:p>
    <w:p w14:paraId="2E0BC918" w14:textId="487051C6" w:rsidR="008B4B2B" w:rsidRPr="001D6D10" w:rsidRDefault="008B4B2B" w:rsidP="008B4B2B">
      <w:pPr>
        <w:ind w:left="1327" w:rightChars="26" w:right="55" w:hangingChars="600" w:hanging="1327"/>
        <w:rPr>
          <w:rFonts w:hAnsi="ＭＳ 明朝"/>
          <w:sz w:val="22"/>
          <w:szCs w:val="22"/>
        </w:rPr>
      </w:pPr>
      <w:r w:rsidRPr="001D6D10">
        <w:rPr>
          <w:rFonts w:ascii="ＭＳ 明朝" w:hAnsi="ＭＳ 明朝" w:hint="eastAsia"/>
          <w:sz w:val="22"/>
          <w:szCs w:val="22"/>
        </w:rPr>
        <w:t xml:space="preserve">　　　　　①　災害対策課長は、被災者に対する</w:t>
      </w:r>
      <w:r w:rsidRPr="001D6D10">
        <w:rPr>
          <w:rFonts w:hAnsi="ＭＳ 明朝" w:hint="eastAsia"/>
          <w:sz w:val="22"/>
          <w:szCs w:val="22"/>
        </w:rPr>
        <w:t>備蓄物資の供給や他都道府県等からの義援物資の受入れ等を行うため、また、広域的な応援を要請した場合は</w:t>
      </w:r>
      <w:hyperlink r:id="rId18" w:history="1">
        <w:r w:rsidRPr="001D6D10">
          <w:rPr>
            <w:rStyle w:val="ac"/>
            <w:rFonts w:hAnsi="ＭＳ 明朝" w:hint="eastAsia"/>
            <w:color w:val="auto"/>
            <w:sz w:val="22"/>
            <w:szCs w:val="22"/>
          </w:rPr>
          <w:t>「広域的支援部隊受入計画」</w:t>
        </w:r>
      </w:hyperlink>
      <w:r w:rsidRPr="001D6D10">
        <w:rPr>
          <w:rFonts w:hAnsi="ＭＳ 明朝" w:hint="eastAsia"/>
          <w:sz w:val="22"/>
          <w:szCs w:val="22"/>
        </w:rPr>
        <w:t>を踏まえ応援部隊の受入れ調整等を行うため、必要がある場合は各広域防災拠点へ現地責任者及び広域防災拠点要員を指定し派遣する。</w:t>
      </w:r>
    </w:p>
    <w:p w14:paraId="152E69EC" w14:textId="77777777" w:rsidR="008B4B2B" w:rsidRPr="001D6D10" w:rsidRDefault="008B4B2B" w:rsidP="008B4B2B">
      <w:pPr>
        <w:ind w:left="1327" w:rightChars="26" w:right="55" w:hangingChars="600" w:hanging="1327"/>
        <w:rPr>
          <w:rFonts w:hAnsi="ＭＳ 明朝"/>
          <w:sz w:val="22"/>
          <w:szCs w:val="22"/>
        </w:rPr>
      </w:pPr>
      <w:r w:rsidRPr="001D6D10">
        <w:rPr>
          <w:rFonts w:hAnsi="ＭＳ 明朝" w:hint="eastAsia"/>
          <w:sz w:val="22"/>
          <w:szCs w:val="22"/>
        </w:rPr>
        <w:t xml:space="preserve">　　　　　②　現地責任者は、災対本部事務局の指示により備蓄物資の供給、他都道府県等からの義援物資の受入れ等、また、応援部隊の受入れ調整等を行う。</w:t>
      </w:r>
    </w:p>
    <w:p w14:paraId="30A25229" w14:textId="77777777" w:rsidR="008B4B2B" w:rsidRPr="001D6D10" w:rsidRDefault="008B4B2B" w:rsidP="008B4B2B">
      <w:pPr>
        <w:ind w:left="1327" w:hangingChars="600" w:hanging="1327"/>
        <w:rPr>
          <w:rFonts w:ascii="ＭＳ 明朝" w:hAnsi="ＭＳ 明朝"/>
          <w:sz w:val="22"/>
          <w:szCs w:val="22"/>
        </w:rPr>
      </w:pPr>
      <w:r w:rsidRPr="001D6D10">
        <w:rPr>
          <w:rFonts w:ascii="ＭＳ 明朝" w:hAnsi="ＭＳ 明朝" w:hint="eastAsia"/>
          <w:sz w:val="22"/>
          <w:szCs w:val="22"/>
        </w:rPr>
        <w:t xml:space="preserve">　　</w:t>
      </w:r>
    </w:p>
    <w:p w14:paraId="5E36B70D" w14:textId="77777777" w:rsidR="008B4B2B" w:rsidRPr="001D6D10" w:rsidRDefault="008B4B2B" w:rsidP="008B4B2B">
      <w:pPr>
        <w:ind w:leftChars="200" w:left="1306" w:hangingChars="400" w:hanging="884"/>
        <w:rPr>
          <w:rFonts w:ascii="ＭＳ ゴシック" w:eastAsia="ＭＳ ゴシック" w:hAnsi="ＭＳ ゴシック"/>
          <w:sz w:val="22"/>
          <w:szCs w:val="22"/>
          <w:u w:val="single"/>
        </w:rPr>
      </w:pPr>
      <w:r w:rsidRPr="001D6D10">
        <w:rPr>
          <w:rFonts w:ascii="ＭＳ 明朝" w:hAnsi="ＭＳ 明朝" w:hint="eastAsia"/>
          <w:sz w:val="22"/>
          <w:szCs w:val="22"/>
        </w:rPr>
        <w:t xml:space="preserve">　</w:t>
      </w:r>
      <w:r w:rsidRPr="001D6D10">
        <w:rPr>
          <w:rFonts w:ascii="ＭＳ ゴシック" w:eastAsia="ＭＳ ゴシック" w:hAnsi="ＭＳ ゴシック" w:hint="eastAsia"/>
          <w:sz w:val="22"/>
          <w:szCs w:val="22"/>
          <w:u w:val="single"/>
        </w:rPr>
        <w:t>２　後方支援活動拠点の運用</w:t>
      </w:r>
    </w:p>
    <w:p w14:paraId="7419447D" w14:textId="17FDF911" w:rsidR="008B4B2B" w:rsidRPr="001D6D10" w:rsidRDefault="008B4B2B" w:rsidP="007E668F">
      <w:pPr>
        <w:numPr>
          <w:ilvl w:val="0"/>
          <w:numId w:val="24"/>
        </w:numPr>
        <w:ind w:leftChars="403" w:left="1418" w:hanging="567"/>
        <w:rPr>
          <w:rFonts w:hAnsi="ＭＳ 明朝"/>
          <w:sz w:val="22"/>
          <w:szCs w:val="22"/>
        </w:rPr>
      </w:pPr>
      <w:r w:rsidRPr="001D6D10">
        <w:rPr>
          <w:rFonts w:ascii="ＭＳ 明朝" w:hAnsi="ＭＳ 明朝" w:hint="eastAsia"/>
          <w:sz w:val="22"/>
          <w:szCs w:val="22"/>
        </w:rPr>
        <w:t>災害対策課長は、</w:t>
      </w:r>
      <w:r w:rsidRPr="001D6D10">
        <w:rPr>
          <w:rFonts w:hAnsi="ＭＳ 明朝" w:hint="eastAsia"/>
          <w:sz w:val="22"/>
          <w:szCs w:val="22"/>
        </w:rPr>
        <w:t>広域的な応援を要請した場合は、</w:t>
      </w:r>
      <w:hyperlink r:id="rId19" w:history="1">
        <w:r w:rsidRPr="001D6D10">
          <w:rPr>
            <w:rStyle w:val="ac"/>
            <w:rFonts w:hAnsi="ＭＳ 明朝" w:hint="eastAsia"/>
            <w:color w:val="auto"/>
            <w:sz w:val="22"/>
            <w:szCs w:val="22"/>
          </w:rPr>
          <w:t>「広域的支援部隊受入計画」</w:t>
        </w:r>
      </w:hyperlink>
      <w:r w:rsidRPr="001D6D10">
        <w:rPr>
          <w:rFonts w:hAnsi="ＭＳ 明朝" w:hint="eastAsia"/>
          <w:sz w:val="22"/>
          <w:szCs w:val="22"/>
        </w:rPr>
        <w:t>を踏まえ、応援部隊を受入れする後方支援活動拠点を指定し、関係機関に通知するとともに、必要がある場合は</w:t>
      </w:r>
      <w:r w:rsidRPr="001D6D10">
        <w:rPr>
          <w:rFonts w:ascii="ＭＳ 明朝" w:hAnsi="ＭＳ 明朝" w:hint="eastAsia"/>
          <w:sz w:val="22"/>
          <w:szCs w:val="22"/>
        </w:rPr>
        <w:t>指定した後方支援活動拠点へ現地</w:t>
      </w:r>
      <w:r w:rsidRPr="001D6D10">
        <w:rPr>
          <w:rFonts w:hAnsi="ＭＳ 明朝" w:hint="eastAsia"/>
          <w:sz w:val="22"/>
          <w:szCs w:val="22"/>
        </w:rPr>
        <w:t>責任者及び後方支援活動拠点要員を指定し派遣する。</w:t>
      </w:r>
    </w:p>
    <w:p w14:paraId="0865564A" w14:textId="77777777" w:rsidR="008B4B2B" w:rsidRPr="001D6D10" w:rsidRDefault="008B4B2B" w:rsidP="008B4B2B">
      <w:pPr>
        <w:ind w:leftChars="403" w:left="2067" w:rightChars="-108" w:right="-228" w:hangingChars="550" w:hanging="1216"/>
        <w:rPr>
          <w:rFonts w:hAnsi="ＭＳ 明朝"/>
          <w:sz w:val="22"/>
          <w:szCs w:val="22"/>
        </w:rPr>
      </w:pPr>
      <w:r w:rsidRPr="001D6D10">
        <w:rPr>
          <w:rFonts w:hAnsi="ＭＳ 明朝" w:hint="eastAsia"/>
          <w:sz w:val="22"/>
          <w:szCs w:val="22"/>
        </w:rPr>
        <w:t xml:space="preserve">　　　</w:t>
      </w:r>
    </w:p>
    <w:p w14:paraId="32AC177F" w14:textId="77777777" w:rsidR="008B4B2B" w:rsidRPr="001D6D10" w:rsidRDefault="008B4B2B" w:rsidP="008B4B2B">
      <w:pPr>
        <w:ind w:leftChars="403" w:left="1183" w:rightChars="-108" w:right="-228" w:hangingChars="150" w:hanging="332"/>
        <w:rPr>
          <w:rFonts w:ascii="ＭＳ 明朝" w:hAnsi="ＭＳ 明朝"/>
          <w:sz w:val="22"/>
          <w:szCs w:val="22"/>
        </w:rPr>
      </w:pPr>
      <w:r w:rsidRPr="001D6D10">
        <w:rPr>
          <w:rFonts w:ascii="ＭＳ 明朝" w:hAnsi="ＭＳ 明朝" w:hint="eastAsia"/>
          <w:sz w:val="22"/>
          <w:szCs w:val="22"/>
        </w:rPr>
        <w:t xml:space="preserve">(2)　</w:t>
      </w:r>
      <w:r w:rsidRPr="001D6D10">
        <w:rPr>
          <w:rFonts w:hAnsi="ＭＳ 明朝" w:hint="eastAsia"/>
          <w:sz w:val="22"/>
          <w:szCs w:val="22"/>
        </w:rPr>
        <w:t>現地責任者は、災対本部事務局の指示により応援部隊の受入れ調整等を行う。</w:t>
      </w:r>
    </w:p>
    <w:p w14:paraId="0F0E28F9" w14:textId="77777777" w:rsidR="008B4B2B" w:rsidRPr="001D6D10" w:rsidRDefault="008B4B2B" w:rsidP="008B4B2B">
      <w:pPr>
        <w:ind w:leftChars="165" w:left="348" w:rightChars="-108" w:right="-228"/>
        <w:rPr>
          <w:rFonts w:hAnsi="ＭＳ 明朝"/>
          <w:sz w:val="22"/>
          <w:szCs w:val="22"/>
        </w:rPr>
      </w:pPr>
    </w:p>
    <w:p w14:paraId="2D469706" w14:textId="77777777" w:rsidR="008B4B2B" w:rsidRPr="001D6D10" w:rsidRDefault="008B4B2B" w:rsidP="008B4B2B">
      <w:pPr>
        <w:ind w:leftChars="290" w:left="1275" w:rightChars="-108" w:right="-228" w:hangingChars="300" w:hanging="663"/>
        <w:rPr>
          <w:rFonts w:hAnsi="ＭＳ 明朝"/>
          <w:sz w:val="22"/>
          <w:szCs w:val="22"/>
        </w:rPr>
      </w:pPr>
      <w:r w:rsidRPr="001D6D10">
        <w:rPr>
          <w:rFonts w:ascii="ＭＳ 明朝" w:hAnsi="ＭＳ 明朝" w:hint="eastAsia"/>
          <w:sz w:val="22"/>
          <w:szCs w:val="22"/>
        </w:rPr>
        <w:t xml:space="preserve">　(3)　指定を受けた公園を所管する土木事務所長</w:t>
      </w:r>
      <w:r w:rsidRPr="001D6D10">
        <w:rPr>
          <w:rFonts w:ascii="ＭＳ 明朝" w:hAnsi="ＭＳ 明朝" w:cs="Meiryo UI" w:hint="eastAsia"/>
          <w:sz w:val="22"/>
        </w:rPr>
        <w:t>又は万博記念公園事務所長</w:t>
      </w:r>
      <w:r w:rsidRPr="001D6D10">
        <w:rPr>
          <w:rFonts w:ascii="ＭＳ 明朝" w:hAnsi="ＭＳ 明朝" w:hint="eastAsia"/>
          <w:sz w:val="22"/>
          <w:szCs w:val="22"/>
        </w:rPr>
        <w:t>は、災害対策本部事務局又は現地責任者が派遣されている場合は、これと連携し、</w:t>
      </w:r>
      <w:r w:rsidRPr="001D6D10">
        <w:rPr>
          <w:rFonts w:hAnsi="ＭＳ 明朝" w:hint="eastAsia"/>
          <w:sz w:val="22"/>
          <w:szCs w:val="22"/>
        </w:rPr>
        <w:t>応援部隊の受入れ等を行う。</w:t>
      </w:r>
    </w:p>
    <w:p w14:paraId="081C8E5C" w14:textId="59F65AEF" w:rsidR="00DE33AD" w:rsidRDefault="00DE33AD">
      <w:pPr>
        <w:widowControl/>
        <w:jc w:val="left"/>
        <w:rPr>
          <w:rFonts w:ascii="ＭＳ ゴシック" w:eastAsia="ＭＳ ゴシック" w:hAnsi="ＭＳ ゴシック" w:cs="ＭＳ 明朝"/>
          <w:kern w:val="0"/>
          <w:sz w:val="22"/>
          <w:szCs w:val="22"/>
        </w:rPr>
      </w:pPr>
      <w:r>
        <w:rPr>
          <w:rFonts w:ascii="ＭＳ ゴシック" w:eastAsia="ＭＳ ゴシック" w:hAnsi="ＭＳ ゴシック"/>
        </w:rPr>
        <w:br w:type="page"/>
      </w:r>
    </w:p>
    <w:p w14:paraId="48076606" w14:textId="3E0ADADD" w:rsidR="009953CA" w:rsidRPr="00E0548A" w:rsidRDefault="009953CA" w:rsidP="00E0548A">
      <w:pPr>
        <w:pStyle w:val="2"/>
        <w:rPr>
          <w:rFonts w:asciiTheme="majorEastAsia" w:eastAsiaTheme="majorEastAsia" w:hAnsiTheme="majorEastAsia"/>
          <w:szCs w:val="40"/>
        </w:rPr>
      </w:pPr>
      <w:bookmarkStart w:id="189" w:name="_Toc122436912"/>
      <w:bookmarkStart w:id="190" w:name="_Toc222486595"/>
      <w:bookmarkStart w:id="191" w:name="_Toc242870265"/>
      <w:r w:rsidRPr="00E0548A">
        <w:rPr>
          <w:rFonts w:asciiTheme="majorEastAsia" w:eastAsiaTheme="majorEastAsia" w:hAnsiTheme="majorEastAsia" w:hint="eastAsia"/>
          <w:szCs w:val="40"/>
        </w:rPr>
        <w:lastRenderedPageBreak/>
        <w:t>第５節　他の都道府県への応援</w:t>
      </w:r>
      <w:bookmarkEnd w:id="189"/>
      <w:bookmarkEnd w:id="190"/>
      <w:bookmarkEnd w:id="191"/>
    </w:p>
    <w:p w14:paraId="5EE1DC8E" w14:textId="77777777" w:rsidR="009953CA" w:rsidRPr="001D6D10" w:rsidRDefault="009953CA" w:rsidP="009953CA">
      <w:pPr>
        <w:spacing w:line="0" w:lineRule="atLeast"/>
        <w:rPr>
          <w:rFonts w:ascii="ＭＳ ゴシック" w:eastAsia="ＭＳ ゴシック" w:hAnsi="ＭＳ ゴシック"/>
          <w:sz w:val="22"/>
          <w:szCs w:val="22"/>
          <w:bdr w:val="single" w:sz="4" w:space="0" w:color="auto"/>
        </w:rPr>
      </w:pPr>
      <w:r w:rsidRPr="001D6D10">
        <w:rPr>
          <w:rFonts w:ascii="ＭＳ 明朝" w:hAnsi="ＭＳ 明朝" w:hint="eastAsia"/>
          <w:sz w:val="22"/>
          <w:szCs w:val="22"/>
        </w:rPr>
        <w:t xml:space="preserve">　　　　　　 </w:t>
      </w:r>
      <w:r w:rsidRPr="001D6D10">
        <w:rPr>
          <w:rFonts w:ascii="ＭＳ ゴシック" w:eastAsia="ＭＳ ゴシック" w:hAnsi="ＭＳ ゴシック" w:hint="eastAsia"/>
          <w:sz w:val="22"/>
          <w:szCs w:val="22"/>
          <w:bdr w:val="single" w:sz="4" w:space="0" w:color="auto"/>
        </w:rPr>
        <w:t>主たる担当：危機管理室</w:t>
      </w:r>
    </w:p>
    <w:p w14:paraId="19D70E67" w14:textId="77777777" w:rsidR="009953CA" w:rsidRPr="001D6D10" w:rsidRDefault="009953CA" w:rsidP="009953CA">
      <w:pPr>
        <w:spacing w:line="0" w:lineRule="atLeast"/>
        <w:rPr>
          <w:rFonts w:ascii="ＭＳ ゴシック" w:eastAsia="ＭＳ ゴシック" w:hAnsi="ＭＳ ゴシック"/>
          <w:sz w:val="22"/>
          <w:szCs w:val="22"/>
        </w:rPr>
      </w:pPr>
    </w:p>
    <w:p w14:paraId="6A503E96" w14:textId="77777777" w:rsidR="009953CA" w:rsidRPr="001D6D10" w:rsidRDefault="009953CA" w:rsidP="009953CA">
      <w:pPr>
        <w:spacing w:line="0" w:lineRule="atLeast"/>
        <w:rPr>
          <w:rFonts w:ascii="ＭＳ ゴシック" w:eastAsia="ＭＳ ゴシック" w:hAnsi="ＭＳ ゴシック"/>
          <w:sz w:val="22"/>
          <w:szCs w:val="22"/>
        </w:rPr>
      </w:pPr>
      <w:r w:rsidRPr="001D6D10">
        <w:rPr>
          <w:rFonts w:ascii="ＭＳ ゴシック" w:eastAsia="ＭＳ ゴシック" w:hAnsi="ＭＳ ゴシック" w:hint="eastAsia"/>
        </w:rPr>
        <w:t>＜関西広域連合・国（各省庁）等を通じた他の都道府県への応援スキーム図＞</w:t>
      </w:r>
    </w:p>
    <w:p w14:paraId="237DF109" w14:textId="77777777" w:rsidR="009953CA" w:rsidRPr="001D6D10" w:rsidRDefault="009953CA" w:rsidP="009953CA">
      <w:pPr>
        <w:spacing w:line="340" w:lineRule="exact"/>
        <w:rPr>
          <w:rFonts w:ascii="ＭＳ 明朝" w:hAnsi="ＭＳ 明朝"/>
        </w:rPr>
      </w:pPr>
      <w:r w:rsidRPr="001D6D10">
        <w:rPr>
          <w:rFonts w:ascii="ＭＳ 明朝" w:hAnsi="ＭＳ 明朝" w:hint="eastAsia"/>
          <w:noProof/>
        </w:rPr>
        <mc:AlternateContent>
          <mc:Choice Requires="wps">
            <w:drawing>
              <wp:anchor distT="0" distB="0" distL="114300" distR="114300" simplePos="0" relativeHeight="254239744" behindDoc="0" locked="0" layoutInCell="1" allowOverlap="1" wp14:anchorId="14150BEA" wp14:editId="3041B8D7">
                <wp:simplePos x="0" y="0"/>
                <wp:positionH relativeFrom="rightMargin">
                  <wp:posOffset>-66675</wp:posOffset>
                </wp:positionH>
                <wp:positionV relativeFrom="paragraph">
                  <wp:posOffset>158750</wp:posOffset>
                </wp:positionV>
                <wp:extent cx="424180" cy="2952750"/>
                <wp:effectExtent l="0" t="0" r="13970" b="19050"/>
                <wp:wrapNone/>
                <wp:docPr id="4147" name="AutoShape 232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24180" cy="2952750"/>
                        </a:xfrm>
                        <a:prstGeom prst="roundRect">
                          <a:avLst>
                            <a:gd name="adj" fmla="val 16667"/>
                          </a:avLst>
                        </a:prstGeom>
                        <a:solidFill>
                          <a:srgbClr val="FFFFFF"/>
                        </a:solidFill>
                        <a:ln w="9525">
                          <a:solidFill>
                            <a:srgbClr val="000000"/>
                          </a:solidFill>
                          <a:round/>
                          <a:headEnd/>
                          <a:tailEnd/>
                        </a:ln>
                      </wps:spPr>
                      <wps:txbx>
                        <w:txbxContent>
                          <w:p w14:paraId="7446CA41" w14:textId="77777777" w:rsidR="009953CA" w:rsidRPr="00DF55E2" w:rsidRDefault="009953CA" w:rsidP="009953CA">
                            <w:pPr>
                              <w:jc w:val="center"/>
                              <w:rPr>
                                <w:rFonts w:ascii="ＭＳ ゴシック" w:eastAsia="ＭＳ ゴシック" w:hAnsi="ＭＳ ゴシック"/>
                                <w:sz w:val="24"/>
                              </w:rPr>
                            </w:pPr>
                            <w:r w:rsidRPr="00DF55E2">
                              <w:rPr>
                                <w:rFonts w:ascii="ＭＳ ゴシック" w:eastAsia="ＭＳ ゴシック" w:hAnsi="ＭＳ ゴシック" w:hint="eastAsia"/>
                                <w:sz w:val="24"/>
                              </w:rPr>
                              <w:t>被災都道</w:t>
                            </w:r>
                            <w:r>
                              <w:rPr>
                                <w:rFonts w:ascii="ＭＳ ゴシック" w:eastAsia="ＭＳ ゴシック" w:hAnsi="ＭＳ ゴシック" w:hint="eastAsia"/>
                                <w:sz w:val="24"/>
                              </w:rPr>
                              <w:t>府</w:t>
                            </w:r>
                            <w:r w:rsidRPr="00DF55E2">
                              <w:rPr>
                                <w:rFonts w:ascii="ＭＳ ゴシック" w:eastAsia="ＭＳ ゴシック" w:hAnsi="ＭＳ ゴシック" w:hint="eastAsia"/>
                                <w:sz w:val="24"/>
                              </w:rPr>
                              <w:t>県</w:t>
                            </w:r>
                            <w:r w:rsidRPr="00B51665">
                              <w:rPr>
                                <w:rFonts w:ascii="ＭＳ ゴシック" w:eastAsia="ＭＳ ゴシック" w:hAnsi="ＭＳ ゴシック" w:hint="eastAsia"/>
                                <w:sz w:val="20"/>
                                <w:szCs w:val="20"/>
                              </w:rPr>
                              <w:t>※</w:t>
                            </w:r>
                          </w:p>
                        </w:txbxContent>
                      </wps:txbx>
                      <wps:bodyPr rot="0" vert="eaVert" wrap="square" lIns="74295" tIns="8890" rIns="74295" bIns="8890" anchor="ctr" anchorCtr="0" upright="1">
                        <a:noAutofit/>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roundrect w14:anchorId="14150BEA" id="AutoShape 2320" o:spid="_x0000_s1315" style="position:absolute;left:0;text-align:left;margin-left:-5.25pt;margin-top:12.5pt;width:33.4pt;height:232.5pt;z-index:254239744;visibility:visible;mso-wrap-style:square;mso-width-percent:0;mso-height-percent:0;mso-wrap-distance-left:9pt;mso-wrap-distance-top:0;mso-wrap-distance-right:9pt;mso-wrap-distance-bottom:0;mso-position-horizontal:absolute;mso-position-horizontal-relative:right-margin-area;mso-position-vertical:absolute;mso-position-vertical-relative:text;mso-width-percent:0;mso-height-percent:0;mso-width-relative:page;mso-height-relative:page;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">
                <v:textbox style="layout-flow:vertical-ideographic" inset="5.85pt,.7pt,5.85pt,.7pt">
                  <w:txbxContent>
                    <w:p w14:paraId="7446CA41" w14:textId="77777777" w:rsidR="009953CA" w:rsidRPr="00DF55E2" w:rsidRDefault="009953CA" w:rsidP="009953CA">
                      <w:pPr>
                        <w:jc w:val="center"/>
                        <w:rPr>
                          <w:rFonts w:ascii="ＭＳ ゴシック" w:eastAsia="ＭＳ ゴシック" w:hAnsi="ＭＳ ゴシック"/>
                          <w:sz w:val="24"/>
                        </w:rPr>
                      </w:pPr>
                      <w:r w:rsidRPr="00DF55E2">
                        <w:rPr>
                          <w:rFonts w:ascii="ＭＳ ゴシック" w:eastAsia="ＭＳ ゴシック" w:hAnsi="ＭＳ ゴシック" w:hint="eastAsia"/>
                          <w:sz w:val="24"/>
                        </w:rPr>
                        <w:t>被災都道</w:t>
                      </w:r>
                      <w:r>
                        <w:rPr>
                          <w:rFonts w:ascii="ＭＳ ゴシック" w:eastAsia="ＭＳ ゴシック" w:hAnsi="ＭＳ ゴシック" w:hint="eastAsia"/>
                          <w:sz w:val="24"/>
                        </w:rPr>
                        <w:t>府</w:t>
                      </w:r>
                      <w:r w:rsidRPr="00DF55E2">
                        <w:rPr>
                          <w:rFonts w:ascii="ＭＳ ゴシック" w:eastAsia="ＭＳ ゴシック" w:hAnsi="ＭＳ ゴシック" w:hint="eastAsia"/>
                          <w:sz w:val="24"/>
                        </w:rPr>
                        <w:t>県</w:t>
                      </w:r>
                      <w:r w:rsidRPr="00B51665">
                        <w:rPr>
                          <w:rFonts w:ascii="ＭＳ ゴシック" w:eastAsia="ＭＳ ゴシック" w:hAnsi="ＭＳ ゴシック" w:hint="eastAsia"/>
                          <w:sz w:val="20"/>
                          <w:szCs w:val="20"/>
                        </w:rPr>
                        <w:t>※</w:t>
                      </w:r>
                    </w:p>
                  </w:txbxContent>
                </v:textbox>
                <w10:wrap anchorx="margin"/>
              </v:roundrect>
            </w:pict>
          </mc:Fallback>
        </mc:AlternateContent>
      </w:r>
      <w:r w:rsidRPr="001D6D10">
        <w:rPr>
          <w:rFonts w:ascii="ＭＳ ゴシック" w:eastAsia="ＭＳ ゴシック" w:hAnsi="ＭＳ ゴシック"/>
          <w:noProof/>
        </w:rPr>
        <mc:AlternateContent>
          <mc:Choice Requires="wps">
            <w:drawing>
              <wp:anchor distT="0" distB="0" distL="114300" distR="114300" simplePos="0" relativeHeight="254243840" behindDoc="0" locked="0" layoutInCell="1" allowOverlap="1" wp14:anchorId="16A34D4C" wp14:editId="645CD710">
                <wp:simplePos x="0" y="0"/>
                <wp:positionH relativeFrom="column">
                  <wp:posOffset>4162824</wp:posOffset>
                </wp:positionH>
                <wp:positionV relativeFrom="paragraph">
                  <wp:posOffset>75565</wp:posOffset>
                </wp:positionV>
                <wp:extent cx="792480" cy="388620"/>
                <wp:effectExtent l="0" t="0" r="26670" b="11430"/>
                <wp:wrapNone/>
                <wp:docPr id="239" name="AutoShape 232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92480" cy="388620"/>
                        </a:xfrm>
                        <a:prstGeom prst="roundRect">
                          <a:avLst>
                            <a:gd name="adj" fmla="val 16667"/>
                          </a:avLst>
                        </a:prstGeom>
                        <a:solidFill>
                          <a:schemeClr val="bg1">
                            <a:lumMod val="85000"/>
                          </a:schemeClr>
                        </a:solidFill>
                        <a:ln w="9525">
                          <a:solidFill>
                            <a:srgbClr val="000000"/>
                          </a:solidFill>
                          <a:round/>
                          <a:headEnd/>
                          <a:tailEnd/>
                        </a:ln>
                      </wps:spPr>
                      <wps:txbx>
                        <w:txbxContent>
                          <w:p w14:paraId="5ACA043E" w14:textId="77777777" w:rsidR="009953CA" w:rsidRPr="00B51665" w:rsidRDefault="009953CA" w:rsidP="009953CA">
                            <w:pPr>
                              <w:spacing w:line="240" w:lineRule="exact"/>
                              <w:jc w:val="center"/>
                              <w:rPr>
                                <w:rFonts w:ascii="ＭＳ ゴシック" w:eastAsia="ＭＳ ゴシック" w:hAnsi="ＭＳ ゴシック"/>
                                <w:szCs w:val="21"/>
                              </w:rPr>
                            </w:pPr>
                            <w:r w:rsidRPr="00B51665">
                              <w:rPr>
                                <w:rFonts w:ascii="ＭＳ ゴシック" w:eastAsia="ＭＳ ゴシック" w:hAnsi="ＭＳ ゴシック" w:hint="eastAsia"/>
                                <w:szCs w:val="21"/>
                              </w:rPr>
                              <w:t>国</w:t>
                            </w:r>
                          </w:p>
                          <w:p w14:paraId="13119644" w14:textId="77777777" w:rsidR="009953CA" w:rsidRDefault="009953CA" w:rsidP="009953CA">
                            <w:pPr>
                              <w:spacing w:line="240" w:lineRule="exact"/>
                              <w:jc w:val="center"/>
                              <w:rPr>
                                <w:rFonts w:ascii="ＭＳ ゴシック" w:eastAsia="ＭＳ ゴシック" w:hAnsi="ＭＳ ゴシック"/>
                                <w:color w:val="FF0000"/>
                                <w:szCs w:val="21"/>
                              </w:rPr>
                            </w:pPr>
                            <w:r w:rsidRPr="00B51665">
                              <w:rPr>
                                <w:rFonts w:ascii="ＭＳ ゴシック" w:eastAsia="ＭＳ ゴシック" w:hAnsi="ＭＳ ゴシック" w:hint="eastAsia"/>
                                <w:szCs w:val="21"/>
                              </w:rPr>
                              <w:t>(各省庁)等</w:t>
                            </w:r>
                            <w:r>
                              <w:rPr>
                                <w:rFonts w:ascii="ＭＳ ゴシック" w:eastAsia="ＭＳ ゴシック" w:hAnsi="ＭＳ ゴシック"/>
                                <w:color w:val="FF0000"/>
                                <w:szCs w:val="21"/>
                              </w:rPr>
                              <w:t xml:space="preserve"> </w:t>
                            </w:r>
                          </w:p>
                          <w:p w14:paraId="24BE7D15" w14:textId="77777777" w:rsidR="009953CA" w:rsidRPr="00BB7A75" w:rsidRDefault="009953CA" w:rsidP="009953CA">
                            <w:pPr>
                              <w:spacing w:line="240" w:lineRule="exact"/>
                              <w:jc w:val="center"/>
                              <w:rPr>
                                <w:rFonts w:ascii="ＭＳ ゴシック" w:eastAsia="ＭＳ ゴシック" w:hAnsi="ＭＳ ゴシック"/>
                                <w:color w:val="FF0000"/>
                                <w:szCs w:val="21"/>
                              </w:rPr>
                            </w:pPr>
                          </w:p>
                        </w:txbxContent>
                      </wps:txbx>
                      <wps:bodyPr rot="0" vert="horz" wrap="square" lIns="0" tIns="8890" rIns="0" bIns="8890" anchor="ctr" anchorCtr="0" upright="1">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roundrect w14:anchorId="16A34D4C" id="_x0000_s1316" style="position:absolute;left:0;text-align:left;margin-left:327.8pt;margin-top:5.95pt;width:62.4pt;height:30.6pt;z-index:2542438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" fillcolor="#d8d8d8 [2732]">
                <v:textbox inset="0,.7pt,0,.7pt">
                  <w:txbxContent>
                    <w:p w14:paraId="5ACA043E" w14:textId="77777777" w:rsidR="009953CA" w:rsidRPr="00B51665" w:rsidRDefault="009953CA" w:rsidP="009953CA">
                      <w:pPr>
                        <w:spacing w:line="240" w:lineRule="exact"/>
                        <w:jc w:val="center"/>
                        <w:rPr>
                          <w:rFonts w:ascii="ＭＳ ゴシック" w:eastAsia="ＭＳ ゴシック" w:hAnsi="ＭＳ ゴシック"/>
                          <w:szCs w:val="21"/>
                        </w:rPr>
                      </w:pPr>
                      <w:r w:rsidRPr="00B51665">
                        <w:rPr>
                          <w:rFonts w:ascii="ＭＳ ゴシック" w:eastAsia="ＭＳ ゴシック" w:hAnsi="ＭＳ ゴシック" w:hint="eastAsia"/>
                          <w:szCs w:val="21"/>
                        </w:rPr>
                        <w:t>国</w:t>
                      </w:r>
                    </w:p>
                    <w:p w14:paraId="13119644" w14:textId="77777777" w:rsidR="009953CA" w:rsidRDefault="009953CA" w:rsidP="009953CA">
                      <w:pPr>
                        <w:spacing w:line="240" w:lineRule="exact"/>
                        <w:jc w:val="center"/>
                        <w:rPr>
                          <w:rFonts w:ascii="ＭＳ ゴシック" w:eastAsia="ＭＳ ゴシック" w:hAnsi="ＭＳ ゴシック"/>
                          <w:color w:val="FF0000"/>
                          <w:szCs w:val="21"/>
                        </w:rPr>
                      </w:pPr>
                      <w:r w:rsidRPr="00B51665">
                        <w:rPr>
                          <w:rFonts w:ascii="ＭＳ ゴシック" w:eastAsia="ＭＳ ゴシック" w:hAnsi="ＭＳ ゴシック" w:hint="eastAsia"/>
                          <w:szCs w:val="21"/>
                        </w:rPr>
                        <w:t>(各省庁)等</w:t>
                      </w:r>
                      <w:r>
                        <w:rPr>
                          <w:rFonts w:ascii="ＭＳ ゴシック" w:eastAsia="ＭＳ ゴシック" w:hAnsi="ＭＳ ゴシック"/>
                          <w:color w:val="FF0000"/>
                          <w:szCs w:val="21"/>
                        </w:rPr>
                        <w:t xml:space="preserve"> </w:t>
                      </w:r>
                    </w:p>
                    <w:p w14:paraId="24BE7D15" w14:textId="77777777" w:rsidR="009953CA" w:rsidRPr="00BB7A75" w:rsidRDefault="009953CA" w:rsidP="009953CA">
                      <w:pPr>
                        <w:spacing w:line="240" w:lineRule="exact"/>
                        <w:jc w:val="center"/>
                        <w:rPr>
                          <w:rFonts w:ascii="ＭＳ ゴシック" w:eastAsia="ＭＳ ゴシック" w:hAnsi="ＭＳ ゴシック"/>
                          <w:color w:val="FF0000"/>
                          <w:szCs w:val="21"/>
                        </w:rPr>
                      </w:pPr>
                    </w:p>
                  </w:txbxContent>
                </v:textbox>
              </v:roundrect>
            </w:pict>
          </mc:Fallback>
        </mc:AlternateContent>
      </w:r>
    </w:p>
    <w:p w14:paraId="3194B95E" w14:textId="77777777" w:rsidR="009953CA" w:rsidRPr="001D6D10" w:rsidRDefault="009953CA" w:rsidP="009953CA">
      <w:pPr>
        <w:spacing w:line="340" w:lineRule="exact"/>
        <w:rPr>
          <w:rFonts w:ascii="ＭＳ 明朝" w:hAnsi="ＭＳ 明朝"/>
        </w:rPr>
      </w:pPr>
      <w:r w:rsidRPr="001D6D10">
        <w:rPr>
          <w:rFonts w:ascii="ＭＳ 明朝" w:hAnsi="ＭＳ 明朝" w:hint="eastAsia"/>
          <w:noProof/>
        </w:rPr>
        <mc:AlternateContent>
          <mc:Choice Requires="wps">
            <w:drawing>
              <wp:anchor distT="0" distB="0" distL="114300" distR="114300" simplePos="0" relativeHeight="254234624" behindDoc="0" locked="0" layoutInCell="1" allowOverlap="1" wp14:anchorId="5147B6C6" wp14:editId="58B35B2D">
                <wp:simplePos x="0" y="0"/>
                <wp:positionH relativeFrom="column">
                  <wp:posOffset>1713865</wp:posOffset>
                </wp:positionH>
                <wp:positionV relativeFrom="paragraph">
                  <wp:posOffset>44450</wp:posOffset>
                </wp:positionV>
                <wp:extent cx="1871345" cy="1828800"/>
                <wp:effectExtent l="0" t="0" r="14605" b="19050"/>
                <wp:wrapNone/>
                <wp:docPr id="4168" name="AutoShape 231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71345" cy="1828800"/>
                        </a:xfrm>
                        <a:prstGeom prst="roundRect">
                          <a:avLst>
                            <a:gd name="adj" fmla="val 16667"/>
                          </a:avLst>
                        </a:prstGeom>
                        <a:solidFill>
                          <a:srgbClr val="FFFFFF"/>
                        </a:solidFill>
                        <a:ln w="9525">
                          <a:solidFill>
                            <a:srgbClr val="000000"/>
                          </a:solidFill>
                          <a:round/>
                          <a:headEnd/>
                          <a:tailEnd/>
                        </a:ln>
                      </wps:spPr>
                      <wps:txbx>
                        <w:txbxContent>
                          <w:p w14:paraId="3AD141F5" w14:textId="77777777" w:rsidR="009953CA" w:rsidRPr="004869EA" w:rsidRDefault="009953CA" w:rsidP="009953CA">
                            <w:pPr>
                              <w:ind w:firstLineChars="100" w:firstLine="281"/>
                              <w:rPr>
                                <w:rFonts w:ascii="ＭＳ ゴシック" w:eastAsia="ＭＳ ゴシック" w:hAnsi="ＭＳ ゴシック"/>
                                <w:sz w:val="28"/>
                                <w:szCs w:val="28"/>
                              </w:rPr>
                            </w:pPr>
                            <w:r w:rsidRPr="004869EA">
                              <w:rPr>
                                <w:rFonts w:ascii="ＭＳ ゴシック" w:eastAsia="ＭＳ ゴシック" w:hAnsi="ＭＳ ゴシック" w:hint="eastAsia"/>
                                <w:sz w:val="28"/>
                                <w:szCs w:val="28"/>
                              </w:rPr>
                              <w:t>大阪府</w:t>
                            </w:r>
                          </w:p>
                          <w:p w14:paraId="08DC17BE" w14:textId="77777777" w:rsidR="009953CA" w:rsidRPr="0017230D" w:rsidRDefault="009953CA" w:rsidP="009953CA">
                            <w:pPr>
                              <w:rPr>
                                <w:rFonts w:ascii="ＭＳ ゴシック" w:eastAsia="ＭＳ ゴシック" w:hAnsi="ＭＳ ゴシック"/>
                                <w:sz w:val="22"/>
                                <w:szCs w:val="22"/>
                              </w:rPr>
                            </w:pPr>
                            <w:r w:rsidRPr="0017230D">
                              <w:rPr>
                                <w:rFonts w:ascii="ＭＳ ゴシック" w:eastAsia="ＭＳ ゴシック" w:hAnsi="ＭＳ ゴシック" w:hint="eastAsia"/>
                                <w:sz w:val="22"/>
                                <w:szCs w:val="22"/>
                              </w:rPr>
                              <w:t>・災害等支援対策室</w:t>
                            </w:r>
                          </w:p>
                          <w:p w14:paraId="7E878F4A" w14:textId="77777777" w:rsidR="009953CA" w:rsidRPr="0017230D" w:rsidRDefault="009953CA" w:rsidP="009953CA">
                            <w:pPr>
                              <w:rPr>
                                <w:rFonts w:ascii="ＭＳ ゴシック" w:eastAsia="ＭＳ ゴシック" w:hAnsi="ＭＳ ゴシック"/>
                                <w:sz w:val="22"/>
                                <w:szCs w:val="22"/>
                              </w:rPr>
                            </w:pPr>
                            <w:r w:rsidRPr="0017230D">
                              <w:rPr>
                                <w:rFonts w:ascii="ＭＳ ゴシック" w:eastAsia="ＭＳ ゴシック" w:hAnsi="ＭＳ ゴシック" w:hint="eastAsia"/>
                                <w:sz w:val="22"/>
                                <w:szCs w:val="22"/>
                              </w:rPr>
                              <w:t>・災害等支援対策指令部</w:t>
                            </w:r>
                          </w:p>
                          <w:p w14:paraId="3190FDB9" w14:textId="77777777" w:rsidR="009953CA" w:rsidRPr="0017230D" w:rsidRDefault="009953CA" w:rsidP="009953CA">
                            <w:pPr>
                              <w:rPr>
                                <w:rFonts w:ascii="ＭＳ ゴシック" w:eastAsia="ＭＳ ゴシック" w:hAnsi="ＭＳ ゴシック"/>
                                <w:sz w:val="22"/>
                                <w:szCs w:val="22"/>
                              </w:rPr>
                            </w:pPr>
                            <w:r w:rsidRPr="0017230D">
                              <w:rPr>
                                <w:rFonts w:ascii="ＭＳ ゴシック" w:eastAsia="ＭＳ ゴシック" w:hAnsi="ＭＳ ゴシック" w:hint="eastAsia"/>
                                <w:sz w:val="22"/>
                                <w:szCs w:val="22"/>
                              </w:rPr>
                              <w:t>・災害等支援対策本部</w:t>
                            </w:r>
                          </w:p>
                        </w:txbxContent>
                      </wps:txbx>
                      <wps:bodyPr rot="0" vert="horz" wrap="square" lIns="0" tIns="8890" rIns="0" bIns="8890" anchor="t" anchorCtr="0" upright="1">
                        <a:noAutofit/>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roundrect w14:anchorId="5147B6C6" id="AutoShape 2310" o:spid="_x0000_s1317" style="position:absolute;left:0;text-align:left;margin-left:134.95pt;margin-top:3.5pt;width:147.35pt;height:2in;z-index:25423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">
                <v:textbox inset="0,.7pt,0,.7pt">
                  <w:txbxContent>
                    <w:p w14:paraId="3AD141F5" w14:textId="77777777" w:rsidR="009953CA" w:rsidRPr="004869EA" w:rsidRDefault="009953CA" w:rsidP="009953CA">
                      <w:pPr>
                        <w:ind w:firstLineChars="100" w:firstLine="281"/>
                        <w:rPr>
                          <w:rFonts w:ascii="ＭＳ ゴシック" w:eastAsia="ＭＳ ゴシック" w:hAnsi="ＭＳ ゴシック"/>
                          <w:sz w:val="28"/>
                          <w:szCs w:val="28"/>
                        </w:rPr>
                      </w:pPr>
                      <w:r w:rsidRPr="004869EA">
                        <w:rPr>
                          <w:rFonts w:ascii="ＭＳ ゴシック" w:eastAsia="ＭＳ ゴシック" w:hAnsi="ＭＳ ゴシック" w:hint="eastAsia"/>
                          <w:sz w:val="28"/>
                          <w:szCs w:val="28"/>
                        </w:rPr>
                        <w:t>大阪府</w:t>
                      </w:r>
                    </w:p>
                    <w:p w14:paraId="08DC17BE" w14:textId="77777777" w:rsidR="009953CA" w:rsidRPr="0017230D" w:rsidRDefault="009953CA" w:rsidP="009953CA">
                      <w:pPr>
                        <w:rPr>
                          <w:rFonts w:ascii="ＭＳ ゴシック" w:eastAsia="ＭＳ ゴシック" w:hAnsi="ＭＳ ゴシック"/>
                          <w:sz w:val="22"/>
                          <w:szCs w:val="22"/>
                        </w:rPr>
                      </w:pPr>
                      <w:r w:rsidRPr="0017230D">
                        <w:rPr>
                          <w:rFonts w:ascii="ＭＳ ゴシック" w:eastAsia="ＭＳ ゴシック" w:hAnsi="ＭＳ ゴシック" w:hint="eastAsia"/>
                          <w:sz w:val="22"/>
                          <w:szCs w:val="22"/>
                        </w:rPr>
                        <w:t>・災害等支援対策室</w:t>
                      </w:r>
                    </w:p>
                    <w:p w14:paraId="7E878F4A" w14:textId="77777777" w:rsidR="009953CA" w:rsidRPr="0017230D" w:rsidRDefault="009953CA" w:rsidP="009953CA">
                      <w:pPr>
                        <w:rPr>
                          <w:rFonts w:ascii="ＭＳ ゴシック" w:eastAsia="ＭＳ ゴシック" w:hAnsi="ＭＳ ゴシック"/>
                          <w:sz w:val="22"/>
                          <w:szCs w:val="22"/>
                        </w:rPr>
                      </w:pPr>
                      <w:r w:rsidRPr="0017230D">
                        <w:rPr>
                          <w:rFonts w:ascii="ＭＳ ゴシック" w:eastAsia="ＭＳ ゴシック" w:hAnsi="ＭＳ ゴシック" w:hint="eastAsia"/>
                          <w:sz w:val="22"/>
                          <w:szCs w:val="22"/>
                        </w:rPr>
                        <w:t>・災害等支援対策指令部</w:t>
                      </w:r>
                    </w:p>
                    <w:p w14:paraId="3190FDB9" w14:textId="77777777" w:rsidR="009953CA" w:rsidRPr="0017230D" w:rsidRDefault="009953CA" w:rsidP="009953CA">
                      <w:pPr>
                        <w:rPr>
                          <w:rFonts w:ascii="ＭＳ ゴシック" w:eastAsia="ＭＳ ゴシック" w:hAnsi="ＭＳ ゴシック"/>
                          <w:sz w:val="22"/>
                          <w:szCs w:val="22"/>
                        </w:rPr>
                      </w:pPr>
                      <w:r w:rsidRPr="0017230D">
                        <w:rPr>
                          <w:rFonts w:ascii="ＭＳ ゴシック" w:eastAsia="ＭＳ ゴシック" w:hAnsi="ＭＳ ゴシック" w:hint="eastAsia"/>
                          <w:sz w:val="22"/>
                          <w:szCs w:val="22"/>
                        </w:rPr>
                        <w:t>・災害等支援対策本部</w:t>
                      </w:r>
                    </w:p>
                  </w:txbxContent>
                </v:textbox>
              </v:roundrect>
            </w:pict>
          </mc:Fallback>
        </mc:AlternateContent>
      </w:r>
      <w:r w:rsidRPr="001D6D10">
        <w:rPr>
          <w:rFonts w:ascii="ＭＳ 明朝" w:hAnsi="ＭＳ 明朝"/>
          <w:noProof/>
        </w:rPr>
        <mc:AlternateContent>
          <mc:Choice Requires="wps">
            <w:drawing>
              <wp:anchor distT="0" distB="0" distL="114300" distR="114300" simplePos="0" relativeHeight="254244864" behindDoc="0" locked="0" layoutInCell="1" allowOverlap="1" wp14:anchorId="55E12FEB" wp14:editId="73BDA96F">
                <wp:simplePos x="0" y="0"/>
                <wp:positionH relativeFrom="margin">
                  <wp:posOffset>4968240</wp:posOffset>
                </wp:positionH>
                <wp:positionV relativeFrom="paragraph">
                  <wp:posOffset>19050</wp:posOffset>
                </wp:positionV>
                <wp:extent cx="546100" cy="508000"/>
                <wp:effectExtent l="0" t="0" r="25400" b="25400"/>
                <wp:wrapNone/>
                <wp:docPr id="238" name="左矢印 4917"/>
                <wp:cNvGraphicFramePr/>
                <a:graphic xmlns:a="http://schemas.openxmlformats.org/drawingml/2006/main">
                  <a:graphicData uri="http://schemas.microsoft.com/office/word/2010/wordprocessingShape">
                    <wps:wsp>
                      <wps:cNvSpPr/>
                      <wps:spPr>
                        <a:xfrm>
                          <a:off x="0" y="0"/>
                          <a:ext cx="546100" cy="508000"/>
                        </a:xfrm>
                        <a:prstGeom prst="leftArrow">
                          <a:avLst/>
                        </a:prstGeom>
                        <a:solidFill>
                          <a:schemeClr val="bg1">
                            <a:lumMod val="85000"/>
                          </a:schemeClr>
                        </a:solidFill>
                        <a:ln w="9525" cap="flat" cmpd="sng" algn="ctr">
                          <a:solidFill>
                            <a:sysClr val="windowText" lastClr="000000"/>
                          </a:solidFill>
                          <a:prstDash val="solid"/>
                        </a:ln>
                        <a:effectLst/>
                      </wps:spPr>
                      <wps:txbx>
                        <w:txbxContent>
                          <w:p w14:paraId="22627528" w14:textId="77777777" w:rsidR="009953CA" w:rsidRPr="003F64FE" w:rsidRDefault="009953CA" w:rsidP="009953CA">
                            <w:pPr>
                              <w:jc w:val="center"/>
                              <w:rPr>
                                <w:sz w:val="16"/>
                              </w:rPr>
                            </w:pPr>
                            <w:r w:rsidRPr="003F64FE">
                              <w:rPr>
                                <w:rFonts w:hint="eastAsia"/>
                                <w:sz w:val="16"/>
                              </w:rPr>
                              <w:t>応援</w:t>
                            </w:r>
                            <w:r w:rsidRPr="003F64FE">
                              <w:rPr>
                                <w:sz w:val="16"/>
                              </w:rPr>
                              <w:t>要請</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shape w14:anchorId="55E12FEB" id="左矢印 4917" o:spid="_x0000_s1318" type="#_x0000_t66" style="position:absolute;left:0;text-align:left;margin-left:391.2pt;margin-top:1.5pt;width:43pt;height:40pt;z-index:25424486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" adj="10047" fillcolor="#d8d8d8 [2732]" strokecolor="windowText">
                <v:textbox inset="0,0,0,0">
                  <w:txbxContent>
                    <w:p w14:paraId="22627528" w14:textId="77777777" w:rsidR="009953CA" w:rsidRPr="003F64FE" w:rsidRDefault="009953CA" w:rsidP="009953CA">
                      <w:pPr>
                        <w:jc w:val="center"/>
                        <w:rPr>
                          <w:sz w:val="16"/>
                        </w:rPr>
                      </w:pPr>
                      <w:r w:rsidRPr="003F64FE">
                        <w:rPr>
                          <w:rFonts w:hint="eastAsia"/>
                          <w:sz w:val="16"/>
                        </w:rPr>
                        <w:t>応援</w:t>
                      </w:r>
                      <w:r w:rsidRPr="003F64FE">
                        <w:rPr>
                          <w:sz w:val="16"/>
                        </w:rPr>
                        <w:t>要請</w:t>
                      </w:r>
                    </w:p>
                  </w:txbxContent>
                </v:textbox>
                <w10:wrap anchorx="margin"/>
              </v:shape>
            </w:pict>
          </mc:Fallback>
        </mc:AlternateContent>
      </w:r>
      <w:r w:rsidRPr="001D6D10">
        <w:rPr>
          <w:rFonts w:ascii="ＭＳ 明朝" w:hAnsi="ＭＳ 明朝"/>
          <w:noProof/>
        </w:rPr>
        <mc:AlternateContent>
          <mc:Choice Requires="wps">
            <w:drawing>
              <wp:anchor distT="0" distB="0" distL="114300" distR="114300" simplePos="0" relativeHeight="254245888" behindDoc="0" locked="0" layoutInCell="1" allowOverlap="1" wp14:anchorId="5EC843CF" wp14:editId="4E19EA3B">
                <wp:simplePos x="0" y="0"/>
                <wp:positionH relativeFrom="column">
                  <wp:posOffset>3504565</wp:posOffset>
                </wp:positionH>
                <wp:positionV relativeFrom="paragraph">
                  <wp:posOffset>44450</wp:posOffset>
                </wp:positionV>
                <wp:extent cx="596900" cy="514350"/>
                <wp:effectExtent l="0" t="0" r="12700" b="19050"/>
                <wp:wrapNone/>
                <wp:docPr id="241" name="左矢印 4915"/>
                <wp:cNvGraphicFramePr/>
                <a:graphic xmlns:a="http://schemas.openxmlformats.org/drawingml/2006/main">
                  <a:graphicData uri="http://schemas.microsoft.com/office/word/2010/wordprocessingShape">
                    <wps:wsp>
                      <wps:cNvSpPr/>
                      <wps:spPr>
                        <a:xfrm>
                          <a:off x="0" y="0"/>
                          <a:ext cx="596900" cy="514350"/>
                        </a:xfrm>
                        <a:prstGeom prst="leftArrow">
                          <a:avLst/>
                        </a:prstGeom>
                        <a:solidFill>
                          <a:schemeClr val="bg1">
                            <a:lumMod val="85000"/>
                          </a:schemeClr>
                        </a:solidFill>
                        <a:ln w="9525" cap="flat" cmpd="sng" algn="ctr">
                          <a:solidFill>
                            <a:sysClr val="windowText" lastClr="000000"/>
                          </a:solidFill>
                          <a:prstDash val="solid"/>
                        </a:ln>
                        <a:effectLst/>
                      </wps:spPr>
                      <wps:txbx>
                        <w:txbxContent>
                          <w:p w14:paraId="363535EE" w14:textId="77777777" w:rsidR="009953CA" w:rsidRPr="003F64FE" w:rsidRDefault="009953CA" w:rsidP="009953CA">
                            <w:pPr>
                              <w:jc w:val="center"/>
                              <w:rPr>
                                <w:sz w:val="16"/>
                              </w:rPr>
                            </w:pPr>
                            <w:r w:rsidRPr="003F64FE">
                              <w:rPr>
                                <w:rFonts w:hint="eastAsia"/>
                                <w:sz w:val="16"/>
                              </w:rPr>
                              <w:t>応援</w:t>
                            </w:r>
                            <w:r w:rsidRPr="003F64FE">
                              <w:rPr>
                                <w:sz w:val="16"/>
                              </w:rPr>
                              <w:t>要請</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shape w14:anchorId="5EC843CF" id="左矢印 4915" o:spid="_x0000_s1319" type="#_x0000_t66" style="position:absolute;left:0;text-align:left;margin-left:275.95pt;margin-top:3.5pt;width:47pt;height:40.5pt;z-index:2542458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" adj="9306" fillcolor="#d8d8d8 [2732]" strokecolor="windowText">
                <v:textbox inset="0,0,0,0">
                  <w:txbxContent>
                    <w:p w14:paraId="363535EE" w14:textId="77777777" w:rsidR="009953CA" w:rsidRPr="003F64FE" w:rsidRDefault="009953CA" w:rsidP="009953CA">
                      <w:pPr>
                        <w:jc w:val="center"/>
                        <w:rPr>
                          <w:sz w:val="16"/>
                        </w:rPr>
                      </w:pPr>
                      <w:r w:rsidRPr="003F64FE">
                        <w:rPr>
                          <w:rFonts w:hint="eastAsia"/>
                          <w:sz w:val="16"/>
                        </w:rPr>
                        <w:t>応援</w:t>
                      </w:r>
                      <w:r w:rsidRPr="003F64FE">
                        <w:rPr>
                          <w:sz w:val="16"/>
                        </w:rPr>
                        <w:t>要請</w:t>
                      </w:r>
                    </w:p>
                  </w:txbxContent>
                </v:textbox>
              </v:shape>
            </w:pict>
          </mc:Fallback>
        </mc:AlternateContent>
      </w:r>
    </w:p>
    <w:p w14:paraId="31980F7C" w14:textId="77777777" w:rsidR="009953CA" w:rsidRPr="001D6D10" w:rsidRDefault="009953CA" w:rsidP="009953CA">
      <w:pPr>
        <w:spacing w:line="340" w:lineRule="exact"/>
        <w:rPr>
          <w:rFonts w:ascii="ＭＳ 明朝" w:hAnsi="ＭＳ 明朝"/>
        </w:rPr>
      </w:pPr>
      <w:r w:rsidRPr="001D6D10">
        <w:rPr>
          <w:rFonts w:ascii="ＭＳ 明朝" w:hAnsi="ＭＳ 明朝" w:hint="eastAsia"/>
          <w:noProof/>
        </w:rPr>
        <mc:AlternateContent>
          <mc:Choice Requires="wpg">
            <w:drawing>
              <wp:anchor distT="0" distB="0" distL="114300" distR="114300" simplePos="0" relativeHeight="254240768" behindDoc="0" locked="0" layoutInCell="1" allowOverlap="1" wp14:anchorId="438BD89A" wp14:editId="533BAA48">
                <wp:simplePos x="0" y="0"/>
                <wp:positionH relativeFrom="column">
                  <wp:posOffset>3900170</wp:posOffset>
                </wp:positionH>
                <wp:positionV relativeFrom="paragraph">
                  <wp:posOffset>82550</wp:posOffset>
                </wp:positionV>
                <wp:extent cx="1057275" cy="2355215"/>
                <wp:effectExtent l="0" t="0" r="28575" b="26035"/>
                <wp:wrapNone/>
                <wp:docPr id="4913" name="グループ化 4913"/>
                <wp:cNvGraphicFramePr/>
                <a:graphic xmlns:a="http://schemas.openxmlformats.org/drawingml/2006/main">
                  <a:graphicData uri="http://schemas.microsoft.com/office/word/2010/wordprocessingGroup">
                    <wpg:wgp>
                      <wpg:cNvGrpSpPr/>
                      <wpg:grpSpPr>
                        <a:xfrm>
                          <a:off x="0" y="0"/>
                          <a:ext cx="1057275" cy="2355215"/>
                          <a:chOff x="16377" y="-1543950"/>
                          <a:chExt cx="1288919" cy="2356530"/>
                        </a:xfrm>
                      </wpg:grpSpPr>
                      <wps:wsp>
                        <wps:cNvPr id="4911" name="AutoShape 2320"/>
                        <wps:cNvSpPr>
                          <a:spLocks noChangeArrowheads="1"/>
                        </wps:cNvSpPr>
                        <wps:spPr bwMode="auto">
                          <a:xfrm>
                            <a:off x="341510" y="-1543950"/>
                            <a:ext cx="963786" cy="425784"/>
                          </a:xfrm>
                          <a:prstGeom prst="roundRect">
                            <a:avLst>
                              <a:gd name="adj" fmla="val 16667"/>
                            </a:avLst>
                          </a:prstGeom>
                          <a:solidFill>
                            <a:schemeClr val="bg1">
                              <a:lumMod val="85000"/>
                            </a:schemeClr>
                          </a:solidFill>
                          <a:ln w="9525">
                            <a:solidFill>
                              <a:srgbClr val="000000"/>
                            </a:solidFill>
                            <a:round/>
                            <a:headEnd/>
                            <a:tailEnd/>
                          </a:ln>
                        </wps:spPr>
                        <wps:txbx>
                          <w:txbxContent>
                            <w:p w14:paraId="3262C05B" w14:textId="77777777" w:rsidR="009953CA" w:rsidRPr="00133EEA" w:rsidRDefault="009953CA" w:rsidP="009953CA">
                              <w:pPr>
                                <w:jc w:val="center"/>
                                <w:rPr>
                                  <w:rFonts w:ascii="ＭＳ ゴシック" w:eastAsia="ＭＳ ゴシック" w:hAnsi="ＭＳ ゴシック"/>
                                  <w:sz w:val="22"/>
                                  <w:szCs w:val="22"/>
                                </w:rPr>
                              </w:pPr>
                              <w:r w:rsidRPr="00133EEA">
                                <w:rPr>
                                  <w:rFonts w:ascii="ＭＳ ゴシック" w:eastAsia="ＭＳ ゴシック" w:hAnsi="ＭＳ ゴシック" w:hint="eastAsia"/>
                                  <w:sz w:val="22"/>
                                  <w:szCs w:val="22"/>
                                </w:rPr>
                                <w:t>全国</w:t>
                              </w:r>
                              <w:r w:rsidRPr="00133EEA">
                                <w:rPr>
                                  <w:rFonts w:ascii="ＭＳ ゴシック" w:eastAsia="ＭＳ ゴシック" w:hAnsi="ＭＳ ゴシック"/>
                                  <w:sz w:val="22"/>
                                  <w:szCs w:val="22"/>
                                </w:rPr>
                                <w:t>知事会</w:t>
                              </w:r>
                            </w:p>
                          </w:txbxContent>
                        </wps:txbx>
                        <wps:bodyPr rot="0" vert="horz" wrap="square" lIns="0" tIns="8890" rIns="0" bIns="8890" anchor="ctr" anchorCtr="0" upright="1">
                          <a:noAutofit/>
                        </wps:bodyPr>
                      </wps:wsp>
                      <wps:wsp>
                        <wps:cNvPr id="4912" name="AutoShape 2320"/>
                        <wps:cNvSpPr>
                          <a:spLocks noChangeArrowheads="1"/>
                        </wps:cNvSpPr>
                        <wps:spPr bwMode="auto">
                          <a:xfrm>
                            <a:off x="16377" y="215376"/>
                            <a:ext cx="1025525" cy="597204"/>
                          </a:xfrm>
                          <a:prstGeom prst="roundRect">
                            <a:avLst>
                              <a:gd name="adj" fmla="val 16667"/>
                            </a:avLst>
                          </a:prstGeom>
                          <a:solidFill>
                            <a:srgbClr val="FFFFFF"/>
                          </a:solidFill>
                          <a:ln w="9525">
                            <a:solidFill>
                              <a:srgbClr val="000000"/>
                            </a:solidFill>
                            <a:round/>
                            <a:headEnd/>
                            <a:tailEnd/>
                          </a:ln>
                        </wps:spPr>
                        <wps:txbx>
                          <w:txbxContent>
                            <w:p w14:paraId="117A352F" w14:textId="77777777" w:rsidR="009953CA" w:rsidRPr="00DF55E2" w:rsidRDefault="009953CA" w:rsidP="009953CA">
                              <w:pPr>
                                <w:ind w:firstLineChars="100" w:firstLine="241"/>
                                <w:rPr>
                                  <w:rFonts w:ascii="ＭＳ ゴシック" w:eastAsia="ＭＳ ゴシック" w:hAnsi="ＭＳ ゴシック"/>
                                  <w:sz w:val="24"/>
                                </w:rPr>
                              </w:pPr>
                              <w:r>
                                <w:rPr>
                                  <w:rFonts w:ascii="ＭＳ ゴシック" w:eastAsia="ＭＳ ゴシック" w:hAnsi="ＭＳ ゴシック" w:hint="eastAsia"/>
                                  <w:sz w:val="24"/>
                                </w:rPr>
                                <w:t>総務省</w:t>
                              </w:r>
                            </w:p>
                          </w:txbxContent>
                        </wps:txbx>
                        <wps:bodyPr rot="0" vert="horz" wrap="square" lIns="0" tIns="8890" rIns="0" bIns="8890" anchor="ctr" anchorCtr="0" upright="1">
                          <a:noAutofit/>
                        </wps:bodyPr>
                      </wps:wsp>
                    </wpg:wgp>
                  </a:graphicData>
                </a:graphic>
                <wp14:sizeRelH relativeFrom="margin">
                  <wp14:pctWidth>0</wp14:pctWidth>
                </wp14:sizeRelH>
                <wp14:sizeRelV relativeFrom="margin">
                  <wp14:pctHeight>0</wp14:pctHeight>
                </wp14:sizeRelV>
              </wp:anchor>
            </w:drawing>
          </mc:Choice>
          <mc:Fallback xmlns:w16cei="http://schemas.microsoft.com/office/word/2026/wordml/cei">
            <w:pict>
              <v:group w14:anchorId="438BD89A" id="グループ化 4913" o:spid="_x0000_s1320" style="position:absolute;left:0;text-align:left;margin-left:307.1pt;margin-top:6.5pt;width:83.25pt;height:185.45pt;z-index:254240768;mso-width-relative:margin;mso-height-relative:margin" coordorigin="163,-15439" coordsize="12889,2356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">
                <v:roundrect id="_x0000_s1321" style="position:absolute;left:3415;top:-15439;width:9637;height:4258;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" fillcolor="#d8d8d8 [2732]">
                  <v:textbox inset="0,.7pt,0,.7pt">
                    <w:txbxContent>
                      <w:p w14:paraId="3262C05B" w14:textId="77777777" w:rsidR="009953CA" w:rsidRPr="00133EEA" w:rsidRDefault="009953CA" w:rsidP="009953CA">
                        <w:pPr>
                          <w:jc w:val="center"/>
                          <w:rPr>
                            <w:rFonts w:ascii="ＭＳ ゴシック" w:eastAsia="ＭＳ ゴシック" w:hAnsi="ＭＳ ゴシック"/>
                            <w:sz w:val="22"/>
                            <w:szCs w:val="22"/>
                          </w:rPr>
                        </w:pPr>
                        <w:r w:rsidRPr="00133EEA">
                          <w:rPr>
                            <w:rFonts w:ascii="ＭＳ ゴシック" w:eastAsia="ＭＳ ゴシック" w:hAnsi="ＭＳ ゴシック" w:hint="eastAsia"/>
                            <w:sz w:val="22"/>
                            <w:szCs w:val="22"/>
                          </w:rPr>
                          <w:t>全国</w:t>
                        </w:r>
                        <w:r w:rsidRPr="00133EEA">
                          <w:rPr>
                            <w:rFonts w:ascii="ＭＳ ゴシック" w:eastAsia="ＭＳ ゴシック" w:hAnsi="ＭＳ ゴシック"/>
                            <w:sz w:val="22"/>
                            <w:szCs w:val="22"/>
                          </w:rPr>
                          <w:t>知事会</w:t>
                        </w:r>
                      </w:p>
                    </w:txbxContent>
                  </v:textbox>
                </v:roundrect>
                <v:roundrect id="_x0000_s1322" style="position:absolute;left:163;top:2153;width:10256;height:5972;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">
                  <v:textbox inset="0,.7pt,0,.7pt">
                    <w:txbxContent>
                      <w:p w14:paraId="117A352F" w14:textId="77777777" w:rsidR="009953CA" w:rsidRPr="00DF55E2" w:rsidRDefault="009953CA" w:rsidP="009953CA">
                        <w:pPr>
                          <w:ind w:firstLineChars="100" w:firstLine="241"/>
                          <w:rPr>
                            <w:rFonts w:ascii="ＭＳ ゴシック" w:eastAsia="ＭＳ ゴシック" w:hAnsi="ＭＳ ゴシック"/>
                            <w:sz w:val="24"/>
                          </w:rPr>
                        </w:pPr>
                        <w:r>
                          <w:rPr>
                            <w:rFonts w:ascii="ＭＳ ゴシック" w:eastAsia="ＭＳ ゴシック" w:hAnsi="ＭＳ ゴシック" w:hint="eastAsia"/>
                            <w:sz w:val="24"/>
                          </w:rPr>
                          <w:t>総務省</w:t>
                        </w:r>
                      </w:p>
                    </w:txbxContent>
                  </v:textbox>
                </v:roundrect>
              </v:group>
            </w:pict>
          </mc:Fallback>
        </mc:AlternateContent>
      </w:r>
    </w:p>
    <w:p w14:paraId="3196D4B3" w14:textId="77777777" w:rsidR="009953CA" w:rsidRPr="001D6D10" w:rsidRDefault="009953CA" w:rsidP="009953CA">
      <w:pPr>
        <w:spacing w:line="340" w:lineRule="exact"/>
        <w:rPr>
          <w:rFonts w:ascii="ＭＳ 明朝" w:hAnsi="ＭＳ 明朝"/>
        </w:rPr>
      </w:pPr>
      <w:r w:rsidRPr="001D6D10">
        <w:rPr>
          <w:noProof/>
        </w:rPr>
        <mc:AlternateContent>
          <mc:Choice Requires="wps">
            <w:drawing>
              <wp:anchor distT="0" distB="0" distL="114300" distR="114300" simplePos="0" relativeHeight="254230528" behindDoc="0" locked="0" layoutInCell="1" allowOverlap="1" wp14:anchorId="39129F91" wp14:editId="3300659F">
                <wp:simplePos x="0" y="0"/>
                <wp:positionH relativeFrom="column">
                  <wp:posOffset>208915</wp:posOffset>
                </wp:positionH>
                <wp:positionV relativeFrom="paragraph">
                  <wp:posOffset>62865</wp:posOffset>
                </wp:positionV>
                <wp:extent cx="1188720" cy="282575"/>
                <wp:effectExtent l="0" t="0" r="11430" b="22225"/>
                <wp:wrapNone/>
                <wp:docPr id="4172" name="AutoShape 229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88720" cy="282575"/>
                        </a:xfrm>
                        <a:prstGeom prst="roundRect">
                          <a:avLst>
                            <a:gd name="adj" fmla="val 16667"/>
                          </a:avLst>
                        </a:prstGeom>
                        <a:solidFill>
                          <a:srgbClr val="FFFFFF"/>
                        </a:solidFill>
                        <a:ln w="9525">
                          <a:solidFill>
                            <a:srgbClr val="000000"/>
                          </a:solidFill>
                          <a:round/>
                          <a:headEnd/>
                          <a:tailEnd/>
                        </a:ln>
                      </wps:spPr>
                      <wps:txbx>
                        <w:txbxContent>
                          <w:p w14:paraId="1857028D" w14:textId="77777777" w:rsidR="009953CA" w:rsidRPr="00DF55E2" w:rsidRDefault="009953CA" w:rsidP="009953CA">
                            <w:pPr>
                              <w:jc w:val="center"/>
                              <w:rPr>
                                <w:rFonts w:ascii="ＭＳ ゴシック" w:eastAsia="ＭＳ ゴシック" w:hAnsi="ＭＳ ゴシック"/>
                                <w:sz w:val="24"/>
                              </w:rPr>
                            </w:pPr>
                            <w:r w:rsidRPr="00DF55E2">
                              <w:rPr>
                                <w:rFonts w:ascii="ＭＳ ゴシック" w:eastAsia="ＭＳ ゴシック" w:hAnsi="ＭＳ ゴシック" w:hint="eastAsia"/>
                                <w:sz w:val="24"/>
                              </w:rPr>
                              <w:t>関西広域連合</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roundrect w14:anchorId="39129F91" id="AutoShape 2295" o:spid="_x0000_s1323" style="position:absolute;left:0;text-align:left;margin-left:16.45pt;margin-top:4.95pt;width:93.6pt;height:22.25pt;z-index:25423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">
                <v:textbox inset="5.85pt,.7pt,5.85pt,.7pt">
                  <w:txbxContent>
                    <w:p w14:paraId="1857028D" w14:textId="77777777" w:rsidR="009953CA" w:rsidRPr="00DF55E2" w:rsidRDefault="009953CA" w:rsidP="009953CA">
                      <w:pPr>
                        <w:jc w:val="center"/>
                        <w:rPr>
                          <w:rFonts w:ascii="ＭＳ ゴシック" w:eastAsia="ＭＳ ゴシック" w:hAnsi="ＭＳ ゴシック"/>
                          <w:sz w:val="24"/>
                        </w:rPr>
                      </w:pPr>
                      <w:r w:rsidRPr="00DF55E2">
                        <w:rPr>
                          <w:rFonts w:ascii="ＭＳ ゴシック" w:eastAsia="ＭＳ ゴシック" w:hAnsi="ＭＳ ゴシック" w:hint="eastAsia"/>
                          <w:sz w:val="24"/>
                        </w:rPr>
                        <w:t>関西広域連合</w:t>
                      </w:r>
                    </w:p>
                  </w:txbxContent>
                </v:textbox>
              </v:roundrect>
            </w:pict>
          </mc:Fallback>
        </mc:AlternateContent>
      </w:r>
    </w:p>
    <w:p w14:paraId="026AA9E7" w14:textId="77777777" w:rsidR="009953CA" w:rsidRPr="001D6D10" w:rsidRDefault="009953CA" w:rsidP="009953CA">
      <w:pPr>
        <w:spacing w:line="340" w:lineRule="exact"/>
        <w:rPr>
          <w:rFonts w:ascii="ＭＳ 明朝" w:hAnsi="ＭＳ 明朝"/>
        </w:rPr>
      </w:pPr>
      <w:r w:rsidRPr="001D6D10">
        <w:rPr>
          <w:rFonts w:ascii="ＭＳ 明朝" w:hAnsi="ＭＳ 明朝" w:hint="eastAsia"/>
          <w:noProof/>
        </w:rPr>
        <mc:AlternateContent>
          <mc:Choice Requires="wps">
            <w:drawing>
              <wp:anchor distT="0" distB="0" distL="114300" distR="114300" simplePos="0" relativeHeight="254238720" behindDoc="0" locked="0" layoutInCell="1" allowOverlap="1" wp14:anchorId="4787E1B0" wp14:editId="314759F5">
                <wp:simplePos x="0" y="0"/>
                <wp:positionH relativeFrom="column">
                  <wp:posOffset>3612515</wp:posOffset>
                </wp:positionH>
                <wp:positionV relativeFrom="paragraph">
                  <wp:posOffset>44450</wp:posOffset>
                </wp:positionV>
                <wp:extent cx="1873250" cy="560070"/>
                <wp:effectExtent l="0" t="38100" r="31750" b="49530"/>
                <wp:wrapNone/>
                <wp:docPr id="4157" name="AutoShape 231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73250" cy="560070"/>
                        </a:xfrm>
                        <a:prstGeom prst="rightArrow">
                          <a:avLst>
                            <a:gd name="adj1" fmla="val 61338"/>
                            <a:gd name="adj2" fmla="val 31463"/>
                          </a:avLst>
                        </a:prstGeom>
                        <a:solidFill>
                          <a:schemeClr val="bg1">
                            <a:lumMod val="85000"/>
                          </a:schemeClr>
                        </a:solidFill>
                        <a:ln w="9525">
                          <a:solidFill>
                            <a:srgbClr val="000000"/>
                          </a:solidFill>
                          <a:miter lim="800000"/>
                          <a:headEnd/>
                          <a:tailEnd/>
                        </a:ln>
                      </wps:spPr>
                      <wps:txbx>
                        <w:txbxContent>
                          <w:p w14:paraId="5D0990B8" w14:textId="77777777" w:rsidR="009953CA" w:rsidRPr="00DF55E2" w:rsidRDefault="009953CA" w:rsidP="009953CA">
                            <w:pPr>
                              <w:ind w:firstLineChars="100" w:firstLine="212"/>
                              <w:rPr>
                                <w:rFonts w:ascii="ＭＳ ゴシック" w:eastAsia="ＭＳ ゴシック" w:hAnsi="ＭＳ ゴシック"/>
                                <w:b/>
                              </w:rPr>
                            </w:pPr>
                            <w:r>
                              <w:rPr>
                                <w:rFonts w:ascii="ＭＳ ゴシック" w:eastAsia="ＭＳ ゴシック" w:hAnsi="ＭＳ ゴシック" w:hint="eastAsia"/>
                                <w:b/>
                              </w:rPr>
                              <w:t>被災自治体への</w:t>
                            </w:r>
                            <w:r w:rsidRPr="00DF55E2">
                              <w:rPr>
                                <w:rFonts w:ascii="ＭＳ ゴシック" w:eastAsia="ＭＳ ゴシック" w:hAnsi="ＭＳ ゴシック" w:hint="eastAsia"/>
                                <w:b/>
                              </w:rPr>
                              <w:t>応援</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shape w14:anchorId="4787E1B0" id="AutoShape 2319" o:spid="_x0000_s1324" type="#_x0000_t13" style="position:absolute;left:0;text-align:left;margin-left:284.45pt;margin-top:3.5pt;width:147.5pt;height:44.1pt;z-index:254238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" adj="19568,4175" fillcolor="#d8d8d8 [2732]">
                <v:textbox inset="5.85pt,.7pt,5.85pt,.7pt">
                  <w:txbxContent>
                    <w:p w14:paraId="5D0990B8" w14:textId="77777777" w:rsidR="009953CA" w:rsidRPr="00DF55E2" w:rsidRDefault="009953CA" w:rsidP="009953CA">
                      <w:pPr>
                        <w:ind w:firstLineChars="100" w:firstLine="212"/>
                        <w:rPr>
                          <w:rFonts w:ascii="ＭＳ ゴシック" w:eastAsia="ＭＳ ゴシック" w:hAnsi="ＭＳ ゴシック"/>
                          <w:b/>
                        </w:rPr>
                      </w:pPr>
                      <w:r>
                        <w:rPr>
                          <w:rFonts w:ascii="ＭＳ ゴシック" w:eastAsia="ＭＳ ゴシック" w:hAnsi="ＭＳ ゴシック" w:hint="eastAsia"/>
                          <w:b/>
                        </w:rPr>
                        <w:t>被災自治体への</w:t>
                      </w:r>
                      <w:r w:rsidRPr="00DF55E2">
                        <w:rPr>
                          <w:rFonts w:ascii="ＭＳ ゴシック" w:eastAsia="ＭＳ ゴシック" w:hAnsi="ＭＳ ゴシック" w:hint="eastAsia"/>
                          <w:b/>
                        </w:rPr>
                        <w:t>応援</w:t>
                      </w:r>
                    </w:p>
                  </w:txbxContent>
                </v:textbox>
              </v:shape>
            </w:pict>
          </mc:Fallback>
        </mc:AlternateContent>
      </w:r>
      <w:r w:rsidRPr="001D6D10">
        <w:rPr>
          <w:noProof/>
        </w:rPr>
        <mc:AlternateContent>
          <mc:Choice Requires="wps">
            <w:drawing>
              <wp:anchor distT="0" distB="0" distL="114300" distR="114300" simplePos="0" relativeHeight="254229504" behindDoc="0" locked="0" layoutInCell="1" allowOverlap="1" wp14:anchorId="23BE6CB3" wp14:editId="1952D3A3">
                <wp:simplePos x="0" y="0"/>
                <wp:positionH relativeFrom="margin">
                  <wp:posOffset>177165</wp:posOffset>
                </wp:positionH>
                <wp:positionV relativeFrom="paragraph">
                  <wp:posOffset>6350</wp:posOffset>
                </wp:positionV>
                <wp:extent cx="2381250" cy="2235200"/>
                <wp:effectExtent l="0" t="0" r="19050" b="12700"/>
                <wp:wrapNone/>
                <wp:docPr id="4169" name="AutoShape 229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381250" cy="2235200"/>
                        </a:xfrm>
                        <a:prstGeom prst="roundRect">
                          <a:avLst>
                            <a:gd name="adj" fmla="val 7642"/>
                          </a:avLst>
                        </a:prstGeom>
                        <a:solidFill>
                          <a:srgbClr val="FFFFFF"/>
                        </a:solidFill>
                        <a:ln w="9525">
                          <a:solidFill>
                            <a:srgbClr val="000000"/>
                          </a:solidFill>
                          <a:round/>
                          <a:headEnd/>
                          <a:tailEnd/>
                        </a:ln>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roundrect w14:anchorId="430A719B" id="AutoShape 2291" o:spid="_x0000_s1026" style="position:absolute;left:0;text-align:left;margin-left:13.95pt;margin-top:.5pt;width:187.5pt;height:176pt;z-index:25422950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arcsize="5009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">
                <v:textbox inset="5.85pt,.7pt,5.85pt,.7pt"/>
                <w10:wrap anchorx="margin"/>
              </v:roundrect>
            </w:pict>
          </mc:Fallback>
        </mc:AlternateContent>
      </w:r>
    </w:p>
    <w:p w14:paraId="5104B259" w14:textId="77777777" w:rsidR="009953CA" w:rsidRPr="001D6D10" w:rsidRDefault="009953CA" w:rsidP="009953CA">
      <w:pPr>
        <w:spacing w:line="340" w:lineRule="exact"/>
        <w:rPr>
          <w:rFonts w:ascii="ＭＳ 明朝" w:hAnsi="ＭＳ 明朝"/>
        </w:rPr>
      </w:pPr>
      <w:r w:rsidRPr="001D6D10">
        <w:rPr>
          <w:noProof/>
        </w:rPr>
        <mc:AlternateContent>
          <mc:Choice Requires="wps">
            <w:drawing>
              <wp:anchor distT="0" distB="0" distL="114300" distR="114300" simplePos="0" relativeHeight="254235648" behindDoc="0" locked="0" layoutInCell="1" allowOverlap="1" wp14:anchorId="15D184A9" wp14:editId="198DE092">
                <wp:simplePos x="0" y="0"/>
                <wp:positionH relativeFrom="margin">
                  <wp:posOffset>361315</wp:posOffset>
                </wp:positionH>
                <wp:positionV relativeFrom="paragraph">
                  <wp:posOffset>63500</wp:posOffset>
                </wp:positionV>
                <wp:extent cx="1212850" cy="482600"/>
                <wp:effectExtent l="0" t="0" r="0" b="0"/>
                <wp:wrapNone/>
                <wp:docPr id="4159" name="Text Box 231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12850" cy="4826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301D735" w14:textId="77777777" w:rsidR="009953CA" w:rsidRDefault="009953CA" w:rsidP="009953CA">
                            <w:pPr>
                              <w:spacing w:line="240" w:lineRule="exact"/>
                              <w:ind w:leftChars="76" w:left="160"/>
                              <w:rPr>
                                <w:rFonts w:ascii="ＭＳ ゴシック" w:eastAsia="ＭＳ ゴシック" w:hAnsi="ＭＳ ゴシック"/>
                                <w:sz w:val="16"/>
                                <w:szCs w:val="16"/>
                              </w:rPr>
                            </w:pPr>
                            <w:r w:rsidRPr="00DF55E2">
                              <w:rPr>
                                <w:rFonts w:ascii="ＭＳ ゴシック" w:eastAsia="ＭＳ ゴシック" w:hAnsi="ＭＳ ゴシック" w:hint="eastAsia"/>
                                <w:sz w:val="16"/>
                                <w:szCs w:val="16"/>
                              </w:rPr>
                              <w:t>カウンターパートの</w:t>
                            </w:r>
                          </w:p>
                          <w:p w14:paraId="08A9E978" w14:textId="77777777" w:rsidR="009953CA" w:rsidRPr="00DF55E2" w:rsidRDefault="009953CA" w:rsidP="009953CA">
                            <w:pPr>
                              <w:spacing w:line="240" w:lineRule="exact"/>
                              <w:ind w:leftChars="76" w:left="160"/>
                              <w:rPr>
                                <w:rFonts w:ascii="ＭＳ ゴシック" w:eastAsia="ＭＳ ゴシック" w:hAnsi="ＭＳ ゴシック"/>
                                <w:sz w:val="20"/>
                                <w:szCs w:val="20"/>
                              </w:rPr>
                            </w:pPr>
                            <w:r w:rsidRPr="00DF55E2">
                              <w:rPr>
                                <w:rFonts w:ascii="ＭＳ ゴシック" w:eastAsia="ＭＳ ゴシック" w:hAnsi="ＭＳ ゴシック" w:hint="eastAsia"/>
                                <w:sz w:val="16"/>
                                <w:szCs w:val="16"/>
                              </w:rPr>
                              <w:t>割り当て</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shape w14:anchorId="15D184A9" id="Text Box 2314" o:spid="_x0000_s1325" type="#_x0000_t202" style="position:absolute;left:0;text-align:left;margin-left:28.45pt;margin-top:5pt;width:95.5pt;height:38pt;z-index:25423564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" filled="f" stroked="f">
                <v:textbox inset="5.85pt,.7pt,5.85pt,.7pt">
                  <w:txbxContent>
                    <w:p w14:paraId="5301D735" w14:textId="77777777" w:rsidR="009953CA" w:rsidRDefault="009953CA" w:rsidP="009953CA">
                      <w:pPr>
                        <w:spacing w:line="240" w:lineRule="exact"/>
                        <w:ind w:leftChars="76" w:left="160"/>
                        <w:rPr>
                          <w:rFonts w:ascii="ＭＳ ゴシック" w:eastAsia="ＭＳ ゴシック" w:hAnsi="ＭＳ ゴシック"/>
                          <w:sz w:val="16"/>
                          <w:szCs w:val="16"/>
                        </w:rPr>
                      </w:pPr>
                      <w:r w:rsidRPr="00DF55E2">
                        <w:rPr>
                          <w:rFonts w:ascii="ＭＳ ゴシック" w:eastAsia="ＭＳ ゴシック" w:hAnsi="ＭＳ ゴシック" w:hint="eastAsia"/>
                          <w:sz w:val="16"/>
                          <w:szCs w:val="16"/>
                        </w:rPr>
                        <w:t>カウンターパートの</w:t>
                      </w:r>
                    </w:p>
                    <w:p w14:paraId="08A9E978" w14:textId="77777777" w:rsidR="009953CA" w:rsidRPr="00DF55E2" w:rsidRDefault="009953CA" w:rsidP="009953CA">
                      <w:pPr>
                        <w:spacing w:line="240" w:lineRule="exact"/>
                        <w:ind w:leftChars="76" w:left="160"/>
                        <w:rPr>
                          <w:rFonts w:ascii="ＭＳ ゴシック" w:eastAsia="ＭＳ ゴシック" w:hAnsi="ＭＳ ゴシック"/>
                          <w:sz w:val="20"/>
                          <w:szCs w:val="20"/>
                        </w:rPr>
                      </w:pPr>
                      <w:r w:rsidRPr="00DF55E2">
                        <w:rPr>
                          <w:rFonts w:ascii="ＭＳ ゴシック" w:eastAsia="ＭＳ ゴシック" w:hAnsi="ＭＳ ゴシック" w:hint="eastAsia"/>
                          <w:sz w:val="16"/>
                          <w:szCs w:val="16"/>
                        </w:rPr>
                        <w:t>割り当て</w:t>
                      </w:r>
                    </w:p>
                  </w:txbxContent>
                </v:textbox>
                <w10:wrap anchorx="margin"/>
              </v:shape>
            </w:pict>
          </mc:Fallback>
        </mc:AlternateContent>
      </w:r>
      <w:r w:rsidRPr="001D6D10">
        <w:rPr>
          <w:rFonts w:ascii="ＭＳ 明朝" w:hAnsi="ＭＳ 明朝" w:hint="eastAsia"/>
          <w:noProof/>
        </w:rPr>
        <mc:AlternateContent>
          <mc:Choice Requires="wps">
            <w:drawing>
              <wp:anchor distT="0" distB="0" distL="114300" distR="114300" simplePos="0" relativeHeight="254236672" behindDoc="0" locked="0" layoutInCell="1" allowOverlap="1" wp14:anchorId="6A49DE00" wp14:editId="72ECF809">
                <wp:simplePos x="0" y="0"/>
                <wp:positionH relativeFrom="column">
                  <wp:posOffset>1021715</wp:posOffset>
                </wp:positionH>
                <wp:positionV relativeFrom="paragraph">
                  <wp:posOffset>215900</wp:posOffset>
                </wp:positionV>
                <wp:extent cx="647700" cy="342900"/>
                <wp:effectExtent l="0" t="38100" r="57150" b="19050"/>
                <wp:wrapNone/>
                <wp:docPr id="4160" name="AutoShape 231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647700" cy="34290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shape w14:anchorId="6C850B6B" id="AutoShape 2315" o:spid="_x0000_s1026" type="#_x0000_t32" style="position:absolute;left:0;text-align:left;margin-left:80.45pt;margin-top:17pt;width:51pt;height:27pt;flip:y;z-index:254236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">
                <v:stroke endarrow="block"/>
              </v:shape>
            </w:pict>
          </mc:Fallback>
        </mc:AlternateContent>
      </w:r>
    </w:p>
    <w:p w14:paraId="3C3AD95A" w14:textId="77777777" w:rsidR="009953CA" w:rsidRPr="001D6D10" w:rsidRDefault="009953CA" w:rsidP="009953CA">
      <w:pPr>
        <w:spacing w:line="340" w:lineRule="exact"/>
        <w:rPr>
          <w:rFonts w:ascii="ＭＳ 明朝" w:hAnsi="ＭＳ 明朝"/>
        </w:rPr>
      </w:pPr>
      <w:r w:rsidRPr="001D6D10">
        <w:rPr>
          <w:rFonts w:ascii="ＭＳ 明朝" w:hAnsi="ＭＳ 明朝" w:hint="eastAsia"/>
          <w:noProof/>
        </w:rPr>
        <mc:AlternateContent>
          <mc:Choice Requires="wps">
            <w:drawing>
              <wp:anchor distT="0" distB="0" distL="114300" distR="114300" simplePos="0" relativeHeight="254248960" behindDoc="0" locked="0" layoutInCell="1" allowOverlap="1" wp14:anchorId="76B3C41C" wp14:editId="07F4578D">
                <wp:simplePos x="0" y="0"/>
                <wp:positionH relativeFrom="column">
                  <wp:posOffset>1047115</wp:posOffset>
                </wp:positionH>
                <wp:positionV relativeFrom="paragraph">
                  <wp:posOffset>133350</wp:posOffset>
                </wp:positionV>
                <wp:extent cx="615950" cy="317500"/>
                <wp:effectExtent l="38100" t="0" r="31750" b="63500"/>
                <wp:wrapNone/>
                <wp:docPr id="242" name="AutoShape 231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615950" cy="31750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shape w14:anchorId="7CA644D9" id="AutoShape 2315" o:spid="_x0000_s1026" type="#_x0000_t32" style="position:absolute;left:0;text-align:left;margin-left:82.45pt;margin-top:10.5pt;width:48.5pt;height:25pt;flip:x;z-index:2542489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">
                <v:stroke endarrow="block"/>
              </v:shape>
            </w:pict>
          </mc:Fallback>
        </mc:AlternateContent>
      </w:r>
      <w:r w:rsidRPr="001D6D10">
        <w:rPr>
          <w:rFonts w:ascii="ＭＳ 明朝" w:hAnsi="ＭＳ 明朝" w:hint="eastAsia"/>
          <w:noProof/>
        </w:rPr>
        <mc:AlternateContent>
          <mc:Choice Requires="wps">
            <w:drawing>
              <wp:anchor distT="0" distB="0" distL="114300" distR="114300" simplePos="0" relativeHeight="254246912" behindDoc="0" locked="0" layoutInCell="1" allowOverlap="1" wp14:anchorId="236BB063" wp14:editId="43CF6D73">
                <wp:simplePos x="0" y="0"/>
                <wp:positionH relativeFrom="column">
                  <wp:posOffset>3625215</wp:posOffset>
                </wp:positionH>
                <wp:positionV relativeFrom="paragraph">
                  <wp:posOffset>209550</wp:posOffset>
                </wp:positionV>
                <wp:extent cx="1879600" cy="825500"/>
                <wp:effectExtent l="0" t="38100" r="44450" b="50800"/>
                <wp:wrapNone/>
                <wp:docPr id="243" name="AutoShape 231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79600" cy="825500"/>
                        </a:xfrm>
                        <a:prstGeom prst="rightArrow">
                          <a:avLst>
                            <a:gd name="adj1" fmla="val 59230"/>
                            <a:gd name="adj2" fmla="val 23771"/>
                          </a:avLst>
                        </a:prstGeom>
                        <a:solidFill>
                          <a:srgbClr val="FFFFFF"/>
                        </a:solidFill>
                        <a:ln w="9525">
                          <a:solidFill>
                            <a:srgbClr val="000000"/>
                          </a:solidFill>
                          <a:miter lim="800000"/>
                          <a:headEnd/>
                          <a:tailEnd/>
                        </a:ln>
                      </wps:spPr>
                      <wps:txbx>
                        <w:txbxContent>
                          <w:p w14:paraId="796E5291" w14:textId="77777777" w:rsidR="009953CA" w:rsidRPr="004869EA" w:rsidRDefault="009953CA" w:rsidP="009953CA">
                            <w:pPr>
                              <w:rPr>
                                <w:rFonts w:ascii="ＭＳ ゴシック" w:eastAsia="ＭＳ ゴシック" w:hAnsi="ＭＳ ゴシック"/>
                                <w:b/>
                                <w:sz w:val="22"/>
                                <w:szCs w:val="22"/>
                              </w:rPr>
                            </w:pPr>
                            <w:r w:rsidRPr="004869EA">
                              <w:rPr>
                                <w:rFonts w:ascii="ＭＳ ゴシック" w:eastAsia="ＭＳ ゴシック" w:hAnsi="ＭＳ ゴシック" w:hint="eastAsia"/>
                                <w:b/>
                                <w:sz w:val="22"/>
                                <w:szCs w:val="22"/>
                              </w:rPr>
                              <w:t>被災自治体（カウンター</w:t>
                            </w:r>
                          </w:p>
                          <w:p w14:paraId="18628ACD" w14:textId="77777777" w:rsidR="009953CA" w:rsidRPr="004869EA" w:rsidRDefault="009953CA" w:rsidP="009953CA">
                            <w:pPr>
                              <w:rPr>
                                <w:rFonts w:ascii="ＭＳ ゴシック" w:eastAsia="ＭＳ ゴシック" w:hAnsi="ＭＳ ゴシック"/>
                                <w:b/>
                                <w:sz w:val="22"/>
                                <w:szCs w:val="22"/>
                              </w:rPr>
                            </w:pPr>
                            <w:r w:rsidRPr="004869EA">
                              <w:rPr>
                                <w:rFonts w:ascii="ＭＳ ゴシック" w:eastAsia="ＭＳ ゴシック" w:hAnsi="ＭＳ ゴシック" w:hint="eastAsia"/>
                                <w:b/>
                                <w:sz w:val="22"/>
                                <w:szCs w:val="22"/>
                              </w:rPr>
                              <w:t>パート）への応援</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shape w14:anchorId="236BB063" id="_x0000_s1326" type="#_x0000_t13" style="position:absolute;left:0;text-align:left;margin-left:285.45pt;margin-top:16.5pt;width:148pt;height:65pt;z-index:2542469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" adj="19345,4403">
                <v:textbox inset="5.85pt,.7pt,5.85pt,.7pt">
                  <w:txbxContent>
                    <w:p w14:paraId="796E5291" w14:textId="77777777" w:rsidR="009953CA" w:rsidRPr="004869EA" w:rsidRDefault="009953CA" w:rsidP="009953CA">
                      <w:pPr>
                        <w:rPr>
                          <w:rFonts w:ascii="ＭＳ ゴシック" w:eastAsia="ＭＳ ゴシック" w:hAnsi="ＭＳ ゴシック"/>
                          <w:b/>
                          <w:sz w:val="22"/>
                          <w:szCs w:val="22"/>
                        </w:rPr>
                      </w:pPr>
                      <w:r w:rsidRPr="004869EA">
                        <w:rPr>
                          <w:rFonts w:ascii="ＭＳ ゴシック" w:eastAsia="ＭＳ ゴシック" w:hAnsi="ＭＳ ゴシック" w:hint="eastAsia"/>
                          <w:b/>
                          <w:sz w:val="22"/>
                          <w:szCs w:val="22"/>
                        </w:rPr>
                        <w:t>被災自治体（カウンター</w:t>
                      </w:r>
                    </w:p>
                    <w:p w14:paraId="18628ACD" w14:textId="77777777" w:rsidR="009953CA" w:rsidRPr="004869EA" w:rsidRDefault="009953CA" w:rsidP="009953CA">
                      <w:pPr>
                        <w:rPr>
                          <w:rFonts w:ascii="ＭＳ ゴシック" w:eastAsia="ＭＳ ゴシック" w:hAnsi="ＭＳ ゴシック"/>
                          <w:b/>
                          <w:sz w:val="22"/>
                          <w:szCs w:val="22"/>
                        </w:rPr>
                      </w:pPr>
                      <w:r w:rsidRPr="004869EA">
                        <w:rPr>
                          <w:rFonts w:ascii="ＭＳ ゴシック" w:eastAsia="ＭＳ ゴシック" w:hAnsi="ＭＳ ゴシック" w:hint="eastAsia"/>
                          <w:b/>
                          <w:sz w:val="22"/>
                          <w:szCs w:val="22"/>
                        </w:rPr>
                        <w:t>パート）への応援</w:t>
                      </w:r>
                    </w:p>
                  </w:txbxContent>
                </v:textbox>
              </v:shape>
            </w:pict>
          </mc:Fallback>
        </mc:AlternateContent>
      </w:r>
    </w:p>
    <w:p w14:paraId="38B11415" w14:textId="77777777" w:rsidR="009953CA" w:rsidRPr="001D6D10" w:rsidRDefault="009953CA" w:rsidP="009953CA">
      <w:pPr>
        <w:spacing w:line="340" w:lineRule="exact"/>
        <w:rPr>
          <w:rFonts w:ascii="ＭＳ 明朝" w:hAnsi="ＭＳ 明朝"/>
        </w:rPr>
      </w:pPr>
      <w:r w:rsidRPr="001D6D10">
        <w:rPr>
          <w:rFonts w:ascii="ＭＳ 明朝" w:hAnsi="ＭＳ 明朝"/>
          <w:noProof/>
        </w:rPr>
        <mc:AlternateContent>
          <mc:Choice Requires="wps">
            <w:drawing>
              <wp:anchor distT="0" distB="0" distL="114300" distR="114300" simplePos="0" relativeHeight="254237696" behindDoc="0" locked="0" layoutInCell="1" allowOverlap="1" wp14:anchorId="2DB7B5C8" wp14:editId="07A6BB95">
                <wp:simplePos x="0" y="0"/>
                <wp:positionH relativeFrom="column">
                  <wp:posOffset>488315</wp:posOffset>
                </wp:positionH>
                <wp:positionV relativeFrom="paragraph">
                  <wp:posOffset>29845</wp:posOffset>
                </wp:positionV>
                <wp:extent cx="457147" cy="1483913"/>
                <wp:effectExtent l="0" t="0" r="19685" b="21590"/>
                <wp:wrapNone/>
                <wp:docPr id="4152" name="AutoShape 229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57147" cy="1483913"/>
                        </a:xfrm>
                        <a:prstGeom prst="roundRect">
                          <a:avLst>
                            <a:gd name="adj" fmla="val 16667"/>
                          </a:avLst>
                        </a:prstGeom>
                        <a:solidFill>
                          <a:srgbClr val="FFFFFF"/>
                        </a:solidFill>
                        <a:ln w="9525">
                          <a:solidFill>
                            <a:srgbClr val="000000"/>
                          </a:solidFill>
                          <a:round/>
                          <a:headEnd/>
                          <a:tailEnd/>
                        </a:ln>
                      </wps:spPr>
                      <wps:txbx>
                        <w:txbxContent>
                          <w:p w14:paraId="17739359" w14:textId="77777777" w:rsidR="009953CA" w:rsidRPr="003A35E6" w:rsidRDefault="009953CA" w:rsidP="009953CA">
                            <w:pPr>
                              <w:jc w:val="center"/>
                              <w:rPr>
                                <w:rFonts w:ascii="ＭＳ ゴシック" w:eastAsia="ＭＳ ゴシック" w:hAnsi="ＭＳ ゴシック"/>
                              </w:rPr>
                            </w:pPr>
                            <w:r w:rsidRPr="003A35E6">
                              <w:rPr>
                                <w:rFonts w:ascii="ＭＳ ゴシック" w:eastAsia="ＭＳ ゴシック" w:hAnsi="ＭＳ ゴシック" w:hint="eastAsia"/>
                              </w:rPr>
                              <w:t>災害対策(支援)本部</w:t>
                            </w:r>
                          </w:p>
                          <w:p w14:paraId="47E86BA3" w14:textId="77777777" w:rsidR="009953CA" w:rsidRPr="00F40B25" w:rsidRDefault="009953CA" w:rsidP="009953CA">
                            <w:pPr>
                              <w:jc w:val="center"/>
                              <w:rPr>
                                <w:rFonts w:ascii="ＭＳ ゴシック" w:eastAsia="ＭＳ ゴシック" w:hAnsi="ＭＳ ゴシック"/>
                              </w:rPr>
                            </w:pPr>
                          </w:p>
                        </w:txbxContent>
                      </wps:txbx>
                      <wps:bodyPr rot="0" vert="eaVert" wrap="square" lIns="74295" tIns="8890" rIns="74295" bIns="8890" anchor="t" anchorCtr="0" upright="1">
                        <a:noAutofit/>
                      </wps:bodyPr>
                    </wps:wsp>
                  </a:graphicData>
                </a:graphic>
              </wp:anchor>
            </w:drawing>
          </mc:Choice>
          <mc:Fallback xmlns:w16cei="http://schemas.microsoft.com/office/word/2026/wordml/cei">
            <w:pict>
              <v:roundrect w14:anchorId="2DB7B5C8" id="AutoShape 2298" o:spid="_x0000_s1327" style="position:absolute;left:0;text-align:left;margin-left:38.45pt;margin-top:2.35pt;width:36pt;height:116.85pt;z-index:254237696;visibility:visible;mso-wrap-style:square;mso-wrap-distance-left:9pt;mso-wrap-distance-top:0;mso-wrap-distance-right:9pt;mso-wrap-distance-bottom:0;mso-position-horizontal:absolute;mso-position-horizontal-relative:text;mso-position-vertical:absolute;mso-position-vertical-relative:text;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">
                <v:textbox style="layout-flow:vertical-ideographic" inset="5.85pt,.7pt,5.85pt,.7pt">
                  <w:txbxContent>
                    <w:p w14:paraId="17739359" w14:textId="77777777" w:rsidR="009953CA" w:rsidRPr="003A35E6" w:rsidRDefault="009953CA" w:rsidP="009953CA">
                      <w:pPr>
                        <w:jc w:val="center"/>
                        <w:rPr>
                          <w:rFonts w:ascii="ＭＳ ゴシック" w:eastAsia="ＭＳ ゴシック" w:hAnsi="ＭＳ ゴシック"/>
                        </w:rPr>
                      </w:pPr>
                      <w:r w:rsidRPr="003A35E6">
                        <w:rPr>
                          <w:rFonts w:ascii="ＭＳ ゴシック" w:eastAsia="ＭＳ ゴシック" w:hAnsi="ＭＳ ゴシック" w:hint="eastAsia"/>
                        </w:rPr>
                        <w:t>災害対策(支援)本部</w:t>
                      </w:r>
                    </w:p>
                    <w:p w14:paraId="47E86BA3" w14:textId="77777777" w:rsidR="009953CA" w:rsidRPr="00F40B25" w:rsidRDefault="009953CA" w:rsidP="009953CA">
                      <w:pPr>
                        <w:jc w:val="center"/>
                        <w:rPr>
                          <w:rFonts w:ascii="ＭＳ ゴシック" w:eastAsia="ＭＳ ゴシック" w:hAnsi="ＭＳ ゴシック"/>
                        </w:rPr>
                      </w:pPr>
                    </w:p>
                  </w:txbxContent>
                </v:textbox>
              </v:roundrect>
            </w:pict>
          </mc:Fallback>
        </mc:AlternateContent>
      </w:r>
      <w:r w:rsidRPr="001D6D10">
        <w:rPr>
          <w:rFonts w:ascii="ＭＳ 明朝" w:hAnsi="ＭＳ 明朝" w:hint="eastAsia"/>
          <w:noProof/>
        </w:rPr>
        <mc:AlternateContent>
          <mc:Choice Requires="wps">
            <w:drawing>
              <wp:anchor distT="0" distB="0" distL="114300" distR="114300" simplePos="0" relativeHeight="254233600" behindDoc="0" locked="0" layoutInCell="1" allowOverlap="1" wp14:anchorId="629924C2" wp14:editId="2276FEB3">
                <wp:simplePos x="0" y="0"/>
                <wp:positionH relativeFrom="column">
                  <wp:posOffset>1072515</wp:posOffset>
                </wp:positionH>
                <wp:positionV relativeFrom="paragraph">
                  <wp:posOffset>139700</wp:posOffset>
                </wp:positionV>
                <wp:extent cx="819150" cy="546100"/>
                <wp:effectExtent l="0" t="0" r="0" b="6350"/>
                <wp:wrapNone/>
                <wp:docPr id="4155" name="AutoShape 230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819150" cy="546100"/>
                        </a:xfrm>
                        <a:prstGeom prst="roundRect">
                          <a:avLst>
                            <a:gd name="adj" fmla="val 16667"/>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round/>
                              <a:headEnd/>
                              <a:tailEnd/>
                            </a14:hiddenLine>
                          </a:ext>
                        </a:extLst>
                      </wps:spPr>
                      <wps:txbx>
                        <w:txbxContent>
                          <w:p w14:paraId="3A762FCC" w14:textId="77777777" w:rsidR="009953CA" w:rsidRPr="0017230D" w:rsidRDefault="009953CA" w:rsidP="009953CA">
                            <w:pPr>
                              <w:rPr>
                                <w:rFonts w:ascii="ＭＳ ゴシック" w:eastAsia="ＭＳ ゴシック" w:hAnsi="ＭＳ ゴシック"/>
                                <w:sz w:val="16"/>
                                <w:szCs w:val="16"/>
                              </w:rPr>
                            </w:pPr>
                            <w:r w:rsidRPr="0017230D">
                              <w:rPr>
                                <w:rFonts w:ascii="ＭＳ ゴシック" w:eastAsia="ＭＳ ゴシック" w:hAnsi="ＭＳ ゴシック" w:hint="eastAsia"/>
                                <w:sz w:val="16"/>
                                <w:szCs w:val="16"/>
                              </w:rPr>
                              <w:t>設置の場合、</w:t>
                            </w:r>
                          </w:p>
                          <w:p w14:paraId="631467F2" w14:textId="77777777" w:rsidR="009953CA" w:rsidRPr="0017230D" w:rsidRDefault="009953CA" w:rsidP="009953CA">
                            <w:pPr>
                              <w:rPr>
                                <w:rFonts w:ascii="ＭＳ ゴシック" w:eastAsia="ＭＳ ゴシック" w:hAnsi="ＭＳ ゴシック"/>
                                <w:sz w:val="16"/>
                                <w:szCs w:val="16"/>
                              </w:rPr>
                            </w:pPr>
                            <w:r w:rsidRPr="0017230D">
                              <w:rPr>
                                <w:rFonts w:ascii="ＭＳ ゴシック" w:eastAsia="ＭＳ ゴシック" w:hAnsi="ＭＳ ゴシック" w:hint="eastAsia"/>
                                <w:sz w:val="16"/>
                                <w:szCs w:val="16"/>
                              </w:rPr>
                              <w:t>職員派遣</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roundrect w14:anchorId="629924C2" id="AutoShape 2304" o:spid="_x0000_s1328" style="position:absolute;left:0;text-align:left;margin-left:84.45pt;margin-top:11pt;width:64.5pt;height:43pt;z-index:25423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" filled="f" stroked="f">
                <v:textbox inset="5.85pt,.7pt,5.85pt,.7pt">
                  <w:txbxContent>
                    <w:p w14:paraId="3A762FCC" w14:textId="77777777" w:rsidR="009953CA" w:rsidRPr="0017230D" w:rsidRDefault="009953CA" w:rsidP="009953CA">
                      <w:pPr>
                        <w:rPr>
                          <w:rFonts w:ascii="ＭＳ ゴシック" w:eastAsia="ＭＳ ゴシック" w:hAnsi="ＭＳ ゴシック"/>
                          <w:sz w:val="16"/>
                          <w:szCs w:val="16"/>
                        </w:rPr>
                      </w:pPr>
                      <w:r w:rsidRPr="0017230D">
                        <w:rPr>
                          <w:rFonts w:ascii="ＭＳ ゴシック" w:eastAsia="ＭＳ ゴシック" w:hAnsi="ＭＳ ゴシック" w:hint="eastAsia"/>
                          <w:sz w:val="16"/>
                          <w:szCs w:val="16"/>
                        </w:rPr>
                        <w:t>設置の場合、</w:t>
                      </w:r>
                    </w:p>
                    <w:p w14:paraId="631467F2" w14:textId="77777777" w:rsidR="009953CA" w:rsidRPr="0017230D" w:rsidRDefault="009953CA" w:rsidP="009953CA">
                      <w:pPr>
                        <w:rPr>
                          <w:rFonts w:ascii="ＭＳ ゴシック" w:eastAsia="ＭＳ ゴシック" w:hAnsi="ＭＳ ゴシック"/>
                          <w:sz w:val="16"/>
                          <w:szCs w:val="16"/>
                        </w:rPr>
                      </w:pPr>
                      <w:r w:rsidRPr="0017230D">
                        <w:rPr>
                          <w:rFonts w:ascii="ＭＳ ゴシック" w:eastAsia="ＭＳ ゴシック" w:hAnsi="ＭＳ ゴシック" w:hint="eastAsia"/>
                          <w:sz w:val="16"/>
                          <w:szCs w:val="16"/>
                        </w:rPr>
                        <w:t>職員派遣</w:t>
                      </w:r>
                    </w:p>
                  </w:txbxContent>
                </v:textbox>
              </v:roundrect>
            </w:pict>
          </mc:Fallback>
        </mc:AlternateContent>
      </w:r>
    </w:p>
    <w:p w14:paraId="7C5C40EB" w14:textId="77777777" w:rsidR="009953CA" w:rsidRPr="001D6D10" w:rsidRDefault="009953CA" w:rsidP="009953CA">
      <w:pPr>
        <w:spacing w:line="340" w:lineRule="exact"/>
        <w:rPr>
          <w:rFonts w:ascii="ＭＳ 明朝" w:hAnsi="ＭＳ 明朝"/>
        </w:rPr>
      </w:pPr>
    </w:p>
    <w:p w14:paraId="7A3368A9" w14:textId="77777777" w:rsidR="009953CA" w:rsidRPr="001D6D10" w:rsidRDefault="009953CA" w:rsidP="009953CA">
      <w:pPr>
        <w:spacing w:line="340" w:lineRule="exact"/>
        <w:rPr>
          <w:rFonts w:ascii="ＭＳ 明朝" w:hAnsi="ＭＳ 明朝"/>
        </w:rPr>
      </w:pPr>
      <w:r w:rsidRPr="001D6D10">
        <w:rPr>
          <w:rFonts w:ascii="ＭＳ 明朝" w:hAnsi="ＭＳ 明朝"/>
          <w:noProof/>
        </w:rPr>
        <mc:AlternateContent>
          <mc:Choice Requires="wpg">
            <w:drawing>
              <wp:anchor distT="0" distB="0" distL="114300" distR="114300" simplePos="0" relativeHeight="254231552" behindDoc="0" locked="0" layoutInCell="1" allowOverlap="1" wp14:anchorId="0D123CB7" wp14:editId="4A15DC03">
                <wp:simplePos x="0" y="0"/>
                <wp:positionH relativeFrom="column">
                  <wp:posOffset>1002665</wp:posOffset>
                </wp:positionH>
                <wp:positionV relativeFrom="paragraph">
                  <wp:posOffset>215900</wp:posOffset>
                </wp:positionV>
                <wp:extent cx="1385572" cy="827404"/>
                <wp:effectExtent l="19050" t="38100" r="24130" b="11430"/>
                <wp:wrapNone/>
                <wp:docPr id="4907" name="グループ化 4907"/>
                <wp:cNvGraphicFramePr/>
                <a:graphic xmlns:a="http://schemas.openxmlformats.org/drawingml/2006/main">
                  <a:graphicData uri="http://schemas.microsoft.com/office/word/2010/wordprocessingGroup">
                    <wpg:wgp>
                      <wpg:cNvGrpSpPr/>
                      <wpg:grpSpPr>
                        <a:xfrm>
                          <a:off x="0" y="0"/>
                          <a:ext cx="1385572" cy="827404"/>
                          <a:chOff x="-909863" y="686151"/>
                          <a:chExt cx="1179637" cy="827653"/>
                        </a:xfrm>
                      </wpg:grpSpPr>
                      <wps:wsp>
                        <wps:cNvPr id="4150" name="Text Box 2296"/>
                        <wps:cNvSpPr txBox="1">
                          <a:spLocks noChangeArrowheads="1"/>
                        </wps:cNvSpPr>
                        <wps:spPr bwMode="auto">
                          <a:xfrm>
                            <a:off x="-250618" y="705206"/>
                            <a:ext cx="520392" cy="808598"/>
                          </a:xfrm>
                          <a:prstGeom prst="rect">
                            <a:avLst/>
                          </a:prstGeom>
                          <a:solidFill>
                            <a:srgbClr val="FFFFFF"/>
                          </a:solidFill>
                          <a:ln w="9525">
                            <a:solidFill>
                              <a:srgbClr val="000000"/>
                            </a:solidFill>
                            <a:miter lim="800000"/>
                            <a:headEnd/>
                            <a:tailEnd/>
                          </a:ln>
                        </wps:spPr>
                        <wps:txbx>
                          <w:txbxContent>
                            <w:p w14:paraId="20E489A8" w14:textId="77777777" w:rsidR="009953CA" w:rsidRDefault="009953CA" w:rsidP="009953CA">
                              <w:pPr>
                                <w:jc w:val="center"/>
                                <w:rPr>
                                  <w:rFonts w:ascii="ＭＳ ゴシック" w:eastAsia="ＭＳ ゴシック" w:hAnsi="ＭＳ ゴシック"/>
                                </w:rPr>
                              </w:pPr>
                              <w:r w:rsidRPr="003A35E6">
                                <w:rPr>
                                  <w:rFonts w:ascii="ＭＳ ゴシック" w:eastAsia="ＭＳ ゴシック" w:hAnsi="ＭＳ ゴシック" w:hint="eastAsia"/>
                                </w:rPr>
                                <w:t>広域防災局</w:t>
                              </w:r>
                            </w:p>
                            <w:p w14:paraId="7A81A43B" w14:textId="77777777" w:rsidR="009953CA" w:rsidRPr="003A35E6" w:rsidRDefault="009953CA" w:rsidP="009953CA">
                              <w:pPr>
                                <w:jc w:val="center"/>
                                <w:rPr>
                                  <w:rFonts w:ascii="ＭＳ ゴシック" w:eastAsia="ＭＳ ゴシック" w:hAnsi="ＭＳ ゴシック"/>
                                </w:rPr>
                              </w:pPr>
                              <w:r>
                                <w:rPr>
                                  <w:rFonts w:ascii="ＭＳ ゴシック" w:eastAsia="ＭＳ ゴシック" w:hAnsi="ＭＳ ゴシック" w:hint="eastAsia"/>
                                </w:rPr>
                                <w:t>（兵庫県）</w:t>
                              </w:r>
                            </w:p>
                          </w:txbxContent>
                        </wps:txbx>
                        <wps:bodyPr rot="0" vert="eaVert" wrap="square" lIns="74295" tIns="8890" rIns="74295" bIns="8890" anchor="t" anchorCtr="0" upright="1">
                          <a:noAutofit/>
                        </wps:bodyPr>
                      </wps:wsp>
                      <wps:wsp>
                        <wps:cNvPr id="4149" name="AutoShape 2300"/>
                        <wps:cNvSpPr>
                          <a:spLocks noChangeArrowheads="1"/>
                        </wps:cNvSpPr>
                        <wps:spPr bwMode="auto">
                          <a:xfrm rot="5400000">
                            <a:off x="-853445" y="629733"/>
                            <a:ext cx="479254" cy="592090"/>
                          </a:xfrm>
                          <a:prstGeom prst="downArrow">
                            <a:avLst>
                              <a:gd name="adj1" fmla="val 54801"/>
                              <a:gd name="adj2" fmla="val 25000"/>
                            </a:avLst>
                          </a:prstGeom>
                          <a:solidFill>
                            <a:srgbClr val="FFFFFF"/>
                          </a:solidFill>
                          <a:ln w="9525">
                            <a:solidFill>
                              <a:srgbClr val="000000"/>
                            </a:solidFill>
                            <a:prstDash val="dash"/>
                            <a:miter lim="800000"/>
                            <a:headEnd/>
                            <a:tailEnd/>
                          </a:ln>
                        </wps:spPr>
                        <wps:txbx>
                          <w:txbxContent>
                            <w:p w14:paraId="5A866018" w14:textId="77777777" w:rsidR="009953CA" w:rsidRDefault="009953CA" w:rsidP="009953CA"/>
                          </w:txbxContent>
                        </wps:txbx>
                        <wps:bodyPr rot="0" vert="eaVert" wrap="square" lIns="74295" tIns="8890" rIns="74295" bIns="8890" anchor="t" anchorCtr="0" upright="1">
                          <a:noAutofit/>
                        </wps:bodyPr>
                      </wps:wsp>
                    </wpg:wgp>
                  </a:graphicData>
                </a:graphic>
                <wp14:sizeRelH relativeFrom="margin">
                  <wp14:pctWidth>0</wp14:pctWidth>
                </wp14:sizeRelH>
                <wp14:sizeRelV relativeFrom="margin">
                  <wp14:pctHeight>0</wp14:pctHeight>
                </wp14:sizeRelV>
              </wp:anchor>
            </w:drawing>
          </mc:Choice>
          <mc:Fallback xmlns:w16cei="http://schemas.microsoft.com/office/word/2026/wordml/cei">
            <w:pict>
              <v:group w14:anchorId="0D123CB7" id="グループ化 4907" o:spid="_x0000_s1329" style="position:absolute;left:0;text-align:left;margin-left:78.95pt;margin-top:17pt;width:109.1pt;height:65.15pt;z-index:254231552;mso-width-relative:margin;mso-height-relative:margin" coordorigin="-9098,6861" coordsize="11796,827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">
                <v:shape id="Text Box 2296" o:spid="_x0000_s1330" type="#_x0000_t202" style="position:absolute;left:-2506;top:7052;width:5203;height:808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">
                  <v:textbox style="layout-flow:vertical-ideographic" inset="5.85pt,.7pt,5.85pt,.7pt">
                    <w:txbxContent>
                      <w:p w14:paraId="20E489A8" w14:textId="77777777" w:rsidR="009953CA" w:rsidRDefault="009953CA" w:rsidP="009953CA">
                        <w:pPr>
                          <w:jc w:val="center"/>
                          <w:rPr>
                            <w:rFonts w:ascii="ＭＳ ゴシック" w:eastAsia="ＭＳ ゴシック" w:hAnsi="ＭＳ ゴシック"/>
                          </w:rPr>
                        </w:pPr>
                        <w:r w:rsidRPr="003A35E6">
                          <w:rPr>
                            <w:rFonts w:ascii="ＭＳ ゴシック" w:eastAsia="ＭＳ ゴシック" w:hAnsi="ＭＳ ゴシック" w:hint="eastAsia"/>
                          </w:rPr>
                          <w:t>広域防災局</w:t>
                        </w:r>
                      </w:p>
                      <w:p w14:paraId="7A81A43B" w14:textId="77777777" w:rsidR="009953CA" w:rsidRPr="003A35E6" w:rsidRDefault="009953CA" w:rsidP="009953CA">
                        <w:pPr>
                          <w:jc w:val="center"/>
                          <w:rPr>
                            <w:rFonts w:ascii="ＭＳ ゴシック" w:eastAsia="ＭＳ ゴシック" w:hAnsi="ＭＳ ゴシック"/>
                          </w:rPr>
                        </w:pPr>
                        <w:r>
                          <w:rPr>
                            <w:rFonts w:ascii="ＭＳ ゴシック" w:eastAsia="ＭＳ ゴシック" w:hAnsi="ＭＳ ゴシック" w:hint="eastAsia"/>
                          </w:rPr>
                          <w:t>（兵庫県）</w:t>
                        </w:r>
                      </w:p>
                    </w:txbxContent>
                  </v:textbox>
                </v:shape>
                <v:shapetype id="_x0000_t67" coordsize="21600,21600" o:spt="67" adj="16200,5400" path="m0@0l@1@0@1,0@2,0@2@0,21600@0,10800,21600xe">
                  <v:stroke joinstyle="miter"/>
                  <v:formulas>
                    <v:f eqn="val #0"/>
                    <v:f eqn="val #1"/>
                    <v:f eqn="sum height 0 #1"/>
                    <v:f eqn="sum 10800 0 #1"/>
                    <v:f eqn="sum width 0 #0"/>
                    <v:f eqn="prod @4 @3 10800"/>
                    <v:f eqn="sum width 0 @5"/>
                  </v:formulas>
                  <v:path o:connecttype="custom" o:connectlocs="10800,0;0,@0;10800,21600;21600,@0" o:connectangles="270,180,90,0" textboxrect="@1,0,@2,@6"/>
                  <v:handles>
                    <v:h position="#1,#0" xrange="0,10800" yrange="0,21600"/>
                  </v:handles>
                </v:shapetype>
                <v:shape id="AutoShape 2300" o:spid="_x0000_s1331" type="#_x0000_t67" style="position:absolute;left:-8534;top:6297;width:4793;height:5921;rotation:9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" adj="17229,4881">
                  <v:stroke dashstyle="dash"/>
                  <v:textbox style="layout-flow:vertical-ideographic" inset="5.85pt,.7pt,5.85pt,.7pt">
                    <w:txbxContent>
                      <w:p w14:paraId="5A866018" w14:textId="77777777" w:rsidR="009953CA" w:rsidRDefault="009953CA" w:rsidP="009953CA"/>
                    </w:txbxContent>
                  </v:textbox>
                </v:shape>
              </v:group>
            </w:pict>
          </mc:Fallback>
        </mc:AlternateContent>
      </w:r>
    </w:p>
    <w:p w14:paraId="21430DD0" w14:textId="77777777" w:rsidR="009953CA" w:rsidRPr="001D6D10" w:rsidRDefault="009953CA" w:rsidP="009953CA">
      <w:pPr>
        <w:spacing w:line="340" w:lineRule="exact"/>
        <w:rPr>
          <w:rFonts w:ascii="ＭＳ 明朝" w:hAnsi="ＭＳ 明朝"/>
        </w:rPr>
      </w:pPr>
    </w:p>
    <w:p w14:paraId="2475A620" w14:textId="77777777" w:rsidR="009953CA" w:rsidRPr="001D6D10" w:rsidRDefault="009953CA" w:rsidP="009953CA">
      <w:pPr>
        <w:spacing w:line="340" w:lineRule="exact"/>
        <w:rPr>
          <w:rFonts w:ascii="ＭＳ 明朝" w:hAnsi="ＭＳ 明朝"/>
        </w:rPr>
      </w:pPr>
      <w:r w:rsidRPr="001D6D10">
        <w:rPr>
          <w:rFonts w:ascii="ＭＳ 明朝" w:hAnsi="ＭＳ 明朝"/>
          <w:noProof/>
        </w:rPr>
        <mc:AlternateContent>
          <mc:Choice Requires="wps">
            <w:drawing>
              <wp:anchor distT="0" distB="0" distL="114300" distR="114300" simplePos="0" relativeHeight="254242816" behindDoc="0" locked="0" layoutInCell="1" allowOverlap="1" wp14:anchorId="6BDC1D96" wp14:editId="43A647C4">
                <wp:simplePos x="0" y="0"/>
                <wp:positionH relativeFrom="margin">
                  <wp:posOffset>4755515</wp:posOffset>
                </wp:positionH>
                <wp:positionV relativeFrom="paragraph">
                  <wp:posOffset>6350</wp:posOffset>
                </wp:positionV>
                <wp:extent cx="742950" cy="431165"/>
                <wp:effectExtent l="0" t="0" r="19050" b="26035"/>
                <wp:wrapNone/>
                <wp:docPr id="4917" name="左矢印 4917"/>
                <wp:cNvGraphicFramePr/>
                <a:graphic xmlns:a="http://schemas.openxmlformats.org/drawingml/2006/main">
                  <a:graphicData uri="http://schemas.microsoft.com/office/word/2010/wordprocessingShape">
                    <wps:wsp>
                      <wps:cNvSpPr/>
                      <wps:spPr>
                        <a:xfrm>
                          <a:off x="0" y="0"/>
                          <a:ext cx="742950" cy="431165"/>
                        </a:xfrm>
                        <a:prstGeom prst="leftArrow">
                          <a:avLst/>
                        </a:prstGeom>
                        <a:solidFill>
                          <a:sysClr val="window" lastClr="FFFFFF"/>
                        </a:solidFill>
                        <a:ln w="9525" cap="flat" cmpd="sng" algn="ctr">
                          <a:solidFill>
                            <a:sysClr val="windowText" lastClr="000000"/>
                          </a:solidFill>
                          <a:prstDash val="solid"/>
                        </a:ln>
                        <a:effectLst/>
                      </wps:spPr>
                      <wps:txbx>
                        <w:txbxContent>
                          <w:p w14:paraId="702171E0" w14:textId="77777777" w:rsidR="009953CA" w:rsidRPr="003F64FE" w:rsidRDefault="009953CA" w:rsidP="009953CA">
                            <w:pPr>
                              <w:jc w:val="center"/>
                              <w:rPr>
                                <w:sz w:val="16"/>
                              </w:rPr>
                            </w:pPr>
                            <w:r w:rsidRPr="003F64FE">
                              <w:rPr>
                                <w:rFonts w:hint="eastAsia"/>
                                <w:sz w:val="16"/>
                              </w:rPr>
                              <w:t>応援</w:t>
                            </w:r>
                            <w:r w:rsidRPr="003F64FE">
                              <w:rPr>
                                <w:sz w:val="16"/>
                              </w:rPr>
                              <w:t>要請</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shape w14:anchorId="6BDC1D96" id="_x0000_s1332" type="#_x0000_t66" style="position:absolute;left:0;text-align:left;margin-left:374.45pt;margin-top:.5pt;width:58.5pt;height:33.95pt;z-index:25424281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" adj="6268" fillcolor="window" strokecolor="windowText">
                <v:textbox inset="0,0,0,0">
                  <w:txbxContent>
                    <w:p w14:paraId="702171E0" w14:textId="77777777" w:rsidR="009953CA" w:rsidRPr="003F64FE" w:rsidRDefault="009953CA" w:rsidP="009953CA">
                      <w:pPr>
                        <w:jc w:val="center"/>
                        <w:rPr>
                          <w:sz w:val="16"/>
                        </w:rPr>
                      </w:pPr>
                      <w:r w:rsidRPr="003F64FE">
                        <w:rPr>
                          <w:rFonts w:hint="eastAsia"/>
                          <w:sz w:val="16"/>
                        </w:rPr>
                        <w:t>応援</w:t>
                      </w:r>
                      <w:r w:rsidRPr="003F64FE">
                        <w:rPr>
                          <w:sz w:val="16"/>
                        </w:rPr>
                        <w:t>要請</w:t>
                      </w:r>
                    </w:p>
                  </w:txbxContent>
                </v:textbox>
                <w10:wrap anchorx="margin"/>
              </v:shape>
            </w:pict>
          </mc:Fallback>
        </mc:AlternateContent>
      </w:r>
      <w:r w:rsidRPr="001D6D10">
        <w:rPr>
          <w:rFonts w:ascii="ＭＳ 明朝" w:hAnsi="ＭＳ 明朝"/>
          <w:noProof/>
        </w:rPr>
        <mc:AlternateContent>
          <mc:Choice Requires="wps">
            <w:drawing>
              <wp:anchor distT="0" distB="0" distL="114300" distR="114300" simplePos="0" relativeHeight="254241792" behindDoc="0" locked="0" layoutInCell="1" allowOverlap="1" wp14:anchorId="0D23AF48" wp14:editId="5D1BFA86">
                <wp:simplePos x="0" y="0"/>
                <wp:positionH relativeFrom="column">
                  <wp:posOffset>2520315</wp:posOffset>
                </wp:positionH>
                <wp:positionV relativeFrom="paragraph">
                  <wp:posOffset>6350</wp:posOffset>
                </wp:positionV>
                <wp:extent cx="1301750" cy="431165"/>
                <wp:effectExtent l="0" t="0" r="12700" b="26035"/>
                <wp:wrapNone/>
                <wp:docPr id="4915" name="左矢印 4915"/>
                <wp:cNvGraphicFramePr/>
                <a:graphic xmlns:a="http://schemas.openxmlformats.org/drawingml/2006/main">
                  <a:graphicData uri="http://schemas.microsoft.com/office/word/2010/wordprocessingShape">
                    <wps:wsp>
                      <wps:cNvSpPr/>
                      <wps:spPr>
                        <a:xfrm>
                          <a:off x="0" y="0"/>
                          <a:ext cx="1301750" cy="431165"/>
                        </a:xfrm>
                        <a:prstGeom prst="leftArrow">
                          <a:avLst/>
                        </a:prstGeom>
                        <a:solidFill>
                          <a:sysClr val="window" lastClr="FFFFFF"/>
                        </a:solidFill>
                        <a:ln w="9525" cap="flat" cmpd="sng" algn="ctr">
                          <a:solidFill>
                            <a:sysClr val="windowText" lastClr="000000"/>
                          </a:solidFill>
                          <a:prstDash val="solid"/>
                        </a:ln>
                        <a:effectLst/>
                      </wps:spPr>
                      <wps:txbx>
                        <w:txbxContent>
                          <w:p w14:paraId="4E1A9390" w14:textId="77777777" w:rsidR="009953CA" w:rsidRPr="003F64FE" w:rsidRDefault="009953CA" w:rsidP="009953CA">
                            <w:pPr>
                              <w:jc w:val="center"/>
                              <w:rPr>
                                <w:sz w:val="16"/>
                              </w:rPr>
                            </w:pPr>
                            <w:r w:rsidRPr="003F64FE">
                              <w:rPr>
                                <w:rFonts w:hint="eastAsia"/>
                                <w:sz w:val="16"/>
                              </w:rPr>
                              <w:t>応援</w:t>
                            </w:r>
                            <w:r w:rsidRPr="003F64FE">
                              <w:rPr>
                                <w:sz w:val="16"/>
                              </w:rPr>
                              <w:t>要請</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shape w14:anchorId="0D23AF48" id="_x0000_s1333" type="#_x0000_t66" style="position:absolute;left:0;text-align:left;margin-left:198.45pt;margin-top:.5pt;width:102.5pt;height:33.95pt;z-index:254241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" adj="3577" fillcolor="window" strokecolor="windowText">
                <v:textbox inset="0,0,0,0">
                  <w:txbxContent>
                    <w:p w14:paraId="4E1A9390" w14:textId="77777777" w:rsidR="009953CA" w:rsidRPr="003F64FE" w:rsidRDefault="009953CA" w:rsidP="009953CA">
                      <w:pPr>
                        <w:jc w:val="center"/>
                        <w:rPr>
                          <w:sz w:val="16"/>
                        </w:rPr>
                      </w:pPr>
                      <w:r w:rsidRPr="003F64FE">
                        <w:rPr>
                          <w:rFonts w:hint="eastAsia"/>
                          <w:sz w:val="16"/>
                        </w:rPr>
                        <w:t>応援</w:t>
                      </w:r>
                      <w:r w:rsidRPr="003F64FE">
                        <w:rPr>
                          <w:sz w:val="16"/>
                        </w:rPr>
                        <w:t>要請</w:t>
                      </w:r>
                    </w:p>
                  </w:txbxContent>
                </v:textbox>
              </v:shape>
            </w:pict>
          </mc:Fallback>
        </mc:AlternateContent>
      </w:r>
    </w:p>
    <w:p w14:paraId="5072F0FE" w14:textId="77777777" w:rsidR="009953CA" w:rsidRPr="001D6D10" w:rsidRDefault="009953CA" w:rsidP="009953CA">
      <w:pPr>
        <w:spacing w:line="340" w:lineRule="exact"/>
        <w:rPr>
          <w:rFonts w:ascii="ＭＳ 明朝" w:hAnsi="ＭＳ 明朝"/>
        </w:rPr>
      </w:pPr>
      <w:r w:rsidRPr="001D6D10">
        <w:rPr>
          <w:rFonts w:ascii="ＭＳ 明朝" w:hAnsi="ＭＳ 明朝" w:hint="eastAsia"/>
          <w:noProof/>
        </w:rPr>
        <mc:AlternateContent>
          <mc:Choice Requires="wps">
            <w:drawing>
              <wp:anchor distT="0" distB="0" distL="114300" distR="114300" simplePos="0" relativeHeight="254232576" behindDoc="0" locked="0" layoutInCell="1" allowOverlap="1" wp14:anchorId="2778FF49" wp14:editId="1566DC18">
                <wp:simplePos x="0" y="0"/>
                <wp:positionH relativeFrom="column">
                  <wp:posOffset>964565</wp:posOffset>
                </wp:positionH>
                <wp:positionV relativeFrom="paragraph">
                  <wp:posOffset>67310</wp:posOffset>
                </wp:positionV>
                <wp:extent cx="822325" cy="469900"/>
                <wp:effectExtent l="0" t="0" r="0" b="6350"/>
                <wp:wrapNone/>
                <wp:docPr id="4145" name="AutoShape 230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822325" cy="469900"/>
                        </a:xfrm>
                        <a:prstGeom prst="roundRect">
                          <a:avLst>
                            <a:gd name="adj" fmla="val 16667"/>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round/>
                              <a:headEnd/>
                              <a:tailEnd/>
                            </a14:hiddenLine>
                          </a:ext>
                        </a:extLst>
                      </wps:spPr>
                      <wps:txbx>
                        <w:txbxContent>
                          <w:p w14:paraId="6C9BD872" w14:textId="77777777" w:rsidR="009953CA" w:rsidRPr="00907E7D" w:rsidRDefault="009953CA" w:rsidP="009953CA">
                            <w:pPr>
                              <w:spacing w:line="240" w:lineRule="exact"/>
                              <w:rPr>
                                <w:rFonts w:ascii="ＭＳ ゴシック" w:eastAsia="ＭＳ ゴシック" w:hAnsi="ＭＳ ゴシック"/>
                                <w:sz w:val="16"/>
                                <w:szCs w:val="16"/>
                              </w:rPr>
                            </w:pPr>
                            <w:r w:rsidRPr="00907E7D">
                              <w:rPr>
                                <w:rFonts w:ascii="ＭＳ ゴシック" w:eastAsia="ＭＳ ゴシック" w:hAnsi="ＭＳ ゴシック" w:hint="eastAsia"/>
                                <w:sz w:val="16"/>
                                <w:szCs w:val="16"/>
                              </w:rPr>
                              <w:t>必要に応じて設置</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roundrect w14:anchorId="2778FF49" id="AutoShape 2301" o:spid="_x0000_s1334" style="position:absolute;left:0;text-align:left;margin-left:75.95pt;margin-top:5.3pt;width:64.75pt;height:37pt;z-index:25423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" filled="f" stroked="f">
                <v:textbox inset="5.85pt,.7pt,5.85pt,.7pt">
                  <w:txbxContent>
                    <w:p w14:paraId="6C9BD872" w14:textId="77777777" w:rsidR="009953CA" w:rsidRPr="00907E7D" w:rsidRDefault="009953CA" w:rsidP="009953CA">
                      <w:pPr>
                        <w:spacing w:line="240" w:lineRule="exact"/>
                        <w:rPr>
                          <w:rFonts w:ascii="ＭＳ ゴシック" w:eastAsia="ＭＳ ゴシック" w:hAnsi="ＭＳ ゴシック"/>
                          <w:sz w:val="16"/>
                          <w:szCs w:val="16"/>
                        </w:rPr>
                      </w:pPr>
                      <w:r w:rsidRPr="00907E7D">
                        <w:rPr>
                          <w:rFonts w:ascii="ＭＳ ゴシック" w:eastAsia="ＭＳ ゴシック" w:hAnsi="ＭＳ ゴシック" w:hint="eastAsia"/>
                          <w:sz w:val="16"/>
                          <w:szCs w:val="16"/>
                        </w:rPr>
                        <w:t>必要に応じて設置</w:t>
                      </w:r>
                    </w:p>
                  </w:txbxContent>
                </v:textbox>
              </v:roundrect>
            </w:pict>
          </mc:Fallback>
        </mc:AlternateContent>
      </w:r>
    </w:p>
    <w:p w14:paraId="6494122B" w14:textId="77777777" w:rsidR="009953CA" w:rsidRPr="001D6D10" w:rsidRDefault="009953CA" w:rsidP="009953CA">
      <w:pPr>
        <w:spacing w:line="340" w:lineRule="exact"/>
        <w:rPr>
          <w:rFonts w:ascii="ＭＳ 明朝" w:hAnsi="ＭＳ 明朝"/>
        </w:rPr>
      </w:pPr>
    </w:p>
    <w:p w14:paraId="1F89E9EB" w14:textId="77777777" w:rsidR="009953CA" w:rsidRPr="001D6D10" w:rsidRDefault="009953CA" w:rsidP="009953CA">
      <w:pPr>
        <w:spacing w:line="340" w:lineRule="exact"/>
        <w:rPr>
          <w:rFonts w:ascii="ＭＳ 明朝" w:hAnsi="ＭＳ 明朝"/>
        </w:rPr>
      </w:pPr>
      <w:r w:rsidRPr="001D6D10">
        <w:rPr>
          <w:rFonts w:hint="eastAsia"/>
          <w:noProof/>
          <w:sz w:val="22"/>
          <w:szCs w:val="22"/>
        </w:rPr>
        <mc:AlternateContent>
          <mc:Choice Requires="wps">
            <w:drawing>
              <wp:anchor distT="0" distB="0" distL="114300" distR="114300" simplePos="0" relativeHeight="254247936" behindDoc="1" locked="0" layoutInCell="1" allowOverlap="1" wp14:anchorId="0D62FB15" wp14:editId="26165066">
                <wp:simplePos x="0" y="0"/>
                <wp:positionH relativeFrom="column">
                  <wp:posOffset>164465</wp:posOffset>
                </wp:positionH>
                <wp:positionV relativeFrom="paragraph">
                  <wp:posOffset>31750</wp:posOffset>
                </wp:positionV>
                <wp:extent cx="5842000" cy="552450"/>
                <wp:effectExtent l="0" t="0" r="6350" b="0"/>
                <wp:wrapNone/>
                <wp:docPr id="254" name="正方形/長方形 254"/>
                <wp:cNvGraphicFramePr/>
                <a:graphic xmlns:a="http://schemas.openxmlformats.org/drawingml/2006/main">
                  <a:graphicData uri="http://schemas.microsoft.com/office/word/2010/wordprocessingShape">
                    <wps:wsp>
                      <wps:cNvSpPr/>
                      <wps:spPr>
                        <a:xfrm>
                          <a:off x="0" y="0"/>
                          <a:ext cx="5842000" cy="552450"/>
                        </a:xfrm>
                        <a:prstGeom prst="rect">
                          <a:avLst/>
                        </a:prstGeom>
                        <a:solidFill>
                          <a:sysClr val="window" lastClr="FFFFFF"/>
                        </a:solidFill>
                        <a:ln w="9525" cap="flat" cmpd="sng" algn="ctr">
                          <a:noFill/>
                          <a:prstDash val="solid"/>
                        </a:ln>
                        <a:effectLst/>
                      </wps:spPr>
                      <wps:txbx>
                        <w:txbxContent>
                          <w:p w14:paraId="31CB8527" w14:textId="77777777" w:rsidR="009953CA" w:rsidRPr="001D6D10" w:rsidRDefault="009953CA" w:rsidP="009953CA">
                            <w:pPr>
                              <w:spacing w:line="340" w:lineRule="exact"/>
                              <w:rPr>
                                <w:rFonts w:ascii="ＭＳ 明朝" w:hAnsi="ＭＳ 明朝"/>
                                <w:sz w:val="16"/>
                                <w:szCs w:val="16"/>
                              </w:rPr>
                            </w:pPr>
                            <w:bookmarkStart w:id="192" w:name="_Hlk166168676"/>
                            <w:r w:rsidRPr="001D6D10">
                              <w:rPr>
                                <w:rFonts w:ascii="ＭＳ 明朝" w:hAnsi="ＭＳ 明朝" w:hint="eastAsia"/>
                                <w:sz w:val="16"/>
                                <w:szCs w:val="16"/>
                              </w:rPr>
                              <w:t>※関西広域連合構成府県及び連携県内での被災の場合には、速やかに関西広域連合の緊急派遣チームを派遣し、応援要請を受け、</w:t>
                            </w:r>
                          </w:p>
                          <w:p w14:paraId="67BFE6D5" w14:textId="77777777" w:rsidR="009953CA" w:rsidRPr="001D6D10" w:rsidRDefault="009953CA" w:rsidP="009953CA">
                            <w:pPr>
                              <w:spacing w:line="340" w:lineRule="exact"/>
                              <w:ind w:firstLineChars="100" w:firstLine="161"/>
                              <w:rPr>
                                <w:rFonts w:ascii="ＭＳ 明朝" w:hAnsi="ＭＳ 明朝"/>
                                <w:sz w:val="16"/>
                                <w:szCs w:val="16"/>
                              </w:rPr>
                            </w:pPr>
                            <w:r w:rsidRPr="001D6D10">
                              <w:rPr>
                                <w:rFonts w:ascii="ＭＳ 明朝" w:hAnsi="ＭＳ 明朝" w:hint="eastAsia"/>
                                <w:sz w:val="16"/>
                                <w:szCs w:val="16"/>
                              </w:rPr>
                              <w:t>カウンターパートの割り当てを行ったうえで応援を実施。</w:t>
                            </w:r>
                            <w:bookmarkEnd w:id="192"/>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rect w14:anchorId="0D62FB15" id="正方形/長方形 254" o:spid="_x0000_s1335" style="position:absolute;left:0;text-align:left;margin-left:12.95pt;margin-top:2.5pt;width:460pt;height:43.5pt;z-index:-2490685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" fillcolor="window" stroked="f">
                <v:textbox inset="0,0,0,0">
                  <w:txbxContent>
                    <w:p w14:paraId="31CB8527" w14:textId="77777777" w:rsidR="009953CA" w:rsidRPr="001D6D10" w:rsidRDefault="009953CA" w:rsidP="009953CA">
                      <w:pPr>
                        <w:spacing w:line="340" w:lineRule="exact"/>
                        <w:rPr>
                          <w:rFonts w:ascii="ＭＳ 明朝" w:hAnsi="ＭＳ 明朝"/>
                          <w:sz w:val="16"/>
                          <w:szCs w:val="16"/>
                        </w:rPr>
                      </w:pPr>
                      <w:bookmarkStart w:id="193" w:name="_Hlk166168676"/>
                      <w:r w:rsidRPr="001D6D10">
                        <w:rPr>
                          <w:rFonts w:ascii="ＭＳ 明朝" w:hAnsi="ＭＳ 明朝" w:hint="eastAsia"/>
                          <w:sz w:val="16"/>
                          <w:szCs w:val="16"/>
                        </w:rPr>
                        <w:t>※関西広域連合構成府県及び連携県内での被災の場合には、速やかに関西広域連合の緊急派遣チームを派遣し、応援要請を受け、</w:t>
                      </w:r>
                    </w:p>
                    <w:p w14:paraId="67BFE6D5" w14:textId="77777777" w:rsidR="009953CA" w:rsidRPr="001D6D10" w:rsidRDefault="009953CA" w:rsidP="009953CA">
                      <w:pPr>
                        <w:spacing w:line="340" w:lineRule="exact"/>
                        <w:ind w:firstLineChars="100" w:firstLine="161"/>
                        <w:rPr>
                          <w:rFonts w:ascii="ＭＳ 明朝" w:hAnsi="ＭＳ 明朝"/>
                          <w:sz w:val="16"/>
                          <w:szCs w:val="16"/>
                        </w:rPr>
                      </w:pPr>
                      <w:r w:rsidRPr="001D6D10">
                        <w:rPr>
                          <w:rFonts w:ascii="ＭＳ 明朝" w:hAnsi="ＭＳ 明朝" w:hint="eastAsia"/>
                          <w:sz w:val="16"/>
                          <w:szCs w:val="16"/>
                        </w:rPr>
                        <w:t>カウンターパートの割り当てを行ったうえで応援を実施。</w:t>
                      </w:r>
                      <w:bookmarkEnd w:id="193"/>
                    </w:p>
                  </w:txbxContent>
                </v:textbox>
              </v:rect>
            </w:pict>
          </mc:Fallback>
        </mc:AlternateContent>
      </w:r>
    </w:p>
    <w:p w14:paraId="08DF9E3D" w14:textId="77777777" w:rsidR="009953CA" w:rsidRPr="001D6D10" w:rsidRDefault="009953CA" w:rsidP="009953CA">
      <w:pPr>
        <w:spacing w:line="340" w:lineRule="exact"/>
        <w:rPr>
          <w:rFonts w:ascii="ＭＳ 明朝" w:hAnsi="ＭＳ 明朝"/>
        </w:rPr>
      </w:pPr>
      <w:r w:rsidRPr="001D6D10">
        <w:rPr>
          <w:rFonts w:ascii="ＭＳ 明朝" w:hAnsi="ＭＳ 明朝" w:hint="eastAsia"/>
        </w:rPr>
        <w:t xml:space="preserve">　</w:t>
      </w:r>
    </w:p>
    <w:p w14:paraId="05C630AD" w14:textId="77777777" w:rsidR="009953CA" w:rsidRPr="001D6D10" w:rsidRDefault="009953CA" w:rsidP="009953CA">
      <w:pPr>
        <w:spacing w:line="340" w:lineRule="exact"/>
        <w:rPr>
          <w:rFonts w:ascii="ＭＳ 明朝" w:hAnsi="ＭＳ 明朝"/>
          <w:sz w:val="16"/>
          <w:szCs w:val="16"/>
        </w:rPr>
      </w:pPr>
    </w:p>
    <w:p w14:paraId="1F461E43" w14:textId="77777777" w:rsidR="009953CA" w:rsidRPr="001D6D10" w:rsidRDefault="009953CA" w:rsidP="009953CA">
      <w:pPr>
        <w:ind w:firstLineChars="100" w:firstLine="211"/>
      </w:pPr>
      <w:r w:rsidRPr="001D6D10">
        <w:rPr>
          <w:rFonts w:hint="eastAsia"/>
        </w:rPr>
        <w:t>府域外で大規模広域災害発生した場合、被災都道府県への応援については、上記スキームによる。応援にあたっては、関西広域連合「関西防災・減災プラン」に基づき作成運用される「関西広域応援・受援実施要綱」及び各省庁、都道府県などの応援要請の内容に基づき、次の組織により実施する。</w:t>
      </w:r>
    </w:p>
    <w:p w14:paraId="6003B9C5" w14:textId="77777777" w:rsidR="009953CA" w:rsidRPr="001D6D10" w:rsidRDefault="009953CA" w:rsidP="009953CA">
      <w:pPr>
        <w:pStyle w:val="a0"/>
        <w:ind w:firstLineChars="100" w:firstLine="211"/>
      </w:pPr>
      <w:r w:rsidRPr="001D6D10">
        <w:rPr>
          <w:rFonts w:hint="eastAsia"/>
        </w:rPr>
        <w:t>なお、迅速な応援のためやむを得ない場合は、実施後に下記組織で共有することとする。</w:t>
      </w:r>
    </w:p>
    <w:p w14:paraId="09FA94B5" w14:textId="77777777" w:rsidR="009953CA" w:rsidRPr="001D6D10" w:rsidRDefault="009953CA" w:rsidP="009953CA">
      <w:pPr>
        <w:rPr>
          <w:rFonts w:ascii="ＭＳ 明朝" w:hAnsi="ＭＳ 明朝"/>
          <w:sz w:val="22"/>
          <w:szCs w:val="22"/>
        </w:rPr>
      </w:pPr>
    </w:p>
    <w:p w14:paraId="6D27AAEF" w14:textId="77777777" w:rsidR="009953CA" w:rsidRPr="001D6D10" w:rsidRDefault="009953CA" w:rsidP="00E0548A">
      <w:pPr>
        <w:pStyle w:val="3"/>
        <w:ind w:firstLineChars="0" w:firstLine="0"/>
      </w:pPr>
      <w:bookmarkStart w:id="193" w:name="_Toc122436913"/>
      <w:bookmarkStart w:id="194" w:name="_Toc222486596"/>
      <w:bookmarkStart w:id="195" w:name="_Toc242870266"/>
      <w:r w:rsidRPr="001D6D10">
        <w:rPr>
          <w:rFonts w:hint="eastAsia"/>
        </w:rPr>
        <w:t>第１　大阪府災害等支援対策室</w:t>
      </w:r>
      <w:bookmarkEnd w:id="193"/>
      <w:bookmarkEnd w:id="194"/>
      <w:bookmarkEnd w:id="195"/>
    </w:p>
    <w:p w14:paraId="25D58218" w14:textId="77777777" w:rsidR="009953CA" w:rsidRPr="001D6D10" w:rsidRDefault="009953CA" w:rsidP="009953CA">
      <w:pPr>
        <w:ind w:left="2030" w:hangingChars="918" w:hanging="2030"/>
        <w:rPr>
          <w:rFonts w:ascii="ＭＳ 明朝" w:hAnsi="ＭＳ 明朝"/>
          <w:sz w:val="22"/>
          <w:szCs w:val="22"/>
        </w:rPr>
      </w:pPr>
      <w:r w:rsidRPr="001D6D10">
        <w:rPr>
          <w:rFonts w:ascii="ＭＳ 明朝" w:hAnsi="ＭＳ 明朝" w:hint="eastAsia"/>
          <w:sz w:val="22"/>
          <w:szCs w:val="22"/>
        </w:rPr>
        <w:t xml:space="preserve">　　　 (1)目　　的　府域外で大規模な自然災害等が発生した場合に、被災都道府県からの人的・物的面にかかる応援要請に的確かつ円滑に対応できるよう、危機管理室内に設置する。</w:t>
      </w:r>
    </w:p>
    <w:p w14:paraId="0AECA285" w14:textId="77777777" w:rsidR="009953CA" w:rsidRPr="001D6D10" w:rsidRDefault="009953CA" w:rsidP="009953CA">
      <w:pPr>
        <w:ind w:leftChars="950" w:left="2006" w:hanging="1"/>
        <w:rPr>
          <w:rFonts w:ascii="ＭＳ 明朝" w:hAnsi="ＭＳ 明朝"/>
          <w:sz w:val="22"/>
          <w:szCs w:val="22"/>
        </w:rPr>
      </w:pPr>
    </w:p>
    <w:p w14:paraId="33238CF4" w14:textId="77777777" w:rsidR="009953CA" w:rsidRPr="001D6D10" w:rsidRDefault="009953CA" w:rsidP="009953CA">
      <w:pPr>
        <w:ind w:leftChars="365" w:left="2429" w:hangingChars="750" w:hanging="1658"/>
        <w:rPr>
          <w:rFonts w:ascii="ＭＳ 明朝" w:hAnsi="ＭＳ 明朝"/>
          <w:sz w:val="22"/>
          <w:szCs w:val="22"/>
        </w:rPr>
      </w:pPr>
      <w:r w:rsidRPr="001D6D10">
        <w:rPr>
          <w:rFonts w:ascii="ＭＳ 明朝" w:hAnsi="ＭＳ 明朝" w:hint="eastAsia"/>
          <w:sz w:val="22"/>
          <w:szCs w:val="22"/>
        </w:rPr>
        <w:t>(2)設置基準　・関西広域連合域内において震度５強以上、関西広域連合域外において震度６弱以上の震度を観測し、かつ甚大な被害が推測されたとき</w:t>
      </w:r>
    </w:p>
    <w:p w14:paraId="75E32ECD" w14:textId="77777777" w:rsidR="009953CA" w:rsidRPr="001D6D10" w:rsidRDefault="009953CA" w:rsidP="009953CA">
      <w:pPr>
        <w:ind w:leftChars="630" w:left="1330" w:firstLineChars="400" w:firstLine="884"/>
        <w:rPr>
          <w:rFonts w:ascii="ＭＳ 明朝" w:hAnsi="ＭＳ 明朝"/>
          <w:sz w:val="22"/>
          <w:szCs w:val="22"/>
        </w:rPr>
      </w:pPr>
      <w:r w:rsidRPr="001D6D10">
        <w:rPr>
          <w:rFonts w:ascii="ＭＳ 明朝" w:hAnsi="ＭＳ 明朝" w:hint="eastAsia"/>
          <w:sz w:val="22"/>
          <w:szCs w:val="22"/>
        </w:rPr>
        <w:t>・府域外において大規模な風水害が発生したとき</w:t>
      </w:r>
    </w:p>
    <w:p w14:paraId="27875739" w14:textId="77777777" w:rsidR="009953CA" w:rsidRPr="001D6D10" w:rsidRDefault="009953CA" w:rsidP="009953CA">
      <w:pPr>
        <w:ind w:leftChars="1030" w:left="2395" w:rightChars="-175" w:right="-369" w:hangingChars="100" w:hanging="221"/>
        <w:rPr>
          <w:rFonts w:ascii="ＭＳ 明朝" w:hAnsi="ＭＳ 明朝"/>
          <w:sz w:val="22"/>
          <w:szCs w:val="22"/>
        </w:rPr>
      </w:pPr>
      <w:r w:rsidRPr="001D6D10">
        <w:rPr>
          <w:rFonts w:ascii="ＭＳ 明朝" w:hAnsi="ＭＳ 明朝" w:hint="eastAsia"/>
          <w:sz w:val="22"/>
          <w:szCs w:val="22"/>
        </w:rPr>
        <w:t>・その他府域外において大規模又は社会的影響の大きな事件・事故　　が発生したとき</w:t>
      </w:r>
    </w:p>
    <w:p w14:paraId="0E29FD27" w14:textId="77777777" w:rsidR="009953CA" w:rsidRPr="001D6D10" w:rsidRDefault="009953CA" w:rsidP="009953CA">
      <w:pPr>
        <w:ind w:leftChars="-12" w:left="-12" w:rightChars="-167" w:right="-353" w:hangingChars="6" w:hanging="13"/>
        <w:rPr>
          <w:rFonts w:ascii="ＭＳ 明朝" w:hAnsi="ＭＳ 明朝"/>
          <w:sz w:val="22"/>
          <w:szCs w:val="22"/>
        </w:rPr>
      </w:pPr>
      <w:r w:rsidRPr="001D6D10">
        <w:rPr>
          <w:rFonts w:ascii="ＭＳ 明朝" w:hAnsi="ＭＳ 明朝" w:hint="eastAsia"/>
          <w:sz w:val="22"/>
          <w:szCs w:val="22"/>
        </w:rPr>
        <w:t xml:space="preserve">　　　 (3)廃止基準  </w:t>
      </w:r>
      <w:r w:rsidRPr="001D6D10">
        <w:rPr>
          <w:rFonts w:ascii="ＭＳ 明朝" w:hAnsi="ＭＳ 明朝" w:hint="eastAsia"/>
          <w:szCs w:val="21"/>
        </w:rPr>
        <w:t>・</w:t>
      </w:r>
      <w:r w:rsidRPr="001D6D10">
        <w:rPr>
          <w:rFonts w:ascii="ＭＳ 明朝" w:hAnsi="ＭＳ 明朝" w:hint="eastAsia"/>
          <w:sz w:val="22"/>
          <w:szCs w:val="22"/>
        </w:rPr>
        <w:t>災害等支援対策指令部または災害等支援対策本部が設置されたとき</w:t>
      </w:r>
    </w:p>
    <w:p w14:paraId="7BE173AB" w14:textId="77777777" w:rsidR="009953CA" w:rsidRPr="001D6D10" w:rsidRDefault="009953CA" w:rsidP="009953CA">
      <w:pPr>
        <w:ind w:firstLineChars="900" w:firstLine="1990"/>
        <w:rPr>
          <w:rFonts w:ascii="ＭＳ 明朝" w:hAnsi="ＭＳ 明朝"/>
          <w:sz w:val="22"/>
          <w:szCs w:val="22"/>
        </w:rPr>
      </w:pPr>
      <w:r w:rsidRPr="001D6D10">
        <w:rPr>
          <w:rFonts w:ascii="ＭＳ 明朝" w:hAnsi="ＭＳ 明朝" w:hint="eastAsia"/>
          <w:sz w:val="22"/>
          <w:szCs w:val="22"/>
        </w:rPr>
        <w:lastRenderedPageBreak/>
        <w:t xml:space="preserve">　・被災地での災害応急対策が、おおむね完了したとき</w:t>
      </w:r>
    </w:p>
    <w:p w14:paraId="131F514C" w14:textId="77777777" w:rsidR="009953CA" w:rsidRPr="001D6D10" w:rsidRDefault="009953CA" w:rsidP="009953CA">
      <w:pPr>
        <w:ind w:firstLineChars="350" w:firstLine="774"/>
        <w:rPr>
          <w:rFonts w:ascii="ＭＳ 明朝" w:hAnsi="ＭＳ 明朝"/>
          <w:sz w:val="22"/>
          <w:szCs w:val="22"/>
        </w:rPr>
      </w:pPr>
    </w:p>
    <w:p w14:paraId="337E92EC" w14:textId="77777777" w:rsidR="009953CA" w:rsidRPr="001D6D10" w:rsidRDefault="009953CA" w:rsidP="009953CA">
      <w:pPr>
        <w:ind w:firstLineChars="350" w:firstLine="774"/>
        <w:rPr>
          <w:rFonts w:ascii="ＭＳ 明朝" w:hAnsi="ＭＳ 明朝"/>
          <w:sz w:val="22"/>
          <w:szCs w:val="22"/>
        </w:rPr>
      </w:pPr>
      <w:r w:rsidRPr="001D6D10">
        <w:rPr>
          <w:rFonts w:ascii="ＭＳ 明朝" w:hAnsi="ＭＳ 明朝" w:hint="eastAsia"/>
          <w:sz w:val="22"/>
          <w:szCs w:val="22"/>
        </w:rPr>
        <w:t>(4)組　　織　室長  危機管理室長</w:t>
      </w:r>
    </w:p>
    <w:p w14:paraId="19D7380F" w14:textId="77777777" w:rsidR="009953CA" w:rsidRPr="001D6D10" w:rsidRDefault="009953CA" w:rsidP="009953CA">
      <w:pPr>
        <w:ind w:firstLineChars="1000" w:firstLine="2211"/>
        <w:rPr>
          <w:rFonts w:ascii="ＭＳ 明朝" w:hAnsi="ＭＳ 明朝"/>
          <w:sz w:val="22"/>
          <w:szCs w:val="22"/>
        </w:rPr>
      </w:pPr>
      <w:r w:rsidRPr="001D6D10">
        <w:rPr>
          <w:rFonts w:ascii="ＭＳ 明朝" w:hAnsi="ＭＳ 明朝" w:hint="eastAsia"/>
          <w:sz w:val="22"/>
          <w:szCs w:val="22"/>
        </w:rPr>
        <w:t>室員  災害対策課長、危機管理室職員</w:t>
      </w:r>
    </w:p>
    <w:p w14:paraId="708E667F" w14:textId="77777777" w:rsidR="009953CA" w:rsidRPr="001D6D10" w:rsidRDefault="009953CA" w:rsidP="009953CA">
      <w:pPr>
        <w:ind w:firstLineChars="1300" w:firstLine="2874"/>
        <w:rPr>
          <w:rFonts w:ascii="ＭＳ 明朝" w:hAnsi="ＭＳ 明朝"/>
          <w:sz w:val="22"/>
          <w:szCs w:val="22"/>
        </w:rPr>
      </w:pPr>
      <w:r w:rsidRPr="001D6D10">
        <w:rPr>
          <w:rFonts w:ascii="ＭＳ 明朝" w:hAnsi="ＭＳ 明朝" w:hint="eastAsia"/>
          <w:sz w:val="22"/>
          <w:szCs w:val="22"/>
        </w:rPr>
        <w:t>※必要に応じ関係部局の職員を追加する。</w:t>
      </w:r>
    </w:p>
    <w:p w14:paraId="21FF082E" w14:textId="77777777" w:rsidR="009953CA" w:rsidRPr="001D6D10" w:rsidRDefault="009953CA" w:rsidP="009953CA">
      <w:pPr>
        <w:rPr>
          <w:rFonts w:ascii="ＭＳ 明朝" w:hAnsi="ＭＳ 明朝"/>
          <w:sz w:val="22"/>
          <w:szCs w:val="22"/>
        </w:rPr>
      </w:pPr>
    </w:p>
    <w:p w14:paraId="4FE991DE" w14:textId="77777777" w:rsidR="009953CA" w:rsidRPr="001D6D10" w:rsidRDefault="009953CA" w:rsidP="00E0548A">
      <w:pPr>
        <w:pStyle w:val="3"/>
        <w:ind w:firstLineChars="0" w:firstLine="0"/>
      </w:pPr>
      <w:bookmarkStart w:id="196" w:name="_Toc122436914"/>
      <w:bookmarkStart w:id="197" w:name="_Toc222486597"/>
      <w:bookmarkStart w:id="198" w:name="_Toc242870267"/>
      <w:r w:rsidRPr="001D6D10">
        <w:rPr>
          <w:rFonts w:hint="eastAsia"/>
        </w:rPr>
        <w:t>第２　大阪府災害等支援対策指令部</w:t>
      </w:r>
      <w:bookmarkEnd w:id="196"/>
      <w:bookmarkEnd w:id="197"/>
      <w:bookmarkEnd w:id="198"/>
    </w:p>
    <w:p w14:paraId="4E8DE496" w14:textId="77777777" w:rsidR="009953CA" w:rsidRPr="001D6D10" w:rsidRDefault="009953CA" w:rsidP="009953CA">
      <w:pPr>
        <w:ind w:leftChars="-54" w:left="1986" w:hangingChars="950" w:hanging="2100"/>
        <w:rPr>
          <w:rFonts w:ascii="ＭＳ 明朝" w:hAnsi="ＭＳ 明朝"/>
          <w:sz w:val="22"/>
          <w:szCs w:val="22"/>
        </w:rPr>
      </w:pPr>
      <w:r w:rsidRPr="001D6D10">
        <w:rPr>
          <w:rFonts w:ascii="ＭＳ 明朝" w:hAnsi="ＭＳ 明朝" w:hint="eastAsia"/>
          <w:sz w:val="22"/>
          <w:szCs w:val="22"/>
        </w:rPr>
        <w:t xml:space="preserve">　　　  (1)目　　的　府域外で大規模な自然災害等が発生した場合に、被災都道府県からの人的・物的応援要請に的確かつ円滑に対応できるよう、大阪府災害等支援対策指令部を設置する。</w:t>
      </w:r>
    </w:p>
    <w:p w14:paraId="348740C2" w14:textId="77777777" w:rsidR="009953CA" w:rsidRPr="001D6D10" w:rsidRDefault="009953CA" w:rsidP="009953CA">
      <w:pPr>
        <w:ind w:left="2100" w:hangingChars="950" w:hanging="2100"/>
        <w:rPr>
          <w:rFonts w:ascii="ＭＳ 明朝" w:hAnsi="ＭＳ 明朝"/>
          <w:sz w:val="22"/>
          <w:szCs w:val="22"/>
        </w:rPr>
      </w:pPr>
    </w:p>
    <w:p w14:paraId="43CC2C64" w14:textId="77777777" w:rsidR="009953CA" w:rsidRPr="001D6D10" w:rsidRDefault="009953CA" w:rsidP="009953CA">
      <w:pPr>
        <w:ind w:leftChars="365" w:left="1987" w:rightChars="-108" w:right="-228" w:hangingChars="550" w:hanging="1216"/>
        <w:rPr>
          <w:rFonts w:ascii="ＭＳ 明朝" w:hAnsi="ＭＳ 明朝"/>
          <w:sz w:val="22"/>
          <w:szCs w:val="22"/>
        </w:rPr>
      </w:pPr>
      <w:r w:rsidRPr="001D6D10">
        <w:rPr>
          <w:rFonts w:ascii="ＭＳ 明朝" w:hAnsi="ＭＳ 明朝" w:hint="eastAsia"/>
          <w:sz w:val="22"/>
          <w:szCs w:val="22"/>
        </w:rPr>
        <w:t>(2)設置基準　支援対策指令部は、大阪府災害等支援対策室設置後、支援対策が本格化し、関係部局の協力を必要と認めるとき、危機管理監の判断により設置する。</w:t>
      </w:r>
    </w:p>
    <w:p w14:paraId="0ACFD0F9" w14:textId="77777777" w:rsidR="009953CA" w:rsidRPr="001D6D10" w:rsidRDefault="009953CA" w:rsidP="009953CA">
      <w:pPr>
        <w:ind w:firstLineChars="900" w:firstLine="1990"/>
        <w:rPr>
          <w:rFonts w:ascii="ＭＳ 明朝" w:hAnsi="ＭＳ 明朝"/>
          <w:sz w:val="22"/>
          <w:szCs w:val="22"/>
        </w:rPr>
      </w:pPr>
    </w:p>
    <w:p w14:paraId="61908F5C" w14:textId="77777777" w:rsidR="009953CA" w:rsidRPr="001D6D10" w:rsidRDefault="009953CA" w:rsidP="009953CA">
      <w:pPr>
        <w:ind w:firstLineChars="350" w:firstLine="774"/>
        <w:rPr>
          <w:rFonts w:ascii="ＭＳ 明朝" w:hAnsi="ＭＳ 明朝"/>
          <w:sz w:val="22"/>
          <w:szCs w:val="22"/>
        </w:rPr>
      </w:pPr>
      <w:r w:rsidRPr="001D6D10">
        <w:rPr>
          <w:rFonts w:ascii="ＭＳ 明朝" w:hAnsi="ＭＳ 明朝" w:hint="eastAsia"/>
          <w:sz w:val="22"/>
          <w:szCs w:val="22"/>
        </w:rPr>
        <w:t>(3)廃止基準・被災地での災害応急対策が、おおむね完了したとき。</w:t>
      </w:r>
    </w:p>
    <w:p w14:paraId="01D8B164" w14:textId="77777777" w:rsidR="009953CA" w:rsidRPr="001D6D10" w:rsidRDefault="009953CA" w:rsidP="009953CA">
      <w:pPr>
        <w:rPr>
          <w:rFonts w:ascii="ＭＳ 明朝" w:hAnsi="ＭＳ 明朝"/>
          <w:sz w:val="22"/>
          <w:szCs w:val="22"/>
        </w:rPr>
      </w:pPr>
      <w:r w:rsidRPr="001D6D10">
        <w:rPr>
          <w:rFonts w:ascii="ＭＳ 明朝" w:hAnsi="ＭＳ 明朝" w:hint="eastAsia"/>
          <w:sz w:val="22"/>
          <w:szCs w:val="22"/>
        </w:rPr>
        <w:t xml:space="preserve">　　　　  　　　　・その他危機管理監が認めたとき。</w:t>
      </w:r>
    </w:p>
    <w:p w14:paraId="7119EB31" w14:textId="77777777" w:rsidR="009953CA" w:rsidRPr="001D6D10" w:rsidRDefault="009953CA" w:rsidP="009953CA">
      <w:pPr>
        <w:ind w:left="1990" w:hangingChars="900" w:hanging="1990"/>
        <w:rPr>
          <w:rFonts w:ascii="ＭＳ 明朝" w:hAnsi="ＭＳ 明朝"/>
          <w:sz w:val="22"/>
          <w:szCs w:val="22"/>
        </w:rPr>
      </w:pPr>
      <w:r w:rsidRPr="001D6D10">
        <w:rPr>
          <w:rFonts w:ascii="ＭＳ 明朝" w:hAnsi="ＭＳ 明朝" w:hint="eastAsia"/>
          <w:sz w:val="22"/>
          <w:szCs w:val="22"/>
        </w:rPr>
        <w:t xml:space="preserve">　　　　　　　　</w:t>
      </w:r>
    </w:p>
    <w:p w14:paraId="0A60BAE8" w14:textId="77777777" w:rsidR="009953CA" w:rsidRPr="001D6D10" w:rsidRDefault="009953CA" w:rsidP="009953CA">
      <w:pPr>
        <w:rPr>
          <w:rFonts w:ascii="ＭＳ 明朝" w:hAnsi="ＭＳ 明朝"/>
          <w:sz w:val="22"/>
          <w:szCs w:val="22"/>
        </w:rPr>
      </w:pPr>
      <w:r w:rsidRPr="001D6D10">
        <w:rPr>
          <w:rFonts w:ascii="ＭＳ 明朝" w:hAnsi="ＭＳ 明朝" w:hint="eastAsia"/>
          <w:sz w:val="22"/>
          <w:szCs w:val="22"/>
        </w:rPr>
        <w:t xml:space="preserve">　　　 (4)本部の組織</w:t>
      </w:r>
    </w:p>
    <w:p w14:paraId="3BEF0350" w14:textId="77777777" w:rsidR="009953CA" w:rsidRPr="001D6D10" w:rsidRDefault="009953CA" w:rsidP="009953CA">
      <w:pPr>
        <w:pStyle w:val="a0"/>
        <w:rPr>
          <w:rFonts w:hAnsi="ＭＳ 明朝"/>
          <w:sz w:val="22"/>
          <w:szCs w:val="22"/>
        </w:rPr>
      </w:pPr>
      <w:r w:rsidRPr="001D6D10">
        <w:rPr>
          <w:rFonts w:hAnsi="ＭＳ 明朝" w:hint="eastAsia"/>
          <w:sz w:val="22"/>
          <w:szCs w:val="22"/>
        </w:rPr>
        <w:t xml:space="preserve">　　　　  　　　　・</w:t>
      </w:r>
      <w:r w:rsidRPr="001D6D10">
        <w:rPr>
          <w:rFonts w:hAnsi="ＭＳ 明朝" w:hint="eastAsia"/>
          <w:spacing w:val="220"/>
          <w:kern w:val="0"/>
          <w:sz w:val="22"/>
          <w:szCs w:val="22"/>
          <w:fitText w:val="880" w:id="-978553856"/>
        </w:rPr>
        <w:t>部</w:t>
      </w:r>
      <w:r w:rsidRPr="001D6D10">
        <w:rPr>
          <w:rFonts w:hAnsi="ＭＳ 明朝" w:hint="eastAsia"/>
          <w:kern w:val="0"/>
          <w:sz w:val="22"/>
          <w:szCs w:val="22"/>
          <w:fitText w:val="880" w:id="-978553856"/>
        </w:rPr>
        <w:t>長</w:t>
      </w:r>
      <w:r w:rsidRPr="001D6D10">
        <w:rPr>
          <w:rFonts w:hAnsi="ＭＳ 明朝" w:hint="eastAsia"/>
          <w:kern w:val="0"/>
          <w:sz w:val="22"/>
          <w:szCs w:val="22"/>
        </w:rPr>
        <w:t xml:space="preserve">  危機管理監</w:t>
      </w:r>
    </w:p>
    <w:p w14:paraId="5B5EF445" w14:textId="77777777" w:rsidR="009953CA" w:rsidRPr="00E0548A" w:rsidRDefault="009953CA" w:rsidP="009953CA">
      <w:pPr>
        <w:pStyle w:val="a0"/>
        <w:ind w:firstLineChars="900" w:firstLine="1990"/>
        <w:rPr>
          <w:rFonts w:hAnsi="ＭＳ 明朝"/>
          <w:sz w:val="22"/>
          <w:szCs w:val="22"/>
        </w:rPr>
      </w:pPr>
      <w:r w:rsidRPr="001D6D10">
        <w:rPr>
          <w:rFonts w:hAnsi="ＭＳ 明朝" w:hint="eastAsia"/>
          <w:sz w:val="22"/>
          <w:szCs w:val="22"/>
        </w:rPr>
        <w:t>・</w:t>
      </w:r>
      <w:r w:rsidRPr="001D6D10">
        <w:rPr>
          <w:rFonts w:hAnsi="ＭＳ 明朝" w:hint="eastAsia"/>
          <w:spacing w:val="110"/>
          <w:w w:val="66"/>
          <w:kern w:val="0"/>
          <w:sz w:val="22"/>
          <w:szCs w:val="22"/>
          <w:fitText w:val="884" w:id="-978553855"/>
        </w:rPr>
        <w:t>副部</w:t>
      </w:r>
      <w:r w:rsidRPr="001D6D10">
        <w:rPr>
          <w:rFonts w:hAnsi="ＭＳ 明朝" w:hint="eastAsia"/>
          <w:spacing w:val="10"/>
          <w:w w:val="66"/>
          <w:kern w:val="0"/>
          <w:sz w:val="22"/>
          <w:szCs w:val="22"/>
          <w:fitText w:val="884" w:id="-978553855"/>
        </w:rPr>
        <w:t>長</w:t>
      </w:r>
      <w:r w:rsidRPr="001D6D10">
        <w:rPr>
          <w:rFonts w:hAnsi="ＭＳ 明朝" w:hint="eastAsia"/>
          <w:sz w:val="22"/>
          <w:szCs w:val="22"/>
        </w:rPr>
        <w:t xml:space="preserve">  </w:t>
      </w:r>
      <w:r w:rsidRPr="00E0548A">
        <w:rPr>
          <w:rFonts w:hAnsi="ＭＳ 明朝" w:hint="eastAsia"/>
          <w:sz w:val="22"/>
          <w:szCs w:val="22"/>
        </w:rPr>
        <w:t>危機管理室長</w:t>
      </w:r>
    </w:p>
    <w:p w14:paraId="64CDDD98" w14:textId="77777777" w:rsidR="009953CA" w:rsidRPr="00E0548A" w:rsidRDefault="009953CA" w:rsidP="009953CA">
      <w:pPr>
        <w:pStyle w:val="a0"/>
        <w:ind w:leftChars="956" w:left="3095" w:hangingChars="487" w:hanging="1077"/>
        <w:rPr>
          <w:rFonts w:hAnsi="ＭＳ 明朝"/>
          <w:sz w:val="22"/>
          <w:szCs w:val="22"/>
        </w:rPr>
      </w:pPr>
      <w:r w:rsidRPr="00E0548A">
        <w:rPr>
          <w:rFonts w:hAnsi="ＭＳ 明朝" w:hint="eastAsia"/>
          <w:sz w:val="22"/>
          <w:szCs w:val="22"/>
        </w:rPr>
        <w:t>・</w:t>
      </w:r>
      <w:r w:rsidRPr="00E0548A">
        <w:rPr>
          <w:rFonts w:hAnsi="ＭＳ 明朝" w:hint="eastAsia"/>
          <w:spacing w:val="220"/>
          <w:kern w:val="0"/>
          <w:sz w:val="22"/>
          <w:szCs w:val="22"/>
          <w:fitText w:val="880" w:id="-978553854"/>
        </w:rPr>
        <w:t>部</w:t>
      </w:r>
      <w:r w:rsidRPr="00E0548A">
        <w:rPr>
          <w:rFonts w:hAnsi="ＭＳ 明朝" w:hint="eastAsia"/>
          <w:kern w:val="0"/>
          <w:sz w:val="22"/>
          <w:szCs w:val="22"/>
          <w:fitText w:val="880" w:id="-978553854"/>
        </w:rPr>
        <w:t>員</w:t>
      </w:r>
      <w:r w:rsidRPr="00E0548A">
        <w:rPr>
          <w:rFonts w:hAnsi="ＭＳ 明朝" w:hint="eastAsia"/>
          <w:sz w:val="22"/>
          <w:szCs w:val="22"/>
        </w:rPr>
        <w:t xml:space="preserve">  災害対策課長、防災企画課長、消防保安課長、</w:t>
      </w:r>
    </w:p>
    <w:p w14:paraId="48BB0AF3" w14:textId="77777777" w:rsidR="009953CA" w:rsidRPr="00E0548A" w:rsidRDefault="009953CA" w:rsidP="009953CA">
      <w:pPr>
        <w:pStyle w:val="a0"/>
        <w:ind w:leftChars="1400" w:left="2955"/>
        <w:rPr>
          <w:rFonts w:hAnsi="ＭＳ 明朝"/>
          <w:sz w:val="22"/>
          <w:szCs w:val="22"/>
        </w:rPr>
      </w:pPr>
      <w:r w:rsidRPr="00E0548A">
        <w:rPr>
          <w:rFonts w:hAnsi="ＭＳ 明朝" w:hint="eastAsia"/>
          <w:sz w:val="22"/>
          <w:szCs w:val="22"/>
        </w:rPr>
        <w:t>政策企画総務課長、企画室政策課参事、法務課長、人事課長、財政課長、スマートシティ戦略総務課長、府民文化総務課長、福祉総務課長、健康医療総務課長、</w:t>
      </w:r>
    </w:p>
    <w:p w14:paraId="4A9FFA59" w14:textId="38C8A87E" w:rsidR="009953CA" w:rsidRPr="00E0548A" w:rsidRDefault="006D1D41" w:rsidP="009953CA">
      <w:pPr>
        <w:pStyle w:val="a0"/>
        <w:ind w:leftChars="1400" w:left="2955"/>
        <w:rPr>
          <w:rFonts w:hAnsi="ＭＳ 明朝"/>
          <w:sz w:val="22"/>
          <w:szCs w:val="22"/>
        </w:rPr>
      </w:pPr>
      <w:r w:rsidRPr="00E0548A">
        <w:rPr>
          <w:rFonts w:hAnsi="ＭＳ 明朝" w:hint="eastAsia"/>
          <w:sz w:val="22"/>
          <w:szCs w:val="22"/>
        </w:rPr>
        <w:t>医療・感染症対策課</w:t>
      </w:r>
      <w:r w:rsidR="009953CA" w:rsidRPr="00E0548A">
        <w:rPr>
          <w:rFonts w:hAnsi="ＭＳ 明朝" w:hint="eastAsia"/>
          <w:sz w:val="22"/>
          <w:szCs w:val="22"/>
        </w:rPr>
        <w:t>長、商工労働総務課長、環境農林水産総務課長、</w:t>
      </w:r>
    </w:p>
    <w:p w14:paraId="7653FBA6" w14:textId="77777777" w:rsidR="009953CA" w:rsidRPr="001D6D10" w:rsidRDefault="009953CA" w:rsidP="009953CA">
      <w:pPr>
        <w:pStyle w:val="a0"/>
        <w:ind w:leftChars="1400" w:left="2955"/>
        <w:rPr>
          <w:rFonts w:hAnsi="ＭＳ 明朝"/>
          <w:sz w:val="22"/>
          <w:szCs w:val="22"/>
        </w:rPr>
      </w:pPr>
      <w:r w:rsidRPr="00E0548A">
        <w:rPr>
          <w:rFonts w:hAnsi="ＭＳ 明朝" w:hint="eastAsia"/>
          <w:sz w:val="22"/>
          <w:szCs w:val="22"/>
        </w:rPr>
        <w:t>都市整備総務課長、計画推進室総務企画課長、大阪港湾局</w:t>
      </w:r>
      <w:r w:rsidRPr="001D6D10">
        <w:rPr>
          <w:rFonts w:hAnsi="ＭＳ 明朝" w:hint="eastAsia"/>
          <w:sz w:val="22"/>
          <w:szCs w:val="22"/>
        </w:rPr>
        <w:t>計画調整担当課長、会計総務課長、教育総務企画課長</w:t>
      </w:r>
    </w:p>
    <w:p w14:paraId="0EEA0EE9" w14:textId="77777777" w:rsidR="009953CA" w:rsidRPr="001D6D10" w:rsidRDefault="009953CA" w:rsidP="009953CA">
      <w:pPr>
        <w:ind w:firstLineChars="200" w:firstLine="442"/>
        <w:rPr>
          <w:rFonts w:ascii="ＭＳ ゴシック" w:eastAsia="ＭＳ ゴシック" w:hAnsi="ＭＳ ゴシック"/>
          <w:sz w:val="22"/>
          <w:szCs w:val="22"/>
        </w:rPr>
      </w:pPr>
    </w:p>
    <w:p w14:paraId="444AC102" w14:textId="77777777" w:rsidR="009953CA" w:rsidRPr="001D6D10" w:rsidRDefault="009953CA" w:rsidP="009953CA">
      <w:pPr>
        <w:numPr>
          <w:ilvl w:val="0"/>
          <w:numId w:val="27"/>
        </w:numPr>
        <w:rPr>
          <w:rFonts w:ascii="ＭＳ 明朝" w:hAnsi="ＭＳ 明朝"/>
          <w:sz w:val="22"/>
          <w:szCs w:val="22"/>
        </w:rPr>
      </w:pPr>
      <w:r w:rsidRPr="001D6D10">
        <w:rPr>
          <w:rFonts w:ascii="ＭＳ 明朝" w:hAnsi="ＭＳ 明朝" w:hint="eastAsia"/>
          <w:sz w:val="22"/>
          <w:szCs w:val="22"/>
        </w:rPr>
        <w:t>支援の内容に応じて、部員を限定又は追加することができる。</w:t>
      </w:r>
    </w:p>
    <w:p w14:paraId="02DB44B2" w14:textId="77777777" w:rsidR="009953CA" w:rsidRPr="001D6D10" w:rsidRDefault="009953CA" w:rsidP="009953CA">
      <w:pPr>
        <w:ind w:leftChars="200" w:left="2080" w:hangingChars="750" w:hanging="1658"/>
        <w:rPr>
          <w:rFonts w:ascii="ＭＳ 明朝" w:hAnsi="ＭＳ 明朝"/>
          <w:sz w:val="22"/>
          <w:szCs w:val="22"/>
        </w:rPr>
      </w:pPr>
      <w:r w:rsidRPr="001D6D10">
        <w:rPr>
          <w:rFonts w:ascii="ＭＳ 明朝" w:hAnsi="ＭＳ 明朝" w:hint="eastAsia"/>
          <w:sz w:val="22"/>
          <w:szCs w:val="22"/>
        </w:rPr>
        <w:t xml:space="preserve">　　　　　　　 必要と認める関係者に対し、支援対策指令部会議に出席を求めることができる。</w:t>
      </w:r>
    </w:p>
    <w:p w14:paraId="30E70169" w14:textId="50AC621F" w:rsidR="00254093" w:rsidRDefault="00254093">
      <w:pPr>
        <w:widowControl/>
        <w:jc w:val="left"/>
        <w:rPr>
          <w:rFonts w:ascii="ＭＳ 明朝" w:hAnsi="ＭＳ 明朝"/>
          <w:sz w:val="22"/>
          <w:szCs w:val="22"/>
        </w:rPr>
      </w:pPr>
      <w:r>
        <w:rPr>
          <w:rFonts w:ascii="ＭＳ 明朝" w:hAnsi="ＭＳ 明朝"/>
          <w:sz w:val="22"/>
          <w:szCs w:val="22"/>
        </w:rPr>
        <w:br w:type="page"/>
      </w:r>
    </w:p>
    <w:p w14:paraId="41F4E646" w14:textId="63B1D9CC" w:rsidR="009953CA" w:rsidRPr="001D6D10" w:rsidRDefault="009953CA">
      <w:pPr>
        <w:pStyle w:val="3"/>
        <w:ind w:firstLine="442"/>
      </w:pPr>
      <w:bookmarkStart w:id="199" w:name="_Toc122436915"/>
      <w:bookmarkStart w:id="200" w:name="_Toc222486598"/>
      <w:bookmarkStart w:id="201" w:name="_Toc242870268"/>
      <w:r w:rsidRPr="001D6D10">
        <w:rPr>
          <w:rFonts w:hint="eastAsia"/>
        </w:rPr>
        <w:lastRenderedPageBreak/>
        <w:t>第３　大阪府災害等支援対策本部</w:t>
      </w:r>
      <w:bookmarkEnd w:id="199"/>
      <w:bookmarkEnd w:id="200"/>
      <w:bookmarkEnd w:id="201"/>
    </w:p>
    <w:p w14:paraId="6B32E1F8" w14:textId="77777777" w:rsidR="009953CA" w:rsidRPr="001D6D10" w:rsidRDefault="009953CA" w:rsidP="009953CA">
      <w:pPr>
        <w:ind w:left="1548" w:rightChars="-175" w:right="-369" w:hangingChars="700" w:hanging="1548"/>
        <w:rPr>
          <w:rFonts w:ascii="ＭＳ 明朝" w:hAnsi="ＭＳ 明朝"/>
          <w:sz w:val="22"/>
          <w:szCs w:val="22"/>
        </w:rPr>
      </w:pPr>
      <w:r w:rsidRPr="001D6D10">
        <w:rPr>
          <w:rFonts w:ascii="ＭＳ 明朝" w:hAnsi="ＭＳ 明朝" w:hint="eastAsia"/>
          <w:sz w:val="22"/>
          <w:szCs w:val="22"/>
        </w:rPr>
        <w:t xml:space="preserve">  (1)目　　的　府域外で大規模な自然災害等が発生した場合に、被災都道府県からの人的・物的応援要請に的確かつ円滑に対応できるよう、大阪府災害等支援対策本部を設置する。</w:t>
      </w:r>
    </w:p>
    <w:p w14:paraId="1A13DF6E" w14:textId="77777777" w:rsidR="009953CA" w:rsidRPr="001D6D10" w:rsidRDefault="009953CA" w:rsidP="009953CA">
      <w:pPr>
        <w:ind w:left="442" w:rightChars="-175" w:right="-369" w:hangingChars="200" w:hanging="442"/>
        <w:rPr>
          <w:rFonts w:ascii="ＭＳ 明朝" w:hAnsi="ＭＳ 明朝"/>
          <w:sz w:val="22"/>
          <w:szCs w:val="22"/>
        </w:rPr>
      </w:pPr>
    </w:p>
    <w:p w14:paraId="076F4E04" w14:textId="77777777" w:rsidR="009953CA" w:rsidRPr="001D6D10" w:rsidRDefault="009953CA" w:rsidP="009953CA">
      <w:pPr>
        <w:ind w:leftChars="100" w:left="1538" w:rightChars="-175" w:right="-369" w:hangingChars="600" w:hanging="1327"/>
        <w:rPr>
          <w:rFonts w:ascii="ＭＳ 明朝" w:hAnsi="ＭＳ 明朝"/>
          <w:sz w:val="22"/>
          <w:szCs w:val="22"/>
        </w:rPr>
      </w:pPr>
      <w:r w:rsidRPr="001D6D10">
        <w:rPr>
          <w:rFonts w:ascii="ＭＳ 明朝" w:hAnsi="ＭＳ 明朝" w:hint="eastAsia"/>
          <w:sz w:val="22"/>
          <w:szCs w:val="22"/>
        </w:rPr>
        <w:t>(2)設置基準　支援対策本部は、大阪府内の被害状況を勘案の上、次に掲げる設置基準に該当する場合で、知事</w:t>
      </w:r>
      <w:proofErr w:type="gramStart"/>
      <w:r w:rsidRPr="001D6D10">
        <w:rPr>
          <w:rFonts w:ascii="ＭＳ 明朝" w:hAnsi="ＭＳ 明朝" w:hint="eastAsia"/>
          <w:sz w:val="22"/>
          <w:szCs w:val="22"/>
        </w:rPr>
        <w:t>が</w:t>
      </w:r>
      <w:proofErr w:type="gramEnd"/>
      <w:r w:rsidRPr="001D6D10">
        <w:rPr>
          <w:rFonts w:ascii="ＭＳ 明朝" w:hAnsi="ＭＳ 明朝" w:hint="eastAsia"/>
          <w:sz w:val="22"/>
          <w:szCs w:val="22"/>
        </w:rPr>
        <w:t>全庁的対応</w:t>
      </w:r>
      <w:proofErr w:type="gramStart"/>
      <w:r w:rsidRPr="001D6D10">
        <w:rPr>
          <w:rFonts w:ascii="ＭＳ 明朝" w:hAnsi="ＭＳ 明朝" w:hint="eastAsia"/>
          <w:sz w:val="22"/>
          <w:szCs w:val="22"/>
        </w:rPr>
        <w:t>が</w:t>
      </w:r>
      <w:proofErr w:type="gramEnd"/>
      <w:r w:rsidRPr="001D6D10">
        <w:rPr>
          <w:rFonts w:ascii="ＭＳ 明朝" w:hAnsi="ＭＳ 明朝" w:hint="eastAsia"/>
          <w:sz w:val="22"/>
          <w:szCs w:val="22"/>
        </w:rPr>
        <w:t>必要と認めたとき</w:t>
      </w:r>
    </w:p>
    <w:p w14:paraId="541094C4" w14:textId="77777777" w:rsidR="009953CA" w:rsidRPr="001D6D10" w:rsidRDefault="009953CA" w:rsidP="009953CA">
      <w:pPr>
        <w:ind w:leftChars="700" w:left="1699" w:rightChars="-175" w:right="-369" w:hangingChars="100" w:hanging="221"/>
        <w:rPr>
          <w:rFonts w:ascii="ＭＳ 明朝" w:hAnsi="ＭＳ 明朝"/>
          <w:sz w:val="22"/>
          <w:szCs w:val="22"/>
        </w:rPr>
      </w:pPr>
      <w:r w:rsidRPr="001D6D10">
        <w:rPr>
          <w:rFonts w:ascii="ＭＳ 明朝" w:hAnsi="ＭＳ 明朝" w:hint="eastAsia"/>
          <w:sz w:val="22"/>
          <w:szCs w:val="22"/>
        </w:rPr>
        <w:t>・関西広域連合域内において震度６弱以上、関西広域連合域外において震度６強以上の震度を観測し、かつ甚大な被害が推測されるとき</w:t>
      </w:r>
    </w:p>
    <w:p w14:paraId="1B280E94" w14:textId="77777777" w:rsidR="009953CA" w:rsidRPr="001D6D10" w:rsidRDefault="009953CA" w:rsidP="009953CA">
      <w:pPr>
        <w:ind w:leftChars="200" w:left="422" w:rightChars="-175" w:right="-369" w:firstLineChars="450" w:firstLine="995"/>
        <w:rPr>
          <w:rFonts w:ascii="ＭＳ 明朝" w:hAnsi="ＭＳ 明朝"/>
          <w:sz w:val="22"/>
          <w:szCs w:val="22"/>
        </w:rPr>
      </w:pPr>
      <w:r w:rsidRPr="001D6D10">
        <w:rPr>
          <w:rFonts w:ascii="ＭＳ 明朝" w:hAnsi="ＭＳ 明朝" w:hint="eastAsia"/>
          <w:sz w:val="22"/>
          <w:szCs w:val="22"/>
        </w:rPr>
        <w:t>・府域外において大規模な風水害が発生したとき</w:t>
      </w:r>
    </w:p>
    <w:p w14:paraId="6AC40267" w14:textId="27D3EBE2" w:rsidR="009953CA" w:rsidRPr="001D6D10" w:rsidRDefault="009953CA" w:rsidP="008167AA">
      <w:pPr>
        <w:ind w:leftChars="671" w:left="1591" w:rightChars="-175" w:right="-369" w:hangingChars="79" w:hanging="175"/>
        <w:rPr>
          <w:rFonts w:ascii="ＭＳ 明朝" w:hAnsi="ＭＳ 明朝"/>
          <w:sz w:val="22"/>
          <w:szCs w:val="22"/>
        </w:rPr>
      </w:pPr>
      <w:r w:rsidRPr="001D6D10">
        <w:rPr>
          <w:rFonts w:ascii="ＭＳ 明朝" w:hAnsi="ＭＳ 明朝" w:hint="eastAsia"/>
          <w:sz w:val="22"/>
          <w:szCs w:val="22"/>
        </w:rPr>
        <w:t>・その他府域外において大規模又は社会的影響の大きな事件・事故が発生したとき</w:t>
      </w:r>
    </w:p>
    <w:p w14:paraId="7C9D23EC" w14:textId="77777777" w:rsidR="009953CA" w:rsidRPr="001D6D10" w:rsidRDefault="009953CA" w:rsidP="009953CA">
      <w:pPr>
        <w:ind w:left="442" w:rightChars="-175" w:right="-369" w:hangingChars="200" w:hanging="442"/>
        <w:rPr>
          <w:rFonts w:ascii="ＭＳ 明朝" w:hAnsi="ＭＳ 明朝"/>
          <w:sz w:val="22"/>
          <w:szCs w:val="22"/>
        </w:rPr>
      </w:pPr>
    </w:p>
    <w:p w14:paraId="33781443" w14:textId="77777777" w:rsidR="009953CA" w:rsidRPr="001D6D10" w:rsidRDefault="009953CA" w:rsidP="009953CA">
      <w:pPr>
        <w:ind w:leftChars="100" w:left="432" w:rightChars="-175" w:right="-369" w:hangingChars="100" w:hanging="221"/>
        <w:rPr>
          <w:rFonts w:ascii="ＭＳ 明朝" w:hAnsi="ＭＳ 明朝"/>
          <w:sz w:val="22"/>
          <w:szCs w:val="22"/>
        </w:rPr>
      </w:pPr>
      <w:r w:rsidRPr="001D6D10">
        <w:rPr>
          <w:rFonts w:ascii="ＭＳ 明朝" w:hAnsi="ＭＳ 明朝" w:hint="eastAsia"/>
          <w:sz w:val="22"/>
          <w:szCs w:val="22"/>
        </w:rPr>
        <w:t>(3)廃止基準 ・被災地での災害応急対策が、おおむね完了したとき。</w:t>
      </w:r>
    </w:p>
    <w:p w14:paraId="20AE2E2D" w14:textId="77777777" w:rsidR="009953CA" w:rsidRPr="001D6D10" w:rsidRDefault="009953CA" w:rsidP="009953CA">
      <w:pPr>
        <w:ind w:leftChars="100" w:left="432" w:rightChars="-175" w:right="-369" w:hangingChars="100" w:hanging="221"/>
        <w:rPr>
          <w:rFonts w:ascii="ＭＳ 明朝" w:hAnsi="ＭＳ 明朝"/>
          <w:sz w:val="22"/>
          <w:szCs w:val="22"/>
        </w:rPr>
      </w:pPr>
      <w:r w:rsidRPr="001D6D10">
        <w:rPr>
          <w:rFonts w:ascii="ＭＳ 明朝" w:hAnsi="ＭＳ 明朝" w:hint="eastAsia"/>
          <w:sz w:val="22"/>
          <w:szCs w:val="22"/>
        </w:rPr>
        <w:t xml:space="preserve">　  　　　　・その他知事が認めたとき。</w:t>
      </w:r>
    </w:p>
    <w:p w14:paraId="552E3409" w14:textId="77777777" w:rsidR="009953CA" w:rsidRPr="001D6D10" w:rsidRDefault="009953CA" w:rsidP="009953CA">
      <w:pPr>
        <w:ind w:left="442" w:rightChars="-175" w:right="-369" w:hangingChars="200" w:hanging="442"/>
        <w:rPr>
          <w:rFonts w:ascii="ＭＳ 明朝" w:hAnsi="ＭＳ 明朝"/>
          <w:sz w:val="22"/>
          <w:szCs w:val="22"/>
        </w:rPr>
      </w:pPr>
    </w:p>
    <w:p w14:paraId="688F263E" w14:textId="77777777" w:rsidR="009953CA" w:rsidRPr="001D6D10" w:rsidRDefault="009953CA" w:rsidP="009953CA">
      <w:pPr>
        <w:ind w:left="442" w:rightChars="-175" w:right="-369" w:hangingChars="200" w:hanging="442"/>
        <w:rPr>
          <w:rFonts w:ascii="ＭＳ 明朝" w:hAnsi="ＭＳ 明朝"/>
          <w:sz w:val="22"/>
          <w:szCs w:val="22"/>
        </w:rPr>
      </w:pPr>
      <w:r w:rsidRPr="001D6D10">
        <w:rPr>
          <w:rFonts w:ascii="ＭＳ 明朝" w:hAnsi="ＭＳ 明朝" w:hint="eastAsia"/>
          <w:sz w:val="22"/>
          <w:szCs w:val="22"/>
        </w:rPr>
        <w:t xml:space="preserve">　(4)本部の組織</w:t>
      </w:r>
    </w:p>
    <w:p w14:paraId="56BB04B8" w14:textId="77777777" w:rsidR="009953CA" w:rsidRPr="001D6D10" w:rsidRDefault="009953CA" w:rsidP="009953CA">
      <w:pPr>
        <w:ind w:left="442" w:rightChars="-175" w:right="-369" w:hangingChars="200" w:hanging="442"/>
        <w:rPr>
          <w:rFonts w:ascii="ＭＳ 明朝" w:hAnsi="ＭＳ 明朝"/>
          <w:sz w:val="22"/>
          <w:szCs w:val="22"/>
        </w:rPr>
      </w:pPr>
      <w:r w:rsidRPr="001D6D10">
        <w:rPr>
          <w:rFonts w:ascii="ＭＳ 明朝" w:hAnsi="ＭＳ 明朝" w:hint="eastAsia"/>
          <w:sz w:val="22"/>
          <w:szCs w:val="22"/>
        </w:rPr>
        <w:t xml:space="preserve">　　  　　　　・本部長  知　事</w:t>
      </w:r>
    </w:p>
    <w:p w14:paraId="5FB0EBC5" w14:textId="77777777" w:rsidR="009953CA" w:rsidRPr="001D6D10" w:rsidRDefault="009953CA" w:rsidP="009953CA">
      <w:pPr>
        <w:ind w:leftChars="200" w:left="422" w:rightChars="-175" w:right="-369" w:firstLineChars="500" w:firstLine="1105"/>
        <w:rPr>
          <w:rFonts w:ascii="ＭＳ 明朝" w:hAnsi="ＭＳ 明朝"/>
          <w:sz w:val="22"/>
          <w:szCs w:val="22"/>
        </w:rPr>
      </w:pPr>
      <w:r w:rsidRPr="001D6D10">
        <w:rPr>
          <w:rFonts w:ascii="ＭＳ 明朝" w:hAnsi="ＭＳ 明朝" w:hint="eastAsia"/>
          <w:sz w:val="22"/>
          <w:szCs w:val="22"/>
        </w:rPr>
        <w:t>・副本部長  副知事及び危機管理監</w:t>
      </w:r>
    </w:p>
    <w:p w14:paraId="2151D81C" w14:textId="77777777" w:rsidR="009953CA" w:rsidRPr="001D6D10" w:rsidRDefault="009953CA" w:rsidP="009953CA">
      <w:pPr>
        <w:ind w:leftChars="200" w:left="422" w:rightChars="-175" w:right="-369" w:firstLineChars="500" w:firstLine="1105"/>
        <w:rPr>
          <w:rFonts w:ascii="ＭＳ 明朝" w:hAnsi="ＭＳ 明朝"/>
          <w:sz w:val="22"/>
          <w:szCs w:val="22"/>
        </w:rPr>
      </w:pPr>
      <w:r w:rsidRPr="001D6D10">
        <w:rPr>
          <w:rFonts w:ascii="ＭＳ 明朝" w:hAnsi="ＭＳ 明朝" w:hint="eastAsia"/>
          <w:sz w:val="22"/>
          <w:szCs w:val="22"/>
        </w:rPr>
        <w:t>・本部員  政策企画部長、報道監、危機管理室長、総務部長、</w:t>
      </w:r>
    </w:p>
    <w:p w14:paraId="5BDC6118" w14:textId="77777777" w:rsidR="009953CA" w:rsidRPr="001D6D10" w:rsidRDefault="009953CA" w:rsidP="009953CA">
      <w:pPr>
        <w:ind w:leftChars="200" w:left="422" w:rightChars="-175" w:right="-369" w:firstLineChars="600" w:firstLine="1327"/>
        <w:rPr>
          <w:rFonts w:ascii="ＭＳ 明朝" w:hAnsi="ＭＳ 明朝"/>
          <w:sz w:val="22"/>
          <w:szCs w:val="22"/>
        </w:rPr>
      </w:pPr>
      <w:r w:rsidRPr="001D6D10">
        <w:rPr>
          <w:rFonts w:ascii="ＭＳ 明朝" w:hAnsi="ＭＳ 明朝" w:hint="eastAsia"/>
          <w:sz w:val="22"/>
          <w:szCs w:val="22"/>
        </w:rPr>
        <w:t>財務部長、スマートシティ戦略部長、府民文化部長、</w:t>
      </w:r>
    </w:p>
    <w:p w14:paraId="3085B507" w14:textId="77777777" w:rsidR="009953CA" w:rsidRPr="001D6D10" w:rsidRDefault="009953CA" w:rsidP="009953CA">
      <w:pPr>
        <w:ind w:leftChars="200" w:left="422" w:rightChars="-175" w:right="-369" w:firstLineChars="600" w:firstLine="1327"/>
        <w:rPr>
          <w:rFonts w:ascii="ＭＳ 明朝" w:hAnsi="ＭＳ 明朝"/>
          <w:sz w:val="22"/>
          <w:szCs w:val="22"/>
        </w:rPr>
      </w:pPr>
      <w:r w:rsidRPr="001D6D10">
        <w:rPr>
          <w:rFonts w:ascii="ＭＳ 明朝" w:hAnsi="ＭＳ 明朝" w:hint="eastAsia"/>
          <w:sz w:val="22"/>
          <w:szCs w:val="22"/>
        </w:rPr>
        <w:t>福祉部長、健康医療部長、商工労働部長、環境農林水産部長、都市整備部長、</w:t>
      </w:r>
    </w:p>
    <w:p w14:paraId="147EA92F" w14:textId="77777777" w:rsidR="009953CA" w:rsidRPr="001D6D10" w:rsidRDefault="009953CA" w:rsidP="009953CA">
      <w:pPr>
        <w:ind w:leftChars="200" w:left="422" w:rightChars="-175" w:right="-369" w:firstLineChars="600" w:firstLine="1327"/>
        <w:rPr>
          <w:rFonts w:ascii="ＭＳ 明朝" w:hAnsi="ＭＳ 明朝"/>
          <w:sz w:val="22"/>
          <w:szCs w:val="22"/>
        </w:rPr>
      </w:pPr>
      <w:r w:rsidRPr="001D6D10">
        <w:rPr>
          <w:rFonts w:ascii="ＭＳ 明朝" w:hAnsi="ＭＳ 明朝" w:hint="eastAsia"/>
          <w:sz w:val="22"/>
          <w:szCs w:val="22"/>
        </w:rPr>
        <w:t>大阪都市計画局長、大阪港湾局長、会計管理者、</w:t>
      </w:r>
    </w:p>
    <w:p w14:paraId="5A2D292B" w14:textId="77777777" w:rsidR="009953CA" w:rsidRPr="001D6D10" w:rsidRDefault="009953CA" w:rsidP="009953CA">
      <w:pPr>
        <w:ind w:leftChars="200" w:left="422" w:rightChars="-175" w:right="-369" w:firstLineChars="600" w:firstLine="1327"/>
        <w:rPr>
          <w:rFonts w:ascii="ＭＳ 明朝" w:hAnsi="ＭＳ 明朝"/>
          <w:sz w:val="22"/>
          <w:szCs w:val="22"/>
        </w:rPr>
      </w:pPr>
      <w:r w:rsidRPr="001D6D10">
        <w:rPr>
          <w:rFonts w:ascii="ＭＳ 明朝" w:hAnsi="ＭＳ 明朝" w:hint="eastAsia"/>
          <w:sz w:val="22"/>
          <w:szCs w:val="22"/>
        </w:rPr>
        <w:t>教育長</w:t>
      </w:r>
    </w:p>
    <w:p w14:paraId="11914033" w14:textId="77777777" w:rsidR="009953CA" w:rsidRPr="001D6D10" w:rsidRDefault="009953CA" w:rsidP="009953CA">
      <w:pPr>
        <w:ind w:left="442" w:rightChars="-175" w:right="-369" w:hangingChars="200" w:hanging="442"/>
        <w:rPr>
          <w:rFonts w:ascii="ＭＳ 明朝" w:hAnsi="ＭＳ 明朝"/>
          <w:sz w:val="22"/>
          <w:szCs w:val="22"/>
        </w:rPr>
      </w:pPr>
      <w:r w:rsidRPr="001D6D10">
        <w:rPr>
          <w:rFonts w:ascii="ＭＳ 明朝" w:hAnsi="ＭＳ 明朝" w:hint="eastAsia"/>
          <w:sz w:val="22"/>
          <w:szCs w:val="22"/>
        </w:rPr>
        <w:t xml:space="preserve">　　</w:t>
      </w:r>
    </w:p>
    <w:p w14:paraId="0C589562" w14:textId="77777777" w:rsidR="009953CA" w:rsidRPr="001D6D10" w:rsidRDefault="009953CA">
      <w:pPr>
        <w:pStyle w:val="3"/>
        <w:ind w:firstLine="442"/>
      </w:pPr>
      <w:bookmarkStart w:id="202" w:name="_Toc122436916"/>
      <w:bookmarkStart w:id="203" w:name="_Toc222486599"/>
      <w:bookmarkStart w:id="204" w:name="_Toc242870269"/>
      <w:r w:rsidRPr="001D6D10">
        <w:rPr>
          <w:rFonts w:hint="eastAsia"/>
        </w:rPr>
        <w:t>第４　災害等支援対策本部等の事務局体制</w:t>
      </w:r>
      <w:bookmarkEnd w:id="202"/>
      <w:bookmarkEnd w:id="203"/>
      <w:bookmarkEnd w:id="204"/>
    </w:p>
    <w:p w14:paraId="3D679490" w14:textId="77777777" w:rsidR="009953CA" w:rsidRPr="001D6D10" w:rsidRDefault="009953CA" w:rsidP="009953CA">
      <w:pPr>
        <w:ind w:leftChars="200" w:left="422" w:rightChars="-175" w:right="-369" w:firstLineChars="100" w:firstLine="221"/>
        <w:rPr>
          <w:rFonts w:ascii="ＭＳ 明朝" w:hAnsi="ＭＳ 明朝"/>
          <w:sz w:val="22"/>
          <w:szCs w:val="22"/>
        </w:rPr>
      </w:pPr>
      <w:r w:rsidRPr="001D6D10">
        <w:rPr>
          <w:rFonts w:ascii="ＭＳ 明朝" w:hAnsi="ＭＳ 明朝" w:hint="eastAsia"/>
          <w:sz w:val="22"/>
          <w:szCs w:val="22"/>
        </w:rPr>
        <w:t>指令部長は、災害等支援対策指令部及び災害等支援対策本部の運営を円滑に行うため、次表のとおり事務局職員を招集する。</w:t>
      </w:r>
    </w:p>
    <w:p w14:paraId="49BB287C" w14:textId="77777777" w:rsidR="009953CA" w:rsidRPr="001D6D10" w:rsidRDefault="009953CA" w:rsidP="009953CA">
      <w:pPr>
        <w:ind w:left="442" w:rightChars="-175" w:right="-369" w:hangingChars="200" w:hanging="442"/>
        <w:rPr>
          <w:rFonts w:ascii="ＭＳ 明朝" w:hAnsi="ＭＳ 明朝"/>
          <w:sz w:val="22"/>
          <w:szCs w:val="22"/>
        </w:rPr>
      </w:pPr>
      <w:r w:rsidRPr="001D6D10">
        <w:rPr>
          <w:rFonts w:ascii="ＭＳ 明朝" w:hAnsi="ＭＳ 明朝" w:hint="eastAsia"/>
          <w:sz w:val="22"/>
          <w:szCs w:val="22"/>
        </w:rPr>
        <w:t xml:space="preserve">　　　なお、事務局体制については、時間経過によって変化する被災地での災害応急対策に柔軟に対応するため、指令部長は、必要に応じ、事務局職員の員数を増減することができるものとする。</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55"/>
        <w:gridCol w:w="6345"/>
      </w:tblGrid>
      <w:tr w:rsidR="001D6D10" w:rsidRPr="001D6D10" w14:paraId="06B44435" w14:textId="77777777" w:rsidTr="00300E31">
        <w:tc>
          <w:tcPr>
            <w:tcW w:w="1984" w:type="dxa"/>
          </w:tcPr>
          <w:p w14:paraId="2C0D0486" w14:textId="77777777" w:rsidR="009953CA" w:rsidRPr="001D6D10" w:rsidRDefault="009953CA" w:rsidP="00300E31">
            <w:pPr>
              <w:ind w:leftChars="200" w:left="422" w:rightChars="-175" w:right="-369" w:firstLineChars="150" w:firstLine="332"/>
              <w:rPr>
                <w:rFonts w:ascii="ＭＳ 明朝" w:hAnsi="ＭＳ 明朝"/>
                <w:sz w:val="22"/>
                <w:szCs w:val="22"/>
              </w:rPr>
            </w:pPr>
            <w:r w:rsidRPr="001D6D10">
              <w:rPr>
                <w:rFonts w:ascii="ＭＳ 明朝" w:hAnsi="ＭＳ 明朝" w:hint="eastAsia"/>
                <w:sz w:val="22"/>
                <w:szCs w:val="22"/>
              </w:rPr>
              <w:t>班</w:t>
            </w:r>
          </w:p>
        </w:tc>
        <w:tc>
          <w:tcPr>
            <w:tcW w:w="6542" w:type="dxa"/>
          </w:tcPr>
          <w:p w14:paraId="0A735C9A" w14:textId="77777777" w:rsidR="009953CA" w:rsidRPr="001D6D10" w:rsidRDefault="009953CA" w:rsidP="00300E31">
            <w:pPr>
              <w:ind w:left="442" w:rightChars="-175" w:right="-369" w:hangingChars="200" w:hanging="442"/>
              <w:jc w:val="center"/>
              <w:rPr>
                <w:rFonts w:ascii="ＭＳ 明朝" w:hAnsi="ＭＳ 明朝"/>
                <w:sz w:val="22"/>
                <w:szCs w:val="22"/>
              </w:rPr>
            </w:pPr>
            <w:r w:rsidRPr="001D6D10">
              <w:rPr>
                <w:rFonts w:ascii="ＭＳ 明朝" w:hAnsi="ＭＳ 明朝" w:hint="eastAsia"/>
                <w:sz w:val="22"/>
                <w:szCs w:val="22"/>
              </w:rPr>
              <w:t>主な業務項目</w:t>
            </w:r>
          </w:p>
        </w:tc>
      </w:tr>
      <w:tr w:rsidR="009953CA" w:rsidRPr="001D6D10" w14:paraId="1F1D6CC6" w14:textId="77777777" w:rsidTr="00300E31">
        <w:tc>
          <w:tcPr>
            <w:tcW w:w="1984" w:type="dxa"/>
          </w:tcPr>
          <w:p w14:paraId="4CA96AF0" w14:textId="77777777" w:rsidR="009953CA" w:rsidRPr="001D6D10" w:rsidRDefault="009953CA" w:rsidP="00300E31">
            <w:pPr>
              <w:ind w:left="442" w:rightChars="-175" w:right="-369" w:hangingChars="200" w:hanging="442"/>
              <w:rPr>
                <w:rFonts w:ascii="ＭＳ 明朝" w:hAnsi="ＭＳ 明朝"/>
                <w:sz w:val="22"/>
                <w:szCs w:val="22"/>
              </w:rPr>
            </w:pPr>
          </w:p>
          <w:p w14:paraId="1A78502F" w14:textId="77777777" w:rsidR="009953CA" w:rsidRPr="001D6D10" w:rsidRDefault="009953CA" w:rsidP="00300E31">
            <w:pPr>
              <w:ind w:left="442" w:rightChars="-175" w:right="-369" w:hangingChars="200" w:hanging="442"/>
              <w:rPr>
                <w:rFonts w:ascii="ＭＳ 明朝" w:hAnsi="ＭＳ 明朝"/>
                <w:sz w:val="22"/>
                <w:szCs w:val="22"/>
              </w:rPr>
            </w:pPr>
            <w:r w:rsidRPr="001D6D10">
              <w:rPr>
                <w:rFonts w:ascii="ＭＳ 明朝" w:hAnsi="ＭＳ 明朝" w:hint="eastAsia"/>
                <w:sz w:val="22"/>
                <w:szCs w:val="22"/>
              </w:rPr>
              <w:t>統括</w:t>
            </w:r>
          </w:p>
          <w:p w14:paraId="14A8CA22" w14:textId="77777777" w:rsidR="009953CA" w:rsidRPr="001D6D10" w:rsidRDefault="009953CA" w:rsidP="00300E31">
            <w:pPr>
              <w:ind w:left="442" w:rightChars="-175" w:right="-369" w:hangingChars="200" w:hanging="442"/>
              <w:rPr>
                <w:rFonts w:ascii="ＭＳ 明朝" w:hAnsi="ＭＳ 明朝"/>
                <w:sz w:val="22"/>
                <w:szCs w:val="22"/>
              </w:rPr>
            </w:pPr>
            <w:r w:rsidRPr="001D6D10">
              <w:rPr>
                <w:rFonts w:ascii="ＭＳ 明朝" w:hAnsi="ＭＳ 明朝" w:hint="eastAsia"/>
                <w:sz w:val="22"/>
                <w:szCs w:val="22"/>
              </w:rPr>
              <w:t>（危機管理監、</w:t>
            </w:r>
          </w:p>
          <w:p w14:paraId="2A5F3087" w14:textId="77777777" w:rsidR="009953CA" w:rsidRPr="001D6D10" w:rsidRDefault="009953CA" w:rsidP="00300E31">
            <w:pPr>
              <w:ind w:leftChars="100" w:left="432" w:rightChars="-175" w:right="-369" w:hangingChars="100" w:hanging="221"/>
              <w:rPr>
                <w:rFonts w:ascii="ＭＳ 明朝" w:hAnsi="ＭＳ 明朝"/>
                <w:sz w:val="22"/>
                <w:szCs w:val="22"/>
              </w:rPr>
            </w:pPr>
            <w:r w:rsidRPr="001D6D10">
              <w:rPr>
                <w:rFonts w:ascii="ＭＳ 明朝" w:hAnsi="ＭＳ 明朝" w:hint="eastAsia"/>
                <w:sz w:val="22"/>
                <w:szCs w:val="22"/>
              </w:rPr>
              <w:t>危機管理室長）</w:t>
            </w:r>
          </w:p>
          <w:p w14:paraId="20D56B09" w14:textId="77777777" w:rsidR="009953CA" w:rsidRPr="001D6D10" w:rsidRDefault="009953CA" w:rsidP="00300E31">
            <w:pPr>
              <w:ind w:left="442" w:rightChars="-175" w:right="-369" w:hangingChars="200" w:hanging="442"/>
              <w:rPr>
                <w:rFonts w:ascii="ＭＳ 明朝" w:hAnsi="ＭＳ 明朝"/>
                <w:sz w:val="22"/>
                <w:szCs w:val="22"/>
              </w:rPr>
            </w:pPr>
          </w:p>
        </w:tc>
        <w:tc>
          <w:tcPr>
            <w:tcW w:w="6542" w:type="dxa"/>
          </w:tcPr>
          <w:p w14:paraId="3677F064" w14:textId="77777777" w:rsidR="009953CA" w:rsidRPr="001D6D10" w:rsidRDefault="009953CA" w:rsidP="00300E31">
            <w:pPr>
              <w:ind w:left="442" w:rightChars="-175" w:right="-369" w:hangingChars="200" w:hanging="442"/>
              <w:rPr>
                <w:rFonts w:ascii="ＭＳ 明朝" w:hAnsi="ＭＳ 明朝"/>
                <w:sz w:val="22"/>
                <w:szCs w:val="22"/>
              </w:rPr>
            </w:pPr>
            <w:r w:rsidRPr="001D6D10">
              <w:rPr>
                <w:rFonts w:ascii="ＭＳ 明朝" w:hAnsi="ＭＳ 明朝" w:hint="eastAsia"/>
                <w:sz w:val="22"/>
                <w:szCs w:val="22"/>
              </w:rPr>
              <w:t>○支援対策に関する総合調整</w:t>
            </w:r>
          </w:p>
          <w:p w14:paraId="324E080B" w14:textId="77777777" w:rsidR="009953CA" w:rsidRPr="001D6D10" w:rsidRDefault="009953CA" w:rsidP="00300E31">
            <w:pPr>
              <w:ind w:left="442" w:rightChars="-175" w:right="-369" w:hangingChars="200" w:hanging="442"/>
              <w:rPr>
                <w:rFonts w:ascii="ＭＳ 明朝" w:hAnsi="ＭＳ 明朝"/>
                <w:sz w:val="22"/>
                <w:szCs w:val="22"/>
              </w:rPr>
            </w:pPr>
            <w:r w:rsidRPr="001D6D10">
              <w:rPr>
                <w:rFonts w:ascii="ＭＳ 明朝" w:hAnsi="ＭＳ 明朝" w:hint="eastAsia"/>
                <w:sz w:val="22"/>
                <w:szCs w:val="22"/>
              </w:rPr>
              <w:t>○知事（秘書長）、３副知事、報道監等への報告・相談</w:t>
            </w:r>
          </w:p>
          <w:p w14:paraId="76974E0F" w14:textId="77777777" w:rsidR="009953CA" w:rsidRPr="001D6D10" w:rsidRDefault="009953CA" w:rsidP="00300E31">
            <w:pPr>
              <w:ind w:left="442" w:rightChars="-175" w:right="-369" w:hangingChars="200" w:hanging="442"/>
              <w:rPr>
                <w:rFonts w:ascii="ＭＳ 明朝" w:hAnsi="ＭＳ 明朝"/>
                <w:sz w:val="22"/>
                <w:szCs w:val="22"/>
              </w:rPr>
            </w:pPr>
            <w:r w:rsidRPr="001D6D10">
              <w:rPr>
                <w:rFonts w:ascii="ＭＳ 明朝" w:hAnsi="ＭＳ 明朝" w:hint="eastAsia"/>
                <w:sz w:val="22"/>
                <w:szCs w:val="22"/>
              </w:rPr>
              <w:t>○支援状況に応じて、災害等支援対策室から同対策指令部また</w:t>
            </w:r>
          </w:p>
          <w:p w14:paraId="259A7AE7" w14:textId="77777777" w:rsidR="009953CA" w:rsidRPr="001D6D10" w:rsidRDefault="009953CA" w:rsidP="00300E31">
            <w:pPr>
              <w:ind w:leftChars="100" w:left="432" w:rightChars="-175" w:right="-369" w:hangingChars="100" w:hanging="221"/>
              <w:rPr>
                <w:rFonts w:ascii="ＭＳ 明朝" w:hAnsi="ＭＳ 明朝"/>
                <w:sz w:val="22"/>
                <w:szCs w:val="22"/>
              </w:rPr>
            </w:pPr>
            <w:r w:rsidRPr="001D6D10">
              <w:rPr>
                <w:rFonts w:ascii="ＭＳ 明朝" w:hAnsi="ＭＳ 明朝" w:hint="eastAsia"/>
                <w:sz w:val="22"/>
                <w:szCs w:val="22"/>
              </w:rPr>
              <w:t>は同対策本部への格上げの検討</w:t>
            </w:r>
          </w:p>
          <w:p w14:paraId="3269C7A9" w14:textId="77777777" w:rsidR="009953CA" w:rsidRPr="001D6D10" w:rsidRDefault="009953CA" w:rsidP="00300E31">
            <w:pPr>
              <w:ind w:left="442" w:rightChars="-175" w:right="-369" w:hangingChars="200" w:hanging="442"/>
              <w:rPr>
                <w:rFonts w:ascii="ＭＳ 明朝" w:hAnsi="ＭＳ 明朝"/>
                <w:sz w:val="22"/>
                <w:szCs w:val="22"/>
              </w:rPr>
            </w:pPr>
            <w:r w:rsidRPr="001D6D10">
              <w:rPr>
                <w:rFonts w:ascii="ＭＳ 明朝" w:hAnsi="ＭＳ 明朝" w:hint="eastAsia"/>
                <w:sz w:val="22"/>
                <w:szCs w:val="22"/>
              </w:rPr>
              <w:t>○事務局内の人員調整</w:t>
            </w:r>
          </w:p>
        </w:tc>
      </w:tr>
    </w:tbl>
    <w:p w14:paraId="46E29B41" w14:textId="77777777" w:rsidR="009953CA" w:rsidRPr="001D6D10" w:rsidRDefault="009953CA" w:rsidP="009953CA">
      <w:pPr>
        <w:ind w:left="1327" w:hangingChars="600" w:hanging="1327"/>
        <w:rPr>
          <w:rFonts w:ascii="ＭＳ 明朝" w:hAnsi="ＭＳ 明朝"/>
          <w:sz w:val="22"/>
          <w:szCs w:val="22"/>
        </w:rPr>
      </w:pPr>
    </w:p>
    <w:tbl>
      <w:tblPr>
        <w:tblW w:w="0" w:type="auto"/>
        <w:tblInd w:w="42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053"/>
        <w:gridCol w:w="6360"/>
      </w:tblGrid>
      <w:tr w:rsidR="001D6D10" w:rsidRPr="00E0548A" w14:paraId="3222E44D" w14:textId="77777777" w:rsidTr="00300E31">
        <w:tc>
          <w:tcPr>
            <w:tcW w:w="2053" w:type="dxa"/>
          </w:tcPr>
          <w:p w14:paraId="7E6AF6B5" w14:textId="77777777" w:rsidR="009953CA" w:rsidRPr="00E0548A" w:rsidRDefault="009953CA" w:rsidP="00300E31">
            <w:pPr>
              <w:jc w:val="center"/>
              <w:rPr>
                <w:rFonts w:ascii="ＭＳ ゴシック" w:eastAsia="ＭＳ ゴシック" w:hAnsi="ＭＳ ゴシック"/>
                <w:sz w:val="22"/>
                <w:szCs w:val="22"/>
              </w:rPr>
            </w:pPr>
            <w:r w:rsidRPr="00E0548A">
              <w:rPr>
                <w:rFonts w:ascii="ＭＳ ゴシック" w:eastAsia="ＭＳ ゴシック" w:hAnsi="ＭＳ ゴシック" w:hint="eastAsia"/>
                <w:sz w:val="22"/>
                <w:szCs w:val="22"/>
              </w:rPr>
              <w:lastRenderedPageBreak/>
              <w:t>班</w:t>
            </w:r>
          </w:p>
        </w:tc>
        <w:tc>
          <w:tcPr>
            <w:tcW w:w="6360" w:type="dxa"/>
          </w:tcPr>
          <w:p w14:paraId="688785BF" w14:textId="77777777" w:rsidR="009953CA" w:rsidRPr="00E0548A" w:rsidRDefault="009953CA" w:rsidP="00300E31">
            <w:pPr>
              <w:jc w:val="center"/>
              <w:rPr>
                <w:rFonts w:ascii="ＭＳ ゴシック" w:eastAsia="ＭＳ ゴシック" w:hAnsi="ＭＳ ゴシック"/>
                <w:sz w:val="22"/>
                <w:szCs w:val="22"/>
              </w:rPr>
            </w:pPr>
            <w:r w:rsidRPr="00E0548A">
              <w:rPr>
                <w:rFonts w:ascii="ＭＳ ゴシック" w:eastAsia="ＭＳ ゴシック" w:hAnsi="ＭＳ ゴシック" w:hint="eastAsia"/>
                <w:sz w:val="22"/>
                <w:szCs w:val="22"/>
              </w:rPr>
              <w:t>主な業務項目</w:t>
            </w:r>
          </w:p>
        </w:tc>
      </w:tr>
      <w:tr w:rsidR="001D6D10" w:rsidRPr="00E0548A" w14:paraId="451A6717" w14:textId="77777777" w:rsidTr="00300E31">
        <w:tc>
          <w:tcPr>
            <w:tcW w:w="2053" w:type="dxa"/>
          </w:tcPr>
          <w:p w14:paraId="7F9D37BC" w14:textId="77777777" w:rsidR="009953CA" w:rsidRPr="00E0548A" w:rsidRDefault="009953CA" w:rsidP="00300E31">
            <w:pPr>
              <w:jc w:val="left"/>
              <w:rPr>
                <w:rFonts w:asciiTheme="minorEastAsia" w:eastAsiaTheme="minorEastAsia" w:hAnsiTheme="minorEastAsia"/>
                <w:sz w:val="22"/>
                <w:szCs w:val="22"/>
              </w:rPr>
            </w:pPr>
          </w:p>
          <w:p w14:paraId="4D70185D" w14:textId="77777777" w:rsidR="009953CA" w:rsidRPr="00E0548A" w:rsidRDefault="009953CA" w:rsidP="00300E31">
            <w:pPr>
              <w:jc w:val="left"/>
              <w:rPr>
                <w:rFonts w:asciiTheme="minorEastAsia" w:eastAsiaTheme="minorEastAsia" w:hAnsiTheme="minorEastAsia"/>
                <w:sz w:val="22"/>
                <w:szCs w:val="22"/>
              </w:rPr>
            </w:pPr>
          </w:p>
          <w:p w14:paraId="6063855E" w14:textId="77777777" w:rsidR="009953CA" w:rsidRPr="00E0548A" w:rsidRDefault="009953CA" w:rsidP="00300E31">
            <w:pPr>
              <w:jc w:val="left"/>
              <w:rPr>
                <w:rFonts w:asciiTheme="minorEastAsia" w:eastAsiaTheme="minorEastAsia" w:hAnsiTheme="minorEastAsia"/>
                <w:sz w:val="22"/>
                <w:szCs w:val="22"/>
              </w:rPr>
            </w:pPr>
            <w:r w:rsidRPr="00E0548A">
              <w:rPr>
                <w:rFonts w:asciiTheme="minorEastAsia" w:eastAsiaTheme="minorEastAsia" w:hAnsiTheme="minorEastAsia" w:hint="eastAsia"/>
                <w:sz w:val="22"/>
                <w:szCs w:val="22"/>
              </w:rPr>
              <w:t>総務班</w:t>
            </w:r>
          </w:p>
          <w:p w14:paraId="65006254" w14:textId="77777777" w:rsidR="009953CA" w:rsidRPr="00E0548A" w:rsidRDefault="009953CA" w:rsidP="00300E31">
            <w:pPr>
              <w:jc w:val="left"/>
              <w:rPr>
                <w:rFonts w:asciiTheme="minorEastAsia" w:eastAsiaTheme="minorEastAsia" w:hAnsiTheme="minorEastAsia"/>
                <w:sz w:val="22"/>
                <w:szCs w:val="22"/>
              </w:rPr>
            </w:pPr>
            <w:r w:rsidRPr="00E0548A">
              <w:rPr>
                <w:rFonts w:asciiTheme="minorEastAsia" w:eastAsiaTheme="minorEastAsia" w:hAnsiTheme="minorEastAsia" w:hint="eastAsia"/>
                <w:sz w:val="22"/>
                <w:szCs w:val="22"/>
              </w:rPr>
              <w:t>（消防保安課長）</w:t>
            </w:r>
          </w:p>
          <w:p w14:paraId="5AC92208" w14:textId="77777777" w:rsidR="009953CA" w:rsidRPr="00E0548A" w:rsidRDefault="009953CA" w:rsidP="00300E31">
            <w:pPr>
              <w:jc w:val="left"/>
              <w:rPr>
                <w:rFonts w:asciiTheme="minorEastAsia" w:eastAsiaTheme="minorEastAsia" w:hAnsiTheme="minorEastAsia"/>
                <w:sz w:val="22"/>
                <w:szCs w:val="22"/>
              </w:rPr>
            </w:pPr>
          </w:p>
        </w:tc>
        <w:tc>
          <w:tcPr>
            <w:tcW w:w="6360" w:type="dxa"/>
          </w:tcPr>
          <w:p w14:paraId="712B6DDC" w14:textId="77777777" w:rsidR="009953CA" w:rsidRPr="00E0548A" w:rsidRDefault="009953CA" w:rsidP="00300E31">
            <w:pPr>
              <w:ind w:left="111" w:hangingChars="50" w:hanging="111"/>
              <w:jc w:val="left"/>
              <w:rPr>
                <w:rFonts w:asciiTheme="minorEastAsia" w:eastAsiaTheme="minorEastAsia" w:hAnsiTheme="minorEastAsia"/>
                <w:sz w:val="22"/>
                <w:szCs w:val="22"/>
              </w:rPr>
            </w:pPr>
            <w:r w:rsidRPr="00E0548A">
              <w:rPr>
                <w:rFonts w:asciiTheme="minorEastAsia" w:eastAsiaTheme="minorEastAsia" w:hAnsiTheme="minorEastAsia" w:hint="eastAsia"/>
                <w:sz w:val="22"/>
                <w:szCs w:val="22"/>
              </w:rPr>
              <w:t>○必要に応じて各部連絡責任者会議、指令部会議、本部会議の開催</w:t>
            </w:r>
          </w:p>
          <w:p w14:paraId="2A2292C6" w14:textId="77777777" w:rsidR="009953CA" w:rsidRPr="00E0548A" w:rsidRDefault="009953CA" w:rsidP="00300E31">
            <w:pPr>
              <w:jc w:val="left"/>
              <w:rPr>
                <w:rFonts w:asciiTheme="minorEastAsia" w:eastAsiaTheme="minorEastAsia" w:hAnsiTheme="minorEastAsia"/>
                <w:sz w:val="22"/>
                <w:szCs w:val="22"/>
              </w:rPr>
            </w:pPr>
            <w:r w:rsidRPr="00E0548A">
              <w:rPr>
                <w:rFonts w:asciiTheme="minorEastAsia" w:eastAsiaTheme="minorEastAsia" w:hAnsiTheme="minorEastAsia" w:hint="eastAsia"/>
                <w:sz w:val="22"/>
                <w:szCs w:val="22"/>
              </w:rPr>
              <w:t>○報道提供、議会報告</w:t>
            </w:r>
          </w:p>
          <w:p w14:paraId="0B658788" w14:textId="45D4944D" w:rsidR="009953CA" w:rsidRPr="00E0548A" w:rsidRDefault="009953CA" w:rsidP="00300E31">
            <w:pPr>
              <w:ind w:left="221" w:hangingChars="100" w:hanging="221"/>
              <w:jc w:val="left"/>
              <w:rPr>
                <w:rFonts w:asciiTheme="minorEastAsia" w:eastAsiaTheme="minorEastAsia" w:hAnsiTheme="minorEastAsia"/>
                <w:sz w:val="22"/>
                <w:szCs w:val="22"/>
              </w:rPr>
            </w:pPr>
            <w:r w:rsidRPr="00E0548A">
              <w:rPr>
                <w:rFonts w:asciiTheme="minorEastAsia" w:eastAsiaTheme="minorEastAsia" w:hAnsiTheme="minorEastAsia" w:hint="eastAsia"/>
                <w:sz w:val="22"/>
                <w:szCs w:val="22"/>
              </w:rPr>
              <w:t>○人的派遣要請への対応（救助法適用が前提）。要請があれば、府としての意思決定、</w:t>
            </w:r>
            <w:r w:rsidR="00C32B8D" w:rsidRPr="00E0548A">
              <w:rPr>
                <w:rFonts w:asciiTheme="minorEastAsia" w:eastAsiaTheme="minorEastAsia" w:hAnsiTheme="minorEastAsia" w:hint="eastAsia"/>
                <w:sz w:val="22"/>
                <w:szCs w:val="22"/>
              </w:rPr>
              <w:t>企画厚生課・人事課</w:t>
            </w:r>
            <w:r w:rsidRPr="00E0548A">
              <w:rPr>
                <w:rFonts w:asciiTheme="minorEastAsia" w:eastAsiaTheme="minorEastAsia" w:hAnsiTheme="minorEastAsia" w:hint="eastAsia"/>
                <w:sz w:val="22"/>
                <w:szCs w:val="22"/>
              </w:rPr>
              <w:t>との連携等</w:t>
            </w:r>
          </w:p>
          <w:p w14:paraId="510D1877" w14:textId="77777777" w:rsidR="009953CA" w:rsidRPr="00E0548A" w:rsidRDefault="009953CA" w:rsidP="00300E31">
            <w:pPr>
              <w:ind w:left="221" w:hangingChars="100" w:hanging="221"/>
              <w:jc w:val="left"/>
              <w:rPr>
                <w:rFonts w:asciiTheme="minorEastAsia" w:eastAsiaTheme="minorEastAsia" w:hAnsiTheme="minorEastAsia"/>
                <w:sz w:val="22"/>
                <w:szCs w:val="22"/>
              </w:rPr>
            </w:pPr>
            <w:r w:rsidRPr="00E0548A">
              <w:rPr>
                <w:rFonts w:asciiTheme="minorEastAsia" w:eastAsiaTheme="minorEastAsia" w:hAnsiTheme="minorEastAsia" w:hint="eastAsia"/>
                <w:sz w:val="22"/>
                <w:szCs w:val="22"/>
              </w:rPr>
              <w:t>○府内支援状況をとりまとめた専用ホームページの開設（報道提供、議会報告を兼ねる）</w:t>
            </w:r>
          </w:p>
          <w:p w14:paraId="7E705F93" w14:textId="77777777" w:rsidR="009953CA" w:rsidRPr="00E0548A" w:rsidRDefault="009953CA" w:rsidP="00300E31">
            <w:pPr>
              <w:ind w:left="221" w:hangingChars="100" w:hanging="221"/>
              <w:jc w:val="left"/>
              <w:rPr>
                <w:rFonts w:asciiTheme="minorEastAsia" w:eastAsiaTheme="minorEastAsia" w:hAnsiTheme="minorEastAsia"/>
                <w:sz w:val="22"/>
                <w:szCs w:val="22"/>
              </w:rPr>
            </w:pPr>
            <w:r w:rsidRPr="00E0548A">
              <w:rPr>
                <w:rFonts w:asciiTheme="minorEastAsia" w:eastAsiaTheme="minorEastAsia" w:hAnsiTheme="minorEastAsia" w:hint="eastAsia"/>
                <w:sz w:val="22"/>
                <w:szCs w:val="22"/>
              </w:rPr>
              <w:t>〇会議資料及び活動報告事項等の庁内調整</w:t>
            </w:r>
          </w:p>
          <w:p w14:paraId="380F7C25" w14:textId="77777777" w:rsidR="009953CA" w:rsidRPr="00E0548A" w:rsidRDefault="009953CA" w:rsidP="00300E31">
            <w:pPr>
              <w:jc w:val="left"/>
              <w:rPr>
                <w:rFonts w:asciiTheme="minorEastAsia" w:eastAsiaTheme="minorEastAsia" w:hAnsiTheme="minorEastAsia"/>
                <w:sz w:val="22"/>
                <w:szCs w:val="22"/>
              </w:rPr>
            </w:pPr>
            <w:r w:rsidRPr="00E0548A">
              <w:rPr>
                <w:rFonts w:asciiTheme="minorEastAsia" w:eastAsiaTheme="minorEastAsia" w:hAnsiTheme="minorEastAsia" w:hint="eastAsia"/>
                <w:sz w:val="22"/>
                <w:szCs w:val="22"/>
              </w:rPr>
              <w:t>○支援物資配送要員の確保</w:t>
            </w:r>
          </w:p>
        </w:tc>
      </w:tr>
      <w:tr w:rsidR="001D6D10" w:rsidRPr="00E0548A" w14:paraId="330CE060" w14:textId="77777777" w:rsidTr="00300E31">
        <w:tc>
          <w:tcPr>
            <w:tcW w:w="2053" w:type="dxa"/>
          </w:tcPr>
          <w:p w14:paraId="20F1BA6B" w14:textId="77777777" w:rsidR="009953CA" w:rsidRPr="00E0548A" w:rsidRDefault="009953CA" w:rsidP="00300E31">
            <w:pPr>
              <w:jc w:val="left"/>
              <w:rPr>
                <w:rFonts w:asciiTheme="minorEastAsia" w:eastAsiaTheme="minorEastAsia" w:hAnsiTheme="minorEastAsia"/>
                <w:sz w:val="22"/>
                <w:szCs w:val="22"/>
              </w:rPr>
            </w:pPr>
          </w:p>
          <w:p w14:paraId="74896546" w14:textId="77777777" w:rsidR="009953CA" w:rsidRPr="00E0548A" w:rsidRDefault="009953CA" w:rsidP="00300E31">
            <w:pPr>
              <w:jc w:val="left"/>
              <w:rPr>
                <w:rFonts w:asciiTheme="minorEastAsia" w:eastAsiaTheme="minorEastAsia" w:hAnsiTheme="minorEastAsia"/>
                <w:sz w:val="22"/>
                <w:szCs w:val="22"/>
              </w:rPr>
            </w:pPr>
          </w:p>
          <w:p w14:paraId="55FF166E" w14:textId="77777777" w:rsidR="009953CA" w:rsidRPr="00E0548A" w:rsidRDefault="009953CA" w:rsidP="00300E31">
            <w:pPr>
              <w:jc w:val="left"/>
              <w:rPr>
                <w:rFonts w:asciiTheme="minorEastAsia" w:eastAsiaTheme="minorEastAsia" w:hAnsiTheme="minorEastAsia"/>
                <w:sz w:val="22"/>
                <w:szCs w:val="22"/>
              </w:rPr>
            </w:pPr>
          </w:p>
          <w:p w14:paraId="360C584C" w14:textId="77777777" w:rsidR="009953CA" w:rsidRPr="00E0548A" w:rsidRDefault="009953CA" w:rsidP="00300E31">
            <w:pPr>
              <w:jc w:val="left"/>
              <w:rPr>
                <w:rFonts w:asciiTheme="minorEastAsia" w:eastAsiaTheme="minorEastAsia" w:hAnsiTheme="minorEastAsia"/>
                <w:sz w:val="22"/>
                <w:szCs w:val="22"/>
              </w:rPr>
            </w:pPr>
          </w:p>
          <w:p w14:paraId="12A42963" w14:textId="77777777" w:rsidR="009953CA" w:rsidRPr="00E0548A" w:rsidRDefault="009953CA" w:rsidP="00300E31">
            <w:pPr>
              <w:jc w:val="left"/>
              <w:rPr>
                <w:rFonts w:asciiTheme="minorEastAsia" w:eastAsiaTheme="minorEastAsia" w:hAnsiTheme="minorEastAsia"/>
                <w:sz w:val="22"/>
                <w:szCs w:val="22"/>
              </w:rPr>
            </w:pPr>
            <w:r w:rsidRPr="00E0548A">
              <w:rPr>
                <w:rFonts w:asciiTheme="minorEastAsia" w:eastAsiaTheme="minorEastAsia" w:hAnsiTheme="minorEastAsia" w:hint="eastAsia"/>
                <w:sz w:val="22"/>
                <w:szCs w:val="22"/>
              </w:rPr>
              <w:t>情報班</w:t>
            </w:r>
          </w:p>
          <w:p w14:paraId="3ED48345" w14:textId="77777777" w:rsidR="009953CA" w:rsidRPr="00E0548A" w:rsidRDefault="009953CA" w:rsidP="00300E31">
            <w:pPr>
              <w:jc w:val="left"/>
              <w:rPr>
                <w:rFonts w:asciiTheme="minorEastAsia" w:eastAsiaTheme="minorEastAsia" w:hAnsiTheme="minorEastAsia"/>
                <w:sz w:val="22"/>
                <w:szCs w:val="22"/>
              </w:rPr>
            </w:pPr>
            <w:r w:rsidRPr="00E0548A">
              <w:rPr>
                <w:rFonts w:asciiTheme="minorEastAsia" w:eastAsiaTheme="minorEastAsia" w:hAnsiTheme="minorEastAsia" w:hint="eastAsia"/>
                <w:sz w:val="22"/>
                <w:szCs w:val="22"/>
              </w:rPr>
              <w:t>（防災企画課長）</w:t>
            </w:r>
          </w:p>
          <w:p w14:paraId="79BCD2C4" w14:textId="77777777" w:rsidR="009953CA" w:rsidRPr="00E0548A" w:rsidRDefault="009953CA" w:rsidP="00300E31">
            <w:pPr>
              <w:jc w:val="left"/>
              <w:rPr>
                <w:rFonts w:asciiTheme="minorEastAsia" w:eastAsiaTheme="minorEastAsia" w:hAnsiTheme="minorEastAsia"/>
                <w:sz w:val="22"/>
                <w:szCs w:val="22"/>
              </w:rPr>
            </w:pPr>
          </w:p>
        </w:tc>
        <w:tc>
          <w:tcPr>
            <w:tcW w:w="6360" w:type="dxa"/>
          </w:tcPr>
          <w:p w14:paraId="5BEEAE33" w14:textId="77777777" w:rsidR="009953CA" w:rsidRPr="00E0548A" w:rsidRDefault="009953CA" w:rsidP="00300E31">
            <w:pPr>
              <w:ind w:left="221" w:hangingChars="100" w:hanging="221"/>
              <w:jc w:val="left"/>
              <w:rPr>
                <w:rFonts w:asciiTheme="minorEastAsia" w:eastAsiaTheme="minorEastAsia" w:hAnsiTheme="minorEastAsia"/>
                <w:sz w:val="22"/>
                <w:szCs w:val="22"/>
              </w:rPr>
            </w:pPr>
            <w:r w:rsidRPr="00E0548A">
              <w:rPr>
                <w:rFonts w:asciiTheme="minorEastAsia" w:eastAsiaTheme="minorEastAsia" w:hAnsiTheme="minorEastAsia" w:hint="eastAsia"/>
                <w:sz w:val="22"/>
                <w:szCs w:val="22"/>
              </w:rPr>
              <w:t>○被災県の被害情報収集のため関西広域連合と連携し先遣隊派遣の判断</w:t>
            </w:r>
          </w:p>
          <w:p w14:paraId="6E9DC440" w14:textId="77777777" w:rsidR="009953CA" w:rsidRPr="00E0548A" w:rsidRDefault="009953CA" w:rsidP="00300E31">
            <w:pPr>
              <w:ind w:left="221" w:hangingChars="100" w:hanging="221"/>
              <w:jc w:val="left"/>
              <w:rPr>
                <w:rFonts w:asciiTheme="minorEastAsia" w:eastAsiaTheme="minorEastAsia" w:hAnsiTheme="minorEastAsia"/>
                <w:sz w:val="22"/>
                <w:szCs w:val="22"/>
              </w:rPr>
            </w:pPr>
            <w:r w:rsidRPr="00E0548A">
              <w:rPr>
                <w:rFonts w:asciiTheme="minorEastAsia" w:eastAsiaTheme="minorEastAsia" w:hAnsiTheme="minorEastAsia" w:hint="eastAsia"/>
                <w:sz w:val="22"/>
                <w:szCs w:val="22"/>
              </w:rPr>
              <w:t>○以下の被害情報等を収集・整理し、ホワイトボードに記載（事務局内の情報共有）</w:t>
            </w:r>
          </w:p>
          <w:p w14:paraId="357EB067" w14:textId="77777777" w:rsidR="009953CA" w:rsidRPr="00E0548A" w:rsidRDefault="009953CA" w:rsidP="00E0548A">
            <w:pPr>
              <w:ind w:firstLineChars="100" w:firstLine="221"/>
              <w:jc w:val="left"/>
              <w:rPr>
                <w:rFonts w:asciiTheme="minorEastAsia" w:eastAsiaTheme="minorEastAsia" w:hAnsiTheme="minorEastAsia"/>
                <w:sz w:val="22"/>
                <w:szCs w:val="22"/>
              </w:rPr>
            </w:pPr>
            <w:r w:rsidRPr="00E0548A">
              <w:rPr>
                <w:rFonts w:asciiTheme="minorEastAsia" w:eastAsiaTheme="minorEastAsia" w:hAnsiTheme="minorEastAsia" w:hint="eastAsia"/>
                <w:sz w:val="22"/>
                <w:szCs w:val="22"/>
              </w:rPr>
              <w:t>①被害状況の確認（被災地、府内）</w:t>
            </w:r>
          </w:p>
          <w:p w14:paraId="6026EA68" w14:textId="7DB81CA4" w:rsidR="00454723" w:rsidRPr="00E0548A" w:rsidRDefault="009953CA" w:rsidP="00454723">
            <w:pPr>
              <w:ind w:firstLineChars="100" w:firstLine="221"/>
              <w:jc w:val="left"/>
              <w:rPr>
                <w:rFonts w:asciiTheme="minorEastAsia" w:eastAsiaTheme="minorEastAsia" w:hAnsiTheme="minorEastAsia"/>
                <w:sz w:val="22"/>
                <w:szCs w:val="22"/>
              </w:rPr>
            </w:pPr>
            <w:r w:rsidRPr="00E0548A">
              <w:rPr>
                <w:rFonts w:asciiTheme="minorEastAsia" w:eastAsiaTheme="minorEastAsia" w:hAnsiTheme="minorEastAsia" w:hint="eastAsia"/>
                <w:sz w:val="22"/>
                <w:szCs w:val="22"/>
              </w:rPr>
              <w:t>②被災県の自衛隊、警察、消防庁への派遣要請状況の確認</w:t>
            </w:r>
          </w:p>
          <w:p w14:paraId="00DD5C2B" w14:textId="1B2FC135" w:rsidR="009953CA" w:rsidRPr="00E0548A" w:rsidRDefault="009953CA" w:rsidP="00E0548A">
            <w:pPr>
              <w:ind w:leftChars="100" w:left="432" w:hangingChars="100" w:hanging="221"/>
              <w:jc w:val="left"/>
              <w:rPr>
                <w:rFonts w:asciiTheme="minorEastAsia" w:eastAsiaTheme="minorEastAsia" w:hAnsiTheme="minorEastAsia"/>
                <w:sz w:val="22"/>
                <w:szCs w:val="22"/>
              </w:rPr>
            </w:pPr>
            <w:r w:rsidRPr="00E0548A">
              <w:rPr>
                <w:rFonts w:asciiTheme="minorEastAsia" w:eastAsiaTheme="minorEastAsia" w:hAnsiTheme="minorEastAsia" w:hint="eastAsia"/>
                <w:sz w:val="22"/>
                <w:szCs w:val="22"/>
              </w:rPr>
              <w:t>③消防庁、警察本部、</w:t>
            </w:r>
            <w:r w:rsidR="006D1D41" w:rsidRPr="00E0548A">
              <w:rPr>
                <w:rFonts w:asciiTheme="minorEastAsia" w:eastAsiaTheme="minorEastAsia" w:hAnsiTheme="minorEastAsia" w:hint="eastAsia"/>
                <w:sz w:val="22"/>
                <w:szCs w:val="22"/>
              </w:rPr>
              <w:t>医療・感染症対策課</w:t>
            </w:r>
            <w:r w:rsidRPr="00E0548A">
              <w:rPr>
                <w:rFonts w:asciiTheme="minorEastAsia" w:eastAsiaTheme="minorEastAsia" w:hAnsiTheme="minorEastAsia" w:hint="eastAsia"/>
                <w:sz w:val="22"/>
                <w:szCs w:val="22"/>
              </w:rPr>
              <w:t>等から情報収集、部隊派遣状況の取りまとめ</w:t>
            </w:r>
          </w:p>
          <w:p w14:paraId="47258F73" w14:textId="77777777" w:rsidR="009953CA" w:rsidRPr="00E0548A" w:rsidRDefault="009953CA" w:rsidP="00300E31">
            <w:pPr>
              <w:jc w:val="left"/>
              <w:rPr>
                <w:rFonts w:asciiTheme="minorEastAsia" w:eastAsiaTheme="minorEastAsia" w:hAnsiTheme="minorEastAsia"/>
                <w:sz w:val="22"/>
                <w:szCs w:val="22"/>
              </w:rPr>
            </w:pPr>
            <w:r w:rsidRPr="00E0548A">
              <w:rPr>
                <w:rFonts w:asciiTheme="minorEastAsia" w:eastAsiaTheme="minorEastAsia" w:hAnsiTheme="minorEastAsia" w:hint="eastAsia"/>
                <w:sz w:val="22"/>
                <w:szCs w:val="22"/>
              </w:rPr>
              <w:t>○関西広域連合との連絡調整（情報等収集・整理）</w:t>
            </w:r>
          </w:p>
          <w:p w14:paraId="06FD009B" w14:textId="77777777" w:rsidR="009953CA" w:rsidRPr="00E0548A" w:rsidRDefault="009953CA" w:rsidP="00300E31">
            <w:pPr>
              <w:ind w:left="221" w:hangingChars="100" w:hanging="221"/>
              <w:jc w:val="left"/>
              <w:rPr>
                <w:rFonts w:asciiTheme="minorEastAsia" w:eastAsiaTheme="minorEastAsia" w:hAnsiTheme="minorEastAsia"/>
                <w:sz w:val="22"/>
                <w:szCs w:val="22"/>
              </w:rPr>
            </w:pPr>
            <w:r w:rsidRPr="00E0548A">
              <w:rPr>
                <w:rFonts w:asciiTheme="minorEastAsia" w:eastAsiaTheme="minorEastAsia" w:hAnsiTheme="minorEastAsia" w:hint="eastAsia"/>
                <w:sz w:val="22"/>
                <w:szCs w:val="22"/>
              </w:rPr>
              <w:t>○義援金の窓口設置（義援金を被災県に送る場合は危機管理室、府に被災してきた被災者に贈る場合は福祉部）</w:t>
            </w:r>
          </w:p>
        </w:tc>
      </w:tr>
      <w:tr w:rsidR="009953CA" w:rsidRPr="001D6D10" w14:paraId="59D674C6" w14:textId="77777777" w:rsidTr="00300E31">
        <w:tc>
          <w:tcPr>
            <w:tcW w:w="2053" w:type="dxa"/>
          </w:tcPr>
          <w:p w14:paraId="100880D8" w14:textId="77777777" w:rsidR="009953CA" w:rsidRPr="00E0548A" w:rsidRDefault="009953CA" w:rsidP="00300E31">
            <w:pPr>
              <w:jc w:val="left"/>
              <w:rPr>
                <w:rFonts w:asciiTheme="minorEastAsia" w:eastAsiaTheme="minorEastAsia" w:hAnsiTheme="minorEastAsia"/>
                <w:sz w:val="22"/>
                <w:szCs w:val="22"/>
              </w:rPr>
            </w:pPr>
          </w:p>
          <w:p w14:paraId="31439A43" w14:textId="77777777" w:rsidR="009953CA" w:rsidRPr="00E0548A" w:rsidRDefault="009953CA" w:rsidP="00300E31">
            <w:pPr>
              <w:jc w:val="left"/>
              <w:rPr>
                <w:rFonts w:asciiTheme="minorEastAsia" w:eastAsiaTheme="minorEastAsia" w:hAnsiTheme="minorEastAsia"/>
                <w:sz w:val="22"/>
                <w:szCs w:val="22"/>
              </w:rPr>
            </w:pPr>
          </w:p>
          <w:p w14:paraId="0981D43C" w14:textId="77777777" w:rsidR="009953CA" w:rsidRPr="00E0548A" w:rsidRDefault="009953CA" w:rsidP="00300E31">
            <w:pPr>
              <w:jc w:val="left"/>
              <w:rPr>
                <w:rFonts w:asciiTheme="minorEastAsia" w:eastAsiaTheme="minorEastAsia" w:hAnsiTheme="minorEastAsia"/>
                <w:sz w:val="22"/>
                <w:szCs w:val="22"/>
              </w:rPr>
            </w:pPr>
            <w:r w:rsidRPr="00E0548A">
              <w:rPr>
                <w:rFonts w:asciiTheme="minorEastAsia" w:eastAsiaTheme="minorEastAsia" w:hAnsiTheme="minorEastAsia" w:hint="eastAsia"/>
                <w:sz w:val="22"/>
                <w:szCs w:val="22"/>
              </w:rPr>
              <w:t>対策班</w:t>
            </w:r>
          </w:p>
          <w:p w14:paraId="54B7B7BF" w14:textId="77777777" w:rsidR="009953CA" w:rsidRPr="00E0548A" w:rsidRDefault="009953CA" w:rsidP="00300E31">
            <w:pPr>
              <w:jc w:val="left"/>
              <w:rPr>
                <w:rFonts w:asciiTheme="minorEastAsia" w:eastAsiaTheme="minorEastAsia" w:hAnsiTheme="minorEastAsia"/>
                <w:sz w:val="22"/>
                <w:szCs w:val="22"/>
              </w:rPr>
            </w:pPr>
            <w:r w:rsidRPr="00E0548A">
              <w:rPr>
                <w:rFonts w:asciiTheme="minorEastAsia" w:eastAsiaTheme="minorEastAsia" w:hAnsiTheme="minorEastAsia" w:hint="eastAsia"/>
                <w:sz w:val="22"/>
                <w:szCs w:val="22"/>
              </w:rPr>
              <w:t>（災害対策課長）</w:t>
            </w:r>
          </w:p>
          <w:p w14:paraId="2710EBD6" w14:textId="77777777" w:rsidR="009953CA" w:rsidRPr="00E0548A" w:rsidRDefault="009953CA" w:rsidP="00300E31">
            <w:pPr>
              <w:jc w:val="left"/>
              <w:rPr>
                <w:rFonts w:asciiTheme="minorEastAsia" w:eastAsiaTheme="minorEastAsia" w:hAnsiTheme="minorEastAsia"/>
                <w:sz w:val="22"/>
                <w:szCs w:val="22"/>
              </w:rPr>
            </w:pPr>
          </w:p>
          <w:p w14:paraId="4F34353A" w14:textId="77777777" w:rsidR="009953CA" w:rsidRPr="00E0548A" w:rsidRDefault="009953CA" w:rsidP="00300E31">
            <w:pPr>
              <w:jc w:val="left"/>
              <w:rPr>
                <w:rFonts w:asciiTheme="minorEastAsia" w:eastAsiaTheme="minorEastAsia" w:hAnsiTheme="minorEastAsia"/>
                <w:sz w:val="22"/>
                <w:szCs w:val="22"/>
              </w:rPr>
            </w:pPr>
          </w:p>
        </w:tc>
        <w:tc>
          <w:tcPr>
            <w:tcW w:w="6360" w:type="dxa"/>
          </w:tcPr>
          <w:p w14:paraId="20EACCA9" w14:textId="77777777" w:rsidR="009953CA" w:rsidRPr="00E0548A" w:rsidRDefault="009953CA" w:rsidP="00300E31">
            <w:pPr>
              <w:ind w:left="221" w:hangingChars="100" w:hanging="221"/>
              <w:jc w:val="left"/>
              <w:rPr>
                <w:rFonts w:asciiTheme="minorEastAsia" w:eastAsiaTheme="minorEastAsia" w:hAnsiTheme="minorEastAsia"/>
                <w:sz w:val="22"/>
                <w:szCs w:val="22"/>
              </w:rPr>
            </w:pPr>
            <w:r w:rsidRPr="00E0548A">
              <w:rPr>
                <w:rFonts w:asciiTheme="minorEastAsia" w:eastAsiaTheme="minorEastAsia" w:hAnsiTheme="minorEastAsia" w:hint="eastAsia"/>
                <w:sz w:val="22"/>
                <w:szCs w:val="22"/>
              </w:rPr>
              <w:t>○情報班より引き継いだ対応必要案件について、対策を検討し、対応する</w:t>
            </w:r>
          </w:p>
          <w:p w14:paraId="6ABA3A05" w14:textId="77777777" w:rsidR="009953CA" w:rsidRPr="00E0548A" w:rsidRDefault="009953CA" w:rsidP="00300E31">
            <w:pPr>
              <w:jc w:val="left"/>
              <w:rPr>
                <w:rFonts w:asciiTheme="minorEastAsia" w:eastAsiaTheme="minorEastAsia" w:hAnsiTheme="minorEastAsia"/>
                <w:sz w:val="22"/>
                <w:szCs w:val="22"/>
              </w:rPr>
            </w:pPr>
            <w:r w:rsidRPr="00E0548A">
              <w:rPr>
                <w:rFonts w:asciiTheme="minorEastAsia" w:eastAsiaTheme="minorEastAsia" w:hAnsiTheme="minorEastAsia" w:hint="eastAsia"/>
                <w:sz w:val="22"/>
                <w:szCs w:val="22"/>
              </w:rPr>
              <w:t>○災害救助法の適応状況確認（求償手続含む）</w:t>
            </w:r>
          </w:p>
          <w:p w14:paraId="0550CEBA" w14:textId="77777777" w:rsidR="009953CA" w:rsidRPr="00E0548A" w:rsidRDefault="009953CA" w:rsidP="00300E31">
            <w:pPr>
              <w:ind w:left="221" w:hangingChars="100" w:hanging="221"/>
              <w:jc w:val="left"/>
              <w:rPr>
                <w:rFonts w:asciiTheme="minorEastAsia" w:eastAsiaTheme="minorEastAsia" w:hAnsiTheme="minorEastAsia"/>
                <w:sz w:val="22"/>
                <w:szCs w:val="22"/>
              </w:rPr>
            </w:pPr>
            <w:r w:rsidRPr="00E0548A">
              <w:rPr>
                <w:rFonts w:asciiTheme="minorEastAsia" w:eastAsiaTheme="minorEastAsia" w:hAnsiTheme="minorEastAsia" w:hint="eastAsia"/>
                <w:sz w:val="22"/>
                <w:szCs w:val="22"/>
              </w:rPr>
              <w:t>○救援物資要請への対応（救助法の適用が前提）</w:t>
            </w:r>
          </w:p>
          <w:p w14:paraId="0817612F" w14:textId="77777777" w:rsidR="009953CA" w:rsidRPr="00E0548A" w:rsidRDefault="009953CA" w:rsidP="00300E31">
            <w:pPr>
              <w:ind w:leftChars="100" w:left="211"/>
              <w:jc w:val="left"/>
              <w:rPr>
                <w:rFonts w:asciiTheme="minorEastAsia" w:eastAsiaTheme="minorEastAsia" w:hAnsiTheme="minorEastAsia"/>
                <w:sz w:val="22"/>
                <w:szCs w:val="22"/>
              </w:rPr>
            </w:pPr>
            <w:r w:rsidRPr="00E0548A">
              <w:rPr>
                <w:rFonts w:asciiTheme="minorEastAsia" w:eastAsiaTheme="minorEastAsia" w:hAnsiTheme="minorEastAsia" w:hint="eastAsia"/>
                <w:sz w:val="22"/>
                <w:szCs w:val="22"/>
              </w:rPr>
              <w:t>要請に備え、広域防災拠点で物資配送の準備</w:t>
            </w:r>
          </w:p>
          <w:p w14:paraId="03F7F09D" w14:textId="77777777" w:rsidR="009953CA" w:rsidRPr="001D6D10" w:rsidRDefault="009953CA" w:rsidP="00300E31">
            <w:pPr>
              <w:jc w:val="left"/>
              <w:rPr>
                <w:rFonts w:asciiTheme="minorEastAsia" w:eastAsiaTheme="minorEastAsia" w:hAnsiTheme="minorEastAsia"/>
                <w:sz w:val="22"/>
                <w:szCs w:val="22"/>
              </w:rPr>
            </w:pPr>
            <w:r w:rsidRPr="00E0548A">
              <w:rPr>
                <w:rFonts w:asciiTheme="minorEastAsia" w:eastAsiaTheme="minorEastAsia" w:hAnsiTheme="minorEastAsia" w:hint="eastAsia"/>
                <w:sz w:val="22"/>
                <w:szCs w:val="22"/>
              </w:rPr>
              <w:t>○災害等派遣従事車両証明書の発行</w:t>
            </w:r>
          </w:p>
        </w:tc>
      </w:tr>
    </w:tbl>
    <w:p w14:paraId="134AC38C" w14:textId="77777777" w:rsidR="009953CA" w:rsidRPr="001D6D10" w:rsidRDefault="009953CA" w:rsidP="009953CA">
      <w:pPr>
        <w:jc w:val="left"/>
        <w:rPr>
          <w:rFonts w:ascii="ＭＳ ゴシック" w:eastAsia="ＭＳ ゴシック" w:hAnsi="ＭＳ ゴシック"/>
          <w:sz w:val="22"/>
          <w:szCs w:val="22"/>
        </w:rPr>
      </w:pPr>
    </w:p>
    <w:p w14:paraId="363C8FC0" w14:textId="77777777" w:rsidR="009953CA" w:rsidRPr="001D6D10" w:rsidRDefault="009953CA" w:rsidP="009953CA">
      <w:pPr>
        <w:jc w:val="left"/>
        <w:rPr>
          <w:rFonts w:ascii="ＭＳ ゴシック" w:eastAsia="ＭＳ ゴシック" w:hAnsi="ＭＳ ゴシック"/>
          <w:sz w:val="22"/>
          <w:szCs w:val="22"/>
        </w:rPr>
      </w:pPr>
    </w:p>
    <w:p w14:paraId="4C6393F0" w14:textId="77777777" w:rsidR="009953CA" w:rsidRPr="001D6D10" w:rsidRDefault="009953CA" w:rsidP="009953CA">
      <w:pPr>
        <w:jc w:val="left"/>
        <w:rPr>
          <w:rFonts w:ascii="ＭＳ ゴシック" w:eastAsia="ＭＳ ゴシック" w:hAnsi="ＭＳ ゴシック"/>
          <w:sz w:val="22"/>
          <w:szCs w:val="22"/>
        </w:rPr>
      </w:pPr>
    </w:p>
    <w:p w14:paraId="232F3A34" w14:textId="798BC14E" w:rsidR="009953CA" w:rsidRDefault="009953CA" w:rsidP="009953CA">
      <w:pPr>
        <w:jc w:val="left"/>
        <w:rPr>
          <w:rFonts w:ascii="ＭＳ ゴシック" w:eastAsia="ＭＳ ゴシック" w:hAnsi="ＭＳ ゴシック"/>
          <w:sz w:val="22"/>
          <w:szCs w:val="22"/>
        </w:rPr>
      </w:pPr>
    </w:p>
    <w:p w14:paraId="0183D5DC" w14:textId="77777777" w:rsidR="00C32B8D" w:rsidRPr="001D6D10" w:rsidRDefault="00C32B8D" w:rsidP="009953CA">
      <w:pPr>
        <w:jc w:val="left"/>
        <w:rPr>
          <w:rFonts w:ascii="ＭＳ ゴシック" w:eastAsia="ＭＳ ゴシック" w:hAnsi="ＭＳ ゴシック"/>
          <w:sz w:val="22"/>
          <w:szCs w:val="22"/>
        </w:rPr>
      </w:pPr>
    </w:p>
    <w:p w14:paraId="65D89276" w14:textId="77777777" w:rsidR="009953CA" w:rsidRPr="001D6D10" w:rsidRDefault="009953CA" w:rsidP="009953CA">
      <w:pPr>
        <w:jc w:val="left"/>
        <w:rPr>
          <w:rFonts w:ascii="ＭＳ ゴシック" w:eastAsia="ＭＳ ゴシック" w:hAnsi="ＭＳ ゴシック"/>
          <w:sz w:val="22"/>
          <w:szCs w:val="22"/>
        </w:rPr>
      </w:pPr>
    </w:p>
    <w:p w14:paraId="4077B433" w14:textId="77777777" w:rsidR="009953CA" w:rsidRPr="001D6D10" w:rsidRDefault="009953CA" w:rsidP="009953CA">
      <w:pPr>
        <w:jc w:val="left"/>
        <w:rPr>
          <w:rFonts w:ascii="ＭＳ ゴシック" w:eastAsia="ＭＳ ゴシック" w:hAnsi="ＭＳ ゴシック"/>
          <w:sz w:val="22"/>
          <w:szCs w:val="22"/>
        </w:rPr>
      </w:pPr>
    </w:p>
    <w:p w14:paraId="4B48E19E" w14:textId="77777777" w:rsidR="009953CA" w:rsidRPr="001D6D10" w:rsidRDefault="009953CA" w:rsidP="009953CA">
      <w:pPr>
        <w:jc w:val="left"/>
        <w:rPr>
          <w:rFonts w:ascii="ＭＳ ゴシック" w:eastAsia="ＭＳ ゴシック" w:hAnsi="ＭＳ ゴシック"/>
          <w:sz w:val="22"/>
          <w:szCs w:val="22"/>
        </w:rPr>
      </w:pPr>
    </w:p>
    <w:p w14:paraId="4604431D" w14:textId="77777777" w:rsidR="009953CA" w:rsidRPr="001D6D10" w:rsidRDefault="009953CA" w:rsidP="009953CA">
      <w:pPr>
        <w:jc w:val="left"/>
        <w:rPr>
          <w:rFonts w:ascii="ＭＳ ゴシック" w:eastAsia="ＭＳ ゴシック" w:hAnsi="ＭＳ ゴシック"/>
          <w:sz w:val="22"/>
          <w:szCs w:val="22"/>
        </w:rPr>
      </w:pPr>
    </w:p>
    <w:p w14:paraId="2C8F8BC6" w14:textId="77777777" w:rsidR="009953CA" w:rsidRPr="001D6D10" w:rsidRDefault="009953CA" w:rsidP="009953CA">
      <w:pPr>
        <w:jc w:val="left"/>
        <w:rPr>
          <w:rFonts w:ascii="ＭＳ ゴシック" w:eastAsia="ＭＳ ゴシック" w:hAnsi="ＭＳ ゴシック"/>
          <w:sz w:val="22"/>
          <w:szCs w:val="22"/>
        </w:rPr>
      </w:pPr>
    </w:p>
    <w:p w14:paraId="19F1F569" w14:textId="77777777" w:rsidR="009953CA" w:rsidRPr="001D6D10" w:rsidRDefault="009953CA" w:rsidP="009953CA">
      <w:pPr>
        <w:jc w:val="left"/>
        <w:rPr>
          <w:rFonts w:ascii="ＭＳ ゴシック" w:eastAsia="ＭＳ ゴシック" w:hAnsi="ＭＳ ゴシック"/>
          <w:sz w:val="22"/>
          <w:szCs w:val="22"/>
        </w:rPr>
      </w:pPr>
    </w:p>
    <w:p w14:paraId="726085BF" w14:textId="77777777" w:rsidR="009953CA" w:rsidRPr="001D6D10" w:rsidRDefault="009953CA" w:rsidP="009953CA">
      <w:pPr>
        <w:jc w:val="left"/>
        <w:rPr>
          <w:rFonts w:asciiTheme="minorEastAsia" w:eastAsiaTheme="minorEastAsia" w:hAnsiTheme="minorEastAsia"/>
          <w:sz w:val="22"/>
          <w:szCs w:val="22"/>
        </w:rPr>
      </w:pPr>
      <w:r w:rsidRPr="001D6D10">
        <w:rPr>
          <w:rFonts w:asciiTheme="minorEastAsia" w:eastAsiaTheme="minorEastAsia" w:hAnsiTheme="minorEastAsia" w:hint="eastAsia"/>
          <w:sz w:val="22"/>
          <w:szCs w:val="22"/>
        </w:rPr>
        <w:lastRenderedPageBreak/>
        <w:t>危機管理室の主な支援対策業務※１</w:t>
      </w:r>
    </w:p>
    <w:tbl>
      <w:tblPr>
        <w:tblW w:w="8676"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47"/>
        <w:gridCol w:w="7029"/>
      </w:tblGrid>
      <w:tr w:rsidR="001D6D10" w:rsidRPr="00E0548A" w14:paraId="727E5842" w14:textId="77777777" w:rsidTr="00300E31">
        <w:trPr>
          <w:trHeight w:val="4178"/>
        </w:trPr>
        <w:tc>
          <w:tcPr>
            <w:tcW w:w="1647" w:type="dxa"/>
          </w:tcPr>
          <w:p w14:paraId="7BF7F0F6" w14:textId="77777777" w:rsidR="009953CA" w:rsidRPr="00E0548A" w:rsidRDefault="009953CA" w:rsidP="00300E31">
            <w:pPr>
              <w:jc w:val="left"/>
              <w:rPr>
                <w:rFonts w:asciiTheme="minorEastAsia" w:eastAsiaTheme="minorEastAsia" w:hAnsiTheme="minorEastAsia"/>
                <w:sz w:val="22"/>
                <w:szCs w:val="22"/>
              </w:rPr>
            </w:pPr>
            <w:r w:rsidRPr="00E0548A">
              <w:rPr>
                <w:rFonts w:asciiTheme="minorEastAsia" w:eastAsiaTheme="minorEastAsia" w:hAnsiTheme="minorEastAsia" w:hint="eastAsia"/>
                <w:sz w:val="22"/>
                <w:szCs w:val="22"/>
              </w:rPr>
              <w:t>第1フェーズ</w:t>
            </w:r>
          </w:p>
          <w:p w14:paraId="71E401E1" w14:textId="77777777" w:rsidR="009953CA" w:rsidRPr="00E0548A" w:rsidRDefault="009953CA" w:rsidP="00300E31">
            <w:pPr>
              <w:jc w:val="left"/>
              <w:rPr>
                <w:rFonts w:asciiTheme="minorEastAsia" w:eastAsiaTheme="minorEastAsia" w:hAnsiTheme="minorEastAsia"/>
                <w:sz w:val="22"/>
                <w:szCs w:val="22"/>
              </w:rPr>
            </w:pPr>
            <w:r w:rsidRPr="00E0548A">
              <w:rPr>
                <w:rFonts w:asciiTheme="minorEastAsia" w:eastAsiaTheme="minorEastAsia" w:hAnsiTheme="minorEastAsia" w:hint="eastAsia"/>
                <w:sz w:val="22"/>
                <w:szCs w:val="22"/>
              </w:rPr>
              <w:t>(3時間まで)</w:t>
            </w:r>
          </w:p>
          <w:p w14:paraId="5328FFF6" w14:textId="77777777" w:rsidR="009953CA" w:rsidRPr="00E0548A" w:rsidRDefault="009953CA" w:rsidP="00300E31">
            <w:pPr>
              <w:jc w:val="left"/>
              <w:rPr>
                <w:rFonts w:asciiTheme="minorEastAsia" w:eastAsiaTheme="minorEastAsia" w:hAnsiTheme="minorEastAsia"/>
                <w:sz w:val="22"/>
                <w:szCs w:val="22"/>
              </w:rPr>
            </w:pPr>
          </w:p>
          <w:p w14:paraId="66F05782" w14:textId="77777777" w:rsidR="009953CA" w:rsidRPr="00E0548A" w:rsidRDefault="009953CA" w:rsidP="00300E31">
            <w:pPr>
              <w:jc w:val="left"/>
              <w:rPr>
                <w:rFonts w:asciiTheme="minorEastAsia" w:eastAsiaTheme="minorEastAsia" w:hAnsiTheme="minorEastAsia"/>
                <w:sz w:val="22"/>
                <w:szCs w:val="22"/>
              </w:rPr>
            </w:pPr>
          </w:p>
        </w:tc>
        <w:tc>
          <w:tcPr>
            <w:tcW w:w="7029" w:type="dxa"/>
          </w:tcPr>
          <w:p w14:paraId="2D59F995" w14:textId="3827367F" w:rsidR="009953CA" w:rsidRPr="00E0548A" w:rsidRDefault="009953CA" w:rsidP="00300E31">
            <w:pPr>
              <w:ind w:left="221" w:hangingChars="100" w:hanging="221"/>
              <w:jc w:val="left"/>
              <w:rPr>
                <w:rFonts w:asciiTheme="minorEastAsia" w:eastAsiaTheme="minorEastAsia" w:hAnsiTheme="minorEastAsia"/>
                <w:sz w:val="22"/>
                <w:szCs w:val="22"/>
              </w:rPr>
            </w:pPr>
            <w:r w:rsidRPr="00E0548A">
              <w:rPr>
                <w:rFonts w:asciiTheme="minorEastAsia" w:eastAsiaTheme="minorEastAsia" w:hAnsiTheme="minorEastAsia" w:hint="eastAsia"/>
                <w:sz w:val="22"/>
                <w:szCs w:val="22"/>
              </w:rPr>
              <w:t>○関西広域連合域内震度５強以上（域外では震度６弱以上）の震度を観測したとき、災害等支援対策室の自動設置</w:t>
            </w:r>
          </w:p>
          <w:p w14:paraId="6FC89D6C" w14:textId="77777777" w:rsidR="009953CA" w:rsidRPr="00E0548A" w:rsidRDefault="009953CA" w:rsidP="00300E31">
            <w:pPr>
              <w:jc w:val="left"/>
              <w:rPr>
                <w:rFonts w:asciiTheme="minorEastAsia" w:eastAsiaTheme="minorEastAsia" w:hAnsiTheme="minorEastAsia"/>
                <w:sz w:val="22"/>
                <w:szCs w:val="22"/>
              </w:rPr>
            </w:pPr>
            <w:r w:rsidRPr="00E0548A">
              <w:rPr>
                <w:rFonts w:asciiTheme="minorEastAsia" w:eastAsiaTheme="minorEastAsia" w:hAnsiTheme="minorEastAsia" w:hint="eastAsia"/>
                <w:sz w:val="22"/>
                <w:szCs w:val="22"/>
              </w:rPr>
              <w:t>○被害状況の確認（被災地、府内）</w:t>
            </w:r>
          </w:p>
          <w:p w14:paraId="7E4C1F55" w14:textId="77777777" w:rsidR="009953CA" w:rsidRPr="00E0548A" w:rsidRDefault="009953CA" w:rsidP="00300E31">
            <w:pPr>
              <w:jc w:val="left"/>
              <w:rPr>
                <w:rFonts w:asciiTheme="minorEastAsia" w:eastAsiaTheme="minorEastAsia" w:hAnsiTheme="minorEastAsia"/>
                <w:sz w:val="22"/>
                <w:szCs w:val="22"/>
              </w:rPr>
            </w:pPr>
            <w:r w:rsidRPr="00E0548A">
              <w:rPr>
                <w:rFonts w:asciiTheme="minorEastAsia" w:eastAsiaTheme="minorEastAsia" w:hAnsiTheme="minorEastAsia" w:hint="eastAsia"/>
                <w:sz w:val="22"/>
                <w:szCs w:val="22"/>
              </w:rPr>
              <w:t>○知事（秘書長）、３副知事、報道監等への報告・相談</w:t>
            </w:r>
          </w:p>
          <w:p w14:paraId="495AFDAF" w14:textId="77777777" w:rsidR="009953CA" w:rsidRPr="00E0548A" w:rsidRDefault="009953CA" w:rsidP="00300E31">
            <w:pPr>
              <w:jc w:val="left"/>
              <w:rPr>
                <w:rFonts w:asciiTheme="minorEastAsia" w:eastAsiaTheme="minorEastAsia" w:hAnsiTheme="minorEastAsia"/>
                <w:sz w:val="22"/>
                <w:szCs w:val="22"/>
              </w:rPr>
            </w:pPr>
            <w:r w:rsidRPr="00E0548A">
              <w:rPr>
                <w:rFonts w:asciiTheme="minorEastAsia" w:eastAsiaTheme="minorEastAsia" w:hAnsiTheme="minorEastAsia" w:hint="eastAsia"/>
                <w:sz w:val="22"/>
                <w:szCs w:val="22"/>
              </w:rPr>
              <w:t>○災害等支援対策指令部または災害等支援対策本部の設置判断</w:t>
            </w:r>
          </w:p>
          <w:p w14:paraId="42C2FB84" w14:textId="77777777" w:rsidR="009953CA" w:rsidRPr="00E0548A" w:rsidRDefault="009953CA" w:rsidP="00300E31">
            <w:pPr>
              <w:jc w:val="left"/>
              <w:rPr>
                <w:rFonts w:asciiTheme="minorEastAsia" w:eastAsiaTheme="minorEastAsia" w:hAnsiTheme="minorEastAsia"/>
                <w:sz w:val="22"/>
                <w:szCs w:val="22"/>
              </w:rPr>
            </w:pPr>
            <w:r w:rsidRPr="00E0548A">
              <w:rPr>
                <w:rFonts w:asciiTheme="minorEastAsia" w:eastAsiaTheme="minorEastAsia" w:hAnsiTheme="minorEastAsia" w:hint="eastAsia"/>
                <w:sz w:val="22"/>
                <w:szCs w:val="22"/>
              </w:rPr>
              <w:t>○被災県の自衛隊、警察、消防庁への派遣要請状況の確認</w:t>
            </w:r>
          </w:p>
          <w:p w14:paraId="4D37C1BB" w14:textId="1213CB06" w:rsidR="009953CA" w:rsidRPr="00E0548A" w:rsidRDefault="009953CA" w:rsidP="00300E31">
            <w:pPr>
              <w:ind w:left="221" w:hangingChars="100" w:hanging="221"/>
              <w:jc w:val="left"/>
              <w:rPr>
                <w:rFonts w:asciiTheme="minorEastAsia" w:eastAsiaTheme="minorEastAsia" w:hAnsiTheme="minorEastAsia"/>
                <w:sz w:val="22"/>
                <w:szCs w:val="22"/>
              </w:rPr>
            </w:pPr>
            <w:r w:rsidRPr="00E0548A">
              <w:rPr>
                <w:rFonts w:asciiTheme="minorEastAsia" w:eastAsiaTheme="minorEastAsia" w:hAnsiTheme="minorEastAsia" w:hint="eastAsia"/>
                <w:sz w:val="22"/>
                <w:szCs w:val="22"/>
              </w:rPr>
              <w:t>○消防庁、警察本部、</w:t>
            </w:r>
            <w:r w:rsidR="006D1D41" w:rsidRPr="00E0548A">
              <w:rPr>
                <w:rFonts w:asciiTheme="minorEastAsia" w:eastAsiaTheme="minorEastAsia" w:hAnsiTheme="minorEastAsia" w:hint="eastAsia"/>
                <w:sz w:val="22"/>
                <w:szCs w:val="22"/>
              </w:rPr>
              <w:t>医療・感染症対策課</w:t>
            </w:r>
            <w:r w:rsidRPr="00E0548A">
              <w:rPr>
                <w:rFonts w:asciiTheme="minorEastAsia" w:eastAsiaTheme="minorEastAsia" w:hAnsiTheme="minorEastAsia" w:hint="eastAsia"/>
                <w:sz w:val="22"/>
                <w:szCs w:val="22"/>
              </w:rPr>
              <w:t>等から情報収集、部隊派遣状況の取りまとめ</w:t>
            </w:r>
          </w:p>
          <w:p w14:paraId="6F100769" w14:textId="77777777" w:rsidR="009953CA" w:rsidRPr="00E0548A" w:rsidRDefault="009953CA" w:rsidP="00300E31">
            <w:pPr>
              <w:jc w:val="left"/>
              <w:rPr>
                <w:rFonts w:asciiTheme="minorEastAsia" w:eastAsiaTheme="minorEastAsia" w:hAnsiTheme="minorEastAsia"/>
                <w:sz w:val="22"/>
                <w:szCs w:val="22"/>
              </w:rPr>
            </w:pPr>
            <w:r w:rsidRPr="00E0548A">
              <w:rPr>
                <w:rFonts w:asciiTheme="minorEastAsia" w:eastAsiaTheme="minorEastAsia" w:hAnsiTheme="minorEastAsia" w:hint="eastAsia"/>
                <w:sz w:val="22"/>
                <w:szCs w:val="22"/>
              </w:rPr>
              <w:t>○報道提供、議会報告</w:t>
            </w:r>
          </w:p>
          <w:p w14:paraId="54F9373C" w14:textId="77777777" w:rsidR="009953CA" w:rsidRPr="00E0548A" w:rsidRDefault="009953CA" w:rsidP="00300E31">
            <w:pPr>
              <w:jc w:val="left"/>
              <w:rPr>
                <w:rFonts w:asciiTheme="minorEastAsia" w:eastAsiaTheme="minorEastAsia" w:hAnsiTheme="minorEastAsia"/>
                <w:sz w:val="22"/>
                <w:szCs w:val="22"/>
              </w:rPr>
            </w:pPr>
            <w:r w:rsidRPr="00E0548A">
              <w:rPr>
                <w:rFonts w:asciiTheme="minorEastAsia" w:eastAsiaTheme="minorEastAsia" w:hAnsiTheme="minorEastAsia" w:hint="eastAsia"/>
                <w:sz w:val="22"/>
                <w:szCs w:val="22"/>
              </w:rPr>
              <w:t>○連絡要員の設置による24時間体制</w:t>
            </w:r>
          </w:p>
          <w:p w14:paraId="77C8EECE" w14:textId="77777777" w:rsidR="009953CA" w:rsidRPr="00E0548A" w:rsidRDefault="009953CA" w:rsidP="00E0548A">
            <w:pPr>
              <w:ind w:left="221" w:hangingChars="100" w:hanging="221"/>
              <w:jc w:val="left"/>
              <w:rPr>
                <w:rFonts w:asciiTheme="minorEastAsia" w:eastAsiaTheme="minorEastAsia" w:hAnsiTheme="minorEastAsia"/>
                <w:sz w:val="22"/>
                <w:szCs w:val="22"/>
              </w:rPr>
            </w:pPr>
            <w:r w:rsidRPr="00E0548A">
              <w:rPr>
                <w:rFonts w:asciiTheme="minorEastAsia" w:eastAsiaTheme="minorEastAsia" w:hAnsiTheme="minorEastAsia" w:hint="eastAsia"/>
                <w:sz w:val="22"/>
                <w:szCs w:val="22"/>
              </w:rPr>
              <w:t>○行動記録（出動者・情報内容・対応状況等、時系列）の取りまとめ（ホワイトボード・写真の活用）</w:t>
            </w:r>
          </w:p>
        </w:tc>
      </w:tr>
      <w:tr w:rsidR="001D6D10" w:rsidRPr="00E0548A" w14:paraId="4AD358ED" w14:textId="77777777" w:rsidTr="00300E31">
        <w:trPr>
          <w:trHeight w:val="2384"/>
        </w:trPr>
        <w:tc>
          <w:tcPr>
            <w:tcW w:w="1647" w:type="dxa"/>
          </w:tcPr>
          <w:p w14:paraId="740CCCE4" w14:textId="77777777" w:rsidR="009953CA" w:rsidRPr="00E0548A" w:rsidRDefault="009953CA" w:rsidP="00300E31">
            <w:pPr>
              <w:jc w:val="left"/>
              <w:rPr>
                <w:rFonts w:asciiTheme="minorEastAsia" w:eastAsiaTheme="minorEastAsia" w:hAnsiTheme="minorEastAsia"/>
                <w:sz w:val="22"/>
                <w:szCs w:val="22"/>
              </w:rPr>
            </w:pPr>
            <w:r w:rsidRPr="00E0548A">
              <w:rPr>
                <w:rFonts w:asciiTheme="minorEastAsia" w:eastAsiaTheme="minorEastAsia" w:hAnsiTheme="minorEastAsia" w:hint="eastAsia"/>
                <w:sz w:val="22"/>
                <w:szCs w:val="22"/>
              </w:rPr>
              <w:t>第2フェーズ</w:t>
            </w:r>
          </w:p>
          <w:p w14:paraId="2A1D3CD8" w14:textId="77777777" w:rsidR="009953CA" w:rsidRPr="00E0548A" w:rsidRDefault="009953CA" w:rsidP="00300E31">
            <w:pPr>
              <w:jc w:val="left"/>
              <w:rPr>
                <w:rFonts w:asciiTheme="minorEastAsia" w:eastAsiaTheme="minorEastAsia" w:hAnsiTheme="minorEastAsia"/>
                <w:sz w:val="22"/>
                <w:szCs w:val="22"/>
              </w:rPr>
            </w:pPr>
            <w:r w:rsidRPr="00E0548A">
              <w:rPr>
                <w:rFonts w:asciiTheme="minorEastAsia" w:eastAsiaTheme="minorEastAsia" w:hAnsiTheme="minorEastAsia" w:hint="eastAsia"/>
                <w:sz w:val="22"/>
                <w:szCs w:val="22"/>
              </w:rPr>
              <w:t>(24時間まで)</w:t>
            </w:r>
          </w:p>
          <w:p w14:paraId="3EB3E13E" w14:textId="77777777" w:rsidR="009953CA" w:rsidRPr="00E0548A" w:rsidRDefault="009953CA" w:rsidP="00300E31">
            <w:pPr>
              <w:jc w:val="left"/>
              <w:rPr>
                <w:rFonts w:asciiTheme="minorEastAsia" w:eastAsiaTheme="minorEastAsia" w:hAnsiTheme="minorEastAsia"/>
                <w:sz w:val="22"/>
                <w:szCs w:val="22"/>
              </w:rPr>
            </w:pPr>
          </w:p>
        </w:tc>
        <w:tc>
          <w:tcPr>
            <w:tcW w:w="7029" w:type="dxa"/>
          </w:tcPr>
          <w:p w14:paraId="15D4D8E6" w14:textId="77777777" w:rsidR="009953CA" w:rsidRPr="00E0548A" w:rsidRDefault="009953CA" w:rsidP="00300E31">
            <w:pPr>
              <w:jc w:val="left"/>
              <w:rPr>
                <w:rFonts w:asciiTheme="minorEastAsia" w:eastAsiaTheme="minorEastAsia" w:hAnsiTheme="minorEastAsia"/>
                <w:sz w:val="22"/>
                <w:szCs w:val="22"/>
              </w:rPr>
            </w:pPr>
            <w:r w:rsidRPr="00E0548A">
              <w:rPr>
                <w:rFonts w:asciiTheme="minorEastAsia" w:eastAsiaTheme="minorEastAsia" w:hAnsiTheme="minorEastAsia" w:hint="eastAsia"/>
                <w:sz w:val="22"/>
                <w:szCs w:val="22"/>
              </w:rPr>
              <w:t>○災害や被害状況の情報収集・整理</w:t>
            </w:r>
          </w:p>
          <w:p w14:paraId="2191AD13" w14:textId="77777777" w:rsidR="009953CA" w:rsidRPr="00E0548A" w:rsidRDefault="009953CA" w:rsidP="00300E31">
            <w:pPr>
              <w:jc w:val="left"/>
              <w:rPr>
                <w:rFonts w:asciiTheme="minorEastAsia" w:eastAsiaTheme="minorEastAsia" w:hAnsiTheme="minorEastAsia"/>
                <w:sz w:val="22"/>
                <w:szCs w:val="22"/>
              </w:rPr>
            </w:pPr>
            <w:r w:rsidRPr="00E0548A">
              <w:rPr>
                <w:rFonts w:asciiTheme="minorEastAsia" w:eastAsiaTheme="minorEastAsia" w:hAnsiTheme="minorEastAsia" w:hint="eastAsia"/>
                <w:sz w:val="22"/>
                <w:szCs w:val="22"/>
              </w:rPr>
              <w:t>○防災機関からの情報収集・整理</w:t>
            </w:r>
          </w:p>
          <w:p w14:paraId="6CA96A3F" w14:textId="77777777" w:rsidR="009953CA" w:rsidRPr="00E0548A" w:rsidRDefault="009953CA" w:rsidP="00300E31">
            <w:pPr>
              <w:jc w:val="left"/>
              <w:rPr>
                <w:rFonts w:asciiTheme="minorEastAsia" w:eastAsiaTheme="minorEastAsia" w:hAnsiTheme="minorEastAsia"/>
                <w:sz w:val="22"/>
                <w:szCs w:val="22"/>
              </w:rPr>
            </w:pPr>
            <w:r w:rsidRPr="00E0548A">
              <w:rPr>
                <w:rFonts w:asciiTheme="minorEastAsia" w:eastAsiaTheme="minorEastAsia" w:hAnsiTheme="minorEastAsia" w:hint="eastAsia"/>
                <w:sz w:val="22"/>
                <w:szCs w:val="22"/>
              </w:rPr>
              <w:t>○必要に応じ各部連絡責任者会議、指令部会議、本部会議の開催</w:t>
            </w:r>
          </w:p>
          <w:p w14:paraId="3A5DE381" w14:textId="77777777" w:rsidR="009953CA" w:rsidRPr="00E0548A" w:rsidRDefault="009953CA" w:rsidP="00300E31">
            <w:pPr>
              <w:jc w:val="left"/>
              <w:rPr>
                <w:rFonts w:asciiTheme="minorEastAsia" w:eastAsiaTheme="minorEastAsia" w:hAnsiTheme="minorEastAsia"/>
                <w:sz w:val="22"/>
                <w:szCs w:val="22"/>
              </w:rPr>
            </w:pPr>
            <w:r w:rsidRPr="00E0548A">
              <w:rPr>
                <w:rFonts w:asciiTheme="minorEastAsia" w:eastAsiaTheme="minorEastAsia" w:hAnsiTheme="minorEastAsia" w:hint="eastAsia"/>
                <w:sz w:val="22"/>
                <w:szCs w:val="22"/>
              </w:rPr>
              <w:t>○災害救助法の適応状況の確認</w:t>
            </w:r>
          </w:p>
          <w:p w14:paraId="3EEDA601" w14:textId="77777777" w:rsidR="009953CA" w:rsidRPr="00E0548A" w:rsidRDefault="009953CA" w:rsidP="00300E31">
            <w:pPr>
              <w:jc w:val="left"/>
              <w:rPr>
                <w:rFonts w:asciiTheme="minorEastAsia" w:eastAsiaTheme="minorEastAsia" w:hAnsiTheme="minorEastAsia"/>
                <w:sz w:val="22"/>
                <w:szCs w:val="22"/>
              </w:rPr>
            </w:pPr>
            <w:r w:rsidRPr="00E0548A">
              <w:rPr>
                <w:rFonts w:asciiTheme="minorEastAsia" w:eastAsiaTheme="minorEastAsia" w:hAnsiTheme="minorEastAsia" w:hint="eastAsia"/>
                <w:sz w:val="22"/>
                <w:szCs w:val="22"/>
              </w:rPr>
              <w:t>○報道提供、議会報告</w:t>
            </w:r>
          </w:p>
          <w:p w14:paraId="3E063B8C" w14:textId="77777777" w:rsidR="009953CA" w:rsidRPr="00E0548A" w:rsidRDefault="009953CA" w:rsidP="00E0548A">
            <w:pPr>
              <w:ind w:left="221" w:hangingChars="100" w:hanging="221"/>
              <w:jc w:val="left"/>
              <w:rPr>
                <w:rFonts w:asciiTheme="minorEastAsia" w:eastAsiaTheme="minorEastAsia" w:hAnsiTheme="minorEastAsia"/>
                <w:sz w:val="22"/>
                <w:szCs w:val="22"/>
              </w:rPr>
            </w:pPr>
            <w:r w:rsidRPr="00E0548A">
              <w:rPr>
                <w:rFonts w:asciiTheme="minorEastAsia" w:eastAsiaTheme="minorEastAsia" w:hAnsiTheme="minorEastAsia" w:hint="eastAsia"/>
                <w:sz w:val="22"/>
                <w:szCs w:val="22"/>
              </w:rPr>
              <w:t>○被災県の被害情報収集のため関西広域連合と連携し先遣隊及び現地情報連絡員（リエゾン）派遣の判断</w:t>
            </w:r>
          </w:p>
          <w:p w14:paraId="102732C5" w14:textId="77777777" w:rsidR="009953CA" w:rsidRPr="00E0548A" w:rsidRDefault="009953CA" w:rsidP="00E0548A">
            <w:pPr>
              <w:ind w:left="221" w:hangingChars="100" w:hanging="221"/>
              <w:jc w:val="left"/>
              <w:rPr>
                <w:rFonts w:asciiTheme="minorEastAsia" w:eastAsiaTheme="minorEastAsia" w:hAnsiTheme="minorEastAsia"/>
                <w:sz w:val="22"/>
                <w:szCs w:val="22"/>
              </w:rPr>
            </w:pPr>
            <w:r w:rsidRPr="00E0548A">
              <w:rPr>
                <w:rFonts w:asciiTheme="minorEastAsia" w:eastAsiaTheme="minorEastAsia" w:hAnsiTheme="minorEastAsia" w:hint="eastAsia"/>
                <w:sz w:val="22"/>
                <w:szCs w:val="22"/>
              </w:rPr>
              <w:t>○救援物資要請への対応（救助法の適用が前提）、要請に備え、広域防災拠点で物資配送の準備（１トラックバース当たり配送要員20名程度を手配、トラック協会に配車要請）</w:t>
            </w:r>
          </w:p>
        </w:tc>
      </w:tr>
      <w:tr w:rsidR="001D6D10" w:rsidRPr="00E0548A" w14:paraId="4DF464DE" w14:textId="77777777" w:rsidTr="00300E31">
        <w:trPr>
          <w:trHeight w:val="3545"/>
        </w:trPr>
        <w:tc>
          <w:tcPr>
            <w:tcW w:w="1647" w:type="dxa"/>
          </w:tcPr>
          <w:p w14:paraId="29076021" w14:textId="77777777" w:rsidR="009953CA" w:rsidRPr="00E0548A" w:rsidRDefault="009953CA" w:rsidP="00300E31">
            <w:pPr>
              <w:jc w:val="left"/>
              <w:rPr>
                <w:rFonts w:asciiTheme="minorEastAsia" w:eastAsiaTheme="minorEastAsia" w:hAnsiTheme="minorEastAsia"/>
                <w:sz w:val="22"/>
                <w:szCs w:val="22"/>
              </w:rPr>
            </w:pPr>
            <w:r w:rsidRPr="00E0548A">
              <w:rPr>
                <w:rFonts w:asciiTheme="minorEastAsia" w:eastAsiaTheme="minorEastAsia" w:hAnsiTheme="minorEastAsia" w:hint="eastAsia"/>
                <w:sz w:val="22"/>
                <w:szCs w:val="22"/>
              </w:rPr>
              <w:t>第3フェーズ</w:t>
            </w:r>
          </w:p>
          <w:p w14:paraId="1AFF9846" w14:textId="77777777" w:rsidR="009953CA" w:rsidRPr="00E0548A" w:rsidRDefault="009953CA" w:rsidP="00300E31">
            <w:pPr>
              <w:jc w:val="left"/>
              <w:rPr>
                <w:rFonts w:asciiTheme="minorEastAsia" w:eastAsiaTheme="minorEastAsia" w:hAnsiTheme="minorEastAsia"/>
                <w:sz w:val="22"/>
                <w:szCs w:val="22"/>
              </w:rPr>
            </w:pPr>
            <w:r w:rsidRPr="00E0548A">
              <w:rPr>
                <w:rFonts w:asciiTheme="minorEastAsia" w:eastAsiaTheme="minorEastAsia" w:hAnsiTheme="minorEastAsia" w:hint="eastAsia"/>
                <w:sz w:val="22"/>
                <w:szCs w:val="22"/>
              </w:rPr>
              <w:t>(72時間まで)</w:t>
            </w:r>
          </w:p>
          <w:p w14:paraId="5A817771" w14:textId="77777777" w:rsidR="009953CA" w:rsidRPr="00E0548A" w:rsidRDefault="009953CA" w:rsidP="00300E31">
            <w:pPr>
              <w:jc w:val="left"/>
              <w:rPr>
                <w:rFonts w:asciiTheme="minorEastAsia" w:eastAsiaTheme="minorEastAsia" w:hAnsiTheme="minorEastAsia"/>
                <w:sz w:val="22"/>
                <w:szCs w:val="22"/>
              </w:rPr>
            </w:pPr>
          </w:p>
        </w:tc>
        <w:tc>
          <w:tcPr>
            <w:tcW w:w="7029" w:type="dxa"/>
          </w:tcPr>
          <w:p w14:paraId="33D004DD" w14:textId="3159E724" w:rsidR="009953CA" w:rsidRPr="00E0548A" w:rsidRDefault="009953CA" w:rsidP="00300E31">
            <w:pPr>
              <w:ind w:left="221" w:hangingChars="100" w:hanging="221"/>
              <w:jc w:val="left"/>
              <w:rPr>
                <w:rFonts w:asciiTheme="minorEastAsia" w:eastAsiaTheme="minorEastAsia" w:hAnsiTheme="minorEastAsia"/>
                <w:sz w:val="22"/>
                <w:szCs w:val="22"/>
              </w:rPr>
            </w:pPr>
            <w:r w:rsidRPr="00E0548A">
              <w:rPr>
                <w:rFonts w:asciiTheme="minorEastAsia" w:eastAsiaTheme="minorEastAsia" w:hAnsiTheme="minorEastAsia" w:hint="eastAsia"/>
                <w:sz w:val="22"/>
                <w:szCs w:val="22"/>
              </w:rPr>
              <w:t>○人的派遣要請への対応（救助法の適用が前提）、要請があれば、府としての意思確定、</w:t>
            </w:r>
            <w:r w:rsidR="00C32B8D" w:rsidRPr="00E0548A">
              <w:rPr>
                <w:rFonts w:asciiTheme="minorEastAsia" w:eastAsiaTheme="minorEastAsia" w:hAnsiTheme="minorEastAsia" w:hint="eastAsia"/>
                <w:sz w:val="22"/>
                <w:szCs w:val="22"/>
              </w:rPr>
              <w:t>企画厚生課・人事課</w:t>
            </w:r>
            <w:r w:rsidRPr="00E0548A">
              <w:rPr>
                <w:rFonts w:asciiTheme="minorEastAsia" w:eastAsiaTheme="minorEastAsia" w:hAnsiTheme="minorEastAsia" w:hint="eastAsia"/>
                <w:sz w:val="22"/>
                <w:szCs w:val="22"/>
              </w:rPr>
              <w:t>と連携、派遣者の決定、派遣職員の宿泊地、移動手段の確保等※２</w:t>
            </w:r>
          </w:p>
          <w:p w14:paraId="4E5771D1" w14:textId="77777777" w:rsidR="009953CA" w:rsidRPr="00E0548A" w:rsidRDefault="009953CA" w:rsidP="00300E31">
            <w:pPr>
              <w:ind w:left="221" w:hangingChars="100" w:hanging="221"/>
              <w:jc w:val="left"/>
              <w:rPr>
                <w:rFonts w:asciiTheme="minorEastAsia" w:eastAsiaTheme="minorEastAsia" w:hAnsiTheme="minorEastAsia"/>
                <w:sz w:val="22"/>
                <w:szCs w:val="22"/>
              </w:rPr>
            </w:pPr>
            <w:r w:rsidRPr="00E0548A">
              <w:rPr>
                <w:rFonts w:asciiTheme="minorEastAsia" w:eastAsiaTheme="minorEastAsia" w:hAnsiTheme="minorEastAsia" w:hint="eastAsia"/>
                <w:sz w:val="22"/>
                <w:szCs w:val="22"/>
              </w:rPr>
              <w:t>○支援状況に応じて災害等支援対策室から同対策指令部または同対策本部への格上げの検討</w:t>
            </w:r>
          </w:p>
          <w:p w14:paraId="0BB64F79" w14:textId="77777777" w:rsidR="009953CA" w:rsidRPr="00E0548A" w:rsidRDefault="009953CA" w:rsidP="00300E31">
            <w:pPr>
              <w:ind w:left="221" w:hangingChars="100" w:hanging="221"/>
              <w:jc w:val="left"/>
              <w:rPr>
                <w:rFonts w:asciiTheme="minorEastAsia" w:eastAsiaTheme="minorEastAsia" w:hAnsiTheme="minorEastAsia"/>
                <w:sz w:val="22"/>
                <w:szCs w:val="22"/>
              </w:rPr>
            </w:pPr>
            <w:r w:rsidRPr="00E0548A">
              <w:rPr>
                <w:rFonts w:asciiTheme="minorEastAsia" w:eastAsiaTheme="minorEastAsia" w:hAnsiTheme="minorEastAsia" w:hint="eastAsia"/>
                <w:sz w:val="22"/>
                <w:szCs w:val="22"/>
              </w:rPr>
              <w:t>○府内支援状況を取りまとめた専用ホームページの開設（報道提供、議会報告を兼ねる）</w:t>
            </w:r>
          </w:p>
          <w:p w14:paraId="6C1381B0" w14:textId="77777777" w:rsidR="009953CA" w:rsidRPr="00E0548A" w:rsidRDefault="009953CA" w:rsidP="00300E31">
            <w:pPr>
              <w:ind w:left="221" w:hangingChars="100" w:hanging="221"/>
              <w:jc w:val="left"/>
              <w:rPr>
                <w:rFonts w:asciiTheme="minorEastAsia" w:eastAsiaTheme="minorEastAsia" w:hAnsiTheme="minorEastAsia"/>
                <w:sz w:val="22"/>
                <w:szCs w:val="22"/>
              </w:rPr>
            </w:pPr>
            <w:r w:rsidRPr="00E0548A">
              <w:rPr>
                <w:rFonts w:asciiTheme="minorEastAsia" w:eastAsiaTheme="minorEastAsia" w:hAnsiTheme="minorEastAsia" w:hint="eastAsia"/>
                <w:sz w:val="22"/>
                <w:szCs w:val="22"/>
              </w:rPr>
              <w:t>○義援金の窓口設置（義援金を被災県に送る場合は危機管理室、府に避難してきた被災者に贈る場合は福祉部）</w:t>
            </w:r>
          </w:p>
          <w:p w14:paraId="436327A3" w14:textId="77777777" w:rsidR="009953CA" w:rsidRPr="00E0548A" w:rsidRDefault="009953CA" w:rsidP="00300E31">
            <w:pPr>
              <w:jc w:val="left"/>
              <w:rPr>
                <w:rFonts w:asciiTheme="minorEastAsia" w:eastAsiaTheme="minorEastAsia" w:hAnsiTheme="minorEastAsia"/>
                <w:sz w:val="22"/>
                <w:szCs w:val="22"/>
              </w:rPr>
            </w:pPr>
            <w:r w:rsidRPr="00E0548A">
              <w:rPr>
                <w:rFonts w:asciiTheme="minorEastAsia" w:eastAsiaTheme="minorEastAsia" w:hAnsiTheme="minorEastAsia" w:hint="eastAsia"/>
                <w:sz w:val="22"/>
                <w:szCs w:val="22"/>
              </w:rPr>
              <w:t>○災害等派遣従事車輛証明書の発行</w:t>
            </w:r>
          </w:p>
        </w:tc>
      </w:tr>
      <w:tr w:rsidR="001D6D10" w:rsidRPr="001D6D10" w14:paraId="59A1D46E" w14:textId="77777777" w:rsidTr="00300E31">
        <w:trPr>
          <w:trHeight w:val="623"/>
        </w:trPr>
        <w:tc>
          <w:tcPr>
            <w:tcW w:w="1647" w:type="dxa"/>
          </w:tcPr>
          <w:p w14:paraId="33CE6B85" w14:textId="77777777" w:rsidR="009953CA" w:rsidRPr="00E0548A" w:rsidRDefault="009953CA" w:rsidP="00300E31">
            <w:pPr>
              <w:jc w:val="left"/>
              <w:rPr>
                <w:rFonts w:asciiTheme="minorEastAsia" w:eastAsiaTheme="minorEastAsia" w:hAnsiTheme="minorEastAsia"/>
                <w:sz w:val="22"/>
                <w:szCs w:val="22"/>
              </w:rPr>
            </w:pPr>
            <w:r w:rsidRPr="00E0548A">
              <w:rPr>
                <w:rFonts w:asciiTheme="minorEastAsia" w:eastAsiaTheme="minorEastAsia" w:hAnsiTheme="minorEastAsia" w:hint="eastAsia"/>
                <w:sz w:val="22"/>
                <w:szCs w:val="22"/>
              </w:rPr>
              <w:t>第4フェーズ</w:t>
            </w:r>
          </w:p>
          <w:p w14:paraId="10FFA31D" w14:textId="77777777" w:rsidR="009953CA" w:rsidRPr="00E0548A" w:rsidRDefault="009953CA" w:rsidP="00300E31">
            <w:pPr>
              <w:jc w:val="left"/>
              <w:rPr>
                <w:rFonts w:asciiTheme="minorEastAsia" w:eastAsiaTheme="minorEastAsia" w:hAnsiTheme="minorEastAsia"/>
                <w:sz w:val="22"/>
                <w:szCs w:val="22"/>
              </w:rPr>
            </w:pPr>
            <w:r w:rsidRPr="00E0548A">
              <w:rPr>
                <w:rFonts w:asciiTheme="minorEastAsia" w:eastAsiaTheme="minorEastAsia" w:hAnsiTheme="minorEastAsia" w:hint="eastAsia"/>
                <w:sz w:val="22"/>
                <w:szCs w:val="22"/>
              </w:rPr>
              <w:t>(1週間まで)</w:t>
            </w:r>
          </w:p>
        </w:tc>
        <w:tc>
          <w:tcPr>
            <w:tcW w:w="7029" w:type="dxa"/>
          </w:tcPr>
          <w:p w14:paraId="3A214230" w14:textId="77777777" w:rsidR="009953CA" w:rsidRPr="00E0548A" w:rsidRDefault="009953CA" w:rsidP="00300E31">
            <w:pPr>
              <w:jc w:val="left"/>
              <w:rPr>
                <w:rFonts w:asciiTheme="minorEastAsia" w:eastAsiaTheme="minorEastAsia" w:hAnsiTheme="minorEastAsia"/>
                <w:sz w:val="22"/>
                <w:szCs w:val="22"/>
              </w:rPr>
            </w:pPr>
            <w:r w:rsidRPr="00E0548A">
              <w:rPr>
                <w:rFonts w:asciiTheme="minorEastAsia" w:eastAsiaTheme="minorEastAsia" w:hAnsiTheme="minorEastAsia" w:hint="eastAsia"/>
                <w:sz w:val="22"/>
                <w:szCs w:val="22"/>
              </w:rPr>
              <w:t>○人的派遣の継続（庁内・市町村調整）※２</w:t>
            </w:r>
          </w:p>
          <w:p w14:paraId="28F4FD30" w14:textId="77777777" w:rsidR="009953CA" w:rsidRPr="001D6D10" w:rsidRDefault="009953CA" w:rsidP="00300E31">
            <w:pPr>
              <w:jc w:val="left"/>
              <w:rPr>
                <w:rFonts w:asciiTheme="minorEastAsia" w:eastAsiaTheme="minorEastAsia" w:hAnsiTheme="minorEastAsia"/>
                <w:sz w:val="22"/>
                <w:szCs w:val="22"/>
              </w:rPr>
            </w:pPr>
            <w:r w:rsidRPr="00E0548A">
              <w:rPr>
                <w:rFonts w:asciiTheme="minorEastAsia" w:eastAsiaTheme="minorEastAsia" w:hAnsiTheme="minorEastAsia" w:hint="eastAsia"/>
                <w:sz w:val="22"/>
                <w:szCs w:val="22"/>
              </w:rPr>
              <w:t>○求償手続きの開始</w:t>
            </w:r>
          </w:p>
        </w:tc>
      </w:tr>
    </w:tbl>
    <w:p w14:paraId="305F706E" w14:textId="77777777" w:rsidR="009953CA" w:rsidRPr="001D6D10" w:rsidRDefault="009953CA" w:rsidP="009953CA">
      <w:pPr>
        <w:numPr>
          <w:ilvl w:val="0"/>
          <w:numId w:val="26"/>
        </w:numPr>
        <w:jc w:val="left"/>
        <w:rPr>
          <w:rFonts w:asciiTheme="minorEastAsia" w:eastAsiaTheme="minorEastAsia" w:hAnsiTheme="minorEastAsia"/>
          <w:sz w:val="22"/>
          <w:szCs w:val="22"/>
        </w:rPr>
      </w:pPr>
      <w:r w:rsidRPr="001D6D10">
        <w:rPr>
          <w:rFonts w:ascii="ＭＳ 明朝" w:hAnsi="ＭＳ 明朝" w:hint="eastAsia"/>
          <w:sz w:val="22"/>
          <w:szCs w:val="22"/>
        </w:rPr>
        <w:t xml:space="preserve">１　</w:t>
      </w:r>
      <w:r w:rsidRPr="001D6D10">
        <w:rPr>
          <w:rFonts w:asciiTheme="minorEastAsia" w:eastAsiaTheme="minorEastAsia" w:hAnsiTheme="minorEastAsia" w:hint="eastAsia"/>
          <w:sz w:val="22"/>
          <w:szCs w:val="22"/>
        </w:rPr>
        <w:t>平成28年熊本地震、令和6年能登半島地震で危機管理室の対応より作成</w:t>
      </w:r>
    </w:p>
    <w:p w14:paraId="5868F816" w14:textId="77777777" w:rsidR="009953CA" w:rsidRPr="001D6D10" w:rsidRDefault="009953CA" w:rsidP="009953CA">
      <w:pPr>
        <w:numPr>
          <w:ilvl w:val="0"/>
          <w:numId w:val="26"/>
        </w:numPr>
        <w:jc w:val="left"/>
        <w:rPr>
          <w:rFonts w:asciiTheme="minorEastAsia" w:eastAsiaTheme="minorEastAsia" w:hAnsiTheme="minorEastAsia"/>
          <w:sz w:val="22"/>
          <w:szCs w:val="22"/>
        </w:rPr>
      </w:pPr>
      <w:r w:rsidRPr="001D6D10">
        <w:rPr>
          <w:rFonts w:asciiTheme="minorEastAsia" w:eastAsiaTheme="minorEastAsia" w:hAnsiTheme="minorEastAsia" w:hint="eastAsia"/>
          <w:sz w:val="22"/>
          <w:szCs w:val="22"/>
        </w:rPr>
        <w:t>２　各省庁からの応援要請に係る調整は各関係部局によるものとする</w:t>
      </w:r>
    </w:p>
    <w:p w14:paraId="4E0252D0" w14:textId="77777777" w:rsidR="009953CA" w:rsidRPr="001D6D10" w:rsidRDefault="009953CA">
      <w:pPr>
        <w:pStyle w:val="3"/>
        <w:ind w:firstLine="442"/>
      </w:pPr>
      <w:bookmarkStart w:id="205" w:name="_Toc122436917"/>
      <w:bookmarkStart w:id="206" w:name="_Toc222486600"/>
      <w:bookmarkStart w:id="207" w:name="_Toc242870270"/>
      <w:bookmarkStart w:id="208" w:name="_Hlk167214966"/>
      <w:r w:rsidRPr="001D6D10">
        <w:rPr>
          <w:rFonts w:hint="eastAsia"/>
        </w:rPr>
        <w:lastRenderedPageBreak/>
        <w:t>第５　緊急消防援助隊大阪府大隊における府職員の派遣</w:t>
      </w:r>
      <w:bookmarkEnd w:id="205"/>
      <w:bookmarkEnd w:id="206"/>
      <w:bookmarkEnd w:id="207"/>
    </w:p>
    <w:p w14:paraId="65B81FD7" w14:textId="77777777" w:rsidR="006E52DA" w:rsidRPr="00AD2C7A" w:rsidRDefault="009953CA" w:rsidP="006E52DA">
      <w:pPr>
        <w:ind w:leftChars="200" w:left="422" w:firstLineChars="100" w:firstLine="221"/>
        <w:jc w:val="left"/>
        <w:rPr>
          <w:rFonts w:asciiTheme="minorEastAsia" w:hAnsiTheme="minorEastAsia"/>
          <w:sz w:val="22"/>
          <w:szCs w:val="22"/>
        </w:rPr>
      </w:pPr>
      <w:r w:rsidRPr="001D6D10">
        <w:rPr>
          <w:rFonts w:asciiTheme="minorEastAsia" w:eastAsiaTheme="minorEastAsia" w:hAnsiTheme="minorEastAsia" w:hint="eastAsia"/>
          <w:sz w:val="22"/>
          <w:szCs w:val="22"/>
        </w:rPr>
        <w:t>消防庁長官による消防の応援等の措置の求め（消防組織法第44条第1・2項）及び、大規模・特殊災害時の出動の指示（消防組織法第44条第5項）に基づき、緊急消防援助隊大阪府大隊が他都道府県被災地へ派遣される場合、</w:t>
      </w:r>
      <w:bookmarkEnd w:id="208"/>
      <w:r w:rsidR="006E52DA" w:rsidRPr="00AD2C7A">
        <w:rPr>
          <w:rFonts w:ascii="ＭＳ 明朝" w:hAnsi="ＭＳ 明朝" w:cs="ＭＳ 明朝" w:hint="eastAsia"/>
          <w:sz w:val="22"/>
          <w:szCs w:val="22"/>
        </w:rPr>
        <w:t>消防保安課長は、速やかに消防保安課職員を後方支援本部（大阪市消防局）に派遣（後方支援本部リエゾン）するとともに、消防保安課内に要員（本庁要員）を配置する。また、緊急消防援助隊の活動を支援するため、危機管理室職員を後方支援活動拠点付近（被災地）に現地リエゾンとして派遣する。</w:t>
      </w:r>
    </w:p>
    <w:p w14:paraId="49272353" w14:textId="77777777" w:rsidR="008B4B2B" w:rsidRPr="001D6D10" w:rsidRDefault="008B4B2B" w:rsidP="008B4B2B">
      <w:pPr>
        <w:rPr>
          <w:rFonts w:ascii="ＭＳ ゴシック" w:eastAsia="ＭＳ ゴシック" w:hAnsi="ＭＳ ゴシック"/>
          <w:sz w:val="28"/>
          <w:szCs w:val="28"/>
        </w:rPr>
      </w:pPr>
    </w:p>
    <w:p w14:paraId="7D830AF4" w14:textId="77777777" w:rsidR="008B4B2B" w:rsidRPr="001D6D10" w:rsidRDefault="008B4B2B" w:rsidP="008B4B2B">
      <w:pPr>
        <w:rPr>
          <w:rFonts w:ascii="ＭＳ ゴシック" w:eastAsia="ＭＳ ゴシック" w:hAnsi="ＭＳ ゴシック"/>
          <w:sz w:val="28"/>
          <w:szCs w:val="28"/>
        </w:rPr>
        <w:sectPr w:rsidR="008B4B2B" w:rsidRPr="001D6D10" w:rsidSect="002D34D2">
          <w:footerReference w:type="default" r:id="rId20"/>
          <w:pgSz w:w="11906" w:h="16838" w:code="9"/>
          <w:pgMar w:top="1701" w:right="1531" w:bottom="1701" w:left="1531" w:header="850" w:footer="850" w:gutter="0"/>
          <w:pgNumType w:fmt="numberInDash" w:start="38"/>
          <w:cols w:space="425"/>
          <w:docGrid w:type="linesAndChars" w:linePitch="353" w:charSpace="225"/>
        </w:sectPr>
      </w:pPr>
    </w:p>
    <w:p w14:paraId="72A2383D" w14:textId="77777777" w:rsidR="00D93C38" w:rsidRDefault="00D93C38">
      <w:pPr>
        <w:widowControl/>
        <w:jc w:val="left"/>
        <w:rPr>
          <w:rFonts w:ascii="ＭＳ ゴシック" w:eastAsia="ＭＳ ゴシック" w:hAnsi="ＭＳ ゴシック" w:cs="Courier New"/>
          <w:bCs/>
          <w:sz w:val="28"/>
          <w:szCs w:val="28"/>
        </w:rPr>
      </w:pPr>
      <w:bookmarkStart w:id="209" w:name="_Toc122436918"/>
      <w:r>
        <w:br w:type="page"/>
      </w:r>
    </w:p>
    <w:p w14:paraId="274830BF" w14:textId="4ABD92A1" w:rsidR="008B4B2B" w:rsidRPr="001D6D10" w:rsidRDefault="008B4B2B">
      <w:pPr>
        <w:pStyle w:val="1"/>
      </w:pPr>
      <w:bookmarkStart w:id="210" w:name="_Toc222486601"/>
      <w:bookmarkStart w:id="211" w:name="_Toc242870271"/>
      <w:r w:rsidRPr="001D6D10">
        <w:rPr>
          <w:rFonts w:hint="eastAsia"/>
        </w:rPr>
        <w:lastRenderedPageBreak/>
        <w:t>第３章　情報収集伝達・警戒活動</w:t>
      </w:r>
      <w:bookmarkEnd w:id="209"/>
      <w:bookmarkEnd w:id="210"/>
      <w:bookmarkEnd w:id="211"/>
    </w:p>
    <w:p w14:paraId="1782DDD7" w14:textId="57851E57" w:rsidR="008B4B2B" w:rsidRPr="00E0548A" w:rsidRDefault="008B4B2B">
      <w:pPr>
        <w:pStyle w:val="2"/>
        <w:rPr>
          <w:rFonts w:asciiTheme="majorEastAsia" w:eastAsiaTheme="majorEastAsia" w:hAnsiTheme="majorEastAsia"/>
          <w:szCs w:val="40"/>
        </w:rPr>
      </w:pPr>
      <w:bookmarkStart w:id="212" w:name="_Toc122436919"/>
      <w:bookmarkStart w:id="213" w:name="_Toc222486602"/>
      <w:bookmarkStart w:id="214" w:name="_Toc242870272"/>
      <w:r w:rsidRPr="00E0548A">
        <w:rPr>
          <w:rFonts w:asciiTheme="majorEastAsia" w:eastAsiaTheme="majorEastAsia" w:hAnsiTheme="majorEastAsia" w:hint="eastAsia"/>
          <w:szCs w:val="40"/>
        </w:rPr>
        <w:t>第１節　警戒期の気象予警報等の伝達</w:t>
      </w:r>
      <w:bookmarkEnd w:id="212"/>
      <w:bookmarkEnd w:id="213"/>
      <w:bookmarkEnd w:id="214"/>
    </w:p>
    <w:p w14:paraId="12853B67" w14:textId="77777777" w:rsidR="008B4B2B" w:rsidRPr="001D6D10" w:rsidRDefault="008B4B2B" w:rsidP="00F960ED">
      <w:pPr>
        <w:ind w:left="211" w:hangingChars="100" w:hanging="211"/>
        <w:rPr>
          <w:rFonts w:ascii="ＭＳ ゴシック" w:eastAsia="ＭＳ ゴシック" w:hAnsi="ＭＳ ゴシック"/>
          <w:sz w:val="22"/>
          <w:szCs w:val="22"/>
          <w:bdr w:val="single" w:sz="4" w:space="0" w:color="auto"/>
        </w:rPr>
      </w:pPr>
      <w:r w:rsidRPr="001D6D10">
        <w:rPr>
          <w:rFonts w:hint="eastAsia"/>
        </w:rPr>
        <w:t xml:space="preserve">　　　　　</w:t>
      </w:r>
      <w:r w:rsidRPr="001D6D10">
        <w:rPr>
          <w:rFonts w:hint="eastAsia"/>
        </w:rPr>
        <w:t xml:space="preserve">   </w:t>
      </w:r>
      <w:r w:rsidRPr="001D6D10">
        <w:rPr>
          <w:rFonts w:ascii="ＭＳ ゴシック" w:eastAsia="ＭＳ ゴシック" w:hAnsi="ＭＳ ゴシック" w:hint="eastAsia"/>
          <w:sz w:val="22"/>
          <w:szCs w:val="22"/>
          <w:bdr w:val="single" w:sz="4" w:space="0" w:color="auto"/>
        </w:rPr>
        <w:t>主たる担当：危機管理室、河川室</w:t>
      </w:r>
    </w:p>
    <w:p w14:paraId="1C449E09" w14:textId="77777777" w:rsidR="008B4B2B" w:rsidRPr="001D6D10" w:rsidRDefault="008B4B2B" w:rsidP="008B4B2B">
      <w:pPr>
        <w:pStyle w:val="ad"/>
        <w:wordWrap/>
        <w:overflowPunct w:val="0"/>
        <w:spacing w:line="240" w:lineRule="auto"/>
        <w:rPr>
          <w:rFonts w:ascii="ＭＳ ゴシック" w:eastAsia="ＭＳ ゴシック" w:hAnsi="ＭＳ ゴシック"/>
          <w:u w:val="single"/>
        </w:rPr>
      </w:pPr>
      <w:r w:rsidRPr="001D6D10">
        <w:rPr>
          <w:rFonts w:ascii="ＭＳ ゴシック" w:eastAsia="ＭＳ ゴシック" w:hAnsi="ＭＳ ゴシック" w:hint="eastAsia"/>
          <w:noProof/>
        </w:rPr>
        <mc:AlternateContent>
          <mc:Choice Requires="wps">
            <w:drawing>
              <wp:anchor distT="0" distB="0" distL="114300" distR="114300" simplePos="0" relativeHeight="253154304" behindDoc="0" locked="0" layoutInCell="1" allowOverlap="1" wp14:anchorId="2F0D01CF" wp14:editId="2EE930D1">
                <wp:simplePos x="0" y="0"/>
                <wp:positionH relativeFrom="column">
                  <wp:posOffset>5372100</wp:posOffset>
                </wp:positionH>
                <wp:positionV relativeFrom="paragraph">
                  <wp:posOffset>114300</wp:posOffset>
                </wp:positionV>
                <wp:extent cx="457200" cy="1599565"/>
                <wp:effectExtent l="19050" t="9525" r="19050" b="10160"/>
                <wp:wrapNone/>
                <wp:docPr id="4140" name="AutoShape 232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57200" cy="1599565"/>
                        </a:xfrm>
                        <a:prstGeom prst="hexagon">
                          <a:avLst>
                            <a:gd name="adj" fmla="val 25000"/>
                            <a:gd name="vf" fmla="val 115470"/>
                          </a:avLst>
                        </a:prstGeom>
                        <a:solidFill>
                          <a:srgbClr val="FFFFFF"/>
                        </a:solidFill>
                        <a:ln w="9525">
                          <a:solidFill>
                            <a:srgbClr val="000000"/>
                          </a:solidFill>
                          <a:miter lim="800000"/>
                          <a:headEnd/>
                          <a:tailEnd/>
                        </a:ln>
                      </wps:spPr>
                      <wps:txbx>
                        <w:txbxContent>
                          <w:p w14:paraId="66CDA6C3" w14:textId="77777777" w:rsidR="006A5267" w:rsidRPr="00D53EB1" w:rsidRDefault="006A5267" w:rsidP="008B4B2B">
                            <w:pPr>
                              <w:spacing w:line="240" w:lineRule="exact"/>
                              <w:rPr>
                                <w:rFonts w:ascii="ＭＳ ゴシック" w:eastAsia="ＭＳ ゴシック" w:hAnsi="ＭＳ ゴシック"/>
                                <w:sz w:val="22"/>
                                <w:szCs w:val="22"/>
                              </w:rPr>
                            </w:pPr>
                            <w:r>
                              <w:rPr>
                                <w:rFonts w:ascii="ＭＳ ゴシック" w:eastAsia="ＭＳ ゴシック" w:hAnsi="ＭＳ ゴシック" w:hint="eastAsia"/>
                                <w:sz w:val="22"/>
                                <w:szCs w:val="22"/>
                              </w:rPr>
                              <w:t>住民・その他</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shape w14:anchorId="2F0D01CF" id="AutoShape 2328" o:spid="_x0000_s1336" type="#_x0000_t9" style="position:absolute;left:0;text-align:left;margin-left:423pt;margin-top:9pt;width:36pt;height:125.95pt;z-index:2531543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">
                <v:textbox inset="5.85pt,.7pt,5.85pt,.7pt">
                  <w:txbxContent>
                    <w:p w14:paraId="66CDA6C3" w14:textId="77777777" w:rsidR="006A5267" w:rsidRPr="00D53EB1" w:rsidRDefault="006A5267" w:rsidP="008B4B2B">
                      <w:pPr>
                        <w:spacing w:line="240" w:lineRule="exact"/>
                        <w:rPr>
                          <w:rFonts w:ascii="ＭＳ ゴシック" w:eastAsia="ＭＳ ゴシック" w:hAnsi="ＭＳ ゴシック"/>
                          <w:sz w:val="22"/>
                          <w:szCs w:val="22"/>
                        </w:rPr>
                      </w:pPr>
                      <w:r>
                        <w:rPr>
                          <w:rFonts w:ascii="ＭＳ ゴシック" w:eastAsia="ＭＳ ゴシック" w:hAnsi="ＭＳ ゴシック" w:hint="eastAsia"/>
                          <w:sz w:val="22"/>
                          <w:szCs w:val="22"/>
                        </w:rPr>
                        <w:t>住民・その他</w:t>
                      </w:r>
                    </w:p>
                  </w:txbxContent>
                </v:textbox>
              </v:shape>
            </w:pict>
          </mc:Fallback>
        </mc:AlternateContent>
      </w:r>
      <w:r w:rsidRPr="001D6D10">
        <w:rPr>
          <w:rFonts w:ascii="ＭＳ ゴシック" w:eastAsia="ＭＳ ゴシック" w:hAnsi="ＭＳ ゴシック" w:hint="eastAsia"/>
        </w:rPr>
        <w:t xml:space="preserve">　　　</w:t>
      </w:r>
      <w:r w:rsidRPr="001D6D10">
        <w:rPr>
          <w:rFonts w:ascii="ＭＳ ゴシック" w:eastAsia="ＭＳ ゴシック" w:hAnsi="ＭＳ ゴシック" w:hint="eastAsia"/>
          <w:u w:val="single"/>
        </w:rPr>
        <w:t>１　伝達経路</w:t>
      </w:r>
    </w:p>
    <w:p w14:paraId="0F6F7AEA" w14:textId="77777777" w:rsidR="008B4B2B" w:rsidRPr="001D6D10" w:rsidRDefault="008B4B2B" w:rsidP="008B4B2B">
      <w:pPr>
        <w:pStyle w:val="ad"/>
        <w:wordWrap/>
        <w:overflowPunct w:val="0"/>
        <w:spacing w:line="240" w:lineRule="auto"/>
        <w:rPr>
          <w:rFonts w:ascii="ＭＳ ゴシック" w:eastAsia="ＭＳ ゴシック" w:hAnsi="ＭＳ ゴシック"/>
        </w:rPr>
      </w:pPr>
      <w:r w:rsidRPr="001D6D10">
        <w:rPr>
          <w:rFonts w:ascii="ＭＳ ゴシック" w:eastAsia="ＭＳ ゴシック" w:hAnsi="ＭＳ ゴシック" w:hint="eastAsia"/>
          <w:noProof/>
        </w:rPr>
        <mc:AlternateContent>
          <mc:Choice Requires="wps">
            <w:drawing>
              <wp:anchor distT="0" distB="0" distL="114300" distR="114300" simplePos="0" relativeHeight="253150208" behindDoc="0" locked="0" layoutInCell="1" allowOverlap="1" wp14:anchorId="42C9AE52" wp14:editId="43029612">
                <wp:simplePos x="0" y="0"/>
                <wp:positionH relativeFrom="column">
                  <wp:posOffset>1371600</wp:posOffset>
                </wp:positionH>
                <wp:positionV relativeFrom="paragraph">
                  <wp:posOffset>0</wp:posOffset>
                </wp:positionV>
                <wp:extent cx="342900" cy="1543050"/>
                <wp:effectExtent l="9525" t="9525" r="9525" b="9525"/>
                <wp:wrapNone/>
                <wp:docPr id="4139" name="AutoShape 232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42900" cy="1543050"/>
                        </a:xfrm>
                        <a:prstGeom prst="roundRect">
                          <a:avLst>
                            <a:gd name="adj" fmla="val 16667"/>
                          </a:avLst>
                        </a:prstGeom>
                        <a:solidFill>
                          <a:srgbClr val="FFFFFF"/>
                        </a:solidFill>
                        <a:ln w="9525">
                          <a:solidFill>
                            <a:srgbClr val="000000"/>
                          </a:solidFill>
                          <a:round/>
                          <a:headEnd/>
                          <a:tailEnd/>
                        </a:ln>
                      </wps:spPr>
                      <wps:txbx>
                        <w:txbxContent>
                          <w:p w14:paraId="21C3EF79" w14:textId="77777777" w:rsidR="006A5267" w:rsidRDefault="006A5267" w:rsidP="008B4B2B">
                            <w:pPr>
                              <w:rPr>
                                <w:rFonts w:ascii="ＭＳ ゴシック" w:eastAsia="ＭＳ ゴシック" w:hAnsi="ＭＳ ゴシック"/>
                                <w:sz w:val="22"/>
                                <w:szCs w:val="22"/>
                              </w:rPr>
                            </w:pPr>
                            <w:r>
                              <w:rPr>
                                <w:rFonts w:ascii="ＭＳ ゴシック" w:eastAsia="ＭＳ ゴシック" w:hAnsi="ＭＳ ゴシック" w:hint="eastAsia"/>
                                <w:sz w:val="22"/>
                                <w:szCs w:val="22"/>
                              </w:rPr>
                              <w:t>府</w:t>
                            </w:r>
                          </w:p>
                          <w:p w14:paraId="74C6C068" w14:textId="77777777" w:rsidR="006A5267" w:rsidRDefault="006A5267" w:rsidP="008B4B2B">
                            <w:r>
                              <w:rPr>
                                <w:rFonts w:ascii="ＭＳ ゴシック" w:eastAsia="ＭＳ ゴシック" w:hAnsi="ＭＳ ゴシック" w:hint="eastAsia"/>
                                <w:sz w:val="22"/>
                                <w:szCs w:val="22"/>
                              </w:rPr>
                              <w:t>危機管理室</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roundrect w14:anchorId="42C9AE52" id="AutoShape 2325" o:spid="_x0000_s1337" style="position:absolute;left:0;text-align:left;margin-left:108pt;margin-top:0;width:27pt;height:121.5pt;z-index:2531502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">
                <v:textbox inset="5.85pt,.7pt,5.85pt,.7pt">
                  <w:txbxContent>
                    <w:p w14:paraId="21C3EF79" w14:textId="77777777" w:rsidR="006A5267" w:rsidRDefault="006A5267" w:rsidP="008B4B2B">
                      <w:pPr>
                        <w:rPr>
                          <w:rFonts w:ascii="ＭＳ ゴシック" w:eastAsia="ＭＳ ゴシック" w:hAnsi="ＭＳ ゴシック"/>
                          <w:sz w:val="22"/>
                          <w:szCs w:val="22"/>
                        </w:rPr>
                      </w:pPr>
                      <w:r>
                        <w:rPr>
                          <w:rFonts w:ascii="ＭＳ ゴシック" w:eastAsia="ＭＳ ゴシック" w:hAnsi="ＭＳ ゴシック" w:hint="eastAsia"/>
                          <w:sz w:val="22"/>
                          <w:szCs w:val="22"/>
                        </w:rPr>
                        <w:t>府</w:t>
                      </w:r>
                    </w:p>
                    <w:p w14:paraId="74C6C068" w14:textId="77777777" w:rsidR="006A5267" w:rsidRDefault="006A5267" w:rsidP="008B4B2B">
                      <w:r>
                        <w:rPr>
                          <w:rFonts w:ascii="ＭＳ ゴシック" w:eastAsia="ＭＳ ゴシック" w:hAnsi="ＭＳ ゴシック" w:hint="eastAsia"/>
                          <w:sz w:val="22"/>
                          <w:szCs w:val="22"/>
                        </w:rPr>
                        <w:t>危機管理室</w:t>
                      </w:r>
                    </w:p>
                  </w:txbxContent>
                </v:textbox>
              </v:roundrect>
            </w:pict>
          </mc:Fallback>
        </mc:AlternateContent>
      </w:r>
      <w:r w:rsidRPr="001D6D10">
        <w:rPr>
          <w:rFonts w:ascii="ＭＳ ゴシック" w:eastAsia="ＭＳ ゴシック" w:hAnsi="ＭＳ ゴシック" w:hint="eastAsia"/>
          <w:noProof/>
        </w:rPr>
        <mc:AlternateContent>
          <mc:Choice Requires="wps">
            <w:drawing>
              <wp:anchor distT="0" distB="0" distL="114300" distR="114300" simplePos="0" relativeHeight="253149184" behindDoc="0" locked="0" layoutInCell="1" allowOverlap="1" wp14:anchorId="54907AF2" wp14:editId="554409B4">
                <wp:simplePos x="0" y="0"/>
                <wp:positionH relativeFrom="column">
                  <wp:posOffset>342900</wp:posOffset>
                </wp:positionH>
                <wp:positionV relativeFrom="paragraph">
                  <wp:posOffset>0</wp:posOffset>
                </wp:positionV>
                <wp:extent cx="342900" cy="1600200"/>
                <wp:effectExtent l="9525" t="9525" r="9525" b="9525"/>
                <wp:wrapNone/>
                <wp:docPr id="4138" name="Oval 232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42900" cy="1600200"/>
                        </a:xfrm>
                        <a:prstGeom prst="ellipse">
                          <a:avLst/>
                        </a:prstGeom>
                        <a:solidFill>
                          <a:srgbClr val="FFFFFF"/>
                        </a:solidFill>
                        <a:ln w="9525">
                          <a:solidFill>
                            <a:srgbClr val="000000"/>
                          </a:solidFill>
                          <a:round/>
                          <a:headEnd/>
                          <a:tailEnd/>
                        </a:ln>
                      </wps:spPr>
                      <wps:txbx>
                        <w:txbxContent>
                          <w:p w14:paraId="5DFE1C30" w14:textId="77777777" w:rsidR="006A5267" w:rsidRPr="009C2A8C" w:rsidRDefault="006A5267" w:rsidP="008B4B2B">
                            <w:pPr>
                              <w:spacing w:line="240" w:lineRule="exact"/>
                              <w:rPr>
                                <w:rFonts w:ascii="ＭＳ ゴシック" w:eastAsia="ＭＳ ゴシック" w:hAnsi="ＭＳ ゴシック"/>
                                <w:sz w:val="22"/>
                                <w:szCs w:val="22"/>
                              </w:rPr>
                            </w:pPr>
                            <w:r w:rsidRPr="009C2A8C">
                              <w:rPr>
                                <w:rFonts w:ascii="ＭＳ ゴシック" w:eastAsia="ＭＳ ゴシック" w:hAnsi="ＭＳ ゴシック" w:hint="eastAsia"/>
                                <w:sz w:val="22"/>
                                <w:szCs w:val="22"/>
                              </w:rPr>
                              <w:t>大阪管区気象台</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oval w14:anchorId="54907AF2" id="Oval 2324" o:spid="_x0000_s1338" style="position:absolute;left:0;text-align:left;margin-left:27pt;margin-top:0;width:27pt;height:126pt;z-index:2531491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">
                <v:textbox inset="5.85pt,.7pt,5.85pt,.7pt">
                  <w:txbxContent>
                    <w:p w14:paraId="5DFE1C30" w14:textId="77777777" w:rsidR="006A5267" w:rsidRPr="009C2A8C" w:rsidRDefault="006A5267" w:rsidP="008B4B2B">
                      <w:pPr>
                        <w:spacing w:line="240" w:lineRule="exact"/>
                        <w:rPr>
                          <w:rFonts w:ascii="ＭＳ ゴシック" w:eastAsia="ＭＳ ゴシック" w:hAnsi="ＭＳ ゴシック"/>
                          <w:sz w:val="22"/>
                          <w:szCs w:val="22"/>
                        </w:rPr>
                      </w:pPr>
                      <w:r w:rsidRPr="009C2A8C">
                        <w:rPr>
                          <w:rFonts w:ascii="ＭＳ ゴシック" w:eastAsia="ＭＳ ゴシック" w:hAnsi="ＭＳ ゴシック" w:hint="eastAsia"/>
                          <w:sz w:val="22"/>
                          <w:szCs w:val="22"/>
                        </w:rPr>
                        <w:t>大阪管区気象台</w:t>
                      </w:r>
                    </w:p>
                  </w:txbxContent>
                </v:textbox>
              </v:oval>
            </w:pict>
          </mc:Fallback>
        </mc:AlternateContent>
      </w:r>
      <w:r w:rsidRPr="001D6D10">
        <w:rPr>
          <w:rFonts w:ascii="ＭＳ ゴシック" w:eastAsia="ＭＳ ゴシック" w:hAnsi="ＭＳ ゴシック" w:hint="eastAsia"/>
          <w:noProof/>
        </w:rPr>
        <mc:AlternateContent>
          <mc:Choice Requires="wps">
            <w:drawing>
              <wp:anchor distT="0" distB="0" distL="114300" distR="114300" simplePos="0" relativeHeight="253163520" behindDoc="0" locked="0" layoutInCell="1" allowOverlap="1" wp14:anchorId="5E40D4B8" wp14:editId="2E351E13">
                <wp:simplePos x="0" y="0"/>
                <wp:positionH relativeFrom="column">
                  <wp:posOffset>4572000</wp:posOffset>
                </wp:positionH>
                <wp:positionV relativeFrom="paragraph">
                  <wp:posOffset>147320</wp:posOffset>
                </wp:positionV>
                <wp:extent cx="800100" cy="0"/>
                <wp:effectExtent l="9525" t="61595" r="19050" b="52705"/>
                <wp:wrapNone/>
                <wp:docPr id="4137" name="Line 233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800100" cy="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line w14:anchorId="06B3F05A" id="Line 2334" o:spid="_x0000_s1026" style="position:absolute;left:0;text-align:left;z-index:2531635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5in,11.6pt" to="423pt,11.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">
                <v:stroke endarrow="block"/>
              </v:line>
            </w:pict>
          </mc:Fallback>
        </mc:AlternateContent>
      </w:r>
      <w:r w:rsidRPr="001D6D10">
        <w:rPr>
          <w:rFonts w:ascii="ＭＳ ゴシック" w:eastAsia="ＭＳ ゴシック" w:hAnsi="ＭＳ ゴシック" w:hint="eastAsia"/>
          <w:noProof/>
        </w:rPr>
        <mc:AlternateContent>
          <mc:Choice Requires="wps">
            <w:drawing>
              <wp:anchor distT="0" distB="0" distL="114300" distR="114300" simplePos="0" relativeHeight="253152256" behindDoc="0" locked="0" layoutInCell="1" allowOverlap="1" wp14:anchorId="062E2E60" wp14:editId="46CF9705">
                <wp:simplePos x="0" y="0"/>
                <wp:positionH relativeFrom="column">
                  <wp:posOffset>2514600</wp:posOffset>
                </wp:positionH>
                <wp:positionV relativeFrom="paragraph">
                  <wp:posOffset>0</wp:posOffset>
                </wp:positionV>
                <wp:extent cx="2057400" cy="342900"/>
                <wp:effectExtent l="9525" t="9525" r="9525" b="9525"/>
                <wp:wrapNone/>
                <wp:docPr id="4136" name="AutoShape 232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057400" cy="342900"/>
                        </a:xfrm>
                        <a:prstGeom prst="roundRect">
                          <a:avLst>
                            <a:gd name="adj" fmla="val 16667"/>
                          </a:avLst>
                        </a:prstGeom>
                        <a:solidFill>
                          <a:srgbClr val="FFFFFF"/>
                        </a:solidFill>
                        <a:ln w="9525">
                          <a:solidFill>
                            <a:srgbClr val="000000"/>
                          </a:solidFill>
                          <a:round/>
                          <a:headEnd/>
                          <a:tailEnd/>
                        </a:ln>
                      </wps:spPr>
                      <wps:txbx>
                        <w:txbxContent>
                          <w:p w14:paraId="3742842E" w14:textId="77777777" w:rsidR="006A5267" w:rsidRDefault="006A5267" w:rsidP="008B4B2B">
                            <w:pPr>
                              <w:ind w:firstLineChars="200" w:firstLine="442"/>
                            </w:pPr>
                            <w:r w:rsidRPr="00323BA2">
                              <w:rPr>
                                <w:rFonts w:ascii="ＭＳ ゴシック" w:eastAsia="ＭＳ ゴシック" w:hAnsi="ＭＳ ゴシック" w:hint="eastAsia"/>
                                <w:sz w:val="22"/>
                                <w:szCs w:val="22"/>
                              </w:rPr>
                              <w:t>市町村・消防機関</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roundrect w14:anchorId="062E2E60" id="AutoShape 2326" o:spid="_x0000_s1339" style="position:absolute;left:0;text-align:left;margin-left:198pt;margin-top:0;width:162pt;height:27pt;z-index:2531522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">
                <v:textbox inset="5.85pt,.7pt,5.85pt,.7pt">
                  <w:txbxContent>
                    <w:p w14:paraId="3742842E" w14:textId="77777777" w:rsidR="006A5267" w:rsidRDefault="006A5267" w:rsidP="008B4B2B">
                      <w:pPr>
                        <w:ind w:firstLineChars="200" w:firstLine="442"/>
                      </w:pPr>
                      <w:r w:rsidRPr="00323BA2">
                        <w:rPr>
                          <w:rFonts w:ascii="ＭＳ ゴシック" w:eastAsia="ＭＳ ゴシック" w:hAnsi="ＭＳ ゴシック" w:hint="eastAsia"/>
                          <w:sz w:val="22"/>
                          <w:szCs w:val="22"/>
                        </w:rPr>
                        <w:t>市町村・消防機関</w:t>
                      </w:r>
                    </w:p>
                  </w:txbxContent>
                </v:textbox>
              </v:roundrect>
            </w:pict>
          </mc:Fallback>
        </mc:AlternateContent>
      </w:r>
    </w:p>
    <w:p w14:paraId="42CB2CF6" w14:textId="77777777" w:rsidR="008B4B2B" w:rsidRPr="001D6D10" w:rsidRDefault="008B4B2B" w:rsidP="008B4B2B">
      <w:pPr>
        <w:pStyle w:val="ad"/>
        <w:wordWrap/>
        <w:overflowPunct w:val="0"/>
        <w:spacing w:line="240" w:lineRule="auto"/>
        <w:rPr>
          <w:rFonts w:ascii="ＭＳ ゴシック" w:eastAsia="ＭＳ ゴシック" w:hAnsi="ＭＳ ゴシック"/>
        </w:rPr>
      </w:pPr>
      <w:r w:rsidRPr="001D6D10">
        <w:rPr>
          <w:rFonts w:ascii="ＭＳ ゴシック" w:eastAsia="ＭＳ ゴシック" w:hAnsi="ＭＳ ゴシック" w:hint="eastAsia"/>
          <w:noProof/>
        </w:rPr>
        <mc:AlternateContent>
          <mc:Choice Requires="wps">
            <w:drawing>
              <wp:anchor distT="0" distB="0" distL="114300" distR="114300" simplePos="0" relativeHeight="253160448" behindDoc="0" locked="0" layoutInCell="1" allowOverlap="1" wp14:anchorId="3BC9BD40" wp14:editId="24E165AC">
                <wp:simplePos x="0" y="0"/>
                <wp:positionH relativeFrom="column">
                  <wp:posOffset>1714500</wp:posOffset>
                </wp:positionH>
                <wp:positionV relativeFrom="paragraph">
                  <wp:posOffset>0</wp:posOffset>
                </wp:positionV>
                <wp:extent cx="800100" cy="0"/>
                <wp:effectExtent l="9525" t="57150" r="19050" b="57150"/>
                <wp:wrapNone/>
                <wp:docPr id="4135" name="Line 233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800100" cy="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line w14:anchorId="71DAF9F5" id="Line 2332" o:spid="_x0000_s1026" style="position:absolute;left:0;text-align:left;z-index:2531604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35pt,0" to="198pt,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">
                <v:stroke endarrow="block"/>
              </v:line>
            </w:pict>
          </mc:Fallback>
        </mc:AlternateContent>
      </w:r>
    </w:p>
    <w:p w14:paraId="0788BDED" w14:textId="77777777" w:rsidR="008B4B2B" w:rsidRPr="001D6D10" w:rsidRDefault="008B4B2B" w:rsidP="008B4B2B">
      <w:pPr>
        <w:pStyle w:val="ad"/>
        <w:wordWrap/>
        <w:overflowPunct w:val="0"/>
        <w:spacing w:line="240" w:lineRule="auto"/>
        <w:rPr>
          <w:rFonts w:ascii="ＭＳ ゴシック" w:eastAsia="ＭＳ ゴシック" w:hAnsi="ＭＳ ゴシック"/>
        </w:rPr>
      </w:pPr>
    </w:p>
    <w:p w14:paraId="23EAD76F" w14:textId="77777777" w:rsidR="008B4B2B" w:rsidRPr="001D6D10" w:rsidRDefault="008B4B2B" w:rsidP="008B4B2B">
      <w:pPr>
        <w:pStyle w:val="ad"/>
        <w:wordWrap/>
        <w:overflowPunct w:val="0"/>
        <w:spacing w:line="240" w:lineRule="auto"/>
        <w:rPr>
          <w:rFonts w:ascii="ＭＳ ゴシック" w:eastAsia="ＭＳ ゴシック" w:hAnsi="ＭＳ ゴシック"/>
        </w:rPr>
      </w:pPr>
      <w:r w:rsidRPr="001D6D10">
        <w:rPr>
          <w:rFonts w:ascii="ＭＳ ゴシック" w:eastAsia="ＭＳ ゴシック" w:hAnsi="ＭＳ ゴシック" w:hint="eastAsia"/>
          <w:noProof/>
        </w:rPr>
        <mc:AlternateContent>
          <mc:Choice Requires="wps">
            <w:drawing>
              <wp:anchor distT="0" distB="0" distL="114300" distR="114300" simplePos="0" relativeHeight="253153280" behindDoc="0" locked="0" layoutInCell="1" allowOverlap="1" wp14:anchorId="2A08CBC1" wp14:editId="76063C91">
                <wp:simplePos x="0" y="0"/>
                <wp:positionH relativeFrom="column">
                  <wp:posOffset>2514600</wp:posOffset>
                </wp:positionH>
                <wp:positionV relativeFrom="paragraph">
                  <wp:posOffset>17145</wp:posOffset>
                </wp:positionV>
                <wp:extent cx="2057400" cy="800100"/>
                <wp:effectExtent l="9525" t="7620" r="9525" b="11430"/>
                <wp:wrapNone/>
                <wp:docPr id="4134" name="AutoShape 232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057400" cy="800100"/>
                        </a:xfrm>
                        <a:prstGeom prst="roundRect">
                          <a:avLst>
                            <a:gd name="adj" fmla="val 16667"/>
                          </a:avLst>
                        </a:prstGeom>
                        <a:solidFill>
                          <a:srgbClr val="FFFFFF"/>
                        </a:solidFill>
                        <a:ln w="9525">
                          <a:solidFill>
                            <a:srgbClr val="000000"/>
                          </a:solidFill>
                          <a:round/>
                          <a:headEnd/>
                          <a:tailEnd/>
                        </a:ln>
                      </wps:spPr>
                      <wps:txbx>
                        <w:txbxContent>
                          <w:p w14:paraId="58F36B1F" w14:textId="77777777" w:rsidR="006A5267" w:rsidRDefault="006A5267" w:rsidP="008B4B2B">
                            <w:pPr>
                              <w:ind w:firstLineChars="100" w:firstLine="221"/>
                              <w:rPr>
                                <w:rFonts w:ascii="ＭＳ ゴシック" w:eastAsia="ＭＳ ゴシック" w:hAnsi="ＭＳ ゴシック"/>
                                <w:sz w:val="22"/>
                                <w:szCs w:val="22"/>
                              </w:rPr>
                            </w:pPr>
                            <w:r>
                              <w:rPr>
                                <w:rFonts w:ascii="ＭＳ ゴシック" w:eastAsia="ＭＳ ゴシック" w:hAnsi="ＭＳ ゴシック" w:hint="eastAsia"/>
                                <w:sz w:val="22"/>
                                <w:szCs w:val="22"/>
                              </w:rPr>
                              <w:t>府関係（出先）機関等</w:t>
                            </w:r>
                          </w:p>
                          <w:p w14:paraId="0D61569C" w14:textId="77777777" w:rsidR="006A5267" w:rsidRDefault="006A5267" w:rsidP="008B4B2B">
                            <w:pPr>
                              <w:ind w:firstLineChars="250" w:firstLine="553"/>
                              <w:rPr>
                                <w:rFonts w:ascii="ＭＳ ゴシック" w:eastAsia="ＭＳ ゴシック" w:hAnsi="ＭＳ ゴシック"/>
                                <w:sz w:val="22"/>
                                <w:szCs w:val="22"/>
                              </w:rPr>
                            </w:pPr>
                            <w:r>
                              <w:rPr>
                                <w:rFonts w:ascii="ＭＳ ゴシック" w:eastAsia="ＭＳ ゴシック" w:hAnsi="ＭＳ ゴシック" w:hint="eastAsia"/>
                                <w:sz w:val="22"/>
                                <w:szCs w:val="22"/>
                              </w:rPr>
                              <w:t>府防災行政無線</w:t>
                            </w:r>
                          </w:p>
                          <w:p w14:paraId="6A446A0C" w14:textId="77777777" w:rsidR="006A5267" w:rsidRPr="00323BA2" w:rsidRDefault="006A5267" w:rsidP="008B4B2B">
                            <w:pPr>
                              <w:ind w:firstLineChars="250" w:firstLine="553"/>
                              <w:rPr>
                                <w:rFonts w:ascii="ＭＳ ゴシック" w:eastAsia="ＭＳ ゴシック" w:hAnsi="ＭＳ ゴシック"/>
                                <w:sz w:val="22"/>
                                <w:szCs w:val="22"/>
                              </w:rPr>
                            </w:pPr>
                            <w:r>
                              <w:rPr>
                                <w:rFonts w:ascii="ＭＳ ゴシック" w:eastAsia="ＭＳ ゴシック" w:hAnsi="ＭＳ ゴシック" w:hint="eastAsia"/>
                                <w:sz w:val="22"/>
                                <w:szCs w:val="22"/>
                              </w:rPr>
                              <w:t>一斉通信伝達機関</w:t>
                            </w:r>
                          </w:p>
                          <w:p w14:paraId="5DA54438" w14:textId="77777777" w:rsidR="006A5267" w:rsidRDefault="006A5267" w:rsidP="008B4B2B"/>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roundrect w14:anchorId="2A08CBC1" id="AutoShape 2327" o:spid="_x0000_s1340" style="position:absolute;left:0;text-align:left;margin-left:198pt;margin-top:1.35pt;width:162pt;height:63pt;z-index:2531532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">
                <v:textbox inset="5.85pt,.7pt,5.85pt,.7pt">
                  <w:txbxContent>
                    <w:p w14:paraId="58F36B1F" w14:textId="77777777" w:rsidR="006A5267" w:rsidRDefault="006A5267" w:rsidP="008B4B2B">
                      <w:pPr>
                        <w:ind w:firstLineChars="100" w:firstLine="221"/>
                        <w:rPr>
                          <w:rFonts w:ascii="ＭＳ ゴシック" w:eastAsia="ＭＳ ゴシック" w:hAnsi="ＭＳ ゴシック"/>
                          <w:sz w:val="22"/>
                          <w:szCs w:val="22"/>
                        </w:rPr>
                      </w:pPr>
                      <w:r>
                        <w:rPr>
                          <w:rFonts w:ascii="ＭＳ ゴシック" w:eastAsia="ＭＳ ゴシック" w:hAnsi="ＭＳ ゴシック" w:hint="eastAsia"/>
                          <w:sz w:val="22"/>
                          <w:szCs w:val="22"/>
                        </w:rPr>
                        <w:t>府関係（出先）機関等</w:t>
                      </w:r>
                    </w:p>
                    <w:p w14:paraId="0D61569C" w14:textId="77777777" w:rsidR="006A5267" w:rsidRDefault="006A5267" w:rsidP="008B4B2B">
                      <w:pPr>
                        <w:ind w:firstLineChars="250" w:firstLine="553"/>
                        <w:rPr>
                          <w:rFonts w:ascii="ＭＳ ゴシック" w:eastAsia="ＭＳ ゴシック" w:hAnsi="ＭＳ ゴシック"/>
                          <w:sz w:val="22"/>
                          <w:szCs w:val="22"/>
                        </w:rPr>
                      </w:pPr>
                      <w:r>
                        <w:rPr>
                          <w:rFonts w:ascii="ＭＳ ゴシック" w:eastAsia="ＭＳ ゴシック" w:hAnsi="ＭＳ ゴシック" w:hint="eastAsia"/>
                          <w:sz w:val="22"/>
                          <w:szCs w:val="22"/>
                        </w:rPr>
                        <w:t>府防災行政無線</w:t>
                      </w:r>
                    </w:p>
                    <w:p w14:paraId="6A446A0C" w14:textId="77777777" w:rsidR="006A5267" w:rsidRPr="00323BA2" w:rsidRDefault="006A5267" w:rsidP="008B4B2B">
                      <w:pPr>
                        <w:ind w:firstLineChars="250" w:firstLine="553"/>
                        <w:rPr>
                          <w:rFonts w:ascii="ＭＳ ゴシック" w:eastAsia="ＭＳ ゴシック" w:hAnsi="ＭＳ ゴシック"/>
                          <w:sz w:val="22"/>
                          <w:szCs w:val="22"/>
                        </w:rPr>
                      </w:pPr>
                      <w:r>
                        <w:rPr>
                          <w:rFonts w:ascii="ＭＳ ゴシック" w:eastAsia="ＭＳ ゴシック" w:hAnsi="ＭＳ ゴシック" w:hint="eastAsia"/>
                          <w:sz w:val="22"/>
                          <w:szCs w:val="22"/>
                        </w:rPr>
                        <w:t>一斉通信伝達機関</w:t>
                      </w:r>
                    </w:p>
                    <w:p w14:paraId="5DA54438" w14:textId="77777777" w:rsidR="006A5267" w:rsidRDefault="006A5267" w:rsidP="008B4B2B"/>
                  </w:txbxContent>
                </v:textbox>
              </v:roundrect>
            </w:pict>
          </mc:Fallback>
        </mc:AlternateContent>
      </w:r>
      <w:r w:rsidRPr="001D6D10">
        <w:rPr>
          <w:rFonts w:ascii="ＭＳ ゴシック" w:eastAsia="ＭＳ ゴシック" w:hAnsi="ＭＳ ゴシック" w:hint="eastAsia"/>
          <w:noProof/>
        </w:rPr>
        <mc:AlternateContent>
          <mc:Choice Requires="wps">
            <w:drawing>
              <wp:anchor distT="0" distB="0" distL="114300" distR="114300" simplePos="0" relativeHeight="253159424" behindDoc="0" locked="0" layoutInCell="1" allowOverlap="1" wp14:anchorId="209613FD" wp14:editId="684E72A5">
                <wp:simplePos x="0" y="0"/>
                <wp:positionH relativeFrom="column">
                  <wp:posOffset>685800</wp:posOffset>
                </wp:positionH>
                <wp:positionV relativeFrom="paragraph">
                  <wp:posOffset>83820</wp:posOffset>
                </wp:positionV>
                <wp:extent cx="685800" cy="0"/>
                <wp:effectExtent l="9525" t="55245" r="19050" b="59055"/>
                <wp:wrapNone/>
                <wp:docPr id="4133" name="Line 233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85800" cy="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line w14:anchorId="1DAD8AB0" id="Line 2331" o:spid="_x0000_s1026" style="position:absolute;left:0;text-align:left;z-index:2531594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54pt,6.6pt" to="108pt,6.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">
                <v:stroke endarrow="block"/>
              </v:line>
            </w:pict>
          </mc:Fallback>
        </mc:AlternateContent>
      </w:r>
    </w:p>
    <w:p w14:paraId="035788DB" w14:textId="77777777" w:rsidR="008B4B2B" w:rsidRPr="001D6D10" w:rsidRDefault="008B4B2B" w:rsidP="008B4B2B">
      <w:pPr>
        <w:pStyle w:val="ad"/>
        <w:wordWrap/>
        <w:overflowPunct w:val="0"/>
        <w:spacing w:line="240" w:lineRule="auto"/>
        <w:rPr>
          <w:rFonts w:ascii="ＭＳ ゴシック" w:eastAsia="ＭＳ ゴシック" w:hAnsi="ＭＳ ゴシック"/>
        </w:rPr>
      </w:pPr>
      <w:r w:rsidRPr="001D6D10">
        <w:rPr>
          <w:rFonts w:ascii="ＭＳ ゴシック" w:eastAsia="ＭＳ ゴシック" w:hAnsi="ＭＳ ゴシック" w:hint="eastAsia"/>
          <w:noProof/>
        </w:rPr>
        <mc:AlternateContent>
          <mc:Choice Requires="wps">
            <w:drawing>
              <wp:anchor distT="0" distB="0" distL="114300" distR="114300" simplePos="0" relativeHeight="253157376" behindDoc="0" locked="0" layoutInCell="1" allowOverlap="1" wp14:anchorId="0EF91805" wp14:editId="24911A68">
                <wp:simplePos x="0" y="0"/>
                <wp:positionH relativeFrom="column">
                  <wp:posOffset>4114800</wp:posOffset>
                </wp:positionH>
                <wp:positionV relativeFrom="paragraph">
                  <wp:posOffset>145415</wp:posOffset>
                </wp:positionV>
                <wp:extent cx="114300" cy="342900"/>
                <wp:effectExtent l="9525" t="12065" r="9525" b="6985"/>
                <wp:wrapNone/>
                <wp:docPr id="4132" name="AutoShape 233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14300" cy="342900"/>
                        </a:xfrm>
                        <a:prstGeom prst="rightBracket">
                          <a:avLst>
                            <a:gd name="adj" fmla="val 25000"/>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shapetype w14:anchorId="185916E2" id="_x0000_t86" coordsize="21600,21600" o:spt="86" adj="1800" path="m,qx21600@0l21600@1qy,21600e" filled="f">
                <v:formulas>
                  <v:f eqn="val #0"/>
                  <v:f eqn="sum 21600 0 #0"/>
                  <v:f eqn="prod #0 9598 32768"/>
                  <v:f eqn="sum 21600 0 @2"/>
                </v:formulas>
                <v:path arrowok="t" gradientshapeok="t" o:connecttype="custom" o:connectlocs="0,0;0,21600;21600,10800" textboxrect="0,@2,15274,@3"/>
                <v:handles>
                  <v:h position="bottomRight,#0" yrange="0,10800"/>
                </v:handles>
              </v:shapetype>
              <v:shape id="AutoShape 2330" o:spid="_x0000_s1026" type="#_x0000_t86" style="position:absolute;left:0;text-align:left;margin-left:324pt;margin-top:11.45pt;width:9pt;height:27pt;z-index:2531573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">
                <v:textbox inset="5.85pt,.7pt,5.85pt,.7pt"/>
              </v:shape>
            </w:pict>
          </mc:Fallback>
        </mc:AlternateContent>
      </w:r>
      <w:r w:rsidRPr="001D6D10">
        <w:rPr>
          <w:rFonts w:ascii="ＭＳ ゴシック" w:eastAsia="ＭＳ ゴシック" w:hAnsi="ＭＳ ゴシック" w:hint="eastAsia"/>
          <w:noProof/>
        </w:rPr>
        <mc:AlternateContent>
          <mc:Choice Requires="wps">
            <w:drawing>
              <wp:anchor distT="0" distB="0" distL="114300" distR="114300" simplePos="0" relativeHeight="253155328" behindDoc="0" locked="0" layoutInCell="1" allowOverlap="1" wp14:anchorId="7E3BEF35" wp14:editId="6DAEC1EC">
                <wp:simplePos x="0" y="0"/>
                <wp:positionH relativeFrom="column">
                  <wp:posOffset>2857500</wp:posOffset>
                </wp:positionH>
                <wp:positionV relativeFrom="paragraph">
                  <wp:posOffset>145415</wp:posOffset>
                </wp:positionV>
                <wp:extent cx="114300" cy="342900"/>
                <wp:effectExtent l="9525" t="12065" r="9525" b="6985"/>
                <wp:wrapNone/>
                <wp:docPr id="4131" name="AutoShape 232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14300" cy="342900"/>
                        </a:xfrm>
                        <a:prstGeom prst="leftBracket">
                          <a:avLst>
                            <a:gd name="adj" fmla="val 25000"/>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shapetype w14:anchorId="51D006CC" id="_x0000_t85" coordsize="21600,21600" o:spt="85" adj="1800" path="m21600,qx0@0l0@1qy21600,21600e" filled="f">
                <v:formulas>
                  <v:f eqn="val #0"/>
                  <v:f eqn="sum 21600 0 #0"/>
                  <v:f eqn="prod #0 9598 32768"/>
                  <v:f eqn="sum 21600 0 @2"/>
                </v:formulas>
                <v:path arrowok="t" gradientshapeok="t" o:connecttype="custom" o:connectlocs="21600,0;0,10800;21600,21600" textboxrect="6326,@2,21600,@3"/>
                <v:handles>
                  <v:h position="topLeft,#0" yrange="0,10800"/>
                </v:handles>
              </v:shapetype>
              <v:shape id="AutoShape 2329" o:spid="_x0000_s1026" type="#_x0000_t85" style="position:absolute;left:0;text-align:left;margin-left:225pt;margin-top:11.45pt;width:9pt;height:27pt;z-index:2531553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">
                <v:textbox inset="5.85pt,.7pt,5.85pt,.7pt"/>
              </v:shape>
            </w:pict>
          </mc:Fallback>
        </mc:AlternateContent>
      </w:r>
      <w:r w:rsidRPr="001D6D10">
        <w:rPr>
          <w:rFonts w:ascii="ＭＳ ゴシック" w:eastAsia="ＭＳ ゴシック" w:hAnsi="ＭＳ ゴシック" w:hint="eastAsia"/>
          <w:noProof/>
        </w:rPr>
        <mc:AlternateContent>
          <mc:Choice Requires="wps">
            <w:drawing>
              <wp:anchor distT="0" distB="0" distL="114300" distR="114300" simplePos="0" relativeHeight="253161472" behindDoc="0" locked="0" layoutInCell="1" allowOverlap="1" wp14:anchorId="3B5D8A1D" wp14:editId="64527923">
                <wp:simplePos x="0" y="0"/>
                <wp:positionH relativeFrom="column">
                  <wp:posOffset>1714500</wp:posOffset>
                </wp:positionH>
                <wp:positionV relativeFrom="paragraph">
                  <wp:posOffset>212090</wp:posOffset>
                </wp:positionV>
                <wp:extent cx="800100" cy="0"/>
                <wp:effectExtent l="9525" t="59690" r="19050" b="54610"/>
                <wp:wrapNone/>
                <wp:docPr id="4130" name="Line 233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800100" cy="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line w14:anchorId="46256CA4" id="Line 2333" o:spid="_x0000_s1026" style="position:absolute;left:0;text-align:left;z-index:2531614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35pt,16.7pt" to="198pt,16.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">
                <v:stroke endarrow="block"/>
              </v:line>
            </w:pict>
          </mc:Fallback>
        </mc:AlternateContent>
      </w:r>
    </w:p>
    <w:p w14:paraId="5029F0A1" w14:textId="77777777" w:rsidR="008B4B2B" w:rsidRPr="001D6D10" w:rsidRDefault="008B4B2B" w:rsidP="008B4B2B">
      <w:pPr>
        <w:pStyle w:val="ad"/>
        <w:wordWrap/>
        <w:overflowPunct w:val="0"/>
        <w:spacing w:line="240" w:lineRule="auto"/>
        <w:rPr>
          <w:rFonts w:ascii="ＭＳ ゴシック" w:eastAsia="ＭＳ ゴシック" w:hAnsi="ＭＳ ゴシック"/>
        </w:rPr>
      </w:pPr>
      <w:r w:rsidRPr="001D6D10">
        <w:rPr>
          <w:rFonts w:ascii="ＭＳ ゴシック" w:eastAsia="ＭＳ ゴシック" w:hAnsi="ＭＳ ゴシック" w:hint="eastAsia"/>
          <w:noProof/>
        </w:rPr>
        <mc:AlternateContent>
          <mc:Choice Requires="wps">
            <w:drawing>
              <wp:anchor distT="0" distB="0" distL="114300" distR="114300" simplePos="0" relativeHeight="253164544" behindDoc="0" locked="0" layoutInCell="1" allowOverlap="1" wp14:anchorId="1D8FEA44" wp14:editId="4AFE1E0A">
                <wp:simplePos x="0" y="0"/>
                <wp:positionH relativeFrom="column">
                  <wp:posOffset>4572000</wp:posOffset>
                </wp:positionH>
                <wp:positionV relativeFrom="paragraph">
                  <wp:posOffset>128270</wp:posOffset>
                </wp:positionV>
                <wp:extent cx="800100" cy="0"/>
                <wp:effectExtent l="9525" t="61595" r="19050" b="52705"/>
                <wp:wrapNone/>
                <wp:docPr id="4129" name="Line 233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800100" cy="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line w14:anchorId="35E205B5" id="Line 2335" o:spid="_x0000_s1026" style="position:absolute;left:0;text-align:left;z-index:2531645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5in,10.1pt" to="423pt,10.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">
                <v:stroke endarrow="block"/>
              </v:line>
            </w:pict>
          </mc:Fallback>
        </mc:AlternateContent>
      </w:r>
    </w:p>
    <w:p w14:paraId="74013DBB" w14:textId="77777777" w:rsidR="008B4B2B" w:rsidRPr="001D6D10" w:rsidRDefault="008B4B2B" w:rsidP="008B4B2B">
      <w:pPr>
        <w:pStyle w:val="ad"/>
        <w:wordWrap/>
        <w:overflowPunct w:val="0"/>
        <w:spacing w:line="240" w:lineRule="auto"/>
        <w:rPr>
          <w:rFonts w:ascii="ＭＳ ゴシック" w:eastAsia="ＭＳ ゴシック" w:hAnsi="ＭＳ ゴシック"/>
        </w:rPr>
      </w:pPr>
    </w:p>
    <w:p w14:paraId="6EAA28B1" w14:textId="77777777" w:rsidR="008B4B2B" w:rsidRPr="001D6D10" w:rsidRDefault="008B4B2B" w:rsidP="008B4B2B">
      <w:pPr>
        <w:pStyle w:val="ad"/>
        <w:wordWrap/>
        <w:overflowPunct w:val="0"/>
        <w:spacing w:line="240" w:lineRule="auto"/>
        <w:rPr>
          <w:rFonts w:ascii="ＭＳ ゴシック" w:eastAsia="ＭＳ ゴシック" w:hAnsi="ＭＳ ゴシック"/>
          <w:u w:val="single"/>
        </w:rPr>
      </w:pPr>
      <w:r w:rsidRPr="001D6D10">
        <w:rPr>
          <w:rFonts w:ascii="ＭＳ ゴシック" w:eastAsia="ＭＳ ゴシック" w:hAnsi="ＭＳ ゴシック" w:hint="eastAsia"/>
        </w:rPr>
        <w:t xml:space="preserve">　　　</w:t>
      </w:r>
      <w:r w:rsidRPr="001D6D10">
        <w:rPr>
          <w:rFonts w:ascii="ＭＳ ゴシック" w:eastAsia="ＭＳ ゴシック" w:hAnsi="ＭＳ ゴシック" w:hint="eastAsia"/>
          <w:u w:val="single"/>
        </w:rPr>
        <w:t>２　情報の種類</w:t>
      </w:r>
    </w:p>
    <w:p w14:paraId="10E7EE96" w14:textId="77777777" w:rsidR="008B4B2B" w:rsidRPr="001D6D10" w:rsidRDefault="008B4B2B" w:rsidP="008B4B2B">
      <w:pPr>
        <w:ind w:firstLineChars="400" w:firstLine="884"/>
        <w:rPr>
          <w:rFonts w:ascii="ＭＳ 明朝" w:hAnsi="ＭＳ 明朝"/>
          <w:sz w:val="22"/>
          <w:szCs w:val="22"/>
        </w:rPr>
      </w:pPr>
      <w:r w:rsidRPr="001D6D10">
        <w:rPr>
          <w:rFonts w:ascii="ＭＳ 明朝" w:hAnsi="ＭＳ 明朝" w:hint="eastAsia"/>
          <w:sz w:val="22"/>
          <w:szCs w:val="22"/>
        </w:rPr>
        <w:t>(1)  大阪管区気象台が発表する情報</w:t>
      </w:r>
    </w:p>
    <w:p w14:paraId="2CB8B3B4" w14:textId="0574F74C" w:rsidR="008B4B2B" w:rsidRPr="001D6D10" w:rsidRDefault="008B4B2B" w:rsidP="008B4B2B">
      <w:pPr>
        <w:pStyle w:val="ad"/>
        <w:wordWrap/>
        <w:overflowPunct w:val="0"/>
        <w:spacing w:line="240" w:lineRule="auto"/>
        <w:ind w:left="1216" w:hangingChars="550" w:hanging="1216"/>
        <w:rPr>
          <w:rFonts w:ascii="ＭＳ 明朝" w:hAnsi="ＭＳ 明朝"/>
        </w:rPr>
      </w:pPr>
      <w:r w:rsidRPr="001D6D10">
        <w:rPr>
          <w:rFonts w:ascii="ＭＳ 明朝" w:hAnsi="ＭＳ 明朝" w:hint="eastAsia"/>
        </w:rPr>
        <w:t xml:space="preserve">　　　　　　 気象・地面現象・高潮・波浪・</w:t>
      </w:r>
      <w:r w:rsidR="00B44D3A">
        <w:rPr>
          <w:rFonts w:ascii="ＭＳ 明朝" w:hAnsi="ＭＳ 明朝" w:hint="eastAsia"/>
        </w:rPr>
        <w:t>大雨・河川氾濫</w:t>
      </w:r>
      <w:r w:rsidRPr="001D6D10">
        <w:rPr>
          <w:rFonts w:ascii="ＭＳ 明朝" w:hAnsi="ＭＳ 明朝" w:hint="eastAsia"/>
        </w:rPr>
        <w:t>の注意報、気象・地面現象・高潮・波浪・</w:t>
      </w:r>
      <w:r w:rsidR="00B44D3A">
        <w:rPr>
          <w:rFonts w:ascii="ＭＳ 明朝" w:hAnsi="ＭＳ 明朝" w:hint="eastAsia"/>
        </w:rPr>
        <w:t>大雨・河川氾濫</w:t>
      </w:r>
      <w:r w:rsidRPr="001D6D10">
        <w:rPr>
          <w:rFonts w:ascii="ＭＳ 明朝" w:hAnsi="ＭＳ 明朝" w:hint="eastAsia"/>
        </w:rPr>
        <w:t>の警報、大雨・暴風・高潮・波浪・暴風雪・大雪・津波・地震の特別警報及び気象情報をいい、注意を喚起し、警戒を促す。</w:t>
      </w:r>
    </w:p>
    <w:p w14:paraId="44D2D79B" w14:textId="77777777" w:rsidR="008B4B2B" w:rsidRPr="001D6D10" w:rsidRDefault="008B4B2B" w:rsidP="008B4B2B">
      <w:pPr>
        <w:pStyle w:val="ad"/>
        <w:wordWrap/>
        <w:overflowPunct w:val="0"/>
        <w:spacing w:line="240" w:lineRule="auto"/>
        <w:ind w:left="1216" w:hangingChars="550" w:hanging="1216"/>
        <w:rPr>
          <w:rFonts w:ascii="ＭＳ 明朝" w:hAnsi="ＭＳ 明朝"/>
        </w:rPr>
      </w:pPr>
    </w:p>
    <w:p w14:paraId="67A63FA1" w14:textId="77777777" w:rsidR="008B4B2B" w:rsidRPr="0011172B" w:rsidRDefault="008B4B2B" w:rsidP="008B4B2B">
      <w:pPr>
        <w:pStyle w:val="ad"/>
        <w:wordWrap/>
        <w:overflowPunct w:val="0"/>
        <w:spacing w:line="240" w:lineRule="auto"/>
        <w:ind w:firstLineChars="400" w:firstLine="884"/>
        <w:rPr>
          <w:rFonts w:ascii="ＭＳ 明朝" w:hAnsi="ＭＳ 明朝"/>
        </w:rPr>
      </w:pPr>
      <w:r w:rsidRPr="001D6D10">
        <w:rPr>
          <w:rFonts w:ascii="ＭＳ 明朝" w:hAnsi="ＭＳ 明朝" w:hint="eastAsia"/>
        </w:rPr>
        <w:t xml:space="preserve">(2)　</w:t>
      </w:r>
      <w:r w:rsidRPr="0011172B">
        <w:rPr>
          <w:rFonts w:ascii="ＭＳ 明朝" w:hAnsi="ＭＳ 明朝" w:hint="eastAsia"/>
        </w:rPr>
        <w:t>大阪管区気象台と近畿地方整備局が共同で発表する洪水予報</w:t>
      </w:r>
    </w:p>
    <w:p w14:paraId="6FE3FA06" w14:textId="6FA287BC" w:rsidR="008B4B2B" w:rsidRPr="001D6D10" w:rsidRDefault="008B4B2B" w:rsidP="008B4B2B">
      <w:pPr>
        <w:ind w:left="1216" w:rightChars="-41" w:right="-87" w:hangingChars="550" w:hanging="1216"/>
        <w:rPr>
          <w:rFonts w:ascii="ＭＳ 明朝" w:hAnsi="ＭＳ 明朝"/>
          <w:sz w:val="22"/>
          <w:szCs w:val="22"/>
        </w:rPr>
      </w:pPr>
      <w:r w:rsidRPr="0011172B">
        <w:rPr>
          <w:rFonts w:ascii="ＭＳ 明朝" w:hAnsi="ＭＳ 明朝" w:hint="eastAsia"/>
          <w:sz w:val="22"/>
          <w:szCs w:val="22"/>
        </w:rPr>
        <w:t xml:space="preserve">　　　　　　</w:t>
      </w:r>
      <w:r w:rsidRPr="0011172B">
        <w:rPr>
          <w:rFonts w:ascii="ＭＳ 明朝" w:hAnsi="ＭＳ 明朝"/>
          <w:sz w:val="22"/>
          <w:szCs w:val="22"/>
        </w:rPr>
        <w:t xml:space="preserve"> 二以上の府県の区域にわたる河川その他の流域面積が大きく洪水により重大な損害を生ずる恐れのあるものとして指定した河川（淀川、大和川</w:t>
      </w:r>
      <w:r w:rsidR="00664964" w:rsidRPr="0011172B">
        <w:rPr>
          <w:rFonts w:ascii="ＭＳ 明朝" w:hAnsi="ＭＳ 明朝"/>
          <w:sz w:val="22"/>
          <w:szCs w:val="22"/>
        </w:rPr>
        <w:t>下流</w:t>
      </w:r>
      <w:r w:rsidRPr="0011172B">
        <w:rPr>
          <w:rFonts w:ascii="ＭＳ 明朝" w:hAnsi="ＭＳ 明朝"/>
          <w:sz w:val="22"/>
          <w:szCs w:val="22"/>
        </w:rPr>
        <w:t>、猪名川</w:t>
      </w:r>
      <w:r w:rsidR="00664964" w:rsidRPr="0011172B">
        <w:rPr>
          <w:rFonts w:ascii="ＭＳ 明朝" w:hAnsi="ＭＳ 明朝" w:hint="eastAsia"/>
          <w:sz w:val="22"/>
          <w:szCs w:val="22"/>
        </w:rPr>
        <w:t>、</w:t>
      </w:r>
      <w:r w:rsidR="00664964" w:rsidRPr="0011172B">
        <w:rPr>
          <w:rFonts w:ascii="ＭＳ 明朝" w:hAnsi="ＭＳ 明朝"/>
          <w:sz w:val="22"/>
          <w:szCs w:val="22"/>
        </w:rPr>
        <w:t>桂川下流、木津川下流</w:t>
      </w:r>
      <w:r w:rsidRPr="0011172B">
        <w:rPr>
          <w:rFonts w:ascii="ＭＳ 明朝" w:hAnsi="ＭＳ 明朝"/>
          <w:sz w:val="22"/>
          <w:szCs w:val="22"/>
        </w:rPr>
        <w:t>）の</w:t>
      </w:r>
      <w:r w:rsidR="00664964" w:rsidRPr="0011172B">
        <w:rPr>
          <w:rFonts w:ascii="ＭＳ 明朝" w:hAnsi="ＭＳ 明朝"/>
          <w:sz w:val="22"/>
          <w:szCs w:val="22"/>
        </w:rPr>
        <w:t>レベル２</w:t>
      </w:r>
      <w:r w:rsidR="007A5933" w:rsidRPr="0011172B">
        <w:rPr>
          <w:rFonts w:ascii="ＭＳ 明朝" w:hAnsi="ＭＳ 明朝" w:hint="eastAsia"/>
          <w:sz w:val="22"/>
          <w:szCs w:val="22"/>
        </w:rPr>
        <w:t>氾</w:t>
      </w:r>
      <w:r w:rsidRPr="0011172B">
        <w:rPr>
          <w:rFonts w:ascii="ＭＳ 明朝" w:hAnsi="ＭＳ 明朝" w:hint="eastAsia"/>
          <w:sz w:val="22"/>
          <w:szCs w:val="22"/>
        </w:rPr>
        <w:t>濫注意情報（洪水注意報）、</w:t>
      </w:r>
      <w:r w:rsidR="00664964" w:rsidRPr="0011172B">
        <w:rPr>
          <w:rFonts w:ascii="ＭＳ 明朝" w:hAnsi="ＭＳ 明朝"/>
          <w:sz w:val="22"/>
          <w:szCs w:val="22"/>
        </w:rPr>
        <w:t>レベル３</w:t>
      </w:r>
      <w:r w:rsidR="007A5933" w:rsidRPr="0011172B">
        <w:rPr>
          <w:rFonts w:ascii="ＭＳ 明朝" w:hAnsi="ＭＳ 明朝" w:hint="eastAsia"/>
          <w:sz w:val="22"/>
          <w:szCs w:val="22"/>
        </w:rPr>
        <w:t>氾</w:t>
      </w:r>
      <w:r w:rsidRPr="0011172B">
        <w:rPr>
          <w:rFonts w:ascii="ＭＳ 明朝" w:hAnsi="ＭＳ 明朝" w:hint="eastAsia"/>
          <w:sz w:val="22"/>
          <w:szCs w:val="22"/>
        </w:rPr>
        <w:t>濫</w:t>
      </w:r>
      <w:r w:rsidR="00664964" w:rsidRPr="0011172B">
        <w:rPr>
          <w:rFonts w:ascii="ＭＳ 明朝" w:hAnsi="ＭＳ 明朝" w:hint="eastAsia"/>
          <w:sz w:val="22"/>
          <w:szCs w:val="22"/>
        </w:rPr>
        <w:t>警報</w:t>
      </w:r>
      <w:r w:rsidR="00047C7D" w:rsidRPr="0011172B">
        <w:rPr>
          <w:rFonts w:ascii="ＭＳ 明朝" w:hAnsi="ＭＳ 明朝" w:hint="eastAsia"/>
          <w:sz w:val="22"/>
          <w:szCs w:val="22"/>
        </w:rPr>
        <w:t>、</w:t>
      </w:r>
      <w:r w:rsidR="00047C7D" w:rsidRPr="0011172B">
        <w:rPr>
          <w:rFonts w:ascii="ＭＳ 明朝" w:hAnsi="ＭＳ 明朝"/>
          <w:sz w:val="22"/>
          <w:szCs w:val="22"/>
        </w:rPr>
        <w:t>レベル４氾濫危険警報、レベル５氾濫特別警報/氾濫発生情報</w:t>
      </w:r>
      <w:r w:rsidRPr="0011172B">
        <w:rPr>
          <w:rFonts w:ascii="ＭＳ 明朝" w:hAnsi="ＭＳ 明朝" w:hint="eastAsia"/>
          <w:sz w:val="22"/>
          <w:szCs w:val="22"/>
        </w:rPr>
        <w:t>をいい、府に通知するとともに、報道機関の協力を求めて一般に周知する。また、府</w:t>
      </w:r>
      <w:r w:rsidR="00335FBB" w:rsidRPr="0011172B">
        <w:rPr>
          <w:rFonts w:ascii="ＭＳ 明朝" w:hAnsi="ＭＳ 明朝" w:hint="eastAsia"/>
          <w:sz w:val="22"/>
          <w:szCs w:val="22"/>
        </w:rPr>
        <w:t>（水防本部）</w:t>
      </w:r>
      <w:r w:rsidRPr="0011172B">
        <w:rPr>
          <w:rFonts w:ascii="ＭＳ 明朝" w:hAnsi="ＭＳ 明朝" w:hint="eastAsia"/>
          <w:sz w:val="22"/>
          <w:szCs w:val="22"/>
        </w:rPr>
        <w:t>は通知を受けた場合は、直ちに水防管理者等に通知する。</w:t>
      </w:r>
    </w:p>
    <w:p w14:paraId="17FB9FA9" w14:textId="77777777" w:rsidR="008B4B2B" w:rsidRPr="001D6D10" w:rsidRDefault="008B4B2B" w:rsidP="008B4B2B">
      <w:pPr>
        <w:ind w:left="884" w:hangingChars="400" w:hanging="884"/>
        <w:rPr>
          <w:rFonts w:ascii="ＭＳ 明朝" w:hAnsi="ＭＳ 明朝"/>
          <w:sz w:val="22"/>
          <w:szCs w:val="22"/>
        </w:rPr>
      </w:pPr>
    </w:p>
    <w:p w14:paraId="2B28C407" w14:textId="77777777" w:rsidR="008B4B2B" w:rsidRPr="0011172B" w:rsidRDefault="008B4B2B" w:rsidP="008B4B2B">
      <w:pPr>
        <w:ind w:left="884" w:hangingChars="400" w:hanging="884"/>
        <w:rPr>
          <w:rFonts w:ascii="ＭＳ 明朝" w:hAnsi="ＭＳ 明朝"/>
          <w:sz w:val="22"/>
          <w:szCs w:val="22"/>
        </w:rPr>
      </w:pPr>
      <w:r w:rsidRPr="001D6D10">
        <w:rPr>
          <w:rFonts w:ascii="ＭＳ 明朝" w:hAnsi="ＭＳ 明朝" w:hint="eastAsia"/>
          <w:sz w:val="22"/>
          <w:szCs w:val="22"/>
        </w:rPr>
        <w:t xml:space="preserve">　　　　(3)　</w:t>
      </w:r>
      <w:r w:rsidRPr="0011172B">
        <w:rPr>
          <w:rFonts w:ascii="ＭＳ 明朝" w:hAnsi="ＭＳ 明朝" w:hint="eastAsia"/>
          <w:sz w:val="22"/>
          <w:szCs w:val="22"/>
        </w:rPr>
        <w:t>大阪管区気象台と大阪府</w:t>
      </w:r>
      <w:r w:rsidR="00335FBB" w:rsidRPr="0011172B">
        <w:rPr>
          <w:rFonts w:ascii="ＭＳ 明朝" w:hAnsi="ＭＳ 明朝" w:hint="eastAsia"/>
          <w:sz w:val="22"/>
          <w:szCs w:val="22"/>
        </w:rPr>
        <w:t>（水防本部）</w:t>
      </w:r>
      <w:r w:rsidRPr="0011172B">
        <w:rPr>
          <w:rFonts w:ascii="ＭＳ 明朝" w:hAnsi="ＭＳ 明朝" w:hint="eastAsia"/>
          <w:sz w:val="22"/>
          <w:szCs w:val="22"/>
        </w:rPr>
        <w:t>が共同で発表する洪水予報</w:t>
      </w:r>
    </w:p>
    <w:p w14:paraId="55F50BC5" w14:textId="70C7938F" w:rsidR="008B4B2B" w:rsidRPr="00493643" w:rsidRDefault="008B4B2B" w:rsidP="008B4B2B">
      <w:pPr>
        <w:ind w:left="1139" w:hangingChars="515" w:hanging="1139"/>
        <w:rPr>
          <w:rFonts w:ascii="ＭＳ 明朝" w:hAnsi="ＭＳ 明朝"/>
          <w:sz w:val="22"/>
          <w:szCs w:val="22"/>
          <w:highlight w:val="yellow"/>
        </w:rPr>
      </w:pPr>
      <w:r w:rsidRPr="0011172B">
        <w:rPr>
          <w:rFonts w:ascii="ＭＳ ゴシック" w:eastAsia="ＭＳ ゴシック" w:hAnsi="ＭＳ ゴシック" w:hint="eastAsia"/>
          <w:sz w:val="22"/>
          <w:szCs w:val="22"/>
        </w:rPr>
        <w:t xml:space="preserve">　　　　　　</w:t>
      </w:r>
      <w:r w:rsidR="00335FBB" w:rsidRPr="0011172B">
        <w:rPr>
          <w:rFonts w:asciiTheme="minorEastAsia" w:eastAsiaTheme="minorEastAsia" w:hAnsiTheme="minorEastAsia" w:hint="eastAsia"/>
          <w:sz w:val="22"/>
          <w:szCs w:val="22"/>
        </w:rPr>
        <w:t>府</w:t>
      </w:r>
      <w:r w:rsidRPr="0011172B">
        <w:rPr>
          <w:rFonts w:asciiTheme="minorEastAsia" w:eastAsiaTheme="minorEastAsia" w:hAnsiTheme="minorEastAsia" w:hint="eastAsia"/>
          <w:sz w:val="22"/>
          <w:szCs w:val="22"/>
        </w:rPr>
        <w:t>管理河川のう</w:t>
      </w:r>
      <w:r w:rsidRPr="0011172B">
        <w:rPr>
          <w:rFonts w:ascii="ＭＳ 明朝" w:hAnsi="ＭＳ 明朝" w:hint="eastAsia"/>
          <w:sz w:val="22"/>
          <w:szCs w:val="22"/>
        </w:rPr>
        <w:t>ち、流域面積が大きく洪水により相当な損害を生ずるおそれのあるものとして指定した河川（洪水予報河川）の</w:t>
      </w:r>
      <w:r w:rsidR="00014DBD" w:rsidRPr="0011172B">
        <w:rPr>
          <w:rFonts w:ascii="ＭＳ 明朝" w:hAnsi="ＭＳ 明朝"/>
          <w:sz w:val="22"/>
          <w:szCs w:val="22"/>
        </w:rPr>
        <w:t>レベル２</w:t>
      </w:r>
      <w:r w:rsidR="00335FBB" w:rsidRPr="0011172B">
        <w:rPr>
          <w:rFonts w:ascii="ＭＳ 明朝" w:hAnsi="ＭＳ 明朝" w:hint="eastAsia"/>
          <w:sz w:val="22"/>
          <w:szCs w:val="22"/>
        </w:rPr>
        <w:t>氾</w:t>
      </w:r>
      <w:r w:rsidRPr="0011172B">
        <w:rPr>
          <w:rFonts w:ascii="ＭＳ 明朝" w:hAnsi="ＭＳ 明朝" w:hint="eastAsia"/>
          <w:sz w:val="22"/>
          <w:szCs w:val="22"/>
        </w:rPr>
        <w:t>濫注意情報（洪水注意報）、</w:t>
      </w:r>
      <w:r w:rsidR="00014DBD" w:rsidRPr="0011172B">
        <w:rPr>
          <w:rFonts w:ascii="ＭＳ 明朝" w:hAnsi="ＭＳ 明朝"/>
          <w:sz w:val="22"/>
          <w:szCs w:val="22"/>
        </w:rPr>
        <w:t>レベル３</w:t>
      </w:r>
      <w:r w:rsidR="00335FBB" w:rsidRPr="0011172B">
        <w:rPr>
          <w:rFonts w:ascii="ＭＳ 明朝" w:hAnsi="ＭＳ 明朝" w:hint="eastAsia"/>
          <w:sz w:val="22"/>
          <w:szCs w:val="22"/>
        </w:rPr>
        <w:t>氾</w:t>
      </w:r>
      <w:r w:rsidRPr="0011172B">
        <w:rPr>
          <w:rFonts w:ascii="ＭＳ 明朝" w:hAnsi="ＭＳ 明朝" w:hint="eastAsia"/>
          <w:sz w:val="22"/>
          <w:szCs w:val="22"/>
        </w:rPr>
        <w:t>濫</w:t>
      </w:r>
      <w:r w:rsidR="00D54057" w:rsidRPr="0011172B">
        <w:rPr>
          <w:rFonts w:ascii="ＭＳ 明朝" w:hAnsi="ＭＳ 明朝" w:hint="eastAsia"/>
          <w:sz w:val="22"/>
          <w:szCs w:val="22"/>
        </w:rPr>
        <w:t>警報、</w:t>
      </w:r>
      <w:r w:rsidR="00D54057" w:rsidRPr="0011172B">
        <w:rPr>
          <w:rFonts w:ascii="ＭＳ 明朝" w:hAnsi="ＭＳ 明朝"/>
          <w:sz w:val="22"/>
          <w:szCs w:val="22"/>
        </w:rPr>
        <w:t>レベル４氾濫危険警報、レベル５氾濫特別警報/氾濫発生情報</w:t>
      </w:r>
      <w:r w:rsidRPr="0011172B">
        <w:rPr>
          <w:rFonts w:ascii="ＭＳ 明朝" w:hAnsi="ＭＳ 明朝" w:hint="eastAsia"/>
          <w:sz w:val="22"/>
          <w:szCs w:val="22"/>
        </w:rPr>
        <w:t>をいい、水防管理者等に通知するとともに、報道機関の協力を求めて一般に周知する。</w:t>
      </w:r>
    </w:p>
    <w:tbl>
      <w:tblPr>
        <w:tblW w:w="0" w:type="auto"/>
        <w:tblInd w:w="13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045"/>
        <w:gridCol w:w="5421"/>
      </w:tblGrid>
      <w:tr w:rsidR="001D6D10" w:rsidRPr="00284432" w14:paraId="543837F9" w14:textId="77777777" w:rsidTr="008B4B2B">
        <w:tc>
          <w:tcPr>
            <w:tcW w:w="2102" w:type="dxa"/>
            <w:shd w:val="clear" w:color="auto" w:fill="F2F2F2"/>
          </w:tcPr>
          <w:p w14:paraId="34D16C7E" w14:textId="77777777" w:rsidR="008B4B2B" w:rsidRPr="0011172B" w:rsidRDefault="008B4B2B" w:rsidP="008B4B2B">
            <w:pPr>
              <w:jc w:val="center"/>
              <w:rPr>
                <w:rFonts w:ascii="ＭＳ 明朝" w:hAnsi="ＭＳ 明朝"/>
                <w:sz w:val="22"/>
                <w:szCs w:val="22"/>
              </w:rPr>
            </w:pPr>
            <w:r w:rsidRPr="0011172B">
              <w:rPr>
                <w:rFonts w:ascii="ＭＳ 明朝" w:hAnsi="ＭＳ 明朝" w:hint="eastAsia"/>
                <w:sz w:val="22"/>
                <w:szCs w:val="22"/>
              </w:rPr>
              <w:t>水系名</w:t>
            </w:r>
          </w:p>
        </w:tc>
        <w:tc>
          <w:tcPr>
            <w:tcW w:w="5590" w:type="dxa"/>
            <w:shd w:val="clear" w:color="auto" w:fill="F2F2F2"/>
          </w:tcPr>
          <w:p w14:paraId="613BF523" w14:textId="77777777" w:rsidR="008B4B2B" w:rsidRPr="0011172B" w:rsidRDefault="008B4B2B" w:rsidP="008B4B2B">
            <w:pPr>
              <w:jc w:val="center"/>
              <w:rPr>
                <w:rFonts w:ascii="ＭＳ 明朝" w:hAnsi="ＭＳ 明朝"/>
                <w:sz w:val="22"/>
                <w:szCs w:val="22"/>
              </w:rPr>
            </w:pPr>
            <w:r w:rsidRPr="0011172B">
              <w:rPr>
                <w:rFonts w:ascii="ＭＳ 明朝" w:hAnsi="ＭＳ 明朝" w:hint="eastAsia"/>
                <w:sz w:val="22"/>
                <w:szCs w:val="22"/>
              </w:rPr>
              <w:t>河　　川　　名</w:t>
            </w:r>
          </w:p>
        </w:tc>
      </w:tr>
      <w:tr w:rsidR="001D6D10" w:rsidRPr="00284432" w14:paraId="424DDDB2" w14:textId="77777777" w:rsidTr="008B4B2B">
        <w:tc>
          <w:tcPr>
            <w:tcW w:w="2102" w:type="dxa"/>
            <w:vAlign w:val="center"/>
          </w:tcPr>
          <w:p w14:paraId="0BC839C1" w14:textId="77777777" w:rsidR="008B4B2B" w:rsidRPr="0011172B" w:rsidRDefault="008B4B2B" w:rsidP="008B4B2B">
            <w:pPr>
              <w:jc w:val="center"/>
              <w:rPr>
                <w:rFonts w:ascii="ＭＳ 明朝" w:hAnsi="ＭＳ 明朝"/>
                <w:sz w:val="22"/>
                <w:szCs w:val="22"/>
              </w:rPr>
            </w:pPr>
            <w:r w:rsidRPr="0011172B">
              <w:rPr>
                <w:rFonts w:ascii="ＭＳ 明朝" w:hAnsi="ＭＳ 明朝" w:hint="eastAsia"/>
                <w:sz w:val="22"/>
                <w:szCs w:val="22"/>
              </w:rPr>
              <w:t>一級河川大和川</w:t>
            </w:r>
          </w:p>
        </w:tc>
        <w:tc>
          <w:tcPr>
            <w:tcW w:w="5590" w:type="dxa"/>
          </w:tcPr>
          <w:p w14:paraId="1B5C62FA" w14:textId="77777777" w:rsidR="008B4B2B" w:rsidRPr="0011172B" w:rsidRDefault="008B4B2B" w:rsidP="008B4B2B">
            <w:pPr>
              <w:rPr>
                <w:rFonts w:ascii="ＭＳ 明朝" w:hAnsi="ＭＳ 明朝"/>
                <w:sz w:val="22"/>
                <w:szCs w:val="22"/>
              </w:rPr>
            </w:pPr>
            <w:r w:rsidRPr="0011172B">
              <w:rPr>
                <w:rFonts w:ascii="ＭＳ 明朝" w:hAnsi="ＭＳ 明朝" w:hint="eastAsia"/>
                <w:sz w:val="22"/>
                <w:szCs w:val="22"/>
              </w:rPr>
              <w:t>石川</w:t>
            </w:r>
          </w:p>
        </w:tc>
      </w:tr>
      <w:tr w:rsidR="001D6D10" w:rsidRPr="00284432" w14:paraId="1BBFA5D3" w14:textId="77777777" w:rsidTr="008B4B2B">
        <w:trPr>
          <w:trHeight w:val="648"/>
        </w:trPr>
        <w:tc>
          <w:tcPr>
            <w:tcW w:w="2102" w:type="dxa"/>
            <w:vMerge w:val="restart"/>
            <w:vAlign w:val="center"/>
          </w:tcPr>
          <w:p w14:paraId="403EDD71" w14:textId="77777777" w:rsidR="008B4B2B" w:rsidRPr="0011172B" w:rsidRDefault="008B4B2B" w:rsidP="008B4B2B">
            <w:pPr>
              <w:jc w:val="center"/>
              <w:rPr>
                <w:rFonts w:ascii="ＭＳ 明朝" w:hAnsi="ＭＳ 明朝"/>
                <w:sz w:val="22"/>
                <w:szCs w:val="22"/>
              </w:rPr>
            </w:pPr>
            <w:r w:rsidRPr="0011172B">
              <w:rPr>
                <w:rFonts w:ascii="ＭＳ 明朝" w:hAnsi="ＭＳ 明朝" w:hint="eastAsia"/>
                <w:sz w:val="22"/>
                <w:szCs w:val="22"/>
              </w:rPr>
              <w:t>一級河川淀川</w:t>
            </w:r>
          </w:p>
        </w:tc>
        <w:tc>
          <w:tcPr>
            <w:tcW w:w="5590" w:type="dxa"/>
          </w:tcPr>
          <w:p w14:paraId="46C2017B" w14:textId="77777777" w:rsidR="008B4B2B" w:rsidRPr="0011172B" w:rsidRDefault="008B4B2B" w:rsidP="008B4B2B">
            <w:pPr>
              <w:rPr>
                <w:rFonts w:ascii="ＭＳ 明朝" w:hAnsi="ＭＳ 明朝"/>
                <w:sz w:val="22"/>
                <w:szCs w:val="22"/>
              </w:rPr>
            </w:pPr>
            <w:r w:rsidRPr="0011172B">
              <w:rPr>
                <w:rFonts w:ascii="ＭＳ 明朝" w:hAnsi="ＭＳ 明朝" w:hint="eastAsia"/>
                <w:sz w:val="22"/>
                <w:szCs w:val="22"/>
              </w:rPr>
              <w:t>寝屋川流域（寝屋川、第二寝屋川、恩智川、平野川、平野川分水路、古川、楠根川）</w:t>
            </w:r>
          </w:p>
        </w:tc>
      </w:tr>
      <w:tr w:rsidR="001D6D10" w:rsidRPr="00284432" w14:paraId="5CDF6807" w14:textId="77777777" w:rsidTr="008B4B2B">
        <w:trPr>
          <w:trHeight w:val="375"/>
        </w:trPr>
        <w:tc>
          <w:tcPr>
            <w:tcW w:w="2102" w:type="dxa"/>
            <w:vMerge/>
          </w:tcPr>
          <w:p w14:paraId="224956D6" w14:textId="77777777" w:rsidR="008B4B2B" w:rsidRPr="0011172B" w:rsidRDefault="008B4B2B" w:rsidP="008B4B2B">
            <w:pPr>
              <w:rPr>
                <w:rFonts w:ascii="ＭＳ 明朝" w:hAnsi="ＭＳ 明朝"/>
                <w:sz w:val="22"/>
                <w:szCs w:val="22"/>
              </w:rPr>
            </w:pPr>
          </w:p>
        </w:tc>
        <w:tc>
          <w:tcPr>
            <w:tcW w:w="5590" w:type="dxa"/>
          </w:tcPr>
          <w:p w14:paraId="729518A5" w14:textId="77777777" w:rsidR="008B4B2B" w:rsidRPr="0011172B" w:rsidRDefault="008B4B2B" w:rsidP="008B4B2B">
            <w:pPr>
              <w:rPr>
                <w:rFonts w:ascii="ＭＳ 明朝" w:hAnsi="ＭＳ 明朝"/>
                <w:sz w:val="22"/>
                <w:szCs w:val="22"/>
              </w:rPr>
            </w:pPr>
            <w:r w:rsidRPr="0011172B">
              <w:rPr>
                <w:rFonts w:ascii="ＭＳ 明朝" w:hAnsi="ＭＳ 明朝" w:hint="eastAsia"/>
                <w:sz w:val="22"/>
                <w:szCs w:val="22"/>
              </w:rPr>
              <w:t>神崎川・安威川</w:t>
            </w:r>
          </w:p>
        </w:tc>
      </w:tr>
      <w:tr w:rsidR="008B4B2B" w:rsidRPr="001D6D10" w14:paraId="4AF812F3" w14:textId="77777777" w:rsidTr="008B4B2B">
        <w:trPr>
          <w:trHeight w:val="70"/>
        </w:trPr>
        <w:tc>
          <w:tcPr>
            <w:tcW w:w="2102" w:type="dxa"/>
            <w:vAlign w:val="center"/>
          </w:tcPr>
          <w:p w14:paraId="01A6B894" w14:textId="77777777" w:rsidR="008B4B2B" w:rsidRPr="0011172B" w:rsidRDefault="008B4B2B" w:rsidP="008B4B2B">
            <w:pPr>
              <w:jc w:val="center"/>
              <w:rPr>
                <w:rFonts w:ascii="ＭＳ 明朝" w:hAnsi="ＭＳ 明朝"/>
                <w:sz w:val="22"/>
                <w:szCs w:val="22"/>
              </w:rPr>
            </w:pPr>
            <w:r w:rsidRPr="0011172B">
              <w:rPr>
                <w:rFonts w:ascii="ＭＳ 明朝" w:hAnsi="ＭＳ 明朝" w:hint="eastAsia"/>
                <w:sz w:val="22"/>
                <w:szCs w:val="22"/>
              </w:rPr>
              <w:t>二級河川大津川</w:t>
            </w:r>
          </w:p>
        </w:tc>
        <w:tc>
          <w:tcPr>
            <w:tcW w:w="5590" w:type="dxa"/>
          </w:tcPr>
          <w:p w14:paraId="7403A5AF" w14:textId="77777777" w:rsidR="008B4B2B" w:rsidRPr="0011172B" w:rsidRDefault="008B4B2B" w:rsidP="008B4B2B">
            <w:pPr>
              <w:rPr>
                <w:rFonts w:ascii="ＭＳ 明朝" w:hAnsi="ＭＳ 明朝"/>
                <w:sz w:val="22"/>
                <w:szCs w:val="22"/>
              </w:rPr>
            </w:pPr>
            <w:r w:rsidRPr="0011172B">
              <w:rPr>
                <w:rFonts w:ascii="ＭＳ 明朝" w:hAnsi="ＭＳ 明朝" w:hint="eastAsia"/>
                <w:sz w:val="22"/>
                <w:szCs w:val="22"/>
              </w:rPr>
              <w:t>大津川、槇尾川、牛滝川</w:t>
            </w:r>
          </w:p>
        </w:tc>
      </w:tr>
    </w:tbl>
    <w:p w14:paraId="3E0210D8" w14:textId="77777777" w:rsidR="008B4B2B" w:rsidRPr="001D6D10" w:rsidRDefault="008B4B2B" w:rsidP="0011172B">
      <w:pPr>
        <w:rPr>
          <w:rFonts w:ascii="ＭＳ 明朝" w:hAnsi="ＭＳ 明朝"/>
          <w:sz w:val="22"/>
          <w:szCs w:val="22"/>
        </w:rPr>
      </w:pPr>
    </w:p>
    <w:p w14:paraId="329D432B" w14:textId="1EC0C00F" w:rsidR="00D54057" w:rsidRPr="0011172B" w:rsidRDefault="008B4B2B" w:rsidP="00D54057">
      <w:pPr>
        <w:ind w:leftChars="400" w:left="844"/>
        <w:rPr>
          <w:rFonts w:ascii="ＭＳ 明朝" w:hAnsi="ＭＳ 明朝"/>
          <w:sz w:val="22"/>
          <w:szCs w:val="22"/>
        </w:rPr>
      </w:pPr>
      <w:r w:rsidRPr="001D6D10">
        <w:rPr>
          <w:rFonts w:ascii="ＭＳ 明朝" w:hAnsi="ＭＳ 明朝" w:hint="eastAsia"/>
          <w:sz w:val="22"/>
          <w:szCs w:val="22"/>
        </w:rPr>
        <w:t xml:space="preserve">(4)　</w:t>
      </w:r>
      <w:r w:rsidRPr="0011172B">
        <w:rPr>
          <w:rFonts w:ascii="ＭＳ 明朝" w:hAnsi="ＭＳ 明朝" w:hint="eastAsia"/>
          <w:sz w:val="22"/>
          <w:szCs w:val="22"/>
        </w:rPr>
        <w:t>大阪管区気象台及び大阪府</w:t>
      </w:r>
      <w:r w:rsidR="00145356" w:rsidRPr="0011172B">
        <w:rPr>
          <w:rFonts w:ascii="ＭＳ 明朝" w:hAnsi="ＭＳ 明朝" w:hint="eastAsia"/>
          <w:sz w:val="22"/>
          <w:szCs w:val="22"/>
        </w:rPr>
        <w:t>（水防本部）</w:t>
      </w:r>
      <w:r w:rsidRPr="0011172B">
        <w:rPr>
          <w:rFonts w:ascii="ＭＳ 明朝" w:hAnsi="ＭＳ 明朝" w:hint="eastAsia"/>
          <w:sz w:val="22"/>
          <w:szCs w:val="22"/>
        </w:rPr>
        <w:t>が共同で発表する</w:t>
      </w:r>
      <w:r w:rsidR="00D54057" w:rsidRPr="0011172B">
        <w:rPr>
          <w:rFonts w:ascii="ＭＳ 明朝" w:hAnsi="ＭＳ 明朝" w:hint="eastAsia"/>
          <w:sz w:val="22"/>
          <w:szCs w:val="22"/>
        </w:rPr>
        <w:t>レベル４土砂災害危険警報</w:t>
      </w:r>
    </w:p>
    <w:p w14:paraId="55EE5440" w14:textId="37FEAC41" w:rsidR="008B4B2B" w:rsidRPr="0011172B" w:rsidRDefault="00D54057" w:rsidP="00D54057">
      <w:pPr>
        <w:ind w:leftChars="400" w:left="844"/>
        <w:rPr>
          <w:rFonts w:ascii="ＭＳ 明朝" w:hAnsi="ＭＳ 明朝"/>
          <w:sz w:val="22"/>
          <w:szCs w:val="22"/>
        </w:rPr>
      </w:pPr>
      <w:r w:rsidRPr="0011172B">
        <w:rPr>
          <w:rFonts w:ascii="ＭＳ 明朝" w:hAnsi="ＭＳ 明朝" w:hint="eastAsia"/>
          <w:sz w:val="22"/>
          <w:szCs w:val="22"/>
        </w:rPr>
        <w:t>レベル３土砂災害警報の</w:t>
      </w:r>
      <w:r w:rsidR="008B4B2B" w:rsidRPr="0011172B">
        <w:rPr>
          <w:rFonts w:ascii="ＭＳ 明朝" w:hAnsi="ＭＳ 明朝"/>
          <w:sz w:val="22"/>
          <w:szCs w:val="22"/>
        </w:rPr>
        <w:t>発表後、気象台の雨量および土壌雨量指数が土砂災害発生基準を超過することが見込まれるとき</w:t>
      </w:r>
      <w:r w:rsidR="00145356" w:rsidRPr="0011172B">
        <w:rPr>
          <w:rFonts w:ascii="ＭＳ 明朝" w:hAnsi="ＭＳ 明朝" w:hint="eastAsia"/>
          <w:sz w:val="22"/>
          <w:szCs w:val="22"/>
        </w:rPr>
        <w:t>に発表される情報をいい</w:t>
      </w:r>
      <w:r w:rsidR="008B4B2B" w:rsidRPr="0011172B">
        <w:rPr>
          <w:rFonts w:ascii="ＭＳ 明朝" w:hAnsi="ＭＳ 明朝" w:hint="eastAsia"/>
          <w:sz w:val="22"/>
          <w:szCs w:val="22"/>
        </w:rPr>
        <w:t>、</w:t>
      </w:r>
      <w:r w:rsidRPr="0011172B">
        <w:rPr>
          <w:rFonts w:ascii="ＭＳ 明朝" w:hAnsi="ＭＳ 明朝" w:hint="eastAsia"/>
          <w:sz w:val="22"/>
          <w:szCs w:val="22"/>
        </w:rPr>
        <w:t>レベル４土砂災害危険警報</w:t>
      </w:r>
      <w:r w:rsidR="008B4B2B" w:rsidRPr="0011172B">
        <w:rPr>
          <w:rFonts w:ascii="ＭＳ 明朝" w:hAnsi="ＭＳ 明朝" w:hint="eastAsia"/>
          <w:sz w:val="22"/>
          <w:szCs w:val="22"/>
        </w:rPr>
        <w:t>を作成し、住民及び関係機関に対して伝達する。</w:t>
      </w:r>
    </w:p>
    <w:p w14:paraId="3322FD2F" w14:textId="77777777" w:rsidR="008B4B2B" w:rsidRPr="001D6D10" w:rsidRDefault="008B4B2B" w:rsidP="008B4B2B">
      <w:pPr>
        <w:pStyle w:val="ad"/>
        <w:wordWrap/>
        <w:overflowPunct w:val="0"/>
        <w:spacing w:line="240" w:lineRule="auto"/>
        <w:ind w:left="1327" w:hangingChars="600" w:hanging="1327"/>
        <w:rPr>
          <w:rFonts w:ascii="ＭＳ 明朝" w:hAnsi="ＭＳ 明朝"/>
        </w:rPr>
      </w:pPr>
      <w:r w:rsidRPr="0011172B">
        <w:rPr>
          <w:rFonts w:ascii="ＭＳ 明朝" w:hAnsi="ＭＳ 明朝" w:hint="eastAsia"/>
        </w:rPr>
        <w:t xml:space="preserve">　　　　　　</w:t>
      </w:r>
      <w:r w:rsidRPr="0011172B">
        <w:rPr>
          <w:rFonts w:ascii="ＭＳ 明朝" w:hAnsi="ＭＳ 明朝"/>
        </w:rPr>
        <w:t xml:space="preserve"> ただし、大阪市、摂津市、守口市、門真市、松原市、藤井寺市、高石市、泉大津市、忠岡町は発表の対象としない。</w:t>
      </w:r>
    </w:p>
    <w:p w14:paraId="6057B70F" w14:textId="77777777" w:rsidR="008B4B2B" w:rsidRPr="001D6D10" w:rsidRDefault="008B4B2B" w:rsidP="008B4B2B">
      <w:pPr>
        <w:pStyle w:val="ad"/>
        <w:wordWrap/>
        <w:overflowPunct w:val="0"/>
        <w:spacing w:line="240" w:lineRule="auto"/>
        <w:ind w:left="1327" w:hangingChars="600" w:hanging="1327"/>
        <w:rPr>
          <w:rFonts w:ascii="ＭＳ 明朝" w:hAnsi="ＭＳ 明朝"/>
        </w:rPr>
      </w:pPr>
    </w:p>
    <w:p w14:paraId="2016A320" w14:textId="77777777" w:rsidR="008B4B2B" w:rsidRPr="001D6D10" w:rsidRDefault="008B4B2B" w:rsidP="008B4B2B">
      <w:pPr>
        <w:pStyle w:val="ad"/>
        <w:wordWrap/>
        <w:overflowPunct w:val="0"/>
        <w:spacing w:line="240" w:lineRule="auto"/>
        <w:ind w:left="1327" w:hangingChars="600" w:hanging="1327"/>
        <w:rPr>
          <w:rFonts w:ascii="ＭＳ 明朝" w:hAnsi="ＭＳ 明朝"/>
        </w:rPr>
      </w:pPr>
      <w:r w:rsidRPr="001D6D10">
        <w:rPr>
          <w:rFonts w:hint="eastAsia"/>
        </w:rPr>
        <w:t xml:space="preserve">　　　　</w:t>
      </w:r>
      <w:r w:rsidRPr="001D6D10">
        <w:rPr>
          <w:rFonts w:ascii="ＭＳ 明朝" w:hAnsi="ＭＳ 明朝" w:hint="eastAsia"/>
        </w:rPr>
        <w:t>(5)　気象庁が発表する津波警報・注意報等</w:t>
      </w:r>
    </w:p>
    <w:p w14:paraId="1F7CD2F3" w14:textId="77777777" w:rsidR="008B4B2B" w:rsidRPr="001D6D10" w:rsidRDefault="008B4B2B" w:rsidP="008B4B2B">
      <w:pPr>
        <w:ind w:left="1216" w:hangingChars="550" w:hanging="1216"/>
        <w:rPr>
          <w:rFonts w:ascii="ＭＳ 明朝" w:hAnsi="ＭＳ 明朝"/>
          <w:sz w:val="22"/>
          <w:szCs w:val="22"/>
        </w:rPr>
      </w:pPr>
      <w:r w:rsidRPr="001D6D10">
        <w:rPr>
          <w:rFonts w:ascii="ＭＳ ゴシック" w:eastAsia="ＭＳ ゴシック" w:hAnsi="ＭＳ ゴシック" w:hint="eastAsia"/>
          <w:sz w:val="22"/>
          <w:szCs w:val="22"/>
        </w:rPr>
        <w:t xml:space="preserve">　　　　 　①　</w:t>
      </w:r>
      <w:r w:rsidRPr="001D6D10">
        <w:rPr>
          <w:rFonts w:ascii="ＭＳ 明朝" w:hAnsi="ＭＳ 明朝" w:hint="eastAsia"/>
          <w:sz w:val="22"/>
          <w:szCs w:val="22"/>
        </w:rPr>
        <w:t>津波予報区名及び種類</w:t>
      </w:r>
    </w:p>
    <w:p w14:paraId="12B58354" w14:textId="77777777" w:rsidR="008B4B2B" w:rsidRPr="001D6D10" w:rsidRDefault="008B4B2B" w:rsidP="008B4B2B">
      <w:pPr>
        <w:ind w:left="1437" w:hangingChars="650" w:hanging="1437"/>
        <w:rPr>
          <w:rFonts w:ascii="ＭＳ 明朝" w:hAnsi="ＭＳ 明朝"/>
          <w:sz w:val="22"/>
          <w:szCs w:val="22"/>
        </w:rPr>
      </w:pPr>
      <w:r w:rsidRPr="001D6D10">
        <w:rPr>
          <w:rFonts w:ascii="ＭＳ 明朝" w:hAnsi="ＭＳ 明朝" w:hint="eastAsia"/>
          <w:sz w:val="22"/>
          <w:szCs w:val="22"/>
        </w:rPr>
        <w:t xml:space="preserve">　　　　　　　 大阪府の津波予報区名は「大阪府」であり、大津波警報（津波特別警報）、津波警報、津波注意報をいう。</w:t>
      </w:r>
    </w:p>
    <w:p w14:paraId="587BF931" w14:textId="77777777" w:rsidR="008B4B2B" w:rsidRPr="001D6D10" w:rsidRDefault="008B4B2B" w:rsidP="008B4B2B">
      <w:pPr>
        <w:ind w:firstLineChars="700" w:firstLine="1548"/>
        <w:rPr>
          <w:rFonts w:ascii="ＭＳ 明朝" w:hAnsi="ＭＳ 明朝"/>
          <w:sz w:val="22"/>
          <w:szCs w:val="22"/>
        </w:rPr>
      </w:pPr>
    </w:p>
    <w:p w14:paraId="2713B82D" w14:textId="77777777" w:rsidR="008B4B2B" w:rsidRPr="001D6D10" w:rsidRDefault="008B4B2B" w:rsidP="008B4B2B">
      <w:pPr>
        <w:ind w:firstLineChars="550" w:firstLine="1216"/>
        <w:rPr>
          <w:rFonts w:ascii="ＭＳ 明朝" w:hAnsi="ＭＳ 明朝"/>
          <w:sz w:val="22"/>
          <w:szCs w:val="22"/>
        </w:rPr>
      </w:pPr>
      <w:r w:rsidRPr="001D6D10">
        <w:rPr>
          <w:rFonts w:ascii="ＭＳ 明朝" w:hAnsi="ＭＳ 明朝" w:hint="eastAsia"/>
          <w:sz w:val="22"/>
          <w:szCs w:val="22"/>
        </w:rPr>
        <w:t>②　津波及び地震に関する情報の種類</w:t>
      </w:r>
    </w:p>
    <w:p w14:paraId="3A8D54FD" w14:textId="77777777" w:rsidR="008B4B2B" w:rsidRPr="001D6D10" w:rsidRDefault="008B4B2B" w:rsidP="008B4B2B">
      <w:pPr>
        <w:pStyle w:val="ad"/>
        <w:wordWrap/>
        <w:overflowPunct w:val="0"/>
        <w:spacing w:line="240" w:lineRule="auto"/>
        <w:ind w:left="1437" w:rightChars="-41" w:right="-87" w:hangingChars="650" w:hanging="1437"/>
        <w:rPr>
          <w:rFonts w:ascii="ＭＳ 明朝" w:hAnsi="ＭＳ 明朝"/>
        </w:rPr>
      </w:pPr>
      <w:r w:rsidRPr="001D6D10">
        <w:rPr>
          <w:rFonts w:ascii="ＭＳ 明朝" w:hAnsi="ＭＳ 明朝" w:hint="eastAsia"/>
        </w:rPr>
        <w:t xml:space="preserve">　　　　　　　 津波到達予想時刻・予想される津波の高さに関する情報、各地の満潮時刻・津波到達予想時刻に関する情報、津波観測に関する情報、沖合の津波観測に関する情報、震度速報、震度に関する情報、震源・震度に関する情報、各地の震度に関する情報、などをいう。</w:t>
      </w:r>
    </w:p>
    <w:p w14:paraId="5B02420E" w14:textId="77777777" w:rsidR="008B4B2B" w:rsidRPr="001D6D10" w:rsidRDefault="008B4B2B" w:rsidP="008B4B2B">
      <w:pPr>
        <w:rPr>
          <w:rFonts w:ascii="ＭＳ 明朝" w:hAnsi="ＭＳ 明朝" w:cs="ＭＳ 明朝"/>
          <w:kern w:val="0"/>
          <w:sz w:val="22"/>
          <w:szCs w:val="22"/>
        </w:rPr>
      </w:pPr>
    </w:p>
    <w:p w14:paraId="00ACEC41" w14:textId="77777777" w:rsidR="008B4B2B" w:rsidRPr="001D6D10" w:rsidRDefault="008B4B2B" w:rsidP="008B4B2B">
      <w:pPr>
        <w:numPr>
          <w:ilvl w:val="0"/>
          <w:numId w:val="4"/>
        </w:numPr>
        <w:ind w:hanging="235"/>
        <w:rPr>
          <w:rFonts w:ascii="ＭＳ 明朝" w:hAnsi="ＭＳ 明朝"/>
          <w:sz w:val="22"/>
          <w:szCs w:val="22"/>
        </w:rPr>
      </w:pPr>
      <w:r w:rsidRPr="001D6D10">
        <w:rPr>
          <w:rFonts w:ascii="ＭＳ 明朝" w:hAnsi="ＭＳ 明朝" w:hint="eastAsia"/>
          <w:sz w:val="22"/>
          <w:szCs w:val="22"/>
        </w:rPr>
        <w:t xml:space="preserve">　緊急地震速報</w:t>
      </w:r>
    </w:p>
    <w:p w14:paraId="04F032F0" w14:textId="77777777" w:rsidR="008B4B2B" w:rsidRPr="001D6D10" w:rsidRDefault="008B4B2B" w:rsidP="008B4B2B">
      <w:pPr>
        <w:pStyle w:val="ad"/>
        <w:wordWrap/>
        <w:overflowPunct w:val="0"/>
        <w:spacing w:line="240" w:lineRule="auto"/>
        <w:ind w:left="1437" w:right="-87" w:hangingChars="650" w:hanging="1437"/>
        <w:rPr>
          <w:rFonts w:ascii="ＭＳ 明朝" w:hAnsi="ＭＳ 明朝"/>
        </w:rPr>
      </w:pPr>
      <w:r w:rsidRPr="001D6D10">
        <w:rPr>
          <w:rFonts w:ascii="ＭＳ 明朝" w:hAnsi="ＭＳ 明朝" w:hint="eastAsia"/>
        </w:rPr>
        <w:t xml:space="preserve">　　　　　 　　気象庁は、震度５弱以上の揺れが予想された場合、震度４以上が予想される地域（大阪府北部又は南部）に対して緊急地震速報（警報）を発表するとともに、府、市町村等の関係機関への提供に努める。</w:t>
      </w:r>
    </w:p>
    <w:p w14:paraId="0DDED2F2" w14:textId="77777777" w:rsidR="008B4B2B" w:rsidRPr="001D6D10" w:rsidRDefault="008B4B2B" w:rsidP="008B4B2B">
      <w:pPr>
        <w:pStyle w:val="ad"/>
        <w:wordWrap/>
        <w:overflowPunct w:val="0"/>
        <w:spacing w:line="240" w:lineRule="auto"/>
        <w:ind w:leftChars="700" w:left="1478" w:right="-87" w:firstLineChars="100" w:firstLine="221"/>
        <w:rPr>
          <w:rFonts w:ascii="ＭＳ 明朝" w:hAnsi="ＭＳ 明朝"/>
        </w:rPr>
      </w:pPr>
      <w:r w:rsidRPr="001D6D10">
        <w:rPr>
          <w:rFonts w:ascii="ＭＳ 明朝" w:hAnsi="ＭＳ 明朝" w:hint="eastAsia"/>
        </w:rPr>
        <w:t>さらに、放送事業者等の協力を得て、テレビ、ラジオ、携帯電話（緊急速報メール機能を含む）、全国瞬時警報システム（Ｊ－ＡＬＥＲＴ）経由による市区町村の防災行政無線等を通じて住民への提供に努める。</w:t>
      </w:r>
    </w:p>
    <w:p w14:paraId="384F3DE7" w14:textId="77777777" w:rsidR="008B4B2B" w:rsidRPr="001D6D10" w:rsidRDefault="008B4B2B" w:rsidP="008B4B2B">
      <w:pPr>
        <w:pStyle w:val="ad"/>
        <w:wordWrap/>
        <w:overflowPunct w:val="0"/>
        <w:spacing w:line="240" w:lineRule="auto"/>
        <w:ind w:leftChars="300" w:left="1296" w:hangingChars="300" w:hanging="663"/>
        <w:rPr>
          <w:rFonts w:ascii="ＭＳ ゴシック" w:eastAsia="ＭＳ ゴシック" w:hAnsi="ＭＳ ゴシック"/>
        </w:rPr>
      </w:pPr>
    </w:p>
    <w:p w14:paraId="53069307" w14:textId="77777777" w:rsidR="008B4B2B" w:rsidRPr="001D6D10" w:rsidRDefault="008B4B2B" w:rsidP="008B4B2B">
      <w:pPr>
        <w:pStyle w:val="ad"/>
        <w:wordWrap/>
        <w:overflowPunct w:val="0"/>
        <w:spacing w:line="240" w:lineRule="auto"/>
        <w:ind w:leftChars="300" w:left="1296" w:hangingChars="300" w:hanging="663"/>
        <w:rPr>
          <w:rFonts w:ascii="ＭＳ 明朝" w:hAnsi="ＭＳ 明朝"/>
          <w:u w:val="single"/>
        </w:rPr>
      </w:pPr>
      <w:r w:rsidRPr="001D6D10">
        <w:rPr>
          <w:rFonts w:ascii="ＭＳ ゴシック" w:eastAsia="ＭＳ ゴシック" w:hAnsi="ＭＳ ゴシック" w:hint="eastAsia"/>
          <w:u w:val="single"/>
        </w:rPr>
        <w:t>３　住民への周知</w:t>
      </w:r>
    </w:p>
    <w:p w14:paraId="3E4343DE" w14:textId="77777777" w:rsidR="008B4B2B" w:rsidRPr="001D6D10" w:rsidRDefault="008B4B2B" w:rsidP="008B4B2B">
      <w:pPr>
        <w:pStyle w:val="ad"/>
        <w:wordWrap/>
        <w:overflowPunct w:val="0"/>
        <w:spacing w:line="240" w:lineRule="auto"/>
        <w:ind w:left="853" w:hangingChars="386" w:hanging="853"/>
        <w:rPr>
          <w:rFonts w:ascii="ＭＳ 明朝" w:hAnsi="ＭＳ 明朝"/>
        </w:rPr>
      </w:pPr>
      <w:r w:rsidRPr="001D6D10">
        <w:rPr>
          <w:rFonts w:ascii="ＭＳ 明朝" w:hAnsi="ＭＳ 明朝" w:hint="eastAsia"/>
        </w:rPr>
        <w:t xml:space="preserve">　　　　　災害対策課長は、ＮＨＫ（大阪放送局）及び民間放送事業者と連携して、</w:t>
      </w:r>
    </w:p>
    <w:p w14:paraId="358F6AB3" w14:textId="77777777" w:rsidR="008B4B2B" w:rsidRPr="001D6D10" w:rsidRDefault="008B4B2B" w:rsidP="008B4B2B">
      <w:pPr>
        <w:pStyle w:val="ad"/>
        <w:wordWrap/>
        <w:overflowPunct w:val="0"/>
        <w:spacing w:line="240" w:lineRule="auto"/>
        <w:ind w:leftChars="350" w:left="739" w:firstLineChars="50" w:firstLine="111"/>
        <w:rPr>
          <w:rFonts w:ascii="ＭＳ 明朝" w:hAnsi="ＭＳ 明朝"/>
        </w:rPr>
      </w:pPr>
      <w:r w:rsidRPr="001D6D10">
        <w:rPr>
          <w:rFonts w:ascii="ＭＳ 明朝" w:hAnsi="ＭＳ 明朝" w:hint="eastAsia"/>
        </w:rPr>
        <w:t>予警報の周知を図るとともに、必要に応じて、緊急警報放送を要請する。</w:t>
      </w:r>
    </w:p>
    <w:p w14:paraId="59FD20B4" w14:textId="77777777" w:rsidR="008B4B2B" w:rsidRPr="001D6D10" w:rsidRDefault="008B4B2B" w:rsidP="008B4B2B">
      <w:pPr>
        <w:pStyle w:val="ad"/>
        <w:overflowPunct w:val="0"/>
        <w:ind w:leftChars="-223" w:left="856" w:hangingChars="600" w:hanging="1327"/>
        <w:rPr>
          <w:rFonts w:ascii="ＭＳ 明朝" w:hAnsi="ＭＳ 明朝"/>
        </w:rPr>
      </w:pPr>
      <w:r w:rsidRPr="001D6D10">
        <w:rPr>
          <w:rFonts w:ascii="ＭＳ 明朝" w:hAnsi="ＭＳ 明朝" w:hint="eastAsia"/>
        </w:rPr>
        <w:t xml:space="preserve">　　　　　　　特に台風接近時には、防災関係機関、大阪府各部局、市町村と連携し、台風の状況（進路予想図、予報円　等）や気象情報と併せ、不要・不急の外出抑制の呼びかけ、鉄道などの交通機関の運行情報等の周知を図る。</w:t>
      </w:r>
    </w:p>
    <w:p w14:paraId="5EDC84C3" w14:textId="77777777" w:rsidR="008B4B2B" w:rsidRPr="001D6D10" w:rsidRDefault="008B4B2B" w:rsidP="008B4B2B">
      <w:pPr>
        <w:pStyle w:val="ad"/>
        <w:wordWrap/>
        <w:overflowPunct w:val="0"/>
        <w:spacing w:line="240" w:lineRule="auto"/>
        <w:ind w:leftChars="377" w:left="796" w:firstLineChars="100" w:firstLine="221"/>
        <w:rPr>
          <w:rFonts w:ascii="ＭＳ 明朝" w:hAnsi="ＭＳ 明朝"/>
        </w:rPr>
      </w:pPr>
      <w:r w:rsidRPr="001D6D10">
        <w:rPr>
          <w:rFonts w:ascii="ＭＳ 明朝" w:hAnsi="ＭＳ 明朝" w:hint="eastAsia"/>
        </w:rPr>
        <w:t>なお、竜巻注意情報については、ポータルサイト（おおさか防災ネット）のホームページやメールでの周知を図る。</w:t>
      </w:r>
    </w:p>
    <w:p w14:paraId="4CDE11D8" w14:textId="77777777" w:rsidR="008B4B2B" w:rsidRPr="001D6D10" w:rsidRDefault="008B4B2B" w:rsidP="008B4B2B">
      <w:pPr>
        <w:ind w:left="1327" w:hangingChars="600" w:hanging="1327"/>
        <w:rPr>
          <w:rFonts w:ascii="ＭＳ 明朝" w:hAnsi="ＭＳ 明朝"/>
          <w:sz w:val="22"/>
          <w:szCs w:val="22"/>
        </w:rPr>
      </w:pPr>
    </w:p>
    <w:p w14:paraId="7E5F5F9C" w14:textId="4DC387A1" w:rsidR="00D93C38" w:rsidRDefault="00D93C38">
      <w:pPr>
        <w:widowControl/>
        <w:jc w:val="left"/>
        <w:rPr>
          <w:rFonts w:ascii="ＭＳ 明朝" w:eastAsia="ＭＳ ゴシック" w:hAnsi="ＭＳ 明朝"/>
          <w:noProof/>
          <w:sz w:val="22"/>
          <w:szCs w:val="22"/>
        </w:rPr>
      </w:pPr>
      <w:r>
        <w:rPr>
          <w:rFonts w:ascii="ＭＳ 明朝" w:hAnsi="ＭＳ 明朝"/>
          <w:sz w:val="22"/>
          <w:szCs w:val="22"/>
        </w:rPr>
        <w:br w:type="page"/>
      </w:r>
    </w:p>
    <w:p w14:paraId="608FFB5C" w14:textId="3B712A83" w:rsidR="008B4B2B" w:rsidRPr="00E0548A" w:rsidRDefault="008B4B2B" w:rsidP="00E0548A">
      <w:pPr>
        <w:pStyle w:val="2"/>
        <w:rPr>
          <w:rFonts w:asciiTheme="majorEastAsia" w:eastAsiaTheme="majorEastAsia" w:hAnsiTheme="majorEastAsia"/>
          <w:szCs w:val="40"/>
        </w:rPr>
      </w:pPr>
      <w:bookmarkStart w:id="215" w:name="_Toc122436920"/>
      <w:bookmarkStart w:id="216" w:name="_Toc222486603"/>
      <w:bookmarkStart w:id="217" w:name="_Toc242870273"/>
      <w:r w:rsidRPr="00E0548A">
        <w:rPr>
          <w:rFonts w:asciiTheme="majorEastAsia" w:eastAsiaTheme="majorEastAsia" w:hAnsiTheme="majorEastAsia" w:hint="eastAsia"/>
          <w:szCs w:val="40"/>
        </w:rPr>
        <w:lastRenderedPageBreak/>
        <w:t>第２節　警戒活動</w:t>
      </w:r>
      <w:bookmarkEnd w:id="215"/>
      <w:bookmarkEnd w:id="216"/>
      <w:bookmarkEnd w:id="217"/>
    </w:p>
    <w:p w14:paraId="0EAADE7A" w14:textId="18461B6D" w:rsidR="008B4B2B" w:rsidRPr="001D6D10" w:rsidRDefault="008B4B2B" w:rsidP="00E0548A">
      <w:pPr>
        <w:pStyle w:val="3"/>
        <w:ind w:firstLineChars="0" w:firstLine="0"/>
      </w:pPr>
      <w:bookmarkStart w:id="218" w:name="_Toc122436921"/>
      <w:bookmarkStart w:id="219" w:name="_Toc222486604"/>
      <w:bookmarkStart w:id="220" w:name="_Toc242870274"/>
      <w:r w:rsidRPr="001D6D10">
        <w:rPr>
          <w:rFonts w:hint="eastAsia"/>
        </w:rPr>
        <w:t>第１　水防活動・土砂災害警戒活動</w:t>
      </w:r>
      <w:bookmarkEnd w:id="218"/>
      <w:bookmarkEnd w:id="219"/>
      <w:bookmarkEnd w:id="220"/>
    </w:p>
    <w:p w14:paraId="4C25B0EE" w14:textId="77777777" w:rsidR="008B4B2B" w:rsidRPr="001D6D10" w:rsidRDefault="008B4B2B" w:rsidP="008B4B2B">
      <w:pPr>
        <w:ind w:left="210" w:firstLineChars="400" w:firstLine="884"/>
        <w:rPr>
          <w:rFonts w:ascii="ＭＳ Ｐゴシック" w:eastAsia="ＭＳ Ｐゴシック" w:hAnsi="ＭＳ Ｐゴシック"/>
        </w:rPr>
      </w:pPr>
      <w:r w:rsidRPr="001D6D10">
        <w:rPr>
          <w:rFonts w:ascii="ＭＳ 明朝" w:hAnsi="ＭＳ 明朝" w:hint="eastAsia"/>
          <w:noProof/>
          <w:sz w:val="22"/>
          <w:szCs w:val="22"/>
        </w:rPr>
        <mc:AlternateContent>
          <mc:Choice Requires="wpg">
            <w:drawing>
              <wp:anchor distT="0" distB="0" distL="114300" distR="114300" simplePos="0" relativeHeight="253166592" behindDoc="0" locked="0" layoutInCell="1" allowOverlap="1" wp14:anchorId="680AF5B2" wp14:editId="11D335CF">
                <wp:simplePos x="0" y="0"/>
                <wp:positionH relativeFrom="column">
                  <wp:posOffset>1764665</wp:posOffset>
                </wp:positionH>
                <wp:positionV relativeFrom="paragraph">
                  <wp:posOffset>209550</wp:posOffset>
                </wp:positionV>
                <wp:extent cx="2998470" cy="1144270"/>
                <wp:effectExtent l="12065" t="9525" r="18415" b="8255"/>
                <wp:wrapNone/>
                <wp:docPr id="2774" name="Group 233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998470" cy="1144270"/>
                          <a:chOff x="2573" y="3579"/>
                          <a:chExt cx="4722" cy="1802"/>
                        </a:xfrm>
                      </wpg:grpSpPr>
                      <wps:wsp>
                        <wps:cNvPr id="2775" name="Oval 2337"/>
                        <wps:cNvSpPr>
                          <a:spLocks noChangeArrowheads="1"/>
                        </wps:cNvSpPr>
                        <wps:spPr bwMode="auto">
                          <a:xfrm>
                            <a:off x="2573" y="3621"/>
                            <a:ext cx="489" cy="1760"/>
                          </a:xfrm>
                          <a:prstGeom prst="ellipse">
                            <a:avLst/>
                          </a:prstGeom>
                          <a:solidFill>
                            <a:srgbClr val="FFFFFF"/>
                          </a:solidFill>
                          <a:ln w="9525">
                            <a:solidFill>
                              <a:srgbClr val="000000"/>
                            </a:solidFill>
                            <a:round/>
                            <a:headEnd/>
                            <a:tailEnd/>
                          </a:ln>
                        </wps:spPr>
                        <wps:txbx>
                          <w:txbxContent>
                            <w:p w14:paraId="631A7706" w14:textId="77777777" w:rsidR="006A5267" w:rsidRPr="00776142" w:rsidRDefault="006A5267" w:rsidP="008B4B2B">
                              <w:pPr>
                                <w:spacing w:line="240" w:lineRule="exact"/>
                                <w:jc w:val="distribute"/>
                                <w:rPr>
                                  <w:rFonts w:ascii="ＭＳ Ｐゴシック" w:eastAsia="ＭＳ Ｐゴシック" w:hAnsi="ＭＳ Ｐゴシック"/>
                                </w:rPr>
                              </w:pPr>
                              <w:r w:rsidRPr="00776142">
                                <w:rPr>
                                  <w:rFonts w:ascii="ＭＳ Ｐゴシック" w:eastAsia="ＭＳ Ｐゴシック" w:hAnsi="ＭＳ Ｐゴシック" w:hint="eastAsia"/>
                                </w:rPr>
                                <w:t>水防本部</w:t>
                              </w:r>
                              <w:r>
                                <w:rPr>
                                  <w:rFonts w:ascii="ＭＳ Ｐゴシック" w:eastAsia="ＭＳ Ｐゴシック" w:hAnsi="ＭＳ Ｐゴシック" w:hint="eastAsia"/>
                                </w:rPr>
                                <w:t>等</w:t>
                              </w:r>
                            </w:p>
                          </w:txbxContent>
                        </wps:txbx>
                        <wps:bodyPr rot="0" vert="eaVert" wrap="square" lIns="30960" tIns="8890" rIns="30960" bIns="8890" anchor="t" anchorCtr="0" upright="1">
                          <a:noAutofit/>
                        </wps:bodyPr>
                      </wps:wsp>
                      <wps:wsp>
                        <wps:cNvPr id="2776" name="Line 2338"/>
                        <wps:cNvCnPr/>
                        <wps:spPr bwMode="auto">
                          <a:xfrm>
                            <a:off x="3045" y="3981"/>
                            <a:ext cx="797" cy="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2777" name="Line 2339"/>
                        <wps:cNvCnPr/>
                        <wps:spPr bwMode="auto">
                          <a:xfrm>
                            <a:off x="3098" y="4461"/>
                            <a:ext cx="735" cy="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2778" name="AutoShape 2340"/>
                        <wps:cNvSpPr>
                          <a:spLocks noChangeArrowheads="1"/>
                        </wps:cNvSpPr>
                        <wps:spPr bwMode="auto">
                          <a:xfrm>
                            <a:off x="3845" y="3781"/>
                            <a:ext cx="2267" cy="354"/>
                          </a:xfrm>
                          <a:prstGeom prst="roundRect">
                            <a:avLst>
                              <a:gd name="adj" fmla="val 16667"/>
                            </a:avLst>
                          </a:prstGeom>
                          <a:solidFill>
                            <a:srgbClr val="FFFFFF"/>
                          </a:solidFill>
                          <a:ln w="9525">
                            <a:solidFill>
                              <a:srgbClr val="000000"/>
                            </a:solidFill>
                            <a:round/>
                            <a:headEnd/>
                            <a:tailEnd/>
                          </a:ln>
                        </wps:spPr>
                        <wps:txbx>
                          <w:txbxContent>
                            <w:p w14:paraId="1E314957" w14:textId="77777777" w:rsidR="006A5267" w:rsidRPr="00776142" w:rsidRDefault="006A5267" w:rsidP="008B4B2B">
                              <w:pPr>
                                <w:jc w:val="center"/>
                                <w:rPr>
                                  <w:rFonts w:ascii="ＭＳ Ｐゴシック" w:eastAsia="ＭＳ Ｐゴシック" w:hAnsi="ＭＳ Ｐゴシック"/>
                                </w:rPr>
                              </w:pPr>
                              <w:r w:rsidRPr="00776142">
                                <w:rPr>
                                  <w:rFonts w:ascii="ＭＳ Ｐゴシック" w:eastAsia="ＭＳ Ｐゴシック" w:hAnsi="ＭＳ Ｐゴシック" w:hint="eastAsia"/>
                                </w:rPr>
                                <w:t>府危機管理室</w:t>
                              </w:r>
                            </w:p>
                          </w:txbxContent>
                        </wps:txbx>
                        <wps:bodyPr rot="0" vert="horz" wrap="square" lIns="74295" tIns="8890" rIns="74295" bIns="8890" anchor="t" anchorCtr="0" upright="1">
                          <a:noAutofit/>
                        </wps:bodyPr>
                      </wps:wsp>
                      <wps:wsp>
                        <wps:cNvPr id="2779" name="AutoShape 2341"/>
                        <wps:cNvSpPr>
                          <a:spLocks noChangeArrowheads="1"/>
                        </wps:cNvSpPr>
                        <wps:spPr bwMode="auto">
                          <a:xfrm>
                            <a:off x="3833" y="4267"/>
                            <a:ext cx="2268" cy="354"/>
                          </a:xfrm>
                          <a:prstGeom prst="roundRect">
                            <a:avLst>
                              <a:gd name="adj" fmla="val 16667"/>
                            </a:avLst>
                          </a:prstGeom>
                          <a:solidFill>
                            <a:srgbClr val="FFFFFF"/>
                          </a:solidFill>
                          <a:ln w="9525">
                            <a:solidFill>
                              <a:srgbClr val="000000"/>
                            </a:solidFill>
                            <a:round/>
                            <a:headEnd/>
                            <a:tailEnd/>
                          </a:ln>
                        </wps:spPr>
                        <wps:txbx>
                          <w:txbxContent>
                            <w:p w14:paraId="586D1EFE" w14:textId="77777777" w:rsidR="006A5267" w:rsidRPr="00776142" w:rsidRDefault="006A5267" w:rsidP="008B4B2B">
                              <w:pPr>
                                <w:jc w:val="center"/>
                                <w:rPr>
                                  <w:rFonts w:ascii="ＭＳ Ｐゴシック" w:eastAsia="ＭＳ Ｐゴシック" w:hAnsi="ＭＳ Ｐゴシック"/>
                                </w:rPr>
                              </w:pPr>
                              <w:r w:rsidRPr="00776142">
                                <w:rPr>
                                  <w:rFonts w:ascii="ＭＳ Ｐゴシック" w:eastAsia="ＭＳ Ｐゴシック" w:hAnsi="ＭＳ Ｐゴシック" w:hint="eastAsia"/>
                                </w:rPr>
                                <w:t>市町村・水防機関</w:t>
                              </w:r>
                            </w:p>
                          </w:txbxContent>
                        </wps:txbx>
                        <wps:bodyPr rot="0" vert="horz" wrap="square" lIns="74295" tIns="8890" rIns="74295" bIns="8890" anchor="t" anchorCtr="0" upright="1">
                          <a:noAutofit/>
                        </wps:bodyPr>
                      </wps:wsp>
                      <wps:wsp>
                        <wps:cNvPr id="2780" name="Line 2342"/>
                        <wps:cNvCnPr/>
                        <wps:spPr bwMode="auto">
                          <a:xfrm>
                            <a:off x="3038" y="4981"/>
                            <a:ext cx="797" cy="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2781" name="AutoShape 2343"/>
                        <wps:cNvSpPr>
                          <a:spLocks noChangeArrowheads="1"/>
                        </wps:cNvSpPr>
                        <wps:spPr bwMode="auto">
                          <a:xfrm>
                            <a:off x="3833" y="4787"/>
                            <a:ext cx="2268" cy="354"/>
                          </a:xfrm>
                          <a:prstGeom prst="roundRect">
                            <a:avLst>
                              <a:gd name="adj" fmla="val 16667"/>
                            </a:avLst>
                          </a:prstGeom>
                          <a:solidFill>
                            <a:srgbClr val="FFFFFF"/>
                          </a:solidFill>
                          <a:ln w="9525">
                            <a:solidFill>
                              <a:srgbClr val="000000"/>
                            </a:solidFill>
                            <a:round/>
                            <a:headEnd/>
                            <a:tailEnd/>
                          </a:ln>
                        </wps:spPr>
                        <wps:txbx>
                          <w:txbxContent>
                            <w:p w14:paraId="6B46CCE2" w14:textId="77777777" w:rsidR="006A5267" w:rsidRPr="00776142" w:rsidRDefault="006A5267" w:rsidP="008B4B2B">
                              <w:pPr>
                                <w:jc w:val="center"/>
                                <w:rPr>
                                  <w:rFonts w:ascii="ＭＳ Ｐゴシック" w:eastAsia="ＭＳ Ｐゴシック" w:hAnsi="ＭＳ Ｐゴシック"/>
                                </w:rPr>
                              </w:pPr>
                              <w:r w:rsidRPr="00776142">
                                <w:rPr>
                                  <w:rFonts w:ascii="ＭＳ Ｐゴシック" w:eastAsia="ＭＳ Ｐゴシック" w:hAnsi="ＭＳ Ｐゴシック" w:hint="eastAsia"/>
                                </w:rPr>
                                <w:t>報道機関</w:t>
                              </w:r>
                            </w:p>
                          </w:txbxContent>
                        </wps:txbx>
                        <wps:bodyPr rot="0" vert="horz" wrap="square" lIns="74295" tIns="8890" rIns="74295" bIns="8890" anchor="t" anchorCtr="0" upright="1">
                          <a:noAutofit/>
                        </wps:bodyPr>
                      </wps:wsp>
                      <wps:wsp>
                        <wps:cNvPr id="2782" name="Line 2344"/>
                        <wps:cNvCnPr/>
                        <wps:spPr bwMode="auto">
                          <a:xfrm>
                            <a:off x="6115" y="4449"/>
                            <a:ext cx="644" cy="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2783" name="Line 2345"/>
                        <wps:cNvCnPr/>
                        <wps:spPr bwMode="auto">
                          <a:xfrm>
                            <a:off x="6101" y="4985"/>
                            <a:ext cx="735" cy="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4128" name="AutoShape 2346"/>
                        <wps:cNvSpPr>
                          <a:spLocks noChangeArrowheads="1"/>
                        </wps:cNvSpPr>
                        <wps:spPr bwMode="auto">
                          <a:xfrm>
                            <a:off x="6770" y="3579"/>
                            <a:ext cx="525" cy="1760"/>
                          </a:xfrm>
                          <a:prstGeom prst="hexagon">
                            <a:avLst>
                              <a:gd name="adj" fmla="val 25000"/>
                              <a:gd name="vf" fmla="val 115470"/>
                            </a:avLst>
                          </a:prstGeom>
                          <a:solidFill>
                            <a:srgbClr val="FFFFFF"/>
                          </a:solidFill>
                          <a:ln w="9525">
                            <a:solidFill>
                              <a:srgbClr val="000000"/>
                            </a:solidFill>
                            <a:miter lim="800000"/>
                            <a:headEnd/>
                            <a:tailEnd/>
                          </a:ln>
                        </wps:spPr>
                        <wps:txbx>
                          <w:txbxContent>
                            <w:p w14:paraId="22D81900" w14:textId="77777777" w:rsidR="006A5267" w:rsidRPr="00776142" w:rsidRDefault="006A5267" w:rsidP="008B4B2B">
                              <w:pPr>
                                <w:spacing w:line="240" w:lineRule="exact"/>
                                <w:rPr>
                                  <w:rFonts w:ascii="ＭＳ Ｐゴシック" w:eastAsia="ＭＳ Ｐゴシック" w:hAnsi="ＭＳ Ｐゴシック"/>
                                </w:rPr>
                              </w:pPr>
                              <w:r>
                                <w:rPr>
                                  <w:rFonts w:ascii="ＭＳ Ｐゴシック" w:eastAsia="ＭＳ Ｐゴシック" w:hAnsi="ＭＳ Ｐゴシック" w:hint="eastAsia"/>
                                </w:rPr>
                                <w:t>住民・その他</w:t>
                              </w:r>
                            </w:p>
                          </w:txbxContent>
                        </wps:txbx>
                        <wps:bodyPr rot="0" vert="eaVert" wrap="square" lIns="30960" tIns="8890" rIns="30960" bIns="8890" anchor="t" anchorCtr="0" upright="1">
                          <a:noAutofit/>
                        </wps:bodyPr>
                      </wps:wsp>
                    </wpg:wgp>
                  </a:graphicData>
                </a:graphic>
                <wp14:sizeRelH relativeFrom="page">
                  <wp14:pctWidth>0</wp14:pctWidth>
                </wp14:sizeRelH>
                <wp14:sizeRelV relativeFrom="page">
                  <wp14:pctHeight>0</wp14:pctHeight>
                </wp14:sizeRelV>
              </wp:anchor>
            </w:drawing>
          </mc:Choice>
          <mc:Fallback xmlns:w16cei="http://schemas.microsoft.com/office/word/2026/wordml/cei">
            <w:pict>
              <v:group w14:anchorId="680AF5B2" id="Group 2336" o:spid="_x0000_s1341" style="position:absolute;left:0;text-align:left;margin-left:138.95pt;margin-top:16.5pt;width:236.1pt;height:90.1pt;z-index:253166592" coordorigin="2573,3579" coordsize="4722,18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">
                <v:oval id="Oval 2337" o:spid="_x0000_s1342" style="position:absolute;left:2573;top:3621;width:489;height:176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">
                  <v:textbox style="layout-flow:vertical-ideographic" inset=".86mm,.7pt,.86mm,.7pt">
                    <w:txbxContent>
                      <w:p w14:paraId="631A7706" w14:textId="77777777" w:rsidR="006A5267" w:rsidRPr="00776142" w:rsidRDefault="006A5267" w:rsidP="008B4B2B">
                        <w:pPr>
                          <w:spacing w:line="240" w:lineRule="exact"/>
                          <w:jc w:val="distribute"/>
                          <w:rPr>
                            <w:rFonts w:ascii="ＭＳ Ｐゴシック" w:eastAsia="ＭＳ Ｐゴシック" w:hAnsi="ＭＳ Ｐゴシック"/>
                          </w:rPr>
                        </w:pPr>
                        <w:r w:rsidRPr="00776142">
                          <w:rPr>
                            <w:rFonts w:ascii="ＭＳ Ｐゴシック" w:eastAsia="ＭＳ Ｐゴシック" w:hAnsi="ＭＳ Ｐゴシック" w:hint="eastAsia"/>
                          </w:rPr>
                          <w:t>水防本部</w:t>
                        </w:r>
                        <w:r>
                          <w:rPr>
                            <w:rFonts w:ascii="ＭＳ Ｐゴシック" w:eastAsia="ＭＳ Ｐゴシック" w:hAnsi="ＭＳ Ｐゴシック" w:hint="eastAsia"/>
                          </w:rPr>
                          <w:t>等</w:t>
                        </w:r>
                      </w:p>
                    </w:txbxContent>
                  </v:textbox>
                </v:oval>
                <v:line id="Line 2338" o:spid="_x0000_s1343" style="position:absolute;visibility:visible;mso-wrap-style:square" from="3045,3981" to="3842,398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">
                  <v:stroke endarrow="block"/>
                </v:line>
                <v:line id="Line 2339" o:spid="_x0000_s1344" style="position:absolute;visibility:visible;mso-wrap-style:square" from="3098,4461" to="3833,446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">
                  <v:stroke endarrow="block"/>
                </v:line>
                <v:roundrect id="AutoShape 2340" o:spid="_x0000_s1345" style="position:absolute;left:3845;top:3781;width:2267;height:354;visibility:visible;mso-wrap-style:square;v-text-anchor:top"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">
                  <v:textbox inset="5.85pt,.7pt,5.85pt,.7pt">
                    <w:txbxContent>
                      <w:p w14:paraId="1E314957" w14:textId="77777777" w:rsidR="006A5267" w:rsidRPr="00776142" w:rsidRDefault="006A5267" w:rsidP="008B4B2B">
                        <w:pPr>
                          <w:jc w:val="center"/>
                          <w:rPr>
                            <w:rFonts w:ascii="ＭＳ Ｐゴシック" w:eastAsia="ＭＳ Ｐゴシック" w:hAnsi="ＭＳ Ｐゴシック"/>
                          </w:rPr>
                        </w:pPr>
                        <w:r w:rsidRPr="00776142">
                          <w:rPr>
                            <w:rFonts w:ascii="ＭＳ Ｐゴシック" w:eastAsia="ＭＳ Ｐゴシック" w:hAnsi="ＭＳ Ｐゴシック" w:hint="eastAsia"/>
                          </w:rPr>
                          <w:t>府危機管理室</w:t>
                        </w:r>
                      </w:p>
                    </w:txbxContent>
                  </v:textbox>
                </v:roundrect>
                <v:roundrect id="AutoShape 2341" o:spid="_x0000_s1346" style="position:absolute;left:3833;top:4267;width:2268;height:354;visibility:visible;mso-wrap-style:square;v-text-anchor:top"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">
                  <v:textbox inset="5.85pt,.7pt,5.85pt,.7pt">
                    <w:txbxContent>
                      <w:p w14:paraId="586D1EFE" w14:textId="77777777" w:rsidR="006A5267" w:rsidRPr="00776142" w:rsidRDefault="006A5267" w:rsidP="008B4B2B">
                        <w:pPr>
                          <w:jc w:val="center"/>
                          <w:rPr>
                            <w:rFonts w:ascii="ＭＳ Ｐゴシック" w:eastAsia="ＭＳ Ｐゴシック" w:hAnsi="ＭＳ Ｐゴシック"/>
                          </w:rPr>
                        </w:pPr>
                        <w:r w:rsidRPr="00776142">
                          <w:rPr>
                            <w:rFonts w:ascii="ＭＳ Ｐゴシック" w:eastAsia="ＭＳ Ｐゴシック" w:hAnsi="ＭＳ Ｐゴシック" w:hint="eastAsia"/>
                          </w:rPr>
                          <w:t>市町村・水防機関</w:t>
                        </w:r>
                      </w:p>
                    </w:txbxContent>
                  </v:textbox>
                </v:roundrect>
                <v:line id="Line 2342" o:spid="_x0000_s1347" style="position:absolute;visibility:visible;mso-wrap-style:square" from="3038,4981" to="3835,498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">
                  <v:stroke endarrow="block"/>
                </v:line>
                <v:roundrect id="AutoShape 2343" o:spid="_x0000_s1348" style="position:absolute;left:3833;top:4787;width:2268;height:354;visibility:visible;mso-wrap-style:square;v-text-anchor:top"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">
                  <v:textbox inset="5.85pt,.7pt,5.85pt,.7pt">
                    <w:txbxContent>
                      <w:p w14:paraId="6B46CCE2" w14:textId="77777777" w:rsidR="006A5267" w:rsidRPr="00776142" w:rsidRDefault="006A5267" w:rsidP="008B4B2B">
                        <w:pPr>
                          <w:jc w:val="center"/>
                          <w:rPr>
                            <w:rFonts w:ascii="ＭＳ Ｐゴシック" w:eastAsia="ＭＳ Ｐゴシック" w:hAnsi="ＭＳ Ｐゴシック"/>
                          </w:rPr>
                        </w:pPr>
                        <w:r w:rsidRPr="00776142">
                          <w:rPr>
                            <w:rFonts w:ascii="ＭＳ Ｐゴシック" w:eastAsia="ＭＳ Ｐゴシック" w:hAnsi="ＭＳ Ｐゴシック" w:hint="eastAsia"/>
                          </w:rPr>
                          <w:t>報道機関</w:t>
                        </w:r>
                      </w:p>
                    </w:txbxContent>
                  </v:textbox>
                </v:roundrect>
                <v:line id="Line 2344" o:spid="_x0000_s1349" style="position:absolute;visibility:visible;mso-wrap-style:square" from="6115,4449" to="6759,444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">
                  <v:stroke endarrow="block"/>
                </v:line>
                <v:line id="Line 2345" o:spid="_x0000_s1350" style="position:absolute;visibility:visible;mso-wrap-style:square" from="6101,4985" to="6836,498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">
                  <v:stroke endarrow="block"/>
                </v:line>
                <v:shape id="AutoShape 2346" o:spid="_x0000_s1351" type="#_x0000_t9" style="position:absolute;left:6770;top:3579;width:525;height:176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">
                  <v:textbox style="layout-flow:vertical-ideographic" inset=".86mm,.7pt,.86mm,.7pt">
                    <w:txbxContent>
                      <w:p w14:paraId="22D81900" w14:textId="77777777" w:rsidR="006A5267" w:rsidRPr="00776142" w:rsidRDefault="006A5267" w:rsidP="008B4B2B">
                        <w:pPr>
                          <w:spacing w:line="240" w:lineRule="exact"/>
                          <w:rPr>
                            <w:rFonts w:ascii="ＭＳ Ｐゴシック" w:eastAsia="ＭＳ Ｐゴシック" w:hAnsi="ＭＳ Ｐゴシック"/>
                          </w:rPr>
                        </w:pPr>
                        <w:r>
                          <w:rPr>
                            <w:rFonts w:ascii="ＭＳ Ｐゴシック" w:eastAsia="ＭＳ Ｐゴシック" w:hAnsi="ＭＳ Ｐゴシック" w:hint="eastAsia"/>
                          </w:rPr>
                          <w:t>住民・その他</w:t>
                        </w:r>
                      </w:p>
                    </w:txbxContent>
                  </v:textbox>
                </v:shape>
              </v:group>
            </w:pict>
          </mc:Fallback>
        </mc:AlternateContent>
      </w:r>
      <w:r w:rsidRPr="001D6D10">
        <w:rPr>
          <w:rFonts w:ascii="ＭＳ ゴシック" w:eastAsia="ＭＳ ゴシック" w:hAnsi="ＭＳ ゴシック" w:hint="eastAsia"/>
          <w:sz w:val="22"/>
          <w:szCs w:val="22"/>
          <w:bdr w:val="single" w:sz="4" w:space="0" w:color="auto"/>
        </w:rPr>
        <w:t>主たる担当：危機管理室、河川室ほか関係部局関係室・課</w:t>
      </w:r>
      <w:r w:rsidRPr="001D6D10">
        <w:rPr>
          <w:rFonts w:ascii="ＭＳ Ｐゴシック" w:eastAsia="ＭＳ Ｐゴシック" w:hAnsi="ＭＳ Ｐゴシック" w:hint="eastAsia"/>
        </w:rPr>
        <w:t xml:space="preserve">　</w:t>
      </w:r>
    </w:p>
    <w:p w14:paraId="5D0186A8" w14:textId="77777777" w:rsidR="008B4B2B" w:rsidRPr="001D6D10" w:rsidRDefault="008B4B2B" w:rsidP="008B4B2B">
      <w:pPr>
        <w:ind w:left="210" w:firstLineChars="100" w:firstLine="211"/>
        <w:rPr>
          <w:rFonts w:ascii="ＭＳ ゴシック" w:eastAsia="ＭＳ ゴシック" w:hAnsi="ＭＳ ゴシック"/>
          <w:sz w:val="22"/>
          <w:szCs w:val="22"/>
          <w:u w:val="single"/>
        </w:rPr>
      </w:pPr>
      <w:r w:rsidRPr="001D6D10">
        <w:rPr>
          <w:rFonts w:ascii="ＭＳ Ｐゴシック" w:eastAsia="ＭＳ Ｐゴシック" w:hAnsi="ＭＳ Ｐゴシック" w:hint="eastAsia"/>
        </w:rPr>
        <w:t xml:space="preserve">　　</w:t>
      </w:r>
      <w:r w:rsidRPr="001D6D10">
        <w:rPr>
          <w:rFonts w:ascii="ＭＳ ゴシック" w:eastAsia="ＭＳ ゴシック" w:hAnsi="ＭＳ ゴシック" w:hint="eastAsia"/>
          <w:sz w:val="22"/>
          <w:szCs w:val="22"/>
          <w:u w:val="single"/>
        </w:rPr>
        <w:t>１　伝達経路</w:t>
      </w:r>
    </w:p>
    <w:p w14:paraId="1E97BFF6" w14:textId="77777777" w:rsidR="008B4B2B" w:rsidRPr="001D6D10" w:rsidRDefault="008B4B2B" w:rsidP="008B4B2B">
      <w:pPr>
        <w:ind w:left="210"/>
        <w:rPr>
          <w:rFonts w:ascii="ＭＳ 明朝" w:hAnsi="ＭＳ 明朝"/>
          <w:sz w:val="22"/>
          <w:szCs w:val="22"/>
        </w:rPr>
      </w:pPr>
    </w:p>
    <w:p w14:paraId="3EAC0D8B" w14:textId="77777777" w:rsidR="008B4B2B" w:rsidRPr="001D6D10" w:rsidRDefault="008B4B2B" w:rsidP="008B4B2B">
      <w:pPr>
        <w:pStyle w:val="ad"/>
        <w:wordWrap/>
        <w:overflowPunct w:val="0"/>
        <w:spacing w:line="240" w:lineRule="auto"/>
        <w:ind w:left="1327" w:hangingChars="600" w:hanging="1327"/>
        <w:rPr>
          <w:rFonts w:ascii="ＭＳ 明朝" w:hAnsi="ＭＳ 明朝"/>
        </w:rPr>
      </w:pPr>
    </w:p>
    <w:p w14:paraId="69906AC8" w14:textId="77777777" w:rsidR="008B4B2B" w:rsidRPr="001D6D10" w:rsidRDefault="008B4B2B" w:rsidP="008B4B2B">
      <w:pPr>
        <w:pStyle w:val="ad"/>
        <w:wordWrap/>
        <w:overflowPunct w:val="0"/>
        <w:spacing w:line="240" w:lineRule="auto"/>
        <w:ind w:left="1327" w:hangingChars="600" w:hanging="1327"/>
        <w:rPr>
          <w:rFonts w:ascii="ＭＳ 明朝" w:hAnsi="ＭＳ 明朝"/>
        </w:rPr>
      </w:pPr>
    </w:p>
    <w:p w14:paraId="645D59F7" w14:textId="77777777" w:rsidR="008B4B2B" w:rsidRPr="001D6D10" w:rsidRDefault="008B4B2B" w:rsidP="008B4B2B">
      <w:pPr>
        <w:pStyle w:val="ad"/>
        <w:wordWrap/>
        <w:overflowPunct w:val="0"/>
        <w:spacing w:line="240" w:lineRule="auto"/>
        <w:ind w:left="1327" w:hangingChars="600" w:hanging="1327"/>
        <w:rPr>
          <w:rFonts w:ascii="ＭＳ 明朝" w:hAnsi="ＭＳ 明朝"/>
        </w:rPr>
      </w:pPr>
    </w:p>
    <w:p w14:paraId="6C51345E" w14:textId="77777777" w:rsidR="008B4B2B" w:rsidRPr="001D6D10" w:rsidRDefault="008B4B2B" w:rsidP="008B4B2B">
      <w:pPr>
        <w:pStyle w:val="ad"/>
        <w:wordWrap/>
        <w:overflowPunct w:val="0"/>
        <w:spacing w:line="240" w:lineRule="auto"/>
        <w:rPr>
          <w:rFonts w:ascii="ＭＳ ゴシック" w:eastAsia="ＭＳ ゴシック" w:hAnsi="ＭＳ ゴシック"/>
          <w:u w:val="single"/>
        </w:rPr>
      </w:pPr>
      <w:r w:rsidRPr="001D6D10">
        <w:rPr>
          <w:rFonts w:ascii="ＭＳ 明朝" w:hAnsi="ＭＳ 明朝" w:hint="eastAsia"/>
        </w:rPr>
        <w:t xml:space="preserve">　　　</w:t>
      </w:r>
      <w:r w:rsidRPr="001D6D10">
        <w:rPr>
          <w:rFonts w:ascii="ＭＳ ゴシック" w:eastAsia="ＭＳ ゴシック" w:hAnsi="ＭＳ ゴシック" w:hint="eastAsia"/>
          <w:u w:val="single"/>
        </w:rPr>
        <w:t>２　気象観測情報の収集伝達等</w:t>
      </w:r>
    </w:p>
    <w:p w14:paraId="0252D99C" w14:textId="77777777" w:rsidR="008B4B2B" w:rsidRPr="001D6D10" w:rsidRDefault="008B4B2B" w:rsidP="008B4B2B">
      <w:pPr>
        <w:pStyle w:val="ad"/>
        <w:wordWrap/>
        <w:overflowPunct w:val="0"/>
        <w:spacing w:line="240" w:lineRule="auto"/>
        <w:ind w:leftChars="399" w:left="853" w:hangingChars="5" w:hanging="11"/>
        <w:rPr>
          <w:rFonts w:ascii="ＭＳ 明朝" w:hAnsi="ＭＳ 明朝"/>
        </w:rPr>
      </w:pPr>
      <w:r w:rsidRPr="001D6D10">
        <w:rPr>
          <w:rFonts w:ascii="ＭＳ 明朝" w:hAnsi="ＭＳ 明朝" w:hint="eastAsia"/>
        </w:rPr>
        <w:t xml:space="preserve">　府（水防本部(現地指導班)含む）、市町村をはじめ防災関係機関</w:t>
      </w:r>
    </w:p>
    <w:p w14:paraId="3F72F908" w14:textId="77777777" w:rsidR="008B4B2B" w:rsidRPr="001D6D10" w:rsidRDefault="008B4B2B" w:rsidP="008B4B2B">
      <w:pPr>
        <w:pStyle w:val="ad"/>
        <w:wordWrap/>
        <w:overflowPunct w:val="0"/>
        <w:spacing w:line="240" w:lineRule="auto"/>
        <w:ind w:leftChars="399" w:left="853" w:hangingChars="5" w:hanging="11"/>
        <w:rPr>
          <w:rFonts w:ascii="ＭＳ 明朝" w:hAnsi="ＭＳ 明朝"/>
        </w:rPr>
      </w:pPr>
      <w:r w:rsidRPr="001D6D10">
        <w:rPr>
          <w:rFonts w:ascii="ＭＳ 明朝" w:hAnsi="ＭＳ 明朝" w:hint="eastAsia"/>
        </w:rPr>
        <w:t>（近畿地方整備局、水防・ため池管理者、水防管理団体など）は、連携して、雨量、河川・ため池水位、潮位、津波高などの気象観測情報を収集、把握し、状況に応じた警戒体制をとる。</w:t>
      </w:r>
    </w:p>
    <w:p w14:paraId="38C88D10" w14:textId="77777777" w:rsidR="008B4B2B" w:rsidRPr="001D6D10" w:rsidRDefault="008B4B2B" w:rsidP="008B4B2B">
      <w:pPr>
        <w:pStyle w:val="ad"/>
        <w:wordWrap/>
        <w:overflowPunct w:val="0"/>
        <w:spacing w:line="240" w:lineRule="auto"/>
        <w:ind w:leftChars="399" w:left="853" w:hangingChars="5" w:hanging="11"/>
        <w:rPr>
          <w:rFonts w:ascii="ＭＳ 明朝" w:hAnsi="ＭＳ 明朝"/>
        </w:rPr>
      </w:pPr>
      <w:r w:rsidRPr="001D6D10">
        <w:rPr>
          <w:rFonts w:ascii="ＭＳ 明朝" w:hAnsi="ＭＳ 明朝" w:hint="eastAsia"/>
        </w:rPr>
        <w:t xml:space="preserve">　また、国土交通大臣又は知事がそれぞれ指定する河川、海岸等に、洪水、津波、又は高潮による災害の発生が予想される場合、水防活動を必要とする旨の警報を発表する（水防法第16条第1項）。</w:t>
      </w:r>
    </w:p>
    <w:p w14:paraId="00D8718A" w14:textId="77777777" w:rsidR="008B4B2B" w:rsidRPr="001D6D10" w:rsidRDefault="008B4B2B" w:rsidP="008B4B2B">
      <w:pPr>
        <w:pStyle w:val="ad"/>
        <w:wordWrap/>
        <w:overflowPunct w:val="0"/>
        <w:spacing w:line="240" w:lineRule="auto"/>
        <w:ind w:leftChars="399" w:left="853" w:hangingChars="5" w:hanging="11"/>
        <w:rPr>
          <w:rFonts w:ascii="ＭＳ 明朝" w:hAnsi="ＭＳ 明朝"/>
        </w:rPr>
      </w:pPr>
    </w:p>
    <w:p w14:paraId="0A885CA1" w14:textId="77777777" w:rsidR="008B4B2B" w:rsidRPr="001D6D10" w:rsidRDefault="008B4B2B" w:rsidP="008B4B2B">
      <w:pPr>
        <w:pStyle w:val="ad"/>
        <w:wordWrap/>
        <w:overflowPunct w:val="0"/>
        <w:spacing w:line="240" w:lineRule="auto"/>
        <w:ind w:leftChars="400" w:left="1286" w:hangingChars="200" w:hanging="442"/>
        <w:rPr>
          <w:rFonts w:ascii="ＭＳ 明朝" w:hAnsi="ＭＳ 明朝"/>
        </w:rPr>
      </w:pPr>
      <w:r w:rsidRPr="001D6D10">
        <w:rPr>
          <w:rFonts w:ascii="ＭＳ 明朝" w:hAnsi="ＭＳ 明朝" w:hint="eastAsia"/>
        </w:rPr>
        <w:t>(1)　近畿地方整備局が発表する水防警報</w:t>
      </w:r>
    </w:p>
    <w:p w14:paraId="2C564762" w14:textId="77777777" w:rsidR="008B4B2B" w:rsidRPr="001D6D10" w:rsidRDefault="008B4B2B" w:rsidP="008B4B2B">
      <w:pPr>
        <w:pStyle w:val="ad"/>
        <w:wordWrap/>
        <w:overflowPunct w:val="0"/>
        <w:spacing w:line="240" w:lineRule="auto"/>
        <w:ind w:left="1105" w:hangingChars="500" w:hanging="1105"/>
        <w:rPr>
          <w:rFonts w:ascii="ＭＳ 明朝" w:hAnsi="ＭＳ 明朝"/>
        </w:rPr>
      </w:pPr>
      <w:r w:rsidRPr="001D6D10">
        <w:rPr>
          <w:rFonts w:ascii="ＭＳ 明朝" w:hAnsi="ＭＳ 明朝" w:hint="eastAsia"/>
        </w:rPr>
        <w:t xml:space="preserve">　　　　　　淀川、大和川、石川又は猪名川の指定区間外区間において、洪水、津波又は高潮が生じる恐れがあると認められる場合は、当該河川を管理する河川事務所長は水防警報を発表し、水防本部長（知事）に通知し、水防本部長は、直ちに関係水防管理者等に通知する。</w:t>
      </w:r>
    </w:p>
    <w:p w14:paraId="04FD571B" w14:textId="77777777" w:rsidR="008B4B2B" w:rsidRPr="001D6D10" w:rsidRDefault="008B4B2B" w:rsidP="008B4B2B">
      <w:pPr>
        <w:pStyle w:val="ad"/>
        <w:wordWrap/>
        <w:overflowPunct w:val="0"/>
        <w:spacing w:line="240" w:lineRule="auto"/>
        <w:rPr>
          <w:rFonts w:ascii="ＭＳ 明朝" w:hAnsi="ＭＳ 明朝"/>
        </w:rPr>
      </w:pPr>
    </w:p>
    <w:p w14:paraId="06035023" w14:textId="77777777" w:rsidR="008B4B2B" w:rsidRPr="001D6D10" w:rsidRDefault="008B4B2B" w:rsidP="008B4B2B">
      <w:pPr>
        <w:pStyle w:val="ad"/>
        <w:wordWrap/>
        <w:overflowPunct w:val="0"/>
        <w:spacing w:line="240" w:lineRule="auto"/>
        <w:ind w:leftChars="400" w:left="1286" w:hangingChars="200" w:hanging="442"/>
        <w:rPr>
          <w:rFonts w:ascii="ＭＳ 明朝" w:hAnsi="ＭＳ 明朝"/>
        </w:rPr>
      </w:pPr>
      <w:r w:rsidRPr="001D6D10">
        <w:rPr>
          <w:rFonts w:ascii="ＭＳ 明朝" w:hAnsi="ＭＳ 明朝" w:hint="eastAsia"/>
        </w:rPr>
        <w:t>(2)　知事が発表する水防警報</w:t>
      </w:r>
    </w:p>
    <w:p w14:paraId="4825F5B7" w14:textId="77777777" w:rsidR="008B4B2B" w:rsidRPr="001D6D10" w:rsidRDefault="008B4B2B" w:rsidP="008B4B2B">
      <w:pPr>
        <w:pStyle w:val="ad"/>
        <w:wordWrap/>
        <w:overflowPunct w:val="0"/>
        <w:spacing w:line="240" w:lineRule="auto"/>
        <w:ind w:left="1105" w:rightChars="-41" w:right="-87" w:hangingChars="500" w:hanging="1105"/>
        <w:rPr>
          <w:rFonts w:ascii="ＭＳ 明朝" w:hAnsi="ＭＳ 明朝"/>
        </w:rPr>
      </w:pPr>
      <w:r w:rsidRPr="001D6D10">
        <w:rPr>
          <w:rFonts w:ascii="ＭＳ 明朝" w:hAnsi="ＭＳ 明朝" w:hint="eastAsia"/>
        </w:rPr>
        <w:t xml:space="preserve">　　　　　　知事が指定する河川及び海岸において、洪水、津波又は高潮が生じる恐れがあると認められる場合は、大阪府水防本部現地指導班長（土木事務所長等）は、直ちに水防警報を発表し、関係水防管理者に通知するとともに、水防本部に通知する。</w:t>
      </w:r>
    </w:p>
    <w:p w14:paraId="73504901" w14:textId="77777777" w:rsidR="008B4B2B" w:rsidRPr="001D6D10" w:rsidRDefault="008B4B2B" w:rsidP="008B4B2B">
      <w:pPr>
        <w:pStyle w:val="ad"/>
        <w:wordWrap/>
        <w:overflowPunct w:val="0"/>
        <w:spacing w:line="240" w:lineRule="auto"/>
        <w:ind w:leftChars="400" w:left="1286" w:hangingChars="200" w:hanging="442"/>
        <w:rPr>
          <w:rFonts w:ascii="ＭＳ 明朝" w:hAnsi="ＭＳ 明朝"/>
        </w:rPr>
      </w:pPr>
    </w:p>
    <w:p w14:paraId="6A0D9383" w14:textId="77777777" w:rsidR="008B4B2B" w:rsidRPr="001D6D10" w:rsidRDefault="008B4B2B" w:rsidP="008B4B2B">
      <w:pPr>
        <w:pStyle w:val="ad"/>
        <w:wordWrap/>
        <w:overflowPunct w:val="0"/>
        <w:spacing w:line="240" w:lineRule="auto"/>
        <w:ind w:leftChars="400" w:left="1286" w:hangingChars="200" w:hanging="442"/>
        <w:rPr>
          <w:rFonts w:ascii="ＭＳ 明朝" w:hAnsi="ＭＳ 明朝"/>
        </w:rPr>
      </w:pPr>
      <w:r w:rsidRPr="001D6D10">
        <w:rPr>
          <w:rFonts w:ascii="ＭＳ 明朝" w:hAnsi="ＭＳ 明朝" w:hint="eastAsia"/>
        </w:rPr>
        <w:t xml:space="preserve">(3)　</w:t>
      </w:r>
      <w:r w:rsidR="003A0FB9" w:rsidRPr="001D6D10">
        <w:rPr>
          <w:rFonts w:ascii="ＭＳ 明朝" w:hAnsi="ＭＳ 明朝" w:hint="eastAsia"/>
        </w:rPr>
        <w:t>氾濫危険水位</w:t>
      </w:r>
      <w:r w:rsidRPr="001D6D10">
        <w:rPr>
          <w:rFonts w:ascii="ＭＳ 明朝" w:hAnsi="ＭＳ 明朝" w:hint="eastAsia"/>
        </w:rPr>
        <w:t>（</w:t>
      </w:r>
      <w:r w:rsidR="003A0FB9" w:rsidRPr="001D6D10">
        <w:rPr>
          <w:rFonts w:ascii="ＭＳ 明朝" w:hAnsi="ＭＳ 明朝" w:hint="eastAsia"/>
        </w:rPr>
        <w:t>洪水</w:t>
      </w:r>
      <w:r w:rsidRPr="001D6D10">
        <w:rPr>
          <w:rFonts w:ascii="ＭＳ 明朝" w:hAnsi="ＭＳ 明朝" w:hint="eastAsia"/>
        </w:rPr>
        <w:t>特別警戒水位）の設定及び到達情報の発表</w:t>
      </w:r>
    </w:p>
    <w:p w14:paraId="25E0F503" w14:textId="77777777" w:rsidR="008B4B2B" w:rsidRPr="001D6D10" w:rsidRDefault="008B4B2B" w:rsidP="00030738">
      <w:pPr>
        <w:ind w:leftChars="550" w:left="1161" w:right="-2"/>
        <w:rPr>
          <w:rFonts w:ascii="ＭＳ 明朝" w:hAnsi="ＭＳ 明朝"/>
          <w:sz w:val="22"/>
          <w:szCs w:val="22"/>
        </w:rPr>
      </w:pPr>
      <w:r w:rsidRPr="001D6D10">
        <w:rPr>
          <w:rFonts w:ascii="ＭＳ 明朝" w:hAnsi="ＭＳ 明朝" w:hint="eastAsia"/>
          <w:sz w:val="22"/>
          <w:szCs w:val="22"/>
        </w:rPr>
        <w:t xml:space="preserve">　府</w:t>
      </w:r>
      <w:r w:rsidR="00BC1A2B" w:rsidRPr="001D6D10">
        <w:rPr>
          <w:rFonts w:ascii="ＭＳ 明朝" w:hAnsi="ＭＳ 明朝" w:hint="eastAsia"/>
          <w:sz w:val="22"/>
          <w:szCs w:val="22"/>
        </w:rPr>
        <w:t>（水防本部等）</w:t>
      </w:r>
      <w:r w:rsidRPr="001D6D10">
        <w:rPr>
          <w:rFonts w:ascii="ＭＳ 明朝" w:hAnsi="ＭＳ 明朝" w:hint="eastAsia"/>
          <w:sz w:val="22"/>
          <w:szCs w:val="22"/>
        </w:rPr>
        <w:t>は、管理河川のうち、洪水により相当な損害を生ずる恐れのあるとして指定した河川（水位周知河川）において、避難判断水位</w:t>
      </w:r>
      <w:r w:rsidR="00CD441A" w:rsidRPr="001D6D10">
        <w:rPr>
          <w:rFonts w:ascii="ＭＳ 明朝" w:hAnsi="ＭＳ 明朝" w:hint="eastAsia"/>
          <w:kern w:val="0"/>
        </w:rPr>
        <w:t>（市町村長の高齢者等避難の目安となる水位）、及び氾濫危険水位（洪水特別警戒水位で市町村長の避難指示等の判断の目安となる水位）に</w:t>
      </w:r>
      <w:r w:rsidRPr="001D6D10">
        <w:rPr>
          <w:rFonts w:ascii="ＭＳ 明朝" w:hAnsi="ＭＳ 明朝" w:hint="eastAsia"/>
          <w:sz w:val="22"/>
          <w:szCs w:val="22"/>
        </w:rPr>
        <w:t>当該河川の水位が到達したときは、水防管理者等に通知するとともに、報道機関の協力を求めて一般に周知する。</w:t>
      </w:r>
    </w:p>
    <w:p w14:paraId="4224478F" w14:textId="77777777" w:rsidR="008C596E" w:rsidRPr="001D6D10" w:rsidRDefault="008C596E" w:rsidP="008B4B2B">
      <w:pPr>
        <w:ind w:leftChars="400" w:left="1065" w:hangingChars="100" w:hanging="221"/>
        <w:rPr>
          <w:rFonts w:ascii="ＭＳ 明朝" w:hAnsi="ＭＳ 明朝"/>
          <w:sz w:val="22"/>
          <w:szCs w:val="22"/>
        </w:rPr>
      </w:pPr>
    </w:p>
    <w:tbl>
      <w:tblPr>
        <w:tblW w:w="0" w:type="auto"/>
        <w:tblInd w:w="105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40"/>
        <w:gridCol w:w="6437"/>
      </w:tblGrid>
      <w:tr w:rsidR="001D6D10" w:rsidRPr="001D6D10" w14:paraId="48981003" w14:textId="77777777" w:rsidTr="008B4B2B">
        <w:tc>
          <w:tcPr>
            <w:tcW w:w="840" w:type="dxa"/>
            <w:shd w:val="clear" w:color="auto" w:fill="F2F2F2"/>
          </w:tcPr>
          <w:p w14:paraId="04DA2021" w14:textId="77777777" w:rsidR="008B4B2B" w:rsidRPr="001D6D10" w:rsidRDefault="008B4B2B" w:rsidP="008B4B2B">
            <w:pPr>
              <w:ind w:leftChars="-51" w:left="-108" w:rightChars="-51" w:right="-108"/>
              <w:jc w:val="center"/>
              <w:rPr>
                <w:rFonts w:ascii="ＭＳ 明朝" w:hAnsi="ＭＳ 明朝"/>
                <w:sz w:val="22"/>
                <w:szCs w:val="22"/>
              </w:rPr>
            </w:pPr>
            <w:r w:rsidRPr="001D6D10">
              <w:rPr>
                <w:rFonts w:ascii="ＭＳ 明朝" w:hAnsi="ＭＳ 明朝" w:hint="eastAsia"/>
                <w:sz w:val="22"/>
                <w:szCs w:val="22"/>
              </w:rPr>
              <w:lastRenderedPageBreak/>
              <w:t>地域</w:t>
            </w:r>
          </w:p>
        </w:tc>
        <w:tc>
          <w:tcPr>
            <w:tcW w:w="6437" w:type="dxa"/>
            <w:shd w:val="clear" w:color="auto" w:fill="F2F2F2"/>
          </w:tcPr>
          <w:p w14:paraId="3F0F4A09" w14:textId="77777777" w:rsidR="008B4B2B" w:rsidRPr="001D6D10" w:rsidRDefault="008B4B2B" w:rsidP="008B4B2B">
            <w:pPr>
              <w:jc w:val="center"/>
              <w:rPr>
                <w:rFonts w:ascii="ＭＳ 明朝" w:hAnsi="ＭＳ 明朝"/>
                <w:sz w:val="22"/>
                <w:szCs w:val="22"/>
              </w:rPr>
            </w:pPr>
            <w:r w:rsidRPr="001D6D10">
              <w:rPr>
                <w:rFonts w:ascii="ＭＳ 明朝" w:hAnsi="ＭＳ 明朝" w:hint="eastAsia"/>
                <w:sz w:val="22"/>
                <w:szCs w:val="22"/>
              </w:rPr>
              <w:t>河川名</w:t>
            </w:r>
          </w:p>
        </w:tc>
      </w:tr>
      <w:tr w:rsidR="001D6D10" w:rsidRPr="001D6D10" w14:paraId="6772375B" w14:textId="77777777" w:rsidTr="008B4B2B">
        <w:tc>
          <w:tcPr>
            <w:tcW w:w="840" w:type="dxa"/>
          </w:tcPr>
          <w:p w14:paraId="0CAB2DA4" w14:textId="77777777" w:rsidR="008B4B2B" w:rsidRPr="001D6D10" w:rsidRDefault="008B4B2B" w:rsidP="008B4B2B">
            <w:pPr>
              <w:ind w:leftChars="-51" w:left="-108" w:rightChars="-51" w:right="-108"/>
              <w:jc w:val="center"/>
              <w:rPr>
                <w:rFonts w:ascii="ＭＳ 明朝" w:hAnsi="ＭＳ 明朝"/>
                <w:sz w:val="22"/>
                <w:szCs w:val="22"/>
              </w:rPr>
            </w:pPr>
            <w:r w:rsidRPr="001D6D10">
              <w:rPr>
                <w:rFonts w:ascii="ＭＳ 明朝" w:hAnsi="ＭＳ 明朝" w:hint="eastAsia"/>
                <w:sz w:val="22"/>
                <w:szCs w:val="22"/>
              </w:rPr>
              <w:t>豊能</w:t>
            </w:r>
          </w:p>
        </w:tc>
        <w:tc>
          <w:tcPr>
            <w:tcW w:w="6437" w:type="dxa"/>
          </w:tcPr>
          <w:p w14:paraId="1E02AB4C" w14:textId="77777777" w:rsidR="008B4B2B" w:rsidRPr="001D6D10" w:rsidRDefault="008B4B2B" w:rsidP="008B4B2B">
            <w:pPr>
              <w:rPr>
                <w:rFonts w:ascii="ＭＳ 明朝" w:hAnsi="ＭＳ 明朝"/>
                <w:sz w:val="22"/>
                <w:szCs w:val="22"/>
              </w:rPr>
            </w:pPr>
            <w:r w:rsidRPr="001D6D10">
              <w:rPr>
                <w:rFonts w:ascii="ＭＳ 明朝" w:hAnsi="ＭＳ 明朝" w:hint="eastAsia"/>
                <w:sz w:val="22"/>
                <w:szCs w:val="22"/>
              </w:rPr>
              <w:t>余野川、箕面川、千里川、天竺川、兎川、高川</w:t>
            </w:r>
          </w:p>
        </w:tc>
      </w:tr>
      <w:tr w:rsidR="001D6D10" w:rsidRPr="001D6D10" w14:paraId="69DCCD7A" w14:textId="77777777" w:rsidTr="008B4B2B">
        <w:tc>
          <w:tcPr>
            <w:tcW w:w="840" w:type="dxa"/>
          </w:tcPr>
          <w:p w14:paraId="23C29978" w14:textId="77777777" w:rsidR="008B4B2B" w:rsidRPr="001D6D10" w:rsidRDefault="008B4B2B" w:rsidP="008B4B2B">
            <w:pPr>
              <w:ind w:leftChars="-51" w:left="-108" w:rightChars="-51" w:right="-108"/>
              <w:jc w:val="center"/>
              <w:rPr>
                <w:rFonts w:ascii="ＭＳ 明朝" w:hAnsi="ＭＳ 明朝"/>
                <w:sz w:val="22"/>
                <w:szCs w:val="22"/>
              </w:rPr>
            </w:pPr>
            <w:r w:rsidRPr="001D6D10">
              <w:rPr>
                <w:rFonts w:ascii="ＭＳ 明朝" w:hAnsi="ＭＳ 明朝" w:hint="eastAsia"/>
                <w:sz w:val="22"/>
                <w:szCs w:val="22"/>
              </w:rPr>
              <w:t>三島</w:t>
            </w:r>
          </w:p>
        </w:tc>
        <w:tc>
          <w:tcPr>
            <w:tcW w:w="6437" w:type="dxa"/>
          </w:tcPr>
          <w:p w14:paraId="7B864A49" w14:textId="77777777" w:rsidR="008B4B2B" w:rsidRPr="001D6D10" w:rsidRDefault="008B4B2B" w:rsidP="008B4B2B">
            <w:pPr>
              <w:rPr>
                <w:rFonts w:ascii="ＭＳ 明朝" w:hAnsi="ＭＳ 明朝"/>
                <w:sz w:val="22"/>
                <w:szCs w:val="22"/>
              </w:rPr>
            </w:pPr>
            <w:r w:rsidRPr="001D6D10">
              <w:rPr>
                <w:rFonts w:ascii="ＭＳ 明朝" w:hAnsi="ＭＳ 明朝" w:hint="eastAsia"/>
                <w:sz w:val="22"/>
                <w:szCs w:val="22"/>
              </w:rPr>
              <w:t>茨木川、山田川、芥川、女瀬川、檜尾川、水無瀬川</w:t>
            </w:r>
          </w:p>
        </w:tc>
      </w:tr>
      <w:tr w:rsidR="001D6D10" w:rsidRPr="001D6D10" w14:paraId="4E015CE9" w14:textId="77777777" w:rsidTr="008B4B2B">
        <w:tc>
          <w:tcPr>
            <w:tcW w:w="840" w:type="dxa"/>
          </w:tcPr>
          <w:p w14:paraId="56C39E01" w14:textId="77777777" w:rsidR="008B4B2B" w:rsidRPr="001D6D10" w:rsidRDefault="008B4B2B" w:rsidP="008B4B2B">
            <w:pPr>
              <w:ind w:leftChars="-51" w:left="-108" w:rightChars="-51" w:right="-108"/>
              <w:jc w:val="center"/>
              <w:rPr>
                <w:rFonts w:ascii="ＭＳ 明朝" w:hAnsi="ＭＳ 明朝"/>
                <w:sz w:val="22"/>
                <w:szCs w:val="22"/>
              </w:rPr>
            </w:pPr>
            <w:r w:rsidRPr="001D6D10">
              <w:rPr>
                <w:rFonts w:ascii="ＭＳ 明朝" w:hAnsi="ＭＳ 明朝" w:hint="eastAsia"/>
                <w:sz w:val="22"/>
                <w:szCs w:val="22"/>
              </w:rPr>
              <w:t>北河内</w:t>
            </w:r>
          </w:p>
        </w:tc>
        <w:tc>
          <w:tcPr>
            <w:tcW w:w="6437" w:type="dxa"/>
          </w:tcPr>
          <w:p w14:paraId="299180A7" w14:textId="77777777" w:rsidR="008B4B2B" w:rsidRPr="001D6D10" w:rsidRDefault="008B4B2B" w:rsidP="008B4B2B">
            <w:pPr>
              <w:rPr>
                <w:rFonts w:ascii="ＭＳ 明朝" w:hAnsi="ＭＳ 明朝"/>
                <w:sz w:val="22"/>
                <w:szCs w:val="22"/>
              </w:rPr>
            </w:pPr>
            <w:r w:rsidRPr="001D6D10">
              <w:rPr>
                <w:rFonts w:ascii="ＭＳ 明朝" w:hAnsi="ＭＳ 明朝" w:hint="eastAsia"/>
                <w:sz w:val="22"/>
                <w:szCs w:val="22"/>
              </w:rPr>
              <w:t>天野川、穂谷川、船橋川</w:t>
            </w:r>
          </w:p>
        </w:tc>
      </w:tr>
      <w:tr w:rsidR="001D6D10" w:rsidRPr="001D6D10" w14:paraId="7470A467" w14:textId="77777777" w:rsidTr="008B4B2B">
        <w:tc>
          <w:tcPr>
            <w:tcW w:w="840" w:type="dxa"/>
          </w:tcPr>
          <w:p w14:paraId="2556331C" w14:textId="77777777" w:rsidR="008B4B2B" w:rsidRPr="001D6D10" w:rsidRDefault="008B4B2B" w:rsidP="008B4B2B">
            <w:pPr>
              <w:ind w:leftChars="-51" w:left="-108" w:rightChars="-51" w:right="-108"/>
              <w:jc w:val="center"/>
              <w:rPr>
                <w:rFonts w:ascii="ＭＳ 明朝" w:hAnsi="ＭＳ 明朝"/>
                <w:sz w:val="22"/>
                <w:szCs w:val="22"/>
              </w:rPr>
            </w:pPr>
            <w:r w:rsidRPr="001D6D10">
              <w:rPr>
                <w:rFonts w:ascii="ＭＳ 明朝" w:hAnsi="ＭＳ 明朝" w:hint="eastAsia"/>
                <w:sz w:val="22"/>
                <w:szCs w:val="22"/>
              </w:rPr>
              <w:t>南河内</w:t>
            </w:r>
          </w:p>
        </w:tc>
        <w:tc>
          <w:tcPr>
            <w:tcW w:w="6437" w:type="dxa"/>
          </w:tcPr>
          <w:p w14:paraId="76F37230" w14:textId="77777777" w:rsidR="008B4B2B" w:rsidRPr="001D6D10" w:rsidRDefault="008B4B2B" w:rsidP="008B4B2B">
            <w:pPr>
              <w:rPr>
                <w:rFonts w:ascii="ＭＳ 明朝" w:hAnsi="ＭＳ 明朝"/>
                <w:sz w:val="22"/>
                <w:szCs w:val="22"/>
              </w:rPr>
            </w:pPr>
            <w:r w:rsidRPr="001D6D10">
              <w:rPr>
                <w:rFonts w:ascii="ＭＳ 明朝" w:hAnsi="ＭＳ 明朝" w:hint="eastAsia"/>
                <w:sz w:val="22"/>
                <w:szCs w:val="22"/>
              </w:rPr>
              <w:t>西除川、東除川</w:t>
            </w:r>
          </w:p>
        </w:tc>
      </w:tr>
      <w:tr w:rsidR="001D6D10" w:rsidRPr="001D6D10" w14:paraId="1007ED67" w14:textId="77777777" w:rsidTr="008B4B2B">
        <w:tc>
          <w:tcPr>
            <w:tcW w:w="840" w:type="dxa"/>
          </w:tcPr>
          <w:p w14:paraId="2060051F" w14:textId="77777777" w:rsidR="008B4B2B" w:rsidRPr="001D6D10" w:rsidRDefault="008B4B2B" w:rsidP="008B4B2B">
            <w:pPr>
              <w:ind w:leftChars="-51" w:left="-108" w:rightChars="-51" w:right="-108"/>
              <w:jc w:val="center"/>
              <w:rPr>
                <w:rFonts w:ascii="ＭＳ 明朝" w:hAnsi="ＭＳ 明朝"/>
                <w:sz w:val="22"/>
                <w:szCs w:val="22"/>
              </w:rPr>
            </w:pPr>
            <w:r w:rsidRPr="001D6D10">
              <w:rPr>
                <w:rFonts w:ascii="ＭＳ 明朝" w:hAnsi="ＭＳ 明朝" w:hint="eastAsia"/>
                <w:sz w:val="22"/>
                <w:szCs w:val="22"/>
              </w:rPr>
              <w:t>泉北</w:t>
            </w:r>
          </w:p>
        </w:tc>
        <w:tc>
          <w:tcPr>
            <w:tcW w:w="6437" w:type="dxa"/>
          </w:tcPr>
          <w:p w14:paraId="1EB139ED" w14:textId="77777777" w:rsidR="008B4B2B" w:rsidRPr="001D6D10" w:rsidRDefault="008B4B2B" w:rsidP="008B4B2B">
            <w:pPr>
              <w:rPr>
                <w:rFonts w:ascii="ＭＳ 明朝" w:hAnsi="ＭＳ 明朝"/>
                <w:sz w:val="22"/>
                <w:szCs w:val="22"/>
              </w:rPr>
            </w:pPr>
            <w:r w:rsidRPr="001D6D10">
              <w:rPr>
                <w:rFonts w:ascii="ＭＳ 明朝" w:hAnsi="ＭＳ 明朝" w:hint="eastAsia"/>
                <w:sz w:val="22"/>
                <w:szCs w:val="22"/>
              </w:rPr>
              <w:t>石津川、芦田川</w:t>
            </w:r>
          </w:p>
        </w:tc>
      </w:tr>
      <w:tr w:rsidR="001D6D10" w:rsidRPr="001D6D10" w14:paraId="5C9824B3" w14:textId="77777777" w:rsidTr="008B4B2B">
        <w:tc>
          <w:tcPr>
            <w:tcW w:w="840" w:type="dxa"/>
          </w:tcPr>
          <w:p w14:paraId="1B2B33A7" w14:textId="77777777" w:rsidR="008B4B2B" w:rsidRPr="001D6D10" w:rsidRDefault="008B4B2B" w:rsidP="008B4B2B">
            <w:pPr>
              <w:ind w:leftChars="-51" w:left="-108" w:rightChars="-51" w:right="-108"/>
              <w:jc w:val="center"/>
              <w:rPr>
                <w:rFonts w:ascii="ＭＳ 明朝" w:hAnsi="ＭＳ 明朝"/>
                <w:sz w:val="22"/>
                <w:szCs w:val="22"/>
              </w:rPr>
            </w:pPr>
            <w:r w:rsidRPr="001D6D10">
              <w:rPr>
                <w:rFonts w:ascii="ＭＳ 明朝" w:hAnsi="ＭＳ 明朝" w:hint="eastAsia"/>
                <w:sz w:val="22"/>
                <w:szCs w:val="22"/>
              </w:rPr>
              <w:t>泉南</w:t>
            </w:r>
          </w:p>
        </w:tc>
        <w:tc>
          <w:tcPr>
            <w:tcW w:w="6437" w:type="dxa"/>
          </w:tcPr>
          <w:p w14:paraId="63696016" w14:textId="77777777" w:rsidR="008B4B2B" w:rsidRPr="001D6D10" w:rsidRDefault="008B4B2B" w:rsidP="008B4B2B">
            <w:pPr>
              <w:rPr>
                <w:rFonts w:ascii="ＭＳ 明朝" w:hAnsi="ＭＳ 明朝"/>
                <w:sz w:val="22"/>
                <w:szCs w:val="22"/>
              </w:rPr>
            </w:pPr>
            <w:r w:rsidRPr="001D6D10">
              <w:rPr>
                <w:rFonts w:ascii="ＭＳ 明朝" w:hAnsi="ＭＳ 明朝" w:hint="eastAsia"/>
                <w:sz w:val="22"/>
                <w:szCs w:val="22"/>
              </w:rPr>
              <w:t>春木川、津田川、近木川、見出川、佐野川、樫井川、男里川</w:t>
            </w:r>
          </w:p>
        </w:tc>
      </w:tr>
    </w:tbl>
    <w:p w14:paraId="53C4D8C5" w14:textId="77777777" w:rsidR="008B4B2B" w:rsidRPr="001D6D10" w:rsidRDefault="008B4B2B" w:rsidP="008B4B2B">
      <w:pPr>
        <w:ind w:leftChars="403" w:left="1276" w:hangingChars="192" w:hanging="425"/>
        <w:rPr>
          <w:rFonts w:ascii="ＭＳ 明朝" w:hAnsi="ＭＳ 明朝"/>
          <w:sz w:val="22"/>
          <w:szCs w:val="22"/>
        </w:rPr>
      </w:pPr>
      <w:r w:rsidRPr="001D6D10">
        <w:rPr>
          <w:rFonts w:ascii="ＭＳ 明朝" w:hAnsi="ＭＳ 明朝" w:hint="eastAsia"/>
          <w:sz w:val="22"/>
          <w:szCs w:val="22"/>
        </w:rPr>
        <w:t>(4)　大阪湾沿岸における</w:t>
      </w:r>
      <w:r w:rsidR="006B78E4" w:rsidRPr="001D6D10">
        <w:rPr>
          <w:rFonts w:ascii="ＭＳ 明朝" w:hAnsi="ＭＳ 明朝" w:hint="eastAsia"/>
          <w:sz w:val="22"/>
          <w:szCs w:val="22"/>
        </w:rPr>
        <w:t>高潮</w:t>
      </w:r>
      <w:r w:rsidRPr="001D6D10">
        <w:rPr>
          <w:rFonts w:ascii="ＭＳ 明朝" w:hAnsi="ＭＳ 明朝" w:hint="eastAsia"/>
          <w:sz w:val="22"/>
          <w:szCs w:val="22"/>
        </w:rPr>
        <w:t>特別警戒水位の設定及び到達情報の発表</w:t>
      </w:r>
    </w:p>
    <w:p w14:paraId="41BCCD11" w14:textId="77777777" w:rsidR="008B4B2B" w:rsidRPr="001D6D10" w:rsidRDefault="008B4B2B" w:rsidP="006B78E4">
      <w:pPr>
        <w:ind w:leftChars="537" w:left="1134" w:firstLineChars="100" w:firstLine="221"/>
        <w:rPr>
          <w:rFonts w:ascii="ＭＳ 明朝" w:hAnsi="ＭＳ 明朝"/>
          <w:sz w:val="22"/>
          <w:szCs w:val="22"/>
        </w:rPr>
      </w:pPr>
      <w:r w:rsidRPr="001D6D10">
        <w:rPr>
          <w:rFonts w:ascii="ＭＳ 明朝" w:hAnsi="ＭＳ 明朝" w:hint="eastAsia"/>
          <w:sz w:val="22"/>
          <w:szCs w:val="22"/>
        </w:rPr>
        <w:t>府</w:t>
      </w:r>
      <w:r w:rsidR="006B78E4" w:rsidRPr="001D6D10">
        <w:rPr>
          <w:rFonts w:ascii="ＭＳ 明朝" w:hAnsi="ＭＳ 明朝" w:hint="eastAsia"/>
          <w:sz w:val="22"/>
          <w:szCs w:val="22"/>
        </w:rPr>
        <w:t>（大阪港湾局）は</w:t>
      </w:r>
      <w:r w:rsidRPr="001D6D10">
        <w:rPr>
          <w:rFonts w:ascii="ＭＳ 明朝" w:hAnsi="ＭＳ 明朝" w:hint="eastAsia"/>
          <w:sz w:val="22"/>
          <w:szCs w:val="22"/>
        </w:rPr>
        <w:t>、高潮により相当な損害を生ずる恐れのある海岸として「水位周知海岸」に指定する、大阪湾沿岸において、高潮による災害の発生を特に警戒すべき水位「</w:t>
      </w:r>
      <w:r w:rsidR="006B78E4" w:rsidRPr="001D6D10">
        <w:rPr>
          <w:rFonts w:ascii="ＭＳ 明朝" w:hAnsi="ＭＳ 明朝" w:hint="eastAsia"/>
          <w:sz w:val="22"/>
          <w:szCs w:val="22"/>
        </w:rPr>
        <w:t>高潮</w:t>
      </w:r>
      <w:r w:rsidRPr="001D6D10">
        <w:rPr>
          <w:rFonts w:ascii="ＭＳ 明朝" w:hAnsi="ＭＳ 明朝" w:hint="eastAsia"/>
          <w:sz w:val="22"/>
          <w:szCs w:val="22"/>
        </w:rPr>
        <w:t>特別警戒水位」を設定し、大阪湾沿岸の水位がこれに到達したときは、水防管理者等に通知するとともに、</w:t>
      </w:r>
      <w:r w:rsidR="006B78E4" w:rsidRPr="001D6D10">
        <w:rPr>
          <w:rFonts w:ascii="ＭＳ 明朝" w:hAnsi="ＭＳ 明朝" w:hint="eastAsia"/>
          <w:sz w:val="22"/>
          <w:szCs w:val="22"/>
        </w:rPr>
        <w:t>必要に応じて</w:t>
      </w:r>
      <w:r w:rsidRPr="001D6D10">
        <w:rPr>
          <w:rFonts w:ascii="ＭＳ 明朝" w:hAnsi="ＭＳ 明朝" w:hint="eastAsia"/>
          <w:sz w:val="22"/>
          <w:szCs w:val="22"/>
        </w:rPr>
        <w:t>報道機関の協力を求めて一般に周知する。</w:t>
      </w:r>
    </w:p>
    <w:p w14:paraId="0313D44E" w14:textId="77777777" w:rsidR="008B4B2B" w:rsidRPr="001D6D10" w:rsidRDefault="008B4B2B" w:rsidP="008B4B2B">
      <w:pPr>
        <w:rPr>
          <w:rFonts w:ascii="ＭＳ 明朝" w:hAnsi="ＭＳ 明朝"/>
          <w:sz w:val="22"/>
          <w:szCs w:val="22"/>
        </w:rPr>
      </w:pPr>
    </w:p>
    <w:p w14:paraId="2AC4609F" w14:textId="77777777" w:rsidR="008B4B2B" w:rsidRPr="001D6D10" w:rsidRDefault="008B4B2B" w:rsidP="008B4B2B">
      <w:pPr>
        <w:ind w:firstLineChars="300" w:firstLine="663"/>
        <w:rPr>
          <w:rFonts w:ascii="ＭＳ ゴシック" w:eastAsia="ＭＳ ゴシック" w:hAnsi="ＭＳ ゴシック"/>
          <w:sz w:val="22"/>
          <w:szCs w:val="22"/>
          <w:u w:val="single"/>
        </w:rPr>
      </w:pPr>
      <w:r w:rsidRPr="001D6D10">
        <w:rPr>
          <w:rFonts w:ascii="ＭＳ ゴシック" w:eastAsia="ＭＳ ゴシック" w:hAnsi="ＭＳ ゴシック" w:hint="eastAsia"/>
          <w:sz w:val="22"/>
          <w:szCs w:val="22"/>
          <w:u w:val="single"/>
        </w:rPr>
        <w:t>３　水防活動</w:t>
      </w:r>
    </w:p>
    <w:p w14:paraId="4ABB74A7" w14:textId="77777777" w:rsidR="008B4B2B" w:rsidRPr="001D6D10" w:rsidRDefault="008B4B2B" w:rsidP="008B4B2B">
      <w:pPr>
        <w:pStyle w:val="a0"/>
        <w:ind w:leftChars="420" w:left="887" w:rightChars="-175" w:right="-369" w:firstLineChars="100" w:firstLine="221"/>
        <w:rPr>
          <w:sz w:val="22"/>
          <w:szCs w:val="22"/>
        </w:rPr>
      </w:pPr>
      <w:r w:rsidRPr="001D6D10">
        <w:rPr>
          <w:rFonts w:hint="eastAsia"/>
          <w:sz w:val="22"/>
          <w:szCs w:val="22"/>
        </w:rPr>
        <w:t>府は、府域において洪水、津波又は高潮による災害の発生が予想される場合には、水防計画の定めるところにより迅速に水防活動を実施する。</w:t>
      </w:r>
    </w:p>
    <w:p w14:paraId="147700B0" w14:textId="77777777" w:rsidR="008B4B2B" w:rsidRPr="001D6D10" w:rsidRDefault="008B4B2B" w:rsidP="008B4B2B">
      <w:pPr>
        <w:pStyle w:val="a0"/>
        <w:ind w:leftChars="100" w:left="874" w:hangingChars="300" w:hanging="663"/>
        <w:rPr>
          <w:sz w:val="22"/>
          <w:szCs w:val="22"/>
        </w:rPr>
      </w:pPr>
      <w:r w:rsidRPr="001D6D10">
        <w:rPr>
          <w:rFonts w:hint="eastAsia"/>
          <w:sz w:val="22"/>
          <w:szCs w:val="22"/>
        </w:rPr>
        <w:t xml:space="preserve">　　　　また、水防本部は、警戒本部が設置された場合は同本部と連携し、災対本部が設置された場合は同本部のもと水防活動を実施する。</w:t>
      </w:r>
    </w:p>
    <w:p w14:paraId="3462277F" w14:textId="77777777" w:rsidR="008B4B2B" w:rsidRPr="001D6D10" w:rsidRDefault="008B4B2B" w:rsidP="00030738">
      <w:pPr>
        <w:pStyle w:val="a0"/>
        <w:ind w:leftChars="405" w:left="855" w:firstLineChars="85" w:firstLine="188"/>
        <w:rPr>
          <w:sz w:val="22"/>
          <w:szCs w:val="22"/>
        </w:rPr>
      </w:pPr>
      <w:r w:rsidRPr="001D6D10">
        <w:rPr>
          <w:rFonts w:hint="eastAsia"/>
          <w:sz w:val="22"/>
          <w:szCs w:val="22"/>
        </w:rPr>
        <w:t>河川環境課長は、水防計画に定める予報、警報及び水防配備等を受信又は発表・発令したときは、防災企画課長（本部事務局情報班長）へ報告するとともに、水防管理団体が行う水防活動が十分に行われるよう情報の連絡調整及び技術的な援助を行う。</w:t>
      </w:r>
    </w:p>
    <w:p w14:paraId="3491F885" w14:textId="77777777" w:rsidR="008B4B2B" w:rsidRPr="001D6D10" w:rsidRDefault="008B4B2B" w:rsidP="008B4B2B">
      <w:pPr>
        <w:ind w:firstLineChars="300" w:firstLine="663"/>
        <w:rPr>
          <w:rFonts w:ascii="ＭＳ ゴシック" w:eastAsia="ＭＳ ゴシック" w:hAnsi="ＭＳ ゴシック"/>
          <w:sz w:val="22"/>
          <w:szCs w:val="22"/>
        </w:rPr>
      </w:pPr>
    </w:p>
    <w:p w14:paraId="5EF7E7CC" w14:textId="77777777" w:rsidR="008B4B2B" w:rsidRPr="001D6D10" w:rsidRDefault="008B4B2B" w:rsidP="008B4B2B">
      <w:pPr>
        <w:ind w:firstLineChars="300" w:firstLine="663"/>
        <w:rPr>
          <w:rFonts w:ascii="ＭＳ ゴシック" w:eastAsia="ＭＳ ゴシック" w:hAnsi="ＭＳ ゴシック"/>
          <w:sz w:val="22"/>
          <w:szCs w:val="22"/>
          <w:u w:val="single"/>
        </w:rPr>
      </w:pPr>
      <w:r w:rsidRPr="001D6D10">
        <w:rPr>
          <w:rFonts w:ascii="ＭＳ ゴシック" w:eastAsia="ＭＳ ゴシック" w:hAnsi="ＭＳ ゴシック" w:hint="eastAsia"/>
          <w:sz w:val="22"/>
          <w:szCs w:val="22"/>
          <w:u w:val="single"/>
        </w:rPr>
        <w:t>４　土砂災害警戒活動</w:t>
      </w:r>
    </w:p>
    <w:p w14:paraId="67846302" w14:textId="77777777" w:rsidR="008B4B2B" w:rsidRPr="001D6D10" w:rsidRDefault="008B4B2B" w:rsidP="008B4B2B">
      <w:pPr>
        <w:ind w:left="884" w:rightChars="-242" w:right="-511" w:hangingChars="400" w:hanging="884"/>
        <w:rPr>
          <w:rFonts w:ascii="ＭＳ 明朝" w:hAnsi="ＭＳ 明朝"/>
          <w:sz w:val="22"/>
          <w:szCs w:val="22"/>
        </w:rPr>
      </w:pPr>
      <w:r w:rsidRPr="001D6D10">
        <w:rPr>
          <w:rFonts w:hint="eastAsia"/>
          <w:sz w:val="22"/>
          <w:szCs w:val="22"/>
        </w:rPr>
        <w:t xml:space="preserve">　　　　　</w:t>
      </w:r>
      <w:r w:rsidRPr="001D6D10">
        <w:rPr>
          <w:rFonts w:ascii="ＭＳ 明朝" w:hAnsi="ＭＳ 明朝" w:hint="eastAsia"/>
          <w:sz w:val="22"/>
          <w:szCs w:val="22"/>
        </w:rPr>
        <w:t>府は、府域において豪雨、暴風等によって土砂災害の発生が予想される場合には、防災計画の定めるところにより迅速に土砂災害警戒活動を実施する。</w:t>
      </w:r>
    </w:p>
    <w:p w14:paraId="5CD74520" w14:textId="77777777" w:rsidR="008B4B2B" w:rsidRPr="001D6D10" w:rsidRDefault="008B4B2B" w:rsidP="008B4B2B">
      <w:pPr>
        <w:ind w:left="884" w:hangingChars="400" w:hanging="884"/>
        <w:rPr>
          <w:rFonts w:ascii="ＭＳ 明朝" w:hAnsi="ＭＳ 明朝"/>
          <w:sz w:val="22"/>
          <w:szCs w:val="22"/>
        </w:rPr>
      </w:pPr>
      <w:r w:rsidRPr="001D6D10">
        <w:rPr>
          <w:rFonts w:ascii="ＭＳ 明朝" w:hAnsi="ＭＳ 明朝" w:hint="eastAsia"/>
          <w:sz w:val="22"/>
          <w:szCs w:val="22"/>
        </w:rPr>
        <w:t xml:space="preserve">　　　　　河川環境課長は、必要に応じて、ＮＰＯ法人大阪府砂防ボランティア協会等との連携により、斜面判定士による土砂災害危険箇所の点検巡視を実施する。</w:t>
      </w:r>
    </w:p>
    <w:p w14:paraId="4983D110" w14:textId="77777777" w:rsidR="008B4B2B" w:rsidRPr="001D6D10" w:rsidRDefault="008B4B2B" w:rsidP="008B4B2B">
      <w:pPr>
        <w:ind w:firstLineChars="200" w:firstLine="442"/>
        <w:rPr>
          <w:rFonts w:ascii="ＭＳ ゴシック" w:eastAsia="ＭＳ ゴシック" w:hAnsi="ＭＳ ゴシック"/>
          <w:sz w:val="22"/>
          <w:szCs w:val="22"/>
        </w:rPr>
      </w:pPr>
    </w:p>
    <w:p w14:paraId="60F836FD" w14:textId="77777777" w:rsidR="008B4B2B" w:rsidRPr="001D6D10" w:rsidRDefault="008B4B2B" w:rsidP="008B4B2B">
      <w:pPr>
        <w:ind w:firstLineChars="200" w:firstLine="442"/>
        <w:rPr>
          <w:rFonts w:ascii="ＭＳ ゴシック" w:eastAsia="ＭＳ ゴシック" w:hAnsi="ＭＳ ゴシック"/>
          <w:sz w:val="22"/>
          <w:szCs w:val="22"/>
          <w:u w:val="single"/>
        </w:rPr>
      </w:pPr>
      <w:r w:rsidRPr="001D6D10">
        <w:rPr>
          <w:rFonts w:ascii="ＭＳ ゴシック" w:eastAsia="ＭＳ ゴシック" w:hAnsi="ＭＳ ゴシック" w:hint="eastAsia"/>
          <w:sz w:val="22"/>
          <w:szCs w:val="22"/>
        </w:rPr>
        <w:t xml:space="preserve">　</w:t>
      </w:r>
      <w:r w:rsidRPr="001D6D10">
        <w:rPr>
          <w:rFonts w:ascii="ＭＳ ゴシック" w:eastAsia="ＭＳ ゴシック" w:hAnsi="ＭＳ ゴシック" w:hint="eastAsia"/>
          <w:sz w:val="22"/>
          <w:szCs w:val="22"/>
          <w:u w:val="single"/>
        </w:rPr>
        <w:t>５　情報交換の徹底</w:t>
      </w:r>
    </w:p>
    <w:p w14:paraId="2D62827F" w14:textId="77777777" w:rsidR="008B4B2B" w:rsidRPr="001D6D10" w:rsidRDefault="008B4B2B" w:rsidP="008B4B2B">
      <w:pPr>
        <w:ind w:firstLineChars="200" w:firstLine="442"/>
        <w:rPr>
          <w:rFonts w:ascii="ＭＳ 明朝" w:hAnsi="ＭＳ 明朝"/>
          <w:sz w:val="22"/>
          <w:szCs w:val="22"/>
        </w:rPr>
      </w:pPr>
      <w:r w:rsidRPr="001D6D10">
        <w:rPr>
          <w:rFonts w:ascii="ＭＳ ゴシック" w:eastAsia="ＭＳ ゴシック" w:hAnsi="ＭＳ ゴシック" w:hint="eastAsia"/>
          <w:sz w:val="22"/>
          <w:szCs w:val="22"/>
        </w:rPr>
        <w:t xml:space="preserve">　　　</w:t>
      </w:r>
      <w:r w:rsidRPr="001D6D10">
        <w:rPr>
          <w:rFonts w:ascii="ＭＳ 明朝" w:hAnsi="ＭＳ 明朝" w:hint="eastAsia"/>
          <w:sz w:val="22"/>
          <w:szCs w:val="22"/>
        </w:rPr>
        <w:t>府、市町村をはじめ関係団体は、気象観測情報等の交換に努める。</w:t>
      </w:r>
    </w:p>
    <w:p w14:paraId="3734FBE8" w14:textId="6FB12C01" w:rsidR="00454723" w:rsidRDefault="00454723">
      <w:pPr>
        <w:widowControl/>
        <w:jc w:val="left"/>
        <w:rPr>
          <w:rFonts w:ascii="ＭＳ ゴシック" w:eastAsia="ＭＳ ゴシック" w:hAnsi="ＭＳ ゴシック"/>
          <w:color w:val="000000" w:themeColor="text1"/>
          <w:sz w:val="22"/>
          <w:szCs w:val="22"/>
          <w:u w:val="double"/>
        </w:rPr>
      </w:pPr>
      <w:r>
        <w:rPr>
          <w:szCs w:val="22"/>
        </w:rPr>
        <w:br w:type="page"/>
      </w:r>
    </w:p>
    <w:p w14:paraId="6D06977E" w14:textId="77777777" w:rsidR="008B4B2B" w:rsidRPr="001D6D10" w:rsidRDefault="008B4B2B" w:rsidP="00E0548A">
      <w:pPr>
        <w:pStyle w:val="3"/>
        <w:ind w:firstLineChars="0" w:firstLine="0"/>
        <w:rPr>
          <w:rFonts w:ascii="ＭＳ 明朝" w:hAnsi="ＭＳ 明朝"/>
        </w:rPr>
      </w:pPr>
      <w:bookmarkStart w:id="221" w:name="_Toc122436922"/>
      <w:bookmarkStart w:id="222" w:name="_Toc222486605"/>
      <w:bookmarkStart w:id="223" w:name="_Toc242870275"/>
      <w:r w:rsidRPr="001D6D10">
        <w:rPr>
          <w:rFonts w:hint="eastAsia"/>
        </w:rPr>
        <w:lastRenderedPageBreak/>
        <w:t>第２　津波警戒活動</w:t>
      </w:r>
      <w:bookmarkEnd w:id="221"/>
      <w:bookmarkEnd w:id="222"/>
      <w:bookmarkEnd w:id="223"/>
    </w:p>
    <w:p w14:paraId="30EEA18E" w14:textId="77777777" w:rsidR="008B4B2B" w:rsidRPr="001D6D10" w:rsidRDefault="008B4B2B" w:rsidP="008B4B2B">
      <w:pPr>
        <w:ind w:leftChars="300" w:left="1186" w:hangingChars="250" w:hanging="553"/>
        <w:rPr>
          <w:rFonts w:ascii="ＭＳ ゴシック" w:eastAsia="ＭＳ ゴシック" w:hAnsi="ＭＳ ゴシック"/>
          <w:sz w:val="22"/>
          <w:szCs w:val="22"/>
          <w:bdr w:val="single" w:sz="4" w:space="0" w:color="auto"/>
        </w:rPr>
      </w:pPr>
      <w:r w:rsidRPr="001D6D10">
        <w:rPr>
          <w:rFonts w:ascii="ＭＳ ゴシック" w:eastAsia="ＭＳ ゴシック" w:hAnsi="ＭＳ ゴシック" w:hint="eastAsia"/>
          <w:sz w:val="22"/>
          <w:szCs w:val="22"/>
        </w:rPr>
        <w:t xml:space="preserve">　　</w:t>
      </w:r>
      <w:r w:rsidRPr="001D6D10">
        <w:rPr>
          <w:rFonts w:ascii="ＭＳ ゴシック" w:eastAsia="ＭＳ ゴシック" w:hAnsi="ＭＳ ゴシック" w:hint="eastAsia"/>
          <w:sz w:val="22"/>
          <w:szCs w:val="22"/>
          <w:bdr w:val="single" w:sz="4" w:space="0" w:color="auto"/>
        </w:rPr>
        <w:t>主たる担当：危機管理室、河川室ほか関係部局関係室・課</w:t>
      </w:r>
    </w:p>
    <w:p w14:paraId="4DB883E6" w14:textId="77777777" w:rsidR="008B4B2B" w:rsidRPr="001D6D10" w:rsidRDefault="008B4B2B" w:rsidP="008B4B2B">
      <w:pPr>
        <w:ind w:leftChars="300" w:left="1186" w:hangingChars="250" w:hanging="553"/>
        <w:rPr>
          <w:rFonts w:ascii="ＭＳ ゴシック" w:eastAsia="ＭＳ ゴシック" w:hAnsi="ＭＳ ゴシック"/>
          <w:sz w:val="22"/>
          <w:szCs w:val="22"/>
          <w:u w:val="single"/>
        </w:rPr>
      </w:pPr>
      <w:r w:rsidRPr="001D6D10">
        <w:rPr>
          <w:rFonts w:ascii="ＭＳ ゴシック" w:eastAsia="ＭＳ ゴシック" w:hAnsi="ＭＳ ゴシック" w:hint="eastAsia"/>
          <w:sz w:val="22"/>
          <w:szCs w:val="22"/>
          <w:u w:val="single"/>
        </w:rPr>
        <w:t>１　避難対策の状況把握等</w:t>
      </w:r>
    </w:p>
    <w:p w14:paraId="3AA8FB0D" w14:textId="77777777" w:rsidR="008B4B2B" w:rsidRPr="001D6D10" w:rsidRDefault="008B4B2B" w:rsidP="008B4B2B">
      <w:pPr>
        <w:ind w:left="884" w:hangingChars="400" w:hanging="884"/>
        <w:rPr>
          <w:rFonts w:ascii="ＭＳ 明朝" w:hAnsi="ＭＳ 明朝"/>
          <w:sz w:val="22"/>
          <w:szCs w:val="22"/>
        </w:rPr>
      </w:pPr>
      <w:r w:rsidRPr="001D6D10">
        <w:rPr>
          <w:rFonts w:ascii="ＭＳ ゴシック" w:eastAsia="ＭＳ ゴシック" w:hAnsi="ＭＳ ゴシック" w:hint="eastAsia"/>
          <w:sz w:val="22"/>
          <w:szCs w:val="22"/>
        </w:rPr>
        <w:t xml:space="preserve">　　　　　</w:t>
      </w:r>
      <w:r w:rsidRPr="001D6D10">
        <w:rPr>
          <w:rFonts w:ascii="ＭＳ 明朝" w:hAnsi="ＭＳ 明朝" w:hint="eastAsia"/>
          <w:sz w:val="22"/>
          <w:szCs w:val="22"/>
        </w:rPr>
        <w:t>府は、沿岸市町などが行う避難対策について、全体の状況を把握し、その状況に応じて必要な措置を講じるよう市町を指導する。</w:t>
      </w:r>
    </w:p>
    <w:p w14:paraId="7FB3FC28" w14:textId="77777777" w:rsidR="008B4B2B" w:rsidRPr="001D6D10" w:rsidRDefault="008B4B2B" w:rsidP="008B4B2B">
      <w:pPr>
        <w:ind w:left="884" w:rightChars="-108" w:right="-228" w:hangingChars="400" w:hanging="884"/>
        <w:rPr>
          <w:rFonts w:ascii="ＭＳ 明朝" w:hAnsi="ＭＳ 明朝"/>
          <w:sz w:val="22"/>
          <w:szCs w:val="22"/>
        </w:rPr>
      </w:pPr>
      <w:r w:rsidRPr="001D6D10">
        <w:rPr>
          <w:rFonts w:ascii="ＭＳ 明朝" w:hAnsi="ＭＳ 明朝" w:hint="eastAsia"/>
          <w:sz w:val="22"/>
          <w:szCs w:val="22"/>
        </w:rPr>
        <w:t xml:space="preserve">　　　　　なお、避難行動要支援者に対する支援や外国人、観光客等に対する誘導などは、避難に要する時間に配慮しつつ、適切な措置を講じる。</w:t>
      </w:r>
    </w:p>
    <w:p w14:paraId="36DD93F3" w14:textId="77777777" w:rsidR="008B4B2B" w:rsidRPr="001D6D10" w:rsidRDefault="008B4B2B" w:rsidP="008B4B2B">
      <w:pPr>
        <w:ind w:left="884" w:hangingChars="400" w:hanging="884"/>
        <w:rPr>
          <w:rFonts w:ascii="ＭＳ 明朝" w:hAnsi="ＭＳ 明朝"/>
          <w:sz w:val="22"/>
          <w:szCs w:val="22"/>
        </w:rPr>
      </w:pPr>
    </w:p>
    <w:p w14:paraId="6D81B036" w14:textId="77777777" w:rsidR="008B4B2B" w:rsidRPr="001D6D10" w:rsidRDefault="008B4B2B" w:rsidP="008B4B2B">
      <w:pPr>
        <w:ind w:leftChars="300" w:left="854" w:hangingChars="100" w:hanging="221"/>
        <w:rPr>
          <w:rFonts w:ascii="ＭＳ ゴシック" w:eastAsia="ＭＳ ゴシック" w:hAnsi="ＭＳ ゴシック"/>
          <w:sz w:val="22"/>
          <w:szCs w:val="22"/>
          <w:u w:val="single"/>
        </w:rPr>
      </w:pPr>
      <w:r w:rsidRPr="001D6D10">
        <w:rPr>
          <w:rFonts w:ascii="ＭＳ ゴシック" w:eastAsia="ＭＳ ゴシック" w:hAnsi="ＭＳ ゴシック" w:hint="eastAsia"/>
          <w:sz w:val="22"/>
          <w:szCs w:val="22"/>
          <w:u w:val="single"/>
        </w:rPr>
        <w:t>２　府が管理又は運営する施設に関する対策</w:t>
      </w:r>
    </w:p>
    <w:p w14:paraId="2351E6C7" w14:textId="77777777" w:rsidR="008B4B2B" w:rsidRPr="001D6D10" w:rsidRDefault="008B4B2B" w:rsidP="008B4B2B">
      <w:pPr>
        <w:ind w:left="884" w:hangingChars="400" w:hanging="884"/>
        <w:rPr>
          <w:rFonts w:ascii="ＭＳ 明朝" w:hAnsi="ＭＳ 明朝"/>
          <w:sz w:val="22"/>
          <w:szCs w:val="22"/>
        </w:rPr>
      </w:pPr>
      <w:r w:rsidRPr="001D6D10">
        <w:rPr>
          <w:rFonts w:ascii="ＭＳ ゴシック" w:eastAsia="ＭＳ ゴシック" w:hAnsi="ＭＳ ゴシック" w:hint="eastAsia"/>
          <w:sz w:val="22"/>
          <w:szCs w:val="22"/>
        </w:rPr>
        <w:t xml:space="preserve">　　　　</w:t>
      </w:r>
      <w:r w:rsidRPr="001D6D10">
        <w:rPr>
          <w:rFonts w:ascii="ＭＳ 明朝" w:hAnsi="ＭＳ 明朝" w:hint="eastAsia"/>
          <w:sz w:val="22"/>
          <w:szCs w:val="22"/>
        </w:rPr>
        <w:t>(1)　不特定かつ多数の者が出入りする施設</w:t>
      </w:r>
    </w:p>
    <w:p w14:paraId="180F2E25" w14:textId="77777777" w:rsidR="008B4B2B" w:rsidRPr="001D6D10" w:rsidRDefault="008B4B2B" w:rsidP="008B4B2B">
      <w:pPr>
        <w:ind w:left="1216" w:rightChars="-242" w:right="-511" w:hangingChars="550" w:hanging="1216"/>
        <w:rPr>
          <w:rFonts w:ascii="ＭＳ 明朝" w:hAnsi="ＭＳ 明朝"/>
          <w:sz w:val="22"/>
          <w:szCs w:val="22"/>
        </w:rPr>
      </w:pPr>
      <w:r w:rsidRPr="001D6D10">
        <w:rPr>
          <w:rFonts w:ascii="ＭＳ ゴシック" w:eastAsia="ＭＳ ゴシック" w:hAnsi="ＭＳ ゴシック" w:hint="eastAsia"/>
          <w:sz w:val="22"/>
          <w:szCs w:val="22"/>
        </w:rPr>
        <w:t xml:space="preserve">　　　　　　 </w:t>
      </w:r>
      <w:r w:rsidRPr="001D6D10">
        <w:rPr>
          <w:rFonts w:ascii="ＭＳ 明朝" w:hAnsi="ＭＳ 明朝" w:hint="eastAsia"/>
          <w:sz w:val="22"/>
          <w:szCs w:val="22"/>
        </w:rPr>
        <w:t>府（施設管理者）は、自ら管理・運営する庁舎・学校等不特定かつ多数の者が出入りする施設の管理上の措置を概ね次のとおり実施する。</w:t>
      </w:r>
    </w:p>
    <w:p w14:paraId="196A10B8" w14:textId="77777777" w:rsidR="008B4B2B" w:rsidRPr="001D6D10" w:rsidRDefault="008B4B2B" w:rsidP="008B4B2B">
      <w:pPr>
        <w:ind w:left="1216" w:rightChars="-309" w:right="-652" w:hangingChars="550" w:hanging="1216"/>
        <w:rPr>
          <w:rFonts w:ascii="ＭＳ 明朝" w:hAnsi="ＭＳ 明朝"/>
          <w:sz w:val="22"/>
          <w:szCs w:val="22"/>
        </w:rPr>
      </w:pPr>
      <w:r w:rsidRPr="001D6D10">
        <w:rPr>
          <w:rFonts w:ascii="ＭＳ 明朝" w:hAnsi="ＭＳ 明朝" w:hint="eastAsia"/>
          <w:sz w:val="22"/>
          <w:szCs w:val="22"/>
        </w:rPr>
        <w:t xml:space="preserve">　　　　　　 なお、具体的な措置内容は、施設管理者が施設ごとにマニュアル等で別に定める。</w:t>
      </w:r>
    </w:p>
    <w:p w14:paraId="15101D11" w14:textId="77777777" w:rsidR="008B4B2B" w:rsidRPr="001D6D10" w:rsidRDefault="008B4B2B" w:rsidP="008B4B2B">
      <w:pPr>
        <w:numPr>
          <w:ilvl w:val="0"/>
          <w:numId w:val="7"/>
        </w:numPr>
        <w:rPr>
          <w:rFonts w:ascii="ＭＳ 明朝" w:hAnsi="ＭＳ 明朝"/>
          <w:sz w:val="22"/>
          <w:szCs w:val="22"/>
        </w:rPr>
      </w:pPr>
      <w:r w:rsidRPr="001D6D10">
        <w:rPr>
          <w:rFonts w:ascii="ＭＳ 明朝" w:hAnsi="ＭＳ 明朝" w:hint="eastAsia"/>
          <w:sz w:val="22"/>
          <w:szCs w:val="22"/>
        </w:rPr>
        <w:t>大津波警報等の入場者等への伝達</w:t>
      </w:r>
    </w:p>
    <w:p w14:paraId="2637CDD3" w14:textId="77777777" w:rsidR="008B4B2B" w:rsidRPr="001D6D10" w:rsidRDefault="008B4B2B" w:rsidP="008B4B2B">
      <w:pPr>
        <w:ind w:left="1778" w:rightChars="-175" w:right="-369" w:hangingChars="804" w:hanging="1778"/>
        <w:rPr>
          <w:rFonts w:ascii="ＭＳ 明朝" w:hAnsi="ＭＳ 明朝"/>
          <w:sz w:val="22"/>
          <w:szCs w:val="22"/>
        </w:rPr>
      </w:pPr>
      <w:r w:rsidRPr="001D6D10">
        <w:rPr>
          <w:rFonts w:ascii="ＭＳ 明朝" w:hAnsi="ＭＳ 明朝" w:hint="eastAsia"/>
          <w:sz w:val="22"/>
          <w:szCs w:val="22"/>
        </w:rPr>
        <w:t xml:space="preserve">　　　　　　ア　来場者が極めて多数の場合、これらの者が円滑な避難行動を取り得るよう、適切に伝達する。</w:t>
      </w:r>
    </w:p>
    <w:p w14:paraId="45DFD76B" w14:textId="77777777" w:rsidR="008B4B2B" w:rsidRPr="001D6D10" w:rsidRDefault="008B4B2B" w:rsidP="008B4B2B">
      <w:pPr>
        <w:ind w:left="1769" w:rightChars="-108" w:right="-228" w:hangingChars="800" w:hanging="1769"/>
        <w:rPr>
          <w:rFonts w:ascii="ＭＳ 明朝" w:hAnsi="ＭＳ 明朝"/>
          <w:sz w:val="22"/>
          <w:szCs w:val="22"/>
        </w:rPr>
      </w:pPr>
      <w:r w:rsidRPr="001D6D10">
        <w:rPr>
          <w:rFonts w:ascii="ＭＳ 明朝" w:hAnsi="ＭＳ 明朝" w:hint="eastAsia"/>
          <w:sz w:val="22"/>
          <w:szCs w:val="22"/>
        </w:rPr>
        <w:t xml:space="preserve">　　　　　　イ　避難場所や避難経路、避難対象地区、交通規制状況その他必要な情報を併せて伝達する。</w:t>
      </w:r>
    </w:p>
    <w:p w14:paraId="3757ED74" w14:textId="77777777" w:rsidR="008B4B2B" w:rsidRPr="001D6D10" w:rsidRDefault="008B4B2B" w:rsidP="008B4B2B">
      <w:pPr>
        <w:ind w:left="1769" w:hangingChars="800" w:hanging="1769"/>
        <w:rPr>
          <w:rFonts w:ascii="ＭＳ 明朝" w:hAnsi="ＭＳ 明朝"/>
          <w:sz w:val="22"/>
          <w:szCs w:val="22"/>
        </w:rPr>
      </w:pPr>
      <w:r w:rsidRPr="001D6D10">
        <w:rPr>
          <w:rFonts w:ascii="ＭＳ 明朝" w:hAnsi="ＭＳ 明朝" w:hint="eastAsia"/>
          <w:sz w:val="22"/>
          <w:szCs w:val="22"/>
        </w:rPr>
        <w:t xml:space="preserve">　　　　　　ウ　施設が海岸近くにある場合には、強い揺れを感じたとき、または、長いゆっくりとした揺れを感じたときは、大津波警報や津波警報が発表される前であっても、直ちに避難するよう来場者等に対し、伝達する。</w:t>
      </w:r>
    </w:p>
    <w:p w14:paraId="433D3CDA" w14:textId="77777777" w:rsidR="008B4B2B" w:rsidRPr="001D6D10" w:rsidRDefault="008B4B2B" w:rsidP="008B4B2B">
      <w:pPr>
        <w:numPr>
          <w:ilvl w:val="0"/>
          <w:numId w:val="7"/>
        </w:numPr>
        <w:rPr>
          <w:rFonts w:ascii="ＭＳ 明朝" w:hAnsi="ＭＳ 明朝"/>
          <w:sz w:val="22"/>
          <w:szCs w:val="22"/>
        </w:rPr>
      </w:pPr>
      <w:r w:rsidRPr="001D6D10">
        <w:rPr>
          <w:rFonts w:ascii="ＭＳ 明朝" w:hAnsi="ＭＳ 明朝" w:hint="eastAsia"/>
          <w:sz w:val="22"/>
          <w:szCs w:val="22"/>
        </w:rPr>
        <w:t>入場者等の安全確保のための退避等の措置</w:t>
      </w:r>
    </w:p>
    <w:p w14:paraId="1F545C80" w14:textId="77777777" w:rsidR="008B4B2B" w:rsidRPr="001D6D10" w:rsidRDefault="008B4B2B" w:rsidP="008B4B2B">
      <w:pPr>
        <w:numPr>
          <w:ilvl w:val="0"/>
          <w:numId w:val="7"/>
        </w:numPr>
        <w:rPr>
          <w:rFonts w:ascii="ＭＳ 明朝" w:hAnsi="ＭＳ 明朝"/>
          <w:sz w:val="22"/>
          <w:szCs w:val="22"/>
        </w:rPr>
      </w:pPr>
      <w:r w:rsidRPr="001D6D10">
        <w:rPr>
          <w:rFonts w:ascii="ＭＳ 明朝" w:hAnsi="ＭＳ 明朝" w:hint="eastAsia"/>
          <w:sz w:val="22"/>
          <w:szCs w:val="22"/>
        </w:rPr>
        <w:t>学校における措置</w:t>
      </w:r>
    </w:p>
    <w:p w14:paraId="026D6429" w14:textId="77777777" w:rsidR="008B4B2B" w:rsidRPr="001D6D10" w:rsidRDefault="008B4B2B" w:rsidP="008B4B2B">
      <w:pPr>
        <w:ind w:left="1095" w:rightChars="-511" w:right="-1079" w:firstLineChars="100" w:firstLine="221"/>
        <w:rPr>
          <w:rFonts w:ascii="ＭＳ 明朝" w:hAnsi="ＭＳ 明朝"/>
          <w:sz w:val="22"/>
          <w:szCs w:val="22"/>
        </w:rPr>
      </w:pPr>
      <w:r w:rsidRPr="001D6D10">
        <w:rPr>
          <w:rFonts w:ascii="ＭＳ 明朝" w:hAnsi="ＭＳ 明朝" w:hint="eastAsia"/>
          <w:sz w:val="22"/>
          <w:szCs w:val="22"/>
        </w:rPr>
        <w:t>ア　沿岸市町の定める津波避難対象地区に学校がある場合、避難の安全に関する措置</w:t>
      </w:r>
    </w:p>
    <w:p w14:paraId="39A81B36" w14:textId="77777777" w:rsidR="008B4B2B" w:rsidRPr="001D6D10" w:rsidRDefault="008B4B2B" w:rsidP="008B4B2B">
      <w:pPr>
        <w:ind w:left="2211" w:rightChars="-376" w:right="-794" w:hangingChars="1000" w:hanging="2211"/>
        <w:rPr>
          <w:rFonts w:ascii="ＭＳ 明朝" w:hAnsi="ＭＳ 明朝"/>
          <w:sz w:val="22"/>
          <w:szCs w:val="22"/>
        </w:rPr>
      </w:pPr>
      <w:r w:rsidRPr="001D6D10">
        <w:rPr>
          <w:rFonts w:ascii="ＭＳ 明朝" w:hAnsi="ＭＳ 明朝" w:hint="eastAsia"/>
          <w:sz w:val="22"/>
          <w:szCs w:val="22"/>
        </w:rPr>
        <w:t xml:space="preserve">　　　　　　イ　学校に、保護を必要とする生徒等がいる場合、これらの者に対する保護の措置</w:t>
      </w:r>
    </w:p>
    <w:p w14:paraId="0128C7CE" w14:textId="77777777" w:rsidR="008B4B2B" w:rsidRPr="001D6D10" w:rsidRDefault="008B4B2B" w:rsidP="008B4B2B">
      <w:pPr>
        <w:ind w:left="884" w:hangingChars="400" w:hanging="884"/>
        <w:rPr>
          <w:rFonts w:ascii="ＭＳ 明朝" w:hAnsi="ＭＳ 明朝"/>
          <w:sz w:val="22"/>
          <w:szCs w:val="22"/>
        </w:rPr>
      </w:pPr>
      <w:r w:rsidRPr="001D6D10">
        <w:rPr>
          <w:rFonts w:ascii="ＭＳ 明朝" w:hAnsi="ＭＳ 明朝" w:hint="eastAsia"/>
          <w:sz w:val="22"/>
          <w:szCs w:val="22"/>
        </w:rPr>
        <w:t xml:space="preserve">　　　　(2)　災害応急対策の実施上重要な建物に対する措置</w:t>
      </w:r>
    </w:p>
    <w:p w14:paraId="1485E482" w14:textId="77777777" w:rsidR="008B4B2B" w:rsidRPr="001D6D10" w:rsidRDefault="008B4B2B" w:rsidP="008B4B2B">
      <w:pPr>
        <w:ind w:left="1216" w:rightChars="-175" w:right="-369" w:hangingChars="550" w:hanging="1216"/>
        <w:rPr>
          <w:rFonts w:ascii="ＭＳ 明朝" w:hAnsi="ＭＳ 明朝"/>
          <w:sz w:val="22"/>
          <w:szCs w:val="22"/>
        </w:rPr>
      </w:pPr>
      <w:r w:rsidRPr="001D6D10">
        <w:rPr>
          <w:rFonts w:ascii="ＭＳ 明朝" w:hAnsi="ＭＳ 明朝" w:hint="eastAsia"/>
          <w:sz w:val="22"/>
          <w:szCs w:val="22"/>
        </w:rPr>
        <w:t xml:space="preserve">　　　　　① 災対本部又はその支部がおかれる庁舎等の管理者は、上記(1)①～③に掲げる措置を実施する。</w:t>
      </w:r>
    </w:p>
    <w:p w14:paraId="6F9C0B51" w14:textId="77777777" w:rsidR="008B4B2B" w:rsidRPr="001D6D10" w:rsidRDefault="008B4B2B" w:rsidP="008B4B2B">
      <w:pPr>
        <w:numPr>
          <w:ilvl w:val="0"/>
          <w:numId w:val="8"/>
        </w:numPr>
        <w:rPr>
          <w:rFonts w:ascii="ＭＳ 明朝" w:hAnsi="ＭＳ 明朝"/>
          <w:sz w:val="22"/>
          <w:szCs w:val="22"/>
        </w:rPr>
      </w:pPr>
      <w:r w:rsidRPr="001D6D10">
        <w:rPr>
          <w:rFonts w:ascii="ＭＳ 明朝" w:hAnsi="ＭＳ 明朝" w:hint="eastAsia"/>
          <w:sz w:val="22"/>
          <w:szCs w:val="22"/>
        </w:rPr>
        <w:t>避難場所又は応急救護所の開設に必要な資機材の搬入、配備に協力する。</w:t>
      </w:r>
    </w:p>
    <w:p w14:paraId="506B21B1" w14:textId="77777777" w:rsidR="008B4B2B" w:rsidRPr="001D6D10" w:rsidRDefault="008B4B2B" w:rsidP="008B4B2B">
      <w:pPr>
        <w:ind w:left="110" w:firstLineChars="450" w:firstLine="995"/>
        <w:rPr>
          <w:rFonts w:ascii="ＭＳ 明朝" w:hAnsi="ＭＳ 明朝"/>
          <w:sz w:val="22"/>
          <w:szCs w:val="22"/>
        </w:rPr>
      </w:pPr>
      <w:r w:rsidRPr="001D6D10">
        <w:rPr>
          <w:rFonts w:ascii="ＭＳ 明朝" w:hAnsi="ＭＳ 明朝" w:hint="eastAsia"/>
          <w:sz w:val="22"/>
          <w:szCs w:val="22"/>
        </w:rPr>
        <w:t>③ 屋内避難に使用する建物の選定について、府有施設の活用等に協力する。</w:t>
      </w:r>
    </w:p>
    <w:p w14:paraId="38F85DE4" w14:textId="77777777" w:rsidR="008B4B2B" w:rsidRPr="001D6D10" w:rsidRDefault="008B4B2B" w:rsidP="008B4B2B">
      <w:pPr>
        <w:ind w:firstLineChars="400" w:firstLine="884"/>
        <w:rPr>
          <w:rFonts w:ascii="ＭＳ 明朝" w:hAnsi="ＭＳ 明朝"/>
          <w:sz w:val="22"/>
          <w:szCs w:val="22"/>
        </w:rPr>
      </w:pPr>
      <w:r w:rsidRPr="001D6D10">
        <w:rPr>
          <w:rFonts w:ascii="ＭＳ 明朝" w:hAnsi="ＭＳ 明朝" w:hint="eastAsia"/>
          <w:sz w:val="22"/>
          <w:szCs w:val="22"/>
        </w:rPr>
        <w:t>(3) 工事中の建築等に対する措置</w:t>
      </w:r>
    </w:p>
    <w:p w14:paraId="2B36BE75" w14:textId="77777777" w:rsidR="008B4B2B" w:rsidRPr="001D6D10" w:rsidRDefault="008B4B2B" w:rsidP="008B4B2B">
      <w:pPr>
        <w:ind w:left="1327" w:rightChars="-309" w:right="-652" w:hangingChars="600" w:hanging="1327"/>
        <w:rPr>
          <w:rFonts w:ascii="ＭＳ 明朝" w:hAnsi="ＭＳ 明朝"/>
          <w:sz w:val="22"/>
          <w:szCs w:val="22"/>
        </w:rPr>
      </w:pPr>
      <w:r w:rsidRPr="001D6D10">
        <w:rPr>
          <w:rFonts w:ascii="ＭＳ 明朝" w:hAnsi="ＭＳ 明朝" w:hint="eastAsia"/>
          <w:sz w:val="22"/>
          <w:szCs w:val="22"/>
        </w:rPr>
        <w:t xml:space="preserve">　　　　　　工事中の建築物その他の工作物又は施設については、原則として工事を中断する。</w:t>
      </w:r>
    </w:p>
    <w:p w14:paraId="6E35650B" w14:textId="77777777" w:rsidR="008B4B2B" w:rsidRPr="001D6D10" w:rsidRDefault="008B4B2B" w:rsidP="008B4B2B">
      <w:pPr>
        <w:ind w:firstLineChars="400" w:firstLine="884"/>
        <w:rPr>
          <w:rFonts w:ascii="ＭＳ 明朝" w:hAnsi="ＭＳ 明朝"/>
          <w:sz w:val="22"/>
          <w:szCs w:val="22"/>
        </w:rPr>
      </w:pPr>
      <w:r w:rsidRPr="001D6D10">
        <w:rPr>
          <w:rFonts w:ascii="ＭＳ 明朝" w:hAnsi="ＭＳ 明朝" w:hint="eastAsia"/>
          <w:sz w:val="22"/>
          <w:szCs w:val="22"/>
        </w:rPr>
        <w:t>(4) 施設の緊急点検・巡視等</w:t>
      </w:r>
    </w:p>
    <w:p w14:paraId="11724F56" w14:textId="77777777" w:rsidR="008B4B2B" w:rsidRPr="001D6D10" w:rsidRDefault="008B4B2B" w:rsidP="008B4B2B">
      <w:pPr>
        <w:ind w:left="1105" w:hangingChars="500" w:hanging="1105"/>
        <w:rPr>
          <w:rFonts w:ascii="ＭＳ 明朝" w:hAnsi="ＭＳ 明朝"/>
          <w:sz w:val="22"/>
          <w:szCs w:val="22"/>
        </w:rPr>
      </w:pPr>
      <w:r w:rsidRPr="001D6D10">
        <w:rPr>
          <w:rFonts w:ascii="ＭＳ 明朝" w:hAnsi="ＭＳ 明朝" w:hint="eastAsia"/>
          <w:sz w:val="22"/>
          <w:szCs w:val="22"/>
        </w:rPr>
        <w:t xml:space="preserve">　　　　　　府は、必要に応じて、通信施設、水門等の津波防災施設、公共施設等、特に防災活動の拠点となる公共施設等及び避難場所に指定されている施設の緊急点検・巡視等を実施し、当該施設の被災状況等の把握に努める。</w:t>
      </w:r>
    </w:p>
    <w:p w14:paraId="695A3EED" w14:textId="77777777" w:rsidR="008B4B2B" w:rsidRPr="001D6D10" w:rsidRDefault="008B4B2B" w:rsidP="008B4B2B">
      <w:pPr>
        <w:rPr>
          <w:rFonts w:ascii="ＭＳ 明朝" w:hAnsi="ＭＳ 明朝"/>
          <w:sz w:val="22"/>
          <w:szCs w:val="22"/>
        </w:rPr>
      </w:pPr>
      <w:r w:rsidRPr="001D6D10">
        <w:rPr>
          <w:rFonts w:ascii="ＭＳ 明朝" w:hAnsi="ＭＳ 明朝" w:hint="eastAsia"/>
          <w:sz w:val="22"/>
          <w:szCs w:val="22"/>
        </w:rPr>
        <w:t xml:space="preserve">　　　　(5) その他</w:t>
      </w:r>
    </w:p>
    <w:p w14:paraId="462CFC23" w14:textId="77777777" w:rsidR="008B4B2B" w:rsidRPr="001D6D10" w:rsidRDefault="008B4B2B" w:rsidP="008B4B2B">
      <w:pPr>
        <w:ind w:left="1105" w:hangingChars="500" w:hanging="1105"/>
        <w:rPr>
          <w:rFonts w:ascii="ＭＳ 明朝" w:hAnsi="ＭＳ 明朝"/>
          <w:sz w:val="22"/>
          <w:szCs w:val="22"/>
        </w:rPr>
      </w:pPr>
      <w:r w:rsidRPr="001D6D10">
        <w:rPr>
          <w:rFonts w:ascii="ＭＳ 明朝" w:hAnsi="ＭＳ 明朝" w:hint="eastAsia"/>
          <w:sz w:val="22"/>
          <w:szCs w:val="22"/>
        </w:rPr>
        <w:t xml:space="preserve">　　　　　　府は沿岸市町の実施する消防及び水防活動が迅速かつ円滑に行われるよう、</w:t>
      </w:r>
      <w:r w:rsidRPr="001D6D10">
        <w:rPr>
          <w:rFonts w:ascii="ＭＳ 明朝" w:hAnsi="ＭＳ 明朝" w:hint="eastAsia"/>
          <w:sz w:val="22"/>
          <w:szCs w:val="22"/>
        </w:rPr>
        <w:lastRenderedPageBreak/>
        <w:t>地震が発生した場合、あくまで水防団員自身の避難時間を確保した上で、津波からの迅速かつ円滑な避難等について、報道機関の協力を得て住民等に対し広報を行うとともに、緊急消防援助隊等の活動拠点の確保に係る調整、消火薬剤、水防資機材等、府が保有する物資、資機材の点検、配備及び流通在庫の把握に努める。</w:t>
      </w:r>
    </w:p>
    <w:p w14:paraId="5CB737D7" w14:textId="77777777" w:rsidR="00B73418" w:rsidRPr="001D6D10" w:rsidRDefault="00B73418">
      <w:pPr>
        <w:widowControl/>
        <w:jc w:val="left"/>
        <w:rPr>
          <w:rFonts w:ascii="ＭＳ ゴシック" w:eastAsia="ＭＳ ゴシック" w:hAnsi="ＭＳ ゴシック"/>
          <w:sz w:val="28"/>
          <w:szCs w:val="28"/>
        </w:rPr>
      </w:pPr>
      <w:r w:rsidRPr="001D6D10">
        <w:rPr>
          <w:rFonts w:ascii="ＭＳ ゴシック" w:eastAsia="ＭＳ ゴシック" w:hAnsi="ＭＳ ゴシック"/>
          <w:sz w:val="28"/>
          <w:szCs w:val="28"/>
        </w:rPr>
        <w:br w:type="page"/>
      </w:r>
    </w:p>
    <w:p w14:paraId="7BE625F8" w14:textId="77777777" w:rsidR="008B4B2B" w:rsidRPr="001D6D10" w:rsidRDefault="008B4B2B">
      <w:pPr>
        <w:pStyle w:val="2"/>
      </w:pPr>
      <w:bookmarkStart w:id="224" w:name="_Toc122436923"/>
      <w:bookmarkStart w:id="225" w:name="_Toc222486606"/>
      <w:bookmarkStart w:id="226" w:name="_Toc242870276"/>
      <w:r w:rsidRPr="001D6D10">
        <w:rPr>
          <w:rFonts w:hint="eastAsia"/>
        </w:rPr>
        <w:lastRenderedPageBreak/>
        <w:t>第３節　発災直後の情報収集伝達</w:t>
      </w:r>
      <w:bookmarkEnd w:id="224"/>
      <w:bookmarkEnd w:id="225"/>
      <w:bookmarkEnd w:id="226"/>
    </w:p>
    <w:p w14:paraId="474B8664" w14:textId="77777777" w:rsidR="008B4B2B" w:rsidRPr="001D6D10" w:rsidRDefault="008B4B2B" w:rsidP="008B4B2B">
      <w:pPr>
        <w:ind w:left="482" w:hangingChars="200" w:hanging="482"/>
        <w:rPr>
          <w:rFonts w:ascii="ＭＳ 明朝" w:hAnsi="ＭＳ 明朝"/>
          <w:sz w:val="22"/>
          <w:szCs w:val="22"/>
        </w:rPr>
      </w:pPr>
      <w:r w:rsidRPr="001D6D10">
        <w:rPr>
          <w:rFonts w:ascii="ＭＳ ゴシック" w:eastAsia="ＭＳ ゴシック" w:hAnsi="ＭＳ ゴシック" w:hint="eastAsia"/>
          <w:sz w:val="24"/>
        </w:rPr>
        <w:t xml:space="preserve">　　</w:t>
      </w:r>
      <w:r w:rsidRPr="001D6D10">
        <w:rPr>
          <w:rFonts w:ascii="ＭＳ 明朝" w:hAnsi="ＭＳ 明朝" w:hint="eastAsia"/>
          <w:sz w:val="22"/>
          <w:szCs w:val="22"/>
        </w:rPr>
        <w:t xml:space="preserve">　府は災害発生後、市町村をはじめ防災関係機関と相互に連携協力し、直ちに被害状況の把握及び応急対策の実施のための情報収集及び伝達活動を行う。</w:t>
      </w:r>
    </w:p>
    <w:p w14:paraId="376F885D" w14:textId="77777777" w:rsidR="008B4B2B" w:rsidRPr="001D6D10" w:rsidRDefault="008B4B2B" w:rsidP="008B4B2B">
      <w:pPr>
        <w:ind w:leftChars="200" w:left="422" w:rightChars="26" w:right="55" w:firstLineChars="100" w:firstLine="221"/>
      </w:pPr>
      <w:r w:rsidRPr="001D6D10">
        <w:rPr>
          <w:rFonts w:ascii="ＭＳ 明朝" w:hAnsi="ＭＳ 明朝" w:hint="eastAsia"/>
          <w:sz w:val="22"/>
          <w:szCs w:val="22"/>
        </w:rPr>
        <w:t>また、収集した情報の確度や必要とする内容の異同を勘案し、生存情報などの重要度、情報に付された場所・時間の明確性、発信者の属性等の観点から、情報のトリアージを行い、適切な応急対策を実施する。</w:t>
      </w:r>
    </w:p>
    <w:p w14:paraId="4CCF300D" w14:textId="77777777" w:rsidR="008B4B2B" w:rsidRPr="001D6D10" w:rsidRDefault="008B4B2B" w:rsidP="008B4B2B">
      <w:r w:rsidRPr="001D6D10">
        <w:rPr>
          <w:rFonts w:hint="eastAsia"/>
          <w:noProof/>
        </w:rPr>
        <mc:AlternateContent>
          <mc:Choice Requires="wps">
            <w:drawing>
              <wp:anchor distT="0" distB="0" distL="114300" distR="114300" simplePos="0" relativeHeight="253185024" behindDoc="0" locked="0" layoutInCell="1" allowOverlap="1" wp14:anchorId="6A0EC3B2" wp14:editId="6EC4074F">
                <wp:simplePos x="0" y="0"/>
                <wp:positionH relativeFrom="column">
                  <wp:posOffset>628650</wp:posOffset>
                </wp:positionH>
                <wp:positionV relativeFrom="paragraph">
                  <wp:posOffset>13970</wp:posOffset>
                </wp:positionV>
                <wp:extent cx="4229100" cy="571500"/>
                <wp:effectExtent l="9525" t="13970" r="9525" b="5080"/>
                <wp:wrapNone/>
                <wp:docPr id="2773" name="AutoShape 238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229100" cy="571500"/>
                        </a:xfrm>
                        <a:prstGeom prst="bevel">
                          <a:avLst>
                            <a:gd name="adj" fmla="val 12500"/>
                          </a:avLst>
                        </a:prstGeom>
                        <a:solidFill>
                          <a:srgbClr val="FFFFFF"/>
                        </a:solidFill>
                        <a:ln w="9525">
                          <a:solidFill>
                            <a:srgbClr val="000000"/>
                          </a:solidFill>
                          <a:miter lim="800000"/>
                          <a:headEnd/>
                          <a:tailEnd/>
                        </a:ln>
                      </wps:spPr>
                      <wps:txbx>
                        <w:txbxContent>
                          <w:p w14:paraId="5FE1914F" w14:textId="77777777" w:rsidR="006A5267" w:rsidRDefault="006A5267" w:rsidP="008B4B2B">
                            <w:pPr>
                              <w:jc w:val="center"/>
                            </w:pPr>
                            <w:r w:rsidRPr="00E019A9">
                              <w:rPr>
                                <w:rFonts w:hint="eastAsia"/>
                                <w:sz w:val="28"/>
                                <w:szCs w:val="28"/>
                              </w:rPr>
                              <w:t>災害</w:t>
                            </w:r>
                            <w:r>
                              <w:rPr>
                                <w:rFonts w:hint="eastAsia"/>
                                <w:sz w:val="28"/>
                                <w:szCs w:val="28"/>
                              </w:rPr>
                              <w:t>時の</w:t>
                            </w:r>
                            <w:r w:rsidRPr="00E019A9">
                              <w:rPr>
                                <w:rFonts w:hint="eastAsia"/>
                                <w:sz w:val="28"/>
                                <w:szCs w:val="28"/>
                              </w:rPr>
                              <w:t>情報</w:t>
                            </w:r>
                            <w:r>
                              <w:rPr>
                                <w:rFonts w:hint="eastAsia"/>
                                <w:sz w:val="28"/>
                                <w:szCs w:val="28"/>
                              </w:rPr>
                              <w:t>収集伝達</w:t>
                            </w:r>
                            <w:r w:rsidRPr="00E019A9">
                              <w:rPr>
                                <w:rFonts w:hint="eastAsia"/>
                                <w:sz w:val="28"/>
                                <w:szCs w:val="28"/>
                              </w:rPr>
                              <w:t>の流れ</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shapetype w14:anchorId="6A0EC3B2" id="_x0000_t84" coordsize="21600,21600" o:spt="84" adj="2700" path="m,l,21600r21600,l21600,xem@0@0nfl@0@2@1@2@1@0xem,nfl@0@0em,21600nfl@0@2em21600,21600nfl@1@2em21600,nfl@1@0e">
                <v:stroke joinstyle="miter"/>
                <v:formulas>
                  <v:f eqn="val #0"/>
                  <v:f eqn="sum width 0 #0"/>
                  <v:f eqn="sum height 0 #0"/>
                  <v:f eqn="prod width 1 2"/>
                  <v:f eqn="prod height 1 2"/>
                  <v:f eqn="prod #0 1 2"/>
                  <v:f eqn="prod #0 3 2"/>
                  <v:f eqn="sum @1 @5 0"/>
                  <v:f eqn="sum @2 @5 0"/>
                </v:formulas>
                <v:path o:extrusionok="f" limo="10800,10800" o:connecttype="custom" o:connectlocs="0,@4;@0,@4;@3,21600;@3,@2;21600,@4;@1,@4;@3,0;@3,@0" textboxrect="@0,@0,@1,@2"/>
                <v:handles>
                  <v:h position="#0,topLeft" switch="" xrange="0,10800"/>
                </v:handles>
                <o:complex v:ext="view"/>
              </v:shapetype>
              <v:shape id="AutoShape 2382" o:spid="_x0000_s1352" type="#_x0000_t84" style="position:absolute;left:0;text-align:left;margin-left:49.5pt;margin-top:1.1pt;width:333pt;height:45pt;z-index:2531850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">
                <v:textbox inset="5.85pt,.7pt,5.85pt,.7pt">
                  <w:txbxContent>
                    <w:p w14:paraId="5FE1914F" w14:textId="77777777" w:rsidR="006A5267" w:rsidRDefault="006A5267" w:rsidP="008B4B2B">
                      <w:pPr>
                        <w:jc w:val="center"/>
                      </w:pPr>
                      <w:r w:rsidRPr="00E019A9">
                        <w:rPr>
                          <w:rFonts w:hint="eastAsia"/>
                          <w:sz w:val="28"/>
                          <w:szCs w:val="28"/>
                        </w:rPr>
                        <w:t>災害</w:t>
                      </w:r>
                      <w:r>
                        <w:rPr>
                          <w:rFonts w:hint="eastAsia"/>
                          <w:sz w:val="28"/>
                          <w:szCs w:val="28"/>
                        </w:rPr>
                        <w:t>時の</w:t>
                      </w:r>
                      <w:r w:rsidRPr="00E019A9">
                        <w:rPr>
                          <w:rFonts w:hint="eastAsia"/>
                          <w:sz w:val="28"/>
                          <w:szCs w:val="28"/>
                        </w:rPr>
                        <w:t>情報</w:t>
                      </w:r>
                      <w:r>
                        <w:rPr>
                          <w:rFonts w:hint="eastAsia"/>
                          <w:sz w:val="28"/>
                          <w:szCs w:val="28"/>
                        </w:rPr>
                        <w:t>収集伝達</w:t>
                      </w:r>
                      <w:r w:rsidRPr="00E019A9">
                        <w:rPr>
                          <w:rFonts w:hint="eastAsia"/>
                          <w:sz w:val="28"/>
                          <w:szCs w:val="28"/>
                        </w:rPr>
                        <w:t>の流れ</w:t>
                      </w:r>
                    </w:p>
                  </w:txbxContent>
                </v:textbox>
              </v:shape>
            </w:pict>
          </mc:Fallback>
        </mc:AlternateContent>
      </w:r>
    </w:p>
    <w:p w14:paraId="43733B83" w14:textId="77777777" w:rsidR="008B4B2B" w:rsidRPr="001D6D10" w:rsidRDefault="008B4B2B" w:rsidP="008B4B2B"/>
    <w:p w14:paraId="36BEF3CC" w14:textId="77777777" w:rsidR="008B4B2B" w:rsidRPr="001D6D10" w:rsidRDefault="008B4B2B" w:rsidP="008B4B2B"/>
    <w:p w14:paraId="569B9F77" w14:textId="77777777" w:rsidR="008B4B2B" w:rsidRPr="001D6D10" w:rsidRDefault="008B4B2B" w:rsidP="008B4B2B">
      <w:r w:rsidRPr="001D6D10">
        <w:rPr>
          <w:rFonts w:hint="eastAsia"/>
          <w:noProof/>
        </w:rPr>
        <mc:AlternateContent>
          <mc:Choice Requires="wps">
            <w:drawing>
              <wp:anchor distT="0" distB="0" distL="114300" distR="114300" simplePos="0" relativeHeight="253167616" behindDoc="0" locked="0" layoutInCell="1" allowOverlap="1" wp14:anchorId="01C52ED2" wp14:editId="71595BFB">
                <wp:simplePos x="0" y="0"/>
                <wp:positionH relativeFrom="column">
                  <wp:posOffset>1562100</wp:posOffset>
                </wp:positionH>
                <wp:positionV relativeFrom="paragraph">
                  <wp:posOffset>2743200</wp:posOffset>
                </wp:positionV>
                <wp:extent cx="1371600" cy="1381125"/>
                <wp:effectExtent l="9525" t="9525" r="9525" b="9525"/>
                <wp:wrapNone/>
                <wp:docPr id="2772" name="AutoShape 234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371600" cy="1381125"/>
                        </a:xfrm>
                        <a:prstGeom prst="roundRect">
                          <a:avLst>
                            <a:gd name="adj" fmla="val 16667"/>
                          </a:avLst>
                        </a:prstGeom>
                        <a:solidFill>
                          <a:srgbClr val="FFFFFF"/>
                        </a:solidFill>
                        <a:ln w="9525">
                          <a:solidFill>
                            <a:srgbClr val="000000"/>
                          </a:solidFill>
                          <a:round/>
                          <a:headEnd/>
                          <a:tailEnd/>
                        </a:ln>
                      </wps:spPr>
                      <wps:txbx>
                        <w:txbxContent>
                          <w:p w14:paraId="1D21E024" w14:textId="77777777" w:rsidR="006A5267" w:rsidRDefault="006A5267" w:rsidP="008B4B2B">
                            <w:pPr>
                              <w:spacing w:line="360" w:lineRule="exact"/>
                              <w:jc w:val="center"/>
                              <w:rPr>
                                <w:sz w:val="28"/>
                                <w:szCs w:val="28"/>
                              </w:rPr>
                            </w:pPr>
                            <w:r w:rsidRPr="00E019A9">
                              <w:rPr>
                                <w:rFonts w:hint="eastAsia"/>
                                <w:sz w:val="28"/>
                                <w:szCs w:val="28"/>
                              </w:rPr>
                              <w:t>本庁防災体制</w:t>
                            </w:r>
                          </w:p>
                          <w:p w14:paraId="37A096FA" w14:textId="77777777" w:rsidR="006A5267" w:rsidRDefault="006A5267" w:rsidP="008B4B2B">
                            <w:pPr>
                              <w:spacing w:line="360" w:lineRule="exact"/>
                              <w:jc w:val="center"/>
                              <w:rPr>
                                <w:sz w:val="28"/>
                                <w:szCs w:val="28"/>
                              </w:rPr>
                            </w:pPr>
                          </w:p>
                          <w:p w14:paraId="26CCBCC1" w14:textId="77777777" w:rsidR="006A5267" w:rsidRDefault="006A5267" w:rsidP="008B4B2B">
                            <w:pPr>
                              <w:spacing w:line="360" w:lineRule="exact"/>
                              <w:jc w:val="center"/>
                              <w:rPr>
                                <w:sz w:val="28"/>
                                <w:szCs w:val="28"/>
                              </w:rPr>
                            </w:pPr>
                            <w:r>
                              <w:rPr>
                                <w:rFonts w:hint="eastAsia"/>
                                <w:sz w:val="28"/>
                                <w:szCs w:val="28"/>
                              </w:rPr>
                              <w:t>◇情報集約</w:t>
                            </w:r>
                          </w:p>
                          <w:p w14:paraId="1771F9FA" w14:textId="77777777" w:rsidR="006A5267" w:rsidRPr="00E019A9" w:rsidRDefault="006A5267" w:rsidP="008B4B2B">
                            <w:pPr>
                              <w:spacing w:line="360" w:lineRule="exact"/>
                              <w:jc w:val="center"/>
                              <w:rPr>
                                <w:sz w:val="28"/>
                                <w:szCs w:val="28"/>
                              </w:rPr>
                            </w:pPr>
                            <w:r>
                              <w:rPr>
                                <w:rFonts w:hint="eastAsia"/>
                                <w:sz w:val="28"/>
                                <w:szCs w:val="28"/>
                              </w:rPr>
                              <w:t>◇対策検討</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roundrect w14:anchorId="01C52ED2" id="AutoShape 2349" o:spid="_x0000_s1353" style="position:absolute;left:0;text-align:left;margin-left:123pt;margin-top:3in;width:108pt;height:108.75pt;z-index:2531676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">
                <v:textbox inset="5.85pt,.7pt,5.85pt,.7pt">
                  <w:txbxContent>
                    <w:p w14:paraId="1D21E024" w14:textId="77777777" w:rsidR="006A5267" w:rsidRDefault="006A5267" w:rsidP="008B4B2B">
                      <w:pPr>
                        <w:spacing w:line="360" w:lineRule="exact"/>
                        <w:jc w:val="center"/>
                        <w:rPr>
                          <w:sz w:val="28"/>
                          <w:szCs w:val="28"/>
                        </w:rPr>
                      </w:pPr>
                      <w:r w:rsidRPr="00E019A9">
                        <w:rPr>
                          <w:rFonts w:hint="eastAsia"/>
                          <w:sz w:val="28"/>
                          <w:szCs w:val="28"/>
                        </w:rPr>
                        <w:t>本庁防災体制</w:t>
                      </w:r>
                    </w:p>
                    <w:p w14:paraId="37A096FA" w14:textId="77777777" w:rsidR="006A5267" w:rsidRDefault="006A5267" w:rsidP="008B4B2B">
                      <w:pPr>
                        <w:spacing w:line="360" w:lineRule="exact"/>
                        <w:jc w:val="center"/>
                        <w:rPr>
                          <w:sz w:val="28"/>
                          <w:szCs w:val="28"/>
                        </w:rPr>
                      </w:pPr>
                    </w:p>
                    <w:p w14:paraId="26CCBCC1" w14:textId="77777777" w:rsidR="006A5267" w:rsidRDefault="006A5267" w:rsidP="008B4B2B">
                      <w:pPr>
                        <w:spacing w:line="360" w:lineRule="exact"/>
                        <w:jc w:val="center"/>
                        <w:rPr>
                          <w:sz w:val="28"/>
                          <w:szCs w:val="28"/>
                        </w:rPr>
                      </w:pPr>
                      <w:r>
                        <w:rPr>
                          <w:rFonts w:hint="eastAsia"/>
                          <w:sz w:val="28"/>
                          <w:szCs w:val="28"/>
                        </w:rPr>
                        <w:t>◇情報集約</w:t>
                      </w:r>
                    </w:p>
                    <w:p w14:paraId="1771F9FA" w14:textId="77777777" w:rsidR="006A5267" w:rsidRPr="00E019A9" w:rsidRDefault="006A5267" w:rsidP="008B4B2B">
                      <w:pPr>
                        <w:spacing w:line="360" w:lineRule="exact"/>
                        <w:jc w:val="center"/>
                        <w:rPr>
                          <w:sz w:val="28"/>
                          <w:szCs w:val="28"/>
                        </w:rPr>
                      </w:pPr>
                      <w:r>
                        <w:rPr>
                          <w:rFonts w:hint="eastAsia"/>
                          <w:sz w:val="28"/>
                          <w:szCs w:val="28"/>
                        </w:rPr>
                        <w:t>◇対策検討</w:t>
                      </w:r>
                    </w:p>
                  </w:txbxContent>
                </v:textbox>
              </v:roundrect>
            </w:pict>
          </mc:Fallback>
        </mc:AlternateContent>
      </w:r>
      <w:r w:rsidRPr="001D6D10">
        <w:rPr>
          <w:rFonts w:hint="eastAsia"/>
          <w:noProof/>
        </w:rPr>
        <mc:AlternateContent>
          <mc:Choice Requires="wps">
            <w:drawing>
              <wp:anchor distT="0" distB="0" distL="114300" distR="114300" simplePos="0" relativeHeight="253178880" behindDoc="0" locked="0" layoutInCell="1" allowOverlap="1" wp14:anchorId="50481A6C" wp14:editId="0C2A96CF">
                <wp:simplePos x="0" y="0"/>
                <wp:positionH relativeFrom="column">
                  <wp:posOffset>1323975</wp:posOffset>
                </wp:positionH>
                <wp:positionV relativeFrom="paragraph">
                  <wp:posOffset>2133600</wp:posOffset>
                </wp:positionV>
                <wp:extent cx="1762125" cy="228600"/>
                <wp:effectExtent l="0" t="0" r="0" b="0"/>
                <wp:wrapNone/>
                <wp:docPr id="2769" name="Rectangle 237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762125" cy="228600"/>
                        </a:xfrm>
                        <a:prstGeom prst="rect">
                          <a:avLst/>
                        </a:prstGeom>
                        <a:solidFill>
                          <a:srgbClr val="FFFF00">
                            <a:alpha val="0"/>
                          </a:srgbClr>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46AD6C71" w14:textId="77777777" w:rsidR="006A5267" w:rsidRDefault="006A5267" w:rsidP="008B4B2B">
                            <w:r>
                              <w:rPr>
                                <w:rFonts w:hint="eastAsia"/>
                              </w:rPr>
                              <w:t>自動反映（公開判断分）</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rect w14:anchorId="50481A6C" id="Rectangle 2374" o:spid="_x0000_s1354" style="position:absolute;left:0;text-align:left;margin-left:104.25pt;margin-top:168pt;width:138.75pt;height:18pt;z-index:2531788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" fillcolor="yellow" stroked="f">
                <v:fill opacity="0"/>
                <v:textbox inset="5.85pt,.7pt,5.85pt,.7pt">
                  <w:txbxContent>
                    <w:p w14:paraId="46AD6C71" w14:textId="77777777" w:rsidR="006A5267" w:rsidRDefault="006A5267" w:rsidP="008B4B2B">
                      <w:r>
                        <w:rPr>
                          <w:rFonts w:hint="eastAsia"/>
                        </w:rPr>
                        <w:t>自動反映（公開判断分）</w:t>
                      </w:r>
                    </w:p>
                  </w:txbxContent>
                </v:textbox>
              </v:rect>
            </w:pict>
          </mc:Fallback>
        </mc:AlternateContent>
      </w:r>
      <w:r w:rsidRPr="001D6D10">
        <w:rPr>
          <w:rFonts w:hint="eastAsia"/>
          <w:noProof/>
        </w:rPr>
        <mc:AlternateContent>
          <mc:Choice Requires="wps">
            <w:drawing>
              <wp:anchor distT="0" distB="0" distL="114300" distR="114300" simplePos="0" relativeHeight="253181952" behindDoc="0" locked="0" layoutInCell="1" allowOverlap="1" wp14:anchorId="6DCB7D0B" wp14:editId="58E848F5">
                <wp:simplePos x="0" y="0"/>
                <wp:positionH relativeFrom="column">
                  <wp:posOffset>457200</wp:posOffset>
                </wp:positionH>
                <wp:positionV relativeFrom="paragraph">
                  <wp:posOffset>0</wp:posOffset>
                </wp:positionV>
                <wp:extent cx="152400" cy="228600"/>
                <wp:effectExtent l="0" t="0" r="0" b="0"/>
                <wp:wrapNone/>
                <wp:docPr id="2768" name="Rectangle 237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2400" cy="228600"/>
                        </a:xfrm>
                        <a:prstGeom prst="rect">
                          <a:avLst/>
                        </a:prstGeom>
                        <a:solidFill>
                          <a:srgbClr val="CCFF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rect w14:anchorId="548F4A15" id="Rectangle 2379" o:spid="_x0000_s1026" style="position:absolute;left:0;text-align:left;margin-left:36pt;margin-top:0;width:12pt;height:18pt;z-index:2531819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" fillcolor="#cff" stroked="f">
                <v:textbox inset="5.85pt,.7pt,5.85pt,.7pt"/>
              </v:rect>
            </w:pict>
          </mc:Fallback>
        </mc:AlternateContent>
      </w:r>
      <w:r w:rsidRPr="001D6D10">
        <w:rPr>
          <w:rFonts w:hint="eastAsia"/>
          <w:noProof/>
        </w:rPr>
        <mc:AlternateContent>
          <mc:Choice Requires="wps">
            <w:drawing>
              <wp:anchor distT="0" distB="0" distL="114300" distR="114300" simplePos="0" relativeHeight="253182976" behindDoc="0" locked="0" layoutInCell="1" allowOverlap="1" wp14:anchorId="4C4489DD" wp14:editId="6243BCF6">
                <wp:simplePos x="0" y="0"/>
                <wp:positionH relativeFrom="column">
                  <wp:posOffset>457200</wp:posOffset>
                </wp:positionH>
                <wp:positionV relativeFrom="paragraph">
                  <wp:posOffset>0</wp:posOffset>
                </wp:positionV>
                <wp:extent cx="228600" cy="0"/>
                <wp:effectExtent l="9525" t="9525" r="9525" b="9525"/>
                <wp:wrapNone/>
                <wp:docPr id="2767" name="Line 238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286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line w14:anchorId="03E4560A" id="Line 2380" o:spid="_x0000_s1026" style="position:absolute;left:0;text-align:left;z-index:2531829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6pt,0" to="54pt,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"/>
            </w:pict>
          </mc:Fallback>
        </mc:AlternateContent>
      </w:r>
      <w:r w:rsidRPr="001D6D10">
        <w:rPr>
          <w:rFonts w:hint="eastAsia"/>
          <w:noProof/>
        </w:rPr>
        <mc:AlternateContent>
          <mc:Choice Requires="wps">
            <w:drawing>
              <wp:anchor distT="0" distB="0" distL="114300" distR="114300" simplePos="0" relativeHeight="253179904" behindDoc="0" locked="0" layoutInCell="1" allowOverlap="1" wp14:anchorId="00EAD665" wp14:editId="5BB52107">
                <wp:simplePos x="0" y="0"/>
                <wp:positionH relativeFrom="column">
                  <wp:posOffset>342900</wp:posOffset>
                </wp:positionH>
                <wp:positionV relativeFrom="paragraph">
                  <wp:posOffset>0</wp:posOffset>
                </wp:positionV>
                <wp:extent cx="342900" cy="1485900"/>
                <wp:effectExtent l="19050" t="9525" r="19050" b="19050"/>
                <wp:wrapNone/>
                <wp:docPr id="2766" name="AutoShape 237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42900" cy="1485900"/>
                        </a:xfrm>
                        <a:prstGeom prst="downArrow">
                          <a:avLst>
                            <a:gd name="adj1" fmla="val 41667"/>
                            <a:gd name="adj2" fmla="val 108333"/>
                          </a:avLst>
                        </a:prstGeom>
                        <a:solidFill>
                          <a:srgbClr val="CCFFFF"/>
                        </a:solidFill>
                        <a:ln w="9525">
                          <a:solidFill>
                            <a:srgbClr val="000000"/>
                          </a:solidFill>
                          <a:miter lim="800000"/>
                          <a:headEnd/>
                          <a:tailEnd/>
                        </a:ln>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shape w14:anchorId="55EC2D6D" id="AutoShape 2377" o:spid="_x0000_s1026" type="#_x0000_t67" style="position:absolute;left:0;text-align:left;margin-left:27pt;margin-top:0;width:27pt;height:117pt;z-index:2531799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" adj=",6300" fillcolor="#cff">
                <v:textbox inset="5.85pt,.7pt,5.85pt,.7pt"/>
              </v:shape>
            </w:pict>
          </mc:Fallback>
        </mc:AlternateContent>
      </w:r>
      <w:r w:rsidRPr="001D6D10">
        <w:rPr>
          <w:rFonts w:hint="eastAsia"/>
          <w:noProof/>
        </w:rPr>
        <mc:AlternateContent>
          <mc:Choice Requires="wps">
            <w:drawing>
              <wp:anchor distT="0" distB="0" distL="114300" distR="114300" simplePos="0" relativeHeight="253180928" behindDoc="0" locked="0" layoutInCell="1" allowOverlap="1" wp14:anchorId="570C5609" wp14:editId="4EC0E674">
                <wp:simplePos x="0" y="0"/>
                <wp:positionH relativeFrom="column">
                  <wp:posOffset>571500</wp:posOffset>
                </wp:positionH>
                <wp:positionV relativeFrom="paragraph">
                  <wp:posOffset>0</wp:posOffset>
                </wp:positionV>
                <wp:extent cx="3314700" cy="228600"/>
                <wp:effectExtent l="9525" t="9525" r="9525" b="9525"/>
                <wp:wrapNone/>
                <wp:docPr id="2765" name="Rectangle 237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314700" cy="228600"/>
                        </a:xfrm>
                        <a:prstGeom prst="rect">
                          <a:avLst/>
                        </a:prstGeom>
                        <a:solidFill>
                          <a:srgbClr val="CCFFFF"/>
                        </a:solidFill>
                        <a:ln w="9525">
                          <a:solidFill>
                            <a:srgbClr val="000000"/>
                          </a:solidFill>
                          <a:miter lim="800000"/>
                          <a:headEnd/>
                          <a:tailEnd/>
                        </a:ln>
                      </wps:spPr>
                      <wps:txbx>
                        <w:txbxContent>
                          <w:p w14:paraId="7920ECD2" w14:textId="77777777" w:rsidR="006A5267" w:rsidRDefault="006A5267" w:rsidP="008B4B2B">
                            <w:pPr>
                              <w:ind w:firstLineChars="100" w:firstLine="211"/>
                              <w:jc w:val="center"/>
                            </w:pPr>
                            <w:r>
                              <w:rPr>
                                <w:rFonts w:hint="eastAsia"/>
                              </w:rPr>
                              <w:t>手入力</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rect w14:anchorId="570C5609" id="Rectangle 2378" o:spid="_x0000_s1355" style="position:absolute;left:0;text-align:left;margin-left:45pt;margin-top:0;width:261pt;height:18pt;z-index:2531809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" fillcolor="#cff">
                <v:textbox inset="5.85pt,.7pt,5.85pt,.7pt">
                  <w:txbxContent>
                    <w:p w14:paraId="7920ECD2" w14:textId="77777777" w:rsidR="006A5267" w:rsidRDefault="006A5267" w:rsidP="008B4B2B">
                      <w:pPr>
                        <w:ind w:firstLineChars="100" w:firstLine="211"/>
                        <w:jc w:val="center"/>
                      </w:pPr>
                      <w:r>
                        <w:rPr>
                          <w:rFonts w:hint="eastAsia"/>
                        </w:rPr>
                        <w:t>手入力</w:t>
                      </w:r>
                    </w:p>
                  </w:txbxContent>
                </v:textbox>
              </v:rect>
            </w:pict>
          </mc:Fallback>
        </mc:AlternateContent>
      </w:r>
      <w:r w:rsidRPr="001D6D10">
        <w:rPr>
          <w:rFonts w:hint="eastAsia"/>
          <w:noProof/>
        </w:rPr>
        <mc:AlternateContent>
          <mc:Choice Requires="wps">
            <w:drawing>
              <wp:anchor distT="0" distB="0" distL="114300" distR="114300" simplePos="0" relativeHeight="253168640" behindDoc="0" locked="0" layoutInCell="1" allowOverlap="1" wp14:anchorId="2C09CD8A" wp14:editId="5955D2F8">
                <wp:simplePos x="0" y="0"/>
                <wp:positionH relativeFrom="column">
                  <wp:posOffset>4000500</wp:posOffset>
                </wp:positionH>
                <wp:positionV relativeFrom="paragraph">
                  <wp:posOffset>0</wp:posOffset>
                </wp:positionV>
                <wp:extent cx="1371600" cy="4229100"/>
                <wp:effectExtent l="9525" t="9525" r="9525" b="9525"/>
                <wp:wrapNone/>
                <wp:docPr id="2764" name="AutoShape 235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371600" cy="4229100"/>
                        </a:xfrm>
                        <a:prstGeom prst="roundRect">
                          <a:avLst>
                            <a:gd name="adj" fmla="val 16667"/>
                          </a:avLst>
                        </a:prstGeom>
                        <a:solidFill>
                          <a:srgbClr val="FFFFFF"/>
                        </a:solidFill>
                        <a:ln w="9525">
                          <a:solidFill>
                            <a:srgbClr val="000000"/>
                          </a:solidFill>
                          <a:round/>
                          <a:headEnd/>
                          <a:tailEnd/>
                        </a:ln>
                      </wps:spPr>
                      <wps:txbx>
                        <w:txbxContent>
                          <w:p w14:paraId="0E60D7CD" w14:textId="77777777" w:rsidR="006A5267" w:rsidRDefault="006A5267" w:rsidP="008B4B2B">
                            <w:pPr>
                              <w:rPr>
                                <w:sz w:val="28"/>
                                <w:szCs w:val="28"/>
                              </w:rPr>
                            </w:pPr>
                          </w:p>
                          <w:p w14:paraId="34438AD9" w14:textId="77777777" w:rsidR="006A5267" w:rsidRDefault="006A5267" w:rsidP="008B4B2B">
                            <w:pPr>
                              <w:jc w:val="center"/>
                              <w:rPr>
                                <w:sz w:val="28"/>
                                <w:szCs w:val="28"/>
                              </w:rPr>
                            </w:pPr>
                            <w:r w:rsidRPr="00A573D4">
                              <w:rPr>
                                <w:rFonts w:hint="eastAsia"/>
                                <w:sz w:val="28"/>
                                <w:szCs w:val="28"/>
                              </w:rPr>
                              <w:t>市</w:t>
                            </w:r>
                            <w:r>
                              <w:rPr>
                                <w:rFonts w:hint="eastAsia"/>
                                <w:sz w:val="28"/>
                                <w:szCs w:val="28"/>
                              </w:rPr>
                              <w:t xml:space="preserve">　</w:t>
                            </w:r>
                            <w:r w:rsidRPr="00A573D4">
                              <w:rPr>
                                <w:rFonts w:hint="eastAsia"/>
                                <w:sz w:val="28"/>
                                <w:szCs w:val="28"/>
                              </w:rPr>
                              <w:t>町</w:t>
                            </w:r>
                            <w:r>
                              <w:rPr>
                                <w:rFonts w:hint="eastAsia"/>
                                <w:sz w:val="28"/>
                                <w:szCs w:val="28"/>
                              </w:rPr>
                              <w:t xml:space="preserve">　</w:t>
                            </w:r>
                            <w:r w:rsidRPr="00A573D4">
                              <w:rPr>
                                <w:rFonts w:hint="eastAsia"/>
                                <w:sz w:val="28"/>
                                <w:szCs w:val="28"/>
                              </w:rPr>
                              <w:t>村</w:t>
                            </w:r>
                          </w:p>
                          <w:p w14:paraId="1E32633A" w14:textId="77777777" w:rsidR="006A5267" w:rsidRPr="00771F7F" w:rsidRDefault="006A5267" w:rsidP="008B4B2B">
                            <w:pPr>
                              <w:jc w:val="center"/>
                              <w:rPr>
                                <w:sz w:val="24"/>
                              </w:rPr>
                            </w:pPr>
                            <w:r w:rsidRPr="00771F7F">
                              <w:rPr>
                                <w:rFonts w:hint="eastAsia"/>
                                <w:sz w:val="24"/>
                              </w:rPr>
                              <w:t>（土木事務所）</w:t>
                            </w:r>
                          </w:p>
                          <w:p w14:paraId="0E156AFC" w14:textId="77777777" w:rsidR="006A5267" w:rsidRDefault="006A5267" w:rsidP="008B4B2B">
                            <w:pPr>
                              <w:jc w:val="center"/>
                              <w:rPr>
                                <w:sz w:val="28"/>
                                <w:szCs w:val="28"/>
                              </w:rPr>
                            </w:pPr>
                            <w:r>
                              <w:rPr>
                                <w:rFonts w:hint="eastAsia"/>
                                <w:sz w:val="28"/>
                                <w:szCs w:val="28"/>
                              </w:rPr>
                              <w:t>◇情報収集</w:t>
                            </w:r>
                          </w:p>
                          <w:p w14:paraId="66B600E3" w14:textId="77777777" w:rsidR="006A5267" w:rsidRDefault="006A5267" w:rsidP="008B4B2B">
                            <w:pPr>
                              <w:jc w:val="center"/>
                              <w:rPr>
                                <w:sz w:val="28"/>
                                <w:szCs w:val="28"/>
                              </w:rPr>
                            </w:pPr>
                            <w:r>
                              <w:rPr>
                                <w:rFonts w:hint="eastAsia"/>
                                <w:sz w:val="28"/>
                                <w:szCs w:val="28"/>
                              </w:rPr>
                              <w:t>◇避難措置</w:t>
                            </w:r>
                          </w:p>
                          <w:p w14:paraId="6F4CFF45" w14:textId="77777777" w:rsidR="006A5267" w:rsidRDefault="006A5267" w:rsidP="008B4B2B">
                            <w:pPr>
                              <w:jc w:val="center"/>
                              <w:rPr>
                                <w:sz w:val="28"/>
                                <w:szCs w:val="28"/>
                              </w:rPr>
                            </w:pPr>
                            <w:r>
                              <w:rPr>
                                <w:rFonts w:hint="eastAsia"/>
                                <w:sz w:val="28"/>
                                <w:szCs w:val="28"/>
                              </w:rPr>
                              <w:t>◇応急対策</w:t>
                            </w:r>
                          </w:p>
                          <w:p w14:paraId="77E9EF1A" w14:textId="77777777" w:rsidR="006A5267" w:rsidRPr="00A573D4" w:rsidRDefault="006A5267" w:rsidP="008B4B2B">
                            <w:pPr>
                              <w:jc w:val="right"/>
                              <w:rPr>
                                <w:sz w:val="28"/>
                                <w:szCs w:val="28"/>
                              </w:rPr>
                            </w:pPr>
                            <w:r>
                              <w:rPr>
                                <w:rFonts w:hint="eastAsia"/>
                                <w:sz w:val="28"/>
                                <w:szCs w:val="28"/>
                              </w:rPr>
                              <w:t>等</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roundrect w14:anchorId="2C09CD8A" id="AutoShape 2350" o:spid="_x0000_s1356" style="position:absolute;left:0;text-align:left;margin-left:315pt;margin-top:0;width:108pt;height:333pt;z-index:2531686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">
                <v:textbox inset="5.85pt,.7pt,5.85pt,.7pt">
                  <w:txbxContent>
                    <w:p w14:paraId="0E60D7CD" w14:textId="77777777" w:rsidR="006A5267" w:rsidRDefault="006A5267" w:rsidP="008B4B2B">
                      <w:pPr>
                        <w:rPr>
                          <w:sz w:val="28"/>
                          <w:szCs w:val="28"/>
                        </w:rPr>
                      </w:pPr>
                    </w:p>
                    <w:p w14:paraId="34438AD9" w14:textId="77777777" w:rsidR="006A5267" w:rsidRDefault="006A5267" w:rsidP="008B4B2B">
                      <w:pPr>
                        <w:jc w:val="center"/>
                        <w:rPr>
                          <w:sz w:val="28"/>
                          <w:szCs w:val="28"/>
                        </w:rPr>
                      </w:pPr>
                      <w:r w:rsidRPr="00A573D4">
                        <w:rPr>
                          <w:rFonts w:hint="eastAsia"/>
                          <w:sz w:val="28"/>
                          <w:szCs w:val="28"/>
                        </w:rPr>
                        <w:t>市</w:t>
                      </w:r>
                      <w:r>
                        <w:rPr>
                          <w:rFonts w:hint="eastAsia"/>
                          <w:sz w:val="28"/>
                          <w:szCs w:val="28"/>
                        </w:rPr>
                        <w:t xml:space="preserve">　</w:t>
                      </w:r>
                      <w:r w:rsidRPr="00A573D4">
                        <w:rPr>
                          <w:rFonts w:hint="eastAsia"/>
                          <w:sz w:val="28"/>
                          <w:szCs w:val="28"/>
                        </w:rPr>
                        <w:t>町</w:t>
                      </w:r>
                      <w:r>
                        <w:rPr>
                          <w:rFonts w:hint="eastAsia"/>
                          <w:sz w:val="28"/>
                          <w:szCs w:val="28"/>
                        </w:rPr>
                        <w:t xml:space="preserve">　</w:t>
                      </w:r>
                      <w:r w:rsidRPr="00A573D4">
                        <w:rPr>
                          <w:rFonts w:hint="eastAsia"/>
                          <w:sz w:val="28"/>
                          <w:szCs w:val="28"/>
                        </w:rPr>
                        <w:t>村</w:t>
                      </w:r>
                    </w:p>
                    <w:p w14:paraId="1E32633A" w14:textId="77777777" w:rsidR="006A5267" w:rsidRPr="00771F7F" w:rsidRDefault="006A5267" w:rsidP="008B4B2B">
                      <w:pPr>
                        <w:jc w:val="center"/>
                        <w:rPr>
                          <w:sz w:val="24"/>
                        </w:rPr>
                      </w:pPr>
                      <w:r w:rsidRPr="00771F7F">
                        <w:rPr>
                          <w:rFonts w:hint="eastAsia"/>
                          <w:sz w:val="24"/>
                        </w:rPr>
                        <w:t>（土木事務所）</w:t>
                      </w:r>
                    </w:p>
                    <w:p w14:paraId="0E156AFC" w14:textId="77777777" w:rsidR="006A5267" w:rsidRDefault="006A5267" w:rsidP="008B4B2B">
                      <w:pPr>
                        <w:jc w:val="center"/>
                        <w:rPr>
                          <w:sz w:val="28"/>
                          <w:szCs w:val="28"/>
                        </w:rPr>
                      </w:pPr>
                      <w:r>
                        <w:rPr>
                          <w:rFonts w:hint="eastAsia"/>
                          <w:sz w:val="28"/>
                          <w:szCs w:val="28"/>
                        </w:rPr>
                        <w:t>◇情報収集</w:t>
                      </w:r>
                    </w:p>
                    <w:p w14:paraId="66B600E3" w14:textId="77777777" w:rsidR="006A5267" w:rsidRDefault="006A5267" w:rsidP="008B4B2B">
                      <w:pPr>
                        <w:jc w:val="center"/>
                        <w:rPr>
                          <w:sz w:val="28"/>
                          <w:szCs w:val="28"/>
                        </w:rPr>
                      </w:pPr>
                      <w:r>
                        <w:rPr>
                          <w:rFonts w:hint="eastAsia"/>
                          <w:sz w:val="28"/>
                          <w:szCs w:val="28"/>
                        </w:rPr>
                        <w:t>◇避難措置</w:t>
                      </w:r>
                    </w:p>
                    <w:p w14:paraId="6F4CFF45" w14:textId="77777777" w:rsidR="006A5267" w:rsidRDefault="006A5267" w:rsidP="008B4B2B">
                      <w:pPr>
                        <w:jc w:val="center"/>
                        <w:rPr>
                          <w:sz w:val="28"/>
                          <w:szCs w:val="28"/>
                        </w:rPr>
                      </w:pPr>
                      <w:r>
                        <w:rPr>
                          <w:rFonts w:hint="eastAsia"/>
                          <w:sz w:val="28"/>
                          <w:szCs w:val="28"/>
                        </w:rPr>
                        <w:t>◇応急対策</w:t>
                      </w:r>
                    </w:p>
                    <w:p w14:paraId="77E9EF1A" w14:textId="77777777" w:rsidR="006A5267" w:rsidRPr="00A573D4" w:rsidRDefault="006A5267" w:rsidP="008B4B2B">
                      <w:pPr>
                        <w:jc w:val="right"/>
                        <w:rPr>
                          <w:sz w:val="28"/>
                          <w:szCs w:val="28"/>
                        </w:rPr>
                      </w:pPr>
                      <w:r>
                        <w:rPr>
                          <w:rFonts w:hint="eastAsia"/>
                          <w:sz w:val="28"/>
                          <w:szCs w:val="28"/>
                        </w:rPr>
                        <w:t>等</w:t>
                      </w:r>
                    </w:p>
                  </w:txbxContent>
                </v:textbox>
              </v:roundrect>
            </w:pict>
          </mc:Fallback>
        </mc:AlternateContent>
      </w:r>
      <w:r w:rsidRPr="001D6D10">
        <w:rPr>
          <w:rFonts w:hint="eastAsia"/>
          <w:noProof/>
        </w:rPr>
        <mc:AlternateContent>
          <mc:Choice Requires="wps">
            <w:drawing>
              <wp:anchor distT="0" distB="0" distL="114300" distR="114300" simplePos="0" relativeHeight="253172736" behindDoc="0" locked="0" layoutInCell="1" allowOverlap="1" wp14:anchorId="3183D881" wp14:editId="4C8B6456">
                <wp:simplePos x="0" y="0"/>
                <wp:positionH relativeFrom="column">
                  <wp:posOffset>2924175</wp:posOffset>
                </wp:positionH>
                <wp:positionV relativeFrom="paragraph">
                  <wp:posOffset>3476625</wp:posOffset>
                </wp:positionV>
                <wp:extent cx="800100" cy="457200"/>
                <wp:effectExtent l="9525" t="19050" r="19050" b="19050"/>
                <wp:wrapNone/>
                <wp:docPr id="2762" name="AutoShape 236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800100" cy="457200"/>
                        </a:xfrm>
                        <a:prstGeom prst="stripedRightArrow">
                          <a:avLst>
                            <a:gd name="adj1" fmla="val 50000"/>
                            <a:gd name="adj2" fmla="val 43750"/>
                          </a:avLst>
                        </a:prstGeom>
                        <a:solidFill>
                          <a:srgbClr val="FFFF00"/>
                        </a:solidFill>
                        <a:ln w="9525">
                          <a:solidFill>
                            <a:srgbClr val="000000"/>
                          </a:solidFill>
                          <a:miter lim="800000"/>
                          <a:headEnd/>
                          <a:tailEnd/>
                        </a:ln>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shapetype w14:anchorId="2D20E0DA" id="_x0000_t93" coordsize="21600,21600" o:spt="93" adj="16200,5400" path="m@0,l@0@1,3375@1,3375@2@0@2@0,21600,21600,10800xem1350@1l1350@2,2700@2,2700@1xem0@1l0@2,675@2,675@1xe">
                <v:stroke joinstyle="miter"/>
                <v:formulas>
                  <v:f eqn="val #0"/>
                  <v:f eqn="val #1"/>
                  <v:f eqn="sum height 0 #1"/>
                  <v:f eqn="sum 10800 0 #1"/>
                  <v:f eqn="sum width 0 #0"/>
                  <v:f eqn="prod @4 @3 10800"/>
                  <v:f eqn="sum width 0 @5"/>
                </v:formulas>
                <v:path o:connecttype="custom" o:connectlocs="@0,0;0,10800;@0,21600;21600,10800" o:connectangles="270,180,90,0" textboxrect="3375,@1,@6,@2"/>
                <v:handles>
                  <v:h position="#0,#1" xrange="3375,21600" yrange="0,10800"/>
                </v:handles>
              </v:shapetype>
              <v:shape id="AutoShape 2362" o:spid="_x0000_s1026" type="#_x0000_t93" style="position:absolute;left:0;text-align:left;margin-left:230.25pt;margin-top:273.75pt;width:63pt;height:36pt;z-index:2531727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" fillcolor="yellow">
                <v:textbox inset="5.85pt,.7pt,5.85pt,.7pt"/>
              </v:shape>
            </w:pict>
          </mc:Fallback>
        </mc:AlternateContent>
      </w:r>
      <w:r w:rsidRPr="001D6D10">
        <w:rPr>
          <w:rFonts w:hint="eastAsia"/>
          <w:noProof/>
        </w:rPr>
        <mc:AlternateContent>
          <mc:Choice Requires="wps">
            <w:drawing>
              <wp:anchor distT="0" distB="0" distL="114300" distR="114300" simplePos="0" relativeHeight="253174784" behindDoc="0" locked="0" layoutInCell="1" allowOverlap="1" wp14:anchorId="19339563" wp14:editId="1A9514D5">
                <wp:simplePos x="0" y="0"/>
                <wp:positionH relativeFrom="column">
                  <wp:posOffset>3771900</wp:posOffset>
                </wp:positionH>
                <wp:positionV relativeFrom="paragraph">
                  <wp:posOffset>3200400</wp:posOffset>
                </wp:positionV>
                <wp:extent cx="1828800" cy="1028700"/>
                <wp:effectExtent l="66675" t="47625" r="66675" b="19050"/>
                <wp:wrapNone/>
                <wp:docPr id="2761" name="AutoShape 236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28800" cy="1028700"/>
                        </a:xfrm>
                        <a:prstGeom prst="flowChartDecision">
                          <a:avLst/>
                        </a:prstGeom>
                        <a:solidFill>
                          <a:srgbClr val="FFFFFF"/>
                        </a:solidFill>
                        <a:ln w="38100" cmpd="dbl">
                          <a:solidFill>
                            <a:srgbClr val="000000"/>
                          </a:solidFill>
                          <a:miter lim="800000"/>
                          <a:headEnd/>
                          <a:tailEnd/>
                        </a:ln>
                      </wps:spPr>
                      <wps:txbx>
                        <w:txbxContent>
                          <w:p w14:paraId="1DD41C29" w14:textId="77777777" w:rsidR="006A5267" w:rsidRDefault="006A5267" w:rsidP="008B4B2B">
                            <w:r>
                              <w:rPr>
                                <w:rFonts w:hint="eastAsia"/>
                              </w:rPr>
                              <w:t>状況に応じ</w:t>
                            </w:r>
                          </w:p>
                          <w:p w14:paraId="6D490C63" w14:textId="77777777" w:rsidR="006A5267" w:rsidRDefault="006A5267" w:rsidP="008B4B2B">
                            <w:r>
                              <w:rPr>
                                <w:rFonts w:hint="eastAsia"/>
                              </w:rPr>
                              <w:t>救援部隊派遣等</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shapetype w14:anchorId="19339563" id="_x0000_t110" coordsize="21600,21600" o:spt="110" path="m10800,l,10800,10800,21600,21600,10800xe">
                <v:stroke joinstyle="miter"/>
                <v:path gradientshapeok="t" o:connecttype="rect" textboxrect="5400,5400,16200,16200"/>
              </v:shapetype>
              <v:shape id="AutoShape 2363" o:spid="_x0000_s1357" type="#_x0000_t110" style="position:absolute;left:0;text-align:left;margin-left:297pt;margin-top:252pt;width:2in;height:81pt;z-index:2531747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" strokeweight="3pt">
                <v:stroke linestyle="thinThin"/>
                <v:textbox inset="5.85pt,.7pt,5.85pt,.7pt">
                  <w:txbxContent>
                    <w:p w14:paraId="1DD41C29" w14:textId="77777777" w:rsidR="006A5267" w:rsidRDefault="006A5267" w:rsidP="008B4B2B">
                      <w:r>
                        <w:rPr>
                          <w:rFonts w:hint="eastAsia"/>
                        </w:rPr>
                        <w:t>状況に応じ</w:t>
                      </w:r>
                    </w:p>
                    <w:p w14:paraId="6D490C63" w14:textId="77777777" w:rsidR="006A5267" w:rsidRDefault="006A5267" w:rsidP="008B4B2B">
                      <w:r>
                        <w:rPr>
                          <w:rFonts w:hint="eastAsia"/>
                        </w:rPr>
                        <w:t>救援部隊派遣等</w:t>
                      </w:r>
                    </w:p>
                  </w:txbxContent>
                </v:textbox>
              </v:shape>
            </w:pict>
          </mc:Fallback>
        </mc:AlternateContent>
      </w:r>
      <w:r w:rsidRPr="001D6D10">
        <w:rPr>
          <w:rFonts w:hint="eastAsia"/>
          <w:noProof/>
        </w:rPr>
        <mc:AlternateContent>
          <mc:Choice Requires="wps">
            <w:drawing>
              <wp:anchor distT="0" distB="0" distL="114300" distR="114300" simplePos="0" relativeHeight="253158400" behindDoc="0" locked="0" layoutInCell="1" allowOverlap="1" wp14:anchorId="16E980B6" wp14:editId="644CDDD5">
                <wp:simplePos x="0" y="0"/>
                <wp:positionH relativeFrom="column">
                  <wp:posOffset>3248025</wp:posOffset>
                </wp:positionH>
                <wp:positionV relativeFrom="paragraph">
                  <wp:posOffset>3019425</wp:posOffset>
                </wp:positionV>
                <wp:extent cx="571500" cy="342900"/>
                <wp:effectExtent l="19050" t="28575" r="19050" b="28575"/>
                <wp:wrapNone/>
                <wp:docPr id="2759" name="AutoShape 236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71500" cy="342900"/>
                        </a:xfrm>
                        <a:prstGeom prst="leftRightArrow">
                          <a:avLst>
                            <a:gd name="adj1" fmla="val 50000"/>
                            <a:gd name="adj2" fmla="val 33333"/>
                          </a:avLst>
                        </a:prstGeom>
                        <a:solidFill>
                          <a:srgbClr val="FFFFFF"/>
                        </a:solidFill>
                        <a:ln w="9525">
                          <a:solidFill>
                            <a:srgbClr val="000000"/>
                          </a:solidFill>
                          <a:miter lim="800000"/>
                          <a:headEnd/>
                          <a:tailEnd/>
                        </a:ln>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shape w14:anchorId="6351F981" id="AutoShape 2361" o:spid="_x0000_s1026" type="#_x0000_t69" style="position:absolute;left:0;text-align:left;margin-left:255.75pt;margin-top:237.75pt;width:45pt;height:27pt;z-index:2531584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">
                <v:textbox inset="5.85pt,.7pt,5.85pt,.7pt"/>
              </v:shape>
            </w:pict>
          </mc:Fallback>
        </mc:AlternateContent>
      </w:r>
      <w:r w:rsidRPr="001D6D10">
        <w:rPr>
          <w:rFonts w:hint="eastAsia"/>
          <w:noProof/>
        </w:rPr>
        <mc:AlternateContent>
          <mc:Choice Requires="wps">
            <w:drawing>
              <wp:anchor distT="0" distB="0" distL="114300" distR="114300" simplePos="0" relativeHeight="253170688" behindDoc="0" locked="0" layoutInCell="1" allowOverlap="1" wp14:anchorId="4CB31D01" wp14:editId="73E725E4">
                <wp:simplePos x="0" y="0"/>
                <wp:positionH relativeFrom="column">
                  <wp:posOffset>2857500</wp:posOffset>
                </wp:positionH>
                <wp:positionV relativeFrom="paragraph">
                  <wp:posOffset>2695575</wp:posOffset>
                </wp:positionV>
                <wp:extent cx="434340" cy="457200"/>
                <wp:effectExtent l="0" t="0" r="41910" b="9525"/>
                <wp:wrapNone/>
                <wp:docPr id="2758" name="AutoShape 236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1423575">
                          <a:off x="0" y="0"/>
                          <a:ext cx="434340" cy="457200"/>
                        </a:xfrm>
                        <a:prstGeom prst="leftArrow">
                          <a:avLst>
                            <a:gd name="adj1" fmla="val 45759"/>
                            <a:gd name="adj2" fmla="val 41440"/>
                          </a:avLst>
                        </a:prstGeom>
                        <a:solidFill>
                          <a:srgbClr val="CCFFFF"/>
                        </a:solidFill>
                        <a:ln w="9525">
                          <a:solidFill>
                            <a:srgbClr val="000000"/>
                          </a:solidFill>
                          <a:miter lim="800000"/>
                          <a:headEnd/>
                          <a:tailEnd/>
                        </a:ln>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shape w14:anchorId="7C3E3724" id="AutoShape 2367" o:spid="_x0000_s1026" type="#_x0000_t66" style="position:absolute;left:0;text-align:left;margin-left:225pt;margin-top:212.25pt;width:34.2pt;height:36pt;rotation:-1554924fd;z-index:2531706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" adj="8951,5858" fillcolor="#cff">
                <v:textbox inset="5.85pt,.7pt,5.85pt,.7pt"/>
              </v:shape>
            </w:pict>
          </mc:Fallback>
        </mc:AlternateContent>
      </w:r>
      <w:r w:rsidRPr="001D6D10">
        <w:rPr>
          <w:rFonts w:hint="eastAsia"/>
          <w:noProof/>
        </w:rPr>
        <mc:AlternateContent>
          <mc:Choice Requires="wps">
            <w:drawing>
              <wp:anchor distT="0" distB="0" distL="114300" distR="114300" simplePos="0" relativeHeight="253215744" behindDoc="0" locked="0" layoutInCell="1" allowOverlap="1" wp14:anchorId="770BC836" wp14:editId="05A5A327">
                <wp:simplePos x="0" y="0"/>
                <wp:positionH relativeFrom="column">
                  <wp:posOffset>3392170</wp:posOffset>
                </wp:positionH>
                <wp:positionV relativeFrom="paragraph">
                  <wp:posOffset>3888740</wp:posOffset>
                </wp:positionV>
                <wp:extent cx="457200" cy="1344295"/>
                <wp:effectExtent l="220345" t="0" r="217805" b="0"/>
                <wp:wrapNone/>
                <wp:docPr id="2757" name="AutoShape 237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2411941">
                          <a:off x="0" y="0"/>
                          <a:ext cx="457200" cy="1344295"/>
                        </a:xfrm>
                        <a:prstGeom prst="upDownArrow">
                          <a:avLst>
                            <a:gd name="adj1" fmla="val 39944"/>
                            <a:gd name="adj2" fmla="val 64019"/>
                          </a:avLst>
                        </a:prstGeom>
                        <a:solidFill>
                          <a:srgbClr val="FFFFFF"/>
                        </a:solidFill>
                        <a:ln w="9525">
                          <a:solidFill>
                            <a:srgbClr val="000000"/>
                          </a:solidFill>
                          <a:miter lim="800000"/>
                          <a:headEnd/>
                          <a:tailEnd/>
                        </a:ln>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shape w14:anchorId="26DCEBEA" id="AutoShape 2376" o:spid="_x0000_s1026" type="#_x0000_t70" style="position:absolute;left:0;text-align:left;margin-left:267.1pt;margin-top:306.2pt;width:36pt;height:105.85pt;rotation:-2634483fd;z-index:253215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" adj="6486,4703">
                <v:textbox inset="5.85pt,.7pt,5.85pt,.7pt"/>
              </v:shape>
            </w:pict>
          </mc:Fallback>
        </mc:AlternateContent>
      </w:r>
      <w:r w:rsidRPr="001D6D10">
        <w:rPr>
          <w:rFonts w:hint="eastAsia"/>
          <w:noProof/>
        </w:rPr>
        <mc:AlternateContent>
          <mc:Choice Requires="wps">
            <w:drawing>
              <wp:anchor distT="0" distB="0" distL="114300" distR="114300" simplePos="0" relativeHeight="253175808" behindDoc="0" locked="0" layoutInCell="1" allowOverlap="1" wp14:anchorId="75C5F16E" wp14:editId="3E70C471">
                <wp:simplePos x="0" y="0"/>
                <wp:positionH relativeFrom="column">
                  <wp:posOffset>304800</wp:posOffset>
                </wp:positionH>
                <wp:positionV relativeFrom="paragraph">
                  <wp:posOffset>3686175</wp:posOffset>
                </wp:positionV>
                <wp:extent cx="457200" cy="457200"/>
                <wp:effectExtent l="28575" t="9525" r="28575" b="19050"/>
                <wp:wrapNone/>
                <wp:docPr id="2754" name="AutoShape 237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57200" cy="457200"/>
                        </a:xfrm>
                        <a:prstGeom prst="downArrow">
                          <a:avLst>
                            <a:gd name="adj1" fmla="val 50000"/>
                            <a:gd name="adj2" fmla="val 25000"/>
                          </a:avLst>
                        </a:prstGeom>
                        <a:solidFill>
                          <a:srgbClr val="FFFFFF"/>
                        </a:solidFill>
                        <a:ln w="9525">
                          <a:solidFill>
                            <a:srgbClr val="000000"/>
                          </a:solidFill>
                          <a:miter lim="800000"/>
                          <a:headEnd/>
                          <a:tailEnd/>
                        </a:ln>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shape w14:anchorId="14879A87" id="AutoShape 2371" o:spid="_x0000_s1026" type="#_x0000_t67" style="position:absolute;left:0;text-align:left;margin-left:24pt;margin-top:290.25pt;width:36pt;height:36pt;z-index:2531758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">
                <v:textbox inset="5.85pt,.7pt,5.85pt,.7pt"/>
              </v:shape>
            </w:pict>
          </mc:Fallback>
        </mc:AlternateContent>
      </w:r>
      <w:r w:rsidRPr="001D6D10">
        <w:rPr>
          <w:rFonts w:hint="eastAsia"/>
          <w:noProof/>
        </w:rPr>
        <mc:AlternateContent>
          <mc:Choice Requires="wps">
            <w:drawing>
              <wp:anchor distT="0" distB="0" distL="114300" distR="114300" simplePos="0" relativeHeight="253132800" behindDoc="0" locked="0" layoutInCell="1" allowOverlap="1" wp14:anchorId="3E82CDB3" wp14:editId="072D0283">
                <wp:simplePos x="0" y="0"/>
                <wp:positionH relativeFrom="column">
                  <wp:posOffset>990600</wp:posOffset>
                </wp:positionH>
                <wp:positionV relativeFrom="paragraph">
                  <wp:posOffset>3200400</wp:posOffset>
                </wp:positionV>
                <wp:extent cx="571500" cy="457200"/>
                <wp:effectExtent l="19050" t="19050" r="9525" b="19050"/>
                <wp:wrapNone/>
                <wp:docPr id="2753" name="AutoShape 235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71500" cy="457200"/>
                        </a:xfrm>
                        <a:prstGeom prst="leftArrow">
                          <a:avLst>
                            <a:gd name="adj1" fmla="val 50000"/>
                            <a:gd name="adj2" fmla="val 52083"/>
                          </a:avLst>
                        </a:prstGeom>
                        <a:solidFill>
                          <a:srgbClr val="CCFFFF"/>
                        </a:solidFill>
                        <a:ln w="9525">
                          <a:solidFill>
                            <a:srgbClr val="000000"/>
                          </a:solidFill>
                          <a:miter lim="800000"/>
                          <a:headEnd/>
                          <a:tailEnd/>
                        </a:ln>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shape w14:anchorId="78A384D2" id="AutoShape 2357" o:spid="_x0000_s1026" type="#_x0000_t66" style="position:absolute;left:0;text-align:left;margin-left:78pt;margin-top:252pt;width:45pt;height:36pt;z-index:2531328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" adj="9000" fillcolor="#cff">
                <v:textbox inset="5.85pt,.7pt,5.85pt,.7pt"/>
              </v:shape>
            </w:pict>
          </mc:Fallback>
        </mc:AlternateContent>
      </w:r>
      <w:r w:rsidRPr="001D6D10">
        <w:rPr>
          <w:rFonts w:hint="eastAsia"/>
          <w:noProof/>
        </w:rPr>
        <mc:AlternateContent>
          <mc:Choice Requires="wps">
            <w:drawing>
              <wp:anchor distT="0" distB="0" distL="114300" distR="114300" simplePos="0" relativeHeight="253213696" behindDoc="0" locked="0" layoutInCell="1" allowOverlap="1" wp14:anchorId="73CFB6F7" wp14:editId="64C61ECC">
                <wp:simplePos x="0" y="0"/>
                <wp:positionH relativeFrom="column">
                  <wp:posOffset>1057275</wp:posOffset>
                </wp:positionH>
                <wp:positionV relativeFrom="paragraph">
                  <wp:posOffset>3314700</wp:posOffset>
                </wp:positionV>
                <wp:extent cx="571500" cy="228600"/>
                <wp:effectExtent l="0" t="0" r="0" b="0"/>
                <wp:wrapNone/>
                <wp:docPr id="2752" name="Rectangle 237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71500" cy="228600"/>
                        </a:xfrm>
                        <a:prstGeom prst="rect">
                          <a:avLst/>
                        </a:prstGeom>
                        <a:solidFill>
                          <a:srgbClr val="C0C0C0">
                            <a:alpha val="0"/>
                          </a:srgbClr>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41B260D7" w14:textId="77777777" w:rsidR="006A5267" w:rsidRDefault="006A5267" w:rsidP="008B4B2B">
                            <w:r>
                              <w:rPr>
                                <w:rFonts w:hint="eastAsia"/>
                              </w:rPr>
                              <w:t>手入力</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rect w14:anchorId="73CFB6F7" id="Rectangle 2375" o:spid="_x0000_s1358" style="position:absolute;left:0;text-align:left;margin-left:83.25pt;margin-top:261pt;width:45pt;height:18pt;z-index:253213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" fillcolor="silver" stroked="f">
                <v:fill opacity="0"/>
                <v:textbox inset="5.85pt,.7pt,5.85pt,.7pt">
                  <w:txbxContent>
                    <w:p w14:paraId="41B260D7" w14:textId="77777777" w:rsidR="006A5267" w:rsidRDefault="006A5267" w:rsidP="008B4B2B">
                      <w:r>
                        <w:rPr>
                          <w:rFonts w:hint="eastAsia"/>
                        </w:rPr>
                        <w:t>手入力</w:t>
                      </w:r>
                    </w:p>
                  </w:txbxContent>
                </v:textbox>
              </v:rect>
            </w:pict>
          </mc:Fallback>
        </mc:AlternateContent>
      </w:r>
      <w:r w:rsidRPr="001D6D10">
        <w:rPr>
          <w:rFonts w:hint="eastAsia"/>
          <w:noProof/>
        </w:rPr>
        <mc:AlternateContent>
          <mc:Choice Requires="wps">
            <w:drawing>
              <wp:anchor distT="0" distB="0" distL="114300" distR="114300" simplePos="0" relativeHeight="253110272" behindDoc="0" locked="0" layoutInCell="1" allowOverlap="1" wp14:anchorId="7A2D8066" wp14:editId="1F9875B1">
                <wp:simplePos x="0" y="0"/>
                <wp:positionH relativeFrom="column">
                  <wp:posOffset>-228600</wp:posOffset>
                </wp:positionH>
                <wp:positionV relativeFrom="paragraph">
                  <wp:posOffset>2857500</wp:posOffset>
                </wp:positionV>
                <wp:extent cx="1371600" cy="342900"/>
                <wp:effectExtent l="9525" t="9525" r="9525" b="9525"/>
                <wp:wrapNone/>
                <wp:docPr id="4127" name="Rectangle 235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371600" cy="342900"/>
                        </a:xfrm>
                        <a:prstGeom prst="rect">
                          <a:avLst/>
                        </a:prstGeom>
                        <a:solidFill>
                          <a:srgbClr val="FFFFFF"/>
                        </a:solidFill>
                        <a:ln w="9525">
                          <a:solidFill>
                            <a:srgbClr val="000000"/>
                          </a:solidFill>
                          <a:miter lim="800000"/>
                          <a:headEnd/>
                          <a:tailEnd/>
                        </a:ln>
                      </wps:spPr>
                      <wps:txbx>
                        <w:txbxContent>
                          <w:p w14:paraId="109387A2" w14:textId="77777777" w:rsidR="006A5267" w:rsidRDefault="006A5267" w:rsidP="008B4B2B">
                            <w:r>
                              <w:rPr>
                                <w:rFonts w:hint="eastAsia"/>
                              </w:rPr>
                              <w:t>おおさか防災ネット</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rect w14:anchorId="7A2D8066" id="Rectangle 2354" o:spid="_x0000_s1359" style="position:absolute;left:0;text-align:left;margin-left:-18pt;margin-top:225pt;width:108pt;height:27pt;z-index:2531102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">
                <v:textbox inset="5.85pt,.7pt,5.85pt,.7pt">
                  <w:txbxContent>
                    <w:p w14:paraId="109387A2" w14:textId="77777777" w:rsidR="006A5267" w:rsidRDefault="006A5267" w:rsidP="008B4B2B">
                      <w:r>
                        <w:rPr>
                          <w:rFonts w:hint="eastAsia"/>
                        </w:rPr>
                        <w:t>おおさか防災ネット</w:t>
                      </w:r>
                    </w:p>
                  </w:txbxContent>
                </v:textbox>
              </v:rect>
            </w:pict>
          </mc:Fallback>
        </mc:AlternateContent>
      </w:r>
      <w:r w:rsidRPr="001D6D10">
        <w:rPr>
          <w:rFonts w:hint="eastAsia"/>
          <w:noProof/>
        </w:rPr>
        <mc:AlternateContent>
          <mc:Choice Requires="wps">
            <w:drawing>
              <wp:anchor distT="0" distB="0" distL="114300" distR="114300" simplePos="0" relativeHeight="253106176" behindDoc="0" locked="0" layoutInCell="1" allowOverlap="1" wp14:anchorId="2AEE82EE" wp14:editId="36E7CB43">
                <wp:simplePos x="0" y="0"/>
                <wp:positionH relativeFrom="column">
                  <wp:posOffset>0</wp:posOffset>
                </wp:positionH>
                <wp:positionV relativeFrom="paragraph">
                  <wp:posOffset>1485900</wp:posOffset>
                </wp:positionV>
                <wp:extent cx="914400" cy="2057400"/>
                <wp:effectExtent l="9525" t="0" r="85725" b="85725"/>
                <wp:wrapNone/>
                <wp:docPr id="4126" name="Infopage"/>
                <wp:cNvGraphicFramePr>
                  <a:graphicFrameLocks xmlns:a="http://schemas.openxmlformats.org/drawingml/2006/main"/>
                </wp:cNvGraphicFramePr>
                <a:graphic xmlns:a="http://schemas.openxmlformats.org/drawingml/2006/main">
                  <a:graphicData uri="http://schemas.microsoft.com/office/word/2010/wordprocessingShape">
                    <wps:wsp>
                      <wps:cNvSpPr>
                        <a:spLocks noEditPoints="1" noChangeArrowheads="1"/>
                      </wps:cNvSpPr>
                      <wps:spPr bwMode="auto">
                        <a:xfrm>
                          <a:off x="0" y="0"/>
                          <a:ext cx="914400" cy="2057400"/>
                        </a:xfrm>
                        <a:custGeom>
                          <a:avLst/>
                          <a:gdLst>
                            <a:gd name="T0" fmla="*/ 10757 w 21600"/>
                            <a:gd name="T1" fmla="*/ 21632 h 21600"/>
                            <a:gd name="T2" fmla="*/ 85 w 21600"/>
                            <a:gd name="T3" fmla="*/ 10849 h 21600"/>
                            <a:gd name="T4" fmla="*/ 10757 w 21600"/>
                            <a:gd name="T5" fmla="*/ 81 h 21600"/>
                            <a:gd name="T6" fmla="*/ 21706 w 21600"/>
                            <a:gd name="T7" fmla="*/ 10652 h 21600"/>
                            <a:gd name="T8" fmla="*/ 10757 w 21600"/>
                            <a:gd name="T9" fmla="*/ 21632 h 21600"/>
                            <a:gd name="T10" fmla="*/ 0 w 21600"/>
                            <a:gd name="T11" fmla="*/ 0 h 21600"/>
                            <a:gd name="T12" fmla="*/ 21600 w 21600"/>
                            <a:gd name="T13" fmla="*/ 0 h 21600"/>
                            <a:gd name="T14" fmla="*/ 21600 w 21600"/>
                            <a:gd name="T15" fmla="*/ 21600 h 21600"/>
                            <a:gd name="T16" fmla="*/ 999 w 21600"/>
                            <a:gd name="T17" fmla="*/ 12174 h 21600"/>
                            <a:gd name="T18" fmla="*/ 20813 w 21600"/>
                            <a:gd name="T19" fmla="*/ 17149 h 21600"/>
                          </a:gdLst>
                          <a:ahLst/>
                          <a:cxnLst>
                            <a:cxn ang="0">
                              <a:pos x="T0" y="T1"/>
                            </a:cxn>
                            <a:cxn ang="0">
                              <a:pos x="T2" y="T3"/>
                            </a:cxn>
                            <a:cxn ang="0">
                              <a:pos x="T4" y="T5"/>
                            </a:cxn>
                            <a:cxn ang="0">
                              <a:pos x="T6" y="T7"/>
                            </a:cxn>
                            <a:cxn ang="0">
                              <a:pos x="T8" y="T9"/>
                            </a:cxn>
                            <a:cxn ang="0">
                              <a:pos x="T10" y="T11"/>
                            </a:cxn>
                            <a:cxn ang="0">
                              <a:pos x="T12" y="T13"/>
                            </a:cxn>
                            <a:cxn ang="0">
                              <a:pos x="T14" y="T15"/>
                            </a:cxn>
                          </a:cxnLst>
                          <a:rect l="T16" t="T17" r="T18" b="T19"/>
                          <a:pathLst>
                            <a:path w="21600" h="21600" extrusionOk="0">
                              <a:moveTo>
                                <a:pt x="10757" y="21632"/>
                              </a:moveTo>
                              <a:lnTo>
                                <a:pt x="5187" y="21632"/>
                              </a:lnTo>
                              <a:lnTo>
                                <a:pt x="85" y="17509"/>
                              </a:lnTo>
                              <a:lnTo>
                                <a:pt x="85" y="10849"/>
                              </a:lnTo>
                              <a:lnTo>
                                <a:pt x="85" y="81"/>
                              </a:lnTo>
                              <a:lnTo>
                                <a:pt x="10757" y="81"/>
                              </a:lnTo>
                              <a:lnTo>
                                <a:pt x="21706" y="81"/>
                              </a:lnTo>
                              <a:lnTo>
                                <a:pt x="21706" y="10652"/>
                              </a:lnTo>
                              <a:lnTo>
                                <a:pt x="21706" y="21632"/>
                              </a:lnTo>
                              <a:lnTo>
                                <a:pt x="10757" y="21632"/>
                              </a:lnTo>
                              <a:close/>
                            </a:path>
                            <a:path w="21600" h="21600" extrusionOk="0">
                              <a:moveTo>
                                <a:pt x="85" y="17509"/>
                              </a:moveTo>
                              <a:lnTo>
                                <a:pt x="5187" y="17509"/>
                              </a:lnTo>
                              <a:lnTo>
                                <a:pt x="5187" y="21632"/>
                              </a:lnTo>
                              <a:lnTo>
                                <a:pt x="85" y="17509"/>
                              </a:lnTo>
                              <a:close/>
                            </a:path>
                            <a:path w="21600" h="21600" extrusionOk="0">
                              <a:moveTo>
                                <a:pt x="8333" y="4025"/>
                              </a:moveTo>
                              <a:lnTo>
                                <a:pt x="12500" y="4025"/>
                              </a:lnTo>
                              <a:lnTo>
                                <a:pt x="12500" y="11094"/>
                              </a:lnTo>
                              <a:lnTo>
                                <a:pt x="13903" y="11094"/>
                              </a:lnTo>
                              <a:lnTo>
                                <a:pt x="13903" y="11618"/>
                              </a:lnTo>
                              <a:lnTo>
                                <a:pt x="7908" y="11618"/>
                              </a:lnTo>
                              <a:lnTo>
                                <a:pt x="7908" y="11078"/>
                              </a:lnTo>
                              <a:lnTo>
                                <a:pt x="9418" y="11078"/>
                              </a:lnTo>
                              <a:lnTo>
                                <a:pt x="9418" y="4549"/>
                              </a:lnTo>
                              <a:lnTo>
                                <a:pt x="8333" y="4549"/>
                              </a:lnTo>
                              <a:lnTo>
                                <a:pt x="8333" y="4025"/>
                              </a:lnTo>
                              <a:close/>
                            </a:path>
                            <a:path w="21600" h="21600" extrusionOk="0">
                              <a:moveTo>
                                <a:pt x="9120" y="2127"/>
                              </a:moveTo>
                              <a:lnTo>
                                <a:pt x="9120" y="1783"/>
                              </a:lnTo>
                              <a:lnTo>
                                <a:pt x="9269" y="1538"/>
                              </a:lnTo>
                              <a:lnTo>
                                <a:pt x="9588" y="1194"/>
                              </a:lnTo>
                              <a:lnTo>
                                <a:pt x="10013" y="998"/>
                              </a:lnTo>
                              <a:lnTo>
                                <a:pt x="10396" y="850"/>
                              </a:lnTo>
                              <a:lnTo>
                                <a:pt x="10906" y="801"/>
                              </a:lnTo>
                              <a:lnTo>
                                <a:pt x="11480" y="900"/>
                              </a:lnTo>
                              <a:lnTo>
                                <a:pt x="11926" y="1047"/>
                              </a:lnTo>
                              <a:lnTo>
                                <a:pt x="12266" y="1292"/>
                              </a:lnTo>
                              <a:lnTo>
                                <a:pt x="12500" y="1587"/>
                              </a:lnTo>
                              <a:lnTo>
                                <a:pt x="12649" y="1832"/>
                              </a:lnTo>
                              <a:lnTo>
                                <a:pt x="12692" y="2143"/>
                              </a:lnTo>
                              <a:lnTo>
                                <a:pt x="12649" y="2421"/>
                              </a:lnTo>
                              <a:lnTo>
                                <a:pt x="12500" y="2781"/>
                              </a:lnTo>
                              <a:lnTo>
                                <a:pt x="12330" y="3060"/>
                              </a:lnTo>
                              <a:lnTo>
                                <a:pt x="11884" y="3305"/>
                              </a:lnTo>
                              <a:lnTo>
                                <a:pt x="11501" y="3452"/>
                              </a:lnTo>
                              <a:lnTo>
                                <a:pt x="10863" y="3550"/>
                              </a:lnTo>
                              <a:lnTo>
                                <a:pt x="10396" y="3518"/>
                              </a:lnTo>
                              <a:lnTo>
                                <a:pt x="9949" y="3321"/>
                              </a:lnTo>
                              <a:lnTo>
                                <a:pt x="9524" y="3125"/>
                              </a:lnTo>
                              <a:lnTo>
                                <a:pt x="9311" y="2765"/>
                              </a:lnTo>
                              <a:lnTo>
                                <a:pt x="9184" y="2438"/>
                              </a:lnTo>
                              <a:lnTo>
                                <a:pt x="9120" y="2127"/>
                              </a:lnTo>
                              <a:close/>
                            </a:path>
                          </a:pathLst>
                        </a:custGeom>
                        <a:solidFill>
                          <a:srgbClr val="D8EBB3"/>
                        </a:solidFill>
                        <a:ln w="9525">
                          <a:solidFill>
                            <a:srgbClr val="000000"/>
                          </a:solidFill>
                          <a:miter lim="800000"/>
                          <a:headEnd/>
                          <a:tailEnd/>
                        </a:ln>
                        <a:effectLst>
                          <a:outerShdw dist="107763" dir="2700000" algn="ctr" rotWithShape="0">
                            <a:srgbClr val="808080"/>
                          </a:outerShdw>
                        </a:effectLst>
                      </wps:spPr>
                      <wps:txbx>
                        <w:txbxContent>
                          <w:p w14:paraId="1D2CAD4B" w14:textId="77777777" w:rsidR="006A5267" w:rsidRDefault="006A5267" w:rsidP="008B4B2B"/>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shape w14:anchorId="2AEE82EE" id="Infopage" o:spid="_x0000_s1360" style="position:absolute;left:0;text-align:left;margin-left:0;margin-top:117pt;width:1in;height:162pt;z-index:2531061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21600,2160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" adj="-11796480,,5400" path="m10757,21632r-5570,l85,17509r,-6660l85,81r10672,l21706,81r,10571l21706,21632r-10949,xem85,17509r5102,l5187,21632,85,17509xem8333,4025r4167,l12500,11094r1403,l13903,11618r-5995,l7908,11078r1510,l9418,4549r-1085,l8333,4025xem9120,2127r,-344l9269,1538r319,-344l10013,998r383,-148l10906,801r574,99l11926,1047r340,245l12500,1587r149,245l12692,2143r-43,278l12500,2781r-170,279l11884,3305r-383,147l10863,3550r-467,-32l9949,3321,9524,3125,9311,2765,9184,2438r-64,-311xe" fillcolor="#d8ebb3">
                <v:stroke joinstyle="miter"/>
                <v:shadow on="t" offset="6pt,6pt"/>
                <v:formulas/>
                <v:path o:extrusionok="f" o:connecttype="custom" o:connectlocs="455380,2060448;3598,1033367;455380,7715;918887,1014603;455380,2060448;0,0;914400,0;914400,2057400" o:connectangles="0,0,0,0,0,0,0,0" textboxrect="999,12174,20813,17149"/>
                <o:lock v:ext="edit" verticies="t"/>
                <v:textbox>
                  <w:txbxContent>
                    <w:p w14:paraId="1D2CAD4B" w14:textId="77777777" w:rsidR="006A5267" w:rsidRDefault="006A5267" w:rsidP="008B4B2B"/>
                  </w:txbxContent>
                </v:textbox>
              </v:shape>
            </w:pict>
          </mc:Fallback>
        </mc:AlternateContent>
      </w:r>
      <w:r w:rsidRPr="001D6D10">
        <w:rPr>
          <w:rFonts w:hint="eastAsia"/>
          <w:noProof/>
        </w:rPr>
        <mc:AlternateContent>
          <mc:Choice Requires="wps">
            <w:drawing>
              <wp:anchor distT="0" distB="0" distL="114300" distR="114300" simplePos="0" relativeHeight="253209600" behindDoc="0" locked="0" layoutInCell="1" allowOverlap="1" wp14:anchorId="7413753E" wp14:editId="756D9983">
                <wp:simplePos x="0" y="0"/>
                <wp:positionH relativeFrom="column">
                  <wp:posOffset>3086100</wp:posOffset>
                </wp:positionH>
                <wp:positionV relativeFrom="paragraph">
                  <wp:posOffset>781050</wp:posOffset>
                </wp:positionV>
                <wp:extent cx="571500" cy="342900"/>
                <wp:effectExtent l="19050" t="28575" r="19050" b="28575"/>
                <wp:wrapNone/>
                <wp:docPr id="4125" name="AutoShape 237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71500" cy="342900"/>
                        </a:xfrm>
                        <a:prstGeom prst="leftRightArrow">
                          <a:avLst>
                            <a:gd name="adj1" fmla="val 50000"/>
                            <a:gd name="adj2" fmla="val 33333"/>
                          </a:avLst>
                        </a:prstGeom>
                        <a:solidFill>
                          <a:srgbClr val="FFFFFF"/>
                        </a:solidFill>
                        <a:ln w="9525">
                          <a:solidFill>
                            <a:srgbClr val="000000"/>
                          </a:solidFill>
                          <a:miter lim="800000"/>
                          <a:headEnd/>
                          <a:tailEnd/>
                        </a:ln>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shape w14:anchorId="668371BF" id="AutoShape 2373" o:spid="_x0000_s1026" type="#_x0000_t69" style="position:absolute;left:0;text-align:left;margin-left:243pt;margin-top:61.5pt;width:45pt;height:27pt;z-index:253209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">
                <v:textbox inset="5.85pt,.7pt,5.85pt,.7pt"/>
              </v:shape>
            </w:pict>
          </mc:Fallback>
        </mc:AlternateContent>
      </w:r>
      <w:r w:rsidRPr="001D6D10">
        <w:rPr>
          <w:rFonts w:hint="eastAsia"/>
          <w:noProof/>
        </w:rPr>
        <mc:AlternateContent>
          <mc:Choice Requires="wps">
            <w:drawing>
              <wp:anchor distT="0" distB="0" distL="114300" distR="114300" simplePos="0" relativeHeight="253177856" behindDoc="0" locked="0" layoutInCell="1" allowOverlap="1" wp14:anchorId="0C081A5B" wp14:editId="08A71E12">
                <wp:simplePos x="0" y="0"/>
                <wp:positionH relativeFrom="column">
                  <wp:posOffset>2905125</wp:posOffset>
                </wp:positionH>
                <wp:positionV relativeFrom="paragraph">
                  <wp:posOffset>266700</wp:posOffset>
                </wp:positionV>
                <wp:extent cx="1028700" cy="571500"/>
                <wp:effectExtent l="0" t="0" r="0" b="0"/>
                <wp:wrapNone/>
                <wp:docPr id="4124" name="Rectangle 237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28700" cy="5715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77E2C8E4" w14:textId="77777777" w:rsidR="006A5267" w:rsidRDefault="006A5267" w:rsidP="008B4B2B">
                            <w:pPr>
                              <w:spacing w:line="260" w:lineRule="exact"/>
                            </w:pPr>
                            <w:r>
                              <w:rPr>
                                <w:rFonts w:hint="eastAsia"/>
                              </w:rPr>
                              <w:t>必要に応じて詳細な情報を収集</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rect w14:anchorId="0C081A5B" id="Rectangle 2372" o:spid="_x0000_s1361" style="position:absolute;left:0;text-align:left;margin-left:228.75pt;margin-top:21pt;width:81pt;height:45pt;z-index:2531778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" stroked="f">
                <v:textbox inset="5.85pt,.7pt,5.85pt,.7pt">
                  <w:txbxContent>
                    <w:p w14:paraId="77E2C8E4" w14:textId="77777777" w:rsidR="006A5267" w:rsidRDefault="006A5267" w:rsidP="008B4B2B">
                      <w:pPr>
                        <w:spacing w:line="260" w:lineRule="exact"/>
                      </w:pPr>
                      <w:r>
                        <w:rPr>
                          <w:rFonts w:hint="eastAsia"/>
                        </w:rPr>
                        <w:t>必要に応じて詳細な情報を収集</w:t>
                      </w:r>
                    </w:p>
                  </w:txbxContent>
                </v:textbox>
              </v:rect>
            </w:pict>
          </mc:Fallback>
        </mc:AlternateContent>
      </w:r>
      <w:r w:rsidRPr="001D6D10">
        <w:rPr>
          <w:rFonts w:hint="eastAsia"/>
          <w:noProof/>
        </w:rPr>
        <mc:AlternateContent>
          <mc:Choice Requires="wps">
            <w:drawing>
              <wp:anchor distT="0" distB="0" distL="114300" distR="114300" simplePos="0" relativeHeight="253171712" behindDoc="0" locked="0" layoutInCell="1" allowOverlap="1" wp14:anchorId="2DDA3A67" wp14:editId="0E39462C">
                <wp:simplePos x="0" y="0"/>
                <wp:positionH relativeFrom="column">
                  <wp:posOffset>0</wp:posOffset>
                </wp:positionH>
                <wp:positionV relativeFrom="paragraph">
                  <wp:posOffset>4229100</wp:posOffset>
                </wp:positionV>
                <wp:extent cx="1371600" cy="1371600"/>
                <wp:effectExtent l="28575" t="28575" r="28575" b="28575"/>
                <wp:wrapNone/>
                <wp:docPr id="4121" name="Oval 236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371600" cy="1371600"/>
                        </a:xfrm>
                        <a:prstGeom prst="ellipse">
                          <a:avLst/>
                        </a:prstGeom>
                        <a:solidFill>
                          <a:srgbClr val="FFFFFF"/>
                        </a:solidFill>
                        <a:ln w="57150" cmpd="thinThick">
                          <a:solidFill>
                            <a:srgbClr val="000000"/>
                          </a:solidFill>
                          <a:round/>
                          <a:headEnd/>
                          <a:tailEnd/>
                        </a:ln>
                      </wps:spPr>
                      <wps:txbx>
                        <w:txbxContent>
                          <w:p w14:paraId="435D9F3D" w14:textId="77777777" w:rsidR="006A5267" w:rsidRDefault="006A5267" w:rsidP="008B4B2B">
                            <w:pPr>
                              <w:rPr>
                                <w:sz w:val="28"/>
                                <w:szCs w:val="28"/>
                              </w:rPr>
                            </w:pPr>
                          </w:p>
                          <w:p w14:paraId="79B2BB87" w14:textId="77777777" w:rsidR="006A5267" w:rsidRPr="007D5780" w:rsidRDefault="006A5267" w:rsidP="008B4B2B">
                            <w:pPr>
                              <w:jc w:val="center"/>
                              <w:rPr>
                                <w:sz w:val="28"/>
                                <w:szCs w:val="28"/>
                              </w:rPr>
                            </w:pPr>
                            <w:r>
                              <w:rPr>
                                <w:rFonts w:hint="eastAsia"/>
                                <w:sz w:val="28"/>
                                <w:szCs w:val="28"/>
                              </w:rPr>
                              <w:t>府</w:t>
                            </w:r>
                            <w:r>
                              <w:rPr>
                                <w:rFonts w:hint="eastAsia"/>
                                <w:sz w:val="28"/>
                                <w:szCs w:val="28"/>
                              </w:rPr>
                              <w:t xml:space="preserve"> </w:t>
                            </w:r>
                            <w:r>
                              <w:rPr>
                                <w:rFonts w:hint="eastAsia"/>
                                <w:sz w:val="28"/>
                                <w:szCs w:val="28"/>
                              </w:rPr>
                              <w:t>民</w:t>
                            </w:r>
                            <w:r>
                              <w:rPr>
                                <w:rFonts w:hint="eastAsia"/>
                                <w:sz w:val="28"/>
                                <w:szCs w:val="28"/>
                              </w:rPr>
                              <w:t xml:space="preserve"> </w:t>
                            </w:r>
                            <w:r>
                              <w:rPr>
                                <w:rFonts w:hint="eastAsia"/>
                                <w:sz w:val="28"/>
                                <w:szCs w:val="28"/>
                              </w:rPr>
                              <w:t>等</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oval w14:anchorId="2DDA3A67" id="Oval 2369" o:spid="_x0000_s1362" style="position:absolute;left:0;text-align:left;margin-left:0;margin-top:333pt;width:108pt;height:108pt;z-index:2531717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" strokeweight="4.5pt">
                <v:stroke linestyle="thinThick"/>
                <v:textbox inset="5.85pt,.7pt,5.85pt,.7pt">
                  <w:txbxContent>
                    <w:p w14:paraId="435D9F3D" w14:textId="77777777" w:rsidR="006A5267" w:rsidRDefault="006A5267" w:rsidP="008B4B2B">
                      <w:pPr>
                        <w:rPr>
                          <w:sz w:val="28"/>
                          <w:szCs w:val="28"/>
                        </w:rPr>
                      </w:pPr>
                    </w:p>
                    <w:p w14:paraId="79B2BB87" w14:textId="77777777" w:rsidR="006A5267" w:rsidRPr="007D5780" w:rsidRDefault="006A5267" w:rsidP="008B4B2B">
                      <w:pPr>
                        <w:jc w:val="center"/>
                        <w:rPr>
                          <w:sz w:val="28"/>
                          <w:szCs w:val="28"/>
                        </w:rPr>
                      </w:pPr>
                      <w:r>
                        <w:rPr>
                          <w:rFonts w:hint="eastAsia"/>
                          <w:sz w:val="28"/>
                          <w:szCs w:val="28"/>
                        </w:rPr>
                        <w:t>府</w:t>
                      </w:r>
                      <w:r>
                        <w:rPr>
                          <w:rFonts w:hint="eastAsia"/>
                          <w:sz w:val="28"/>
                          <w:szCs w:val="28"/>
                        </w:rPr>
                        <w:t xml:space="preserve"> </w:t>
                      </w:r>
                      <w:r>
                        <w:rPr>
                          <w:rFonts w:hint="eastAsia"/>
                          <w:sz w:val="28"/>
                          <w:szCs w:val="28"/>
                        </w:rPr>
                        <w:t>民</w:t>
                      </w:r>
                      <w:r>
                        <w:rPr>
                          <w:rFonts w:hint="eastAsia"/>
                          <w:sz w:val="28"/>
                          <w:szCs w:val="28"/>
                        </w:rPr>
                        <w:t xml:space="preserve"> </w:t>
                      </w:r>
                      <w:r>
                        <w:rPr>
                          <w:rFonts w:hint="eastAsia"/>
                          <w:sz w:val="28"/>
                          <w:szCs w:val="28"/>
                        </w:rPr>
                        <w:t>等</w:t>
                      </w:r>
                    </w:p>
                  </w:txbxContent>
                </v:textbox>
              </v:oval>
            </w:pict>
          </mc:Fallback>
        </mc:AlternateContent>
      </w:r>
      <w:r w:rsidRPr="001D6D10">
        <w:rPr>
          <w:rFonts w:hint="eastAsia"/>
          <w:noProof/>
        </w:rPr>
        <mc:AlternateContent>
          <mc:Choice Requires="wps">
            <w:drawing>
              <wp:anchor distT="0" distB="0" distL="114300" distR="114300" simplePos="0" relativeHeight="253151232" behindDoc="0" locked="0" layoutInCell="1" allowOverlap="1" wp14:anchorId="08C1B725" wp14:editId="4645D136">
                <wp:simplePos x="0" y="0"/>
                <wp:positionH relativeFrom="column">
                  <wp:posOffset>2057400</wp:posOffset>
                </wp:positionH>
                <wp:positionV relativeFrom="paragraph">
                  <wp:posOffset>4191000</wp:posOffset>
                </wp:positionV>
                <wp:extent cx="1114425" cy="1447800"/>
                <wp:effectExtent l="0" t="0" r="0" b="0"/>
                <wp:wrapNone/>
                <wp:docPr id="4119" name="Rectangle 235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14425" cy="1447800"/>
                        </a:xfrm>
                        <a:prstGeom prst="rect">
                          <a:avLst/>
                        </a:prstGeom>
                        <a:noFill/>
                        <a:ln>
                          <a:noFill/>
                        </a:ln>
                      </wps:spPr>
                      <wps:txbx>
                        <w:txbxContent>
                          <w:p w14:paraId="6896E3EE" w14:textId="77777777" w:rsidR="006A5267" w:rsidRDefault="006A5267" w:rsidP="008B4B2B">
                            <w:r>
                              <w:rPr>
                                <w:rFonts w:hint="eastAsia"/>
                              </w:rPr>
                              <w:t>・発災後速やかに報道資料提供</w:t>
                            </w:r>
                          </w:p>
                          <w:p w14:paraId="7FB301AA" w14:textId="77777777" w:rsidR="006A5267" w:rsidRDefault="006A5267" w:rsidP="008B4B2B">
                            <w:pPr>
                              <w:ind w:left="211" w:hangingChars="100" w:hanging="211"/>
                            </w:pPr>
                            <w:r>
                              <w:rPr>
                                <w:rFonts w:hint="eastAsia"/>
                              </w:rPr>
                              <w:t>・原則として</w:t>
                            </w:r>
                          </w:p>
                          <w:p w14:paraId="1153DFA8" w14:textId="77777777" w:rsidR="006A5267" w:rsidRDefault="006A5267" w:rsidP="008B4B2B">
                            <w:pPr>
                              <w:ind w:left="211" w:hangingChars="100" w:hanging="211"/>
                            </w:pPr>
                            <w:r>
                              <w:rPr>
                                <w:rFonts w:hint="eastAsia"/>
                              </w:rPr>
                              <w:t>第</w:t>
                            </w:r>
                            <w:r>
                              <w:rPr>
                                <w:rFonts w:hint="eastAsia"/>
                              </w:rPr>
                              <w:t>1</w:t>
                            </w:r>
                            <w:r>
                              <w:rPr>
                                <w:rFonts w:hint="eastAsia"/>
                              </w:rPr>
                              <w:t>報提供後、</w:t>
                            </w:r>
                          </w:p>
                          <w:p w14:paraId="59B7DE1C" w14:textId="77777777" w:rsidR="006A5267" w:rsidRDefault="006A5267" w:rsidP="008B4B2B">
                            <w:pPr>
                              <w:ind w:left="211" w:hangingChars="100" w:hanging="211"/>
                            </w:pPr>
                            <w:r>
                              <w:rPr>
                                <w:rFonts w:hint="eastAsia"/>
                              </w:rPr>
                              <w:t>2</w:t>
                            </w:r>
                            <w:r>
                              <w:rPr>
                                <w:rFonts w:hint="eastAsia"/>
                              </w:rPr>
                              <w:t>時間毎に</w:t>
                            </w:r>
                          </w:p>
                          <w:p w14:paraId="7DD0CD35" w14:textId="77777777" w:rsidR="006A5267" w:rsidRDefault="006A5267" w:rsidP="008B4B2B">
                            <w:pPr>
                              <w:ind w:left="211" w:hangingChars="100" w:hanging="211"/>
                            </w:pPr>
                            <w:r>
                              <w:rPr>
                                <w:rFonts w:hint="eastAsia"/>
                              </w:rPr>
                              <w:t>報道資料提供</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rect w14:anchorId="08C1B725" id="Rectangle 2359" o:spid="_x0000_s1363" style="position:absolute;left:0;text-align:left;margin-left:162pt;margin-top:330pt;width:87.75pt;height:114pt;z-index:2531512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" filled="f" stroked="f">
                <v:textbox inset="5.85pt,.7pt,5.85pt,.7pt">
                  <w:txbxContent>
                    <w:p w14:paraId="6896E3EE" w14:textId="77777777" w:rsidR="006A5267" w:rsidRDefault="006A5267" w:rsidP="008B4B2B">
                      <w:r>
                        <w:rPr>
                          <w:rFonts w:hint="eastAsia"/>
                        </w:rPr>
                        <w:t>・発災後速やかに報道資料提供</w:t>
                      </w:r>
                    </w:p>
                    <w:p w14:paraId="7FB301AA" w14:textId="77777777" w:rsidR="006A5267" w:rsidRDefault="006A5267" w:rsidP="008B4B2B">
                      <w:pPr>
                        <w:ind w:left="211" w:hangingChars="100" w:hanging="211"/>
                      </w:pPr>
                      <w:r>
                        <w:rPr>
                          <w:rFonts w:hint="eastAsia"/>
                        </w:rPr>
                        <w:t>・原則として</w:t>
                      </w:r>
                    </w:p>
                    <w:p w14:paraId="1153DFA8" w14:textId="77777777" w:rsidR="006A5267" w:rsidRDefault="006A5267" w:rsidP="008B4B2B">
                      <w:pPr>
                        <w:ind w:left="211" w:hangingChars="100" w:hanging="211"/>
                      </w:pPr>
                      <w:r>
                        <w:rPr>
                          <w:rFonts w:hint="eastAsia"/>
                        </w:rPr>
                        <w:t>第</w:t>
                      </w:r>
                      <w:r>
                        <w:rPr>
                          <w:rFonts w:hint="eastAsia"/>
                        </w:rPr>
                        <w:t>1</w:t>
                      </w:r>
                      <w:r>
                        <w:rPr>
                          <w:rFonts w:hint="eastAsia"/>
                        </w:rPr>
                        <w:t>報提供後、</w:t>
                      </w:r>
                    </w:p>
                    <w:p w14:paraId="59B7DE1C" w14:textId="77777777" w:rsidR="006A5267" w:rsidRDefault="006A5267" w:rsidP="008B4B2B">
                      <w:pPr>
                        <w:ind w:left="211" w:hangingChars="100" w:hanging="211"/>
                      </w:pPr>
                      <w:r>
                        <w:rPr>
                          <w:rFonts w:hint="eastAsia"/>
                        </w:rPr>
                        <w:t>2</w:t>
                      </w:r>
                      <w:r>
                        <w:rPr>
                          <w:rFonts w:hint="eastAsia"/>
                        </w:rPr>
                        <w:t>時間毎に</w:t>
                      </w:r>
                    </w:p>
                    <w:p w14:paraId="7DD0CD35" w14:textId="77777777" w:rsidR="006A5267" w:rsidRDefault="006A5267" w:rsidP="008B4B2B">
                      <w:pPr>
                        <w:ind w:left="211" w:hangingChars="100" w:hanging="211"/>
                      </w:pPr>
                      <w:r>
                        <w:rPr>
                          <w:rFonts w:hint="eastAsia"/>
                        </w:rPr>
                        <w:t>報道資料提供</w:t>
                      </w:r>
                    </w:p>
                  </w:txbxContent>
                </v:textbox>
              </v:rect>
            </w:pict>
          </mc:Fallback>
        </mc:AlternateContent>
      </w:r>
      <w:r w:rsidRPr="001D6D10">
        <w:rPr>
          <w:rFonts w:hint="eastAsia"/>
          <w:noProof/>
        </w:rPr>
        <mc:AlternateContent>
          <mc:Choice Requires="wps">
            <w:drawing>
              <wp:anchor distT="0" distB="0" distL="114300" distR="114300" simplePos="0" relativeHeight="253169664" behindDoc="0" locked="0" layoutInCell="1" allowOverlap="1" wp14:anchorId="153AC6E6" wp14:editId="7F77EC8A">
                <wp:simplePos x="0" y="0"/>
                <wp:positionH relativeFrom="column">
                  <wp:posOffset>3314700</wp:posOffset>
                </wp:positionH>
                <wp:positionV relativeFrom="paragraph">
                  <wp:posOffset>1485900</wp:posOffset>
                </wp:positionV>
                <wp:extent cx="1028700" cy="1028700"/>
                <wp:effectExtent l="9525" t="9525" r="9525" b="9525"/>
                <wp:wrapNone/>
                <wp:docPr id="4118" name="computr2"/>
                <wp:cNvGraphicFramePr>
                  <a:graphicFrameLocks xmlns:a="http://schemas.openxmlformats.org/drawingml/2006/main"/>
                </wp:cNvGraphicFramePr>
                <a:graphic xmlns:a="http://schemas.openxmlformats.org/drawingml/2006/main">
                  <a:graphicData uri="http://schemas.microsoft.com/office/word/2010/wordprocessingShape">
                    <wps:wsp>
                      <wps:cNvSpPr>
                        <a:spLocks noEditPoints="1" noChangeArrowheads="1"/>
                      </wps:cNvSpPr>
                      <wps:spPr bwMode="auto">
                        <a:xfrm>
                          <a:off x="0" y="0"/>
                          <a:ext cx="1028700" cy="1028700"/>
                        </a:xfrm>
                        <a:custGeom>
                          <a:avLst/>
                          <a:gdLst>
                            <a:gd name="T0" fmla="*/ 10800 w 21600"/>
                            <a:gd name="T1" fmla="*/ 0 h 21600"/>
                            <a:gd name="T2" fmla="*/ 10800 w 21600"/>
                            <a:gd name="T3" fmla="*/ 21600 h 21600"/>
                            <a:gd name="T4" fmla="*/ 17326 w 21600"/>
                            <a:gd name="T5" fmla="*/ 0 h 21600"/>
                            <a:gd name="T6" fmla="*/ 4274 w 21600"/>
                            <a:gd name="T7" fmla="*/ 0 h 21600"/>
                            <a:gd name="T8" fmla="*/ 4274 w 21600"/>
                            <a:gd name="T9" fmla="*/ 11631 h 21600"/>
                            <a:gd name="T10" fmla="*/ 17326 w 21600"/>
                            <a:gd name="T11" fmla="*/ 11631 h 21600"/>
                            <a:gd name="T12" fmla="*/ 4274 w 21600"/>
                            <a:gd name="T13" fmla="*/ 5816 h 21600"/>
                            <a:gd name="T14" fmla="*/ 17326 w 21600"/>
                            <a:gd name="T15" fmla="*/ 5816 h 21600"/>
                            <a:gd name="T16" fmla="*/ 18828 w 21600"/>
                            <a:gd name="T17" fmla="*/ 15785 h 21600"/>
                            <a:gd name="T18" fmla="*/ 2772 w 21600"/>
                            <a:gd name="T19" fmla="*/ 15785 h 21600"/>
                            <a:gd name="T20" fmla="*/ 6194 w 21600"/>
                            <a:gd name="T21" fmla="*/ 1913 h 21600"/>
                            <a:gd name="T22" fmla="*/ 15565 w 21600"/>
                            <a:gd name="T23" fmla="*/ 9747 h 2160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Lst>
                          <a:rect l="T20" t="T21" r="T22" b="T23"/>
                          <a:pathLst>
                            <a:path w="21600" h="21600" extrusionOk="0">
                              <a:moveTo>
                                <a:pt x="21022" y="20295"/>
                              </a:moveTo>
                              <a:lnTo>
                                <a:pt x="18828" y="18396"/>
                              </a:lnTo>
                              <a:lnTo>
                                <a:pt x="18828" y="13174"/>
                              </a:lnTo>
                              <a:lnTo>
                                <a:pt x="15478" y="13174"/>
                              </a:lnTo>
                              <a:lnTo>
                                <a:pt x="15478" y="11631"/>
                              </a:lnTo>
                              <a:lnTo>
                                <a:pt x="17326" y="11631"/>
                              </a:lnTo>
                              <a:lnTo>
                                <a:pt x="17326" y="11156"/>
                              </a:lnTo>
                              <a:lnTo>
                                <a:pt x="17326" y="0"/>
                              </a:lnTo>
                              <a:lnTo>
                                <a:pt x="10858" y="0"/>
                              </a:lnTo>
                              <a:lnTo>
                                <a:pt x="4274" y="0"/>
                              </a:lnTo>
                              <a:lnTo>
                                <a:pt x="4274" y="11037"/>
                              </a:lnTo>
                              <a:lnTo>
                                <a:pt x="4274" y="11631"/>
                              </a:lnTo>
                              <a:lnTo>
                                <a:pt x="6122" y="11631"/>
                              </a:lnTo>
                              <a:lnTo>
                                <a:pt x="6122" y="13174"/>
                              </a:lnTo>
                              <a:lnTo>
                                <a:pt x="2772" y="13174"/>
                              </a:lnTo>
                              <a:lnTo>
                                <a:pt x="2772" y="18514"/>
                              </a:lnTo>
                              <a:lnTo>
                                <a:pt x="693" y="20295"/>
                              </a:lnTo>
                              <a:lnTo>
                                <a:pt x="462" y="20413"/>
                              </a:lnTo>
                              <a:lnTo>
                                <a:pt x="231" y="20651"/>
                              </a:lnTo>
                              <a:lnTo>
                                <a:pt x="116" y="20888"/>
                              </a:lnTo>
                              <a:lnTo>
                                <a:pt x="0" y="21125"/>
                              </a:lnTo>
                              <a:lnTo>
                                <a:pt x="0" y="21244"/>
                              </a:lnTo>
                              <a:lnTo>
                                <a:pt x="116" y="21363"/>
                              </a:lnTo>
                              <a:lnTo>
                                <a:pt x="116" y="21481"/>
                              </a:lnTo>
                              <a:lnTo>
                                <a:pt x="231" y="21481"/>
                              </a:lnTo>
                              <a:lnTo>
                                <a:pt x="347" y="21600"/>
                              </a:lnTo>
                              <a:lnTo>
                                <a:pt x="578" y="21600"/>
                              </a:lnTo>
                              <a:lnTo>
                                <a:pt x="693" y="21600"/>
                              </a:lnTo>
                              <a:lnTo>
                                <a:pt x="10858" y="21600"/>
                              </a:lnTo>
                              <a:lnTo>
                                <a:pt x="20907" y="21600"/>
                              </a:lnTo>
                              <a:lnTo>
                                <a:pt x="21138" y="21600"/>
                              </a:lnTo>
                              <a:lnTo>
                                <a:pt x="21253" y="21600"/>
                              </a:lnTo>
                              <a:lnTo>
                                <a:pt x="21369" y="21481"/>
                              </a:lnTo>
                              <a:lnTo>
                                <a:pt x="21484" y="21481"/>
                              </a:lnTo>
                              <a:lnTo>
                                <a:pt x="21600" y="21363"/>
                              </a:lnTo>
                              <a:lnTo>
                                <a:pt x="21600" y="21244"/>
                              </a:lnTo>
                              <a:lnTo>
                                <a:pt x="21600" y="21125"/>
                              </a:lnTo>
                              <a:lnTo>
                                <a:pt x="21484" y="20888"/>
                              </a:lnTo>
                              <a:lnTo>
                                <a:pt x="21369" y="20651"/>
                              </a:lnTo>
                              <a:lnTo>
                                <a:pt x="21253" y="20413"/>
                              </a:lnTo>
                              <a:lnTo>
                                <a:pt x="21022" y="20295"/>
                              </a:lnTo>
                              <a:close/>
                            </a:path>
                            <a:path w="21600" h="21600" extrusionOk="0">
                              <a:moveTo>
                                <a:pt x="18019" y="18514"/>
                              </a:moveTo>
                              <a:lnTo>
                                <a:pt x="17326" y="17921"/>
                              </a:lnTo>
                              <a:lnTo>
                                <a:pt x="4389" y="17921"/>
                              </a:lnTo>
                              <a:lnTo>
                                <a:pt x="3696" y="18514"/>
                              </a:lnTo>
                              <a:lnTo>
                                <a:pt x="18019" y="18514"/>
                              </a:lnTo>
                              <a:close/>
                            </a:path>
                            <a:path w="21600" h="21600" extrusionOk="0">
                              <a:moveTo>
                                <a:pt x="19174" y="19701"/>
                              </a:moveTo>
                              <a:lnTo>
                                <a:pt x="18481" y="19108"/>
                              </a:lnTo>
                              <a:lnTo>
                                <a:pt x="3119" y="19108"/>
                              </a:lnTo>
                              <a:lnTo>
                                <a:pt x="2426" y="19701"/>
                              </a:lnTo>
                              <a:lnTo>
                                <a:pt x="19174" y="19701"/>
                              </a:lnTo>
                              <a:close/>
                            </a:path>
                            <a:path w="21600" h="21600" extrusionOk="0">
                              <a:moveTo>
                                <a:pt x="20560" y="20769"/>
                              </a:moveTo>
                              <a:lnTo>
                                <a:pt x="19867" y="20176"/>
                              </a:lnTo>
                              <a:lnTo>
                                <a:pt x="1848" y="20176"/>
                              </a:lnTo>
                              <a:lnTo>
                                <a:pt x="1155" y="20769"/>
                              </a:lnTo>
                              <a:lnTo>
                                <a:pt x="20560" y="20769"/>
                              </a:lnTo>
                              <a:close/>
                            </a:path>
                            <a:path w="21600" h="21600" extrusionOk="0">
                              <a:moveTo>
                                <a:pt x="18828" y="18396"/>
                              </a:moveTo>
                              <a:lnTo>
                                <a:pt x="17442" y="17209"/>
                              </a:lnTo>
                              <a:lnTo>
                                <a:pt x="4158" y="17209"/>
                              </a:lnTo>
                              <a:lnTo>
                                <a:pt x="2772" y="18514"/>
                              </a:lnTo>
                              <a:moveTo>
                                <a:pt x="13168" y="14123"/>
                              </a:moveTo>
                              <a:lnTo>
                                <a:pt x="13168" y="14716"/>
                              </a:lnTo>
                              <a:lnTo>
                                <a:pt x="17788" y="14716"/>
                              </a:lnTo>
                              <a:lnTo>
                                <a:pt x="17788" y="14123"/>
                              </a:lnTo>
                              <a:lnTo>
                                <a:pt x="13168" y="14123"/>
                              </a:lnTo>
                              <a:close/>
                            </a:path>
                            <a:path w="21600" h="21600" extrusionOk="0">
                              <a:moveTo>
                                <a:pt x="6122" y="1899"/>
                              </a:moveTo>
                              <a:lnTo>
                                <a:pt x="6122" y="9732"/>
                              </a:lnTo>
                              <a:lnTo>
                                <a:pt x="15478" y="9732"/>
                              </a:lnTo>
                              <a:lnTo>
                                <a:pt x="15478" y="1899"/>
                              </a:lnTo>
                              <a:lnTo>
                                <a:pt x="6122" y="1899"/>
                              </a:lnTo>
                              <a:moveTo>
                                <a:pt x="6122" y="11631"/>
                              </a:moveTo>
                              <a:lnTo>
                                <a:pt x="15478" y="11631"/>
                              </a:lnTo>
                              <a:lnTo>
                                <a:pt x="15478" y="13174"/>
                              </a:lnTo>
                              <a:lnTo>
                                <a:pt x="6122" y="13174"/>
                              </a:lnTo>
                              <a:lnTo>
                                <a:pt x="6122" y="11631"/>
                              </a:lnTo>
                              <a:close/>
                            </a:path>
                          </a:pathLst>
                        </a:custGeom>
                        <a:solidFill>
                          <a:srgbClr val="FFFFCC"/>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shape w14:anchorId="3D4D7D9A" id="computr2" o:spid="_x0000_s1026" style="position:absolute;left:0;text-align:left;margin-left:261pt;margin-top:117pt;width:81pt;height:81pt;z-index:2531696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21600,2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" path="m21022,20295l18828,18396r,-5222l15478,13174r,-1543l17326,11631r,-475l17326,,10858,,4274,r,11037l4274,11631r1848,l6122,13174r-3350,l2772,18514,693,20295r-231,118l231,20651r-115,237l,21125r,119l116,21363r,118l231,21481r116,119l578,21600r115,l10858,21600r10049,l21138,21600r115,l21369,21481r115,l21600,21363r,-119l21600,21125r-116,-237l21369,20651r-116,-238l21022,20295xem18019,18514r-693,-593l4389,17921r-693,593l18019,18514xem19174,19701r-693,-593l3119,19108r-693,593l19174,19701xem20560,20769r-693,-593l1848,20176r-693,593l20560,20769xem18828,18396l17442,17209r-13284,l2772,18514m13168,14123r,593l17788,14716r,-593l13168,14123xem6122,1899r,7833l15478,9732r,-7833l6122,1899t,9732l15478,11631r,1543l6122,13174r,-1543xe" fillcolor="#ffc">
                <v:stroke joinstyle="miter"/>
                <v:path o:extrusionok="f" o:connecttype="custom" o:connectlocs="514350,0;514350,1028700;825151,0;203549,0;203549,553926;825151,553926;203549,276987;825151,276987;896684,751761;132017,751761" o:connectangles="0,0,0,0,0,0,0,0,0,0" textboxrect="6194,1913,15565,9747"/>
                <o:lock v:ext="edit" verticies="t"/>
              </v:shape>
            </w:pict>
          </mc:Fallback>
        </mc:AlternateContent>
      </w:r>
      <w:r w:rsidRPr="001D6D10">
        <w:rPr>
          <w:rFonts w:hint="eastAsia"/>
          <w:noProof/>
        </w:rPr>
        <mc:AlternateContent>
          <mc:Choice Requires="wps">
            <w:drawing>
              <wp:anchor distT="0" distB="0" distL="114300" distR="114300" simplePos="0" relativeHeight="253117440" behindDoc="0" locked="0" layoutInCell="1" allowOverlap="1" wp14:anchorId="4384897C" wp14:editId="36BA67DD">
                <wp:simplePos x="0" y="0"/>
                <wp:positionH relativeFrom="column">
                  <wp:posOffset>2894965</wp:posOffset>
                </wp:positionH>
                <wp:positionV relativeFrom="paragraph">
                  <wp:posOffset>1522730</wp:posOffset>
                </wp:positionV>
                <wp:extent cx="457200" cy="382270"/>
                <wp:effectExtent l="0" t="0" r="38100" b="0"/>
                <wp:wrapNone/>
                <wp:docPr id="4117" name="AutoShape 235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3149752">
                          <a:off x="0" y="0"/>
                          <a:ext cx="457200" cy="382270"/>
                        </a:xfrm>
                        <a:prstGeom prst="upArrow">
                          <a:avLst>
                            <a:gd name="adj1" fmla="val 44435"/>
                            <a:gd name="adj2" fmla="val 45690"/>
                          </a:avLst>
                        </a:prstGeom>
                        <a:solidFill>
                          <a:srgbClr val="CCFFFF"/>
                        </a:solidFill>
                        <a:ln w="9525">
                          <a:solidFill>
                            <a:srgbClr val="000000"/>
                          </a:solidFill>
                          <a:miter lim="800000"/>
                          <a:headEnd/>
                          <a:tailEnd/>
                        </a:ln>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shape w14:anchorId="062A0209" id="AutoShape 2355" o:spid="_x0000_s1026" type="#_x0000_t68" style="position:absolute;left:0;text-align:left;margin-left:227.95pt;margin-top:119.9pt;width:36pt;height:30.1pt;rotation:-3440369fd;z-index:2531174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" adj="9869,6001" fillcolor="#cff">
                <v:textbox inset="5.85pt,.7pt,5.85pt,.7pt"/>
              </v:shape>
            </w:pict>
          </mc:Fallback>
        </mc:AlternateContent>
      </w:r>
      <w:r w:rsidRPr="001D6D10">
        <w:rPr>
          <w:rFonts w:hint="eastAsia"/>
          <w:noProof/>
        </w:rPr>
        <mc:AlternateContent>
          <mc:Choice Requires="wps">
            <w:drawing>
              <wp:anchor distT="0" distB="0" distL="114300" distR="114300" simplePos="0" relativeHeight="254369792" behindDoc="0" locked="0" layoutInCell="1" allowOverlap="1" wp14:anchorId="344A6FD1" wp14:editId="06589A47">
                <wp:simplePos x="0" y="0"/>
                <wp:positionH relativeFrom="column">
                  <wp:posOffset>3200400</wp:posOffset>
                </wp:positionH>
                <wp:positionV relativeFrom="paragraph">
                  <wp:posOffset>2400300</wp:posOffset>
                </wp:positionV>
                <wp:extent cx="1371600" cy="342900"/>
                <wp:effectExtent l="0" t="0" r="0" b="0"/>
                <wp:wrapNone/>
                <wp:docPr id="4116" name="Rectangle 235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371600" cy="342900"/>
                        </a:xfrm>
                        <a:prstGeom prst="rect">
                          <a:avLst/>
                        </a:prstGeom>
                        <a:noFill/>
                        <a:ln>
                          <a:noFill/>
                        </a:ln>
                      </wps:spPr>
                      <wps:txbx>
                        <w:txbxContent>
                          <w:p w14:paraId="6F31AE9D" w14:textId="3C30E24A" w:rsidR="006A5267" w:rsidRPr="00F55401" w:rsidRDefault="006A5267" w:rsidP="008B4B2B">
                            <w:pPr>
                              <w:rPr>
                                <w:rFonts w:ascii="ＭＳ ゴシック" w:eastAsia="ＭＳ ゴシック" w:hAnsi="ＭＳ ゴシック"/>
                                <w:sz w:val="28"/>
                                <w:szCs w:val="28"/>
                              </w:rPr>
                            </w:pPr>
                            <w:r w:rsidRPr="00F55401">
                              <w:rPr>
                                <w:rFonts w:ascii="ＭＳ ゴシック" w:eastAsia="ＭＳ ゴシック" w:hAnsi="ＭＳ ゴシック" w:hint="eastAsia"/>
                                <w:sz w:val="28"/>
                                <w:szCs w:val="28"/>
                              </w:rPr>
                              <w:t>Ｏ</w:t>
                            </w:r>
                            <w:r w:rsidR="00AB6FBD">
                              <w:rPr>
                                <w:rFonts w:ascii="ＭＳ ゴシック" w:eastAsia="ＭＳ ゴシック" w:hAnsi="ＭＳ ゴシック" w:hint="eastAsia"/>
                                <w:sz w:val="28"/>
                                <w:szCs w:val="28"/>
                              </w:rPr>
                              <w:t>ｰ</w:t>
                            </w:r>
                            <w:r w:rsidRPr="00F55401">
                              <w:rPr>
                                <w:rFonts w:ascii="ＭＳ ゴシック" w:eastAsia="ＭＳ ゴシック" w:hAnsi="ＭＳ ゴシック" w:hint="eastAsia"/>
                                <w:sz w:val="28"/>
                                <w:szCs w:val="28"/>
                              </w:rPr>
                              <w:t>ＤＩＳ入力</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rect w14:anchorId="344A6FD1" id="Rectangle 2358" o:spid="_x0000_s1364" style="position:absolute;left:0;text-align:left;margin-left:252pt;margin-top:189pt;width:108pt;height:27pt;z-index:254369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" filled="f" stroked="f">
                <v:textbox inset="5.85pt,.7pt,5.85pt,.7pt">
                  <w:txbxContent>
                    <w:p w14:paraId="6F31AE9D" w14:textId="3C30E24A" w:rsidR="006A5267" w:rsidRPr="00F55401" w:rsidRDefault="006A5267" w:rsidP="008B4B2B">
                      <w:pPr>
                        <w:rPr>
                          <w:rFonts w:ascii="ＭＳ ゴシック" w:eastAsia="ＭＳ ゴシック" w:hAnsi="ＭＳ ゴシック"/>
                          <w:sz w:val="28"/>
                          <w:szCs w:val="28"/>
                        </w:rPr>
                      </w:pPr>
                      <w:r w:rsidRPr="00F55401">
                        <w:rPr>
                          <w:rFonts w:ascii="ＭＳ ゴシック" w:eastAsia="ＭＳ ゴシック" w:hAnsi="ＭＳ ゴシック" w:hint="eastAsia"/>
                          <w:sz w:val="28"/>
                          <w:szCs w:val="28"/>
                        </w:rPr>
                        <w:t>Ｏ</w:t>
                      </w:r>
                      <w:r w:rsidR="00AB6FBD">
                        <w:rPr>
                          <w:rFonts w:ascii="ＭＳ ゴシック" w:eastAsia="ＭＳ ゴシック" w:hAnsi="ＭＳ ゴシック" w:hint="eastAsia"/>
                          <w:sz w:val="28"/>
                          <w:szCs w:val="28"/>
                        </w:rPr>
                        <w:t>ｰ</w:t>
                      </w:r>
                      <w:r w:rsidRPr="00F55401">
                        <w:rPr>
                          <w:rFonts w:ascii="ＭＳ ゴシック" w:eastAsia="ＭＳ ゴシック" w:hAnsi="ＭＳ ゴシック" w:hint="eastAsia"/>
                          <w:sz w:val="28"/>
                          <w:szCs w:val="28"/>
                        </w:rPr>
                        <w:t>ＤＩＳ入力</w:t>
                      </w:r>
                    </w:p>
                  </w:txbxContent>
                </v:textbox>
              </v:rect>
            </w:pict>
          </mc:Fallback>
        </mc:AlternateContent>
      </w:r>
    </w:p>
    <w:p w14:paraId="2B418793" w14:textId="77777777" w:rsidR="008B4B2B" w:rsidRPr="001D6D10" w:rsidRDefault="008B4B2B" w:rsidP="008B4B2B"/>
    <w:p w14:paraId="0BFAE919" w14:textId="77777777" w:rsidR="008B4B2B" w:rsidRPr="001D6D10" w:rsidRDefault="008B4B2B" w:rsidP="008B4B2B">
      <w:r w:rsidRPr="001D6D10">
        <w:rPr>
          <w:rFonts w:hint="eastAsia"/>
          <w:noProof/>
        </w:rPr>
        <mc:AlternateContent>
          <mc:Choice Requires="wps">
            <w:drawing>
              <wp:anchor distT="0" distB="0" distL="114300" distR="114300" simplePos="0" relativeHeight="253096960" behindDoc="0" locked="0" layoutInCell="1" allowOverlap="1" wp14:anchorId="5B8BDBEB" wp14:editId="3BCFA1BF">
                <wp:simplePos x="0" y="0"/>
                <wp:positionH relativeFrom="column">
                  <wp:posOffset>1495425</wp:posOffset>
                </wp:positionH>
                <wp:positionV relativeFrom="paragraph">
                  <wp:posOffset>204470</wp:posOffset>
                </wp:positionV>
                <wp:extent cx="1390650" cy="824230"/>
                <wp:effectExtent l="9525" t="13970" r="9525" b="9525"/>
                <wp:wrapNone/>
                <wp:docPr id="4115" name="AutoShape 234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390650" cy="824230"/>
                        </a:xfrm>
                        <a:prstGeom prst="roundRect">
                          <a:avLst>
                            <a:gd name="adj" fmla="val 16667"/>
                          </a:avLst>
                        </a:prstGeom>
                        <a:solidFill>
                          <a:srgbClr val="FFFFFF"/>
                        </a:solidFill>
                        <a:ln w="9525">
                          <a:solidFill>
                            <a:srgbClr val="000000"/>
                          </a:solidFill>
                          <a:round/>
                          <a:headEnd/>
                          <a:tailEnd/>
                        </a:ln>
                      </wps:spPr>
                      <wps:txbx>
                        <w:txbxContent>
                          <w:p w14:paraId="2D8CA4FC" w14:textId="77777777" w:rsidR="006A5267" w:rsidRPr="00A64ECD" w:rsidRDefault="006A5267" w:rsidP="008B4B2B">
                            <w:pPr>
                              <w:spacing w:line="360" w:lineRule="exact"/>
                              <w:jc w:val="center"/>
                              <w:rPr>
                                <w:sz w:val="24"/>
                              </w:rPr>
                            </w:pPr>
                            <w:r w:rsidRPr="00A64ECD">
                              <w:rPr>
                                <w:rFonts w:hint="eastAsia"/>
                                <w:sz w:val="24"/>
                              </w:rPr>
                              <w:t>地域防災体制</w:t>
                            </w:r>
                          </w:p>
                          <w:p w14:paraId="07A22507" w14:textId="77777777" w:rsidR="006A5267" w:rsidRPr="00A64ECD" w:rsidRDefault="006A5267" w:rsidP="008B4B2B">
                            <w:pPr>
                              <w:spacing w:line="360" w:lineRule="exact"/>
                              <w:jc w:val="center"/>
                              <w:rPr>
                                <w:sz w:val="24"/>
                              </w:rPr>
                            </w:pPr>
                            <w:r w:rsidRPr="00A64ECD">
                              <w:rPr>
                                <w:rFonts w:hint="eastAsia"/>
                                <w:sz w:val="24"/>
                              </w:rPr>
                              <w:t>◇情報収集</w:t>
                            </w:r>
                          </w:p>
                          <w:p w14:paraId="727329F9" w14:textId="77777777" w:rsidR="006A5267" w:rsidRPr="00A573D4" w:rsidRDefault="006A5267" w:rsidP="008B4B2B">
                            <w:pPr>
                              <w:spacing w:line="360" w:lineRule="exact"/>
                              <w:jc w:val="center"/>
                              <w:rPr>
                                <w:sz w:val="28"/>
                                <w:szCs w:val="28"/>
                              </w:rPr>
                            </w:pPr>
                            <w:r w:rsidRPr="00A64ECD">
                              <w:rPr>
                                <w:rFonts w:hint="eastAsia"/>
                                <w:sz w:val="24"/>
                              </w:rPr>
                              <w:t>◇連絡調整</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roundrect w14:anchorId="5B8BDBEB" id="AutoShape 2348" o:spid="_x0000_s1365" style="position:absolute;left:0;text-align:left;margin-left:117.75pt;margin-top:16.1pt;width:109.5pt;height:64.9pt;z-index:2530969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">
                <v:textbox inset="5.85pt,.7pt,5.85pt,.7pt">
                  <w:txbxContent>
                    <w:p w14:paraId="2D8CA4FC" w14:textId="77777777" w:rsidR="006A5267" w:rsidRPr="00A64ECD" w:rsidRDefault="006A5267" w:rsidP="008B4B2B">
                      <w:pPr>
                        <w:spacing w:line="360" w:lineRule="exact"/>
                        <w:jc w:val="center"/>
                        <w:rPr>
                          <w:sz w:val="24"/>
                        </w:rPr>
                      </w:pPr>
                      <w:r w:rsidRPr="00A64ECD">
                        <w:rPr>
                          <w:rFonts w:hint="eastAsia"/>
                          <w:sz w:val="24"/>
                        </w:rPr>
                        <w:t>地域防災体制</w:t>
                      </w:r>
                    </w:p>
                    <w:p w14:paraId="07A22507" w14:textId="77777777" w:rsidR="006A5267" w:rsidRPr="00A64ECD" w:rsidRDefault="006A5267" w:rsidP="008B4B2B">
                      <w:pPr>
                        <w:spacing w:line="360" w:lineRule="exact"/>
                        <w:jc w:val="center"/>
                        <w:rPr>
                          <w:sz w:val="24"/>
                        </w:rPr>
                      </w:pPr>
                      <w:r w:rsidRPr="00A64ECD">
                        <w:rPr>
                          <w:rFonts w:hint="eastAsia"/>
                          <w:sz w:val="24"/>
                        </w:rPr>
                        <w:t>◇情報収集</w:t>
                      </w:r>
                    </w:p>
                    <w:p w14:paraId="727329F9" w14:textId="77777777" w:rsidR="006A5267" w:rsidRPr="00A573D4" w:rsidRDefault="006A5267" w:rsidP="008B4B2B">
                      <w:pPr>
                        <w:spacing w:line="360" w:lineRule="exact"/>
                        <w:jc w:val="center"/>
                        <w:rPr>
                          <w:sz w:val="28"/>
                          <w:szCs w:val="28"/>
                        </w:rPr>
                      </w:pPr>
                      <w:r w:rsidRPr="00A64ECD">
                        <w:rPr>
                          <w:rFonts w:hint="eastAsia"/>
                          <w:sz w:val="24"/>
                        </w:rPr>
                        <w:t>◇連絡調整</w:t>
                      </w:r>
                    </w:p>
                  </w:txbxContent>
                </v:textbox>
              </v:roundrect>
            </w:pict>
          </mc:Fallback>
        </mc:AlternateContent>
      </w:r>
    </w:p>
    <w:p w14:paraId="33CD1DA1" w14:textId="77777777" w:rsidR="008B4B2B" w:rsidRPr="001D6D10" w:rsidRDefault="008B4B2B" w:rsidP="008B4B2B"/>
    <w:p w14:paraId="5EF67025" w14:textId="77777777" w:rsidR="008B4B2B" w:rsidRPr="001D6D10" w:rsidRDefault="008B4B2B" w:rsidP="008B4B2B"/>
    <w:p w14:paraId="2F39204C" w14:textId="77777777" w:rsidR="008B4B2B" w:rsidRPr="001D6D10" w:rsidRDefault="008B4B2B" w:rsidP="008B4B2B"/>
    <w:p w14:paraId="3D98C9D1" w14:textId="77777777" w:rsidR="008B4B2B" w:rsidRPr="001D6D10" w:rsidRDefault="008B4B2B" w:rsidP="008B4B2B"/>
    <w:p w14:paraId="29833856" w14:textId="77777777" w:rsidR="008B4B2B" w:rsidRPr="001D6D10" w:rsidRDefault="008B4B2B" w:rsidP="008B4B2B">
      <w:r w:rsidRPr="001D6D10">
        <w:rPr>
          <w:rFonts w:hint="eastAsia"/>
          <w:noProof/>
        </w:rPr>
        <mc:AlternateContent>
          <mc:Choice Requires="wps">
            <w:drawing>
              <wp:anchor distT="0" distB="0" distL="114300" distR="114300" simplePos="0" relativeHeight="253184000" behindDoc="0" locked="0" layoutInCell="1" allowOverlap="1" wp14:anchorId="25949D86" wp14:editId="277CFC5F">
                <wp:simplePos x="0" y="0"/>
                <wp:positionH relativeFrom="column">
                  <wp:posOffset>1028065</wp:posOffset>
                </wp:positionH>
                <wp:positionV relativeFrom="paragraph">
                  <wp:posOffset>33020</wp:posOffset>
                </wp:positionV>
                <wp:extent cx="1971675" cy="571500"/>
                <wp:effectExtent l="0" t="0" r="0" b="0"/>
                <wp:wrapNone/>
                <wp:docPr id="2771" name="Rectangle 238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971675" cy="571500"/>
                        </a:xfrm>
                        <a:prstGeom prst="rect">
                          <a:avLst/>
                        </a:prstGeom>
                        <a:solidFill>
                          <a:srgbClr val="FFFFFF">
                            <a:alpha val="0"/>
                          </a:srgbClr>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6B56D913" w14:textId="77777777" w:rsidR="006A5267" w:rsidRPr="000347F5" w:rsidRDefault="006A5267" w:rsidP="008B4B2B">
                            <w:pPr>
                              <w:spacing w:line="240" w:lineRule="exact"/>
                              <w:rPr>
                                <w:sz w:val="16"/>
                                <w:szCs w:val="16"/>
                              </w:rPr>
                            </w:pPr>
                            <w:r>
                              <w:rPr>
                                <w:rFonts w:hint="eastAsia"/>
                                <w:sz w:val="16"/>
                                <w:szCs w:val="16"/>
                              </w:rPr>
                              <w:t>・避難情報（避難指示</w:t>
                            </w:r>
                            <w:r>
                              <w:rPr>
                                <w:sz w:val="16"/>
                                <w:szCs w:val="16"/>
                              </w:rPr>
                              <w:t>等</w:t>
                            </w:r>
                            <w:r>
                              <w:rPr>
                                <w:rFonts w:hint="eastAsia"/>
                                <w:sz w:val="16"/>
                                <w:szCs w:val="16"/>
                              </w:rPr>
                              <w:t>）</w:t>
                            </w:r>
                          </w:p>
                          <w:p w14:paraId="7DD2A5A2" w14:textId="77777777" w:rsidR="006A5267" w:rsidRDefault="006A5267" w:rsidP="008B4B2B">
                            <w:pPr>
                              <w:spacing w:line="240" w:lineRule="exact"/>
                              <w:rPr>
                                <w:sz w:val="16"/>
                                <w:szCs w:val="16"/>
                              </w:rPr>
                            </w:pPr>
                            <w:r>
                              <w:rPr>
                                <w:rFonts w:hint="eastAsia"/>
                                <w:sz w:val="16"/>
                                <w:szCs w:val="16"/>
                              </w:rPr>
                              <w:t>・</w:t>
                            </w:r>
                            <w:r w:rsidRPr="000347F5">
                              <w:rPr>
                                <w:rFonts w:hint="eastAsia"/>
                                <w:sz w:val="16"/>
                                <w:szCs w:val="16"/>
                              </w:rPr>
                              <w:t>速報及び確報被害</w:t>
                            </w:r>
                          </w:p>
                          <w:p w14:paraId="1529423F" w14:textId="77777777" w:rsidR="006A5267" w:rsidRDefault="006A5267" w:rsidP="008B4B2B">
                            <w:pPr>
                              <w:spacing w:line="240" w:lineRule="exact"/>
                            </w:pPr>
                            <w:r>
                              <w:rPr>
                                <w:rFonts w:hint="eastAsia"/>
                                <w:sz w:val="16"/>
                                <w:szCs w:val="16"/>
                              </w:rPr>
                              <w:t>・応急対策実施状況</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rect w14:anchorId="25949D86" id="Rectangle 2381" o:spid="_x0000_s1366" style="position:absolute;left:0;text-align:left;margin-left:80.95pt;margin-top:2.6pt;width:155.25pt;height:45pt;z-index:2531840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" stroked="f">
                <v:fill opacity="0"/>
                <v:textbox inset="5.85pt,.7pt,5.85pt,.7pt">
                  <w:txbxContent>
                    <w:p w14:paraId="6B56D913" w14:textId="77777777" w:rsidR="006A5267" w:rsidRPr="000347F5" w:rsidRDefault="006A5267" w:rsidP="008B4B2B">
                      <w:pPr>
                        <w:spacing w:line="240" w:lineRule="exact"/>
                        <w:rPr>
                          <w:sz w:val="16"/>
                          <w:szCs w:val="16"/>
                        </w:rPr>
                      </w:pPr>
                      <w:r>
                        <w:rPr>
                          <w:rFonts w:hint="eastAsia"/>
                          <w:sz w:val="16"/>
                          <w:szCs w:val="16"/>
                        </w:rPr>
                        <w:t>・避難情報（避難指示</w:t>
                      </w:r>
                      <w:r>
                        <w:rPr>
                          <w:sz w:val="16"/>
                          <w:szCs w:val="16"/>
                        </w:rPr>
                        <w:t>等</w:t>
                      </w:r>
                      <w:r>
                        <w:rPr>
                          <w:rFonts w:hint="eastAsia"/>
                          <w:sz w:val="16"/>
                          <w:szCs w:val="16"/>
                        </w:rPr>
                        <w:t>）</w:t>
                      </w:r>
                    </w:p>
                    <w:p w14:paraId="7DD2A5A2" w14:textId="77777777" w:rsidR="006A5267" w:rsidRDefault="006A5267" w:rsidP="008B4B2B">
                      <w:pPr>
                        <w:spacing w:line="240" w:lineRule="exact"/>
                        <w:rPr>
                          <w:sz w:val="16"/>
                          <w:szCs w:val="16"/>
                        </w:rPr>
                      </w:pPr>
                      <w:r>
                        <w:rPr>
                          <w:rFonts w:hint="eastAsia"/>
                          <w:sz w:val="16"/>
                          <w:szCs w:val="16"/>
                        </w:rPr>
                        <w:t>・</w:t>
                      </w:r>
                      <w:r w:rsidRPr="000347F5">
                        <w:rPr>
                          <w:rFonts w:hint="eastAsia"/>
                          <w:sz w:val="16"/>
                          <w:szCs w:val="16"/>
                        </w:rPr>
                        <w:t>速報及び確報被害</w:t>
                      </w:r>
                    </w:p>
                    <w:p w14:paraId="1529423F" w14:textId="77777777" w:rsidR="006A5267" w:rsidRDefault="006A5267" w:rsidP="008B4B2B">
                      <w:pPr>
                        <w:spacing w:line="240" w:lineRule="exact"/>
                      </w:pPr>
                      <w:r>
                        <w:rPr>
                          <w:rFonts w:hint="eastAsia"/>
                          <w:sz w:val="16"/>
                          <w:szCs w:val="16"/>
                        </w:rPr>
                        <w:t>・応急対策実施状況</w:t>
                      </w:r>
                    </w:p>
                  </w:txbxContent>
                </v:textbox>
              </v:rect>
            </w:pict>
          </mc:Fallback>
        </mc:AlternateContent>
      </w:r>
      <w:r w:rsidRPr="001D6D10">
        <w:rPr>
          <w:rFonts w:hint="eastAsia"/>
          <w:noProof/>
        </w:rPr>
        <mc:AlternateContent>
          <mc:Choice Requires="wps">
            <w:drawing>
              <wp:anchor distT="0" distB="0" distL="114300" distR="114300" simplePos="0" relativeHeight="253089792" behindDoc="0" locked="0" layoutInCell="1" allowOverlap="1" wp14:anchorId="317D0F1C" wp14:editId="00EA9624">
                <wp:simplePos x="0" y="0"/>
                <wp:positionH relativeFrom="column">
                  <wp:posOffset>2057400</wp:posOffset>
                </wp:positionH>
                <wp:positionV relativeFrom="paragraph">
                  <wp:posOffset>0</wp:posOffset>
                </wp:positionV>
                <wp:extent cx="342900" cy="1066800"/>
                <wp:effectExtent l="19050" t="19050" r="19050" b="9525"/>
                <wp:wrapNone/>
                <wp:docPr id="4114" name="AutoShape 234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42900" cy="1066800"/>
                        </a:xfrm>
                        <a:prstGeom prst="upDownArrow">
                          <a:avLst>
                            <a:gd name="adj1" fmla="val 50000"/>
                            <a:gd name="adj2" fmla="val 62222"/>
                          </a:avLst>
                        </a:prstGeom>
                        <a:solidFill>
                          <a:srgbClr val="FFFFFF"/>
                        </a:solidFill>
                        <a:ln w="9525">
                          <a:solidFill>
                            <a:srgbClr val="000000"/>
                          </a:solidFill>
                          <a:miter lim="800000"/>
                          <a:headEnd/>
                          <a:tailEnd/>
                        </a:ln>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shape w14:anchorId="785C2D3A" id="AutoShape 2347" o:spid="_x0000_s1026" type="#_x0000_t70" style="position:absolute;left:0;text-align:left;margin-left:162pt;margin-top:0;width:27pt;height:84pt;z-index:253089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">
                <v:textbox inset="5.85pt,.7pt,5.85pt,.7pt"/>
              </v:shape>
            </w:pict>
          </mc:Fallback>
        </mc:AlternateContent>
      </w:r>
    </w:p>
    <w:p w14:paraId="2A14F3D1" w14:textId="77777777" w:rsidR="008B4B2B" w:rsidRPr="001D6D10" w:rsidRDefault="008B4B2B" w:rsidP="008B4B2B"/>
    <w:p w14:paraId="00DA51BA" w14:textId="77777777" w:rsidR="008B4B2B" w:rsidRPr="001D6D10" w:rsidRDefault="008B4B2B" w:rsidP="008B4B2B">
      <w:r w:rsidRPr="001D6D10">
        <w:rPr>
          <w:rFonts w:hint="eastAsia"/>
          <w:noProof/>
        </w:rPr>
        <mc:AlternateContent>
          <mc:Choice Requires="wps">
            <w:drawing>
              <wp:anchor distT="0" distB="0" distL="114300" distR="114300" simplePos="0" relativeHeight="253176832" behindDoc="0" locked="0" layoutInCell="1" allowOverlap="1" wp14:anchorId="5425B77B" wp14:editId="428E9D73">
                <wp:simplePos x="0" y="0"/>
                <wp:positionH relativeFrom="column">
                  <wp:posOffset>954272</wp:posOffset>
                </wp:positionH>
                <wp:positionV relativeFrom="paragraph">
                  <wp:posOffset>18740</wp:posOffset>
                </wp:positionV>
                <wp:extent cx="2171700" cy="457200"/>
                <wp:effectExtent l="19050" t="19050" r="9525" b="9525"/>
                <wp:wrapNone/>
                <wp:docPr id="2770" name="AutoShape 236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71700" cy="457200"/>
                        </a:xfrm>
                        <a:prstGeom prst="leftArrow">
                          <a:avLst>
                            <a:gd name="adj1" fmla="val 50000"/>
                            <a:gd name="adj2" fmla="val 72174"/>
                          </a:avLst>
                        </a:prstGeom>
                        <a:solidFill>
                          <a:srgbClr val="CCFFFF"/>
                        </a:solidFill>
                        <a:ln w="9525">
                          <a:solidFill>
                            <a:srgbClr val="000000"/>
                          </a:solidFill>
                          <a:miter lim="800000"/>
                          <a:headEnd/>
                          <a:tailEnd/>
                        </a:ln>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shape w14:anchorId="6F739DF6" id="AutoShape 2368" o:spid="_x0000_s1026" type="#_x0000_t66" style="position:absolute;left:0;text-align:left;margin-left:75.15pt;margin-top:1.5pt;width:171pt;height:36pt;z-index:2531768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" adj="3282" fillcolor="#cff">
                <v:textbox inset="5.85pt,.7pt,5.85pt,.7pt"/>
              </v:shape>
            </w:pict>
          </mc:Fallback>
        </mc:AlternateContent>
      </w:r>
    </w:p>
    <w:p w14:paraId="527DF3E8" w14:textId="77777777" w:rsidR="008B4B2B" w:rsidRPr="001D6D10" w:rsidRDefault="008B4B2B" w:rsidP="008B4B2B"/>
    <w:p w14:paraId="4502F2FC" w14:textId="77777777" w:rsidR="008B4B2B" w:rsidRPr="001D6D10" w:rsidRDefault="008B4B2B" w:rsidP="008B4B2B"/>
    <w:p w14:paraId="1D307B7A" w14:textId="77777777" w:rsidR="008B4B2B" w:rsidRPr="001D6D10" w:rsidRDefault="008B4B2B" w:rsidP="008B4B2B"/>
    <w:p w14:paraId="67FDA733" w14:textId="77777777" w:rsidR="008B4B2B" w:rsidRPr="001D6D10" w:rsidRDefault="008B4B2B" w:rsidP="008B4B2B"/>
    <w:p w14:paraId="09042BFE" w14:textId="77777777" w:rsidR="008B4B2B" w:rsidRPr="001D6D10" w:rsidRDefault="008B4B2B" w:rsidP="008B4B2B"/>
    <w:p w14:paraId="0018684C" w14:textId="77777777" w:rsidR="008B4B2B" w:rsidRPr="001D6D10" w:rsidRDefault="008B4B2B" w:rsidP="008B4B2B"/>
    <w:p w14:paraId="4365E7DA" w14:textId="77777777" w:rsidR="008B4B2B" w:rsidRPr="001D6D10" w:rsidRDefault="008B4B2B" w:rsidP="008B4B2B"/>
    <w:p w14:paraId="377C7189" w14:textId="77777777" w:rsidR="008B4B2B" w:rsidRPr="001D6D10" w:rsidRDefault="008B4B2B" w:rsidP="008B4B2B"/>
    <w:p w14:paraId="3C1C65FE" w14:textId="77777777" w:rsidR="008B4B2B" w:rsidRPr="001D6D10" w:rsidRDefault="008B4B2B" w:rsidP="008B4B2B">
      <w:r w:rsidRPr="001D6D10">
        <w:rPr>
          <w:rFonts w:hint="eastAsia"/>
          <w:noProof/>
        </w:rPr>
        <mc:AlternateContent>
          <mc:Choice Requires="wps">
            <w:drawing>
              <wp:anchor distT="0" distB="0" distL="114300" distR="114300" simplePos="0" relativeHeight="253156352" behindDoc="0" locked="0" layoutInCell="1" allowOverlap="1" wp14:anchorId="108073D7" wp14:editId="743B0B5C">
                <wp:simplePos x="0" y="0"/>
                <wp:positionH relativeFrom="column">
                  <wp:posOffset>4514215</wp:posOffset>
                </wp:positionH>
                <wp:positionV relativeFrom="paragraph">
                  <wp:posOffset>219600</wp:posOffset>
                </wp:positionV>
                <wp:extent cx="342900" cy="389613"/>
                <wp:effectExtent l="19050" t="19050" r="38100" b="10795"/>
                <wp:wrapNone/>
                <wp:docPr id="4123" name="AutoShape 236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42900" cy="389613"/>
                        </a:xfrm>
                        <a:prstGeom prst="upArrow">
                          <a:avLst>
                            <a:gd name="adj1" fmla="val 50000"/>
                            <a:gd name="adj2" fmla="val 41111"/>
                          </a:avLst>
                        </a:prstGeom>
                        <a:solidFill>
                          <a:srgbClr val="FFFFFF"/>
                        </a:solidFill>
                        <a:ln w="9525">
                          <a:solidFill>
                            <a:srgbClr val="000000"/>
                          </a:solidFill>
                          <a:miter lim="800000"/>
                          <a:headEnd/>
                          <a:tailEnd/>
                        </a:ln>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shape w14:anchorId="3A750CC7" id="AutoShape 2360" o:spid="_x0000_s1026" type="#_x0000_t68" style="position:absolute;left:0;text-align:left;margin-left:355.45pt;margin-top:17.3pt;width:27pt;height:30.7pt;z-index:2531563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" adj="7815">
                <v:textbox inset="5.85pt,.7pt,5.85pt,.7pt"/>
              </v:shape>
            </w:pict>
          </mc:Fallback>
        </mc:AlternateContent>
      </w:r>
      <w:r w:rsidRPr="001D6D10">
        <w:rPr>
          <w:rFonts w:hint="eastAsia"/>
          <w:noProof/>
        </w:rPr>
        <mc:AlternateContent>
          <mc:Choice Requires="wps">
            <w:drawing>
              <wp:anchor distT="0" distB="0" distL="114300" distR="114300" simplePos="0" relativeHeight="253128704" behindDoc="0" locked="0" layoutInCell="1" allowOverlap="1" wp14:anchorId="3F004E4E" wp14:editId="182FB1C6">
                <wp:simplePos x="0" y="0"/>
                <wp:positionH relativeFrom="column">
                  <wp:posOffset>1604038</wp:posOffset>
                </wp:positionH>
                <wp:positionV relativeFrom="paragraph">
                  <wp:posOffset>116234</wp:posOffset>
                </wp:positionV>
                <wp:extent cx="571500" cy="1487556"/>
                <wp:effectExtent l="19050" t="0" r="38100" b="36830"/>
                <wp:wrapNone/>
                <wp:docPr id="4120" name="AutoShape 235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71500" cy="1487556"/>
                        </a:xfrm>
                        <a:prstGeom prst="downArrow">
                          <a:avLst>
                            <a:gd name="adj1" fmla="val 44444"/>
                            <a:gd name="adj2" fmla="val 63370"/>
                          </a:avLst>
                        </a:prstGeom>
                        <a:solidFill>
                          <a:srgbClr val="CCFFFF"/>
                        </a:solidFill>
                        <a:ln w="9525">
                          <a:solidFill>
                            <a:srgbClr val="000000"/>
                          </a:solidFill>
                          <a:miter lim="800000"/>
                          <a:headEnd/>
                          <a:tailEnd/>
                        </a:ln>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shape w14:anchorId="18ADE96F" id="AutoShape 2356" o:spid="_x0000_s1026" type="#_x0000_t67" style="position:absolute;left:0;text-align:left;margin-left:126.3pt;margin-top:9.15pt;width:45pt;height:117.15pt;z-index:253128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" adj="16341,6000" fillcolor="#cff">
                <v:textbox inset="5.85pt,.7pt,5.85pt,.7pt"/>
              </v:shape>
            </w:pict>
          </mc:Fallback>
        </mc:AlternateContent>
      </w:r>
    </w:p>
    <w:p w14:paraId="28819738" w14:textId="77777777" w:rsidR="008B4B2B" w:rsidRPr="001D6D10" w:rsidRDefault="008B4B2B" w:rsidP="008B4B2B"/>
    <w:p w14:paraId="0E92FFEF" w14:textId="77777777" w:rsidR="008B4B2B" w:rsidRPr="001D6D10" w:rsidRDefault="008B4B2B" w:rsidP="008B4B2B"/>
    <w:p w14:paraId="38713D54" w14:textId="77777777" w:rsidR="008B4B2B" w:rsidRPr="001D6D10" w:rsidRDefault="008B4B2B" w:rsidP="008B4B2B">
      <w:r w:rsidRPr="001D6D10">
        <w:rPr>
          <w:rFonts w:hint="eastAsia"/>
          <w:noProof/>
        </w:rPr>
        <mc:AlternateContent>
          <mc:Choice Requires="wps">
            <w:drawing>
              <wp:anchor distT="0" distB="0" distL="114300" distR="114300" simplePos="0" relativeHeight="253103104" behindDoc="0" locked="0" layoutInCell="1" allowOverlap="1" wp14:anchorId="7B414506" wp14:editId="78C3BB63">
                <wp:simplePos x="0" y="0"/>
                <wp:positionH relativeFrom="column">
                  <wp:posOffset>4090946</wp:posOffset>
                </wp:positionH>
                <wp:positionV relativeFrom="paragraph">
                  <wp:posOffset>14440</wp:posOffset>
                </wp:positionV>
                <wp:extent cx="1485900" cy="1028700"/>
                <wp:effectExtent l="9525" t="9525" r="9525" b="9525"/>
                <wp:wrapNone/>
                <wp:docPr id="4113" name="AutoShape 235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85900" cy="1028700"/>
                        </a:xfrm>
                        <a:prstGeom prst="roundRect">
                          <a:avLst>
                            <a:gd name="adj" fmla="val 16667"/>
                          </a:avLst>
                        </a:prstGeom>
                        <a:solidFill>
                          <a:srgbClr val="FFFFFF"/>
                        </a:solidFill>
                        <a:ln w="9525">
                          <a:solidFill>
                            <a:srgbClr val="000000"/>
                          </a:solidFill>
                          <a:round/>
                          <a:headEnd/>
                          <a:tailEnd/>
                        </a:ln>
                      </wps:spPr>
                      <wps:txbx>
                        <w:txbxContent>
                          <w:p w14:paraId="0F7106DF" w14:textId="77777777" w:rsidR="006A5267" w:rsidRDefault="006A5267" w:rsidP="008B4B2B">
                            <w:pPr>
                              <w:ind w:left="241" w:hangingChars="100" w:hanging="241"/>
                              <w:rPr>
                                <w:sz w:val="24"/>
                              </w:rPr>
                            </w:pPr>
                            <w:r>
                              <w:rPr>
                                <w:rFonts w:hint="eastAsia"/>
                                <w:sz w:val="24"/>
                              </w:rPr>
                              <w:t>・</w:t>
                            </w:r>
                            <w:r w:rsidRPr="006E374D">
                              <w:rPr>
                                <w:rFonts w:hint="eastAsia"/>
                                <w:sz w:val="24"/>
                              </w:rPr>
                              <w:t>消防・警察</w:t>
                            </w:r>
                            <w:r>
                              <w:rPr>
                                <w:rFonts w:hint="eastAsia"/>
                                <w:sz w:val="24"/>
                              </w:rPr>
                              <w:t>・</w:t>
                            </w:r>
                          </w:p>
                          <w:p w14:paraId="7E21497D" w14:textId="77777777" w:rsidR="006A5267" w:rsidRDefault="006A5267" w:rsidP="008B4B2B">
                            <w:pPr>
                              <w:ind w:leftChars="100" w:left="211"/>
                              <w:rPr>
                                <w:sz w:val="28"/>
                                <w:szCs w:val="28"/>
                              </w:rPr>
                            </w:pPr>
                            <w:r w:rsidRPr="006E374D">
                              <w:rPr>
                                <w:rFonts w:hint="eastAsia"/>
                                <w:sz w:val="24"/>
                              </w:rPr>
                              <w:t>自衛隊</w:t>
                            </w:r>
                            <w:r>
                              <w:rPr>
                                <w:rFonts w:hint="eastAsia"/>
                                <w:sz w:val="24"/>
                              </w:rPr>
                              <w:t>・海保</w:t>
                            </w:r>
                            <w:r w:rsidRPr="006E374D">
                              <w:rPr>
                                <w:rFonts w:hint="eastAsia"/>
                                <w:sz w:val="24"/>
                              </w:rPr>
                              <w:t>等</w:t>
                            </w:r>
                          </w:p>
                          <w:p w14:paraId="5E0D2E41" w14:textId="77777777" w:rsidR="006A5267" w:rsidRPr="006E374D" w:rsidRDefault="006A5267" w:rsidP="008B4B2B">
                            <w:pPr>
                              <w:ind w:left="241" w:hangingChars="100" w:hanging="241"/>
                              <w:rPr>
                                <w:sz w:val="24"/>
                              </w:rPr>
                            </w:pPr>
                            <w:r>
                              <w:rPr>
                                <w:rFonts w:hint="eastAsia"/>
                                <w:sz w:val="24"/>
                              </w:rPr>
                              <w:t>・ライフライン等防災関係機関</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roundrect w14:anchorId="7B414506" id="AutoShape 2351" o:spid="_x0000_s1367" style="position:absolute;left:0;text-align:left;margin-left:322.1pt;margin-top:1.15pt;width:117pt;height:81pt;z-index:2531031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">
                <v:textbox inset="5.85pt,.7pt,5.85pt,.7pt">
                  <w:txbxContent>
                    <w:p w14:paraId="0F7106DF" w14:textId="77777777" w:rsidR="006A5267" w:rsidRDefault="006A5267" w:rsidP="008B4B2B">
                      <w:pPr>
                        <w:ind w:left="241" w:hangingChars="100" w:hanging="241"/>
                        <w:rPr>
                          <w:sz w:val="24"/>
                        </w:rPr>
                      </w:pPr>
                      <w:r>
                        <w:rPr>
                          <w:rFonts w:hint="eastAsia"/>
                          <w:sz w:val="24"/>
                        </w:rPr>
                        <w:t>・</w:t>
                      </w:r>
                      <w:r w:rsidRPr="006E374D">
                        <w:rPr>
                          <w:rFonts w:hint="eastAsia"/>
                          <w:sz w:val="24"/>
                        </w:rPr>
                        <w:t>消防・警察</w:t>
                      </w:r>
                      <w:r>
                        <w:rPr>
                          <w:rFonts w:hint="eastAsia"/>
                          <w:sz w:val="24"/>
                        </w:rPr>
                        <w:t>・</w:t>
                      </w:r>
                    </w:p>
                    <w:p w14:paraId="7E21497D" w14:textId="77777777" w:rsidR="006A5267" w:rsidRDefault="006A5267" w:rsidP="008B4B2B">
                      <w:pPr>
                        <w:ind w:leftChars="100" w:left="211"/>
                        <w:rPr>
                          <w:sz w:val="28"/>
                          <w:szCs w:val="28"/>
                        </w:rPr>
                      </w:pPr>
                      <w:r w:rsidRPr="006E374D">
                        <w:rPr>
                          <w:rFonts w:hint="eastAsia"/>
                          <w:sz w:val="24"/>
                        </w:rPr>
                        <w:t>自衛隊</w:t>
                      </w:r>
                      <w:r>
                        <w:rPr>
                          <w:rFonts w:hint="eastAsia"/>
                          <w:sz w:val="24"/>
                        </w:rPr>
                        <w:t>・海保</w:t>
                      </w:r>
                      <w:r w:rsidRPr="006E374D">
                        <w:rPr>
                          <w:rFonts w:hint="eastAsia"/>
                          <w:sz w:val="24"/>
                        </w:rPr>
                        <w:t>等</w:t>
                      </w:r>
                    </w:p>
                    <w:p w14:paraId="5E0D2E41" w14:textId="77777777" w:rsidR="006A5267" w:rsidRPr="006E374D" w:rsidRDefault="006A5267" w:rsidP="008B4B2B">
                      <w:pPr>
                        <w:ind w:left="241" w:hangingChars="100" w:hanging="241"/>
                        <w:rPr>
                          <w:sz w:val="24"/>
                        </w:rPr>
                      </w:pPr>
                      <w:r>
                        <w:rPr>
                          <w:rFonts w:hint="eastAsia"/>
                          <w:sz w:val="24"/>
                        </w:rPr>
                        <w:t>・ライフライン等防災関係機関</w:t>
                      </w:r>
                    </w:p>
                  </w:txbxContent>
                </v:textbox>
              </v:roundrect>
            </w:pict>
          </mc:Fallback>
        </mc:AlternateContent>
      </w:r>
    </w:p>
    <w:p w14:paraId="6B4AA09F" w14:textId="77777777" w:rsidR="008B4B2B" w:rsidRPr="001D6D10" w:rsidRDefault="008B4B2B" w:rsidP="008B4B2B"/>
    <w:p w14:paraId="2900DD30" w14:textId="77777777" w:rsidR="008B4B2B" w:rsidRPr="001D6D10" w:rsidRDefault="008B4B2B" w:rsidP="008B4B2B"/>
    <w:p w14:paraId="213243CB" w14:textId="77777777" w:rsidR="008B4B2B" w:rsidRPr="001D6D10" w:rsidRDefault="008B4B2B" w:rsidP="008B4B2B">
      <w:r w:rsidRPr="001D6D10">
        <w:rPr>
          <w:rFonts w:hint="eastAsia"/>
          <w:noProof/>
        </w:rPr>
        <mc:AlternateContent>
          <mc:Choice Requires="wps">
            <w:drawing>
              <wp:anchor distT="0" distB="0" distL="114300" distR="114300" simplePos="0" relativeHeight="253173760" behindDoc="0" locked="0" layoutInCell="1" allowOverlap="1" wp14:anchorId="6FAA65DD" wp14:editId="07F8C997">
                <wp:simplePos x="0" y="0"/>
                <wp:positionH relativeFrom="column">
                  <wp:posOffset>834385</wp:posOffset>
                </wp:positionH>
                <wp:positionV relativeFrom="paragraph">
                  <wp:posOffset>149581</wp:posOffset>
                </wp:positionV>
                <wp:extent cx="243331" cy="457200"/>
                <wp:effectExtent l="83503" t="68897" r="30797" b="49848"/>
                <wp:wrapNone/>
                <wp:docPr id="4122" name="AutoShape 237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14682858">
                          <a:off x="0" y="0"/>
                          <a:ext cx="243331" cy="457200"/>
                        </a:xfrm>
                        <a:prstGeom prst="rightArrow">
                          <a:avLst>
                            <a:gd name="adj1" fmla="val 50000"/>
                            <a:gd name="adj2" fmla="val 25000"/>
                          </a:avLst>
                        </a:prstGeom>
                        <a:solidFill>
                          <a:srgbClr val="FFFFFF"/>
                        </a:solidFill>
                        <a:ln w="9525">
                          <a:solidFill>
                            <a:srgbClr val="000000"/>
                          </a:solidFill>
                          <a:miter lim="800000"/>
                          <a:headEnd/>
                          <a:tailEnd/>
                        </a:ln>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shape w14:anchorId="03FB965B" id="AutoShape 2370" o:spid="_x0000_s1026" type="#_x0000_t13" style="position:absolute;left:0;text-align:left;margin-left:65.7pt;margin-top:11.8pt;width:19.15pt;height:36pt;rotation:-7555364fd;z-index:2531737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">
                <v:textbox inset="5.85pt,.7pt,5.85pt,.7pt"/>
              </v:shape>
            </w:pict>
          </mc:Fallback>
        </mc:AlternateContent>
      </w:r>
    </w:p>
    <w:p w14:paraId="205F95EB" w14:textId="77777777" w:rsidR="008B4B2B" w:rsidRPr="001D6D10" w:rsidRDefault="00010028" w:rsidP="008B4B2B">
      <w:r w:rsidRPr="001D6D10">
        <w:rPr>
          <w:rFonts w:hint="eastAsia"/>
          <w:noProof/>
        </w:rPr>
        <mc:AlternateContent>
          <mc:Choice Requires="wps">
            <w:drawing>
              <wp:anchor distT="0" distB="0" distL="114300" distR="114300" simplePos="0" relativeHeight="253165568" behindDoc="0" locked="0" layoutInCell="1" allowOverlap="1" wp14:anchorId="230B95A5" wp14:editId="6E5A6CCF">
                <wp:simplePos x="0" y="0"/>
                <wp:positionH relativeFrom="column">
                  <wp:posOffset>3209290</wp:posOffset>
                </wp:positionH>
                <wp:positionV relativeFrom="paragraph">
                  <wp:posOffset>246380</wp:posOffset>
                </wp:positionV>
                <wp:extent cx="571500" cy="342900"/>
                <wp:effectExtent l="0" t="19050" r="38100" b="38100"/>
                <wp:wrapNone/>
                <wp:docPr id="2756" name="AutoShape 236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71500" cy="342900"/>
                        </a:xfrm>
                        <a:prstGeom prst="rightArrow">
                          <a:avLst>
                            <a:gd name="adj1" fmla="val 50000"/>
                            <a:gd name="adj2" fmla="val 41667"/>
                          </a:avLst>
                        </a:prstGeom>
                        <a:solidFill>
                          <a:srgbClr val="FFFFFF"/>
                        </a:solidFill>
                        <a:ln w="9525">
                          <a:solidFill>
                            <a:srgbClr val="000000"/>
                          </a:solidFill>
                          <a:miter lim="800000"/>
                          <a:headEnd/>
                          <a:tailEnd/>
                        </a:ln>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shape w14:anchorId="4D9EC2EC" id="AutoShape 2365" o:spid="_x0000_s1026" type="#_x0000_t13" style="position:absolute;left:0;text-align:left;margin-left:252.7pt;margin-top:19.4pt;width:45pt;height:27pt;z-index:2531655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">
                <v:textbox inset="5.85pt,.7pt,5.85pt,.7pt"/>
              </v:shape>
            </w:pict>
          </mc:Fallback>
        </mc:AlternateContent>
      </w:r>
      <w:r w:rsidR="008B4B2B" w:rsidRPr="001D6D10">
        <w:rPr>
          <w:rFonts w:hint="eastAsia"/>
          <w:noProof/>
        </w:rPr>
        <mc:AlternateContent>
          <mc:Choice Requires="wps">
            <w:drawing>
              <wp:anchor distT="0" distB="0" distL="114300" distR="114300" simplePos="0" relativeHeight="253162496" behindDoc="0" locked="0" layoutInCell="1" allowOverlap="1" wp14:anchorId="461E40F3" wp14:editId="1E0D41EE">
                <wp:simplePos x="0" y="0"/>
                <wp:positionH relativeFrom="column">
                  <wp:posOffset>3932555</wp:posOffset>
                </wp:positionH>
                <wp:positionV relativeFrom="paragraph">
                  <wp:posOffset>182549</wp:posOffset>
                </wp:positionV>
                <wp:extent cx="1257300" cy="457200"/>
                <wp:effectExtent l="0" t="0" r="0" b="0"/>
                <wp:wrapNone/>
                <wp:docPr id="2755" name="Rectangle 236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57300" cy="4572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33B599AC" w14:textId="77777777" w:rsidR="006A5267" w:rsidRPr="003354B4" w:rsidRDefault="006A5267" w:rsidP="008B4B2B">
                            <w:pPr>
                              <w:rPr>
                                <w:sz w:val="28"/>
                                <w:szCs w:val="28"/>
                              </w:rPr>
                            </w:pPr>
                            <w:r w:rsidRPr="003354B4">
                              <w:rPr>
                                <w:rFonts w:hint="eastAsia"/>
                                <w:sz w:val="28"/>
                                <w:szCs w:val="28"/>
                              </w:rPr>
                              <w:t>：情報の流れ</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rect w14:anchorId="461E40F3" id="Rectangle 2364" o:spid="_x0000_s1368" style="position:absolute;left:0;text-align:left;margin-left:309.65pt;margin-top:14.35pt;width:99pt;height:36pt;z-index:2531624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" stroked="f">
                <v:textbox inset="5.85pt,.7pt,5.85pt,.7pt">
                  <w:txbxContent>
                    <w:p w14:paraId="33B599AC" w14:textId="77777777" w:rsidR="006A5267" w:rsidRPr="003354B4" w:rsidRDefault="006A5267" w:rsidP="008B4B2B">
                      <w:pPr>
                        <w:rPr>
                          <w:sz w:val="28"/>
                          <w:szCs w:val="28"/>
                        </w:rPr>
                      </w:pPr>
                      <w:r w:rsidRPr="003354B4">
                        <w:rPr>
                          <w:rFonts w:hint="eastAsia"/>
                          <w:sz w:val="28"/>
                          <w:szCs w:val="28"/>
                        </w:rPr>
                        <w:t>：情報の流れ</w:t>
                      </w:r>
                    </w:p>
                  </w:txbxContent>
                </v:textbox>
              </v:rect>
            </w:pict>
          </mc:Fallback>
        </mc:AlternateContent>
      </w:r>
      <w:r w:rsidR="008B4B2B" w:rsidRPr="001D6D10">
        <w:rPr>
          <w:rFonts w:hint="eastAsia"/>
          <w:noProof/>
        </w:rPr>
        <mc:AlternateContent>
          <mc:Choice Requires="wps">
            <w:drawing>
              <wp:anchor distT="0" distB="0" distL="114300" distR="114300" simplePos="0" relativeHeight="253304832" behindDoc="0" locked="0" layoutInCell="1" allowOverlap="1" wp14:anchorId="71AFE64E" wp14:editId="7DA6FD55">
                <wp:simplePos x="0" y="0"/>
                <wp:positionH relativeFrom="column">
                  <wp:posOffset>1142254</wp:posOffset>
                </wp:positionH>
                <wp:positionV relativeFrom="paragraph">
                  <wp:posOffset>146988</wp:posOffset>
                </wp:positionV>
                <wp:extent cx="1600200" cy="457200"/>
                <wp:effectExtent l="9525" t="9525" r="9525" b="9525"/>
                <wp:wrapNone/>
                <wp:docPr id="2760" name="Rectangle 235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600200" cy="457200"/>
                        </a:xfrm>
                        <a:prstGeom prst="rect">
                          <a:avLst/>
                        </a:prstGeom>
                        <a:solidFill>
                          <a:srgbClr val="FFFFFF"/>
                        </a:solidFill>
                        <a:ln w="9525">
                          <a:solidFill>
                            <a:srgbClr val="000000"/>
                          </a:solidFill>
                          <a:miter lim="800000"/>
                          <a:headEnd/>
                          <a:tailEnd/>
                        </a:ln>
                      </wps:spPr>
                      <wps:txbx>
                        <w:txbxContent>
                          <w:p w14:paraId="06EFBCE1" w14:textId="77777777" w:rsidR="006A5267" w:rsidRPr="00E019A9" w:rsidRDefault="006A5267" w:rsidP="008B4B2B">
                            <w:pPr>
                              <w:jc w:val="center"/>
                              <w:rPr>
                                <w:sz w:val="28"/>
                                <w:szCs w:val="28"/>
                              </w:rPr>
                            </w:pPr>
                            <w:r w:rsidRPr="00E019A9">
                              <w:rPr>
                                <w:rFonts w:hint="eastAsia"/>
                                <w:sz w:val="28"/>
                                <w:szCs w:val="28"/>
                              </w:rPr>
                              <w:t>報</w:t>
                            </w:r>
                            <w:r>
                              <w:rPr>
                                <w:rFonts w:hint="eastAsia"/>
                                <w:sz w:val="28"/>
                                <w:szCs w:val="28"/>
                              </w:rPr>
                              <w:t xml:space="preserve">　</w:t>
                            </w:r>
                            <w:r w:rsidRPr="00E019A9">
                              <w:rPr>
                                <w:rFonts w:hint="eastAsia"/>
                                <w:sz w:val="28"/>
                                <w:szCs w:val="28"/>
                              </w:rPr>
                              <w:t>道</w:t>
                            </w:r>
                            <w:r>
                              <w:rPr>
                                <w:rFonts w:hint="eastAsia"/>
                                <w:sz w:val="28"/>
                                <w:szCs w:val="28"/>
                              </w:rPr>
                              <w:t xml:space="preserve">　</w:t>
                            </w:r>
                            <w:r w:rsidRPr="00E019A9">
                              <w:rPr>
                                <w:rFonts w:hint="eastAsia"/>
                                <w:sz w:val="28"/>
                                <w:szCs w:val="28"/>
                              </w:rPr>
                              <w:t>機</w:t>
                            </w:r>
                            <w:r>
                              <w:rPr>
                                <w:rFonts w:hint="eastAsia"/>
                                <w:sz w:val="28"/>
                                <w:szCs w:val="28"/>
                              </w:rPr>
                              <w:t xml:space="preserve">　</w:t>
                            </w:r>
                            <w:r w:rsidRPr="00E019A9">
                              <w:rPr>
                                <w:rFonts w:hint="eastAsia"/>
                                <w:sz w:val="28"/>
                                <w:szCs w:val="28"/>
                              </w:rPr>
                              <w:t>関</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rect w14:anchorId="71AFE64E" id="Rectangle 2352" o:spid="_x0000_s1369" style="position:absolute;left:0;text-align:left;margin-left:89.95pt;margin-top:11.55pt;width:126pt;height:36pt;z-index:2533048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">
                <v:textbox inset="5.85pt,.7pt,5.85pt,.7pt">
                  <w:txbxContent>
                    <w:p w14:paraId="06EFBCE1" w14:textId="77777777" w:rsidR="006A5267" w:rsidRPr="00E019A9" w:rsidRDefault="006A5267" w:rsidP="008B4B2B">
                      <w:pPr>
                        <w:jc w:val="center"/>
                        <w:rPr>
                          <w:sz w:val="28"/>
                          <w:szCs w:val="28"/>
                        </w:rPr>
                      </w:pPr>
                      <w:r w:rsidRPr="00E019A9">
                        <w:rPr>
                          <w:rFonts w:hint="eastAsia"/>
                          <w:sz w:val="28"/>
                          <w:szCs w:val="28"/>
                        </w:rPr>
                        <w:t>報</w:t>
                      </w:r>
                      <w:r>
                        <w:rPr>
                          <w:rFonts w:hint="eastAsia"/>
                          <w:sz w:val="28"/>
                          <w:szCs w:val="28"/>
                        </w:rPr>
                        <w:t xml:space="preserve">　</w:t>
                      </w:r>
                      <w:r w:rsidRPr="00E019A9">
                        <w:rPr>
                          <w:rFonts w:hint="eastAsia"/>
                          <w:sz w:val="28"/>
                          <w:szCs w:val="28"/>
                        </w:rPr>
                        <w:t>道</w:t>
                      </w:r>
                      <w:r>
                        <w:rPr>
                          <w:rFonts w:hint="eastAsia"/>
                          <w:sz w:val="28"/>
                          <w:szCs w:val="28"/>
                        </w:rPr>
                        <w:t xml:space="preserve">　</w:t>
                      </w:r>
                      <w:r w:rsidRPr="00E019A9">
                        <w:rPr>
                          <w:rFonts w:hint="eastAsia"/>
                          <w:sz w:val="28"/>
                          <w:szCs w:val="28"/>
                        </w:rPr>
                        <w:t>機</w:t>
                      </w:r>
                      <w:r>
                        <w:rPr>
                          <w:rFonts w:hint="eastAsia"/>
                          <w:sz w:val="28"/>
                          <w:szCs w:val="28"/>
                        </w:rPr>
                        <w:t xml:space="preserve">　</w:t>
                      </w:r>
                      <w:r w:rsidRPr="00E019A9">
                        <w:rPr>
                          <w:rFonts w:hint="eastAsia"/>
                          <w:sz w:val="28"/>
                          <w:szCs w:val="28"/>
                        </w:rPr>
                        <w:t>関</w:t>
                      </w:r>
                    </w:p>
                  </w:txbxContent>
                </v:textbox>
              </v:rect>
            </w:pict>
          </mc:Fallback>
        </mc:AlternateContent>
      </w:r>
    </w:p>
    <w:p w14:paraId="0E0723AD" w14:textId="77777777" w:rsidR="008B4B2B" w:rsidRPr="001D6D10" w:rsidRDefault="008B4B2B" w:rsidP="008B4B2B"/>
    <w:p w14:paraId="42F06C61" w14:textId="77777777" w:rsidR="008B4B2B" w:rsidRPr="001D6D10" w:rsidRDefault="008B4B2B" w:rsidP="008B4B2B"/>
    <w:bookmarkStart w:id="227" w:name="_MON_1730802325"/>
    <w:bookmarkEnd w:id="227"/>
    <w:p w14:paraId="1C7A987C" w14:textId="2CAFC6B7" w:rsidR="008C596E" w:rsidRPr="001D6D10" w:rsidRDefault="001A7D09" w:rsidP="008B4B2B">
      <w:pPr>
        <w:rPr>
          <w:rFonts w:ascii="ＭＳ ゴシック" w:eastAsia="ＭＳ ゴシック" w:hAnsi="ＭＳ ゴシック"/>
          <w:sz w:val="22"/>
          <w:szCs w:val="22"/>
          <w:u w:val="double"/>
        </w:rPr>
      </w:pPr>
      <w:r w:rsidRPr="001D6D10">
        <w:rPr>
          <w:rFonts w:ascii="ＭＳ ゴシック" w:eastAsia="ＭＳ ゴシック" w:hAnsi="ＭＳ ゴシック"/>
          <w:sz w:val="22"/>
          <w:szCs w:val="22"/>
        </w:rPr>
        <w:object w:dxaOrig="13093" w:dyaOrig="22490" w14:anchorId="56488FB5">
          <v:shape id="_x0000_i1026" type="#_x0000_t75" style="width:388.85pt;height:670.2pt" o:ole="">
            <v:imagedata r:id="rId21" o:title=""/>
          </v:shape>
          <o:OLEObject Type="Embed" ProgID="Excel.Sheet.8" ShapeID="_x0000_i1026" DrawAspect="Content" ObjectID="_1854798582" r:id="rId22"/>
        </w:object>
      </w:r>
      <w:r w:rsidR="008B4B2B" w:rsidRPr="001D6D10">
        <w:rPr>
          <w:rFonts w:hint="eastAsia"/>
          <w:noProof/>
        </w:rPr>
        <mc:AlternateContent>
          <mc:Choice Requires="wps">
            <w:drawing>
              <wp:anchor distT="0" distB="0" distL="114300" distR="114300" simplePos="0" relativeHeight="253310976" behindDoc="0" locked="0" layoutInCell="1" allowOverlap="1" wp14:anchorId="38BDF968" wp14:editId="0A5196B9">
                <wp:simplePos x="0" y="0"/>
                <wp:positionH relativeFrom="margin">
                  <wp:posOffset>-635</wp:posOffset>
                </wp:positionH>
                <wp:positionV relativeFrom="paragraph">
                  <wp:posOffset>-327660</wp:posOffset>
                </wp:positionV>
                <wp:extent cx="1593215" cy="314325"/>
                <wp:effectExtent l="0" t="0" r="6985" b="9525"/>
                <wp:wrapNone/>
                <wp:docPr id="3907" name="テキスト ボックス 3907"/>
                <wp:cNvGraphicFramePr/>
                <a:graphic xmlns:a="http://schemas.openxmlformats.org/drawingml/2006/main">
                  <a:graphicData uri="http://schemas.microsoft.com/office/word/2010/wordprocessingShape">
                    <wps:wsp>
                      <wps:cNvSpPr txBox="1"/>
                      <wps:spPr>
                        <a:xfrm>
                          <a:off x="0" y="0"/>
                          <a:ext cx="1593215" cy="314325"/>
                        </a:xfrm>
                        <a:prstGeom prst="rect">
                          <a:avLst/>
                        </a:prstGeom>
                        <a:solidFill>
                          <a:sysClr val="window" lastClr="FFFFFF"/>
                        </a:solidFill>
                        <a:ln w="6350">
                          <a:noFill/>
                        </a:ln>
                      </wps:spPr>
                      <wps:txbx>
                        <w:txbxContent>
                          <w:p w14:paraId="131F878D" w14:textId="77777777" w:rsidR="006A5267" w:rsidRPr="00B2360A" w:rsidRDefault="006A5267" w:rsidP="008B4B2B">
                            <w:pPr>
                              <w:rPr>
                                <w:rFonts w:ascii="ＭＳ ゴシック" w:eastAsia="ＭＳ ゴシック" w:hAnsi="ＭＳ ゴシック"/>
                                <w:sz w:val="22"/>
                                <w:szCs w:val="22"/>
                              </w:rPr>
                            </w:pPr>
                            <w:r w:rsidRPr="006C03BB">
                              <w:rPr>
                                <w:rFonts w:ascii="ＭＳ ゴシック" w:eastAsia="ＭＳ ゴシック" w:hAnsi="ＭＳ ゴシック" w:hint="eastAsia"/>
                                <w:sz w:val="22"/>
                                <w:szCs w:val="22"/>
                              </w:rPr>
                              <w:t>【情報収集伝達経路】</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xmlns:w16cei="http://schemas.microsoft.com/office/word/2026/wordml/cei">
            <w:pict>
              <v:shape w14:anchorId="38BDF968" id="テキスト ボックス 3907" o:spid="_x0000_s1370" type="#_x0000_t202" style="position:absolute;left:0;text-align:left;margin-left:-.05pt;margin-top:-25.8pt;width:125.45pt;height:24.75pt;z-index:253310976;visibility:visible;mso-wrap-style:none;mso-height-percent:0;mso-wrap-distance-left:9pt;mso-wrap-distance-top:0;mso-wrap-distance-right:9pt;mso-wrap-distance-bottom:0;mso-position-horizontal:absolute;mso-position-horizontal-relative:margin;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" fillcolor="window" stroked="f" strokeweight=".5pt">
                <v:textbox>
                  <w:txbxContent>
                    <w:p w14:paraId="131F878D" w14:textId="77777777" w:rsidR="006A5267" w:rsidRPr="00B2360A" w:rsidRDefault="006A5267" w:rsidP="008B4B2B">
                      <w:pPr>
                        <w:rPr>
                          <w:rFonts w:ascii="ＭＳ ゴシック" w:eastAsia="ＭＳ ゴシック" w:hAnsi="ＭＳ ゴシック"/>
                          <w:sz w:val="22"/>
                          <w:szCs w:val="22"/>
                        </w:rPr>
                      </w:pPr>
                      <w:r w:rsidRPr="006C03BB">
                        <w:rPr>
                          <w:rFonts w:ascii="ＭＳ ゴシック" w:eastAsia="ＭＳ ゴシック" w:hAnsi="ＭＳ ゴシック" w:hint="eastAsia"/>
                          <w:sz w:val="22"/>
                          <w:szCs w:val="22"/>
                        </w:rPr>
                        <w:t>【情報収集伝達経路】</w:t>
                      </w:r>
                    </w:p>
                  </w:txbxContent>
                </v:textbox>
                <w10:wrap anchorx="margin"/>
              </v:shape>
            </w:pict>
          </mc:Fallback>
        </mc:AlternateContent>
      </w:r>
    </w:p>
    <w:p w14:paraId="26389F52" w14:textId="77777777" w:rsidR="008B4B2B" w:rsidRPr="001D6D10" w:rsidRDefault="008B4B2B" w:rsidP="00E0548A">
      <w:pPr>
        <w:pStyle w:val="3"/>
        <w:ind w:firstLineChars="0" w:firstLine="0"/>
      </w:pPr>
      <w:bookmarkStart w:id="228" w:name="_Toc122436924"/>
      <w:bookmarkStart w:id="229" w:name="_Toc222486607"/>
      <w:bookmarkStart w:id="230" w:name="_Toc242870277"/>
      <w:r w:rsidRPr="001D6D10">
        <w:rPr>
          <w:rFonts w:hint="eastAsia"/>
        </w:rPr>
        <w:lastRenderedPageBreak/>
        <w:t>第１　被害情報等の収集伝達</w:t>
      </w:r>
      <w:r w:rsidRPr="001D6D10">
        <w:rPr>
          <w:rFonts w:hint="eastAsia"/>
          <w:shd w:val="pct15" w:color="auto" w:fill="FFFFFF"/>
        </w:rPr>
        <w:t>【第１フェーズ】</w:t>
      </w:r>
      <w:bookmarkEnd w:id="228"/>
      <w:bookmarkEnd w:id="229"/>
      <w:bookmarkEnd w:id="230"/>
    </w:p>
    <w:p w14:paraId="6544D132" w14:textId="77777777" w:rsidR="008B4B2B" w:rsidRPr="001D6D10" w:rsidRDefault="008B4B2B" w:rsidP="008B4B2B">
      <w:pPr>
        <w:pStyle w:val="a0"/>
        <w:ind w:firstLineChars="500" w:firstLine="1105"/>
        <w:rPr>
          <w:rFonts w:ascii="ＭＳ ゴシック" w:eastAsia="ＭＳ ゴシック" w:hAnsi="ＭＳ ゴシック"/>
          <w:sz w:val="22"/>
          <w:szCs w:val="22"/>
          <w:bdr w:val="single" w:sz="4" w:space="0" w:color="auto"/>
        </w:rPr>
      </w:pPr>
      <w:r w:rsidRPr="001D6D10">
        <w:rPr>
          <w:rFonts w:ascii="ＭＳ ゴシック" w:eastAsia="ＭＳ ゴシック" w:hAnsi="ＭＳ ゴシック" w:hint="eastAsia"/>
          <w:sz w:val="22"/>
          <w:szCs w:val="22"/>
          <w:bdr w:val="single" w:sz="4" w:space="0" w:color="auto"/>
        </w:rPr>
        <w:t>主たる担当：危機管理室ほか関係部局室・課</w:t>
      </w:r>
    </w:p>
    <w:p w14:paraId="1C1A6526" w14:textId="77777777" w:rsidR="008B4B2B" w:rsidRPr="001D6D10" w:rsidRDefault="008B4B2B" w:rsidP="008B4B2B">
      <w:pPr>
        <w:overflowPunct w:val="0"/>
        <w:autoSpaceDE w:val="0"/>
        <w:autoSpaceDN w:val="0"/>
        <w:ind w:firstLineChars="300" w:firstLine="663"/>
        <w:rPr>
          <w:rFonts w:ascii="ＭＳ ゴシック" w:eastAsia="ＭＳ ゴシック" w:hAnsi="ＭＳ ゴシック"/>
          <w:sz w:val="22"/>
          <w:szCs w:val="22"/>
          <w:u w:val="single"/>
        </w:rPr>
      </w:pPr>
      <w:r w:rsidRPr="001D6D10">
        <w:rPr>
          <w:rFonts w:ascii="ＭＳ ゴシック" w:eastAsia="ＭＳ ゴシック" w:hAnsi="ＭＳ ゴシック" w:hint="eastAsia"/>
          <w:sz w:val="22"/>
          <w:szCs w:val="22"/>
          <w:u w:val="single"/>
        </w:rPr>
        <w:t>１　情報収集伝達及び被害状況の早期把握</w:t>
      </w:r>
    </w:p>
    <w:p w14:paraId="3BA7318E" w14:textId="2FE83C56" w:rsidR="008B4B2B" w:rsidRPr="001D6D10" w:rsidRDefault="008B4B2B" w:rsidP="008B4B2B">
      <w:pPr>
        <w:overflowPunct w:val="0"/>
        <w:autoSpaceDE w:val="0"/>
        <w:autoSpaceDN w:val="0"/>
        <w:ind w:leftChars="300" w:left="854" w:hangingChars="100" w:hanging="221"/>
        <w:rPr>
          <w:rFonts w:ascii="ＭＳ 明朝" w:hAnsi="ＭＳ 明朝"/>
          <w:sz w:val="22"/>
          <w:szCs w:val="22"/>
        </w:rPr>
      </w:pPr>
      <w:r w:rsidRPr="001D6D10">
        <w:rPr>
          <w:rFonts w:ascii="ＭＳ 明朝" w:hAnsi="ＭＳ 明朝" w:hint="eastAsia"/>
          <w:sz w:val="22"/>
          <w:szCs w:val="22"/>
        </w:rPr>
        <w:t xml:space="preserve">　　府は、災害発生後、直ちに、府防災行政無線や</w:t>
      </w:r>
      <w:r w:rsidR="00AB6FBD">
        <w:rPr>
          <w:rFonts w:ascii="ＭＳ 明朝" w:hAnsi="ＭＳ 明朝" w:hint="eastAsia"/>
          <w:sz w:val="22"/>
          <w:szCs w:val="22"/>
        </w:rPr>
        <w:t>大阪府</w:t>
      </w:r>
      <w:r w:rsidRPr="001D6D10">
        <w:rPr>
          <w:rFonts w:ascii="ＭＳ 明朝" w:hAnsi="ＭＳ 明朝" w:hint="eastAsia"/>
          <w:sz w:val="22"/>
          <w:szCs w:val="22"/>
        </w:rPr>
        <w:t>防災情報システム等を活用し、</w:t>
      </w:r>
      <w:r w:rsidR="002A5060" w:rsidRPr="001D6D10">
        <w:rPr>
          <w:rFonts w:ascii="ＭＳ 明朝" w:hAnsi="ＭＳ 明朝" w:hint="eastAsia"/>
          <w:sz w:val="22"/>
          <w:szCs w:val="22"/>
        </w:rPr>
        <w:t>下記情報により</w:t>
      </w:r>
      <w:r w:rsidRPr="001D6D10">
        <w:rPr>
          <w:rFonts w:ascii="ＭＳ 明朝" w:hAnsi="ＭＳ 明朝" w:hint="eastAsia"/>
          <w:sz w:val="22"/>
          <w:szCs w:val="22"/>
        </w:rPr>
        <w:t>被害状況の把握及び応急対策の実施のための情報収集活動を行うとともに、関係機関に迅速に伝達する。</w:t>
      </w:r>
    </w:p>
    <w:p w14:paraId="1824EAC2" w14:textId="6E99C5E9" w:rsidR="008B4B2B" w:rsidRPr="001D6D10" w:rsidRDefault="008B4B2B" w:rsidP="008B4B2B">
      <w:pPr>
        <w:overflowPunct w:val="0"/>
        <w:autoSpaceDE w:val="0"/>
        <w:autoSpaceDN w:val="0"/>
        <w:ind w:leftChars="300" w:left="854" w:hangingChars="100" w:hanging="221"/>
        <w:rPr>
          <w:rFonts w:ascii="ＭＳ 明朝" w:hAnsi="ＭＳ 明朝"/>
          <w:sz w:val="22"/>
          <w:szCs w:val="22"/>
        </w:rPr>
      </w:pPr>
      <w:r w:rsidRPr="001D6D10">
        <w:rPr>
          <w:rFonts w:ascii="ＭＳ 明朝" w:hAnsi="ＭＳ 明朝" w:hint="eastAsia"/>
          <w:sz w:val="22"/>
          <w:szCs w:val="22"/>
        </w:rPr>
        <w:t xml:space="preserve">　　国、他都道府県との通信は、消防防災無線や中央防災無線、衛星回線等を利用し、府内市町村、防災関係機関とは府防災行政無線等を利用して行う。</w:t>
      </w:r>
    </w:p>
    <w:p w14:paraId="1C4A685E" w14:textId="77777777" w:rsidR="00FA2A74" w:rsidRPr="001D6D10" w:rsidRDefault="00FA2A74" w:rsidP="008B4B2B">
      <w:pPr>
        <w:overflowPunct w:val="0"/>
        <w:autoSpaceDE w:val="0"/>
        <w:autoSpaceDN w:val="0"/>
        <w:ind w:leftChars="300" w:left="854" w:hangingChars="100" w:hanging="221"/>
        <w:rPr>
          <w:rFonts w:ascii="ＭＳ 明朝" w:hAnsi="ＭＳ 明朝"/>
          <w:sz w:val="22"/>
          <w:szCs w:val="22"/>
        </w:rPr>
      </w:pPr>
    </w:p>
    <w:p w14:paraId="073A5507" w14:textId="334A09DD" w:rsidR="002A5060" w:rsidRPr="00E0548A" w:rsidRDefault="002A5060" w:rsidP="002A5060">
      <w:pPr>
        <w:pStyle w:val="af4"/>
        <w:numPr>
          <w:ilvl w:val="1"/>
          <w:numId w:val="5"/>
        </w:numPr>
        <w:overflowPunct w:val="0"/>
        <w:autoSpaceDE w:val="0"/>
        <w:autoSpaceDN w:val="0"/>
        <w:ind w:leftChars="0"/>
      </w:pPr>
      <w:r w:rsidRPr="00E0548A">
        <w:rPr>
          <w:rFonts w:hint="eastAsia"/>
        </w:rPr>
        <w:t>震度</w:t>
      </w:r>
      <w:r w:rsidRPr="00E0548A">
        <w:t>情報</w:t>
      </w:r>
      <w:proofErr w:type="gramStart"/>
      <w:r w:rsidRPr="00E0548A">
        <w:t>ネットワークシステム</w:t>
      </w:r>
      <w:proofErr w:type="gramEnd"/>
      <w:r w:rsidRPr="00E0548A">
        <w:t>の観測情報からの被害予測</w:t>
      </w:r>
      <w:r w:rsidRPr="00E0548A">
        <w:t xml:space="preserve"> </w:t>
      </w:r>
      <w:r w:rsidRPr="00E0548A">
        <w:rPr>
          <w:rFonts w:hint="eastAsia"/>
        </w:rPr>
        <w:t xml:space="preserve">　　</w:t>
      </w:r>
      <w:r w:rsidRPr="00E0548A">
        <w:t xml:space="preserve"> </w:t>
      </w:r>
    </w:p>
    <w:p w14:paraId="7226EB39" w14:textId="55393467" w:rsidR="001A5AE4" w:rsidRPr="00E0548A" w:rsidRDefault="00AB6FBD" w:rsidP="002A5060">
      <w:pPr>
        <w:pStyle w:val="af4"/>
        <w:numPr>
          <w:ilvl w:val="1"/>
          <w:numId w:val="5"/>
        </w:numPr>
        <w:overflowPunct w:val="0"/>
        <w:autoSpaceDE w:val="0"/>
        <w:autoSpaceDN w:val="0"/>
        <w:ind w:leftChars="0"/>
      </w:pPr>
      <w:r w:rsidRPr="00E0548A">
        <w:rPr>
          <w:rFonts w:hint="eastAsia"/>
        </w:rPr>
        <w:t>大阪</w:t>
      </w:r>
      <w:r w:rsidR="002A5060" w:rsidRPr="00E0548A">
        <w:rPr>
          <w:rFonts w:hint="eastAsia"/>
        </w:rPr>
        <w:t>府</w:t>
      </w:r>
      <w:r w:rsidR="002A5060" w:rsidRPr="00E0548A">
        <w:t>防災情報システムによる被害予測</w:t>
      </w:r>
    </w:p>
    <w:p w14:paraId="79902589" w14:textId="0E9C3F3E" w:rsidR="002A5060" w:rsidRPr="00E0548A" w:rsidRDefault="002A36BE" w:rsidP="00E0548A">
      <w:pPr>
        <w:pStyle w:val="af4"/>
        <w:numPr>
          <w:ilvl w:val="1"/>
          <w:numId w:val="5"/>
        </w:numPr>
        <w:overflowPunct w:val="0"/>
        <w:autoSpaceDE w:val="0"/>
        <w:autoSpaceDN w:val="0"/>
        <w:ind w:leftChars="0"/>
      </w:pPr>
      <w:r w:rsidRPr="00E0548A">
        <w:rPr>
          <w:rFonts w:hint="eastAsia"/>
        </w:rPr>
        <w:t xml:space="preserve"> </w:t>
      </w:r>
      <w:r w:rsidR="002A5060" w:rsidRPr="00E0548A">
        <w:t>庁舎周辺の被害状況</w:t>
      </w:r>
    </w:p>
    <w:p w14:paraId="6E589477" w14:textId="109BCED9" w:rsidR="002A5060" w:rsidRPr="00E0548A" w:rsidRDefault="002A5060" w:rsidP="007E668F">
      <w:pPr>
        <w:pStyle w:val="af4"/>
        <w:numPr>
          <w:ilvl w:val="0"/>
          <w:numId w:val="31"/>
        </w:numPr>
        <w:overflowPunct w:val="0"/>
        <w:autoSpaceDE w:val="0"/>
        <w:autoSpaceDN w:val="0"/>
        <w:ind w:leftChars="0"/>
      </w:pPr>
      <w:r w:rsidRPr="00E0548A">
        <w:t>府警察からの被害情報（通報状況等）</w:t>
      </w:r>
    </w:p>
    <w:p w14:paraId="3DEE42A0" w14:textId="445B1ABF" w:rsidR="002A5060" w:rsidRPr="001D6D10" w:rsidRDefault="002A5060" w:rsidP="007E668F">
      <w:pPr>
        <w:pStyle w:val="af4"/>
        <w:numPr>
          <w:ilvl w:val="0"/>
          <w:numId w:val="31"/>
        </w:numPr>
        <w:overflowPunct w:val="0"/>
        <w:autoSpaceDE w:val="0"/>
        <w:autoSpaceDN w:val="0"/>
        <w:ind w:leftChars="0"/>
      </w:pPr>
      <w:r w:rsidRPr="00E0548A">
        <w:t>市町村からの被害情報（消防</w:t>
      </w:r>
      <w:r w:rsidRPr="001D6D10">
        <w:t>機関への通報状況を含む）</w:t>
      </w:r>
    </w:p>
    <w:p w14:paraId="747CC5C0" w14:textId="4A52B248" w:rsidR="002A5060" w:rsidRPr="001D6D10" w:rsidRDefault="002A5060" w:rsidP="007E668F">
      <w:pPr>
        <w:pStyle w:val="af4"/>
        <w:numPr>
          <w:ilvl w:val="0"/>
          <w:numId w:val="31"/>
        </w:numPr>
        <w:overflowPunct w:val="0"/>
        <w:autoSpaceDE w:val="0"/>
        <w:autoSpaceDN w:val="0"/>
        <w:ind w:leftChars="0"/>
      </w:pPr>
      <w:r w:rsidRPr="001D6D10">
        <w:t>防災関係機関からの被害情報（リエゾンの配置を含む）</w:t>
      </w:r>
    </w:p>
    <w:p w14:paraId="2A7E4AE1" w14:textId="722B22AC" w:rsidR="002A36BE" w:rsidRPr="001D6D10" w:rsidRDefault="002A5060" w:rsidP="007E668F">
      <w:pPr>
        <w:pStyle w:val="af4"/>
        <w:numPr>
          <w:ilvl w:val="0"/>
          <w:numId w:val="31"/>
        </w:numPr>
        <w:overflowPunct w:val="0"/>
        <w:autoSpaceDE w:val="0"/>
        <w:autoSpaceDN w:val="0"/>
        <w:ind w:leftChars="0"/>
      </w:pPr>
      <w:r w:rsidRPr="001D6D10">
        <w:t>各出先機関及び災害現地に派遣した職員からの被害情報</w:t>
      </w:r>
      <w:r w:rsidRPr="001D6D10">
        <w:t xml:space="preserve"> </w:t>
      </w:r>
    </w:p>
    <w:p w14:paraId="36753BDE" w14:textId="7BDE05B6" w:rsidR="002A36BE" w:rsidRPr="001D6D10" w:rsidRDefault="002A5060" w:rsidP="007E668F">
      <w:pPr>
        <w:pStyle w:val="af4"/>
        <w:numPr>
          <w:ilvl w:val="0"/>
          <w:numId w:val="31"/>
        </w:numPr>
        <w:overflowPunct w:val="0"/>
        <w:autoSpaceDE w:val="0"/>
        <w:autoSpaceDN w:val="0"/>
        <w:ind w:leftChars="0"/>
      </w:pPr>
      <w:r w:rsidRPr="001D6D10">
        <w:t>勤務時間外にあっては、職員の参集途上で目視した被害情報</w:t>
      </w:r>
    </w:p>
    <w:p w14:paraId="29454AD2" w14:textId="62541D59" w:rsidR="002A36BE" w:rsidRPr="001D6D10" w:rsidRDefault="002A5060" w:rsidP="007E668F">
      <w:pPr>
        <w:pStyle w:val="af4"/>
        <w:numPr>
          <w:ilvl w:val="0"/>
          <w:numId w:val="31"/>
        </w:numPr>
        <w:overflowPunct w:val="0"/>
        <w:autoSpaceDE w:val="0"/>
        <w:autoSpaceDN w:val="0"/>
        <w:ind w:leftChars="0"/>
      </w:pPr>
      <w:r w:rsidRPr="001D6D10">
        <w:t>衛星中継車、ヘリコプターテレビ画像伝送装置及び無人航空機からの被害映像</w:t>
      </w:r>
    </w:p>
    <w:p w14:paraId="012382A4" w14:textId="77777777" w:rsidR="002A36BE" w:rsidRPr="001D6D10" w:rsidRDefault="002A5060" w:rsidP="007E668F">
      <w:pPr>
        <w:pStyle w:val="af4"/>
        <w:numPr>
          <w:ilvl w:val="0"/>
          <w:numId w:val="31"/>
        </w:numPr>
        <w:overflowPunct w:val="0"/>
        <w:autoSpaceDE w:val="0"/>
        <w:autoSpaceDN w:val="0"/>
        <w:ind w:leftChars="0"/>
      </w:pPr>
      <w:r w:rsidRPr="001D6D10">
        <w:t>被災状況等を整理・分析し、視覚化した地理空間情報</w:t>
      </w:r>
      <w:r w:rsidRPr="001D6D10">
        <w:t xml:space="preserve"> </w:t>
      </w:r>
    </w:p>
    <w:p w14:paraId="79DC1AE8" w14:textId="1B32EF9D" w:rsidR="00454723" w:rsidRPr="001D6D10" w:rsidRDefault="002A5060" w:rsidP="007E668F">
      <w:pPr>
        <w:pStyle w:val="af4"/>
        <w:numPr>
          <w:ilvl w:val="0"/>
          <w:numId w:val="31"/>
        </w:numPr>
        <w:overflowPunct w:val="0"/>
        <w:autoSpaceDE w:val="0"/>
        <w:autoSpaceDN w:val="0"/>
        <w:ind w:leftChars="0"/>
      </w:pPr>
      <w:r w:rsidRPr="001D6D10">
        <w:t>住民からの被害情報（「おおさか減災プロジェクト」やＳＮＳ等の活用）</w:t>
      </w:r>
    </w:p>
    <w:p w14:paraId="2C5F3223" w14:textId="1F86DE8E" w:rsidR="002A5060" w:rsidRPr="00DE55B0" w:rsidRDefault="002A5060" w:rsidP="00E0548A">
      <w:pPr>
        <w:pStyle w:val="af4"/>
        <w:numPr>
          <w:ilvl w:val="0"/>
          <w:numId w:val="31"/>
        </w:numPr>
        <w:overflowPunct w:val="0"/>
        <w:autoSpaceDE w:val="0"/>
        <w:autoSpaceDN w:val="0"/>
        <w:ind w:leftChars="0"/>
      </w:pPr>
      <w:r w:rsidRPr="001D6D10">
        <w:t>その</w:t>
      </w:r>
      <w:r w:rsidR="002A36BE" w:rsidRPr="001D6D10">
        <w:rPr>
          <w:rFonts w:hint="eastAsia"/>
        </w:rPr>
        <w:t>他</w:t>
      </w:r>
    </w:p>
    <w:p w14:paraId="5B4EC39B" w14:textId="31F4476C" w:rsidR="008B4B2B" w:rsidRPr="001D6D10" w:rsidRDefault="0034129B" w:rsidP="008B4B2B">
      <w:pPr>
        <w:overflowPunct w:val="0"/>
        <w:autoSpaceDE w:val="0"/>
        <w:autoSpaceDN w:val="0"/>
        <w:ind w:leftChars="300" w:left="854" w:hangingChars="100" w:hanging="221"/>
        <w:rPr>
          <w:rFonts w:ascii="ＭＳ 明朝" w:hAnsi="ＭＳ 明朝"/>
          <w:sz w:val="22"/>
          <w:szCs w:val="22"/>
        </w:rPr>
      </w:pPr>
      <w:r w:rsidRPr="001D6D10">
        <w:rPr>
          <w:rFonts w:ascii="ＭＳ 明朝" w:hAnsi="ＭＳ 明朝" w:hint="eastAsia"/>
          <w:sz w:val="22"/>
          <w:szCs w:val="22"/>
        </w:rPr>
        <w:t xml:space="preserve">　</w:t>
      </w:r>
    </w:p>
    <w:p w14:paraId="77B2F4CF" w14:textId="77777777" w:rsidR="008B4B2B" w:rsidRPr="001D6D10" w:rsidRDefault="008B4B2B" w:rsidP="008B4B2B">
      <w:pPr>
        <w:overflowPunct w:val="0"/>
        <w:autoSpaceDE w:val="0"/>
        <w:autoSpaceDN w:val="0"/>
        <w:ind w:leftChars="300" w:left="854" w:hangingChars="100" w:hanging="221"/>
        <w:rPr>
          <w:rFonts w:ascii="ＭＳ ゴシック" w:eastAsia="ＭＳ ゴシック" w:hAnsi="ＭＳ ゴシック"/>
          <w:sz w:val="22"/>
          <w:szCs w:val="22"/>
          <w:u w:val="single"/>
        </w:rPr>
      </w:pPr>
      <w:r w:rsidRPr="001D6D10">
        <w:rPr>
          <w:rFonts w:ascii="ＭＳ ゴシック" w:eastAsia="ＭＳ ゴシック" w:hAnsi="ＭＳ ゴシック" w:hint="eastAsia"/>
          <w:sz w:val="22"/>
          <w:szCs w:val="22"/>
          <w:u w:val="single"/>
        </w:rPr>
        <w:t>２　災害情報の収集伝達</w:t>
      </w:r>
    </w:p>
    <w:p w14:paraId="2766B1CC" w14:textId="58E300FA" w:rsidR="008B4B2B" w:rsidRPr="001D6D10" w:rsidRDefault="008B4B2B" w:rsidP="008B4B2B">
      <w:pPr>
        <w:overflowPunct w:val="0"/>
        <w:autoSpaceDE w:val="0"/>
        <w:autoSpaceDN w:val="0"/>
        <w:ind w:leftChars="415" w:left="876" w:firstLineChars="99" w:firstLine="219"/>
        <w:rPr>
          <w:rFonts w:ascii="ＭＳ 明朝" w:hAnsi="ＭＳ 明朝"/>
          <w:sz w:val="22"/>
          <w:szCs w:val="22"/>
        </w:rPr>
      </w:pPr>
      <w:r w:rsidRPr="001D6D10">
        <w:rPr>
          <w:rFonts w:ascii="ＭＳ 明朝" w:hAnsi="ＭＳ 明朝" w:hint="eastAsia"/>
          <w:sz w:val="22"/>
          <w:szCs w:val="22"/>
        </w:rPr>
        <w:t>府は、市町村、府警察をはじめ防災関係機関と密接な連携のもと、ヘリコプターによる情報収集活動の依頼等をはじめ、様々な手段を活用して、災害の発生場所、区域等</w:t>
      </w:r>
      <w:r w:rsidR="002A36BE" w:rsidRPr="001D6D10">
        <w:rPr>
          <w:rFonts w:ascii="ＭＳ 明朝" w:hAnsi="ＭＳ 明朝" w:hint="eastAsia"/>
          <w:sz w:val="22"/>
          <w:szCs w:val="22"/>
        </w:rPr>
        <w:t>下記</w:t>
      </w:r>
      <w:r w:rsidRPr="001D6D10">
        <w:rPr>
          <w:rFonts w:ascii="ＭＳ 明朝" w:hAnsi="ＭＳ 明朝" w:hint="eastAsia"/>
          <w:sz w:val="22"/>
          <w:szCs w:val="22"/>
        </w:rPr>
        <w:t>災害情報を収集するとともに、国をはじめ関係機関へ速やかに伝達する。なお、市町村が報告を行うことができなくなったときは、職員の派遣等を通じ、自ら災害に関する情報の収集を行う。</w:t>
      </w:r>
    </w:p>
    <w:p w14:paraId="2461E26C" w14:textId="6D92A733" w:rsidR="007E668F" w:rsidRPr="001D6D10" w:rsidRDefault="0034129B" w:rsidP="002A36BE">
      <w:pPr>
        <w:overflowPunct w:val="0"/>
        <w:autoSpaceDE w:val="0"/>
        <w:autoSpaceDN w:val="0"/>
        <w:ind w:leftChars="300" w:left="854" w:hangingChars="100" w:hanging="221"/>
        <w:rPr>
          <w:rFonts w:ascii="ＭＳ 明朝" w:hAnsi="ＭＳ 明朝"/>
          <w:sz w:val="22"/>
          <w:szCs w:val="22"/>
        </w:rPr>
      </w:pPr>
      <w:r w:rsidRPr="001D6D10">
        <w:rPr>
          <w:rFonts w:ascii="ＭＳ 明朝" w:hAnsi="ＭＳ 明朝" w:hint="eastAsia"/>
          <w:sz w:val="22"/>
          <w:szCs w:val="22"/>
        </w:rPr>
        <w:t xml:space="preserve">　　また、内閣府より災害時情報集約支援チーム（ＩＳＵＴ）が派遣された場合は、専用ＷＥＢサイト「ＩＳＵＴサイト」を通じて、インフラ・ライフラインの被災状況、避難所の開設状況等の情報を自衛隊やＤＭＡＴ等の関係機関と共有する</w:t>
      </w:r>
      <w:r w:rsidR="002A36BE" w:rsidRPr="001D6D10">
        <w:rPr>
          <w:rFonts w:ascii="ＭＳ 明朝" w:hAnsi="ＭＳ 明朝" w:hint="eastAsia"/>
          <w:sz w:val="22"/>
          <w:szCs w:val="22"/>
        </w:rPr>
        <w:t>。</w:t>
      </w:r>
    </w:p>
    <w:p w14:paraId="2E25538D" w14:textId="77777777" w:rsidR="00FA2A74" w:rsidRPr="001D6D10" w:rsidRDefault="00FA2A74" w:rsidP="002A36BE">
      <w:pPr>
        <w:overflowPunct w:val="0"/>
        <w:autoSpaceDE w:val="0"/>
        <w:autoSpaceDN w:val="0"/>
        <w:ind w:leftChars="300" w:left="854" w:hangingChars="100" w:hanging="221"/>
        <w:rPr>
          <w:rFonts w:ascii="ＭＳ 明朝" w:hAnsi="ＭＳ 明朝"/>
          <w:sz w:val="22"/>
          <w:szCs w:val="22"/>
        </w:rPr>
      </w:pPr>
    </w:p>
    <w:p w14:paraId="5F50AED0" w14:textId="5363B10E" w:rsidR="002A36BE" w:rsidRPr="001D6D10" w:rsidRDefault="007E668F" w:rsidP="008930D1">
      <w:pPr>
        <w:pStyle w:val="af4"/>
        <w:numPr>
          <w:ilvl w:val="0"/>
          <w:numId w:val="32"/>
        </w:numPr>
        <w:ind w:leftChars="0"/>
      </w:pPr>
      <w:r w:rsidRPr="001D6D10">
        <w:rPr>
          <w:rFonts w:hint="eastAsia"/>
        </w:rPr>
        <w:t>災</w:t>
      </w:r>
      <w:r w:rsidR="002A36BE" w:rsidRPr="001D6D10">
        <w:rPr>
          <w:rFonts w:hint="eastAsia"/>
        </w:rPr>
        <w:t>害の発生場所、区域等</w:t>
      </w:r>
    </w:p>
    <w:p w14:paraId="354F38A1" w14:textId="1C117BCB" w:rsidR="002A36BE" w:rsidRPr="001D6D10" w:rsidRDefault="002A36BE" w:rsidP="008930D1">
      <w:pPr>
        <w:pStyle w:val="af4"/>
        <w:numPr>
          <w:ilvl w:val="0"/>
          <w:numId w:val="32"/>
        </w:numPr>
        <w:ind w:leftChars="0"/>
      </w:pPr>
      <w:r w:rsidRPr="001D6D10">
        <w:rPr>
          <w:rFonts w:hint="eastAsia"/>
        </w:rPr>
        <w:t>住民の生命財産の安否の状況及び住民の避難の状況</w:t>
      </w:r>
    </w:p>
    <w:p w14:paraId="3B3C54E0" w14:textId="56A06BE7" w:rsidR="002A36BE" w:rsidRPr="001D6D10" w:rsidRDefault="002A36BE" w:rsidP="007E668F">
      <w:pPr>
        <w:pStyle w:val="af4"/>
        <w:numPr>
          <w:ilvl w:val="0"/>
          <w:numId w:val="32"/>
        </w:numPr>
        <w:ind w:leftChars="0"/>
      </w:pPr>
      <w:r w:rsidRPr="001D6D10">
        <w:rPr>
          <w:rFonts w:hint="eastAsia"/>
        </w:rPr>
        <w:t>医療機関の被害状況、人的被害状況、医療救護班・医薬品等の医療ニーズ</w:t>
      </w:r>
    </w:p>
    <w:p w14:paraId="1490EDCB" w14:textId="5BD4F49B" w:rsidR="002A36BE" w:rsidRPr="001D6D10" w:rsidRDefault="002A36BE" w:rsidP="007E668F">
      <w:pPr>
        <w:pStyle w:val="af4"/>
        <w:numPr>
          <w:ilvl w:val="0"/>
          <w:numId w:val="32"/>
        </w:numPr>
        <w:ind w:leftChars="0"/>
      </w:pPr>
      <w:r w:rsidRPr="001D6D10">
        <w:rPr>
          <w:rFonts w:hint="eastAsia"/>
        </w:rPr>
        <w:t>建物、道路、鉄軌道、空港、河川、砂防、港湾、農地、ため池、山林等の被害の状況</w:t>
      </w:r>
    </w:p>
    <w:p w14:paraId="16FF451D" w14:textId="0B59A459" w:rsidR="002A36BE" w:rsidRPr="001D6D10" w:rsidRDefault="002A36BE" w:rsidP="007E668F">
      <w:pPr>
        <w:pStyle w:val="af4"/>
        <w:numPr>
          <w:ilvl w:val="0"/>
          <w:numId w:val="32"/>
        </w:numPr>
        <w:ind w:leftChars="0"/>
      </w:pPr>
      <w:r w:rsidRPr="001D6D10">
        <w:rPr>
          <w:rFonts w:hint="eastAsia"/>
        </w:rPr>
        <w:t>水道</w:t>
      </w:r>
      <w:r w:rsidRPr="001D6D10">
        <w:t>・</w:t>
      </w:r>
      <w:r w:rsidRPr="001D6D10">
        <w:rPr>
          <w:rFonts w:hint="eastAsia"/>
        </w:rPr>
        <w:t>工業用水道、下水道、ガス、電気、通信等の被害状況</w:t>
      </w:r>
    </w:p>
    <w:p w14:paraId="5A0B1E22" w14:textId="4322A832" w:rsidR="002A36BE" w:rsidRPr="001D6D10" w:rsidRDefault="002A36BE" w:rsidP="007E668F">
      <w:pPr>
        <w:pStyle w:val="af4"/>
        <w:numPr>
          <w:ilvl w:val="0"/>
          <w:numId w:val="32"/>
        </w:numPr>
        <w:ind w:leftChars="0"/>
      </w:pPr>
      <w:r w:rsidRPr="001D6D10">
        <w:rPr>
          <w:rFonts w:hint="eastAsia"/>
        </w:rPr>
        <w:lastRenderedPageBreak/>
        <w:t>消防、水防等の応急措置の状況</w:t>
      </w:r>
    </w:p>
    <w:p w14:paraId="778FEBD2" w14:textId="7806FB79" w:rsidR="002A36BE" w:rsidRPr="001D6D10" w:rsidRDefault="002A36BE" w:rsidP="007E668F">
      <w:pPr>
        <w:pStyle w:val="af4"/>
        <w:numPr>
          <w:ilvl w:val="0"/>
          <w:numId w:val="32"/>
        </w:numPr>
        <w:ind w:leftChars="0"/>
      </w:pPr>
      <w:r w:rsidRPr="001D6D10">
        <w:rPr>
          <w:rFonts w:hint="eastAsia"/>
        </w:rPr>
        <w:t>食料その他緊急に補給すべき物資及び数量</w:t>
      </w:r>
    </w:p>
    <w:p w14:paraId="6756BF96" w14:textId="36ADEA92" w:rsidR="002A36BE" w:rsidRPr="001D6D10" w:rsidRDefault="002A36BE" w:rsidP="007E668F">
      <w:pPr>
        <w:pStyle w:val="af4"/>
        <w:numPr>
          <w:ilvl w:val="0"/>
          <w:numId w:val="32"/>
        </w:numPr>
        <w:ind w:leftChars="0"/>
      </w:pPr>
      <w:r w:rsidRPr="001D6D10">
        <w:rPr>
          <w:rFonts w:hint="eastAsia"/>
        </w:rPr>
        <w:t>衛生環境、疾病発生の状況及びその救護措置の要否</w:t>
      </w:r>
    </w:p>
    <w:p w14:paraId="0600D7B4" w14:textId="04A40B8C" w:rsidR="002A36BE" w:rsidRPr="001D6D10" w:rsidRDefault="002A36BE" w:rsidP="007E668F">
      <w:pPr>
        <w:pStyle w:val="af4"/>
        <w:numPr>
          <w:ilvl w:val="0"/>
          <w:numId w:val="32"/>
        </w:numPr>
        <w:ind w:leftChars="0"/>
      </w:pPr>
      <w:r w:rsidRPr="001D6D10">
        <w:rPr>
          <w:rFonts w:hint="eastAsia"/>
        </w:rPr>
        <w:t>孤立</w:t>
      </w:r>
      <w:r w:rsidRPr="001D6D10">
        <w:t>集落におけるライフラインの途絶・復旧状況、</w:t>
      </w:r>
      <w:r w:rsidRPr="001D6D10">
        <w:rPr>
          <w:rFonts w:hint="eastAsia"/>
        </w:rPr>
        <w:t>備蓄</w:t>
      </w:r>
      <w:r w:rsidRPr="001D6D10">
        <w:t>状況、要</w:t>
      </w:r>
      <w:r w:rsidRPr="001D6D10">
        <w:rPr>
          <w:rFonts w:hint="eastAsia"/>
        </w:rPr>
        <w:t>配慮者</w:t>
      </w:r>
      <w:r w:rsidRPr="001D6D10">
        <w:t>の有無</w:t>
      </w:r>
    </w:p>
    <w:p w14:paraId="695FD1AE" w14:textId="41462F4C" w:rsidR="002A36BE" w:rsidRPr="001D6D10" w:rsidRDefault="002A36BE" w:rsidP="007E668F">
      <w:pPr>
        <w:pStyle w:val="af4"/>
        <w:numPr>
          <w:ilvl w:val="0"/>
          <w:numId w:val="32"/>
        </w:numPr>
        <w:ind w:leftChars="0"/>
      </w:pPr>
      <w:r w:rsidRPr="001D6D10">
        <w:t>その他</w:t>
      </w:r>
    </w:p>
    <w:p w14:paraId="1C1D7835" w14:textId="77777777" w:rsidR="00FA2A74" w:rsidRPr="001D6D10" w:rsidRDefault="00FA2A74" w:rsidP="007E668F">
      <w:pPr>
        <w:pStyle w:val="af4"/>
        <w:overflowPunct w:val="0"/>
        <w:autoSpaceDE w:val="0"/>
        <w:autoSpaceDN w:val="0"/>
        <w:ind w:leftChars="0" w:left="1211"/>
        <w:rPr>
          <w:rFonts w:ascii="ＭＳ 明朝" w:hAnsi="ＭＳ 明朝"/>
          <w:strike/>
          <w:sz w:val="22"/>
        </w:rPr>
      </w:pPr>
    </w:p>
    <w:p w14:paraId="03C20F96" w14:textId="77777777" w:rsidR="007E668F" w:rsidRPr="00E0548A" w:rsidRDefault="007E668F" w:rsidP="007E668F">
      <w:pPr>
        <w:ind w:left="443" w:firstLineChars="100" w:firstLine="221"/>
        <w:rPr>
          <w:rFonts w:ascii="ＭＳ ゴシック" w:eastAsia="ＭＳ ゴシック" w:hAnsi="ＭＳ ゴシック"/>
          <w:sz w:val="22"/>
          <w:szCs w:val="22"/>
          <w:u w:val="single"/>
        </w:rPr>
      </w:pPr>
      <w:r w:rsidRPr="001D6D10">
        <w:rPr>
          <w:rFonts w:ascii="ＭＳ ゴシック" w:eastAsia="ＭＳ ゴシック" w:hAnsi="ＭＳ ゴシック" w:hint="eastAsia"/>
          <w:sz w:val="22"/>
          <w:szCs w:val="22"/>
          <w:u w:val="single"/>
        </w:rPr>
        <w:t>３　通信</w:t>
      </w:r>
      <w:r w:rsidRPr="00E0548A">
        <w:rPr>
          <w:rFonts w:ascii="ＭＳ ゴシック" w:eastAsia="ＭＳ ゴシック" w:hAnsi="ＭＳ ゴシック" w:hint="eastAsia"/>
          <w:sz w:val="22"/>
          <w:szCs w:val="22"/>
          <w:u w:val="single"/>
        </w:rPr>
        <w:t>手段の確保</w:t>
      </w:r>
    </w:p>
    <w:p w14:paraId="00268BEA" w14:textId="757F3A5B" w:rsidR="000010F1" w:rsidRPr="00E0548A" w:rsidRDefault="007E668F" w:rsidP="000010F1">
      <w:pPr>
        <w:overflowPunct w:val="0"/>
        <w:autoSpaceDE w:val="0"/>
        <w:autoSpaceDN w:val="0"/>
        <w:ind w:leftChars="403" w:left="851" w:firstLineChars="43" w:firstLine="95"/>
      </w:pPr>
      <w:r w:rsidRPr="00E0548A">
        <w:rPr>
          <w:rFonts w:ascii="ＭＳ ゴシック" w:eastAsia="ＭＳ ゴシック" w:hAnsi="ＭＳ ゴシック" w:hint="eastAsia"/>
          <w:sz w:val="22"/>
          <w:szCs w:val="22"/>
        </w:rPr>
        <w:t xml:space="preserve">　</w:t>
      </w:r>
      <w:r w:rsidRPr="00E0548A">
        <w:t>府、市町村をはじめ防災関係機関は、災害発生後、直ちに無線通信機能の点検を</w:t>
      </w:r>
      <w:r w:rsidR="000010F1" w:rsidRPr="00E0548A">
        <w:rPr>
          <w:rFonts w:hint="eastAsia"/>
        </w:rPr>
        <w:t xml:space="preserve">　</w:t>
      </w:r>
      <w:r w:rsidRPr="00E0548A">
        <w:t>行うとともに、支障が生じた施設設備の復旧を行う。また、携帯電話、衛星通信等の</w:t>
      </w:r>
      <w:r w:rsidRPr="00E0548A">
        <w:rPr>
          <w:rFonts w:hint="eastAsia"/>
        </w:rPr>
        <w:t>移動通信回線</w:t>
      </w:r>
      <w:r w:rsidRPr="00E0548A">
        <w:t>も活用し、緊急情報連絡用の通信手段の確保に努める。</w:t>
      </w:r>
    </w:p>
    <w:p w14:paraId="5AF8249A" w14:textId="4E1E879B" w:rsidR="007E668F" w:rsidRPr="001D6D10" w:rsidRDefault="007E668F" w:rsidP="00E0548A">
      <w:pPr>
        <w:overflowPunct w:val="0"/>
        <w:autoSpaceDE w:val="0"/>
        <w:autoSpaceDN w:val="0"/>
        <w:ind w:leftChars="403" w:left="851" w:firstLineChars="143" w:firstLine="302"/>
      </w:pPr>
      <w:r w:rsidRPr="00E0548A">
        <w:t>なお、府は、災害応急に必要となる通信機器が不足又は、電源が途絶している場合は、</w:t>
      </w:r>
      <w:r w:rsidRPr="00E0548A">
        <w:t xml:space="preserve"> </w:t>
      </w:r>
      <w:r w:rsidRPr="00E0548A">
        <w:t>総務省（近畿総合通信局）から通信機器及び電源車の貸与を受ける等通信手段の確保に努める。</w:t>
      </w:r>
    </w:p>
    <w:p w14:paraId="09FC0B5A" w14:textId="77777777" w:rsidR="007E668F" w:rsidRPr="001D6D10" w:rsidRDefault="007E668F" w:rsidP="007E668F">
      <w:pPr>
        <w:overflowPunct w:val="0"/>
        <w:autoSpaceDE w:val="0"/>
        <w:autoSpaceDN w:val="0"/>
        <w:ind w:firstLineChars="400" w:firstLine="884"/>
        <w:rPr>
          <w:rFonts w:ascii="ＭＳ ゴシック" w:eastAsia="ＭＳ ゴシック" w:hAnsi="ＭＳ ゴシック"/>
          <w:sz w:val="22"/>
          <w:szCs w:val="22"/>
        </w:rPr>
      </w:pPr>
    </w:p>
    <w:p w14:paraId="362ACD5F" w14:textId="10AD0702" w:rsidR="008B4B2B" w:rsidRPr="001D6D10" w:rsidRDefault="007E668F" w:rsidP="008B4B2B">
      <w:pPr>
        <w:overflowPunct w:val="0"/>
        <w:autoSpaceDE w:val="0"/>
        <w:autoSpaceDN w:val="0"/>
        <w:ind w:firstLineChars="300" w:firstLine="663"/>
        <w:rPr>
          <w:rFonts w:ascii="ＭＳ ゴシック" w:eastAsia="ＭＳ ゴシック" w:hAnsi="ＭＳ ゴシック"/>
          <w:sz w:val="22"/>
          <w:szCs w:val="22"/>
          <w:u w:val="single"/>
        </w:rPr>
      </w:pPr>
      <w:r w:rsidRPr="001D6D10">
        <w:rPr>
          <w:rFonts w:ascii="ＭＳ ゴシック" w:eastAsia="ＭＳ ゴシック" w:hAnsi="ＭＳ ゴシック" w:hint="eastAsia"/>
          <w:sz w:val="22"/>
          <w:szCs w:val="22"/>
          <w:u w:val="single"/>
        </w:rPr>
        <w:t>４</w:t>
      </w:r>
      <w:r w:rsidR="008B4B2B" w:rsidRPr="001D6D10">
        <w:rPr>
          <w:rFonts w:ascii="ＭＳ ゴシック" w:eastAsia="ＭＳ ゴシック" w:hAnsi="ＭＳ ゴシック" w:hint="eastAsia"/>
          <w:sz w:val="22"/>
          <w:szCs w:val="22"/>
          <w:u w:val="single"/>
        </w:rPr>
        <w:t xml:space="preserve">　国への報告</w:t>
      </w:r>
    </w:p>
    <w:p w14:paraId="53476226" w14:textId="5BA3E6FE" w:rsidR="00254E8D" w:rsidRPr="001D6D10" w:rsidRDefault="008B4B2B" w:rsidP="00254E8D">
      <w:pPr>
        <w:overflowPunct w:val="0"/>
        <w:autoSpaceDE w:val="0"/>
        <w:autoSpaceDN w:val="0"/>
        <w:ind w:leftChars="300" w:left="854" w:hangingChars="100" w:hanging="221"/>
        <w:rPr>
          <w:rFonts w:ascii="ＭＳ 明朝" w:hAnsi="ＭＳ 明朝"/>
          <w:sz w:val="22"/>
          <w:szCs w:val="22"/>
        </w:rPr>
      </w:pPr>
      <w:r w:rsidRPr="001D6D10">
        <w:rPr>
          <w:rFonts w:ascii="ＭＳ ゴシック" w:eastAsia="ＭＳ ゴシック" w:hAnsi="ＭＳ ゴシック" w:hint="eastAsia"/>
          <w:sz w:val="22"/>
          <w:szCs w:val="22"/>
        </w:rPr>
        <w:t xml:space="preserve">　  </w:t>
      </w:r>
      <w:r w:rsidR="003A6AC2" w:rsidRPr="001D6D10">
        <w:rPr>
          <w:rFonts w:ascii="ＭＳ 明朝" w:hAnsi="ＭＳ 明朝" w:hint="eastAsia"/>
          <w:sz w:val="22"/>
          <w:szCs w:val="22"/>
        </w:rPr>
        <w:t>府は、次の基準に該当する災害等が発生した場合には、消防庁の</w:t>
      </w:r>
      <w:hyperlink r:id="rId23" w:history="1">
        <w:r w:rsidR="003A6AC2" w:rsidRPr="001D6D10">
          <w:rPr>
            <w:rStyle w:val="ac"/>
            <w:rFonts w:ascii="ＭＳ 明朝" w:hAnsi="ＭＳ 明朝" w:hint="eastAsia"/>
            <w:color w:val="auto"/>
            <w:sz w:val="22"/>
            <w:szCs w:val="22"/>
          </w:rPr>
          <w:t>「火災・災害等即報要領」</w:t>
        </w:r>
      </w:hyperlink>
      <w:r w:rsidR="003A6AC2" w:rsidRPr="001D6D10">
        <w:rPr>
          <w:rFonts w:ascii="ＭＳ 明朝" w:hAnsi="ＭＳ 明朝" w:hint="eastAsia"/>
          <w:sz w:val="22"/>
          <w:szCs w:val="22"/>
        </w:rPr>
        <w:t>に基づき、市町村から被害情報を収集するとともに、自ら収集した情報等を整理して、指定様式（資料集</w:t>
      </w:r>
      <w:r w:rsidR="00FF009A" w:rsidRPr="001D6D10">
        <w:rPr>
          <w:rFonts w:ascii="ＭＳ 明朝" w:hAnsi="ＭＳ 明朝" w:hint="eastAsia"/>
          <w:sz w:val="22"/>
          <w:szCs w:val="22"/>
        </w:rPr>
        <w:t>を参照</w:t>
      </w:r>
      <w:r w:rsidR="003A6AC2" w:rsidRPr="001D6D10">
        <w:rPr>
          <w:rFonts w:ascii="ＭＳ 明朝" w:hAnsi="ＭＳ 明朝" w:hint="eastAsia"/>
          <w:sz w:val="22"/>
          <w:szCs w:val="22"/>
        </w:rPr>
        <w:t>）により、メール</w:t>
      </w:r>
      <w:r w:rsidR="00FF009A" w:rsidRPr="001D6D10">
        <w:rPr>
          <w:rFonts w:ascii="ＭＳ 明朝" w:hAnsi="ＭＳ 明朝" w:hint="eastAsia"/>
          <w:sz w:val="22"/>
          <w:szCs w:val="22"/>
        </w:rPr>
        <w:t>等</w:t>
      </w:r>
      <w:r w:rsidR="003A6AC2" w:rsidRPr="001D6D10">
        <w:rPr>
          <w:rFonts w:ascii="ＭＳ 明朝" w:hAnsi="ＭＳ 明朝" w:hint="eastAsia"/>
          <w:sz w:val="22"/>
          <w:szCs w:val="22"/>
        </w:rPr>
        <w:t>を用いて、消防庁（国民保護・防災部）に報告する。</w:t>
      </w:r>
    </w:p>
    <w:p w14:paraId="201C39E0" w14:textId="6DE05C72" w:rsidR="00254E8D" w:rsidRPr="001D6D10" w:rsidRDefault="00254E8D" w:rsidP="00254E8D">
      <w:pPr>
        <w:overflowPunct w:val="0"/>
        <w:autoSpaceDE w:val="0"/>
        <w:autoSpaceDN w:val="0"/>
        <w:ind w:leftChars="400" w:left="844" w:firstLineChars="100" w:firstLine="221"/>
        <w:rPr>
          <w:rFonts w:ascii="ＭＳ 明朝" w:hAnsi="ＭＳ 明朝"/>
          <w:sz w:val="22"/>
          <w:szCs w:val="22"/>
        </w:rPr>
      </w:pPr>
      <w:r w:rsidRPr="001D6D10">
        <w:rPr>
          <w:rFonts w:ascii="ＭＳ 明朝" w:hAnsi="ＭＳ 明朝" w:hint="eastAsia"/>
          <w:sz w:val="22"/>
          <w:szCs w:val="22"/>
        </w:rPr>
        <w:t>ただし、消防庁から指定の報告方法が示された場合は、それに従う。</w:t>
      </w:r>
    </w:p>
    <w:p w14:paraId="0B579652" w14:textId="0AEDCE4D" w:rsidR="003A6AC2" w:rsidRPr="001D6D10" w:rsidRDefault="003A6AC2" w:rsidP="003A6AC2">
      <w:pPr>
        <w:overflowPunct w:val="0"/>
        <w:autoSpaceDE w:val="0"/>
        <w:autoSpaceDN w:val="0"/>
        <w:ind w:leftChars="315" w:left="1328" w:hangingChars="300" w:hanging="663"/>
        <w:rPr>
          <w:rFonts w:ascii="ＭＳ 明朝" w:hAnsi="ＭＳ 明朝"/>
          <w:sz w:val="22"/>
          <w:szCs w:val="22"/>
        </w:rPr>
      </w:pPr>
      <w:r w:rsidRPr="001D6D10">
        <w:rPr>
          <w:rFonts w:ascii="ＭＳ 明朝" w:hAnsi="ＭＳ 明朝" w:hint="eastAsia"/>
          <w:sz w:val="22"/>
          <w:szCs w:val="22"/>
        </w:rPr>
        <w:t xml:space="preserve">　　(1) 一般基準</w:t>
      </w:r>
    </w:p>
    <w:p w14:paraId="3A2E8A40" w14:textId="77777777" w:rsidR="003A6AC2" w:rsidRPr="001D6D10" w:rsidRDefault="003A6AC2" w:rsidP="003A6AC2">
      <w:pPr>
        <w:overflowPunct w:val="0"/>
        <w:autoSpaceDE w:val="0"/>
        <w:autoSpaceDN w:val="0"/>
        <w:ind w:leftChars="629" w:left="1328" w:firstLineChars="40" w:firstLine="88"/>
        <w:rPr>
          <w:rFonts w:ascii="ＭＳ 明朝" w:hAnsi="ＭＳ 明朝"/>
          <w:sz w:val="22"/>
          <w:szCs w:val="22"/>
        </w:rPr>
      </w:pPr>
      <w:r w:rsidRPr="001D6D10">
        <w:rPr>
          <w:rFonts w:ascii="ＭＳ 明朝" w:hAnsi="ＭＳ 明朝" w:hint="eastAsia"/>
          <w:sz w:val="22"/>
          <w:szCs w:val="22"/>
        </w:rPr>
        <w:t>ア 災害救助法の適用基準に合致するもの</w:t>
      </w:r>
    </w:p>
    <w:p w14:paraId="267A9783" w14:textId="77777777" w:rsidR="003A6AC2" w:rsidRPr="001D6D10" w:rsidRDefault="003A6AC2" w:rsidP="003A6AC2">
      <w:pPr>
        <w:overflowPunct w:val="0"/>
        <w:autoSpaceDE w:val="0"/>
        <w:autoSpaceDN w:val="0"/>
        <w:ind w:leftChars="629" w:left="1328" w:firstLineChars="40" w:firstLine="88"/>
        <w:rPr>
          <w:rFonts w:ascii="ＭＳ 明朝" w:hAnsi="ＭＳ 明朝"/>
          <w:sz w:val="22"/>
          <w:szCs w:val="22"/>
        </w:rPr>
      </w:pPr>
      <w:r w:rsidRPr="001D6D10">
        <w:rPr>
          <w:rFonts w:ascii="ＭＳ 明朝" w:hAnsi="ＭＳ 明朝" w:hint="eastAsia"/>
          <w:sz w:val="22"/>
          <w:szCs w:val="22"/>
        </w:rPr>
        <w:t>イ 都道府県又は市町村が災害対策本部を設置したもの</w:t>
      </w:r>
    </w:p>
    <w:p w14:paraId="48134366" w14:textId="77777777" w:rsidR="003A6AC2" w:rsidRPr="001D6D10" w:rsidRDefault="003A6AC2" w:rsidP="003A6AC2">
      <w:pPr>
        <w:overflowPunct w:val="0"/>
        <w:autoSpaceDE w:val="0"/>
        <w:autoSpaceDN w:val="0"/>
        <w:ind w:leftChars="671" w:left="1699" w:hangingChars="128" w:hanging="283"/>
        <w:rPr>
          <w:rFonts w:ascii="ＭＳ 明朝" w:hAnsi="ＭＳ 明朝"/>
          <w:sz w:val="22"/>
          <w:szCs w:val="22"/>
        </w:rPr>
      </w:pPr>
      <w:r w:rsidRPr="001D6D10">
        <w:rPr>
          <w:rFonts w:ascii="ＭＳ 明朝" w:hAnsi="ＭＳ 明朝" w:hint="eastAsia"/>
          <w:sz w:val="22"/>
          <w:szCs w:val="22"/>
        </w:rPr>
        <w:t>ウ 災害が２都道府県以上にまたがるもので一の都道府県における被害は軽微であっても、全国的に見た場合に同一災害で大きな被害を生じているもの</w:t>
      </w:r>
    </w:p>
    <w:p w14:paraId="260D6C7C" w14:textId="77777777" w:rsidR="003A6AC2" w:rsidRPr="001D6D10" w:rsidRDefault="003A6AC2" w:rsidP="003A6AC2">
      <w:pPr>
        <w:overflowPunct w:val="0"/>
        <w:autoSpaceDE w:val="0"/>
        <w:autoSpaceDN w:val="0"/>
        <w:ind w:leftChars="671" w:left="1699" w:hangingChars="128" w:hanging="283"/>
        <w:rPr>
          <w:rFonts w:ascii="ＭＳ 明朝" w:hAnsi="ＭＳ 明朝"/>
          <w:sz w:val="22"/>
          <w:szCs w:val="22"/>
        </w:rPr>
      </w:pPr>
      <w:r w:rsidRPr="001D6D10">
        <w:rPr>
          <w:rFonts w:ascii="ＭＳ 明朝" w:hAnsi="ＭＳ 明朝" w:hint="eastAsia"/>
          <w:sz w:val="22"/>
          <w:szCs w:val="22"/>
        </w:rPr>
        <w:t>エ 気象業務法第１３条の２に規定する大雨、津波、火山噴火等に係る特別警報が発表されたもの</w:t>
      </w:r>
    </w:p>
    <w:p w14:paraId="6C078F03" w14:textId="77777777" w:rsidR="003A6AC2" w:rsidRPr="001D6D10" w:rsidRDefault="003A6AC2" w:rsidP="003A6AC2">
      <w:pPr>
        <w:overflowPunct w:val="0"/>
        <w:autoSpaceDE w:val="0"/>
        <w:autoSpaceDN w:val="0"/>
        <w:ind w:leftChars="629" w:left="1328" w:firstLineChars="40" w:firstLine="88"/>
        <w:rPr>
          <w:rFonts w:ascii="ＭＳ 明朝" w:hAnsi="ＭＳ 明朝"/>
          <w:sz w:val="22"/>
          <w:szCs w:val="22"/>
        </w:rPr>
      </w:pPr>
      <w:r w:rsidRPr="001D6D10">
        <w:rPr>
          <w:rFonts w:ascii="ＭＳ 明朝" w:hAnsi="ＭＳ 明朝" w:hint="eastAsia"/>
          <w:sz w:val="22"/>
          <w:szCs w:val="22"/>
        </w:rPr>
        <w:t>オ 自衛隊に災害派遣を要請したもの</w:t>
      </w:r>
    </w:p>
    <w:p w14:paraId="7906483E" w14:textId="77777777" w:rsidR="003A6AC2" w:rsidRPr="001D6D10" w:rsidRDefault="003A6AC2" w:rsidP="003A6AC2">
      <w:pPr>
        <w:overflowPunct w:val="0"/>
        <w:autoSpaceDE w:val="0"/>
        <w:autoSpaceDN w:val="0"/>
        <w:ind w:leftChars="515" w:left="1308" w:hangingChars="100" w:hanging="221"/>
        <w:rPr>
          <w:rFonts w:ascii="ＭＳ 明朝" w:hAnsi="ＭＳ 明朝"/>
          <w:sz w:val="22"/>
          <w:szCs w:val="22"/>
        </w:rPr>
      </w:pPr>
      <w:r w:rsidRPr="001D6D10">
        <w:rPr>
          <w:rFonts w:ascii="ＭＳ 明朝" w:hAnsi="ＭＳ 明朝" w:hint="eastAsia"/>
          <w:sz w:val="22"/>
          <w:szCs w:val="22"/>
        </w:rPr>
        <w:t>(2) 個別基準</w:t>
      </w:r>
    </w:p>
    <w:p w14:paraId="010E70EE" w14:textId="77777777" w:rsidR="003A6AC2" w:rsidRPr="001D6D10" w:rsidRDefault="003A6AC2" w:rsidP="003A6AC2">
      <w:pPr>
        <w:overflowPunct w:val="0"/>
        <w:autoSpaceDE w:val="0"/>
        <w:autoSpaceDN w:val="0"/>
        <w:ind w:leftChars="672" w:left="1419" w:firstLineChars="127" w:firstLine="281"/>
        <w:rPr>
          <w:rFonts w:ascii="ＭＳ 明朝" w:hAnsi="ＭＳ 明朝"/>
          <w:sz w:val="22"/>
          <w:szCs w:val="22"/>
        </w:rPr>
      </w:pPr>
      <w:r w:rsidRPr="001D6D10">
        <w:rPr>
          <w:rFonts w:ascii="ＭＳ 明朝" w:hAnsi="ＭＳ 明朝" w:hint="eastAsia"/>
          <w:sz w:val="22"/>
          <w:szCs w:val="22"/>
        </w:rPr>
        <w:t>次の災害については(1)の一般基準に該当しないものにあっても、それぞれ各項に定める個別基準に該当するもの（該当するおそれがある場合を含む。）について報告をすること。</w:t>
      </w:r>
    </w:p>
    <w:p w14:paraId="220F1E6C" w14:textId="77777777" w:rsidR="003A6AC2" w:rsidRPr="001D6D10" w:rsidRDefault="003A6AC2" w:rsidP="00E0548A">
      <w:pPr>
        <w:overflowPunct w:val="0"/>
        <w:autoSpaceDE w:val="0"/>
        <w:autoSpaceDN w:val="0"/>
        <w:ind w:leftChars="629" w:left="1328" w:firstLineChars="40" w:firstLine="88"/>
        <w:rPr>
          <w:rFonts w:ascii="ＭＳ 明朝" w:hAnsi="ＭＳ 明朝"/>
          <w:sz w:val="22"/>
          <w:szCs w:val="22"/>
        </w:rPr>
      </w:pPr>
      <w:r w:rsidRPr="001D6D10">
        <w:rPr>
          <w:rFonts w:ascii="ＭＳ 明朝" w:hAnsi="ＭＳ 明朝" w:hint="eastAsia"/>
          <w:sz w:val="22"/>
          <w:szCs w:val="22"/>
        </w:rPr>
        <w:t>ア 地震</w:t>
      </w:r>
    </w:p>
    <w:p w14:paraId="0A1F8980" w14:textId="0445237F" w:rsidR="00C46ADE" w:rsidRPr="001D6D10" w:rsidRDefault="003A6AC2" w:rsidP="00E0548A">
      <w:pPr>
        <w:overflowPunct w:val="0"/>
        <w:autoSpaceDE w:val="0"/>
        <w:autoSpaceDN w:val="0"/>
        <w:ind w:leftChars="629" w:left="1328" w:firstLineChars="168" w:firstLine="371"/>
        <w:rPr>
          <w:rFonts w:ascii="ＭＳ 明朝" w:hAnsi="ＭＳ 明朝"/>
          <w:sz w:val="22"/>
          <w:szCs w:val="22"/>
        </w:rPr>
      </w:pPr>
      <w:r w:rsidRPr="001D6D10">
        <w:rPr>
          <w:rFonts w:ascii="ＭＳ 明朝" w:hAnsi="ＭＳ 明朝" w:hint="eastAsia"/>
          <w:sz w:val="22"/>
          <w:szCs w:val="22"/>
        </w:rPr>
        <w:t>(ア) 当該都道府県又は市町村の区域内で震度５弱以上を記録したもの</w:t>
      </w:r>
    </w:p>
    <w:p w14:paraId="0B83B9C3" w14:textId="254C3A43" w:rsidR="003A6AC2" w:rsidRPr="001D6D10" w:rsidRDefault="003A6AC2" w:rsidP="00E0548A">
      <w:pPr>
        <w:overflowPunct w:val="0"/>
        <w:autoSpaceDE w:val="0"/>
        <w:autoSpaceDN w:val="0"/>
        <w:ind w:leftChars="629" w:left="1328" w:firstLineChars="168" w:firstLine="371"/>
        <w:rPr>
          <w:rFonts w:ascii="ＭＳ 明朝" w:hAnsi="ＭＳ 明朝"/>
          <w:sz w:val="22"/>
          <w:szCs w:val="22"/>
        </w:rPr>
      </w:pPr>
      <w:r w:rsidRPr="001D6D10">
        <w:rPr>
          <w:rFonts w:ascii="ＭＳ 明朝" w:hAnsi="ＭＳ 明朝" w:hint="eastAsia"/>
          <w:sz w:val="22"/>
          <w:szCs w:val="22"/>
        </w:rPr>
        <w:t>(イ) 人的被害又は住家被害を生じたもの</w:t>
      </w:r>
    </w:p>
    <w:p w14:paraId="577A2A15" w14:textId="77777777" w:rsidR="003A6AC2" w:rsidRPr="001D6D10" w:rsidRDefault="003A6AC2" w:rsidP="00E0548A">
      <w:pPr>
        <w:overflowPunct w:val="0"/>
        <w:autoSpaceDE w:val="0"/>
        <w:autoSpaceDN w:val="0"/>
        <w:ind w:leftChars="629" w:left="1328" w:firstLineChars="40" w:firstLine="88"/>
        <w:rPr>
          <w:rFonts w:ascii="ＭＳ 明朝" w:hAnsi="ＭＳ 明朝"/>
          <w:sz w:val="22"/>
          <w:szCs w:val="22"/>
        </w:rPr>
      </w:pPr>
      <w:r w:rsidRPr="001D6D10">
        <w:rPr>
          <w:rFonts w:ascii="ＭＳ 明朝" w:hAnsi="ＭＳ 明朝" w:hint="eastAsia"/>
          <w:sz w:val="22"/>
          <w:szCs w:val="22"/>
        </w:rPr>
        <w:t>イ 津波</w:t>
      </w:r>
    </w:p>
    <w:p w14:paraId="04AD42F8" w14:textId="77777777" w:rsidR="003A6AC2" w:rsidRPr="001D6D10" w:rsidRDefault="003A6AC2" w:rsidP="00E0548A">
      <w:pPr>
        <w:overflowPunct w:val="0"/>
        <w:autoSpaceDE w:val="0"/>
        <w:autoSpaceDN w:val="0"/>
        <w:ind w:leftChars="629" w:left="1328" w:firstLineChars="168" w:firstLine="371"/>
        <w:rPr>
          <w:rFonts w:ascii="ＭＳ 明朝" w:hAnsi="ＭＳ 明朝"/>
          <w:sz w:val="22"/>
          <w:szCs w:val="22"/>
        </w:rPr>
      </w:pPr>
      <w:r w:rsidRPr="001D6D10">
        <w:rPr>
          <w:rFonts w:ascii="ＭＳ 明朝" w:hAnsi="ＭＳ 明朝" w:hint="eastAsia"/>
          <w:sz w:val="22"/>
          <w:szCs w:val="22"/>
        </w:rPr>
        <w:t>(ア) 津波警報又は津波注意報が発表されたもの</w:t>
      </w:r>
    </w:p>
    <w:p w14:paraId="05EEE7AF" w14:textId="77777777" w:rsidR="003A6AC2" w:rsidRPr="001D6D10" w:rsidRDefault="003A6AC2" w:rsidP="00E0548A">
      <w:pPr>
        <w:overflowPunct w:val="0"/>
        <w:autoSpaceDE w:val="0"/>
        <w:autoSpaceDN w:val="0"/>
        <w:ind w:leftChars="629" w:left="1328" w:firstLineChars="168" w:firstLine="371"/>
        <w:rPr>
          <w:rFonts w:ascii="ＭＳ 明朝" w:hAnsi="ＭＳ 明朝"/>
          <w:sz w:val="22"/>
          <w:szCs w:val="22"/>
        </w:rPr>
      </w:pPr>
      <w:r w:rsidRPr="001D6D10">
        <w:rPr>
          <w:rFonts w:ascii="ＭＳ 明朝" w:hAnsi="ＭＳ 明朝" w:hint="eastAsia"/>
          <w:sz w:val="22"/>
          <w:szCs w:val="22"/>
        </w:rPr>
        <w:lastRenderedPageBreak/>
        <w:t>(イ) 人的被害又は住家被害を生じたもの</w:t>
      </w:r>
    </w:p>
    <w:p w14:paraId="393AD1E8" w14:textId="77777777" w:rsidR="003A6AC2" w:rsidRPr="001D6D10" w:rsidRDefault="003A6AC2" w:rsidP="00E0548A">
      <w:pPr>
        <w:overflowPunct w:val="0"/>
        <w:autoSpaceDE w:val="0"/>
        <w:autoSpaceDN w:val="0"/>
        <w:ind w:leftChars="629" w:left="1328" w:firstLineChars="40" w:firstLine="88"/>
        <w:rPr>
          <w:rFonts w:ascii="ＭＳ 明朝" w:hAnsi="ＭＳ 明朝"/>
          <w:sz w:val="22"/>
          <w:szCs w:val="22"/>
        </w:rPr>
      </w:pPr>
      <w:r w:rsidRPr="001D6D10">
        <w:rPr>
          <w:rFonts w:ascii="ＭＳ 明朝" w:hAnsi="ＭＳ 明朝" w:hint="eastAsia"/>
          <w:sz w:val="22"/>
          <w:szCs w:val="22"/>
        </w:rPr>
        <w:t>ウ 風水害</w:t>
      </w:r>
    </w:p>
    <w:p w14:paraId="20938700" w14:textId="77777777" w:rsidR="003A6AC2" w:rsidRPr="001D6D10" w:rsidRDefault="003A6AC2" w:rsidP="00E0548A">
      <w:pPr>
        <w:overflowPunct w:val="0"/>
        <w:autoSpaceDE w:val="0"/>
        <w:autoSpaceDN w:val="0"/>
        <w:ind w:leftChars="806" w:left="2267" w:hangingChars="256" w:hanging="566"/>
        <w:rPr>
          <w:rFonts w:ascii="ＭＳ 明朝" w:hAnsi="ＭＳ 明朝"/>
          <w:sz w:val="22"/>
          <w:szCs w:val="22"/>
        </w:rPr>
      </w:pPr>
      <w:r w:rsidRPr="001D6D10">
        <w:rPr>
          <w:rFonts w:ascii="ＭＳ 明朝" w:hAnsi="ＭＳ 明朝" w:hint="eastAsia"/>
          <w:sz w:val="22"/>
          <w:szCs w:val="22"/>
        </w:rPr>
        <w:t>(ア) 崖崩れ、地すべり、土石流等により、人的被害又は住家被害を生じたもの</w:t>
      </w:r>
    </w:p>
    <w:p w14:paraId="56AEDD0C" w14:textId="77777777" w:rsidR="003A6AC2" w:rsidRPr="001D6D10" w:rsidRDefault="003A6AC2" w:rsidP="00E0548A">
      <w:pPr>
        <w:overflowPunct w:val="0"/>
        <w:autoSpaceDE w:val="0"/>
        <w:autoSpaceDN w:val="0"/>
        <w:ind w:leftChars="806" w:left="2267" w:hangingChars="256" w:hanging="566"/>
        <w:rPr>
          <w:rFonts w:ascii="ＭＳ 明朝" w:hAnsi="ＭＳ 明朝"/>
          <w:sz w:val="22"/>
          <w:szCs w:val="22"/>
        </w:rPr>
      </w:pPr>
      <w:r w:rsidRPr="001D6D10">
        <w:rPr>
          <w:rFonts w:ascii="ＭＳ 明朝" w:hAnsi="ＭＳ 明朝" w:hint="eastAsia"/>
          <w:sz w:val="22"/>
          <w:szCs w:val="22"/>
        </w:rPr>
        <w:t>(イ) 洪水、浸水、河川の溢水、堤防の決壊又は高潮等により、人的被害又は住家被害を生じたもの</w:t>
      </w:r>
    </w:p>
    <w:p w14:paraId="0D62EB3B" w14:textId="77777777" w:rsidR="003A6AC2" w:rsidRPr="001D6D10" w:rsidRDefault="003A6AC2" w:rsidP="00E0548A">
      <w:pPr>
        <w:overflowPunct w:val="0"/>
        <w:autoSpaceDE w:val="0"/>
        <w:autoSpaceDN w:val="0"/>
        <w:ind w:leftChars="806" w:left="2267" w:hangingChars="256" w:hanging="566"/>
        <w:rPr>
          <w:rFonts w:ascii="ＭＳ 明朝" w:hAnsi="ＭＳ 明朝"/>
          <w:sz w:val="22"/>
          <w:szCs w:val="22"/>
        </w:rPr>
      </w:pPr>
      <w:r w:rsidRPr="001D6D10">
        <w:rPr>
          <w:rFonts w:ascii="ＭＳ 明朝" w:hAnsi="ＭＳ 明朝" w:hint="eastAsia"/>
          <w:sz w:val="22"/>
          <w:szCs w:val="22"/>
        </w:rPr>
        <w:t>(ウ) 強風、竜巻などの突風等により、人的被害又は住家被害を生じたもの</w:t>
      </w:r>
    </w:p>
    <w:p w14:paraId="26E6F00E" w14:textId="77777777" w:rsidR="003A6AC2" w:rsidRPr="001D6D10" w:rsidRDefault="003A6AC2" w:rsidP="00E0548A">
      <w:pPr>
        <w:overflowPunct w:val="0"/>
        <w:autoSpaceDE w:val="0"/>
        <w:autoSpaceDN w:val="0"/>
        <w:ind w:leftChars="629" w:left="1328" w:firstLineChars="40" w:firstLine="88"/>
        <w:rPr>
          <w:rFonts w:ascii="ＭＳ 明朝" w:hAnsi="ＭＳ 明朝"/>
          <w:sz w:val="22"/>
          <w:szCs w:val="22"/>
        </w:rPr>
      </w:pPr>
      <w:r w:rsidRPr="001D6D10">
        <w:rPr>
          <w:rFonts w:ascii="ＭＳ 明朝" w:hAnsi="ＭＳ 明朝" w:hint="eastAsia"/>
          <w:sz w:val="22"/>
          <w:szCs w:val="22"/>
        </w:rPr>
        <w:t>エ 雪害</w:t>
      </w:r>
    </w:p>
    <w:p w14:paraId="049416B7" w14:textId="77777777" w:rsidR="003A6AC2" w:rsidRPr="001D6D10" w:rsidRDefault="003A6AC2" w:rsidP="00E0548A">
      <w:pPr>
        <w:overflowPunct w:val="0"/>
        <w:autoSpaceDE w:val="0"/>
        <w:autoSpaceDN w:val="0"/>
        <w:ind w:leftChars="806" w:left="2267" w:hangingChars="256" w:hanging="566"/>
        <w:rPr>
          <w:rFonts w:ascii="ＭＳ 明朝" w:hAnsi="ＭＳ 明朝"/>
          <w:sz w:val="22"/>
          <w:szCs w:val="22"/>
        </w:rPr>
      </w:pPr>
      <w:r w:rsidRPr="001D6D10">
        <w:rPr>
          <w:rFonts w:ascii="ＭＳ 明朝" w:hAnsi="ＭＳ 明朝" w:hint="eastAsia"/>
          <w:sz w:val="22"/>
          <w:szCs w:val="22"/>
        </w:rPr>
        <w:t>(ア) 積雪、雪崩等により、人的被害又は住家被害を生じたもの</w:t>
      </w:r>
    </w:p>
    <w:p w14:paraId="403824DA" w14:textId="77777777" w:rsidR="003A6AC2" w:rsidRPr="001D6D10" w:rsidRDefault="003A6AC2" w:rsidP="00E0548A">
      <w:pPr>
        <w:overflowPunct w:val="0"/>
        <w:autoSpaceDE w:val="0"/>
        <w:autoSpaceDN w:val="0"/>
        <w:ind w:leftChars="806" w:left="2267" w:hangingChars="256" w:hanging="566"/>
        <w:rPr>
          <w:rFonts w:ascii="ＭＳ 明朝" w:hAnsi="ＭＳ 明朝"/>
          <w:sz w:val="22"/>
          <w:szCs w:val="22"/>
        </w:rPr>
      </w:pPr>
      <w:r w:rsidRPr="001D6D10">
        <w:rPr>
          <w:rFonts w:ascii="ＭＳ 明朝" w:hAnsi="ＭＳ 明朝" w:hint="eastAsia"/>
          <w:sz w:val="22"/>
          <w:szCs w:val="22"/>
        </w:rPr>
        <w:t>(イ) 積雪、道路の凍結、雪崩等により、孤立集落を生じたもの</w:t>
      </w:r>
    </w:p>
    <w:p w14:paraId="2ADD865E" w14:textId="6B6F7EF9" w:rsidR="00C46ADE" w:rsidRPr="001D6D10" w:rsidRDefault="003A6AC2" w:rsidP="00E0548A">
      <w:pPr>
        <w:overflowPunct w:val="0"/>
        <w:autoSpaceDE w:val="0"/>
        <w:autoSpaceDN w:val="0"/>
        <w:ind w:leftChars="471" w:left="1328" w:hangingChars="151" w:hanging="334"/>
        <w:rPr>
          <w:rFonts w:ascii="ＭＳ 明朝" w:hAnsi="ＭＳ 明朝"/>
          <w:sz w:val="22"/>
          <w:szCs w:val="22"/>
        </w:rPr>
      </w:pPr>
      <w:r w:rsidRPr="001D6D10">
        <w:rPr>
          <w:rFonts w:ascii="ＭＳ 明朝" w:hAnsi="ＭＳ 明朝" w:hint="eastAsia"/>
          <w:sz w:val="22"/>
          <w:szCs w:val="22"/>
        </w:rPr>
        <w:t>(3) 社会的影響基準</w:t>
      </w:r>
    </w:p>
    <w:p w14:paraId="741B012D" w14:textId="06C8F26C" w:rsidR="003A6AC2" w:rsidRPr="001D6D10" w:rsidRDefault="003A6AC2" w:rsidP="00E0548A">
      <w:pPr>
        <w:overflowPunct w:val="0"/>
        <w:autoSpaceDE w:val="0"/>
        <w:autoSpaceDN w:val="0"/>
        <w:ind w:leftChars="571" w:left="1205" w:firstLineChars="100" w:firstLine="221"/>
        <w:rPr>
          <w:rFonts w:ascii="ＭＳ 明朝" w:hAnsi="ＭＳ 明朝"/>
          <w:sz w:val="22"/>
          <w:szCs w:val="22"/>
        </w:rPr>
      </w:pPr>
      <w:r w:rsidRPr="001D6D10">
        <w:rPr>
          <w:rFonts w:ascii="ＭＳ 明朝" w:hAnsi="ＭＳ 明朝" w:hint="eastAsia"/>
          <w:sz w:val="22"/>
          <w:szCs w:val="22"/>
        </w:rPr>
        <w:t>(1) 一般基準、(2) 個別基準に該当しない災害であっても、報道機関に大きく取り上げられる</w:t>
      </w:r>
      <w:proofErr w:type="gramStart"/>
      <w:r w:rsidRPr="001D6D10">
        <w:rPr>
          <w:rFonts w:ascii="ＭＳ 明朝" w:hAnsi="ＭＳ 明朝" w:hint="eastAsia"/>
          <w:sz w:val="22"/>
          <w:szCs w:val="22"/>
        </w:rPr>
        <w:t>等</w:t>
      </w:r>
      <w:proofErr w:type="gramEnd"/>
      <w:r w:rsidRPr="001D6D10">
        <w:rPr>
          <w:rFonts w:ascii="ＭＳ 明朝" w:hAnsi="ＭＳ 明朝" w:hint="eastAsia"/>
          <w:sz w:val="22"/>
          <w:szCs w:val="22"/>
        </w:rPr>
        <w:t>社会的影響度が高いと認められる場合には報告をすること。</w:t>
      </w:r>
    </w:p>
    <w:p w14:paraId="4B090C0A" w14:textId="77777777" w:rsidR="008B4B2B" w:rsidRPr="001D6D10" w:rsidRDefault="008B4B2B" w:rsidP="003A6AC2">
      <w:pPr>
        <w:rPr>
          <w:rFonts w:ascii="ＭＳ ゴシック" w:eastAsia="ＭＳ ゴシック" w:hAnsi="ＭＳ ゴシック"/>
          <w:sz w:val="22"/>
          <w:szCs w:val="22"/>
        </w:rPr>
      </w:pPr>
    </w:p>
    <w:p w14:paraId="351FBCAA" w14:textId="782C8476" w:rsidR="00A049A2" w:rsidRPr="001D6D10" w:rsidRDefault="00481272" w:rsidP="00A049A2">
      <w:pPr>
        <w:ind w:left="443"/>
        <w:rPr>
          <w:rFonts w:ascii="ＭＳ ゴシック" w:eastAsia="ＭＳ ゴシック" w:hAnsi="ＭＳ ゴシック"/>
          <w:sz w:val="22"/>
          <w:szCs w:val="22"/>
          <w:u w:val="single"/>
        </w:rPr>
      </w:pPr>
      <w:r w:rsidRPr="001D6D10">
        <w:rPr>
          <w:rFonts w:ascii="ＭＳ ゴシック" w:eastAsia="ＭＳ ゴシック" w:hAnsi="ＭＳ ゴシック" w:hint="eastAsia"/>
          <w:sz w:val="22"/>
          <w:szCs w:val="22"/>
        </w:rPr>
        <w:t xml:space="preserve">　</w:t>
      </w:r>
      <w:r w:rsidR="007E668F" w:rsidRPr="001D6D10">
        <w:rPr>
          <w:rFonts w:ascii="ＭＳ ゴシック" w:eastAsia="ＭＳ ゴシック" w:hAnsi="ＭＳ ゴシック" w:hint="eastAsia"/>
          <w:sz w:val="22"/>
          <w:szCs w:val="22"/>
          <w:u w:val="single"/>
        </w:rPr>
        <w:t>５</w:t>
      </w:r>
      <w:r w:rsidR="00A049A2" w:rsidRPr="001D6D10">
        <w:rPr>
          <w:rFonts w:ascii="ＭＳ ゴシック" w:eastAsia="ＭＳ ゴシック" w:hAnsi="ＭＳ ゴシック" w:hint="eastAsia"/>
          <w:sz w:val="22"/>
          <w:szCs w:val="22"/>
          <w:u w:val="single"/>
        </w:rPr>
        <w:t xml:space="preserve">　災害時における安否不明者等の情報収集・提供等</w:t>
      </w:r>
    </w:p>
    <w:p w14:paraId="1D95A837" w14:textId="77777777" w:rsidR="00A049A2" w:rsidRPr="001D6D10" w:rsidRDefault="00481272" w:rsidP="00B35001">
      <w:pPr>
        <w:ind w:leftChars="209" w:left="868" w:hangingChars="193" w:hanging="427"/>
        <w:rPr>
          <w:rFonts w:ascii="ＭＳ 明朝" w:hAnsi="ＭＳ 明朝"/>
          <w:sz w:val="22"/>
          <w:szCs w:val="22"/>
        </w:rPr>
      </w:pPr>
      <w:r w:rsidRPr="001D6D10">
        <w:rPr>
          <w:rFonts w:ascii="ＭＳ 明朝" w:hAnsi="ＭＳ 明朝" w:hint="eastAsia"/>
          <w:sz w:val="22"/>
          <w:szCs w:val="22"/>
        </w:rPr>
        <w:t xml:space="preserve">　　　</w:t>
      </w:r>
      <w:r w:rsidR="00A049A2" w:rsidRPr="001D6D10">
        <w:rPr>
          <w:rFonts w:ascii="ＭＳ 明朝" w:hAnsi="ＭＳ 明朝" w:hint="eastAsia"/>
          <w:sz w:val="22"/>
          <w:szCs w:val="22"/>
        </w:rPr>
        <w:t>府は、人的被害における安否不明者及び死者について、救出・救助活動の効率　化・円滑化に資すると見込まれる場合は、市町村より収集した氏名等の情報を速やかに救助機関（自衛隊・警察等）へ提供する。</w:t>
      </w:r>
    </w:p>
    <w:p w14:paraId="11631362" w14:textId="77777777" w:rsidR="00A049A2" w:rsidRPr="001D6D10" w:rsidRDefault="00A049A2" w:rsidP="00B35001">
      <w:pPr>
        <w:ind w:left="868" w:firstLineChars="120" w:firstLine="265"/>
        <w:rPr>
          <w:rFonts w:ascii="ＭＳ 明朝" w:hAnsi="ＭＳ 明朝"/>
          <w:sz w:val="22"/>
          <w:szCs w:val="22"/>
        </w:rPr>
      </w:pPr>
      <w:r w:rsidRPr="001D6D10">
        <w:rPr>
          <w:rFonts w:ascii="ＭＳ 明朝" w:hAnsi="ＭＳ 明朝" w:hint="eastAsia"/>
          <w:sz w:val="22"/>
          <w:szCs w:val="22"/>
        </w:rPr>
        <w:t>また、安否不明者及び死者の公表等については、府が定めるそれぞれの基準に基づき、対応する。</w:t>
      </w:r>
    </w:p>
    <w:p w14:paraId="20EB626E" w14:textId="77777777" w:rsidR="00666317" w:rsidRPr="001D6D10" w:rsidRDefault="00A049A2" w:rsidP="00481272">
      <w:pPr>
        <w:ind w:left="851"/>
        <w:rPr>
          <w:rFonts w:ascii="ＭＳ 明朝" w:hAnsi="ＭＳ 明朝"/>
          <w:sz w:val="22"/>
          <w:szCs w:val="22"/>
        </w:rPr>
      </w:pPr>
      <w:r w:rsidRPr="001D6D10">
        <w:rPr>
          <w:rFonts w:ascii="ＭＳ 明朝" w:hAnsi="ＭＳ 明朝" w:hint="eastAsia"/>
          <w:sz w:val="22"/>
          <w:szCs w:val="22"/>
        </w:rPr>
        <w:t>※人命救助の観点から第</w:t>
      </w:r>
      <w:r w:rsidRPr="001D6D10">
        <w:rPr>
          <w:rFonts w:ascii="ＭＳ 明朝" w:hAnsi="ＭＳ 明朝"/>
          <w:sz w:val="22"/>
          <w:szCs w:val="22"/>
        </w:rPr>
        <w:t>3フェーズまでを目安にしているが、それ以降においても、必要とする場合は、対応する</w:t>
      </w:r>
    </w:p>
    <w:p w14:paraId="012BE8E9" w14:textId="77777777" w:rsidR="008B4B2B" w:rsidRPr="001D6D10" w:rsidRDefault="008B4B2B" w:rsidP="008B4B2B">
      <w:pPr>
        <w:ind w:left="443"/>
        <w:rPr>
          <w:rFonts w:ascii="ＭＳ ゴシック" w:eastAsia="ＭＳ ゴシック" w:hAnsi="ＭＳ ゴシック"/>
          <w:sz w:val="22"/>
          <w:szCs w:val="22"/>
        </w:rPr>
      </w:pPr>
    </w:p>
    <w:p w14:paraId="0C92E90C" w14:textId="77777777" w:rsidR="008B4B2B" w:rsidRPr="001D6D10" w:rsidRDefault="008B4B2B" w:rsidP="008B4B2B">
      <w:pPr>
        <w:ind w:left="443"/>
        <w:rPr>
          <w:rFonts w:ascii="ＭＳ ゴシック" w:eastAsia="ＭＳ ゴシック" w:hAnsi="ＭＳ ゴシック"/>
          <w:sz w:val="22"/>
          <w:szCs w:val="22"/>
        </w:rPr>
      </w:pPr>
    </w:p>
    <w:p w14:paraId="7B031FE3" w14:textId="695FC5DF" w:rsidR="000923FC" w:rsidRDefault="000923FC">
      <w:pPr>
        <w:widowControl/>
        <w:jc w:val="left"/>
        <w:rPr>
          <w:rFonts w:ascii="ＭＳ ゴシック" w:eastAsia="ＭＳ ゴシック" w:hAnsi="ＭＳ ゴシック"/>
          <w:sz w:val="22"/>
          <w:szCs w:val="22"/>
        </w:rPr>
      </w:pPr>
      <w:r>
        <w:rPr>
          <w:rFonts w:ascii="ＭＳ ゴシック" w:eastAsia="ＭＳ ゴシック" w:hAnsi="ＭＳ ゴシック"/>
          <w:sz w:val="22"/>
          <w:szCs w:val="22"/>
        </w:rPr>
        <w:br w:type="page"/>
      </w:r>
    </w:p>
    <w:p w14:paraId="3EED5E7B" w14:textId="51102ED4" w:rsidR="008B4B2B" w:rsidRPr="001D6D10" w:rsidRDefault="008B4B2B" w:rsidP="00E0548A">
      <w:pPr>
        <w:pStyle w:val="3"/>
        <w:ind w:firstLineChars="0" w:firstLine="0"/>
      </w:pPr>
      <w:bookmarkStart w:id="231" w:name="_Toc122436925"/>
      <w:bookmarkStart w:id="232" w:name="_Toc222486608"/>
      <w:bookmarkStart w:id="233" w:name="_Toc242870278"/>
      <w:r w:rsidRPr="001D6D10">
        <w:rPr>
          <w:rFonts w:hint="eastAsia"/>
        </w:rPr>
        <w:lastRenderedPageBreak/>
        <w:t>第２　災害広報</w:t>
      </w:r>
      <w:r w:rsidRPr="001D6D10">
        <w:rPr>
          <w:rFonts w:hint="eastAsia"/>
          <w:shd w:val="pct15" w:color="auto" w:fill="FFFFFF"/>
        </w:rPr>
        <w:t>【第１フェーズ】</w:t>
      </w:r>
      <w:bookmarkEnd w:id="231"/>
      <w:bookmarkEnd w:id="232"/>
      <w:bookmarkEnd w:id="233"/>
    </w:p>
    <w:p w14:paraId="334E7771" w14:textId="77777777" w:rsidR="008B4B2B" w:rsidRPr="001D6D10" w:rsidRDefault="008B4B2B" w:rsidP="008B4B2B">
      <w:pPr>
        <w:pStyle w:val="a0"/>
        <w:ind w:firstLineChars="500" w:firstLine="1105"/>
        <w:rPr>
          <w:rFonts w:ascii="ＭＳ ゴシック" w:eastAsia="ＭＳ ゴシック" w:hAnsi="ＭＳ ゴシック"/>
          <w:sz w:val="22"/>
          <w:szCs w:val="22"/>
          <w:bdr w:val="single" w:sz="4" w:space="0" w:color="auto"/>
        </w:rPr>
      </w:pPr>
      <w:r w:rsidRPr="001D6D10">
        <w:rPr>
          <w:rFonts w:ascii="ＭＳ ゴシック" w:eastAsia="ＭＳ ゴシック" w:hAnsi="ＭＳ ゴシック" w:hint="eastAsia"/>
          <w:sz w:val="22"/>
          <w:szCs w:val="22"/>
          <w:bdr w:val="single" w:sz="4" w:space="0" w:color="auto"/>
        </w:rPr>
        <w:t>主たる担当：企画室、庁舎室庁舎管理課、人事課、府政情報室、危機管理室</w:t>
      </w:r>
    </w:p>
    <w:p w14:paraId="6448ECF6" w14:textId="77777777" w:rsidR="008B4B2B" w:rsidRPr="001D6D10" w:rsidRDefault="008B4B2B" w:rsidP="008B4B2B">
      <w:pPr>
        <w:pStyle w:val="a0"/>
        <w:ind w:firstLineChars="200" w:firstLine="422"/>
        <w:rPr>
          <w:rFonts w:ascii="ＭＳ ゴシック" w:eastAsia="ＭＳ ゴシック" w:hAnsi="ＭＳ ゴシック"/>
          <w:sz w:val="22"/>
          <w:szCs w:val="22"/>
          <w:u w:val="single"/>
        </w:rPr>
      </w:pPr>
      <w:r w:rsidRPr="001D6D10">
        <w:rPr>
          <w:rFonts w:hint="eastAsia"/>
        </w:rPr>
        <w:t xml:space="preserve">　 </w:t>
      </w:r>
      <w:r w:rsidRPr="001D6D10">
        <w:rPr>
          <w:rFonts w:ascii="ＭＳ ゴシック" w:eastAsia="ＭＳ ゴシック" w:hAnsi="ＭＳ ゴシック" w:hint="eastAsia"/>
          <w:sz w:val="22"/>
          <w:szCs w:val="22"/>
          <w:u w:val="single"/>
        </w:rPr>
        <w:t>１　災害広報の方法</w:t>
      </w:r>
    </w:p>
    <w:p w14:paraId="5CB77B12" w14:textId="77777777" w:rsidR="008B4B2B" w:rsidRPr="001D6D10" w:rsidRDefault="008B4B2B" w:rsidP="008B4B2B">
      <w:pPr>
        <w:pStyle w:val="a0"/>
        <w:numPr>
          <w:ilvl w:val="0"/>
          <w:numId w:val="9"/>
        </w:numPr>
        <w:rPr>
          <w:sz w:val="22"/>
          <w:szCs w:val="22"/>
        </w:rPr>
      </w:pPr>
      <w:r w:rsidRPr="001D6D10">
        <w:rPr>
          <w:rFonts w:hint="eastAsia"/>
          <w:sz w:val="22"/>
          <w:szCs w:val="22"/>
        </w:rPr>
        <w:t>おおさか防災ネット等の活用</w:t>
      </w:r>
    </w:p>
    <w:p w14:paraId="05F95C5A" w14:textId="77777777" w:rsidR="008B4B2B" w:rsidRPr="001D6D10" w:rsidRDefault="008B4B2B" w:rsidP="008B4B2B">
      <w:pPr>
        <w:pStyle w:val="a0"/>
        <w:ind w:leftChars="575" w:left="1214" w:firstLineChars="100" w:firstLine="221"/>
        <w:rPr>
          <w:sz w:val="22"/>
          <w:szCs w:val="22"/>
        </w:rPr>
      </w:pPr>
      <w:r w:rsidRPr="001D6D10">
        <w:rPr>
          <w:rFonts w:hint="eastAsia"/>
          <w:sz w:val="22"/>
          <w:szCs w:val="22"/>
        </w:rPr>
        <w:t>災害対策課長は、府民をはじめ市町村・防災関係機関等に対し、おおさか防災ネット、公共情報コモンズ、かんさい生活情報ネットワーク等を活用し、随時、情報提供を行うものとする。</w:t>
      </w:r>
    </w:p>
    <w:p w14:paraId="4A589102" w14:textId="77777777" w:rsidR="008B4B2B" w:rsidRPr="001D6D10" w:rsidRDefault="008B4B2B" w:rsidP="008B4B2B">
      <w:pPr>
        <w:pStyle w:val="a0"/>
        <w:ind w:leftChars="575" w:left="1214" w:rightChars="-41" w:right="-87" w:firstLineChars="100" w:firstLine="221"/>
        <w:rPr>
          <w:sz w:val="22"/>
          <w:szCs w:val="22"/>
        </w:rPr>
      </w:pPr>
      <w:r w:rsidRPr="001D6D10">
        <w:rPr>
          <w:rFonts w:hint="eastAsia"/>
          <w:sz w:val="22"/>
          <w:szCs w:val="22"/>
        </w:rPr>
        <w:t>なお、庁内関係課に対しても、積極的な情報提供を行うよう要請するとともに、広報内容が庁内を対象とする場合は庁内放送により行う。</w:t>
      </w:r>
    </w:p>
    <w:p w14:paraId="42BFC8ED" w14:textId="77777777" w:rsidR="008B4B2B" w:rsidRPr="001D6D10" w:rsidRDefault="008B4B2B" w:rsidP="008B4B2B">
      <w:pPr>
        <w:pStyle w:val="a0"/>
        <w:ind w:leftChars="575" w:left="1214" w:firstLineChars="100" w:firstLine="221"/>
        <w:rPr>
          <w:sz w:val="22"/>
          <w:szCs w:val="22"/>
        </w:rPr>
      </w:pPr>
    </w:p>
    <w:p w14:paraId="528C05B6" w14:textId="77777777" w:rsidR="008B4B2B" w:rsidRPr="001D6D10" w:rsidRDefault="008B4B2B" w:rsidP="008B4B2B">
      <w:pPr>
        <w:pStyle w:val="a0"/>
        <w:ind w:firstLineChars="400" w:firstLine="884"/>
        <w:rPr>
          <w:sz w:val="22"/>
          <w:szCs w:val="22"/>
        </w:rPr>
      </w:pPr>
      <w:r w:rsidRPr="001D6D10">
        <w:rPr>
          <w:rFonts w:hint="eastAsia"/>
          <w:sz w:val="22"/>
          <w:szCs w:val="22"/>
        </w:rPr>
        <w:t>(2)　報道機関に対する情報の提供</w:t>
      </w:r>
    </w:p>
    <w:p w14:paraId="60C3FA3F" w14:textId="77777777" w:rsidR="008B4B2B" w:rsidRPr="001D6D10" w:rsidRDefault="008B4B2B" w:rsidP="008B4B2B">
      <w:pPr>
        <w:pStyle w:val="a0"/>
        <w:ind w:leftChars="601" w:left="1269" w:rightChars="-41" w:right="-87" w:firstLineChars="100" w:firstLine="221"/>
        <w:rPr>
          <w:strike/>
          <w:sz w:val="22"/>
          <w:szCs w:val="22"/>
        </w:rPr>
      </w:pPr>
      <w:r w:rsidRPr="001D6D10">
        <w:rPr>
          <w:rFonts w:hint="eastAsia"/>
          <w:sz w:val="22"/>
          <w:szCs w:val="22"/>
        </w:rPr>
        <w:t>防災企画課参事は、地震に関する情報及び被災者に対する生活情報、応急対策の実施状況等について、各報道機関に対し、定期的な情報提供を行うとともに、状況に応じ震災プレスセンターを設置し、総合的な災害情報の提供を行う。</w:t>
      </w:r>
    </w:p>
    <w:p w14:paraId="596428A3" w14:textId="77777777" w:rsidR="008B4B2B" w:rsidRPr="001D6D10" w:rsidRDefault="008B4B2B" w:rsidP="008B4B2B">
      <w:pPr>
        <w:pStyle w:val="a0"/>
        <w:ind w:leftChars="601" w:left="1269" w:firstLineChars="100" w:firstLine="221"/>
        <w:rPr>
          <w:strike/>
          <w:sz w:val="22"/>
          <w:szCs w:val="22"/>
        </w:rPr>
      </w:pPr>
    </w:p>
    <w:p w14:paraId="7277E8AD" w14:textId="77777777" w:rsidR="008B4B2B" w:rsidRPr="001D6D10" w:rsidRDefault="008B4B2B" w:rsidP="008B4B2B">
      <w:pPr>
        <w:pStyle w:val="a0"/>
        <w:ind w:firstLineChars="400" w:firstLine="884"/>
        <w:rPr>
          <w:sz w:val="22"/>
          <w:szCs w:val="22"/>
        </w:rPr>
      </w:pPr>
      <w:r w:rsidRPr="001D6D10">
        <w:rPr>
          <w:rFonts w:hint="eastAsia"/>
          <w:sz w:val="22"/>
          <w:szCs w:val="22"/>
        </w:rPr>
        <w:t>(3)　府民等に対する広報</w:t>
      </w:r>
    </w:p>
    <w:p w14:paraId="7D263186" w14:textId="77777777" w:rsidR="008B4B2B" w:rsidRPr="001D6D10" w:rsidRDefault="008B4B2B" w:rsidP="008B4B2B">
      <w:pPr>
        <w:pStyle w:val="a0"/>
        <w:ind w:left="1214" w:rightChars="-108" w:right="-228" w:hangingChars="549" w:hanging="1214"/>
        <w:rPr>
          <w:rFonts w:hAnsi="ＭＳ 明朝"/>
          <w:sz w:val="22"/>
          <w:szCs w:val="22"/>
        </w:rPr>
      </w:pPr>
      <w:r w:rsidRPr="001D6D10">
        <w:rPr>
          <w:rFonts w:hint="eastAsia"/>
          <w:sz w:val="22"/>
          <w:szCs w:val="22"/>
        </w:rPr>
        <w:t xml:space="preserve">　　　 　　　</w:t>
      </w:r>
      <w:r w:rsidRPr="001D6D10">
        <w:rPr>
          <w:rFonts w:hAnsi="ＭＳ 明朝" w:cs="Meiryo UI" w:hint="eastAsia"/>
        </w:rPr>
        <w:t>広報広聴課長は、災害対策課からの情報を、広報広聴課が管理するあらゆる広報媒体を活用し、情報提供を行う。また、各部局が実施する情報提供に関する相談に対し、迅速かつわかりやすい広報が行われるよう支援強化を行う。</w:t>
      </w:r>
    </w:p>
    <w:p w14:paraId="3D46EB79" w14:textId="77777777" w:rsidR="008B4B2B" w:rsidRPr="001D6D10" w:rsidRDefault="008B4B2B" w:rsidP="008B4B2B">
      <w:pPr>
        <w:pStyle w:val="a0"/>
        <w:ind w:firstLineChars="250" w:firstLine="553"/>
        <w:rPr>
          <w:rFonts w:ascii="ＭＳ ゴシック" w:eastAsia="ＭＳ ゴシック" w:hAnsi="ＭＳ ゴシック"/>
          <w:sz w:val="22"/>
          <w:szCs w:val="22"/>
        </w:rPr>
      </w:pPr>
    </w:p>
    <w:p w14:paraId="64C45C4B" w14:textId="77777777" w:rsidR="008B4B2B" w:rsidRPr="001D6D10" w:rsidRDefault="008B4B2B" w:rsidP="008B4B2B">
      <w:pPr>
        <w:pStyle w:val="a0"/>
        <w:ind w:firstLineChars="250" w:firstLine="553"/>
        <w:rPr>
          <w:rFonts w:ascii="ＭＳ ゴシック" w:eastAsia="ＭＳ ゴシック" w:hAnsi="ＭＳ ゴシック"/>
          <w:sz w:val="22"/>
          <w:szCs w:val="22"/>
          <w:u w:val="single"/>
        </w:rPr>
      </w:pPr>
      <w:r w:rsidRPr="001D6D10">
        <w:rPr>
          <w:rFonts w:ascii="ＭＳ ゴシック" w:eastAsia="ＭＳ ゴシック" w:hAnsi="ＭＳ ゴシック" w:hint="eastAsia"/>
          <w:sz w:val="22"/>
          <w:szCs w:val="22"/>
          <w:u w:val="single"/>
        </w:rPr>
        <w:t>２　広報の内容</w:t>
      </w:r>
    </w:p>
    <w:p w14:paraId="5C159331" w14:textId="77777777" w:rsidR="008B4B2B" w:rsidRPr="001D6D10" w:rsidRDefault="008B4B2B" w:rsidP="008B4B2B">
      <w:pPr>
        <w:pStyle w:val="a0"/>
        <w:numPr>
          <w:ilvl w:val="0"/>
          <w:numId w:val="10"/>
        </w:numPr>
        <w:rPr>
          <w:sz w:val="22"/>
          <w:szCs w:val="22"/>
        </w:rPr>
      </w:pPr>
      <w:r w:rsidRPr="001D6D10">
        <w:rPr>
          <w:rFonts w:hint="eastAsia"/>
          <w:sz w:val="22"/>
          <w:szCs w:val="22"/>
        </w:rPr>
        <w:t>地震発生直後</w:t>
      </w:r>
    </w:p>
    <w:p w14:paraId="42BCB8DC" w14:textId="0DD7F699" w:rsidR="008B4B2B" w:rsidRPr="001D6D10" w:rsidRDefault="008B4B2B" w:rsidP="008B4B2B">
      <w:pPr>
        <w:pStyle w:val="a0"/>
        <w:ind w:left="1435" w:rightChars="-41" w:right="-87"/>
        <w:rPr>
          <w:sz w:val="22"/>
          <w:szCs w:val="22"/>
        </w:rPr>
      </w:pPr>
      <w:r w:rsidRPr="001D6D10">
        <w:rPr>
          <w:rFonts w:hint="eastAsia"/>
          <w:sz w:val="22"/>
          <w:szCs w:val="22"/>
        </w:rPr>
        <w:t>地震の規模・津波情報（津波の規模、到達予想時刻等）・余震・気象の状況</w:t>
      </w:r>
      <w:r w:rsidR="002965C0" w:rsidRPr="001D6D10">
        <w:rPr>
          <w:rFonts w:hint="eastAsia"/>
          <w:sz w:val="22"/>
          <w:szCs w:val="22"/>
        </w:rPr>
        <w:t>、</w:t>
      </w:r>
      <w:r w:rsidRPr="001D6D10">
        <w:rPr>
          <w:rFonts w:hint="eastAsia"/>
          <w:sz w:val="22"/>
          <w:szCs w:val="22"/>
        </w:rPr>
        <w:t>出火防止、初期消火の呼びかけ、要配慮者への支援の呼びかけなど</w:t>
      </w:r>
    </w:p>
    <w:p w14:paraId="5D0CA5A3" w14:textId="77777777" w:rsidR="008B4B2B" w:rsidRPr="001D6D10" w:rsidRDefault="008B4B2B" w:rsidP="008B4B2B">
      <w:pPr>
        <w:pStyle w:val="a0"/>
        <w:numPr>
          <w:ilvl w:val="0"/>
          <w:numId w:val="10"/>
        </w:numPr>
        <w:rPr>
          <w:sz w:val="22"/>
          <w:szCs w:val="22"/>
        </w:rPr>
      </w:pPr>
      <w:r w:rsidRPr="001D6D10">
        <w:rPr>
          <w:rFonts w:hint="eastAsia"/>
          <w:sz w:val="22"/>
          <w:szCs w:val="22"/>
        </w:rPr>
        <w:t>風水害発生直後</w:t>
      </w:r>
    </w:p>
    <w:p w14:paraId="493B56A0" w14:textId="77777777" w:rsidR="008B4B2B" w:rsidRPr="001D6D10" w:rsidRDefault="008B4B2B" w:rsidP="008B4B2B">
      <w:pPr>
        <w:pStyle w:val="a0"/>
        <w:ind w:left="1435" w:rightChars="-108" w:right="-228"/>
        <w:rPr>
          <w:sz w:val="22"/>
          <w:szCs w:val="22"/>
        </w:rPr>
      </w:pPr>
      <w:r w:rsidRPr="001D6D10">
        <w:rPr>
          <w:rFonts w:hint="eastAsia"/>
          <w:sz w:val="22"/>
          <w:szCs w:val="22"/>
        </w:rPr>
        <w:t>気象等の状況、要配慮者への支援の呼びかけ、土砂災害（二次的災害）の危険性など</w:t>
      </w:r>
    </w:p>
    <w:p w14:paraId="04770DFF" w14:textId="77777777" w:rsidR="008B4B2B" w:rsidRPr="001D6D10" w:rsidRDefault="008B4B2B" w:rsidP="008B4B2B">
      <w:pPr>
        <w:pStyle w:val="a0"/>
        <w:ind w:firstLineChars="400" w:firstLine="884"/>
        <w:rPr>
          <w:sz w:val="22"/>
          <w:szCs w:val="22"/>
        </w:rPr>
      </w:pPr>
      <w:r w:rsidRPr="001D6D10">
        <w:rPr>
          <w:rFonts w:hint="eastAsia"/>
          <w:sz w:val="22"/>
          <w:szCs w:val="22"/>
        </w:rPr>
        <w:t>(3)　その後</w:t>
      </w:r>
    </w:p>
    <w:p w14:paraId="6660A941" w14:textId="77777777" w:rsidR="008B4B2B" w:rsidRPr="001D6D10" w:rsidRDefault="008B4B2B" w:rsidP="008B4B2B">
      <w:pPr>
        <w:pStyle w:val="a0"/>
        <w:ind w:leftChars="419" w:left="1276" w:rightChars="-108" w:right="-228" w:hangingChars="177" w:hanging="391"/>
        <w:rPr>
          <w:sz w:val="22"/>
          <w:szCs w:val="22"/>
        </w:rPr>
      </w:pPr>
      <w:r w:rsidRPr="001D6D10">
        <w:rPr>
          <w:rFonts w:hint="eastAsia"/>
          <w:sz w:val="22"/>
          <w:szCs w:val="22"/>
        </w:rPr>
        <w:t xml:space="preserve">　　 二次災害の危険性、被災状況とその後の見通し、被災者のために講じている施策、 ライフラインや交通施設等の復旧状況、医療機関などの生活関連情報、交通規制情報、義援物資等の取扱いなど</w:t>
      </w:r>
    </w:p>
    <w:p w14:paraId="254A169B" w14:textId="77777777" w:rsidR="008B4B2B" w:rsidRPr="001D6D10" w:rsidRDefault="008B4B2B" w:rsidP="008B4B2B">
      <w:pPr>
        <w:pStyle w:val="a0"/>
      </w:pPr>
      <w:r w:rsidRPr="001D6D10">
        <w:rPr>
          <w:rFonts w:hint="eastAsia"/>
        </w:rPr>
        <w:t xml:space="preserve">　　　</w:t>
      </w:r>
    </w:p>
    <w:p w14:paraId="2651F2AE" w14:textId="77777777" w:rsidR="008B4B2B" w:rsidRPr="001D6D10" w:rsidRDefault="008B4B2B" w:rsidP="008B4B2B">
      <w:pPr>
        <w:pStyle w:val="a0"/>
        <w:rPr>
          <w:rFonts w:ascii="ＭＳ ゴシック" w:eastAsia="ＭＳ ゴシック" w:hAnsi="ＭＳ ゴシック"/>
          <w:sz w:val="22"/>
          <w:szCs w:val="22"/>
        </w:rPr>
      </w:pPr>
      <w:r w:rsidRPr="001D6D10">
        <w:rPr>
          <w:rFonts w:hint="eastAsia"/>
        </w:rPr>
        <w:t xml:space="preserve">　　　</w:t>
      </w:r>
      <w:r w:rsidRPr="001D6D10">
        <w:rPr>
          <w:rFonts w:ascii="ＭＳ ゴシック" w:eastAsia="ＭＳ ゴシック" w:hAnsi="ＭＳ ゴシック" w:hint="eastAsia"/>
          <w:sz w:val="22"/>
          <w:szCs w:val="22"/>
          <w:u w:val="single"/>
        </w:rPr>
        <w:t>３　広報事項の記録</w:t>
      </w:r>
    </w:p>
    <w:p w14:paraId="30D7C3CB" w14:textId="77777777" w:rsidR="008B4B2B" w:rsidRPr="001D6D10" w:rsidRDefault="008B4B2B" w:rsidP="008B4B2B">
      <w:pPr>
        <w:pStyle w:val="a0"/>
        <w:ind w:left="1055" w:hangingChars="500" w:hanging="1055"/>
        <w:rPr>
          <w:sz w:val="22"/>
          <w:szCs w:val="22"/>
        </w:rPr>
      </w:pPr>
      <w:r w:rsidRPr="001D6D10">
        <w:rPr>
          <w:rFonts w:hint="eastAsia"/>
        </w:rPr>
        <w:t xml:space="preserve">　　　　　</w:t>
      </w:r>
      <w:r w:rsidRPr="001D6D10">
        <w:rPr>
          <w:rFonts w:hint="eastAsia"/>
          <w:sz w:val="22"/>
          <w:szCs w:val="22"/>
        </w:rPr>
        <w:t>広報広聴課長は、広報した事項をすべて記録し、災害等活動終了後に危機管理監（災対本部事務局長）に報告する。</w:t>
      </w:r>
    </w:p>
    <w:p w14:paraId="607F20A1" w14:textId="77777777" w:rsidR="008B4B2B" w:rsidRPr="001D6D10" w:rsidRDefault="008B4B2B" w:rsidP="008B4B2B">
      <w:pPr>
        <w:ind w:firstLineChars="300" w:firstLine="663"/>
        <w:rPr>
          <w:rFonts w:ascii="ＭＳ ゴシック" w:eastAsia="ＭＳ ゴシック" w:hAnsi="ＭＳ ゴシック"/>
          <w:sz w:val="22"/>
          <w:szCs w:val="22"/>
        </w:rPr>
      </w:pPr>
    </w:p>
    <w:p w14:paraId="0813B12F" w14:textId="77777777" w:rsidR="008B4B2B" w:rsidRPr="001D6D10" w:rsidRDefault="008B4B2B" w:rsidP="008B4B2B">
      <w:pPr>
        <w:ind w:firstLineChars="300" w:firstLine="663"/>
        <w:rPr>
          <w:rFonts w:ascii="ＭＳ ゴシック" w:eastAsia="ＭＳ ゴシック" w:hAnsi="ＭＳ ゴシック"/>
          <w:sz w:val="22"/>
          <w:szCs w:val="22"/>
        </w:rPr>
      </w:pPr>
    </w:p>
    <w:p w14:paraId="768112BD" w14:textId="77777777" w:rsidR="008B4B2B" w:rsidRPr="001D6D10" w:rsidRDefault="008B4B2B" w:rsidP="008B4B2B">
      <w:pPr>
        <w:ind w:firstLineChars="300" w:firstLine="663"/>
        <w:rPr>
          <w:rFonts w:ascii="ＭＳ ゴシック" w:eastAsia="ＭＳ ゴシック" w:hAnsi="ＭＳ ゴシック"/>
          <w:sz w:val="22"/>
          <w:szCs w:val="22"/>
        </w:rPr>
      </w:pPr>
    </w:p>
    <w:p w14:paraId="50B8E57B" w14:textId="77777777" w:rsidR="008B4B2B" w:rsidRPr="001D6D10" w:rsidRDefault="008B4B2B" w:rsidP="008B4B2B">
      <w:pPr>
        <w:ind w:firstLineChars="300" w:firstLine="663"/>
        <w:rPr>
          <w:rFonts w:ascii="ＭＳ ゴシック" w:eastAsia="ＭＳ ゴシック" w:hAnsi="ＭＳ ゴシック"/>
          <w:sz w:val="22"/>
          <w:szCs w:val="22"/>
          <w:u w:val="single"/>
        </w:rPr>
      </w:pPr>
      <w:r w:rsidRPr="001D6D10">
        <w:rPr>
          <w:rFonts w:ascii="ＭＳ ゴシック" w:eastAsia="ＭＳ ゴシック" w:hAnsi="ＭＳ ゴシック" w:hint="eastAsia"/>
          <w:sz w:val="22"/>
          <w:szCs w:val="22"/>
          <w:u w:val="single"/>
        </w:rPr>
        <w:lastRenderedPageBreak/>
        <w:t>４　災害時緊急相談電話の設置</w:t>
      </w:r>
    </w:p>
    <w:p w14:paraId="60486D3C" w14:textId="77777777" w:rsidR="008B4B2B" w:rsidRPr="001D6D10" w:rsidRDefault="008B4B2B" w:rsidP="008B4B2B">
      <w:pPr>
        <w:numPr>
          <w:ilvl w:val="0"/>
          <w:numId w:val="11"/>
        </w:numPr>
        <w:ind w:rightChars="-41" w:right="-87"/>
        <w:rPr>
          <w:rFonts w:ascii="ＭＳ 明朝" w:hAnsi="ＭＳ 明朝"/>
          <w:sz w:val="22"/>
          <w:szCs w:val="22"/>
        </w:rPr>
      </w:pPr>
      <w:r w:rsidRPr="001D6D10">
        <w:rPr>
          <w:rFonts w:ascii="ＭＳ 明朝" w:hAnsi="ＭＳ 明朝" w:hint="eastAsia"/>
          <w:sz w:val="22"/>
          <w:szCs w:val="22"/>
        </w:rPr>
        <w:t xml:space="preserve">　知事は、災害等が発生した場合に、必要があると認めるときは、被災地住民の要望事項等を把握するとともに、住民からの各種問い合わせに速やかに対応できるよう、災害時緊急相談電話等を設置する。</w:t>
      </w:r>
    </w:p>
    <w:p w14:paraId="5593708F" w14:textId="77777777" w:rsidR="008B4B2B" w:rsidRPr="001D6D10" w:rsidRDefault="008B4B2B" w:rsidP="008B4B2B">
      <w:pPr>
        <w:rPr>
          <w:rFonts w:ascii="ＭＳ 明朝" w:hAnsi="ＭＳ 明朝"/>
          <w:sz w:val="22"/>
          <w:szCs w:val="22"/>
        </w:rPr>
      </w:pPr>
    </w:p>
    <w:p w14:paraId="14520F05" w14:textId="77777777" w:rsidR="008B4B2B" w:rsidRPr="001D6D10" w:rsidRDefault="008B4B2B" w:rsidP="008B4B2B">
      <w:pPr>
        <w:numPr>
          <w:ilvl w:val="0"/>
          <w:numId w:val="11"/>
        </w:numPr>
        <w:rPr>
          <w:rFonts w:ascii="ＭＳ 明朝" w:hAnsi="ＭＳ 明朝"/>
          <w:sz w:val="22"/>
          <w:szCs w:val="22"/>
        </w:rPr>
      </w:pPr>
      <w:r w:rsidRPr="001D6D10">
        <w:rPr>
          <w:rFonts w:ascii="ＭＳ 明朝" w:hAnsi="ＭＳ 明朝" w:hint="eastAsia"/>
          <w:sz w:val="22"/>
          <w:szCs w:val="22"/>
        </w:rPr>
        <w:t xml:space="preserve">　庁舎室庁舎管理課長は、災害時緊急相談電話等を設置する場合は、会議室・電話等の設備を整備する。</w:t>
      </w:r>
    </w:p>
    <w:p w14:paraId="2B16E9F7" w14:textId="77777777" w:rsidR="008B4B2B" w:rsidRPr="001D6D10" w:rsidRDefault="008B4B2B" w:rsidP="008B4B2B">
      <w:pPr>
        <w:rPr>
          <w:rFonts w:ascii="ＭＳ 明朝" w:hAnsi="ＭＳ 明朝"/>
          <w:sz w:val="22"/>
          <w:szCs w:val="22"/>
        </w:rPr>
      </w:pPr>
    </w:p>
    <w:p w14:paraId="291A7695" w14:textId="77777777" w:rsidR="008B4B2B" w:rsidRPr="001D6D10" w:rsidRDefault="008B4B2B" w:rsidP="008B4B2B">
      <w:pPr>
        <w:numPr>
          <w:ilvl w:val="0"/>
          <w:numId w:val="11"/>
        </w:numPr>
        <w:rPr>
          <w:rFonts w:ascii="ＭＳ 明朝" w:hAnsi="ＭＳ 明朝"/>
          <w:sz w:val="22"/>
          <w:szCs w:val="22"/>
        </w:rPr>
      </w:pPr>
      <w:r w:rsidRPr="001D6D10">
        <w:rPr>
          <w:rFonts w:ascii="ＭＳ 明朝" w:hAnsi="ＭＳ 明朝" w:hint="eastAsia"/>
          <w:sz w:val="22"/>
          <w:szCs w:val="22"/>
        </w:rPr>
        <w:t xml:space="preserve">　人事課長は、災害時緊急相談電話等を設置する場合は、庁内関係課とその対応要員について調整する。</w:t>
      </w:r>
    </w:p>
    <w:p w14:paraId="77440166" w14:textId="77777777" w:rsidR="008B4B2B" w:rsidRPr="001D6D10" w:rsidRDefault="008B4B2B" w:rsidP="008B4B2B">
      <w:pPr>
        <w:rPr>
          <w:rFonts w:ascii="ＭＳ 明朝" w:hAnsi="ＭＳ 明朝"/>
          <w:sz w:val="22"/>
          <w:szCs w:val="22"/>
        </w:rPr>
      </w:pPr>
    </w:p>
    <w:p w14:paraId="06F6AD01" w14:textId="77777777" w:rsidR="008B4B2B" w:rsidRPr="001D6D10" w:rsidRDefault="008B4B2B" w:rsidP="008B4B2B">
      <w:pPr>
        <w:numPr>
          <w:ilvl w:val="0"/>
          <w:numId w:val="11"/>
        </w:numPr>
        <w:rPr>
          <w:rFonts w:ascii="ＭＳ 明朝" w:hAnsi="ＭＳ 明朝"/>
          <w:sz w:val="22"/>
          <w:szCs w:val="22"/>
        </w:rPr>
      </w:pPr>
      <w:r w:rsidRPr="001D6D10">
        <w:rPr>
          <w:rFonts w:ascii="ＭＳ 明朝" w:hAnsi="ＭＳ 明朝" w:hint="eastAsia"/>
          <w:sz w:val="22"/>
          <w:szCs w:val="22"/>
        </w:rPr>
        <w:t xml:space="preserve">　総務・広報班長（消防保安課長）は、災害時緊急相談電話等を設置する場合は、災害対策本部との連絡調整のため、連絡責任者を派遣する。</w:t>
      </w:r>
    </w:p>
    <w:p w14:paraId="7C2AE17E" w14:textId="77777777" w:rsidR="008B4B2B" w:rsidRPr="001D6D10" w:rsidRDefault="008B4B2B" w:rsidP="008B4B2B">
      <w:pPr>
        <w:pStyle w:val="ad"/>
        <w:wordWrap/>
        <w:overflowPunct w:val="0"/>
        <w:spacing w:line="400" w:lineRule="exact"/>
        <w:ind w:left="442" w:hangingChars="200" w:hanging="442"/>
        <w:rPr>
          <w:rFonts w:ascii="ＭＳ ゴシック" w:eastAsia="ＭＳ ゴシック" w:hAnsi="ＭＳ ゴシック"/>
        </w:rPr>
      </w:pPr>
    </w:p>
    <w:p w14:paraId="1419AAF8" w14:textId="22270A6A" w:rsidR="000010F1" w:rsidRDefault="000010F1">
      <w:pPr>
        <w:widowControl/>
        <w:jc w:val="left"/>
        <w:rPr>
          <w:rFonts w:ascii="ＭＳ ゴシック" w:eastAsia="ＭＳ ゴシック" w:hAnsi="ＭＳ ゴシック"/>
          <w:sz w:val="28"/>
          <w:szCs w:val="28"/>
        </w:rPr>
      </w:pPr>
      <w:r>
        <w:rPr>
          <w:rFonts w:ascii="ＭＳ ゴシック" w:eastAsia="ＭＳ ゴシック" w:hAnsi="ＭＳ ゴシック"/>
          <w:sz w:val="28"/>
          <w:szCs w:val="28"/>
        </w:rPr>
        <w:br w:type="page"/>
      </w:r>
    </w:p>
    <w:p w14:paraId="4EC75AAD" w14:textId="77777777" w:rsidR="008B4B2B" w:rsidRPr="001D6D10" w:rsidRDefault="008B4B2B" w:rsidP="008B4B2B">
      <w:pPr>
        <w:spacing w:line="600" w:lineRule="exact"/>
        <w:rPr>
          <w:rFonts w:ascii="ＭＳ ゴシック" w:eastAsia="ＭＳ ゴシック" w:hAnsi="ＭＳ ゴシック"/>
          <w:sz w:val="28"/>
          <w:szCs w:val="28"/>
        </w:rPr>
        <w:sectPr w:rsidR="008B4B2B" w:rsidRPr="001D6D10" w:rsidSect="00610015">
          <w:headerReference w:type="even" r:id="rId24"/>
          <w:headerReference w:type="default" r:id="rId25"/>
          <w:type w:val="continuous"/>
          <w:pgSz w:w="11906" w:h="16838" w:code="9"/>
          <w:pgMar w:top="1701" w:right="1531" w:bottom="1701" w:left="1531" w:header="850" w:footer="850" w:gutter="0"/>
          <w:pgNumType w:fmt="numberInDash"/>
          <w:cols w:space="425"/>
          <w:docGrid w:type="linesAndChars" w:linePitch="353" w:charSpace="225"/>
        </w:sectPr>
      </w:pPr>
    </w:p>
    <w:p w14:paraId="37C099E0" w14:textId="77777777" w:rsidR="008B4B2B" w:rsidRPr="001D6D10" w:rsidRDefault="008B4B2B" w:rsidP="00E0548A">
      <w:pPr>
        <w:pStyle w:val="1"/>
      </w:pPr>
      <w:bookmarkStart w:id="234" w:name="_Toc122436926"/>
      <w:bookmarkStart w:id="235" w:name="_Toc222486609"/>
      <w:bookmarkStart w:id="236" w:name="_Toc242870279"/>
      <w:r w:rsidRPr="001D6D10">
        <w:rPr>
          <w:rFonts w:hint="eastAsia"/>
        </w:rPr>
        <w:lastRenderedPageBreak/>
        <w:t>第４章　災害応急対策</w:t>
      </w:r>
      <w:bookmarkEnd w:id="234"/>
      <w:bookmarkEnd w:id="235"/>
      <w:bookmarkEnd w:id="236"/>
    </w:p>
    <w:p w14:paraId="72DBFF89" w14:textId="53B24178" w:rsidR="008B4B2B" w:rsidRPr="001D6D10" w:rsidRDefault="008B4B2B" w:rsidP="00E0548A">
      <w:pPr>
        <w:pStyle w:val="2"/>
      </w:pPr>
      <w:bookmarkStart w:id="237" w:name="_Toc122436927"/>
      <w:bookmarkStart w:id="238" w:name="_Toc222486610"/>
      <w:bookmarkStart w:id="239" w:name="_Toc242870280"/>
      <w:r w:rsidRPr="001D6D10">
        <w:rPr>
          <w:rFonts w:hint="eastAsia"/>
        </w:rPr>
        <w:t>第１節　消火・救助・救急活動</w:t>
      </w:r>
      <w:bookmarkEnd w:id="237"/>
      <w:bookmarkEnd w:id="238"/>
      <w:bookmarkEnd w:id="239"/>
    </w:p>
    <w:tbl>
      <w:tblPr>
        <w:tblW w:w="0" w:type="auto"/>
        <w:tblBorders>
          <w:top w:val="thinThickSmallGap" w:sz="24" w:space="0" w:color="auto"/>
          <w:left w:val="thinThickSmallGap" w:sz="24" w:space="0" w:color="auto"/>
          <w:bottom w:val="thinThickSmallGap" w:sz="24" w:space="0" w:color="auto"/>
          <w:right w:val="thinThickSmallGap" w:sz="24" w:space="0" w:color="auto"/>
          <w:insideH w:val="thinThickSmallGap" w:sz="24" w:space="0" w:color="auto"/>
          <w:insideV w:val="thinThickSmallGap" w:sz="24" w:space="0" w:color="auto"/>
        </w:tblBorders>
        <w:tblLook w:val="04A0" w:firstRow="1" w:lastRow="0" w:firstColumn="1" w:lastColumn="0" w:noHBand="0" w:noVBand="1"/>
      </w:tblPr>
      <w:tblGrid>
        <w:gridCol w:w="1428"/>
        <w:gridCol w:w="7326"/>
      </w:tblGrid>
      <w:tr w:rsidR="008B4B2B" w:rsidRPr="001D6D10" w14:paraId="184D42CC" w14:textId="77777777" w:rsidTr="008B4B2B">
        <w:tc>
          <w:tcPr>
            <w:tcW w:w="1466" w:type="dxa"/>
          </w:tcPr>
          <w:p w14:paraId="7CE730D0" w14:textId="77777777" w:rsidR="008B4B2B" w:rsidRPr="001D6D10" w:rsidRDefault="008B4B2B" w:rsidP="008B4B2B">
            <w:pPr>
              <w:jc w:val="center"/>
              <w:rPr>
                <w:rFonts w:ascii="ＭＳ ゴシック" w:eastAsia="ＭＳ ゴシック" w:hAnsi="ＭＳ ゴシック"/>
                <w:b/>
                <w:sz w:val="28"/>
                <w:szCs w:val="28"/>
              </w:rPr>
            </w:pPr>
            <w:r w:rsidRPr="001D6D10">
              <w:rPr>
                <w:rFonts w:ascii="ＭＳ ゴシック" w:eastAsia="ＭＳ ゴシック" w:hAnsi="ＭＳ ゴシック" w:hint="eastAsia"/>
                <w:b/>
                <w:sz w:val="28"/>
                <w:szCs w:val="28"/>
              </w:rPr>
              <w:t>目　標</w:t>
            </w:r>
          </w:p>
        </w:tc>
        <w:tc>
          <w:tcPr>
            <w:tcW w:w="7594" w:type="dxa"/>
            <w:vAlign w:val="center"/>
          </w:tcPr>
          <w:p w14:paraId="4C489A1E" w14:textId="77777777" w:rsidR="008B4B2B" w:rsidRPr="001D6D10" w:rsidRDefault="008B4B2B" w:rsidP="00E0548A">
            <w:pPr>
              <w:jc w:val="left"/>
              <w:rPr>
                <w:rFonts w:ascii="ＭＳ ゴシック" w:eastAsia="ＭＳ ゴシック" w:hAnsi="ＭＳ ゴシック"/>
                <w:b/>
                <w:sz w:val="24"/>
              </w:rPr>
            </w:pPr>
            <w:r w:rsidRPr="001D6D10">
              <w:rPr>
                <w:rFonts w:ascii="ＭＳ ゴシック" w:eastAsia="ＭＳ ゴシック" w:hAnsi="ＭＳ ゴシック" w:hint="eastAsia"/>
                <w:b/>
                <w:sz w:val="24"/>
              </w:rPr>
              <w:t xml:space="preserve">　防災関係機関との連携により、一人でも多くの人命を救助する。</w:t>
            </w:r>
          </w:p>
        </w:tc>
      </w:tr>
    </w:tbl>
    <w:p w14:paraId="6708540A" w14:textId="77777777" w:rsidR="008B4B2B" w:rsidRPr="001D6D10" w:rsidRDefault="008B4B2B" w:rsidP="008B4B2B">
      <w:pPr>
        <w:rPr>
          <w:rFonts w:ascii="ＭＳ ゴシック" w:eastAsia="ＭＳ ゴシック" w:hAnsi="ＭＳ ゴシック"/>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64"/>
        <w:gridCol w:w="7270"/>
      </w:tblGrid>
      <w:tr w:rsidR="001D6D10" w:rsidRPr="001D6D10" w14:paraId="400730E3" w14:textId="77777777" w:rsidTr="008B4B2B">
        <w:tc>
          <w:tcPr>
            <w:tcW w:w="1668" w:type="dxa"/>
            <w:shd w:val="clear" w:color="auto" w:fill="F2F2F2"/>
          </w:tcPr>
          <w:p w14:paraId="458CEBDC" w14:textId="77777777" w:rsidR="008B4B2B" w:rsidRPr="001D6D10" w:rsidRDefault="008B4B2B" w:rsidP="008B4B2B">
            <w:pPr>
              <w:jc w:val="center"/>
              <w:rPr>
                <w:rFonts w:ascii="ＭＳ ゴシック" w:eastAsia="ＭＳ ゴシック" w:hAnsi="ＭＳ ゴシック"/>
                <w:sz w:val="22"/>
                <w:szCs w:val="22"/>
              </w:rPr>
            </w:pPr>
            <w:r w:rsidRPr="001D6D10">
              <w:rPr>
                <w:rFonts w:ascii="ＭＳ ゴシック" w:eastAsia="ＭＳ ゴシック" w:hAnsi="ＭＳ ゴシック" w:hint="eastAsia"/>
                <w:sz w:val="22"/>
                <w:szCs w:val="22"/>
              </w:rPr>
              <w:t>フェーズ</w:t>
            </w:r>
          </w:p>
        </w:tc>
        <w:tc>
          <w:tcPr>
            <w:tcW w:w="7884" w:type="dxa"/>
            <w:shd w:val="clear" w:color="auto" w:fill="F2F2F2"/>
          </w:tcPr>
          <w:p w14:paraId="4A4123CC" w14:textId="77777777" w:rsidR="008B4B2B" w:rsidRPr="001D6D10" w:rsidRDefault="008B4B2B" w:rsidP="008B4B2B">
            <w:pPr>
              <w:jc w:val="center"/>
              <w:rPr>
                <w:rFonts w:ascii="ＭＳ ゴシック" w:eastAsia="ＭＳ ゴシック" w:hAnsi="ＭＳ ゴシック"/>
                <w:sz w:val="22"/>
                <w:szCs w:val="22"/>
              </w:rPr>
            </w:pPr>
            <w:r w:rsidRPr="001D6D10">
              <w:rPr>
                <w:rFonts w:ascii="ＭＳ ゴシック" w:eastAsia="ＭＳ ゴシック" w:hAnsi="ＭＳ ゴシック" w:hint="eastAsia"/>
                <w:sz w:val="22"/>
                <w:szCs w:val="22"/>
              </w:rPr>
              <w:t>主な目標</w:t>
            </w:r>
          </w:p>
        </w:tc>
      </w:tr>
      <w:tr w:rsidR="001D6D10" w:rsidRPr="001D6D10" w14:paraId="415A0823" w14:textId="77777777" w:rsidTr="008B4B2B">
        <w:tc>
          <w:tcPr>
            <w:tcW w:w="1668" w:type="dxa"/>
          </w:tcPr>
          <w:p w14:paraId="6EEB3DE4" w14:textId="77777777" w:rsidR="008B4B2B" w:rsidRPr="001D6D10" w:rsidRDefault="008B4B2B" w:rsidP="008B4B2B">
            <w:pPr>
              <w:rPr>
                <w:rFonts w:ascii="ＭＳ ゴシック" w:eastAsia="ＭＳ ゴシック" w:hAnsi="ＭＳ ゴシック"/>
                <w:sz w:val="22"/>
                <w:szCs w:val="22"/>
              </w:rPr>
            </w:pPr>
            <w:r w:rsidRPr="001D6D10">
              <w:rPr>
                <w:rFonts w:ascii="ＭＳ ゴシック" w:eastAsia="ＭＳ ゴシック" w:hAnsi="ＭＳ ゴシック" w:hint="eastAsia"/>
                <w:sz w:val="22"/>
                <w:szCs w:val="22"/>
              </w:rPr>
              <w:t>第１フェーズ</w:t>
            </w:r>
          </w:p>
        </w:tc>
        <w:tc>
          <w:tcPr>
            <w:tcW w:w="7884" w:type="dxa"/>
          </w:tcPr>
          <w:p w14:paraId="51B25454" w14:textId="77777777" w:rsidR="008B4B2B" w:rsidRPr="001D6D10" w:rsidRDefault="008B4B2B" w:rsidP="008B4B2B">
            <w:pPr>
              <w:rPr>
                <w:rFonts w:ascii="ＭＳ ゴシック" w:eastAsia="ＭＳ ゴシック" w:hAnsi="ＭＳ ゴシック"/>
                <w:sz w:val="22"/>
                <w:szCs w:val="22"/>
              </w:rPr>
            </w:pPr>
            <w:r w:rsidRPr="001D6D10">
              <w:rPr>
                <w:rFonts w:ascii="ＭＳ ゴシック" w:eastAsia="ＭＳ ゴシック" w:hAnsi="ＭＳ ゴシック" w:hint="eastAsia"/>
                <w:sz w:val="22"/>
                <w:szCs w:val="22"/>
              </w:rPr>
              <w:t>防災関係機関との相互連携による、迅速かつ的確な災害発生状況の把握及び消火・救助・救急活動の開始並びに防災関係機関の派遣要請等</w:t>
            </w:r>
          </w:p>
        </w:tc>
      </w:tr>
      <w:tr w:rsidR="001D6D10" w:rsidRPr="001D6D10" w14:paraId="42D38368" w14:textId="77777777" w:rsidTr="008B4B2B">
        <w:tc>
          <w:tcPr>
            <w:tcW w:w="1668" w:type="dxa"/>
          </w:tcPr>
          <w:p w14:paraId="35F6F697" w14:textId="77777777" w:rsidR="008B4B2B" w:rsidRPr="001D6D10" w:rsidRDefault="008B4B2B" w:rsidP="008B4B2B">
            <w:pPr>
              <w:rPr>
                <w:rFonts w:ascii="ＭＳ ゴシック" w:eastAsia="ＭＳ ゴシック" w:hAnsi="ＭＳ ゴシック"/>
                <w:sz w:val="22"/>
                <w:szCs w:val="22"/>
              </w:rPr>
            </w:pPr>
            <w:r w:rsidRPr="001D6D10">
              <w:rPr>
                <w:rFonts w:ascii="ＭＳ ゴシック" w:eastAsia="ＭＳ ゴシック" w:hAnsi="ＭＳ ゴシック" w:hint="eastAsia"/>
                <w:sz w:val="22"/>
                <w:szCs w:val="22"/>
              </w:rPr>
              <w:t>第２フェーズ</w:t>
            </w:r>
          </w:p>
        </w:tc>
        <w:tc>
          <w:tcPr>
            <w:tcW w:w="7884" w:type="dxa"/>
            <w:vMerge w:val="restart"/>
          </w:tcPr>
          <w:p w14:paraId="5E5ECA75" w14:textId="77777777" w:rsidR="008B4B2B" w:rsidRPr="001D6D10" w:rsidRDefault="008B4B2B" w:rsidP="008B4B2B">
            <w:pPr>
              <w:rPr>
                <w:rFonts w:ascii="ＭＳ ゴシック" w:eastAsia="ＭＳ ゴシック" w:hAnsi="ＭＳ ゴシック"/>
                <w:sz w:val="22"/>
                <w:szCs w:val="22"/>
              </w:rPr>
            </w:pPr>
            <w:r w:rsidRPr="001D6D10">
              <w:rPr>
                <w:rFonts w:ascii="ＭＳ ゴシック" w:eastAsia="ＭＳ ゴシック" w:hAnsi="ＭＳ ゴシック" w:hint="eastAsia"/>
                <w:sz w:val="22"/>
                <w:szCs w:val="22"/>
              </w:rPr>
              <w:t>広域防災連絡会議の設置による、活動区域や役割分担等の調整</w:t>
            </w:r>
          </w:p>
          <w:p w14:paraId="7589CEE8" w14:textId="77777777" w:rsidR="008B4B2B" w:rsidRPr="001D6D10" w:rsidRDefault="008B4B2B" w:rsidP="008B4B2B">
            <w:pPr>
              <w:rPr>
                <w:rFonts w:ascii="ＭＳ ゴシック" w:eastAsia="ＭＳ ゴシック" w:hAnsi="ＭＳ ゴシック"/>
                <w:sz w:val="22"/>
                <w:szCs w:val="22"/>
              </w:rPr>
            </w:pPr>
            <w:r w:rsidRPr="001D6D10">
              <w:rPr>
                <w:rFonts w:ascii="ＭＳ ゴシック" w:eastAsia="ＭＳ ゴシック" w:hAnsi="ＭＳ ゴシック" w:hint="eastAsia"/>
                <w:sz w:val="22"/>
                <w:szCs w:val="22"/>
              </w:rPr>
              <w:t>→防災関係機関との相互連携による、迅速かつ的確な応援活動</w:t>
            </w:r>
          </w:p>
        </w:tc>
      </w:tr>
      <w:tr w:rsidR="008B4B2B" w:rsidRPr="001D6D10" w14:paraId="0FAA0B77" w14:textId="77777777" w:rsidTr="008B4B2B">
        <w:tc>
          <w:tcPr>
            <w:tcW w:w="1668" w:type="dxa"/>
          </w:tcPr>
          <w:p w14:paraId="476500A0" w14:textId="77777777" w:rsidR="008B4B2B" w:rsidRPr="001D6D10" w:rsidRDefault="008B4B2B" w:rsidP="008B4B2B">
            <w:pPr>
              <w:rPr>
                <w:rFonts w:ascii="ＭＳ ゴシック" w:eastAsia="ＭＳ ゴシック" w:hAnsi="ＭＳ ゴシック"/>
                <w:sz w:val="22"/>
                <w:szCs w:val="22"/>
              </w:rPr>
            </w:pPr>
            <w:r w:rsidRPr="001D6D10">
              <w:rPr>
                <w:rFonts w:ascii="ＭＳ ゴシック" w:eastAsia="ＭＳ ゴシック" w:hAnsi="ＭＳ ゴシック" w:hint="eastAsia"/>
                <w:sz w:val="22"/>
                <w:szCs w:val="22"/>
              </w:rPr>
              <w:t>第３フェーズ</w:t>
            </w:r>
          </w:p>
        </w:tc>
        <w:tc>
          <w:tcPr>
            <w:tcW w:w="7884" w:type="dxa"/>
            <w:vMerge/>
          </w:tcPr>
          <w:p w14:paraId="08D5DDC9" w14:textId="77777777" w:rsidR="008B4B2B" w:rsidRPr="001D6D10" w:rsidRDefault="008B4B2B" w:rsidP="008B4B2B">
            <w:pPr>
              <w:rPr>
                <w:rFonts w:ascii="ＭＳ ゴシック" w:eastAsia="ＭＳ ゴシック" w:hAnsi="ＭＳ ゴシック"/>
                <w:sz w:val="22"/>
                <w:szCs w:val="22"/>
              </w:rPr>
            </w:pPr>
          </w:p>
        </w:tc>
      </w:tr>
    </w:tbl>
    <w:p w14:paraId="0986847D" w14:textId="77777777" w:rsidR="008B4B2B" w:rsidRPr="001D6D10" w:rsidRDefault="008B4B2B" w:rsidP="008B4B2B">
      <w:pPr>
        <w:rPr>
          <w:rFonts w:ascii="ＭＳ ゴシック" w:eastAsia="ＭＳ ゴシック" w:hAnsi="ＭＳ ゴシック"/>
          <w:sz w:val="22"/>
          <w:szCs w:val="22"/>
        </w:rPr>
      </w:pPr>
    </w:p>
    <w:p w14:paraId="089561FE" w14:textId="77777777" w:rsidR="008B4B2B" w:rsidRPr="001D6D10" w:rsidRDefault="008B4B2B" w:rsidP="006A3D02">
      <w:pPr>
        <w:pStyle w:val="3"/>
        <w:ind w:firstLineChars="0" w:firstLine="0"/>
      </w:pPr>
      <w:bookmarkStart w:id="240" w:name="_Toc122436928"/>
      <w:bookmarkStart w:id="241" w:name="_Toc222486611"/>
      <w:bookmarkStart w:id="242" w:name="_Toc242870281"/>
      <w:r w:rsidRPr="001D6D10">
        <w:rPr>
          <w:rFonts w:hint="eastAsia"/>
        </w:rPr>
        <w:t>第１　市町村からの要請</w:t>
      </w:r>
      <w:r w:rsidRPr="001D6D10">
        <w:rPr>
          <w:rFonts w:hint="eastAsia"/>
          <w:shd w:val="pct15" w:color="auto" w:fill="FFFFFF"/>
        </w:rPr>
        <w:t>【第１フェーズ】</w:t>
      </w:r>
      <w:bookmarkEnd w:id="240"/>
      <w:bookmarkEnd w:id="241"/>
      <w:bookmarkEnd w:id="242"/>
    </w:p>
    <w:p w14:paraId="65DCF1B0" w14:textId="77777777" w:rsidR="008B4B2B" w:rsidRPr="001D6D10" w:rsidRDefault="008B4B2B" w:rsidP="008B4B2B">
      <w:pPr>
        <w:pStyle w:val="a0"/>
        <w:ind w:firstLineChars="200" w:firstLine="422"/>
        <w:rPr>
          <w:rFonts w:ascii="ＭＳ ゴシック" w:eastAsia="ＭＳ ゴシック" w:hAnsi="ＭＳ ゴシック"/>
          <w:sz w:val="22"/>
          <w:szCs w:val="22"/>
          <w:bdr w:val="single" w:sz="4" w:space="0" w:color="auto"/>
        </w:rPr>
      </w:pPr>
      <w:r w:rsidRPr="001D6D10">
        <w:rPr>
          <w:rFonts w:hint="eastAsia"/>
        </w:rPr>
        <w:t xml:space="preserve">　　　</w:t>
      </w:r>
      <w:r w:rsidRPr="001D6D10">
        <w:rPr>
          <w:rFonts w:ascii="ＭＳ ゴシック" w:eastAsia="ＭＳ ゴシック" w:hAnsi="ＭＳ ゴシック" w:hint="eastAsia"/>
          <w:sz w:val="22"/>
          <w:szCs w:val="22"/>
          <w:bdr w:val="single" w:sz="4" w:space="0" w:color="auto"/>
        </w:rPr>
        <w:t>主たる担当：危機管理室</w:t>
      </w:r>
    </w:p>
    <w:p w14:paraId="6830D16A" w14:textId="77777777" w:rsidR="008B4B2B" w:rsidRPr="001D6D10" w:rsidRDefault="008B4B2B" w:rsidP="008B4B2B">
      <w:pPr>
        <w:ind w:left="844" w:hangingChars="400" w:hanging="844"/>
        <w:rPr>
          <w:sz w:val="22"/>
          <w:szCs w:val="22"/>
        </w:rPr>
      </w:pPr>
      <w:r w:rsidRPr="001D6D10">
        <w:rPr>
          <w:rFonts w:hint="eastAsia"/>
        </w:rPr>
        <w:t xml:space="preserve">　　　　　</w:t>
      </w:r>
      <w:r w:rsidRPr="001D6D10">
        <w:rPr>
          <w:rFonts w:hint="eastAsia"/>
          <w:sz w:val="22"/>
          <w:szCs w:val="22"/>
        </w:rPr>
        <w:t>府は、市町村から要請があったとき、又は緊急の必要があるときは、市町村に対し、消防相互応援の実施、その他災害応急対策に関し必要な指示をする。</w:t>
      </w:r>
    </w:p>
    <w:p w14:paraId="33DEBF9A" w14:textId="77777777" w:rsidR="008B4B2B" w:rsidRPr="001D6D10" w:rsidRDefault="008B4B2B" w:rsidP="008B4B2B">
      <w:pPr>
        <w:ind w:left="884" w:hangingChars="400" w:hanging="884"/>
        <w:rPr>
          <w:sz w:val="22"/>
          <w:szCs w:val="22"/>
        </w:rPr>
      </w:pPr>
      <w:r w:rsidRPr="001D6D10">
        <w:rPr>
          <w:rFonts w:hint="eastAsia"/>
          <w:sz w:val="22"/>
          <w:szCs w:val="22"/>
        </w:rPr>
        <w:t xml:space="preserve">　　　　　また、府域の市町村が対処できないと認めるときは、消防庁に対し、緊急消防援助隊の派遣について要請するなど、必要な総合調整を行う。</w:t>
      </w:r>
    </w:p>
    <w:p w14:paraId="03694699" w14:textId="77777777" w:rsidR="008B4B2B" w:rsidRPr="001D6D10" w:rsidRDefault="008B4B2B" w:rsidP="008B4B2B">
      <w:pPr>
        <w:ind w:left="884" w:hangingChars="400" w:hanging="884"/>
        <w:rPr>
          <w:sz w:val="22"/>
          <w:szCs w:val="22"/>
        </w:rPr>
      </w:pPr>
    </w:p>
    <w:p w14:paraId="78C61247" w14:textId="77777777" w:rsidR="008B4B2B" w:rsidRPr="001D6D10" w:rsidRDefault="008B4B2B" w:rsidP="00E0548A">
      <w:pPr>
        <w:pStyle w:val="3"/>
        <w:ind w:firstLineChars="0" w:firstLine="0"/>
      </w:pPr>
      <w:bookmarkStart w:id="243" w:name="_Toc122436929"/>
      <w:bookmarkStart w:id="244" w:name="_Toc222486612"/>
      <w:bookmarkStart w:id="245" w:name="_Toc242870282"/>
      <w:r w:rsidRPr="001D6D10">
        <w:rPr>
          <w:rFonts w:hint="eastAsia"/>
        </w:rPr>
        <w:t>第２　広域防災連絡会議の運用</w:t>
      </w:r>
      <w:r w:rsidRPr="001D6D10">
        <w:rPr>
          <w:rFonts w:hint="eastAsia"/>
          <w:shd w:val="pct15" w:color="auto" w:fill="FFFFFF"/>
        </w:rPr>
        <w:t>【第２フェーズ】</w:t>
      </w:r>
      <w:bookmarkEnd w:id="243"/>
      <w:bookmarkEnd w:id="244"/>
      <w:bookmarkEnd w:id="245"/>
    </w:p>
    <w:p w14:paraId="61B81E8F" w14:textId="77777777" w:rsidR="008B4B2B" w:rsidRPr="001D6D10" w:rsidRDefault="008B4B2B" w:rsidP="008B4B2B">
      <w:pPr>
        <w:pStyle w:val="a0"/>
        <w:ind w:firstLineChars="200" w:firstLine="442"/>
        <w:rPr>
          <w:rFonts w:ascii="ＭＳ ゴシック" w:eastAsia="ＭＳ ゴシック" w:hAnsi="ＭＳ ゴシック"/>
          <w:sz w:val="22"/>
          <w:szCs w:val="22"/>
          <w:bdr w:val="single" w:sz="4" w:space="0" w:color="auto"/>
        </w:rPr>
      </w:pPr>
      <w:r w:rsidRPr="001D6D10">
        <w:rPr>
          <w:rFonts w:ascii="ＭＳ ゴシック" w:eastAsia="ＭＳ ゴシック" w:hAnsi="ＭＳ ゴシック" w:hint="eastAsia"/>
          <w:sz w:val="22"/>
          <w:szCs w:val="22"/>
        </w:rPr>
        <w:t xml:space="preserve">　　　</w:t>
      </w:r>
      <w:r w:rsidRPr="001D6D10">
        <w:rPr>
          <w:rFonts w:ascii="ＭＳ ゴシック" w:eastAsia="ＭＳ ゴシック" w:hAnsi="ＭＳ ゴシック" w:hint="eastAsia"/>
          <w:sz w:val="22"/>
          <w:szCs w:val="22"/>
          <w:bdr w:val="single" w:sz="4" w:space="0" w:color="auto"/>
        </w:rPr>
        <w:t>主たる担当：危機管理室</w:t>
      </w:r>
    </w:p>
    <w:p w14:paraId="6F793C06" w14:textId="77777777" w:rsidR="008B4B2B" w:rsidRPr="001D6D10" w:rsidRDefault="008B4B2B" w:rsidP="008B4B2B">
      <w:pPr>
        <w:ind w:left="884" w:hangingChars="400" w:hanging="884"/>
        <w:rPr>
          <w:rFonts w:ascii="ＭＳ 明朝" w:hAnsi="ＭＳ 明朝"/>
          <w:sz w:val="22"/>
          <w:szCs w:val="22"/>
        </w:rPr>
      </w:pPr>
      <w:r w:rsidRPr="001D6D10">
        <w:rPr>
          <w:rFonts w:ascii="ＭＳ ゴシック" w:eastAsia="ＭＳ ゴシック" w:hAnsi="ＭＳ ゴシック" w:hint="eastAsia"/>
          <w:sz w:val="22"/>
          <w:szCs w:val="22"/>
        </w:rPr>
        <w:t xml:space="preserve">　　　　　</w:t>
      </w:r>
      <w:r w:rsidRPr="001D6D10">
        <w:rPr>
          <w:rFonts w:ascii="ＭＳ 明朝" w:hAnsi="ＭＳ 明朝" w:hint="eastAsia"/>
          <w:sz w:val="22"/>
          <w:szCs w:val="22"/>
        </w:rPr>
        <w:t>府、大阪市、大阪市消防局、大阪府警察本部、陸上自衛隊第３師団及び大阪海上保安監部は、相互に連携した救助・救急活動が実施できるよう、情報連絡を密に行うとともに、活動区域や役割分担等の調整を図るため、必要に応じて広域防災連絡会議を開催する。</w:t>
      </w:r>
    </w:p>
    <w:p w14:paraId="1900977C" w14:textId="77777777" w:rsidR="008B4B2B" w:rsidRPr="001D6D10" w:rsidRDefault="008B4B2B" w:rsidP="008B4B2B">
      <w:pPr>
        <w:ind w:left="884" w:hangingChars="400" w:hanging="884"/>
        <w:rPr>
          <w:rFonts w:ascii="ＭＳ 明朝" w:hAnsi="ＭＳ 明朝"/>
          <w:sz w:val="22"/>
          <w:szCs w:val="22"/>
        </w:rPr>
      </w:pPr>
    </w:p>
    <w:p w14:paraId="46C039B4" w14:textId="77777777" w:rsidR="008B4B2B" w:rsidRPr="001D6D10" w:rsidRDefault="008B4B2B" w:rsidP="008B4B2B">
      <w:pPr>
        <w:ind w:left="884" w:hangingChars="400" w:hanging="884"/>
        <w:rPr>
          <w:rFonts w:ascii="ＭＳ ゴシック" w:eastAsia="ＭＳ ゴシック" w:hAnsi="ＭＳ ゴシック"/>
          <w:sz w:val="22"/>
          <w:szCs w:val="22"/>
          <w:u w:val="single"/>
        </w:rPr>
      </w:pPr>
      <w:r w:rsidRPr="001D6D10">
        <w:rPr>
          <w:rFonts w:ascii="ＭＳ 明朝" w:hAnsi="ＭＳ 明朝" w:hint="eastAsia"/>
          <w:sz w:val="22"/>
          <w:szCs w:val="22"/>
        </w:rPr>
        <w:t xml:space="preserve">　　　</w:t>
      </w:r>
      <w:r w:rsidRPr="001D6D10">
        <w:rPr>
          <w:rFonts w:ascii="ＭＳ ゴシック" w:eastAsia="ＭＳ ゴシック" w:hAnsi="ＭＳ ゴシック" w:hint="eastAsia"/>
          <w:sz w:val="22"/>
          <w:szCs w:val="22"/>
          <w:u w:val="single"/>
        </w:rPr>
        <w:t>１　会議の開催場所</w:t>
      </w:r>
    </w:p>
    <w:p w14:paraId="57727712" w14:textId="77777777" w:rsidR="008B4B2B" w:rsidRPr="001D6D10" w:rsidRDefault="008B4B2B" w:rsidP="008B4B2B">
      <w:pPr>
        <w:ind w:left="884" w:hangingChars="400" w:hanging="884"/>
        <w:rPr>
          <w:rFonts w:ascii="ＭＳ 明朝" w:hAnsi="ＭＳ 明朝"/>
          <w:sz w:val="22"/>
          <w:szCs w:val="22"/>
        </w:rPr>
      </w:pPr>
      <w:r w:rsidRPr="001D6D10">
        <w:rPr>
          <w:rFonts w:ascii="ＭＳ 明朝" w:hAnsi="ＭＳ 明朝" w:hint="eastAsia"/>
          <w:sz w:val="22"/>
          <w:szCs w:val="22"/>
        </w:rPr>
        <w:t xml:space="preserve">　　　　　大阪府</w:t>
      </w:r>
      <w:r w:rsidR="00E84E54" w:rsidRPr="001D6D10">
        <w:rPr>
          <w:rFonts w:ascii="ＭＳ 明朝" w:hAnsi="ＭＳ 明朝" w:hint="eastAsia"/>
          <w:sz w:val="22"/>
          <w:szCs w:val="22"/>
        </w:rPr>
        <w:t>危機管理</w:t>
      </w:r>
      <w:r w:rsidRPr="001D6D10">
        <w:rPr>
          <w:rFonts w:ascii="ＭＳ 明朝" w:hAnsi="ＭＳ 明朝" w:hint="eastAsia"/>
          <w:sz w:val="22"/>
          <w:szCs w:val="22"/>
        </w:rPr>
        <w:t>センターＢ（府庁新別館北館2階）</w:t>
      </w:r>
    </w:p>
    <w:p w14:paraId="5D4ECEB8" w14:textId="77777777" w:rsidR="008B4B2B" w:rsidRPr="001D6D10" w:rsidRDefault="008B4B2B" w:rsidP="008B4B2B">
      <w:pPr>
        <w:ind w:left="884" w:hangingChars="400" w:hanging="884"/>
        <w:rPr>
          <w:rFonts w:ascii="ＭＳ 明朝" w:hAnsi="ＭＳ 明朝"/>
          <w:sz w:val="22"/>
          <w:szCs w:val="22"/>
        </w:rPr>
      </w:pPr>
    </w:p>
    <w:p w14:paraId="335D593D" w14:textId="77777777" w:rsidR="008B4B2B" w:rsidRPr="001D6D10" w:rsidRDefault="008B4B2B" w:rsidP="008B4B2B">
      <w:pPr>
        <w:ind w:left="884" w:hangingChars="400" w:hanging="884"/>
        <w:rPr>
          <w:rFonts w:ascii="ＭＳ ゴシック" w:eastAsia="ＭＳ ゴシック" w:hAnsi="ＭＳ ゴシック"/>
          <w:sz w:val="22"/>
          <w:szCs w:val="22"/>
          <w:u w:val="single"/>
        </w:rPr>
      </w:pPr>
      <w:r w:rsidRPr="001D6D10">
        <w:rPr>
          <w:rFonts w:ascii="ＭＳ 明朝" w:hAnsi="ＭＳ 明朝" w:hint="eastAsia"/>
          <w:sz w:val="22"/>
          <w:szCs w:val="22"/>
        </w:rPr>
        <w:t xml:space="preserve">　　　</w:t>
      </w:r>
      <w:r w:rsidRPr="001D6D10">
        <w:rPr>
          <w:rFonts w:ascii="ＭＳ ゴシック" w:eastAsia="ＭＳ ゴシック" w:hAnsi="ＭＳ ゴシック" w:hint="eastAsia"/>
          <w:sz w:val="22"/>
          <w:szCs w:val="22"/>
          <w:u w:val="single"/>
        </w:rPr>
        <w:t>２　会議の構成</w:t>
      </w:r>
    </w:p>
    <w:p w14:paraId="1F353E52" w14:textId="77777777" w:rsidR="008B4B2B" w:rsidRPr="001D6D10" w:rsidRDefault="008B4B2B" w:rsidP="008B4B2B">
      <w:pPr>
        <w:ind w:left="884" w:hangingChars="400" w:hanging="884"/>
        <w:rPr>
          <w:rFonts w:ascii="ＭＳ 明朝" w:hAnsi="ＭＳ 明朝"/>
          <w:sz w:val="22"/>
          <w:szCs w:val="22"/>
        </w:rPr>
      </w:pPr>
      <w:r w:rsidRPr="001D6D10">
        <w:rPr>
          <w:rFonts w:ascii="ＭＳ 明朝" w:hAnsi="ＭＳ 明朝" w:hint="eastAsia"/>
          <w:sz w:val="22"/>
          <w:szCs w:val="22"/>
        </w:rPr>
        <w:t xml:space="preserve">　　　　　大阪府危機管理室、大阪市危機管理室、大阪市消防局警防部、大阪府警察本部警備部、陸上自衛隊第３師団司令部第３部、大阪海上保安監部警備救難課</w:t>
      </w:r>
    </w:p>
    <w:p w14:paraId="58A49C5D" w14:textId="77777777" w:rsidR="008B4B2B" w:rsidRPr="001D6D10" w:rsidRDefault="008B4B2B" w:rsidP="008B4B2B">
      <w:pPr>
        <w:ind w:left="884" w:hangingChars="400" w:hanging="884"/>
        <w:rPr>
          <w:rFonts w:ascii="ＭＳ 明朝" w:hAnsi="ＭＳ 明朝"/>
          <w:sz w:val="22"/>
          <w:szCs w:val="22"/>
        </w:rPr>
      </w:pPr>
    </w:p>
    <w:p w14:paraId="3E0F8E0D" w14:textId="77777777" w:rsidR="008B4B2B" w:rsidRPr="001D6D10" w:rsidRDefault="008B4B2B" w:rsidP="008B4B2B">
      <w:pPr>
        <w:ind w:left="884" w:hangingChars="400" w:hanging="884"/>
        <w:rPr>
          <w:rFonts w:ascii="ＭＳ ゴシック" w:eastAsia="ＭＳ ゴシック" w:hAnsi="ＭＳ ゴシック"/>
          <w:sz w:val="22"/>
          <w:szCs w:val="22"/>
          <w:u w:val="single"/>
        </w:rPr>
      </w:pPr>
      <w:r w:rsidRPr="001D6D10">
        <w:rPr>
          <w:rFonts w:ascii="ＭＳ 明朝" w:hAnsi="ＭＳ 明朝" w:hint="eastAsia"/>
          <w:sz w:val="22"/>
          <w:szCs w:val="22"/>
        </w:rPr>
        <w:t xml:space="preserve">　　　</w:t>
      </w:r>
      <w:r w:rsidRPr="001D6D10">
        <w:rPr>
          <w:rFonts w:ascii="ＭＳ ゴシック" w:eastAsia="ＭＳ ゴシック" w:hAnsi="ＭＳ ゴシック" w:hint="eastAsia"/>
          <w:sz w:val="22"/>
          <w:szCs w:val="22"/>
          <w:u w:val="single"/>
        </w:rPr>
        <w:t>３　会議の内容</w:t>
      </w:r>
    </w:p>
    <w:p w14:paraId="75C962A2" w14:textId="77777777" w:rsidR="008B4B2B" w:rsidRPr="001D6D10" w:rsidRDefault="008B4B2B" w:rsidP="008B4B2B">
      <w:pPr>
        <w:ind w:left="884" w:hangingChars="400" w:hanging="884"/>
        <w:rPr>
          <w:rFonts w:ascii="ＭＳ 明朝" w:hAnsi="ＭＳ 明朝"/>
          <w:sz w:val="22"/>
          <w:szCs w:val="22"/>
        </w:rPr>
      </w:pPr>
      <w:r w:rsidRPr="001D6D10">
        <w:rPr>
          <w:rFonts w:ascii="ＭＳ 明朝" w:hAnsi="ＭＳ 明朝" w:hint="eastAsia"/>
          <w:sz w:val="22"/>
          <w:szCs w:val="22"/>
        </w:rPr>
        <w:t xml:space="preserve">　　　　(1)　広域的な受応援に関すること</w:t>
      </w:r>
    </w:p>
    <w:p w14:paraId="49D9DFDB" w14:textId="77777777" w:rsidR="008B4B2B" w:rsidRPr="001D6D10" w:rsidRDefault="008B4B2B" w:rsidP="008B4B2B">
      <w:pPr>
        <w:rPr>
          <w:rFonts w:ascii="ＭＳ 明朝" w:hAnsi="ＭＳ 明朝"/>
          <w:sz w:val="22"/>
          <w:szCs w:val="22"/>
        </w:rPr>
      </w:pPr>
      <w:r w:rsidRPr="001D6D10">
        <w:rPr>
          <w:rFonts w:ascii="ＭＳ 明朝" w:hAnsi="ＭＳ 明朝" w:hint="eastAsia"/>
          <w:sz w:val="22"/>
          <w:szCs w:val="22"/>
        </w:rPr>
        <w:t xml:space="preserve">　　　　(2)　災害時における連携・協力に関すること</w:t>
      </w:r>
    </w:p>
    <w:p w14:paraId="466DA9E7" w14:textId="0B25F02F" w:rsidR="000010F1" w:rsidRDefault="008B4B2B" w:rsidP="008B4B2B">
      <w:pPr>
        <w:rPr>
          <w:rFonts w:ascii="ＭＳ 明朝" w:hAnsi="ＭＳ 明朝"/>
          <w:sz w:val="22"/>
          <w:szCs w:val="22"/>
        </w:rPr>
      </w:pPr>
      <w:r w:rsidRPr="001D6D10">
        <w:rPr>
          <w:rFonts w:ascii="ＭＳ 明朝" w:hAnsi="ＭＳ 明朝" w:hint="eastAsia"/>
          <w:sz w:val="22"/>
          <w:szCs w:val="22"/>
        </w:rPr>
        <w:t xml:space="preserve">　　　　(3)　その他、応急対策の実施に関し必要な事項</w:t>
      </w:r>
    </w:p>
    <w:p w14:paraId="497BF824" w14:textId="77777777" w:rsidR="000010F1" w:rsidRDefault="000010F1">
      <w:pPr>
        <w:widowControl/>
        <w:jc w:val="left"/>
        <w:rPr>
          <w:rFonts w:ascii="ＭＳ 明朝" w:hAnsi="ＭＳ 明朝"/>
          <w:sz w:val="22"/>
          <w:szCs w:val="22"/>
        </w:rPr>
      </w:pPr>
      <w:r>
        <w:rPr>
          <w:rFonts w:ascii="ＭＳ 明朝" w:hAnsi="ＭＳ 明朝"/>
          <w:sz w:val="22"/>
          <w:szCs w:val="22"/>
        </w:rPr>
        <w:br w:type="page"/>
      </w:r>
    </w:p>
    <w:p w14:paraId="781BD87C" w14:textId="77777777" w:rsidR="008B4B2B" w:rsidRPr="001D6D10" w:rsidRDefault="008B4B2B" w:rsidP="00E0548A">
      <w:pPr>
        <w:pStyle w:val="3"/>
        <w:ind w:firstLineChars="0" w:firstLine="0"/>
      </w:pPr>
      <w:bookmarkStart w:id="246" w:name="_Toc122436930"/>
      <w:bookmarkStart w:id="247" w:name="_Toc222486613"/>
      <w:bookmarkStart w:id="248" w:name="_Toc242870283"/>
      <w:r w:rsidRPr="001D6D10">
        <w:rPr>
          <w:rFonts w:hint="eastAsia"/>
        </w:rPr>
        <w:lastRenderedPageBreak/>
        <w:t>第３　航空運用調整班の運用</w:t>
      </w:r>
      <w:r w:rsidRPr="001D6D10">
        <w:rPr>
          <w:rFonts w:hint="eastAsia"/>
          <w:shd w:val="pct15" w:color="auto" w:fill="FFFFFF"/>
        </w:rPr>
        <w:t>【第２フェーズ】</w:t>
      </w:r>
      <w:bookmarkEnd w:id="246"/>
      <w:bookmarkEnd w:id="247"/>
      <w:bookmarkEnd w:id="248"/>
    </w:p>
    <w:p w14:paraId="5F4CF785" w14:textId="77777777" w:rsidR="008B4B2B" w:rsidRPr="001D6D10" w:rsidRDefault="008B4B2B" w:rsidP="008B4B2B">
      <w:pPr>
        <w:ind w:firstLineChars="500" w:firstLine="1105"/>
        <w:rPr>
          <w:rFonts w:asciiTheme="majorEastAsia" w:eastAsiaTheme="majorEastAsia" w:hAnsiTheme="majorEastAsia"/>
          <w:sz w:val="22"/>
          <w:szCs w:val="22"/>
          <w:bdr w:val="single" w:sz="4" w:space="0" w:color="auto"/>
        </w:rPr>
      </w:pPr>
      <w:r w:rsidRPr="001D6D10">
        <w:rPr>
          <w:rFonts w:asciiTheme="majorEastAsia" w:eastAsiaTheme="majorEastAsia" w:hAnsiTheme="majorEastAsia" w:hint="eastAsia"/>
          <w:sz w:val="22"/>
          <w:szCs w:val="22"/>
          <w:bdr w:val="single" w:sz="4" w:space="0" w:color="auto"/>
        </w:rPr>
        <w:t>主たる担当：危機管理室</w:t>
      </w:r>
    </w:p>
    <w:p w14:paraId="26C08781" w14:textId="18114AFA" w:rsidR="008B4B2B" w:rsidRPr="001D6D10" w:rsidRDefault="008B4B2B" w:rsidP="008B4B2B">
      <w:pPr>
        <w:ind w:leftChars="400" w:left="844" w:firstLineChars="100" w:firstLine="221"/>
        <w:rPr>
          <w:rFonts w:ascii="ＭＳ 明朝" w:hAnsi="ＭＳ 明朝"/>
          <w:sz w:val="22"/>
          <w:szCs w:val="22"/>
        </w:rPr>
      </w:pPr>
      <w:r w:rsidRPr="001D6D10">
        <w:rPr>
          <w:rFonts w:ascii="ＭＳ 明朝" w:hAnsi="ＭＳ 明朝" w:hint="eastAsia"/>
          <w:sz w:val="22"/>
          <w:szCs w:val="22"/>
        </w:rPr>
        <w:t>緊急消防援助隊、警察災害派遣隊、自衛隊災害派遣部隊、海上保安庁、国土交通省近畿地方整備局、ＤＭＡＴ、ドクターヘリなどの派遣を要請した場合に、</w:t>
      </w:r>
      <w:r w:rsidR="000E2046" w:rsidRPr="00B064CC">
        <w:rPr>
          <w:rFonts w:ascii="ＭＳ 明朝" w:hAnsi="ＭＳ 明朝" w:hint="eastAsia"/>
          <w:sz w:val="22"/>
        </w:rPr>
        <w:t>航空機（緊急消防援助隊航空小隊など）や無人航空機の</w:t>
      </w:r>
      <w:r w:rsidRPr="001D6D10">
        <w:rPr>
          <w:rFonts w:ascii="ＭＳ 明朝" w:hAnsi="ＭＳ 明朝" w:hint="eastAsia"/>
          <w:sz w:val="22"/>
          <w:szCs w:val="22"/>
        </w:rPr>
        <w:t>活動調整及び連携した救助・救急活動が実施できるよう、航空運用調整班を設置する。</w:t>
      </w:r>
    </w:p>
    <w:p w14:paraId="431B1FB4" w14:textId="77777777" w:rsidR="008B4B2B" w:rsidRPr="001D6D10" w:rsidRDefault="008B4B2B" w:rsidP="008B4B2B">
      <w:pPr>
        <w:ind w:leftChars="400" w:left="844" w:firstLineChars="100" w:firstLine="221"/>
        <w:rPr>
          <w:rFonts w:ascii="ＭＳ 明朝" w:hAnsi="ＭＳ 明朝"/>
          <w:sz w:val="22"/>
          <w:szCs w:val="22"/>
        </w:rPr>
      </w:pPr>
    </w:p>
    <w:p w14:paraId="029C0CF1" w14:textId="77777777" w:rsidR="008B4B2B" w:rsidRPr="001D6D10" w:rsidRDefault="008B4B2B" w:rsidP="008B4B2B">
      <w:pPr>
        <w:ind w:firstLineChars="300" w:firstLine="663"/>
        <w:rPr>
          <w:rFonts w:asciiTheme="majorEastAsia" w:eastAsiaTheme="majorEastAsia" w:hAnsiTheme="majorEastAsia"/>
          <w:sz w:val="22"/>
          <w:szCs w:val="22"/>
          <w:u w:val="single"/>
        </w:rPr>
      </w:pPr>
      <w:r w:rsidRPr="001D6D10">
        <w:rPr>
          <w:rFonts w:asciiTheme="majorEastAsia" w:eastAsiaTheme="majorEastAsia" w:hAnsiTheme="majorEastAsia" w:hint="eastAsia"/>
          <w:sz w:val="22"/>
          <w:szCs w:val="22"/>
          <w:u w:val="single"/>
        </w:rPr>
        <w:t>１　設置場所</w:t>
      </w:r>
    </w:p>
    <w:p w14:paraId="37A93725" w14:textId="77777777" w:rsidR="008B4B2B" w:rsidRPr="001D6D10" w:rsidRDefault="008B4B2B" w:rsidP="008B4B2B">
      <w:pPr>
        <w:rPr>
          <w:rFonts w:ascii="ＭＳ 明朝" w:hAnsi="ＭＳ 明朝"/>
          <w:sz w:val="22"/>
          <w:szCs w:val="22"/>
        </w:rPr>
      </w:pPr>
      <w:r w:rsidRPr="001D6D10">
        <w:rPr>
          <w:rFonts w:ascii="ＭＳ 明朝" w:hAnsi="ＭＳ 明朝" w:hint="eastAsia"/>
          <w:sz w:val="22"/>
          <w:szCs w:val="22"/>
        </w:rPr>
        <w:t xml:space="preserve">　　　　　大阪府危機管理センターＢ（府庁新別館北館２階）</w:t>
      </w:r>
    </w:p>
    <w:p w14:paraId="71B545C1" w14:textId="77777777" w:rsidR="008B4B2B" w:rsidRPr="001D6D10" w:rsidRDefault="008B4B2B" w:rsidP="008B4B2B">
      <w:pPr>
        <w:rPr>
          <w:rFonts w:ascii="ＭＳ 明朝" w:hAnsi="ＭＳ 明朝"/>
          <w:sz w:val="22"/>
          <w:szCs w:val="22"/>
        </w:rPr>
      </w:pPr>
    </w:p>
    <w:p w14:paraId="5242009D" w14:textId="77777777" w:rsidR="008B4B2B" w:rsidRPr="001D6D10" w:rsidRDefault="008B4B2B" w:rsidP="008B4B2B">
      <w:pPr>
        <w:ind w:firstLineChars="300" w:firstLine="663"/>
        <w:rPr>
          <w:rFonts w:asciiTheme="majorEastAsia" w:eastAsiaTheme="majorEastAsia" w:hAnsiTheme="majorEastAsia"/>
          <w:sz w:val="22"/>
          <w:szCs w:val="22"/>
          <w:u w:val="single"/>
        </w:rPr>
      </w:pPr>
      <w:r w:rsidRPr="001D6D10">
        <w:rPr>
          <w:rFonts w:asciiTheme="majorEastAsia" w:eastAsiaTheme="majorEastAsia" w:hAnsiTheme="majorEastAsia" w:hint="eastAsia"/>
          <w:sz w:val="22"/>
          <w:szCs w:val="22"/>
          <w:u w:val="single"/>
        </w:rPr>
        <w:t>２　構成機関等</w:t>
      </w:r>
    </w:p>
    <w:p w14:paraId="491E587B" w14:textId="77777777" w:rsidR="008B4B2B" w:rsidRPr="001D6D10" w:rsidRDefault="008B4B2B" w:rsidP="008B4B2B">
      <w:pPr>
        <w:ind w:left="884" w:hangingChars="400" w:hanging="884"/>
        <w:rPr>
          <w:rFonts w:ascii="ＭＳ 明朝" w:hAnsi="ＭＳ 明朝"/>
          <w:sz w:val="22"/>
          <w:szCs w:val="22"/>
        </w:rPr>
      </w:pPr>
      <w:r w:rsidRPr="001D6D10">
        <w:rPr>
          <w:rFonts w:ascii="ＭＳ 明朝" w:hAnsi="ＭＳ 明朝" w:hint="eastAsia"/>
          <w:sz w:val="22"/>
          <w:szCs w:val="22"/>
        </w:rPr>
        <w:t xml:space="preserve">　　　　　緊急消防援助隊、警察災害派遣隊、自衛隊災害派遣部隊、海上保安庁、国土交通省近畿地方整備局、ＤＭＡＴ、ドクターヘリ</w:t>
      </w:r>
    </w:p>
    <w:p w14:paraId="2C355188" w14:textId="77777777" w:rsidR="008B4B2B" w:rsidRPr="001D6D10" w:rsidRDefault="008B4B2B" w:rsidP="008B4B2B">
      <w:pPr>
        <w:ind w:left="884" w:hangingChars="400" w:hanging="884"/>
        <w:rPr>
          <w:rFonts w:ascii="ＭＳ 明朝" w:hAnsi="ＭＳ 明朝"/>
          <w:sz w:val="22"/>
          <w:szCs w:val="22"/>
        </w:rPr>
      </w:pPr>
    </w:p>
    <w:p w14:paraId="5F0B79EA" w14:textId="77777777" w:rsidR="000E2046" w:rsidRPr="00833E0B" w:rsidRDefault="008B4B2B" w:rsidP="000E2046">
      <w:pPr>
        <w:ind w:firstLineChars="300" w:firstLine="663"/>
        <w:rPr>
          <w:rFonts w:ascii="ＭＳ 明朝" w:hAnsi="ＭＳ 明朝"/>
          <w:sz w:val="22"/>
          <w:szCs w:val="22"/>
          <w:u w:val="single"/>
        </w:rPr>
      </w:pPr>
      <w:r w:rsidRPr="001D6D10">
        <w:rPr>
          <w:rFonts w:asciiTheme="majorEastAsia" w:eastAsiaTheme="majorEastAsia" w:hAnsiTheme="majorEastAsia" w:hint="eastAsia"/>
          <w:sz w:val="22"/>
          <w:szCs w:val="22"/>
          <w:u w:val="single"/>
        </w:rPr>
        <w:t>３　調整内容</w:t>
      </w:r>
    </w:p>
    <w:p w14:paraId="5650EA69" w14:textId="77777777" w:rsidR="000E2046" w:rsidRPr="00B064CC" w:rsidRDefault="000E2046" w:rsidP="000E2046">
      <w:pPr>
        <w:pStyle w:val="af4"/>
        <w:numPr>
          <w:ilvl w:val="0"/>
          <w:numId w:val="35"/>
        </w:numPr>
        <w:ind w:leftChars="0"/>
        <w:rPr>
          <w:rFonts w:ascii="ＭＳ 明朝" w:hAnsi="ＭＳ 明朝"/>
          <w:bCs/>
        </w:rPr>
      </w:pPr>
      <w:r w:rsidRPr="00B064CC">
        <w:rPr>
          <w:rFonts w:ascii="ＭＳ 明朝" w:hAnsi="ＭＳ 明朝" w:hint="eastAsia"/>
          <w:bCs/>
        </w:rPr>
        <w:t>緊急用務空域の指定</w:t>
      </w:r>
    </w:p>
    <w:p w14:paraId="793DA744" w14:textId="77777777" w:rsidR="000E2046" w:rsidRPr="00B064CC" w:rsidRDefault="000E2046" w:rsidP="000E2046">
      <w:pPr>
        <w:pStyle w:val="af4"/>
        <w:numPr>
          <w:ilvl w:val="0"/>
          <w:numId w:val="35"/>
        </w:numPr>
        <w:ind w:leftChars="0"/>
        <w:rPr>
          <w:rFonts w:ascii="ＭＳ 明朝" w:hAnsi="ＭＳ 明朝"/>
          <w:sz w:val="22"/>
        </w:rPr>
      </w:pPr>
      <w:r w:rsidRPr="00B064CC">
        <w:rPr>
          <w:rFonts w:ascii="ＭＳ 明朝" w:hAnsi="ＭＳ 明朝" w:hint="eastAsia"/>
          <w:sz w:val="22"/>
        </w:rPr>
        <w:t>ヘリベース使用等の調整</w:t>
      </w:r>
    </w:p>
    <w:p w14:paraId="4D46D5D6" w14:textId="77777777" w:rsidR="000E2046" w:rsidRPr="00B064CC" w:rsidRDefault="000E2046" w:rsidP="000E2046">
      <w:pPr>
        <w:pStyle w:val="af4"/>
        <w:numPr>
          <w:ilvl w:val="0"/>
          <w:numId w:val="35"/>
        </w:numPr>
        <w:ind w:leftChars="0"/>
        <w:rPr>
          <w:rFonts w:ascii="ＭＳ 明朝" w:hAnsi="ＭＳ 明朝"/>
          <w:sz w:val="22"/>
        </w:rPr>
      </w:pPr>
      <w:r w:rsidRPr="00B064CC">
        <w:rPr>
          <w:rFonts w:ascii="ＭＳ 明朝" w:hAnsi="ＭＳ 明朝" w:hint="eastAsia"/>
          <w:sz w:val="22"/>
        </w:rPr>
        <w:t>各関係機関の使用可能な航空機の把握</w:t>
      </w:r>
    </w:p>
    <w:p w14:paraId="31864F94" w14:textId="77777777" w:rsidR="000E2046" w:rsidRPr="00B064CC" w:rsidRDefault="000E2046" w:rsidP="000E2046">
      <w:pPr>
        <w:pStyle w:val="af4"/>
        <w:numPr>
          <w:ilvl w:val="0"/>
          <w:numId w:val="35"/>
        </w:numPr>
        <w:ind w:leftChars="0"/>
        <w:rPr>
          <w:rFonts w:ascii="ＭＳ 明朝" w:hAnsi="ＭＳ 明朝"/>
          <w:sz w:val="22"/>
        </w:rPr>
      </w:pPr>
      <w:r w:rsidRPr="00B064CC">
        <w:rPr>
          <w:rFonts w:ascii="ＭＳ 明朝" w:hAnsi="ＭＳ 明朝" w:hint="eastAsia"/>
          <w:sz w:val="22"/>
        </w:rPr>
        <w:t>航空機の活動区域及び役割分担等の調整</w:t>
      </w:r>
    </w:p>
    <w:p w14:paraId="08A7BCA2" w14:textId="77777777" w:rsidR="000E2046" w:rsidRPr="00B064CC" w:rsidRDefault="000E2046" w:rsidP="000E2046">
      <w:pPr>
        <w:pStyle w:val="af4"/>
        <w:numPr>
          <w:ilvl w:val="0"/>
          <w:numId w:val="35"/>
        </w:numPr>
        <w:ind w:leftChars="0"/>
        <w:rPr>
          <w:rFonts w:ascii="ＭＳ 明朝" w:hAnsi="ＭＳ 明朝"/>
          <w:sz w:val="22"/>
        </w:rPr>
      </w:pPr>
      <w:r w:rsidRPr="00B064CC">
        <w:rPr>
          <w:rFonts w:ascii="ＭＳ 明朝" w:hAnsi="ＭＳ 明朝" w:hint="eastAsia"/>
          <w:sz w:val="22"/>
        </w:rPr>
        <w:t>航空機の運航経路及び飛行時間の管理</w:t>
      </w:r>
    </w:p>
    <w:p w14:paraId="25FC3A7E" w14:textId="77777777" w:rsidR="000E2046" w:rsidRPr="00B064CC" w:rsidRDefault="000E2046" w:rsidP="000E2046">
      <w:pPr>
        <w:pStyle w:val="af4"/>
        <w:numPr>
          <w:ilvl w:val="0"/>
          <w:numId w:val="35"/>
        </w:numPr>
        <w:ind w:leftChars="0"/>
        <w:rPr>
          <w:rFonts w:ascii="ＭＳ 明朝" w:hAnsi="ＭＳ 明朝"/>
          <w:sz w:val="22"/>
        </w:rPr>
      </w:pPr>
      <w:r w:rsidRPr="00B064CC">
        <w:rPr>
          <w:rFonts w:ascii="ＭＳ 明朝" w:hAnsi="ＭＳ 明朝" w:hint="eastAsia"/>
          <w:sz w:val="22"/>
        </w:rPr>
        <w:t>無人航空機の飛行に関する運用調整</w:t>
      </w:r>
    </w:p>
    <w:p w14:paraId="32779865" w14:textId="7A3670A0" w:rsidR="008B4B2B" w:rsidRPr="00B064CC" w:rsidRDefault="000E2046" w:rsidP="000E2046">
      <w:pPr>
        <w:pStyle w:val="af4"/>
        <w:numPr>
          <w:ilvl w:val="0"/>
          <w:numId w:val="35"/>
        </w:numPr>
        <w:ind w:leftChars="0"/>
        <w:rPr>
          <w:rFonts w:ascii="ＭＳ 明朝" w:hAnsi="ＭＳ 明朝"/>
          <w:sz w:val="22"/>
        </w:rPr>
      </w:pPr>
      <w:r w:rsidRPr="00B064CC">
        <w:rPr>
          <w:rFonts w:ascii="ＭＳ 明朝" w:hAnsi="ＭＳ 明朝" w:hint="eastAsia"/>
          <w:sz w:val="22"/>
        </w:rPr>
        <w:t>その他、必要と認める事項にかかる調整等</w:t>
      </w:r>
    </w:p>
    <w:p w14:paraId="311E27F2" w14:textId="77777777" w:rsidR="008B4B2B" w:rsidRPr="001D6D10" w:rsidRDefault="008B4B2B" w:rsidP="008B4B2B">
      <w:pPr>
        <w:ind w:firstLineChars="400" w:firstLine="844"/>
        <w:rPr>
          <w:rFonts w:ascii="ＭＳ 明朝" w:hAnsi="ＭＳ 明朝"/>
          <w:sz w:val="22"/>
          <w:szCs w:val="22"/>
        </w:rPr>
      </w:pPr>
      <w:r w:rsidRPr="001D6D10">
        <w:rPr>
          <w:rFonts w:asciiTheme="minorEastAsia" w:hAnsiTheme="minorEastAsia"/>
          <w:noProof/>
        </w:rPr>
        <w:drawing>
          <wp:inline distT="0" distB="0" distL="0" distR="0" wp14:anchorId="41104385" wp14:editId="770FFFF6">
            <wp:extent cx="4003556" cy="3488267"/>
            <wp:effectExtent l="0" t="0" r="0" b="0"/>
            <wp:docPr id="3904" name="図 3904" descr="D:\NakamuraAtu\Desktop\キャプチャ.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NakamuraAtu\Desktop\キャプチャ.PNG"/>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4023762" cy="3505872"/>
                    </a:xfrm>
                    <a:prstGeom prst="rect">
                      <a:avLst/>
                    </a:prstGeom>
                    <a:noFill/>
                    <a:ln>
                      <a:noFill/>
                    </a:ln>
                  </pic:spPr>
                </pic:pic>
              </a:graphicData>
            </a:graphic>
          </wp:inline>
        </w:drawing>
      </w:r>
    </w:p>
    <w:p w14:paraId="66D1E044" w14:textId="7B6FAEDA" w:rsidR="008B4B2B" w:rsidRPr="001D6D10" w:rsidRDefault="008B4B2B">
      <w:pPr>
        <w:pStyle w:val="2"/>
      </w:pPr>
      <w:bookmarkStart w:id="249" w:name="_Toc122436931"/>
      <w:bookmarkStart w:id="250" w:name="_Toc222486614"/>
      <w:bookmarkStart w:id="251" w:name="_Toc242870284"/>
      <w:r w:rsidRPr="001D6D10">
        <w:rPr>
          <w:rFonts w:hint="eastAsia"/>
        </w:rPr>
        <w:lastRenderedPageBreak/>
        <w:t>第２節　保健医療活動</w:t>
      </w:r>
      <w:bookmarkEnd w:id="249"/>
      <w:bookmarkEnd w:id="250"/>
      <w:bookmarkEnd w:id="251"/>
    </w:p>
    <w:tbl>
      <w:tblPr>
        <w:tblW w:w="0" w:type="auto"/>
        <w:tblBorders>
          <w:top w:val="thinThickSmallGap" w:sz="24" w:space="0" w:color="auto"/>
          <w:left w:val="thinThickSmallGap" w:sz="24" w:space="0" w:color="auto"/>
          <w:bottom w:val="thinThickSmallGap" w:sz="24" w:space="0" w:color="auto"/>
          <w:right w:val="thinThickSmallGap" w:sz="24" w:space="0" w:color="auto"/>
          <w:insideH w:val="thinThickSmallGap" w:sz="24" w:space="0" w:color="auto"/>
          <w:insideV w:val="thinThickSmallGap" w:sz="24" w:space="0" w:color="auto"/>
        </w:tblBorders>
        <w:tblLook w:val="04A0" w:firstRow="1" w:lastRow="0" w:firstColumn="1" w:lastColumn="0" w:noHBand="0" w:noVBand="1"/>
      </w:tblPr>
      <w:tblGrid>
        <w:gridCol w:w="1428"/>
        <w:gridCol w:w="7326"/>
      </w:tblGrid>
      <w:tr w:rsidR="008B4B2B" w:rsidRPr="001D6D10" w14:paraId="6ACADFC7" w14:textId="77777777" w:rsidTr="00E0548A">
        <w:tc>
          <w:tcPr>
            <w:tcW w:w="1526" w:type="dxa"/>
          </w:tcPr>
          <w:p w14:paraId="1C95739C" w14:textId="77777777" w:rsidR="008B4B2B" w:rsidRPr="001D6D10" w:rsidRDefault="008B4B2B" w:rsidP="008B4B2B">
            <w:pPr>
              <w:jc w:val="center"/>
              <w:rPr>
                <w:rFonts w:ascii="ＭＳ ゴシック" w:eastAsia="ＭＳ ゴシック" w:hAnsi="ＭＳ ゴシック"/>
                <w:b/>
                <w:sz w:val="28"/>
                <w:szCs w:val="28"/>
              </w:rPr>
            </w:pPr>
            <w:r w:rsidRPr="001D6D10">
              <w:rPr>
                <w:rFonts w:ascii="ＭＳ ゴシック" w:eastAsia="ＭＳ ゴシック" w:hAnsi="ＭＳ ゴシック" w:hint="eastAsia"/>
                <w:b/>
                <w:sz w:val="28"/>
                <w:szCs w:val="28"/>
              </w:rPr>
              <w:t>目　標</w:t>
            </w:r>
          </w:p>
        </w:tc>
        <w:tc>
          <w:tcPr>
            <w:tcW w:w="8026" w:type="dxa"/>
            <w:vAlign w:val="center"/>
          </w:tcPr>
          <w:p w14:paraId="2C80F885" w14:textId="77777777" w:rsidR="008B4B2B" w:rsidRPr="001D6D10" w:rsidRDefault="008B4B2B" w:rsidP="00DE55B0">
            <w:pPr>
              <w:ind w:firstLineChars="100" w:firstLine="242"/>
              <w:rPr>
                <w:rFonts w:ascii="ＭＳ ゴシック" w:eastAsia="ＭＳ ゴシック" w:hAnsi="ＭＳ ゴシック"/>
                <w:b/>
                <w:sz w:val="28"/>
                <w:szCs w:val="28"/>
              </w:rPr>
            </w:pPr>
            <w:r w:rsidRPr="00E0548A">
              <w:rPr>
                <w:rFonts w:ascii="ＭＳ ゴシック" w:eastAsia="ＭＳ ゴシック" w:hAnsi="ＭＳ ゴシック" w:hint="eastAsia"/>
                <w:b/>
                <w:sz w:val="24"/>
              </w:rPr>
              <w:t>災害時に一人でも多くの人命を救助する。</w:t>
            </w:r>
          </w:p>
        </w:tc>
      </w:tr>
    </w:tbl>
    <w:p w14:paraId="03F7D0DB" w14:textId="77777777" w:rsidR="008B4B2B" w:rsidRPr="001D6D10" w:rsidRDefault="008B4B2B" w:rsidP="008B4B2B">
      <w:pPr>
        <w:rPr>
          <w:rFonts w:ascii="ＭＳ ゴシック" w:eastAsia="ＭＳ ゴシック" w:hAnsi="ＭＳ ゴシック"/>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64"/>
        <w:gridCol w:w="7270"/>
      </w:tblGrid>
      <w:tr w:rsidR="001D6D10" w:rsidRPr="001D6D10" w14:paraId="16479C67" w14:textId="77777777" w:rsidTr="008B4B2B">
        <w:tc>
          <w:tcPr>
            <w:tcW w:w="1668" w:type="dxa"/>
            <w:shd w:val="clear" w:color="auto" w:fill="F2F2F2"/>
          </w:tcPr>
          <w:p w14:paraId="551402E7" w14:textId="77777777" w:rsidR="008B4B2B" w:rsidRPr="001D6D10" w:rsidRDefault="008B4B2B" w:rsidP="008B4B2B">
            <w:pPr>
              <w:jc w:val="center"/>
              <w:rPr>
                <w:rFonts w:ascii="ＭＳ ゴシック" w:eastAsia="ＭＳ ゴシック" w:hAnsi="ＭＳ ゴシック"/>
                <w:sz w:val="22"/>
                <w:szCs w:val="22"/>
              </w:rPr>
            </w:pPr>
            <w:r w:rsidRPr="001D6D10">
              <w:rPr>
                <w:rFonts w:ascii="ＭＳ ゴシック" w:eastAsia="ＭＳ ゴシック" w:hAnsi="ＭＳ ゴシック" w:hint="eastAsia"/>
                <w:sz w:val="22"/>
                <w:szCs w:val="22"/>
              </w:rPr>
              <w:t>フェーズ</w:t>
            </w:r>
          </w:p>
        </w:tc>
        <w:tc>
          <w:tcPr>
            <w:tcW w:w="7884" w:type="dxa"/>
            <w:shd w:val="clear" w:color="auto" w:fill="F2F2F2"/>
          </w:tcPr>
          <w:p w14:paraId="7BC02B3C" w14:textId="77777777" w:rsidR="008B4B2B" w:rsidRPr="001D6D10" w:rsidRDefault="008B4B2B" w:rsidP="008B4B2B">
            <w:pPr>
              <w:jc w:val="center"/>
              <w:rPr>
                <w:rFonts w:ascii="ＭＳ ゴシック" w:eastAsia="ＭＳ ゴシック" w:hAnsi="ＭＳ ゴシック"/>
                <w:sz w:val="22"/>
                <w:szCs w:val="22"/>
              </w:rPr>
            </w:pPr>
            <w:r w:rsidRPr="001D6D10">
              <w:rPr>
                <w:rFonts w:ascii="ＭＳ ゴシック" w:eastAsia="ＭＳ ゴシック" w:hAnsi="ＭＳ ゴシック" w:hint="eastAsia"/>
                <w:sz w:val="22"/>
                <w:szCs w:val="22"/>
              </w:rPr>
              <w:t>主な目標</w:t>
            </w:r>
          </w:p>
        </w:tc>
      </w:tr>
      <w:tr w:rsidR="001D6D10" w:rsidRPr="001D6D10" w14:paraId="731F34DE" w14:textId="77777777" w:rsidTr="008B4B2B">
        <w:tc>
          <w:tcPr>
            <w:tcW w:w="1668" w:type="dxa"/>
          </w:tcPr>
          <w:p w14:paraId="5447DBC8" w14:textId="77777777" w:rsidR="008B4B2B" w:rsidRPr="001D6D10" w:rsidRDefault="008B4B2B" w:rsidP="008B4B2B">
            <w:pPr>
              <w:rPr>
                <w:rFonts w:ascii="ＭＳ ゴシック" w:eastAsia="ＭＳ ゴシック" w:hAnsi="ＭＳ ゴシック"/>
                <w:sz w:val="22"/>
                <w:szCs w:val="22"/>
              </w:rPr>
            </w:pPr>
            <w:r w:rsidRPr="001D6D10">
              <w:rPr>
                <w:rFonts w:ascii="ＭＳ ゴシック" w:eastAsia="ＭＳ ゴシック" w:hAnsi="ＭＳ ゴシック" w:hint="eastAsia"/>
                <w:sz w:val="22"/>
                <w:szCs w:val="22"/>
              </w:rPr>
              <w:t>第１フェーズ</w:t>
            </w:r>
          </w:p>
        </w:tc>
        <w:tc>
          <w:tcPr>
            <w:tcW w:w="7884" w:type="dxa"/>
          </w:tcPr>
          <w:p w14:paraId="63C7629E" w14:textId="77777777" w:rsidR="008B4B2B" w:rsidRPr="001D6D10" w:rsidRDefault="008B4B2B" w:rsidP="008B4B2B">
            <w:pPr>
              <w:rPr>
                <w:rFonts w:ascii="ＭＳ ゴシック" w:eastAsia="ＭＳ ゴシック" w:hAnsi="ＭＳ ゴシック"/>
                <w:sz w:val="22"/>
                <w:szCs w:val="22"/>
              </w:rPr>
            </w:pPr>
            <w:r w:rsidRPr="001D6D10">
              <w:rPr>
                <w:rFonts w:ascii="ＭＳ ゴシック" w:eastAsia="ＭＳ ゴシック" w:hAnsi="ＭＳ ゴシック" w:hint="eastAsia"/>
                <w:sz w:val="22"/>
                <w:szCs w:val="22"/>
              </w:rPr>
              <w:t>迅速な医療情報の収集・提供と保健医療活動チームの編成・派遣要請（ＤＭＡＴ、ＤＰＡＴ等）</w:t>
            </w:r>
          </w:p>
        </w:tc>
      </w:tr>
      <w:tr w:rsidR="001D6D10" w:rsidRPr="001D6D10" w14:paraId="09219EEC" w14:textId="77777777" w:rsidTr="008B4B2B">
        <w:tc>
          <w:tcPr>
            <w:tcW w:w="1668" w:type="dxa"/>
          </w:tcPr>
          <w:p w14:paraId="0F3C10F4" w14:textId="77777777" w:rsidR="008B4B2B" w:rsidRPr="001D6D10" w:rsidRDefault="008B4B2B" w:rsidP="008B4B2B">
            <w:pPr>
              <w:rPr>
                <w:rFonts w:ascii="ＭＳ ゴシック" w:eastAsia="ＭＳ ゴシック" w:hAnsi="ＭＳ ゴシック"/>
                <w:sz w:val="22"/>
                <w:szCs w:val="22"/>
              </w:rPr>
            </w:pPr>
            <w:r w:rsidRPr="001D6D10">
              <w:rPr>
                <w:rFonts w:ascii="ＭＳ ゴシック" w:eastAsia="ＭＳ ゴシック" w:hAnsi="ＭＳ ゴシック" w:hint="eastAsia"/>
                <w:sz w:val="22"/>
                <w:szCs w:val="22"/>
              </w:rPr>
              <w:t>第２フェーズ</w:t>
            </w:r>
          </w:p>
        </w:tc>
        <w:tc>
          <w:tcPr>
            <w:tcW w:w="7884" w:type="dxa"/>
          </w:tcPr>
          <w:p w14:paraId="0E630E20" w14:textId="77777777" w:rsidR="008B4B2B" w:rsidRPr="001D6D10" w:rsidRDefault="008B4B2B" w:rsidP="008B4B2B">
            <w:pPr>
              <w:rPr>
                <w:rFonts w:ascii="ＭＳ ゴシック" w:eastAsia="ＭＳ ゴシック" w:hAnsi="ＭＳ ゴシック"/>
                <w:sz w:val="22"/>
                <w:szCs w:val="22"/>
              </w:rPr>
            </w:pPr>
            <w:r w:rsidRPr="001D6D10">
              <w:rPr>
                <w:rFonts w:ascii="ＭＳ ゴシック" w:eastAsia="ＭＳ ゴシック" w:hAnsi="ＭＳ ゴシック" w:hint="eastAsia"/>
                <w:sz w:val="22"/>
                <w:szCs w:val="22"/>
              </w:rPr>
              <w:t>現地医療体制の確立及び後方医療活動の調整開始、医薬品等の確保・供給活動の実施</w:t>
            </w:r>
          </w:p>
        </w:tc>
      </w:tr>
      <w:tr w:rsidR="008B4B2B" w:rsidRPr="001D6D10" w14:paraId="0CCC7FAC" w14:textId="77777777" w:rsidTr="008B4B2B">
        <w:tc>
          <w:tcPr>
            <w:tcW w:w="1668" w:type="dxa"/>
          </w:tcPr>
          <w:p w14:paraId="69DA672C" w14:textId="77777777" w:rsidR="008B4B2B" w:rsidRPr="001D6D10" w:rsidRDefault="008B4B2B" w:rsidP="008B4B2B">
            <w:pPr>
              <w:rPr>
                <w:rFonts w:ascii="ＭＳ ゴシック" w:eastAsia="ＭＳ ゴシック" w:hAnsi="ＭＳ ゴシック"/>
                <w:sz w:val="22"/>
                <w:szCs w:val="22"/>
              </w:rPr>
            </w:pPr>
            <w:r w:rsidRPr="001D6D10">
              <w:rPr>
                <w:rFonts w:ascii="ＭＳ ゴシック" w:eastAsia="ＭＳ ゴシック" w:hAnsi="ＭＳ ゴシック" w:hint="eastAsia"/>
                <w:sz w:val="22"/>
                <w:szCs w:val="22"/>
              </w:rPr>
              <w:t>第３フェーズ</w:t>
            </w:r>
          </w:p>
        </w:tc>
        <w:tc>
          <w:tcPr>
            <w:tcW w:w="7884" w:type="dxa"/>
          </w:tcPr>
          <w:p w14:paraId="7AB4FFF6" w14:textId="77777777" w:rsidR="008B4B2B" w:rsidRPr="001D6D10" w:rsidRDefault="008B4B2B" w:rsidP="008B4B2B">
            <w:pPr>
              <w:rPr>
                <w:rFonts w:ascii="ＭＳ ゴシック" w:eastAsia="ＭＳ ゴシック" w:hAnsi="ＭＳ ゴシック"/>
                <w:sz w:val="22"/>
                <w:szCs w:val="22"/>
              </w:rPr>
            </w:pPr>
            <w:r w:rsidRPr="001D6D10">
              <w:rPr>
                <w:rFonts w:ascii="ＭＳ ゴシック" w:eastAsia="ＭＳ ゴシック" w:hAnsi="ＭＳ ゴシック" w:hint="eastAsia"/>
                <w:sz w:val="22"/>
                <w:szCs w:val="22"/>
              </w:rPr>
              <w:t>的確な現地医療及び後方医療活動、個別疾病対策の実施</w:t>
            </w:r>
          </w:p>
        </w:tc>
      </w:tr>
    </w:tbl>
    <w:p w14:paraId="1C4AB457" w14:textId="77777777" w:rsidR="008B4B2B" w:rsidRPr="001D6D10" w:rsidRDefault="008B4B2B" w:rsidP="008B4B2B">
      <w:pPr>
        <w:rPr>
          <w:rFonts w:ascii="ＭＳ ゴシック" w:eastAsia="ＭＳ ゴシック" w:hAnsi="ＭＳ ゴシック"/>
          <w:sz w:val="22"/>
          <w:szCs w:val="22"/>
        </w:rPr>
      </w:pPr>
    </w:p>
    <w:p w14:paraId="78F532B0" w14:textId="3260BEDC" w:rsidR="008B4B2B" w:rsidRPr="001D6D10" w:rsidRDefault="008B4B2B" w:rsidP="008B4B2B">
      <w:pPr>
        <w:overflowPunct w:val="0"/>
        <w:autoSpaceDE w:val="0"/>
        <w:autoSpaceDN w:val="0"/>
        <w:ind w:leftChars="100" w:left="211" w:firstLineChars="99" w:firstLine="219"/>
        <w:rPr>
          <w:rFonts w:ascii="ＭＳ 明朝" w:hAnsi="ＭＳ 明朝"/>
          <w:sz w:val="22"/>
          <w:szCs w:val="22"/>
        </w:rPr>
      </w:pPr>
      <w:r w:rsidRPr="001D6D10">
        <w:rPr>
          <w:rFonts w:ascii="ＭＳ 明朝" w:hAnsi="ＭＳ 明朝" w:hint="eastAsia"/>
          <w:sz w:val="22"/>
          <w:szCs w:val="22"/>
        </w:rPr>
        <w:t>府は、防災計画に記載の役割分担を踏まえ、「大阪府災害時医療救護活動マニュアル」、「大阪ＤＰＡＴ</w:t>
      </w:r>
      <w:r w:rsidR="002A07A1" w:rsidRPr="001D6D10">
        <w:rPr>
          <w:rFonts w:ascii="ＭＳ 明朝" w:hAnsi="ＭＳ 明朝" w:hint="eastAsia"/>
          <w:sz w:val="22"/>
          <w:szCs w:val="22"/>
        </w:rPr>
        <w:t>活動マニュアル</w:t>
      </w:r>
      <w:r w:rsidRPr="001D6D10">
        <w:rPr>
          <w:rFonts w:ascii="ＭＳ 明朝" w:hAnsi="ＭＳ 明朝" w:hint="eastAsia"/>
          <w:sz w:val="22"/>
          <w:szCs w:val="22"/>
        </w:rPr>
        <w:t>」及び「災害救助法による医療等に関する業務委託契約書（日本赤十字社大阪府支部）」などを踏まえ、保健医療活動を次のとおり行う。</w:t>
      </w:r>
    </w:p>
    <w:p w14:paraId="71A675E8" w14:textId="77777777" w:rsidR="008B4B2B" w:rsidRPr="001D6D10" w:rsidRDefault="008B4B2B" w:rsidP="008B4B2B">
      <w:pPr>
        <w:rPr>
          <w:rFonts w:ascii="ＭＳ ゴシック" w:eastAsia="ＭＳ ゴシック" w:hAnsi="ＭＳ ゴシック"/>
          <w:sz w:val="22"/>
          <w:szCs w:val="22"/>
        </w:rPr>
      </w:pPr>
    </w:p>
    <w:p w14:paraId="1A063BBF" w14:textId="77777777" w:rsidR="008B4B2B" w:rsidRPr="001D6D10" w:rsidRDefault="008B4B2B" w:rsidP="008B4B2B">
      <w:pPr>
        <w:rPr>
          <w:rFonts w:ascii="ＭＳ ゴシック" w:eastAsia="ＭＳ ゴシック" w:hAnsi="ＭＳ ゴシック"/>
          <w:sz w:val="22"/>
          <w:szCs w:val="22"/>
        </w:rPr>
      </w:pPr>
      <w:r w:rsidRPr="001D6D10">
        <w:rPr>
          <w:rFonts w:ascii="ＭＳ ゴシック" w:eastAsia="ＭＳ ゴシック" w:hAnsi="ＭＳ ゴシック" w:hint="eastAsia"/>
          <w:noProof/>
          <w:sz w:val="22"/>
          <w:szCs w:val="22"/>
        </w:rPr>
        <mc:AlternateContent>
          <mc:Choice Requires="wps">
            <w:drawing>
              <wp:anchor distT="0" distB="0" distL="114300" distR="114300" simplePos="0" relativeHeight="253186048" behindDoc="0" locked="0" layoutInCell="1" allowOverlap="1" wp14:anchorId="6A037AE3" wp14:editId="3BDB6885">
                <wp:simplePos x="0" y="0"/>
                <wp:positionH relativeFrom="column">
                  <wp:posOffset>348615</wp:posOffset>
                </wp:positionH>
                <wp:positionV relativeFrom="paragraph">
                  <wp:posOffset>115570</wp:posOffset>
                </wp:positionV>
                <wp:extent cx="2070100" cy="342900"/>
                <wp:effectExtent l="0" t="0" r="25400" b="19050"/>
                <wp:wrapNone/>
                <wp:docPr id="4110" name="Oval 238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070100" cy="342900"/>
                        </a:xfrm>
                        <a:prstGeom prst="ellipse">
                          <a:avLst/>
                        </a:prstGeom>
                        <a:solidFill>
                          <a:srgbClr val="FFFFFF"/>
                        </a:solidFill>
                        <a:ln w="9525">
                          <a:solidFill>
                            <a:srgbClr val="000000"/>
                          </a:solidFill>
                          <a:round/>
                          <a:headEnd/>
                          <a:tailEnd/>
                        </a:ln>
                      </wps:spPr>
                      <wps:txbx>
                        <w:txbxContent>
                          <w:p w14:paraId="01B14C8B" w14:textId="77777777" w:rsidR="006A5267" w:rsidRPr="003641E1" w:rsidRDefault="006A5267" w:rsidP="008B4B2B">
                            <w:pPr>
                              <w:rPr>
                                <w:rFonts w:ascii="ＭＳ ゴシック" w:eastAsia="ＭＳ ゴシック" w:hAnsi="ＭＳ ゴシック"/>
                                <w:sz w:val="22"/>
                                <w:szCs w:val="22"/>
                              </w:rPr>
                            </w:pPr>
                            <w:r w:rsidRPr="00113D47">
                              <w:rPr>
                                <w:rFonts w:ascii="ＭＳ ゴシック" w:eastAsia="ＭＳ ゴシック" w:hAnsi="ＭＳ ゴシック" w:hint="eastAsia"/>
                                <w:sz w:val="22"/>
                                <w:szCs w:val="22"/>
                              </w:rPr>
                              <w:t>保健</w:t>
                            </w:r>
                            <w:r>
                              <w:rPr>
                                <w:rFonts w:ascii="ＭＳ ゴシック" w:eastAsia="ＭＳ ゴシック" w:hAnsi="ＭＳ ゴシック" w:hint="eastAsia"/>
                                <w:sz w:val="22"/>
                                <w:szCs w:val="22"/>
                              </w:rPr>
                              <w:t>医療活動の流れ</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oval w14:anchorId="6A037AE3" id="Oval 2383" o:spid="_x0000_s1371" style="position:absolute;left:0;text-align:left;margin-left:27.45pt;margin-top:9.1pt;width:163pt;height:27pt;z-index:2531860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">
                <v:textbox inset="5.85pt,.7pt,5.85pt,.7pt">
                  <w:txbxContent>
                    <w:p w14:paraId="01B14C8B" w14:textId="77777777" w:rsidR="006A5267" w:rsidRPr="003641E1" w:rsidRDefault="006A5267" w:rsidP="008B4B2B">
                      <w:pPr>
                        <w:rPr>
                          <w:rFonts w:ascii="ＭＳ ゴシック" w:eastAsia="ＭＳ ゴシック" w:hAnsi="ＭＳ ゴシック"/>
                          <w:sz w:val="22"/>
                          <w:szCs w:val="22"/>
                        </w:rPr>
                      </w:pPr>
                      <w:r w:rsidRPr="00113D47">
                        <w:rPr>
                          <w:rFonts w:ascii="ＭＳ ゴシック" w:eastAsia="ＭＳ ゴシック" w:hAnsi="ＭＳ ゴシック" w:hint="eastAsia"/>
                          <w:sz w:val="22"/>
                          <w:szCs w:val="22"/>
                        </w:rPr>
                        <w:t>保健</w:t>
                      </w:r>
                      <w:r>
                        <w:rPr>
                          <w:rFonts w:ascii="ＭＳ ゴシック" w:eastAsia="ＭＳ ゴシック" w:hAnsi="ＭＳ ゴシック" w:hint="eastAsia"/>
                          <w:sz w:val="22"/>
                          <w:szCs w:val="22"/>
                        </w:rPr>
                        <w:t>医療活動の流れ</w:t>
                      </w:r>
                    </w:p>
                  </w:txbxContent>
                </v:textbox>
              </v:oval>
            </w:pict>
          </mc:Fallback>
        </mc:AlternateContent>
      </w:r>
    </w:p>
    <w:p w14:paraId="7C2EC89A" w14:textId="77777777" w:rsidR="008B4B2B" w:rsidRPr="001D6D10" w:rsidRDefault="008B4B2B" w:rsidP="008B4B2B">
      <w:pPr>
        <w:rPr>
          <w:rFonts w:ascii="ＭＳ ゴシック" w:eastAsia="ＭＳ ゴシック" w:hAnsi="ＭＳ ゴシック"/>
          <w:sz w:val="22"/>
          <w:szCs w:val="22"/>
        </w:rPr>
      </w:pPr>
    </w:p>
    <w:p w14:paraId="29D2C152" w14:textId="77777777" w:rsidR="008B4B2B" w:rsidRPr="001D6D10" w:rsidRDefault="008B4B2B" w:rsidP="008B4B2B">
      <w:pPr>
        <w:rPr>
          <w:rFonts w:ascii="ＭＳ ゴシック" w:eastAsia="ＭＳ ゴシック" w:hAnsi="ＭＳ ゴシック"/>
          <w:sz w:val="22"/>
          <w:szCs w:val="22"/>
        </w:rPr>
      </w:pPr>
    </w:p>
    <w:p w14:paraId="154F268E" w14:textId="77777777" w:rsidR="008B4B2B" w:rsidRPr="001D6D10" w:rsidRDefault="008B4B2B" w:rsidP="008B4B2B">
      <w:pPr>
        <w:rPr>
          <w:rFonts w:ascii="ＭＳ ゴシック" w:eastAsia="ＭＳ ゴシック" w:hAnsi="ＭＳ ゴシック"/>
          <w:sz w:val="22"/>
          <w:szCs w:val="22"/>
        </w:rPr>
      </w:pPr>
      <w:r w:rsidRPr="001D6D10">
        <w:rPr>
          <w:rFonts w:ascii="ＭＳ ゴシック" w:eastAsia="ＭＳ ゴシック" w:hAnsi="ＭＳ ゴシック" w:hint="eastAsia"/>
          <w:noProof/>
          <w:sz w:val="22"/>
          <w:szCs w:val="22"/>
        </w:rPr>
        <mc:AlternateContent>
          <mc:Choice Requires="wps">
            <w:drawing>
              <wp:anchor distT="0" distB="0" distL="114300" distR="114300" simplePos="0" relativeHeight="253200384" behindDoc="0" locked="0" layoutInCell="1" allowOverlap="1" wp14:anchorId="486EFD80" wp14:editId="6B457C5F">
                <wp:simplePos x="0" y="0"/>
                <wp:positionH relativeFrom="column">
                  <wp:posOffset>3429000</wp:posOffset>
                </wp:positionH>
                <wp:positionV relativeFrom="paragraph">
                  <wp:posOffset>0</wp:posOffset>
                </wp:positionV>
                <wp:extent cx="1828800" cy="342900"/>
                <wp:effectExtent l="9525" t="9525" r="9525" b="9525"/>
                <wp:wrapNone/>
                <wp:docPr id="4109" name="AutoShape 239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28800" cy="342900"/>
                        </a:xfrm>
                        <a:prstGeom prst="roundRect">
                          <a:avLst>
                            <a:gd name="adj" fmla="val 16667"/>
                          </a:avLst>
                        </a:prstGeom>
                        <a:solidFill>
                          <a:srgbClr val="FFFFFF"/>
                        </a:solidFill>
                        <a:ln w="9525">
                          <a:solidFill>
                            <a:srgbClr val="000000"/>
                          </a:solidFill>
                          <a:round/>
                          <a:headEnd/>
                          <a:tailEnd/>
                        </a:ln>
                      </wps:spPr>
                      <wps:txbx>
                        <w:txbxContent>
                          <w:p w14:paraId="60333CAE" w14:textId="77777777" w:rsidR="006A5267" w:rsidRPr="00650C0F" w:rsidRDefault="006A5267" w:rsidP="008B4B2B">
                            <w:pPr>
                              <w:jc w:val="center"/>
                              <w:rPr>
                                <w:rFonts w:ascii="ＭＳ ゴシック" w:eastAsia="ＭＳ ゴシック" w:hAnsi="ＭＳ ゴシック"/>
                                <w:sz w:val="24"/>
                              </w:rPr>
                            </w:pPr>
                            <w:r>
                              <w:rPr>
                                <w:rFonts w:ascii="ＭＳ ゴシック" w:eastAsia="ＭＳ ゴシック" w:hAnsi="ＭＳ ゴシック" w:hint="eastAsia"/>
                                <w:sz w:val="24"/>
                              </w:rPr>
                              <w:t>被　災　地　域　外</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roundrect w14:anchorId="486EFD80" id="AutoShape 2397" o:spid="_x0000_s1372" style="position:absolute;left:0;text-align:left;margin-left:270pt;margin-top:0;width:2in;height:27pt;z-index:253200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">
                <v:textbox inset="5.85pt,.7pt,5.85pt,.7pt">
                  <w:txbxContent>
                    <w:p w14:paraId="60333CAE" w14:textId="77777777" w:rsidR="006A5267" w:rsidRPr="00650C0F" w:rsidRDefault="006A5267" w:rsidP="008B4B2B">
                      <w:pPr>
                        <w:jc w:val="center"/>
                        <w:rPr>
                          <w:rFonts w:ascii="ＭＳ ゴシック" w:eastAsia="ＭＳ ゴシック" w:hAnsi="ＭＳ ゴシック"/>
                          <w:sz w:val="24"/>
                        </w:rPr>
                      </w:pPr>
                      <w:r>
                        <w:rPr>
                          <w:rFonts w:ascii="ＭＳ ゴシック" w:eastAsia="ＭＳ ゴシック" w:hAnsi="ＭＳ ゴシック" w:hint="eastAsia"/>
                          <w:sz w:val="24"/>
                        </w:rPr>
                        <w:t>被　災　地　域　外</w:t>
                      </w:r>
                    </w:p>
                  </w:txbxContent>
                </v:textbox>
              </v:roundrect>
            </w:pict>
          </mc:Fallback>
        </mc:AlternateContent>
      </w:r>
      <w:r w:rsidRPr="001D6D10">
        <w:rPr>
          <w:rFonts w:ascii="ＭＳ ゴシック" w:eastAsia="ＭＳ ゴシック" w:hAnsi="ＭＳ ゴシック" w:hint="eastAsia"/>
          <w:noProof/>
          <w:sz w:val="22"/>
          <w:szCs w:val="22"/>
        </w:rPr>
        <mc:AlternateContent>
          <mc:Choice Requires="wps">
            <w:drawing>
              <wp:anchor distT="0" distB="0" distL="114300" distR="114300" simplePos="0" relativeHeight="253201408" behindDoc="0" locked="0" layoutInCell="1" allowOverlap="1" wp14:anchorId="4C024F72" wp14:editId="63C14258">
                <wp:simplePos x="0" y="0"/>
                <wp:positionH relativeFrom="column">
                  <wp:posOffset>342900</wp:posOffset>
                </wp:positionH>
                <wp:positionV relativeFrom="paragraph">
                  <wp:posOffset>0</wp:posOffset>
                </wp:positionV>
                <wp:extent cx="1828800" cy="342900"/>
                <wp:effectExtent l="9525" t="9525" r="9525" b="9525"/>
                <wp:wrapNone/>
                <wp:docPr id="4108" name="AutoShape 239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28800" cy="342900"/>
                        </a:xfrm>
                        <a:prstGeom prst="roundRect">
                          <a:avLst>
                            <a:gd name="adj" fmla="val 16667"/>
                          </a:avLst>
                        </a:prstGeom>
                        <a:solidFill>
                          <a:srgbClr val="FFFFFF"/>
                        </a:solidFill>
                        <a:ln w="9525">
                          <a:solidFill>
                            <a:srgbClr val="000000"/>
                          </a:solidFill>
                          <a:round/>
                          <a:headEnd/>
                          <a:tailEnd/>
                        </a:ln>
                      </wps:spPr>
                      <wps:txbx>
                        <w:txbxContent>
                          <w:p w14:paraId="5EA4805B" w14:textId="77777777" w:rsidR="006A5267" w:rsidRPr="00650C0F" w:rsidRDefault="006A5267" w:rsidP="008B4B2B">
                            <w:pPr>
                              <w:jc w:val="center"/>
                              <w:rPr>
                                <w:rFonts w:ascii="ＭＳ ゴシック" w:eastAsia="ＭＳ ゴシック" w:hAnsi="ＭＳ ゴシック"/>
                                <w:sz w:val="24"/>
                              </w:rPr>
                            </w:pPr>
                            <w:r>
                              <w:rPr>
                                <w:rFonts w:ascii="ＭＳ ゴシック" w:eastAsia="ＭＳ ゴシック" w:hAnsi="ＭＳ ゴシック" w:hint="eastAsia"/>
                                <w:sz w:val="24"/>
                              </w:rPr>
                              <w:t>被　災　地　域</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roundrect w14:anchorId="4C024F72" id="AutoShape 2398" o:spid="_x0000_s1373" style="position:absolute;left:0;text-align:left;margin-left:27pt;margin-top:0;width:2in;height:27pt;z-index:253201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">
                <v:textbox inset="5.85pt,.7pt,5.85pt,.7pt">
                  <w:txbxContent>
                    <w:p w14:paraId="5EA4805B" w14:textId="77777777" w:rsidR="006A5267" w:rsidRPr="00650C0F" w:rsidRDefault="006A5267" w:rsidP="008B4B2B">
                      <w:pPr>
                        <w:jc w:val="center"/>
                        <w:rPr>
                          <w:rFonts w:ascii="ＭＳ ゴシック" w:eastAsia="ＭＳ ゴシック" w:hAnsi="ＭＳ ゴシック"/>
                          <w:sz w:val="24"/>
                        </w:rPr>
                      </w:pPr>
                      <w:r>
                        <w:rPr>
                          <w:rFonts w:ascii="ＭＳ ゴシック" w:eastAsia="ＭＳ ゴシック" w:hAnsi="ＭＳ ゴシック" w:hint="eastAsia"/>
                          <w:sz w:val="24"/>
                        </w:rPr>
                        <w:t>被　災　地　域</w:t>
                      </w:r>
                    </w:p>
                  </w:txbxContent>
                </v:textbox>
              </v:roundrect>
            </w:pict>
          </mc:Fallback>
        </mc:AlternateContent>
      </w:r>
      <w:r w:rsidRPr="001D6D10">
        <w:rPr>
          <w:rFonts w:ascii="ＭＳ ゴシック" w:eastAsia="ＭＳ ゴシック" w:hAnsi="ＭＳ ゴシック" w:hint="eastAsia"/>
          <w:noProof/>
          <w:sz w:val="22"/>
          <w:szCs w:val="22"/>
        </w:rPr>
        <mc:AlternateContent>
          <mc:Choice Requires="wps">
            <w:drawing>
              <wp:anchor distT="0" distB="0" distL="114300" distR="114300" simplePos="0" relativeHeight="253187072" behindDoc="1" locked="0" layoutInCell="1" allowOverlap="1" wp14:anchorId="3BAA113B" wp14:editId="081B114C">
                <wp:simplePos x="0" y="0"/>
                <wp:positionH relativeFrom="column">
                  <wp:posOffset>114300</wp:posOffset>
                </wp:positionH>
                <wp:positionV relativeFrom="paragraph">
                  <wp:posOffset>114300</wp:posOffset>
                </wp:positionV>
                <wp:extent cx="2400300" cy="3771900"/>
                <wp:effectExtent l="9525" t="9525" r="9525" b="9525"/>
                <wp:wrapNone/>
                <wp:docPr id="4107" name="AutoShape 238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400300" cy="3771900"/>
                        </a:xfrm>
                        <a:prstGeom prst="octagon">
                          <a:avLst>
                            <a:gd name="adj" fmla="val 29287"/>
                          </a:avLst>
                        </a:prstGeom>
                        <a:solidFill>
                          <a:srgbClr val="FFFFFF"/>
                        </a:solidFill>
                        <a:ln w="9525">
                          <a:solidFill>
                            <a:srgbClr val="000000"/>
                          </a:solidFill>
                          <a:miter lim="800000"/>
                          <a:headEnd/>
                          <a:tailEnd/>
                        </a:ln>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shape w14:anchorId="43932DB8" id="AutoShape 2384" o:spid="_x0000_s1026" type="#_x0000_t10" style="position:absolute;left:0;text-align:left;margin-left:9pt;margin-top:9pt;width:189pt;height:297pt;z-index:-250129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">
                <v:textbox inset="5.85pt,.7pt,5.85pt,.7pt"/>
              </v:shape>
            </w:pict>
          </mc:Fallback>
        </mc:AlternateContent>
      </w:r>
    </w:p>
    <w:p w14:paraId="1886DF2B" w14:textId="77777777" w:rsidR="008B4B2B" w:rsidRPr="001D6D10" w:rsidRDefault="008B4B2B" w:rsidP="008B4B2B">
      <w:pPr>
        <w:rPr>
          <w:rFonts w:ascii="ＭＳ ゴシック" w:eastAsia="ＭＳ ゴシック" w:hAnsi="ＭＳ ゴシック"/>
          <w:sz w:val="22"/>
          <w:szCs w:val="22"/>
        </w:rPr>
      </w:pPr>
      <w:r w:rsidRPr="001D6D10">
        <w:rPr>
          <w:rFonts w:ascii="ＭＳ ゴシック" w:eastAsia="ＭＳ ゴシック" w:hAnsi="ＭＳ ゴシック" w:hint="eastAsia"/>
          <w:noProof/>
          <w:sz w:val="22"/>
          <w:szCs w:val="22"/>
        </w:rPr>
        <mc:AlternateContent>
          <mc:Choice Requires="wps">
            <w:drawing>
              <wp:anchor distT="0" distB="0" distL="114300" distR="114300" simplePos="0" relativeHeight="253190144" behindDoc="0" locked="0" layoutInCell="1" allowOverlap="1" wp14:anchorId="405E7496" wp14:editId="11735698">
                <wp:simplePos x="0" y="0"/>
                <wp:positionH relativeFrom="column">
                  <wp:posOffset>3200400</wp:posOffset>
                </wp:positionH>
                <wp:positionV relativeFrom="paragraph">
                  <wp:posOffset>0</wp:posOffset>
                </wp:positionV>
                <wp:extent cx="2400300" cy="3657600"/>
                <wp:effectExtent l="9525" t="9525" r="9525" b="9525"/>
                <wp:wrapNone/>
                <wp:docPr id="4106" name="AutoShape 238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400300" cy="3657600"/>
                        </a:xfrm>
                        <a:prstGeom prst="octagon">
                          <a:avLst>
                            <a:gd name="adj" fmla="val 29287"/>
                          </a:avLst>
                        </a:prstGeom>
                        <a:solidFill>
                          <a:srgbClr val="FFFFFF"/>
                        </a:solidFill>
                        <a:ln w="9525">
                          <a:solidFill>
                            <a:srgbClr val="000000"/>
                          </a:solidFill>
                          <a:miter lim="800000"/>
                          <a:headEnd/>
                          <a:tailEnd/>
                        </a:ln>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shape w14:anchorId="691287A9" id="AutoShape 2387" o:spid="_x0000_s1026" type="#_x0000_t10" style="position:absolute;left:0;text-align:left;margin-left:252pt;margin-top:0;width:189pt;height:4in;z-index:2531901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">
                <v:textbox inset="5.85pt,.7pt,5.85pt,.7pt"/>
              </v:shape>
            </w:pict>
          </mc:Fallback>
        </mc:AlternateContent>
      </w:r>
    </w:p>
    <w:p w14:paraId="092C3656" w14:textId="77777777" w:rsidR="008B4B2B" w:rsidRPr="001D6D10" w:rsidRDefault="008B4B2B" w:rsidP="008B4B2B">
      <w:pPr>
        <w:rPr>
          <w:rFonts w:ascii="ＭＳ ゴシック" w:eastAsia="ＭＳ ゴシック" w:hAnsi="ＭＳ ゴシック"/>
          <w:sz w:val="22"/>
          <w:szCs w:val="22"/>
        </w:rPr>
      </w:pPr>
      <w:r w:rsidRPr="001D6D10">
        <w:rPr>
          <w:rFonts w:ascii="ＭＳ ゴシック" w:eastAsia="ＭＳ ゴシック" w:hAnsi="ＭＳ ゴシック" w:hint="eastAsia"/>
          <w:noProof/>
          <w:sz w:val="22"/>
          <w:szCs w:val="22"/>
        </w:rPr>
        <mc:AlternateContent>
          <mc:Choice Requires="wps">
            <w:drawing>
              <wp:anchor distT="0" distB="0" distL="114300" distR="114300" simplePos="0" relativeHeight="253191168" behindDoc="0" locked="0" layoutInCell="1" allowOverlap="1" wp14:anchorId="04AA83C8" wp14:editId="10CDD1B9">
                <wp:simplePos x="0" y="0"/>
                <wp:positionH relativeFrom="column">
                  <wp:posOffset>3771900</wp:posOffset>
                </wp:positionH>
                <wp:positionV relativeFrom="paragraph">
                  <wp:posOffset>114300</wp:posOffset>
                </wp:positionV>
                <wp:extent cx="1257300" cy="1064260"/>
                <wp:effectExtent l="9525" t="9525" r="9525" b="12065"/>
                <wp:wrapNone/>
                <wp:docPr id="4105" name="AutoShape 238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57300" cy="1064260"/>
                        </a:xfrm>
                        <a:prstGeom prst="roundRect">
                          <a:avLst>
                            <a:gd name="adj" fmla="val 16667"/>
                          </a:avLst>
                        </a:prstGeom>
                        <a:solidFill>
                          <a:srgbClr val="FFFFFF"/>
                        </a:solidFill>
                        <a:ln w="9525">
                          <a:solidFill>
                            <a:srgbClr val="000000"/>
                          </a:solidFill>
                          <a:round/>
                          <a:headEnd/>
                          <a:tailEnd/>
                        </a:ln>
                      </wps:spPr>
                      <wps:txbx>
                        <w:txbxContent>
                          <w:p w14:paraId="2631DA75" w14:textId="77777777" w:rsidR="006A5267" w:rsidRDefault="006A5267" w:rsidP="008B4B2B">
                            <w:pPr>
                              <w:rPr>
                                <w:rFonts w:ascii="ＭＳ ゴシック" w:eastAsia="ＭＳ ゴシック" w:hAnsi="ＭＳ ゴシック"/>
                                <w:sz w:val="20"/>
                                <w:szCs w:val="20"/>
                              </w:rPr>
                            </w:pPr>
                            <w:r w:rsidRPr="00113D47">
                              <w:rPr>
                                <w:rFonts w:ascii="ＭＳ ゴシック" w:eastAsia="ＭＳ ゴシック" w:hAnsi="ＭＳ ゴシック" w:hint="eastAsia"/>
                                <w:sz w:val="20"/>
                                <w:szCs w:val="20"/>
                              </w:rPr>
                              <w:t>保健医療活動チーム</w:t>
                            </w:r>
                            <w:r>
                              <w:rPr>
                                <w:rFonts w:ascii="ＭＳ ゴシック" w:eastAsia="ＭＳ ゴシック" w:hAnsi="ＭＳ ゴシック" w:hint="eastAsia"/>
                                <w:sz w:val="20"/>
                                <w:szCs w:val="20"/>
                              </w:rPr>
                              <w:t>派遣</w:t>
                            </w:r>
                          </w:p>
                          <w:p w14:paraId="61968AD3" w14:textId="77777777" w:rsidR="006A5267" w:rsidRPr="00B666C1" w:rsidRDefault="006A5267" w:rsidP="008B4B2B">
                            <w:pPr>
                              <w:rPr>
                                <w:rFonts w:ascii="ＭＳ ゴシック" w:eastAsia="ＭＳ ゴシック" w:hAnsi="ＭＳ ゴシック"/>
                                <w:sz w:val="20"/>
                                <w:szCs w:val="20"/>
                              </w:rPr>
                            </w:pPr>
                            <w:r>
                              <w:rPr>
                                <w:rFonts w:ascii="ＭＳ ゴシック" w:eastAsia="ＭＳ ゴシック" w:hAnsi="ＭＳ ゴシック" w:hint="eastAsia"/>
                                <w:sz w:val="20"/>
                                <w:szCs w:val="20"/>
                              </w:rPr>
                              <w:t>医薬品等の供給</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roundrect w14:anchorId="04AA83C8" id="AutoShape 2388" o:spid="_x0000_s1374" style="position:absolute;left:0;text-align:left;margin-left:297pt;margin-top:9pt;width:99pt;height:83.8pt;z-index:253191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">
                <v:textbox inset="5.85pt,.7pt,5.85pt,.7pt">
                  <w:txbxContent>
                    <w:p w14:paraId="2631DA75" w14:textId="77777777" w:rsidR="006A5267" w:rsidRDefault="006A5267" w:rsidP="008B4B2B">
                      <w:pPr>
                        <w:rPr>
                          <w:rFonts w:ascii="ＭＳ ゴシック" w:eastAsia="ＭＳ ゴシック" w:hAnsi="ＭＳ ゴシック"/>
                          <w:sz w:val="20"/>
                          <w:szCs w:val="20"/>
                        </w:rPr>
                      </w:pPr>
                      <w:r w:rsidRPr="00113D47">
                        <w:rPr>
                          <w:rFonts w:ascii="ＭＳ ゴシック" w:eastAsia="ＭＳ ゴシック" w:hAnsi="ＭＳ ゴシック" w:hint="eastAsia"/>
                          <w:sz w:val="20"/>
                          <w:szCs w:val="20"/>
                        </w:rPr>
                        <w:t>保健医療活動チーム</w:t>
                      </w:r>
                      <w:r>
                        <w:rPr>
                          <w:rFonts w:ascii="ＭＳ ゴシック" w:eastAsia="ＭＳ ゴシック" w:hAnsi="ＭＳ ゴシック" w:hint="eastAsia"/>
                          <w:sz w:val="20"/>
                          <w:szCs w:val="20"/>
                        </w:rPr>
                        <w:t>派遣</w:t>
                      </w:r>
                    </w:p>
                    <w:p w14:paraId="61968AD3" w14:textId="77777777" w:rsidR="006A5267" w:rsidRPr="00B666C1" w:rsidRDefault="006A5267" w:rsidP="008B4B2B">
                      <w:pPr>
                        <w:rPr>
                          <w:rFonts w:ascii="ＭＳ ゴシック" w:eastAsia="ＭＳ ゴシック" w:hAnsi="ＭＳ ゴシック"/>
                          <w:sz w:val="20"/>
                          <w:szCs w:val="20"/>
                        </w:rPr>
                      </w:pPr>
                      <w:r>
                        <w:rPr>
                          <w:rFonts w:ascii="ＭＳ ゴシック" w:eastAsia="ＭＳ ゴシック" w:hAnsi="ＭＳ ゴシック" w:hint="eastAsia"/>
                          <w:sz w:val="20"/>
                          <w:szCs w:val="20"/>
                        </w:rPr>
                        <w:t>医薬品等の供給</w:t>
                      </w:r>
                    </w:p>
                  </w:txbxContent>
                </v:textbox>
              </v:roundrect>
            </w:pict>
          </mc:Fallback>
        </mc:AlternateContent>
      </w:r>
      <w:r w:rsidRPr="001D6D10">
        <w:rPr>
          <w:rFonts w:ascii="ＭＳ ゴシック" w:eastAsia="ＭＳ ゴシック" w:hAnsi="ＭＳ ゴシック" w:hint="eastAsia"/>
          <w:noProof/>
          <w:sz w:val="22"/>
          <w:szCs w:val="22"/>
        </w:rPr>
        <mc:AlternateContent>
          <mc:Choice Requires="wps">
            <w:drawing>
              <wp:anchor distT="0" distB="0" distL="114300" distR="114300" simplePos="0" relativeHeight="253188096" behindDoc="0" locked="0" layoutInCell="1" allowOverlap="1" wp14:anchorId="1A39466E" wp14:editId="42F36B24">
                <wp:simplePos x="0" y="0"/>
                <wp:positionH relativeFrom="column">
                  <wp:posOffset>571500</wp:posOffset>
                </wp:positionH>
                <wp:positionV relativeFrom="paragraph">
                  <wp:posOffset>114300</wp:posOffset>
                </wp:positionV>
                <wp:extent cx="1257300" cy="342900"/>
                <wp:effectExtent l="9525" t="9525" r="9525" b="9525"/>
                <wp:wrapNone/>
                <wp:docPr id="4104" name="Oval 238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57300" cy="342900"/>
                        </a:xfrm>
                        <a:prstGeom prst="ellipse">
                          <a:avLst/>
                        </a:prstGeom>
                        <a:solidFill>
                          <a:srgbClr val="FFFFFF"/>
                        </a:solidFill>
                        <a:ln w="9525">
                          <a:solidFill>
                            <a:srgbClr val="000000"/>
                          </a:solidFill>
                          <a:round/>
                          <a:headEnd/>
                          <a:tailEnd/>
                        </a:ln>
                      </wps:spPr>
                      <wps:txbx>
                        <w:txbxContent>
                          <w:p w14:paraId="514D75DA" w14:textId="77777777" w:rsidR="006A5267" w:rsidRPr="003641E1" w:rsidRDefault="006A5267" w:rsidP="008B4B2B">
                            <w:pPr>
                              <w:rPr>
                                <w:rFonts w:ascii="ＭＳ ゴシック" w:eastAsia="ＭＳ ゴシック" w:hAnsi="ＭＳ ゴシック"/>
                                <w:sz w:val="20"/>
                                <w:szCs w:val="20"/>
                              </w:rPr>
                            </w:pPr>
                            <w:r>
                              <w:rPr>
                                <w:rFonts w:ascii="ＭＳ ゴシック" w:eastAsia="ＭＳ ゴシック" w:hAnsi="ＭＳ ゴシック" w:hint="eastAsia"/>
                                <w:sz w:val="20"/>
                                <w:szCs w:val="20"/>
                              </w:rPr>
                              <w:t>現地医療活動</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oval w14:anchorId="1A39466E" id="Oval 2385" o:spid="_x0000_s1375" style="position:absolute;left:0;text-align:left;margin-left:45pt;margin-top:9pt;width:99pt;height:27pt;z-index:2531880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">
                <v:textbox inset="5.85pt,.7pt,5.85pt,.7pt">
                  <w:txbxContent>
                    <w:p w14:paraId="514D75DA" w14:textId="77777777" w:rsidR="006A5267" w:rsidRPr="003641E1" w:rsidRDefault="006A5267" w:rsidP="008B4B2B">
                      <w:pPr>
                        <w:rPr>
                          <w:rFonts w:ascii="ＭＳ ゴシック" w:eastAsia="ＭＳ ゴシック" w:hAnsi="ＭＳ ゴシック"/>
                          <w:sz w:val="20"/>
                          <w:szCs w:val="20"/>
                        </w:rPr>
                      </w:pPr>
                      <w:r>
                        <w:rPr>
                          <w:rFonts w:ascii="ＭＳ ゴシック" w:eastAsia="ＭＳ ゴシック" w:hAnsi="ＭＳ ゴシック" w:hint="eastAsia"/>
                          <w:sz w:val="20"/>
                          <w:szCs w:val="20"/>
                        </w:rPr>
                        <w:t>現地医療活動</w:t>
                      </w:r>
                    </w:p>
                  </w:txbxContent>
                </v:textbox>
              </v:oval>
            </w:pict>
          </mc:Fallback>
        </mc:AlternateContent>
      </w:r>
    </w:p>
    <w:p w14:paraId="002D4030" w14:textId="77777777" w:rsidR="008B4B2B" w:rsidRPr="001D6D10" w:rsidRDefault="008B4B2B" w:rsidP="008B4B2B">
      <w:pPr>
        <w:rPr>
          <w:rFonts w:ascii="ＭＳ ゴシック" w:eastAsia="ＭＳ ゴシック" w:hAnsi="ＭＳ ゴシック"/>
          <w:sz w:val="22"/>
          <w:szCs w:val="22"/>
        </w:rPr>
      </w:pPr>
      <w:r w:rsidRPr="001D6D10">
        <w:rPr>
          <w:rFonts w:ascii="ＭＳ ゴシック" w:eastAsia="ＭＳ ゴシック" w:hAnsi="ＭＳ ゴシック" w:hint="eastAsia"/>
          <w:noProof/>
          <w:sz w:val="22"/>
          <w:szCs w:val="22"/>
        </w:rPr>
        <mc:AlternateContent>
          <mc:Choice Requires="wps">
            <w:drawing>
              <wp:anchor distT="0" distB="0" distL="114300" distR="114300" simplePos="0" relativeHeight="253202432" behindDoc="0" locked="0" layoutInCell="1" allowOverlap="1" wp14:anchorId="67A04205" wp14:editId="0F62221E">
                <wp:simplePos x="0" y="0"/>
                <wp:positionH relativeFrom="column">
                  <wp:posOffset>1943100</wp:posOffset>
                </wp:positionH>
                <wp:positionV relativeFrom="paragraph">
                  <wp:posOffset>114300</wp:posOffset>
                </wp:positionV>
                <wp:extent cx="1714500" cy="0"/>
                <wp:effectExtent l="28575" t="104775" r="19050" b="104775"/>
                <wp:wrapNone/>
                <wp:docPr id="4103" name="Line 239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1714500" cy="0"/>
                        </a:xfrm>
                        <a:prstGeom prst="line">
                          <a:avLst/>
                        </a:prstGeom>
                        <a:noFill/>
                        <a:ln w="31750">
                          <a:solidFill>
                            <a:srgbClr val="000000"/>
                          </a:solidFill>
                          <a:round/>
                          <a:headEnd/>
                          <a:tailEnd type="arrow"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line w14:anchorId="4B181829" id="Line 2399" o:spid="_x0000_s1026" style="position:absolute;left:0;text-align:left;flip:x;z-index:253202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53pt,9pt" to="4in,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" strokeweight="2.5pt">
                <v:stroke endarrow="open"/>
              </v:line>
            </w:pict>
          </mc:Fallback>
        </mc:AlternateContent>
      </w:r>
    </w:p>
    <w:p w14:paraId="630414BA" w14:textId="77777777" w:rsidR="008B4B2B" w:rsidRPr="001D6D10" w:rsidRDefault="008B4B2B" w:rsidP="008B4B2B">
      <w:pPr>
        <w:rPr>
          <w:rFonts w:ascii="ＭＳ ゴシック" w:eastAsia="ＭＳ ゴシック" w:hAnsi="ＭＳ ゴシック"/>
          <w:sz w:val="22"/>
          <w:szCs w:val="22"/>
        </w:rPr>
      </w:pPr>
      <w:r w:rsidRPr="001D6D10">
        <w:rPr>
          <w:rFonts w:ascii="ＭＳ ゴシック" w:eastAsia="ＭＳ ゴシック" w:hAnsi="ＭＳ ゴシック" w:hint="eastAsia"/>
          <w:noProof/>
          <w:sz w:val="22"/>
          <w:szCs w:val="22"/>
        </w:rPr>
        <mc:AlternateContent>
          <mc:Choice Requires="wps">
            <w:drawing>
              <wp:anchor distT="0" distB="0" distL="114300" distR="114300" simplePos="0" relativeHeight="253199360" behindDoc="0" locked="0" layoutInCell="1" allowOverlap="1" wp14:anchorId="6244542E" wp14:editId="42C38ACD">
                <wp:simplePos x="0" y="0"/>
                <wp:positionH relativeFrom="column">
                  <wp:posOffset>457200</wp:posOffset>
                </wp:positionH>
                <wp:positionV relativeFrom="paragraph">
                  <wp:posOffset>169545</wp:posOffset>
                </wp:positionV>
                <wp:extent cx="228600" cy="342900"/>
                <wp:effectExtent l="0" t="0" r="0" b="1905"/>
                <wp:wrapNone/>
                <wp:docPr id="4102" name="Text Box 239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8600" cy="3429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F27FAAF" w14:textId="77777777" w:rsidR="006A5267" w:rsidRPr="00650C0F" w:rsidRDefault="006A5267" w:rsidP="008B4B2B">
                            <w:pPr>
                              <w:spacing w:line="240" w:lineRule="exact"/>
                              <w:rPr>
                                <w:rFonts w:ascii="ＭＳ ゴシック" w:eastAsia="ＭＳ ゴシック" w:hAnsi="ＭＳ ゴシック"/>
                                <w:sz w:val="20"/>
                                <w:szCs w:val="20"/>
                              </w:rPr>
                            </w:pPr>
                            <w:r>
                              <w:rPr>
                                <w:rFonts w:ascii="ＭＳ ゴシック" w:eastAsia="ＭＳ ゴシック" w:hAnsi="ＭＳ ゴシック" w:hint="eastAsia"/>
                                <w:sz w:val="20"/>
                                <w:szCs w:val="20"/>
                              </w:rPr>
                              <w:t>救出</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shape w14:anchorId="6244542E" id="Text Box 2396" o:spid="_x0000_s1376" type="#_x0000_t202" style="position:absolute;left:0;text-align:left;margin-left:36pt;margin-top:13.35pt;width:18pt;height:27pt;z-index:253199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" filled="f" stroked="f">
                <v:textbox inset="5.85pt,.7pt,5.85pt,.7pt">
                  <w:txbxContent>
                    <w:p w14:paraId="0F27FAAF" w14:textId="77777777" w:rsidR="006A5267" w:rsidRPr="00650C0F" w:rsidRDefault="006A5267" w:rsidP="008B4B2B">
                      <w:pPr>
                        <w:spacing w:line="240" w:lineRule="exact"/>
                        <w:rPr>
                          <w:rFonts w:ascii="ＭＳ ゴシック" w:eastAsia="ＭＳ ゴシック" w:hAnsi="ＭＳ ゴシック"/>
                          <w:sz w:val="20"/>
                          <w:szCs w:val="20"/>
                        </w:rPr>
                      </w:pPr>
                      <w:r>
                        <w:rPr>
                          <w:rFonts w:ascii="ＭＳ ゴシック" w:eastAsia="ＭＳ ゴシック" w:hAnsi="ＭＳ ゴシック" w:hint="eastAsia"/>
                          <w:sz w:val="20"/>
                          <w:szCs w:val="20"/>
                        </w:rPr>
                        <w:t>救出</w:t>
                      </w:r>
                    </w:p>
                  </w:txbxContent>
                </v:textbox>
              </v:shape>
            </w:pict>
          </mc:Fallback>
        </mc:AlternateContent>
      </w:r>
      <w:r w:rsidRPr="001D6D10">
        <w:rPr>
          <w:rFonts w:ascii="ＭＳ ゴシック" w:eastAsia="ＭＳ ゴシック" w:hAnsi="ＭＳ ゴシック" w:hint="eastAsia"/>
          <w:noProof/>
          <w:sz w:val="22"/>
          <w:szCs w:val="22"/>
        </w:rPr>
        <mc:AlternateContent>
          <mc:Choice Requires="wps">
            <w:drawing>
              <wp:anchor distT="0" distB="0" distL="114300" distR="114300" simplePos="0" relativeHeight="253198336" behindDoc="0" locked="0" layoutInCell="1" allowOverlap="1" wp14:anchorId="2656DF72" wp14:editId="62B0B343">
                <wp:simplePos x="0" y="0"/>
                <wp:positionH relativeFrom="column">
                  <wp:posOffset>781050</wp:posOffset>
                </wp:positionH>
                <wp:positionV relativeFrom="paragraph">
                  <wp:posOffset>114300</wp:posOffset>
                </wp:positionV>
                <wp:extent cx="133350" cy="1600200"/>
                <wp:effectExtent l="19050" t="19050" r="104775" b="47625"/>
                <wp:wrapNone/>
                <wp:docPr id="4101" name="Freeform 239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33350" cy="1600200"/>
                        </a:xfrm>
                        <a:custGeom>
                          <a:avLst/>
                          <a:gdLst>
                            <a:gd name="T0" fmla="*/ 30 w 210"/>
                            <a:gd name="T1" fmla="*/ 0 h 2520"/>
                            <a:gd name="T2" fmla="*/ 30 w 210"/>
                            <a:gd name="T3" fmla="*/ 1260 h 2520"/>
                            <a:gd name="T4" fmla="*/ 210 w 210"/>
                            <a:gd name="T5" fmla="*/ 2520 h 2520"/>
                          </a:gdLst>
                          <a:ahLst/>
                          <a:cxnLst>
                            <a:cxn ang="0">
                              <a:pos x="T0" y="T1"/>
                            </a:cxn>
                            <a:cxn ang="0">
                              <a:pos x="T2" y="T3"/>
                            </a:cxn>
                            <a:cxn ang="0">
                              <a:pos x="T4" y="T5"/>
                            </a:cxn>
                          </a:cxnLst>
                          <a:rect l="0" t="0" r="r" b="b"/>
                          <a:pathLst>
                            <a:path w="210" h="2520">
                              <a:moveTo>
                                <a:pt x="30" y="0"/>
                              </a:moveTo>
                              <a:cubicBezTo>
                                <a:pt x="15" y="420"/>
                                <a:pt x="0" y="840"/>
                                <a:pt x="30" y="1260"/>
                              </a:cubicBezTo>
                              <a:cubicBezTo>
                                <a:pt x="60" y="1680"/>
                                <a:pt x="135" y="2100"/>
                                <a:pt x="210" y="2520"/>
                              </a:cubicBezTo>
                            </a:path>
                          </a:pathLst>
                        </a:custGeom>
                        <a:noFill/>
                        <a:ln w="31750">
                          <a:solidFill>
                            <a:srgbClr val="000000"/>
                          </a:solidFill>
                          <a:round/>
                          <a:headEnd/>
                          <a:tailEnd type="arrow" w="med" len="med"/>
                        </a:ln>
                        <a:extLst>
                          <a:ext uri="{909E8E84-426E-40DD-AFC4-6F175D3DCCD1}">
                            <a14:hiddenFill xmlns:a14="http://schemas.microsoft.com/office/drawing/2010/main">
                              <a:solidFill>
                                <a:srgbClr val="FFFFFF"/>
                              </a:solidFill>
                            </a14:hiddenFill>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shape w14:anchorId="7F5DD26B" id="Freeform 2395" o:spid="_x0000_s1026" style="position:absolute;left:0;text-align:left;margin-left:61.5pt;margin-top:9pt;width:10.5pt;height:126pt;z-index:253198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210,25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" path="m30,c15,420,,840,30,1260v30,420,105,840,180,1260e" filled="f" strokeweight="2.5pt">
                <v:stroke endarrow="open"/>
                <v:path arrowok="t" o:connecttype="custom" o:connectlocs="19050,0;19050,800100;133350,1600200" o:connectangles="0,0,0"/>
              </v:shape>
            </w:pict>
          </mc:Fallback>
        </mc:AlternateContent>
      </w:r>
      <w:r w:rsidRPr="001D6D10">
        <w:rPr>
          <w:rFonts w:ascii="ＭＳ ゴシック" w:eastAsia="ＭＳ ゴシック" w:hAnsi="ＭＳ ゴシック" w:hint="eastAsia"/>
          <w:noProof/>
          <w:sz w:val="22"/>
          <w:szCs w:val="22"/>
        </w:rPr>
        <mc:AlternateContent>
          <mc:Choice Requires="wps">
            <w:drawing>
              <wp:anchor distT="0" distB="0" distL="114300" distR="114300" simplePos="0" relativeHeight="253197312" behindDoc="0" locked="0" layoutInCell="1" allowOverlap="1" wp14:anchorId="03400530" wp14:editId="2FD9F48C">
                <wp:simplePos x="0" y="0"/>
                <wp:positionH relativeFrom="column">
                  <wp:posOffset>342900</wp:posOffset>
                </wp:positionH>
                <wp:positionV relativeFrom="paragraph">
                  <wp:posOffset>0</wp:posOffset>
                </wp:positionV>
                <wp:extent cx="400050" cy="571500"/>
                <wp:effectExtent l="19050" t="95250" r="66675" b="19050"/>
                <wp:wrapNone/>
                <wp:docPr id="4100" name="Freeform 239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400050" cy="571500"/>
                        </a:xfrm>
                        <a:custGeom>
                          <a:avLst/>
                          <a:gdLst>
                            <a:gd name="T0" fmla="*/ 90 w 630"/>
                            <a:gd name="T1" fmla="*/ 1080 h 1080"/>
                            <a:gd name="T2" fmla="*/ 90 w 630"/>
                            <a:gd name="T3" fmla="*/ 360 h 1080"/>
                            <a:gd name="T4" fmla="*/ 630 w 630"/>
                            <a:gd name="T5" fmla="*/ 0 h 1080"/>
                          </a:gdLst>
                          <a:ahLst/>
                          <a:cxnLst>
                            <a:cxn ang="0">
                              <a:pos x="T0" y="T1"/>
                            </a:cxn>
                            <a:cxn ang="0">
                              <a:pos x="T2" y="T3"/>
                            </a:cxn>
                            <a:cxn ang="0">
                              <a:pos x="T4" y="T5"/>
                            </a:cxn>
                          </a:cxnLst>
                          <a:rect l="0" t="0" r="r" b="b"/>
                          <a:pathLst>
                            <a:path w="630" h="1080">
                              <a:moveTo>
                                <a:pt x="90" y="1080"/>
                              </a:moveTo>
                              <a:cubicBezTo>
                                <a:pt x="45" y="810"/>
                                <a:pt x="0" y="540"/>
                                <a:pt x="90" y="360"/>
                              </a:cubicBezTo>
                              <a:cubicBezTo>
                                <a:pt x="180" y="180"/>
                                <a:pt x="540" y="60"/>
                                <a:pt x="630" y="0"/>
                              </a:cubicBezTo>
                            </a:path>
                          </a:pathLst>
                        </a:custGeom>
                        <a:noFill/>
                        <a:ln w="31750">
                          <a:solidFill>
                            <a:srgbClr val="000000"/>
                          </a:solidFill>
                          <a:round/>
                          <a:headEnd/>
                          <a:tailEnd type="arrow" w="med" len="med"/>
                        </a:ln>
                        <a:extLst>
                          <a:ext uri="{909E8E84-426E-40DD-AFC4-6F175D3DCCD1}">
                            <a14:hiddenFill xmlns:a14="http://schemas.microsoft.com/office/drawing/2010/main">
                              <a:solidFill>
                                <a:srgbClr val="FFFFFF"/>
                              </a:solidFill>
                            </a14:hiddenFill>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shape w14:anchorId="16D6C2E1" id="Freeform 2394" o:spid="_x0000_s1026" style="position:absolute;left:0;text-align:left;margin-left:27pt;margin-top:0;width:31.5pt;height:45pt;z-index:253197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630,108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" path="m90,1080c45,810,,540,90,360,180,180,540,60,630,e" filled="f" strokeweight="2.5pt">
                <v:stroke endarrow="open"/>
                <v:path arrowok="t" o:connecttype="custom" o:connectlocs="57150,571500;57150,190500;400050,0" o:connectangles="0,0,0"/>
              </v:shape>
            </w:pict>
          </mc:Fallback>
        </mc:AlternateContent>
      </w:r>
    </w:p>
    <w:p w14:paraId="2E9C129E" w14:textId="77777777" w:rsidR="008B4B2B" w:rsidRPr="001D6D10" w:rsidRDefault="008B4B2B" w:rsidP="008B4B2B">
      <w:pPr>
        <w:rPr>
          <w:rFonts w:ascii="ＭＳ ゴシック" w:eastAsia="ＭＳ ゴシック" w:hAnsi="ＭＳ ゴシック"/>
          <w:sz w:val="22"/>
          <w:szCs w:val="22"/>
        </w:rPr>
      </w:pPr>
      <w:r w:rsidRPr="001D6D10">
        <w:rPr>
          <w:rFonts w:ascii="ＭＳ ゴシック" w:eastAsia="ＭＳ ゴシック" w:hAnsi="ＭＳ ゴシック" w:hint="eastAsia"/>
          <w:noProof/>
          <w:sz w:val="22"/>
          <w:szCs w:val="22"/>
        </w:rPr>
        <mc:AlternateContent>
          <mc:Choice Requires="wps">
            <w:drawing>
              <wp:anchor distT="0" distB="0" distL="114300" distR="114300" simplePos="0" relativeHeight="253196288" behindDoc="0" locked="0" layoutInCell="1" allowOverlap="1" wp14:anchorId="707EABF5" wp14:editId="57876537">
                <wp:simplePos x="0" y="0"/>
                <wp:positionH relativeFrom="column">
                  <wp:posOffset>847725</wp:posOffset>
                </wp:positionH>
                <wp:positionV relativeFrom="paragraph">
                  <wp:posOffset>114300</wp:posOffset>
                </wp:positionV>
                <wp:extent cx="1737995" cy="1093470"/>
                <wp:effectExtent l="0" t="0" r="0" b="1905"/>
                <wp:wrapNone/>
                <wp:docPr id="4099" name="Text Box 239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37995" cy="10934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E7BB13A" w14:textId="77777777" w:rsidR="006A5267" w:rsidRDefault="006A5267" w:rsidP="008B4B2B">
                            <w:pPr>
                              <w:spacing w:line="240" w:lineRule="exact"/>
                              <w:rPr>
                                <w:rFonts w:ascii="ＭＳ ゴシック" w:eastAsia="ＭＳ ゴシック" w:hAnsi="ＭＳ ゴシック"/>
                                <w:sz w:val="20"/>
                                <w:szCs w:val="20"/>
                              </w:rPr>
                            </w:pPr>
                            <w:r>
                              <w:rPr>
                                <w:rFonts w:ascii="ＭＳ ゴシック" w:eastAsia="ＭＳ ゴシック" w:hAnsi="ＭＳ ゴシック" w:hint="eastAsia"/>
                                <w:sz w:val="20"/>
                                <w:szCs w:val="20"/>
                              </w:rPr>
                              <w:t>現場救急活動（応急救護所）</w:t>
                            </w:r>
                          </w:p>
                          <w:p w14:paraId="5A4AB764" w14:textId="77777777" w:rsidR="006A5267" w:rsidRDefault="006A5267" w:rsidP="008B4B2B">
                            <w:pPr>
                              <w:spacing w:line="240" w:lineRule="exact"/>
                              <w:rPr>
                                <w:rFonts w:ascii="ＭＳ ゴシック" w:eastAsia="ＭＳ ゴシック" w:hAnsi="ＭＳ ゴシック"/>
                                <w:sz w:val="20"/>
                                <w:szCs w:val="20"/>
                              </w:rPr>
                            </w:pPr>
                            <w:r>
                              <w:rPr>
                                <w:rFonts w:ascii="ＭＳ ゴシック" w:eastAsia="ＭＳ ゴシック" w:hAnsi="ＭＳ ゴシック" w:hint="eastAsia"/>
                                <w:sz w:val="20"/>
                                <w:szCs w:val="20"/>
                              </w:rPr>
                              <w:t>・トリアージ</w:t>
                            </w:r>
                          </w:p>
                          <w:p w14:paraId="7F6A4F71" w14:textId="77777777" w:rsidR="006A5267" w:rsidRDefault="006A5267" w:rsidP="008B4B2B">
                            <w:pPr>
                              <w:spacing w:line="240" w:lineRule="exact"/>
                              <w:rPr>
                                <w:rFonts w:ascii="ＭＳ ゴシック" w:eastAsia="ＭＳ ゴシック" w:hAnsi="ＭＳ ゴシック"/>
                                <w:sz w:val="20"/>
                                <w:szCs w:val="20"/>
                              </w:rPr>
                            </w:pPr>
                            <w:r>
                              <w:rPr>
                                <w:rFonts w:ascii="ＭＳ ゴシック" w:eastAsia="ＭＳ ゴシック" w:hAnsi="ＭＳ ゴシック" w:hint="eastAsia"/>
                                <w:sz w:val="20"/>
                                <w:szCs w:val="20"/>
                              </w:rPr>
                              <w:t>・応急措置など</w:t>
                            </w:r>
                          </w:p>
                          <w:p w14:paraId="2C769345" w14:textId="77777777" w:rsidR="006A5267" w:rsidRDefault="006A5267" w:rsidP="008B4B2B">
                            <w:pPr>
                              <w:spacing w:line="240" w:lineRule="exact"/>
                              <w:rPr>
                                <w:rFonts w:ascii="ＭＳ ゴシック" w:eastAsia="ＭＳ ゴシック" w:hAnsi="ＭＳ ゴシック"/>
                                <w:sz w:val="20"/>
                                <w:szCs w:val="20"/>
                              </w:rPr>
                            </w:pPr>
                            <w:r>
                              <w:rPr>
                                <w:rFonts w:ascii="ＭＳ ゴシック" w:eastAsia="ＭＳ ゴシック" w:hAnsi="ＭＳ ゴシック" w:hint="eastAsia"/>
                                <w:sz w:val="20"/>
                                <w:szCs w:val="20"/>
                              </w:rPr>
                              <w:t>臨時診療活動（医療救護所）</w:t>
                            </w:r>
                          </w:p>
                          <w:p w14:paraId="5BFC8339" w14:textId="77777777" w:rsidR="006A5267" w:rsidRDefault="006A5267" w:rsidP="008B4B2B">
                            <w:pPr>
                              <w:spacing w:line="240" w:lineRule="exact"/>
                              <w:rPr>
                                <w:rFonts w:ascii="ＭＳ ゴシック" w:eastAsia="ＭＳ ゴシック" w:hAnsi="ＭＳ ゴシック"/>
                                <w:sz w:val="20"/>
                                <w:szCs w:val="20"/>
                              </w:rPr>
                            </w:pPr>
                            <w:r>
                              <w:rPr>
                                <w:rFonts w:ascii="ＭＳ ゴシック" w:eastAsia="ＭＳ ゴシック" w:hAnsi="ＭＳ ゴシック" w:hint="eastAsia"/>
                                <w:sz w:val="20"/>
                                <w:szCs w:val="20"/>
                              </w:rPr>
                              <w:t>・軽症患者の医療</w:t>
                            </w:r>
                          </w:p>
                          <w:p w14:paraId="014314A7" w14:textId="77777777" w:rsidR="006A5267" w:rsidRPr="004959F9" w:rsidRDefault="006A5267" w:rsidP="008B4B2B">
                            <w:pPr>
                              <w:spacing w:line="240" w:lineRule="exact"/>
                              <w:rPr>
                                <w:rFonts w:ascii="ＭＳ ゴシック" w:eastAsia="ＭＳ ゴシック" w:hAnsi="ＭＳ ゴシック"/>
                                <w:sz w:val="20"/>
                                <w:szCs w:val="20"/>
                              </w:rPr>
                            </w:pPr>
                            <w:r>
                              <w:rPr>
                                <w:rFonts w:ascii="ＭＳ ゴシック" w:eastAsia="ＭＳ ゴシック" w:hAnsi="ＭＳ ゴシック" w:hint="eastAsia"/>
                                <w:sz w:val="20"/>
                                <w:szCs w:val="20"/>
                              </w:rPr>
                              <w:t>・被災住民の健康管理など</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shape w14:anchorId="707EABF5" id="Text Box 2393" o:spid="_x0000_s1377" type="#_x0000_t202" style="position:absolute;left:0;text-align:left;margin-left:66.75pt;margin-top:9pt;width:136.85pt;height:86.1pt;z-index:253196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" filled="f" stroked="f">
                <v:textbox inset="5.85pt,.7pt,5.85pt,.7pt">
                  <w:txbxContent>
                    <w:p w14:paraId="2E7BB13A" w14:textId="77777777" w:rsidR="006A5267" w:rsidRDefault="006A5267" w:rsidP="008B4B2B">
                      <w:pPr>
                        <w:spacing w:line="240" w:lineRule="exact"/>
                        <w:rPr>
                          <w:rFonts w:ascii="ＭＳ ゴシック" w:eastAsia="ＭＳ ゴシック" w:hAnsi="ＭＳ ゴシック"/>
                          <w:sz w:val="20"/>
                          <w:szCs w:val="20"/>
                        </w:rPr>
                      </w:pPr>
                      <w:r>
                        <w:rPr>
                          <w:rFonts w:ascii="ＭＳ ゴシック" w:eastAsia="ＭＳ ゴシック" w:hAnsi="ＭＳ ゴシック" w:hint="eastAsia"/>
                          <w:sz w:val="20"/>
                          <w:szCs w:val="20"/>
                        </w:rPr>
                        <w:t>現場救急活動（応急救護所）</w:t>
                      </w:r>
                    </w:p>
                    <w:p w14:paraId="5A4AB764" w14:textId="77777777" w:rsidR="006A5267" w:rsidRDefault="006A5267" w:rsidP="008B4B2B">
                      <w:pPr>
                        <w:spacing w:line="240" w:lineRule="exact"/>
                        <w:rPr>
                          <w:rFonts w:ascii="ＭＳ ゴシック" w:eastAsia="ＭＳ ゴシック" w:hAnsi="ＭＳ ゴシック"/>
                          <w:sz w:val="20"/>
                          <w:szCs w:val="20"/>
                        </w:rPr>
                      </w:pPr>
                      <w:r>
                        <w:rPr>
                          <w:rFonts w:ascii="ＭＳ ゴシック" w:eastAsia="ＭＳ ゴシック" w:hAnsi="ＭＳ ゴシック" w:hint="eastAsia"/>
                          <w:sz w:val="20"/>
                          <w:szCs w:val="20"/>
                        </w:rPr>
                        <w:t>・トリアージ</w:t>
                      </w:r>
                    </w:p>
                    <w:p w14:paraId="7F6A4F71" w14:textId="77777777" w:rsidR="006A5267" w:rsidRDefault="006A5267" w:rsidP="008B4B2B">
                      <w:pPr>
                        <w:spacing w:line="240" w:lineRule="exact"/>
                        <w:rPr>
                          <w:rFonts w:ascii="ＭＳ ゴシック" w:eastAsia="ＭＳ ゴシック" w:hAnsi="ＭＳ ゴシック"/>
                          <w:sz w:val="20"/>
                          <w:szCs w:val="20"/>
                        </w:rPr>
                      </w:pPr>
                      <w:r>
                        <w:rPr>
                          <w:rFonts w:ascii="ＭＳ ゴシック" w:eastAsia="ＭＳ ゴシック" w:hAnsi="ＭＳ ゴシック" w:hint="eastAsia"/>
                          <w:sz w:val="20"/>
                          <w:szCs w:val="20"/>
                        </w:rPr>
                        <w:t>・応急措置など</w:t>
                      </w:r>
                    </w:p>
                    <w:p w14:paraId="2C769345" w14:textId="77777777" w:rsidR="006A5267" w:rsidRDefault="006A5267" w:rsidP="008B4B2B">
                      <w:pPr>
                        <w:spacing w:line="240" w:lineRule="exact"/>
                        <w:rPr>
                          <w:rFonts w:ascii="ＭＳ ゴシック" w:eastAsia="ＭＳ ゴシック" w:hAnsi="ＭＳ ゴシック"/>
                          <w:sz w:val="20"/>
                          <w:szCs w:val="20"/>
                        </w:rPr>
                      </w:pPr>
                      <w:r>
                        <w:rPr>
                          <w:rFonts w:ascii="ＭＳ ゴシック" w:eastAsia="ＭＳ ゴシック" w:hAnsi="ＭＳ ゴシック" w:hint="eastAsia"/>
                          <w:sz w:val="20"/>
                          <w:szCs w:val="20"/>
                        </w:rPr>
                        <w:t>臨時診療活動（医療救護所）</w:t>
                      </w:r>
                    </w:p>
                    <w:p w14:paraId="5BFC8339" w14:textId="77777777" w:rsidR="006A5267" w:rsidRDefault="006A5267" w:rsidP="008B4B2B">
                      <w:pPr>
                        <w:spacing w:line="240" w:lineRule="exact"/>
                        <w:rPr>
                          <w:rFonts w:ascii="ＭＳ ゴシック" w:eastAsia="ＭＳ ゴシック" w:hAnsi="ＭＳ ゴシック"/>
                          <w:sz w:val="20"/>
                          <w:szCs w:val="20"/>
                        </w:rPr>
                      </w:pPr>
                      <w:r>
                        <w:rPr>
                          <w:rFonts w:ascii="ＭＳ ゴシック" w:eastAsia="ＭＳ ゴシック" w:hAnsi="ＭＳ ゴシック" w:hint="eastAsia"/>
                          <w:sz w:val="20"/>
                          <w:szCs w:val="20"/>
                        </w:rPr>
                        <w:t>・軽症患者の医療</w:t>
                      </w:r>
                    </w:p>
                    <w:p w14:paraId="014314A7" w14:textId="77777777" w:rsidR="006A5267" w:rsidRPr="004959F9" w:rsidRDefault="006A5267" w:rsidP="008B4B2B">
                      <w:pPr>
                        <w:spacing w:line="240" w:lineRule="exact"/>
                        <w:rPr>
                          <w:rFonts w:ascii="ＭＳ ゴシック" w:eastAsia="ＭＳ ゴシック" w:hAnsi="ＭＳ ゴシック"/>
                          <w:sz w:val="20"/>
                          <w:szCs w:val="20"/>
                        </w:rPr>
                      </w:pPr>
                      <w:r>
                        <w:rPr>
                          <w:rFonts w:ascii="ＭＳ ゴシック" w:eastAsia="ＭＳ ゴシック" w:hAnsi="ＭＳ ゴシック" w:hint="eastAsia"/>
                          <w:sz w:val="20"/>
                          <w:szCs w:val="20"/>
                        </w:rPr>
                        <w:t>・被災住民の健康管理など</w:t>
                      </w:r>
                    </w:p>
                  </w:txbxContent>
                </v:textbox>
              </v:shape>
            </w:pict>
          </mc:Fallback>
        </mc:AlternateContent>
      </w:r>
    </w:p>
    <w:p w14:paraId="3483009B" w14:textId="77777777" w:rsidR="008B4B2B" w:rsidRPr="001D6D10" w:rsidRDefault="008B4B2B" w:rsidP="008B4B2B">
      <w:pPr>
        <w:rPr>
          <w:rFonts w:ascii="ＭＳ ゴシック" w:eastAsia="ＭＳ ゴシック" w:hAnsi="ＭＳ ゴシック"/>
          <w:sz w:val="22"/>
          <w:szCs w:val="22"/>
        </w:rPr>
      </w:pPr>
      <w:r w:rsidRPr="001D6D10">
        <w:rPr>
          <w:rFonts w:ascii="ＭＳ ゴシック" w:eastAsia="ＭＳ ゴシック" w:hAnsi="ＭＳ ゴシック" w:hint="eastAsia"/>
          <w:noProof/>
          <w:sz w:val="22"/>
          <w:szCs w:val="22"/>
        </w:rPr>
        <mc:AlternateContent>
          <mc:Choice Requires="wps">
            <w:drawing>
              <wp:anchor distT="0" distB="0" distL="114300" distR="114300" simplePos="0" relativeHeight="253189120" behindDoc="0" locked="0" layoutInCell="1" allowOverlap="1" wp14:anchorId="46EB047E" wp14:editId="0042DE54">
                <wp:simplePos x="0" y="0"/>
                <wp:positionH relativeFrom="column">
                  <wp:posOffset>228600</wp:posOffset>
                </wp:positionH>
                <wp:positionV relativeFrom="paragraph">
                  <wp:posOffset>114300</wp:posOffset>
                </wp:positionV>
                <wp:extent cx="342900" cy="1028700"/>
                <wp:effectExtent l="9525" t="9525" r="9525" b="9525"/>
                <wp:wrapNone/>
                <wp:docPr id="4098" name="AutoShape 238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42900" cy="1028700"/>
                        </a:xfrm>
                        <a:prstGeom prst="roundRect">
                          <a:avLst>
                            <a:gd name="adj" fmla="val 16667"/>
                          </a:avLst>
                        </a:prstGeom>
                        <a:solidFill>
                          <a:srgbClr val="FFFFFF"/>
                        </a:solidFill>
                        <a:ln w="9525">
                          <a:solidFill>
                            <a:srgbClr val="000000"/>
                          </a:solidFill>
                          <a:round/>
                          <a:headEnd/>
                          <a:tailEnd/>
                        </a:ln>
                      </wps:spPr>
                      <wps:txbx>
                        <w:txbxContent>
                          <w:p w14:paraId="7EBAFB2A" w14:textId="77777777" w:rsidR="006A5267" w:rsidRDefault="006A5267" w:rsidP="008B4B2B">
                            <w:r>
                              <w:rPr>
                                <w:rFonts w:hint="eastAsia"/>
                              </w:rPr>
                              <w:t>災害現場</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roundrect w14:anchorId="46EB047E" id="AutoShape 2386" o:spid="_x0000_s1378" style="position:absolute;left:0;text-align:left;margin-left:18pt;margin-top:9pt;width:27pt;height:81pt;z-index:2531891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">
                <v:textbox inset="5.85pt,.7pt,5.85pt,.7pt">
                  <w:txbxContent>
                    <w:p w14:paraId="7EBAFB2A" w14:textId="77777777" w:rsidR="006A5267" w:rsidRDefault="006A5267" w:rsidP="008B4B2B">
                      <w:r>
                        <w:rPr>
                          <w:rFonts w:hint="eastAsia"/>
                        </w:rPr>
                        <w:t>災害現場</w:t>
                      </w:r>
                    </w:p>
                  </w:txbxContent>
                </v:textbox>
              </v:roundrect>
            </w:pict>
          </mc:Fallback>
        </mc:AlternateContent>
      </w:r>
    </w:p>
    <w:p w14:paraId="20BAFF8B" w14:textId="77777777" w:rsidR="008B4B2B" w:rsidRPr="001D6D10" w:rsidRDefault="008B4B2B" w:rsidP="008B4B2B">
      <w:pPr>
        <w:rPr>
          <w:rFonts w:ascii="ＭＳ ゴシック" w:eastAsia="ＭＳ ゴシック" w:hAnsi="ＭＳ ゴシック"/>
          <w:sz w:val="22"/>
          <w:szCs w:val="22"/>
        </w:rPr>
      </w:pPr>
      <w:r w:rsidRPr="001D6D10">
        <w:rPr>
          <w:rFonts w:ascii="ＭＳ ゴシック" w:eastAsia="ＭＳ ゴシック" w:hAnsi="ＭＳ ゴシック" w:hint="eastAsia"/>
          <w:noProof/>
          <w:sz w:val="22"/>
          <w:szCs w:val="22"/>
        </w:rPr>
        <mc:AlternateContent>
          <mc:Choice Requires="wps">
            <w:drawing>
              <wp:anchor distT="0" distB="0" distL="114300" distR="114300" simplePos="0" relativeHeight="253195264" behindDoc="0" locked="0" layoutInCell="1" allowOverlap="1" wp14:anchorId="5532AAE0" wp14:editId="2057ECD9">
                <wp:simplePos x="0" y="0"/>
                <wp:positionH relativeFrom="column">
                  <wp:posOffset>3771900</wp:posOffset>
                </wp:positionH>
                <wp:positionV relativeFrom="paragraph">
                  <wp:posOffset>197485</wp:posOffset>
                </wp:positionV>
                <wp:extent cx="1257300" cy="228600"/>
                <wp:effectExtent l="0" t="0" r="0" b="2540"/>
                <wp:wrapNone/>
                <wp:docPr id="4097" name="Text Box 239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57300" cy="2286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0EBE2DE" w14:textId="77777777" w:rsidR="006A5267" w:rsidRPr="004959F9" w:rsidRDefault="006A5267" w:rsidP="008B4B2B">
                            <w:pPr>
                              <w:rPr>
                                <w:rFonts w:ascii="ＭＳ ゴシック" w:eastAsia="ＭＳ ゴシック" w:hAnsi="ＭＳ ゴシック"/>
                                <w:sz w:val="20"/>
                                <w:szCs w:val="20"/>
                              </w:rPr>
                            </w:pPr>
                            <w:r>
                              <w:rPr>
                                <w:rFonts w:ascii="ＭＳ ゴシック" w:eastAsia="ＭＳ ゴシック" w:hAnsi="ＭＳ ゴシック" w:hint="eastAsia"/>
                                <w:sz w:val="20"/>
                                <w:szCs w:val="20"/>
                              </w:rPr>
                              <w:t>（災害拠点病院等）</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shape w14:anchorId="5532AAE0" id="Text Box 2392" o:spid="_x0000_s1379" type="#_x0000_t202" style="position:absolute;left:0;text-align:left;margin-left:297pt;margin-top:15.55pt;width:99pt;height:18pt;z-index:253195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" filled="f" stroked="f">
                <v:textbox inset="5.85pt,.7pt,5.85pt,.7pt">
                  <w:txbxContent>
                    <w:p w14:paraId="20EBE2DE" w14:textId="77777777" w:rsidR="006A5267" w:rsidRPr="004959F9" w:rsidRDefault="006A5267" w:rsidP="008B4B2B">
                      <w:pPr>
                        <w:rPr>
                          <w:rFonts w:ascii="ＭＳ ゴシック" w:eastAsia="ＭＳ ゴシック" w:hAnsi="ＭＳ ゴシック"/>
                          <w:sz w:val="20"/>
                          <w:szCs w:val="20"/>
                        </w:rPr>
                      </w:pPr>
                      <w:r>
                        <w:rPr>
                          <w:rFonts w:ascii="ＭＳ ゴシック" w:eastAsia="ＭＳ ゴシック" w:hAnsi="ＭＳ ゴシック" w:hint="eastAsia"/>
                          <w:sz w:val="20"/>
                          <w:szCs w:val="20"/>
                        </w:rPr>
                        <w:t>（災害拠点病院等）</w:t>
                      </w:r>
                    </w:p>
                  </w:txbxContent>
                </v:textbox>
              </v:shape>
            </w:pict>
          </mc:Fallback>
        </mc:AlternateContent>
      </w:r>
    </w:p>
    <w:p w14:paraId="40EA4B0B" w14:textId="77777777" w:rsidR="008B4B2B" w:rsidRPr="001D6D10" w:rsidRDefault="008B4B2B" w:rsidP="008B4B2B">
      <w:pPr>
        <w:rPr>
          <w:rFonts w:ascii="ＭＳ ゴシック" w:eastAsia="ＭＳ ゴシック" w:hAnsi="ＭＳ ゴシック"/>
          <w:sz w:val="22"/>
          <w:szCs w:val="22"/>
        </w:rPr>
      </w:pPr>
    </w:p>
    <w:p w14:paraId="774DACC6" w14:textId="77777777" w:rsidR="008B4B2B" w:rsidRPr="001D6D10" w:rsidRDefault="008B4B2B" w:rsidP="008B4B2B">
      <w:pPr>
        <w:rPr>
          <w:rFonts w:ascii="ＭＳ ゴシック" w:eastAsia="ＭＳ ゴシック" w:hAnsi="ＭＳ ゴシック"/>
          <w:sz w:val="22"/>
          <w:szCs w:val="22"/>
        </w:rPr>
      </w:pPr>
    </w:p>
    <w:p w14:paraId="79EA2894" w14:textId="77777777" w:rsidR="008B4B2B" w:rsidRPr="001D6D10" w:rsidRDefault="008B4B2B" w:rsidP="008B4B2B">
      <w:pPr>
        <w:rPr>
          <w:rFonts w:ascii="ＭＳ ゴシック" w:eastAsia="ＭＳ ゴシック" w:hAnsi="ＭＳ ゴシック"/>
          <w:sz w:val="22"/>
          <w:szCs w:val="22"/>
        </w:rPr>
      </w:pPr>
    </w:p>
    <w:p w14:paraId="2723B153" w14:textId="77777777" w:rsidR="008B4B2B" w:rsidRPr="001D6D10" w:rsidRDefault="008B4B2B" w:rsidP="008B4B2B">
      <w:pPr>
        <w:rPr>
          <w:rFonts w:ascii="ＭＳ ゴシック" w:eastAsia="ＭＳ ゴシック" w:hAnsi="ＭＳ ゴシック"/>
          <w:sz w:val="22"/>
          <w:szCs w:val="22"/>
        </w:rPr>
      </w:pPr>
    </w:p>
    <w:p w14:paraId="1F5684DC" w14:textId="77777777" w:rsidR="008B4B2B" w:rsidRPr="001D6D10" w:rsidRDefault="008B4B2B" w:rsidP="008B4B2B">
      <w:pPr>
        <w:rPr>
          <w:rFonts w:ascii="ＭＳ ゴシック" w:eastAsia="ＭＳ ゴシック" w:hAnsi="ＭＳ ゴシック"/>
          <w:sz w:val="22"/>
          <w:szCs w:val="22"/>
        </w:rPr>
      </w:pPr>
      <w:r w:rsidRPr="001D6D10">
        <w:rPr>
          <w:rFonts w:ascii="ＭＳ ゴシック" w:eastAsia="ＭＳ ゴシック" w:hAnsi="ＭＳ ゴシック" w:hint="eastAsia"/>
          <w:noProof/>
          <w:sz w:val="22"/>
          <w:szCs w:val="22"/>
        </w:rPr>
        <mc:AlternateContent>
          <mc:Choice Requires="wps">
            <w:drawing>
              <wp:anchor distT="0" distB="0" distL="114300" distR="114300" simplePos="0" relativeHeight="253206528" behindDoc="0" locked="0" layoutInCell="1" allowOverlap="1" wp14:anchorId="006850CE" wp14:editId="6825FA60">
                <wp:simplePos x="0" y="0"/>
                <wp:positionH relativeFrom="column">
                  <wp:posOffset>5143500</wp:posOffset>
                </wp:positionH>
                <wp:positionV relativeFrom="paragraph">
                  <wp:posOffset>114300</wp:posOffset>
                </wp:positionV>
                <wp:extent cx="0" cy="685800"/>
                <wp:effectExtent l="9525" t="9525" r="9525" b="9525"/>
                <wp:wrapNone/>
                <wp:docPr id="4096" name="Line 240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0" cy="68580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line w14:anchorId="4A403E4A" id="Line 2403" o:spid="_x0000_s1026" style="position:absolute;left:0;text-align:left;flip:y;z-index:253206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05pt,9pt" to="405pt,6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"/>
            </w:pict>
          </mc:Fallback>
        </mc:AlternateContent>
      </w:r>
      <w:r w:rsidRPr="001D6D10">
        <w:rPr>
          <w:rFonts w:ascii="ＭＳ ゴシック" w:eastAsia="ＭＳ ゴシック" w:hAnsi="ＭＳ ゴシック" w:hint="eastAsia"/>
          <w:noProof/>
          <w:sz w:val="22"/>
          <w:szCs w:val="22"/>
        </w:rPr>
        <mc:AlternateContent>
          <mc:Choice Requires="wps">
            <w:drawing>
              <wp:anchor distT="0" distB="0" distL="114300" distR="114300" simplePos="0" relativeHeight="253207552" behindDoc="0" locked="0" layoutInCell="1" allowOverlap="1" wp14:anchorId="752858E6" wp14:editId="14033049">
                <wp:simplePos x="0" y="0"/>
                <wp:positionH relativeFrom="column">
                  <wp:posOffset>1828800</wp:posOffset>
                </wp:positionH>
                <wp:positionV relativeFrom="paragraph">
                  <wp:posOffset>114300</wp:posOffset>
                </wp:positionV>
                <wp:extent cx="3314700" cy="0"/>
                <wp:effectExtent l="9525" t="9525" r="9525" b="9525"/>
                <wp:wrapNone/>
                <wp:docPr id="4095" name="Line 240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3147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line w14:anchorId="13D10136" id="Line 2404" o:spid="_x0000_s1026" style="position:absolute;left:0;text-align:left;z-index:253207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in,9pt" to="405pt,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"/>
            </w:pict>
          </mc:Fallback>
        </mc:AlternateContent>
      </w:r>
      <w:r w:rsidRPr="001D6D10">
        <w:rPr>
          <w:rFonts w:ascii="ＭＳ ゴシック" w:eastAsia="ＭＳ ゴシック" w:hAnsi="ＭＳ ゴシック" w:hint="eastAsia"/>
          <w:noProof/>
          <w:sz w:val="22"/>
          <w:szCs w:val="22"/>
        </w:rPr>
        <mc:AlternateContent>
          <mc:Choice Requires="wps">
            <w:drawing>
              <wp:anchor distT="0" distB="0" distL="114300" distR="114300" simplePos="0" relativeHeight="253192192" behindDoc="0" locked="0" layoutInCell="1" allowOverlap="1" wp14:anchorId="7383A4FC" wp14:editId="59601A37">
                <wp:simplePos x="0" y="0"/>
                <wp:positionH relativeFrom="column">
                  <wp:posOffset>571500</wp:posOffset>
                </wp:positionH>
                <wp:positionV relativeFrom="paragraph">
                  <wp:posOffset>0</wp:posOffset>
                </wp:positionV>
                <wp:extent cx="1257300" cy="342900"/>
                <wp:effectExtent l="9525" t="9525" r="9525" b="9525"/>
                <wp:wrapNone/>
                <wp:docPr id="4094" name="Oval 238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57300" cy="342900"/>
                        </a:xfrm>
                        <a:prstGeom prst="ellipse">
                          <a:avLst/>
                        </a:prstGeom>
                        <a:solidFill>
                          <a:srgbClr val="FFFFFF"/>
                        </a:solidFill>
                        <a:ln w="9525">
                          <a:solidFill>
                            <a:srgbClr val="000000"/>
                          </a:solidFill>
                          <a:round/>
                          <a:headEnd/>
                          <a:tailEnd/>
                        </a:ln>
                      </wps:spPr>
                      <wps:txbx>
                        <w:txbxContent>
                          <w:p w14:paraId="6A6C89C0" w14:textId="77777777" w:rsidR="006A5267" w:rsidRPr="003641E1" w:rsidRDefault="006A5267" w:rsidP="008B4B2B">
                            <w:pPr>
                              <w:rPr>
                                <w:rFonts w:ascii="ＭＳ ゴシック" w:eastAsia="ＭＳ ゴシック" w:hAnsi="ＭＳ ゴシック"/>
                                <w:sz w:val="20"/>
                                <w:szCs w:val="20"/>
                              </w:rPr>
                            </w:pPr>
                            <w:r>
                              <w:rPr>
                                <w:rFonts w:ascii="ＭＳ ゴシック" w:eastAsia="ＭＳ ゴシック" w:hAnsi="ＭＳ ゴシック" w:hint="eastAsia"/>
                                <w:sz w:val="20"/>
                                <w:szCs w:val="20"/>
                              </w:rPr>
                              <w:t>後方医療活動</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oval w14:anchorId="7383A4FC" id="Oval 2389" o:spid="_x0000_s1380" style="position:absolute;left:0;text-align:left;margin-left:45pt;margin-top:0;width:99pt;height:27pt;z-index:253192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">
                <v:textbox inset="5.85pt,.7pt,5.85pt,.7pt">
                  <w:txbxContent>
                    <w:p w14:paraId="6A6C89C0" w14:textId="77777777" w:rsidR="006A5267" w:rsidRPr="003641E1" w:rsidRDefault="006A5267" w:rsidP="008B4B2B">
                      <w:pPr>
                        <w:rPr>
                          <w:rFonts w:ascii="ＭＳ ゴシック" w:eastAsia="ＭＳ ゴシック" w:hAnsi="ＭＳ ゴシック"/>
                          <w:sz w:val="20"/>
                          <w:szCs w:val="20"/>
                        </w:rPr>
                      </w:pPr>
                      <w:r>
                        <w:rPr>
                          <w:rFonts w:ascii="ＭＳ ゴシック" w:eastAsia="ＭＳ ゴシック" w:hAnsi="ＭＳ ゴシック" w:hint="eastAsia"/>
                          <w:sz w:val="20"/>
                          <w:szCs w:val="20"/>
                        </w:rPr>
                        <w:t>後方医療活動</w:t>
                      </w:r>
                    </w:p>
                  </w:txbxContent>
                </v:textbox>
              </v:oval>
            </w:pict>
          </mc:Fallback>
        </mc:AlternateContent>
      </w:r>
    </w:p>
    <w:p w14:paraId="5533BF3E" w14:textId="77777777" w:rsidR="008B4B2B" w:rsidRPr="001D6D10" w:rsidRDefault="008B4B2B" w:rsidP="008B4B2B">
      <w:pPr>
        <w:rPr>
          <w:rFonts w:ascii="ＭＳ ゴシック" w:eastAsia="ＭＳ ゴシック" w:hAnsi="ＭＳ ゴシック"/>
          <w:sz w:val="22"/>
          <w:szCs w:val="22"/>
        </w:rPr>
      </w:pPr>
      <w:r w:rsidRPr="001D6D10">
        <w:rPr>
          <w:rFonts w:ascii="ＭＳ ゴシック" w:eastAsia="ＭＳ ゴシック" w:hAnsi="ＭＳ ゴシック" w:hint="eastAsia"/>
          <w:noProof/>
          <w:sz w:val="22"/>
          <w:szCs w:val="22"/>
        </w:rPr>
        <mc:AlternateContent>
          <mc:Choice Requires="wps">
            <w:drawing>
              <wp:anchor distT="0" distB="0" distL="114300" distR="114300" simplePos="0" relativeHeight="253208576" behindDoc="0" locked="0" layoutInCell="1" allowOverlap="1" wp14:anchorId="410274D8" wp14:editId="56DA8493">
                <wp:simplePos x="0" y="0"/>
                <wp:positionH relativeFrom="column">
                  <wp:posOffset>2585720</wp:posOffset>
                </wp:positionH>
                <wp:positionV relativeFrom="paragraph">
                  <wp:posOffset>0</wp:posOffset>
                </wp:positionV>
                <wp:extent cx="523875" cy="278130"/>
                <wp:effectExtent l="4445" t="0" r="0" b="0"/>
                <wp:wrapNone/>
                <wp:docPr id="4093" name="Text Box 240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23875" cy="27813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1423A260" w14:textId="77777777" w:rsidR="006A5267" w:rsidRDefault="006A5267" w:rsidP="008B4B2B">
                            <w:r>
                              <w:rPr>
                                <w:rFonts w:hint="eastAsia"/>
                              </w:rPr>
                              <w:t>搬</w:t>
                            </w:r>
                            <w:r>
                              <w:rPr>
                                <w:rFonts w:hint="eastAsia"/>
                              </w:rPr>
                              <w:t xml:space="preserve"> </w:t>
                            </w:r>
                            <w:r>
                              <w:rPr>
                                <w:rFonts w:hint="eastAsia"/>
                              </w:rPr>
                              <w:t>送</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shape w14:anchorId="410274D8" id="Text Box 2405" o:spid="_x0000_s1381" type="#_x0000_t202" style="position:absolute;left:0;text-align:left;margin-left:203.6pt;margin-top:0;width:41.25pt;height:21.9pt;z-index:253208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" stroked="f">
                <v:textbox inset="5.85pt,.7pt,5.85pt,.7pt">
                  <w:txbxContent>
                    <w:p w14:paraId="1423A260" w14:textId="77777777" w:rsidR="006A5267" w:rsidRDefault="006A5267" w:rsidP="008B4B2B">
                      <w:r>
                        <w:rPr>
                          <w:rFonts w:hint="eastAsia"/>
                        </w:rPr>
                        <w:t>搬</w:t>
                      </w:r>
                      <w:r>
                        <w:rPr>
                          <w:rFonts w:hint="eastAsia"/>
                        </w:rPr>
                        <w:t xml:space="preserve"> </w:t>
                      </w:r>
                      <w:r>
                        <w:rPr>
                          <w:rFonts w:hint="eastAsia"/>
                        </w:rPr>
                        <w:t>送</w:t>
                      </w:r>
                    </w:p>
                  </w:txbxContent>
                </v:textbox>
              </v:shape>
            </w:pict>
          </mc:Fallback>
        </mc:AlternateContent>
      </w:r>
      <w:r w:rsidRPr="001D6D10">
        <w:rPr>
          <w:rFonts w:ascii="ＭＳ ゴシック" w:eastAsia="ＭＳ ゴシック" w:hAnsi="ＭＳ ゴシック" w:hint="eastAsia"/>
          <w:noProof/>
          <w:sz w:val="22"/>
          <w:szCs w:val="22"/>
        </w:rPr>
        <mc:AlternateContent>
          <mc:Choice Requires="wps">
            <w:drawing>
              <wp:anchor distT="0" distB="0" distL="114300" distR="114300" simplePos="0" relativeHeight="253204480" behindDoc="0" locked="0" layoutInCell="1" allowOverlap="1" wp14:anchorId="165BC067" wp14:editId="181CD804">
                <wp:simplePos x="0" y="0"/>
                <wp:positionH relativeFrom="column">
                  <wp:posOffset>571500</wp:posOffset>
                </wp:positionH>
                <wp:positionV relativeFrom="paragraph">
                  <wp:posOffset>0</wp:posOffset>
                </wp:positionV>
                <wp:extent cx="0" cy="571500"/>
                <wp:effectExtent l="9525" t="9525" r="9525" b="9525"/>
                <wp:wrapNone/>
                <wp:docPr id="4092" name="Line 240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57150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line w14:anchorId="2ABB0B3A" id="Line 2401" o:spid="_x0000_s1026" style="position:absolute;left:0;text-align:left;z-index:253204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5pt,0" to="45pt,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"/>
            </w:pict>
          </mc:Fallback>
        </mc:AlternateContent>
      </w:r>
    </w:p>
    <w:p w14:paraId="3D3C86C3" w14:textId="77777777" w:rsidR="008B4B2B" w:rsidRPr="001D6D10" w:rsidRDefault="008B4B2B" w:rsidP="008B4B2B">
      <w:pPr>
        <w:rPr>
          <w:rFonts w:ascii="ＭＳ ゴシック" w:eastAsia="ＭＳ ゴシック" w:hAnsi="ＭＳ ゴシック"/>
          <w:sz w:val="22"/>
          <w:szCs w:val="22"/>
        </w:rPr>
      </w:pPr>
      <w:r w:rsidRPr="001D6D10">
        <w:rPr>
          <w:rFonts w:ascii="ＭＳ ゴシック" w:eastAsia="ＭＳ ゴシック" w:hAnsi="ＭＳ ゴシック" w:hint="eastAsia"/>
          <w:noProof/>
          <w:sz w:val="22"/>
          <w:szCs w:val="22"/>
        </w:rPr>
        <mc:AlternateContent>
          <mc:Choice Requires="wps">
            <w:drawing>
              <wp:anchor distT="0" distB="0" distL="114300" distR="114300" simplePos="0" relativeHeight="253203456" behindDoc="0" locked="0" layoutInCell="1" allowOverlap="1" wp14:anchorId="2C1D9E4A" wp14:editId="2597D86A">
                <wp:simplePos x="0" y="0"/>
                <wp:positionH relativeFrom="column">
                  <wp:posOffset>2057400</wp:posOffset>
                </wp:positionH>
                <wp:positionV relativeFrom="paragraph">
                  <wp:posOffset>114300</wp:posOffset>
                </wp:positionV>
                <wp:extent cx="1714500" cy="0"/>
                <wp:effectExtent l="19050" t="104775" r="28575" b="104775"/>
                <wp:wrapNone/>
                <wp:docPr id="4091" name="Line 240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714500" cy="0"/>
                        </a:xfrm>
                        <a:prstGeom prst="line">
                          <a:avLst/>
                        </a:prstGeom>
                        <a:noFill/>
                        <a:ln w="31750">
                          <a:solidFill>
                            <a:srgbClr val="000000"/>
                          </a:solidFill>
                          <a:round/>
                          <a:headEnd/>
                          <a:tailEnd type="arrow"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line w14:anchorId="1F1EF377" id="Line 2400" o:spid="_x0000_s1026" style="position:absolute;left:0;text-align:left;z-index:253203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62pt,9pt" to="297pt,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" strokeweight="2.5pt">
                <v:stroke endarrow="open"/>
              </v:line>
            </w:pict>
          </mc:Fallback>
        </mc:AlternateContent>
      </w:r>
      <w:r w:rsidRPr="001D6D10">
        <w:rPr>
          <w:rFonts w:ascii="ＭＳ ゴシック" w:eastAsia="ＭＳ ゴシック" w:hAnsi="ＭＳ ゴシック" w:hint="eastAsia"/>
          <w:noProof/>
          <w:sz w:val="22"/>
          <w:szCs w:val="22"/>
        </w:rPr>
        <mc:AlternateContent>
          <mc:Choice Requires="wps">
            <w:drawing>
              <wp:anchor distT="0" distB="0" distL="114300" distR="114300" simplePos="0" relativeHeight="253194240" behindDoc="0" locked="0" layoutInCell="1" allowOverlap="1" wp14:anchorId="5E9C1FD7" wp14:editId="4D560E82">
                <wp:simplePos x="0" y="0"/>
                <wp:positionH relativeFrom="column">
                  <wp:posOffset>3771900</wp:posOffset>
                </wp:positionH>
                <wp:positionV relativeFrom="paragraph">
                  <wp:posOffset>0</wp:posOffset>
                </wp:positionV>
                <wp:extent cx="1371600" cy="342900"/>
                <wp:effectExtent l="0" t="0" r="0" b="0"/>
                <wp:wrapNone/>
                <wp:docPr id="4090" name="Text Box 239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71600" cy="3429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7F44567" w14:textId="77777777" w:rsidR="006A5267" w:rsidRDefault="006A5267" w:rsidP="008B4B2B">
                            <w:pPr>
                              <w:spacing w:line="240" w:lineRule="exact"/>
                              <w:rPr>
                                <w:rFonts w:ascii="ＭＳ ゴシック" w:eastAsia="ＭＳ ゴシック" w:hAnsi="ＭＳ ゴシック"/>
                                <w:sz w:val="20"/>
                                <w:szCs w:val="20"/>
                              </w:rPr>
                            </w:pPr>
                            <w:r>
                              <w:rPr>
                                <w:rFonts w:ascii="ＭＳ ゴシック" w:eastAsia="ＭＳ ゴシック" w:hAnsi="ＭＳ ゴシック" w:hint="eastAsia"/>
                                <w:sz w:val="20"/>
                                <w:szCs w:val="20"/>
                              </w:rPr>
                              <w:t>・患者の入院・治療</w:t>
                            </w:r>
                          </w:p>
                          <w:p w14:paraId="71178A6F" w14:textId="77777777" w:rsidR="006A5267" w:rsidRPr="00B666C1" w:rsidRDefault="006A5267" w:rsidP="008B4B2B">
                            <w:pPr>
                              <w:spacing w:line="240" w:lineRule="exact"/>
                              <w:rPr>
                                <w:rFonts w:ascii="ＭＳ ゴシック" w:eastAsia="ＭＳ ゴシック" w:hAnsi="ＭＳ ゴシック"/>
                                <w:sz w:val="20"/>
                                <w:szCs w:val="20"/>
                              </w:rPr>
                            </w:pPr>
                            <w:r>
                              <w:rPr>
                                <w:rFonts w:ascii="ＭＳ ゴシック" w:eastAsia="ＭＳ ゴシック" w:hAnsi="ＭＳ ゴシック" w:hint="eastAsia"/>
                                <w:sz w:val="20"/>
                                <w:szCs w:val="20"/>
                              </w:rPr>
                              <w:t>・高度治療の提供</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shape w14:anchorId="5E9C1FD7" id="Text Box 2391" o:spid="_x0000_s1382" type="#_x0000_t202" style="position:absolute;left:0;text-align:left;margin-left:297pt;margin-top:0;width:108pt;height:27pt;z-index:253194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" filled="f" stroked="f">
                <v:textbox inset="5.85pt,.7pt,5.85pt,.7pt">
                  <w:txbxContent>
                    <w:p w14:paraId="77F44567" w14:textId="77777777" w:rsidR="006A5267" w:rsidRDefault="006A5267" w:rsidP="008B4B2B">
                      <w:pPr>
                        <w:spacing w:line="240" w:lineRule="exact"/>
                        <w:rPr>
                          <w:rFonts w:ascii="ＭＳ ゴシック" w:eastAsia="ＭＳ ゴシック" w:hAnsi="ＭＳ ゴシック"/>
                          <w:sz w:val="20"/>
                          <w:szCs w:val="20"/>
                        </w:rPr>
                      </w:pPr>
                      <w:r>
                        <w:rPr>
                          <w:rFonts w:ascii="ＭＳ ゴシック" w:eastAsia="ＭＳ ゴシック" w:hAnsi="ＭＳ ゴシック" w:hint="eastAsia"/>
                          <w:sz w:val="20"/>
                          <w:szCs w:val="20"/>
                        </w:rPr>
                        <w:t>・患者の入院・治療</w:t>
                      </w:r>
                    </w:p>
                    <w:p w14:paraId="71178A6F" w14:textId="77777777" w:rsidR="006A5267" w:rsidRPr="00B666C1" w:rsidRDefault="006A5267" w:rsidP="008B4B2B">
                      <w:pPr>
                        <w:spacing w:line="240" w:lineRule="exact"/>
                        <w:rPr>
                          <w:rFonts w:ascii="ＭＳ ゴシック" w:eastAsia="ＭＳ ゴシック" w:hAnsi="ＭＳ ゴシック"/>
                          <w:sz w:val="20"/>
                          <w:szCs w:val="20"/>
                        </w:rPr>
                      </w:pPr>
                      <w:r>
                        <w:rPr>
                          <w:rFonts w:ascii="ＭＳ ゴシック" w:eastAsia="ＭＳ ゴシック" w:hAnsi="ＭＳ ゴシック" w:hint="eastAsia"/>
                          <w:sz w:val="20"/>
                          <w:szCs w:val="20"/>
                        </w:rPr>
                        <w:t>・高度治療の提供</w:t>
                      </w:r>
                    </w:p>
                  </w:txbxContent>
                </v:textbox>
              </v:shape>
            </w:pict>
          </mc:Fallback>
        </mc:AlternateContent>
      </w:r>
      <w:r w:rsidRPr="001D6D10">
        <w:rPr>
          <w:rFonts w:ascii="ＭＳ ゴシック" w:eastAsia="ＭＳ ゴシック" w:hAnsi="ＭＳ ゴシック" w:hint="eastAsia"/>
          <w:noProof/>
          <w:sz w:val="22"/>
          <w:szCs w:val="22"/>
        </w:rPr>
        <mc:AlternateContent>
          <mc:Choice Requires="wps">
            <w:drawing>
              <wp:anchor distT="0" distB="0" distL="114300" distR="114300" simplePos="0" relativeHeight="253193216" behindDoc="0" locked="0" layoutInCell="1" allowOverlap="1" wp14:anchorId="5B3F4F09" wp14:editId="79776D4F">
                <wp:simplePos x="0" y="0"/>
                <wp:positionH relativeFrom="column">
                  <wp:posOffset>571500</wp:posOffset>
                </wp:positionH>
                <wp:positionV relativeFrom="paragraph">
                  <wp:posOffset>0</wp:posOffset>
                </wp:positionV>
                <wp:extent cx="1371600" cy="342900"/>
                <wp:effectExtent l="0" t="0" r="0" b="0"/>
                <wp:wrapNone/>
                <wp:docPr id="4089" name="Text Box 239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71600" cy="3429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AECDC34" w14:textId="77777777" w:rsidR="006A5267" w:rsidRDefault="006A5267" w:rsidP="008B4B2B">
                            <w:pPr>
                              <w:spacing w:line="240" w:lineRule="exact"/>
                              <w:rPr>
                                <w:rFonts w:ascii="ＭＳ ゴシック" w:eastAsia="ＭＳ ゴシック" w:hAnsi="ＭＳ ゴシック"/>
                                <w:sz w:val="20"/>
                                <w:szCs w:val="20"/>
                              </w:rPr>
                            </w:pPr>
                            <w:r>
                              <w:rPr>
                                <w:rFonts w:ascii="ＭＳ ゴシック" w:eastAsia="ＭＳ ゴシック" w:hAnsi="ＭＳ ゴシック" w:hint="eastAsia"/>
                                <w:sz w:val="20"/>
                                <w:szCs w:val="20"/>
                              </w:rPr>
                              <w:t>（災害拠点病院等）</w:t>
                            </w:r>
                          </w:p>
                          <w:p w14:paraId="6BC8B4EB" w14:textId="77777777" w:rsidR="006A5267" w:rsidRPr="00B666C1" w:rsidRDefault="006A5267" w:rsidP="008B4B2B">
                            <w:pPr>
                              <w:spacing w:line="240" w:lineRule="exact"/>
                              <w:ind w:firstLineChars="100" w:firstLine="201"/>
                              <w:rPr>
                                <w:rFonts w:ascii="ＭＳ ゴシック" w:eastAsia="ＭＳ ゴシック" w:hAnsi="ＭＳ ゴシック"/>
                                <w:sz w:val="20"/>
                                <w:szCs w:val="20"/>
                              </w:rPr>
                            </w:pPr>
                            <w:r>
                              <w:rPr>
                                <w:rFonts w:ascii="ＭＳ ゴシック" w:eastAsia="ＭＳ ゴシック" w:hAnsi="ＭＳ ゴシック" w:hint="eastAsia"/>
                                <w:sz w:val="20"/>
                                <w:szCs w:val="20"/>
                              </w:rPr>
                              <w:t>・患者の入院・治療</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shape w14:anchorId="5B3F4F09" id="Text Box 2390" o:spid="_x0000_s1383" type="#_x0000_t202" style="position:absolute;left:0;text-align:left;margin-left:45pt;margin-top:0;width:108pt;height:27pt;z-index:253193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" filled="f" stroked="f">
                <v:textbox inset="5.85pt,.7pt,5.85pt,.7pt">
                  <w:txbxContent>
                    <w:p w14:paraId="7AECDC34" w14:textId="77777777" w:rsidR="006A5267" w:rsidRDefault="006A5267" w:rsidP="008B4B2B">
                      <w:pPr>
                        <w:spacing w:line="240" w:lineRule="exact"/>
                        <w:rPr>
                          <w:rFonts w:ascii="ＭＳ ゴシック" w:eastAsia="ＭＳ ゴシック" w:hAnsi="ＭＳ ゴシック"/>
                          <w:sz w:val="20"/>
                          <w:szCs w:val="20"/>
                        </w:rPr>
                      </w:pPr>
                      <w:r>
                        <w:rPr>
                          <w:rFonts w:ascii="ＭＳ ゴシック" w:eastAsia="ＭＳ ゴシック" w:hAnsi="ＭＳ ゴシック" w:hint="eastAsia"/>
                          <w:sz w:val="20"/>
                          <w:szCs w:val="20"/>
                        </w:rPr>
                        <w:t>（災害拠点病院等）</w:t>
                      </w:r>
                    </w:p>
                    <w:p w14:paraId="6BC8B4EB" w14:textId="77777777" w:rsidR="006A5267" w:rsidRPr="00B666C1" w:rsidRDefault="006A5267" w:rsidP="008B4B2B">
                      <w:pPr>
                        <w:spacing w:line="240" w:lineRule="exact"/>
                        <w:ind w:firstLineChars="100" w:firstLine="201"/>
                        <w:rPr>
                          <w:rFonts w:ascii="ＭＳ ゴシック" w:eastAsia="ＭＳ ゴシック" w:hAnsi="ＭＳ ゴシック"/>
                          <w:sz w:val="20"/>
                          <w:szCs w:val="20"/>
                        </w:rPr>
                      </w:pPr>
                      <w:r>
                        <w:rPr>
                          <w:rFonts w:ascii="ＭＳ ゴシック" w:eastAsia="ＭＳ ゴシック" w:hAnsi="ＭＳ ゴシック" w:hint="eastAsia"/>
                          <w:sz w:val="20"/>
                          <w:szCs w:val="20"/>
                        </w:rPr>
                        <w:t>・患者の入院・治療</w:t>
                      </w:r>
                    </w:p>
                  </w:txbxContent>
                </v:textbox>
              </v:shape>
            </w:pict>
          </mc:Fallback>
        </mc:AlternateContent>
      </w:r>
    </w:p>
    <w:p w14:paraId="560ACD7E" w14:textId="77777777" w:rsidR="008B4B2B" w:rsidRPr="001D6D10" w:rsidRDefault="008B4B2B" w:rsidP="008B4B2B">
      <w:pPr>
        <w:rPr>
          <w:rFonts w:ascii="ＭＳ ゴシック" w:eastAsia="ＭＳ ゴシック" w:hAnsi="ＭＳ ゴシック"/>
          <w:sz w:val="22"/>
          <w:szCs w:val="22"/>
        </w:rPr>
      </w:pPr>
      <w:r w:rsidRPr="001D6D10">
        <w:rPr>
          <w:rFonts w:ascii="ＭＳ ゴシック" w:eastAsia="ＭＳ ゴシック" w:hAnsi="ＭＳ ゴシック" w:hint="eastAsia"/>
          <w:noProof/>
          <w:sz w:val="22"/>
          <w:szCs w:val="22"/>
        </w:rPr>
        <mc:AlternateContent>
          <mc:Choice Requires="wps">
            <w:drawing>
              <wp:anchor distT="0" distB="0" distL="114300" distR="114300" simplePos="0" relativeHeight="253205504" behindDoc="0" locked="0" layoutInCell="1" allowOverlap="1" wp14:anchorId="618B0709" wp14:editId="75A978F7">
                <wp:simplePos x="0" y="0"/>
                <wp:positionH relativeFrom="column">
                  <wp:posOffset>571500</wp:posOffset>
                </wp:positionH>
                <wp:positionV relativeFrom="paragraph">
                  <wp:posOffset>114300</wp:posOffset>
                </wp:positionV>
                <wp:extent cx="4572000" cy="0"/>
                <wp:effectExtent l="9525" t="9525" r="9525" b="9525"/>
                <wp:wrapNone/>
                <wp:docPr id="4088" name="Line 240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5720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line w14:anchorId="2733DE3A" id="Line 2402" o:spid="_x0000_s1026" style="position:absolute;left:0;text-align:left;z-index:253205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5pt,9pt" to="405pt,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"/>
            </w:pict>
          </mc:Fallback>
        </mc:AlternateContent>
      </w:r>
    </w:p>
    <w:p w14:paraId="777A2EC4" w14:textId="77777777" w:rsidR="008B4B2B" w:rsidRPr="001D6D10" w:rsidRDefault="008B4B2B" w:rsidP="008B4B2B">
      <w:pPr>
        <w:rPr>
          <w:rFonts w:ascii="ＭＳ ゴシック" w:eastAsia="ＭＳ ゴシック" w:hAnsi="ＭＳ ゴシック"/>
          <w:sz w:val="22"/>
          <w:szCs w:val="22"/>
        </w:rPr>
      </w:pPr>
    </w:p>
    <w:p w14:paraId="256106CC" w14:textId="09735371" w:rsidR="000923FC" w:rsidRPr="00E0548A" w:rsidRDefault="000923FC">
      <w:pPr>
        <w:widowControl/>
        <w:jc w:val="left"/>
        <w:rPr>
          <w:rFonts w:ascii="ＭＳ ゴシック" w:eastAsia="ＭＳ ゴシック" w:hAnsi="ＭＳ ゴシック" w:cs="Courier New"/>
          <w:sz w:val="22"/>
          <w:szCs w:val="22"/>
        </w:rPr>
      </w:pPr>
      <w:r w:rsidRPr="00E0548A">
        <w:rPr>
          <w:rFonts w:ascii="ＭＳ ゴシック" w:eastAsia="ＭＳ ゴシック" w:hAnsi="ＭＳ ゴシック"/>
          <w:sz w:val="22"/>
          <w:szCs w:val="22"/>
        </w:rPr>
        <w:br w:type="page"/>
      </w:r>
    </w:p>
    <w:p w14:paraId="164E81AD" w14:textId="783DE614" w:rsidR="008B4B2B" w:rsidRPr="001D6D10" w:rsidRDefault="008B4B2B" w:rsidP="00FE1C75">
      <w:pPr>
        <w:pStyle w:val="a0"/>
        <w:ind w:firstLineChars="200" w:firstLine="442"/>
        <w:outlineLvl w:val="2"/>
        <w:rPr>
          <w:rFonts w:ascii="ＭＳ ゴシック" w:eastAsia="ＭＳ ゴシック" w:hAnsi="ＭＳ ゴシック"/>
          <w:sz w:val="22"/>
          <w:szCs w:val="22"/>
          <w:u w:val="double"/>
          <w:shd w:val="pct15" w:color="auto" w:fill="FFFFFF"/>
        </w:rPr>
      </w:pPr>
      <w:bookmarkStart w:id="252" w:name="_Toc122436932"/>
      <w:bookmarkStart w:id="253" w:name="_Toc222486615"/>
      <w:bookmarkStart w:id="254" w:name="_Toc242870285"/>
      <w:r w:rsidRPr="001D6D10">
        <w:rPr>
          <w:rFonts w:ascii="ＭＳ ゴシック" w:eastAsia="ＭＳ ゴシック" w:hAnsi="ＭＳ ゴシック" w:hint="eastAsia"/>
          <w:sz w:val="22"/>
          <w:szCs w:val="22"/>
          <w:u w:val="double"/>
        </w:rPr>
        <w:lastRenderedPageBreak/>
        <w:t>第１　保健医療活動に関する府の組織体制</w:t>
      </w:r>
      <w:r w:rsidRPr="001D6D10">
        <w:rPr>
          <w:rFonts w:ascii="ＭＳ ゴシック" w:eastAsia="ＭＳ ゴシック" w:hAnsi="ＭＳ ゴシック" w:hint="eastAsia"/>
          <w:sz w:val="22"/>
          <w:szCs w:val="22"/>
          <w:u w:val="double"/>
          <w:shd w:val="pct15" w:color="auto" w:fill="FFFFFF"/>
        </w:rPr>
        <w:t>【第１フェーズ～】</w:t>
      </w:r>
      <w:bookmarkEnd w:id="252"/>
      <w:bookmarkEnd w:id="253"/>
      <w:bookmarkEnd w:id="254"/>
    </w:p>
    <w:p w14:paraId="5CD17AD9" w14:textId="77777777" w:rsidR="008B4B2B" w:rsidRPr="001D6D10" w:rsidRDefault="008B4B2B" w:rsidP="008B4B2B">
      <w:pPr>
        <w:pStyle w:val="a0"/>
        <w:ind w:firstLineChars="500" w:firstLine="1105"/>
        <w:rPr>
          <w:rFonts w:ascii="ＭＳ ゴシック" w:eastAsia="ＭＳ ゴシック" w:hAnsi="ＭＳ ゴシック"/>
          <w:sz w:val="22"/>
          <w:szCs w:val="22"/>
          <w:bdr w:val="single" w:sz="4" w:space="0" w:color="auto"/>
        </w:rPr>
      </w:pPr>
      <w:r w:rsidRPr="001D6D10">
        <w:rPr>
          <w:rFonts w:ascii="ＭＳ ゴシック" w:eastAsia="ＭＳ ゴシック" w:hAnsi="ＭＳ ゴシック" w:hint="eastAsia"/>
          <w:sz w:val="22"/>
          <w:szCs w:val="22"/>
          <w:bdr w:val="single" w:sz="4" w:space="0" w:color="auto"/>
        </w:rPr>
        <w:t>主たる担当：健康医療部関係室・課</w:t>
      </w:r>
    </w:p>
    <w:p w14:paraId="6B62CF17" w14:textId="77777777" w:rsidR="008B4B2B" w:rsidRPr="001D6D10" w:rsidRDefault="008B4B2B" w:rsidP="008B4B2B">
      <w:pPr>
        <w:pStyle w:val="a0"/>
        <w:ind w:leftChars="400" w:left="844" w:firstLineChars="100" w:firstLine="221"/>
        <w:rPr>
          <w:rFonts w:hAnsi="ＭＳ 明朝"/>
          <w:sz w:val="22"/>
          <w:szCs w:val="22"/>
        </w:rPr>
      </w:pPr>
      <w:r w:rsidRPr="001D6D10">
        <w:rPr>
          <w:rFonts w:hAnsi="ＭＳ 明朝" w:hint="eastAsia"/>
          <w:sz w:val="22"/>
          <w:szCs w:val="22"/>
        </w:rPr>
        <w:t>大規模な災害等が発生した場合には、</w:t>
      </w:r>
      <w:r w:rsidRPr="001D6D10">
        <w:rPr>
          <w:rFonts w:asciiTheme="minorEastAsia" w:eastAsiaTheme="minorEastAsia" w:hAnsiTheme="minorEastAsia" w:hint="eastAsia"/>
          <w:sz w:val="22"/>
          <w:szCs w:val="22"/>
        </w:rPr>
        <w:t>保健医療</w:t>
      </w:r>
      <w:r w:rsidRPr="001D6D10">
        <w:rPr>
          <w:rFonts w:hAnsi="ＭＳ 明朝" w:hint="eastAsia"/>
          <w:sz w:val="22"/>
          <w:szCs w:val="22"/>
        </w:rPr>
        <w:t>活動に関する災害応急活動を実施するため、必要に応じて下記組織を設置する。</w:t>
      </w:r>
    </w:p>
    <w:p w14:paraId="48AF93A6" w14:textId="77777777" w:rsidR="008B4B2B" w:rsidRPr="001D6D10" w:rsidRDefault="008B4B2B" w:rsidP="008B4B2B">
      <w:pPr>
        <w:pStyle w:val="a0"/>
        <w:numPr>
          <w:ilvl w:val="0"/>
          <w:numId w:val="12"/>
        </w:numPr>
        <w:rPr>
          <w:rFonts w:hAnsi="ＭＳ 明朝"/>
          <w:sz w:val="22"/>
          <w:szCs w:val="22"/>
        </w:rPr>
      </w:pPr>
      <w:r w:rsidRPr="001D6D10">
        <w:rPr>
          <w:rFonts w:hAnsi="ＭＳ 明朝" w:hint="eastAsia"/>
          <w:sz w:val="22"/>
          <w:szCs w:val="22"/>
        </w:rPr>
        <w:t xml:space="preserve">　保健医療活動全体の調整を行うため、災害対策本部の下に保健医療調整本部（本部長：健康医療部長）を設置する。</w:t>
      </w:r>
    </w:p>
    <w:p w14:paraId="12C02F88" w14:textId="77777777" w:rsidR="008B4B2B" w:rsidRPr="001D6D10" w:rsidRDefault="008B4B2B" w:rsidP="008B4B2B">
      <w:pPr>
        <w:pStyle w:val="a0"/>
        <w:ind w:left="1200"/>
        <w:rPr>
          <w:rFonts w:hAnsi="ＭＳ 明朝"/>
          <w:sz w:val="22"/>
          <w:szCs w:val="22"/>
        </w:rPr>
      </w:pPr>
    </w:p>
    <w:p w14:paraId="71EC4148" w14:textId="519B6C77" w:rsidR="008B4B2B" w:rsidRPr="00E0548A" w:rsidRDefault="008B4B2B" w:rsidP="008B4B2B">
      <w:pPr>
        <w:pStyle w:val="a0"/>
        <w:numPr>
          <w:ilvl w:val="0"/>
          <w:numId w:val="12"/>
        </w:numPr>
        <w:rPr>
          <w:rFonts w:hAnsi="ＭＳ 明朝"/>
          <w:sz w:val="22"/>
          <w:szCs w:val="22"/>
        </w:rPr>
      </w:pPr>
      <w:r w:rsidRPr="001D6D10">
        <w:rPr>
          <w:rFonts w:hAnsi="ＭＳ 明朝" w:hint="eastAsia"/>
          <w:sz w:val="22"/>
          <w:szCs w:val="22"/>
        </w:rPr>
        <w:t xml:space="preserve">　</w:t>
      </w:r>
      <w:r w:rsidR="006D1D41" w:rsidRPr="00E0548A">
        <w:rPr>
          <w:rFonts w:hAnsi="ＭＳ 明朝" w:hint="eastAsia"/>
          <w:sz w:val="22"/>
          <w:szCs w:val="22"/>
        </w:rPr>
        <w:t>医療・感染症対策課</w:t>
      </w:r>
      <w:r w:rsidRPr="00E0548A">
        <w:rPr>
          <w:rFonts w:hAnsi="ＭＳ 明朝" w:hint="eastAsia"/>
          <w:sz w:val="22"/>
          <w:szCs w:val="22"/>
        </w:rPr>
        <w:t>長は、ＤＭＡＴ（</w:t>
      </w:r>
      <w:r w:rsidRPr="00E0548A">
        <w:rPr>
          <w:rFonts w:hint="eastAsia"/>
          <w:sz w:val="22"/>
          <w:szCs w:val="22"/>
        </w:rPr>
        <w:t>災害派遣医療チーム：災害の発生直後の急性期（４８時間以内）に活動が開始できる機動性を持った、専門的な研修・訓練を受けた医療チーム）</w:t>
      </w:r>
      <w:r w:rsidRPr="00E0548A">
        <w:rPr>
          <w:rFonts w:hAnsi="ＭＳ 明朝" w:hint="eastAsia"/>
          <w:sz w:val="22"/>
          <w:szCs w:val="22"/>
        </w:rPr>
        <w:t>に関する指揮、関係機関等の調整を行うため、保健医療調整本部の下に、ＤＭＡＴ調整本部を設置する。</w:t>
      </w:r>
    </w:p>
    <w:p w14:paraId="0F914EEF" w14:textId="77777777" w:rsidR="008B4B2B" w:rsidRPr="00E0548A" w:rsidRDefault="008B4B2B" w:rsidP="008B4B2B">
      <w:pPr>
        <w:pStyle w:val="a0"/>
        <w:ind w:left="1200"/>
        <w:rPr>
          <w:rFonts w:hAnsi="ＭＳ 明朝" w:cs="Times New Roman"/>
          <w:sz w:val="22"/>
          <w:szCs w:val="22"/>
        </w:rPr>
      </w:pPr>
      <w:r w:rsidRPr="00E0548A">
        <w:rPr>
          <w:rFonts w:hAnsi="ＭＳ 明朝" w:cs="Times New Roman" w:hint="eastAsia"/>
          <w:sz w:val="22"/>
          <w:szCs w:val="22"/>
        </w:rPr>
        <w:t>（平時よりＤＭＡＴ調整本部長として活動する要員を統括ＤＭＡＴ登録者より複数任命しておくほか、大規模災害時等は緊急消防援助隊調整本部と情報交換を行い、ＤＭＡＴの派遣先や活動内容等の判断材料とする。）</w:t>
      </w:r>
    </w:p>
    <w:p w14:paraId="548DF054" w14:textId="77777777" w:rsidR="008B4B2B" w:rsidRPr="00E0548A" w:rsidRDefault="008B4B2B" w:rsidP="008B4B2B">
      <w:pPr>
        <w:pStyle w:val="a0"/>
        <w:rPr>
          <w:rFonts w:hAnsi="ＭＳ 明朝" w:cs="Times New Roman"/>
          <w:sz w:val="22"/>
          <w:szCs w:val="22"/>
        </w:rPr>
      </w:pPr>
    </w:p>
    <w:p w14:paraId="6449A79F" w14:textId="529CFA47" w:rsidR="008B4B2B" w:rsidRPr="00E0548A" w:rsidRDefault="008B4B2B" w:rsidP="008B4B2B">
      <w:pPr>
        <w:pStyle w:val="a0"/>
        <w:ind w:leftChars="403" w:left="1134" w:hangingChars="128" w:hanging="283"/>
        <w:rPr>
          <w:rFonts w:hAnsi="ＭＳ 明朝" w:cs="Times New Roman"/>
          <w:sz w:val="22"/>
          <w:szCs w:val="22"/>
        </w:rPr>
      </w:pPr>
      <w:r w:rsidRPr="00E0548A">
        <w:rPr>
          <w:rFonts w:hAnsi="ＭＳ 明朝" w:cs="Times New Roman"/>
          <w:sz w:val="22"/>
          <w:szCs w:val="22"/>
        </w:rPr>
        <w:t>(3)</w:t>
      </w:r>
      <w:r w:rsidRPr="00E0548A">
        <w:rPr>
          <w:rFonts w:hAnsi="ＭＳ 明朝" w:cs="Times New Roman" w:hint="eastAsia"/>
          <w:sz w:val="22"/>
          <w:szCs w:val="22"/>
        </w:rPr>
        <w:t xml:space="preserve">　</w:t>
      </w:r>
      <w:r w:rsidR="006D1D41" w:rsidRPr="00E0548A">
        <w:rPr>
          <w:rFonts w:hAnsi="ＭＳ 明朝" w:hint="eastAsia"/>
          <w:sz w:val="22"/>
          <w:szCs w:val="22"/>
        </w:rPr>
        <w:t>医療・感染症対策課</w:t>
      </w:r>
      <w:r w:rsidRPr="00E0548A">
        <w:rPr>
          <w:rFonts w:hAnsi="ＭＳ 明朝" w:hint="eastAsia"/>
          <w:sz w:val="22"/>
          <w:szCs w:val="22"/>
        </w:rPr>
        <w:t>長は、災害拠点病院において、ＤＭＡＴの派遣調整等を行うため、必要に応じ、ＤＭＡＴ調整本部の下に、ＤＭＡＴ活動拠点本部を設置する。</w:t>
      </w:r>
    </w:p>
    <w:p w14:paraId="78B0682F" w14:textId="77777777" w:rsidR="008B4B2B" w:rsidRPr="00E0548A" w:rsidRDefault="008B4B2B" w:rsidP="008B4B2B">
      <w:pPr>
        <w:pStyle w:val="a0"/>
        <w:ind w:leftChars="403" w:left="1134" w:hangingChars="128" w:hanging="283"/>
        <w:rPr>
          <w:rFonts w:hAnsi="ＭＳ 明朝" w:cs="Times New Roman"/>
          <w:sz w:val="22"/>
          <w:szCs w:val="22"/>
        </w:rPr>
      </w:pPr>
    </w:p>
    <w:p w14:paraId="2299C2B8" w14:textId="6B3A68F5" w:rsidR="008B4B2B" w:rsidRPr="00E0548A" w:rsidRDefault="008B4B2B" w:rsidP="008B4B2B">
      <w:pPr>
        <w:pStyle w:val="a0"/>
        <w:ind w:leftChars="403" w:left="1134" w:hangingChars="128" w:hanging="283"/>
        <w:rPr>
          <w:rFonts w:hAnsi="ＭＳ 明朝" w:cs="Times New Roman"/>
          <w:sz w:val="22"/>
          <w:szCs w:val="22"/>
        </w:rPr>
      </w:pPr>
      <w:r w:rsidRPr="00E0548A">
        <w:rPr>
          <w:rFonts w:hAnsi="ＭＳ 明朝" w:cs="Times New Roman" w:hint="eastAsia"/>
          <w:sz w:val="22"/>
          <w:szCs w:val="22"/>
        </w:rPr>
        <w:t xml:space="preserve">(4)　</w:t>
      </w:r>
      <w:r w:rsidR="006D1D41" w:rsidRPr="00E0548A">
        <w:rPr>
          <w:rFonts w:hAnsi="ＭＳ 明朝" w:hint="eastAsia"/>
          <w:sz w:val="22"/>
          <w:szCs w:val="22"/>
        </w:rPr>
        <w:t>医療・感染症対策課</w:t>
      </w:r>
      <w:r w:rsidRPr="00E0548A">
        <w:rPr>
          <w:rFonts w:hAnsi="ＭＳ 明朝" w:hint="eastAsia"/>
          <w:sz w:val="22"/>
          <w:szCs w:val="22"/>
        </w:rPr>
        <w:t>長は、航空搬送拠点臨時医療施設（ＳＣＵ）において、広域医療搬送や地域医療搬送の調整を行うため、必要に応じ、ＤＭＡＴ調整本部の下に、ＳＣＵ本部を設置する。</w:t>
      </w:r>
    </w:p>
    <w:p w14:paraId="7FCFD931" w14:textId="77777777" w:rsidR="008B4B2B" w:rsidRPr="00E0548A" w:rsidRDefault="008B4B2B" w:rsidP="008B4B2B">
      <w:pPr>
        <w:pStyle w:val="a0"/>
        <w:ind w:leftChars="403" w:left="1134" w:hangingChars="128" w:hanging="283"/>
        <w:rPr>
          <w:rFonts w:hAnsi="ＭＳ 明朝" w:cs="Times New Roman"/>
          <w:sz w:val="22"/>
          <w:szCs w:val="22"/>
        </w:rPr>
      </w:pPr>
    </w:p>
    <w:p w14:paraId="63CC3086" w14:textId="77777777" w:rsidR="008B4B2B" w:rsidRPr="00E0548A" w:rsidRDefault="008B4B2B" w:rsidP="008B4B2B">
      <w:pPr>
        <w:pStyle w:val="a0"/>
        <w:ind w:leftChars="403" w:left="1134" w:hangingChars="128" w:hanging="283"/>
        <w:rPr>
          <w:rFonts w:hAnsi="ＭＳ 明朝" w:cs="Times New Roman"/>
          <w:sz w:val="22"/>
          <w:szCs w:val="22"/>
        </w:rPr>
      </w:pPr>
      <w:r w:rsidRPr="00E0548A">
        <w:rPr>
          <w:rFonts w:hAnsi="ＭＳ 明朝" w:cs="Times New Roman"/>
          <w:sz w:val="22"/>
          <w:szCs w:val="22"/>
        </w:rPr>
        <w:t>(5)</w:t>
      </w:r>
      <w:r w:rsidRPr="00E0548A">
        <w:rPr>
          <w:rFonts w:hAnsi="ＭＳ 明朝" w:cs="Times New Roman" w:hint="eastAsia"/>
          <w:sz w:val="22"/>
          <w:szCs w:val="22"/>
        </w:rPr>
        <w:t xml:space="preserve">　</w:t>
      </w:r>
      <w:r w:rsidRPr="00E0548A">
        <w:rPr>
          <w:rFonts w:hAnsi="ＭＳ 明朝" w:hint="eastAsia"/>
          <w:sz w:val="22"/>
          <w:szCs w:val="22"/>
        </w:rPr>
        <w:t>地域保健課長は、ＤＰＡＴ（災害派遣精神医療チーム）に関する指揮、関係機関等の調整を行うため、保健医療調整本部の下に、ＤＰＡＴ調整本部を設置する。</w:t>
      </w:r>
    </w:p>
    <w:p w14:paraId="2B6E6B1C" w14:textId="77777777" w:rsidR="008B4B2B" w:rsidRPr="00E0548A" w:rsidRDefault="008B4B2B" w:rsidP="008B4B2B">
      <w:pPr>
        <w:pStyle w:val="a0"/>
        <w:ind w:leftChars="403" w:left="1134" w:hangingChars="128" w:hanging="283"/>
        <w:rPr>
          <w:rFonts w:hAnsi="ＭＳ 明朝" w:cs="Times New Roman"/>
          <w:sz w:val="22"/>
          <w:szCs w:val="22"/>
        </w:rPr>
      </w:pPr>
    </w:p>
    <w:p w14:paraId="460FD043" w14:textId="77777777" w:rsidR="008B4B2B" w:rsidRPr="00E0548A" w:rsidRDefault="008B4B2B" w:rsidP="008B4B2B">
      <w:pPr>
        <w:pStyle w:val="a0"/>
        <w:ind w:leftChars="403" w:left="1134" w:hangingChars="128" w:hanging="283"/>
        <w:rPr>
          <w:rFonts w:hAnsi="ＭＳ 明朝" w:cs="Times New Roman"/>
          <w:sz w:val="22"/>
          <w:szCs w:val="22"/>
        </w:rPr>
      </w:pPr>
      <w:r w:rsidRPr="00E0548A">
        <w:rPr>
          <w:rFonts w:hAnsi="ＭＳ 明朝" w:cs="Times New Roman" w:hint="eastAsia"/>
          <w:sz w:val="22"/>
          <w:szCs w:val="22"/>
        </w:rPr>
        <w:t xml:space="preserve">(6)　</w:t>
      </w:r>
      <w:r w:rsidRPr="00E0548A">
        <w:rPr>
          <w:rFonts w:hAnsi="ＭＳ 明朝" w:hint="eastAsia"/>
          <w:sz w:val="22"/>
          <w:szCs w:val="22"/>
        </w:rPr>
        <w:t>府保健所長は、管内の地域保健医療全体の調整を行うため、府保健所内に保健所保健医療調整本部（本部長：保健所長）を設置する。</w:t>
      </w:r>
    </w:p>
    <w:p w14:paraId="67B571EE" w14:textId="77777777" w:rsidR="008B4B2B" w:rsidRPr="00E0548A" w:rsidRDefault="008B4B2B" w:rsidP="008B4B2B">
      <w:pPr>
        <w:pStyle w:val="a0"/>
        <w:ind w:firstLineChars="200" w:firstLine="442"/>
        <w:rPr>
          <w:rFonts w:hAnsi="ＭＳ 明朝"/>
          <w:sz w:val="22"/>
          <w:szCs w:val="22"/>
        </w:rPr>
      </w:pPr>
    </w:p>
    <w:p w14:paraId="36E09E43" w14:textId="77777777" w:rsidR="008B4B2B" w:rsidRPr="00E0548A" w:rsidRDefault="008B4B2B" w:rsidP="00FE1C75">
      <w:pPr>
        <w:pStyle w:val="a0"/>
        <w:ind w:firstLineChars="200" w:firstLine="442"/>
        <w:outlineLvl w:val="2"/>
        <w:rPr>
          <w:rFonts w:ascii="ＭＳ ゴシック" w:eastAsia="ＭＳ ゴシック"/>
          <w:sz w:val="22"/>
          <w:szCs w:val="22"/>
          <w:u w:val="double"/>
        </w:rPr>
      </w:pPr>
      <w:bookmarkStart w:id="255" w:name="_Toc122436933"/>
      <w:bookmarkStart w:id="256" w:name="_Toc222486616"/>
      <w:bookmarkStart w:id="257" w:name="_Toc242870286"/>
      <w:r w:rsidRPr="00E0548A">
        <w:rPr>
          <w:rFonts w:ascii="ＭＳ ゴシック" w:eastAsia="ＭＳ ゴシック" w:hint="eastAsia"/>
          <w:sz w:val="22"/>
          <w:szCs w:val="22"/>
          <w:u w:val="double"/>
        </w:rPr>
        <w:t>第２　医療情報の収集・提供活動</w:t>
      </w:r>
      <w:r w:rsidRPr="00E0548A">
        <w:rPr>
          <w:rFonts w:ascii="ＭＳ ゴシック" w:eastAsia="ＭＳ ゴシック" w:hint="eastAsia"/>
          <w:sz w:val="22"/>
          <w:szCs w:val="22"/>
          <w:u w:val="double"/>
          <w:shd w:val="pct15" w:color="auto" w:fill="FFFFFF"/>
        </w:rPr>
        <w:t>【第１フェーズ～】</w:t>
      </w:r>
      <w:bookmarkEnd w:id="255"/>
      <w:bookmarkEnd w:id="256"/>
      <w:bookmarkEnd w:id="257"/>
    </w:p>
    <w:p w14:paraId="62245245" w14:textId="77777777" w:rsidR="008B4B2B" w:rsidRPr="00E0548A" w:rsidRDefault="008B4B2B" w:rsidP="008B4B2B">
      <w:pPr>
        <w:pStyle w:val="a0"/>
        <w:ind w:firstLineChars="500" w:firstLine="1105"/>
        <w:rPr>
          <w:rFonts w:ascii="ＭＳ ゴシック" w:eastAsia="ＭＳ ゴシック" w:hAnsi="ＭＳ ゴシック"/>
          <w:sz w:val="22"/>
          <w:szCs w:val="22"/>
        </w:rPr>
      </w:pPr>
      <w:r w:rsidRPr="00E0548A">
        <w:rPr>
          <w:rFonts w:ascii="ＭＳ ゴシック" w:eastAsia="ＭＳ ゴシック" w:hAnsi="ＭＳ ゴシック" w:hint="eastAsia"/>
          <w:sz w:val="22"/>
          <w:szCs w:val="22"/>
          <w:bdr w:val="single" w:sz="4" w:space="0" w:color="auto"/>
        </w:rPr>
        <w:t>主たる担当：健康医療部関係室・課</w:t>
      </w:r>
    </w:p>
    <w:p w14:paraId="26750A6B" w14:textId="3AD95FD0" w:rsidR="008B4B2B" w:rsidRPr="00E0548A" w:rsidRDefault="008B4B2B" w:rsidP="007E668F">
      <w:pPr>
        <w:pStyle w:val="a0"/>
        <w:numPr>
          <w:ilvl w:val="0"/>
          <w:numId w:val="13"/>
        </w:numPr>
        <w:rPr>
          <w:rFonts w:hAnsi="ＭＳ 明朝"/>
          <w:sz w:val="22"/>
          <w:szCs w:val="22"/>
        </w:rPr>
      </w:pPr>
      <w:r w:rsidRPr="00E0548A">
        <w:rPr>
          <w:rFonts w:hAnsi="ＭＳ 明朝" w:hint="eastAsia"/>
          <w:sz w:val="22"/>
          <w:szCs w:val="22"/>
        </w:rPr>
        <w:t xml:space="preserve">　健康医療総務課長、</w:t>
      </w:r>
      <w:r w:rsidR="006D1D41" w:rsidRPr="00E0548A">
        <w:rPr>
          <w:rFonts w:hAnsi="ＭＳ 明朝" w:hint="eastAsia"/>
          <w:sz w:val="22"/>
          <w:szCs w:val="22"/>
        </w:rPr>
        <w:t>医療・感染症対策課</w:t>
      </w:r>
      <w:r w:rsidRPr="00E0548A">
        <w:rPr>
          <w:rFonts w:hAnsi="ＭＳ 明朝" w:hint="eastAsia"/>
          <w:sz w:val="22"/>
          <w:szCs w:val="22"/>
        </w:rPr>
        <w:t>長、地域保健課長、健康づくり課長及び薬務課長は、医療提供施設（歯科及び薬局を含む）の被災・活動状況や患者受入情報など、医療ニーズの迅速かつ的確な把握・収集に努める。</w:t>
      </w:r>
    </w:p>
    <w:p w14:paraId="731D6D2E" w14:textId="403D7C1D" w:rsidR="008B4B2B" w:rsidRPr="00E0548A" w:rsidRDefault="006D1D41" w:rsidP="008B4B2B">
      <w:pPr>
        <w:pStyle w:val="a0"/>
        <w:ind w:left="1245" w:firstLineChars="100" w:firstLine="221"/>
        <w:rPr>
          <w:sz w:val="22"/>
          <w:szCs w:val="22"/>
        </w:rPr>
      </w:pPr>
      <w:r w:rsidRPr="00E0548A">
        <w:rPr>
          <w:rFonts w:hAnsi="ＭＳ 明朝" w:hint="eastAsia"/>
          <w:sz w:val="22"/>
          <w:szCs w:val="22"/>
        </w:rPr>
        <w:t>医療・感染症対策課</w:t>
      </w:r>
      <w:r w:rsidR="008B4B2B" w:rsidRPr="00E0548A">
        <w:rPr>
          <w:rFonts w:hAnsi="ＭＳ 明朝" w:hint="eastAsia"/>
          <w:sz w:val="22"/>
          <w:szCs w:val="22"/>
        </w:rPr>
        <w:t>長は、震度５弱以上の地震が発生した場合等は、広域災害救急医療情報システム（ＥＭＩＳ）の災害運用を行い、災害医療機関から被災医療情報を収集する。</w:t>
      </w:r>
    </w:p>
    <w:p w14:paraId="4AF27466" w14:textId="5695DAAD" w:rsidR="008B4B2B" w:rsidRPr="00E0548A" w:rsidRDefault="008B4B2B" w:rsidP="008B4B2B">
      <w:pPr>
        <w:overflowPunct w:val="0"/>
        <w:autoSpaceDE w:val="0"/>
        <w:autoSpaceDN w:val="0"/>
        <w:ind w:leftChars="420" w:left="1219" w:rightChars="-322" w:right="-680" w:hangingChars="150" w:hanging="332"/>
        <w:rPr>
          <w:rFonts w:hAnsi="ＭＳ 明朝"/>
          <w:sz w:val="22"/>
          <w:szCs w:val="22"/>
        </w:rPr>
      </w:pPr>
      <w:r w:rsidRPr="00E0548A">
        <w:rPr>
          <w:rFonts w:ascii="ＭＳ 明朝" w:hAnsi="ＭＳ 明朝" w:hint="eastAsia"/>
          <w:sz w:val="22"/>
          <w:szCs w:val="22"/>
        </w:rPr>
        <w:lastRenderedPageBreak/>
        <w:t xml:space="preserve">(2)　</w:t>
      </w:r>
      <w:r w:rsidR="006D1D41" w:rsidRPr="00E0548A">
        <w:rPr>
          <w:rFonts w:ascii="ＭＳ 明朝" w:hAnsi="ＭＳ 明朝" w:hint="eastAsia"/>
          <w:sz w:val="22"/>
          <w:szCs w:val="22"/>
        </w:rPr>
        <w:t>医療・感染症対策課</w:t>
      </w:r>
      <w:r w:rsidRPr="00E0548A">
        <w:rPr>
          <w:rFonts w:hAnsi="ＭＳ 明朝" w:hint="eastAsia"/>
          <w:sz w:val="22"/>
          <w:szCs w:val="22"/>
        </w:rPr>
        <w:t>長は、把握した医療機関被災・活動情報を府域の市町村等に提供する。</w:t>
      </w:r>
    </w:p>
    <w:p w14:paraId="52683C1A" w14:textId="77777777" w:rsidR="008B4B2B" w:rsidRPr="00E0548A" w:rsidRDefault="008B4B2B" w:rsidP="008B4B2B">
      <w:pPr>
        <w:overflowPunct w:val="0"/>
        <w:autoSpaceDE w:val="0"/>
        <w:autoSpaceDN w:val="0"/>
        <w:ind w:leftChars="420" w:left="1219" w:hangingChars="150" w:hanging="332"/>
        <w:rPr>
          <w:rFonts w:hAnsi="ＭＳ 明朝"/>
          <w:sz w:val="22"/>
          <w:szCs w:val="22"/>
        </w:rPr>
      </w:pPr>
    </w:p>
    <w:p w14:paraId="03D6A37D" w14:textId="77777777" w:rsidR="008B4B2B" w:rsidRPr="00E0548A" w:rsidRDefault="008B4B2B" w:rsidP="008B4B2B">
      <w:pPr>
        <w:pStyle w:val="a0"/>
        <w:ind w:left="1216" w:rightChars="-120" w:right="-253" w:hangingChars="550" w:hanging="1216"/>
        <w:rPr>
          <w:sz w:val="22"/>
          <w:szCs w:val="22"/>
        </w:rPr>
      </w:pPr>
      <w:r w:rsidRPr="00E0548A">
        <w:rPr>
          <w:rFonts w:hint="eastAsia"/>
          <w:sz w:val="22"/>
          <w:szCs w:val="22"/>
        </w:rPr>
        <w:t xml:space="preserve">　　　　(3)　</w:t>
      </w:r>
      <w:r w:rsidRPr="00E0548A">
        <w:rPr>
          <w:rFonts w:hAnsi="ＭＳ 明朝" w:hint="eastAsia"/>
          <w:sz w:val="22"/>
          <w:szCs w:val="22"/>
        </w:rPr>
        <w:t>健康医療総務課長は、把握した医療機関被災・活動情報を府域の保健所に提供する。</w:t>
      </w:r>
    </w:p>
    <w:p w14:paraId="5C4AB76B" w14:textId="77777777" w:rsidR="008B4B2B" w:rsidRPr="00E0548A" w:rsidRDefault="008B4B2B" w:rsidP="008B4B2B">
      <w:pPr>
        <w:pStyle w:val="a0"/>
        <w:ind w:left="1216" w:hangingChars="550" w:hanging="1216"/>
        <w:rPr>
          <w:sz w:val="22"/>
          <w:szCs w:val="22"/>
        </w:rPr>
      </w:pPr>
    </w:p>
    <w:p w14:paraId="396B68E0" w14:textId="6581246B" w:rsidR="008B4B2B" w:rsidRPr="00E0548A" w:rsidRDefault="008B4B2B" w:rsidP="008B4B2B">
      <w:pPr>
        <w:pStyle w:val="a0"/>
        <w:ind w:left="1216" w:hangingChars="550" w:hanging="1216"/>
        <w:rPr>
          <w:rFonts w:hAnsi="ＭＳ 明朝"/>
          <w:sz w:val="22"/>
          <w:szCs w:val="22"/>
        </w:rPr>
      </w:pPr>
      <w:r w:rsidRPr="00E0548A">
        <w:rPr>
          <w:rFonts w:hint="eastAsia"/>
          <w:sz w:val="22"/>
          <w:szCs w:val="22"/>
        </w:rPr>
        <w:t xml:space="preserve">　　　　(4)　</w:t>
      </w:r>
      <w:r w:rsidRPr="00E0548A">
        <w:rPr>
          <w:rFonts w:hAnsi="ＭＳ 明朝" w:hint="eastAsia"/>
          <w:sz w:val="22"/>
          <w:szCs w:val="22"/>
        </w:rPr>
        <w:t>健康医療総務課長は、災害対策課長を通じて、医療機関の復旧に係る対策をライフライン事業者等関係機関に要請する。</w:t>
      </w:r>
      <w:r w:rsidR="00787FEE" w:rsidRPr="00C3621B">
        <w:rPr>
          <w:rFonts w:hAnsi="ＭＳ 明朝" w:cs="Times New Roman" w:hint="eastAsia"/>
          <w:sz w:val="22"/>
        </w:rPr>
        <w:t>また、必要に応じて、被災地域内の港湾における船舶を活用した医療活動を、災害対策本部から国に要請する。</w:t>
      </w:r>
    </w:p>
    <w:p w14:paraId="68A32D84" w14:textId="77777777" w:rsidR="008B4B2B" w:rsidRPr="00E0548A" w:rsidRDefault="008B4B2B" w:rsidP="008B4B2B">
      <w:pPr>
        <w:pStyle w:val="a0"/>
        <w:ind w:firstLineChars="200" w:firstLine="442"/>
        <w:rPr>
          <w:rFonts w:hAnsi="ＭＳ 明朝"/>
          <w:sz w:val="22"/>
          <w:szCs w:val="22"/>
        </w:rPr>
      </w:pPr>
    </w:p>
    <w:p w14:paraId="5716207B" w14:textId="77777777" w:rsidR="008B4B2B" w:rsidRPr="00E0548A" w:rsidRDefault="008B4B2B" w:rsidP="00FE1C75">
      <w:pPr>
        <w:pStyle w:val="a0"/>
        <w:ind w:firstLineChars="200" w:firstLine="442"/>
        <w:outlineLvl w:val="2"/>
        <w:rPr>
          <w:rFonts w:ascii="ＭＳ ゴシック" w:eastAsia="ＭＳ ゴシック"/>
          <w:sz w:val="22"/>
          <w:szCs w:val="22"/>
          <w:u w:val="double"/>
        </w:rPr>
      </w:pPr>
      <w:bookmarkStart w:id="258" w:name="_Toc122436934"/>
      <w:bookmarkStart w:id="259" w:name="_Toc222486617"/>
      <w:bookmarkStart w:id="260" w:name="_Toc242870287"/>
      <w:r w:rsidRPr="00E0548A">
        <w:rPr>
          <w:rFonts w:ascii="ＭＳ ゴシック" w:eastAsia="ＭＳ ゴシック" w:hint="eastAsia"/>
          <w:sz w:val="22"/>
          <w:szCs w:val="22"/>
          <w:u w:val="double"/>
        </w:rPr>
        <w:t>第３　現地医療対策</w:t>
      </w:r>
      <w:bookmarkEnd w:id="258"/>
      <w:bookmarkEnd w:id="259"/>
      <w:bookmarkEnd w:id="260"/>
    </w:p>
    <w:p w14:paraId="06E8EE5F" w14:textId="77777777" w:rsidR="008B4B2B" w:rsidRPr="00E0548A" w:rsidRDefault="008B4B2B" w:rsidP="008B4B2B">
      <w:pPr>
        <w:pStyle w:val="a0"/>
        <w:ind w:firstLineChars="500" w:firstLine="1105"/>
        <w:rPr>
          <w:rFonts w:ascii="ＭＳ ゴシック" w:eastAsia="ＭＳ ゴシック" w:hAnsi="ＭＳ ゴシック"/>
          <w:sz w:val="22"/>
          <w:szCs w:val="22"/>
        </w:rPr>
      </w:pPr>
      <w:r w:rsidRPr="00E0548A">
        <w:rPr>
          <w:rFonts w:ascii="ＭＳ ゴシック" w:eastAsia="ＭＳ ゴシック" w:hAnsi="ＭＳ ゴシック" w:hint="eastAsia"/>
          <w:sz w:val="22"/>
          <w:szCs w:val="22"/>
          <w:bdr w:val="single" w:sz="4" w:space="0" w:color="auto"/>
        </w:rPr>
        <w:t>主たる担当：健康医療部関係室・課</w:t>
      </w:r>
    </w:p>
    <w:p w14:paraId="310D6444" w14:textId="77777777" w:rsidR="008B4B2B" w:rsidRPr="00E0548A" w:rsidRDefault="008B4B2B" w:rsidP="008B4B2B">
      <w:pPr>
        <w:pStyle w:val="a0"/>
        <w:ind w:firstLineChars="300" w:firstLine="663"/>
        <w:rPr>
          <w:rFonts w:ascii="ＭＳ ゴシック" w:eastAsia="ＭＳ ゴシック" w:hAnsi="ＭＳ ゴシック"/>
          <w:sz w:val="22"/>
          <w:szCs w:val="22"/>
          <w:u w:val="single"/>
        </w:rPr>
      </w:pPr>
      <w:r w:rsidRPr="00E0548A">
        <w:rPr>
          <w:rFonts w:ascii="ＭＳ ゴシック" w:eastAsia="ＭＳ ゴシック" w:hAnsi="ＭＳ ゴシック" w:hint="eastAsia"/>
          <w:sz w:val="22"/>
          <w:szCs w:val="22"/>
          <w:u w:val="single"/>
        </w:rPr>
        <w:t>１　保健医療活動チームの派遣要請</w:t>
      </w:r>
      <w:r w:rsidRPr="00E0548A">
        <w:rPr>
          <w:rFonts w:ascii="ＭＳ ゴシック" w:eastAsia="ＭＳ ゴシック" w:hAnsi="ＭＳ ゴシック" w:hint="eastAsia"/>
          <w:sz w:val="22"/>
          <w:szCs w:val="22"/>
          <w:u w:val="single"/>
          <w:shd w:val="pct15" w:color="auto" w:fill="FFFFFF"/>
        </w:rPr>
        <w:t>【第１フェーズ～】</w:t>
      </w:r>
    </w:p>
    <w:p w14:paraId="69CC4F8E" w14:textId="36F64630" w:rsidR="008B4B2B" w:rsidRPr="00E0548A" w:rsidRDefault="008B4B2B" w:rsidP="008B4B2B">
      <w:pPr>
        <w:overflowPunct w:val="0"/>
        <w:autoSpaceDE w:val="0"/>
        <w:autoSpaceDN w:val="0"/>
        <w:ind w:leftChars="417" w:left="880" w:firstLineChars="100" w:firstLine="221"/>
        <w:rPr>
          <w:rFonts w:hAnsi="ＭＳ 明朝"/>
          <w:sz w:val="22"/>
          <w:szCs w:val="22"/>
        </w:rPr>
      </w:pPr>
      <w:r w:rsidRPr="00E0548A">
        <w:rPr>
          <w:rFonts w:ascii="ＭＳ 明朝" w:hAnsi="ＭＳ 明朝" w:hint="eastAsia"/>
          <w:sz w:val="22"/>
          <w:szCs w:val="22"/>
        </w:rPr>
        <w:t>保健医療活動チーム</w:t>
      </w:r>
      <w:r w:rsidRPr="00E0548A">
        <w:rPr>
          <w:rFonts w:hAnsi="ＭＳ 明朝" w:hint="eastAsia"/>
          <w:sz w:val="22"/>
          <w:szCs w:val="22"/>
        </w:rPr>
        <w:t>は、ＤＭＡＴ、ＪＭＡＴ、日赤救護班、ＤＰＡＴ、</w:t>
      </w:r>
      <w:r w:rsidR="002A07A1" w:rsidRPr="00E0548A">
        <w:rPr>
          <w:rFonts w:hAnsi="ＭＳ 明朝" w:hint="eastAsia"/>
          <w:sz w:val="22"/>
          <w:szCs w:val="22"/>
        </w:rPr>
        <w:t>歯科医療班（ＪＤＡＴ）</w:t>
      </w:r>
      <w:r w:rsidRPr="00E0548A">
        <w:rPr>
          <w:rFonts w:hAnsi="ＭＳ 明朝" w:hint="eastAsia"/>
          <w:sz w:val="22"/>
          <w:szCs w:val="22"/>
        </w:rPr>
        <w:t>、薬剤師チーム等災害対策に係る保健医療活動を行うチームをいう。</w:t>
      </w:r>
    </w:p>
    <w:p w14:paraId="5E14E608" w14:textId="77777777" w:rsidR="008B4B2B" w:rsidRPr="00E0548A" w:rsidRDefault="008B4B2B" w:rsidP="008B4B2B">
      <w:pPr>
        <w:overflowPunct w:val="0"/>
        <w:autoSpaceDE w:val="0"/>
        <w:autoSpaceDN w:val="0"/>
        <w:ind w:leftChars="417" w:left="880" w:firstLineChars="100" w:firstLine="221"/>
        <w:rPr>
          <w:rFonts w:hAnsi="ＭＳ 明朝"/>
          <w:sz w:val="22"/>
          <w:szCs w:val="22"/>
        </w:rPr>
      </w:pPr>
      <w:r w:rsidRPr="00E0548A">
        <w:rPr>
          <w:rFonts w:hAnsi="ＭＳ 明朝" w:hint="eastAsia"/>
          <w:sz w:val="22"/>
          <w:szCs w:val="22"/>
        </w:rPr>
        <w:t>災害拠点病院、ＤＭＡＴ活動拠点本部、保健所及び市町村（保健所設置市含む。）等からの各保健医療活動チームの派遣要請は、保健医療調整本部で集約し、ＤＭＡＴ調整本部、ＤＰＡＴ調整本部及び各担当課等が各団体との協定等に基づき行う。</w:t>
      </w:r>
    </w:p>
    <w:p w14:paraId="62C9ACE0" w14:textId="77777777" w:rsidR="008B4B2B" w:rsidRPr="00E0548A" w:rsidRDefault="008B4B2B" w:rsidP="008B4B2B">
      <w:pPr>
        <w:overflowPunct w:val="0"/>
        <w:autoSpaceDE w:val="0"/>
        <w:autoSpaceDN w:val="0"/>
        <w:ind w:leftChars="417" w:left="880" w:firstLineChars="100" w:firstLine="221"/>
        <w:rPr>
          <w:rFonts w:hAnsi="ＭＳ 明朝"/>
          <w:sz w:val="22"/>
          <w:szCs w:val="22"/>
        </w:rPr>
      </w:pPr>
      <w:r w:rsidRPr="00E0548A">
        <w:rPr>
          <w:rFonts w:hAnsi="ＭＳ 明朝" w:hint="eastAsia"/>
          <w:sz w:val="22"/>
          <w:szCs w:val="22"/>
        </w:rPr>
        <w:t>派遣された保健医療活動チームは、被災地内の各病院や避難所等において関係機関と情報の共有化を図り、保健医療活動を行う。</w:t>
      </w:r>
    </w:p>
    <w:p w14:paraId="6DFA03C2" w14:textId="77777777" w:rsidR="008B4B2B" w:rsidRPr="00E0548A" w:rsidRDefault="008B4B2B" w:rsidP="008B4B2B">
      <w:pPr>
        <w:overflowPunct w:val="0"/>
        <w:autoSpaceDE w:val="0"/>
        <w:autoSpaceDN w:val="0"/>
        <w:ind w:leftChars="417" w:left="880" w:firstLineChars="100" w:firstLine="221"/>
        <w:rPr>
          <w:sz w:val="22"/>
          <w:szCs w:val="22"/>
        </w:rPr>
      </w:pPr>
      <w:r w:rsidRPr="00E0548A">
        <w:rPr>
          <w:rFonts w:hint="eastAsia"/>
          <w:sz w:val="22"/>
          <w:szCs w:val="22"/>
        </w:rPr>
        <w:t>なお、</w:t>
      </w:r>
      <w:r w:rsidRPr="00E0548A">
        <w:rPr>
          <w:rFonts w:hAnsi="ＭＳ 明朝" w:hint="eastAsia"/>
          <w:sz w:val="22"/>
          <w:szCs w:val="22"/>
        </w:rPr>
        <w:t>保健医療活動チーム</w:t>
      </w:r>
      <w:r w:rsidRPr="00E0548A">
        <w:rPr>
          <w:rFonts w:hint="eastAsia"/>
          <w:sz w:val="22"/>
          <w:szCs w:val="22"/>
        </w:rPr>
        <w:t>は、現地医療活動を行うために、当座必要な資機材等を携行する自己完結型であることを原則とする。</w:t>
      </w:r>
    </w:p>
    <w:p w14:paraId="62934A79" w14:textId="4DF2FC5C" w:rsidR="008B4B2B" w:rsidRPr="00E0548A" w:rsidRDefault="008B4B2B" w:rsidP="00E0548A">
      <w:pPr>
        <w:pStyle w:val="a0"/>
        <w:ind w:leftChars="400" w:left="844" w:firstLineChars="100" w:firstLine="221"/>
        <w:rPr>
          <w:sz w:val="22"/>
          <w:szCs w:val="22"/>
        </w:rPr>
      </w:pPr>
      <w:r w:rsidRPr="00E0548A">
        <w:rPr>
          <w:rFonts w:hint="eastAsia"/>
          <w:sz w:val="22"/>
          <w:szCs w:val="22"/>
        </w:rPr>
        <w:t>また、保健医療調整本部は、ＤＭＡＴ調整本部長、ＤＰＡＴ調整本部長及び府が委嘱する災害医療コーディネーターと協議・調整しながら、必要に応じて、国及び他府県に対しても</w:t>
      </w:r>
      <w:r w:rsidRPr="00E0548A">
        <w:rPr>
          <w:rFonts w:hAnsi="ＭＳ 明朝" w:hint="eastAsia"/>
          <w:sz w:val="22"/>
          <w:szCs w:val="22"/>
        </w:rPr>
        <w:t>保健医療活動チーム</w:t>
      </w:r>
      <w:r w:rsidRPr="00E0548A">
        <w:rPr>
          <w:rFonts w:hint="eastAsia"/>
          <w:sz w:val="22"/>
          <w:szCs w:val="22"/>
        </w:rPr>
        <w:t>の応援派遣の要請を行うとともに、受け入れ窓口を設置し、調整を行う</w:t>
      </w:r>
      <w:r w:rsidRPr="00E0548A">
        <w:rPr>
          <w:rFonts w:hint="eastAsia"/>
          <w:sz w:val="22"/>
          <w:szCs w:val="22"/>
          <w:shd w:val="pct15" w:color="auto" w:fill="FFFFFF"/>
        </w:rPr>
        <w:t>【第２フェーズ～】</w:t>
      </w:r>
      <w:r w:rsidRPr="00E0548A">
        <w:rPr>
          <w:rFonts w:hint="eastAsia"/>
          <w:sz w:val="22"/>
          <w:szCs w:val="22"/>
        </w:rPr>
        <w:t>。</w:t>
      </w:r>
    </w:p>
    <w:p w14:paraId="479CF4CD" w14:textId="77777777" w:rsidR="008B4B2B" w:rsidRPr="00E0548A" w:rsidRDefault="008B4B2B" w:rsidP="008B4B2B">
      <w:pPr>
        <w:pStyle w:val="a0"/>
        <w:ind w:firstLineChars="200" w:firstLine="442"/>
        <w:rPr>
          <w:sz w:val="22"/>
          <w:szCs w:val="22"/>
        </w:rPr>
      </w:pPr>
    </w:p>
    <w:p w14:paraId="6B682513" w14:textId="77777777" w:rsidR="008B4B2B" w:rsidRPr="00E0548A" w:rsidRDefault="008B4B2B" w:rsidP="008B4B2B">
      <w:pPr>
        <w:pStyle w:val="a0"/>
        <w:ind w:firstLineChars="200" w:firstLine="442"/>
        <w:rPr>
          <w:rFonts w:ascii="ＭＳ ゴシック" w:eastAsia="ＭＳ ゴシック" w:hAnsi="ＭＳ ゴシック"/>
          <w:sz w:val="22"/>
          <w:szCs w:val="22"/>
          <w:u w:val="single"/>
          <w:shd w:val="pct15" w:color="auto" w:fill="FFFFFF"/>
        </w:rPr>
      </w:pPr>
      <w:r w:rsidRPr="00E0548A">
        <w:rPr>
          <w:rFonts w:hint="eastAsia"/>
          <w:sz w:val="22"/>
          <w:szCs w:val="22"/>
        </w:rPr>
        <w:t xml:space="preserve">　</w:t>
      </w:r>
      <w:r w:rsidRPr="00E0548A">
        <w:rPr>
          <w:rFonts w:hint="eastAsia"/>
          <w:sz w:val="22"/>
          <w:szCs w:val="22"/>
          <w:u w:val="single"/>
        </w:rPr>
        <w:t>２</w:t>
      </w:r>
      <w:r w:rsidRPr="00E0548A">
        <w:rPr>
          <w:rFonts w:ascii="ＭＳ ゴシック" w:eastAsia="ＭＳ ゴシック" w:hAnsi="ＭＳ ゴシック" w:hint="eastAsia"/>
          <w:sz w:val="22"/>
          <w:szCs w:val="22"/>
          <w:u w:val="single"/>
        </w:rPr>
        <w:t xml:space="preserve">　保健医療活動チームの搬送手段の確保</w:t>
      </w:r>
      <w:r w:rsidRPr="00E0548A">
        <w:rPr>
          <w:rFonts w:ascii="ＭＳ ゴシック" w:eastAsia="ＭＳ ゴシック" w:hAnsi="ＭＳ ゴシック" w:hint="eastAsia"/>
          <w:sz w:val="22"/>
          <w:szCs w:val="22"/>
          <w:u w:val="single"/>
          <w:shd w:val="pct15" w:color="auto" w:fill="FFFFFF"/>
        </w:rPr>
        <w:t>【第１フェーズ～】</w:t>
      </w:r>
    </w:p>
    <w:p w14:paraId="15634A7B" w14:textId="77777777" w:rsidR="008B4B2B" w:rsidRPr="00E0548A" w:rsidRDefault="008B4B2B" w:rsidP="008B4B2B">
      <w:pPr>
        <w:overflowPunct w:val="0"/>
        <w:autoSpaceDE w:val="0"/>
        <w:autoSpaceDN w:val="0"/>
        <w:ind w:leftChars="417" w:left="880" w:rightChars="-41" w:right="-87" w:firstLineChars="100" w:firstLine="221"/>
        <w:rPr>
          <w:rFonts w:hAnsi="ＭＳ 明朝"/>
          <w:sz w:val="22"/>
          <w:szCs w:val="22"/>
        </w:rPr>
      </w:pPr>
      <w:r w:rsidRPr="00E0548A">
        <w:rPr>
          <w:rFonts w:ascii="ＭＳ 明朝" w:hAnsi="ＭＳ 明朝" w:hint="eastAsia"/>
          <w:sz w:val="22"/>
          <w:szCs w:val="22"/>
        </w:rPr>
        <w:t>保健医療活動チーム</w:t>
      </w:r>
      <w:r w:rsidRPr="00E0548A">
        <w:rPr>
          <w:rFonts w:hAnsi="ＭＳ 明朝" w:hint="eastAsia"/>
          <w:sz w:val="22"/>
          <w:szCs w:val="22"/>
        </w:rPr>
        <w:t>の派遣は、医療関係機関で所有する緊急車両等を活用することを原則とする。なお、確保が困難な場合は、保健医療調整本部において搬送手段を確保する。</w:t>
      </w:r>
    </w:p>
    <w:p w14:paraId="4BBE86AB" w14:textId="77777777" w:rsidR="008B4B2B" w:rsidRPr="00E0548A" w:rsidRDefault="008B4B2B" w:rsidP="008B4B2B">
      <w:pPr>
        <w:pStyle w:val="a0"/>
        <w:rPr>
          <w:sz w:val="22"/>
          <w:szCs w:val="22"/>
        </w:rPr>
      </w:pPr>
    </w:p>
    <w:p w14:paraId="67413C30" w14:textId="77777777" w:rsidR="008B4B2B" w:rsidRPr="00E0548A" w:rsidRDefault="008B4B2B" w:rsidP="00FE1C75">
      <w:pPr>
        <w:pStyle w:val="a0"/>
        <w:ind w:firstLineChars="200" w:firstLine="442"/>
        <w:outlineLvl w:val="2"/>
        <w:rPr>
          <w:rFonts w:ascii="ＭＳ ゴシック" w:eastAsia="ＭＳ ゴシック"/>
          <w:sz w:val="22"/>
          <w:szCs w:val="22"/>
          <w:u w:val="double"/>
        </w:rPr>
      </w:pPr>
      <w:bookmarkStart w:id="261" w:name="_Toc122436935"/>
      <w:bookmarkStart w:id="262" w:name="_Toc222486618"/>
      <w:bookmarkStart w:id="263" w:name="_Toc242870288"/>
      <w:r w:rsidRPr="00E0548A">
        <w:rPr>
          <w:rFonts w:ascii="ＭＳ ゴシック" w:eastAsia="ＭＳ ゴシック" w:hint="eastAsia"/>
          <w:sz w:val="22"/>
          <w:szCs w:val="22"/>
          <w:u w:val="double"/>
        </w:rPr>
        <w:t>第４　後方医療対策</w:t>
      </w:r>
      <w:bookmarkEnd w:id="261"/>
      <w:bookmarkEnd w:id="262"/>
      <w:bookmarkEnd w:id="263"/>
    </w:p>
    <w:p w14:paraId="4CAEF71F" w14:textId="77777777" w:rsidR="008B4B2B" w:rsidRPr="00E0548A" w:rsidRDefault="008B4B2B" w:rsidP="008B4B2B">
      <w:pPr>
        <w:pStyle w:val="a0"/>
        <w:ind w:firstLineChars="500" w:firstLine="1105"/>
        <w:rPr>
          <w:rFonts w:ascii="ＭＳ ゴシック" w:eastAsia="ＭＳ ゴシック" w:hAnsi="ＭＳ ゴシック"/>
          <w:sz w:val="22"/>
          <w:szCs w:val="22"/>
        </w:rPr>
      </w:pPr>
      <w:r w:rsidRPr="00E0548A">
        <w:rPr>
          <w:rFonts w:ascii="ＭＳ ゴシック" w:eastAsia="ＭＳ ゴシック" w:hAnsi="ＭＳ ゴシック" w:hint="eastAsia"/>
          <w:sz w:val="22"/>
          <w:szCs w:val="22"/>
          <w:bdr w:val="single" w:sz="4" w:space="0" w:color="auto"/>
        </w:rPr>
        <w:t>主たる担当：健康医療部関係課・室</w:t>
      </w:r>
    </w:p>
    <w:p w14:paraId="6F4B3980" w14:textId="77777777" w:rsidR="008B4B2B" w:rsidRPr="00E0548A" w:rsidRDefault="008B4B2B" w:rsidP="008B4B2B">
      <w:pPr>
        <w:pStyle w:val="a0"/>
        <w:ind w:firstLineChars="200" w:firstLine="442"/>
        <w:rPr>
          <w:rFonts w:ascii="ＭＳ ゴシック" w:eastAsia="ＭＳ ゴシック" w:hAnsi="ＭＳ ゴシック"/>
          <w:sz w:val="22"/>
          <w:szCs w:val="22"/>
          <w:u w:val="single"/>
        </w:rPr>
      </w:pPr>
      <w:r w:rsidRPr="00E0548A">
        <w:rPr>
          <w:rFonts w:hint="eastAsia"/>
          <w:sz w:val="22"/>
          <w:szCs w:val="22"/>
        </w:rPr>
        <w:t xml:space="preserve">　</w:t>
      </w:r>
      <w:r w:rsidRPr="00E0548A">
        <w:rPr>
          <w:rFonts w:ascii="ＭＳ ゴシック" w:eastAsia="ＭＳ ゴシック" w:hAnsi="ＭＳ ゴシック" w:hint="eastAsia"/>
          <w:sz w:val="22"/>
          <w:szCs w:val="22"/>
          <w:u w:val="single"/>
        </w:rPr>
        <w:t>１　後方医療の確保</w:t>
      </w:r>
      <w:r w:rsidRPr="00E0548A">
        <w:rPr>
          <w:rFonts w:ascii="ＭＳ ゴシック" w:eastAsia="ＭＳ ゴシック" w:hAnsi="ＭＳ ゴシック" w:hint="eastAsia"/>
          <w:sz w:val="22"/>
          <w:szCs w:val="22"/>
          <w:u w:val="single"/>
          <w:shd w:val="pct15" w:color="auto" w:fill="FFFFFF"/>
        </w:rPr>
        <w:t>【第１フェーズ～】</w:t>
      </w:r>
    </w:p>
    <w:p w14:paraId="33E9CA27" w14:textId="7DC82345" w:rsidR="008B4B2B" w:rsidRPr="00E0548A" w:rsidRDefault="006D1D41" w:rsidP="008B4B2B">
      <w:pPr>
        <w:pStyle w:val="a0"/>
        <w:tabs>
          <w:tab w:val="left" w:pos="999"/>
        </w:tabs>
        <w:ind w:leftChars="417" w:left="880" w:firstLineChars="100" w:firstLine="221"/>
        <w:rPr>
          <w:sz w:val="22"/>
          <w:szCs w:val="22"/>
        </w:rPr>
      </w:pPr>
      <w:r w:rsidRPr="00E0548A">
        <w:rPr>
          <w:rFonts w:hint="eastAsia"/>
          <w:sz w:val="22"/>
          <w:szCs w:val="22"/>
        </w:rPr>
        <w:t>医療・感染症対策課</w:t>
      </w:r>
      <w:r w:rsidR="008B4B2B" w:rsidRPr="00E0548A">
        <w:rPr>
          <w:rFonts w:hint="eastAsia"/>
          <w:sz w:val="22"/>
          <w:szCs w:val="22"/>
        </w:rPr>
        <w:t>長は、医療関係機関と協力して、広域災害救急医療情報シ</w:t>
      </w:r>
      <w:r w:rsidR="008B4B2B" w:rsidRPr="00E0548A">
        <w:rPr>
          <w:rFonts w:hint="eastAsia"/>
          <w:sz w:val="22"/>
          <w:szCs w:val="22"/>
        </w:rPr>
        <w:lastRenderedPageBreak/>
        <w:t>ステム（ＥＭＩＳ）から得られる情報等をもとに、災害医療機関に対し患者の受入を要請する。また、ＥＭＩＳを通じて、患者の受入可能病床の確保情報を保健所、市町村等と共有する。</w:t>
      </w:r>
    </w:p>
    <w:p w14:paraId="2AFD0E50" w14:textId="77777777" w:rsidR="008B4B2B" w:rsidRPr="00E0548A" w:rsidRDefault="008B4B2B" w:rsidP="008B4B2B">
      <w:pPr>
        <w:pStyle w:val="a0"/>
        <w:tabs>
          <w:tab w:val="left" w:pos="999"/>
        </w:tabs>
        <w:ind w:leftChars="417" w:left="880" w:firstLineChars="100" w:firstLine="221"/>
        <w:rPr>
          <w:sz w:val="22"/>
          <w:szCs w:val="22"/>
        </w:rPr>
      </w:pPr>
      <w:r w:rsidRPr="00E0548A">
        <w:rPr>
          <w:rFonts w:hint="eastAsia"/>
          <w:sz w:val="22"/>
          <w:szCs w:val="22"/>
        </w:rPr>
        <w:t>さらに必要に応じて、他府県等にも患者の受入可能病床の確保を要請する</w:t>
      </w:r>
    </w:p>
    <w:p w14:paraId="491AEC3A" w14:textId="77777777" w:rsidR="008B4B2B" w:rsidRPr="00E0548A" w:rsidRDefault="008B4B2B" w:rsidP="008B4B2B">
      <w:pPr>
        <w:pStyle w:val="a0"/>
        <w:tabs>
          <w:tab w:val="left" w:pos="999"/>
        </w:tabs>
        <w:ind w:firstLineChars="400" w:firstLine="884"/>
        <w:rPr>
          <w:sz w:val="22"/>
          <w:szCs w:val="22"/>
        </w:rPr>
      </w:pPr>
      <w:r w:rsidRPr="00E0548A">
        <w:rPr>
          <w:rFonts w:hint="eastAsia"/>
          <w:sz w:val="22"/>
          <w:szCs w:val="22"/>
          <w:shd w:val="pct15" w:color="auto" w:fill="FFFFFF"/>
        </w:rPr>
        <w:t>【第３フェーズ～】</w:t>
      </w:r>
      <w:r w:rsidRPr="00E0548A">
        <w:rPr>
          <w:rFonts w:hint="eastAsia"/>
          <w:sz w:val="22"/>
          <w:szCs w:val="22"/>
        </w:rPr>
        <w:t>。</w:t>
      </w:r>
    </w:p>
    <w:p w14:paraId="28E54CC1" w14:textId="77777777" w:rsidR="008B4B2B" w:rsidRPr="00E0548A" w:rsidRDefault="008B4B2B" w:rsidP="008B4B2B">
      <w:pPr>
        <w:pStyle w:val="a0"/>
        <w:rPr>
          <w:sz w:val="22"/>
          <w:szCs w:val="22"/>
        </w:rPr>
      </w:pPr>
      <w:r w:rsidRPr="00E0548A">
        <w:rPr>
          <w:rFonts w:hint="eastAsia"/>
          <w:sz w:val="22"/>
          <w:szCs w:val="22"/>
        </w:rPr>
        <w:t xml:space="preserve">　　　</w:t>
      </w:r>
    </w:p>
    <w:p w14:paraId="7FBE603A" w14:textId="77777777" w:rsidR="008B4B2B" w:rsidRPr="00E0548A" w:rsidRDefault="008B4B2B" w:rsidP="008B4B2B">
      <w:pPr>
        <w:pStyle w:val="a0"/>
        <w:rPr>
          <w:rFonts w:ascii="ＭＳ ゴシック" w:eastAsia="ＭＳ ゴシック" w:hAnsi="ＭＳ ゴシック"/>
          <w:sz w:val="22"/>
          <w:szCs w:val="22"/>
          <w:u w:val="single"/>
        </w:rPr>
      </w:pPr>
      <w:r w:rsidRPr="00E0548A">
        <w:rPr>
          <w:rFonts w:hint="eastAsia"/>
          <w:sz w:val="22"/>
          <w:szCs w:val="22"/>
        </w:rPr>
        <w:t xml:space="preserve">　　　</w:t>
      </w:r>
      <w:r w:rsidRPr="00E0548A">
        <w:rPr>
          <w:rFonts w:ascii="ＭＳ ゴシック" w:eastAsia="ＭＳ ゴシック" w:hAnsi="ＭＳ ゴシック" w:hint="eastAsia"/>
          <w:sz w:val="22"/>
          <w:szCs w:val="22"/>
          <w:u w:val="single"/>
        </w:rPr>
        <w:t>２　患者搬送</w:t>
      </w:r>
      <w:r w:rsidRPr="00E0548A">
        <w:rPr>
          <w:rFonts w:ascii="ＭＳ ゴシック" w:eastAsia="ＭＳ ゴシック" w:hAnsi="ＭＳ ゴシック" w:hint="eastAsia"/>
          <w:sz w:val="22"/>
          <w:szCs w:val="22"/>
          <w:u w:val="single"/>
          <w:shd w:val="pct15" w:color="auto" w:fill="FFFFFF"/>
        </w:rPr>
        <w:t>【第２フェーズ～】</w:t>
      </w:r>
    </w:p>
    <w:p w14:paraId="457E8249" w14:textId="77777777" w:rsidR="008B4B2B" w:rsidRPr="00E0548A" w:rsidRDefault="008B4B2B" w:rsidP="008B4B2B">
      <w:pPr>
        <w:pStyle w:val="a0"/>
        <w:ind w:left="884" w:hangingChars="400" w:hanging="884"/>
        <w:rPr>
          <w:rFonts w:hAnsi="ＭＳ 明朝"/>
          <w:sz w:val="22"/>
          <w:szCs w:val="22"/>
        </w:rPr>
      </w:pPr>
      <w:r w:rsidRPr="00E0548A">
        <w:rPr>
          <w:rFonts w:hAnsi="ＭＳ 明朝" w:hint="eastAsia"/>
          <w:sz w:val="22"/>
          <w:szCs w:val="22"/>
        </w:rPr>
        <w:t xml:space="preserve">　　　　　保健医療調整本部は、ＤＭＡＴ活動拠点本部等からヘリコプター等による搬送要請を受けたときは、ＤＭＡＴ調整本部長や災害医療コーディネーターと協議し、厚生労働省や関西広域連合にドクターヘリの派遣要請を行うほか、災害対策本部に設置する航空運用調整班を通じて消防防災ヘリ、航空機等を保有する関係機関に搬送の依頼要請を行う。</w:t>
      </w:r>
    </w:p>
    <w:p w14:paraId="2159160B" w14:textId="77777777" w:rsidR="008B4B2B" w:rsidRDefault="008B4B2B" w:rsidP="008B4B2B">
      <w:pPr>
        <w:pStyle w:val="a0"/>
        <w:ind w:leftChars="400" w:left="844" w:firstLineChars="100" w:firstLine="221"/>
        <w:rPr>
          <w:rFonts w:hAnsi="ＭＳ 明朝"/>
          <w:sz w:val="22"/>
          <w:szCs w:val="22"/>
        </w:rPr>
      </w:pPr>
      <w:r w:rsidRPr="00E0548A">
        <w:rPr>
          <w:rFonts w:hAnsi="ＭＳ 明朝" w:hint="eastAsia"/>
          <w:sz w:val="22"/>
          <w:szCs w:val="22"/>
        </w:rPr>
        <w:t>また、必要に応じて、府内空港に設置した航空搬送拠点臨時医療施設（ＳＣＵ）において重症患者の症状の安定化を図り、被災地外搬送を行う。</w:t>
      </w:r>
    </w:p>
    <w:p w14:paraId="331ABBAB" w14:textId="23033F8C" w:rsidR="00787FEE" w:rsidRPr="00C3621B" w:rsidRDefault="00787FEE" w:rsidP="008B4B2B">
      <w:pPr>
        <w:pStyle w:val="a0"/>
        <w:ind w:leftChars="400" w:left="844" w:firstLineChars="100" w:firstLine="221"/>
        <w:rPr>
          <w:rFonts w:ascii="ＭＳ ゴシック" w:eastAsia="ＭＳ ゴシック"/>
          <w:sz w:val="22"/>
          <w:szCs w:val="22"/>
        </w:rPr>
      </w:pPr>
      <w:r w:rsidRPr="00C3621B">
        <w:rPr>
          <w:rFonts w:hAnsi="ＭＳ 明朝" w:cs="Times New Roman" w:hint="eastAsia"/>
          <w:sz w:val="22"/>
        </w:rPr>
        <w:t>さらに、必要に応じて、被災地域内の港湾における船舶を活用した医療活動を、災害対策本部から国に要請する。</w:t>
      </w:r>
    </w:p>
    <w:p w14:paraId="71AF7092" w14:textId="77777777" w:rsidR="008B4B2B" w:rsidRPr="00E0548A" w:rsidRDefault="008B4B2B" w:rsidP="008B4B2B">
      <w:pPr>
        <w:pStyle w:val="a0"/>
        <w:ind w:firstLineChars="200" w:firstLine="442"/>
        <w:rPr>
          <w:rFonts w:ascii="ＭＳ ゴシック" w:eastAsia="ＭＳ ゴシック"/>
          <w:sz w:val="22"/>
          <w:szCs w:val="22"/>
        </w:rPr>
      </w:pPr>
    </w:p>
    <w:p w14:paraId="727E834D" w14:textId="77777777" w:rsidR="008B4B2B" w:rsidRPr="00E0548A" w:rsidRDefault="008B4B2B" w:rsidP="00FE1C75">
      <w:pPr>
        <w:pStyle w:val="a0"/>
        <w:ind w:firstLineChars="200" w:firstLine="442"/>
        <w:outlineLvl w:val="2"/>
        <w:rPr>
          <w:rFonts w:ascii="ＭＳ ゴシック" w:eastAsia="ＭＳ ゴシック"/>
          <w:sz w:val="22"/>
          <w:szCs w:val="22"/>
          <w:u w:val="double"/>
        </w:rPr>
      </w:pPr>
      <w:bookmarkStart w:id="264" w:name="_Toc122436936"/>
      <w:bookmarkStart w:id="265" w:name="_Toc222486619"/>
      <w:bookmarkStart w:id="266" w:name="_Toc242870289"/>
      <w:r w:rsidRPr="00E0548A">
        <w:rPr>
          <w:rFonts w:ascii="ＭＳ ゴシック" w:eastAsia="ＭＳ ゴシック" w:hint="eastAsia"/>
          <w:sz w:val="22"/>
          <w:szCs w:val="22"/>
          <w:u w:val="double"/>
        </w:rPr>
        <w:t>第５　医薬品等の確保・供給活動</w:t>
      </w:r>
      <w:r w:rsidRPr="00E0548A">
        <w:rPr>
          <w:rFonts w:ascii="ＭＳ ゴシック" w:eastAsia="ＭＳ ゴシック" w:hint="eastAsia"/>
          <w:sz w:val="22"/>
          <w:szCs w:val="22"/>
          <w:u w:val="double"/>
          <w:shd w:val="pct15" w:color="auto" w:fill="FFFFFF"/>
        </w:rPr>
        <w:t>【第２フェーズ～】</w:t>
      </w:r>
      <w:bookmarkEnd w:id="264"/>
      <w:bookmarkEnd w:id="265"/>
      <w:bookmarkEnd w:id="266"/>
    </w:p>
    <w:p w14:paraId="7A802152" w14:textId="01FE03B5" w:rsidR="008B4B2B" w:rsidRPr="00E0548A" w:rsidRDefault="008B4B2B" w:rsidP="008B4B2B">
      <w:pPr>
        <w:pStyle w:val="a0"/>
        <w:ind w:firstLineChars="500" w:firstLine="1105"/>
        <w:rPr>
          <w:rFonts w:ascii="ＭＳ ゴシック" w:eastAsia="ＭＳ ゴシック" w:hAnsi="ＭＳ ゴシック"/>
          <w:sz w:val="22"/>
          <w:szCs w:val="22"/>
        </w:rPr>
      </w:pPr>
      <w:r w:rsidRPr="00E0548A">
        <w:rPr>
          <w:rFonts w:ascii="ＭＳ ゴシック" w:eastAsia="ＭＳ ゴシック" w:hAnsi="ＭＳ ゴシック" w:hint="eastAsia"/>
          <w:sz w:val="22"/>
          <w:szCs w:val="22"/>
          <w:bdr w:val="single" w:sz="4" w:space="0" w:color="auto"/>
        </w:rPr>
        <w:t>主たる担当：</w:t>
      </w:r>
      <w:r w:rsidR="006D1D41" w:rsidRPr="00E0548A">
        <w:rPr>
          <w:rFonts w:ascii="ＭＳ ゴシック" w:eastAsia="ＭＳ ゴシック" w:hAnsi="ＭＳ ゴシック" w:hint="eastAsia"/>
          <w:sz w:val="22"/>
          <w:szCs w:val="22"/>
          <w:bdr w:val="single" w:sz="4" w:space="0" w:color="auto"/>
        </w:rPr>
        <w:t>医療・感染症対策課</w:t>
      </w:r>
      <w:r w:rsidRPr="00E0548A">
        <w:rPr>
          <w:rFonts w:ascii="ＭＳ ゴシック" w:eastAsia="ＭＳ ゴシック" w:hAnsi="ＭＳ ゴシック" w:hint="eastAsia"/>
          <w:sz w:val="22"/>
          <w:szCs w:val="22"/>
          <w:bdr w:val="single" w:sz="4" w:space="0" w:color="auto"/>
        </w:rPr>
        <w:t>、薬務課</w:t>
      </w:r>
    </w:p>
    <w:p w14:paraId="208B4CD7" w14:textId="08E0F120" w:rsidR="008B4B2B" w:rsidRPr="00E0548A" w:rsidRDefault="008B4B2B" w:rsidP="008B4B2B">
      <w:pPr>
        <w:overflowPunct w:val="0"/>
        <w:autoSpaceDE w:val="0"/>
        <w:autoSpaceDN w:val="0"/>
        <w:ind w:leftChars="417" w:left="880" w:firstLineChars="100" w:firstLine="221"/>
        <w:rPr>
          <w:sz w:val="22"/>
          <w:szCs w:val="22"/>
        </w:rPr>
      </w:pPr>
      <w:r w:rsidRPr="00E0548A">
        <w:rPr>
          <w:rFonts w:hAnsi="ＭＳ 明朝" w:hint="eastAsia"/>
          <w:sz w:val="22"/>
          <w:szCs w:val="22"/>
        </w:rPr>
        <w:t>市町村から応援要請があったとき又は自ら必要と認めたときは、</w:t>
      </w:r>
      <w:r w:rsidR="006D1D41" w:rsidRPr="00E0548A">
        <w:rPr>
          <w:rFonts w:hint="eastAsia"/>
          <w:sz w:val="22"/>
          <w:szCs w:val="22"/>
        </w:rPr>
        <w:t>医療・感染症対策課</w:t>
      </w:r>
      <w:r w:rsidRPr="00E0548A">
        <w:rPr>
          <w:rFonts w:hint="eastAsia"/>
          <w:sz w:val="22"/>
          <w:szCs w:val="22"/>
        </w:rPr>
        <w:t>長は、災害拠点病院、日本赤十字社大阪府支部（血液センターを含む）等の協力を得て、薬務課長は、「災害用医薬品等の供給に関する協定書」などを踏まえ、大阪府薬剤師会及び大阪医薬品卸協同組合等に要請を行い、医薬品、衛生材料及び血液製剤等の医療物資の確保・供給を行う。</w:t>
      </w:r>
    </w:p>
    <w:p w14:paraId="1B0F85EF" w14:textId="77777777" w:rsidR="008B4B2B" w:rsidRPr="00E0548A" w:rsidRDefault="008B4B2B" w:rsidP="008B4B2B">
      <w:pPr>
        <w:overflowPunct w:val="0"/>
        <w:autoSpaceDE w:val="0"/>
        <w:autoSpaceDN w:val="0"/>
        <w:ind w:leftChars="417" w:left="880" w:firstLineChars="100" w:firstLine="221"/>
        <w:rPr>
          <w:sz w:val="22"/>
          <w:szCs w:val="22"/>
        </w:rPr>
      </w:pPr>
      <w:r w:rsidRPr="00E0548A">
        <w:rPr>
          <w:rFonts w:hint="eastAsia"/>
          <w:sz w:val="22"/>
          <w:szCs w:val="22"/>
        </w:rPr>
        <w:t>また、薬務課長は、必要に応じて、国及び他府県に対しても医薬品等の応援要請を行うとともに、受け入れ窓口を設置し、調整を行う</w:t>
      </w:r>
      <w:r w:rsidRPr="00E0548A">
        <w:rPr>
          <w:rFonts w:hint="eastAsia"/>
          <w:sz w:val="22"/>
          <w:szCs w:val="22"/>
          <w:shd w:val="pct15" w:color="auto" w:fill="FFFFFF"/>
        </w:rPr>
        <w:t>【第３フェーズ～】</w:t>
      </w:r>
      <w:r w:rsidRPr="00E0548A">
        <w:rPr>
          <w:rFonts w:hint="eastAsia"/>
          <w:sz w:val="22"/>
          <w:szCs w:val="22"/>
        </w:rPr>
        <w:t>。</w:t>
      </w:r>
    </w:p>
    <w:p w14:paraId="3D91F3A5" w14:textId="77777777" w:rsidR="008B4B2B" w:rsidRPr="00E0548A" w:rsidRDefault="008B4B2B" w:rsidP="008B4B2B">
      <w:pPr>
        <w:pStyle w:val="a0"/>
        <w:ind w:firstLineChars="200" w:firstLine="442"/>
        <w:rPr>
          <w:rFonts w:ascii="ＭＳ ゴシック" w:eastAsia="ＭＳ ゴシック" w:hAnsi="ＭＳ ゴシック"/>
          <w:sz w:val="22"/>
          <w:szCs w:val="22"/>
        </w:rPr>
      </w:pPr>
    </w:p>
    <w:p w14:paraId="233CE845" w14:textId="77777777" w:rsidR="008B4B2B" w:rsidRPr="00E0548A" w:rsidRDefault="008B4B2B" w:rsidP="00FE1C75">
      <w:pPr>
        <w:pStyle w:val="a0"/>
        <w:ind w:firstLineChars="200" w:firstLine="442"/>
        <w:outlineLvl w:val="2"/>
        <w:rPr>
          <w:rFonts w:ascii="ＭＳ ゴシック" w:eastAsia="ＭＳ ゴシック" w:hAnsi="ＭＳ ゴシック"/>
          <w:sz w:val="22"/>
          <w:szCs w:val="22"/>
          <w:u w:val="double"/>
        </w:rPr>
      </w:pPr>
      <w:bookmarkStart w:id="267" w:name="_Toc122436937"/>
      <w:bookmarkStart w:id="268" w:name="_Toc222486620"/>
      <w:bookmarkStart w:id="269" w:name="_Toc242870290"/>
      <w:r w:rsidRPr="00E0548A">
        <w:rPr>
          <w:rFonts w:ascii="ＭＳ ゴシック" w:eastAsia="ＭＳ ゴシック" w:hAnsi="ＭＳ ゴシック" w:hint="eastAsia"/>
          <w:sz w:val="22"/>
          <w:szCs w:val="22"/>
          <w:u w:val="double"/>
        </w:rPr>
        <w:t>第６　個別疾病対策</w:t>
      </w:r>
      <w:r w:rsidRPr="00E0548A">
        <w:rPr>
          <w:rFonts w:ascii="ＭＳ ゴシック" w:eastAsia="ＭＳ ゴシック" w:hAnsi="ＭＳ ゴシック" w:hint="eastAsia"/>
          <w:sz w:val="22"/>
          <w:szCs w:val="22"/>
          <w:u w:val="double"/>
          <w:shd w:val="pct15" w:color="auto" w:fill="FFFFFF"/>
        </w:rPr>
        <w:t>【第３フェーズ～】</w:t>
      </w:r>
      <w:bookmarkEnd w:id="267"/>
      <w:bookmarkEnd w:id="268"/>
      <w:bookmarkEnd w:id="269"/>
    </w:p>
    <w:p w14:paraId="72A7650C" w14:textId="77777777" w:rsidR="008B4B2B" w:rsidRPr="00E0548A" w:rsidRDefault="008B4B2B" w:rsidP="008B4B2B">
      <w:pPr>
        <w:pStyle w:val="a0"/>
        <w:ind w:firstLineChars="500" w:firstLine="1105"/>
        <w:rPr>
          <w:rFonts w:ascii="ＭＳ ゴシック" w:eastAsia="ＭＳ ゴシック" w:hAnsi="ＭＳ ゴシック"/>
          <w:sz w:val="22"/>
          <w:szCs w:val="22"/>
        </w:rPr>
      </w:pPr>
      <w:r w:rsidRPr="00E0548A">
        <w:rPr>
          <w:rFonts w:ascii="ＭＳ ゴシック" w:eastAsia="ＭＳ ゴシック" w:hAnsi="ＭＳ ゴシック" w:hint="eastAsia"/>
          <w:sz w:val="22"/>
          <w:szCs w:val="22"/>
          <w:bdr w:val="single" w:sz="4" w:space="0" w:color="auto"/>
        </w:rPr>
        <w:t>主たる担当：健康医療部関係室・課</w:t>
      </w:r>
    </w:p>
    <w:p w14:paraId="1ADC703A" w14:textId="65AD2921" w:rsidR="000923FC" w:rsidRPr="00E0548A" w:rsidRDefault="008B4B2B" w:rsidP="008B4B2B">
      <w:pPr>
        <w:pStyle w:val="a0"/>
        <w:ind w:leftChars="417" w:left="880" w:firstLineChars="100" w:firstLine="221"/>
        <w:rPr>
          <w:sz w:val="22"/>
          <w:szCs w:val="22"/>
        </w:rPr>
      </w:pPr>
      <w:r w:rsidRPr="00E0548A">
        <w:rPr>
          <w:rFonts w:hint="eastAsia"/>
          <w:sz w:val="22"/>
          <w:szCs w:val="22"/>
        </w:rPr>
        <w:t>専門医療が必要となる人工透析、難病、循環器疾患、消化器疾患、血液疾患、小児医療、周産期医療、感染症、アレルギー疾患、精神疾患、歯科疾患等の疾病に対する対策については、</w:t>
      </w:r>
      <w:r w:rsidR="006D1D41" w:rsidRPr="00E0548A">
        <w:rPr>
          <w:rFonts w:hint="eastAsia"/>
          <w:sz w:val="22"/>
          <w:szCs w:val="22"/>
        </w:rPr>
        <w:t>医療・感染症対策課</w:t>
      </w:r>
      <w:r w:rsidRPr="00E0548A">
        <w:rPr>
          <w:rFonts w:hint="eastAsia"/>
          <w:sz w:val="22"/>
          <w:szCs w:val="22"/>
        </w:rPr>
        <w:t>長、</w:t>
      </w:r>
      <w:r w:rsidRPr="00E0548A">
        <w:rPr>
          <w:rFonts w:hAnsi="ＭＳ 明朝" w:hint="eastAsia"/>
          <w:sz w:val="22"/>
          <w:szCs w:val="22"/>
        </w:rPr>
        <w:t>地域保健課長</w:t>
      </w:r>
      <w:r w:rsidRPr="00E0548A">
        <w:rPr>
          <w:rFonts w:hint="eastAsia"/>
          <w:sz w:val="22"/>
          <w:szCs w:val="22"/>
        </w:rPr>
        <w:t>及び健康づくり課長が、各特定診療災害医療センター、各専門医会等関係機関と協力して、それぞれ現地医療活動、後方医療活動等を行う。</w:t>
      </w:r>
    </w:p>
    <w:p w14:paraId="592021AC" w14:textId="77777777" w:rsidR="000923FC" w:rsidRPr="00E0548A" w:rsidRDefault="000923FC">
      <w:pPr>
        <w:widowControl/>
        <w:jc w:val="left"/>
        <w:rPr>
          <w:rFonts w:ascii="ＭＳ 明朝" w:hAnsi="Courier New" w:cs="Courier New"/>
          <w:sz w:val="22"/>
          <w:szCs w:val="22"/>
        </w:rPr>
      </w:pPr>
      <w:r w:rsidRPr="00E0548A">
        <w:rPr>
          <w:sz w:val="22"/>
          <w:szCs w:val="22"/>
        </w:rPr>
        <w:br w:type="page"/>
      </w:r>
    </w:p>
    <w:p w14:paraId="01AF5F0D" w14:textId="6C812FBD" w:rsidR="004F16FA" w:rsidRPr="00E0548A" w:rsidRDefault="00C625F5">
      <w:pPr>
        <w:pStyle w:val="2"/>
      </w:pPr>
      <w:bookmarkStart w:id="270" w:name="_Toc222486621"/>
      <w:bookmarkStart w:id="271" w:name="_Toc242870291"/>
      <w:r w:rsidRPr="00E0548A">
        <w:rPr>
          <w:rFonts w:hint="eastAsia"/>
        </w:rPr>
        <w:lastRenderedPageBreak/>
        <w:t>第３節　福祉</w:t>
      </w:r>
      <w:r w:rsidR="004F16FA" w:rsidRPr="00E0548A">
        <w:rPr>
          <w:rFonts w:hint="eastAsia"/>
        </w:rPr>
        <w:t>支援</w:t>
      </w:r>
      <w:r w:rsidRPr="00E0548A">
        <w:rPr>
          <w:rFonts w:hint="eastAsia"/>
        </w:rPr>
        <w:t>活動</w:t>
      </w:r>
      <w:bookmarkEnd w:id="270"/>
      <w:bookmarkEnd w:id="271"/>
    </w:p>
    <w:tbl>
      <w:tblPr>
        <w:tblW w:w="0" w:type="auto"/>
        <w:tblBorders>
          <w:top w:val="thinThickSmallGap" w:sz="24" w:space="0" w:color="auto"/>
          <w:left w:val="thinThickSmallGap" w:sz="24" w:space="0" w:color="auto"/>
          <w:bottom w:val="thinThickSmallGap" w:sz="24" w:space="0" w:color="auto"/>
          <w:right w:val="thinThickSmallGap" w:sz="24" w:space="0" w:color="auto"/>
          <w:insideH w:val="thinThickSmallGap" w:sz="24" w:space="0" w:color="auto"/>
          <w:insideV w:val="thinThickSmallGap" w:sz="24" w:space="0" w:color="auto"/>
        </w:tblBorders>
        <w:tblLook w:val="04A0" w:firstRow="1" w:lastRow="0" w:firstColumn="1" w:lastColumn="0" w:noHBand="0" w:noVBand="1"/>
      </w:tblPr>
      <w:tblGrid>
        <w:gridCol w:w="1428"/>
        <w:gridCol w:w="7326"/>
      </w:tblGrid>
      <w:tr w:rsidR="004F16FA" w:rsidRPr="00E0548A" w14:paraId="418E6D38" w14:textId="77777777" w:rsidTr="00170CBB">
        <w:tc>
          <w:tcPr>
            <w:tcW w:w="1526" w:type="dxa"/>
          </w:tcPr>
          <w:p w14:paraId="3FDE2C6C" w14:textId="77777777" w:rsidR="004F16FA" w:rsidRPr="00E0548A" w:rsidRDefault="004F16FA" w:rsidP="00170CBB">
            <w:pPr>
              <w:jc w:val="center"/>
              <w:rPr>
                <w:rFonts w:ascii="ＭＳ ゴシック" w:eastAsia="ＭＳ ゴシック" w:hAnsi="ＭＳ ゴシック"/>
                <w:b/>
                <w:color w:val="000000" w:themeColor="text1"/>
                <w:sz w:val="28"/>
                <w:szCs w:val="28"/>
              </w:rPr>
            </w:pPr>
            <w:r w:rsidRPr="00E0548A">
              <w:rPr>
                <w:rFonts w:ascii="ＭＳ ゴシック" w:eastAsia="ＭＳ ゴシック" w:hAnsi="ＭＳ ゴシック" w:hint="eastAsia"/>
                <w:b/>
                <w:color w:val="000000" w:themeColor="text1"/>
                <w:sz w:val="28"/>
                <w:szCs w:val="28"/>
              </w:rPr>
              <w:t>目　標</w:t>
            </w:r>
          </w:p>
        </w:tc>
        <w:tc>
          <w:tcPr>
            <w:tcW w:w="8026" w:type="dxa"/>
          </w:tcPr>
          <w:p w14:paraId="495AF5A4" w14:textId="6E0CD8F0" w:rsidR="004F16FA" w:rsidRPr="00E0548A" w:rsidRDefault="00FB40E4" w:rsidP="00170CBB">
            <w:pPr>
              <w:spacing w:line="360" w:lineRule="exact"/>
              <w:rPr>
                <w:rFonts w:ascii="ＭＳ ゴシック" w:eastAsia="ＭＳ ゴシック" w:hAnsi="ＭＳ ゴシック"/>
                <w:b/>
                <w:color w:val="000000" w:themeColor="text1"/>
                <w:sz w:val="28"/>
                <w:szCs w:val="28"/>
              </w:rPr>
            </w:pPr>
            <w:r w:rsidRPr="00E0548A">
              <w:rPr>
                <w:rFonts w:ascii="ＭＳ ゴシック" w:eastAsia="ＭＳ ゴシック" w:hAnsi="ＭＳ ゴシック" w:hint="eastAsia"/>
                <w:b/>
                <w:color w:val="000000" w:themeColor="text1"/>
                <w:sz w:val="24"/>
              </w:rPr>
              <w:t>社会福祉施設等の状況を迅速に把握し、施設入所者等に必要な支援が届くよう努める。</w:t>
            </w:r>
          </w:p>
        </w:tc>
      </w:tr>
    </w:tbl>
    <w:p w14:paraId="1000D29E" w14:textId="77777777" w:rsidR="004F16FA" w:rsidRPr="00E0548A" w:rsidRDefault="004F16FA" w:rsidP="004F16FA">
      <w:pPr>
        <w:rPr>
          <w:color w:val="000000" w:themeColor="text1"/>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80"/>
        <w:gridCol w:w="6514"/>
      </w:tblGrid>
      <w:tr w:rsidR="004F16FA" w:rsidRPr="00E0548A" w14:paraId="14DC0B27" w14:textId="77777777" w:rsidTr="00170CBB">
        <w:trPr>
          <w:trHeight w:val="500"/>
        </w:trPr>
        <w:tc>
          <w:tcPr>
            <w:tcW w:w="1980" w:type="dxa"/>
            <w:shd w:val="clear" w:color="auto" w:fill="F2F2F2" w:themeFill="background1" w:themeFillShade="F2"/>
          </w:tcPr>
          <w:p w14:paraId="0A9C9FA3" w14:textId="77777777" w:rsidR="004F16FA" w:rsidRPr="00E0548A" w:rsidRDefault="004F16FA" w:rsidP="00170CBB">
            <w:pPr>
              <w:jc w:val="center"/>
              <w:rPr>
                <w:rFonts w:ascii="ＭＳ ゴシック" w:eastAsia="ＭＳ ゴシック" w:hAnsi="ＭＳ ゴシック"/>
                <w:color w:val="000000" w:themeColor="text1"/>
                <w:sz w:val="22"/>
              </w:rPr>
            </w:pPr>
            <w:r w:rsidRPr="00E0548A">
              <w:rPr>
                <w:rFonts w:ascii="ＭＳ ゴシック" w:eastAsia="ＭＳ ゴシック" w:hAnsi="ＭＳ ゴシック" w:hint="eastAsia"/>
                <w:color w:val="000000" w:themeColor="text1"/>
                <w:sz w:val="22"/>
              </w:rPr>
              <w:t>フェーズ</w:t>
            </w:r>
          </w:p>
        </w:tc>
        <w:tc>
          <w:tcPr>
            <w:tcW w:w="6514" w:type="dxa"/>
            <w:shd w:val="clear" w:color="auto" w:fill="F2F2F2" w:themeFill="background1" w:themeFillShade="F2"/>
          </w:tcPr>
          <w:p w14:paraId="35A4F872" w14:textId="77777777" w:rsidR="004F16FA" w:rsidRPr="00E0548A" w:rsidRDefault="004F16FA" w:rsidP="00170CBB">
            <w:pPr>
              <w:jc w:val="center"/>
              <w:rPr>
                <w:rFonts w:ascii="ＭＳ ゴシック" w:eastAsia="ＭＳ ゴシック" w:hAnsi="ＭＳ ゴシック"/>
                <w:color w:val="000000" w:themeColor="text1"/>
                <w:sz w:val="22"/>
              </w:rPr>
            </w:pPr>
            <w:r w:rsidRPr="00E0548A">
              <w:rPr>
                <w:rFonts w:ascii="ＭＳ ゴシック" w:eastAsia="ＭＳ ゴシック" w:hAnsi="ＭＳ ゴシック" w:hint="eastAsia"/>
                <w:color w:val="000000" w:themeColor="text1"/>
                <w:sz w:val="22"/>
              </w:rPr>
              <w:t>主な目標</w:t>
            </w:r>
          </w:p>
        </w:tc>
      </w:tr>
      <w:tr w:rsidR="004F16FA" w:rsidRPr="00E0548A" w14:paraId="5637726A" w14:textId="77777777" w:rsidTr="00170CBB">
        <w:trPr>
          <w:trHeight w:val="500"/>
        </w:trPr>
        <w:tc>
          <w:tcPr>
            <w:tcW w:w="1980" w:type="dxa"/>
            <w:vAlign w:val="center"/>
          </w:tcPr>
          <w:p w14:paraId="58A4938F" w14:textId="77777777" w:rsidR="004F16FA" w:rsidRPr="00E0548A" w:rsidRDefault="004F16FA" w:rsidP="00170CBB">
            <w:pPr>
              <w:rPr>
                <w:rFonts w:ascii="ＭＳ ゴシック" w:eastAsia="ＭＳ ゴシック" w:hAnsi="ＭＳ ゴシック"/>
                <w:color w:val="000000" w:themeColor="text1"/>
                <w:sz w:val="22"/>
              </w:rPr>
            </w:pPr>
            <w:r w:rsidRPr="00E0548A">
              <w:rPr>
                <w:rFonts w:ascii="ＭＳ ゴシック" w:eastAsia="ＭＳ ゴシック" w:hAnsi="ＭＳ ゴシック" w:hint="eastAsia"/>
                <w:color w:val="000000" w:themeColor="text1"/>
                <w:sz w:val="22"/>
              </w:rPr>
              <w:t>第１、２フェーズ</w:t>
            </w:r>
          </w:p>
        </w:tc>
        <w:tc>
          <w:tcPr>
            <w:tcW w:w="6514" w:type="dxa"/>
            <w:vAlign w:val="center"/>
          </w:tcPr>
          <w:p w14:paraId="3CBDBE39" w14:textId="77777777" w:rsidR="004F16FA" w:rsidRPr="00E0548A" w:rsidRDefault="004F16FA" w:rsidP="00170CBB">
            <w:pPr>
              <w:rPr>
                <w:rFonts w:ascii="ＭＳ ゴシック" w:eastAsia="ＭＳ ゴシック" w:hAnsi="ＭＳ ゴシック"/>
                <w:color w:val="000000" w:themeColor="text1"/>
                <w:sz w:val="22"/>
              </w:rPr>
            </w:pPr>
            <w:r w:rsidRPr="00E0548A">
              <w:rPr>
                <w:rFonts w:ascii="ＭＳ 明朝" w:hAnsi="ＭＳ 明朝" w:hint="eastAsia"/>
                <w:color w:val="000000" w:themeColor="text1"/>
                <w:sz w:val="22"/>
              </w:rPr>
              <w:t>福祉活動に関する</w:t>
            </w:r>
            <w:r w:rsidRPr="00E0548A">
              <w:rPr>
                <w:rFonts w:ascii="ＭＳ 明朝" w:hAnsi="ＭＳ 明朝"/>
                <w:color w:val="000000" w:themeColor="text1"/>
                <w:sz w:val="22"/>
              </w:rPr>
              <w:t>組織体制の確保</w:t>
            </w:r>
          </w:p>
        </w:tc>
      </w:tr>
      <w:tr w:rsidR="004F16FA" w:rsidRPr="00E0548A" w14:paraId="0C3095A1" w14:textId="77777777" w:rsidTr="00170CBB">
        <w:trPr>
          <w:trHeight w:val="500"/>
        </w:trPr>
        <w:tc>
          <w:tcPr>
            <w:tcW w:w="1980" w:type="dxa"/>
            <w:vAlign w:val="center"/>
          </w:tcPr>
          <w:p w14:paraId="282D20F4" w14:textId="77777777" w:rsidR="004F16FA" w:rsidRPr="00E0548A" w:rsidRDefault="004F16FA" w:rsidP="00170CBB">
            <w:pPr>
              <w:rPr>
                <w:rFonts w:ascii="ＭＳ ゴシック" w:eastAsia="ＭＳ ゴシック" w:hAnsi="ＭＳ ゴシック"/>
                <w:color w:val="000000" w:themeColor="text1"/>
                <w:sz w:val="22"/>
              </w:rPr>
            </w:pPr>
            <w:r w:rsidRPr="00E0548A">
              <w:rPr>
                <w:rFonts w:ascii="ＭＳ ゴシック" w:eastAsia="ＭＳ ゴシック" w:hAnsi="ＭＳ ゴシック"/>
                <w:color w:val="000000" w:themeColor="text1"/>
                <w:sz w:val="22"/>
              </w:rPr>
              <w:t>第２フェーズ</w:t>
            </w:r>
          </w:p>
        </w:tc>
        <w:tc>
          <w:tcPr>
            <w:tcW w:w="6514" w:type="dxa"/>
            <w:vAlign w:val="center"/>
          </w:tcPr>
          <w:p w14:paraId="6655FF50" w14:textId="77777777" w:rsidR="004F16FA" w:rsidRPr="00E0548A" w:rsidRDefault="004F16FA" w:rsidP="00170CBB">
            <w:pPr>
              <w:rPr>
                <w:rFonts w:ascii="ＭＳ ゴシック" w:eastAsia="ＭＳ ゴシック" w:hAnsi="ＭＳ ゴシック"/>
                <w:color w:val="000000" w:themeColor="text1"/>
                <w:sz w:val="22"/>
              </w:rPr>
            </w:pPr>
            <w:r w:rsidRPr="00E0548A">
              <w:rPr>
                <w:rFonts w:ascii="ＭＳ 明朝" w:hAnsi="ＭＳ 明朝" w:hint="eastAsia"/>
                <w:color w:val="000000" w:themeColor="text1"/>
                <w:sz w:val="22"/>
              </w:rPr>
              <w:t>社会福祉施設等の被害状況の把握等</w:t>
            </w:r>
          </w:p>
        </w:tc>
      </w:tr>
      <w:tr w:rsidR="004F16FA" w:rsidRPr="00E0548A" w14:paraId="040D0024" w14:textId="77777777" w:rsidTr="00170CBB">
        <w:trPr>
          <w:trHeight w:val="513"/>
        </w:trPr>
        <w:tc>
          <w:tcPr>
            <w:tcW w:w="1980" w:type="dxa"/>
            <w:vAlign w:val="center"/>
          </w:tcPr>
          <w:p w14:paraId="3EE8F4BD" w14:textId="77777777" w:rsidR="004F16FA" w:rsidRPr="00E0548A" w:rsidRDefault="004F16FA" w:rsidP="00170CBB">
            <w:pPr>
              <w:rPr>
                <w:rFonts w:ascii="ＭＳ ゴシック" w:eastAsia="ＭＳ ゴシック" w:hAnsi="ＭＳ ゴシック"/>
                <w:color w:val="000000" w:themeColor="text1"/>
                <w:sz w:val="22"/>
              </w:rPr>
            </w:pPr>
            <w:r w:rsidRPr="00E0548A">
              <w:rPr>
                <w:rFonts w:ascii="ＭＳ ゴシック" w:eastAsia="ＭＳ ゴシック" w:hAnsi="ＭＳ ゴシック"/>
                <w:color w:val="000000" w:themeColor="text1"/>
                <w:sz w:val="22"/>
              </w:rPr>
              <w:t>第３フェーズ</w:t>
            </w:r>
          </w:p>
        </w:tc>
        <w:tc>
          <w:tcPr>
            <w:tcW w:w="6514" w:type="dxa"/>
            <w:vAlign w:val="center"/>
          </w:tcPr>
          <w:p w14:paraId="0A01D9CB" w14:textId="77777777" w:rsidR="004F16FA" w:rsidRPr="00E0548A" w:rsidRDefault="004F16FA" w:rsidP="00170CBB">
            <w:pPr>
              <w:rPr>
                <w:rFonts w:ascii="ＭＳ 明朝" w:hAnsi="ＭＳ 明朝"/>
                <w:color w:val="000000" w:themeColor="text1"/>
                <w:sz w:val="22"/>
              </w:rPr>
            </w:pPr>
            <w:r w:rsidRPr="00E0548A">
              <w:rPr>
                <w:rFonts w:ascii="ＭＳ 明朝" w:hAnsi="ＭＳ 明朝"/>
                <w:color w:val="000000" w:themeColor="text1"/>
                <w:sz w:val="22"/>
              </w:rPr>
              <w:t>災害派遣福祉チーム（ＤＷＡＴ）派遣</w:t>
            </w:r>
            <w:r w:rsidRPr="00E0548A">
              <w:rPr>
                <w:rFonts w:ascii="ＭＳ 明朝" w:hAnsi="ＭＳ 明朝" w:hint="eastAsia"/>
                <w:color w:val="000000" w:themeColor="text1"/>
                <w:sz w:val="22"/>
              </w:rPr>
              <w:t>調整の開始</w:t>
            </w:r>
          </w:p>
        </w:tc>
      </w:tr>
      <w:tr w:rsidR="004F16FA" w:rsidRPr="00E0548A" w14:paraId="0C9B58F6" w14:textId="77777777" w:rsidTr="00170CBB">
        <w:trPr>
          <w:trHeight w:val="552"/>
        </w:trPr>
        <w:tc>
          <w:tcPr>
            <w:tcW w:w="1980" w:type="dxa"/>
            <w:vAlign w:val="center"/>
          </w:tcPr>
          <w:p w14:paraId="01CB0BD2" w14:textId="77777777" w:rsidR="004F16FA" w:rsidRPr="00E0548A" w:rsidRDefault="004F16FA" w:rsidP="00170CBB">
            <w:pPr>
              <w:rPr>
                <w:rFonts w:ascii="ＭＳ ゴシック" w:eastAsia="ＭＳ ゴシック" w:hAnsi="ＭＳ ゴシック"/>
                <w:color w:val="000000" w:themeColor="text1"/>
                <w:sz w:val="22"/>
              </w:rPr>
            </w:pPr>
            <w:r w:rsidRPr="00E0548A">
              <w:rPr>
                <w:rFonts w:ascii="ＭＳ ゴシック" w:eastAsia="ＭＳ ゴシック" w:hAnsi="ＭＳ ゴシック" w:hint="eastAsia"/>
                <w:color w:val="000000" w:themeColor="text1"/>
                <w:sz w:val="22"/>
              </w:rPr>
              <w:t>第４フェーズ</w:t>
            </w:r>
          </w:p>
        </w:tc>
        <w:tc>
          <w:tcPr>
            <w:tcW w:w="6514" w:type="dxa"/>
            <w:vAlign w:val="center"/>
          </w:tcPr>
          <w:p w14:paraId="6591273E" w14:textId="7DEB7109" w:rsidR="004F16FA" w:rsidRPr="00E0548A" w:rsidRDefault="004F16FA" w:rsidP="00170CBB">
            <w:pPr>
              <w:rPr>
                <w:rFonts w:ascii="ＭＳ 明朝" w:hAnsi="ＭＳ 明朝"/>
                <w:color w:val="000000" w:themeColor="text1"/>
                <w:sz w:val="22"/>
              </w:rPr>
            </w:pPr>
            <w:r w:rsidRPr="00E0548A">
              <w:rPr>
                <w:rFonts w:ascii="ＭＳ 明朝" w:hAnsi="ＭＳ 明朝" w:hint="eastAsia"/>
                <w:color w:val="000000" w:themeColor="text1"/>
                <w:sz w:val="22"/>
              </w:rPr>
              <w:t>社会福祉施設等の介護職員等の派遣</w:t>
            </w:r>
            <w:r w:rsidR="00B11D99" w:rsidRPr="00E0548A">
              <w:rPr>
                <w:rFonts w:ascii="ＭＳ 明朝" w:hAnsi="ＭＳ 明朝" w:hint="eastAsia"/>
                <w:color w:val="000000" w:themeColor="text1"/>
                <w:sz w:val="22"/>
              </w:rPr>
              <w:t>要請</w:t>
            </w:r>
            <w:r w:rsidR="00C53DA3" w:rsidRPr="00E0548A">
              <w:rPr>
                <w:rFonts w:ascii="ＭＳ 明朝" w:hAnsi="ＭＳ 明朝" w:hint="eastAsia"/>
                <w:color w:val="000000" w:themeColor="text1"/>
                <w:sz w:val="22"/>
              </w:rPr>
              <w:t>把握</w:t>
            </w:r>
          </w:p>
        </w:tc>
      </w:tr>
      <w:tr w:rsidR="004F16FA" w:rsidRPr="00E0548A" w14:paraId="157686CF" w14:textId="77777777" w:rsidTr="00170CBB">
        <w:trPr>
          <w:trHeight w:val="552"/>
        </w:trPr>
        <w:tc>
          <w:tcPr>
            <w:tcW w:w="1980" w:type="dxa"/>
            <w:vAlign w:val="center"/>
          </w:tcPr>
          <w:p w14:paraId="3EB07AE8" w14:textId="77777777" w:rsidR="004F16FA" w:rsidRPr="00E0548A" w:rsidRDefault="004F16FA" w:rsidP="00170CBB">
            <w:pPr>
              <w:rPr>
                <w:rFonts w:ascii="ＭＳ ゴシック" w:eastAsia="ＭＳ ゴシック" w:hAnsi="ＭＳ ゴシック"/>
                <w:color w:val="000000" w:themeColor="text1"/>
                <w:sz w:val="22"/>
              </w:rPr>
            </w:pPr>
            <w:r w:rsidRPr="00E0548A">
              <w:rPr>
                <w:rFonts w:ascii="ＭＳ ゴシック" w:eastAsia="ＭＳ ゴシック" w:hAnsi="ＭＳ ゴシック" w:hint="eastAsia"/>
                <w:color w:val="000000" w:themeColor="text1"/>
                <w:sz w:val="22"/>
              </w:rPr>
              <w:t>第５フェーズ</w:t>
            </w:r>
          </w:p>
        </w:tc>
        <w:tc>
          <w:tcPr>
            <w:tcW w:w="6514" w:type="dxa"/>
            <w:vAlign w:val="center"/>
          </w:tcPr>
          <w:p w14:paraId="7629568A" w14:textId="4B227D0B" w:rsidR="00C53DA3" w:rsidRPr="00E0548A" w:rsidRDefault="00C53DA3" w:rsidP="00170CBB">
            <w:pPr>
              <w:rPr>
                <w:rFonts w:ascii="ＭＳ 明朝" w:hAnsi="ＭＳ 明朝"/>
                <w:sz w:val="22"/>
              </w:rPr>
            </w:pPr>
            <w:r w:rsidRPr="00E0548A">
              <w:rPr>
                <w:rFonts w:ascii="ＭＳ 明朝" w:hAnsi="ＭＳ 明朝" w:hint="eastAsia"/>
                <w:sz w:val="22"/>
              </w:rPr>
              <w:t>社会福祉施設等の介護職員等派遣調整・派遣開始</w:t>
            </w:r>
          </w:p>
          <w:p w14:paraId="1367F033" w14:textId="4C5C5E3B" w:rsidR="004F16FA" w:rsidRPr="00E0548A" w:rsidRDefault="004F16FA" w:rsidP="00170CBB">
            <w:pPr>
              <w:rPr>
                <w:rFonts w:ascii="ＭＳ 明朝" w:hAnsi="ＭＳ 明朝"/>
                <w:color w:val="000000" w:themeColor="text1"/>
                <w:sz w:val="22"/>
              </w:rPr>
            </w:pPr>
            <w:r w:rsidRPr="00E0548A">
              <w:rPr>
                <w:rFonts w:ascii="ＭＳ 明朝" w:hAnsi="ＭＳ 明朝" w:hint="eastAsia"/>
                <w:color w:val="000000" w:themeColor="text1"/>
                <w:sz w:val="22"/>
              </w:rPr>
              <w:t>社会福祉施設等入所者</w:t>
            </w:r>
            <w:r w:rsidR="00C53DA3" w:rsidRPr="00E0548A">
              <w:rPr>
                <w:rFonts w:ascii="ＭＳ 明朝" w:hAnsi="ＭＳ 明朝" w:hint="eastAsia"/>
                <w:color w:val="000000" w:themeColor="text1"/>
                <w:sz w:val="22"/>
              </w:rPr>
              <w:t>調整</w:t>
            </w:r>
            <w:r w:rsidRPr="00E0548A">
              <w:rPr>
                <w:rFonts w:ascii="ＭＳ 明朝" w:hAnsi="ＭＳ 明朝" w:hint="eastAsia"/>
                <w:color w:val="000000" w:themeColor="text1"/>
                <w:sz w:val="22"/>
              </w:rPr>
              <w:t>等</w:t>
            </w:r>
          </w:p>
        </w:tc>
      </w:tr>
    </w:tbl>
    <w:p w14:paraId="7F1E621A" w14:textId="77777777" w:rsidR="004F16FA" w:rsidRPr="00E0548A" w:rsidRDefault="004F16FA" w:rsidP="004F16FA">
      <w:pPr>
        <w:rPr>
          <w:color w:val="000000" w:themeColor="text1"/>
        </w:rPr>
      </w:pPr>
    </w:p>
    <w:p w14:paraId="4BA67468" w14:textId="77777777" w:rsidR="004F16FA" w:rsidRPr="00E0548A" w:rsidRDefault="004F16FA" w:rsidP="004F16FA">
      <w:pPr>
        <w:ind w:firstLineChars="100" w:firstLine="221"/>
        <w:rPr>
          <w:rFonts w:ascii="ＭＳ ゴシック" w:eastAsia="ＭＳ ゴシック" w:hAnsi="ＭＳ ゴシック"/>
          <w:color w:val="000000" w:themeColor="text1"/>
          <w:sz w:val="22"/>
        </w:rPr>
      </w:pPr>
      <w:r w:rsidRPr="00E0548A">
        <w:rPr>
          <w:rFonts w:ascii="ＭＳ ゴシック" w:eastAsia="ＭＳ ゴシック" w:hAnsi="ＭＳ ゴシック" w:hint="eastAsia"/>
          <w:color w:val="000000" w:themeColor="text1"/>
          <w:sz w:val="22"/>
        </w:rPr>
        <w:t>府は、防災計画に記載の役割分担を踏まえ、福祉活動を次のとおり行う。</w:t>
      </w:r>
    </w:p>
    <w:p w14:paraId="4BCCA873" w14:textId="77777777" w:rsidR="004F16FA" w:rsidRPr="00E0548A" w:rsidRDefault="004F16FA" w:rsidP="004F16FA">
      <w:pPr>
        <w:rPr>
          <w:color w:val="000000" w:themeColor="text1"/>
        </w:rPr>
      </w:pPr>
    </w:p>
    <w:p w14:paraId="0567287C" w14:textId="17EFD87E" w:rsidR="004F16FA" w:rsidRPr="00E0548A" w:rsidRDefault="004F16FA" w:rsidP="001D4C5B">
      <w:pPr>
        <w:pStyle w:val="3"/>
        <w:ind w:firstLineChars="0" w:firstLine="0"/>
      </w:pPr>
      <w:bookmarkStart w:id="272" w:name="_Toc222486622"/>
      <w:bookmarkStart w:id="273" w:name="_Toc242870292"/>
      <w:r w:rsidRPr="00E0548A">
        <w:rPr>
          <w:rFonts w:hint="eastAsia"/>
        </w:rPr>
        <w:t>第１　福祉活動に関する府の組織体制</w:t>
      </w:r>
      <w:bookmarkEnd w:id="272"/>
      <w:bookmarkEnd w:id="273"/>
    </w:p>
    <w:p w14:paraId="6188D551" w14:textId="77777777" w:rsidR="004F16FA" w:rsidRPr="00E0548A" w:rsidRDefault="004F16FA" w:rsidP="001D4C5B">
      <w:pPr>
        <w:ind w:firstLineChars="100" w:firstLine="221"/>
        <w:rPr>
          <w:rFonts w:ascii="ＭＳ ゴシック" w:eastAsia="ＭＳ ゴシック" w:hAnsi="ＭＳ ゴシック"/>
          <w:color w:val="000000" w:themeColor="text1"/>
          <w:sz w:val="22"/>
        </w:rPr>
      </w:pPr>
      <w:r w:rsidRPr="00E0548A">
        <w:rPr>
          <w:rFonts w:ascii="ＭＳ ゴシック" w:eastAsia="ＭＳ ゴシック" w:hAnsi="ＭＳ ゴシック" w:hint="eastAsia"/>
          <w:color w:val="000000" w:themeColor="text1"/>
          <w:sz w:val="22"/>
          <w:bdr w:val="single" w:sz="4" w:space="0" w:color="auto"/>
        </w:rPr>
        <w:t>主たる担当：福祉部関係局室・課</w:t>
      </w:r>
    </w:p>
    <w:p w14:paraId="596C6E13" w14:textId="77777777" w:rsidR="004F16FA" w:rsidRPr="00E0548A" w:rsidRDefault="004F16FA" w:rsidP="004F16FA">
      <w:pPr>
        <w:ind w:firstLineChars="100" w:firstLine="221"/>
        <w:rPr>
          <w:rFonts w:ascii="ＭＳ ゴシック" w:eastAsia="ＭＳ ゴシック" w:hAnsi="ＭＳ ゴシック"/>
          <w:color w:val="000000" w:themeColor="text1"/>
          <w:sz w:val="22"/>
          <w:u w:val="single"/>
          <w:shd w:val="pct15" w:color="auto" w:fill="FFFFFF"/>
        </w:rPr>
      </w:pPr>
      <w:r w:rsidRPr="00E0548A">
        <w:rPr>
          <w:rFonts w:ascii="ＭＳ ゴシック" w:eastAsia="ＭＳ ゴシック" w:hAnsi="ＭＳ ゴシック" w:hint="eastAsia"/>
          <w:color w:val="000000" w:themeColor="text1"/>
          <w:sz w:val="22"/>
          <w:u w:val="single"/>
        </w:rPr>
        <w:t>１　組織体制の確保</w:t>
      </w:r>
      <w:r w:rsidRPr="00E0548A">
        <w:rPr>
          <w:rFonts w:ascii="ＭＳ ゴシック" w:eastAsia="ＭＳ ゴシック" w:hAnsi="ＭＳ ゴシック" w:hint="eastAsia"/>
          <w:color w:val="000000" w:themeColor="text1"/>
          <w:sz w:val="22"/>
          <w:u w:val="single"/>
          <w:shd w:val="pct15" w:color="auto" w:fill="FFFFFF"/>
        </w:rPr>
        <w:t>【第１、２フェーズ～】</w:t>
      </w:r>
    </w:p>
    <w:p w14:paraId="2FC7AD17" w14:textId="77777777" w:rsidR="004F16FA" w:rsidRPr="00E0548A" w:rsidRDefault="004F16FA" w:rsidP="004F16FA">
      <w:pPr>
        <w:ind w:leftChars="100" w:left="211" w:firstLineChars="100" w:firstLine="221"/>
        <w:rPr>
          <w:rFonts w:ascii="ＭＳ ゴシック" w:eastAsia="ＭＳ ゴシック" w:hAnsi="ＭＳ ゴシック"/>
          <w:color w:val="000000" w:themeColor="text1"/>
          <w:sz w:val="22"/>
        </w:rPr>
      </w:pPr>
      <w:r w:rsidRPr="00E0548A">
        <w:rPr>
          <w:rFonts w:ascii="ＭＳ ゴシック" w:eastAsia="ＭＳ ゴシック" w:hAnsi="ＭＳ ゴシック" w:hint="eastAsia"/>
          <w:color w:val="000000" w:themeColor="text1"/>
          <w:sz w:val="22"/>
        </w:rPr>
        <w:t>大規模な災害等が発生した場合には、福祉活動に関する災害応急活動を実施するため、必要に応じて下記組織を設置する。</w:t>
      </w:r>
    </w:p>
    <w:p w14:paraId="1A480B32" w14:textId="77777777" w:rsidR="004F16FA" w:rsidRPr="00E0548A" w:rsidRDefault="004F16FA" w:rsidP="004F16FA">
      <w:pPr>
        <w:rPr>
          <w:rFonts w:ascii="ＭＳ ゴシック" w:eastAsia="ＭＳ ゴシック" w:hAnsi="ＭＳ ゴシック"/>
          <w:color w:val="000000" w:themeColor="text1"/>
          <w:sz w:val="22"/>
        </w:rPr>
      </w:pPr>
      <w:r w:rsidRPr="00E0548A">
        <w:rPr>
          <w:rFonts w:ascii="ＭＳ ゴシック" w:eastAsia="ＭＳ ゴシック" w:hAnsi="ＭＳ ゴシック" w:hint="eastAsia"/>
          <w:color w:val="000000" w:themeColor="text1"/>
          <w:sz w:val="22"/>
        </w:rPr>
        <w:t>（</w:t>
      </w:r>
      <w:r w:rsidRPr="00E0548A">
        <w:rPr>
          <w:rFonts w:ascii="ＭＳ ゴシック" w:eastAsia="ＭＳ ゴシック" w:hAnsi="ＭＳ ゴシック"/>
          <w:color w:val="000000" w:themeColor="text1"/>
          <w:sz w:val="22"/>
        </w:rPr>
        <w:t>1）福祉活動全体の調整を行うため、災害対策本部の下に福祉調整本部</w:t>
      </w:r>
      <w:r w:rsidRPr="00E0548A">
        <w:rPr>
          <w:rFonts w:ascii="ＭＳ ゴシック" w:eastAsia="ＭＳ ゴシック" w:hAnsi="ＭＳ ゴシック" w:hint="eastAsia"/>
          <w:color w:val="000000" w:themeColor="text1"/>
          <w:sz w:val="22"/>
        </w:rPr>
        <w:t>を設置する。</w:t>
      </w:r>
    </w:p>
    <w:p w14:paraId="58E24DB6" w14:textId="77777777" w:rsidR="004F16FA" w:rsidRPr="00E0548A" w:rsidRDefault="004F16FA" w:rsidP="004F16FA">
      <w:pPr>
        <w:rPr>
          <w:rFonts w:ascii="ＭＳ ゴシック" w:eastAsia="ＭＳ ゴシック" w:hAnsi="ＭＳ ゴシック"/>
          <w:color w:val="000000" w:themeColor="text1"/>
          <w:sz w:val="22"/>
        </w:rPr>
      </w:pPr>
      <w:r w:rsidRPr="00E0548A">
        <w:rPr>
          <w:rFonts w:ascii="ＭＳ ゴシック" w:eastAsia="ＭＳ ゴシック" w:hAnsi="ＭＳ ゴシック" w:hint="eastAsia"/>
          <w:color w:val="000000" w:themeColor="text1"/>
          <w:sz w:val="22"/>
        </w:rPr>
        <w:t xml:space="preserve">　　</w:t>
      </w:r>
      <w:r w:rsidRPr="00E0548A">
        <w:rPr>
          <w:rFonts w:ascii="ＭＳ ゴシック" w:eastAsia="ＭＳ ゴシック" w:hAnsi="ＭＳ ゴシック"/>
          <w:color w:val="000000" w:themeColor="text1"/>
          <w:sz w:val="22"/>
        </w:rPr>
        <w:t>（本部長：福祉部長）</w:t>
      </w:r>
      <w:r w:rsidRPr="00E0548A">
        <w:rPr>
          <w:rFonts w:ascii="ＭＳ ゴシック" w:eastAsia="ＭＳ ゴシック" w:hAnsi="ＭＳ ゴシック" w:hint="eastAsia"/>
          <w:color w:val="000000" w:themeColor="text1"/>
          <w:sz w:val="22"/>
        </w:rPr>
        <w:t>【第１フェーズ】</w:t>
      </w:r>
    </w:p>
    <w:p w14:paraId="7CCC2311" w14:textId="77777777" w:rsidR="004F16FA" w:rsidRPr="00E0548A" w:rsidRDefault="004F16FA" w:rsidP="004F16FA">
      <w:pPr>
        <w:ind w:left="442" w:hangingChars="200" w:hanging="442"/>
        <w:rPr>
          <w:rFonts w:ascii="ＭＳ ゴシック" w:eastAsia="ＭＳ ゴシック" w:hAnsi="ＭＳ ゴシック"/>
          <w:color w:val="000000" w:themeColor="text1"/>
          <w:sz w:val="22"/>
        </w:rPr>
      </w:pPr>
      <w:r w:rsidRPr="00E0548A">
        <w:rPr>
          <w:rFonts w:ascii="ＭＳ ゴシック" w:eastAsia="ＭＳ ゴシック" w:hAnsi="ＭＳ ゴシック" w:hint="eastAsia"/>
          <w:color w:val="000000" w:themeColor="text1"/>
          <w:sz w:val="22"/>
        </w:rPr>
        <w:t>（</w:t>
      </w:r>
      <w:r w:rsidRPr="00E0548A">
        <w:rPr>
          <w:rFonts w:ascii="ＭＳ ゴシック" w:eastAsia="ＭＳ ゴシック" w:hAnsi="ＭＳ ゴシック"/>
          <w:color w:val="000000" w:themeColor="text1"/>
          <w:sz w:val="22"/>
        </w:rPr>
        <w:t>2）地域福祉</w:t>
      </w:r>
      <w:r w:rsidRPr="00E0548A">
        <w:rPr>
          <w:rFonts w:ascii="ＭＳ ゴシック" w:eastAsia="ＭＳ ゴシック" w:hAnsi="ＭＳ ゴシック" w:hint="eastAsia"/>
          <w:color w:val="000000" w:themeColor="text1"/>
          <w:sz w:val="22"/>
        </w:rPr>
        <w:t>推進室長</w:t>
      </w:r>
      <w:r w:rsidRPr="00E0548A">
        <w:rPr>
          <w:rFonts w:ascii="ＭＳ ゴシック" w:eastAsia="ＭＳ ゴシック" w:hAnsi="ＭＳ ゴシック"/>
          <w:color w:val="000000" w:themeColor="text1"/>
          <w:sz w:val="22"/>
        </w:rPr>
        <w:t>は、ＤＷＡＴ（災害派遣福祉チーム）に関する指揮、関係機関等の調整を行うため、福祉調整本部の下に、</w:t>
      </w:r>
      <w:r w:rsidRPr="00E0548A">
        <w:rPr>
          <w:rFonts w:ascii="ＭＳ ゴシック" w:eastAsia="ＭＳ ゴシック" w:hAnsi="ＭＳ ゴシック" w:hint="eastAsia"/>
          <w:color w:val="000000" w:themeColor="text1"/>
          <w:sz w:val="22"/>
        </w:rPr>
        <w:t>ＤＷＡＴ本部</w:t>
      </w:r>
      <w:r w:rsidRPr="00E0548A">
        <w:rPr>
          <w:rFonts w:ascii="ＭＳ ゴシック" w:eastAsia="ＭＳ ゴシック" w:hAnsi="ＭＳ ゴシック"/>
          <w:color w:val="000000" w:themeColor="text1"/>
          <w:sz w:val="22"/>
        </w:rPr>
        <w:t>を設置する。</w:t>
      </w:r>
    </w:p>
    <w:p w14:paraId="3E6A4F38" w14:textId="77777777" w:rsidR="004F16FA" w:rsidRPr="00E0548A" w:rsidRDefault="004F16FA" w:rsidP="004F16FA">
      <w:pPr>
        <w:rPr>
          <w:rFonts w:ascii="ＭＳ ゴシック" w:eastAsia="ＭＳ ゴシック" w:hAnsi="ＭＳ ゴシック"/>
          <w:color w:val="000000" w:themeColor="text1"/>
          <w:sz w:val="22"/>
        </w:rPr>
      </w:pPr>
      <w:r w:rsidRPr="00E0548A">
        <w:rPr>
          <w:rFonts w:ascii="ＭＳ ゴシック" w:eastAsia="ＭＳ ゴシック" w:hAnsi="ＭＳ ゴシック" w:hint="eastAsia"/>
          <w:color w:val="000000" w:themeColor="text1"/>
          <w:sz w:val="22"/>
        </w:rPr>
        <w:t xml:space="preserve">　　（本部長：地域福祉推進室長）【第２フェーズ】</w:t>
      </w:r>
    </w:p>
    <w:p w14:paraId="0F6DDD8E" w14:textId="77777777" w:rsidR="004F16FA" w:rsidRPr="00E0548A" w:rsidRDefault="004F16FA" w:rsidP="004F16FA">
      <w:pPr>
        <w:rPr>
          <w:rFonts w:ascii="ＭＳ ゴシック" w:eastAsia="ＭＳ ゴシック" w:hAnsi="ＭＳ ゴシック"/>
          <w:color w:val="000000" w:themeColor="text1"/>
          <w:sz w:val="22"/>
          <w:u w:val="double"/>
        </w:rPr>
      </w:pPr>
    </w:p>
    <w:p w14:paraId="04D94BA2" w14:textId="5D58A4A6" w:rsidR="004F16FA" w:rsidRPr="00E0548A" w:rsidRDefault="004F16FA" w:rsidP="001D4C5B">
      <w:pPr>
        <w:pStyle w:val="3"/>
        <w:ind w:firstLineChars="0" w:firstLine="0"/>
      </w:pPr>
      <w:bookmarkStart w:id="274" w:name="_Toc222486623"/>
      <w:bookmarkStart w:id="275" w:name="_Toc242870293"/>
      <w:r w:rsidRPr="00E0548A">
        <w:rPr>
          <w:rFonts w:hint="eastAsia"/>
        </w:rPr>
        <w:t>第２　社会福祉施設など</w:t>
      </w:r>
      <w:r w:rsidRPr="00E0548A">
        <w:rPr>
          <w:rFonts w:hint="eastAsia"/>
          <w:kern w:val="0"/>
        </w:rPr>
        <w:t>の被害状況の把握等</w:t>
      </w:r>
      <w:r w:rsidRPr="00E0548A">
        <w:rPr>
          <w:rFonts w:hint="eastAsia"/>
          <w:u w:val="single"/>
          <w:shd w:val="pct15" w:color="auto" w:fill="FFFFFF"/>
        </w:rPr>
        <w:t>【第２フェーズ～】</w:t>
      </w:r>
      <w:bookmarkEnd w:id="274"/>
      <w:bookmarkEnd w:id="275"/>
    </w:p>
    <w:p w14:paraId="1F373E6D" w14:textId="77777777" w:rsidR="004F16FA" w:rsidRPr="00E0548A" w:rsidRDefault="004F16FA" w:rsidP="001D4C5B">
      <w:pPr>
        <w:ind w:firstLineChars="100" w:firstLine="221"/>
        <w:rPr>
          <w:rFonts w:ascii="ＭＳ ゴシック" w:eastAsia="ＭＳ ゴシック" w:hAnsi="ＭＳ ゴシック"/>
          <w:color w:val="000000" w:themeColor="text1"/>
          <w:sz w:val="22"/>
          <w:bdr w:val="single" w:sz="4" w:space="0" w:color="auto"/>
        </w:rPr>
      </w:pPr>
      <w:r w:rsidRPr="00E0548A">
        <w:rPr>
          <w:rFonts w:ascii="ＭＳ ゴシック" w:eastAsia="ＭＳ ゴシック" w:hAnsi="ＭＳ ゴシック" w:hint="eastAsia"/>
          <w:color w:val="000000" w:themeColor="text1"/>
          <w:sz w:val="22"/>
          <w:bdr w:val="single" w:sz="4" w:space="0" w:color="auto"/>
        </w:rPr>
        <w:t>主たる担当：福祉部関係局室・課</w:t>
      </w:r>
    </w:p>
    <w:p w14:paraId="25629465" w14:textId="77777777" w:rsidR="004F16FA" w:rsidRPr="00E0548A" w:rsidRDefault="004F16FA" w:rsidP="004F16FA">
      <w:pPr>
        <w:ind w:left="442" w:hangingChars="200" w:hanging="442"/>
        <w:rPr>
          <w:rFonts w:ascii="ＭＳ ゴシック" w:eastAsia="ＭＳ ゴシック" w:hAnsi="ＭＳ ゴシック"/>
          <w:color w:val="000000" w:themeColor="text1"/>
          <w:sz w:val="22"/>
        </w:rPr>
      </w:pPr>
      <w:r w:rsidRPr="00E0548A">
        <w:rPr>
          <w:rFonts w:ascii="ＭＳ ゴシック" w:eastAsia="ＭＳ ゴシック" w:hAnsi="ＭＳ ゴシック" w:hint="eastAsia"/>
          <w:color w:val="000000" w:themeColor="text1"/>
          <w:sz w:val="22"/>
        </w:rPr>
        <w:t>（</w:t>
      </w:r>
      <w:r w:rsidRPr="00E0548A">
        <w:rPr>
          <w:rFonts w:ascii="ＭＳ ゴシック" w:eastAsia="ＭＳ ゴシック" w:hAnsi="ＭＳ ゴシック"/>
          <w:color w:val="000000" w:themeColor="text1"/>
          <w:sz w:val="22"/>
        </w:rPr>
        <w:t>1）</w:t>
      </w:r>
      <w:r w:rsidRPr="00E0548A">
        <w:rPr>
          <w:rFonts w:ascii="ＭＳ ゴシック" w:eastAsia="ＭＳ ゴシック" w:hAnsi="ＭＳ ゴシック" w:hint="eastAsia"/>
          <w:color w:val="000000" w:themeColor="text1"/>
          <w:sz w:val="22"/>
        </w:rPr>
        <w:t>関係局室</w:t>
      </w:r>
      <w:r w:rsidRPr="00E0548A">
        <w:rPr>
          <w:rFonts w:ascii="ＭＳ ゴシック" w:eastAsia="ＭＳ ゴシック" w:hAnsi="ＭＳ ゴシック"/>
          <w:color w:val="000000" w:themeColor="text1"/>
          <w:sz w:val="22"/>
        </w:rPr>
        <w:t>は、社会福祉施設</w:t>
      </w:r>
      <w:r w:rsidRPr="00E0548A">
        <w:rPr>
          <w:rFonts w:ascii="ＭＳ ゴシック" w:eastAsia="ＭＳ ゴシック" w:hAnsi="ＭＳ ゴシック" w:hint="eastAsia"/>
          <w:color w:val="000000" w:themeColor="text1"/>
          <w:sz w:val="22"/>
        </w:rPr>
        <w:t>など</w:t>
      </w:r>
      <w:r w:rsidRPr="00E0548A">
        <w:rPr>
          <w:rFonts w:ascii="ＭＳ ゴシック" w:eastAsia="ＭＳ ゴシック" w:hAnsi="ＭＳ ゴシック"/>
          <w:color w:val="000000" w:themeColor="text1"/>
          <w:sz w:val="22"/>
        </w:rPr>
        <w:t>の被災状況など、</w:t>
      </w:r>
      <w:r w:rsidRPr="00E0548A">
        <w:rPr>
          <w:rFonts w:ascii="ＭＳ ゴシック" w:eastAsia="ＭＳ ゴシック" w:hAnsi="ＭＳ ゴシック" w:hint="eastAsia"/>
          <w:color w:val="000000" w:themeColor="text1"/>
          <w:sz w:val="22"/>
        </w:rPr>
        <w:t>災害時情報共有システム等を活用し、被害状況</w:t>
      </w:r>
      <w:r w:rsidRPr="00E0548A">
        <w:rPr>
          <w:rFonts w:ascii="ＭＳ ゴシック" w:eastAsia="ＭＳ ゴシック" w:hAnsi="ＭＳ ゴシック"/>
          <w:color w:val="000000" w:themeColor="text1"/>
          <w:sz w:val="22"/>
        </w:rPr>
        <w:t>の収集</w:t>
      </w:r>
      <w:r w:rsidRPr="00E0548A">
        <w:rPr>
          <w:rFonts w:ascii="ＭＳ ゴシック" w:eastAsia="ＭＳ ゴシック" w:hAnsi="ＭＳ ゴシック" w:hint="eastAsia"/>
          <w:color w:val="000000" w:themeColor="text1"/>
          <w:sz w:val="22"/>
        </w:rPr>
        <w:t>・</w:t>
      </w:r>
      <w:r w:rsidRPr="00E0548A">
        <w:rPr>
          <w:rFonts w:ascii="ＭＳ ゴシック" w:eastAsia="ＭＳ ゴシック" w:hAnsi="ＭＳ ゴシック"/>
          <w:color w:val="000000" w:themeColor="text1"/>
          <w:sz w:val="22"/>
        </w:rPr>
        <w:t>把握に努め</w:t>
      </w:r>
      <w:r w:rsidRPr="00E0548A">
        <w:rPr>
          <w:rFonts w:ascii="ＭＳ ゴシック" w:eastAsia="ＭＳ ゴシック" w:hAnsi="ＭＳ ゴシック" w:hint="eastAsia"/>
          <w:color w:val="000000" w:themeColor="text1"/>
          <w:sz w:val="22"/>
        </w:rPr>
        <w:t>、福祉調整本部に情報共有す</w:t>
      </w:r>
      <w:r w:rsidRPr="00E0548A">
        <w:rPr>
          <w:rFonts w:ascii="ＭＳ ゴシック" w:eastAsia="ＭＳ ゴシック" w:hAnsi="ＭＳ ゴシック"/>
          <w:color w:val="000000" w:themeColor="text1"/>
          <w:sz w:val="22"/>
        </w:rPr>
        <w:t>る。</w:t>
      </w:r>
    </w:p>
    <w:p w14:paraId="51E3B464" w14:textId="77777777" w:rsidR="004F16FA" w:rsidRPr="00E0548A" w:rsidRDefault="004F16FA" w:rsidP="004F16FA">
      <w:pPr>
        <w:ind w:left="553" w:hangingChars="250" w:hanging="553"/>
        <w:rPr>
          <w:rFonts w:ascii="ＭＳ ゴシック" w:eastAsia="ＭＳ ゴシック" w:hAnsi="ＭＳ ゴシック"/>
          <w:color w:val="000000" w:themeColor="text1"/>
          <w:sz w:val="22"/>
        </w:rPr>
      </w:pPr>
      <w:r w:rsidRPr="00E0548A">
        <w:rPr>
          <w:rFonts w:ascii="ＭＳ ゴシック" w:eastAsia="ＭＳ ゴシック" w:hAnsi="ＭＳ ゴシック" w:hint="eastAsia"/>
          <w:color w:val="000000" w:themeColor="text1"/>
          <w:sz w:val="22"/>
        </w:rPr>
        <w:t>（</w:t>
      </w:r>
      <w:r w:rsidRPr="00E0548A">
        <w:rPr>
          <w:rFonts w:ascii="ＭＳ ゴシック" w:eastAsia="ＭＳ ゴシック" w:hAnsi="ＭＳ ゴシック"/>
          <w:color w:val="000000" w:themeColor="text1"/>
          <w:sz w:val="22"/>
        </w:rPr>
        <w:t>2）福祉</w:t>
      </w:r>
      <w:r w:rsidRPr="00E0548A">
        <w:rPr>
          <w:rFonts w:ascii="ＭＳ ゴシック" w:eastAsia="ＭＳ ゴシック" w:hAnsi="ＭＳ ゴシック" w:hint="eastAsia"/>
          <w:color w:val="000000" w:themeColor="text1"/>
          <w:sz w:val="22"/>
        </w:rPr>
        <w:t>調整本部</w:t>
      </w:r>
      <w:r w:rsidRPr="00E0548A">
        <w:rPr>
          <w:rFonts w:ascii="ＭＳ ゴシック" w:eastAsia="ＭＳ ゴシック" w:hAnsi="ＭＳ ゴシック"/>
          <w:color w:val="000000" w:themeColor="text1"/>
          <w:sz w:val="22"/>
        </w:rPr>
        <w:t>は、</w:t>
      </w:r>
      <w:r w:rsidRPr="00E0548A">
        <w:rPr>
          <w:rFonts w:ascii="ＭＳ ゴシック" w:eastAsia="ＭＳ ゴシック" w:hAnsi="ＭＳ ゴシック" w:hint="eastAsia"/>
          <w:color w:val="000000" w:themeColor="text1"/>
          <w:sz w:val="22"/>
        </w:rPr>
        <w:t>府内市町村及び関係機関等の被災状況等を確認し、福祉ニーズの迅速かつ的確な把握に努め、災害対策本部等と情報共有する。</w:t>
      </w:r>
    </w:p>
    <w:p w14:paraId="278C4808" w14:textId="61249BB4" w:rsidR="004F16FA" w:rsidRPr="00E0548A" w:rsidRDefault="004F16FA" w:rsidP="004F16FA">
      <w:pPr>
        <w:ind w:left="442" w:hangingChars="200" w:hanging="442"/>
        <w:rPr>
          <w:rFonts w:ascii="ＭＳ ゴシック" w:eastAsia="ＭＳ ゴシック" w:hAnsi="ＭＳ ゴシック"/>
          <w:color w:val="000000" w:themeColor="text1"/>
          <w:sz w:val="22"/>
        </w:rPr>
      </w:pPr>
      <w:r w:rsidRPr="00E0548A">
        <w:rPr>
          <w:rFonts w:ascii="ＭＳ ゴシック" w:eastAsia="ＭＳ ゴシック" w:hAnsi="ＭＳ ゴシック" w:hint="eastAsia"/>
          <w:color w:val="000000" w:themeColor="text1"/>
          <w:sz w:val="22"/>
        </w:rPr>
        <w:t>（</w:t>
      </w:r>
      <w:r w:rsidRPr="00E0548A">
        <w:rPr>
          <w:rFonts w:ascii="ＭＳ ゴシック" w:eastAsia="ＭＳ ゴシック" w:hAnsi="ＭＳ ゴシック"/>
          <w:color w:val="000000" w:themeColor="text1"/>
          <w:sz w:val="22"/>
        </w:rPr>
        <w:t>3）福祉調整本部及びＤＷＡＴ本部は、保健医療調整本部にリエゾンを派遣し、福祉調整本部で収集した情報を提供するとともに、保健医療調整本部が収集した情報の提供を</w:t>
      </w:r>
      <w:r w:rsidRPr="00E0548A">
        <w:rPr>
          <w:rFonts w:ascii="ＭＳ ゴシック" w:eastAsia="ＭＳ ゴシック" w:hAnsi="ＭＳ ゴシック" w:hint="eastAsia"/>
          <w:color w:val="000000" w:themeColor="text1"/>
          <w:sz w:val="22"/>
        </w:rPr>
        <w:t>受ける等、被災状況の共有を実施する。</w:t>
      </w:r>
    </w:p>
    <w:p w14:paraId="54762513" w14:textId="77777777" w:rsidR="00C53DA3" w:rsidRPr="00E0548A" w:rsidRDefault="00C53DA3" w:rsidP="004F16FA">
      <w:pPr>
        <w:ind w:left="442" w:hangingChars="200" w:hanging="442"/>
        <w:rPr>
          <w:rFonts w:ascii="ＭＳ ゴシック" w:eastAsia="ＭＳ ゴシック" w:hAnsi="ＭＳ ゴシック"/>
          <w:color w:val="000000" w:themeColor="text1"/>
          <w:sz w:val="22"/>
        </w:rPr>
      </w:pPr>
    </w:p>
    <w:p w14:paraId="4BB41D5E" w14:textId="613D6F8C" w:rsidR="004F16FA" w:rsidRPr="00E0548A" w:rsidRDefault="004F16FA" w:rsidP="001D4C5B">
      <w:pPr>
        <w:pStyle w:val="3"/>
        <w:ind w:firstLineChars="0" w:firstLine="0"/>
      </w:pPr>
      <w:bookmarkStart w:id="276" w:name="_Toc222486624"/>
      <w:bookmarkStart w:id="277" w:name="_Toc242870294"/>
      <w:r w:rsidRPr="00E0548A">
        <w:rPr>
          <w:rFonts w:hint="eastAsia"/>
        </w:rPr>
        <w:lastRenderedPageBreak/>
        <w:t>第３　災害派遣福祉チーム（ＤＷＡＴ）の派遣</w:t>
      </w:r>
      <w:r w:rsidRPr="00E0548A">
        <w:rPr>
          <w:rFonts w:hint="eastAsia"/>
          <w:shd w:val="pct15" w:color="auto" w:fill="FFFFFF"/>
        </w:rPr>
        <w:t>【第３フェーズ～】</w:t>
      </w:r>
      <w:bookmarkEnd w:id="276"/>
      <w:bookmarkEnd w:id="277"/>
    </w:p>
    <w:p w14:paraId="57D77D68" w14:textId="77777777" w:rsidR="004F16FA" w:rsidRPr="00E0548A" w:rsidRDefault="004F16FA" w:rsidP="001D4C5B">
      <w:pPr>
        <w:ind w:firstLineChars="100" w:firstLine="221"/>
        <w:rPr>
          <w:rFonts w:ascii="ＭＳ ゴシック" w:eastAsia="ＭＳ ゴシック" w:hAnsi="ＭＳ ゴシック"/>
          <w:color w:val="000000" w:themeColor="text1"/>
          <w:sz w:val="22"/>
          <w:bdr w:val="single" w:sz="4" w:space="0" w:color="auto"/>
        </w:rPr>
      </w:pPr>
      <w:r w:rsidRPr="00E0548A">
        <w:rPr>
          <w:rFonts w:ascii="ＭＳ ゴシック" w:eastAsia="ＭＳ ゴシック" w:hAnsi="ＭＳ ゴシック" w:hint="eastAsia"/>
          <w:color w:val="000000" w:themeColor="text1"/>
          <w:sz w:val="22"/>
          <w:bdr w:val="single" w:sz="4" w:space="0" w:color="auto"/>
        </w:rPr>
        <w:t>主たる担当：地域福祉課</w:t>
      </w:r>
    </w:p>
    <w:p w14:paraId="00F2EBF5" w14:textId="77777777" w:rsidR="004F16FA" w:rsidRPr="00E0548A" w:rsidRDefault="004F16FA" w:rsidP="004F16FA">
      <w:pPr>
        <w:ind w:leftChars="100" w:left="432" w:hangingChars="100" w:hanging="221"/>
        <w:rPr>
          <w:rFonts w:ascii="ＭＳ ゴシック" w:eastAsia="ＭＳ ゴシック" w:hAnsi="ＭＳ ゴシック"/>
          <w:color w:val="000000" w:themeColor="text1"/>
          <w:sz w:val="22"/>
        </w:rPr>
      </w:pPr>
      <w:r w:rsidRPr="00E0548A">
        <w:rPr>
          <w:rFonts w:ascii="ＭＳ ゴシック" w:eastAsia="ＭＳ ゴシック" w:hAnsi="ＭＳ ゴシック"/>
          <w:color w:val="000000" w:themeColor="text1"/>
          <w:sz w:val="22"/>
        </w:rPr>
        <w:t xml:space="preserve">(1) </w:t>
      </w:r>
      <w:r w:rsidRPr="00E0548A">
        <w:rPr>
          <w:rFonts w:ascii="ＭＳ ゴシック" w:eastAsia="ＭＳ ゴシック" w:hAnsi="ＭＳ ゴシック" w:hint="eastAsia"/>
          <w:color w:val="000000" w:themeColor="text1"/>
          <w:sz w:val="22"/>
        </w:rPr>
        <w:t>市町村等からの災害派遣福祉チーム（ＤＷＡＴ）の派遣要請は、ＤＷＡＴ本部で集約し、派遣調整を行う。</w:t>
      </w:r>
    </w:p>
    <w:p w14:paraId="0252BC12" w14:textId="77777777" w:rsidR="004F16FA" w:rsidRPr="00E0548A" w:rsidRDefault="004F16FA" w:rsidP="004F16FA">
      <w:pPr>
        <w:ind w:leftChars="100" w:left="432" w:hangingChars="100" w:hanging="221"/>
        <w:rPr>
          <w:rFonts w:ascii="ＭＳ ゴシック" w:eastAsia="ＭＳ ゴシック" w:hAnsi="ＭＳ ゴシック"/>
          <w:color w:val="000000" w:themeColor="text1"/>
          <w:sz w:val="22"/>
        </w:rPr>
      </w:pPr>
      <w:r w:rsidRPr="00E0548A">
        <w:rPr>
          <w:rFonts w:ascii="ＭＳ ゴシック" w:eastAsia="ＭＳ ゴシック" w:hAnsi="ＭＳ ゴシック"/>
          <w:color w:val="000000" w:themeColor="text1"/>
          <w:sz w:val="22"/>
        </w:rPr>
        <w:t xml:space="preserve">(2) </w:t>
      </w:r>
      <w:r w:rsidRPr="00E0548A">
        <w:rPr>
          <w:rFonts w:ascii="ＭＳ ゴシック" w:eastAsia="ＭＳ ゴシック" w:hAnsi="ＭＳ ゴシック" w:hint="eastAsia"/>
          <w:color w:val="000000" w:themeColor="text1"/>
          <w:sz w:val="22"/>
        </w:rPr>
        <w:t>派遣された災害派遣福祉チーム（ＤＷＡＴ）は、被災地内の避難所等において関係機関と情報共有を図り、福祉支援を行う。</w:t>
      </w:r>
    </w:p>
    <w:p w14:paraId="3B05BC82" w14:textId="77777777" w:rsidR="004F16FA" w:rsidRPr="00E0548A" w:rsidRDefault="004F16FA" w:rsidP="004F16FA">
      <w:pPr>
        <w:ind w:leftChars="100" w:left="432" w:hangingChars="100" w:hanging="221"/>
        <w:rPr>
          <w:rFonts w:ascii="ＭＳ ゴシック" w:eastAsia="ＭＳ ゴシック" w:hAnsi="ＭＳ ゴシック"/>
          <w:color w:val="000000" w:themeColor="text1"/>
          <w:sz w:val="22"/>
        </w:rPr>
      </w:pPr>
      <w:r w:rsidRPr="00E0548A">
        <w:rPr>
          <w:rFonts w:ascii="ＭＳ ゴシック" w:eastAsia="ＭＳ ゴシック" w:hAnsi="ＭＳ ゴシック"/>
          <w:color w:val="000000" w:themeColor="text1"/>
          <w:sz w:val="22"/>
        </w:rPr>
        <w:t xml:space="preserve">(3) </w:t>
      </w:r>
      <w:r w:rsidRPr="00E0548A">
        <w:rPr>
          <w:rFonts w:ascii="ＭＳ ゴシック" w:eastAsia="ＭＳ ゴシック" w:hAnsi="ＭＳ ゴシック" w:hint="eastAsia"/>
          <w:color w:val="000000" w:themeColor="text1"/>
          <w:sz w:val="22"/>
        </w:rPr>
        <w:t>ＤＷＡＴ本部は、必要に応じて、国及び他府県に対し、応援派遣の要請を行う。</w:t>
      </w:r>
    </w:p>
    <w:p w14:paraId="661D8E84" w14:textId="77777777" w:rsidR="004F16FA" w:rsidRPr="00E0548A" w:rsidRDefault="004F16FA" w:rsidP="004F16FA">
      <w:pPr>
        <w:rPr>
          <w:rFonts w:ascii="ＭＳ ゴシック" w:eastAsia="ＭＳ ゴシック" w:hAnsi="ＭＳ ゴシック"/>
          <w:color w:val="000000" w:themeColor="text1"/>
          <w:sz w:val="22"/>
        </w:rPr>
      </w:pPr>
    </w:p>
    <w:p w14:paraId="16F153E5" w14:textId="683B2607" w:rsidR="004F16FA" w:rsidRPr="00E0548A" w:rsidRDefault="004F16FA" w:rsidP="001D4C5B">
      <w:pPr>
        <w:pStyle w:val="3"/>
        <w:ind w:firstLineChars="0" w:firstLine="0"/>
      </w:pPr>
      <w:bookmarkStart w:id="278" w:name="_Toc222486625"/>
      <w:bookmarkStart w:id="279" w:name="_Toc242870295"/>
      <w:r w:rsidRPr="00E0548A">
        <w:rPr>
          <w:rFonts w:hint="eastAsia"/>
        </w:rPr>
        <w:t>第４　介護職員等の応援派遣</w:t>
      </w:r>
      <w:r w:rsidR="00C53DA3" w:rsidRPr="00E0548A">
        <w:rPr>
          <w:rFonts w:hint="eastAsia"/>
        </w:rPr>
        <w:t>調整等</w:t>
      </w:r>
      <w:r w:rsidRPr="00E0548A">
        <w:rPr>
          <w:rFonts w:hint="eastAsia"/>
          <w:u w:val="single"/>
          <w:shd w:val="pct15" w:color="auto" w:fill="FFFFFF"/>
        </w:rPr>
        <w:t>【第４フェーズ～】</w:t>
      </w:r>
      <w:bookmarkEnd w:id="278"/>
      <w:bookmarkEnd w:id="279"/>
    </w:p>
    <w:p w14:paraId="432C27EC" w14:textId="77777777" w:rsidR="004F16FA" w:rsidRPr="00E0548A" w:rsidRDefault="004F16FA" w:rsidP="001D4C5B">
      <w:pPr>
        <w:ind w:firstLineChars="100" w:firstLine="221"/>
        <w:rPr>
          <w:rFonts w:ascii="ＭＳ ゴシック" w:eastAsia="ＭＳ ゴシック" w:hAnsi="ＭＳ ゴシック"/>
          <w:color w:val="000000" w:themeColor="text1"/>
          <w:sz w:val="22"/>
          <w:bdr w:val="single" w:sz="4" w:space="0" w:color="auto"/>
        </w:rPr>
      </w:pPr>
      <w:r w:rsidRPr="00E0548A">
        <w:rPr>
          <w:rFonts w:ascii="ＭＳ ゴシック" w:eastAsia="ＭＳ ゴシック" w:hAnsi="ＭＳ ゴシック" w:hint="eastAsia"/>
          <w:color w:val="000000" w:themeColor="text1"/>
          <w:sz w:val="22"/>
          <w:bdr w:val="single" w:sz="4" w:space="0" w:color="auto"/>
        </w:rPr>
        <w:t>主たる担当：福祉部関係局室・課</w:t>
      </w:r>
    </w:p>
    <w:p w14:paraId="10045743" w14:textId="77777777" w:rsidR="004F16FA" w:rsidRPr="00E0548A" w:rsidRDefault="004F16FA" w:rsidP="004F16FA">
      <w:pPr>
        <w:ind w:left="442" w:hangingChars="200" w:hanging="442"/>
        <w:rPr>
          <w:rFonts w:ascii="ＭＳ ゴシック" w:eastAsia="ＭＳ ゴシック" w:hAnsi="ＭＳ ゴシック"/>
          <w:color w:val="000000" w:themeColor="text1"/>
          <w:sz w:val="22"/>
        </w:rPr>
      </w:pPr>
      <w:r w:rsidRPr="00E0548A">
        <w:rPr>
          <w:rFonts w:ascii="ＭＳ ゴシック" w:eastAsia="ＭＳ ゴシック" w:hAnsi="ＭＳ ゴシック" w:hint="eastAsia"/>
          <w:color w:val="000000" w:themeColor="text1"/>
          <w:sz w:val="22"/>
        </w:rPr>
        <w:t>（</w:t>
      </w:r>
      <w:r w:rsidRPr="00E0548A">
        <w:rPr>
          <w:rFonts w:ascii="ＭＳ ゴシック" w:eastAsia="ＭＳ ゴシック" w:hAnsi="ＭＳ ゴシック"/>
          <w:color w:val="000000" w:themeColor="text1"/>
          <w:sz w:val="22"/>
        </w:rPr>
        <w:t>1）</w:t>
      </w:r>
      <w:r w:rsidRPr="00E0548A">
        <w:rPr>
          <w:rFonts w:ascii="ＭＳ ゴシック" w:eastAsia="ＭＳ ゴシック" w:hAnsi="ＭＳ ゴシック" w:hint="eastAsia"/>
          <w:color w:val="000000" w:themeColor="text1"/>
          <w:sz w:val="22"/>
        </w:rPr>
        <w:t>関係局室は、災害時情報共有システム等を活用した、府内市町村からの介護職員等の応援に関するニーズの収集を行う。</w:t>
      </w:r>
    </w:p>
    <w:p w14:paraId="1194669B" w14:textId="77777777" w:rsidR="004F16FA" w:rsidRPr="00E0548A" w:rsidRDefault="004F16FA" w:rsidP="004F16FA">
      <w:pPr>
        <w:ind w:left="442" w:hangingChars="200" w:hanging="442"/>
        <w:rPr>
          <w:rFonts w:ascii="ＭＳ ゴシック" w:eastAsia="ＭＳ ゴシック" w:hAnsi="ＭＳ ゴシック"/>
          <w:color w:val="000000" w:themeColor="text1"/>
          <w:sz w:val="22"/>
        </w:rPr>
      </w:pPr>
      <w:r w:rsidRPr="00E0548A">
        <w:rPr>
          <w:rFonts w:ascii="ＭＳ ゴシック" w:eastAsia="ＭＳ ゴシック" w:hAnsi="ＭＳ ゴシック" w:hint="eastAsia"/>
          <w:color w:val="000000" w:themeColor="text1"/>
          <w:sz w:val="22"/>
        </w:rPr>
        <w:t>（</w:t>
      </w:r>
      <w:r w:rsidRPr="00E0548A">
        <w:rPr>
          <w:rFonts w:ascii="ＭＳ ゴシック" w:eastAsia="ＭＳ ゴシック" w:hAnsi="ＭＳ ゴシック"/>
          <w:color w:val="000000" w:themeColor="text1"/>
          <w:sz w:val="22"/>
        </w:rPr>
        <w:t>2）</w:t>
      </w:r>
      <w:r w:rsidRPr="00E0548A">
        <w:rPr>
          <w:rFonts w:ascii="ＭＳ ゴシック" w:eastAsia="ＭＳ ゴシック" w:hAnsi="ＭＳ ゴシック" w:hint="eastAsia"/>
          <w:color w:val="000000" w:themeColor="text1"/>
          <w:sz w:val="22"/>
        </w:rPr>
        <w:t>福祉調整本部は、厚生労働省・全社協（災害福祉支援ネットワーク中央センター）や関係団体等に社会福祉施設等への介護職員等の応援派遣依頼要請を行う。</w:t>
      </w:r>
    </w:p>
    <w:p w14:paraId="053103CE" w14:textId="77777777" w:rsidR="004F16FA" w:rsidRPr="00E0548A" w:rsidRDefault="004F16FA" w:rsidP="004F16FA">
      <w:pPr>
        <w:ind w:left="442" w:hangingChars="200" w:hanging="442"/>
        <w:rPr>
          <w:rFonts w:ascii="ＭＳ ゴシック" w:eastAsia="ＭＳ ゴシック" w:hAnsi="ＭＳ ゴシック"/>
          <w:color w:val="000000" w:themeColor="text1"/>
          <w:sz w:val="22"/>
        </w:rPr>
      </w:pPr>
      <w:r w:rsidRPr="00E0548A">
        <w:rPr>
          <w:rFonts w:ascii="ＭＳ ゴシック" w:eastAsia="ＭＳ ゴシック" w:hAnsi="ＭＳ ゴシック" w:hint="eastAsia"/>
          <w:color w:val="000000" w:themeColor="text1"/>
          <w:sz w:val="22"/>
        </w:rPr>
        <w:t>（</w:t>
      </w:r>
      <w:r w:rsidRPr="00E0548A">
        <w:rPr>
          <w:rFonts w:ascii="ＭＳ ゴシック" w:eastAsia="ＭＳ ゴシック" w:hAnsi="ＭＳ ゴシック"/>
          <w:color w:val="000000" w:themeColor="text1"/>
          <w:sz w:val="22"/>
        </w:rPr>
        <w:t>3）</w:t>
      </w:r>
      <w:r w:rsidRPr="00E0548A">
        <w:rPr>
          <w:rFonts w:ascii="ＭＳ ゴシック" w:eastAsia="ＭＳ ゴシック" w:hAnsi="ＭＳ ゴシック" w:hint="eastAsia"/>
          <w:color w:val="000000" w:themeColor="text1"/>
          <w:sz w:val="22"/>
        </w:rPr>
        <w:t>福祉調整本部は、必要に応じて、派遣を受けた介護職員等の移動支援に関して災害対策本部等との調整を行う。</w:t>
      </w:r>
    </w:p>
    <w:p w14:paraId="446BB1DB" w14:textId="77777777" w:rsidR="004F16FA" w:rsidRPr="00E0548A" w:rsidRDefault="004F16FA" w:rsidP="004F16FA">
      <w:pPr>
        <w:ind w:leftChars="300" w:left="633"/>
        <w:rPr>
          <w:rFonts w:ascii="ＭＳ ゴシック" w:eastAsia="ＭＳ ゴシック" w:hAnsi="ＭＳ ゴシック"/>
          <w:color w:val="000000" w:themeColor="text1"/>
          <w:sz w:val="22"/>
        </w:rPr>
      </w:pPr>
    </w:p>
    <w:p w14:paraId="7292E4FD" w14:textId="7912B99E" w:rsidR="004F16FA" w:rsidRPr="00E0548A" w:rsidRDefault="004F16FA" w:rsidP="001D4C5B">
      <w:pPr>
        <w:pStyle w:val="3"/>
        <w:ind w:firstLineChars="0" w:firstLine="0"/>
      </w:pPr>
      <w:bookmarkStart w:id="280" w:name="_Toc222486626"/>
      <w:bookmarkStart w:id="281" w:name="_Toc242870296"/>
      <w:r w:rsidRPr="00E0548A">
        <w:rPr>
          <w:rFonts w:hint="eastAsia"/>
        </w:rPr>
        <w:t>第５　社会福祉施設入所者調整</w:t>
      </w:r>
      <w:r w:rsidR="00C53DA3" w:rsidRPr="00E0548A">
        <w:rPr>
          <w:rFonts w:hint="eastAsia"/>
        </w:rPr>
        <w:t>等</w:t>
      </w:r>
      <w:r w:rsidRPr="00E0548A">
        <w:rPr>
          <w:rFonts w:hint="eastAsia"/>
          <w:u w:val="single"/>
          <w:shd w:val="pct15" w:color="auto" w:fill="FFFFFF"/>
        </w:rPr>
        <w:t>【第５フェーズ～】</w:t>
      </w:r>
      <w:bookmarkEnd w:id="280"/>
      <w:bookmarkEnd w:id="281"/>
    </w:p>
    <w:p w14:paraId="0867B43A" w14:textId="77777777" w:rsidR="004F16FA" w:rsidRPr="00E0548A" w:rsidRDefault="004F16FA" w:rsidP="001D4C5B">
      <w:pPr>
        <w:ind w:firstLineChars="100" w:firstLine="221"/>
        <w:rPr>
          <w:rFonts w:ascii="ＭＳ ゴシック" w:eastAsia="ＭＳ ゴシック" w:hAnsi="ＭＳ ゴシック"/>
          <w:color w:val="000000" w:themeColor="text1"/>
          <w:sz w:val="22"/>
          <w:bdr w:val="single" w:sz="4" w:space="0" w:color="auto"/>
        </w:rPr>
      </w:pPr>
      <w:r w:rsidRPr="00E0548A">
        <w:rPr>
          <w:rFonts w:ascii="ＭＳ ゴシック" w:eastAsia="ＭＳ ゴシック" w:hAnsi="ＭＳ ゴシック" w:hint="eastAsia"/>
          <w:color w:val="000000" w:themeColor="text1"/>
          <w:sz w:val="22"/>
          <w:bdr w:val="single" w:sz="4" w:space="0" w:color="auto"/>
        </w:rPr>
        <w:t>主たる担当：福祉部関係局室・課</w:t>
      </w:r>
    </w:p>
    <w:p w14:paraId="0D79C15B" w14:textId="77777777" w:rsidR="004F16FA" w:rsidRPr="00E0548A" w:rsidRDefault="004F16FA" w:rsidP="004F16FA">
      <w:pPr>
        <w:ind w:left="442" w:hangingChars="200" w:hanging="442"/>
        <w:rPr>
          <w:rFonts w:ascii="ＭＳ ゴシック" w:eastAsia="ＭＳ ゴシック" w:hAnsi="ＭＳ ゴシック"/>
          <w:color w:val="000000" w:themeColor="text1"/>
          <w:sz w:val="22"/>
        </w:rPr>
      </w:pPr>
      <w:r w:rsidRPr="00E0548A">
        <w:rPr>
          <w:rFonts w:ascii="ＭＳ ゴシック" w:eastAsia="ＭＳ ゴシック" w:hAnsi="ＭＳ ゴシック" w:hint="eastAsia"/>
          <w:color w:val="000000" w:themeColor="text1"/>
          <w:sz w:val="22"/>
        </w:rPr>
        <w:t>（</w:t>
      </w:r>
      <w:r w:rsidRPr="00E0548A">
        <w:rPr>
          <w:rFonts w:ascii="ＭＳ ゴシック" w:eastAsia="ＭＳ ゴシック" w:hAnsi="ＭＳ ゴシック"/>
          <w:color w:val="000000" w:themeColor="text1"/>
          <w:sz w:val="22"/>
        </w:rPr>
        <w:t>1）</w:t>
      </w:r>
      <w:r w:rsidRPr="00E0548A">
        <w:rPr>
          <w:rFonts w:ascii="ＭＳ ゴシック" w:eastAsia="ＭＳ ゴシック" w:hAnsi="ＭＳ ゴシック" w:hint="eastAsia"/>
          <w:color w:val="000000" w:themeColor="text1"/>
          <w:sz w:val="22"/>
        </w:rPr>
        <w:t>関係局室は、市町村からの要請や災害時情報共有システム等を活用した、府内市町村からの社会福祉施設入所者等に関するニーズの収集を行う。</w:t>
      </w:r>
    </w:p>
    <w:p w14:paraId="12FB80F3" w14:textId="77777777" w:rsidR="004F16FA" w:rsidRPr="00E0548A" w:rsidRDefault="004F16FA" w:rsidP="004F16FA">
      <w:pPr>
        <w:ind w:left="442" w:hangingChars="200" w:hanging="442"/>
        <w:rPr>
          <w:rFonts w:ascii="ＭＳ ゴシック" w:eastAsia="ＭＳ ゴシック" w:hAnsi="ＭＳ ゴシック"/>
          <w:color w:val="000000" w:themeColor="text1"/>
          <w:sz w:val="22"/>
        </w:rPr>
      </w:pPr>
      <w:r w:rsidRPr="00E0548A">
        <w:rPr>
          <w:rFonts w:ascii="ＭＳ ゴシック" w:eastAsia="ＭＳ ゴシック" w:hAnsi="ＭＳ ゴシック" w:hint="eastAsia"/>
          <w:color w:val="000000" w:themeColor="text1"/>
          <w:sz w:val="22"/>
        </w:rPr>
        <w:t>（</w:t>
      </w:r>
      <w:r w:rsidRPr="00E0548A">
        <w:rPr>
          <w:rFonts w:ascii="ＭＳ ゴシック" w:eastAsia="ＭＳ ゴシック" w:hAnsi="ＭＳ ゴシック"/>
          <w:color w:val="000000" w:themeColor="text1"/>
          <w:sz w:val="22"/>
        </w:rPr>
        <w:t>2）</w:t>
      </w:r>
      <w:r w:rsidRPr="00E0548A">
        <w:rPr>
          <w:rFonts w:ascii="ＭＳ ゴシック" w:eastAsia="ＭＳ ゴシック" w:hAnsi="ＭＳ ゴシック" w:hint="eastAsia"/>
          <w:color w:val="000000" w:themeColor="text1"/>
          <w:sz w:val="22"/>
        </w:rPr>
        <w:t>福祉調整本部は、厚生労働省や関係団体等に社会福祉施設入所者等の他府県での受入等について要請を行う。</w:t>
      </w:r>
    </w:p>
    <w:p w14:paraId="558EA94B" w14:textId="77777777" w:rsidR="004F16FA" w:rsidRPr="00E0548A" w:rsidRDefault="004F16FA" w:rsidP="004F16FA">
      <w:pPr>
        <w:ind w:left="442" w:hangingChars="200" w:hanging="442"/>
        <w:rPr>
          <w:rFonts w:ascii="ＭＳ ゴシック" w:eastAsia="ＭＳ ゴシック" w:hAnsi="ＭＳ ゴシック"/>
          <w:color w:val="000000" w:themeColor="text1"/>
          <w:sz w:val="22"/>
        </w:rPr>
      </w:pPr>
      <w:r w:rsidRPr="00E0548A">
        <w:rPr>
          <w:rFonts w:ascii="ＭＳ ゴシック" w:eastAsia="ＭＳ ゴシック" w:hAnsi="ＭＳ ゴシック" w:hint="eastAsia"/>
          <w:color w:val="000000" w:themeColor="text1"/>
          <w:sz w:val="22"/>
        </w:rPr>
        <w:t>（</w:t>
      </w:r>
      <w:r w:rsidRPr="00E0548A">
        <w:rPr>
          <w:rFonts w:ascii="ＭＳ ゴシック" w:eastAsia="ＭＳ ゴシック" w:hAnsi="ＭＳ ゴシック"/>
          <w:color w:val="000000" w:themeColor="text1"/>
          <w:sz w:val="22"/>
        </w:rPr>
        <w:t>3）</w:t>
      </w:r>
      <w:r w:rsidRPr="00E0548A">
        <w:rPr>
          <w:rFonts w:ascii="ＭＳ ゴシック" w:eastAsia="ＭＳ ゴシック" w:hAnsi="ＭＳ ゴシック" w:hint="eastAsia"/>
          <w:color w:val="000000" w:themeColor="text1"/>
          <w:sz w:val="22"/>
        </w:rPr>
        <w:t>福祉調整本部は、必要に応じて、災害対策本部に対し、府内及び他府県への広域移送について要請を行う。</w:t>
      </w:r>
    </w:p>
    <w:p w14:paraId="1C545FEC" w14:textId="1A57EBAB" w:rsidR="000923FC" w:rsidRPr="00E0548A" w:rsidRDefault="000923FC">
      <w:pPr>
        <w:widowControl/>
        <w:jc w:val="left"/>
      </w:pPr>
      <w:r w:rsidRPr="00E0548A">
        <w:br w:type="page"/>
      </w:r>
    </w:p>
    <w:p w14:paraId="0723B246" w14:textId="7B6EB895" w:rsidR="008B4B2B" w:rsidRPr="00E0548A" w:rsidRDefault="008B4B2B" w:rsidP="00E0548A">
      <w:pPr>
        <w:pStyle w:val="2"/>
      </w:pPr>
      <w:bookmarkStart w:id="282" w:name="_Toc122436938"/>
      <w:bookmarkStart w:id="283" w:name="_Toc222486627"/>
      <w:bookmarkStart w:id="284" w:name="_Toc242870297"/>
      <w:r w:rsidRPr="00E0548A">
        <w:rPr>
          <w:rFonts w:hint="eastAsia"/>
        </w:rPr>
        <w:lastRenderedPageBreak/>
        <w:t>第</w:t>
      </w:r>
      <w:r w:rsidR="00C625F5" w:rsidRPr="00E0548A">
        <w:rPr>
          <w:rFonts w:hint="eastAsia"/>
        </w:rPr>
        <w:t>４</w:t>
      </w:r>
      <w:r w:rsidRPr="00E0548A">
        <w:rPr>
          <w:rFonts w:hint="eastAsia"/>
        </w:rPr>
        <w:t>節　避難行動</w:t>
      </w:r>
      <w:bookmarkEnd w:id="282"/>
      <w:bookmarkEnd w:id="283"/>
      <w:bookmarkEnd w:id="284"/>
    </w:p>
    <w:tbl>
      <w:tblPr>
        <w:tblpPr w:leftFromText="142" w:rightFromText="142" w:vertAnchor="text" w:tblpXSpec="center" w:tblpY="1"/>
        <w:tblOverlap w:val="never"/>
        <w:tblW w:w="9464" w:type="dxa"/>
        <w:jc w:val="center"/>
        <w:tblBorders>
          <w:top w:val="thinThickSmallGap" w:sz="24" w:space="0" w:color="auto"/>
          <w:left w:val="thinThickSmallGap" w:sz="24" w:space="0" w:color="auto"/>
          <w:bottom w:val="thinThickSmallGap" w:sz="24" w:space="0" w:color="auto"/>
          <w:right w:val="thinThickSmallGap" w:sz="24" w:space="0" w:color="auto"/>
          <w:insideH w:val="thinThickSmallGap" w:sz="24" w:space="0" w:color="auto"/>
          <w:insideV w:val="thinThickSmallGap" w:sz="24" w:space="0" w:color="auto"/>
        </w:tblBorders>
        <w:tblLook w:val="04A0" w:firstRow="1" w:lastRow="0" w:firstColumn="1" w:lastColumn="0" w:noHBand="0" w:noVBand="1"/>
      </w:tblPr>
      <w:tblGrid>
        <w:gridCol w:w="1480"/>
        <w:gridCol w:w="7984"/>
      </w:tblGrid>
      <w:tr w:rsidR="001D6D10" w:rsidRPr="00E0548A" w14:paraId="3F18457D" w14:textId="77777777" w:rsidTr="008B4B2B">
        <w:trPr>
          <w:jc w:val="center"/>
        </w:trPr>
        <w:tc>
          <w:tcPr>
            <w:tcW w:w="1480" w:type="dxa"/>
          </w:tcPr>
          <w:p w14:paraId="7F7AD535" w14:textId="77777777" w:rsidR="008B4B2B" w:rsidRPr="00E0548A" w:rsidRDefault="008B4B2B" w:rsidP="008B4B2B">
            <w:pPr>
              <w:jc w:val="center"/>
              <w:rPr>
                <w:rFonts w:ascii="ＭＳ ゴシック" w:eastAsia="ＭＳ ゴシック" w:hAnsi="ＭＳ ゴシック"/>
                <w:b/>
                <w:sz w:val="28"/>
                <w:szCs w:val="28"/>
              </w:rPr>
            </w:pPr>
            <w:r w:rsidRPr="00E0548A">
              <w:rPr>
                <w:rFonts w:ascii="ＭＳ ゴシック" w:eastAsia="ＭＳ ゴシック" w:hAnsi="ＭＳ ゴシック" w:hint="eastAsia"/>
                <w:b/>
                <w:sz w:val="28"/>
                <w:szCs w:val="28"/>
              </w:rPr>
              <w:t>目　標</w:t>
            </w:r>
          </w:p>
        </w:tc>
        <w:tc>
          <w:tcPr>
            <w:tcW w:w="7984" w:type="dxa"/>
            <w:vAlign w:val="center"/>
          </w:tcPr>
          <w:p w14:paraId="265251C9" w14:textId="77777777" w:rsidR="008B4B2B" w:rsidRPr="00E0548A" w:rsidRDefault="008B4B2B" w:rsidP="00E0548A">
            <w:pPr>
              <w:jc w:val="left"/>
              <w:rPr>
                <w:rFonts w:ascii="ＭＳ ゴシック" w:eastAsia="ＭＳ ゴシック" w:hAnsi="ＭＳ ゴシック"/>
                <w:b/>
                <w:sz w:val="24"/>
              </w:rPr>
            </w:pPr>
            <w:r w:rsidRPr="00E0548A">
              <w:rPr>
                <w:rFonts w:ascii="ＭＳ ゴシック" w:eastAsia="ＭＳ ゴシック" w:hAnsi="ＭＳ ゴシック" w:hint="eastAsia"/>
                <w:b/>
                <w:sz w:val="24"/>
              </w:rPr>
              <w:t xml:space="preserve">　迅速な避難措置、的確な行動により、一人でも多くの人命を救助する。</w:t>
            </w:r>
          </w:p>
        </w:tc>
      </w:tr>
    </w:tbl>
    <w:p w14:paraId="212EB277" w14:textId="77777777" w:rsidR="008B4B2B" w:rsidRPr="00E0548A" w:rsidRDefault="008B4B2B" w:rsidP="008B4B2B">
      <w:pPr>
        <w:rPr>
          <w:rFonts w:ascii="ＭＳ ゴシック" w:eastAsia="ＭＳ ゴシック" w:hAnsi="ＭＳ ゴシック"/>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64"/>
        <w:gridCol w:w="7270"/>
      </w:tblGrid>
      <w:tr w:rsidR="001D6D10" w:rsidRPr="00E0548A" w14:paraId="0E4F8BE8" w14:textId="77777777" w:rsidTr="008B4B2B">
        <w:tc>
          <w:tcPr>
            <w:tcW w:w="1668" w:type="dxa"/>
            <w:shd w:val="clear" w:color="auto" w:fill="F2F2F2"/>
          </w:tcPr>
          <w:p w14:paraId="178141D8" w14:textId="77777777" w:rsidR="008B4B2B" w:rsidRPr="00E0548A" w:rsidRDefault="008B4B2B" w:rsidP="008B4B2B">
            <w:pPr>
              <w:jc w:val="center"/>
              <w:rPr>
                <w:rFonts w:ascii="ＭＳ ゴシック" w:eastAsia="ＭＳ ゴシック" w:hAnsi="ＭＳ ゴシック"/>
                <w:sz w:val="22"/>
                <w:szCs w:val="22"/>
              </w:rPr>
            </w:pPr>
            <w:r w:rsidRPr="00E0548A">
              <w:rPr>
                <w:rFonts w:ascii="ＭＳ ゴシック" w:eastAsia="ＭＳ ゴシック" w:hAnsi="ＭＳ ゴシック" w:hint="eastAsia"/>
                <w:sz w:val="22"/>
                <w:szCs w:val="22"/>
              </w:rPr>
              <w:t>フェーズ</w:t>
            </w:r>
          </w:p>
        </w:tc>
        <w:tc>
          <w:tcPr>
            <w:tcW w:w="7884" w:type="dxa"/>
            <w:shd w:val="clear" w:color="auto" w:fill="F2F2F2"/>
          </w:tcPr>
          <w:p w14:paraId="54C7C14D" w14:textId="77777777" w:rsidR="008B4B2B" w:rsidRPr="00E0548A" w:rsidRDefault="008B4B2B" w:rsidP="008B4B2B">
            <w:pPr>
              <w:jc w:val="center"/>
              <w:rPr>
                <w:rFonts w:ascii="ＭＳ ゴシック" w:eastAsia="ＭＳ ゴシック" w:hAnsi="ＭＳ ゴシック"/>
                <w:sz w:val="22"/>
                <w:szCs w:val="22"/>
              </w:rPr>
            </w:pPr>
            <w:r w:rsidRPr="00E0548A">
              <w:rPr>
                <w:rFonts w:ascii="ＭＳ ゴシック" w:eastAsia="ＭＳ ゴシック" w:hAnsi="ＭＳ ゴシック" w:hint="eastAsia"/>
                <w:sz w:val="22"/>
                <w:szCs w:val="22"/>
              </w:rPr>
              <w:t>主な目標</w:t>
            </w:r>
          </w:p>
        </w:tc>
      </w:tr>
      <w:tr w:rsidR="001D6D10" w:rsidRPr="00E0548A" w14:paraId="230CAB20" w14:textId="77777777" w:rsidTr="008B4B2B">
        <w:tc>
          <w:tcPr>
            <w:tcW w:w="1668" w:type="dxa"/>
          </w:tcPr>
          <w:p w14:paraId="1CB6EA19" w14:textId="77777777" w:rsidR="008B4B2B" w:rsidRPr="00E0548A" w:rsidRDefault="008B4B2B" w:rsidP="008B4B2B">
            <w:pPr>
              <w:rPr>
                <w:rFonts w:ascii="ＭＳ ゴシック" w:eastAsia="ＭＳ ゴシック" w:hAnsi="ＭＳ ゴシック"/>
                <w:sz w:val="22"/>
                <w:szCs w:val="22"/>
              </w:rPr>
            </w:pPr>
            <w:r w:rsidRPr="00E0548A">
              <w:rPr>
                <w:rFonts w:ascii="ＭＳ ゴシック" w:eastAsia="ＭＳ ゴシック" w:hAnsi="ＭＳ ゴシック" w:hint="eastAsia"/>
                <w:sz w:val="22"/>
                <w:szCs w:val="22"/>
              </w:rPr>
              <w:t>第０～１</w:t>
            </w:r>
          </w:p>
          <w:p w14:paraId="303F7801" w14:textId="77777777" w:rsidR="008B4B2B" w:rsidRPr="00E0548A" w:rsidRDefault="008B4B2B" w:rsidP="008B4B2B">
            <w:pPr>
              <w:rPr>
                <w:rFonts w:ascii="ＭＳ ゴシック" w:eastAsia="ＭＳ ゴシック" w:hAnsi="ＭＳ ゴシック"/>
                <w:sz w:val="22"/>
                <w:szCs w:val="22"/>
              </w:rPr>
            </w:pPr>
            <w:r w:rsidRPr="00E0548A">
              <w:rPr>
                <w:rFonts w:ascii="ＭＳ ゴシック" w:eastAsia="ＭＳ ゴシック" w:hAnsi="ＭＳ ゴシック" w:hint="eastAsia"/>
                <w:sz w:val="22"/>
                <w:szCs w:val="22"/>
              </w:rPr>
              <w:t>フェーズ</w:t>
            </w:r>
          </w:p>
        </w:tc>
        <w:tc>
          <w:tcPr>
            <w:tcW w:w="7884" w:type="dxa"/>
          </w:tcPr>
          <w:p w14:paraId="0DEB9DAD" w14:textId="77777777" w:rsidR="008B4B2B" w:rsidRPr="00E0548A" w:rsidRDefault="008B4B2B" w:rsidP="008B4B2B">
            <w:pPr>
              <w:rPr>
                <w:rFonts w:ascii="ＭＳ ゴシック" w:eastAsia="ＭＳ ゴシック" w:hAnsi="ＭＳ ゴシック"/>
                <w:sz w:val="22"/>
                <w:szCs w:val="22"/>
              </w:rPr>
            </w:pPr>
            <w:r w:rsidRPr="00E0548A">
              <w:rPr>
                <w:rFonts w:ascii="ＭＳ ゴシック" w:eastAsia="ＭＳ ゴシック" w:hAnsi="ＭＳ ゴシック" w:hint="eastAsia"/>
                <w:sz w:val="22"/>
                <w:szCs w:val="22"/>
              </w:rPr>
              <w:t>空振りを恐れず迅速に避難情報を発出する。</w:t>
            </w:r>
          </w:p>
        </w:tc>
      </w:tr>
      <w:tr w:rsidR="001D6D10" w:rsidRPr="00E0548A" w14:paraId="2C45E717" w14:textId="77777777" w:rsidTr="008B4B2B">
        <w:tc>
          <w:tcPr>
            <w:tcW w:w="1668" w:type="dxa"/>
          </w:tcPr>
          <w:p w14:paraId="380DA3B9" w14:textId="77777777" w:rsidR="008B4B2B" w:rsidRPr="00E0548A" w:rsidRDefault="008B4B2B" w:rsidP="008B4B2B">
            <w:pPr>
              <w:rPr>
                <w:rFonts w:ascii="ＭＳ ゴシック" w:eastAsia="ＭＳ ゴシック" w:hAnsi="ＭＳ ゴシック"/>
                <w:sz w:val="22"/>
                <w:szCs w:val="22"/>
              </w:rPr>
            </w:pPr>
            <w:r w:rsidRPr="00E0548A">
              <w:rPr>
                <w:rFonts w:ascii="ＭＳ ゴシック" w:eastAsia="ＭＳ ゴシック" w:hAnsi="ＭＳ ゴシック" w:hint="eastAsia"/>
                <w:sz w:val="22"/>
                <w:szCs w:val="22"/>
              </w:rPr>
              <w:t>第２フェーズ</w:t>
            </w:r>
          </w:p>
        </w:tc>
        <w:tc>
          <w:tcPr>
            <w:tcW w:w="7884" w:type="dxa"/>
          </w:tcPr>
          <w:p w14:paraId="7E4EB36A" w14:textId="77777777" w:rsidR="008B4B2B" w:rsidRPr="00E0548A" w:rsidRDefault="008B4B2B" w:rsidP="008B4B2B">
            <w:pPr>
              <w:rPr>
                <w:rFonts w:ascii="ＭＳ ゴシック" w:eastAsia="ＭＳ ゴシック" w:hAnsi="ＭＳ ゴシック"/>
                <w:sz w:val="22"/>
                <w:szCs w:val="22"/>
              </w:rPr>
            </w:pPr>
            <w:r w:rsidRPr="00E0548A">
              <w:rPr>
                <w:rFonts w:ascii="ＭＳ ゴシック" w:eastAsia="ＭＳ ゴシック" w:hAnsi="ＭＳ ゴシック" w:hint="eastAsia"/>
                <w:sz w:val="22"/>
                <w:szCs w:val="22"/>
              </w:rPr>
              <w:t>避難所設置状況の把握、広域避難が必要な場合は速やかに調整を開始する。</w:t>
            </w:r>
          </w:p>
        </w:tc>
      </w:tr>
      <w:tr w:rsidR="001D6D10" w:rsidRPr="00E0548A" w14:paraId="07B40510" w14:textId="77777777" w:rsidTr="008B4B2B">
        <w:tc>
          <w:tcPr>
            <w:tcW w:w="1668" w:type="dxa"/>
          </w:tcPr>
          <w:p w14:paraId="10BF2152" w14:textId="77777777" w:rsidR="008B4B2B" w:rsidRPr="00E0548A" w:rsidRDefault="008B4B2B" w:rsidP="008B4B2B">
            <w:pPr>
              <w:rPr>
                <w:rFonts w:ascii="ＭＳ ゴシック" w:eastAsia="ＭＳ ゴシック" w:hAnsi="ＭＳ ゴシック"/>
                <w:sz w:val="22"/>
                <w:szCs w:val="22"/>
              </w:rPr>
            </w:pPr>
            <w:r w:rsidRPr="00E0548A">
              <w:rPr>
                <w:rFonts w:ascii="ＭＳ ゴシック" w:eastAsia="ＭＳ ゴシック" w:hAnsi="ＭＳ ゴシック" w:hint="eastAsia"/>
                <w:sz w:val="22"/>
                <w:szCs w:val="22"/>
              </w:rPr>
              <w:t>第３フェーズ</w:t>
            </w:r>
          </w:p>
        </w:tc>
        <w:tc>
          <w:tcPr>
            <w:tcW w:w="7884" w:type="dxa"/>
          </w:tcPr>
          <w:p w14:paraId="0F6DF09A" w14:textId="77777777" w:rsidR="008B4B2B" w:rsidRPr="00E0548A" w:rsidRDefault="008B4B2B" w:rsidP="008B4B2B">
            <w:pPr>
              <w:rPr>
                <w:rFonts w:ascii="ＭＳ ゴシック" w:eastAsia="ＭＳ ゴシック" w:hAnsi="ＭＳ ゴシック"/>
                <w:sz w:val="22"/>
                <w:szCs w:val="22"/>
              </w:rPr>
            </w:pPr>
            <w:r w:rsidRPr="00E0548A">
              <w:rPr>
                <w:rFonts w:ascii="ＭＳ ゴシック" w:eastAsia="ＭＳ ゴシック" w:hAnsi="ＭＳ ゴシック" w:hint="eastAsia"/>
                <w:sz w:val="22"/>
                <w:szCs w:val="22"/>
              </w:rPr>
              <w:t>避難行動要支援者等、避難所生活において特別な配慮を必要とする方々の支援及び福祉避難所等への誘導を行う。</w:t>
            </w:r>
          </w:p>
        </w:tc>
      </w:tr>
      <w:tr w:rsidR="001D6D10" w:rsidRPr="00E0548A" w14:paraId="38C6E509" w14:textId="77777777" w:rsidTr="008B4B2B">
        <w:tc>
          <w:tcPr>
            <w:tcW w:w="1668" w:type="dxa"/>
          </w:tcPr>
          <w:p w14:paraId="2032E45F" w14:textId="77777777" w:rsidR="008B4B2B" w:rsidRPr="00E0548A" w:rsidRDefault="008B4B2B" w:rsidP="008B4B2B">
            <w:pPr>
              <w:rPr>
                <w:rFonts w:ascii="ＭＳ ゴシック" w:eastAsia="ＭＳ ゴシック" w:hAnsi="ＭＳ ゴシック"/>
                <w:sz w:val="22"/>
                <w:szCs w:val="22"/>
              </w:rPr>
            </w:pPr>
            <w:r w:rsidRPr="00E0548A">
              <w:rPr>
                <w:rFonts w:ascii="ＭＳ ゴシック" w:eastAsia="ＭＳ ゴシック" w:hAnsi="ＭＳ ゴシック" w:hint="eastAsia"/>
                <w:sz w:val="22"/>
                <w:szCs w:val="22"/>
              </w:rPr>
              <w:t>～第６</w:t>
            </w:r>
          </w:p>
          <w:p w14:paraId="5B6FD4C5" w14:textId="77777777" w:rsidR="008B4B2B" w:rsidRPr="00E0548A" w:rsidRDefault="008B4B2B" w:rsidP="008B4B2B">
            <w:pPr>
              <w:rPr>
                <w:rFonts w:ascii="ＭＳ ゴシック" w:eastAsia="ＭＳ ゴシック" w:hAnsi="ＭＳ ゴシック"/>
                <w:sz w:val="22"/>
                <w:szCs w:val="22"/>
              </w:rPr>
            </w:pPr>
            <w:r w:rsidRPr="00E0548A">
              <w:rPr>
                <w:rFonts w:ascii="ＭＳ ゴシック" w:eastAsia="ＭＳ ゴシック" w:hAnsi="ＭＳ ゴシック" w:hint="eastAsia"/>
                <w:sz w:val="22"/>
                <w:szCs w:val="22"/>
              </w:rPr>
              <w:t>フェーズ</w:t>
            </w:r>
          </w:p>
        </w:tc>
        <w:tc>
          <w:tcPr>
            <w:tcW w:w="7884" w:type="dxa"/>
          </w:tcPr>
          <w:p w14:paraId="6C42759C" w14:textId="77777777" w:rsidR="008B4B2B" w:rsidRPr="00E0548A" w:rsidRDefault="008B4B2B" w:rsidP="008B4B2B">
            <w:pPr>
              <w:rPr>
                <w:rFonts w:ascii="ＭＳ ゴシック" w:eastAsia="ＭＳ ゴシック" w:hAnsi="ＭＳ ゴシック"/>
                <w:sz w:val="22"/>
                <w:szCs w:val="22"/>
              </w:rPr>
            </w:pPr>
            <w:r w:rsidRPr="00E0548A">
              <w:rPr>
                <w:rFonts w:ascii="ＭＳ ゴシック" w:eastAsia="ＭＳ ゴシック" w:hAnsi="ＭＳ ゴシック" w:hint="eastAsia"/>
                <w:sz w:val="22"/>
                <w:szCs w:val="22"/>
              </w:rPr>
              <w:t>空き家等利用可能な既存住宅のあっせん等、避難所の早期解消のための</w:t>
            </w:r>
          </w:p>
          <w:p w14:paraId="4CA6DF07" w14:textId="77777777" w:rsidR="008B4B2B" w:rsidRPr="00E0548A" w:rsidRDefault="008B4B2B" w:rsidP="008B4B2B">
            <w:pPr>
              <w:rPr>
                <w:rFonts w:ascii="ＭＳ ゴシック" w:eastAsia="ＭＳ ゴシック" w:hAnsi="ＭＳ ゴシック"/>
                <w:sz w:val="22"/>
                <w:szCs w:val="22"/>
              </w:rPr>
            </w:pPr>
            <w:r w:rsidRPr="00E0548A">
              <w:rPr>
                <w:rFonts w:ascii="ＭＳ ゴシック" w:eastAsia="ＭＳ ゴシック" w:hAnsi="ＭＳ ゴシック" w:hint="eastAsia"/>
                <w:sz w:val="22"/>
                <w:szCs w:val="22"/>
              </w:rPr>
              <w:t>各種取組を行う。</w:t>
            </w:r>
          </w:p>
        </w:tc>
      </w:tr>
    </w:tbl>
    <w:p w14:paraId="414D6DC6" w14:textId="77777777" w:rsidR="008B4B2B" w:rsidRPr="00E0548A" w:rsidRDefault="008B4B2B" w:rsidP="008B4B2B">
      <w:pPr>
        <w:rPr>
          <w:rFonts w:ascii="ＭＳ ゴシック" w:eastAsia="ＭＳ ゴシック" w:hAnsi="ＭＳ ゴシック"/>
          <w:sz w:val="22"/>
          <w:szCs w:val="22"/>
        </w:rPr>
      </w:pPr>
      <w:r w:rsidRPr="00E0548A">
        <w:rPr>
          <w:rFonts w:ascii="ＭＳ ゴシック" w:eastAsia="ＭＳ ゴシック" w:hAnsi="ＭＳ ゴシック" w:hint="eastAsia"/>
          <w:noProof/>
          <w:sz w:val="22"/>
          <w:szCs w:val="22"/>
        </w:rPr>
        <mc:AlternateContent>
          <mc:Choice Requires="wps">
            <w:drawing>
              <wp:anchor distT="0" distB="0" distL="114300" distR="114300" simplePos="0" relativeHeight="253210624" behindDoc="0" locked="0" layoutInCell="1" allowOverlap="1" wp14:anchorId="009A4D44" wp14:editId="019292F2">
                <wp:simplePos x="0" y="0"/>
                <wp:positionH relativeFrom="column">
                  <wp:posOffset>228600</wp:posOffset>
                </wp:positionH>
                <wp:positionV relativeFrom="paragraph">
                  <wp:posOffset>171450</wp:posOffset>
                </wp:positionV>
                <wp:extent cx="1943100" cy="342900"/>
                <wp:effectExtent l="0" t="0" r="19050" b="19050"/>
                <wp:wrapNone/>
                <wp:docPr id="4087" name="Oval 240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943100" cy="342900"/>
                        </a:xfrm>
                        <a:prstGeom prst="ellipse">
                          <a:avLst/>
                        </a:prstGeom>
                        <a:solidFill>
                          <a:srgbClr val="FFFFFF"/>
                        </a:solidFill>
                        <a:ln w="9525">
                          <a:solidFill>
                            <a:srgbClr val="000000"/>
                          </a:solidFill>
                          <a:round/>
                          <a:headEnd/>
                          <a:tailEnd/>
                        </a:ln>
                      </wps:spPr>
                      <wps:txbx>
                        <w:txbxContent>
                          <w:p w14:paraId="3A8CC7B5" w14:textId="77777777" w:rsidR="006A5267" w:rsidRPr="007A56A8" w:rsidRDefault="006A5267" w:rsidP="008B4B2B">
                            <w:pPr>
                              <w:rPr>
                                <w:rFonts w:ascii="ＭＳ ゴシック" w:eastAsia="ＭＳ ゴシック" w:hAnsi="ＭＳ ゴシック"/>
                                <w:sz w:val="22"/>
                                <w:szCs w:val="22"/>
                              </w:rPr>
                            </w:pPr>
                            <w:r>
                              <w:rPr>
                                <w:rFonts w:ascii="ＭＳ ゴシック" w:eastAsia="ＭＳ ゴシック" w:hAnsi="ＭＳ ゴシック" w:hint="eastAsia"/>
                                <w:sz w:val="22"/>
                                <w:szCs w:val="22"/>
                              </w:rPr>
                              <w:t>住民避難のフロー図</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oval w14:anchorId="009A4D44" id="Oval 2406" o:spid="_x0000_s1384" style="position:absolute;left:0;text-align:left;margin-left:18pt;margin-top:13.5pt;width:153pt;height:27pt;z-index:253210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">
                <v:textbox inset="5.85pt,.7pt,5.85pt,.7pt">
                  <w:txbxContent>
                    <w:p w14:paraId="3A8CC7B5" w14:textId="77777777" w:rsidR="006A5267" w:rsidRPr="007A56A8" w:rsidRDefault="006A5267" w:rsidP="008B4B2B">
                      <w:pPr>
                        <w:rPr>
                          <w:rFonts w:ascii="ＭＳ ゴシック" w:eastAsia="ＭＳ ゴシック" w:hAnsi="ＭＳ ゴシック"/>
                          <w:sz w:val="22"/>
                          <w:szCs w:val="22"/>
                        </w:rPr>
                      </w:pPr>
                      <w:r>
                        <w:rPr>
                          <w:rFonts w:ascii="ＭＳ ゴシック" w:eastAsia="ＭＳ ゴシック" w:hAnsi="ＭＳ ゴシック" w:hint="eastAsia"/>
                          <w:sz w:val="22"/>
                          <w:szCs w:val="22"/>
                        </w:rPr>
                        <w:t>住民避難のフロー図</w:t>
                      </w:r>
                    </w:p>
                  </w:txbxContent>
                </v:textbox>
              </v:oval>
            </w:pict>
          </mc:Fallback>
        </mc:AlternateContent>
      </w:r>
    </w:p>
    <w:p w14:paraId="52792729" w14:textId="77777777" w:rsidR="008B4B2B" w:rsidRPr="00E0548A" w:rsidRDefault="008B4B2B" w:rsidP="008B4B2B">
      <w:pPr>
        <w:rPr>
          <w:rFonts w:ascii="ＭＳ ゴシック" w:eastAsia="ＭＳ ゴシック" w:hAnsi="ＭＳ ゴシック"/>
          <w:sz w:val="22"/>
          <w:szCs w:val="22"/>
        </w:rPr>
      </w:pPr>
    </w:p>
    <w:p w14:paraId="0CE02EC2" w14:textId="77777777" w:rsidR="008B4B2B" w:rsidRPr="00E0548A" w:rsidRDefault="008B4B2B" w:rsidP="008B4B2B">
      <w:pPr>
        <w:rPr>
          <w:rFonts w:ascii="ＭＳ ゴシック" w:eastAsia="ＭＳ ゴシック" w:hAnsi="ＭＳ ゴシック"/>
          <w:sz w:val="22"/>
          <w:szCs w:val="22"/>
        </w:rPr>
      </w:pPr>
      <w:r w:rsidRPr="00E0548A">
        <w:rPr>
          <w:rFonts w:ascii="ＭＳ ゴシック" w:eastAsia="ＭＳ ゴシック" w:hAnsi="ＭＳ ゴシック" w:hint="eastAsia"/>
          <w:noProof/>
          <w:sz w:val="22"/>
          <w:szCs w:val="22"/>
        </w:rPr>
        <mc:AlternateContent>
          <mc:Choice Requires="wps">
            <w:drawing>
              <wp:anchor distT="0" distB="0" distL="114300" distR="114300" simplePos="0" relativeHeight="253211648" behindDoc="0" locked="0" layoutInCell="1" allowOverlap="1" wp14:anchorId="30A90EF6" wp14:editId="6F1C0116">
                <wp:simplePos x="0" y="0"/>
                <wp:positionH relativeFrom="column">
                  <wp:posOffset>1600200</wp:posOffset>
                </wp:positionH>
                <wp:positionV relativeFrom="paragraph">
                  <wp:posOffset>114300</wp:posOffset>
                </wp:positionV>
                <wp:extent cx="2057400" cy="685800"/>
                <wp:effectExtent l="38100" t="19050" r="57150" b="9525"/>
                <wp:wrapNone/>
                <wp:docPr id="4086" name="AutoShape 240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057400" cy="685800"/>
                        </a:xfrm>
                        <a:prstGeom prst="irregularSeal1">
                          <a:avLst/>
                        </a:prstGeom>
                        <a:solidFill>
                          <a:srgbClr val="FFFFFF"/>
                        </a:solidFill>
                        <a:ln w="9525">
                          <a:solidFill>
                            <a:srgbClr val="000000"/>
                          </a:solidFill>
                          <a:miter lim="800000"/>
                          <a:headEnd/>
                          <a:tailEnd/>
                        </a:ln>
                      </wps:spPr>
                      <wps:txbx>
                        <w:txbxContent>
                          <w:p w14:paraId="448315E3" w14:textId="77777777" w:rsidR="006A5267" w:rsidRPr="007A56A8" w:rsidRDefault="006A5267" w:rsidP="008B4B2B">
                            <w:pPr>
                              <w:rPr>
                                <w:rFonts w:ascii="ＭＳ ゴシック" w:eastAsia="ＭＳ ゴシック" w:hAnsi="ＭＳ ゴシック"/>
                                <w:sz w:val="22"/>
                                <w:szCs w:val="22"/>
                              </w:rPr>
                            </w:pPr>
                            <w:r>
                              <w:rPr>
                                <w:rFonts w:ascii="ＭＳ ゴシック" w:eastAsia="ＭＳ ゴシック" w:hAnsi="ＭＳ ゴシック" w:hint="eastAsia"/>
                                <w:sz w:val="22"/>
                                <w:szCs w:val="22"/>
                              </w:rPr>
                              <w:t>大地震等の発生</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shape w14:anchorId="30A90EF6" id="AutoShape 2407" o:spid="_x0000_s1385" type="#_x0000_t71" style="position:absolute;left:0;text-align:left;margin-left:126pt;margin-top:9pt;width:162pt;height:54pt;z-index:253211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">
                <v:textbox inset="5.85pt,.7pt,5.85pt,.7pt">
                  <w:txbxContent>
                    <w:p w14:paraId="448315E3" w14:textId="77777777" w:rsidR="006A5267" w:rsidRPr="007A56A8" w:rsidRDefault="006A5267" w:rsidP="008B4B2B">
                      <w:pPr>
                        <w:rPr>
                          <w:rFonts w:ascii="ＭＳ ゴシック" w:eastAsia="ＭＳ ゴシック" w:hAnsi="ＭＳ ゴシック"/>
                          <w:sz w:val="22"/>
                          <w:szCs w:val="22"/>
                        </w:rPr>
                      </w:pPr>
                      <w:r>
                        <w:rPr>
                          <w:rFonts w:ascii="ＭＳ ゴシック" w:eastAsia="ＭＳ ゴシック" w:hAnsi="ＭＳ ゴシック" w:hint="eastAsia"/>
                          <w:sz w:val="22"/>
                          <w:szCs w:val="22"/>
                        </w:rPr>
                        <w:t>大地震等の発生</w:t>
                      </w:r>
                    </w:p>
                  </w:txbxContent>
                </v:textbox>
              </v:shape>
            </w:pict>
          </mc:Fallback>
        </mc:AlternateContent>
      </w:r>
    </w:p>
    <w:p w14:paraId="0F6E7A4F" w14:textId="77777777" w:rsidR="008B4B2B" w:rsidRPr="00E0548A" w:rsidRDefault="008B4B2B" w:rsidP="008B4B2B">
      <w:pPr>
        <w:rPr>
          <w:rFonts w:ascii="ＭＳ ゴシック" w:eastAsia="ＭＳ ゴシック" w:hAnsi="ＭＳ ゴシック"/>
          <w:sz w:val="22"/>
          <w:szCs w:val="22"/>
        </w:rPr>
      </w:pPr>
    </w:p>
    <w:p w14:paraId="1C56D429" w14:textId="77777777" w:rsidR="008B4B2B" w:rsidRPr="00E0548A" w:rsidRDefault="008B4B2B" w:rsidP="008B4B2B">
      <w:pPr>
        <w:rPr>
          <w:rFonts w:ascii="ＭＳ ゴシック" w:eastAsia="ＭＳ ゴシック" w:hAnsi="ＭＳ ゴシック"/>
          <w:sz w:val="22"/>
          <w:szCs w:val="22"/>
        </w:rPr>
      </w:pPr>
    </w:p>
    <w:p w14:paraId="4A15E9DB" w14:textId="77777777" w:rsidR="008B4B2B" w:rsidRPr="00E0548A" w:rsidRDefault="008B4B2B" w:rsidP="008B4B2B">
      <w:pPr>
        <w:rPr>
          <w:rFonts w:ascii="ＭＳ ゴシック" w:eastAsia="ＭＳ ゴシック" w:hAnsi="ＭＳ ゴシック"/>
          <w:sz w:val="22"/>
          <w:szCs w:val="22"/>
        </w:rPr>
      </w:pPr>
      <w:r w:rsidRPr="00E0548A">
        <w:rPr>
          <w:rFonts w:ascii="ＭＳ ゴシック" w:eastAsia="ＭＳ ゴシック" w:hAnsi="ＭＳ ゴシック" w:hint="eastAsia"/>
          <w:noProof/>
          <w:sz w:val="22"/>
          <w:szCs w:val="22"/>
        </w:rPr>
        <mc:AlternateContent>
          <mc:Choice Requires="wps">
            <w:drawing>
              <wp:anchor distT="0" distB="0" distL="114300" distR="114300" simplePos="0" relativeHeight="253223936" behindDoc="0" locked="0" layoutInCell="1" allowOverlap="1" wp14:anchorId="51551376" wp14:editId="2062AB85">
                <wp:simplePos x="0" y="0"/>
                <wp:positionH relativeFrom="column">
                  <wp:posOffset>3429000</wp:posOffset>
                </wp:positionH>
                <wp:positionV relativeFrom="paragraph">
                  <wp:posOffset>0</wp:posOffset>
                </wp:positionV>
                <wp:extent cx="0" cy="457200"/>
                <wp:effectExtent l="76200" t="9525" r="76200" b="19050"/>
                <wp:wrapNone/>
                <wp:docPr id="4085" name="Line 242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457200"/>
                        </a:xfrm>
                        <a:prstGeom prst="line">
                          <a:avLst/>
                        </a:prstGeom>
                        <a:noFill/>
                        <a:ln w="19050">
                          <a:solidFill>
                            <a:srgbClr val="000000"/>
                          </a:solidFill>
                          <a:round/>
                          <a:headEnd/>
                          <a:tailEnd type="arrow"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line w14:anchorId="5165C76D" id="Line 2420" o:spid="_x0000_s1026" style="position:absolute;left:0;text-align:left;z-index:2532239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70pt,0" to="270pt,3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" strokeweight="1.5pt">
                <v:stroke endarrow="open"/>
              </v:line>
            </w:pict>
          </mc:Fallback>
        </mc:AlternateContent>
      </w:r>
      <w:r w:rsidRPr="00E0548A">
        <w:rPr>
          <w:rFonts w:ascii="ＭＳ ゴシック" w:eastAsia="ＭＳ ゴシック" w:hAnsi="ＭＳ ゴシック" w:hint="eastAsia"/>
          <w:noProof/>
          <w:sz w:val="22"/>
          <w:szCs w:val="22"/>
        </w:rPr>
        <mc:AlternateContent>
          <mc:Choice Requires="wps">
            <w:drawing>
              <wp:anchor distT="0" distB="0" distL="114300" distR="114300" simplePos="0" relativeHeight="253222912" behindDoc="0" locked="0" layoutInCell="1" allowOverlap="1" wp14:anchorId="585BA0BB" wp14:editId="045ADC5F">
                <wp:simplePos x="0" y="0"/>
                <wp:positionH relativeFrom="column">
                  <wp:posOffset>1943100</wp:posOffset>
                </wp:positionH>
                <wp:positionV relativeFrom="paragraph">
                  <wp:posOffset>0</wp:posOffset>
                </wp:positionV>
                <wp:extent cx="0" cy="457200"/>
                <wp:effectExtent l="76200" t="9525" r="76200" b="19050"/>
                <wp:wrapNone/>
                <wp:docPr id="4084" name="Line 241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457200"/>
                        </a:xfrm>
                        <a:prstGeom prst="line">
                          <a:avLst/>
                        </a:prstGeom>
                        <a:noFill/>
                        <a:ln w="19050">
                          <a:solidFill>
                            <a:srgbClr val="000000"/>
                          </a:solidFill>
                          <a:round/>
                          <a:headEnd/>
                          <a:tailEnd type="arrow"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line w14:anchorId="125A29DE" id="Line 2419" o:spid="_x0000_s1026" style="position:absolute;left:0;text-align:left;z-index:2532229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53pt,0" to="153pt,3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" strokeweight="1.5pt">
                <v:stroke endarrow="open"/>
              </v:line>
            </w:pict>
          </mc:Fallback>
        </mc:AlternateContent>
      </w:r>
    </w:p>
    <w:p w14:paraId="45B962E8" w14:textId="77777777" w:rsidR="008B4B2B" w:rsidRPr="00E0548A" w:rsidRDefault="008B4B2B" w:rsidP="008B4B2B">
      <w:pPr>
        <w:rPr>
          <w:rFonts w:ascii="ＭＳ ゴシック" w:eastAsia="ＭＳ ゴシック" w:hAnsi="ＭＳ ゴシック"/>
          <w:sz w:val="22"/>
          <w:szCs w:val="22"/>
        </w:rPr>
      </w:pPr>
    </w:p>
    <w:p w14:paraId="74142AC8" w14:textId="77777777" w:rsidR="008B4B2B" w:rsidRPr="00E0548A" w:rsidRDefault="008B4B2B" w:rsidP="008B4B2B">
      <w:pPr>
        <w:rPr>
          <w:rFonts w:ascii="ＭＳ ゴシック" w:eastAsia="ＭＳ ゴシック" w:hAnsi="ＭＳ ゴシック"/>
          <w:sz w:val="22"/>
          <w:szCs w:val="22"/>
        </w:rPr>
      </w:pPr>
      <w:r w:rsidRPr="00E0548A">
        <w:rPr>
          <w:rFonts w:ascii="ＭＳ ゴシック" w:eastAsia="ＭＳ ゴシック" w:hAnsi="ＭＳ ゴシック" w:hint="eastAsia"/>
          <w:noProof/>
          <w:sz w:val="22"/>
          <w:szCs w:val="22"/>
        </w:rPr>
        <mc:AlternateContent>
          <mc:Choice Requires="wps">
            <w:drawing>
              <wp:anchor distT="0" distB="0" distL="114300" distR="114300" simplePos="0" relativeHeight="253271040" behindDoc="0" locked="0" layoutInCell="1" allowOverlap="1" wp14:anchorId="71224A19" wp14:editId="2CC4CDD4">
                <wp:simplePos x="0" y="0"/>
                <wp:positionH relativeFrom="column">
                  <wp:posOffset>4542792</wp:posOffset>
                </wp:positionH>
                <wp:positionV relativeFrom="paragraph">
                  <wp:posOffset>165099</wp:posOffset>
                </wp:positionV>
                <wp:extent cx="1828800" cy="666753"/>
                <wp:effectExtent l="0" t="28575" r="28575" b="28575"/>
                <wp:wrapNone/>
                <wp:docPr id="4083" name="AutoShape 241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16200000">
                          <a:off x="0" y="0"/>
                          <a:ext cx="1828800" cy="666753"/>
                        </a:xfrm>
                        <a:prstGeom prst="homePlate">
                          <a:avLst>
                            <a:gd name="adj" fmla="val 57143"/>
                          </a:avLst>
                        </a:prstGeom>
                        <a:solidFill>
                          <a:srgbClr val="FFFFFF"/>
                        </a:solidFill>
                        <a:ln w="9525">
                          <a:solidFill>
                            <a:srgbClr val="000000"/>
                          </a:solidFill>
                          <a:miter lim="800000"/>
                          <a:headEnd/>
                          <a:tailEnd/>
                        </a:ln>
                      </wps:spPr>
                      <wps:txbx>
                        <w:txbxContent>
                          <w:p w14:paraId="2CBC024B" w14:textId="77777777" w:rsidR="006A5267" w:rsidRPr="004F4396" w:rsidRDefault="006A5267" w:rsidP="008B4B2B">
                            <w:pPr>
                              <w:spacing w:line="240" w:lineRule="exact"/>
                              <w:jc w:val="center"/>
                              <w:rPr>
                                <w:rFonts w:asciiTheme="majorEastAsia" w:eastAsiaTheme="majorEastAsia" w:hAnsiTheme="majorEastAsia"/>
                              </w:rPr>
                            </w:pPr>
                            <w:r w:rsidRPr="004F4396">
                              <w:rPr>
                                <w:rFonts w:asciiTheme="majorEastAsia" w:eastAsiaTheme="majorEastAsia" w:hAnsiTheme="majorEastAsia" w:hint="eastAsia"/>
                              </w:rPr>
                              <w:t>指定</w:t>
                            </w:r>
                            <w:r w:rsidRPr="004F4396">
                              <w:rPr>
                                <w:rFonts w:asciiTheme="majorEastAsia" w:eastAsiaTheme="majorEastAsia" w:hAnsiTheme="majorEastAsia"/>
                              </w:rPr>
                              <w:t>避難所へ</w:t>
                            </w:r>
                            <w:r w:rsidRPr="004F4396">
                              <w:rPr>
                                <w:rFonts w:asciiTheme="majorEastAsia" w:eastAsiaTheme="majorEastAsia" w:hAnsiTheme="majorEastAsia" w:hint="eastAsia"/>
                              </w:rPr>
                              <w:t>避難</w:t>
                            </w:r>
                          </w:p>
                        </w:txbxContent>
                      </wps:txbx>
                      <wps:bodyPr rot="0" vert="eaVert" wrap="square" lIns="0" tIns="0" rIns="0" bIns="0" anchor="ctr" anchorCtr="0" upright="1">
                        <a:noAutofit/>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shape w14:anchorId="71224A19" id="AutoShape 2414" o:spid="_x0000_s1386" type="#_x0000_t15" style="position:absolute;left:0;text-align:left;margin-left:357.7pt;margin-top:13pt;width:2in;height:52.5pt;rotation:-90;z-index:2532710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" adj="17100">
                <v:textbox style="layout-flow:vertical-ideographic" inset="0,0,0,0">
                  <w:txbxContent>
                    <w:p w14:paraId="2CBC024B" w14:textId="77777777" w:rsidR="006A5267" w:rsidRPr="004F4396" w:rsidRDefault="006A5267" w:rsidP="008B4B2B">
                      <w:pPr>
                        <w:spacing w:line="240" w:lineRule="exact"/>
                        <w:jc w:val="center"/>
                        <w:rPr>
                          <w:rFonts w:asciiTheme="majorEastAsia" w:eastAsiaTheme="majorEastAsia" w:hAnsiTheme="majorEastAsia"/>
                        </w:rPr>
                      </w:pPr>
                      <w:r w:rsidRPr="004F4396">
                        <w:rPr>
                          <w:rFonts w:asciiTheme="majorEastAsia" w:eastAsiaTheme="majorEastAsia" w:hAnsiTheme="majorEastAsia" w:hint="eastAsia"/>
                        </w:rPr>
                        <w:t>指定</w:t>
                      </w:r>
                      <w:r w:rsidRPr="004F4396">
                        <w:rPr>
                          <w:rFonts w:asciiTheme="majorEastAsia" w:eastAsiaTheme="majorEastAsia" w:hAnsiTheme="majorEastAsia"/>
                        </w:rPr>
                        <w:t>避難所へ</w:t>
                      </w:r>
                      <w:r w:rsidRPr="004F4396">
                        <w:rPr>
                          <w:rFonts w:asciiTheme="majorEastAsia" w:eastAsiaTheme="majorEastAsia" w:hAnsiTheme="majorEastAsia" w:hint="eastAsia"/>
                        </w:rPr>
                        <w:t>避難</w:t>
                      </w:r>
                    </w:p>
                  </w:txbxContent>
                </v:textbox>
              </v:shape>
            </w:pict>
          </mc:Fallback>
        </mc:AlternateContent>
      </w:r>
      <w:r w:rsidRPr="00E0548A">
        <w:rPr>
          <w:rFonts w:ascii="ＭＳ ゴシック" w:eastAsia="ＭＳ ゴシック" w:hAnsi="ＭＳ ゴシック" w:hint="eastAsia"/>
          <w:noProof/>
          <w:sz w:val="22"/>
          <w:szCs w:val="22"/>
        </w:rPr>
        <mc:AlternateContent>
          <mc:Choice Requires="wps">
            <w:drawing>
              <wp:anchor distT="0" distB="0" distL="114300" distR="114300" simplePos="0" relativeHeight="253212672" behindDoc="0" locked="0" layoutInCell="1" allowOverlap="1" wp14:anchorId="430A6DD3" wp14:editId="15190307">
                <wp:simplePos x="0" y="0"/>
                <wp:positionH relativeFrom="column">
                  <wp:posOffset>1257300</wp:posOffset>
                </wp:positionH>
                <wp:positionV relativeFrom="paragraph">
                  <wp:posOffset>114300</wp:posOffset>
                </wp:positionV>
                <wp:extent cx="1257300" cy="342900"/>
                <wp:effectExtent l="9525" t="9525" r="9525" b="9525"/>
                <wp:wrapNone/>
                <wp:docPr id="4082" name="AutoShape 240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57300" cy="342900"/>
                        </a:xfrm>
                        <a:prstGeom prst="roundRect">
                          <a:avLst>
                            <a:gd name="adj" fmla="val 16667"/>
                          </a:avLst>
                        </a:prstGeom>
                        <a:solidFill>
                          <a:srgbClr val="FFFFFF"/>
                        </a:solidFill>
                        <a:ln w="9525">
                          <a:solidFill>
                            <a:srgbClr val="000000"/>
                          </a:solidFill>
                          <a:round/>
                          <a:headEnd/>
                          <a:tailEnd/>
                        </a:ln>
                      </wps:spPr>
                      <wps:txbx>
                        <w:txbxContent>
                          <w:p w14:paraId="6FCB1C40" w14:textId="77777777" w:rsidR="006A5267" w:rsidRPr="00907710" w:rsidRDefault="006A5267" w:rsidP="008B4B2B">
                            <w:pPr>
                              <w:rPr>
                                <w:rFonts w:ascii="ＭＳ ゴシック" w:eastAsia="ＭＳ ゴシック" w:hAnsi="ＭＳ ゴシック"/>
                                <w:sz w:val="22"/>
                                <w:szCs w:val="22"/>
                              </w:rPr>
                            </w:pPr>
                            <w:r>
                              <w:rPr>
                                <w:rFonts w:ascii="ＭＳ ゴシック" w:eastAsia="ＭＳ ゴシック" w:hAnsi="ＭＳ ゴシック" w:hint="eastAsia"/>
                                <w:sz w:val="22"/>
                                <w:szCs w:val="22"/>
                              </w:rPr>
                              <w:t>延焼火災の発生</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roundrect w14:anchorId="430A6DD3" id="AutoShape 2408" o:spid="_x0000_s1387" style="position:absolute;left:0;text-align:left;margin-left:99pt;margin-top:9pt;width:99pt;height:27pt;z-index:253212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">
                <v:textbox inset="5.85pt,.7pt,5.85pt,.7pt">
                  <w:txbxContent>
                    <w:p w14:paraId="6FCB1C40" w14:textId="77777777" w:rsidR="006A5267" w:rsidRPr="00907710" w:rsidRDefault="006A5267" w:rsidP="008B4B2B">
                      <w:pPr>
                        <w:rPr>
                          <w:rFonts w:ascii="ＭＳ ゴシック" w:eastAsia="ＭＳ ゴシック" w:hAnsi="ＭＳ ゴシック"/>
                          <w:sz w:val="22"/>
                          <w:szCs w:val="22"/>
                        </w:rPr>
                      </w:pPr>
                      <w:r>
                        <w:rPr>
                          <w:rFonts w:ascii="ＭＳ ゴシック" w:eastAsia="ＭＳ ゴシック" w:hAnsi="ＭＳ ゴシック" w:hint="eastAsia"/>
                          <w:sz w:val="22"/>
                          <w:szCs w:val="22"/>
                        </w:rPr>
                        <w:t>延焼火災の発生</w:t>
                      </w:r>
                    </w:p>
                  </w:txbxContent>
                </v:textbox>
              </v:roundrect>
            </w:pict>
          </mc:Fallback>
        </mc:AlternateContent>
      </w:r>
      <w:r w:rsidRPr="00E0548A">
        <w:rPr>
          <w:rFonts w:ascii="ＭＳ ゴシック" w:eastAsia="ＭＳ ゴシック" w:hAnsi="ＭＳ ゴシック" w:hint="eastAsia"/>
          <w:noProof/>
          <w:sz w:val="22"/>
          <w:szCs w:val="22"/>
        </w:rPr>
        <mc:AlternateContent>
          <mc:Choice Requires="wps">
            <w:drawing>
              <wp:anchor distT="0" distB="0" distL="114300" distR="114300" simplePos="0" relativeHeight="253214720" behindDoc="0" locked="0" layoutInCell="1" allowOverlap="1" wp14:anchorId="3BD70AEC" wp14:editId="7B95E22E">
                <wp:simplePos x="0" y="0"/>
                <wp:positionH relativeFrom="column">
                  <wp:posOffset>2857500</wp:posOffset>
                </wp:positionH>
                <wp:positionV relativeFrom="paragraph">
                  <wp:posOffset>114300</wp:posOffset>
                </wp:positionV>
                <wp:extent cx="1257300" cy="342900"/>
                <wp:effectExtent l="9525" t="9525" r="9525" b="9525"/>
                <wp:wrapNone/>
                <wp:docPr id="4081" name="AutoShape 240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57300" cy="342900"/>
                        </a:xfrm>
                        <a:prstGeom prst="roundRect">
                          <a:avLst>
                            <a:gd name="adj" fmla="val 16667"/>
                          </a:avLst>
                        </a:prstGeom>
                        <a:solidFill>
                          <a:srgbClr val="FFFFFF"/>
                        </a:solidFill>
                        <a:ln w="9525">
                          <a:solidFill>
                            <a:srgbClr val="000000"/>
                          </a:solidFill>
                          <a:round/>
                          <a:headEnd/>
                          <a:tailEnd/>
                        </a:ln>
                      </wps:spPr>
                      <wps:txbx>
                        <w:txbxContent>
                          <w:p w14:paraId="6891E587" w14:textId="77777777" w:rsidR="006A5267" w:rsidRPr="00907710" w:rsidRDefault="006A5267" w:rsidP="008B4B2B">
                            <w:pPr>
                              <w:jc w:val="center"/>
                              <w:rPr>
                                <w:rFonts w:ascii="ＭＳ ゴシック" w:eastAsia="ＭＳ ゴシック" w:hAnsi="ＭＳ ゴシック"/>
                                <w:sz w:val="22"/>
                                <w:szCs w:val="22"/>
                              </w:rPr>
                            </w:pPr>
                            <w:r>
                              <w:rPr>
                                <w:rFonts w:ascii="ＭＳ ゴシック" w:eastAsia="ＭＳ ゴシック" w:hAnsi="ＭＳ ゴシック" w:hint="eastAsia"/>
                                <w:sz w:val="22"/>
                                <w:szCs w:val="22"/>
                              </w:rPr>
                              <w:t>建物の倒壊</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roundrect w14:anchorId="3BD70AEC" id="AutoShape 2409" o:spid="_x0000_s1388" style="position:absolute;left:0;text-align:left;margin-left:225pt;margin-top:9pt;width:99pt;height:27pt;z-index:253214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">
                <v:textbox inset="5.85pt,.7pt,5.85pt,.7pt">
                  <w:txbxContent>
                    <w:p w14:paraId="6891E587" w14:textId="77777777" w:rsidR="006A5267" w:rsidRPr="00907710" w:rsidRDefault="006A5267" w:rsidP="008B4B2B">
                      <w:pPr>
                        <w:jc w:val="center"/>
                        <w:rPr>
                          <w:rFonts w:ascii="ＭＳ ゴシック" w:eastAsia="ＭＳ ゴシック" w:hAnsi="ＭＳ ゴシック"/>
                          <w:sz w:val="22"/>
                          <w:szCs w:val="22"/>
                        </w:rPr>
                      </w:pPr>
                      <w:r>
                        <w:rPr>
                          <w:rFonts w:ascii="ＭＳ ゴシック" w:eastAsia="ＭＳ ゴシック" w:hAnsi="ＭＳ ゴシック" w:hint="eastAsia"/>
                          <w:sz w:val="22"/>
                          <w:szCs w:val="22"/>
                        </w:rPr>
                        <w:t>建物の倒壊</w:t>
                      </w:r>
                    </w:p>
                  </w:txbxContent>
                </v:textbox>
              </v:roundrect>
            </w:pict>
          </mc:Fallback>
        </mc:AlternateContent>
      </w:r>
    </w:p>
    <w:p w14:paraId="44BA25F4" w14:textId="77777777" w:rsidR="008B4B2B" w:rsidRPr="00E0548A" w:rsidRDefault="008B4B2B" w:rsidP="008B4B2B">
      <w:pPr>
        <w:rPr>
          <w:rFonts w:ascii="ＭＳ ゴシック" w:eastAsia="ＭＳ ゴシック" w:hAnsi="ＭＳ ゴシック"/>
          <w:sz w:val="22"/>
          <w:szCs w:val="22"/>
        </w:rPr>
      </w:pPr>
      <w:r w:rsidRPr="00E0548A">
        <w:rPr>
          <w:rFonts w:ascii="ＭＳ ゴシック" w:eastAsia="ＭＳ ゴシック" w:hAnsi="ＭＳ ゴシック" w:hint="eastAsia"/>
          <w:noProof/>
          <w:sz w:val="22"/>
          <w:szCs w:val="22"/>
        </w:rPr>
        <mc:AlternateContent>
          <mc:Choice Requires="wps">
            <w:drawing>
              <wp:anchor distT="0" distB="0" distL="114300" distR="114300" simplePos="0" relativeHeight="253230080" behindDoc="0" locked="0" layoutInCell="1" allowOverlap="1" wp14:anchorId="5640B9A4" wp14:editId="4012F938">
                <wp:simplePos x="0" y="0"/>
                <wp:positionH relativeFrom="column">
                  <wp:posOffset>4229100</wp:posOffset>
                </wp:positionH>
                <wp:positionV relativeFrom="paragraph">
                  <wp:posOffset>0</wp:posOffset>
                </wp:positionV>
                <wp:extent cx="685800" cy="0"/>
                <wp:effectExtent l="9525" t="76200" r="19050" b="76200"/>
                <wp:wrapNone/>
                <wp:docPr id="4080" name="Line 242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85800" cy="0"/>
                        </a:xfrm>
                        <a:prstGeom prst="line">
                          <a:avLst/>
                        </a:prstGeom>
                        <a:noFill/>
                        <a:ln w="19050">
                          <a:solidFill>
                            <a:srgbClr val="000000"/>
                          </a:solidFill>
                          <a:round/>
                          <a:headEnd/>
                          <a:tailEnd type="arrow"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line w14:anchorId="70A0F111" id="Line 2427" o:spid="_x0000_s1026" style="position:absolute;left:0;text-align:left;z-index:2532300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33pt,0" to="387pt,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" strokeweight="1.5pt">
                <v:stroke endarrow="open"/>
              </v:line>
            </w:pict>
          </mc:Fallback>
        </mc:AlternateContent>
      </w:r>
    </w:p>
    <w:p w14:paraId="344EDFAD" w14:textId="77777777" w:rsidR="008B4B2B" w:rsidRPr="00E0548A" w:rsidRDefault="008B4B2B" w:rsidP="008B4B2B">
      <w:pPr>
        <w:rPr>
          <w:rFonts w:ascii="ＭＳ ゴシック" w:eastAsia="ＭＳ ゴシック" w:hAnsi="ＭＳ ゴシック"/>
          <w:sz w:val="22"/>
          <w:szCs w:val="22"/>
        </w:rPr>
      </w:pPr>
      <w:r w:rsidRPr="00E0548A">
        <w:rPr>
          <w:rFonts w:ascii="ＭＳ ゴシック" w:eastAsia="ＭＳ ゴシック" w:hAnsi="ＭＳ ゴシック" w:hint="eastAsia"/>
          <w:noProof/>
          <w:sz w:val="22"/>
          <w:szCs w:val="22"/>
        </w:rPr>
        <mc:AlternateContent>
          <mc:Choice Requires="wps">
            <w:drawing>
              <wp:anchor distT="0" distB="0" distL="114300" distR="114300" simplePos="0" relativeHeight="253231104" behindDoc="0" locked="0" layoutInCell="1" allowOverlap="1" wp14:anchorId="0D527FAB" wp14:editId="32EFB296">
                <wp:simplePos x="0" y="0"/>
                <wp:positionH relativeFrom="column">
                  <wp:posOffset>1485900</wp:posOffset>
                </wp:positionH>
                <wp:positionV relativeFrom="paragraph">
                  <wp:posOffset>114300</wp:posOffset>
                </wp:positionV>
                <wp:extent cx="342900" cy="0"/>
                <wp:effectExtent l="9525" t="76200" r="19050" b="76200"/>
                <wp:wrapNone/>
                <wp:docPr id="4079" name="Line 242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2900" cy="0"/>
                        </a:xfrm>
                        <a:prstGeom prst="line">
                          <a:avLst/>
                        </a:prstGeom>
                        <a:noFill/>
                        <a:ln w="19050">
                          <a:solidFill>
                            <a:srgbClr val="000000"/>
                          </a:solidFill>
                          <a:round/>
                          <a:headEnd/>
                          <a:tailEnd type="arrow"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line w14:anchorId="3E2208C0" id="Line 2429" o:spid="_x0000_s1026" style="position:absolute;left:0;text-align:left;z-index:2532311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17pt,9pt" to="2in,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" strokeweight="1.5pt">
                <v:stroke endarrow="open"/>
              </v:line>
            </w:pict>
          </mc:Fallback>
        </mc:AlternateContent>
      </w:r>
      <w:r w:rsidRPr="00E0548A">
        <w:rPr>
          <w:rFonts w:ascii="ＭＳ ゴシック" w:eastAsia="ＭＳ ゴシック" w:hAnsi="ＭＳ ゴシック" w:hint="eastAsia"/>
          <w:noProof/>
          <w:sz w:val="22"/>
          <w:szCs w:val="22"/>
        </w:rPr>
        <mc:AlternateContent>
          <mc:Choice Requires="wps">
            <w:drawing>
              <wp:anchor distT="0" distB="0" distL="114300" distR="114300" simplePos="0" relativeHeight="253220864" behindDoc="0" locked="0" layoutInCell="1" allowOverlap="1" wp14:anchorId="48380E40" wp14:editId="30A2E4C8">
                <wp:simplePos x="0" y="0"/>
                <wp:positionH relativeFrom="column">
                  <wp:posOffset>-342900</wp:posOffset>
                </wp:positionH>
                <wp:positionV relativeFrom="paragraph">
                  <wp:posOffset>0</wp:posOffset>
                </wp:positionV>
                <wp:extent cx="1828800" cy="228600"/>
                <wp:effectExtent l="0" t="0" r="0" b="0"/>
                <wp:wrapNone/>
                <wp:docPr id="4078" name="Text Box 241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28800" cy="2286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C808CFD" w14:textId="77777777" w:rsidR="006A5267" w:rsidRPr="009F5DBE" w:rsidRDefault="006A5267" w:rsidP="008B4B2B">
                            <w:pPr>
                              <w:rPr>
                                <w:rFonts w:ascii="ＭＳ ゴシック" w:eastAsia="ＭＳ ゴシック" w:hAnsi="ＭＳ ゴシック"/>
                                <w:sz w:val="20"/>
                                <w:szCs w:val="20"/>
                              </w:rPr>
                            </w:pPr>
                            <w:r>
                              <w:rPr>
                                <w:rFonts w:ascii="ＭＳ ゴシック" w:eastAsia="ＭＳ ゴシック" w:hAnsi="ＭＳ ゴシック" w:hint="eastAsia"/>
                                <w:sz w:val="20"/>
                                <w:szCs w:val="20"/>
                              </w:rPr>
                              <w:t>（初期消火・要救助者の救出）</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shape w14:anchorId="48380E40" id="Text Box 2416" o:spid="_x0000_s1389" type="#_x0000_t202" style="position:absolute;left:0;text-align:left;margin-left:-27pt;margin-top:0;width:2in;height:18pt;z-index:2532208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" filled="f" stroked="f">
                <v:textbox inset="5.85pt,.7pt,5.85pt,.7pt">
                  <w:txbxContent>
                    <w:p w14:paraId="0C808CFD" w14:textId="77777777" w:rsidR="006A5267" w:rsidRPr="009F5DBE" w:rsidRDefault="006A5267" w:rsidP="008B4B2B">
                      <w:pPr>
                        <w:rPr>
                          <w:rFonts w:ascii="ＭＳ ゴシック" w:eastAsia="ＭＳ ゴシック" w:hAnsi="ＭＳ ゴシック"/>
                          <w:sz w:val="20"/>
                          <w:szCs w:val="20"/>
                        </w:rPr>
                      </w:pPr>
                      <w:r>
                        <w:rPr>
                          <w:rFonts w:ascii="ＭＳ ゴシック" w:eastAsia="ＭＳ ゴシック" w:hAnsi="ＭＳ ゴシック" w:hint="eastAsia"/>
                          <w:sz w:val="20"/>
                          <w:szCs w:val="20"/>
                        </w:rPr>
                        <w:t>（初期消火・要救助者の救出）</w:t>
                      </w:r>
                    </w:p>
                  </w:txbxContent>
                </v:textbox>
              </v:shape>
            </w:pict>
          </mc:Fallback>
        </mc:AlternateContent>
      </w:r>
      <w:r w:rsidRPr="00E0548A">
        <w:rPr>
          <w:rFonts w:ascii="ＭＳ ゴシック" w:eastAsia="ＭＳ ゴシック" w:hAnsi="ＭＳ ゴシック" w:hint="eastAsia"/>
          <w:noProof/>
          <w:sz w:val="22"/>
          <w:szCs w:val="22"/>
        </w:rPr>
        <mc:AlternateContent>
          <mc:Choice Requires="wps">
            <w:drawing>
              <wp:anchor distT="0" distB="0" distL="114300" distR="114300" simplePos="0" relativeHeight="253225984" behindDoc="0" locked="0" layoutInCell="1" allowOverlap="1" wp14:anchorId="525E6C1C" wp14:editId="742FA0A6">
                <wp:simplePos x="0" y="0"/>
                <wp:positionH relativeFrom="column">
                  <wp:posOffset>2971800</wp:posOffset>
                </wp:positionH>
                <wp:positionV relativeFrom="paragraph">
                  <wp:posOffset>114300</wp:posOffset>
                </wp:positionV>
                <wp:extent cx="0" cy="342900"/>
                <wp:effectExtent l="76200" t="9525" r="76200" b="19050"/>
                <wp:wrapNone/>
                <wp:docPr id="4077" name="Line 242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342900"/>
                        </a:xfrm>
                        <a:prstGeom prst="line">
                          <a:avLst/>
                        </a:prstGeom>
                        <a:noFill/>
                        <a:ln w="19050">
                          <a:solidFill>
                            <a:srgbClr val="000000"/>
                          </a:solidFill>
                          <a:round/>
                          <a:headEnd/>
                          <a:tailEnd type="arrow"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line w14:anchorId="2CB0CDB3" id="Line 2422" o:spid="_x0000_s1026" style="position:absolute;left:0;text-align:left;z-index:2532259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34pt,9pt" to="234pt,3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" strokeweight="1.5pt">
                <v:stroke endarrow="open"/>
              </v:line>
            </w:pict>
          </mc:Fallback>
        </mc:AlternateContent>
      </w:r>
      <w:r w:rsidRPr="00E0548A">
        <w:rPr>
          <w:rFonts w:ascii="ＭＳ ゴシック" w:eastAsia="ＭＳ ゴシック" w:hAnsi="ＭＳ ゴシック" w:hint="eastAsia"/>
          <w:noProof/>
          <w:sz w:val="22"/>
          <w:szCs w:val="22"/>
        </w:rPr>
        <mc:AlternateContent>
          <mc:Choice Requires="wps">
            <w:drawing>
              <wp:anchor distT="0" distB="0" distL="114300" distR="114300" simplePos="0" relativeHeight="253224960" behindDoc="0" locked="0" layoutInCell="1" allowOverlap="1" wp14:anchorId="6DCE6DCB" wp14:editId="6232F1E5">
                <wp:simplePos x="0" y="0"/>
                <wp:positionH relativeFrom="column">
                  <wp:posOffset>1943100</wp:posOffset>
                </wp:positionH>
                <wp:positionV relativeFrom="paragraph">
                  <wp:posOffset>114300</wp:posOffset>
                </wp:positionV>
                <wp:extent cx="0" cy="342900"/>
                <wp:effectExtent l="76200" t="9525" r="76200" b="19050"/>
                <wp:wrapNone/>
                <wp:docPr id="4076" name="Line 242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342900"/>
                        </a:xfrm>
                        <a:prstGeom prst="line">
                          <a:avLst/>
                        </a:prstGeom>
                        <a:noFill/>
                        <a:ln w="19050">
                          <a:solidFill>
                            <a:srgbClr val="000000"/>
                          </a:solidFill>
                          <a:round/>
                          <a:headEnd/>
                          <a:tailEnd type="arrow"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line w14:anchorId="59772F54" id="Line 2421" o:spid="_x0000_s1026" style="position:absolute;left:0;text-align:left;z-index:2532249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53pt,9pt" to="153pt,3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" strokeweight="1.5pt">
                <v:stroke endarrow="open"/>
              </v:line>
            </w:pict>
          </mc:Fallback>
        </mc:AlternateContent>
      </w:r>
    </w:p>
    <w:p w14:paraId="50E7C81D" w14:textId="77777777" w:rsidR="008B4B2B" w:rsidRPr="00E0548A" w:rsidRDefault="008B4B2B" w:rsidP="008B4B2B">
      <w:pPr>
        <w:rPr>
          <w:rFonts w:ascii="ＭＳ ゴシック" w:eastAsia="ＭＳ ゴシック" w:hAnsi="ＭＳ ゴシック"/>
          <w:sz w:val="22"/>
          <w:szCs w:val="22"/>
        </w:rPr>
      </w:pPr>
      <w:r w:rsidRPr="00E0548A">
        <w:rPr>
          <w:rFonts w:ascii="ＭＳ ゴシック" w:eastAsia="ＭＳ ゴシック" w:hAnsi="ＭＳ ゴシック" w:hint="eastAsia"/>
          <w:noProof/>
          <w:sz w:val="22"/>
          <w:szCs w:val="22"/>
        </w:rPr>
        <mc:AlternateContent>
          <mc:Choice Requires="wps">
            <w:drawing>
              <wp:anchor distT="0" distB="0" distL="114300" distR="114300" simplePos="0" relativeHeight="253236224" behindDoc="0" locked="0" layoutInCell="1" allowOverlap="1" wp14:anchorId="5B857A1C" wp14:editId="5776C61E">
                <wp:simplePos x="0" y="0"/>
                <wp:positionH relativeFrom="column">
                  <wp:posOffset>3657600</wp:posOffset>
                </wp:positionH>
                <wp:positionV relativeFrom="paragraph">
                  <wp:posOffset>114300</wp:posOffset>
                </wp:positionV>
                <wp:extent cx="0" cy="1257300"/>
                <wp:effectExtent l="9525" t="9525" r="9525" b="9525"/>
                <wp:wrapNone/>
                <wp:docPr id="4075" name="Line 243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257300"/>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line w14:anchorId="6B288C5F" id="Line 2435" o:spid="_x0000_s1026" style="position:absolute;left:0;text-align:left;z-index:2532362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in,9pt" to="4in,10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" strokeweight="1.5pt"/>
            </w:pict>
          </mc:Fallback>
        </mc:AlternateContent>
      </w:r>
      <w:r w:rsidRPr="00E0548A">
        <w:rPr>
          <w:rFonts w:ascii="ＭＳ ゴシック" w:eastAsia="ＭＳ ゴシック" w:hAnsi="ＭＳ ゴシック" w:hint="eastAsia"/>
          <w:noProof/>
          <w:sz w:val="22"/>
          <w:szCs w:val="22"/>
        </w:rPr>
        <mc:AlternateContent>
          <mc:Choice Requires="wps">
            <w:drawing>
              <wp:anchor distT="0" distB="0" distL="114300" distR="114300" simplePos="0" relativeHeight="253235200" behindDoc="0" locked="0" layoutInCell="1" allowOverlap="1" wp14:anchorId="680D266B" wp14:editId="029B4445">
                <wp:simplePos x="0" y="0"/>
                <wp:positionH relativeFrom="column">
                  <wp:posOffset>3657600</wp:posOffset>
                </wp:positionH>
                <wp:positionV relativeFrom="paragraph">
                  <wp:posOffset>114300</wp:posOffset>
                </wp:positionV>
                <wp:extent cx="1257300" cy="0"/>
                <wp:effectExtent l="9525" t="9525" r="9525" b="9525"/>
                <wp:wrapNone/>
                <wp:docPr id="4074" name="Line 243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257300" cy="0"/>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line w14:anchorId="4929DE48" id="Line 2434" o:spid="_x0000_s1026" style="position:absolute;left:0;text-align:left;z-index:2532352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in,9pt" to="387pt,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" strokeweight="1.5pt"/>
            </w:pict>
          </mc:Fallback>
        </mc:AlternateContent>
      </w:r>
      <w:r w:rsidRPr="00E0548A">
        <w:rPr>
          <w:rFonts w:ascii="ＭＳ ゴシック" w:eastAsia="ＭＳ ゴシック" w:hAnsi="ＭＳ ゴシック" w:hint="eastAsia"/>
          <w:noProof/>
          <w:sz w:val="22"/>
          <w:szCs w:val="22"/>
        </w:rPr>
        <mc:AlternateContent>
          <mc:Choice Requires="wps">
            <w:drawing>
              <wp:anchor distT="0" distB="0" distL="114300" distR="114300" simplePos="0" relativeHeight="253234176" behindDoc="0" locked="0" layoutInCell="1" allowOverlap="1" wp14:anchorId="043072A4" wp14:editId="1996B69A">
                <wp:simplePos x="0" y="0"/>
                <wp:positionH relativeFrom="column">
                  <wp:posOffset>3429000</wp:posOffset>
                </wp:positionH>
                <wp:positionV relativeFrom="paragraph">
                  <wp:posOffset>0</wp:posOffset>
                </wp:positionV>
                <wp:extent cx="0" cy="1143000"/>
                <wp:effectExtent l="9525" t="9525" r="9525" b="9525"/>
                <wp:wrapNone/>
                <wp:docPr id="4073" name="Line 243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143000"/>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line w14:anchorId="3ED2025D" id="Line 2432" o:spid="_x0000_s1026" style="position:absolute;left:0;text-align:left;z-index:2532341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70pt,0" to="270pt,90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" strokeweight="1.5pt"/>
            </w:pict>
          </mc:Fallback>
        </mc:AlternateContent>
      </w:r>
      <w:r w:rsidRPr="00E0548A">
        <w:rPr>
          <w:rFonts w:ascii="ＭＳ ゴシック" w:eastAsia="ＭＳ ゴシック" w:hAnsi="ＭＳ ゴシック" w:hint="eastAsia"/>
          <w:noProof/>
          <w:sz w:val="22"/>
          <w:szCs w:val="22"/>
        </w:rPr>
        <mc:AlternateContent>
          <mc:Choice Requires="wps">
            <w:drawing>
              <wp:anchor distT="0" distB="0" distL="114300" distR="114300" simplePos="0" relativeHeight="253233152" behindDoc="0" locked="0" layoutInCell="1" allowOverlap="1" wp14:anchorId="1B68A27F" wp14:editId="45E7F9E1">
                <wp:simplePos x="0" y="0"/>
                <wp:positionH relativeFrom="column">
                  <wp:posOffset>2057400</wp:posOffset>
                </wp:positionH>
                <wp:positionV relativeFrom="paragraph">
                  <wp:posOffset>0</wp:posOffset>
                </wp:positionV>
                <wp:extent cx="1371600" cy="0"/>
                <wp:effectExtent l="9525" t="9525" r="9525" b="9525"/>
                <wp:wrapNone/>
                <wp:docPr id="4072" name="Line 243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371600" cy="0"/>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line w14:anchorId="4ADFD90F" id="Line 2431" o:spid="_x0000_s1026" style="position:absolute;left:0;text-align:left;z-index:2532331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62pt,0" to="270pt,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" strokeweight="1.5pt"/>
            </w:pict>
          </mc:Fallback>
        </mc:AlternateContent>
      </w:r>
      <w:r w:rsidRPr="00E0548A">
        <w:rPr>
          <w:rFonts w:ascii="ＭＳ ゴシック" w:eastAsia="ＭＳ ゴシック" w:hAnsi="ＭＳ ゴシック" w:hint="eastAsia"/>
          <w:noProof/>
          <w:sz w:val="22"/>
          <w:szCs w:val="22"/>
        </w:rPr>
        <mc:AlternateContent>
          <mc:Choice Requires="wps">
            <w:drawing>
              <wp:anchor distT="0" distB="0" distL="114300" distR="114300" simplePos="0" relativeHeight="253221888" behindDoc="0" locked="0" layoutInCell="1" allowOverlap="1" wp14:anchorId="4DA1A00B" wp14:editId="6F6A059A">
                <wp:simplePos x="0" y="0"/>
                <wp:positionH relativeFrom="column">
                  <wp:posOffset>114300</wp:posOffset>
                </wp:positionH>
                <wp:positionV relativeFrom="paragraph">
                  <wp:posOffset>114300</wp:posOffset>
                </wp:positionV>
                <wp:extent cx="1485900" cy="228600"/>
                <wp:effectExtent l="0" t="0" r="0" b="0"/>
                <wp:wrapNone/>
                <wp:docPr id="4071" name="Text Box 24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85900" cy="2286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F44180A" w14:textId="77777777" w:rsidR="006A5267" w:rsidRPr="009F5DBE" w:rsidRDefault="006A5267" w:rsidP="008B4B2B">
                            <w:pPr>
                              <w:rPr>
                                <w:rFonts w:ascii="ＭＳ ゴシック" w:eastAsia="ＭＳ ゴシック" w:hAnsi="ＭＳ ゴシック"/>
                                <w:sz w:val="20"/>
                                <w:szCs w:val="20"/>
                              </w:rPr>
                            </w:pPr>
                            <w:r>
                              <w:rPr>
                                <w:rFonts w:ascii="ＭＳ ゴシック" w:eastAsia="ＭＳ ゴシック" w:hAnsi="ＭＳ ゴシック" w:hint="eastAsia"/>
                                <w:sz w:val="20"/>
                                <w:szCs w:val="20"/>
                              </w:rPr>
                              <w:t>（避難の指示等）</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shape w14:anchorId="4DA1A00B" id="Text Box 2417" o:spid="_x0000_s1390" type="#_x0000_t202" style="position:absolute;left:0;text-align:left;margin-left:9pt;margin-top:9pt;width:117pt;height:18pt;z-index:2532218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" filled="f" stroked="f">
                <v:textbox inset="5.85pt,.7pt,5.85pt,.7pt">
                  <w:txbxContent>
                    <w:p w14:paraId="2F44180A" w14:textId="77777777" w:rsidR="006A5267" w:rsidRPr="009F5DBE" w:rsidRDefault="006A5267" w:rsidP="008B4B2B">
                      <w:pPr>
                        <w:rPr>
                          <w:rFonts w:ascii="ＭＳ ゴシック" w:eastAsia="ＭＳ ゴシック" w:hAnsi="ＭＳ ゴシック"/>
                          <w:sz w:val="20"/>
                          <w:szCs w:val="20"/>
                        </w:rPr>
                      </w:pPr>
                      <w:r>
                        <w:rPr>
                          <w:rFonts w:ascii="ＭＳ ゴシック" w:eastAsia="ＭＳ ゴシック" w:hAnsi="ＭＳ ゴシック" w:hint="eastAsia"/>
                          <w:sz w:val="20"/>
                          <w:szCs w:val="20"/>
                        </w:rPr>
                        <w:t>（避難の指示等）</w:t>
                      </w:r>
                    </w:p>
                  </w:txbxContent>
                </v:textbox>
              </v:shape>
            </w:pict>
          </mc:Fallback>
        </mc:AlternateContent>
      </w:r>
    </w:p>
    <w:p w14:paraId="66F4D953" w14:textId="77777777" w:rsidR="008B4B2B" w:rsidRPr="00E0548A" w:rsidRDefault="008B4B2B" w:rsidP="008B4B2B">
      <w:pPr>
        <w:rPr>
          <w:rFonts w:ascii="ＭＳ ゴシック" w:eastAsia="ＭＳ ゴシック" w:hAnsi="ＭＳ ゴシック"/>
          <w:sz w:val="22"/>
          <w:szCs w:val="22"/>
        </w:rPr>
      </w:pPr>
      <w:r w:rsidRPr="00E0548A">
        <w:rPr>
          <w:rFonts w:ascii="ＭＳ ゴシック" w:eastAsia="ＭＳ ゴシック" w:hAnsi="ＭＳ ゴシック" w:hint="eastAsia"/>
          <w:noProof/>
          <w:sz w:val="22"/>
          <w:szCs w:val="22"/>
        </w:rPr>
        <mc:AlternateContent>
          <mc:Choice Requires="wps">
            <w:drawing>
              <wp:anchor distT="0" distB="0" distL="114300" distR="114300" simplePos="0" relativeHeight="253232128" behindDoc="0" locked="0" layoutInCell="1" allowOverlap="1" wp14:anchorId="3EC475BB" wp14:editId="5165CF1E">
                <wp:simplePos x="0" y="0"/>
                <wp:positionH relativeFrom="column">
                  <wp:posOffset>1485900</wp:posOffset>
                </wp:positionH>
                <wp:positionV relativeFrom="paragraph">
                  <wp:posOffset>0</wp:posOffset>
                </wp:positionV>
                <wp:extent cx="342900" cy="0"/>
                <wp:effectExtent l="9525" t="76200" r="19050" b="76200"/>
                <wp:wrapNone/>
                <wp:docPr id="4070" name="Line 243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2900" cy="0"/>
                        </a:xfrm>
                        <a:prstGeom prst="line">
                          <a:avLst/>
                        </a:prstGeom>
                        <a:noFill/>
                        <a:ln w="19050">
                          <a:solidFill>
                            <a:srgbClr val="000000"/>
                          </a:solidFill>
                          <a:round/>
                          <a:headEnd/>
                          <a:tailEnd type="arrow"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line w14:anchorId="79CF33D7" id="Line 2430" o:spid="_x0000_s1026" style="position:absolute;left:0;text-align:left;z-index:2532321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17pt,0" to="2in,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" strokeweight="1.5pt">
                <v:stroke endarrow="open"/>
              </v:line>
            </w:pict>
          </mc:Fallback>
        </mc:AlternateContent>
      </w:r>
      <w:r w:rsidRPr="00E0548A">
        <w:rPr>
          <w:rFonts w:ascii="ＭＳ ゴシック" w:eastAsia="ＭＳ ゴシック" w:hAnsi="ＭＳ ゴシック" w:hint="eastAsia"/>
          <w:noProof/>
          <w:sz w:val="22"/>
          <w:szCs w:val="22"/>
        </w:rPr>
        <mc:AlternateContent>
          <mc:Choice Requires="wps">
            <w:drawing>
              <wp:anchor distT="0" distB="0" distL="114300" distR="114300" simplePos="0" relativeHeight="253216768" behindDoc="0" locked="0" layoutInCell="1" allowOverlap="1" wp14:anchorId="287EF4F0" wp14:editId="49C79A93">
                <wp:simplePos x="0" y="0"/>
                <wp:positionH relativeFrom="column">
                  <wp:posOffset>800100</wp:posOffset>
                </wp:positionH>
                <wp:positionV relativeFrom="paragraph">
                  <wp:posOffset>114300</wp:posOffset>
                </wp:positionV>
                <wp:extent cx="2400300" cy="685800"/>
                <wp:effectExtent l="9525" t="9525" r="9525" b="9525"/>
                <wp:wrapNone/>
                <wp:docPr id="4069" name="AutoShape 241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400300" cy="685800"/>
                        </a:xfrm>
                        <a:prstGeom prst="roundRect">
                          <a:avLst>
                            <a:gd name="adj" fmla="val 16667"/>
                          </a:avLst>
                        </a:prstGeom>
                        <a:solidFill>
                          <a:srgbClr val="FFFFFF"/>
                        </a:solidFill>
                        <a:ln w="9525">
                          <a:solidFill>
                            <a:srgbClr val="000000"/>
                          </a:solidFill>
                          <a:round/>
                          <a:headEnd/>
                          <a:tailEnd/>
                        </a:ln>
                      </wps:spPr>
                      <wps:txbx>
                        <w:txbxContent>
                          <w:p w14:paraId="585B9BEA" w14:textId="77777777" w:rsidR="006A5267" w:rsidRDefault="006A5267" w:rsidP="008B4B2B">
                            <w:pPr>
                              <w:spacing w:line="240" w:lineRule="exact"/>
                              <w:jc w:val="center"/>
                              <w:rPr>
                                <w:rFonts w:ascii="ＭＳ ゴシック" w:eastAsia="ＭＳ ゴシック" w:hAnsi="ＭＳ ゴシック"/>
                                <w:sz w:val="22"/>
                                <w:szCs w:val="22"/>
                              </w:rPr>
                            </w:pPr>
                            <w:r w:rsidRPr="00123AA1">
                              <w:rPr>
                                <w:rFonts w:ascii="ＭＳ ゴシック" w:eastAsia="ＭＳ ゴシック" w:hAnsi="ＭＳ ゴシック" w:hint="eastAsia"/>
                                <w:sz w:val="22"/>
                                <w:szCs w:val="22"/>
                              </w:rPr>
                              <w:t>指定緊急避難</w:t>
                            </w:r>
                            <w:r>
                              <w:rPr>
                                <w:rFonts w:ascii="ＭＳ ゴシック" w:eastAsia="ＭＳ ゴシック" w:hAnsi="ＭＳ ゴシック" w:hint="eastAsia"/>
                                <w:sz w:val="22"/>
                                <w:szCs w:val="22"/>
                              </w:rPr>
                              <w:t>場所へ集合</w:t>
                            </w:r>
                          </w:p>
                          <w:p w14:paraId="4D7952F3" w14:textId="77777777" w:rsidR="006A5267" w:rsidRDefault="006A5267" w:rsidP="008B4B2B">
                            <w:pPr>
                              <w:spacing w:line="240" w:lineRule="exact"/>
                              <w:rPr>
                                <w:rFonts w:ascii="ＭＳ ゴシック" w:eastAsia="ＭＳ ゴシック" w:hAnsi="ＭＳ ゴシック"/>
                                <w:sz w:val="22"/>
                                <w:szCs w:val="22"/>
                              </w:rPr>
                            </w:pPr>
                          </w:p>
                          <w:p w14:paraId="4270002E" w14:textId="77777777" w:rsidR="006A5267" w:rsidRDefault="006A5267" w:rsidP="008B4B2B">
                            <w:pPr>
                              <w:spacing w:line="240" w:lineRule="exact"/>
                              <w:ind w:firstLineChars="100" w:firstLine="221"/>
                              <w:rPr>
                                <w:rFonts w:ascii="ＭＳ ゴシック" w:eastAsia="ＭＳ ゴシック" w:hAnsi="ＭＳ ゴシック"/>
                                <w:sz w:val="22"/>
                                <w:szCs w:val="22"/>
                              </w:rPr>
                            </w:pPr>
                            <w:r>
                              <w:rPr>
                                <w:rFonts w:ascii="ＭＳ ゴシック" w:eastAsia="ＭＳ ゴシック" w:hAnsi="ＭＳ ゴシック" w:hint="eastAsia"/>
                                <w:sz w:val="22"/>
                                <w:szCs w:val="22"/>
                              </w:rPr>
                              <w:t>町会（自治会、事業所単位で</w:t>
                            </w:r>
                          </w:p>
                          <w:p w14:paraId="5DC3BEA0" w14:textId="77777777" w:rsidR="006A5267" w:rsidRPr="00907710" w:rsidRDefault="006A5267" w:rsidP="008B4B2B">
                            <w:pPr>
                              <w:spacing w:line="240" w:lineRule="exact"/>
                              <w:ind w:firstLineChars="100" w:firstLine="221"/>
                              <w:rPr>
                                <w:rFonts w:ascii="ＭＳ ゴシック" w:eastAsia="ＭＳ ゴシック" w:hAnsi="ＭＳ ゴシック"/>
                                <w:sz w:val="22"/>
                                <w:szCs w:val="22"/>
                              </w:rPr>
                            </w:pPr>
                            <w:r>
                              <w:rPr>
                                <w:rFonts w:ascii="ＭＳ ゴシック" w:eastAsia="ＭＳ ゴシック" w:hAnsi="ＭＳ ゴシック" w:hint="eastAsia"/>
                                <w:sz w:val="22"/>
                                <w:szCs w:val="22"/>
                              </w:rPr>
                              <w:t>集団を形成／不在者等の確認）</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roundrect w14:anchorId="287EF4F0" id="AutoShape 2410" o:spid="_x0000_s1391" style="position:absolute;left:0;text-align:left;margin-left:63pt;margin-top:9pt;width:189pt;height:54pt;z-index:253216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">
                <v:textbox inset="5.85pt,.7pt,5.85pt,.7pt">
                  <w:txbxContent>
                    <w:p w14:paraId="585B9BEA" w14:textId="77777777" w:rsidR="006A5267" w:rsidRDefault="006A5267" w:rsidP="008B4B2B">
                      <w:pPr>
                        <w:spacing w:line="240" w:lineRule="exact"/>
                        <w:jc w:val="center"/>
                        <w:rPr>
                          <w:rFonts w:ascii="ＭＳ ゴシック" w:eastAsia="ＭＳ ゴシック" w:hAnsi="ＭＳ ゴシック"/>
                          <w:sz w:val="22"/>
                          <w:szCs w:val="22"/>
                        </w:rPr>
                      </w:pPr>
                      <w:r w:rsidRPr="00123AA1">
                        <w:rPr>
                          <w:rFonts w:ascii="ＭＳ ゴシック" w:eastAsia="ＭＳ ゴシック" w:hAnsi="ＭＳ ゴシック" w:hint="eastAsia"/>
                          <w:sz w:val="22"/>
                          <w:szCs w:val="22"/>
                        </w:rPr>
                        <w:t>指定緊急避難</w:t>
                      </w:r>
                      <w:r>
                        <w:rPr>
                          <w:rFonts w:ascii="ＭＳ ゴシック" w:eastAsia="ＭＳ ゴシック" w:hAnsi="ＭＳ ゴシック" w:hint="eastAsia"/>
                          <w:sz w:val="22"/>
                          <w:szCs w:val="22"/>
                        </w:rPr>
                        <w:t>場所へ集合</w:t>
                      </w:r>
                    </w:p>
                    <w:p w14:paraId="4D7952F3" w14:textId="77777777" w:rsidR="006A5267" w:rsidRDefault="006A5267" w:rsidP="008B4B2B">
                      <w:pPr>
                        <w:spacing w:line="240" w:lineRule="exact"/>
                        <w:rPr>
                          <w:rFonts w:ascii="ＭＳ ゴシック" w:eastAsia="ＭＳ ゴシック" w:hAnsi="ＭＳ ゴシック"/>
                          <w:sz w:val="22"/>
                          <w:szCs w:val="22"/>
                        </w:rPr>
                      </w:pPr>
                    </w:p>
                    <w:p w14:paraId="4270002E" w14:textId="77777777" w:rsidR="006A5267" w:rsidRDefault="006A5267" w:rsidP="008B4B2B">
                      <w:pPr>
                        <w:spacing w:line="240" w:lineRule="exact"/>
                        <w:ind w:firstLineChars="100" w:firstLine="221"/>
                        <w:rPr>
                          <w:rFonts w:ascii="ＭＳ ゴシック" w:eastAsia="ＭＳ ゴシック" w:hAnsi="ＭＳ ゴシック"/>
                          <w:sz w:val="22"/>
                          <w:szCs w:val="22"/>
                        </w:rPr>
                      </w:pPr>
                      <w:r>
                        <w:rPr>
                          <w:rFonts w:ascii="ＭＳ ゴシック" w:eastAsia="ＭＳ ゴシック" w:hAnsi="ＭＳ ゴシック" w:hint="eastAsia"/>
                          <w:sz w:val="22"/>
                          <w:szCs w:val="22"/>
                        </w:rPr>
                        <w:t>町会（自治会、事業所単位で</w:t>
                      </w:r>
                    </w:p>
                    <w:p w14:paraId="5DC3BEA0" w14:textId="77777777" w:rsidR="006A5267" w:rsidRPr="00907710" w:rsidRDefault="006A5267" w:rsidP="008B4B2B">
                      <w:pPr>
                        <w:spacing w:line="240" w:lineRule="exact"/>
                        <w:ind w:firstLineChars="100" w:firstLine="221"/>
                        <w:rPr>
                          <w:rFonts w:ascii="ＭＳ ゴシック" w:eastAsia="ＭＳ ゴシック" w:hAnsi="ＭＳ ゴシック"/>
                          <w:sz w:val="22"/>
                          <w:szCs w:val="22"/>
                        </w:rPr>
                      </w:pPr>
                      <w:r>
                        <w:rPr>
                          <w:rFonts w:ascii="ＭＳ ゴシック" w:eastAsia="ＭＳ ゴシック" w:hAnsi="ＭＳ ゴシック" w:hint="eastAsia"/>
                          <w:sz w:val="22"/>
                          <w:szCs w:val="22"/>
                        </w:rPr>
                        <w:t>集団を形成／不在者等の確認）</w:t>
                      </w:r>
                    </w:p>
                  </w:txbxContent>
                </v:textbox>
              </v:roundrect>
            </w:pict>
          </mc:Fallback>
        </mc:AlternateContent>
      </w:r>
    </w:p>
    <w:p w14:paraId="5A42285B" w14:textId="77777777" w:rsidR="008B4B2B" w:rsidRPr="00E0548A" w:rsidRDefault="008B4B2B" w:rsidP="008B4B2B">
      <w:pPr>
        <w:rPr>
          <w:rFonts w:ascii="ＭＳ ゴシック" w:eastAsia="ＭＳ ゴシック" w:hAnsi="ＭＳ ゴシック"/>
          <w:sz w:val="22"/>
          <w:szCs w:val="22"/>
        </w:rPr>
      </w:pPr>
      <w:r w:rsidRPr="00E0548A">
        <w:rPr>
          <w:rFonts w:ascii="ＭＳ ゴシック" w:eastAsia="ＭＳ ゴシック" w:hAnsi="ＭＳ ゴシック" w:hint="eastAsia"/>
          <w:noProof/>
          <w:sz w:val="22"/>
          <w:szCs w:val="22"/>
        </w:rPr>
        <mc:AlternateContent>
          <mc:Choice Requires="wps">
            <w:drawing>
              <wp:anchor distT="0" distB="0" distL="114300" distR="114300" simplePos="0" relativeHeight="253219840" behindDoc="0" locked="0" layoutInCell="1" allowOverlap="1" wp14:anchorId="4B6DCD0D" wp14:editId="0981C9BB">
                <wp:simplePos x="0" y="0"/>
                <wp:positionH relativeFrom="column">
                  <wp:posOffset>800100</wp:posOffset>
                </wp:positionH>
                <wp:positionV relativeFrom="paragraph">
                  <wp:posOffset>114300</wp:posOffset>
                </wp:positionV>
                <wp:extent cx="2400300" cy="0"/>
                <wp:effectExtent l="9525" t="9525" r="9525" b="9525"/>
                <wp:wrapNone/>
                <wp:docPr id="4068" name="Line 241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4003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line w14:anchorId="6BC6200D" id="Line 2415" o:spid="_x0000_s1026" style="position:absolute;left:0;text-align:left;z-index:2532198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63pt,9pt" to="252pt,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"/>
            </w:pict>
          </mc:Fallback>
        </mc:AlternateContent>
      </w:r>
      <w:r w:rsidRPr="00E0548A">
        <w:rPr>
          <w:rFonts w:ascii="ＭＳ ゴシック" w:eastAsia="ＭＳ ゴシック" w:hAnsi="ＭＳ ゴシック" w:hint="eastAsia"/>
          <w:noProof/>
          <w:sz w:val="22"/>
          <w:szCs w:val="22"/>
        </w:rPr>
        <mc:AlternateContent>
          <mc:Choice Requires="wps">
            <w:drawing>
              <wp:anchor distT="0" distB="0" distL="114300" distR="114300" simplePos="0" relativeHeight="253218816" behindDoc="0" locked="0" layoutInCell="1" allowOverlap="1" wp14:anchorId="611F770A" wp14:editId="5324B39E">
                <wp:simplePos x="0" y="0"/>
                <wp:positionH relativeFrom="column">
                  <wp:posOffset>4229100</wp:posOffset>
                </wp:positionH>
                <wp:positionV relativeFrom="paragraph">
                  <wp:posOffset>114300</wp:posOffset>
                </wp:positionV>
                <wp:extent cx="342900" cy="1257300"/>
                <wp:effectExtent l="9525" t="9525" r="9525" b="9525"/>
                <wp:wrapNone/>
                <wp:docPr id="4067" name="AutoShape 241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42900" cy="1257300"/>
                        </a:xfrm>
                        <a:prstGeom prst="roundRect">
                          <a:avLst>
                            <a:gd name="adj" fmla="val 16667"/>
                          </a:avLst>
                        </a:prstGeom>
                        <a:solidFill>
                          <a:srgbClr val="FFFFFF"/>
                        </a:solidFill>
                        <a:ln w="9525">
                          <a:solidFill>
                            <a:srgbClr val="000000"/>
                          </a:solidFill>
                          <a:round/>
                          <a:headEnd/>
                          <a:tailEnd/>
                        </a:ln>
                      </wps:spPr>
                      <wps:txbx>
                        <w:txbxContent>
                          <w:p w14:paraId="52ACAC79" w14:textId="77777777" w:rsidR="006A5267" w:rsidRPr="00907710" w:rsidRDefault="006A5267" w:rsidP="008B4B2B">
                            <w:pPr>
                              <w:rPr>
                                <w:rFonts w:ascii="ＭＳ ゴシック" w:eastAsia="ＭＳ ゴシック" w:hAnsi="ＭＳ ゴシック"/>
                                <w:sz w:val="22"/>
                                <w:szCs w:val="22"/>
                              </w:rPr>
                            </w:pPr>
                            <w:r>
                              <w:rPr>
                                <w:rFonts w:ascii="ＭＳ ゴシック" w:eastAsia="ＭＳ ゴシック" w:hAnsi="ＭＳ ゴシック" w:hint="eastAsia"/>
                                <w:sz w:val="22"/>
                                <w:szCs w:val="22"/>
                              </w:rPr>
                              <w:t>火災の鎮火</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roundrect w14:anchorId="611F770A" id="AutoShape 2412" o:spid="_x0000_s1392" style="position:absolute;left:0;text-align:left;margin-left:333pt;margin-top:9pt;width:27pt;height:99pt;z-index:253218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">
                <v:textbox inset="5.85pt,.7pt,5.85pt,.7pt">
                  <w:txbxContent>
                    <w:p w14:paraId="52ACAC79" w14:textId="77777777" w:rsidR="006A5267" w:rsidRPr="00907710" w:rsidRDefault="006A5267" w:rsidP="008B4B2B">
                      <w:pPr>
                        <w:rPr>
                          <w:rFonts w:ascii="ＭＳ ゴシック" w:eastAsia="ＭＳ ゴシック" w:hAnsi="ＭＳ ゴシック"/>
                          <w:sz w:val="22"/>
                          <w:szCs w:val="22"/>
                        </w:rPr>
                      </w:pPr>
                      <w:r>
                        <w:rPr>
                          <w:rFonts w:ascii="ＭＳ ゴシック" w:eastAsia="ＭＳ ゴシック" w:hAnsi="ＭＳ ゴシック" w:hint="eastAsia"/>
                          <w:sz w:val="22"/>
                          <w:szCs w:val="22"/>
                        </w:rPr>
                        <w:t>火災の鎮火</w:t>
                      </w:r>
                    </w:p>
                  </w:txbxContent>
                </v:textbox>
              </v:roundrect>
            </w:pict>
          </mc:Fallback>
        </mc:AlternateContent>
      </w:r>
    </w:p>
    <w:p w14:paraId="371317C8" w14:textId="77777777" w:rsidR="008B4B2B" w:rsidRPr="00E0548A" w:rsidRDefault="008B4B2B" w:rsidP="008B4B2B">
      <w:pPr>
        <w:rPr>
          <w:rFonts w:ascii="ＭＳ ゴシック" w:eastAsia="ＭＳ ゴシック" w:hAnsi="ＭＳ ゴシック"/>
          <w:sz w:val="22"/>
          <w:szCs w:val="22"/>
        </w:rPr>
      </w:pPr>
      <w:r w:rsidRPr="00E0548A">
        <w:rPr>
          <w:rFonts w:ascii="ＭＳ ゴシック" w:eastAsia="ＭＳ ゴシック" w:hAnsi="ＭＳ ゴシック" w:hint="eastAsia"/>
          <w:noProof/>
          <w:sz w:val="22"/>
          <w:szCs w:val="22"/>
        </w:rPr>
        <mc:AlternateContent>
          <mc:Choice Requires="wps">
            <w:drawing>
              <wp:anchor distT="0" distB="0" distL="114300" distR="114300" simplePos="0" relativeHeight="253229056" behindDoc="0" locked="0" layoutInCell="1" allowOverlap="1" wp14:anchorId="58B8797F" wp14:editId="420BA671">
                <wp:simplePos x="0" y="0"/>
                <wp:positionH relativeFrom="column">
                  <wp:posOffset>4686300</wp:posOffset>
                </wp:positionH>
                <wp:positionV relativeFrom="paragraph">
                  <wp:posOffset>0</wp:posOffset>
                </wp:positionV>
                <wp:extent cx="228600" cy="0"/>
                <wp:effectExtent l="9525" t="76200" r="19050" b="76200"/>
                <wp:wrapNone/>
                <wp:docPr id="4066" name="Line 242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28600" cy="0"/>
                        </a:xfrm>
                        <a:prstGeom prst="line">
                          <a:avLst/>
                        </a:prstGeom>
                        <a:noFill/>
                        <a:ln w="19050">
                          <a:solidFill>
                            <a:srgbClr val="000000"/>
                          </a:solidFill>
                          <a:round/>
                          <a:headEnd/>
                          <a:tailEnd type="arrow"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line w14:anchorId="4C42F436" id="Line 2426" o:spid="_x0000_s1026" style="position:absolute;left:0;text-align:left;z-index:2532290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69pt,0" to="387pt,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" strokeweight="1.5pt">
                <v:stroke endarrow="open"/>
              </v:line>
            </w:pict>
          </mc:Fallback>
        </mc:AlternateContent>
      </w:r>
    </w:p>
    <w:p w14:paraId="72841CA2" w14:textId="77777777" w:rsidR="008B4B2B" w:rsidRPr="00E0548A" w:rsidRDefault="008B4B2B" w:rsidP="008B4B2B">
      <w:pPr>
        <w:rPr>
          <w:rFonts w:ascii="ＭＳ ゴシック" w:eastAsia="ＭＳ ゴシック" w:hAnsi="ＭＳ ゴシック"/>
          <w:sz w:val="22"/>
          <w:szCs w:val="22"/>
        </w:rPr>
      </w:pPr>
      <w:r w:rsidRPr="00E0548A">
        <w:rPr>
          <w:rFonts w:ascii="ＭＳ ゴシック" w:eastAsia="ＭＳ ゴシック" w:hAnsi="ＭＳ ゴシック" w:hint="eastAsia"/>
          <w:noProof/>
          <w:sz w:val="22"/>
          <w:szCs w:val="22"/>
        </w:rPr>
        <mc:AlternateContent>
          <mc:Choice Requires="wps">
            <w:drawing>
              <wp:anchor distT="0" distB="0" distL="114300" distR="114300" simplePos="0" relativeHeight="253270016" behindDoc="0" locked="0" layoutInCell="1" allowOverlap="1" wp14:anchorId="521CA935" wp14:editId="53FD020F">
                <wp:simplePos x="0" y="0"/>
                <wp:positionH relativeFrom="column">
                  <wp:posOffset>4971415</wp:posOffset>
                </wp:positionH>
                <wp:positionV relativeFrom="paragraph">
                  <wp:posOffset>224790</wp:posOffset>
                </wp:positionV>
                <wp:extent cx="971550" cy="685800"/>
                <wp:effectExtent l="19050" t="19050" r="38100" b="19050"/>
                <wp:wrapNone/>
                <wp:docPr id="2493" name="AutoShape 241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71550" cy="685800"/>
                        </a:xfrm>
                        <a:prstGeom prst="pentagon">
                          <a:avLst/>
                        </a:prstGeom>
                        <a:solidFill>
                          <a:srgbClr val="FFFFFF"/>
                        </a:solidFill>
                        <a:ln w="9525">
                          <a:solidFill>
                            <a:srgbClr val="000000"/>
                          </a:solidFill>
                          <a:miter lim="800000"/>
                          <a:headEnd/>
                          <a:tailEnd/>
                        </a:ln>
                      </wps:spPr>
                      <wps:txbx>
                        <w:txbxContent>
                          <w:p w14:paraId="458E722E" w14:textId="77777777" w:rsidR="006A5267" w:rsidRDefault="006A5267" w:rsidP="008B4B2B">
                            <w:pPr>
                              <w:jc w:val="center"/>
                              <w:rPr>
                                <w:rFonts w:ascii="ＭＳ ゴシック" w:eastAsia="ＭＳ ゴシック" w:hAnsi="ＭＳ ゴシック"/>
                                <w:sz w:val="22"/>
                                <w:szCs w:val="22"/>
                              </w:rPr>
                            </w:pPr>
                            <w:r>
                              <w:rPr>
                                <w:rFonts w:ascii="ＭＳ ゴシック" w:eastAsia="ＭＳ ゴシック" w:hAnsi="ＭＳ ゴシック" w:hint="eastAsia"/>
                                <w:sz w:val="22"/>
                                <w:szCs w:val="22"/>
                              </w:rPr>
                              <w:t>自宅へ</w:t>
                            </w:r>
                          </w:p>
                          <w:p w14:paraId="04BF2C73" w14:textId="77777777" w:rsidR="006A5267" w:rsidRPr="00907710" w:rsidRDefault="006A5267" w:rsidP="008B4B2B">
                            <w:pPr>
                              <w:jc w:val="center"/>
                              <w:rPr>
                                <w:rFonts w:ascii="ＭＳ ゴシック" w:eastAsia="ＭＳ ゴシック" w:hAnsi="ＭＳ ゴシック"/>
                                <w:sz w:val="22"/>
                                <w:szCs w:val="22"/>
                              </w:rPr>
                            </w:pPr>
                            <w:r>
                              <w:rPr>
                                <w:rFonts w:ascii="ＭＳ ゴシック" w:eastAsia="ＭＳ ゴシック" w:hAnsi="ＭＳ ゴシック" w:hint="eastAsia"/>
                                <w:sz w:val="22"/>
                                <w:szCs w:val="22"/>
                              </w:rPr>
                              <w:t>帰宅</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shapetype w14:anchorId="521CA935" id="_x0000_t56" coordsize="21600,21600" o:spt="56" path="m10800,l,8259,4200,21600r13200,l21600,8259xe">
                <v:stroke joinstyle="miter"/>
                <v:path gradientshapeok="t" o:connecttype="custom" o:connectlocs="10800,0;0,8259;4200,21600;10800,21600;17400,21600;21600,8259" o:connectangles="270,180,90,90,90,0" textboxrect="4200,5077,17400,21600"/>
              </v:shapetype>
              <v:shape id="AutoShape 2413" o:spid="_x0000_s1393" type="#_x0000_t56" style="position:absolute;left:0;text-align:left;margin-left:391.45pt;margin-top:17.7pt;width:76.5pt;height:54pt;z-index:2532700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">
                <v:textbox inset="5.85pt,.7pt,5.85pt,.7pt">
                  <w:txbxContent>
                    <w:p w14:paraId="458E722E" w14:textId="77777777" w:rsidR="006A5267" w:rsidRDefault="006A5267" w:rsidP="008B4B2B">
                      <w:pPr>
                        <w:jc w:val="center"/>
                        <w:rPr>
                          <w:rFonts w:ascii="ＭＳ ゴシック" w:eastAsia="ＭＳ ゴシック" w:hAnsi="ＭＳ ゴシック"/>
                          <w:sz w:val="22"/>
                          <w:szCs w:val="22"/>
                        </w:rPr>
                      </w:pPr>
                      <w:r>
                        <w:rPr>
                          <w:rFonts w:ascii="ＭＳ ゴシック" w:eastAsia="ＭＳ ゴシック" w:hAnsi="ＭＳ ゴシック" w:hint="eastAsia"/>
                          <w:sz w:val="22"/>
                          <w:szCs w:val="22"/>
                        </w:rPr>
                        <w:t>自宅へ</w:t>
                      </w:r>
                    </w:p>
                    <w:p w14:paraId="04BF2C73" w14:textId="77777777" w:rsidR="006A5267" w:rsidRPr="00907710" w:rsidRDefault="006A5267" w:rsidP="008B4B2B">
                      <w:pPr>
                        <w:jc w:val="center"/>
                        <w:rPr>
                          <w:rFonts w:ascii="ＭＳ ゴシック" w:eastAsia="ＭＳ ゴシック" w:hAnsi="ＭＳ ゴシック"/>
                          <w:sz w:val="22"/>
                          <w:szCs w:val="22"/>
                        </w:rPr>
                      </w:pPr>
                      <w:r>
                        <w:rPr>
                          <w:rFonts w:ascii="ＭＳ ゴシック" w:eastAsia="ＭＳ ゴシック" w:hAnsi="ＭＳ ゴシック" w:hint="eastAsia"/>
                          <w:sz w:val="22"/>
                          <w:szCs w:val="22"/>
                        </w:rPr>
                        <w:t>帰宅</w:t>
                      </w:r>
                    </w:p>
                  </w:txbxContent>
                </v:textbox>
              </v:shape>
            </w:pict>
          </mc:Fallback>
        </mc:AlternateContent>
      </w:r>
    </w:p>
    <w:p w14:paraId="514B6FE8" w14:textId="77777777" w:rsidR="008B4B2B" w:rsidRPr="00E0548A" w:rsidRDefault="008B4B2B" w:rsidP="008B4B2B">
      <w:pPr>
        <w:rPr>
          <w:rFonts w:ascii="ＭＳ ゴシック" w:eastAsia="ＭＳ ゴシック" w:hAnsi="ＭＳ ゴシック"/>
          <w:sz w:val="22"/>
          <w:szCs w:val="22"/>
        </w:rPr>
      </w:pPr>
      <w:r w:rsidRPr="00E0548A">
        <w:rPr>
          <w:rFonts w:ascii="ＭＳ ゴシック" w:eastAsia="ＭＳ ゴシック" w:hAnsi="ＭＳ ゴシック" w:hint="eastAsia"/>
          <w:noProof/>
          <w:sz w:val="22"/>
          <w:szCs w:val="22"/>
        </w:rPr>
        <mc:AlternateContent>
          <mc:Choice Requires="wps">
            <w:drawing>
              <wp:anchor distT="0" distB="0" distL="114300" distR="114300" simplePos="0" relativeHeight="253275136" behindDoc="0" locked="0" layoutInCell="1" allowOverlap="1" wp14:anchorId="416D2A3A" wp14:editId="2C44DE74">
                <wp:simplePos x="0" y="0"/>
                <wp:positionH relativeFrom="column">
                  <wp:posOffset>2514600</wp:posOffset>
                </wp:positionH>
                <wp:positionV relativeFrom="paragraph">
                  <wp:posOffset>0</wp:posOffset>
                </wp:positionV>
                <wp:extent cx="914400" cy="0"/>
                <wp:effectExtent l="19050" t="76200" r="9525" b="76200"/>
                <wp:wrapNone/>
                <wp:docPr id="4065" name="Line 243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914400" cy="0"/>
                        </a:xfrm>
                        <a:prstGeom prst="line">
                          <a:avLst/>
                        </a:prstGeom>
                        <a:noFill/>
                        <a:ln w="19050">
                          <a:solidFill>
                            <a:srgbClr val="000000"/>
                          </a:solidFill>
                          <a:round/>
                          <a:headEnd/>
                          <a:tailEnd type="arrow"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line w14:anchorId="1D937203" id="Line 2433" o:spid="_x0000_s1026" style="position:absolute;left:0;text-align:left;flip:x;z-index:2532751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98pt,0" to="270pt,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" strokeweight="1.5pt">
                <v:stroke endarrow="open"/>
              </v:line>
            </w:pict>
          </mc:Fallback>
        </mc:AlternateContent>
      </w:r>
      <w:r w:rsidRPr="00E0548A">
        <w:rPr>
          <w:rFonts w:ascii="ＭＳ ゴシック" w:eastAsia="ＭＳ ゴシック" w:hAnsi="ＭＳ ゴシック" w:hint="eastAsia"/>
          <w:noProof/>
          <w:sz w:val="22"/>
          <w:szCs w:val="22"/>
        </w:rPr>
        <mc:AlternateContent>
          <mc:Choice Requires="wps">
            <w:drawing>
              <wp:anchor distT="0" distB="0" distL="114300" distR="114300" simplePos="0" relativeHeight="253274112" behindDoc="0" locked="0" layoutInCell="1" allowOverlap="1" wp14:anchorId="6EB0156A" wp14:editId="6916DC48">
                <wp:simplePos x="0" y="0"/>
                <wp:positionH relativeFrom="column">
                  <wp:posOffset>1714500</wp:posOffset>
                </wp:positionH>
                <wp:positionV relativeFrom="paragraph">
                  <wp:posOffset>114300</wp:posOffset>
                </wp:positionV>
                <wp:extent cx="571500" cy="0"/>
                <wp:effectExtent l="9525" t="76200" r="19050" b="76200"/>
                <wp:wrapNone/>
                <wp:docPr id="4064" name="Line 242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71500" cy="0"/>
                        </a:xfrm>
                        <a:prstGeom prst="line">
                          <a:avLst/>
                        </a:prstGeom>
                        <a:noFill/>
                        <a:ln w="19050">
                          <a:solidFill>
                            <a:srgbClr val="000000"/>
                          </a:solidFill>
                          <a:round/>
                          <a:headEnd/>
                          <a:tailEnd type="arrow"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line w14:anchorId="58971436" id="Line 2428" o:spid="_x0000_s1026" style="position:absolute;left:0;text-align:left;z-index:2532741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35pt,9pt" to="180pt,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" strokeweight="1.5pt">
                <v:stroke endarrow="open"/>
              </v:line>
            </w:pict>
          </mc:Fallback>
        </mc:AlternateContent>
      </w:r>
      <w:r w:rsidRPr="00E0548A">
        <w:rPr>
          <w:rFonts w:ascii="ＭＳ ゴシック" w:eastAsia="ＭＳ ゴシック" w:hAnsi="ＭＳ ゴシック" w:hint="eastAsia"/>
          <w:noProof/>
          <w:sz w:val="22"/>
          <w:szCs w:val="22"/>
        </w:rPr>
        <mc:AlternateContent>
          <mc:Choice Requires="wps">
            <w:drawing>
              <wp:anchor distT="0" distB="0" distL="114300" distR="114300" simplePos="0" relativeHeight="253273088" behindDoc="0" locked="0" layoutInCell="1" allowOverlap="1" wp14:anchorId="4C1CC687" wp14:editId="2D0DB5B0">
                <wp:simplePos x="0" y="0"/>
                <wp:positionH relativeFrom="column">
                  <wp:posOffset>2400300</wp:posOffset>
                </wp:positionH>
                <wp:positionV relativeFrom="paragraph">
                  <wp:posOffset>0</wp:posOffset>
                </wp:positionV>
                <wp:extent cx="0" cy="228600"/>
                <wp:effectExtent l="76200" t="9525" r="76200" b="19050"/>
                <wp:wrapNone/>
                <wp:docPr id="2495" name="Line 242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28600"/>
                        </a:xfrm>
                        <a:prstGeom prst="line">
                          <a:avLst/>
                        </a:prstGeom>
                        <a:noFill/>
                        <a:ln w="19050">
                          <a:solidFill>
                            <a:srgbClr val="000000"/>
                          </a:solidFill>
                          <a:round/>
                          <a:headEnd/>
                          <a:tailEnd type="arrow"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line w14:anchorId="57CF3F6A" id="Line 2423" o:spid="_x0000_s1026" style="position:absolute;left:0;text-align:left;z-index:2532730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89pt,0" to="189pt,1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" strokeweight="1.5pt">
                <v:stroke endarrow="open"/>
              </v:line>
            </w:pict>
          </mc:Fallback>
        </mc:AlternateContent>
      </w:r>
      <w:r w:rsidRPr="00E0548A">
        <w:rPr>
          <w:rFonts w:ascii="ＭＳ ゴシック" w:eastAsia="ＭＳ ゴシック" w:hAnsi="ＭＳ ゴシック" w:hint="eastAsia"/>
          <w:noProof/>
          <w:sz w:val="22"/>
          <w:szCs w:val="22"/>
        </w:rPr>
        <mc:AlternateContent>
          <mc:Choice Requires="wps">
            <w:drawing>
              <wp:anchor distT="0" distB="0" distL="114300" distR="114300" simplePos="0" relativeHeight="253272064" behindDoc="0" locked="0" layoutInCell="1" allowOverlap="1" wp14:anchorId="1B99D6A3" wp14:editId="01FFDA43">
                <wp:simplePos x="0" y="0"/>
                <wp:positionH relativeFrom="column">
                  <wp:posOffset>683895</wp:posOffset>
                </wp:positionH>
                <wp:positionV relativeFrom="paragraph">
                  <wp:posOffset>0</wp:posOffset>
                </wp:positionV>
                <wp:extent cx="914400" cy="228600"/>
                <wp:effectExtent l="0" t="0" r="1905" b="0"/>
                <wp:wrapNone/>
                <wp:docPr id="2494" name="Text Box 241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14400" cy="2286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95BFEE6" w14:textId="77777777" w:rsidR="006A5267" w:rsidRPr="009F5DBE" w:rsidRDefault="006A5267" w:rsidP="008B4B2B">
                            <w:pPr>
                              <w:rPr>
                                <w:rFonts w:ascii="ＭＳ ゴシック" w:eastAsia="ＭＳ ゴシック" w:hAnsi="ＭＳ ゴシック"/>
                                <w:sz w:val="20"/>
                                <w:szCs w:val="20"/>
                              </w:rPr>
                            </w:pPr>
                            <w:r>
                              <w:rPr>
                                <w:rFonts w:ascii="ＭＳ ゴシック" w:eastAsia="ＭＳ ゴシック" w:hAnsi="ＭＳ ゴシック" w:hint="eastAsia"/>
                                <w:sz w:val="20"/>
                                <w:szCs w:val="20"/>
                              </w:rPr>
                              <w:t>（避難誘導）</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shape w14:anchorId="1B99D6A3" id="Text Box 2418" o:spid="_x0000_s1394" type="#_x0000_t202" style="position:absolute;left:0;text-align:left;margin-left:53.85pt;margin-top:0;width:1in;height:18pt;z-index:2532720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" filled="f" stroked="f">
                <v:textbox inset="5.85pt,.7pt,5.85pt,.7pt">
                  <w:txbxContent>
                    <w:p w14:paraId="195BFEE6" w14:textId="77777777" w:rsidR="006A5267" w:rsidRPr="009F5DBE" w:rsidRDefault="006A5267" w:rsidP="008B4B2B">
                      <w:pPr>
                        <w:rPr>
                          <w:rFonts w:ascii="ＭＳ ゴシック" w:eastAsia="ＭＳ ゴシック" w:hAnsi="ＭＳ ゴシック"/>
                          <w:sz w:val="20"/>
                          <w:szCs w:val="20"/>
                        </w:rPr>
                      </w:pPr>
                      <w:r>
                        <w:rPr>
                          <w:rFonts w:ascii="ＭＳ ゴシック" w:eastAsia="ＭＳ ゴシック" w:hAnsi="ＭＳ ゴシック" w:hint="eastAsia"/>
                          <w:sz w:val="20"/>
                          <w:szCs w:val="20"/>
                        </w:rPr>
                        <w:t>（避難誘導）</w:t>
                      </w:r>
                    </w:p>
                  </w:txbxContent>
                </v:textbox>
              </v:shape>
            </w:pict>
          </mc:Fallback>
        </mc:AlternateContent>
      </w:r>
    </w:p>
    <w:p w14:paraId="5610F743" w14:textId="77777777" w:rsidR="008B4B2B" w:rsidRPr="00E0548A" w:rsidRDefault="008B4B2B" w:rsidP="008B4B2B">
      <w:pPr>
        <w:rPr>
          <w:rFonts w:ascii="ＭＳ ゴシック" w:eastAsia="ＭＳ ゴシック" w:hAnsi="ＭＳ ゴシック"/>
          <w:sz w:val="22"/>
          <w:szCs w:val="22"/>
        </w:rPr>
      </w:pPr>
      <w:r w:rsidRPr="00E0548A">
        <w:rPr>
          <w:rFonts w:ascii="ＭＳ ゴシック" w:eastAsia="ＭＳ ゴシック" w:hAnsi="ＭＳ ゴシック" w:hint="eastAsia"/>
          <w:noProof/>
          <w:sz w:val="22"/>
          <w:szCs w:val="22"/>
        </w:rPr>
        <mc:AlternateContent>
          <mc:Choice Requires="wps">
            <w:drawing>
              <wp:anchor distT="0" distB="0" distL="114300" distR="114300" simplePos="0" relativeHeight="253237248" behindDoc="0" locked="0" layoutInCell="1" allowOverlap="1" wp14:anchorId="63AF3806" wp14:editId="4F64EE17">
                <wp:simplePos x="0" y="0"/>
                <wp:positionH relativeFrom="column">
                  <wp:posOffset>2514600</wp:posOffset>
                </wp:positionH>
                <wp:positionV relativeFrom="paragraph">
                  <wp:posOffset>0</wp:posOffset>
                </wp:positionV>
                <wp:extent cx="1143000" cy="0"/>
                <wp:effectExtent l="19050" t="76200" r="9525" b="76200"/>
                <wp:wrapNone/>
                <wp:docPr id="2492" name="Line 243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1143000" cy="0"/>
                        </a:xfrm>
                        <a:prstGeom prst="line">
                          <a:avLst/>
                        </a:prstGeom>
                        <a:noFill/>
                        <a:ln w="19050">
                          <a:solidFill>
                            <a:srgbClr val="000000"/>
                          </a:solidFill>
                          <a:round/>
                          <a:headEnd/>
                          <a:tailEnd type="arrow"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line w14:anchorId="769E305A" id="Line 2436" o:spid="_x0000_s1026" style="position:absolute;left:0;text-align:left;flip:x;z-index:2532372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98pt,0" to="4in,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" strokeweight="1.5pt">
                <v:stroke endarrow="open"/>
              </v:line>
            </w:pict>
          </mc:Fallback>
        </mc:AlternateContent>
      </w:r>
      <w:r w:rsidRPr="00E0548A">
        <w:rPr>
          <w:rFonts w:ascii="ＭＳ ゴシック" w:eastAsia="ＭＳ ゴシック" w:hAnsi="ＭＳ ゴシック" w:hint="eastAsia"/>
          <w:noProof/>
          <w:sz w:val="22"/>
          <w:szCs w:val="22"/>
        </w:rPr>
        <mc:AlternateContent>
          <mc:Choice Requires="wps">
            <w:drawing>
              <wp:anchor distT="0" distB="0" distL="114300" distR="114300" simplePos="0" relativeHeight="253217792" behindDoc="0" locked="0" layoutInCell="1" allowOverlap="1" wp14:anchorId="62BC4662" wp14:editId="6E0ED992">
                <wp:simplePos x="0" y="0"/>
                <wp:positionH relativeFrom="column">
                  <wp:posOffset>800100</wp:posOffset>
                </wp:positionH>
                <wp:positionV relativeFrom="paragraph">
                  <wp:posOffset>114300</wp:posOffset>
                </wp:positionV>
                <wp:extent cx="2971800" cy="342900"/>
                <wp:effectExtent l="9525" t="9525" r="9525" b="9525"/>
                <wp:wrapNone/>
                <wp:docPr id="2491" name="AutoShape 241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971800" cy="342900"/>
                        </a:xfrm>
                        <a:prstGeom prst="roundRect">
                          <a:avLst>
                            <a:gd name="adj" fmla="val 16667"/>
                          </a:avLst>
                        </a:prstGeom>
                        <a:solidFill>
                          <a:srgbClr val="FFFFFF"/>
                        </a:solidFill>
                        <a:ln w="9525">
                          <a:solidFill>
                            <a:srgbClr val="000000"/>
                          </a:solidFill>
                          <a:round/>
                          <a:headEnd/>
                          <a:tailEnd/>
                        </a:ln>
                      </wps:spPr>
                      <wps:txbx>
                        <w:txbxContent>
                          <w:p w14:paraId="5280E400" w14:textId="77777777" w:rsidR="006A5267" w:rsidRPr="00907710" w:rsidRDefault="006A5267" w:rsidP="008B4B2B">
                            <w:pPr>
                              <w:jc w:val="center"/>
                              <w:rPr>
                                <w:rFonts w:ascii="ＭＳ ゴシック" w:eastAsia="ＭＳ ゴシック" w:hAnsi="ＭＳ ゴシック"/>
                                <w:sz w:val="22"/>
                                <w:szCs w:val="22"/>
                              </w:rPr>
                            </w:pPr>
                            <w:r w:rsidRPr="00123AA1">
                              <w:rPr>
                                <w:rFonts w:ascii="ＭＳ ゴシック" w:eastAsia="ＭＳ ゴシック" w:hAnsi="ＭＳ ゴシック" w:hint="eastAsia"/>
                                <w:sz w:val="22"/>
                                <w:szCs w:val="22"/>
                              </w:rPr>
                              <w:t>指 定 避 難 所 へ</w:t>
                            </w:r>
                            <w:r>
                              <w:rPr>
                                <w:rFonts w:ascii="ＭＳ ゴシック" w:eastAsia="ＭＳ ゴシック" w:hAnsi="ＭＳ ゴシック" w:hint="eastAsia"/>
                                <w:sz w:val="22"/>
                                <w:szCs w:val="22"/>
                              </w:rPr>
                              <w:t xml:space="preserve"> 避 難</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roundrect w14:anchorId="62BC4662" id="AutoShape 2411" o:spid="_x0000_s1395" style="position:absolute;left:0;text-align:left;margin-left:63pt;margin-top:9pt;width:234pt;height:27pt;z-index:253217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">
                <v:textbox inset="5.85pt,.7pt,5.85pt,.7pt">
                  <w:txbxContent>
                    <w:p w14:paraId="5280E400" w14:textId="77777777" w:rsidR="006A5267" w:rsidRPr="00907710" w:rsidRDefault="006A5267" w:rsidP="008B4B2B">
                      <w:pPr>
                        <w:jc w:val="center"/>
                        <w:rPr>
                          <w:rFonts w:ascii="ＭＳ ゴシック" w:eastAsia="ＭＳ ゴシック" w:hAnsi="ＭＳ ゴシック"/>
                          <w:sz w:val="22"/>
                          <w:szCs w:val="22"/>
                        </w:rPr>
                      </w:pPr>
                      <w:r w:rsidRPr="00123AA1">
                        <w:rPr>
                          <w:rFonts w:ascii="ＭＳ ゴシック" w:eastAsia="ＭＳ ゴシック" w:hAnsi="ＭＳ ゴシック" w:hint="eastAsia"/>
                          <w:sz w:val="22"/>
                          <w:szCs w:val="22"/>
                        </w:rPr>
                        <w:t>指 定 避 難 所 へ</w:t>
                      </w:r>
                      <w:r>
                        <w:rPr>
                          <w:rFonts w:ascii="ＭＳ ゴシック" w:eastAsia="ＭＳ ゴシック" w:hAnsi="ＭＳ ゴシック" w:hint="eastAsia"/>
                          <w:sz w:val="22"/>
                          <w:szCs w:val="22"/>
                        </w:rPr>
                        <w:t xml:space="preserve"> 避 難</w:t>
                      </w:r>
                    </w:p>
                  </w:txbxContent>
                </v:textbox>
              </v:roundrect>
            </w:pict>
          </mc:Fallback>
        </mc:AlternateContent>
      </w:r>
    </w:p>
    <w:p w14:paraId="63EAB954" w14:textId="77777777" w:rsidR="008B4B2B" w:rsidRPr="00E0548A" w:rsidRDefault="008B4B2B" w:rsidP="008B4B2B">
      <w:r w:rsidRPr="00E0548A">
        <w:rPr>
          <w:rFonts w:ascii="ＭＳ ゴシック" w:eastAsia="ＭＳ ゴシック" w:hAnsi="ＭＳ ゴシック" w:hint="eastAsia"/>
          <w:noProof/>
        </w:rPr>
        <mc:AlternateContent>
          <mc:Choice Requires="wps">
            <w:drawing>
              <wp:anchor distT="0" distB="0" distL="114300" distR="114300" simplePos="0" relativeHeight="253228032" behindDoc="0" locked="0" layoutInCell="1" allowOverlap="1" wp14:anchorId="4C512090" wp14:editId="4ABDB87D">
                <wp:simplePos x="0" y="0"/>
                <wp:positionH relativeFrom="column">
                  <wp:posOffset>4686300</wp:posOffset>
                </wp:positionH>
                <wp:positionV relativeFrom="paragraph">
                  <wp:posOffset>0</wp:posOffset>
                </wp:positionV>
                <wp:extent cx="342900" cy="0"/>
                <wp:effectExtent l="9525" t="76200" r="19050" b="76200"/>
                <wp:wrapNone/>
                <wp:docPr id="2490" name="Line 242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2900" cy="0"/>
                        </a:xfrm>
                        <a:prstGeom prst="line">
                          <a:avLst/>
                        </a:prstGeom>
                        <a:noFill/>
                        <a:ln w="19050">
                          <a:solidFill>
                            <a:srgbClr val="000000"/>
                          </a:solidFill>
                          <a:round/>
                          <a:headEnd/>
                          <a:tailEnd type="arrow"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line w14:anchorId="3E411CB3" id="Line 2425" o:spid="_x0000_s1026" style="position:absolute;left:0;text-align:left;z-index:2532280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69pt,0" to="396pt,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" strokeweight="1.5pt">
                <v:stroke endarrow="open"/>
              </v:line>
            </w:pict>
          </mc:Fallback>
        </mc:AlternateContent>
      </w:r>
      <w:r w:rsidRPr="00E0548A">
        <w:rPr>
          <w:rFonts w:ascii="ＭＳ ゴシック" w:eastAsia="ＭＳ ゴシック" w:hAnsi="ＭＳ ゴシック" w:hint="eastAsia"/>
          <w:noProof/>
        </w:rPr>
        <mc:AlternateContent>
          <mc:Choice Requires="wps">
            <w:drawing>
              <wp:anchor distT="0" distB="0" distL="114300" distR="114300" simplePos="0" relativeHeight="253227008" behindDoc="0" locked="0" layoutInCell="1" allowOverlap="1" wp14:anchorId="45B32363" wp14:editId="6B5B7663">
                <wp:simplePos x="0" y="0"/>
                <wp:positionH relativeFrom="column">
                  <wp:posOffset>3886200</wp:posOffset>
                </wp:positionH>
                <wp:positionV relativeFrom="paragraph">
                  <wp:posOffset>0</wp:posOffset>
                </wp:positionV>
                <wp:extent cx="228600" cy="0"/>
                <wp:effectExtent l="9525" t="76200" r="19050" b="76200"/>
                <wp:wrapNone/>
                <wp:docPr id="2489" name="Line 242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28600" cy="0"/>
                        </a:xfrm>
                        <a:prstGeom prst="line">
                          <a:avLst/>
                        </a:prstGeom>
                        <a:noFill/>
                        <a:ln w="19050">
                          <a:solidFill>
                            <a:srgbClr val="000000"/>
                          </a:solidFill>
                          <a:round/>
                          <a:headEnd/>
                          <a:tailEnd type="arrow"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line w14:anchorId="15E87B28" id="Line 2424" o:spid="_x0000_s1026" style="position:absolute;left:0;text-align:left;z-index:2532270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06pt,0" to="324pt,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" strokeweight="1.5pt">
                <v:stroke endarrow="open"/>
              </v:line>
            </w:pict>
          </mc:Fallback>
        </mc:AlternateContent>
      </w:r>
    </w:p>
    <w:p w14:paraId="3ED4AC40" w14:textId="77777777" w:rsidR="008B4B2B" w:rsidRPr="00E0548A" w:rsidRDefault="008B4B2B" w:rsidP="008B4B2B"/>
    <w:p w14:paraId="7FE0D9D4" w14:textId="77777777" w:rsidR="008B4B2B" w:rsidRPr="00E0548A" w:rsidRDefault="008B4B2B" w:rsidP="008B4B2B"/>
    <w:p w14:paraId="70119E43" w14:textId="6DDA5C29" w:rsidR="000923FC" w:rsidRPr="00E0548A" w:rsidRDefault="008B4B2B" w:rsidP="008B4B2B">
      <w:pPr>
        <w:ind w:leftChars="400" w:left="844" w:firstLineChars="100" w:firstLine="221"/>
        <w:rPr>
          <w:rFonts w:ascii="ＭＳ 明朝" w:hAnsi="ＭＳ 明朝"/>
          <w:sz w:val="22"/>
          <w:szCs w:val="22"/>
        </w:rPr>
      </w:pPr>
      <w:r w:rsidRPr="00E0548A">
        <w:rPr>
          <w:rFonts w:ascii="ＭＳ 明朝" w:hAnsi="ＭＳ 明朝" w:hint="eastAsia"/>
          <w:sz w:val="22"/>
          <w:szCs w:val="22"/>
        </w:rPr>
        <w:t>災害等の関係法令により、知事又はその命を受けた職員の行う避難の指示並びに市町村長等が行う避難の指示</w:t>
      </w:r>
      <w:r w:rsidR="009B5738" w:rsidRPr="00E0548A">
        <w:rPr>
          <w:rFonts w:ascii="ＭＳ 明朝" w:hAnsi="ＭＳ 明朝" w:hint="eastAsia"/>
          <w:sz w:val="22"/>
          <w:szCs w:val="22"/>
        </w:rPr>
        <w:t>等</w:t>
      </w:r>
      <w:r w:rsidRPr="00E0548A">
        <w:rPr>
          <w:rFonts w:ascii="ＭＳ 明朝" w:hAnsi="ＭＳ 明朝" w:hint="eastAsia"/>
          <w:sz w:val="22"/>
          <w:szCs w:val="22"/>
        </w:rPr>
        <w:t>に関する報告の受信、避難にかかる移送の応援については、次のとおり行う。</w:t>
      </w:r>
    </w:p>
    <w:p w14:paraId="6D0E73A6" w14:textId="77777777" w:rsidR="000923FC" w:rsidRPr="00E0548A" w:rsidRDefault="000923FC">
      <w:pPr>
        <w:widowControl/>
        <w:jc w:val="left"/>
        <w:rPr>
          <w:rFonts w:ascii="ＭＳ 明朝" w:hAnsi="ＭＳ 明朝"/>
          <w:sz w:val="22"/>
          <w:szCs w:val="22"/>
        </w:rPr>
      </w:pPr>
      <w:r w:rsidRPr="00E0548A">
        <w:rPr>
          <w:rFonts w:ascii="ＭＳ 明朝" w:hAnsi="ＭＳ 明朝"/>
          <w:sz w:val="22"/>
          <w:szCs w:val="22"/>
        </w:rPr>
        <w:br w:type="page"/>
      </w:r>
    </w:p>
    <w:p w14:paraId="6EF1611B" w14:textId="0EC2E619" w:rsidR="008B4B2B" w:rsidRPr="00E0548A" w:rsidRDefault="008B4B2B" w:rsidP="00E0548A">
      <w:pPr>
        <w:pStyle w:val="3"/>
        <w:ind w:firstLineChars="0" w:firstLine="0"/>
      </w:pPr>
      <w:bookmarkStart w:id="285" w:name="_Toc122436939"/>
      <w:bookmarkStart w:id="286" w:name="_Toc222486628"/>
      <w:bookmarkStart w:id="287" w:name="_Toc242870298"/>
      <w:r w:rsidRPr="00E0548A">
        <w:rPr>
          <w:rFonts w:hint="eastAsia"/>
        </w:rPr>
        <w:lastRenderedPageBreak/>
        <w:t>第１　避難誘導</w:t>
      </w:r>
      <w:r w:rsidRPr="00E0548A">
        <w:rPr>
          <w:rFonts w:hint="eastAsia"/>
          <w:shd w:val="pct15" w:color="auto" w:fill="FFFFFF"/>
        </w:rPr>
        <w:t>【第０～１フェーズ～】</w:t>
      </w:r>
      <w:bookmarkEnd w:id="285"/>
      <w:bookmarkEnd w:id="286"/>
      <w:bookmarkEnd w:id="287"/>
    </w:p>
    <w:p w14:paraId="3D2730E2" w14:textId="77777777" w:rsidR="008B4B2B" w:rsidRPr="00E0548A" w:rsidRDefault="008B4B2B" w:rsidP="008B4B2B">
      <w:pPr>
        <w:pStyle w:val="a0"/>
        <w:ind w:firstLineChars="500" w:firstLine="1105"/>
        <w:rPr>
          <w:rFonts w:ascii="ＭＳ ゴシック" w:eastAsia="ＭＳ ゴシック" w:hAnsi="ＭＳ ゴシック"/>
          <w:sz w:val="22"/>
          <w:szCs w:val="22"/>
          <w:bdr w:val="single" w:sz="4" w:space="0" w:color="auto"/>
        </w:rPr>
      </w:pPr>
      <w:r w:rsidRPr="00E0548A">
        <w:rPr>
          <w:rFonts w:ascii="ＭＳ ゴシック" w:eastAsia="ＭＳ ゴシック" w:hAnsi="ＭＳ ゴシック" w:hint="eastAsia"/>
          <w:sz w:val="22"/>
          <w:szCs w:val="22"/>
          <w:bdr w:val="single" w:sz="4" w:space="0" w:color="auto"/>
        </w:rPr>
        <w:t>主たる担当：危機管理室、環境農林水産部関係室・課、河川室、大阪港湾局</w:t>
      </w:r>
    </w:p>
    <w:p w14:paraId="238B337B" w14:textId="21E681D5" w:rsidR="008B4B2B" w:rsidRPr="00E0548A" w:rsidRDefault="008B4B2B" w:rsidP="008B4B2B">
      <w:pPr>
        <w:pStyle w:val="a0"/>
        <w:rPr>
          <w:rFonts w:ascii="ＭＳ ゴシック" w:eastAsia="ＭＳ ゴシック" w:hAnsi="ＭＳ ゴシック"/>
          <w:sz w:val="22"/>
          <w:szCs w:val="22"/>
          <w:u w:val="single"/>
        </w:rPr>
      </w:pPr>
      <w:r w:rsidRPr="00E0548A">
        <w:rPr>
          <w:rFonts w:hint="eastAsia"/>
          <w:sz w:val="22"/>
          <w:szCs w:val="22"/>
        </w:rPr>
        <w:t xml:space="preserve">　　　</w:t>
      </w:r>
      <w:r w:rsidRPr="00E0548A">
        <w:rPr>
          <w:rFonts w:ascii="ＭＳ ゴシック" w:eastAsia="ＭＳ ゴシック" w:hAnsi="ＭＳ ゴシック" w:hint="eastAsia"/>
          <w:sz w:val="22"/>
          <w:szCs w:val="22"/>
          <w:u w:val="single"/>
        </w:rPr>
        <w:t>１　避難の指示</w:t>
      </w:r>
    </w:p>
    <w:p w14:paraId="230F87FF" w14:textId="77777777" w:rsidR="008E531C" w:rsidRPr="00E0548A" w:rsidRDefault="008E531C" w:rsidP="008B4B2B">
      <w:pPr>
        <w:pStyle w:val="a0"/>
        <w:rPr>
          <w:rFonts w:ascii="ＭＳ ゴシック" w:eastAsia="ＭＳ ゴシック" w:hAnsi="ＭＳ ゴシック"/>
          <w:sz w:val="22"/>
          <w:szCs w:val="22"/>
          <w:u w:val="single"/>
          <w:shd w:val="pct15" w:color="auto" w:fill="FFFFFF"/>
        </w:rPr>
      </w:pPr>
    </w:p>
    <w:p w14:paraId="2E42C64F" w14:textId="77777777" w:rsidR="008B4B2B" w:rsidRPr="00E0548A" w:rsidRDefault="008B4B2B" w:rsidP="008B4B2B">
      <w:pPr>
        <w:pStyle w:val="a0"/>
        <w:rPr>
          <w:rFonts w:hAnsi="ＭＳ 明朝"/>
          <w:sz w:val="22"/>
          <w:szCs w:val="22"/>
        </w:rPr>
      </w:pPr>
      <w:r w:rsidRPr="00E0548A">
        <w:rPr>
          <w:rFonts w:hAnsi="ＭＳ 明朝" w:hint="eastAsia"/>
          <w:sz w:val="22"/>
          <w:szCs w:val="22"/>
        </w:rPr>
        <w:t xml:space="preserve">　　　　(1)　水防法第２９条の規定に基づく避難の指示</w:t>
      </w:r>
    </w:p>
    <w:p w14:paraId="52BE8942" w14:textId="77777777" w:rsidR="008B4B2B" w:rsidRPr="00E0548A" w:rsidRDefault="008B4B2B" w:rsidP="008B4B2B">
      <w:pPr>
        <w:pStyle w:val="a0"/>
        <w:ind w:leftChars="578" w:left="1220" w:firstLineChars="100" w:firstLine="221"/>
        <w:rPr>
          <w:rFonts w:hAnsi="ＭＳ 明朝"/>
          <w:sz w:val="22"/>
          <w:szCs w:val="22"/>
        </w:rPr>
      </w:pPr>
      <w:r w:rsidRPr="00E0548A">
        <w:rPr>
          <w:rFonts w:hAnsi="ＭＳ 明朝" w:hint="eastAsia"/>
          <w:sz w:val="22"/>
          <w:szCs w:val="22"/>
        </w:rPr>
        <w:t>大阪府水防本部は、洪水、津波又は高潮により著しい危険が切迫していると認められるときは、必要と認める地域の居住者に対し、避難のための立退きを指示する。</w:t>
      </w:r>
    </w:p>
    <w:p w14:paraId="72A48A88" w14:textId="25E0FD48" w:rsidR="008B4B2B" w:rsidRPr="00E0548A" w:rsidRDefault="008B4B2B" w:rsidP="008B4B2B">
      <w:pPr>
        <w:pStyle w:val="a0"/>
        <w:ind w:left="1216" w:hangingChars="550" w:hanging="1216"/>
        <w:rPr>
          <w:rFonts w:hAnsi="ＭＳ 明朝"/>
          <w:sz w:val="22"/>
          <w:szCs w:val="22"/>
        </w:rPr>
      </w:pPr>
      <w:r w:rsidRPr="00E0548A">
        <w:rPr>
          <w:rFonts w:hAnsi="ＭＳ 明朝" w:hint="eastAsia"/>
          <w:sz w:val="22"/>
          <w:szCs w:val="22"/>
        </w:rPr>
        <w:t xml:space="preserve">　　　　　　 この場合において、担当課長等は、関係市町村長、府警察、消防機関、水防機関と連絡協議するものとする。</w:t>
      </w:r>
    </w:p>
    <w:p w14:paraId="43617D1C" w14:textId="77777777" w:rsidR="008E531C" w:rsidRPr="00E0548A" w:rsidRDefault="008E531C" w:rsidP="008B4B2B">
      <w:pPr>
        <w:pStyle w:val="a0"/>
        <w:ind w:left="1216" w:hangingChars="550" w:hanging="1216"/>
        <w:rPr>
          <w:rFonts w:hAnsi="ＭＳ 明朝"/>
          <w:sz w:val="22"/>
          <w:szCs w:val="22"/>
        </w:rPr>
      </w:pPr>
    </w:p>
    <w:p w14:paraId="5AD72AC9" w14:textId="77777777" w:rsidR="008B4B2B" w:rsidRPr="00E0548A" w:rsidRDefault="008B4B2B" w:rsidP="008B4B2B">
      <w:pPr>
        <w:pStyle w:val="a0"/>
        <w:rPr>
          <w:rFonts w:hAnsi="ＭＳ 明朝"/>
          <w:sz w:val="22"/>
          <w:szCs w:val="22"/>
        </w:rPr>
      </w:pPr>
      <w:r w:rsidRPr="00E0548A">
        <w:rPr>
          <w:rFonts w:hAnsi="ＭＳ 明朝" w:hint="eastAsia"/>
          <w:sz w:val="22"/>
          <w:szCs w:val="22"/>
        </w:rPr>
        <w:t xml:space="preserve">　　　　(2)　地すべり等防止法第２５条の規定に基づく避難の指示</w:t>
      </w:r>
    </w:p>
    <w:p w14:paraId="0B913671" w14:textId="77777777" w:rsidR="008B4B2B" w:rsidRPr="00E0548A" w:rsidRDefault="008B4B2B" w:rsidP="008B4B2B">
      <w:pPr>
        <w:pStyle w:val="a0"/>
        <w:ind w:leftChars="210" w:left="1217" w:hangingChars="350" w:hanging="774"/>
        <w:rPr>
          <w:rFonts w:hAnsi="ＭＳ 明朝"/>
          <w:sz w:val="22"/>
          <w:szCs w:val="22"/>
        </w:rPr>
      </w:pPr>
      <w:r w:rsidRPr="00E0548A">
        <w:rPr>
          <w:rFonts w:hAnsi="ＭＳ 明朝" w:hint="eastAsia"/>
          <w:sz w:val="22"/>
          <w:szCs w:val="22"/>
        </w:rPr>
        <w:t xml:space="preserve">　　　 　森づくり課長、河川環境課長は、地すべりにより著しい危険が切迫していると認められるときは、必要と認める地域の居住者に対し避難のための立退きを指示する。</w:t>
      </w:r>
    </w:p>
    <w:p w14:paraId="5CE24339" w14:textId="0E097FBB" w:rsidR="008B4B2B" w:rsidRPr="00E0548A" w:rsidRDefault="008B4B2B" w:rsidP="008B4B2B">
      <w:pPr>
        <w:pStyle w:val="a0"/>
        <w:ind w:left="1216" w:hangingChars="550" w:hanging="1216"/>
        <w:rPr>
          <w:rFonts w:hAnsi="ＭＳ 明朝"/>
          <w:sz w:val="22"/>
          <w:szCs w:val="22"/>
        </w:rPr>
      </w:pPr>
      <w:r w:rsidRPr="00E0548A">
        <w:rPr>
          <w:rFonts w:hAnsi="ＭＳ 明朝" w:hint="eastAsia"/>
          <w:sz w:val="22"/>
          <w:szCs w:val="22"/>
        </w:rPr>
        <w:t xml:space="preserve">　　　　 　　この場合において担当課長は、関係市町村長、府警察、消防機関と連絡協議するものとする。</w:t>
      </w:r>
    </w:p>
    <w:p w14:paraId="1D75D345" w14:textId="77777777" w:rsidR="008E531C" w:rsidRPr="00E0548A" w:rsidRDefault="008E531C" w:rsidP="008B4B2B">
      <w:pPr>
        <w:pStyle w:val="a0"/>
        <w:ind w:left="1216" w:hangingChars="550" w:hanging="1216"/>
        <w:rPr>
          <w:rFonts w:hAnsi="ＭＳ 明朝"/>
          <w:sz w:val="22"/>
          <w:szCs w:val="22"/>
        </w:rPr>
      </w:pPr>
    </w:p>
    <w:p w14:paraId="16BCC5F0" w14:textId="77777777" w:rsidR="008B4B2B" w:rsidRPr="0011172B" w:rsidRDefault="008B4B2B" w:rsidP="008B4B2B">
      <w:pPr>
        <w:pStyle w:val="a0"/>
        <w:ind w:left="1216" w:hangingChars="550" w:hanging="1216"/>
        <w:rPr>
          <w:rFonts w:hAnsi="ＭＳ 明朝"/>
          <w:sz w:val="22"/>
          <w:szCs w:val="22"/>
        </w:rPr>
      </w:pPr>
      <w:r w:rsidRPr="00E0548A">
        <w:rPr>
          <w:rFonts w:hAnsi="ＭＳ 明朝" w:hint="eastAsia"/>
          <w:sz w:val="22"/>
          <w:szCs w:val="22"/>
        </w:rPr>
        <w:t xml:space="preserve">　　　　</w:t>
      </w:r>
      <w:r w:rsidRPr="0011172B">
        <w:rPr>
          <w:rFonts w:hAnsi="ＭＳ 明朝"/>
          <w:sz w:val="22"/>
          <w:szCs w:val="22"/>
        </w:rPr>
        <w:t>(3)　洪水、土砂災害による避難の指示</w:t>
      </w:r>
    </w:p>
    <w:p w14:paraId="63023D9C" w14:textId="4509252C" w:rsidR="008B4B2B" w:rsidRPr="0011172B" w:rsidRDefault="008B4B2B" w:rsidP="00D54057">
      <w:pPr>
        <w:pStyle w:val="a0"/>
        <w:ind w:left="1216" w:hangingChars="550" w:hanging="1216"/>
        <w:rPr>
          <w:rFonts w:hAnsi="ＭＳ 明朝"/>
          <w:sz w:val="22"/>
          <w:szCs w:val="22"/>
        </w:rPr>
      </w:pPr>
      <w:r w:rsidRPr="0011172B">
        <w:rPr>
          <w:rFonts w:hAnsi="ＭＳ 明朝" w:hint="eastAsia"/>
          <w:sz w:val="22"/>
          <w:szCs w:val="22"/>
        </w:rPr>
        <w:t xml:space="preserve">　　　　　　　大阪府水防本部は、</w:t>
      </w:r>
      <w:r w:rsidR="00D54057" w:rsidRPr="0011172B">
        <w:rPr>
          <w:rFonts w:hAnsi="ＭＳ 明朝" w:hint="eastAsia"/>
          <w:sz w:val="22"/>
          <w:szCs w:val="22"/>
        </w:rPr>
        <w:t>洪水予報河川（</w:t>
      </w:r>
      <w:r w:rsidR="00D54057" w:rsidRPr="0011172B">
        <w:rPr>
          <w:rFonts w:hAnsi="ＭＳ 明朝"/>
          <w:sz w:val="22"/>
          <w:szCs w:val="22"/>
        </w:rPr>
        <w:t>13河川）はレベル２氾濫注意情報以上の場合、水位周知河川（26河川）はレベル３氾濫警戒情報以上の場合に</w:t>
      </w:r>
      <w:r w:rsidR="00D54057" w:rsidRPr="0011172B">
        <w:rPr>
          <w:rFonts w:hAnsi="ＭＳ 明朝" w:hint="eastAsia"/>
          <w:sz w:val="22"/>
          <w:szCs w:val="22"/>
        </w:rPr>
        <w:t>、</w:t>
      </w:r>
      <w:r w:rsidRPr="0011172B">
        <w:rPr>
          <w:rFonts w:hAnsi="ＭＳ 明朝"/>
          <w:sz w:val="22"/>
          <w:szCs w:val="22"/>
        </w:rPr>
        <w:t>水防管理者及び関係機関にその旨を通知</w:t>
      </w:r>
      <w:r w:rsidR="00D54057" w:rsidRPr="0011172B">
        <w:rPr>
          <w:rFonts w:hAnsi="ＭＳ 明朝" w:hint="eastAsia"/>
          <w:sz w:val="22"/>
          <w:szCs w:val="22"/>
        </w:rPr>
        <w:t>する。</w:t>
      </w:r>
    </w:p>
    <w:p w14:paraId="5F187764" w14:textId="636491DE" w:rsidR="00D54057" w:rsidRPr="0011172B" w:rsidRDefault="008B4B2B" w:rsidP="008B4B2B">
      <w:pPr>
        <w:pStyle w:val="a0"/>
        <w:ind w:left="1216" w:hangingChars="550" w:hanging="1216"/>
        <w:rPr>
          <w:rFonts w:hAnsi="ＭＳ 明朝"/>
          <w:sz w:val="22"/>
          <w:szCs w:val="22"/>
        </w:rPr>
      </w:pPr>
      <w:r w:rsidRPr="0011172B">
        <w:rPr>
          <w:rFonts w:hAnsi="ＭＳ 明朝" w:hint="eastAsia"/>
          <w:sz w:val="22"/>
          <w:szCs w:val="22"/>
        </w:rPr>
        <w:t xml:space="preserve">　　　　　</w:t>
      </w:r>
      <w:r w:rsidR="00D54057" w:rsidRPr="0011172B">
        <w:rPr>
          <w:rFonts w:hAnsi="ＭＳ 明朝" w:hint="eastAsia"/>
          <w:sz w:val="22"/>
          <w:szCs w:val="22"/>
        </w:rPr>
        <w:t xml:space="preserve">　また、</w:t>
      </w:r>
      <w:r w:rsidRPr="0011172B">
        <w:rPr>
          <w:rFonts w:hAnsi="ＭＳ 明朝" w:hint="eastAsia"/>
          <w:sz w:val="22"/>
          <w:szCs w:val="22"/>
        </w:rPr>
        <w:t>大阪府水防本部は、</w:t>
      </w:r>
      <w:r w:rsidR="00D54057" w:rsidRPr="0011172B">
        <w:rPr>
          <w:rFonts w:hAnsi="ＭＳ 明朝"/>
          <w:sz w:val="22"/>
          <w:szCs w:val="22"/>
        </w:rPr>
        <w:t>レベル２土砂災害注意報、レベル３土砂災害警報</w:t>
      </w:r>
      <w:r w:rsidRPr="0011172B">
        <w:rPr>
          <w:rFonts w:hAnsi="ＭＳ 明朝" w:hint="eastAsia"/>
          <w:sz w:val="22"/>
          <w:szCs w:val="22"/>
        </w:rPr>
        <w:t>が発表されている状況で、土砂災害発生の危険度がさらに高まったときに「</w:t>
      </w:r>
      <w:r w:rsidR="00D54057" w:rsidRPr="0011172B">
        <w:rPr>
          <w:rFonts w:hAnsi="ＭＳ 明朝"/>
          <w:sz w:val="22"/>
          <w:szCs w:val="22"/>
        </w:rPr>
        <w:t>レベル４土砂災害危険警報</w:t>
      </w:r>
      <w:r w:rsidRPr="0011172B">
        <w:rPr>
          <w:rFonts w:hAnsi="ＭＳ 明朝" w:hint="eastAsia"/>
          <w:sz w:val="22"/>
          <w:szCs w:val="22"/>
        </w:rPr>
        <w:t>」を大阪管区気象台と共同で発表</w:t>
      </w:r>
      <w:r w:rsidR="00D54057" w:rsidRPr="0011172B">
        <w:rPr>
          <w:rFonts w:hAnsi="ＭＳ 明朝" w:hint="eastAsia"/>
          <w:sz w:val="22"/>
          <w:szCs w:val="22"/>
        </w:rPr>
        <w:t>する。</w:t>
      </w:r>
    </w:p>
    <w:p w14:paraId="6B7FDEFC" w14:textId="243CD6E1" w:rsidR="00D54057" w:rsidRPr="0011172B" w:rsidRDefault="00D54057" w:rsidP="00D54057">
      <w:pPr>
        <w:pStyle w:val="a0"/>
        <w:ind w:leftChars="500" w:left="1055" w:firstLineChars="100" w:firstLine="221"/>
        <w:rPr>
          <w:rFonts w:hAnsi="ＭＳ 明朝"/>
          <w:sz w:val="22"/>
          <w:szCs w:val="22"/>
        </w:rPr>
      </w:pPr>
      <w:r w:rsidRPr="0011172B">
        <w:rPr>
          <w:rFonts w:hAnsi="ＭＳ 明朝"/>
          <w:sz w:val="22"/>
          <w:szCs w:val="22"/>
        </w:rPr>
        <w:t>上記の通知や発表を踏まえ、</w:t>
      </w:r>
      <w:r w:rsidR="008B4B2B" w:rsidRPr="0011172B">
        <w:rPr>
          <w:rFonts w:hAnsi="ＭＳ 明朝" w:hint="eastAsia"/>
          <w:sz w:val="22"/>
          <w:szCs w:val="22"/>
        </w:rPr>
        <w:t>市町村は、</w:t>
      </w:r>
      <w:r w:rsidRPr="0011172B">
        <w:rPr>
          <w:rFonts w:hAnsi="ＭＳ 明朝"/>
          <w:sz w:val="22"/>
          <w:szCs w:val="22"/>
        </w:rPr>
        <w:t>「高齢者避難」、「避難指示」、「緊急安</w:t>
      </w:r>
      <w:r w:rsidRPr="0011172B">
        <w:rPr>
          <w:rFonts w:hAnsi="ＭＳ 明朝" w:hint="eastAsia"/>
          <w:sz w:val="22"/>
          <w:szCs w:val="22"/>
        </w:rPr>
        <w:t xml:space="preserve">　</w:t>
      </w:r>
    </w:p>
    <w:p w14:paraId="68027711" w14:textId="17C1DD82" w:rsidR="008B4B2B" w:rsidRPr="00493643" w:rsidRDefault="00D54057" w:rsidP="00493643">
      <w:pPr>
        <w:pStyle w:val="a0"/>
        <w:ind w:leftChars="500" w:left="1055" w:firstLineChars="100" w:firstLine="221"/>
        <w:rPr>
          <w:rFonts w:hAnsi="ＭＳ 明朝"/>
          <w:sz w:val="22"/>
          <w:szCs w:val="22"/>
          <w:highlight w:val="yellow"/>
        </w:rPr>
      </w:pPr>
      <w:r w:rsidRPr="0011172B">
        <w:rPr>
          <w:rFonts w:hAnsi="ＭＳ 明朝"/>
          <w:sz w:val="22"/>
          <w:szCs w:val="22"/>
        </w:rPr>
        <w:t>全確保」</w:t>
      </w:r>
      <w:r w:rsidR="00D402A8" w:rsidRPr="0011172B">
        <w:rPr>
          <w:rFonts w:hAnsi="ＭＳ 明朝" w:hint="eastAsia"/>
          <w:sz w:val="22"/>
          <w:szCs w:val="22"/>
        </w:rPr>
        <w:t>を発令する。</w:t>
      </w:r>
    </w:p>
    <w:p w14:paraId="32A1366F" w14:textId="77777777" w:rsidR="008E531C" w:rsidRPr="00493643" w:rsidRDefault="008E531C" w:rsidP="008B4B2B">
      <w:pPr>
        <w:pStyle w:val="a0"/>
        <w:ind w:left="1216" w:hangingChars="550" w:hanging="1216"/>
        <w:rPr>
          <w:rFonts w:hAnsi="ＭＳ 明朝"/>
          <w:sz w:val="22"/>
          <w:szCs w:val="22"/>
          <w:highlight w:val="yellow"/>
        </w:rPr>
      </w:pPr>
    </w:p>
    <w:p w14:paraId="7EB35B30" w14:textId="77777777" w:rsidR="008B4B2B" w:rsidRPr="0011172B" w:rsidRDefault="008B4B2B" w:rsidP="008B4B2B">
      <w:pPr>
        <w:pStyle w:val="a0"/>
        <w:ind w:left="1216" w:hangingChars="550" w:hanging="1216"/>
        <w:rPr>
          <w:rFonts w:hAnsi="ＭＳ 明朝"/>
          <w:sz w:val="22"/>
          <w:szCs w:val="22"/>
        </w:rPr>
      </w:pPr>
      <w:r w:rsidRPr="0011172B">
        <w:rPr>
          <w:rFonts w:hAnsi="ＭＳ 明朝" w:hint="eastAsia"/>
          <w:sz w:val="22"/>
          <w:szCs w:val="22"/>
        </w:rPr>
        <w:t xml:space="preserve">　　　　</w:t>
      </w:r>
      <w:r w:rsidRPr="0011172B">
        <w:rPr>
          <w:rFonts w:hAnsi="ＭＳ 明朝"/>
          <w:sz w:val="22"/>
          <w:szCs w:val="22"/>
        </w:rPr>
        <w:t>(4)　高潮による避難の指示</w:t>
      </w:r>
    </w:p>
    <w:p w14:paraId="41BE4A15" w14:textId="71116F2E" w:rsidR="008B4B2B" w:rsidRPr="00E0548A" w:rsidRDefault="008B4B2B" w:rsidP="008B4B2B">
      <w:pPr>
        <w:pStyle w:val="a0"/>
        <w:ind w:left="1216" w:hangingChars="550" w:hanging="1216"/>
        <w:rPr>
          <w:rFonts w:hAnsi="ＭＳ 明朝"/>
          <w:sz w:val="22"/>
          <w:szCs w:val="22"/>
        </w:rPr>
      </w:pPr>
      <w:r w:rsidRPr="0011172B">
        <w:rPr>
          <w:rFonts w:hAnsi="ＭＳ 明朝" w:hint="eastAsia"/>
          <w:sz w:val="22"/>
          <w:szCs w:val="22"/>
        </w:rPr>
        <w:t xml:space="preserve">　　　　　　　大阪府水防本部は、水位周知海岸について、高潮</w:t>
      </w:r>
      <w:r w:rsidR="003F0733" w:rsidRPr="0011172B">
        <w:rPr>
          <w:rFonts w:hAnsi="ＭＳ 明朝" w:hint="eastAsia"/>
          <w:sz w:val="22"/>
          <w:szCs w:val="22"/>
        </w:rPr>
        <w:t>特別警戒</w:t>
      </w:r>
      <w:r w:rsidRPr="0011172B">
        <w:rPr>
          <w:rFonts w:hAnsi="ＭＳ 明朝" w:hint="eastAsia"/>
          <w:sz w:val="22"/>
          <w:szCs w:val="22"/>
        </w:rPr>
        <w:t>水位に達した場合、水防管理者及び関係機関にその旨を通知する。</w:t>
      </w:r>
    </w:p>
    <w:p w14:paraId="44E32E66" w14:textId="77777777" w:rsidR="008E531C" w:rsidRPr="00E0548A" w:rsidRDefault="008E531C" w:rsidP="008B4B2B">
      <w:pPr>
        <w:pStyle w:val="a0"/>
        <w:ind w:left="1216" w:hangingChars="550" w:hanging="1216"/>
        <w:rPr>
          <w:rFonts w:hAnsi="ＭＳ 明朝"/>
          <w:sz w:val="22"/>
          <w:szCs w:val="22"/>
        </w:rPr>
      </w:pPr>
    </w:p>
    <w:p w14:paraId="1EF55FBC" w14:textId="378C2796" w:rsidR="008B4B2B" w:rsidRPr="00E0548A" w:rsidRDefault="009C05A0" w:rsidP="009C05A0">
      <w:pPr>
        <w:pStyle w:val="a0"/>
        <w:ind w:leftChars="300" w:left="854" w:hangingChars="100" w:hanging="221"/>
        <w:rPr>
          <w:rFonts w:hAnsi="ＭＳ 明朝"/>
          <w:sz w:val="22"/>
          <w:szCs w:val="22"/>
        </w:rPr>
      </w:pPr>
      <w:r w:rsidRPr="00E0548A">
        <w:rPr>
          <w:rFonts w:hAnsi="ＭＳ 明朝" w:hint="eastAsia"/>
          <w:sz w:val="22"/>
          <w:szCs w:val="22"/>
        </w:rPr>
        <w:t>※大型で非常に強い台風の日本への接近等により、国内で大規模な被災が予測され、国において災害対策本部の設置および被災のおそれがある都道府県として大阪府が告示された場合は、災害救助法第</w:t>
      </w:r>
      <w:r w:rsidRPr="00E0548A">
        <w:rPr>
          <w:rFonts w:hAnsi="ＭＳ 明朝"/>
          <w:sz w:val="22"/>
          <w:szCs w:val="22"/>
        </w:rPr>
        <w:t>2条第2項に基づく</w:t>
      </w:r>
      <w:r w:rsidR="00255775" w:rsidRPr="00E0548A">
        <w:rPr>
          <w:rFonts w:hAnsi="ＭＳ 明朝" w:hint="eastAsia"/>
          <w:sz w:val="22"/>
          <w:szCs w:val="22"/>
        </w:rPr>
        <w:t>、災害救助法の適用が可能</w:t>
      </w:r>
      <w:r w:rsidRPr="00E0548A">
        <w:rPr>
          <w:rFonts w:hAnsi="ＭＳ 明朝" w:hint="eastAsia"/>
          <w:sz w:val="22"/>
          <w:szCs w:val="22"/>
        </w:rPr>
        <w:t>となるため、「第</w:t>
      </w:r>
      <w:r w:rsidR="004E7423">
        <w:rPr>
          <w:rFonts w:hAnsi="ＭＳ 明朝" w:hint="eastAsia"/>
          <w:sz w:val="22"/>
          <w:szCs w:val="22"/>
        </w:rPr>
        <w:t>8</w:t>
      </w:r>
      <w:r w:rsidRPr="00E0548A">
        <w:rPr>
          <w:rFonts w:hAnsi="ＭＳ 明朝"/>
          <w:sz w:val="22"/>
          <w:szCs w:val="22"/>
        </w:rPr>
        <w:t xml:space="preserve">節 </w:t>
      </w:r>
      <w:r w:rsidRPr="00E0548A">
        <w:rPr>
          <w:rFonts w:hAnsi="ＭＳ 明朝" w:hint="eastAsia"/>
          <w:sz w:val="22"/>
          <w:szCs w:val="22"/>
        </w:rPr>
        <w:t>第１ 災害救助法の適用」を参考に対応を行うこと</w:t>
      </w:r>
    </w:p>
    <w:p w14:paraId="55363CFC" w14:textId="6DB1FD20" w:rsidR="008E531C" w:rsidRPr="00E0548A" w:rsidRDefault="008E531C" w:rsidP="008B4B2B">
      <w:pPr>
        <w:pStyle w:val="a0"/>
        <w:ind w:left="1216" w:hangingChars="550" w:hanging="1216"/>
        <w:rPr>
          <w:rFonts w:ascii="ＭＳ ゴシック" w:eastAsia="ＭＳ ゴシック" w:hAnsi="ＭＳ ゴシック"/>
          <w:sz w:val="22"/>
          <w:szCs w:val="22"/>
          <w:u w:val="single"/>
        </w:rPr>
      </w:pPr>
    </w:p>
    <w:p w14:paraId="6048B10B" w14:textId="77777777" w:rsidR="008E531C" w:rsidRPr="00E0548A" w:rsidRDefault="008E531C" w:rsidP="008B4B2B">
      <w:pPr>
        <w:pStyle w:val="a0"/>
        <w:ind w:left="1216" w:hangingChars="550" w:hanging="1216"/>
        <w:rPr>
          <w:rFonts w:ascii="ＭＳ ゴシック" w:eastAsia="ＭＳ ゴシック" w:hAnsi="ＭＳ ゴシック"/>
          <w:sz w:val="22"/>
          <w:szCs w:val="22"/>
          <w:u w:val="single"/>
        </w:rPr>
      </w:pPr>
    </w:p>
    <w:p w14:paraId="4666823E" w14:textId="404F8C59" w:rsidR="008B4B2B" w:rsidRPr="00E0548A" w:rsidRDefault="008E531C" w:rsidP="008E531C">
      <w:pPr>
        <w:pStyle w:val="a0"/>
        <w:ind w:leftChars="300" w:left="1186" w:hangingChars="250" w:hanging="553"/>
        <w:rPr>
          <w:rFonts w:hAnsi="ＭＳ 明朝"/>
          <w:sz w:val="22"/>
          <w:szCs w:val="22"/>
        </w:rPr>
      </w:pPr>
      <w:r w:rsidRPr="00E0548A">
        <w:rPr>
          <w:rFonts w:ascii="ＭＳ ゴシック" w:eastAsia="ＭＳ ゴシック" w:hAnsi="ＭＳ ゴシック" w:hint="eastAsia"/>
          <w:sz w:val="22"/>
          <w:szCs w:val="22"/>
          <w:u w:val="single"/>
        </w:rPr>
        <w:lastRenderedPageBreak/>
        <w:t>２　住民への周知</w:t>
      </w:r>
    </w:p>
    <w:p w14:paraId="51FC1CB6" w14:textId="645701A2" w:rsidR="008E531C" w:rsidRPr="00E0548A" w:rsidRDefault="008E531C" w:rsidP="008E531C">
      <w:r w:rsidRPr="00E0548A">
        <w:rPr>
          <w:rFonts w:hAnsi="ＭＳ 明朝" w:hint="eastAsia"/>
          <w:sz w:val="22"/>
          <w:szCs w:val="22"/>
        </w:rPr>
        <w:t xml:space="preserve">　　　</w:t>
      </w:r>
      <w:r w:rsidRPr="00E0548A">
        <w:rPr>
          <w:rFonts w:hint="eastAsia"/>
        </w:rPr>
        <w:t>市町村長等は、地域名、避難先、避難理由等を明示し、防災行政無線（同報系、個別受</w:t>
      </w:r>
    </w:p>
    <w:p w14:paraId="3D46FBA7" w14:textId="18B4F46B" w:rsidR="008E531C" w:rsidRPr="00E0548A" w:rsidRDefault="008E531C" w:rsidP="008E531C">
      <w:pPr>
        <w:ind w:firstLineChars="200" w:firstLine="422"/>
      </w:pPr>
      <w:r w:rsidRPr="00E0548A">
        <w:rPr>
          <w:rFonts w:hint="eastAsia"/>
        </w:rPr>
        <w:t>信機も含む）、広報車、</w:t>
      </w:r>
      <w:r w:rsidRPr="00E0548A">
        <w:rPr>
          <w:rFonts w:hint="eastAsia"/>
        </w:rPr>
        <w:t>L</w:t>
      </w:r>
      <w:r w:rsidRPr="00E0548A">
        <w:rPr>
          <w:rFonts w:hint="eastAsia"/>
        </w:rPr>
        <w:t>アラート、携帯メール、緊急速報メール等により周知徹底を図る。</w:t>
      </w:r>
    </w:p>
    <w:p w14:paraId="3B3D9A39" w14:textId="5FBCD154" w:rsidR="008E531C" w:rsidRPr="00E0548A" w:rsidRDefault="008E531C" w:rsidP="008B4B2B">
      <w:pPr>
        <w:pStyle w:val="a0"/>
        <w:ind w:left="1216" w:hangingChars="550" w:hanging="1216"/>
        <w:rPr>
          <w:rFonts w:hAnsi="ＭＳ 明朝"/>
          <w:sz w:val="22"/>
          <w:szCs w:val="22"/>
        </w:rPr>
      </w:pPr>
    </w:p>
    <w:p w14:paraId="69B777A7" w14:textId="2CFE6D82" w:rsidR="008E531C" w:rsidRPr="00E0548A" w:rsidRDefault="008E531C" w:rsidP="008B4B2B">
      <w:pPr>
        <w:pStyle w:val="a0"/>
        <w:ind w:left="1216" w:hangingChars="550" w:hanging="1216"/>
        <w:rPr>
          <w:rFonts w:hAnsi="ＭＳ 明朝"/>
          <w:sz w:val="22"/>
          <w:szCs w:val="22"/>
        </w:rPr>
      </w:pPr>
    </w:p>
    <w:p w14:paraId="4363E34F" w14:textId="278AC4B8" w:rsidR="008E531C" w:rsidRPr="00E0548A" w:rsidRDefault="008E531C" w:rsidP="008E531C">
      <w:pPr>
        <w:pStyle w:val="a0"/>
        <w:ind w:leftChars="300" w:left="1186" w:hangingChars="250" w:hanging="553"/>
        <w:rPr>
          <w:rFonts w:hAnsi="ＭＳ 明朝"/>
          <w:sz w:val="22"/>
          <w:szCs w:val="22"/>
        </w:rPr>
      </w:pPr>
      <w:r w:rsidRPr="00E0548A">
        <w:rPr>
          <w:rFonts w:ascii="ＭＳ ゴシック" w:eastAsia="ＭＳ ゴシック" w:hAnsi="ＭＳ ゴシック" w:hint="eastAsia"/>
          <w:sz w:val="22"/>
          <w:szCs w:val="22"/>
          <w:u w:val="single"/>
        </w:rPr>
        <w:t>３　避難路の確保</w:t>
      </w:r>
    </w:p>
    <w:p w14:paraId="204C612E" w14:textId="3A0054A4" w:rsidR="008E531C" w:rsidRPr="00E0548A" w:rsidRDefault="008E531C" w:rsidP="008E531C">
      <w:r w:rsidRPr="00E0548A">
        <w:rPr>
          <w:rFonts w:hAnsi="ＭＳ 明朝" w:hint="eastAsia"/>
          <w:sz w:val="22"/>
          <w:szCs w:val="22"/>
        </w:rPr>
        <w:t xml:space="preserve">　　　</w:t>
      </w:r>
      <w:r w:rsidRPr="00E0548A">
        <w:t>府、府警察、市町村及び道路管理者は、住民の安全のために避難路の確保に努める。</w:t>
      </w:r>
    </w:p>
    <w:p w14:paraId="37BBF26A" w14:textId="2D38EB24" w:rsidR="008E531C" w:rsidRPr="00E0548A" w:rsidRDefault="008E531C" w:rsidP="008B4B2B">
      <w:pPr>
        <w:pStyle w:val="a0"/>
        <w:ind w:left="1216" w:hangingChars="550" w:hanging="1216"/>
        <w:rPr>
          <w:rFonts w:hAnsi="ＭＳ 明朝"/>
          <w:sz w:val="22"/>
          <w:szCs w:val="22"/>
        </w:rPr>
      </w:pPr>
    </w:p>
    <w:p w14:paraId="00764591" w14:textId="545769A5" w:rsidR="008E531C" w:rsidRPr="00E0548A" w:rsidRDefault="008E531C" w:rsidP="008B4B2B">
      <w:pPr>
        <w:pStyle w:val="a0"/>
        <w:ind w:left="1216" w:hangingChars="550" w:hanging="1216"/>
        <w:rPr>
          <w:rFonts w:hAnsi="ＭＳ 明朝"/>
          <w:sz w:val="22"/>
          <w:szCs w:val="22"/>
        </w:rPr>
      </w:pPr>
    </w:p>
    <w:p w14:paraId="4DBD6EA1" w14:textId="77777777" w:rsidR="008B4B2B" w:rsidRPr="00E0548A" w:rsidRDefault="008B4B2B" w:rsidP="00FE1C75">
      <w:pPr>
        <w:pStyle w:val="a0"/>
        <w:ind w:rightChars="-645" w:right="-1362" w:firstLineChars="200" w:firstLine="442"/>
        <w:outlineLvl w:val="2"/>
        <w:rPr>
          <w:rFonts w:ascii="ＭＳ ゴシック" w:eastAsia="ＭＳ ゴシック" w:hAnsi="ＭＳ ゴシック"/>
          <w:sz w:val="22"/>
          <w:szCs w:val="22"/>
          <w:u w:val="double"/>
        </w:rPr>
      </w:pPr>
      <w:bookmarkStart w:id="288" w:name="_Toc122436940"/>
      <w:bookmarkStart w:id="289" w:name="_Toc222486629"/>
      <w:bookmarkStart w:id="290" w:name="_Toc242870299"/>
      <w:r w:rsidRPr="00E0548A">
        <w:rPr>
          <w:rFonts w:ascii="ＭＳ ゴシック" w:eastAsia="ＭＳ ゴシック" w:hAnsi="ＭＳ ゴシック" w:hint="eastAsia"/>
          <w:sz w:val="22"/>
          <w:szCs w:val="22"/>
          <w:u w:val="double"/>
        </w:rPr>
        <w:t>第２　市町村長等が行う避難の指示、避難状況等に関する受報告等</w:t>
      </w:r>
      <w:bookmarkEnd w:id="288"/>
      <w:bookmarkEnd w:id="289"/>
      <w:bookmarkEnd w:id="290"/>
    </w:p>
    <w:p w14:paraId="7749F352" w14:textId="77777777" w:rsidR="008B4B2B" w:rsidRPr="00E0548A" w:rsidRDefault="008B4B2B" w:rsidP="008B4B2B">
      <w:pPr>
        <w:pStyle w:val="a0"/>
        <w:ind w:rightChars="-645" w:right="-1362" w:firstLineChars="200" w:firstLine="442"/>
        <w:rPr>
          <w:rFonts w:ascii="ＭＳ ゴシック" w:eastAsia="ＭＳ ゴシック" w:hAnsi="ＭＳ ゴシック"/>
          <w:sz w:val="22"/>
          <w:szCs w:val="22"/>
        </w:rPr>
      </w:pPr>
      <w:r w:rsidRPr="00E0548A">
        <w:rPr>
          <w:rFonts w:ascii="ＭＳ ゴシック" w:eastAsia="ＭＳ ゴシック" w:hAnsi="ＭＳ ゴシック" w:hint="eastAsia"/>
          <w:sz w:val="22"/>
          <w:szCs w:val="22"/>
          <w:shd w:val="pct15" w:color="auto" w:fill="FFFFFF"/>
        </w:rPr>
        <w:t>【第０～１フェーズ～】</w:t>
      </w:r>
      <w:r w:rsidRPr="00E0548A">
        <w:rPr>
          <w:rFonts w:ascii="ＭＳ ゴシック" w:eastAsia="ＭＳ ゴシック" w:hAnsi="ＭＳ ゴシック" w:hint="eastAsia"/>
          <w:sz w:val="22"/>
          <w:szCs w:val="22"/>
        </w:rPr>
        <w:t xml:space="preserve">　　　　</w:t>
      </w:r>
      <w:r w:rsidRPr="00E0548A">
        <w:rPr>
          <w:rFonts w:ascii="ＭＳ ゴシック" w:eastAsia="ＭＳ ゴシック" w:hAnsi="ＭＳ ゴシック" w:hint="eastAsia"/>
          <w:sz w:val="22"/>
          <w:szCs w:val="22"/>
          <w:bdr w:val="single" w:sz="4" w:space="0" w:color="auto"/>
        </w:rPr>
        <w:t>主たる担当：危機管理室</w:t>
      </w:r>
    </w:p>
    <w:p w14:paraId="6B089303" w14:textId="77777777" w:rsidR="008B4B2B" w:rsidRPr="00E0548A" w:rsidRDefault="008B4B2B" w:rsidP="008B4B2B">
      <w:pPr>
        <w:pStyle w:val="a0"/>
        <w:ind w:firstLineChars="300" w:firstLine="663"/>
        <w:rPr>
          <w:rFonts w:ascii="ＭＳ ゴシック" w:eastAsia="ＭＳ ゴシック" w:hAnsi="ＭＳ ゴシック"/>
          <w:sz w:val="22"/>
          <w:szCs w:val="22"/>
          <w:u w:val="single"/>
        </w:rPr>
      </w:pPr>
      <w:r w:rsidRPr="00E0548A">
        <w:rPr>
          <w:rFonts w:ascii="ＭＳ ゴシック" w:eastAsia="ＭＳ ゴシック" w:hAnsi="ＭＳ ゴシック" w:hint="eastAsia"/>
          <w:sz w:val="22"/>
          <w:szCs w:val="22"/>
          <w:u w:val="single"/>
        </w:rPr>
        <w:t>１　避難の指示状況の把握等</w:t>
      </w:r>
    </w:p>
    <w:p w14:paraId="42FCCE9A" w14:textId="77777777" w:rsidR="008B4B2B" w:rsidRPr="00E0548A" w:rsidRDefault="008B4B2B" w:rsidP="00E0548A">
      <w:pPr>
        <w:pStyle w:val="a0"/>
        <w:ind w:left="884" w:rightChars="26" w:right="55" w:hangingChars="400" w:hanging="884"/>
        <w:rPr>
          <w:rFonts w:hAnsi="ＭＳ 明朝"/>
          <w:sz w:val="22"/>
          <w:szCs w:val="22"/>
        </w:rPr>
      </w:pPr>
      <w:r w:rsidRPr="00E0548A">
        <w:rPr>
          <w:rFonts w:hAnsi="ＭＳ 明朝" w:hint="eastAsia"/>
          <w:sz w:val="22"/>
          <w:szCs w:val="22"/>
        </w:rPr>
        <w:t xml:space="preserve">　　　　　災害対策課長は、災害対策基本法第６０条第４項、第６１条第４項の規定により、</w:t>
      </w:r>
      <w:r w:rsidRPr="00E0548A">
        <w:rPr>
          <w:sz w:val="22"/>
          <w:szCs w:val="22"/>
        </w:rPr>
        <w:t>避難のための立退きを指示し、又は</w:t>
      </w:r>
      <w:r w:rsidR="008E2128" w:rsidRPr="00E0548A">
        <w:rPr>
          <w:rFonts w:hint="eastAsia"/>
          <w:sz w:val="22"/>
          <w:szCs w:val="22"/>
        </w:rPr>
        <w:t>緊急</w:t>
      </w:r>
      <w:r w:rsidRPr="00E0548A">
        <w:rPr>
          <w:sz w:val="22"/>
          <w:szCs w:val="22"/>
        </w:rPr>
        <w:t>安全確保を指示した</w:t>
      </w:r>
      <w:r w:rsidRPr="00E0548A">
        <w:rPr>
          <w:rFonts w:hint="eastAsia"/>
          <w:sz w:val="22"/>
          <w:szCs w:val="22"/>
        </w:rPr>
        <w:t>旨</w:t>
      </w:r>
      <w:r w:rsidRPr="00E0548A">
        <w:rPr>
          <w:sz w:val="22"/>
          <w:szCs w:val="22"/>
        </w:rPr>
        <w:t>、</w:t>
      </w:r>
      <w:r w:rsidRPr="00E0548A">
        <w:rPr>
          <w:rFonts w:hAnsi="ＭＳ 明朝" w:hint="eastAsia"/>
          <w:sz w:val="22"/>
          <w:szCs w:val="22"/>
        </w:rPr>
        <w:t>市町村長から報告を受けたときは、その状況をとりまとめるものとする。</w:t>
      </w:r>
    </w:p>
    <w:p w14:paraId="778ED52A" w14:textId="77777777" w:rsidR="008B4B2B" w:rsidRPr="00E0548A" w:rsidRDefault="008B4B2B" w:rsidP="00E0548A">
      <w:pPr>
        <w:pStyle w:val="a0"/>
        <w:ind w:left="884" w:rightChars="26" w:right="55" w:hangingChars="400" w:hanging="884"/>
        <w:rPr>
          <w:rFonts w:hAnsi="ＭＳ 明朝"/>
          <w:sz w:val="22"/>
          <w:szCs w:val="22"/>
        </w:rPr>
      </w:pPr>
      <w:r w:rsidRPr="00E0548A">
        <w:rPr>
          <w:rFonts w:hAnsi="ＭＳ 明朝" w:hint="eastAsia"/>
          <w:sz w:val="22"/>
          <w:szCs w:val="22"/>
        </w:rPr>
        <w:t xml:space="preserve">　　　　　なお、知事は、災害等の発生により市町村が事務を行うことができない場合は、災害対策基本法第６０条第６項の規定に基づき、市町村長に代わって避難の指示を実施するとともに、災害対策基本法第７３条の規定に基づき、警戒区域を設定し、当該区域への立ち入りを制限し、若しくは禁止し、又は当該区域からの退去を命ずる。</w:t>
      </w:r>
    </w:p>
    <w:p w14:paraId="0B3EA17A" w14:textId="77777777" w:rsidR="008B4B2B" w:rsidRPr="00E0548A" w:rsidRDefault="008B4B2B" w:rsidP="008B4B2B">
      <w:pPr>
        <w:pStyle w:val="a0"/>
        <w:ind w:left="884" w:hangingChars="400" w:hanging="884"/>
        <w:rPr>
          <w:rFonts w:hAnsi="ＭＳ 明朝"/>
          <w:sz w:val="22"/>
          <w:szCs w:val="22"/>
        </w:rPr>
      </w:pPr>
    </w:p>
    <w:p w14:paraId="7CC5854E" w14:textId="77777777" w:rsidR="008B4B2B" w:rsidRPr="00E0548A" w:rsidRDefault="008B4B2B" w:rsidP="008B4B2B">
      <w:pPr>
        <w:pStyle w:val="a0"/>
        <w:ind w:leftChars="205" w:left="433" w:firstLineChars="100" w:firstLine="221"/>
        <w:rPr>
          <w:rFonts w:ascii="ＭＳ ゴシック" w:eastAsia="ＭＳ ゴシック" w:hAnsi="ＭＳ ゴシック"/>
          <w:sz w:val="22"/>
          <w:szCs w:val="22"/>
          <w:u w:val="single"/>
        </w:rPr>
      </w:pPr>
      <w:r w:rsidRPr="00E0548A">
        <w:rPr>
          <w:rFonts w:ascii="ＭＳ ゴシック" w:eastAsia="ＭＳ ゴシック" w:hAnsi="ＭＳ ゴシック" w:hint="eastAsia"/>
          <w:sz w:val="22"/>
          <w:szCs w:val="22"/>
          <w:u w:val="single"/>
        </w:rPr>
        <w:t>２　避難所設置状況等の把握等</w:t>
      </w:r>
    </w:p>
    <w:p w14:paraId="4098062F" w14:textId="77777777" w:rsidR="008B4B2B" w:rsidRPr="00E0548A" w:rsidRDefault="008B4B2B" w:rsidP="008B4B2B">
      <w:pPr>
        <w:pStyle w:val="a0"/>
        <w:ind w:leftChars="200" w:left="864" w:hangingChars="200" w:hanging="442"/>
        <w:rPr>
          <w:rFonts w:hAnsi="ＭＳ 明朝"/>
          <w:sz w:val="22"/>
          <w:szCs w:val="22"/>
        </w:rPr>
      </w:pPr>
      <w:r w:rsidRPr="00E0548A">
        <w:rPr>
          <w:rFonts w:hAnsi="ＭＳ 明朝" w:hint="eastAsia"/>
          <w:sz w:val="22"/>
          <w:szCs w:val="22"/>
        </w:rPr>
        <w:t xml:space="preserve">　　　災害対策課長は、避難所の設置、受け入れ状況を把握し、その状況をとりまとめるとともに、市町村から避難所を応急的に確保してほしい旨の要請があった場合は、府域のほかの市町村への応援の指示、関西広域連合、他府県への応援要請などにより、また、「災害時における応急避難所用天幕等資機材の供給協力に関する協定」、「船舶による災害時の輸送等に関する協定（近畿旅客船協会）」などを踏まえ、応急的な避難所を確保するものとする。</w:t>
      </w:r>
    </w:p>
    <w:p w14:paraId="233214DD" w14:textId="77777777" w:rsidR="008B4B2B" w:rsidRPr="00E0548A" w:rsidRDefault="008B4B2B" w:rsidP="008B4B2B">
      <w:pPr>
        <w:pStyle w:val="a0"/>
        <w:ind w:leftChars="200" w:left="864" w:hangingChars="200" w:hanging="442"/>
        <w:rPr>
          <w:rFonts w:hAnsi="ＭＳ 明朝"/>
          <w:sz w:val="22"/>
          <w:szCs w:val="22"/>
        </w:rPr>
      </w:pPr>
    </w:p>
    <w:p w14:paraId="53572951" w14:textId="77777777" w:rsidR="008B4B2B" w:rsidRPr="00E0548A" w:rsidRDefault="008B4B2B" w:rsidP="008B4B2B">
      <w:pPr>
        <w:pStyle w:val="a0"/>
        <w:ind w:firstLineChars="300" w:firstLine="663"/>
        <w:rPr>
          <w:rFonts w:ascii="ＭＳ ゴシック" w:eastAsia="ＭＳ ゴシック" w:hAnsi="ＭＳ ゴシック"/>
          <w:sz w:val="22"/>
          <w:szCs w:val="22"/>
          <w:u w:val="single"/>
        </w:rPr>
      </w:pPr>
      <w:r w:rsidRPr="00E0548A">
        <w:rPr>
          <w:rFonts w:ascii="ＭＳ ゴシック" w:eastAsia="ＭＳ ゴシック" w:hAnsi="ＭＳ ゴシック" w:hint="eastAsia"/>
          <w:sz w:val="22"/>
          <w:szCs w:val="22"/>
          <w:u w:val="single"/>
        </w:rPr>
        <w:t>３　大規模な避難にかかる運送の応援</w:t>
      </w:r>
    </w:p>
    <w:p w14:paraId="51D8E9C2" w14:textId="77777777" w:rsidR="008B4B2B" w:rsidRPr="00E0548A" w:rsidRDefault="008B4B2B" w:rsidP="008B4B2B">
      <w:pPr>
        <w:pStyle w:val="a0"/>
        <w:ind w:leftChars="420" w:left="887" w:firstLineChars="100" w:firstLine="221"/>
        <w:rPr>
          <w:rFonts w:hAnsi="ＭＳ 明朝"/>
          <w:sz w:val="22"/>
          <w:szCs w:val="22"/>
        </w:rPr>
      </w:pPr>
      <w:r w:rsidRPr="00E0548A">
        <w:rPr>
          <w:rFonts w:hAnsi="ＭＳ 明朝" w:hint="eastAsia"/>
          <w:sz w:val="22"/>
          <w:szCs w:val="22"/>
        </w:rPr>
        <w:t>災害対策課長は、被災者の保護の実施のため緊急の必要があると認めるときは、運送事業者である指定公共機関又は指定地方公共機関に対し、運送すべき人並びに運送すべき場所及び期日を示して、被災者の運送を要請するとともに、市町村長から大規模な避難にかかる運送の応援の要請があったときは、災対本部長等の指示に従い、府警察本部又は自衛隊の災害派遣要請や「災害時におけるバスによる緊急輸送等に関する協定（一般社団法人大阪バス協会）」、「船舶による災害時の輸送等に関する協定（近畿旅客船協会）」などを踏まえ、必要な措置を講じる。</w:t>
      </w:r>
    </w:p>
    <w:p w14:paraId="098C8F72" w14:textId="77777777" w:rsidR="008B4B2B" w:rsidRPr="00E0548A" w:rsidRDefault="008B4B2B" w:rsidP="008B4B2B">
      <w:pPr>
        <w:rPr>
          <w:rFonts w:ascii="ＭＳ 明朝" w:hAnsi="ＭＳ 明朝"/>
          <w:sz w:val="22"/>
          <w:szCs w:val="22"/>
        </w:rPr>
      </w:pPr>
    </w:p>
    <w:p w14:paraId="7067C554" w14:textId="77777777" w:rsidR="008B4B2B" w:rsidRPr="00E0548A" w:rsidRDefault="008B4B2B" w:rsidP="00E0548A">
      <w:pPr>
        <w:pStyle w:val="3"/>
        <w:ind w:firstLineChars="0" w:firstLine="0"/>
      </w:pPr>
      <w:bookmarkStart w:id="291" w:name="_Toc122436941"/>
      <w:bookmarkStart w:id="292" w:name="_Toc222486630"/>
      <w:bookmarkStart w:id="293" w:name="_Toc242870300"/>
      <w:r w:rsidRPr="00E0548A">
        <w:rPr>
          <w:rFonts w:hint="eastAsia"/>
        </w:rPr>
        <w:lastRenderedPageBreak/>
        <w:t>第３　避難行動要支援者への支援</w:t>
      </w:r>
      <w:r w:rsidRPr="00E0548A">
        <w:rPr>
          <w:rFonts w:hint="eastAsia"/>
          <w:shd w:val="pct15" w:color="auto" w:fill="FFFFFF"/>
        </w:rPr>
        <w:t>【第２フェーズ～】</w:t>
      </w:r>
      <w:bookmarkEnd w:id="291"/>
      <w:bookmarkEnd w:id="292"/>
      <w:bookmarkEnd w:id="293"/>
    </w:p>
    <w:p w14:paraId="580A1B34" w14:textId="643B8E41" w:rsidR="008B4B2B" w:rsidRPr="00E0548A" w:rsidRDefault="008B4B2B" w:rsidP="008B4B2B">
      <w:pPr>
        <w:rPr>
          <w:rFonts w:ascii="ＭＳ ゴシック" w:eastAsia="ＭＳ ゴシック" w:hAnsi="ＭＳ ゴシック"/>
          <w:strike/>
          <w:sz w:val="22"/>
          <w:szCs w:val="22"/>
        </w:rPr>
      </w:pPr>
      <w:r w:rsidRPr="00E0548A">
        <w:rPr>
          <w:rFonts w:ascii="ＭＳ 明朝" w:hAnsi="ＭＳ 明朝" w:hint="eastAsia"/>
          <w:sz w:val="22"/>
          <w:szCs w:val="22"/>
        </w:rPr>
        <w:t xml:space="preserve">　　　　　</w:t>
      </w:r>
      <w:r w:rsidRPr="00E0548A">
        <w:rPr>
          <w:rFonts w:ascii="ＭＳ ゴシック" w:eastAsia="ＭＳ ゴシック" w:hAnsi="ＭＳ ゴシック" w:hint="eastAsia"/>
          <w:sz w:val="22"/>
          <w:szCs w:val="22"/>
          <w:bdr w:val="single" w:sz="4" w:space="0" w:color="auto"/>
        </w:rPr>
        <w:t>主たる担当：</w:t>
      </w:r>
      <w:r w:rsidR="00E006EB" w:rsidRPr="00E0548A">
        <w:rPr>
          <w:rFonts w:ascii="ＭＳ ゴシック" w:eastAsia="ＭＳ ゴシック" w:hAnsi="ＭＳ ゴシック" w:hint="eastAsia"/>
          <w:sz w:val="22"/>
          <w:szCs w:val="22"/>
          <w:bdr w:val="single" w:sz="4" w:space="0" w:color="auto"/>
        </w:rPr>
        <w:t>危機管理室</w:t>
      </w:r>
      <w:r w:rsidR="00E006EB" w:rsidRPr="00E0548A">
        <w:rPr>
          <w:rFonts w:ascii="ＭＳ ゴシック" w:eastAsia="ＭＳ ゴシック" w:hAnsi="ＭＳ ゴシック" w:hint="eastAsia"/>
          <w:sz w:val="22"/>
          <w:bdr w:val="single" w:sz="4" w:space="0" w:color="auto"/>
        </w:rPr>
        <w:t>、</w:t>
      </w:r>
      <w:r w:rsidR="00E006EB" w:rsidRPr="00E0548A">
        <w:rPr>
          <w:rFonts w:ascii="ＭＳ ゴシック" w:eastAsia="ＭＳ ゴシック" w:hAnsi="ＭＳ ゴシック" w:hint="eastAsia"/>
          <w:sz w:val="22"/>
          <w:szCs w:val="22"/>
          <w:bdr w:val="single" w:sz="4" w:space="0" w:color="auto"/>
        </w:rPr>
        <w:t>福祉部関係室・課</w:t>
      </w:r>
    </w:p>
    <w:p w14:paraId="16C2851E" w14:textId="77777777" w:rsidR="008B4B2B" w:rsidRPr="00E0548A" w:rsidRDefault="008B4B2B" w:rsidP="008B4B2B">
      <w:pPr>
        <w:pStyle w:val="a0"/>
        <w:rPr>
          <w:sz w:val="22"/>
          <w:szCs w:val="22"/>
        </w:rPr>
      </w:pPr>
      <w:r w:rsidRPr="00E0548A">
        <w:rPr>
          <w:rFonts w:hAnsi="ＭＳ 明朝" w:hint="eastAsia"/>
          <w:sz w:val="22"/>
          <w:szCs w:val="22"/>
        </w:rPr>
        <w:t xml:space="preserve">　　　　　</w:t>
      </w:r>
      <w:r w:rsidRPr="00E0548A">
        <w:rPr>
          <w:rFonts w:hint="eastAsia"/>
          <w:sz w:val="22"/>
          <w:szCs w:val="22"/>
        </w:rPr>
        <w:t>災害対策課長及び福祉部関係室・課長は、市町村・関係団体と協力して、</w:t>
      </w:r>
    </w:p>
    <w:p w14:paraId="3F79809A" w14:textId="589C311F" w:rsidR="008B4B2B" w:rsidRPr="00E0548A" w:rsidRDefault="008B4B2B" w:rsidP="008B4B2B">
      <w:pPr>
        <w:pStyle w:val="a0"/>
        <w:ind w:leftChars="400" w:left="844"/>
        <w:rPr>
          <w:sz w:val="22"/>
          <w:szCs w:val="22"/>
        </w:rPr>
      </w:pPr>
      <w:r w:rsidRPr="00E0548A">
        <w:rPr>
          <w:rFonts w:hint="eastAsia"/>
          <w:sz w:val="22"/>
          <w:szCs w:val="22"/>
        </w:rPr>
        <w:t>避難行動要支援者や社会福祉施設等に関する被災状況等の情報集約・共有や、福祉ニーズの迅速な把握等に取り組むとともに、必要に応じて、国や近隣府県（関西広域連合）、関係団体等からの広域的な人的・物的支援を得ながら、被災市町村等に介護職員等の福祉関係職員の派遣や避難行動要支援者の他の地域の社会福祉施設等への入所</w:t>
      </w:r>
      <w:r w:rsidR="00E006EB" w:rsidRPr="00E0548A">
        <w:rPr>
          <w:rFonts w:hint="eastAsia"/>
          <w:sz w:val="22"/>
          <w:szCs w:val="22"/>
        </w:rPr>
        <w:t>・移送</w:t>
      </w:r>
      <w:r w:rsidRPr="00E0548A">
        <w:rPr>
          <w:rFonts w:hint="eastAsia"/>
          <w:sz w:val="22"/>
          <w:szCs w:val="22"/>
        </w:rPr>
        <w:t>が迅速に行えるよう、広域調整を行うとともに、支援体制を確立する。</w:t>
      </w:r>
    </w:p>
    <w:p w14:paraId="1AC3B8CB" w14:textId="77777777" w:rsidR="008E531C" w:rsidRPr="00E0548A" w:rsidRDefault="008E531C" w:rsidP="008B4B2B">
      <w:pPr>
        <w:pStyle w:val="a0"/>
        <w:ind w:leftChars="400" w:left="844"/>
        <w:rPr>
          <w:sz w:val="22"/>
          <w:szCs w:val="22"/>
        </w:rPr>
      </w:pPr>
    </w:p>
    <w:p w14:paraId="33477055" w14:textId="77777777" w:rsidR="008B4B2B" w:rsidRPr="00E0548A" w:rsidRDefault="008B4B2B" w:rsidP="00E0548A">
      <w:pPr>
        <w:pStyle w:val="3"/>
        <w:ind w:firstLineChars="0" w:firstLine="0"/>
      </w:pPr>
      <w:bookmarkStart w:id="294" w:name="_Toc122436942"/>
      <w:bookmarkStart w:id="295" w:name="_Toc222486631"/>
      <w:bookmarkStart w:id="296" w:name="_Toc242870301"/>
      <w:r w:rsidRPr="00E0548A">
        <w:rPr>
          <w:rFonts w:hint="eastAsia"/>
        </w:rPr>
        <w:t>第４　広域一時滞在</w:t>
      </w:r>
      <w:r w:rsidRPr="00E0548A">
        <w:rPr>
          <w:rFonts w:hint="eastAsia"/>
          <w:shd w:val="pct15" w:color="auto" w:fill="FFFFFF"/>
        </w:rPr>
        <w:t>【第３フェーズ】</w:t>
      </w:r>
      <w:bookmarkEnd w:id="294"/>
      <w:bookmarkEnd w:id="295"/>
      <w:bookmarkEnd w:id="296"/>
    </w:p>
    <w:p w14:paraId="56AD454B" w14:textId="77777777" w:rsidR="008B4B2B" w:rsidRPr="00E0548A" w:rsidRDefault="008B4B2B" w:rsidP="008B4B2B">
      <w:pPr>
        <w:ind w:left="884" w:hangingChars="400" w:hanging="884"/>
        <w:rPr>
          <w:rFonts w:ascii="ＭＳ ゴシック" w:eastAsia="ＭＳ ゴシック" w:hAnsi="ＭＳ ゴシック"/>
          <w:sz w:val="22"/>
          <w:szCs w:val="22"/>
          <w:bdr w:val="single" w:sz="4" w:space="0" w:color="auto"/>
        </w:rPr>
      </w:pPr>
      <w:r w:rsidRPr="00E0548A">
        <w:rPr>
          <w:rFonts w:ascii="ＭＳ ゴシック" w:eastAsia="ＭＳ ゴシック" w:hAnsi="ＭＳ ゴシック" w:hint="eastAsia"/>
          <w:sz w:val="22"/>
          <w:szCs w:val="22"/>
        </w:rPr>
        <w:t xml:space="preserve">　　　　　</w:t>
      </w:r>
      <w:r w:rsidRPr="00E0548A">
        <w:rPr>
          <w:rFonts w:ascii="ＭＳ ゴシック" w:eastAsia="ＭＳ ゴシック" w:hAnsi="ＭＳ ゴシック" w:hint="eastAsia"/>
          <w:sz w:val="22"/>
          <w:szCs w:val="22"/>
          <w:bdr w:val="single" w:sz="4" w:space="0" w:color="auto"/>
        </w:rPr>
        <w:t>主たる担当：危機管理室</w:t>
      </w:r>
    </w:p>
    <w:p w14:paraId="504834F9" w14:textId="77777777" w:rsidR="008B4B2B" w:rsidRPr="00E0548A" w:rsidRDefault="008B4B2B" w:rsidP="008B4B2B">
      <w:pPr>
        <w:ind w:left="884" w:hangingChars="400" w:hanging="884"/>
        <w:rPr>
          <w:rFonts w:ascii="ＭＳ 明朝" w:hAnsi="ＭＳ 明朝"/>
          <w:sz w:val="22"/>
          <w:szCs w:val="22"/>
        </w:rPr>
      </w:pPr>
      <w:r w:rsidRPr="00E0548A">
        <w:rPr>
          <w:rFonts w:ascii="ＭＳ 明朝" w:hAnsi="ＭＳ 明朝" w:hint="eastAsia"/>
          <w:sz w:val="22"/>
          <w:szCs w:val="22"/>
        </w:rPr>
        <w:t xml:space="preserve">　　　　　災害対策課長は、被災市町村から住民の他府県への広域避難の受入れについて協議要求があった場合は、関西広域連合や他の都道府県と協議を行う。</w:t>
      </w:r>
    </w:p>
    <w:p w14:paraId="7D250F6B" w14:textId="77777777" w:rsidR="008B4B2B" w:rsidRPr="00E0548A" w:rsidRDefault="008B4B2B" w:rsidP="008B4B2B">
      <w:pPr>
        <w:ind w:left="884" w:hangingChars="400" w:hanging="884"/>
        <w:rPr>
          <w:rFonts w:ascii="ＭＳ 明朝" w:hAnsi="ＭＳ 明朝"/>
          <w:sz w:val="22"/>
          <w:szCs w:val="22"/>
        </w:rPr>
      </w:pPr>
      <w:r w:rsidRPr="00E0548A">
        <w:rPr>
          <w:rFonts w:ascii="ＭＳ 明朝" w:hAnsi="ＭＳ 明朝" w:hint="eastAsia"/>
          <w:sz w:val="22"/>
          <w:szCs w:val="22"/>
        </w:rPr>
        <w:t xml:space="preserve">　　　　　また、他府県から被災住民の受入れの協議を受けた場合は、被災住民の受入れについて、関係市町村長と協議を行う。</w:t>
      </w:r>
    </w:p>
    <w:p w14:paraId="341C3D2A" w14:textId="77777777" w:rsidR="008B4B2B" w:rsidRPr="00E0548A" w:rsidRDefault="008B4B2B" w:rsidP="008B4B2B">
      <w:pPr>
        <w:ind w:left="884" w:hangingChars="400" w:hanging="884"/>
        <w:rPr>
          <w:rFonts w:ascii="ＭＳ 明朝" w:hAnsi="ＭＳ 明朝"/>
          <w:sz w:val="22"/>
          <w:szCs w:val="22"/>
        </w:rPr>
      </w:pPr>
    </w:p>
    <w:p w14:paraId="3A63475B" w14:textId="77777777" w:rsidR="008B4B2B" w:rsidRPr="00E0548A" w:rsidRDefault="008B4B2B" w:rsidP="008B4B2B">
      <w:pPr>
        <w:ind w:left="884" w:hangingChars="400" w:hanging="884"/>
        <w:rPr>
          <w:rFonts w:ascii="ＭＳ 明朝" w:hAnsi="ＭＳ 明朝"/>
          <w:sz w:val="22"/>
          <w:szCs w:val="22"/>
        </w:rPr>
      </w:pPr>
    </w:p>
    <w:p w14:paraId="1FF6FB31" w14:textId="77777777" w:rsidR="008B4B2B" w:rsidRPr="00E0548A" w:rsidRDefault="008B4B2B" w:rsidP="008B4B2B">
      <w:pPr>
        <w:ind w:left="884" w:hangingChars="400" w:hanging="884"/>
        <w:rPr>
          <w:rFonts w:ascii="ＭＳ 明朝" w:hAnsi="ＭＳ 明朝"/>
          <w:sz w:val="22"/>
          <w:szCs w:val="22"/>
        </w:rPr>
      </w:pPr>
    </w:p>
    <w:p w14:paraId="610F3C13" w14:textId="77777777" w:rsidR="008B4B2B" w:rsidRPr="00E0548A" w:rsidRDefault="008B4B2B" w:rsidP="008B4B2B">
      <w:pPr>
        <w:ind w:left="884" w:hangingChars="400" w:hanging="884"/>
        <w:rPr>
          <w:rFonts w:ascii="ＭＳ 明朝" w:hAnsi="ＭＳ 明朝"/>
          <w:sz w:val="22"/>
          <w:szCs w:val="22"/>
        </w:rPr>
      </w:pPr>
    </w:p>
    <w:p w14:paraId="3F581F85" w14:textId="77777777" w:rsidR="00B85233" w:rsidRPr="00E0548A" w:rsidRDefault="00B85233">
      <w:pPr>
        <w:widowControl/>
        <w:jc w:val="left"/>
        <w:rPr>
          <w:rFonts w:ascii="ＭＳ ゴシック" w:eastAsia="ＭＳ ゴシック" w:hAnsi="Courier New" w:cs="Courier New"/>
          <w:bCs/>
          <w:kern w:val="0"/>
          <w:sz w:val="28"/>
          <w:szCs w:val="28"/>
        </w:rPr>
      </w:pPr>
      <w:bookmarkStart w:id="297" w:name="_Toc122436943"/>
      <w:r w:rsidRPr="00E0548A">
        <w:rPr>
          <w:rFonts w:ascii="ＭＳ ゴシック" w:eastAsia="ＭＳ ゴシック"/>
          <w:bCs/>
          <w:kern w:val="0"/>
          <w:sz w:val="28"/>
          <w:szCs w:val="28"/>
        </w:rPr>
        <w:br w:type="page"/>
      </w:r>
    </w:p>
    <w:p w14:paraId="0F241463" w14:textId="39E4AED6" w:rsidR="008B4B2B" w:rsidRPr="00E0548A" w:rsidRDefault="008B4B2B" w:rsidP="00FE1C75">
      <w:pPr>
        <w:pStyle w:val="a0"/>
        <w:ind w:firstLineChars="100" w:firstLine="281"/>
        <w:outlineLvl w:val="1"/>
        <w:rPr>
          <w:rFonts w:ascii="ＭＳ ゴシック" w:eastAsia="ＭＳ ゴシック"/>
          <w:bCs/>
          <w:sz w:val="28"/>
          <w:szCs w:val="28"/>
        </w:rPr>
      </w:pPr>
      <w:bookmarkStart w:id="298" w:name="_Toc222486632"/>
      <w:bookmarkStart w:id="299" w:name="_Toc242870302"/>
      <w:r w:rsidRPr="00E0548A">
        <w:rPr>
          <w:rFonts w:ascii="ＭＳ ゴシック" w:eastAsia="ＭＳ ゴシック" w:hint="eastAsia"/>
          <w:bCs/>
          <w:kern w:val="0"/>
          <w:sz w:val="28"/>
          <w:szCs w:val="28"/>
        </w:rPr>
        <w:lastRenderedPageBreak/>
        <w:t>第</w:t>
      </w:r>
      <w:r w:rsidR="00C625F5" w:rsidRPr="00E0548A">
        <w:rPr>
          <w:rFonts w:ascii="ＭＳ ゴシック" w:eastAsia="ＭＳ ゴシック" w:hint="eastAsia"/>
          <w:bCs/>
          <w:kern w:val="0"/>
          <w:sz w:val="28"/>
          <w:szCs w:val="28"/>
        </w:rPr>
        <w:t>５</w:t>
      </w:r>
      <w:r w:rsidRPr="00E0548A">
        <w:rPr>
          <w:rFonts w:ascii="ＭＳ ゴシック" w:eastAsia="ＭＳ ゴシック" w:hint="eastAsia"/>
          <w:bCs/>
          <w:kern w:val="0"/>
          <w:sz w:val="28"/>
          <w:szCs w:val="28"/>
        </w:rPr>
        <w:t>節　交通対策、緊急輸送活動</w:t>
      </w:r>
      <w:bookmarkEnd w:id="297"/>
      <w:bookmarkEnd w:id="298"/>
      <w:bookmarkEnd w:id="299"/>
    </w:p>
    <w:tbl>
      <w:tblPr>
        <w:tblpPr w:leftFromText="142" w:rightFromText="142" w:vertAnchor="text" w:tblpXSpec="center" w:tblpY="1"/>
        <w:tblOverlap w:val="never"/>
        <w:tblW w:w="9464" w:type="dxa"/>
        <w:jc w:val="center"/>
        <w:tblBorders>
          <w:top w:val="thinThickSmallGap" w:sz="24" w:space="0" w:color="auto"/>
          <w:left w:val="thinThickSmallGap" w:sz="24" w:space="0" w:color="auto"/>
          <w:bottom w:val="thinThickSmallGap" w:sz="24" w:space="0" w:color="auto"/>
          <w:right w:val="thinThickSmallGap" w:sz="24" w:space="0" w:color="auto"/>
          <w:insideH w:val="thinThickSmallGap" w:sz="24" w:space="0" w:color="auto"/>
          <w:insideV w:val="thinThickSmallGap" w:sz="24" w:space="0" w:color="auto"/>
        </w:tblBorders>
        <w:tblLook w:val="04A0" w:firstRow="1" w:lastRow="0" w:firstColumn="1" w:lastColumn="0" w:noHBand="0" w:noVBand="1"/>
      </w:tblPr>
      <w:tblGrid>
        <w:gridCol w:w="1466"/>
        <w:gridCol w:w="7998"/>
      </w:tblGrid>
      <w:tr w:rsidR="001D6D10" w:rsidRPr="00E0548A" w14:paraId="282BEF42" w14:textId="77777777" w:rsidTr="00E0548A">
        <w:trPr>
          <w:jc w:val="center"/>
        </w:trPr>
        <w:tc>
          <w:tcPr>
            <w:tcW w:w="1466" w:type="dxa"/>
          </w:tcPr>
          <w:p w14:paraId="762EDE39" w14:textId="77777777" w:rsidR="008B4B2B" w:rsidRPr="00E0548A" w:rsidRDefault="008B4B2B" w:rsidP="008B4B2B">
            <w:pPr>
              <w:jc w:val="center"/>
              <w:rPr>
                <w:rFonts w:ascii="ＭＳ ゴシック" w:eastAsia="ＭＳ ゴシック" w:hAnsi="ＭＳ ゴシック"/>
                <w:b/>
                <w:sz w:val="28"/>
                <w:szCs w:val="28"/>
              </w:rPr>
            </w:pPr>
            <w:r w:rsidRPr="00E0548A">
              <w:rPr>
                <w:rFonts w:ascii="ＭＳ ゴシック" w:eastAsia="ＭＳ ゴシック" w:hAnsi="ＭＳ ゴシック" w:hint="eastAsia"/>
                <w:b/>
                <w:sz w:val="28"/>
                <w:szCs w:val="28"/>
              </w:rPr>
              <w:t>目　標</w:t>
            </w:r>
          </w:p>
        </w:tc>
        <w:tc>
          <w:tcPr>
            <w:tcW w:w="7998" w:type="dxa"/>
            <w:vAlign w:val="center"/>
          </w:tcPr>
          <w:p w14:paraId="7F101CC0" w14:textId="77777777" w:rsidR="008B4B2B" w:rsidRPr="00E0548A" w:rsidRDefault="008B4B2B" w:rsidP="00E0548A">
            <w:pPr>
              <w:rPr>
                <w:rFonts w:ascii="ＭＳ ゴシック" w:eastAsia="ＭＳ ゴシック" w:hAnsi="ＭＳ ゴシック"/>
                <w:b/>
                <w:sz w:val="24"/>
              </w:rPr>
            </w:pPr>
            <w:r w:rsidRPr="00E0548A">
              <w:rPr>
                <w:rFonts w:ascii="ＭＳ ゴシック" w:eastAsia="ＭＳ ゴシック" w:hAnsi="ＭＳ ゴシック" w:hint="eastAsia"/>
                <w:b/>
                <w:sz w:val="22"/>
                <w:szCs w:val="22"/>
              </w:rPr>
              <w:t xml:space="preserve">　</w:t>
            </w:r>
            <w:r w:rsidRPr="00E0548A">
              <w:rPr>
                <w:rFonts w:ascii="ＭＳ ゴシック" w:eastAsia="ＭＳ ゴシック" w:hAnsi="ＭＳ ゴシック" w:hint="eastAsia"/>
                <w:b/>
                <w:sz w:val="24"/>
              </w:rPr>
              <w:t>安全を確保しつつ、迅速に交通路を確保し、一人でも多くの人命を救助する。</w:t>
            </w:r>
          </w:p>
        </w:tc>
      </w:tr>
    </w:tbl>
    <w:p w14:paraId="3886740B" w14:textId="77777777" w:rsidR="008B4B2B" w:rsidRPr="00E0548A" w:rsidRDefault="008B4B2B" w:rsidP="008B4B2B">
      <w:pPr>
        <w:rPr>
          <w:rFonts w:ascii="ＭＳ ゴシック" w:eastAsia="ＭＳ ゴシック" w:hAnsi="ＭＳ ゴシック"/>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62"/>
        <w:gridCol w:w="7272"/>
      </w:tblGrid>
      <w:tr w:rsidR="001D6D10" w:rsidRPr="00E0548A" w14:paraId="47BC09D2" w14:textId="77777777" w:rsidTr="008B4B2B">
        <w:tc>
          <w:tcPr>
            <w:tcW w:w="1612" w:type="dxa"/>
            <w:shd w:val="clear" w:color="auto" w:fill="F2F2F2"/>
          </w:tcPr>
          <w:p w14:paraId="191EA543" w14:textId="77777777" w:rsidR="008B4B2B" w:rsidRPr="00E0548A" w:rsidRDefault="008B4B2B" w:rsidP="008B4B2B">
            <w:pPr>
              <w:jc w:val="center"/>
              <w:rPr>
                <w:rFonts w:ascii="ＭＳ ゴシック" w:eastAsia="ＭＳ ゴシック" w:hAnsi="ＭＳ ゴシック"/>
                <w:sz w:val="22"/>
                <w:szCs w:val="22"/>
              </w:rPr>
            </w:pPr>
            <w:r w:rsidRPr="00E0548A">
              <w:rPr>
                <w:rFonts w:ascii="ＭＳ ゴシック" w:eastAsia="ＭＳ ゴシック" w:hAnsi="ＭＳ ゴシック" w:hint="eastAsia"/>
                <w:sz w:val="22"/>
                <w:szCs w:val="22"/>
              </w:rPr>
              <w:t>フェーズ</w:t>
            </w:r>
          </w:p>
        </w:tc>
        <w:tc>
          <w:tcPr>
            <w:tcW w:w="7563" w:type="dxa"/>
            <w:shd w:val="clear" w:color="auto" w:fill="F2F2F2"/>
          </w:tcPr>
          <w:p w14:paraId="47B6B7F5" w14:textId="77777777" w:rsidR="008B4B2B" w:rsidRPr="00E0548A" w:rsidRDefault="008B4B2B" w:rsidP="008B4B2B">
            <w:pPr>
              <w:jc w:val="center"/>
              <w:rPr>
                <w:rFonts w:ascii="ＭＳ ゴシック" w:eastAsia="ＭＳ ゴシック" w:hAnsi="ＭＳ ゴシック"/>
                <w:sz w:val="22"/>
                <w:szCs w:val="22"/>
              </w:rPr>
            </w:pPr>
            <w:r w:rsidRPr="00E0548A">
              <w:rPr>
                <w:rFonts w:ascii="ＭＳ ゴシック" w:eastAsia="ＭＳ ゴシック" w:hAnsi="ＭＳ ゴシック" w:hint="eastAsia"/>
                <w:sz w:val="22"/>
                <w:szCs w:val="22"/>
              </w:rPr>
              <w:t>主な目標</w:t>
            </w:r>
          </w:p>
        </w:tc>
      </w:tr>
      <w:tr w:rsidR="001D6D10" w:rsidRPr="00E0548A" w14:paraId="212C7D80" w14:textId="77777777" w:rsidTr="008B4B2B">
        <w:trPr>
          <w:trHeight w:val="1422"/>
        </w:trPr>
        <w:tc>
          <w:tcPr>
            <w:tcW w:w="1612" w:type="dxa"/>
          </w:tcPr>
          <w:p w14:paraId="13D192A3" w14:textId="77777777" w:rsidR="008B4B2B" w:rsidRPr="00E0548A" w:rsidRDefault="008B4B2B" w:rsidP="008B4B2B">
            <w:pPr>
              <w:jc w:val="center"/>
              <w:rPr>
                <w:rFonts w:ascii="ＭＳ ゴシック" w:eastAsia="ＭＳ ゴシック" w:hAnsi="ＭＳ ゴシック"/>
                <w:sz w:val="22"/>
                <w:szCs w:val="22"/>
              </w:rPr>
            </w:pPr>
            <w:r w:rsidRPr="00E0548A">
              <w:rPr>
                <w:rFonts w:ascii="ＭＳ ゴシック" w:eastAsia="ＭＳ ゴシック" w:hAnsi="ＭＳ ゴシック" w:hint="eastAsia"/>
                <w:sz w:val="22"/>
                <w:szCs w:val="22"/>
              </w:rPr>
              <w:t>第１フェーズ</w:t>
            </w:r>
            <w:r w:rsidRPr="00E0548A">
              <w:rPr>
                <w:rFonts w:ascii="ＭＳ ゴシック" w:eastAsia="ＭＳ ゴシック" w:hAnsi="ＭＳ ゴシック"/>
                <w:sz w:val="22"/>
                <w:szCs w:val="22"/>
              </w:rPr>
              <w:br/>
            </w:r>
            <w:r w:rsidRPr="00E0548A">
              <w:rPr>
                <w:rFonts w:ascii="ＭＳ ゴシック" w:eastAsia="ＭＳ ゴシック" w:hAnsi="ＭＳ ゴシック" w:hint="eastAsia"/>
                <w:sz w:val="22"/>
                <w:szCs w:val="22"/>
              </w:rPr>
              <w:t>～</w:t>
            </w:r>
          </w:p>
          <w:p w14:paraId="69F3266B" w14:textId="77777777" w:rsidR="008B4B2B" w:rsidRPr="00E0548A" w:rsidRDefault="008B4B2B" w:rsidP="008B4B2B">
            <w:pPr>
              <w:rPr>
                <w:rFonts w:ascii="ＭＳ ゴシック" w:eastAsia="ＭＳ ゴシック" w:hAnsi="ＭＳ ゴシック"/>
                <w:sz w:val="22"/>
                <w:szCs w:val="22"/>
              </w:rPr>
            </w:pPr>
            <w:r w:rsidRPr="00E0548A">
              <w:rPr>
                <w:rFonts w:ascii="ＭＳ ゴシック" w:eastAsia="ＭＳ ゴシック" w:hAnsi="ＭＳ ゴシック" w:hint="eastAsia"/>
                <w:sz w:val="22"/>
                <w:szCs w:val="22"/>
              </w:rPr>
              <w:t>第２フェーズ</w:t>
            </w:r>
          </w:p>
        </w:tc>
        <w:tc>
          <w:tcPr>
            <w:tcW w:w="7563" w:type="dxa"/>
          </w:tcPr>
          <w:p w14:paraId="3015C158" w14:textId="77777777" w:rsidR="008B4B2B" w:rsidRPr="00E0548A" w:rsidRDefault="008B4B2B" w:rsidP="008B4B2B">
            <w:pPr>
              <w:rPr>
                <w:rFonts w:ascii="ＭＳ ゴシック" w:eastAsia="ＭＳ ゴシック" w:hAnsi="ＭＳ ゴシック"/>
                <w:sz w:val="22"/>
                <w:szCs w:val="22"/>
              </w:rPr>
            </w:pPr>
            <w:r w:rsidRPr="00E0548A">
              <w:rPr>
                <w:rFonts w:ascii="ＭＳ ゴシック" w:eastAsia="ＭＳ ゴシック" w:hAnsi="ＭＳ ゴシック" w:hint="eastAsia"/>
                <w:sz w:val="22"/>
                <w:szCs w:val="22"/>
              </w:rPr>
              <w:t>速やかに被害状況を確認し、救出救助関係車両の緊急交通路を確保するために必要な道路啓開を開始する。</w:t>
            </w:r>
          </w:p>
          <w:p w14:paraId="4DA72B14" w14:textId="77777777" w:rsidR="008B4B2B" w:rsidRPr="00E0548A" w:rsidRDefault="008B4B2B" w:rsidP="008B4B2B">
            <w:pPr>
              <w:rPr>
                <w:rFonts w:ascii="ＭＳ ゴシック" w:eastAsia="ＭＳ ゴシック" w:hAnsi="ＭＳ ゴシック"/>
                <w:sz w:val="22"/>
                <w:szCs w:val="22"/>
              </w:rPr>
            </w:pPr>
            <w:r w:rsidRPr="00E0548A">
              <w:rPr>
                <w:rFonts w:ascii="ＭＳ ゴシック" w:eastAsia="ＭＳ ゴシック" w:hAnsi="ＭＳ ゴシック" w:hint="eastAsia"/>
                <w:sz w:val="22"/>
                <w:szCs w:val="22"/>
              </w:rPr>
              <w:t>災害応急対策車両に対し、速やかに緊急通行車両確認証明書・標章を交付する。</w:t>
            </w:r>
          </w:p>
        </w:tc>
      </w:tr>
      <w:tr w:rsidR="001D6D10" w:rsidRPr="00E0548A" w14:paraId="69983AB9" w14:textId="77777777" w:rsidTr="008B4B2B">
        <w:tc>
          <w:tcPr>
            <w:tcW w:w="1612" w:type="dxa"/>
          </w:tcPr>
          <w:p w14:paraId="42D76C2B" w14:textId="77777777" w:rsidR="008B4B2B" w:rsidRPr="00E0548A" w:rsidRDefault="008B4B2B" w:rsidP="008B4B2B">
            <w:pPr>
              <w:rPr>
                <w:rFonts w:ascii="ＭＳ ゴシック" w:eastAsia="ＭＳ ゴシック" w:hAnsi="ＭＳ ゴシック"/>
                <w:sz w:val="22"/>
                <w:szCs w:val="22"/>
              </w:rPr>
            </w:pPr>
            <w:r w:rsidRPr="00E0548A">
              <w:rPr>
                <w:rFonts w:ascii="ＭＳ ゴシック" w:eastAsia="ＭＳ ゴシック" w:hAnsi="ＭＳ ゴシック" w:hint="eastAsia"/>
                <w:sz w:val="22"/>
                <w:szCs w:val="22"/>
              </w:rPr>
              <w:t>第３フェーズ</w:t>
            </w:r>
          </w:p>
        </w:tc>
        <w:tc>
          <w:tcPr>
            <w:tcW w:w="7563" w:type="dxa"/>
          </w:tcPr>
          <w:p w14:paraId="5D5D9133" w14:textId="77777777" w:rsidR="008B4B2B" w:rsidRPr="00E0548A" w:rsidRDefault="008B4B2B" w:rsidP="008B4B2B">
            <w:pPr>
              <w:rPr>
                <w:rFonts w:ascii="ＭＳ ゴシック" w:eastAsia="ＭＳ ゴシック" w:hAnsi="ＭＳ ゴシック"/>
                <w:sz w:val="22"/>
                <w:szCs w:val="22"/>
              </w:rPr>
            </w:pPr>
            <w:r w:rsidRPr="00E0548A">
              <w:rPr>
                <w:rFonts w:ascii="ＭＳ ゴシック" w:eastAsia="ＭＳ ゴシック" w:hAnsi="ＭＳ ゴシック" w:hint="eastAsia"/>
                <w:sz w:val="22"/>
                <w:szCs w:val="22"/>
              </w:rPr>
              <w:t>状況に応じ、輸送手段・基地の確保を行う（陸上・水上・航空）。</w:t>
            </w:r>
          </w:p>
        </w:tc>
      </w:tr>
      <w:tr w:rsidR="001D6D10" w:rsidRPr="00E0548A" w14:paraId="129DBE02" w14:textId="77777777" w:rsidTr="008B4B2B">
        <w:tc>
          <w:tcPr>
            <w:tcW w:w="1612" w:type="dxa"/>
          </w:tcPr>
          <w:p w14:paraId="1011CC50" w14:textId="77777777" w:rsidR="008B4B2B" w:rsidRPr="00E0548A" w:rsidRDefault="008B4B2B" w:rsidP="008B4B2B">
            <w:pPr>
              <w:rPr>
                <w:rFonts w:ascii="ＭＳ ゴシック" w:eastAsia="ＭＳ ゴシック" w:hAnsi="ＭＳ ゴシック"/>
                <w:sz w:val="22"/>
                <w:szCs w:val="22"/>
              </w:rPr>
            </w:pPr>
            <w:r w:rsidRPr="00E0548A">
              <w:rPr>
                <w:rFonts w:ascii="ＭＳ ゴシック" w:eastAsia="ＭＳ ゴシック" w:hAnsi="ＭＳ ゴシック" w:hint="eastAsia"/>
                <w:sz w:val="22"/>
                <w:szCs w:val="22"/>
              </w:rPr>
              <w:t>第４フェーズ</w:t>
            </w:r>
          </w:p>
        </w:tc>
        <w:tc>
          <w:tcPr>
            <w:tcW w:w="7563" w:type="dxa"/>
          </w:tcPr>
          <w:p w14:paraId="15D7CB44" w14:textId="77777777" w:rsidR="008B4B2B" w:rsidRPr="00E0548A" w:rsidRDefault="008B4B2B" w:rsidP="008B4B2B">
            <w:pPr>
              <w:rPr>
                <w:rFonts w:ascii="ＭＳ ゴシック" w:eastAsia="ＭＳ ゴシック" w:hAnsi="ＭＳ ゴシック"/>
                <w:sz w:val="22"/>
                <w:szCs w:val="22"/>
              </w:rPr>
            </w:pPr>
            <w:r w:rsidRPr="00E0548A">
              <w:rPr>
                <w:rFonts w:ascii="ＭＳ ゴシック" w:eastAsia="ＭＳ ゴシック" w:hAnsi="ＭＳ ゴシック" w:hint="eastAsia"/>
                <w:sz w:val="22"/>
                <w:szCs w:val="22"/>
              </w:rPr>
              <w:t>各施設の応急復旧に向けた調整を開始する。</w:t>
            </w:r>
          </w:p>
        </w:tc>
      </w:tr>
      <w:tr w:rsidR="001D6D10" w:rsidRPr="00E0548A" w14:paraId="1E5F8417" w14:textId="77777777" w:rsidTr="008B4B2B">
        <w:tc>
          <w:tcPr>
            <w:tcW w:w="1612" w:type="dxa"/>
          </w:tcPr>
          <w:p w14:paraId="488EFF15" w14:textId="77777777" w:rsidR="008B4B2B" w:rsidRPr="00E0548A" w:rsidRDefault="008B4B2B" w:rsidP="008B4B2B">
            <w:pPr>
              <w:rPr>
                <w:rFonts w:ascii="ＭＳ ゴシック" w:eastAsia="ＭＳ ゴシック" w:hAnsi="ＭＳ ゴシック"/>
                <w:sz w:val="22"/>
                <w:szCs w:val="22"/>
              </w:rPr>
            </w:pPr>
            <w:r w:rsidRPr="00E0548A">
              <w:rPr>
                <w:rFonts w:ascii="ＭＳ ゴシック" w:eastAsia="ＭＳ ゴシック" w:hAnsi="ＭＳ ゴシック" w:hint="eastAsia"/>
                <w:sz w:val="22"/>
                <w:szCs w:val="22"/>
              </w:rPr>
              <w:t>第５フェーズ</w:t>
            </w:r>
          </w:p>
        </w:tc>
        <w:tc>
          <w:tcPr>
            <w:tcW w:w="7563" w:type="dxa"/>
          </w:tcPr>
          <w:p w14:paraId="30DCB6DA" w14:textId="77777777" w:rsidR="008B4B2B" w:rsidRPr="00E0548A" w:rsidRDefault="008B4B2B" w:rsidP="008B4B2B">
            <w:pPr>
              <w:rPr>
                <w:rFonts w:ascii="ＭＳ ゴシック" w:eastAsia="ＭＳ ゴシック" w:hAnsi="ＭＳ ゴシック"/>
                <w:sz w:val="22"/>
                <w:szCs w:val="22"/>
              </w:rPr>
            </w:pPr>
            <w:r w:rsidRPr="00E0548A">
              <w:rPr>
                <w:rFonts w:ascii="ＭＳ ゴシック" w:eastAsia="ＭＳ ゴシック" w:hAnsi="ＭＳ ゴシック" w:hint="eastAsia"/>
                <w:sz w:val="22"/>
                <w:szCs w:val="22"/>
              </w:rPr>
              <w:t>各施設の応急復旧作業を開始する。</w:t>
            </w:r>
          </w:p>
        </w:tc>
      </w:tr>
      <w:tr w:rsidR="008B4B2B" w:rsidRPr="00E0548A" w14:paraId="1FB80F09" w14:textId="77777777" w:rsidTr="008B4B2B">
        <w:tc>
          <w:tcPr>
            <w:tcW w:w="1612" w:type="dxa"/>
          </w:tcPr>
          <w:p w14:paraId="515B375A" w14:textId="77777777" w:rsidR="008B4B2B" w:rsidRPr="00E0548A" w:rsidRDefault="008B4B2B" w:rsidP="008B4B2B">
            <w:pPr>
              <w:rPr>
                <w:rFonts w:ascii="ＭＳ ゴシック" w:eastAsia="ＭＳ ゴシック" w:hAnsi="ＭＳ ゴシック"/>
                <w:sz w:val="22"/>
                <w:szCs w:val="22"/>
              </w:rPr>
            </w:pPr>
            <w:r w:rsidRPr="00E0548A">
              <w:rPr>
                <w:rFonts w:ascii="ＭＳ ゴシック" w:eastAsia="ＭＳ ゴシック" w:hAnsi="ＭＳ ゴシック" w:hint="eastAsia"/>
                <w:sz w:val="22"/>
                <w:szCs w:val="22"/>
              </w:rPr>
              <w:t>第６フェーズ</w:t>
            </w:r>
          </w:p>
        </w:tc>
        <w:tc>
          <w:tcPr>
            <w:tcW w:w="7563" w:type="dxa"/>
          </w:tcPr>
          <w:p w14:paraId="33675F19" w14:textId="77777777" w:rsidR="008B4B2B" w:rsidRPr="00E0548A" w:rsidRDefault="008B4B2B" w:rsidP="008B4B2B">
            <w:pPr>
              <w:rPr>
                <w:rFonts w:ascii="ＭＳ ゴシック" w:eastAsia="ＭＳ ゴシック" w:hAnsi="ＭＳ ゴシック"/>
                <w:sz w:val="22"/>
                <w:szCs w:val="22"/>
              </w:rPr>
            </w:pPr>
            <w:r w:rsidRPr="00E0548A">
              <w:rPr>
                <w:rFonts w:ascii="ＭＳ ゴシック" w:eastAsia="ＭＳ ゴシック" w:hAnsi="ＭＳ ゴシック" w:hint="eastAsia"/>
                <w:sz w:val="22"/>
                <w:szCs w:val="22"/>
              </w:rPr>
              <w:t>各施設の応急復旧を完了する。</w:t>
            </w:r>
          </w:p>
        </w:tc>
      </w:tr>
    </w:tbl>
    <w:p w14:paraId="732594A6" w14:textId="77777777" w:rsidR="008B4B2B" w:rsidRPr="00E0548A" w:rsidRDefault="008B4B2B" w:rsidP="008B4B2B">
      <w:pPr>
        <w:rPr>
          <w:rFonts w:ascii="ＭＳ ゴシック" w:eastAsia="ＭＳ ゴシック" w:hAnsi="ＭＳ ゴシック"/>
          <w:sz w:val="22"/>
          <w:szCs w:val="22"/>
        </w:rPr>
      </w:pPr>
    </w:p>
    <w:p w14:paraId="03C48FFB" w14:textId="77777777" w:rsidR="008B4B2B" w:rsidRPr="00E0548A" w:rsidRDefault="008B4B2B" w:rsidP="00FE1C75">
      <w:pPr>
        <w:pStyle w:val="a0"/>
        <w:ind w:firstLineChars="200" w:firstLine="442"/>
        <w:outlineLvl w:val="2"/>
        <w:rPr>
          <w:rFonts w:ascii="ＭＳ ゴシック" w:eastAsia="ＭＳ ゴシック" w:hAnsi="ＭＳ ゴシック"/>
          <w:sz w:val="22"/>
          <w:szCs w:val="22"/>
          <w:u w:val="double"/>
        </w:rPr>
      </w:pPr>
      <w:bookmarkStart w:id="300" w:name="_Toc122436944"/>
      <w:bookmarkStart w:id="301" w:name="_Toc222486633"/>
      <w:bookmarkStart w:id="302" w:name="_Toc242870303"/>
      <w:r w:rsidRPr="00E0548A">
        <w:rPr>
          <w:rFonts w:ascii="ＭＳ ゴシック" w:eastAsia="ＭＳ ゴシック" w:hAnsi="ＭＳ ゴシック" w:hint="eastAsia"/>
          <w:sz w:val="22"/>
          <w:szCs w:val="22"/>
          <w:u w:val="double"/>
        </w:rPr>
        <w:t>第１　陸上・水上・航空輸送（輸送手段・基地の確保を含む）</w:t>
      </w:r>
      <w:r w:rsidRPr="00E0548A">
        <w:rPr>
          <w:rFonts w:ascii="ＭＳ ゴシック" w:eastAsia="ＭＳ ゴシック" w:hAnsi="ＭＳ ゴシック" w:hint="eastAsia"/>
          <w:sz w:val="22"/>
          <w:szCs w:val="22"/>
          <w:u w:val="double"/>
          <w:shd w:val="pct15" w:color="auto" w:fill="FFFFFF"/>
        </w:rPr>
        <w:t>【第１フェーズ～】</w:t>
      </w:r>
      <w:bookmarkEnd w:id="300"/>
      <w:bookmarkEnd w:id="301"/>
      <w:bookmarkEnd w:id="302"/>
    </w:p>
    <w:p w14:paraId="26D44469" w14:textId="77777777" w:rsidR="008B4B2B" w:rsidRPr="00E0548A" w:rsidRDefault="008B4B2B" w:rsidP="008B4B2B">
      <w:pPr>
        <w:pStyle w:val="a0"/>
        <w:ind w:firstLineChars="500" w:firstLine="1105"/>
        <w:rPr>
          <w:rFonts w:ascii="ＭＳ ゴシック" w:eastAsia="ＭＳ ゴシック" w:hAnsi="ＭＳ ゴシック"/>
          <w:sz w:val="22"/>
          <w:szCs w:val="22"/>
          <w:bdr w:val="single" w:sz="4" w:space="0" w:color="auto"/>
        </w:rPr>
      </w:pPr>
      <w:r w:rsidRPr="00E0548A">
        <w:rPr>
          <w:rFonts w:ascii="ＭＳ ゴシック" w:eastAsia="ＭＳ ゴシック" w:hAnsi="ＭＳ ゴシック" w:hint="eastAsia"/>
          <w:sz w:val="22"/>
          <w:szCs w:val="22"/>
          <w:bdr w:val="single" w:sz="4" w:space="0" w:color="auto"/>
        </w:rPr>
        <w:t>主たる担当：危機管理室、道路室、河川室</w:t>
      </w:r>
      <w:r w:rsidR="005D0DC9" w:rsidRPr="00E0548A">
        <w:rPr>
          <w:rFonts w:ascii="ＭＳ ゴシック" w:eastAsia="ＭＳ ゴシック" w:hAnsi="ＭＳ ゴシック" w:hint="eastAsia"/>
          <w:sz w:val="22"/>
          <w:szCs w:val="22"/>
          <w:bdr w:val="single" w:sz="4" w:space="0" w:color="auto"/>
        </w:rPr>
        <w:t>、関係室・課：交通戦略室</w:t>
      </w:r>
    </w:p>
    <w:p w14:paraId="38513AC6" w14:textId="77777777" w:rsidR="008B4B2B" w:rsidRPr="00E0548A" w:rsidRDefault="008B4B2B" w:rsidP="008B4B2B">
      <w:pPr>
        <w:pStyle w:val="a0"/>
        <w:rPr>
          <w:rFonts w:ascii="ＭＳ ゴシック" w:eastAsia="ＭＳ ゴシック" w:hAnsi="ＭＳ ゴシック"/>
          <w:sz w:val="22"/>
          <w:szCs w:val="22"/>
          <w:u w:val="single"/>
        </w:rPr>
      </w:pPr>
      <w:r w:rsidRPr="00E0548A">
        <w:rPr>
          <w:rFonts w:ascii="ＭＳ ゴシック" w:eastAsia="ＭＳ ゴシック" w:hAnsi="ＭＳ ゴシック" w:hint="eastAsia"/>
          <w:sz w:val="22"/>
          <w:szCs w:val="22"/>
        </w:rPr>
        <w:t xml:space="preserve">　　　</w:t>
      </w:r>
      <w:r w:rsidRPr="00E0548A">
        <w:rPr>
          <w:rFonts w:ascii="ＭＳ ゴシック" w:eastAsia="ＭＳ ゴシック" w:hAnsi="ＭＳ ゴシック" w:hint="eastAsia"/>
          <w:sz w:val="22"/>
          <w:szCs w:val="22"/>
          <w:u w:val="single"/>
        </w:rPr>
        <w:t>１　緊急交通路の確保</w:t>
      </w:r>
      <w:r w:rsidRPr="00E0548A">
        <w:rPr>
          <w:rFonts w:ascii="ＭＳ ゴシック" w:eastAsia="ＭＳ ゴシック" w:hAnsi="ＭＳ ゴシック" w:hint="eastAsia"/>
          <w:sz w:val="22"/>
          <w:szCs w:val="22"/>
          <w:u w:val="single"/>
          <w:shd w:val="pct15" w:color="auto" w:fill="FFFFFF"/>
        </w:rPr>
        <w:t>【第１フェーズ～】</w:t>
      </w:r>
    </w:p>
    <w:p w14:paraId="1F489479" w14:textId="77777777" w:rsidR="008B4B2B" w:rsidRPr="00E0548A" w:rsidRDefault="008B4B2B" w:rsidP="008B4B2B">
      <w:pPr>
        <w:pStyle w:val="a0"/>
        <w:ind w:left="884" w:hangingChars="400" w:hanging="884"/>
        <w:rPr>
          <w:rFonts w:hAnsi="ＭＳ 明朝"/>
          <w:sz w:val="22"/>
          <w:szCs w:val="22"/>
        </w:rPr>
      </w:pPr>
      <w:r w:rsidRPr="00E0548A">
        <w:rPr>
          <w:rFonts w:hAnsi="ＭＳ 明朝" w:hint="eastAsia"/>
          <w:sz w:val="22"/>
          <w:szCs w:val="22"/>
        </w:rPr>
        <w:t xml:space="preserve">　　　　　道路環境課長は、府警察及び各道路管理者と連携して、災害の規模、道路の損壊状況、交通状況等について、迅速かつ正確な情報収集に努める。特に、緊急交通路に選定されている「重点14路線」及び高速自動車国道等に対しては、緊急交通路の指定に向けた道路状況の確認を行う。</w:t>
      </w:r>
    </w:p>
    <w:p w14:paraId="3E74B7EE" w14:textId="77777777" w:rsidR="008B4B2B" w:rsidRPr="00E0548A" w:rsidRDefault="008B4B2B" w:rsidP="008B4B2B">
      <w:pPr>
        <w:pStyle w:val="a0"/>
        <w:ind w:leftChars="400" w:left="844" w:firstLineChars="150" w:firstLine="332"/>
        <w:rPr>
          <w:rFonts w:hAnsi="ＭＳ 明朝"/>
          <w:sz w:val="22"/>
          <w:szCs w:val="22"/>
        </w:rPr>
      </w:pPr>
      <w:r w:rsidRPr="00E0548A">
        <w:rPr>
          <w:rFonts w:hAnsi="ＭＳ 明朝" w:hint="eastAsia"/>
          <w:sz w:val="22"/>
          <w:szCs w:val="22"/>
        </w:rPr>
        <w:t>また、道路管理者である土木事務所長等は、緊急交通路の指定に際し、安全性の点検や通行規制、早期の道路啓開等に努める。</w:t>
      </w:r>
    </w:p>
    <w:p w14:paraId="1EC0F45D" w14:textId="77777777" w:rsidR="008B4B2B" w:rsidRPr="00E0548A" w:rsidRDefault="008B4B2B" w:rsidP="008B4B2B">
      <w:pPr>
        <w:pStyle w:val="a0"/>
        <w:ind w:left="884" w:hangingChars="400" w:hanging="884"/>
        <w:rPr>
          <w:rFonts w:hAnsi="ＭＳ 明朝"/>
          <w:sz w:val="22"/>
          <w:szCs w:val="22"/>
        </w:rPr>
      </w:pPr>
      <w:r w:rsidRPr="00E0548A">
        <w:rPr>
          <w:rFonts w:hAnsi="ＭＳ 明朝" w:hint="eastAsia"/>
          <w:sz w:val="22"/>
          <w:szCs w:val="22"/>
        </w:rPr>
        <w:t xml:space="preserve">　　　　　また、災害対策課長は、必要に応じ、「災害時における交通の確保等の業務に関する協定」により交通の確保等を行うものとする。</w:t>
      </w:r>
    </w:p>
    <w:p w14:paraId="6B6B5186" w14:textId="77777777" w:rsidR="008B4B2B" w:rsidRPr="00E0548A" w:rsidRDefault="008B4B2B" w:rsidP="008B4B2B">
      <w:pPr>
        <w:pStyle w:val="a0"/>
        <w:ind w:leftChars="210" w:left="443" w:firstLineChars="100" w:firstLine="221"/>
        <w:rPr>
          <w:rFonts w:ascii="ＭＳ ゴシック" w:eastAsia="ＭＳ ゴシック"/>
          <w:sz w:val="22"/>
          <w:szCs w:val="22"/>
        </w:rPr>
      </w:pPr>
    </w:p>
    <w:p w14:paraId="0F23754C" w14:textId="77777777" w:rsidR="008B4B2B" w:rsidRPr="00E0548A" w:rsidRDefault="008B4B2B" w:rsidP="008B4B2B">
      <w:pPr>
        <w:pStyle w:val="a0"/>
        <w:ind w:leftChars="210" w:left="443" w:firstLineChars="100" w:firstLine="221"/>
        <w:rPr>
          <w:rFonts w:ascii="ＭＳ ゴシック" w:eastAsia="ＭＳ ゴシック"/>
          <w:sz w:val="22"/>
          <w:szCs w:val="22"/>
          <w:u w:val="single"/>
        </w:rPr>
      </w:pPr>
      <w:r w:rsidRPr="00E0548A">
        <w:rPr>
          <w:rFonts w:ascii="ＭＳ ゴシック" w:eastAsia="ＭＳ ゴシック" w:hint="eastAsia"/>
          <w:sz w:val="22"/>
          <w:szCs w:val="22"/>
          <w:u w:val="single"/>
        </w:rPr>
        <w:t>２　緊急交通路の周知</w:t>
      </w:r>
      <w:r w:rsidRPr="00E0548A">
        <w:rPr>
          <w:rFonts w:ascii="ＭＳ ゴシック" w:eastAsia="ＭＳ ゴシック" w:hAnsi="ＭＳ ゴシック" w:hint="eastAsia"/>
          <w:sz w:val="22"/>
          <w:szCs w:val="22"/>
          <w:u w:val="single"/>
          <w:shd w:val="pct15" w:color="auto" w:fill="FFFFFF"/>
        </w:rPr>
        <w:t>【第２フェーズ～】</w:t>
      </w:r>
    </w:p>
    <w:p w14:paraId="5E57A293" w14:textId="77777777" w:rsidR="008B4B2B" w:rsidRPr="00E0548A" w:rsidRDefault="008B4B2B" w:rsidP="008B4B2B">
      <w:pPr>
        <w:pStyle w:val="a0"/>
        <w:ind w:leftChars="310" w:left="875" w:hangingChars="100" w:hanging="221"/>
        <w:rPr>
          <w:rFonts w:hAnsi="ＭＳ 明朝"/>
          <w:sz w:val="22"/>
          <w:szCs w:val="22"/>
        </w:rPr>
      </w:pPr>
      <w:r w:rsidRPr="00E0548A">
        <w:rPr>
          <w:rFonts w:ascii="ＭＳ ゴシック" w:eastAsia="ＭＳ ゴシック" w:hint="eastAsia"/>
          <w:sz w:val="22"/>
          <w:szCs w:val="22"/>
        </w:rPr>
        <w:t xml:space="preserve">　　</w:t>
      </w:r>
      <w:r w:rsidRPr="00E0548A">
        <w:rPr>
          <w:rFonts w:hAnsi="ＭＳ 明朝" w:hint="eastAsia"/>
          <w:sz w:val="22"/>
          <w:szCs w:val="22"/>
        </w:rPr>
        <w:t>公安委員会は、市町村、道路管理者と連携して、報道機関等を通じて、消防機関、医療機関、自衛隊、交通関係事業者、ライフライン事業者など緊急輸送活動に係る関係機関等に対して、交通規制の状況を連絡するとともに、緊急交通路への一般車両の進入を防止し、緊急交通路の機能を十分に発揮させるため、住民への周知を行う。</w:t>
      </w:r>
    </w:p>
    <w:p w14:paraId="6304C38E" w14:textId="77777777" w:rsidR="008B4B2B" w:rsidRPr="00E0548A" w:rsidRDefault="008B4B2B" w:rsidP="008B4B2B">
      <w:pPr>
        <w:pStyle w:val="a0"/>
        <w:ind w:leftChars="310" w:left="875" w:rightChars="13" w:right="27" w:hangingChars="100" w:hanging="221"/>
        <w:rPr>
          <w:rFonts w:hAnsi="ＭＳ 明朝"/>
          <w:sz w:val="22"/>
          <w:szCs w:val="22"/>
        </w:rPr>
      </w:pPr>
      <w:r w:rsidRPr="00E0548A">
        <w:rPr>
          <w:rFonts w:hAnsi="ＭＳ 明朝" w:hint="eastAsia"/>
          <w:sz w:val="22"/>
          <w:szCs w:val="22"/>
        </w:rPr>
        <w:t xml:space="preserve">　　また、公安委員会及び道路管理者は、車両の通行を禁止し、又は制限する措置を講じた場合は、緊急の場合を除き、規制の対象、期間等を表示した標識等を設置する。</w:t>
      </w:r>
    </w:p>
    <w:p w14:paraId="48CF1CD7" w14:textId="77777777" w:rsidR="008B4B2B" w:rsidRPr="00E0548A" w:rsidRDefault="008B4B2B" w:rsidP="008B4B2B">
      <w:pPr>
        <w:pStyle w:val="a0"/>
        <w:ind w:leftChars="210" w:left="443" w:firstLineChars="100" w:firstLine="221"/>
        <w:rPr>
          <w:rFonts w:ascii="ＭＳ ゴシック" w:eastAsia="ＭＳ ゴシック"/>
          <w:sz w:val="22"/>
          <w:szCs w:val="22"/>
        </w:rPr>
      </w:pPr>
    </w:p>
    <w:p w14:paraId="4C92406B" w14:textId="77777777" w:rsidR="008B4B2B" w:rsidRPr="00E0548A" w:rsidRDefault="008B4B2B" w:rsidP="008B4B2B">
      <w:pPr>
        <w:pStyle w:val="a0"/>
        <w:ind w:leftChars="210" w:left="443" w:firstLineChars="100" w:firstLine="221"/>
        <w:rPr>
          <w:rFonts w:ascii="ＭＳ ゴシック" w:eastAsia="ＭＳ ゴシック"/>
          <w:sz w:val="22"/>
          <w:szCs w:val="22"/>
          <w:u w:val="single"/>
        </w:rPr>
      </w:pPr>
      <w:r w:rsidRPr="00E0548A">
        <w:rPr>
          <w:rFonts w:ascii="ＭＳ ゴシック" w:eastAsia="ＭＳ ゴシック" w:hint="eastAsia"/>
          <w:sz w:val="22"/>
          <w:szCs w:val="22"/>
          <w:u w:val="single"/>
        </w:rPr>
        <w:lastRenderedPageBreak/>
        <w:t>３　緊急交通路の補完的機能の確保</w:t>
      </w:r>
      <w:r w:rsidRPr="00E0548A">
        <w:rPr>
          <w:rFonts w:ascii="ＭＳ ゴシック" w:eastAsia="ＭＳ ゴシック" w:hAnsi="ＭＳ ゴシック" w:hint="eastAsia"/>
          <w:sz w:val="22"/>
          <w:szCs w:val="22"/>
          <w:u w:val="single"/>
          <w:shd w:val="pct15" w:color="auto" w:fill="FFFFFF"/>
        </w:rPr>
        <w:t>【第２フェーズ～】</w:t>
      </w:r>
    </w:p>
    <w:p w14:paraId="21BE1A52" w14:textId="77777777" w:rsidR="008B4B2B" w:rsidRPr="00E0548A" w:rsidRDefault="008B4B2B" w:rsidP="008B4B2B">
      <w:pPr>
        <w:pStyle w:val="a0"/>
        <w:ind w:leftChars="310" w:left="875" w:hangingChars="100" w:hanging="221"/>
        <w:rPr>
          <w:rFonts w:hAnsi="ＭＳ 明朝"/>
          <w:sz w:val="22"/>
          <w:szCs w:val="22"/>
        </w:rPr>
      </w:pPr>
      <w:r w:rsidRPr="00E0548A">
        <w:rPr>
          <w:rFonts w:ascii="ＭＳ ゴシック" w:eastAsia="ＭＳ ゴシック" w:hint="eastAsia"/>
          <w:sz w:val="22"/>
          <w:szCs w:val="22"/>
        </w:rPr>
        <w:t xml:space="preserve">　　</w:t>
      </w:r>
      <w:r w:rsidRPr="00E0548A">
        <w:rPr>
          <w:rFonts w:hAnsi="ＭＳ 明朝" w:hint="eastAsia"/>
          <w:sz w:val="22"/>
          <w:szCs w:val="22"/>
        </w:rPr>
        <w:t>河川環境課長は、必要があると認める場合、河川管理者（国土交通大臣）を通じ、河川（淀川）における船着場と一体的に機能し、緊急交通路の補完的機能を果たす緊急用河川敷道路の通行可能状況を把握し、利用について河川管理者と協議するなど、緊急交通路の補完的機能の確保に努める。</w:t>
      </w:r>
    </w:p>
    <w:p w14:paraId="15048047" w14:textId="77777777" w:rsidR="008B4B2B" w:rsidRPr="00E0548A" w:rsidRDefault="008B4B2B" w:rsidP="008B4B2B">
      <w:pPr>
        <w:pStyle w:val="a0"/>
        <w:ind w:leftChars="210" w:left="443" w:firstLineChars="100" w:firstLine="221"/>
        <w:rPr>
          <w:rFonts w:ascii="ＭＳ ゴシック" w:eastAsia="ＭＳ ゴシック"/>
          <w:sz w:val="22"/>
          <w:szCs w:val="22"/>
        </w:rPr>
      </w:pPr>
    </w:p>
    <w:p w14:paraId="68B9D804" w14:textId="5504940E" w:rsidR="008B4B2B" w:rsidRPr="00E0548A" w:rsidRDefault="008B4B2B" w:rsidP="008B4B2B">
      <w:pPr>
        <w:pStyle w:val="a0"/>
        <w:ind w:leftChars="210" w:left="443" w:firstLineChars="100" w:firstLine="221"/>
        <w:rPr>
          <w:rFonts w:ascii="ＭＳ ゴシック" w:eastAsia="ＭＳ ゴシック"/>
          <w:sz w:val="22"/>
          <w:szCs w:val="22"/>
          <w:u w:val="single"/>
        </w:rPr>
      </w:pPr>
      <w:r w:rsidRPr="00E0548A">
        <w:rPr>
          <w:rFonts w:ascii="ＭＳ ゴシック" w:eastAsia="ＭＳ ゴシック" w:hint="eastAsia"/>
          <w:sz w:val="22"/>
          <w:szCs w:val="22"/>
          <w:u w:val="single"/>
        </w:rPr>
        <w:t>４　緊急通行車両の確認等</w:t>
      </w:r>
      <w:r w:rsidRPr="00E0548A">
        <w:rPr>
          <w:rFonts w:ascii="ＭＳ ゴシック" w:eastAsia="ＭＳ ゴシック" w:hAnsi="ＭＳ ゴシック" w:hint="eastAsia"/>
          <w:sz w:val="22"/>
          <w:szCs w:val="22"/>
          <w:u w:val="single"/>
          <w:shd w:val="pct15" w:color="auto" w:fill="FFFFFF"/>
        </w:rPr>
        <w:t>【第</w:t>
      </w:r>
      <w:r w:rsidR="005C73EF" w:rsidRPr="00E0548A">
        <w:rPr>
          <w:rFonts w:ascii="ＭＳ ゴシック" w:eastAsia="ＭＳ ゴシック" w:hAnsi="ＭＳ ゴシック" w:hint="eastAsia"/>
          <w:sz w:val="22"/>
          <w:szCs w:val="22"/>
          <w:u w:val="single"/>
          <w:shd w:val="pct15" w:color="auto" w:fill="FFFFFF"/>
        </w:rPr>
        <w:t>２</w:t>
      </w:r>
      <w:r w:rsidRPr="00E0548A">
        <w:rPr>
          <w:rFonts w:ascii="ＭＳ ゴシック" w:eastAsia="ＭＳ ゴシック" w:hAnsi="ＭＳ ゴシック" w:hint="eastAsia"/>
          <w:sz w:val="22"/>
          <w:szCs w:val="22"/>
          <w:u w:val="single"/>
          <w:shd w:val="pct15" w:color="auto" w:fill="FFFFFF"/>
        </w:rPr>
        <w:t>フェーズ～】</w:t>
      </w:r>
    </w:p>
    <w:p w14:paraId="3CA10272" w14:textId="77777777" w:rsidR="008B4B2B" w:rsidRPr="00E0548A" w:rsidRDefault="008B4B2B" w:rsidP="008B4B2B">
      <w:pPr>
        <w:pStyle w:val="a0"/>
        <w:ind w:leftChars="210" w:left="443" w:firstLineChars="100" w:firstLine="221"/>
        <w:rPr>
          <w:rFonts w:ascii="ＭＳ ゴシック" w:eastAsia="ＭＳ ゴシック"/>
          <w:sz w:val="22"/>
          <w:szCs w:val="22"/>
        </w:rPr>
      </w:pPr>
    </w:p>
    <w:p w14:paraId="07E7A5F6" w14:textId="77777777" w:rsidR="008B4B2B" w:rsidRPr="00E0548A" w:rsidRDefault="008B4B2B" w:rsidP="008B4B2B">
      <w:pPr>
        <w:pStyle w:val="a0"/>
        <w:ind w:leftChars="210" w:left="443" w:firstLineChars="100" w:firstLine="221"/>
        <w:rPr>
          <w:rFonts w:ascii="ＭＳ ゴシック" w:eastAsia="ＭＳ ゴシック"/>
          <w:sz w:val="22"/>
          <w:szCs w:val="22"/>
        </w:rPr>
      </w:pPr>
      <w:r w:rsidRPr="00E0548A">
        <w:rPr>
          <w:rFonts w:ascii="ＭＳ ゴシック" w:eastAsia="ＭＳ ゴシック" w:hint="eastAsia"/>
          <w:noProof/>
          <w:sz w:val="22"/>
          <w:szCs w:val="22"/>
        </w:rPr>
        <mc:AlternateContent>
          <mc:Choice Requires="wps">
            <w:drawing>
              <wp:anchor distT="0" distB="0" distL="114300" distR="114300" simplePos="0" relativeHeight="253238272" behindDoc="0" locked="0" layoutInCell="1" allowOverlap="1" wp14:anchorId="29BCE6F9" wp14:editId="2ED9B225">
                <wp:simplePos x="0" y="0"/>
                <wp:positionH relativeFrom="column">
                  <wp:posOffset>617220</wp:posOffset>
                </wp:positionH>
                <wp:positionV relativeFrom="paragraph">
                  <wp:posOffset>54610</wp:posOffset>
                </wp:positionV>
                <wp:extent cx="342900" cy="1143000"/>
                <wp:effectExtent l="17145" t="6985" r="11430" b="12065"/>
                <wp:wrapNone/>
                <wp:docPr id="2488" name="AutoShape 243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42900" cy="1143000"/>
                        </a:xfrm>
                        <a:prstGeom prst="hexagon">
                          <a:avLst>
                            <a:gd name="adj" fmla="val 25000"/>
                            <a:gd name="vf" fmla="val 115470"/>
                          </a:avLst>
                        </a:prstGeom>
                        <a:solidFill>
                          <a:srgbClr val="FFFFFF"/>
                        </a:solidFill>
                        <a:ln w="9525">
                          <a:solidFill>
                            <a:srgbClr val="000000"/>
                          </a:solidFill>
                          <a:miter lim="800000"/>
                          <a:headEnd/>
                          <a:tailEnd/>
                        </a:ln>
                      </wps:spPr>
                      <wps:txbx>
                        <w:txbxContent>
                          <w:p w14:paraId="60EB75EA" w14:textId="77777777" w:rsidR="006A5267" w:rsidRPr="006F195A" w:rsidRDefault="006A5267" w:rsidP="008B4B2B">
                            <w:pPr>
                              <w:rPr>
                                <w:rFonts w:ascii="ＭＳ ゴシック" w:eastAsia="ＭＳ ゴシック" w:hAnsi="ＭＳ ゴシック"/>
                                <w:sz w:val="20"/>
                                <w:szCs w:val="20"/>
                              </w:rPr>
                            </w:pPr>
                            <w:r w:rsidRPr="006F195A">
                              <w:rPr>
                                <w:rFonts w:ascii="ＭＳ ゴシック" w:eastAsia="ＭＳ ゴシック" w:hAnsi="ＭＳ ゴシック" w:hint="eastAsia"/>
                                <w:sz w:val="20"/>
                                <w:szCs w:val="20"/>
                              </w:rPr>
                              <w:t>使用者</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shape w14:anchorId="29BCE6F9" id="AutoShape 2437" o:spid="_x0000_s1396" type="#_x0000_t9" style="position:absolute;left:0;text-align:left;margin-left:48.6pt;margin-top:4.3pt;width:27pt;height:90pt;z-index:2532382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">
                <v:textbox inset="5.85pt,.7pt,5.85pt,.7pt">
                  <w:txbxContent>
                    <w:p w14:paraId="60EB75EA" w14:textId="77777777" w:rsidR="006A5267" w:rsidRPr="006F195A" w:rsidRDefault="006A5267" w:rsidP="008B4B2B">
                      <w:pPr>
                        <w:rPr>
                          <w:rFonts w:ascii="ＭＳ ゴシック" w:eastAsia="ＭＳ ゴシック" w:hAnsi="ＭＳ ゴシック"/>
                          <w:sz w:val="20"/>
                          <w:szCs w:val="20"/>
                        </w:rPr>
                      </w:pPr>
                      <w:r w:rsidRPr="006F195A">
                        <w:rPr>
                          <w:rFonts w:ascii="ＭＳ ゴシック" w:eastAsia="ＭＳ ゴシック" w:hAnsi="ＭＳ ゴシック" w:hint="eastAsia"/>
                          <w:sz w:val="20"/>
                          <w:szCs w:val="20"/>
                        </w:rPr>
                        <w:t>使用者</w:t>
                      </w:r>
                    </w:p>
                  </w:txbxContent>
                </v:textbox>
              </v:shape>
            </w:pict>
          </mc:Fallback>
        </mc:AlternateContent>
      </w:r>
      <w:r w:rsidRPr="00E0548A">
        <w:rPr>
          <w:rFonts w:ascii="ＭＳ ゴシック" w:eastAsia="ＭＳ ゴシック" w:hint="eastAsia"/>
          <w:noProof/>
          <w:sz w:val="22"/>
          <w:szCs w:val="22"/>
        </w:rPr>
        <mc:AlternateContent>
          <mc:Choice Requires="wps">
            <w:drawing>
              <wp:anchor distT="0" distB="0" distL="114300" distR="114300" simplePos="0" relativeHeight="253245440" behindDoc="0" locked="0" layoutInCell="1" allowOverlap="1" wp14:anchorId="40703287" wp14:editId="70940AC8">
                <wp:simplePos x="0" y="0"/>
                <wp:positionH relativeFrom="column">
                  <wp:posOffset>5417820</wp:posOffset>
                </wp:positionH>
                <wp:positionV relativeFrom="paragraph">
                  <wp:posOffset>54610</wp:posOffset>
                </wp:positionV>
                <wp:extent cx="342900" cy="1143000"/>
                <wp:effectExtent l="17145" t="6985" r="11430" b="12065"/>
                <wp:wrapNone/>
                <wp:docPr id="2487" name="AutoShape 244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42900" cy="1143000"/>
                        </a:xfrm>
                        <a:prstGeom prst="hexagon">
                          <a:avLst>
                            <a:gd name="adj" fmla="val 25000"/>
                            <a:gd name="vf" fmla="val 115470"/>
                          </a:avLst>
                        </a:prstGeom>
                        <a:solidFill>
                          <a:srgbClr val="FFFFFF"/>
                        </a:solidFill>
                        <a:ln w="9525">
                          <a:solidFill>
                            <a:srgbClr val="000000"/>
                          </a:solidFill>
                          <a:miter lim="800000"/>
                          <a:headEnd/>
                          <a:tailEnd/>
                        </a:ln>
                      </wps:spPr>
                      <wps:txbx>
                        <w:txbxContent>
                          <w:p w14:paraId="56AA3ACA" w14:textId="77777777" w:rsidR="006A5267" w:rsidRPr="006F195A" w:rsidRDefault="006A5267" w:rsidP="008B4B2B">
                            <w:pPr>
                              <w:rPr>
                                <w:rFonts w:ascii="ＭＳ ゴシック" w:eastAsia="ＭＳ ゴシック" w:hAnsi="ＭＳ ゴシック"/>
                                <w:sz w:val="20"/>
                                <w:szCs w:val="20"/>
                              </w:rPr>
                            </w:pPr>
                            <w:r w:rsidRPr="006F195A">
                              <w:rPr>
                                <w:rFonts w:ascii="ＭＳ ゴシック" w:eastAsia="ＭＳ ゴシック" w:hAnsi="ＭＳ ゴシック" w:hint="eastAsia"/>
                                <w:sz w:val="20"/>
                                <w:szCs w:val="20"/>
                              </w:rPr>
                              <w:t>使用者</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shape w14:anchorId="40703287" id="AutoShape 2444" o:spid="_x0000_s1397" type="#_x0000_t9" style="position:absolute;left:0;text-align:left;margin-left:426.6pt;margin-top:4.3pt;width:27pt;height:90pt;z-index:2532454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">
                <v:textbox inset="5.85pt,.7pt,5.85pt,.7pt">
                  <w:txbxContent>
                    <w:p w14:paraId="56AA3ACA" w14:textId="77777777" w:rsidR="006A5267" w:rsidRPr="006F195A" w:rsidRDefault="006A5267" w:rsidP="008B4B2B">
                      <w:pPr>
                        <w:rPr>
                          <w:rFonts w:ascii="ＭＳ ゴシック" w:eastAsia="ＭＳ ゴシック" w:hAnsi="ＭＳ ゴシック"/>
                          <w:sz w:val="20"/>
                          <w:szCs w:val="20"/>
                        </w:rPr>
                      </w:pPr>
                      <w:r w:rsidRPr="006F195A">
                        <w:rPr>
                          <w:rFonts w:ascii="ＭＳ ゴシック" w:eastAsia="ＭＳ ゴシック" w:hAnsi="ＭＳ ゴシック" w:hint="eastAsia"/>
                          <w:sz w:val="20"/>
                          <w:szCs w:val="20"/>
                        </w:rPr>
                        <w:t>使用者</w:t>
                      </w:r>
                    </w:p>
                  </w:txbxContent>
                </v:textbox>
              </v:shape>
            </w:pict>
          </mc:Fallback>
        </mc:AlternateContent>
      </w:r>
      <w:r w:rsidRPr="00E0548A">
        <w:rPr>
          <w:rFonts w:ascii="ＭＳ ゴシック" w:eastAsia="ＭＳ ゴシック" w:hint="eastAsia"/>
          <w:noProof/>
          <w:sz w:val="22"/>
          <w:szCs w:val="22"/>
        </w:rPr>
        <mc:AlternateContent>
          <mc:Choice Requires="wps">
            <w:drawing>
              <wp:anchor distT="0" distB="0" distL="114300" distR="114300" simplePos="0" relativeHeight="253243392" behindDoc="0" locked="0" layoutInCell="1" allowOverlap="1" wp14:anchorId="19BEFAB1" wp14:editId="7A6E9696">
                <wp:simplePos x="0" y="0"/>
                <wp:positionH relativeFrom="column">
                  <wp:posOffset>3931920</wp:posOffset>
                </wp:positionH>
                <wp:positionV relativeFrom="paragraph">
                  <wp:posOffset>168910</wp:posOffset>
                </wp:positionV>
                <wp:extent cx="342900" cy="1600200"/>
                <wp:effectExtent l="7620" t="6985" r="11430" b="12065"/>
                <wp:wrapNone/>
                <wp:docPr id="2486" name="AutoShape 244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42900" cy="1600200"/>
                        </a:xfrm>
                        <a:prstGeom prst="bevel">
                          <a:avLst>
                            <a:gd name="adj" fmla="val 12500"/>
                          </a:avLst>
                        </a:prstGeom>
                        <a:solidFill>
                          <a:srgbClr val="FFFFFF"/>
                        </a:solidFill>
                        <a:ln w="9525">
                          <a:solidFill>
                            <a:srgbClr val="000000"/>
                          </a:solidFill>
                          <a:miter lim="800000"/>
                          <a:headEnd/>
                          <a:tailEnd/>
                        </a:ln>
                      </wps:spPr>
                      <wps:txbx>
                        <w:txbxContent>
                          <w:p w14:paraId="60151AE5" w14:textId="77777777" w:rsidR="006A5267" w:rsidRPr="00340FB9" w:rsidRDefault="006A5267" w:rsidP="008B4B2B">
                            <w:pPr>
                              <w:spacing w:line="240" w:lineRule="exact"/>
                              <w:rPr>
                                <w:rFonts w:ascii="ＭＳ ゴシック" w:eastAsia="ＭＳ ゴシック" w:hAnsi="ＭＳ ゴシック"/>
                                <w:sz w:val="20"/>
                                <w:szCs w:val="20"/>
                              </w:rPr>
                            </w:pPr>
                          </w:p>
                          <w:p w14:paraId="24B59B62" w14:textId="0A6BF432" w:rsidR="006A5267" w:rsidRPr="00F85F2E" w:rsidRDefault="008F449F" w:rsidP="008B4B2B">
                            <w:pPr>
                              <w:spacing w:line="240" w:lineRule="exact"/>
                              <w:rPr>
                                <w:rFonts w:ascii="ＭＳ ゴシック" w:eastAsia="ＭＳ ゴシック" w:hAnsi="ＭＳ ゴシック"/>
                                <w:sz w:val="20"/>
                                <w:szCs w:val="20"/>
                              </w:rPr>
                            </w:pPr>
                            <w:r w:rsidRPr="00340FB9">
                              <w:rPr>
                                <w:rFonts w:ascii="ＭＳ ゴシック" w:eastAsia="ＭＳ ゴシック" w:hAnsi="ＭＳ ゴシック" w:hint="eastAsia"/>
                                <w:sz w:val="20"/>
                                <w:szCs w:val="20"/>
                              </w:rPr>
                              <w:t>申出</w:t>
                            </w:r>
                            <w:r w:rsidR="006A5267" w:rsidRPr="00340FB9">
                              <w:rPr>
                                <w:rFonts w:ascii="ＭＳ ゴシック" w:eastAsia="ＭＳ ゴシック" w:hAnsi="ＭＳ ゴシック" w:hint="eastAsia"/>
                                <w:sz w:val="20"/>
                                <w:szCs w:val="20"/>
                              </w:rPr>
                              <w:t>内</w:t>
                            </w:r>
                            <w:r w:rsidR="006A5267" w:rsidRPr="00F85F2E">
                              <w:rPr>
                                <w:rFonts w:ascii="ＭＳ ゴシック" w:eastAsia="ＭＳ ゴシック" w:hAnsi="ＭＳ ゴシック" w:hint="eastAsia"/>
                                <w:sz w:val="20"/>
                                <w:szCs w:val="20"/>
                              </w:rPr>
                              <w:t>容</w:t>
                            </w:r>
                            <w:r w:rsidR="006A5267">
                              <w:rPr>
                                <w:rFonts w:ascii="ＭＳ ゴシック" w:eastAsia="ＭＳ ゴシック" w:hAnsi="ＭＳ ゴシック" w:hint="eastAsia"/>
                                <w:sz w:val="20"/>
                                <w:szCs w:val="20"/>
                              </w:rPr>
                              <w:t>等</w:t>
                            </w:r>
                            <w:r w:rsidR="006A5267" w:rsidRPr="00F85F2E">
                              <w:rPr>
                                <w:rFonts w:ascii="ＭＳ ゴシック" w:eastAsia="ＭＳ ゴシック" w:hAnsi="ＭＳ ゴシック" w:hint="eastAsia"/>
                                <w:sz w:val="20"/>
                                <w:szCs w:val="20"/>
                              </w:rPr>
                              <w:t>の審査</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shape w14:anchorId="19BEFAB1" id="AutoShape 2442" o:spid="_x0000_s1398" type="#_x0000_t84" style="position:absolute;left:0;text-align:left;margin-left:309.6pt;margin-top:13.3pt;width:27pt;height:126pt;z-index:2532433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">
                <v:textbox inset="5.85pt,.7pt,5.85pt,.7pt">
                  <w:txbxContent>
                    <w:p w14:paraId="60151AE5" w14:textId="77777777" w:rsidR="006A5267" w:rsidRPr="00340FB9" w:rsidRDefault="006A5267" w:rsidP="008B4B2B">
                      <w:pPr>
                        <w:spacing w:line="240" w:lineRule="exact"/>
                        <w:rPr>
                          <w:rFonts w:ascii="ＭＳ ゴシック" w:eastAsia="ＭＳ ゴシック" w:hAnsi="ＭＳ ゴシック"/>
                          <w:sz w:val="20"/>
                          <w:szCs w:val="20"/>
                        </w:rPr>
                      </w:pPr>
                    </w:p>
                    <w:p w14:paraId="24B59B62" w14:textId="0A6BF432" w:rsidR="006A5267" w:rsidRPr="00F85F2E" w:rsidRDefault="008F449F" w:rsidP="008B4B2B">
                      <w:pPr>
                        <w:spacing w:line="240" w:lineRule="exact"/>
                        <w:rPr>
                          <w:rFonts w:ascii="ＭＳ ゴシック" w:eastAsia="ＭＳ ゴシック" w:hAnsi="ＭＳ ゴシック"/>
                          <w:sz w:val="20"/>
                          <w:szCs w:val="20"/>
                        </w:rPr>
                      </w:pPr>
                      <w:r w:rsidRPr="00340FB9">
                        <w:rPr>
                          <w:rFonts w:ascii="ＭＳ ゴシック" w:eastAsia="ＭＳ ゴシック" w:hAnsi="ＭＳ ゴシック" w:hint="eastAsia"/>
                          <w:sz w:val="20"/>
                          <w:szCs w:val="20"/>
                        </w:rPr>
                        <w:t>申出</w:t>
                      </w:r>
                      <w:r w:rsidR="006A5267" w:rsidRPr="00340FB9">
                        <w:rPr>
                          <w:rFonts w:ascii="ＭＳ ゴシック" w:eastAsia="ＭＳ ゴシック" w:hAnsi="ＭＳ ゴシック" w:hint="eastAsia"/>
                          <w:sz w:val="20"/>
                          <w:szCs w:val="20"/>
                        </w:rPr>
                        <w:t>内</w:t>
                      </w:r>
                      <w:r w:rsidR="006A5267" w:rsidRPr="00F85F2E">
                        <w:rPr>
                          <w:rFonts w:ascii="ＭＳ ゴシック" w:eastAsia="ＭＳ ゴシック" w:hAnsi="ＭＳ ゴシック" w:hint="eastAsia"/>
                          <w:sz w:val="20"/>
                          <w:szCs w:val="20"/>
                        </w:rPr>
                        <w:t>容</w:t>
                      </w:r>
                      <w:r w:rsidR="006A5267">
                        <w:rPr>
                          <w:rFonts w:ascii="ＭＳ ゴシック" w:eastAsia="ＭＳ ゴシック" w:hAnsi="ＭＳ ゴシック" w:hint="eastAsia"/>
                          <w:sz w:val="20"/>
                          <w:szCs w:val="20"/>
                        </w:rPr>
                        <w:t>等</w:t>
                      </w:r>
                      <w:r w:rsidR="006A5267" w:rsidRPr="00F85F2E">
                        <w:rPr>
                          <w:rFonts w:ascii="ＭＳ ゴシック" w:eastAsia="ＭＳ ゴシック" w:hAnsi="ＭＳ ゴシック" w:hint="eastAsia"/>
                          <w:sz w:val="20"/>
                          <w:szCs w:val="20"/>
                        </w:rPr>
                        <w:t>の審査</w:t>
                      </w:r>
                    </w:p>
                  </w:txbxContent>
                </v:textbox>
              </v:shape>
            </w:pict>
          </mc:Fallback>
        </mc:AlternateContent>
      </w:r>
    </w:p>
    <w:p w14:paraId="5CD679F9" w14:textId="77777777" w:rsidR="008B4B2B" w:rsidRPr="00E0548A" w:rsidRDefault="008B4B2B" w:rsidP="008B4B2B">
      <w:pPr>
        <w:pStyle w:val="a0"/>
        <w:ind w:leftChars="210" w:left="443" w:firstLineChars="100" w:firstLine="221"/>
        <w:rPr>
          <w:rFonts w:ascii="ＭＳ ゴシック" w:eastAsia="ＭＳ ゴシック"/>
          <w:sz w:val="22"/>
          <w:szCs w:val="22"/>
        </w:rPr>
      </w:pPr>
      <w:r w:rsidRPr="00E0548A">
        <w:rPr>
          <w:rFonts w:ascii="ＭＳ ゴシック" w:eastAsia="ＭＳ ゴシック" w:hint="eastAsia"/>
          <w:noProof/>
          <w:sz w:val="22"/>
          <w:szCs w:val="22"/>
        </w:rPr>
        <mc:AlternateContent>
          <mc:Choice Requires="wps">
            <w:drawing>
              <wp:anchor distT="0" distB="0" distL="114300" distR="114300" simplePos="0" relativeHeight="253241344" behindDoc="0" locked="0" layoutInCell="1" allowOverlap="1" wp14:anchorId="06CC1E50" wp14:editId="7F93E31D">
                <wp:simplePos x="0" y="0"/>
                <wp:positionH relativeFrom="column">
                  <wp:posOffset>1988820</wp:posOffset>
                </wp:positionH>
                <wp:positionV relativeFrom="paragraph">
                  <wp:posOffset>54610</wp:posOffset>
                </wp:positionV>
                <wp:extent cx="1828800" cy="342900"/>
                <wp:effectExtent l="7620" t="6985" r="11430" b="12065"/>
                <wp:wrapNone/>
                <wp:docPr id="2485" name="Rectangle 244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28800" cy="342900"/>
                        </a:xfrm>
                        <a:prstGeom prst="rect">
                          <a:avLst/>
                        </a:prstGeom>
                        <a:solidFill>
                          <a:srgbClr val="FFFFFF"/>
                        </a:solidFill>
                        <a:ln w="9525">
                          <a:solidFill>
                            <a:srgbClr val="000000"/>
                          </a:solidFill>
                          <a:miter lim="800000"/>
                          <a:headEnd/>
                          <a:tailEnd/>
                        </a:ln>
                      </wps:spPr>
                      <wps:txbx>
                        <w:txbxContent>
                          <w:p w14:paraId="1446A690" w14:textId="77777777" w:rsidR="006A5267" w:rsidRPr="006F195A" w:rsidRDefault="006A5267" w:rsidP="008B4B2B">
                            <w:pPr>
                              <w:spacing w:line="240" w:lineRule="exact"/>
                              <w:jc w:val="center"/>
                              <w:rPr>
                                <w:rFonts w:ascii="ＭＳ ゴシック" w:eastAsia="ＭＳ ゴシック" w:hAnsi="ＭＳ ゴシック"/>
                                <w:sz w:val="20"/>
                                <w:szCs w:val="20"/>
                              </w:rPr>
                            </w:pPr>
                            <w:r w:rsidRPr="006F195A">
                              <w:rPr>
                                <w:rFonts w:ascii="ＭＳ ゴシック" w:eastAsia="ＭＳ ゴシック" w:hAnsi="ＭＳ ゴシック" w:hint="eastAsia"/>
                                <w:sz w:val="20"/>
                                <w:szCs w:val="20"/>
                              </w:rPr>
                              <w:t>公安委員会</w:t>
                            </w:r>
                          </w:p>
                          <w:p w14:paraId="7570A84B" w14:textId="77777777" w:rsidR="006A5267" w:rsidRDefault="006A5267" w:rsidP="008B4B2B">
                            <w:pPr>
                              <w:spacing w:line="240" w:lineRule="exact"/>
                              <w:jc w:val="center"/>
                            </w:pPr>
                            <w:r w:rsidRPr="006F195A">
                              <w:rPr>
                                <w:rFonts w:ascii="ＭＳ ゴシック" w:eastAsia="ＭＳ ゴシック" w:hAnsi="ＭＳ ゴシック" w:hint="eastAsia"/>
                                <w:sz w:val="20"/>
                                <w:szCs w:val="20"/>
                              </w:rPr>
                              <w:t>（大阪府警察本部）</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rect w14:anchorId="06CC1E50" id="Rectangle 2440" o:spid="_x0000_s1399" style="position:absolute;left:0;text-align:left;margin-left:156.6pt;margin-top:4.3pt;width:2in;height:27pt;z-index:2532413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">
                <v:textbox inset="5.85pt,.7pt,5.85pt,.7pt">
                  <w:txbxContent>
                    <w:p w14:paraId="1446A690" w14:textId="77777777" w:rsidR="006A5267" w:rsidRPr="006F195A" w:rsidRDefault="006A5267" w:rsidP="008B4B2B">
                      <w:pPr>
                        <w:spacing w:line="240" w:lineRule="exact"/>
                        <w:jc w:val="center"/>
                        <w:rPr>
                          <w:rFonts w:ascii="ＭＳ ゴシック" w:eastAsia="ＭＳ ゴシック" w:hAnsi="ＭＳ ゴシック"/>
                          <w:sz w:val="20"/>
                          <w:szCs w:val="20"/>
                        </w:rPr>
                      </w:pPr>
                      <w:r w:rsidRPr="006F195A">
                        <w:rPr>
                          <w:rFonts w:ascii="ＭＳ ゴシック" w:eastAsia="ＭＳ ゴシック" w:hAnsi="ＭＳ ゴシック" w:hint="eastAsia"/>
                          <w:sz w:val="20"/>
                          <w:szCs w:val="20"/>
                        </w:rPr>
                        <w:t>公安委員会</w:t>
                      </w:r>
                    </w:p>
                    <w:p w14:paraId="7570A84B" w14:textId="77777777" w:rsidR="006A5267" w:rsidRDefault="006A5267" w:rsidP="008B4B2B">
                      <w:pPr>
                        <w:spacing w:line="240" w:lineRule="exact"/>
                        <w:jc w:val="center"/>
                      </w:pPr>
                      <w:r w:rsidRPr="006F195A">
                        <w:rPr>
                          <w:rFonts w:ascii="ＭＳ ゴシック" w:eastAsia="ＭＳ ゴシック" w:hAnsi="ＭＳ ゴシック" w:hint="eastAsia"/>
                          <w:sz w:val="20"/>
                          <w:szCs w:val="20"/>
                        </w:rPr>
                        <w:t>（大阪府警察本部）</w:t>
                      </w:r>
                    </w:p>
                  </w:txbxContent>
                </v:textbox>
              </v:rect>
            </w:pict>
          </mc:Fallback>
        </mc:AlternateContent>
      </w:r>
    </w:p>
    <w:p w14:paraId="2B123AB9" w14:textId="77777777" w:rsidR="008B4B2B" w:rsidRPr="00E0548A" w:rsidRDefault="008B4B2B" w:rsidP="008B4B2B">
      <w:pPr>
        <w:pStyle w:val="a0"/>
        <w:ind w:leftChars="210" w:left="443" w:firstLineChars="100" w:firstLine="221"/>
        <w:rPr>
          <w:rFonts w:ascii="ＭＳ ゴシック" w:eastAsia="ＭＳ ゴシック"/>
          <w:sz w:val="22"/>
          <w:szCs w:val="22"/>
        </w:rPr>
      </w:pPr>
    </w:p>
    <w:p w14:paraId="756388F2" w14:textId="77777777" w:rsidR="008B4B2B" w:rsidRPr="00E0548A" w:rsidRDefault="008B4B2B" w:rsidP="008B4B2B">
      <w:pPr>
        <w:pStyle w:val="a0"/>
        <w:ind w:leftChars="210" w:left="443" w:firstLineChars="100" w:firstLine="221"/>
        <w:rPr>
          <w:rFonts w:ascii="ＭＳ ゴシック" w:eastAsia="ＭＳ ゴシック"/>
          <w:sz w:val="22"/>
          <w:szCs w:val="22"/>
        </w:rPr>
      </w:pPr>
      <w:r w:rsidRPr="00E0548A">
        <w:rPr>
          <w:rFonts w:ascii="ＭＳ ゴシック" w:eastAsia="ＭＳ ゴシック" w:hint="eastAsia"/>
          <w:noProof/>
          <w:sz w:val="22"/>
          <w:szCs w:val="22"/>
        </w:rPr>
        <mc:AlternateContent>
          <mc:Choice Requires="wps">
            <w:drawing>
              <wp:anchor distT="0" distB="0" distL="114300" distR="114300" simplePos="0" relativeHeight="253244416" behindDoc="0" locked="0" layoutInCell="1" allowOverlap="1" wp14:anchorId="085535CA" wp14:editId="677CBBA8">
                <wp:simplePos x="0" y="0"/>
                <wp:positionH relativeFrom="column">
                  <wp:posOffset>4389120</wp:posOffset>
                </wp:positionH>
                <wp:positionV relativeFrom="paragraph">
                  <wp:posOffset>54610</wp:posOffset>
                </wp:positionV>
                <wp:extent cx="800100" cy="457200"/>
                <wp:effectExtent l="7620" t="26035" r="11430" b="12065"/>
                <wp:wrapNone/>
                <wp:docPr id="2484" name="AutoShape 244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800100" cy="457200"/>
                        </a:xfrm>
                        <a:prstGeom prst="rightArrow">
                          <a:avLst>
                            <a:gd name="adj1" fmla="val 50000"/>
                            <a:gd name="adj2" fmla="val 43750"/>
                          </a:avLst>
                        </a:prstGeom>
                        <a:solidFill>
                          <a:srgbClr val="FFFFFF"/>
                        </a:solidFill>
                        <a:ln w="9525">
                          <a:solidFill>
                            <a:srgbClr val="000000"/>
                          </a:solidFill>
                          <a:miter lim="800000"/>
                          <a:headEnd/>
                          <a:tailEnd/>
                        </a:ln>
                      </wps:spPr>
                      <wps:txbx>
                        <w:txbxContent>
                          <w:p w14:paraId="4376758B" w14:textId="77777777" w:rsidR="006A5267" w:rsidRPr="00F85F2E" w:rsidRDefault="006A5267" w:rsidP="008B4B2B">
                            <w:pPr>
                              <w:rPr>
                                <w:rFonts w:ascii="ＭＳ ゴシック" w:eastAsia="ＭＳ ゴシック" w:hAnsi="ＭＳ ゴシック"/>
                                <w:sz w:val="20"/>
                                <w:szCs w:val="20"/>
                              </w:rPr>
                            </w:pPr>
                            <w:r>
                              <w:rPr>
                                <w:rFonts w:ascii="ＭＳ ゴシック" w:eastAsia="ＭＳ ゴシック" w:hAnsi="ＭＳ ゴシック" w:hint="eastAsia"/>
                                <w:sz w:val="20"/>
                                <w:szCs w:val="20"/>
                              </w:rPr>
                              <w:t>交付決定</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shape w14:anchorId="085535CA" id="AutoShape 2443" o:spid="_x0000_s1400" type="#_x0000_t13" style="position:absolute;left:0;text-align:left;margin-left:345.6pt;margin-top:4.3pt;width:63pt;height:36pt;z-index:2532444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">
                <v:textbox inset="5.85pt,.7pt,5.85pt,.7pt">
                  <w:txbxContent>
                    <w:p w14:paraId="4376758B" w14:textId="77777777" w:rsidR="006A5267" w:rsidRPr="00F85F2E" w:rsidRDefault="006A5267" w:rsidP="008B4B2B">
                      <w:pPr>
                        <w:rPr>
                          <w:rFonts w:ascii="ＭＳ ゴシック" w:eastAsia="ＭＳ ゴシック" w:hAnsi="ＭＳ ゴシック"/>
                          <w:sz w:val="20"/>
                          <w:szCs w:val="20"/>
                        </w:rPr>
                      </w:pPr>
                      <w:r>
                        <w:rPr>
                          <w:rFonts w:ascii="ＭＳ ゴシック" w:eastAsia="ＭＳ ゴシック" w:hAnsi="ＭＳ ゴシック" w:hint="eastAsia"/>
                          <w:sz w:val="20"/>
                          <w:szCs w:val="20"/>
                        </w:rPr>
                        <w:t>交付決定</w:t>
                      </w:r>
                    </w:p>
                  </w:txbxContent>
                </v:textbox>
              </v:shape>
            </w:pict>
          </mc:Fallback>
        </mc:AlternateContent>
      </w:r>
      <w:r w:rsidRPr="00E0548A">
        <w:rPr>
          <w:rFonts w:ascii="ＭＳ ゴシック" w:eastAsia="ＭＳ ゴシック" w:hint="eastAsia"/>
          <w:noProof/>
          <w:sz w:val="22"/>
          <w:szCs w:val="22"/>
        </w:rPr>
        <mc:AlternateContent>
          <mc:Choice Requires="wps">
            <w:drawing>
              <wp:anchor distT="0" distB="0" distL="114300" distR="114300" simplePos="0" relativeHeight="253240320" behindDoc="0" locked="0" layoutInCell="1" allowOverlap="1" wp14:anchorId="5A8468DE" wp14:editId="3737FA11">
                <wp:simplePos x="0" y="0"/>
                <wp:positionH relativeFrom="column">
                  <wp:posOffset>2674620</wp:posOffset>
                </wp:positionH>
                <wp:positionV relativeFrom="paragraph">
                  <wp:posOffset>54610</wp:posOffset>
                </wp:positionV>
                <wp:extent cx="457200" cy="228600"/>
                <wp:effectExtent l="0" t="0" r="1905" b="2540"/>
                <wp:wrapNone/>
                <wp:docPr id="2483" name="Text Box 243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57200" cy="2286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F3BF484" w14:textId="77777777" w:rsidR="006A5267" w:rsidRPr="006F195A" w:rsidRDefault="006A5267" w:rsidP="008B4B2B">
                            <w:pPr>
                              <w:rPr>
                                <w:rFonts w:ascii="ＭＳ ゴシック" w:eastAsia="ＭＳ ゴシック" w:hAnsi="ＭＳ ゴシック"/>
                                <w:sz w:val="20"/>
                                <w:szCs w:val="20"/>
                              </w:rPr>
                            </w:pPr>
                            <w:r w:rsidRPr="006F195A">
                              <w:rPr>
                                <w:rFonts w:ascii="ＭＳ ゴシック" w:eastAsia="ＭＳ ゴシック" w:hAnsi="ＭＳ ゴシック" w:hint="eastAsia"/>
                                <w:sz w:val="20"/>
                                <w:szCs w:val="20"/>
                              </w:rPr>
                              <w:t>又は</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shape w14:anchorId="5A8468DE" id="Text Box 2439" o:spid="_x0000_s1401" type="#_x0000_t202" style="position:absolute;left:0;text-align:left;margin-left:210.6pt;margin-top:4.3pt;width:36pt;height:18pt;z-index:2532403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" filled="f" stroked="f">
                <v:textbox inset="5.85pt,.7pt,5.85pt,.7pt">
                  <w:txbxContent>
                    <w:p w14:paraId="2F3BF484" w14:textId="77777777" w:rsidR="006A5267" w:rsidRPr="006F195A" w:rsidRDefault="006A5267" w:rsidP="008B4B2B">
                      <w:pPr>
                        <w:rPr>
                          <w:rFonts w:ascii="ＭＳ ゴシック" w:eastAsia="ＭＳ ゴシック" w:hAnsi="ＭＳ ゴシック"/>
                          <w:sz w:val="20"/>
                          <w:szCs w:val="20"/>
                        </w:rPr>
                      </w:pPr>
                      <w:r w:rsidRPr="006F195A">
                        <w:rPr>
                          <w:rFonts w:ascii="ＭＳ ゴシック" w:eastAsia="ＭＳ ゴシック" w:hAnsi="ＭＳ ゴシック" w:hint="eastAsia"/>
                          <w:sz w:val="20"/>
                          <w:szCs w:val="20"/>
                        </w:rPr>
                        <w:t>又は</w:t>
                      </w:r>
                    </w:p>
                  </w:txbxContent>
                </v:textbox>
              </v:shape>
            </w:pict>
          </mc:Fallback>
        </mc:AlternateContent>
      </w:r>
      <w:r w:rsidRPr="00E0548A">
        <w:rPr>
          <w:rFonts w:ascii="ＭＳ ゴシック" w:eastAsia="ＭＳ ゴシック" w:hint="eastAsia"/>
          <w:noProof/>
          <w:sz w:val="22"/>
          <w:szCs w:val="22"/>
        </w:rPr>
        <mc:AlternateContent>
          <mc:Choice Requires="wps">
            <w:drawing>
              <wp:anchor distT="0" distB="0" distL="114300" distR="114300" simplePos="0" relativeHeight="253242368" behindDoc="0" locked="0" layoutInCell="1" allowOverlap="1" wp14:anchorId="3DBBDEF6" wp14:editId="79813670">
                <wp:simplePos x="0" y="0"/>
                <wp:positionH relativeFrom="column">
                  <wp:posOffset>1074420</wp:posOffset>
                </wp:positionH>
                <wp:positionV relativeFrom="paragraph">
                  <wp:posOffset>54610</wp:posOffset>
                </wp:positionV>
                <wp:extent cx="800100" cy="457200"/>
                <wp:effectExtent l="7620" t="26035" r="11430" b="12065"/>
                <wp:wrapNone/>
                <wp:docPr id="2482" name="AutoShape 244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800100" cy="457200"/>
                        </a:xfrm>
                        <a:prstGeom prst="rightArrow">
                          <a:avLst>
                            <a:gd name="adj1" fmla="val 50000"/>
                            <a:gd name="adj2" fmla="val 43750"/>
                          </a:avLst>
                        </a:prstGeom>
                        <a:solidFill>
                          <a:srgbClr val="FFFFFF"/>
                        </a:solidFill>
                        <a:ln w="9525">
                          <a:solidFill>
                            <a:srgbClr val="000000"/>
                          </a:solidFill>
                          <a:miter lim="800000"/>
                          <a:headEnd/>
                          <a:tailEnd/>
                        </a:ln>
                      </wps:spPr>
                      <wps:txbx>
                        <w:txbxContent>
                          <w:p w14:paraId="326A56B2" w14:textId="15CF3A53" w:rsidR="006A5267" w:rsidRPr="008F449F" w:rsidRDefault="006A5267" w:rsidP="008B4B2B">
                            <w:pPr>
                              <w:rPr>
                                <w:rFonts w:ascii="ＭＳ ゴシック" w:eastAsia="ＭＳ ゴシック" w:hAnsi="ＭＳ ゴシック"/>
                                <w:color w:val="FF0000"/>
                                <w:sz w:val="20"/>
                                <w:szCs w:val="20"/>
                              </w:rPr>
                            </w:pPr>
                            <w:r w:rsidRPr="00F85F2E">
                              <w:rPr>
                                <w:rFonts w:ascii="ＭＳ ゴシック" w:eastAsia="ＭＳ ゴシック" w:hAnsi="ＭＳ ゴシック" w:hint="eastAsia"/>
                                <w:sz w:val="20"/>
                                <w:szCs w:val="20"/>
                              </w:rPr>
                              <w:t>確認</w:t>
                            </w:r>
                            <w:r w:rsidR="008F449F" w:rsidRPr="00340FB9">
                              <w:rPr>
                                <w:rFonts w:ascii="ＭＳ ゴシック" w:eastAsia="ＭＳ ゴシック" w:hAnsi="ＭＳ ゴシック" w:hint="eastAsia"/>
                                <w:sz w:val="20"/>
                                <w:szCs w:val="20"/>
                              </w:rPr>
                              <w:t>申出</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shape w14:anchorId="3DBBDEF6" id="AutoShape 2441" o:spid="_x0000_s1402" type="#_x0000_t13" style="position:absolute;left:0;text-align:left;margin-left:84.6pt;margin-top:4.3pt;width:63pt;height:36pt;z-index:2532423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">
                <v:textbox inset="5.85pt,.7pt,5.85pt,.7pt">
                  <w:txbxContent>
                    <w:p w14:paraId="326A56B2" w14:textId="15CF3A53" w:rsidR="006A5267" w:rsidRPr="008F449F" w:rsidRDefault="006A5267" w:rsidP="008B4B2B">
                      <w:pPr>
                        <w:rPr>
                          <w:rFonts w:ascii="ＭＳ ゴシック" w:eastAsia="ＭＳ ゴシック" w:hAnsi="ＭＳ ゴシック"/>
                          <w:color w:val="FF0000"/>
                          <w:sz w:val="20"/>
                          <w:szCs w:val="20"/>
                        </w:rPr>
                      </w:pPr>
                      <w:r w:rsidRPr="00F85F2E">
                        <w:rPr>
                          <w:rFonts w:ascii="ＭＳ ゴシック" w:eastAsia="ＭＳ ゴシック" w:hAnsi="ＭＳ ゴシック" w:hint="eastAsia"/>
                          <w:sz w:val="20"/>
                          <w:szCs w:val="20"/>
                        </w:rPr>
                        <w:t>確認</w:t>
                      </w:r>
                      <w:r w:rsidR="008F449F" w:rsidRPr="00340FB9">
                        <w:rPr>
                          <w:rFonts w:ascii="ＭＳ ゴシック" w:eastAsia="ＭＳ ゴシック" w:hAnsi="ＭＳ ゴシック" w:hint="eastAsia"/>
                          <w:sz w:val="20"/>
                          <w:szCs w:val="20"/>
                        </w:rPr>
                        <w:t>申出</w:t>
                      </w:r>
                    </w:p>
                  </w:txbxContent>
                </v:textbox>
              </v:shape>
            </w:pict>
          </mc:Fallback>
        </mc:AlternateContent>
      </w:r>
    </w:p>
    <w:p w14:paraId="06899F88" w14:textId="77777777" w:rsidR="008B4B2B" w:rsidRPr="00E0548A" w:rsidRDefault="008B4B2B" w:rsidP="008B4B2B">
      <w:pPr>
        <w:pStyle w:val="a0"/>
        <w:ind w:leftChars="210" w:left="443" w:firstLineChars="100" w:firstLine="221"/>
        <w:rPr>
          <w:rFonts w:ascii="ＭＳ ゴシック" w:eastAsia="ＭＳ ゴシック"/>
          <w:sz w:val="22"/>
          <w:szCs w:val="22"/>
        </w:rPr>
      </w:pPr>
      <w:r w:rsidRPr="00E0548A">
        <w:rPr>
          <w:rFonts w:ascii="ＭＳ ゴシック" w:eastAsia="ＭＳ ゴシック" w:hint="eastAsia"/>
          <w:noProof/>
          <w:sz w:val="22"/>
          <w:szCs w:val="22"/>
        </w:rPr>
        <mc:AlternateContent>
          <mc:Choice Requires="wps">
            <w:drawing>
              <wp:anchor distT="0" distB="0" distL="114300" distR="114300" simplePos="0" relativeHeight="253239296" behindDoc="0" locked="0" layoutInCell="1" allowOverlap="1" wp14:anchorId="2BEBFDF6" wp14:editId="6D1265D7">
                <wp:simplePos x="0" y="0"/>
                <wp:positionH relativeFrom="column">
                  <wp:posOffset>1988820</wp:posOffset>
                </wp:positionH>
                <wp:positionV relativeFrom="paragraph">
                  <wp:posOffset>168910</wp:posOffset>
                </wp:positionV>
                <wp:extent cx="1828800" cy="571500"/>
                <wp:effectExtent l="7620" t="6985" r="11430" b="12065"/>
                <wp:wrapNone/>
                <wp:docPr id="2481" name="AutoShape 243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28800" cy="571500"/>
                        </a:xfrm>
                        <a:prstGeom prst="roundRect">
                          <a:avLst>
                            <a:gd name="adj" fmla="val 16667"/>
                          </a:avLst>
                        </a:prstGeom>
                        <a:solidFill>
                          <a:srgbClr val="FFFFFF"/>
                        </a:solidFill>
                        <a:ln w="9525">
                          <a:solidFill>
                            <a:srgbClr val="000000"/>
                          </a:solidFill>
                          <a:round/>
                          <a:headEnd/>
                          <a:tailEnd/>
                        </a:ln>
                      </wps:spPr>
                      <wps:txbx>
                        <w:txbxContent>
                          <w:p w14:paraId="16922397" w14:textId="77777777" w:rsidR="006A5267" w:rsidRPr="00C04B22" w:rsidRDefault="006A5267" w:rsidP="008B4B2B">
                            <w:pPr>
                              <w:jc w:val="center"/>
                              <w:rPr>
                                <w:rFonts w:ascii="ＭＳ ゴシック" w:eastAsia="ＭＳ ゴシック" w:hAnsi="ＭＳ ゴシック"/>
                                <w:sz w:val="22"/>
                                <w:szCs w:val="22"/>
                              </w:rPr>
                            </w:pPr>
                            <w:r w:rsidRPr="00C04B22">
                              <w:rPr>
                                <w:rFonts w:ascii="ＭＳ ゴシック" w:eastAsia="ＭＳ ゴシック" w:hAnsi="ＭＳ ゴシック" w:hint="eastAsia"/>
                                <w:sz w:val="22"/>
                                <w:szCs w:val="22"/>
                              </w:rPr>
                              <w:t>大阪府知事</w:t>
                            </w:r>
                          </w:p>
                          <w:p w14:paraId="7F6C1ECF" w14:textId="77777777" w:rsidR="006A5267" w:rsidRPr="00B35001" w:rsidRDefault="006A5267" w:rsidP="008B4B2B">
                            <w:pPr>
                              <w:jc w:val="center"/>
                              <w:rPr>
                                <w:rFonts w:ascii="ＭＳ ゴシック" w:eastAsia="ＭＳ ゴシック" w:hAnsi="ＭＳ ゴシック"/>
                                <w:szCs w:val="22"/>
                              </w:rPr>
                            </w:pPr>
                            <w:r w:rsidRPr="00B35001">
                              <w:rPr>
                                <w:rFonts w:ascii="ＭＳ ゴシック" w:eastAsia="ＭＳ ゴシック" w:hAnsi="ＭＳ ゴシック" w:hint="eastAsia"/>
                                <w:szCs w:val="22"/>
                              </w:rPr>
                              <w:t>（危機管理室災害対策課）</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roundrect w14:anchorId="2BEBFDF6" id="AutoShape 2438" o:spid="_x0000_s1403" style="position:absolute;left:0;text-align:left;margin-left:156.6pt;margin-top:13.3pt;width:2in;height:45pt;z-index:2532392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">
                <v:textbox inset="5.85pt,.7pt,5.85pt,.7pt">
                  <w:txbxContent>
                    <w:p w14:paraId="16922397" w14:textId="77777777" w:rsidR="006A5267" w:rsidRPr="00C04B22" w:rsidRDefault="006A5267" w:rsidP="008B4B2B">
                      <w:pPr>
                        <w:jc w:val="center"/>
                        <w:rPr>
                          <w:rFonts w:ascii="ＭＳ ゴシック" w:eastAsia="ＭＳ ゴシック" w:hAnsi="ＭＳ ゴシック"/>
                          <w:sz w:val="22"/>
                          <w:szCs w:val="22"/>
                        </w:rPr>
                      </w:pPr>
                      <w:r w:rsidRPr="00C04B22">
                        <w:rPr>
                          <w:rFonts w:ascii="ＭＳ ゴシック" w:eastAsia="ＭＳ ゴシック" w:hAnsi="ＭＳ ゴシック" w:hint="eastAsia"/>
                          <w:sz w:val="22"/>
                          <w:szCs w:val="22"/>
                        </w:rPr>
                        <w:t>大阪府知事</w:t>
                      </w:r>
                    </w:p>
                    <w:p w14:paraId="7F6C1ECF" w14:textId="77777777" w:rsidR="006A5267" w:rsidRPr="00B35001" w:rsidRDefault="006A5267" w:rsidP="008B4B2B">
                      <w:pPr>
                        <w:jc w:val="center"/>
                        <w:rPr>
                          <w:rFonts w:ascii="ＭＳ ゴシック" w:eastAsia="ＭＳ ゴシック" w:hAnsi="ＭＳ ゴシック"/>
                          <w:szCs w:val="22"/>
                        </w:rPr>
                      </w:pPr>
                      <w:r w:rsidRPr="00B35001">
                        <w:rPr>
                          <w:rFonts w:ascii="ＭＳ ゴシック" w:eastAsia="ＭＳ ゴシック" w:hAnsi="ＭＳ ゴシック" w:hint="eastAsia"/>
                          <w:szCs w:val="22"/>
                        </w:rPr>
                        <w:t>（危機管理室災害対策課）</w:t>
                      </w:r>
                    </w:p>
                  </w:txbxContent>
                </v:textbox>
              </v:roundrect>
            </w:pict>
          </mc:Fallback>
        </mc:AlternateContent>
      </w:r>
    </w:p>
    <w:p w14:paraId="68B9E25F" w14:textId="77777777" w:rsidR="008B4B2B" w:rsidRPr="00E0548A" w:rsidRDefault="008B4B2B" w:rsidP="008B4B2B">
      <w:pPr>
        <w:pStyle w:val="a0"/>
        <w:ind w:leftChars="210" w:left="443" w:firstLineChars="100" w:firstLine="221"/>
        <w:rPr>
          <w:rFonts w:ascii="ＭＳ ゴシック" w:eastAsia="ＭＳ ゴシック"/>
          <w:sz w:val="22"/>
          <w:szCs w:val="22"/>
        </w:rPr>
      </w:pPr>
      <w:r w:rsidRPr="00E0548A">
        <w:rPr>
          <w:rFonts w:ascii="ＭＳ ゴシック" w:eastAsia="ＭＳ ゴシック" w:hint="eastAsia"/>
          <w:noProof/>
          <w:sz w:val="22"/>
          <w:szCs w:val="22"/>
        </w:rPr>
        <mc:AlternateContent>
          <mc:Choice Requires="wps">
            <w:drawing>
              <wp:anchor distT="0" distB="0" distL="114300" distR="114300" simplePos="0" relativeHeight="253247488" behindDoc="0" locked="0" layoutInCell="1" allowOverlap="1" wp14:anchorId="52E00B46" wp14:editId="75D9CC62">
                <wp:simplePos x="0" y="0"/>
                <wp:positionH relativeFrom="column">
                  <wp:posOffset>264795</wp:posOffset>
                </wp:positionH>
                <wp:positionV relativeFrom="paragraph">
                  <wp:posOffset>118745</wp:posOffset>
                </wp:positionV>
                <wp:extent cx="1063625" cy="216535"/>
                <wp:effectExtent l="0" t="4445" r="0" b="0"/>
                <wp:wrapNone/>
                <wp:docPr id="2480" name="Rectangle 244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63625" cy="2165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2F5BF56" w14:textId="77777777" w:rsidR="006A5267" w:rsidRPr="00C04B22" w:rsidRDefault="006A5267" w:rsidP="008B4B2B">
                            <w:pPr>
                              <w:rPr>
                                <w:rFonts w:ascii="ＭＳ ゴシック" w:eastAsia="ＭＳ ゴシック" w:hAnsi="ＭＳ ゴシック"/>
                                <w:sz w:val="20"/>
                                <w:szCs w:val="20"/>
                              </w:rPr>
                            </w:pPr>
                            <w:r w:rsidRPr="00C04B22">
                              <w:rPr>
                                <w:rFonts w:ascii="ＭＳ ゴシック" w:eastAsia="ＭＳ ゴシック" w:hAnsi="ＭＳ ゴシック" w:hint="eastAsia"/>
                                <w:sz w:val="20"/>
                                <w:szCs w:val="20"/>
                              </w:rPr>
                              <w:t>確認申請書作成</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rect w14:anchorId="52E00B46" id="Rectangle 2446" o:spid="_x0000_s1404" style="position:absolute;left:0;text-align:left;margin-left:20.85pt;margin-top:9.35pt;width:83.75pt;height:17.05pt;z-index:2532474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" filled="f" stroked="f">
                <v:textbox inset="5.85pt,.7pt,5.85pt,.7pt">
                  <w:txbxContent>
                    <w:p w14:paraId="42F5BF56" w14:textId="77777777" w:rsidR="006A5267" w:rsidRPr="00C04B22" w:rsidRDefault="006A5267" w:rsidP="008B4B2B">
                      <w:pPr>
                        <w:rPr>
                          <w:rFonts w:ascii="ＭＳ ゴシック" w:eastAsia="ＭＳ ゴシック" w:hAnsi="ＭＳ ゴシック"/>
                          <w:sz w:val="20"/>
                          <w:szCs w:val="20"/>
                        </w:rPr>
                      </w:pPr>
                      <w:r w:rsidRPr="00C04B22">
                        <w:rPr>
                          <w:rFonts w:ascii="ＭＳ ゴシック" w:eastAsia="ＭＳ ゴシック" w:hAnsi="ＭＳ ゴシック" w:hint="eastAsia"/>
                          <w:sz w:val="20"/>
                          <w:szCs w:val="20"/>
                        </w:rPr>
                        <w:t>確認申請書作成</w:t>
                      </w:r>
                    </w:p>
                  </w:txbxContent>
                </v:textbox>
              </v:rect>
            </w:pict>
          </mc:Fallback>
        </mc:AlternateContent>
      </w:r>
      <w:r w:rsidRPr="00E0548A">
        <w:rPr>
          <w:rFonts w:ascii="ＭＳ ゴシック" w:eastAsia="ＭＳ ゴシック" w:hint="eastAsia"/>
          <w:noProof/>
          <w:sz w:val="22"/>
          <w:szCs w:val="22"/>
        </w:rPr>
        <mc:AlternateContent>
          <mc:Choice Requires="wps">
            <w:drawing>
              <wp:anchor distT="0" distB="0" distL="114300" distR="114300" simplePos="0" relativeHeight="253246464" behindDoc="0" locked="0" layoutInCell="1" allowOverlap="1" wp14:anchorId="1B690560" wp14:editId="3F82BF5E">
                <wp:simplePos x="0" y="0"/>
                <wp:positionH relativeFrom="column">
                  <wp:posOffset>5189220</wp:posOffset>
                </wp:positionH>
                <wp:positionV relativeFrom="paragraph">
                  <wp:posOffset>168910</wp:posOffset>
                </wp:positionV>
                <wp:extent cx="914400" cy="457200"/>
                <wp:effectExtent l="0" t="0" r="1905" b="2540"/>
                <wp:wrapNone/>
                <wp:docPr id="2479" name="Rectangle 244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14400" cy="4572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52331AF" w14:textId="77777777" w:rsidR="006A5267" w:rsidRDefault="006A5267" w:rsidP="008B4B2B">
                            <w:pPr>
                              <w:rPr>
                                <w:rFonts w:ascii="ＭＳ ゴシック" w:eastAsia="ＭＳ ゴシック" w:hAnsi="ＭＳ ゴシック"/>
                                <w:sz w:val="20"/>
                                <w:szCs w:val="20"/>
                              </w:rPr>
                            </w:pPr>
                            <w:r>
                              <w:rPr>
                                <w:rFonts w:ascii="ＭＳ ゴシック" w:eastAsia="ＭＳ ゴシック" w:hAnsi="ＭＳ ゴシック" w:hint="eastAsia"/>
                                <w:sz w:val="20"/>
                                <w:szCs w:val="20"/>
                              </w:rPr>
                              <w:t>証明書及び</w:t>
                            </w:r>
                          </w:p>
                          <w:p w14:paraId="7235DCAA" w14:textId="77777777" w:rsidR="006A5267" w:rsidRPr="00C04B22" w:rsidRDefault="006A5267" w:rsidP="008B4B2B">
                            <w:pPr>
                              <w:rPr>
                                <w:rFonts w:ascii="ＭＳ ゴシック" w:eastAsia="ＭＳ ゴシック" w:hAnsi="ＭＳ ゴシック"/>
                                <w:sz w:val="20"/>
                                <w:szCs w:val="20"/>
                              </w:rPr>
                            </w:pPr>
                            <w:r>
                              <w:rPr>
                                <w:rFonts w:ascii="ＭＳ ゴシック" w:eastAsia="ＭＳ ゴシック" w:hAnsi="ＭＳ ゴシック" w:hint="eastAsia"/>
                                <w:sz w:val="20"/>
                                <w:szCs w:val="20"/>
                              </w:rPr>
                              <w:t>標章を発行</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rect w14:anchorId="1B690560" id="Rectangle 2445" o:spid="_x0000_s1405" style="position:absolute;left:0;text-align:left;margin-left:408.6pt;margin-top:13.3pt;width:1in;height:36pt;z-index:2532464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" filled="f" stroked="f">
                <v:textbox inset="5.85pt,.7pt,5.85pt,.7pt">
                  <w:txbxContent>
                    <w:p w14:paraId="452331AF" w14:textId="77777777" w:rsidR="006A5267" w:rsidRDefault="006A5267" w:rsidP="008B4B2B">
                      <w:pPr>
                        <w:rPr>
                          <w:rFonts w:ascii="ＭＳ ゴシック" w:eastAsia="ＭＳ ゴシック" w:hAnsi="ＭＳ ゴシック"/>
                          <w:sz w:val="20"/>
                          <w:szCs w:val="20"/>
                        </w:rPr>
                      </w:pPr>
                      <w:r>
                        <w:rPr>
                          <w:rFonts w:ascii="ＭＳ ゴシック" w:eastAsia="ＭＳ ゴシック" w:hAnsi="ＭＳ ゴシック" w:hint="eastAsia"/>
                          <w:sz w:val="20"/>
                          <w:szCs w:val="20"/>
                        </w:rPr>
                        <w:t>証明書及び</w:t>
                      </w:r>
                    </w:p>
                    <w:p w14:paraId="7235DCAA" w14:textId="77777777" w:rsidR="006A5267" w:rsidRPr="00C04B22" w:rsidRDefault="006A5267" w:rsidP="008B4B2B">
                      <w:pPr>
                        <w:rPr>
                          <w:rFonts w:ascii="ＭＳ ゴシック" w:eastAsia="ＭＳ ゴシック" w:hAnsi="ＭＳ ゴシック"/>
                          <w:sz w:val="20"/>
                          <w:szCs w:val="20"/>
                        </w:rPr>
                      </w:pPr>
                      <w:r>
                        <w:rPr>
                          <w:rFonts w:ascii="ＭＳ ゴシック" w:eastAsia="ＭＳ ゴシック" w:hAnsi="ＭＳ ゴシック" w:hint="eastAsia"/>
                          <w:sz w:val="20"/>
                          <w:szCs w:val="20"/>
                        </w:rPr>
                        <w:t>標章を発行</w:t>
                      </w:r>
                    </w:p>
                  </w:txbxContent>
                </v:textbox>
              </v:rect>
            </w:pict>
          </mc:Fallback>
        </mc:AlternateContent>
      </w:r>
    </w:p>
    <w:p w14:paraId="3E2E38AB" w14:textId="77777777" w:rsidR="008B4B2B" w:rsidRPr="00E0548A" w:rsidRDefault="008B4B2B" w:rsidP="008B4B2B">
      <w:pPr>
        <w:pStyle w:val="a0"/>
        <w:ind w:leftChars="210" w:left="443" w:firstLineChars="100" w:firstLine="221"/>
        <w:rPr>
          <w:rFonts w:ascii="ＭＳ ゴシック" w:eastAsia="ＭＳ ゴシック"/>
          <w:sz w:val="22"/>
          <w:szCs w:val="22"/>
        </w:rPr>
      </w:pPr>
    </w:p>
    <w:p w14:paraId="0E40D004" w14:textId="77777777" w:rsidR="008B4B2B" w:rsidRPr="00E0548A" w:rsidRDefault="008B4B2B" w:rsidP="008B4B2B">
      <w:pPr>
        <w:pStyle w:val="a0"/>
        <w:ind w:leftChars="210" w:left="443" w:firstLineChars="100" w:firstLine="221"/>
        <w:rPr>
          <w:rFonts w:ascii="ＭＳ ゴシック" w:eastAsia="ＭＳ ゴシック"/>
          <w:sz w:val="22"/>
          <w:szCs w:val="22"/>
        </w:rPr>
      </w:pPr>
    </w:p>
    <w:p w14:paraId="6778DF66" w14:textId="77777777" w:rsidR="008B4B2B" w:rsidRPr="00E0548A" w:rsidRDefault="008B4B2B" w:rsidP="008B4B2B">
      <w:pPr>
        <w:pStyle w:val="a0"/>
        <w:rPr>
          <w:rFonts w:ascii="ＭＳ ゴシック" w:eastAsia="ＭＳ ゴシック"/>
          <w:sz w:val="22"/>
          <w:szCs w:val="22"/>
        </w:rPr>
      </w:pPr>
    </w:p>
    <w:p w14:paraId="231F43DE" w14:textId="4A2AC238" w:rsidR="008B4B2B" w:rsidRPr="00E0548A" w:rsidRDefault="008B4B2B" w:rsidP="008B4B2B">
      <w:pPr>
        <w:pStyle w:val="a0"/>
        <w:ind w:leftChars="210" w:left="1217" w:hangingChars="350" w:hanging="774"/>
        <w:rPr>
          <w:sz w:val="22"/>
          <w:szCs w:val="22"/>
        </w:rPr>
      </w:pPr>
      <w:r w:rsidRPr="00E0548A">
        <w:rPr>
          <w:rFonts w:hint="eastAsia"/>
          <w:sz w:val="22"/>
          <w:szCs w:val="22"/>
        </w:rPr>
        <w:t xml:space="preserve">　　(1)　災害対策課長は、災害応急対策に必要な車両の使用者等から緊急通行車両の確認の</w:t>
      </w:r>
      <w:r w:rsidR="008F449F" w:rsidRPr="00E0548A">
        <w:rPr>
          <w:rFonts w:hint="eastAsia"/>
          <w:sz w:val="22"/>
          <w:szCs w:val="22"/>
        </w:rPr>
        <w:t>申出</w:t>
      </w:r>
      <w:r w:rsidRPr="00E0548A">
        <w:rPr>
          <w:rFonts w:hint="eastAsia"/>
          <w:sz w:val="22"/>
          <w:szCs w:val="22"/>
        </w:rPr>
        <w:t>があったときは、速やかに内容等を審査するものとし、適正で</w:t>
      </w:r>
      <w:r w:rsidR="005308A9" w:rsidRPr="00E0548A">
        <w:rPr>
          <w:rFonts w:hint="eastAsia"/>
          <w:sz w:val="22"/>
          <w:szCs w:val="22"/>
        </w:rPr>
        <w:t>あると判断した場合は、緊急通行車両確認証明書及び標章（資料集</w:t>
      </w:r>
      <w:r w:rsidR="008F449F" w:rsidRPr="00E0548A">
        <w:rPr>
          <w:rFonts w:hint="eastAsia"/>
          <w:sz w:val="22"/>
          <w:szCs w:val="22"/>
        </w:rPr>
        <w:t>７</w:t>
      </w:r>
      <w:r w:rsidR="00800DFB" w:rsidRPr="00E0548A">
        <w:rPr>
          <w:rFonts w:hint="eastAsia"/>
          <w:sz w:val="22"/>
          <w:szCs w:val="22"/>
        </w:rPr>
        <w:t>８</w:t>
      </w:r>
      <w:r w:rsidR="00184EFC" w:rsidRPr="00E0548A">
        <w:rPr>
          <w:rFonts w:hint="eastAsia"/>
          <w:sz w:val="22"/>
          <w:szCs w:val="22"/>
        </w:rPr>
        <w:t>～</w:t>
      </w:r>
      <w:r w:rsidR="008F449F" w:rsidRPr="00E0548A">
        <w:rPr>
          <w:rFonts w:hint="eastAsia"/>
          <w:sz w:val="22"/>
          <w:szCs w:val="22"/>
        </w:rPr>
        <w:t>７</w:t>
      </w:r>
      <w:r w:rsidR="00800DFB" w:rsidRPr="00E0548A">
        <w:rPr>
          <w:rFonts w:hint="eastAsia"/>
          <w:sz w:val="22"/>
          <w:szCs w:val="22"/>
        </w:rPr>
        <w:t>９</w:t>
      </w:r>
      <w:r w:rsidRPr="00E0548A">
        <w:rPr>
          <w:rFonts w:hint="eastAsia"/>
          <w:sz w:val="22"/>
          <w:szCs w:val="22"/>
        </w:rPr>
        <w:t>頁）を使用者に交付する。</w:t>
      </w:r>
    </w:p>
    <w:p w14:paraId="017B6023" w14:textId="77777777" w:rsidR="008B4B2B" w:rsidRPr="00E0548A" w:rsidRDefault="008B4B2B" w:rsidP="008B4B2B">
      <w:pPr>
        <w:pStyle w:val="a0"/>
        <w:ind w:leftChars="420" w:left="1219" w:hangingChars="150" w:hanging="332"/>
        <w:rPr>
          <w:sz w:val="22"/>
          <w:szCs w:val="22"/>
        </w:rPr>
      </w:pPr>
      <w:r w:rsidRPr="00E0548A">
        <w:rPr>
          <w:rFonts w:hint="eastAsia"/>
          <w:sz w:val="22"/>
          <w:szCs w:val="22"/>
        </w:rPr>
        <w:t>(2)　公安委員会において、これを行う場合は、交通規制課長、高速道路交通警察隊長及び各警察署長が緊急通行車両の確認及び証明書等の交付を行う。</w:t>
      </w:r>
    </w:p>
    <w:p w14:paraId="7523D2F0" w14:textId="77777777" w:rsidR="008B4B2B" w:rsidRPr="00E0548A" w:rsidRDefault="008B4B2B" w:rsidP="008B4B2B">
      <w:pPr>
        <w:pStyle w:val="a0"/>
        <w:ind w:left="1161" w:hangingChars="550" w:hanging="1161"/>
      </w:pPr>
      <w:r w:rsidRPr="00E0548A">
        <w:rPr>
          <w:rFonts w:hint="eastAsia"/>
        </w:rPr>
        <w:t xml:space="preserve">　　 　　(3)　公安委員会において、事前に災害応急対策に必要な車両の使用者等に対して、「緊急通行車両等事前届出済証」を交付した車両については、事前届出車両以外の車両に優先して、上記緊急通行車両の確認及び証明書等の交付を行う。</w:t>
      </w:r>
    </w:p>
    <w:p w14:paraId="7A60322D" w14:textId="77777777" w:rsidR="008B4B2B" w:rsidRPr="00E0548A" w:rsidRDefault="008B4B2B" w:rsidP="008B4B2B">
      <w:pPr>
        <w:pStyle w:val="a0"/>
        <w:ind w:left="1161" w:hangingChars="550" w:hanging="1161"/>
      </w:pPr>
    </w:p>
    <w:p w14:paraId="5771F0CA" w14:textId="77777777" w:rsidR="008B4B2B" w:rsidRPr="00E0548A" w:rsidRDefault="008B4B2B" w:rsidP="008B4B2B">
      <w:pPr>
        <w:pStyle w:val="a0"/>
        <w:ind w:rightChars="-590" w:right="-1245" w:firstLineChars="300" w:firstLine="663"/>
        <w:rPr>
          <w:rFonts w:ascii="ＭＳ ゴシック" w:eastAsia="ＭＳ ゴシック" w:hAnsi="ＭＳ ゴシック"/>
          <w:sz w:val="22"/>
          <w:szCs w:val="22"/>
          <w:u w:val="single"/>
        </w:rPr>
      </w:pPr>
      <w:r w:rsidRPr="00E0548A">
        <w:rPr>
          <w:rFonts w:ascii="ＭＳ ゴシック" w:eastAsia="ＭＳ ゴシック" w:hAnsi="ＭＳ ゴシック" w:hint="eastAsia"/>
          <w:sz w:val="22"/>
          <w:szCs w:val="22"/>
          <w:u w:val="single"/>
        </w:rPr>
        <w:t>５　料金を徴収しない車両の取扱い（災害派遣等従事車両証明書の発行等）</w:t>
      </w:r>
    </w:p>
    <w:p w14:paraId="492F6CBE" w14:textId="77777777" w:rsidR="008B4B2B" w:rsidRPr="00E0548A" w:rsidRDefault="008B4B2B" w:rsidP="008B4B2B">
      <w:pPr>
        <w:pStyle w:val="a0"/>
        <w:ind w:rightChars="-590" w:right="-1245" w:firstLineChars="500" w:firstLine="1105"/>
        <w:rPr>
          <w:rFonts w:ascii="ＭＳ ゴシック" w:eastAsia="ＭＳ ゴシック" w:hAnsi="ＭＳ ゴシック"/>
          <w:sz w:val="22"/>
          <w:szCs w:val="22"/>
          <w:u w:val="single"/>
        </w:rPr>
      </w:pPr>
      <w:r w:rsidRPr="00E0548A">
        <w:rPr>
          <w:rFonts w:ascii="ＭＳ ゴシック" w:eastAsia="ＭＳ ゴシック" w:hAnsi="ＭＳ ゴシック" w:hint="eastAsia"/>
          <w:sz w:val="22"/>
          <w:szCs w:val="22"/>
          <w:u w:val="single"/>
          <w:shd w:val="pct15" w:color="auto" w:fill="FFFFFF"/>
        </w:rPr>
        <w:t>【第４フェーズ～】</w:t>
      </w:r>
    </w:p>
    <w:p w14:paraId="3B6B9C6D" w14:textId="77777777" w:rsidR="008B4B2B" w:rsidRPr="00E0548A" w:rsidRDefault="008B4B2B" w:rsidP="008B4B2B">
      <w:pPr>
        <w:ind w:left="1216" w:hangingChars="550" w:hanging="1216"/>
        <w:rPr>
          <w:rFonts w:ascii="ＭＳ 明朝" w:hAnsi="ＭＳ 明朝"/>
          <w:sz w:val="22"/>
          <w:szCs w:val="22"/>
        </w:rPr>
      </w:pPr>
      <w:r w:rsidRPr="00E0548A">
        <w:rPr>
          <w:rFonts w:ascii="ＭＳ 明朝" w:hAnsi="ＭＳ 明朝" w:hint="eastAsia"/>
          <w:sz w:val="22"/>
          <w:szCs w:val="22"/>
        </w:rPr>
        <w:t xml:space="preserve">　　　　(1)　災害対策課長は、高速道路会社や道路公社等と調整の上、料金を徴収しない車両の取り扱いについて、各都道府県、府内市町村に周知するものとする。</w:t>
      </w:r>
    </w:p>
    <w:p w14:paraId="2A5CCE8D" w14:textId="4F5F576F" w:rsidR="008B4B2B" w:rsidRPr="00E0548A" w:rsidRDefault="008B4B2B" w:rsidP="008B4B2B">
      <w:pPr>
        <w:ind w:left="1216" w:hangingChars="550" w:hanging="1216"/>
        <w:rPr>
          <w:sz w:val="22"/>
          <w:szCs w:val="22"/>
        </w:rPr>
      </w:pPr>
      <w:r w:rsidRPr="00E0548A">
        <w:rPr>
          <w:rFonts w:ascii="ＭＳ 明朝" w:hAnsi="ＭＳ 明朝" w:hint="eastAsia"/>
          <w:sz w:val="22"/>
          <w:szCs w:val="22"/>
        </w:rPr>
        <w:t xml:space="preserve">　　　　(2)　</w:t>
      </w:r>
      <w:r w:rsidRPr="00E0548A">
        <w:rPr>
          <w:rFonts w:hint="eastAsia"/>
          <w:sz w:val="22"/>
          <w:szCs w:val="22"/>
        </w:rPr>
        <w:t>災害対策課長は、災害応急対策に必要な車両の使用者等から災害派遣等従事車両証明の申請があったときは、速やかに内容等を審査するものとし、適正であると判断した場合は、災害派遣等従事車両証明書（資料集</w:t>
      </w:r>
      <w:r w:rsidR="00800DFB" w:rsidRPr="00E0548A">
        <w:rPr>
          <w:rFonts w:hint="eastAsia"/>
          <w:sz w:val="22"/>
          <w:szCs w:val="22"/>
        </w:rPr>
        <w:t>８０</w:t>
      </w:r>
      <w:r w:rsidRPr="00E0548A">
        <w:rPr>
          <w:rFonts w:hint="eastAsia"/>
          <w:sz w:val="22"/>
          <w:szCs w:val="22"/>
        </w:rPr>
        <w:t>頁）を使用者に交付する。</w:t>
      </w:r>
    </w:p>
    <w:p w14:paraId="456CBF9A" w14:textId="77777777" w:rsidR="008B4B2B" w:rsidRPr="00E0548A" w:rsidRDefault="008B4B2B" w:rsidP="008B4B2B">
      <w:pPr>
        <w:ind w:left="1216" w:hangingChars="550" w:hanging="1216"/>
        <w:rPr>
          <w:sz w:val="22"/>
          <w:szCs w:val="22"/>
        </w:rPr>
      </w:pPr>
    </w:p>
    <w:p w14:paraId="77FF629D" w14:textId="77777777" w:rsidR="008B4B2B" w:rsidRPr="00E0548A" w:rsidRDefault="008B4B2B" w:rsidP="008B4B2B">
      <w:pPr>
        <w:ind w:left="1216" w:hangingChars="550" w:hanging="1216"/>
        <w:rPr>
          <w:sz w:val="22"/>
          <w:szCs w:val="22"/>
        </w:rPr>
      </w:pPr>
    </w:p>
    <w:p w14:paraId="1B7721EA" w14:textId="77777777" w:rsidR="008B4B2B" w:rsidRPr="00E0548A" w:rsidRDefault="008B4B2B" w:rsidP="008B4B2B">
      <w:pPr>
        <w:ind w:left="1216" w:hangingChars="550" w:hanging="1216"/>
        <w:rPr>
          <w:sz w:val="22"/>
          <w:szCs w:val="22"/>
        </w:rPr>
      </w:pPr>
    </w:p>
    <w:p w14:paraId="445CD1AB" w14:textId="77777777" w:rsidR="008B4B2B" w:rsidRPr="00E0548A" w:rsidRDefault="008B4B2B" w:rsidP="008B4B2B">
      <w:pPr>
        <w:pStyle w:val="a0"/>
        <w:ind w:firstLineChars="300" w:firstLine="663"/>
        <w:rPr>
          <w:rFonts w:ascii="ＭＳ ゴシック" w:eastAsia="ＭＳ ゴシック" w:hAnsi="ＭＳ ゴシック"/>
          <w:sz w:val="22"/>
          <w:szCs w:val="22"/>
          <w:u w:val="single"/>
        </w:rPr>
      </w:pPr>
      <w:r w:rsidRPr="00E0548A">
        <w:rPr>
          <w:rFonts w:ascii="ＭＳ ゴシック" w:eastAsia="ＭＳ ゴシック" w:hAnsi="ＭＳ ゴシック" w:hint="eastAsia"/>
          <w:sz w:val="22"/>
          <w:szCs w:val="22"/>
          <w:u w:val="single"/>
        </w:rPr>
        <w:lastRenderedPageBreak/>
        <w:t>６　輸送手段の確保（陸上・水上・航空）</w:t>
      </w:r>
      <w:r w:rsidRPr="00E0548A">
        <w:rPr>
          <w:rFonts w:ascii="ＭＳ ゴシック" w:eastAsia="ＭＳ ゴシック" w:hAnsi="ＭＳ ゴシック" w:hint="eastAsia"/>
          <w:sz w:val="22"/>
          <w:szCs w:val="22"/>
          <w:u w:val="single"/>
          <w:shd w:val="pct15" w:color="auto" w:fill="FFFFFF"/>
        </w:rPr>
        <w:t>【第３フェーズ～】</w:t>
      </w:r>
    </w:p>
    <w:p w14:paraId="37E467C9" w14:textId="77777777" w:rsidR="008B4B2B" w:rsidRPr="00E0548A" w:rsidRDefault="008B4B2B" w:rsidP="008B4B2B">
      <w:pPr>
        <w:pStyle w:val="a0"/>
        <w:ind w:firstLineChars="400" w:firstLine="884"/>
        <w:rPr>
          <w:sz w:val="22"/>
          <w:szCs w:val="22"/>
        </w:rPr>
      </w:pPr>
      <w:r w:rsidRPr="00E0548A">
        <w:rPr>
          <w:rFonts w:hint="eastAsia"/>
          <w:sz w:val="22"/>
          <w:szCs w:val="22"/>
        </w:rPr>
        <w:t xml:space="preserve">　災害対策課長は、府警察、自衛隊、並びに</w:t>
      </w:r>
    </w:p>
    <w:p w14:paraId="57EE19AB" w14:textId="43F5AB96" w:rsidR="00C46ADE" w:rsidRPr="00E0548A" w:rsidRDefault="008B4B2B" w:rsidP="00E0548A">
      <w:pPr>
        <w:pStyle w:val="a0"/>
        <w:ind w:leftChars="400" w:left="1134" w:hangingChars="131" w:hanging="290"/>
        <w:rPr>
          <w:sz w:val="22"/>
          <w:szCs w:val="22"/>
        </w:rPr>
      </w:pPr>
      <w:r w:rsidRPr="00E0548A">
        <w:rPr>
          <w:rFonts w:hint="eastAsia"/>
          <w:sz w:val="22"/>
          <w:szCs w:val="22"/>
        </w:rPr>
        <w:t>○</w:t>
      </w:r>
      <w:r w:rsidR="00C46ADE" w:rsidRPr="00E0548A">
        <w:rPr>
          <w:rFonts w:hint="eastAsia"/>
          <w:sz w:val="22"/>
          <w:szCs w:val="22"/>
        </w:rPr>
        <w:t xml:space="preserve">　</w:t>
      </w:r>
      <w:r w:rsidRPr="00E0548A">
        <w:rPr>
          <w:rFonts w:hint="eastAsia"/>
          <w:sz w:val="22"/>
          <w:szCs w:val="22"/>
        </w:rPr>
        <w:t>日本通運株式会社、一般社団法人大阪府トラック協会及び赤帽大阪府軽自動車運送協同組合などの運送事業者（陸上の場合）</w:t>
      </w:r>
    </w:p>
    <w:p w14:paraId="07ABCFF9" w14:textId="42C48384" w:rsidR="00C46ADE" w:rsidRPr="00E0548A" w:rsidRDefault="008B4B2B" w:rsidP="00E0548A">
      <w:pPr>
        <w:pStyle w:val="a0"/>
        <w:ind w:leftChars="400" w:left="1134" w:hangingChars="131" w:hanging="290"/>
        <w:rPr>
          <w:sz w:val="22"/>
          <w:szCs w:val="22"/>
        </w:rPr>
      </w:pPr>
      <w:r w:rsidRPr="00E0548A">
        <w:rPr>
          <w:rFonts w:hint="eastAsia"/>
          <w:sz w:val="22"/>
          <w:szCs w:val="22"/>
        </w:rPr>
        <w:t>○</w:t>
      </w:r>
      <w:r w:rsidR="00C46ADE" w:rsidRPr="00E0548A">
        <w:rPr>
          <w:rFonts w:hint="eastAsia"/>
          <w:sz w:val="22"/>
          <w:szCs w:val="22"/>
        </w:rPr>
        <w:t xml:space="preserve">　</w:t>
      </w:r>
      <w:r w:rsidRPr="00E0548A">
        <w:rPr>
          <w:rFonts w:hint="eastAsia"/>
          <w:sz w:val="22"/>
          <w:szCs w:val="22"/>
        </w:rPr>
        <w:t>第五管区海上保安本部、近畿旅客船協会、近畿運輸局（水上の場合）</w:t>
      </w:r>
    </w:p>
    <w:p w14:paraId="671CE0A2" w14:textId="07F6399F" w:rsidR="008B4B2B" w:rsidRPr="00E0548A" w:rsidRDefault="00C46ADE" w:rsidP="00E0548A">
      <w:pPr>
        <w:pStyle w:val="a0"/>
        <w:ind w:left="1134" w:hanging="290"/>
        <w:rPr>
          <w:sz w:val="22"/>
          <w:szCs w:val="22"/>
        </w:rPr>
      </w:pPr>
      <w:r w:rsidRPr="00E0548A">
        <w:rPr>
          <w:rFonts w:hint="eastAsia"/>
          <w:sz w:val="22"/>
          <w:szCs w:val="22"/>
        </w:rPr>
        <w:t xml:space="preserve">○　</w:t>
      </w:r>
      <w:r w:rsidR="008B4B2B" w:rsidRPr="00E0548A">
        <w:rPr>
          <w:rFonts w:hint="eastAsia"/>
          <w:sz w:val="22"/>
          <w:szCs w:val="22"/>
        </w:rPr>
        <w:t>大阪市消防局、第五管区海上保安本部、大阪航空局、新関西国際空港株式会社（関西エアポート株式会社）（航空の場合）の協力を得て、緊急輸送活動を行う。</w:t>
      </w:r>
    </w:p>
    <w:p w14:paraId="59E29897" w14:textId="77777777" w:rsidR="008B4B2B" w:rsidRPr="00E0548A" w:rsidRDefault="008B4B2B" w:rsidP="008B4B2B">
      <w:pPr>
        <w:pStyle w:val="a0"/>
        <w:rPr>
          <w:sz w:val="22"/>
          <w:szCs w:val="22"/>
        </w:rPr>
      </w:pPr>
    </w:p>
    <w:p w14:paraId="6504CEB7" w14:textId="77777777" w:rsidR="008B4B2B" w:rsidRPr="00E0548A" w:rsidRDefault="008B4B2B" w:rsidP="008B4B2B">
      <w:pPr>
        <w:pStyle w:val="a0"/>
        <w:rPr>
          <w:rFonts w:ascii="ＭＳ ゴシック" w:eastAsia="ＭＳ ゴシック" w:hAnsi="ＭＳ ゴシック"/>
          <w:sz w:val="22"/>
          <w:szCs w:val="22"/>
          <w:u w:val="single"/>
        </w:rPr>
      </w:pPr>
      <w:r w:rsidRPr="00E0548A">
        <w:rPr>
          <w:rFonts w:hint="eastAsia"/>
          <w:sz w:val="22"/>
          <w:szCs w:val="22"/>
        </w:rPr>
        <w:t xml:space="preserve">　　　</w:t>
      </w:r>
      <w:r w:rsidRPr="00E0548A">
        <w:rPr>
          <w:rFonts w:ascii="ＭＳ ゴシック" w:eastAsia="ＭＳ ゴシック" w:hAnsi="ＭＳ ゴシック" w:hint="eastAsia"/>
          <w:sz w:val="22"/>
          <w:szCs w:val="22"/>
          <w:u w:val="single"/>
        </w:rPr>
        <w:t>７　輸送基地の確保（陸上・水上・航空）</w:t>
      </w:r>
      <w:r w:rsidRPr="00E0548A">
        <w:rPr>
          <w:rFonts w:ascii="ＭＳ ゴシック" w:eastAsia="ＭＳ ゴシック" w:hAnsi="ＭＳ ゴシック" w:hint="eastAsia"/>
          <w:sz w:val="22"/>
          <w:szCs w:val="22"/>
          <w:u w:val="single"/>
          <w:shd w:val="pct15" w:color="auto" w:fill="FFFFFF"/>
        </w:rPr>
        <w:t>【第３フェーズ～】</w:t>
      </w:r>
    </w:p>
    <w:p w14:paraId="047B37F9" w14:textId="77777777" w:rsidR="008B4B2B" w:rsidRPr="00E0548A" w:rsidRDefault="008B4B2B" w:rsidP="008B4B2B">
      <w:pPr>
        <w:pStyle w:val="a0"/>
        <w:ind w:leftChars="400" w:left="844"/>
        <w:rPr>
          <w:sz w:val="22"/>
          <w:szCs w:val="22"/>
        </w:rPr>
      </w:pPr>
      <w:r w:rsidRPr="00E0548A">
        <w:rPr>
          <w:rFonts w:hint="eastAsia"/>
          <w:sz w:val="22"/>
          <w:szCs w:val="22"/>
        </w:rPr>
        <w:t xml:space="preserve">　災害対策課長は、</w:t>
      </w:r>
    </w:p>
    <w:p w14:paraId="2E1B2885" w14:textId="0C0D3400" w:rsidR="00C46ADE" w:rsidRPr="00E0548A" w:rsidRDefault="008B4B2B" w:rsidP="00E0548A">
      <w:pPr>
        <w:pStyle w:val="a0"/>
        <w:ind w:leftChars="400" w:left="1065" w:hangingChars="100" w:hanging="221"/>
        <w:rPr>
          <w:sz w:val="22"/>
          <w:szCs w:val="22"/>
        </w:rPr>
      </w:pPr>
      <w:r w:rsidRPr="00E0548A">
        <w:rPr>
          <w:rFonts w:hint="eastAsia"/>
          <w:sz w:val="22"/>
          <w:szCs w:val="22"/>
        </w:rPr>
        <w:t>○</w:t>
      </w:r>
      <w:r w:rsidR="00C46ADE" w:rsidRPr="00E0548A">
        <w:rPr>
          <w:rFonts w:hint="eastAsia"/>
          <w:sz w:val="22"/>
          <w:szCs w:val="22"/>
        </w:rPr>
        <w:t xml:space="preserve">　</w:t>
      </w:r>
      <w:r w:rsidRPr="00E0548A">
        <w:rPr>
          <w:rFonts w:hint="eastAsia"/>
          <w:sz w:val="22"/>
          <w:szCs w:val="22"/>
        </w:rPr>
        <w:t>被災地の状況、道路の状況、緊急輸送活動等を考慮して、利用する陸上輸送基地を指定し、施設の管理者、府警察、自衛隊、一般社団法人大阪府トラック協会、赤帽大阪府軽自動車運送協同組合及び社団法人大阪バス協会など運送業者に連絡する（陸上の場合）。</w:t>
      </w:r>
    </w:p>
    <w:p w14:paraId="0FCACD95" w14:textId="51F361CB" w:rsidR="00C46ADE" w:rsidRPr="00E0548A" w:rsidRDefault="008B4B2B" w:rsidP="00E0548A">
      <w:pPr>
        <w:pStyle w:val="a0"/>
        <w:ind w:leftChars="400" w:left="1065" w:hangingChars="100" w:hanging="221"/>
        <w:rPr>
          <w:sz w:val="22"/>
          <w:szCs w:val="22"/>
        </w:rPr>
      </w:pPr>
      <w:r w:rsidRPr="00E0548A">
        <w:rPr>
          <w:rFonts w:hint="eastAsia"/>
          <w:sz w:val="22"/>
          <w:szCs w:val="22"/>
        </w:rPr>
        <w:t>○</w:t>
      </w:r>
      <w:r w:rsidR="00C46ADE" w:rsidRPr="00E0548A">
        <w:rPr>
          <w:rFonts w:hint="eastAsia"/>
          <w:sz w:val="22"/>
          <w:szCs w:val="22"/>
        </w:rPr>
        <w:t xml:space="preserve">　</w:t>
      </w:r>
      <w:r w:rsidRPr="00E0548A">
        <w:rPr>
          <w:rFonts w:hint="eastAsia"/>
          <w:sz w:val="22"/>
          <w:szCs w:val="22"/>
        </w:rPr>
        <w:t>河川管理者を通じて、船着場の利用可能状況や航路の通行可能状況を把握するとともに、府警察、第五管区海上保安本部、自衛隊に利用可能な海上輸送基地・船着場を連絡する（水上の場合）。</w:t>
      </w:r>
    </w:p>
    <w:p w14:paraId="0B4A7407" w14:textId="00FB9A91" w:rsidR="008B4B2B" w:rsidRPr="00E0548A" w:rsidRDefault="008B4B2B" w:rsidP="00E0548A">
      <w:pPr>
        <w:pStyle w:val="a0"/>
        <w:ind w:leftChars="400" w:left="1065" w:hangingChars="100" w:hanging="221"/>
        <w:rPr>
          <w:sz w:val="22"/>
          <w:szCs w:val="22"/>
        </w:rPr>
      </w:pPr>
      <w:r w:rsidRPr="00E0548A">
        <w:rPr>
          <w:rFonts w:hint="eastAsia"/>
          <w:sz w:val="22"/>
          <w:szCs w:val="22"/>
        </w:rPr>
        <w:t>○</w:t>
      </w:r>
      <w:r w:rsidR="00C46ADE" w:rsidRPr="00E0548A">
        <w:rPr>
          <w:rFonts w:hint="eastAsia"/>
          <w:sz w:val="22"/>
          <w:szCs w:val="22"/>
        </w:rPr>
        <w:t xml:space="preserve">　</w:t>
      </w:r>
      <w:r w:rsidRPr="00E0548A">
        <w:rPr>
          <w:rFonts w:hint="eastAsia"/>
          <w:sz w:val="22"/>
          <w:szCs w:val="22"/>
        </w:rPr>
        <w:t>大阪市消防局、府警察、第五管区海上保安本部、大阪航空局、新関西国際空港株式会社（関西エアポート株式会社）、自衛隊の協力を得て、空港及び航空機の利用可能状況を把握するとともに、市町村が選定した災害時用臨時へリポートの利用可能状況を把握し、大阪市消防局、府警察、第五管区海上保安本部、自衛隊と協議し、開設するヘリポートを指定する（航空の場合）。</w:t>
      </w:r>
    </w:p>
    <w:p w14:paraId="4251DAE1" w14:textId="77777777" w:rsidR="008B4B2B" w:rsidRPr="00E0548A" w:rsidRDefault="008B4B2B" w:rsidP="008B4B2B">
      <w:pPr>
        <w:pStyle w:val="a0"/>
      </w:pPr>
      <w:r w:rsidRPr="00E0548A">
        <w:rPr>
          <w:rFonts w:hint="eastAsia"/>
        </w:rPr>
        <w:t xml:space="preserve">　　</w:t>
      </w:r>
    </w:p>
    <w:p w14:paraId="5946B544" w14:textId="77777777" w:rsidR="008B4B2B" w:rsidRPr="00E0548A" w:rsidRDefault="008B4B2B" w:rsidP="00FE1C75">
      <w:pPr>
        <w:pStyle w:val="a0"/>
        <w:ind w:firstLineChars="200" w:firstLine="442"/>
        <w:outlineLvl w:val="2"/>
        <w:rPr>
          <w:rFonts w:ascii="ＭＳ ゴシック" w:eastAsia="ＭＳ ゴシック"/>
          <w:sz w:val="22"/>
          <w:szCs w:val="22"/>
          <w:u w:val="double"/>
        </w:rPr>
      </w:pPr>
      <w:bookmarkStart w:id="303" w:name="_Toc122436945"/>
      <w:bookmarkStart w:id="304" w:name="_Toc222486634"/>
      <w:bookmarkStart w:id="305" w:name="_Toc242870304"/>
      <w:r w:rsidRPr="00E0548A">
        <w:rPr>
          <w:rFonts w:ascii="ＭＳ ゴシック" w:eastAsia="ＭＳ ゴシック" w:hint="eastAsia"/>
          <w:sz w:val="22"/>
          <w:szCs w:val="22"/>
          <w:u w:val="double"/>
        </w:rPr>
        <w:t>第２　府職員の輸送</w:t>
      </w:r>
      <w:r w:rsidRPr="00E0548A">
        <w:rPr>
          <w:rFonts w:ascii="ＭＳ ゴシック" w:eastAsia="ＭＳ ゴシック" w:hAnsi="ＭＳ ゴシック" w:hint="eastAsia"/>
          <w:sz w:val="22"/>
          <w:szCs w:val="22"/>
          <w:u w:val="double"/>
          <w:shd w:val="pct15" w:color="auto" w:fill="FFFFFF"/>
        </w:rPr>
        <w:t>【第１フェーズ～】</w:t>
      </w:r>
      <w:bookmarkEnd w:id="303"/>
      <w:bookmarkEnd w:id="304"/>
      <w:bookmarkEnd w:id="305"/>
    </w:p>
    <w:p w14:paraId="08A4CF24" w14:textId="77777777" w:rsidR="008B4B2B" w:rsidRPr="00E0548A" w:rsidRDefault="008B4B2B" w:rsidP="008B4B2B">
      <w:pPr>
        <w:pStyle w:val="a0"/>
        <w:ind w:firstLineChars="500" w:firstLine="1105"/>
        <w:rPr>
          <w:rFonts w:ascii="ＭＳ ゴシック" w:eastAsia="ＭＳ ゴシック" w:hAnsi="ＭＳ ゴシック"/>
          <w:sz w:val="22"/>
          <w:szCs w:val="22"/>
          <w:bdr w:val="single" w:sz="4" w:space="0" w:color="auto"/>
        </w:rPr>
      </w:pPr>
      <w:r w:rsidRPr="00E0548A">
        <w:rPr>
          <w:rFonts w:ascii="ＭＳ ゴシック" w:eastAsia="ＭＳ ゴシック" w:hAnsi="ＭＳ ゴシック" w:hint="eastAsia"/>
          <w:sz w:val="22"/>
          <w:szCs w:val="22"/>
          <w:bdr w:val="single" w:sz="4" w:space="0" w:color="auto"/>
        </w:rPr>
        <w:t>主たる担当：人事課、庁舎室庁舎管理課</w:t>
      </w:r>
    </w:p>
    <w:p w14:paraId="35AB5EF6" w14:textId="77777777" w:rsidR="008B4B2B" w:rsidRPr="00E0548A" w:rsidRDefault="008B4B2B" w:rsidP="008B4B2B">
      <w:pPr>
        <w:pStyle w:val="a0"/>
        <w:rPr>
          <w:rFonts w:ascii="ＭＳ ゴシック" w:eastAsia="ＭＳ ゴシック" w:hAnsi="ＭＳ ゴシック"/>
          <w:sz w:val="22"/>
          <w:szCs w:val="22"/>
          <w:u w:val="single"/>
        </w:rPr>
      </w:pPr>
      <w:r w:rsidRPr="00E0548A">
        <w:rPr>
          <w:rFonts w:ascii="ＭＳ ゴシック" w:eastAsia="ＭＳ ゴシック" w:hAnsi="ＭＳ ゴシック" w:hint="eastAsia"/>
          <w:sz w:val="22"/>
          <w:szCs w:val="22"/>
        </w:rPr>
        <w:t xml:space="preserve">　　　</w:t>
      </w:r>
      <w:r w:rsidRPr="00E0548A">
        <w:rPr>
          <w:rFonts w:ascii="ＭＳ ゴシック" w:eastAsia="ＭＳ ゴシック" w:hAnsi="ＭＳ ゴシック" w:hint="eastAsia"/>
          <w:sz w:val="22"/>
          <w:szCs w:val="22"/>
          <w:u w:val="single"/>
        </w:rPr>
        <w:t>１　交通機関途絶時における職員の輸送</w:t>
      </w:r>
    </w:p>
    <w:p w14:paraId="0A66D6C4" w14:textId="77777777" w:rsidR="008B4B2B" w:rsidRPr="00E0548A" w:rsidRDefault="008B4B2B" w:rsidP="008B4B2B">
      <w:pPr>
        <w:pStyle w:val="a0"/>
        <w:ind w:firstLineChars="400" w:firstLine="884"/>
        <w:rPr>
          <w:sz w:val="22"/>
          <w:szCs w:val="22"/>
        </w:rPr>
      </w:pPr>
      <w:r w:rsidRPr="00E0548A">
        <w:rPr>
          <w:rFonts w:hint="eastAsia"/>
          <w:sz w:val="22"/>
          <w:szCs w:val="22"/>
        </w:rPr>
        <w:t>(1)　人事課長は、必要に応じ輸送計画を定め職員の輸送を行うものとする。</w:t>
      </w:r>
    </w:p>
    <w:p w14:paraId="2649D70D" w14:textId="77777777" w:rsidR="008B4B2B" w:rsidRPr="00E0548A" w:rsidRDefault="008B4B2B" w:rsidP="008B4B2B">
      <w:pPr>
        <w:pStyle w:val="a0"/>
        <w:ind w:leftChars="420" w:left="1219" w:hangingChars="150" w:hanging="332"/>
        <w:rPr>
          <w:sz w:val="22"/>
          <w:szCs w:val="22"/>
        </w:rPr>
      </w:pPr>
      <w:r w:rsidRPr="00E0548A">
        <w:rPr>
          <w:rFonts w:hint="eastAsia"/>
          <w:sz w:val="22"/>
          <w:szCs w:val="22"/>
        </w:rPr>
        <w:t>(2)　人事課長は、職員の輸送を行うため、災害対策課長に依頼のうえ、「</w:t>
      </w:r>
      <w:r w:rsidRPr="00E0548A">
        <w:rPr>
          <w:rFonts w:hAnsi="ＭＳ 明朝" w:hint="eastAsia"/>
          <w:sz w:val="22"/>
          <w:szCs w:val="22"/>
        </w:rPr>
        <w:t>災害時におけるバスによる緊急輸送等に関する協定」、「</w:t>
      </w:r>
      <w:r w:rsidRPr="00E0548A">
        <w:rPr>
          <w:rFonts w:hint="eastAsia"/>
          <w:sz w:val="22"/>
          <w:szCs w:val="22"/>
        </w:rPr>
        <w:t>船舶による災害時の輸送等に関する協定」などを踏まえ、輸送手段の確保を行うものとする。</w:t>
      </w:r>
    </w:p>
    <w:p w14:paraId="79CBC9E3" w14:textId="77777777" w:rsidR="008B4B2B" w:rsidRPr="00E0548A" w:rsidRDefault="008B4B2B" w:rsidP="008B4B2B">
      <w:pPr>
        <w:pStyle w:val="a0"/>
        <w:ind w:leftChars="420" w:left="1219" w:hangingChars="150" w:hanging="332"/>
        <w:rPr>
          <w:sz w:val="22"/>
          <w:szCs w:val="22"/>
        </w:rPr>
      </w:pPr>
    </w:p>
    <w:p w14:paraId="1A0D0433" w14:textId="77777777" w:rsidR="008B4B2B" w:rsidRPr="00E0548A" w:rsidRDefault="008B4B2B" w:rsidP="008B4B2B">
      <w:pPr>
        <w:pStyle w:val="a0"/>
        <w:ind w:firstLineChars="200" w:firstLine="442"/>
        <w:rPr>
          <w:rFonts w:ascii="ＭＳ ゴシック" w:eastAsia="ＭＳ ゴシック" w:hAnsi="ＭＳ ゴシック"/>
          <w:sz w:val="22"/>
          <w:szCs w:val="22"/>
          <w:u w:val="single"/>
        </w:rPr>
      </w:pPr>
      <w:r w:rsidRPr="00E0548A">
        <w:rPr>
          <w:rFonts w:hint="eastAsia"/>
          <w:sz w:val="22"/>
          <w:szCs w:val="22"/>
        </w:rPr>
        <w:t xml:space="preserve">　</w:t>
      </w:r>
      <w:r w:rsidRPr="00E0548A">
        <w:rPr>
          <w:rFonts w:ascii="ＭＳ ゴシック" w:eastAsia="ＭＳ ゴシック" w:hAnsi="ＭＳ ゴシック" w:hint="eastAsia"/>
          <w:sz w:val="22"/>
          <w:szCs w:val="22"/>
          <w:u w:val="single"/>
        </w:rPr>
        <w:t>２　庁用自動車による輸送</w:t>
      </w:r>
    </w:p>
    <w:p w14:paraId="3D280439" w14:textId="4F655CC7" w:rsidR="00C46ADE" w:rsidRPr="00E0548A" w:rsidRDefault="008B4B2B" w:rsidP="008B4B2B">
      <w:pPr>
        <w:pStyle w:val="a0"/>
        <w:ind w:leftChars="400" w:left="1286" w:hangingChars="200" w:hanging="442"/>
        <w:rPr>
          <w:strike/>
          <w:sz w:val="22"/>
          <w:szCs w:val="22"/>
        </w:rPr>
      </w:pPr>
      <w:r w:rsidRPr="00E0548A">
        <w:rPr>
          <w:rFonts w:hint="eastAsia"/>
          <w:sz w:val="22"/>
          <w:szCs w:val="22"/>
        </w:rPr>
        <w:t>(1)　庁舎室庁舎管理課長は、必要に応じ、運転手及び庁用自動車の確保計画を定め、配車を円滑に行うものとする。</w:t>
      </w:r>
    </w:p>
    <w:p w14:paraId="05BAF0DD" w14:textId="222244E2" w:rsidR="008B4B2B" w:rsidRPr="00E0548A" w:rsidRDefault="00C46ADE" w:rsidP="00E0548A">
      <w:pPr>
        <w:pStyle w:val="a0"/>
        <w:ind w:leftChars="400" w:left="1286" w:hangingChars="200" w:hanging="442"/>
        <w:rPr>
          <w:strike/>
          <w:sz w:val="22"/>
          <w:szCs w:val="22"/>
        </w:rPr>
      </w:pPr>
      <w:r w:rsidRPr="00E0548A">
        <w:rPr>
          <w:rFonts w:hint="eastAsia"/>
          <w:sz w:val="22"/>
          <w:szCs w:val="22"/>
        </w:rPr>
        <w:t>(2)</w:t>
      </w:r>
      <w:r w:rsidR="008B4B2B" w:rsidRPr="00E0548A">
        <w:rPr>
          <w:rFonts w:hint="eastAsia"/>
          <w:sz w:val="22"/>
          <w:szCs w:val="22"/>
        </w:rPr>
        <w:t xml:space="preserve">　緊急調査班派遣に伴う庁用自動車の配車要求は、本部事務局において行う。</w:t>
      </w:r>
    </w:p>
    <w:p w14:paraId="6FB6F8EB" w14:textId="77777777" w:rsidR="008B4B2B" w:rsidRPr="00E0548A" w:rsidRDefault="008B4B2B" w:rsidP="008B4B2B">
      <w:pPr>
        <w:pStyle w:val="a0"/>
        <w:ind w:firstLineChars="200" w:firstLine="442"/>
        <w:rPr>
          <w:rFonts w:ascii="ＭＳ ゴシック" w:eastAsia="ＭＳ ゴシック" w:hAnsi="ＭＳ ゴシック"/>
          <w:sz w:val="22"/>
          <w:szCs w:val="22"/>
        </w:rPr>
      </w:pPr>
    </w:p>
    <w:p w14:paraId="59784525" w14:textId="77777777" w:rsidR="008B4B2B" w:rsidRPr="00E0548A" w:rsidRDefault="008B4B2B" w:rsidP="008B4B2B">
      <w:pPr>
        <w:pStyle w:val="a0"/>
        <w:ind w:firstLineChars="200" w:firstLine="442"/>
        <w:rPr>
          <w:rFonts w:ascii="ＭＳ ゴシック" w:eastAsia="ＭＳ ゴシック" w:hAnsi="ＭＳ ゴシック"/>
          <w:sz w:val="22"/>
          <w:szCs w:val="22"/>
        </w:rPr>
      </w:pPr>
    </w:p>
    <w:p w14:paraId="7601742E" w14:textId="77777777" w:rsidR="008B4B2B" w:rsidRPr="00E0548A" w:rsidRDefault="008B4B2B" w:rsidP="008B4B2B">
      <w:pPr>
        <w:pStyle w:val="a0"/>
        <w:ind w:firstLineChars="200" w:firstLine="442"/>
        <w:rPr>
          <w:rFonts w:ascii="ＭＳ ゴシック" w:eastAsia="ＭＳ ゴシック" w:hAnsi="ＭＳ ゴシック"/>
          <w:sz w:val="22"/>
          <w:szCs w:val="22"/>
        </w:rPr>
      </w:pPr>
    </w:p>
    <w:p w14:paraId="30D2FD73" w14:textId="77777777" w:rsidR="008B4B2B" w:rsidRPr="00E0548A" w:rsidRDefault="008B4B2B" w:rsidP="00FE1C75">
      <w:pPr>
        <w:pStyle w:val="a0"/>
        <w:ind w:firstLineChars="200" w:firstLine="442"/>
        <w:outlineLvl w:val="2"/>
        <w:rPr>
          <w:rFonts w:ascii="ＭＳ ゴシック" w:eastAsia="ＭＳ ゴシック" w:hAnsi="ＭＳ ゴシック"/>
          <w:sz w:val="22"/>
          <w:szCs w:val="22"/>
          <w:u w:val="double"/>
        </w:rPr>
      </w:pPr>
      <w:bookmarkStart w:id="306" w:name="_Toc122436946"/>
      <w:bookmarkStart w:id="307" w:name="_Toc222486635"/>
      <w:bookmarkStart w:id="308" w:name="_Toc242870305"/>
      <w:r w:rsidRPr="00E0548A">
        <w:rPr>
          <w:rFonts w:ascii="ＭＳ ゴシック" w:eastAsia="ＭＳ ゴシック" w:hAnsi="ＭＳ ゴシック" w:hint="eastAsia"/>
          <w:sz w:val="22"/>
          <w:szCs w:val="22"/>
          <w:u w:val="double"/>
        </w:rPr>
        <w:t>第３　交通の安全・機能確保</w:t>
      </w:r>
      <w:r w:rsidRPr="00E0548A">
        <w:rPr>
          <w:rFonts w:ascii="ＭＳ ゴシック" w:eastAsia="ＭＳ ゴシック" w:hAnsi="ＭＳ ゴシック" w:hint="eastAsia"/>
          <w:sz w:val="22"/>
          <w:szCs w:val="22"/>
          <w:u w:val="double"/>
          <w:shd w:val="pct15" w:color="auto" w:fill="FFFFFF"/>
        </w:rPr>
        <w:t>【第２フェーズ】</w:t>
      </w:r>
      <w:bookmarkEnd w:id="306"/>
      <w:bookmarkEnd w:id="307"/>
      <w:bookmarkEnd w:id="308"/>
    </w:p>
    <w:p w14:paraId="2951FE9E" w14:textId="77777777" w:rsidR="008B4B2B" w:rsidRPr="00E0548A" w:rsidRDefault="008B4B2B" w:rsidP="008B4B2B">
      <w:pPr>
        <w:pStyle w:val="a0"/>
        <w:ind w:firstLineChars="500" w:firstLine="1105"/>
        <w:rPr>
          <w:rFonts w:ascii="ＭＳ ゴシック" w:eastAsia="ＭＳ ゴシック" w:hAnsi="ＭＳ ゴシック"/>
          <w:sz w:val="22"/>
          <w:szCs w:val="22"/>
        </w:rPr>
      </w:pPr>
      <w:r w:rsidRPr="00E0548A">
        <w:rPr>
          <w:rFonts w:ascii="ＭＳ ゴシック" w:eastAsia="ＭＳ ゴシック" w:hAnsi="ＭＳ ゴシック" w:hint="eastAsia"/>
          <w:sz w:val="22"/>
          <w:szCs w:val="22"/>
          <w:bdr w:val="single" w:sz="4" w:space="0" w:color="auto"/>
        </w:rPr>
        <w:t>主たる担当：都市整備部関係室・課、水産課、大阪港湾局</w:t>
      </w:r>
    </w:p>
    <w:p w14:paraId="49A1C512" w14:textId="77777777" w:rsidR="008B4B2B" w:rsidRPr="00E0548A" w:rsidRDefault="008B4B2B" w:rsidP="008B4B2B">
      <w:pPr>
        <w:pStyle w:val="a0"/>
        <w:ind w:left="1216" w:hangingChars="550" w:hanging="1216"/>
        <w:rPr>
          <w:rFonts w:ascii="ＭＳ ゴシック" w:eastAsia="ＭＳ ゴシック" w:hAnsi="ＭＳ ゴシック"/>
          <w:sz w:val="22"/>
          <w:szCs w:val="22"/>
          <w:u w:val="single"/>
        </w:rPr>
      </w:pPr>
      <w:r w:rsidRPr="00E0548A">
        <w:rPr>
          <w:rFonts w:hint="eastAsia"/>
          <w:sz w:val="22"/>
          <w:szCs w:val="22"/>
        </w:rPr>
        <w:t xml:space="preserve">　　　</w:t>
      </w:r>
      <w:r w:rsidRPr="00E0548A">
        <w:rPr>
          <w:rFonts w:ascii="ＭＳ ゴシック" w:eastAsia="ＭＳ ゴシック" w:hAnsi="ＭＳ ゴシック" w:hint="eastAsia"/>
          <w:sz w:val="22"/>
          <w:szCs w:val="22"/>
          <w:u w:val="single"/>
        </w:rPr>
        <w:t>１　障害物の除去</w:t>
      </w:r>
    </w:p>
    <w:p w14:paraId="5E121CED" w14:textId="77777777" w:rsidR="008B4B2B" w:rsidRPr="00E0548A" w:rsidRDefault="008B4B2B" w:rsidP="008B4B2B">
      <w:pPr>
        <w:pStyle w:val="a0"/>
        <w:ind w:leftChars="400" w:left="1176" w:rightChars="13" w:right="27" w:hangingChars="150" w:hanging="332"/>
        <w:rPr>
          <w:sz w:val="22"/>
          <w:szCs w:val="22"/>
        </w:rPr>
      </w:pPr>
      <w:r w:rsidRPr="00E0548A">
        <w:rPr>
          <w:rFonts w:hint="eastAsia"/>
          <w:sz w:val="22"/>
          <w:szCs w:val="22"/>
        </w:rPr>
        <w:t>(1)　道路環境課長（主として土木事務所長等）は、道路上の障害物の除去について、土木事務所及び府警察、電力会社等関係機関と緊密な連絡のもと、迅速に除去作業を実施するものとする。</w:t>
      </w:r>
    </w:p>
    <w:p w14:paraId="77ECA4AF" w14:textId="77777777" w:rsidR="008B4B2B" w:rsidRPr="00E0548A" w:rsidRDefault="008B4B2B" w:rsidP="008B4B2B">
      <w:pPr>
        <w:pStyle w:val="a0"/>
        <w:ind w:leftChars="550" w:left="1161" w:firstLineChars="100" w:firstLine="221"/>
        <w:rPr>
          <w:sz w:val="22"/>
          <w:szCs w:val="22"/>
        </w:rPr>
      </w:pPr>
      <w:r w:rsidRPr="00E0548A">
        <w:rPr>
          <w:rFonts w:hint="eastAsia"/>
          <w:sz w:val="22"/>
          <w:szCs w:val="22"/>
        </w:rPr>
        <w:t>また、除去作業にあたり、緊急通行車両の通行を確保するために、道路法第４４条の２、６７条の２に基づき、道路上に倒壊した沿道建築物や路上の放置車両を道路路側等へ移動するものとし、障害物の除去が不能な場合及び損壊箇所を発見したときは、直ちに災対本部事務局へ報告するものとする。</w:t>
      </w:r>
    </w:p>
    <w:p w14:paraId="4C76BFB1" w14:textId="77777777" w:rsidR="008B4B2B" w:rsidRPr="00E0548A" w:rsidRDefault="008B4B2B" w:rsidP="008B4B2B">
      <w:pPr>
        <w:pStyle w:val="a0"/>
        <w:ind w:left="1216" w:hangingChars="550" w:hanging="1216"/>
        <w:rPr>
          <w:sz w:val="22"/>
          <w:szCs w:val="22"/>
        </w:rPr>
      </w:pPr>
      <w:r w:rsidRPr="00E0548A">
        <w:rPr>
          <w:rFonts w:hint="eastAsia"/>
          <w:noProof/>
          <w:sz w:val="22"/>
          <w:szCs w:val="22"/>
        </w:rPr>
        <mc:AlternateContent>
          <mc:Choice Requires="wps">
            <w:drawing>
              <wp:anchor distT="0" distB="0" distL="114300" distR="114300" simplePos="0" relativeHeight="253248512" behindDoc="0" locked="0" layoutInCell="1" allowOverlap="1" wp14:anchorId="43EDA743" wp14:editId="15F4450E">
                <wp:simplePos x="0" y="0"/>
                <wp:positionH relativeFrom="column">
                  <wp:posOffset>57150</wp:posOffset>
                </wp:positionH>
                <wp:positionV relativeFrom="paragraph">
                  <wp:posOffset>52070</wp:posOffset>
                </wp:positionV>
                <wp:extent cx="3623945" cy="290830"/>
                <wp:effectExtent l="9525" t="13970" r="5080" b="9525"/>
                <wp:wrapNone/>
                <wp:docPr id="2478" name="Text Box 244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23945" cy="290830"/>
                        </a:xfrm>
                        <a:prstGeom prst="rect">
                          <a:avLst/>
                        </a:prstGeom>
                        <a:solidFill>
                          <a:srgbClr val="F2F2F2"/>
                        </a:solidFill>
                        <a:ln w="9525">
                          <a:solidFill>
                            <a:srgbClr val="000000"/>
                          </a:solidFill>
                          <a:miter lim="800000"/>
                          <a:headEnd/>
                          <a:tailEnd/>
                        </a:ln>
                      </wps:spPr>
                      <wps:txbx>
                        <w:txbxContent>
                          <w:p w14:paraId="40255391" w14:textId="77777777" w:rsidR="006A5267" w:rsidRPr="008F0247" w:rsidRDefault="006A5267" w:rsidP="008B4B2B">
                            <w:pPr>
                              <w:rPr>
                                <w:rFonts w:ascii="ＭＳ ゴシック" w:eastAsia="ＭＳ ゴシック" w:hAnsi="ＭＳ ゴシック"/>
                                <w:sz w:val="24"/>
                              </w:rPr>
                            </w:pPr>
                            <w:r w:rsidRPr="008F0247">
                              <w:rPr>
                                <w:rFonts w:ascii="ＭＳ ゴシック" w:eastAsia="ＭＳ ゴシック" w:hAnsi="ＭＳ ゴシック" w:hint="eastAsia"/>
                                <w:sz w:val="24"/>
                              </w:rPr>
                              <w:t>道路啓開の手順（倒壊した家屋の除去を行う場合）</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shape w14:anchorId="43EDA743" id="Text Box 2447" o:spid="_x0000_s1406" type="#_x0000_t202" style="position:absolute;left:0;text-align:left;margin-left:4.5pt;margin-top:4.1pt;width:285.35pt;height:22.9pt;z-index:2532485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" fillcolor="#f2f2f2">
                <v:textbox inset="5.85pt,.7pt,5.85pt,.7pt">
                  <w:txbxContent>
                    <w:p w14:paraId="40255391" w14:textId="77777777" w:rsidR="006A5267" w:rsidRPr="008F0247" w:rsidRDefault="006A5267" w:rsidP="008B4B2B">
                      <w:pPr>
                        <w:rPr>
                          <w:rFonts w:ascii="ＭＳ ゴシック" w:eastAsia="ＭＳ ゴシック" w:hAnsi="ＭＳ ゴシック"/>
                          <w:sz w:val="24"/>
                        </w:rPr>
                      </w:pPr>
                      <w:r w:rsidRPr="008F0247">
                        <w:rPr>
                          <w:rFonts w:ascii="ＭＳ ゴシック" w:eastAsia="ＭＳ ゴシック" w:hAnsi="ＭＳ ゴシック" w:hint="eastAsia"/>
                          <w:sz w:val="24"/>
                        </w:rPr>
                        <w:t>道路啓開の手順（倒壊した家屋の除去を行う場合）</w:t>
                      </w:r>
                    </w:p>
                  </w:txbxContent>
                </v:textbox>
              </v:shape>
            </w:pict>
          </mc:Fallback>
        </mc:AlternateContent>
      </w:r>
    </w:p>
    <w:p w14:paraId="02A4B55B" w14:textId="77777777" w:rsidR="008B4B2B" w:rsidRPr="00E0548A" w:rsidRDefault="008B4B2B" w:rsidP="008B4B2B">
      <w:pPr>
        <w:pStyle w:val="a0"/>
        <w:ind w:left="1216" w:hangingChars="550" w:hanging="1216"/>
        <w:rPr>
          <w:sz w:val="22"/>
          <w:szCs w:val="22"/>
        </w:rPr>
      </w:pPr>
      <w:r w:rsidRPr="00E0548A">
        <w:rPr>
          <w:rFonts w:hint="eastAsia"/>
          <w:noProof/>
          <w:sz w:val="22"/>
          <w:szCs w:val="22"/>
        </w:rPr>
        <mc:AlternateContent>
          <mc:Choice Requires="wps">
            <w:drawing>
              <wp:anchor distT="0" distB="0" distL="114300" distR="114300" simplePos="0" relativeHeight="253256704" behindDoc="0" locked="0" layoutInCell="1" allowOverlap="1" wp14:anchorId="3AD4ECBF" wp14:editId="5709DDA3">
                <wp:simplePos x="0" y="0"/>
                <wp:positionH relativeFrom="column">
                  <wp:posOffset>342900</wp:posOffset>
                </wp:positionH>
                <wp:positionV relativeFrom="paragraph">
                  <wp:posOffset>171450</wp:posOffset>
                </wp:positionV>
                <wp:extent cx="2171700" cy="982980"/>
                <wp:effectExtent l="19050" t="19050" r="19050" b="7620"/>
                <wp:wrapNone/>
                <wp:docPr id="2477" name="AutoShape 245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71700" cy="982980"/>
                        </a:xfrm>
                        <a:prstGeom prst="diamond">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shapetype w14:anchorId="4C2D2A74" id="_x0000_t4" coordsize="21600,21600" o:spt="4" path="m10800,l,10800,10800,21600,21600,10800xe">
                <v:stroke joinstyle="miter"/>
                <v:path gradientshapeok="t" o:connecttype="rect" textboxrect="5400,5400,16200,16200"/>
              </v:shapetype>
              <v:shape id="AutoShape 2455" o:spid="_x0000_s1026" type="#_x0000_t4" style="position:absolute;left:0;text-align:left;margin-left:27pt;margin-top:13.5pt;width:171pt;height:77.4pt;z-index:2532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" filled="f">
                <v:textbox inset="5.85pt,.7pt,5.85pt,.7pt"/>
              </v:shape>
            </w:pict>
          </mc:Fallback>
        </mc:AlternateContent>
      </w:r>
    </w:p>
    <w:p w14:paraId="03CE258D" w14:textId="77777777" w:rsidR="008B4B2B" w:rsidRPr="00E0548A" w:rsidRDefault="008B4B2B" w:rsidP="008B4B2B">
      <w:pPr>
        <w:pStyle w:val="a0"/>
        <w:ind w:left="1216" w:hangingChars="550" w:hanging="1216"/>
        <w:rPr>
          <w:sz w:val="22"/>
          <w:szCs w:val="22"/>
        </w:rPr>
      </w:pPr>
      <w:r w:rsidRPr="00E0548A">
        <w:rPr>
          <w:rFonts w:hint="eastAsia"/>
          <w:noProof/>
          <w:sz w:val="22"/>
          <w:szCs w:val="22"/>
        </w:rPr>
        <mc:AlternateContent>
          <mc:Choice Requires="wps">
            <w:drawing>
              <wp:anchor distT="0" distB="0" distL="114300" distR="114300" simplePos="0" relativeHeight="253252608" behindDoc="0" locked="0" layoutInCell="1" allowOverlap="1" wp14:anchorId="1743D23B" wp14:editId="30888EDB">
                <wp:simplePos x="0" y="0"/>
                <wp:positionH relativeFrom="column">
                  <wp:posOffset>2933065</wp:posOffset>
                </wp:positionH>
                <wp:positionV relativeFrom="paragraph">
                  <wp:posOffset>187325</wp:posOffset>
                </wp:positionV>
                <wp:extent cx="914400" cy="228600"/>
                <wp:effectExtent l="0" t="0" r="635" b="3175"/>
                <wp:wrapNone/>
                <wp:docPr id="2476" name="Text Box 245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14400" cy="2286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2711AC9" w14:textId="77777777" w:rsidR="006A5267" w:rsidRPr="000E396F" w:rsidRDefault="006A5267" w:rsidP="008B4B2B">
                            <w:pPr>
                              <w:rPr>
                                <w:szCs w:val="21"/>
                              </w:rPr>
                            </w:pPr>
                            <w:r w:rsidRPr="000E396F">
                              <w:rPr>
                                <w:rFonts w:hint="eastAsia"/>
                                <w:szCs w:val="21"/>
                              </w:rPr>
                              <w:t>可能性あり</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shape w14:anchorId="1743D23B" id="Text Box 2451" o:spid="_x0000_s1407" type="#_x0000_t202" style="position:absolute;left:0;text-align:left;margin-left:230.95pt;margin-top:14.75pt;width:1in;height:18pt;z-index:2532526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" filled="f" stroked="f">
                <v:textbox inset="5.85pt,.7pt,5.85pt,.7pt">
                  <w:txbxContent>
                    <w:p w14:paraId="72711AC9" w14:textId="77777777" w:rsidR="006A5267" w:rsidRPr="000E396F" w:rsidRDefault="006A5267" w:rsidP="008B4B2B">
                      <w:pPr>
                        <w:rPr>
                          <w:szCs w:val="21"/>
                        </w:rPr>
                      </w:pPr>
                      <w:r w:rsidRPr="000E396F">
                        <w:rPr>
                          <w:rFonts w:hint="eastAsia"/>
                          <w:szCs w:val="21"/>
                        </w:rPr>
                        <w:t>可能性あり</w:t>
                      </w:r>
                    </w:p>
                  </w:txbxContent>
                </v:textbox>
              </v:shape>
            </w:pict>
          </mc:Fallback>
        </mc:AlternateContent>
      </w:r>
      <w:r w:rsidRPr="00E0548A">
        <w:rPr>
          <w:rFonts w:hint="eastAsia"/>
          <w:noProof/>
          <w:sz w:val="22"/>
          <w:szCs w:val="22"/>
        </w:rPr>
        <mc:AlternateContent>
          <mc:Choice Requires="wps">
            <w:drawing>
              <wp:anchor distT="0" distB="0" distL="114300" distR="114300" simplePos="0" relativeHeight="253249536" behindDoc="0" locked="0" layoutInCell="1" allowOverlap="1" wp14:anchorId="28E57F06" wp14:editId="01DD3CD5">
                <wp:simplePos x="0" y="0"/>
                <wp:positionH relativeFrom="column">
                  <wp:posOffset>742950</wp:posOffset>
                </wp:positionH>
                <wp:positionV relativeFrom="paragraph">
                  <wp:posOffset>187325</wp:posOffset>
                </wp:positionV>
                <wp:extent cx="1485900" cy="457200"/>
                <wp:effectExtent l="0" t="0" r="0" b="3175"/>
                <wp:wrapNone/>
                <wp:docPr id="2475" name="Text Box 244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85900" cy="4572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E736AD2" w14:textId="77777777" w:rsidR="006A5267" w:rsidRPr="000E396F" w:rsidRDefault="006A5267" w:rsidP="008B4B2B">
                            <w:pPr>
                              <w:rPr>
                                <w:szCs w:val="21"/>
                              </w:rPr>
                            </w:pPr>
                            <w:r w:rsidRPr="000E396F">
                              <w:rPr>
                                <w:rFonts w:hint="eastAsia"/>
                                <w:szCs w:val="21"/>
                              </w:rPr>
                              <w:t>倒壊家屋内の要救助者の探索が必要か</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shape w14:anchorId="28E57F06" id="Text Box 2448" o:spid="_x0000_s1408" type="#_x0000_t202" style="position:absolute;left:0;text-align:left;margin-left:58.5pt;margin-top:14.75pt;width:117pt;height:36pt;z-index:2532495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" filled="f" stroked="f">
                <v:textbox inset="5.85pt,.7pt,5.85pt,.7pt">
                  <w:txbxContent>
                    <w:p w14:paraId="1E736AD2" w14:textId="77777777" w:rsidR="006A5267" w:rsidRPr="000E396F" w:rsidRDefault="006A5267" w:rsidP="008B4B2B">
                      <w:pPr>
                        <w:rPr>
                          <w:szCs w:val="21"/>
                        </w:rPr>
                      </w:pPr>
                      <w:r w:rsidRPr="000E396F">
                        <w:rPr>
                          <w:rFonts w:hint="eastAsia"/>
                          <w:szCs w:val="21"/>
                        </w:rPr>
                        <w:t>倒壊家屋内の要救助者の探索が必要か</w:t>
                      </w:r>
                    </w:p>
                  </w:txbxContent>
                </v:textbox>
              </v:shape>
            </w:pict>
          </mc:Fallback>
        </mc:AlternateContent>
      </w:r>
    </w:p>
    <w:p w14:paraId="16833C43" w14:textId="77777777" w:rsidR="008B4B2B" w:rsidRPr="00E0548A" w:rsidRDefault="008B4B2B" w:rsidP="008B4B2B">
      <w:pPr>
        <w:pStyle w:val="a0"/>
        <w:ind w:left="1216" w:hangingChars="550" w:hanging="1216"/>
        <w:rPr>
          <w:sz w:val="22"/>
          <w:szCs w:val="22"/>
        </w:rPr>
      </w:pPr>
      <w:r w:rsidRPr="00E0548A">
        <w:rPr>
          <w:rFonts w:hint="eastAsia"/>
          <w:noProof/>
          <w:sz w:val="22"/>
          <w:szCs w:val="22"/>
        </w:rPr>
        <mc:AlternateContent>
          <mc:Choice Requires="wps">
            <w:drawing>
              <wp:anchor distT="0" distB="0" distL="114300" distR="114300" simplePos="0" relativeHeight="253250560" behindDoc="0" locked="0" layoutInCell="1" allowOverlap="1" wp14:anchorId="45018E2E" wp14:editId="1F735F9E">
                <wp:simplePos x="0" y="0"/>
                <wp:positionH relativeFrom="column">
                  <wp:posOffset>2519680</wp:posOffset>
                </wp:positionH>
                <wp:positionV relativeFrom="paragraph">
                  <wp:posOffset>175895</wp:posOffset>
                </wp:positionV>
                <wp:extent cx="418465" cy="114300"/>
                <wp:effectExtent l="5080" t="13970" r="24130" b="5080"/>
                <wp:wrapNone/>
                <wp:docPr id="2474" name="AutoShape 244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18465" cy="114300"/>
                        </a:xfrm>
                        <a:prstGeom prst="rightArrow">
                          <a:avLst>
                            <a:gd name="adj1" fmla="val 50000"/>
                            <a:gd name="adj2" fmla="val 91528"/>
                          </a:avLst>
                        </a:prstGeom>
                        <a:solidFill>
                          <a:srgbClr val="FFFFFF"/>
                        </a:solidFill>
                        <a:ln w="9525">
                          <a:solidFill>
                            <a:srgbClr val="000000"/>
                          </a:solidFill>
                          <a:miter lim="800000"/>
                          <a:headEnd/>
                          <a:tailEnd/>
                        </a:ln>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shape w14:anchorId="775524FA" id="AutoShape 2449" o:spid="_x0000_s1026" type="#_x0000_t13" style="position:absolute;left:0;text-align:left;margin-left:198.4pt;margin-top:13.85pt;width:32.95pt;height:9pt;z-index:2532505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">
                <v:textbox inset="5.85pt,.7pt,5.85pt,.7pt"/>
              </v:shape>
            </w:pict>
          </mc:Fallback>
        </mc:AlternateContent>
      </w:r>
    </w:p>
    <w:p w14:paraId="43AB9CFD" w14:textId="77777777" w:rsidR="008B4B2B" w:rsidRPr="00E0548A" w:rsidRDefault="008B4B2B" w:rsidP="008B4B2B">
      <w:pPr>
        <w:pStyle w:val="a0"/>
        <w:ind w:left="1216" w:hangingChars="550" w:hanging="1216"/>
        <w:rPr>
          <w:sz w:val="22"/>
          <w:szCs w:val="22"/>
        </w:rPr>
      </w:pPr>
      <w:r w:rsidRPr="00E0548A">
        <w:rPr>
          <w:rFonts w:hint="eastAsia"/>
          <w:noProof/>
          <w:sz w:val="22"/>
          <w:szCs w:val="22"/>
        </w:rPr>
        <mc:AlternateContent>
          <mc:Choice Requires="wps">
            <w:drawing>
              <wp:anchor distT="0" distB="0" distL="114300" distR="114300" simplePos="0" relativeHeight="253251584" behindDoc="0" locked="0" layoutInCell="1" allowOverlap="1" wp14:anchorId="23ECC9C7" wp14:editId="2827F8A2">
                <wp:simplePos x="0" y="0"/>
                <wp:positionH relativeFrom="column">
                  <wp:posOffset>2863850</wp:posOffset>
                </wp:positionH>
                <wp:positionV relativeFrom="paragraph">
                  <wp:posOffset>66040</wp:posOffset>
                </wp:positionV>
                <wp:extent cx="2976245" cy="280670"/>
                <wp:effectExtent l="6350" t="8890" r="8255" b="5715"/>
                <wp:wrapNone/>
                <wp:docPr id="2473" name="Text Box 245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76245" cy="280670"/>
                        </a:xfrm>
                        <a:prstGeom prst="rect">
                          <a:avLst/>
                        </a:prstGeom>
                        <a:solidFill>
                          <a:srgbClr val="FFFFFF"/>
                        </a:solidFill>
                        <a:ln w="9525">
                          <a:solidFill>
                            <a:srgbClr val="000000"/>
                          </a:solidFill>
                          <a:miter lim="800000"/>
                          <a:headEnd/>
                          <a:tailEnd/>
                        </a:ln>
                      </wps:spPr>
                      <wps:txbx>
                        <w:txbxContent>
                          <w:p w14:paraId="41910F29" w14:textId="77777777" w:rsidR="006A5267" w:rsidRPr="000E396F" w:rsidRDefault="006A5267" w:rsidP="008B4B2B">
                            <w:pPr>
                              <w:rPr>
                                <w:szCs w:val="21"/>
                              </w:rPr>
                            </w:pPr>
                            <w:r w:rsidRPr="000E396F">
                              <w:rPr>
                                <w:rFonts w:hint="eastAsia"/>
                                <w:szCs w:val="21"/>
                              </w:rPr>
                              <w:t>警察等への緊急連絡と自主的な人命救助を優先</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shape w14:anchorId="23ECC9C7" id="Text Box 2450" o:spid="_x0000_s1409" type="#_x0000_t202" style="position:absolute;left:0;text-align:left;margin-left:225.5pt;margin-top:5.2pt;width:234.35pt;height:22.1pt;z-index:2532515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">
                <v:textbox inset="5.85pt,.7pt,5.85pt,.7pt">
                  <w:txbxContent>
                    <w:p w14:paraId="41910F29" w14:textId="77777777" w:rsidR="006A5267" w:rsidRPr="000E396F" w:rsidRDefault="006A5267" w:rsidP="008B4B2B">
                      <w:pPr>
                        <w:rPr>
                          <w:szCs w:val="21"/>
                        </w:rPr>
                      </w:pPr>
                      <w:r w:rsidRPr="000E396F">
                        <w:rPr>
                          <w:rFonts w:hint="eastAsia"/>
                          <w:szCs w:val="21"/>
                        </w:rPr>
                        <w:t>警察等への緊急連絡と自主的な人命救助を優先</w:t>
                      </w:r>
                    </w:p>
                  </w:txbxContent>
                </v:textbox>
              </v:shape>
            </w:pict>
          </mc:Fallback>
        </mc:AlternateContent>
      </w:r>
    </w:p>
    <w:p w14:paraId="29B26B84" w14:textId="77777777" w:rsidR="008B4B2B" w:rsidRPr="00E0548A" w:rsidRDefault="008B4B2B" w:rsidP="008B4B2B">
      <w:pPr>
        <w:pStyle w:val="a0"/>
        <w:ind w:left="1216" w:hangingChars="550" w:hanging="1216"/>
        <w:rPr>
          <w:sz w:val="22"/>
          <w:szCs w:val="22"/>
        </w:rPr>
      </w:pPr>
    </w:p>
    <w:p w14:paraId="3CD381C4" w14:textId="77777777" w:rsidR="008B4B2B" w:rsidRPr="00E0548A" w:rsidRDefault="008B4B2B" w:rsidP="008B4B2B">
      <w:pPr>
        <w:pStyle w:val="a0"/>
        <w:ind w:left="1216" w:hangingChars="550" w:hanging="1216"/>
        <w:rPr>
          <w:sz w:val="22"/>
          <w:szCs w:val="22"/>
        </w:rPr>
      </w:pPr>
      <w:r w:rsidRPr="00E0548A">
        <w:rPr>
          <w:rFonts w:hint="eastAsia"/>
          <w:noProof/>
          <w:sz w:val="22"/>
          <w:szCs w:val="22"/>
        </w:rPr>
        <mc:AlternateContent>
          <mc:Choice Requires="wps">
            <w:drawing>
              <wp:anchor distT="0" distB="0" distL="114300" distR="114300" simplePos="0" relativeHeight="253254656" behindDoc="0" locked="0" layoutInCell="1" allowOverlap="1" wp14:anchorId="49864CC0" wp14:editId="207A2D3B">
                <wp:simplePos x="0" y="0"/>
                <wp:positionH relativeFrom="column">
                  <wp:posOffset>1504950</wp:posOffset>
                </wp:positionH>
                <wp:positionV relativeFrom="paragraph">
                  <wp:posOffset>33655</wp:posOffset>
                </wp:positionV>
                <wp:extent cx="914400" cy="228600"/>
                <wp:effectExtent l="0" t="0" r="0" b="4445"/>
                <wp:wrapNone/>
                <wp:docPr id="2472" name="Text Box 245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14400" cy="2286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7FCFC7D" w14:textId="77777777" w:rsidR="006A5267" w:rsidRPr="000E396F" w:rsidRDefault="006A5267" w:rsidP="008B4B2B">
                            <w:pPr>
                              <w:rPr>
                                <w:szCs w:val="21"/>
                              </w:rPr>
                            </w:pPr>
                            <w:r w:rsidRPr="000E396F">
                              <w:rPr>
                                <w:rFonts w:hint="eastAsia"/>
                                <w:szCs w:val="21"/>
                              </w:rPr>
                              <w:t>可能性なし</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shape w14:anchorId="49864CC0" id="Text Box 2453" o:spid="_x0000_s1410" type="#_x0000_t202" style="position:absolute;left:0;text-align:left;margin-left:118.5pt;margin-top:2.65pt;width:1in;height:18pt;z-index:2532546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" filled="f" stroked="f">
                <v:textbox inset="5.85pt,.7pt,5.85pt,.7pt">
                  <w:txbxContent>
                    <w:p w14:paraId="07FCFC7D" w14:textId="77777777" w:rsidR="006A5267" w:rsidRPr="000E396F" w:rsidRDefault="006A5267" w:rsidP="008B4B2B">
                      <w:pPr>
                        <w:rPr>
                          <w:szCs w:val="21"/>
                        </w:rPr>
                      </w:pPr>
                      <w:r w:rsidRPr="000E396F">
                        <w:rPr>
                          <w:rFonts w:hint="eastAsia"/>
                          <w:szCs w:val="21"/>
                        </w:rPr>
                        <w:t>可能性なし</w:t>
                      </w:r>
                    </w:p>
                  </w:txbxContent>
                </v:textbox>
              </v:shape>
            </w:pict>
          </mc:Fallback>
        </mc:AlternateContent>
      </w:r>
      <w:r w:rsidRPr="00E0548A">
        <w:rPr>
          <w:rFonts w:hint="eastAsia"/>
          <w:noProof/>
          <w:sz w:val="22"/>
          <w:szCs w:val="22"/>
        </w:rPr>
        <mc:AlternateContent>
          <mc:Choice Requires="wps">
            <w:drawing>
              <wp:anchor distT="0" distB="0" distL="114300" distR="114300" simplePos="0" relativeHeight="253253632" behindDoc="0" locked="0" layoutInCell="1" allowOverlap="1" wp14:anchorId="3B9D9F33" wp14:editId="0A25E3C3">
                <wp:simplePos x="0" y="0"/>
                <wp:positionH relativeFrom="column">
                  <wp:posOffset>1390650</wp:posOffset>
                </wp:positionH>
                <wp:positionV relativeFrom="paragraph">
                  <wp:posOffset>33655</wp:posOffset>
                </wp:positionV>
                <wp:extent cx="114300" cy="342900"/>
                <wp:effectExtent l="19050" t="5080" r="19050" b="13970"/>
                <wp:wrapNone/>
                <wp:docPr id="2471" name="AutoShape 245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4300" cy="342900"/>
                        </a:xfrm>
                        <a:prstGeom prst="downArrow">
                          <a:avLst>
                            <a:gd name="adj1" fmla="val 50000"/>
                            <a:gd name="adj2" fmla="val 75000"/>
                          </a:avLst>
                        </a:prstGeom>
                        <a:solidFill>
                          <a:srgbClr val="FFFFFF"/>
                        </a:solidFill>
                        <a:ln w="9525">
                          <a:solidFill>
                            <a:srgbClr val="000000"/>
                          </a:solidFill>
                          <a:miter lim="800000"/>
                          <a:headEnd/>
                          <a:tailEnd/>
                        </a:ln>
                      </wps:spPr>
                      <wps:bodyPr rot="0" vert="eaVert"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shape w14:anchorId="3210FFEE" id="AutoShape 2452" o:spid="_x0000_s1026" type="#_x0000_t67" style="position:absolute;left:0;text-align:left;margin-left:109.5pt;margin-top:2.65pt;width:9pt;height:27pt;z-index:2532536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">
                <v:textbox style="layout-flow:vertical-ideographic" inset="5.85pt,.7pt,5.85pt,.7pt"/>
              </v:shape>
            </w:pict>
          </mc:Fallback>
        </mc:AlternateContent>
      </w:r>
    </w:p>
    <w:p w14:paraId="19261BBD" w14:textId="77777777" w:rsidR="008B4B2B" w:rsidRPr="00E0548A" w:rsidRDefault="008B4B2B" w:rsidP="008B4B2B">
      <w:pPr>
        <w:pStyle w:val="a0"/>
        <w:ind w:left="1216" w:hangingChars="550" w:hanging="1216"/>
        <w:rPr>
          <w:sz w:val="22"/>
          <w:szCs w:val="22"/>
        </w:rPr>
      </w:pPr>
      <w:r w:rsidRPr="00E0548A">
        <w:rPr>
          <w:rFonts w:hint="eastAsia"/>
          <w:noProof/>
          <w:sz w:val="22"/>
          <w:szCs w:val="22"/>
        </w:rPr>
        <mc:AlternateContent>
          <mc:Choice Requires="wps">
            <w:drawing>
              <wp:anchor distT="0" distB="0" distL="114300" distR="114300" simplePos="0" relativeHeight="253255680" behindDoc="0" locked="0" layoutInCell="1" allowOverlap="1" wp14:anchorId="4AB60133" wp14:editId="6A9F7393">
                <wp:simplePos x="0" y="0"/>
                <wp:positionH relativeFrom="column">
                  <wp:posOffset>-119380</wp:posOffset>
                </wp:positionH>
                <wp:positionV relativeFrom="paragraph">
                  <wp:posOffset>152400</wp:posOffset>
                </wp:positionV>
                <wp:extent cx="3185795" cy="242570"/>
                <wp:effectExtent l="13970" t="9525" r="10160" b="5080"/>
                <wp:wrapNone/>
                <wp:docPr id="2470" name="Text Box 245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85795" cy="242570"/>
                        </a:xfrm>
                        <a:prstGeom prst="rect">
                          <a:avLst/>
                        </a:prstGeom>
                        <a:solidFill>
                          <a:srgbClr val="FFFFFF"/>
                        </a:solidFill>
                        <a:ln w="9525">
                          <a:solidFill>
                            <a:srgbClr val="000000"/>
                          </a:solidFill>
                          <a:miter lim="800000"/>
                          <a:headEnd/>
                          <a:tailEnd/>
                        </a:ln>
                      </wps:spPr>
                      <wps:txbx>
                        <w:txbxContent>
                          <w:p w14:paraId="2F622AB9" w14:textId="77777777" w:rsidR="006A5267" w:rsidRPr="000E396F" w:rsidRDefault="006A5267" w:rsidP="008B4B2B">
                            <w:pPr>
                              <w:rPr>
                                <w:szCs w:val="21"/>
                              </w:rPr>
                            </w:pPr>
                            <w:r w:rsidRPr="000E396F">
                              <w:rPr>
                                <w:rFonts w:hint="eastAsia"/>
                                <w:szCs w:val="21"/>
                              </w:rPr>
                              <w:t>作業報告書、写真等で啓開作業前の状況記録をする</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shape w14:anchorId="4AB60133" id="Text Box 2454" o:spid="_x0000_s1411" type="#_x0000_t202" style="position:absolute;left:0;text-align:left;margin-left:-9.4pt;margin-top:12pt;width:250.85pt;height:19.1pt;z-index:253255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">
                <v:textbox inset="5.85pt,.7pt,5.85pt,.7pt">
                  <w:txbxContent>
                    <w:p w14:paraId="2F622AB9" w14:textId="77777777" w:rsidR="006A5267" w:rsidRPr="000E396F" w:rsidRDefault="006A5267" w:rsidP="008B4B2B">
                      <w:pPr>
                        <w:rPr>
                          <w:szCs w:val="21"/>
                        </w:rPr>
                      </w:pPr>
                      <w:r w:rsidRPr="000E396F">
                        <w:rPr>
                          <w:rFonts w:hint="eastAsia"/>
                          <w:szCs w:val="21"/>
                        </w:rPr>
                        <w:t>作業報告書、写真等で啓開作業前の状況記録をする</w:t>
                      </w:r>
                    </w:p>
                  </w:txbxContent>
                </v:textbox>
              </v:shape>
            </w:pict>
          </mc:Fallback>
        </mc:AlternateContent>
      </w:r>
    </w:p>
    <w:p w14:paraId="6602EBD6" w14:textId="77777777" w:rsidR="008B4B2B" w:rsidRPr="00E0548A" w:rsidRDefault="008B4B2B" w:rsidP="008B4B2B">
      <w:pPr>
        <w:pStyle w:val="a0"/>
        <w:ind w:left="1216" w:hangingChars="550" w:hanging="1216"/>
        <w:rPr>
          <w:sz w:val="22"/>
          <w:szCs w:val="22"/>
        </w:rPr>
      </w:pPr>
      <w:r w:rsidRPr="00E0548A">
        <w:rPr>
          <w:rFonts w:hint="eastAsia"/>
          <w:noProof/>
          <w:sz w:val="22"/>
          <w:szCs w:val="22"/>
        </w:rPr>
        <mc:AlternateContent>
          <mc:Choice Requires="wps">
            <w:drawing>
              <wp:anchor distT="0" distB="0" distL="114300" distR="114300" simplePos="0" relativeHeight="253257728" behindDoc="0" locked="0" layoutInCell="1" allowOverlap="1" wp14:anchorId="42C7B81D" wp14:editId="0221B00A">
                <wp:simplePos x="0" y="0"/>
                <wp:positionH relativeFrom="column">
                  <wp:posOffset>1390650</wp:posOffset>
                </wp:positionH>
                <wp:positionV relativeFrom="paragraph">
                  <wp:posOffset>170815</wp:posOffset>
                </wp:positionV>
                <wp:extent cx="114300" cy="342900"/>
                <wp:effectExtent l="19050" t="8890" r="19050" b="19685"/>
                <wp:wrapNone/>
                <wp:docPr id="2469" name="AutoShape 245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4300" cy="342900"/>
                        </a:xfrm>
                        <a:prstGeom prst="downArrow">
                          <a:avLst>
                            <a:gd name="adj1" fmla="val 50000"/>
                            <a:gd name="adj2" fmla="val 75000"/>
                          </a:avLst>
                        </a:prstGeom>
                        <a:solidFill>
                          <a:srgbClr val="FFFFFF"/>
                        </a:solidFill>
                        <a:ln w="9525">
                          <a:solidFill>
                            <a:srgbClr val="000000"/>
                          </a:solidFill>
                          <a:miter lim="800000"/>
                          <a:headEnd/>
                          <a:tailEnd/>
                        </a:ln>
                      </wps:spPr>
                      <wps:bodyPr rot="0" vert="eaVert"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shape w14:anchorId="73FCB1B9" id="AutoShape 2456" o:spid="_x0000_s1026" type="#_x0000_t67" style="position:absolute;left:0;text-align:left;margin-left:109.5pt;margin-top:13.45pt;width:9pt;height:27pt;z-index:2532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">
                <v:textbox style="layout-flow:vertical-ideographic" inset="5.85pt,.7pt,5.85pt,.7pt"/>
              </v:shape>
            </w:pict>
          </mc:Fallback>
        </mc:AlternateContent>
      </w:r>
    </w:p>
    <w:p w14:paraId="191E6A34" w14:textId="77777777" w:rsidR="008B4B2B" w:rsidRPr="00E0548A" w:rsidRDefault="008B4B2B" w:rsidP="008B4B2B">
      <w:pPr>
        <w:pStyle w:val="a0"/>
        <w:ind w:left="1216" w:hangingChars="550" w:hanging="1216"/>
        <w:rPr>
          <w:sz w:val="22"/>
          <w:szCs w:val="22"/>
        </w:rPr>
      </w:pPr>
    </w:p>
    <w:p w14:paraId="3EDD113A" w14:textId="77777777" w:rsidR="008B4B2B" w:rsidRPr="00E0548A" w:rsidRDefault="008B4B2B" w:rsidP="008B4B2B">
      <w:pPr>
        <w:pStyle w:val="a0"/>
        <w:ind w:left="1216" w:hangingChars="550" w:hanging="1216"/>
        <w:rPr>
          <w:sz w:val="22"/>
          <w:szCs w:val="22"/>
        </w:rPr>
      </w:pPr>
      <w:r w:rsidRPr="00E0548A">
        <w:rPr>
          <w:rFonts w:hint="eastAsia"/>
          <w:noProof/>
          <w:sz w:val="22"/>
          <w:szCs w:val="22"/>
        </w:rPr>
        <mc:AlternateContent>
          <mc:Choice Requires="wps">
            <w:drawing>
              <wp:anchor distT="0" distB="0" distL="114300" distR="114300" simplePos="0" relativeHeight="253258752" behindDoc="0" locked="0" layoutInCell="1" allowOverlap="1" wp14:anchorId="27C9D269" wp14:editId="616B16BE">
                <wp:simplePos x="0" y="0"/>
                <wp:positionH relativeFrom="column">
                  <wp:posOffset>342900</wp:posOffset>
                </wp:positionH>
                <wp:positionV relativeFrom="paragraph">
                  <wp:posOffset>65405</wp:posOffset>
                </wp:positionV>
                <wp:extent cx="2171700" cy="1056640"/>
                <wp:effectExtent l="19050" t="17780" r="19050" b="11430"/>
                <wp:wrapNone/>
                <wp:docPr id="2467" name="AutoShape 245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71700" cy="1056640"/>
                        </a:xfrm>
                        <a:prstGeom prst="diamond">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shape w14:anchorId="3B13EB18" id="AutoShape 2457" o:spid="_x0000_s1026" type="#_x0000_t4" style="position:absolute;left:0;text-align:left;margin-left:27pt;margin-top:5.15pt;width:171pt;height:83.2pt;z-index:2532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" filled="f">
                <v:textbox inset="5.85pt,.7pt,5.85pt,.7pt"/>
              </v:shape>
            </w:pict>
          </mc:Fallback>
        </mc:AlternateContent>
      </w:r>
    </w:p>
    <w:p w14:paraId="41EAAAB9" w14:textId="77777777" w:rsidR="008B4B2B" w:rsidRPr="00E0548A" w:rsidRDefault="008B4B2B" w:rsidP="008B4B2B">
      <w:pPr>
        <w:pStyle w:val="a0"/>
        <w:ind w:left="1216" w:hangingChars="550" w:hanging="1216"/>
        <w:rPr>
          <w:sz w:val="22"/>
          <w:szCs w:val="22"/>
        </w:rPr>
      </w:pPr>
      <w:r w:rsidRPr="00E0548A">
        <w:rPr>
          <w:rFonts w:hint="eastAsia"/>
          <w:noProof/>
          <w:sz w:val="22"/>
          <w:szCs w:val="22"/>
        </w:rPr>
        <mc:AlternateContent>
          <mc:Choice Requires="wps">
            <w:drawing>
              <wp:anchor distT="0" distB="0" distL="114300" distR="114300" simplePos="0" relativeHeight="253264896" behindDoc="0" locked="0" layoutInCell="1" allowOverlap="1" wp14:anchorId="1B9D8CF8" wp14:editId="6454702F">
                <wp:simplePos x="0" y="0"/>
                <wp:positionH relativeFrom="column">
                  <wp:posOffset>2863850</wp:posOffset>
                </wp:positionH>
                <wp:positionV relativeFrom="paragraph">
                  <wp:posOffset>109855</wp:posOffset>
                </wp:positionV>
                <wp:extent cx="1028700" cy="228600"/>
                <wp:effectExtent l="0" t="0" r="3175" b="4445"/>
                <wp:wrapNone/>
                <wp:docPr id="2466" name="Text Box 246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28700" cy="2286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27C35FC" w14:textId="77777777" w:rsidR="006A5267" w:rsidRPr="000E396F" w:rsidRDefault="006A5267" w:rsidP="008B4B2B">
                            <w:pPr>
                              <w:rPr>
                                <w:szCs w:val="21"/>
                              </w:rPr>
                            </w:pPr>
                            <w:r w:rsidRPr="000E396F">
                              <w:rPr>
                                <w:rFonts w:hint="eastAsia"/>
                                <w:szCs w:val="21"/>
                              </w:rPr>
                              <w:t>認められない</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shape w14:anchorId="1B9D8CF8" id="Text Box 2463" o:spid="_x0000_s1412" type="#_x0000_t202" style="position:absolute;left:0;text-align:left;margin-left:225.5pt;margin-top:8.65pt;width:81pt;height:18pt;z-index:2532648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" filled="f" stroked="f">
                <v:textbox inset="5.85pt,.7pt,5.85pt,.7pt">
                  <w:txbxContent>
                    <w:p w14:paraId="027C35FC" w14:textId="77777777" w:rsidR="006A5267" w:rsidRPr="000E396F" w:rsidRDefault="006A5267" w:rsidP="008B4B2B">
                      <w:pPr>
                        <w:rPr>
                          <w:szCs w:val="21"/>
                        </w:rPr>
                      </w:pPr>
                      <w:r w:rsidRPr="000E396F">
                        <w:rPr>
                          <w:rFonts w:hint="eastAsia"/>
                          <w:szCs w:val="21"/>
                        </w:rPr>
                        <w:t>認められない</w:t>
                      </w:r>
                    </w:p>
                  </w:txbxContent>
                </v:textbox>
              </v:shape>
            </w:pict>
          </mc:Fallback>
        </mc:AlternateContent>
      </w:r>
      <w:r w:rsidRPr="00E0548A">
        <w:rPr>
          <w:rFonts w:hint="eastAsia"/>
          <w:noProof/>
          <w:sz w:val="22"/>
          <w:szCs w:val="22"/>
        </w:rPr>
        <mc:AlternateContent>
          <mc:Choice Requires="wps">
            <w:drawing>
              <wp:anchor distT="0" distB="0" distL="114300" distR="114300" simplePos="0" relativeHeight="253259776" behindDoc="0" locked="0" layoutInCell="1" allowOverlap="1" wp14:anchorId="58C06951" wp14:editId="1660A0E8">
                <wp:simplePos x="0" y="0"/>
                <wp:positionH relativeFrom="column">
                  <wp:posOffset>800100</wp:posOffset>
                </wp:positionH>
                <wp:positionV relativeFrom="paragraph">
                  <wp:posOffset>167005</wp:posOffset>
                </wp:positionV>
                <wp:extent cx="1257300" cy="457200"/>
                <wp:effectExtent l="0" t="0" r="0" b="4445"/>
                <wp:wrapNone/>
                <wp:docPr id="2465" name="Text Box 245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57300" cy="4572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8A5B308" w14:textId="77777777" w:rsidR="006A5267" w:rsidRPr="000E396F" w:rsidRDefault="006A5267" w:rsidP="008B4B2B">
                            <w:pPr>
                              <w:rPr>
                                <w:szCs w:val="21"/>
                              </w:rPr>
                            </w:pPr>
                            <w:r w:rsidRPr="000E396F">
                              <w:rPr>
                                <w:rFonts w:hint="eastAsia"/>
                                <w:szCs w:val="21"/>
                              </w:rPr>
                              <w:t>現金・車等の有価物が認められるか</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shape w14:anchorId="58C06951" id="Text Box 2458" o:spid="_x0000_s1413" type="#_x0000_t202" style="position:absolute;left:0;text-align:left;margin-left:63pt;margin-top:13.15pt;width:99pt;height:36pt;z-index:253259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" filled="f" stroked="f">
                <v:textbox inset="5.85pt,.7pt,5.85pt,.7pt">
                  <w:txbxContent>
                    <w:p w14:paraId="28A5B308" w14:textId="77777777" w:rsidR="006A5267" w:rsidRPr="000E396F" w:rsidRDefault="006A5267" w:rsidP="008B4B2B">
                      <w:pPr>
                        <w:rPr>
                          <w:szCs w:val="21"/>
                        </w:rPr>
                      </w:pPr>
                      <w:r w:rsidRPr="000E396F">
                        <w:rPr>
                          <w:rFonts w:hint="eastAsia"/>
                          <w:szCs w:val="21"/>
                        </w:rPr>
                        <w:t>現金・車等の有価物が認められるか</w:t>
                      </w:r>
                    </w:p>
                  </w:txbxContent>
                </v:textbox>
              </v:shape>
            </w:pict>
          </mc:Fallback>
        </mc:AlternateContent>
      </w:r>
    </w:p>
    <w:p w14:paraId="62A44E13" w14:textId="77777777" w:rsidR="008B4B2B" w:rsidRPr="00E0548A" w:rsidRDefault="008B4B2B" w:rsidP="008B4B2B">
      <w:pPr>
        <w:pStyle w:val="a0"/>
        <w:ind w:left="1216" w:hangingChars="550" w:hanging="1216"/>
        <w:rPr>
          <w:sz w:val="22"/>
          <w:szCs w:val="22"/>
        </w:rPr>
      </w:pPr>
      <w:r w:rsidRPr="00E0548A">
        <w:rPr>
          <w:rFonts w:hint="eastAsia"/>
          <w:noProof/>
          <w:sz w:val="22"/>
          <w:szCs w:val="22"/>
        </w:rPr>
        <mc:AlternateContent>
          <mc:Choice Requires="wps">
            <w:drawing>
              <wp:anchor distT="0" distB="0" distL="114300" distR="114300" simplePos="0" relativeHeight="253260800" behindDoc="0" locked="0" layoutInCell="1" allowOverlap="1" wp14:anchorId="40978B1A" wp14:editId="140991FE">
                <wp:simplePos x="0" y="0"/>
                <wp:positionH relativeFrom="column">
                  <wp:posOffset>2519680</wp:posOffset>
                </wp:positionH>
                <wp:positionV relativeFrom="paragraph">
                  <wp:posOffset>114300</wp:posOffset>
                </wp:positionV>
                <wp:extent cx="423545" cy="114300"/>
                <wp:effectExtent l="5080" t="19050" r="19050" b="9525"/>
                <wp:wrapNone/>
                <wp:docPr id="2464" name="AutoShape 245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23545" cy="114300"/>
                        </a:xfrm>
                        <a:prstGeom prst="rightArrow">
                          <a:avLst>
                            <a:gd name="adj1" fmla="val 50000"/>
                            <a:gd name="adj2" fmla="val 92639"/>
                          </a:avLst>
                        </a:prstGeom>
                        <a:solidFill>
                          <a:srgbClr val="FFFFFF"/>
                        </a:solidFill>
                        <a:ln w="9525">
                          <a:solidFill>
                            <a:srgbClr val="000000"/>
                          </a:solidFill>
                          <a:miter lim="800000"/>
                          <a:headEnd/>
                          <a:tailEnd/>
                        </a:ln>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shape w14:anchorId="1FA9A62D" id="AutoShape 2459" o:spid="_x0000_s1026" type="#_x0000_t13" style="position:absolute;left:0;text-align:left;margin-left:198.4pt;margin-top:9pt;width:33.35pt;height:9pt;z-index:2532608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">
                <v:textbox inset="5.85pt,.7pt,5.85pt,.7pt"/>
              </v:shape>
            </w:pict>
          </mc:Fallback>
        </mc:AlternateContent>
      </w:r>
    </w:p>
    <w:p w14:paraId="54542B0F" w14:textId="77777777" w:rsidR="008B4B2B" w:rsidRPr="00E0548A" w:rsidRDefault="008B4B2B" w:rsidP="008B4B2B">
      <w:pPr>
        <w:pStyle w:val="a0"/>
        <w:ind w:left="1216" w:hangingChars="550" w:hanging="1216"/>
        <w:rPr>
          <w:sz w:val="22"/>
          <w:szCs w:val="22"/>
        </w:rPr>
      </w:pPr>
      <w:r w:rsidRPr="00E0548A">
        <w:rPr>
          <w:rFonts w:hint="eastAsia"/>
          <w:noProof/>
          <w:sz w:val="22"/>
          <w:szCs w:val="22"/>
        </w:rPr>
        <mc:AlternateContent>
          <mc:Choice Requires="wps">
            <w:drawing>
              <wp:anchor distT="0" distB="0" distL="114300" distR="114300" simplePos="0" relativeHeight="253263872" behindDoc="0" locked="0" layoutInCell="1" allowOverlap="1" wp14:anchorId="3A7B642F" wp14:editId="4E32691B">
                <wp:simplePos x="0" y="0"/>
                <wp:positionH relativeFrom="column">
                  <wp:posOffset>2776220</wp:posOffset>
                </wp:positionH>
                <wp:positionV relativeFrom="paragraph">
                  <wp:posOffset>4445</wp:posOffset>
                </wp:positionV>
                <wp:extent cx="3514725" cy="238125"/>
                <wp:effectExtent l="13970" t="13970" r="5080" b="5080"/>
                <wp:wrapNone/>
                <wp:docPr id="4063" name="Text Box 246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14725" cy="238125"/>
                        </a:xfrm>
                        <a:prstGeom prst="rect">
                          <a:avLst/>
                        </a:prstGeom>
                        <a:solidFill>
                          <a:srgbClr val="FFFFFF"/>
                        </a:solidFill>
                        <a:ln w="9525">
                          <a:solidFill>
                            <a:srgbClr val="000000"/>
                          </a:solidFill>
                          <a:miter lim="800000"/>
                          <a:headEnd/>
                          <a:tailEnd/>
                        </a:ln>
                      </wps:spPr>
                      <wps:txbx>
                        <w:txbxContent>
                          <w:p w14:paraId="5032A4BB" w14:textId="77777777" w:rsidR="006A5267" w:rsidRPr="000E396F" w:rsidRDefault="006A5267" w:rsidP="008B4B2B">
                            <w:pPr>
                              <w:rPr>
                                <w:szCs w:val="21"/>
                              </w:rPr>
                            </w:pPr>
                            <w:r w:rsidRPr="000E396F">
                              <w:rPr>
                                <w:rFonts w:hint="eastAsia"/>
                                <w:szCs w:val="21"/>
                              </w:rPr>
                              <w:t>倒壊物等を道路路側へ移動若しくは近隣の仮置場へ移動</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shape w14:anchorId="3A7B642F" id="Text Box 2462" o:spid="_x0000_s1414" type="#_x0000_t202" style="position:absolute;left:0;text-align:left;margin-left:218.6pt;margin-top:.35pt;width:276.75pt;height:18.75pt;z-index:2532638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">
                <v:textbox inset="5.85pt,.7pt,5.85pt,.7pt">
                  <w:txbxContent>
                    <w:p w14:paraId="5032A4BB" w14:textId="77777777" w:rsidR="006A5267" w:rsidRPr="000E396F" w:rsidRDefault="006A5267" w:rsidP="008B4B2B">
                      <w:pPr>
                        <w:rPr>
                          <w:szCs w:val="21"/>
                        </w:rPr>
                      </w:pPr>
                      <w:r w:rsidRPr="000E396F">
                        <w:rPr>
                          <w:rFonts w:hint="eastAsia"/>
                          <w:szCs w:val="21"/>
                        </w:rPr>
                        <w:t>倒壊物等を道路路側へ移動若しくは近隣の仮置場へ移動</w:t>
                      </w:r>
                    </w:p>
                  </w:txbxContent>
                </v:textbox>
              </v:shape>
            </w:pict>
          </mc:Fallback>
        </mc:AlternateContent>
      </w:r>
    </w:p>
    <w:p w14:paraId="3C04B777" w14:textId="77777777" w:rsidR="008B4B2B" w:rsidRPr="00E0548A" w:rsidRDefault="008B4B2B" w:rsidP="008B4B2B">
      <w:pPr>
        <w:pStyle w:val="a0"/>
        <w:ind w:left="1216" w:hangingChars="550" w:hanging="1216"/>
        <w:rPr>
          <w:sz w:val="22"/>
          <w:szCs w:val="22"/>
        </w:rPr>
      </w:pPr>
    </w:p>
    <w:p w14:paraId="1BFF21FB" w14:textId="77777777" w:rsidR="008B4B2B" w:rsidRPr="00E0548A" w:rsidRDefault="008B4B2B" w:rsidP="008B4B2B">
      <w:pPr>
        <w:pStyle w:val="a0"/>
        <w:ind w:left="1216" w:hangingChars="550" w:hanging="1216"/>
        <w:rPr>
          <w:sz w:val="22"/>
          <w:szCs w:val="22"/>
        </w:rPr>
      </w:pPr>
      <w:r w:rsidRPr="00E0548A">
        <w:rPr>
          <w:rFonts w:hint="eastAsia"/>
          <w:noProof/>
          <w:sz w:val="22"/>
          <w:szCs w:val="22"/>
        </w:rPr>
        <mc:AlternateContent>
          <mc:Choice Requires="wps">
            <w:drawing>
              <wp:anchor distT="0" distB="0" distL="114300" distR="114300" simplePos="0" relativeHeight="253261824" behindDoc="0" locked="0" layoutInCell="1" allowOverlap="1" wp14:anchorId="03003151" wp14:editId="7EF7149C">
                <wp:simplePos x="0" y="0"/>
                <wp:positionH relativeFrom="column">
                  <wp:posOffset>1504950</wp:posOffset>
                </wp:positionH>
                <wp:positionV relativeFrom="paragraph">
                  <wp:posOffset>1270</wp:posOffset>
                </wp:positionV>
                <wp:extent cx="914400" cy="228600"/>
                <wp:effectExtent l="0" t="1270" r="0" b="0"/>
                <wp:wrapNone/>
                <wp:docPr id="4062" name="Text Box 246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14400" cy="2286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3EB2276" w14:textId="77777777" w:rsidR="006A5267" w:rsidRPr="000E396F" w:rsidRDefault="006A5267" w:rsidP="008B4B2B">
                            <w:pPr>
                              <w:rPr>
                                <w:szCs w:val="21"/>
                              </w:rPr>
                            </w:pPr>
                            <w:r w:rsidRPr="000E396F">
                              <w:rPr>
                                <w:rFonts w:hint="eastAsia"/>
                                <w:szCs w:val="21"/>
                              </w:rPr>
                              <w:t>認められる</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shape w14:anchorId="03003151" id="Text Box 2460" o:spid="_x0000_s1415" type="#_x0000_t202" style="position:absolute;left:0;text-align:left;margin-left:118.5pt;margin-top:.1pt;width:1in;height:18pt;z-index:2532618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" filled="f" stroked="f">
                <v:textbox inset="5.85pt,.7pt,5.85pt,.7pt">
                  <w:txbxContent>
                    <w:p w14:paraId="43EB2276" w14:textId="77777777" w:rsidR="006A5267" w:rsidRPr="000E396F" w:rsidRDefault="006A5267" w:rsidP="008B4B2B">
                      <w:pPr>
                        <w:rPr>
                          <w:szCs w:val="21"/>
                        </w:rPr>
                      </w:pPr>
                      <w:r w:rsidRPr="000E396F">
                        <w:rPr>
                          <w:rFonts w:hint="eastAsia"/>
                          <w:szCs w:val="21"/>
                        </w:rPr>
                        <w:t>認められる</w:t>
                      </w:r>
                    </w:p>
                  </w:txbxContent>
                </v:textbox>
              </v:shape>
            </w:pict>
          </mc:Fallback>
        </mc:AlternateContent>
      </w:r>
      <w:r w:rsidRPr="00E0548A">
        <w:rPr>
          <w:rFonts w:hint="eastAsia"/>
          <w:noProof/>
          <w:sz w:val="22"/>
          <w:szCs w:val="22"/>
        </w:rPr>
        <mc:AlternateContent>
          <mc:Choice Requires="wps">
            <w:drawing>
              <wp:anchor distT="0" distB="0" distL="114300" distR="114300" simplePos="0" relativeHeight="253262848" behindDoc="0" locked="0" layoutInCell="1" allowOverlap="1" wp14:anchorId="301354B1" wp14:editId="67DEA2C6">
                <wp:simplePos x="0" y="0"/>
                <wp:positionH relativeFrom="column">
                  <wp:posOffset>1390650</wp:posOffset>
                </wp:positionH>
                <wp:positionV relativeFrom="paragraph">
                  <wp:posOffset>1270</wp:posOffset>
                </wp:positionV>
                <wp:extent cx="114300" cy="342900"/>
                <wp:effectExtent l="19050" t="10795" r="19050" b="17780"/>
                <wp:wrapNone/>
                <wp:docPr id="4061" name="AutoShape 246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4300" cy="342900"/>
                        </a:xfrm>
                        <a:prstGeom prst="downArrow">
                          <a:avLst>
                            <a:gd name="adj1" fmla="val 50000"/>
                            <a:gd name="adj2" fmla="val 75000"/>
                          </a:avLst>
                        </a:prstGeom>
                        <a:solidFill>
                          <a:srgbClr val="FFFFFF"/>
                        </a:solidFill>
                        <a:ln w="9525">
                          <a:solidFill>
                            <a:srgbClr val="000000"/>
                          </a:solidFill>
                          <a:miter lim="800000"/>
                          <a:headEnd/>
                          <a:tailEnd/>
                        </a:ln>
                      </wps:spPr>
                      <wps:bodyPr rot="0" vert="eaVert"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shape w14:anchorId="01151A05" id="AutoShape 2461" o:spid="_x0000_s1026" type="#_x0000_t67" style="position:absolute;left:0;text-align:left;margin-left:109.5pt;margin-top:.1pt;width:9pt;height:27pt;z-index:2532628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">
                <v:textbox style="layout-flow:vertical-ideographic" inset="5.85pt,.7pt,5.85pt,.7pt"/>
              </v:shape>
            </w:pict>
          </mc:Fallback>
        </mc:AlternateContent>
      </w:r>
    </w:p>
    <w:p w14:paraId="25C7542E" w14:textId="77777777" w:rsidR="008B4B2B" w:rsidRPr="00E0548A" w:rsidRDefault="008B4B2B" w:rsidP="008B4B2B">
      <w:pPr>
        <w:pStyle w:val="a0"/>
        <w:ind w:left="1216" w:hangingChars="550" w:hanging="1216"/>
        <w:rPr>
          <w:sz w:val="22"/>
          <w:szCs w:val="22"/>
        </w:rPr>
      </w:pPr>
      <w:r w:rsidRPr="00E0548A">
        <w:rPr>
          <w:rFonts w:hint="eastAsia"/>
          <w:noProof/>
          <w:sz w:val="22"/>
          <w:szCs w:val="22"/>
        </w:rPr>
        <mc:AlternateContent>
          <mc:Choice Requires="wps">
            <w:drawing>
              <wp:anchor distT="0" distB="0" distL="114300" distR="114300" simplePos="0" relativeHeight="253265920" behindDoc="0" locked="0" layoutInCell="1" allowOverlap="1" wp14:anchorId="7CC6394E" wp14:editId="63177ABE">
                <wp:simplePos x="0" y="0"/>
                <wp:positionH relativeFrom="column">
                  <wp:posOffset>-342900</wp:posOffset>
                </wp:positionH>
                <wp:positionV relativeFrom="paragraph">
                  <wp:posOffset>120015</wp:posOffset>
                </wp:positionV>
                <wp:extent cx="3576320" cy="261620"/>
                <wp:effectExtent l="9525" t="5715" r="5080" b="8890"/>
                <wp:wrapNone/>
                <wp:docPr id="4060" name="Text Box 246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76320" cy="261620"/>
                        </a:xfrm>
                        <a:prstGeom prst="rect">
                          <a:avLst/>
                        </a:prstGeom>
                        <a:solidFill>
                          <a:srgbClr val="FFFFFF"/>
                        </a:solidFill>
                        <a:ln w="9525">
                          <a:solidFill>
                            <a:srgbClr val="000000"/>
                          </a:solidFill>
                          <a:miter lim="800000"/>
                          <a:headEnd/>
                          <a:tailEnd/>
                        </a:ln>
                      </wps:spPr>
                      <wps:txbx>
                        <w:txbxContent>
                          <w:p w14:paraId="4504E3FF" w14:textId="77777777" w:rsidR="006A5267" w:rsidRPr="000E396F" w:rsidRDefault="006A5267" w:rsidP="008B4B2B">
                            <w:pPr>
                              <w:rPr>
                                <w:szCs w:val="21"/>
                              </w:rPr>
                            </w:pPr>
                            <w:r w:rsidRPr="000E396F">
                              <w:rPr>
                                <w:rFonts w:hint="eastAsia"/>
                                <w:szCs w:val="21"/>
                              </w:rPr>
                              <w:t>有価物を一時保管。写真等で状況記録後、警察へ届け出</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shape w14:anchorId="7CC6394E" id="Text Box 2464" o:spid="_x0000_s1416" type="#_x0000_t202" style="position:absolute;left:0;text-align:left;margin-left:-27pt;margin-top:9.45pt;width:281.6pt;height:20.6pt;z-index:2532659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">
                <v:textbox inset="5.85pt,.7pt,5.85pt,.7pt">
                  <w:txbxContent>
                    <w:p w14:paraId="4504E3FF" w14:textId="77777777" w:rsidR="006A5267" w:rsidRPr="000E396F" w:rsidRDefault="006A5267" w:rsidP="008B4B2B">
                      <w:pPr>
                        <w:rPr>
                          <w:szCs w:val="21"/>
                        </w:rPr>
                      </w:pPr>
                      <w:r w:rsidRPr="000E396F">
                        <w:rPr>
                          <w:rFonts w:hint="eastAsia"/>
                          <w:szCs w:val="21"/>
                        </w:rPr>
                        <w:t>有価物を一時保管。写真等で状況記録後、警察へ届け出</w:t>
                      </w:r>
                    </w:p>
                  </w:txbxContent>
                </v:textbox>
              </v:shape>
            </w:pict>
          </mc:Fallback>
        </mc:AlternateContent>
      </w:r>
    </w:p>
    <w:p w14:paraId="6AF532D0" w14:textId="77777777" w:rsidR="008B4B2B" w:rsidRPr="00E0548A" w:rsidRDefault="008B4B2B" w:rsidP="008B4B2B">
      <w:pPr>
        <w:pStyle w:val="a0"/>
        <w:ind w:left="1216" w:hangingChars="550" w:hanging="1216"/>
        <w:rPr>
          <w:sz w:val="22"/>
          <w:szCs w:val="22"/>
        </w:rPr>
      </w:pPr>
      <w:r w:rsidRPr="00E0548A">
        <w:rPr>
          <w:rFonts w:ascii="ＭＳ ゴシック" w:eastAsia="ＭＳ ゴシック" w:hAnsi="ＭＳ ゴシック" w:hint="eastAsia"/>
          <w:noProof/>
          <w:sz w:val="22"/>
          <w:szCs w:val="22"/>
        </w:rPr>
        <mc:AlternateContent>
          <mc:Choice Requires="wps">
            <w:drawing>
              <wp:anchor distT="0" distB="0" distL="114300" distR="114300" simplePos="0" relativeHeight="253267968" behindDoc="0" locked="0" layoutInCell="1" allowOverlap="1" wp14:anchorId="7202C71F" wp14:editId="16CCABAF">
                <wp:simplePos x="0" y="0"/>
                <wp:positionH relativeFrom="column">
                  <wp:posOffset>-13970</wp:posOffset>
                </wp:positionH>
                <wp:positionV relativeFrom="paragraph">
                  <wp:posOffset>157480</wp:posOffset>
                </wp:positionV>
                <wp:extent cx="1404620" cy="276225"/>
                <wp:effectExtent l="0" t="0" r="0" b="4445"/>
                <wp:wrapNone/>
                <wp:docPr id="4059" name="Text Box 246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04620" cy="2762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CC38A9C" w14:textId="77777777" w:rsidR="006A5267" w:rsidRPr="000E396F" w:rsidRDefault="006A5267" w:rsidP="008B4B2B">
                            <w:pPr>
                              <w:rPr>
                                <w:szCs w:val="21"/>
                              </w:rPr>
                            </w:pPr>
                            <w:r>
                              <w:rPr>
                                <w:rFonts w:hint="eastAsia"/>
                                <w:szCs w:val="21"/>
                              </w:rPr>
                              <w:t>地</w:t>
                            </w:r>
                            <w:r w:rsidRPr="000E396F">
                              <w:rPr>
                                <w:rFonts w:hint="eastAsia"/>
                                <w:szCs w:val="21"/>
                              </w:rPr>
                              <w:t>震後初動期の後に</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shape w14:anchorId="7202C71F" id="Text Box 2466" o:spid="_x0000_s1417" type="#_x0000_t202" style="position:absolute;left:0;text-align:left;margin-left:-1.1pt;margin-top:12.4pt;width:110.6pt;height:21.75pt;z-index:2532679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" filled="f" stroked="f">
                <v:textbox inset="5.85pt,.7pt,5.85pt,.7pt">
                  <w:txbxContent>
                    <w:p w14:paraId="3CC38A9C" w14:textId="77777777" w:rsidR="006A5267" w:rsidRPr="000E396F" w:rsidRDefault="006A5267" w:rsidP="008B4B2B">
                      <w:pPr>
                        <w:rPr>
                          <w:szCs w:val="21"/>
                        </w:rPr>
                      </w:pPr>
                      <w:r>
                        <w:rPr>
                          <w:rFonts w:hint="eastAsia"/>
                          <w:szCs w:val="21"/>
                        </w:rPr>
                        <w:t>地</w:t>
                      </w:r>
                      <w:r w:rsidRPr="000E396F">
                        <w:rPr>
                          <w:rFonts w:hint="eastAsia"/>
                          <w:szCs w:val="21"/>
                        </w:rPr>
                        <w:t>震後初動期の後に</w:t>
                      </w:r>
                    </w:p>
                  </w:txbxContent>
                </v:textbox>
              </v:shape>
            </w:pict>
          </mc:Fallback>
        </mc:AlternateContent>
      </w:r>
      <w:r w:rsidRPr="00E0548A">
        <w:rPr>
          <w:rFonts w:hint="eastAsia"/>
          <w:noProof/>
          <w:sz w:val="22"/>
          <w:szCs w:val="22"/>
        </w:rPr>
        <mc:AlternateContent>
          <mc:Choice Requires="wps">
            <w:drawing>
              <wp:anchor distT="0" distB="0" distL="114300" distR="114300" simplePos="0" relativeHeight="253266944" behindDoc="0" locked="0" layoutInCell="1" allowOverlap="1" wp14:anchorId="17168E77" wp14:editId="44E31830">
                <wp:simplePos x="0" y="0"/>
                <wp:positionH relativeFrom="column">
                  <wp:posOffset>1390650</wp:posOffset>
                </wp:positionH>
                <wp:positionV relativeFrom="paragraph">
                  <wp:posOffset>157480</wp:posOffset>
                </wp:positionV>
                <wp:extent cx="114300" cy="367030"/>
                <wp:effectExtent l="19050" t="5080" r="19050" b="18415"/>
                <wp:wrapNone/>
                <wp:docPr id="4058" name="AutoShape 246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4300" cy="367030"/>
                        </a:xfrm>
                        <a:prstGeom prst="downArrow">
                          <a:avLst>
                            <a:gd name="adj1" fmla="val 50000"/>
                            <a:gd name="adj2" fmla="val 80278"/>
                          </a:avLst>
                        </a:prstGeom>
                        <a:solidFill>
                          <a:srgbClr val="FFFFFF"/>
                        </a:solidFill>
                        <a:ln w="9525">
                          <a:solidFill>
                            <a:srgbClr val="000000"/>
                          </a:solidFill>
                          <a:miter lim="800000"/>
                          <a:headEnd/>
                          <a:tailEnd/>
                        </a:ln>
                      </wps:spPr>
                      <wps:bodyPr rot="0" vert="eaVert"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shape w14:anchorId="0D83485C" id="AutoShape 2465" o:spid="_x0000_s1026" type="#_x0000_t67" style="position:absolute;left:0;text-align:left;margin-left:109.5pt;margin-top:12.4pt;width:9pt;height:28.9pt;z-index:2532669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">
                <v:textbox style="layout-flow:vertical-ideographic" inset="5.85pt,.7pt,5.85pt,.7pt"/>
              </v:shape>
            </w:pict>
          </mc:Fallback>
        </mc:AlternateContent>
      </w:r>
    </w:p>
    <w:p w14:paraId="5BAB480D" w14:textId="77777777" w:rsidR="008B4B2B" w:rsidRPr="00E0548A" w:rsidRDefault="008B4B2B" w:rsidP="008B4B2B">
      <w:pPr>
        <w:pStyle w:val="a0"/>
        <w:ind w:left="1216" w:hangingChars="550" w:hanging="1216"/>
        <w:rPr>
          <w:sz w:val="22"/>
          <w:szCs w:val="22"/>
        </w:rPr>
      </w:pPr>
    </w:p>
    <w:p w14:paraId="54F8098A" w14:textId="77777777" w:rsidR="008B4B2B" w:rsidRPr="00E0548A" w:rsidRDefault="008B4B2B" w:rsidP="008B4B2B">
      <w:pPr>
        <w:pStyle w:val="a0"/>
        <w:ind w:left="1216" w:hangingChars="550" w:hanging="1216"/>
        <w:rPr>
          <w:sz w:val="22"/>
          <w:szCs w:val="22"/>
        </w:rPr>
      </w:pPr>
      <w:r w:rsidRPr="00E0548A">
        <w:rPr>
          <w:rFonts w:hint="eastAsia"/>
          <w:noProof/>
          <w:sz w:val="22"/>
          <w:szCs w:val="22"/>
        </w:rPr>
        <mc:AlternateContent>
          <mc:Choice Requires="wps">
            <w:drawing>
              <wp:anchor distT="0" distB="0" distL="114300" distR="114300" simplePos="0" relativeHeight="253268992" behindDoc="0" locked="0" layoutInCell="1" allowOverlap="1" wp14:anchorId="35CFE4E0" wp14:editId="5723CB71">
                <wp:simplePos x="0" y="0"/>
                <wp:positionH relativeFrom="column">
                  <wp:posOffset>57150</wp:posOffset>
                </wp:positionH>
                <wp:positionV relativeFrom="paragraph">
                  <wp:posOffset>76200</wp:posOffset>
                </wp:positionV>
                <wp:extent cx="2719070" cy="223520"/>
                <wp:effectExtent l="9525" t="9525" r="5080" b="5080"/>
                <wp:wrapNone/>
                <wp:docPr id="4057" name="Text Box 246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19070" cy="223520"/>
                        </a:xfrm>
                        <a:prstGeom prst="rect">
                          <a:avLst/>
                        </a:prstGeom>
                        <a:solidFill>
                          <a:srgbClr val="FFFFFF"/>
                        </a:solidFill>
                        <a:ln w="9525">
                          <a:solidFill>
                            <a:srgbClr val="000000"/>
                          </a:solidFill>
                          <a:miter lim="800000"/>
                          <a:headEnd/>
                          <a:tailEnd/>
                        </a:ln>
                      </wps:spPr>
                      <wps:txbx>
                        <w:txbxContent>
                          <w:p w14:paraId="60BC1A58" w14:textId="77777777" w:rsidR="006A5267" w:rsidRPr="000E396F" w:rsidRDefault="006A5267" w:rsidP="008B4B2B">
                            <w:pPr>
                              <w:rPr>
                                <w:szCs w:val="21"/>
                              </w:rPr>
                            </w:pPr>
                            <w:r w:rsidRPr="000E396F">
                              <w:rPr>
                                <w:rFonts w:hint="eastAsia"/>
                                <w:szCs w:val="21"/>
                              </w:rPr>
                              <w:t>所在した場所、保管を始めた日時等を公表</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shape w14:anchorId="35CFE4E0" id="Text Box 2467" o:spid="_x0000_s1418" type="#_x0000_t202" style="position:absolute;left:0;text-align:left;margin-left:4.5pt;margin-top:6pt;width:214.1pt;height:17.6pt;z-index:2532689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">
                <v:textbox inset="5.85pt,.7pt,5.85pt,.7pt">
                  <w:txbxContent>
                    <w:p w14:paraId="60BC1A58" w14:textId="77777777" w:rsidR="006A5267" w:rsidRPr="000E396F" w:rsidRDefault="006A5267" w:rsidP="008B4B2B">
                      <w:pPr>
                        <w:rPr>
                          <w:szCs w:val="21"/>
                        </w:rPr>
                      </w:pPr>
                      <w:r w:rsidRPr="000E396F">
                        <w:rPr>
                          <w:rFonts w:hint="eastAsia"/>
                          <w:szCs w:val="21"/>
                        </w:rPr>
                        <w:t>所在した場所、保管を始めた日時等を公表</w:t>
                      </w:r>
                    </w:p>
                  </w:txbxContent>
                </v:textbox>
              </v:shape>
            </w:pict>
          </mc:Fallback>
        </mc:AlternateContent>
      </w:r>
    </w:p>
    <w:p w14:paraId="4A92E5C6" w14:textId="77777777" w:rsidR="008B4B2B" w:rsidRPr="00E0548A" w:rsidRDefault="008B4B2B" w:rsidP="008B4B2B">
      <w:pPr>
        <w:pStyle w:val="a0"/>
        <w:ind w:left="1216" w:hangingChars="550" w:hanging="1216"/>
        <w:rPr>
          <w:sz w:val="22"/>
          <w:szCs w:val="22"/>
        </w:rPr>
      </w:pPr>
    </w:p>
    <w:p w14:paraId="0085B354" w14:textId="77777777" w:rsidR="008B4B2B" w:rsidRPr="00E0548A" w:rsidRDefault="008B4B2B" w:rsidP="008B4B2B">
      <w:pPr>
        <w:pStyle w:val="a0"/>
        <w:ind w:left="1216" w:hangingChars="550" w:hanging="1216"/>
        <w:rPr>
          <w:sz w:val="22"/>
          <w:szCs w:val="22"/>
        </w:rPr>
      </w:pPr>
      <w:r w:rsidRPr="00E0548A">
        <w:rPr>
          <w:rFonts w:hint="eastAsia"/>
          <w:sz w:val="22"/>
          <w:szCs w:val="22"/>
        </w:rPr>
        <w:t xml:space="preserve">　　　(2)　大阪港湾局長及び水産課長は、海上輸送基地に選定された港湾及びその他港湾並びに漁港について、港内及びその周辺の被害状況や港湾等の施設の利用可能状況を把握し、災対本部事務局に報告する。</w:t>
      </w:r>
    </w:p>
    <w:p w14:paraId="243D3B30" w14:textId="77777777" w:rsidR="008B4B2B" w:rsidRPr="00E0548A" w:rsidRDefault="008B4B2B" w:rsidP="008B4B2B">
      <w:pPr>
        <w:pStyle w:val="a0"/>
        <w:ind w:left="1216" w:hangingChars="550" w:hanging="1216"/>
        <w:rPr>
          <w:sz w:val="22"/>
          <w:szCs w:val="22"/>
        </w:rPr>
      </w:pPr>
      <w:r w:rsidRPr="00E0548A">
        <w:rPr>
          <w:rFonts w:hint="eastAsia"/>
          <w:sz w:val="22"/>
          <w:szCs w:val="22"/>
        </w:rPr>
        <w:t xml:space="preserve">　　　(3)　河川環境課長は、管理河川の船着場の利用可能状況や航路の通行可能状況を把握し、災対本部事務局に報告する。</w:t>
      </w:r>
    </w:p>
    <w:p w14:paraId="5C147794" w14:textId="77777777" w:rsidR="008B4B2B" w:rsidRPr="00E0548A" w:rsidRDefault="008B4B2B" w:rsidP="008B4B2B">
      <w:pPr>
        <w:pStyle w:val="a0"/>
        <w:ind w:left="1105" w:rightChars="13" w:right="27" w:hangingChars="500" w:hanging="1105"/>
        <w:rPr>
          <w:sz w:val="22"/>
          <w:szCs w:val="22"/>
        </w:rPr>
      </w:pPr>
      <w:r w:rsidRPr="00E0548A">
        <w:rPr>
          <w:rFonts w:hint="eastAsia"/>
          <w:sz w:val="22"/>
          <w:szCs w:val="22"/>
        </w:rPr>
        <w:t xml:space="preserve">      (4)　大阪港湾局長及び水産課長、河川環境課長は、輸送活動の支障となる障害物の</w:t>
      </w:r>
      <w:r w:rsidRPr="00E0548A">
        <w:rPr>
          <w:rFonts w:hint="eastAsia"/>
          <w:sz w:val="22"/>
          <w:szCs w:val="22"/>
        </w:rPr>
        <w:lastRenderedPageBreak/>
        <w:t>除去に努める。</w:t>
      </w:r>
    </w:p>
    <w:p w14:paraId="183C57A0" w14:textId="77777777" w:rsidR="008B4B2B" w:rsidRPr="00E0548A" w:rsidRDefault="008B4B2B" w:rsidP="008B4B2B">
      <w:pPr>
        <w:pStyle w:val="a0"/>
        <w:ind w:leftChars="200" w:left="422" w:firstLineChars="100" w:firstLine="221"/>
        <w:rPr>
          <w:rFonts w:ascii="ＭＳ ゴシック" w:eastAsia="ＭＳ ゴシック" w:hAnsi="ＭＳ ゴシック"/>
          <w:sz w:val="22"/>
          <w:szCs w:val="22"/>
          <w:u w:val="single"/>
        </w:rPr>
      </w:pPr>
      <w:r w:rsidRPr="00E0548A">
        <w:rPr>
          <w:rFonts w:ascii="ＭＳ ゴシック" w:eastAsia="ＭＳ ゴシック" w:hAnsi="ＭＳ ゴシック" w:hint="eastAsia"/>
          <w:sz w:val="22"/>
          <w:szCs w:val="22"/>
          <w:u w:val="single"/>
        </w:rPr>
        <w:t>２　車両の移動等【災害対策基本法76条改正関連】</w:t>
      </w:r>
    </w:p>
    <w:p w14:paraId="5DFA51AA" w14:textId="04384170" w:rsidR="008B4B2B" w:rsidRPr="00E0548A" w:rsidRDefault="008B4B2B" w:rsidP="008B4B2B">
      <w:pPr>
        <w:pStyle w:val="a0"/>
        <w:ind w:leftChars="200" w:left="422" w:firstLineChars="100" w:firstLine="221"/>
        <w:rPr>
          <w:rFonts w:ascii="ＭＳ ゴシック" w:eastAsia="ＭＳ ゴシック" w:hAnsi="ＭＳ ゴシック"/>
          <w:sz w:val="22"/>
          <w:szCs w:val="22"/>
        </w:rPr>
      </w:pPr>
      <w:r w:rsidRPr="00E0548A">
        <w:rPr>
          <w:rFonts w:hint="eastAsia"/>
          <w:sz w:val="22"/>
          <w:szCs w:val="22"/>
        </w:rPr>
        <w:t xml:space="preserve">　　</w:t>
      </w:r>
      <w:r w:rsidRPr="00E0548A">
        <w:rPr>
          <w:rFonts w:ascii="ＭＳ ゴシック" w:eastAsia="ＭＳ ゴシック" w:hAnsi="ＭＳ ゴシック" w:hint="eastAsia"/>
          <w:sz w:val="22"/>
          <w:szCs w:val="22"/>
          <w:bdr w:val="single" w:sz="4" w:space="0" w:color="auto"/>
        </w:rPr>
        <w:t>主たる担当：</w:t>
      </w:r>
      <w:r w:rsidR="003B6ABD" w:rsidRPr="00E0548A">
        <w:rPr>
          <w:rFonts w:ascii="ＭＳ ゴシック" w:eastAsia="ＭＳ ゴシック" w:hAnsi="ＭＳ ゴシック" w:hint="eastAsia"/>
          <w:sz w:val="22"/>
          <w:szCs w:val="22"/>
          <w:bdr w:val="single" w:sz="4" w:space="0" w:color="auto"/>
        </w:rPr>
        <w:t>都市整備部関係室・課、水産課、大阪港湾局</w:t>
      </w:r>
    </w:p>
    <w:p w14:paraId="671BDDF7" w14:textId="77777777" w:rsidR="008B4B2B" w:rsidRPr="00E0548A" w:rsidRDefault="008B4B2B" w:rsidP="008B4B2B">
      <w:pPr>
        <w:pStyle w:val="a0"/>
        <w:ind w:leftChars="300" w:left="854" w:hangingChars="100" w:hanging="221"/>
        <w:rPr>
          <w:sz w:val="22"/>
          <w:szCs w:val="22"/>
        </w:rPr>
      </w:pPr>
      <w:r w:rsidRPr="00E0548A">
        <w:rPr>
          <w:rFonts w:hint="eastAsia"/>
          <w:sz w:val="22"/>
          <w:szCs w:val="22"/>
        </w:rPr>
        <w:t xml:space="preserve">　　道路管理者である土木事務所長等は、道路における放置車両が緊急通行車両の通行の妨害となることにより、災害応急対策の実施に著しい支障があり、かつ、緊急の必要があると認めるときは、当該車両を付近の道路外の場所へ移動することを命じ、命ぜられた者が当該措置をとらない時等は、自ら当該措置をとるものとする（やむを得ない限度における破損も含む。その際に生じた通常生ずべき損失は補償）。</w:t>
      </w:r>
    </w:p>
    <w:p w14:paraId="331F4C8F" w14:textId="77777777" w:rsidR="008B4B2B" w:rsidRPr="00E0548A" w:rsidRDefault="008B4B2B" w:rsidP="008B4B2B">
      <w:pPr>
        <w:pStyle w:val="a0"/>
        <w:ind w:leftChars="300" w:left="854" w:hangingChars="100" w:hanging="221"/>
        <w:rPr>
          <w:sz w:val="22"/>
          <w:szCs w:val="22"/>
        </w:rPr>
      </w:pPr>
      <w:r w:rsidRPr="00E0548A">
        <w:rPr>
          <w:rFonts w:hint="eastAsia"/>
          <w:sz w:val="22"/>
          <w:szCs w:val="22"/>
        </w:rPr>
        <w:t xml:space="preserve">　　</w:t>
      </w:r>
    </w:p>
    <w:p w14:paraId="52C8DF24" w14:textId="77777777" w:rsidR="008B4B2B" w:rsidRPr="00E0548A" w:rsidRDefault="008B4B2B" w:rsidP="008B4B2B">
      <w:pPr>
        <w:pStyle w:val="a0"/>
        <w:ind w:leftChars="200" w:left="422" w:firstLineChars="100" w:firstLine="221"/>
        <w:rPr>
          <w:rFonts w:ascii="ＭＳ ゴシック" w:eastAsia="ＭＳ ゴシック" w:hAnsi="ＭＳ ゴシック"/>
          <w:sz w:val="22"/>
          <w:szCs w:val="22"/>
          <w:u w:val="single"/>
        </w:rPr>
      </w:pPr>
      <w:r w:rsidRPr="00E0548A">
        <w:rPr>
          <w:rFonts w:hint="eastAsia"/>
          <w:sz w:val="22"/>
          <w:szCs w:val="22"/>
          <w:u w:val="single"/>
        </w:rPr>
        <w:t>３</w:t>
      </w:r>
      <w:r w:rsidRPr="00E0548A">
        <w:rPr>
          <w:rFonts w:ascii="ＭＳ ゴシック" w:eastAsia="ＭＳ ゴシック" w:hAnsi="ＭＳ ゴシック" w:hint="eastAsia"/>
          <w:sz w:val="22"/>
          <w:szCs w:val="22"/>
          <w:u w:val="single"/>
        </w:rPr>
        <w:t xml:space="preserve">　各施設管理者における復旧</w:t>
      </w:r>
    </w:p>
    <w:p w14:paraId="7F255612" w14:textId="38092CD4" w:rsidR="008B4B2B" w:rsidRPr="00E0548A" w:rsidRDefault="008B4B2B" w:rsidP="008B4B2B">
      <w:pPr>
        <w:pStyle w:val="a0"/>
        <w:ind w:firstLineChars="500" w:firstLine="1105"/>
        <w:rPr>
          <w:rFonts w:ascii="ＭＳ ゴシック" w:eastAsia="ＭＳ ゴシック" w:hAnsi="ＭＳ ゴシック"/>
          <w:sz w:val="22"/>
          <w:szCs w:val="22"/>
        </w:rPr>
      </w:pPr>
      <w:r w:rsidRPr="00E0548A">
        <w:rPr>
          <w:rFonts w:ascii="ＭＳ ゴシック" w:eastAsia="ＭＳ ゴシック" w:hAnsi="ＭＳ ゴシック" w:hint="eastAsia"/>
          <w:sz w:val="22"/>
          <w:szCs w:val="22"/>
          <w:bdr w:val="single" w:sz="4" w:space="0" w:color="auto"/>
        </w:rPr>
        <w:t>主たる担当：都市整備部関係室・課、水産課、大阪港湾局</w:t>
      </w:r>
    </w:p>
    <w:p w14:paraId="5663E341" w14:textId="77777777" w:rsidR="008B4B2B" w:rsidRPr="00E0548A" w:rsidRDefault="008B4B2B" w:rsidP="008B4B2B">
      <w:pPr>
        <w:pStyle w:val="a0"/>
        <w:ind w:leftChars="420" w:left="887" w:firstLineChars="100" w:firstLine="221"/>
        <w:rPr>
          <w:sz w:val="22"/>
          <w:szCs w:val="22"/>
        </w:rPr>
      </w:pPr>
      <w:r w:rsidRPr="00E0548A">
        <w:rPr>
          <w:rFonts w:hint="eastAsia"/>
          <w:sz w:val="22"/>
          <w:szCs w:val="22"/>
        </w:rPr>
        <w:t>各施設等（道路・港湾・漁港等）の管理者は、被害状況、緊急性、復旧の難易度などを考慮し、（道路については緊急交通路を優先して）応急復旧を行うものとし、必要に応じ、関係機関からの応援や防災協定の運用等により行うものとする。</w:t>
      </w:r>
    </w:p>
    <w:p w14:paraId="5112120C" w14:textId="2E7E0E21" w:rsidR="008B4B2B" w:rsidRPr="00E0548A" w:rsidRDefault="008B4B2B" w:rsidP="008B4B2B">
      <w:pPr>
        <w:pStyle w:val="a0"/>
        <w:ind w:leftChars="420" w:left="887" w:firstLineChars="100" w:firstLine="221"/>
        <w:rPr>
          <w:sz w:val="22"/>
          <w:szCs w:val="22"/>
        </w:rPr>
      </w:pPr>
      <w:r w:rsidRPr="00E0548A">
        <w:rPr>
          <w:rFonts w:hint="eastAsia"/>
          <w:sz w:val="22"/>
          <w:szCs w:val="22"/>
        </w:rPr>
        <w:t>なお、施設の復旧に時間を要する場合は、代替施設の確保を行うものとし、通行・使用状況、復旧状況、今後の見通しを関係機関に連絡するとともに、報道機関を通じ広報する。</w:t>
      </w:r>
    </w:p>
    <w:p w14:paraId="34F0C402" w14:textId="1BDFD4C8" w:rsidR="004252A6" w:rsidRPr="00E0548A" w:rsidRDefault="004252A6" w:rsidP="004252A6">
      <w:pPr>
        <w:pStyle w:val="a0"/>
        <w:rPr>
          <w:sz w:val="22"/>
          <w:szCs w:val="22"/>
        </w:rPr>
      </w:pPr>
      <w:r w:rsidRPr="00E0548A">
        <w:rPr>
          <w:rFonts w:hint="eastAsia"/>
          <w:sz w:val="22"/>
          <w:szCs w:val="22"/>
        </w:rPr>
        <w:t xml:space="preserve">　　　　※各施設管理者</w:t>
      </w:r>
    </w:p>
    <w:p w14:paraId="2BC7EDC8" w14:textId="77777777" w:rsidR="00681AD5" w:rsidRPr="00E0548A" w:rsidRDefault="004252A6" w:rsidP="004252A6">
      <w:pPr>
        <w:ind w:left="1548" w:hangingChars="700" w:hanging="1548"/>
      </w:pPr>
      <w:r w:rsidRPr="00E0548A">
        <w:rPr>
          <w:rFonts w:ascii="ＭＳ ゴシック" w:eastAsia="ＭＳ ゴシック" w:hAnsi="ＭＳ ゴシック" w:hint="eastAsia"/>
          <w:sz w:val="22"/>
          <w:szCs w:val="22"/>
        </w:rPr>
        <w:t xml:space="preserve">　　　　</w:t>
      </w:r>
      <w:r w:rsidRPr="00E0548A">
        <w:rPr>
          <w:rFonts w:hint="eastAsia"/>
        </w:rPr>
        <w:t>①</w:t>
      </w:r>
      <w:r w:rsidR="00EE3E75" w:rsidRPr="00E0548A">
        <w:rPr>
          <w:rFonts w:hint="eastAsia"/>
        </w:rPr>
        <w:t xml:space="preserve"> </w:t>
      </w:r>
      <w:r w:rsidRPr="00E0548A">
        <w:rPr>
          <w:rFonts w:hint="eastAsia"/>
        </w:rPr>
        <w:t>鉄軌道施設：</w:t>
      </w:r>
      <w:r w:rsidR="00681AD5" w:rsidRPr="00E0548A">
        <w:rPr>
          <w:rFonts w:hint="eastAsia"/>
        </w:rPr>
        <w:t>JR</w:t>
      </w:r>
      <w:r w:rsidR="00681AD5" w:rsidRPr="00E0548A">
        <w:rPr>
          <w:rFonts w:hint="eastAsia"/>
        </w:rPr>
        <w:t>東海、</w:t>
      </w:r>
      <w:r w:rsidRPr="00E0548A">
        <w:rPr>
          <w:rFonts w:hint="eastAsia"/>
        </w:rPr>
        <w:t>JR</w:t>
      </w:r>
      <w:r w:rsidRPr="00E0548A">
        <w:rPr>
          <w:rFonts w:hint="eastAsia"/>
        </w:rPr>
        <w:t>西日本、</w:t>
      </w:r>
      <w:r w:rsidRPr="00E0548A">
        <w:rPr>
          <w:rFonts w:hint="eastAsia"/>
        </w:rPr>
        <w:t>JR</w:t>
      </w:r>
      <w:r w:rsidRPr="00E0548A">
        <w:rPr>
          <w:rFonts w:hint="eastAsia"/>
        </w:rPr>
        <w:t>貨物、阪神、阪急、京阪、近鉄、南海、</w:t>
      </w:r>
    </w:p>
    <w:p w14:paraId="30F028B3" w14:textId="002639FB" w:rsidR="004252A6" w:rsidRPr="00E0548A" w:rsidRDefault="004252A6" w:rsidP="00EE3E75">
      <w:pPr>
        <w:ind w:leftChars="550" w:left="1478" w:hangingChars="150" w:hanging="317"/>
      </w:pPr>
      <w:r w:rsidRPr="00E0548A">
        <w:rPr>
          <w:rFonts w:hint="eastAsia"/>
        </w:rPr>
        <w:t>泉北高速、北大阪急行、大阪</w:t>
      </w:r>
      <w:r w:rsidR="00681AD5" w:rsidRPr="00E0548A">
        <w:rPr>
          <w:rFonts w:hint="eastAsia"/>
        </w:rPr>
        <w:t>モノレール</w:t>
      </w:r>
      <w:r w:rsidRPr="00E0548A">
        <w:rPr>
          <w:rFonts w:hint="eastAsia"/>
        </w:rPr>
        <w:t>、阪堺、水間、大阪</w:t>
      </w:r>
      <w:r w:rsidR="009A1024" w:rsidRPr="00E0548A">
        <w:rPr>
          <w:rFonts w:hint="eastAsia"/>
        </w:rPr>
        <w:t>メトロ</w:t>
      </w:r>
      <w:r w:rsidRPr="00E0548A">
        <w:rPr>
          <w:rFonts w:hint="eastAsia"/>
        </w:rPr>
        <w:t>、能勢電鉄</w:t>
      </w:r>
    </w:p>
    <w:p w14:paraId="643678FF" w14:textId="48F0E749" w:rsidR="00EE3E75" w:rsidRPr="00E0548A" w:rsidRDefault="00EE3E75" w:rsidP="00EE3E75">
      <w:pPr>
        <w:pStyle w:val="af4"/>
        <w:numPr>
          <w:ilvl w:val="0"/>
          <w:numId w:val="33"/>
        </w:numPr>
        <w:ind w:leftChars="0"/>
      </w:pPr>
      <w:r w:rsidRPr="00E0548A">
        <w:rPr>
          <w:rFonts w:hint="eastAsia"/>
        </w:rPr>
        <w:t>道路</w:t>
      </w:r>
      <w:r w:rsidR="004252A6" w:rsidRPr="00E0548A">
        <w:rPr>
          <w:rFonts w:hint="eastAsia"/>
        </w:rPr>
        <w:t>施設：府、市町村、近畿地方整備局、</w:t>
      </w:r>
      <w:r w:rsidR="004252A6" w:rsidRPr="00E0548A">
        <w:rPr>
          <w:rFonts w:hint="eastAsia"/>
        </w:rPr>
        <w:t>NEXCO</w:t>
      </w:r>
      <w:r w:rsidR="004252A6" w:rsidRPr="00E0548A">
        <w:rPr>
          <w:rFonts w:hint="eastAsia"/>
        </w:rPr>
        <w:t>西日本、阪神高速、大阪府</w:t>
      </w:r>
    </w:p>
    <w:p w14:paraId="08561F71" w14:textId="09D39AA4" w:rsidR="004252A6" w:rsidRPr="00E0548A" w:rsidRDefault="004252A6" w:rsidP="00EE3E75">
      <w:pPr>
        <w:pStyle w:val="af4"/>
        <w:ind w:leftChars="0" w:left="1211"/>
      </w:pPr>
      <w:r w:rsidRPr="00E0548A">
        <w:rPr>
          <w:rFonts w:hint="eastAsia"/>
        </w:rPr>
        <w:t xml:space="preserve">道路公社　　</w:t>
      </w:r>
      <w:r w:rsidRPr="00E0548A">
        <w:t xml:space="preserve">　</w:t>
      </w:r>
    </w:p>
    <w:p w14:paraId="6B00EACF" w14:textId="0CE6D2B5" w:rsidR="004252A6" w:rsidRPr="00E0548A" w:rsidRDefault="00596ED9" w:rsidP="00596ED9">
      <w:pPr>
        <w:pStyle w:val="af4"/>
        <w:numPr>
          <w:ilvl w:val="0"/>
          <w:numId w:val="33"/>
        </w:numPr>
        <w:ind w:leftChars="0"/>
      </w:pPr>
      <w:r w:rsidRPr="00E0548A">
        <w:rPr>
          <w:rFonts w:hint="eastAsia"/>
        </w:rPr>
        <w:t>港</w:t>
      </w:r>
      <w:r w:rsidR="004252A6" w:rsidRPr="00E0548A">
        <w:rPr>
          <w:rFonts w:hint="eastAsia"/>
        </w:rPr>
        <w:t>湾施設、漁港施設：府、大阪市</w:t>
      </w:r>
      <w:r w:rsidRPr="00E0548A">
        <w:rPr>
          <w:rFonts w:hint="eastAsia"/>
        </w:rPr>
        <w:t>、高石市、泉南市</w:t>
      </w:r>
    </w:p>
    <w:p w14:paraId="1D3CE49A" w14:textId="18C8650C" w:rsidR="004252A6" w:rsidRPr="00E0548A" w:rsidRDefault="00EE3E75" w:rsidP="00EE3E75">
      <w:pPr>
        <w:pStyle w:val="af4"/>
        <w:ind w:leftChars="0" w:left="211" w:firstLineChars="300" w:firstLine="633"/>
      </w:pPr>
      <w:r w:rsidRPr="00E0548A">
        <w:rPr>
          <w:rFonts w:hint="eastAsia"/>
        </w:rPr>
        <w:t>④</w:t>
      </w:r>
      <w:r w:rsidRPr="00E0548A">
        <w:rPr>
          <w:rFonts w:hint="eastAsia"/>
        </w:rPr>
        <w:t xml:space="preserve"> </w:t>
      </w:r>
      <w:r w:rsidR="004252A6" w:rsidRPr="00E0548A">
        <w:rPr>
          <w:rFonts w:hint="eastAsia"/>
        </w:rPr>
        <w:t>空港施設：大阪航空局、新関西国際空港㈱（関西</w:t>
      </w:r>
      <w:r w:rsidR="004252A6" w:rsidRPr="00E0548A">
        <w:t>エアポート（株）</w:t>
      </w:r>
    </w:p>
    <w:p w14:paraId="3D4B439B" w14:textId="441A9846" w:rsidR="008B4B2B" w:rsidRPr="00E0548A" w:rsidRDefault="008B4B2B" w:rsidP="00EE3E75">
      <w:pPr>
        <w:pStyle w:val="a0"/>
        <w:ind w:left="1211"/>
        <w:rPr>
          <w:rFonts w:ascii="ＭＳ ゴシック" w:eastAsia="ＭＳ ゴシック" w:hAnsi="ＭＳ ゴシック"/>
          <w:sz w:val="22"/>
          <w:szCs w:val="22"/>
        </w:rPr>
      </w:pPr>
    </w:p>
    <w:p w14:paraId="0B6D64B5" w14:textId="77777777" w:rsidR="008B4B2B" w:rsidRPr="00E0548A" w:rsidRDefault="008B4B2B" w:rsidP="008B4B2B">
      <w:pPr>
        <w:pStyle w:val="a0"/>
        <w:rPr>
          <w:rFonts w:ascii="ＭＳ ゴシック" w:eastAsia="ＭＳ ゴシック" w:hAnsi="ＭＳ ゴシック"/>
          <w:sz w:val="22"/>
          <w:szCs w:val="22"/>
        </w:rPr>
      </w:pPr>
    </w:p>
    <w:p w14:paraId="7EBD2D98" w14:textId="2C3F1D72" w:rsidR="00B85233" w:rsidRPr="00E0548A" w:rsidRDefault="00B85233">
      <w:pPr>
        <w:widowControl/>
        <w:jc w:val="left"/>
        <w:rPr>
          <w:rFonts w:ascii="ＭＳ ゴシック" w:eastAsia="ＭＳ ゴシック" w:hAnsi="ＭＳ ゴシック"/>
          <w:noProof/>
          <w:sz w:val="22"/>
          <w:szCs w:val="22"/>
        </w:rPr>
      </w:pPr>
      <w:r w:rsidRPr="00E0548A">
        <w:rPr>
          <w:rFonts w:ascii="ＭＳ ゴシック" w:hAnsi="ＭＳ ゴシック"/>
          <w:sz w:val="22"/>
          <w:szCs w:val="22"/>
        </w:rPr>
        <w:br w:type="page"/>
      </w:r>
    </w:p>
    <w:p w14:paraId="361CB0F8" w14:textId="17B94787" w:rsidR="008B4B2B" w:rsidRPr="00E0548A" w:rsidRDefault="008B4B2B" w:rsidP="00E0548A">
      <w:pPr>
        <w:pStyle w:val="2"/>
        <w:rPr>
          <w:strike/>
        </w:rPr>
      </w:pPr>
      <w:bookmarkStart w:id="309" w:name="_Toc122436947"/>
      <w:bookmarkStart w:id="310" w:name="_Toc222486636"/>
      <w:bookmarkStart w:id="311" w:name="_Toc242870306"/>
      <w:r w:rsidRPr="00E0548A">
        <w:rPr>
          <w:rFonts w:hint="eastAsia"/>
        </w:rPr>
        <w:lastRenderedPageBreak/>
        <w:t>第</w:t>
      </w:r>
      <w:r w:rsidR="00C625F5" w:rsidRPr="00E0548A">
        <w:rPr>
          <w:rFonts w:hint="eastAsia"/>
        </w:rPr>
        <w:t>６</w:t>
      </w:r>
      <w:r w:rsidRPr="00E0548A">
        <w:rPr>
          <w:rFonts w:hint="eastAsia"/>
        </w:rPr>
        <w:t>節　二次災害防止</w:t>
      </w:r>
      <w:bookmarkEnd w:id="309"/>
      <w:bookmarkEnd w:id="310"/>
      <w:bookmarkEnd w:id="311"/>
    </w:p>
    <w:tbl>
      <w:tblPr>
        <w:tblW w:w="0" w:type="auto"/>
        <w:tblBorders>
          <w:top w:val="thinThickSmallGap" w:sz="24" w:space="0" w:color="auto"/>
          <w:left w:val="thinThickSmallGap" w:sz="24" w:space="0" w:color="auto"/>
          <w:bottom w:val="thinThickSmallGap" w:sz="24" w:space="0" w:color="auto"/>
          <w:right w:val="thinThickSmallGap" w:sz="24" w:space="0" w:color="auto"/>
          <w:insideH w:val="thinThickSmallGap" w:sz="24" w:space="0" w:color="auto"/>
          <w:insideV w:val="thinThickSmallGap" w:sz="24" w:space="0" w:color="auto"/>
        </w:tblBorders>
        <w:tblLook w:val="04A0" w:firstRow="1" w:lastRow="0" w:firstColumn="1" w:lastColumn="0" w:noHBand="0" w:noVBand="1"/>
      </w:tblPr>
      <w:tblGrid>
        <w:gridCol w:w="1428"/>
        <w:gridCol w:w="7326"/>
      </w:tblGrid>
      <w:tr w:rsidR="008B4B2B" w:rsidRPr="00E0548A" w14:paraId="0E40C68B" w14:textId="77777777" w:rsidTr="008B4B2B">
        <w:tc>
          <w:tcPr>
            <w:tcW w:w="1526" w:type="dxa"/>
          </w:tcPr>
          <w:p w14:paraId="05BDEFD1" w14:textId="77777777" w:rsidR="008B4B2B" w:rsidRPr="00E0548A" w:rsidRDefault="008B4B2B" w:rsidP="008B4B2B">
            <w:pPr>
              <w:jc w:val="center"/>
              <w:rPr>
                <w:rFonts w:ascii="ＭＳ ゴシック" w:eastAsia="ＭＳ ゴシック" w:hAnsi="ＭＳ ゴシック"/>
                <w:b/>
                <w:sz w:val="28"/>
                <w:szCs w:val="28"/>
              </w:rPr>
            </w:pPr>
            <w:r w:rsidRPr="00E0548A">
              <w:rPr>
                <w:rFonts w:ascii="ＭＳ ゴシック" w:eastAsia="ＭＳ ゴシック" w:hAnsi="ＭＳ ゴシック" w:hint="eastAsia"/>
                <w:b/>
                <w:sz w:val="28"/>
                <w:szCs w:val="28"/>
              </w:rPr>
              <w:t>目　標</w:t>
            </w:r>
          </w:p>
        </w:tc>
        <w:tc>
          <w:tcPr>
            <w:tcW w:w="8026" w:type="dxa"/>
            <w:vAlign w:val="center"/>
          </w:tcPr>
          <w:p w14:paraId="62A5D09B" w14:textId="77777777" w:rsidR="008B4B2B" w:rsidRPr="00E0548A" w:rsidRDefault="008B4B2B" w:rsidP="008B4B2B">
            <w:pPr>
              <w:jc w:val="center"/>
              <w:rPr>
                <w:rFonts w:ascii="ＭＳ ゴシック" w:eastAsia="ＭＳ ゴシック" w:hAnsi="ＭＳ ゴシック"/>
                <w:b/>
                <w:sz w:val="24"/>
              </w:rPr>
            </w:pPr>
            <w:r w:rsidRPr="00E0548A">
              <w:rPr>
                <w:rFonts w:ascii="ＭＳ ゴシック" w:eastAsia="ＭＳ ゴシック" w:hAnsi="ＭＳ ゴシック" w:hint="eastAsia"/>
                <w:b/>
                <w:sz w:val="24"/>
              </w:rPr>
              <w:t>迅速な応急措置により、二次災害による人的被害を防止する。</w:t>
            </w:r>
          </w:p>
        </w:tc>
      </w:tr>
    </w:tbl>
    <w:p w14:paraId="660D7C1D" w14:textId="77777777" w:rsidR="008B4B2B" w:rsidRPr="00E0548A" w:rsidRDefault="008B4B2B" w:rsidP="008B4B2B">
      <w:pPr>
        <w:rPr>
          <w:rFonts w:ascii="ＭＳ ゴシック" w:eastAsia="ＭＳ ゴシック" w:hAnsi="ＭＳ ゴシック"/>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64"/>
        <w:gridCol w:w="7270"/>
      </w:tblGrid>
      <w:tr w:rsidR="001D6D10" w:rsidRPr="00E0548A" w14:paraId="4F47C217" w14:textId="77777777" w:rsidTr="008B4B2B">
        <w:tc>
          <w:tcPr>
            <w:tcW w:w="1668" w:type="dxa"/>
            <w:shd w:val="clear" w:color="auto" w:fill="F2F2F2"/>
          </w:tcPr>
          <w:p w14:paraId="2E5F5887" w14:textId="77777777" w:rsidR="008B4B2B" w:rsidRPr="00E0548A" w:rsidRDefault="008B4B2B" w:rsidP="008B4B2B">
            <w:pPr>
              <w:jc w:val="center"/>
              <w:rPr>
                <w:rFonts w:ascii="ＭＳ ゴシック" w:eastAsia="ＭＳ ゴシック" w:hAnsi="ＭＳ ゴシック"/>
                <w:sz w:val="22"/>
                <w:szCs w:val="22"/>
              </w:rPr>
            </w:pPr>
            <w:r w:rsidRPr="00E0548A">
              <w:rPr>
                <w:rFonts w:ascii="ＭＳ ゴシック" w:eastAsia="ＭＳ ゴシック" w:hAnsi="ＭＳ ゴシック" w:hint="eastAsia"/>
                <w:sz w:val="22"/>
                <w:szCs w:val="22"/>
              </w:rPr>
              <w:t>フェーズ</w:t>
            </w:r>
          </w:p>
        </w:tc>
        <w:tc>
          <w:tcPr>
            <w:tcW w:w="7884" w:type="dxa"/>
            <w:shd w:val="clear" w:color="auto" w:fill="F2F2F2"/>
          </w:tcPr>
          <w:p w14:paraId="1AD3ED6A" w14:textId="77777777" w:rsidR="008B4B2B" w:rsidRPr="00E0548A" w:rsidRDefault="008B4B2B" w:rsidP="008B4B2B">
            <w:pPr>
              <w:jc w:val="center"/>
              <w:rPr>
                <w:rFonts w:ascii="ＭＳ ゴシック" w:eastAsia="ＭＳ ゴシック" w:hAnsi="ＭＳ ゴシック"/>
                <w:sz w:val="22"/>
                <w:szCs w:val="22"/>
              </w:rPr>
            </w:pPr>
            <w:r w:rsidRPr="00E0548A">
              <w:rPr>
                <w:rFonts w:ascii="ＭＳ ゴシック" w:eastAsia="ＭＳ ゴシック" w:hAnsi="ＭＳ ゴシック" w:hint="eastAsia"/>
                <w:sz w:val="22"/>
                <w:szCs w:val="22"/>
              </w:rPr>
              <w:t>主な目標</w:t>
            </w:r>
          </w:p>
        </w:tc>
      </w:tr>
      <w:tr w:rsidR="001D6D10" w:rsidRPr="00E0548A" w14:paraId="48F81587" w14:textId="77777777" w:rsidTr="008B4B2B">
        <w:tc>
          <w:tcPr>
            <w:tcW w:w="1668" w:type="dxa"/>
          </w:tcPr>
          <w:p w14:paraId="0EEDCA3E" w14:textId="77777777" w:rsidR="008B4B2B" w:rsidRPr="00E0548A" w:rsidRDefault="008B4B2B" w:rsidP="008B4B2B">
            <w:pPr>
              <w:rPr>
                <w:rFonts w:ascii="ＭＳ ゴシック" w:eastAsia="ＭＳ ゴシック" w:hAnsi="ＭＳ ゴシック"/>
                <w:sz w:val="22"/>
                <w:szCs w:val="22"/>
              </w:rPr>
            </w:pPr>
            <w:r w:rsidRPr="00E0548A">
              <w:rPr>
                <w:rFonts w:ascii="ＭＳ ゴシック" w:eastAsia="ＭＳ ゴシック" w:hAnsi="ＭＳ ゴシック" w:hint="eastAsia"/>
                <w:sz w:val="22"/>
                <w:szCs w:val="22"/>
              </w:rPr>
              <w:t>第１フェーズ</w:t>
            </w:r>
          </w:p>
        </w:tc>
        <w:tc>
          <w:tcPr>
            <w:tcW w:w="7884" w:type="dxa"/>
          </w:tcPr>
          <w:p w14:paraId="537476DA" w14:textId="77777777" w:rsidR="008B4B2B" w:rsidRPr="00E0548A" w:rsidRDefault="008B4B2B" w:rsidP="008B4B2B">
            <w:pPr>
              <w:rPr>
                <w:rFonts w:ascii="ＭＳ ゴシック" w:eastAsia="ＭＳ ゴシック" w:hAnsi="ＭＳ ゴシック"/>
                <w:sz w:val="22"/>
                <w:szCs w:val="22"/>
              </w:rPr>
            </w:pPr>
            <w:r w:rsidRPr="00E0548A">
              <w:rPr>
                <w:rFonts w:ascii="ＭＳ ゴシック" w:eastAsia="ＭＳ ゴシック" w:hAnsi="ＭＳ ゴシック" w:hint="eastAsia"/>
                <w:sz w:val="22"/>
                <w:szCs w:val="22"/>
              </w:rPr>
              <w:t>速やかに被害状況を確認するとともに、二次災害の危険個所を把握し、</w:t>
            </w:r>
          </w:p>
          <w:p w14:paraId="36006A3A" w14:textId="77777777" w:rsidR="008B4B2B" w:rsidRPr="00E0548A" w:rsidRDefault="008B4B2B" w:rsidP="008B4B2B">
            <w:pPr>
              <w:rPr>
                <w:rFonts w:ascii="ＭＳ ゴシック" w:eastAsia="ＭＳ ゴシック" w:hAnsi="ＭＳ ゴシック"/>
                <w:sz w:val="22"/>
                <w:szCs w:val="22"/>
              </w:rPr>
            </w:pPr>
            <w:r w:rsidRPr="00E0548A">
              <w:rPr>
                <w:rFonts w:ascii="ＭＳ ゴシック" w:eastAsia="ＭＳ ゴシック" w:hAnsi="ＭＳ ゴシック" w:hint="eastAsia"/>
                <w:sz w:val="22"/>
                <w:szCs w:val="22"/>
              </w:rPr>
              <w:t>周知する。</w:t>
            </w:r>
          </w:p>
        </w:tc>
      </w:tr>
      <w:tr w:rsidR="001D6D10" w:rsidRPr="00E0548A" w14:paraId="63E9576E" w14:textId="77777777" w:rsidTr="008B4B2B">
        <w:tc>
          <w:tcPr>
            <w:tcW w:w="1668" w:type="dxa"/>
          </w:tcPr>
          <w:p w14:paraId="705EA971" w14:textId="77777777" w:rsidR="008B4B2B" w:rsidRPr="00E0548A" w:rsidRDefault="008B4B2B" w:rsidP="008B4B2B">
            <w:pPr>
              <w:rPr>
                <w:rFonts w:ascii="ＭＳ ゴシック" w:eastAsia="ＭＳ ゴシック" w:hAnsi="ＭＳ ゴシック"/>
                <w:sz w:val="22"/>
                <w:szCs w:val="22"/>
              </w:rPr>
            </w:pPr>
            <w:r w:rsidRPr="00E0548A">
              <w:rPr>
                <w:rFonts w:ascii="ＭＳ ゴシック" w:eastAsia="ＭＳ ゴシック" w:hAnsi="ＭＳ ゴシック" w:hint="eastAsia"/>
                <w:sz w:val="22"/>
                <w:szCs w:val="22"/>
              </w:rPr>
              <w:t>第２フェーズ</w:t>
            </w:r>
          </w:p>
        </w:tc>
        <w:tc>
          <w:tcPr>
            <w:tcW w:w="7884" w:type="dxa"/>
          </w:tcPr>
          <w:p w14:paraId="7A97463D" w14:textId="77777777" w:rsidR="008B4B2B" w:rsidRPr="00E0548A" w:rsidRDefault="008B4B2B" w:rsidP="008B4B2B">
            <w:pPr>
              <w:rPr>
                <w:rFonts w:ascii="ＭＳ ゴシック" w:eastAsia="ＭＳ ゴシック" w:hAnsi="ＭＳ ゴシック"/>
                <w:sz w:val="22"/>
                <w:szCs w:val="22"/>
              </w:rPr>
            </w:pPr>
            <w:r w:rsidRPr="00E0548A">
              <w:rPr>
                <w:rFonts w:ascii="ＭＳ ゴシック" w:eastAsia="ＭＳ ゴシック" w:hAnsi="ＭＳ ゴシック" w:hint="eastAsia"/>
                <w:sz w:val="22"/>
                <w:szCs w:val="22"/>
              </w:rPr>
              <w:t>二次災害の危険個所の応急措置を開始する。</w:t>
            </w:r>
          </w:p>
          <w:p w14:paraId="186E8B79" w14:textId="77777777" w:rsidR="008B4B2B" w:rsidRPr="00E0548A" w:rsidRDefault="008B4B2B" w:rsidP="008B4B2B">
            <w:pPr>
              <w:rPr>
                <w:rFonts w:ascii="ＭＳ ゴシック" w:eastAsia="ＭＳ ゴシック" w:hAnsi="ＭＳ ゴシック"/>
                <w:sz w:val="22"/>
                <w:szCs w:val="22"/>
              </w:rPr>
            </w:pPr>
            <w:r w:rsidRPr="00E0548A">
              <w:rPr>
                <w:rFonts w:ascii="ＭＳ ゴシック" w:eastAsia="ＭＳ ゴシック" w:hAnsi="ＭＳ ゴシック" w:hint="eastAsia"/>
                <w:sz w:val="22"/>
                <w:szCs w:val="22"/>
              </w:rPr>
              <w:t>危険度判定支援本部の設置・運営開始。</w:t>
            </w:r>
          </w:p>
        </w:tc>
      </w:tr>
      <w:tr w:rsidR="001D6D10" w:rsidRPr="00E0548A" w14:paraId="631C21E0" w14:textId="77777777" w:rsidTr="008B4B2B">
        <w:tc>
          <w:tcPr>
            <w:tcW w:w="1668" w:type="dxa"/>
          </w:tcPr>
          <w:p w14:paraId="09CBF2D4" w14:textId="77777777" w:rsidR="008B4B2B" w:rsidRPr="00E0548A" w:rsidRDefault="008B4B2B" w:rsidP="008B4B2B">
            <w:pPr>
              <w:rPr>
                <w:rFonts w:ascii="ＭＳ ゴシック" w:eastAsia="ＭＳ ゴシック" w:hAnsi="ＭＳ ゴシック"/>
                <w:sz w:val="22"/>
                <w:szCs w:val="22"/>
              </w:rPr>
            </w:pPr>
            <w:r w:rsidRPr="00E0548A">
              <w:rPr>
                <w:rFonts w:ascii="ＭＳ ゴシック" w:eastAsia="ＭＳ ゴシック" w:hAnsi="ＭＳ ゴシック" w:hint="eastAsia"/>
                <w:sz w:val="22"/>
                <w:szCs w:val="22"/>
              </w:rPr>
              <w:t>第３フェーズ</w:t>
            </w:r>
          </w:p>
        </w:tc>
        <w:tc>
          <w:tcPr>
            <w:tcW w:w="7884" w:type="dxa"/>
          </w:tcPr>
          <w:p w14:paraId="702F56A6" w14:textId="77777777" w:rsidR="008B4B2B" w:rsidRPr="00E0548A" w:rsidRDefault="008B4B2B" w:rsidP="008B4B2B">
            <w:pPr>
              <w:rPr>
                <w:rFonts w:ascii="ＭＳ ゴシック" w:eastAsia="ＭＳ ゴシック" w:hAnsi="ＭＳ ゴシック"/>
                <w:sz w:val="22"/>
                <w:szCs w:val="22"/>
              </w:rPr>
            </w:pPr>
          </w:p>
        </w:tc>
      </w:tr>
      <w:tr w:rsidR="001D6D10" w:rsidRPr="00E0548A" w14:paraId="0F1F7D44" w14:textId="77777777" w:rsidTr="008B4B2B">
        <w:tc>
          <w:tcPr>
            <w:tcW w:w="1668" w:type="dxa"/>
          </w:tcPr>
          <w:p w14:paraId="494C8D14" w14:textId="77777777" w:rsidR="008B4B2B" w:rsidRPr="00E0548A" w:rsidRDefault="008B4B2B" w:rsidP="008B4B2B">
            <w:pPr>
              <w:rPr>
                <w:rFonts w:ascii="ＭＳ ゴシック" w:eastAsia="ＭＳ ゴシック" w:hAnsi="ＭＳ ゴシック"/>
                <w:sz w:val="22"/>
                <w:szCs w:val="22"/>
              </w:rPr>
            </w:pPr>
            <w:r w:rsidRPr="00E0548A">
              <w:rPr>
                <w:rFonts w:ascii="ＭＳ ゴシック" w:eastAsia="ＭＳ ゴシック" w:hAnsi="ＭＳ ゴシック" w:hint="eastAsia"/>
                <w:sz w:val="22"/>
                <w:szCs w:val="22"/>
              </w:rPr>
              <w:t>第４フェーズ</w:t>
            </w:r>
          </w:p>
        </w:tc>
        <w:tc>
          <w:tcPr>
            <w:tcW w:w="7884" w:type="dxa"/>
          </w:tcPr>
          <w:p w14:paraId="18CD1807" w14:textId="77777777" w:rsidR="008B4B2B" w:rsidRPr="00E0548A" w:rsidRDefault="008B4B2B" w:rsidP="008B4B2B">
            <w:pPr>
              <w:rPr>
                <w:rFonts w:ascii="ＭＳ ゴシック" w:eastAsia="ＭＳ ゴシック" w:hAnsi="ＭＳ ゴシック"/>
                <w:sz w:val="22"/>
                <w:szCs w:val="22"/>
              </w:rPr>
            </w:pPr>
            <w:r w:rsidRPr="00E0548A">
              <w:rPr>
                <w:rFonts w:ascii="ＭＳ ゴシック" w:eastAsia="ＭＳ ゴシック" w:hAnsi="ＭＳ ゴシック" w:hint="eastAsia"/>
                <w:sz w:val="22"/>
                <w:szCs w:val="22"/>
              </w:rPr>
              <w:t>各施設の応急復旧に向けた調整を開始する。</w:t>
            </w:r>
          </w:p>
        </w:tc>
      </w:tr>
      <w:tr w:rsidR="001D6D10" w:rsidRPr="00E0548A" w14:paraId="468B69E4" w14:textId="77777777" w:rsidTr="008B4B2B">
        <w:tc>
          <w:tcPr>
            <w:tcW w:w="1668" w:type="dxa"/>
          </w:tcPr>
          <w:p w14:paraId="4615606F" w14:textId="77777777" w:rsidR="008B4B2B" w:rsidRPr="00E0548A" w:rsidRDefault="008B4B2B" w:rsidP="008B4B2B">
            <w:pPr>
              <w:rPr>
                <w:rFonts w:ascii="ＭＳ ゴシック" w:eastAsia="ＭＳ ゴシック" w:hAnsi="ＭＳ ゴシック"/>
                <w:sz w:val="22"/>
                <w:szCs w:val="22"/>
              </w:rPr>
            </w:pPr>
            <w:r w:rsidRPr="00E0548A">
              <w:rPr>
                <w:rFonts w:ascii="ＭＳ ゴシック" w:eastAsia="ＭＳ ゴシック" w:hAnsi="ＭＳ ゴシック" w:hint="eastAsia"/>
                <w:sz w:val="22"/>
                <w:szCs w:val="22"/>
              </w:rPr>
              <w:t>第５フェーズ</w:t>
            </w:r>
          </w:p>
        </w:tc>
        <w:tc>
          <w:tcPr>
            <w:tcW w:w="7884" w:type="dxa"/>
          </w:tcPr>
          <w:p w14:paraId="3D216E26" w14:textId="77777777" w:rsidR="008B4B2B" w:rsidRPr="00E0548A" w:rsidRDefault="008B4B2B" w:rsidP="008B4B2B">
            <w:pPr>
              <w:rPr>
                <w:rFonts w:ascii="ＭＳ ゴシック" w:eastAsia="ＭＳ ゴシック" w:hAnsi="ＭＳ ゴシック"/>
                <w:sz w:val="22"/>
                <w:szCs w:val="22"/>
              </w:rPr>
            </w:pPr>
            <w:r w:rsidRPr="00E0548A">
              <w:rPr>
                <w:rFonts w:ascii="ＭＳ ゴシック" w:eastAsia="ＭＳ ゴシック" w:hAnsi="ＭＳ ゴシック" w:hint="eastAsia"/>
                <w:sz w:val="22"/>
                <w:szCs w:val="22"/>
              </w:rPr>
              <w:t>各施設の応急復旧作業を開始する。文化財保護に関する措置を開始する。</w:t>
            </w:r>
          </w:p>
        </w:tc>
      </w:tr>
      <w:tr w:rsidR="008B4B2B" w:rsidRPr="00E0548A" w14:paraId="35AF5B8C" w14:textId="77777777" w:rsidTr="008B4B2B">
        <w:tc>
          <w:tcPr>
            <w:tcW w:w="1668" w:type="dxa"/>
          </w:tcPr>
          <w:p w14:paraId="6D6A319B" w14:textId="77777777" w:rsidR="008B4B2B" w:rsidRPr="00E0548A" w:rsidRDefault="008B4B2B" w:rsidP="008B4B2B">
            <w:pPr>
              <w:rPr>
                <w:rFonts w:ascii="ＭＳ ゴシック" w:eastAsia="ＭＳ ゴシック" w:hAnsi="ＭＳ ゴシック"/>
                <w:sz w:val="22"/>
                <w:szCs w:val="22"/>
              </w:rPr>
            </w:pPr>
            <w:r w:rsidRPr="00E0548A">
              <w:rPr>
                <w:rFonts w:ascii="ＭＳ ゴシック" w:eastAsia="ＭＳ ゴシック" w:hAnsi="ＭＳ ゴシック" w:hint="eastAsia"/>
                <w:sz w:val="22"/>
                <w:szCs w:val="22"/>
              </w:rPr>
              <w:t>第６フェーズ</w:t>
            </w:r>
          </w:p>
        </w:tc>
        <w:tc>
          <w:tcPr>
            <w:tcW w:w="7884" w:type="dxa"/>
          </w:tcPr>
          <w:p w14:paraId="1DFE0916" w14:textId="77777777" w:rsidR="008B4B2B" w:rsidRPr="00E0548A" w:rsidRDefault="008B4B2B" w:rsidP="008B4B2B">
            <w:pPr>
              <w:rPr>
                <w:rFonts w:ascii="ＭＳ ゴシック" w:eastAsia="ＭＳ ゴシック" w:hAnsi="ＭＳ ゴシック"/>
                <w:sz w:val="22"/>
                <w:szCs w:val="22"/>
              </w:rPr>
            </w:pPr>
            <w:r w:rsidRPr="00E0548A">
              <w:rPr>
                <w:rFonts w:ascii="ＭＳ ゴシック" w:eastAsia="ＭＳ ゴシック" w:hAnsi="ＭＳ ゴシック" w:hint="eastAsia"/>
                <w:sz w:val="22"/>
                <w:szCs w:val="22"/>
              </w:rPr>
              <w:t>各施設の応急復旧を完了する。</w:t>
            </w:r>
          </w:p>
        </w:tc>
      </w:tr>
    </w:tbl>
    <w:p w14:paraId="2357D96F" w14:textId="77777777" w:rsidR="008B4B2B" w:rsidRPr="00E0548A" w:rsidRDefault="008B4B2B" w:rsidP="008B4B2B">
      <w:pPr>
        <w:rPr>
          <w:rFonts w:ascii="ＭＳ ゴシック" w:eastAsia="ＭＳ ゴシック" w:hAnsi="ＭＳ ゴシック"/>
          <w:sz w:val="22"/>
          <w:szCs w:val="22"/>
        </w:rPr>
      </w:pPr>
    </w:p>
    <w:p w14:paraId="7C3D4D6A" w14:textId="77777777" w:rsidR="008B4B2B" w:rsidRPr="00E0548A" w:rsidRDefault="008B4B2B" w:rsidP="00FE1C75">
      <w:pPr>
        <w:pStyle w:val="a0"/>
        <w:ind w:firstLineChars="200" w:firstLine="442"/>
        <w:outlineLvl w:val="2"/>
        <w:rPr>
          <w:rFonts w:ascii="ＭＳ ゴシック" w:eastAsia="ＭＳ ゴシック"/>
          <w:sz w:val="22"/>
          <w:szCs w:val="22"/>
          <w:u w:val="double"/>
        </w:rPr>
      </w:pPr>
      <w:bookmarkStart w:id="312" w:name="_Toc122436948"/>
      <w:bookmarkStart w:id="313" w:name="_Toc222486637"/>
      <w:bookmarkStart w:id="314" w:name="_Toc242870307"/>
      <w:r w:rsidRPr="00E0548A">
        <w:rPr>
          <w:rFonts w:ascii="ＭＳ ゴシック" w:eastAsia="ＭＳ ゴシック" w:hint="eastAsia"/>
          <w:sz w:val="22"/>
          <w:szCs w:val="22"/>
          <w:u w:val="double"/>
        </w:rPr>
        <w:t>第１　公共土木施設・公共建築物等</w:t>
      </w:r>
      <w:r w:rsidRPr="00E0548A">
        <w:rPr>
          <w:rFonts w:ascii="ＭＳ ゴシック" w:eastAsia="ＭＳ ゴシック" w:hint="eastAsia"/>
          <w:sz w:val="22"/>
          <w:szCs w:val="22"/>
          <w:u w:val="double"/>
          <w:shd w:val="pct15" w:color="auto" w:fill="FFFFFF"/>
        </w:rPr>
        <w:t>【第２フェーズ～】</w:t>
      </w:r>
      <w:bookmarkEnd w:id="312"/>
      <w:bookmarkEnd w:id="313"/>
      <w:bookmarkEnd w:id="314"/>
    </w:p>
    <w:p w14:paraId="56CFD065" w14:textId="77777777" w:rsidR="008B4B2B" w:rsidRPr="00E0548A" w:rsidRDefault="008B4B2B" w:rsidP="008B4B2B">
      <w:pPr>
        <w:pStyle w:val="a0"/>
        <w:ind w:firstLineChars="500" w:firstLine="1105"/>
        <w:rPr>
          <w:rFonts w:ascii="ＭＳ ゴシック" w:eastAsia="ＭＳ ゴシック" w:hAnsi="ＭＳ ゴシック"/>
          <w:sz w:val="22"/>
          <w:szCs w:val="22"/>
          <w:bdr w:val="single" w:sz="4" w:space="0" w:color="auto"/>
        </w:rPr>
      </w:pPr>
      <w:r w:rsidRPr="00E0548A">
        <w:rPr>
          <w:rFonts w:ascii="ＭＳ ゴシック" w:eastAsia="ＭＳ ゴシック" w:hAnsi="ＭＳ ゴシック" w:hint="eastAsia"/>
          <w:sz w:val="22"/>
          <w:szCs w:val="22"/>
          <w:bdr w:val="single" w:sz="4" w:space="0" w:color="auto"/>
        </w:rPr>
        <w:t>主たる担当：関係部局関係室・課</w:t>
      </w:r>
    </w:p>
    <w:p w14:paraId="7D7A9A50" w14:textId="532DE3F9" w:rsidR="008B4B2B" w:rsidRPr="00E0548A" w:rsidRDefault="008B4B2B" w:rsidP="008B4B2B">
      <w:pPr>
        <w:ind w:left="884" w:hangingChars="400" w:hanging="884"/>
        <w:rPr>
          <w:sz w:val="22"/>
          <w:szCs w:val="22"/>
        </w:rPr>
      </w:pPr>
      <w:r w:rsidRPr="00E0548A">
        <w:rPr>
          <w:rFonts w:hint="eastAsia"/>
          <w:sz w:val="22"/>
          <w:szCs w:val="22"/>
        </w:rPr>
        <w:t xml:space="preserve">　　　　　河川施設、</w:t>
      </w:r>
      <w:r w:rsidR="005C73EF" w:rsidRPr="00E0548A">
        <w:rPr>
          <w:rFonts w:hint="eastAsia"/>
          <w:sz w:val="22"/>
          <w:szCs w:val="22"/>
        </w:rPr>
        <w:t>砂防施設、治山施設、地すべり防止施設、急傾斜地崩壊防止施設、</w:t>
      </w:r>
      <w:r w:rsidRPr="00E0548A">
        <w:rPr>
          <w:rFonts w:hint="eastAsia"/>
          <w:sz w:val="22"/>
          <w:szCs w:val="22"/>
        </w:rPr>
        <w:t>海岸保全施設、</w:t>
      </w:r>
      <w:r w:rsidR="005C73EF" w:rsidRPr="00E0548A">
        <w:rPr>
          <w:rFonts w:hint="eastAsia"/>
          <w:sz w:val="22"/>
          <w:szCs w:val="22"/>
        </w:rPr>
        <w:t>港湾施設、漁港施設、</w:t>
      </w:r>
      <w:r w:rsidRPr="00E0548A">
        <w:rPr>
          <w:rFonts w:hint="eastAsia"/>
          <w:sz w:val="22"/>
          <w:szCs w:val="22"/>
        </w:rPr>
        <w:t>ため池等農業用施設、</w:t>
      </w:r>
      <w:r w:rsidR="005C73EF" w:rsidRPr="00E0548A">
        <w:t>橋梁等道路施設</w:t>
      </w:r>
      <w:r w:rsidRPr="00E0548A">
        <w:rPr>
          <w:rFonts w:hint="eastAsia"/>
          <w:sz w:val="22"/>
          <w:szCs w:val="22"/>
        </w:rPr>
        <w:t>等公共土木施設の管理者及び被災した公共建築物の管理者は、被害状況を早期に把握し、特に、人命に関わる重要施設については、早急に被災箇所の点検を行い、必要な応急措置を講ずる。</w:t>
      </w:r>
    </w:p>
    <w:p w14:paraId="637EF748" w14:textId="77777777" w:rsidR="008B4B2B" w:rsidRPr="00E0548A" w:rsidRDefault="008B4B2B" w:rsidP="008B4B2B">
      <w:pPr>
        <w:ind w:left="884" w:hangingChars="400" w:hanging="884"/>
        <w:rPr>
          <w:sz w:val="22"/>
          <w:szCs w:val="22"/>
        </w:rPr>
      </w:pPr>
      <w:r w:rsidRPr="00E0548A">
        <w:rPr>
          <w:rFonts w:hint="eastAsia"/>
          <w:sz w:val="22"/>
          <w:szCs w:val="22"/>
        </w:rPr>
        <w:t xml:space="preserve">　　　　　また、二次災害が生じるおそれがある場合は、市町村、消防、警察等関係機関や住民に連絡するとともに、必要に応じ、適切な避難対策や被災施設・危険箇所等への立入制限、倒壊の危険性のある建物への立入禁止措置等を行うものとする。</w:t>
      </w:r>
    </w:p>
    <w:p w14:paraId="18E167B1" w14:textId="77777777" w:rsidR="008B4B2B" w:rsidRPr="00E0548A" w:rsidRDefault="008B4B2B" w:rsidP="008B4B2B">
      <w:pPr>
        <w:ind w:left="884" w:hangingChars="400" w:hanging="884"/>
        <w:rPr>
          <w:sz w:val="22"/>
          <w:szCs w:val="22"/>
        </w:rPr>
      </w:pPr>
      <w:r w:rsidRPr="00E0548A">
        <w:rPr>
          <w:rFonts w:hint="eastAsia"/>
          <w:sz w:val="22"/>
          <w:szCs w:val="22"/>
        </w:rPr>
        <w:t xml:space="preserve">　　　　　河川環境課長は、土砂災害危険箇所に係る二次災害防止のため、市町村の派遣要請に基づき、</w:t>
      </w:r>
      <w:r w:rsidRPr="00E0548A">
        <w:rPr>
          <w:rFonts w:hint="eastAsia"/>
          <w:sz w:val="22"/>
          <w:szCs w:val="22"/>
        </w:rPr>
        <w:t>NPO</w:t>
      </w:r>
      <w:r w:rsidRPr="00E0548A">
        <w:rPr>
          <w:rFonts w:hint="eastAsia"/>
          <w:sz w:val="22"/>
          <w:szCs w:val="22"/>
        </w:rPr>
        <w:t>法人</w:t>
      </w:r>
      <w:r w:rsidRPr="00E0548A">
        <w:rPr>
          <w:rFonts w:hint="eastAsia"/>
          <w:sz w:val="22"/>
          <w:szCs w:val="22"/>
        </w:rPr>
        <w:t xml:space="preserve"> </w:t>
      </w:r>
      <w:r w:rsidRPr="00E0548A">
        <w:rPr>
          <w:rFonts w:hint="eastAsia"/>
          <w:sz w:val="22"/>
          <w:szCs w:val="22"/>
        </w:rPr>
        <w:t>大阪府砂防ボランティア協会に斜面判定士の派遣を要請する</w:t>
      </w:r>
      <w:r w:rsidRPr="00E0548A">
        <w:rPr>
          <w:rFonts w:hint="eastAsia"/>
          <w:sz w:val="22"/>
          <w:szCs w:val="22"/>
          <w:shd w:val="pct15" w:color="auto" w:fill="FFFFFF"/>
        </w:rPr>
        <w:t>【第３フェーズ】</w:t>
      </w:r>
      <w:r w:rsidRPr="00E0548A">
        <w:rPr>
          <w:rFonts w:hint="eastAsia"/>
          <w:sz w:val="22"/>
          <w:szCs w:val="22"/>
        </w:rPr>
        <w:t>。</w:t>
      </w:r>
    </w:p>
    <w:p w14:paraId="1A539F4F" w14:textId="2548C4A4" w:rsidR="00C46ADE" w:rsidRPr="00E0548A" w:rsidRDefault="00C46ADE">
      <w:pPr>
        <w:widowControl/>
        <w:jc w:val="left"/>
        <w:rPr>
          <w:rFonts w:ascii="ＭＳ 明朝" w:hAnsi="Courier New" w:cs="Courier New"/>
          <w:sz w:val="22"/>
          <w:szCs w:val="22"/>
        </w:rPr>
      </w:pPr>
      <w:r w:rsidRPr="00E0548A">
        <w:rPr>
          <w:sz w:val="22"/>
          <w:szCs w:val="22"/>
        </w:rPr>
        <w:br w:type="page"/>
      </w:r>
    </w:p>
    <w:p w14:paraId="77DE6415" w14:textId="77777777" w:rsidR="008B4B2B" w:rsidRPr="00E0548A" w:rsidRDefault="008B4B2B" w:rsidP="00E0548A">
      <w:pPr>
        <w:pStyle w:val="3"/>
        <w:ind w:firstLineChars="0" w:firstLine="0"/>
      </w:pPr>
      <w:bookmarkStart w:id="315" w:name="_Toc122436949"/>
      <w:bookmarkStart w:id="316" w:name="_Toc222486638"/>
      <w:bookmarkStart w:id="317" w:name="_Toc242870308"/>
      <w:r w:rsidRPr="00E0548A">
        <w:rPr>
          <w:rFonts w:hint="eastAsia"/>
        </w:rPr>
        <w:lastRenderedPageBreak/>
        <w:t>第２　被災建築物応急危険度判定及び被災宅地危険度判定</w:t>
      </w:r>
      <w:r w:rsidRPr="00E0548A">
        <w:rPr>
          <w:rFonts w:hint="eastAsia"/>
          <w:shd w:val="pct15" w:color="auto" w:fill="FFFFFF"/>
        </w:rPr>
        <w:t>【第２フェーズ～】</w:t>
      </w:r>
      <w:bookmarkEnd w:id="315"/>
      <w:bookmarkEnd w:id="316"/>
      <w:bookmarkEnd w:id="317"/>
    </w:p>
    <w:p w14:paraId="29B268E6" w14:textId="77777777" w:rsidR="008B4B2B" w:rsidRPr="00E0548A" w:rsidRDefault="008B4B2B" w:rsidP="008B4B2B">
      <w:pPr>
        <w:ind w:leftChars="420" w:left="887" w:firstLineChars="100" w:firstLine="221"/>
        <w:rPr>
          <w:rFonts w:ascii="ＭＳ ゴシック" w:eastAsia="ＭＳ ゴシック" w:hAnsi="ＭＳ ゴシック"/>
          <w:sz w:val="22"/>
          <w:szCs w:val="22"/>
          <w:bdr w:val="single" w:sz="4" w:space="0" w:color="auto"/>
        </w:rPr>
      </w:pPr>
      <w:r w:rsidRPr="00E0548A">
        <w:rPr>
          <w:rFonts w:ascii="ＭＳ ゴシック" w:eastAsia="ＭＳ ゴシック" w:hAnsi="ＭＳ ゴシック" w:hint="eastAsia"/>
          <w:sz w:val="22"/>
          <w:szCs w:val="22"/>
          <w:bdr w:val="single" w:sz="4" w:space="0" w:color="auto"/>
        </w:rPr>
        <w:t>主たる担当：</w:t>
      </w:r>
      <w:r w:rsidR="00161FE2" w:rsidRPr="00E0548A">
        <w:rPr>
          <w:rFonts w:ascii="ＭＳ ゴシック" w:eastAsia="ＭＳ ゴシック" w:hAnsi="ＭＳ ゴシック" w:hint="eastAsia"/>
          <w:sz w:val="22"/>
          <w:szCs w:val="22"/>
          <w:bdr w:val="single" w:sz="4" w:space="0" w:color="auto"/>
        </w:rPr>
        <w:t>都市</w:t>
      </w:r>
      <w:r w:rsidR="00186CEA" w:rsidRPr="00E0548A">
        <w:rPr>
          <w:rFonts w:ascii="ＭＳ ゴシック" w:eastAsia="ＭＳ ゴシック" w:hAnsi="ＭＳ ゴシック" w:hint="eastAsia"/>
          <w:sz w:val="22"/>
          <w:szCs w:val="22"/>
          <w:bdr w:val="single" w:sz="4" w:space="0" w:color="auto"/>
        </w:rPr>
        <w:t>防災課、審査指導</w:t>
      </w:r>
      <w:r w:rsidRPr="00E0548A">
        <w:rPr>
          <w:rFonts w:ascii="ＭＳ ゴシック" w:eastAsia="ＭＳ ゴシック" w:hAnsi="ＭＳ ゴシック" w:hint="eastAsia"/>
          <w:sz w:val="22"/>
          <w:szCs w:val="22"/>
          <w:bdr w:val="single" w:sz="4" w:space="0" w:color="auto"/>
        </w:rPr>
        <w:t>課</w:t>
      </w:r>
    </w:p>
    <w:p w14:paraId="3C6F0F5B" w14:textId="77777777" w:rsidR="008B4B2B" w:rsidRPr="00E0548A" w:rsidRDefault="008B4B2B" w:rsidP="008B4B2B">
      <w:pPr>
        <w:ind w:leftChars="420" w:left="887" w:firstLineChars="100" w:firstLine="221"/>
        <w:rPr>
          <w:sz w:val="22"/>
          <w:szCs w:val="22"/>
        </w:rPr>
      </w:pPr>
      <w:r w:rsidRPr="00E0548A">
        <w:rPr>
          <w:rFonts w:hint="eastAsia"/>
          <w:sz w:val="22"/>
          <w:szCs w:val="22"/>
        </w:rPr>
        <w:t>被災建築物応急危険度判定については、全国被災建築物応急危険度判定協議会及び近畿被災建築物応急危険度判定協議会を設立し、都道府県の相互支援体制の整備を図っており、大阪府被災建築物応急危険度判定業務マニュアルにより実施する。</w:t>
      </w:r>
    </w:p>
    <w:p w14:paraId="0BACDAB2" w14:textId="77777777" w:rsidR="008B4B2B" w:rsidRPr="00E0548A" w:rsidRDefault="008B4B2B" w:rsidP="008B4B2B">
      <w:pPr>
        <w:ind w:leftChars="400" w:left="844" w:firstLineChars="100" w:firstLine="221"/>
        <w:rPr>
          <w:sz w:val="22"/>
          <w:szCs w:val="22"/>
        </w:rPr>
      </w:pPr>
      <w:r w:rsidRPr="00E0548A">
        <w:rPr>
          <w:rFonts w:hint="eastAsia"/>
          <w:sz w:val="22"/>
          <w:szCs w:val="22"/>
        </w:rPr>
        <w:t>被災宅地危険度判定については、被災宅地危険度判定連絡協議会を設立し、都道府県の相互支援体制の整備を図っており、被災宅地危険度判定業務・実施マニュアルにより実施する。</w:t>
      </w:r>
    </w:p>
    <w:p w14:paraId="014EA0D4" w14:textId="77777777" w:rsidR="008B4B2B" w:rsidRPr="00E0548A" w:rsidRDefault="008B4B2B" w:rsidP="008B4B2B">
      <w:pPr>
        <w:ind w:leftChars="400" w:left="844" w:rightChars="-175" w:right="-369" w:firstLineChars="100" w:firstLine="221"/>
        <w:rPr>
          <w:sz w:val="22"/>
          <w:szCs w:val="22"/>
        </w:rPr>
      </w:pPr>
      <w:r w:rsidRPr="00E0548A">
        <w:rPr>
          <w:rFonts w:hint="eastAsia"/>
          <w:sz w:val="22"/>
          <w:szCs w:val="22"/>
        </w:rPr>
        <w:t>大阪府は危険度判定支援本部を設置し、被害が甚大と認められるときは、広域支援本部の設置等を近隣府県・国土交通省等に要請し、判定士の確保、派遣の調整等の業務を実施する。</w:t>
      </w:r>
    </w:p>
    <w:p w14:paraId="407CA767" w14:textId="77777777" w:rsidR="008B4B2B" w:rsidRPr="00E0548A" w:rsidRDefault="008B4B2B" w:rsidP="008B4B2B">
      <w:pPr>
        <w:rPr>
          <w:rFonts w:ascii="ＭＳ ゴシック" w:eastAsia="ＭＳ ゴシック" w:hAnsi="ＭＳ ゴシック"/>
          <w:sz w:val="22"/>
          <w:szCs w:val="22"/>
          <w:shd w:val="pct15" w:color="auto" w:fill="FFFFFF"/>
        </w:rPr>
      </w:pPr>
      <w:r w:rsidRPr="00E0548A">
        <w:rPr>
          <w:rFonts w:ascii="ＭＳ ゴシック" w:eastAsia="ＭＳ ゴシック" w:hAnsi="ＭＳ ゴシック" w:hint="eastAsia"/>
          <w:sz w:val="22"/>
          <w:szCs w:val="22"/>
          <w:bdr w:val="single" w:sz="4" w:space="0" w:color="auto"/>
          <w:shd w:val="pct15" w:color="auto" w:fill="FFFFFF"/>
        </w:rPr>
        <w:t>危険度判定実施にかかる基本フロー図</w:t>
      </w:r>
    </w:p>
    <w:tbl>
      <w:tblPr>
        <w:tblpPr w:leftFromText="142" w:rightFromText="142" w:vertAnchor="text" w:tblpXSpec="center" w:tblpY="1"/>
        <w:tblOverlap w:val="never"/>
        <w:tblW w:w="964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9647"/>
      </w:tblGrid>
      <w:tr w:rsidR="001D6D10" w:rsidRPr="00E0548A" w14:paraId="68FBA982" w14:textId="77777777" w:rsidTr="00176ACE">
        <w:trPr>
          <w:trHeight w:val="6950"/>
          <w:jc w:val="center"/>
        </w:trPr>
        <w:tc>
          <w:tcPr>
            <w:tcW w:w="9647" w:type="dxa"/>
            <w:tcBorders>
              <w:top w:val="nil"/>
              <w:left w:val="nil"/>
              <w:bottom w:val="nil"/>
              <w:right w:val="nil"/>
            </w:tcBorders>
          </w:tcPr>
          <w:p w14:paraId="092EF1B7" w14:textId="77777777" w:rsidR="00176ACE" w:rsidRPr="00E0548A" w:rsidRDefault="00176ACE" w:rsidP="008B4B2B">
            <w:pPr>
              <w:snapToGrid w:val="0"/>
              <w:ind w:left="108"/>
              <w:rPr>
                <w:rFonts w:ascii="HG丸ｺﾞｼｯｸM-PRO" w:eastAsia="HG丸ｺﾞｼｯｸM-PRO"/>
                <w:sz w:val="22"/>
                <w:szCs w:val="22"/>
              </w:rPr>
            </w:pPr>
            <w:r w:rsidRPr="00E0548A">
              <w:rPr>
                <w:rFonts w:ascii="HG丸ｺﾞｼｯｸM-PRO" w:eastAsia="HG丸ｺﾞｼｯｸM-PRO"/>
                <w:noProof/>
                <w:sz w:val="22"/>
                <w:szCs w:val="22"/>
              </w:rPr>
              <mc:AlternateContent>
                <mc:Choice Requires="wpc">
                  <w:drawing>
                    <wp:inline distT="0" distB="0" distL="0" distR="0" wp14:anchorId="374DA80C" wp14:editId="13409E5F">
                      <wp:extent cx="6230678" cy="4453890"/>
                      <wp:effectExtent l="0" t="0" r="0" b="0"/>
                      <wp:docPr id="2468" name="キャンバス 2468"/>
                      <wp:cNvGraphicFramePr>
                        <a:graphicFrameLocks xmlns:a="http://schemas.openxmlformats.org/drawingml/2006/main" noChangeAspect="1"/>
                      </wp:cNvGraphicFramePr>
                      <a:graphic xmlns:a="http://schemas.openxmlformats.org/drawingml/2006/main">
                        <a:graphicData uri="http://schemas.microsoft.com/office/word/2010/wordprocessingCanvas">
                          <wpc:wpc>
                            <wpc:bg>
                              <a:noFill/>
                            </wpc:bg>
                            <wpc:whole>
                              <a:ln>
                                <a:noFill/>
                              </a:ln>
                            </wpc:whole>
                            <wps:wsp>
                              <wps:cNvPr id="1633" name="角丸四角形 1633"/>
                              <wps:cNvSpPr/>
                              <wps:spPr>
                                <a:xfrm>
                                  <a:off x="2434839" y="1174410"/>
                                  <a:ext cx="1353185" cy="2398395"/>
                                </a:xfrm>
                                <a:prstGeom prst="roundRect">
                                  <a:avLst/>
                                </a:prstGeom>
                                <a:ln w="9525"/>
                              </wps:spPr>
                              <wps:style>
                                <a:lnRef idx="2">
                                  <a:schemeClr val="dk1"/>
                                </a:lnRef>
                                <a:fillRef idx="1">
                                  <a:schemeClr val="lt1"/>
                                </a:fillRef>
                                <a:effectRef idx="0">
                                  <a:schemeClr val="dk1"/>
                                </a:effectRef>
                                <a:fontRef idx="minor">
                                  <a:schemeClr val="dk1"/>
                                </a:fontRef>
                              </wps:style>
                              <wps:txbx>
                                <w:txbxContent>
                                  <w:p w14:paraId="0F0F49DE" w14:textId="77777777" w:rsidR="006A5267" w:rsidRPr="00AE430E" w:rsidRDefault="006A5267" w:rsidP="0021710E">
                                    <w:pPr>
                                      <w:pStyle w:val="Web"/>
                                      <w:spacing w:before="0" w:beforeAutospacing="0" w:after="0" w:afterAutospacing="0" w:line="240" w:lineRule="exact"/>
                                      <w:jc w:val="center"/>
                                    </w:pPr>
                                    <w:r w:rsidRPr="00AE430E">
                                      <w:rPr>
                                        <w:rFonts w:eastAsia="ＭＳ 明朝" w:hAnsi="ＭＳ 明朝" w:cs="Times New Roman" w:hint="eastAsia"/>
                                        <w:kern w:val="2"/>
                                        <w:sz w:val="22"/>
                                        <w:szCs w:val="22"/>
                                      </w:rPr>
                                      <w:t>大阪府</w:t>
                                    </w:r>
                                  </w:p>
                                  <w:p w14:paraId="589182AB" w14:textId="77777777" w:rsidR="006A5267" w:rsidRPr="00AE430E" w:rsidRDefault="006A5267" w:rsidP="0021710E">
                                    <w:pPr>
                                      <w:pStyle w:val="Web"/>
                                      <w:spacing w:before="0" w:beforeAutospacing="0" w:after="0" w:afterAutospacing="0" w:line="240" w:lineRule="exact"/>
                                      <w:jc w:val="center"/>
                                    </w:pPr>
                                    <w:r w:rsidRPr="00AE430E">
                                      <w:rPr>
                                        <w:rFonts w:eastAsia="ＭＳ 明朝" w:hAnsi="ＭＳ 明朝" w:cs="Times New Roman" w:hint="eastAsia"/>
                                        <w:kern w:val="2"/>
                                        <w:sz w:val="22"/>
                                        <w:szCs w:val="22"/>
                                      </w:rPr>
                                      <w:t>都市整備部</w:t>
                                    </w:r>
                                  </w:p>
                                  <w:p w14:paraId="614EBCBA" w14:textId="77777777" w:rsidR="006A5267" w:rsidRPr="00AE430E" w:rsidRDefault="006A5267" w:rsidP="0021710E">
                                    <w:pPr>
                                      <w:pStyle w:val="Web"/>
                                      <w:spacing w:before="0" w:beforeAutospacing="0" w:after="0" w:afterAutospacing="0" w:line="240" w:lineRule="exact"/>
                                      <w:jc w:val="center"/>
                                    </w:pPr>
                                    <w:r w:rsidRPr="00AE430E">
                                      <w:rPr>
                                        <w:rFonts w:eastAsia="ＭＳ 明朝" w:hAnsi="ＭＳ 明朝" w:cs="Times New Roman" w:hint="eastAsia"/>
                                        <w:kern w:val="2"/>
                                        <w:sz w:val="22"/>
                                        <w:szCs w:val="22"/>
                                      </w:rPr>
                                      <w:t>震災対策本部</w:t>
                                    </w:r>
                                  </w:p>
                                </w:txbxContent>
                              </wps:txbx>
                              <wps:bodyPr rot="0" spcFirstLastPara="0" vert="horz" wrap="square" lIns="91440" tIns="45720" rIns="91440" bIns="45720" numCol="1" spcCol="0" rtlCol="0" fromWordArt="0" anchor="b" anchorCtr="0" forceAA="0" compatLnSpc="1">
                                <a:prstTxWarp prst="textNoShape">
                                  <a:avLst/>
                                </a:prstTxWarp>
                                <a:noAutofit/>
                              </wps:bodyPr>
                            </wps:wsp>
                            <wps:wsp>
                              <wps:cNvPr id="1634" name="角丸四角形 1634"/>
                              <wps:cNvSpPr/>
                              <wps:spPr>
                                <a:xfrm>
                                  <a:off x="2568870" y="1297600"/>
                                  <a:ext cx="1069975" cy="1541145"/>
                                </a:xfrm>
                                <a:prstGeom prst="roundRect">
                                  <a:avLst/>
                                </a:prstGeom>
                                <a:ln w="9525"/>
                              </wps:spPr>
                              <wps:style>
                                <a:lnRef idx="2">
                                  <a:schemeClr val="dk1"/>
                                </a:lnRef>
                                <a:fillRef idx="1">
                                  <a:schemeClr val="lt1"/>
                                </a:fillRef>
                                <a:effectRef idx="0">
                                  <a:schemeClr val="dk1"/>
                                </a:effectRef>
                                <a:fontRef idx="minor">
                                  <a:schemeClr val="dk1"/>
                                </a:fontRef>
                              </wps:style>
                              <wps:txbx>
                                <w:txbxContent>
                                  <w:p w14:paraId="5034DC3B" w14:textId="77777777" w:rsidR="006A5267" w:rsidRPr="00340FB9" w:rsidRDefault="006A5267" w:rsidP="0021710E">
                                    <w:pPr>
                                      <w:pStyle w:val="Web"/>
                                      <w:spacing w:before="0" w:beforeAutospacing="0" w:after="0" w:afterAutospacing="0" w:line="240" w:lineRule="exact"/>
                                      <w:jc w:val="center"/>
                                    </w:pPr>
                                    <w:r w:rsidRPr="00340FB9">
                                      <w:rPr>
                                        <w:rFonts w:eastAsia="ＭＳ 明朝" w:hAnsi="ＭＳ 明朝" w:cs="Times New Roman" w:hint="eastAsia"/>
                                        <w:kern w:val="2"/>
                                        <w:sz w:val="22"/>
                                        <w:szCs w:val="22"/>
                                      </w:rPr>
                                      <w:t>都市整備部</w:t>
                                    </w:r>
                                  </w:p>
                                  <w:p w14:paraId="16F19722" w14:textId="77777777" w:rsidR="006A5267" w:rsidRPr="00340FB9" w:rsidRDefault="006A5267" w:rsidP="0021710E">
                                    <w:pPr>
                                      <w:pStyle w:val="Web"/>
                                      <w:spacing w:before="0" w:beforeAutospacing="0" w:after="0" w:afterAutospacing="0" w:line="240" w:lineRule="exact"/>
                                      <w:jc w:val="center"/>
                                    </w:pPr>
                                    <w:r w:rsidRPr="00340FB9">
                                      <w:rPr>
                                        <w:rFonts w:eastAsia="ＭＳ 明朝" w:hAnsi="ＭＳ 明朝" w:cs="Times New Roman" w:hint="eastAsia"/>
                                        <w:kern w:val="2"/>
                                        <w:sz w:val="22"/>
                                        <w:szCs w:val="22"/>
                                      </w:rPr>
                                      <w:t>事業調整室</w:t>
                                    </w:r>
                                  </w:p>
                                  <w:p w14:paraId="66044D57" w14:textId="77777777" w:rsidR="006A5267" w:rsidRPr="00AE430E" w:rsidRDefault="006A5267" w:rsidP="0021710E">
                                    <w:pPr>
                                      <w:pStyle w:val="Web"/>
                                      <w:spacing w:before="0" w:beforeAutospacing="0" w:after="0" w:afterAutospacing="0" w:line="240" w:lineRule="exact"/>
                                      <w:jc w:val="both"/>
                                    </w:pPr>
                                    <w:r w:rsidRPr="00AE430E">
                                      <w:rPr>
                                        <w:rFonts w:ascii="ＭＳ 明朝" w:hAnsi="ＭＳ 明朝" w:cs="Times New Roman" w:hint="eastAsia"/>
                                        <w:kern w:val="2"/>
                                        <w:sz w:val="22"/>
                                        <w:szCs w:val="22"/>
                                      </w:rPr>
                                      <w:t> </w:t>
                                    </w:r>
                                  </w:p>
                                  <w:p w14:paraId="4E17E297" w14:textId="77777777" w:rsidR="006A5267" w:rsidRPr="00AE430E" w:rsidRDefault="006A5267" w:rsidP="0021710E">
                                    <w:pPr>
                                      <w:pStyle w:val="Web"/>
                                      <w:spacing w:before="0" w:beforeAutospacing="0" w:after="0" w:afterAutospacing="0" w:line="240" w:lineRule="exact"/>
                                      <w:jc w:val="center"/>
                                    </w:pPr>
                                    <w:r w:rsidRPr="00AE430E">
                                      <w:rPr>
                                        <w:rFonts w:eastAsia="ＭＳ 明朝" w:hAnsi="ＭＳ 明朝" w:cs="Times New Roman" w:hint="eastAsia"/>
                                        <w:kern w:val="2"/>
                                        <w:sz w:val="21"/>
                                        <w:szCs w:val="21"/>
                                      </w:rPr>
                                      <w:t>各室に</w:t>
                                    </w:r>
                                  </w:p>
                                  <w:p w14:paraId="055C887C" w14:textId="77777777" w:rsidR="006A5267" w:rsidRPr="00AE430E" w:rsidRDefault="006A5267" w:rsidP="0021710E">
                                    <w:pPr>
                                      <w:pStyle w:val="Web"/>
                                      <w:spacing w:before="0" w:beforeAutospacing="0" w:after="0" w:afterAutospacing="0" w:line="240" w:lineRule="exact"/>
                                      <w:jc w:val="center"/>
                                    </w:pPr>
                                    <w:r w:rsidRPr="00AE430E">
                                      <w:rPr>
                                        <w:rFonts w:eastAsia="ＭＳ 明朝" w:hAnsi="ＭＳ 明朝" w:cs="Times New Roman" w:hint="eastAsia"/>
                                        <w:kern w:val="2"/>
                                        <w:sz w:val="21"/>
                                        <w:szCs w:val="21"/>
                                      </w:rPr>
                                      <w:t>危険度判定</w:t>
                                    </w:r>
                                  </w:p>
                                  <w:p w14:paraId="49ECB76A" w14:textId="77777777" w:rsidR="006A5267" w:rsidRPr="00AE430E" w:rsidRDefault="006A5267" w:rsidP="0021710E">
                                    <w:pPr>
                                      <w:pStyle w:val="Web"/>
                                      <w:spacing w:before="0" w:beforeAutospacing="0" w:after="0" w:afterAutospacing="0" w:line="240" w:lineRule="exact"/>
                                      <w:jc w:val="center"/>
                                    </w:pPr>
                                    <w:r w:rsidRPr="00AE430E">
                                      <w:rPr>
                                        <w:rFonts w:eastAsia="ＭＳ 明朝" w:hAnsi="ＭＳ 明朝" w:cs="Times New Roman" w:hint="eastAsia"/>
                                        <w:kern w:val="2"/>
                                        <w:sz w:val="21"/>
                                        <w:szCs w:val="21"/>
                                      </w:rPr>
                                      <w:t>支援本部置</w:t>
                                    </w:r>
                                  </w:p>
                                </w:txbxContent>
                              </wps:txbx>
                              <wps:bodyPr rot="0" spcFirstLastPara="0" vert="horz" wrap="square" lIns="91440" tIns="45720" rIns="91440" bIns="45720" numCol="1" spcCol="0" rtlCol="0" fromWordArt="0" anchor="ctr" anchorCtr="0" forceAA="0" compatLnSpc="1">
                                <a:prstTxWarp prst="textNoShape">
                                  <a:avLst/>
                                </a:prstTxWarp>
                                <a:noAutofit/>
                              </wps:bodyPr>
                            </wps:wsp>
                            <wps:wsp>
                              <wps:cNvPr id="1635" name="爆発 1 6"/>
                              <wps:cNvSpPr/>
                              <wps:spPr>
                                <a:xfrm>
                                  <a:off x="180000" y="1164885"/>
                                  <a:ext cx="1564005" cy="1385570"/>
                                </a:xfrm>
                                <a:prstGeom prst="parallelogram">
                                  <a:avLst/>
                                </a:prstGeom>
                                <a:ln w="9525"/>
                              </wps:spPr>
                              <wps:style>
                                <a:lnRef idx="2">
                                  <a:schemeClr val="dk1"/>
                                </a:lnRef>
                                <a:fillRef idx="1">
                                  <a:schemeClr val="lt1"/>
                                </a:fillRef>
                                <a:effectRef idx="0">
                                  <a:schemeClr val="dk1"/>
                                </a:effectRef>
                                <a:fontRef idx="minor">
                                  <a:schemeClr val="dk1"/>
                                </a:fontRef>
                              </wps:style>
                              <wps:txbx>
                                <w:txbxContent>
                                  <w:p w14:paraId="12462207" w14:textId="77777777" w:rsidR="006A5267" w:rsidRPr="00AE430E" w:rsidRDefault="006A5267" w:rsidP="0021710E">
                                    <w:pPr>
                                      <w:pStyle w:val="Web"/>
                                      <w:spacing w:before="0" w:beforeAutospacing="0" w:after="0" w:afterAutospacing="0" w:line="240" w:lineRule="exact"/>
                                      <w:jc w:val="center"/>
                                    </w:pPr>
                                    <w:r w:rsidRPr="00AE430E">
                                      <w:rPr>
                                        <w:rFonts w:eastAsia="ＭＳ 明朝" w:hAnsi="ＭＳ 明朝" w:cs="Times New Roman" w:hint="eastAsia"/>
                                        <w:kern w:val="2"/>
                                        <w:sz w:val="22"/>
                                        <w:szCs w:val="22"/>
                                      </w:rPr>
                                      <w:t>被災</w:t>
                                    </w:r>
                                  </w:p>
                                  <w:p w14:paraId="279430E0" w14:textId="77777777" w:rsidR="006A5267" w:rsidRPr="00AE430E" w:rsidRDefault="006A5267" w:rsidP="0021710E">
                                    <w:pPr>
                                      <w:pStyle w:val="Web"/>
                                      <w:spacing w:before="0" w:beforeAutospacing="0" w:after="0" w:afterAutospacing="0" w:line="240" w:lineRule="exact"/>
                                      <w:jc w:val="center"/>
                                    </w:pPr>
                                    <w:r w:rsidRPr="00AE430E">
                                      <w:rPr>
                                        <w:rFonts w:eastAsia="ＭＳ 明朝" w:hAnsi="ＭＳ 明朝" w:cs="Times New Roman" w:hint="eastAsia"/>
                                        <w:kern w:val="2"/>
                                        <w:sz w:val="22"/>
                                        <w:szCs w:val="22"/>
                                      </w:rPr>
                                      <w:t>市町村</w:t>
                                    </w:r>
                                  </w:p>
                                  <w:p w14:paraId="7B23BC0A" w14:textId="77777777" w:rsidR="006A5267" w:rsidRPr="00AE430E" w:rsidRDefault="006A5267" w:rsidP="0021710E">
                                    <w:pPr>
                                      <w:pStyle w:val="Web"/>
                                      <w:spacing w:before="0" w:beforeAutospacing="0" w:after="0" w:afterAutospacing="0" w:line="240" w:lineRule="exact"/>
                                      <w:jc w:val="center"/>
                                    </w:pPr>
                                    <w:r w:rsidRPr="00AE430E">
                                      <w:rPr>
                                        <w:rFonts w:ascii="ＭＳ 明朝" w:hAnsi="ＭＳ 明朝" w:cs="Times New Roman" w:hint="eastAsia"/>
                                        <w:kern w:val="2"/>
                                        <w:sz w:val="22"/>
                                        <w:szCs w:val="22"/>
                                      </w:rPr>
                                      <w:t>(</w:t>
                                    </w:r>
                                    <w:r w:rsidRPr="00AE430E">
                                      <w:rPr>
                                        <w:rFonts w:eastAsia="ＭＳ 明朝" w:hAnsi="ＭＳ 明朝" w:cs="Times New Roman" w:hint="eastAsia"/>
                                        <w:kern w:val="2"/>
                                        <w:sz w:val="22"/>
                                        <w:szCs w:val="22"/>
                                      </w:rPr>
                                      <w:t>危険度判定実施本部</w:t>
                                    </w:r>
                                    <w:r w:rsidRPr="00AE430E">
                                      <w:rPr>
                                        <w:rFonts w:eastAsia="ＭＳ 明朝" w:cs="Times New Roman" w:hint="eastAsia"/>
                                        <w:kern w:val="2"/>
                                        <w:sz w:val="22"/>
                                        <w:szCs w:val="22"/>
                                      </w:rPr>
                                      <w:t>)</w:t>
                                    </w:r>
                                  </w:p>
                                </w:txbxContent>
                              </wps:txbx>
                              <wps:bodyPr rot="0" spcFirstLastPara="0" vert="horz" wrap="square" lIns="91440" tIns="45720" rIns="91440" bIns="45720" numCol="1" spcCol="0" rtlCol="0" fromWordArt="0" anchor="ctr" anchorCtr="0" forceAA="0" compatLnSpc="1">
                                <a:prstTxWarp prst="textNoShape">
                                  <a:avLst/>
                                </a:prstTxWarp>
                                <a:noAutofit/>
                              </wps:bodyPr>
                            </wps:wsp>
                            <wps:wsp>
                              <wps:cNvPr id="1636" name="フローチャート : 複数書類 7"/>
                              <wps:cNvSpPr/>
                              <wps:spPr>
                                <a:xfrm>
                                  <a:off x="4425610" y="1167425"/>
                                  <a:ext cx="1463675" cy="1295400"/>
                                </a:xfrm>
                                <a:prstGeom prst="parallelogram">
                                  <a:avLst/>
                                </a:prstGeom>
                                <a:ln w="9525"/>
                              </wps:spPr>
                              <wps:style>
                                <a:lnRef idx="2">
                                  <a:schemeClr val="dk1"/>
                                </a:lnRef>
                                <a:fillRef idx="1">
                                  <a:schemeClr val="lt1"/>
                                </a:fillRef>
                                <a:effectRef idx="0">
                                  <a:schemeClr val="dk1"/>
                                </a:effectRef>
                                <a:fontRef idx="minor">
                                  <a:schemeClr val="dk1"/>
                                </a:fontRef>
                              </wps:style>
                              <wps:txbx>
                                <w:txbxContent>
                                  <w:p w14:paraId="6C7033B0" w14:textId="77777777" w:rsidR="006A5267" w:rsidRPr="00AE430E" w:rsidRDefault="006A5267" w:rsidP="0021710E">
                                    <w:pPr>
                                      <w:pStyle w:val="Web"/>
                                      <w:spacing w:before="0" w:beforeAutospacing="0" w:after="0" w:afterAutospacing="0"/>
                                      <w:jc w:val="center"/>
                                    </w:pPr>
                                    <w:r w:rsidRPr="00AE430E">
                                      <w:rPr>
                                        <w:rFonts w:eastAsia="ＭＳ 明朝" w:hAnsi="ＭＳ 明朝" w:cs="Times New Roman" w:hint="eastAsia"/>
                                        <w:kern w:val="2"/>
                                        <w:sz w:val="22"/>
                                        <w:szCs w:val="22"/>
                                      </w:rPr>
                                      <w:t>府内</w:t>
                                    </w:r>
                                  </w:p>
                                  <w:p w14:paraId="277BE711" w14:textId="77777777" w:rsidR="006A5267" w:rsidRPr="00AE430E" w:rsidRDefault="006A5267" w:rsidP="0021710E">
                                    <w:pPr>
                                      <w:pStyle w:val="Web"/>
                                      <w:spacing w:before="0" w:beforeAutospacing="0" w:after="0" w:afterAutospacing="0"/>
                                      <w:jc w:val="center"/>
                                    </w:pPr>
                                    <w:r w:rsidRPr="00AE430E">
                                      <w:rPr>
                                        <w:rFonts w:eastAsia="ＭＳ 明朝" w:hAnsi="ＭＳ 明朝" w:cs="Times New Roman" w:hint="eastAsia"/>
                                        <w:kern w:val="2"/>
                                        <w:sz w:val="22"/>
                                        <w:szCs w:val="22"/>
                                      </w:rPr>
                                      <w:t>市町村</w:t>
                                    </w:r>
                                  </w:p>
                                  <w:p w14:paraId="575C4207" w14:textId="77777777" w:rsidR="006A5267" w:rsidRPr="00AE430E" w:rsidRDefault="006A5267" w:rsidP="0021710E">
                                    <w:pPr>
                                      <w:pStyle w:val="Web"/>
                                      <w:spacing w:before="0" w:beforeAutospacing="0" w:after="0" w:afterAutospacing="0"/>
                                      <w:jc w:val="center"/>
                                    </w:pPr>
                                    <w:r w:rsidRPr="00AE430E">
                                      <w:rPr>
                                        <w:rFonts w:eastAsia="ＭＳ 明朝" w:hAnsi="ＭＳ 明朝" w:cs="Times New Roman" w:hint="eastAsia"/>
                                        <w:kern w:val="2"/>
                                        <w:sz w:val="22"/>
                                        <w:szCs w:val="22"/>
                                      </w:rPr>
                                      <w:t>（応援）</w:t>
                                    </w:r>
                                  </w:p>
                                </w:txbxContent>
                              </wps:txbx>
                              <wps:bodyPr rot="0" spcFirstLastPara="0" vert="horz" wrap="square" lIns="91440" tIns="45720" rIns="91440" bIns="45720" numCol="1" spcCol="0" rtlCol="0" fromWordArt="0" anchor="ctr" anchorCtr="0" forceAA="0" compatLnSpc="1">
                                <a:prstTxWarp prst="textNoShape">
                                  <a:avLst/>
                                </a:prstTxWarp>
                                <a:noAutofit/>
                              </wps:bodyPr>
                            </wps:wsp>
                            <wps:wsp>
                              <wps:cNvPr id="1637" name="フローチャート : 複数書類 14"/>
                              <wps:cNvSpPr/>
                              <wps:spPr>
                                <a:xfrm>
                                  <a:off x="4170340" y="180000"/>
                                  <a:ext cx="1618615" cy="509905"/>
                                </a:xfrm>
                                <a:prstGeom prst="rect">
                                  <a:avLst/>
                                </a:prstGeom>
                                <a:ln w="9525"/>
                              </wps:spPr>
                              <wps:style>
                                <a:lnRef idx="2">
                                  <a:schemeClr val="dk1"/>
                                </a:lnRef>
                                <a:fillRef idx="1">
                                  <a:schemeClr val="lt1"/>
                                </a:fillRef>
                                <a:effectRef idx="0">
                                  <a:schemeClr val="dk1"/>
                                </a:effectRef>
                                <a:fontRef idx="minor">
                                  <a:schemeClr val="dk1"/>
                                </a:fontRef>
                              </wps:style>
                              <wps:txbx>
                                <w:txbxContent>
                                  <w:p w14:paraId="741962E1" w14:textId="77777777" w:rsidR="006A5267" w:rsidRPr="00AE430E" w:rsidRDefault="006A5267" w:rsidP="0021710E">
                                    <w:pPr>
                                      <w:pStyle w:val="Web"/>
                                      <w:spacing w:before="0" w:beforeAutospacing="0" w:after="0" w:afterAutospacing="0"/>
                                      <w:jc w:val="center"/>
                                    </w:pPr>
                                    <w:r w:rsidRPr="00AE430E">
                                      <w:rPr>
                                        <w:rFonts w:ascii="ＭＳ 明朝" w:hAnsi="ＭＳ 明朝" w:cs="Times New Roman" w:hint="eastAsia"/>
                                        <w:kern w:val="2"/>
                                        <w:sz w:val="22"/>
                                        <w:szCs w:val="22"/>
                                      </w:rPr>
                                      <w:t>4</w:t>
                                    </w:r>
                                    <w:r w:rsidRPr="00AE430E">
                                      <w:rPr>
                                        <w:rFonts w:eastAsia="ＭＳ 明朝" w:hAnsi="ＭＳ 明朝" w:cs="Times New Roman" w:hint="eastAsia"/>
                                        <w:kern w:val="2"/>
                                        <w:sz w:val="22"/>
                                        <w:szCs w:val="22"/>
                                      </w:rPr>
                                      <w:t>団体以外の府</w:t>
                                    </w:r>
                                  </w:p>
                                  <w:p w14:paraId="0CF34821" w14:textId="77777777" w:rsidR="006A5267" w:rsidRPr="00AE430E" w:rsidRDefault="006A5267" w:rsidP="0021710E">
                                    <w:pPr>
                                      <w:pStyle w:val="Web"/>
                                      <w:spacing w:before="0" w:beforeAutospacing="0" w:after="0" w:afterAutospacing="0"/>
                                      <w:jc w:val="center"/>
                                    </w:pPr>
                                    <w:r w:rsidRPr="00AE430E">
                                      <w:rPr>
                                        <w:rFonts w:eastAsia="ＭＳ 明朝" w:hAnsi="ＭＳ 明朝" w:cs="Times New Roman" w:hint="eastAsia"/>
                                        <w:kern w:val="2"/>
                                        <w:sz w:val="22"/>
                                        <w:szCs w:val="22"/>
                                      </w:rPr>
                                      <w:t>登録民間判定士</w:t>
                                    </w:r>
                                  </w:p>
                                </w:txbxContent>
                              </wps:txbx>
                              <wps:bodyPr rot="0" spcFirstLastPara="0" vert="horz" wrap="square" lIns="91440" tIns="45720" rIns="91440" bIns="45720" numCol="1" spcCol="0" rtlCol="0" fromWordArt="0" anchor="ctr" anchorCtr="0" forceAA="0" compatLnSpc="1">
                                <a:prstTxWarp prst="textNoShape">
                                  <a:avLst/>
                                </a:prstTxWarp>
                                <a:noAutofit/>
                              </wps:bodyPr>
                            </wps:wsp>
                            <wps:wsp>
                              <wps:cNvPr id="1638" name="フローチャート : 複数書類 112"/>
                              <wps:cNvSpPr/>
                              <wps:spPr>
                                <a:xfrm>
                                  <a:off x="494960" y="180000"/>
                                  <a:ext cx="1618615" cy="397510"/>
                                </a:xfrm>
                                <a:prstGeom prst="rect">
                                  <a:avLst/>
                                </a:prstGeom>
                                <a:ln w="9525"/>
                              </wps:spPr>
                              <wps:style>
                                <a:lnRef idx="2">
                                  <a:schemeClr val="dk1"/>
                                </a:lnRef>
                                <a:fillRef idx="1">
                                  <a:schemeClr val="lt1"/>
                                </a:fillRef>
                                <a:effectRef idx="0">
                                  <a:schemeClr val="dk1"/>
                                </a:effectRef>
                                <a:fontRef idx="minor">
                                  <a:schemeClr val="dk1"/>
                                </a:fontRef>
                              </wps:style>
                              <wps:txbx>
                                <w:txbxContent>
                                  <w:p w14:paraId="0E25A06C" w14:textId="77777777" w:rsidR="006A5267" w:rsidRPr="00AE430E" w:rsidRDefault="006A5267" w:rsidP="0021710E">
                                    <w:pPr>
                                      <w:pStyle w:val="Web"/>
                                      <w:spacing w:before="0" w:beforeAutospacing="0" w:after="0" w:afterAutospacing="0"/>
                                      <w:jc w:val="center"/>
                                    </w:pPr>
                                    <w:r w:rsidRPr="00AE430E">
                                      <w:rPr>
                                        <w:rFonts w:eastAsia="ＭＳ 明朝" w:hAnsi="ＭＳ 明朝" w:cs="Times New Roman" w:hint="eastAsia"/>
                                        <w:kern w:val="2"/>
                                        <w:sz w:val="22"/>
                                        <w:szCs w:val="22"/>
                                      </w:rPr>
                                      <w:t>協定締結４団体</w:t>
                                    </w:r>
                                  </w:p>
                                </w:txbxContent>
                              </wps:txbx>
                              <wps:bodyPr rot="0" spcFirstLastPara="0" vert="horz" wrap="square" lIns="91440" tIns="45720" rIns="91440" bIns="45720" numCol="1" spcCol="0" rtlCol="0" fromWordArt="0" anchor="ctr" anchorCtr="0" forceAA="0" compatLnSpc="1">
                                <a:prstTxWarp prst="textNoShape">
                                  <a:avLst/>
                                </a:prstTxWarp>
                                <a:noAutofit/>
                              </wps:bodyPr>
                            </wps:wsp>
                            <wps:wsp>
                              <wps:cNvPr id="1639" name="直線矢印コネクタ 1639"/>
                              <wps:cNvCnPr/>
                              <wps:spPr>
                                <a:xfrm rot="10800000" flipH="1" flipV="1">
                                  <a:off x="2090080" y="601640"/>
                                  <a:ext cx="501650" cy="768350"/>
                                </a:xfrm>
                                <a:prstGeom prst="straightConnector1">
                                  <a:avLst/>
                                </a:prstGeom>
                                <a:ln>
                                  <a:headEnd type="arrow"/>
                                  <a:tailEnd type="arrow"/>
                                </a:ln>
                              </wps:spPr>
                              <wps:style>
                                <a:lnRef idx="1">
                                  <a:schemeClr val="dk1"/>
                                </a:lnRef>
                                <a:fillRef idx="0">
                                  <a:schemeClr val="dk1"/>
                                </a:fillRef>
                                <a:effectRef idx="0">
                                  <a:schemeClr val="dk1"/>
                                </a:effectRef>
                                <a:fontRef idx="minor">
                                  <a:schemeClr val="tx1"/>
                                </a:fontRef>
                              </wps:style>
                              <wps:bodyPr/>
                            </wps:wsp>
                            <wps:wsp>
                              <wps:cNvPr id="1640" name="テキスト ボックス 32"/>
                              <wps:cNvSpPr txBox="1"/>
                              <wps:spPr>
                                <a:xfrm>
                                  <a:off x="1053760" y="692445"/>
                                  <a:ext cx="1005840" cy="346075"/>
                                </a:xfrm>
                                <a:prstGeom prst="rect">
                                  <a:avLst/>
                                </a:prstGeom>
                                <a:solidFill>
                                  <a:sysClr val="window" lastClr="FFFFFF"/>
                                </a:solidFill>
                                <a:ln w="6350">
                                  <a:noFill/>
                                </a:ln>
                                <a:effectLst/>
                              </wps:spPr>
                              <wps:txbx>
                                <w:txbxContent>
                                  <w:p w14:paraId="0349B5DC" w14:textId="77777777" w:rsidR="006A5267" w:rsidRPr="00AE430E" w:rsidRDefault="006A5267" w:rsidP="0021710E">
                                    <w:pPr>
                                      <w:pStyle w:val="Web"/>
                                      <w:spacing w:before="0" w:beforeAutospacing="0" w:after="0" w:afterAutospacing="0" w:line="200" w:lineRule="exact"/>
                                    </w:pPr>
                                    <w:r w:rsidRPr="00AE430E">
                                      <w:rPr>
                                        <w:rFonts w:ascii="Century" w:eastAsia="ＭＳ 明朝" w:hAnsi="ＭＳ 明朝" w:cs="Times New Roman" w:hint="eastAsia"/>
                                        <w:kern w:val="2"/>
                                        <w:sz w:val="18"/>
                                        <w:szCs w:val="18"/>
                                      </w:rPr>
                                      <w:t>○府・市町村間で調整後、参集</w:t>
                                    </w:r>
                                  </w:p>
                                </w:txbxContent>
                              </wps:txbx>
                              <wps:bodyPr rot="0" spcFirstLastPara="0" vert="horz" wrap="square" lIns="91440" tIns="45720" rIns="91440" bIns="45720" numCol="1" spcCol="0" rtlCol="0" fromWordArt="0" anchor="t" anchorCtr="0" forceAA="0" compatLnSpc="1">
                                <a:prstTxWarp prst="textNoShape">
                                  <a:avLst/>
                                </a:prstTxWarp>
                                <a:noAutofit/>
                              </wps:bodyPr>
                            </wps:wsp>
                            <wps:wsp>
                              <wps:cNvPr id="1641" name="フローチャート : 書類 15"/>
                              <wps:cNvSpPr/>
                              <wps:spPr>
                                <a:xfrm>
                                  <a:off x="318430" y="4020480"/>
                                  <a:ext cx="967105" cy="344805"/>
                                </a:xfrm>
                                <a:prstGeom prst="rect">
                                  <a:avLst/>
                                </a:prstGeom>
                                <a:ln w="9525"/>
                              </wps:spPr>
                              <wps:style>
                                <a:lnRef idx="2">
                                  <a:schemeClr val="dk1"/>
                                </a:lnRef>
                                <a:fillRef idx="1">
                                  <a:schemeClr val="lt1"/>
                                </a:fillRef>
                                <a:effectRef idx="0">
                                  <a:schemeClr val="dk1"/>
                                </a:effectRef>
                                <a:fontRef idx="minor">
                                  <a:schemeClr val="dk1"/>
                                </a:fontRef>
                              </wps:style>
                              <wps:txbx>
                                <w:txbxContent>
                                  <w:p w14:paraId="4B5924F4" w14:textId="77777777" w:rsidR="006A5267" w:rsidRPr="00AE430E" w:rsidRDefault="006A5267" w:rsidP="0021710E">
                                    <w:pPr>
                                      <w:pStyle w:val="Web"/>
                                      <w:spacing w:before="0" w:beforeAutospacing="0" w:after="0" w:afterAutospacing="0"/>
                                      <w:jc w:val="center"/>
                                    </w:pPr>
                                    <w:r w:rsidRPr="00AE430E">
                                      <w:rPr>
                                        <w:rFonts w:eastAsia="ＭＳ 明朝" w:hAnsi="ＭＳ 明朝" w:cs="Times New Roman" w:hint="eastAsia"/>
                                        <w:kern w:val="2"/>
                                        <w:sz w:val="21"/>
                                        <w:szCs w:val="21"/>
                                      </w:rPr>
                                      <w:t>応援府県</w:t>
                                    </w:r>
                                  </w:p>
                                </w:txbxContent>
                              </wps:txbx>
                              <wps:bodyPr rot="0" spcFirstLastPara="0" vert="horz" wrap="square" lIns="91440" tIns="45720" rIns="91440" bIns="45720" numCol="1" spcCol="0" rtlCol="0" fromWordArt="0" anchor="ctr" anchorCtr="0" forceAA="0" compatLnSpc="1">
                                <a:prstTxWarp prst="textNoShape">
                                  <a:avLst/>
                                </a:prstTxWarp>
                                <a:noAutofit/>
                              </wps:bodyPr>
                            </wps:wsp>
                            <wps:wsp>
                              <wps:cNvPr id="1642" name="フローチャート : 書類 17"/>
                              <wps:cNvSpPr/>
                              <wps:spPr>
                                <a:xfrm>
                                  <a:off x="1623990" y="4021750"/>
                                  <a:ext cx="967105" cy="344805"/>
                                </a:xfrm>
                                <a:prstGeom prst="rect">
                                  <a:avLst/>
                                </a:prstGeom>
                                <a:ln w="9525"/>
                              </wps:spPr>
                              <wps:style>
                                <a:lnRef idx="2">
                                  <a:schemeClr val="dk1"/>
                                </a:lnRef>
                                <a:fillRef idx="1">
                                  <a:schemeClr val="lt1"/>
                                </a:fillRef>
                                <a:effectRef idx="0">
                                  <a:schemeClr val="dk1"/>
                                </a:effectRef>
                                <a:fontRef idx="minor">
                                  <a:schemeClr val="dk1"/>
                                </a:fontRef>
                              </wps:style>
                              <wps:txbx>
                                <w:txbxContent>
                                  <w:p w14:paraId="28B30B96" w14:textId="77777777" w:rsidR="006A5267" w:rsidRPr="00AE430E" w:rsidRDefault="006A5267" w:rsidP="0021710E">
                                    <w:pPr>
                                      <w:pStyle w:val="Web"/>
                                      <w:spacing w:before="0" w:beforeAutospacing="0" w:after="0" w:afterAutospacing="0" w:line="240" w:lineRule="exact"/>
                                      <w:jc w:val="center"/>
                                    </w:pPr>
                                    <w:r w:rsidRPr="00AE430E">
                                      <w:rPr>
                                        <w:rFonts w:eastAsia="ＭＳ 明朝" w:hAnsi="ＭＳ 明朝" w:cs="Times New Roman" w:hint="eastAsia"/>
                                        <w:kern w:val="2"/>
                                        <w:sz w:val="21"/>
                                        <w:szCs w:val="21"/>
                                      </w:rPr>
                                      <w:t>国土交通省</w:t>
                                    </w:r>
                                  </w:p>
                                </w:txbxContent>
                              </wps:txbx>
                              <wps:bodyPr rot="0" spcFirstLastPara="0" vert="horz" wrap="square" lIns="91440" tIns="45720" rIns="91440" bIns="45720" numCol="1" spcCol="0" rtlCol="0" fromWordArt="0" anchor="ctr" anchorCtr="0" forceAA="0" compatLnSpc="1">
                                <a:prstTxWarp prst="textNoShape">
                                  <a:avLst/>
                                </a:prstTxWarp>
                                <a:noAutofit/>
                              </wps:bodyPr>
                            </wps:wsp>
                            <wps:wsp>
                              <wps:cNvPr id="1643" name="フローチャート : 書類 16"/>
                              <wps:cNvSpPr/>
                              <wps:spPr>
                                <a:xfrm>
                                  <a:off x="856910" y="3348650"/>
                                  <a:ext cx="1209040" cy="344805"/>
                                </a:xfrm>
                                <a:prstGeom prst="rect">
                                  <a:avLst/>
                                </a:prstGeom>
                                <a:ln w="9525"/>
                              </wps:spPr>
                              <wps:style>
                                <a:lnRef idx="2">
                                  <a:schemeClr val="dk1"/>
                                </a:lnRef>
                                <a:fillRef idx="1">
                                  <a:schemeClr val="lt1"/>
                                </a:fillRef>
                                <a:effectRef idx="0">
                                  <a:schemeClr val="dk1"/>
                                </a:effectRef>
                                <a:fontRef idx="minor">
                                  <a:schemeClr val="dk1"/>
                                </a:fontRef>
                              </wps:style>
                              <wps:txbx>
                                <w:txbxContent>
                                  <w:p w14:paraId="0CACA5FB" w14:textId="77777777" w:rsidR="006A5267" w:rsidRPr="00AE430E" w:rsidRDefault="006A5267" w:rsidP="0021710E">
                                    <w:pPr>
                                      <w:pStyle w:val="Web"/>
                                      <w:spacing w:before="0" w:beforeAutospacing="0" w:after="0" w:afterAutospacing="0" w:line="240" w:lineRule="exact"/>
                                      <w:jc w:val="center"/>
                                    </w:pPr>
                                    <w:r w:rsidRPr="00AE430E">
                                      <w:rPr>
                                        <w:rFonts w:eastAsia="ＭＳ 明朝" w:hAnsi="ＭＳ 明朝" w:cs="Times New Roman" w:hint="eastAsia"/>
                                        <w:kern w:val="2"/>
                                        <w:sz w:val="21"/>
                                        <w:szCs w:val="21"/>
                                      </w:rPr>
                                      <w:t>広域支援本部</w:t>
                                    </w:r>
                                  </w:p>
                                </w:txbxContent>
                              </wps:txbx>
                              <wps:bodyPr rot="0" spcFirstLastPara="0" vert="horz" wrap="square" lIns="91440" tIns="45720" rIns="91440" bIns="45720" numCol="1" spcCol="0" rtlCol="0" fromWordArt="0" anchor="ctr" anchorCtr="0" forceAA="0" compatLnSpc="1">
                                <a:prstTxWarp prst="textNoShape">
                                  <a:avLst/>
                                </a:prstTxWarp>
                                <a:noAutofit/>
                              </wps:bodyPr>
                            </wps:wsp>
                            <wps:wsp>
                              <wps:cNvPr id="1644" name="直線矢印コネクタ 1644"/>
                              <wps:cNvCnPr/>
                              <wps:spPr>
                                <a:xfrm rot="10800000" flipV="1">
                                  <a:off x="3594395" y="693080"/>
                                  <a:ext cx="551815" cy="676910"/>
                                </a:xfrm>
                                <a:prstGeom prst="straightConnector1">
                                  <a:avLst/>
                                </a:prstGeom>
                                <a:ln>
                                  <a:headEnd type="arrow"/>
                                  <a:tailEnd type="arrow"/>
                                </a:ln>
                              </wps:spPr>
                              <wps:style>
                                <a:lnRef idx="1">
                                  <a:schemeClr val="dk1"/>
                                </a:lnRef>
                                <a:fillRef idx="0">
                                  <a:schemeClr val="dk1"/>
                                </a:fillRef>
                                <a:effectRef idx="0">
                                  <a:schemeClr val="dk1"/>
                                </a:effectRef>
                                <a:fontRef idx="minor">
                                  <a:schemeClr val="tx1"/>
                                </a:fontRef>
                              </wps:style>
                              <wps:bodyPr/>
                            </wps:wsp>
                            <wps:wsp>
                              <wps:cNvPr id="1645" name="直線矢印コネクタ 1645"/>
                              <wps:cNvCnPr/>
                              <wps:spPr>
                                <a:xfrm rot="10800000" flipH="1" flipV="1">
                                  <a:off x="1084875" y="573065"/>
                                  <a:ext cx="0" cy="589915"/>
                                </a:xfrm>
                                <a:prstGeom prst="straightConnector1">
                                  <a:avLst/>
                                </a:prstGeom>
                                <a:ln>
                                  <a:headEnd type="none"/>
                                  <a:tailEnd type="arrow"/>
                                </a:ln>
                              </wps:spPr>
                              <wps:style>
                                <a:lnRef idx="1">
                                  <a:schemeClr val="dk1"/>
                                </a:lnRef>
                                <a:fillRef idx="0">
                                  <a:schemeClr val="dk1"/>
                                </a:fillRef>
                                <a:effectRef idx="0">
                                  <a:schemeClr val="dk1"/>
                                </a:effectRef>
                                <a:fontRef idx="minor">
                                  <a:schemeClr val="tx1"/>
                                </a:fontRef>
                              </wps:style>
                              <wps:bodyPr/>
                            </wps:wsp>
                            <wps:wsp>
                              <wps:cNvPr id="1646" name="直線矢印コネクタ 1646"/>
                              <wps:cNvCnPr/>
                              <wps:spPr>
                                <a:xfrm rot="10800000" flipH="1" flipV="1">
                                  <a:off x="1536360" y="2025310"/>
                                  <a:ext cx="1036320" cy="0"/>
                                </a:xfrm>
                                <a:prstGeom prst="straightConnector1">
                                  <a:avLst/>
                                </a:prstGeom>
                                <a:ln>
                                  <a:headEnd type="arrow"/>
                                  <a:tailEnd type="arrow"/>
                                </a:ln>
                              </wps:spPr>
                              <wps:style>
                                <a:lnRef idx="1">
                                  <a:schemeClr val="dk1"/>
                                </a:lnRef>
                                <a:fillRef idx="0">
                                  <a:schemeClr val="dk1"/>
                                </a:fillRef>
                                <a:effectRef idx="0">
                                  <a:schemeClr val="dk1"/>
                                </a:effectRef>
                                <a:fontRef idx="minor">
                                  <a:schemeClr val="tx1"/>
                                </a:fontRef>
                              </wps:style>
                              <wps:bodyPr/>
                            </wps:wsp>
                            <wps:wsp>
                              <wps:cNvPr id="1647" name="直線矢印コネクタ 1647"/>
                              <wps:cNvCnPr/>
                              <wps:spPr>
                                <a:xfrm rot="10800000" flipH="1" flipV="1">
                                  <a:off x="3636940" y="2024675"/>
                                  <a:ext cx="863600" cy="0"/>
                                </a:xfrm>
                                <a:prstGeom prst="straightConnector1">
                                  <a:avLst/>
                                </a:prstGeom>
                                <a:ln>
                                  <a:headEnd type="arrow"/>
                                  <a:tailEnd type="arrow"/>
                                </a:ln>
                              </wps:spPr>
                              <wps:style>
                                <a:lnRef idx="1">
                                  <a:schemeClr val="dk1"/>
                                </a:lnRef>
                                <a:fillRef idx="0">
                                  <a:schemeClr val="dk1"/>
                                </a:fillRef>
                                <a:effectRef idx="0">
                                  <a:schemeClr val="dk1"/>
                                </a:effectRef>
                                <a:fontRef idx="minor">
                                  <a:schemeClr val="tx1"/>
                                </a:fontRef>
                              </wps:style>
                              <wps:bodyPr/>
                            </wps:wsp>
                            <wps:wsp>
                              <wps:cNvPr id="1648" name="テキスト ボックス 21"/>
                              <wps:cNvSpPr txBox="1"/>
                              <wps:spPr>
                                <a:xfrm>
                                  <a:off x="1577620" y="1536359"/>
                                  <a:ext cx="941705" cy="488951"/>
                                </a:xfrm>
                                <a:prstGeom prst="rect">
                                  <a:avLst/>
                                </a:prstGeom>
                                <a:noFill/>
                                <a:ln w="6350">
                                  <a:noFill/>
                                </a:ln>
                                <a:effectLst/>
                              </wps:spPr>
                              <wps:txbx>
                                <w:txbxContent>
                                  <w:p w14:paraId="768F5A60" w14:textId="77777777" w:rsidR="006A5267" w:rsidRPr="00AE430E" w:rsidRDefault="006A5267" w:rsidP="0021710E">
                                    <w:pPr>
                                      <w:pStyle w:val="Web"/>
                                      <w:spacing w:before="0" w:beforeAutospacing="0" w:after="0" w:afterAutospacing="0" w:line="200" w:lineRule="exact"/>
                                    </w:pPr>
                                    <w:r w:rsidRPr="00AE430E">
                                      <w:rPr>
                                        <w:rFonts w:ascii="ＭＳ 明朝" w:hAnsi="ＭＳ 明朝" w:cs="Times New Roman" w:hint="eastAsia"/>
                                        <w:kern w:val="2"/>
                                        <w:sz w:val="18"/>
                                        <w:szCs w:val="18"/>
                                      </w:rPr>
                                      <w:t>1.</w:t>
                                    </w:r>
                                    <w:r w:rsidRPr="00AE430E">
                                      <w:rPr>
                                        <w:rFonts w:ascii="Century" w:eastAsia="ＭＳ 明朝" w:hAnsi="ＭＳ 明朝" w:cs="Times New Roman" w:hint="eastAsia"/>
                                        <w:kern w:val="2"/>
                                        <w:sz w:val="18"/>
                                        <w:szCs w:val="18"/>
                                      </w:rPr>
                                      <w:t>○応援要請</w:t>
                                    </w:r>
                                  </w:p>
                                  <w:p w14:paraId="748B1C1E" w14:textId="77777777" w:rsidR="006A5267" w:rsidRPr="00AE430E" w:rsidRDefault="006A5267" w:rsidP="0021710E">
                                    <w:pPr>
                                      <w:pStyle w:val="Web"/>
                                      <w:spacing w:before="0" w:beforeAutospacing="0" w:after="0" w:afterAutospacing="0" w:line="200" w:lineRule="exact"/>
                                    </w:pPr>
                                    <w:r w:rsidRPr="00AE430E">
                                      <w:rPr>
                                        <w:rFonts w:ascii="ＭＳ 明朝" w:hAnsi="ＭＳ 明朝" w:cs="Times New Roman" w:hint="eastAsia"/>
                                        <w:kern w:val="2"/>
                                        <w:sz w:val="18"/>
                                        <w:szCs w:val="18"/>
                                      </w:rPr>
                                      <w:t>2.</w:t>
                                    </w:r>
                                    <w:r w:rsidRPr="00AE430E">
                                      <w:rPr>
                                        <w:rFonts w:ascii="Century" w:eastAsia="ＭＳ 明朝" w:hAnsi="ＭＳ 明朝" w:cs="Times New Roman" w:hint="eastAsia"/>
                                        <w:kern w:val="2"/>
                                        <w:sz w:val="18"/>
                                        <w:szCs w:val="18"/>
                                      </w:rPr>
                                      <w:t>●回答</w:t>
                                    </w:r>
                                  </w:p>
                                  <w:p w14:paraId="17C2A5DC" w14:textId="77777777" w:rsidR="006A5267" w:rsidRPr="00AE430E" w:rsidRDefault="006A5267" w:rsidP="0021710E">
                                    <w:pPr>
                                      <w:pStyle w:val="Web"/>
                                      <w:spacing w:before="0" w:beforeAutospacing="0" w:after="0" w:afterAutospacing="0" w:line="200" w:lineRule="exact"/>
                                    </w:pPr>
                                    <w:r w:rsidRPr="00AE430E">
                                      <w:rPr>
                                        <w:rFonts w:ascii="ＭＳ 明朝" w:hAnsi="ＭＳ 明朝" w:cs="Times New Roman" w:hint="eastAsia"/>
                                        <w:kern w:val="2"/>
                                        <w:sz w:val="18"/>
                                        <w:szCs w:val="18"/>
                                      </w:rPr>
                                      <w:t>3.</w:t>
                                    </w:r>
                                    <w:r w:rsidRPr="00AE430E">
                                      <w:rPr>
                                        <w:rFonts w:ascii="Century" w:eastAsia="ＭＳ 明朝" w:hAnsi="ＭＳ 明朝" w:cs="Times New Roman" w:hint="eastAsia"/>
                                        <w:kern w:val="2"/>
                                        <w:sz w:val="18"/>
                                        <w:szCs w:val="18"/>
                                      </w:rPr>
                                      <w:t>○決定通知</w:t>
                                    </w:r>
                                  </w:p>
                                </w:txbxContent>
                              </wps:txbx>
                              <wps:bodyPr rot="0" spcFirstLastPara="0" vert="horz" wrap="square" lIns="91440" tIns="45720" rIns="91440" bIns="45720" numCol="1" spcCol="0" rtlCol="0" fromWordArt="0" anchor="t" anchorCtr="0" forceAA="0" compatLnSpc="1">
                                <a:prstTxWarp prst="textNoShape">
                                  <a:avLst/>
                                </a:prstTxWarp>
                                <a:noAutofit/>
                              </wps:bodyPr>
                            </wps:wsp>
                            <wps:wsp>
                              <wps:cNvPr id="1649" name="テキスト ボックス 23"/>
                              <wps:cNvSpPr txBox="1"/>
                              <wps:spPr>
                                <a:xfrm>
                                  <a:off x="3717550" y="1530009"/>
                                  <a:ext cx="895985" cy="495301"/>
                                </a:xfrm>
                                <a:prstGeom prst="rect">
                                  <a:avLst/>
                                </a:prstGeom>
                                <a:noFill/>
                                <a:ln w="6350">
                                  <a:noFill/>
                                </a:ln>
                                <a:effectLst/>
                              </wps:spPr>
                              <wps:txbx>
                                <w:txbxContent>
                                  <w:p w14:paraId="392701D0" w14:textId="77777777" w:rsidR="006A5267" w:rsidRPr="00AE430E" w:rsidRDefault="006A5267" w:rsidP="0021710E">
                                    <w:pPr>
                                      <w:pStyle w:val="Web"/>
                                      <w:spacing w:before="0" w:beforeAutospacing="0" w:after="0" w:afterAutospacing="0" w:line="200" w:lineRule="exact"/>
                                    </w:pPr>
                                    <w:r w:rsidRPr="00AE430E">
                                      <w:rPr>
                                        <w:rFonts w:ascii="ＭＳ 明朝" w:hAnsi="ＭＳ 明朝" w:cs="Times New Roman" w:hint="eastAsia"/>
                                        <w:kern w:val="2"/>
                                        <w:sz w:val="18"/>
                                        <w:szCs w:val="18"/>
                                      </w:rPr>
                                      <w:t>1.</w:t>
                                    </w:r>
                                    <w:r w:rsidRPr="00AE430E">
                                      <w:rPr>
                                        <w:rFonts w:ascii="Century" w:eastAsia="ＭＳ 明朝" w:hAnsi="ＭＳ 明朝" w:cs="Times New Roman" w:hint="eastAsia"/>
                                        <w:kern w:val="2"/>
                                        <w:sz w:val="18"/>
                                        <w:szCs w:val="18"/>
                                      </w:rPr>
                                      <w:t>●参集要請</w:t>
                                    </w:r>
                                  </w:p>
                                  <w:p w14:paraId="287D5ECF" w14:textId="77777777" w:rsidR="006A5267" w:rsidRPr="00AE430E" w:rsidRDefault="006A5267" w:rsidP="0021710E">
                                    <w:pPr>
                                      <w:pStyle w:val="Web"/>
                                      <w:spacing w:before="0" w:beforeAutospacing="0" w:after="0" w:afterAutospacing="0" w:line="200" w:lineRule="exact"/>
                                    </w:pPr>
                                    <w:r w:rsidRPr="00AE430E">
                                      <w:rPr>
                                        <w:rFonts w:ascii="ＭＳ 明朝" w:hAnsi="ＭＳ 明朝" w:cs="Times New Roman" w:hint="eastAsia"/>
                                        <w:kern w:val="2"/>
                                        <w:sz w:val="18"/>
                                        <w:szCs w:val="18"/>
                                      </w:rPr>
                                      <w:t>2.</w:t>
                                    </w:r>
                                    <w:r w:rsidRPr="00AE430E">
                                      <w:rPr>
                                        <w:rFonts w:ascii="Century" w:eastAsia="ＭＳ 明朝" w:hAnsi="ＭＳ 明朝" w:cs="Times New Roman" w:hint="eastAsia"/>
                                        <w:kern w:val="2"/>
                                        <w:sz w:val="18"/>
                                        <w:szCs w:val="18"/>
                                      </w:rPr>
                                      <w:t>○回答</w:t>
                                    </w:r>
                                  </w:p>
                                  <w:p w14:paraId="6CAAE14C" w14:textId="77777777" w:rsidR="006A5267" w:rsidRPr="00AE430E" w:rsidRDefault="006A5267" w:rsidP="0021710E">
                                    <w:pPr>
                                      <w:pStyle w:val="Web"/>
                                      <w:spacing w:before="0" w:beforeAutospacing="0" w:after="0" w:afterAutospacing="0" w:line="200" w:lineRule="exact"/>
                                    </w:pPr>
                                    <w:r w:rsidRPr="00AE430E">
                                      <w:rPr>
                                        <w:rFonts w:ascii="ＭＳ 明朝" w:hAnsi="ＭＳ 明朝" w:cs="Times New Roman" w:hint="eastAsia"/>
                                        <w:kern w:val="2"/>
                                        <w:sz w:val="18"/>
                                        <w:szCs w:val="18"/>
                                      </w:rPr>
                                      <w:t>3.</w:t>
                                    </w:r>
                                    <w:r w:rsidRPr="00AE430E">
                                      <w:rPr>
                                        <w:rFonts w:ascii="Century" w:eastAsia="ＭＳ 明朝" w:hAnsi="ＭＳ 明朝" w:cs="Times New Roman" w:hint="eastAsia"/>
                                        <w:kern w:val="2"/>
                                        <w:sz w:val="18"/>
                                        <w:szCs w:val="18"/>
                                      </w:rPr>
                                      <w:t>●決定通知</w:t>
                                    </w:r>
                                  </w:p>
                                </w:txbxContent>
                              </wps:txbx>
                              <wps:bodyPr rot="0" spcFirstLastPara="0" vert="horz" wrap="square" lIns="91440" tIns="45720" rIns="91440" bIns="45720" numCol="1" spcCol="0" rtlCol="0" fromWordArt="0" anchor="t" anchorCtr="0" forceAA="0" compatLnSpc="1">
                                <a:prstTxWarp prst="textNoShape">
                                  <a:avLst/>
                                </a:prstTxWarp>
                                <a:noAutofit/>
                              </wps:bodyPr>
                            </wps:wsp>
                            <wps:wsp>
                              <wps:cNvPr id="1650" name="テキスト ボックス 28"/>
                              <wps:cNvSpPr txBox="1"/>
                              <wps:spPr>
                                <a:xfrm>
                                  <a:off x="3902933" y="851830"/>
                                  <a:ext cx="895985" cy="518160"/>
                                </a:xfrm>
                                <a:prstGeom prst="rect">
                                  <a:avLst/>
                                </a:prstGeom>
                                <a:noFill/>
                                <a:ln w="6350">
                                  <a:noFill/>
                                </a:ln>
                                <a:effectLst/>
                              </wps:spPr>
                              <wps:txbx>
                                <w:txbxContent>
                                  <w:p w14:paraId="661695F4" w14:textId="77777777" w:rsidR="006A5267" w:rsidRPr="00AE430E" w:rsidRDefault="006A5267" w:rsidP="0021710E">
                                    <w:pPr>
                                      <w:pStyle w:val="Web"/>
                                      <w:spacing w:before="0" w:beforeAutospacing="0" w:after="0" w:afterAutospacing="0" w:line="200" w:lineRule="exact"/>
                                    </w:pPr>
                                    <w:r w:rsidRPr="00AE430E">
                                      <w:rPr>
                                        <w:rFonts w:ascii="ＭＳ 明朝" w:hAnsi="ＭＳ 明朝" w:cs="Times New Roman" w:hint="eastAsia"/>
                                        <w:kern w:val="2"/>
                                        <w:sz w:val="18"/>
                                        <w:szCs w:val="18"/>
                                      </w:rPr>
                                      <w:t>1.</w:t>
                                    </w:r>
                                    <w:r w:rsidRPr="00AE430E">
                                      <w:rPr>
                                        <w:rFonts w:ascii="Century" w:eastAsia="ＭＳ 明朝" w:hAnsi="ＭＳ 明朝" w:cs="Times New Roman" w:hint="eastAsia"/>
                                        <w:kern w:val="2"/>
                                        <w:sz w:val="18"/>
                                        <w:szCs w:val="18"/>
                                      </w:rPr>
                                      <w:t>●参集要請</w:t>
                                    </w:r>
                                  </w:p>
                                  <w:p w14:paraId="0B839406" w14:textId="77777777" w:rsidR="006A5267" w:rsidRPr="00AE430E" w:rsidRDefault="006A5267" w:rsidP="0021710E">
                                    <w:pPr>
                                      <w:pStyle w:val="Web"/>
                                      <w:spacing w:before="0" w:beforeAutospacing="0" w:after="0" w:afterAutospacing="0" w:line="200" w:lineRule="exact"/>
                                    </w:pPr>
                                    <w:r w:rsidRPr="00AE430E">
                                      <w:rPr>
                                        <w:rFonts w:ascii="ＭＳ 明朝" w:hAnsi="ＭＳ 明朝" w:cs="Times New Roman" w:hint="eastAsia"/>
                                        <w:kern w:val="2"/>
                                        <w:sz w:val="18"/>
                                        <w:szCs w:val="18"/>
                                      </w:rPr>
                                      <w:t>2.</w:t>
                                    </w:r>
                                    <w:r w:rsidRPr="00AE430E">
                                      <w:rPr>
                                        <w:rFonts w:ascii="Century" w:eastAsia="ＭＳ 明朝" w:hAnsi="ＭＳ 明朝" w:cs="Times New Roman" w:hint="eastAsia"/>
                                        <w:kern w:val="2"/>
                                        <w:sz w:val="18"/>
                                        <w:szCs w:val="18"/>
                                      </w:rPr>
                                      <w:t>○回答</w:t>
                                    </w:r>
                                  </w:p>
                                  <w:p w14:paraId="51D2709D" w14:textId="77777777" w:rsidR="006A5267" w:rsidRPr="00AE430E" w:rsidRDefault="006A5267" w:rsidP="0021710E">
                                    <w:pPr>
                                      <w:pStyle w:val="Web"/>
                                      <w:spacing w:before="0" w:beforeAutospacing="0" w:after="0" w:afterAutospacing="0" w:line="200" w:lineRule="exact"/>
                                    </w:pPr>
                                    <w:r w:rsidRPr="00AE430E">
                                      <w:rPr>
                                        <w:rFonts w:ascii="ＭＳ 明朝" w:hAnsi="ＭＳ 明朝" w:cs="Times New Roman" w:hint="eastAsia"/>
                                        <w:kern w:val="2"/>
                                        <w:sz w:val="18"/>
                                        <w:szCs w:val="18"/>
                                      </w:rPr>
                                      <w:t>3.</w:t>
                                    </w:r>
                                    <w:r w:rsidRPr="00AE430E">
                                      <w:rPr>
                                        <w:rFonts w:ascii="Century" w:eastAsia="ＭＳ 明朝" w:hAnsi="ＭＳ 明朝" w:cs="Times New Roman" w:hint="eastAsia"/>
                                        <w:kern w:val="2"/>
                                        <w:sz w:val="18"/>
                                        <w:szCs w:val="18"/>
                                      </w:rPr>
                                      <w:t>●決定通知</w:t>
                                    </w:r>
                                  </w:p>
                                </w:txbxContent>
                              </wps:txbx>
                              <wps:bodyPr rot="0" spcFirstLastPara="0" vert="horz" wrap="square" lIns="91440" tIns="45720" rIns="91440" bIns="45720" numCol="1" spcCol="0" rtlCol="0" fromWordArt="0" anchor="t" anchorCtr="0" forceAA="0" compatLnSpc="1">
                                <a:prstTxWarp prst="textNoShape">
                                  <a:avLst/>
                                </a:prstTxWarp>
                                <a:noAutofit/>
                              </wps:bodyPr>
                            </wps:wsp>
                            <wps:wsp>
                              <wps:cNvPr id="1651" name="テキスト ボックス 30"/>
                              <wps:cNvSpPr txBox="1"/>
                              <wps:spPr>
                                <a:xfrm>
                                  <a:off x="2248809" y="581319"/>
                                  <a:ext cx="895985" cy="514055"/>
                                </a:xfrm>
                                <a:prstGeom prst="rect">
                                  <a:avLst/>
                                </a:prstGeom>
                                <a:noFill/>
                                <a:ln w="6350">
                                  <a:noFill/>
                                </a:ln>
                                <a:effectLst/>
                              </wps:spPr>
                              <wps:txbx>
                                <w:txbxContent>
                                  <w:p w14:paraId="0713C41F" w14:textId="77777777" w:rsidR="006A5267" w:rsidRPr="00AE430E" w:rsidRDefault="006A5267" w:rsidP="0021710E">
                                    <w:pPr>
                                      <w:pStyle w:val="Web"/>
                                      <w:spacing w:before="0" w:beforeAutospacing="0" w:after="0" w:afterAutospacing="0" w:line="200" w:lineRule="exact"/>
                                    </w:pPr>
                                    <w:r w:rsidRPr="00AE430E">
                                      <w:rPr>
                                        <w:rFonts w:ascii="ＭＳ 明朝" w:hAnsi="ＭＳ 明朝" w:cs="Times New Roman" w:hint="eastAsia"/>
                                        <w:kern w:val="2"/>
                                        <w:sz w:val="18"/>
                                        <w:szCs w:val="18"/>
                                      </w:rPr>
                                      <w:t>1.</w:t>
                                    </w:r>
                                    <w:r w:rsidRPr="00AE430E">
                                      <w:rPr>
                                        <w:rFonts w:ascii="Century" w:eastAsia="ＭＳ 明朝" w:hAnsi="ＭＳ 明朝" w:cs="Times New Roman" w:hint="eastAsia"/>
                                        <w:kern w:val="2"/>
                                        <w:sz w:val="18"/>
                                        <w:szCs w:val="18"/>
                                      </w:rPr>
                                      <w:t>●参集要請</w:t>
                                    </w:r>
                                  </w:p>
                                  <w:p w14:paraId="1C57932F" w14:textId="77777777" w:rsidR="006A5267" w:rsidRPr="00AE430E" w:rsidRDefault="006A5267" w:rsidP="0021710E">
                                    <w:pPr>
                                      <w:pStyle w:val="Web"/>
                                      <w:spacing w:before="0" w:beforeAutospacing="0" w:after="0" w:afterAutospacing="0" w:line="200" w:lineRule="exact"/>
                                    </w:pPr>
                                    <w:r w:rsidRPr="00AE430E">
                                      <w:rPr>
                                        <w:rFonts w:ascii="ＭＳ 明朝" w:hAnsi="ＭＳ 明朝" w:cs="Times New Roman" w:hint="eastAsia"/>
                                        <w:kern w:val="2"/>
                                        <w:sz w:val="18"/>
                                        <w:szCs w:val="18"/>
                                      </w:rPr>
                                      <w:t>2.</w:t>
                                    </w:r>
                                    <w:r w:rsidRPr="00AE430E">
                                      <w:rPr>
                                        <w:rFonts w:ascii="Century" w:eastAsia="ＭＳ 明朝" w:hAnsi="ＭＳ 明朝" w:cs="Times New Roman" w:hint="eastAsia"/>
                                        <w:kern w:val="2"/>
                                        <w:sz w:val="18"/>
                                        <w:szCs w:val="18"/>
                                      </w:rPr>
                                      <w:t>○回答</w:t>
                                    </w:r>
                                  </w:p>
                                  <w:p w14:paraId="66B63535" w14:textId="77777777" w:rsidR="006A5267" w:rsidRPr="00AE430E" w:rsidRDefault="006A5267" w:rsidP="0021710E">
                                    <w:pPr>
                                      <w:pStyle w:val="Web"/>
                                      <w:spacing w:before="0" w:beforeAutospacing="0" w:after="0" w:afterAutospacing="0" w:line="200" w:lineRule="exact"/>
                                    </w:pPr>
                                    <w:r w:rsidRPr="00AE430E">
                                      <w:rPr>
                                        <w:rFonts w:ascii="ＭＳ 明朝" w:hAnsi="ＭＳ 明朝" w:cs="Times New Roman" w:hint="eastAsia"/>
                                        <w:kern w:val="2"/>
                                        <w:sz w:val="18"/>
                                        <w:szCs w:val="18"/>
                                      </w:rPr>
                                      <w:t>3.</w:t>
                                    </w:r>
                                    <w:r w:rsidRPr="00AE430E">
                                      <w:rPr>
                                        <w:rFonts w:ascii="Century" w:eastAsia="ＭＳ 明朝" w:hAnsi="ＭＳ 明朝" w:cs="Times New Roman" w:hint="eastAsia"/>
                                        <w:kern w:val="2"/>
                                        <w:sz w:val="18"/>
                                        <w:szCs w:val="18"/>
                                      </w:rPr>
                                      <w:t>●決定通知</w:t>
                                    </w:r>
                                  </w:p>
                                </w:txbxContent>
                              </wps:txbx>
                              <wps:bodyPr rot="0" spcFirstLastPara="0" vert="horz" wrap="square" lIns="91440" tIns="45720" rIns="91440" bIns="45720" numCol="1" spcCol="0" rtlCol="0" fromWordArt="0" anchor="t" anchorCtr="0" forceAA="0" compatLnSpc="1">
                                <a:prstTxWarp prst="textNoShape">
                                  <a:avLst/>
                                </a:prstTxWarp>
                                <a:noAutofit/>
                              </wps:bodyPr>
                            </wps:wsp>
                            <wps:wsp>
                              <wps:cNvPr id="1652" name="テキスト ボックス 33"/>
                              <wps:cNvSpPr txBox="1"/>
                              <wps:spPr>
                                <a:xfrm>
                                  <a:off x="3890305" y="3785530"/>
                                  <a:ext cx="2243455" cy="466090"/>
                                </a:xfrm>
                                <a:prstGeom prst="rect">
                                  <a:avLst/>
                                </a:prstGeom>
                                <a:noFill/>
                                <a:ln w="6350">
                                  <a:noFill/>
                                </a:ln>
                                <a:effectLst/>
                              </wps:spPr>
                              <wps:txbx>
                                <w:txbxContent>
                                  <w:p w14:paraId="414094BB" w14:textId="77777777" w:rsidR="006A5267" w:rsidRPr="00AE430E" w:rsidRDefault="006A5267" w:rsidP="0021710E">
                                    <w:pPr>
                                      <w:pStyle w:val="Web"/>
                                      <w:spacing w:before="0" w:beforeAutospacing="0" w:after="0" w:afterAutospacing="0" w:line="200" w:lineRule="exact"/>
                                    </w:pPr>
                                    <w:r w:rsidRPr="00AE430E">
                                      <w:rPr>
                                        <w:rFonts w:ascii="Century" w:eastAsia="ＭＳ 明朝" w:hAnsi="ＭＳ 明朝" w:cs="Times New Roman" w:hint="eastAsia"/>
                                        <w:kern w:val="2"/>
                                        <w:sz w:val="18"/>
                                        <w:szCs w:val="18"/>
                                      </w:rPr>
                                      <w:t>【府及び他団体とのやりとり　凡例】</w:t>
                                    </w:r>
                                  </w:p>
                                  <w:p w14:paraId="659699E1" w14:textId="77777777" w:rsidR="006A5267" w:rsidRPr="00AE430E" w:rsidRDefault="006A5267" w:rsidP="0021710E">
                                    <w:pPr>
                                      <w:pStyle w:val="Web"/>
                                      <w:spacing w:before="0" w:beforeAutospacing="0" w:after="0" w:afterAutospacing="0" w:line="200" w:lineRule="exact"/>
                                      <w:ind w:firstLine="187"/>
                                    </w:pPr>
                                    <w:r w:rsidRPr="00AE430E">
                                      <w:rPr>
                                        <w:rFonts w:ascii="Century" w:eastAsia="ＭＳ 明朝" w:hAnsi="ＭＳ 明朝" w:cs="Times New Roman" w:hint="eastAsia"/>
                                        <w:kern w:val="2"/>
                                        <w:sz w:val="18"/>
                                        <w:szCs w:val="18"/>
                                      </w:rPr>
                                      <w:t>●：府が実施</w:t>
                                    </w:r>
                                  </w:p>
                                  <w:p w14:paraId="5D9A45AC" w14:textId="77777777" w:rsidR="006A5267" w:rsidRPr="00AE430E" w:rsidRDefault="006A5267" w:rsidP="0021710E">
                                    <w:pPr>
                                      <w:pStyle w:val="Web"/>
                                      <w:spacing w:before="0" w:beforeAutospacing="0" w:after="0" w:afterAutospacing="0" w:line="200" w:lineRule="exact"/>
                                      <w:ind w:firstLine="187"/>
                                    </w:pPr>
                                    <w:r w:rsidRPr="00AE430E">
                                      <w:rPr>
                                        <w:rFonts w:ascii="Century" w:eastAsia="ＭＳ 明朝" w:hAnsi="ＭＳ 明朝" w:cs="Times New Roman" w:hint="eastAsia"/>
                                        <w:kern w:val="2"/>
                                        <w:sz w:val="18"/>
                                        <w:szCs w:val="18"/>
                                      </w:rPr>
                                      <w:t>○：市町村や団体等が実施</w:t>
                                    </w:r>
                                  </w:p>
                                </w:txbxContent>
                              </wps:txbx>
                              <wps:bodyPr rot="0" spcFirstLastPara="0" vert="horz" wrap="square" lIns="91440" tIns="45720" rIns="91440" bIns="45720" numCol="1" spcCol="0" rtlCol="0" fromWordArt="0" anchor="t" anchorCtr="0" forceAA="0" compatLnSpc="1">
                                <a:prstTxWarp prst="textNoShape">
                                  <a:avLst/>
                                </a:prstTxWarp>
                                <a:noAutofit/>
                              </wps:bodyPr>
                            </wps:wsp>
                            <wps:wsp>
                              <wps:cNvPr id="1653" name="直線矢印コネクタ 1653"/>
                              <wps:cNvCnPr/>
                              <wps:spPr>
                                <a:xfrm rot="10800000" flipV="1">
                                  <a:off x="1815125" y="2732065"/>
                                  <a:ext cx="723265" cy="617855"/>
                                </a:xfrm>
                                <a:prstGeom prst="straightConnector1">
                                  <a:avLst/>
                                </a:prstGeom>
                                <a:ln>
                                  <a:headEnd type="arrow"/>
                                  <a:tailEnd type="arrow"/>
                                </a:ln>
                              </wps:spPr>
                              <wps:style>
                                <a:lnRef idx="1">
                                  <a:schemeClr val="dk1"/>
                                </a:lnRef>
                                <a:fillRef idx="0">
                                  <a:schemeClr val="dk1"/>
                                </a:fillRef>
                                <a:effectRef idx="0">
                                  <a:schemeClr val="dk1"/>
                                </a:effectRef>
                                <a:fontRef idx="minor">
                                  <a:schemeClr val="tx1"/>
                                </a:fontRef>
                              </wps:style>
                              <wps:bodyPr/>
                            </wps:wsp>
                            <wps:wsp>
                              <wps:cNvPr id="1654" name="テキスト ボックス 39"/>
                              <wps:cNvSpPr txBox="1"/>
                              <wps:spPr>
                                <a:xfrm>
                                  <a:off x="1352845" y="2626655"/>
                                  <a:ext cx="895985" cy="584200"/>
                                </a:xfrm>
                                <a:prstGeom prst="rect">
                                  <a:avLst/>
                                </a:prstGeom>
                                <a:noFill/>
                                <a:ln w="6350">
                                  <a:noFill/>
                                </a:ln>
                                <a:effectLst/>
                              </wps:spPr>
                              <wps:txbx>
                                <w:txbxContent>
                                  <w:p w14:paraId="12E9C3B5" w14:textId="77777777" w:rsidR="006A5267" w:rsidRPr="00AE430E" w:rsidRDefault="006A5267" w:rsidP="0021710E">
                                    <w:pPr>
                                      <w:pStyle w:val="Web"/>
                                      <w:spacing w:before="0" w:beforeAutospacing="0" w:after="0" w:afterAutospacing="0" w:line="200" w:lineRule="exact"/>
                                    </w:pPr>
                                    <w:r w:rsidRPr="00AE430E">
                                      <w:rPr>
                                        <w:rFonts w:ascii="ＭＳ 明朝" w:hAnsi="ＭＳ 明朝" w:cs="Times New Roman" w:hint="eastAsia"/>
                                        <w:kern w:val="2"/>
                                        <w:sz w:val="18"/>
                                        <w:szCs w:val="18"/>
                                      </w:rPr>
                                      <w:t>1.</w:t>
                                    </w:r>
                                    <w:r w:rsidRPr="00AE430E">
                                      <w:rPr>
                                        <w:rFonts w:ascii="Century" w:eastAsia="ＭＳ 明朝" w:hAnsi="ＭＳ 明朝" w:cs="Times New Roman" w:hint="eastAsia"/>
                                        <w:kern w:val="2"/>
                                        <w:sz w:val="18"/>
                                        <w:szCs w:val="18"/>
                                      </w:rPr>
                                      <w:t>●応援要請</w:t>
                                    </w:r>
                                  </w:p>
                                  <w:p w14:paraId="2D05A0A5" w14:textId="77777777" w:rsidR="006A5267" w:rsidRPr="00AE430E" w:rsidRDefault="006A5267" w:rsidP="0021710E">
                                    <w:pPr>
                                      <w:pStyle w:val="Web"/>
                                      <w:spacing w:before="0" w:beforeAutospacing="0" w:after="0" w:afterAutospacing="0" w:line="200" w:lineRule="exact"/>
                                    </w:pPr>
                                    <w:r w:rsidRPr="00AE430E">
                                      <w:rPr>
                                        <w:rFonts w:ascii="ＭＳ 明朝" w:hAnsi="ＭＳ 明朝" w:cs="Times New Roman" w:hint="eastAsia"/>
                                        <w:kern w:val="2"/>
                                        <w:sz w:val="18"/>
                                        <w:szCs w:val="18"/>
                                      </w:rPr>
                                      <w:t>2.</w:t>
                                    </w:r>
                                    <w:r w:rsidRPr="00AE430E">
                                      <w:rPr>
                                        <w:rFonts w:ascii="Century" w:eastAsia="ＭＳ 明朝" w:hAnsi="ＭＳ 明朝" w:cs="Times New Roman" w:hint="eastAsia"/>
                                        <w:kern w:val="2"/>
                                        <w:sz w:val="18"/>
                                        <w:szCs w:val="18"/>
                                      </w:rPr>
                                      <w:t>○回答</w:t>
                                    </w:r>
                                  </w:p>
                                  <w:p w14:paraId="4BF092A9" w14:textId="77777777" w:rsidR="006A5267" w:rsidRPr="00AE430E" w:rsidRDefault="006A5267" w:rsidP="0021710E">
                                    <w:pPr>
                                      <w:pStyle w:val="Web"/>
                                      <w:spacing w:before="0" w:beforeAutospacing="0" w:after="0" w:afterAutospacing="0" w:line="200" w:lineRule="exact"/>
                                    </w:pPr>
                                    <w:r w:rsidRPr="00AE430E">
                                      <w:rPr>
                                        <w:rFonts w:ascii="ＭＳ 明朝" w:hAnsi="ＭＳ 明朝" w:cs="Times New Roman" w:hint="eastAsia"/>
                                        <w:kern w:val="2"/>
                                        <w:sz w:val="18"/>
                                        <w:szCs w:val="18"/>
                                      </w:rPr>
                                      <w:t>3.</w:t>
                                    </w:r>
                                    <w:r w:rsidRPr="00AE430E">
                                      <w:rPr>
                                        <w:rFonts w:ascii="Century" w:eastAsia="ＭＳ 明朝" w:hAnsi="ＭＳ 明朝" w:cs="Times New Roman" w:hint="eastAsia"/>
                                        <w:kern w:val="2"/>
                                        <w:sz w:val="18"/>
                                        <w:szCs w:val="18"/>
                                      </w:rPr>
                                      <w:t>●決定通知</w:t>
                                    </w:r>
                                  </w:p>
                                </w:txbxContent>
                              </wps:txbx>
                              <wps:bodyPr rot="0" spcFirstLastPara="0" vert="horz" wrap="square" lIns="91440" tIns="45720" rIns="91440" bIns="45720" numCol="1" spcCol="0" rtlCol="0" fromWordArt="0" anchor="t" anchorCtr="0" forceAA="0" compatLnSpc="1">
                                <a:prstTxWarp prst="textNoShape">
                                  <a:avLst/>
                                </a:prstTxWarp>
                                <a:noAutofit/>
                              </wps:bodyPr>
                            </wps:wsp>
                            <wps:wsp>
                              <wps:cNvPr id="1655" name="フローチャート : 書類 16"/>
                              <wps:cNvSpPr/>
                              <wps:spPr>
                                <a:xfrm>
                                  <a:off x="4174198" y="2677455"/>
                                  <a:ext cx="1756410" cy="344805"/>
                                </a:xfrm>
                                <a:prstGeom prst="rect">
                                  <a:avLst/>
                                </a:prstGeom>
                                <a:ln w="9525"/>
                              </wps:spPr>
                              <wps:style>
                                <a:lnRef idx="2">
                                  <a:schemeClr val="dk1"/>
                                </a:lnRef>
                                <a:fillRef idx="1">
                                  <a:schemeClr val="lt1"/>
                                </a:fillRef>
                                <a:effectRef idx="0">
                                  <a:schemeClr val="dk1"/>
                                </a:effectRef>
                                <a:fontRef idx="minor">
                                  <a:schemeClr val="dk1"/>
                                </a:fontRef>
                              </wps:style>
                              <wps:txbx>
                                <w:txbxContent>
                                  <w:p w14:paraId="4F31893B" w14:textId="77777777" w:rsidR="006A5267" w:rsidRPr="00AE430E" w:rsidRDefault="006A5267" w:rsidP="0021710E">
                                    <w:pPr>
                                      <w:pStyle w:val="Web"/>
                                      <w:spacing w:before="0" w:beforeAutospacing="0" w:after="0" w:afterAutospacing="0" w:line="240" w:lineRule="exact"/>
                                      <w:jc w:val="center"/>
                                    </w:pPr>
                                    <w:r w:rsidRPr="00AE430E">
                                      <w:rPr>
                                        <w:rFonts w:eastAsia="ＭＳ 明朝" w:hAnsi="ＭＳ 明朝" w:cs="Times New Roman" w:hint="eastAsia"/>
                                        <w:kern w:val="2"/>
                                        <w:sz w:val="21"/>
                                        <w:szCs w:val="21"/>
                                      </w:rPr>
                                      <w:t>大阪府災害対策本部</w:t>
                                    </w:r>
                                  </w:p>
                                </w:txbxContent>
                              </wps:txbx>
                              <wps:bodyPr rot="0" spcFirstLastPara="0" vert="horz" wrap="square" lIns="91440" tIns="45720" rIns="91440" bIns="45720" numCol="1" spcCol="0" rtlCol="0" fromWordArt="0" anchor="ctr" anchorCtr="0" forceAA="0" compatLnSpc="1">
                                <a:prstTxWarp prst="textNoShape">
                                  <a:avLst/>
                                </a:prstTxWarp>
                                <a:noAutofit/>
                              </wps:bodyPr>
                            </wps:wsp>
                            <wps:wsp>
                              <wps:cNvPr id="1656" name="テキスト ボックス 44"/>
                              <wps:cNvSpPr txBox="1"/>
                              <wps:spPr>
                                <a:xfrm>
                                  <a:off x="1126785" y="3788070"/>
                                  <a:ext cx="694690" cy="237490"/>
                                </a:xfrm>
                                <a:prstGeom prst="rect">
                                  <a:avLst/>
                                </a:prstGeom>
                                <a:noFill/>
                                <a:ln w="6350">
                                  <a:noFill/>
                                </a:ln>
                                <a:effectLst/>
                              </wps:spPr>
                              <wps:txbx>
                                <w:txbxContent>
                                  <w:p w14:paraId="2378B3E3" w14:textId="77777777" w:rsidR="006A5267" w:rsidRPr="00AE430E" w:rsidRDefault="006A5267" w:rsidP="0021710E">
                                    <w:pPr>
                                      <w:pStyle w:val="Web"/>
                                      <w:spacing w:before="0" w:beforeAutospacing="0" w:after="0" w:afterAutospacing="0" w:line="200" w:lineRule="exact"/>
                                    </w:pPr>
                                    <w:r w:rsidRPr="00AE430E">
                                      <w:rPr>
                                        <w:rFonts w:ascii="Century" w:eastAsia="ＭＳ 明朝" w:hAnsi="ＭＳ 明朝" w:cs="Times New Roman" w:hint="eastAsia"/>
                                        <w:kern w:val="2"/>
                                        <w:sz w:val="18"/>
                                        <w:szCs w:val="18"/>
                                      </w:rPr>
                                      <w:t>連絡調整</w:t>
                                    </w:r>
                                  </w:p>
                                </w:txbxContent>
                              </wps:txbx>
                              <wps:bodyPr rot="0" spcFirstLastPara="0" vert="horz" wrap="square" lIns="91440" tIns="45720" rIns="91440" bIns="45720" numCol="1" spcCol="0" rtlCol="0" fromWordArt="0" anchor="t" anchorCtr="0" forceAA="0" compatLnSpc="1">
                                <a:prstTxWarp prst="textNoShape">
                                  <a:avLst/>
                                </a:prstTxWarp>
                                <a:noAutofit/>
                              </wps:bodyPr>
                            </wps:wsp>
                            <wps:wsp>
                              <wps:cNvPr id="1657" name="直線矢印コネクタ 1657"/>
                              <wps:cNvCnPr/>
                              <wps:spPr>
                                <a:xfrm rot="10800000" flipH="1" flipV="1">
                                  <a:off x="5138080" y="3047025"/>
                                  <a:ext cx="0" cy="310515"/>
                                </a:xfrm>
                                <a:prstGeom prst="straightConnector1">
                                  <a:avLst/>
                                </a:prstGeom>
                                <a:ln>
                                  <a:headEnd type="arrow"/>
                                  <a:tailEnd type="arrow"/>
                                </a:ln>
                              </wps:spPr>
                              <wps:style>
                                <a:lnRef idx="1">
                                  <a:schemeClr val="dk1"/>
                                </a:lnRef>
                                <a:fillRef idx="0">
                                  <a:schemeClr val="dk1"/>
                                </a:fillRef>
                                <a:effectRef idx="0">
                                  <a:schemeClr val="dk1"/>
                                </a:effectRef>
                                <a:fontRef idx="minor">
                                  <a:schemeClr val="tx1"/>
                                </a:fontRef>
                              </wps:style>
                              <wps:bodyPr/>
                            </wps:wsp>
                            <wps:wsp>
                              <wps:cNvPr id="1658" name="テキスト ボックス 47"/>
                              <wps:cNvSpPr txBox="1"/>
                              <wps:spPr>
                                <a:xfrm>
                                  <a:off x="5122205" y="3103510"/>
                                  <a:ext cx="662305" cy="220980"/>
                                </a:xfrm>
                                <a:prstGeom prst="rect">
                                  <a:avLst/>
                                </a:prstGeom>
                                <a:noFill/>
                                <a:ln w="6350">
                                  <a:noFill/>
                                </a:ln>
                                <a:effectLst/>
                              </wps:spPr>
                              <wps:txbx>
                                <w:txbxContent>
                                  <w:p w14:paraId="6D7B5281" w14:textId="77777777" w:rsidR="006A5267" w:rsidRPr="00AE430E" w:rsidRDefault="006A5267" w:rsidP="0021710E">
                                    <w:pPr>
                                      <w:pStyle w:val="Web"/>
                                      <w:spacing w:before="0" w:beforeAutospacing="0" w:after="0" w:afterAutospacing="0" w:line="200" w:lineRule="exact"/>
                                    </w:pPr>
                                    <w:r w:rsidRPr="00AE430E">
                                      <w:rPr>
                                        <w:rFonts w:ascii="Century" w:eastAsia="ＭＳ 明朝" w:hAnsi="ＭＳ 明朝" w:cs="Times New Roman" w:hint="eastAsia"/>
                                        <w:kern w:val="2"/>
                                        <w:sz w:val="18"/>
                                        <w:szCs w:val="18"/>
                                      </w:rPr>
                                      <w:t>連絡調整</w:t>
                                    </w:r>
                                  </w:p>
                                </w:txbxContent>
                              </wps:txbx>
                              <wps:bodyPr rot="0" spcFirstLastPara="0" vert="horz" wrap="square" lIns="91440" tIns="45720" rIns="91440" bIns="45720" numCol="1" spcCol="0" rtlCol="0" fromWordArt="0" anchor="t" anchorCtr="0" forceAA="0" compatLnSpc="1">
                                <a:prstTxWarp prst="textNoShape">
                                  <a:avLst/>
                                </a:prstTxWarp>
                                <a:noAutofit/>
                              </wps:bodyPr>
                            </wps:wsp>
                            <wps:wsp>
                              <wps:cNvPr id="1659" name="フローチャート : 書類 16"/>
                              <wps:cNvSpPr/>
                              <wps:spPr>
                                <a:xfrm>
                                  <a:off x="4190073" y="3348650"/>
                                  <a:ext cx="1740535" cy="344805"/>
                                </a:xfrm>
                                <a:prstGeom prst="rect">
                                  <a:avLst/>
                                </a:prstGeom>
                                <a:ln w="9525"/>
                              </wps:spPr>
                              <wps:style>
                                <a:lnRef idx="2">
                                  <a:schemeClr val="dk1"/>
                                </a:lnRef>
                                <a:fillRef idx="1">
                                  <a:schemeClr val="lt1"/>
                                </a:fillRef>
                                <a:effectRef idx="0">
                                  <a:schemeClr val="dk1"/>
                                </a:effectRef>
                                <a:fontRef idx="minor">
                                  <a:schemeClr val="dk1"/>
                                </a:fontRef>
                              </wps:style>
                              <wps:txbx>
                                <w:txbxContent>
                                  <w:p w14:paraId="703FD2B6" w14:textId="77777777" w:rsidR="006A5267" w:rsidRPr="00AE430E" w:rsidRDefault="006A5267" w:rsidP="0021710E">
                                    <w:pPr>
                                      <w:pStyle w:val="Web"/>
                                      <w:spacing w:before="0" w:beforeAutospacing="0" w:after="0" w:afterAutospacing="0" w:line="240" w:lineRule="exact"/>
                                      <w:jc w:val="center"/>
                                    </w:pPr>
                                    <w:r w:rsidRPr="00AE430E">
                                      <w:rPr>
                                        <w:rFonts w:eastAsia="ＭＳ 明朝" w:hAnsi="ＭＳ 明朝" w:cs="Times New Roman" w:hint="eastAsia"/>
                                        <w:kern w:val="2"/>
                                        <w:sz w:val="21"/>
                                        <w:szCs w:val="21"/>
                                      </w:rPr>
                                      <w:t>大阪府現地災害対策本部</w:t>
                                    </w:r>
                                  </w:p>
                                </w:txbxContent>
                              </wps:txbx>
                              <wps:bodyPr rot="0" spcFirstLastPara="0" vert="horz" wrap="square" lIns="91440" tIns="45720" rIns="91440" bIns="45720" numCol="1" spcCol="0" rtlCol="0" fromWordArt="0" anchor="ctr" anchorCtr="0" forceAA="0" compatLnSpc="1">
                                <a:prstTxWarp prst="textNoShape">
                                  <a:avLst/>
                                </a:prstTxWarp>
                                <a:noAutofit/>
                              </wps:bodyPr>
                            </wps:wsp>
                            <wps:wsp>
                              <wps:cNvPr id="1660" name="直線矢印コネクタ 1660"/>
                              <wps:cNvCnPr/>
                              <wps:spPr>
                                <a:xfrm>
                                  <a:off x="3594395" y="2773340"/>
                                  <a:ext cx="612775" cy="648970"/>
                                </a:xfrm>
                                <a:prstGeom prst="straightConnector1">
                                  <a:avLst/>
                                </a:prstGeom>
                                <a:ln>
                                  <a:prstDash val="dash"/>
                                  <a:headEnd type="arrow"/>
                                  <a:tailEnd type="arrow"/>
                                </a:ln>
                              </wps:spPr>
                              <wps:style>
                                <a:lnRef idx="1">
                                  <a:schemeClr val="dk1"/>
                                </a:lnRef>
                                <a:fillRef idx="0">
                                  <a:schemeClr val="dk1"/>
                                </a:fillRef>
                                <a:effectRef idx="0">
                                  <a:schemeClr val="dk1"/>
                                </a:effectRef>
                                <a:fontRef idx="minor">
                                  <a:schemeClr val="tx1"/>
                                </a:fontRef>
                              </wps:style>
                              <wps:bodyPr/>
                            </wps:wsp>
                            <wps:wsp>
                              <wps:cNvPr id="1661" name="直線矢印コネクタ 1661"/>
                              <wps:cNvCnPr/>
                              <wps:spPr>
                                <a:xfrm rot="10800000" flipH="1" flipV="1">
                                  <a:off x="1065825" y="3694090"/>
                                  <a:ext cx="0" cy="310515"/>
                                </a:xfrm>
                                <a:prstGeom prst="straightConnector1">
                                  <a:avLst/>
                                </a:prstGeom>
                                <a:ln>
                                  <a:headEnd type="arrow"/>
                                  <a:tailEnd type="arrow"/>
                                </a:ln>
                              </wps:spPr>
                              <wps:style>
                                <a:lnRef idx="1">
                                  <a:schemeClr val="dk1"/>
                                </a:lnRef>
                                <a:fillRef idx="0">
                                  <a:schemeClr val="dk1"/>
                                </a:fillRef>
                                <a:effectRef idx="0">
                                  <a:schemeClr val="dk1"/>
                                </a:effectRef>
                                <a:fontRef idx="minor">
                                  <a:schemeClr val="tx1"/>
                                </a:fontRef>
                              </wps:style>
                              <wps:bodyPr/>
                            </wps:wsp>
                            <wps:wsp>
                              <wps:cNvPr id="1662" name="直線矢印コネクタ 1662"/>
                              <wps:cNvCnPr/>
                              <wps:spPr>
                                <a:xfrm rot="10800000" flipH="1" flipV="1">
                                  <a:off x="1865290" y="3694090"/>
                                  <a:ext cx="0" cy="310515"/>
                                </a:xfrm>
                                <a:prstGeom prst="straightConnector1">
                                  <a:avLst/>
                                </a:prstGeom>
                                <a:ln>
                                  <a:headEnd type="arrow"/>
                                  <a:tailEnd type="arrow"/>
                                </a:ln>
                              </wps:spPr>
                              <wps:style>
                                <a:lnRef idx="1">
                                  <a:schemeClr val="dk1"/>
                                </a:lnRef>
                                <a:fillRef idx="0">
                                  <a:schemeClr val="dk1"/>
                                </a:fillRef>
                                <a:effectRef idx="0">
                                  <a:schemeClr val="dk1"/>
                                </a:effectRef>
                                <a:fontRef idx="minor">
                                  <a:schemeClr val="tx1"/>
                                </a:fontRef>
                              </wps:style>
                              <wps:bodyPr/>
                            </wps:wsp>
                          </wpc:wpc>
                        </a:graphicData>
                      </a:graphic>
                    </wp:inline>
                  </w:drawing>
                </mc:Choice>
                <mc:Fallback xmlns:w16cei="http://schemas.microsoft.com/office/word/2026/wordml/cei">
                  <w:pict>
                    <v:group w14:anchorId="374DA80C" id="キャンバス 2468" o:spid="_x0000_s1419" editas="canvas" style="width:490.6pt;height:350.7pt;mso-position-horizontal-relative:char;mso-position-vertical-relative:line" coordsize="62306,4453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">
                      <v:shape id="_x0000_s1420" type="#_x0000_t75" style="position:absolute;width:62306;height:44538;visibility:visible;mso-wrap-style:square">
                        <v:fill o:detectmouseclick="t"/>
                        <v:path o:connecttype="none"/>
                      </v:shape>
                      <v:roundrect id="角丸四角形 1633" o:spid="_x0000_s1421" style="position:absolute;left:24348;top:11744;width:13532;height:23984;visibility:visible;mso-wrap-style:square;v-text-anchor:bottom"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" fillcolor="white [3201]" strokecolor="black [3200]">
                        <v:textbox>
                          <w:txbxContent>
                            <w:p w14:paraId="0F0F49DE" w14:textId="77777777" w:rsidR="006A5267" w:rsidRPr="00AE430E" w:rsidRDefault="006A5267" w:rsidP="0021710E">
                              <w:pPr>
                                <w:pStyle w:val="Web"/>
                                <w:spacing w:before="0" w:beforeAutospacing="0" w:after="0" w:afterAutospacing="0" w:line="240" w:lineRule="exact"/>
                                <w:jc w:val="center"/>
                              </w:pPr>
                              <w:r w:rsidRPr="00AE430E">
                                <w:rPr>
                                  <w:rFonts w:eastAsia="ＭＳ 明朝" w:hAnsi="ＭＳ 明朝" w:cs="Times New Roman" w:hint="eastAsia"/>
                                  <w:kern w:val="2"/>
                                  <w:sz w:val="22"/>
                                  <w:szCs w:val="22"/>
                                </w:rPr>
                                <w:t>大阪府</w:t>
                              </w:r>
                            </w:p>
                            <w:p w14:paraId="589182AB" w14:textId="77777777" w:rsidR="006A5267" w:rsidRPr="00AE430E" w:rsidRDefault="006A5267" w:rsidP="0021710E">
                              <w:pPr>
                                <w:pStyle w:val="Web"/>
                                <w:spacing w:before="0" w:beforeAutospacing="0" w:after="0" w:afterAutospacing="0" w:line="240" w:lineRule="exact"/>
                                <w:jc w:val="center"/>
                              </w:pPr>
                              <w:r w:rsidRPr="00AE430E">
                                <w:rPr>
                                  <w:rFonts w:eastAsia="ＭＳ 明朝" w:hAnsi="ＭＳ 明朝" w:cs="Times New Roman" w:hint="eastAsia"/>
                                  <w:kern w:val="2"/>
                                  <w:sz w:val="22"/>
                                  <w:szCs w:val="22"/>
                                </w:rPr>
                                <w:t>都市整備部</w:t>
                              </w:r>
                            </w:p>
                            <w:p w14:paraId="614EBCBA" w14:textId="77777777" w:rsidR="006A5267" w:rsidRPr="00AE430E" w:rsidRDefault="006A5267" w:rsidP="0021710E">
                              <w:pPr>
                                <w:pStyle w:val="Web"/>
                                <w:spacing w:before="0" w:beforeAutospacing="0" w:after="0" w:afterAutospacing="0" w:line="240" w:lineRule="exact"/>
                                <w:jc w:val="center"/>
                              </w:pPr>
                              <w:r w:rsidRPr="00AE430E">
                                <w:rPr>
                                  <w:rFonts w:eastAsia="ＭＳ 明朝" w:hAnsi="ＭＳ 明朝" w:cs="Times New Roman" w:hint="eastAsia"/>
                                  <w:kern w:val="2"/>
                                  <w:sz w:val="22"/>
                                  <w:szCs w:val="22"/>
                                </w:rPr>
                                <w:t>震災対策本部</w:t>
                              </w:r>
                            </w:p>
                          </w:txbxContent>
                        </v:textbox>
                      </v:roundrect>
                      <v:roundrect id="角丸四角形 1634" o:spid="_x0000_s1422" style="position:absolute;left:25688;top:12976;width:10700;height:15411;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" fillcolor="white [3201]" strokecolor="black [3200]">
                        <v:textbox>
                          <w:txbxContent>
                            <w:p w14:paraId="5034DC3B" w14:textId="77777777" w:rsidR="006A5267" w:rsidRPr="00340FB9" w:rsidRDefault="006A5267" w:rsidP="0021710E">
                              <w:pPr>
                                <w:pStyle w:val="Web"/>
                                <w:spacing w:before="0" w:beforeAutospacing="0" w:after="0" w:afterAutospacing="0" w:line="240" w:lineRule="exact"/>
                                <w:jc w:val="center"/>
                              </w:pPr>
                              <w:r w:rsidRPr="00340FB9">
                                <w:rPr>
                                  <w:rFonts w:eastAsia="ＭＳ 明朝" w:hAnsi="ＭＳ 明朝" w:cs="Times New Roman" w:hint="eastAsia"/>
                                  <w:kern w:val="2"/>
                                  <w:sz w:val="22"/>
                                  <w:szCs w:val="22"/>
                                </w:rPr>
                                <w:t>都市整備部</w:t>
                              </w:r>
                            </w:p>
                            <w:p w14:paraId="16F19722" w14:textId="77777777" w:rsidR="006A5267" w:rsidRPr="00340FB9" w:rsidRDefault="006A5267" w:rsidP="0021710E">
                              <w:pPr>
                                <w:pStyle w:val="Web"/>
                                <w:spacing w:before="0" w:beforeAutospacing="0" w:after="0" w:afterAutospacing="0" w:line="240" w:lineRule="exact"/>
                                <w:jc w:val="center"/>
                              </w:pPr>
                              <w:r w:rsidRPr="00340FB9">
                                <w:rPr>
                                  <w:rFonts w:eastAsia="ＭＳ 明朝" w:hAnsi="ＭＳ 明朝" w:cs="Times New Roman" w:hint="eastAsia"/>
                                  <w:kern w:val="2"/>
                                  <w:sz w:val="22"/>
                                  <w:szCs w:val="22"/>
                                </w:rPr>
                                <w:t>事業調整室</w:t>
                              </w:r>
                            </w:p>
                            <w:p w14:paraId="66044D57" w14:textId="77777777" w:rsidR="006A5267" w:rsidRPr="00AE430E" w:rsidRDefault="006A5267" w:rsidP="0021710E">
                              <w:pPr>
                                <w:pStyle w:val="Web"/>
                                <w:spacing w:before="0" w:beforeAutospacing="0" w:after="0" w:afterAutospacing="0" w:line="240" w:lineRule="exact"/>
                                <w:jc w:val="both"/>
                              </w:pPr>
                              <w:r w:rsidRPr="00AE430E">
                                <w:rPr>
                                  <w:rFonts w:ascii="ＭＳ 明朝" w:hAnsi="ＭＳ 明朝" w:cs="Times New Roman" w:hint="eastAsia"/>
                                  <w:kern w:val="2"/>
                                  <w:sz w:val="22"/>
                                  <w:szCs w:val="22"/>
                                </w:rPr>
                                <w:t> </w:t>
                              </w:r>
                            </w:p>
                            <w:p w14:paraId="4E17E297" w14:textId="77777777" w:rsidR="006A5267" w:rsidRPr="00AE430E" w:rsidRDefault="006A5267" w:rsidP="0021710E">
                              <w:pPr>
                                <w:pStyle w:val="Web"/>
                                <w:spacing w:before="0" w:beforeAutospacing="0" w:after="0" w:afterAutospacing="0" w:line="240" w:lineRule="exact"/>
                                <w:jc w:val="center"/>
                              </w:pPr>
                              <w:r w:rsidRPr="00AE430E">
                                <w:rPr>
                                  <w:rFonts w:eastAsia="ＭＳ 明朝" w:hAnsi="ＭＳ 明朝" w:cs="Times New Roman" w:hint="eastAsia"/>
                                  <w:kern w:val="2"/>
                                  <w:sz w:val="21"/>
                                  <w:szCs w:val="21"/>
                                </w:rPr>
                                <w:t>各室に</w:t>
                              </w:r>
                            </w:p>
                            <w:p w14:paraId="055C887C" w14:textId="77777777" w:rsidR="006A5267" w:rsidRPr="00AE430E" w:rsidRDefault="006A5267" w:rsidP="0021710E">
                              <w:pPr>
                                <w:pStyle w:val="Web"/>
                                <w:spacing w:before="0" w:beforeAutospacing="0" w:after="0" w:afterAutospacing="0" w:line="240" w:lineRule="exact"/>
                                <w:jc w:val="center"/>
                              </w:pPr>
                              <w:r w:rsidRPr="00AE430E">
                                <w:rPr>
                                  <w:rFonts w:eastAsia="ＭＳ 明朝" w:hAnsi="ＭＳ 明朝" w:cs="Times New Roman" w:hint="eastAsia"/>
                                  <w:kern w:val="2"/>
                                  <w:sz w:val="21"/>
                                  <w:szCs w:val="21"/>
                                </w:rPr>
                                <w:t>危険度判定</w:t>
                              </w:r>
                            </w:p>
                            <w:p w14:paraId="49ECB76A" w14:textId="77777777" w:rsidR="006A5267" w:rsidRPr="00AE430E" w:rsidRDefault="006A5267" w:rsidP="0021710E">
                              <w:pPr>
                                <w:pStyle w:val="Web"/>
                                <w:spacing w:before="0" w:beforeAutospacing="0" w:after="0" w:afterAutospacing="0" w:line="240" w:lineRule="exact"/>
                                <w:jc w:val="center"/>
                              </w:pPr>
                              <w:r w:rsidRPr="00AE430E">
                                <w:rPr>
                                  <w:rFonts w:eastAsia="ＭＳ 明朝" w:hAnsi="ＭＳ 明朝" w:cs="Times New Roman" w:hint="eastAsia"/>
                                  <w:kern w:val="2"/>
                                  <w:sz w:val="21"/>
                                  <w:szCs w:val="21"/>
                                </w:rPr>
                                <w:t>支援本部置</w:t>
                              </w:r>
                            </w:p>
                          </w:txbxContent>
                        </v:textbox>
                      </v:roundrect>
                      <v:shapetype id="_x0000_t7" coordsize="21600,21600" o:spt="7" adj="5400" path="m@0,l,21600@1,21600,21600,xe">
                        <v:stroke joinstyle="miter"/>
                        <v:formulas>
                          <v:f eqn="val #0"/>
                          <v:f eqn="sum width 0 #0"/>
                          <v:f eqn="prod #0 1 2"/>
                          <v:f eqn="sum width 0 @2"/>
                          <v:f eqn="mid #0 width"/>
                          <v:f eqn="mid @1 0"/>
                          <v:f eqn="prod height width #0"/>
                          <v:f eqn="prod @6 1 2"/>
                          <v:f eqn="sum height 0 @7"/>
                          <v:f eqn="prod width 1 2"/>
                          <v:f eqn="sum #0 0 @9"/>
                          <v:f eqn="if @10 @8 0"/>
                          <v:f eqn="if @10 @7 height"/>
                        </v:formulas>
                        <v:path gradientshapeok="t" o:connecttype="custom" o:connectlocs="@4,0;10800,@11;@3,10800;@5,21600;10800,@12;@2,10800" textboxrect="1800,1800,19800,19800;8100,8100,13500,13500;10800,10800,10800,10800"/>
                        <v:handles>
                          <v:h position="#0,topLeft" xrange="0,21600"/>
                        </v:handles>
                      </v:shapetype>
                      <v:shape id="爆発 1 6" o:spid="_x0000_s1423" type="#_x0000_t7" style="position:absolute;left:1800;top:11648;width:15640;height:1385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" adj="4784" fillcolor="white [3201]" strokecolor="black [3200]">
                        <v:textbox>
                          <w:txbxContent>
                            <w:p w14:paraId="12462207" w14:textId="77777777" w:rsidR="006A5267" w:rsidRPr="00AE430E" w:rsidRDefault="006A5267" w:rsidP="0021710E">
                              <w:pPr>
                                <w:pStyle w:val="Web"/>
                                <w:spacing w:before="0" w:beforeAutospacing="0" w:after="0" w:afterAutospacing="0" w:line="240" w:lineRule="exact"/>
                                <w:jc w:val="center"/>
                              </w:pPr>
                              <w:r w:rsidRPr="00AE430E">
                                <w:rPr>
                                  <w:rFonts w:eastAsia="ＭＳ 明朝" w:hAnsi="ＭＳ 明朝" w:cs="Times New Roman" w:hint="eastAsia"/>
                                  <w:kern w:val="2"/>
                                  <w:sz w:val="22"/>
                                  <w:szCs w:val="22"/>
                                </w:rPr>
                                <w:t>被災</w:t>
                              </w:r>
                            </w:p>
                            <w:p w14:paraId="279430E0" w14:textId="77777777" w:rsidR="006A5267" w:rsidRPr="00AE430E" w:rsidRDefault="006A5267" w:rsidP="0021710E">
                              <w:pPr>
                                <w:pStyle w:val="Web"/>
                                <w:spacing w:before="0" w:beforeAutospacing="0" w:after="0" w:afterAutospacing="0" w:line="240" w:lineRule="exact"/>
                                <w:jc w:val="center"/>
                              </w:pPr>
                              <w:r w:rsidRPr="00AE430E">
                                <w:rPr>
                                  <w:rFonts w:eastAsia="ＭＳ 明朝" w:hAnsi="ＭＳ 明朝" w:cs="Times New Roman" w:hint="eastAsia"/>
                                  <w:kern w:val="2"/>
                                  <w:sz w:val="22"/>
                                  <w:szCs w:val="22"/>
                                </w:rPr>
                                <w:t>市町村</w:t>
                              </w:r>
                            </w:p>
                            <w:p w14:paraId="7B23BC0A" w14:textId="77777777" w:rsidR="006A5267" w:rsidRPr="00AE430E" w:rsidRDefault="006A5267" w:rsidP="0021710E">
                              <w:pPr>
                                <w:pStyle w:val="Web"/>
                                <w:spacing w:before="0" w:beforeAutospacing="0" w:after="0" w:afterAutospacing="0" w:line="240" w:lineRule="exact"/>
                                <w:jc w:val="center"/>
                              </w:pPr>
                              <w:r w:rsidRPr="00AE430E">
                                <w:rPr>
                                  <w:rFonts w:ascii="ＭＳ 明朝" w:hAnsi="ＭＳ 明朝" w:cs="Times New Roman" w:hint="eastAsia"/>
                                  <w:kern w:val="2"/>
                                  <w:sz w:val="22"/>
                                  <w:szCs w:val="22"/>
                                </w:rPr>
                                <w:t>(</w:t>
                              </w:r>
                              <w:r w:rsidRPr="00AE430E">
                                <w:rPr>
                                  <w:rFonts w:eastAsia="ＭＳ 明朝" w:hAnsi="ＭＳ 明朝" w:cs="Times New Roman" w:hint="eastAsia"/>
                                  <w:kern w:val="2"/>
                                  <w:sz w:val="22"/>
                                  <w:szCs w:val="22"/>
                                </w:rPr>
                                <w:t>危険度判定実施本部</w:t>
                              </w:r>
                              <w:r w:rsidRPr="00AE430E">
                                <w:rPr>
                                  <w:rFonts w:eastAsia="ＭＳ 明朝" w:cs="Times New Roman" w:hint="eastAsia"/>
                                  <w:kern w:val="2"/>
                                  <w:sz w:val="22"/>
                                  <w:szCs w:val="22"/>
                                </w:rPr>
                                <w:t>)</w:t>
                              </w:r>
                            </w:p>
                          </w:txbxContent>
                        </v:textbox>
                      </v:shape>
                      <v:shape id="フローチャート : 複数書類 7" o:spid="_x0000_s1424" type="#_x0000_t7" style="position:absolute;left:44256;top:11674;width:14636;height:1295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" adj="4779" fillcolor="white [3201]" strokecolor="black [3200]">
                        <v:textbox>
                          <w:txbxContent>
                            <w:p w14:paraId="6C7033B0" w14:textId="77777777" w:rsidR="006A5267" w:rsidRPr="00AE430E" w:rsidRDefault="006A5267" w:rsidP="0021710E">
                              <w:pPr>
                                <w:pStyle w:val="Web"/>
                                <w:spacing w:before="0" w:beforeAutospacing="0" w:after="0" w:afterAutospacing="0"/>
                                <w:jc w:val="center"/>
                              </w:pPr>
                              <w:r w:rsidRPr="00AE430E">
                                <w:rPr>
                                  <w:rFonts w:eastAsia="ＭＳ 明朝" w:hAnsi="ＭＳ 明朝" w:cs="Times New Roman" w:hint="eastAsia"/>
                                  <w:kern w:val="2"/>
                                  <w:sz w:val="22"/>
                                  <w:szCs w:val="22"/>
                                </w:rPr>
                                <w:t>府内</w:t>
                              </w:r>
                            </w:p>
                            <w:p w14:paraId="277BE711" w14:textId="77777777" w:rsidR="006A5267" w:rsidRPr="00AE430E" w:rsidRDefault="006A5267" w:rsidP="0021710E">
                              <w:pPr>
                                <w:pStyle w:val="Web"/>
                                <w:spacing w:before="0" w:beforeAutospacing="0" w:after="0" w:afterAutospacing="0"/>
                                <w:jc w:val="center"/>
                              </w:pPr>
                              <w:r w:rsidRPr="00AE430E">
                                <w:rPr>
                                  <w:rFonts w:eastAsia="ＭＳ 明朝" w:hAnsi="ＭＳ 明朝" w:cs="Times New Roman" w:hint="eastAsia"/>
                                  <w:kern w:val="2"/>
                                  <w:sz w:val="22"/>
                                  <w:szCs w:val="22"/>
                                </w:rPr>
                                <w:t>市町村</w:t>
                              </w:r>
                            </w:p>
                            <w:p w14:paraId="575C4207" w14:textId="77777777" w:rsidR="006A5267" w:rsidRPr="00AE430E" w:rsidRDefault="006A5267" w:rsidP="0021710E">
                              <w:pPr>
                                <w:pStyle w:val="Web"/>
                                <w:spacing w:before="0" w:beforeAutospacing="0" w:after="0" w:afterAutospacing="0"/>
                                <w:jc w:val="center"/>
                              </w:pPr>
                              <w:r w:rsidRPr="00AE430E">
                                <w:rPr>
                                  <w:rFonts w:eastAsia="ＭＳ 明朝" w:hAnsi="ＭＳ 明朝" w:cs="Times New Roman" w:hint="eastAsia"/>
                                  <w:kern w:val="2"/>
                                  <w:sz w:val="22"/>
                                  <w:szCs w:val="22"/>
                                </w:rPr>
                                <w:t>（応援）</w:t>
                              </w:r>
                            </w:p>
                          </w:txbxContent>
                        </v:textbox>
                      </v:shape>
                      <v:rect id="フローチャート : 複数書類 14" o:spid="_x0000_s1425" style="position:absolute;left:41703;top:1800;width:16186;height:509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" fillcolor="white [3201]" strokecolor="black [3200]">
                        <v:textbox>
                          <w:txbxContent>
                            <w:p w14:paraId="741962E1" w14:textId="77777777" w:rsidR="006A5267" w:rsidRPr="00AE430E" w:rsidRDefault="006A5267" w:rsidP="0021710E">
                              <w:pPr>
                                <w:pStyle w:val="Web"/>
                                <w:spacing w:before="0" w:beforeAutospacing="0" w:after="0" w:afterAutospacing="0"/>
                                <w:jc w:val="center"/>
                              </w:pPr>
                              <w:r w:rsidRPr="00AE430E">
                                <w:rPr>
                                  <w:rFonts w:ascii="ＭＳ 明朝" w:hAnsi="ＭＳ 明朝" w:cs="Times New Roman" w:hint="eastAsia"/>
                                  <w:kern w:val="2"/>
                                  <w:sz w:val="22"/>
                                  <w:szCs w:val="22"/>
                                </w:rPr>
                                <w:t>4</w:t>
                              </w:r>
                              <w:r w:rsidRPr="00AE430E">
                                <w:rPr>
                                  <w:rFonts w:eastAsia="ＭＳ 明朝" w:hAnsi="ＭＳ 明朝" w:cs="Times New Roman" w:hint="eastAsia"/>
                                  <w:kern w:val="2"/>
                                  <w:sz w:val="22"/>
                                  <w:szCs w:val="22"/>
                                </w:rPr>
                                <w:t>団体以外の府</w:t>
                              </w:r>
                            </w:p>
                            <w:p w14:paraId="0CF34821" w14:textId="77777777" w:rsidR="006A5267" w:rsidRPr="00AE430E" w:rsidRDefault="006A5267" w:rsidP="0021710E">
                              <w:pPr>
                                <w:pStyle w:val="Web"/>
                                <w:spacing w:before="0" w:beforeAutospacing="0" w:after="0" w:afterAutospacing="0"/>
                                <w:jc w:val="center"/>
                              </w:pPr>
                              <w:r w:rsidRPr="00AE430E">
                                <w:rPr>
                                  <w:rFonts w:eastAsia="ＭＳ 明朝" w:hAnsi="ＭＳ 明朝" w:cs="Times New Roman" w:hint="eastAsia"/>
                                  <w:kern w:val="2"/>
                                  <w:sz w:val="22"/>
                                  <w:szCs w:val="22"/>
                                </w:rPr>
                                <w:t>登録民間判定士</w:t>
                              </w:r>
                            </w:p>
                          </w:txbxContent>
                        </v:textbox>
                      </v:rect>
                      <v:rect id="フローチャート : 複数書類 112" o:spid="_x0000_s1426" style="position:absolute;left:4949;top:1800;width:16186;height:397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" fillcolor="white [3201]" strokecolor="black [3200]">
                        <v:textbox>
                          <w:txbxContent>
                            <w:p w14:paraId="0E25A06C" w14:textId="77777777" w:rsidR="006A5267" w:rsidRPr="00AE430E" w:rsidRDefault="006A5267" w:rsidP="0021710E">
                              <w:pPr>
                                <w:pStyle w:val="Web"/>
                                <w:spacing w:before="0" w:beforeAutospacing="0" w:after="0" w:afterAutospacing="0"/>
                                <w:jc w:val="center"/>
                              </w:pPr>
                              <w:r w:rsidRPr="00AE430E">
                                <w:rPr>
                                  <w:rFonts w:eastAsia="ＭＳ 明朝" w:hAnsi="ＭＳ 明朝" w:cs="Times New Roman" w:hint="eastAsia"/>
                                  <w:kern w:val="2"/>
                                  <w:sz w:val="22"/>
                                  <w:szCs w:val="22"/>
                                </w:rPr>
                                <w:t>協定締結４団体</w:t>
                              </w:r>
                            </w:p>
                          </w:txbxContent>
                        </v:textbox>
                      </v:rect>
                      <v:shape id="直線矢印コネクタ 1639" o:spid="_x0000_s1427" type="#_x0000_t32" style="position:absolute;left:20900;top:6016;width:5017;height:7683;rotation:180;flip:x 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" strokecolor="black [3040]">
                        <v:stroke startarrow="open" endarrow="open"/>
                      </v:shape>
                      <v:shape id="テキスト ボックス 32" o:spid="_x0000_s1428" type="#_x0000_t202" style="position:absolute;left:10537;top:6924;width:10059;height:346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" fillcolor="window" stroked="f" strokeweight=".5pt">
                        <v:textbox>
                          <w:txbxContent>
                            <w:p w14:paraId="0349B5DC" w14:textId="77777777" w:rsidR="006A5267" w:rsidRPr="00AE430E" w:rsidRDefault="006A5267" w:rsidP="0021710E">
                              <w:pPr>
                                <w:pStyle w:val="Web"/>
                                <w:spacing w:before="0" w:beforeAutospacing="0" w:after="0" w:afterAutospacing="0" w:line="200" w:lineRule="exact"/>
                              </w:pPr>
                              <w:r w:rsidRPr="00AE430E">
                                <w:rPr>
                                  <w:rFonts w:ascii="Century" w:eastAsia="ＭＳ 明朝" w:hAnsi="ＭＳ 明朝" w:cs="Times New Roman" w:hint="eastAsia"/>
                                  <w:kern w:val="2"/>
                                  <w:sz w:val="18"/>
                                  <w:szCs w:val="18"/>
                                </w:rPr>
                                <w:t>○府・市町村間で調整後、参集</w:t>
                              </w:r>
                            </w:p>
                          </w:txbxContent>
                        </v:textbox>
                      </v:shape>
                      <v:rect id="フローチャート : 書類 15" o:spid="_x0000_s1429" style="position:absolute;left:3184;top:40204;width:9671;height:344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" fillcolor="white [3201]" strokecolor="black [3200]">
                        <v:textbox>
                          <w:txbxContent>
                            <w:p w14:paraId="4B5924F4" w14:textId="77777777" w:rsidR="006A5267" w:rsidRPr="00AE430E" w:rsidRDefault="006A5267" w:rsidP="0021710E">
                              <w:pPr>
                                <w:pStyle w:val="Web"/>
                                <w:spacing w:before="0" w:beforeAutospacing="0" w:after="0" w:afterAutospacing="0"/>
                                <w:jc w:val="center"/>
                              </w:pPr>
                              <w:r w:rsidRPr="00AE430E">
                                <w:rPr>
                                  <w:rFonts w:eastAsia="ＭＳ 明朝" w:hAnsi="ＭＳ 明朝" w:cs="Times New Roman" w:hint="eastAsia"/>
                                  <w:kern w:val="2"/>
                                  <w:sz w:val="21"/>
                                  <w:szCs w:val="21"/>
                                </w:rPr>
                                <w:t>応援府県</w:t>
                              </w:r>
                            </w:p>
                          </w:txbxContent>
                        </v:textbox>
                      </v:rect>
                      <v:rect id="フローチャート : 書類 17" o:spid="_x0000_s1430" style="position:absolute;left:16239;top:40217;width:9671;height:344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" fillcolor="white [3201]" strokecolor="black [3200]">
                        <v:textbox>
                          <w:txbxContent>
                            <w:p w14:paraId="28B30B96" w14:textId="77777777" w:rsidR="006A5267" w:rsidRPr="00AE430E" w:rsidRDefault="006A5267" w:rsidP="0021710E">
                              <w:pPr>
                                <w:pStyle w:val="Web"/>
                                <w:spacing w:before="0" w:beforeAutospacing="0" w:after="0" w:afterAutospacing="0" w:line="240" w:lineRule="exact"/>
                                <w:jc w:val="center"/>
                              </w:pPr>
                              <w:r w:rsidRPr="00AE430E">
                                <w:rPr>
                                  <w:rFonts w:eastAsia="ＭＳ 明朝" w:hAnsi="ＭＳ 明朝" w:cs="Times New Roman" w:hint="eastAsia"/>
                                  <w:kern w:val="2"/>
                                  <w:sz w:val="21"/>
                                  <w:szCs w:val="21"/>
                                </w:rPr>
                                <w:t>国土交通省</w:t>
                              </w:r>
                            </w:p>
                          </w:txbxContent>
                        </v:textbox>
                      </v:rect>
                      <v:rect id="フローチャート : 書類 16" o:spid="_x0000_s1431" style="position:absolute;left:8569;top:33486;width:12090;height:344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" fillcolor="white [3201]" strokecolor="black [3200]">
                        <v:textbox>
                          <w:txbxContent>
                            <w:p w14:paraId="0CACA5FB" w14:textId="77777777" w:rsidR="006A5267" w:rsidRPr="00AE430E" w:rsidRDefault="006A5267" w:rsidP="0021710E">
                              <w:pPr>
                                <w:pStyle w:val="Web"/>
                                <w:spacing w:before="0" w:beforeAutospacing="0" w:after="0" w:afterAutospacing="0" w:line="240" w:lineRule="exact"/>
                                <w:jc w:val="center"/>
                              </w:pPr>
                              <w:r w:rsidRPr="00AE430E">
                                <w:rPr>
                                  <w:rFonts w:eastAsia="ＭＳ 明朝" w:hAnsi="ＭＳ 明朝" w:cs="Times New Roman" w:hint="eastAsia"/>
                                  <w:kern w:val="2"/>
                                  <w:sz w:val="21"/>
                                  <w:szCs w:val="21"/>
                                </w:rPr>
                                <w:t>広域支援本部</w:t>
                              </w:r>
                            </w:p>
                          </w:txbxContent>
                        </v:textbox>
                      </v:rect>
                      <v:shape id="直線矢印コネクタ 1644" o:spid="_x0000_s1432" type="#_x0000_t32" style="position:absolute;left:35943;top:6930;width:5519;height:6769;rotation:180;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" strokecolor="black [3040]">
                        <v:stroke startarrow="open" endarrow="open"/>
                      </v:shape>
                      <v:shape id="直線矢印コネクタ 1645" o:spid="_x0000_s1433" type="#_x0000_t32" style="position:absolute;left:10848;top:5730;width:0;height:5899;rotation:180;flip:x 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" strokecolor="black [3040]">
                        <v:stroke endarrow="open"/>
                      </v:shape>
                      <v:shape id="直線矢印コネクタ 1646" o:spid="_x0000_s1434" type="#_x0000_t32" style="position:absolute;left:15363;top:20253;width:10363;height:0;rotation:180;flip:x 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" strokecolor="black [3040]">
                        <v:stroke startarrow="open" endarrow="open"/>
                      </v:shape>
                      <v:shape id="直線矢印コネクタ 1647" o:spid="_x0000_s1435" type="#_x0000_t32" style="position:absolute;left:36369;top:20246;width:8636;height:0;rotation:180;flip:x 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" strokecolor="black [3040]">
                        <v:stroke startarrow="open" endarrow="open"/>
                      </v:shape>
                      <v:shape id="テキスト ボックス 21" o:spid="_x0000_s1436" type="#_x0000_t202" style="position:absolute;left:15776;top:15363;width:9417;height:489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" filled="f" stroked="f" strokeweight=".5pt">
                        <v:textbox>
                          <w:txbxContent>
                            <w:p w14:paraId="768F5A60" w14:textId="77777777" w:rsidR="006A5267" w:rsidRPr="00AE430E" w:rsidRDefault="006A5267" w:rsidP="0021710E">
                              <w:pPr>
                                <w:pStyle w:val="Web"/>
                                <w:spacing w:before="0" w:beforeAutospacing="0" w:after="0" w:afterAutospacing="0" w:line="200" w:lineRule="exact"/>
                              </w:pPr>
                              <w:r w:rsidRPr="00AE430E">
                                <w:rPr>
                                  <w:rFonts w:ascii="ＭＳ 明朝" w:hAnsi="ＭＳ 明朝" w:cs="Times New Roman" w:hint="eastAsia"/>
                                  <w:kern w:val="2"/>
                                  <w:sz w:val="18"/>
                                  <w:szCs w:val="18"/>
                                </w:rPr>
                                <w:t>1.</w:t>
                              </w:r>
                              <w:r w:rsidRPr="00AE430E">
                                <w:rPr>
                                  <w:rFonts w:ascii="Century" w:eastAsia="ＭＳ 明朝" w:hAnsi="ＭＳ 明朝" w:cs="Times New Roman" w:hint="eastAsia"/>
                                  <w:kern w:val="2"/>
                                  <w:sz w:val="18"/>
                                  <w:szCs w:val="18"/>
                                </w:rPr>
                                <w:t>○応援要請</w:t>
                              </w:r>
                            </w:p>
                            <w:p w14:paraId="748B1C1E" w14:textId="77777777" w:rsidR="006A5267" w:rsidRPr="00AE430E" w:rsidRDefault="006A5267" w:rsidP="0021710E">
                              <w:pPr>
                                <w:pStyle w:val="Web"/>
                                <w:spacing w:before="0" w:beforeAutospacing="0" w:after="0" w:afterAutospacing="0" w:line="200" w:lineRule="exact"/>
                              </w:pPr>
                              <w:r w:rsidRPr="00AE430E">
                                <w:rPr>
                                  <w:rFonts w:ascii="ＭＳ 明朝" w:hAnsi="ＭＳ 明朝" w:cs="Times New Roman" w:hint="eastAsia"/>
                                  <w:kern w:val="2"/>
                                  <w:sz w:val="18"/>
                                  <w:szCs w:val="18"/>
                                </w:rPr>
                                <w:t>2.</w:t>
                              </w:r>
                              <w:r w:rsidRPr="00AE430E">
                                <w:rPr>
                                  <w:rFonts w:ascii="Century" w:eastAsia="ＭＳ 明朝" w:hAnsi="ＭＳ 明朝" w:cs="Times New Roman" w:hint="eastAsia"/>
                                  <w:kern w:val="2"/>
                                  <w:sz w:val="18"/>
                                  <w:szCs w:val="18"/>
                                </w:rPr>
                                <w:t>●回答</w:t>
                              </w:r>
                            </w:p>
                            <w:p w14:paraId="17C2A5DC" w14:textId="77777777" w:rsidR="006A5267" w:rsidRPr="00AE430E" w:rsidRDefault="006A5267" w:rsidP="0021710E">
                              <w:pPr>
                                <w:pStyle w:val="Web"/>
                                <w:spacing w:before="0" w:beforeAutospacing="0" w:after="0" w:afterAutospacing="0" w:line="200" w:lineRule="exact"/>
                              </w:pPr>
                              <w:r w:rsidRPr="00AE430E">
                                <w:rPr>
                                  <w:rFonts w:ascii="ＭＳ 明朝" w:hAnsi="ＭＳ 明朝" w:cs="Times New Roman" w:hint="eastAsia"/>
                                  <w:kern w:val="2"/>
                                  <w:sz w:val="18"/>
                                  <w:szCs w:val="18"/>
                                </w:rPr>
                                <w:t>3.</w:t>
                              </w:r>
                              <w:r w:rsidRPr="00AE430E">
                                <w:rPr>
                                  <w:rFonts w:ascii="Century" w:eastAsia="ＭＳ 明朝" w:hAnsi="ＭＳ 明朝" w:cs="Times New Roman" w:hint="eastAsia"/>
                                  <w:kern w:val="2"/>
                                  <w:sz w:val="18"/>
                                  <w:szCs w:val="18"/>
                                </w:rPr>
                                <w:t>○決定通知</w:t>
                              </w:r>
                            </w:p>
                          </w:txbxContent>
                        </v:textbox>
                      </v:shape>
                      <v:shape id="テキスト ボックス 23" o:spid="_x0000_s1437" type="#_x0000_t202" style="position:absolute;left:37175;top:15300;width:8960;height:495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" filled="f" stroked="f" strokeweight=".5pt">
                        <v:textbox>
                          <w:txbxContent>
                            <w:p w14:paraId="392701D0" w14:textId="77777777" w:rsidR="006A5267" w:rsidRPr="00AE430E" w:rsidRDefault="006A5267" w:rsidP="0021710E">
                              <w:pPr>
                                <w:pStyle w:val="Web"/>
                                <w:spacing w:before="0" w:beforeAutospacing="0" w:after="0" w:afterAutospacing="0" w:line="200" w:lineRule="exact"/>
                              </w:pPr>
                              <w:r w:rsidRPr="00AE430E">
                                <w:rPr>
                                  <w:rFonts w:ascii="ＭＳ 明朝" w:hAnsi="ＭＳ 明朝" w:cs="Times New Roman" w:hint="eastAsia"/>
                                  <w:kern w:val="2"/>
                                  <w:sz w:val="18"/>
                                  <w:szCs w:val="18"/>
                                </w:rPr>
                                <w:t>1.</w:t>
                              </w:r>
                              <w:r w:rsidRPr="00AE430E">
                                <w:rPr>
                                  <w:rFonts w:ascii="Century" w:eastAsia="ＭＳ 明朝" w:hAnsi="ＭＳ 明朝" w:cs="Times New Roman" w:hint="eastAsia"/>
                                  <w:kern w:val="2"/>
                                  <w:sz w:val="18"/>
                                  <w:szCs w:val="18"/>
                                </w:rPr>
                                <w:t>●参集要請</w:t>
                              </w:r>
                            </w:p>
                            <w:p w14:paraId="287D5ECF" w14:textId="77777777" w:rsidR="006A5267" w:rsidRPr="00AE430E" w:rsidRDefault="006A5267" w:rsidP="0021710E">
                              <w:pPr>
                                <w:pStyle w:val="Web"/>
                                <w:spacing w:before="0" w:beforeAutospacing="0" w:after="0" w:afterAutospacing="0" w:line="200" w:lineRule="exact"/>
                              </w:pPr>
                              <w:r w:rsidRPr="00AE430E">
                                <w:rPr>
                                  <w:rFonts w:ascii="ＭＳ 明朝" w:hAnsi="ＭＳ 明朝" w:cs="Times New Roman" w:hint="eastAsia"/>
                                  <w:kern w:val="2"/>
                                  <w:sz w:val="18"/>
                                  <w:szCs w:val="18"/>
                                </w:rPr>
                                <w:t>2.</w:t>
                              </w:r>
                              <w:r w:rsidRPr="00AE430E">
                                <w:rPr>
                                  <w:rFonts w:ascii="Century" w:eastAsia="ＭＳ 明朝" w:hAnsi="ＭＳ 明朝" w:cs="Times New Roman" w:hint="eastAsia"/>
                                  <w:kern w:val="2"/>
                                  <w:sz w:val="18"/>
                                  <w:szCs w:val="18"/>
                                </w:rPr>
                                <w:t>○回答</w:t>
                              </w:r>
                            </w:p>
                            <w:p w14:paraId="6CAAE14C" w14:textId="77777777" w:rsidR="006A5267" w:rsidRPr="00AE430E" w:rsidRDefault="006A5267" w:rsidP="0021710E">
                              <w:pPr>
                                <w:pStyle w:val="Web"/>
                                <w:spacing w:before="0" w:beforeAutospacing="0" w:after="0" w:afterAutospacing="0" w:line="200" w:lineRule="exact"/>
                              </w:pPr>
                              <w:r w:rsidRPr="00AE430E">
                                <w:rPr>
                                  <w:rFonts w:ascii="ＭＳ 明朝" w:hAnsi="ＭＳ 明朝" w:cs="Times New Roman" w:hint="eastAsia"/>
                                  <w:kern w:val="2"/>
                                  <w:sz w:val="18"/>
                                  <w:szCs w:val="18"/>
                                </w:rPr>
                                <w:t>3.</w:t>
                              </w:r>
                              <w:r w:rsidRPr="00AE430E">
                                <w:rPr>
                                  <w:rFonts w:ascii="Century" w:eastAsia="ＭＳ 明朝" w:hAnsi="ＭＳ 明朝" w:cs="Times New Roman" w:hint="eastAsia"/>
                                  <w:kern w:val="2"/>
                                  <w:sz w:val="18"/>
                                  <w:szCs w:val="18"/>
                                </w:rPr>
                                <w:t>●決定通知</w:t>
                              </w:r>
                            </w:p>
                          </w:txbxContent>
                        </v:textbox>
                      </v:shape>
                      <v:shape id="テキスト ボックス 28" o:spid="_x0000_s1438" type="#_x0000_t202" style="position:absolute;left:39029;top:8518;width:8960;height:518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" filled="f" stroked="f" strokeweight=".5pt">
                        <v:textbox>
                          <w:txbxContent>
                            <w:p w14:paraId="661695F4" w14:textId="77777777" w:rsidR="006A5267" w:rsidRPr="00AE430E" w:rsidRDefault="006A5267" w:rsidP="0021710E">
                              <w:pPr>
                                <w:pStyle w:val="Web"/>
                                <w:spacing w:before="0" w:beforeAutospacing="0" w:after="0" w:afterAutospacing="0" w:line="200" w:lineRule="exact"/>
                              </w:pPr>
                              <w:r w:rsidRPr="00AE430E">
                                <w:rPr>
                                  <w:rFonts w:ascii="ＭＳ 明朝" w:hAnsi="ＭＳ 明朝" w:cs="Times New Roman" w:hint="eastAsia"/>
                                  <w:kern w:val="2"/>
                                  <w:sz w:val="18"/>
                                  <w:szCs w:val="18"/>
                                </w:rPr>
                                <w:t>1.</w:t>
                              </w:r>
                              <w:r w:rsidRPr="00AE430E">
                                <w:rPr>
                                  <w:rFonts w:ascii="Century" w:eastAsia="ＭＳ 明朝" w:hAnsi="ＭＳ 明朝" w:cs="Times New Roman" w:hint="eastAsia"/>
                                  <w:kern w:val="2"/>
                                  <w:sz w:val="18"/>
                                  <w:szCs w:val="18"/>
                                </w:rPr>
                                <w:t>●参集要請</w:t>
                              </w:r>
                            </w:p>
                            <w:p w14:paraId="0B839406" w14:textId="77777777" w:rsidR="006A5267" w:rsidRPr="00AE430E" w:rsidRDefault="006A5267" w:rsidP="0021710E">
                              <w:pPr>
                                <w:pStyle w:val="Web"/>
                                <w:spacing w:before="0" w:beforeAutospacing="0" w:after="0" w:afterAutospacing="0" w:line="200" w:lineRule="exact"/>
                              </w:pPr>
                              <w:r w:rsidRPr="00AE430E">
                                <w:rPr>
                                  <w:rFonts w:ascii="ＭＳ 明朝" w:hAnsi="ＭＳ 明朝" w:cs="Times New Roman" w:hint="eastAsia"/>
                                  <w:kern w:val="2"/>
                                  <w:sz w:val="18"/>
                                  <w:szCs w:val="18"/>
                                </w:rPr>
                                <w:t>2.</w:t>
                              </w:r>
                              <w:r w:rsidRPr="00AE430E">
                                <w:rPr>
                                  <w:rFonts w:ascii="Century" w:eastAsia="ＭＳ 明朝" w:hAnsi="ＭＳ 明朝" w:cs="Times New Roman" w:hint="eastAsia"/>
                                  <w:kern w:val="2"/>
                                  <w:sz w:val="18"/>
                                  <w:szCs w:val="18"/>
                                </w:rPr>
                                <w:t>○回答</w:t>
                              </w:r>
                            </w:p>
                            <w:p w14:paraId="51D2709D" w14:textId="77777777" w:rsidR="006A5267" w:rsidRPr="00AE430E" w:rsidRDefault="006A5267" w:rsidP="0021710E">
                              <w:pPr>
                                <w:pStyle w:val="Web"/>
                                <w:spacing w:before="0" w:beforeAutospacing="0" w:after="0" w:afterAutospacing="0" w:line="200" w:lineRule="exact"/>
                              </w:pPr>
                              <w:r w:rsidRPr="00AE430E">
                                <w:rPr>
                                  <w:rFonts w:ascii="ＭＳ 明朝" w:hAnsi="ＭＳ 明朝" w:cs="Times New Roman" w:hint="eastAsia"/>
                                  <w:kern w:val="2"/>
                                  <w:sz w:val="18"/>
                                  <w:szCs w:val="18"/>
                                </w:rPr>
                                <w:t>3.</w:t>
                              </w:r>
                              <w:r w:rsidRPr="00AE430E">
                                <w:rPr>
                                  <w:rFonts w:ascii="Century" w:eastAsia="ＭＳ 明朝" w:hAnsi="ＭＳ 明朝" w:cs="Times New Roman" w:hint="eastAsia"/>
                                  <w:kern w:val="2"/>
                                  <w:sz w:val="18"/>
                                  <w:szCs w:val="18"/>
                                </w:rPr>
                                <w:t>●決定通知</w:t>
                              </w:r>
                            </w:p>
                          </w:txbxContent>
                        </v:textbox>
                      </v:shape>
                      <v:shape id="テキスト ボックス 30" o:spid="_x0000_s1439" type="#_x0000_t202" style="position:absolute;left:22488;top:5813;width:8959;height:51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" filled="f" stroked="f" strokeweight=".5pt">
                        <v:textbox>
                          <w:txbxContent>
                            <w:p w14:paraId="0713C41F" w14:textId="77777777" w:rsidR="006A5267" w:rsidRPr="00AE430E" w:rsidRDefault="006A5267" w:rsidP="0021710E">
                              <w:pPr>
                                <w:pStyle w:val="Web"/>
                                <w:spacing w:before="0" w:beforeAutospacing="0" w:after="0" w:afterAutospacing="0" w:line="200" w:lineRule="exact"/>
                              </w:pPr>
                              <w:r w:rsidRPr="00AE430E">
                                <w:rPr>
                                  <w:rFonts w:ascii="ＭＳ 明朝" w:hAnsi="ＭＳ 明朝" w:cs="Times New Roman" w:hint="eastAsia"/>
                                  <w:kern w:val="2"/>
                                  <w:sz w:val="18"/>
                                  <w:szCs w:val="18"/>
                                </w:rPr>
                                <w:t>1.</w:t>
                              </w:r>
                              <w:r w:rsidRPr="00AE430E">
                                <w:rPr>
                                  <w:rFonts w:ascii="Century" w:eastAsia="ＭＳ 明朝" w:hAnsi="ＭＳ 明朝" w:cs="Times New Roman" w:hint="eastAsia"/>
                                  <w:kern w:val="2"/>
                                  <w:sz w:val="18"/>
                                  <w:szCs w:val="18"/>
                                </w:rPr>
                                <w:t>●参集要請</w:t>
                              </w:r>
                            </w:p>
                            <w:p w14:paraId="1C57932F" w14:textId="77777777" w:rsidR="006A5267" w:rsidRPr="00AE430E" w:rsidRDefault="006A5267" w:rsidP="0021710E">
                              <w:pPr>
                                <w:pStyle w:val="Web"/>
                                <w:spacing w:before="0" w:beforeAutospacing="0" w:after="0" w:afterAutospacing="0" w:line="200" w:lineRule="exact"/>
                              </w:pPr>
                              <w:r w:rsidRPr="00AE430E">
                                <w:rPr>
                                  <w:rFonts w:ascii="ＭＳ 明朝" w:hAnsi="ＭＳ 明朝" w:cs="Times New Roman" w:hint="eastAsia"/>
                                  <w:kern w:val="2"/>
                                  <w:sz w:val="18"/>
                                  <w:szCs w:val="18"/>
                                </w:rPr>
                                <w:t>2.</w:t>
                              </w:r>
                              <w:r w:rsidRPr="00AE430E">
                                <w:rPr>
                                  <w:rFonts w:ascii="Century" w:eastAsia="ＭＳ 明朝" w:hAnsi="ＭＳ 明朝" w:cs="Times New Roman" w:hint="eastAsia"/>
                                  <w:kern w:val="2"/>
                                  <w:sz w:val="18"/>
                                  <w:szCs w:val="18"/>
                                </w:rPr>
                                <w:t>○回答</w:t>
                              </w:r>
                            </w:p>
                            <w:p w14:paraId="66B63535" w14:textId="77777777" w:rsidR="006A5267" w:rsidRPr="00AE430E" w:rsidRDefault="006A5267" w:rsidP="0021710E">
                              <w:pPr>
                                <w:pStyle w:val="Web"/>
                                <w:spacing w:before="0" w:beforeAutospacing="0" w:after="0" w:afterAutospacing="0" w:line="200" w:lineRule="exact"/>
                              </w:pPr>
                              <w:r w:rsidRPr="00AE430E">
                                <w:rPr>
                                  <w:rFonts w:ascii="ＭＳ 明朝" w:hAnsi="ＭＳ 明朝" w:cs="Times New Roman" w:hint="eastAsia"/>
                                  <w:kern w:val="2"/>
                                  <w:sz w:val="18"/>
                                  <w:szCs w:val="18"/>
                                </w:rPr>
                                <w:t>3.</w:t>
                              </w:r>
                              <w:r w:rsidRPr="00AE430E">
                                <w:rPr>
                                  <w:rFonts w:ascii="Century" w:eastAsia="ＭＳ 明朝" w:hAnsi="ＭＳ 明朝" w:cs="Times New Roman" w:hint="eastAsia"/>
                                  <w:kern w:val="2"/>
                                  <w:sz w:val="18"/>
                                  <w:szCs w:val="18"/>
                                </w:rPr>
                                <w:t>●決定通知</w:t>
                              </w:r>
                            </w:p>
                          </w:txbxContent>
                        </v:textbox>
                      </v:shape>
                      <v:shape id="テキスト ボックス 33" o:spid="_x0000_s1440" type="#_x0000_t202" style="position:absolute;left:38903;top:37855;width:22434;height:466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" filled="f" stroked="f" strokeweight=".5pt">
                        <v:textbox>
                          <w:txbxContent>
                            <w:p w14:paraId="414094BB" w14:textId="77777777" w:rsidR="006A5267" w:rsidRPr="00AE430E" w:rsidRDefault="006A5267" w:rsidP="0021710E">
                              <w:pPr>
                                <w:pStyle w:val="Web"/>
                                <w:spacing w:before="0" w:beforeAutospacing="0" w:after="0" w:afterAutospacing="0" w:line="200" w:lineRule="exact"/>
                              </w:pPr>
                              <w:r w:rsidRPr="00AE430E">
                                <w:rPr>
                                  <w:rFonts w:ascii="Century" w:eastAsia="ＭＳ 明朝" w:hAnsi="ＭＳ 明朝" w:cs="Times New Roman" w:hint="eastAsia"/>
                                  <w:kern w:val="2"/>
                                  <w:sz w:val="18"/>
                                  <w:szCs w:val="18"/>
                                </w:rPr>
                                <w:t>【府及び他団体とのやりとり　凡例】</w:t>
                              </w:r>
                            </w:p>
                            <w:p w14:paraId="659699E1" w14:textId="77777777" w:rsidR="006A5267" w:rsidRPr="00AE430E" w:rsidRDefault="006A5267" w:rsidP="0021710E">
                              <w:pPr>
                                <w:pStyle w:val="Web"/>
                                <w:spacing w:before="0" w:beforeAutospacing="0" w:after="0" w:afterAutospacing="0" w:line="200" w:lineRule="exact"/>
                                <w:ind w:firstLine="187"/>
                              </w:pPr>
                              <w:r w:rsidRPr="00AE430E">
                                <w:rPr>
                                  <w:rFonts w:ascii="Century" w:eastAsia="ＭＳ 明朝" w:hAnsi="ＭＳ 明朝" w:cs="Times New Roman" w:hint="eastAsia"/>
                                  <w:kern w:val="2"/>
                                  <w:sz w:val="18"/>
                                  <w:szCs w:val="18"/>
                                </w:rPr>
                                <w:t>●：府が実施</w:t>
                              </w:r>
                            </w:p>
                            <w:p w14:paraId="5D9A45AC" w14:textId="77777777" w:rsidR="006A5267" w:rsidRPr="00AE430E" w:rsidRDefault="006A5267" w:rsidP="0021710E">
                              <w:pPr>
                                <w:pStyle w:val="Web"/>
                                <w:spacing w:before="0" w:beforeAutospacing="0" w:after="0" w:afterAutospacing="0" w:line="200" w:lineRule="exact"/>
                                <w:ind w:firstLine="187"/>
                              </w:pPr>
                              <w:r w:rsidRPr="00AE430E">
                                <w:rPr>
                                  <w:rFonts w:ascii="Century" w:eastAsia="ＭＳ 明朝" w:hAnsi="ＭＳ 明朝" w:cs="Times New Roman" w:hint="eastAsia"/>
                                  <w:kern w:val="2"/>
                                  <w:sz w:val="18"/>
                                  <w:szCs w:val="18"/>
                                </w:rPr>
                                <w:t>○：市町村や団体等が実施</w:t>
                              </w:r>
                            </w:p>
                          </w:txbxContent>
                        </v:textbox>
                      </v:shape>
                      <v:shape id="直線矢印コネクタ 1653" o:spid="_x0000_s1441" type="#_x0000_t32" style="position:absolute;left:18151;top:27320;width:7232;height:6179;rotation:180;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" strokecolor="black [3040]">
                        <v:stroke startarrow="open" endarrow="open"/>
                      </v:shape>
                      <v:shape id="テキスト ボックス 39" o:spid="_x0000_s1442" type="#_x0000_t202" style="position:absolute;left:13528;top:26266;width:8960;height:584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" filled="f" stroked="f" strokeweight=".5pt">
                        <v:textbox>
                          <w:txbxContent>
                            <w:p w14:paraId="12E9C3B5" w14:textId="77777777" w:rsidR="006A5267" w:rsidRPr="00AE430E" w:rsidRDefault="006A5267" w:rsidP="0021710E">
                              <w:pPr>
                                <w:pStyle w:val="Web"/>
                                <w:spacing w:before="0" w:beforeAutospacing="0" w:after="0" w:afterAutospacing="0" w:line="200" w:lineRule="exact"/>
                              </w:pPr>
                              <w:r w:rsidRPr="00AE430E">
                                <w:rPr>
                                  <w:rFonts w:ascii="ＭＳ 明朝" w:hAnsi="ＭＳ 明朝" w:cs="Times New Roman" w:hint="eastAsia"/>
                                  <w:kern w:val="2"/>
                                  <w:sz w:val="18"/>
                                  <w:szCs w:val="18"/>
                                </w:rPr>
                                <w:t>1.</w:t>
                              </w:r>
                              <w:r w:rsidRPr="00AE430E">
                                <w:rPr>
                                  <w:rFonts w:ascii="Century" w:eastAsia="ＭＳ 明朝" w:hAnsi="ＭＳ 明朝" w:cs="Times New Roman" w:hint="eastAsia"/>
                                  <w:kern w:val="2"/>
                                  <w:sz w:val="18"/>
                                  <w:szCs w:val="18"/>
                                </w:rPr>
                                <w:t>●応援要請</w:t>
                              </w:r>
                            </w:p>
                            <w:p w14:paraId="2D05A0A5" w14:textId="77777777" w:rsidR="006A5267" w:rsidRPr="00AE430E" w:rsidRDefault="006A5267" w:rsidP="0021710E">
                              <w:pPr>
                                <w:pStyle w:val="Web"/>
                                <w:spacing w:before="0" w:beforeAutospacing="0" w:after="0" w:afterAutospacing="0" w:line="200" w:lineRule="exact"/>
                              </w:pPr>
                              <w:r w:rsidRPr="00AE430E">
                                <w:rPr>
                                  <w:rFonts w:ascii="ＭＳ 明朝" w:hAnsi="ＭＳ 明朝" w:cs="Times New Roman" w:hint="eastAsia"/>
                                  <w:kern w:val="2"/>
                                  <w:sz w:val="18"/>
                                  <w:szCs w:val="18"/>
                                </w:rPr>
                                <w:t>2.</w:t>
                              </w:r>
                              <w:r w:rsidRPr="00AE430E">
                                <w:rPr>
                                  <w:rFonts w:ascii="Century" w:eastAsia="ＭＳ 明朝" w:hAnsi="ＭＳ 明朝" w:cs="Times New Roman" w:hint="eastAsia"/>
                                  <w:kern w:val="2"/>
                                  <w:sz w:val="18"/>
                                  <w:szCs w:val="18"/>
                                </w:rPr>
                                <w:t>○回答</w:t>
                              </w:r>
                            </w:p>
                            <w:p w14:paraId="4BF092A9" w14:textId="77777777" w:rsidR="006A5267" w:rsidRPr="00AE430E" w:rsidRDefault="006A5267" w:rsidP="0021710E">
                              <w:pPr>
                                <w:pStyle w:val="Web"/>
                                <w:spacing w:before="0" w:beforeAutospacing="0" w:after="0" w:afterAutospacing="0" w:line="200" w:lineRule="exact"/>
                              </w:pPr>
                              <w:r w:rsidRPr="00AE430E">
                                <w:rPr>
                                  <w:rFonts w:ascii="ＭＳ 明朝" w:hAnsi="ＭＳ 明朝" w:cs="Times New Roman" w:hint="eastAsia"/>
                                  <w:kern w:val="2"/>
                                  <w:sz w:val="18"/>
                                  <w:szCs w:val="18"/>
                                </w:rPr>
                                <w:t>3.</w:t>
                              </w:r>
                              <w:r w:rsidRPr="00AE430E">
                                <w:rPr>
                                  <w:rFonts w:ascii="Century" w:eastAsia="ＭＳ 明朝" w:hAnsi="ＭＳ 明朝" w:cs="Times New Roman" w:hint="eastAsia"/>
                                  <w:kern w:val="2"/>
                                  <w:sz w:val="18"/>
                                  <w:szCs w:val="18"/>
                                </w:rPr>
                                <w:t>●決定通知</w:t>
                              </w:r>
                            </w:p>
                          </w:txbxContent>
                        </v:textbox>
                      </v:shape>
                      <v:rect id="フローチャート : 書類 16" o:spid="_x0000_s1443" style="position:absolute;left:41741;top:26774;width:17565;height:344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" fillcolor="white [3201]" strokecolor="black [3200]">
                        <v:textbox>
                          <w:txbxContent>
                            <w:p w14:paraId="4F31893B" w14:textId="77777777" w:rsidR="006A5267" w:rsidRPr="00AE430E" w:rsidRDefault="006A5267" w:rsidP="0021710E">
                              <w:pPr>
                                <w:pStyle w:val="Web"/>
                                <w:spacing w:before="0" w:beforeAutospacing="0" w:after="0" w:afterAutospacing="0" w:line="240" w:lineRule="exact"/>
                                <w:jc w:val="center"/>
                              </w:pPr>
                              <w:r w:rsidRPr="00AE430E">
                                <w:rPr>
                                  <w:rFonts w:eastAsia="ＭＳ 明朝" w:hAnsi="ＭＳ 明朝" w:cs="Times New Roman" w:hint="eastAsia"/>
                                  <w:kern w:val="2"/>
                                  <w:sz w:val="21"/>
                                  <w:szCs w:val="21"/>
                                </w:rPr>
                                <w:t>大阪府災害対策本部</w:t>
                              </w:r>
                            </w:p>
                          </w:txbxContent>
                        </v:textbox>
                      </v:rect>
                      <v:shape id="テキスト ボックス 44" o:spid="_x0000_s1444" type="#_x0000_t202" style="position:absolute;left:11267;top:37880;width:6947;height:237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" filled="f" stroked="f" strokeweight=".5pt">
                        <v:textbox>
                          <w:txbxContent>
                            <w:p w14:paraId="2378B3E3" w14:textId="77777777" w:rsidR="006A5267" w:rsidRPr="00AE430E" w:rsidRDefault="006A5267" w:rsidP="0021710E">
                              <w:pPr>
                                <w:pStyle w:val="Web"/>
                                <w:spacing w:before="0" w:beforeAutospacing="0" w:after="0" w:afterAutospacing="0" w:line="200" w:lineRule="exact"/>
                              </w:pPr>
                              <w:r w:rsidRPr="00AE430E">
                                <w:rPr>
                                  <w:rFonts w:ascii="Century" w:eastAsia="ＭＳ 明朝" w:hAnsi="ＭＳ 明朝" w:cs="Times New Roman" w:hint="eastAsia"/>
                                  <w:kern w:val="2"/>
                                  <w:sz w:val="18"/>
                                  <w:szCs w:val="18"/>
                                </w:rPr>
                                <w:t>連絡調整</w:t>
                              </w:r>
                            </w:p>
                          </w:txbxContent>
                        </v:textbox>
                      </v:shape>
                      <v:shape id="直線矢印コネクタ 1657" o:spid="_x0000_s1445" type="#_x0000_t32" style="position:absolute;left:51380;top:30470;width:0;height:3105;rotation:180;flip:x 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" strokecolor="black [3040]">
                        <v:stroke startarrow="open" endarrow="open"/>
                      </v:shape>
                      <v:shape id="テキスト ボックス 47" o:spid="_x0000_s1446" type="#_x0000_t202" style="position:absolute;left:51222;top:31035;width:6623;height:22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" filled="f" stroked="f" strokeweight=".5pt">
                        <v:textbox>
                          <w:txbxContent>
                            <w:p w14:paraId="6D7B5281" w14:textId="77777777" w:rsidR="006A5267" w:rsidRPr="00AE430E" w:rsidRDefault="006A5267" w:rsidP="0021710E">
                              <w:pPr>
                                <w:pStyle w:val="Web"/>
                                <w:spacing w:before="0" w:beforeAutospacing="0" w:after="0" w:afterAutospacing="0" w:line="200" w:lineRule="exact"/>
                              </w:pPr>
                              <w:r w:rsidRPr="00AE430E">
                                <w:rPr>
                                  <w:rFonts w:ascii="Century" w:eastAsia="ＭＳ 明朝" w:hAnsi="ＭＳ 明朝" w:cs="Times New Roman" w:hint="eastAsia"/>
                                  <w:kern w:val="2"/>
                                  <w:sz w:val="18"/>
                                  <w:szCs w:val="18"/>
                                </w:rPr>
                                <w:t>連絡調整</w:t>
                              </w:r>
                            </w:p>
                          </w:txbxContent>
                        </v:textbox>
                      </v:shape>
                      <v:rect id="フローチャート : 書類 16" o:spid="_x0000_s1447" style="position:absolute;left:41900;top:33486;width:17406;height:344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" fillcolor="white [3201]" strokecolor="black [3200]">
                        <v:textbox>
                          <w:txbxContent>
                            <w:p w14:paraId="703FD2B6" w14:textId="77777777" w:rsidR="006A5267" w:rsidRPr="00AE430E" w:rsidRDefault="006A5267" w:rsidP="0021710E">
                              <w:pPr>
                                <w:pStyle w:val="Web"/>
                                <w:spacing w:before="0" w:beforeAutospacing="0" w:after="0" w:afterAutospacing="0" w:line="240" w:lineRule="exact"/>
                                <w:jc w:val="center"/>
                              </w:pPr>
                              <w:r w:rsidRPr="00AE430E">
                                <w:rPr>
                                  <w:rFonts w:eastAsia="ＭＳ 明朝" w:hAnsi="ＭＳ 明朝" w:cs="Times New Roman" w:hint="eastAsia"/>
                                  <w:kern w:val="2"/>
                                  <w:sz w:val="21"/>
                                  <w:szCs w:val="21"/>
                                </w:rPr>
                                <w:t>大阪府現地災害対策本部</w:t>
                              </w:r>
                            </w:p>
                          </w:txbxContent>
                        </v:textbox>
                      </v:rect>
                      <v:shape id="直線矢印コネクタ 1660" o:spid="_x0000_s1448" type="#_x0000_t32" style="position:absolute;left:35943;top:27733;width:6128;height:649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" strokecolor="black [3040]">
                        <v:stroke dashstyle="dash" startarrow="open" endarrow="open"/>
                      </v:shape>
                      <v:shape id="直線矢印コネクタ 1661" o:spid="_x0000_s1449" type="#_x0000_t32" style="position:absolute;left:10658;top:36940;width:0;height:3106;rotation:180;flip:x 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" strokecolor="black [3040]">
                        <v:stroke startarrow="open" endarrow="open"/>
                      </v:shape>
                      <v:shape id="直線矢印コネクタ 1662" o:spid="_x0000_s1450" type="#_x0000_t32" style="position:absolute;left:18652;top:36940;width:0;height:3106;rotation:180;flip:x 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" strokecolor="black [3040]">
                        <v:stroke startarrow="open" endarrow="open"/>
                      </v:shape>
                      <w10:anchorlock/>
                    </v:group>
                  </w:pict>
                </mc:Fallback>
              </mc:AlternateContent>
            </w:r>
          </w:p>
        </w:tc>
      </w:tr>
    </w:tbl>
    <w:p w14:paraId="19A2CAA1" w14:textId="1F86F7B0" w:rsidR="008B4B2B" w:rsidRPr="00E0548A" w:rsidRDefault="00954A84" w:rsidP="008B4B2B">
      <w:pPr>
        <w:snapToGrid w:val="0"/>
        <w:ind w:rightChars="-135" w:right="-285" w:firstLineChars="100" w:firstLine="211"/>
        <w:rPr>
          <w:sz w:val="22"/>
          <w:szCs w:val="22"/>
        </w:rPr>
      </w:pPr>
      <w:r w:rsidRPr="00E0548A">
        <w:rPr>
          <w:rFonts w:hint="eastAsia"/>
        </w:rPr>
        <w:t>都市整備部震災</w:t>
      </w:r>
      <w:r w:rsidR="00D254B6" w:rsidRPr="00E0548A">
        <w:rPr>
          <w:rFonts w:hint="eastAsia"/>
        </w:rPr>
        <w:t>対策本部（危険度判定支援本部）は</w:t>
      </w:r>
      <w:r w:rsidR="00D254B6" w:rsidRPr="00E0548A">
        <w:rPr>
          <w:rFonts w:hint="eastAsia"/>
          <w:sz w:val="22"/>
          <w:szCs w:val="22"/>
        </w:rPr>
        <w:t>、大阪府災害対策本部に対して下記につい</w:t>
      </w:r>
      <w:r w:rsidR="008B4B2B" w:rsidRPr="00E0548A">
        <w:rPr>
          <w:rFonts w:hint="eastAsia"/>
          <w:sz w:val="22"/>
          <w:szCs w:val="22"/>
        </w:rPr>
        <w:t>て協力を求める。</w:t>
      </w:r>
    </w:p>
    <w:p w14:paraId="15443345" w14:textId="77777777" w:rsidR="008B4B2B" w:rsidRPr="00E0548A" w:rsidRDefault="008B4B2B" w:rsidP="008B4B2B">
      <w:pPr>
        <w:snapToGrid w:val="0"/>
        <w:ind w:rightChars="-376" w:right="-794" w:firstLineChars="100" w:firstLine="221"/>
        <w:rPr>
          <w:sz w:val="22"/>
          <w:szCs w:val="22"/>
        </w:rPr>
      </w:pPr>
      <w:r w:rsidRPr="00E0548A">
        <w:rPr>
          <w:rFonts w:hint="eastAsia"/>
          <w:sz w:val="22"/>
          <w:szCs w:val="22"/>
        </w:rPr>
        <w:t>➀判定士等の集合場所（広域防災拠点の利用等）及び輸送手段（バス、通行許可証等）の手配</w:t>
      </w:r>
    </w:p>
    <w:p w14:paraId="746F9B0E" w14:textId="77777777" w:rsidR="008B4B2B" w:rsidRPr="00E0548A" w:rsidRDefault="008B4B2B" w:rsidP="008B4B2B">
      <w:pPr>
        <w:snapToGrid w:val="0"/>
        <w:ind w:rightChars="-712" w:right="-1503" w:firstLineChars="100" w:firstLine="221"/>
        <w:rPr>
          <w:sz w:val="22"/>
          <w:szCs w:val="22"/>
        </w:rPr>
      </w:pPr>
      <w:r w:rsidRPr="00E0548A">
        <w:rPr>
          <w:rFonts w:hint="eastAsia"/>
          <w:sz w:val="22"/>
          <w:szCs w:val="22"/>
        </w:rPr>
        <w:t>➁国土交通省、広域支援本部、応援府県等への進入ルート、宿泊施設及び食料の手配等の情報提供</w:t>
      </w:r>
    </w:p>
    <w:p w14:paraId="789C62BE" w14:textId="77777777" w:rsidR="008B4B2B" w:rsidRPr="00E0548A" w:rsidRDefault="008B4B2B" w:rsidP="008B4B2B">
      <w:pPr>
        <w:snapToGrid w:val="0"/>
        <w:ind w:leftChars="100" w:left="432" w:hangingChars="100" w:hanging="221"/>
        <w:rPr>
          <w:sz w:val="22"/>
          <w:szCs w:val="22"/>
        </w:rPr>
      </w:pPr>
      <w:r w:rsidRPr="00E0548A">
        <w:rPr>
          <w:rFonts w:hint="eastAsia"/>
          <w:sz w:val="22"/>
          <w:szCs w:val="22"/>
        </w:rPr>
        <w:t>➂危険度判定支援本部が特に必要と認めた場合、被災市町村への職員派遣及び現地災害対策本部との連携〔判定支援チームの設置〕</w:t>
      </w:r>
    </w:p>
    <w:p w14:paraId="627F5503" w14:textId="0F0C2D20" w:rsidR="008B4B2B" w:rsidRPr="001D6D10" w:rsidRDefault="008B4B2B" w:rsidP="00E0548A">
      <w:pPr>
        <w:pStyle w:val="3"/>
        <w:ind w:firstLineChars="0" w:firstLine="0"/>
      </w:pPr>
      <w:bookmarkStart w:id="318" w:name="_Toc122436950"/>
      <w:bookmarkStart w:id="319" w:name="_Toc222486639"/>
      <w:bookmarkStart w:id="320" w:name="_Toc242870309"/>
      <w:r w:rsidRPr="00E0548A">
        <w:rPr>
          <w:rFonts w:hint="eastAsia"/>
        </w:rPr>
        <w:lastRenderedPageBreak/>
        <w:t>第３　文化財の保護</w:t>
      </w:r>
      <w:r w:rsidRPr="00E0548A">
        <w:rPr>
          <w:rFonts w:hint="eastAsia"/>
          <w:shd w:val="pct15" w:color="auto" w:fill="FFFFFF"/>
        </w:rPr>
        <w:t>【第５フェー</w:t>
      </w:r>
      <w:r w:rsidRPr="001D6D10">
        <w:rPr>
          <w:rFonts w:hint="eastAsia"/>
          <w:shd w:val="pct15" w:color="auto" w:fill="FFFFFF"/>
        </w:rPr>
        <w:t>ズ～】</w:t>
      </w:r>
      <w:bookmarkEnd w:id="318"/>
      <w:bookmarkEnd w:id="319"/>
      <w:bookmarkEnd w:id="320"/>
    </w:p>
    <w:p w14:paraId="49ED2FCD" w14:textId="77777777" w:rsidR="008B4B2B" w:rsidRPr="001D6D10" w:rsidRDefault="008B4B2B" w:rsidP="008B4B2B">
      <w:pPr>
        <w:ind w:leftChars="420" w:left="887" w:firstLineChars="100" w:firstLine="221"/>
        <w:rPr>
          <w:rFonts w:ascii="ＭＳ ゴシック" w:eastAsia="ＭＳ ゴシック" w:hAnsi="ＭＳ ゴシック"/>
          <w:sz w:val="22"/>
          <w:szCs w:val="22"/>
          <w:bdr w:val="single" w:sz="4" w:space="0" w:color="auto"/>
        </w:rPr>
      </w:pPr>
      <w:r w:rsidRPr="001D6D10">
        <w:rPr>
          <w:rFonts w:ascii="ＭＳ ゴシック" w:eastAsia="ＭＳ ゴシック" w:hAnsi="ＭＳ ゴシック" w:hint="eastAsia"/>
          <w:sz w:val="22"/>
          <w:szCs w:val="22"/>
          <w:bdr w:val="single" w:sz="4" w:space="0" w:color="auto"/>
        </w:rPr>
        <w:t>主たる担当：文化財保護課</w:t>
      </w:r>
    </w:p>
    <w:p w14:paraId="2B4FB1E7" w14:textId="77777777" w:rsidR="008B4B2B" w:rsidRPr="001D6D10" w:rsidRDefault="008B4B2B" w:rsidP="008B4B2B">
      <w:pPr>
        <w:overflowPunct w:val="0"/>
        <w:autoSpaceDE w:val="0"/>
        <w:autoSpaceDN w:val="0"/>
        <w:ind w:firstLineChars="300" w:firstLine="663"/>
        <w:rPr>
          <w:rFonts w:ascii="ＭＳ ゴシック" w:eastAsia="ＭＳ ゴシック" w:hAnsi="ＭＳ ゴシック"/>
          <w:sz w:val="22"/>
          <w:szCs w:val="22"/>
          <w:u w:val="single"/>
        </w:rPr>
      </w:pPr>
      <w:r w:rsidRPr="001D6D10">
        <w:rPr>
          <w:rFonts w:ascii="ＭＳ ゴシック" w:eastAsia="ＭＳ ゴシック" w:hAnsi="ＭＳ ゴシック" w:hint="eastAsia"/>
          <w:sz w:val="22"/>
          <w:szCs w:val="22"/>
          <w:u w:val="single"/>
        </w:rPr>
        <w:t>１　重要文化財等の被害防止のための命令・勧告</w:t>
      </w:r>
    </w:p>
    <w:p w14:paraId="2B68AA02" w14:textId="77777777" w:rsidR="008B4B2B" w:rsidRPr="001D6D10" w:rsidRDefault="008B4B2B" w:rsidP="008B4B2B">
      <w:pPr>
        <w:overflowPunct w:val="0"/>
        <w:autoSpaceDE w:val="0"/>
        <w:autoSpaceDN w:val="0"/>
        <w:ind w:leftChars="415" w:left="876" w:firstLineChars="99" w:firstLine="219"/>
        <w:rPr>
          <w:rFonts w:ascii="ＭＳ 明朝" w:hAnsi="ＭＳ 明朝"/>
          <w:sz w:val="22"/>
          <w:szCs w:val="22"/>
        </w:rPr>
      </w:pPr>
      <w:r w:rsidRPr="001D6D10">
        <w:rPr>
          <w:rFonts w:ascii="ＭＳ 明朝" w:hAnsi="ＭＳ 明朝" w:hint="eastAsia"/>
          <w:sz w:val="22"/>
          <w:szCs w:val="22"/>
        </w:rPr>
        <w:t>文化財保護課長は、文部科学大臣指定の重要文化財・重要有形民俗文化財・史跡名勝天然記念物等の所有者・管理責任者・管理団体に対し、文化庁長官の被害防止のための命令・勧告を告知するとともに、所有者等からの支援の求めを文化庁長官に連絡する。</w:t>
      </w:r>
    </w:p>
    <w:p w14:paraId="694EE651" w14:textId="77777777" w:rsidR="008B4B2B" w:rsidRPr="001D6D10" w:rsidRDefault="008B4B2B" w:rsidP="008B4B2B">
      <w:pPr>
        <w:overflowPunct w:val="0"/>
        <w:autoSpaceDE w:val="0"/>
        <w:autoSpaceDN w:val="0"/>
        <w:ind w:firstLineChars="300" w:firstLine="663"/>
        <w:rPr>
          <w:rFonts w:ascii="ＭＳ ゴシック" w:eastAsia="ＭＳ ゴシック" w:hAnsi="ＭＳ ゴシック"/>
          <w:sz w:val="22"/>
          <w:szCs w:val="22"/>
        </w:rPr>
      </w:pPr>
    </w:p>
    <w:p w14:paraId="12E6983B" w14:textId="77777777" w:rsidR="008B4B2B" w:rsidRPr="001D6D10" w:rsidRDefault="008B4B2B" w:rsidP="008B4B2B">
      <w:pPr>
        <w:overflowPunct w:val="0"/>
        <w:autoSpaceDE w:val="0"/>
        <w:autoSpaceDN w:val="0"/>
        <w:ind w:firstLineChars="300" w:firstLine="663"/>
        <w:rPr>
          <w:rFonts w:ascii="ＭＳ ゴシック" w:eastAsia="ＭＳ ゴシック" w:hAnsi="ＭＳ ゴシック"/>
          <w:sz w:val="22"/>
          <w:szCs w:val="22"/>
          <w:u w:val="single"/>
        </w:rPr>
      </w:pPr>
      <w:r w:rsidRPr="001D6D10">
        <w:rPr>
          <w:rFonts w:ascii="ＭＳ ゴシック" w:eastAsia="ＭＳ ゴシック" w:hAnsi="ＭＳ ゴシック" w:hint="eastAsia"/>
          <w:sz w:val="22"/>
          <w:szCs w:val="22"/>
          <w:u w:val="single"/>
        </w:rPr>
        <w:t>２　国宝等の被害防止の措置</w:t>
      </w:r>
    </w:p>
    <w:p w14:paraId="336ACB01" w14:textId="77777777" w:rsidR="008B4B2B" w:rsidRPr="001D6D10" w:rsidRDefault="008B4B2B" w:rsidP="008B4B2B">
      <w:pPr>
        <w:overflowPunct w:val="0"/>
        <w:autoSpaceDE w:val="0"/>
        <w:autoSpaceDN w:val="0"/>
        <w:ind w:leftChars="415" w:left="876" w:firstLineChars="100" w:firstLine="221"/>
        <w:rPr>
          <w:rFonts w:ascii="ＭＳ 明朝" w:hAnsi="ＭＳ 明朝"/>
          <w:sz w:val="22"/>
          <w:szCs w:val="22"/>
        </w:rPr>
      </w:pPr>
      <w:r w:rsidRPr="001D6D10">
        <w:rPr>
          <w:rFonts w:ascii="ＭＳ 明朝" w:hAnsi="ＭＳ 明朝" w:hint="eastAsia"/>
          <w:sz w:val="22"/>
          <w:szCs w:val="22"/>
        </w:rPr>
        <w:t>文化財保護課長は、文化庁長官から、文部科学大臣指定の国宝・特別史跡名勝天然記念物等の被害防止措置の全部又は一部の委託を受けたときは、安全な場所への移動や管理の強化などを実施する。</w:t>
      </w:r>
    </w:p>
    <w:p w14:paraId="22FAA85A" w14:textId="77777777" w:rsidR="008B4B2B" w:rsidRPr="001D6D10" w:rsidRDefault="008B4B2B" w:rsidP="008B4B2B">
      <w:pPr>
        <w:overflowPunct w:val="0"/>
        <w:autoSpaceDE w:val="0"/>
        <w:autoSpaceDN w:val="0"/>
        <w:ind w:firstLineChars="300" w:firstLine="633"/>
        <w:rPr>
          <w:rFonts w:ascii="ＭＳ ゴシック" w:eastAsia="ＭＳ ゴシック" w:hAnsi="ＭＳ ゴシック"/>
        </w:rPr>
      </w:pPr>
    </w:p>
    <w:p w14:paraId="05194703" w14:textId="77094AF6" w:rsidR="008B4B2B" w:rsidRPr="001D6D10" w:rsidRDefault="008B4B2B" w:rsidP="008B4B2B">
      <w:pPr>
        <w:overflowPunct w:val="0"/>
        <w:autoSpaceDE w:val="0"/>
        <w:autoSpaceDN w:val="0"/>
        <w:ind w:firstLineChars="300" w:firstLine="663"/>
        <w:rPr>
          <w:rFonts w:ascii="ＭＳ ゴシック" w:eastAsia="ＭＳ ゴシック" w:hAnsi="ＭＳ ゴシック"/>
          <w:sz w:val="22"/>
          <w:szCs w:val="22"/>
          <w:u w:val="single"/>
        </w:rPr>
      </w:pPr>
      <w:r w:rsidRPr="001D6D10">
        <w:rPr>
          <w:rFonts w:ascii="ＭＳ ゴシック" w:eastAsia="ＭＳ ゴシック" w:hAnsi="ＭＳ ゴシック" w:hint="eastAsia"/>
          <w:sz w:val="22"/>
          <w:szCs w:val="22"/>
          <w:u w:val="single"/>
        </w:rPr>
        <w:t xml:space="preserve">３　</w:t>
      </w:r>
      <w:r w:rsidRPr="00B064CC">
        <w:rPr>
          <w:rFonts w:ascii="ＭＳ ゴシック" w:eastAsia="ＭＳ ゴシック" w:hAnsi="ＭＳ ゴシック" w:hint="eastAsia"/>
          <w:sz w:val="22"/>
          <w:szCs w:val="22"/>
          <w:u w:val="single"/>
        </w:rPr>
        <w:t>大阪府指定</w:t>
      </w:r>
      <w:r w:rsidR="00284CCD" w:rsidRPr="00B064CC">
        <w:rPr>
          <w:rFonts w:ascii="ＭＳ ゴシック" w:eastAsia="ＭＳ ゴシック" w:hAnsi="ＭＳ ゴシック" w:hint="eastAsia"/>
          <w:sz w:val="22"/>
          <w:szCs w:val="22"/>
          <w:u w:val="single"/>
        </w:rPr>
        <w:t>等</w:t>
      </w:r>
      <w:r w:rsidRPr="001D6D10">
        <w:rPr>
          <w:rFonts w:ascii="ＭＳ ゴシック" w:eastAsia="ＭＳ ゴシック" w:hAnsi="ＭＳ ゴシック" w:hint="eastAsia"/>
          <w:sz w:val="22"/>
          <w:szCs w:val="22"/>
          <w:u w:val="single"/>
        </w:rPr>
        <w:t>文化財の被害防止の措置</w:t>
      </w:r>
    </w:p>
    <w:p w14:paraId="35C5E80D" w14:textId="3379AB44" w:rsidR="008B4B2B" w:rsidRPr="001D6D10" w:rsidRDefault="008B4B2B" w:rsidP="008B4B2B">
      <w:pPr>
        <w:overflowPunct w:val="0"/>
        <w:autoSpaceDE w:val="0"/>
        <w:autoSpaceDN w:val="0"/>
        <w:ind w:leftChars="400" w:left="844" w:firstLineChars="99" w:firstLine="219"/>
        <w:rPr>
          <w:rFonts w:hAnsi="ＭＳ 明朝"/>
          <w:sz w:val="22"/>
          <w:szCs w:val="22"/>
        </w:rPr>
      </w:pPr>
      <w:r w:rsidRPr="001D6D10">
        <w:rPr>
          <w:rFonts w:hAnsi="ＭＳ 明朝" w:hint="eastAsia"/>
          <w:sz w:val="22"/>
          <w:szCs w:val="22"/>
        </w:rPr>
        <w:t>文化財保護課長は、府教育委員会</w:t>
      </w:r>
      <w:r w:rsidRPr="00B064CC">
        <w:rPr>
          <w:rFonts w:hAnsi="ＭＳ 明朝" w:hint="eastAsia"/>
          <w:sz w:val="22"/>
          <w:szCs w:val="22"/>
        </w:rPr>
        <w:t>指定</w:t>
      </w:r>
      <w:r w:rsidR="00284CCD" w:rsidRPr="00B064CC">
        <w:rPr>
          <w:rFonts w:hAnsi="ＭＳ 明朝" w:hint="eastAsia"/>
          <w:sz w:val="22"/>
          <w:szCs w:val="22"/>
        </w:rPr>
        <w:t>または登録</w:t>
      </w:r>
      <w:r w:rsidRPr="001D6D10">
        <w:rPr>
          <w:rFonts w:hAnsi="ＭＳ 明朝" w:hint="eastAsia"/>
          <w:sz w:val="22"/>
          <w:szCs w:val="22"/>
        </w:rPr>
        <w:t>の有形文化財、有形民俗文化財、史跡名勝天然記念物等の被害を防止するため、大阪府文化財保護条例等に基づき、必要な措置を実施する。</w:t>
      </w:r>
    </w:p>
    <w:p w14:paraId="046409C7" w14:textId="4CE1E098" w:rsidR="000923FC" w:rsidRDefault="000923FC">
      <w:pPr>
        <w:widowControl/>
        <w:jc w:val="left"/>
        <w:rPr>
          <w:rFonts w:ascii="ＭＳ 明朝" w:hAnsi="Courier New" w:cs="Courier New"/>
          <w:sz w:val="22"/>
          <w:szCs w:val="22"/>
        </w:rPr>
      </w:pPr>
      <w:r>
        <w:rPr>
          <w:sz w:val="22"/>
          <w:szCs w:val="22"/>
        </w:rPr>
        <w:br w:type="page"/>
      </w:r>
    </w:p>
    <w:p w14:paraId="0F006FF8" w14:textId="7E4C3501" w:rsidR="00C922AC" w:rsidRPr="008A3EDE" w:rsidRDefault="00C922AC">
      <w:pPr>
        <w:pStyle w:val="2"/>
      </w:pPr>
      <w:bookmarkStart w:id="321" w:name="_Toc222486640"/>
      <w:bookmarkStart w:id="322" w:name="_Toc242870310"/>
      <w:r w:rsidRPr="001D6D10">
        <w:rPr>
          <w:rFonts w:hint="eastAsia"/>
        </w:rPr>
        <w:lastRenderedPageBreak/>
        <w:t>第</w:t>
      </w:r>
      <w:r w:rsidR="00C625F5" w:rsidRPr="008A3EDE">
        <w:rPr>
          <w:rFonts w:hint="eastAsia"/>
        </w:rPr>
        <w:t>７</w:t>
      </w:r>
      <w:r w:rsidRPr="008A3EDE">
        <w:rPr>
          <w:rFonts w:hint="eastAsia"/>
        </w:rPr>
        <w:t>節　ライフライン確保</w:t>
      </w:r>
      <w:bookmarkEnd w:id="321"/>
      <w:bookmarkEnd w:id="322"/>
    </w:p>
    <w:tbl>
      <w:tblPr>
        <w:tblW w:w="0" w:type="auto"/>
        <w:tblBorders>
          <w:top w:val="thinThickSmallGap" w:sz="24" w:space="0" w:color="auto"/>
          <w:left w:val="thinThickSmallGap" w:sz="24" w:space="0" w:color="auto"/>
          <w:bottom w:val="thinThickSmallGap" w:sz="24" w:space="0" w:color="auto"/>
          <w:right w:val="thinThickSmallGap" w:sz="24" w:space="0" w:color="auto"/>
          <w:insideH w:val="thinThickSmallGap" w:sz="24" w:space="0" w:color="auto"/>
          <w:insideV w:val="thinThickSmallGap" w:sz="24" w:space="0" w:color="auto"/>
        </w:tblBorders>
        <w:tblLook w:val="04A0" w:firstRow="1" w:lastRow="0" w:firstColumn="1" w:lastColumn="0" w:noHBand="0" w:noVBand="1"/>
      </w:tblPr>
      <w:tblGrid>
        <w:gridCol w:w="1428"/>
        <w:gridCol w:w="7326"/>
      </w:tblGrid>
      <w:tr w:rsidR="00C922AC" w:rsidRPr="008A3EDE" w14:paraId="15F29B3F" w14:textId="77777777" w:rsidTr="00C922AC">
        <w:tc>
          <w:tcPr>
            <w:tcW w:w="1442" w:type="dxa"/>
          </w:tcPr>
          <w:p w14:paraId="1ED4337E" w14:textId="77777777" w:rsidR="00C922AC" w:rsidRPr="008A3EDE" w:rsidRDefault="00C922AC" w:rsidP="00C922AC">
            <w:pPr>
              <w:jc w:val="center"/>
              <w:rPr>
                <w:rFonts w:ascii="ＭＳ ゴシック" w:eastAsia="ＭＳ ゴシック" w:hAnsi="ＭＳ ゴシック"/>
                <w:b/>
                <w:sz w:val="28"/>
                <w:szCs w:val="28"/>
              </w:rPr>
            </w:pPr>
            <w:r w:rsidRPr="008A3EDE">
              <w:rPr>
                <w:rFonts w:ascii="ＭＳ ゴシック" w:eastAsia="ＭＳ ゴシック" w:hAnsi="ＭＳ ゴシック" w:hint="eastAsia"/>
                <w:b/>
                <w:sz w:val="28"/>
                <w:szCs w:val="28"/>
              </w:rPr>
              <w:t>目　標</w:t>
            </w:r>
          </w:p>
        </w:tc>
        <w:tc>
          <w:tcPr>
            <w:tcW w:w="7427" w:type="dxa"/>
            <w:vAlign w:val="center"/>
          </w:tcPr>
          <w:p w14:paraId="4DC83DAB" w14:textId="77777777" w:rsidR="00C922AC" w:rsidRPr="008A3EDE" w:rsidRDefault="00C922AC" w:rsidP="00C922AC">
            <w:pPr>
              <w:ind w:firstLineChars="100" w:firstLine="242"/>
              <w:jc w:val="center"/>
              <w:rPr>
                <w:rFonts w:ascii="ＭＳ ゴシック" w:eastAsia="ＭＳ ゴシック" w:hAnsi="ＭＳ ゴシック"/>
                <w:b/>
                <w:sz w:val="24"/>
              </w:rPr>
            </w:pPr>
            <w:r w:rsidRPr="008A3EDE">
              <w:rPr>
                <w:rFonts w:ascii="ＭＳ ゴシック" w:eastAsia="ＭＳ ゴシック" w:hAnsi="ＭＳ ゴシック" w:hint="eastAsia"/>
                <w:b/>
                <w:sz w:val="24"/>
              </w:rPr>
              <w:t>ライフライン機関と連携を図り、被災者のＱＯＬを確保する。</w:t>
            </w:r>
          </w:p>
        </w:tc>
      </w:tr>
    </w:tbl>
    <w:p w14:paraId="173A765D" w14:textId="77777777" w:rsidR="00C922AC" w:rsidRPr="008A3EDE" w:rsidRDefault="00C922AC" w:rsidP="00C922AC">
      <w:pPr>
        <w:rPr>
          <w:rFonts w:ascii="ＭＳ ゴシック" w:eastAsia="ＭＳ ゴシック" w:hAnsi="ＭＳ ゴシック"/>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63"/>
        <w:gridCol w:w="7271"/>
      </w:tblGrid>
      <w:tr w:rsidR="001D6D10" w:rsidRPr="008A3EDE" w14:paraId="6A05AC86" w14:textId="77777777" w:rsidTr="00C922AC">
        <w:tc>
          <w:tcPr>
            <w:tcW w:w="1580" w:type="dxa"/>
            <w:shd w:val="clear" w:color="auto" w:fill="F2F2F2"/>
          </w:tcPr>
          <w:p w14:paraId="38DB8349" w14:textId="77777777" w:rsidR="00C922AC" w:rsidRPr="008A3EDE" w:rsidRDefault="00C922AC" w:rsidP="00C922AC">
            <w:pPr>
              <w:jc w:val="center"/>
              <w:rPr>
                <w:rFonts w:ascii="ＭＳ ゴシック" w:eastAsia="ＭＳ ゴシック" w:hAnsi="ＭＳ ゴシック"/>
                <w:sz w:val="22"/>
                <w:szCs w:val="22"/>
              </w:rPr>
            </w:pPr>
            <w:r w:rsidRPr="008A3EDE">
              <w:rPr>
                <w:rFonts w:ascii="ＭＳ ゴシック" w:eastAsia="ＭＳ ゴシック" w:hAnsi="ＭＳ ゴシック" w:hint="eastAsia"/>
                <w:sz w:val="22"/>
                <w:szCs w:val="22"/>
              </w:rPr>
              <w:t>フェーズ</w:t>
            </w:r>
          </w:p>
        </w:tc>
        <w:tc>
          <w:tcPr>
            <w:tcW w:w="7369" w:type="dxa"/>
            <w:shd w:val="clear" w:color="auto" w:fill="F2F2F2"/>
          </w:tcPr>
          <w:p w14:paraId="58485585" w14:textId="77777777" w:rsidR="00C922AC" w:rsidRPr="008A3EDE" w:rsidRDefault="00C922AC" w:rsidP="00C922AC">
            <w:pPr>
              <w:jc w:val="center"/>
              <w:rPr>
                <w:rFonts w:ascii="ＭＳ ゴシック" w:eastAsia="ＭＳ ゴシック" w:hAnsi="ＭＳ ゴシック"/>
                <w:sz w:val="22"/>
                <w:szCs w:val="22"/>
              </w:rPr>
            </w:pPr>
            <w:r w:rsidRPr="008A3EDE">
              <w:rPr>
                <w:rFonts w:ascii="ＭＳ ゴシック" w:eastAsia="ＭＳ ゴシック" w:hAnsi="ＭＳ ゴシック" w:hint="eastAsia"/>
                <w:sz w:val="22"/>
                <w:szCs w:val="22"/>
              </w:rPr>
              <w:t>主な目標</w:t>
            </w:r>
          </w:p>
        </w:tc>
      </w:tr>
      <w:tr w:rsidR="001D6D10" w:rsidRPr="008A3EDE" w14:paraId="34D2E2A8" w14:textId="77777777" w:rsidTr="00C922AC">
        <w:tc>
          <w:tcPr>
            <w:tcW w:w="1580" w:type="dxa"/>
          </w:tcPr>
          <w:p w14:paraId="76B88F61" w14:textId="77777777" w:rsidR="00C922AC" w:rsidRPr="008A3EDE" w:rsidRDefault="00C922AC" w:rsidP="00C922AC">
            <w:pPr>
              <w:rPr>
                <w:rFonts w:ascii="ＭＳ ゴシック" w:eastAsia="ＭＳ ゴシック" w:hAnsi="ＭＳ ゴシック"/>
                <w:sz w:val="22"/>
                <w:szCs w:val="22"/>
              </w:rPr>
            </w:pPr>
            <w:r w:rsidRPr="008A3EDE">
              <w:rPr>
                <w:rFonts w:ascii="ＭＳ ゴシック" w:eastAsia="ＭＳ ゴシック" w:hAnsi="ＭＳ ゴシック" w:hint="eastAsia"/>
                <w:sz w:val="22"/>
                <w:szCs w:val="22"/>
              </w:rPr>
              <w:t>第１フェーズ</w:t>
            </w:r>
          </w:p>
        </w:tc>
        <w:tc>
          <w:tcPr>
            <w:tcW w:w="7369" w:type="dxa"/>
          </w:tcPr>
          <w:p w14:paraId="2161825D" w14:textId="77777777" w:rsidR="00C922AC" w:rsidRPr="008A3EDE" w:rsidRDefault="00C922AC" w:rsidP="00C922AC">
            <w:pPr>
              <w:rPr>
                <w:rFonts w:ascii="ＭＳ ゴシック" w:eastAsia="ＭＳ ゴシック" w:hAnsi="ＭＳ ゴシック"/>
                <w:sz w:val="22"/>
                <w:szCs w:val="22"/>
              </w:rPr>
            </w:pPr>
            <w:r w:rsidRPr="008A3EDE">
              <w:rPr>
                <w:rFonts w:ascii="ＭＳ ゴシック" w:eastAsia="ＭＳ ゴシック" w:hAnsi="ＭＳ ゴシック" w:hint="eastAsia"/>
                <w:sz w:val="22"/>
                <w:szCs w:val="22"/>
              </w:rPr>
              <w:t>被害状況を把握する。</w:t>
            </w:r>
          </w:p>
        </w:tc>
      </w:tr>
      <w:tr w:rsidR="001D6D10" w:rsidRPr="008A3EDE" w14:paraId="0AD77483" w14:textId="77777777" w:rsidTr="00C922AC">
        <w:tc>
          <w:tcPr>
            <w:tcW w:w="1580" w:type="dxa"/>
          </w:tcPr>
          <w:p w14:paraId="194E1BB4" w14:textId="77777777" w:rsidR="00C922AC" w:rsidRPr="008A3EDE" w:rsidRDefault="00C922AC" w:rsidP="00C922AC">
            <w:pPr>
              <w:rPr>
                <w:rFonts w:ascii="ＭＳ ゴシック" w:eastAsia="ＭＳ ゴシック" w:hAnsi="ＭＳ ゴシック"/>
                <w:sz w:val="22"/>
                <w:szCs w:val="22"/>
              </w:rPr>
            </w:pPr>
            <w:r w:rsidRPr="008A3EDE">
              <w:rPr>
                <w:rFonts w:ascii="ＭＳ ゴシック" w:eastAsia="ＭＳ ゴシック" w:hAnsi="ＭＳ ゴシック" w:hint="eastAsia"/>
                <w:sz w:val="22"/>
                <w:szCs w:val="22"/>
              </w:rPr>
              <w:t>第２フェーズ</w:t>
            </w:r>
          </w:p>
        </w:tc>
        <w:tc>
          <w:tcPr>
            <w:tcW w:w="7369" w:type="dxa"/>
          </w:tcPr>
          <w:p w14:paraId="6489859B" w14:textId="77777777" w:rsidR="00C922AC" w:rsidRPr="008A3EDE" w:rsidRDefault="00C922AC" w:rsidP="00C922AC">
            <w:pPr>
              <w:rPr>
                <w:rFonts w:ascii="ＭＳ ゴシック" w:eastAsia="ＭＳ ゴシック" w:hAnsi="ＭＳ ゴシック"/>
                <w:sz w:val="22"/>
                <w:szCs w:val="22"/>
              </w:rPr>
            </w:pPr>
            <w:r w:rsidRPr="008A3EDE">
              <w:rPr>
                <w:rFonts w:ascii="ＭＳ ゴシック" w:eastAsia="ＭＳ ゴシック" w:hAnsi="ＭＳ ゴシック" w:hint="eastAsia"/>
                <w:sz w:val="22"/>
                <w:szCs w:val="22"/>
              </w:rPr>
              <w:t>連絡体制を確保する。</w:t>
            </w:r>
          </w:p>
        </w:tc>
      </w:tr>
      <w:tr w:rsidR="001D6D10" w:rsidRPr="008A3EDE" w14:paraId="1DD61EE9" w14:textId="77777777" w:rsidTr="00C922AC">
        <w:tc>
          <w:tcPr>
            <w:tcW w:w="1580" w:type="dxa"/>
          </w:tcPr>
          <w:p w14:paraId="069D79F8" w14:textId="77777777" w:rsidR="00C922AC" w:rsidRPr="008A3EDE" w:rsidRDefault="00C922AC" w:rsidP="00C922AC">
            <w:pPr>
              <w:rPr>
                <w:rFonts w:ascii="ＭＳ ゴシック" w:eastAsia="ＭＳ ゴシック" w:hAnsi="ＭＳ ゴシック"/>
                <w:sz w:val="22"/>
                <w:szCs w:val="22"/>
              </w:rPr>
            </w:pPr>
            <w:r w:rsidRPr="008A3EDE">
              <w:rPr>
                <w:rFonts w:ascii="ＭＳ ゴシック" w:eastAsia="ＭＳ ゴシック" w:hAnsi="ＭＳ ゴシック" w:hint="eastAsia"/>
                <w:sz w:val="22"/>
                <w:szCs w:val="22"/>
              </w:rPr>
              <w:t>第３フェーズ</w:t>
            </w:r>
          </w:p>
        </w:tc>
        <w:tc>
          <w:tcPr>
            <w:tcW w:w="7369" w:type="dxa"/>
          </w:tcPr>
          <w:p w14:paraId="625CD14B" w14:textId="77777777" w:rsidR="00C922AC" w:rsidRPr="008A3EDE" w:rsidRDefault="00C922AC" w:rsidP="00C922AC">
            <w:pPr>
              <w:rPr>
                <w:rFonts w:ascii="ＭＳ ゴシック" w:eastAsia="ＭＳ ゴシック" w:hAnsi="ＭＳ ゴシック"/>
                <w:sz w:val="22"/>
                <w:szCs w:val="22"/>
              </w:rPr>
            </w:pPr>
            <w:r w:rsidRPr="008A3EDE">
              <w:rPr>
                <w:rFonts w:ascii="ＭＳ ゴシック" w:eastAsia="ＭＳ ゴシック" w:hAnsi="ＭＳ ゴシック" w:hint="eastAsia"/>
                <w:sz w:val="22"/>
                <w:szCs w:val="22"/>
              </w:rPr>
              <w:t>応急復旧により重要拠点施設の機能を確保する。</w:t>
            </w:r>
          </w:p>
        </w:tc>
      </w:tr>
      <w:tr w:rsidR="00C922AC" w:rsidRPr="008A3EDE" w14:paraId="2166A89F" w14:textId="77777777" w:rsidTr="00C922AC">
        <w:tc>
          <w:tcPr>
            <w:tcW w:w="1580" w:type="dxa"/>
          </w:tcPr>
          <w:p w14:paraId="3A6CA35E" w14:textId="77777777" w:rsidR="00C922AC" w:rsidRPr="008A3EDE" w:rsidRDefault="00C922AC" w:rsidP="00C922AC">
            <w:pPr>
              <w:rPr>
                <w:rFonts w:ascii="ＭＳ ゴシック" w:eastAsia="ＭＳ ゴシック" w:hAnsi="ＭＳ ゴシック"/>
                <w:sz w:val="22"/>
                <w:szCs w:val="22"/>
              </w:rPr>
            </w:pPr>
            <w:r w:rsidRPr="008A3EDE">
              <w:rPr>
                <w:rFonts w:ascii="ＭＳ ゴシック" w:eastAsia="ＭＳ ゴシック" w:hAnsi="ＭＳ ゴシック" w:hint="eastAsia"/>
                <w:sz w:val="22"/>
                <w:szCs w:val="22"/>
              </w:rPr>
              <w:t>第４フェーズ</w:t>
            </w:r>
          </w:p>
        </w:tc>
        <w:tc>
          <w:tcPr>
            <w:tcW w:w="7369" w:type="dxa"/>
          </w:tcPr>
          <w:p w14:paraId="74C41500" w14:textId="77777777" w:rsidR="00C922AC" w:rsidRPr="008A3EDE" w:rsidRDefault="00C922AC" w:rsidP="00C922AC">
            <w:pPr>
              <w:rPr>
                <w:rFonts w:ascii="ＭＳ ゴシック" w:eastAsia="ＭＳ ゴシック" w:hAnsi="ＭＳ ゴシック"/>
                <w:sz w:val="22"/>
                <w:szCs w:val="22"/>
              </w:rPr>
            </w:pPr>
            <w:r w:rsidRPr="008A3EDE">
              <w:rPr>
                <w:rFonts w:ascii="ＭＳ ゴシック" w:eastAsia="ＭＳ ゴシック" w:hAnsi="ＭＳ ゴシック" w:hint="eastAsia"/>
                <w:sz w:val="22"/>
                <w:szCs w:val="22"/>
              </w:rPr>
              <w:t>避難所運営の支援を図る。</w:t>
            </w:r>
          </w:p>
        </w:tc>
      </w:tr>
    </w:tbl>
    <w:p w14:paraId="7A5FACE8" w14:textId="77777777" w:rsidR="00C922AC" w:rsidRPr="008A3EDE" w:rsidRDefault="00C922AC" w:rsidP="00C922AC">
      <w:pPr>
        <w:rPr>
          <w:rFonts w:ascii="ＭＳ ゴシック" w:eastAsia="ＭＳ ゴシック" w:hAnsi="ＭＳ ゴシック"/>
          <w:sz w:val="22"/>
          <w:szCs w:val="22"/>
        </w:rPr>
      </w:pPr>
    </w:p>
    <w:p w14:paraId="4379359E" w14:textId="77777777" w:rsidR="00C922AC" w:rsidRPr="008A3EDE" w:rsidRDefault="00C922AC" w:rsidP="00C922AC">
      <w:pPr>
        <w:pStyle w:val="a0"/>
        <w:ind w:firstLineChars="200" w:firstLine="442"/>
        <w:outlineLvl w:val="2"/>
        <w:rPr>
          <w:rFonts w:ascii="ＭＳ ゴシック" w:eastAsia="ＭＳ ゴシック"/>
          <w:sz w:val="22"/>
          <w:szCs w:val="22"/>
          <w:u w:val="double"/>
          <w:shd w:val="pct15" w:color="auto" w:fill="FFFFFF"/>
        </w:rPr>
      </w:pPr>
      <w:bookmarkStart w:id="323" w:name="_Toc222486641"/>
      <w:bookmarkStart w:id="324" w:name="_Toc242870311"/>
      <w:r w:rsidRPr="008A3EDE">
        <w:rPr>
          <w:rFonts w:ascii="ＭＳ ゴシック" w:eastAsia="ＭＳ ゴシック" w:hint="eastAsia"/>
          <w:sz w:val="22"/>
          <w:szCs w:val="22"/>
          <w:u w:val="double"/>
        </w:rPr>
        <w:t>第１　被害状況の把握</w:t>
      </w:r>
      <w:r w:rsidRPr="008A3EDE">
        <w:rPr>
          <w:rFonts w:ascii="ＭＳ ゴシック" w:eastAsia="ＭＳ ゴシック" w:hint="eastAsia"/>
          <w:sz w:val="22"/>
          <w:szCs w:val="22"/>
          <w:u w:val="double"/>
          <w:shd w:val="pct15" w:color="auto" w:fill="FFFFFF"/>
        </w:rPr>
        <w:t>【第１フェーズ】</w:t>
      </w:r>
      <w:bookmarkEnd w:id="323"/>
      <w:bookmarkEnd w:id="324"/>
    </w:p>
    <w:p w14:paraId="1C0AD9A0" w14:textId="77777777" w:rsidR="00C922AC" w:rsidRPr="008A3EDE" w:rsidRDefault="00C922AC" w:rsidP="00C922AC">
      <w:pPr>
        <w:ind w:leftChars="420" w:left="887" w:firstLineChars="100" w:firstLine="221"/>
        <w:rPr>
          <w:rFonts w:ascii="ＭＳ ゴシック" w:eastAsia="ＭＳ ゴシック" w:hAnsi="ＭＳ ゴシック"/>
          <w:sz w:val="22"/>
          <w:szCs w:val="22"/>
          <w:bdr w:val="single" w:sz="4" w:space="0" w:color="auto"/>
        </w:rPr>
      </w:pPr>
      <w:r w:rsidRPr="008A3EDE">
        <w:rPr>
          <w:rFonts w:ascii="ＭＳ ゴシック" w:eastAsia="ＭＳ ゴシック" w:hAnsi="ＭＳ ゴシック" w:hint="eastAsia"/>
          <w:sz w:val="22"/>
          <w:szCs w:val="22"/>
          <w:bdr w:val="single" w:sz="4" w:space="0" w:color="auto"/>
        </w:rPr>
        <w:t>主たる担当：危機管理室</w:t>
      </w:r>
    </w:p>
    <w:p w14:paraId="674B7FD4" w14:textId="77777777" w:rsidR="00C922AC" w:rsidRPr="008A3EDE" w:rsidRDefault="00C922AC" w:rsidP="00C922AC">
      <w:pPr>
        <w:overflowPunct w:val="0"/>
        <w:autoSpaceDE w:val="0"/>
        <w:autoSpaceDN w:val="0"/>
        <w:ind w:leftChars="400" w:left="844" w:firstLineChars="99" w:firstLine="219"/>
        <w:rPr>
          <w:rFonts w:hAnsi="ＭＳ 明朝"/>
          <w:sz w:val="22"/>
          <w:szCs w:val="22"/>
        </w:rPr>
      </w:pPr>
      <w:r w:rsidRPr="008A3EDE">
        <w:rPr>
          <w:rFonts w:hAnsi="ＭＳ 明朝" w:hint="eastAsia"/>
          <w:sz w:val="22"/>
          <w:szCs w:val="22"/>
        </w:rPr>
        <w:t>府は、発災当初よりライフライン機関各社が発信する情報を収集し、停電、ガス供給停止、通信不通（固定電話・携帯電話）などの被害状況を継続的に把握する。</w:t>
      </w:r>
    </w:p>
    <w:p w14:paraId="5673C467" w14:textId="77777777" w:rsidR="00C922AC" w:rsidRPr="008A3EDE" w:rsidRDefault="00C922AC" w:rsidP="00C922AC">
      <w:pPr>
        <w:overflowPunct w:val="0"/>
        <w:autoSpaceDE w:val="0"/>
        <w:autoSpaceDN w:val="0"/>
        <w:rPr>
          <w:rFonts w:hAnsi="ＭＳ 明朝"/>
          <w:sz w:val="22"/>
          <w:szCs w:val="22"/>
        </w:rPr>
      </w:pPr>
    </w:p>
    <w:p w14:paraId="32427BD6" w14:textId="77777777" w:rsidR="00C922AC" w:rsidRPr="008A3EDE" w:rsidRDefault="00C922AC" w:rsidP="00C922AC">
      <w:pPr>
        <w:pStyle w:val="a0"/>
        <w:ind w:firstLineChars="200" w:firstLine="442"/>
        <w:outlineLvl w:val="2"/>
        <w:rPr>
          <w:rFonts w:ascii="ＭＳ ゴシック" w:eastAsia="ＭＳ ゴシック"/>
          <w:sz w:val="22"/>
          <w:szCs w:val="22"/>
          <w:u w:val="double"/>
          <w:shd w:val="pct15" w:color="auto" w:fill="FFFFFF"/>
        </w:rPr>
      </w:pPr>
      <w:bookmarkStart w:id="325" w:name="_Toc222486642"/>
      <w:bookmarkStart w:id="326" w:name="_Toc242870312"/>
      <w:r w:rsidRPr="008A3EDE">
        <w:rPr>
          <w:rFonts w:ascii="ＭＳ ゴシック" w:eastAsia="ＭＳ ゴシック" w:hint="eastAsia"/>
          <w:sz w:val="22"/>
          <w:szCs w:val="22"/>
          <w:u w:val="double"/>
        </w:rPr>
        <w:t>第２　連絡体制の確保</w:t>
      </w:r>
      <w:r w:rsidRPr="008A3EDE">
        <w:rPr>
          <w:rFonts w:ascii="ＭＳ ゴシック" w:eastAsia="ＭＳ ゴシック" w:hint="eastAsia"/>
          <w:sz w:val="22"/>
          <w:szCs w:val="22"/>
          <w:u w:val="double"/>
          <w:shd w:val="pct15" w:color="auto" w:fill="FFFFFF"/>
        </w:rPr>
        <w:t>【第２フェーズ】</w:t>
      </w:r>
      <w:bookmarkEnd w:id="325"/>
      <w:bookmarkEnd w:id="326"/>
    </w:p>
    <w:p w14:paraId="3B95811B" w14:textId="77777777" w:rsidR="00C922AC" w:rsidRPr="008A3EDE" w:rsidRDefault="00C922AC" w:rsidP="00C922AC">
      <w:pPr>
        <w:ind w:leftChars="420" w:left="887" w:firstLineChars="100" w:firstLine="221"/>
        <w:rPr>
          <w:rFonts w:ascii="ＭＳ ゴシック" w:eastAsia="ＭＳ ゴシック" w:hAnsi="ＭＳ ゴシック"/>
          <w:sz w:val="22"/>
          <w:szCs w:val="22"/>
          <w:bdr w:val="single" w:sz="4" w:space="0" w:color="auto"/>
        </w:rPr>
      </w:pPr>
      <w:r w:rsidRPr="008A3EDE">
        <w:rPr>
          <w:rFonts w:ascii="ＭＳ ゴシック" w:eastAsia="ＭＳ ゴシック" w:hAnsi="ＭＳ ゴシック" w:hint="eastAsia"/>
          <w:sz w:val="22"/>
          <w:szCs w:val="22"/>
          <w:bdr w:val="single" w:sz="4" w:space="0" w:color="auto"/>
        </w:rPr>
        <w:t>主たる担当：危機管理室</w:t>
      </w:r>
    </w:p>
    <w:p w14:paraId="7186C3C5" w14:textId="77777777" w:rsidR="00C922AC" w:rsidRPr="008A3EDE" w:rsidRDefault="00C922AC" w:rsidP="00C922AC">
      <w:pPr>
        <w:overflowPunct w:val="0"/>
        <w:autoSpaceDE w:val="0"/>
        <w:autoSpaceDN w:val="0"/>
        <w:ind w:leftChars="400" w:left="844" w:firstLineChars="99" w:firstLine="219"/>
        <w:rPr>
          <w:rFonts w:hAnsi="ＭＳ 明朝"/>
          <w:sz w:val="22"/>
          <w:szCs w:val="22"/>
        </w:rPr>
      </w:pPr>
      <w:r w:rsidRPr="008A3EDE">
        <w:rPr>
          <w:rFonts w:hAnsi="ＭＳ 明朝" w:hint="eastAsia"/>
          <w:sz w:val="22"/>
          <w:szCs w:val="22"/>
        </w:rPr>
        <w:t>府は、防災無線等を通じてライフライン機関各社との連絡体制を確保する。また詳細な被害状況を把握するなど必要に応じ、ライフライン機関にリエゾンの派遣を要請し、密接な連携体制を確保する。</w:t>
      </w:r>
    </w:p>
    <w:p w14:paraId="5A114A09" w14:textId="77777777" w:rsidR="00C922AC" w:rsidRPr="008A3EDE" w:rsidRDefault="00C922AC" w:rsidP="00C922AC">
      <w:pPr>
        <w:overflowPunct w:val="0"/>
        <w:autoSpaceDE w:val="0"/>
        <w:autoSpaceDN w:val="0"/>
        <w:rPr>
          <w:rFonts w:hAnsi="ＭＳ 明朝"/>
          <w:sz w:val="22"/>
          <w:szCs w:val="22"/>
        </w:rPr>
      </w:pPr>
    </w:p>
    <w:p w14:paraId="645223A5" w14:textId="77777777" w:rsidR="00C922AC" w:rsidRPr="008A3EDE" w:rsidRDefault="00C922AC" w:rsidP="00C922AC">
      <w:pPr>
        <w:pStyle w:val="a0"/>
        <w:ind w:firstLineChars="200" w:firstLine="442"/>
        <w:outlineLvl w:val="2"/>
        <w:rPr>
          <w:rFonts w:ascii="ＭＳ ゴシック" w:eastAsia="ＭＳ ゴシック"/>
          <w:sz w:val="22"/>
          <w:szCs w:val="22"/>
          <w:u w:val="double"/>
          <w:shd w:val="pct15" w:color="auto" w:fill="FFFFFF"/>
        </w:rPr>
      </w:pPr>
      <w:bookmarkStart w:id="327" w:name="_Toc222486643"/>
      <w:bookmarkStart w:id="328" w:name="_Toc242870313"/>
      <w:r w:rsidRPr="008A3EDE">
        <w:rPr>
          <w:rFonts w:ascii="ＭＳ ゴシック" w:eastAsia="ＭＳ ゴシック" w:hint="eastAsia"/>
          <w:sz w:val="22"/>
          <w:szCs w:val="22"/>
          <w:u w:val="double"/>
        </w:rPr>
        <w:t>第３　重要拠点施設の機能確保</w:t>
      </w:r>
      <w:r w:rsidRPr="008A3EDE">
        <w:rPr>
          <w:rFonts w:ascii="ＭＳ ゴシック" w:eastAsia="ＭＳ ゴシック" w:hint="eastAsia"/>
          <w:sz w:val="22"/>
          <w:szCs w:val="22"/>
          <w:u w:val="double"/>
          <w:shd w:val="pct15" w:color="auto" w:fill="FFFFFF"/>
        </w:rPr>
        <w:t>【第３フェーズ】</w:t>
      </w:r>
      <w:bookmarkEnd w:id="327"/>
      <w:bookmarkEnd w:id="328"/>
    </w:p>
    <w:p w14:paraId="3E2E4BC1" w14:textId="77777777" w:rsidR="00C922AC" w:rsidRPr="008A3EDE" w:rsidRDefault="00C922AC" w:rsidP="00C922AC">
      <w:pPr>
        <w:ind w:leftChars="420" w:left="887" w:firstLineChars="100" w:firstLine="221"/>
        <w:rPr>
          <w:rFonts w:ascii="ＭＳ ゴシック" w:eastAsia="ＭＳ ゴシック" w:hAnsi="ＭＳ ゴシック"/>
          <w:sz w:val="22"/>
          <w:szCs w:val="22"/>
          <w:bdr w:val="single" w:sz="4" w:space="0" w:color="auto"/>
        </w:rPr>
      </w:pPr>
      <w:r w:rsidRPr="008A3EDE">
        <w:rPr>
          <w:rFonts w:ascii="ＭＳ ゴシック" w:eastAsia="ＭＳ ゴシック" w:hAnsi="ＭＳ ゴシック" w:hint="eastAsia"/>
          <w:sz w:val="22"/>
          <w:szCs w:val="22"/>
          <w:bdr w:val="single" w:sz="4" w:space="0" w:color="auto"/>
        </w:rPr>
        <w:t>主たる担当：危機管理室</w:t>
      </w:r>
    </w:p>
    <w:p w14:paraId="111D0AA6" w14:textId="77777777" w:rsidR="00C922AC" w:rsidRPr="008A3EDE" w:rsidRDefault="00C922AC" w:rsidP="00C922AC">
      <w:pPr>
        <w:overflowPunct w:val="0"/>
        <w:autoSpaceDE w:val="0"/>
        <w:autoSpaceDN w:val="0"/>
        <w:ind w:leftChars="400" w:left="844" w:firstLineChars="99" w:firstLine="219"/>
        <w:rPr>
          <w:rFonts w:hAnsi="ＭＳ 明朝"/>
          <w:sz w:val="22"/>
          <w:szCs w:val="22"/>
        </w:rPr>
      </w:pPr>
      <w:r w:rsidRPr="008A3EDE">
        <w:rPr>
          <w:rFonts w:hAnsi="ＭＳ 明朝" w:hint="eastAsia"/>
          <w:sz w:val="22"/>
          <w:szCs w:val="22"/>
        </w:rPr>
        <w:t>府は、災害対応機関や災害拠点病院など人命に関わる重要施設の非常用電源やガス供給、通信設備の稼働状況より、ライフライン設備の確保が必要な施設を確認し、ライフライン機関各社や国の機関などとライフライン設備の応急復旧を調整する。</w:t>
      </w:r>
    </w:p>
    <w:p w14:paraId="222E4C7C" w14:textId="77777777" w:rsidR="00C922AC" w:rsidRPr="008A3EDE" w:rsidRDefault="00C922AC" w:rsidP="00C922AC">
      <w:pPr>
        <w:overflowPunct w:val="0"/>
        <w:autoSpaceDE w:val="0"/>
        <w:autoSpaceDN w:val="0"/>
        <w:ind w:leftChars="400" w:left="844" w:firstLineChars="99" w:firstLine="219"/>
        <w:rPr>
          <w:rFonts w:hAnsi="ＭＳ 明朝"/>
          <w:sz w:val="22"/>
          <w:szCs w:val="22"/>
        </w:rPr>
      </w:pPr>
      <w:r w:rsidRPr="008A3EDE">
        <w:rPr>
          <w:rFonts w:hAnsi="ＭＳ 明朝" w:hint="eastAsia"/>
          <w:sz w:val="22"/>
          <w:szCs w:val="22"/>
        </w:rPr>
        <w:t>また、ライフライン機関各社より応急復旧の妨げとなる道路不通情報を収集し、関係機関と道路啓開の調整を図る。</w:t>
      </w:r>
    </w:p>
    <w:p w14:paraId="65390424" w14:textId="77777777" w:rsidR="00C922AC" w:rsidRPr="008A3EDE" w:rsidRDefault="00C922AC" w:rsidP="00C922AC">
      <w:pPr>
        <w:overflowPunct w:val="0"/>
        <w:autoSpaceDE w:val="0"/>
        <w:autoSpaceDN w:val="0"/>
        <w:rPr>
          <w:rFonts w:hAnsi="ＭＳ 明朝"/>
          <w:sz w:val="22"/>
          <w:szCs w:val="22"/>
        </w:rPr>
      </w:pPr>
    </w:p>
    <w:p w14:paraId="5760C3C6" w14:textId="77777777" w:rsidR="00C922AC" w:rsidRPr="008A3EDE" w:rsidRDefault="00C922AC" w:rsidP="00C922AC">
      <w:pPr>
        <w:pStyle w:val="a0"/>
        <w:ind w:firstLineChars="200" w:firstLine="442"/>
        <w:outlineLvl w:val="2"/>
        <w:rPr>
          <w:rFonts w:ascii="ＭＳ ゴシック" w:eastAsia="ＭＳ ゴシック"/>
          <w:sz w:val="22"/>
          <w:szCs w:val="22"/>
          <w:u w:val="double"/>
          <w:shd w:val="pct15" w:color="auto" w:fill="FFFFFF"/>
        </w:rPr>
      </w:pPr>
      <w:bookmarkStart w:id="329" w:name="_Toc222486644"/>
      <w:bookmarkStart w:id="330" w:name="_Toc242870314"/>
      <w:r w:rsidRPr="008A3EDE">
        <w:rPr>
          <w:rFonts w:ascii="ＭＳ ゴシック" w:eastAsia="ＭＳ ゴシック" w:hint="eastAsia"/>
          <w:sz w:val="22"/>
          <w:szCs w:val="22"/>
          <w:u w:val="double"/>
        </w:rPr>
        <w:t>第４　避難所支援の調整</w:t>
      </w:r>
      <w:r w:rsidRPr="008A3EDE">
        <w:rPr>
          <w:rFonts w:ascii="ＭＳ ゴシック" w:eastAsia="ＭＳ ゴシック" w:hint="eastAsia"/>
          <w:sz w:val="22"/>
          <w:szCs w:val="22"/>
          <w:u w:val="double"/>
          <w:shd w:val="pct15" w:color="auto" w:fill="FFFFFF"/>
        </w:rPr>
        <w:t>【第４フェーズ】</w:t>
      </w:r>
      <w:bookmarkEnd w:id="329"/>
      <w:bookmarkEnd w:id="330"/>
    </w:p>
    <w:p w14:paraId="364375F2" w14:textId="77777777" w:rsidR="00C922AC" w:rsidRPr="008A3EDE" w:rsidRDefault="00C922AC" w:rsidP="00C922AC">
      <w:pPr>
        <w:ind w:leftChars="420" w:left="887" w:firstLineChars="100" w:firstLine="221"/>
        <w:rPr>
          <w:rFonts w:ascii="ＭＳ ゴシック" w:eastAsia="ＭＳ ゴシック" w:hAnsi="ＭＳ ゴシック"/>
          <w:sz w:val="22"/>
          <w:szCs w:val="22"/>
          <w:bdr w:val="single" w:sz="4" w:space="0" w:color="auto"/>
        </w:rPr>
      </w:pPr>
      <w:r w:rsidRPr="008A3EDE">
        <w:rPr>
          <w:rFonts w:ascii="ＭＳ ゴシック" w:eastAsia="ＭＳ ゴシック" w:hAnsi="ＭＳ ゴシック" w:hint="eastAsia"/>
          <w:sz w:val="22"/>
          <w:szCs w:val="22"/>
          <w:bdr w:val="single" w:sz="4" w:space="0" w:color="auto"/>
        </w:rPr>
        <w:t>主たる担当：危機管理室</w:t>
      </w:r>
    </w:p>
    <w:p w14:paraId="551097C9" w14:textId="77777777" w:rsidR="00C922AC" w:rsidRPr="008A3EDE" w:rsidRDefault="00C922AC" w:rsidP="00C922AC">
      <w:pPr>
        <w:overflowPunct w:val="0"/>
        <w:autoSpaceDE w:val="0"/>
        <w:autoSpaceDN w:val="0"/>
        <w:ind w:leftChars="400" w:left="844" w:firstLineChars="100" w:firstLine="221"/>
        <w:rPr>
          <w:rFonts w:hAnsi="ＭＳ 明朝"/>
          <w:sz w:val="22"/>
          <w:szCs w:val="22"/>
        </w:rPr>
      </w:pPr>
      <w:r w:rsidRPr="008A3EDE">
        <w:rPr>
          <w:rFonts w:hAnsi="ＭＳ 明朝" w:hint="eastAsia"/>
          <w:sz w:val="22"/>
          <w:szCs w:val="22"/>
        </w:rPr>
        <w:t>府は、避難所への特設公衆電話の設置や無料充電・</w:t>
      </w:r>
      <w:r w:rsidRPr="008A3EDE">
        <w:rPr>
          <w:rFonts w:hAnsi="ＭＳ 明朝" w:hint="eastAsia"/>
          <w:sz w:val="22"/>
          <w:szCs w:val="22"/>
        </w:rPr>
        <w:t>Wi-Fi</w:t>
      </w:r>
      <w:r w:rsidRPr="008A3EDE">
        <w:rPr>
          <w:rFonts w:hAnsi="ＭＳ 明朝" w:hint="eastAsia"/>
          <w:sz w:val="22"/>
          <w:szCs w:val="22"/>
        </w:rPr>
        <w:t>サービスの提供を通信関係機関と調整し、市町村の避難所運営の支援を図る。</w:t>
      </w:r>
    </w:p>
    <w:p w14:paraId="04734F0C" w14:textId="5D9B1E61" w:rsidR="008B4B2B" w:rsidRPr="008A3EDE" w:rsidRDefault="00C922AC" w:rsidP="00A5219E">
      <w:pPr>
        <w:widowControl/>
        <w:jc w:val="left"/>
        <w:rPr>
          <w:rFonts w:ascii="ＭＳ ゴシック" w:eastAsia="ＭＳ ゴシック" w:hAnsi="ＭＳ ゴシック" w:cs="Courier New"/>
          <w:sz w:val="22"/>
          <w:szCs w:val="22"/>
        </w:rPr>
      </w:pPr>
      <w:r w:rsidRPr="008A3EDE">
        <w:rPr>
          <w:rFonts w:ascii="ＭＳ ゴシック" w:eastAsia="ＭＳ ゴシック" w:hAnsi="ＭＳ ゴシック"/>
          <w:sz w:val="22"/>
          <w:szCs w:val="22"/>
        </w:rPr>
        <w:br w:type="page"/>
      </w:r>
    </w:p>
    <w:p w14:paraId="4BDFE16A" w14:textId="034ACE40" w:rsidR="008B4B2B" w:rsidRPr="001D6D10" w:rsidRDefault="00C922AC">
      <w:pPr>
        <w:pStyle w:val="2"/>
      </w:pPr>
      <w:bookmarkStart w:id="331" w:name="_Toc122436951"/>
      <w:bookmarkStart w:id="332" w:name="_Toc222486645"/>
      <w:bookmarkStart w:id="333" w:name="_Toc242870315"/>
      <w:r w:rsidRPr="008A3EDE">
        <w:rPr>
          <w:rFonts w:hint="eastAsia"/>
        </w:rPr>
        <w:lastRenderedPageBreak/>
        <w:t>第</w:t>
      </w:r>
      <w:r w:rsidR="00C625F5" w:rsidRPr="008A3EDE">
        <w:rPr>
          <w:rFonts w:hint="eastAsia"/>
        </w:rPr>
        <w:t>８</w:t>
      </w:r>
      <w:r w:rsidR="008B4B2B" w:rsidRPr="008A3EDE">
        <w:rPr>
          <w:rFonts w:hint="eastAsia"/>
        </w:rPr>
        <w:t>節　被災者の生活支援</w:t>
      </w:r>
      <w:bookmarkEnd w:id="331"/>
      <w:bookmarkEnd w:id="332"/>
      <w:bookmarkEnd w:id="333"/>
    </w:p>
    <w:tbl>
      <w:tblPr>
        <w:tblW w:w="0" w:type="auto"/>
        <w:tblBorders>
          <w:top w:val="thinThickSmallGap" w:sz="24" w:space="0" w:color="auto"/>
          <w:left w:val="thinThickSmallGap" w:sz="24" w:space="0" w:color="auto"/>
          <w:bottom w:val="thinThickSmallGap" w:sz="24" w:space="0" w:color="auto"/>
          <w:right w:val="thinThickSmallGap" w:sz="24" w:space="0" w:color="auto"/>
          <w:insideH w:val="thinThickSmallGap" w:sz="24" w:space="0" w:color="auto"/>
          <w:insideV w:val="thinThickSmallGap" w:sz="24" w:space="0" w:color="auto"/>
        </w:tblBorders>
        <w:tblLook w:val="04A0" w:firstRow="1" w:lastRow="0" w:firstColumn="1" w:lastColumn="0" w:noHBand="0" w:noVBand="1"/>
      </w:tblPr>
      <w:tblGrid>
        <w:gridCol w:w="1428"/>
        <w:gridCol w:w="7326"/>
      </w:tblGrid>
      <w:tr w:rsidR="008B4B2B" w:rsidRPr="001D6D10" w14:paraId="7D50C532" w14:textId="77777777" w:rsidTr="008B4B2B">
        <w:tc>
          <w:tcPr>
            <w:tcW w:w="1526" w:type="dxa"/>
          </w:tcPr>
          <w:p w14:paraId="66D78C3A" w14:textId="77777777" w:rsidR="008B4B2B" w:rsidRPr="001D6D10" w:rsidRDefault="008B4B2B" w:rsidP="008B4B2B">
            <w:pPr>
              <w:jc w:val="center"/>
              <w:rPr>
                <w:rFonts w:ascii="ＭＳ ゴシック" w:eastAsia="ＭＳ ゴシック" w:hAnsi="ＭＳ ゴシック"/>
                <w:b/>
                <w:sz w:val="28"/>
                <w:szCs w:val="28"/>
              </w:rPr>
            </w:pPr>
            <w:r w:rsidRPr="001D6D10">
              <w:rPr>
                <w:rFonts w:ascii="ＭＳ ゴシック" w:eastAsia="ＭＳ ゴシック" w:hAnsi="ＭＳ ゴシック" w:hint="eastAsia"/>
                <w:b/>
                <w:sz w:val="28"/>
                <w:szCs w:val="28"/>
              </w:rPr>
              <w:t>目　標</w:t>
            </w:r>
          </w:p>
        </w:tc>
        <w:tc>
          <w:tcPr>
            <w:tcW w:w="8026" w:type="dxa"/>
            <w:vAlign w:val="center"/>
          </w:tcPr>
          <w:p w14:paraId="762B7C69" w14:textId="77777777" w:rsidR="008B4B2B" w:rsidRPr="001D6D10" w:rsidRDefault="008B4B2B" w:rsidP="008B4B2B">
            <w:pPr>
              <w:ind w:firstLineChars="100" w:firstLine="242"/>
              <w:jc w:val="left"/>
              <w:rPr>
                <w:rFonts w:ascii="ＭＳ ゴシック" w:eastAsia="ＭＳ ゴシック" w:hAnsi="ＭＳ ゴシック"/>
                <w:b/>
                <w:sz w:val="24"/>
              </w:rPr>
            </w:pPr>
            <w:r w:rsidRPr="001D6D10">
              <w:rPr>
                <w:rFonts w:ascii="ＭＳ ゴシック" w:eastAsia="ＭＳ ゴシック" w:hAnsi="ＭＳ ゴシック" w:hint="eastAsia"/>
                <w:b/>
                <w:sz w:val="24"/>
              </w:rPr>
              <w:t>迅速・的確な対応により、被災者のＱＯＬを確保する。</w:t>
            </w:r>
          </w:p>
        </w:tc>
      </w:tr>
    </w:tbl>
    <w:p w14:paraId="1EAA1583" w14:textId="77777777" w:rsidR="008B4B2B" w:rsidRPr="001D6D10" w:rsidRDefault="008B4B2B" w:rsidP="008B4B2B">
      <w:pPr>
        <w:rPr>
          <w:rFonts w:ascii="ＭＳ ゴシック" w:eastAsia="ＭＳ ゴシック" w:hAnsi="ＭＳ ゴシック"/>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64"/>
        <w:gridCol w:w="7270"/>
      </w:tblGrid>
      <w:tr w:rsidR="001D6D10" w:rsidRPr="001D6D10" w14:paraId="5AB312F4" w14:textId="77777777" w:rsidTr="008B4B2B">
        <w:tc>
          <w:tcPr>
            <w:tcW w:w="1668" w:type="dxa"/>
            <w:shd w:val="clear" w:color="auto" w:fill="F2F2F2"/>
          </w:tcPr>
          <w:p w14:paraId="7E081049" w14:textId="77777777" w:rsidR="008B4B2B" w:rsidRPr="001D6D10" w:rsidRDefault="008B4B2B" w:rsidP="008B4B2B">
            <w:pPr>
              <w:jc w:val="center"/>
              <w:rPr>
                <w:rFonts w:ascii="ＭＳ ゴシック" w:eastAsia="ＭＳ ゴシック" w:hAnsi="ＭＳ ゴシック"/>
                <w:sz w:val="22"/>
                <w:szCs w:val="22"/>
              </w:rPr>
            </w:pPr>
            <w:r w:rsidRPr="001D6D10">
              <w:rPr>
                <w:rFonts w:ascii="ＭＳ ゴシック" w:eastAsia="ＭＳ ゴシック" w:hAnsi="ＭＳ ゴシック" w:hint="eastAsia"/>
                <w:sz w:val="22"/>
                <w:szCs w:val="22"/>
              </w:rPr>
              <w:t>フェーズ</w:t>
            </w:r>
          </w:p>
        </w:tc>
        <w:tc>
          <w:tcPr>
            <w:tcW w:w="7884" w:type="dxa"/>
            <w:shd w:val="clear" w:color="auto" w:fill="F2F2F2"/>
          </w:tcPr>
          <w:p w14:paraId="1665CE96" w14:textId="77777777" w:rsidR="008B4B2B" w:rsidRPr="001D6D10" w:rsidRDefault="008B4B2B" w:rsidP="008B4B2B">
            <w:pPr>
              <w:jc w:val="center"/>
              <w:rPr>
                <w:rFonts w:ascii="ＭＳ ゴシック" w:eastAsia="ＭＳ ゴシック" w:hAnsi="ＭＳ ゴシック"/>
                <w:sz w:val="22"/>
                <w:szCs w:val="22"/>
              </w:rPr>
            </w:pPr>
            <w:r w:rsidRPr="001D6D10">
              <w:rPr>
                <w:rFonts w:ascii="ＭＳ ゴシック" w:eastAsia="ＭＳ ゴシック" w:hAnsi="ＭＳ ゴシック" w:hint="eastAsia"/>
                <w:sz w:val="22"/>
                <w:szCs w:val="22"/>
              </w:rPr>
              <w:t>主な目標</w:t>
            </w:r>
          </w:p>
        </w:tc>
      </w:tr>
      <w:tr w:rsidR="001D6D10" w:rsidRPr="001D6D10" w14:paraId="6FCCB7FF" w14:textId="77777777" w:rsidTr="008B4B2B">
        <w:tc>
          <w:tcPr>
            <w:tcW w:w="1668" w:type="dxa"/>
          </w:tcPr>
          <w:p w14:paraId="22EAF8E7" w14:textId="77777777" w:rsidR="008B4B2B" w:rsidRPr="001D6D10" w:rsidRDefault="008B4B2B" w:rsidP="008B4B2B">
            <w:pPr>
              <w:rPr>
                <w:rFonts w:ascii="ＭＳ ゴシック" w:eastAsia="ＭＳ ゴシック" w:hAnsi="ＭＳ ゴシック"/>
                <w:sz w:val="22"/>
                <w:szCs w:val="22"/>
              </w:rPr>
            </w:pPr>
            <w:r w:rsidRPr="001D6D10">
              <w:rPr>
                <w:rFonts w:ascii="ＭＳ ゴシック" w:eastAsia="ＭＳ ゴシック" w:hAnsi="ＭＳ ゴシック" w:hint="eastAsia"/>
                <w:sz w:val="22"/>
                <w:szCs w:val="22"/>
              </w:rPr>
              <w:t>第１フェーズ</w:t>
            </w:r>
          </w:p>
        </w:tc>
        <w:tc>
          <w:tcPr>
            <w:tcW w:w="7884" w:type="dxa"/>
          </w:tcPr>
          <w:p w14:paraId="2B5B7CBA" w14:textId="77777777" w:rsidR="008B4B2B" w:rsidRPr="001D6D10" w:rsidRDefault="008B4B2B" w:rsidP="008B4B2B">
            <w:pPr>
              <w:rPr>
                <w:rFonts w:ascii="ＭＳ ゴシック" w:eastAsia="ＭＳ ゴシック" w:hAnsi="ＭＳ ゴシック"/>
                <w:sz w:val="22"/>
                <w:szCs w:val="22"/>
              </w:rPr>
            </w:pPr>
            <w:r w:rsidRPr="001D6D10">
              <w:rPr>
                <w:rFonts w:ascii="ＭＳ ゴシック" w:eastAsia="ＭＳ ゴシック" w:hAnsi="ＭＳ ゴシック" w:hint="eastAsia"/>
                <w:sz w:val="22"/>
                <w:szCs w:val="22"/>
              </w:rPr>
              <w:t>国と連携し、速やかに災害救助法を適用する。</w:t>
            </w:r>
          </w:p>
        </w:tc>
      </w:tr>
      <w:tr w:rsidR="001D6D10" w:rsidRPr="001D6D10" w14:paraId="5298EA3A" w14:textId="77777777" w:rsidTr="008B4B2B">
        <w:tc>
          <w:tcPr>
            <w:tcW w:w="1668" w:type="dxa"/>
          </w:tcPr>
          <w:p w14:paraId="1BBB95F8" w14:textId="77777777" w:rsidR="008B4B2B" w:rsidRPr="001D6D10" w:rsidRDefault="008B4B2B" w:rsidP="008B4B2B">
            <w:pPr>
              <w:rPr>
                <w:rFonts w:ascii="ＭＳ ゴシック" w:eastAsia="ＭＳ ゴシック" w:hAnsi="ＭＳ ゴシック"/>
                <w:sz w:val="22"/>
                <w:szCs w:val="22"/>
              </w:rPr>
            </w:pPr>
            <w:r w:rsidRPr="001D6D10">
              <w:rPr>
                <w:rFonts w:ascii="ＭＳ ゴシック" w:eastAsia="ＭＳ ゴシック" w:hAnsi="ＭＳ ゴシック" w:hint="eastAsia"/>
                <w:sz w:val="22"/>
                <w:szCs w:val="22"/>
              </w:rPr>
              <w:t>第２フェーズ</w:t>
            </w:r>
          </w:p>
        </w:tc>
        <w:tc>
          <w:tcPr>
            <w:tcW w:w="7884" w:type="dxa"/>
          </w:tcPr>
          <w:p w14:paraId="067506F7" w14:textId="77777777" w:rsidR="008B4B2B" w:rsidRPr="001D6D10" w:rsidRDefault="008B4B2B" w:rsidP="008B4B2B">
            <w:pPr>
              <w:rPr>
                <w:rFonts w:ascii="ＭＳ ゴシック" w:eastAsia="ＭＳ ゴシック" w:hAnsi="ＭＳ ゴシック"/>
                <w:sz w:val="22"/>
                <w:szCs w:val="22"/>
              </w:rPr>
            </w:pPr>
            <w:r w:rsidRPr="001D6D10">
              <w:rPr>
                <w:rFonts w:ascii="ＭＳ ゴシック" w:eastAsia="ＭＳ ゴシック" w:hAnsi="ＭＳ ゴシック" w:hint="eastAsia"/>
                <w:sz w:val="22"/>
                <w:szCs w:val="22"/>
              </w:rPr>
              <w:t>府備蓄物資の供給を開始するとともに、必要な物資の調達等を開始する。</w:t>
            </w:r>
          </w:p>
        </w:tc>
      </w:tr>
      <w:tr w:rsidR="001D6D10" w:rsidRPr="001D6D10" w14:paraId="29E31B39" w14:textId="77777777" w:rsidTr="008B4B2B">
        <w:tc>
          <w:tcPr>
            <w:tcW w:w="1668" w:type="dxa"/>
          </w:tcPr>
          <w:p w14:paraId="4F5E8B43" w14:textId="77777777" w:rsidR="008B4B2B" w:rsidRPr="001D6D10" w:rsidRDefault="008B4B2B" w:rsidP="008B4B2B">
            <w:pPr>
              <w:rPr>
                <w:rFonts w:ascii="ＭＳ ゴシック" w:eastAsia="ＭＳ ゴシック" w:hAnsi="ＭＳ ゴシック"/>
                <w:sz w:val="22"/>
                <w:szCs w:val="22"/>
              </w:rPr>
            </w:pPr>
            <w:r w:rsidRPr="001D6D10">
              <w:rPr>
                <w:rFonts w:ascii="ＭＳ ゴシック" w:eastAsia="ＭＳ ゴシック" w:hAnsi="ＭＳ ゴシック" w:hint="eastAsia"/>
                <w:sz w:val="22"/>
                <w:szCs w:val="22"/>
              </w:rPr>
              <w:t>第３フェーズ</w:t>
            </w:r>
          </w:p>
        </w:tc>
        <w:tc>
          <w:tcPr>
            <w:tcW w:w="7884" w:type="dxa"/>
          </w:tcPr>
          <w:p w14:paraId="79115B29" w14:textId="77777777" w:rsidR="008B4B2B" w:rsidRPr="001D6D10" w:rsidRDefault="008B4B2B" w:rsidP="008B4B2B">
            <w:pPr>
              <w:rPr>
                <w:rFonts w:ascii="ＭＳ ゴシック" w:eastAsia="ＭＳ ゴシック" w:hAnsi="ＭＳ ゴシック"/>
                <w:sz w:val="22"/>
                <w:szCs w:val="22"/>
              </w:rPr>
            </w:pPr>
            <w:r w:rsidRPr="001D6D10">
              <w:rPr>
                <w:rFonts w:ascii="ＭＳ ゴシック" w:eastAsia="ＭＳ ゴシック" w:hAnsi="ＭＳ ゴシック" w:hint="eastAsia"/>
                <w:sz w:val="22"/>
                <w:szCs w:val="22"/>
              </w:rPr>
              <w:t>被災者への物資の安定供給に向けた体制とともに、義援金、義援物資の受入れ体制（海外からの支援の受入れを含む）を構築する。</w:t>
            </w:r>
          </w:p>
        </w:tc>
      </w:tr>
      <w:tr w:rsidR="001D6D10" w:rsidRPr="001D6D10" w14:paraId="6C3A2EA9" w14:textId="77777777" w:rsidTr="008B4B2B">
        <w:tc>
          <w:tcPr>
            <w:tcW w:w="1668" w:type="dxa"/>
          </w:tcPr>
          <w:p w14:paraId="08981FC5" w14:textId="77777777" w:rsidR="008B4B2B" w:rsidRPr="001D6D10" w:rsidRDefault="008B4B2B" w:rsidP="008B4B2B">
            <w:pPr>
              <w:rPr>
                <w:rFonts w:ascii="ＭＳ ゴシック" w:eastAsia="ＭＳ ゴシック" w:hAnsi="ＭＳ ゴシック"/>
                <w:sz w:val="22"/>
                <w:szCs w:val="22"/>
              </w:rPr>
            </w:pPr>
            <w:r w:rsidRPr="001D6D10">
              <w:rPr>
                <w:rFonts w:ascii="ＭＳ ゴシック" w:eastAsia="ＭＳ ゴシック" w:hAnsi="ＭＳ ゴシック" w:hint="eastAsia"/>
                <w:sz w:val="22"/>
                <w:szCs w:val="22"/>
              </w:rPr>
              <w:t>第４フェーズ</w:t>
            </w:r>
          </w:p>
        </w:tc>
        <w:tc>
          <w:tcPr>
            <w:tcW w:w="7884" w:type="dxa"/>
          </w:tcPr>
          <w:p w14:paraId="4F0775AC" w14:textId="77777777" w:rsidR="008B4B2B" w:rsidRPr="001D6D10" w:rsidRDefault="008B4B2B" w:rsidP="008B4B2B">
            <w:pPr>
              <w:rPr>
                <w:rFonts w:ascii="ＭＳ ゴシック" w:eastAsia="ＭＳ ゴシック" w:hAnsi="ＭＳ ゴシック"/>
                <w:sz w:val="22"/>
                <w:szCs w:val="22"/>
              </w:rPr>
            </w:pPr>
            <w:r w:rsidRPr="001D6D10">
              <w:rPr>
                <w:rFonts w:ascii="ＭＳ ゴシック" w:eastAsia="ＭＳ ゴシック" w:hAnsi="ＭＳ ゴシック" w:hint="eastAsia"/>
                <w:sz w:val="22"/>
                <w:szCs w:val="22"/>
              </w:rPr>
              <w:t>被災者のＱＯＬを確保するため、ボランティアと連携するとともに、公営住宅等への一時入居の措置をとる</w:t>
            </w:r>
          </w:p>
        </w:tc>
      </w:tr>
      <w:tr w:rsidR="001D6D10" w:rsidRPr="001D6D10" w14:paraId="03D17E51" w14:textId="77777777" w:rsidTr="008B4B2B">
        <w:tc>
          <w:tcPr>
            <w:tcW w:w="1668" w:type="dxa"/>
          </w:tcPr>
          <w:p w14:paraId="0F1CE7CF" w14:textId="77777777" w:rsidR="008B4B2B" w:rsidRPr="001D6D10" w:rsidRDefault="008B4B2B" w:rsidP="008B4B2B">
            <w:pPr>
              <w:rPr>
                <w:rFonts w:ascii="ＭＳ ゴシック" w:eastAsia="ＭＳ ゴシック" w:hAnsi="ＭＳ ゴシック"/>
                <w:sz w:val="22"/>
                <w:szCs w:val="22"/>
              </w:rPr>
            </w:pPr>
            <w:r w:rsidRPr="001D6D10">
              <w:rPr>
                <w:rFonts w:ascii="ＭＳ ゴシック" w:eastAsia="ＭＳ ゴシック" w:hAnsi="ＭＳ ゴシック" w:hint="eastAsia"/>
                <w:sz w:val="22"/>
                <w:szCs w:val="22"/>
              </w:rPr>
              <w:t>第５フェーズ</w:t>
            </w:r>
          </w:p>
        </w:tc>
        <w:tc>
          <w:tcPr>
            <w:tcW w:w="7884" w:type="dxa"/>
          </w:tcPr>
          <w:p w14:paraId="62F59E94" w14:textId="77777777" w:rsidR="008B4B2B" w:rsidRPr="001D6D10" w:rsidRDefault="008B4B2B" w:rsidP="008B4B2B">
            <w:pPr>
              <w:rPr>
                <w:rFonts w:ascii="ＭＳ ゴシック" w:eastAsia="ＭＳ ゴシック" w:hAnsi="ＭＳ ゴシック"/>
                <w:sz w:val="22"/>
                <w:szCs w:val="22"/>
              </w:rPr>
            </w:pPr>
            <w:r w:rsidRPr="001D6D10">
              <w:rPr>
                <w:rFonts w:ascii="ＭＳ ゴシック" w:eastAsia="ＭＳ ゴシック" w:hAnsi="ＭＳ ゴシック" w:hint="eastAsia"/>
                <w:sz w:val="22"/>
                <w:szCs w:val="22"/>
              </w:rPr>
              <w:t>住宅の応急修理、応急仮設住宅の建設調整等を開始するとともに、応急教育体制の確立に努める。</w:t>
            </w:r>
          </w:p>
        </w:tc>
      </w:tr>
      <w:tr w:rsidR="001D6D10" w:rsidRPr="001D6D10" w14:paraId="012054D9" w14:textId="77777777" w:rsidTr="008B4B2B">
        <w:tc>
          <w:tcPr>
            <w:tcW w:w="1668" w:type="dxa"/>
          </w:tcPr>
          <w:p w14:paraId="16E7A825" w14:textId="77777777" w:rsidR="008B4B2B" w:rsidRPr="001D6D10" w:rsidRDefault="008B4B2B" w:rsidP="008B4B2B">
            <w:pPr>
              <w:rPr>
                <w:rFonts w:ascii="ＭＳ ゴシック" w:eastAsia="ＭＳ ゴシック" w:hAnsi="ＭＳ ゴシック"/>
                <w:sz w:val="22"/>
                <w:szCs w:val="22"/>
              </w:rPr>
            </w:pPr>
            <w:r w:rsidRPr="001D6D10">
              <w:rPr>
                <w:rFonts w:ascii="ＭＳ ゴシック" w:eastAsia="ＭＳ ゴシック" w:hAnsi="ＭＳ ゴシック" w:hint="eastAsia"/>
                <w:sz w:val="22"/>
                <w:szCs w:val="22"/>
              </w:rPr>
              <w:t>第６フェーズ</w:t>
            </w:r>
          </w:p>
        </w:tc>
        <w:tc>
          <w:tcPr>
            <w:tcW w:w="7884" w:type="dxa"/>
          </w:tcPr>
          <w:p w14:paraId="502A4831" w14:textId="77777777" w:rsidR="008B4B2B" w:rsidRPr="001D6D10" w:rsidRDefault="008B4B2B" w:rsidP="008B4B2B">
            <w:pPr>
              <w:rPr>
                <w:rFonts w:ascii="ＭＳ ゴシック" w:eastAsia="ＭＳ ゴシック" w:hAnsi="ＭＳ ゴシック"/>
                <w:sz w:val="22"/>
                <w:szCs w:val="22"/>
              </w:rPr>
            </w:pPr>
            <w:r w:rsidRPr="001D6D10">
              <w:rPr>
                <w:rFonts w:ascii="ＭＳ ゴシック" w:eastAsia="ＭＳ ゴシック" w:hAnsi="ＭＳ ゴシック" w:hint="eastAsia"/>
                <w:sz w:val="22"/>
                <w:szCs w:val="22"/>
              </w:rPr>
              <w:t>応急仮設住宅の建設に着手するとともに、速やかに被災者生活再建支援制度の手続きを開始する。また、応急教育を実施する。</w:t>
            </w:r>
          </w:p>
        </w:tc>
      </w:tr>
    </w:tbl>
    <w:p w14:paraId="5063C287" w14:textId="77777777" w:rsidR="008B4B2B" w:rsidRPr="001D6D10" w:rsidRDefault="008B4B2B" w:rsidP="008B4B2B">
      <w:pPr>
        <w:pStyle w:val="a0"/>
        <w:rPr>
          <w:sz w:val="22"/>
          <w:szCs w:val="22"/>
        </w:rPr>
      </w:pPr>
      <w:r w:rsidRPr="001D6D10">
        <w:rPr>
          <w:rFonts w:hint="eastAsia"/>
          <w:noProof/>
          <w:sz w:val="22"/>
          <w:szCs w:val="22"/>
        </w:rPr>
        <mc:AlternateContent>
          <mc:Choice Requires="wps">
            <w:drawing>
              <wp:anchor distT="0" distB="0" distL="114300" distR="114300" simplePos="0" relativeHeight="253327360" behindDoc="0" locked="0" layoutInCell="1" allowOverlap="1" wp14:anchorId="3614204D" wp14:editId="310860B4">
                <wp:simplePos x="0" y="0"/>
                <wp:positionH relativeFrom="column">
                  <wp:posOffset>-87630</wp:posOffset>
                </wp:positionH>
                <wp:positionV relativeFrom="paragraph">
                  <wp:posOffset>210820</wp:posOffset>
                </wp:positionV>
                <wp:extent cx="2924175" cy="228600"/>
                <wp:effectExtent l="7620" t="10795" r="11430" b="8255"/>
                <wp:wrapNone/>
                <wp:docPr id="4007" name="Text Box 251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24175" cy="228600"/>
                        </a:xfrm>
                        <a:prstGeom prst="rect">
                          <a:avLst/>
                        </a:prstGeom>
                        <a:solidFill>
                          <a:srgbClr val="F2F2F2"/>
                        </a:solidFill>
                        <a:ln w="9525">
                          <a:solidFill>
                            <a:srgbClr val="000000"/>
                          </a:solidFill>
                          <a:miter lim="800000"/>
                          <a:headEnd/>
                          <a:tailEnd/>
                        </a:ln>
                      </wps:spPr>
                      <wps:txbx>
                        <w:txbxContent>
                          <w:p w14:paraId="61A90715" w14:textId="77777777" w:rsidR="006A5267" w:rsidRPr="00F235E7" w:rsidRDefault="006A5267" w:rsidP="008B4B2B">
                            <w:pPr>
                              <w:jc w:val="center"/>
                              <w:rPr>
                                <w:rFonts w:ascii="ＭＳ ゴシック" w:eastAsia="ＭＳ ゴシック" w:hAnsi="ＭＳ ゴシック"/>
                                <w:sz w:val="22"/>
                                <w:szCs w:val="22"/>
                              </w:rPr>
                            </w:pPr>
                            <w:r w:rsidRPr="00522697">
                              <w:rPr>
                                <w:rFonts w:ascii="ＭＳ ゴシック" w:eastAsia="ＭＳ ゴシック" w:hAnsi="ＭＳ ゴシック" w:hint="eastAsia"/>
                                <w:sz w:val="22"/>
                                <w:szCs w:val="22"/>
                              </w:rPr>
                              <w:t>災害救助法による応急救助</w:t>
                            </w:r>
                            <w:r w:rsidRPr="00F235E7">
                              <w:rPr>
                                <w:rFonts w:ascii="ＭＳ ゴシック" w:eastAsia="ＭＳ ゴシック" w:hAnsi="ＭＳ ゴシック" w:hint="eastAsia"/>
                                <w:sz w:val="22"/>
                                <w:szCs w:val="22"/>
                              </w:rPr>
                              <w:t>の実施概念図</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shape w14:anchorId="3614204D" id="Text Box 2519" o:spid="_x0000_s1451" type="#_x0000_t202" style="position:absolute;left:0;text-align:left;margin-left:-6.9pt;margin-top:16.6pt;width:230.25pt;height:18pt;z-index:253327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" fillcolor="#f2f2f2">
                <v:textbox inset="5.85pt,.7pt,5.85pt,.7pt">
                  <w:txbxContent>
                    <w:p w14:paraId="61A90715" w14:textId="77777777" w:rsidR="006A5267" w:rsidRPr="00F235E7" w:rsidRDefault="006A5267" w:rsidP="008B4B2B">
                      <w:pPr>
                        <w:jc w:val="center"/>
                        <w:rPr>
                          <w:rFonts w:ascii="ＭＳ ゴシック" w:eastAsia="ＭＳ ゴシック" w:hAnsi="ＭＳ ゴシック"/>
                          <w:sz w:val="22"/>
                          <w:szCs w:val="22"/>
                        </w:rPr>
                      </w:pPr>
                      <w:r w:rsidRPr="00522697">
                        <w:rPr>
                          <w:rFonts w:ascii="ＭＳ ゴシック" w:eastAsia="ＭＳ ゴシック" w:hAnsi="ＭＳ ゴシック" w:hint="eastAsia"/>
                          <w:sz w:val="22"/>
                          <w:szCs w:val="22"/>
                        </w:rPr>
                        <w:t>災害救助法による応急救助</w:t>
                      </w:r>
                      <w:r w:rsidRPr="00F235E7">
                        <w:rPr>
                          <w:rFonts w:ascii="ＭＳ ゴシック" w:eastAsia="ＭＳ ゴシック" w:hAnsi="ＭＳ ゴシック" w:hint="eastAsia"/>
                          <w:sz w:val="22"/>
                          <w:szCs w:val="22"/>
                        </w:rPr>
                        <w:t>の実施概念図</w:t>
                      </w:r>
                    </w:p>
                  </w:txbxContent>
                </v:textbox>
              </v:shape>
            </w:pict>
          </mc:Fallback>
        </mc:AlternateContent>
      </w:r>
    </w:p>
    <w:p w14:paraId="1E2A89A4" w14:textId="77777777" w:rsidR="008B4B2B" w:rsidRPr="001D6D10" w:rsidRDefault="00993DF5" w:rsidP="008B4B2B">
      <w:pPr>
        <w:pStyle w:val="a0"/>
        <w:rPr>
          <w:sz w:val="22"/>
          <w:szCs w:val="22"/>
        </w:rPr>
      </w:pPr>
      <w:r w:rsidRPr="001D6D10">
        <w:rPr>
          <w:rFonts w:hint="eastAsia"/>
          <w:noProof/>
          <w:sz w:val="22"/>
          <w:szCs w:val="22"/>
        </w:rPr>
        <mc:AlternateContent>
          <mc:Choice Requires="wps">
            <w:drawing>
              <wp:anchor distT="0" distB="0" distL="114300" distR="114300" simplePos="0" relativeHeight="253356032" behindDoc="0" locked="0" layoutInCell="1" allowOverlap="1" wp14:anchorId="43C24D40" wp14:editId="2972AA17">
                <wp:simplePos x="0" y="0"/>
                <wp:positionH relativeFrom="column">
                  <wp:posOffset>3589020</wp:posOffset>
                </wp:positionH>
                <wp:positionV relativeFrom="paragraph">
                  <wp:posOffset>181946</wp:posOffset>
                </wp:positionV>
                <wp:extent cx="1485900" cy="228600"/>
                <wp:effectExtent l="0" t="0" r="0" b="0"/>
                <wp:wrapNone/>
                <wp:docPr id="4006" name="Rectangle 255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85900" cy="2286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410E815" w14:textId="77777777" w:rsidR="006A5267" w:rsidRPr="00FB01C8" w:rsidRDefault="006A5267" w:rsidP="008B4B2B">
                            <w:pPr>
                              <w:rPr>
                                <w:rFonts w:ascii="ＭＳ ゴシック" w:eastAsia="ＭＳ ゴシック" w:hAnsi="ＭＳ ゴシック"/>
                                <w:sz w:val="18"/>
                                <w:szCs w:val="18"/>
                              </w:rPr>
                            </w:pPr>
                            <w:r w:rsidRPr="00FB01C8">
                              <w:rPr>
                                <w:rFonts w:ascii="ＭＳ ゴシック" w:eastAsia="ＭＳ ゴシック" w:hAnsi="ＭＳ ゴシック" w:hint="eastAsia"/>
                                <w:sz w:val="18"/>
                                <w:szCs w:val="18"/>
                              </w:rPr>
                              <w:t>救護班の派遣</w:t>
                            </w:r>
                            <w:r>
                              <w:rPr>
                                <w:rFonts w:ascii="ＭＳ ゴシック" w:eastAsia="ＭＳ ゴシック" w:hAnsi="ＭＳ ゴシック" w:hint="eastAsia"/>
                                <w:sz w:val="18"/>
                                <w:szCs w:val="18"/>
                              </w:rPr>
                              <w:t>（医療・助産）</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rect w14:anchorId="43C24D40" id="Rectangle 2554" o:spid="_x0000_s1452" style="position:absolute;left:0;text-align:left;margin-left:282.6pt;margin-top:14.35pt;width:117pt;height:18pt;z-index:2533560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" filled="f" stroked="f">
                <v:textbox inset="5.85pt,.7pt,5.85pt,.7pt">
                  <w:txbxContent>
                    <w:p w14:paraId="0410E815" w14:textId="77777777" w:rsidR="006A5267" w:rsidRPr="00FB01C8" w:rsidRDefault="006A5267" w:rsidP="008B4B2B">
                      <w:pPr>
                        <w:rPr>
                          <w:rFonts w:ascii="ＭＳ ゴシック" w:eastAsia="ＭＳ ゴシック" w:hAnsi="ＭＳ ゴシック"/>
                          <w:sz w:val="18"/>
                          <w:szCs w:val="18"/>
                        </w:rPr>
                      </w:pPr>
                      <w:r w:rsidRPr="00FB01C8">
                        <w:rPr>
                          <w:rFonts w:ascii="ＭＳ ゴシック" w:eastAsia="ＭＳ ゴシック" w:hAnsi="ＭＳ ゴシック" w:hint="eastAsia"/>
                          <w:sz w:val="18"/>
                          <w:szCs w:val="18"/>
                        </w:rPr>
                        <w:t>救護班の派遣</w:t>
                      </w:r>
                      <w:r>
                        <w:rPr>
                          <w:rFonts w:ascii="ＭＳ ゴシック" w:eastAsia="ＭＳ ゴシック" w:hAnsi="ＭＳ ゴシック" w:hint="eastAsia"/>
                          <w:sz w:val="18"/>
                          <w:szCs w:val="18"/>
                        </w:rPr>
                        <w:t>（医療・助産）</w:t>
                      </w:r>
                    </w:p>
                  </w:txbxContent>
                </v:textbox>
              </v:rect>
            </w:pict>
          </mc:Fallback>
        </mc:AlternateContent>
      </w:r>
    </w:p>
    <w:p w14:paraId="60EF1A4A" w14:textId="77777777" w:rsidR="008B4B2B" w:rsidRPr="001D6D10" w:rsidRDefault="00F97D7D" w:rsidP="008B4B2B">
      <w:pPr>
        <w:pStyle w:val="a0"/>
        <w:rPr>
          <w:sz w:val="22"/>
          <w:szCs w:val="22"/>
        </w:rPr>
      </w:pPr>
      <w:r w:rsidRPr="001D6D10">
        <w:rPr>
          <w:rFonts w:hint="eastAsia"/>
          <w:noProof/>
          <w:sz w:val="22"/>
          <w:szCs w:val="22"/>
        </w:rPr>
        <mc:AlternateContent>
          <mc:Choice Requires="wps">
            <w:drawing>
              <wp:anchor distT="0" distB="0" distL="114300" distR="114300" simplePos="0" relativeHeight="253332480" behindDoc="0" locked="0" layoutInCell="1" allowOverlap="1" wp14:anchorId="6178B99C" wp14:editId="2EF3FFE2">
                <wp:simplePos x="0" y="0"/>
                <wp:positionH relativeFrom="column">
                  <wp:posOffset>5186568</wp:posOffset>
                </wp:positionH>
                <wp:positionV relativeFrom="paragraph">
                  <wp:posOffset>53975</wp:posOffset>
                </wp:positionV>
                <wp:extent cx="457200" cy="3532094"/>
                <wp:effectExtent l="0" t="0" r="19050" b="11430"/>
                <wp:wrapNone/>
                <wp:docPr id="4003" name="Text Box 252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57200" cy="3532094"/>
                        </a:xfrm>
                        <a:prstGeom prst="rect">
                          <a:avLst/>
                        </a:prstGeom>
                        <a:solidFill>
                          <a:srgbClr val="FFFFFF"/>
                        </a:solidFill>
                        <a:ln w="9525">
                          <a:solidFill>
                            <a:srgbClr val="000000"/>
                          </a:solidFill>
                          <a:miter lim="800000"/>
                          <a:headEnd/>
                          <a:tailEnd/>
                        </a:ln>
                      </wps:spPr>
                      <wps:txbx>
                        <w:txbxContent>
                          <w:p w14:paraId="111D9D63" w14:textId="77777777" w:rsidR="006A5267" w:rsidRPr="00F529D1" w:rsidRDefault="006A5267" w:rsidP="008B4B2B">
                            <w:pPr>
                              <w:rPr>
                                <w:rFonts w:ascii="ＭＳ ゴシック" w:eastAsia="ＭＳ ゴシック" w:hAnsi="ＭＳ ゴシック"/>
                                <w:sz w:val="22"/>
                                <w:szCs w:val="22"/>
                              </w:rPr>
                            </w:pPr>
                            <w:r>
                              <w:rPr>
                                <w:rFonts w:hint="eastAsia"/>
                              </w:rPr>
                              <w:t xml:space="preserve">　　　　　　</w:t>
                            </w:r>
                            <w:r w:rsidRPr="00F529D1">
                              <w:rPr>
                                <w:rFonts w:ascii="ＭＳ ゴシック" w:eastAsia="ＭＳ ゴシック" w:hAnsi="ＭＳ ゴシック" w:hint="eastAsia"/>
                                <w:sz w:val="22"/>
                                <w:szCs w:val="22"/>
                              </w:rPr>
                              <w:t>被　　災　　住　　民</w:t>
                            </w:r>
                          </w:p>
                        </w:txbxContent>
                      </wps:txbx>
                      <wps:bodyPr rot="0" vert="eaVert"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shape w14:anchorId="6178B99C" id="Text Box 2527" o:spid="_x0000_s1453" type="#_x0000_t202" style="position:absolute;left:0;text-align:left;margin-left:408.4pt;margin-top:4.25pt;width:36pt;height:278.1pt;z-index:253332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">
                <v:textbox style="layout-flow:vertical-ideographic" inset="5.85pt,.7pt,5.85pt,.7pt">
                  <w:txbxContent>
                    <w:p w14:paraId="111D9D63" w14:textId="77777777" w:rsidR="006A5267" w:rsidRPr="00F529D1" w:rsidRDefault="006A5267" w:rsidP="008B4B2B">
                      <w:pPr>
                        <w:rPr>
                          <w:rFonts w:ascii="ＭＳ ゴシック" w:eastAsia="ＭＳ ゴシック" w:hAnsi="ＭＳ ゴシック"/>
                          <w:sz w:val="22"/>
                          <w:szCs w:val="22"/>
                        </w:rPr>
                      </w:pPr>
                      <w:r>
                        <w:rPr>
                          <w:rFonts w:hint="eastAsia"/>
                        </w:rPr>
                        <w:t xml:space="preserve">　　　　　　</w:t>
                      </w:r>
                      <w:r w:rsidRPr="00F529D1">
                        <w:rPr>
                          <w:rFonts w:ascii="ＭＳ ゴシック" w:eastAsia="ＭＳ ゴシック" w:hAnsi="ＭＳ ゴシック" w:hint="eastAsia"/>
                          <w:sz w:val="22"/>
                          <w:szCs w:val="22"/>
                        </w:rPr>
                        <w:t>被　　災　　住　　民</w:t>
                      </w:r>
                    </w:p>
                  </w:txbxContent>
                </v:textbox>
              </v:shape>
            </w:pict>
          </mc:Fallback>
        </mc:AlternateContent>
      </w:r>
      <w:r w:rsidR="008B4B2B" w:rsidRPr="001D6D10">
        <w:rPr>
          <w:rFonts w:hint="eastAsia"/>
          <w:noProof/>
          <w:sz w:val="22"/>
          <w:szCs w:val="22"/>
        </w:rPr>
        <mc:AlternateContent>
          <mc:Choice Requires="wps">
            <w:drawing>
              <wp:anchor distT="0" distB="0" distL="114300" distR="114300" simplePos="0" relativeHeight="253342720" behindDoc="0" locked="0" layoutInCell="1" allowOverlap="1" wp14:anchorId="0B265985" wp14:editId="61AC5E89">
                <wp:simplePos x="0" y="0"/>
                <wp:positionH relativeFrom="column">
                  <wp:posOffset>2217420</wp:posOffset>
                </wp:positionH>
                <wp:positionV relativeFrom="paragraph">
                  <wp:posOffset>168910</wp:posOffset>
                </wp:positionV>
                <wp:extent cx="2971800" cy="0"/>
                <wp:effectExtent l="7620" t="54610" r="20955" b="59690"/>
                <wp:wrapNone/>
                <wp:docPr id="4005" name="Line 253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971800" cy="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line w14:anchorId="4730226C" id="Line 2537" o:spid="_x0000_s1026" style="position:absolute;left:0;text-align:left;z-index:253342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74.6pt,13.3pt" to="408.6pt,13.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">
                <v:stroke endarrow="block"/>
              </v:line>
            </w:pict>
          </mc:Fallback>
        </mc:AlternateContent>
      </w:r>
      <w:r w:rsidR="008B4B2B" w:rsidRPr="001D6D10">
        <w:rPr>
          <w:rFonts w:hint="eastAsia"/>
          <w:noProof/>
          <w:sz w:val="22"/>
          <w:szCs w:val="22"/>
        </w:rPr>
        <mc:AlternateContent>
          <mc:Choice Requires="wps">
            <w:drawing>
              <wp:anchor distT="0" distB="0" distL="114300" distR="114300" simplePos="0" relativeHeight="253329408" behindDoc="0" locked="0" layoutInCell="1" allowOverlap="1" wp14:anchorId="44B42751" wp14:editId="2CB39B04">
                <wp:simplePos x="0" y="0"/>
                <wp:positionH relativeFrom="column">
                  <wp:posOffset>45720</wp:posOffset>
                </wp:positionH>
                <wp:positionV relativeFrom="paragraph">
                  <wp:posOffset>54610</wp:posOffset>
                </wp:positionV>
                <wp:extent cx="2171700" cy="228600"/>
                <wp:effectExtent l="7620" t="6985" r="11430" b="12065"/>
                <wp:wrapNone/>
                <wp:docPr id="4004" name="Rectangle 252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71700" cy="228600"/>
                        </a:xfrm>
                        <a:prstGeom prst="rect">
                          <a:avLst/>
                        </a:prstGeom>
                        <a:solidFill>
                          <a:srgbClr val="FFFFFF"/>
                        </a:solidFill>
                        <a:ln w="9525">
                          <a:solidFill>
                            <a:srgbClr val="000000"/>
                          </a:solidFill>
                          <a:miter lim="800000"/>
                          <a:headEnd/>
                          <a:tailEnd/>
                        </a:ln>
                      </wps:spPr>
                      <wps:txbx>
                        <w:txbxContent>
                          <w:p w14:paraId="799276BF" w14:textId="77777777" w:rsidR="006A5267" w:rsidRPr="00522697" w:rsidRDefault="006A5267" w:rsidP="008B4B2B">
                            <w:pPr>
                              <w:ind w:firstLineChars="100" w:firstLine="221"/>
                              <w:rPr>
                                <w:rFonts w:ascii="ＭＳ ゴシック" w:eastAsia="ＭＳ ゴシック" w:hAnsi="ＭＳ ゴシック"/>
                                <w:sz w:val="22"/>
                                <w:szCs w:val="22"/>
                              </w:rPr>
                            </w:pPr>
                            <w:r w:rsidRPr="00522697">
                              <w:rPr>
                                <w:rFonts w:ascii="ＭＳ ゴシック" w:eastAsia="ＭＳ ゴシック" w:hAnsi="ＭＳ ゴシック" w:hint="eastAsia"/>
                                <w:sz w:val="22"/>
                                <w:szCs w:val="22"/>
                              </w:rPr>
                              <w:t>日本赤十字社</w:t>
                            </w:r>
                            <w:r>
                              <w:rPr>
                                <w:rFonts w:ascii="ＭＳ ゴシック" w:eastAsia="ＭＳ ゴシック" w:hAnsi="ＭＳ ゴシック" w:hint="eastAsia"/>
                                <w:sz w:val="22"/>
                                <w:szCs w:val="22"/>
                              </w:rPr>
                              <w:t xml:space="preserve"> </w:t>
                            </w:r>
                            <w:r w:rsidRPr="00522697">
                              <w:rPr>
                                <w:rFonts w:ascii="ＭＳ ゴシック" w:eastAsia="ＭＳ ゴシック" w:hAnsi="ＭＳ ゴシック" w:hint="eastAsia"/>
                                <w:sz w:val="22"/>
                                <w:szCs w:val="22"/>
                              </w:rPr>
                              <w:t>大阪府支部</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rect w14:anchorId="44B42751" id="Rectangle 2523" o:spid="_x0000_s1454" style="position:absolute;left:0;text-align:left;margin-left:3.6pt;margin-top:4.3pt;width:171pt;height:18pt;z-index:253329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">
                <v:textbox inset="5.85pt,.7pt,5.85pt,.7pt">
                  <w:txbxContent>
                    <w:p w14:paraId="799276BF" w14:textId="77777777" w:rsidR="006A5267" w:rsidRPr="00522697" w:rsidRDefault="006A5267" w:rsidP="008B4B2B">
                      <w:pPr>
                        <w:ind w:firstLineChars="100" w:firstLine="221"/>
                        <w:rPr>
                          <w:rFonts w:ascii="ＭＳ ゴシック" w:eastAsia="ＭＳ ゴシック" w:hAnsi="ＭＳ ゴシック"/>
                          <w:sz w:val="22"/>
                          <w:szCs w:val="22"/>
                        </w:rPr>
                      </w:pPr>
                      <w:r w:rsidRPr="00522697">
                        <w:rPr>
                          <w:rFonts w:ascii="ＭＳ ゴシック" w:eastAsia="ＭＳ ゴシック" w:hAnsi="ＭＳ ゴシック" w:hint="eastAsia"/>
                          <w:sz w:val="22"/>
                          <w:szCs w:val="22"/>
                        </w:rPr>
                        <w:t>日本赤十字社</w:t>
                      </w:r>
                      <w:r>
                        <w:rPr>
                          <w:rFonts w:ascii="ＭＳ ゴシック" w:eastAsia="ＭＳ ゴシック" w:hAnsi="ＭＳ ゴシック" w:hint="eastAsia"/>
                          <w:sz w:val="22"/>
                          <w:szCs w:val="22"/>
                        </w:rPr>
                        <w:t xml:space="preserve"> </w:t>
                      </w:r>
                      <w:r w:rsidRPr="00522697">
                        <w:rPr>
                          <w:rFonts w:ascii="ＭＳ ゴシック" w:eastAsia="ＭＳ ゴシック" w:hAnsi="ＭＳ ゴシック" w:hint="eastAsia"/>
                          <w:sz w:val="22"/>
                          <w:szCs w:val="22"/>
                        </w:rPr>
                        <w:t>大阪府支部</w:t>
                      </w:r>
                    </w:p>
                  </w:txbxContent>
                </v:textbox>
              </v:rect>
            </w:pict>
          </mc:Fallback>
        </mc:AlternateContent>
      </w:r>
    </w:p>
    <w:p w14:paraId="4FD06E2F" w14:textId="77777777" w:rsidR="008B4B2B" w:rsidRPr="001D6D10" w:rsidRDefault="00F97D7D" w:rsidP="008B4B2B">
      <w:pPr>
        <w:pStyle w:val="a0"/>
        <w:rPr>
          <w:sz w:val="22"/>
          <w:szCs w:val="22"/>
        </w:rPr>
      </w:pPr>
      <w:r w:rsidRPr="001D6D10">
        <w:rPr>
          <w:rFonts w:hint="eastAsia"/>
          <w:noProof/>
          <w:sz w:val="22"/>
          <w:szCs w:val="22"/>
        </w:rPr>
        <mc:AlternateContent>
          <mc:Choice Requires="wps">
            <w:drawing>
              <wp:anchor distT="0" distB="0" distL="114300" distR="114300" simplePos="0" relativeHeight="253331456" behindDoc="0" locked="0" layoutInCell="1" allowOverlap="1" wp14:anchorId="3338D2E9" wp14:editId="014EBBDA">
                <wp:simplePos x="0" y="0"/>
                <wp:positionH relativeFrom="column">
                  <wp:posOffset>5374826</wp:posOffset>
                </wp:positionH>
                <wp:positionV relativeFrom="paragraph">
                  <wp:posOffset>107726</wp:posOffset>
                </wp:positionV>
                <wp:extent cx="562535" cy="3543300"/>
                <wp:effectExtent l="0" t="0" r="28575" b="19050"/>
                <wp:wrapNone/>
                <wp:docPr id="3998" name="Text Box 252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62535" cy="3543300"/>
                        </a:xfrm>
                        <a:prstGeom prst="rect">
                          <a:avLst/>
                        </a:prstGeom>
                        <a:solidFill>
                          <a:srgbClr val="FFFFFF"/>
                        </a:solidFill>
                        <a:ln w="9525">
                          <a:solidFill>
                            <a:srgbClr val="000000"/>
                          </a:solidFill>
                          <a:miter lim="800000"/>
                          <a:headEnd/>
                          <a:tailEnd/>
                        </a:ln>
                      </wps:spPr>
                      <wps:txbx>
                        <w:txbxContent>
                          <w:p w14:paraId="45D93CF3" w14:textId="77777777" w:rsidR="006A5267" w:rsidRPr="00E21403" w:rsidRDefault="006A5267" w:rsidP="008B4B2B">
                            <w:r>
                              <w:rPr>
                                <w:rFonts w:hint="eastAsia"/>
                              </w:rPr>
                              <w:t xml:space="preserve">　　　　　　　　　　　　　　　　　　　　</w:t>
                            </w:r>
                            <w:r w:rsidRPr="00F32715">
                              <w:rPr>
                                <w:rFonts w:ascii="ＭＳ ゴシック" w:eastAsia="ＭＳ ゴシック" w:hAnsi="ＭＳ ゴシック" w:hint="eastAsia"/>
                                <w:sz w:val="22"/>
                                <w:szCs w:val="22"/>
                              </w:rPr>
                              <w:t>地域住民</w:t>
                            </w:r>
                          </w:p>
                          <w:p w14:paraId="3A0416A3" w14:textId="77777777" w:rsidR="006A5267" w:rsidRDefault="006A5267" w:rsidP="008B4B2B"/>
                          <w:p w14:paraId="49E54C52" w14:textId="77777777" w:rsidR="006A5267" w:rsidRDefault="006A5267" w:rsidP="008B4B2B"/>
                          <w:p w14:paraId="7CADCF36" w14:textId="77777777" w:rsidR="006A5267" w:rsidRDefault="006A5267" w:rsidP="008B4B2B"/>
                          <w:p w14:paraId="32F33A43" w14:textId="77777777" w:rsidR="006A5267" w:rsidRDefault="006A5267" w:rsidP="008B4B2B"/>
                          <w:p w14:paraId="380EE8B1" w14:textId="77777777" w:rsidR="006A5267" w:rsidRDefault="006A5267" w:rsidP="008B4B2B"/>
                          <w:p w14:paraId="2F01ABAA" w14:textId="77777777" w:rsidR="006A5267" w:rsidRDefault="006A5267" w:rsidP="008B4B2B"/>
                          <w:p w14:paraId="6E2358AB" w14:textId="77777777" w:rsidR="006A5267" w:rsidRDefault="006A5267" w:rsidP="008B4B2B"/>
                          <w:p w14:paraId="5D0D9600" w14:textId="77777777" w:rsidR="006A5267" w:rsidRDefault="006A5267" w:rsidP="008B4B2B"/>
                          <w:p w14:paraId="6D405DD5" w14:textId="77777777" w:rsidR="006A5267" w:rsidRDefault="006A5267" w:rsidP="008B4B2B"/>
                          <w:p w14:paraId="595C9A6E" w14:textId="77777777" w:rsidR="006A5267" w:rsidRDefault="006A5267" w:rsidP="008B4B2B"/>
                          <w:p w14:paraId="509D5716" w14:textId="77777777" w:rsidR="006A5267" w:rsidRDefault="006A5267" w:rsidP="008B4B2B"/>
                          <w:p w14:paraId="3F22BAC3" w14:textId="77777777" w:rsidR="006A5267" w:rsidRDefault="006A5267" w:rsidP="008B4B2B"/>
                          <w:p w14:paraId="3263A787" w14:textId="77777777" w:rsidR="006A5267" w:rsidRDefault="006A5267" w:rsidP="008B4B2B"/>
                          <w:p w14:paraId="341EB3F8" w14:textId="77777777" w:rsidR="006A5267" w:rsidRDefault="006A5267" w:rsidP="008B4B2B"/>
                          <w:p w14:paraId="18EB0757" w14:textId="77777777" w:rsidR="006A5267" w:rsidRDefault="006A5267" w:rsidP="008B4B2B"/>
                          <w:p w14:paraId="0B854AB5" w14:textId="77777777" w:rsidR="006A5267" w:rsidRDefault="006A5267" w:rsidP="008B4B2B"/>
                          <w:p w14:paraId="138FBAC7" w14:textId="77777777" w:rsidR="006A5267" w:rsidRDefault="006A5267" w:rsidP="008B4B2B"/>
                          <w:p w14:paraId="0BFD208A" w14:textId="77777777" w:rsidR="006A5267" w:rsidRDefault="006A5267" w:rsidP="008B4B2B"/>
                        </w:txbxContent>
                      </wps:txbx>
                      <wps:bodyPr rot="0" vert="eaVert"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shape w14:anchorId="3338D2E9" id="Text Box 2526" o:spid="_x0000_s1455" type="#_x0000_t202" style="position:absolute;left:0;text-align:left;margin-left:423.2pt;margin-top:8.5pt;width:44.3pt;height:279pt;z-index:253331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">
                <v:textbox style="layout-flow:vertical-ideographic" inset="5.85pt,.7pt,5.85pt,.7pt">
                  <w:txbxContent>
                    <w:p w14:paraId="45D93CF3" w14:textId="77777777" w:rsidR="006A5267" w:rsidRPr="00E21403" w:rsidRDefault="006A5267" w:rsidP="008B4B2B">
                      <w:r>
                        <w:rPr>
                          <w:rFonts w:hint="eastAsia"/>
                        </w:rPr>
                        <w:t xml:space="preserve">　　　　　　　　　　　　　　　　　　　　</w:t>
                      </w:r>
                      <w:r w:rsidRPr="00F32715">
                        <w:rPr>
                          <w:rFonts w:ascii="ＭＳ ゴシック" w:eastAsia="ＭＳ ゴシック" w:hAnsi="ＭＳ ゴシック" w:hint="eastAsia"/>
                          <w:sz w:val="22"/>
                          <w:szCs w:val="22"/>
                        </w:rPr>
                        <w:t>地域住民</w:t>
                      </w:r>
                    </w:p>
                    <w:p w14:paraId="3A0416A3" w14:textId="77777777" w:rsidR="006A5267" w:rsidRDefault="006A5267" w:rsidP="008B4B2B"/>
                    <w:p w14:paraId="49E54C52" w14:textId="77777777" w:rsidR="006A5267" w:rsidRDefault="006A5267" w:rsidP="008B4B2B"/>
                    <w:p w14:paraId="7CADCF36" w14:textId="77777777" w:rsidR="006A5267" w:rsidRDefault="006A5267" w:rsidP="008B4B2B"/>
                    <w:p w14:paraId="32F33A43" w14:textId="77777777" w:rsidR="006A5267" w:rsidRDefault="006A5267" w:rsidP="008B4B2B"/>
                    <w:p w14:paraId="380EE8B1" w14:textId="77777777" w:rsidR="006A5267" w:rsidRDefault="006A5267" w:rsidP="008B4B2B"/>
                    <w:p w14:paraId="2F01ABAA" w14:textId="77777777" w:rsidR="006A5267" w:rsidRDefault="006A5267" w:rsidP="008B4B2B"/>
                    <w:p w14:paraId="6E2358AB" w14:textId="77777777" w:rsidR="006A5267" w:rsidRDefault="006A5267" w:rsidP="008B4B2B"/>
                    <w:p w14:paraId="5D0D9600" w14:textId="77777777" w:rsidR="006A5267" w:rsidRDefault="006A5267" w:rsidP="008B4B2B"/>
                    <w:p w14:paraId="6D405DD5" w14:textId="77777777" w:rsidR="006A5267" w:rsidRDefault="006A5267" w:rsidP="008B4B2B"/>
                    <w:p w14:paraId="595C9A6E" w14:textId="77777777" w:rsidR="006A5267" w:rsidRDefault="006A5267" w:rsidP="008B4B2B"/>
                    <w:p w14:paraId="509D5716" w14:textId="77777777" w:rsidR="006A5267" w:rsidRDefault="006A5267" w:rsidP="008B4B2B"/>
                    <w:p w14:paraId="3F22BAC3" w14:textId="77777777" w:rsidR="006A5267" w:rsidRDefault="006A5267" w:rsidP="008B4B2B"/>
                    <w:p w14:paraId="3263A787" w14:textId="77777777" w:rsidR="006A5267" w:rsidRDefault="006A5267" w:rsidP="008B4B2B"/>
                    <w:p w14:paraId="341EB3F8" w14:textId="77777777" w:rsidR="006A5267" w:rsidRDefault="006A5267" w:rsidP="008B4B2B"/>
                    <w:p w14:paraId="18EB0757" w14:textId="77777777" w:rsidR="006A5267" w:rsidRDefault="006A5267" w:rsidP="008B4B2B"/>
                    <w:p w14:paraId="0B854AB5" w14:textId="77777777" w:rsidR="006A5267" w:rsidRDefault="006A5267" w:rsidP="008B4B2B"/>
                    <w:p w14:paraId="138FBAC7" w14:textId="77777777" w:rsidR="006A5267" w:rsidRDefault="006A5267" w:rsidP="008B4B2B"/>
                    <w:p w14:paraId="0BFD208A" w14:textId="77777777" w:rsidR="006A5267" w:rsidRDefault="006A5267" w:rsidP="008B4B2B"/>
                  </w:txbxContent>
                </v:textbox>
              </v:shape>
            </w:pict>
          </mc:Fallback>
        </mc:AlternateContent>
      </w:r>
      <w:r w:rsidR="00993DF5" w:rsidRPr="001D6D10">
        <w:rPr>
          <w:rFonts w:hint="eastAsia"/>
          <w:noProof/>
          <w:sz w:val="22"/>
          <w:szCs w:val="22"/>
        </w:rPr>
        <mc:AlternateContent>
          <mc:Choice Requires="wps">
            <w:drawing>
              <wp:anchor distT="0" distB="0" distL="114300" distR="114300" simplePos="0" relativeHeight="253353984" behindDoc="0" locked="0" layoutInCell="1" allowOverlap="1" wp14:anchorId="6BAB778B" wp14:editId="4489540A">
                <wp:simplePos x="0" y="0"/>
                <wp:positionH relativeFrom="column">
                  <wp:posOffset>154230</wp:posOffset>
                </wp:positionH>
                <wp:positionV relativeFrom="paragraph">
                  <wp:posOffset>150495</wp:posOffset>
                </wp:positionV>
                <wp:extent cx="358140" cy="340360"/>
                <wp:effectExtent l="0" t="0" r="0" b="2540"/>
                <wp:wrapNone/>
                <wp:docPr id="4001" name="Rectangle 255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58140" cy="3403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5420CC3" w14:textId="77777777" w:rsidR="006A5267" w:rsidRPr="00FB01C8" w:rsidRDefault="006A5267" w:rsidP="008B4B2B">
                            <w:pPr>
                              <w:rPr>
                                <w:rFonts w:ascii="ＭＳ ゴシック" w:eastAsia="ＭＳ ゴシック" w:hAnsi="ＭＳ ゴシック"/>
                                <w:sz w:val="18"/>
                                <w:szCs w:val="18"/>
                              </w:rPr>
                            </w:pPr>
                            <w:r w:rsidRPr="00FB01C8">
                              <w:rPr>
                                <w:rFonts w:ascii="ＭＳ ゴシック" w:eastAsia="ＭＳ ゴシック" w:hAnsi="ＭＳ ゴシック" w:hint="eastAsia"/>
                                <w:sz w:val="18"/>
                                <w:szCs w:val="18"/>
                              </w:rPr>
                              <w:t>協定</w:t>
                            </w:r>
                          </w:p>
                        </w:txbxContent>
                      </wps:txbx>
                      <wps:bodyPr rot="0" vert="eaVert"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rect w14:anchorId="6BAB778B" id="Rectangle 2552" o:spid="_x0000_s1456" style="position:absolute;left:0;text-align:left;margin-left:12.15pt;margin-top:11.85pt;width:28.2pt;height:26.8pt;z-index:2533539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" filled="f" stroked="f">
                <v:textbox style="layout-flow:vertical-ideographic" inset="5.85pt,.7pt,5.85pt,.7pt">
                  <w:txbxContent>
                    <w:p w14:paraId="15420CC3" w14:textId="77777777" w:rsidR="006A5267" w:rsidRPr="00FB01C8" w:rsidRDefault="006A5267" w:rsidP="008B4B2B">
                      <w:pPr>
                        <w:rPr>
                          <w:rFonts w:ascii="ＭＳ ゴシック" w:eastAsia="ＭＳ ゴシック" w:hAnsi="ＭＳ ゴシック"/>
                          <w:sz w:val="18"/>
                          <w:szCs w:val="18"/>
                        </w:rPr>
                      </w:pPr>
                      <w:r w:rsidRPr="00FB01C8">
                        <w:rPr>
                          <w:rFonts w:ascii="ＭＳ ゴシック" w:eastAsia="ＭＳ ゴシック" w:hAnsi="ＭＳ ゴシック" w:hint="eastAsia"/>
                          <w:sz w:val="18"/>
                          <w:szCs w:val="18"/>
                        </w:rPr>
                        <w:t>協定</w:t>
                      </w:r>
                    </w:p>
                  </w:txbxContent>
                </v:textbox>
              </v:rect>
            </w:pict>
          </mc:Fallback>
        </mc:AlternateContent>
      </w:r>
      <w:r w:rsidR="00993DF5" w:rsidRPr="001D6D10">
        <w:rPr>
          <w:rFonts w:hint="eastAsia"/>
          <w:noProof/>
          <w:sz w:val="22"/>
          <w:szCs w:val="22"/>
        </w:rPr>
        <mc:AlternateContent>
          <mc:Choice Requires="wps">
            <w:drawing>
              <wp:anchor distT="0" distB="0" distL="114300" distR="114300" simplePos="0" relativeHeight="253343744" behindDoc="0" locked="0" layoutInCell="1" allowOverlap="1" wp14:anchorId="639EEC35" wp14:editId="6369E62A">
                <wp:simplePos x="0" y="0"/>
                <wp:positionH relativeFrom="column">
                  <wp:posOffset>175297</wp:posOffset>
                </wp:positionH>
                <wp:positionV relativeFrom="paragraph">
                  <wp:posOffset>53938</wp:posOffset>
                </wp:positionV>
                <wp:extent cx="0" cy="403411"/>
                <wp:effectExtent l="76200" t="38100" r="57150" b="53975"/>
                <wp:wrapNone/>
                <wp:docPr id="3999" name="Line 253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403411"/>
                        </a:xfrm>
                        <a:prstGeom prst="line">
                          <a:avLst/>
                        </a:prstGeom>
                        <a:noFill/>
                        <a:ln w="9525">
                          <a:solidFill>
                            <a:srgbClr val="000000"/>
                          </a:solidFill>
                          <a:round/>
                          <a:headEnd type="triangle" w="med" len="me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line w14:anchorId="0B81F501" id="Line 2538" o:spid="_x0000_s1026" style="position:absolute;left:0;text-align:left;z-index:253343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3.8pt,4.25pt" to="13.8pt,3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">
                <v:stroke startarrow="block" endarrow="block"/>
              </v:line>
            </w:pict>
          </mc:Fallback>
        </mc:AlternateContent>
      </w:r>
      <w:r w:rsidR="00993DF5" w:rsidRPr="001D6D10">
        <w:rPr>
          <w:rFonts w:hint="eastAsia"/>
          <w:noProof/>
          <w:sz w:val="22"/>
          <w:szCs w:val="22"/>
        </w:rPr>
        <mc:AlternateContent>
          <mc:Choice Requires="wps">
            <w:drawing>
              <wp:anchor distT="0" distB="0" distL="114300" distR="114300" simplePos="0" relativeHeight="254087168" behindDoc="0" locked="0" layoutInCell="1" allowOverlap="1" wp14:anchorId="28954BF4" wp14:editId="70AFB917">
                <wp:simplePos x="0" y="0"/>
                <wp:positionH relativeFrom="column">
                  <wp:posOffset>1923415</wp:posOffset>
                </wp:positionH>
                <wp:positionV relativeFrom="paragraph">
                  <wp:posOffset>53938</wp:posOffset>
                </wp:positionV>
                <wp:extent cx="0" cy="421341"/>
                <wp:effectExtent l="76200" t="38100" r="57150" b="55245"/>
                <wp:wrapNone/>
                <wp:docPr id="4337" name="Line 253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421341"/>
                        </a:xfrm>
                        <a:prstGeom prst="line">
                          <a:avLst/>
                        </a:prstGeom>
                        <a:noFill/>
                        <a:ln w="9525">
                          <a:solidFill>
                            <a:srgbClr val="000000"/>
                          </a:solidFill>
                          <a:round/>
                          <a:headEnd type="triangle" w="med" len="me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line w14:anchorId="605D3E87" id="Line 2538" o:spid="_x0000_s1026" style="position:absolute;left:0;text-align:left;z-index:254087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51.45pt,4.25pt" to="151.45pt,37.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">
                <v:stroke startarrow="block" endarrow="block"/>
              </v:line>
            </w:pict>
          </mc:Fallback>
        </mc:AlternateContent>
      </w:r>
      <w:r w:rsidR="00993DF5" w:rsidRPr="001D6D10">
        <w:rPr>
          <w:rFonts w:hint="eastAsia"/>
          <w:noProof/>
          <w:sz w:val="22"/>
          <w:szCs w:val="22"/>
        </w:rPr>
        <mc:AlternateContent>
          <mc:Choice Requires="wps">
            <w:drawing>
              <wp:anchor distT="0" distB="0" distL="114300" distR="114300" simplePos="0" relativeHeight="253355008" behindDoc="0" locked="0" layoutInCell="1" allowOverlap="1" wp14:anchorId="577D7DDF" wp14:editId="205C8D69">
                <wp:simplePos x="0" y="0"/>
                <wp:positionH relativeFrom="column">
                  <wp:posOffset>1966670</wp:posOffset>
                </wp:positionH>
                <wp:positionV relativeFrom="paragraph">
                  <wp:posOffset>170180</wp:posOffset>
                </wp:positionV>
                <wp:extent cx="335989" cy="304800"/>
                <wp:effectExtent l="0" t="0" r="0" b="0"/>
                <wp:wrapNone/>
                <wp:docPr id="4002" name="Rectangle 255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35989"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92767B4" w14:textId="77777777" w:rsidR="006A5267" w:rsidRPr="00FB01C8" w:rsidRDefault="006A5267" w:rsidP="008B4B2B">
                            <w:pPr>
                              <w:rPr>
                                <w:rFonts w:ascii="ＭＳ ゴシック" w:eastAsia="ＭＳ ゴシック" w:hAnsi="ＭＳ ゴシック"/>
                                <w:sz w:val="18"/>
                                <w:szCs w:val="18"/>
                              </w:rPr>
                            </w:pPr>
                            <w:r w:rsidRPr="00FB01C8">
                              <w:rPr>
                                <w:rFonts w:ascii="ＭＳ ゴシック" w:eastAsia="ＭＳ ゴシック" w:hAnsi="ＭＳ ゴシック" w:hint="eastAsia"/>
                                <w:sz w:val="18"/>
                                <w:szCs w:val="18"/>
                              </w:rPr>
                              <w:t>委託</w:t>
                            </w:r>
                          </w:p>
                        </w:txbxContent>
                      </wps:txbx>
                      <wps:bodyPr rot="0" vert="eaVert"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rect w14:anchorId="577D7DDF" id="Rectangle 2553" o:spid="_x0000_s1457" style="position:absolute;left:0;text-align:left;margin-left:154.85pt;margin-top:13.4pt;width:26.45pt;height:24pt;z-index:2533550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" filled="f" stroked="f">
                <v:textbox style="layout-flow:vertical-ideographic" inset="5.85pt,.7pt,5.85pt,.7pt">
                  <w:txbxContent>
                    <w:p w14:paraId="192767B4" w14:textId="77777777" w:rsidR="006A5267" w:rsidRPr="00FB01C8" w:rsidRDefault="006A5267" w:rsidP="008B4B2B">
                      <w:pPr>
                        <w:rPr>
                          <w:rFonts w:ascii="ＭＳ ゴシック" w:eastAsia="ＭＳ ゴシック" w:hAnsi="ＭＳ ゴシック"/>
                          <w:sz w:val="18"/>
                          <w:szCs w:val="18"/>
                        </w:rPr>
                      </w:pPr>
                      <w:r w:rsidRPr="00FB01C8">
                        <w:rPr>
                          <w:rFonts w:ascii="ＭＳ ゴシック" w:eastAsia="ＭＳ ゴシック" w:hAnsi="ＭＳ ゴシック" w:hint="eastAsia"/>
                          <w:sz w:val="18"/>
                          <w:szCs w:val="18"/>
                        </w:rPr>
                        <w:t>委託</w:t>
                      </w:r>
                    </w:p>
                  </w:txbxContent>
                </v:textbox>
              </v:rect>
            </w:pict>
          </mc:Fallback>
        </mc:AlternateContent>
      </w:r>
    </w:p>
    <w:p w14:paraId="0A1FF118" w14:textId="77777777" w:rsidR="008B4B2B" w:rsidRPr="001D6D10" w:rsidRDefault="00993DF5" w:rsidP="008B4B2B">
      <w:pPr>
        <w:pStyle w:val="a0"/>
        <w:rPr>
          <w:sz w:val="22"/>
          <w:szCs w:val="22"/>
        </w:rPr>
      </w:pPr>
      <w:r w:rsidRPr="001D6D10">
        <w:rPr>
          <w:rFonts w:hint="eastAsia"/>
          <w:noProof/>
          <w:sz w:val="22"/>
          <w:szCs w:val="22"/>
        </w:rPr>
        <mc:AlternateContent>
          <mc:Choice Requires="wps">
            <w:drawing>
              <wp:anchor distT="0" distB="0" distL="114300" distR="114300" simplePos="0" relativeHeight="253357056" behindDoc="0" locked="0" layoutInCell="1" allowOverlap="1" wp14:anchorId="727FD165" wp14:editId="19A9B7E9">
                <wp:simplePos x="0" y="0"/>
                <wp:positionH relativeFrom="column">
                  <wp:posOffset>3330874</wp:posOffset>
                </wp:positionH>
                <wp:positionV relativeFrom="paragraph">
                  <wp:posOffset>179406</wp:posOffset>
                </wp:positionV>
                <wp:extent cx="1745876" cy="228600"/>
                <wp:effectExtent l="0" t="0" r="0" b="0"/>
                <wp:wrapNone/>
                <wp:docPr id="3996" name="Rectangle 255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745876" cy="2286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0AF3C8F" w14:textId="77777777" w:rsidR="006A5267" w:rsidRPr="00FB01C8" w:rsidRDefault="006A5267" w:rsidP="008B4B2B">
                            <w:pPr>
                              <w:rPr>
                                <w:rFonts w:ascii="ＭＳ ゴシック" w:eastAsia="ＭＳ ゴシック" w:hAnsi="ＭＳ ゴシック"/>
                                <w:sz w:val="18"/>
                                <w:szCs w:val="18"/>
                              </w:rPr>
                            </w:pPr>
                            <w:r>
                              <w:rPr>
                                <w:rFonts w:ascii="ＭＳ ゴシック" w:eastAsia="ＭＳ ゴシック" w:hAnsi="ＭＳ ゴシック" w:hint="eastAsia"/>
                                <w:sz w:val="18"/>
                                <w:szCs w:val="18"/>
                              </w:rPr>
                              <w:t>応急救助の実施（直接実施）</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rect w14:anchorId="727FD165" id="Rectangle 2555" o:spid="_x0000_s1458" style="position:absolute;left:0;text-align:left;margin-left:262.25pt;margin-top:14.15pt;width:137.45pt;height:18pt;z-index:2533570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" filled="f" stroked="f">
                <v:textbox inset="5.85pt,.7pt,5.85pt,.7pt">
                  <w:txbxContent>
                    <w:p w14:paraId="10AF3C8F" w14:textId="77777777" w:rsidR="006A5267" w:rsidRPr="00FB01C8" w:rsidRDefault="006A5267" w:rsidP="008B4B2B">
                      <w:pPr>
                        <w:rPr>
                          <w:rFonts w:ascii="ＭＳ ゴシック" w:eastAsia="ＭＳ ゴシック" w:hAnsi="ＭＳ ゴシック"/>
                          <w:sz w:val="18"/>
                          <w:szCs w:val="18"/>
                        </w:rPr>
                      </w:pPr>
                      <w:r>
                        <w:rPr>
                          <w:rFonts w:ascii="ＭＳ ゴシック" w:eastAsia="ＭＳ ゴシック" w:hAnsi="ＭＳ ゴシック" w:hint="eastAsia"/>
                          <w:sz w:val="18"/>
                          <w:szCs w:val="18"/>
                        </w:rPr>
                        <w:t>応急救助の実施（直接実施）</w:t>
                      </w:r>
                    </w:p>
                  </w:txbxContent>
                </v:textbox>
              </v:rect>
            </w:pict>
          </mc:Fallback>
        </mc:AlternateContent>
      </w:r>
    </w:p>
    <w:p w14:paraId="0670EE67" w14:textId="77777777" w:rsidR="008B4B2B" w:rsidRPr="001D6D10" w:rsidRDefault="008D2960" w:rsidP="008B4B2B">
      <w:pPr>
        <w:pStyle w:val="a0"/>
        <w:rPr>
          <w:sz w:val="22"/>
          <w:szCs w:val="22"/>
        </w:rPr>
      </w:pPr>
      <w:r w:rsidRPr="001D6D10">
        <w:rPr>
          <w:rFonts w:hint="eastAsia"/>
          <w:noProof/>
          <w:sz w:val="22"/>
          <w:szCs w:val="22"/>
        </w:rPr>
        <mc:AlternateContent>
          <mc:Choice Requires="wps">
            <w:drawing>
              <wp:anchor distT="0" distB="0" distL="114300" distR="114300" simplePos="0" relativeHeight="253328384" behindDoc="0" locked="0" layoutInCell="1" allowOverlap="1" wp14:anchorId="514CF645" wp14:editId="1F01130E">
                <wp:simplePos x="0" y="0"/>
                <wp:positionH relativeFrom="margin">
                  <wp:align>left</wp:align>
                </wp:positionH>
                <wp:positionV relativeFrom="paragraph">
                  <wp:posOffset>9039</wp:posOffset>
                </wp:positionV>
                <wp:extent cx="396502" cy="2661920"/>
                <wp:effectExtent l="0" t="0" r="22860" b="24130"/>
                <wp:wrapNone/>
                <wp:docPr id="3992" name="Rectangle 252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96502" cy="2661920"/>
                        </a:xfrm>
                        <a:prstGeom prst="rect">
                          <a:avLst/>
                        </a:prstGeom>
                        <a:solidFill>
                          <a:srgbClr val="FFFFFF"/>
                        </a:solidFill>
                        <a:ln w="9525">
                          <a:solidFill>
                            <a:srgbClr val="000000"/>
                          </a:solidFill>
                          <a:miter lim="800000"/>
                          <a:headEnd/>
                          <a:tailEnd/>
                        </a:ln>
                      </wps:spPr>
                      <wps:txbx>
                        <w:txbxContent>
                          <w:p w14:paraId="4536F5AA" w14:textId="77777777" w:rsidR="006A5267" w:rsidRPr="00F235E7" w:rsidRDefault="006A5267" w:rsidP="008D2960">
                            <w:pPr>
                              <w:jc w:val="center"/>
                              <w:rPr>
                                <w:rFonts w:ascii="ＭＳ ゴシック" w:eastAsia="ＭＳ ゴシック" w:hAnsi="ＭＳ ゴシック"/>
                                <w:sz w:val="22"/>
                                <w:szCs w:val="22"/>
                              </w:rPr>
                            </w:pPr>
                            <w:r>
                              <w:rPr>
                                <w:rFonts w:ascii="ＭＳ ゴシック" w:eastAsia="ＭＳ ゴシック" w:hAnsi="ＭＳ ゴシック" w:hint="eastAsia"/>
                                <w:sz w:val="22"/>
                                <w:szCs w:val="22"/>
                              </w:rPr>
                              <w:t>国　（内　閣　府）</w:t>
                            </w:r>
                          </w:p>
                        </w:txbxContent>
                      </wps:txbx>
                      <wps:bodyPr rot="0" vert="eaVert"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rect w14:anchorId="514CF645" id="Rectangle 2521" o:spid="_x0000_s1459" style="position:absolute;left:0;text-align:left;margin-left:0;margin-top:.7pt;width:31.2pt;height:209.6pt;z-index:253328384;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">
                <v:textbox style="layout-flow:vertical-ideographic" inset="5.85pt,.7pt,5.85pt,.7pt">
                  <w:txbxContent>
                    <w:p w14:paraId="4536F5AA" w14:textId="77777777" w:rsidR="006A5267" w:rsidRPr="00F235E7" w:rsidRDefault="006A5267" w:rsidP="008D2960">
                      <w:pPr>
                        <w:jc w:val="center"/>
                        <w:rPr>
                          <w:rFonts w:ascii="ＭＳ ゴシック" w:eastAsia="ＭＳ ゴシック" w:hAnsi="ＭＳ ゴシック"/>
                          <w:sz w:val="22"/>
                          <w:szCs w:val="22"/>
                        </w:rPr>
                      </w:pPr>
                      <w:r>
                        <w:rPr>
                          <w:rFonts w:ascii="ＭＳ ゴシック" w:eastAsia="ＭＳ ゴシック" w:hAnsi="ＭＳ ゴシック" w:hint="eastAsia"/>
                          <w:sz w:val="22"/>
                          <w:szCs w:val="22"/>
                        </w:rPr>
                        <w:t>国　（内　閣　府）</w:t>
                      </w:r>
                    </w:p>
                  </w:txbxContent>
                </v:textbox>
                <w10:wrap anchorx="margin"/>
              </v:rect>
            </w:pict>
          </mc:Fallback>
        </mc:AlternateContent>
      </w:r>
      <w:r w:rsidR="00364E57" w:rsidRPr="001D6D10">
        <w:rPr>
          <w:rFonts w:hint="eastAsia"/>
          <w:noProof/>
          <w:sz w:val="22"/>
          <w:szCs w:val="22"/>
        </w:rPr>
        <mc:AlternateContent>
          <mc:Choice Requires="wps">
            <w:drawing>
              <wp:anchor distT="0" distB="0" distL="114300" distR="114300" simplePos="0" relativeHeight="253358080" behindDoc="0" locked="0" layoutInCell="1" allowOverlap="1" wp14:anchorId="14EC8A46" wp14:editId="0744B66A">
                <wp:simplePos x="0" y="0"/>
                <wp:positionH relativeFrom="column">
                  <wp:posOffset>450215</wp:posOffset>
                </wp:positionH>
                <wp:positionV relativeFrom="paragraph">
                  <wp:posOffset>43890</wp:posOffset>
                </wp:positionV>
                <wp:extent cx="1328420" cy="358140"/>
                <wp:effectExtent l="0" t="0" r="0" b="3810"/>
                <wp:wrapNone/>
                <wp:docPr id="3997" name="Rectangle 255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328420" cy="3581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F71B75B" w14:textId="77777777" w:rsidR="006A5267" w:rsidRDefault="006A5267" w:rsidP="00364E57">
                            <w:pPr>
                              <w:spacing w:line="240" w:lineRule="exact"/>
                              <w:rPr>
                                <w:rFonts w:ascii="ＭＳ ゴシック" w:eastAsia="ＭＳ ゴシック" w:hAnsi="ＭＳ ゴシック"/>
                                <w:sz w:val="18"/>
                                <w:szCs w:val="18"/>
                              </w:rPr>
                            </w:pPr>
                            <w:r>
                              <w:rPr>
                                <w:rFonts w:ascii="ＭＳ ゴシック" w:eastAsia="ＭＳ ゴシック" w:hAnsi="ＭＳ ゴシック" w:hint="eastAsia"/>
                                <w:sz w:val="18"/>
                                <w:szCs w:val="18"/>
                              </w:rPr>
                              <w:t>被害状況の情報提供</w:t>
                            </w:r>
                          </w:p>
                          <w:p w14:paraId="2893FBF2" w14:textId="77777777" w:rsidR="006A5267" w:rsidRPr="00F63BCE" w:rsidRDefault="006A5267" w:rsidP="00364E57">
                            <w:pPr>
                              <w:spacing w:line="240" w:lineRule="exact"/>
                              <w:rPr>
                                <w:rFonts w:ascii="ＭＳ ゴシック" w:eastAsia="ＭＳ ゴシック" w:hAnsi="ＭＳ ゴシック"/>
                                <w:sz w:val="18"/>
                                <w:szCs w:val="18"/>
                              </w:rPr>
                            </w:pPr>
                            <w:r>
                              <w:rPr>
                                <w:rFonts w:ascii="ＭＳ ゴシック" w:eastAsia="ＭＳ ゴシック" w:hAnsi="ＭＳ ゴシック" w:hint="eastAsia"/>
                                <w:sz w:val="18"/>
                                <w:szCs w:val="18"/>
                              </w:rPr>
                              <w:t>救助法適用</w:t>
                            </w:r>
                            <w:r>
                              <w:rPr>
                                <w:rFonts w:ascii="ＭＳ ゴシック" w:eastAsia="ＭＳ ゴシック" w:hAnsi="ＭＳ ゴシック"/>
                                <w:sz w:val="18"/>
                                <w:szCs w:val="18"/>
                              </w:rPr>
                              <w:t>に係る連絡</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rect w14:anchorId="14EC8A46" id="Rectangle 2556" o:spid="_x0000_s1460" style="position:absolute;left:0;text-align:left;margin-left:35.45pt;margin-top:3.45pt;width:104.6pt;height:28.2pt;z-index:2533580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" filled="f" stroked="f">
                <v:textbox inset="5.85pt,.7pt,5.85pt,.7pt">
                  <w:txbxContent>
                    <w:p w14:paraId="5F71B75B" w14:textId="77777777" w:rsidR="006A5267" w:rsidRDefault="006A5267" w:rsidP="00364E57">
                      <w:pPr>
                        <w:spacing w:line="240" w:lineRule="exact"/>
                        <w:rPr>
                          <w:rFonts w:ascii="ＭＳ ゴシック" w:eastAsia="ＭＳ ゴシック" w:hAnsi="ＭＳ ゴシック"/>
                          <w:sz w:val="18"/>
                          <w:szCs w:val="18"/>
                        </w:rPr>
                      </w:pPr>
                      <w:r>
                        <w:rPr>
                          <w:rFonts w:ascii="ＭＳ ゴシック" w:eastAsia="ＭＳ ゴシック" w:hAnsi="ＭＳ ゴシック" w:hint="eastAsia"/>
                          <w:sz w:val="18"/>
                          <w:szCs w:val="18"/>
                        </w:rPr>
                        <w:t>被害状況の情報提供</w:t>
                      </w:r>
                    </w:p>
                    <w:p w14:paraId="2893FBF2" w14:textId="77777777" w:rsidR="006A5267" w:rsidRPr="00F63BCE" w:rsidRDefault="006A5267" w:rsidP="00364E57">
                      <w:pPr>
                        <w:spacing w:line="240" w:lineRule="exact"/>
                        <w:rPr>
                          <w:rFonts w:ascii="ＭＳ ゴシック" w:eastAsia="ＭＳ ゴシック" w:hAnsi="ＭＳ ゴシック"/>
                          <w:sz w:val="18"/>
                          <w:szCs w:val="18"/>
                        </w:rPr>
                      </w:pPr>
                      <w:r>
                        <w:rPr>
                          <w:rFonts w:ascii="ＭＳ ゴシック" w:eastAsia="ＭＳ ゴシック" w:hAnsi="ＭＳ ゴシック" w:hint="eastAsia"/>
                          <w:sz w:val="18"/>
                          <w:szCs w:val="18"/>
                        </w:rPr>
                        <w:t>救助法適用</w:t>
                      </w:r>
                      <w:r>
                        <w:rPr>
                          <w:rFonts w:ascii="ＭＳ ゴシック" w:eastAsia="ＭＳ ゴシック" w:hAnsi="ＭＳ ゴシック"/>
                          <w:sz w:val="18"/>
                          <w:szCs w:val="18"/>
                        </w:rPr>
                        <w:t>に係る連絡</w:t>
                      </w:r>
                    </w:p>
                  </w:txbxContent>
                </v:textbox>
              </v:rect>
            </w:pict>
          </mc:Fallback>
        </mc:AlternateContent>
      </w:r>
      <w:r w:rsidR="00993DF5" w:rsidRPr="001D6D10">
        <w:rPr>
          <w:rFonts w:hint="eastAsia"/>
          <w:noProof/>
          <w:sz w:val="22"/>
          <w:szCs w:val="22"/>
        </w:rPr>
        <mc:AlternateContent>
          <mc:Choice Requires="wps">
            <w:drawing>
              <wp:anchor distT="0" distB="0" distL="114300" distR="114300" simplePos="0" relativeHeight="253337600" behindDoc="0" locked="0" layoutInCell="1" allowOverlap="1" wp14:anchorId="6CBD58C4" wp14:editId="7216A811">
                <wp:simplePos x="0" y="0"/>
                <wp:positionH relativeFrom="column">
                  <wp:posOffset>2103120</wp:posOffset>
                </wp:positionH>
                <wp:positionV relativeFrom="paragraph">
                  <wp:posOffset>189790</wp:posOffset>
                </wp:positionV>
                <wp:extent cx="3086100" cy="0"/>
                <wp:effectExtent l="0" t="76200" r="19050" b="95250"/>
                <wp:wrapNone/>
                <wp:docPr id="3994" name="Line 253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086100" cy="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line w14:anchorId="21EC7325" id="Line 2532" o:spid="_x0000_s1026" style="position:absolute;left:0;text-align:left;z-index:253337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65.6pt,14.95pt" to="408.6pt,14.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">
                <v:stroke endarrow="block"/>
              </v:line>
            </w:pict>
          </mc:Fallback>
        </mc:AlternateContent>
      </w:r>
      <w:r w:rsidRPr="001D6D10">
        <w:rPr>
          <w:rFonts w:hint="eastAsia"/>
          <w:noProof/>
          <w:sz w:val="22"/>
          <w:szCs w:val="22"/>
        </w:rPr>
        <mc:AlternateContent>
          <mc:Choice Requires="wps">
            <w:drawing>
              <wp:anchor distT="0" distB="0" distL="114300" distR="114300" simplePos="0" relativeHeight="254020608" behindDoc="0" locked="0" layoutInCell="1" allowOverlap="1" wp14:anchorId="13040793" wp14:editId="6A3A90C7">
                <wp:simplePos x="0" y="0"/>
                <wp:positionH relativeFrom="column">
                  <wp:posOffset>1762050</wp:posOffset>
                </wp:positionH>
                <wp:positionV relativeFrom="paragraph">
                  <wp:posOffset>9039</wp:posOffset>
                </wp:positionV>
                <wp:extent cx="342900" cy="2536527"/>
                <wp:effectExtent l="0" t="0" r="19050" b="16510"/>
                <wp:wrapNone/>
                <wp:docPr id="3991" name="AutoShape 252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42900" cy="2536527"/>
                        </a:xfrm>
                        <a:prstGeom prst="roundRect">
                          <a:avLst>
                            <a:gd name="adj" fmla="val 16667"/>
                          </a:avLst>
                        </a:prstGeom>
                        <a:solidFill>
                          <a:srgbClr val="FFFFFF"/>
                        </a:solidFill>
                        <a:ln w="9525">
                          <a:solidFill>
                            <a:srgbClr val="000000"/>
                          </a:solidFill>
                          <a:round/>
                          <a:headEnd/>
                          <a:tailEnd/>
                        </a:ln>
                      </wps:spPr>
                      <wps:txbx>
                        <w:txbxContent>
                          <w:p w14:paraId="257B548F" w14:textId="77777777" w:rsidR="006A5267" w:rsidRDefault="006A5267" w:rsidP="008B4B2B"/>
                          <w:p w14:paraId="0767AE0C" w14:textId="77777777" w:rsidR="006A5267" w:rsidRDefault="006A5267" w:rsidP="008B4B2B"/>
                          <w:p w14:paraId="2F8CA966" w14:textId="77777777" w:rsidR="006A5267" w:rsidRDefault="006A5267" w:rsidP="008B4B2B"/>
                          <w:p w14:paraId="424B79E2" w14:textId="77777777" w:rsidR="006A5267" w:rsidRPr="00522697" w:rsidRDefault="006A5267" w:rsidP="008B4B2B">
                            <w:pPr>
                              <w:rPr>
                                <w:rFonts w:ascii="ＭＳ ゴシック" w:eastAsia="ＭＳ ゴシック" w:hAnsi="ＭＳ ゴシック"/>
                                <w:sz w:val="22"/>
                                <w:szCs w:val="22"/>
                              </w:rPr>
                            </w:pPr>
                            <w:r w:rsidRPr="00522697">
                              <w:rPr>
                                <w:rFonts w:ascii="ＭＳ ゴシック" w:eastAsia="ＭＳ ゴシック" w:hAnsi="ＭＳ ゴシック" w:hint="eastAsia"/>
                                <w:sz w:val="22"/>
                                <w:szCs w:val="22"/>
                              </w:rPr>
                              <w:t>大</w:t>
                            </w:r>
                          </w:p>
                          <w:p w14:paraId="648FA60C" w14:textId="77777777" w:rsidR="006A5267" w:rsidRPr="00522697" w:rsidRDefault="006A5267" w:rsidP="008B4B2B">
                            <w:pPr>
                              <w:rPr>
                                <w:rFonts w:ascii="ＭＳ ゴシック" w:eastAsia="ＭＳ ゴシック" w:hAnsi="ＭＳ ゴシック"/>
                                <w:sz w:val="22"/>
                                <w:szCs w:val="22"/>
                              </w:rPr>
                            </w:pPr>
                          </w:p>
                          <w:p w14:paraId="75E1F71E" w14:textId="77777777" w:rsidR="006A5267" w:rsidRPr="00522697" w:rsidRDefault="006A5267" w:rsidP="008B4B2B">
                            <w:pPr>
                              <w:rPr>
                                <w:rFonts w:ascii="ＭＳ ゴシック" w:eastAsia="ＭＳ ゴシック" w:hAnsi="ＭＳ ゴシック"/>
                                <w:sz w:val="22"/>
                                <w:szCs w:val="22"/>
                              </w:rPr>
                            </w:pPr>
                            <w:r w:rsidRPr="00522697">
                              <w:rPr>
                                <w:rFonts w:ascii="ＭＳ ゴシック" w:eastAsia="ＭＳ ゴシック" w:hAnsi="ＭＳ ゴシック" w:hint="eastAsia"/>
                                <w:sz w:val="22"/>
                                <w:szCs w:val="22"/>
                              </w:rPr>
                              <w:t>阪</w:t>
                            </w:r>
                          </w:p>
                          <w:p w14:paraId="78D23527" w14:textId="77777777" w:rsidR="006A5267" w:rsidRPr="00522697" w:rsidRDefault="006A5267" w:rsidP="008B4B2B">
                            <w:pPr>
                              <w:rPr>
                                <w:rFonts w:ascii="ＭＳ ゴシック" w:eastAsia="ＭＳ ゴシック" w:hAnsi="ＭＳ ゴシック"/>
                                <w:sz w:val="22"/>
                                <w:szCs w:val="22"/>
                              </w:rPr>
                            </w:pPr>
                          </w:p>
                          <w:p w14:paraId="334E11BB" w14:textId="77777777" w:rsidR="006A5267" w:rsidRPr="00522697" w:rsidRDefault="006A5267" w:rsidP="008B4B2B">
                            <w:pPr>
                              <w:rPr>
                                <w:rFonts w:ascii="ＭＳ ゴシック" w:eastAsia="ＭＳ ゴシック" w:hAnsi="ＭＳ ゴシック"/>
                                <w:sz w:val="22"/>
                                <w:szCs w:val="22"/>
                              </w:rPr>
                            </w:pPr>
                            <w:r w:rsidRPr="00522697">
                              <w:rPr>
                                <w:rFonts w:ascii="ＭＳ ゴシック" w:eastAsia="ＭＳ ゴシック" w:hAnsi="ＭＳ ゴシック" w:hint="eastAsia"/>
                                <w:sz w:val="22"/>
                                <w:szCs w:val="22"/>
                              </w:rPr>
                              <w:t>府</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roundrect w14:anchorId="13040793" id="AutoShape 2520" o:spid="_x0000_s1461" style="position:absolute;left:0;text-align:left;margin-left:138.75pt;margin-top:.7pt;width:27pt;height:199.75pt;z-index:2540206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">
                <v:textbox inset="5.85pt,.7pt,5.85pt,.7pt">
                  <w:txbxContent>
                    <w:p w14:paraId="257B548F" w14:textId="77777777" w:rsidR="006A5267" w:rsidRDefault="006A5267" w:rsidP="008B4B2B"/>
                    <w:p w14:paraId="0767AE0C" w14:textId="77777777" w:rsidR="006A5267" w:rsidRDefault="006A5267" w:rsidP="008B4B2B"/>
                    <w:p w14:paraId="2F8CA966" w14:textId="77777777" w:rsidR="006A5267" w:rsidRDefault="006A5267" w:rsidP="008B4B2B"/>
                    <w:p w14:paraId="424B79E2" w14:textId="77777777" w:rsidR="006A5267" w:rsidRPr="00522697" w:rsidRDefault="006A5267" w:rsidP="008B4B2B">
                      <w:pPr>
                        <w:rPr>
                          <w:rFonts w:ascii="ＭＳ ゴシック" w:eastAsia="ＭＳ ゴシック" w:hAnsi="ＭＳ ゴシック"/>
                          <w:sz w:val="22"/>
                          <w:szCs w:val="22"/>
                        </w:rPr>
                      </w:pPr>
                      <w:r w:rsidRPr="00522697">
                        <w:rPr>
                          <w:rFonts w:ascii="ＭＳ ゴシック" w:eastAsia="ＭＳ ゴシック" w:hAnsi="ＭＳ ゴシック" w:hint="eastAsia"/>
                          <w:sz w:val="22"/>
                          <w:szCs w:val="22"/>
                        </w:rPr>
                        <w:t>大</w:t>
                      </w:r>
                    </w:p>
                    <w:p w14:paraId="648FA60C" w14:textId="77777777" w:rsidR="006A5267" w:rsidRPr="00522697" w:rsidRDefault="006A5267" w:rsidP="008B4B2B">
                      <w:pPr>
                        <w:rPr>
                          <w:rFonts w:ascii="ＭＳ ゴシック" w:eastAsia="ＭＳ ゴシック" w:hAnsi="ＭＳ ゴシック"/>
                          <w:sz w:val="22"/>
                          <w:szCs w:val="22"/>
                        </w:rPr>
                      </w:pPr>
                    </w:p>
                    <w:p w14:paraId="75E1F71E" w14:textId="77777777" w:rsidR="006A5267" w:rsidRPr="00522697" w:rsidRDefault="006A5267" w:rsidP="008B4B2B">
                      <w:pPr>
                        <w:rPr>
                          <w:rFonts w:ascii="ＭＳ ゴシック" w:eastAsia="ＭＳ ゴシック" w:hAnsi="ＭＳ ゴシック"/>
                          <w:sz w:val="22"/>
                          <w:szCs w:val="22"/>
                        </w:rPr>
                      </w:pPr>
                      <w:r w:rsidRPr="00522697">
                        <w:rPr>
                          <w:rFonts w:ascii="ＭＳ ゴシック" w:eastAsia="ＭＳ ゴシック" w:hAnsi="ＭＳ ゴシック" w:hint="eastAsia"/>
                          <w:sz w:val="22"/>
                          <w:szCs w:val="22"/>
                        </w:rPr>
                        <w:t>阪</w:t>
                      </w:r>
                    </w:p>
                    <w:p w14:paraId="78D23527" w14:textId="77777777" w:rsidR="006A5267" w:rsidRPr="00522697" w:rsidRDefault="006A5267" w:rsidP="008B4B2B">
                      <w:pPr>
                        <w:rPr>
                          <w:rFonts w:ascii="ＭＳ ゴシック" w:eastAsia="ＭＳ ゴシック" w:hAnsi="ＭＳ ゴシック"/>
                          <w:sz w:val="22"/>
                          <w:szCs w:val="22"/>
                        </w:rPr>
                      </w:pPr>
                    </w:p>
                    <w:p w14:paraId="334E11BB" w14:textId="77777777" w:rsidR="006A5267" w:rsidRPr="00522697" w:rsidRDefault="006A5267" w:rsidP="008B4B2B">
                      <w:pPr>
                        <w:rPr>
                          <w:rFonts w:ascii="ＭＳ ゴシック" w:eastAsia="ＭＳ ゴシック" w:hAnsi="ＭＳ ゴシック"/>
                          <w:sz w:val="22"/>
                          <w:szCs w:val="22"/>
                        </w:rPr>
                      </w:pPr>
                      <w:r w:rsidRPr="00522697">
                        <w:rPr>
                          <w:rFonts w:ascii="ＭＳ ゴシック" w:eastAsia="ＭＳ ゴシック" w:hAnsi="ＭＳ ゴシック" w:hint="eastAsia"/>
                          <w:sz w:val="22"/>
                          <w:szCs w:val="22"/>
                        </w:rPr>
                        <w:t>府</w:t>
                      </w:r>
                    </w:p>
                  </w:txbxContent>
                </v:textbox>
              </v:roundrect>
            </w:pict>
          </mc:Fallback>
        </mc:AlternateContent>
      </w:r>
    </w:p>
    <w:p w14:paraId="3576A03D" w14:textId="77777777" w:rsidR="008B4B2B" w:rsidRPr="001D6D10" w:rsidRDefault="002646FF" w:rsidP="008B4B2B">
      <w:pPr>
        <w:pStyle w:val="a0"/>
        <w:rPr>
          <w:sz w:val="22"/>
          <w:szCs w:val="22"/>
        </w:rPr>
      </w:pPr>
      <w:r w:rsidRPr="001D6D10">
        <w:rPr>
          <w:rFonts w:hint="eastAsia"/>
          <w:noProof/>
          <w:sz w:val="22"/>
          <w:szCs w:val="22"/>
        </w:rPr>
        <mc:AlternateContent>
          <mc:Choice Requires="wps">
            <w:drawing>
              <wp:anchor distT="0" distB="0" distL="114300" distR="114300" simplePos="0" relativeHeight="254021632" behindDoc="0" locked="0" layoutInCell="1" allowOverlap="1" wp14:anchorId="3DB14670" wp14:editId="63D12531">
                <wp:simplePos x="0" y="0"/>
                <wp:positionH relativeFrom="column">
                  <wp:posOffset>3429486</wp:posOffset>
                </wp:positionH>
                <wp:positionV relativeFrom="paragraph">
                  <wp:posOffset>125542</wp:posOffset>
                </wp:positionV>
                <wp:extent cx="440055" cy="2519083"/>
                <wp:effectExtent l="0" t="0" r="17145" b="14605"/>
                <wp:wrapNone/>
                <wp:docPr id="3988" name="AutoShape 252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40055" cy="2519083"/>
                        </a:xfrm>
                        <a:prstGeom prst="hexagon">
                          <a:avLst>
                            <a:gd name="adj" fmla="val 0"/>
                            <a:gd name="vf" fmla="val 115470"/>
                          </a:avLst>
                        </a:prstGeom>
                        <a:solidFill>
                          <a:srgbClr val="FFFFFF"/>
                        </a:solidFill>
                        <a:ln w="9525">
                          <a:solidFill>
                            <a:srgbClr val="000000"/>
                          </a:solidFill>
                          <a:miter lim="800000"/>
                          <a:headEnd/>
                          <a:tailEnd/>
                        </a:ln>
                      </wps:spPr>
                      <wps:txbx>
                        <w:txbxContent>
                          <w:p w14:paraId="1FB74A7D" w14:textId="77777777" w:rsidR="006A5267" w:rsidRPr="00522697" w:rsidRDefault="006A5267" w:rsidP="008B4B2B">
                            <w:pPr>
                              <w:ind w:firstLineChars="100" w:firstLine="221"/>
                              <w:rPr>
                                <w:rFonts w:ascii="ＭＳ ゴシック" w:eastAsia="ＭＳ ゴシック" w:hAnsi="ＭＳ ゴシック"/>
                                <w:sz w:val="22"/>
                                <w:szCs w:val="22"/>
                              </w:rPr>
                            </w:pPr>
                            <w:r w:rsidRPr="00522697">
                              <w:rPr>
                                <w:rFonts w:ascii="ＭＳ ゴシック" w:eastAsia="ＭＳ ゴシック" w:hAnsi="ＭＳ ゴシック" w:hint="eastAsia"/>
                                <w:sz w:val="22"/>
                                <w:szCs w:val="22"/>
                              </w:rPr>
                              <w:t>被</w:t>
                            </w:r>
                            <w:r>
                              <w:rPr>
                                <w:rFonts w:ascii="ＭＳ ゴシック" w:eastAsia="ＭＳ ゴシック" w:hAnsi="ＭＳ ゴシック" w:hint="eastAsia"/>
                                <w:sz w:val="22"/>
                                <w:szCs w:val="22"/>
                              </w:rPr>
                              <w:t xml:space="preserve">　</w:t>
                            </w:r>
                            <w:r w:rsidRPr="00522697">
                              <w:rPr>
                                <w:rFonts w:ascii="ＭＳ ゴシック" w:eastAsia="ＭＳ ゴシック" w:hAnsi="ＭＳ ゴシック" w:hint="eastAsia"/>
                                <w:sz w:val="22"/>
                                <w:szCs w:val="22"/>
                              </w:rPr>
                              <w:t>災</w:t>
                            </w:r>
                            <w:r>
                              <w:rPr>
                                <w:rFonts w:ascii="ＭＳ ゴシック" w:eastAsia="ＭＳ ゴシック" w:hAnsi="ＭＳ ゴシック" w:hint="eastAsia"/>
                                <w:sz w:val="22"/>
                                <w:szCs w:val="22"/>
                              </w:rPr>
                              <w:t xml:space="preserve">　</w:t>
                            </w:r>
                            <w:r w:rsidRPr="00522697">
                              <w:rPr>
                                <w:rFonts w:ascii="ＭＳ ゴシック" w:eastAsia="ＭＳ ゴシック" w:hAnsi="ＭＳ ゴシック" w:hint="eastAsia"/>
                                <w:sz w:val="22"/>
                                <w:szCs w:val="22"/>
                              </w:rPr>
                              <w:t>市</w:t>
                            </w:r>
                            <w:r>
                              <w:rPr>
                                <w:rFonts w:ascii="ＭＳ ゴシック" w:eastAsia="ＭＳ ゴシック" w:hAnsi="ＭＳ ゴシック" w:hint="eastAsia"/>
                                <w:sz w:val="22"/>
                                <w:szCs w:val="22"/>
                              </w:rPr>
                              <w:t xml:space="preserve">　</w:t>
                            </w:r>
                            <w:r w:rsidRPr="00522697">
                              <w:rPr>
                                <w:rFonts w:ascii="ＭＳ ゴシック" w:eastAsia="ＭＳ ゴシック" w:hAnsi="ＭＳ ゴシック" w:hint="eastAsia"/>
                                <w:sz w:val="22"/>
                                <w:szCs w:val="22"/>
                              </w:rPr>
                              <w:t>町</w:t>
                            </w:r>
                            <w:r>
                              <w:rPr>
                                <w:rFonts w:ascii="ＭＳ ゴシック" w:eastAsia="ＭＳ ゴシック" w:hAnsi="ＭＳ ゴシック" w:hint="eastAsia"/>
                                <w:sz w:val="22"/>
                                <w:szCs w:val="22"/>
                              </w:rPr>
                              <w:t xml:space="preserve">　</w:t>
                            </w:r>
                            <w:r w:rsidRPr="00522697">
                              <w:rPr>
                                <w:rFonts w:ascii="ＭＳ ゴシック" w:eastAsia="ＭＳ ゴシック" w:hAnsi="ＭＳ ゴシック" w:hint="eastAsia"/>
                                <w:sz w:val="22"/>
                                <w:szCs w:val="22"/>
                              </w:rPr>
                              <w:t>村</w:t>
                            </w:r>
                          </w:p>
                        </w:txbxContent>
                      </wps:txbx>
                      <wps:bodyPr rot="0" vert="eaVert"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shape w14:anchorId="3DB14670" id="AutoShape 2522" o:spid="_x0000_s1462" type="#_x0000_t9" style="position:absolute;left:0;text-align:left;margin-left:270.05pt;margin-top:9.9pt;width:34.65pt;height:198.35pt;z-index:2540216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" adj="0">
                <v:textbox style="layout-flow:vertical-ideographic" inset="5.85pt,.7pt,5.85pt,.7pt">
                  <w:txbxContent>
                    <w:p w14:paraId="1FB74A7D" w14:textId="77777777" w:rsidR="006A5267" w:rsidRPr="00522697" w:rsidRDefault="006A5267" w:rsidP="008B4B2B">
                      <w:pPr>
                        <w:ind w:firstLineChars="100" w:firstLine="221"/>
                        <w:rPr>
                          <w:rFonts w:ascii="ＭＳ ゴシック" w:eastAsia="ＭＳ ゴシック" w:hAnsi="ＭＳ ゴシック"/>
                          <w:sz w:val="22"/>
                          <w:szCs w:val="22"/>
                        </w:rPr>
                      </w:pPr>
                      <w:r w:rsidRPr="00522697">
                        <w:rPr>
                          <w:rFonts w:ascii="ＭＳ ゴシック" w:eastAsia="ＭＳ ゴシック" w:hAnsi="ＭＳ ゴシック" w:hint="eastAsia"/>
                          <w:sz w:val="22"/>
                          <w:szCs w:val="22"/>
                        </w:rPr>
                        <w:t>被</w:t>
                      </w:r>
                      <w:r>
                        <w:rPr>
                          <w:rFonts w:ascii="ＭＳ ゴシック" w:eastAsia="ＭＳ ゴシック" w:hAnsi="ＭＳ ゴシック" w:hint="eastAsia"/>
                          <w:sz w:val="22"/>
                          <w:szCs w:val="22"/>
                        </w:rPr>
                        <w:t xml:space="preserve">　</w:t>
                      </w:r>
                      <w:r w:rsidRPr="00522697">
                        <w:rPr>
                          <w:rFonts w:ascii="ＭＳ ゴシック" w:eastAsia="ＭＳ ゴシック" w:hAnsi="ＭＳ ゴシック" w:hint="eastAsia"/>
                          <w:sz w:val="22"/>
                          <w:szCs w:val="22"/>
                        </w:rPr>
                        <w:t>災</w:t>
                      </w:r>
                      <w:r>
                        <w:rPr>
                          <w:rFonts w:ascii="ＭＳ ゴシック" w:eastAsia="ＭＳ ゴシック" w:hAnsi="ＭＳ ゴシック" w:hint="eastAsia"/>
                          <w:sz w:val="22"/>
                          <w:szCs w:val="22"/>
                        </w:rPr>
                        <w:t xml:space="preserve">　</w:t>
                      </w:r>
                      <w:r w:rsidRPr="00522697">
                        <w:rPr>
                          <w:rFonts w:ascii="ＭＳ ゴシック" w:eastAsia="ＭＳ ゴシック" w:hAnsi="ＭＳ ゴシック" w:hint="eastAsia"/>
                          <w:sz w:val="22"/>
                          <w:szCs w:val="22"/>
                        </w:rPr>
                        <w:t>市</w:t>
                      </w:r>
                      <w:r>
                        <w:rPr>
                          <w:rFonts w:ascii="ＭＳ ゴシック" w:eastAsia="ＭＳ ゴシック" w:hAnsi="ＭＳ ゴシック" w:hint="eastAsia"/>
                          <w:sz w:val="22"/>
                          <w:szCs w:val="22"/>
                        </w:rPr>
                        <w:t xml:space="preserve">　</w:t>
                      </w:r>
                      <w:r w:rsidRPr="00522697">
                        <w:rPr>
                          <w:rFonts w:ascii="ＭＳ ゴシック" w:eastAsia="ＭＳ ゴシック" w:hAnsi="ＭＳ ゴシック" w:hint="eastAsia"/>
                          <w:sz w:val="22"/>
                          <w:szCs w:val="22"/>
                        </w:rPr>
                        <w:t>町</w:t>
                      </w:r>
                      <w:r>
                        <w:rPr>
                          <w:rFonts w:ascii="ＭＳ ゴシック" w:eastAsia="ＭＳ ゴシック" w:hAnsi="ＭＳ ゴシック" w:hint="eastAsia"/>
                          <w:sz w:val="22"/>
                          <w:szCs w:val="22"/>
                        </w:rPr>
                        <w:t xml:space="preserve">　</w:t>
                      </w:r>
                      <w:r w:rsidRPr="00522697">
                        <w:rPr>
                          <w:rFonts w:ascii="ＭＳ ゴシック" w:eastAsia="ＭＳ ゴシック" w:hAnsi="ＭＳ ゴシック" w:hint="eastAsia"/>
                          <w:sz w:val="22"/>
                          <w:szCs w:val="22"/>
                        </w:rPr>
                        <w:t>村</w:t>
                      </w:r>
                    </w:p>
                  </w:txbxContent>
                </v:textbox>
              </v:shape>
            </w:pict>
          </mc:Fallback>
        </mc:AlternateContent>
      </w:r>
      <w:r w:rsidR="007F4030" w:rsidRPr="001D6D10">
        <w:rPr>
          <w:rFonts w:hint="eastAsia"/>
          <w:noProof/>
          <w:sz w:val="22"/>
          <w:szCs w:val="22"/>
        </w:rPr>
        <mc:AlternateContent>
          <mc:Choice Requires="wps">
            <w:drawing>
              <wp:anchor distT="0" distB="0" distL="114300" distR="114300" simplePos="0" relativeHeight="253368320" behindDoc="0" locked="0" layoutInCell="1" allowOverlap="1" wp14:anchorId="65AF3E23" wp14:editId="698CAF27">
                <wp:simplePos x="0" y="0"/>
                <wp:positionH relativeFrom="column">
                  <wp:posOffset>4018280</wp:posOffset>
                </wp:positionH>
                <wp:positionV relativeFrom="paragraph">
                  <wp:posOffset>58345</wp:posOffset>
                </wp:positionV>
                <wp:extent cx="1028700" cy="342900"/>
                <wp:effectExtent l="0" t="0" r="0" b="0"/>
                <wp:wrapNone/>
                <wp:docPr id="3982" name="Rectangle 256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28700" cy="3429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1E2BED3" w14:textId="77777777" w:rsidR="006A5267" w:rsidRDefault="006A5267" w:rsidP="008B4B2B">
                            <w:pPr>
                              <w:spacing w:line="240" w:lineRule="exact"/>
                              <w:rPr>
                                <w:rFonts w:ascii="ＭＳ ゴシック" w:eastAsia="ＭＳ ゴシック" w:hAnsi="ＭＳ ゴシック"/>
                                <w:sz w:val="18"/>
                                <w:szCs w:val="18"/>
                              </w:rPr>
                            </w:pPr>
                            <w:r w:rsidRPr="006A54B8">
                              <w:rPr>
                                <w:rFonts w:ascii="ＭＳ ゴシック" w:eastAsia="ＭＳ ゴシック" w:hAnsi="ＭＳ ゴシック" w:hint="eastAsia"/>
                                <w:sz w:val="18"/>
                                <w:szCs w:val="18"/>
                              </w:rPr>
                              <w:t>応急</w:t>
                            </w:r>
                            <w:r>
                              <w:rPr>
                                <w:rFonts w:ascii="ＭＳ ゴシック" w:eastAsia="ＭＳ ゴシック" w:hAnsi="ＭＳ ゴシック" w:hint="eastAsia"/>
                                <w:sz w:val="18"/>
                                <w:szCs w:val="18"/>
                              </w:rPr>
                              <w:t>救助の実施</w:t>
                            </w:r>
                          </w:p>
                          <w:p w14:paraId="42BF64DE" w14:textId="77777777" w:rsidR="006A5267" w:rsidRPr="006A54B8" w:rsidRDefault="006A5267" w:rsidP="008B4B2B">
                            <w:pPr>
                              <w:spacing w:line="240" w:lineRule="exact"/>
                              <w:rPr>
                                <w:rFonts w:ascii="ＭＳ ゴシック" w:eastAsia="ＭＳ ゴシック" w:hAnsi="ＭＳ ゴシック"/>
                                <w:sz w:val="16"/>
                                <w:szCs w:val="16"/>
                              </w:rPr>
                            </w:pPr>
                            <w:r>
                              <w:rPr>
                                <w:rFonts w:ascii="ＭＳ ゴシック" w:eastAsia="ＭＳ ゴシック" w:hAnsi="ＭＳ ゴシック" w:hint="eastAsia"/>
                                <w:sz w:val="16"/>
                                <w:szCs w:val="16"/>
                              </w:rPr>
                              <w:t>（</w:t>
                            </w:r>
                            <w:r w:rsidRPr="006A54B8">
                              <w:rPr>
                                <w:rFonts w:ascii="ＭＳ ゴシック" w:eastAsia="ＭＳ ゴシック" w:hAnsi="ＭＳ ゴシック" w:hint="eastAsia"/>
                                <w:sz w:val="16"/>
                                <w:szCs w:val="16"/>
                              </w:rPr>
                              <w:t>委任による実施</w:t>
                            </w:r>
                            <w:r>
                              <w:rPr>
                                <w:rFonts w:ascii="ＭＳ ゴシック" w:eastAsia="ＭＳ ゴシック" w:hAnsi="ＭＳ ゴシック" w:hint="eastAsia"/>
                                <w:sz w:val="16"/>
                                <w:szCs w:val="16"/>
                              </w:rPr>
                              <w:t>）</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rect w14:anchorId="65AF3E23" id="Rectangle 2565" o:spid="_x0000_s1463" style="position:absolute;left:0;text-align:left;margin-left:316.4pt;margin-top:4.6pt;width:81pt;height:27pt;z-index:2533683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" filled="f" stroked="f">
                <v:textbox inset="5.85pt,.7pt,5.85pt,.7pt">
                  <w:txbxContent>
                    <w:p w14:paraId="11E2BED3" w14:textId="77777777" w:rsidR="006A5267" w:rsidRDefault="006A5267" w:rsidP="008B4B2B">
                      <w:pPr>
                        <w:spacing w:line="240" w:lineRule="exact"/>
                        <w:rPr>
                          <w:rFonts w:ascii="ＭＳ ゴシック" w:eastAsia="ＭＳ ゴシック" w:hAnsi="ＭＳ ゴシック"/>
                          <w:sz w:val="18"/>
                          <w:szCs w:val="18"/>
                        </w:rPr>
                      </w:pPr>
                      <w:r w:rsidRPr="006A54B8">
                        <w:rPr>
                          <w:rFonts w:ascii="ＭＳ ゴシック" w:eastAsia="ＭＳ ゴシック" w:hAnsi="ＭＳ ゴシック" w:hint="eastAsia"/>
                          <w:sz w:val="18"/>
                          <w:szCs w:val="18"/>
                        </w:rPr>
                        <w:t>応急</w:t>
                      </w:r>
                      <w:r>
                        <w:rPr>
                          <w:rFonts w:ascii="ＭＳ ゴシック" w:eastAsia="ＭＳ ゴシック" w:hAnsi="ＭＳ ゴシック" w:hint="eastAsia"/>
                          <w:sz w:val="18"/>
                          <w:szCs w:val="18"/>
                        </w:rPr>
                        <w:t>救助の実施</w:t>
                      </w:r>
                    </w:p>
                    <w:p w14:paraId="42BF64DE" w14:textId="77777777" w:rsidR="006A5267" w:rsidRPr="006A54B8" w:rsidRDefault="006A5267" w:rsidP="008B4B2B">
                      <w:pPr>
                        <w:spacing w:line="240" w:lineRule="exact"/>
                        <w:rPr>
                          <w:rFonts w:ascii="ＭＳ ゴシック" w:eastAsia="ＭＳ ゴシック" w:hAnsi="ＭＳ ゴシック"/>
                          <w:sz w:val="16"/>
                          <w:szCs w:val="16"/>
                        </w:rPr>
                      </w:pPr>
                      <w:r>
                        <w:rPr>
                          <w:rFonts w:ascii="ＭＳ ゴシック" w:eastAsia="ＭＳ ゴシック" w:hAnsi="ＭＳ ゴシック" w:hint="eastAsia"/>
                          <w:sz w:val="16"/>
                          <w:szCs w:val="16"/>
                        </w:rPr>
                        <w:t>（</w:t>
                      </w:r>
                      <w:r w:rsidRPr="006A54B8">
                        <w:rPr>
                          <w:rFonts w:ascii="ＭＳ ゴシック" w:eastAsia="ＭＳ ゴシック" w:hAnsi="ＭＳ ゴシック" w:hint="eastAsia"/>
                          <w:sz w:val="16"/>
                          <w:szCs w:val="16"/>
                        </w:rPr>
                        <w:t>委任による実施</w:t>
                      </w:r>
                      <w:r>
                        <w:rPr>
                          <w:rFonts w:ascii="ＭＳ ゴシック" w:eastAsia="ＭＳ ゴシック" w:hAnsi="ＭＳ ゴシック" w:hint="eastAsia"/>
                          <w:sz w:val="16"/>
                          <w:szCs w:val="16"/>
                        </w:rPr>
                        <w:t>）</w:t>
                      </w:r>
                    </w:p>
                  </w:txbxContent>
                </v:textbox>
              </v:rect>
            </w:pict>
          </mc:Fallback>
        </mc:AlternateContent>
      </w:r>
      <w:r w:rsidR="00D471B1" w:rsidRPr="001D6D10">
        <w:rPr>
          <w:rFonts w:hint="eastAsia"/>
          <w:noProof/>
          <w:sz w:val="22"/>
          <w:szCs w:val="22"/>
        </w:rPr>
        <mc:AlternateContent>
          <mc:Choice Requires="wps">
            <w:drawing>
              <wp:anchor distT="0" distB="0" distL="114300" distR="114300" simplePos="0" relativeHeight="253367296" behindDoc="0" locked="0" layoutInCell="1" allowOverlap="1" wp14:anchorId="1A9C9402" wp14:editId="552849A7">
                <wp:simplePos x="0" y="0"/>
                <wp:positionH relativeFrom="page">
                  <wp:posOffset>3200400</wp:posOffset>
                </wp:positionH>
                <wp:positionV relativeFrom="paragraph">
                  <wp:posOffset>168985</wp:posOffset>
                </wp:positionV>
                <wp:extent cx="1084730" cy="342900"/>
                <wp:effectExtent l="0" t="0" r="0" b="0"/>
                <wp:wrapNone/>
                <wp:docPr id="3987" name="Rectangle 256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84730" cy="3429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2826D33" w14:textId="77777777" w:rsidR="006A5267" w:rsidRDefault="006A5267" w:rsidP="008B4B2B">
                            <w:pPr>
                              <w:spacing w:line="240" w:lineRule="exact"/>
                              <w:rPr>
                                <w:rFonts w:ascii="ＭＳ ゴシック" w:eastAsia="ＭＳ ゴシック" w:hAnsi="ＭＳ ゴシック"/>
                                <w:sz w:val="18"/>
                                <w:szCs w:val="18"/>
                              </w:rPr>
                            </w:pPr>
                            <w:r>
                              <w:rPr>
                                <w:rFonts w:ascii="ＭＳ ゴシック" w:eastAsia="ＭＳ ゴシック" w:hAnsi="ＭＳ ゴシック" w:hint="eastAsia"/>
                                <w:sz w:val="18"/>
                                <w:szCs w:val="18"/>
                              </w:rPr>
                              <w:t>救助・権限の委任</w:t>
                            </w:r>
                          </w:p>
                          <w:p w14:paraId="00A3FEB8" w14:textId="77777777" w:rsidR="006A5267" w:rsidRPr="006A54B8" w:rsidRDefault="006A5267" w:rsidP="00D471B1">
                            <w:pPr>
                              <w:spacing w:line="240" w:lineRule="exact"/>
                              <w:ind w:firstLineChars="100" w:firstLine="181"/>
                              <w:rPr>
                                <w:rFonts w:ascii="ＭＳ ゴシック" w:eastAsia="ＭＳ ゴシック" w:hAnsi="ＭＳ ゴシック"/>
                                <w:sz w:val="18"/>
                                <w:szCs w:val="18"/>
                              </w:rPr>
                            </w:pPr>
                            <w:r>
                              <w:rPr>
                                <w:rFonts w:ascii="ＭＳ ゴシック" w:eastAsia="ＭＳ ゴシック" w:hAnsi="ＭＳ ゴシック" w:hint="eastAsia"/>
                                <w:sz w:val="18"/>
                                <w:szCs w:val="18"/>
                              </w:rPr>
                              <w:t>通知・公示</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rect w14:anchorId="1A9C9402" id="Rectangle 2564" o:spid="_x0000_s1464" style="position:absolute;left:0;text-align:left;margin-left:252pt;margin-top:13.3pt;width:85.4pt;height:27pt;z-index:25336729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" filled="f" stroked="f">
                <v:textbox inset="5.85pt,.7pt,5.85pt,.7pt">
                  <w:txbxContent>
                    <w:p w14:paraId="22826D33" w14:textId="77777777" w:rsidR="006A5267" w:rsidRDefault="006A5267" w:rsidP="008B4B2B">
                      <w:pPr>
                        <w:spacing w:line="240" w:lineRule="exact"/>
                        <w:rPr>
                          <w:rFonts w:ascii="ＭＳ ゴシック" w:eastAsia="ＭＳ ゴシック" w:hAnsi="ＭＳ ゴシック"/>
                          <w:sz w:val="18"/>
                          <w:szCs w:val="18"/>
                        </w:rPr>
                      </w:pPr>
                      <w:r>
                        <w:rPr>
                          <w:rFonts w:ascii="ＭＳ ゴシック" w:eastAsia="ＭＳ ゴシック" w:hAnsi="ＭＳ ゴシック" w:hint="eastAsia"/>
                          <w:sz w:val="18"/>
                          <w:szCs w:val="18"/>
                        </w:rPr>
                        <w:t>救助・権限の委任</w:t>
                      </w:r>
                    </w:p>
                    <w:p w14:paraId="00A3FEB8" w14:textId="77777777" w:rsidR="006A5267" w:rsidRPr="006A54B8" w:rsidRDefault="006A5267" w:rsidP="00D471B1">
                      <w:pPr>
                        <w:spacing w:line="240" w:lineRule="exact"/>
                        <w:ind w:firstLineChars="100" w:firstLine="181"/>
                        <w:rPr>
                          <w:rFonts w:ascii="ＭＳ ゴシック" w:eastAsia="ＭＳ ゴシック" w:hAnsi="ＭＳ ゴシック"/>
                          <w:sz w:val="18"/>
                          <w:szCs w:val="18"/>
                        </w:rPr>
                      </w:pPr>
                      <w:r>
                        <w:rPr>
                          <w:rFonts w:ascii="ＭＳ ゴシック" w:eastAsia="ＭＳ ゴシック" w:hAnsi="ＭＳ ゴシック" w:hint="eastAsia"/>
                          <w:sz w:val="18"/>
                          <w:szCs w:val="18"/>
                        </w:rPr>
                        <w:t>通知・公示</w:t>
                      </w:r>
                    </w:p>
                  </w:txbxContent>
                </v:textbox>
                <w10:wrap anchorx="page"/>
              </v:rect>
            </w:pict>
          </mc:Fallback>
        </mc:AlternateContent>
      </w:r>
      <w:r w:rsidR="008B4B2B" w:rsidRPr="001D6D10">
        <w:rPr>
          <w:rFonts w:hint="eastAsia"/>
          <w:noProof/>
          <w:sz w:val="22"/>
          <w:szCs w:val="22"/>
        </w:rPr>
        <mc:AlternateContent>
          <mc:Choice Requires="wps">
            <w:drawing>
              <wp:anchor distT="0" distB="0" distL="114300" distR="114300" simplePos="0" relativeHeight="253334528" behindDoc="0" locked="0" layoutInCell="1" allowOverlap="1" wp14:anchorId="4AB38604" wp14:editId="059E6762">
                <wp:simplePos x="0" y="0"/>
                <wp:positionH relativeFrom="column">
                  <wp:posOffset>388620</wp:posOffset>
                </wp:positionH>
                <wp:positionV relativeFrom="paragraph">
                  <wp:posOffset>168910</wp:posOffset>
                </wp:positionV>
                <wp:extent cx="1371600" cy="0"/>
                <wp:effectExtent l="17145" t="54610" r="11430" b="59690"/>
                <wp:wrapNone/>
                <wp:docPr id="3993" name="Line 252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1371600" cy="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line w14:anchorId="7EF58C5A" id="Line 2529" o:spid="_x0000_s1026" style="position:absolute;left:0;text-align:left;flip:x;z-index:253334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0.6pt,13.3pt" to="138.6pt,13.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">
                <v:stroke endarrow="block"/>
              </v:line>
            </w:pict>
          </mc:Fallback>
        </mc:AlternateContent>
      </w:r>
    </w:p>
    <w:p w14:paraId="22EE0E31" w14:textId="77777777" w:rsidR="008B4B2B" w:rsidRPr="001D6D10" w:rsidRDefault="000934DF" w:rsidP="008B4B2B">
      <w:pPr>
        <w:pStyle w:val="a0"/>
        <w:rPr>
          <w:sz w:val="22"/>
          <w:szCs w:val="22"/>
        </w:rPr>
      </w:pPr>
      <w:r w:rsidRPr="001D6D10">
        <w:rPr>
          <w:rFonts w:hint="eastAsia"/>
          <w:noProof/>
          <w:sz w:val="22"/>
          <w:szCs w:val="22"/>
        </w:rPr>
        <mc:AlternateContent>
          <mc:Choice Requires="wps">
            <w:drawing>
              <wp:anchor distT="0" distB="0" distL="114300" distR="114300" simplePos="0" relativeHeight="253341696" behindDoc="0" locked="0" layoutInCell="1" allowOverlap="1" wp14:anchorId="16E6C354" wp14:editId="28F0DAAB">
                <wp:simplePos x="0" y="0"/>
                <wp:positionH relativeFrom="column">
                  <wp:posOffset>3868420</wp:posOffset>
                </wp:positionH>
                <wp:positionV relativeFrom="paragraph">
                  <wp:posOffset>165660</wp:posOffset>
                </wp:positionV>
                <wp:extent cx="1308735" cy="0"/>
                <wp:effectExtent l="0" t="76200" r="24765" b="95250"/>
                <wp:wrapNone/>
                <wp:docPr id="3979" name="Line 253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308735" cy="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line w14:anchorId="13B1E9D2" id="Line 2536" o:spid="_x0000_s1026" style="position:absolute;left:0;text-align:left;z-index:253341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04.6pt,13.05pt" to="407.65pt,13.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">
                <v:stroke endarrow="block"/>
              </v:line>
            </w:pict>
          </mc:Fallback>
        </mc:AlternateContent>
      </w:r>
      <w:r w:rsidR="00364E57" w:rsidRPr="001D6D10">
        <w:rPr>
          <w:rFonts w:hint="eastAsia"/>
          <w:noProof/>
          <w:sz w:val="22"/>
          <w:szCs w:val="22"/>
        </w:rPr>
        <mc:AlternateContent>
          <mc:Choice Requires="wps">
            <w:drawing>
              <wp:anchor distT="0" distB="0" distL="114300" distR="114300" simplePos="0" relativeHeight="254089216" behindDoc="0" locked="0" layoutInCell="1" allowOverlap="1" wp14:anchorId="0CD9C55E" wp14:editId="3B019136">
                <wp:simplePos x="0" y="0"/>
                <wp:positionH relativeFrom="column">
                  <wp:posOffset>417195</wp:posOffset>
                </wp:positionH>
                <wp:positionV relativeFrom="paragraph">
                  <wp:posOffset>44525</wp:posOffset>
                </wp:positionV>
                <wp:extent cx="1302124" cy="228600"/>
                <wp:effectExtent l="0" t="0" r="0" b="0"/>
                <wp:wrapNone/>
                <wp:docPr id="4908" name="Rectangle 255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302124" cy="2286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88F35A8" w14:textId="77777777" w:rsidR="006A5267" w:rsidRPr="00F63BCE" w:rsidRDefault="006A5267" w:rsidP="008B4B2B">
                            <w:pPr>
                              <w:rPr>
                                <w:rFonts w:ascii="ＭＳ ゴシック" w:eastAsia="ＭＳ ゴシック" w:hAnsi="ＭＳ ゴシック"/>
                                <w:sz w:val="18"/>
                                <w:szCs w:val="18"/>
                              </w:rPr>
                            </w:pPr>
                            <w:r w:rsidRPr="00364E57">
                              <w:rPr>
                                <w:rFonts w:ascii="ＭＳ ゴシック" w:eastAsia="ＭＳ ゴシック" w:hAnsi="ＭＳ ゴシック" w:hint="eastAsia"/>
                                <w:sz w:val="18"/>
                                <w:szCs w:val="18"/>
                              </w:rPr>
                              <w:t>救助法適用</w:t>
                            </w:r>
                            <w:r w:rsidRPr="00364E57">
                              <w:rPr>
                                <w:rFonts w:ascii="ＭＳ ゴシック" w:eastAsia="ＭＳ ゴシック" w:hAnsi="ＭＳ ゴシック"/>
                                <w:sz w:val="18"/>
                                <w:szCs w:val="18"/>
                              </w:rPr>
                              <w:t>に係る</w:t>
                            </w:r>
                            <w:r>
                              <w:rPr>
                                <w:rFonts w:ascii="ＭＳ ゴシック" w:eastAsia="ＭＳ ゴシック" w:hAnsi="ＭＳ ゴシック" w:hint="eastAsia"/>
                                <w:sz w:val="18"/>
                                <w:szCs w:val="18"/>
                              </w:rPr>
                              <w:t>助言</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rect w14:anchorId="0CD9C55E" id="Rectangle 2558" o:spid="_x0000_s1465" style="position:absolute;left:0;text-align:left;margin-left:32.85pt;margin-top:3.5pt;width:102.55pt;height:18pt;z-index:254089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" filled="f" stroked="f">
                <v:textbox inset="5.85pt,.7pt,5.85pt,.7pt">
                  <w:txbxContent>
                    <w:p w14:paraId="088F35A8" w14:textId="77777777" w:rsidR="006A5267" w:rsidRPr="00F63BCE" w:rsidRDefault="006A5267" w:rsidP="008B4B2B">
                      <w:pPr>
                        <w:rPr>
                          <w:rFonts w:ascii="ＭＳ ゴシック" w:eastAsia="ＭＳ ゴシック" w:hAnsi="ＭＳ ゴシック"/>
                          <w:sz w:val="18"/>
                          <w:szCs w:val="18"/>
                        </w:rPr>
                      </w:pPr>
                      <w:r w:rsidRPr="00364E57">
                        <w:rPr>
                          <w:rFonts w:ascii="ＭＳ ゴシック" w:eastAsia="ＭＳ ゴシック" w:hAnsi="ＭＳ ゴシック" w:hint="eastAsia"/>
                          <w:sz w:val="18"/>
                          <w:szCs w:val="18"/>
                        </w:rPr>
                        <w:t>救助法適用</w:t>
                      </w:r>
                      <w:r w:rsidRPr="00364E57">
                        <w:rPr>
                          <w:rFonts w:ascii="ＭＳ ゴシック" w:eastAsia="ＭＳ ゴシック" w:hAnsi="ＭＳ ゴシック"/>
                          <w:sz w:val="18"/>
                          <w:szCs w:val="18"/>
                        </w:rPr>
                        <w:t>に係る</w:t>
                      </w:r>
                      <w:r>
                        <w:rPr>
                          <w:rFonts w:ascii="ＭＳ ゴシック" w:eastAsia="ＭＳ ゴシック" w:hAnsi="ＭＳ ゴシック" w:hint="eastAsia"/>
                          <w:sz w:val="18"/>
                          <w:szCs w:val="18"/>
                        </w:rPr>
                        <w:t>助言</w:t>
                      </w:r>
                    </w:p>
                  </w:txbxContent>
                </v:textbox>
              </v:rect>
            </w:pict>
          </mc:Fallback>
        </mc:AlternateContent>
      </w:r>
    </w:p>
    <w:p w14:paraId="21A332F6" w14:textId="77777777" w:rsidR="008B4B2B" w:rsidRPr="001D6D10" w:rsidRDefault="007F4030" w:rsidP="008B4B2B">
      <w:pPr>
        <w:pStyle w:val="a0"/>
        <w:rPr>
          <w:sz w:val="22"/>
          <w:szCs w:val="22"/>
        </w:rPr>
      </w:pPr>
      <w:r w:rsidRPr="001D6D10">
        <w:rPr>
          <w:rFonts w:hint="eastAsia"/>
          <w:noProof/>
          <w:sz w:val="22"/>
          <w:szCs w:val="22"/>
        </w:rPr>
        <mc:AlternateContent>
          <mc:Choice Requires="wps">
            <w:drawing>
              <wp:anchor distT="0" distB="0" distL="114300" distR="114300" simplePos="0" relativeHeight="253373440" behindDoc="0" locked="0" layoutInCell="1" allowOverlap="1" wp14:anchorId="478F8D5F" wp14:editId="462C9C35">
                <wp:simplePos x="0" y="0"/>
                <wp:positionH relativeFrom="column">
                  <wp:posOffset>3967368</wp:posOffset>
                </wp:positionH>
                <wp:positionV relativeFrom="paragraph">
                  <wp:posOffset>44786</wp:posOffset>
                </wp:positionV>
                <wp:extent cx="1160145" cy="1783977"/>
                <wp:effectExtent l="0" t="0" r="20955" b="26035"/>
                <wp:wrapNone/>
                <wp:docPr id="3977" name="Rectangle 257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60145" cy="1783977"/>
                        </a:xfrm>
                        <a:prstGeom prst="rect">
                          <a:avLst/>
                        </a:prstGeom>
                        <a:noFill/>
                        <a:ln w="9525">
                          <a:solidFill>
                            <a:srgbClr val="000000"/>
                          </a:solidFill>
                          <a:prstDash val="dash"/>
                          <a:miter lim="800000"/>
                          <a:headEnd/>
                          <a:tailEnd/>
                        </a:ln>
                        <a:extLst>
                          <a:ext uri="{909E8E84-426E-40DD-AFC4-6F175D3DCCD1}">
                            <a14:hiddenFill xmlns:a14="http://schemas.microsoft.com/office/drawing/2010/main">
                              <a:solidFill>
                                <a:srgbClr val="FFFFFF"/>
                              </a:solidFill>
                            </a14:hiddenFill>
                          </a:ext>
                        </a:extLst>
                      </wps:spPr>
                      <wps:txbx>
                        <w:txbxContent>
                          <w:p w14:paraId="1376A831" w14:textId="77777777" w:rsidR="006A5267" w:rsidRDefault="006A5267" w:rsidP="002646FF">
                            <w:pPr>
                              <w:spacing w:line="180" w:lineRule="exact"/>
                              <w:ind w:left="161" w:hangingChars="100" w:hanging="161"/>
                              <w:rPr>
                                <w:rFonts w:ascii="ＭＳ ゴシック" w:eastAsia="ＭＳ ゴシック" w:hAnsi="ＭＳ ゴシック"/>
                                <w:sz w:val="16"/>
                                <w:szCs w:val="16"/>
                              </w:rPr>
                            </w:pPr>
                            <w:r>
                              <w:rPr>
                                <w:rFonts w:ascii="ＭＳ ゴシック" w:eastAsia="ＭＳ ゴシック" w:hAnsi="ＭＳ ゴシック" w:hint="eastAsia"/>
                                <w:sz w:val="16"/>
                                <w:szCs w:val="16"/>
                              </w:rPr>
                              <w:t>・避難所の設置</w:t>
                            </w:r>
                          </w:p>
                          <w:p w14:paraId="4A1F2110" w14:textId="77777777" w:rsidR="006A5267" w:rsidRDefault="006A5267" w:rsidP="002646FF">
                            <w:pPr>
                              <w:spacing w:line="180" w:lineRule="exact"/>
                              <w:ind w:left="142" w:hangingChars="88" w:hanging="142"/>
                              <w:rPr>
                                <w:rFonts w:ascii="ＭＳ ゴシック" w:eastAsia="ＭＳ ゴシック" w:hAnsi="ＭＳ ゴシック"/>
                                <w:sz w:val="16"/>
                                <w:szCs w:val="16"/>
                              </w:rPr>
                            </w:pPr>
                            <w:r>
                              <w:rPr>
                                <w:rFonts w:ascii="ＭＳ ゴシック" w:eastAsia="ＭＳ ゴシック" w:hAnsi="ＭＳ ゴシック" w:hint="eastAsia"/>
                                <w:sz w:val="16"/>
                                <w:szCs w:val="16"/>
                              </w:rPr>
                              <w:t>・</w:t>
                            </w:r>
                            <w:r>
                              <w:rPr>
                                <w:rFonts w:ascii="ＭＳ ゴシック" w:eastAsia="ＭＳ ゴシック" w:hAnsi="ＭＳ ゴシック"/>
                                <w:sz w:val="16"/>
                                <w:szCs w:val="16"/>
                              </w:rPr>
                              <w:t>応急仮設</w:t>
                            </w:r>
                            <w:r>
                              <w:rPr>
                                <w:rFonts w:ascii="ＭＳ ゴシック" w:eastAsia="ＭＳ ゴシック" w:hAnsi="ＭＳ ゴシック" w:hint="eastAsia"/>
                                <w:sz w:val="16"/>
                                <w:szCs w:val="16"/>
                              </w:rPr>
                              <w:t>住宅</w:t>
                            </w:r>
                            <w:r>
                              <w:rPr>
                                <w:rFonts w:ascii="ＭＳ ゴシック" w:eastAsia="ＭＳ ゴシック" w:hAnsi="ＭＳ ゴシック"/>
                                <w:sz w:val="16"/>
                                <w:szCs w:val="16"/>
                              </w:rPr>
                              <w:t>の供与</w:t>
                            </w:r>
                          </w:p>
                          <w:p w14:paraId="274444AC" w14:textId="77777777" w:rsidR="006A5267" w:rsidRDefault="006A5267" w:rsidP="002646FF">
                            <w:pPr>
                              <w:spacing w:line="180" w:lineRule="exact"/>
                              <w:ind w:left="161" w:hangingChars="100" w:hanging="161"/>
                              <w:rPr>
                                <w:rFonts w:ascii="ＭＳ ゴシック" w:eastAsia="ＭＳ ゴシック" w:hAnsi="ＭＳ ゴシック"/>
                                <w:sz w:val="16"/>
                                <w:szCs w:val="16"/>
                              </w:rPr>
                            </w:pPr>
                            <w:r>
                              <w:rPr>
                                <w:rFonts w:ascii="ＭＳ ゴシック" w:eastAsia="ＭＳ ゴシック" w:hAnsi="ＭＳ ゴシック" w:hint="eastAsia"/>
                                <w:sz w:val="16"/>
                                <w:szCs w:val="16"/>
                              </w:rPr>
                              <w:t>・炊き出し</w:t>
                            </w:r>
                            <w:r>
                              <w:rPr>
                                <w:rFonts w:ascii="ＭＳ ゴシック" w:eastAsia="ＭＳ ゴシック" w:hAnsi="ＭＳ ゴシック"/>
                                <w:sz w:val="16"/>
                                <w:szCs w:val="16"/>
                              </w:rPr>
                              <w:t>その他による</w:t>
                            </w:r>
                            <w:r>
                              <w:rPr>
                                <w:rFonts w:ascii="ＭＳ ゴシック" w:eastAsia="ＭＳ ゴシック" w:hAnsi="ＭＳ ゴシック" w:hint="eastAsia"/>
                                <w:sz w:val="16"/>
                                <w:szCs w:val="16"/>
                              </w:rPr>
                              <w:t>食品の給与</w:t>
                            </w:r>
                          </w:p>
                          <w:p w14:paraId="010B3682" w14:textId="77777777" w:rsidR="006A5267" w:rsidRDefault="006A5267" w:rsidP="002646FF">
                            <w:pPr>
                              <w:spacing w:line="180" w:lineRule="exact"/>
                              <w:ind w:left="161" w:hangingChars="100" w:hanging="161"/>
                              <w:rPr>
                                <w:rFonts w:ascii="ＭＳ ゴシック" w:eastAsia="ＭＳ ゴシック" w:hAnsi="ＭＳ ゴシック"/>
                                <w:sz w:val="16"/>
                                <w:szCs w:val="16"/>
                              </w:rPr>
                            </w:pPr>
                            <w:r>
                              <w:rPr>
                                <w:rFonts w:ascii="ＭＳ ゴシック" w:eastAsia="ＭＳ ゴシック" w:hAnsi="ＭＳ ゴシック" w:hint="eastAsia"/>
                                <w:sz w:val="16"/>
                                <w:szCs w:val="16"/>
                              </w:rPr>
                              <w:t>・飲料水の供給</w:t>
                            </w:r>
                          </w:p>
                          <w:p w14:paraId="2636B94C" w14:textId="77777777" w:rsidR="006A5267" w:rsidRDefault="006A5267" w:rsidP="002646FF">
                            <w:pPr>
                              <w:spacing w:line="180" w:lineRule="exact"/>
                              <w:ind w:left="161" w:hangingChars="100" w:hanging="161"/>
                              <w:rPr>
                                <w:rFonts w:ascii="ＭＳ ゴシック" w:eastAsia="ＭＳ ゴシック" w:hAnsi="ＭＳ ゴシック"/>
                                <w:sz w:val="16"/>
                                <w:szCs w:val="16"/>
                              </w:rPr>
                            </w:pPr>
                            <w:r>
                              <w:rPr>
                                <w:rFonts w:ascii="ＭＳ ゴシック" w:eastAsia="ＭＳ ゴシック" w:hAnsi="ＭＳ ゴシック" w:hint="eastAsia"/>
                                <w:sz w:val="16"/>
                                <w:szCs w:val="16"/>
                              </w:rPr>
                              <w:t>・</w:t>
                            </w:r>
                            <w:r>
                              <w:rPr>
                                <w:rFonts w:ascii="ＭＳ ゴシック" w:eastAsia="ＭＳ ゴシック" w:hAnsi="ＭＳ ゴシック"/>
                                <w:sz w:val="16"/>
                                <w:szCs w:val="16"/>
                              </w:rPr>
                              <w:t>被服</w:t>
                            </w:r>
                            <w:r>
                              <w:rPr>
                                <w:rFonts w:ascii="ＭＳ ゴシック" w:eastAsia="ＭＳ ゴシック" w:hAnsi="ＭＳ ゴシック" w:hint="eastAsia"/>
                                <w:sz w:val="16"/>
                                <w:szCs w:val="16"/>
                              </w:rPr>
                              <w:t>、</w:t>
                            </w:r>
                            <w:r>
                              <w:rPr>
                                <w:rFonts w:ascii="ＭＳ ゴシック" w:eastAsia="ＭＳ ゴシック" w:hAnsi="ＭＳ ゴシック"/>
                                <w:sz w:val="16"/>
                                <w:szCs w:val="16"/>
                              </w:rPr>
                              <w:t>寝具その他</w:t>
                            </w:r>
                          </w:p>
                          <w:p w14:paraId="1C6F6890" w14:textId="77777777" w:rsidR="006A5267" w:rsidRDefault="006A5267" w:rsidP="002646FF">
                            <w:pPr>
                              <w:spacing w:line="180" w:lineRule="exact"/>
                              <w:ind w:leftChars="67" w:left="141"/>
                              <w:rPr>
                                <w:rFonts w:ascii="ＭＳ ゴシック" w:eastAsia="ＭＳ ゴシック" w:hAnsi="ＭＳ ゴシック"/>
                                <w:sz w:val="16"/>
                                <w:szCs w:val="16"/>
                              </w:rPr>
                            </w:pPr>
                            <w:r>
                              <w:rPr>
                                <w:rFonts w:ascii="ＭＳ ゴシック" w:eastAsia="ＭＳ ゴシック" w:hAnsi="ＭＳ ゴシック" w:hint="eastAsia"/>
                                <w:sz w:val="16"/>
                                <w:szCs w:val="16"/>
                              </w:rPr>
                              <w:t>生活必需品の給与</w:t>
                            </w:r>
                          </w:p>
                          <w:p w14:paraId="790B1405" w14:textId="77777777" w:rsidR="006A5267" w:rsidRDefault="006A5267" w:rsidP="002646FF">
                            <w:pPr>
                              <w:spacing w:line="180" w:lineRule="exact"/>
                              <w:ind w:left="161" w:hangingChars="100" w:hanging="161"/>
                              <w:rPr>
                                <w:rFonts w:ascii="ＭＳ ゴシック" w:eastAsia="ＭＳ ゴシック" w:hAnsi="ＭＳ ゴシック"/>
                                <w:sz w:val="16"/>
                                <w:szCs w:val="16"/>
                              </w:rPr>
                            </w:pPr>
                            <w:r>
                              <w:rPr>
                                <w:rFonts w:ascii="ＭＳ ゴシック" w:eastAsia="ＭＳ ゴシック" w:hAnsi="ＭＳ ゴシック" w:hint="eastAsia"/>
                                <w:sz w:val="16"/>
                                <w:szCs w:val="16"/>
                              </w:rPr>
                              <w:t>・医療・助産</w:t>
                            </w:r>
                          </w:p>
                          <w:p w14:paraId="390BF2C0" w14:textId="77777777" w:rsidR="006A5267" w:rsidRDefault="006A5267" w:rsidP="002646FF">
                            <w:pPr>
                              <w:spacing w:line="180" w:lineRule="exact"/>
                              <w:ind w:left="142" w:hangingChars="88" w:hanging="142"/>
                              <w:rPr>
                                <w:rFonts w:ascii="ＭＳ ゴシック" w:eastAsia="ＭＳ ゴシック" w:hAnsi="ＭＳ ゴシック"/>
                                <w:sz w:val="16"/>
                                <w:szCs w:val="16"/>
                              </w:rPr>
                            </w:pPr>
                            <w:r>
                              <w:rPr>
                                <w:rFonts w:ascii="ＭＳ ゴシック" w:eastAsia="ＭＳ ゴシック" w:hAnsi="ＭＳ ゴシック" w:hint="eastAsia"/>
                                <w:sz w:val="16"/>
                                <w:szCs w:val="16"/>
                              </w:rPr>
                              <w:t>・被災者の救出（死体の</w:t>
                            </w:r>
                            <w:r>
                              <w:rPr>
                                <w:rFonts w:ascii="ＭＳ ゴシック" w:eastAsia="ＭＳ ゴシック" w:hAnsi="ＭＳ ゴシック"/>
                                <w:sz w:val="16"/>
                                <w:szCs w:val="16"/>
                              </w:rPr>
                              <w:t>捜索</w:t>
                            </w:r>
                            <w:r>
                              <w:rPr>
                                <w:rFonts w:ascii="ＭＳ ゴシック" w:eastAsia="ＭＳ ゴシック" w:hAnsi="ＭＳ ゴシック" w:hint="eastAsia"/>
                                <w:sz w:val="16"/>
                                <w:szCs w:val="16"/>
                              </w:rPr>
                              <w:t>）</w:t>
                            </w:r>
                          </w:p>
                          <w:p w14:paraId="1A6C736A" w14:textId="77777777" w:rsidR="006A5267" w:rsidRDefault="006A5267" w:rsidP="002646FF">
                            <w:pPr>
                              <w:spacing w:line="180" w:lineRule="exact"/>
                              <w:ind w:left="161" w:hangingChars="100" w:hanging="161"/>
                              <w:rPr>
                                <w:rFonts w:ascii="ＭＳ ゴシック" w:eastAsia="ＭＳ ゴシック" w:hAnsi="ＭＳ ゴシック"/>
                                <w:sz w:val="16"/>
                                <w:szCs w:val="16"/>
                              </w:rPr>
                            </w:pPr>
                            <w:r>
                              <w:rPr>
                                <w:rFonts w:ascii="ＭＳ ゴシック" w:eastAsia="ＭＳ ゴシック" w:hAnsi="ＭＳ ゴシック" w:hint="eastAsia"/>
                                <w:sz w:val="16"/>
                                <w:szCs w:val="16"/>
                              </w:rPr>
                              <w:t>・住宅の応急修理</w:t>
                            </w:r>
                          </w:p>
                          <w:p w14:paraId="4D945DCF" w14:textId="77777777" w:rsidR="006A5267" w:rsidRDefault="006A5267" w:rsidP="002646FF">
                            <w:pPr>
                              <w:spacing w:line="180" w:lineRule="exact"/>
                              <w:ind w:left="161" w:hangingChars="100" w:hanging="161"/>
                              <w:rPr>
                                <w:rFonts w:ascii="ＭＳ ゴシック" w:eastAsia="ＭＳ ゴシック" w:hAnsi="ＭＳ ゴシック"/>
                                <w:sz w:val="16"/>
                                <w:szCs w:val="16"/>
                              </w:rPr>
                            </w:pPr>
                            <w:r>
                              <w:rPr>
                                <w:rFonts w:ascii="ＭＳ ゴシック" w:eastAsia="ＭＳ ゴシック" w:hAnsi="ＭＳ ゴシック" w:hint="eastAsia"/>
                                <w:sz w:val="16"/>
                                <w:szCs w:val="16"/>
                              </w:rPr>
                              <w:t>・学用品の給与</w:t>
                            </w:r>
                          </w:p>
                          <w:p w14:paraId="4FDF9FCC" w14:textId="77777777" w:rsidR="006A5267" w:rsidRDefault="006A5267" w:rsidP="002646FF">
                            <w:pPr>
                              <w:spacing w:line="180" w:lineRule="exact"/>
                              <w:ind w:left="161" w:hangingChars="100" w:hanging="161"/>
                              <w:rPr>
                                <w:rFonts w:ascii="ＭＳ ゴシック" w:eastAsia="ＭＳ ゴシック" w:hAnsi="ＭＳ ゴシック"/>
                                <w:sz w:val="16"/>
                                <w:szCs w:val="16"/>
                              </w:rPr>
                            </w:pPr>
                            <w:r>
                              <w:rPr>
                                <w:rFonts w:ascii="ＭＳ ゴシック" w:eastAsia="ＭＳ ゴシック" w:hAnsi="ＭＳ ゴシック" w:hint="eastAsia"/>
                                <w:sz w:val="16"/>
                                <w:szCs w:val="16"/>
                              </w:rPr>
                              <w:t>・埋葬</w:t>
                            </w:r>
                          </w:p>
                          <w:p w14:paraId="51022788" w14:textId="77777777" w:rsidR="006A5267" w:rsidRDefault="006A5267" w:rsidP="002646FF">
                            <w:pPr>
                              <w:spacing w:line="180" w:lineRule="exact"/>
                              <w:ind w:left="161" w:hangingChars="100" w:hanging="161"/>
                              <w:rPr>
                                <w:rFonts w:ascii="ＭＳ ゴシック" w:eastAsia="ＭＳ ゴシック" w:hAnsi="ＭＳ ゴシック"/>
                                <w:sz w:val="16"/>
                                <w:szCs w:val="16"/>
                              </w:rPr>
                            </w:pPr>
                            <w:r>
                              <w:rPr>
                                <w:rFonts w:ascii="ＭＳ ゴシック" w:eastAsia="ＭＳ ゴシック" w:hAnsi="ＭＳ ゴシック" w:hint="eastAsia"/>
                                <w:sz w:val="16"/>
                                <w:szCs w:val="16"/>
                              </w:rPr>
                              <w:t>・死体の処理</w:t>
                            </w:r>
                          </w:p>
                          <w:p w14:paraId="5AB35EC0" w14:textId="77777777" w:rsidR="006A5267" w:rsidRPr="006F6125" w:rsidRDefault="006A5267" w:rsidP="002646FF">
                            <w:pPr>
                              <w:spacing w:line="180" w:lineRule="exact"/>
                              <w:ind w:left="161" w:hangingChars="100" w:hanging="161"/>
                              <w:rPr>
                                <w:rFonts w:ascii="ＭＳ ゴシック" w:eastAsia="ＭＳ ゴシック" w:hAnsi="ＭＳ ゴシック"/>
                                <w:sz w:val="16"/>
                                <w:szCs w:val="16"/>
                              </w:rPr>
                            </w:pPr>
                            <w:r>
                              <w:rPr>
                                <w:rFonts w:ascii="ＭＳ ゴシック" w:eastAsia="ＭＳ ゴシック" w:hAnsi="ＭＳ ゴシック" w:hint="eastAsia"/>
                                <w:sz w:val="16"/>
                                <w:szCs w:val="16"/>
                              </w:rPr>
                              <w:t>・障害物</w:t>
                            </w:r>
                            <w:r>
                              <w:rPr>
                                <w:rFonts w:ascii="ＭＳ ゴシック" w:eastAsia="ＭＳ ゴシック" w:hAnsi="ＭＳ ゴシック"/>
                                <w:sz w:val="16"/>
                                <w:szCs w:val="16"/>
                              </w:rPr>
                              <w:t>の除去</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rect w14:anchorId="478F8D5F" id="Rectangle 2570" o:spid="_x0000_s1466" style="position:absolute;left:0;text-align:left;margin-left:312.4pt;margin-top:3.55pt;width:91.35pt;height:140.45pt;z-index:2533734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" filled="f">
                <v:stroke dashstyle="dash"/>
                <v:textbox inset="5.85pt,.7pt,5.85pt,.7pt">
                  <w:txbxContent>
                    <w:p w14:paraId="1376A831" w14:textId="77777777" w:rsidR="006A5267" w:rsidRDefault="006A5267" w:rsidP="002646FF">
                      <w:pPr>
                        <w:spacing w:line="180" w:lineRule="exact"/>
                        <w:ind w:left="161" w:hangingChars="100" w:hanging="161"/>
                        <w:rPr>
                          <w:rFonts w:ascii="ＭＳ ゴシック" w:eastAsia="ＭＳ ゴシック" w:hAnsi="ＭＳ ゴシック"/>
                          <w:sz w:val="16"/>
                          <w:szCs w:val="16"/>
                        </w:rPr>
                      </w:pPr>
                      <w:r>
                        <w:rPr>
                          <w:rFonts w:ascii="ＭＳ ゴシック" w:eastAsia="ＭＳ ゴシック" w:hAnsi="ＭＳ ゴシック" w:hint="eastAsia"/>
                          <w:sz w:val="16"/>
                          <w:szCs w:val="16"/>
                        </w:rPr>
                        <w:t>・避難所の設置</w:t>
                      </w:r>
                    </w:p>
                    <w:p w14:paraId="4A1F2110" w14:textId="77777777" w:rsidR="006A5267" w:rsidRDefault="006A5267" w:rsidP="002646FF">
                      <w:pPr>
                        <w:spacing w:line="180" w:lineRule="exact"/>
                        <w:ind w:left="142" w:hangingChars="88" w:hanging="142"/>
                        <w:rPr>
                          <w:rFonts w:ascii="ＭＳ ゴシック" w:eastAsia="ＭＳ ゴシック" w:hAnsi="ＭＳ ゴシック"/>
                          <w:sz w:val="16"/>
                          <w:szCs w:val="16"/>
                        </w:rPr>
                      </w:pPr>
                      <w:r>
                        <w:rPr>
                          <w:rFonts w:ascii="ＭＳ ゴシック" w:eastAsia="ＭＳ ゴシック" w:hAnsi="ＭＳ ゴシック" w:hint="eastAsia"/>
                          <w:sz w:val="16"/>
                          <w:szCs w:val="16"/>
                        </w:rPr>
                        <w:t>・</w:t>
                      </w:r>
                      <w:r>
                        <w:rPr>
                          <w:rFonts w:ascii="ＭＳ ゴシック" w:eastAsia="ＭＳ ゴシック" w:hAnsi="ＭＳ ゴシック"/>
                          <w:sz w:val="16"/>
                          <w:szCs w:val="16"/>
                        </w:rPr>
                        <w:t>応急仮設</w:t>
                      </w:r>
                      <w:r>
                        <w:rPr>
                          <w:rFonts w:ascii="ＭＳ ゴシック" w:eastAsia="ＭＳ ゴシック" w:hAnsi="ＭＳ ゴシック" w:hint="eastAsia"/>
                          <w:sz w:val="16"/>
                          <w:szCs w:val="16"/>
                        </w:rPr>
                        <w:t>住宅</w:t>
                      </w:r>
                      <w:r>
                        <w:rPr>
                          <w:rFonts w:ascii="ＭＳ ゴシック" w:eastAsia="ＭＳ ゴシック" w:hAnsi="ＭＳ ゴシック"/>
                          <w:sz w:val="16"/>
                          <w:szCs w:val="16"/>
                        </w:rPr>
                        <w:t>の供与</w:t>
                      </w:r>
                    </w:p>
                    <w:p w14:paraId="274444AC" w14:textId="77777777" w:rsidR="006A5267" w:rsidRDefault="006A5267" w:rsidP="002646FF">
                      <w:pPr>
                        <w:spacing w:line="180" w:lineRule="exact"/>
                        <w:ind w:left="161" w:hangingChars="100" w:hanging="161"/>
                        <w:rPr>
                          <w:rFonts w:ascii="ＭＳ ゴシック" w:eastAsia="ＭＳ ゴシック" w:hAnsi="ＭＳ ゴシック"/>
                          <w:sz w:val="16"/>
                          <w:szCs w:val="16"/>
                        </w:rPr>
                      </w:pPr>
                      <w:r>
                        <w:rPr>
                          <w:rFonts w:ascii="ＭＳ ゴシック" w:eastAsia="ＭＳ ゴシック" w:hAnsi="ＭＳ ゴシック" w:hint="eastAsia"/>
                          <w:sz w:val="16"/>
                          <w:szCs w:val="16"/>
                        </w:rPr>
                        <w:t>・炊き出し</w:t>
                      </w:r>
                      <w:r>
                        <w:rPr>
                          <w:rFonts w:ascii="ＭＳ ゴシック" w:eastAsia="ＭＳ ゴシック" w:hAnsi="ＭＳ ゴシック"/>
                          <w:sz w:val="16"/>
                          <w:szCs w:val="16"/>
                        </w:rPr>
                        <w:t>その他による</w:t>
                      </w:r>
                      <w:r>
                        <w:rPr>
                          <w:rFonts w:ascii="ＭＳ ゴシック" w:eastAsia="ＭＳ ゴシック" w:hAnsi="ＭＳ ゴシック" w:hint="eastAsia"/>
                          <w:sz w:val="16"/>
                          <w:szCs w:val="16"/>
                        </w:rPr>
                        <w:t>食品の給与</w:t>
                      </w:r>
                    </w:p>
                    <w:p w14:paraId="010B3682" w14:textId="77777777" w:rsidR="006A5267" w:rsidRDefault="006A5267" w:rsidP="002646FF">
                      <w:pPr>
                        <w:spacing w:line="180" w:lineRule="exact"/>
                        <w:ind w:left="161" w:hangingChars="100" w:hanging="161"/>
                        <w:rPr>
                          <w:rFonts w:ascii="ＭＳ ゴシック" w:eastAsia="ＭＳ ゴシック" w:hAnsi="ＭＳ ゴシック"/>
                          <w:sz w:val="16"/>
                          <w:szCs w:val="16"/>
                        </w:rPr>
                      </w:pPr>
                      <w:r>
                        <w:rPr>
                          <w:rFonts w:ascii="ＭＳ ゴシック" w:eastAsia="ＭＳ ゴシック" w:hAnsi="ＭＳ ゴシック" w:hint="eastAsia"/>
                          <w:sz w:val="16"/>
                          <w:szCs w:val="16"/>
                        </w:rPr>
                        <w:t>・飲料水の供給</w:t>
                      </w:r>
                    </w:p>
                    <w:p w14:paraId="2636B94C" w14:textId="77777777" w:rsidR="006A5267" w:rsidRDefault="006A5267" w:rsidP="002646FF">
                      <w:pPr>
                        <w:spacing w:line="180" w:lineRule="exact"/>
                        <w:ind w:left="161" w:hangingChars="100" w:hanging="161"/>
                        <w:rPr>
                          <w:rFonts w:ascii="ＭＳ ゴシック" w:eastAsia="ＭＳ ゴシック" w:hAnsi="ＭＳ ゴシック"/>
                          <w:sz w:val="16"/>
                          <w:szCs w:val="16"/>
                        </w:rPr>
                      </w:pPr>
                      <w:r>
                        <w:rPr>
                          <w:rFonts w:ascii="ＭＳ ゴシック" w:eastAsia="ＭＳ ゴシック" w:hAnsi="ＭＳ ゴシック" w:hint="eastAsia"/>
                          <w:sz w:val="16"/>
                          <w:szCs w:val="16"/>
                        </w:rPr>
                        <w:t>・</w:t>
                      </w:r>
                      <w:r>
                        <w:rPr>
                          <w:rFonts w:ascii="ＭＳ ゴシック" w:eastAsia="ＭＳ ゴシック" w:hAnsi="ＭＳ ゴシック"/>
                          <w:sz w:val="16"/>
                          <w:szCs w:val="16"/>
                        </w:rPr>
                        <w:t>被服</w:t>
                      </w:r>
                      <w:r>
                        <w:rPr>
                          <w:rFonts w:ascii="ＭＳ ゴシック" w:eastAsia="ＭＳ ゴシック" w:hAnsi="ＭＳ ゴシック" w:hint="eastAsia"/>
                          <w:sz w:val="16"/>
                          <w:szCs w:val="16"/>
                        </w:rPr>
                        <w:t>、</w:t>
                      </w:r>
                      <w:r>
                        <w:rPr>
                          <w:rFonts w:ascii="ＭＳ ゴシック" w:eastAsia="ＭＳ ゴシック" w:hAnsi="ＭＳ ゴシック"/>
                          <w:sz w:val="16"/>
                          <w:szCs w:val="16"/>
                        </w:rPr>
                        <w:t>寝具その他</w:t>
                      </w:r>
                    </w:p>
                    <w:p w14:paraId="1C6F6890" w14:textId="77777777" w:rsidR="006A5267" w:rsidRDefault="006A5267" w:rsidP="002646FF">
                      <w:pPr>
                        <w:spacing w:line="180" w:lineRule="exact"/>
                        <w:ind w:leftChars="67" w:left="141"/>
                        <w:rPr>
                          <w:rFonts w:ascii="ＭＳ ゴシック" w:eastAsia="ＭＳ ゴシック" w:hAnsi="ＭＳ ゴシック"/>
                          <w:sz w:val="16"/>
                          <w:szCs w:val="16"/>
                        </w:rPr>
                      </w:pPr>
                      <w:r>
                        <w:rPr>
                          <w:rFonts w:ascii="ＭＳ ゴシック" w:eastAsia="ＭＳ ゴシック" w:hAnsi="ＭＳ ゴシック" w:hint="eastAsia"/>
                          <w:sz w:val="16"/>
                          <w:szCs w:val="16"/>
                        </w:rPr>
                        <w:t>生活必需品の給与</w:t>
                      </w:r>
                    </w:p>
                    <w:p w14:paraId="790B1405" w14:textId="77777777" w:rsidR="006A5267" w:rsidRDefault="006A5267" w:rsidP="002646FF">
                      <w:pPr>
                        <w:spacing w:line="180" w:lineRule="exact"/>
                        <w:ind w:left="161" w:hangingChars="100" w:hanging="161"/>
                        <w:rPr>
                          <w:rFonts w:ascii="ＭＳ ゴシック" w:eastAsia="ＭＳ ゴシック" w:hAnsi="ＭＳ ゴシック"/>
                          <w:sz w:val="16"/>
                          <w:szCs w:val="16"/>
                        </w:rPr>
                      </w:pPr>
                      <w:r>
                        <w:rPr>
                          <w:rFonts w:ascii="ＭＳ ゴシック" w:eastAsia="ＭＳ ゴシック" w:hAnsi="ＭＳ ゴシック" w:hint="eastAsia"/>
                          <w:sz w:val="16"/>
                          <w:szCs w:val="16"/>
                        </w:rPr>
                        <w:t>・医療・助産</w:t>
                      </w:r>
                    </w:p>
                    <w:p w14:paraId="390BF2C0" w14:textId="77777777" w:rsidR="006A5267" w:rsidRDefault="006A5267" w:rsidP="002646FF">
                      <w:pPr>
                        <w:spacing w:line="180" w:lineRule="exact"/>
                        <w:ind w:left="142" w:hangingChars="88" w:hanging="142"/>
                        <w:rPr>
                          <w:rFonts w:ascii="ＭＳ ゴシック" w:eastAsia="ＭＳ ゴシック" w:hAnsi="ＭＳ ゴシック"/>
                          <w:sz w:val="16"/>
                          <w:szCs w:val="16"/>
                        </w:rPr>
                      </w:pPr>
                      <w:r>
                        <w:rPr>
                          <w:rFonts w:ascii="ＭＳ ゴシック" w:eastAsia="ＭＳ ゴシック" w:hAnsi="ＭＳ ゴシック" w:hint="eastAsia"/>
                          <w:sz w:val="16"/>
                          <w:szCs w:val="16"/>
                        </w:rPr>
                        <w:t>・被災者の救出（死体の</w:t>
                      </w:r>
                      <w:r>
                        <w:rPr>
                          <w:rFonts w:ascii="ＭＳ ゴシック" w:eastAsia="ＭＳ ゴシック" w:hAnsi="ＭＳ ゴシック"/>
                          <w:sz w:val="16"/>
                          <w:szCs w:val="16"/>
                        </w:rPr>
                        <w:t>捜索</w:t>
                      </w:r>
                      <w:r>
                        <w:rPr>
                          <w:rFonts w:ascii="ＭＳ ゴシック" w:eastAsia="ＭＳ ゴシック" w:hAnsi="ＭＳ ゴシック" w:hint="eastAsia"/>
                          <w:sz w:val="16"/>
                          <w:szCs w:val="16"/>
                        </w:rPr>
                        <w:t>）</w:t>
                      </w:r>
                    </w:p>
                    <w:p w14:paraId="1A6C736A" w14:textId="77777777" w:rsidR="006A5267" w:rsidRDefault="006A5267" w:rsidP="002646FF">
                      <w:pPr>
                        <w:spacing w:line="180" w:lineRule="exact"/>
                        <w:ind w:left="161" w:hangingChars="100" w:hanging="161"/>
                        <w:rPr>
                          <w:rFonts w:ascii="ＭＳ ゴシック" w:eastAsia="ＭＳ ゴシック" w:hAnsi="ＭＳ ゴシック"/>
                          <w:sz w:val="16"/>
                          <w:szCs w:val="16"/>
                        </w:rPr>
                      </w:pPr>
                      <w:r>
                        <w:rPr>
                          <w:rFonts w:ascii="ＭＳ ゴシック" w:eastAsia="ＭＳ ゴシック" w:hAnsi="ＭＳ ゴシック" w:hint="eastAsia"/>
                          <w:sz w:val="16"/>
                          <w:szCs w:val="16"/>
                        </w:rPr>
                        <w:t>・住宅の応急修理</w:t>
                      </w:r>
                    </w:p>
                    <w:p w14:paraId="4D945DCF" w14:textId="77777777" w:rsidR="006A5267" w:rsidRDefault="006A5267" w:rsidP="002646FF">
                      <w:pPr>
                        <w:spacing w:line="180" w:lineRule="exact"/>
                        <w:ind w:left="161" w:hangingChars="100" w:hanging="161"/>
                        <w:rPr>
                          <w:rFonts w:ascii="ＭＳ ゴシック" w:eastAsia="ＭＳ ゴシック" w:hAnsi="ＭＳ ゴシック"/>
                          <w:sz w:val="16"/>
                          <w:szCs w:val="16"/>
                        </w:rPr>
                      </w:pPr>
                      <w:r>
                        <w:rPr>
                          <w:rFonts w:ascii="ＭＳ ゴシック" w:eastAsia="ＭＳ ゴシック" w:hAnsi="ＭＳ ゴシック" w:hint="eastAsia"/>
                          <w:sz w:val="16"/>
                          <w:szCs w:val="16"/>
                        </w:rPr>
                        <w:t>・学用品の給与</w:t>
                      </w:r>
                    </w:p>
                    <w:p w14:paraId="4FDF9FCC" w14:textId="77777777" w:rsidR="006A5267" w:rsidRDefault="006A5267" w:rsidP="002646FF">
                      <w:pPr>
                        <w:spacing w:line="180" w:lineRule="exact"/>
                        <w:ind w:left="161" w:hangingChars="100" w:hanging="161"/>
                        <w:rPr>
                          <w:rFonts w:ascii="ＭＳ ゴシック" w:eastAsia="ＭＳ ゴシック" w:hAnsi="ＭＳ ゴシック"/>
                          <w:sz w:val="16"/>
                          <w:szCs w:val="16"/>
                        </w:rPr>
                      </w:pPr>
                      <w:r>
                        <w:rPr>
                          <w:rFonts w:ascii="ＭＳ ゴシック" w:eastAsia="ＭＳ ゴシック" w:hAnsi="ＭＳ ゴシック" w:hint="eastAsia"/>
                          <w:sz w:val="16"/>
                          <w:szCs w:val="16"/>
                        </w:rPr>
                        <w:t>・埋葬</w:t>
                      </w:r>
                    </w:p>
                    <w:p w14:paraId="51022788" w14:textId="77777777" w:rsidR="006A5267" w:rsidRDefault="006A5267" w:rsidP="002646FF">
                      <w:pPr>
                        <w:spacing w:line="180" w:lineRule="exact"/>
                        <w:ind w:left="161" w:hangingChars="100" w:hanging="161"/>
                        <w:rPr>
                          <w:rFonts w:ascii="ＭＳ ゴシック" w:eastAsia="ＭＳ ゴシック" w:hAnsi="ＭＳ ゴシック"/>
                          <w:sz w:val="16"/>
                          <w:szCs w:val="16"/>
                        </w:rPr>
                      </w:pPr>
                      <w:r>
                        <w:rPr>
                          <w:rFonts w:ascii="ＭＳ ゴシック" w:eastAsia="ＭＳ ゴシック" w:hAnsi="ＭＳ ゴシック" w:hint="eastAsia"/>
                          <w:sz w:val="16"/>
                          <w:szCs w:val="16"/>
                        </w:rPr>
                        <w:t>・死体の処理</w:t>
                      </w:r>
                    </w:p>
                    <w:p w14:paraId="5AB35EC0" w14:textId="77777777" w:rsidR="006A5267" w:rsidRPr="006F6125" w:rsidRDefault="006A5267" w:rsidP="002646FF">
                      <w:pPr>
                        <w:spacing w:line="180" w:lineRule="exact"/>
                        <w:ind w:left="161" w:hangingChars="100" w:hanging="161"/>
                        <w:rPr>
                          <w:rFonts w:ascii="ＭＳ ゴシック" w:eastAsia="ＭＳ ゴシック" w:hAnsi="ＭＳ ゴシック"/>
                          <w:sz w:val="16"/>
                          <w:szCs w:val="16"/>
                        </w:rPr>
                      </w:pPr>
                      <w:r>
                        <w:rPr>
                          <w:rFonts w:ascii="ＭＳ ゴシック" w:eastAsia="ＭＳ ゴシック" w:hAnsi="ＭＳ ゴシック" w:hint="eastAsia"/>
                          <w:sz w:val="16"/>
                          <w:szCs w:val="16"/>
                        </w:rPr>
                        <w:t>・障害物</w:t>
                      </w:r>
                      <w:r>
                        <w:rPr>
                          <w:rFonts w:ascii="ＭＳ ゴシック" w:eastAsia="ＭＳ ゴシック" w:hAnsi="ＭＳ ゴシック"/>
                          <w:sz w:val="16"/>
                          <w:szCs w:val="16"/>
                        </w:rPr>
                        <w:t>の除去</w:t>
                      </w:r>
                    </w:p>
                  </w:txbxContent>
                </v:textbox>
              </v:rect>
            </w:pict>
          </mc:Fallback>
        </mc:AlternateContent>
      </w:r>
      <w:r w:rsidRPr="001D6D10">
        <w:rPr>
          <w:noProof/>
          <w:sz w:val="22"/>
          <w:szCs w:val="22"/>
        </w:rPr>
        <mc:AlternateContent>
          <mc:Choice Requires="wps">
            <w:drawing>
              <wp:anchor distT="0" distB="0" distL="114300" distR="114300" simplePos="0" relativeHeight="254092288" behindDoc="0" locked="0" layoutInCell="1" allowOverlap="1" wp14:anchorId="5900CA7A" wp14:editId="3871840E">
                <wp:simplePos x="0" y="0"/>
                <wp:positionH relativeFrom="margin">
                  <wp:posOffset>2111673</wp:posOffset>
                </wp:positionH>
                <wp:positionV relativeFrom="paragraph">
                  <wp:posOffset>143398</wp:posOffset>
                </wp:positionV>
                <wp:extent cx="1304365" cy="429895"/>
                <wp:effectExtent l="19050" t="0" r="29210" b="27305"/>
                <wp:wrapNone/>
                <wp:docPr id="4916" name="左右矢印吹き出し 4916"/>
                <wp:cNvGraphicFramePr/>
                <a:graphic xmlns:a="http://schemas.openxmlformats.org/drawingml/2006/main">
                  <a:graphicData uri="http://schemas.microsoft.com/office/word/2010/wordprocessingShape">
                    <wps:wsp>
                      <wps:cNvSpPr/>
                      <wps:spPr>
                        <a:xfrm>
                          <a:off x="0" y="0"/>
                          <a:ext cx="1304365" cy="429895"/>
                        </a:xfrm>
                        <a:prstGeom prst="leftRightArrowCallout">
                          <a:avLst>
                            <a:gd name="adj1" fmla="val 25000"/>
                            <a:gd name="adj2" fmla="val 25000"/>
                            <a:gd name="adj3" fmla="val 25000"/>
                            <a:gd name="adj4" fmla="val 66920"/>
                          </a:avLst>
                        </a:prstGeom>
                        <a:solidFill>
                          <a:sysClr val="window" lastClr="FFFFFF"/>
                        </a:solidFill>
                        <a:ln w="19050" cap="flat" cmpd="sng" algn="ctr">
                          <a:solidFill>
                            <a:sysClr val="windowText" lastClr="000000"/>
                          </a:solidFill>
                          <a:prstDash val="dash"/>
                        </a:ln>
                        <a:effectLst/>
                      </wps:spPr>
                      <wps:txbx>
                        <w:txbxContent>
                          <w:p w14:paraId="6FABFA45" w14:textId="77777777" w:rsidR="006A5267" w:rsidRDefault="006A5267" w:rsidP="00D471B1">
                            <w:pPr>
                              <w:spacing w:line="240" w:lineRule="exact"/>
                              <w:jc w:val="center"/>
                            </w:pPr>
                            <w:r>
                              <w:rPr>
                                <w:rFonts w:hint="eastAsia"/>
                              </w:rPr>
                              <w:t>委任</w:t>
                            </w:r>
                            <w:r>
                              <w:t>内容の事前の取り決め</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xmlns:w16cei="http://schemas.microsoft.com/office/word/2026/wordml/cei">
            <w:pict>
              <v:shapetype w14:anchorId="5900CA7A" id="_x0000_t81" coordsize="21600,21600" o:spt="81" adj="5400,5400,2700,8100" path="m@0,l@0@3@2@3@2@1,,10800@2@4@2@5@0@5@0,21600@8,21600@8@5@9@5@9@4,21600,10800@9@1@9@3@8@3@8,xe">
                <v:stroke joinstyle="miter"/>
                <v:formulas>
                  <v:f eqn="val #0"/>
                  <v:f eqn="val #1"/>
                  <v:f eqn="val #2"/>
                  <v:f eqn="val #3"/>
                  <v:f eqn="sum 21600 0 #1"/>
                  <v:f eqn="sum 21600 0 #3"/>
                  <v:f eqn="sum #0 21600 0"/>
                  <v:f eqn="prod @6 1 2"/>
                  <v:f eqn="sum 21600 0 #0"/>
                  <v:f eqn="sum 21600 0 #2"/>
                </v:formulas>
                <v:path o:connecttype="custom" o:connectlocs="10800,0;0,10800;10800,21600;21600,10800" o:connectangles="270,180,90,0" textboxrect="@0,0,@8,21600"/>
                <v:handles>
                  <v:h position="#0,topLeft" xrange="@2,10800"/>
                  <v:h position="topLeft,#1" yrange="0,@3"/>
                  <v:h position="#2,#3" xrange="0,@0" yrange="@1,10800"/>
                </v:handles>
              </v:shapetype>
              <v:shape id="左右矢印吹き出し 4916" o:spid="_x0000_s1467" type="#_x0000_t81" style="position:absolute;left:0;text-align:left;margin-left:166.25pt;margin-top:11.3pt;width:102.7pt;height:33.85pt;z-index:254092288;visibility:visible;mso-wrap-style:square;mso-width-percent:0;mso-wrap-distance-left:9pt;mso-wrap-distance-top:0;mso-wrap-distance-right:9pt;mso-wrap-distance-bottom:0;mso-position-horizontal:absolute;mso-position-horizontal-relative:margin;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" adj="3573,,1780" fillcolor="window" strokecolor="windowText" strokeweight="1.5pt">
                <v:stroke dashstyle="dash"/>
                <v:textbox inset="0,0,0,0">
                  <w:txbxContent>
                    <w:p w14:paraId="6FABFA45" w14:textId="77777777" w:rsidR="006A5267" w:rsidRDefault="006A5267" w:rsidP="00D471B1">
                      <w:pPr>
                        <w:spacing w:line="240" w:lineRule="exact"/>
                        <w:jc w:val="center"/>
                      </w:pPr>
                      <w:r>
                        <w:rPr>
                          <w:rFonts w:hint="eastAsia"/>
                        </w:rPr>
                        <w:t>委任</w:t>
                      </w:r>
                      <w:r>
                        <w:t>内容の事前の取り決め</w:t>
                      </w:r>
                    </w:p>
                  </w:txbxContent>
                </v:textbox>
                <w10:wrap anchorx="margin"/>
              </v:shape>
            </w:pict>
          </mc:Fallback>
        </mc:AlternateContent>
      </w:r>
      <w:r w:rsidR="00011C93" w:rsidRPr="001D6D10">
        <w:rPr>
          <w:rFonts w:hint="eastAsia"/>
          <w:noProof/>
          <w:sz w:val="22"/>
          <w:szCs w:val="22"/>
        </w:rPr>
        <mc:AlternateContent>
          <mc:Choice Requires="wps">
            <w:drawing>
              <wp:anchor distT="0" distB="0" distL="114300" distR="114300" simplePos="0" relativeHeight="253339648" behindDoc="0" locked="0" layoutInCell="1" allowOverlap="1" wp14:anchorId="41098C3F" wp14:editId="75E3EF04">
                <wp:simplePos x="0" y="0"/>
                <wp:positionH relativeFrom="page">
                  <wp:posOffset>3083859</wp:posOffset>
                </wp:positionH>
                <wp:positionV relativeFrom="paragraph">
                  <wp:posOffset>80645</wp:posOffset>
                </wp:positionV>
                <wp:extent cx="1317812" cy="0"/>
                <wp:effectExtent l="0" t="76200" r="15875" b="95250"/>
                <wp:wrapNone/>
                <wp:docPr id="3983" name="Line 253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317812" cy="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line w14:anchorId="40054C9D" id="Line 2534" o:spid="_x0000_s1026" style="position:absolute;left:0;text-align:left;z-index:25333964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 from="242.8pt,6.35pt" to="346.55pt,6.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">
                <v:stroke endarrow="block"/>
                <w10:wrap anchorx="page"/>
              </v:line>
            </w:pict>
          </mc:Fallback>
        </mc:AlternateContent>
      </w:r>
      <w:r w:rsidR="00364E57" w:rsidRPr="001D6D10">
        <w:rPr>
          <w:rFonts w:hint="eastAsia"/>
          <w:noProof/>
          <w:sz w:val="22"/>
          <w:szCs w:val="22"/>
        </w:rPr>
        <mc:AlternateContent>
          <mc:Choice Requires="wps">
            <w:drawing>
              <wp:anchor distT="0" distB="0" distL="114300" distR="114300" simplePos="0" relativeHeight="253362176" behindDoc="0" locked="0" layoutInCell="1" allowOverlap="1" wp14:anchorId="544EC5C4" wp14:editId="445555CD">
                <wp:simplePos x="0" y="0"/>
                <wp:positionH relativeFrom="column">
                  <wp:posOffset>388620</wp:posOffset>
                </wp:positionH>
                <wp:positionV relativeFrom="paragraph">
                  <wp:posOffset>189790</wp:posOffset>
                </wp:positionV>
                <wp:extent cx="1371600" cy="685800"/>
                <wp:effectExtent l="0" t="0" r="0" b="0"/>
                <wp:wrapNone/>
                <wp:docPr id="3976" name="Rectangle 255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371600" cy="685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37A003C" w14:textId="77777777" w:rsidR="006A5267" w:rsidRDefault="006A5267" w:rsidP="008B4B2B">
                            <w:pPr>
                              <w:spacing w:line="240" w:lineRule="exact"/>
                              <w:rPr>
                                <w:rFonts w:ascii="ＭＳ ゴシック" w:eastAsia="ＭＳ ゴシック" w:hAnsi="ＭＳ ゴシック"/>
                                <w:sz w:val="18"/>
                                <w:szCs w:val="18"/>
                              </w:rPr>
                            </w:pPr>
                            <w:r>
                              <w:rPr>
                                <w:rFonts w:ascii="ＭＳ ゴシック" w:eastAsia="ＭＳ ゴシック" w:hAnsi="ＭＳ ゴシック" w:hint="eastAsia"/>
                                <w:sz w:val="18"/>
                                <w:szCs w:val="18"/>
                              </w:rPr>
                              <w:t>技術的な助言・勧告</w:t>
                            </w:r>
                          </w:p>
                          <w:p w14:paraId="4A67BEAF" w14:textId="77777777" w:rsidR="006A5267" w:rsidRDefault="006A5267" w:rsidP="008B4B2B">
                            <w:pPr>
                              <w:spacing w:line="240" w:lineRule="exact"/>
                              <w:rPr>
                                <w:rFonts w:ascii="ＭＳ ゴシック" w:eastAsia="ＭＳ ゴシック" w:hAnsi="ＭＳ ゴシック"/>
                                <w:sz w:val="18"/>
                                <w:szCs w:val="18"/>
                              </w:rPr>
                            </w:pPr>
                            <w:r>
                              <w:rPr>
                                <w:rFonts w:ascii="ＭＳ ゴシック" w:eastAsia="ＭＳ ゴシック" w:hAnsi="ＭＳ ゴシック" w:hint="eastAsia"/>
                                <w:sz w:val="18"/>
                                <w:szCs w:val="18"/>
                              </w:rPr>
                              <w:t>・資料提出要求</w:t>
                            </w:r>
                          </w:p>
                          <w:p w14:paraId="090B24F5" w14:textId="77777777" w:rsidR="006A5267" w:rsidRDefault="006A5267" w:rsidP="008B4B2B">
                            <w:pPr>
                              <w:spacing w:line="240" w:lineRule="exact"/>
                              <w:rPr>
                                <w:rFonts w:ascii="ＭＳ ゴシック" w:eastAsia="ＭＳ ゴシック" w:hAnsi="ＭＳ ゴシック"/>
                                <w:sz w:val="18"/>
                                <w:szCs w:val="18"/>
                              </w:rPr>
                            </w:pPr>
                            <w:r>
                              <w:rPr>
                                <w:rFonts w:ascii="ＭＳ ゴシック" w:eastAsia="ＭＳ ゴシック" w:hAnsi="ＭＳ ゴシック" w:hint="eastAsia"/>
                                <w:sz w:val="18"/>
                                <w:szCs w:val="18"/>
                              </w:rPr>
                              <w:t>・是正の要求　他</w:t>
                            </w:r>
                          </w:p>
                          <w:p w14:paraId="0B957544" w14:textId="77777777" w:rsidR="006A5267" w:rsidRPr="00F63BCE" w:rsidRDefault="006A5267" w:rsidP="008B4B2B">
                            <w:pPr>
                              <w:spacing w:line="240" w:lineRule="exact"/>
                              <w:rPr>
                                <w:rFonts w:ascii="ＭＳ ゴシック" w:eastAsia="ＭＳ ゴシック" w:hAnsi="ＭＳ ゴシック"/>
                                <w:sz w:val="18"/>
                                <w:szCs w:val="18"/>
                              </w:rPr>
                            </w:pPr>
                            <w:r>
                              <w:rPr>
                                <w:rFonts w:ascii="ＭＳ ゴシック" w:eastAsia="ＭＳ ゴシック" w:hAnsi="ＭＳ ゴシック" w:hint="eastAsia"/>
                                <w:sz w:val="18"/>
                                <w:szCs w:val="18"/>
                              </w:rPr>
                              <w:t>（自治法245の4他）</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rect w14:anchorId="544EC5C4" id="Rectangle 2559" o:spid="_x0000_s1468" style="position:absolute;left:0;text-align:left;margin-left:30.6pt;margin-top:14.95pt;width:108pt;height:54pt;z-index:2533621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" filled="f" stroked="f">
                <v:textbox inset="5.85pt,.7pt,5.85pt,.7pt">
                  <w:txbxContent>
                    <w:p w14:paraId="137A003C" w14:textId="77777777" w:rsidR="006A5267" w:rsidRDefault="006A5267" w:rsidP="008B4B2B">
                      <w:pPr>
                        <w:spacing w:line="240" w:lineRule="exact"/>
                        <w:rPr>
                          <w:rFonts w:ascii="ＭＳ ゴシック" w:eastAsia="ＭＳ ゴシック" w:hAnsi="ＭＳ ゴシック"/>
                          <w:sz w:val="18"/>
                          <w:szCs w:val="18"/>
                        </w:rPr>
                      </w:pPr>
                      <w:r>
                        <w:rPr>
                          <w:rFonts w:ascii="ＭＳ ゴシック" w:eastAsia="ＭＳ ゴシック" w:hAnsi="ＭＳ ゴシック" w:hint="eastAsia"/>
                          <w:sz w:val="18"/>
                          <w:szCs w:val="18"/>
                        </w:rPr>
                        <w:t>技術的な助言・勧告</w:t>
                      </w:r>
                    </w:p>
                    <w:p w14:paraId="4A67BEAF" w14:textId="77777777" w:rsidR="006A5267" w:rsidRDefault="006A5267" w:rsidP="008B4B2B">
                      <w:pPr>
                        <w:spacing w:line="240" w:lineRule="exact"/>
                        <w:rPr>
                          <w:rFonts w:ascii="ＭＳ ゴシック" w:eastAsia="ＭＳ ゴシック" w:hAnsi="ＭＳ ゴシック"/>
                          <w:sz w:val="18"/>
                          <w:szCs w:val="18"/>
                        </w:rPr>
                      </w:pPr>
                      <w:r>
                        <w:rPr>
                          <w:rFonts w:ascii="ＭＳ ゴシック" w:eastAsia="ＭＳ ゴシック" w:hAnsi="ＭＳ ゴシック" w:hint="eastAsia"/>
                          <w:sz w:val="18"/>
                          <w:szCs w:val="18"/>
                        </w:rPr>
                        <w:t>・資料提出要求</w:t>
                      </w:r>
                    </w:p>
                    <w:p w14:paraId="090B24F5" w14:textId="77777777" w:rsidR="006A5267" w:rsidRDefault="006A5267" w:rsidP="008B4B2B">
                      <w:pPr>
                        <w:spacing w:line="240" w:lineRule="exact"/>
                        <w:rPr>
                          <w:rFonts w:ascii="ＭＳ ゴシック" w:eastAsia="ＭＳ ゴシック" w:hAnsi="ＭＳ ゴシック"/>
                          <w:sz w:val="18"/>
                          <w:szCs w:val="18"/>
                        </w:rPr>
                      </w:pPr>
                      <w:r>
                        <w:rPr>
                          <w:rFonts w:ascii="ＭＳ ゴシック" w:eastAsia="ＭＳ ゴシック" w:hAnsi="ＭＳ ゴシック" w:hint="eastAsia"/>
                          <w:sz w:val="18"/>
                          <w:szCs w:val="18"/>
                        </w:rPr>
                        <w:t>・是正の要求　他</w:t>
                      </w:r>
                    </w:p>
                    <w:p w14:paraId="0B957544" w14:textId="77777777" w:rsidR="006A5267" w:rsidRPr="00F63BCE" w:rsidRDefault="006A5267" w:rsidP="008B4B2B">
                      <w:pPr>
                        <w:spacing w:line="240" w:lineRule="exact"/>
                        <w:rPr>
                          <w:rFonts w:ascii="ＭＳ ゴシック" w:eastAsia="ＭＳ ゴシック" w:hAnsi="ＭＳ ゴシック"/>
                          <w:sz w:val="18"/>
                          <w:szCs w:val="18"/>
                        </w:rPr>
                      </w:pPr>
                      <w:r>
                        <w:rPr>
                          <w:rFonts w:ascii="ＭＳ ゴシック" w:eastAsia="ＭＳ ゴシック" w:hAnsi="ＭＳ ゴシック" w:hint="eastAsia"/>
                          <w:sz w:val="18"/>
                          <w:szCs w:val="18"/>
                        </w:rPr>
                        <w:t>（自治法245の4他）</w:t>
                      </w:r>
                    </w:p>
                  </w:txbxContent>
                </v:textbox>
              </v:rect>
            </w:pict>
          </mc:Fallback>
        </mc:AlternateContent>
      </w:r>
      <w:r w:rsidR="00364E57" w:rsidRPr="001D6D10">
        <w:rPr>
          <w:rFonts w:hint="eastAsia"/>
          <w:noProof/>
          <w:sz w:val="22"/>
          <w:szCs w:val="22"/>
        </w:rPr>
        <mc:AlternateContent>
          <mc:Choice Requires="wps">
            <w:drawing>
              <wp:anchor distT="0" distB="0" distL="114300" distR="114300" simplePos="0" relativeHeight="253333504" behindDoc="0" locked="0" layoutInCell="1" allowOverlap="1" wp14:anchorId="1125052E" wp14:editId="18C9824D">
                <wp:simplePos x="0" y="0"/>
                <wp:positionH relativeFrom="column">
                  <wp:posOffset>388620</wp:posOffset>
                </wp:positionH>
                <wp:positionV relativeFrom="paragraph">
                  <wp:posOffset>45645</wp:posOffset>
                </wp:positionV>
                <wp:extent cx="1371600" cy="0"/>
                <wp:effectExtent l="0" t="76200" r="19050" b="95250"/>
                <wp:wrapNone/>
                <wp:docPr id="3985" name="Line 252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371600" cy="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line w14:anchorId="3D064C57" id="Line 2528" o:spid="_x0000_s1026" style="position:absolute;left:0;text-align:left;z-index:253333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0.6pt,3.6pt" to="138.6pt,3.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">
                <v:stroke endarrow="block"/>
              </v:line>
            </w:pict>
          </mc:Fallback>
        </mc:AlternateContent>
      </w:r>
    </w:p>
    <w:p w14:paraId="0CE6D3F3" w14:textId="77777777" w:rsidR="008B4B2B" w:rsidRPr="001D6D10" w:rsidRDefault="008B4B2B" w:rsidP="008B4B2B">
      <w:pPr>
        <w:pStyle w:val="a0"/>
        <w:rPr>
          <w:sz w:val="22"/>
          <w:szCs w:val="22"/>
        </w:rPr>
      </w:pPr>
    </w:p>
    <w:p w14:paraId="0E5DB6D2" w14:textId="77777777" w:rsidR="008B4B2B" w:rsidRPr="001D6D10" w:rsidRDefault="008B4B2B" w:rsidP="008B4B2B">
      <w:pPr>
        <w:pStyle w:val="a0"/>
        <w:rPr>
          <w:sz w:val="22"/>
          <w:szCs w:val="22"/>
        </w:rPr>
      </w:pPr>
    </w:p>
    <w:p w14:paraId="3C3B49D7" w14:textId="77777777" w:rsidR="008B4B2B" w:rsidRPr="001D6D10" w:rsidRDefault="00D471B1" w:rsidP="008B4B2B">
      <w:pPr>
        <w:pStyle w:val="a0"/>
        <w:rPr>
          <w:sz w:val="22"/>
          <w:szCs w:val="22"/>
        </w:rPr>
      </w:pPr>
      <w:r w:rsidRPr="001D6D10">
        <w:rPr>
          <w:rFonts w:hint="eastAsia"/>
          <w:noProof/>
          <w:sz w:val="22"/>
          <w:szCs w:val="22"/>
        </w:rPr>
        <mc:AlternateContent>
          <mc:Choice Requires="wps">
            <w:drawing>
              <wp:anchor distT="0" distB="0" distL="114300" distR="114300" simplePos="0" relativeHeight="253365248" behindDoc="0" locked="0" layoutInCell="1" allowOverlap="1" wp14:anchorId="62AEC3A3" wp14:editId="05987BE0">
                <wp:simplePos x="0" y="0"/>
                <wp:positionH relativeFrom="column">
                  <wp:posOffset>2110030</wp:posOffset>
                </wp:positionH>
                <wp:positionV relativeFrom="paragraph">
                  <wp:posOffset>87630</wp:posOffset>
                </wp:positionV>
                <wp:extent cx="1317625" cy="228600"/>
                <wp:effectExtent l="0" t="0" r="0" b="0"/>
                <wp:wrapNone/>
                <wp:docPr id="3990" name="Rectangle 256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317625" cy="2286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585C9E6" w14:textId="77777777" w:rsidR="006A5267" w:rsidRPr="00F63BCE" w:rsidRDefault="006A5267" w:rsidP="008B4B2B">
                            <w:pPr>
                              <w:rPr>
                                <w:rFonts w:ascii="ＭＳ ゴシック" w:eastAsia="ＭＳ ゴシック" w:hAnsi="ＭＳ ゴシック"/>
                                <w:sz w:val="18"/>
                                <w:szCs w:val="18"/>
                              </w:rPr>
                            </w:pPr>
                            <w:r>
                              <w:rPr>
                                <w:rFonts w:ascii="ＭＳ ゴシック" w:eastAsia="ＭＳ ゴシック" w:hAnsi="ＭＳ ゴシック" w:hint="eastAsia"/>
                                <w:sz w:val="18"/>
                                <w:szCs w:val="18"/>
                              </w:rPr>
                              <w:t>被害状況等の情報提供</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rect w14:anchorId="62AEC3A3" id="Rectangle 2562" o:spid="_x0000_s1469" style="position:absolute;left:0;text-align:left;margin-left:166.15pt;margin-top:6.9pt;width:103.75pt;height:18pt;z-index:2533652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" filled="f" stroked="f">
                <v:textbox inset="5.85pt,.7pt,5.85pt,.7pt">
                  <w:txbxContent>
                    <w:p w14:paraId="1585C9E6" w14:textId="77777777" w:rsidR="006A5267" w:rsidRPr="00F63BCE" w:rsidRDefault="006A5267" w:rsidP="008B4B2B">
                      <w:pPr>
                        <w:rPr>
                          <w:rFonts w:ascii="ＭＳ ゴシック" w:eastAsia="ＭＳ ゴシック" w:hAnsi="ＭＳ ゴシック"/>
                          <w:sz w:val="18"/>
                          <w:szCs w:val="18"/>
                        </w:rPr>
                      </w:pPr>
                      <w:r>
                        <w:rPr>
                          <w:rFonts w:ascii="ＭＳ ゴシック" w:eastAsia="ＭＳ ゴシック" w:hAnsi="ＭＳ ゴシック" w:hint="eastAsia"/>
                          <w:sz w:val="18"/>
                          <w:szCs w:val="18"/>
                        </w:rPr>
                        <w:t>被害状況等の情報提供</w:t>
                      </w:r>
                    </w:p>
                  </w:txbxContent>
                </v:textbox>
              </v:rect>
            </w:pict>
          </mc:Fallback>
        </mc:AlternateContent>
      </w:r>
      <w:r w:rsidR="00364E57" w:rsidRPr="001D6D10">
        <w:rPr>
          <w:rFonts w:hint="eastAsia"/>
          <w:noProof/>
          <w:sz w:val="22"/>
          <w:szCs w:val="22"/>
        </w:rPr>
        <mc:AlternateContent>
          <mc:Choice Requires="wps">
            <w:drawing>
              <wp:anchor distT="0" distB="0" distL="114300" distR="114300" simplePos="0" relativeHeight="253336576" behindDoc="0" locked="0" layoutInCell="1" allowOverlap="1" wp14:anchorId="025122B9" wp14:editId="45D4E0D2">
                <wp:simplePos x="0" y="0"/>
                <wp:positionH relativeFrom="column">
                  <wp:posOffset>388620</wp:posOffset>
                </wp:positionH>
                <wp:positionV relativeFrom="paragraph">
                  <wp:posOffset>179630</wp:posOffset>
                </wp:positionV>
                <wp:extent cx="1371600" cy="0"/>
                <wp:effectExtent l="0" t="76200" r="19050" b="95250"/>
                <wp:wrapNone/>
                <wp:docPr id="3975" name="Line 253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371600" cy="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line w14:anchorId="4A5DFC9B" id="Line 2531" o:spid="_x0000_s1026" style="position:absolute;left:0;text-align:left;z-index:253336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0.6pt,14.15pt" to="138.6pt,14.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">
                <v:stroke endarrow="block"/>
              </v:line>
            </w:pict>
          </mc:Fallback>
        </mc:AlternateContent>
      </w:r>
    </w:p>
    <w:p w14:paraId="498C95BF" w14:textId="77777777" w:rsidR="008B4B2B" w:rsidRPr="001D6D10" w:rsidRDefault="00CB2CB2" w:rsidP="008B4B2B">
      <w:pPr>
        <w:pStyle w:val="a0"/>
        <w:rPr>
          <w:sz w:val="22"/>
          <w:szCs w:val="22"/>
        </w:rPr>
      </w:pPr>
      <w:r w:rsidRPr="001D6D10">
        <w:rPr>
          <w:rFonts w:hint="eastAsia"/>
          <w:noProof/>
          <w:sz w:val="22"/>
          <w:szCs w:val="22"/>
        </w:rPr>
        <mc:AlternateContent>
          <mc:Choice Requires="wps">
            <w:drawing>
              <wp:anchor distT="0" distB="0" distL="114300" distR="114300" simplePos="0" relativeHeight="253338624" behindDoc="0" locked="0" layoutInCell="1" allowOverlap="1" wp14:anchorId="0D364A10" wp14:editId="12C1A4B8">
                <wp:simplePos x="0" y="0"/>
                <wp:positionH relativeFrom="column">
                  <wp:posOffset>2093744</wp:posOffset>
                </wp:positionH>
                <wp:positionV relativeFrom="paragraph">
                  <wp:posOffset>80496</wp:posOffset>
                </wp:positionV>
                <wp:extent cx="1326665" cy="0"/>
                <wp:effectExtent l="38100" t="76200" r="0" b="95250"/>
                <wp:wrapNone/>
                <wp:docPr id="3986" name="Line 253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1326665" cy="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line w14:anchorId="7B0BA305" id="Line 2533" o:spid="_x0000_s1026" style="position:absolute;left:0;text-align:left;flip:x;z-index:253338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64.85pt,6.35pt" to="269.3pt,6.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">
                <v:stroke endarrow="block"/>
              </v:line>
            </w:pict>
          </mc:Fallback>
        </mc:AlternateContent>
      </w:r>
      <w:r w:rsidR="00FA0583" w:rsidRPr="001D6D10">
        <w:rPr>
          <w:rFonts w:hint="eastAsia"/>
          <w:noProof/>
          <w:sz w:val="22"/>
          <w:szCs w:val="22"/>
        </w:rPr>
        <mc:AlternateContent>
          <mc:Choice Requires="wps">
            <w:drawing>
              <wp:anchor distT="0" distB="0" distL="114300" distR="114300" simplePos="0" relativeHeight="253366272" behindDoc="0" locked="0" layoutInCell="1" allowOverlap="1" wp14:anchorId="5ABC72D3" wp14:editId="29D8E4D0">
                <wp:simplePos x="0" y="0"/>
                <wp:positionH relativeFrom="column">
                  <wp:posOffset>2225675</wp:posOffset>
                </wp:positionH>
                <wp:positionV relativeFrom="paragraph">
                  <wp:posOffset>139775</wp:posOffset>
                </wp:positionV>
                <wp:extent cx="1028700" cy="228600"/>
                <wp:effectExtent l="0" t="0" r="0" b="0"/>
                <wp:wrapNone/>
                <wp:docPr id="3981" name="Rectangle 256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28700" cy="2286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0E25379" w14:textId="77777777" w:rsidR="006A5267" w:rsidRPr="00F63BCE" w:rsidRDefault="006A5267" w:rsidP="008B4B2B">
                            <w:pPr>
                              <w:rPr>
                                <w:rFonts w:ascii="ＭＳ ゴシック" w:eastAsia="ＭＳ ゴシック" w:hAnsi="ＭＳ ゴシック"/>
                                <w:sz w:val="18"/>
                                <w:szCs w:val="18"/>
                              </w:rPr>
                            </w:pPr>
                            <w:r>
                              <w:rPr>
                                <w:rFonts w:ascii="ＭＳ ゴシック" w:eastAsia="ＭＳ ゴシック" w:hAnsi="ＭＳ ゴシック" w:hint="eastAsia"/>
                                <w:sz w:val="18"/>
                                <w:szCs w:val="18"/>
                              </w:rPr>
                              <w:t>応援職員の派遣</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rect w14:anchorId="5ABC72D3" id="Rectangle 2563" o:spid="_x0000_s1470" style="position:absolute;left:0;text-align:left;margin-left:175.25pt;margin-top:11pt;width:81pt;height:18pt;z-index:2533662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" filled="f" stroked="f">
                <v:textbox inset="5.85pt,.7pt,5.85pt,.7pt">
                  <w:txbxContent>
                    <w:p w14:paraId="20E25379" w14:textId="77777777" w:rsidR="006A5267" w:rsidRPr="00F63BCE" w:rsidRDefault="006A5267" w:rsidP="008B4B2B">
                      <w:pPr>
                        <w:rPr>
                          <w:rFonts w:ascii="ＭＳ ゴシック" w:eastAsia="ＭＳ ゴシック" w:hAnsi="ＭＳ ゴシック"/>
                          <w:sz w:val="18"/>
                          <w:szCs w:val="18"/>
                        </w:rPr>
                      </w:pPr>
                      <w:r>
                        <w:rPr>
                          <w:rFonts w:ascii="ＭＳ ゴシック" w:eastAsia="ＭＳ ゴシック" w:hAnsi="ＭＳ ゴシック" w:hint="eastAsia"/>
                          <w:sz w:val="18"/>
                          <w:szCs w:val="18"/>
                        </w:rPr>
                        <w:t>応援職員の派遣</w:t>
                      </w:r>
                    </w:p>
                  </w:txbxContent>
                </v:textbox>
              </v:rect>
            </w:pict>
          </mc:Fallback>
        </mc:AlternateContent>
      </w:r>
      <w:r w:rsidR="00364E57" w:rsidRPr="001D6D10">
        <w:rPr>
          <w:rFonts w:hint="eastAsia"/>
          <w:noProof/>
          <w:sz w:val="22"/>
          <w:szCs w:val="22"/>
        </w:rPr>
        <mc:AlternateContent>
          <mc:Choice Requires="wps">
            <w:drawing>
              <wp:anchor distT="0" distB="0" distL="114300" distR="114300" simplePos="0" relativeHeight="253361152" behindDoc="0" locked="0" layoutInCell="1" allowOverlap="1" wp14:anchorId="02FFAD60" wp14:editId="00CEBB5C">
                <wp:simplePos x="0" y="0"/>
                <wp:positionH relativeFrom="column">
                  <wp:posOffset>457835</wp:posOffset>
                </wp:positionH>
                <wp:positionV relativeFrom="paragraph">
                  <wp:posOffset>131370</wp:posOffset>
                </wp:positionV>
                <wp:extent cx="1257300" cy="228600"/>
                <wp:effectExtent l="0" t="0" r="0" b="0"/>
                <wp:wrapNone/>
                <wp:docPr id="3984" name="Rectangle 255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57300" cy="2286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1B79FAA" w14:textId="77777777" w:rsidR="006A5267" w:rsidRPr="00F63BCE" w:rsidRDefault="006A5267" w:rsidP="008B4B2B">
                            <w:pPr>
                              <w:rPr>
                                <w:rFonts w:ascii="ＭＳ ゴシック" w:eastAsia="ＭＳ ゴシック" w:hAnsi="ＭＳ ゴシック"/>
                                <w:sz w:val="18"/>
                                <w:szCs w:val="18"/>
                              </w:rPr>
                            </w:pPr>
                            <w:r>
                              <w:rPr>
                                <w:rFonts w:ascii="ＭＳ ゴシック" w:eastAsia="ＭＳ ゴシック" w:hAnsi="ＭＳ ゴシック" w:hint="eastAsia"/>
                                <w:sz w:val="18"/>
                                <w:szCs w:val="18"/>
                              </w:rPr>
                              <w:t>実施状況の情報提供</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rect w14:anchorId="02FFAD60" id="_x0000_s1471" style="position:absolute;left:0;text-align:left;margin-left:36.05pt;margin-top:10.35pt;width:99pt;height:18pt;z-index:2533611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" filled="f" stroked="f">
                <v:textbox inset="5.85pt,.7pt,5.85pt,.7pt">
                  <w:txbxContent>
                    <w:p w14:paraId="61B79FAA" w14:textId="77777777" w:rsidR="006A5267" w:rsidRPr="00F63BCE" w:rsidRDefault="006A5267" w:rsidP="008B4B2B">
                      <w:pPr>
                        <w:rPr>
                          <w:rFonts w:ascii="ＭＳ ゴシック" w:eastAsia="ＭＳ ゴシック" w:hAnsi="ＭＳ ゴシック"/>
                          <w:sz w:val="18"/>
                          <w:szCs w:val="18"/>
                        </w:rPr>
                      </w:pPr>
                      <w:r>
                        <w:rPr>
                          <w:rFonts w:ascii="ＭＳ ゴシック" w:eastAsia="ＭＳ ゴシック" w:hAnsi="ＭＳ ゴシック" w:hint="eastAsia"/>
                          <w:sz w:val="18"/>
                          <w:szCs w:val="18"/>
                        </w:rPr>
                        <w:t>実施状況の情報提供</w:t>
                      </w:r>
                    </w:p>
                  </w:txbxContent>
                </v:textbox>
              </v:rect>
            </w:pict>
          </mc:Fallback>
        </mc:AlternateContent>
      </w:r>
    </w:p>
    <w:p w14:paraId="315995A8" w14:textId="77777777" w:rsidR="008B4B2B" w:rsidRPr="001D6D10" w:rsidRDefault="00FA0583" w:rsidP="008B4B2B">
      <w:pPr>
        <w:pStyle w:val="a0"/>
        <w:rPr>
          <w:sz w:val="22"/>
          <w:szCs w:val="22"/>
        </w:rPr>
      </w:pPr>
      <w:r w:rsidRPr="001D6D10">
        <w:rPr>
          <w:rFonts w:hint="eastAsia"/>
          <w:noProof/>
          <w:sz w:val="22"/>
          <w:szCs w:val="22"/>
        </w:rPr>
        <mc:AlternateContent>
          <mc:Choice Requires="wps">
            <w:drawing>
              <wp:anchor distT="0" distB="0" distL="114300" distR="114300" simplePos="0" relativeHeight="253340672" behindDoc="0" locked="0" layoutInCell="1" allowOverlap="1" wp14:anchorId="2BACCA5A" wp14:editId="15F669F4">
                <wp:simplePos x="0" y="0"/>
                <wp:positionH relativeFrom="column">
                  <wp:posOffset>2111673</wp:posOffset>
                </wp:positionH>
                <wp:positionV relativeFrom="paragraph">
                  <wp:posOffset>143211</wp:posOffset>
                </wp:positionV>
                <wp:extent cx="1308847" cy="0"/>
                <wp:effectExtent l="0" t="76200" r="24765" b="95250"/>
                <wp:wrapNone/>
                <wp:docPr id="3978" name="Line 253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308847" cy="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line w14:anchorId="23762AD2" id="Line 2535" o:spid="_x0000_s1026" style="position:absolute;left:0;text-align:left;z-index:253340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66.25pt,11.3pt" to="269.3pt,11.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">
                <v:stroke endarrow="block"/>
              </v:line>
            </w:pict>
          </mc:Fallback>
        </mc:AlternateContent>
      </w:r>
      <w:r w:rsidR="00364E57" w:rsidRPr="001D6D10">
        <w:rPr>
          <w:rFonts w:hint="eastAsia"/>
          <w:noProof/>
          <w:sz w:val="22"/>
          <w:szCs w:val="22"/>
        </w:rPr>
        <mc:AlternateContent>
          <mc:Choice Requires="wps">
            <w:drawing>
              <wp:anchor distT="0" distB="0" distL="114300" distR="114300" simplePos="0" relativeHeight="253335552" behindDoc="0" locked="0" layoutInCell="1" allowOverlap="1" wp14:anchorId="6B3274BF" wp14:editId="294B6B98">
                <wp:simplePos x="0" y="0"/>
                <wp:positionH relativeFrom="column">
                  <wp:posOffset>388620</wp:posOffset>
                </wp:positionH>
                <wp:positionV relativeFrom="paragraph">
                  <wp:posOffset>129465</wp:posOffset>
                </wp:positionV>
                <wp:extent cx="1371600" cy="0"/>
                <wp:effectExtent l="38100" t="76200" r="0" b="95250"/>
                <wp:wrapNone/>
                <wp:docPr id="3980" name="Line 253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1371600" cy="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line w14:anchorId="3EA98A1C" id="Line 2530" o:spid="_x0000_s1026" style="position:absolute;left:0;text-align:left;flip:x;z-index:253335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0.6pt,10.2pt" to="138.6pt,10.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">
                <v:stroke endarrow="block"/>
              </v:line>
            </w:pict>
          </mc:Fallback>
        </mc:AlternateContent>
      </w:r>
    </w:p>
    <w:p w14:paraId="54CF1CA1" w14:textId="77777777" w:rsidR="008B4B2B" w:rsidRPr="001D6D10" w:rsidRDefault="00011C93" w:rsidP="008B4B2B">
      <w:pPr>
        <w:pStyle w:val="a0"/>
        <w:rPr>
          <w:sz w:val="22"/>
          <w:szCs w:val="22"/>
        </w:rPr>
      </w:pPr>
      <w:r w:rsidRPr="001D6D10">
        <w:rPr>
          <w:rFonts w:ascii="ＭＳ ゴシック" w:eastAsia="ＭＳ ゴシック" w:hint="eastAsia"/>
          <w:noProof/>
          <w:sz w:val="22"/>
          <w:szCs w:val="22"/>
        </w:rPr>
        <mc:AlternateContent>
          <mc:Choice Requires="wps">
            <w:drawing>
              <wp:anchor distT="0" distB="0" distL="114300" distR="114300" simplePos="0" relativeHeight="253374464" behindDoc="0" locked="0" layoutInCell="1" allowOverlap="1" wp14:anchorId="192C56EC" wp14:editId="4D6B5CCE">
                <wp:simplePos x="0" y="0"/>
                <wp:positionH relativeFrom="column">
                  <wp:posOffset>2425625</wp:posOffset>
                </wp:positionH>
                <wp:positionV relativeFrom="paragraph">
                  <wp:posOffset>45085</wp:posOffset>
                </wp:positionV>
                <wp:extent cx="1028700" cy="228600"/>
                <wp:effectExtent l="0" t="0" r="0" b="0"/>
                <wp:wrapNone/>
                <wp:docPr id="3960" name="Rectangle 257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28700" cy="2286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3B43476" w14:textId="77777777" w:rsidR="006A5267" w:rsidRPr="00F235E7" w:rsidRDefault="006A5267" w:rsidP="008B4B2B">
                            <w:pPr>
                              <w:rPr>
                                <w:rFonts w:ascii="ＭＳ ゴシック" w:eastAsia="ＭＳ ゴシック" w:hAnsi="ＭＳ ゴシック"/>
                                <w:sz w:val="18"/>
                                <w:szCs w:val="18"/>
                              </w:rPr>
                            </w:pPr>
                            <w:r w:rsidRPr="00F235E7">
                              <w:rPr>
                                <w:rFonts w:ascii="ＭＳ ゴシック" w:eastAsia="ＭＳ ゴシック" w:hAnsi="ＭＳ ゴシック" w:hint="eastAsia"/>
                                <w:sz w:val="18"/>
                                <w:szCs w:val="18"/>
                              </w:rPr>
                              <w:t>応援職員の派遣</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rect w14:anchorId="192C56EC" id="Rectangle 2571" o:spid="_x0000_s1472" style="position:absolute;left:0;text-align:left;margin-left:191pt;margin-top:3.55pt;width:81pt;height:18pt;z-index:2533744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" filled="f" stroked="f">
                <v:textbox inset="5.85pt,.7pt,5.85pt,.7pt">
                  <w:txbxContent>
                    <w:p w14:paraId="13B43476" w14:textId="77777777" w:rsidR="006A5267" w:rsidRPr="00F235E7" w:rsidRDefault="006A5267" w:rsidP="008B4B2B">
                      <w:pPr>
                        <w:rPr>
                          <w:rFonts w:ascii="ＭＳ ゴシック" w:eastAsia="ＭＳ ゴシック" w:hAnsi="ＭＳ ゴシック"/>
                          <w:sz w:val="18"/>
                          <w:szCs w:val="18"/>
                        </w:rPr>
                      </w:pPr>
                      <w:r w:rsidRPr="00F235E7">
                        <w:rPr>
                          <w:rFonts w:ascii="ＭＳ ゴシック" w:eastAsia="ＭＳ ゴシック" w:hAnsi="ＭＳ ゴシック" w:hint="eastAsia"/>
                          <w:sz w:val="18"/>
                          <w:szCs w:val="18"/>
                        </w:rPr>
                        <w:t>応援職員の派遣</w:t>
                      </w:r>
                    </w:p>
                  </w:txbxContent>
                </v:textbox>
              </v:rect>
            </w:pict>
          </mc:Fallback>
        </mc:AlternateContent>
      </w:r>
      <w:r w:rsidR="00364E57" w:rsidRPr="001D6D10">
        <w:rPr>
          <w:rFonts w:hint="eastAsia"/>
          <w:noProof/>
          <w:sz w:val="22"/>
          <w:szCs w:val="22"/>
        </w:rPr>
        <mc:AlternateContent>
          <mc:Choice Requires="wps">
            <w:drawing>
              <wp:anchor distT="0" distB="0" distL="114300" distR="114300" simplePos="0" relativeHeight="253359104" behindDoc="0" locked="0" layoutInCell="1" allowOverlap="1" wp14:anchorId="4B5B0E61" wp14:editId="2AD41DF8">
                <wp:simplePos x="0" y="0"/>
                <wp:positionH relativeFrom="column">
                  <wp:posOffset>651510</wp:posOffset>
                </wp:positionH>
                <wp:positionV relativeFrom="paragraph">
                  <wp:posOffset>176455</wp:posOffset>
                </wp:positionV>
                <wp:extent cx="800100" cy="228600"/>
                <wp:effectExtent l="0" t="0" r="0" b="0"/>
                <wp:wrapNone/>
                <wp:docPr id="3989" name="Rectangle 255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800100" cy="2286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A7E8260" w14:textId="77777777" w:rsidR="006A5267" w:rsidRPr="00F63BCE" w:rsidRDefault="006A5267" w:rsidP="008B4B2B">
                            <w:pPr>
                              <w:rPr>
                                <w:rFonts w:ascii="ＭＳ ゴシック" w:eastAsia="ＭＳ ゴシック" w:hAnsi="ＭＳ ゴシック"/>
                                <w:sz w:val="18"/>
                                <w:szCs w:val="18"/>
                              </w:rPr>
                            </w:pPr>
                            <w:r>
                              <w:rPr>
                                <w:rFonts w:ascii="ＭＳ ゴシック" w:eastAsia="ＭＳ ゴシック" w:hAnsi="ＭＳ ゴシック" w:hint="eastAsia"/>
                                <w:sz w:val="18"/>
                                <w:szCs w:val="18"/>
                              </w:rPr>
                              <w:t>職員の派遣</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rect w14:anchorId="4B5B0E61" id="Rectangle 2557" o:spid="_x0000_s1473" style="position:absolute;left:0;text-align:left;margin-left:51.3pt;margin-top:13.9pt;width:63pt;height:18pt;z-index:2533591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" filled="f" stroked="f">
                <v:textbox inset="5.85pt,.7pt,5.85pt,.7pt">
                  <w:txbxContent>
                    <w:p w14:paraId="4A7E8260" w14:textId="77777777" w:rsidR="006A5267" w:rsidRPr="00F63BCE" w:rsidRDefault="006A5267" w:rsidP="008B4B2B">
                      <w:pPr>
                        <w:rPr>
                          <w:rFonts w:ascii="ＭＳ ゴシック" w:eastAsia="ＭＳ ゴシック" w:hAnsi="ＭＳ ゴシック"/>
                          <w:sz w:val="18"/>
                          <w:szCs w:val="18"/>
                        </w:rPr>
                      </w:pPr>
                      <w:r>
                        <w:rPr>
                          <w:rFonts w:ascii="ＭＳ ゴシック" w:eastAsia="ＭＳ ゴシック" w:hAnsi="ＭＳ ゴシック" w:hint="eastAsia"/>
                          <w:sz w:val="18"/>
                          <w:szCs w:val="18"/>
                        </w:rPr>
                        <w:t>職員の派遣</w:t>
                      </w:r>
                    </w:p>
                  </w:txbxContent>
                </v:textbox>
              </v:rect>
            </w:pict>
          </mc:Fallback>
        </mc:AlternateContent>
      </w:r>
    </w:p>
    <w:p w14:paraId="288A3B16" w14:textId="77777777" w:rsidR="008B4B2B" w:rsidRPr="001D6D10" w:rsidRDefault="002646FF" w:rsidP="008B4B2B">
      <w:pPr>
        <w:pStyle w:val="a0"/>
        <w:rPr>
          <w:sz w:val="22"/>
          <w:szCs w:val="22"/>
        </w:rPr>
      </w:pPr>
      <w:r w:rsidRPr="001D6D10">
        <w:rPr>
          <w:rFonts w:hint="eastAsia"/>
          <w:noProof/>
          <w:sz w:val="22"/>
          <w:szCs w:val="22"/>
        </w:rPr>
        <mc:AlternateContent>
          <mc:Choice Requires="wps">
            <w:drawing>
              <wp:anchor distT="0" distB="0" distL="114300" distR="114300" simplePos="0" relativeHeight="253351936" behindDoc="0" locked="0" layoutInCell="1" allowOverlap="1" wp14:anchorId="59B12FA3" wp14:editId="268E8E0F">
                <wp:simplePos x="0" y="0"/>
                <wp:positionH relativeFrom="column">
                  <wp:posOffset>2443368</wp:posOffset>
                </wp:positionH>
                <wp:positionV relativeFrom="paragraph">
                  <wp:posOffset>205888</wp:posOffset>
                </wp:positionV>
                <wp:extent cx="0" cy="977153"/>
                <wp:effectExtent l="0" t="0" r="19050" b="33020"/>
                <wp:wrapNone/>
                <wp:docPr id="3974" name="Line 255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977153"/>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line w14:anchorId="468ED9C3" id="Line 2550" o:spid="_x0000_s1026" style="position:absolute;left:0;text-align:left;z-index:2533519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92.4pt,16.2pt" to="192.4pt,93.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"/>
            </w:pict>
          </mc:Fallback>
        </mc:AlternateContent>
      </w:r>
      <w:r w:rsidR="00011C93" w:rsidRPr="001D6D10">
        <w:rPr>
          <w:rFonts w:hint="eastAsia"/>
          <w:noProof/>
          <w:sz w:val="22"/>
          <w:szCs w:val="22"/>
        </w:rPr>
        <mc:AlternateContent>
          <mc:Choice Requires="wps">
            <w:drawing>
              <wp:anchor distT="0" distB="0" distL="114300" distR="114300" simplePos="0" relativeHeight="253559808" behindDoc="0" locked="0" layoutInCell="1" allowOverlap="1" wp14:anchorId="4D3999A7" wp14:editId="45EC9C8E">
                <wp:simplePos x="0" y="0"/>
                <wp:positionH relativeFrom="column">
                  <wp:posOffset>2595768</wp:posOffset>
                </wp:positionH>
                <wp:positionV relativeFrom="paragraph">
                  <wp:posOffset>53489</wp:posOffset>
                </wp:positionV>
                <wp:extent cx="824641" cy="0"/>
                <wp:effectExtent l="0" t="76200" r="13970" b="95250"/>
                <wp:wrapNone/>
                <wp:docPr id="3969" name="Line 254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824641" cy="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line w14:anchorId="41443A7A" id="Line 2548" o:spid="_x0000_s1026" style="position:absolute;left:0;text-align:left;z-index:2535598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04.4pt,4.2pt" to="269.35pt,4.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">
                <v:stroke endarrow="block"/>
              </v:line>
            </w:pict>
          </mc:Fallback>
        </mc:AlternateContent>
      </w:r>
      <w:r w:rsidR="00FA0583" w:rsidRPr="001D6D10">
        <w:rPr>
          <w:rFonts w:hint="eastAsia"/>
          <w:noProof/>
          <w:sz w:val="22"/>
          <w:szCs w:val="22"/>
        </w:rPr>
        <mc:AlternateContent>
          <mc:Choice Requires="wps">
            <w:drawing>
              <wp:anchor distT="0" distB="0" distL="114300" distR="114300" simplePos="0" relativeHeight="253350912" behindDoc="0" locked="0" layoutInCell="1" allowOverlap="1" wp14:anchorId="68B2327B" wp14:editId="213EDBE3">
                <wp:simplePos x="0" y="0"/>
                <wp:positionH relativeFrom="column">
                  <wp:posOffset>2103120</wp:posOffset>
                </wp:positionH>
                <wp:positionV relativeFrom="paragraph">
                  <wp:posOffset>193115</wp:posOffset>
                </wp:positionV>
                <wp:extent cx="342900" cy="0"/>
                <wp:effectExtent l="0" t="0" r="19050" b="19050"/>
                <wp:wrapNone/>
                <wp:docPr id="3973" name="Line 254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29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line w14:anchorId="194F7004" id="Line 2549" o:spid="_x0000_s1026" style="position:absolute;left:0;text-align:left;z-index:2533509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65.6pt,15.2pt" to="192.6pt,15.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"/>
            </w:pict>
          </mc:Fallback>
        </mc:AlternateContent>
      </w:r>
      <w:r w:rsidR="00364E57" w:rsidRPr="001D6D10">
        <w:rPr>
          <w:rFonts w:hint="eastAsia"/>
          <w:noProof/>
          <w:sz w:val="22"/>
          <w:szCs w:val="22"/>
        </w:rPr>
        <mc:AlternateContent>
          <mc:Choice Requires="wps">
            <w:drawing>
              <wp:anchor distT="0" distB="0" distL="114300" distR="114300" simplePos="0" relativeHeight="254091264" behindDoc="0" locked="0" layoutInCell="1" allowOverlap="1" wp14:anchorId="2C3D8221" wp14:editId="03866750">
                <wp:simplePos x="0" y="0"/>
                <wp:positionH relativeFrom="column">
                  <wp:posOffset>389330</wp:posOffset>
                </wp:positionH>
                <wp:positionV relativeFrom="paragraph">
                  <wp:posOffset>177800</wp:posOffset>
                </wp:positionV>
                <wp:extent cx="1371600" cy="0"/>
                <wp:effectExtent l="0" t="76200" r="19050" b="95250"/>
                <wp:wrapNone/>
                <wp:docPr id="4909" name="Line 253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371600" cy="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line w14:anchorId="7E4F527F" id="Line 2531" o:spid="_x0000_s1026" style="position:absolute;left:0;text-align:left;z-index:254091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0.65pt,14pt" to="138.65pt,1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">
                <v:stroke endarrow="block"/>
              </v:line>
            </w:pict>
          </mc:Fallback>
        </mc:AlternateContent>
      </w:r>
      <w:r w:rsidR="00CE57EE" w:rsidRPr="001D6D10">
        <w:rPr>
          <w:rFonts w:hint="eastAsia"/>
          <w:noProof/>
          <w:sz w:val="22"/>
          <w:szCs w:val="22"/>
        </w:rPr>
        <mc:AlternateContent>
          <mc:Choice Requires="wps">
            <w:drawing>
              <wp:anchor distT="0" distB="0" distL="114300" distR="114300" simplePos="0" relativeHeight="253557760" behindDoc="0" locked="0" layoutInCell="1" allowOverlap="1" wp14:anchorId="33479E86" wp14:editId="5636255A">
                <wp:simplePos x="0" y="0"/>
                <wp:positionH relativeFrom="column">
                  <wp:posOffset>2583105</wp:posOffset>
                </wp:positionH>
                <wp:positionV relativeFrom="paragraph">
                  <wp:posOffset>54610</wp:posOffset>
                </wp:positionV>
                <wp:extent cx="0" cy="914400"/>
                <wp:effectExtent l="0" t="0" r="19050" b="19050"/>
                <wp:wrapNone/>
                <wp:docPr id="3968" name="Line 254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0" cy="91440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line w14:anchorId="0D5B7D2B" id="Line 2547" o:spid="_x0000_s1026" style="position:absolute;left:0;text-align:left;flip:y;z-index:2535577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03.4pt,4.3pt" to="203.4pt,76.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"/>
            </w:pict>
          </mc:Fallback>
        </mc:AlternateContent>
      </w:r>
    </w:p>
    <w:p w14:paraId="5A09725D" w14:textId="77777777" w:rsidR="008B4B2B" w:rsidRPr="001D6D10" w:rsidRDefault="008D2960" w:rsidP="008B4B2B">
      <w:pPr>
        <w:pStyle w:val="a0"/>
        <w:rPr>
          <w:sz w:val="22"/>
          <w:szCs w:val="22"/>
        </w:rPr>
      </w:pPr>
      <w:r w:rsidRPr="001D6D10">
        <w:rPr>
          <w:rFonts w:hint="eastAsia"/>
          <w:noProof/>
          <w:sz w:val="22"/>
          <w:szCs w:val="22"/>
        </w:rPr>
        <mc:AlternateContent>
          <mc:Choice Requires="wps">
            <w:drawing>
              <wp:anchor distT="0" distB="0" distL="114300" distR="114300" simplePos="0" relativeHeight="254105600" behindDoc="0" locked="0" layoutInCell="1" allowOverlap="1" wp14:anchorId="5BA022C4" wp14:editId="7643DDDC">
                <wp:simplePos x="0" y="0"/>
                <wp:positionH relativeFrom="column">
                  <wp:posOffset>3891168</wp:posOffset>
                </wp:positionH>
                <wp:positionV relativeFrom="paragraph">
                  <wp:posOffset>152064</wp:posOffset>
                </wp:positionV>
                <wp:extent cx="223483" cy="250302"/>
                <wp:effectExtent l="38100" t="76200" r="81915" b="54610"/>
                <wp:wrapNone/>
                <wp:docPr id="4924" name="カギ線コネクタ 4924"/>
                <wp:cNvGraphicFramePr/>
                <a:graphic xmlns:a="http://schemas.openxmlformats.org/drawingml/2006/main">
                  <a:graphicData uri="http://schemas.microsoft.com/office/word/2010/wordprocessingShape">
                    <wps:wsp>
                      <wps:cNvCnPr/>
                      <wps:spPr>
                        <a:xfrm>
                          <a:off x="0" y="0"/>
                          <a:ext cx="223483" cy="250302"/>
                        </a:xfrm>
                        <a:prstGeom prst="bentConnector3">
                          <a:avLst>
                            <a:gd name="adj1" fmla="val 99266"/>
                          </a:avLst>
                        </a:prstGeom>
                        <a:ln w="9525">
                          <a:solidFill>
                            <a:schemeClr val="tx1"/>
                          </a:solidFill>
                          <a:headEnd type="triangle"/>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shape w14:anchorId="6DC49689" id="カギ線コネクタ 4924" o:spid="_x0000_s1026" type="#_x0000_t34" style="position:absolute;left:0;text-align:left;margin-left:306.4pt;margin-top:11.95pt;width:17.6pt;height:19.7pt;z-index:254105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" adj="21441" strokecolor="black [3213]">
                <v:stroke startarrow="block" endarrow="block"/>
              </v:shape>
            </w:pict>
          </mc:Fallback>
        </mc:AlternateContent>
      </w:r>
      <w:r w:rsidR="007F3000" w:rsidRPr="001D6D10">
        <w:rPr>
          <w:rFonts w:hint="eastAsia"/>
          <w:noProof/>
          <w:sz w:val="22"/>
          <w:szCs w:val="22"/>
        </w:rPr>
        <mc:AlternateContent>
          <mc:Choice Requires="wps">
            <w:drawing>
              <wp:anchor distT="0" distB="0" distL="114300" distR="114300" simplePos="0" relativeHeight="254107648" behindDoc="0" locked="0" layoutInCell="1" allowOverlap="1" wp14:anchorId="48E039F0" wp14:editId="24A33DE7">
                <wp:simplePos x="0" y="0"/>
                <wp:positionH relativeFrom="column">
                  <wp:posOffset>4098215</wp:posOffset>
                </wp:positionH>
                <wp:positionV relativeFrom="paragraph">
                  <wp:posOffset>193675</wp:posOffset>
                </wp:positionV>
                <wp:extent cx="447675" cy="161290"/>
                <wp:effectExtent l="0" t="0" r="0" b="0"/>
                <wp:wrapNone/>
                <wp:docPr id="4925" name="Rectangle 256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47675" cy="16129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282194A" w14:textId="77777777" w:rsidR="006A5267" w:rsidRPr="007F3000" w:rsidRDefault="006A5267" w:rsidP="007F3000">
                            <w:pPr>
                              <w:spacing w:line="200" w:lineRule="exact"/>
                              <w:rPr>
                                <w:rFonts w:ascii="ＭＳ ゴシック" w:eastAsia="ＭＳ ゴシック" w:hAnsi="ＭＳ ゴシック"/>
                                <w:sz w:val="18"/>
                                <w:szCs w:val="18"/>
                              </w:rPr>
                            </w:pPr>
                            <w:r>
                              <w:rPr>
                                <w:rFonts w:ascii="ＭＳ ゴシック" w:eastAsia="ＭＳ ゴシック" w:hAnsi="ＭＳ ゴシック" w:hint="eastAsia"/>
                                <w:sz w:val="18"/>
                                <w:szCs w:val="18"/>
                              </w:rPr>
                              <w:t>委託</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rect w14:anchorId="48E039F0" id="Rectangle 2568" o:spid="_x0000_s1474" style="position:absolute;left:0;text-align:left;margin-left:322.7pt;margin-top:15.25pt;width:35.25pt;height:12.7pt;z-index:254107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" filled="f" stroked="f">
                <v:textbox inset="5.85pt,.7pt,5.85pt,.7pt">
                  <w:txbxContent>
                    <w:p w14:paraId="6282194A" w14:textId="77777777" w:rsidR="006A5267" w:rsidRPr="007F3000" w:rsidRDefault="006A5267" w:rsidP="007F3000">
                      <w:pPr>
                        <w:spacing w:line="200" w:lineRule="exact"/>
                        <w:rPr>
                          <w:rFonts w:ascii="ＭＳ ゴシック" w:eastAsia="ＭＳ ゴシック" w:hAnsi="ＭＳ ゴシック"/>
                          <w:sz w:val="18"/>
                          <w:szCs w:val="18"/>
                        </w:rPr>
                      </w:pPr>
                      <w:r>
                        <w:rPr>
                          <w:rFonts w:ascii="ＭＳ ゴシック" w:eastAsia="ＭＳ ゴシック" w:hAnsi="ＭＳ ゴシック" w:hint="eastAsia"/>
                          <w:sz w:val="18"/>
                          <w:szCs w:val="18"/>
                        </w:rPr>
                        <w:t>委託</w:t>
                      </w:r>
                    </w:p>
                  </w:txbxContent>
                </v:textbox>
              </v:rect>
            </w:pict>
          </mc:Fallback>
        </mc:AlternateContent>
      </w:r>
      <w:r w:rsidR="00993DF5" w:rsidRPr="001D6D10">
        <w:rPr>
          <w:rFonts w:hint="eastAsia"/>
          <w:noProof/>
          <w:sz w:val="22"/>
          <w:szCs w:val="22"/>
        </w:rPr>
        <mc:AlternateContent>
          <mc:Choice Requires="wps">
            <w:drawing>
              <wp:anchor distT="0" distB="0" distL="114300" distR="114300" simplePos="0" relativeHeight="253345792" behindDoc="0" locked="0" layoutInCell="1" allowOverlap="1" wp14:anchorId="06B4AC68" wp14:editId="258A9FDC">
                <wp:simplePos x="0" y="0"/>
                <wp:positionH relativeFrom="column">
                  <wp:posOffset>1869627</wp:posOffset>
                </wp:positionH>
                <wp:positionV relativeFrom="paragraph">
                  <wp:posOffset>79861</wp:posOffset>
                </wp:positionV>
                <wp:extent cx="0" cy="560182"/>
                <wp:effectExtent l="76200" t="0" r="57150" b="49530"/>
                <wp:wrapNone/>
                <wp:docPr id="3971" name="Line 254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560182"/>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line w14:anchorId="11F47F5F" id="Line 2540" o:spid="_x0000_s1026" style="position:absolute;left:0;text-align:left;z-index:253345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47.2pt,6.3pt" to="147.2pt,50.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">
                <v:stroke endarrow="block"/>
              </v:line>
            </w:pict>
          </mc:Fallback>
        </mc:AlternateContent>
      </w:r>
      <w:r w:rsidR="00993DF5" w:rsidRPr="001D6D10">
        <w:rPr>
          <w:rFonts w:hint="eastAsia"/>
          <w:noProof/>
          <w:sz w:val="22"/>
          <w:szCs w:val="22"/>
        </w:rPr>
        <mc:AlternateContent>
          <mc:Choice Requires="wps">
            <w:drawing>
              <wp:anchor distT="0" distB="0" distL="114300" distR="114300" simplePos="0" relativeHeight="253375488" behindDoc="0" locked="0" layoutInCell="1" allowOverlap="1" wp14:anchorId="1F86639F" wp14:editId="522385B3">
                <wp:simplePos x="0" y="0"/>
                <wp:positionH relativeFrom="column">
                  <wp:posOffset>1877620</wp:posOffset>
                </wp:positionH>
                <wp:positionV relativeFrom="paragraph">
                  <wp:posOffset>109220</wp:posOffset>
                </wp:positionV>
                <wp:extent cx="362585" cy="564515"/>
                <wp:effectExtent l="0" t="0" r="0" b="6985"/>
                <wp:wrapNone/>
                <wp:docPr id="3970" name="Rectangle 257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62585" cy="56451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DA20A09" w14:textId="77777777" w:rsidR="006A5267" w:rsidRPr="00F235E7" w:rsidRDefault="006A5267" w:rsidP="00CE57EE">
                            <w:pPr>
                              <w:rPr>
                                <w:rFonts w:ascii="ＭＳ ゴシック" w:eastAsia="ＭＳ ゴシック" w:hAnsi="ＭＳ ゴシック"/>
                                <w:sz w:val="18"/>
                                <w:szCs w:val="18"/>
                              </w:rPr>
                            </w:pPr>
                            <w:r w:rsidRPr="00F235E7">
                              <w:rPr>
                                <w:rFonts w:ascii="ＭＳ ゴシック" w:eastAsia="ＭＳ ゴシック" w:hAnsi="ＭＳ ゴシック" w:hint="eastAsia"/>
                                <w:sz w:val="18"/>
                                <w:szCs w:val="18"/>
                              </w:rPr>
                              <w:t>応援要請</w:t>
                            </w:r>
                          </w:p>
                        </w:txbxContent>
                      </wps:txbx>
                      <wps:bodyPr rot="0" vert="eaVert"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rect w14:anchorId="1F86639F" id="Rectangle 2572" o:spid="_x0000_s1475" style="position:absolute;left:0;text-align:left;margin-left:147.85pt;margin-top:8.6pt;width:28.55pt;height:44.45pt;z-index:2533754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" filled="f" stroked="f">
                <v:textbox style="layout-flow:vertical-ideographic" inset="5.85pt,.7pt,5.85pt,.7pt">
                  <w:txbxContent>
                    <w:p w14:paraId="0DA20A09" w14:textId="77777777" w:rsidR="006A5267" w:rsidRPr="00F235E7" w:rsidRDefault="006A5267" w:rsidP="00CE57EE">
                      <w:pPr>
                        <w:rPr>
                          <w:rFonts w:ascii="ＭＳ ゴシック" w:eastAsia="ＭＳ ゴシック" w:hAnsi="ＭＳ ゴシック"/>
                          <w:sz w:val="18"/>
                          <w:szCs w:val="18"/>
                        </w:rPr>
                      </w:pPr>
                      <w:r w:rsidRPr="00F235E7">
                        <w:rPr>
                          <w:rFonts w:ascii="ＭＳ ゴシック" w:eastAsia="ＭＳ ゴシック" w:hAnsi="ＭＳ ゴシック" w:hint="eastAsia"/>
                          <w:sz w:val="18"/>
                          <w:szCs w:val="18"/>
                        </w:rPr>
                        <w:t>応援要請</w:t>
                      </w:r>
                    </w:p>
                  </w:txbxContent>
                </v:textbox>
              </v:rect>
            </w:pict>
          </mc:Fallback>
        </mc:AlternateContent>
      </w:r>
    </w:p>
    <w:p w14:paraId="37753C8B" w14:textId="77777777" w:rsidR="008B4B2B" w:rsidRPr="001D6D10" w:rsidRDefault="008D2960" w:rsidP="008B4B2B">
      <w:pPr>
        <w:pStyle w:val="a0"/>
        <w:rPr>
          <w:sz w:val="22"/>
          <w:szCs w:val="22"/>
        </w:rPr>
      </w:pPr>
      <w:r w:rsidRPr="001D6D10">
        <w:rPr>
          <w:rFonts w:hint="eastAsia"/>
          <w:noProof/>
          <w:sz w:val="22"/>
          <w:szCs w:val="22"/>
        </w:rPr>
        <mc:AlternateContent>
          <mc:Choice Requires="wps">
            <w:drawing>
              <wp:anchor distT="0" distB="0" distL="114300" distR="114300" simplePos="0" relativeHeight="253346816" behindDoc="0" locked="0" layoutInCell="1" allowOverlap="1" wp14:anchorId="384A7878" wp14:editId="37CD0882">
                <wp:simplePos x="0" y="0"/>
                <wp:positionH relativeFrom="column">
                  <wp:posOffset>3868756</wp:posOffset>
                </wp:positionH>
                <wp:positionV relativeFrom="paragraph">
                  <wp:posOffset>205814</wp:posOffset>
                </wp:positionV>
                <wp:extent cx="0" cy="380738"/>
                <wp:effectExtent l="76200" t="38100" r="57150" b="19685"/>
                <wp:wrapNone/>
                <wp:docPr id="3965" name="Line 254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0" cy="380738"/>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line w14:anchorId="31C0FBA7" id="Line 2543" o:spid="_x0000_s1026" style="position:absolute;left:0;text-align:left;flip:y;z-index:253346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04.65pt,16.2pt" to="304.65pt,46.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">
                <v:stroke endarrow="block"/>
              </v:line>
            </w:pict>
          </mc:Fallback>
        </mc:AlternateContent>
      </w:r>
      <w:r w:rsidRPr="001D6D10">
        <w:rPr>
          <w:rFonts w:hint="eastAsia"/>
          <w:noProof/>
          <w:sz w:val="22"/>
          <w:szCs w:val="22"/>
        </w:rPr>
        <mc:AlternateContent>
          <mc:Choice Requires="wps">
            <w:drawing>
              <wp:anchor distT="0" distB="0" distL="114300" distR="114300" simplePos="0" relativeHeight="253553664" behindDoc="0" locked="0" layoutInCell="1" allowOverlap="1" wp14:anchorId="3F1E8B87" wp14:editId="4FCC2CF5">
                <wp:simplePos x="0" y="0"/>
                <wp:positionH relativeFrom="column">
                  <wp:posOffset>3554991</wp:posOffset>
                </wp:positionH>
                <wp:positionV relativeFrom="paragraph">
                  <wp:posOffset>205814</wp:posOffset>
                </wp:positionV>
                <wp:extent cx="0" cy="398929"/>
                <wp:effectExtent l="76200" t="0" r="57150" b="58420"/>
                <wp:wrapNone/>
                <wp:docPr id="3967" name="Line 254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398929"/>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line w14:anchorId="5E877CE2" id="Line 2541" o:spid="_x0000_s1026" style="position:absolute;left:0;text-align:left;z-index:2535536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79.9pt,16.2pt" to="279.9pt,47.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">
                <v:stroke endarrow="block"/>
              </v:line>
            </w:pict>
          </mc:Fallback>
        </mc:AlternateContent>
      </w:r>
      <w:r w:rsidRPr="001D6D10">
        <w:rPr>
          <w:rFonts w:hint="eastAsia"/>
          <w:noProof/>
          <w:sz w:val="22"/>
          <w:szCs w:val="22"/>
        </w:rPr>
        <mc:AlternateContent>
          <mc:Choice Requires="wps">
            <w:drawing>
              <wp:anchor distT="0" distB="0" distL="114300" distR="114300" simplePos="0" relativeHeight="253555712" behindDoc="0" locked="0" layoutInCell="1" allowOverlap="1" wp14:anchorId="2FFBB451" wp14:editId="66E582A7">
                <wp:simplePos x="0" y="0"/>
                <wp:positionH relativeFrom="column">
                  <wp:posOffset>3456380</wp:posOffset>
                </wp:positionH>
                <wp:positionV relativeFrom="paragraph">
                  <wp:posOffset>178921</wp:posOffset>
                </wp:positionV>
                <wp:extent cx="0" cy="417867"/>
                <wp:effectExtent l="76200" t="38100" r="57150" b="58420"/>
                <wp:wrapNone/>
                <wp:docPr id="3966" name="Line 254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417867"/>
                        </a:xfrm>
                        <a:prstGeom prst="line">
                          <a:avLst/>
                        </a:prstGeom>
                        <a:noFill/>
                        <a:ln w="9525">
                          <a:solidFill>
                            <a:srgbClr val="000000"/>
                          </a:solidFill>
                          <a:round/>
                          <a:headEnd type="triangle" w="med" len="me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line w14:anchorId="76231A2A" id="Line 2542" o:spid="_x0000_s1026" style="position:absolute;left:0;text-align:left;z-index:2535557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72.15pt,14.1pt" to="272.15pt,4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">
                <v:stroke startarrow="block" endarrow="block"/>
              </v:line>
            </w:pict>
          </mc:Fallback>
        </mc:AlternateContent>
      </w:r>
      <w:r w:rsidR="002646FF" w:rsidRPr="001D6D10">
        <w:rPr>
          <w:rFonts w:hint="eastAsia"/>
          <w:noProof/>
          <w:sz w:val="22"/>
          <w:szCs w:val="22"/>
        </w:rPr>
        <mc:AlternateContent>
          <mc:Choice Requires="wps">
            <w:drawing>
              <wp:anchor distT="0" distB="0" distL="114300" distR="114300" simplePos="0" relativeHeight="254094336" behindDoc="0" locked="0" layoutInCell="1" allowOverlap="1" wp14:anchorId="74EFA2DD" wp14:editId="0DD21DBB">
                <wp:simplePos x="0" y="0"/>
                <wp:positionH relativeFrom="column">
                  <wp:posOffset>4001135</wp:posOffset>
                </wp:positionH>
                <wp:positionV relativeFrom="paragraph">
                  <wp:posOffset>177240</wp:posOffset>
                </wp:positionV>
                <wp:extent cx="1057835" cy="268941"/>
                <wp:effectExtent l="0" t="0" r="28575" b="17145"/>
                <wp:wrapNone/>
                <wp:docPr id="4918" name="Rectangle 252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57835" cy="268941"/>
                        </a:xfrm>
                        <a:prstGeom prst="rect">
                          <a:avLst/>
                        </a:prstGeom>
                        <a:solidFill>
                          <a:srgbClr val="FFFFFF"/>
                        </a:solidFill>
                        <a:ln w="9525">
                          <a:solidFill>
                            <a:srgbClr val="000000"/>
                          </a:solidFill>
                          <a:miter lim="800000"/>
                          <a:headEnd/>
                          <a:tailEnd/>
                        </a:ln>
                      </wps:spPr>
                      <wps:txbx>
                        <w:txbxContent>
                          <w:p w14:paraId="51991C32" w14:textId="77777777" w:rsidR="006A5267" w:rsidRDefault="006A5267" w:rsidP="00F97D7D">
                            <w:pPr>
                              <w:spacing w:line="200" w:lineRule="exact"/>
                              <w:ind w:firstLineChars="50" w:firstLine="81"/>
                              <w:jc w:val="center"/>
                              <w:rPr>
                                <w:rFonts w:ascii="ＭＳ ゴシック" w:eastAsia="ＭＳ ゴシック" w:hAnsi="ＭＳ ゴシック"/>
                                <w:sz w:val="16"/>
                                <w:szCs w:val="22"/>
                              </w:rPr>
                            </w:pPr>
                            <w:r>
                              <w:rPr>
                                <w:rFonts w:ascii="ＭＳ ゴシック" w:eastAsia="ＭＳ ゴシック" w:hAnsi="ＭＳ ゴシック" w:hint="eastAsia"/>
                                <w:sz w:val="16"/>
                                <w:szCs w:val="22"/>
                              </w:rPr>
                              <w:t>災害ボランティア</w:t>
                            </w:r>
                          </w:p>
                          <w:p w14:paraId="79DB82A7" w14:textId="77777777" w:rsidR="006A5267" w:rsidRPr="00F97D7D" w:rsidRDefault="006A5267" w:rsidP="00F97D7D">
                            <w:pPr>
                              <w:spacing w:line="200" w:lineRule="exact"/>
                              <w:ind w:firstLineChars="50" w:firstLine="81"/>
                              <w:jc w:val="center"/>
                              <w:rPr>
                                <w:rFonts w:ascii="ＭＳ ゴシック" w:eastAsia="ＭＳ ゴシック" w:hAnsi="ＭＳ ゴシック"/>
                                <w:sz w:val="16"/>
                                <w:szCs w:val="22"/>
                              </w:rPr>
                            </w:pPr>
                            <w:r>
                              <w:rPr>
                                <w:rFonts w:ascii="ＭＳ ゴシック" w:eastAsia="ＭＳ ゴシック" w:hAnsi="ＭＳ ゴシック" w:hint="eastAsia"/>
                                <w:sz w:val="16"/>
                                <w:szCs w:val="22"/>
                              </w:rPr>
                              <w:t>センター</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rect w14:anchorId="74EFA2DD" id="Rectangle 2525" o:spid="_x0000_s1476" style="position:absolute;left:0;text-align:left;margin-left:315.05pt;margin-top:13.95pt;width:83.3pt;height:21.2pt;z-index:254094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">
                <v:textbox inset="5.85pt,.7pt,5.85pt,.7pt">
                  <w:txbxContent>
                    <w:p w14:paraId="51991C32" w14:textId="77777777" w:rsidR="006A5267" w:rsidRDefault="006A5267" w:rsidP="00F97D7D">
                      <w:pPr>
                        <w:spacing w:line="200" w:lineRule="exact"/>
                        <w:ind w:firstLineChars="50" w:firstLine="81"/>
                        <w:jc w:val="center"/>
                        <w:rPr>
                          <w:rFonts w:ascii="ＭＳ ゴシック" w:eastAsia="ＭＳ ゴシック" w:hAnsi="ＭＳ ゴシック"/>
                          <w:sz w:val="16"/>
                          <w:szCs w:val="22"/>
                        </w:rPr>
                      </w:pPr>
                      <w:r>
                        <w:rPr>
                          <w:rFonts w:ascii="ＭＳ ゴシック" w:eastAsia="ＭＳ ゴシック" w:hAnsi="ＭＳ ゴシック" w:hint="eastAsia"/>
                          <w:sz w:val="16"/>
                          <w:szCs w:val="22"/>
                        </w:rPr>
                        <w:t>災害ボランティア</w:t>
                      </w:r>
                    </w:p>
                    <w:p w14:paraId="79DB82A7" w14:textId="77777777" w:rsidR="006A5267" w:rsidRPr="00F97D7D" w:rsidRDefault="006A5267" w:rsidP="00F97D7D">
                      <w:pPr>
                        <w:spacing w:line="200" w:lineRule="exact"/>
                        <w:ind w:firstLineChars="50" w:firstLine="81"/>
                        <w:jc w:val="center"/>
                        <w:rPr>
                          <w:rFonts w:ascii="ＭＳ ゴシック" w:eastAsia="ＭＳ ゴシック" w:hAnsi="ＭＳ ゴシック"/>
                          <w:sz w:val="16"/>
                          <w:szCs w:val="22"/>
                        </w:rPr>
                      </w:pPr>
                      <w:r>
                        <w:rPr>
                          <w:rFonts w:ascii="ＭＳ ゴシック" w:eastAsia="ＭＳ ゴシック" w:hAnsi="ＭＳ ゴシック" w:hint="eastAsia"/>
                          <w:sz w:val="16"/>
                          <w:szCs w:val="22"/>
                        </w:rPr>
                        <w:t>センター</w:t>
                      </w:r>
                    </w:p>
                  </w:txbxContent>
                </v:textbox>
              </v:rect>
            </w:pict>
          </mc:Fallback>
        </mc:AlternateContent>
      </w:r>
      <w:r w:rsidR="00993DF5" w:rsidRPr="001D6D10">
        <w:rPr>
          <w:rFonts w:hint="eastAsia"/>
          <w:noProof/>
          <w:sz w:val="22"/>
          <w:szCs w:val="22"/>
        </w:rPr>
        <mc:AlternateContent>
          <mc:Choice Requires="wps">
            <w:drawing>
              <wp:anchor distT="0" distB="0" distL="114300" distR="114300" simplePos="0" relativeHeight="253363200" behindDoc="0" locked="0" layoutInCell="1" allowOverlap="1" wp14:anchorId="6B70CC9A" wp14:editId="50CB5956">
                <wp:simplePos x="0" y="0"/>
                <wp:positionH relativeFrom="column">
                  <wp:posOffset>74295</wp:posOffset>
                </wp:positionH>
                <wp:positionV relativeFrom="paragraph">
                  <wp:posOffset>168835</wp:posOffset>
                </wp:positionV>
                <wp:extent cx="1485900" cy="228600"/>
                <wp:effectExtent l="0" t="0" r="0" b="0"/>
                <wp:wrapNone/>
                <wp:docPr id="3961" name="Rectangle 256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85900" cy="2286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46F7CA0" w14:textId="77777777" w:rsidR="006A5267" w:rsidRPr="00F63BCE" w:rsidRDefault="006A5267" w:rsidP="008B4B2B">
                            <w:pPr>
                              <w:rPr>
                                <w:rFonts w:ascii="ＭＳ ゴシック" w:eastAsia="ＭＳ ゴシック" w:hAnsi="ＭＳ ゴシック"/>
                                <w:sz w:val="18"/>
                                <w:szCs w:val="18"/>
                              </w:rPr>
                            </w:pPr>
                            <w:r>
                              <w:rPr>
                                <w:rFonts w:ascii="ＭＳ ゴシック" w:eastAsia="ＭＳ ゴシック" w:hAnsi="ＭＳ ゴシック" w:hint="eastAsia"/>
                                <w:sz w:val="18"/>
                                <w:szCs w:val="18"/>
                              </w:rPr>
                              <w:t>（応援の指示・派遣調整）</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rect w14:anchorId="6B70CC9A" id="Rectangle 2560" o:spid="_x0000_s1477" style="position:absolute;left:0;text-align:left;margin-left:5.85pt;margin-top:13.3pt;width:117pt;height:18pt;z-index:2533632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" filled="f" stroked="f">
                <v:textbox inset="5.85pt,.7pt,5.85pt,.7pt">
                  <w:txbxContent>
                    <w:p w14:paraId="546F7CA0" w14:textId="77777777" w:rsidR="006A5267" w:rsidRPr="00F63BCE" w:rsidRDefault="006A5267" w:rsidP="008B4B2B">
                      <w:pPr>
                        <w:rPr>
                          <w:rFonts w:ascii="ＭＳ ゴシック" w:eastAsia="ＭＳ ゴシック" w:hAnsi="ＭＳ ゴシック"/>
                          <w:sz w:val="18"/>
                          <w:szCs w:val="18"/>
                        </w:rPr>
                      </w:pPr>
                      <w:r>
                        <w:rPr>
                          <w:rFonts w:ascii="ＭＳ ゴシック" w:eastAsia="ＭＳ ゴシック" w:hAnsi="ＭＳ ゴシック" w:hint="eastAsia"/>
                          <w:sz w:val="18"/>
                          <w:szCs w:val="18"/>
                        </w:rPr>
                        <w:t>（応援の指示・派遣調整）</w:t>
                      </w:r>
                    </w:p>
                  </w:txbxContent>
                </v:textbox>
              </v:rect>
            </w:pict>
          </mc:Fallback>
        </mc:AlternateContent>
      </w:r>
      <w:r w:rsidR="00CE57EE" w:rsidRPr="001D6D10">
        <w:rPr>
          <w:rFonts w:hint="eastAsia"/>
          <w:noProof/>
          <w:sz w:val="22"/>
          <w:szCs w:val="22"/>
        </w:rPr>
        <mc:AlternateContent>
          <mc:Choice Requires="wps">
            <w:drawing>
              <wp:anchor distT="0" distB="0" distL="114300" distR="114300" simplePos="0" relativeHeight="253347840" behindDoc="0" locked="0" layoutInCell="1" allowOverlap="1" wp14:anchorId="254CB66B" wp14:editId="242F203F">
                <wp:simplePos x="0" y="0"/>
                <wp:positionH relativeFrom="column">
                  <wp:posOffset>166333</wp:posOffset>
                </wp:positionH>
                <wp:positionV relativeFrom="paragraph">
                  <wp:posOffset>8591</wp:posOffset>
                </wp:positionV>
                <wp:extent cx="0" cy="521522"/>
                <wp:effectExtent l="0" t="0" r="19050" b="31115"/>
                <wp:wrapNone/>
                <wp:docPr id="3972" name="Line 254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0" cy="521522"/>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line w14:anchorId="20957373" id="Line 2544" o:spid="_x0000_s1026" style="position:absolute;left:0;text-align:left;flip:x;z-index:2533478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3.1pt,.7pt" to="13.1pt,41.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"/>
            </w:pict>
          </mc:Fallback>
        </mc:AlternateContent>
      </w:r>
    </w:p>
    <w:p w14:paraId="27A06369" w14:textId="77777777" w:rsidR="008B4B2B" w:rsidRPr="001D6D10" w:rsidRDefault="008D2960" w:rsidP="008B4B2B">
      <w:pPr>
        <w:pStyle w:val="a0"/>
        <w:rPr>
          <w:sz w:val="22"/>
          <w:szCs w:val="22"/>
        </w:rPr>
      </w:pPr>
      <w:r w:rsidRPr="001D6D10">
        <w:rPr>
          <w:rFonts w:hint="eastAsia"/>
          <w:noProof/>
          <w:sz w:val="22"/>
          <w:szCs w:val="22"/>
        </w:rPr>
        <mc:AlternateContent>
          <mc:Choice Requires="wps">
            <w:drawing>
              <wp:anchor distT="0" distB="0" distL="114300" distR="114300" simplePos="0" relativeHeight="254108672" behindDoc="0" locked="0" layoutInCell="1" allowOverlap="1" wp14:anchorId="6F786994" wp14:editId="3EF4C8DC">
                <wp:simplePos x="0" y="0"/>
                <wp:positionH relativeFrom="column">
                  <wp:posOffset>5267250</wp:posOffset>
                </wp:positionH>
                <wp:positionV relativeFrom="paragraph">
                  <wp:posOffset>8553</wp:posOffset>
                </wp:positionV>
                <wp:extent cx="0" cy="582332"/>
                <wp:effectExtent l="76200" t="38100" r="57150" b="27305"/>
                <wp:wrapNone/>
                <wp:docPr id="4926" name="直線矢印コネクタ 4926"/>
                <wp:cNvGraphicFramePr/>
                <a:graphic xmlns:a="http://schemas.openxmlformats.org/drawingml/2006/main">
                  <a:graphicData uri="http://schemas.microsoft.com/office/word/2010/wordprocessingShape">
                    <wps:wsp>
                      <wps:cNvCnPr/>
                      <wps:spPr>
                        <a:xfrm flipV="1">
                          <a:off x="0" y="0"/>
                          <a:ext cx="0" cy="582332"/>
                        </a:xfrm>
                        <a:prstGeom prst="straightConnector1">
                          <a:avLst/>
                        </a:prstGeom>
                        <a:ln w="9525">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shape w14:anchorId="791C17AE" id="直線矢印コネクタ 4926" o:spid="_x0000_s1026" type="#_x0000_t32" style="position:absolute;left:0;text-align:left;margin-left:414.75pt;margin-top:.65pt;width:0;height:45.85pt;flip:y;z-index:254108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" strokecolor="black [3213]">
                <v:stroke endarrow="block"/>
              </v:shape>
            </w:pict>
          </mc:Fallback>
        </mc:AlternateContent>
      </w:r>
      <w:r w:rsidR="007F3000" w:rsidRPr="001D6D10">
        <w:rPr>
          <w:rFonts w:hint="eastAsia"/>
          <w:noProof/>
          <w:sz w:val="22"/>
          <w:szCs w:val="22"/>
        </w:rPr>
        <mc:AlternateContent>
          <mc:Choice Requires="wps">
            <w:drawing>
              <wp:anchor distT="0" distB="0" distL="114300" distR="114300" simplePos="0" relativeHeight="253371392" behindDoc="0" locked="0" layoutInCell="1" allowOverlap="1" wp14:anchorId="6DF3D116" wp14:editId="4FCA6DB2">
                <wp:simplePos x="0" y="0"/>
                <wp:positionH relativeFrom="column">
                  <wp:posOffset>3244140</wp:posOffset>
                </wp:positionH>
                <wp:positionV relativeFrom="paragraph">
                  <wp:posOffset>12065</wp:posOffset>
                </wp:positionV>
                <wp:extent cx="228600" cy="295275"/>
                <wp:effectExtent l="0" t="0" r="0" b="9525"/>
                <wp:wrapNone/>
                <wp:docPr id="3963" name="Rectangle 256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8600" cy="2952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FFB35BF" w14:textId="77777777" w:rsidR="006A5267" w:rsidRPr="007F3000" w:rsidRDefault="006A5267" w:rsidP="007F3000">
                            <w:pPr>
                              <w:spacing w:line="200" w:lineRule="exact"/>
                              <w:rPr>
                                <w:rFonts w:ascii="ＭＳ ゴシック" w:eastAsia="ＭＳ ゴシック" w:hAnsi="ＭＳ ゴシック"/>
                                <w:sz w:val="18"/>
                                <w:szCs w:val="18"/>
                              </w:rPr>
                            </w:pPr>
                            <w:r w:rsidRPr="007F3000">
                              <w:rPr>
                                <w:rFonts w:ascii="ＭＳ ゴシック" w:eastAsia="ＭＳ ゴシック" w:hAnsi="ＭＳ ゴシック" w:hint="eastAsia"/>
                                <w:sz w:val="18"/>
                                <w:szCs w:val="18"/>
                              </w:rPr>
                              <w:t>協定</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rect w14:anchorId="6DF3D116" id="_x0000_s1478" style="position:absolute;left:0;text-align:left;margin-left:255.45pt;margin-top:.95pt;width:18pt;height:23.25pt;z-index:2533713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" filled="f" stroked="f">
                <v:textbox inset="5.85pt,.7pt,5.85pt,.7pt">
                  <w:txbxContent>
                    <w:p w14:paraId="0FFB35BF" w14:textId="77777777" w:rsidR="006A5267" w:rsidRPr="007F3000" w:rsidRDefault="006A5267" w:rsidP="007F3000">
                      <w:pPr>
                        <w:spacing w:line="200" w:lineRule="exact"/>
                        <w:rPr>
                          <w:rFonts w:ascii="ＭＳ ゴシック" w:eastAsia="ＭＳ ゴシック" w:hAnsi="ＭＳ ゴシック"/>
                          <w:sz w:val="18"/>
                          <w:szCs w:val="18"/>
                        </w:rPr>
                      </w:pPr>
                      <w:r w:rsidRPr="007F3000">
                        <w:rPr>
                          <w:rFonts w:ascii="ＭＳ ゴシック" w:eastAsia="ＭＳ ゴシック" w:hAnsi="ＭＳ ゴシック" w:hint="eastAsia"/>
                          <w:sz w:val="18"/>
                          <w:szCs w:val="18"/>
                        </w:rPr>
                        <w:t>協定</w:t>
                      </w:r>
                    </w:p>
                  </w:txbxContent>
                </v:textbox>
              </v:rect>
            </w:pict>
          </mc:Fallback>
        </mc:AlternateContent>
      </w:r>
      <w:r w:rsidR="007F3000" w:rsidRPr="001D6D10">
        <w:rPr>
          <w:rFonts w:hint="eastAsia"/>
          <w:noProof/>
          <w:sz w:val="22"/>
          <w:szCs w:val="22"/>
        </w:rPr>
        <mc:AlternateContent>
          <mc:Choice Requires="wps">
            <w:drawing>
              <wp:anchor distT="0" distB="0" distL="114300" distR="114300" simplePos="0" relativeHeight="254100480" behindDoc="0" locked="0" layoutInCell="1" allowOverlap="1" wp14:anchorId="1FE18677" wp14:editId="23DF3456">
                <wp:simplePos x="0" y="0"/>
                <wp:positionH relativeFrom="column">
                  <wp:posOffset>3664510</wp:posOffset>
                </wp:positionH>
                <wp:positionV relativeFrom="paragraph">
                  <wp:posOffset>8255</wp:posOffset>
                </wp:positionV>
                <wp:extent cx="228600" cy="295275"/>
                <wp:effectExtent l="0" t="0" r="0" b="9525"/>
                <wp:wrapNone/>
                <wp:docPr id="4921" name="Rectangle 256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8600" cy="2952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9DF89C4" w14:textId="77777777" w:rsidR="006A5267" w:rsidRPr="007F3000" w:rsidRDefault="006A5267" w:rsidP="007F3000">
                            <w:pPr>
                              <w:spacing w:line="200" w:lineRule="exact"/>
                              <w:rPr>
                                <w:rFonts w:ascii="ＭＳ ゴシック" w:eastAsia="ＭＳ ゴシック" w:hAnsi="ＭＳ ゴシック"/>
                                <w:sz w:val="18"/>
                                <w:szCs w:val="18"/>
                              </w:rPr>
                            </w:pPr>
                            <w:r>
                              <w:rPr>
                                <w:rFonts w:ascii="ＭＳ ゴシック" w:eastAsia="ＭＳ ゴシック" w:hAnsi="ＭＳ ゴシック" w:hint="eastAsia"/>
                                <w:sz w:val="18"/>
                                <w:szCs w:val="18"/>
                              </w:rPr>
                              <w:t>応援</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rect w14:anchorId="1FE18677" id="_x0000_s1479" style="position:absolute;left:0;text-align:left;margin-left:288.55pt;margin-top:.65pt;width:18pt;height:23.25pt;z-index:254100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" filled="f" stroked="f">
                <v:textbox inset="5.85pt,.7pt,5.85pt,.7pt">
                  <w:txbxContent>
                    <w:p w14:paraId="29DF89C4" w14:textId="77777777" w:rsidR="006A5267" w:rsidRPr="007F3000" w:rsidRDefault="006A5267" w:rsidP="007F3000">
                      <w:pPr>
                        <w:spacing w:line="200" w:lineRule="exact"/>
                        <w:rPr>
                          <w:rFonts w:ascii="ＭＳ ゴシック" w:eastAsia="ＭＳ ゴシック" w:hAnsi="ＭＳ ゴシック"/>
                          <w:sz w:val="18"/>
                          <w:szCs w:val="18"/>
                        </w:rPr>
                      </w:pPr>
                      <w:r>
                        <w:rPr>
                          <w:rFonts w:ascii="ＭＳ ゴシック" w:eastAsia="ＭＳ ゴシック" w:hAnsi="ＭＳ ゴシック" w:hint="eastAsia"/>
                          <w:sz w:val="18"/>
                          <w:szCs w:val="18"/>
                        </w:rPr>
                        <w:t>応援</w:t>
                      </w:r>
                    </w:p>
                  </w:txbxContent>
                </v:textbox>
              </v:rect>
            </w:pict>
          </mc:Fallback>
        </mc:AlternateContent>
      </w:r>
      <w:r w:rsidR="007F3000" w:rsidRPr="001D6D10">
        <w:rPr>
          <w:rFonts w:hint="eastAsia"/>
          <w:noProof/>
          <w:sz w:val="22"/>
          <w:szCs w:val="22"/>
        </w:rPr>
        <mc:AlternateContent>
          <mc:Choice Requires="wps">
            <w:drawing>
              <wp:anchor distT="0" distB="0" distL="114300" distR="114300" simplePos="0" relativeHeight="254098432" behindDoc="0" locked="0" layoutInCell="1" allowOverlap="1" wp14:anchorId="0213110A" wp14:editId="44E78595">
                <wp:simplePos x="0" y="0"/>
                <wp:positionH relativeFrom="column">
                  <wp:posOffset>3505200</wp:posOffset>
                </wp:positionH>
                <wp:positionV relativeFrom="paragraph">
                  <wp:posOffset>15950</wp:posOffset>
                </wp:positionV>
                <wp:extent cx="228600" cy="295275"/>
                <wp:effectExtent l="0" t="0" r="0" b="9525"/>
                <wp:wrapNone/>
                <wp:docPr id="4920" name="Rectangle 256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8600" cy="2952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DB0BB99" w14:textId="77777777" w:rsidR="006A5267" w:rsidRPr="007F3000" w:rsidRDefault="006A5267" w:rsidP="007F3000">
                            <w:pPr>
                              <w:spacing w:line="200" w:lineRule="exact"/>
                              <w:rPr>
                                <w:rFonts w:ascii="ＭＳ ゴシック" w:eastAsia="ＭＳ ゴシック" w:hAnsi="ＭＳ ゴシック"/>
                                <w:sz w:val="18"/>
                                <w:szCs w:val="18"/>
                              </w:rPr>
                            </w:pPr>
                            <w:r>
                              <w:rPr>
                                <w:rFonts w:ascii="ＭＳ ゴシック" w:eastAsia="ＭＳ ゴシック" w:hAnsi="ＭＳ ゴシック" w:hint="eastAsia"/>
                                <w:sz w:val="18"/>
                                <w:szCs w:val="18"/>
                              </w:rPr>
                              <w:t>要請</w:t>
                            </w:r>
                            <w:r>
                              <w:rPr>
                                <w:rFonts w:ascii="ＭＳ ゴシック" w:eastAsia="ＭＳ ゴシック" w:hAnsi="ＭＳ ゴシック"/>
                                <w:sz w:val="18"/>
                                <w:szCs w:val="18"/>
                              </w:rPr>
                              <w:t>」</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rect w14:anchorId="0213110A" id="_x0000_s1480" style="position:absolute;left:0;text-align:left;margin-left:276pt;margin-top:1.25pt;width:18pt;height:23.25pt;z-index:254098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" filled="f" stroked="f">
                <v:textbox inset="5.85pt,.7pt,5.85pt,.7pt">
                  <w:txbxContent>
                    <w:p w14:paraId="5DB0BB99" w14:textId="77777777" w:rsidR="006A5267" w:rsidRPr="007F3000" w:rsidRDefault="006A5267" w:rsidP="007F3000">
                      <w:pPr>
                        <w:spacing w:line="200" w:lineRule="exact"/>
                        <w:rPr>
                          <w:rFonts w:ascii="ＭＳ ゴシック" w:eastAsia="ＭＳ ゴシック" w:hAnsi="ＭＳ ゴシック"/>
                          <w:sz w:val="18"/>
                          <w:szCs w:val="18"/>
                        </w:rPr>
                      </w:pPr>
                      <w:r>
                        <w:rPr>
                          <w:rFonts w:ascii="ＭＳ ゴシック" w:eastAsia="ＭＳ ゴシック" w:hAnsi="ＭＳ ゴシック" w:hint="eastAsia"/>
                          <w:sz w:val="18"/>
                          <w:szCs w:val="18"/>
                        </w:rPr>
                        <w:t>要請</w:t>
                      </w:r>
                      <w:r>
                        <w:rPr>
                          <w:rFonts w:ascii="ＭＳ ゴシック" w:eastAsia="ＭＳ ゴシック" w:hAnsi="ＭＳ ゴシック"/>
                          <w:sz w:val="18"/>
                          <w:szCs w:val="18"/>
                        </w:rPr>
                        <w:t>」</w:t>
                      </w:r>
                    </w:p>
                  </w:txbxContent>
                </v:textbox>
              </v:rect>
            </w:pict>
          </mc:Fallback>
        </mc:AlternateContent>
      </w:r>
      <w:r w:rsidR="008B4B2B" w:rsidRPr="001D6D10">
        <w:rPr>
          <w:rFonts w:hint="eastAsia"/>
          <w:noProof/>
          <w:sz w:val="22"/>
          <w:szCs w:val="22"/>
        </w:rPr>
        <mc:AlternateContent>
          <mc:Choice Requires="wps">
            <w:drawing>
              <wp:anchor distT="0" distB="0" distL="114300" distR="114300" simplePos="0" relativeHeight="253330432" behindDoc="0" locked="0" layoutInCell="1" allowOverlap="1" wp14:anchorId="6CD854C9" wp14:editId="00FC83C4">
                <wp:simplePos x="0" y="0"/>
                <wp:positionH relativeFrom="column">
                  <wp:posOffset>1417320</wp:posOffset>
                </wp:positionH>
                <wp:positionV relativeFrom="paragraph">
                  <wp:posOffset>168910</wp:posOffset>
                </wp:positionV>
                <wp:extent cx="914400" cy="228600"/>
                <wp:effectExtent l="7620" t="6985" r="11430" b="12065"/>
                <wp:wrapNone/>
                <wp:docPr id="3958" name="Rectangle 252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14400" cy="228600"/>
                        </a:xfrm>
                        <a:prstGeom prst="rect">
                          <a:avLst/>
                        </a:prstGeom>
                        <a:solidFill>
                          <a:srgbClr val="FFFFFF"/>
                        </a:solidFill>
                        <a:ln w="9525">
                          <a:solidFill>
                            <a:srgbClr val="000000"/>
                          </a:solidFill>
                          <a:miter lim="800000"/>
                          <a:headEnd/>
                          <a:tailEnd/>
                        </a:ln>
                      </wps:spPr>
                      <wps:txbx>
                        <w:txbxContent>
                          <w:p w14:paraId="570A8CCD" w14:textId="77777777" w:rsidR="006A5267" w:rsidRPr="000020DE" w:rsidRDefault="006A5267" w:rsidP="008B4B2B">
                            <w:pPr>
                              <w:rPr>
                                <w:rFonts w:ascii="ＭＳ ゴシック" w:eastAsia="ＭＳ ゴシック" w:hAnsi="ＭＳ ゴシック"/>
                                <w:sz w:val="22"/>
                                <w:szCs w:val="22"/>
                              </w:rPr>
                            </w:pPr>
                            <w:r w:rsidRPr="000020DE">
                              <w:rPr>
                                <w:rFonts w:ascii="ＭＳ ゴシック" w:eastAsia="ＭＳ ゴシック" w:hAnsi="ＭＳ ゴシック" w:hint="eastAsia"/>
                                <w:sz w:val="22"/>
                                <w:szCs w:val="22"/>
                              </w:rPr>
                              <w:t>他都道府県</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rect w14:anchorId="6CD854C9" id="Rectangle 2524" o:spid="_x0000_s1481" style="position:absolute;left:0;text-align:left;margin-left:111.6pt;margin-top:13.3pt;width:1in;height:18pt;z-index:253330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">
                <v:textbox inset="5.85pt,.7pt,5.85pt,.7pt">
                  <w:txbxContent>
                    <w:p w14:paraId="570A8CCD" w14:textId="77777777" w:rsidR="006A5267" w:rsidRPr="000020DE" w:rsidRDefault="006A5267" w:rsidP="008B4B2B">
                      <w:pPr>
                        <w:rPr>
                          <w:rFonts w:ascii="ＭＳ ゴシック" w:eastAsia="ＭＳ ゴシック" w:hAnsi="ＭＳ ゴシック"/>
                          <w:sz w:val="22"/>
                          <w:szCs w:val="22"/>
                        </w:rPr>
                      </w:pPr>
                      <w:r w:rsidRPr="000020DE">
                        <w:rPr>
                          <w:rFonts w:ascii="ＭＳ ゴシック" w:eastAsia="ＭＳ ゴシック" w:hAnsi="ＭＳ ゴシック" w:hint="eastAsia"/>
                          <w:sz w:val="22"/>
                          <w:szCs w:val="22"/>
                        </w:rPr>
                        <w:t>他都道府県</w:t>
                      </w:r>
                    </w:p>
                  </w:txbxContent>
                </v:textbox>
              </v:rect>
            </w:pict>
          </mc:Fallback>
        </mc:AlternateContent>
      </w:r>
    </w:p>
    <w:p w14:paraId="4F126E7D" w14:textId="77777777" w:rsidR="008B4B2B" w:rsidRPr="001D6D10" w:rsidRDefault="008D2960" w:rsidP="008B4B2B">
      <w:pPr>
        <w:pStyle w:val="a0"/>
        <w:rPr>
          <w:sz w:val="22"/>
          <w:szCs w:val="22"/>
        </w:rPr>
      </w:pPr>
      <w:r w:rsidRPr="001D6D10">
        <w:rPr>
          <w:rFonts w:hint="eastAsia"/>
          <w:noProof/>
          <w:sz w:val="22"/>
          <w:szCs w:val="22"/>
        </w:rPr>
        <mc:AlternateContent>
          <mc:Choice Requires="wps">
            <w:drawing>
              <wp:anchor distT="0" distB="0" distL="114300" distR="114300" simplePos="0" relativeHeight="254110720" behindDoc="0" locked="0" layoutInCell="1" allowOverlap="1" wp14:anchorId="364369F5" wp14:editId="7257B97C">
                <wp:simplePos x="0" y="0"/>
                <wp:positionH relativeFrom="margin">
                  <wp:posOffset>4515149</wp:posOffset>
                </wp:positionH>
                <wp:positionV relativeFrom="paragraph">
                  <wp:posOffset>129465</wp:posOffset>
                </wp:positionV>
                <wp:extent cx="448235" cy="161364"/>
                <wp:effectExtent l="0" t="0" r="0" b="0"/>
                <wp:wrapNone/>
                <wp:docPr id="4927" name="Rectangle 256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48235" cy="16136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5F2081A" w14:textId="77777777" w:rsidR="006A5267" w:rsidRPr="007F3000" w:rsidRDefault="006A5267" w:rsidP="007F3000">
                            <w:pPr>
                              <w:spacing w:line="200" w:lineRule="exact"/>
                              <w:rPr>
                                <w:rFonts w:ascii="ＭＳ ゴシック" w:eastAsia="ＭＳ ゴシック" w:hAnsi="ＭＳ ゴシック"/>
                                <w:sz w:val="18"/>
                                <w:szCs w:val="18"/>
                              </w:rPr>
                            </w:pPr>
                            <w:r>
                              <w:rPr>
                                <w:rFonts w:ascii="ＭＳ ゴシック" w:eastAsia="ＭＳ ゴシック" w:hAnsi="ＭＳ ゴシック" w:hint="eastAsia"/>
                                <w:sz w:val="18"/>
                                <w:szCs w:val="18"/>
                              </w:rPr>
                              <w:t>調整</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rect w14:anchorId="364369F5" id="_x0000_s1482" style="position:absolute;left:0;text-align:left;margin-left:355.5pt;margin-top:10.2pt;width:35.3pt;height:12.7pt;z-index:25411072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" filled="f" stroked="f">
                <v:textbox inset="5.85pt,.7pt,5.85pt,.7pt">
                  <w:txbxContent>
                    <w:p w14:paraId="05F2081A" w14:textId="77777777" w:rsidR="006A5267" w:rsidRPr="007F3000" w:rsidRDefault="006A5267" w:rsidP="007F3000">
                      <w:pPr>
                        <w:spacing w:line="200" w:lineRule="exact"/>
                        <w:rPr>
                          <w:rFonts w:ascii="ＭＳ ゴシック" w:eastAsia="ＭＳ ゴシック" w:hAnsi="ＭＳ ゴシック"/>
                          <w:sz w:val="18"/>
                          <w:szCs w:val="18"/>
                        </w:rPr>
                      </w:pPr>
                      <w:r>
                        <w:rPr>
                          <w:rFonts w:ascii="ＭＳ ゴシック" w:eastAsia="ＭＳ ゴシック" w:hAnsi="ＭＳ ゴシック" w:hint="eastAsia"/>
                          <w:sz w:val="18"/>
                          <w:szCs w:val="18"/>
                        </w:rPr>
                        <w:t>調整</w:t>
                      </w:r>
                    </w:p>
                  </w:txbxContent>
                </v:textbox>
                <w10:wrap anchorx="margin"/>
              </v:rect>
            </w:pict>
          </mc:Fallback>
        </mc:AlternateContent>
      </w:r>
      <w:r w:rsidRPr="001D6D10">
        <w:rPr>
          <w:rFonts w:hint="eastAsia"/>
          <w:noProof/>
          <w:sz w:val="22"/>
          <w:szCs w:val="22"/>
        </w:rPr>
        <mc:AlternateContent>
          <mc:Choice Requires="wps">
            <w:drawing>
              <wp:anchor distT="0" distB="0" distL="114300" distR="114300" simplePos="0" relativeHeight="254102528" behindDoc="0" locked="0" layoutInCell="1" allowOverlap="1" wp14:anchorId="0D34DA53" wp14:editId="2A73CE99">
                <wp:simplePos x="0" y="0"/>
                <wp:positionH relativeFrom="margin">
                  <wp:align>right</wp:align>
                </wp:positionH>
                <wp:positionV relativeFrom="paragraph">
                  <wp:posOffset>137869</wp:posOffset>
                </wp:positionV>
                <wp:extent cx="448235" cy="161364"/>
                <wp:effectExtent l="0" t="0" r="0" b="0"/>
                <wp:wrapNone/>
                <wp:docPr id="4922" name="Rectangle 256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48235" cy="16136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875BDE4" w14:textId="77777777" w:rsidR="006A5267" w:rsidRPr="007F3000" w:rsidRDefault="006A5267" w:rsidP="007F3000">
                            <w:pPr>
                              <w:spacing w:line="200" w:lineRule="exact"/>
                              <w:rPr>
                                <w:rFonts w:ascii="ＭＳ ゴシック" w:eastAsia="ＭＳ ゴシック" w:hAnsi="ＭＳ ゴシック"/>
                                <w:sz w:val="18"/>
                                <w:szCs w:val="18"/>
                              </w:rPr>
                            </w:pPr>
                            <w:r>
                              <w:rPr>
                                <w:rFonts w:ascii="ＭＳ ゴシック" w:eastAsia="ＭＳ ゴシック" w:hAnsi="ＭＳ ゴシック" w:hint="eastAsia"/>
                                <w:sz w:val="18"/>
                                <w:szCs w:val="18"/>
                              </w:rPr>
                              <w:t>支援</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rect w14:anchorId="0D34DA53" id="_x0000_s1483" style="position:absolute;left:0;text-align:left;margin-left:-15.9pt;margin-top:10.85pt;width:35.3pt;height:12.7pt;z-index:254102528;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" filled="f" stroked="f">
                <v:textbox inset="5.85pt,.7pt,5.85pt,.7pt">
                  <w:txbxContent>
                    <w:p w14:paraId="3875BDE4" w14:textId="77777777" w:rsidR="006A5267" w:rsidRPr="007F3000" w:rsidRDefault="006A5267" w:rsidP="007F3000">
                      <w:pPr>
                        <w:spacing w:line="200" w:lineRule="exact"/>
                        <w:rPr>
                          <w:rFonts w:ascii="ＭＳ ゴシック" w:eastAsia="ＭＳ ゴシック" w:hAnsi="ＭＳ ゴシック"/>
                          <w:sz w:val="18"/>
                          <w:szCs w:val="18"/>
                        </w:rPr>
                      </w:pPr>
                      <w:r>
                        <w:rPr>
                          <w:rFonts w:ascii="ＭＳ ゴシック" w:eastAsia="ＭＳ ゴシック" w:hAnsi="ＭＳ ゴシック" w:hint="eastAsia"/>
                          <w:sz w:val="18"/>
                          <w:szCs w:val="18"/>
                        </w:rPr>
                        <w:t>支援</w:t>
                      </w:r>
                    </w:p>
                  </w:txbxContent>
                </v:textbox>
                <w10:wrap anchorx="margin"/>
              </v:rect>
            </w:pict>
          </mc:Fallback>
        </mc:AlternateContent>
      </w:r>
      <w:r w:rsidR="007F3000" w:rsidRPr="001D6D10">
        <w:rPr>
          <w:rFonts w:hint="eastAsia"/>
          <w:noProof/>
          <w:sz w:val="22"/>
          <w:szCs w:val="22"/>
        </w:rPr>
        <mc:AlternateContent>
          <mc:Choice Requires="wps">
            <w:drawing>
              <wp:anchor distT="0" distB="0" distL="114300" distR="114300" simplePos="0" relativeHeight="254104576" behindDoc="0" locked="0" layoutInCell="1" allowOverlap="1" wp14:anchorId="3B734A6C" wp14:editId="37C98F09">
                <wp:simplePos x="0" y="0"/>
                <wp:positionH relativeFrom="column">
                  <wp:posOffset>4541109</wp:posOffset>
                </wp:positionH>
                <wp:positionV relativeFrom="paragraph">
                  <wp:posOffset>17481</wp:posOffset>
                </wp:positionV>
                <wp:extent cx="0" cy="349624"/>
                <wp:effectExtent l="76200" t="0" r="76200" b="50800"/>
                <wp:wrapNone/>
                <wp:docPr id="4923" name="Line 254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349624"/>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line w14:anchorId="268E1DEE" id="Line 2541" o:spid="_x0000_s1026" style="position:absolute;left:0;text-align:left;z-index:254104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57.55pt,1.4pt" to="357.55pt,28.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">
                <v:stroke endarrow="block"/>
              </v:line>
            </w:pict>
          </mc:Fallback>
        </mc:AlternateContent>
      </w:r>
      <w:r w:rsidR="002646FF" w:rsidRPr="001D6D10">
        <w:rPr>
          <w:rFonts w:hint="eastAsia"/>
          <w:noProof/>
          <w:sz w:val="22"/>
          <w:szCs w:val="22"/>
        </w:rPr>
        <mc:AlternateContent>
          <mc:Choice Requires="wps">
            <w:drawing>
              <wp:anchor distT="0" distB="0" distL="114300" distR="114300" simplePos="0" relativeHeight="254022656" behindDoc="0" locked="0" layoutInCell="1" allowOverlap="1" wp14:anchorId="45F65F9E" wp14:editId="4A8122BD">
                <wp:simplePos x="0" y="0"/>
                <wp:positionH relativeFrom="column">
                  <wp:posOffset>3060065</wp:posOffset>
                </wp:positionH>
                <wp:positionV relativeFrom="paragraph">
                  <wp:posOffset>149935</wp:posOffset>
                </wp:positionV>
                <wp:extent cx="895985" cy="228600"/>
                <wp:effectExtent l="0" t="0" r="18415" b="19050"/>
                <wp:wrapNone/>
                <wp:docPr id="3959" name="Rectangle 252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895985" cy="228600"/>
                        </a:xfrm>
                        <a:prstGeom prst="rect">
                          <a:avLst/>
                        </a:prstGeom>
                        <a:solidFill>
                          <a:srgbClr val="FFFFFF"/>
                        </a:solidFill>
                        <a:ln w="9525">
                          <a:solidFill>
                            <a:srgbClr val="000000"/>
                          </a:solidFill>
                          <a:miter lim="800000"/>
                          <a:headEnd/>
                          <a:tailEnd/>
                        </a:ln>
                      </wps:spPr>
                      <wps:txbx>
                        <w:txbxContent>
                          <w:p w14:paraId="39EA0980" w14:textId="77777777" w:rsidR="006A5267" w:rsidRPr="000020DE" w:rsidRDefault="006A5267" w:rsidP="008B4B2B">
                            <w:pPr>
                              <w:ind w:firstLineChars="50" w:firstLine="111"/>
                              <w:rPr>
                                <w:rFonts w:ascii="ＭＳ ゴシック" w:eastAsia="ＭＳ ゴシック" w:hAnsi="ＭＳ ゴシック"/>
                                <w:sz w:val="22"/>
                                <w:szCs w:val="22"/>
                              </w:rPr>
                            </w:pPr>
                            <w:r w:rsidRPr="000020DE">
                              <w:rPr>
                                <w:rFonts w:ascii="ＭＳ ゴシック" w:eastAsia="ＭＳ ゴシック" w:hAnsi="ＭＳ ゴシック" w:hint="eastAsia"/>
                                <w:sz w:val="22"/>
                                <w:szCs w:val="22"/>
                              </w:rPr>
                              <w:t>他</w:t>
                            </w:r>
                            <w:r>
                              <w:rPr>
                                <w:rFonts w:ascii="ＭＳ ゴシック" w:eastAsia="ＭＳ ゴシック" w:hAnsi="ＭＳ ゴシック" w:hint="eastAsia"/>
                                <w:sz w:val="22"/>
                                <w:szCs w:val="22"/>
                              </w:rPr>
                              <w:t>市町村</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rect w14:anchorId="45F65F9E" id="_x0000_s1484" style="position:absolute;left:0;text-align:left;margin-left:240.95pt;margin-top:11.8pt;width:70.55pt;height:18pt;z-index:2540226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">
                <v:textbox inset="5.85pt,.7pt,5.85pt,.7pt">
                  <w:txbxContent>
                    <w:p w14:paraId="39EA0980" w14:textId="77777777" w:rsidR="006A5267" w:rsidRPr="000020DE" w:rsidRDefault="006A5267" w:rsidP="008B4B2B">
                      <w:pPr>
                        <w:ind w:firstLineChars="50" w:firstLine="111"/>
                        <w:rPr>
                          <w:rFonts w:ascii="ＭＳ ゴシック" w:eastAsia="ＭＳ ゴシック" w:hAnsi="ＭＳ ゴシック"/>
                          <w:sz w:val="22"/>
                          <w:szCs w:val="22"/>
                        </w:rPr>
                      </w:pPr>
                      <w:r w:rsidRPr="000020DE">
                        <w:rPr>
                          <w:rFonts w:ascii="ＭＳ ゴシック" w:eastAsia="ＭＳ ゴシック" w:hAnsi="ＭＳ ゴシック" w:hint="eastAsia"/>
                          <w:sz w:val="22"/>
                          <w:szCs w:val="22"/>
                        </w:rPr>
                        <w:t>他</w:t>
                      </w:r>
                      <w:r>
                        <w:rPr>
                          <w:rFonts w:ascii="ＭＳ ゴシック" w:eastAsia="ＭＳ ゴシック" w:hAnsi="ＭＳ ゴシック" w:hint="eastAsia"/>
                          <w:sz w:val="22"/>
                          <w:szCs w:val="22"/>
                        </w:rPr>
                        <w:t>市町村</w:t>
                      </w:r>
                    </w:p>
                  </w:txbxContent>
                </v:textbox>
              </v:rect>
            </w:pict>
          </mc:Fallback>
        </mc:AlternateContent>
      </w:r>
      <w:r w:rsidR="00CE57EE" w:rsidRPr="001D6D10">
        <w:rPr>
          <w:rFonts w:hint="eastAsia"/>
          <w:noProof/>
          <w:sz w:val="22"/>
          <w:szCs w:val="22"/>
        </w:rPr>
        <mc:AlternateContent>
          <mc:Choice Requires="wps">
            <w:drawing>
              <wp:anchor distT="0" distB="0" distL="114300" distR="114300" simplePos="0" relativeHeight="253349888" behindDoc="0" locked="0" layoutInCell="1" allowOverlap="1" wp14:anchorId="1557CA96" wp14:editId="571E77AA">
                <wp:simplePos x="0" y="0"/>
                <wp:positionH relativeFrom="column">
                  <wp:posOffset>2335791</wp:posOffset>
                </wp:positionH>
                <wp:positionV relativeFrom="paragraph">
                  <wp:posOffset>53340</wp:posOffset>
                </wp:positionV>
                <wp:extent cx="242048" cy="0"/>
                <wp:effectExtent l="0" t="0" r="24765" b="19050"/>
                <wp:wrapNone/>
                <wp:docPr id="3955" name="Line 254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42048"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line w14:anchorId="2D71756C" id="Line 2546" o:spid="_x0000_s1026" style="position:absolute;left:0;text-align:left;z-index:2533498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83.9pt,4.2pt" to="202.95pt,4.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"/>
            </w:pict>
          </mc:Fallback>
        </mc:AlternateContent>
      </w:r>
      <w:r w:rsidR="008B4B2B" w:rsidRPr="001D6D10">
        <w:rPr>
          <w:rFonts w:hint="eastAsia"/>
          <w:noProof/>
          <w:sz w:val="22"/>
          <w:szCs w:val="22"/>
        </w:rPr>
        <mc:AlternateContent>
          <mc:Choice Requires="wps">
            <w:drawing>
              <wp:anchor distT="0" distB="0" distL="114300" distR="114300" simplePos="0" relativeHeight="253348864" behindDoc="0" locked="0" layoutInCell="1" allowOverlap="1" wp14:anchorId="7AF5A963" wp14:editId="46E187C7">
                <wp:simplePos x="0" y="0"/>
                <wp:positionH relativeFrom="column">
                  <wp:posOffset>160020</wp:posOffset>
                </wp:positionH>
                <wp:positionV relativeFrom="paragraph">
                  <wp:posOffset>54610</wp:posOffset>
                </wp:positionV>
                <wp:extent cx="1257300" cy="0"/>
                <wp:effectExtent l="7620" t="54610" r="20955" b="59690"/>
                <wp:wrapNone/>
                <wp:docPr id="3954" name="Line 254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257300" cy="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line w14:anchorId="3C47DD04" id="Line 2545" o:spid="_x0000_s1026" style="position:absolute;left:0;text-align:left;z-index:2533488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2.6pt,4.3pt" to="111.6pt,4.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">
                <v:stroke endarrow="block"/>
              </v:line>
            </w:pict>
          </mc:Fallback>
        </mc:AlternateContent>
      </w:r>
    </w:p>
    <w:p w14:paraId="112585DC" w14:textId="77777777" w:rsidR="008B4B2B" w:rsidRPr="001D6D10" w:rsidRDefault="007F3000" w:rsidP="008B4B2B">
      <w:pPr>
        <w:pStyle w:val="a0"/>
        <w:ind w:firstLineChars="200" w:firstLine="442"/>
        <w:rPr>
          <w:rFonts w:ascii="ＭＳ ゴシック" w:eastAsia="ＭＳ ゴシック"/>
          <w:sz w:val="22"/>
          <w:szCs w:val="22"/>
        </w:rPr>
      </w:pPr>
      <w:r w:rsidRPr="001D6D10">
        <w:rPr>
          <w:rFonts w:hint="eastAsia"/>
          <w:noProof/>
          <w:sz w:val="22"/>
          <w:szCs w:val="22"/>
        </w:rPr>
        <mc:AlternateContent>
          <mc:Choice Requires="wps">
            <w:drawing>
              <wp:anchor distT="0" distB="0" distL="114300" distR="114300" simplePos="0" relativeHeight="254096384" behindDoc="0" locked="0" layoutInCell="1" allowOverlap="1" wp14:anchorId="15475632" wp14:editId="5522C106">
                <wp:simplePos x="0" y="0"/>
                <wp:positionH relativeFrom="column">
                  <wp:posOffset>4397673</wp:posOffset>
                </wp:positionH>
                <wp:positionV relativeFrom="paragraph">
                  <wp:posOffset>142949</wp:posOffset>
                </wp:positionV>
                <wp:extent cx="1102659" cy="170329"/>
                <wp:effectExtent l="0" t="0" r="21590" b="20320"/>
                <wp:wrapNone/>
                <wp:docPr id="4919" name="Rectangle 252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02659" cy="170329"/>
                        </a:xfrm>
                        <a:prstGeom prst="rect">
                          <a:avLst/>
                        </a:prstGeom>
                        <a:solidFill>
                          <a:srgbClr val="FFFFFF"/>
                        </a:solidFill>
                        <a:ln w="9525">
                          <a:solidFill>
                            <a:srgbClr val="000000"/>
                          </a:solidFill>
                          <a:miter lim="800000"/>
                          <a:headEnd/>
                          <a:tailEnd/>
                        </a:ln>
                      </wps:spPr>
                      <wps:txbx>
                        <w:txbxContent>
                          <w:p w14:paraId="2ED459F8" w14:textId="77777777" w:rsidR="006A5267" w:rsidRDefault="006A5267" w:rsidP="00F97D7D">
                            <w:pPr>
                              <w:spacing w:line="200" w:lineRule="exact"/>
                              <w:ind w:firstLineChars="50" w:firstLine="81"/>
                              <w:jc w:val="center"/>
                              <w:rPr>
                                <w:rFonts w:ascii="ＭＳ ゴシック" w:eastAsia="ＭＳ ゴシック" w:hAnsi="ＭＳ ゴシック"/>
                                <w:sz w:val="16"/>
                                <w:szCs w:val="22"/>
                              </w:rPr>
                            </w:pPr>
                            <w:r>
                              <w:rPr>
                                <w:rFonts w:ascii="ＭＳ ゴシック" w:eastAsia="ＭＳ ゴシック" w:hAnsi="ＭＳ ゴシック" w:hint="eastAsia"/>
                                <w:sz w:val="16"/>
                                <w:szCs w:val="22"/>
                              </w:rPr>
                              <w:t>ボランティア</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rect w14:anchorId="15475632" id="_x0000_s1485" style="position:absolute;left:0;text-align:left;margin-left:346.25pt;margin-top:11.25pt;width:86.8pt;height:13.4pt;z-index:254096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">
                <v:textbox inset="5.85pt,.7pt,5.85pt,.7pt">
                  <w:txbxContent>
                    <w:p w14:paraId="2ED459F8" w14:textId="77777777" w:rsidR="006A5267" w:rsidRDefault="006A5267" w:rsidP="00F97D7D">
                      <w:pPr>
                        <w:spacing w:line="200" w:lineRule="exact"/>
                        <w:ind w:firstLineChars="50" w:firstLine="81"/>
                        <w:jc w:val="center"/>
                        <w:rPr>
                          <w:rFonts w:ascii="ＭＳ ゴシック" w:eastAsia="ＭＳ ゴシック" w:hAnsi="ＭＳ ゴシック"/>
                          <w:sz w:val="16"/>
                          <w:szCs w:val="22"/>
                        </w:rPr>
                      </w:pPr>
                      <w:r>
                        <w:rPr>
                          <w:rFonts w:ascii="ＭＳ ゴシック" w:eastAsia="ＭＳ ゴシック" w:hAnsi="ＭＳ ゴシック" w:hint="eastAsia"/>
                          <w:sz w:val="16"/>
                          <w:szCs w:val="22"/>
                        </w:rPr>
                        <w:t>ボランティア</w:t>
                      </w:r>
                    </w:p>
                  </w:txbxContent>
                </v:textbox>
              </v:rect>
            </w:pict>
          </mc:Fallback>
        </mc:AlternateContent>
      </w:r>
      <w:r w:rsidR="002646FF" w:rsidRPr="001D6D10">
        <w:rPr>
          <w:rFonts w:hint="eastAsia"/>
          <w:noProof/>
          <w:sz w:val="22"/>
          <w:szCs w:val="22"/>
        </w:rPr>
        <mc:AlternateContent>
          <mc:Choice Requires="wps">
            <w:drawing>
              <wp:anchor distT="0" distB="0" distL="114300" distR="114300" simplePos="0" relativeHeight="253352960" behindDoc="0" locked="0" layoutInCell="1" allowOverlap="1" wp14:anchorId="7CF0B956" wp14:editId="3153D3F4">
                <wp:simplePos x="0" y="0"/>
                <wp:positionH relativeFrom="column">
                  <wp:posOffset>2442845</wp:posOffset>
                </wp:positionH>
                <wp:positionV relativeFrom="paragraph">
                  <wp:posOffset>61035</wp:posOffset>
                </wp:positionV>
                <wp:extent cx="609600" cy="0"/>
                <wp:effectExtent l="0" t="76200" r="19050" b="95250"/>
                <wp:wrapNone/>
                <wp:docPr id="3956" name="Line 255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09600" cy="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line w14:anchorId="146545D3" id="Line 2551" o:spid="_x0000_s1026" style="position:absolute;left:0;text-align:left;z-index:2533529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92.35pt,4.8pt" to="240.35pt,4.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">
                <v:stroke endarrow="block"/>
              </v:line>
            </w:pict>
          </mc:Fallback>
        </mc:AlternateContent>
      </w:r>
      <w:r w:rsidR="002646FF" w:rsidRPr="001D6D10">
        <w:rPr>
          <w:rFonts w:hint="eastAsia"/>
          <w:noProof/>
          <w:sz w:val="22"/>
          <w:szCs w:val="22"/>
        </w:rPr>
        <mc:AlternateContent>
          <mc:Choice Requires="wps">
            <w:drawing>
              <wp:anchor distT="0" distB="0" distL="114300" distR="114300" simplePos="0" relativeHeight="253364224" behindDoc="0" locked="0" layoutInCell="1" allowOverlap="1" wp14:anchorId="259F4A36" wp14:editId="77F70A22">
                <wp:simplePos x="0" y="0"/>
                <wp:positionH relativeFrom="column">
                  <wp:posOffset>2038985</wp:posOffset>
                </wp:positionH>
                <wp:positionV relativeFrom="paragraph">
                  <wp:posOffset>168350</wp:posOffset>
                </wp:positionV>
                <wp:extent cx="1485900" cy="228600"/>
                <wp:effectExtent l="0" t="0" r="0" b="0"/>
                <wp:wrapNone/>
                <wp:docPr id="3957" name="Rectangle 256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85900" cy="2286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898ED60" w14:textId="77777777" w:rsidR="006A5267" w:rsidRPr="00F63BCE" w:rsidRDefault="006A5267" w:rsidP="008B4B2B">
                            <w:pPr>
                              <w:rPr>
                                <w:rFonts w:ascii="ＭＳ ゴシック" w:eastAsia="ＭＳ ゴシック" w:hAnsi="ＭＳ ゴシック"/>
                                <w:sz w:val="18"/>
                                <w:szCs w:val="18"/>
                              </w:rPr>
                            </w:pPr>
                            <w:r>
                              <w:rPr>
                                <w:rFonts w:ascii="ＭＳ ゴシック" w:eastAsia="ＭＳ ゴシック" w:hAnsi="ＭＳ ゴシック" w:hint="eastAsia"/>
                                <w:sz w:val="18"/>
                                <w:szCs w:val="18"/>
                              </w:rPr>
                              <w:t>（応援の指示・派遣調整）</w:t>
                            </w:r>
                          </w:p>
                          <w:p w14:paraId="7DD76F7C" w14:textId="77777777" w:rsidR="006A5267" w:rsidRPr="00F63BCE" w:rsidRDefault="006A5267" w:rsidP="008B4B2B">
                            <w:pPr>
                              <w:rPr>
                                <w:rFonts w:ascii="ＭＳ ゴシック" w:eastAsia="ＭＳ ゴシック" w:hAnsi="ＭＳ ゴシック"/>
                                <w:sz w:val="18"/>
                                <w:szCs w:val="18"/>
                              </w:rPr>
                            </w:pP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rect w14:anchorId="259F4A36" id="Rectangle 2561" o:spid="_x0000_s1486" style="position:absolute;left:0;text-align:left;margin-left:160.55pt;margin-top:13.25pt;width:117pt;height:18pt;z-index:2533642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" filled="f" stroked="f">
                <v:textbox inset="5.85pt,.7pt,5.85pt,.7pt">
                  <w:txbxContent>
                    <w:p w14:paraId="5898ED60" w14:textId="77777777" w:rsidR="006A5267" w:rsidRPr="00F63BCE" w:rsidRDefault="006A5267" w:rsidP="008B4B2B">
                      <w:pPr>
                        <w:rPr>
                          <w:rFonts w:ascii="ＭＳ ゴシック" w:eastAsia="ＭＳ ゴシック" w:hAnsi="ＭＳ ゴシック"/>
                          <w:sz w:val="18"/>
                          <w:szCs w:val="18"/>
                        </w:rPr>
                      </w:pPr>
                      <w:r>
                        <w:rPr>
                          <w:rFonts w:ascii="ＭＳ ゴシック" w:eastAsia="ＭＳ ゴシック" w:hAnsi="ＭＳ ゴシック" w:hint="eastAsia"/>
                          <w:sz w:val="18"/>
                          <w:szCs w:val="18"/>
                        </w:rPr>
                        <w:t>（応援の指示・派遣調整）</w:t>
                      </w:r>
                    </w:p>
                    <w:p w14:paraId="7DD76F7C" w14:textId="77777777" w:rsidR="006A5267" w:rsidRPr="00F63BCE" w:rsidRDefault="006A5267" w:rsidP="008B4B2B">
                      <w:pPr>
                        <w:rPr>
                          <w:rFonts w:ascii="ＭＳ ゴシック" w:eastAsia="ＭＳ ゴシック" w:hAnsi="ＭＳ ゴシック"/>
                          <w:sz w:val="18"/>
                          <w:szCs w:val="18"/>
                        </w:rPr>
                      </w:pPr>
                    </w:p>
                  </w:txbxContent>
                </v:textbox>
              </v:rect>
            </w:pict>
          </mc:Fallback>
        </mc:AlternateContent>
      </w:r>
    </w:p>
    <w:p w14:paraId="678CF13B" w14:textId="3DFFAB4D" w:rsidR="008B4B2B" w:rsidRPr="001D6D10" w:rsidRDefault="008B4B2B" w:rsidP="00FE1C75">
      <w:pPr>
        <w:pStyle w:val="a0"/>
        <w:ind w:firstLineChars="200" w:firstLine="442"/>
        <w:outlineLvl w:val="2"/>
        <w:rPr>
          <w:rFonts w:ascii="ＭＳ ゴシック" w:eastAsia="ＭＳ ゴシック"/>
          <w:sz w:val="22"/>
          <w:szCs w:val="22"/>
          <w:u w:val="double"/>
        </w:rPr>
      </w:pPr>
      <w:bookmarkStart w:id="334" w:name="_Toc122436952"/>
      <w:bookmarkStart w:id="335" w:name="_Toc222486646"/>
      <w:bookmarkStart w:id="336" w:name="_Toc242870316"/>
      <w:r w:rsidRPr="001D6D10">
        <w:rPr>
          <w:rFonts w:ascii="ＭＳ ゴシック" w:eastAsia="ＭＳ ゴシック" w:hint="eastAsia"/>
          <w:sz w:val="22"/>
          <w:szCs w:val="22"/>
          <w:u w:val="double"/>
        </w:rPr>
        <w:lastRenderedPageBreak/>
        <w:t>第１　災害救助法の適用</w:t>
      </w:r>
      <w:r w:rsidR="00561AEF" w:rsidRPr="001D6D10">
        <w:rPr>
          <w:rFonts w:ascii="ＭＳ ゴシック" w:eastAsia="ＭＳ ゴシック" w:hint="eastAsia"/>
          <w:sz w:val="22"/>
          <w:szCs w:val="22"/>
          <w:u w:val="double"/>
          <w:shd w:val="pct15" w:color="auto" w:fill="FFFFFF"/>
        </w:rPr>
        <w:t>【第０</w:t>
      </w:r>
      <w:r w:rsidRPr="001D6D10">
        <w:rPr>
          <w:rFonts w:ascii="ＭＳ ゴシック" w:eastAsia="ＭＳ ゴシック" w:hint="eastAsia"/>
          <w:sz w:val="22"/>
          <w:szCs w:val="22"/>
          <w:u w:val="double"/>
          <w:shd w:val="pct15" w:color="auto" w:fill="FFFFFF"/>
        </w:rPr>
        <w:t>フェーズ～】</w:t>
      </w:r>
      <w:bookmarkEnd w:id="334"/>
      <w:bookmarkEnd w:id="335"/>
      <w:bookmarkEnd w:id="336"/>
    </w:p>
    <w:p w14:paraId="250F5A00" w14:textId="77777777" w:rsidR="008B4B2B" w:rsidRPr="001D6D10" w:rsidRDefault="008B4B2B" w:rsidP="008B4B2B">
      <w:pPr>
        <w:ind w:firstLineChars="500" w:firstLine="1105"/>
        <w:rPr>
          <w:rFonts w:ascii="ＭＳ ゴシック" w:eastAsia="ＭＳ ゴシック" w:hAnsi="ＭＳ ゴシック"/>
          <w:sz w:val="22"/>
          <w:szCs w:val="22"/>
          <w:bdr w:val="single" w:sz="4" w:space="0" w:color="auto"/>
        </w:rPr>
      </w:pPr>
      <w:r w:rsidRPr="001D6D10">
        <w:rPr>
          <w:rFonts w:ascii="ＭＳ ゴシック" w:eastAsia="ＭＳ ゴシック" w:hAnsi="ＭＳ ゴシック" w:hint="eastAsia"/>
          <w:sz w:val="22"/>
          <w:szCs w:val="22"/>
          <w:bdr w:val="single" w:sz="4" w:space="0" w:color="auto"/>
        </w:rPr>
        <w:t>主たる担当：危機管理室</w:t>
      </w:r>
    </w:p>
    <w:p w14:paraId="58FC6540" w14:textId="77777777" w:rsidR="008B4B2B" w:rsidRPr="001D6D10" w:rsidRDefault="008B4B2B" w:rsidP="008B4B2B">
      <w:pPr>
        <w:pStyle w:val="a0"/>
        <w:ind w:firstLineChars="300" w:firstLine="663"/>
        <w:rPr>
          <w:rFonts w:ascii="ＭＳ ゴシック" w:eastAsia="ＭＳ ゴシック" w:hAnsi="ＭＳ ゴシック"/>
          <w:sz w:val="22"/>
          <w:szCs w:val="22"/>
          <w:u w:val="single"/>
        </w:rPr>
      </w:pPr>
      <w:r w:rsidRPr="001D6D10">
        <w:rPr>
          <w:rFonts w:ascii="ＭＳ ゴシック" w:eastAsia="ＭＳ ゴシック" w:hAnsi="ＭＳ ゴシック" w:hint="eastAsia"/>
          <w:sz w:val="22"/>
          <w:szCs w:val="22"/>
          <w:u w:val="single"/>
        </w:rPr>
        <w:t>１　災害救助法の適用手続き</w:t>
      </w:r>
    </w:p>
    <w:p w14:paraId="65C52B61" w14:textId="77777777" w:rsidR="009C05A0" w:rsidRPr="001D6D10" w:rsidRDefault="009C05A0" w:rsidP="009C05A0">
      <w:pPr>
        <w:pStyle w:val="a0"/>
        <w:ind w:firstLineChars="300" w:firstLine="663"/>
        <w:rPr>
          <w:sz w:val="22"/>
          <w:szCs w:val="22"/>
        </w:rPr>
      </w:pPr>
      <w:r w:rsidRPr="001D6D10">
        <w:rPr>
          <w:rFonts w:hint="eastAsia"/>
          <w:sz w:val="22"/>
          <w:szCs w:val="22"/>
        </w:rPr>
        <w:t>【災害が発生するおそれ段階の適用（法第2条第2項）】</w:t>
      </w:r>
    </w:p>
    <w:p w14:paraId="581E0DFD" w14:textId="77777777" w:rsidR="009C05A0" w:rsidRPr="001D6D10" w:rsidRDefault="009C05A0" w:rsidP="009C05A0">
      <w:pPr>
        <w:pStyle w:val="a0"/>
        <w:ind w:leftChars="419" w:left="1276" w:hangingChars="177" w:hanging="391"/>
        <w:rPr>
          <w:sz w:val="22"/>
          <w:szCs w:val="22"/>
        </w:rPr>
      </w:pPr>
      <w:r w:rsidRPr="001D6D10">
        <w:rPr>
          <w:rFonts w:hint="eastAsia"/>
          <w:sz w:val="22"/>
          <w:szCs w:val="22"/>
        </w:rPr>
        <w:t>(1)　国の災害対策本部の設置状況及び「被災するおそれのある都道府県」の把握</w:t>
      </w:r>
    </w:p>
    <w:p w14:paraId="140B9661" w14:textId="77777777" w:rsidR="009C05A0" w:rsidRPr="001D6D10" w:rsidRDefault="009C05A0" w:rsidP="009C05A0">
      <w:pPr>
        <w:pStyle w:val="a0"/>
        <w:ind w:leftChars="604" w:left="1275" w:firstLineChars="63" w:firstLine="139"/>
        <w:rPr>
          <w:sz w:val="22"/>
          <w:szCs w:val="22"/>
        </w:rPr>
      </w:pPr>
      <w:r w:rsidRPr="001D6D10">
        <w:rPr>
          <w:rFonts w:hint="eastAsia"/>
          <w:sz w:val="22"/>
          <w:szCs w:val="22"/>
        </w:rPr>
        <w:t>大型で非常に強い台風の日本への接近等により、国内で大規模な被災が予測される場合、国は特定・非常・緊急のいずれかの災害対策本部を設置し、被災するおそれのある都道府県について、具体に該当する都道府県名称を報道発表および官報告示するため、情報収集を行う</w:t>
      </w:r>
      <w:r w:rsidR="00561AEF" w:rsidRPr="001D6D10">
        <w:rPr>
          <w:rFonts w:hint="eastAsia"/>
          <w:sz w:val="22"/>
          <w:szCs w:val="22"/>
        </w:rPr>
        <w:t>。</w:t>
      </w:r>
    </w:p>
    <w:p w14:paraId="1B94B732" w14:textId="77777777" w:rsidR="009C05A0" w:rsidRPr="001D6D10" w:rsidRDefault="009C05A0" w:rsidP="009C05A0">
      <w:pPr>
        <w:pStyle w:val="a0"/>
        <w:ind w:firstLineChars="400" w:firstLine="884"/>
        <w:rPr>
          <w:sz w:val="22"/>
          <w:szCs w:val="22"/>
        </w:rPr>
      </w:pPr>
      <w:r w:rsidRPr="001D6D10">
        <w:rPr>
          <w:rFonts w:hint="eastAsia"/>
          <w:sz w:val="22"/>
          <w:szCs w:val="22"/>
        </w:rPr>
        <w:t>(2)　災害救助法の適用</w:t>
      </w:r>
    </w:p>
    <w:p w14:paraId="3344B63B" w14:textId="77777777" w:rsidR="009C05A0" w:rsidRPr="001D6D10" w:rsidRDefault="009C05A0" w:rsidP="009C05A0">
      <w:pPr>
        <w:pStyle w:val="a0"/>
        <w:ind w:left="1216" w:hangingChars="550" w:hanging="1216"/>
        <w:rPr>
          <w:sz w:val="22"/>
          <w:szCs w:val="22"/>
        </w:rPr>
      </w:pPr>
      <w:r w:rsidRPr="001D6D10">
        <w:rPr>
          <w:rFonts w:hint="eastAsia"/>
          <w:sz w:val="22"/>
          <w:szCs w:val="22"/>
        </w:rPr>
        <w:t xml:space="preserve">　　　　　　 知事は、国の災害対策本部設置及び「被災するおそれのある都道府県」の告示がなされ大阪府が含まれる場合、各市町村の避難の必要性などを把握し、内閣府と調整のうえ当該市町村の区域に災害救助法を適用する。（適用する場合は内閣府と同時に公示するため事前の調整を図る）</w:t>
      </w:r>
    </w:p>
    <w:p w14:paraId="6E0FD0B2" w14:textId="77777777" w:rsidR="009C05A0" w:rsidRPr="001D6D10" w:rsidRDefault="009C05A0" w:rsidP="009C05A0">
      <w:pPr>
        <w:pStyle w:val="a0"/>
        <w:ind w:firstLineChars="400" w:firstLine="884"/>
        <w:rPr>
          <w:sz w:val="22"/>
          <w:szCs w:val="22"/>
        </w:rPr>
      </w:pPr>
      <w:r w:rsidRPr="001D6D10">
        <w:rPr>
          <w:rFonts w:hint="eastAsia"/>
          <w:sz w:val="22"/>
          <w:szCs w:val="22"/>
        </w:rPr>
        <w:t>(3)　救助の実施の公示</w:t>
      </w:r>
    </w:p>
    <w:p w14:paraId="6FC61FA4" w14:textId="77777777" w:rsidR="009C05A0" w:rsidRPr="001D6D10" w:rsidRDefault="009C05A0" w:rsidP="009C05A0">
      <w:pPr>
        <w:pStyle w:val="a0"/>
        <w:ind w:left="1216" w:rightChars="-108" w:right="-228" w:hangingChars="550" w:hanging="1216"/>
        <w:rPr>
          <w:sz w:val="22"/>
          <w:szCs w:val="22"/>
        </w:rPr>
      </w:pPr>
      <w:r w:rsidRPr="001D6D10">
        <w:rPr>
          <w:rFonts w:hint="eastAsia"/>
          <w:sz w:val="22"/>
          <w:szCs w:val="22"/>
        </w:rPr>
        <w:t xml:space="preserve">　　　　　　 知事は、災害救助法第2条第2項による救助を開始したときは、速やかに当該救助を開始した市町村の区域を公示する。</w:t>
      </w:r>
    </w:p>
    <w:p w14:paraId="393846BA" w14:textId="62EA8BAF" w:rsidR="00C46ADE" w:rsidRPr="001D6D10" w:rsidRDefault="009C05A0" w:rsidP="009C05A0">
      <w:pPr>
        <w:pStyle w:val="a0"/>
        <w:ind w:firstLineChars="400" w:firstLine="884"/>
        <w:rPr>
          <w:sz w:val="22"/>
          <w:szCs w:val="22"/>
        </w:rPr>
      </w:pPr>
      <w:r w:rsidRPr="001D6D10">
        <w:rPr>
          <w:sz w:val="22"/>
          <w:szCs w:val="22"/>
        </w:rPr>
        <w:t>(4</w:t>
      </w:r>
      <w:r w:rsidRPr="001D6D10">
        <w:rPr>
          <w:rFonts w:hint="eastAsia"/>
          <w:sz w:val="22"/>
          <w:szCs w:val="22"/>
        </w:rPr>
        <w:t>)　救助の終了の公示</w:t>
      </w:r>
    </w:p>
    <w:p w14:paraId="1B73A9C1" w14:textId="4F25A450" w:rsidR="00C46ADE" w:rsidRPr="001D6D10" w:rsidRDefault="00C46ADE" w:rsidP="00E0548A">
      <w:pPr>
        <w:pStyle w:val="a0"/>
        <w:ind w:firstLineChars="500" w:firstLine="1105"/>
        <w:rPr>
          <w:sz w:val="22"/>
          <w:szCs w:val="22"/>
        </w:rPr>
      </w:pPr>
      <w:r>
        <w:rPr>
          <w:rFonts w:hint="eastAsia"/>
          <w:sz w:val="22"/>
          <w:szCs w:val="22"/>
        </w:rPr>
        <w:t xml:space="preserve">①　</w:t>
      </w:r>
      <w:r w:rsidR="009C05A0" w:rsidRPr="001D6D10">
        <w:rPr>
          <w:rFonts w:hint="eastAsia"/>
          <w:sz w:val="22"/>
          <w:szCs w:val="22"/>
        </w:rPr>
        <w:t>告示後に災害が発生せずその後の発生のおそれがなくなった場合</w:t>
      </w:r>
    </w:p>
    <w:p w14:paraId="4FAA42B3" w14:textId="70809039" w:rsidR="00C46ADE" w:rsidRPr="001D6D10" w:rsidRDefault="009C05A0" w:rsidP="00E0548A">
      <w:pPr>
        <w:pStyle w:val="a0"/>
        <w:ind w:leftChars="672" w:left="1419" w:firstLineChars="58" w:firstLine="128"/>
        <w:rPr>
          <w:sz w:val="22"/>
          <w:szCs w:val="22"/>
        </w:rPr>
      </w:pPr>
      <w:r w:rsidRPr="001D6D10">
        <w:rPr>
          <w:rFonts w:hint="eastAsia"/>
          <w:sz w:val="22"/>
          <w:szCs w:val="22"/>
        </w:rPr>
        <w:t>知事は、法第4条第2項に基づく避難所の供与を行った場合は当該救助</w:t>
      </w:r>
      <w:r w:rsidR="00C46ADE">
        <w:rPr>
          <w:rFonts w:hint="eastAsia"/>
          <w:sz w:val="22"/>
          <w:szCs w:val="22"/>
        </w:rPr>
        <w:t>を</w:t>
      </w:r>
      <w:r w:rsidRPr="001D6D10">
        <w:rPr>
          <w:rFonts w:hint="eastAsia"/>
          <w:sz w:val="22"/>
          <w:szCs w:val="22"/>
        </w:rPr>
        <w:t>終了し、法第2条第2項による救助を終了する市町村の区域を公示する。</w:t>
      </w:r>
    </w:p>
    <w:p w14:paraId="4DB0F561" w14:textId="4F929E80" w:rsidR="00C46ADE" w:rsidRPr="001D6D10" w:rsidRDefault="00C46ADE" w:rsidP="00E0548A">
      <w:pPr>
        <w:pStyle w:val="a0"/>
        <w:ind w:firstLineChars="500" w:firstLine="1105"/>
        <w:rPr>
          <w:sz w:val="22"/>
          <w:szCs w:val="22"/>
        </w:rPr>
      </w:pPr>
      <w:r>
        <w:rPr>
          <w:rFonts w:hint="eastAsia"/>
          <w:sz w:val="22"/>
          <w:szCs w:val="22"/>
        </w:rPr>
        <w:t xml:space="preserve">②　</w:t>
      </w:r>
      <w:r w:rsidR="009C05A0" w:rsidRPr="001D6D10">
        <w:rPr>
          <w:rFonts w:hint="eastAsia"/>
          <w:sz w:val="22"/>
          <w:szCs w:val="22"/>
        </w:rPr>
        <w:t>告示後に災害が発生した場合</w:t>
      </w:r>
    </w:p>
    <w:p w14:paraId="679C9096" w14:textId="54F98C23" w:rsidR="009C05A0" w:rsidRPr="001D6D10" w:rsidRDefault="009C05A0" w:rsidP="00E0548A">
      <w:pPr>
        <w:pStyle w:val="a0"/>
        <w:ind w:leftChars="672" w:left="1419" w:firstLineChars="63" w:firstLine="139"/>
        <w:rPr>
          <w:sz w:val="22"/>
          <w:szCs w:val="22"/>
        </w:rPr>
      </w:pPr>
      <w:r w:rsidRPr="001D6D10">
        <w:rPr>
          <w:rFonts w:hint="eastAsia"/>
          <w:sz w:val="22"/>
          <w:szCs w:val="22"/>
        </w:rPr>
        <w:t>知事は、法第4条第2項に基づく避難所の供与を行った場合は当該救助を終了し、法第2条第2項による救助を終了する市町村の区域を公示するとともに、次に掲げる法第2条第1項の適用と救助を開始した市町村の区域を公示する。</w:t>
      </w:r>
    </w:p>
    <w:p w14:paraId="7C63B7F6" w14:textId="77777777" w:rsidR="009C05A0" w:rsidRPr="001D6D10" w:rsidRDefault="009C05A0" w:rsidP="009C05A0">
      <w:pPr>
        <w:pStyle w:val="a0"/>
        <w:ind w:firstLineChars="400" w:firstLine="884"/>
        <w:rPr>
          <w:sz w:val="22"/>
          <w:szCs w:val="22"/>
        </w:rPr>
      </w:pPr>
    </w:p>
    <w:p w14:paraId="189540AC" w14:textId="77777777" w:rsidR="009C05A0" w:rsidRPr="001D6D10" w:rsidRDefault="009C05A0" w:rsidP="00A911D7">
      <w:pPr>
        <w:pStyle w:val="a0"/>
        <w:ind w:firstLineChars="300" w:firstLine="663"/>
        <w:rPr>
          <w:sz w:val="22"/>
          <w:szCs w:val="22"/>
        </w:rPr>
      </w:pPr>
      <w:r w:rsidRPr="001D6D10">
        <w:rPr>
          <w:rFonts w:hint="eastAsia"/>
          <w:sz w:val="22"/>
          <w:szCs w:val="22"/>
        </w:rPr>
        <w:t>【災害が発生した段階の適用（法第２条第１項）】</w:t>
      </w:r>
    </w:p>
    <w:p w14:paraId="30DEB3F8" w14:textId="77777777" w:rsidR="008B4B2B" w:rsidRPr="001D6D10" w:rsidRDefault="008B4B2B" w:rsidP="008B4B2B">
      <w:pPr>
        <w:pStyle w:val="a0"/>
        <w:ind w:firstLineChars="400" w:firstLine="884"/>
        <w:rPr>
          <w:sz w:val="22"/>
          <w:szCs w:val="22"/>
        </w:rPr>
      </w:pPr>
      <w:r w:rsidRPr="001D6D10">
        <w:rPr>
          <w:rFonts w:hint="eastAsia"/>
          <w:sz w:val="22"/>
          <w:szCs w:val="22"/>
        </w:rPr>
        <w:t>(1)　被害状況、災害対策の実施状況の把握</w:t>
      </w:r>
    </w:p>
    <w:p w14:paraId="6C3E5B5E" w14:textId="5271689D" w:rsidR="00C46ADE" w:rsidRDefault="00C46ADE" w:rsidP="00E0548A">
      <w:pPr>
        <w:pStyle w:val="a0"/>
        <w:ind w:leftChars="535" w:left="1416" w:hangingChars="130" w:hanging="287"/>
        <w:rPr>
          <w:sz w:val="22"/>
          <w:szCs w:val="22"/>
        </w:rPr>
      </w:pPr>
      <w:r>
        <w:rPr>
          <w:rFonts w:hint="eastAsia"/>
          <w:sz w:val="22"/>
          <w:szCs w:val="22"/>
        </w:rPr>
        <w:t>①</w:t>
      </w:r>
      <w:r w:rsidR="008B4B2B" w:rsidRPr="001D6D10">
        <w:rPr>
          <w:rFonts w:hint="eastAsia"/>
          <w:sz w:val="22"/>
          <w:szCs w:val="22"/>
        </w:rPr>
        <w:t xml:space="preserve">　被害状況、災害対策の実施状況の把握は、民生被害情報及び救助活動にかかる災害対策情報によるものとし、必要に応じて市町村へ照会し情報を収集する。</w:t>
      </w:r>
    </w:p>
    <w:p w14:paraId="3A8815C5" w14:textId="63C720DB" w:rsidR="008B4B2B" w:rsidRPr="001D6D10" w:rsidRDefault="00C46ADE" w:rsidP="00E0548A">
      <w:pPr>
        <w:pStyle w:val="a0"/>
        <w:ind w:leftChars="535" w:left="1416" w:hangingChars="130" w:hanging="287"/>
        <w:rPr>
          <w:sz w:val="22"/>
          <w:szCs w:val="22"/>
        </w:rPr>
      </w:pPr>
      <w:r>
        <w:rPr>
          <w:rFonts w:hint="eastAsia"/>
          <w:sz w:val="22"/>
          <w:szCs w:val="22"/>
        </w:rPr>
        <w:t>②</w:t>
      </w:r>
      <w:r w:rsidR="008B4B2B" w:rsidRPr="001D6D10">
        <w:rPr>
          <w:rFonts w:hint="eastAsia"/>
          <w:sz w:val="22"/>
          <w:szCs w:val="22"/>
        </w:rPr>
        <w:t xml:space="preserve">　災害救助法の適用を検討するに際しては、必要に応じて当該市町村に先遣隊又は現地情報連絡員（リエゾン）を派遣して被害状況等の調査に当たらせるものとする。</w:t>
      </w:r>
    </w:p>
    <w:p w14:paraId="11B7FD30" w14:textId="77777777" w:rsidR="008B4B2B" w:rsidRPr="001D6D10" w:rsidRDefault="008B4B2B" w:rsidP="008B4B2B">
      <w:pPr>
        <w:pStyle w:val="a0"/>
        <w:rPr>
          <w:sz w:val="22"/>
          <w:szCs w:val="22"/>
        </w:rPr>
      </w:pPr>
      <w:r w:rsidRPr="001D6D10">
        <w:rPr>
          <w:rFonts w:hint="eastAsia"/>
          <w:sz w:val="22"/>
          <w:szCs w:val="22"/>
        </w:rPr>
        <w:t xml:space="preserve">　　　　</w:t>
      </w:r>
    </w:p>
    <w:p w14:paraId="5A78CD03" w14:textId="77777777" w:rsidR="008B4B2B" w:rsidRPr="001D6D10" w:rsidRDefault="008B4B2B" w:rsidP="008B4B2B">
      <w:pPr>
        <w:pStyle w:val="a0"/>
        <w:ind w:firstLineChars="400" w:firstLine="884"/>
        <w:rPr>
          <w:sz w:val="22"/>
          <w:szCs w:val="22"/>
        </w:rPr>
      </w:pPr>
      <w:r w:rsidRPr="001D6D10">
        <w:rPr>
          <w:rFonts w:hint="eastAsia"/>
          <w:sz w:val="22"/>
          <w:szCs w:val="22"/>
        </w:rPr>
        <w:t>(2)　災害救助法の適用</w:t>
      </w:r>
    </w:p>
    <w:p w14:paraId="675DDD3B" w14:textId="77777777" w:rsidR="008B4B2B" w:rsidRPr="001D6D10" w:rsidRDefault="008B4B2B" w:rsidP="00A911D7">
      <w:pPr>
        <w:pStyle w:val="a0"/>
        <w:ind w:left="1216" w:hangingChars="550" w:hanging="1216"/>
        <w:rPr>
          <w:sz w:val="22"/>
          <w:szCs w:val="22"/>
        </w:rPr>
      </w:pPr>
      <w:r w:rsidRPr="001D6D10">
        <w:rPr>
          <w:rFonts w:hint="eastAsia"/>
          <w:sz w:val="22"/>
          <w:szCs w:val="22"/>
        </w:rPr>
        <w:t xml:space="preserve">　　　　　　 知事は、府内市町村の被害の状況を把握し、災害救助法に定める適用基準に</w:t>
      </w:r>
      <w:r w:rsidRPr="001D6D10">
        <w:rPr>
          <w:rFonts w:hint="eastAsia"/>
          <w:sz w:val="22"/>
          <w:szCs w:val="22"/>
        </w:rPr>
        <w:lastRenderedPageBreak/>
        <w:t>合致する場合、内閣府と調整のうえ当該市町村の区域に災害救助法を適用する。</w:t>
      </w:r>
      <w:r w:rsidR="00DE1959" w:rsidRPr="001D6D10">
        <w:rPr>
          <w:rFonts w:hint="eastAsia"/>
          <w:sz w:val="22"/>
          <w:szCs w:val="22"/>
        </w:rPr>
        <w:t>（適用する場合は内閣府と同時に公示するため事前の調整を図る）</w:t>
      </w:r>
    </w:p>
    <w:p w14:paraId="16FD04EA" w14:textId="77777777" w:rsidR="008B4B2B" w:rsidRPr="001D6D10" w:rsidRDefault="008B4B2B" w:rsidP="008B4B2B">
      <w:pPr>
        <w:pStyle w:val="a0"/>
        <w:ind w:firstLineChars="400" w:firstLine="884"/>
        <w:rPr>
          <w:sz w:val="22"/>
          <w:szCs w:val="22"/>
        </w:rPr>
      </w:pPr>
      <w:r w:rsidRPr="001D6D10">
        <w:rPr>
          <w:rFonts w:hint="eastAsia"/>
          <w:sz w:val="22"/>
          <w:szCs w:val="22"/>
        </w:rPr>
        <w:t>(3)　救助の実施の</w:t>
      </w:r>
      <w:r w:rsidR="0034756E" w:rsidRPr="001D6D10">
        <w:rPr>
          <w:rFonts w:hint="eastAsia"/>
          <w:sz w:val="22"/>
          <w:szCs w:val="22"/>
        </w:rPr>
        <w:t>公示</w:t>
      </w:r>
    </w:p>
    <w:p w14:paraId="03B24EBE" w14:textId="77777777" w:rsidR="008B4B2B" w:rsidRPr="001D6D10" w:rsidRDefault="008B4B2B" w:rsidP="008B4B2B">
      <w:pPr>
        <w:pStyle w:val="a0"/>
        <w:ind w:left="1216" w:rightChars="-108" w:right="-228" w:hangingChars="550" w:hanging="1216"/>
        <w:rPr>
          <w:sz w:val="22"/>
          <w:szCs w:val="22"/>
        </w:rPr>
      </w:pPr>
      <w:r w:rsidRPr="001D6D10">
        <w:rPr>
          <w:rFonts w:hint="eastAsia"/>
          <w:sz w:val="22"/>
          <w:szCs w:val="22"/>
        </w:rPr>
        <w:t xml:space="preserve">　　　　　　 知事は、災害救助法による救助を開始したときは、速やかに当該救助を開始した市町村の区域を</w:t>
      </w:r>
      <w:r w:rsidR="0034756E" w:rsidRPr="001D6D10">
        <w:rPr>
          <w:rFonts w:hint="eastAsia"/>
          <w:sz w:val="22"/>
          <w:szCs w:val="22"/>
        </w:rPr>
        <w:t>公示</w:t>
      </w:r>
      <w:r w:rsidRPr="001D6D10">
        <w:rPr>
          <w:rFonts w:hint="eastAsia"/>
          <w:sz w:val="22"/>
          <w:szCs w:val="22"/>
        </w:rPr>
        <w:t>する。</w:t>
      </w:r>
    </w:p>
    <w:p w14:paraId="6A83784F" w14:textId="77777777" w:rsidR="0034756E" w:rsidRPr="001D6D10" w:rsidRDefault="0034756E" w:rsidP="008B4B2B">
      <w:pPr>
        <w:pStyle w:val="a0"/>
        <w:ind w:left="1216" w:rightChars="-108" w:right="-228" w:hangingChars="550" w:hanging="1216"/>
        <w:rPr>
          <w:sz w:val="22"/>
          <w:szCs w:val="22"/>
        </w:rPr>
      </w:pPr>
    </w:p>
    <w:p w14:paraId="50AB4BC2" w14:textId="77777777" w:rsidR="0034756E" w:rsidRPr="001D6D10" w:rsidRDefault="0034756E" w:rsidP="0034756E">
      <w:pPr>
        <w:pStyle w:val="a0"/>
        <w:ind w:firstLineChars="400" w:firstLine="884"/>
        <w:rPr>
          <w:sz w:val="22"/>
          <w:szCs w:val="22"/>
        </w:rPr>
      </w:pPr>
      <w:r w:rsidRPr="001D6D10">
        <w:rPr>
          <w:rFonts w:hint="eastAsia"/>
          <w:sz w:val="22"/>
          <w:szCs w:val="22"/>
        </w:rPr>
        <w:t>(4)　救助の終了の公示</w:t>
      </w:r>
    </w:p>
    <w:p w14:paraId="5686423E" w14:textId="77777777" w:rsidR="002D12A7" w:rsidRPr="001D6D10" w:rsidRDefault="002D12A7" w:rsidP="002D12A7">
      <w:pPr>
        <w:pStyle w:val="a0"/>
        <w:ind w:left="1216" w:rightChars="-108" w:right="-228" w:hangingChars="550" w:hanging="1216"/>
        <w:rPr>
          <w:sz w:val="22"/>
          <w:szCs w:val="22"/>
        </w:rPr>
      </w:pPr>
      <w:r w:rsidRPr="001D6D10">
        <w:rPr>
          <w:rFonts w:hint="eastAsia"/>
          <w:sz w:val="22"/>
          <w:szCs w:val="22"/>
        </w:rPr>
        <w:t xml:space="preserve">　　　　　　 知事は、当該救助を終了するときも、同様に救助を終了する市町村の区域を公示する。</w:t>
      </w:r>
    </w:p>
    <w:p w14:paraId="77A82C85" w14:textId="77777777" w:rsidR="0034756E" w:rsidRPr="001D6D10" w:rsidRDefault="00561AEF" w:rsidP="00B35001">
      <w:pPr>
        <w:pStyle w:val="a0"/>
        <w:ind w:rightChars="-108" w:right="-228"/>
        <w:rPr>
          <w:sz w:val="22"/>
          <w:szCs w:val="22"/>
        </w:rPr>
      </w:pPr>
      <w:r w:rsidRPr="001D6D10">
        <w:rPr>
          <w:noProof/>
          <w:sz w:val="22"/>
          <w:szCs w:val="22"/>
        </w:rPr>
        <w:drawing>
          <wp:anchor distT="0" distB="0" distL="114300" distR="114300" simplePos="0" relativeHeight="254223360" behindDoc="0" locked="0" layoutInCell="1" allowOverlap="1" wp14:anchorId="65DCF090" wp14:editId="5B4CBA07">
            <wp:simplePos x="0" y="0"/>
            <wp:positionH relativeFrom="column">
              <wp:posOffset>1098732</wp:posOffset>
            </wp:positionH>
            <wp:positionV relativeFrom="paragraph">
              <wp:posOffset>80929</wp:posOffset>
            </wp:positionV>
            <wp:extent cx="4062490" cy="2924175"/>
            <wp:effectExtent l="0" t="0" r="0" b="0"/>
            <wp:wrapNone/>
            <wp:docPr id="4010" name="図 40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4062490" cy="292417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09C0EF05" w14:textId="77777777" w:rsidR="008B4B2B" w:rsidRPr="001D6D10" w:rsidRDefault="008B4B2B" w:rsidP="008B4B2B">
      <w:pPr>
        <w:pStyle w:val="a0"/>
        <w:ind w:leftChars="313" w:left="1214" w:hangingChars="250" w:hanging="553"/>
        <w:rPr>
          <w:rFonts w:ascii="ＭＳ ゴシック" w:eastAsia="ＭＳ ゴシック"/>
          <w:sz w:val="22"/>
          <w:szCs w:val="22"/>
        </w:rPr>
      </w:pPr>
    </w:p>
    <w:p w14:paraId="499E3A4E" w14:textId="77777777" w:rsidR="00561AEF" w:rsidRPr="001D6D10" w:rsidRDefault="00561AEF" w:rsidP="008B4B2B">
      <w:pPr>
        <w:pStyle w:val="a0"/>
        <w:ind w:leftChars="313" w:left="1214" w:hangingChars="250" w:hanging="553"/>
        <w:rPr>
          <w:rFonts w:ascii="ＭＳ ゴシック" w:eastAsia="ＭＳ ゴシック"/>
          <w:sz w:val="22"/>
          <w:szCs w:val="22"/>
          <w:u w:val="single"/>
        </w:rPr>
      </w:pPr>
    </w:p>
    <w:p w14:paraId="562F919C" w14:textId="77777777" w:rsidR="00561AEF" w:rsidRPr="001D6D10" w:rsidRDefault="00561AEF" w:rsidP="008B4B2B">
      <w:pPr>
        <w:pStyle w:val="a0"/>
        <w:ind w:leftChars="313" w:left="1214" w:hangingChars="250" w:hanging="553"/>
        <w:rPr>
          <w:rFonts w:ascii="ＭＳ ゴシック" w:eastAsia="ＭＳ ゴシック"/>
          <w:sz w:val="22"/>
          <w:szCs w:val="22"/>
          <w:u w:val="single"/>
        </w:rPr>
      </w:pPr>
    </w:p>
    <w:p w14:paraId="79F1EE40" w14:textId="77777777" w:rsidR="00561AEF" w:rsidRPr="001D6D10" w:rsidRDefault="00561AEF" w:rsidP="008B4B2B">
      <w:pPr>
        <w:pStyle w:val="a0"/>
        <w:ind w:leftChars="313" w:left="1214" w:hangingChars="250" w:hanging="553"/>
        <w:rPr>
          <w:rFonts w:ascii="ＭＳ ゴシック" w:eastAsia="ＭＳ ゴシック"/>
          <w:sz w:val="22"/>
          <w:szCs w:val="22"/>
          <w:u w:val="single"/>
        </w:rPr>
      </w:pPr>
    </w:p>
    <w:p w14:paraId="514E129F" w14:textId="77777777" w:rsidR="00561AEF" w:rsidRPr="001D6D10" w:rsidRDefault="00561AEF" w:rsidP="008B4B2B">
      <w:pPr>
        <w:pStyle w:val="a0"/>
        <w:ind w:leftChars="313" w:left="1214" w:hangingChars="250" w:hanging="553"/>
        <w:rPr>
          <w:rFonts w:ascii="ＭＳ ゴシック" w:eastAsia="ＭＳ ゴシック"/>
          <w:sz w:val="22"/>
          <w:szCs w:val="22"/>
          <w:u w:val="single"/>
        </w:rPr>
      </w:pPr>
    </w:p>
    <w:p w14:paraId="3B2D43E4" w14:textId="77777777" w:rsidR="00561AEF" w:rsidRPr="001D6D10" w:rsidRDefault="00561AEF" w:rsidP="008B4B2B">
      <w:pPr>
        <w:pStyle w:val="a0"/>
        <w:ind w:leftChars="313" w:left="1214" w:hangingChars="250" w:hanging="553"/>
        <w:rPr>
          <w:rFonts w:ascii="ＭＳ ゴシック" w:eastAsia="ＭＳ ゴシック"/>
          <w:sz w:val="22"/>
          <w:szCs w:val="22"/>
          <w:u w:val="single"/>
        </w:rPr>
      </w:pPr>
    </w:p>
    <w:p w14:paraId="52924B68" w14:textId="77777777" w:rsidR="00561AEF" w:rsidRPr="001D6D10" w:rsidRDefault="00561AEF" w:rsidP="008B4B2B">
      <w:pPr>
        <w:pStyle w:val="a0"/>
        <w:ind w:leftChars="313" w:left="1214" w:hangingChars="250" w:hanging="553"/>
        <w:rPr>
          <w:rFonts w:ascii="ＭＳ ゴシック" w:eastAsia="ＭＳ ゴシック"/>
          <w:sz w:val="22"/>
          <w:szCs w:val="22"/>
          <w:u w:val="single"/>
        </w:rPr>
      </w:pPr>
    </w:p>
    <w:p w14:paraId="5163BCDB" w14:textId="77777777" w:rsidR="00561AEF" w:rsidRPr="001D6D10" w:rsidRDefault="00561AEF" w:rsidP="008B4B2B">
      <w:pPr>
        <w:pStyle w:val="a0"/>
        <w:ind w:leftChars="313" w:left="1214" w:hangingChars="250" w:hanging="553"/>
        <w:rPr>
          <w:rFonts w:ascii="ＭＳ ゴシック" w:eastAsia="ＭＳ ゴシック"/>
          <w:sz w:val="22"/>
          <w:szCs w:val="22"/>
          <w:u w:val="single"/>
        </w:rPr>
      </w:pPr>
    </w:p>
    <w:p w14:paraId="7A5102DC" w14:textId="77777777" w:rsidR="00561AEF" w:rsidRPr="001D6D10" w:rsidRDefault="00561AEF" w:rsidP="008B4B2B">
      <w:pPr>
        <w:pStyle w:val="a0"/>
        <w:ind w:leftChars="313" w:left="1214" w:hangingChars="250" w:hanging="553"/>
        <w:rPr>
          <w:rFonts w:ascii="ＭＳ ゴシック" w:eastAsia="ＭＳ ゴシック"/>
          <w:sz w:val="22"/>
          <w:szCs w:val="22"/>
          <w:u w:val="single"/>
        </w:rPr>
      </w:pPr>
    </w:p>
    <w:p w14:paraId="10E7A1F1" w14:textId="77777777" w:rsidR="00561AEF" w:rsidRPr="001D6D10" w:rsidRDefault="00561AEF" w:rsidP="008B4B2B">
      <w:pPr>
        <w:pStyle w:val="a0"/>
        <w:ind w:leftChars="313" w:left="1214" w:hangingChars="250" w:hanging="553"/>
        <w:rPr>
          <w:rFonts w:ascii="ＭＳ ゴシック" w:eastAsia="ＭＳ ゴシック"/>
          <w:sz w:val="22"/>
          <w:szCs w:val="22"/>
          <w:u w:val="single"/>
        </w:rPr>
      </w:pPr>
    </w:p>
    <w:p w14:paraId="213C634F" w14:textId="77777777" w:rsidR="00561AEF" w:rsidRPr="001D6D10" w:rsidRDefault="00561AEF" w:rsidP="008B4B2B">
      <w:pPr>
        <w:pStyle w:val="a0"/>
        <w:ind w:leftChars="313" w:left="1214" w:hangingChars="250" w:hanging="553"/>
        <w:rPr>
          <w:rFonts w:ascii="ＭＳ ゴシック" w:eastAsia="ＭＳ ゴシック"/>
          <w:sz w:val="22"/>
          <w:szCs w:val="22"/>
          <w:u w:val="single"/>
        </w:rPr>
      </w:pPr>
    </w:p>
    <w:p w14:paraId="24BA8F7D" w14:textId="77777777" w:rsidR="00561AEF" w:rsidRPr="001D6D10" w:rsidRDefault="00561AEF" w:rsidP="008B4B2B">
      <w:pPr>
        <w:pStyle w:val="a0"/>
        <w:ind w:leftChars="313" w:left="1214" w:hangingChars="250" w:hanging="553"/>
        <w:rPr>
          <w:rFonts w:ascii="ＭＳ ゴシック" w:eastAsia="ＭＳ ゴシック"/>
          <w:sz w:val="22"/>
          <w:szCs w:val="22"/>
          <w:u w:val="single"/>
        </w:rPr>
      </w:pPr>
    </w:p>
    <w:p w14:paraId="241F7452" w14:textId="77777777" w:rsidR="00561AEF" w:rsidRPr="001D6D10" w:rsidRDefault="00561AEF" w:rsidP="008B4B2B">
      <w:pPr>
        <w:pStyle w:val="a0"/>
        <w:ind w:leftChars="313" w:left="1214" w:hangingChars="250" w:hanging="553"/>
        <w:rPr>
          <w:rFonts w:ascii="ＭＳ ゴシック" w:eastAsia="ＭＳ ゴシック"/>
          <w:sz w:val="22"/>
          <w:szCs w:val="22"/>
          <w:u w:val="single"/>
        </w:rPr>
      </w:pPr>
    </w:p>
    <w:p w14:paraId="65BE3352" w14:textId="77777777" w:rsidR="00561AEF" w:rsidRPr="001D6D10" w:rsidRDefault="00561AEF" w:rsidP="00C200A7">
      <w:pPr>
        <w:ind w:rightChars="-108" w:right="-228"/>
        <w:jc w:val="right"/>
        <w:rPr>
          <w:rFonts w:ascii="ＭＳ 明朝" w:hAnsi="Courier New" w:cs="Courier New"/>
          <w:sz w:val="22"/>
          <w:szCs w:val="22"/>
        </w:rPr>
      </w:pPr>
      <w:r w:rsidRPr="001D6D10">
        <w:rPr>
          <w:rFonts w:ascii="ＭＳ 明朝" w:hAnsi="Courier New" w:cs="Courier New" w:hint="eastAsia"/>
          <w:sz w:val="22"/>
          <w:szCs w:val="22"/>
        </w:rPr>
        <w:t>（内閣府　災害救助法制度概要より抜粋）</w:t>
      </w:r>
    </w:p>
    <w:p w14:paraId="4CC3C035" w14:textId="77777777" w:rsidR="00561AEF" w:rsidRPr="001D6D10" w:rsidRDefault="00561AEF" w:rsidP="008B4B2B">
      <w:pPr>
        <w:pStyle w:val="a0"/>
        <w:ind w:leftChars="313" w:left="1214" w:hangingChars="250" w:hanging="553"/>
        <w:rPr>
          <w:rFonts w:ascii="ＭＳ ゴシック" w:eastAsia="ＭＳ ゴシック"/>
          <w:sz w:val="22"/>
          <w:szCs w:val="22"/>
          <w:u w:val="single"/>
        </w:rPr>
      </w:pPr>
    </w:p>
    <w:p w14:paraId="0CB18EEB" w14:textId="77777777" w:rsidR="008B4B2B" w:rsidRPr="001D6D10" w:rsidRDefault="008B4B2B" w:rsidP="008B4B2B">
      <w:pPr>
        <w:pStyle w:val="a0"/>
        <w:ind w:leftChars="313" w:left="1214" w:hangingChars="250" w:hanging="553"/>
        <w:rPr>
          <w:sz w:val="22"/>
          <w:szCs w:val="22"/>
          <w:u w:val="single"/>
        </w:rPr>
      </w:pPr>
      <w:r w:rsidRPr="001D6D10">
        <w:rPr>
          <w:rFonts w:ascii="ＭＳ ゴシック" w:eastAsia="ＭＳ ゴシック" w:hint="eastAsia"/>
          <w:sz w:val="22"/>
          <w:szCs w:val="22"/>
          <w:u w:val="single"/>
        </w:rPr>
        <w:t>２　災害救助法の適用基準</w:t>
      </w:r>
    </w:p>
    <w:p w14:paraId="12C482CC" w14:textId="77777777" w:rsidR="008B4B2B" w:rsidRPr="001D6D10" w:rsidRDefault="008B4B2B" w:rsidP="008B4B2B">
      <w:pPr>
        <w:pStyle w:val="a0"/>
        <w:ind w:left="884" w:hangingChars="400" w:hanging="884"/>
        <w:rPr>
          <w:sz w:val="22"/>
          <w:szCs w:val="22"/>
        </w:rPr>
      </w:pPr>
      <w:r w:rsidRPr="001D6D10">
        <w:rPr>
          <w:rFonts w:hint="eastAsia"/>
          <w:sz w:val="22"/>
          <w:szCs w:val="22"/>
        </w:rPr>
        <w:t xml:space="preserve">　　　　  災害救助法は、災害の程度が次のいずれかに該当し、かつ、応急救助の必要があると認められる場合に適用する</w:t>
      </w:r>
      <w:r w:rsidR="006F0831" w:rsidRPr="001D6D10">
        <w:rPr>
          <w:rFonts w:hint="eastAsia"/>
          <w:sz w:val="22"/>
          <w:szCs w:val="22"/>
        </w:rPr>
        <w:t>。</w:t>
      </w:r>
      <w:r w:rsidRPr="001D6D10">
        <w:rPr>
          <w:rFonts w:hint="eastAsia"/>
          <w:sz w:val="22"/>
          <w:szCs w:val="22"/>
        </w:rPr>
        <w:t>（適用基準</w:t>
      </w:r>
      <w:r w:rsidR="006F0831" w:rsidRPr="001D6D10">
        <w:rPr>
          <w:rFonts w:hint="eastAsia"/>
          <w:sz w:val="22"/>
          <w:szCs w:val="22"/>
        </w:rPr>
        <w:t>については、資料集を参照）</w:t>
      </w:r>
    </w:p>
    <w:p w14:paraId="17DA9325" w14:textId="77777777" w:rsidR="008B4B2B" w:rsidRPr="001D6D10" w:rsidRDefault="008B4B2B" w:rsidP="007E668F">
      <w:pPr>
        <w:pStyle w:val="a0"/>
        <w:numPr>
          <w:ilvl w:val="0"/>
          <w:numId w:val="21"/>
        </w:numPr>
        <w:rPr>
          <w:sz w:val="22"/>
          <w:szCs w:val="22"/>
        </w:rPr>
      </w:pPr>
      <w:r w:rsidRPr="001D6D10">
        <w:rPr>
          <w:rFonts w:hint="eastAsia"/>
          <w:sz w:val="22"/>
          <w:szCs w:val="22"/>
        </w:rPr>
        <w:t xml:space="preserve">　当該市町村（大阪市及び堺市にあっては市又は区）の区域内の住家滅失世帯数が、災害救助法適用基準世帯数以上であること。</w:t>
      </w:r>
    </w:p>
    <w:p w14:paraId="374BAD69" w14:textId="77777777" w:rsidR="008B4B2B" w:rsidRPr="001D6D10" w:rsidRDefault="008B4B2B" w:rsidP="008B4B2B">
      <w:pPr>
        <w:pStyle w:val="a0"/>
        <w:ind w:left="1260"/>
        <w:rPr>
          <w:sz w:val="22"/>
          <w:szCs w:val="22"/>
        </w:rPr>
      </w:pPr>
      <w:r w:rsidRPr="001D6D10">
        <w:rPr>
          <w:rFonts w:hint="eastAsia"/>
          <w:sz w:val="22"/>
          <w:szCs w:val="22"/>
        </w:rPr>
        <w:t>（災害救助法施行令第1条第1項第1号）</w:t>
      </w:r>
    </w:p>
    <w:p w14:paraId="6D486D1C" w14:textId="77777777" w:rsidR="008B4B2B" w:rsidRPr="001D6D10" w:rsidRDefault="008B4B2B" w:rsidP="008B4B2B">
      <w:pPr>
        <w:pStyle w:val="a0"/>
        <w:ind w:left="900"/>
        <w:rPr>
          <w:sz w:val="22"/>
          <w:szCs w:val="22"/>
        </w:rPr>
      </w:pPr>
    </w:p>
    <w:p w14:paraId="0E8EAE75" w14:textId="77777777" w:rsidR="008B4B2B" w:rsidRPr="001D6D10" w:rsidRDefault="008B4B2B" w:rsidP="007E668F">
      <w:pPr>
        <w:pStyle w:val="a0"/>
        <w:numPr>
          <w:ilvl w:val="0"/>
          <w:numId w:val="21"/>
        </w:numPr>
        <w:ind w:rightChars="-120" w:right="-253"/>
        <w:rPr>
          <w:sz w:val="22"/>
          <w:szCs w:val="22"/>
        </w:rPr>
      </w:pPr>
      <w:r w:rsidRPr="001D6D10">
        <w:rPr>
          <w:rFonts w:hint="eastAsia"/>
          <w:sz w:val="22"/>
          <w:szCs w:val="22"/>
        </w:rPr>
        <w:t xml:space="preserve">　府の区域内の住家滅失世帯数が２，５００世帯以上であって、当該市町村（大阪市及び堺市にあっては市又は区）の区域内の住家滅失世帯数が、災害救助法適用基準世帯数の半数以上であること（災害救助法施行令第1条第1項第2号）。</w:t>
      </w:r>
    </w:p>
    <w:p w14:paraId="12C7658B" w14:textId="77777777" w:rsidR="008B4B2B" w:rsidRPr="001D6D10" w:rsidRDefault="008B4B2B" w:rsidP="008B4B2B">
      <w:pPr>
        <w:pStyle w:val="a0"/>
        <w:ind w:rightChars="-120" w:right="-253"/>
        <w:rPr>
          <w:sz w:val="22"/>
          <w:szCs w:val="22"/>
        </w:rPr>
      </w:pPr>
    </w:p>
    <w:p w14:paraId="068F5154" w14:textId="77777777" w:rsidR="008B4B2B" w:rsidRPr="001D6D10" w:rsidRDefault="008B4B2B" w:rsidP="007E668F">
      <w:pPr>
        <w:pStyle w:val="a0"/>
        <w:numPr>
          <w:ilvl w:val="0"/>
          <w:numId w:val="21"/>
        </w:numPr>
        <w:ind w:rightChars="-108" w:right="-228"/>
        <w:rPr>
          <w:sz w:val="22"/>
          <w:szCs w:val="22"/>
        </w:rPr>
      </w:pPr>
      <w:r w:rsidRPr="001D6D10">
        <w:rPr>
          <w:rFonts w:hint="eastAsia"/>
          <w:sz w:val="22"/>
          <w:szCs w:val="22"/>
        </w:rPr>
        <w:t xml:space="preserve">　府の区域内の住家滅失世帯数が１２，０００世帯以上である場合、又は災害が隔絶した地域に発生したものである等、災害にかかった者の救護を著しく困</w:t>
      </w:r>
      <w:r w:rsidRPr="001D6D10">
        <w:rPr>
          <w:rFonts w:hint="eastAsia"/>
          <w:sz w:val="22"/>
          <w:szCs w:val="22"/>
        </w:rPr>
        <w:lastRenderedPageBreak/>
        <w:t>難とする内閣府令で定める特別の事情がある場合であって、かつ、多数の世帯の住家が滅失したものであること（災害救助法施行令第1条第1項第3号）。</w:t>
      </w:r>
    </w:p>
    <w:p w14:paraId="432FB019" w14:textId="77777777" w:rsidR="008B4B2B" w:rsidRPr="001D6D10" w:rsidRDefault="008B4B2B" w:rsidP="007E668F">
      <w:pPr>
        <w:pStyle w:val="a0"/>
        <w:numPr>
          <w:ilvl w:val="0"/>
          <w:numId w:val="21"/>
        </w:numPr>
        <w:rPr>
          <w:sz w:val="22"/>
          <w:szCs w:val="22"/>
        </w:rPr>
      </w:pPr>
      <w:r w:rsidRPr="001D6D10">
        <w:rPr>
          <w:rFonts w:hint="eastAsia"/>
          <w:sz w:val="22"/>
          <w:szCs w:val="22"/>
        </w:rPr>
        <w:t xml:space="preserve">　多数の者が生命又は身体に危害を受け又は受けるおそれが生じた場合であって、内閣府令で定める基準に該当すること。</w:t>
      </w:r>
    </w:p>
    <w:p w14:paraId="17838BD9" w14:textId="77777777" w:rsidR="008B4B2B" w:rsidRPr="001D6D10" w:rsidRDefault="008B4B2B" w:rsidP="008B4B2B">
      <w:pPr>
        <w:pStyle w:val="a0"/>
        <w:ind w:left="1260"/>
        <w:rPr>
          <w:sz w:val="22"/>
          <w:szCs w:val="22"/>
        </w:rPr>
      </w:pPr>
      <w:r w:rsidRPr="001D6D10">
        <w:rPr>
          <w:rFonts w:hint="eastAsia"/>
          <w:sz w:val="22"/>
          <w:szCs w:val="22"/>
        </w:rPr>
        <w:t>（災害救助法施行令第1条第1項第4号）</w:t>
      </w:r>
    </w:p>
    <w:p w14:paraId="2C98B25D" w14:textId="77777777" w:rsidR="008B4B2B" w:rsidRPr="001D6D10" w:rsidRDefault="008B4B2B" w:rsidP="008B4B2B">
      <w:pPr>
        <w:pStyle w:val="a0"/>
        <w:ind w:firstLineChars="300" w:firstLine="663"/>
        <w:rPr>
          <w:rFonts w:ascii="ＭＳ ゴシック" w:eastAsia="ＭＳ ゴシック"/>
          <w:sz w:val="22"/>
          <w:szCs w:val="22"/>
          <w:u w:val="single"/>
        </w:rPr>
      </w:pPr>
    </w:p>
    <w:p w14:paraId="78FF6BE7" w14:textId="77777777" w:rsidR="008B4B2B" w:rsidRPr="008A3EDE" w:rsidRDefault="008B4B2B" w:rsidP="008B4B2B">
      <w:pPr>
        <w:pStyle w:val="a0"/>
        <w:ind w:firstLineChars="300" w:firstLine="663"/>
        <w:rPr>
          <w:rFonts w:ascii="ＭＳ ゴシック" w:eastAsia="ＭＳ ゴシック"/>
          <w:sz w:val="22"/>
          <w:szCs w:val="22"/>
          <w:u w:val="single"/>
        </w:rPr>
      </w:pPr>
      <w:r w:rsidRPr="008A3EDE">
        <w:rPr>
          <w:rFonts w:ascii="ＭＳ ゴシック" w:eastAsia="ＭＳ ゴシック" w:hint="eastAsia"/>
          <w:sz w:val="22"/>
          <w:szCs w:val="22"/>
          <w:u w:val="single"/>
        </w:rPr>
        <w:t>３　救助の実施</w:t>
      </w:r>
    </w:p>
    <w:p w14:paraId="79DB801D" w14:textId="77777777" w:rsidR="008B4B2B" w:rsidRPr="008A3EDE" w:rsidRDefault="008B4B2B" w:rsidP="008B4B2B">
      <w:pPr>
        <w:pStyle w:val="a0"/>
        <w:ind w:firstLineChars="300" w:firstLine="663"/>
        <w:rPr>
          <w:sz w:val="22"/>
          <w:szCs w:val="22"/>
        </w:rPr>
      </w:pPr>
      <w:r w:rsidRPr="008A3EDE">
        <w:rPr>
          <w:rFonts w:hint="eastAsia"/>
          <w:sz w:val="22"/>
          <w:szCs w:val="22"/>
        </w:rPr>
        <w:t xml:space="preserve">　(1)　救助の種類</w:t>
      </w:r>
    </w:p>
    <w:p w14:paraId="74CEDAD5" w14:textId="694458E2" w:rsidR="008B4B2B" w:rsidRPr="008A3EDE" w:rsidRDefault="008B4B2B" w:rsidP="008B4B2B">
      <w:pPr>
        <w:pStyle w:val="a0"/>
        <w:ind w:firstLineChars="500" w:firstLine="1105"/>
        <w:rPr>
          <w:sz w:val="22"/>
          <w:szCs w:val="22"/>
        </w:rPr>
      </w:pPr>
      <w:r w:rsidRPr="008A3EDE">
        <w:rPr>
          <w:rFonts w:hint="eastAsia"/>
          <w:sz w:val="22"/>
          <w:szCs w:val="22"/>
        </w:rPr>
        <w:t>① 避難所</w:t>
      </w:r>
      <w:r w:rsidR="00955A3A" w:rsidRPr="008A3EDE">
        <w:rPr>
          <w:rFonts w:hint="eastAsia"/>
          <w:sz w:val="22"/>
          <w:szCs w:val="22"/>
        </w:rPr>
        <w:t>及び</w:t>
      </w:r>
      <w:r w:rsidRPr="008A3EDE">
        <w:rPr>
          <w:rFonts w:hint="eastAsia"/>
          <w:sz w:val="22"/>
          <w:szCs w:val="22"/>
        </w:rPr>
        <w:t>応急仮設住宅の供与</w:t>
      </w:r>
    </w:p>
    <w:p w14:paraId="3EAE18C9" w14:textId="77777777" w:rsidR="008B4B2B" w:rsidRPr="008A3EDE" w:rsidRDefault="008B4B2B" w:rsidP="008B4B2B">
      <w:pPr>
        <w:pStyle w:val="a0"/>
        <w:ind w:left="1095"/>
        <w:rPr>
          <w:sz w:val="22"/>
          <w:szCs w:val="22"/>
        </w:rPr>
      </w:pPr>
      <w:r w:rsidRPr="008A3EDE">
        <w:rPr>
          <w:rFonts w:hint="eastAsia"/>
          <w:sz w:val="22"/>
          <w:szCs w:val="22"/>
        </w:rPr>
        <w:t>② 炊き出しその他による食品の給与及び飲料水の供給</w:t>
      </w:r>
    </w:p>
    <w:p w14:paraId="37F9B727" w14:textId="7E12C272" w:rsidR="008B4B2B" w:rsidRPr="008A3EDE" w:rsidRDefault="008B4B2B" w:rsidP="008B4B2B">
      <w:pPr>
        <w:pStyle w:val="a0"/>
        <w:ind w:left="1095"/>
        <w:rPr>
          <w:sz w:val="22"/>
          <w:szCs w:val="22"/>
        </w:rPr>
      </w:pPr>
      <w:r w:rsidRPr="008A3EDE">
        <w:rPr>
          <w:rFonts w:hint="eastAsia"/>
          <w:sz w:val="22"/>
          <w:szCs w:val="22"/>
        </w:rPr>
        <w:t>③ 被服、寝具その他生活必需品の給与</w:t>
      </w:r>
      <w:r w:rsidR="00955A3A" w:rsidRPr="008A3EDE">
        <w:rPr>
          <w:rFonts w:hint="eastAsia"/>
          <w:sz w:val="22"/>
          <w:szCs w:val="22"/>
        </w:rPr>
        <w:t>及び</w:t>
      </w:r>
      <w:r w:rsidRPr="008A3EDE">
        <w:rPr>
          <w:rFonts w:hint="eastAsia"/>
          <w:sz w:val="22"/>
          <w:szCs w:val="22"/>
        </w:rPr>
        <w:t>貸与</w:t>
      </w:r>
    </w:p>
    <w:p w14:paraId="01F42EBC" w14:textId="77777777" w:rsidR="008B4B2B" w:rsidRPr="008A3EDE" w:rsidRDefault="008B4B2B" w:rsidP="00955A3A">
      <w:pPr>
        <w:pStyle w:val="a0"/>
        <w:numPr>
          <w:ilvl w:val="0"/>
          <w:numId w:val="40"/>
        </w:numPr>
        <w:rPr>
          <w:sz w:val="22"/>
          <w:szCs w:val="22"/>
        </w:rPr>
      </w:pPr>
      <w:r w:rsidRPr="008A3EDE">
        <w:rPr>
          <w:rFonts w:hint="eastAsia"/>
          <w:sz w:val="22"/>
          <w:szCs w:val="22"/>
        </w:rPr>
        <w:t>医療及び助産</w:t>
      </w:r>
    </w:p>
    <w:p w14:paraId="0FB1946D" w14:textId="46719CB4" w:rsidR="008B4B2B" w:rsidRPr="008A3EDE" w:rsidRDefault="008B4B2B" w:rsidP="00955A3A">
      <w:pPr>
        <w:pStyle w:val="a0"/>
        <w:numPr>
          <w:ilvl w:val="0"/>
          <w:numId w:val="40"/>
        </w:numPr>
        <w:rPr>
          <w:sz w:val="22"/>
          <w:szCs w:val="22"/>
        </w:rPr>
      </w:pPr>
      <w:r w:rsidRPr="008A3EDE">
        <w:rPr>
          <w:rFonts w:hint="eastAsia"/>
          <w:sz w:val="22"/>
          <w:szCs w:val="22"/>
        </w:rPr>
        <w:t>被災者の救出</w:t>
      </w:r>
    </w:p>
    <w:p w14:paraId="164897C6" w14:textId="59EBA43B" w:rsidR="00955A3A" w:rsidRPr="008A3EDE" w:rsidRDefault="00955A3A" w:rsidP="00955A3A">
      <w:pPr>
        <w:pStyle w:val="a0"/>
        <w:numPr>
          <w:ilvl w:val="0"/>
          <w:numId w:val="40"/>
        </w:numPr>
        <w:rPr>
          <w:sz w:val="22"/>
          <w:szCs w:val="22"/>
        </w:rPr>
      </w:pPr>
      <w:r w:rsidRPr="008A3EDE">
        <w:rPr>
          <w:rFonts w:hint="eastAsia"/>
          <w:sz w:val="22"/>
          <w:szCs w:val="22"/>
        </w:rPr>
        <w:t>福祉サービスの提供</w:t>
      </w:r>
    </w:p>
    <w:p w14:paraId="40085D67" w14:textId="2C37364B" w:rsidR="00955A3A" w:rsidRPr="008A3EDE" w:rsidRDefault="00955A3A" w:rsidP="00955A3A">
      <w:pPr>
        <w:pStyle w:val="a0"/>
        <w:numPr>
          <w:ilvl w:val="0"/>
          <w:numId w:val="40"/>
        </w:numPr>
        <w:rPr>
          <w:sz w:val="22"/>
          <w:szCs w:val="22"/>
        </w:rPr>
      </w:pPr>
      <w:r w:rsidRPr="008A3EDE">
        <w:rPr>
          <w:rFonts w:hint="eastAsia"/>
          <w:sz w:val="22"/>
          <w:szCs w:val="22"/>
        </w:rPr>
        <w:t>住家の被害の拡大を防止するための緊急の修理</w:t>
      </w:r>
    </w:p>
    <w:p w14:paraId="2A97E0EF" w14:textId="30BA8248" w:rsidR="008B4B2B" w:rsidRPr="008A3EDE" w:rsidRDefault="00955A3A" w:rsidP="00955A3A">
      <w:pPr>
        <w:pStyle w:val="a0"/>
        <w:numPr>
          <w:ilvl w:val="0"/>
          <w:numId w:val="40"/>
        </w:numPr>
        <w:rPr>
          <w:sz w:val="22"/>
          <w:szCs w:val="22"/>
        </w:rPr>
      </w:pPr>
      <w:r w:rsidRPr="008A3EDE">
        <w:rPr>
          <w:rFonts w:hint="eastAsia"/>
          <w:sz w:val="22"/>
          <w:szCs w:val="22"/>
        </w:rPr>
        <w:t>日常生活に必要な最小限度の部分の修理（応急修理）</w:t>
      </w:r>
    </w:p>
    <w:p w14:paraId="63EEAD1D" w14:textId="77777777" w:rsidR="008B4B2B" w:rsidRPr="008A3EDE" w:rsidRDefault="008B4B2B" w:rsidP="00955A3A">
      <w:pPr>
        <w:pStyle w:val="a0"/>
        <w:numPr>
          <w:ilvl w:val="0"/>
          <w:numId w:val="40"/>
        </w:numPr>
        <w:rPr>
          <w:sz w:val="22"/>
          <w:szCs w:val="22"/>
        </w:rPr>
      </w:pPr>
      <w:r w:rsidRPr="008A3EDE">
        <w:rPr>
          <w:rFonts w:hint="eastAsia"/>
          <w:sz w:val="22"/>
          <w:szCs w:val="22"/>
        </w:rPr>
        <w:t>学用品の給与</w:t>
      </w:r>
    </w:p>
    <w:p w14:paraId="5BCB3BF2" w14:textId="77777777" w:rsidR="00D54233" w:rsidRPr="008A3EDE" w:rsidRDefault="00955A3A" w:rsidP="00955A3A">
      <w:pPr>
        <w:pStyle w:val="a0"/>
        <w:numPr>
          <w:ilvl w:val="0"/>
          <w:numId w:val="40"/>
        </w:numPr>
        <w:rPr>
          <w:sz w:val="22"/>
          <w:szCs w:val="22"/>
        </w:rPr>
      </w:pPr>
      <w:r w:rsidRPr="008A3EDE">
        <w:rPr>
          <w:rFonts w:hint="eastAsia"/>
          <w:sz w:val="22"/>
          <w:szCs w:val="22"/>
        </w:rPr>
        <w:t>埋葬</w:t>
      </w:r>
    </w:p>
    <w:p w14:paraId="419D730D" w14:textId="72A2B135" w:rsidR="00D54233" w:rsidRPr="008A3EDE" w:rsidRDefault="00955A3A" w:rsidP="00955A3A">
      <w:pPr>
        <w:pStyle w:val="a0"/>
        <w:numPr>
          <w:ilvl w:val="0"/>
          <w:numId w:val="40"/>
        </w:numPr>
        <w:rPr>
          <w:sz w:val="22"/>
          <w:szCs w:val="22"/>
        </w:rPr>
      </w:pPr>
      <w:r w:rsidRPr="008A3EDE">
        <w:rPr>
          <w:rFonts w:hint="eastAsia"/>
          <w:sz w:val="22"/>
          <w:szCs w:val="22"/>
        </w:rPr>
        <w:t>死体の捜索及び処理</w:t>
      </w:r>
    </w:p>
    <w:p w14:paraId="1541A450" w14:textId="20E07335" w:rsidR="008B4B2B" w:rsidRPr="008A3EDE" w:rsidRDefault="00955A3A" w:rsidP="00E0548A">
      <w:pPr>
        <w:pStyle w:val="a0"/>
        <w:numPr>
          <w:ilvl w:val="0"/>
          <w:numId w:val="40"/>
        </w:numPr>
        <w:rPr>
          <w:sz w:val="22"/>
          <w:szCs w:val="22"/>
        </w:rPr>
      </w:pPr>
      <w:r w:rsidRPr="008A3EDE">
        <w:rPr>
          <w:rFonts w:hint="eastAsia"/>
          <w:sz w:val="22"/>
          <w:szCs w:val="22"/>
        </w:rPr>
        <w:t>障害物の除去（災害によって住居又はその周辺に運ばれた土石、竹木等で日常生活に著しい支障を及ぼしているものの除去）</w:t>
      </w:r>
    </w:p>
    <w:p w14:paraId="12494D02" w14:textId="77777777" w:rsidR="008B4B2B" w:rsidRPr="008A3EDE" w:rsidRDefault="008B4B2B" w:rsidP="008B4B2B">
      <w:pPr>
        <w:pStyle w:val="a0"/>
        <w:rPr>
          <w:sz w:val="22"/>
          <w:szCs w:val="22"/>
        </w:rPr>
      </w:pPr>
      <w:r w:rsidRPr="008A3EDE">
        <w:rPr>
          <w:rFonts w:hint="eastAsia"/>
          <w:sz w:val="22"/>
          <w:szCs w:val="22"/>
        </w:rPr>
        <w:t xml:space="preserve">　　　　(2)　職権の一部委任</w:t>
      </w:r>
    </w:p>
    <w:p w14:paraId="211C0531" w14:textId="77777777" w:rsidR="008B4B2B" w:rsidRPr="001D6D10" w:rsidRDefault="008B4B2B" w:rsidP="008B4B2B">
      <w:pPr>
        <w:pStyle w:val="a0"/>
        <w:ind w:left="1216" w:hangingChars="550" w:hanging="1216"/>
        <w:rPr>
          <w:sz w:val="22"/>
          <w:szCs w:val="22"/>
        </w:rPr>
      </w:pPr>
      <w:r w:rsidRPr="008A3EDE">
        <w:rPr>
          <w:rFonts w:hint="eastAsia"/>
          <w:sz w:val="22"/>
          <w:szCs w:val="22"/>
        </w:rPr>
        <w:t xml:space="preserve">　　　　　　 知事は、救助を迅速に行うため必要があると認めるときは、その権限に属す</w:t>
      </w:r>
      <w:r w:rsidRPr="001D6D10">
        <w:rPr>
          <w:rFonts w:hint="eastAsia"/>
          <w:sz w:val="22"/>
          <w:szCs w:val="22"/>
        </w:rPr>
        <w:t>る救助の実施に関する事務の一部を市町村長が行うこととすることができる（災害救助法第30条）。</w:t>
      </w:r>
    </w:p>
    <w:p w14:paraId="4AFFFCDF" w14:textId="77777777" w:rsidR="008B4B2B" w:rsidRPr="001D6D10" w:rsidRDefault="008B4B2B" w:rsidP="008B4B2B">
      <w:pPr>
        <w:pStyle w:val="a0"/>
        <w:ind w:left="1216" w:hangingChars="550" w:hanging="1216"/>
        <w:rPr>
          <w:sz w:val="22"/>
          <w:szCs w:val="22"/>
        </w:rPr>
      </w:pPr>
      <w:r w:rsidRPr="001D6D10">
        <w:rPr>
          <w:rFonts w:hint="eastAsia"/>
          <w:sz w:val="22"/>
          <w:szCs w:val="22"/>
        </w:rPr>
        <w:t xml:space="preserve">　　　       なお、上記により市町村長が行う事務を除くほか、市町村長は、知事が行う救助を補助するものとする。</w:t>
      </w:r>
    </w:p>
    <w:p w14:paraId="5994C935" w14:textId="77777777" w:rsidR="008B4B2B" w:rsidRPr="001D6D10" w:rsidRDefault="008B4B2B" w:rsidP="008B4B2B">
      <w:pPr>
        <w:pStyle w:val="a0"/>
        <w:ind w:left="1216" w:hangingChars="550" w:hanging="1216"/>
        <w:rPr>
          <w:sz w:val="22"/>
          <w:szCs w:val="22"/>
        </w:rPr>
      </w:pPr>
    </w:p>
    <w:p w14:paraId="3BF7DA0F" w14:textId="77777777" w:rsidR="008B4B2B" w:rsidRPr="001D6D10" w:rsidRDefault="008B4B2B" w:rsidP="008B4B2B">
      <w:pPr>
        <w:pStyle w:val="a0"/>
        <w:ind w:firstLineChars="300" w:firstLine="663"/>
        <w:rPr>
          <w:rFonts w:ascii="ＭＳ ゴシック" w:eastAsia="ＭＳ ゴシック"/>
          <w:sz w:val="22"/>
          <w:szCs w:val="22"/>
          <w:u w:val="single"/>
        </w:rPr>
      </w:pPr>
      <w:r w:rsidRPr="001D6D10">
        <w:rPr>
          <w:rFonts w:ascii="ＭＳ ゴシック" w:eastAsia="ＭＳ ゴシック" w:hint="eastAsia"/>
          <w:sz w:val="22"/>
          <w:szCs w:val="22"/>
          <w:u w:val="single"/>
        </w:rPr>
        <w:t>４　災害救助法による救助の程度、方法及び期間並びに実費弁償の基準</w:t>
      </w:r>
    </w:p>
    <w:p w14:paraId="2E754931" w14:textId="77777777" w:rsidR="008B4B2B" w:rsidRPr="001D6D10" w:rsidRDefault="008B4B2B" w:rsidP="008B4B2B">
      <w:pPr>
        <w:pStyle w:val="a0"/>
        <w:ind w:left="884" w:hangingChars="400" w:hanging="884"/>
        <w:rPr>
          <w:sz w:val="22"/>
          <w:szCs w:val="22"/>
        </w:rPr>
      </w:pPr>
      <w:r w:rsidRPr="001D6D10">
        <w:rPr>
          <w:rFonts w:hint="eastAsia"/>
          <w:sz w:val="22"/>
          <w:szCs w:val="22"/>
        </w:rPr>
        <w:t xml:space="preserve">　　　　　災害救助法による救助の程度、方法及び期間並びに実費弁償の基準は、「大阪府災害救助法施行細則（昭和４４年大阪府規則第４８号）」による。</w:t>
      </w:r>
    </w:p>
    <w:p w14:paraId="6485AB2D" w14:textId="77777777" w:rsidR="008B4B2B" w:rsidRPr="001D6D10" w:rsidRDefault="008B4B2B" w:rsidP="008B4B2B">
      <w:pPr>
        <w:pStyle w:val="a0"/>
        <w:ind w:leftChars="400" w:left="844" w:firstLineChars="100" w:firstLine="221"/>
        <w:rPr>
          <w:sz w:val="22"/>
          <w:szCs w:val="22"/>
        </w:rPr>
      </w:pPr>
      <w:r w:rsidRPr="001D6D10">
        <w:rPr>
          <w:rFonts w:hint="eastAsia"/>
          <w:sz w:val="22"/>
          <w:szCs w:val="22"/>
        </w:rPr>
        <w:t>ただし、これにより救助の適切な実施が困難な場合に知事は、内閣総理大臣に協議し、その同意を得た上で救助の程度、方法及び期間を定めることができる。</w:t>
      </w:r>
    </w:p>
    <w:p w14:paraId="0409FDC9" w14:textId="77777777" w:rsidR="008B4B2B" w:rsidRPr="001D6D10" w:rsidRDefault="008B4B2B" w:rsidP="008B4B2B">
      <w:pPr>
        <w:pStyle w:val="a0"/>
        <w:rPr>
          <w:rFonts w:ascii="ＭＳ ゴシック" w:eastAsia="ＭＳ ゴシック" w:hAnsi="ＭＳ ゴシック"/>
          <w:sz w:val="22"/>
          <w:szCs w:val="22"/>
        </w:rPr>
      </w:pPr>
    </w:p>
    <w:p w14:paraId="43BBAA7F" w14:textId="77777777" w:rsidR="008B4B2B" w:rsidRPr="001D6D10" w:rsidRDefault="008B4B2B" w:rsidP="008B4B2B">
      <w:pPr>
        <w:pStyle w:val="a0"/>
        <w:ind w:firstLineChars="300" w:firstLine="663"/>
        <w:rPr>
          <w:rFonts w:ascii="ＭＳ ゴシック" w:eastAsia="ＭＳ ゴシック"/>
          <w:sz w:val="22"/>
          <w:szCs w:val="22"/>
          <w:u w:val="single"/>
        </w:rPr>
      </w:pPr>
      <w:r w:rsidRPr="001D6D10">
        <w:rPr>
          <w:rFonts w:ascii="ＭＳ ゴシック" w:eastAsia="ＭＳ ゴシック" w:hint="eastAsia"/>
          <w:sz w:val="22"/>
          <w:szCs w:val="22"/>
          <w:u w:val="single"/>
        </w:rPr>
        <w:t>５　内閣府</w:t>
      </w:r>
      <w:r w:rsidR="00767C74" w:rsidRPr="001D6D10">
        <w:rPr>
          <w:rFonts w:ascii="ＭＳ ゴシック" w:eastAsia="ＭＳ ゴシック" w:hint="eastAsia"/>
          <w:sz w:val="22"/>
          <w:szCs w:val="22"/>
          <w:u w:val="single"/>
        </w:rPr>
        <w:t>との適用協議</w:t>
      </w:r>
    </w:p>
    <w:p w14:paraId="1188AE05" w14:textId="77777777" w:rsidR="008B4B2B" w:rsidRPr="001D6D10" w:rsidRDefault="008B4B2B" w:rsidP="008B4B2B">
      <w:pPr>
        <w:pStyle w:val="a0"/>
        <w:ind w:firstLineChars="400" w:firstLine="884"/>
        <w:rPr>
          <w:sz w:val="22"/>
          <w:szCs w:val="22"/>
        </w:rPr>
      </w:pPr>
      <w:r w:rsidRPr="001D6D10">
        <w:rPr>
          <w:rFonts w:hint="eastAsia"/>
          <w:sz w:val="22"/>
          <w:szCs w:val="22"/>
        </w:rPr>
        <w:t>(1)　情報提供の種類とその内容</w:t>
      </w:r>
    </w:p>
    <w:p w14:paraId="4388AE2A" w14:textId="77777777" w:rsidR="008B4B2B" w:rsidRPr="001D6D10" w:rsidRDefault="008B4B2B" w:rsidP="008B4B2B">
      <w:pPr>
        <w:pStyle w:val="a0"/>
        <w:ind w:firstLineChars="500" w:firstLine="1105"/>
        <w:rPr>
          <w:sz w:val="22"/>
          <w:szCs w:val="22"/>
        </w:rPr>
      </w:pPr>
      <w:r w:rsidRPr="001D6D10">
        <w:rPr>
          <w:rFonts w:hint="eastAsia"/>
          <w:sz w:val="22"/>
          <w:szCs w:val="22"/>
        </w:rPr>
        <w:t>①　発生情報</w:t>
      </w:r>
    </w:p>
    <w:p w14:paraId="6D8E4B82" w14:textId="77777777" w:rsidR="008B4B2B" w:rsidRPr="001D6D10" w:rsidRDefault="008B4B2B" w:rsidP="008B4B2B">
      <w:pPr>
        <w:pStyle w:val="a0"/>
        <w:ind w:leftChars="629" w:left="1328" w:rightChars="-53" w:right="-112" w:firstLineChars="100" w:firstLine="221"/>
        <w:rPr>
          <w:sz w:val="22"/>
          <w:szCs w:val="22"/>
        </w:rPr>
      </w:pPr>
      <w:r w:rsidRPr="001D6D10">
        <w:rPr>
          <w:rFonts w:hint="eastAsia"/>
          <w:sz w:val="22"/>
          <w:szCs w:val="22"/>
        </w:rPr>
        <w:t>法による救助の実施の必要性が明白であるか、又は、その可能性があると認</w:t>
      </w:r>
      <w:r w:rsidRPr="001D6D10">
        <w:rPr>
          <w:rFonts w:hint="eastAsia"/>
          <w:sz w:val="22"/>
          <w:szCs w:val="22"/>
        </w:rPr>
        <w:lastRenderedPageBreak/>
        <w:t>められる災害が発生した場合に行うものとし、その内容は次のとおりとする。</w:t>
      </w:r>
    </w:p>
    <w:p w14:paraId="06F3BAA8" w14:textId="77777777" w:rsidR="008B4B2B" w:rsidRPr="001D6D10" w:rsidRDefault="008B4B2B" w:rsidP="008B4B2B">
      <w:pPr>
        <w:pStyle w:val="a0"/>
        <w:ind w:firstLineChars="600" w:firstLine="1327"/>
        <w:rPr>
          <w:sz w:val="22"/>
          <w:szCs w:val="22"/>
        </w:rPr>
      </w:pPr>
      <w:r w:rsidRPr="001D6D10">
        <w:rPr>
          <w:rFonts w:hint="eastAsia"/>
          <w:sz w:val="22"/>
          <w:szCs w:val="22"/>
        </w:rPr>
        <w:t>ア　災害発生の日時及び場所</w:t>
      </w:r>
    </w:p>
    <w:p w14:paraId="4F4C7F65" w14:textId="77777777" w:rsidR="008B4B2B" w:rsidRPr="001D6D10" w:rsidRDefault="008B4B2B" w:rsidP="008B4B2B">
      <w:pPr>
        <w:pStyle w:val="a0"/>
        <w:ind w:firstLineChars="600" w:firstLine="1327"/>
        <w:rPr>
          <w:sz w:val="22"/>
          <w:szCs w:val="22"/>
        </w:rPr>
      </w:pPr>
      <w:r w:rsidRPr="001D6D10">
        <w:rPr>
          <w:rFonts w:hint="eastAsia"/>
          <w:sz w:val="22"/>
          <w:szCs w:val="22"/>
        </w:rPr>
        <w:t>イ　災害の原因及び被害の概況</w:t>
      </w:r>
    </w:p>
    <w:p w14:paraId="44C020A8" w14:textId="77777777" w:rsidR="008B4B2B" w:rsidRPr="001D6D10" w:rsidRDefault="008B4B2B" w:rsidP="008B4B2B">
      <w:pPr>
        <w:pStyle w:val="a0"/>
        <w:ind w:firstLineChars="600" w:firstLine="1327"/>
        <w:rPr>
          <w:sz w:val="22"/>
          <w:szCs w:val="22"/>
        </w:rPr>
      </w:pPr>
      <w:r w:rsidRPr="001D6D10">
        <w:rPr>
          <w:rFonts w:hint="eastAsia"/>
          <w:sz w:val="22"/>
          <w:szCs w:val="22"/>
        </w:rPr>
        <w:t>ウ　市町村別被害状況（人的被害・住家の被害）</w:t>
      </w:r>
    </w:p>
    <w:p w14:paraId="19B19424" w14:textId="77777777" w:rsidR="008B4B2B" w:rsidRPr="001D6D10" w:rsidRDefault="008B4B2B" w:rsidP="008B4B2B">
      <w:pPr>
        <w:pStyle w:val="a0"/>
        <w:ind w:firstLineChars="600" w:firstLine="1327"/>
        <w:rPr>
          <w:sz w:val="22"/>
          <w:szCs w:val="22"/>
        </w:rPr>
      </w:pPr>
      <w:r w:rsidRPr="001D6D10">
        <w:rPr>
          <w:rFonts w:hint="eastAsia"/>
          <w:sz w:val="22"/>
          <w:szCs w:val="22"/>
        </w:rPr>
        <w:t>エ　法による救助実施（見込含む）市町村名及び実施年月日</w:t>
      </w:r>
    </w:p>
    <w:p w14:paraId="4C8CEB04" w14:textId="77777777" w:rsidR="008B4B2B" w:rsidRPr="001D6D10" w:rsidRDefault="008B4B2B" w:rsidP="008B4B2B">
      <w:pPr>
        <w:pStyle w:val="a0"/>
        <w:ind w:rightChars="-108" w:right="-228" w:firstLineChars="600" w:firstLine="1327"/>
        <w:rPr>
          <w:sz w:val="22"/>
          <w:szCs w:val="22"/>
        </w:rPr>
      </w:pPr>
      <w:r w:rsidRPr="001D6D10">
        <w:rPr>
          <w:rFonts w:hint="eastAsia"/>
          <w:sz w:val="22"/>
          <w:szCs w:val="22"/>
        </w:rPr>
        <w:t>オ　既にとった措置（救助種類等）及び今後とろうとする措置（救助種類等）</w:t>
      </w:r>
    </w:p>
    <w:p w14:paraId="5520CC4C" w14:textId="77777777" w:rsidR="008B4B2B" w:rsidRPr="001D6D10" w:rsidRDefault="008B4B2B" w:rsidP="008B4B2B">
      <w:pPr>
        <w:pStyle w:val="a0"/>
        <w:ind w:firstLineChars="600" w:firstLine="1327"/>
        <w:rPr>
          <w:sz w:val="22"/>
          <w:szCs w:val="22"/>
        </w:rPr>
      </w:pPr>
      <w:r w:rsidRPr="001D6D10">
        <w:rPr>
          <w:rFonts w:hint="eastAsia"/>
          <w:sz w:val="22"/>
          <w:szCs w:val="22"/>
        </w:rPr>
        <w:t>カ　その他必要事項</w:t>
      </w:r>
    </w:p>
    <w:p w14:paraId="664A6343" w14:textId="77777777" w:rsidR="008B4B2B" w:rsidRPr="001D6D10" w:rsidRDefault="008B4B2B" w:rsidP="008B4B2B">
      <w:pPr>
        <w:pStyle w:val="a0"/>
        <w:ind w:firstLineChars="500" w:firstLine="1105"/>
        <w:rPr>
          <w:sz w:val="22"/>
          <w:szCs w:val="22"/>
        </w:rPr>
      </w:pPr>
      <w:r w:rsidRPr="001D6D10">
        <w:rPr>
          <w:rFonts w:hint="eastAsia"/>
          <w:sz w:val="22"/>
          <w:szCs w:val="22"/>
        </w:rPr>
        <w:t>②　中間情報</w:t>
      </w:r>
    </w:p>
    <w:p w14:paraId="4ECEF182" w14:textId="77777777" w:rsidR="008B4B2B" w:rsidRPr="001D6D10" w:rsidRDefault="008B4B2B" w:rsidP="008B4B2B">
      <w:pPr>
        <w:pStyle w:val="a0"/>
        <w:ind w:leftChars="630" w:left="1330" w:firstLineChars="100" w:firstLine="221"/>
        <w:rPr>
          <w:sz w:val="22"/>
          <w:szCs w:val="22"/>
        </w:rPr>
      </w:pPr>
      <w:r w:rsidRPr="001D6D10">
        <w:rPr>
          <w:rFonts w:hint="eastAsia"/>
          <w:sz w:val="22"/>
          <w:szCs w:val="22"/>
        </w:rPr>
        <w:t>発生情報を提供した災害については、原則として当該災害によって法による救助を行う全市町村の指定が完了した直後、すみやかに、市町村別に被害状況をとりまとめて情報提供するものとし、その内容は、発生情報の内容のほか、次のとおりとする。</w:t>
      </w:r>
    </w:p>
    <w:p w14:paraId="7413DED7" w14:textId="77777777" w:rsidR="008B4B2B" w:rsidRPr="001D6D10" w:rsidRDefault="008B4B2B" w:rsidP="008B4B2B">
      <w:pPr>
        <w:pStyle w:val="a0"/>
        <w:ind w:firstLineChars="600" w:firstLine="1327"/>
        <w:rPr>
          <w:sz w:val="22"/>
          <w:szCs w:val="22"/>
        </w:rPr>
      </w:pPr>
      <w:r w:rsidRPr="001D6D10">
        <w:rPr>
          <w:rFonts w:hint="eastAsia"/>
          <w:sz w:val="22"/>
          <w:szCs w:val="22"/>
        </w:rPr>
        <w:t>ア　救助の種類別、実施状況</w:t>
      </w:r>
    </w:p>
    <w:p w14:paraId="3958DD69" w14:textId="77777777" w:rsidR="008B4B2B" w:rsidRPr="001D6D10" w:rsidRDefault="008B4B2B" w:rsidP="008B4B2B">
      <w:pPr>
        <w:pStyle w:val="a0"/>
        <w:ind w:firstLineChars="600" w:firstLine="1327"/>
        <w:rPr>
          <w:sz w:val="22"/>
          <w:szCs w:val="22"/>
        </w:rPr>
      </w:pPr>
      <w:r w:rsidRPr="001D6D10">
        <w:rPr>
          <w:rFonts w:hint="eastAsia"/>
          <w:sz w:val="22"/>
          <w:szCs w:val="22"/>
        </w:rPr>
        <w:t>イ　災害救助費概算額</w:t>
      </w:r>
    </w:p>
    <w:p w14:paraId="2132D000" w14:textId="77777777" w:rsidR="008B4B2B" w:rsidRPr="001D6D10" w:rsidRDefault="008B4B2B" w:rsidP="008B4B2B">
      <w:pPr>
        <w:pStyle w:val="a0"/>
        <w:ind w:firstLineChars="600" w:firstLine="1327"/>
        <w:rPr>
          <w:sz w:val="22"/>
          <w:szCs w:val="22"/>
        </w:rPr>
      </w:pPr>
      <w:r w:rsidRPr="001D6D10">
        <w:rPr>
          <w:rFonts w:hint="eastAsia"/>
          <w:sz w:val="22"/>
          <w:szCs w:val="22"/>
        </w:rPr>
        <w:t>ウ　救助費の予算措置の概況</w:t>
      </w:r>
    </w:p>
    <w:p w14:paraId="35625516" w14:textId="77777777" w:rsidR="008B4B2B" w:rsidRPr="001D6D10" w:rsidRDefault="008B4B2B" w:rsidP="008B4B2B">
      <w:pPr>
        <w:pStyle w:val="a0"/>
        <w:ind w:firstLineChars="500" w:firstLine="1105"/>
        <w:rPr>
          <w:sz w:val="22"/>
          <w:szCs w:val="22"/>
        </w:rPr>
      </w:pPr>
      <w:r w:rsidRPr="001D6D10">
        <w:rPr>
          <w:rFonts w:hint="eastAsia"/>
          <w:sz w:val="22"/>
          <w:szCs w:val="22"/>
        </w:rPr>
        <w:t>③　決定情報</w:t>
      </w:r>
    </w:p>
    <w:p w14:paraId="1866F29A" w14:textId="77777777" w:rsidR="008B4B2B" w:rsidRPr="001D6D10" w:rsidRDefault="008B4B2B" w:rsidP="008B4B2B">
      <w:pPr>
        <w:pStyle w:val="a0"/>
        <w:ind w:leftChars="630" w:left="1330" w:firstLineChars="100" w:firstLine="221"/>
        <w:rPr>
          <w:sz w:val="22"/>
          <w:szCs w:val="22"/>
        </w:rPr>
      </w:pPr>
      <w:r w:rsidRPr="001D6D10">
        <w:rPr>
          <w:rFonts w:hint="eastAsia"/>
          <w:sz w:val="22"/>
          <w:szCs w:val="22"/>
        </w:rPr>
        <w:t>決定情報は、法による救助が完了した時に行うものとし、その内容は中間情報の内容とする。</w:t>
      </w:r>
    </w:p>
    <w:p w14:paraId="4075CDF8" w14:textId="77777777" w:rsidR="008B4B2B" w:rsidRPr="001D6D10" w:rsidRDefault="008B4B2B" w:rsidP="008B4B2B">
      <w:pPr>
        <w:pStyle w:val="a0"/>
        <w:ind w:leftChars="630" w:left="1330" w:firstLineChars="100" w:firstLine="221"/>
        <w:rPr>
          <w:sz w:val="22"/>
          <w:szCs w:val="22"/>
        </w:rPr>
      </w:pPr>
    </w:p>
    <w:p w14:paraId="026B7CA3" w14:textId="77777777" w:rsidR="008B4B2B" w:rsidRPr="001D6D10" w:rsidRDefault="008B4B2B" w:rsidP="008B4B2B">
      <w:pPr>
        <w:pStyle w:val="a0"/>
        <w:rPr>
          <w:sz w:val="22"/>
          <w:szCs w:val="22"/>
        </w:rPr>
      </w:pPr>
      <w:r w:rsidRPr="001D6D10">
        <w:rPr>
          <w:rFonts w:hint="eastAsia"/>
          <w:sz w:val="22"/>
          <w:szCs w:val="22"/>
        </w:rPr>
        <w:t xml:space="preserve">　　　　(2)　情報提供の方法</w:t>
      </w:r>
    </w:p>
    <w:p w14:paraId="70992F03" w14:textId="77777777" w:rsidR="008B4B2B" w:rsidRPr="001D6D10" w:rsidRDefault="008B4B2B" w:rsidP="008B4B2B">
      <w:pPr>
        <w:pStyle w:val="a0"/>
        <w:ind w:leftChars="525" w:left="1329" w:rightChars="-53" w:right="-112" w:hangingChars="100" w:hanging="221"/>
        <w:rPr>
          <w:sz w:val="22"/>
          <w:szCs w:val="22"/>
        </w:rPr>
      </w:pPr>
      <w:r w:rsidRPr="001D6D10">
        <w:rPr>
          <w:rFonts w:hint="eastAsia"/>
          <w:sz w:val="22"/>
          <w:szCs w:val="22"/>
        </w:rPr>
        <w:t>①　発生情報及び中間情報は、電話及びＦＡＸ又はメールにより行うこととする。</w:t>
      </w:r>
    </w:p>
    <w:p w14:paraId="3FAD6FF7" w14:textId="77777777" w:rsidR="008B4B2B" w:rsidRPr="001D6D10" w:rsidRDefault="008B4B2B" w:rsidP="008B4B2B">
      <w:pPr>
        <w:pStyle w:val="a0"/>
        <w:ind w:leftChars="525" w:left="1329" w:hangingChars="100" w:hanging="221"/>
        <w:rPr>
          <w:sz w:val="22"/>
          <w:szCs w:val="22"/>
        </w:rPr>
      </w:pPr>
      <w:r w:rsidRPr="001D6D10">
        <w:rPr>
          <w:rFonts w:hint="eastAsia"/>
          <w:sz w:val="22"/>
          <w:szCs w:val="22"/>
        </w:rPr>
        <w:t>②　決定情報は文書により行うこと。</w:t>
      </w:r>
    </w:p>
    <w:p w14:paraId="7BAD3A75" w14:textId="77777777" w:rsidR="008B4B2B" w:rsidRPr="001D6D10" w:rsidRDefault="008B4B2B" w:rsidP="008B4B2B">
      <w:pPr>
        <w:pStyle w:val="a0"/>
        <w:ind w:leftChars="525" w:left="1329" w:rightChars="-53" w:right="-112" w:hangingChars="100" w:hanging="221"/>
        <w:rPr>
          <w:sz w:val="22"/>
          <w:szCs w:val="22"/>
        </w:rPr>
      </w:pPr>
      <w:r w:rsidRPr="001D6D10">
        <w:rPr>
          <w:rFonts w:hint="eastAsia"/>
          <w:sz w:val="22"/>
          <w:szCs w:val="22"/>
        </w:rPr>
        <w:t>③　発生情報、中間情報、決定情報のほか、被害状況や救助内容が大幅に変わった場合や報道機関等に被害状況等を発表する場合は、速やかに情報提供する。</w:t>
      </w:r>
    </w:p>
    <w:p w14:paraId="3FA891A4" w14:textId="77777777" w:rsidR="008B4B2B" w:rsidRPr="001D6D10" w:rsidRDefault="008B4B2B" w:rsidP="008B4B2B">
      <w:pPr>
        <w:pStyle w:val="a0"/>
        <w:ind w:left="1455"/>
        <w:rPr>
          <w:rFonts w:ascii="ＭＳ ゴシック" w:eastAsia="ＭＳ ゴシック" w:hAnsi="ＭＳ ゴシック"/>
          <w:sz w:val="22"/>
          <w:szCs w:val="22"/>
        </w:rPr>
      </w:pPr>
    </w:p>
    <w:p w14:paraId="40E81339" w14:textId="2569BFD0" w:rsidR="000923FC" w:rsidRDefault="000923FC">
      <w:pPr>
        <w:widowControl/>
        <w:jc w:val="left"/>
        <w:rPr>
          <w:rFonts w:ascii="ＭＳ ゴシック" w:eastAsia="ＭＳ ゴシック" w:hAnsi="ＭＳ ゴシック" w:cs="Courier New"/>
          <w:sz w:val="22"/>
          <w:szCs w:val="22"/>
        </w:rPr>
      </w:pPr>
      <w:r>
        <w:rPr>
          <w:rFonts w:ascii="ＭＳ ゴシック" w:eastAsia="ＭＳ ゴシック" w:hAnsi="ＭＳ ゴシック"/>
          <w:sz w:val="22"/>
          <w:szCs w:val="22"/>
        </w:rPr>
        <w:br w:type="page"/>
      </w:r>
    </w:p>
    <w:p w14:paraId="0932CC9A" w14:textId="19C384EB" w:rsidR="008B4B2B" w:rsidRPr="001D6D10" w:rsidRDefault="008B4B2B" w:rsidP="001F65EB">
      <w:pPr>
        <w:pStyle w:val="a0"/>
        <w:spacing w:line="340" w:lineRule="exact"/>
        <w:ind w:firstLineChars="200" w:firstLine="442"/>
        <w:outlineLvl w:val="2"/>
        <w:rPr>
          <w:rFonts w:ascii="ＭＳ ゴシック" w:eastAsia="ＭＳ ゴシック"/>
          <w:sz w:val="22"/>
          <w:szCs w:val="22"/>
          <w:u w:val="double"/>
        </w:rPr>
      </w:pPr>
      <w:bookmarkStart w:id="337" w:name="_Toc122436953"/>
      <w:bookmarkStart w:id="338" w:name="_Toc222486647"/>
      <w:bookmarkStart w:id="339" w:name="_Toc242870317"/>
      <w:r w:rsidRPr="001D6D10">
        <w:rPr>
          <w:rFonts w:ascii="ＭＳ ゴシック" w:eastAsia="ＭＳ ゴシック" w:hint="eastAsia"/>
          <w:sz w:val="22"/>
          <w:szCs w:val="22"/>
          <w:u w:val="double"/>
        </w:rPr>
        <w:lastRenderedPageBreak/>
        <w:t>第２　緊急物資の供給</w:t>
      </w:r>
      <w:r w:rsidRPr="001D6D10">
        <w:rPr>
          <w:rFonts w:ascii="ＭＳ ゴシック" w:eastAsia="ＭＳ ゴシック" w:hint="eastAsia"/>
          <w:sz w:val="22"/>
          <w:szCs w:val="22"/>
          <w:u w:val="double"/>
          <w:shd w:val="pct15" w:color="auto" w:fill="FFFFFF"/>
        </w:rPr>
        <w:t>【第１フェーズ～】</w:t>
      </w:r>
      <w:bookmarkEnd w:id="337"/>
      <w:bookmarkEnd w:id="338"/>
      <w:bookmarkEnd w:id="339"/>
    </w:p>
    <w:p w14:paraId="7CDFDDCC" w14:textId="77777777" w:rsidR="008B4B2B" w:rsidRPr="001D6D10" w:rsidRDefault="008B4B2B" w:rsidP="008B4B2B">
      <w:pPr>
        <w:pStyle w:val="a0"/>
        <w:spacing w:line="340" w:lineRule="exact"/>
        <w:rPr>
          <w:rFonts w:ascii="ＭＳ ゴシック" w:eastAsia="ＭＳ ゴシック"/>
          <w:sz w:val="22"/>
          <w:szCs w:val="22"/>
        </w:rPr>
      </w:pPr>
      <w:r w:rsidRPr="001D6D10">
        <w:rPr>
          <w:rFonts w:ascii="ＭＳ ゴシック" w:eastAsia="ＭＳ ゴシック" w:hint="eastAsia"/>
          <w:noProof/>
          <w:sz w:val="22"/>
          <w:szCs w:val="22"/>
        </w:rPr>
        <mc:AlternateContent>
          <mc:Choice Requires="wpg">
            <w:drawing>
              <wp:anchor distT="0" distB="0" distL="114300" distR="114300" simplePos="0" relativeHeight="253376512" behindDoc="0" locked="0" layoutInCell="1" allowOverlap="1" wp14:anchorId="3F035CA1" wp14:editId="29898C2A">
                <wp:simplePos x="0" y="0"/>
                <wp:positionH relativeFrom="column">
                  <wp:posOffset>756920</wp:posOffset>
                </wp:positionH>
                <wp:positionV relativeFrom="paragraph">
                  <wp:posOffset>118110</wp:posOffset>
                </wp:positionV>
                <wp:extent cx="2924175" cy="485775"/>
                <wp:effectExtent l="13970" t="13335" r="5080" b="5715"/>
                <wp:wrapNone/>
                <wp:docPr id="3950" name="Group 259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924175" cy="485775"/>
                          <a:chOff x="2610" y="1944"/>
                          <a:chExt cx="3750" cy="765"/>
                        </a:xfrm>
                      </wpg:grpSpPr>
                      <wps:wsp>
                        <wps:cNvPr id="3951" name="AutoShape 2591"/>
                        <wps:cNvSpPr>
                          <a:spLocks noChangeArrowheads="1"/>
                        </wps:cNvSpPr>
                        <wps:spPr bwMode="auto">
                          <a:xfrm>
                            <a:off x="4815" y="2085"/>
                            <a:ext cx="1355" cy="420"/>
                          </a:xfrm>
                          <a:prstGeom prst="roundRect">
                            <a:avLst>
                              <a:gd name="adj" fmla="val 16667"/>
                            </a:avLst>
                          </a:prstGeom>
                          <a:solidFill>
                            <a:srgbClr val="FFFFFF"/>
                          </a:solidFill>
                          <a:ln w="9525">
                            <a:solidFill>
                              <a:srgbClr val="000000"/>
                            </a:solidFill>
                            <a:round/>
                            <a:headEnd/>
                            <a:tailEnd/>
                          </a:ln>
                        </wps:spPr>
                        <wps:txbx>
                          <w:txbxContent>
                            <w:p w14:paraId="53563F18" w14:textId="77777777" w:rsidR="006A5267" w:rsidRPr="00F235E7" w:rsidRDefault="006A5267" w:rsidP="008B4B2B">
                              <w:pPr>
                                <w:jc w:val="center"/>
                                <w:rPr>
                                  <w:rFonts w:ascii="ＭＳ ゴシック" w:eastAsia="ＭＳ ゴシック" w:hAnsi="ＭＳ ゴシック"/>
                                </w:rPr>
                              </w:pPr>
                              <w:r w:rsidRPr="00F235E7">
                                <w:rPr>
                                  <w:rFonts w:ascii="ＭＳ ゴシック" w:eastAsia="ＭＳ ゴシック" w:hAnsi="ＭＳ ゴシック" w:hint="eastAsia"/>
                                </w:rPr>
                                <w:t>協定締結先等</w:t>
                              </w:r>
                            </w:p>
                          </w:txbxContent>
                        </wps:txbx>
                        <wps:bodyPr rot="0" vert="horz" wrap="square" lIns="74295" tIns="8890" rIns="74295" bIns="8890" anchor="t" anchorCtr="0" upright="1">
                          <a:noAutofit/>
                        </wps:bodyPr>
                      </wps:wsp>
                      <wps:wsp>
                        <wps:cNvPr id="3952" name="AutoShape 2592"/>
                        <wps:cNvSpPr>
                          <a:spLocks noChangeArrowheads="1"/>
                        </wps:cNvSpPr>
                        <wps:spPr bwMode="auto">
                          <a:xfrm>
                            <a:off x="2730" y="2085"/>
                            <a:ext cx="1955" cy="420"/>
                          </a:xfrm>
                          <a:prstGeom prst="roundRect">
                            <a:avLst>
                              <a:gd name="adj" fmla="val 16667"/>
                            </a:avLst>
                          </a:prstGeom>
                          <a:solidFill>
                            <a:srgbClr val="FFFFFF"/>
                          </a:solidFill>
                          <a:ln w="9525">
                            <a:solidFill>
                              <a:srgbClr val="000000"/>
                            </a:solidFill>
                            <a:round/>
                            <a:headEnd/>
                            <a:tailEnd/>
                          </a:ln>
                        </wps:spPr>
                        <wps:txbx>
                          <w:txbxContent>
                            <w:p w14:paraId="7FAC24D0" w14:textId="77777777" w:rsidR="006A5267" w:rsidRPr="00F235E7" w:rsidRDefault="006A5267" w:rsidP="008B4B2B">
                              <w:pPr>
                                <w:jc w:val="center"/>
                                <w:rPr>
                                  <w:rFonts w:ascii="ＭＳ ゴシック" w:eastAsia="ＭＳ ゴシック" w:hAnsi="ＭＳ ゴシック"/>
                                </w:rPr>
                              </w:pPr>
                              <w:r w:rsidRPr="00F235E7">
                                <w:rPr>
                                  <w:rFonts w:ascii="ＭＳ ゴシック" w:eastAsia="ＭＳ ゴシック" w:hAnsi="ＭＳ ゴシック" w:hint="eastAsia"/>
                                </w:rPr>
                                <w:t>関西広域連合等</w:t>
                              </w:r>
                            </w:p>
                          </w:txbxContent>
                        </wps:txbx>
                        <wps:bodyPr rot="0" vert="horz" wrap="square" lIns="74295" tIns="8890" rIns="74295" bIns="8890" anchor="t" anchorCtr="0" upright="1">
                          <a:noAutofit/>
                        </wps:bodyPr>
                      </wps:wsp>
                      <wps:wsp>
                        <wps:cNvPr id="3953" name="AutoShape 2593"/>
                        <wps:cNvSpPr>
                          <a:spLocks noChangeArrowheads="1"/>
                        </wps:cNvSpPr>
                        <wps:spPr bwMode="auto">
                          <a:xfrm>
                            <a:off x="2610" y="1944"/>
                            <a:ext cx="3750" cy="765"/>
                          </a:xfrm>
                          <a:prstGeom prst="roundRect">
                            <a:avLst>
                              <a:gd name="adj" fmla="val 16667"/>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74295" tIns="8890" rIns="74295" bIns="8890" anchor="t" anchorCtr="0" upright="1">
                          <a:noAutofit/>
                        </wps:bodyPr>
                      </wps:wsp>
                    </wpg:wgp>
                  </a:graphicData>
                </a:graphic>
                <wp14:sizeRelH relativeFrom="page">
                  <wp14:pctWidth>0</wp14:pctWidth>
                </wp14:sizeRelH>
                <wp14:sizeRelV relativeFrom="page">
                  <wp14:pctHeight>0</wp14:pctHeight>
                </wp14:sizeRelV>
              </wp:anchor>
            </w:drawing>
          </mc:Choice>
          <mc:Fallback xmlns:w16cei="http://schemas.microsoft.com/office/word/2026/wordml/cei">
            <w:pict>
              <v:group w14:anchorId="3F035CA1" id="Group 2590" o:spid="_x0000_s1487" style="position:absolute;left:0;text-align:left;margin-left:59.6pt;margin-top:9.3pt;width:230.25pt;height:38.25pt;z-index:253376512;mso-position-horizontal-relative:text;mso-position-vertical-relative:text" coordorigin="2610,1944" coordsize="3750,76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">
                <v:roundrect id="AutoShape 2591" o:spid="_x0000_s1488" style="position:absolute;left:4815;top:2085;width:1355;height:420;visibility:visible;mso-wrap-style:square;v-text-anchor:top"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">
                  <v:textbox inset="5.85pt,.7pt,5.85pt,.7pt">
                    <w:txbxContent>
                      <w:p w14:paraId="53563F18" w14:textId="77777777" w:rsidR="006A5267" w:rsidRPr="00F235E7" w:rsidRDefault="006A5267" w:rsidP="008B4B2B">
                        <w:pPr>
                          <w:jc w:val="center"/>
                          <w:rPr>
                            <w:rFonts w:ascii="ＭＳ ゴシック" w:eastAsia="ＭＳ ゴシック" w:hAnsi="ＭＳ ゴシック"/>
                          </w:rPr>
                        </w:pPr>
                        <w:r w:rsidRPr="00F235E7">
                          <w:rPr>
                            <w:rFonts w:ascii="ＭＳ ゴシック" w:eastAsia="ＭＳ ゴシック" w:hAnsi="ＭＳ ゴシック" w:hint="eastAsia"/>
                          </w:rPr>
                          <w:t>協定締結先等</w:t>
                        </w:r>
                      </w:p>
                    </w:txbxContent>
                  </v:textbox>
                </v:roundrect>
                <v:roundrect id="AutoShape 2592" o:spid="_x0000_s1489" style="position:absolute;left:2730;top:2085;width:1955;height:420;visibility:visible;mso-wrap-style:square;v-text-anchor:top"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">
                  <v:textbox inset="5.85pt,.7pt,5.85pt,.7pt">
                    <w:txbxContent>
                      <w:p w14:paraId="7FAC24D0" w14:textId="77777777" w:rsidR="006A5267" w:rsidRPr="00F235E7" w:rsidRDefault="006A5267" w:rsidP="008B4B2B">
                        <w:pPr>
                          <w:jc w:val="center"/>
                          <w:rPr>
                            <w:rFonts w:ascii="ＭＳ ゴシック" w:eastAsia="ＭＳ ゴシック" w:hAnsi="ＭＳ ゴシック"/>
                          </w:rPr>
                        </w:pPr>
                        <w:r w:rsidRPr="00F235E7">
                          <w:rPr>
                            <w:rFonts w:ascii="ＭＳ ゴシック" w:eastAsia="ＭＳ ゴシック" w:hAnsi="ＭＳ ゴシック" w:hint="eastAsia"/>
                          </w:rPr>
                          <w:t>関西広域連合等</w:t>
                        </w:r>
                      </w:p>
                    </w:txbxContent>
                  </v:textbox>
                </v:roundrect>
                <v:roundrect id="AutoShape 2593" o:spid="_x0000_s1490" style="position:absolute;left:2610;top:1944;width:3750;height:765;visibility:visible;mso-wrap-style:square;v-text-anchor:top"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" filled="f">
                  <v:textbox inset="5.85pt,.7pt,5.85pt,.7pt"/>
                </v:roundrect>
              </v:group>
            </w:pict>
          </mc:Fallback>
        </mc:AlternateContent>
      </w:r>
    </w:p>
    <w:p w14:paraId="334CE19B" w14:textId="77777777" w:rsidR="008B4B2B" w:rsidRPr="001D6D10" w:rsidRDefault="008B4B2B" w:rsidP="008B4B2B">
      <w:pPr>
        <w:pStyle w:val="a0"/>
        <w:spacing w:line="340" w:lineRule="exact"/>
        <w:rPr>
          <w:rFonts w:ascii="ＭＳ ゴシック" w:eastAsia="ＭＳ ゴシック"/>
          <w:sz w:val="22"/>
          <w:szCs w:val="22"/>
        </w:rPr>
      </w:pPr>
    </w:p>
    <w:p w14:paraId="2777D2F3" w14:textId="77777777" w:rsidR="008B4B2B" w:rsidRPr="001D6D10" w:rsidRDefault="008B4B2B" w:rsidP="008B4B2B">
      <w:pPr>
        <w:pStyle w:val="a0"/>
        <w:spacing w:line="340" w:lineRule="exact"/>
        <w:rPr>
          <w:rFonts w:ascii="ＭＳ ゴシック" w:eastAsia="ＭＳ ゴシック"/>
          <w:sz w:val="22"/>
          <w:szCs w:val="22"/>
        </w:rPr>
      </w:pPr>
      <w:r w:rsidRPr="001D6D10">
        <w:rPr>
          <w:rFonts w:ascii="ＭＳ ゴシック" w:eastAsia="ＭＳ ゴシック" w:hint="eastAsia"/>
          <w:noProof/>
          <w:sz w:val="22"/>
          <w:szCs w:val="22"/>
        </w:rPr>
        <mc:AlternateContent>
          <mc:Choice Requires="wps">
            <w:drawing>
              <wp:anchor distT="0" distB="0" distL="114300" distR="114300" simplePos="0" relativeHeight="253956096" behindDoc="0" locked="0" layoutInCell="1" allowOverlap="1" wp14:anchorId="0A08DAA9" wp14:editId="1CD2F722">
                <wp:simplePos x="0" y="0"/>
                <wp:positionH relativeFrom="column">
                  <wp:posOffset>3685374</wp:posOffset>
                </wp:positionH>
                <wp:positionV relativeFrom="paragraph">
                  <wp:posOffset>69161</wp:posOffset>
                </wp:positionV>
                <wp:extent cx="1019231" cy="420950"/>
                <wp:effectExtent l="0" t="0" r="47625" b="74930"/>
                <wp:wrapNone/>
                <wp:docPr id="2809" name="直線矢印コネクタ 2809"/>
                <wp:cNvGraphicFramePr/>
                <a:graphic xmlns:a="http://schemas.openxmlformats.org/drawingml/2006/main">
                  <a:graphicData uri="http://schemas.microsoft.com/office/word/2010/wordprocessingShape">
                    <wps:wsp>
                      <wps:cNvCnPr/>
                      <wps:spPr>
                        <a:xfrm>
                          <a:off x="0" y="0"/>
                          <a:ext cx="1019231" cy="420950"/>
                        </a:xfrm>
                        <a:prstGeom prst="straightConnector1">
                          <a:avLst/>
                        </a:prstGeom>
                        <a:noFill/>
                        <a:ln w="9525" cap="flat" cmpd="sng" algn="ctr">
                          <a:solidFill>
                            <a:sysClr val="windowText" lastClr="000000"/>
                          </a:solidFill>
                          <a:prstDash val="dash"/>
                          <a:tailEnd type="arrow"/>
                        </a:ln>
                        <a:effectLst/>
                      </wps:spPr>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shape w14:anchorId="452BCFFE" id="直線矢印コネクタ 2809" o:spid="_x0000_s1026" type="#_x0000_t32" style="position:absolute;left:0;text-align:left;margin-left:290.2pt;margin-top:5.45pt;width:80.25pt;height:33.15pt;z-index:2539560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" strokecolor="windowText">
                <v:stroke dashstyle="dash" endarrow="open"/>
              </v:shape>
            </w:pict>
          </mc:Fallback>
        </mc:AlternateContent>
      </w:r>
      <w:r w:rsidRPr="001D6D10">
        <w:rPr>
          <w:rFonts w:ascii="ＭＳ ゴシック" w:eastAsia="ＭＳ ゴシック" w:hint="eastAsia"/>
          <w:noProof/>
          <w:sz w:val="22"/>
          <w:szCs w:val="22"/>
        </w:rPr>
        <mc:AlternateContent>
          <mc:Choice Requires="wps">
            <w:drawing>
              <wp:anchor distT="0" distB="0" distL="114300" distR="114300" simplePos="0" relativeHeight="253953024" behindDoc="0" locked="0" layoutInCell="1" allowOverlap="1" wp14:anchorId="2E658210" wp14:editId="645F9EF4">
                <wp:simplePos x="0" y="0"/>
                <wp:positionH relativeFrom="column">
                  <wp:posOffset>3695231</wp:posOffset>
                </wp:positionH>
                <wp:positionV relativeFrom="paragraph">
                  <wp:posOffset>77112</wp:posOffset>
                </wp:positionV>
                <wp:extent cx="461175" cy="572494"/>
                <wp:effectExtent l="0" t="0" r="72390" b="56515"/>
                <wp:wrapNone/>
                <wp:docPr id="2807" name="直線矢印コネクタ 2807"/>
                <wp:cNvGraphicFramePr/>
                <a:graphic xmlns:a="http://schemas.openxmlformats.org/drawingml/2006/main">
                  <a:graphicData uri="http://schemas.microsoft.com/office/word/2010/wordprocessingShape">
                    <wps:wsp>
                      <wps:cNvCnPr/>
                      <wps:spPr>
                        <a:xfrm>
                          <a:off x="0" y="0"/>
                          <a:ext cx="461175" cy="572494"/>
                        </a:xfrm>
                        <a:prstGeom prst="straightConnector1">
                          <a:avLst/>
                        </a:prstGeom>
                        <a:noFill/>
                        <a:ln w="9525" cap="flat" cmpd="sng" algn="ctr">
                          <a:solidFill>
                            <a:sysClr val="windowText" lastClr="000000"/>
                          </a:solidFill>
                          <a:prstDash val="solid"/>
                          <a:tailEnd type="arrow"/>
                        </a:ln>
                        <a:effectLst/>
                      </wps:spPr>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shape w14:anchorId="277BB3A6" id="直線矢印コネクタ 2807" o:spid="_x0000_s1026" type="#_x0000_t32" style="position:absolute;left:0;text-align:left;margin-left:290.95pt;margin-top:6.05pt;width:36.3pt;height:45.1pt;z-index:2539530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" strokecolor="windowText">
                <v:stroke endarrow="open"/>
              </v:shape>
            </w:pict>
          </mc:Fallback>
        </mc:AlternateContent>
      </w:r>
      <w:r w:rsidRPr="001D6D10">
        <w:rPr>
          <w:rFonts w:ascii="ＭＳ ゴシック" w:eastAsia="ＭＳ ゴシック" w:hint="eastAsia"/>
          <w:noProof/>
          <w:sz w:val="22"/>
          <w:szCs w:val="22"/>
        </w:rPr>
        <mc:AlternateContent>
          <mc:Choice Requires="wps">
            <w:drawing>
              <wp:anchor distT="0" distB="0" distL="114300" distR="114300" simplePos="0" relativeHeight="253942784" behindDoc="0" locked="0" layoutInCell="1" allowOverlap="1" wp14:anchorId="0CF3AD28" wp14:editId="4361DB0B">
                <wp:simplePos x="0" y="0"/>
                <wp:positionH relativeFrom="column">
                  <wp:posOffset>5044109</wp:posOffset>
                </wp:positionH>
                <wp:positionV relativeFrom="paragraph">
                  <wp:posOffset>42545</wp:posOffset>
                </wp:positionV>
                <wp:extent cx="457200" cy="2514600"/>
                <wp:effectExtent l="0" t="38100" r="38100" b="57150"/>
                <wp:wrapNone/>
                <wp:docPr id="3949" name="AutoShape 258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57200" cy="2514600"/>
                        </a:xfrm>
                        <a:prstGeom prst="rightArrow">
                          <a:avLst>
                            <a:gd name="adj1" fmla="val 50000"/>
                            <a:gd name="adj2" fmla="val 25000"/>
                          </a:avLst>
                        </a:prstGeom>
                        <a:solidFill>
                          <a:srgbClr val="FFFFFF"/>
                        </a:solidFill>
                        <a:ln w="9525">
                          <a:solidFill>
                            <a:srgbClr val="000000"/>
                          </a:solidFill>
                          <a:miter lim="800000"/>
                          <a:headEnd/>
                          <a:tailEnd/>
                        </a:ln>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shape w14:anchorId="4C483352" id="AutoShape 2581" o:spid="_x0000_s1026" type="#_x0000_t13" style="position:absolute;left:0;text-align:left;margin-left:397.15pt;margin-top:3.35pt;width:36pt;height:198pt;z-index:2539427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">
                <v:textbox inset="5.85pt,.7pt,5.85pt,.7pt"/>
              </v:shape>
            </w:pict>
          </mc:Fallback>
        </mc:AlternateContent>
      </w:r>
    </w:p>
    <w:p w14:paraId="3AE46D60" w14:textId="77777777" w:rsidR="008B4B2B" w:rsidRPr="001D6D10" w:rsidRDefault="00156D47" w:rsidP="008B4B2B">
      <w:pPr>
        <w:pStyle w:val="a0"/>
        <w:spacing w:line="340" w:lineRule="exact"/>
        <w:rPr>
          <w:rFonts w:ascii="ＭＳ ゴシック" w:eastAsia="ＭＳ ゴシック"/>
          <w:sz w:val="22"/>
          <w:szCs w:val="22"/>
        </w:rPr>
      </w:pPr>
      <w:r w:rsidRPr="001D6D10">
        <w:rPr>
          <w:rFonts w:ascii="ＭＳ ゴシック" w:eastAsia="ＭＳ ゴシック" w:hint="eastAsia"/>
          <w:noProof/>
          <w:sz w:val="22"/>
          <w:szCs w:val="22"/>
        </w:rPr>
        <mc:AlternateContent>
          <mc:Choice Requires="wps">
            <w:drawing>
              <wp:anchor distT="0" distB="0" distL="114300" distR="114300" simplePos="0" relativeHeight="254117888" behindDoc="0" locked="0" layoutInCell="1" allowOverlap="1" wp14:anchorId="5EB101FB" wp14:editId="66746742">
                <wp:simplePos x="0" y="0"/>
                <wp:positionH relativeFrom="column">
                  <wp:posOffset>932815</wp:posOffset>
                </wp:positionH>
                <wp:positionV relativeFrom="paragraph">
                  <wp:posOffset>18415</wp:posOffset>
                </wp:positionV>
                <wp:extent cx="552450" cy="2735580"/>
                <wp:effectExtent l="0" t="0" r="19050" b="26670"/>
                <wp:wrapNone/>
                <wp:docPr id="4143" name="AutoShape 257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52450" cy="2735580"/>
                        </a:xfrm>
                        <a:prstGeom prst="roundRect">
                          <a:avLst>
                            <a:gd name="adj" fmla="val 16667"/>
                          </a:avLst>
                        </a:prstGeom>
                        <a:solidFill>
                          <a:srgbClr val="FFFFFF"/>
                        </a:solidFill>
                        <a:ln w="9525">
                          <a:solidFill>
                            <a:srgbClr val="000000"/>
                          </a:solidFill>
                          <a:round/>
                          <a:headEnd/>
                          <a:tailEnd/>
                        </a:ln>
                      </wps:spPr>
                      <wps:txbx>
                        <w:txbxContent>
                          <w:p w14:paraId="38B5FAFD" w14:textId="7EBEBBEC" w:rsidR="006A5267" w:rsidRPr="00E0548A" w:rsidRDefault="008E7875" w:rsidP="00E0548A">
                            <w:pPr>
                              <w:spacing w:line="280" w:lineRule="exact"/>
                              <w:jc w:val="center"/>
                              <w:rPr>
                                <w:rFonts w:asciiTheme="majorEastAsia" w:eastAsiaTheme="majorEastAsia" w:hAnsiTheme="majorEastAsia"/>
                                <w:sz w:val="14"/>
                                <w:szCs w:val="20"/>
                              </w:rPr>
                            </w:pPr>
                            <w:r w:rsidRPr="008A3EDE">
                              <w:rPr>
                                <w:rFonts w:asciiTheme="majorEastAsia" w:eastAsiaTheme="majorEastAsia" w:hAnsiTheme="majorEastAsia" w:hint="eastAsia"/>
                                <w:sz w:val="18"/>
                                <w:szCs w:val="22"/>
                              </w:rPr>
                              <w:t>新物資システム（</w:t>
                            </w:r>
                            <w:r w:rsidRPr="008A3EDE">
                              <w:rPr>
                                <w:rFonts w:asciiTheme="majorEastAsia" w:eastAsiaTheme="majorEastAsia" w:hAnsiTheme="majorEastAsia"/>
                                <w:sz w:val="18"/>
                                <w:szCs w:val="22"/>
                              </w:rPr>
                              <w:t>B-PLo</w:t>
                            </w:r>
                            <w:r w:rsidRPr="008A3EDE">
                              <w:rPr>
                                <w:rFonts w:asciiTheme="majorEastAsia" w:eastAsiaTheme="majorEastAsia" w:hAnsiTheme="majorEastAsia" w:hint="eastAsia"/>
                                <w:sz w:val="18"/>
                                <w:szCs w:val="22"/>
                              </w:rPr>
                              <w:t>）</w:t>
                            </w:r>
                          </w:p>
                        </w:txbxContent>
                      </wps:txbx>
                      <wps:bodyPr rot="0" vert="eaVert" wrap="square" lIns="74295" tIns="8890" rIns="74295" bIns="8890" anchor="ctr" anchorCtr="0" upright="1">
                        <a:noAutofit/>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roundrect w14:anchorId="5EB101FB" id="AutoShape 2573" o:spid="_x0000_s1491" style="position:absolute;left:0;text-align:left;margin-left:73.45pt;margin-top:1.45pt;width:43.5pt;height:215.4pt;z-index:2541178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">
                <v:textbox style="layout-flow:vertical-ideographic" inset="5.85pt,.7pt,5.85pt,.7pt">
                  <w:txbxContent>
                    <w:p w14:paraId="38B5FAFD" w14:textId="7EBEBBEC" w:rsidR="006A5267" w:rsidRPr="00E0548A" w:rsidRDefault="008E7875" w:rsidP="00E0548A">
                      <w:pPr>
                        <w:spacing w:line="280" w:lineRule="exact"/>
                        <w:jc w:val="center"/>
                        <w:rPr>
                          <w:rFonts w:asciiTheme="majorEastAsia" w:eastAsiaTheme="majorEastAsia" w:hAnsiTheme="majorEastAsia"/>
                          <w:sz w:val="14"/>
                          <w:szCs w:val="20"/>
                        </w:rPr>
                      </w:pPr>
                      <w:r w:rsidRPr="008A3EDE">
                        <w:rPr>
                          <w:rFonts w:asciiTheme="majorEastAsia" w:eastAsiaTheme="majorEastAsia" w:hAnsiTheme="majorEastAsia" w:hint="eastAsia"/>
                          <w:sz w:val="18"/>
                          <w:szCs w:val="22"/>
                        </w:rPr>
                        <w:t>新物資システム（</w:t>
                      </w:r>
                      <w:r w:rsidRPr="008A3EDE">
                        <w:rPr>
                          <w:rFonts w:asciiTheme="majorEastAsia" w:eastAsiaTheme="majorEastAsia" w:hAnsiTheme="majorEastAsia"/>
                          <w:sz w:val="18"/>
                          <w:szCs w:val="22"/>
                        </w:rPr>
                        <w:t>B-PLo</w:t>
                      </w:r>
                      <w:r w:rsidRPr="008A3EDE">
                        <w:rPr>
                          <w:rFonts w:asciiTheme="majorEastAsia" w:eastAsiaTheme="majorEastAsia" w:hAnsiTheme="majorEastAsia" w:hint="eastAsia"/>
                          <w:sz w:val="18"/>
                          <w:szCs w:val="22"/>
                        </w:rPr>
                        <w:t>）</w:t>
                      </w:r>
                    </w:p>
                  </w:txbxContent>
                </v:textbox>
              </v:roundrect>
            </w:pict>
          </mc:Fallback>
        </mc:AlternateContent>
      </w:r>
      <w:r w:rsidRPr="001D6D10">
        <w:rPr>
          <w:rFonts w:ascii="ＭＳ ゴシック" w:eastAsia="ＭＳ ゴシック" w:hint="eastAsia"/>
          <w:noProof/>
          <w:sz w:val="22"/>
          <w:szCs w:val="22"/>
        </w:rPr>
        <mc:AlternateContent>
          <mc:Choice Requires="wps">
            <w:drawing>
              <wp:anchor distT="0" distB="0" distL="114300" distR="114300" simplePos="0" relativeHeight="253936640" behindDoc="0" locked="0" layoutInCell="1" allowOverlap="1" wp14:anchorId="4105AD5E" wp14:editId="24195F09">
                <wp:simplePos x="0" y="0"/>
                <wp:positionH relativeFrom="column">
                  <wp:posOffset>-1905</wp:posOffset>
                </wp:positionH>
                <wp:positionV relativeFrom="paragraph">
                  <wp:posOffset>168910</wp:posOffset>
                </wp:positionV>
                <wp:extent cx="342900" cy="2048510"/>
                <wp:effectExtent l="0" t="0" r="19050" b="27940"/>
                <wp:wrapNone/>
                <wp:docPr id="3948" name="AutoShape 257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42900" cy="2048510"/>
                        </a:xfrm>
                        <a:prstGeom prst="roundRect">
                          <a:avLst>
                            <a:gd name="adj" fmla="val 16667"/>
                          </a:avLst>
                        </a:prstGeom>
                        <a:solidFill>
                          <a:srgbClr val="FFFFFF"/>
                        </a:solidFill>
                        <a:ln w="9525">
                          <a:solidFill>
                            <a:srgbClr val="000000"/>
                          </a:solidFill>
                          <a:round/>
                          <a:headEnd/>
                          <a:tailEnd/>
                        </a:ln>
                      </wps:spPr>
                      <wps:txbx>
                        <w:txbxContent>
                          <w:p w14:paraId="6B675F46" w14:textId="77777777" w:rsidR="006A5267" w:rsidRDefault="006A5267" w:rsidP="008B4B2B">
                            <w:pPr>
                              <w:rPr>
                                <w:rFonts w:ascii="ＭＳ ゴシック" w:eastAsia="ＭＳ ゴシック" w:hAnsi="ＭＳ ゴシック"/>
                                <w:sz w:val="20"/>
                                <w:szCs w:val="20"/>
                              </w:rPr>
                            </w:pPr>
                          </w:p>
                          <w:p w14:paraId="77BEF46A" w14:textId="77777777" w:rsidR="006A5267" w:rsidRDefault="006A5267" w:rsidP="008B4B2B">
                            <w:pPr>
                              <w:rPr>
                                <w:rFonts w:ascii="ＭＳ ゴシック" w:eastAsia="ＭＳ ゴシック" w:hAnsi="ＭＳ ゴシック"/>
                                <w:sz w:val="20"/>
                                <w:szCs w:val="20"/>
                              </w:rPr>
                            </w:pPr>
                          </w:p>
                          <w:p w14:paraId="73B38D9A" w14:textId="77777777" w:rsidR="006A5267" w:rsidRPr="00350254" w:rsidRDefault="006A5267" w:rsidP="008B4B2B">
                            <w:pPr>
                              <w:rPr>
                                <w:rFonts w:ascii="ＭＳ ゴシック" w:eastAsia="ＭＳ ゴシック" w:hAnsi="ＭＳ ゴシック"/>
                                <w:sz w:val="20"/>
                                <w:szCs w:val="20"/>
                              </w:rPr>
                            </w:pPr>
                            <w:r>
                              <w:rPr>
                                <w:rFonts w:ascii="ＭＳ ゴシック" w:eastAsia="ＭＳ ゴシック" w:hAnsi="ＭＳ ゴシック" w:hint="eastAsia"/>
                                <w:sz w:val="20"/>
                                <w:szCs w:val="20"/>
                              </w:rPr>
                              <w:t>被災市町村</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roundrect w14:anchorId="4105AD5E" id="_x0000_s1492" style="position:absolute;left:0;text-align:left;margin-left:-.15pt;margin-top:13.3pt;width:27pt;height:161.3pt;z-index:2539366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">
                <v:textbox inset="5.85pt,.7pt,5.85pt,.7pt">
                  <w:txbxContent>
                    <w:p w14:paraId="6B675F46" w14:textId="77777777" w:rsidR="006A5267" w:rsidRDefault="006A5267" w:rsidP="008B4B2B">
                      <w:pPr>
                        <w:rPr>
                          <w:rFonts w:ascii="ＭＳ ゴシック" w:eastAsia="ＭＳ ゴシック" w:hAnsi="ＭＳ ゴシック"/>
                          <w:sz w:val="20"/>
                          <w:szCs w:val="20"/>
                        </w:rPr>
                      </w:pPr>
                    </w:p>
                    <w:p w14:paraId="77BEF46A" w14:textId="77777777" w:rsidR="006A5267" w:rsidRDefault="006A5267" w:rsidP="008B4B2B">
                      <w:pPr>
                        <w:rPr>
                          <w:rFonts w:ascii="ＭＳ ゴシック" w:eastAsia="ＭＳ ゴシック" w:hAnsi="ＭＳ ゴシック"/>
                          <w:sz w:val="20"/>
                          <w:szCs w:val="20"/>
                        </w:rPr>
                      </w:pPr>
                    </w:p>
                    <w:p w14:paraId="73B38D9A" w14:textId="77777777" w:rsidR="006A5267" w:rsidRPr="00350254" w:rsidRDefault="006A5267" w:rsidP="008B4B2B">
                      <w:pPr>
                        <w:rPr>
                          <w:rFonts w:ascii="ＭＳ ゴシック" w:eastAsia="ＭＳ ゴシック" w:hAnsi="ＭＳ ゴシック"/>
                          <w:sz w:val="20"/>
                          <w:szCs w:val="20"/>
                        </w:rPr>
                      </w:pPr>
                      <w:r>
                        <w:rPr>
                          <w:rFonts w:ascii="ＭＳ ゴシック" w:eastAsia="ＭＳ ゴシック" w:hAnsi="ＭＳ ゴシック" w:hint="eastAsia"/>
                          <w:sz w:val="20"/>
                          <w:szCs w:val="20"/>
                        </w:rPr>
                        <w:t>被災市町村</w:t>
                      </w:r>
                    </w:p>
                  </w:txbxContent>
                </v:textbox>
              </v:roundrect>
            </w:pict>
          </mc:Fallback>
        </mc:AlternateContent>
      </w:r>
      <w:r w:rsidR="00F00EB5" w:rsidRPr="001D6D10">
        <w:rPr>
          <w:rFonts w:ascii="ＭＳ ゴシック" w:eastAsia="ＭＳ ゴシック" w:hint="eastAsia"/>
          <w:noProof/>
          <w:sz w:val="22"/>
          <w:szCs w:val="22"/>
        </w:rPr>
        <mc:AlternateContent>
          <mc:Choice Requires="wps">
            <w:drawing>
              <wp:anchor distT="0" distB="0" distL="114300" distR="114300" simplePos="0" relativeHeight="253945856" behindDoc="0" locked="0" layoutInCell="1" allowOverlap="1" wp14:anchorId="4464266D" wp14:editId="7C5F9297">
                <wp:simplePos x="0" y="0"/>
                <wp:positionH relativeFrom="column">
                  <wp:posOffset>1986169</wp:posOffset>
                </wp:positionH>
                <wp:positionV relativeFrom="paragraph">
                  <wp:posOffset>10571</wp:posOffset>
                </wp:positionV>
                <wp:extent cx="715122" cy="381000"/>
                <wp:effectExtent l="38100" t="19050" r="27940" b="19050"/>
                <wp:wrapNone/>
                <wp:docPr id="3942" name="AutoShape 258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15122" cy="381000"/>
                        </a:xfrm>
                        <a:prstGeom prst="upArrow">
                          <a:avLst>
                            <a:gd name="adj1" fmla="val 50000"/>
                            <a:gd name="adj2" fmla="val 25000"/>
                          </a:avLst>
                        </a:prstGeom>
                        <a:solidFill>
                          <a:srgbClr val="FFFFFF"/>
                        </a:solidFill>
                        <a:ln w="9525">
                          <a:solidFill>
                            <a:srgbClr val="000000"/>
                          </a:solidFill>
                          <a:miter lim="800000"/>
                          <a:headEnd/>
                          <a:tailEnd/>
                        </a:ln>
                      </wps:spPr>
                      <wps:txbx>
                        <w:txbxContent>
                          <w:p w14:paraId="69589DA8" w14:textId="77777777" w:rsidR="006A5267" w:rsidRPr="00F235E7" w:rsidRDefault="006A5267" w:rsidP="008B4B2B">
                            <w:pPr>
                              <w:rPr>
                                <w:rFonts w:ascii="ＭＳ ゴシック" w:eastAsia="ＭＳ ゴシック" w:hAnsi="ＭＳ ゴシック"/>
                                <w:sz w:val="20"/>
                                <w:szCs w:val="20"/>
                              </w:rPr>
                            </w:pPr>
                            <w:r w:rsidRPr="00F235E7">
                              <w:rPr>
                                <w:rFonts w:ascii="ＭＳ ゴシック" w:eastAsia="ＭＳ ゴシック" w:hAnsi="ＭＳ ゴシック" w:hint="eastAsia"/>
                                <w:sz w:val="20"/>
                                <w:szCs w:val="20"/>
                              </w:rPr>
                              <w:t>要請</w:t>
                            </w:r>
                          </w:p>
                        </w:txbxContent>
                      </wps:txbx>
                      <wps:bodyPr rot="0" vert="eaVert" wrap="square" lIns="74295" tIns="8890" rIns="74295" bIns="8890" anchor="ctr" anchorCtr="0" upright="1">
                        <a:noAutofit/>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shape w14:anchorId="4464266D" id="AutoShape 2589" o:spid="_x0000_s1493" type="#_x0000_t68" style="position:absolute;left:0;text-align:left;margin-left:156.4pt;margin-top:.85pt;width:56.3pt;height:30pt;z-index:2539458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">
                <v:textbox style="layout-flow:vertical-ideographic" inset="5.85pt,.7pt,5.85pt,.7pt">
                  <w:txbxContent>
                    <w:p w14:paraId="69589DA8" w14:textId="77777777" w:rsidR="006A5267" w:rsidRPr="00F235E7" w:rsidRDefault="006A5267" w:rsidP="008B4B2B">
                      <w:pPr>
                        <w:rPr>
                          <w:rFonts w:ascii="ＭＳ ゴシック" w:eastAsia="ＭＳ ゴシック" w:hAnsi="ＭＳ ゴシック"/>
                          <w:sz w:val="20"/>
                          <w:szCs w:val="20"/>
                        </w:rPr>
                      </w:pPr>
                      <w:r w:rsidRPr="00F235E7">
                        <w:rPr>
                          <w:rFonts w:ascii="ＭＳ ゴシック" w:eastAsia="ＭＳ ゴシック" w:hAnsi="ＭＳ ゴシック" w:hint="eastAsia"/>
                          <w:sz w:val="20"/>
                          <w:szCs w:val="20"/>
                        </w:rPr>
                        <w:t>要請</w:t>
                      </w:r>
                    </w:p>
                  </w:txbxContent>
                </v:textbox>
              </v:shape>
            </w:pict>
          </mc:Fallback>
        </mc:AlternateContent>
      </w:r>
      <w:r w:rsidR="008B4B2B" w:rsidRPr="001D6D10">
        <w:rPr>
          <w:rFonts w:ascii="ＭＳ ゴシック" w:eastAsia="ＭＳ ゴシック" w:hint="eastAsia"/>
          <w:noProof/>
          <w:sz w:val="22"/>
          <w:szCs w:val="22"/>
        </w:rPr>
        <mc:AlternateContent>
          <mc:Choice Requires="wps">
            <w:drawing>
              <wp:anchor distT="0" distB="0" distL="114300" distR="114300" simplePos="0" relativeHeight="253961216" behindDoc="0" locked="0" layoutInCell="1" allowOverlap="1" wp14:anchorId="4866EC15" wp14:editId="79879F24">
                <wp:simplePos x="0" y="0"/>
                <wp:positionH relativeFrom="column">
                  <wp:posOffset>3636912</wp:posOffset>
                </wp:positionH>
                <wp:positionV relativeFrom="paragraph">
                  <wp:posOffset>177350</wp:posOffset>
                </wp:positionV>
                <wp:extent cx="180328" cy="255824"/>
                <wp:effectExtent l="38418" t="37782" r="0" b="11113"/>
                <wp:wrapNone/>
                <wp:docPr id="2814" name="下矢印 2814"/>
                <wp:cNvGraphicFramePr/>
                <a:graphic xmlns:a="http://schemas.openxmlformats.org/drawingml/2006/main">
                  <a:graphicData uri="http://schemas.microsoft.com/office/word/2010/wordprocessingShape">
                    <wps:wsp>
                      <wps:cNvSpPr/>
                      <wps:spPr>
                        <a:xfrm rot="15000000">
                          <a:off x="0" y="0"/>
                          <a:ext cx="180328" cy="255824"/>
                        </a:xfrm>
                        <a:prstGeom prst="downArrow">
                          <a:avLst/>
                        </a:prstGeom>
                        <a:noFill/>
                        <a:ln w="9525" cap="flat" cmpd="sng" algn="ctr">
                          <a:solidFill>
                            <a:sysClr val="windowText" lastClr="000000"/>
                          </a:solidFill>
                          <a:prstDash val="solid"/>
                          <a:tailEnd type="triangle"/>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shape w14:anchorId="09AD0B6A" id="下矢印 2814" o:spid="_x0000_s1026" type="#_x0000_t67" style="position:absolute;left:0;text-align:left;margin-left:286.35pt;margin-top:13.95pt;width:14.2pt;height:20.15pt;rotation:-110;z-index:253961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" adj="13987" filled="f" strokecolor="windowText">
                <v:stroke endarrow="block"/>
              </v:shape>
            </w:pict>
          </mc:Fallback>
        </mc:AlternateContent>
      </w:r>
      <w:r w:rsidR="008B4B2B" w:rsidRPr="001D6D10">
        <w:rPr>
          <w:noProof/>
        </w:rPr>
        <mc:AlternateContent>
          <mc:Choice Requires="wps">
            <w:drawing>
              <wp:anchor distT="0" distB="0" distL="114300" distR="114300" simplePos="0" relativeHeight="253959168" behindDoc="0" locked="0" layoutInCell="1" allowOverlap="1" wp14:anchorId="36D41349" wp14:editId="62F124AF">
                <wp:simplePos x="0" y="0"/>
                <wp:positionH relativeFrom="column">
                  <wp:posOffset>3872285</wp:posOffset>
                </wp:positionH>
                <wp:positionV relativeFrom="paragraph">
                  <wp:posOffset>13804</wp:posOffset>
                </wp:positionV>
                <wp:extent cx="571500" cy="228600"/>
                <wp:effectExtent l="0" t="0" r="19050" b="19050"/>
                <wp:wrapNone/>
                <wp:docPr id="2812" name="Text Box 258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1500" cy="228600"/>
                        </a:xfrm>
                        <a:prstGeom prst="rect">
                          <a:avLst/>
                        </a:prstGeom>
                        <a:solidFill>
                          <a:srgbClr val="FFFFFF"/>
                        </a:solidFill>
                        <a:ln w="9525">
                          <a:solidFill>
                            <a:srgbClr val="000000"/>
                          </a:solidFill>
                          <a:prstDash val="sysDot"/>
                          <a:miter lim="800000"/>
                          <a:headEnd/>
                          <a:tailEnd/>
                        </a:ln>
                      </wps:spPr>
                      <wps:txbx>
                        <w:txbxContent>
                          <w:p w14:paraId="6638A353" w14:textId="77777777" w:rsidR="006A5267" w:rsidRPr="004329E6" w:rsidRDefault="006A5267" w:rsidP="008B4B2B">
                            <w:pPr>
                              <w:jc w:val="center"/>
                              <w:rPr>
                                <w:rFonts w:ascii="ＭＳ ゴシック" w:eastAsia="ＭＳ ゴシック" w:hAnsi="ＭＳ ゴシック"/>
                                <w:sz w:val="20"/>
                                <w:szCs w:val="20"/>
                              </w:rPr>
                            </w:pPr>
                            <w:r>
                              <w:rPr>
                                <w:rFonts w:ascii="ＭＳ ゴシック" w:eastAsia="ＭＳ ゴシック" w:hAnsi="ＭＳ ゴシック" w:hint="eastAsia"/>
                                <w:sz w:val="20"/>
                                <w:szCs w:val="20"/>
                              </w:rPr>
                              <w:t>輸送</w:t>
                            </w:r>
                          </w:p>
                        </w:txbxContent>
                      </wps:txbx>
                      <wps:bodyPr rot="0" vert="horz" wrap="square" lIns="74295" tIns="8890" rIns="74295" bIns="8890" anchor="t" anchorCtr="0" upright="1">
                        <a:noAutofit/>
                      </wps:bodyPr>
                    </wps:wsp>
                  </a:graphicData>
                </a:graphic>
              </wp:anchor>
            </w:drawing>
          </mc:Choice>
          <mc:Fallback xmlns:w16cei="http://schemas.microsoft.com/office/word/2026/wordml/cei">
            <w:pict>
              <v:shape w14:anchorId="36D41349" id="Text Box 2588" o:spid="_x0000_s1494" type="#_x0000_t202" style="position:absolute;left:0;text-align:left;margin-left:304.9pt;margin-top:1.1pt;width:45pt;height:18pt;z-index:25395916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">
                <v:stroke dashstyle="1 1"/>
                <v:textbox inset="5.85pt,.7pt,5.85pt,.7pt">
                  <w:txbxContent>
                    <w:p w14:paraId="6638A353" w14:textId="77777777" w:rsidR="006A5267" w:rsidRPr="004329E6" w:rsidRDefault="006A5267" w:rsidP="008B4B2B">
                      <w:pPr>
                        <w:jc w:val="center"/>
                        <w:rPr>
                          <w:rFonts w:ascii="ＭＳ ゴシック" w:eastAsia="ＭＳ ゴシック" w:hAnsi="ＭＳ ゴシック"/>
                          <w:sz w:val="20"/>
                          <w:szCs w:val="20"/>
                        </w:rPr>
                      </w:pPr>
                      <w:r>
                        <w:rPr>
                          <w:rFonts w:ascii="ＭＳ ゴシック" w:eastAsia="ＭＳ ゴシック" w:hAnsi="ＭＳ ゴシック" w:hint="eastAsia"/>
                          <w:sz w:val="20"/>
                          <w:szCs w:val="20"/>
                        </w:rPr>
                        <w:t>輸送</w:t>
                      </w:r>
                    </w:p>
                  </w:txbxContent>
                </v:textbox>
              </v:shape>
            </w:pict>
          </mc:Fallback>
        </mc:AlternateContent>
      </w:r>
      <w:r w:rsidR="008B4B2B" w:rsidRPr="001D6D10">
        <w:rPr>
          <w:rFonts w:ascii="ＭＳ ゴシック" w:eastAsia="ＭＳ ゴシック" w:hint="eastAsia"/>
          <w:noProof/>
          <w:sz w:val="22"/>
          <w:szCs w:val="22"/>
        </w:rPr>
        <mc:AlternateContent>
          <mc:Choice Requires="wps">
            <w:drawing>
              <wp:anchor distT="0" distB="0" distL="114300" distR="114300" simplePos="0" relativeHeight="253941760" behindDoc="0" locked="0" layoutInCell="1" allowOverlap="1" wp14:anchorId="46E5E0DA" wp14:editId="58192A1C">
                <wp:simplePos x="0" y="0"/>
                <wp:positionH relativeFrom="column">
                  <wp:posOffset>5580684</wp:posOffset>
                </wp:positionH>
                <wp:positionV relativeFrom="paragraph">
                  <wp:posOffset>168910</wp:posOffset>
                </wp:positionV>
                <wp:extent cx="342900" cy="1943100"/>
                <wp:effectExtent l="0" t="0" r="19050" b="19050"/>
                <wp:wrapNone/>
                <wp:docPr id="3947" name="AutoShape 257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42900" cy="1943100"/>
                        </a:xfrm>
                        <a:prstGeom prst="roundRect">
                          <a:avLst>
                            <a:gd name="adj" fmla="val 16667"/>
                          </a:avLst>
                        </a:prstGeom>
                        <a:solidFill>
                          <a:srgbClr val="FFFFFF"/>
                        </a:solidFill>
                        <a:ln w="9525">
                          <a:solidFill>
                            <a:srgbClr val="000000"/>
                          </a:solidFill>
                          <a:round/>
                          <a:headEnd/>
                          <a:tailEnd/>
                        </a:ln>
                      </wps:spPr>
                      <wps:txbx>
                        <w:txbxContent>
                          <w:p w14:paraId="64D93881" w14:textId="77777777" w:rsidR="006A5267" w:rsidRDefault="006A5267" w:rsidP="008B4B2B">
                            <w:pPr>
                              <w:spacing w:line="240" w:lineRule="exact"/>
                              <w:rPr>
                                <w:rFonts w:ascii="ＭＳ ゴシック" w:eastAsia="ＭＳ ゴシック" w:hAnsi="ＭＳ ゴシック"/>
                                <w:sz w:val="20"/>
                                <w:szCs w:val="20"/>
                              </w:rPr>
                            </w:pPr>
                          </w:p>
                          <w:p w14:paraId="7C598C52" w14:textId="77777777" w:rsidR="006A5267" w:rsidRPr="0021017F" w:rsidRDefault="006A5267" w:rsidP="008B4B2B">
                            <w:pPr>
                              <w:spacing w:line="240" w:lineRule="exact"/>
                              <w:rPr>
                                <w:rFonts w:ascii="ＭＳ ゴシック" w:eastAsia="ＭＳ ゴシック" w:hAnsi="ＭＳ ゴシック"/>
                                <w:sz w:val="20"/>
                                <w:szCs w:val="20"/>
                              </w:rPr>
                            </w:pPr>
                            <w:r>
                              <w:rPr>
                                <w:rFonts w:ascii="ＭＳ ゴシック" w:eastAsia="ＭＳ ゴシック" w:hAnsi="ＭＳ ゴシック" w:hint="eastAsia"/>
                                <w:sz w:val="20"/>
                                <w:szCs w:val="20"/>
                              </w:rPr>
                              <w:t>市町村は被災者に給与</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roundrect w14:anchorId="46E5E0DA" id="AutoShape 2579" o:spid="_x0000_s1495" style="position:absolute;left:0;text-align:left;margin-left:439.4pt;margin-top:13.3pt;width:27pt;height:153pt;z-index:2539417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">
                <v:textbox inset="5.85pt,.7pt,5.85pt,.7pt">
                  <w:txbxContent>
                    <w:p w14:paraId="64D93881" w14:textId="77777777" w:rsidR="006A5267" w:rsidRDefault="006A5267" w:rsidP="008B4B2B">
                      <w:pPr>
                        <w:spacing w:line="240" w:lineRule="exact"/>
                        <w:rPr>
                          <w:rFonts w:ascii="ＭＳ ゴシック" w:eastAsia="ＭＳ ゴシック" w:hAnsi="ＭＳ ゴシック"/>
                          <w:sz w:val="20"/>
                          <w:szCs w:val="20"/>
                        </w:rPr>
                      </w:pPr>
                    </w:p>
                    <w:p w14:paraId="7C598C52" w14:textId="77777777" w:rsidR="006A5267" w:rsidRPr="0021017F" w:rsidRDefault="006A5267" w:rsidP="008B4B2B">
                      <w:pPr>
                        <w:spacing w:line="240" w:lineRule="exact"/>
                        <w:rPr>
                          <w:rFonts w:ascii="ＭＳ ゴシック" w:eastAsia="ＭＳ ゴシック" w:hAnsi="ＭＳ ゴシック"/>
                          <w:sz w:val="20"/>
                          <w:szCs w:val="20"/>
                        </w:rPr>
                      </w:pPr>
                      <w:r>
                        <w:rPr>
                          <w:rFonts w:ascii="ＭＳ ゴシック" w:eastAsia="ＭＳ ゴシック" w:hAnsi="ＭＳ ゴシック" w:hint="eastAsia"/>
                          <w:sz w:val="20"/>
                          <w:szCs w:val="20"/>
                        </w:rPr>
                        <w:t>市町村は被災者に給与</w:t>
                      </w:r>
                    </w:p>
                  </w:txbxContent>
                </v:textbox>
              </v:roundrect>
            </w:pict>
          </mc:Fallback>
        </mc:AlternateContent>
      </w:r>
    </w:p>
    <w:p w14:paraId="6844BF15" w14:textId="04057FC2" w:rsidR="008B4B2B" w:rsidRPr="001D6D10" w:rsidRDefault="00D54233" w:rsidP="008B4B2B">
      <w:pPr>
        <w:pStyle w:val="a0"/>
        <w:spacing w:line="340" w:lineRule="exact"/>
        <w:rPr>
          <w:rFonts w:ascii="ＭＳ ゴシック" w:eastAsia="ＭＳ ゴシック"/>
          <w:sz w:val="22"/>
          <w:szCs w:val="22"/>
        </w:rPr>
      </w:pPr>
      <w:r w:rsidRPr="001D6D10">
        <w:rPr>
          <w:rFonts w:ascii="ＭＳ ゴシック" w:eastAsia="ＭＳ ゴシック" w:hint="eastAsia"/>
          <w:noProof/>
          <w:sz w:val="22"/>
          <w:szCs w:val="22"/>
        </w:rPr>
        <mc:AlternateContent>
          <mc:Choice Requires="wpg">
            <w:drawing>
              <wp:anchor distT="0" distB="0" distL="114300" distR="114300" simplePos="0" relativeHeight="253944832" behindDoc="0" locked="0" layoutInCell="1" allowOverlap="1" wp14:anchorId="19228315" wp14:editId="3063E219">
                <wp:simplePos x="0" y="0"/>
                <wp:positionH relativeFrom="column">
                  <wp:posOffset>1488440</wp:posOffset>
                </wp:positionH>
                <wp:positionV relativeFrom="paragraph">
                  <wp:posOffset>31115</wp:posOffset>
                </wp:positionV>
                <wp:extent cx="1485900" cy="2209800"/>
                <wp:effectExtent l="0" t="0" r="19050" b="19050"/>
                <wp:wrapNone/>
                <wp:docPr id="3935" name="Group 258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485900" cy="2209800"/>
                          <a:chOff x="3650" y="2464"/>
                          <a:chExt cx="2340" cy="3480"/>
                        </a:xfrm>
                      </wpg:grpSpPr>
                      <wps:wsp>
                        <wps:cNvPr id="3936" name="AutoShape 2584"/>
                        <wps:cNvSpPr>
                          <a:spLocks noChangeArrowheads="1"/>
                        </wps:cNvSpPr>
                        <wps:spPr bwMode="auto">
                          <a:xfrm>
                            <a:off x="3650" y="2704"/>
                            <a:ext cx="2340" cy="3240"/>
                          </a:xfrm>
                          <a:prstGeom prst="roundRect">
                            <a:avLst>
                              <a:gd name="adj" fmla="val 16667"/>
                            </a:avLst>
                          </a:prstGeom>
                          <a:solidFill>
                            <a:srgbClr val="FFFFFF"/>
                          </a:solidFill>
                          <a:ln w="9525">
                            <a:solidFill>
                              <a:srgbClr val="000000"/>
                            </a:solidFill>
                            <a:round/>
                            <a:headEnd/>
                            <a:tailEnd/>
                          </a:ln>
                        </wps:spPr>
                        <wps:txbx>
                          <w:txbxContent>
                            <w:p w14:paraId="36C3C3D5" w14:textId="77777777" w:rsidR="006A5267" w:rsidRDefault="006A5267" w:rsidP="008B4B2B"/>
                          </w:txbxContent>
                        </wps:txbx>
                        <wps:bodyPr rot="0" vert="horz" wrap="square" lIns="74295" tIns="8890" rIns="74295" bIns="8890" anchor="t" anchorCtr="0" upright="1">
                          <a:noAutofit/>
                        </wps:bodyPr>
                      </wps:wsp>
                      <wps:wsp>
                        <wps:cNvPr id="3937" name="Text Box 2585"/>
                        <wps:cNvSpPr txBox="1">
                          <a:spLocks noChangeArrowheads="1"/>
                        </wps:cNvSpPr>
                        <wps:spPr bwMode="auto">
                          <a:xfrm>
                            <a:off x="3830" y="2885"/>
                            <a:ext cx="1980" cy="519"/>
                          </a:xfrm>
                          <a:prstGeom prst="rect">
                            <a:avLst/>
                          </a:prstGeom>
                          <a:solidFill>
                            <a:srgbClr val="FFFFFF"/>
                          </a:solidFill>
                          <a:ln w="9525">
                            <a:solidFill>
                              <a:srgbClr val="000000"/>
                            </a:solidFill>
                            <a:miter lim="800000"/>
                            <a:headEnd/>
                            <a:tailEnd/>
                          </a:ln>
                        </wps:spPr>
                        <wps:txbx>
                          <w:txbxContent>
                            <w:p w14:paraId="21D7B250" w14:textId="77777777" w:rsidR="006A5267" w:rsidRPr="002A5FE6" w:rsidRDefault="006A5267" w:rsidP="008B4B2B">
                              <w:pPr>
                                <w:spacing w:line="240" w:lineRule="exact"/>
                                <w:jc w:val="center"/>
                                <w:rPr>
                                  <w:rFonts w:ascii="ＭＳ ゴシック" w:eastAsia="ＭＳ ゴシック" w:hAnsi="ＭＳ ゴシック"/>
                                  <w:sz w:val="18"/>
                                  <w:szCs w:val="20"/>
                                </w:rPr>
                              </w:pPr>
                              <w:r w:rsidRPr="002A5FE6">
                                <w:rPr>
                                  <w:rFonts w:ascii="ＭＳ ゴシック" w:eastAsia="ＭＳ ゴシック" w:hAnsi="ＭＳ ゴシック" w:hint="eastAsia"/>
                                  <w:sz w:val="18"/>
                                  <w:szCs w:val="20"/>
                                </w:rPr>
                                <w:t>災害対策</w:t>
                              </w:r>
                              <w:r w:rsidRPr="002A5FE6">
                                <w:rPr>
                                  <w:rFonts w:ascii="ＭＳ ゴシック" w:eastAsia="ＭＳ ゴシック" w:hAnsi="ＭＳ ゴシック"/>
                                  <w:sz w:val="18"/>
                                  <w:szCs w:val="20"/>
                                </w:rPr>
                                <w:t>本部</w:t>
                              </w:r>
                            </w:p>
                            <w:p w14:paraId="6AE06E9E" w14:textId="77777777" w:rsidR="006A5267" w:rsidRPr="002A5FE6" w:rsidRDefault="006A5267" w:rsidP="008B4B2B">
                              <w:pPr>
                                <w:spacing w:line="240" w:lineRule="exact"/>
                                <w:jc w:val="center"/>
                                <w:rPr>
                                  <w:rFonts w:ascii="ＭＳ ゴシック" w:eastAsia="ＭＳ ゴシック" w:hAnsi="ＭＳ ゴシック"/>
                                  <w:sz w:val="18"/>
                                  <w:szCs w:val="20"/>
                                </w:rPr>
                              </w:pPr>
                              <w:r w:rsidRPr="002A5FE6">
                                <w:rPr>
                                  <w:rFonts w:ascii="ＭＳ ゴシック" w:eastAsia="ＭＳ ゴシック" w:hAnsi="ＭＳ ゴシック" w:hint="eastAsia"/>
                                  <w:sz w:val="18"/>
                                  <w:szCs w:val="20"/>
                                </w:rPr>
                                <w:t>（対策班</w:t>
                              </w:r>
                              <w:r w:rsidRPr="002A5FE6">
                                <w:rPr>
                                  <w:rFonts w:ascii="ＭＳ ゴシック" w:eastAsia="ＭＳ ゴシック" w:hAnsi="ＭＳ ゴシック"/>
                                  <w:sz w:val="18"/>
                                  <w:szCs w:val="20"/>
                                </w:rPr>
                                <w:t>）</w:t>
                              </w:r>
                            </w:p>
                          </w:txbxContent>
                        </wps:txbx>
                        <wps:bodyPr rot="0" vert="horz" wrap="square" lIns="74295" tIns="8890" rIns="74295" bIns="8890" anchor="t" anchorCtr="0" upright="1">
                          <a:noAutofit/>
                        </wps:bodyPr>
                      </wps:wsp>
                      <wps:wsp>
                        <wps:cNvPr id="3938" name="Text Box 2586"/>
                        <wps:cNvSpPr txBox="1">
                          <a:spLocks noChangeArrowheads="1"/>
                        </wps:cNvSpPr>
                        <wps:spPr bwMode="auto">
                          <a:xfrm>
                            <a:off x="3830" y="4404"/>
                            <a:ext cx="1980" cy="1260"/>
                          </a:xfrm>
                          <a:prstGeom prst="rect">
                            <a:avLst/>
                          </a:prstGeom>
                          <a:solidFill>
                            <a:srgbClr val="FFFFFF"/>
                          </a:solidFill>
                          <a:ln w="9525">
                            <a:solidFill>
                              <a:srgbClr val="000000"/>
                            </a:solidFill>
                            <a:miter lim="800000"/>
                            <a:headEnd/>
                            <a:tailEnd/>
                          </a:ln>
                        </wps:spPr>
                        <wps:txbx>
                          <w:txbxContent>
                            <w:p w14:paraId="13806013" w14:textId="77777777" w:rsidR="006A5267" w:rsidRPr="002A5FE6" w:rsidRDefault="006A5267" w:rsidP="008B4B2B">
                              <w:pPr>
                                <w:spacing w:line="240" w:lineRule="exact"/>
                                <w:rPr>
                                  <w:rFonts w:ascii="ＭＳ ゴシック" w:eastAsia="ＭＳ ゴシック" w:hAnsi="ＭＳ ゴシック"/>
                                  <w:sz w:val="18"/>
                                  <w:szCs w:val="20"/>
                                </w:rPr>
                              </w:pPr>
                              <w:r w:rsidRPr="002A5FE6">
                                <w:rPr>
                                  <w:rFonts w:ascii="ＭＳ ゴシック" w:eastAsia="ＭＳ ゴシック" w:hAnsi="ＭＳ ゴシック" w:hint="eastAsia"/>
                                  <w:sz w:val="18"/>
                                  <w:szCs w:val="20"/>
                                </w:rPr>
                                <w:t>流通</w:t>
                              </w:r>
                              <w:r w:rsidRPr="002A5FE6">
                                <w:rPr>
                                  <w:rFonts w:ascii="ＭＳ ゴシック" w:eastAsia="ＭＳ ゴシック" w:hAnsi="ＭＳ ゴシック"/>
                                  <w:sz w:val="18"/>
                                  <w:szCs w:val="20"/>
                                </w:rPr>
                                <w:t>備蓄等</w:t>
                              </w:r>
                            </w:p>
                            <w:p w14:paraId="3EF28661" w14:textId="77777777" w:rsidR="006A5267" w:rsidRPr="002A5FE6" w:rsidRDefault="006A5267" w:rsidP="008B4B2B">
                              <w:pPr>
                                <w:spacing w:line="240" w:lineRule="exact"/>
                                <w:rPr>
                                  <w:rFonts w:ascii="ＭＳ ゴシック" w:eastAsia="ＭＳ ゴシック" w:hAnsi="ＭＳ ゴシック"/>
                                  <w:sz w:val="18"/>
                                  <w:szCs w:val="20"/>
                                </w:rPr>
                              </w:pPr>
                              <w:r w:rsidRPr="002A5FE6">
                                <w:rPr>
                                  <w:rFonts w:ascii="ＭＳ ゴシック" w:eastAsia="ＭＳ ゴシック" w:hAnsi="ＭＳ ゴシック" w:hint="eastAsia"/>
                                  <w:sz w:val="18"/>
                                  <w:szCs w:val="20"/>
                                </w:rPr>
                                <w:t>・府民文化部</w:t>
                              </w:r>
                            </w:p>
                            <w:p w14:paraId="791A0A08" w14:textId="77777777" w:rsidR="006A5267" w:rsidRPr="002A5FE6" w:rsidRDefault="006A5267" w:rsidP="008B4B2B">
                              <w:pPr>
                                <w:spacing w:line="240" w:lineRule="exact"/>
                                <w:rPr>
                                  <w:rFonts w:ascii="ＭＳ ゴシック" w:eastAsia="ＭＳ ゴシック" w:hAnsi="ＭＳ ゴシック"/>
                                  <w:sz w:val="18"/>
                                  <w:szCs w:val="20"/>
                                </w:rPr>
                              </w:pPr>
                              <w:r w:rsidRPr="002A5FE6">
                                <w:rPr>
                                  <w:rFonts w:ascii="ＭＳ ゴシック" w:eastAsia="ＭＳ ゴシック" w:hAnsi="ＭＳ ゴシック" w:hint="eastAsia"/>
                                  <w:sz w:val="18"/>
                                  <w:szCs w:val="20"/>
                                </w:rPr>
                                <w:t>・健康医療部</w:t>
                              </w:r>
                            </w:p>
                            <w:p w14:paraId="76FFCA17" w14:textId="77777777" w:rsidR="006A5267" w:rsidRPr="002A5FE6" w:rsidRDefault="006A5267" w:rsidP="008B4B2B">
                              <w:pPr>
                                <w:spacing w:line="240" w:lineRule="exact"/>
                                <w:rPr>
                                  <w:rFonts w:ascii="ＭＳ ゴシック" w:eastAsia="ＭＳ ゴシック" w:hAnsi="ＭＳ ゴシック"/>
                                  <w:sz w:val="18"/>
                                  <w:szCs w:val="20"/>
                                </w:rPr>
                              </w:pPr>
                              <w:r w:rsidRPr="002A5FE6">
                                <w:rPr>
                                  <w:rFonts w:ascii="ＭＳ ゴシック" w:eastAsia="ＭＳ ゴシック" w:hAnsi="ＭＳ ゴシック" w:hint="eastAsia"/>
                                  <w:sz w:val="18"/>
                                  <w:szCs w:val="20"/>
                                </w:rPr>
                                <w:t>・商工労働部</w:t>
                              </w:r>
                            </w:p>
                            <w:p w14:paraId="4DF8D7DB" w14:textId="77777777" w:rsidR="006A5267" w:rsidRPr="002A5FE6" w:rsidRDefault="006A5267" w:rsidP="008B4B2B">
                              <w:pPr>
                                <w:spacing w:line="240" w:lineRule="exact"/>
                                <w:rPr>
                                  <w:sz w:val="20"/>
                                </w:rPr>
                              </w:pPr>
                              <w:r w:rsidRPr="002A5FE6">
                                <w:rPr>
                                  <w:rFonts w:ascii="ＭＳ ゴシック" w:eastAsia="ＭＳ ゴシック" w:hAnsi="ＭＳ ゴシック" w:hint="eastAsia"/>
                                  <w:sz w:val="18"/>
                                  <w:szCs w:val="20"/>
                                </w:rPr>
                                <w:t>・環境農林水産部</w:t>
                              </w:r>
                            </w:p>
                          </w:txbxContent>
                        </wps:txbx>
                        <wps:bodyPr rot="0" vert="horz" wrap="square" lIns="74295" tIns="8890" rIns="74295" bIns="8890" anchor="t" anchorCtr="0" upright="1">
                          <a:noAutofit/>
                        </wps:bodyPr>
                      </wps:wsp>
                      <wps:wsp>
                        <wps:cNvPr id="3939" name="AutoShape 2587"/>
                        <wps:cNvSpPr>
                          <a:spLocks noChangeArrowheads="1"/>
                        </wps:cNvSpPr>
                        <wps:spPr bwMode="auto">
                          <a:xfrm>
                            <a:off x="4010" y="3484"/>
                            <a:ext cx="1800" cy="855"/>
                          </a:xfrm>
                          <a:prstGeom prst="upDownArrow">
                            <a:avLst>
                              <a:gd name="adj1" fmla="val 50000"/>
                              <a:gd name="adj2" fmla="val 20000"/>
                            </a:avLst>
                          </a:prstGeom>
                          <a:solidFill>
                            <a:srgbClr val="FFFFFF"/>
                          </a:solidFill>
                          <a:ln w="9525">
                            <a:solidFill>
                              <a:srgbClr val="000000"/>
                            </a:solidFill>
                            <a:miter lim="800000"/>
                            <a:headEnd/>
                            <a:tailEnd/>
                          </a:ln>
                        </wps:spPr>
                        <wps:txbx>
                          <w:txbxContent>
                            <w:p w14:paraId="18EF1737" w14:textId="77777777" w:rsidR="006A5267" w:rsidRDefault="006A5267" w:rsidP="008B4B2B">
                              <w:pPr>
                                <w:spacing w:line="240" w:lineRule="exact"/>
                                <w:jc w:val="center"/>
                                <w:rPr>
                                  <w:rFonts w:ascii="ＭＳ ゴシック" w:eastAsia="ＭＳ ゴシック" w:hAnsi="ＭＳ ゴシック"/>
                                  <w:sz w:val="20"/>
                                  <w:szCs w:val="20"/>
                                </w:rPr>
                              </w:pPr>
                              <w:r>
                                <w:rPr>
                                  <w:rFonts w:ascii="ＭＳ ゴシック" w:eastAsia="ＭＳ ゴシック" w:hAnsi="ＭＳ ゴシック" w:hint="eastAsia"/>
                                  <w:sz w:val="20"/>
                                  <w:szCs w:val="20"/>
                                </w:rPr>
                                <w:t>供給</w:t>
                              </w:r>
                            </w:p>
                            <w:p w14:paraId="275A4D35" w14:textId="77777777" w:rsidR="006A5267" w:rsidRPr="00146620" w:rsidRDefault="006A5267" w:rsidP="008B4B2B">
                              <w:pPr>
                                <w:spacing w:line="240" w:lineRule="exact"/>
                                <w:jc w:val="center"/>
                                <w:rPr>
                                  <w:rFonts w:ascii="ＭＳ ゴシック" w:eastAsia="ＭＳ ゴシック" w:hAnsi="ＭＳ ゴシック"/>
                                  <w:sz w:val="20"/>
                                  <w:szCs w:val="20"/>
                                </w:rPr>
                              </w:pPr>
                              <w:r>
                                <w:rPr>
                                  <w:rFonts w:ascii="ＭＳ ゴシック" w:eastAsia="ＭＳ ゴシック" w:hAnsi="ＭＳ ゴシック" w:hint="eastAsia"/>
                                  <w:sz w:val="20"/>
                                  <w:szCs w:val="20"/>
                                </w:rPr>
                                <w:t>調整</w:t>
                              </w:r>
                            </w:p>
                          </w:txbxContent>
                        </wps:txbx>
                        <wps:bodyPr rot="0" vert="horz" wrap="square" lIns="74295" tIns="8890" rIns="74295" bIns="8890" anchor="t" anchorCtr="0" upright="1">
                          <a:noAutofit/>
                        </wps:bodyPr>
                      </wps:wsp>
                      <wps:wsp>
                        <wps:cNvPr id="3940" name="Text Box 2588"/>
                        <wps:cNvSpPr txBox="1">
                          <a:spLocks noChangeArrowheads="1"/>
                        </wps:cNvSpPr>
                        <wps:spPr bwMode="auto">
                          <a:xfrm>
                            <a:off x="3840" y="2464"/>
                            <a:ext cx="900" cy="360"/>
                          </a:xfrm>
                          <a:prstGeom prst="rect">
                            <a:avLst/>
                          </a:prstGeom>
                          <a:solidFill>
                            <a:srgbClr val="FFFFFF"/>
                          </a:solidFill>
                          <a:ln w="9525">
                            <a:solidFill>
                              <a:srgbClr val="000000"/>
                            </a:solidFill>
                            <a:miter lim="800000"/>
                            <a:headEnd/>
                            <a:tailEnd/>
                          </a:ln>
                        </wps:spPr>
                        <wps:txbx>
                          <w:txbxContent>
                            <w:p w14:paraId="093818A6" w14:textId="77777777" w:rsidR="006A5267" w:rsidRPr="004329E6" w:rsidRDefault="006A5267" w:rsidP="008B4B2B">
                              <w:pPr>
                                <w:rPr>
                                  <w:rFonts w:ascii="ＭＳ ゴシック" w:eastAsia="ＭＳ ゴシック" w:hAnsi="ＭＳ ゴシック"/>
                                  <w:sz w:val="20"/>
                                  <w:szCs w:val="20"/>
                                </w:rPr>
                              </w:pPr>
                              <w:r>
                                <w:rPr>
                                  <w:rFonts w:ascii="ＭＳ ゴシック" w:eastAsia="ＭＳ ゴシック" w:hAnsi="ＭＳ ゴシック" w:hint="eastAsia"/>
                                  <w:sz w:val="20"/>
                                  <w:szCs w:val="20"/>
                                </w:rPr>
                                <w:t>大阪府</w:t>
                              </w:r>
                            </w:p>
                          </w:txbxContent>
                        </wps:txbx>
                        <wps:bodyPr rot="0" vert="horz" wrap="square" lIns="74295" tIns="8890" rIns="74295" bIns="8890" anchor="t" anchorCtr="0" upright="1">
                          <a:noAutofit/>
                        </wps:bodyPr>
                      </wps:wsp>
                    </wpg:wgp>
                  </a:graphicData>
                </a:graphic>
                <wp14:sizeRelH relativeFrom="page">
                  <wp14:pctWidth>0</wp14:pctWidth>
                </wp14:sizeRelH>
                <wp14:sizeRelV relativeFrom="page">
                  <wp14:pctHeight>0</wp14:pctHeight>
                </wp14:sizeRelV>
              </wp:anchor>
            </w:drawing>
          </mc:Choice>
          <mc:Fallback xmlns:w16cei="http://schemas.microsoft.com/office/word/2026/wordml/cei">
            <w:pict>
              <v:group w14:anchorId="19228315" id="Group 2583" o:spid="_x0000_s1496" style="position:absolute;left:0;text-align:left;margin-left:117.2pt;margin-top:2.45pt;width:117pt;height:174pt;z-index:253944832;mso-position-horizontal-relative:text;mso-position-vertical-relative:text" coordorigin="3650,2464" coordsize="2340,348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">
                <v:roundrect id="AutoShape 2584" o:spid="_x0000_s1497" style="position:absolute;left:3650;top:2704;width:2340;height:3240;visibility:visible;mso-wrap-style:square;v-text-anchor:top"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">
                  <v:textbox inset="5.85pt,.7pt,5.85pt,.7pt">
                    <w:txbxContent>
                      <w:p w14:paraId="36C3C3D5" w14:textId="77777777" w:rsidR="006A5267" w:rsidRDefault="006A5267" w:rsidP="008B4B2B"/>
                    </w:txbxContent>
                  </v:textbox>
                </v:roundrect>
                <v:shape id="Text Box 2585" o:spid="_x0000_s1498" type="#_x0000_t202" style="position:absolute;left:3830;top:2885;width:1980;height:51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">
                  <v:textbox inset="5.85pt,.7pt,5.85pt,.7pt">
                    <w:txbxContent>
                      <w:p w14:paraId="21D7B250" w14:textId="77777777" w:rsidR="006A5267" w:rsidRPr="002A5FE6" w:rsidRDefault="006A5267" w:rsidP="008B4B2B">
                        <w:pPr>
                          <w:spacing w:line="240" w:lineRule="exact"/>
                          <w:jc w:val="center"/>
                          <w:rPr>
                            <w:rFonts w:ascii="ＭＳ ゴシック" w:eastAsia="ＭＳ ゴシック" w:hAnsi="ＭＳ ゴシック"/>
                            <w:sz w:val="18"/>
                            <w:szCs w:val="20"/>
                          </w:rPr>
                        </w:pPr>
                        <w:r w:rsidRPr="002A5FE6">
                          <w:rPr>
                            <w:rFonts w:ascii="ＭＳ ゴシック" w:eastAsia="ＭＳ ゴシック" w:hAnsi="ＭＳ ゴシック" w:hint="eastAsia"/>
                            <w:sz w:val="18"/>
                            <w:szCs w:val="20"/>
                          </w:rPr>
                          <w:t>災害対策</w:t>
                        </w:r>
                        <w:r w:rsidRPr="002A5FE6">
                          <w:rPr>
                            <w:rFonts w:ascii="ＭＳ ゴシック" w:eastAsia="ＭＳ ゴシック" w:hAnsi="ＭＳ ゴシック"/>
                            <w:sz w:val="18"/>
                            <w:szCs w:val="20"/>
                          </w:rPr>
                          <w:t>本部</w:t>
                        </w:r>
                      </w:p>
                      <w:p w14:paraId="6AE06E9E" w14:textId="77777777" w:rsidR="006A5267" w:rsidRPr="002A5FE6" w:rsidRDefault="006A5267" w:rsidP="008B4B2B">
                        <w:pPr>
                          <w:spacing w:line="240" w:lineRule="exact"/>
                          <w:jc w:val="center"/>
                          <w:rPr>
                            <w:rFonts w:ascii="ＭＳ ゴシック" w:eastAsia="ＭＳ ゴシック" w:hAnsi="ＭＳ ゴシック"/>
                            <w:sz w:val="18"/>
                            <w:szCs w:val="20"/>
                          </w:rPr>
                        </w:pPr>
                        <w:r w:rsidRPr="002A5FE6">
                          <w:rPr>
                            <w:rFonts w:ascii="ＭＳ ゴシック" w:eastAsia="ＭＳ ゴシック" w:hAnsi="ＭＳ ゴシック" w:hint="eastAsia"/>
                            <w:sz w:val="18"/>
                            <w:szCs w:val="20"/>
                          </w:rPr>
                          <w:t>（対策班</w:t>
                        </w:r>
                        <w:r w:rsidRPr="002A5FE6">
                          <w:rPr>
                            <w:rFonts w:ascii="ＭＳ ゴシック" w:eastAsia="ＭＳ ゴシック" w:hAnsi="ＭＳ ゴシック"/>
                            <w:sz w:val="18"/>
                            <w:szCs w:val="20"/>
                          </w:rPr>
                          <w:t>）</w:t>
                        </w:r>
                      </w:p>
                    </w:txbxContent>
                  </v:textbox>
                </v:shape>
                <v:shape id="Text Box 2586" o:spid="_x0000_s1499" type="#_x0000_t202" style="position:absolute;left:3830;top:4404;width:1980;height:126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">
                  <v:textbox inset="5.85pt,.7pt,5.85pt,.7pt">
                    <w:txbxContent>
                      <w:p w14:paraId="13806013" w14:textId="77777777" w:rsidR="006A5267" w:rsidRPr="002A5FE6" w:rsidRDefault="006A5267" w:rsidP="008B4B2B">
                        <w:pPr>
                          <w:spacing w:line="240" w:lineRule="exact"/>
                          <w:rPr>
                            <w:rFonts w:ascii="ＭＳ ゴシック" w:eastAsia="ＭＳ ゴシック" w:hAnsi="ＭＳ ゴシック"/>
                            <w:sz w:val="18"/>
                            <w:szCs w:val="20"/>
                          </w:rPr>
                        </w:pPr>
                        <w:r w:rsidRPr="002A5FE6">
                          <w:rPr>
                            <w:rFonts w:ascii="ＭＳ ゴシック" w:eastAsia="ＭＳ ゴシック" w:hAnsi="ＭＳ ゴシック" w:hint="eastAsia"/>
                            <w:sz w:val="18"/>
                            <w:szCs w:val="20"/>
                          </w:rPr>
                          <w:t>流通</w:t>
                        </w:r>
                        <w:r w:rsidRPr="002A5FE6">
                          <w:rPr>
                            <w:rFonts w:ascii="ＭＳ ゴシック" w:eastAsia="ＭＳ ゴシック" w:hAnsi="ＭＳ ゴシック"/>
                            <w:sz w:val="18"/>
                            <w:szCs w:val="20"/>
                          </w:rPr>
                          <w:t>備蓄等</w:t>
                        </w:r>
                      </w:p>
                      <w:p w14:paraId="3EF28661" w14:textId="77777777" w:rsidR="006A5267" w:rsidRPr="002A5FE6" w:rsidRDefault="006A5267" w:rsidP="008B4B2B">
                        <w:pPr>
                          <w:spacing w:line="240" w:lineRule="exact"/>
                          <w:rPr>
                            <w:rFonts w:ascii="ＭＳ ゴシック" w:eastAsia="ＭＳ ゴシック" w:hAnsi="ＭＳ ゴシック"/>
                            <w:sz w:val="18"/>
                            <w:szCs w:val="20"/>
                          </w:rPr>
                        </w:pPr>
                        <w:r w:rsidRPr="002A5FE6">
                          <w:rPr>
                            <w:rFonts w:ascii="ＭＳ ゴシック" w:eastAsia="ＭＳ ゴシック" w:hAnsi="ＭＳ ゴシック" w:hint="eastAsia"/>
                            <w:sz w:val="18"/>
                            <w:szCs w:val="20"/>
                          </w:rPr>
                          <w:t>・府民文化部</w:t>
                        </w:r>
                      </w:p>
                      <w:p w14:paraId="791A0A08" w14:textId="77777777" w:rsidR="006A5267" w:rsidRPr="002A5FE6" w:rsidRDefault="006A5267" w:rsidP="008B4B2B">
                        <w:pPr>
                          <w:spacing w:line="240" w:lineRule="exact"/>
                          <w:rPr>
                            <w:rFonts w:ascii="ＭＳ ゴシック" w:eastAsia="ＭＳ ゴシック" w:hAnsi="ＭＳ ゴシック"/>
                            <w:sz w:val="18"/>
                            <w:szCs w:val="20"/>
                          </w:rPr>
                        </w:pPr>
                        <w:r w:rsidRPr="002A5FE6">
                          <w:rPr>
                            <w:rFonts w:ascii="ＭＳ ゴシック" w:eastAsia="ＭＳ ゴシック" w:hAnsi="ＭＳ ゴシック" w:hint="eastAsia"/>
                            <w:sz w:val="18"/>
                            <w:szCs w:val="20"/>
                          </w:rPr>
                          <w:t>・健康医療部</w:t>
                        </w:r>
                      </w:p>
                      <w:p w14:paraId="76FFCA17" w14:textId="77777777" w:rsidR="006A5267" w:rsidRPr="002A5FE6" w:rsidRDefault="006A5267" w:rsidP="008B4B2B">
                        <w:pPr>
                          <w:spacing w:line="240" w:lineRule="exact"/>
                          <w:rPr>
                            <w:rFonts w:ascii="ＭＳ ゴシック" w:eastAsia="ＭＳ ゴシック" w:hAnsi="ＭＳ ゴシック"/>
                            <w:sz w:val="18"/>
                            <w:szCs w:val="20"/>
                          </w:rPr>
                        </w:pPr>
                        <w:r w:rsidRPr="002A5FE6">
                          <w:rPr>
                            <w:rFonts w:ascii="ＭＳ ゴシック" w:eastAsia="ＭＳ ゴシック" w:hAnsi="ＭＳ ゴシック" w:hint="eastAsia"/>
                            <w:sz w:val="18"/>
                            <w:szCs w:val="20"/>
                          </w:rPr>
                          <w:t>・商工労働部</w:t>
                        </w:r>
                      </w:p>
                      <w:p w14:paraId="4DF8D7DB" w14:textId="77777777" w:rsidR="006A5267" w:rsidRPr="002A5FE6" w:rsidRDefault="006A5267" w:rsidP="008B4B2B">
                        <w:pPr>
                          <w:spacing w:line="240" w:lineRule="exact"/>
                          <w:rPr>
                            <w:sz w:val="20"/>
                          </w:rPr>
                        </w:pPr>
                        <w:r w:rsidRPr="002A5FE6">
                          <w:rPr>
                            <w:rFonts w:ascii="ＭＳ ゴシック" w:eastAsia="ＭＳ ゴシック" w:hAnsi="ＭＳ ゴシック" w:hint="eastAsia"/>
                            <w:sz w:val="18"/>
                            <w:szCs w:val="20"/>
                          </w:rPr>
                          <w:t>・環境農林水産部</w:t>
                        </w:r>
                      </w:p>
                    </w:txbxContent>
                  </v:textbox>
                </v:shape>
                <v:shape id="AutoShape 2587" o:spid="_x0000_s1500" type="#_x0000_t70" style="position:absolute;left:4010;top:3484;width:1800;height:85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">
                  <v:textbox inset="5.85pt,.7pt,5.85pt,.7pt">
                    <w:txbxContent>
                      <w:p w14:paraId="18EF1737" w14:textId="77777777" w:rsidR="006A5267" w:rsidRDefault="006A5267" w:rsidP="008B4B2B">
                        <w:pPr>
                          <w:spacing w:line="240" w:lineRule="exact"/>
                          <w:jc w:val="center"/>
                          <w:rPr>
                            <w:rFonts w:ascii="ＭＳ ゴシック" w:eastAsia="ＭＳ ゴシック" w:hAnsi="ＭＳ ゴシック"/>
                            <w:sz w:val="20"/>
                            <w:szCs w:val="20"/>
                          </w:rPr>
                        </w:pPr>
                        <w:r>
                          <w:rPr>
                            <w:rFonts w:ascii="ＭＳ ゴシック" w:eastAsia="ＭＳ ゴシック" w:hAnsi="ＭＳ ゴシック" w:hint="eastAsia"/>
                            <w:sz w:val="20"/>
                            <w:szCs w:val="20"/>
                          </w:rPr>
                          <w:t>供給</w:t>
                        </w:r>
                      </w:p>
                      <w:p w14:paraId="275A4D35" w14:textId="77777777" w:rsidR="006A5267" w:rsidRPr="00146620" w:rsidRDefault="006A5267" w:rsidP="008B4B2B">
                        <w:pPr>
                          <w:spacing w:line="240" w:lineRule="exact"/>
                          <w:jc w:val="center"/>
                          <w:rPr>
                            <w:rFonts w:ascii="ＭＳ ゴシック" w:eastAsia="ＭＳ ゴシック" w:hAnsi="ＭＳ ゴシック"/>
                            <w:sz w:val="20"/>
                            <w:szCs w:val="20"/>
                          </w:rPr>
                        </w:pPr>
                        <w:r>
                          <w:rPr>
                            <w:rFonts w:ascii="ＭＳ ゴシック" w:eastAsia="ＭＳ ゴシック" w:hAnsi="ＭＳ ゴシック" w:hint="eastAsia"/>
                            <w:sz w:val="20"/>
                            <w:szCs w:val="20"/>
                          </w:rPr>
                          <w:t>調整</w:t>
                        </w:r>
                      </w:p>
                    </w:txbxContent>
                  </v:textbox>
                </v:shape>
                <v:shape id="_x0000_s1501" type="#_x0000_t202" style="position:absolute;left:3840;top:2464;width:900;height:36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">
                  <v:textbox inset="5.85pt,.7pt,5.85pt,.7pt">
                    <w:txbxContent>
                      <w:p w14:paraId="093818A6" w14:textId="77777777" w:rsidR="006A5267" w:rsidRPr="004329E6" w:rsidRDefault="006A5267" w:rsidP="008B4B2B">
                        <w:pPr>
                          <w:rPr>
                            <w:rFonts w:ascii="ＭＳ ゴシック" w:eastAsia="ＭＳ ゴシック" w:hAnsi="ＭＳ ゴシック"/>
                            <w:sz w:val="20"/>
                            <w:szCs w:val="20"/>
                          </w:rPr>
                        </w:pPr>
                        <w:r>
                          <w:rPr>
                            <w:rFonts w:ascii="ＭＳ ゴシック" w:eastAsia="ＭＳ ゴシック" w:hAnsi="ＭＳ ゴシック" w:hint="eastAsia"/>
                            <w:sz w:val="20"/>
                            <w:szCs w:val="20"/>
                          </w:rPr>
                          <w:t>大阪府</w:t>
                        </w:r>
                      </w:p>
                    </w:txbxContent>
                  </v:textbox>
                </v:shape>
              </v:group>
            </w:pict>
          </mc:Fallback>
        </mc:AlternateContent>
      </w:r>
      <w:r w:rsidR="008B4B2B" w:rsidRPr="001D6D10">
        <w:rPr>
          <w:rFonts w:ascii="ＭＳ ゴシック" w:eastAsia="ＭＳ ゴシック" w:hint="eastAsia"/>
          <w:noProof/>
          <w:sz w:val="22"/>
          <w:szCs w:val="22"/>
        </w:rPr>
        <mc:AlternateContent>
          <mc:Choice Requires="wps">
            <w:drawing>
              <wp:anchor distT="0" distB="0" distL="114300" distR="114300" simplePos="0" relativeHeight="253940736" behindDoc="0" locked="0" layoutInCell="1" allowOverlap="1" wp14:anchorId="3D0A2937" wp14:editId="3C9165A6">
                <wp:simplePos x="0" y="0"/>
                <wp:positionH relativeFrom="column">
                  <wp:posOffset>4705046</wp:posOffset>
                </wp:positionH>
                <wp:positionV relativeFrom="paragraph">
                  <wp:posOffset>66730</wp:posOffset>
                </wp:positionV>
                <wp:extent cx="342900" cy="2059388"/>
                <wp:effectExtent l="0" t="0" r="19050" b="17145"/>
                <wp:wrapNone/>
                <wp:docPr id="3941" name="AutoShape 257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42900" cy="2059388"/>
                        </a:xfrm>
                        <a:prstGeom prst="roundRect">
                          <a:avLst>
                            <a:gd name="adj" fmla="val 16667"/>
                          </a:avLst>
                        </a:prstGeom>
                        <a:solidFill>
                          <a:srgbClr val="FFFFFF"/>
                        </a:solidFill>
                        <a:ln w="9525">
                          <a:solidFill>
                            <a:srgbClr val="000000"/>
                          </a:solidFill>
                          <a:round/>
                          <a:headEnd/>
                          <a:tailEnd/>
                        </a:ln>
                      </wps:spPr>
                      <wps:txbx>
                        <w:txbxContent>
                          <w:p w14:paraId="637F3A13" w14:textId="77777777" w:rsidR="006A5267" w:rsidRDefault="006A5267" w:rsidP="008B4B2B">
                            <w:pPr>
                              <w:spacing w:line="240" w:lineRule="exact"/>
                              <w:rPr>
                                <w:rFonts w:ascii="ＭＳ ゴシック" w:eastAsia="ＭＳ ゴシック" w:hAnsi="ＭＳ ゴシック"/>
                                <w:sz w:val="20"/>
                                <w:szCs w:val="20"/>
                              </w:rPr>
                            </w:pPr>
                          </w:p>
                          <w:p w14:paraId="22E3DC32" w14:textId="77777777" w:rsidR="006A5267" w:rsidRPr="0021017F" w:rsidRDefault="006A5267" w:rsidP="008B4B2B">
                            <w:pPr>
                              <w:spacing w:line="240" w:lineRule="exact"/>
                              <w:rPr>
                                <w:rFonts w:ascii="ＭＳ ゴシック" w:eastAsia="ＭＳ ゴシック" w:hAnsi="ＭＳ ゴシック"/>
                                <w:sz w:val="20"/>
                                <w:szCs w:val="20"/>
                              </w:rPr>
                            </w:pPr>
                            <w:r>
                              <w:rPr>
                                <w:rFonts w:ascii="ＭＳ ゴシック" w:eastAsia="ＭＳ ゴシック" w:hAnsi="ＭＳ ゴシック" w:hint="eastAsia"/>
                                <w:sz w:val="20"/>
                                <w:szCs w:val="20"/>
                              </w:rPr>
                              <w:t>被災市町村の指定場所</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roundrect w14:anchorId="3D0A2937" id="AutoShape 2578" o:spid="_x0000_s1502" style="position:absolute;left:0;text-align:left;margin-left:370.5pt;margin-top:5.25pt;width:27pt;height:162.15pt;z-index:2539407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">
                <v:textbox inset="5.85pt,.7pt,5.85pt,.7pt">
                  <w:txbxContent>
                    <w:p w14:paraId="637F3A13" w14:textId="77777777" w:rsidR="006A5267" w:rsidRDefault="006A5267" w:rsidP="008B4B2B">
                      <w:pPr>
                        <w:spacing w:line="240" w:lineRule="exact"/>
                        <w:rPr>
                          <w:rFonts w:ascii="ＭＳ ゴシック" w:eastAsia="ＭＳ ゴシック" w:hAnsi="ＭＳ ゴシック"/>
                          <w:sz w:val="20"/>
                          <w:szCs w:val="20"/>
                        </w:rPr>
                      </w:pPr>
                    </w:p>
                    <w:p w14:paraId="22E3DC32" w14:textId="77777777" w:rsidR="006A5267" w:rsidRPr="0021017F" w:rsidRDefault="006A5267" w:rsidP="008B4B2B">
                      <w:pPr>
                        <w:spacing w:line="240" w:lineRule="exact"/>
                        <w:rPr>
                          <w:rFonts w:ascii="ＭＳ ゴシック" w:eastAsia="ＭＳ ゴシック" w:hAnsi="ＭＳ ゴシック"/>
                          <w:sz w:val="20"/>
                          <w:szCs w:val="20"/>
                        </w:rPr>
                      </w:pPr>
                      <w:r>
                        <w:rPr>
                          <w:rFonts w:ascii="ＭＳ ゴシック" w:eastAsia="ＭＳ ゴシック" w:hAnsi="ＭＳ ゴシック" w:hint="eastAsia"/>
                          <w:sz w:val="20"/>
                          <w:szCs w:val="20"/>
                        </w:rPr>
                        <w:t>被災市町村の指定場所</w:t>
                      </w:r>
                    </w:p>
                  </w:txbxContent>
                </v:textbox>
              </v:roundrect>
            </w:pict>
          </mc:Fallback>
        </mc:AlternateContent>
      </w:r>
    </w:p>
    <w:p w14:paraId="30638636" w14:textId="77777777" w:rsidR="008B4B2B" w:rsidRPr="001D6D10" w:rsidRDefault="008B4B2B" w:rsidP="008B4B2B">
      <w:pPr>
        <w:pStyle w:val="a0"/>
        <w:spacing w:line="340" w:lineRule="exact"/>
        <w:rPr>
          <w:rFonts w:ascii="ＭＳ ゴシック" w:eastAsia="ＭＳ ゴシック"/>
          <w:sz w:val="22"/>
          <w:szCs w:val="22"/>
        </w:rPr>
      </w:pPr>
      <w:r w:rsidRPr="001D6D10">
        <w:rPr>
          <w:rFonts w:ascii="ＭＳ ゴシック" w:eastAsia="ＭＳ ゴシック" w:hint="eastAsia"/>
          <w:noProof/>
          <w:sz w:val="22"/>
          <w:szCs w:val="22"/>
        </w:rPr>
        <mc:AlternateContent>
          <mc:Choice Requires="wps">
            <w:drawing>
              <wp:anchor distT="0" distB="0" distL="114300" distR="114300" simplePos="0" relativeHeight="253948928" behindDoc="0" locked="0" layoutInCell="1" allowOverlap="1" wp14:anchorId="3F98F94E" wp14:editId="208F17F9">
                <wp:simplePos x="0" y="0"/>
                <wp:positionH relativeFrom="column">
                  <wp:posOffset>2868295</wp:posOffset>
                </wp:positionH>
                <wp:positionV relativeFrom="paragraph">
                  <wp:posOffset>25759</wp:posOffset>
                </wp:positionV>
                <wp:extent cx="571390" cy="457200"/>
                <wp:effectExtent l="0" t="38100" r="38735" b="57150"/>
                <wp:wrapNone/>
                <wp:docPr id="3932" name="AutoShape 257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71390" cy="457200"/>
                        </a:xfrm>
                        <a:prstGeom prst="rightArrow">
                          <a:avLst>
                            <a:gd name="adj1" fmla="val 50000"/>
                            <a:gd name="adj2" fmla="val 25000"/>
                          </a:avLst>
                        </a:prstGeom>
                        <a:solidFill>
                          <a:srgbClr val="FFFFFF"/>
                        </a:solidFill>
                        <a:ln w="9525">
                          <a:solidFill>
                            <a:srgbClr val="000000"/>
                          </a:solidFill>
                          <a:miter lim="800000"/>
                          <a:headEnd/>
                          <a:tailEnd/>
                        </a:ln>
                      </wps:spPr>
                      <wps:txbx>
                        <w:txbxContent>
                          <w:p w14:paraId="193836E9" w14:textId="77777777" w:rsidR="006A5267" w:rsidRPr="0021017F" w:rsidRDefault="006A5267" w:rsidP="008B4B2B">
                            <w:pPr>
                              <w:jc w:val="center"/>
                              <w:rPr>
                                <w:rFonts w:ascii="ＭＳ ゴシック" w:eastAsia="ＭＳ ゴシック" w:hAnsi="ＭＳ ゴシック"/>
                                <w:sz w:val="20"/>
                                <w:szCs w:val="20"/>
                              </w:rPr>
                            </w:pPr>
                            <w:r w:rsidRPr="0021017F">
                              <w:rPr>
                                <w:rFonts w:ascii="ＭＳ ゴシック" w:eastAsia="ＭＳ ゴシック" w:hAnsi="ＭＳ ゴシック" w:hint="eastAsia"/>
                                <w:sz w:val="20"/>
                                <w:szCs w:val="20"/>
                              </w:rPr>
                              <w:t>依頼</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shape w14:anchorId="3F98F94E" id="AutoShape 2577" o:spid="_x0000_s1503" type="#_x0000_t13" style="position:absolute;left:0;text-align:left;margin-left:225.85pt;margin-top:2.05pt;width:45pt;height:36pt;z-index:2539489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" adj="17279">
                <v:textbox inset="5.85pt,.7pt,5.85pt,.7pt">
                  <w:txbxContent>
                    <w:p w14:paraId="193836E9" w14:textId="77777777" w:rsidR="006A5267" w:rsidRPr="0021017F" w:rsidRDefault="006A5267" w:rsidP="008B4B2B">
                      <w:pPr>
                        <w:jc w:val="center"/>
                        <w:rPr>
                          <w:rFonts w:ascii="ＭＳ ゴシック" w:eastAsia="ＭＳ ゴシック" w:hAnsi="ＭＳ ゴシック"/>
                          <w:sz w:val="20"/>
                          <w:szCs w:val="20"/>
                        </w:rPr>
                      </w:pPr>
                      <w:r w:rsidRPr="0021017F">
                        <w:rPr>
                          <w:rFonts w:ascii="ＭＳ ゴシック" w:eastAsia="ＭＳ ゴシック" w:hAnsi="ＭＳ ゴシック" w:hint="eastAsia"/>
                          <w:sz w:val="20"/>
                          <w:szCs w:val="20"/>
                        </w:rPr>
                        <w:t>依頼</w:t>
                      </w:r>
                    </w:p>
                  </w:txbxContent>
                </v:textbox>
              </v:shape>
            </w:pict>
          </mc:Fallback>
        </mc:AlternateContent>
      </w:r>
      <w:r w:rsidRPr="001D6D10">
        <w:rPr>
          <w:rFonts w:ascii="ＭＳ ゴシック" w:eastAsia="ＭＳ ゴシック" w:hint="eastAsia"/>
          <w:noProof/>
          <w:sz w:val="22"/>
          <w:szCs w:val="22"/>
        </w:rPr>
        <mc:AlternateContent>
          <mc:Choice Requires="wps">
            <w:drawing>
              <wp:anchor distT="0" distB="0" distL="114300" distR="114300" simplePos="0" relativeHeight="253939712" behindDoc="0" locked="0" layoutInCell="1" allowOverlap="1" wp14:anchorId="3EBD63C2" wp14:editId="2C976B86">
                <wp:simplePos x="0" y="0"/>
                <wp:positionH relativeFrom="column">
                  <wp:posOffset>3464643</wp:posOffset>
                </wp:positionH>
                <wp:positionV relativeFrom="paragraph">
                  <wp:posOffset>9856</wp:posOffset>
                </wp:positionV>
                <wp:extent cx="342900" cy="1820849"/>
                <wp:effectExtent l="0" t="0" r="19050" b="27305"/>
                <wp:wrapNone/>
                <wp:docPr id="3946" name="Rectangle 257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42900" cy="1820849"/>
                        </a:xfrm>
                        <a:prstGeom prst="rect">
                          <a:avLst/>
                        </a:prstGeom>
                        <a:solidFill>
                          <a:srgbClr val="FFFFFF"/>
                        </a:solidFill>
                        <a:ln w="9525">
                          <a:solidFill>
                            <a:srgbClr val="000000"/>
                          </a:solidFill>
                          <a:miter lim="800000"/>
                          <a:headEnd/>
                          <a:tailEnd/>
                        </a:ln>
                      </wps:spPr>
                      <wps:txbx>
                        <w:txbxContent>
                          <w:p w14:paraId="255C1138" w14:textId="77777777" w:rsidR="006A5267" w:rsidRDefault="006A5267" w:rsidP="008B4B2B">
                            <w:pPr>
                              <w:jc w:val="center"/>
                              <w:rPr>
                                <w:rFonts w:ascii="ＭＳ ゴシック" w:eastAsia="ＭＳ ゴシック" w:hAnsi="ＭＳ ゴシック"/>
                                <w:sz w:val="20"/>
                                <w:szCs w:val="20"/>
                              </w:rPr>
                            </w:pPr>
                          </w:p>
                          <w:p w14:paraId="580D4F3C" w14:textId="77777777" w:rsidR="006A5267" w:rsidRPr="00146620" w:rsidRDefault="006A5267" w:rsidP="008B4B2B">
                            <w:pPr>
                              <w:jc w:val="center"/>
                              <w:rPr>
                                <w:rFonts w:ascii="ＭＳ ゴシック" w:eastAsia="ＭＳ ゴシック" w:hAnsi="ＭＳ ゴシック"/>
                                <w:sz w:val="20"/>
                                <w:szCs w:val="20"/>
                              </w:rPr>
                            </w:pPr>
                            <w:r>
                              <w:rPr>
                                <w:rFonts w:ascii="ＭＳ ゴシック" w:eastAsia="ＭＳ ゴシック" w:hAnsi="ＭＳ ゴシック" w:hint="eastAsia"/>
                                <w:sz w:val="20"/>
                                <w:szCs w:val="20"/>
                              </w:rPr>
                              <w:t>輸送手段の確保</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rect w14:anchorId="3EBD63C2" id="Rectangle 2576" o:spid="_x0000_s1504" style="position:absolute;left:0;text-align:left;margin-left:272.8pt;margin-top:.8pt;width:27pt;height:143.35pt;z-index:2539397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">
                <v:textbox inset="5.85pt,.7pt,5.85pt,.7pt">
                  <w:txbxContent>
                    <w:p w14:paraId="255C1138" w14:textId="77777777" w:rsidR="006A5267" w:rsidRDefault="006A5267" w:rsidP="008B4B2B">
                      <w:pPr>
                        <w:jc w:val="center"/>
                        <w:rPr>
                          <w:rFonts w:ascii="ＭＳ ゴシック" w:eastAsia="ＭＳ ゴシック" w:hAnsi="ＭＳ ゴシック"/>
                          <w:sz w:val="20"/>
                          <w:szCs w:val="20"/>
                        </w:rPr>
                      </w:pPr>
                    </w:p>
                    <w:p w14:paraId="580D4F3C" w14:textId="77777777" w:rsidR="006A5267" w:rsidRPr="00146620" w:rsidRDefault="006A5267" w:rsidP="008B4B2B">
                      <w:pPr>
                        <w:jc w:val="center"/>
                        <w:rPr>
                          <w:rFonts w:ascii="ＭＳ ゴシック" w:eastAsia="ＭＳ ゴシック" w:hAnsi="ＭＳ ゴシック"/>
                          <w:sz w:val="20"/>
                          <w:szCs w:val="20"/>
                        </w:rPr>
                      </w:pPr>
                      <w:r>
                        <w:rPr>
                          <w:rFonts w:ascii="ＭＳ ゴシック" w:eastAsia="ＭＳ ゴシック" w:hAnsi="ＭＳ ゴシック" w:hint="eastAsia"/>
                          <w:sz w:val="20"/>
                          <w:szCs w:val="20"/>
                        </w:rPr>
                        <w:t>輸送手段の確保</w:t>
                      </w:r>
                    </w:p>
                  </w:txbxContent>
                </v:textbox>
              </v:rect>
            </w:pict>
          </mc:Fallback>
        </mc:AlternateContent>
      </w:r>
      <w:r w:rsidRPr="001D6D10">
        <w:rPr>
          <w:rFonts w:ascii="ＭＳ ゴシック" w:eastAsia="ＭＳ ゴシック" w:hint="eastAsia"/>
          <w:noProof/>
          <w:sz w:val="22"/>
          <w:szCs w:val="22"/>
        </w:rPr>
        <mc:AlternateContent>
          <mc:Choice Requires="wps">
            <w:drawing>
              <wp:anchor distT="0" distB="0" distL="114300" distR="114300" simplePos="0" relativeHeight="253952000" behindDoc="0" locked="0" layoutInCell="1" allowOverlap="1" wp14:anchorId="25F15768" wp14:editId="4804B2C5">
                <wp:simplePos x="0" y="0"/>
                <wp:positionH relativeFrom="column">
                  <wp:posOffset>4060991</wp:posOffset>
                </wp:positionH>
                <wp:positionV relativeFrom="paragraph">
                  <wp:posOffset>33710</wp:posOffset>
                </wp:positionV>
                <wp:extent cx="342900" cy="1836752"/>
                <wp:effectExtent l="0" t="0" r="19050" b="11430"/>
                <wp:wrapNone/>
                <wp:docPr id="2804" name="AutoShape 257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42900" cy="1836752"/>
                        </a:xfrm>
                        <a:prstGeom prst="roundRect">
                          <a:avLst>
                            <a:gd name="adj" fmla="val 16667"/>
                          </a:avLst>
                        </a:prstGeom>
                        <a:solidFill>
                          <a:srgbClr val="FFFFFF"/>
                        </a:solidFill>
                        <a:ln w="9525">
                          <a:solidFill>
                            <a:srgbClr val="000000"/>
                          </a:solidFill>
                          <a:round/>
                          <a:headEnd/>
                          <a:tailEnd/>
                        </a:ln>
                      </wps:spPr>
                      <wps:txbx>
                        <w:txbxContent>
                          <w:p w14:paraId="16F81E90" w14:textId="77777777" w:rsidR="006A5267" w:rsidRPr="0021017F" w:rsidRDefault="006A5267" w:rsidP="008B4B2B">
                            <w:pPr>
                              <w:spacing w:line="240" w:lineRule="exact"/>
                              <w:jc w:val="center"/>
                              <w:rPr>
                                <w:rFonts w:ascii="ＭＳ ゴシック" w:eastAsia="ＭＳ ゴシック" w:hAnsi="ＭＳ ゴシック"/>
                                <w:sz w:val="20"/>
                                <w:szCs w:val="20"/>
                              </w:rPr>
                            </w:pPr>
                            <w:r>
                              <w:rPr>
                                <w:rFonts w:ascii="ＭＳ ゴシック" w:eastAsia="ＭＳ ゴシック" w:hAnsi="ＭＳ ゴシック" w:hint="eastAsia"/>
                                <w:sz w:val="20"/>
                                <w:szCs w:val="20"/>
                              </w:rPr>
                              <w:t>大阪府</w:t>
                            </w:r>
                            <w:r>
                              <w:rPr>
                                <w:rFonts w:ascii="ＭＳ ゴシック" w:eastAsia="ＭＳ ゴシック" w:hAnsi="ＭＳ ゴシック"/>
                                <w:sz w:val="20"/>
                                <w:szCs w:val="20"/>
                              </w:rPr>
                              <w:t>広域防災拠点等</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roundrect w14:anchorId="25F15768" id="_x0000_s1505" style="position:absolute;left:0;text-align:left;margin-left:319.75pt;margin-top:2.65pt;width:27pt;height:144.65pt;z-index:2539520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">
                <v:textbox inset="5.85pt,.7pt,5.85pt,.7pt">
                  <w:txbxContent>
                    <w:p w14:paraId="16F81E90" w14:textId="77777777" w:rsidR="006A5267" w:rsidRPr="0021017F" w:rsidRDefault="006A5267" w:rsidP="008B4B2B">
                      <w:pPr>
                        <w:spacing w:line="240" w:lineRule="exact"/>
                        <w:jc w:val="center"/>
                        <w:rPr>
                          <w:rFonts w:ascii="ＭＳ ゴシック" w:eastAsia="ＭＳ ゴシック" w:hAnsi="ＭＳ ゴシック"/>
                          <w:sz w:val="20"/>
                          <w:szCs w:val="20"/>
                        </w:rPr>
                      </w:pPr>
                      <w:r>
                        <w:rPr>
                          <w:rFonts w:ascii="ＭＳ ゴシック" w:eastAsia="ＭＳ ゴシック" w:hAnsi="ＭＳ ゴシック" w:hint="eastAsia"/>
                          <w:sz w:val="20"/>
                          <w:szCs w:val="20"/>
                        </w:rPr>
                        <w:t>大阪府</w:t>
                      </w:r>
                      <w:r>
                        <w:rPr>
                          <w:rFonts w:ascii="ＭＳ ゴシック" w:eastAsia="ＭＳ ゴシック" w:hAnsi="ＭＳ ゴシック"/>
                          <w:sz w:val="20"/>
                          <w:szCs w:val="20"/>
                        </w:rPr>
                        <w:t>広域防災拠点等</w:t>
                      </w:r>
                    </w:p>
                  </w:txbxContent>
                </v:textbox>
              </v:roundrect>
            </w:pict>
          </mc:Fallback>
        </mc:AlternateContent>
      </w:r>
      <w:r w:rsidRPr="001D6D10">
        <w:rPr>
          <w:rFonts w:ascii="ＭＳ ゴシック" w:eastAsia="ＭＳ ゴシック" w:hint="eastAsia"/>
          <w:noProof/>
          <w:sz w:val="22"/>
          <w:szCs w:val="22"/>
        </w:rPr>
        <mc:AlternateContent>
          <mc:Choice Requires="wps">
            <w:drawing>
              <wp:anchor distT="0" distB="0" distL="114300" distR="114300" simplePos="0" relativeHeight="253943808" behindDoc="0" locked="0" layoutInCell="1" allowOverlap="1" wp14:anchorId="0C862BA2" wp14:editId="774B0728">
                <wp:simplePos x="0" y="0"/>
                <wp:positionH relativeFrom="column">
                  <wp:posOffset>5076825</wp:posOffset>
                </wp:positionH>
                <wp:positionV relativeFrom="paragraph">
                  <wp:posOffset>54610</wp:posOffset>
                </wp:positionV>
                <wp:extent cx="457200" cy="1143000"/>
                <wp:effectExtent l="0" t="0" r="0" b="2540"/>
                <wp:wrapNone/>
                <wp:docPr id="3934" name="Text Box 258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57200" cy="1143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66EEC6F" w14:textId="77777777" w:rsidR="006A5267" w:rsidRDefault="006A5267" w:rsidP="008B4B2B">
                            <w:pPr>
                              <w:spacing w:line="240" w:lineRule="exact"/>
                              <w:ind w:firstLineChars="50" w:firstLine="101"/>
                              <w:rPr>
                                <w:rFonts w:ascii="ＭＳ ゴシック" w:eastAsia="ＭＳ ゴシック" w:hAnsi="ＭＳ ゴシック"/>
                                <w:sz w:val="20"/>
                                <w:szCs w:val="20"/>
                              </w:rPr>
                            </w:pPr>
                            <w:r>
                              <w:rPr>
                                <w:rFonts w:ascii="ＭＳ ゴシック" w:eastAsia="ＭＳ ゴシック" w:hAnsi="ＭＳ ゴシック" w:hint="eastAsia"/>
                                <w:sz w:val="20"/>
                                <w:szCs w:val="20"/>
                              </w:rPr>
                              <w:t>市町村は</w:t>
                            </w:r>
                          </w:p>
                          <w:p w14:paraId="0871376B" w14:textId="77777777" w:rsidR="006A5267" w:rsidRPr="002D5018" w:rsidRDefault="006A5267" w:rsidP="008B4B2B">
                            <w:pPr>
                              <w:spacing w:line="240" w:lineRule="exact"/>
                              <w:ind w:firstLineChars="150" w:firstLine="302"/>
                              <w:rPr>
                                <w:rFonts w:ascii="ＭＳ ゴシック" w:eastAsia="ＭＳ ゴシック" w:hAnsi="ＭＳ ゴシック"/>
                                <w:sz w:val="20"/>
                                <w:szCs w:val="20"/>
                              </w:rPr>
                            </w:pPr>
                            <w:r>
                              <w:rPr>
                                <w:rFonts w:ascii="ＭＳ ゴシック" w:eastAsia="ＭＳ ゴシック" w:hAnsi="ＭＳ ゴシック" w:hint="eastAsia"/>
                                <w:sz w:val="20"/>
                                <w:szCs w:val="20"/>
                              </w:rPr>
                              <w:t>避難所等へ輸送</w:t>
                            </w:r>
                          </w:p>
                        </w:txbxContent>
                      </wps:txbx>
                      <wps:bodyPr rot="0" vert="eaVert"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shape w14:anchorId="0C862BA2" id="Text Box 2582" o:spid="_x0000_s1506" type="#_x0000_t202" style="position:absolute;left:0;text-align:left;margin-left:399.75pt;margin-top:4.3pt;width:36pt;height:90pt;z-index:2539438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" filled="f" stroked="f">
                <v:textbox style="layout-flow:vertical-ideographic" inset="5.85pt,.7pt,5.85pt,.7pt">
                  <w:txbxContent>
                    <w:p w14:paraId="266EEC6F" w14:textId="77777777" w:rsidR="006A5267" w:rsidRDefault="006A5267" w:rsidP="008B4B2B">
                      <w:pPr>
                        <w:spacing w:line="240" w:lineRule="exact"/>
                        <w:ind w:firstLineChars="50" w:firstLine="101"/>
                        <w:rPr>
                          <w:rFonts w:ascii="ＭＳ ゴシック" w:eastAsia="ＭＳ ゴシック" w:hAnsi="ＭＳ ゴシック"/>
                          <w:sz w:val="20"/>
                          <w:szCs w:val="20"/>
                        </w:rPr>
                      </w:pPr>
                      <w:r>
                        <w:rPr>
                          <w:rFonts w:ascii="ＭＳ ゴシック" w:eastAsia="ＭＳ ゴシック" w:hAnsi="ＭＳ ゴシック" w:hint="eastAsia"/>
                          <w:sz w:val="20"/>
                          <w:szCs w:val="20"/>
                        </w:rPr>
                        <w:t>市町村は</w:t>
                      </w:r>
                    </w:p>
                    <w:p w14:paraId="0871376B" w14:textId="77777777" w:rsidR="006A5267" w:rsidRPr="002D5018" w:rsidRDefault="006A5267" w:rsidP="008B4B2B">
                      <w:pPr>
                        <w:spacing w:line="240" w:lineRule="exact"/>
                        <w:ind w:firstLineChars="150" w:firstLine="302"/>
                        <w:rPr>
                          <w:rFonts w:ascii="ＭＳ ゴシック" w:eastAsia="ＭＳ ゴシック" w:hAnsi="ＭＳ ゴシック"/>
                          <w:sz w:val="20"/>
                          <w:szCs w:val="20"/>
                        </w:rPr>
                      </w:pPr>
                      <w:r>
                        <w:rPr>
                          <w:rFonts w:ascii="ＭＳ ゴシック" w:eastAsia="ＭＳ ゴシック" w:hAnsi="ＭＳ ゴシック" w:hint="eastAsia"/>
                          <w:sz w:val="20"/>
                          <w:szCs w:val="20"/>
                        </w:rPr>
                        <w:t>避難所等へ輸送</w:t>
                      </w:r>
                    </w:p>
                  </w:txbxContent>
                </v:textbox>
              </v:shape>
            </w:pict>
          </mc:Fallback>
        </mc:AlternateContent>
      </w:r>
    </w:p>
    <w:p w14:paraId="75208993" w14:textId="77777777" w:rsidR="008B4B2B" w:rsidRPr="001D6D10" w:rsidRDefault="008B4B2B" w:rsidP="008B4B2B">
      <w:pPr>
        <w:pStyle w:val="a0"/>
        <w:spacing w:line="340" w:lineRule="exact"/>
        <w:rPr>
          <w:rFonts w:ascii="ＭＳ ゴシック" w:eastAsia="ＭＳ ゴシック"/>
          <w:sz w:val="22"/>
          <w:szCs w:val="22"/>
        </w:rPr>
      </w:pPr>
      <w:r w:rsidRPr="001D6D10">
        <w:rPr>
          <w:rFonts w:ascii="ＭＳ ゴシック" w:eastAsia="ＭＳ ゴシック" w:hint="eastAsia"/>
          <w:noProof/>
          <w:sz w:val="22"/>
          <w:szCs w:val="22"/>
        </w:rPr>
        <mc:AlternateContent>
          <mc:Choice Requires="wps">
            <w:drawing>
              <wp:anchor distT="0" distB="0" distL="114300" distR="114300" simplePos="0" relativeHeight="253937664" behindDoc="0" locked="0" layoutInCell="1" allowOverlap="1" wp14:anchorId="6B0EB074" wp14:editId="145E7056">
                <wp:simplePos x="0" y="0"/>
                <wp:positionH relativeFrom="column">
                  <wp:posOffset>436245</wp:posOffset>
                </wp:positionH>
                <wp:positionV relativeFrom="paragraph">
                  <wp:posOffset>168910</wp:posOffset>
                </wp:positionV>
                <wp:extent cx="577850" cy="457200"/>
                <wp:effectExtent l="0" t="38100" r="31750" b="57150"/>
                <wp:wrapNone/>
                <wp:docPr id="3933" name="AutoShape 257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77850" cy="457200"/>
                        </a:xfrm>
                        <a:prstGeom prst="rightArrow">
                          <a:avLst>
                            <a:gd name="adj1" fmla="val 50000"/>
                            <a:gd name="adj2" fmla="val 31597"/>
                          </a:avLst>
                        </a:prstGeom>
                        <a:solidFill>
                          <a:srgbClr val="FFFFFF"/>
                        </a:solidFill>
                        <a:ln w="9525">
                          <a:solidFill>
                            <a:srgbClr val="000000"/>
                          </a:solidFill>
                          <a:miter lim="800000"/>
                          <a:headEnd/>
                          <a:tailEnd/>
                        </a:ln>
                      </wps:spPr>
                      <wps:txbx>
                        <w:txbxContent>
                          <w:p w14:paraId="77C684F1" w14:textId="77777777" w:rsidR="006A5267" w:rsidRPr="00F51BEC" w:rsidRDefault="006A5267" w:rsidP="008B4B2B">
                            <w:pPr>
                              <w:rPr>
                                <w:rFonts w:ascii="ＭＳ ゴシック" w:eastAsia="ＭＳ ゴシック" w:hAnsi="ＭＳ ゴシック"/>
                                <w:sz w:val="20"/>
                                <w:szCs w:val="20"/>
                              </w:rPr>
                            </w:pPr>
                            <w:r>
                              <w:rPr>
                                <w:rFonts w:ascii="ＭＳ ゴシック" w:eastAsia="ＭＳ ゴシック" w:hAnsi="ＭＳ ゴシック" w:hint="eastAsia"/>
                                <w:sz w:val="20"/>
                                <w:szCs w:val="20"/>
                              </w:rPr>
                              <w:t>要請</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shape w14:anchorId="6B0EB074" id="AutoShape 2574" o:spid="_x0000_s1507" type="#_x0000_t13" style="position:absolute;left:0;text-align:left;margin-left:34.35pt;margin-top:13.3pt;width:45.5pt;height:36pt;z-index:2539376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">
                <v:textbox inset="5.85pt,.7pt,5.85pt,.7pt">
                  <w:txbxContent>
                    <w:p w14:paraId="77C684F1" w14:textId="77777777" w:rsidR="006A5267" w:rsidRPr="00F51BEC" w:rsidRDefault="006A5267" w:rsidP="008B4B2B">
                      <w:pPr>
                        <w:rPr>
                          <w:rFonts w:ascii="ＭＳ ゴシック" w:eastAsia="ＭＳ ゴシック" w:hAnsi="ＭＳ ゴシック"/>
                          <w:sz w:val="20"/>
                          <w:szCs w:val="20"/>
                        </w:rPr>
                      </w:pPr>
                      <w:r>
                        <w:rPr>
                          <w:rFonts w:ascii="ＭＳ ゴシック" w:eastAsia="ＭＳ ゴシック" w:hAnsi="ＭＳ ゴシック" w:hint="eastAsia"/>
                          <w:sz w:val="20"/>
                          <w:szCs w:val="20"/>
                        </w:rPr>
                        <w:t>要請</w:t>
                      </w:r>
                    </w:p>
                  </w:txbxContent>
                </v:textbox>
              </v:shape>
            </w:pict>
          </mc:Fallback>
        </mc:AlternateContent>
      </w:r>
    </w:p>
    <w:p w14:paraId="7C4AC2F0" w14:textId="77777777" w:rsidR="008B4B2B" w:rsidRPr="001D6D10" w:rsidRDefault="008B4B2B" w:rsidP="008B4B2B">
      <w:pPr>
        <w:pStyle w:val="a0"/>
        <w:spacing w:line="340" w:lineRule="exact"/>
        <w:rPr>
          <w:rFonts w:ascii="ＭＳ ゴシック" w:eastAsia="ＭＳ ゴシック"/>
          <w:sz w:val="22"/>
          <w:szCs w:val="22"/>
        </w:rPr>
      </w:pPr>
    </w:p>
    <w:p w14:paraId="5B2558D0" w14:textId="77777777" w:rsidR="008B4B2B" w:rsidRPr="001D6D10" w:rsidRDefault="008B4B2B" w:rsidP="008B4B2B">
      <w:pPr>
        <w:pStyle w:val="a0"/>
        <w:spacing w:line="340" w:lineRule="exact"/>
        <w:rPr>
          <w:rFonts w:ascii="ＭＳ ゴシック" w:eastAsia="ＭＳ ゴシック"/>
          <w:sz w:val="22"/>
          <w:szCs w:val="22"/>
        </w:rPr>
      </w:pPr>
      <w:r w:rsidRPr="001D6D10">
        <w:rPr>
          <w:rFonts w:ascii="ＭＳ ゴシック" w:eastAsia="ＭＳ ゴシック"/>
          <w:noProof/>
          <w:sz w:val="22"/>
          <w:szCs w:val="22"/>
        </w:rPr>
        <mc:AlternateContent>
          <mc:Choice Requires="wps">
            <w:drawing>
              <wp:anchor distT="0" distB="0" distL="114300" distR="114300" simplePos="0" relativeHeight="253950976" behindDoc="0" locked="0" layoutInCell="1" allowOverlap="1" wp14:anchorId="2E1F2C08" wp14:editId="06084ED0">
                <wp:simplePos x="0" y="0"/>
                <wp:positionH relativeFrom="column">
                  <wp:posOffset>4275676</wp:posOffset>
                </wp:positionH>
                <wp:positionV relativeFrom="paragraph">
                  <wp:posOffset>197043</wp:posOffset>
                </wp:positionV>
                <wp:extent cx="428211" cy="7952"/>
                <wp:effectExtent l="0" t="76200" r="10160" b="106680"/>
                <wp:wrapNone/>
                <wp:docPr id="2806" name="直線矢印コネクタ 2806"/>
                <wp:cNvGraphicFramePr/>
                <a:graphic xmlns:a="http://schemas.openxmlformats.org/drawingml/2006/main">
                  <a:graphicData uri="http://schemas.microsoft.com/office/word/2010/wordprocessingShape">
                    <wps:wsp>
                      <wps:cNvCnPr/>
                      <wps:spPr>
                        <a:xfrm flipV="1">
                          <a:off x="0" y="0"/>
                          <a:ext cx="428211" cy="7952"/>
                        </a:xfrm>
                        <a:prstGeom prst="straightConnector1">
                          <a:avLst/>
                        </a:prstGeom>
                        <a:noFill/>
                        <a:ln w="9525" cap="flat" cmpd="sng" algn="ctr">
                          <a:solidFill>
                            <a:sysClr val="windowText" lastClr="000000"/>
                          </a:solidFill>
                          <a:prstDash val="solid"/>
                          <a:tailEnd type="arrow"/>
                        </a:ln>
                        <a:effectLst/>
                      </wps:spPr>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shape w14:anchorId="4D488D4E" id="直線矢印コネクタ 2806" o:spid="_x0000_s1026" type="#_x0000_t32" style="position:absolute;left:0;text-align:left;margin-left:336.65pt;margin-top:15.5pt;width:33.7pt;height:.65pt;flip:y;z-index:2539509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" strokecolor="windowText">
                <v:stroke endarrow="open"/>
              </v:shape>
            </w:pict>
          </mc:Fallback>
        </mc:AlternateContent>
      </w:r>
      <w:r w:rsidRPr="001D6D10">
        <w:rPr>
          <w:rFonts w:ascii="ＭＳ ゴシック" w:eastAsia="ＭＳ ゴシック"/>
          <w:noProof/>
          <w:sz w:val="22"/>
          <w:szCs w:val="22"/>
        </w:rPr>
        <mc:AlternateContent>
          <mc:Choice Requires="wps">
            <w:drawing>
              <wp:anchor distT="0" distB="0" distL="114300" distR="114300" simplePos="0" relativeHeight="253949952" behindDoc="0" locked="0" layoutInCell="1" allowOverlap="1" wp14:anchorId="0F0AA6B7" wp14:editId="07C4448D">
                <wp:simplePos x="0" y="0"/>
                <wp:positionH relativeFrom="column">
                  <wp:posOffset>3838354</wp:posOffset>
                </wp:positionH>
                <wp:positionV relativeFrom="paragraph">
                  <wp:posOffset>85725</wp:posOffset>
                </wp:positionV>
                <wp:extent cx="206734" cy="222637"/>
                <wp:effectExtent l="0" t="19050" r="41275" b="44450"/>
                <wp:wrapNone/>
                <wp:docPr id="2805" name="右矢印 2805"/>
                <wp:cNvGraphicFramePr/>
                <a:graphic xmlns:a="http://schemas.openxmlformats.org/drawingml/2006/main">
                  <a:graphicData uri="http://schemas.microsoft.com/office/word/2010/wordprocessingShape">
                    <wps:wsp>
                      <wps:cNvSpPr/>
                      <wps:spPr>
                        <a:xfrm>
                          <a:off x="0" y="0"/>
                          <a:ext cx="206734" cy="222637"/>
                        </a:xfrm>
                        <a:prstGeom prst="rightArrow">
                          <a:avLst/>
                        </a:prstGeom>
                        <a:noFill/>
                        <a:ln w="9525" cap="flat" cmpd="sng" algn="ctr">
                          <a:solidFill>
                            <a:sysClr val="windowText" lastClr="000000"/>
                          </a:solidFill>
                          <a:prstDash val="solid"/>
                          <a:tailEnd type="triangle"/>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w16cei="http://schemas.microsoft.com/office/word/2026/wordml/cei">
            <w:pict>
              <v:shape w14:anchorId="7FA07DFA" id="右矢印 2805" o:spid="_x0000_s1026" type="#_x0000_t13" style="position:absolute;left:0;text-align:left;margin-left:302.25pt;margin-top:6.75pt;width:16.3pt;height:17.55pt;z-index:25394995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" adj="10800" filled="f" strokecolor="windowText">
                <v:stroke endarrow="block"/>
              </v:shape>
            </w:pict>
          </mc:Fallback>
        </mc:AlternateContent>
      </w:r>
    </w:p>
    <w:p w14:paraId="42CD057E" w14:textId="77777777" w:rsidR="008B4B2B" w:rsidRPr="001D6D10" w:rsidRDefault="008B4B2B" w:rsidP="008B4B2B">
      <w:pPr>
        <w:pStyle w:val="a0"/>
        <w:spacing w:line="340" w:lineRule="exact"/>
        <w:rPr>
          <w:rFonts w:ascii="ＭＳ ゴシック" w:eastAsia="ＭＳ ゴシック"/>
          <w:sz w:val="22"/>
          <w:szCs w:val="22"/>
        </w:rPr>
      </w:pPr>
      <w:r w:rsidRPr="001D6D10">
        <w:rPr>
          <w:rFonts w:ascii="ＭＳ ゴシック" w:eastAsia="ＭＳ ゴシック" w:hint="eastAsia"/>
          <w:noProof/>
          <w:sz w:val="22"/>
          <w:szCs w:val="22"/>
        </w:rPr>
        <mc:AlternateContent>
          <mc:Choice Requires="wps">
            <w:drawing>
              <wp:anchor distT="0" distB="0" distL="114300" distR="114300" simplePos="0" relativeHeight="254374912" behindDoc="0" locked="0" layoutInCell="1" allowOverlap="1" wp14:anchorId="72C4E79F" wp14:editId="30149B36">
                <wp:simplePos x="0" y="0"/>
                <wp:positionH relativeFrom="column">
                  <wp:posOffset>271145</wp:posOffset>
                </wp:positionH>
                <wp:positionV relativeFrom="paragraph">
                  <wp:posOffset>86360</wp:posOffset>
                </wp:positionV>
                <wp:extent cx="914400" cy="685800"/>
                <wp:effectExtent l="4445" t="635" r="0" b="0"/>
                <wp:wrapNone/>
                <wp:docPr id="3930" name="Text Box 257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14400" cy="685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A56853E" w14:textId="77777777" w:rsidR="006A5267" w:rsidRPr="00F51BEC" w:rsidRDefault="006A5267" w:rsidP="008B4B2B">
                            <w:pPr>
                              <w:spacing w:line="240" w:lineRule="exact"/>
                              <w:rPr>
                                <w:rFonts w:ascii="ＭＳ ゴシック" w:eastAsia="ＭＳ ゴシック" w:hAnsi="ＭＳ ゴシック"/>
                                <w:sz w:val="20"/>
                                <w:szCs w:val="20"/>
                              </w:rPr>
                            </w:pPr>
                            <w:r w:rsidRPr="00F51BEC">
                              <w:rPr>
                                <w:rFonts w:ascii="ＭＳ ゴシック" w:eastAsia="ＭＳ ゴシック" w:hAnsi="ＭＳ ゴシック" w:hint="eastAsia"/>
                                <w:sz w:val="20"/>
                                <w:szCs w:val="20"/>
                              </w:rPr>
                              <w:t>・飲料水</w:t>
                            </w:r>
                          </w:p>
                          <w:p w14:paraId="44427896" w14:textId="77777777" w:rsidR="006A5267" w:rsidRPr="00F51BEC" w:rsidRDefault="006A5267" w:rsidP="008B4B2B">
                            <w:pPr>
                              <w:spacing w:line="240" w:lineRule="exact"/>
                              <w:rPr>
                                <w:rFonts w:ascii="ＭＳ ゴシック" w:eastAsia="ＭＳ ゴシック" w:hAnsi="ＭＳ ゴシック"/>
                                <w:sz w:val="20"/>
                                <w:szCs w:val="20"/>
                              </w:rPr>
                            </w:pPr>
                            <w:r w:rsidRPr="00F51BEC">
                              <w:rPr>
                                <w:rFonts w:ascii="ＭＳ ゴシック" w:eastAsia="ＭＳ ゴシック" w:hAnsi="ＭＳ ゴシック" w:hint="eastAsia"/>
                                <w:sz w:val="20"/>
                                <w:szCs w:val="20"/>
                              </w:rPr>
                              <w:t>・食料</w:t>
                            </w:r>
                          </w:p>
                          <w:p w14:paraId="4518DCE5" w14:textId="77777777" w:rsidR="006A5267" w:rsidRPr="00F51BEC" w:rsidRDefault="006A5267" w:rsidP="008B4B2B">
                            <w:pPr>
                              <w:spacing w:line="240" w:lineRule="exact"/>
                              <w:ind w:left="201" w:hangingChars="100" w:hanging="201"/>
                              <w:rPr>
                                <w:rFonts w:ascii="ＭＳ ゴシック" w:eastAsia="ＭＳ ゴシック" w:hAnsi="ＭＳ ゴシック"/>
                                <w:sz w:val="20"/>
                                <w:szCs w:val="20"/>
                              </w:rPr>
                            </w:pPr>
                            <w:r w:rsidRPr="00F51BEC">
                              <w:rPr>
                                <w:rFonts w:ascii="ＭＳ ゴシック" w:eastAsia="ＭＳ ゴシック" w:hAnsi="ＭＳ ゴシック" w:hint="eastAsia"/>
                                <w:sz w:val="20"/>
                                <w:szCs w:val="20"/>
                              </w:rPr>
                              <w:t>・生活必需品など</w:t>
                            </w:r>
                          </w:p>
                          <w:p w14:paraId="65DF2531" w14:textId="77777777" w:rsidR="006A5267" w:rsidRPr="00F51BEC" w:rsidRDefault="006A5267" w:rsidP="008B4B2B"/>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shape w14:anchorId="72C4E79F" id="Text Box 2575" o:spid="_x0000_s1508" type="#_x0000_t202" style="position:absolute;left:0;text-align:left;margin-left:21.35pt;margin-top:6.8pt;width:1in;height:54pt;z-index:2543749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" filled="f" stroked="f">
                <v:textbox inset="5.85pt,.7pt,5.85pt,.7pt">
                  <w:txbxContent>
                    <w:p w14:paraId="5A56853E" w14:textId="77777777" w:rsidR="006A5267" w:rsidRPr="00F51BEC" w:rsidRDefault="006A5267" w:rsidP="008B4B2B">
                      <w:pPr>
                        <w:spacing w:line="240" w:lineRule="exact"/>
                        <w:rPr>
                          <w:rFonts w:ascii="ＭＳ ゴシック" w:eastAsia="ＭＳ ゴシック" w:hAnsi="ＭＳ ゴシック"/>
                          <w:sz w:val="20"/>
                          <w:szCs w:val="20"/>
                        </w:rPr>
                      </w:pPr>
                      <w:r w:rsidRPr="00F51BEC">
                        <w:rPr>
                          <w:rFonts w:ascii="ＭＳ ゴシック" w:eastAsia="ＭＳ ゴシック" w:hAnsi="ＭＳ ゴシック" w:hint="eastAsia"/>
                          <w:sz w:val="20"/>
                          <w:szCs w:val="20"/>
                        </w:rPr>
                        <w:t>・飲料水</w:t>
                      </w:r>
                    </w:p>
                    <w:p w14:paraId="44427896" w14:textId="77777777" w:rsidR="006A5267" w:rsidRPr="00F51BEC" w:rsidRDefault="006A5267" w:rsidP="008B4B2B">
                      <w:pPr>
                        <w:spacing w:line="240" w:lineRule="exact"/>
                        <w:rPr>
                          <w:rFonts w:ascii="ＭＳ ゴシック" w:eastAsia="ＭＳ ゴシック" w:hAnsi="ＭＳ ゴシック"/>
                          <w:sz w:val="20"/>
                          <w:szCs w:val="20"/>
                        </w:rPr>
                      </w:pPr>
                      <w:r w:rsidRPr="00F51BEC">
                        <w:rPr>
                          <w:rFonts w:ascii="ＭＳ ゴシック" w:eastAsia="ＭＳ ゴシック" w:hAnsi="ＭＳ ゴシック" w:hint="eastAsia"/>
                          <w:sz w:val="20"/>
                          <w:szCs w:val="20"/>
                        </w:rPr>
                        <w:t>・食料</w:t>
                      </w:r>
                    </w:p>
                    <w:p w14:paraId="4518DCE5" w14:textId="77777777" w:rsidR="006A5267" w:rsidRPr="00F51BEC" w:rsidRDefault="006A5267" w:rsidP="008B4B2B">
                      <w:pPr>
                        <w:spacing w:line="240" w:lineRule="exact"/>
                        <w:ind w:left="201" w:hangingChars="100" w:hanging="201"/>
                        <w:rPr>
                          <w:rFonts w:ascii="ＭＳ ゴシック" w:eastAsia="ＭＳ ゴシック" w:hAnsi="ＭＳ ゴシック"/>
                          <w:sz w:val="20"/>
                          <w:szCs w:val="20"/>
                        </w:rPr>
                      </w:pPr>
                      <w:r w:rsidRPr="00F51BEC">
                        <w:rPr>
                          <w:rFonts w:ascii="ＭＳ ゴシック" w:eastAsia="ＭＳ ゴシック" w:hAnsi="ＭＳ ゴシック" w:hint="eastAsia"/>
                          <w:sz w:val="20"/>
                          <w:szCs w:val="20"/>
                        </w:rPr>
                        <w:t>・生活必需品など</w:t>
                      </w:r>
                    </w:p>
                    <w:p w14:paraId="65DF2531" w14:textId="77777777" w:rsidR="006A5267" w:rsidRPr="00F51BEC" w:rsidRDefault="006A5267" w:rsidP="008B4B2B"/>
                  </w:txbxContent>
                </v:textbox>
              </v:shape>
            </w:pict>
          </mc:Fallback>
        </mc:AlternateContent>
      </w:r>
    </w:p>
    <w:p w14:paraId="4E589C1F" w14:textId="77777777" w:rsidR="008B4B2B" w:rsidRPr="001D6D10" w:rsidRDefault="008B4B2B" w:rsidP="008B4B2B">
      <w:pPr>
        <w:pStyle w:val="a0"/>
        <w:spacing w:line="340" w:lineRule="exact"/>
        <w:rPr>
          <w:rFonts w:ascii="ＭＳ ゴシック" w:eastAsia="ＭＳ ゴシック"/>
          <w:sz w:val="22"/>
          <w:szCs w:val="22"/>
        </w:rPr>
      </w:pPr>
    </w:p>
    <w:p w14:paraId="386A39F0" w14:textId="77777777" w:rsidR="008B4B2B" w:rsidRPr="001D6D10" w:rsidRDefault="008B4B2B" w:rsidP="008B4B2B">
      <w:pPr>
        <w:pStyle w:val="a0"/>
        <w:spacing w:line="340" w:lineRule="exact"/>
        <w:rPr>
          <w:rFonts w:ascii="ＭＳ ゴシック" w:eastAsia="ＭＳ ゴシック"/>
          <w:sz w:val="22"/>
          <w:szCs w:val="22"/>
        </w:rPr>
      </w:pPr>
    </w:p>
    <w:p w14:paraId="5E3D7C82" w14:textId="77777777" w:rsidR="008B4B2B" w:rsidRPr="001D6D10" w:rsidRDefault="008B4B2B" w:rsidP="008B4B2B">
      <w:pPr>
        <w:pStyle w:val="a0"/>
        <w:spacing w:line="340" w:lineRule="exact"/>
        <w:rPr>
          <w:rFonts w:ascii="ＭＳ ゴシック" w:eastAsia="ＭＳ ゴシック"/>
          <w:sz w:val="22"/>
          <w:szCs w:val="22"/>
        </w:rPr>
      </w:pPr>
    </w:p>
    <w:p w14:paraId="77DE7CA3" w14:textId="77777777" w:rsidR="008B4B2B" w:rsidRPr="001D6D10" w:rsidRDefault="008B4B2B" w:rsidP="008B4B2B">
      <w:pPr>
        <w:pStyle w:val="a0"/>
        <w:spacing w:line="340" w:lineRule="exact"/>
        <w:rPr>
          <w:rFonts w:ascii="ＭＳ ゴシック" w:eastAsia="ＭＳ ゴシック"/>
          <w:sz w:val="22"/>
          <w:szCs w:val="22"/>
        </w:rPr>
      </w:pPr>
      <w:r w:rsidRPr="001D6D10">
        <w:rPr>
          <w:rFonts w:ascii="ＭＳ ゴシック" w:eastAsia="ＭＳ ゴシック" w:hint="eastAsia"/>
          <w:noProof/>
          <w:sz w:val="22"/>
          <w:szCs w:val="22"/>
        </w:rPr>
        <mc:AlternateContent>
          <mc:Choice Requires="wps">
            <w:drawing>
              <wp:anchor distT="0" distB="0" distL="114300" distR="114300" simplePos="0" relativeHeight="253960192" behindDoc="0" locked="0" layoutInCell="1" allowOverlap="1" wp14:anchorId="42A16022" wp14:editId="39703318">
                <wp:simplePos x="0" y="0"/>
                <wp:positionH relativeFrom="column">
                  <wp:posOffset>3536206</wp:posOffset>
                </wp:positionH>
                <wp:positionV relativeFrom="paragraph">
                  <wp:posOffset>143262</wp:posOffset>
                </wp:positionV>
                <wp:extent cx="159026" cy="158363"/>
                <wp:effectExtent l="19050" t="0" r="12700" b="32385"/>
                <wp:wrapNone/>
                <wp:docPr id="2813" name="下矢印 2813"/>
                <wp:cNvGraphicFramePr/>
                <a:graphic xmlns:a="http://schemas.openxmlformats.org/drawingml/2006/main">
                  <a:graphicData uri="http://schemas.microsoft.com/office/word/2010/wordprocessingShape">
                    <wps:wsp>
                      <wps:cNvSpPr/>
                      <wps:spPr>
                        <a:xfrm>
                          <a:off x="0" y="0"/>
                          <a:ext cx="159026" cy="158363"/>
                        </a:xfrm>
                        <a:prstGeom prst="downArrow">
                          <a:avLst/>
                        </a:prstGeom>
                        <a:noFill/>
                        <a:ln w="9525" cap="flat" cmpd="sng" algn="ctr">
                          <a:solidFill>
                            <a:sysClr val="windowText" lastClr="000000"/>
                          </a:solidFill>
                          <a:prstDash val="solid"/>
                          <a:tailEnd type="triangle"/>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shape w14:anchorId="5E4DFFC0" id="下矢印 2813" o:spid="_x0000_s1026" type="#_x0000_t67" style="position:absolute;left:0;text-align:left;margin-left:278.45pt;margin-top:11.3pt;width:12.5pt;height:12.45pt;z-index:253960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" adj="10800" filled="f" strokecolor="windowText">
                <v:stroke endarrow="block"/>
              </v:shape>
            </w:pict>
          </mc:Fallback>
        </mc:AlternateContent>
      </w:r>
      <w:r w:rsidRPr="001D6D10">
        <w:rPr>
          <w:rFonts w:ascii="ＭＳ ゴシック" w:eastAsia="ＭＳ ゴシック" w:hint="eastAsia"/>
          <w:noProof/>
          <w:sz w:val="22"/>
          <w:szCs w:val="22"/>
        </w:rPr>
        <mc:AlternateContent>
          <mc:Choice Requires="wps">
            <w:drawing>
              <wp:anchor distT="0" distB="0" distL="114300" distR="114300" simplePos="0" relativeHeight="253957120" behindDoc="0" locked="0" layoutInCell="1" allowOverlap="1" wp14:anchorId="2F501104" wp14:editId="2064EEC5">
                <wp:simplePos x="0" y="0"/>
                <wp:positionH relativeFrom="column">
                  <wp:posOffset>2788782</wp:posOffset>
                </wp:positionH>
                <wp:positionV relativeFrom="paragraph">
                  <wp:posOffset>182935</wp:posOffset>
                </wp:positionV>
                <wp:extent cx="1917672" cy="524483"/>
                <wp:effectExtent l="0" t="57150" r="6985" b="28575"/>
                <wp:wrapNone/>
                <wp:docPr id="2810" name="直線矢印コネクタ 2810"/>
                <wp:cNvGraphicFramePr/>
                <a:graphic xmlns:a="http://schemas.openxmlformats.org/drawingml/2006/main">
                  <a:graphicData uri="http://schemas.microsoft.com/office/word/2010/wordprocessingShape">
                    <wps:wsp>
                      <wps:cNvCnPr/>
                      <wps:spPr>
                        <a:xfrm flipV="1">
                          <a:off x="0" y="0"/>
                          <a:ext cx="1917672" cy="524483"/>
                        </a:xfrm>
                        <a:prstGeom prst="straightConnector1">
                          <a:avLst/>
                        </a:prstGeom>
                        <a:noFill/>
                        <a:ln w="9525" cap="flat" cmpd="sng" algn="ctr">
                          <a:solidFill>
                            <a:sysClr val="windowText" lastClr="000000"/>
                          </a:solidFill>
                          <a:prstDash val="dash"/>
                          <a:tailEnd type="arrow"/>
                        </a:ln>
                        <a:effectLst/>
                      </wps:spPr>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shape w14:anchorId="666DD824" id="直線矢印コネクタ 2810" o:spid="_x0000_s1026" type="#_x0000_t32" style="position:absolute;left:0;text-align:left;margin-left:219.6pt;margin-top:14.4pt;width:151pt;height:41.3pt;flip:y;z-index:2539571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" strokecolor="windowText">
                <v:stroke dashstyle="dash" endarrow="open"/>
              </v:shape>
            </w:pict>
          </mc:Fallback>
        </mc:AlternateContent>
      </w:r>
      <w:r w:rsidRPr="001D6D10">
        <w:rPr>
          <w:rFonts w:ascii="ＭＳ ゴシック" w:eastAsia="ＭＳ ゴシック" w:hint="eastAsia"/>
          <w:noProof/>
          <w:sz w:val="22"/>
          <w:szCs w:val="22"/>
        </w:rPr>
        <mc:AlternateContent>
          <mc:Choice Requires="wps">
            <w:drawing>
              <wp:anchor distT="0" distB="0" distL="114300" distR="114300" simplePos="0" relativeHeight="253955072" behindDoc="0" locked="0" layoutInCell="1" allowOverlap="1" wp14:anchorId="5F299268" wp14:editId="5B28C73E">
                <wp:simplePos x="0" y="0"/>
                <wp:positionH relativeFrom="column">
                  <wp:posOffset>2804685</wp:posOffset>
                </wp:positionH>
                <wp:positionV relativeFrom="paragraph">
                  <wp:posOffset>151213</wp:posOffset>
                </wp:positionV>
                <wp:extent cx="1264257" cy="540578"/>
                <wp:effectExtent l="0" t="38100" r="50800" b="31115"/>
                <wp:wrapNone/>
                <wp:docPr id="2808" name="直線矢印コネクタ 2808"/>
                <wp:cNvGraphicFramePr/>
                <a:graphic xmlns:a="http://schemas.openxmlformats.org/drawingml/2006/main">
                  <a:graphicData uri="http://schemas.microsoft.com/office/word/2010/wordprocessingShape">
                    <wps:wsp>
                      <wps:cNvCnPr/>
                      <wps:spPr>
                        <a:xfrm flipV="1">
                          <a:off x="0" y="0"/>
                          <a:ext cx="1264257" cy="540578"/>
                        </a:xfrm>
                        <a:prstGeom prst="straightConnector1">
                          <a:avLst/>
                        </a:prstGeom>
                        <a:noFill/>
                        <a:ln w="9525" cap="flat" cmpd="sng" algn="ctr">
                          <a:solidFill>
                            <a:sysClr val="windowText" lastClr="000000"/>
                          </a:solidFill>
                          <a:prstDash val="solid"/>
                          <a:tailEnd type="arrow"/>
                        </a:ln>
                        <a:effectLst/>
                      </wps:spPr>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shape w14:anchorId="7FAD0CA9" id="直線矢印コネクタ 2808" o:spid="_x0000_s1026" type="#_x0000_t32" style="position:absolute;left:0;text-align:left;margin-left:220.85pt;margin-top:11.9pt;width:99.55pt;height:42.55pt;flip:y;z-index:2539550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" strokecolor="windowText">
                <v:stroke endarrow="open"/>
              </v:shape>
            </w:pict>
          </mc:Fallback>
        </mc:AlternateContent>
      </w:r>
      <w:r w:rsidRPr="001D6D10">
        <w:rPr>
          <w:rFonts w:ascii="ＭＳ ゴシック" w:eastAsia="ＭＳ ゴシック" w:hint="eastAsia"/>
          <w:noProof/>
          <w:sz w:val="22"/>
          <w:szCs w:val="22"/>
        </w:rPr>
        <mc:AlternateContent>
          <mc:Choice Requires="wps">
            <w:drawing>
              <wp:anchor distT="0" distB="0" distL="114300" distR="114300" simplePos="0" relativeHeight="253947904" behindDoc="0" locked="0" layoutInCell="1" allowOverlap="1" wp14:anchorId="087C7F98" wp14:editId="467080E5">
                <wp:simplePos x="0" y="0"/>
                <wp:positionH relativeFrom="column">
                  <wp:posOffset>1880870</wp:posOffset>
                </wp:positionH>
                <wp:positionV relativeFrom="paragraph">
                  <wp:posOffset>182245</wp:posOffset>
                </wp:positionV>
                <wp:extent cx="679450" cy="371475"/>
                <wp:effectExtent l="38100" t="0" r="63500" b="47625"/>
                <wp:wrapNone/>
                <wp:docPr id="3928" name="AutoShape 259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79450" cy="371475"/>
                        </a:xfrm>
                        <a:prstGeom prst="downArrow">
                          <a:avLst>
                            <a:gd name="adj1" fmla="val 50000"/>
                            <a:gd name="adj2" fmla="val 25000"/>
                          </a:avLst>
                        </a:prstGeom>
                        <a:solidFill>
                          <a:srgbClr val="FFFFFF"/>
                        </a:solidFill>
                        <a:ln w="9525">
                          <a:solidFill>
                            <a:srgbClr val="000000"/>
                          </a:solidFill>
                          <a:miter lim="800000"/>
                          <a:headEnd/>
                          <a:tailEnd/>
                        </a:ln>
                      </wps:spPr>
                      <wps:txbx>
                        <w:txbxContent>
                          <w:p w14:paraId="46F2B77E" w14:textId="77777777" w:rsidR="006A5267" w:rsidRPr="00F235E7" w:rsidRDefault="006A5267" w:rsidP="008B4B2B">
                            <w:pPr>
                              <w:jc w:val="center"/>
                              <w:rPr>
                                <w:rFonts w:ascii="ＭＳ ゴシック" w:eastAsia="ＭＳ ゴシック" w:hAnsi="ＭＳ ゴシック"/>
                              </w:rPr>
                            </w:pPr>
                            <w:r w:rsidRPr="00F235E7">
                              <w:rPr>
                                <w:rFonts w:ascii="ＭＳ ゴシック" w:eastAsia="ＭＳ ゴシック" w:hAnsi="ＭＳ ゴシック" w:hint="eastAsia"/>
                              </w:rPr>
                              <w:t>要請</w:t>
                            </w:r>
                          </w:p>
                        </w:txbxContent>
                      </wps:txbx>
                      <wps:bodyPr rot="0" vert="eaVert" wrap="square" lIns="74295" tIns="8890" rIns="74295" bIns="8890" anchor="ctr" anchorCtr="0" upright="1">
                        <a:noAutofit/>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shape w14:anchorId="087C7F98" id="AutoShape 2598" o:spid="_x0000_s1509" type="#_x0000_t67" style="position:absolute;left:0;text-align:left;margin-left:148.1pt;margin-top:14.35pt;width:53.5pt;height:29.25pt;z-index:2539479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">
                <v:textbox style="layout-flow:vertical-ideographic" inset="5.85pt,.7pt,5.85pt,.7pt">
                  <w:txbxContent>
                    <w:p w14:paraId="46F2B77E" w14:textId="77777777" w:rsidR="006A5267" w:rsidRPr="00F235E7" w:rsidRDefault="006A5267" w:rsidP="008B4B2B">
                      <w:pPr>
                        <w:jc w:val="center"/>
                        <w:rPr>
                          <w:rFonts w:ascii="ＭＳ ゴシック" w:eastAsia="ＭＳ ゴシック" w:hAnsi="ＭＳ ゴシック"/>
                        </w:rPr>
                      </w:pPr>
                      <w:r w:rsidRPr="00F235E7">
                        <w:rPr>
                          <w:rFonts w:ascii="ＭＳ ゴシック" w:eastAsia="ＭＳ ゴシック" w:hAnsi="ＭＳ ゴシック" w:hint="eastAsia"/>
                        </w:rPr>
                        <w:t>要請</w:t>
                      </w:r>
                    </w:p>
                  </w:txbxContent>
                </v:textbox>
              </v:shape>
            </w:pict>
          </mc:Fallback>
        </mc:AlternateContent>
      </w:r>
    </w:p>
    <w:p w14:paraId="2D606B42" w14:textId="77777777" w:rsidR="008B4B2B" w:rsidRPr="001D6D10" w:rsidRDefault="008B4B2B" w:rsidP="008B4B2B">
      <w:pPr>
        <w:pStyle w:val="a0"/>
        <w:spacing w:line="340" w:lineRule="exact"/>
        <w:rPr>
          <w:rFonts w:ascii="ＭＳ ゴシック" w:eastAsia="ＭＳ ゴシック"/>
          <w:sz w:val="22"/>
          <w:szCs w:val="22"/>
        </w:rPr>
      </w:pPr>
      <w:r w:rsidRPr="001D6D10">
        <w:rPr>
          <w:noProof/>
        </w:rPr>
        <mc:AlternateContent>
          <mc:Choice Requires="wps">
            <w:drawing>
              <wp:anchor distT="0" distB="0" distL="114300" distR="114300" simplePos="0" relativeHeight="253958144" behindDoc="0" locked="0" layoutInCell="1" allowOverlap="1" wp14:anchorId="104D5FF8" wp14:editId="650DB631">
                <wp:simplePos x="0" y="0"/>
                <wp:positionH relativeFrom="column">
                  <wp:posOffset>3268787</wp:posOffset>
                </wp:positionH>
                <wp:positionV relativeFrom="paragraph">
                  <wp:posOffset>111511</wp:posOffset>
                </wp:positionV>
                <wp:extent cx="571500" cy="228600"/>
                <wp:effectExtent l="0" t="0" r="19050" b="19050"/>
                <wp:wrapNone/>
                <wp:docPr id="2811" name="Text Box 258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1500" cy="228600"/>
                        </a:xfrm>
                        <a:prstGeom prst="rect">
                          <a:avLst/>
                        </a:prstGeom>
                        <a:solidFill>
                          <a:srgbClr val="FFFFFF"/>
                        </a:solidFill>
                        <a:ln w="9525">
                          <a:solidFill>
                            <a:srgbClr val="000000"/>
                          </a:solidFill>
                          <a:prstDash val="sysDot"/>
                          <a:miter lim="800000"/>
                          <a:headEnd/>
                          <a:tailEnd/>
                        </a:ln>
                      </wps:spPr>
                      <wps:txbx>
                        <w:txbxContent>
                          <w:p w14:paraId="177954F9" w14:textId="77777777" w:rsidR="006A5267" w:rsidRPr="004329E6" w:rsidRDefault="006A5267" w:rsidP="008B4B2B">
                            <w:pPr>
                              <w:jc w:val="center"/>
                              <w:rPr>
                                <w:rFonts w:ascii="ＭＳ ゴシック" w:eastAsia="ＭＳ ゴシック" w:hAnsi="ＭＳ ゴシック"/>
                                <w:sz w:val="20"/>
                                <w:szCs w:val="20"/>
                              </w:rPr>
                            </w:pPr>
                            <w:r>
                              <w:rPr>
                                <w:rFonts w:ascii="ＭＳ ゴシック" w:eastAsia="ＭＳ ゴシック" w:hAnsi="ＭＳ ゴシック" w:hint="eastAsia"/>
                                <w:sz w:val="20"/>
                                <w:szCs w:val="20"/>
                              </w:rPr>
                              <w:t>輸送</w:t>
                            </w:r>
                          </w:p>
                        </w:txbxContent>
                      </wps:txbx>
                      <wps:bodyPr rot="0" vert="horz" wrap="square" lIns="74295" tIns="8890" rIns="74295" bIns="8890" anchor="t" anchorCtr="0" upright="1">
                        <a:noAutofit/>
                      </wps:bodyPr>
                    </wps:wsp>
                  </a:graphicData>
                </a:graphic>
              </wp:anchor>
            </w:drawing>
          </mc:Choice>
          <mc:Fallback xmlns:w16cei="http://schemas.microsoft.com/office/word/2026/wordml/cei">
            <w:pict>
              <v:shape w14:anchorId="104D5FF8" id="_x0000_s1510" type="#_x0000_t202" style="position:absolute;left:0;text-align:left;margin-left:257.4pt;margin-top:8.8pt;width:45pt;height:18pt;z-index:25395814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">
                <v:stroke dashstyle="1 1"/>
                <v:textbox inset="5.85pt,.7pt,5.85pt,.7pt">
                  <w:txbxContent>
                    <w:p w14:paraId="177954F9" w14:textId="77777777" w:rsidR="006A5267" w:rsidRPr="004329E6" w:rsidRDefault="006A5267" w:rsidP="008B4B2B">
                      <w:pPr>
                        <w:jc w:val="center"/>
                        <w:rPr>
                          <w:rFonts w:ascii="ＭＳ ゴシック" w:eastAsia="ＭＳ ゴシック" w:hAnsi="ＭＳ ゴシック"/>
                          <w:sz w:val="20"/>
                          <w:szCs w:val="20"/>
                        </w:rPr>
                      </w:pPr>
                      <w:r>
                        <w:rPr>
                          <w:rFonts w:ascii="ＭＳ ゴシック" w:eastAsia="ＭＳ ゴシック" w:hAnsi="ＭＳ ゴシック" w:hint="eastAsia"/>
                          <w:sz w:val="20"/>
                          <w:szCs w:val="20"/>
                        </w:rPr>
                        <w:t>輸送</w:t>
                      </w:r>
                    </w:p>
                  </w:txbxContent>
                </v:textbox>
              </v:shape>
            </w:pict>
          </mc:Fallback>
        </mc:AlternateContent>
      </w:r>
    </w:p>
    <w:p w14:paraId="66FF8822" w14:textId="77777777" w:rsidR="008B4B2B" w:rsidRPr="001D6D10" w:rsidRDefault="008B4B2B" w:rsidP="008B4B2B">
      <w:pPr>
        <w:pStyle w:val="a0"/>
        <w:spacing w:line="340" w:lineRule="exact"/>
        <w:rPr>
          <w:rFonts w:ascii="ＭＳ ゴシック" w:eastAsia="ＭＳ ゴシック"/>
          <w:sz w:val="22"/>
          <w:szCs w:val="22"/>
        </w:rPr>
      </w:pPr>
      <w:r w:rsidRPr="001D6D10">
        <w:rPr>
          <w:rFonts w:ascii="ＭＳ ゴシック" w:eastAsia="ＭＳ ゴシック" w:hint="eastAsia"/>
          <w:noProof/>
          <w:sz w:val="22"/>
          <w:szCs w:val="22"/>
        </w:rPr>
        <mc:AlternateContent>
          <mc:Choice Requires="wps">
            <w:drawing>
              <wp:anchor distT="0" distB="0" distL="114300" distR="114300" simplePos="0" relativeHeight="253946880" behindDoc="0" locked="0" layoutInCell="1" allowOverlap="1" wp14:anchorId="2F2A3BA3" wp14:editId="5A13704F">
                <wp:simplePos x="0" y="0"/>
                <wp:positionH relativeFrom="column">
                  <wp:posOffset>1645920</wp:posOffset>
                </wp:positionH>
                <wp:positionV relativeFrom="paragraph">
                  <wp:posOffset>121920</wp:posOffset>
                </wp:positionV>
                <wp:extent cx="1143000" cy="314325"/>
                <wp:effectExtent l="7620" t="7620" r="11430" b="11430"/>
                <wp:wrapNone/>
                <wp:docPr id="3927" name="AutoShape 259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43000" cy="314325"/>
                        </a:xfrm>
                        <a:prstGeom prst="roundRect">
                          <a:avLst>
                            <a:gd name="adj" fmla="val 16667"/>
                          </a:avLst>
                        </a:prstGeom>
                        <a:solidFill>
                          <a:srgbClr val="FFFFFF"/>
                        </a:solidFill>
                        <a:ln w="9525">
                          <a:solidFill>
                            <a:srgbClr val="000000"/>
                          </a:solidFill>
                          <a:round/>
                          <a:headEnd/>
                          <a:tailEnd/>
                        </a:ln>
                      </wps:spPr>
                      <wps:txbx>
                        <w:txbxContent>
                          <w:p w14:paraId="16CCA539" w14:textId="77777777" w:rsidR="006A5267" w:rsidRPr="00F235E7" w:rsidRDefault="006A5267" w:rsidP="008B4B2B">
                            <w:pPr>
                              <w:jc w:val="center"/>
                              <w:rPr>
                                <w:rFonts w:ascii="ＭＳ ゴシック" w:eastAsia="ＭＳ ゴシック" w:hAnsi="ＭＳ ゴシック"/>
                              </w:rPr>
                            </w:pPr>
                            <w:r w:rsidRPr="00F235E7">
                              <w:rPr>
                                <w:rFonts w:ascii="ＭＳ ゴシック" w:eastAsia="ＭＳ ゴシック" w:hAnsi="ＭＳ ゴシック" w:hint="eastAsia"/>
                              </w:rPr>
                              <w:t>協定締結先等</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roundrect w14:anchorId="2F2A3BA3" id="AutoShape 2597" o:spid="_x0000_s1511" style="position:absolute;left:0;text-align:left;margin-left:129.6pt;margin-top:9.6pt;width:90pt;height:24.75pt;z-index:2539468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">
                <v:textbox inset="5.85pt,.7pt,5.85pt,.7pt">
                  <w:txbxContent>
                    <w:p w14:paraId="16CCA539" w14:textId="77777777" w:rsidR="006A5267" w:rsidRPr="00F235E7" w:rsidRDefault="006A5267" w:rsidP="008B4B2B">
                      <w:pPr>
                        <w:jc w:val="center"/>
                        <w:rPr>
                          <w:rFonts w:ascii="ＭＳ ゴシック" w:eastAsia="ＭＳ ゴシック" w:hAnsi="ＭＳ ゴシック"/>
                        </w:rPr>
                      </w:pPr>
                      <w:r w:rsidRPr="00F235E7">
                        <w:rPr>
                          <w:rFonts w:ascii="ＭＳ ゴシック" w:eastAsia="ＭＳ ゴシック" w:hAnsi="ＭＳ ゴシック" w:hint="eastAsia"/>
                        </w:rPr>
                        <w:t>協定締結先等</w:t>
                      </w:r>
                    </w:p>
                  </w:txbxContent>
                </v:textbox>
              </v:roundrect>
            </w:pict>
          </mc:Fallback>
        </mc:AlternateContent>
      </w:r>
    </w:p>
    <w:p w14:paraId="7416734A" w14:textId="77777777" w:rsidR="008B4B2B" w:rsidRPr="001D6D10" w:rsidRDefault="008B4B2B" w:rsidP="008B4B2B">
      <w:pPr>
        <w:pStyle w:val="a0"/>
        <w:spacing w:line="340" w:lineRule="exact"/>
        <w:rPr>
          <w:rFonts w:ascii="ＭＳ ゴシック" w:eastAsia="ＭＳ ゴシック"/>
          <w:sz w:val="22"/>
          <w:szCs w:val="22"/>
        </w:rPr>
      </w:pPr>
    </w:p>
    <w:p w14:paraId="6EC5FBAE" w14:textId="77777777" w:rsidR="009162EB" w:rsidRDefault="008B4B2B" w:rsidP="008B4B2B">
      <w:pPr>
        <w:pStyle w:val="a0"/>
        <w:spacing w:line="340" w:lineRule="exact"/>
        <w:rPr>
          <w:rFonts w:ascii="ＭＳ ゴシック" w:eastAsia="ＭＳ ゴシック"/>
          <w:sz w:val="22"/>
          <w:szCs w:val="22"/>
        </w:rPr>
      </w:pPr>
      <w:r w:rsidRPr="001D6D10">
        <w:rPr>
          <w:rFonts w:ascii="ＭＳ ゴシック" w:eastAsia="ＭＳ ゴシック" w:hint="eastAsia"/>
          <w:sz w:val="22"/>
          <w:szCs w:val="22"/>
        </w:rPr>
        <w:t xml:space="preserve">　　　</w:t>
      </w:r>
    </w:p>
    <w:p w14:paraId="1C51D027" w14:textId="67E246E0" w:rsidR="008B4B2B" w:rsidRPr="001D6D10" w:rsidRDefault="008B4B2B" w:rsidP="00E0548A">
      <w:pPr>
        <w:pStyle w:val="a0"/>
        <w:spacing w:line="340" w:lineRule="exact"/>
        <w:ind w:firstLineChars="256" w:firstLine="566"/>
        <w:rPr>
          <w:rFonts w:ascii="ＭＳ ゴシック" w:eastAsia="ＭＳ ゴシック"/>
          <w:sz w:val="22"/>
          <w:szCs w:val="22"/>
          <w:u w:val="single"/>
        </w:rPr>
      </w:pPr>
      <w:r w:rsidRPr="001D6D10">
        <w:rPr>
          <w:rFonts w:ascii="ＭＳ ゴシック" w:eastAsia="ＭＳ ゴシック" w:hint="eastAsia"/>
          <w:sz w:val="22"/>
          <w:szCs w:val="22"/>
          <w:u w:val="single"/>
        </w:rPr>
        <w:t>１　物資等の運用要請</w:t>
      </w:r>
      <w:r w:rsidRPr="001D6D10">
        <w:rPr>
          <w:rFonts w:ascii="ＭＳ ゴシック" w:eastAsia="ＭＳ ゴシック" w:hint="eastAsia"/>
          <w:sz w:val="22"/>
          <w:szCs w:val="22"/>
          <w:u w:val="single"/>
          <w:shd w:val="pct15" w:color="auto" w:fill="FFFFFF"/>
        </w:rPr>
        <w:t>【第３フェーズ～】</w:t>
      </w:r>
    </w:p>
    <w:p w14:paraId="09AB1BCC" w14:textId="77777777" w:rsidR="008B4B2B" w:rsidRPr="001D6D10" w:rsidRDefault="008B4B2B" w:rsidP="008B4B2B">
      <w:pPr>
        <w:overflowPunct w:val="0"/>
        <w:autoSpaceDE w:val="0"/>
        <w:autoSpaceDN w:val="0"/>
        <w:spacing w:line="340" w:lineRule="exact"/>
        <w:ind w:leftChars="401" w:left="847" w:firstLineChars="100" w:firstLine="221"/>
        <w:rPr>
          <w:rFonts w:ascii="ＭＳ ゴシック" w:eastAsia="ＭＳ ゴシック" w:hAnsi="ＭＳ ゴシック"/>
          <w:sz w:val="22"/>
          <w:szCs w:val="22"/>
          <w:bdr w:val="single" w:sz="4" w:space="0" w:color="auto"/>
        </w:rPr>
      </w:pPr>
      <w:r w:rsidRPr="001D6D10">
        <w:rPr>
          <w:rFonts w:ascii="ＭＳ ゴシック" w:eastAsia="ＭＳ ゴシック" w:hAnsi="ＭＳ ゴシック" w:hint="eastAsia"/>
          <w:sz w:val="22"/>
          <w:szCs w:val="22"/>
          <w:bdr w:val="single" w:sz="4" w:space="0" w:color="auto"/>
        </w:rPr>
        <w:t>主たる担当：危機管理室</w:t>
      </w:r>
    </w:p>
    <w:p w14:paraId="04561A5C" w14:textId="35ACE938" w:rsidR="005B780B" w:rsidRPr="008A3EDE" w:rsidRDefault="005B780B" w:rsidP="007E668F">
      <w:pPr>
        <w:pStyle w:val="a0"/>
        <w:numPr>
          <w:ilvl w:val="0"/>
          <w:numId w:val="14"/>
        </w:numPr>
        <w:rPr>
          <w:sz w:val="22"/>
          <w:szCs w:val="22"/>
        </w:rPr>
      </w:pPr>
      <w:r w:rsidRPr="001D6D10">
        <w:rPr>
          <w:rFonts w:hint="eastAsia"/>
          <w:sz w:val="22"/>
          <w:szCs w:val="22"/>
        </w:rPr>
        <w:t xml:space="preserve">　　災害対策課</w:t>
      </w:r>
      <w:r w:rsidRPr="008A3EDE">
        <w:rPr>
          <w:rFonts w:hint="eastAsia"/>
          <w:sz w:val="22"/>
          <w:szCs w:val="22"/>
        </w:rPr>
        <w:t>長は、「</w:t>
      </w:r>
      <w:r w:rsidR="008E7875" w:rsidRPr="008A3EDE">
        <w:rPr>
          <w:rFonts w:hint="eastAsia"/>
          <w:sz w:val="22"/>
          <w:szCs w:val="22"/>
        </w:rPr>
        <w:t>新物資システム（B-</w:t>
      </w:r>
      <w:proofErr w:type="spellStart"/>
      <w:r w:rsidR="008E7875" w:rsidRPr="008A3EDE">
        <w:rPr>
          <w:sz w:val="22"/>
          <w:szCs w:val="22"/>
        </w:rPr>
        <w:t>PLo</w:t>
      </w:r>
      <w:proofErr w:type="spellEnd"/>
      <w:r w:rsidR="008E7875" w:rsidRPr="008A3EDE">
        <w:rPr>
          <w:rFonts w:hint="eastAsia"/>
          <w:sz w:val="22"/>
          <w:szCs w:val="22"/>
        </w:rPr>
        <w:t>）</w:t>
      </w:r>
      <w:r w:rsidRPr="008A3EDE">
        <w:rPr>
          <w:rFonts w:hint="eastAsia"/>
          <w:sz w:val="22"/>
          <w:szCs w:val="22"/>
        </w:rPr>
        <w:t>」を用いて必要な物資の種類・数量等の調整を図り、各防災拠点で受け入れ体制を確保する</w:t>
      </w:r>
    </w:p>
    <w:p w14:paraId="763DE634" w14:textId="77777777" w:rsidR="005B780B" w:rsidRPr="008A3EDE" w:rsidRDefault="005B780B" w:rsidP="008B4B2B">
      <w:pPr>
        <w:overflowPunct w:val="0"/>
        <w:autoSpaceDE w:val="0"/>
        <w:autoSpaceDN w:val="0"/>
        <w:spacing w:line="340" w:lineRule="exact"/>
        <w:ind w:leftChars="401" w:left="847" w:firstLineChars="100" w:firstLine="221"/>
        <w:rPr>
          <w:rFonts w:ascii="ＭＳ ゴシック" w:eastAsia="ＭＳ ゴシック" w:hAnsi="ＭＳ ゴシック"/>
          <w:sz w:val="22"/>
          <w:szCs w:val="22"/>
        </w:rPr>
      </w:pPr>
    </w:p>
    <w:p w14:paraId="3FB54E3B" w14:textId="77777777" w:rsidR="008B4B2B" w:rsidRPr="008A3EDE" w:rsidRDefault="008B4B2B" w:rsidP="007E668F">
      <w:pPr>
        <w:pStyle w:val="a0"/>
        <w:numPr>
          <w:ilvl w:val="0"/>
          <w:numId w:val="14"/>
        </w:numPr>
        <w:rPr>
          <w:sz w:val="22"/>
          <w:szCs w:val="22"/>
        </w:rPr>
      </w:pPr>
      <w:r w:rsidRPr="008A3EDE">
        <w:rPr>
          <w:rFonts w:hint="eastAsia"/>
          <w:sz w:val="22"/>
          <w:szCs w:val="22"/>
        </w:rPr>
        <w:t xml:space="preserve">　災害対策課長は、運送事業者である指定（地方）公共機関に対し、運送すべき物資又は資材並びに運送すべき場所及び期日を示して、当該災害応急対策の実施に必要な物資又は資材の運送を要請する。</w:t>
      </w:r>
    </w:p>
    <w:p w14:paraId="2986F24B" w14:textId="2D2F1856" w:rsidR="008B4B2B" w:rsidRPr="008A3EDE" w:rsidRDefault="008B4B2B" w:rsidP="008B4B2B">
      <w:pPr>
        <w:pStyle w:val="a0"/>
        <w:ind w:left="1260" w:rightChars="-53" w:right="-112" w:firstLineChars="100" w:firstLine="221"/>
        <w:rPr>
          <w:sz w:val="22"/>
          <w:szCs w:val="22"/>
        </w:rPr>
      </w:pPr>
      <w:r w:rsidRPr="008A3EDE">
        <w:rPr>
          <w:rFonts w:hint="eastAsia"/>
          <w:sz w:val="22"/>
          <w:szCs w:val="22"/>
        </w:rPr>
        <w:t>また「災害発生時の大阪府広域防災拠点等における物資の物流管理業務に関する協定（日本通運㈱）」や「災害発生時の物資等の緊急輸送に関する協定（(一社)大阪府トラック協会等）」に基づき、必要な人員や車両の派遣を要請する。</w:t>
      </w:r>
    </w:p>
    <w:p w14:paraId="02C577B5" w14:textId="39E18261" w:rsidR="00D47A70" w:rsidRPr="008A3EDE" w:rsidRDefault="00D47A70" w:rsidP="008B4B2B">
      <w:pPr>
        <w:pStyle w:val="a0"/>
        <w:ind w:left="1260" w:rightChars="-53" w:right="-112" w:firstLineChars="100" w:firstLine="221"/>
        <w:rPr>
          <w:sz w:val="22"/>
          <w:szCs w:val="22"/>
        </w:rPr>
      </w:pPr>
      <w:r w:rsidRPr="008A3EDE">
        <w:rPr>
          <w:rFonts w:hint="eastAsia"/>
          <w:sz w:val="22"/>
          <w:szCs w:val="22"/>
        </w:rPr>
        <w:t>加えて、物資の輸送にあたっては大阪府域救援物資対策協議会で定める</w:t>
      </w:r>
      <w:hyperlink r:id="rId28" w:history="1">
        <w:r w:rsidRPr="008A3EDE">
          <w:rPr>
            <w:rStyle w:val="ac"/>
            <w:rFonts w:hint="eastAsia"/>
            <w:color w:val="auto"/>
            <w:sz w:val="22"/>
            <w:szCs w:val="22"/>
          </w:rPr>
          <w:t>「</w:t>
        </w:r>
        <w:r w:rsidR="00E11D57" w:rsidRPr="008A3EDE">
          <w:rPr>
            <w:rStyle w:val="ac"/>
            <w:rFonts w:hint="eastAsia"/>
            <w:color w:val="auto"/>
            <w:sz w:val="22"/>
            <w:szCs w:val="22"/>
          </w:rPr>
          <w:t>大規模災害時における</w:t>
        </w:r>
        <w:r w:rsidRPr="008A3EDE">
          <w:rPr>
            <w:rStyle w:val="ac"/>
            <w:rFonts w:hint="eastAsia"/>
            <w:color w:val="auto"/>
            <w:sz w:val="22"/>
            <w:szCs w:val="22"/>
          </w:rPr>
          <w:t>救援物資配送マニュアル」</w:t>
        </w:r>
      </w:hyperlink>
      <w:r w:rsidRPr="008A3EDE">
        <w:rPr>
          <w:rFonts w:hint="eastAsia"/>
          <w:sz w:val="22"/>
          <w:szCs w:val="22"/>
        </w:rPr>
        <w:t>を参考に、輸送先及び輸送ルートを調整するものとする。</w:t>
      </w:r>
    </w:p>
    <w:p w14:paraId="3909FE50" w14:textId="77777777" w:rsidR="008B4B2B" w:rsidRPr="008A3EDE" w:rsidRDefault="008B4B2B" w:rsidP="008B4B2B">
      <w:pPr>
        <w:pStyle w:val="a0"/>
        <w:ind w:left="1260" w:rightChars="-53" w:right="-112" w:firstLineChars="100" w:firstLine="221"/>
        <w:rPr>
          <w:sz w:val="22"/>
          <w:szCs w:val="22"/>
        </w:rPr>
      </w:pPr>
    </w:p>
    <w:p w14:paraId="4F6E1F73" w14:textId="77777777" w:rsidR="008B4B2B" w:rsidRPr="008A3EDE" w:rsidRDefault="008B4B2B" w:rsidP="007E668F">
      <w:pPr>
        <w:pStyle w:val="a0"/>
        <w:numPr>
          <w:ilvl w:val="0"/>
          <w:numId w:val="14"/>
        </w:numPr>
        <w:rPr>
          <w:sz w:val="22"/>
          <w:szCs w:val="22"/>
        </w:rPr>
      </w:pPr>
      <w:r w:rsidRPr="008A3EDE">
        <w:rPr>
          <w:rFonts w:hint="eastAsia"/>
          <w:sz w:val="22"/>
          <w:szCs w:val="22"/>
        </w:rPr>
        <w:t xml:space="preserve">　災害対策課長は、「災害発生時等の物資等の緊急輸送に関する協定」、「災害時における救援物資の保管等に関する協定」「災害時における救援物資の受入及び配送等に関する協定」に基づき、救助・救援物資の受入、保管、輸送等に助言を得るため、大阪府災害対策本部に専門家の派遣を要請する。</w:t>
      </w:r>
    </w:p>
    <w:p w14:paraId="4EB95731" w14:textId="77777777" w:rsidR="008B4B2B" w:rsidRPr="008A3EDE" w:rsidRDefault="008B4B2B" w:rsidP="008B4B2B">
      <w:pPr>
        <w:pStyle w:val="a0"/>
        <w:ind w:left="1260"/>
        <w:rPr>
          <w:sz w:val="22"/>
          <w:szCs w:val="22"/>
        </w:rPr>
      </w:pPr>
    </w:p>
    <w:p w14:paraId="3752D987" w14:textId="77777777" w:rsidR="00340FF9" w:rsidRPr="008A3EDE" w:rsidRDefault="008B4B2B" w:rsidP="007E668F">
      <w:pPr>
        <w:pStyle w:val="a0"/>
        <w:numPr>
          <w:ilvl w:val="0"/>
          <w:numId w:val="14"/>
        </w:numPr>
        <w:rPr>
          <w:sz w:val="22"/>
          <w:szCs w:val="22"/>
        </w:rPr>
      </w:pPr>
      <w:r w:rsidRPr="008A3EDE">
        <w:rPr>
          <w:rFonts w:hint="eastAsia"/>
          <w:sz w:val="22"/>
          <w:szCs w:val="22"/>
        </w:rPr>
        <w:t xml:space="preserve">　災害対策課長は、救助・救援物資等について市町村から府へ要請があった場合は、</w:t>
      </w:r>
      <w:r w:rsidR="00F00EB5" w:rsidRPr="008A3EDE">
        <w:rPr>
          <w:rFonts w:hint="eastAsia"/>
          <w:sz w:val="22"/>
          <w:szCs w:val="22"/>
        </w:rPr>
        <w:t>民間企業や各種団体と締結している</w:t>
      </w:r>
      <w:r w:rsidRPr="008A3EDE">
        <w:rPr>
          <w:rFonts w:hint="eastAsia"/>
          <w:sz w:val="22"/>
          <w:szCs w:val="22"/>
        </w:rPr>
        <w:t>「災害時における物資供給及び防災活動への協力に関する協定」「災害発生時等の物資等の緊急輸送に関する協定」などを踏まえ、救助・救援物資等の確保、輸送を行うものとするが、災害の状況等により被災市町村からの要請を待ついとまがないときは、要請を待たず、救助・救援物資を確保し、輸送するものとする。</w:t>
      </w:r>
    </w:p>
    <w:p w14:paraId="006FEB03" w14:textId="77777777" w:rsidR="00F00EB5" w:rsidRPr="008A3EDE" w:rsidRDefault="00340FF9" w:rsidP="00340FF9">
      <w:pPr>
        <w:pStyle w:val="a0"/>
        <w:rPr>
          <w:sz w:val="22"/>
          <w:szCs w:val="22"/>
        </w:rPr>
      </w:pPr>
      <w:r w:rsidRPr="008A3EDE">
        <w:rPr>
          <w:rFonts w:hint="eastAsia"/>
          <w:sz w:val="22"/>
          <w:szCs w:val="22"/>
        </w:rPr>
        <w:t xml:space="preserve">　</w:t>
      </w:r>
    </w:p>
    <w:p w14:paraId="609772D5" w14:textId="77777777" w:rsidR="008B4B2B" w:rsidRPr="008A3EDE" w:rsidRDefault="008B4B2B" w:rsidP="008B4B2B">
      <w:pPr>
        <w:overflowPunct w:val="0"/>
        <w:autoSpaceDE w:val="0"/>
        <w:autoSpaceDN w:val="0"/>
        <w:spacing w:line="340" w:lineRule="exact"/>
        <w:ind w:firstLineChars="300" w:firstLine="663"/>
        <w:rPr>
          <w:rFonts w:ascii="ＭＳ ゴシック" w:eastAsia="ＭＳ ゴシック" w:hAnsi="ＭＳ ゴシック"/>
          <w:sz w:val="22"/>
          <w:szCs w:val="22"/>
          <w:u w:val="single"/>
        </w:rPr>
      </w:pPr>
      <w:r w:rsidRPr="008A3EDE">
        <w:rPr>
          <w:rFonts w:ascii="ＭＳ ゴシック" w:eastAsia="ＭＳ ゴシック" w:hAnsi="ＭＳ ゴシック" w:hint="eastAsia"/>
          <w:sz w:val="22"/>
          <w:szCs w:val="22"/>
          <w:u w:val="single"/>
        </w:rPr>
        <w:t>２　飲料水の供給</w:t>
      </w:r>
      <w:r w:rsidRPr="008A3EDE">
        <w:rPr>
          <w:rFonts w:ascii="ＭＳ ゴシック" w:eastAsia="ＭＳ ゴシック" w:hAnsi="ＭＳ ゴシック" w:hint="eastAsia"/>
          <w:sz w:val="22"/>
          <w:szCs w:val="22"/>
          <w:u w:val="single"/>
          <w:shd w:val="pct15" w:color="auto" w:fill="FFFFFF"/>
        </w:rPr>
        <w:t>【第１フェーズ～】</w:t>
      </w:r>
    </w:p>
    <w:p w14:paraId="2D1D3DAF" w14:textId="77777777" w:rsidR="008B4B2B" w:rsidRPr="008A3EDE" w:rsidRDefault="008B4B2B" w:rsidP="008B4B2B">
      <w:pPr>
        <w:overflowPunct w:val="0"/>
        <w:autoSpaceDE w:val="0"/>
        <w:autoSpaceDN w:val="0"/>
        <w:spacing w:line="340" w:lineRule="exact"/>
        <w:ind w:firstLineChars="500" w:firstLine="1105"/>
        <w:rPr>
          <w:rFonts w:ascii="ＭＳ ゴシック" w:eastAsia="ＭＳ ゴシック" w:hAnsi="ＭＳ ゴシック"/>
          <w:sz w:val="22"/>
          <w:szCs w:val="22"/>
        </w:rPr>
      </w:pPr>
      <w:r w:rsidRPr="008A3EDE">
        <w:rPr>
          <w:rFonts w:ascii="ＭＳ ゴシック" w:eastAsia="ＭＳ ゴシック" w:hAnsi="ＭＳ ゴシック" w:hint="eastAsia"/>
          <w:sz w:val="22"/>
          <w:szCs w:val="22"/>
          <w:bdr w:val="single" w:sz="4" w:space="0" w:color="auto"/>
        </w:rPr>
        <w:t>主たる担当：危機管理室、環境衛生課</w:t>
      </w:r>
    </w:p>
    <w:p w14:paraId="55D41B85" w14:textId="77777777" w:rsidR="008B4B2B" w:rsidRPr="008A3EDE" w:rsidRDefault="008B4B2B" w:rsidP="007E668F">
      <w:pPr>
        <w:numPr>
          <w:ilvl w:val="0"/>
          <w:numId w:val="15"/>
        </w:numPr>
        <w:autoSpaceDE w:val="0"/>
        <w:autoSpaceDN w:val="0"/>
        <w:adjustRightInd w:val="0"/>
        <w:jc w:val="left"/>
        <w:rPr>
          <w:rFonts w:ascii="ＭＳ 明朝" w:hAnsi="ＭＳ 明朝" w:cs="MSPMincho"/>
          <w:kern w:val="0"/>
          <w:sz w:val="22"/>
          <w:szCs w:val="22"/>
        </w:rPr>
      </w:pPr>
      <w:r w:rsidRPr="008A3EDE">
        <w:rPr>
          <w:rFonts w:ascii="ＭＳ 明朝" w:hAnsi="ＭＳ 明朝" w:hint="eastAsia"/>
          <w:sz w:val="22"/>
          <w:szCs w:val="22"/>
        </w:rPr>
        <w:t xml:space="preserve"> 給水体制の確立</w:t>
      </w:r>
      <w:r w:rsidRPr="008A3EDE">
        <w:rPr>
          <w:rFonts w:ascii="ＭＳ 明朝" w:hAnsi="ＭＳ 明朝" w:hint="eastAsia"/>
          <w:sz w:val="22"/>
          <w:szCs w:val="22"/>
          <w:shd w:val="pct15" w:color="auto" w:fill="FFFFFF"/>
        </w:rPr>
        <w:t>【第１フェーズ～】</w:t>
      </w:r>
    </w:p>
    <w:p w14:paraId="453098F4" w14:textId="2C4811CD" w:rsidR="008B4B2B" w:rsidRPr="008A3EDE" w:rsidRDefault="00D90277" w:rsidP="008B4B2B">
      <w:pPr>
        <w:autoSpaceDE w:val="0"/>
        <w:autoSpaceDN w:val="0"/>
        <w:adjustRightInd w:val="0"/>
        <w:ind w:left="1260"/>
        <w:jc w:val="left"/>
        <w:rPr>
          <w:rFonts w:ascii="ＭＳ 明朝" w:hAnsi="ＭＳ 明朝" w:cs="MSPGothic,Bold"/>
          <w:bCs/>
          <w:kern w:val="0"/>
          <w:sz w:val="22"/>
          <w:szCs w:val="22"/>
        </w:rPr>
      </w:pPr>
      <w:r w:rsidRPr="008A3EDE">
        <w:rPr>
          <w:rFonts w:ascii="ＭＳ 明朝" w:hAnsi="ＭＳ 明朝" w:cs="MSPGothic,Bold" w:hint="eastAsia"/>
          <w:bCs/>
          <w:kern w:val="0"/>
          <w:sz w:val="22"/>
          <w:szCs w:val="22"/>
        </w:rPr>
        <w:t>大阪府水道災害調整本部（本部長：生活衛生室長）</w:t>
      </w:r>
      <w:r w:rsidR="008B4B2B" w:rsidRPr="008A3EDE">
        <w:rPr>
          <w:rFonts w:ascii="ＭＳ 明朝" w:hAnsi="ＭＳ 明朝" w:cs="MSPGothic,Bold" w:hint="eastAsia"/>
          <w:bCs/>
          <w:kern w:val="0"/>
          <w:sz w:val="22"/>
          <w:szCs w:val="22"/>
        </w:rPr>
        <w:t>は、府内水道施設が被害を受けたときは、その被害・復旧状況に関する情報を収集する。</w:t>
      </w:r>
    </w:p>
    <w:p w14:paraId="7468A819" w14:textId="77C31662" w:rsidR="008B4B2B" w:rsidRPr="008A3EDE" w:rsidRDefault="008B4B2B" w:rsidP="008B4B2B">
      <w:pPr>
        <w:pStyle w:val="ad"/>
        <w:wordWrap/>
        <w:overflowPunct w:val="0"/>
        <w:spacing w:line="240" w:lineRule="auto"/>
        <w:ind w:left="1260"/>
        <w:rPr>
          <w:rFonts w:ascii="ＭＳ 明朝" w:hAnsi="ＭＳ 明朝" w:cs="MSPGothic,Bold"/>
          <w:bCs/>
        </w:rPr>
      </w:pPr>
      <w:r w:rsidRPr="008A3EDE">
        <w:rPr>
          <w:rFonts w:ascii="ＭＳ 明朝" w:hAnsi="ＭＳ 明朝" w:cs="MSPGothic,Bold" w:hint="eastAsia"/>
          <w:bCs/>
        </w:rPr>
        <w:t>また、府域内において市町村の水道事業、大阪広域水道企</w:t>
      </w:r>
    </w:p>
    <w:p w14:paraId="6E05B0A7" w14:textId="0853F862" w:rsidR="008B4B2B" w:rsidRPr="008A3EDE" w:rsidRDefault="008B4B2B" w:rsidP="008B4B2B">
      <w:pPr>
        <w:pStyle w:val="ad"/>
        <w:wordWrap/>
        <w:overflowPunct w:val="0"/>
        <w:spacing w:line="240" w:lineRule="auto"/>
        <w:ind w:leftChars="450" w:left="950" w:firstLine="1"/>
        <w:rPr>
          <w:rFonts w:ascii="ＭＳ ゴシック" w:eastAsia="ＭＳ ゴシック" w:hAnsi="ＭＳ ゴシック"/>
        </w:rPr>
      </w:pPr>
      <w:r w:rsidRPr="008A3EDE">
        <w:rPr>
          <w:rFonts w:ascii="ＭＳ 明朝" w:hAnsi="ＭＳ 明朝" w:cs="MSPGothic,Bold" w:hint="eastAsia"/>
          <w:bCs/>
        </w:rPr>
        <w:t>業団が相互に協力する必要があるときは</w:t>
      </w:r>
      <w:r w:rsidR="009162EB" w:rsidRPr="008A3EDE">
        <w:rPr>
          <w:rFonts w:ascii="ＭＳ 明朝" w:hAnsi="ＭＳ 明朝" w:cs="MSPGothic,Bold" w:hint="eastAsia"/>
          <w:bCs/>
        </w:rPr>
        <w:t>「大阪府域の水道災害における情報共有及び支援に関する協定」</w:t>
      </w:r>
      <w:r w:rsidRPr="008A3EDE">
        <w:rPr>
          <w:rFonts w:ascii="ＭＳ 明朝" w:hAnsi="ＭＳ 明朝" w:cs="MSPGothic,Bold" w:hint="eastAsia"/>
          <w:bCs/>
        </w:rPr>
        <w:t>を踏まえ、関係者と連携して給水体制を確立する。</w:t>
      </w:r>
    </w:p>
    <w:p w14:paraId="6B56F452" w14:textId="77777777" w:rsidR="008B4B2B" w:rsidRPr="008A3EDE" w:rsidRDefault="008B4B2B" w:rsidP="008B4B2B">
      <w:pPr>
        <w:autoSpaceDE w:val="0"/>
        <w:autoSpaceDN w:val="0"/>
        <w:adjustRightInd w:val="0"/>
        <w:ind w:firstLineChars="450" w:firstLine="995"/>
        <w:jc w:val="left"/>
        <w:rPr>
          <w:rFonts w:ascii="ＭＳ 明朝" w:hAnsi="ＭＳ 明朝" w:cs="MSPMincho"/>
          <w:kern w:val="0"/>
          <w:sz w:val="22"/>
          <w:szCs w:val="22"/>
        </w:rPr>
      </w:pPr>
      <w:r w:rsidRPr="008A3EDE">
        <w:rPr>
          <w:rFonts w:ascii="ＭＳ 明朝" w:hAnsi="ＭＳ 明朝" w:cs="MSPMincho" w:hint="eastAsia"/>
          <w:kern w:val="0"/>
          <w:sz w:val="22"/>
          <w:szCs w:val="22"/>
        </w:rPr>
        <w:t>(2)　供給の方法</w:t>
      </w:r>
    </w:p>
    <w:p w14:paraId="01E7DF29" w14:textId="457BE1FC" w:rsidR="008B4B2B" w:rsidRPr="008A3EDE" w:rsidRDefault="00D54233" w:rsidP="008B4B2B">
      <w:pPr>
        <w:autoSpaceDE w:val="0"/>
        <w:autoSpaceDN w:val="0"/>
        <w:adjustRightInd w:val="0"/>
        <w:ind w:firstLineChars="550" w:firstLine="1216"/>
        <w:jc w:val="left"/>
        <w:rPr>
          <w:rFonts w:ascii="ＭＳ 明朝" w:hAnsi="ＭＳ 明朝" w:cs="MSPMincho"/>
          <w:kern w:val="0"/>
          <w:sz w:val="22"/>
          <w:szCs w:val="22"/>
        </w:rPr>
      </w:pPr>
      <w:r w:rsidRPr="008A3EDE">
        <w:rPr>
          <w:rFonts w:ascii="ＭＳ 明朝" w:hAnsi="ＭＳ 明朝" w:cs="MSPGothic,Bold" w:hint="eastAsia"/>
          <w:bCs/>
          <w:kern w:val="0"/>
          <w:sz w:val="22"/>
          <w:szCs w:val="22"/>
        </w:rPr>
        <w:t>①</w:t>
      </w:r>
      <w:r w:rsidR="008B4B2B" w:rsidRPr="008A3EDE">
        <w:rPr>
          <w:rFonts w:ascii="ＭＳ 明朝" w:hAnsi="ＭＳ 明朝" w:cs="MSPGothic,Bold" w:hint="eastAsia"/>
          <w:bCs/>
          <w:kern w:val="0"/>
          <w:sz w:val="22"/>
          <w:szCs w:val="22"/>
        </w:rPr>
        <w:t xml:space="preserve"> 大阪広域水道企業団の給水拠点の活用</w:t>
      </w:r>
      <w:r w:rsidR="008B4B2B" w:rsidRPr="008A3EDE">
        <w:rPr>
          <w:rFonts w:ascii="ＭＳ 明朝" w:hAnsi="ＭＳ 明朝" w:hint="eastAsia"/>
          <w:sz w:val="22"/>
          <w:szCs w:val="22"/>
          <w:shd w:val="pct15" w:color="auto" w:fill="FFFFFF"/>
        </w:rPr>
        <w:t>【第２フェーズ～】</w:t>
      </w:r>
    </w:p>
    <w:p w14:paraId="3768D4A1" w14:textId="7E719D03" w:rsidR="008B4B2B" w:rsidRPr="008A3EDE" w:rsidRDefault="008B4B2B" w:rsidP="00E0548A">
      <w:pPr>
        <w:autoSpaceDE w:val="0"/>
        <w:autoSpaceDN w:val="0"/>
        <w:adjustRightInd w:val="0"/>
        <w:ind w:leftChars="400" w:left="1397" w:hangingChars="250" w:hanging="553"/>
        <w:jc w:val="left"/>
        <w:rPr>
          <w:rFonts w:ascii="ＭＳ 明朝" w:hAnsi="ＭＳ 明朝" w:cs="MSPGothic,Bold"/>
          <w:bCs/>
          <w:kern w:val="0"/>
          <w:sz w:val="22"/>
          <w:szCs w:val="22"/>
        </w:rPr>
      </w:pPr>
      <w:r w:rsidRPr="008A3EDE">
        <w:rPr>
          <w:rFonts w:ascii="ＭＳ 明朝" w:hAnsi="ＭＳ 明朝" w:cs="MSPGothic,Bold" w:hint="eastAsia"/>
          <w:bCs/>
          <w:kern w:val="0"/>
          <w:sz w:val="22"/>
          <w:szCs w:val="22"/>
        </w:rPr>
        <w:t xml:space="preserve">　　 </w:t>
      </w:r>
      <w:r w:rsidR="00D54233" w:rsidRPr="008A3EDE">
        <w:rPr>
          <w:rFonts w:ascii="ＭＳ 明朝" w:hAnsi="ＭＳ 明朝" w:cs="MSPGothic,Bold" w:hint="eastAsia"/>
          <w:bCs/>
          <w:kern w:val="0"/>
          <w:sz w:val="22"/>
          <w:szCs w:val="22"/>
        </w:rPr>
        <w:t xml:space="preserve">　</w:t>
      </w:r>
      <w:r w:rsidR="00D90277" w:rsidRPr="008A3EDE">
        <w:rPr>
          <w:rFonts w:ascii="ＭＳ 明朝" w:hAnsi="ＭＳ 明朝" w:cs="MSPGothic,Bold" w:hint="eastAsia"/>
          <w:bCs/>
          <w:kern w:val="0"/>
          <w:sz w:val="22"/>
          <w:szCs w:val="22"/>
        </w:rPr>
        <w:t>大阪府水道災害調整本部</w:t>
      </w:r>
      <w:r w:rsidRPr="008A3EDE">
        <w:rPr>
          <w:rFonts w:ascii="ＭＳ 明朝" w:hAnsi="ＭＳ 明朝" w:cs="MSPGothic,Bold" w:hint="eastAsia"/>
          <w:bCs/>
          <w:kern w:val="0"/>
          <w:sz w:val="22"/>
          <w:szCs w:val="22"/>
        </w:rPr>
        <w:t>は、</w:t>
      </w:r>
      <w:r w:rsidR="00E90883" w:rsidRPr="008A3EDE">
        <w:rPr>
          <w:rFonts w:ascii="ＭＳ 明朝" w:hAnsi="ＭＳ 明朝" w:cs="MSPGothic,Bold" w:hint="eastAsia"/>
          <w:bCs/>
          <w:kern w:val="0"/>
          <w:sz w:val="22"/>
          <w:szCs w:val="22"/>
        </w:rPr>
        <w:t>各水道事業体から被害状況等の情報を収集するとともに、日本水道協会大阪府支部を通じ、水道事業体における応急給水対応について情報収集を行う。</w:t>
      </w:r>
    </w:p>
    <w:p w14:paraId="4BB1E8D3" w14:textId="67A1655D" w:rsidR="008B4B2B" w:rsidRPr="008A3EDE" w:rsidRDefault="00D54233" w:rsidP="008B4B2B">
      <w:pPr>
        <w:autoSpaceDE w:val="0"/>
        <w:autoSpaceDN w:val="0"/>
        <w:adjustRightInd w:val="0"/>
        <w:ind w:firstLineChars="550" w:firstLine="1216"/>
        <w:jc w:val="left"/>
        <w:rPr>
          <w:rFonts w:ascii="ＭＳ 明朝" w:hAnsi="ＭＳ 明朝" w:cs="MSPMincho"/>
          <w:kern w:val="0"/>
          <w:sz w:val="22"/>
          <w:szCs w:val="22"/>
        </w:rPr>
      </w:pPr>
      <w:r w:rsidRPr="008A3EDE">
        <w:rPr>
          <w:rFonts w:ascii="ＭＳ 明朝" w:hAnsi="ＭＳ 明朝" w:cs="MSPMincho" w:hint="eastAsia"/>
          <w:kern w:val="0"/>
          <w:sz w:val="22"/>
          <w:szCs w:val="22"/>
        </w:rPr>
        <w:t>②</w:t>
      </w:r>
      <w:r w:rsidR="008B4B2B" w:rsidRPr="008A3EDE">
        <w:rPr>
          <w:rFonts w:ascii="ＭＳ 明朝" w:hAnsi="ＭＳ 明朝" w:cs="MSPMincho" w:hint="eastAsia"/>
          <w:kern w:val="0"/>
          <w:sz w:val="22"/>
          <w:szCs w:val="22"/>
        </w:rPr>
        <w:t xml:space="preserve"> 給水資機材及び非常用飲料水の確保</w:t>
      </w:r>
      <w:r w:rsidR="008B4B2B" w:rsidRPr="008A3EDE">
        <w:rPr>
          <w:rFonts w:ascii="ＭＳ 明朝" w:hAnsi="ＭＳ 明朝" w:hint="eastAsia"/>
          <w:sz w:val="22"/>
          <w:szCs w:val="22"/>
          <w:shd w:val="pct15" w:color="auto" w:fill="FFFFFF"/>
        </w:rPr>
        <w:t>【第２フェーズ～】</w:t>
      </w:r>
    </w:p>
    <w:p w14:paraId="033DCA50" w14:textId="79269351" w:rsidR="008B4B2B" w:rsidRPr="008A3EDE" w:rsidRDefault="00D90277" w:rsidP="00E0548A">
      <w:pPr>
        <w:overflowPunct w:val="0"/>
        <w:autoSpaceDE w:val="0"/>
        <w:autoSpaceDN w:val="0"/>
        <w:ind w:leftChars="672" w:left="1419" w:firstLineChars="63" w:firstLine="139"/>
        <w:jc w:val="left"/>
        <w:rPr>
          <w:rFonts w:ascii="ＭＳ 明朝" w:hAnsi="ＭＳ 明朝"/>
          <w:sz w:val="22"/>
          <w:szCs w:val="22"/>
        </w:rPr>
      </w:pPr>
      <w:r w:rsidRPr="008A3EDE">
        <w:rPr>
          <w:rFonts w:ascii="ＭＳ 明朝" w:hAnsi="ＭＳ 明朝" w:hint="eastAsia"/>
          <w:sz w:val="22"/>
          <w:szCs w:val="22"/>
        </w:rPr>
        <w:t>大阪府水道災害調整本部</w:t>
      </w:r>
      <w:r w:rsidR="008B4B2B" w:rsidRPr="008A3EDE">
        <w:rPr>
          <w:rFonts w:ascii="ＭＳ 明朝" w:hAnsi="ＭＳ 明朝" w:hint="eastAsia"/>
          <w:sz w:val="22"/>
          <w:szCs w:val="22"/>
        </w:rPr>
        <w:t>は、</w:t>
      </w:r>
      <w:r w:rsidR="008B4B2B" w:rsidRPr="008A3EDE">
        <w:rPr>
          <w:rFonts w:ascii="ＭＳ 明朝" w:hAnsi="ＭＳ 明朝" w:cs="MSPGothic,Bold" w:hint="eastAsia"/>
          <w:bCs/>
          <w:kern w:val="0"/>
          <w:sz w:val="22"/>
          <w:szCs w:val="22"/>
        </w:rPr>
        <w:t>把握した</w:t>
      </w:r>
      <w:r w:rsidR="008B4B2B" w:rsidRPr="008A3EDE">
        <w:rPr>
          <w:rFonts w:ascii="ＭＳ 明朝" w:hAnsi="ＭＳ 明朝" w:hint="eastAsia"/>
          <w:sz w:val="22"/>
          <w:szCs w:val="22"/>
        </w:rPr>
        <w:t>市町村水道の被害状況を基に、市町村への給水資機材及び非常用飲料水の確保について要請があったとき又は必要と認めたときは、当該市町村の隣接市町村等と協力して調達斡旋する。</w:t>
      </w:r>
    </w:p>
    <w:p w14:paraId="2DC9A343" w14:textId="784ECCE8" w:rsidR="00D54233" w:rsidRPr="008A3EDE" w:rsidRDefault="00D54233" w:rsidP="00E0548A">
      <w:pPr>
        <w:autoSpaceDE w:val="0"/>
        <w:autoSpaceDN w:val="0"/>
        <w:adjustRightInd w:val="0"/>
        <w:ind w:leftChars="550" w:left="1382" w:hangingChars="100" w:hanging="221"/>
        <w:jc w:val="left"/>
        <w:rPr>
          <w:rFonts w:ascii="ＭＳ 明朝" w:hAnsi="ＭＳ 明朝" w:cs="MSPMincho"/>
          <w:kern w:val="0"/>
          <w:sz w:val="22"/>
          <w:szCs w:val="22"/>
        </w:rPr>
      </w:pPr>
      <w:r w:rsidRPr="008A3EDE">
        <w:rPr>
          <w:rFonts w:ascii="ＭＳ 明朝" w:hAnsi="ＭＳ 明朝" w:cs="MSPMincho" w:hint="eastAsia"/>
          <w:kern w:val="0"/>
          <w:sz w:val="22"/>
          <w:szCs w:val="22"/>
        </w:rPr>
        <w:t>③</w:t>
      </w:r>
      <w:r w:rsidR="008B4B2B" w:rsidRPr="008A3EDE">
        <w:rPr>
          <w:rFonts w:ascii="ＭＳ 明朝" w:hAnsi="ＭＳ 明朝" w:cs="MSPMincho" w:hint="eastAsia"/>
          <w:kern w:val="0"/>
          <w:sz w:val="22"/>
          <w:szCs w:val="22"/>
        </w:rPr>
        <w:t xml:space="preserve"> </w:t>
      </w:r>
      <w:r w:rsidR="00D90277" w:rsidRPr="008A3EDE">
        <w:rPr>
          <w:rFonts w:ascii="ＭＳ 明朝" w:hAnsi="ＭＳ 明朝" w:cs="MSPMincho" w:hint="eastAsia"/>
          <w:kern w:val="0"/>
          <w:sz w:val="22"/>
          <w:szCs w:val="22"/>
        </w:rPr>
        <w:t>大阪府水道災害調整本部は、</w:t>
      </w:r>
      <w:r w:rsidR="008B4B2B" w:rsidRPr="008A3EDE">
        <w:rPr>
          <w:rFonts w:ascii="ＭＳ 明朝" w:hAnsi="ＭＳ 明朝" w:cs="MSPMincho" w:hint="eastAsia"/>
          <w:kern w:val="0"/>
          <w:sz w:val="22"/>
          <w:szCs w:val="22"/>
        </w:rPr>
        <w:t>給水活動に関する情報</w:t>
      </w:r>
      <w:r w:rsidR="009162EB" w:rsidRPr="008A3EDE">
        <w:rPr>
          <w:rFonts w:ascii="ＭＳ 明朝" w:hAnsi="ＭＳ 明朝" w:cs="MSPGothic,Bold" w:hint="eastAsia"/>
          <w:bCs/>
          <w:kern w:val="0"/>
          <w:sz w:val="22"/>
        </w:rPr>
        <w:t>を</w:t>
      </w:r>
      <w:r w:rsidR="009162EB" w:rsidRPr="008A3EDE">
        <w:rPr>
          <w:rFonts w:ascii="ＭＳ 明朝" w:hAnsi="ＭＳ 明朝" w:cs="MSPGothic,Bold" w:hint="eastAsia"/>
          <w:bCs/>
          <w:kern w:val="0"/>
          <w:sz w:val="22"/>
          <w:szCs w:val="22"/>
        </w:rPr>
        <w:t>収集</w:t>
      </w:r>
      <w:r w:rsidR="009162EB" w:rsidRPr="008A3EDE">
        <w:rPr>
          <w:rFonts w:ascii="ＭＳ 明朝" w:hAnsi="ＭＳ 明朝" w:cs="MSPGothic,Bold" w:hint="eastAsia"/>
          <w:bCs/>
          <w:kern w:val="0"/>
          <w:sz w:val="22"/>
        </w:rPr>
        <w:t>し、積極的に提供する。</w:t>
      </w:r>
      <w:r w:rsidR="008B4B2B" w:rsidRPr="008A3EDE">
        <w:rPr>
          <w:rFonts w:ascii="ＭＳ 明朝" w:hAnsi="ＭＳ 明朝" w:hint="eastAsia"/>
          <w:sz w:val="22"/>
          <w:szCs w:val="22"/>
          <w:shd w:val="pct15" w:color="auto" w:fill="FFFFFF"/>
        </w:rPr>
        <w:t>【第３フェーズ～】</w:t>
      </w:r>
    </w:p>
    <w:p w14:paraId="7A77E57B" w14:textId="77777777" w:rsidR="008B4B2B" w:rsidRPr="008A3EDE" w:rsidRDefault="008B4B2B" w:rsidP="00E0548A">
      <w:pPr>
        <w:autoSpaceDE w:val="0"/>
        <w:autoSpaceDN w:val="0"/>
        <w:adjustRightInd w:val="0"/>
        <w:ind w:leftChars="650" w:left="1372" w:firstLineChars="100" w:firstLine="221"/>
        <w:jc w:val="left"/>
        <w:rPr>
          <w:rFonts w:ascii="ＭＳ 明朝" w:hAnsi="ＭＳ 明朝" w:cs="MSPMincho"/>
          <w:kern w:val="0"/>
          <w:sz w:val="22"/>
          <w:szCs w:val="22"/>
        </w:rPr>
      </w:pPr>
      <w:r w:rsidRPr="008A3EDE">
        <w:rPr>
          <w:rFonts w:ascii="ＭＳ 明朝" w:hAnsi="ＭＳ 明朝" w:hint="eastAsia"/>
          <w:sz w:val="22"/>
          <w:szCs w:val="22"/>
        </w:rPr>
        <w:t>給水活動の状況や水質検査の結果など</w:t>
      </w:r>
      <w:r w:rsidRPr="008A3EDE">
        <w:rPr>
          <w:rFonts w:ascii="ＭＳ 明朝" w:hAnsi="ＭＳ 明朝" w:cs="MSPMincho" w:hint="eastAsia"/>
          <w:kern w:val="0"/>
          <w:sz w:val="22"/>
          <w:szCs w:val="22"/>
        </w:rPr>
        <w:t>の情報を</w:t>
      </w:r>
      <w:r w:rsidRPr="008A3EDE">
        <w:rPr>
          <w:rFonts w:ascii="ＭＳ 明朝" w:hAnsi="ＭＳ 明朝" w:cs="MSPGothic,Bold" w:hint="eastAsia"/>
          <w:bCs/>
          <w:kern w:val="0"/>
          <w:sz w:val="22"/>
          <w:szCs w:val="22"/>
        </w:rPr>
        <w:t>収集し、</w:t>
      </w:r>
      <w:r w:rsidRPr="008A3EDE">
        <w:rPr>
          <w:rFonts w:ascii="ＭＳ 明朝" w:hAnsi="ＭＳ 明朝" w:cs="MSPMincho" w:hint="eastAsia"/>
          <w:kern w:val="0"/>
          <w:sz w:val="22"/>
          <w:szCs w:val="22"/>
        </w:rPr>
        <w:t>積極的に提供する。</w:t>
      </w:r>
    </w:p>
    <w:p w14:paraId="64AB8FB3" w14:textId="0217D639" w:rsidR="008B4B2B" w:rsidRPr="008A3EDE" w:rsidRDefault="00D54233" w:rsidP="008B4B2B">
      <w:pPr>
        <w:autoSpaceDE w:val="0"/>
        <w:autoSpaceDN w:val="0"/>
        <w:adjustRightInd w:val="0"/>
        <w:ind w:firstLineChars="550" w:firstLine="1216"/>
        <w:jc w:val="left"/>
        <w:rPr>
          <w:rFonts w:ascii="ＭＳ 明朝" w:hAnsi="ＭＳ 明朝" w:cs="MSPMincho"/>
          <w:kern w:val="0"/>
          <w:sz w:val="22"/>
          <w:szCs w:val="22"/>
          <w:shd w:val="pct15" w:color="auto" w:fill="FFFFFF"/>
        </w:rPr>
      </w:pPr>
      <w:r w:rsidRPr="008A3EDE">
        <w:rPr>
          <w:rFonts w:ascii="ＭＳ 明朝" w:hAnsi="ＭＳ 明朝" w:cs="MSPGothic,Bold" w:hint="eastAsia"/>
          <w:bCs/>
          <w:kern w:val="0"/>
          <w:sz w:val="22"/>
          <w:szCs w:val="22"/>
        </w:rPr>
        <w:t>④</w:t>
      </w:r>
      <w:r w:rsidR="008B4B2B" w:rsidRPr="008A3EDE">
        <w:rPr>
          <w:rFonts w:ascii="ＭＳ 明朝" w:hAnsi="ＭＳ 明朝" w:cs="MSPGothic,Bold" w:hint="eastAsia"/>
          <w:bCs/>
          <w:kern w:val="0"/>
          <w:sz w:val="22"/>
          <w:szCs w:val="22"/>
        </w:rPr>
        <w:t xml:space="preserve"> </w:t>
      </w:r>
      <w:r w:rsidR="008B4B2B" w:rsidRPr="008A3EDE">
        <w:rPr>
          <w:rFonts w:ascii="ＭＳ 明朝" w:hAnsi="ＭＳ 明朝" w:cs="MSPMincho" w:hint="eastAsia"/>
          <w:kern w:val="0"/>
          <w:sz w:val="22"/>
          <w:szCs w:val="22"/>
        </w:rPr>
        <w:t>隣接市町村等に対する必要な応援の措置</w:t>
      </w:r>
      <w:r w:rsidR="008B4B2B" w:rsidRPr="008A3EDE">
        <w:rPr>
          <w:rFonts w:ascii="ＭＳ 明朝" w:hAnsi="ＭＳ 明朝" w:hint="eastAsia"/>
          <w:sz w:val="22"/>
          <w:szCs w:val="22"/>
          <w:shd w:val="pct15" w:color="auto" w:fill="FFFFFF"/>
        </w:rPr>
        <w:t>【第２フェーズ～】</w:t>
      </w:r>
    </w:p>
    <w:p w14:paraId="24B4B526" w14:textId="7B458D61" w:rsidR="008B4B2B" w:rsidRPr="008A3EDE" w:rsidRDefault="00D90277" w:rsidP="00E0548A">
      <w:pPr>
        <w:autoSpaceDE w:val="0"/>
        <w:autoSpaceDN w:val="0"/>
        <w:adjustRightInd w:val="0"/>
        <w:ind w:leftChars="652" w:left="1376" w:firstLineChars="100" w:firstLine="221"/>
        <w:jc w:val="left"/>
        <w:rPr>
          <w:rFonts w:ascii="ＭＳ 明朝" w:hAnsi="ＭＳ 明朝" w:cs="MSPGothic,Bold"/>
          <w:bCs/>
          <w:kern w:val="0"/>
          <w:sz w:val="22"/>
          <w:szCs w:val="22"/>
        </w:rPr>
      </w:pPr>
      <w:r w:rsidRPr="008A3EDE">
        <w:rPr>
          <w:rFonts w:ascii="ＭＳ 明朝" w:hAnsi="ＭＳ 明朝" w:hint="eastAsia"/>
          <w:sz w:val="22"/>
          <w:szCs w:val="22"/>
        </w:rPr>
        <w:t>大阪府水道災害調整本部</w:t>
      </w:r>
      <w:r w:rsidR="008B4B2B" w:rsidRPr="008A3EDE">
        <w:rPr>
          <w:rFonts w:ascii="ＭＳ 明朝" w:hAnsi="ＭＳ 明朝" w:hint="eastAsia"/>
          <w:sz w:val="22"/>
          <w:szCs w:val="22"/>
        </w:rPr>
        <w:t>は、</w:t>
      </w:r>
      <w:r w:rsidR="008B4B2B" w:rsidRPr="008A3EDE">
        <w:rPr>
          <w:rFonts w:ascii="ＭＳ 明朝" w:hAnsi="ＭＳ 明朝" w:cs="MSPGothic,Bold" w:hint="eastAsia"/>
          <w:bCs/>
          <w:kern w:val="0"/>
          <w:sz w:val="22"/>
          <w:szCs w:val="22"/>
        </w:rPr>
        <w:t>把握した</w:t>
      </w:r>
      <w:r w:rsidR="008B4B2B" w:rsidRPr="008A3EDE">
        <w:rPr>
          <w:rFonts w:ascii="ＭＳ 明朝" w:hAnsi="ＭＳ 明朝" w:hint="eastAsia"/>
          <w:sz w:val="22"/>
          <w:szCs w:val="22"/>
        </w:rPr>
        <w:t>市町村水道の被害状況を基に、隣接市町村等の応援について市町村から応援要請を受けたとき又は必要と認めたときは、当該市町村の隣接市町村等に対して、必要な応援の措置を要請する。</w:t>
      </w:r>
    </w:p>
    <w:p w14:paraId="43963498" w14:textId="6781F896" w:rsidR="008B4B2B" w:rsidRPr="008A3EDE" w:rsidRDefault="00D54233" w:rsidP="008B4B2B">
      <w:pPr>
        <w:autoSpaceDE w:val="0"/>
        <w:autoSpaceDN w:val="0"/>
        <w:adjustRightInd w:val="0"/>
        <w:ind w:firstLineChars="550" w:firstLine="1216"/>
        <w:jc w:val="left"/>
        <w:rPr>
          <w:rFonts w:ascii="ＭＳ 明朝" w:hAnsi="ＭＳ 明朝"/>
          <w:sz w:val="22"/>
          <w:szCs w:val="22"/>
          <w:shd w:val="pct15" w:color="auto" w:fill="FFFFFF"/>
        </w:rPr>
      </w:pPr>
      <w:r w:rsidRPr="008A3EDE">
        <w:rPr>
          <w:rFonts w:ascii="ＭＳ 明朝" w:hAnsi="ＭＳ 明朝" w:cs="MSPGothic,Bold" w:hint="eastAsia"/>
          <w:bCs/>
          <w:kern w:val="0"/>
          <w:sz w:val="22"/>
          <w:szCs w:val="22"/>
        </w:rPr>
        <w:t>⑤</w:t>
      </w:r>
      <w:r w:rsidR="008B4B2B" w:rsidRPr="008A3EDE">
        <w:rPr>
          <w:rFonts w:ascii="ＭＳ 明朝" w:hAnsi="ＭＳ 明朝" w:cs="MSPGothic,Bold" w:hint="eastAsia"/>
          <w:bCs/>
          <w:kern w:val="0"/>
          <w:sz w:val="22"/>
          <w:szCs w:val="22"/>
        </w:rPr>
        <w:t xml:space="preserve"> </w:t>
      </w:r>
      <w:r w:rsidR="008B4B2B" w:rsidRPr="008A3EDE">
        <w:rPr>
          <w:rFonts w:ascii="ＭＳ 明朝" w:hAnsi="ＭＳ 明朝" w:cs="MSPMincho" w:hint="eastAsia"/>
          <w:kern w:val="0"/>
          <w:sz w:val="22"/>
          <w:szCs w:val="22"/>
        </w:rPr>
        <w:t>水質検査等の措置</w:t>
      </w:r>
      <w:r w:rsidR="008B4B2B" w:rsidRPr="008A3EDE">
        <w:rPr>
          <w:rFonts w:ascii="ＭＳ 明朝" w:hAnsi="ＭＳ 明朝" w:hint="eastAsia"/>
          <w:sz w:val="22"/>
          <w:szCs w:val="22"/>
          <w:shd w:val="pct15" w:color="auto" w:fill="FFFFFF"/>
        </w:rPr>
        <w:t>【第３フェーズ～】</w:t>
      </w:r>
    </w:p>
    <w:p w14:paraId="746C7120" w14:textId="5CE7A04D" w:rsidR="008B4B2B" w:rsidRPr="008A3EDE" w:rsidRDefault="00D90277" w:rsidP="00E0548A">
      <w:pPr>
        <w:autoSpaceDE w:val="0"/>
        <w:autoSpaceDN w:val="0"/>
        <w:adjustRightInd w:val="0"/>
        <w:ind w:leftChars="652" w:left="1376" w:firstLineChars="100" w:firstLine="221"/>
        <w:jc w:val="left"/>
        <w:rPr>
          <w:rFonts w:ascii="ＭＳ 明朝" w:hAnsi="ＭＳ 明朝" w:cs="MSPMincho,Bold"/>
          <w:bCs/>
          <w:kern w:val="0"/>
          <w:sz w:val="22"/>
          <w:szCs w:val="22"/>
        </w:rPr>
      </w:pPr>
      <w:r w:rsidRPr="008A3EDE">
        <w:rPr>
          <w:rFonts w:ascii="ＭＳ 明朝" w:hAnsi="ＭＳ 明朝" w:hint="eastAsia"/>
          <w:sz w:val="22"/>
          <w:szCs w:val="22"/>
        </w:rPr>
        <w:t>大阪府水道災害調整本部</w:t>
      </w:r>
      <w:r w:rsidR="008B4B2B" w:rsidRPr="008A3EDE">
        <w:rPr>
          <w:rFonts w:ascii="ＭＳ 明朝" w:hAnsi="ＭＳ 明朝" w:hint="eastAsia"/>
          <w:sz w:val="22"/>
          <w:szCs w:val="22"/>
        </w:rPr>
        <w:t>は、</w:t>
      </w:r>
      <w:r w:rsidR="008B4B2B" w:rsidRPr="008A3EDE">
        <w:rPr>
          <w:rFonts w:ascii="ＭＳ 明朝" w:hAnsi="ＭＳ 明朝" w:cs="MSPGothic,Bold" w:hint="eastAsia"/>
          <w:bCs/>
          <w:kern w:val="0"/>
          <w:sz w:val="22"/>
          <w:szCs w:val="22"/>
        </w:rPr>
        <w:t>必要に応じ各保健所、地方独立行政法人大阪健康安全基盤研究所に指示し、また水道事業体に対しては、必要に応</w:t>
      </w:r>
      <w:r w:rsidR="008B4B2B" w:rsidRPr="008A3EDE">
        <w:rPr>
          <w:rFonts w:ascii="ＭＳ 明朝" w:hAnsi="ＭＳ 明朝" w:cs="MSPGothic,Bold" w:hint="eastAsia"/>
          <w:bCs/>
          <w:kern w:val="0"/>
          <w:sz w:val="22"/>
          <w:szCs w:val="22"/>
        </w:rPr>
        <w:lastRenderedPageBreak/>
        <w:t>じ、措置</w:t>
      </w:r>
      <w:r w:rsidR="008B4B2B" w:rsidRPr="008A3EDE">
        <w:rPr>
          <w:rFonts w:ascii="ＭＳ 明朝" w:hAnsi="ＭＳ 明朝" w:cs="MSPMincho,Bold" w:hint="eastAsia"/>
          <w:bCs/>
          <w:kern w:val="0"/>
          <w:sz w:val="22"/>
          <w:szCs w:val="22"/>
        </w:rPr>
        <w:t>を講じるよう要請する。</w:t>
      </w:r>
    </w:p>
    <w:p w14:paraId="7F3CC485" w14:textId="002A6EF6" w:rsidR="008B4B2B" w:rsidRPr="008A3EDE" w:rsidRDefault="00D54233" w:rsidP="00E0548A">
      <w:pPr>
        <w:overflowPunct w:val="0"/>
        <w:autoSpaceDE w:val="0"/>
        <w:autoSpaceDN w:val="0"/>
        <w:ind w:leftChars="537" w:left="1134"/>
        <w:jc w:val="left"/>
        <w:rPr>
          <w:rFonts w:ascii="ＭＳ 明朝" w:hAnsi="ＭＳ 明朝"/>
          <w:sz w:val="22"/>
          <w:szCs w:val="22"/>
        </w:rPr>
      </w:pPr>
      <w:r w:rsidRPr="008A3EDE">
        <w:rPr>
          <w:rFonts w:ascii="ＭＳ 明朝" w:hAnsi="ＭＳ 明朝" w:cs="MSPGothic,Bold" w:hint="eastAsia"/>
          <w:bCs/>
          <w:kern w:val="0"/>
          <w:sz w:val="22"/>
          <w:szCs w:val="22"/>
        </w:rPr>
        <w:t xml:space="preserve">⑥ </w:t>
      </w:r>
      <w:r w:rsidR="008B4B2B" w:rsidRPr="008A3EDE">
        <w:rPr>
          <w:rFonts w:ascii="ＭＳ 明朝" w:hAnsi="ＭＳ 明朝" w:hint="eastAsia"/>
          <w:sz w:val="22"/>
          <w:szCs w:val="22"/>
        </w:rPr>
        <w:t>ボトル水・缶詰水の供給</w:t>
      </w:r>
      <w:r w:rsidR="008B4B2B" w:rsidRPr="008A3EDE">
        <w:rPr>
          <w:rFonts w:ascii="ＭＳ 明朝" w:hAnsi="ＭＳ 明朝" w:hint="eastAsia"/>
          <w:sz w:val="22"/>
          <w:szCs w:val="22"/>
          <w:shd w:val="pct15" w:color="auto" w:fill="FFFFFF"/>
        </w:rPr>
        <w:t>【第２フェーズ～】</w:t>
      </w:r>
    </w:p>
    <w:p w14:paraId="594C11BC" w14:textId="5CF0FCEC" w:rsidR="008B4B2B" w:rsidRPr="008A3EDE" w:rsidRDefault="008B4B2B" w:rsidP="00E0548A">
      <w:pPr>
        <w:overflowPunct w:val="0"/>
        <w:autoSpaceDE w:val="0"/>
        <w:autoSpaceDN w:val="0"/>
        <w:ind w:leftChars="672" w:left="1419" w:firstLineChars="164" w:firstLine="363"/>
        <w:jc w:val="left"/>
        <w:rPr>
          <w:rFonts w:ascii="ＭＳ 明朝" w:hAnsi="ＭＳ 明朝"/>
          <w:sz w:val="22"/>
          <w:szCs w:val="22"/>
        </w:rPr>
      </w:pPr>
      <w:r w:rsidRPr="008A3EDE">
        <w:rPr>
          <w:rFonts w:ascii="ＭＳ 明朝" w:hAnsi="ＭＳ 明朝" w:hint="eastAsia"/>
          <w:sz w:val="22"/>
          <w:szCs w:val="22"/>
        </w:rPr>
        <w:t>災害対策課長は、市町村から飲料水の供給の要請があったときは、「災害時における飲料の提供協力に関する協定書」や「災害時における物資供給及び防災活動への協力に関する協定」などを踏まえ、当該会社保有の飲料の提供を要請する。</w:t>
      </w:r>
    </w:p>
    <w:p w14:paraId="4AC10CAB" w14:textId="77777777" w:rsidR="008B4B2B" w:rsidRPr="008A3EDE" w:rsidRDefault="008B4B2B" w:rsidP="008B4B2B">
      <w:pPr>
        <w:ind w:leftChars="576" w:left="1216" w:firstLineChars="100" w:firstLine="221"/>
        <w:jc w:val="left"/>
        <w:rPr>
          <w:rFonts w:ascii="ＭＳ 明朝" w:hAnsi="ＭＳ 明朝"/>
          <w:sz w:val="22"/>
          <w:szCs w:val="22"/>
        </w:rPr>
      </w:pPr>
    </w:p>
    <w:p w14:paraId="6B0FDDD3" w14:textId="77777777" w:rsidR="008B4B2B" w:rsidRPr="008A3EDE" w:rsidRDefault="008B4B2B" w:rsidP="008B4B2B">
      <w:pPr>
        <w:overflowPunct w:val="0"/>
        <w:autoSpaceDE w:val="0"/>
        <w:autoSpaceDN w:val="0"/>
        <w:ind w:firstLineChars="300" w:firstLine="663"/>
        <w:rPr>
          <w:rFonts w:ascii="ＭＳ ゴシック" w:eastAsia="ＭＳ ゴシック" w:hAnsi="ＭＳ ゴシック"/>
          <w:sz w:val="22"/>
          <w:szCs w:val="22"/>
          <w:u w:val="single"/>
        </w:rPr>
      </w:pPr>
      <w:r w:rsidRPr="008A3EDE">
        <w:rPr>
          <w:rFonts w:ascii="ＭＳ ゴシック" w:eastAsia="ＭＳ ゴシック" w:hAnsi="ＭＳ ゴシック" w:hint="eastAsia"/>
          <w:sz w:val="22"/>
          <w:szCs w:val="22"/>
          <w:u w:val="single"/>
        </w:rPr>
        <w:t>３　食糧の供給</w:t>
      </w:r>
      <w:r w:rsidRPr="008A3EDE">
        <w:rPr>
          <w:rFonts w:ascii="ＭＳ ゴシック" w:eastAsia="ＭＳ ゴシック" w:hAnsi="ＭＳ ゴシック" w:hint="eastAsia"/>
          <w:sz w:val="22"/>
          <w:szCs w:val="22"/>
          <w:u w:val="single"/>
          <w:shd w:val="pct15" w:color="auto" w:fill="FFFFFF"/>
        </w:rPr>
        <w:t>【第２フェーズ～】</w:t>
      </w:r>
    </w:p>
    <w:p w14:paraId="5ABDE275" w14:textId="77777777" w:rsidR="008B4B2B" w:rsidRPr="008A3EDE" w:rsidRDefault="008B4B2B" w:rsidP="008B4B2B">
      <w:pPr>
        <w:overflowPunct w:val="0"/>
        <w:autoSpaceDE w:val="0"/>
        <w:autoSpaceDN w:val="0"/>
        <w:ind w:firstLineChars="500" w:firstLine="1105"/>
        <w:rPr>
          <w:rFonts w:ascii="ＭＳ ゴシック" w:eastAsia="ＭＳ ゴシック" w:hAnsi="ＭＳ ゴシック"/>
          <w:dstrike/>
          <w:sz w:val="22"/>
          <w:szCs w:val="22"/>
        </w:rPr>
      </w:pPr>
      <w:r w:rsidRPr="008A3EDE">
        <w:rPr>
          <w:rFonts w:ascii="ＭＳ ゴシック" w:eastAsia="ＭＳ ゴシック" w:hAnsi="ＭＳ ゴシック" w:hint="eastAsia"/>
          <w:sz w:val="22"/>
          <w:szCs w:val="22"/>
          <w:bdr w:val="single" w:sz="4" w:space="0" w:color="auto"/>
        </w:rPr>
        <w:t>主たる担当：危機管理室、食の安全推進課、流通対策室</w:t>
      </w:r>
    </w:p>
    <w:p w14:paraId="41A5979E" w14:textId="77777777" w:rsidR="008B4B2B" w:rsidRPr="008A3EDE" w:rsidRDefault="008B4B2B" w:rsidP="008B4B2B">
      <w:pPr>
        <w:overflowPunct w:val="0"/>
        <w:autoSpaceDE w:val="0"/>
        <w:autoSpaceDN w:val="0"/>
        <w:ind w:leftChars="400" w:left="844" w:firstLineChars="100" w:firstLine="221"/>
        <w:rPr>
          <w:rFonts w:ascii="ＭＳ 明朝" w:hAnsi="ＭＳ 明朝"/>
          <w:sz w:val="22"/>
          <w:szCs w:val="22"/>
        </w:rPr>
      </w:pPr>
      <w:r w:rsidRPr="008A3EDE">
        <w:rPr>
          <w:rFonts w:ascii="ＭＳ 明朝" w:hAnsi="ＭＳ 明朝" w:hint="eastAsia"/>
          <w:sz w:val="22"/>
          <w:szCs w:val="22"/>
        </w:rPr>
        <w:t>避難所に滞在する避難者や在宅避難者、応急仮設住宅で暮らす避難者、所在が確認できる広域避難者等に対し、食糧の供給を行う。</w:t>
      </w:r>
    </w:p>
    <w:p w14:paraId="08B65E92" w14:textId="77777777" w:rsidR="008B4B2B" w:rsidRPr="008A3EDE" w:rsidRDefault="008B4B2B" w:rsidP="008B4B2B">
      <w:pPr>
        <w:overflowPunct w:val="0"/>
        <w:autoSpaceDE w:val="0"/>
        <w:autoSpaceDN w:val="0"/>
        <w:ind w:leftChars="400" w:left="844" w:firstLineChars="100" w:firstLine="221"/>
        <w:rPr>
          <w:rFonts w:ascii="ＭＳ 明朝" w:hAnsi="ＭＳ 明朝"/>
          <w:sz w:val="22"/>
          <w:szCs w:val="22"/>
        </w:rPr>
      </w:pPr>
      <w:r w:rsidRPr="008A3EDE">
        <w:rPr>
          <w:rFonts w:ascii="ＭＳ 明朝" w:hAnsi="ＭＳ 明朝" w:hint="eastAsia"/>
          <w:sz w:val="22"/>
          <w:szCs w:val="22"/>
        </w:rPr>
        <w:t>府は、市町村から要請があった場合又は必要と認めた場合は、被災市町村毎の必要量、調達可能な物資量の情報収集の上、次の措置を講ずる。</w:t>
      </w:r>
    </w:p>
    <w:p w14:paraId="5756B62B" w14:textId="77777777" w:rsidR="008B4B2B" w:rsidRPr="008A3EDE" w:rsidRDefault="008B4B2B" w:rsidP="008B4B2B">
      <w:pPr>
        <w:overflowPunct w:val="0"/>
        <w:autoSpaceDE w:val="0"/>
        <w:autoSpaceDN w:val="0"/>
        <w:ind w:leftChars="400" w:left="844" w:firstLineChars="100" w:firstLine="221"/>
        <w:rPr>
          <w:rFonts w:ascii="ＭＳ 明朝" w:hAnsi="ＭＳ 明朝"/>
          <w:sz w:val="22"/>
          <w:szCs w:val="22"/>
        </w:rPr>
      </w:pPr>
      <w:r w:rsidRPr="008A3EDE">
        <w:rPr>
          <w:rFonts w:ascii="ＭＳ 明朝" w:hAnsi="ＭＳ 明朝" w:hint="eastAsia"/>
          <w:sz w:val="22"/>
          <w:szCs w:val="22"/>
        </w:rPr>
        <w:t>市町村は、避難施設等において、市町村が確保した食糧と併せ、避難住民等に供給する。</w:t>
      </w:r>
    </w:p>
    <w:p w14:paraId="34977320" w14:textId="77777777" w:rsidR="008B4B2B" w:rsidRPr="008A3EDE" w:rsidRDefault="008B4B2B" w:rsidP="008B4B2B">
      <w:pPr>
        <w:overflowPunct w:val="0"/>
        <w:autoSpaceDE w:val="0"/>
        <w:autoSpaceDN w:val="0"/>
        <w:ind w:firstLineChars="450" w:firstLine="995"/>
        <w:rPr>
          <w:rFonts w:ascii="ＭＳ 明朝" w:hAnsi="ＭＳ 明朝"/>
          <w:sz w:val="22"/>
          <w:szCs w:val="22"/>
        </w:rPr>
      </w:pPr>
      <w:r w:rsidRPr="008A3EDE">
        <w:rPr>
          <w:rFonts w:ascii="ＭＳ 明朝" w:hAnsi="ＭＳ 明朝" w:hint="eastAsia"/>
          <w:sz w:val="22"/>
          <w:szCs w:val="22"/>
        </w:rPr>
        <w:t>(1)　精米等の供給方法</w:t>
      </w:r>
    </w:p>
    <w:p w14:paraId="312874DB" w14:textId="77777777" w:rsidR="008B4B2B" w:rsidRPr="008A3EDE" w:rsidRDefault="008B4B2B" w:rsidP="008B4B2B">
      <w:pPr>
        <w:overflowPunct w:val="0"/>
        <w:autoSpaceDE w:val="0"/>
        <w:autoSpaceDN w:val="0"/>
        <w:ind w:firstLineChars="600" w:firstLine="1327"/>
        <w:rPr>
          <w:rFonts w:ascii="ＭＳ 明朝" w:hAnsi="ＭＳ 明朝"/>
          <w:sz w:val="22"/>
          <w:szCs w:val="22"/>
        </w:rPr>
      </w:pPr>
      <w:r w:rsidRPr="008A3EDE">
        <w:rPr>
          <w:rFonts w:ascii="ＭＳ 明朝" w:hAnsi="ＭＳ 明朝" w:hint="eastAsia"/>
          <w:sz w:val="22"/>
          <w:szCs w:val="22"/>
        </w:rPr>
        <w:t>①　災害用備蓄食糧等</w:t>
      </w:r>
      <w:r w:rsidRPr="008A3EDE">
        <w:rPr>
          <w:rFonts w:ascii="ＭＳ 明朝" w:hAnsi="ＭＳ 明朝" w:hint="eastAsia"/>
          <w:sz w:val="22"/>
          <w:szCs w:val="22"/>
          <w:shd w:val="pct15" w:color="auto" w:fill="FFFFFF"/>
        </w:rPr>
        <w:t>【第２フェーズ～】</w:t>
      </w:r>
    </w:p>
    <w:p w14:paraId="7817D46A" w14:textId="77777777" w:rsidR="008B4B2B" w:rsidRPr="008A3EDE" w:rsidRDefault="008B4B2B" w:rsidP="008B4B2B">
      <w:pPr>
        <w:overflowPunct w:val="0"/>
        <w:autoSpaceDE w:val="0"/>
        <w:autoSpaceDN w:val="0"/>
        <w:ind w:leftChars="735" w:left="1552" w:firstLineChars="100" w:firstLine="221"/>
        <w:rPr>
          <w:rFonts w:ascii="ＭＳ 明朝" w:hAnsi="ＭＳ 明朝"/>
          <w:sz w:val="22"/>
          <w:szCs w:val="22"/>
        </w:rPr>
      </w:pPr>
      <w:r w:rsidRPr="008A3EDE">
        <w:rPr>
          <w:rFonts w:ascii="ＭＳ 明朝" w:hAnsi="ＭＳ 明朝" w:hint="eastAsia"/>
          <w:sz w:val="22"/>
          <w:szCs w:val="22"/>
        </w:rPr>
        <w:t>災害対策課長は、市町村から食糧の供給の要請があったときは、災害用として備蓄している</w:t>
      </w:r>
      <w:r w:rsidR="00834E54" w:rsidRPr="008A3EDE">
        <w:rPr>
          <w:rFonts w:ascii="ＭＳ 明朝" w:hAnsi="ＭＳ 明朝" w:hint="eastAsia"/>
          <w:sz w:val="22"/>
          <w:szCs w:val="22"/>
        </w:rPr>
        <w:t>レトルト食品</w:t>
      </w:r>
      <w:r w:rsidRPr="008A3EDE">
        <w:rPr>
          <w:rFonts w:ascii="ＭＳ 明朝" w:hAnsi="ＭＳ 明朝" w:hint="eastAsia"/>
          <w:sz w:val="22"/>
          <w:szCs w:val="22"/>
        </w:rPr>
        <w:t>等の備蓄食糧を供給する。また、即席麺・パン・ビスケットについては、「災害時における罹災者食糧の確保」に関する文書を踏まえ、各社保有の即席麺・パン・ビスケットの出荷を要請する。</w:t>
      </w:r>
    </w:p>
    <w:p w14:paraId="453CE510" w14:textId="327DF445" w:rsidR="008B4B2B" w:rsidRPr="008A3EDE" w:rsidRDefault="008B4B2B" w:rsidP="008B4B2B">
      <w:pPr>
        <w:overflowPunct w:val="0"/>
        <w:autoSpaceDE w:val="0"/>
        <w:autoSpaceDN w:val="0"/>
        <w:ind w:firstLineChars="600" w:firstLine="1327"/>
        <w:rPr>
          <w:rFonts w:ascii="ＭＳ 明朝" w:hAnsi="ＭＳ 明朝"/>
          <w:sz w:val="22"/>
          <w:szCs w:val="22"/>
        </w:rPr>
      </w:pPr>
      <w:r w:rsidRPr="008A3EDE">
        <w:rPr>
          <w:rFonts w:ascii="ＭＳ 明朝" w:hAnsi="ＭＳ 明朝" w:hint="eastAsia"/>
          <w:sz w:val="22"/>
          <w:szCs w:val="22"/>
        </w:rPr>
        <w:t>②　米穀（精米又は玄米）</w:t>
      </w:r>
      <w:r w:rsidRPr="008A3EDE">
        <w:rPr>
          <w:rFonts w:ascii="ＭＳ 明朝" w:hAnsi="ＭＳ 明朝" w:hint="eastAsia"/>
          <w:sz w:val="22"/>
          <w:szCs w:val="22"/>
          <w:shd w:val="pct15" w:color="auto" w:fill="FFFFFF"/>
        </w:rPr>
        <w:t>【第２フェーズ～】</w:t>
      </w:r>
    </w:p>
    <w:p w14:paraId="4C2C68B5" w14:textId="0071F8BF" w:rsidR="008B4B2B" w:rsidRPr="008A3EDE" w:rsidRDefault="00102C9D" w:rsidP="008B4B2B">
      <w:pPr>
        <w:overflowPunct w:val="0"/>
        <w:autoSpaceDE w:val="0"/>
        <w:autoSpaceDN w:val="0"/>
        <w:ind w:leftChars="735" w:left="1552" w:rightChars="-68" w:right="-144" w:firstLineChars="100" w:firstLine="221"/>
        <w:rPr>
          <w:rFonts w:ascii="ＭＳ 明朝" w:hAnsi="ＭＳ 明朝"/>
          <w:sz w:val="22"/>
          <w:szCs w:val="22"/>
        </w:rPr>
      </w:pPr>
      <w:r w:rsidRPr="008A3EDE">
        <w:rPr>
          <w:rFonts w:ascii="ＭＳ 明朝" w:hAnsi="ＭＳ 明朝" w:hint="eastAsia"/>
          <w:sz w:val="22"/>
          <w:szCs w:val="22"/>
        </w:rPr>
        <w:t>流通対策室市場・検査指導課長</w:t>
      </w:r>
      <w:r w:rsidR="008B4B2B" w:rsidRPr="008A3EDE">
        <w:rPr>
          <w:rFonts w:ascii="ＭＳ 明朝" w:hAnsi="ＭＳ 明朝" w:hint="eastAsia"/>
          <w:sz w:val="22"/>
          <w:szCs w:val="22"/>
        </w:rPr>
        <w:t>は、市町村から食糧の供給の要請があったときは、「大阪府災害救助用食料緊急引渡要領」を踏まえ、次のとおり供給する。</w:t>
      </w:r>
    </w:p>
    <w:p w14:paraId="5EB9D60C" w14:textId="77777777" w:rsidR="008B4B2B" w:rsidRPr="008A3EDE" w:rsidRDefault="008B4B2B" w:rsidP="008B4B2B">
      <w:pPr>
        <w:overflowPunct w:val="0"/>
        <w:autoSpaceDE w:val="0"/>
        <w:autoSpaceDN w:val="0"/>
        <w:ind w:leftChars="763" w:left="1832" w:hangingChars="100" w:hanging="221"/>
        <w:rPr>
          <w:rFonts w:ascii="ＭＳ 明朝" w:hAnsi="ＭＳ 明朝"/>
          <w:sz w:val="22"/>
          <w:szCs w:val="22"/>
        </w:rPr>
      </w:pPr>
      <w:r w:rsidRPr="008A3EDE">
        <w:rPr>
          <w:rFonts w:ascii="ＭＳ 明朝" w:hAnsi="ＭＳ 明朝" w:hint="eastAsia"/>
          <w:sz w:val="22"/>
          <w:szCs w:val="22"/>
        </w:rPr>
        <w:t>ア　農林水産省生産局に対し、「米穀の買入れ・販売等に関する基本要領」（平成２１年５月２９日付け農林水産省総合食料局長通知）に基づき、政府所有の米穀の引渡しを要請する。</w:t>
      </w:r>
    </w:p>
    <w:p w14:paraId="1A557296" w14:textId="77777777" w:rsidR="008B4B2B" w:rsidRPr="008A3EDE" w:rsidRDefault="008B4B2B" w:rsidP="008B4B2B">
      <w:pPr>
        <w:overflowPunct w:val="0"/>
        <w:autoSpaceDE w:val="0"/>
        <w:autoSpaceDN w:val="0"/>
        <w:ind w:leftChars="763" w:left="1832" w:hangingChars="100" w:hanging="221"/>
        <w:rPr>
          <w:rFonts w:ascii="ＭＳ 明朝" w:hAnsi="ＭＳ 明朝"/>
          <w:sz w:val="22"/>
          <w:szCs w:val="22"/>
        </w:rPr>
      </w:pPr>
      <w:r w:rsidRPr="008A3EDE">
        <w:rPr>
          <w:rFonts w:ascii="ＭＳ 明朝" w:hAnsi="ＭＳ 明朝" w:hint="eastAsia"/>
          <w:sz w:val="22"/>
          <w:szCs w:val="22"/>
        </w:rPr>
        <w:t>イ　米穀販売事業者に対し、「災害救助用精米の保管及び供給等の協力に関する協定」などを踏まえ、当該業者所有の精米の供給を要請する。</w:t>
      </w:r>
    </w:p>
    <w:p w14:paraId="03B64AEE" w14:textId="2510BE81" w:rsidR="008B4B2B" w:rsidRPr="008A3EDE" w:rsidRDefault="008B4B2B" w:rsidP="008B4B2B">
      <w:pPr>
        <w:overflowPunct w:val="0"/>
        <w:autoSpaceDE w:val="0"/>
        <w:autoSpaceDN w:val="0"/>
        <w:ind w:firstLineChars="450" w:firstLine="995"/>
        <w:rPr>
          <w:rFonts w:ascii="ＭＳ 明朝" w:hAnsi="ＭＳ 明朝"/>
          <w:sz w:val="22"/>
          <w:szCs w:val="22"/>
        </w:rPr>
      </w:pPr>
      <w:r w:rsidRPr="008A3EDE">
        <w:rPr>
          <w:rFonts w:ascii="ＭＳ 明朝" w:hAnsi="ＭＳ 明朝" w:hint="eastAsia"/>
          <w:sz w:val="22"/>
          <w:szCs w:val="22"/>
        </w:rPr>
        <w:t>(2)　生鮮食料品の供給方法</w:t>
      </w:r>
      <w:r w:rsidRPr="008A3EDE">
        <w:rPr>
          <w:rFonts w:ascii="ＭＳ 明朝" w:hAnsi="ＭＳ 明朝" w:hint="eastAsia"/>
          <w:sz w:val="22"/>
          <w:szCs w:val="22"/>
          <w:shd w:val="pct15" w:color="auto" w:fill="FFFFFF"/>
        </w:rPr>
        <w:t>【第３フェーズ～】</w:t>
      </w:r>
    </w:p>
    <w:p w14:paraId="03652F88" w14:textId="5C9C4F15" w:rsidR="008B4B2B" w:rsidRPr="008A3EDE" w:rsidRDefault="00102C9D" w:rsidP="008B4B2B">
      <w:pPr>
        <w:overflowPunct w:val="0"/>
        <w:autoSpaceDE w:val="0"/>
        <w:autoSpaceDN w:val="0"/>
        <w:ind w:leftChars="630" w:left="1330" w:rightChars="-68" w:right="-144" w:firstLineChars="100" w:firstLine="221"/>
        <w:rPr>
          <w:rFonts w:ascii="ＭＳ 明朝" w:hAnsi="ＭＳ 明朝"/>
          <w:sz w:val="22"/>
          <w:szCs w:val="22"/>
        </w:rPr>
      </w:pPr>
      <w:r w:rsidRPr="008A3EDE">
        <w:rPr>
          <w:rFonts w:ascii="ＭＳ 明朝" w:hAnsi="ＭＳ 明朝" w:hint="eastAsia"/>
          <w:sz w:val="22"/>
          <w:szCs w:val="22"/>
        </w:rPr>
        <w:t>流通対策室市場・検査指導課長</w:t>
      </w:r>
      <w:r w:rsidR="008B4B2B" w:rsidRPr="008A3EDE">
        <w:rPr>
          <w:rFonts w:ascii="ＭＳ 明朝" w:hAnsi="ＭＳ 明朝" w:hint="eastAsia"/>
          <w:sz w:val="22"/>
          <w:szCs w:val="22"/>
        </w:rPr>
        <w:t>は、市町村から</w:t>
      </w:r>
      <w:r w:rsidR="00930E7D" w:rsidRPr="008A3EDE">
        <w:rPr>
          <w:rFonts w:ascii="ＭＳ 明朝" w:hAnsi="ＭＳ 明朝" w:hint="eastAsia"/>
          <w:sz w:val="22"/>
          <w:szCs w:val="22"/>
        </w:rPr>
        <w:t>生鮮食料品</w:t>
      </w:r>
      <w:r w:rsidR="008B4B2B" w:rsidRPr="008A3EDE">
        <w:rPr>
          <w:rFonts w:ascii="ＭＳ 明朝" w:hAnsi="ＭＳ 明朝" w:hint="eastAsia"/>
          <w:sz w:val="22"/>
          <w:szCs w:val="22"/>
        </w:rPr>
        <w:t>の供給要請があったときは、</w:t>
      </w:r>
      <w:r w:rsidR="00930E7D" w:rsidRPr="008A3EDE">
        <w:rPr>
          <w:rFonts w:ascii="ＭＳ 明朝" w:hAnsi="ＭＳ 明朝" w:hint="eastAsia"/>
          <w:sz w:val="22"/>
          <w:szCs w:val="22"/>
        </w:rPr>
        <w:t>被災地域への供給が滞らず、小売店等の仕入れが出来るように、</w:t>
      </w:r>
      <w:r w:rsidR="008B4B2B" w:rsidRPr="008A3EDE">
        <w:rPr>
          <w:rFonts w:ascii="ＭＳ 明朝" w:hAnsi="ＭＳ 明朝" w:hint="eastAsia"/>
          <w:sz w:val="22"/>
          <w:szCs w:val="22"/>
        </w:rPr>
        <w:t>大阪府中央卸売市場等の生鮮食料品関係業者に対し、生鮮食料品の供給について協力を要請する。</w:t>
      </w:r>
    </w:p>
    <w:p w14:paraId="5BDD282E" w14:textId="77777777" w:rsidR="008B4B2B" w:rsidRPr="008A3EDE" w:rsidRDefault="008B4B2B" w:rsidP="008B4B2B">
      <w:pPr>
        <w:overflowPunct w:val="0"/>
        <w:autoSpaceDE w:val="0"/>
        <w:autoSpaceDN w:val="0"/>
        <w:rPr>
          <w:rFonts w:ascii="ＭＳ 明朝" w:hAnsi="ＭＳ 明朝"/>
          <w:sz w:val="22"/>
          <w:szCs w:val="22"/>
        </w:rPr>
      </w:pPr>
      <w:r w:rsidRPr="008A3EDE">
        <w:rPr>
          <w:rFonts w:ascii="ＭＳ 明朝" w:hAnsi="ＭＳ 明朝" w:hint="eastAsia"/>
          <w:sz w:val="22"/>
          <w:szCs w:val="22"/>
        </w:rPr>
        <w:t xml:space="preserve">          (3)　粉乳の供給方法</w:t>
      </w:r>
      <w:r w:rsidRPr="008A3EDE">
        <w:rPr>
          <w:rFonts w:ascii="ＭＳ 明朝" w:hAnsi="ＭＳ 明朝" w:hint="eastAsia"/>
          <w:sz w:val="22"/>
          <w:szCs w:val="22"/>
          <w:shd w:val="pct15" w:color="auto" w:fill="FFFFFF"/>
        </w:rPr>
        <w:t>【第２フェーズ～】</w:t>
      </w:r>
    </w:p>
    <w:p w14:paraId="4E5B5A41" w14:textId="60595A4C" w:rsidR="008B4B2B" w:rsidRPr="008A3EDE" w:rsidRDefault="008B4B2B" w:rsidP="008B4B2B">
      <w:pPr>
        <w:overflowPunct w:val="0"/>
        <w:autoSpaceDE w:val="0"/>
        <w:autoSpaceDN w:val="0"/>
        <w:ind w:leftChars="630" w:left="1330" w:firstLineChars="100" w:firstLine="221"/>
        <w:rPr>
          <w:rFonts w:ascii="ＭＳ 明朝" w:hAnsi="ＭＳ 明朝"/>
          <w:sz w:val="22"/>
          <w:szCs w:val="22"/>
        </w:rPr>
      </w:pPr>
      <w:r w:rsidRPr="008A3EDE">
        <w:rPr>
          <w:rFonts w:asciiTheme="minorEastAsia" w:eastAsiaTheme="minorEastAsia" w:hAnsiTheme="minorEastAsia" w:hint="eastAsia"/>
          <w:sz w:val="22"/>
          <w:szCs w:val="22"/>
        </w:rPr>
        <w:t>食の安全推進課長は、市町村から粉乳の供給の要請があったときは、「非常災害乳児救護用調製粉乳の一定量確</w:t>
      </w:r>
      <w:r w:rsidR="00242324" w:rsidRPr="008A3EDE">
        <w:rPr>
          <w:rFonts w:asciiTheme="minorEastAsia" w:eastAsiaTheme="minorEastAsia" w:hAnsiTheme="minorEastAsia"/>
          <w:sz w:val="22"/>
          <w:szCs w:val="22"/>
        </w:rPr>
        <w:t>ss</w:t>
      </w:r>
      <w:r w:rsidRPr="008A3EDE">
        <w:rPr>
          <w:rFonts w:asciiTheme="minorEastAsia" w:eastAsiaTheme="minorEastAsia" w:hAnsiTheme="minorEastAsia" w:hint="eastAsia"/>
          <w:sz w:val="22"/>
          <w:szCs w:val="22"/>
        </w:rPr>
        <w:t>保委託契約」などを踏まえ、</w:t>
      </w:r>
      <w:r w:rsidR="007B1C43" w:rsidRPr="008A3EDE">
        <w:rPr>
          <w:rFonts w:asciiTheme="minorEastAsia" w:eastAsiaTheme="minorEastAsia" w:hAnsiTheme="minorEastAsia" w:hint="eastAsia"/>
          <w:sz w:val="22"/>
        </w:rPr>
        <w:t>委託業者</w:t>
      </w:r>
      <w:r w:rsidRPr="008A3EDE">
        <w:rPr>
          <w:rFonts w:ascii="ＭＳ 明朝" w:hAnsi="ＭＳ 明朝" w:hint="eastAsia"/>
          <w:sz w:val="22"/>
          <w:szCs w:val="22"/>
        </w:rPr>
        <w:lastRenderedPageBreak/>
        <w:t>が確保する調製粉乳の供出を請求する。</w:t>
      </w:r>
    </w:p>
    <w:p w14:paraId="21A25EE2" w14:textId="3B207DC2" w:rsidR="008B4B2B" w:rsidRPr="008A3EDE" w:rsidRDefault="003D0C5D" w:rsidP="008D7EDC">
      <w:pPr>
        <w:overflowPunct w:val="0"/>
        <w:autoSpaceDE w:val="0"/>
        <w:autoSpaceDN w:val="0"/>
        <w:ind w:left="900" w:firstLineChars="100" w:firstLine="221"/>
        <w:rPr>
          <w:rFonts w:ascii="ＭＳ 明朝" w:hAnsi="ＭＳ 明朝"/>
          <w:sz w:val="22"/>
          <w:szCs w:val="22"/>
        </w:rPr>
      </w:pPr>
      <w:r w:rsidRPr="008A3EDE">
        <w:rPr>
          <w:rFonts w:ascii="ＭＳ 明朝" w:hAnsi="ＭＳ 明朝" w:hint="eastAsia"/>
          <w:sz w:val="22"/>
          <w:szCs w:val="22"/>
        </w:rPr>
        <w:t>(4)</w:t>
      </w:r>
      <w:r w:rsidR="008D7EDC" w:rsidRPr="008A3EDE">
        <w:rPr>
          <w:rFonts w:ascii="ＭＳ 明朝" w:hAnsi="ＭＳ 明朝"/>
          <w:sz w:val="22"/>
          <w:szCs w:val="22"/>
        </w:rPr>
        <w:t xml:space="preserve">  </w:t>
      </w:r>
      <w:r w:rsidR="008B4B2B" w:rsidRPr="008A3EDE">
        <w:rPr>
          <w:rFonts w:ascii="ＭＳ 明朝" w:hAnsi="ＭＳ 明朝" w:hint="eastAsia"/>
          <w:sz w:val="22"/>
          <w:szCs w:val="22"/>
        </w:rPr>
        <w:t>その他食料品の供給方法</w:t>
      </w:r>
      <w:r w:rsidR="008B4B2B" w:rsidRPr="008A3EDE">
        <w:rPr>
          <w:rFonts w:ascii="ＭＳ 明朝" w:hAnsi="ＭＳ 明朝" w:hint="eastAsia"/>
          <w:sz w:val="22"/>
          <w:szCs w:val="22"/>
          <w:shd w:val="pct15" w:color="auto" w:fill="FFFFFF"/>
        </w:rPr>
        <w:t>【第２フェーズ～】</w:t>
      </w:r>
    </w:p>
    <w:p w14:paraId="6D1ED3D3" w14:textId="2B1DC10C" w:rsidR="008B4B2B" w:rsidRPr="008A3EDE" w:rsidRDefault="008B4B2B" w:rsidP="008B4B2B">
      <w:pPr>
        <w:pStyle w:val="ad"/>
        <w:wordWrap/>
        <w:overflowPunct w:val="0"/>
        <w:spacing w:line="240" w:lineRule="auto"/>
        <w:ind w:left="1327" w:hangingChars="600" w:hanging="1327"/>
        <w:rPr>
          <w:rFonts w:ascii="ＭＳ 明朝" w:hAnsi="ＭＳ 明朝"/>
        </w:rPr>
      </w:pPr>
      <w:r w:rsidRPr="008A3EDE">
        <w:rPr>
          <w:rFonts w:ascii="ＭＳ 明朝" w:hAnsi="ＭＳ 明朝" w:hint="eastAsia"/>
        </w:rPr>
        <w:t xml:space="preserve">              災害対策課長は、市町村から食料品の供給の要請があったときは、「災害時における物資供給及び防災活動への協力に関する協定」に基づき、食料品の供給を要請する。</w:t>
      </w:r>
    </w:p>
    <w:p w14:paraId="2F83A1C8" w14:textId="77777777" w:rsidR="009162EB" w:rsidRPr="008A3EDE" w:rsidRDefault="009162EB" w:rsidP="008B4B2B">
      <w:pPr>
        <w:pStyle w:val="ad"/>
        <w:wordWrap/>
        <w:overflowPunct w:val="0"/>
        <w:spacing w:line="240" w:lineRule="auto"/>
        <w:ind w:left="1327" w:hangingChars="600" w:hanging="1327"/>
        <w:rPr>
          <w:rFonts w:ascii="ＭＳ 明朝" w:hAnsi="ＭＳ 明朝"/>
        </w:rPr>
      </w:pPr>
    </w:p>
    <w:p w14:paraId="52B129AE" w14:textId="77777777" w:rsidR="008B4B2B" w:rsidRPr="008A3EDE" w:rsidRDefault="008B4B2B" w:rsidP="008B4B2B">
      <w:pPr>
        <w:overflowPunct w:val="0"/>
        <w:autoSpaceDE w:val="0"/>
        <w:autoSpaceDN w:val="0"/>
        <w:ind w:firstLineChars="300" w:firstLine="663"/>
        <w:rPr>
          <w:rFonts w:ascii="ＭＳ ゴシック" w:eastAsia="ＭＳ ゴシック" w:hAnsi="ＭＳ ゴシック"/>
          <w:sz w:val="22"/>
          <w:szCs w:val="22"/>
          <w:u w:val="single"/>
        </w:rPr>
      </w:pPr>
      <w:r w:rsidRPr="008A3EDE">
        <w:rPr>
          <w:rFonts w:ascii="ＭＳ ゴシック" w:eastAsia="ＭＳ ゴシック" w:hAnsi="ＭＳ ゴシック" w:hint="eastAsia"/>
          <w:sz w:val="22"/>
          <w:szCs w:val="22"/>
          <w:u w:val="single"/>
        </w:rPr>
        <w:t>４　生活必需品等の給与・貸与</w:t>
      </w:r>
      <w:r w:rsidRPr="008A3EDE">
        <w:rPr>
          <w:rFonts w:ascii="ＭＳ 明朝" w:hAnsi="ＭＳ 明朝" w:hint="eastAsia"/>
          <w:sz w:val="22"/>
          <w:szCs w:val="22"/>
          <w:u w:val="single"/>
          <w:shd w:val="pct15" w:color="auto" w:fill="FFFFFF"/>
        </w:rPr>
        <w:t>【第２フェーズ～】</w:t>
      </w:r>
    </w:p>
    <w:p w14:paraId="7198E4EE" w14:textId="77777777" w:rsidR="008B4B2B" w:rsidRPr="008A3EDE" w:rsidRDefault="008B4B2B" w:rsidP="008B4B2B">
      <w:pPr>
        <w:overflowPunct w:val="0"/>
        <w:autoSpaceDE w:val="0"/>
        <w:autoSpaceDN w:val="0"/>
        <w:ind w:firstLineChars="500" w:firstLine="1105"/>
        <w:rPr>
          <w:rFonts w:ascii="ＭＳ ゴシック" w:eastAsia="ＭＳ ゴシック" w:hAnsi="ＭＳ ゴシック"/>
          <w:dstrike/>
          <w:sz w:val="22"/>
          <w:szCs w:val="22"/>
        </w:rPr>
      </w:pPr>
      <w:r w:rsidRPr="008A3EDE">
        <w:rPr>
          <w:rFonts w:ascii="ＭＳ ゴシック" w:eastAsia="ＭＳ ゴシック" w:hAnsi="ＭＳ ゴシック" w:hint="eastAsia"/>
          <w:sz w:val="22"/>
          <w:szCs w:val="22"/>
          <w:bdr w:val="single" w:sz="4" w:space="0" w:color="auto"/>
        </w:rPr>
        <w:t>主たる担当：危機管理室、</w:t>
      </w:r>
      <w:r w:rsidRPr="008A3EDE">
        <w:rPr>
          <w:rFonts w:ascii="ＭＳ ゴシック" w:eastAsia="ＭＳ ゴシック" w:hAnsi="ＭＳ ゴシック" w:cs="ＭＳ Ｐゴシック" w:hint="eastAsia"/>
          <w:kern w:val="0"/>
          <w:sz w:val="22"/>
          <w:szCs w:val="22"/>
          <w:bdr w:val="single" w:sz="4" w:space="0" w:color="auto"/>
        </w:rPr>
        <w:t>男女参画･府民協働課</w:t>
      </w:r>
      <w:r w:rsidRPr="008A3EDE">
        <w:rPr>
          <w:rFonts w:ascii="ＭＳ ゴシック" w:eastAsia="ＭＳ ゴシック" w:hAnsi="ＭＳ ゴシック" w:hint="eastAsia"/>
          <w:sz w:val="22"/>
          <w:szCs w:val="22"/>
          <w:bdr w:val="single" w:sz="4" w:space="0" w:color="auto"/>
        </w:rPr>
        <w:t>、中小企業支援室</w:t>
      </w:r>
    </w:p>
    <w:p w14:paraId="11936DCF" w14:textId="77777777" w:rsidR="008B4B2B" w:rsidRPr="008A3EDE" w:rsidRDefault="008B4B2B" w:rsidP="008B4B2B">
      <w:pPr>
        <w:overflowPunct w:val="0"/>
        <w:autoSpaceDE w:val="0"/>
        <w:autoSpaceDN w:val="0"/>
        <w:ind w:firstLineChars="500" w:firstLine="1105"/>
        <w:rPr>
          <w:rFonts w:ascii="ＭＳ 明朝" w:hAnsi="ＭＳ 明朝"/>
          <w:dstrike/>
          <w:sz w:val="22"/>
          <w:szCs w:val="22"/>
        </w:rPr>
      </w:pPr>
      <w:r w:rsidRPr="008A3EDE">
        <w:rPr>
          <w:rFonts w:ascii="ＭＳ 明朝" w:hAnsi="ＭＳ 明朝" w:hint="eastAsia"/>
          <w:sz w:val="22"/>
          <w:szCs w:val="22"/>
        </w:rPr>
        <w:t>生活必需品の給与・貸与については、次のとおり行う。</w:t>
      </w:r>
    </w:p>
    <w:p w14:paraId="5FE84EAD" w14:textId="77777777" w:rsidR="008B4B2B" w:rsidRPr="008A3EDE" w:rsidRDefault="008B4B2B" w:rsidP="008B4B2B">
      <w:pPr>
        <w:overflowPunct w:val="0"/>
        <w:autoSpaceDE w:val="0"/>
        <w:autoSpaceDN w:val="0"/>
        <w:ind w:leftChars="511" w:left="1079" w:firstLine="1"/>
        <w:rPr>
          <w:rFonts w:ascii="ＭＳ 明朝" w:hAnsi="ＭＳ 明朝"/>
          <w:sz w:val="22"/>
          <w:szCs w:val="22"/>
        </w:rPr>
      </w:pPr>
      <w:r w:rsidRPr="008A3EDE">
        <w:rPr>
          <w:rFonts w:ascii="ＭＳ 明朝" w:hAnsi="ＭＳ 明朝" w:hint="eastAsia"/>
          <w:sz w:val="22"/>
          <w:szCs w:val="22"/>
        </w:rPr>
        <w:t>なお、対処の必要がある市町村が複数の場合は、府が、物資確保計画・物資配</w:t>
      </w:r>
    </w:p>
    <w:p w14:paraId="6E1F30B1" w14:textId="77777777" w:rsidR="008B4B2B" w:rsidRPr="008A3EDE" w:rsidRDefault="008B4B2B" w:rsidP="008B4B2B">
      <w:pPr>
        <w:overflowPunct w:val="0"/>
        <w:autoSpaceDE w:val="0"/>
        <w:autoSpaceDN w:val="0"/>
        <w:ind w:leftChars="400" w:left="844"/>
        <w:rPr>
          <w:rFonts w:ascii="ＭＳ 明朝" w:hAnsi="ＭＳ 明朝"/>
          <w:sz w:val="22"/>
          <w:szCs w:val="22"/>
        </w:rPr>
      </w:pPr>
      <w:r w:rsidRPr="008A3EDE">
        <w:rPr>
          <w:rFonts w:ascii="ＭＳ 明朝" w:hAnsi="ＭＳ 明朝" w:hint="eastAsia"/>
          <w:sz w:val="22"/>
          <w:szCs w:val="22"/>
        </w:rPr>
        <w:t>分計画を作成し、市町村は、府と市町村が確保した生活必需品を避難所などにおいて配布する。</w:t>
      </w:r>
    </w:p>
    <w:p w14:paraId="3D9BDB14" w14:textId="77777777" w:rsidR="008B4B2B" w:rsidRPr="008A3EDE" w:rsidRDefault="008B4B2B" w:rsidP="008B4B2B">
      <w:pPr>
        <w:overflowPunct w:val="0"/>
        <w:autoSpaceDE w:val="0"/>
        <w:autoSpaceDN w:val="0"/>
        <w:ind w:leftChars="400" w:left="844" w:firstLineChars="100" w:firstLine="221"/>
        <w:rPr>
          <w:rFonts w:ascii="ＭＳ 明朝" w:hAnsi="ＭＳ 明朝"/>
          <w:sz w:val="22"/>
          <w:szCs w:val="22"/>
        </w:rPr>
      </w:pPr>
      <w:r w:rsidRPr="008A3EDE">
        <w:rPr>
          <w:rFonts w:ascii="ＭＳ 明朝" w:hAnsi="ＭＳ 明朝" w:hint="eastAsia"/>
          <w:sz w:val="22"/>
          <w:szCs w:val="22"/>
        </w:rPr>
        <w:t>単一の市町村の場合は、市町村が確保した生活必需品を配布する。不足する場合は、府に要請し、府が確保した生活必需品と併せて配布する。</w:t>
      </w:r>
    </w:p>
    <w:p w14:paraId="1F3073F2" w14:textId="77777777" w:rsidR="008B4B2B" w:rsidRPr="008A3EDE" w:rsidRDefault="008B4B2B" w:rsidP="008B4B2B">
      <w:pPr>
        <w:overflowPunct w:val="0"/>
        <w:autoSpaceDE w:val="0"/>
        <w:autoSpaceDN w:val="0"/>
        <w:ind w:firstLineChars="450" w:firstLine="995"/>
        <w:rPr>
          <w:rFonts w:ascii="ＭＳ 明朝" w:hAnsi="ＭＳ 明朝"/>
          <w:sz w:val="22"/>
          <w:szCs w:val="22"/>
        </w:rPr>
      </w:pPr>
      <w:r w:rsidRPr="008A3EDE">
        <w:rPr>
          <w:rFonts w:ascii="ＭＳ 明朝" w:hAnsi="ＭＳ 明朝" w:hint="eastAsia"/>
          <w:sz w:val="22"/>
          <w:szCs w:val="22"/>
        </w:rPr>
        <w:t>(1)　災害用備蓄物資の供給</w:t>
      </w:r>
    </w:p>
    <w:p w14:paraId="524C93CC" w14:textId="5EE9ECC0" w:rsidR="008B4B2B" w:rsidRPr="008A3EDE" w:rsidRDefault="008B4B2B">
      <w:pPr>
        <w:overflowPunct w:val="0"/>
        <w:autoSpaceDE w:val="0"/>
        <w:autoSpaceDN w:val="0"/>
        <w:ind w:leftChars="630" w:left="1330" w:firstLineChars="100" w:firstLine="221"/>
        <w:rPr>
          <w:rFonts w:ascii="ＭＳ 明朝" w:hAnsi="ＭＳ 明朝"/>
          <w:sz w:val="22"/>
          <w:szCs w:val="22"/>
        </w:rPr>
      </w:pPr>
      <w:r w:rsidRPr="008A3EDE">
        <w:rPr>
          <w:rFonts w:ascii="ＭＳ 明朝" w:hAnsi="ＭＳ 明朝" w:hint="eastAsia"/>
          <w:sz w:val="22"/>
          <w:szCs w:val="22"/>
        </w:rPr>
        <w:t>災害対策課長は、市町村から生活必需品の供給の要請があったときは、府の災害用備蓄物資（毛布、哺乳瓶、紙おむつ、生理用ナプキン、簡易トイレ等）を供給する</w:t>
      </w:r>
      <w:r w:rsidRPr="008A3EDE">
        <w:rPr>
          <w:rFonts w:ascii="ＭＳ 明朝" w:hAnsi="ＭＳ 明朝" w:hint="eastAsia"/>
          <w:sz w:val="22"/>
          <w:szCs w:val="22"/>
          <w:shd w:val="pct15" w:color="auto" w:fill="FFFFFF"/>
        </w:rPr>
        <w:t>【第２フェーズ～】</w:t>
      </w:r>
      <w:r w:rsidRPr="008A3EDE">
        <w:rPr>
          <w:rFonts w:ascii="ＭＳ 明朝" w:hAnsi="ＭＳ 明朝" w:hint="eastAsia"/>
          <w:sz w:val="22"/>
          <w:szCs w:val="22"/>
        </w:rPr>
        <w:t>。</w:t>
      </w:r>
    </w:p>
    <w:p w14:paraId="5ECEDC2A" w14:textId="77777777" w:rsidR="008B4B2B" w:rsidRPr="008A3EDE" w:rsidRDefault="008B4B2B" w:rsidP="008B4B2B">
      <w:pPr>
        <w:overflowPunct w:val="0"/>
        <w:autoSpaceDE w:val="0"/>
        <w:autoSpaceDN w:val="0"/>
        <w:ind w:firstLineChars="450" w:firstLine="995"/>
        <w:rPr>
          <w:rFonts w:ascii="ＭＳ 明朝" w:hAnsi="ＭＳ 明朝"/>
          <w:sz w:val="22"/>
          <w:szCs w:val="22"/>
        </w:rPr>
      </w:pPr>
      <w:r w:rsidRPr="008A3EDE">
        <w:rPr>
          <w:rFonts w:ascii="ＭＳ 明朝" w:hAnsi="ＭＳ 明朝" w:hint="eastAsia"/>
          <w:sz w:val="22"/>
          <w:szCs w:val="22"/>
        </w:rPr>
        <w:t>(2)　生活必需品等の調達斡旋</w:t>
      </w:r>
    </w:p>
    <w:p w14:paraId="40E1160B" w14:textId="77777777" w:rsidR="008B4B2B" w:rsidRPr="008A3EDE" w:rsidRDefault="008B4B2B" w:rsidP="008B4B2B">
      <w:pPr>
        <w:overflowPunct w:val="0"/>
        <w:autoSpaceDE w:val="0"/>
        <w:autoSpaceDN w:val="0"/>
        <w:ind w:leftChars="560" w:left="1403" w:hangingChars="100" w:hanging="221"/>
        <w:rPr>
          <w:rFonts w:ascii="ＭＳ 明朝" w:hAnsi="ＭＳ 明朝"/>
          <w:sz w:val="22"/>
          <w:szCs w:val="22"/>
        </w:rPr>
      </w:pPr>
      <w:r w:rsidRPr="008A3EDE">
        <w:rPr>
          <w:rFonts w:ascii="ＭＳ 明朝" w:hAnsi="ＭＳ 明朝" w:hint="eastAsia"/>
          <w:sz w:val="22"/>
          <w:szCs w:val="22"/>
        </w:rPr>
        <w:t>①　災害対策課長は、市町村から生活必需品の供給の要請があったときは、「災害時における物資供給及び防災活動への協力に関する協定」に基づき、生活必需品等の供給を要請する</w:t>
      </w:r>
      <w:r w:rsidRPr="008A3EDE">
        <w:rPr>
          <w:rFonts w:ascii="ＭＳ 明朝" w:hAnsi="ＭＳ 明朝" w:hint="eastAsia"/>
          <w:sz w:val="22"/>
          <w:szCs w:val="22"/>
          <w:shd w:val="pct15" w:color="auto" w:fill="FFFFFF"/>
        </w:rPr>
        <w:t>【第２フェーズ～】</w:t>
      </w:r>
      <w:r w:rsidRPr="008A3EDE">
        <w:rPr>
          <w:rFonts w:ascii="ＭＳ 明朝" w:hAnsi="ＭＳ 明朝" w:hint="eastAsia"/>
          <w:sz w:val="22"/>
          <w:szCs w:val="22"/>
        </w:rPr>
        <w:t>。</w:t>
      </w:r>
    </w:p>
    <w:p w14:paraId="16177539" w14:textId="77777777" w:rsidR="008B4B2B" w:rsidRPr="008A3EDE" w:rsidRDefault="008B4B2B" w:rsidP="008B4B2B">
      <w:pPr>
        <w:overflowPunct w:val="0"/>
        <w:autoSpaceDE w:val="0"/>
        <w:autoSpaceDN w:val="0"/>
        <w:ind w:leftChars="560" w:left="1403" w:hangingChars="100" w:hanging="221"/>
        <w:rPr>
          <w:rFonts w:ascii="ＭＳ 明朝" w:hAnsi="ＭＳ 明朝"/>
          <w:sz w:val="22"/>
          <w:szCs w:val="22"/>
        </w:rPr>
      </w:pPr>
      <w:r w:rsidRPr="008A3EDE">
        <w:rPr>
          <w:rFonts w:ascii="ＭＳ 明朝" w:hAnsi="ＭＳ 明朝" w:hint="eastAsia"/>
          <w:sz w:val="22"/>
          <w:szCs w:val="22"/>
        </w:rPr>
        <w:t xml:space="preserve">②　</w:t>
      </w:r>
      <w:r w:rsidRPr="008A3EDE">
        <w:rPr>
          <w:rFonts w:ascii="ＭＳ 明朝" w:hAnsi="ＭＳ 明朝" w:cs="ＭＳ Ｐゴシック" w:hint="eastAsia"/>
          <w:kern w:val="0"/>
          <w:sz w:val="22"/>
          <w:szCs w:val="22"/>
        </w:rPr>
        <w:t>男女参画･府民協働課</w:t>
      </w:r>
      <w:r w:rsidRPr="008A3EDE">
        <w:rPr>
          <w:rFonts w:ascii="ＭＳ 明朝" w:hAnsi="ＭＳ 明朝" w:hint="eastAsia"/>
          <w:sz w:val="22"/>
          <w:szCs w:val="22"/>
        </w:rPr>
        <w:t>長は、所管する大阪府生活協同組合連合会に対し、応急生活物資の調達を必要に応じて要請する</w:t>
      </w:r>
      <w:r w:rsidRPr="008A3EDE">
        <w:rPr>
          <w:rFonts w:ascii="ＭＳ 明朝" w:hAnsi="ＭＳ 明朝" w:hint="eastAsia"/>
          <w:sz w:val="22"/>
          <w:szCs w:val="22"/>
          <w:shd w:val="pct15" w:color="auto" w:fill="FFFFFF"/>
        </w:rPr>
        <w:t>【第２フェーズ～】</w:t>
      </w:r>
      <w:r w:rsidRPr="008A3EDE">
        <w:rPr>
          <w:rFonts w:ascii="ＭＳ 明朝" w:hAnsi="ＭＳ 明朝" w:hint="eastAsia"/>
          <w:sz w:val="22"/>
          <w:szCs w:val="22"/>
        </w:rPr>
        <w:t>。</w:t>
      </w:r>
    </w:p>
    <w:p w14:paraId="0D35C679" w14:textId="46F424F2" w:rsidR="008B4B2B" w:rsidRPr="008A3EDE" w:rsidRDefault="008B4B2B" w:rsidP="001E630C">
      <w:pPr>
        <w:overflowPunct w:val="0"/>
        <w:autoSpaceDE w:val="0"/>
        <w:autoSpaceDN w:val="0"/>
        <w:ind w:leftChars="563" w:left="1378" w:hangingChars="86" w:hanging="190"/>
        <w:rPr>
          <w:rFonts w:ascii="ＭＳ 明朝" w:hAnsi="ＭＳ 明朝"/>
          <w:sz w:val="22"/>
          <w:szCs w:val="22"/>
        </w:rPr>
      </w:pPr>
      <w:r w:rsidRPr="008A3EDE">
        <w:rPr>
          <w:rFonts w:ascii="ＭＳ 明朝" w:hAnsi="ＭＳ 明朝" w:hint="eastAsia"/>
          <w:sz w:val="22"/>
          <w:szCs w:val="22"/>
        </w:rPr>
        <w:t xml:space="preserve">③  </w:t>
      </w:r>
      <w:r w:rsidR="007A386B" w:rsidRPr="008A3EDE">
        <w:rPr>
          <w:rFonts w:ascii="ＭＳ 明朝" w:hAnsi="ＭＳ 明朝" w:hint="eastAsia"/>
          <w:sz w:val="22"/>
          <w:szCs w:val="22"/>
        </w:rPr>
        <w:t>商業振興</w:t>
      </w:r>
      <w:r w:rsidRPr="008A3EDE">
        <w:rPr>
          <w:rFonts w:ascii="ＭＳ 明朝" w:hAnsi="ＭＳ 明朝" w:hint="eastAsia"/>
          <w:sz w:val="22"/>
          <w:szCs w:val="22"/>
        </w:rPr>
        <w:t>課長及びものづくり支援課長は、緊急物資（生活必需品）を必要に応じて、卸及び製造の各業界に対し、調達を要請する</w:t>
      </w:r>
      <w:r w:rsidRPr="008A3EDE">
        <w:rPr>
          <w:rFonts w:ascii="ＭＳ 明朝" w:hAnsi="ＭＳ 明朝" w:hint="eastAsia"/>
          <w:sz w:val="22"/>
          <w:szCs w:val="22"/>
          <w:shd w:val="pct15" w:color="auto" w:fill="FFFFFF"/>
        </w:rPr>
        <w:t>【第３フェーズ～】</w:t>
      </w:r>
      <w:r w:rsidRPr="008A3EDE">
        <w:rPr>
          <w:rFonts w:ascii="ＭＳ 明朝" w:hAnsi="ＭＳ 明朝" w:hint="eastAsia"/>
          <w:sz w:val="22"/>
          <w:szCs w:val="22"/>
        </w:rPr>
        <w:t>。</w:t>
      </w:r>
    </w:p>
    <w:p w14:paraId="630BD976" w14:textId="77777777" w:rsidR="008B4B2B" w:rsidRPr="008A3EDE" w:rsidRDefault="008B4B2B" w:rsidP="008B4B2B">
      <w:pPr>
        <w:overflowPunct w:val="0"/>
        <w:autoSpaceDE w:val="0"/>
        <w:autoSpaceDN w:val="0"/>
        <w:rPr>
          <w:rFonts w:ascii="ＭＳ 明朝" w:hAnsi="ＭＳ 明朝"/>
          <w:sz w:val="22"/>
          <w:szCs w:val="22"/>
        </w:rPr>
      </w:pPr>
    </w:p>
    <w:p w14:paraId="58A264F9" w14:textId="50D35BC7" w:rsidR="000923FC" w:rsidRPr="008A3EDE" w:rsidRDefault="000923FC">
      <w:pPr>
        <w:widowControl/>
        <w:jc w:val="left"/>
        <w:rPr>
          <w:rFonts w:ascii="ＭＳ 明朝" w:hAnsi="ＭＳ 明朝" w:cs="Courier New"/>
          <w:sz w:val="22"/>
          <w:szCs w:val="22"/>
        </w:rPr>
      </w:pPr>
      <w:r w:rsidRPr="008A3EDE">
        <w:rPr>
          <w:rFonts w:hAnsi="ＭＳ 明朝"/>
          <w:sz w:val="22"/>
          <w:szCs w:val="22"/>
        </w:rPr>
        <w:br w:type="page"/>
      </w:r>
    </w:p>
    <w:p w14:paraId="2E333451" w14:textId="1BEDA9E7" w:rsidR="008B4B2B" w:rsidRPr="008A3EDE" w:rsidRDefault="008B4B2B" w:rsidP="001F65EB">
      <w:pPr>
        <w:pStyle w:val="a0"/>
        <w:ind w:firstLineChars="200" w:firstLine="442"/>
        <w:outlineLvl w:val="2"/>
        <w:rPr>
          <w:rFonts w:ascii="ＭＳ ゴシック" w:eastAsia="ＭＳ ゴシック"/>
          <w:sz w:val="22"/>
          <w:szCs w:val="22"/>
          <w:u w:val="double"/>
        </w:rPr>
      </w:pPr>
      <w:bookmarkStart w:id="340" w:name="_Toc122436954"/>
      <w:bookmarkStart w:id="341" w:name="_Toc222486648"/>
      <w:bookmarkStart w:id="342" w:name="_Toc242870318"/>
      <w:r w:rsidRPr="008A3EDE">
        <w:rPr>
          <w:rFonts w:ascii="ＭＳ ゴシック" w:eastAsia="ＭＳ ゴシック" w:hint="eastAsia"/>
          <w:sz w:val="22"/>
          <w:szCs w:val="22"/>
          <w:u w:val="double"/>
        </w:rPr>
        <w:lastRenderedPageBreak/>
        <w:t>第３　住宅の応急確保</w:t>
      </w:r>
      <w:bookmarkEnd w:id="340"/>
      <w:bookmarkEnd w:id="341"/>
      <w:bookmarkEnd w:id="342"/>
    </w:p>
    <w:p w14:paraId="7D6ADA38" w14:textId="77777777" w:rsidR="008B4B2B" w:rsidRPr="008A3EDE" w:rsidRDefault="008B4B2B" w:rsidP="008B4B2B">
      <w:pPr>
        <w:pStyle w:val="a0"/>
        <w:ind w:firstLineChars="500" w:firstLine="1105"/>
        <w:rPr>
          <w:rFonts w:ascii="ＭＳ ゴシック" w:eastAsia="ＭＳ ゴシック" w:hAnsi="ＭＳ ゴシック"/>
          <w:sz w:val="22"/>
          <w:szCs w:val="22"/>
          <w:bdr w:val="single" w:sz="4" w:space="0" w:color="auto"/>
        </w:rPr>
      </w:pPr>
      <w:r w:rsidRPr="008A3EDE">
        <w:rPr>
          <w:rFonts w:ascii="ＭＳ ゴシック" w:eastAsia="ＭＳ ゴシック" w:hAnsi="ＭＳ ゴシック" w:hint="eastAsia"/>
          <w:sz w:val="22"/>
          <w:szCs w:val="22"/>
          <w:bdr w:val="single" w:sz="4" w:space="0" w:color="auto"/>
        </w:rPr>
        <w:t>主たる担当：危機管理室、中小企業支援室、みどり推進室</w:t>
      </w:r>
    </w:p>
    <w:p w14:paraId="07428B89" w14:textId="77777777" w:rsidR="008B4B2B" w:rsidRPr="008A3EDE" w:rsidRDefault="00C011F2" w:rsidP="008B4B2B">
      <w:pPr>
        <w:pStyle w:val="a0"/>
        <w:ind w:firstLineChars="1150" w:firstLine="2543"/>
        <w:rPr>
          <w:rFonts w:ascii="ＭＳ ゴシック" w:eastAsia="ＭＳ ゴシック" w:hAnsi="ＭＳ ゴシック"/>
          <w:sz w:val="22"/>
          <w:szCs w:val="22"/>
          <w:bdr w:val="single" w:sz="4" w:space="0" w:color="auto"/>
        </w:rPr>
      </w:pPr>
      <w:r w:rsidRPr="008A3EDE">
        <w:rPr>
          <w:rFonts w:ascii="ＭＳ ゴシック" w:eastAsia="ＭＳ ゴシック" w:hAnsi="ＭＳ ゴシック" w:hint="eastAsia"/>
          <w:sz w:val="22"/>
          <w:szCs w:val="22"/>
          <w:bdr w:val="single" w:sz="4" w:space="0" w:color="auto"/>
        </w:rPr>
        <w:t>都市整備部</w:t>
      </w:r>
      <w:r w:rsidR="008B4B2B" w:rsidRPr="008A3EDE">
        <w:rPr>
          <w:rFonts w:ascii="ＭＳ ゴシック" w:eastAsia="ＭＳ ゴシック" w:hAnsi="ＭＳ ゴシック" w:hint="eastAsia"/>
          <w:sz w:val="22"/>
          <w:szCs w:val="22"/>
          <w:bdr w:val="single" w:sz="4" w:space="0" w:color="auto"/>
        </w:rPr>
        <w:t>関係室・課</w:t>
      </w:r>
    </w:p>
    <w:p w14:paraId="411150A6" w14:textId="77777777" w:rsidR="001E630C" w:rsidRPr="008A3EDE" w:rsidRDefault="001E630C" w:rsidP="008B4B2B">
      <w:pPr>
        <w:overflowPunct w:val="0"/>
        <w:autoSpaceDE w:val="0"/>
        <w:autoSpaceDN w:val="0"/>
        <w:ind w:firstLineChars="300" w:firstLine="663"/>
        <w:rPr>
          <w:rFonts w:ascii="ＭＳ ゴシック" w:eastAsia="ＭＳ ゴシック" w:hAnsi="ＭＳ ゴシック"/>
          <w:sz w:val="22"/>
          <w:szCs w:val="22"/>
          <w:u w:val="single"/>
        </w:rPr>
      </w:pPr>
    </w:p>
    <w:p w14:paraId="1EEFBD8B" w14:textId="48C1777A" w:rsidR="008B4B2B" w:rsidRPr="008A3EDE" w:rsidRDefault="008B4B2B" w:rsidP="008B4B2B">
      <w:pPr>
        <w:overflowPunct w:val="0"/>
        <w:autoSpaceDE w:val="0"/>
        <w:autoSpaceDN w:val="0"/>
        <w:ind w:firstLineChars="300" w:firstLine="663"/>
        <w:rPr>
          <w:rFonts w:ascii="ＭＳ ゴシック" w:eastAsia="ＭＳ ゴシック" w:hAnsi="ＭＳ ゴシック"/>
          <w:sz w:val="22"/>
          <w:szCs w:val="22"/>
          <w:u w:val="single"/>
        </w:rPr>
      </w:pPr>
      <w:r w:rsidRPr="008A3EDE">
        <w:rPr>
          <w:rFonts w:ascii="ＭＳ ゴシック" w:eastAsia="ＭＳ ゴシック" w:hAnsi="ＭＳ ゴシック" w:hint="eastAsia"/>
          <w:sz w:val="22"/>
          <w:szCs w:val="22"/>
          <w:u w:val="single"/>
        </w:rPr>
        <w:t>１　被災住宅の応急修理</w:t>
      </w:r>
      <w:r w:rsidRPr="008A3EDE">
        <w:rPr>
          <w:rFonts w:ascii="ＭＳ ゴシック" w:eastAsia="ＭＳ ゴシック" w:hAnsi="ＭＳ ゴシック" w:hint="eastAsia"/>
          <w:sz w:val="22"/>
          <w:szCs w:val="22"/>
          <w:u w:val="single"/>
          <w:shd w:val="pct15" w:color="auto" w:fill="FFFFFF"/>
        </w:rPr>
        <w:t>【第４フェーズ～】</w:t>
      </w:r>
    </w:p>
    <w:p w14:paraId="6E474EDE" w14:textId="77777777" w:rsidR="008B4B2B" w:rsidRPr="008A3EDE" w:rsidRDefault="008B4B2B" w:rsidP="008B4B2B">
      <w:pPr>
        <w:overflowPunct w:val="0"/>
        <w:autoSpaceDE w:val="0"/>
        <w:autoSpaceDN w:val="0"/>
        <w:ind w:firstLineChars="300" w:firstLine="663"/>
        <w:rPr>
          <w:rFonts w:ascii="ＭＳ ゴシック" w:eastAsia="ＭＳ ゴシック" w:hAnsi="ＭＳ ゴシック"/>
          <w:sz w:val="22"/>
          <w:szCs w:val="22"/>
        </w:rPr>
      </w:pPr>
      <w:r w:rsidRPr="008A3EDE">
        <w:rPr>
          <w:rFonts w:ascii="ＭＳ ゴシック" w:eastAsia="ＭＳ ゴシック" w:hAnsi="ＭＳ ゴシック" w:hint="eastAsia"/>
          <w:noProof/>
          <w:sz w:val="22"/>
          <w:szCs w:val="22"/>
        </w:rPr>
        <mc:AlternateContent>
          <mc:Choice Requires="wps">
            <w:drawing>
              <wp:anchor distT="0" distB="0" distL="114300" distR="114300" simplePos="0" relativeHeight="253382656" behindDoc="0" locked="0" layoutInCell="1" allowOverlap="1" wp14:anchorId="37689076" wp14:editId="36C85FDD">
                <wp:simplePos x="0" y="0"/>
                <wp:positionH relativeFrom="column">
                  <wp:posOffset>731520</wp:posOffset>
                </wp:positionH>
                <wp:positionV relativeFrom="paragraph">
                  <wp:posOffset>168910</wp:posOffset>
                </wp:positionV>
                <wp:extent cx="2171700" cy="342900"/>
                <wp:effectExtent l="7620" t="6985" r="11430" b="12065"/>
                <wp:wrapNone/>
                <wp:docPr id="3926" name="AutoShape 260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71700" cy="342900"/>
                        </a:xfrm>
                        <a:prstGeom prst="cube">
                          <a:avLst>
                            <a:gd name="adj" fmla="val 25000"/>
                          </a:avLst>
                        </a:prstGeom>
                        <a:solidFill>
                          <a:srgbClr val="FFFFFF"/>
                        </a:solidFill>
                        <a:ln w="9525">
                          <a:solidFill>
                            <a:srgbClr val="000000"/>
                          </a:solidFill>
                          <a:miter lim="800000"/>
                          <a:headEnd/>
                          <a:tailEnd/>
                        </a:ln>
                      </wps:spPr>
                      <wps:txbx>
                        <w:txbxContent>
                          <w:p w14:paraId="3124A83F" w14:textId="77777777" w:rsidR="006A5267" w:rsidRPr="00311E29" w:rsidRDefault="006A5267" w:rsidP="008B4B2B">
                            <w:pPr>
                              <w:rPr>
                                <w:rFonts w:ascii="ＭＳ ゴシック" w:eastAsia="ＭＳ ゴシック" w:hAnsi="ＭＳ ゴシック"/>
                                <w:sz w:val="20"/>
                                <w:szCs w:val="20"/>
                              </w:rPr>
                            </w:pPr>
                            <w:r>
                              <w:rPr>
                                <w:rFonts w:ascii="ＭＳ ゴシック" w:eastAsia="ＭＳ ゴシック" w:hAnsi="ＭＳ ゴシック" w:hint="eastAsia"/>
                                <w:sz w:val="20"/>
                                <w:szCs w:val="20"/>
                              </w:rPr>
                              <w:t>状況に応じ、市町村に事務を委任</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shapetype w14:anchorId="37689076" id="_x0000_t16" coordsize="21600,21600" o:spt="16" adj="5400" path="m@0,l0@0,,21600@1,21600,21600@2,21600,xem0@0nfl@1@0,21600,em@1@0nfl@1,21600e">
                <v:stroke joinstyle="miter"/>
                <v:formulas>
                  <v:f eqn="val #0"/>
                  <v:f eqn="sum width 0 #0"/>
                  <v:f eqn="sum height 0 #0"/>
                  <v:f eqn="mid height #0"/>
                  <v:f eqn="prod @1 1 2"/>
                  <v:f eqn="prod @2 1 2"/>
                  <v:f eqn="mid width #0"/>
                </v:formulas>
                <v:path o:extrusionok="f" gradientshapeok="t" limo="10800,10800" o:connecttype="custom" o:connectlocs="@6,0;@4,@0;0,@3;@4,21600;@1,@3;21600,@5" o:connectangles="270,270,180,90,0,0" textboxrect="0,@0,@1,21600"/>
                <v:handles>
                  <v:h position="topLeft,#0" switch="" yrange="0,21600"/>
                </v:handles>
                <o:complex v:ext="view"/>
              </v:shapetype>
              <v:shape id="AutoShape 2606" o:spid="_x0000_s1512" type="#_x0000_t16" style="position:absolute;left:0;text-align:left;margin-left:57.6pt;margin-top:13.3pt;width:171pt;height:27pt;z-index:2533826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">
                <v:textbox inset="5.85pt,.7pt,5.85pt,.7pt">
                  <w:txbxContent>
                    <w:p w14:paraId="3124A83F" w14:textId="77777777" w:rsidR="006A5267" w:rsidRPr="00311E29" w:rsidRDefault="006A5267" w:rsidP="008B4B2B">
                      <w:pPr>
                        <w:rPr>
                          <w:rFonts w:ascii="ＭＳ ゴシック" w:eastAsia="ＭＳ ゴシック" w:hAnsi="ＭＳ ゴシック"/>
                          <w:sz w:val="20"/>
                          <w:szCs w:val="20"/>
                        </w:rPr>
                      </w:pPr>
                      <w:r>
                        <w:rPr>
                          <w:rFonts w:ascii="ＭＳ ゴシック" w:eastAsia="ＭＳ ゴシック" w:hAnsi="ＭＳ ゴシック" w:hint="eastAsia"/>
                          <w:sz w:val="20"/>
                          <w:szCs w:val="20"/>
                        </w:rPr>
                        <w:t>状況に応じ、市町村に事務を委任</w:t>
                      </w:r>
                    </w:p>
                  </w:txbxContent>
                </v:textbox>
              </v:shape>
            </w:pict>
          </mc:Fallback>
        </mc:AlternateContent>
      </w:r>
    </w:p>
    <w:p w14:paraId="40A97E87" w14:textId="77777777" w:rsidR="008B4B2B" w:rsidRPr="008A3EDE" w:rsidRDefault="008B4B2B" w:rsidP="008B4B2B">
      <w:pPr>
        <w:overflowPunct w:val="0"/>
        <w:autoSpaceDE w:val="0"/>
        <w:autoSpaceDN w:val="0"/>
        <w:ind w:firstLineChars="300" w:firstLine="663"/>
        <w:rPr>
          <w:rFonts w:ascii="ＭＳ ゴシック" w:eastAsia="ＭＳ ゴシック" w:hAnsi="ＭＳ ゴシック"/>
          <w:sz w:val="22"/>
          <w:szCs w:val="22"/>
        </w:rPr>
      </w:pPr>
    </w:p>
    <w:p w14:paraId="4167DFD4" w14:textId="77777777" w:rsidR="008B4B2B" w:rsidRPr="008A3EDE" w:rsidRDefault="008B4B2B" w:rsidP="008B4B2B">
      <w:pPr>
        <w:overflowPunct w:val="0"/>
        <w:autoSpaceDE w:val="0"/>
        <w:autoSpaceDN w:val="0"/>
        <w:ind w:firstLineChars="300" w:firstLine="663"/>
        <w:rPr>
          <w:rFonts w:ascii="ＭＳ ゴシック" w:eastAsia="ＭＳ ゴシック" w:hAnsi="ＭＳ ゴシック"/>
          <w:sz w:val="22"/>
          <w:szCs w:val="22"/>
        </w:rPr>
      </w:pPr>
      <w:r w:rsidRPr="008A3EDE">
        <w:rPr>
          <w:rFonts w:ascii="ＭＳ ゴシック" w:eastAsia="ＭＳ ゴシック" w:hAnsi="ＭＳ ゴシック" w:hint="eastAsia"/>
          <w:noProof/>
          <w:sz w:val="22"/>
          <w:szCs w:val="22"/>
        </w:rPr>
        <mc:AlternateContent>
          <mc:Choice Requires="wps">
            <w:drawing>
              <wp:anchor distT="0" distB="0" distL="114300" distR="114300" simplePos="0" relativeHeight="253384704" behindDoc="0" locked="0" layoutInCell="1" allowOverlap="1" wp14:anchorId="20A7A2A1" wp14:editId="401280F8">
                <wp:simplePos x="0" y="0"/>
                <wp:positionH relativeFrom="column">
                  <wp:posOffset>5189220</wp:posOffset>
                </wp:positionH>
                <wp:positionV relativeFrom="paragraph">
                  <wp:posOffset>168910</wp:posOffset>
                </wp:positionV>
                <wp:extent cx="571500" cy="1714500"/>
                <wp:effectExtent l="17145" t="26035" r="11430" b="12065"/>
                <wp:wrapNone/>
                <wp:docPr id="3925" name="AutoShape 260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71500" cy="1714500"/>
                        </a:xfrm>
                        <a:prstGeom prst="pentagon">
                          <a:avLst/>
                        </a:prstGeom>
                        <a:solidFill>
                          <a:srgbClr val="FFFFFF"/>
                        </a:solidFill>
                        <a:ln w="9525">
                          <a:solidFill>
                            <a:srgbClr val="000000"/>
                          </a:solidFill>
                          <a:miter lim="800000"/>
                          <a:headEnd/>
                          <a:tailEnd/>
                        </a:ln>
                      </wps:spPr>
                      <wps:txbx>
                        <w:txbxContent>
                          <w:p w14:paraId="3DA90B47" w14:textId="77777777" w:rsidR="006A5267" w:rsidRPr="0081579C" w:rsidRDefault="006A5267" w:rsidP="008B4B2B">
                            <w:pPr>
                              <w:spacing w:line="240" w:lineRule="exact"/>
                              <w:jc w:val="center"/>
                              <w:rPr>
                                <w:rFonts w:ascii="ＭＳ ゴシック" w:eastAsia="ＭＳ ゴシック" w:hAnsi="ＭＳ ゴシック"/>
                                <w:sz w:val="20"/>
                                <w:szCs w:val="20"/>
                              </w:rPr>
                            </w:pPr>
                            <w:r w:rsidRPr="0081579C">
                              <w:rPr>
                                <w:rFonts w:ascii="ＭＳ ゴシック" w:eastAsia="ＭＳ ゴシック" w:hAnsi="ＭＳ ゴシック" w:hint="eastAsia"/>
                                <w:sz w:val="20"/>
                                <w:szCs w:val="20"/>
                              </w:rPr>
                              <w:t>応急修理</w:t>
                            </w:r>
                            <w:r>
                              <w:rPr>
                                <w:rFonts w:ascii="ＭＳ ゴシック" w:eastAsia="ＭＳ ゴシック" w:hAnsi="ＭＳ ゴシック" w:hint="eastAsia"/>
                                <w:sz w:val="20"/>
                                <w:szCs w:val="20"/>
                              </w:rPr>
                              <w:t>の実施</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shape w14:anchorId="20A7A2A1" id="AutoShape 2608" o:spid="_x0000_s1513" type="#_x0000_t56" style="position:absolute;left:0;text-align:left;margin-left:408.6pt;margin-top:13.3pt;width:45pt;height:135pt;z-index:253384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">
                <v:textbox inset="5.85pt,.7pt,5.85pt,.7pt">
                  <w:txbxContent>
                    <w:p w14:paraId="3DA90B47" w14:textId="77777777" w:rsidR="006A5267" w:rsidRPr="0081579C" w:rsidRDefault="006A5267" w:rsidP="008B4B2B">
                      <w:pPr>
                        <w:spacing w:line="240" w:lineRule="exact"/>
                        <w:jc w:val="center"/>
                        <w:rPr>
                          <w:rFonts w:ascii="ＭＳ ゴシック" w:eastAsia="ＭＳ ゴシック" w:hAnsi="ＭＳ ゴシック"/>
                          <w:sz w:val="20"/>
                          <w:szCs w:val="20"/>
                        </w:rPr>
                      </w:pPr>
                      <w:r w:rsidRPr="0081579C">
                        <w:rPr>
                          <w:rFonts w:ascii="ＭＳ ゴシック" w:eastAsia="ＭＳ ゴシック" w:hAnsi="ＭＳ ゴシック" w:hint="eastAsia"/>
                          <w:sz w:val="20"/>
                          <w:szCs w:val="20"/>
                        </w:rPr>
                        <w:t>応急修理</w:t>
                      </w:r>
                      <w:r>
                        <w:rPr>
                          <w:rFonts w:ascii="ＭＳ ゴシック" w:eastAsia="ＭＳ ゴシック" w:hAnsi="ＭＳ ゴシック" w:hint="eastAsia"/>
                          <w:sz w:val="20"/>
                          <w:szCs w:val="20"/>
                        </w:rPr>
                        <w:t>の実施</w:t>
                      </w:r>
                    </w:p>
                  </w:txbxContent>
                </v:textbox>
              </v:shape>
            </w:pict>
          </mc:Fallback>
        </mc:AlternateContent>
      </w:r>
      <w:r w:rsidRPr="008A3EDE">
        <w:rPr>
          <w:rFonts w:ascii="ＭＳ ゴシック" w:eastAsia="ＭＳ ゴシック" w:hAnsi="ＭＳ ゴシック" w:hint="eastAsia"/>
          <w:noProof/>
          <w:sz w:val="22"/>
          <w:szCs w:val="22"/>
        </w:rPr>
        <mc:AlternateContent>
          <mc:Choice Requires="wps">
            <w:drawing>
              <wp:anchor distT="0" distB="0" distL="114300" distR="114300" simplePos="0" relativeHeight="253392896" behindDoc="0" locked="0" layoutInCell="1" allowOverlap="1" wp14:anchorId="366F881F" wp14:editId="20EA8236">
                <wp:simplePos x="0" y="0"/>
                <wp:positionH relativeFrom="column">
                  <wp:posOffset>1760220</wp:posOffset>
                </wp:positionH>
                <wp:positionV relativeFrom="paragraph">
                  <wp:posOffset>168910</wp:posOffset>
                </wp:positionV>
                <wp:extent cx="571500" cy="228600"/>
                <wp:effectExtent l="7620" t="6985" r="11430" b="12065"/>
                <wp:wrapNone/>
                <wp:docPr id="3924" name="Text Box 26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1500" cy="228600"/>
                        </a:xfrm>
                        <a:prstGeom prst="rect">
                          <a:avLst/>
                        </a:prstGeom>
                        <a:solidFill>
                          <a:srgbClr val="FFFFFF"/>
                        </a:solidFill>
                        <a:ln w="9525">
                          <a:solidFill>
                            <a:srgbClr val="000000"/>
                          </a:solidFill>
                          <a:miter lim="800000"/>
                          <a:headEnd/>
                          <a:tailEnd/>
                        </a:ln>
                      </wps:spPr>
                      <wps:txbx>
                        <w:txbxContent>
                          <w:p w14:paraId="5CDA5017" w14:textId="77777777" w:rsidR="006A5267" w:rsidRPr="004329E6" w:rsidRDefault="006A5267" w:rsidP="008B4B2B">
                            <w:pPr>
                              <w:rPr>
                                <w:rFonts w:ascii="ＭＳ ゴシック" w:eastAsia="ＭＳ ゴシック" w:hAnsi="ＭＳ ゴシック"/>
                                <w:sz w:val="20"/>
                                <w:szCs w:val="20"/>
                              </w:rPr>
                            </w:pPr>
                            <w:r>
                              <w:rPr>
                                <w:rFonts w:ascii="ＭＳ ゴシック" w:eastAsia="ＭＳ ゴシック" w:hAnsi="ＭＳ ゴシック" w:hint="eastAsia"/>
                                <w:sz w:val="20"/>
                                <w:szCs w:val="20"/>
                              </w:rPr>
                              <w:t>大阪府</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shape w14:anchorId="366F881F" id="Text Box 2617" o:spid="_x0000_s1514" type="#_x0000_t202" style="position:absolute;left:0;text-align:left;margin-left:138.6pt;margin-top:13.3pt;width:45pt;height:18pt;z-index:2533928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">
                <v:textbox inset="5.85pt,.7pt,5.85pt,.7pt">
                  <w:txbxContent>
                    <w:p w14:paraId="5CDA5017" w14:textId="77777777" w:rsidR="006A5267" w:rsidRPr="004329E6" w:rsidRDefault="006A5267" w:rsidP="008B4B2B">
                      <w:pPr>
                        <w:rPr>
                          <w:rFonts w:ascii="ＭＳ ゴシック" w:eastAsia="ＭＳ ゴシック" w:hAnsi="ＭＳ ゴシック"/>
                          <w:sz w:val="20"/>
                          <w:szCs w:val="20"/>
                        </w:rPr>
                      </w:pPr>
                      <w:r>
                        <w:rPr>
                          <w:rFonts w:ascii="ＭＳ ゴシック" w:eastAsia="ＭＳ ゴシック" w:hAnsi="ＭＳ ゴシック" w:hint="eastAsia"/>
                          <w:sz w:val="20"/>
                          <w:szCs w:val="20"/>
                        </w:rPr>
                        <w:t>大阪府</w:t>
                      </w:r>
                    </w:p>
                  </w:txbxContent>
                </v:textbox>
              </v:shape>
            </w:pict>
          </mc:Fallback>
        </mc:AlternateContent>
      </w:r>
      <w:r w:rsidRPr="008A3EDE">
        <w:rPr>
          <w:rFonts w:ascii="ＭＳ ゴシック" w:eastAsia="ＭＳ ゴシック" w:hAnsi="ＭＳ ゴシック" w:hint="eastAsia"/>
          <w:noProof/>
          <w:sz w:val="22"/>
          <w:szCs w:val="22"/>
        </w:rPr>
        <mc:AlternateContent>
          <mc:Choice Requires="wps">
            <w:drawing>
              <wp:anchor distT="0" distB="0" distL="114300" distR="114300" simplePos="0" relativeHeight="253383680" behindDoc="0" locked="0" layoutInCell="1" allowOverlap="1" wp14:anchorId="17595572" wp14:editId="5F921C78">
                <wp:simplePos x="0" y="0"/>
                <wp:positionH relativeFrom="column">
                  <wp:posOffset>2446020</wp:posOffset>
                </wp:positionH>
                <wp:positionV relativeFrom="paragraph">
                  <wp:posOffset>54610</wp:posOffset>
                </wp:positionV>
                <wp:extent cx="0" cy="228600"/>
                <wp:effectExtent l="55245" t="16510" r="59055" b="12065"/>
                <wp:wrapNone/>
                <wp:docPr id="3923" name="Line 260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0" cy="228600"/>
                        </a:xfrm>
                        <a:prstGeom prst="line">
                          <a:avLst/>
                        </a:prstGeom>
                        <a:noFill/>
                        <a:ln w="9525">
                          <a:solidFill>
                            <a:srgbClr val="000000"/>
                          </a:solidFill>
                          <a:round/>
                          <a:headEnd/>
                          <a:tailEnd type="stealth"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line w14:anchorId="13D762BE" id="Line 2607" o:spid="_x0000_s1026" style="position:absolute;left:0;text-align:left;flip:y;z-index:253383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92.6pt,4.3pt" to="192.6pt,22.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">
                <v:stroke endarrow="classic"/>
              </v:line>
            </w:pict>
          </mc:Fallback>
        </mc:AlternateContent>
      </w:r>
    </w:p>
    <w:p w14:paraId="4902993D" w14:textId="77777777" w:rsidR="008B4B2B" w:rsidRPr="008A3EDE" w:rsidRDefault="008B4B2B" w:rsidP="008B4B2B">
      <w:pPr>
        <w:overflowPunct w:val="0"/>
        <w:autoSpaceDE w:val="0"/>
        <w:autoSpaceDN w:val="0"/>
        <w:ind w:firstLineChars="300" w:firstLine="663"/>
        <w:rPr>
          <w:rFonts w:ascii="ＭＳ ゴシック" w:eastAsia="ＭＳ ゴシック" w:hAnsi="ＭＳ ゴシック"/>
          <w:sz w:val="22"/>
          <w:szCs w:val="22"/>
        </w:rPr>
      </w:pPr>
      <w:r w:rsidRPr="008A3EDE">
        <w:rPr>
          <w:rFonts w:ascii="ＭＳ ゴシック" w:eastAsia="ＭＳ ゴシック" w:hAnsi="ＭＳ ゴシック" w:hint="eastAsia"/>
          <w:noProof/>
          <w:sz w:val="22"/>
          <w:szCs w:val="22"/>
        </w:rPr>
        <mc:AlternateContent>
          <mc:Choice Requires="wps">
            <w:drawing>
              <wp:anchor distT="0" distB="0" distL="114300" distR="114300" simplePos="0" relativeHeight="253387776" behindDoc="0" locked="0" layoutInCell="1" allowOverlap="1" wp14:anchorId="173BC2FB" wp14:editId="035B130C">
                <wp:simplePos x="0" y="0"/>
                <wp:positionH relativeFrom="column">
                  <wp:posOffset>3931920</wp:posOffset>
                </wp:positionH>
                <wp:positionV relativeFrom="paragraph">
                  <wp:posOffset>54610</wp:posOffset>
                </wp:positionV>
                <wp:extent cx="1028700" cy="1600200"/>
                <wp:effectExtent l="7620" t="6985" r="11430" b="12065"/>
                <wp:wrapNone/>
                <wp:docPr id="3922" name="Text Box 261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28700" cy="1600200"/>
                        </a:xfrm>
                        <a:prstGeom prst="rect">
                          <a:avLst/>
                        </a:prstGeom>
                        <a:solidFill>
                          <a:srgbClr val="FFFFFF"/>
                        </a:solidFill>
                        <a:ln w="9525">
                          <a:solidFill>
                            <a:srgbClr val="000000"/>
                          </a:solidFill>
                          <a:miter lim="800000"/>
                          <a:headEnd/>
                          <a:tailEnd/>
                        </a:ln>
                      </wps:spPr>
                      <wps:txbx>
                        <w:txbxContent>
                          <w:p w14:paraId="1FD7BACE" w14:textId="77777777" w:rsidR="006A5267" w:rsidRDefault="006A5267" w:rsidP="008B4B2B"/>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shape w14:anchorId="173BC2FB" id="Text Box 2612" o:spid="_x0000_s1515" type="#_x0000_t202" style="position:absolute;left:0;text-align:left;margin-left:309.6pt;margin-top:4.3pt;width:81pt;height:126pt;z-index:253387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">
                <v:textbox inset="5.85pt,.7pt,5.85pt,.7pt">
                  <w:txbxContent>
                    <w:p w14:paraId="1FD7BACE" w14:textId="77777777" w:rsidR="006A5267" w:rsidRDefault="006A5267" w:rsidP="008B4B2B"/>
                  </w:txbxContent>
                </v:textbox>
              </v:shape>
            </w:pict>
          </mc:Fallback>
        </mc:AlternateContent>
      </w:r>
      <w:r w:rsidRPr="008A3EDE">
        <w:rPr>
          <w:rFonts w:ascii="ＭＳ ゴシック" w:eastAsia="ＭＳ ゴシック" w:hAnsi="ＭＳ ゴシック" w:hint="eastAsia"/>
          <w:noProof/>
          <w:sz w:val="22"/>
          <w:szCs w:val="22"/>
        </w:rPr>
        <mc:AlternateContent>
          <mc:Choice Requires="wps">
            <w:drawing>
              <wp:anchor distT="0" distB="0" distL="114300" distR="114300" simplePos="0" relativeHeight="253379584" behindDoc="0" locked="0" layoutInCell="1" allowOverlap="1" wp14:anchorId="121B9CE9" wp14:editId="57F6529A">
                <wp:simplePos x="0" y="0"/>
                <wp:positionH relativeFrom="column">
                  <wp:posOffset>1760220</wp:posOffset>
                </wp:positionH>
                <wp:positionV relativeFrom="paragraph">
                  <wp:posOffset>54610</wp:posOffset>
                </wp:positionV>
                <wp:extent cx="1943100" cy="1600200"/>
                <wp:effectExtent l="7620" t="6985" r="11430" b="12065"/>
                <wp:wrapNone/>
                <wp:docPr id="3921" name="AutoShape 260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943100" cy="1600200"/>
                        </a:xfrm>
                        <a:prstGeom prst="roundRect">
                          <a:avLst>
                            <a:gd name="adj" fmla="val 16667"/>
                          </a:avLst>
                        </a:prstGeom>
                        <a:solidFill>
                          <a:srgbClr val="FFFFFF"/>
                        </a:solidFill>
                        <a:ln w="9525">
                          <a:solidFill>
                            <a:srgbClr val="000000"/>
                          </a:solidFill>
                          <a:round/>
                          <a:headEnd/>
                          <a:tailEnd/>
                        </a:ln>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roundrect w14:anchorId="5B49F37B" id="AutoShape 2602" o:spid="_x0000_s1026" style="position:absolute;left:0;text-align:left;margin-left:138.6pt;margin-top:4.3pt;width:153pt;height:126pt;z-index:2533795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">
                <v:textbox inset="5.85pt,.7pt,5.85pt,.7pt"/>
              </v:roundrect>
            </w:pict>
          </mc:Fallback>
        </mc:AlternateContent>
      </w:r>
      <w:r w:rsidRPr="008A3EDE">
        <w:rPr>
          <w:rFonts w:ascii="ＭＳ ゴシック" w:eastAsia="ＭＳ ゴシック" w:hAnsi="ＭＳ ゴシック" w:hint="eastAsia"/>
          <w:noProof/>
          <w:sz w:val="22"/>
          <w:szCs w:val="22"/>
        </w:rPr>
        <mc:AlternateContent>
          <mc:Choice Requires="wps">
            <w:drawing>
              <wp:anchor distT="0" distB="0" distL="114300" distR="114300" simplePos="0" relativeHeight="253377536" behindDoc="0" locked="0" layoutInCell="1" allowOverlap="1" wp14:anchorId="0A7D5B02" wp14:editId="1FCBD456">
                <wp:simplePos x="0" y="0"/>
                <wp:positionH relativeFrom="column">
                  <wp:posOffset>617220</wp:posOffset>
                </wp:positionH>
                <wp:positionV relativeFrom="paragraph">
                  <wp:posOffset>54610</wp:posOffset>
                </wp:positionV>
                <wp:extent cx="342900" cy="1600200"/>
                <wp:effectExtent l="7620" t="6985" r="11430" b="12065"/>
                <wp:wrapNone/>
                <wp:docPr id="3920" name="AutoShape 260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42900" cy="1600200"/>
                        </a:xfrm>
                        <a:prstGeom prst="roundRect">
                          <a:avLst>
                            <a:gd name="adj" fmla="val 16667"/>
                          </a:avLst>
                        </a:prstGeom>
                        <a:solidFill>
                          <a:srgbClr val="FFFFFF"/>
                        </a:solidFill>
                        <a:ln w="9525">
                          <a:solidFill>
                            <a:srgbClr val="000000"/>
                          </a:solidFill>
                          <a:round/>
                          <a:headEnd/>
                          <a:tailEnd/>
                        </a:ln>
                      </wps:spPr>
                      <wps:txbx>
                        <w:txbxContent>
                          <w:p w14:paraId="7D099A32" w14:textId="77777777" w:rsidR="006A5267" w:rsidRDefault="006A5267" w:rsidP="008B4B2B">
                            <w:pPr>
                              <w:rPr>
                                <w:rFonts w:ascii="ＭＳ ゴシック" w:eastAsia="ＭＳ ゴシック" w:hAnsi="ＭＳ ゴシック"/>
                                <w:sz w:val="20"/>
                                <w:szCs w:val="20"/>
                              </w:rPr>
                            </w:pPr>
                          </w:p>
                          <w:p w14:paraId="746D6C78" w14:textId="77777777" w:rsidR="006A5267" w:rsidRPr="00844DCB" w:rsidRDefault="006A5267" w:rsidP="008B4B2B">
                            <w:pPr>
                              <w:rPr>
                                <w:rFonts w:ascii="ＭＳ ゴシック" w:eastAsia="ＭＳ ゴシック" w:hAnsi="ＭＳ ゴシック"/>
                                <w:sz w:val="20"/>
                                <w:szCs w:val="20"/>
                              </w:rPr>
                            </w:pPr>
                            <w:r>
                              <w:rPr>
                                <w:rFonts w:ascii="ＭＳ ゴシック" w:eastAsia="ＭＳ ゴシック" w:hAnsi="ＭＳ ゴシック" w:hint="eastAsia"/>
                                <w:sz w:val="20"/>
                                <w:szCs w:val="20"/>
                              </w:rPr>
                              <w:t>被災市町村</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roundrect w14:anchorId="0A7D5B02" id="AutoShape 2600" o:spid="_x0000_s1516" style="position:absolute;left:0;text-align:left;margin-left:48.6pt;margin-top:4.3pt;width:27pt;height:126pt;z-index:2533775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">
                <v:textbox inset="5.85pt,.7pt,5.85pt,.7pt">
                  <w:txbxContent>
                    <w:p w14:paraId="7D099A32" w14:textId="77777777" w:rsidR="006A5267" w:rsidRDefault="006A5267" w:rsidP="008B4B2B">
                      <w:pPr>
                        <w:rPr>
                          <w:rFonts w:ascii="ＭＳ ゴシック" w:eastAsia="ＭＳ ゴシック" w:hAnsi="ＭＳ ゴシック"/>
                          <w:sz w:val="20"/>
                          <w:szCs w:val="20"/>
                        </w:rPr>
                      </w:pPr>
                    </w:p>
                    <w:p w14:paraId="746D6C78" w14:textId="77777777" w:rsidR="006A5267" w:rsidRPr="00844DCB" w:rsidRDefault="006A5267" w:rsidP="008B4B2B">
                      <w:pPr>
                        <w:rPr>
                          <w:rFonts w:ascii="ＭＳ ゴシック" w:eastAsia="ＭＳ ゴシック" w:hAnsi="ＭＳ ゴシック"/>
                          <w:sz w:val="20"/>
                          <w:szCs w:val="20"/>
                        </w:rPr>
                      </w:pPr>
                      <w:r>
                        <w:rPr>
                          <w:rFonts w:ascii="ＭＳ ゴシック" w:eastAsia="ＭＳ ゴシック" w:hAnsi="ＭＳ ゴシック" w:hint="eastAsia"/>
                          <w:sz w:val="20"/>
                          <w:szCs w:val="20"/>
                        </w:rPr>
                        <w:t>被災市町村</w:t>
                      </w:r>
                    </w:p>
                  </w:txbxContent>
                </v:textbox>
              </v:roundrect>
            </w:pict>
          </mc:Fallback>
        </mc:AlternateContent>
      </w:r>
    </w:p>
    <w:p w14:paraId="03BD8F1B" w14:textId="77777777" w:rsidR="008B4B2B" w:rsidRPr="008A3EDE" w:rsidRDefault="008B4B2B" w:rsidP="008B4B2B">
      <w:pPr>
        <w:overflowPunct w:val="0"/>
        <w:autoSpaceDE w:val="0"/>
        <w:autoSpaceDN w:val="0"/>
        <w:ind w:firstLineChars="300" w:firstLine="663"/>
        <w:rPr>
          <w:rFonts w:ascii="ＭＳ ゴシック" w:eastAsia="ＭＳ ゴシック" w:hAnsi="ＭＳ ゴシック"/>
          <w:sz w:val="22"/>
          <w:szCs w:val="22"/>
        </w:rPr>
      </w:pPr>
      <w:r w:rsidRPr="008A3EDE">
        <w:rPr>
          <w:rFonts w:ascii="ＭＳ ゴシック" w:eastAsia="ＭＳ ゴシック" w:hAnsi="ＭＳ ゴシック" w:hint="eastAsia"/>
          <w:noProof/>
          <w:sz w:val="22"/>
          <w:szCs w:val="22"/>
        </w:rPr>
        <mc:AlternateContent>
          <mc:Choice Requires="wps">
            <w:drawing>
              <wp:anchor distT="0" distB="0" distL="114300" distR="114300" simplePos="0" relativeHeight="253388800" behindDoc="0" locked="0" layoutInCell="1" allowOverlap="1" wp14:anchorId="08B9E2F7" wp14:editId="699D9A6A">
                <wp:simplePos x="0" y="0"/>
                <wp:positionH relativeFrom="column">
                  <wp:posOffset>4046220</wp:posOffset>
                </wp:positionH>
                <wp:positionV relativeFrom="paragraph">
                  <wp:posOffset>54610</wp:posOffset>
                </wp:positionV>
                <wp:extent cx="800100" cy="448310"/>
                <wp:effectExtent l="7620" t="6985" r="11430" b="11430"/>
                <wp:wrapNone/>
                <wp:docPr id="3919" name="AutoShape 261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800100" cy="448310"/>
                        </a:xfrm>
                        <a:prstGeom prst="roundRect">
                          <a:avLst>
                            <a:gd name="adj" fmla="val 16667"/>
                          </a:avLst>
                        </a:prstGeom>
                        <a:solidFill>
                          <a:srgbClr val="FFFFFF"/>
                        </a:solidFill>
                        <a:ln w="9525">
                          <a:solidFill>
                            <a:srgbClr val="000000"/>
                          </a:solidFill>
                          <a:round/>
                          <a:headEnd/>
                          <a:tailEnd/>
                        </a:ln>
                      </wps:spPr>
                      <wps:txbx>
                        <w:txbxContent>
                          <w:p w14:paraId="518E8A4F" w14:textId="77777777" w:rsidR="006A5267" w:rsidRPr="00453E1F" w:rsidRDefault="006A5267" w:rsidP="008B4B2B">
                            <w:pPr>
                              <w:spacing w:line="240" w:lineRule="exact"/>
                              <w:rPr>
                                <w:rFonts w:ascii="ＭＳ ゴシック" w:eastAsia="ＭＳ ゴシック" w:hAnsi="ＭＳ ゴシック"/>
                                <w:sz w:val="20"/>
                                <w:szCs w:val="20"/>
                              </w:rPr>
                            </w:pPr>
                            <w:r>
                              <w:rPr>
                                <w:rFonts w:ascii="ＭＳ ゴシック" w:eastAsia="ＭＳ ゴシック" w:hAnsi="ＭＳ ゴシック" w:hint="eastAsia"/>
                                <w:sz w:val="20"/>
                                <w:szCs w:val="20"/>
                              </w:rPr>
                              <w:t>修理業者へ発注</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roundrect w14:anchorId="08B9E2F7" id="AutoShape 2613" o:spid="_x0000_s1517" style="position:absolute;left:0;text-align:left;margin-left:318.6pt;margin-top:4.3pt;width:63pt;height:35.3pt;z-index:2533888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">
                <v:textbox inset="5.85pt,.7pt,5.85pt,.7pt">
                  <w:txbxContent>
                    <w:p w14:paraId="518E8A4F" w14:textId="77777777" w:rsidR="006A5267" w:rsidRPr="00453E1F" w:rsidRDefault="006A5267" w:rsidP="008B4B2B">
                      <w:pPr>
                        <w:spacing w:line="240" w:lineRule="exact"/>
                        <w:rPr>
                          <w:rFonts w:ascii="ＭＳ ゴシック" w:eastAsia="ＭＳ ゴシック" w:hAnsi="ＭＳ ゴシック"/>
                          <w:sz w:val="20"/>
                          <w:szCs w:val="20"/>
                        </w:rPr>
                      </w:pPr>
                      <w:r>
                        <w:rPr>
                          <w:rFonts w:ascii="ＭＳ ゴシック" w:eastAsia="ＭＳ ゴシック" w:hAnsi="ＭＳ ゴシック" w:hint="eastAsia"/>
                          <w:sz w:val="20"/>
                          <w:szCs w:val="20"/>
                        </w:rPr>
                        <w:t>修理業者へ発注</w:t>
                      </w:r>
                    </w:p>
                  </w:txbxContent>
                </v:textbox>
              </v:roundrect>
            </w:pict>
          </mc:Fallback>
        </mc:AlternateContent>
      </w:r>
      <w:r w:rsidRPr="008A3EDE">
        <w:rPr>
          <w:rFonts w:ascii="ＭＳ ゴシック" w:eastAsia="ＭＳ ゴシック" w:hAnsi="ＭＳ ゴシック" w:hint="eastAsia"/>
          <w:noProof/>
          <w:sz w:val="22"/>
          <w:szCs w:val="22"/>
        </w:rPr>
        <mc:AlternateContent>
          <mc:Choice Requires="wps">
            <w:drawing>
              <wp:anchor distT="0" distB="0" distL="114300" distR="114300" simplePos="0" relativeHeight="253378560" behindDoc="0" locked="0" layoutInCell="1" allowOverlap="1" wp14:anchorId="11B02934" wp14:editId="5E39D708">
                <wp:simplePos x="0" y="0"/>
                <wp:positionH relativeFrom="column">
                  <wp:posOffset>1007745</wp:posOffset>
                </wp:positionH>
                <wp:positionV relativeFrom="paragraph">
                  <wp:posOffset>54610</wp:posOffset>
                </wp:positionV>
                <wp:extent cx="685800" cy="228600"/>
                <wp:effectExtent l="0" t="0" r="1905" b="2540"/>
                <wp:wrapNone/>
                <wp:docPr id="3918" name="Text Box 260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5800" cy="2286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989D858" w14:textId="77777777" w:rsidR="006A5267" w:rsidRPr="00844DCB" w:rsidRDefault="006A5267" w:rsidP="008B4B2B">
                            <w:pPr>
                              <w:spacing w:line="240" w:lineRule="exact"/>
                              <w:rPr>
                                <w:rFonts w:ascii="ＭＳ ゴシック" w:eastAsia="ＭＳ ゴシック" w:hAnsi="ＭＳ ゴシック"/>
                                <w:sz w:val="20"/>
                                <w:szCs w:val="20"/>
                              </w:rPr>
                            </w:pPr>
                            <w:r>
                              <w:rPr>
                                <w:rFonts w:ascii="ＭＳ ゴシック" w:eastAsia="ＭＳ ゴシック" w:hAnsi="ＭＳ ゴシック" w:hint="eastAsia"/>
                                <w:sz w:val="20"/>
                                <w:szCs w:val="20"/>
                              </w:rPr>
                              <w:t>被害報告</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shape w14:anchorId="11B02934" id="Text Box 2601" o:spid="_x0000_s1518" type="#_x0000_t202" style="position:absolute;left:0;text-align:left;margin-left:79.35pt;margin-top:4.3pt;width:54pt;height:18pt;z-index:2533785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" filled="f" stroked="f">
                <v:textbox inset="5.85pt,.7pt,5.85pt,.7pt">
                  <w:txbxContent>
                    <w:p w14:paraId="5989D858" w14:textId="77777777" w:rsidR="006A5267" w:rsidRPr="00844DCB" w:rsidRDefault="006A5267" w:rsidP="008B4B2B">
                      <w:pPr>
                        <w:spacing w:line="240" w:lineRule="exact"/>
                        <w:rPr>
                          <w:rFonts w:ascii="ＭＳ ゴシック" w:eastAsia="ＭＳ ゴシック" w:hAnsi="ＭＳ ゴシック"/>
                          <w:sz w:val="20"/>
                          <w:szCs w:val="20"/>
                        </w:rPr>
                      </w:pPr>
                      <w:r>
                        <w:rPr>
                          <w:rFonts w:ascii="ＭＳ ゴシック" w:eastAsia="ＭＳ ゴシック" w:hAnsi="ＭＳ ゴシック" w:hint="eastAsia"/>
                          <w:sz w:val="20"/>
                          <w:szCs w:val="20"/>
                        </w:rPr>
                        <w:t>被害報告</w:t>
                      </w:r>
                    </w:p>
                  </w:txbxContent>
                </v:textbox>
              </v:shape>
            </w:pict>
          </mc:Fallback>
        </mc:AlternateContent>
      </w:r>
      <w:r w:rsidRPr="008A3EDE">
        <w:rPr>
          <w:rFonts w:ascii="ＭＳ ゴシック" w:eastAsia="ＭＳ ゴシック" w:hAnsi="ＭＳ ゴシック" w:hint="eastAsia"/>
          <w:noProof/>
          <w:sz w:val="22"/>
          <w:szCs w:val="22"/>
        </w:rPr>
        <mc:AlternateContent>
          <mc:Choice Requires="wps">
            <w:drawing>
              <wp:anchor distT="0" distB="0" distL="114300" distR="114300" simplePos="0" relativeHeight="253380608" behindDoc="0" locked="0" layoutInCell="1" allowOverlap="1" wp14:anchorId="0726042F" wp14:editId="6BFB37C7">
                <wp:simplePos x="0" y="0"/>
                <wp:positionH relativeFrom="column">
                  <wp:posOffset>1988820</wp:posOffset>
                </wp:positionH>
                <wp:positionV relativeFrom="paragraph">
                  <wp:posOffset>54610</wp:posOffset>
                </wp:positionV>
                <wp:extent cx="1485900" cy="228600"/>
                <wp:effectExtent l="7620" t="6985" r="11430" b="12065"/>
                <wp:wrapNone/>
                <wp:docPr id="3917" name="Text Box 260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85900" cy="228600"/>
                        </a:xfrm>
                        <a:prstGeom prst="rect">
                          <a:avLst/>
                        </a:prstGeom>
                        <a:solidFill>
                          <a:srgbClr val="FFFFFF"/>
                        </a:solidFill>
                        <a:ln w="9525">
                          <a:solidFill>
                            <a:srgbClr val="000000"/>
                          </a:solidFill>
                          <a:miter lim="800000"/>
                          <a:headEnd/>
                          <a:tailEnd/>
                        </a:ln>
                      </wps:spPr>
                      <wps:txbx>
                        <w:txbxContent>
                          <w:p w14:paraId="0D7573AC" w14:textId="77777777" w:rsidR="006A5267" w:rsidRPr="001772AB" w:rsidRDefault="006A5267" w:rsidP="008B4B2B">
                            <w:pPr>
                              <w:jc w:val="center"/>
                              <w:rPr>
                                <w:rFonts w:ascii="ＭＳ ゴシック" w:eastAsia="ＭＳ ゴシック" w:hAnsi="ＭＳ ゴシック"/>
                                <w:sz w:val="20"/>
                                <w:szCs w:val="20"/>
                              </w:rPr>
                            </w:pPr>
                            <w:r>
                              <w:rPr>
                                <w:rFonts w:ascii="ＭＳ ゴシック" w:eastAsia="ＭＳ ゴシック" w:hAnsi="ＭＳ ゴシック" w:hint="eastAsia"/>
                                <w:sz w:val="20"/>
                                <w:szCs w:val="20"/>
                              </w:rPr>
                              <w:t>危機管理室</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shape w14:anchorId="0726042F" id="Text Box 2603" o:spid="_x0000_s1519" type="#_x0000_t202" style="position:absolute;left:0;text-align:left;margin-left:156.6pt;margin-top:4.3pt;width:117pt;height:18pt;z-index:2533806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">
                <v:textbox inset="5.85pt,.7pt,5.85pt,.7pt">
                  <w:txbxContent>
                    <w:p w14:paraId="0D7573AC" w14:textId="77777777" w:rsidR="006A5267" w:rsidRPr="001772AB" w:rsidRDefault="006A5267" w:rsidP="008B4B2B">
                      <w:pPr>
                        <w:jc w:val="center"/>
                        <w:rPr>
                          <w:rFonts w:ascii="ＭＳ ゴシック" w:eastAsia="ＭＳ ゴシック" w:hAnsi="ＭＳ ゴシック"/>
                          <w:sz w:val="20"/>
                          <w:szCs w:val="20"/>
                        </w:rPr>
                      </w:pPr>
                      <w:r>
                        <w:rPr>
                          <w:rFonts w:ascii="ＭＳ ゴシック" w:eastAsia="ＭＳ ゴシック" w:hAnsi="ＭＳ ゴシック" w:hint="eastAsia"/>
                          <w:sz w:val="20"/>
                          <w:szCs w:val="20"/>
                        </w:rPr>
                        <w:t>危機管理室</w:t>
                      </w:r>
                    </w:p>
                  </w:txbxContent>
                </v:textbox>
              </v:shape>
            </w:pict>
          </mc:Fallback>
        </mc:AlternateContent>
      </w:r>
      <w:r w:rsidRPr="008A3EDE">
        <w:rPr>
          <w:rFonts w:ascii="ＭＳ ゴシック" w:eastAsia="ＭＳ ゴシック" w:hAnsi="ＭＳ ゴシック" w:hint="eastAsia"/>
          <w:noProof/>
          <w:sz w:val="22"/>
          <w:szCs w:val="22"/>
        </w:rPr>
        <mc:AlternateContent>
          <mc:Choice Requires="wps">
            <w:drawing>
              <wp:anchor distT="0" distB="0" distL="114300" distR="114300" simplePos="0" relativeHeight="253385728" behindDoc="0" locked="0" layoutInCell="1" allowOverlap="1" wp14:anchorId="08802636" wp14:editId="1F97C063">
                <wp:simplePos x="0" y="0"/>
                <wp:positionH relativeFrom="column">
                  <wp:posOffset>960120</wp:posOffset>
                </wp:positionH>
                <wp:positionV relativeFrom="paragraph">
                  <wp:posOffset>54610</wp:posOffset>
                </wp:positionV>
                <wp:extent cx="800100" cy="0"/>
                <wp:effectExtent l="7620" t="54610" r="20955" b="59690"/>
                <wp:wrapNone/>
                <wp:docPr id="3916" name="Line 260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800100" cy="0"/>
                        </a:xfrm>
                        <a:prstGeom prst="line">
                          <a:avLst/>
                        </a:prstGeom>
                        <a:noFill/>
                        <a:ln w="9525">
                          <a:solidFill>
                            <a:srgbClr val="000000"/>
                          </a:solidFill>
                          <a:round/>
                          <a:headEnd/>
                          <a:tailEnd type="stealth"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line w14:anchorId="533D35CF" id="Line 2609" o:spid="_x0000_s1026" style="position:absolute;left:0;text-align:left;z-index:253385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75.6pt,4.3pt" to="138.6pt,4.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">
                <v:stroke endarrow="classic"/>
              </v:line>
            </w:pict>
          </mc:Fallback>
        </mc:AlternateContent>
      </w:r>
    </w:p>
    <w:p w14:paraId="1A27BF66" w14:textId="77777777" w:rsidR="008B4B2B" w:rsidRPr="008A3EDE" w:rsidRDefault="008B4B2B" w:rsidP="008B4B2B">
      <w:pPr>
        <w:overflowPunct w:val="0"/>
        <w:autoSpaceDE w:val="0"/>
        <w:autoSpaceDN w:val="0"/>
        <w:ind w:firstLineChars="300" w:firstLine="663"/>
        <w:rPr>
          <w:rFonts w:ascii="ＭＳ ゴシック" w:eastAsia="ＭＳ ゴシック" w:hAnsi="ＭＳ ゴシック"/>
          <w:sz w:val="22"/>
          <w:szCs w:val="22"/>
        </w:rPr>
      </w:pPr>
      <w:r w:rsidRPr="008A3EDE">
        <w:rPr>
          <w:rFonts w:ascii="ＭＳ ゴシック" w:eastAsia="ＭＳ ゴシック" w:hAnsi="ＭＳ ゴシック" w:hint="eastAsia"/>
          <w:noProof/>
          <w:sz w:val="22"/>
          <w:szCs w:val="22"/>
        </w:rPr>
        <mc:AlternateContent>
          <mc:Choice Requires="wps">
            <w:drawing>
              <wp:anchor distT="0" distB="0" distL="114300" distR="114300" simplePos="0" relativeHeight="253934592" behindDoc="0" locked="0" layoutInCell="1" allowOverlap="1" wp14:anchorId="28D3D1C2" wp14:editId="1BBC4971">
                <wp:simplePos x="0" y="0"/>
                <wp:positionH relativeFrom="column">
                  <wp:posOffset>2327606</wp:posOffset>
                </wp:positionH>
                <wp:positionV relativeFrom="paragraph">
                  <wp:posOffset>170898</wp:posOffset>
                </wp:positionV>
                <wp:extent cx="898498" cy="228600"/>
                <wp:effectExtent l="38100" t="0" r="0" b="38100"/>
                <wp:wrapNone/>
                <wp:docPr id="3914" name="AutoShape 260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898498" cy="228600"/>
                        </a:xfrm>
                        <a:prstGeom prst="downArrow">
                          <a:avLst>
                            <a:gd name="adj1" fmla="val 50000"/>
                            <a:gd name="adj2" fmla="val 25000"/>
                          </a:avLst>
                        </a:prstGeom>
                        <a:solidFill>
                          <a:srgbClr val="FFFFFF"/>
                        </a:solidFill>
                        <a:ln w="9525">
                          <a:solidFill>
                            <a:srgbClr val="000000"/>
                          </a:solidFill>
                          <a:miter lim="800000"/>
                          <a:headEnd/>
                          <a:tailEnd/>
                        </a:ln>
                      </wps:spPr>
                      <wps:txbx>
                        <w:txbxContent>
                          <w:p w14:paraId="43A17F22" w14:textId="77777777" w:rsidR="006A5267" w:rsidRPr="00316FFB" w:rsidRDefault="006A5267" w:rsidP="008B4B2B">
                            <w:pPr>
                              <w:spacing w:line="240" w:lineRule="exact"/>
                              <w:jc w:val="center"/>
                              <w:rPr>
                                <w:rFonts w:ascii="ＭＳ ゴシック" w:eastAsia="ＭＳ ゴシック" w:hAnsi="ＭＳ ゴシック"/>
                                <w:sz w:val="20"/>
                                <w:szCs w:val="20"/>
                              </w:rPr>
                            </w:pPr>
                            <w:r>
                              <w:rPr>
                                <w:rFonts w:ascii="ＭＳ ゴシック" w:eastAsia="ＭＳ ゴシック" w:hAnsi="ＭＳ ゴシック" w:hint="eastAsia"/>
                                <w:sz w:val="20"/>
                                <w:szCs w:val="20"/>
                              </w:rPr>
                              <w:t>依頼</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shape w14:anchorId="28D3D1C2" id="AutoShape 2605" o:spid="_x0000_s1520" type="#_x0000_t67" style="position:absolute;left:0;text-align:left;margin-left:183.3pt;margin-top:13.45pt;width:70.75pt;height:18pt;z-index:2539345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">
                <v:textbox inset="5.85pt,.7pt,5.85pt,.7pt">
                  <w:txbxContent>
                    <w:p w14:paraId="43A17F22" w14:textId="77777777" w:rsidR="006A5267" w:rsidRPr="00316FFB" w:rsidRDefault="006A5267" w:rsidP="008B4B2B">
                      <w:pPr>
                        <w:spacing w:line="240" w:lineRule="exact"/>
                        <w:jc w:val="center"/>
                        <w:rPr>
                          <w:rFonts w:ascii="ＭＳ ゴシック" w:eastAsia="ＭＳ ゴシック" w:hAnsi="ＭＳ ゴシック"/>
                          <w:sz w:val="20"/>
                          <w:szCs w:val="20"/>
                        </w:rPr>
                      </w:pPr>
                      <w:r>
                        <w:rPr>
                          <w:rFonts w:ascii="ＭＳ ゴシック" w:eastAsia="ＭＳ ゴシック" w:hAnsi="ＭＳ ゴシック" w:hint="eastAsia"/>
                          <w:sz w:val="20"/>
                          <w:szCs w:val="20"/>
                        </w:rPr>
                        <w:t>依頼</w:t>
                      </w:r>
                    </w:p>
                  </w:txbxContent>
                </v:textbox>
              </v:shape>
            </w:pict>
          </mc:Fallback>
        </mc:AlternateContent>
      </w:r>
      <w:r w:rsidRPr="008A3EDE">
        <w:rPr>
          <w:rFonts w:ascii="ＭＳ ゴシック" w:eastAsia="ＭＳ ゴシック" w:hAnsi="ＭＳ ゴシック" w:hint="eastAsia"/>
          <w:noProof/>
          <w:sz w:val="22"/>
          <w:szCs w:val="22"/>
        </w:rPr>
        <mc:AlternateContent>
          <mc:Choice Requires="wps">
            <w:drawing>
              <wp:anchor distT="0" distB="0" distL="114300" distR="114300" simplePos="0" relativeHeight="253935616" behindDoc="0" locked="0" layoutInCell="1" allowOverlap="1" wp14:anchorId="0C9C7C48" wp14:editId="215A45BA">
                <wp:simplePos x="0" y="0"/>
                <wp:positionH relativeFrom="column">
                  <wp:posOffset>1007745</wp:posOffset>
                </wp:positionH>
                <wp:positionV relativeFrom="paragraph">
                  <wp:posOffset>168910</wp:posOffset>
                </wp:positionV>
                <wp:extent cx="685800" cy="342900"/>
                <wp:effectExtent l="0" t="0" r="1905" b="2540"/>
                <wp:wrapNone/>
                <wp:docPr id="3915" name="Text Box 26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5800" cy="3429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ECD1938" w14:textId="77777777" w:rsidR="006A5267" w:rsidRPr="00844DCB" w:rsidRDefault="006A5267" w:rsidP="008B4B2B">
                            <w:pPr>
                              <w:spacing w:line="240" w:lineRule="exact"/>
                              <w:rPr>
                                <w:rFonts w:ascii="ＭＳ ゴシック" w:eastAsia="ＭＳ ゴシック" w:hAnsi="ＭＳ ゴシック"/>
                                <w:sz w:val="20"/>
                                <w:szCs w:val="20"/>
                              </w:rPr>
                            </w:pPr>
                            <w:r>
                              <w:rPr>
                                <w:rFonts w:ascii="ＭＳ ゴシック" w:eastAsia="ＭＳ ゴシック" w:hAnsi="ＭＳ ゴシック" w:hint="eastAsia"/>
                                <w:sz w:val="20"/>
                                <w:szCs w:val="20"/>
                              </w:rPr>
                              <w:t>修理戸数調　　整</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shape w14:anchorId="0C9C7C48" id="Text Box 2611" o:spid="_x0000_s1521" type="#_x0000_t202" style="position:absolute;left:0;text-align:left;margin-left:79.35pt;margin-top:13.3pt;width:54pt;height:27pt;z-index:2539356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" filled="f" stroked="f">
                <v:textbox inset="5.85pt,.7pt,5.85pt,.7pt">
                  <w:txbxContent>
                    <w:p w14:paraId="2ECD1938" w14:textId="77777777" w:rsidR="006A5267" w:rsidRPr="00844DCB" w:rsidRDefault="006A5267" w:rsidP="008B4B2B">
                      <w:pPr>
                        <w:spacing w:line="240" w:lineRule="exact"/>
                        <w:rPr>
                          <w:rFonts w:ascii="ＭＳ ゴシック" w:eastAsia="ＭＳ ゴシック" w:hAnsi="ＭＳ ゴシック"/>
                          <w:sz w:val="20"/>
                          <w:szCs w:val="20"/>
                        </w:rPr>
                      </w:pPr>
                      <w:r>
                        <w:rPr>
                          <w:rFonts w:ascii="ＭＳ ゴシック" w:eastAsia="ＭＳ ゴシック" w:hAnsi="ＭＳ ゴシック" w:hint="eastAsia"/>
                          <w:sz w:val="20"/>
                          <w:szCs w:val="20"/>
                        </w:rPr>
                        <w:t>修理戸数調　　整</w:t>
                      </w:r>
                    </w:p>
                  </w:txbxContent>
                </v:textbox>
              </v:shape>
            </w:pict>
          </mc:Fallback>
        </mc:AlternateContent>
      </w:r>
      <w:r w:rsidRPr="008A3EDE">
        <w:rPr>
          <w:rFonts w:ascii="ＭＳ ゴシック" w:eastAsia="ＭＳ ゴシック" w:hAnsi="ＭＳ ゴシック" w:hint="eastAsia"/>
          <w:noProof/>
          <w:sz w:val="22"/>
          <w:szCs w:val="22"/>
        </w:rPr>
        <mc:AlternateContent>
          <mc:Choice Requires="wps">
            <w:drawing>
              <wp:anchor distT="0" distB="0" distL="114300" distR="114300" simplePos="0" relativeHeight="253386752" behindDoc="0" locked="0" layoutInCell="1" allowOverlap="1" wp14:anchorId="5FBC3382" wp14:editId="1F31A399">
                <wp:simplePos x="0" y="0"/>
                <wp:positionH relativeFrom="column">
                  <wp:posOffset>960120</wp:posOffset>
                </wp:positionH>
                <wp:positionV relativeFrom="paragraph">
                  <wp:posOffset>168910</wp:posOffset>
                </wp:positionV>
                <wp:extent cx="800100" cy="0"/>
                <wp:effectExtent l="17145" t="54610" r="11430" b="59690"/>
                <wp:wrapNone/>
                <wp:docPr id="3913" name="Line 261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800100" cy="0"/>
                        </a:xfrm>
                        <a:prstGeom prst="line">
                          <a:avLst/>
                        </a:prstGeom>
                        <a:noFill/>
                        <a:ln w="9525">
                          <a:solidFill>
                            <a:srgbClr val="000000"/>
                          </a:solidFill>
                          <a:round/>
                          <a:headEnd/>
                          <a:tailEnd type="stealth"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line w14:anchorId="1C4D084D" id="Line 2610" o:spid="_x0000_s1026" style="position:absolute;left:0;text-align:left;flip:x;z-index:253386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75.6pt,13.3pt" to="138.6pt,13.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">
                <v:stroke endarrow="classic"/>
              </v:line>
            </w:pict>
          </mc:Fallback>
        </mc:AlternateContent>
      </w:r>
    </w:p>
    <w:p w14:paraId="01E67590" w14:textId="77777777" w:rsidR="008B4B2B" w:rsidRPr="008A3EDE" w:rsidRDefault="008B4B2B" w:rsidP="008B4B2B">
      <w:pPr>
        <w:overflowPunct w:val="0"/>
        <w:autoSpaceDE w:val="0"/>
        <w:autoSpaceDN w:val="0"/>
        <w:ind w:firstLineChars="300" w:firstLine="663"/>
        <w:rPr>
          <w:rFonts w:ascii="ＭＳ ゴシック" w:eastAsia="ＭＳ ゴシック" w:hAnsi="ＭＳ ゴシック"/>
          <w:sz w:val="22"/>
          <w:szCs w:val="22"/>
        </w:rPr>
      </w:pPr>
      <w:r w:rsidRPr="008A3EDE">
        <w:rPr>
          <w:rFonts w:ascii="ＭＳ ゴシック" w:eastAsia="ＭＳ ゴシック" w:hAnsi="ＭＳ ゴシック" w:hint="eastAsia"/>
          <w:noProof/>
          <w:sz w:val="22"/>
          <w:szCs w:val="22"/>
        </w:rPr>
        <mc:AlternateContent>
          <mc:Choice Requires="wps">
            <w:drawing>
              <wp:anchor distT="0" distB="0" distL="114300" distR="114300" simplePos="0" relativeHeight="253391872" behindDoc="0" locked="0" layoutInCell="1" allowOverlap="1" wp14:anchorId="6D47394B" wp14:editId="4E5DF2CE">
                <wp:simplePos x="0" y="0"/>
                <wp:positionH relativeFrom="column">
                  <wp:posOffset>4960620</wp:posOffset>
                </wp:positionH>
                <wp:positionV relativeFrom="paragraph">
                  <wp:posOffset>54610</wp:posOffset>
                </wp:positionV>
                <wp:extent cx="228600" cy="0"/>
                <wp:effectExtent l="7620" t="54610" r="20955" b="59690"/>
                <wp:wrapNone/>
                <wp:docPr id="3912" name="Line 261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28600" cy="0"/>
                        </a:xfrm>
                        <a:prstGeom prst="line">
                          <a:avLst/>
                        </a:prstGeom>
                        <a:noFill/>
                        <a:ln w="9525">
                          <a:solidFill>
                            <a:srgbClr val="000000"/>
                          </a:solidFill>
                          <a:round/>
                          <a:headEnd/>
                          <a:tailEnd type="stealth"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line w14:anchorId="762CD5B4" id="Line 2616" o:spid="_x0000_s1026" style="position:absolute;left:0;text-align:left;z-index:2533918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90.6pt,4.3pt" to="408.6pt,4.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">
                <v:stroke endarrow="classic"/>
              </v:line>
            </w:pict>
          </mc:Fallback>
        </mc:AlternateContent>
      </w:r>
    </w:p>
    <w:p w14:paraId="0138D00F" w14:textId="77777777" w:rsidR="008B4B2B" w:rsidRPr="008A3EDE" w:rsidRDefault="008B4B2B" w:rsidP="008B4B2B">
      <w:pPr>
        <w:overflowPunct w:val="0"/>
        <w:autoSpaceDE w:val="0"/>
        <w:autoSpaceDN w:val="0"/>
        <w:ind w:firstLineChars="300" w:firstLine="663"/>
        <w:rPr>
          <w:rFonts w:ascii="ＭＳ ゴシック" w:eastAsia="ＭＳ ゴシック" w:hAnsi="ＭＳ ゴシック"/>
          <w:sz w:val="22"/>
          <w:szCs w:val="22"/>
        </w:rPr>
      </w:pPr>
      <w:r w:rsidRPr="008A3EDE">
        <w:rPr>
          <w:rFonts w:ascii="ＭＳ ゴシック" w:eastAsia="ＭＳ ゴシック" w:hAnsi="ＭＳ ゴシック" w:hint="eastAsia"/>
          <w:noProof/>
          <w:sz w:val="22"/>
          <w:szCs w:val="22"/>
        </w:rPr>
        <mc:AlternateContent>
          <mc:Choice Requires="wps">
            <w:drawing>
              <wp:anchor distT="0" distB="0" distL="114300" distR="114300" simplePos="0" relativeHeight="253389824" behindDoc="0" locked="0" layoutInCell="1" allowOverlap="1" wp14:anchorId="7099E9F5" wp14:editId="0538BAF5">
                <wp:simplePos x="0" y="0"/>
                <wp:positionH relativeFrom="column">
                  <wp:posOffset>4000500</wp:posOffset>
                </wp:positionH>
                <wp:positionV relativeFrom="paragraph">
                  <wp:posOffset>114300</wp:posOffset>
                </wp:positionV>
                <wp:extent cx="850900" cy="407035"/>
                <wp:effectExtent l="9525" t="9525" r="6350" b="12065"/>
                <wp:wrapNone/>
                <wp:docPr id="3911" name="AutoShape 261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850900" cy="407035"/>
                        </a:xfrm>
                        <a:prstGeom prst="roundRect">
                          <a:avLst>
                            <a:gd name="adj" fmla="val 16667"/>
                          </a:avLst>
                        </a:prstGeom>
                        <a:solidFill>
                          <a:srgbClr val="FFFFFF"/>
                        </a:solidFill>
                        <a:ln w="9525">
                          <a:solidFill>
                            <a:srgbClr val="000000"/>
                          </a:solidFill>
                          <a:round/>
                          <a:headEnd/>
                          <a:tailEnd/>
                        </a:ln>
                      </wps:spPr>
                      <wps:txbx>
                        <w:txbxContent>
                          <w:p w14:paraId="66163671" w14:textId="77777777" w:rsidR="006A5267" w:rsidRPr="00453E1F" w:rsidRDefault="006A5267" w:rsidP="008B4B2B">
                            <w:pPr>
                              <w:spacing w:line="240" w:lineRule="exact"/>
                              <w:rPr>
                                <w:rFonts w:ascii="ＭＳ ゴシック" w:eastAsia="ＭＳ ゴシック" w:hAnsi="ＭＳ ゴシック"/>
                                <w:sz w:val="20"/>
                                <w:szCs w:val="20"/>
                              </w:rPr>
                            </w:pPr>
                            <w:r>
                              <w:rPr>
                                <w:rFonts w:ascii="ＭＳ ゴシック" w:eastAsia="ＭＳ ゴシック" w:hAnsi="ＭＳ ゴシック" w:hint="eastAsia"/>
                                <w:sz w:val="20"/>
                                <w:szCs w:val="20"/>
                              </w:rPr>
                              <w:t>資機材等の調達・斡旋</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roundrect w14:anchorId="7099E9F5" id="AutoShape 2614" o:spid="_x0000_s1522" style="position:absolute;left:0;text-align:left;margin-left:315pt;margin-top:9pt;width:67pt;height:32.05pt;z-index:2533898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">
                <v:textbox inset="5.85pt,.7pt,5.85pt,.7pt">
                  <w:txbxContent>
                    <w:p w14:paraId="66163671" w14:textId="77777777" w:rsidR="006A5267" w:rsidRPr="00453E1F" w:rsidRDefault="006A5267" w:rsidP="008B4B2B">
                      <w:pPr>
                        <w:spacing w:line="240" w:lineRule="exact"/>
                        <w:rPr>
                          <w:rFonts w:ascii="ＭＳ ゴシック" w:eastAsia="ＭＳ ゴシック" w:hAnsi="ＭＳ ゴシック"/>
                          <w:sz w:val="20"/>
                          <w:szCs w:val="20"/>
                        </w:rPr>
                      </w:pPr>
                      <w:r>
                        <w:rPr>
                          <w:rFonts w:ascii="ＭＳ ゴシック" w:eastAsia="ＭＳ ゴシック" w:hAnsi="ＭＳ ゴシック" w:hint="eastAsia"/>
                          <w:sz w:val="20"/>
                          <w:szCs w:val="20"/>
                        </w:rPr>
                        <w:t>資機材等の調達・斡旋</w:t>
                      </w:r>
                    </w:p>
                  </w:txbxContent>
                </v:textbox>
              </v:roundrect>
            </w:pict>
          </mc:Fallback>
        </mc:AlternateContent>
      </w:r>
      <w:r w:rsidRPr="008A3EDE">
        <w:rPr>
          <w:rFonts w:ascii="ＭＳ ゴシック" w:eastAsia="ＭＳ ゴシック" w:hAnsi="ＭＳ ゴシック" w:hint="eastAsia"/>
          <w:noProof/>
          <w:sz w:val="22"/>
          <w:szCs w:val="22"/>
        </w:rPr>
        <mc:AlternateContent>
          <mc:Choice Requires="wps">
            <w:drawing>
              <wp:anchor distT="0" distB="0" distL="114300" distR="114300" simplePos="0" relativeHeight="253381632" behindDoc="0" locked="0" layoutInCell="1" allowOverlap="1" wp14:anchorId="3E8A0AA9" wp14:editId="6C68EE9E">
                <wp:simplePos x="0" y="0"/>
                <wp:positionH relativeFrom="column">
                  <wp:posOffset>1988820</wp:posOffset>
                </wp:positionH>
                <wp:positionV relativeFrom="paragraph">
                  <wp:posOffset>54610</wp:posOffset>
                </wp:positionV>
                <wp:extent cx="1485900" cy="571500"/>
                <wp:effectExtent l="7620" t="6985" r="11430" b="12065"/>
                <wp:wrapNone/>
                <wp:docPr id="3910" name="Text Box 260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85900" cy="571500"/>
                        </a:xfrm>
                        <a:prstGeom prst="rect">
                          <a:avLst/>
                        </a:prstGeom>
                        <a:solidFill>
                          <a:srgbClr val="FFFFFF"/>
                        </a:solidFill>
                        <a:ln w="9525">
                          <a:solidFill>
                            <a:srgbClr val="000000"/>
                          </a:solidFill>
                          <a:miter lim="800000"/>
                          <a:headEnd/>
                          <a:tailEnd/>
                        </a:ln>
                      </wps:spPr>
                      <wps:txbx>
                        <w:txbxContent>
                          <w:p w14:paraId="388EC409" w14:textId="77777777" w:rsidR="006A5267" w:rsidRDefault="006A5267" w:rsidP="008B4B2B">
                            <w:pPr>
                              <w:spacing w:line="240" w:lineRule="exact"/>
                              <w:rPr>
                                <w:rFonts w:ascii="ＭＳ ゴシック" w:eastAsia="ＭＳ ゴシック" w:hAnsi="ＭＳ ゴシック"/>
                                <w:sz w:val="20"/>
                                <w:szCs w:val="20"/>
                              </w:rPr>
                            </w:pPr>
                            <w:r>
                              <w:rPr>
                                <w:rFonts w:ascii="ＭＳ ゴシック" w:eastAsia="ＭＳ ゴシック" w:hAnsi="ＭＳ ゴシック" w:hint="eastAsia"/>
                                <w:sz w:val="20"/>
                                <w:szCs w:val="20"/>
                              </w:rPr>
                              <w:t>・都市整備部</w:t>
                            </w:r>
                          </w:p>
                          <w:p w14:paraId="5803586C" w14:textId="77777777" w:rsidR="006A5267" w:rsidRDefault="006A5267" w:rsidP="008B4B2B">
                            <w:pPr>
                              <w:spacing w:line="240" w:lineRule="exact"/>
                              <w:rPr>
                                <w:rFonts w:ascii="ＭＳ ゴシック" w:eastAsia="ＭＳ ゴシック" w:hAnsi="ＭＳ ゴシック"/>
                                <w:sz w:val="20"/>
                                <w:szCs w:val="20"/>
                              </w:rPr>
                            </w:pPr>
                            <w:r>
                              <w:rPr>
                                <w:rFonts w:ascii="ＭＳ ゴシック" w:eastAsia="ＭＳ ゴシック" w:hAnsi="ＭＳ ゴシック" w:hint="eastAsia"/>
                                <w:sz w:val="20"/>
                                <w:szCs w:val="20"/>
                              </w:rPr>
                              <w:t>・環境農林水産部</w:t>
                            </w:r>
                          </w:p>
                          <w:p w14:paraId="13640832" w14:textId="77777777" w:rsidR="006A5267" w:rsidRPr="001772AB" w:rsidRDefault="006A5267" w:rsidP="008B4B2B">
                            <w:pPr>
                              <w:spacing w:line="240" w:lineRule="exact"/>
                              <w:rPr>
                                <w:rFonts w:ascii="ＭＳ ゴシック" w:eastAsia="ＭＳ ゴシック" w:hAnsi="ＭＳ ゴシック"/>
                                <w:sz w:val="20"/>
                                <w:szCs w:val="20"/>
                              </w:rPr>
                            </w:pPr>
                            <w:r>
                              <w:rPr>
                                <w:rFonts w:ascii="ＭＳ ゴシック" w:eastAsia="ＭＳ ゴシック" w:hAnsi="ＭＳ ゴシック" w:hint="eastAsia"/>
                                <w:sz w:val="20"/>
                                <w:szCs w:val="20"/>
                              </w:rPr>
                              <w:t>・商工労働部</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shape w14:anchorId="3E8A0AA9" id="Text Box 2604" o:spid="_x0000_s1523" type="#_x0000_t202" style="position:absolute;left:0;text-align:left;margin-left:156.6pt;margin-top:4.3pt;width:117pt;height:45pt;z-index:2533816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">
                <v:textbox inset="5.85pt,.7pt,5.85pt,.7pt">
                  <w:txbxContent>
                    <w:p w14:paraId="388EC409" w14:textId="77777777" w:rsidR="006A5267" w:rsidRDefault="006A5267" w:rsidP="008B4B2B">
                      <w:pPr>
                        <w:spacing w:line="240" w:lineRule="exact"/>
                        <w:rPr>
                          <w:rFonts w:ascii="ＭＳ ゴシック" w:eastAsia="ＭＳ ゴシック" w:hAnsi="ＭＳ ゴシック"/>
                          <w:sz w:val="20"/>
                          <w:szCs w:val="20"/>
                        </w:rPr>
                      </w:pPr>
                      <w:r>
                        <w:rPr>
                          <w:rFonts w:ascii="ＭＳ ゴシック" w:eastAsia="ＭＳ ゴシック" w:hAnsi="ＭＳ ゴシック" w:hint="eastAsia"/>
                          <w:sz w:val="20"/>
                          <w:szCs w:val="20"/>
                        </w:rPr>
                        <w:t>・都市整備部</w:t>
                      </w:r>
                    </w:p>
                    <w:p w14:paraId="5803586C" w14:textId="77777777" w:rsidR="006A5267" w:rsidRDefault="006A5267" w:rsidP="008B4B2B">
                      <w:pPr>
                        <w:spacing w:line="240" w:lineRule="exact"/>
                        <w:rPr>
                          <w:rFonts w:ascii="ＭＳ ゴシック" w:eastAsia="ＭＳ ゴシック" w:hAnsi="ＭＳ ゴシック"/>
                          <w:sz w:val="20"/>
                          <w:szCs w:val="20"/>
                        </w:rPr>
                      </w:pPr>
                      <w:r>
                        <w:rPr>
                          <w:rFonts w:ascii="ＭＳ ゴシック" w:eastAsia="ＭＳ ゴシック" w:hAnsi="ＭＳ ゴシック" w:hint="eastAsia"/>
                          <w:sz w:val="20"/>
                          <w:szCs w:val="20"/>
                        </w:rPr>
                        <w:t>・環境農林水産部</w:t>
                      </w:r>
                    </w:p>
                    <w:p w14:paraId="13640832" w14:textId="77777777" w:rsidR="006A5267" w:rsidRPr="001772AB" w:rsidRDefault="006A5267" w:rsidP="008B4B2B">
                      <w:pPr>
                        <w:spacing w:line="240" w:lineRule="exact"/>
                        <w:rPr>
                          <w:rFonts w:ascii="ＭＳ ゴシック" w:eastAsia="ＭＳ ゴシック" w:hAnsi="ＭＳ ゴシック"/>
                          <w:sz w:val="20"/>
                          <w:szCs w:val="20"/>
                        </w:rPr>
                      </w:pPr>
                      <w:r>
                        <w:rPr>
                          <w:rFonts w:ascii="ＭＳ ゴシック" w:eastAsia="ＭＳ ゴシック" w:hAnsi="ＭＳ ゴシック" w:hint="eastAsia"/>
                          <w:sz w:val="20"/>
                          <w:szCs w:val="20"/>
                        </w:rPr>
                        <w:t>・商工労働部</w:t>
                      </w:r>
                    </w:p>
                  </w:txbxContent>
                </v:textbox>
              </v:shape>
            </w:pict>
          </mc:Fallback>
        </mc:AlternateContent>
      </w:r>
    </w:p>
    <w:p w14:paraId="7B929282" w14:textId="77777777" w:rsidR="008B4B2B" w:rsidRPr="008A3EDE" w:rsidRDefault="008B4B2B" w:rsidP="008B4B2B">
      <w:pPr>
        <w:overflowPunct w:val="0"/>
        <w:autoSpaceDE w:val="0"/>
        <w:autoSpaceDN w:val="0"/>
        <w:ind w:firstLineChars="300" w:firstLine="663"/>
        <w:rPr>
          <w:rFonts w:ascii="ＭＳ ゴシック" w:eastAsia="ＭＳ ゴシック" w:hAnsi="ＭＳ ゴシック"/>
          <w:sz w:val="22"/>
          <w:szCs w:val="22"/>
        </w:rPr>
      </w:pPr>
      <w:r w:rsidRPr="008A3EDE">
        <w:rPr>
          <w:rFonts w:ascii="ＭＳ ゴシック" w:eastAsia="ＭＳ ゴシック" w:hAnsi="ＭＳ ゴシック" w:hint="eastAsia"/>
          <w:noProof/>
          <w:sz w:val="22"/>
          <w:szCs w:val="22"/>
        </w:rPr>
        <mc:AlternateContent>
          <mc:Choice Requires="wps">
            <w:drawing>
              <wp:anchor distT="0" distB="0" distL="114300" distR="114300" simplePos="0" relativeHeight="253390848" behindDoc="0" locked="0" layoutInCell="1" allowOverlap="1" wp14:anchorId="1932C754" wp14:editId="10970449">
                <wp:simplePos x="0" y="0"/>
                <wp:positionH relativeFrom="column">
                  <wp:posOffset>3703320</wp:posOffset>
                </wp:positionH>
                <wp:positionV relativeFrom="paragraph">
                  <wp:posOffset>54610</wp:posOffset>
                </wp:positionV>
                <wp:extent cx="228600" cy="0"/>
                <wp:effectExtent l="7620" t="54610" r="20955" b="59690"/>
                <wp:wrapNone/>
                <wp:docPr id="3909" name="Line 261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28600" cy="0"/>
                        </a:xfrm>
                        <a:prstGeom prst="line">
                          <a:avLst/>
                        </a:prstGeom>
                        <a:noFill/>
                        <a:ln w="9525">
                          <a:solidFill>
                            <a:srgbClr val="000000"/>
                          </a:solidFill>
                          <a:round/>
                          <a:headEnd/>
                          <a:tailEnd type="stealth"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line w14:anchorId="7C56010D" id="Line 2615" o:spid="_x0000_s1026" style="position:absolute;left:0;text-align:left;z-index:2533908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91.6pt,4.3pt" to="309.6pt,4.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">
                <v:stroke endarrow="classic"/>
              </v:line>
            </w:pict>
          </mc:Fallback>
        </mc:AlternateContent>
      </w:r>
    </w:p>
    <w:p w14:paraId="410B8BDE" w14:textId="77777777" w:rsidR="008B4B2B" w:rsidRPr="008A3EDE" w:rsidRDefault="008B4B2B" w:rsidP="008B4B2B">
      <w:pPr>
        <w:overflowPunct w:val="0"/>
        <w:autoSpaceDE w:val="0"/>
        <w:autoSpaceDN w:val="0"/>
        <w:ind w:firstLineChars="300" w:firstLine="663"/>
        <w:rPr>
          <w:rFonts w:ascii="ＭＳ ゴシック" w:eastAsia="ＭＳ ゴシック" w:hAnsi="ＭＳ ゴシック"/>
          <w:sz w:val="22"/>
          <w:szCs w:val="22"/>
        </w:rPr>
      </w:pPr>
    </w:p>
    <w:p w14:paraId="73019A0A" w14:textId="77777777" w:rsidR="008B4B2B" w:rsidRPr="008A3EDE" w:rsidRDefault="008B4B2B" w:rsidP="008B4B2B">
      <w:pPr>
        <w:overflowPunct w:val="0"/>
        <w:autoSpaceDE w:val="0"/>
        <w:autoSpaceDN w:val="0"/>
        <w:rPr>
          <w:rFonts w:ascii="ＭＳ ゴシック" w:eastAsia="ＭＳ ゴシック" w:hAnsi="ＭＳ ゴシック"/>
          <w:sz w:val="22"/>
          <w:szCs w:val="22"/>
        </w:rPr>
      </w:pPr>
    </w:p>
    <w:p w14:paraId="1F7F5C09" w14:textId="77777777" w:rsidR="008B4B2B" w:rsidRPr="008A3EDE" w:rsidRDefault="008B4B2B" w:rsidP="008B4B2B">
      <w:pPr>
        <w:ind w:firstLineChars="400" w:firstLine="884"/>
        <w:rPr>
          <w:rFonts w:ascii="ＭＳ 明朝" w:hAnsi="ＭＳ 明朝"/>
          <w:sz w:val="22"/>
          <w:szCs w:val="22"/>
        </w:rPr>
      </w:pPr>
      <w:r w:rsidRPr="008A3EDE">
        <w:rPr>
          <w:rFonts w:ascii="ＭＳ 明朝" w:hAnsi="ＭＳ 明朝" w:cs="Courier New" w:hint="eastAsia"/>
          <w:sz w:val="22"/>
          <w:szCs w:val="22"/>
        </w:rPr>
        <w:t xml:space="preserve">(1)　</w:t>
      </w:r>
      <w:r w:rsidRPr="008A3EDE">
        <w:rPr>
          <w:rFonts w:ascii="ＭＳ 明朝" w:hAnsi="ＭＳ 明朝" w:hint="eastAsia"/>
          <w:sz w:val="22"/>
          <w:szCs w:val="22"/>
        </w:rPr>
        <w:t>市町村との調整等</w:t>
      </w:r>
    </w:p>
    <w:p w14:paraId="73FA760C" w14:textId="669E81E5" w:rsidR="008B4B2B" w:rsidRPr="008A3EDE" w:rsidRDefault="008B4B2B" w:rsidP="008B4B2B">
      <w:pPr>
        <w:ind w:leftChars="600" w:left="1267" w:firstLineChars="100" w:firstLine="221"/>
        <w:rPr>
          <w:rFonts w:ascii="ＭＳ 明朝" w:hAnsi="ＭＳ 明朝"/>
          <w:sz w:val="22"/>
          <w:szCs w:val="22"/>
        </w:rPr>
      </w:pPr>
      <w:r w:rsidRPr="008A3EDE">
        <w:rPr>
          <w:rFonts w:ascii="ＭＳ 明朝" w:hAnsi="ＭＳ 明朝" w:hint="eastAsia"/>
          <w:sz w:val="22"/>
          <w:szCs w:val="22"/>
        </w:rPr>
        <w:t>災害対策課長は、住宅の応急修理の実施に向けて被災市町村と十分に調整を図るとともに、</w:t>
      </w:r>
      <w:r w:rsidR="00C011F2" w:rsidRPr="008A3EDE">
        <w:rPr>
          <w:rFonts w:ascii="ＭＳ 明朝" w:hAnsi="ＭＳ 明朝" w:hint="eastAsia"/>
          <w:sz w:val="22"/>
          <w:szCs w:val="22"/>
        </w:rPr>
        <w:t>都市整備総務課</w:t>
      </w:r>
      <w:r w:rsidRPr="008A3EDE">
        <w:rPr>
          <w:rFonts w:ascii="ＭＳ 明朝" w:hAnsi="ＭＳ 明朝" w:hint="eastAsia"/>
          <w:sz w:val="22"/>
          <w:szCs w:val="22"/>
        </w:rPr>
        <w:t>長に連絡する。</w:t>
      </w:r>
    </w:p>
    <w:p w14:paraId="6A8F8DB6" w14:textId="77777777" w:rsidR="008B4B2B" w:rsidRPr="008A3EDE" w:rsidRDefault="008B4B2B" w:rsidP="008B4B2B">
      <w:pPr>
        <w:ind w:leftChars="600" w:left="1267" w:firstLineChars="100" w:firstLine="221"/>
        <w:rPr>
          <w:rFonts w:ascii="ＭＳ 明朝" w:hAnsi="ＭＳ 明朝"/>
          <w:sz w:val="22"/>
          <w:szCs w:val="22"/>
        </w:rPr>
      </w:pPr>
      <w:r w:rsidRPr="008A3EDE">
        <w:rPr>
          <w:rFonts w:ascii="ＭＳ 明朝" w:hAnsi="ＭＳ 明朝" w:hint="eastAsia"/>
          <w:sz w:val="22"/>
          <w:szCs w:val="22"/>
        </w:rPr>
        <w:t>調整にあたっては、市町村が応急修理を行い、市町村が単独では十分に対処できないときは、府が行うことを原則とする。</w:t>
      </w:r>
    </w:p>
    <w:p w14:paraId="203C79ED" w14:textId="77777777" w:rsidR="008B4B2B" w:rsidRPr="008A3EDE" w:rsidRDefault="008B4B2B" w:rsidP="008B4B2B">
      <w:pPr>
        <w:ind w:firstLineChars="400" w:firstLine="884"/>
        <w:rPr>
          <w:rFonts w:ascii="ＭＳ 明朝" w:hAnsi="ＭＳ 明朝"/>
          <w:sz w:val="22"/>
          <w:szCs w:val="22"/>
        </w:rPr>
      </w:pPr>
      <w:r w:rsidRPr="008A3EDE">
        <w:rPr>
          <w:rFonts w:ascii="ＭＳ 明朝" w:hAnsi="ＭＳ 明朝" w:cs="Courier New" w:hint="eastAsia"/>
          <w:sz w:val="22"/>
          <w:szCs w:val="22"/>
        </w:rPr>
        <w:t xml:space="preserve">(2)　</w:t>
      </w:r>
      <w:r w:rsidRPr="008A3EDE">
        <w:rPr>
          <w:rFonts w:ascii="ＭＳ 明朝" w:hAnsi="ＭＳ 明朝" w:hint="eastAsia"/>
          <w:sz w:val="22"/>
          <w:szCs w:val="22"/>
        </w:rPr>
        <w:t>応急修理の実施等</w:t>
      </w:r>
    </w:p>
    <w:p w14:paraId="4B1E47C6" w14:textId="77777777" w:rsidR="008B4B2B" w:rsidRPr="008A3EDE" w:rsidRDefault="008B4B2B" w:rsidP="008B4B2B">
      <w:pPr>
        <w:ind w:leftChars="600" w:left="1267" w:rightChars="-53" w:right="-112" w:firstLineChars="100" w:firstLine="221"/>
        <w:rPr>
          <w:rFonts w:ascii="ＭＳ 明朝" w:hAnsi="ＭＳ 明朝"/>
          <w:sz w:val="22"/>
          <w:szCs w:val="22"/>
        </w:rPr>
      </w:pPr>
      <w:r w:rsidRPr="008A3EDE">
        <w:rPr>
          <w:rFonts w:ascii="ＭＳ 明朝" w:hAnsi="ＭＳ 明朝" w:hint="eastAsia"/>
          <w:sz w:val="22"/>
          <w:szCs w:val="22"/>
        </w:rPr>
        <w:t>公共建築室計画課長、公共建築室一般建築課長、公共建築室住宅建築課長、公共建築室設備課長は、災害等により住家が半壊又は半焼し、自らの資力では応急修理できない者に対し、居室、炊事場、便所等日常生活に必要最小限度の部分に対し、現物をもって行う。</w:t>
      </w:r>
    </w:p>
    <w:p w14:paraId="63B44621" w14:textId="77777777" w:rsidR="008B4B2B" w:rsidRPr="008A3EDE" w:rsidRDefault="008B4B2B" w:rsidP="008B4B2B">
      <w:pPr>
        <w:ind w:leftChars="200" w:left="422" w:firstLineChars="200" w:firstLine="442"/>
        <w:rPr>
          <w:rFonts w:ascii="ＭＳ 明朝" w:hAnsi="ＭＳ 明朝"/>
          <w:sz w:val="22"/>
          <w:szCs w:val="22"/>
        </w:rPr>
      </w:pPr>
      <w:r w:rsidRPr="008A3EDE">
        <w:rPr>
          <w:rFonts w:ascii="ＭＳ 明朝" w:hAnsi="ＭＳ 明朝" w:hint="eastAsia"/>
          <w:sz w:val="22"/>
          <w:szCs w:val="22"/>
        </w:rPr>
        <w:t>(3)　資機材の確保</w:t>
      </w:r>
    </w:p>
    <w:p w14:paraId="15F3399B" w14:textId="77777777" w:rsidR="008B4B2B" w:rsidRPr="008A3EDE" w:rsidRDefault="008B4B2B" w:rsidP="008B4B2B">
      <w:pPr>
        <w:ind w:leftChars="550" w:left="1161" w:firstLineChars="100" w:firstLine="221"/>
        <w:rPr>
          <w:rFonts w:ascii="ＭＳ 明朝" w:hAnsi="ＭＳ 明朝"/>
          <w:sz w:val="22"/>
          <w:szCs w:val="22"/>
        </w:rPr>
      </w:pPr>
      <w:r w:rsidRPr="008A3EDE">
        <w:rPr>
          <w:rFonts w:ascii="ＭＳ 明朝" w:hAnsi="ＭＳ 明朝" w:hint="eastAsia"/>
          <w:sz w:val="22"/>
          <w:szCs w:val="22"/>
        </w:rPr>
        <w:t>住宅の応急修理に用いる木材は、みどり推進室森づくり課長が必要に応じて調達を要請する。</w:t>
      </w:r>
    </w:p>
    <w:p w14:paraId="2EF5AC14" w14:textId="77777777" w:rsidR="008B4B2B" w:rsidRPr="008A3EDE" w:rsidRDefault="008B4B2B" w:rsidP="008B4B2B">
      <w:pPr>
        <w:ind w:leftChars="550" w:left="1161" w:firstLineChars="100" w:firstLine="221"/>
        <w:rPr>
          <w:rFonts w:ascii="ＭＳ 明朝" w:hAnsi="ＭＳ 明朝"/>
          <w:sz w:val="22"/>
          <w:szCs w:val="22"/>
        </w:rPr>
      </w:pPr>
      <w:r w:rsidRPr="008A3EDE">
        <w:rPr>
          <w:rFonts w:ascii="ＭＳ 明朝" w:hAnsi="ＭＳ 明朝" w:hint="eastAsia"/>
          <w:sz w:val="22"/>
          <w:szCs w:val="22"/>
        </w:rPr>
        <w:t>また、災害対策課長は、「災害時における応急救助用資機材等の供給協力に関する協定」などを踏まえ、大阪建設機械リース協同組合に対し、救助用資機材等の供給協力を要請する。</w:t>
      </w:r>
    </w:p>
    <w:p w14:paraId="21D73AA8" w14:textId="77777777" w:rsidR="008B4B2B" w:rsidRPr="008A3EDE" w:rsidRDefault="008B4B2B" w:rsidP="008B4B2B">
      <w:pPr>
        <w:ind w:firstLineChars="300" w:firstLine="663"/>
        <w:rPr>
          <w:rFonts w:ascii="ＭＳ ゴシック" w:eastAsia="ＭＳ ゴシック" w:hAnsi="ＭＳ ゴシック"/>
          <w:sz w:val="22"/>
          <w:szCs w:val="22"/>
        </w:rPr>
      </w:pPr>
    </w:p>
    <w:p w14:paraId="58F20C22" w14:textId="77777777" w:rsidR="008B4B2B" w:rsidRPr="008A3EDE" w:rsidRDefault="008B4B2B" w:rsidP="008B4B2B">
      <w:pPr>
        <w:ind w:firstLineChars="300" w:firstLine="663"/>
        <w:rPr>
          <w:rFonts w:ascii="ＭＳ ゴシック" w:eastAsia="ＭＳ ゴシック" w:hAnsi="ＭＳ ゴシック"/>
          <w:sz w:val="22"/>
          <w:szCs w:val="22"/>
          <w:u w:val="single"/>
        </w:rPr>
      </w:pPr>
      <w:r w:rsidRPr="008A3EDE">
        <w:rPr>
          <w:rFonts w:ascii="ＭＳ ゴシック" w:eastAsia="ＭＳ ゴシック" w:hAnsi="ＭＳ ゴシック" w:hint="eastAsia"/>
          <w:sz w:val="22"/>
          <w:szCs w:val="22"/>
          <w:u w:val="single"/>
        </w:rPr>
        <w:t>２　住居障害物の除去</w:t>
      </w:r>
      <w:r w:rsidRPr="008A3EDE">
        <w:rPr>
          <w:rFonts w:ascii="ＭＳ ゴシック" w:eastAsia="ＭＳ ゴシック" w:hAnsi="ＭＳ ゴシック" w:hint="eastAsia"/>
          <w:sz w:val="22"/>
          <w:szCs w:val="22"/>
          <w:u w:val="single"/>
          <w:shd w:val="pct15" w:color="auto" w:fill="FFFFFF"/>
        </w:rPr>
        <w:t>【第４フェーズ～】</w:t>
      </w:r>
    </w:p>
    <w:p w14:paraId="58C84AAB" w14:textId="77777777" w:rsidR="008B4B2B" w:rsidRPr="008A3EDE" w:rsidRDefault="008B4B2B" w:rsidP="008B4B2B">
      <w:pPr>
        <w:ind w:leftChars="417" w:left="880" w:firstLineChars="100" w:firstLine="221"/>
        <w:rPr>
          <w:rFonts w:ascii="ＭＳ 明朝" w:hAnsi="ＭＳ 明朝"/>
          <w:sz w:val="22"/>
          <w:szCs w:val="22"/>
        </w:rPr>
      </w:pPr>
      <w:r w:rsidRPr="008A3EDE">
        <w:rPr>
          <w:rFonts w:ascii="ＭＳ 明朝" w:hAnsi="ＭＳ 明朝" w:hint="eastAsia"/>
          <w:sz w:val="22"/>
          <w:szCs w:val="22"/>
        </w:rPr>
        <w:t>居室、炊事場等生活に欠くことのできない場所又は玄関に運びこまれた障害物の除去については、住宅の応急修理の方法に準じて行う。</w:t>
      </w:r>
    </w:p>
    <w:p w14:paraId="7975AD7B" w14:textId="6F9CFAF3" w:rsidR="008B4B2B" w:rsidRPr="008A3EDE" w:rsidRDefault="008B4B2B" w:rsidP="00AE430E">
      <w:pPr>
        <w:rPr>
          <w:rFonts w:ascii="ＭＳ 明朝" w:hAnsi="ＭＳ 明朝"/>
          <w:sz w:val="22"/>
          <w:szCs w:val="22"/>
        </w:rPr>
      </w:pPr>
    </w:p>
    <w:p w14:paraId="328D5107" w14:textId="77777777" w:rsidR="00085B41" w:rsidRPr="008A3EDE" w:rsidRDefault="00085B41" w:rsidP="008B4B2B">
      <w:pPr>
        <w:ind w:leftChars="417" w:left="880" w:firstLineChars="100" w:firstLine="221"/>
        <w:rPr>
          <w:rFonts w:ascii="ＭＳ 明朝" w:hAnsi="ＭＳ 明朝"/>
          <w:sz w:val="22"/>
          <w:szCs w:val="22"/>
        </w:rPr>
      </w:pPr>
    </w:p>
    <w:p w14:paraId="726A516E" w14:textId="77777777" w:rsidR="008B4B2B" w:rsidRPr="008A3EDE" w:rsidRDefault="008B4B2B" w:rsidP="008B4B2B">
      <w:pPr>
        <w:overflowPunct w:val="0"/>
        <w:autoSpaceDE w:val="0"/>
        <w:autoSpaceDN w:val="0"/>
        <w:ind w:firstLineChars="300" w:firstLine="663"/>
        <w:rPr>
          <w:rFonts w:ascii="ＭＳ ゴシック" w:eastAsia="ＭＳ ゴシック" w:hAnsi="ＭＳ ゴシック"/>
          <w:sz w:val="22"/>
          <w:szCs w:val="22"/>
          <w:u w:val="single"/>
        </w:rPr>
      </w:pPr>
      <w:r w:rsidRPr="008A3EDE">
        <w:rPr>
          <w:rFonts w:ascii="ＭＳ ゴシック" w:eastAsia="ＭＳ ゴシック" w:hAnsi="ＭＳ ゴシック" w:hint="eastAsia"/>
          <w:sz w:val="22"/>
          <w:szCs w:val="22"/>
          <w:u w:val="single"/>
        </w:rPr>
        <w:lastRenderedPageBreak/>
        <w:t>３　応急仮設住宅の供与</w:t>
      </w:r>
      <w:r w:rsidRPr="008A3EDE">
        <w:rPr>
          <w:rFonts w:ascii="ＭＳ ゴシック" w:eastAsia="ＭＳ ゴシック" w:hAnsi="ＭＳ ゴシック" w:hint="eastAsia"/>
          <w:sz w:val="22"/>
          <w:szCs w:val="22"/>
          <w:u w:val="single"/>
          <w:shd w:val="pct15" w:color="auto" w:fill="FFFFFF"/>
        </w:rPr>
        <w:t>【第４フェーズ～】</w:t>
      </w:r>
    </w:p>
    <w:p w14:paraId="73C2EBA2" w14:textId="77777777" w:rsidR="008B4B2B" w:rsidRPr="008A3EDE" w:rsidRDefault="008B4B2B" w:rsidP="008B4B2B">
      <w:pPr>
        <w:overflowPunct w:val="0"/>
        <w:autoSpaceDE w:val="0"/>
        <w:autoSpaceDN w:val="0"/>
        <w:ind w:firstLineChars="300" w:firstLine="663"/>
        <w:rPr>
          <w:rFonts w:ascii="ＭＳ ゴシック" w:eastAsia="ＭＳ ゴシック" w:hAnsi="ＭＳ ゴシック"/>
          <w:sz w:val="22"/>
          <w:szCs w:val="22"/>
        </w:rPr>
      </w:pPr>
      <w:r w:rsidRPr="008A3EDE">
        <w:rPr>
          <w:rFonts w:ascii="ＭＳ ゴシック" w:eastAsia="ＭＳ ゴシック" w:hAnsi="ＭＳ ゴシック"/>
          <w:noProof/>
          <w:sz w:val="22"/>
          <w:szCs w:val="22"/>
        </w:rPr>
        <mc:AlternateContent>
          <mc:Choice Requires="wps">
            <w:drawing>
              <wp:anchor distT="0" distB="0" distL="114300" distR="114300" simplePos="0" relativeHeight="254004224" behindDoc="0" locked="0" layoutInCell="1" allowOverlap="1" wp14:anchorId="7679DDFB" wp14:editId="0C8C12C1">
                <wp:simplePos x="0" y="0"/>
                <wp:positionH relativeFrom="column">
                  <wp:posOffset>615075</wp:posOffset>
                </wp:positionH>
                <wp:positionV relativeFrom="paragraph">
                  <wp:posOffset>89188</wp:posOffset>
                </wp:positionV>
                <wp:extent cx="342900" cy="2364740"/>
                <wp:effectExtent l="0" t="0" r="19050" b="16510"/>
                <wp:wrapNone/>
                <wp:docPr id="226" name="AutoShape 261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42900" cy="2364740"/>
                        </a:xfrm>
                        <a:prstGeom prst="roundRect">
                          <a:avLst>
                            <a:gd name="adj" fmla="val 16667"/>
                          </a:avLst>
                        </a:prstGeom>
                        <a:noFill/>
                        <a:ln w="9525">
                          <a:solidFill>
                            <a:srgbClr val="000000"/>
                          </a:solidFill>
                          <a:round/>
                          <a:headEnd/>
                          <a:tailEnd/>
                        </a:ln>
                      </wps:spPr>
                      <wps:txbx>
                        <w:txbxContent>
                          <w:p w14:paraId="7C72B767" w14:textId="77777777" w:rsidR="006A5267" w:rsidRDefault="006A5267" w:rsidP="008B4B2B">
                            <w:pPr>
                              <w:rPr>
                                <w:rFonts w:ascii="ＭＳ ゴシック" w:eastAsia="ＭＳ ゴシック" w:hAnsi="ＭＳ ゴシック"/>
                                <w:sz w:val="20"/>
                                <w:szCs w:val="20"/>
                              </w:rPr>
                            </w:pPr>
                          </w:p>
                          <w:p w14:paraId="57F2DC3C" w14:textId="77777777" w:rsidR="006A5267" w:rsidRDefault="006A5267" w:rsidP="008B4B2B">
                            <w:pPr>
                              <w:rPr>
                                <w:rFonts w:ascii="ＭＳ ゴシック" w:eastAsia="ＭＳ ゴシック" w:hAnsi="ＭＳ ゴシック"/>
                                <w:sz w:val="20"/>
                                <w:szCs w:val="20"/>
                              </w:rPr>
                            </w:pPr>
                          </w:p>
                          <w:p w14:paraId="1AF7C057" w14:textId="77777777" w:rsidR="006A5267" w:rsidRPr="00844DCB" w:rsidRDefault="006A5267" w:rsidP="008B4B2B">
                            <w:pPr>
                              <w:rPr>
                                <w:rFonts w:ascii="ＭＳ ゴシック" w:eastAsia="ＭＳ ゴシック" w:hAnsi="ＭＳ ゴシック"/>
                                <w:sz w:val="20"/>
                                <w:szCs w:val="20"/>
                              </w:rPr>
                            </w:pPr>
                            <w:r>
                              <w:rPr>
                                <w:rFonts w:ascii="ＭＳ ゴシック" w:eastAsia="ＭＳ ゴシック" w:hAnsi="ＭＳ ゴシック" w:hint="eastAsia"/>
                                <w:sz w:val="20"/>
                                <w:szCs w:val="20"/>
                              </w:rPr>
                              <w:t>被災市町村</w:t>
                            </w:r>
                          </w:p>
                        </w:txbxContent>
                      </wps:txbx>
                      <wps:bodyPr rot="0" vert="horz" wrap="square" lIns="74295" tIns="8890" rIns="74295" bIns="8890" anchor="t" anchorCtr="0" upright="1">
                        <a:noAutofit/>
                      </wps:bodyPr>
                    </wps:wsp>
                  </a:graphicData>
                </a:graphic>
              </wp:anchor>
            </w:drawing>
          </mc:Choice>
          <mc:Fallback xmlns:w16cei="http://schemas.microsoft.com/office/word/2026/wordml/cei">
            <w:pict>
              <v:roundrect w14:anchorId="7679DDFB" id="AutoShape 2618" o:spid="_x0000_s1524" style="position:absolute;left:0;text-align:left;margin-left:48.45pt;margin-top:7pt;width:27pt;height:186.2pt;z-index:254004224;visibility:visible;mso-wrap-style:square;mso-wrap-distance-left:9pt;mso-wrap-distance-top:0;mso-wrap-distance-right:9pt;mso-wrap-distance-bottom:0;mso-position-horizontal:absolute;mso-position-horizontal-relative:text;mso-position-vertical:absolute;mso-position-vertical-relative:text;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" filled="f">
                <v:textbox inset="5.85pt,.7pt,5.85pt,.7pt">
                  <w:txbxContent>
                    <w:p w14:paraId="7C72B767" w14:textId="77777777" w:rsidR="006A5267" w:rsidRDefault="006A5267" w:rsidP="008B4B2B">
                      <w:pPr>
                        <w:rPr>
                          <w:rFonts w:ascii="ＭＳ ゴシック" w:eastAsia="ＭＳ ゴシック" w:hAnsi="ＭＳ ゴシック"/>
                          <w:sz w:val="20"/>
                          <w:szCs w:val="20"/>
                        </w:rPr>
                      </w:pPr>
                    </w:p>
                    <w:p w14:paraId="57F2DC3C" w14:textId="77777777" w:rsidR="006A5267" w:rsidRDefault="006A5267" w:rsidP="008B4B2B">
                      <w:pPr>
                        <w:rPr>
                          <w:rFonts w:ascii="ＭＳ ゴシック" w:eastAsia="ＭＳ ゴシック" w:hAnsi="ＭＳ ゴシック"/>
                          <w:sz w:val="20"/>
                          <w:szCs w:val="20"/>
                        </w:rPr>
                      </w:pPr>
                    </w:p>
                    <w:p w14:paraId="1AF7C057" w14:textId="77777777" w:rsidR="006A5267" w:rsidRPr="00844DCB" w:rsidRDefault="006A5267" w:rsidP="008B4B2B">
                      <w:pPr>
                        <w:rPr>
                          <w:rFonts w:ascii="ＭＳ ゴシック" w:eastAsia="ＭＳ ゴシック" w:hAnsi="ＭＳ ゴシック"/>
                          <w:sz w:val="20"/>
                          <w:szCs w:val="20"/>
                        </w:rPr>
                      </w:pPr>
                      <w:r>
                        <w:rPr>
                          <w:rFonts w:ascii="ＭＳ ゴシック" w:eastAsia="ＭＳ ゴシック" w:hAnsi="ＭＳ ゴシック" w:hint="eastAsia"/>
                          <w:sz w:val="20"/>
                          <w:szCs w:val="20"/>
                        </w:rPr>
                        <w:t>被災市町村</w:t>
                      </w:r>
                    </w:p>
                  </w:txbxContent>
                </v:textbox>
              </v:roundrect>
            </w:pict>
          </mc:Fallback>
        </mc:AlternateContent>
      </w:r>
      <w:r w:rsidRPr="008A3EDE">
        <w:rPr>
          <w:rFonts w:ascii="ＭＳ ゴシック" w:eastAsia="ＭＳ ゴシック" w:hAnsi="ＭＳ ゴシック"/>
          <w:noProof/>
          <w:sz w:val="22"/>
          <w:szCs w:val="22"/>
        </w:rPr>
        <mc:AlternateContent>
          <mc:Choice Requires="wps">
            <w:drawing>
              <wp:anchor distT="0" distB="0" distL="114300" distR="114300" simplePos="0" relativeHeight="254010368" behindDoc="0" locked="0" layoutInCell="1" allowOverlap="1" wp14:anchorId="5F76635D" wp14:editId="74B82C5C">
                <wp:simplePos x="0" y="0"/>
                <wp:positionH relativeFrom="column">
                  <wp:posOffset>5282325</wp:posOffset>
                </wp:positionH>
                <wp:positionV relativeFrom="paragraph">
                  <wp:posOffset>41563</wp:posOffset>
                </wp:positionV>
                <wp:extent cx="462915" cy="2446020"/>
                <wp:effectExtent l="0" t="0" r="13335" b="11430"/>
                <wp:wrapNone/>
                <wp:docPr id="330" name="AutoShape 261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62915" cy="2446020"/>
                        </a:xfrm>
                        <a:prstGeom prst="roundRect">
                          <a:avLst>
                            <a:gd name="adj" fmla="val 16667"/>
                          </a:avLst>
                        </a:prstGeom>
                        <a:noFill/>
                        <a:ln w="9525">
                          <a:solidFill>
                            <a:srgbClr val="000000"/>
                          </a:solidFill>
                          <a:round/>
                          <a:headEnd/>
                          <a:tailEnd/>
                        </a:ln>
                      </wps:spPr>
                      <wps:txbx>
                        <w:txbxContent>
                          <w:p w14:paraId="1F4F4BAB" w14:textId="77777777" w:rsidR="006A5267" w:rsidRPr="00844DCB" w:rsidRDefault="006A5267" w:rsidP="008B4B2B">
                            <w:pPr>
                              <w:rPr>
                                <w:rFonts w:ascii="ＭＳ ゴシック" w:eastAsia="ＭＳ ゴシック" w:hAnsi="ＭＳ ゴシック"/>
                                <w:sz w:val="20"/>
                                <w:szCs w:val="20"/>
                              </w:rPr>
                            </w:pPr>
                            <w:r>
                              <w:rPr>
                                <w:rFonts w:ascii="ＭＳ ゴシック" w:eastAsia="ＭＳ ゴシック" w:hAnsi="ＭＳ ゴシック" w:hint="eastAsia"/>
                                <w:sz w:val="20"/>
                                <w:szCs w:val="20"/>
                              </w:rPr>
                              <w:t>応急仮設住宅（建設型</w:t>
                            </w:r>
                            <w:r>
                              <w:rPr>
                                <w:rFonts w:ascii="ＭＳ ゴシック" w:eastAsia="ＭＳ ゴシック" w:hAnsi="ＭＳ ゴシック"/>
                                <w:sz w:val="20"/>
                                <w:szCs w:val="20"/>
                              </w:rPr>
                              <w:t>・</w:t>
                            </w:r>
                            <w:r>
                              <w:rPr>
                                <w:rFonts w:ascii="ＭＳ ゴシック" w:eastAsia="ＭＳ ゴシック" w:hAnsi="ＭＳ ゴシック" w:hint="eastAsia"/>
                                <w:sz w:val="20"/>
                                <w:szCs w:val="20"/>
                              </w:rPr>
                              <w:t>賃貸型</w:t>
                            </w:r>
                            <w:r>
                              <w:rPr>
                                <w:rFonts w:ascii="ＭＳ ゴシック" w:eastAsia="ＭＳ ゴシック" w:hAnsi="ＭＳ ゴシック"/>
                                <w:sz w:val="20"/>
                                <w:szCs w:val="20"/>
                              </w:rPr>
                              <w:t>）</w:t>
                            </w:r>
                            <w:r>
                              <w:rPr>
                                <w:rFonts w:ascii="ＭＳ ゴシック" w:eastAsia="ＭＳ ゴシック" w:hAnsi="ＭＳ ゴシック" w:hint="eastAsia"/>
                                <w:sz w:val="20"/>
                                <w:szCs w:val="20"/>
                              </w:rPr>
                              <w:t>の供与</w:t>
                            </w:r>
                          </w:p>
                        </w:txbxContent>
                      </wps:txbx>
                      <wps:bodyPr rot="0" vert="eaVert" wrap="square" lIns="74295" tIns="8890" rIns="74295" bIns="8890" anchor="t" anchorCtr="0" upright="1">
                        <a:noAutofit/>
                      </wps:bodyPr>
                    </wps:wsp>
                  </a:graphicData>
                </a:graphic>
              </wp:anchor>
            </w:drawing>
          </mc:Choice>
          <mc:Fallback xmlns:w16cei="http://schemas.microsoft.com/office/word/2026/wordml/cei">
            <w:pict>
              <v:roundrect w14:anchorId="5F76635D" id="_x0000_s1525" style="position:absolute;left:0;text-align:left;margin-left:415.95pt;margin-top:3.25pt;width:36.45pt;height:192.6pt;z-index:254010368;visibility:visible;mso-wrap-style:square;mso-wrap-distance-left:9pt;mso-wrap-distance-top:0;mso-wrap-distance-right:9pt;mso-wrap-distance-bottom:0;mso-position-horizontal:absolute;mso-position-horizontal-relative:text;mso-position-vertical:absolute;mso-position-vertical-relative:text;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" filled="f">
                <v:textbox style="layout-flow:vertical-ideographic" inset="5.85pt,.7pt,5.85pt,.7pt">
                  <w:txbxContent>
                    <w:p w14:paraId="1F4F4BAB" w14:textId="77777777" w:rsidR="006A5267" w:rsidRPr="00844DCB" w:rsidRDefault="006A5267" w:rsidP="008B4B2B">
                      <w:pPr>
                        <w:rPr>
                          <w:rFonts w:ascii="ＭＳ ゴシック" w:eastAsia="ＭＳ ゴシック" w:hAnsi="ＭＳ ゴシック"/>
                          <w:sz w:val="20"/>
                          <w:szCs w:val="20"/>
                        </w:rPr>
                      </w:pPr>
                      <w:r>
                        <w:rPr>
                          <w:rFonts w:ascii="ＭＳ ゴシック" w:eastAsia="ＭＳ ゴシック" w:hAnsi="ＭＳ ゴシック" w:hint="eastAsia"/>
                          <w:sz w:val="20"/>
                          <w:szCs w:val="20"/>
                        </w:rPr>
                        <w:t>応急仮設住宅（建設型</w:t>
                      </w:r>
                      <w:r>
                        <w:rPr>
                          <w:rFonts w:ascii="ＭＳ ゴシック" w:eastAsia="ＭＳ ゴシック" w:hAnsi="ＭＳ ゴシック"/>
                          <w:sz w:val="20"/>
                          <w:szCs w:val="20"/>
                        </w:rPr>
                        <w:t>・</w:t>
                      </w:r>
                      <w:r>
                        <w:rPr>
                          <w:rFonts w:ascii="ＭＳ ゴシック" w:eastAsia="ＭＳ ゴシック" w:hAnsi="ＭＳ ゴシック" w:hint="eastAsia"/>
                          <w:sz w:val="20"/>
                          <w:szCs w:val="20"/>
                        </w:rPr>
                        <w:t>賃貸型</w:t>
                      </w:r>
                      <w:r>
                        <w:rPr>
                          <w:rFonts w:ascii="ＭＳ ゴシック" w:eastAsia="ＭＳ ゴシック" w:hAnsi="ＭＳ ゴシック"/>
                          <w:sz w:val="20"/>
                          <w:szCs w:val="20"/>
                        </w:rPr>
                        <w:t>）</w:t>
                      </w:r>
                      <w:r>
                        <w:rPr>
                          <w:rFonts w:ascii="ＭＳ ゴシック" w:eastAsia="ＭＳ ゴシック" w:hAnsi="ＭＳ ゴシック" w:hint="eastAsia"/>
                          <w:sz w:val="20"/>
                          <w:szCs w:val="20"/>
                        </w:rPr>
                        <w:t>の供与</w:t>
                      </w:r>
                    </w:p>
                  </w:txbxContent>
                </v:textbox>
              </v:roundrect>
            </w:pict>
          </mc:Fallback>
        </mc:AlternateContent>
      </w:r>
      <w:r w:rsidRPr="008A3EDE">
        <w:rPr>
          <w:rFonts w:ascii="ＭＳ ゴシック" w:eastAsia="ＭＳ ゴシック" w:hAnsi="ＭＳ ゴシック"/>
          <w:noProof/>
          <w:sz w:val="22"/>
          <w:szCs w:val="22"/>
        </w:rPr>
        <mc:AlternateContent>
          <mc:Choice Requires="wps">
            <w:drawing>
              <wp:anchor distT="0" distB="0" distL="114300" distR="114300" simplePos="0" relativeHeight="254011392" behindDoc="0" locked="0" layoutInCell="1" allowOverlap="1" wp14:anchorId="29610207" wp14:editId="588AB2BE">
                <wp:simplePos x="0" y="0"/>
                <wp:positionH relativeFrom="column">
                  <wp:posOffset>1443750</wp:posOffset>
                </wp:positionH>
                <wp:positionV relativeFrom="paragraph">
                  <wp:posOffset>146338</wp:posOffset>
                </wp:positionV>
                <wp:extent cx="2171700" cy="342900"/>
                <wp:effectExtent l="0" t="0" r="19050" b="19050"/>
                <wp:wrapNone/>
                <wp:docPr id="331" name="AutoShape 260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71700" cy="342900"/>
                        </a:xfrm>
                        <a:prstGeom prst="cube">
                          <a:avLst>
                            <a:gd name="adj" fmla="val 25000"/>
                          </a:avLst>
                        </a:prstGeom>
                        <a:noFill/>
                        <a:ln w="9525">
                          <a:solidFill>
                            <a:srgbClr val="000000"/>
                          </a:solidFill>
                          <a:miter lim="800000"/>
                          <a:headEnd/>
                          <a:tailEnd/>
                        </a:ln>
                      </wps:spPr>
                      <wps:txbx>
                        <w:txbxContent>
                          <w:p w14:paraId="3E8C9789" w14:textId="77777777" w:rsidR="006A5267" w:rsidRPr="00311E29" w:rsidRDefault="006A5267" w:rsidP="008B4B2B">
                            <w:pPr>
                              <w:rPr>
                                <w:rFonts w:ascii="ＭＳ ゴシック" w:eastAsia="ＭＳ ゴシック" w:hAnsi="ＭＳ ゴシック"/>
                                <w:sz w:val="20"/>
                                <w:szCs w:val="20"/>
                              </w:rPr>
                            </w:pPr>
                            <w:r>
                              <w:rPr>
                                <w:rFonts w:ascii="ＭＳ ゴシック" w:eastAsia="ＭＳ ゴシック" w:hAnsi="ＭＳ ゴシック" w:hint="eastAsia"/>
                                <w:sz w:val="20"/>
                                <w:szCs w:val="20"/>
                              </w:rPr>
                              <w:t>状況に応じ、市町村に事務を委任</w:t>
                            </w:r>
                          </w:p>
                        </w:txbxContent>
                      </wps:txbx>
                      <wps:bodyPr rot="0" vert="horz" wrap="square" lIns="74295" tIns="8890" rIns="74295" bIns="8890" anchor="t" anchorCtr="0" upright="1">
                        <a:noAutofit/>
                      </wps:bodyPr>
                    </wps:wsp>
                  </a:graphicData>
                </a:graphic>
              </wp:anchor>
            </w:drawing>
          </mc:Choice>
          <mc:Fallback xmlns:w16cei="http://schemas.microsoft.com/office/word/2026/wordml/cei">
            <w:pict>
              <v:shape w14:anchorId="29610207" id="_x0000_s1526" type="#_x0000_t16" style="position:absolute;left:0;text-align:left;margin-left:113.7pt;margin-top:11.5pt;width:171pt;height:27pt;z-index:25401139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" filled="f">
                <v:textbox inset="5.85pt,.7pt,5.85pt,.7pt">
                  <w:txbxContent>
                    <w:p w14:paraId="3E8C9789" w14:textId="77777777" w:rsidR="006A5267" w:rsidRPr="00311E29" w:rsidRDefault="006A5267" w:rsidP="008B4B2B">
                      <w:pPr>
                        <w:rPr>
                          <w:rFonts w:ascii="ＭＳ ゴシック" w:eastAsia="ＭＳ ゴシック" w:hAnsi="ＭＳ ゴシック"/>
                          <w:sz w:val="20"/>
                          <w:szCs w:val="20"/>
                        </w:rPr>
                      </w:pPr>
                      <w:r>
                        <w:rPr>
                          <w:rFonts w:ascii="ＭＳ ゴシック" w:eastAsia="ＭＳ ゴシック" w:hAnsi="ＭＳ ゴシック" w:hint="eastAsia"/>
                          <w:sz w:val="20"/>
                          <w:szCs w:val="20"/>
                        </w:rPr>
                        <w:t>状況に応じ、市町村に事務を委任</w:t>
                      </w:r>
                    </w:p>
                  </w:txbxContent>
                </v:textbox>
              </v:shape>
            </w:pict>
          </mc:Fallback>
        </mc:AlternateContent>
      </w:r>
    </w:p>
    <w:p w14:paraId="17D69DAA" w14:textId="77777777" w:rsidR="008B4B2B" w:rsidRPr="008A3EDE" w:rsidRDefault="008B4B2B" w:rsidP="008B4B2B">
      <w:pPr>
        <w:overflowPunct w:val="0"/>
        <w:autoSpaceDE w:val="0"/>
        <w:autoSpaceDN w:val="0"/>
        <w:ind w:firstLineChars="300" w:firstLine="663"/>
        <w:rPr>
          <w:rFonts w:ascii="ＭＳ ゴシック" w:eastAsia="ＭＳ ゴシック" w:hAnsi="ＭＳ ゴシック"/>
          <w:sz w:val="22"/>
          <w:szCs w:val="22"/>
        </w:rPr>
      </w:pPr>
    </w:p>
    <w:p w14:paraId="1F6B4752" w14:textId="77777777" w:rsidR="008B4B2B" w:rsidRPr="008A3EDE" w:rsidRDefault="008B4B2B" w:rsidP="008B4B2B">
      <w:pPr>
        <w:overflowPunct w:val="0"/>
        <w:autoSpaceDE w:val="0"/>
        <w:autoSpaceDN w:val="0"/>
        <w:ind w:firstLineChars="300" w:firstLine="663"/>
        <w:rPr>
          <w:rFonts w:ascii="ＭＳ ゴシック" w:eastAsia="ＭＳ ゴシック" w:hAnsi="ＭＳ ゴシック"/>
          <w:sz w:val="22"/>
          <w:szCs w:val="22"/>
        </w:rPr>
      </w:pPr>
      <w:r w:rsidRPr="008A3EDE">
        <w:rPr>
          <w:rFonts w:ascii="ＭＳ ゴシック" w:eastAsia="ＭＳ ゴシック" w:hAnsi="ＭＳ ゴシック" w:hint="eastAsia"/>
          <w:noProof/>
          <w:sz w:val="22"/>
          <w:szCs w:val="22"/>
        </w:rPr>
        <mc:AlternateContent>
          <mc:Choice Requires="wps">
            <w:drawing>
              <wp:anchor distT="0" distB="0" distL="114300" distR="114300" simplePos="0" relativeHeight="254015488" behindDoc="0" locked="0" layoutInCell="1" allowOverlap="1" wp14:anchorId="14DD3039" wp14:editId="5BF7FD76">
                <wp:simplePos x="0" y="0"/>
                <wp:positionH relativeFrom="column">
                  <wp:posOffset>2506345</wp:posOffset>
                </wp:positionH>
                <wp:positionV relativeFrom="paragraph">
                  <wp:posOffset>52070</wp:posOffset>
                </wp:positionV>
                <wp:extent cx="0" cy="450850"/>
                <wp:effectExtent l="76200" t="38100" r="57150" b="25400"/>
                <wp:wrapNone/>
                <wp:docPr id="332" name="Line 260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flipV="1">
                          <a:off x="0" y="0"/>
                          <a:ext cx="0" cy="450850"/>
                        </a:xfrm>
                        <a:prstGeom prst="line">
                          <a:avLst/>
                        </a:prstGeom>
                        <a:noFill/>
                        <a:ln w="9525">
                          <a:solidFill>
                            <a:srgbClr val="000000"/>
                          </a:solidFill>
                          <a:round/>
                          <a:headEnd/>
                          <a:tailEnd type="stealth"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line w14:anchorId="1991F508" id="Line 2607" o:spid="_x0000_s1026" style="position:absolute;left:0;text-align:left;flip:x y;z-index:2540154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97.35pt,4.1pt" to="197.35pt,39.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">
                <v:stroke endarrow="classic"/>
              </v:line>
            </w:pict>
          </mc:Fallback>
        </mc:AlternateContent>
      </w:r>
    </w:p>
    <w:p w14:paraId="719BCFFB" w14:textId="77777777" w:rsidR="008B4B2B" w:rsidRPr="008A3EDE" w:rsidRDefault="008B4B2B" w:rsidP="008B4B2B">
      <w:pPr>
        <w:overflowPunct w:val="0"/>
        <w:autoSpaceDE w:val="0"/>
        <w:autoSpaceDN w:val="0"/>
        <w:ind w:firstLineChars="300" w:firstLine="663"/>
        <w:rPr>
          <w:rFonts w:ascii="ＭＳ ゴシック" w:eastAsia="ＭＳ ゴシック" w:hAnsi="ＭＳ ゴシック"/>
          <w:sz w:val="22"/>
          <w:szCs w:val="22"/>
        </w:rPr>
      </w:pPr>
      <w:r w:rsidRPr="008A3EDE">
        <w:rPr>
          <w:rFonts w:ascii="ＭＳ ゴシック" w:eastAsia="ＭＳ ゴシック" w:hAnsi="ＭＳ ゴシック" w:hint="eastAsia"/>
          <w:noProof/>
          <w:sz w:val="22"/>
          <w:szCs w:val="22"/>
        </w:rPr>
        <mc:AlternateContent>
          <mc:Choice Requires="wps">
            <w:drawing>
              <wp:anchor distT="0" distB="0" distL="114300" distR="114300" simplePos="0" relativeHeight="254016512" behindDoc="0" locked="0" layoutInCell="1" allowOverlap="1" wp14:anchorId="170033EA" wp14:editId="53C37AEC">
                <wp:simplePos x="0" y="0"/>
                <wp:positionH relativeFrom="column">
                  <wp:posOffset>1699275</wp:posOffset>
                </wp:positionH>
                <wp:positionV relativeFrom="paragraph">
                  <wp:posOffset>153374</wp:posOffset>
                </wp:positionV>
                <wp:extent cx="571500" cy="228600"/>
                <wp:effectExtent l="7620" t="6985" r="11430" b="12065"/>
                <wp:wrapNone/>
                <wp:docPr id="334" name="Text Box 26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1500" cy="228600"/>
                        </a:xfrm>
                        <a:prstGeom prst="rect">
                          <a:avLst/>
                        </a:prstGeom>
                        <a:solidFill>
                          <a:srgbClr val="FFFFFF"/>
                        </a:solidFill>
                        <a:ln w="9525">
                          <a:solidFill>
                            <a:srgbClr val="000000"/>
                          </a:solidFill>
                          <a:miter lim="800000"/>
                          <a:headEnd/>
                          <a:tailEnd/>
                        </a:ln>
                      </wps:spPr>
                      <wps:txbx>
                        <w:txbxContent>
                          <w:p w14:paraId="7D178C5D" w14:textId="77777777" w:rsidR="006A5267" w:rsidRPr="004329E6" w:rsidRDefault="006A5267" w:rsidP="008B4B2B">
                            <w:pPr>
                              <w:rPr>
                                <w:rFonts w:ascii="ＭＳ ゴシック" w:eastAsia="ＭＳ ゴシック" w:hAnsi="ＭＳ ゴシック"/>
                                <w:sz w:val="20"/>
                                <w:szCs w:val="20"/>
                              </w:rPr>
                            </w:pPr>
                            <w:r>
                              <w:rPr>
                                <w:rFonts w:ascii="ＭＳ ゴシック" w:eastAsia="ＭＳ ゴシック" w:hAnsi="ＭＳ ゴシック" w:hint="eastAsia"/>
                                <w:sz w:val="20"/>
                                <w:szCs w:val="20"/>
                              </w:rPr>
                              <w:t>大阪府</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shape w14:anchorId="170033EA" id="_x0000_s1527" type="#_x0000_t202" style="position:absolute;left:0;text-align:left;margin-left:133.8pt;margin-top:12.1pt;width:45pt;height:18pt;z-index:2540165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">
                <v:textbox inset="5.85pt,.7pt,5.85pt,.7pt">
                  <w:txbxContent>
                    <w:p w14:paraId="7D178C5D" w14:textId="77777777" w:rsidR="006A5267" w:rsidRPr="004329E6" w:rsidRDefault="006A5267" w:rsidP="008B4B2B">
                      <w:pPr>
                        <w:rPr>
                          <w:rFonts w:ascii="ＭＳ ゴシック" w:eastAsia="ＭＳ ゴシック" w:hAnsi="ＭＳ ゴシック"/>
                          <w:sz w:val="20"/>
                          <w:szCs w:val="20"/>
                        </w:rPr>
                      </w:pPr>
                      <w:r>
                        <w:rPr>
                          <w:rFonts w:ascii="ＭＳ ゴシック" w:eastAsia="ＭＳ ゴシック" w:hAnsi="ＭＳ ゴシック" w:hint="eastAsia"/>
                          <w:sz w:val="20"/>
                          <w:szCs w:val="20"/>
                        </w:rPr>
                        <w:t>大阪府</w:t>
                      </w:r>
                    </w:p>
                  </w:txbxContent>
                </v:textbox>
              </v:shape>
            </w:pict>
          </mc:Fallback>
        </mc:AlternateContent>
      </w:r>
    </w:p>
    <w:p w14:paraId="0186BD0F" w14:textId="77777777" w:rsidR="008B4B2B" w:rsidRPr="008A3EDE" w:rsidRDefault="008B4B2B" w:rsidP="008B4B2B">
      <w:pPr>
        <w:tabs>
          <w:tab w:val="left" w:pos="7020"/>
        </w:tabs>
        <w:overflowPunct w:val="0"/>
        <w:autoSpaceDE w:val="0"/>
        <w:autoSpaceDN w:val="0"/>
        <w:ind w:firstLineChars="300" w:firstLine="663"/>
        <w:rPr>
          <w:rFonts w:ascii="ＭＳ ゴシック" w:eastAsia="ＭＳ ゴシック" w:hAnsi="ＭＳ ゴシック"/>
          <w:sz w:val="22"/>
          <w:szCs w:val="22"/>
        </w:rPr>
      </w:pPr>
      <w:r w:rsidRPr="008A3EDE">
        <w:rPr>
          <w:rFonts w:ascii="ＭＳ ゴシック" w:eastAsia="ＭＳ ゴシック" w:hAnsi="ＭＳ ゴシック"/>
          <w:noProof/>
          <w:sz w:val="22"/>
          <w:szCs w:val="22"/>
        </w:rPr>
        <mc:AlternateContent>
          <mc:Choice Requires="wps">
            <w:drawing>
              <wp:anchor distT="0" distB="0" distL="114300" distR="114300" simplePos="0" relativeHeight="253999104" behindDoc="0" locked="0" layoutInCell="1" allowOverlap="1" wp14:anchorId="541E88B1" wp14:editId="0D4F8E86">
                <wp:simplePos x="0" y="0"/>
                <wp:positionH relativeFrom="column">
                  <wp:posOffset>1758075</wp:posOffset>
                </wp:positionH>
                <wp:positionV relativeFrom="paragraph">
                  <wp:posOffset>59343</wp:posOffset>
                </wp:positionV>
                <wp:extent cx="1600200" cy="1542415"/>
                <wp:effectExtent l="0" t="0" r="19050" b="19685"/>
                <wp:wrapNone/>
                <wp:docPr id="227" name="AutoShape 262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600200" cy="1542415"/>
                        </a:xfrm>
                        <a:prstGeom prst="roundRect">
                          <a:avLst>
                            <a:gd name="adj" fmla="val 16667"/>
                          </a:avLst>
                        </a:prstGeom>
                        <a:noFill/>
                        <a:ln w="9525">
                          <a:solidFill>
                            <a:srgbClr val="000000"/>
                          </a:solidFill>
                          <a:round/>
                          <a:headEnd/>
                          <a:tailEnd/>
                        </a:ln>
                      </wps:spPr>
                      <wps:bodyPr rot="0" vert="horz" wrap="square" lIns="74295" tIns="8890" rIns="74295" bIns="8890" anchor="t" anchorCtr="0" upright="1">
                        <a:noAutofit/>
                      </wps:bodyPr>
                    </wps:wsp>
                  </a:graphicData>
                </a:graphic>
              </wp:anchor>
            </w:drawing>
          </mc:Choice>
          <mc:Fallback xmlns:w16cei="http://schemas.microsoft.com/office/word/2026/wordml/cei">
            <w:pict>
              <v:roundrect w14:anchorId="7053B12D" id="AutoShape 2620" o:spid="_x0000_s1026" style="position:absolute;left:0;text-align:left;margin-left:138.45pt;margin-top:4.65pt;width:126pt;height:121.45pt;z-index:253999104;visibility:visible;mso-wrap-style:square;mso-wrap-distance-left:9pt;mso-wrap-distance-top:0;mso-wrap-distance-right:9pt;mso-wrap-distance-bottom:0;mso-position-horizontal:absolute;mso-position-horizontal-relative:text;mso-position-vertical:absolute;mso-position-vertical-relative:text;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" filled="f">
                <v:textbox inset="5.85pt,.7pt,5.85pt,.7pt"/>
              </v:roundrect>
            </w:pict>
          </mc:Fallback>
        </mc:AlternateContent>
      </w:r>
      <w:r w:rsidRPr="008A3EDE">
        <w:rPr>
          <w:rFonts w:ascii="ＭＳ ゴシック" w:eastAsia="ＭＳ ゴシック" w:hAnsi="ＭＳ ゴシック"/>
          <w:noProof/>
          <w:sz w:val="22"/>
          <w:szCs w:val="22"/>
        </w:rPr>
        <mc:AlternateContent>
          <mc:Choice Requires="wps">
            <w:drawing>
              <wp:anchor distT="0" distB="0" distL="114300" distR="114300" simplePos="0" relativeHeight="254008320" behindDoc="0" locked="0" layoutInCell="1" allowOverlap="1" wp14:anchorId="61A7403A" wp14:editId="401B558A">
                <wp:simplePos x="0" y="0"/>
                <wp:positionH relativeFrom="column">
                  <wp:posOffset>3710700</wp:posOffset>
                </wp:positionH>
                <wp:positionV relativeFrom="paragraph">
                  <wp:posOffset>87918</wp:posOffset>
                </wp:positionV>
                <wp:extent cx="1257300" cy="1467485"/>
                <wp:effectExtent l="0" t="0" r="19050" b="18415"/>
                <wp:wrapNone/>
                <wp:docPr id="229" name="Text Box 262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57300" cy="1467485"/>
                        </a:xfrm>
                        <a:prstGeom prst="rect">
                          <a:avLst/>
                        </a:prstGeom>
                        <a:noFill/>
                        <a:ln w="9525">
                          <a:solidFill>
                            <a:srgbClr val="000000"/>
                          </a:solidFill>
                          <a:miter lim="800000"/>
                          <a:headEnd/>
                          <a:tailEnd/>
                        </a:ln>
                      </wps:spPr>
                      <wps:txbx>
                        <w:txbxContent>
                          <w:p w14:paraId="01A1D6D6" w14:textId="77777777" w:rsidR="006A5267" w:rsidRDefault="006A5267" w:rsidP="008B4B2B"/>
                        </w:txbxContent>
                      </wps:txbx>
                      <wps:bodyPr rot="0" vert="horz" wrap="square" lIns="74295" tIns="8890" rIns="74295" bIns="8890" anchor="t" anchorCtr="0" upright="1">
                        <a:noAutofit/>
                      </wps:bodyPr>
                    </wps:wsp>
                  </a:graphicData>
                </a:graphic>
              </wp:anchor>
            </w:drawing>
          </mc:Choice>
          <mc:Fallback xmlns:w16cei="http://schemas.microsoft.com/office/word/2026/wordml/cei">
            <w:pict>
              <v:shape w14:anchorId="61A7403A" id="Text Box 2629" o:spid="_x0000_s1528" type="#_x0000_t202" style="position:absolute;left:0;text-align:left;margin-left:292.2pt;margin-top:6.9pt;width:99pt;height:115.55pt;z-index:25400832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" filled="f">
                <v:textbox inset="5.85pt,.7pt,5.85pt,.7pt">
                  <w:txbxContent>
                    <w:p w14:paraId="01A1D6D6" w14:textId="77777777" w:rsidR="006A5267" w:rsidRDefault="006A5267" w:rsidP="008B4B2B"/>
                  </w:txbxContent>
                </v:textbox>
              </v:shape>
            </w:pict>
          </mc:Fallback>
        </mc:AlternateContent>
      </w:r>
      <w:r w:rsidRPr="008A3EDE">
        <w:rPr>
          <w:rFonts w:ascii="ＭＳ ゴシック" w:eastAsia="ＭＳ ゴシック" w:hAnsi="ＭＳ ゴシック"/>
          <w:noProof/>
          <w:sz w:val="22"/>
          <w:szCs w:val="22"/>
        </w:rPr>
        <mc:AlternateContent>
          <mc:Choice Requires="wps">
            <w:drawing>
              <wp:anchor distT="0" distB="0" distL="114300" distR="114300" simplePos="0" relativeHeight="254009344" behindDoc="0" locked="0" layoutInCell="1" allowOverlap="1" wp14:anchorId="0EB93429" wp14:editId="73AD6513">
                <wp:simplePos x="0" y="0"/>
                <wp:positionH relativeFrom="column">
                  <wp:posOffset>3825000</wp:posOffset>
                </wp:positionH>
                <wp:positionV relativeFrom="paragraph">
                  <wp:posOffset>211743</wp:posOffset>
                </wp:positionV>
                <wp:extent cx="1028700" cy="546265"/>
                <wp:effectExtent l="0" t="0" r="19050" b="25400"/>
                <wp:wrapNone/>
                <wp:docPr id="235" name="AutoShape 263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28700" cy="546265"/>
                        </a:xfrm>
                        <a:prstGeom prst="roundRect">
                          <a:avLst>
                            <a:gd name="adj" fmla="val 16667"/>
                          </a:avLst>
                        </a:prstGeom>
                        <a:noFill/>
                        <a:ln w="9525">
                          <a:solidFill>
                            <a:srgbClr val="000000"/>
                          </a:solidFill>
                          <a:round/>
                          <a:headEnd/>
                          <a:tailEnd/>
                        </a:ln>
                      </wps:spPr>
                      <wps:txbx>
                        <w:txbxContent>
                          <w:p w14:paraId="0BEAF56D" w14:textId="77777777" w:rsidR="006A5267" w:rsidRPr="00453E1F" w:rsidRDefault="006A5267" w:rsidP="008B4B2B">
                            <w:pPr>
                              <w:spacing w:line="240" w:lineRule="exact"/>
                              <w:rPr>
                                <w:rFonts w:ascii="ＭＳ ゴシック" w:eastAsia="ＭＳ ゴシック" w:hAnsi="ＭＳ ゴシック"/>
                                <w:sz w:val="20"/>
                                <w:szCs w:val="20"/>
                              </w:rPr>
                            </w:pPr>
                            <w:r>
                              <w:rPr>
                                <w:rFonts w:ascii="ＭＳ ゴシック" w:eastAsia="ＭＳ ゴシック" w:hAnsi="ＭＳ ゴシック" w:hint="eastAsia"/>
                                <w:sz w:val="20"/>
                                <w:szCs w:val="20"/>
                              </w:rPr>
                              <w:t>協定締結団体へ依頼</w:t>
                            </w:r>
                          </w:p>
                        </w:txbxContent>
                      </wps:txbx>
                      <wps:bodyPr rot="0" vert="horz" wrap="square" lIns="74295" tIns="8890" rIns="74295" bIns="8890" anchor="ctr" anchorCtr="0" upright="1">
                        <a:noAutofit/>
                      </wps:bodyPr>
                    </wps:wsp>
                  </a:graphicData>
                </a:graphic>
              </wp:anchor>
            </w:drawing>
          </mc:Choice>
          <mc:Fallback xmlns:w16cei="http://schemas.microsoft.com/office/word/2026/wordml/cei">
            <w:pict>
              <v:roundrect w14:anchorId="0EB93429" id="AutoShape 2630" o:spid="_x0000_s1529" style="position:absolute;left:0;text-align:left;margin-left:301.2pt;margin-top:16.65pt;width:81pt;height:43pt;z-index:254009344;visibility:visible;mso-wrap-style:square;mso-wrap-distance-left:9pt;mso-wrap-distance-top:0;mso-wrap-distance-right:9pt;mso-wrap-distance-bottom:0;mso-position-horizontal:absolute;mso-position-horizontal-relative:text;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" filled="f">
                <v:textbox inset="5.85pt,.7pt,5.85pt,.7pt">
                  <w:txbxContent>
                    <w:p w14:paraId="0BEAF56D" w14:textId="77777777" w:rsidR="006A5267" w:rsidRPr="00453E1F" w:rsidRDefault="006A5267" w:rsidP="008B4B2B">
                      <w:pPr>
                        <w:spacing w:line="240" w:lineRule="exact"/>
                        <w:rPr>
                          <w:rFonts w:ascii="ＭＳ ゴシック" w:eastAsia="ＭＳ ゴシック" w:hAnsi="ＭＳ ゴシック"/>
                          <w:sz w:val="20"/>
                          <w:szCs w:val="20"/>
                        </w:rPr>
                      </w:pPr>
                      <w:r>
                        <w:rPr>
                          <w:rFonts w:ascii="ＭＳ ゴシック" w:eastAsia="ＭＳ ゴシック" w:hAnsi="ＭＳ ゴシック" w:hint="eastAsia"/>
                          <w:sz w:val="20"/>
                          <w:szCs w:val="20"/>
                        </w:rPr>
                        <w:t>協定締結団体へ依頼</w:t>
                      </w:r>
                    </w:p>
                  </w:txbxContent>
                </v:textbox>
              </v:roundrect>
            </w:pict>
          </mc:Fallback>
        </mc:AlternateContent>
      </w:r>
      <w:r w:rsidRPr="008A3EDE">
        <w:rPr>
          <w:rFonts w:ascii="ＭＳ ゴシック" w:eastAsia="ＭＳ ゴシック" w:hAnsi="ＭＳ ゴシック"/>
          <w:sz w:val="22"/>
          <w:szCs w:val="22"/>
        </w:rPr>
        <w:tab/>
      </w:r>
    </w:p>
    <w:p w14:paraId="290F9914" w14:textId="77777777" w:rsidR="008B4B2B" w:rsidRPr="008A3EDE" w:rsidRDefault="008B4B2B" w:rsidP="008B4B2B">
      <w:pPr>
        <w:overflowPunct w:val="0"/>
        <w:autoSpaceDE w:val="0"/>
        <w:autoSpaceDN w:val="0"/>
        <w:ind w:firstLineChars="300" w:firstLine="663"/>
        <w:rPr>
          <w:rFonts w:ascii="ＭＳ ゴシック" w:eastAsia="ＭＳ ゴシック" w:hAnsi="ＭＳ ゴシック"/>
          <w:sz w:val="22"/>
          <w:szCs w:val="22"/>
        </w:rPr>
      </w:pPr>
      <w:r w:rsidRPr="008A3EDE">
        <w:rPr>
          <w:rFonts w:ascii="ＭＳ ゴシック" w:eastAsia="ＭＳ ゴシック" w:hAnsi="ＭＳ ゴシック" w:hint="eastAsia"/>
          <w:noProof/>
          <w:sz w:val="22"/>
          <w:szCs w:val="22"/>
        </w:rPr>
        <mc:AlternateContent>
          <mc:Choice Requires="wps">
            <w:drawing>
              <wp:anchor distT="0" distB="0" distL="114300" distR="114300" simplePos="0" relativeHeight="254005248" behindDoc="0" locked="0" layoutInCell="1" allowOverlap="1" wp14:anchorId="53A35C40" wp14:editId="5E0B70DA">
                <wp:simplePos x="0" y="0"/>
                <wp:positionH relativeFrom="column">
                  <wp:posOffset>1005600</wp:posOffset>
                </wp:positionH>
                <wp:positionV relativeFrom="paragraph">
                  <wp:posOffset>111413</wp:posOffset>
                </wp:positionV>
                <wp:extent cx="685800" cy="228600"/>
                <wp:effectExtent l="0" t="0" r="0" b="0"/>
                <wp:wrapNone/>
                <wp:docPr id="240" name="Text Box 261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5800" cy="2286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2D9FABA" w14:textId="77777777" w:rsidR="006A5267" w:rsidRPr="00844DCB" w:rsidRDefault="006A5267" w:rsidP="008B4B2B">
                            <w:pPr>
                              <w:spacing w:line="240" w:lineRule="exact"/>
                              <w:rPr>
                                <w:rFonts w:ascii="ＭＳ ゴシック" w:eastAsia="ＭＳ ゴシック" w:hAnsi="ＭＳ ゴシック"/>
                                <w:sz w:val="20"/>
                                <w:szCs w:val="20"/>
                              </w:rPr>
                            </w:pPr>
                            <w:r>
                              <w:rPr>
                                <w:rFonts w:ascii="ＭＳ ゴシック" w:eastAsia="ＭＳ ゴシック" w:hAnsi="ＭＳ ゴシック" w:hint="eastAsia"/>
                                <w:sz w:val="20"/>
                                <w:szCs w:val="20"/>
                              </w:rPr>
                              <w:t>被害報告</w:t>
                            </w:r>
                          </w:p>
                        </w:txbxContent>
                      </wps:txbx>
                      <wps:bodyPr rot="0" vert="horz" wrap="square" lIns="74295" tIns="8890" rIns="74295" bIns="8890" anchor="t" anchorCtr="0" upright="1">
                        <a:noAutofit/>
                      </wps:bodyPr>
                    </wps:wsp>
                  </a:graphicData>
                </a:graphic>
              </wp:anchor>
            </w:drawing>
          </mc:Choice>
          <mc:Fallback xmlns:w16cei="http://schemas.microsoft.com/office/word/2026/wordml/cei">
            <w:pict>
              <v:shape w14:anchorId="53A35C40" id="Text Box 2619" o:spid="_x0000_s1530" type="#_x0000_t202" style="position:absolute;left:0;text-align:left;margin-left:79.2pt;margin-top:8.75pt;width:54pt;height:18pt;z-index:25400524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" filled="f" stroked="f">
                <v:textbox inset="5.85pt,.7pt,5.85pt,.7pt">
                  <w:txbxContent>
                    <w:p w14:paraId="62D9FABA" w14:textId="77777777" w:rsidR="006A5267" w:rsidRPr="00844DCB" w:rsidRDefault="006A5267" w:rsidP="008B4B2B">
                      <w:pPr>
                        <w:spacing w:line="240" w:lineRule="exact"/>
                        <w:rPr>
                          <w:rFonts w:ascii="ＭＳ ゴシック" w:eastAsia="ＭＳ ゴシック" w:hAnsi="ＭＳ ゴシック"/>
                          <w:sz w:val="20"/>
                          <w:szCs w:val="20"/>
                        </w:rPr>
                      </w:pPr>
                      <w:r>
                        <w:rPr>
                          <w:rFonts w:ascii="ＭＳ ゴシック" w:eastAsia="ＭＳ ゴシック" w:hAnsi="ＭＳ ゴシック" w:hint="eastAsia"/>
                          <w:sz w:val="20"/>
                          <w:szCs w:val="20"/>
                        </w:rPr>
                        <w:t>被害報告</w:t>
                      </w:r>
                    </w:p>
                  </w:txbxContent>
                </v:textbox>
              </v:shape>
            </w:pict>
          </mc:Fallback>
        </mc:AlternateContent>
      </w:r>
      <w:r w:rsidRPr="008A3EDE">
        <w:rPr>
          <w:rFonts w:ascii="ＭＳ ゴシック" w:eastAsia="ＭＳ ゴシック" w:hAnsi="ＭＳ ゴシック" w:hint="eastAsia"/>
          <w:noProof/>
          <w:sz w:val="22"/>
          <w:szCs w:val="22"/>
        </w:rPr>
        <mc:AlternateContent>
          <mc:Choice Requires="wps">
            <w:drawing>
              <wp:anchor distT="0" distB="0" distL="114300" distR="114300" simplePos="0" relativeHeight="254006272" behindDoc="0" locked="0" layoutInCell="1" allowOverlap="1" wp14:anchorId="3542DDF4" wp14:editId="77F54B36">
                <wp:simplePos x="0" y="0"/>
                <wp:positionH relativeFrom="column">
                  <wp:posOffset>1872375</wp:posOffset>
                </wp:positionH>
                <wp:positionV relativeFrom="paragraph">
                  <wp:posOffset>54263</wp:posOffset>
                </wp:positionV>
                <wp:extent cx="1371600" cy="228600"/>
                <wp:effectExtent l="0" t="0" r="19050" b="19050"/>
                <wp:wrapNone/>
                <wp:docPr id="245" name="Text Box 262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71600" cy="228600"/>
                        </a:xfrm>
                        <a:prstGeom prst="rect">
                          <a:avLst/>
                        </a:prstGeom>
                        <a:noFill/>
                        <a:ln w="9525">
                          <a:solidFill>
                            <a:srgbClr val="000000"/>
                          </a:solidFill>
                          <a:miter lim="800000"/>
                          <a:headEnd/>
                          <a:tailEnd/>
                        </a:ln>
                      </wps:spPr>
                      <wps:txbx>
                        <w:txbxContent>
                          <w:p w14:paraId="160681F5" w14:textId="77777777" w:rsidR="006A5267" w:rsidRPr="001772AB" w:rsidRDefault="006A5267" w:rsidP="008B4B2B">
                            <w:pPr>
                              <w:jc w:val="center"/>
                              <w:rPr>
                                <w:rFonts w:ascii="ＭＳ ゴシック" w:eastAsia="ＭＳ ゴシック" w:hAnsi="ＭＳ ゴシック"/>
                                <w:sz w:val="20"/>
                                <w:szCs w:val="20"/>
                              </w:rPr>
                            </w:pPr>
                            <w:r>
                              <w:rPr>
                                <w:rFonts w:ascii="ＭＳ ゴシック" w:eastAsia="ＭＳ ゴシック" w:hAnsi="ＭＳ ゴシック" w:hint="eastAsia"/>
                                <w:sz w:val="20"/>
                                <w:szCs w:val="20"/>
                              </w:rPr>
                              <w:t>危機管理室</w:t>
                            </w:r>
                          </w:p>
                        </w:txbxContent>
                      </wps:txbx>
                      <wps:bodyPr rot="0" vert="horz" wrap="square" lIns="74295" tIns="8890" rIns="74295" bIns="8890" anchor="t" anchorCtr="0" upright="1">
                        <a:noAutofit/>
                      </wps:bodyPr>
                    </wps:wsp>
                  </a:graphicData>
                </a:graphic>
              </wp:anchor>
            </w:drawing>
          </mc:Choice>
          <mc:Fallback xmlns:w16cei="http://schemas.microsoft.com/office/word/2026/wordml/cei">
            <w:pict>
              <v:shape w14:anchorId="3542DDF4" id="Text Box 2621" o:spid="_x0000_s1531" type="#_x0000_t202" style="position:absolute;left:0;text-align:left;margin-left:147.45pt;margin-top:4.25pt;width:108pt;height:18pt;z-index:25400627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" filled="f">
                <v:textbox inset="5.85pt,.7pt,5.85pt,.7pt">
                  <w:txbxContent>
                    <w:p w14:paraId="160681F5" w14:textId="77777777" w:rsidR="006A5267" w:rsidRPr="001772AB" w:rsidRDefault="006A5267" w:rsidP="008B4B2B">
                      <w:pPr>
                        <w:jc w:val="center"/>
                        <w:rPr>
                          <w:rFonts w:ascii="ＭＳ ゴシック" w:eastAsia="ＭＳ ゴシック" w:hAnsi="ＭＳ ゴシック"/>
                          <w:sz w:val="20"/>
                          <w:szCs w:val="20"/>
                        </w:rPr>
                      </w:pPr>
                      <w:r>
                        <w:rPr>
                          <w:rFonts w:ascii="ＭＳ ゴシック" w:eastAsia="ＭＳ ゴシック" w:hAnsi="ＭＳ ゴシック" w:hint="eastAsia"/>
                          <w:sz w:val="20"/>
                          <w:szCs w:val="20"/>
                        </w:rPr>
                        <w:t>危機管理室</w:t>
                      </w:r>
                    </w:p>
                  </w:txbxContent>
                </v:textbox>
              </v:shape>
            </w:pict>
          </mc:Fallback>
        </mc:AlternateContent>
      </w:r>
      <w:r w:rsidRPr="008A3EDE">
        <w:rPr>
          <w:rFonts w:ascii="ＭＳ ゴシック" w:eastAsia="ＭＳ ゴシック" w:hAnsi="ＭＳ ゴシック" w:hint="eastAsia"/>
          <w:noProof/>
          <w:sz w:val="22"/>
          <w:szCs w:val="22"/>
        </w:rPr>
        <mc:AlternateContent>
          <mc:Choice Requires="wps">
            <w:drawing>
              <wp:anchor distT="0" distB="0" distL="114300" distR="114300" simplePos="0" relativeHeight="254000128" behindDoc="0" locked="0" layoutInCell="1" allowOverlap="1" wp14:anchorId="62D08EDB" wp14:editId="185345AA">
                <wp:simplePos x="0" y="0"/>
                <wp:positionH relativeFrom="column">
                  <wp:posOffset>960120</wp:posOffset>
                </wp:positionH>
                <wp:positionV relativeFrom="paragraph">
                  <wp:posOffset>54610</wp:posOffset>
                </wp:positionV>
                <wp:extent cx="800100" cy="0"/>
                <wp:effectExtent l="7620" t="54610" r="20955" b="59690"/>
                <wp:wrapNone/>
                <wp:docPr id="246" name="Line 262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800100" cy="0"/>
                        </a:xfrm>
                        <a:prstGeom prst="line">
                          <a:avLst/>
                        </a:prstGeom>
                        <a:noFill/>
                        <a:ln w="9525">
                          <a:solidFill>
                            <a:srgbClr val="000000"/>
                          </a:solidFill>
                          <a:round/>
                          <a:headEnd/>
                          <a:tailEnd type="stealth"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line w14:anchorId="13F7B75E" id="Line 2626" o:spid="_x0000_s1026" style="position:absolute;left:0;text-align:left;z-index:2540001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75.6pt,4.3pt" to="138.6pt,4.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">
                <v:stroke endarrow="classic"/>
              </v:line>
            </w:pict>
          </mc:Fallback>
        </mc:AlternateContent>
      </w:r>
    </w:p>
    <w:p w14:paraId="567069AF" w14:textId="77777777" w:rsidR="008B4B2B" w:rsidRPr="008A3EDE" w:rsidRDefault="008B4B2B" w:rsidP="008B4B2B">
      <w:pPr>
        <w:overflowPunct w:val="0"/>
        <w:autoSpaceDE w:val="0"/>
        <w:autoSpaceDN w:val="0"/>
        <w:ind w:firstLineChars="300" w:firstLine="663"/>
        <w:rPr>
          <w:rFonts w:ascii="ＭＳ ゴシック" w:eastAsia="ＭＳ ゴシック" w:hAnsi="ＭＳ ゴシック"/>
          <w:sz w:val="22"/>
          <w:szCs w:val="22"/>
        </w:rPr>
      </w:pPr>
      <w:r w:rsidRPr="008A3EDE">
        <w:rPr>
          <w:rFonts w:ascii="ＭＳ ゴシック" w:eastAsia="ＭＳ ゴシック" w:hAnsi="ＭＳ ゴシック" w:hint="eastAsia"/>
          <w:noProof/>
          <w:sz w:val="22"/>
          <w:szCs w:val="22"/>
        </w:rPr>
        <mc:AlternateContent>
          <mc:Choice Requires="wps">
            <w:drawing>
              <wp:anchor distT="0" distB="0" distL="114300" distR="114300" simplePos="0" relativeHeight="254007296" behindDoc="0" locked="0" layoutInCell="1" allowOverlap="1" wp14:anchorId="43ECA93E" wp14:editId="4DA445BA">
                <wp:simplePos x="0" y="0"/>
                <wp:positionH relativeFrom="column">
                  <wp:posOffset>2072400</wp:posOffset>
                </wp:positionH>
                <wp:positionV relativeFrom="paragraph">
                  <wp:posOffset>173008</wp:posOffset>
                </wp:positionV>
                <wp:extent cx="828923" cy="228600"/>
                <wp:effectExtent l="38100" t="0" r="0" b="38100"/>
                <wp:wrapNone/>
                <wp:docPr id="247" name="AutoShape 262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828923" cy="228600"/>
                        </a:xfrm>
                        <a:prstGeom prst="downArrow">
                          <a:avLst>
                            <a:gd name="adj1" fmla="val 50000"/>
                            <a:gd name="adj2" fmla="val 25000"/>
                          </a:avLst>
                        </a:prstGeom>
                        <a:noFill/>
                        <a:ln w="9525">
                          <a:solidFill>
                            <a:srgbClr val="000000"/>
                          </a:solidFill>
                          <a:miter lim="800000"/>
                          <a:headEnd/>
                          <a:tailEnd/>
                        </a:ln>
                      </wps:spPr>
                      <wps:txbx>
                        <w:txbxContent>
                          <w:p w14:paraId="28F34DAF" w14:textId="77777777" w:rsidR="006A5267" w:rsidRPr="00316FFB" w:rsidRDefault="006A5267" w:rsidP="008B4B2B">
                            <w:pPr>
                              <w:spacing w:line="240" w:lineRule="exact"/>
                              <w:rPr>
                                <w:rFonts w:ascii="ＭＳ ゴシック" w:eastAsia="ＭＳ ゴシック" w:hAnsi="ＭＳ ゴシック"/>
                                <w:sz w:val="20"/>
                                <w:szCs w:val="20"/>
                              </w:rPr>
                            </w:pPr>
                            <w:r>
                              <w:rPr>
                                <w:rFonts w:ascii="ＭＳ ゴシック" w:eastAsia="ＭＳ ゴシック" w:hAnsi="ＭＳ ゴシック" w:hint="eastAsia"/>
                                <w:sz w:val="20"/>
                                <w:szCs w:val="20"/>
                              </w:rPr>
                              <w:t>依頼</w:t>
                            </w:r>
                          </w:p>
                        </w:txbxContent>
                      </wps:txbx>
                      <wps:bodyPr rot="0" vert="horz" wrap="square" lIns="74295" tIns="8890" rIns="74295" bIns="8890" anchor="t" anchorCtr="0" upright="1">
                        <a:noAutofit/>
                      </wps:bodyPr>
                    </wps:wsp>
                  </a:graphicData>
                </a:graphic>
              </wp:anchor>
            </w:drawing>
          </mc:Choice>
          <mc:Fallback xmlns:w16cei="http://schemas.microsoft.com/office/word/2026/wordml/cei">
            <w:pict>
              <v:shape w14:anchorId="43ECA93E" id="AutoShape 2623" o:spid="_x0000_s1532" type="#_x0000_t67" style="position:absolute;left:0;text-align:left;margin-left:163.2pt;margin-top:13.6pt;width:65.25pt;height:18pt;z-index:25400729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" filled="f">
                <v:textbox inset="5.85pt,.7pt,5.85pt,.7pt">
                  <w:txbxContent>
                    <w:p w14:paraId="28F34DAF" w14:textId="77777777" w:rsidR="006A5267" w:rsidRPr="00316FFB" w:rsidRDefault="006A5267" w:rsidP="008B4B2B">
                      <w:pPr>
                        <w:spacing w:line="240" w:lineRule="exact"/>
                        <w:rPr>
                          <w:rFonts w:ascii="ＭＳ ゴシック" w:eastAsia="ＭＳ ゴシック" w:hAnsi="ＭＳ ゴシック"/>
                          <w:sz w:val="20"/>
                          <w:szCs w:val="20"/>
                        </w:rPr>
                      </w:pPr>
                      <w:r>
                        <w:rPr>
                          <w:rFonts w:ascii="ＭＳ ゴシック" w:eastAsia="ＭＳ ゴシック" w:hAnsi="ＭＳ ゴシック" w:hint="eastAsia"/>
                          <w:sz w:val="20"/>
                          <w:szCs w:val="20"/>
                        </w:rPr>
                        <w:t>依頼</w:t>
                      </w:r>
                    </w:p>
                  </w:txbxContent>
                </v:textbox>
              </v:shape>
            </w:pict>
          </mc:Fallback>
        </mc:AlternateContent>
      </w:r>
      <w:r w:rsidRPr="008A3EDE">
        <w:rPr>
          <w:rFonts w:ascii="ＭＳ ゴシック" w:eastAsia="ＭＳ ゴシック" w:hAnsi="ＭＳ ゴシック" w:hint="eastAsia"/>
          <w:noProof/>
          <w:sz w:val="22"/>
          <w:szCs w:val="22"/>
        </w:rPr>
        <mc:AlternateContent>
          <mc:Choice Requires="wps">
            <w:drawing>
              <wp:anchor distT="0" distB="0" distL="114300" distR="114300" simplePos="0" relativeHeight="254012416" behindDoc="0" locked="0" layoutInCell="1" allowOverlap="1" wp14:anchorId="5FDA090B" wp14:editId="3213C88A">
                <wp:simplePos x="0" y="0"/>
                <wp:positionH relativeFrom="column">
                  <wp:posOffset>957975</wp:posOffset>
                </wp:positionH>
                <wp:positionV relativeFrom="paragraph">
                  <wp:posOffset>182533</wp:posOffset>
                </wp:positionV>
                <wp:extent cx="800100" cy="933450"/>
                <wp:effectExtent l="0" t="0" r="0" b="0"/>
                <wp:wrapNone/>
                <wp:docPr id="248" name="Text Box 262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00100" cy="9334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E8E1559" w14:textId="77777777" w:rsidR="006A5267" w:rsidRPr="00C15851" w:rsidRDefault="006A5267" w:rsidP="008B4B2B">
                            <w:pPr>
                              <w:spacing w:line="240" w:lineRule="exact"/>
                              <w:rPr>
                                <w:rFonts w:ascii="ＭＳ ゴシック" w:eastAsia="ＭＳ ゴシック" w:hAnsi="ＭＳ ゴシック"/>
                                <w:sz w:val="18"/>
                                <w:szCs w:val="20"/>
                              </w:rPr>
                            </w:pPr>
                            <w:r w:rsidRPr="00146E28">
                              <w:rPr>
                                <w:rFonts w:ascii="ＭＳ ゴシック" w:eastAsia="ＭＳ ゴシック" w:hAnsi="ＭＳ ゴシック" w:hint="eastAsia"/>
                                <w:sz w:val="18"/>
                                <w:szCs w:val="20"/>
                              </w:rPr>
                              <w:t>建設型・</w:t>
                            </w:r>
                            <w:r w:rsidRPr="00146E28">
                              <w:rPr>
                                <w:rFonts w:ascii="ＭＳ ゴシック" w:eastAsia="ＭＳ ゴシック" w:hAnsi="ＭＳ ゴシック"/>
                                <w:sz w:val="18"/>
                                <w:szCs w:val="20"/>
                              </w:rPr>
                              <w:t>借上</w:t>
                            </w:r>
                            <w:r w:rsidRPr="00146E28">
                              <w:rPr>
                                <w:rFonts w:ascii="ＭＳ ゴシック" w:eastAsia="ＭＳ ゴシック" w:hAnsi="ＭＳ ゴシック" w:hint="eastAsia"/>
                                <w:sz w:val="18"/>
                                <w:szCs w:val="20"/>
                              </w:rPr>
                              <w:t>型</w:t>
                            </w:r>
                            <w:r w:rsidRPr="00146E28">
                              <w:rPr>
                                <w:rFonts w:ascii="ＭＳ ゴシック" w:eastAsia="ＭＳ ゴシック" w:hAnsi="ＭＳ ゴシック"/>
                                <w:sz w:val="18"/>
                                <w:szCs w:val="20"/>
                              </w:rPr>
                              <w:t>の</w:t>
                            </w:r>
                            <w:r w:rsidRPr="00146E28">
                              <w:rPr>
                                <w:rFonts w:ascii="ＭＳ ゴシック" w:eastAsia="ＭＳ ゴシック" w:hAnsi="ＭＳ ゴシック" w:hint="eastAsia"/>
                                <w:sz w:val="18"/>
                                <w:szCs w:val="20"/>
                              </w:rPr>
                              <w:t>戸数</w:t>
                            </w:r>
                            <w:r w:rsidRPr="00146E28">
                              <w:rPr>
                                <w:rFonts w:ascii="ＭＳ ゴシック" w:eastAsia="ＭＳ ゴシック" w:hAnsi="ＭＳ ゴシック"/>
                                <w:sz w:val="18"/>
                                <w:szCs w:val="20"/>
                              </w:rPr>
                              <w:t>の</w:t>
                            </w:r>
                            <w:r w:rsidRPr="00146E28">
                              <w:rPr>
                                <w:rFonts w:ascii="ＭＳ ゴシック" w:eastAsia="ＭＳ ゴシック" w:hAnsi="ＭＳ ゴシック" w:hint="eastAsia"/>
                                <w:sz w:val="18"/>
                                <w:szCs w:val="20"/>
                              </w:rPr>
                              <w:t>割当、建設用地</w:t>
                            </w:r>
                            <w:r w:rsidRPr="00146E28">
                              <w:rPr>
                                <w:rFonts w:ascii="ＭＳ ゴシック" w:eastAsia="ＭＳ ゴシック" w:hAnsi="ＭＳ ゴシック"/>
                                <w:sz w:val="18"/>
                                <w:szCs w:val="20"/>
                              </w:rPr>
                              <w:t>、入居要件等の</w:t>
                            </w:r>
                            <w:r w:rsidRPr="00146E28">
                              <w:rPr>
                                <w:rFonts w:ascii="ＭＳ ゴシック" w:eastAsia="ＭＳ ゴシック" w:hAnsi="ＭＳ ゴシック" w:hint="eastAsia"/>
                                <w:sz w:val="18"/>
                                <w:szCs w:val="20"/>
                              </w:rPr>
                              <w:t>調整</w:t>
                            </w:r>
                          </w:p>
                        </w:txbxContent>
                      </wps:txbx>
                      <wps:bodyPr rot="0" vert="horz" wrap="square" lIns="74295" tIns="8890" rIns="74295" bIns="8890" anchor="t" anchorCtr="0" upright="1">
                        <a:noAutofit/>
                      </wps:bodyPr>
                    </wps:wsp>
                  </a:graphicData>
                </a:graphic>
              </wp:anchor>
            </w:drawing>
          </mc:Choice>
          <mc:Fallback xmlns:w16cei="http://schemas.microsoft.com/office/word/2026/wordml/cei">
            <w:pict>
              <v:shape w14:anchorId="5FDA090B" id="Text Box 2628" o:spid="_x0000_s1533" type="#_x0000_t202" style="position:absolute;left:0;text-align:left;margin-left:75.45pt;margin-top:14.35pt;width:63pt;height:73.5pt;z-index:25401241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" filled="f" stroked="f">
                <v:textbox inset="5.85pt,.7pt,5.85pt,.7pt">
                  <w:txbxContent>
                    <w:p w14:paraId="7E8E1559" w14:textId="77777777" w:rsidR="006A5267" w:rsidRPr="00C15851" w:rsidRDefault="006A5267" w:rsidP="008B4B2B">
                      <w:pPr>
                        <w:spacing w:line="240" w:lineRule="exact"/>
                        <w:rPr>
                          <w:rFonts w:ascii="ＭＳ ゴシック" w:eastAsia="ＭＳ ゴシック" w:hAnsi="ＭＳ ゴシック"/>
                          <w:sz w:val="18"/>
                          <w:szCs w:val="20"/>
                        </w:rPr>
                      </w:pPr>
                      <w:r w:rsidRPr="00146E28">
                        <w:rPr>
                          <w:rFonts w:ascii="ＭＳ ゴシック" w:eastAsia="ＭＳ ゴシック" w:hAnsi="ＭＳ ゴシック" w:hint="eastAsia"/>
                          <w:sz w:val="18"/>
                          <w:szCs w:val="20"/>
                        </w:rPr>
                        <w:t>建設型・</w:t>
                      </w:r>
                      <w:r w:rsidRPr="00146E28">
                        <w:rPr>
                          <w:rFonts w:ascii="ＭＳ ゴシック" w:eastAsia="ＭＳ ゴシック" w:hAnsi="ＭＳ ゴシック"/>
                          <w:sz w:val="18"/>
                          <w:szCs w:val="20"/>
                        </w:rPr>
                        <w:t>借上</w:t>
                      </w:r>
                      <w:r w:rsidRPr="00146E28">
                        <w:rPr>
                          <w:rFonts w:ascii="ＭＳ ゴシック" w:eastAsia="ＭＳ ゴシック" w:hAnsi="ＭＳ ゴシック" w:hint="eastAsia"/>
                          <w:sz w:val="18"/>
                          <w:szCs w:val="20"/>
                        </w:rPr>
                        <w:t>型</w:t>
                      </w:r>
                      <w:r w:rsidRPr="00146E28">
                        <w:rPr>
                          <w:rFonts w:ascii="ＭＳ ゴシック" w:eastAsia="ＭＳ ゴシック" w:hAnsi="ＭＳ ゴシック"/>
                          <w:sz w:val="18"/>
                          <w:szCs w:val="20"/>
                        </w:rPr>
                        <w:t>の</w:t>
                      </w:r>
                      <w:r w:rsidRPr="00146E28">
                        <w:rPr>
                          <w:rFonts w:ascii="ＭＳ ゴシック" w:eastAsia="ＭＳ ゴシック" w:hAnsi="ＭＳ ゴシック" w:hint="eastAsia"/>
                          <w:sz w:val="18"/>
                          <w:szCs w:val="20"/>
                        </w:rPr>
                        <w:t>戸数</w:t>
                      </w:r>
                      <w:r w:rsidRPr="00146E28">
                        <w:rPr>
                          <w:rFonts w:ascii="ＭＳ ゴシック" w:eastAsia="ＭＳ ゴシック" w:hAnsi="ＭＳ ゴシック"/>
                          <w:sz w:val="18"/>
                          <w:szCs w:val="20"/>
                        </w:rPr>
                        <w:t>の</w:t>
                      </w:r>
                      <w:r w:rsidRPr="00146E28">
                        <w:rPr>
                          <w:rFonts w:ascii="ＭＳ ゴシック" w:eastAsia="ＭＳ ゴシック" w:hAnsi="ＭＳ ゴシック" w:hint="eastAsia"/>
                          <w:sz w:val="18"/>
                          <w:szCs w:val="20"/>
                        </w:rPr>
                        <w:t>割当、建設用地</w:t>
                      </w:r>
                      <w:r w:rsidRPr="00146E28">
                        <w:rPr>
                          <w:rFonts w:ascii="ＭＳ ゴシック" w:eastAsia="ＭＳ ゴシック" w:hAnsi="ＭＳ ゴシック"/>
                          <w:sz w:val="18"/>
                          <w:szCs w:val="20"/>
                        </w:rPr>
                        <w:t>、入居要件等の</w:t>
                      </w:r>
                      <w:r w:rsidRPr="00146E28">
                        <w:rPr>
                          <w:rFonts w:ascii="ＭＳ ゴシック" w:eastAsia="ＭＳ ゴシック" w:hAnsi="ＭＳ ゴシック" w:hint="eastAsia"/>
                          <w:sz w:val="18"/>
                          <w:szCs w:val="20"/>
                        </w:rPr>
                        <w:t>調整</w:t>
                      </w:r>
                    </w:p>
                  </w:txbxContent>
                </v:textbox>
              </v:shape>
            </w:pict>
          </mc:Fallback>
        </mc:AlternateContent>
      </w:r>
      <w:r w:rsidRPr="008A3EDE">
        <w:rPr>
          <w:rFonts w:ascii="ＭＳ ゴシック" w:eastAsia="ＭＳ ゴシック" w:hAnsi="ＭＳ ゴシック" w:hint="eastAsia"/>
          <w:noProof/>
          <w:sz w:val="22"/>
          <w:szCs w:val="22"/>
        </w:rPr>
        <mc:AlternateContent>
          <mc:Choice Requires="wps">
            <w:drawing>
              <wp:anchor distT="0" distB="0" distL="114300" distR="114300" simplePos="0" relativeHeight="254003200" behindDoc="0" locked="0" layoutInCell="1" allowOverlap="1" wp14:anchorId="08EA4E5D" wp14:editId="3C01130D">
                <wp:simplePos x="0" y="0"/>
                <wp:positionH relativeFrom="column">
                  <wp:posOffset>932304</wp:posOffset>
                </wp:positionH>
                <wp:positionV relativeFrom="paragraph">
                  <wp:posOffset>142875</wp:posOffset>
                </wp:positionV>
                <wp:extent cx="831273" cy="0"/>
                <wp:effectExtent l="38100" t="76200" r="26035" b="95250"/>
                <wp:wrapNone/>
                <wp:docPr id="249" name="直線矢印コネクタ 249"/>
                <wp:cNvGraphicFramePr/>
                <a:graphic xmlns:a="http://schemas.openxmlformats.org/drawingml/2006/main">
                  <a:graphicData uri="http://schemas.microsoft.com/office/word/2010/wordprocessingShape">
                    <wps:wsp>
                      <wps:cNvCnPr/>
                      <wps:spPr>
                        <a:xfrm>
                          <a:off x="0" y="0"/>
                          <a:ext cx="831273" cy="0"/>
                        </a:xfrm>
                        <a:prstGeom prst="straightConnector1">
                          <a:avLst/>
                        </a:prstGeom>
                        <a:noFill/>
                        <a:ln w="9525" cap="flat" cmpd="sng" algn="ctr">
                          <a:solidFill>
                            <a:sysClr val="windowText" lastClr="000000"/>
                          </a:solidFill>
                          <a:prstDash val="solid"/>
                          <a:headEnd type="triangle"/>
                          <a:tailEnd type="triangle"/>
                        </a:ln>
                        <a:effectLst/>
                      </wps:spPr>
                      <wps:bodyPr/>
                    </wps:wsp>
                  </a:graphicData>
                </a:graphic>
              </wp:anchor>
            </w:drawing>
          </mc:Choice>
          <mc:Fallback xmlns:w16cei="http://schemas.microsoft.com/office/word/2026/wordml/cei">
            <w:pict>
              <v:shape w14:anchorId="5E91B913" id="直線矢印コネクタ 249" o:spid="_x0000_s1026" type="#_x0000_t32" style="position:absolute;left:0;text-align:left;margin-left:73.4pt;margin-top:11.25pt;width:65.45pt;height:0;z-index:25400320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" strokecolor="windowText">
                <v:stroke startarrow="block" endarrow="block"/>
              </v:shape>
            </w:pict>
          </mc:Fallback>
        </mc:AlternateContent>
      </w:r>
    </w:p>
    <w:p w14:paraId="3193469D" w14:textId="77777777" w:rsidR="008B4B2B" w:rsidRPr="008A3EDE" w:rsidRDefault="008B4B2B" w:rsidP="008B4B2B">
      <w:pPr>
        <w:overflowPunct w:val="0"/>
        <w:autoSpaceDE w:val="0"/>
        <w:autoSpaceDN w:val="0"/>
        <w:ind w:firstLineChars="300" w:firstLine="663"/>
        <w:rPr>
          <w:rFonts w:ascii="ＭＳ ゴシック" w:eastAsia="ＭＳ ゴシック" w:hAnsi="ＭＳ ゴシック"/>
          <w:sz w:val="22"/>
          <w:szCs w:val="22"/>
        </w:rPr>
      </w:pPr>
      <w:r w:rsidRPr="008A3EDE">
        <w:rPr>
          <w:rFonts w:ascii="ＭＳ ゴシック" w:eastAsia="ＭＳ ゴシック" w:hAnsi="ＭＳ ゴシック" w:hint="eastAsia"/>
          <w:noProof/>
          <w:sz w:val="22"/>
          <w:szCs w:val="22"/>
        </w:rPr>
        <mc:AlternateContent>
          <mc:Choice Requires="wps">
            <w:drawing>
              <wp:anchor distT="0" distB="0" distL="114300" distR="114300" simplePos="0" relativeHeight="254002176" behindDoc="0" locked="0" layoutInCell="1" allowOverlap="1" wp14:anchorId="183531FA" wp14:editId="1044A70D">
                <wp:simplePos x="0" y="0"/>
                <wp:positionH relativeFrom="column">
                  <wp:posOffset>4989830</wp:posOffset>
                </wp:positionH>
                <wp:positionV relativeFrom="paragraph">
                  <wp:posOffset>83185</wp:posOffset>
                </wp:positionV>
                <wp:extent cx="295275" cy="0"/>
                <wp:effectExtent l="0" t="76200" r="9525" b="95250"/>
                <wp:wrapNone/>
                <wp:docPr id="250" name="Line 263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295275" cy="0"/>
                        </a:xfrm>
                        <a:prstGeom prst="line">
                          <a:avLst/>
                        </a:prstGeom>
                        <a:noFill/>
                        <a:ln w="9525">
                          <a:solidFill>
                            <a:srgbClr val="000000"/>
                          </a:solidFill>
                          <a:round/>
                          <a:headEnd/>
                          <a:tailEnd type="stealth"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line w14:anchorId="442C3A0D" id="Line 2635" o:spid="_x0000_s1026" style="position:absolute;left:0;text-align:left;flip:y;z-index:2540021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92.9pt,6.55pt" to="416.15pt,6.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">
                <v:stroke endarrow="classic"/>
              </v:line>
            </w:pict>
          </mc:Fallback>
        </mc:AlternateContent>
      </w:r>
      <w:r w:rsidRPr="008A3EDE">
        <w:rPr>
          <w:rFonts w:ascii="ＭＳ ゴシック" w:eastAsia="ＭＳ ゴシック" w:hAnsi="ＭＳ ゴシック" w:hint="eastAsia"/>
          <w:noProof/>
          <w:sz w:val="22"/>
          <w:szCs w:val="22"/>
        </w:rPr>
        <mc:AlternateContent>
          <mc:Choice Requires="wps">
            <w:drawing>
              <wp:anchor distT="0" distB="0" distL="114300" distR="114300" simplePos="0" relativeHeight="254001152" behindDoc="0" locked="0" layoutInCell="1" allowOverlap="1" wp14:anchorId="45AEA293" wp14:editId="34C96295">
                <wp:simplePos x="0" y="0"/>
                <wp:positionH relativeFrom="column">
                  <wp:posOffset>3361904</wp:posOffset>
                </wp:positionH>
                <wp:positionV relativeFrom="paragraph">
                  <wp:posOffset>75186</wp:posOffset>
                </wp:positionV>
                <wp:extent cx="342900" cy="0"/>
                <wp:effectExtent l="7620" t="54610" r="20955" b="59690"/>
                <wp:wrapNone/>
                <wp:docPr id="251" name="Line 263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2900" cy="0"/>
                        </a:xfrm>
                        <a:prstGeom prst="line">
                          <a:avLst/>
                        </a:prstGeom>
                        <a:noFill/>
                        <a:ln w="9525">
                          <a:solidFill>
                            <a:srgbClr val="000000"/>
                          </a:solidFill>
                          <a:round/>
                          <a:headEnd/>
                          <a:tailEnd type="stealth"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line w14:anchorId="3D42E7FC" id="Line 2634" o:spid="_x0000_s1026" style="position:absolute;left:0;text-align:left;z-index:2540011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64.7pt,5.9pt" to="291.7pt,5.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">
                <v:stroke endarrow="classic"/>
              </v:line>
            </w:pict>
          </mc:Fallback>
        </mc:AlternateContent>
      </w:r>
    </w:p>
    <w:p w14:paraId="7A08C3B5" w14:textId="77777777" w:rsidR="008B4B2B" w:rsidRPr="008A3EDE" w:rsidRDefault="008B4B2B" w:rsidP="008B4B2B">
      <w:pPr>
        <w:overflowPunct w:val="0"/>
        <w:autoSpaceDE w:val="0"/>
        <w:autoSpaceDN w:val="0"/>
        <w:ind w:firstLineChars="300" w:firstLine="663"/>
        <w:rPr>
          <w:rFonts w:ascii="ＭＳ ゴシック" w:eastAsia="ＭＳ ゴシック" w:hAnsi="ＭＳ ゴシック"/>
          <w:sz w:val="22"/>
          <w:szCs w:val="22"/>
        </w:rPr>
      </w:pPr>
      <w:r w:rsidRPr="008A3EDE">
        <w:rPr>
          <w:rFonts w:ascii="ＭＳ ゴシック" w:eastAsia="ＭＳ ゴシック" w:hAnsi="ＭＳ ゴシック"/>
          <w:noProof/>
          <w:sz w:val="22"/>
          <w:szCs w:val="22"/>
        </w:rPr>
        <mc:AlternateContent>
          <mc:Choice Requires="wps">
            <w:drawing>
              <wp:anchor distT="0" distB="0" distL="114300" distR="114300" simplePos="0" relativeHeight="254013440" behindDoc="0" locked="0" layoutInCell="1" allowOverlap="1" wp14:anchorId="2394A594" wp14:editId="2CD7C532">
                <wp:simplePos x="0" y="0"/>
                <wp:positionH relativeFrom="column">
                  <wp:posOffset>1872375</wp:posOffset>
                </wp:positionH>
                <wp:positionV relativeFrom="paragraph">
                  <wp:posOffset>58073</wp:posOffset>
                </wp:positionV>
                <wp:extent cx="1371600" cy="421640"/>
                <wp:effectExtent l="0" t="0" r="19050" b="16510"/>
                <wp:wrapNone/>
                <wp:docPr id="252" name="Text Box 262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71600" cy="421640"/>
                        </a:xfrm>
                        <a:prstGeom prst="rect">
                          <a:avLst/>
                        </a:prstGeom>
                        <a:noFill/>
                        <a:ln w="9525">
                          <a:solidFill>
                            <a:srgbClr val="000000"/>
                          </a:solidFill>
                          <a:miter lim="800000"/>
                          <a:headEnd/>
                          <a:tailEnd/>
                        </a:ln>
                      </wps:spPr>
                      <wps:txbx>
                        <w:txbxContent>
                          <w:p w14:paraId="4C29C1A2" w14:textId="77777777" w:rsidR="006A5267" w:rsidRDefault="006A5267" w:rsidP="008B4B2B">
                            <w:pPr>
                              <w:spacing w:line="240" w:lineRule="exact"/>
                              <w:rPr>
                                <w:rFonts w:ascii="ＭＳ ゴシック" w:eastAsia="ＭＳ ゴシック" w:hAnsi="ＭＳ ゴシック"/>
                                <w:sz w:val="20"/>
                                <w:szCs w:val="20"/>
                              </w:rPr>
                            </w:pPr>
                            <w:r>
                              <w:rPr>
                                <w:rFonts w:ascii="ＭＳ ゴシック" w:eastAsia="ＭＳ ゴシック" w:hAnsi="ＭＳ ゴシック" w:hint="eastAsia"/>
                                <w:sz w:val="20"/>
                                <w:szCs w:val="20"/>
                              </w:rPr>
                              <w:t>・都市整備</w:t>
                            </w:r>
                            <w:r>
                              <w:rPr>
                                <w:rFonts w:ascii="ＭＳ ゴシック" w:eastAsia="ＭＳ ゴシック" w:hAnsi="ＭＳ ゴシック"/>
                                <w:sz w:val="20"/>
                                <w:szCs w:val="20"/>
                              </w:rPr>
                              <w:t>部</w:t>
                            </w:r>
                          </w:p>
                          <w:p w14:paraId="78F65058" w14:textId="77777777" w:rsidR="006A5267" w:rsidRDefault="006A5267" w:rsidP="008B4B2B">
                            <w:pPr>
                              <w:spacing w:line="240" w:lineRule="exact"/>
                              <w:rPr>
                                <w:rFonts w:ascii="ＭＳ ゴシック" w:eastAsia="ＭＳ ゴシック" w:hAnsi="ＭＳ ゴシック"/>
                                <w:sz w:val="20"/>
                                <w:szCs w:val="20"/>
                              </w:rPr>
                            </w:pPr>
                            <w:r>
                              <w:rPr>
                                <w:rFonts w:ascii="ＭＳ ゴシック" w:eastAsia="ＭＳ ゴシック" w:hAnsi="ＭＳ ゴシック" w:hint="eastAsia"/>
                                <w:sz w:val="20"/>
                                <w:szCs w:val="20"/>
                              </w:rPr>
                              <w:t>・環境農林水産部</w:t>
                            </w:r>
                          </w:p>
                        </w:txbxContent>
                      </wps:txbx>
                      <wps:bodyPr rot="0" vert="horz" wrap="square" lIns="74295" tIns="8890" rIns="74295" bIns="8890" anchor="t" anchorCtr="0" upright="1">
                        <a:noAutofit/>
                      </wps:bodyPr>
                    </wps:wsp>
                  </a:graphicData>
                </a:graphic>
              </wp:anchor>
            </w:drawing>
          </mc:Choice>
          <mc:Fallback xmlns:w16cei="http://schemas.microsoft.com/office/word/2026/wordml/cei">
            <w:pict>
              <v:shape w14:anchorId="2394A594" id="Text Box 2622" o:spid="_x0000_s1534" type="#_x0000_t202" style="position:absolute;left:0;text-align:left;margin-left:147.45pt;margin-top:4.55pt;width:108pt;height:33.2pt;z-index:25401344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" filled="f">
                <v:textbox inset="5.85pt,.7pt,5.85pt,.7pt">
                  <w:txbxContent>
                    <w:p w14:paraId="4C29C1A2" w14:textId="77777777" w:rsidR="006A5267" w:rsidRDefault="006A5267" w:rsidP="008B4B2B">
                      <w:pPr>
                        <w:spacing w:line="240" w:lineRule="exact"/>
                        <w:rPr>
                          <w:rFonts w:ascii="ＭＳ ゴシック" w:eastAsia="ＭＳ ゴシック" w:hAnsi="ＭＳ ゴシック"/>
                          <w:sz w:val="20"/>
                          <w:szCs w:val="20"/>
                        </w:rPr>
                      </w:pPr>
                      <w:r>
                        <w:rPr>
                          <w:rFonts w:ascii="ＭＳ ゴシック" w:eastAsia="ＭＳ ゴシック" w:hAnsi="ＭＳ ゴシック" w:hint="eastAsia"/>
                          <w:sz w:val="20"/>
                          <w:szCs w:val="20"/>
                        </w:rPr>
                        <w:t>・都市整備</w:t>
                      </w:r>
                      <w:r>
                        <w:rPr>
                          <w:rFonts w:ascii="ＭＳ ゴシック" w:eastAsia="ＭＳ ゴシック" w:hAnsi="ＭＳ ゴシック"/>
                          <w:sz w:val="20"/>
                          <w:szCs w:val="20"/>
                        </w:rPr>
                        <w:t>部</w:t>
                      </w:r>
                    </w:p>
                    <w:p w14:paraId="78F65058" w14:textId="77777777" w:rsidR="006A5267" w:rsidRDefault="006A5267" w:rsidP="008B4B2B">
                      <w:pPr>
                        <w:spacing w:line="240" w:lineRule="exact"/>
                        <w:rPr>
                          <w:rFonts w:ascii="ＭＳ ゴシック" w:eastAsia="ＭＳ ゴシック" w:hAnsi="ＭＳ ゴシック"/>
                          <w:sz w:val="20"/>
                          <w:szCs w:val="20"/>
                        </w:rPr>
                      </w:pPr>
                      <w:r>
                        <w:rPr>
                          <w:rFonts w:ascii="ＭＳ ゴシック" w:eastAsia="ＭＳ ゴシック" w:hAnsi="ＭＳ ゴシック" w:hint="eastAsia"/>
                          <w:sz w:val="20"/>
                          <w:szCs w:val="20"/>
                        </w:rPr>
                        <w:t>・環境農林水産部</w:t>
                      </w:r>
                    </w:p>
                  </w:txbxContent>
                </v:textbox>
              </v:shape>
            </w:pict>
          </mc:Fallback>
        </mc:AlternateContent>
      </w:r>
      <w:r w:rsidRPr="008A3EDE">
        <w:rPr>
          <w:rFonts w:ascii="ＭＳ ゴシック" w:eastAsia="ＭＳ ゴシック" w:hAnsi="ＭＳ ゴシック"/>
          <w:noProof/>
          <w:sz w:val="22"/>
          <w:szCs w:val="22"/>
        </w:rPr>
        <mc:AlternateContent>
          <mc:Choice Requires="wps">
            <w:drawing>
              <wp:anchor distT="0" distB="0" distL="114300" distR="114300" simplePos="0" relativeHeight="254014464" behindDoc="0" locked="0" layoutInCell="1" allowOverlap="1" wp14:anchorId="71DE6A72" wp14:editId="6CB4EB8C">
                <wp:simplePos x="0" y="0"/>
                <wp:positionH relativeFrom="column">
                  <wp:posOffset>3834525</wp:posOffset>
                </wp:positionH>
                <wp:positionV relativeFrom="paragraph">
                  <wp:posOffset>10448</wp:posOffset>
                </wp:positionV>
                <wp:extent cx="1028700" cy="469142"/>
                <wp:effectExtent l="0" t="0" r="19050" b="26670"/>
                <wp:wrapNone/>
                <wp:docPr id="253" name="AutoShape 263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28700" cy="469142"/>
                        </a:xfrm>
                        <a:prstGeom prst="roundRect">
                          <a:avLst>
                            <a:gd name="adj" fmla="val 16667"/>
                          </a:avLst>
                        </a:prstGeom>
                        <a:noFill/>
                        <a:ln w="9525">
                          <a:solidFill>
                            <a:srgbClr val="000000"/>
                          </a:solidFill>
                          <a:round/>
                          <a:headEnd/>
                          <a:tailEnd/>
                        </a:ln>
                      </wps:spPr>
                      <wps:txbx>
                        <w:txbxContent>
                          <w:p w14:paraId="5942A8B2" w14:textId="77777777" w:rsidR="006A5267" w:rsidRDefault="006A5267" w:rsidP="008B4B2B">
                            <w:pPr>
                              <w:spacing w:line="240" w:lineRule="exact"/>
                              <w:rPr>
                                <w:rFonts w:ascii="ＭＳ ゴシック" w:eastAsia="ＭＳ ゴシック" w:hAnsi="ＭＳ ゴシック"/>
                                <w:sz w:val="20"/>
                                <w:szCs w:val="20"/>
                              </w:rPr>
                            </w:pPr>
                            <w:r>
                              <w:rPr>
                                <w:rFonts w:ascii="ＭＳ ゴシック" w:eastAsia="ＭＳ ゴシック" w:hAnsi="ＭＳ ゴシック" w:hint="eastAsia"/>
                                <w:sz w:val="20"/>
                                <w:szCs w:val="20"/>
                              </w:rPr>
                              <w:t>資機材等の</w:t>
                            </w:r>
                          </w:p>
                          <w:p w14:paraId="6D4E9A6A" w14:textId="77777777" w:rsidR="006A5267" w:rsidRPr="00453E1F" w:rsidRDefault="006A5267" w:rsidP="008B4B2B">
                            <w:pPr>
                              <w:spacing w:line="240" w:lineRule="exact"/>
                              <w:rPr>
                                <w:rFonts w:ascii="ＭＳ ゴシック" w:eastAsia="ＭＳ ゴシック" w:hAnsi="ＭＳ ゴシック"/>
                                <w:sz w:val="20"/>
                                <w:szCs w:val="20"/>
                              </w:rPr>
                            </w:pPr>
                            <w:r>
                              <w:rPr>
                                <w:rFonts w:ascii="ＭＳ ゴシック" w:eastAsia="ＭＳ ゴシック" w:hAnsi="ＭＳ ゴシック" w:hint="eastAsia"/>
                                <w:sz w:val="20"/>
                                <w:szCs w:val="20"/>
                              </w:rPr>
                              <w:t>調達・斡旋</w:t>
                            </w:r>
                          </w:p>
                        </w:txbxContent>
                      </wps:txbx>
                      <wps:bodyPr rot="0" vert="horz" wrap="square" lIns="74295" tIns="8890" rIns="74295" bIns="8890" anchor="ctr" anchorCtr="0" upright="1">
                        <a:noAutofit/>
                      </wps:bodyPr>
                    </wps:wsp>
                  </a:graphicData>
                </a:graphic>
              </wp:anchor>
            </w:drawing>
          </mc:Choice>
          <mc:Fallback xmlns:w16cei="http://schemas.microsoft.com/office/word/2026/wordml/cei">
            <w:pict>
              <v:roundrect w14:anchorId="71DE6A72" id="AutoShape 2631" o:spid="_x0000_s1535" style="position:absolute;left:0;text-align:left;margin-left:301.95pt;margin-top:.8pt;width:81pt;height:36.95pt;z-index:254014464;visibility:visible;mso-wrap-style:square;mso-wrap-distance-left:9pt;mso-wrap-distance-top:0;mso-wrap-distance-right:9pt;mso-wrap-distance-bottom:0;mso-position-horizontal:absolute;mso-position-horizontal-relative:text;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" filled="f">
                <v:textbox inset="5.85pt,.7pt,5.85pt,.7pt">
                  <w:txbxContent>
                    <w:p w14:paraId="5942A8B2" w14:textId="77777777" w:rsidR="006A5267" w:rsidRDefault="006A5267" w:rsidP="008B4B2B">
                      <w:pPr>
                        <w:spacing w:line="240" w:lineRule="exact"/>
                        <w:rPr>
                          <w:rFonts w:ascii="ＭＳ ゴシック" w:eastAsia="ＭＳ ゴシック" w:hAnsi="ＭＳ ゴシック"/>
                          <w:sz w:val="20"/>
                          <w:szCs w:val="20"/>
                        </w:rPr>
                      </w:pPr>
                      <w:r>
                        <w:rPr>
                          <w:rFonts w:ascii="ＭＳ ゴシック" w:eastAsia="ＭＳ ゴシック" w:hAnsi="ＭＳ ゴシック" w:hint="eastAsia"/>
                          <w:sz w:val="20"/>
                          <w:szCs w:val="20"/>
                        </w:rPr>
                        <w:t>資機材等の</w:t>
                      </w:r>
                    </w:p>
                    <w:p w14:paraId="6D4E9A6A" w14:textId="77777777" w:rsidR="006A5267" w:rsidRPr="00453E1F" w:rsidRDefault="006A5267" w:rsidP="008B4B2B">
                      <w:pPr>
                        <w:spacing w:line="240" w:lineRule="exact"/>
                        <w:rPr>
                          <w:rFonts w:ascii="ＭＳ ゴシック" w:eastAsia="ＭＳ ゴシック" w:hAnsi="ＭＳ ゴシック"/>
                          <w:sz w:val="20"/>
                          <w:szCs w:val="20"/>
                        </w:rPr>
                      </w:pPr>
                      <w:r>
                        <w:rPr>
                          <w:rFonts w:ascii="ＭＳ ゴシック" w:eastAsia="ＭＳ ゴシック" w:hAnsi="ＭＳ ゴシック" w:hint="eastAsia"/>
                          <w:sz w:val="20"/>
                          <w:szCs w:val="20"/>
                        </w:rPr>
                        <w:t>調達・斡旋</w:t>
                      </w:r>
                    </w:p>
                  </w:txbxContent>
                </v:textbox>
              </v:roundrect>
            </w:pict>
          </mc:Fallback>
        </mc:AlternateContent>
      </w:r>
    </w:p>
    <w:p w14:paraId="3D48EC51" w14:textId="77777777" w:rsidR="008B4B2B" w:rsidRPr="008A3EDE" w:rsidRDefault="008B4B2B" w:rsidP="008B4B2B">
      <w:pPr>
        <w:overflowPunct w:val="0"/>
        <w:autoSpaceDE w:val="0"/>
        <w:autoSpaceDN w:val="0"/>
        <w:ind w:firstLineChars="300" w:firstLine="663"/>
        <w:rPr>
          <w:rFonts w:ascii="ＭＳ ゴシック" w:eastAsia="ＭＳ ゴシック" w:hAnsi="ＭＳ ゴシック"/>
          <w:sz w:val="22"/>
          <w:szCs w:val="22"/>
        </w:rPr>
      </w:pPr>
    </w:p>
    <w:p w14:paraId="319EB91E" w14:textId="77777777" w:rsidR="008B4B2B" w:rsidRPr="008A3EDE" w:rsidRDefault="008B4B2B" w:rsidP="008B4B2B">
      <w:pPr>
        <w:overflowPunct w:val="0"/>
        <w:autoSpaceDE w:val="0"/>
        <w:autoSpaceDN w:val="0"/>
        <w:ind w:firstLineChars="300" w:firstLine="663"/>
        <w:rPr>
          <w:rFonts w:ascii="ＭＳ ゴシック" w:eastAsia="ＭＳ ゴシック" w:hAnsi="ＭＳ ゴシック"/>
          <w:sz w:val="22"/>
          <w:szCs w:val="22"/>
        </w:rPr>
      </w:pPr>
    </w:p>
    <w:p w14:paraId="313077A3" w14:textId="77777777" w:rsidR="008B4B2B" w:rsidRPr="008A3EDE" w:rsidRDefault="008B4B2B" w:rsidP="008B4B2B">
      <w:pPr>
        <w:overflowPunct w:val="0"/>
        <w:autoSpaceDE w:val="0"/>
        <w:autoSpaceDN w:val="0"/>
        <w:ind w:firstLineChars="350" w:firstLine="774"/>
        <w:rPr>
          <w:rFonts w:ascii="ＭＳ 明朝" w:hAnsi="ＭＳ 明朝"/>
          <w:sz w:val="22"/>
          <w:szCs w:val="22"/>
        </w:rPr>
      </w:pPr>
      <w:r w:rsidRPr="008A3EDE">
        <w:rPr>
          <w:rFonts w:ascii="ＭＳ 明朝" w:hAnsi="ＭＳ 明朝" w:hint="eastAsia"/>
          <w:sz w:val="22"/>
          <w:szCs w:val="22"/>
        </w:rPr>
        <w:t xml:space="preserve"> </w:t>
      </w:r>
    </w:p>
    <w:p w14:paraId="2B6A637C" w14:textId="77777777" w:rsidR="008B4B2B" w:rsidRPr="008A3EDE" w:rsidRDefault="008B4B2B" w:rsidP="008B4B2B">
      <w:pPr>
        <w:overflowPunct w:val="0"/>
        <w:autoSpaceDE w:val="0"/>
        <w:autoSpaceDN w:val="0"/>
        <w:ind w:leftChars="268" w:left="566" w:firstLineChars="93" w:firstLine="206"/>
        <w:rPr>
          <w:rFonts w:asciiTheme="minorEastAsia" w:hAnsiTheme="minorEastAsia"/>
          <w:sz w:val="22"/>
        </w:rPr>
      </w:pPr>
      <w:r w:rsidRPr="008A3EDE">
        <w:rPr>
          <w:rFonts w:asciiTheme="minorEastAsia" w:hAnsiTheme="minorEastAsia" w:hint="eastAsia"/>
          <w:sz w:val="22"/>
        </w:rPr>
        <w:t>被災者の避難生活を支援するため、被災者が恒久住宅に移行するまでに必要と見込まれる応急仮設住宅については、「建設型</w:t>
      </w:r>
      <w:r w:rsidR="00714778" w:rsidRPr="008A3EDE">
        <w:rPr>
          <w:rFonts w:asciiTheme="minorEastAsia" w:hAnsiTheme="minorEastAsia" w:hint="eastAsia"/>
          <w:sz w:val="22"/>
        </w:rPr>
        <w:t>応急</w:t>
      </w:r>
      <w:r w:rsidRPr="008A3EDE">
        <w:rPr>
          <w:rFonts w:asciiTheme="minorEastAsia" w:hAnsiTheme="minorEastAsia" w:hint="eastAsia"/>
          <w:sz w:val="22"/>
        </w:rPr>
        <w:t>住宅」において市町村と連携した建設候補地を確保するとともに、「</w:t>
      </w:r>
      <w:r w:rsidR="00714778" w:rsidRPr="008A3EDE">
        <w:rPr>
          <w:rFonts w:asciiTheme="minorEastAsia" w:hAnsiTheme="minorEastAsia" w:hint="eastAsia"/>
          <w:sz w:val="22"/>
        </w:rPr>
        <w:t>賃貸</w:t>
      </w:r>
      <w:r w:rsidRPr="008A3EDE">
        <w:rPr>
          <w:rFonts w:asciiTheme="minorEastAsia" w:hAnsiTheme="minorEastAsia" w:hint="eastAsia"/>
          <w:sz w:val="22"/>
        </w:rPr>
        <w:t>型</w:t>
      </w:r>
      <w:r w:rsidR="00714778" w:rsidRPr="008A3EDE">
        <w:rPr>
          <w:rFonts w:asciiTheme="minorEastAsia" w:hAnsiTheme="minorEastAsia" w:hint="eastAsia"/>
          <w:sz w:val="22"/>
        </w:rPr>
        <w:t>応急</w:t>
      </w:r>
      <w:r w:rsidRPr="008A3EDE">
        <w:rPr>
          <w:rFonts w:asciiTheme="minorEastAsia" w:hAnsiTheme="minorEastAsia" w:hint="eastAsia"/>
          <w:sz w:val="22"/>
        </w:rPr>
        <w:t>住宅」においては不動産業等関係団体の協力により速やかに民間賃貸住宅の供与を行う。</w:t>
      </w:r>
    </w:p>
    <w:p w14:paraId="2B775986" w14:textId="77777777" w:rsidR="008B4B2B" w:rsidRPr="008A3EDE" w:rsidRDefault="008B4B2B" w:rsidP="008B4B2B">
      <w:pPr>
        <w:overflowPunct w:val="0"/>
        <w:autoSpaceDE w:val="0"/>
        <w:autoSpaceDN w:val="0"/>
        <w:ind w:leftChars="268" w:left="566" w:firstLineChars="93" w:firstLine="206"/>
        <w:rPr>
          <w:rFonts w:ascii="ＭＳ 明朝" w:hAnsi="ＭＳ 明朝"/>
          <w:sz w:val="22"/>
          <w:szCs w:val="22"/>
        </w:rPr>
      </w:pPr>
    </w:p>
    <w:p w14:paraId="1CB23C7A" w14:textId="77777777" w:rsidR="008B4B2B" w:rsidRPr="008A3EDE" w:rsidRDefault="008B4B2B" w:rsidP="00E91BEC">
      <w:pPr>
        <w:overflowPunct w:val="0"/>
        <w:autoSpaceDE w:val="0"/>
        <w:autoSpaceDN w:val="0"/>
        <w:ind w:firstLineChars="385" w:firstLine="851"/>
        <w:rPr>
          <w:rFonts w:ascii="ＭＳ 明朝" w:hAnsi="ＭＳ 明朝"/>
          <w:sz w:val="22"/>
          <w:szCs w:val="22"/>
        </w:rPr>
      </w:pPr>
      <w:r w:rsidRPr="008A3EDE">
        <w:rPr>
          <w:rFonts w:ascii="ＭＳ 明朝" w:hAnsi="ＭＳ 明朝" w:hint="eastAsia"/>
          <w:sz w:val="22"/>
          <w:szCs w:val="22"/>
        </w:rPr>
        <w:t>(1)</w:t>
      </w:r>
      <w:r w:rsidR="00E91BEC" w:rsidRPr="008A3EDE">
        <w:rPr>
          <w:rFonts w:ascii="ＭＳ 明朝" w:hAnsi="ＭＳ 明朝"/>
          <w:sz w:val="22"/>
          <w:szCs w:val="22"/>
        </w:rPr>
        <w:t xml:space="preserve"> </w:t>
      </w:r>
      <w:r w:rsidRPr="008A3EDE">
        <w:rPr>
          <w:rFonts w:ascii="ＭＳ 明朝" w:hAnsi="ＭＳ 明朝" w:hint="eastAsia"/>
          <w:sz w:val="22"/>
          <w:szCs w:val="22"/>
        </w:rPr>
        <w:t>応急仮設住宅の戸数の割当等</w:t>
      </w:r>
    </w:p>
    <w:p w14:paraId="7CC6E324" w14:textId="77777777" w:rsidR="008B4B2B" w:rsidRPr="008A3EDE" w:rsidRDefault="008B4B2B" w:rsidP="008B4B2B">
      <w:pPr>
        <w:overflowPunct w:val="0"/>
        <w:autoSpaceDE w:val="0"/>
        <w:autoSpaceDN w:val="0"/>
        <w:ind w:leftChars="561" w:left="1184" w:firstLineChars="100" w:firstLine="221"/>
        <w:rPr>
          <w:rFonts w:ascii="ＭＳ 明朝" w:hAnsi="ＭＳ 明朝"/>
          <w:sz w:val="22"/>
          <w:szCs w:val="22"/>
        </w:rPr>
      </w:pPr>
      <w:r w:rsidRPr="008A3EDE">
        <w:rPr>
          <w:rFonts w:ascii="ＭＳ 明朝" w:hAnsi="ＭＳ 明朝" w:hint="eastAsia"/>
          <w:sz w:val="22"/>
          <w:szCs w:val="22"/>
        </w:rPr>
        <w:t>災害対策課長は、</w:t>
      </w:r>
      <w:r w:rsidRPr="008A3EDE">
        <w:rPr>
          <w:rFonts w:asciiTheme="minorEastAsia" w:hAnsiTheme="minorEastAsia" w:hint="eastAsia"/>
          <w:sz w:val="22"/>
        </w:rPr>
        <w:t>建設型</w:t>
      </w:r>
      <w:r w:rsidR="00714778" w:rsidRPr="008A3EDE">
        <w:rPr>
          <w:rFonts w:asciiTheme="minorEastAsia" w:hAnsiTheme="minorEastAsia" w:hint="eastAsia"/>
          <w:sz w:val="22"/>
        </w:rPr>
        <w:t>応急</w:t>
      </w:r>
      <w:r w:rsidRPr="008A3EDE">
        <w:rPr>
          <w:rFonts w:asciiTheme="minorEastAsia" w:hAnsiTheme="minorEastAsia" w:hint="eastAsia"/>
          <w:sz w:val="22"/>
        </w:rPr>
        <w:t>住宅・</w:t>
      </w:r>
      <w:r w:rsidR="00714778" w:rsidRPr="008A3EDE">
        <w:rPr>
          <w:rFonts w:asciiTheme="minorEastAsia" w:hAnsiTheme="minorEastAsia" w:hint="eastAsia"/>
          <w:sz w:val="22"/>
        </w:rPr>
        <w:t>賃貸</w:t>
      </w:r>
      <w:r w:rsidRPr="008A3EDE">
        <w:rPr>
          <w:rFonts w:asciiTheme="minorEastAsia" w:hAnsiTheme="minorEastAsia" w:hint="eastAsia"/>
          <w:sz w:val="22"/>
        </w:rPr>
        <w:t>型</w:t>
      </w:r>
      <w:r w:rsidR="00714778" w:rsidRPr="008A3EDE">
        <w:rPr>
          <w:rFonts w:asciiTheme="minorEastAsia" w:hAnsiTheme="minorEastAsia" w:hint="eastAsia"/>
          <w:sz w:val="22"/>
        </w:rPr>
        <w:t>応急</w:t>
      </w:r>
      <w:r w:rsidRPr="008A3EDE">
        <w:rPr>
          <w:rFonts w:asciiTheme="minorEastAsia" w:hAnsiTheme="minorEastAsia" w:hint="eastAsia"/>
          <w:sz w:val="22"/>
        </w:rPr>
        <w:t>住宅の戸数</w:t>
      </w:r>
      <w:r w:rsidRPr="008A3EDE">
        <w:rPr>
          <w:rFonts w:ascii="ＭＳ 明朝" w:hAnsi="ＭＳ 明朝" w:hint="eastAsia"/>
          <w:sz w:val="22"/>
          <w:szCs w:val="22"/>
        </w:rPr>
        <w:t>の割当</w:t>
      </w:r>
      <w:r w:rsidRPr="008A3EDE">
        <w:rPr>
          <w:rFonts w:asciiTheme="minorEastAsia" w:hAnsiTheme="minorEastAsia" w:hint="eastAsia"/>
          <w:sz w:val="22"/>
        </w:rPr>
        <w:t>、建設型</w:t>
      </w:r>
      <w:r w:rsidR="00714778" w:rsidRPr="008A3EDE">
        <w:rPr>
          <w:rFonts w:asciiTheme="minorEastAsia" w:hAnsiTheme="minorEastAsia" w:hint="eastAsia"/>
          <w:sz w:val="22"/>
        </w:rPr>
        <w:t>応急</w:t>
      </w:r>
      <w:r w:rsidRPr="008A3EDE">
        <w:rPr>
          <w:rFonts w:asciiTheme="minorEastAsia" w:hAnsiTheme="minorEastAsia" w:hint="eastAsia"/>
          <w:sz w:val="22"/>
        </w:rPr>
        <w:t>住宅の建設候補地、</w:t>
      </w:r>
      <w:r w:rsidR="00714778" w:rsidRPr="008A3EDE">
        <w:rPr>
          <w:rFonts w:asciiTheme="minorEastAsia" w:hAnsiTheme="minorEastAsia" w:hint="eastAsia"/>
          <w:sz w:val="22"/>
        </w:rPr>
        <w:t>賃貸</w:t>
      </w:r>
      <w:r w:rsidRPr="008A3EDE">
        <w:rPr>
          <w:rFonts w:asciiTheme="minorEastAsia" w:hAnsiTheme="minorEastAsia" w:hint="eastAsia"/>
          <w:sz w:val="22"/>
        </w:rPr>
        <w:t>型</w:t>
      </w:r>
      <w:r w:rsidR="00714778" w:rsidRPr="008A3EDE">
        <w:rPr>
          <w:rFonts w:asciiTheme="minorEastAsia" w:hAnsiTheme="minorEastAsia" w:hint="eastAsia"/>
          <w:sz w:val="22"/>
        </w:rPr>
        <w:t>応急</w:t>
      </w:r>
      <w:r w:rsidRPr="008A3EDE">
        <w:rPr>
          <w:rFonts w:asciiTheme="minorEastAsia" w:hAnsiTheme="minorEastAsia" w:hint="eastAsia"/>
          <w:sz w:val="22"/>
        </w:rPr>
        <w:t>住宅の入居要件等</w:t>
      </w:r>
      <w:r w:rsidRPr="008A3EDE">
        <w:rPr>
          <w:rFonts w:ascii="ＭＳ 明朝" w:hAnsi="ＭＳ 明朝" w:hint="eastAsia"/>
          <w:sz w:val="22"/>
          <w:szCs w:val="22"/>
        </w:rPr>
        <w:t>について、被災市町村と十分に調整を図るとともに</w:t>
      </w:r>
      <w:r w:rsidRPr="008A3EDE">
        <w:rPr>
          <w:rFonts w:asciiTheme="minorEastAsia" w:hAnsiTheme="minorEastAsia" w:hint="eastAsia"/>
          <w:sz w:val="22"/>
        </w:rPr>
        <w:t>、その実施について、</w:t>
      </w:r>
      <w:r w:rsidR="0062186C" w:rsidRPr="008A3EDE">
        <w:rPr>
          <w:rFonts w:ascii="ＭＳ 明朝" w:hAnsi="ＭＳ 明朝" w:hint="eastAsia"/>
          <w:sz w:val="22"/>
          <w:szCs w:val="22"/>
        </w:rPr>
        <w:t>都市整備</w:t>
      </w:r>
      <w:r w:rsidR="00FE24AF" w:rsidRPr="008A3EDE">
        <w:rPr>
          <w:rFonts w:ascii="ＭＳ 明朝" w:hAnsi="ＭＳ 明朝" w:hint="eastAsia"/>
          <w:sz w:val="22"/>
          <w:szCs w:val="22"/>
        </w:rPr>
        <w:t>総務課</w:t>
      </w:r>
      <w:r w:rsidRPr="008A3EDE">
        <w:rPr>
          <w:rFonts w:ascii="ＭＳ 明朝" w:hAnsi="ＭＳ 明朝" w:hint="eastAsia"/>
          <w:sz w:val="22"/>
          <w:szCs w:val="22"/>
        </w:rPr>
        <w:t>長に連絡する。</w:t>
      </w:r>
    </w:p>
    <w:p w14:paraId="7504DF93" w14:textId="77777777" w:rsidR="008B4B2B" w:rsidRPr="008A3EDE" w:rsidRDefault="008B4B2B" w:rsidP="008B4B2B">
      <w:pPr>
        <w:overflowPunct w:val="0"/>
        <w:autoSpaceDE w:val="0"/>
        <w:autoSpaceDN w:val="0"/>
        <w:ind w:leftChars="304" w:left="642" w:firstLineChars="100" w:firstLine="221"/>
        <w:rPr>
          <w:rFonts w:ascii="ＭＳ 明朝" w:hAnsi="ＭＳ 明朝"/>
          <w:sz w:val="22"/>
          <w:szCs w:val="22"/>
        </w:rPr>
      </w:pPr>
      <w:r w:rsidRPr="008A3EDE">
        <w:rPr>
          <w:rFonts w:ascii="ＭＳ 明朝" w:hAnsi="ＭＳ 明朝" w:hint="eastAsia"/>
          <w:sz w:val="22"/>
          <w:szCs w:val="22"/>
        </w:rPr>
        <w:t>(2)　 応急仮設住宅の建設（建設型住宅）</w:t>
      </w:r>
    </w:p>
    <w:p w14:paraId="57020236" w14:textId="77777777" w:rsidR="008B4B2B" w:rsidRPr="008A3EDE" w:rsidRDefault="0062186C" w:rsidP="008B4B2B">
      <w:pPr>
        <w:overflowPunct w:val="0"/>
        <w:autoSpaceDE w:val="0"/>
        <w:autoSpaceDN w:val="0"/>
        <w:ind w:leftChars="561" w:left="1184" w:firstLineChars="100" w:firstLine="221"/>
        <w:rPr>
          <w:rFonts w:ascii="ＭＳ 明朝" w:hAnsi="ＭＳ 明朝"/>
          <w:sz w:val="22"/>
          <w:szCs w:val="22"/>
        </w:rPr>
      </w:pPr>
      <w:r w:rsidRPr="008A3EDE">
        <w:rPr>
          <w:rFonts w:ascii="ＭＳ 明朝" w:hAnsi="ＭＳ 明朝" w:hint="eastAsia"/>
          <w:sz w:val="22"/>
          <w:szCs w:val="22"/>
        </w:rPr>
        <w:t>都市整備</w:t>
      </w:r>
      <w:r w:rsidR="00FE24AF" w:rsidRPr="008A3EDE">
        <w:rPr>
          <w:rFonts w:ascii="ＭＳ 明朝" w:hAnsi="ＭＳ 明朝" w:hint="eastAsia"/>
          <w:sz w:val="22"/>
          <w:szCs w:val="22"/>
        </w:rPr>
        <w:t>総務課</w:t>
      </w:r>
      <w:r w:rsidR="008B4B2B" w:rsidRPr="008A3EDE">
        <w:rPr>
          <w:rFonts w:ascii="ＭＳ 明朝" w:hAnsi="ＭＳ 明朝" w:hint="eastAsia"/>
          <w:sz w:val="22"/>
          <w:szCs w:val="22"/>
        </w:rPr>
        <w:t>長は、建設型</w:t>
      </w:r>
      <w:r w:rsidR="00714778" w:rsidRPr="008A3EDE">
        <w:rPr>
          <w:rFonts w:ascii="ＭＳ 明朝" w:hAnsi="ＭＳ 明朝" w:hint="eastAsia"/>
          <w:sz w:val="22"/>
          <w:szCs w:val="22"/>
        </w:rPr>
        <w:t>応急</w:t>
      </w:r>
      <w:r w:rsidR="008B4B2B" w:rsidRPr="008A3EDE">
        <w:rPr>
          <w:rFonts w:ascii="ＭＳ 明朝" w:hAnsi="ＭＳ 明朝" w:hint="eastAsia"/>
          <w:sz w:val="22"/>
          <w:szCs w:val="22"/>
        </w:rPr>
        <w:t>住宅の設置を住宅経営室住宅整備課長に連絡し調整を図るとともに、これを実施する。</w:t>
      </w:r>
    </w:p>
    <w:p w14:paraId="7F20689B" w14:textId="6A50FD9B" w:rsidR="0000630A" w:rsidRPr="008A3EDE" w:rsidRDefault="008B4B2B" w:rsidP="008B4B2B">
      <w:pPr>
        <w:overflowPunct w:val="0"/>
        <w:autoSpaceDE w:val="0"/>
        <w:autoSpaceDN w:val="0"/>
        <w:ind w:firstLineChars="500" w:firstLine="1105"/>
        <w:rPr>
          <w:rFonts w:ascii="ＭＳ 明朝" w:hAnsi="ＭＳ 明朝"/>
          <w:sz w:val="22"/>
          <w:szCs w:val="22"/>
        </w:rPr>
      </w:pPr>
      <w:r w:rsidRPr="008A3EDE">
        <w:rPr>
          <w:rFonts w:ascii="ＭＳ 明朝" w:hAnsi="ＭＳ 明朝" w:hint="eastAsia"/>
          <w:sz w:val="22"/>
          <w:szCs w:val="22"/>
        </w:rPr>
        <w:t>①</w:t>
      </w:r>
      <w:r w:rsidR="0000630A" w:rsidRPr="008A3EDE">
        <w:rPr>
          <w:rFonts w:ascii="ＭＳ 明朝" w:hAnsi="ＭＳ 明朝" w:hint="eastAsia"/>
          <w:sz w:val="22"/>
          <w:szCs w:val="22"/>
        </w:rPr>
        <w:t xml:space="preserve">　</w:t>
      </w:r>
      <w:r w:rsidRPr="008A3EDE">
        <w:rPr>
          <w:rFonts w:ascii="ＭＳ 明朝" w:hAnsi="ＭＳ 明朝" w:hint="eastAsia"/>
          <w:sz w:val="22"/>
          <w:szCs w:val="22"/>
        </w:rPr>
        <w:t>建設型</w:t>
      </w:r>
      <w:r w:rsidR="00714778" w:rsidRPr="008A3EDE">
        <w:rPr>
          <w:rFonts w:ascii="ＭＳ 明朝" w:hAnsi="ＭＳ 明朝" w:hint="eastAsia"/>
          <w:sz w:val="22"/>
          <w:szCs w:val="22"/>
        </w:rPr>
        <w:t>応急</w:t>
      </w:r>
      <w:r w:rsidRPr="008A3EDE">
        <w:rPr>
          <w:rFonts w:ascii="ＭＳ 明朝" w:hAnsi="ＭＳ 明朝" w:hint="eastAsia"/>
          <w:sz w:val="22"/>
          <w:szCs w:val="22"/>
        </w:rPr>
        <w:t>住宅の事前準備</w:t>
      </w:r>
    </w:p>
    <w:p w14:paraId="5A1CDBB0" w14:textId="401E1307" w:rsidR="008B4B2B" w:rsidRPr="008A3EDE" w:rsidRDefault="008B4B2B" w:rsidP="00E0548A">
      <w:pPr>
        <w:overflowPunct w:val="0"/>
        <w:autoSpaceDE w:val="0"/>
        <w:autoSpaceDN w:val="0"/>
        <w:ind w:leftChars="672" w:left="1419" w:firstLineChars="63" w:firstLine="139"/>
        <w:rPr>
          <w:rFonts w:ascii="ＭＳ 明朝" w:hAnsi="ＭＳ 明朝"/>
          <w:sz w:val="22"/>
          <w:szCs w:val="22"/>
        </w:rPr>
      </w:pPr>
      <w:r w:rsidRPr="008A3EDE">
        <w:rPr>
          <w:rFonts w:ascii="ＭＳ 明朝" w:hAnsi="ＭＳ 明朝" w:hint="eastAsia"/>
          <w:sz w:val="22"/>
          <w:szCs w:val="22"/>
        </w:rPr>
        <w:t>住宅経営室住宅整備課長は、「災害時における応急仮設住宅についての協定」などを踏まえ、建設型住宅の設置が円滑に行えるよう体制を整えておくとともに、あらかじめ建設用地</w:t>
      </w:r>
      <w:proofErr w:type="gramStart"/>
      <w:r w:rsidRPr="008A3EDE">
        <w:rPr>
          <w:rFonts w:ascii="ＭＳ 明朝" w:hAnsi="ＭＳ 明朝" w:hint="eastAsia"/>
          <w:sz w:val="22"/>
          <w:szCs w:val="22"/>
        </w:rPr>
        <w:t>を</w:t>
      </w:r>
      <w:proofErr w:type="gramEnd"/>
      <w:r w:rsidRPr="008A3EDE">
        <w:rPr>
          <w:rFonts w:ascii="ＭＳ 明朝" w:hAnsi="ＭＳ 明朝" w:hint="eastAsia"/>
          <w:sz w:val="22"/>
          <w:szCs w:val="22"/>
        </w:rPr>
        <w:t>大阪府応急仮設住宅データベース</w:t>
      </w:r>
      <w:proofErr w:type="gramStart"/>
      <w:r w:rsidRPr="008A3EDE">
        <w:rPr>
          <w:rFonts w:ascii="ＭＳ 明朝" w:hAnsi="ＭＳ 明朝" w:hint="eastAsia"/>
          <w:sz w:val="22"/>
          <w:szCs w:val="22"/>
        </w:rPr>
        <w:t>を</w:t>
      </w:r>
      <w:proofErr w:type="gramEnd"/>
      <w:r w:rsidRPr="008A3EDE">
        <w:rPr>
          <w:rFonts w:ascii="ＭＳ 明朝" w:hAnsi="ＭＳ 明朝" w:hint="eastAsia"/>
          <w:sz w:val="22"/>
          <w:szCs w:val="22"/>
        </w:rPr>
        <w:t>使って把握しておく。</w:t>
      </w:r>
    </w:p>
    <w:p w14:paraId="535CF963" w14:textId="5CCCC6B6" w:rsidR="0000630A" w:rsidRPr="008A3EDE" w:rsidRDefault="008B4B2B" w:rsidP="008B4B2B">
      <w:pPr>
        <w:overflowPunct w:val="0"/>
        <w:autoSpaceDE w:val="0"/>
        <w:autoSpaceDN w:val="0"/>
        <w:ind w:leftChars="304" w:left="642" w:firstLineChars="200" w:firstLine="442"/>
        <w:rPr>
          <w:rFonts w:ascii="ＭＳ 明朝" w:hAnsi="ＭＳ 明朝"/>
          <w:sz w:val="22"/>
          <w:szCs w:val="22"/>
        </w:rPr>
      </w:pPr>
      <w:r w:rsidRPr="008A3EDE">
        <w:rPr>
          <w:rFonts w:ascii="ＭＳ 明朝" w:hAnsi="ＭＳ 明朝" w:hint="eastAsia"/>
          <w:sz w:val="22"/>
          <w:szCs w:val="22"/>
        </w:rPr>
        <w:t>②</w:t>
      </w:r>
      <w:r w:rsidR="0000630A" w:rsidRPr="008A3EDE">
        <w:rPr>
          <w:rFonts w:ascii="ＭＳ 明朝" w:hAnsi="ＭＳ 明朝" w:hint="eastAsia"/>
          <w:sz w:val="22"/>
          <w:szCs w:val="22"/>
        </w:rPr>
        <w:t xml:space="preserve">　</w:t>
      </w:r>
      <w:r w:rsidRPr="008A3EDE">
        <w:rPr>
          <w:rFonts w:ascii="ＭＳ 明朝" w:hAnsi="ＭＳ 明朝" w:hint="eastAsia"/>
          <w:sz w:val="22"/>
          <w:szCs w:val="22"/>
        </w:rPr>
        <w:t>建築用資材の調達斡旋</w:t>
      </w:r>
    </w:p>
    <w:p w14:paraId="4111821F" w14:textId="56BCA72F" w:rsidR="008B4B2B" w:rsidRPr="008A3EDE" w:rsidRDefault="008B4B2B" w:rsidP="00E0548A">
      <w:pPr>
        <w:overflowPunct w:val="0"/>
        <w:autoSpaceDE w:val="0"/>
        <w:autoSpaceDN w:val="0"/>
        <w:ind w:leftChars="672" w:left="1419" w:firstLineChars="48" w:firstLine="106"/>
        <w:rPr>
          <w:rFonts w:ascii="ＭＳ 明朝" w:hAnsi="ＭＳ 明朝"/>
          <w:strike/>
          <w:sz w:val="22"/>
          <w:szCs w:val="22"/>
        </w:rPr>
      </w:pPr>
      <w:r w:rsidRPr="008A3EDE">
        <w:rPr>
          <w:rFonts w:ascii="ＭＳ 明朝" w:hAnsi="ＭＳ 明朝" w:hint="eastAsia"/>
          <w:sz w:val="22"/>
          <w:szCs w:val="22"/>
        </w:rPr>
        <w:t>建設型仮設住宅の設置等に用いる木材は、みどり推進室森づくり課長が必要に応じて調達を要請する。</w:t>
      </w:r>
    </w:p>
    <w:p w14:paraId="4D6532FA" w14:textId="36F025C9" w:rsidR="0000630A" w:rsidRPr="008A3EDE" w:rsidRDefault="008B4B2B" w:rsidP="008B4B2B">
      <w:pPr>
        <w:overflowPunct w:val="0"/>
        <w:autoSpaceDE w:val="0"/>
        <w:autoSpaceDN w:val="0"/>
        <w:ind w:leftChars="304" w:left="642" w:firstLineChars="200" w:firstLine="442"/>
        <w:rPr>
          <w:rFonts w:ascii="ＭＳ 明朝" w:hAnsi="ＭＳ 明朝"/>
          <w:sz w:val="22"/>
          <w:szCs w:val="22"/>
        </w:rPr>
      </w:pPr>
      <w:r w:rsidRPr="008A3EDE">
        <w:rPr>
          <w:rFonts w:ascii="ＭＳ 明朝" w:hAnsi="ＭＳ 明朝" w:hint="eastAsia"/>
          <w:sz w:val="22"/>
          <w:szCs w:val="22"/>
        </w:rPr>
        <w:t>③</w:t>
      </w:r>
      <w:r w:rsidR="0000630A" w:rsidRPr="008A3EDE">
        <w:rPr>
          <w:rFonts w:ascii="ＭＳ 明朝" w:hAnsi="ＭＳ 明朝" w:hint="eastAsia"/>
          <w:sz w:val="22"/>
          <w:szCs w:val="22"/>
        </w:rPr>
        <w:t xml:space="preserve">　</w:t>
      </w:r>
      <w:r w:rsidRPr="008A3EDE">
        <w:rPr>
          <w:rFonts w:ascii="ＭＳ 明朝" w:hAnsi="ＭＳ 明朝" w:hint="eastAsia"/>
          <w:sz w:val="22"/>
          <w:szCs w:val="22"/>
        </w:rPr>
        <w:t>維持管理</w:t>
      </w:r>
    </w:p>
    <w:p w14:paraId="579E2823" w14:textId="43D35976" w:rsidR="0000630A" w:rsidRPr="008A3EDE" w:rsidRDefault="008B4B2B" w:rsidP="0000630A">
      <w:pPr>
        <w:overflowPunct w:val="0"/>
        <w:autoSpaceDE w:val="0"/>
        <w:autoSpaceDN w:val="0"/>
        <w:ind w:leftChars="672" w:left="1419" w:firstLineChars="63" w:firstLine="139"/>
        <w:rPr>
          <w:rFonts w:ascii="ＭＳ 明朝" w:hAnsi="ＭＳ 明朝"/>
          <w:sz w:val="22"/>
          <w:szCs w:val="22"/>
        </w:rPr>
      </w:pPr>
      <w:r w:rsidRPr="008A3EDE">
        <w:rPr>
          <w:rFonts w:ascii="ＭＳ 明朝" w:hAnsi="ＭＳ 明朝" w:hint="eastAsia"/>
          <w:sz w:val="22"/>
          <w:szCs w:val="22"/>
        </w:rPr>
        <w:t>住宅経営室住宅整備課長は、建設型</w:t>
      </w:r>
      <w:r w:rsidR="00714778" w:rsidRPr="008A3EDE">
        <w:rPr>
          <w:rFonts w:ascii="ＭＳ 明朝" w:hAnsi="ＭＳ 明朝" w:hint="eastAsia"/>
          <w:sz w:val="22"/>
          <w:szCs w:val="22"/>
        </w:rPr>
        <w:t>応急</w:t>
      </w:r>
      <w:r w:rsidRPr="008A3EDE">
        <w:rPr>
          <w:rFonts w:ascii="ＭＳ 明朝" w:hAnsi="ＭＳ 明朝" w:hint="eastAsia"/>
          <w:sz w:val="22"/>
          <w:szCs w:val="22"/>
        </w:rPr>
        <w:t>住宅の維持管理について、被災市町村と十分に調整を図り、管理委託契約を締結して、建設型</w:t>
      </w:r>
      <w:r w:rsidR="00714778" w:rsidRPr="008A3EDE">
        <w:rPr>
          <w:rFonts w:ascii="ＭＳ 明朝" w:hAnsi="ＭＳ 明朝" w:hint="eastAsia"/>
          <w:sz w:val="22"/>
          <w:szCs w:val="22"/>
        </w:rPr>
        <w:t>応急</w:t>
      </w:r>
      <w:r w:rsidRPr="008A3EDE">
        <w:rPr>
          <w:rFonts w:ascii="ＭＳ 明朝" w:hAnsi="ＭＳ 明朝" w:hint="eastAsia"/>
          <w:sz w:val="22"/>
          <w:szCs w:val="22"/>
        </w:rPr>
        <w:t>住宅所在地の市町村に維持管理を委託する。</w:t>
      </w:r>
    </w:p>
    <w:p w14:paraId="4E6D9E1B" w14:textId="5E575FCD" w:rsidR="0000630A" w:rsidRPr="008A3EDE" w:rsidRDefault="0000630A" w:rsidP="00E0548A">
      <w:pPr>
        <w:widowControl/>
        <w:jc w:val="left"/>
        <w:rPr>
          <w:rFonts w:ascii="ＭＳ 明朝" w:hAnsi="ＭＳ 明朝"/>
          <w:sz w:val="22"/>
          <w:szCs w:val="22"/>
        </w:rPr>
      </w:pPr>
      <w:r w:rsidRPr="008A3EDE">
        <w:rPr>
          <w:rFonts w:ascii="ＭＳ 明朝" w:hAnsi="ＭＳ 明朝"/>
          <w:sz w:val="22"/>
          <w:szCs w:val="22"/>
        </w:rPr>
        <w:br w:type="page"/>
      </w:r>
    </w:p>
    <w:p w14:paraId="6976A1C0" w14:textId="77777777" w:rsidR="008B4B2B" w:rsidRPr="008A3EDE" w:rsidRDefault="008B4B2B" w:rsidP="008B4B2B">
      <w:pPr>
        <w:overflowPunct w:val="0"/>
        <w:autoSpaceDE w:val="0"/>
        <w:autoSpaceDN w:val="0"/>
        <w:rPr>
          <w:rFonts w:ascii="ＭＳ 明朝" w:hAnsi="ＭＳ 明朝"/>
          <w:sz w:val="22"/>
          <w:szCs w:val="22"/>
        </w:rPr>
      </w:pPr>
      <w:r w:rsidRPr="008A3EDE">
        <w:rPr>
          <w:rFonts w:ascii="ＭＳ 明朝" w:hAnsi="ＭＳ 明朝" w:hint="eastAsia"/>
          <w:sz w:val="22"/>
          <w:szCs w:val="22"/>
        </w:rPr>
        <w:lastRenderedPageBreak/>
        <w:t xml:space="preserve">　　　　　④　他府県への建設型</w:t>
      </w:r>
      <w:r w:rsidR="00714778" w:rsidRPr="008A3EDE">
        <w:rPr>
          <w:rFonts w:ascii="ＭＳ 明朝" w:hAnsi="ＭＳ 明朝" w:hint="eastAsia"/>
          <w:sz w:val="22"/>
          <w:szCs w:val="22"/>
        </w:rPr>
        <w:t>応急</w:t>
      </w:r>
      <w:r w:rsidRPr="008A3EDE">
        <w:rPr>
          <w:rFonts w:ascii="ＭＳ 明朝" w:hAnsi="ＭＳ 明朝" w:hint="eastAsia"/>
          <w:sz w:val="22"/>
          <w:szCs w:val="22"/>
        </w:rPr>
        <w:t>住宅用地の要請</w:t>
      </w:r>
    </w:p>
    <w:p w14:paraId="07283731" w14:textId="60DFEC77" w:rsidR="008B4B2B" w:rsidRPr="008A3EDE" w:rsidRDefault="008B4B2B" w:rsidP="00E0548A">
      <w:pPr>
        <w:overflowPunct w:val="0"/>
        <w:autoSpaceDE w:val="0"/>
        <w:autoSpaceDN w:val="0"/>
        <w:ind w:leftChars="672" w:left="1419" w:firstLineChars="63" w:firstLine="139"/>
        <w:rPr>
          <w:rFonts w:ascii="ＭＳ 明朝" w:hAnsi="ＭＳ 明朝"/>
          <w:sz w:val="22"/>
          <w:szCs w:val="22"/>
        </w:rPr>
      </w:pPr>
      <w:r w:rsidRPr="008A3EDE">
        <w:rPr>
          <w:rFonts w:ascii="ＭＳ 明朝" w:hAnsi="ＭＳ 明朝" w:hint="eastAsia"/>
          <w:sz w:val="22"/>
          <w:szCs w:val="22"/>
        </w:rPr>
        <w:t>災害対策課長は、府内のみでは建設型</w:t>
      </w:r>
      <w:r w:rsidR="00714778" w:rsidRPr="008A3EDE">
        <w:rPr>
          <w:rFonts w:ascii="ＭＳ 明朝" w:hAnsi="ＭＳ 明朝" w:hint="eastAsia"/>
          <w:sz w:val="22"/>
          <w:szCs w:val="22"/>
        </w:rPr>
        <w:t>応急</w:t>
      </w:r>
      <w:r w:rsidRPr="008A3EDE">
        <w:rPr>
          <w:rFonts w:ascii="ＭＳ 明朝" w:hAnsi="ＭＳ 明朝" w:hint="eastAsia"/>
          <w:sz w:val="22"/>
          <w:szCs w:val="22"/>
        </w:rPr>
        <w:t>住宅用地の確保が十分でないと判断される場合には、関西広域連合に対し、建設型</w:t>
      </w:r>
      <w:r w:rsidR="00714778" w:rsidRPr="008A3EDE">
        <w:rPr>
          <w:rFonts w:ascii="ＭＳ 明朝" w:hAnsi="ＭＳ 明朝" w:hint="eastAsia"/>
          <w:sz w:val="22"/>
          <w:szCs w:val="22"/>
        </w:rPr>
        <w:t>応急</w:t>
      </w:r>
      <w:r w:rsidRPr="008A3EDE">
        <w:rPr>
          <w:rFonts w:ascii="ＭＳ 明朝" w:hAnsi="ＭＳ 明朝" w:hint="eastAsia"/>
          <w:sz w:val="22"/>
          <w:szCs w:val="22"/>
        </w:rPr>
        <w:t>住宅用地の提供を求める。</w:t>
      </w:r>
    </w:p>
    <w:p w14:paraId="2CDA109E" w14:textId="77777777" w:rsidR="008B4B2B" w:rsidRPr="008A3EDE" w:rsidRDefault="008B4B2B" w:rsidP="008B4B2B">
      <w:pPr>
        <w:overflowPunct w:val="0"/>
        <w:autoSpaceDE w:val="0"/>
        <w:autoSpaceDN w:val="0"/>
        <w:ind w:left="1216" w:hangingChars="550" w:hanging="1216"/>
        <w:rPr>
          <w:rFonts w:ascii="ＭＳ 明朝" w:hAnsi="ＭＳ 明朝"/>
          <w:sz w:val="22"/>
          <w:szCs w:val="22"/>
        </w:rPr>
      </w:pPr>
      <w:r w:rsidRPr="008A3EDE">
        <w:rPr>
          <w:rFonts w:ascii="ＭＳ 明朝" w:hAnsi="ＭＳ 明朝" w:hint="eastAsia"/>
          <w:sz w:val="22"/>
          <w:szCs w:val="22"/>
        </w:rPr>
        <w:t xml:space="preserve">　　　</w:t>
      </w:r>
    </w:p>
    <w:p w14:paraId="44BC519E" w14:textId="77777777" w:rsidR="008B4B2B" w:rsidRPr="008A3EDE" w:rsidRDefault="008B4B2B" w:rsidP="008B4B2B">
      <w:pPr>
        <w:overflowPunct w:val="0"/>
        <w:autoSpaceDE w:val="0"/>
        <w:autoSpaceDN w:val="0"/>
        <w:ind w:firstLineChars="300" w:firstLine="663"/>
        <w:rPr>
          <w:rFonts w:ascii="ＭＳ 明朝" w:hAnsi="ＭＳ 明朝"/>
          <w:sz w:val="22"/>
          <w:szCs w:val="22"/>
        </w:rPr>
      </w:pPr>
      <w:r w:rsidRPr="008A3EDE">
        <w:rPr>
          <w:rFonts w:ascii="ＭＳ 明朝" w:hAnsi="ＭＳ 明朝" w:hint="eastAsia"/>
          <w:sz w:val="22"/>
          <w:szCs w:val="22"/>
        </w:rPr>
        <w:t>（3）応急仮設住宅の借上げ（</w:t>
      </w:r>
      <w:r w:rsidR="00714778" w:rsidRPr="008A3EDE">
        <w:rPr>
          <w:rFonts w:ascii="ＭＳ 明朝" w:hAnsi="ＭＳ 明朝" w:hint="eastAsia"/>
          <w:sz w:val="22"/>
          <w:szCs w:val="22"/>
        </w:rPr>
        <w:t>賃貸</w:t>
      </w:r>
      <w:r w:rsidRPr="008A3EDE">
        <w:rPr>
          <w:rFonts w:ascii="ＭＳ 明朝" w:hAnsi="ＭＳ 明朝" w:hint="eastAsia"/>
          <w:sz w:val="22"/>
          <w:szCs w:val="22"/>
        </w:rPr>
        <w:t>型</w:t>
      </w:r>
      <w:r w:rsidR="00714778" w:rsidRPr="008A3EDE">
        <w:rPr>
          <w:rFonts w:ascii="ＭＳ 明朝" w:hAnsi="ＭＳ 明朝" w:hint="eastAsia"/>
          <w:sz w:val="22"/>
          <w:szCs w:val="22"/>
        </w:rPr>
        <w:t>応急</w:t>
      </w:r>
      <w:r w:rsidRPr="008A3EDE">
        <w:rPr>
          <w:rFonts w:ascii="ＭＳ 明朝" w:hAnsi="ＭＳ 明朝" w:hint="eastAsia"/>
          <w:sz w:val="22"/>
          <w:szCs w:val="22"/>
        </w:rPr>
        <w:t>住宅）</w:t>
      </w:r>
    </w:p>
    <w:p w14:paraId="0793FA89" w14:textId="77777777" w:rsidR="008B4B2B" w:rsidRPr="008A3EDE" w:rsidRDefault="0062186C" w:rsidP="008B4B2B">
      <w:pPr>
        <w:ind w:leftChars="550" w:left="1161" w:firstLineChars="100" w:firstLine="221"/>
        <w:rPr>
          <w:sz w:val="22"/>
          <w:szCs w:val="22"/>
        </w:rPr>
      </w:pPr>
      <w:r w:rsidRPr="008A3EDE">
        <w:rPr>
          <w:rFonts w:ascii="ＭＳ 明朝" w:hAnsi="ＭＳ 明朝" w:hint="eastAsia"/>
          <w:sz w:val="22"/>
          <w:szCs w:val="22"/>
        </w:rPr>
        <w:t>都市整備</w:t>
      </w:r>
      <w:r w:rsidR="00FE24AF" w:rsidRPr="008A3EDE">
        <w:rPr>
          <w:rFonts w:hint="eastAsia"/>
          <w:sz w:val="22"/>
          <w:szCs w:val="22"/>
        </w:rPr>
        <w:t>総務課</w:t>
      </w:r>
      <w:r w:rsidR="008B4B2B" w:rsidRPr="008A3EDE">
        <w:rPr>
          <w:rFonts w:hint="eastAsia"/>
          <w:sz w:val="22"/>
          <w:szCs w:val="22"/>
        </w:rPr>
        <w:t>長は、民間賃貸住宅の借上げについて、</w:t>
      </w:r>
      <w:r w:rsidR="003212AD" w:rsidRPr="008A3EDE">
        <w:rPr>
          <w:rFonts w:hint="eastAsia"/>
          <w:sz w:val="22"/>
          <w:szCs w:val="22"/>
        </w:rPr>
        <w:t>建築指導室</w:t>
      </w:r>
      <w:r w:rsidR="008B4B2B" w:rsidRPr="008A3EDE">
        <w:rPr>
          <w:rFonts w:hint="eastAsia"/>
          <w:sz w:val="22"/>
          <w:szCs w:val="22"/>
        </w:rPr>
        <w:t>建築振興課長に連絡し調整を図るとともに、これを実施する。</w:t>
      </w:r>
    </w:p>
    <w:p w14:paraId="3E7A46A3" w14:textId="097F89DE" w:rsidR="0000630A" w:rsidRPr="008A3EDE" w:rsidRDefault="008B4B2B" w:rsidP="008B4B2B">
      <w:pPr>
        <w:ind w:firstLineChars="500" w:firstLine="1105"/>
        <w:rPr>
          <w:sz w:val="22"/>
          <w:szCs w:val="22"/>
        </w:rPr>
      </w:pPr>
      <w:r w:rsidRPr="008A3EDE">
        <w:rPr>
          <w:rFonts w:hint="eastAsia"/>
          <w:sz w:val="22"/>
          <w:szCs w:val="22"/>
        </w:rPr>
        <w:t>①</w:t>
      </w:r>
      <w:r w:rsidR="0000630A" w:rsidRPr="008A3EDE">
        <w:rPr>
          <w:rFonts w:hint="eastAsia"/>
          <w:sz w:val="22"/>
          <w:szCs w:val="22"/>
        </w:rPr>
        <w:t xml:space="preserve">　</w:t>
      </w:r>
      <w:r w:rsidR="00714778" w:rsidRPr="008A3EDE">
        <w:rPr>
          <w:rFonts w:hint="eastAsia"/>
          <w:sz w:val="22"/>
          <w:szCs w:val="22"/>
        </w:rPr>
        <w:t>賃貸</w:t>
      </w:r>
      <w:r w:rsidRPr="008A3EDE">
        <w:rPr>
          <w:rFonts w:hint="eastAsia"/>
          <w:sz w:val="22"/>
          <w:szCs w:val="22"/>
        </w:rPr>
        <w:t>型</w:t>
      </w:r>
      <w:r w:rsidR="00714778" w:rsidRPr="008A3EDE">
        <w:rPr>
          <w:rFonts w:ascii="ＭＳ 明朝" w:hAnsi="ＭＳ 明朝" w:hint="eastAsia"/>
          <w:sz w:val="22"/>
          <w:szCs w:val="22"/>
        </w:rPr>
        <w:t>応急</w:t>
      </w:r>
      <w:r w:rsidRPr="008A3EDE">
        <w:rPr>
          <w:rFonts w:hint="eastAsia"/>
          <w:sz w:val="22"/>
          <w:szCs w:val="22"/>
        </w:rPr>
        <w:t>住宅の事前準備</w:t>
      </w:r>
    </w:p>
    <w:p w14:paraId="1DEE1896" w14:textId="77777777" w:rsidR="008B4B2B" w:rsidRPr="008A3EDE" w:rsidRDefault="003212AD" w:rsidP="00E0548A">
      <w:pPr>
        <w:ind w:leftChars="672" w:left="1419" w:firstLineChars="58" w:firstLine="128"/>
        <w:rPr>
          <w:sz w:val="22"/>
          <w:szCs w:val="22"/>
        </w:rPr>
      </w:pPr>
      <w:r w:rsidRPr="008A3EDE">
        <w:rPr>
          <w:rFonts w:hint="eastAsia"/>
          <w:sz w:val="22"/>
          <w:szCs w:val="22"/>
        </w:rPr>
        <w:t>建築指導室</w:t>
      </w:r>
      <w:r w:rsidR="008B4B2B" w:rsidRPr="008A3EDE">
        <w:rPr>
          <w:rFonts w:hint="eastAsia"/>
          <w:sz w:val="22"/>
          <w:szCs w:val="22"/>
        </w:rPr>
        <w:t>建築振興課長は、「災害時における民間賃貸住宅に係る空き家情報の提供等に関する協定書」を踏まえ、被災者への民間賃貸住宅の空家の提供に向け、不動産業関係団体への協力要請など適切な措置を講ずる。</w:t>
      </w:r>
    </w:p>
    <w:p w14:paraId="757D54C0" w14:textId="7CD8CE0E" w:rsidR="0000630A" w:rsidRPr="008A3EDE" w:rsidRDefault="008B4B2B" w:rsidP="008B4B2B">
      <w:pPr>
        <w:ind w:firstLineChars="500" w:firstLine="1105"/>
        <w:rPr>
          <w:rFonts w:ascii="ＭＳ 明朝" w:hAnsi="ＭＳ 明朝"/>
          <w:sz w:val="22"/>
          <w:szCs w:val="22"/>
        </w:rPr>
      </w:pPr>
      <w:r w:rsidRPr="008A3EDE">
        <w:rPr>
          <w:rFonts w:ascii="ＭＳ 明朝" w:hAnsi="ＭＳ 明朝" w:hint="eastAsia"/>
          <w:sz w:val="22"/>
          <w:szCs w:val="22"/>
        </w:rPr>
        <w:t>②</w:t>
      </w:r>
      <w:r w:rsidR="0000630A" w:rsidRPr="008A3EDE">
        <w:rPr>
          <w:rFonts w:ascii="ＭＳ 明朝" w:hAnsi="ＭＳ 明朝" w:hint="eastAsia"/>
          <w:sz w:val="22"/>
          <w:szCs w:val="22"/>
        </w:rPr>
        <w:t xml:space="preserve">　</w:t>
      </w:r>
      <w:r w:rsidRPr="008A3EDE">
        <w:rPr>
          <w:rFonts w:ascii="ＭＳ 明朝" w:hAnsi="ＭＳ 明朝" w:hint="eastAsia"/>
          <w:sz w:val="22"/>
          <w:szCs w:val="22"/>
        </w:rPr>
        <w:t>他府県への</w:t>
      </w:r>
      <w:r w:rsidR="00714778" w:rsidRPr="008A3EDE">
        <w:rPr>
          <w:rFonts w:ascii="ＭＳ 明朝" w:hAnsi="ＭＳ 明朝" w:hint="eastAsia"/>
          <w:sz w:val="22"/>
          <w:szCs w:val="22"/>
        </w:rPr>
        <w:t>賃貸</w:t>
      </w:r>
      <w:r w:rsidRPr="008A3EDE">
        <w:rPr>
          <w:rFonts w:ascii="ＭＳ 明朝" w:hAnsi="ＭＳ 明朝" w:hint="eastAsia"/>
          <w:sz w:val="22"/>
          <w:szCs w:val="22"/>
        </w:rPr>
        <w:t>型</w:t>
      </w:r>
      <w:r w:rsidR="00714778" w:rsidRPr="008A3EDE">
        <w:rPr>
          <w:rFonts w:ascii="ＭＳ 明朝" w:hAnsi="ＭＳ 明朝" w:hint="eastAsia"/>
          <w:sz w:val="22"/>
          <w:szCs w:val="22"/>
        </w:rPr>
        <w:t>応急</w:t>
      </w:r>
      <w:r w:rsidRPr="008A3EDE">
        <w:rPr>
          <w:rFonts w:ascii="ＭＳ 明朝" w:hAnsi="ＭＳ 明朝" w:hint="eastAsia"/>
          <w:sz w:val="22"/>
          <w:szCs w:val="22"/>
        </w:rPr>
        <w:t>住宅の要請</w:t>
      </w:r>
    </w:p>
    <w:p w14:paraId="6249EA7E" w14:textId="77777777" w:rsidR="008B4B2B" w:rsidRPr="008A3EDE" w:rsidRDefault="008B4B2B" w:rsidP="00E0548A">
      <w:pPr>
        <w:ind w:leftChars="672" w:left="1419" w:firstLineChars="63" w:firstLine="139"/>
        <w:rPr>
          <w:sz w:val="22"/>
          <w:szCs w:val="22"/>
        </w:rPr>
      </w:pPr>
      <w:r w:rsidRPr="008A3EDE">
        <w:rPr>
          <w:rFonts w:ascii="ＭＳ 明朝" w:hAnsi="ＭＳ 明朝" w:hint="eastAsia"/>
          <w:sz w:val="22"/>
          <w:szCs w:val="22"/>
        </w:rPr>
        <w:t>災害対策課長は、府内のみでは</w:t>
      </w:r>
      <w:r w:rsidR="00714778" w:rsidRPr="008A3EDE">
        <w:rPr>
          <w:rFonts w:hint="eastAsia"/>
          <w:sz w:val="22"/>
          <w:szCs w:val="22"/>
        </w:rPr>
        <w:t>賃貸</w:t>
      </w:r>
      <w:r w:rsidRPr="008A3EDE">
        <w:rPr>
          <w:rFonts w:hint="eastAsia"/>
          <w:sz w:val="22"/>
          <w:szCs w:val="22"/>
        </w:rPr>
        <w:t>型</w:t>
      </w:r>
      <w:r w:rsidR="00714778" w:rsidRPr="008A3EDE">
        <w:rPr>
          <w:rFonts w:ascii="ＭＳ 明朝" w:hAnsi="ＭＳ 明朝" w:hint="eastAsia"/>
          <w:sz w:val="22"/>
          <w:szCs w:val="22"/>
        </w:rPr>
        <w:t>応急</w:t>
      </w:r>
      <w:r w:rsidRPr="008A3EDE">
        <w:rPr>
          <w:rFonts w:hint="eastAsia"/>
          <w:sz w:val="22"/>
          <w:szCs w:val="22"/>
        </w:rPr>
        <w:t>住宅</w:t>
      </w:r>
      <w:r w:rsidRPr="008A3EDE">
        <w:rPr>
          <w:rFonts w:ascii="ＭＳ 明朝" w:hAnsi="ＭＳ 明朝" w:hint="eastAsia"/>
          <w:sz w:val="22"/>
          <w:szCs w:val="22"/>
        </w:rPr>
        <w:t>の確保が十分でないと判断される場合には、関西広域連合に対し、</w:t>
      </w:r>
      <w:r w:rsidR="00714778" w:rsidRPr="008A3EDE">
        <w:rPr>
          <w:rFonts w:hint="eastAsia"/>
          <w:sz w:val="22"/>
          <w:szCs w:val="22"/>
        </w:rPr>
        <w:t>賃貸</w:t>
      </w:r>
      <w:r w:rsidRPr="008A3EDE">
        <w:rPr>
          <w:rFonts w:hint="eastAsia"/>
          <w:sz w:val="22"/>
          <w:szCs w:val="22"/>
        </w:rPr>
        <w:t>型</w:t>
      </w:r>
      <w:r w:rsidR="00714778" w:rsidRPr="008A3EDE">
        <w:rPr>
          <w:rFonts w:ascii="ＭＳ 明朝" w:hAnsi="ＭＳ 明朝" w:hint="eastAsia"/>
          <w:sz w:val="22"/>
          <w:szCs w:val="22"/>
        </w:rPr>
        <w:t>応急</w:t>
      </w:r>
      <w:r w:rsidRPr="008A3EDE">
        <w:rPr>
          <w:rFonts w:hint="eastAsia"/>
          <w:sz w:val="22"/>
          <w:szCs w:val="22"/>
        </w:rPr>
        <w:t>住宅</w:t>
      </w:r>
      <w:r w:rsidRPr="008A3EDE">
        <w:rPr>
          <w:rFonts w:ascii="ＭＳ 明朝" w:hAnsi="ＭＳ 明朝" w:hint="eastAsia"/>
          <w:sz w:val="22"/>
          <w:szCs w:val="22"/>
        </w:rPr>
        <w:t>の情報提供を求める。</w:t>
      </w:r>
    </w:p>
    <w:p w14:paraId="48B5D19E" w14:textId="77777777" w:rsidR="008B4B2B" w:rsidRPr="008A3EDE" w:rsidRDefault="008B4B2B" w:rsidP="008B4B2B">
      <w:pPr>
        <w:overflowPunct w:val="0"/>
        <w:autoSpaceDE w:val="0"/>
        <w:autoSpaceDN w:val="0"/>
        <w:ind w:left="1216" w:hangingChars="550" w:hanging="1216"/>
        <w:rPr>
          <w:rFonts w:ascii="ＭＳ 明朝" w:hAnsi="ＭＳ 明朝"/>
          <w:sz w:val="22"/>
          <w:szCs w:val="22"/>
        </w:rPr>
      </w:pPr>
    </w:p>
    <w:p w14:paraId="02377F2E" w14:textId="77777777" w:rsidR="008B4B2B" w:rsidRPr="008A3EDE" w:rsidRDefault="008B4B2B" w:rsidP="008B4B2B">
      <w:pPr>
        <w:overflowPunct w:val="0"/>
        <w:autoSpaceDE w:val="0"/>
        <w:autoSpaceDN w:val="0"/>
        <w:ind w:firstLineChars="300" w:firstLine="663"/>
        <w:rPr>
          <w:rFonts w:ascii="ＭＳ ゴシック" w:eastAsia="ＭＳ ゴシック" w:hAnsi="ＭＳ ゴシック"/>
          <w:sz w:val="22"/>
          <w:szCs w:val="22"/>
          <w:u w:val="single"/>
        </w:rPr>
      </w:pPr>
      <w:r w:rsidRPr="008A3EDE">
        <w:rPr>
          <w:rFonts w:ascii="ＭＳ ゴシック" w:eastAsia="ＭＳ ゴシック" w:hAnsi="ＭＳ ゴシック" w:hint="eastAsia"/>
          <w:sz w:val="22"/>
          <w:szCs w:val="22"/>
          <w:u w:val="single"/>
        </w:rPr>
        <w:t>４　公共住宅への一時入居</w:t>
      </w:r>
      <w:r w:rsidRPr="008A3EDE">
        <w:rPr>
          <w:rFonts w:ascii="ＭＳ ゴシック" w:eastAsia="ＭＳ ゴシック" w:hAnsi="ＭＳ ゴシック" w:hint="eastAsia"/>
          <w:sz w:val="22"/>
          <w:szCs w:val="22"/>
          <w:u w:val="single"/>
          <w:shd w:val="pct15" w:color="auto" w:fill="FFFFFF"/>
        </w:rPr>
        <w:t>【第４フェーズ～】</w:t>
      </w:r>
    </w:p>
    <w:p w14:paraId="2616C6F4" w14:textId="77777777" w:rsidR="008B4B2B" w:rsidRPr="008A3EDE" w:rsidRDefault="008B4B2B" w:rsidP="008B4B2B">
      <w:pPr>
        <w:overflowPunct w:val="0"/>
        <w:autoSpaceDE w:val="0"/>
        <w:autoSpaceDN w:val="0"/>
        <w:ind w:leftChars="420" w:left="887" w:firstLineChars="100" w:firstLine="221"/>
        <w:rPr>
          <w:sz w:val="22"/>
          <w:szCs w:val="22"/>
        </w:rPr>
      </w:pPr>
      <w:r w:rsidRPr="008A3EDE">
        <w:rPr>
          <w:rFonts w:hint="eastAsia"/>
          <w:sz w:val="22"/>
          <w:szCs w:val="22"/>
        </w:rPr>
        <w:t>災害対策課長は、</w:t>
      </w:r>
      <w:r w:rsidRPr="008A3EDE">
        <w:rPr>
          <w:rFonts w:ascii="ＭＳ 明朝" w:hAnsi="ＭＳ 明朝" w:hint="eastAsia"/>
          <w:sz w:val="22"/>
          <w:szCs w:val="22"/>
        </w:rPr>
        <w:t>建設型</w:t>
      </w:r>
      <w:r w:rsidR="00714778" w:rsidRPr="008A3EDE">
        <w:rPr>
          <w:rFonts w:hint="eastAsia"/>
          <w:sz w:val="22"/>
          <w:szCs w:val="22"/>
        </w:rPr>
        <w:t>応急</w:t>
      </w:r>
      <w:r w:rsidRPr="008A3EDE">
        <w:rPr>
          <w:rFonts w:hint="eastAsia"/>
          <w:sz w:val="22"/>
          <w:szCs w:val="22"/>
        </w:rPr>
        <w:t>住宅及び</w:t>
      </w:r>
      <w:r w:rsidR="00714778" w:rsidRPr="008A3EDE">
        <w:rPr>
          <w:rFonts w:ascii="ＭＳ 明朝" w:hAnsi="ＭＳ 明朝" w:hint="eastAsia"/>
          <w:sz w:val="22"/>
          <w:szCs w:val="22"/>
        </w:rPr>
        <w:t>賃貸</w:t>
      </w:r>
      <w:r w:rsidRPr="008A3EDE">
        <w:rPr>
          <w:rFonts w:ascii="ＭＳ 明朝" w:hAnsi="ＭＳ 明朝" w:hint="eastAsia"/>
          <w:sz w:val="22"/>
          <w:szCs w:val="22"/>
        </w:rPr>
        <w:t>型</w:t>
      </w:r>
      <w:r w:rsidR="00714778" w:rsidRPr="008A3EDE">
        <w:rPr>
          <w:rFonts w:ascii="ＭＳ 明朝" w:hAnsi="ＭＳ 明朝" w:hint="eastAsia"/>
          <w:sz w:val="22"/>
          <w:szCs w:val="22"/>
        </w:rPr>
        <w:t>応急</w:t>
      </w:r>
      <w:r w:rsidRPr="008A3EDE">
        <w:rPr>
          <w:rFonts w:ascii="ＭＳ 明朝" w:hAnsi="ＭＳ 明朝" w:hint="eastAsia"/>
          <w:sz w:val="22"/>
          <w:szCs w:val="22"/>
        </w:rPr>
        <w:t>住宅</w:t>
      </w:r>
      <w:r w:rsidRPr="008A3EDE">
        <w:rPr>
          <w:rFonts w:hint="eastAsia"/>
          <w:sz w:val="22"/>
          <w:szCs w:val="22"/>
        </w:rPr>
        <w:t>の</w:t>
      </w:r>
      <w:r w:rsidRPr="008A3EDE">
        <w:rPr>
          <w:rFonts w:ascii="ＭＳ 明朝" w:hAnsi="ＭＳ 明朝" w:hint="eastAsia"/>
          <w:sz w:val="22"/>
          <w:szCs w:val="22"/>
        </w:rPr>
        <w:t>整備</w:t>
      </w:r>
      <w:r w:rsidRPr="008A3EDE">
        <w:rPr>
          <w:rFonts w:hint="eastAsia"/>
          <w:sz w:val="22"/>
          <w:szCs w:val="22"/>
        </w:rPr>
        <w:t>状況に応じ、被災者の住宅を確保するため、府営住宅等の空家への一時入居の措置について、被災市町村と十分に調整を図るとともに</w:t>
      </w:r>
      <w:r w:rsidR="0062186C" w:rsidRPr="008A3EDE">
        <w:rPr>
          <w:rFonts w:ascii="ＭＳ 明朝" w:hAnsi="ＭＳ 明朝" w:hint="eastAsia"/>
          <w:sz w:val="22"/>
          <w:szCs w:val="22"/>
        </w:rPr>
        <w:t>都市整備</w:t>
      </w:r>
      <w:r w:rsidR="00FE24AF" w:rsidRPr="008A3EDE">
        <w:rPr>
          <w:rFonts w:hint="eastAsia"/>
          <w:sz w:val="22"/>
          <w:szCs w:val="22"/>
        </w:rPr>
        <w:t>総務課</w:t>
      </w:r>
      <w:r w:rsidRPr="008A3EDE">
        <w:rPr>
          <w:rFonts w:hint="eastAsia"/>
          <w:sz w:val="22"/>
          <w:szCs w:val="22"/>
        </w:rPr>
        <w:t>長に公共住宅の空家の確保を連絡する。</w:t>
      </w:r>
    </w:p>
    <w:p w14:paraId="52DB3DCF" w14:textId="77777777" w:rsidR="008B4B2B" w:rsidRPr="008A3EDE" w:rsidRDefault="008B4B2B" w:rsidP="008B4B2B">
      <w:pPr>
        <w:overflowPunct w:val="0"/>
        <w:autoSpaceDE w:val="0"/>
        <w:autoSpaceDN w:val="0"/>
        <w:ind w:leftChars="420" w:left="887" w:firstLineChars="100" w:firstLine="221"/>
        <w:rPr>
          <w:sz w:val="22"/>
          <w:szCs w:val="22"/>
        </w:rPr>
      </w:pPr>
    </w:p>
    <w:p w14:paraId="3FDEFD66" w14:textId="77777777" w:rsidR="008B4B2B" w:rsidRPr="008A3EDE" w:rsidRDefault="008B4B2B" w:rsidP="008B4B2B">
      <w:pPr>
        <w:pStyle w:val="a0"/>
        <w:ind w:firstLineChars="300" w:firstLine="663"/>
        <w:rPr>
          <w:rFonts w:ascii="ＭＳ ゴシック" w:eastAsia="ＭＳ ゴシック"/>
          <w:sz w:val="22"/>
          <w:szCs w:val="22"/>
          <w:u w:val="single"/>
        </w:rPr>
      </w:pPr>
      <w:r w:rsidRPr="008A3EDE">
        <w:rPr>
          <w:rFonts w:ascii="ＭＳ ゴシック" w:eastAsia="ＭＳ ゴシック" w:hint="eastAsia"/>
          <w:sz w:val="22"/>
          <w:szCs w:val="22"/>
          <w:u w:val="single"/>
        </w:rPr>
        <w:t>５　住宅に関する相談窓口の設置等</w:t>
      </w:r>
      <w:r w:rsidRPr="008A3EDE">
        <w:rPr>
          <w:rFonts w:ascii="ＭＳ ゴシック" w:eastAsia="ＭＳ ゴシック" w:hint="eastAsia"/>
          <w:sz w:val="22"/>
          <w:szCs w:val="22"/>
          <w:u w:val="single"/>
          <w:shd w:val="pct15" w:color="auto" w:fill="FFFFFF"/>
        </w:rPr>
        <w:t>【第４フェーズ～】</w:t>
      </w:r>
    </w:p>
    <w:p w14:paraId="68AC0BAB" w14:textId="77777777" w:rsidR="008B4B2B" w:rsidRPr="008A3EDE" w:rsidRDefault="008B4B2B" w:rsidP="008B4B2B">
      <w:pPr>
        <w:pStyle w:val="a0"/>
        <w:ind w:leftChars="300" w:left="854" w:hangingChars="100" w:hanging="221"/>
        <w:rPr>
          <w:rFonts w:hAnsi="ＭＳ 明朝"/>
          <w:strike/>
          <w:sz w:val="22"/>
          <w:szCs w:val="22"/>
        </w:rPr>
      </w:pPr>
      <w:r w:rsidRPr="008A3EDE">
        <w:rPr>
          <w:rFonts w:ascii="ＭＳ ゴシック" w:eastAsia="ＭＳ ゴシック" w:hint="eastAsia"/>
          <w:sz w:val="22"/>
          <w:szCs w:val="22"/>
        </w:rPr>
        <w:t xml:space="preserve">　　</w:t>
      </w:r>
      <w:r w:rsidR="00B44532" w:rsidRPr="008A3EDE">
        <w:rPr>
          <w:rFonts w:hAnsi="ＭＳ 明朝" w:hint="eastAsia"/>
          <w:sz w:val="22"/>
          <w:szCs w:val="22"/>
        </w:rPr>
        <w:t>居住企画課</w:t>
      </w:r>
      <w:r w:rsidRPr="008A3EDE">
        <w:rPr>
          <w:rFonts w:hAnsi="ＭＳ 明朝" w:hint="eastAsia"/>
          <w:sz w:val="22"/>
          <w:szCs w:val="22"/>
        </w:rPr>
        <w:t>長は、住宅に関する相談や情報提供のため、住宅相談窓口を設置するとともに、府内外の提供可能住宅への被災者の円滑な入居を確保するための空家状況をはじめとする必要な情報の把握に努める。</w:t>
      </w:r>
    </w:p>
    <w:p w14:paraId="2B488241" w14:textId="77777777" w:rsidR="008B4B2B" w:rsidRPr="008A3EDE" w:rsidRDefault="008B4B2B" w:rsidP="008B4B2B">
      <w:pPr>
        <w:pStyle w:val="ad"/>
        <w:wordWrap/>
        <w:overflowPunct w:val="0"/>
        <w:spacing w:line="400" w:lineRule="exact"/>
        <w:ind w:left="442" w:hangingChars="200" w:hanging="442"/>
        <w:rPr>
          <w:rFonts w:ascii="ＭＳ ゴシック" w:eastAsia="ＭＳ ゴシック" w:hAnsi="ＭＳ ゴシック"/>
        </w:rPr>
      </w:pPr>
    </w:p>
    <w:p w14:paraId="17B9B701" w14:textId="77777777" w:rsidR="008B4B2B" w:rsidRPr="008A3EDE" w:rsidRDefault="008B4B2B" w:rsidP="008B4B2B">
      <w:pPr>
        <w:pStyle w:val="a0"/>
        <w:ind w:firstLineChars="300" w:firstLine="663"/>
        <w:rPr>
          <w:rFonts w:asciiTheme="majorEastAsia" w:eastAsiaTheme="majorEastAsia" w:hAnsiTheme="majorEastAsia"/>
          <w:sz w:val="22"/>
          <w:szCs w:val="22"/>
          <w:u w:val="single"/>
        </w:rPr>
      </w:pPr>
      <w:r w:rsidRPr="008A3EDE">
        <w:rPr>
          <w:rFonts w:asciiTheme="majorEastAsia" w:eastAsiaTheme="majorEastAsia" w:hAnsiTheme="majorEastAsia" w:hint="eastAsia"/>
          <w:sz w:val="22"/>
          <w:szCs w:val="22"/>
          <w:u w:val="single"/>
        </w:rPr>
        <w:t>６　住まいのケア・専門家チームの組成</w:t>
      </w:r>
      <w:r w:rsidRPr="008A3EDE">
        <w:rPr>
          <w:rFonts w:asciiTheme="majorEastAsia" w:eastAsiaTheme="majorEastAsia" w:hAnsiTheme="majorEastAsia" w:hint="eastAsia"/>
          <w:sz w:val="22"/>
          <w:szCs w:val="22"/>
          <w:u w:val="single"/>
          <w:shd w:val="pct15" w:color="auto" w:fill="FFFFFF"/>
        </w:rPr>
        <w:t>【第６フェーズ～】</w:t>
      </w:r>
    </w:p>
    <w:p w14:paraId="4AAE6E77" w14:textId="77777777" w:rsidR="008B4B2B" w:rsidRPr="008A3EDE" w:rsidRDefault="008B4B2B" w:rsidP="008B4B2B">
      <w:pPr>
        <w:overflowPunct w:val="0"/>
        <w:autoSpaceDE w:val="0"/>
        <w:autoSpaceDN w:val="0"/>
        <w:ind w:left="884" w:hangingChars="400" w:hanging="884"/>
        <w:rPr>
          <w:rFonts w:asciiTheme="minorEastAsia" w:hAnsiTheme="minorEastAsia"/>
          <w:sz w:val="22"/>
        </w:rPr>
      </w:pPr>
      <w:r w:rsidRPr="008A3EDE">
        <w:rPr>
          <w:rFonts w:asciiTheme="minorEastAsia" w:hAnsiTheme="minorEastAsia" w:hint="eastAsia"/>
          <w:sz w:val="22"/>
        </w:rPr>
        <w:t xml:space="preserve">　　　　　</w:t>
      </w:r>
      <w:r w:rsidR="00B44532" w:rsidRPr="008A3EDE">
        <w:rPr>
          <w:rFonts w:asciiTheme="minorEastAsia" w:hAnsiTheme="minorEastAsia" w:hint="eastAsia"/>
          <w:sz w:val="22"/>
        </w:rPr>
        <w:t>居住企画課</w:t>
      </w:r>
      <w:r w:rsidRPr="008A3EDE">
        <w:rPr>
          <w:rFonts w:asciiTheme="minorEastAsia" w:hAnsiTheme="minorEastAsia" w:hint="eastAsia"/>
          <w:sz w:val="22"/>
        </w:rPr>
        <w:t>長は、住まいの復旧・復興段階において住宅に関する</w:t>
      </w:r>
      <w:r w:rsidRPr="008A3EDE">
        <w:rPr>
          <w:sz w:val="22"/>
        </w:rPr>
        <w:t>専門的な</w:t>
      </w:r>
      <w:r w:rsidRPr="008A3EDE">
        <w:rPr>
          <w:rFonts w:asciiTheme="minorEastAsia" w:hAnsiTheme="minorEastAsia" w:hint="eastAsia"/>
          <w:sz w:val="22"/>
        </w:rPr>
        <w:t>相談に対応するため、住宅（設計、リフォーム）、法律、金融等の専門家により構成する「住まいのケア・専門家チーム」を組成する。</w:t>
      </w:r>
    </w:p>
    <w:p w14:paraId="20D0A18D" w14:textId="77777777" w:rsidR="008B4B2B" w:rsidRPr="008A3EDE" w:rsidRDefault="008B4B2B" w:rsidP="008B4B2B">
      <w:pPr>
        <w:overflowPunct w:val="0"/>
        <w:autoSpaceDE w:val="0"/>
        <w:autoSpaceDN w:val="0"/>
        <w:rPr>
          <w:rFonts w:asciiTheme="minorEastAsia" w:hAnsiTheme="minorEastAsia"/>
          <w:sz w:val="22"/>
        </w:rPr>
      </w:pPr>
      <w:r w:rsidRPr="008A3EDE">
        <w:rPr>
          <w:rFonts w:asciiTheme="minorEastAsia" w:hAnsiTheme="minorEastAsia" w:hint="eastAsia"/>
          <w:sz w:val="22"/>
        </w:rPr>
        <w:t xml:space="preserve">　　　　　また、市町村の要請により市役所等で開催する個別相談会への派遣調整を行う。</w:t>
      </w:r>
    </w:p>
    <w:p w14:paraId="7ED25B49" w14:textId="77777777" w:rsidR="008B4B2B" w:rsidRPr="008A3EDE" w:rsidRDefault="008B4B2B" w:rsidP="008B4B2B">
      <w:pPr>
        <w:pStyle w:val="ad"/>
        <w:wordWrap/>
        <w:overflowPunct w:val="0"/>
        <w:spacing w:line="400" w:lineRule="exact"/>
        <w:ind w:left="442" w:hangingChars="200" w:hanging="442"/>
        <w:rPr>
          <w:rFonts w:ascii="ＭＳ ゴシック" w:eastAsia="ＭＳ ゴシック" w:hAnsi="ＭＳ ゴシック"/>
        </w:rPr>
      </w:pPr>
    </w:p>
    <w:p w14:paraId="67050125" w14:textId="77777777" w:rsidR="008B4B2B" w:rsidRPr="008A3EDE" w:rsidRDefault="008B4B2B" w:rsidP="008B4B2B">
      <w:pPr>
        <w:pStyle w:val="ad"/>
        <w:wordWrap/>
        <w:overflowPunct w:val="0"/>
        <w:spacing w:line="400" w:lineRule="exact"/>
        <w:ind w:left="442" w:hangingChars="200" w:hanging="442"/>
        <w:rPr>
          <w:rFonts w:ascii="ＭＳ ゴシック" w:eastAsia="ＭＳ ゴシック" w:hAnsi="ＭＳ ゴシック"/>
        </w:rPr>
      </w:pPr>
    </w:p>
    <w:p w14:paraId="4609CB92" w14:textId="77777777" w:rsidR="008B4B2B" w:rsidRPr="008A3EDE" w:rsidRDefault="008B4B2B" w:rsidP="008B4B2B">
      <w:pPr>
        <w:pStyle w:val="ad"/>
        <w:wordWrap/>
        <w:overflowPunct w:val="0"/>
        <w:spacing w:line="400" w:lineRule="exact"/>
        <w:ind w:left="442" w:hangingChars="200" w:hanging="442"/>
        <w:rPr>
          <w:rFonts w:ascii="ＭＳ ゴシック" w:eastAsia="ＭＳ ゴシック" w:hAnsi="ＭＳ ゴシック"/>
        </w:rPr>
      </w:pPr>
    </w:p>
    <w:p w14:paraId="00D385CC" w14:textId="77777777" w:rsidR="008B4B2B" w:rsidRPr="008A3EDE" w:rsidRDefault="008B4B2B" w:rsidP="008B4B2B">
      <w:pPr>
        <w:pStyle w:val="ad"/>
        <w:wordWrap/>
        <w:overflowPunct w:val="0"/>
        <w:spacing w:line="400" w:lineRule="exact"/>
        <w:ind w:left="442" w:hangingChars="200" w:hanging="442"/>
        <w:rPr>
          <w:rFonts w:ascii="ＭＳ ゴシック" w:eastAsia="ＭＳ ゴシック" w:hAnsi="ＭＳ ゴシック"/>
        </w:rPr>
      </w:pPr>
    </w:p>
    <w:p w14:paraId="4DC089D9" w14:textId="690DD071" w:rsidR="000923FC" w:rsidRPr="008A3EDE" w:rsidRDefault="000923FC">
      <w:pPr>
        <w:widowControl/>
        <w:jc w:val="left"/>
        <w:rPr>
          <w:rFonts w:ascii="ＭＳ ゴシック" w:eastAsia="ＭＳ ゴシック" w:hAnsi="ＭＳ ゴシック" w:cs="ＭＳ 明朝"/>
          <w:kern w:val="0"/>
          <w:sz w:val="22"/>
          <w:szCs w:val="22"/>
        </w:rPr>
      </w:pPr>
      <w:r w:rsidRPr="008A3EDE">
        <w:rPr>
          <w:rFonts w:ascii="ＭＳ ゴシック" w:eastAsia="ＭＳ ゴシック" w:hAnsi="ＭＳ ゴシック"/>
        </w:rPr>
        <w:br w:type="page"/>
      </w:r>
    </w:p>
    <w:p w14:paraId="1E5F40B3" w14:textId="183E7E94" w:rsidR="008B4B2B" w:rsidRPr="008A3EDE" w:rsidRDefault="008B4B2B" w:rsidP="001F65EB">
      <w:pPr>
        <w:pStyle w:val="a0"/>
        <w:ind w:firstLineChars="200" w:firstLine="442"/>
        <w:outlineLvl w:val="2"/>
        <w:rPr>
          <w:rFonts w:ascii="ＭＳ ゴシック" w:eastAsia="ＭＳ ゴシック"/>
          <w:sz w:val="22"/>
          <w:szCs w:val="22"/>
          <w:u w:val="double"/>
        </w:rPr>
      </w:pPr>
      <w:bookmarkStart w:id="343" w:name="_Toc122436955"/>
      <w:bookmarkStart w:id="344" w:name="_Toc222486649"/>
      <w:bookmarkStart w:id="345" w:name="_Toc242870319"/>
      <w:r w:rsidRPr="008A3EDE">
        <w:rPr>
          <w:rFonts w:ascii="ＭＳ ゴシック" w:eastAsia="ＭＳ ゴシック" w:hint="eastAsia"/>
          <w:sz w:val="22"/>
          <w:szCs w:val="22"/>
          <w:u w:val="double"/>
        </w:rPr>
        <w:lastRenderedPageBreak/>
        <w:t>第４　応急教育</w:t>
      </w:r>
      <w:r w:rsidRPr="008A3EDE">
        <w:rPr>
          <w:rFonts w:ascii="ＭＳ ゴシック" w:eastAsia="ＭＳ ゴシック" w:hint="eastAsia"/>
          <w:sz w:val="22"/>
          <w:szCs w:val="22"/>
          <w:u w:val="double"/>
          <w:shd w:val="pct15" w:color="auto" w:fill="FFFFFF"/>
        </w:rPr>
        <w:t>【第１フェーズ～】</w:t>
      </w:r>
      <w:bookmarkEnd w:id="343"/>
      <w:bookmarkEnd w:id="344"/>
      <w:bookmarkEnd w:id="345"/>
    </w:p>
    <w:p w14:paraId="4741E646" w14:textId="77777777" w:rsidR="008B4B2B" w:rsidRPr="008A3EDE" w:rsidRDefault="008B4B2B" w:rsidP="008B4B2B">
      <w:pPr>
        <w:pStyle w:val="ad"/>
        <w:wordWrap/>
        <w:overflowPunct w:val="0"/>
        <w:spacing w:line="240" w:lineRule="auto"/>
        <w:ind w:firstLineChars="500" w:firstLine="1105"/>
        <w:rPr>
          <w:rFonts w:ascii="ＭＳ ゴシック" w:eastAsia="ＭＳ ゴシック" w:hAnsi="ＭＳ ゴシック"/>
        </w:rPr>
      </w:pPr>
      <w:r w:rsidRPr="008A3EDE">
        <w:rPr>
          <w:rFonts w:ascii="ＭＳ ゴシック" w:eastAsia="ＭＳ ゴシック" w:hAnsi="ＭＳ ゴシック" w:hint="eastAsia"/>
          <w:bdr w:val="single" w:sz="4" w:space="0" w:color="auto"/>
        </w:rPr>
        <w:t>主たる担当：教育庁関係室・課</w:t>
      </w:r>
    </w:p>
    <w:p w14:paraId="462BDDB3" w14:textId="56E83543" w:rsidR="008B4B2B" w:rsidRPr="008A3EDE" w:rsidRDefault="008B4B2B" w:rsidP="008B4B2B">
      <w:pPr>
        <w:pStyle w:val="ad"/>
        <w:wordWrap/>
        <w:overflowPunct w:val="0"/>
        <w:spacing w:line="240" w:lineRule="auto"/>
        <w:ind w:leftChars="420" w:left="887" w:firstLineChars="100" w:firstLine="221"/>
        <w:rPr>
          <w:rFonts w:ascii="ＭＳ 明朝" w:hAnsi="ＭＳ 明朝"/>
        </w:rPr>
      </w:pPr>
      <w:r w:rsidRPr="008A3EDE">
        <w:rPr>
          <w:rFonts w:ascii="ＭＳ 明朝" w:hAnsi="ＭＳ 明朝" w:hint="eastAsia"/>
        </w:rPr>
        <w:t>府教育庁</w:t>
      </w:r>
      <w:r w:rsidR="00252C7D" w:rsidRPr="008A3EDE">
        <w:rPr>
          <w:rFonts w:ascii="ＭＳ 明朝" w:hAnsi="ＭＳ 明朝" w:hint="eastAsia"/>
        </w:rPr>
        <w:t>（</w:t>
      </w:r>
      <w:r w:rsidR="00284CCD" w:rsidRPr="008A3EDE">
        <w:rPr>
          <w:rFonts w:ascii="ＭＳ 明朝" w:hAnsi="ＭＳ 明朝" w:hint="eastAsia"/>
        </w:rPr>
        <w:t>高校改革課</w:t>
      </w:r>
      <w:r w:rsidR="00252C7D" w:rsidRPr="008A3EDE">
        <w:rPr>
          <w:rFonts w:ascii="ＭＳ 明朝" w:hAnsi="ＭＳ 明朝" w:hint="eastAsia"/>
        </w:rPr>
        <w:t>、高等学校課、</w:t>
      </w:r>
      <w:r w:rsidR="00252C7D" w:rsidRPr="008A3EDE">
        <w:rPr>
          <w:rFonts w:ascii="ＭＳ 明朝" w:hAnsi="ＭＳ 明朝" w:hint="eastAsia"/>
          <w:szCs w:val="21"/>
        </w:rPr>
        <w:t>支援教育課、小中学校課、教職員室、施設財務課）</w:t>
      </w:r>
      <w:r w:rsidRPr="008A3EDE">
        <w:rPr>
          <w:rFonts w:ascii="ＭＳ 明朝" w:hAnsi="ＭＳ 明朝" w:hint="eastAsia"/>
        </w:rPr>
        <w:t>は、学校教育を継続して実施するため、教育施設、教材等を早期に確保し、応急教育の措置を実施する。</w:t>
      </w:r>
    </w:p>
    <w:p w14:paraId="1BE506CD" w14:textId="77777777" w:rsidR="008B4B2B" w:rsidRPr="008A3EDE" w:rsidRDefault="008B4B2B" w:rsidP="008B4B2B">
      <w:pPr>
        <w:pStyle w:val="ad"/>
        <w:wordWrap/>
        <w:overflowPunct w:val="0"/>
        <w:spacing w:line="240" w:lineRule="auto"/>
        <w:ind w:leftChars="420" w:left="887" w:rightChars="13" w:right="27" w:firstLineChars="100" w:firstLine="221"/>
        <w:rPr>
          <w:rFonts w:ascii="ＭＳ 明朝" w:hAnsi="ＭＳ 明朝"/>
        </w:rPr>
      </w:pPr>
      <w:r w:rsidRPr="008A3EDE">
        <w:rPr>
          <w:rFonts w:ascii="ＭＳ 明朝" w:hAnsi="ＭＳ 明朝" w:hint="eastAsia"/>
        </w:rPr>
        <w:t>また、私学課は、私立学校園が公立学校園に準じた措置を実施するよう指導・助言する。</w:t>
      </w:r>
    </w:p>
    <w:p w14:paraId="3C42BA18" w14:textId="77777777" w:rsidR="008B4B2B" w:rsidRPr="008A3EDE" w:rsidRDefault="008B4B2B" w:rsidP="008B4B2B">
      <w:pPr>
        <w:pStyle w:val="ad"/>
        <w:wordWrap/>
        <w:overflowPunct w:val="0"/>
        <w:spacing w:line="240" w:lineRule="auto"/>
        <w:ind w:leftChars="420" w:left="887" w:firstLineChars="100" w:firstLine="221"/>
        <w:rPr>
          <w:rFonts w:ascii="ＭＳ 明朝" w:hAnsi="ＭＳ 明朝"/>
        </w:rPr>
      </w:pPr>
    </w:p>
    <w:p w14:paraId="66E9F977" w14:textId="77777777" w:rsidR="008B4B2B" w:rsidRPr="008A3EDE" w:rsidRDefault="008B4B2B" w:rsidP="008B4B2B">
      <w:pPr>
        <w:pStyle w:val="ad"/>
        <w:wordWrap/>
        <w:overflowPunct w:val="0"/>
        <w:spacing w:line="240" w:lineRule="auto"/>
        <w:ind w:firstLineChars="300" w:firstLine="663"/>
        <w:rPr>
          <w:rFonts w:ascii="ＭＳ ゴシック" w:eastAsia="ＭＳ ゴシック" w:hAnsi="ＭＳ ゴシック"/>
          <w:u w:val="single"/>
        </w:rPr>
      </w:pPr>
      <w:r w:rsidRPr="008A3EDE">
        <w:rPr>
          <w:rFonts w:ascii="ＭＳ ゴシック" w:eastAsia="ＭＳ ゴシック" w:hAnsi="ＭＳ ゴシック" w:hint="eastAsia"/>
          <w:u w:val="single"/>
        </w:rPr>
        <w:t>１　教育施設の応急整備</w:t>
      </w:r>
      <w:r w:rsidRPr="008A3EDE">
        <w:rPr>
          <w:rFonts w:ascii="ＭＳ ゴシック" w:eastAsia="ＭＳ ゴシック" w:hAnsi="ＭＳ ゴシック" w:hint="eastAsia"/>
          <w:u w:val="single"/>
          <w:shd w:val="pct15" w:color="auto" w:fill="FFFFFF"/>
        </w:rPr>
        <w:t>【第５フェーズ～】</w:t>
      </w:r>
    </w:p>
    <w:p w14:paraId="391446C3" w14:textId="77777777" w:rsidR="008B4B2B" w:rsidRPr="008A3EDE" w:rsidRDefault="008B4B2B" w:rsidP="008B4B2B">
      <w:pPr>
        <w:pStyle w:val="ad"/>
        <w:wordWrap/>
        <w:overflowPunct w:val="0"/>
        <w:spacing w:line="240" w:lineRule="auto"/>
        <w:ind w:leftChars="420" w:left="887" w:firstLineChars="100" w:firstLine="221"/>
        <w:rPr>
          <w:rFonts w:ascii="ＭＳ 明朝" w:hAnsi="ＭＳ 明朝"/>
        </w:rPr>
      </w:pPr>
      <w:r w:rsidRPr="008A3EDE">
        <w:rPr>
          <w:rFonts w:ascii="ＭＳ 明朝" w:hAnsi="ＭＳ 明朝" w:hint="eastAsia"/>
        </w:rPr>
        <w:t>府教育庁（施設財務課）は、被害を受けた公立学校の授業実施のため、施設、設備の応急復旧及び代替校舎の確保・支援を行う。</w:t>
      </w:r>
    </w:p>
    <w:p w14:paraId="59EB7C55" w14:textId="77777777" w:rsidR="008B4B2B" w:rsidRPr="008A3EDE" w:rsidRDefault="008B4B2B" w:rsidP="008B4B2B">
      <w:pPr>
        <w:pStyle w:val="ad"/>
        <w:wordWrap/>
        <w:overflowPunct w:val="0"/>
        <w:spacing w:line="240" w:lineRule="auto"/>
        <w:ind w:leftChars="420" w:left="887" w:firstLineChars="100" w:firstLine="221"/>
        <w:rPr>
          <w:rFonts w:ascii="ＭＳ 明朝" w:hAnsi="ＭＳ 明朝"/>
        </w:rPr>
      </w:pPr>
    </w:p>
    <w:p w14:paraId="3A0DAC62" w14:textId="77777777" w:rsidR="008B4B2B" w:rsidRPr="008A3EDE" w:rsidRDefault="008B4B2B" w:rsidP="008B4B2B">
      <w:pPr>
        <w:pStyle w:val="ad"/>
        <w:wordWrap/>
        <w:overflowPunct w:val="0"/>
        <w:spacing w:line="240" w:lineRule="auto"/>
        <w:ind w:firstLineChars="300" w:firstLine="663"/>
        <w:rPr>
          <w:rFonts w:ascii="ＭＳ ゴシック" w:eastAsia="ＭＳ ゴシック" w:hAnsi="ＭＳ ゴシック"/>
          <w:u w:val="single"/>
        </w:rPr>
      </w:pPr>
      <w:r w:rsidRPr="008A3EDE">
        <w:rPr>
          <w:rFonts w:ascii="ＭＳ ゴシック" w:eastAsia="ＭＳ ゴシック" w:hAnsi="ＭＳ ゴシック" w:hint="eastAsia"/>
          <w:u w:val="single"/>
        </w:rPr>
        <w:t>２　応急教育体制の確立</w:t>
      </w:r>
    </w:p>
    <w:p w14:paraId="399B0DD5" w14:textId="77777777" w:rsidR="008B4B2B" w:rsidRPr="008A3EDE" w:rsidRDefault="008B4B2B" w:rsidP="008B4B2B">
      <w:pPr>
        <w:pStyle w:val="ad"/>
        <w:wordWrap/>
        <w:overflowPunct w:val="0"/>
        <w:spacing w:line="240" w:lineRule="auto"/>
        <w:ind w:firstLineChars="400" w:firstLine="884"/>
        <w:rPr>
          <w:rFonts w:ascii="ＭＳ 明朝" w:hAnsi="ＭＳ 明朝"/>
        </w:rPr>
      </w:pPr>
      <w:r w:rsidRPr="008A3EDE">
        <w:rPr>
          <w:rFonts w:ascii="ＭＳ 明朝" w:hAnsi="ＭＳ 明朝" w:hint="eastAsia"/>
        </w:rPr>
        <w:t>(1)　幼児児童生徒、教職員の被災状況の把握</w:t>
      </w:r>
      <w:r w:rsidRPr="008A3EDE">
        <w:rPr>
          <w:rFonts w:ascii="ＭＳ 明朝" w:hAnsi="ＭＳ 明朝" w:hint="eastAsia"/>
          <w:shd w:val="pct15" w:color="auto" w:fill="FFFFFF"/>
        </w:rPr>
        <w:t>【第１フェーズ～】</w:t>
      </w:r>
    </w:p>
    <w:p w14:paraId="0C6E833E" w14:textId="77777777" w:rsidR="008B4B2B" w:rsidRPr="008A3EDE" w:rsidRDefault="008B4B2B" w:rsidP="008B4B2B">
      <w:pPr>
        <w:pStyle w:val="ad"/>
        <w:wordWrap/>
        <w:overflowPunct w:val="0"/>
        <w:spacing w:line="240" w:lineRule="auto"/>
        <w:ind w:leftChars="574" w:left="1212" w:rightChars="-108" w:right="-228" w:firstLineChars="100" w:firstLine="221"/>
        <w:rPr>
          <w:rFonts w:ascii="ＭＳ 明朝" w:hAnsi="ＭＳ 明朝"/>
        </w:rPr>
      </w:pPr>
      <w:r w:rsidRPr="008A3EDE">
        <w:rPr>
          <w:rFonts w:ascii="ＭＳ 明朝" w:hAnsi="ＭＳ 明朝" w:hint="eastAsia"/>
        </w:rPr>
        <w:t>学校長・准校長は、教職員及び幼児児童生徒の被災状況や所在地を確認するとともに、教育施設の状況を踏まえ、府教育庁と協議し、応急教育実施のための措置を講ずる。</w:t>
      </w:r>
    </w:p>
    <w:p w14:paraId="06AD935B" w14:textId="2D73B3DE" w:rsidR="008B4B2B" w:rsidRPr="008A3EDE" w:rsidRDefault="008B4B2B" w:rsidP="008B4B2B">
      <w:pPr>
        <w:pStyle w:val="ad"/>
        <w:wordWrap/>
        <w:overflowPunct w:val="0"/>
        <w:spacing w:line="240" w:lineRule="auto"/>
        <w:ind w:leftChars="574" w:left="1212" w:firstLineChars="100" w:firstLine="221"/>
        <w:rPr>
          <w:rFonts w:ascii="ＭＳ 明朝" w:hAnsi="ＭＳ 明朝"/>
        </w:rPr>
      </w:pPr>
      <w:r w:rsidRPr="008A3EDE">
        <w:rPr>
          <w:rFonts w:ascii="ＭＳ 明朝" w:hAnsi="ＭＳ 明朝" w:hint="eastAsia"/>
        </w:rPr>
        <w:t>また、府教育庁</w:t>
      </w:r>
      <w:r w:rsidR="00252C7D" w:rsidRPr="008A3EDE">
        <w:rPr>
          <w:rFonts w:ascii="ＭＳ 明朝" w:hAnsi="ＭＳ 明朝" w:hint="eastAsia"/>
        </w:rPr>
        <w:t>（</w:t>
      </w:r>
      <w:r w:rsidR="00284CCD" w:rsidRPr="008A3EDE">
        <w:rPr>
          <w:rFonts w:ascii="ＭＳ 明朝" w:hAnsi="ＭＳ 明朝" w:hint="eastAsia"/>
        </w:rPr>
        <w:t>高校改革課</w:t>
      </w:r>
      <w:r w:rsidR="00252C7D" w:rsidRPr="008A3EDE">
        <w:rPr>
          <w:rFonts w:ascii="ＭＳ 明朝" w:hAnsi="ＭＳ 明朝" w:hint="eastAsia"/>
        </w:rPr>
        <w:t>、高等学校課、高等学校課、支援教育課、小中学校課）</w:t>
      </w:r>
      <w:r w:rsidRPr="008A3EDE">
        <w:rPr>
          <w:rFonts w:ascii="ＭＳ 明朝" w:hAnsi="ＭＳ 明朝" w:hint="eastAsia"/>
        </w:rPr>
        <w:t>は、幼児児童生徒の転校手続き等の弾力的運用を図るとともに、必要に応じ、国及び他府県教育委員会に対して、幼児児童生徒の受入れについて応援を要請する。</w:t>
      </w:r>
    </w:p>
    <w:p w14:paraId="4BFAB584" w14:textId="467A39E9" w:rsidR="008B4B2B" w:rsidRPr="008A3EDE" w:rsidRDefault="008B4B2B" w:rsidP="008B4B2B">
      <w:pPr>
        <w:pStyle w:val="ad"/>
        <w:wordWrap/>
        <w:overflowPunct w:val="0"/>
        <w:spacing w:line="240" w:lineRule="auto"/>
        <w:ind w:leftChars="584" w:left="1233" w:firstLineChars="100" w:firstLine="221"/>
        <w:rPr>
          <w:rFonts w:ascii="ＭＳ 明朝" w:hAnsi="ＭＳ 明朝"/>
        </w:rPr>
      </w:pPr>
      <w:r w:rsidRPr="008A3EDE">
        <w:rPr>
          <w:rFonts w:ascii="ＭＳ 明朝" w:hAnsi="ＭＳ 明朝" w:hint="eastAsia"/>
        </w:rPr>
        <w:t>さらに、府教育庁</w:t>
      </w:r>
      <w:r w:rsidR="00252C7D" w:rsidRPr="008A3EDE">
        <w:rPr>
          <w:rFonts w:ascii="ＭＳ 明朝" w:hAnsi="ＭＳ 明朝" w:hint="eastAsia"/>
        </w:rPr>
        <w:t>（</w:t>
      </w:r>
      <w:r w:rsidR="00284CCD" w:rsidRPr="008A3EDE">
        <w:rPr>
          <w:rFonts w:ascii="ＭＳ 明朝" w:hAnsi="ＭＳ 明朝" w:hint="eastAsia"/>
        </w:rPr>
        <w:t>高校改革課</w:t>
      </w:r>
      <w:r w:rsidR="00252C7D" w:rsidRPr="008A3EDE">
        <w:rPr>
          <w:rFonts w:ascii="ＭＳ 明朝" w:hAnsi="ＭＳ 明朝" w:hint="eastAsia"/>
        </w:rPr>
        <w:t>、高等学校課、</w:t>
      </w:r>
      <w:r w:rsidR="00252C7D" w:rsidRPr="008A3EDE">
        <w:rPr>
          <w:rFonts w:ascii="ＭＳ 明朝" w:hAnsi="ＭＳ 明朝" w:hint="eastAsia"/>
          <w:szCs w:val="21"/>
        </w:rPr>
        <w:t>支援教育課、小中学校課、教職員室）</w:t>
      </w:r>
      <w:r w:rsidRPr="008A3EDE">
        <w:rPr>
          <w:rFonts w:ascii="ＭＳ 明朝" w:hAnsi="ＭＳ 明朝" w:hint="eastAsia"/>
        </w:rPr>
        <w:t>は、教職員及び幼児児童生徒の被災状況を把握し、府立学校長・准校長及び市町村教育委員会に対して、応急教育実施のための指導助言・教職員体制の確保など円滑な学校運営が確保できるよう、必要な措置を講ずる。</w:t>
      </w:r>
    </w:p>
    <w:p w14:paraId="6C127047" w14:textId="77777777" w:rsidR="008B4B2B" w:rsidRPr="008A3EDE" w:rsidRDefault="008B4B2B" w:rsidP="008B4B2B">
      <w:pPr>
        <w:pStyle w:val="ad"/>
        <w:wordWrap/>
        <w:overflowPunct w:val="0"/>
        <w:spacing w:line="240" w:lineRule="auto"/>
        <w:ind w:leftChars="584" w:left="1233" w:firstLineChars="100" w:firstLine="221"/>
        <w:rPr>
          <w:rFonts w:ascii="ＭＳ 明朝" w:hAnsi="ＭＳ 明朝"/>
        </w:rPr>
      </w:pPr>
    </w:p>
    <w:p w14:paraId="1A6A4024" w14:textId="77777777" w:rsidR="008B4B2B" w:rsidRPr="008A3EDE" w:rsidRDefault="008B4B2B" w:rsidP="008B4B2B">
      <w:pPr>
        <w:pStyle w:val="ad"/>
        <w:wordWrap/>
        <w:overflowPunct w:val="0"/>
        <w:spacing w:line="240" w:lineRule="auto"/>
        <w:ind w:firstLineChars="400" w:firstLine="884"/>
        <w:rPr>
          <w:rFonts w:ascii="ＭＳ 明朝" w:hAnsi="ＭＳ 明朝"/>
        </w:rPr>
      </w:pPr>
      <w:r w:rsidRPr="008A3EDE">
        <w:rPr>
          <w:rFonts w:ascii="ＭＳ 明朝" w:hAnsi="ＭＳ 明朝" w:hint="eastAsia"/>
        </w:rPr>
        <w:t>(2)　学校給食の応急措置</w:t>
      </w:r>
      <w:r w:rsidRPr="008A3EDE">
        <w:rPr>
          <w:rFonts w:ascii="ＭＳ 明朝" w:hAnsi="ＭＳ 明朝" w:hint="eastAsia"/>
          <w:shd w:val="pct15" w:color="auto" w:fill="FFFFFF"/>
        </w:rPr>
        <w:t>【第５フェーズ～】</w:t>
      </w:r>
    </w:p>
    <w:p w14:paraId="792B71BA" w14:textId="77777777" w:rsidR="008B4B2B" w:rsidRPr="008A3EDE" w:rsidRDefault="008B4B2B" w:rsidP="008B4B2B">
      <w:pPr>
        <w:pStyle w:val="ad"/>
        <w:wordWrap/>
        <w:overflowPunct w:val="0"/>
        <w:spacing w:line="240" w:lineRule="auto"/>
        <w:ind w:leftChars="574" w:left="1212" w:rightChars="-53" w:right="-112" w:firstLineChars="100" w:firstLine="221"/>
        <w:rPr>
          <w:rFonts w:ascii="ＭＳ 明朝" w:hAnsi="ＭＳ 明朝"/>
        </w:rPr>
      </w:pPr>
      <w:r w:rsidRPr="008A3EDE">
        <w:rPr>
          <w:rFonts w:ascii="ＭＳ 明朝" w:hAnsi="ＭＳ 明朝" w:hint="eastAsia"/>
        </w:rPr>
        <w:t xml:space="preserve">学校長・准校長、府教育庁（保健体育課）は、学校給食の実施に支障がある場合は、速やかに学校給食用物資の確保、給食施設等の復旧などの措置を講ずる。　</w:t>
      </w:r>
    </w:p>
    <w:p w14:paraId="12B6E5CF" w14:textId="77777777" w:rsidR="008B4B2B" w:rsidRPr="008A3EDE" w:rsidRDefault="008B4B2B" w:rsidP="008B4B2B">
      <w:pPr>
        <w:pStyle w:val="ad"/>
        <w:wordWrap/>
        <w:overflowPunct w:val="0"/>
        <w:spacing w:line="240" w:lineRule="auto"/>
        <w:ind w:leftChars="574" w:left="1212" w:firstLineChars="100" w:firstLine="221"/>
        <w:rPr>
          <w:rFonts w:ascii="ＭＳ 明朝" w:hAnsi="ＭＳ 明朝"/>
        </w:rPr>
      </w:pPr>
    </w:p>
    <w:p w14:paraId="0D9AE5C8" w14:textId="77777777" w:rsidR="008B4B2B" w:rsidRPr="008A3EDE" w:rsidRDefault="008B4B2B" w:rsidP="008B4B2B">
      <w:pPr>
        <w:pStyle w:val="ad"/>
        <w:wordWrap/>
        <w:overflowPunct w:val="0"/>
        <w:spacing w:line="240" w:lineRule="auto"/>
        <w:ind w:firstLineChars="400" w:firstLine="884"/>
        <w:rPr>
          <w:rFonts w:ascii="ＭＳ 明朝" w:hAnsi="ＭＳ 明朝"/>
        </w:rPr>
      </w:pPr>
      <w:r w:rsidRPr="008A3EDE">
        <w:rPr>
          <w:rFonts w:ascii="ＭＳ 明朝" w:hAnsi="ＭＳ 明朝" w:hint="eastAsia"/>
        </w:rPr>
        <w:t>(3)　就学援助等</w:t>
      </w:r>
      <w:r w:rsidRPr="008A3EDE">
        <w:rPr>
          <w:rFonts w:ascii="ＭＳ 明朝" w:hAnsi="ＭＳ 明朝" w:hint="eastAsia"/>
          <w:shd w:val="pct15" w:color="auto" w:fill="FFFFFF"/>
        </w:rPr>
        <w:t>【第５フェーズ～】</w:t>
      </w:r>
    </w:p>
    <w:p w14:paraId="0A6DEA3F" w14:textId="77777777" w:rsidR="008B4B2B" w:rsidRPr="008A3EDE" w:rsidRDefault="008B4B2B" w:rsidP="008B4B2B">
      <w:pPr>
        <w:pStyle w:val="ad"/>
        <w:wordWrap/>
        <w:overflowPunct w:val="0"/>
        <w:spacing w:line="240" w:lineRule="auto"/>
        <w:ind w:firstLineChars="500" w:firstLine="1105"/>
        <w:rPr>
          <w:rFonts w:ascii="ＭＳ 明朝" w:hAnsi="ＭＳ 明朝"/>
        </w:rPr>
      </w:pPr>
      <w:r w:rsidRPr="008A3EDE">
        <w:rPr>
          <w:rFonts w:ascii="ＭＳ 明朝" w:hAnsi="ＭＳ 明朝" w:hint="eastAsia"/>
        </w:rPr>
        <w:t>①　就学援助等に関する措置</w:t>
      </w:r>
    </w:p>
    <w:p w14:paraId="35C03C64" w14:textId="77777777" w:rsidR="008B4B2B" w:rsidRPr="008A3EDE" w:rsidRDefault="008B4B2B" w:rsidP="008B4B2B">
      <w:pPr>
        <w:pStyle w:val="ad"/>
        <w:wordWrap/>
        <w:overflowPunct w:val="0"/>
        <w:spacing w:line="240" w:lineRule="auto"/>
        <w:ind w:leftChars="616" w:left="1300" w:firstLineChars="100" w:firstLine="221"/>
        <w:rPr>
          <w:rFonts w:ascii="ＭＳ 明朝" w:hAnsi="ＭＳ 明朝"/>
        </w:rPr>
      </w:pPr>
      <w:r w:rsidRPr="008A3EDE">
        <w:rPr>
          <w:rFonts w:ascii="ＭＳ 明朝" w:hAnsi="ＭＳ 明朝" w:hint="eastAsia"/>
        </w:rPr>
        <w:t>府教育庁（支援教育課、施設財務課）は、被災により就学及び学資の支弁が困難となった府立学校の幼児児童生徒に対し、就学奨励費の支給や授業料等の減額又は免除などの措置を講ずる。</w:t>
      </w:r>
    </w:p>
    <w:p w14:paraId="2AD9A970" w14:textId="77777777" w:rsidR="008B4B2B" w:rsidRPr="008A3EDE" w:rsidRDefault="008B4B2B" w:rsidP="008B4B2B">
      <w:pPr>
        <w:pStyle w:val="ad"/>
        <w:wordWrap/>
        <w:overflowPunct w:val="0"/>
        <w:spacing w:line="240" w:lineRule="auto"/>
        <w:ind w:leftChars="616" w:left="1300" w:firstLineChars="100" w:firstLine="221"/>
        <w:rPr>
          <w:rFonts w:ascii="ＭＳ 明朝" w:hAnsi="ＭＳ 明朝"/>
        </w:rPr>
      </w:pPr>
      <w:r w:rsidRPr="008A3EDE">
        <w:rPr>
          <w:rFonts w:ascii="ＭＳ 明朝" w:hAnsi="ＭＳ 明朝" w:hint="eastAsia"/>
        </w:rPr>
        <w:t>また、府教育庁（小中学校課）は、被災により就学が困難となった公立小中学校の児童生徒に対し、学用品を支給するため、市町村教育委員会と連絡</w:t>
      </w:r>
      <w:r w:rsidRPr="008A3EDE">
        <w:rPr>
          <w:rFonts w:ascii="ＭＳ 明朝" w:hAnsi="ＭＳ 明朝" w:hint="eastAsia"/>
        </w:rPr>
        <w:lastRenderedPageBreak/>
        <w:t>調整を行う。</w:t>
      </w:r>
    </w:p>
    <w:p w14:paraId="7B45F0BF" w14:textId="79C0D892" w:rsidR="008B4B2B" w:rsidRPr="008A3EDE" w:rsidRDefault="008B4B2B" w:rsidP="008B4B2B">
      <w:pPr>
        <w:pStyle w:val="ad"/>
        <w:wordWrap/>
        <w:overflowPunct w:val="0"/>
        <w:spacing w:line="240" w:lineRule="auto"/>
        <w:ind w:leftChars="630" w:left="1330" w:firstLineChars="100" w:firstLine="221"/>
        <w:rPr>
          <w:rFonts w:ascii="ＭＳ 明朝" w:hAnsi="ＭＳ 明朝"/>
          <w:u w:val="single"/>
        </w:rPr>
      </w:pPr>
      <w:r w:rsidRPr="008A3EDE">
        <w:rPr>
          <w:rFonts w:ascii="ＭＳ 明朝" w:hAnsi="ＭＳ 明朝" w:hint="eastAsia"/>
        </w:rPr>
        <w:t>私学</w:t>
      </w:r>
      <w:r w:rsidR="006074DC" w:rsidRPr="008A3EDE">
        <w:rPr>
          <w:rFonts w:ascii="ＭＳ 明朝" w:hAnsi="ＭＳ 明朝" w:hint="eastAsia"/>
        </w:rPr>
        <w:t>課は、私立学校の行う就学援助に対して、</w:t>
      </w:r>
      <w:r w:rsidRPr="008A3EDE">
        <w:rPr>
          <w:rFonts w:ascii="ＭＳ 明朝" w:hAnsi="ＭＳ 明朝" w:hint="eastAsia"/>
        </w:rPr>
        <w:t>支援するよう努める。</w:t>
      </w:r>
    </w:p>
    <w:p w14:paraId="4531BF08" w14:textId="77777777" w:rsidR="008B4B2B" w:rsidRPr="008A3EDE" w:rsidRDefault="008B4B2B" w:rsidP="008B4B2B">
      <w:pPr>
        <w:pStyle w:val="ad"/>
        <w:wordWrap/>
        <w:overflowPunct w:val="0"/>
        <w:spacing w:line="240" w:lineRule="auto"/>
        <w:ind w:leftChars="630" w:left="1330" w:firstLineChars="100" w:firstLine="221"/>
        <w:rPr>
          <w:rFonts w:ascii="ＭＳ 明朝" w:hAnsi="ＭＳ 明朝"/>
        </w:rPr>
      </w:pPr>
    </w:p>
    <w:p w14:paraId="1FFFFD8D" w14:textId="77777777" w:rsidR="00252C7D" w:rsidRPr="008A3EDE" w:rsidRDefault="00252C7D" w:rsidP="00252C7D">
      <w:pPr>
        <w:pStyle w:val="ad"/>
        <w:wordWrap/>
        <w:overflowPunct w:val="0"/>
        <w:spacing w:line="240" w:lineRule="auto"/>
        <w:ind w:firstLineChars="500" w:firstLine="1105"/>
        <w:rPr>
          <w:rFonts w:ascii="ＭＳ 明朝" w:hAnsi="ＭＳ 明朝"/>
        </w:rPr>
      </w:pPr>
      <w:r w:rsidRPr="008A3EDE">
        <w:rPr>
          <w:rFonts w:ascii="ＭＳ 明朝" w:hAnsi="ＭＳ 明朝" w:hint="eastAsia"/>
        </w:rPr>
        <w:t>②　幼児児童生徒の健康管理</w:t>
      </w:r>
    </w:p>
    <w:p w14:paraId="3AAEC74A" w14:textId="77777777" w:rsidR="00252C7D" w:rsidRPr="008A3EDE" w:rsidRDefault="00252C7D" w:rsidP="00252C7D">
      <w:pPr>
        <w:pStyle w:val="ad"/>
        <w:wordWrap/>
        <w:overflowPunct w:val="0"/>
        <w:spacing w:line="240" w:lineRule="auto"/>
        <w:ind w:leftChars="616" w:left="1300" w:firstLineChars="100" w:firstLine="221"/>
        <w:rPr>
          <w:rFonts w:ascii="ＭＳ 明朝" w:hAnsi="ＭＳ 明朝"/>
        </w:rPr>
      </w:pPr>
      <w:r w:rsidRPr="008A3EDE">
        <w:rPr>
          <w:rFonts w:ascii="ＭＳ 明朝" w:hAnsi="ＭＳ 明朝" w:hint="eastAsia"/>
        </w:rPr>
        <w:t>府教育庁（</w:t>
      </w:r>
      <w:r w:rsidRPr="008A3EDE">
        <w:rPr>
          <w:rFonts w:ascii="ＭＳ 明朝" w:hAnsi="ＭＳ 明朝" w:hint="eastAsia"/>
          <w:szCs w:val="21"/>
        </w:rPr>
        <w:t>教育振興室、小中学校課）及び</w:t>
      </w:r>
      <w:r w:rsidRPr="008A3EDE">
        <w:rPr>
          <w:rFonts w:ascii="ＭＳ 明朝" w:hAnsi="ＭＳ 明朝" w:hint="eastAsia"/>
        </w:rPr>
        <w:t xml:space="preserve">学校長・准校長は、被災幼児児童生徒の体と心の健康管理を図るため、保健所、子ども家庭センター等の専門機関との連携を図りながら、臨時健康診断、教職員によるカウンセリング、電話相談等を実施する。　</w:t>
      </w:r>
    </w:p>
    <w:p w14:paraId="12185B57" w14:textId="0B6A5C15" w:rsidR="008B4B2B" w:rsidRPr="008A3EDE" w:rsidRDefault="008B4B2B" w:rsidP="00252C7D">
      <w:pPr>
        <w:pStyle w:val="ad"/>
        <w:wordWrap/>
        <w:overflowPunct w:val="0"/>
        <w:spacing w:line="240" w:lineRule="auto"/>
        <w:rPr>
          <w:rFonts w:ascii="ＭＳ 明朝" w:hAnsi="ＭＳ 明朝"/>
        </w:rPr>
      </w:pPr>
      <w:r w:rsidRPr="008A3EDE">
        <w:rPr>
          <w:rFonts w:ascii="ＭＳ 明朝" w:hAnsi="ＭＳ 明朝" w:hint="eastAsia"/>
        </w:rPr>
        <w:t xml:space="preserve">　</w:t>
      </w:r>
    </w:p>
    <w:p w14:paraId="3014AEDD" w14:textId="77777777" w:rsidR="008B4B2B" w:rsidRPr="008A3EDE" w:rsidRDefault="008B4B2B" w:rsidP="008B4B2B">
      <w:pPr>
        <w:pStyle w:val="a0"/>
        <w:ind w:firstLineChars="200" w:firstLine="442"/>
        <w:rPr>
          <w:rFonts w:ascii="ＭＳ ゴシック" w:eastAsia="ＭＳ ゴシック"/>
          <w:sz w:val="22"/>
          <w:szCs w:val="22"/>
        </w:rPr>
      </w:pPr>
    </w:p>
    <w:p w14:paraId="2485110E" w14:textId="0EDB2E5E" w:rsidR="008B4B2B" w:rsidRPr="008A3EDE" w:rsidRDefault="008B4B2B" w:rsidP="00A911D7">
      <w:pPr>
        <w:pStyle w:val="a0"/>
        <w:rPr>
          <w:rFonts w:ascii="ＭＳ ゴシック" w:eastAsia="ＭＳ ゴシック"/>
          <w:sz w:val="22"/>
          <w:szCs w:val="22"/>
        </w:rPr>
      </w:pPr>
    </w:p>
    <w:p w14:paraId="098E87F2" w14:textId="1CD21AAE" w:rsidR="00BA52E1" w:rsidRPr="008A3EDE" w:rsidRDefault="00BA52E1">
      <w:pPr>
        <w:widowControl/>
        <w:jc w:val="left"/>
        <w:rPr>
          <w:rFonts w:ascii="ＭＳ ゴシック" w:eastAsia="ＭＳ ゴシック" w:hAnsi="Courier New" w:cs="Courier New"/>
          <w:sz w:val="22"/>
          <w:szCs w:val="22"/>
        </w:rPr>
      </w:pPr>
      <w:r w:rsidRPr="008A3EDE">
        <w:rPr>
          <w:rFonts w:ascii="ＭＳ ゴシック" w:eastAsia="ＭＳ ゴシック"/>
          <w:sz w:val="22"/>
          <w:szCs w:val="22"/>
        </w:rPr>
        <w:br w:type="page"/>
      </w:r>
    </w:p>
    <w:p w14:paraId="1FEC057A" w14:textId="3E9167C1" w:rsidR="008B4B2B" w:rsidRPr="008A3EDE" w:rsidRDefault="008B4B2B" w:rsidP="001F65EB">
      <w:pPr>
        <w:pStyle w:val="a0"/>
        <w:ind w:firstLineChars="200" w:firstLine="442"/>
        <w:outlineLvl w:val="2"/>
        <w:rPr>
          <w:rFonts w:ascii="ＭＳ ゴシック" w:eastAsia="ＭＳ ゴシック"/>
          <w:sz w:val="22"/>
          <w:szCs w:val="22"/>
          <w:u w:val="double"/>
        </w:rPr>
      </w:pPr>
      <w:bookmarkStart w:id="346" w:name="_Toc122436956"/>
      <w:bookmarkStart w:id="347" w:name="_Toc222486650"/>
      <w:bookmarkStart w:id="348" w:name="_Toc242870320"/>
      <w:r w:rsidRPr="008A3EDE">
        <w:rPr>
          <w:rFonts w:ascii="ＭＳ ゴシック" w:eastAsia="ＭＳ ゴシック" w:hint="eastAsia"/>
          <w:sz w:val="22"/>
          <w:szCs w:val="22"/>
          <w:u w:val="double"/>
        </w:rPr>
        <w:lastRenderedPageBreak/>
        <w:t>第５　自発的支援の受入れ</w:t>
      </w:r>
      <w:bookmarkEnd w:id="346"/>
      <w:bookmarkEnd w:id="347"/>
      <w:bookmarkEnd w:id="348"/>
    </w:p>
    <w:p w14:paraId="3C9AE66C" w14:textId="77777777" w:rsidR="00124241" w:rsidRPr="008A3EDE" w:rsidRDefault="009713C7" w:rsidP="00124241">
      <w:pPr>
        <w:pStyle w:val="a0"/>
        <w:rPr>
          <w:rFonts w:hAnsi="ＭＳ 明朝"/>
          <w:sz w:val="22"/>
          <w:szCs w:val="22"/>
        </w:rPr>
      </w:pPr>
      <w:r w:rsidRPr="008A3EDE">
        <w:rPr>
          <w:rFonts w:hAnsi="ＭＳ 明朝" w:hint="eastAsia"/>
          <w:noProof/>
          <w:sz w:val="22"/>
          <w:szCs w:val="22"/>
        </w:rPr>
        <mc:AlternateContent>
          <mc:Choice Requires="wps">
            <w:drawing>
              <wp:anchor distT="0" distB="0" distL="114300" distR="114300" simplePos="0" relativeHeight="254157824" behindDoc="0" locked="0" layoutInCell="1" allowOverlap="1" wp14:anchorId="1A648491" wp14:editId="73BD58A3">
                <wp:simplePos x="0" y="0"/>
                <wp:positionH relativeFrom="margin">
                  <wp:align>right</wp:align>
                </wp:positionH>
                <wp:positionV relativeFrom="paragraph">
                  <wp:posOffset>9525</wp:posOffset>
                </wp:positionV>
                <wp:extent cx="2171700" cy="657225"/>
                <wp:effectExtent l="0" t="0" r="19050" b="28575"/>
                <wp:wrapNone/>
                <wp:docPr id="4468" name="Text Box 264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71700" cy="657225"/>
                        </a:xfrm>
                        <a:prstGeom prst="rect">
                          <a:avLst/>
                        </a:prstGeom>
                        <a:solidFill>
                          <a:srgbClr val="FFFFFF"/>
                        </a:solidFill>
                        <a:ln w="9525">
                          <a:solidFill>
                            <a:srgbClr val="000000"/>
                          </a:solidFill>
                          <a:miter lim="800000"/>
                          <a:headEnd/>
                          <a:tailEnd/>
                        </a:ln>
                      </wps:spPr>
                      <wps:txbx>
                        <w:txbxContent>
                          <w:p w14:paraId="7CB271D9" w14:textId="77777777" w:rsidR="006A5267" w:rsidRPr="00AE430E" w:rsidRDefault="006A5267" w:rsidP="00124241">
                            <w:pPr>
                              <w:rPr>
                                <w:rFonts w:ascii="ＭＳ ゴシック" w:eastAsia="ＭＳ ゴシック" w:hAnsi="ＭＳ ゴシック"/>
                                <w:sz w:val="20"/>
                                <w:szCs w:val="20"/>
                              </w:rPr>
                            </w:pPr>
                            <w:r w:rsidRPr="00AE430E">
                              <w:rPr>
                                <w:rFonts w:ascii="ＭＳ ゴシック" w:eastAsia="ＭＳ ゴシック" w:hAnsi="ＭＳ ゴシック" w:hint="eastAsia"/>
                                <w:sz w:val="20"/>
                                <w:szCs w:val="20"/>
                              </w:rPr>
                              <w:t>全国</w:t>
                            </w:r>
                            <w:r w:rsidRPr="00AE430E">
                              <w:rPr>
                                <w:rFonts w:ascii="ＭＳ ゴシック" w:eastAsia="ＭＳ ゴシック" w:hAnsi="ＭＳ ゴシック"/>
                                <w:sz w:val="20"/>
                                <w:szCs w:val="20"/>
                              </w:rPr>
                              <w:t>災害ボランティア支援ネットワーク（JVOAD）</w:t>
                            </w:r>
                          </w:p>
                          <w:p w14:paraId="64C67C4E" w14:textId="77777777" w:rsidR="006A5267" w:rsidRPr="00AE430E" w:rsidRDefault="006A5267" w:rsidP="00124241">
                            <w:pPr>
                              <w:rPr>
                                <w:rFonts w:ascii="ＭＳ ゴシック" w:eastAsia="ＭＳ ゴシック" w:hAnsi="ＭＳ ゴシック"/>
                                <w:sz w:val="20"/>
                                <w:szCs w:val="20"/>
                              </w:rPr>
                            </w:pPr>
                            <w:r w:rsidRPr="00AE430E">
                              <w:rPr>
                                <w:rFonts w:ascii="ＭＳ ゴシック" w:eastAsia="ＭＳ ゴシック" w:hAnsi="ＭＳ ゴシック" w:hint="eastAsia"/>
                                <w:sz w:val="20"/>
                                <w:szCs w:val="20"/>
                              </w:rPr>
                              <w:t>広域</w:t>
                            </w:r>
                            <w:r w:rsidRPr="00AE430E">
                              <w:rPr>
                                <w:rFonts w:ascii="ＭＳ ゴシック" w:eastAsia="ＭＳ ゴシック" w:hAnsi="ＭＳ ゴシック"/>
                                <w:sz w:val="20"/>
                                <w:szCs w:val="20"/>
                              </w:rPr>
                              <w:t>的災害NPO法人</w:t>
                            </w:r>
                          </w:p>
                          <w:p w14:paraId="2D9B9A86" w14:textId="77777777" w:rsidR="006A5267" w:rsidRPr="00717905" w:rsidRDefault="006A5267" w:rsidP="00124241">
                            <w:pPr>
                              <w:rPr>
                                <w:rFonts w:ascii="ＭＳ ゴシック" w:eastAsia="ＭＳ ゴシック" w:hAnsi="ＭＳ ゴシック"/>
                                <w:color w:val="FF0000"/>
                                <w:sz w:val="20"/>
                                <w:szCs w:val="20"/>
                              </w:rPr>
                            </w:pP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shape w14:anchorId="1A648491" id="Text Box 2644" o:spid="_x0000_s1536" type="#_x0000_t202" style="position:absolute;left:0;text-align:left;margin-left:119.8pt;margin-top:.75pt;width:171pt;height:51.75pt;z-index:254157824;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">
                <v:textbox inset="5.85pt,.7pt,5.85pt,.7pt">
                  <w:txbxContent>
                    <w:p w14:paraId="7CB271D9" w14:textId="77777777" w:rsidR="006A5267" w:rsidRPr="00AE430E" w:rsidRDefault="006A5267" w:rsidP="00124241">
                      <w:pPr>
                        <w:rPr>
                          <w:rFonts w:ascii="ＭＳ ゴシック" w:eastAsia="ＭＳ ゴシック" w:hAnsi="ＭＳ ゴシック"/>
                          <w:sz w:val="20"/>
                          <w:szCs w:val="20"/>
                        </w:rPr>
                      </w:pPr>
                      <w:r w:rsidRPr="00AE430E">
                        <w:rPr>
                          <w:rFonts w:ascii="ＭＳ ゴシック" w:eastAsia="ＭＳ ゴシック" w:hAnsi="ＭＳ ゴシック" w:hint="eastAsia"/>
                          <w:sz w:val="20"/>
                          <w:szCs w:val="20"/>
                        </w:rPr>
                        <w:t>全国</w:t>
                      </w:r>
                      <w:r w:rsidRPr="00AE430E">
                        <w:rPr>
                          <w:rFonts w:ascii="ＭＳ ゴシック" w:eastAsia="ＭＳ ゴシック" w:hAnsi="ＭＳ ゴシック"/>
                          <w:sz w:val="20"/>
                          <w:szCs w:val="20"/>
                        </w:rPr>
                        <w:t>災害ボランティア支援ネットワーク（JVOAD）</w:t>
                      </w:r>
                    </w:p>
                    <w:p w14:paraId="64C67C4E" w14:textId="77777777" w:rsidR="006A5267" w:rsidRPr="00AE430E" w:rsidRDefault="006A5267" w:rsidP="00124241">
                      <w:pPr>
                        <w:rPr>
                          <w:rFonts w:ascii="ＭＳ ゴシック" w:eastAsia="ＭＳ ゴシック" w:hAnsi="ＭＳ ゴシック"/>
                          <w:sz w:val="20"/>
                          <w:szCs w:val="20"/>
                        </w:rPr>
                      </w:pPr>
                      <w:r w:rsidRPr="00AE430E">
                        <w:rPr>
                          <w:rFonts w:ascii="ＭＳ ゴシック" w:eastAsia="ＭＳ ゴシック" w:hAnsi="ＭＳ ゴシック" w:hint="eastAsia"/>
                          <w:sz w:val="20"/>
                          <w:szCs w:val="20"/>
                        </w:rPr>
                        <w:t>広域</w:t>
                      </w:r>
                      <w:r w:rsidRPr="00AE430E">
                        <w:rPr>
                          <w:rFonts w:ascii="ＭＳ ゴシック" w:eastAsia="ＭＳ ゴシック" w:hAnsi="ＭＳ ゴシック"/>
                          <w:sz w:val="20"/>
                          <w:szCs w:val="20"/>
                        </w:rPr>
                        <w:t>的災害NPO法人</w:t>
                      </w:r>
                    </w:p>
                    <w:p w14:paraId="2D9B9A86" w14:textId="77777777" w:rsidR="006A5267" w:rsidRPr="00717905" w:rsidRDefault="006A5267" w:rsidP="00124241">
                      <w:pPr>
                        <w:rPr>
                          <w:rFonts w:ascii="ＭＳ ゴシック" w:eastAsia="ＭＳ ゴシック" w:hAnsi="ＭＳ ゴシック"/>
                          <w:color w:val="FF0000"/>
                          <w:sz w:val="20"/>
                          <w:szCs w:val="20"/>
                        </w:rPr>
                      </w:pPr>
                    </w:p>
                  </w:txbxContent>
                </v:textbox>
                <w10:wrap anchorx="margin"/>
              </v:shape>
            </w:pict>
          </mc:Fallback>
        </mc:AlternateContent>
      </w:r>
    </w:p>
    <w:p w14:paraId="1D86938E" w14:textId="77777777" w:rsidR="00124241" w:rsidRPr="008A3EDE" w:rsidRDefault="00124241" w:rsidP="00124241">
      <w:pPr>
        <w:pStyle w:val="a0"/>
        <w:ind w:firstLineChars="200" w:firstLine="442"/>
        <w:rPr>
          <w:rFonts w:ascii="ＭＳ ゴシック" w:eastAsia="ＭＳ ゴシック" w:hAnsi="ＭＳ ゴシック"/>
          <w:sz w:val="22"/>
          <w:szCs w:val="22"/>
          <w:bdr w:val="single" w:sz="4" w:space="0" w:color="auto"/>
          <w:shd w:val="pct15" w:color="auto" w:fill="FFFFFF"/>
        </w:rPr>
      </w:pPr>
      <w:r w:rsidRPr="008A3EDE">
        <w:rPr>
          <w:rFonts w:ascii="ＭＳ ゴシック" w:eastAsia="ＭＳ ゴシック" w:hAnsi="ＭＳ ゴシック" w:hint="eastAsia"/>
          <w:sz w:val="22"/>
          <w:szCs w:val="22"/>
          <w:bdr w:val="single" w:sz="4" w:space="0" w:color="auto"/>
          <w:shd w:val="pct15" w:color="auto" w:fill="FFFFFF"/>
        </w:rPr>
        <w:t>災害時におけるボランティア活動支援</w:t>
      </w:r>
    </w:p>
    <w:p w14:paraId="4ED76BA7" w14:textId="77777777" w:rsidR="00124241" w:rsidRPr="008A3EDE" w:rsidRDefault="00124241" w:rsidP="00CD0F4E">
      <w:pPr>
        <w:pStyle w:val="a0"/>
        <w:rPr>
          <w:rFonts w:ascii="ＭＳ ゴシック" w:eastAsia="ＭＳ ゴシック" w:hAnsi="ＭＳ ゴシック"/>
          <w:sz w:val="22"/>
          <w:szCs w:val="22"/>
          <w:shd w:val="pct15" w:color="auto" w:fill="FFFFFF"/>
        </w:rPr>
      </w:pPr>
      <w:r w:rsidRPr="008A3EDE">
        <w:rPr>
          <w:rFonts w:hAnsi="ＭＳ 明朝" w:hint="eastAsia"/>
          <w:noProof/>
          <w:sz w:val="22"/>
          <w:szCs w:val="22"/>
        </w:rPr>
        <mc:AlternateContent>
          <mc:Choice Requires="wps">
            <w:drawing>
              <wp:anchor distT="0" distB="0" distL="114300" distR="114300" simplePos="0" relativeHeight="254158848" behindDoc="0" locked="0" layoutInCell="1" allowOverlap="1" wp14:anchorId="7F9E28F0" wp14:editId="41FE4BF1">
                <wp:simplePos x="0" y="0"/>
                <wp:positionH relativeFrom="column">
                  <wp:posOffset>4618989</wp:posOffset>
                </wp:positionH>
                <wp:positionV relativeFrom="paragraph">
                  <wp:posOffset>219075</wp:posOffset>
                </wp:positionV>
                <wp:extent cx="0" cy="247650"/>
                <wp:effectExtent l="76200" t="38100" r="57150" b="57150"/>
                <wp:wrapNone/>
                <wp:docPr id="4470" name="Line 265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0" cy="247650"/>
                        </a:xfrm>
                        <a:prstGeom prst="line">
                          <a:avLst/>
                        </a:prstGeom>
                        <a:noFill/>
                        <a:ln w="9525">
                          <a:solidFill>
                            <a:srgbClr val="000000"/>
                          </a:solidFill>
                          <a:round/>
                          <a:headEnd type="triangle" w="med" len="me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line w14:anchorId="4FF81AE5" id="Line 2658" o:spid="_x0000_s1026" style="position:absolute;left:0;text-align:left;flip:x;z-index:2541588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63.7pt,17.25pt" to="363.7pt,36.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">
                <v:stroke startarrow="block" endarrow="block"/>
              </v:line>
            </w:pict>
          </mc:Fallback>
        </mc:AlternateContent>
      </w:r>
    </w:p>
    <w:p w14:paraId="3949C0EE" w14:textId="707959DC" w:rsidR="00124241" w:rsidRPr="008A3EDE" w:rsidRDefault="00085B41" w:rsidP="00124241">
      <w:pPr>
        <w:pStyle w:val="a0"/>
        <w:rPr>
          <w:rFonts w:hAnsi="ＭＳ 明朝"/>
          <w:sz w:val="22"/>
          <w:szCs w:val="22"/>
        </w:rPr>
      </w:pPr>
      <w:r w:rsidRPr="008A3EDE">
        <w:rPr>
          <w:rFonts w:hAnsi="ＭＳ 明朝" w:hint="eastAsia"/>
          <w:noProof/>
          <w:sz w:val="22"/>
          <w:szCs w:val="22"/>
        </w:rPr>
        <mc:AlternateContent>
          <mc:Choice Requires="wps">
            <w:drawing>
              <wp:anchor distT="0" distB="0" distL="114300" distR="114300" simplePos="0" relativeHeight="254132224" behindDoc="0" locked="0" layoutInCell="1" allowOverlap="1" wp14:anchorId="0D39C89E" wp14:editId="53B43796">
                <wp:simplePos x="0" y="0"/>
                <wp:positionH relativeFrom="column">
                  <wp:posOffset>1256665</wp:posOffset>
                </wp:positionH>
                <wp:positionV relativeFrom="paragraph">
                  <wp:posOffset>227965</wp:posOffset>
                </wp:positionV>
                <wp:extent cx="2171700" cy="485775"/>
                <wp:effectExtent l="0" t="0" r="19050" b="28575"/>
                <wp:wrapNone/>
                <wp:docPr id="4953" name="Text Box 264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71700" cy="485775"/>
                        </a:xfrm>
                        <a:prstGeom prst="rect">
                          <a:avLst/>
                        </a:prstGeom>
                        <a:solidFill>
                          <a:srgbClr val="FFFFFF"/>
                        </a:solidFill>
                        <a:ln w="9525">
                          <a:solidFill>
                            <a:srgbClr val="000000"/>
                          </a:solidFill>
                          <a:miter lim="800000"/>
                          <a:headEnd/>
                          <a:tailEnd/>
                        </a:ln>
                      </wps:spPr>
                      <wps:txbx>
                        <w:txbxContent>
                          <w:p w14:paraId="6B63ACDD" w14:textId="77777777" w:rsidR="006A5267" w:rsidRPr="00A527AA" w:rsidRDefault="006A5267" w:rsidP="00124241">
                            <w:pPr>
                              <w:rPr>
                                <w:rFonts w:ascii="ＭＳ ゴシック" w:eastAsia="ＭＳ ゴシック" w:hAnsi="ＭＳ ゴシック"/>
                                <w:sz w:val="20"/>
                                <w:szCs w:val="20"/>
                              </w:rPr>
                            </w:pPr>
                            <w:r w:rsidRPr="00A527AA">
                              <w:rPr>
                                <w:rFonts w:ascii="ＭＳ ゴシック" w:eastAsia="ＭＳ ゴシック" w:hAnsi="ＭＳ ゴシック" w:hint="eastAsia"/>
                                <w:sz w:val="20"/>
                                <w:szCs w:val="20"/>
                              </w:rPr>
                              <w:t>全国社会福祉協議会</w:t>
                            </w:r>
                          </w:p>
                          <w:p w14:paraId="69EB7E3D" w14:textId="77777777" w:rsidR="006A5267" w:rsidRPr="00085B41" w:rsidRDefault="006A5267" w:rsidP="00124241">
                            <w:pPr>
                              <w:rPr>
                                <w:rFonts w:ascii="ＭＳ ゴシック" w:eastAsia="ＭＳ ゴシック" w:hAnsi="ＭＳ ゴシック"/>
                                <w:sz w:val="20"/>
                                <w:szCs w:val="20"/>
                              </w:rPr>
                            </w:pPr>
                            <w:r w:rsidRPr="00A527AA">
                              <w:rPr>
                                <w:rFonts w:ascii="ＭＳ ゴシック" w:eastAsia="ＭＳ ゴシック" w:hAnsi="ＭＳ ゴシック" w:hint="eastAsia"/>
                                <w:sz w:val="20"/>
                                <w:szCs w:val="20"/>
                              </w:rPr>
                              <w:t>近畿ブロック府県社会福祉協議会</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shape w14:anchorId="0D39C89E" id="Text Box 2643" o:spid="_x0000_s1537" type="#_x0000_t202" style="position:absolute;left:0;text-align:left;margin-left:98.95pt;margin-top:17.95pt;width:171pt;height:38.25pt;z-index:2541322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">
                <v:textbox inset="5.85pt,.7pt,5.85pt,.7pt">
                  <w:txbxContent>
                    <w:p w14:paraId="6B63ACDD" w14:textId="77777777" w:rsidR="006A5267" w:rsidRPr="00A527AA" w:rsidRDefault="006A5267" w:rsidP="00124241">
                      <w:pPr>
                        <w:rPr>
                          <w:rFonts w:ascii="ＭＳ ゴシック" w:eastAsia="ＭＳ ゴシック" w:hAnsi="ＭＳ ゴシック"/>
                          <w:sz w:val="20"/>
                          <w:szCs w:val="20"/>
                        </w:rPr>
                      </w:pPr>
                      <w:r w:rsidRPr="00A527AA">
                        <w:rPr>
                          <w:rFonts w:ascii="ＭＳ ゴシック" w:eastAsia="ＭＳ ゴシック" w:hAnsi="ＭＳ ゴシック" w:hint="eastAsia"/>
                          <w:sz w:val="20"/>
                          <w:szCs w:val="20"/>
                        </w:rPr>
                        <w:t>全国社会福祉協議会</w:t>
                      </w:r>
                    </w:p>
                    <w:p w14:paraId="69EB7E3D" w14:textId="77777777" w:rsidR="006A5267" w:rsidRPr="00085B41" w:rsidRDefault="006A5267" w:rsidP="00124241">
                      <w:pPr>
                        <w:rPr>
                          <w:rFonts w:ascii="ＭＳ ゴシック" w:eastAsia="ＭＳ ゴシック" w:hAnsi="ＭＳ ゴシック"/>
                          <w:sz w:val="20"/>
                          <w:szCs w:val="20"/>
                        </w:rPr>
                      </w:pPr>
                      <w:r w:rsidRPr="00A527AA">
                        <w:rPr>
                          <w:rFonts w:ascii="ＭＳ ゴシック" w:eastAsia="ＭＳ ゴシック" w:hAnsi="ＭＳ ゴシック" w:hint="eastAsia"/>
                          <w:sz w:val="20"/>
                          <w:szCs w:val="20"/>
                        </w:rPr>
                        <w:t>近畿ブロック府県社会福祉協議会</w:t>
                      </w:r>
                    </w:p>
                  </w:txbxContent>
                </v:textbox>
              </v:shape>
            </w:pict>
          </mc:Fallback>
        </mc:AlternateContent>
      </w:r>
      <w:r w:rsidR="00124241" w:rsidRPr="008A3EDE">
        <w:rPr>
          <w:rFonts w:hAnsi="ＭＳ 明朝" w:hint="eastAsia"/>
          <w:noProof/>
          <w:sz w:val="22"/>
          <w:szCs w:val="22"/>
        </w:rPr>
        <mc:AlternateContent>
          <mc:Choice Requires="wps">
            <w:drawing>
              <wp:anchor distT="0" distB="0" distL="114300" distR="114300" simplePos="0" relativeHeight="254160896" behindDoc="0" locked="0" layoutInCell="1" allowOverlap="1" wp14:anchorId="1F131D6A" wp14:editId="43C569EE">
                <wp:simplePos x="0" y="0"/>
                <wp:positionH relativeFrom="column">
                  <wp:posOffset>3592003</wp:posOffset>
                </wp:positionH>
                <wp:positionV relativeFrom="paragraph">
                  <wp:posOffset>13410</wp:posOffset>
                </wp:positionV>
                <wp:extent cx="7812" cy="1114185"/>
                <wp:effectExtent l="76200" t="38100" r="68580" b="48260"/>
                <wp:wrapNone/>
                <wp:docPr id="4478" name="Line 265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7812" cy="1114185"/>
                        </a:xfrm>
                        <a:prstGeom prst="line">
                          <a:avLst/>
                        </a:prstGeom>
                        <a:noFill/>
                        <a:ln w="9525">
                          <a:solidFill>
                            <a:srgbClr val="000000"/>
                          </a:solidFill>
                          <a:round/>
                          <a:headEnd type="triangle" w="med" len="me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line w14:anchorId="54042575" id="Line 2656" o:spid="_x0000_s1026" style="position:absolute;left:0;text-align:left;flip:x;z-index:2541608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82.85pt,1.05pt" to="283.45pt,88.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">
                <v:stroke startarrow="block" endarrow="block"/>
              </v:line>
            </w:pict>
          </mc:Fallback>
        </mc:AlternateContent>
      </w:r>
      <w:r w:rsidR="00124241" w:rsidRPr="008A3EDE">
        <w:rPr>
          <w:rFonts w:ascii="Century" w:hAnsi="ＭＳ 明朝" w:cs="Times New Roman" w:hint="eastAsia"/>
          <w:noProof/>
          <w:sz w:val="22"/>
          <w:szCs w:val="22"/>
        </w:rPr>
        <mc:AlternateContent>
          <mc:Choice Requires="wps">
            <w:drawing>
              <wp:anchor distT="0" distB="0" distL="114300" distR="114300" simplePos="0" relativeHeight="254159872" behindDoc="0" locked="0" layoutInCell="1" allowOverlap="1" wp14:anchorId="5981EB2E" wp14:editId="077DB3A5">
                <wp:simplePos x="0" y="0"/>
                <wp:positionH relativeFrom="column">
                  <wp:posOffset>4599940</wp:posOffset>
                </wp:positionH>
                <wp:positionV relativeFrom="paragraph">
                  <wp:posOffset>13970</wp:posOffset>
                </wp:positionV>
                <wp:extent cx="819150" cy="257175"/>
                <wp:effectExtent l="0" t="0" r="0" b="9525"/>
                <wp:wrapNone/>
                <wp:docPr id="4910" name="Text Box 266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19150" cy="2571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F75F0FB" w14:textId="77777777" w:rsidR="006A5267" w:rsidRPr="00AE430E" w:rsidRDefault="006A5267" w:rsidP="00124241">
                            <w:pPr>
                              <w:rPr>
                                <w:rFonts w:ascii="ＭＳ ゴシック" w:eastAsia="ＭＳ ゴシック" w:hAnsi="ＭＳ ゴシック"/>
                                <w:sz w:val="20"/>
                                <w:szCs w:val="20"/>
                              </w:rPr>
                            </w:pPr>
                            <w:r w:rsidRPr="00AE430E">
                              <w:rPr>
                                <w:rFonts w:ascii="ＭＳ ゴシック" w:eastAsia="ＭＳ ゴシック" w:hAnsi="ＭＳ ゴシック" w:hint="eastAsia"/>
                                <w:sz w:val="20"/>
                                <w:szCs w:val="20"/>
                              </w:rPr>
                              <w:t>連携・</w:t>
                            </w:r>
                            <w:r w:rsidRPr="00AE430E">
                              <w:rPr>
                                <w:rFonts w:ascii="ＭＳ ゴシック" w:eastAsia="ＭＳ ゴシック" w:hAnsi="ＭＳ ゴシック"/>
                                <w:sz w:val="20"/>
                                <w:szCs w:val="20"/>
                              </w:rPr>
                              <w:t>支援</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shape w14:anchorId="5981EB2E" id="Text Box 2668" o:spid="_x0000_s1538" type="#_x0000_t202" style="position:absolute;left:0;text-align:left;margin-left:362.2pt;margin-top:1.1pt;width:64.5pt;height:20.25pt;z-index:2541598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" filled="f" stroked="f">
                <v:textbox inset="5.85pt,.7pt,5.85pt,.7pt">
                  <w:txbxContent>
                    <w:p w14:paraId="3F75F0FB" w14:textId="77777777" w:rsidR="006A5267" w:rsidRPr="00AE430E" w:rsidRDefault="006A5267" w:rsidP="00124241">
                      <w:pPr>
                        <w:rPr>
                          <w:rFonts w:ascii="ＭＳ ゴシック" w:eastAsia="ＭＳ ゴシック" w:hAnsi="ＭＳ ゴシック"/>
                          <w:sz w:val="20"/>
                          <w:szCs w:val="20"/>
                        </w:rPr>
                      </w:pPr>
                      <w:r w:rsidRPr="00AE430E">
                        <w:rPr>
                          <w:rFonts w:ascii="ＭＳ ゴシック" w:eastAsia="ＭＳ ゴシック" w:hAnsi="ＭＳ ゴシック" w:hint="eastAsia"/>
                          <w:sz w:val="20"/>
                          <w:szCs w:val="20"/>
                        </w:rPr>
                        <w:t>連携・</w:t>
                      </w:r>
                      <w:r w:rsidRPr="00AE430E">
                        <w:rPr>
                          <w:rFonts w:ascii="ＭＳ ゴシック" w:eastAsia="ＭＳ ゴシック" w:hAnsi="ＭＳ ゴシック"/>
                          <w:sz w:val="20"/>
                          <w:szCs w:val="20"/>
                        </w:rPr>
                        <w:t>支援</w:t>
                      </w:r>
                    </w:p>
                  </w:txbxContent>
                </v:textbox>
              </v:shape>
            </w:pict>
          </mc:Fallback>
        </mc:AlternateContent>
      </w:r>
    </w:p>
    <w:p w14:paraId="5D7B4D71" w14:textId="7A79434E" w:rsidR="00124241" w:rsidRPr="008A3EDE" w:rsidRDefault="00AE430E" w:rsidP="00124241">
      <w:pPr>
        <w:pStyle w:val="a0"/>
        <w:rPr>
          <w:rFonts w:hAnsi="ＭＳ 明朝"/>
          <w:sz w:val="22"/>
          <w:szCs w:val="22"/>
        </w:rPr>
      </w:pPr>
      <w:r w:rsidRPr="008A3EDE">
        <w:rPr>
          <w:rFonts w:hAnsi="ＭＳ 明朝" w:hint="eastAsia"/>
          <w:noProof/>
          <w:sz w:val="22"/>
          <w:szCs w:val="22"/>
        </w:rPr>
        <mc:AlternateContent>
          <mc:Choice Requires="wps">
            <w:drawing>
              <wp:anchor distT="0" distB="0" distL="114300" distR="114300" simplePos="0" relativeHeight="254152704" behindDoc="0" locked="0" layoutInCell="1" allowOverlap="1" wp14:anchorId="69D98FAA" wp14:editId="7C616ECB">
                <wp:simplePos x="0" y="0"/>
                <wp:positionH relativeFrom="margin">
                  <wp:posOffset>3811660</wp:posOffset>
                </wp:positionH>
                <wp:positionV relativeFrom="paragraph">
                  <wp:posOffset>2967</wp:posOffset>
                </wp:positionV>
                <wp:extent cx="1981200" cy="467360"/>
                <wp:effectExtent l="0" t="0" r="19050" b="27940"/>
                <wp:wrapNone/>
                <wp:docPr id="3995" name="Text Box 264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81200" cy="467360"/>
                        </a:xfrm>
                        <a:prstGeom prst="rect">
                          <a:avLst/>
                        </a:prstGeom>
                        <a:solidFill>
                          <a:srgbClr val="FFFFFF"/>
                        </a:solidFill>
                        <a:ln w="9525">
                          <a:solidFill>
                            <a:srgbClr val="000000"/>
                          </a:solidFill>
                          <a:miter lim="800000"/>
                          <a:headEnd/>
                          <a:tailEnd/>
                        </a:ln>
                      </wps:spPr>
                      <wps:txbx>
                        <w:txbxContent>
                          <w:p w14:paraId="6EB1300A" w14:textId="77777777" w:rsidR="006A5267" w:rsidRPr="00AE430E" w:rsidRDefault="006A5267" w:rsidP="00124241">
                            <w:pPr>
                              <w:rPr>
                                <w:rFonts w:ascii="ＭＳ ゴシック" w:eastAsia="ＭＳ ゴシック" w:hAnsi="ＭＳ ゴシック"/>
                                <w:sz w:val="20"/>
                                <w:szCs w:val="20"/>
                              </w:rPr>
                            </w:pPr>
                            <w:r w:rsidRPr="00AE430E">
                              <w:rPr>
                                <w:rFonts w:ascii="ＭＳ ゴシック" w:eastAsia="ＭＳ ゴシック" w:hAnsi="ＭＳ ゴシック" w:hint="eastAsia"/>
                                <w:sz w:val="20"/>
                                <w:szCs w:val="20"/>
                              </w:rPr>
                              <w:t>おおさか災害支援</w:t>
                            </w:r>
                            <w:r w:rsidRPr="00AE430E">
                              <w:rPr>
                                <w:rFonts w:ascii="ＭＳ ゴシック" w:eastAsia="ＭＳ ゴシック" w:hAnsi="ＭＳ ゴシック"/>
                                <w:sz w:val="20"/>
                                <w:szCs w:val="20"/>
                              </w:rPr>
                              <w:t>ネットワーク</w:t>
                            </w:r>
                          </w:p>
                          <w:p w14:paraId="1E8CEDBD" w14:textId="77777777" w:rsidR="006A5267" w:rsidRPr="00AE430E" w:rsidRDefault="006A5267" w:rsidP="00124241">
                            <w:pPr>
                              <w:rPr>
                                <w:rFonts w:ascii="ＭＳ ゴシック" w:eastAsia="ＭＳ ゴシック" w:hAnsi="ＭＳ ゴシック"/>
                                <w:sz w:val="20"/>
                                <w:szCs w:val="20"/>
                              </w:rPr>
                            </w:pPr>
                            <w:r w:rsidRPr="00AE430E">
                              <w:rPr>
                                <w:rFonts w:ascii="ＭＳ ゴシック" w:eastAsia="ＭＳ ゴシック" w:hAnsi="ＭＳ ゴシック" w:hint="eastAsia"/>
                                <w:sz w:val="20"/>
                                <w:szCs w:val="20"/>
                              </w:rPr>
                              <w:t>（</w:t>
                            </w:r>
                            <w:r w:rsidRPr="00AE430E">
                              <w:rPr>
                                <w:rFonts w:ascii="ＭＳ ゴシック" w:eastAsia="ＭＳ ゴシック" w:hAnsi="ＭＳ ゴシック"/>
                                <w:sz w:val="20"/>
                                <w:szCs w:val="20"/>
                              </w:rPr>
                              <w:t>ＯＳＮ</w:t>
                            </w:r>
                            <w:r w:rsidRPr="00AE430E">
                              <w:rPr>
                                <w:rFonts w:ascii="ＭＳ ゴシック" w:eastAsia="ＭＳ ゴシック" w:hAnsi="ＭＳ ゴシック" w:hint="eastAsia"/>
                                <w:sz w:val="20"/>
                                <w:szCs w:val="20"/>
                              </w:rPr>
                              <w:t>）</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shape w14:anchorId="69D98FAA" id="_x0000_s1539" type="#_x0000_t202" style="position:absolute;left:0;text-align:left;margin-left:300.15pt;margin-top:.25pt;width:156pt;height:36.8pt;z-index:25415270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">
                <v:textbox inset="5.85pt,.7pt,5.85pt,.7pt">
                  <w:txbxContent>
                    <w:p w14:paraId="6EB1300A" w14:textId="77777777" w:rsidR="006A5267" w:rsidRPr="00AE430E" w:rsidRDefault="006A5267" w:rsidP="00124241">
                      <w:pPr>
                        <w:rPr>
                          <w:rFonts w:ascii="ＭＳ ゴシック" w:eastAsia="ＭＳ ゴシック" w:hAnsi="ＭＳ ゴシック"/>
                          <w:sz w:val="20"/>
                          <w:szCs w:val="20"/>
                        </w:rPr>
                      </w:pPr>
                      <w:r w:rsidRPr="00AE430E">
                        <w:rPr>
                          <w:rFonts w:ascii="ＭＳ ゴシック" w:eastAsia="ＭＳ ゴシック" w:hAnsi="ＭＳ ゴシック" w:hint="eastAsia"/>
                          <w:sz w:val="20"/>
                          <w:szCs w:val="20"/>
                        </w:rPr>
                        <w:t>おおさか災害支援</w:t>
                      </w:r>
                      <w:r w:rsidRPr="00AE430E">
                        <w:rPr>
                          <w:rFonts w:ascii="ＭＳ ゴシック" w:eastAsia="ＭＳ ゴシック" w:hAnsi="ＭＳ ゴシック"/>
                          <w:sz w:val="20"/>
                          <w:szCs w:val="20"/>
                        </w:rPr>
                        <w:t>ネットワーク</w:t>
                      </w:r>
                    </w:p>
                    <w:p w14:paraId="1E8CEDBD" w14:textId="77777777" w:rsidR="006A5267" w:rsidRPr="00AE430E" w:rsidRDefault="006A5267" w:rsidP="00124241">
                      <w:pPr>
                        <w:rPr>
                          <w:rFonts w:ascii="ＭＳ ゴシック" w:eastAsia="ＭＳ ゴシック" w:hAnsi="ＭＳ ゴシック"/>
                          <w:sz w:val="20"/>
                          <w:szCs w:val="20"/>
                        </w:rPr>
                      </w:pPr>
                      <w:r w:rsidRPr="00AE430E">
                        <w:rPr>
                          <w:rFonts w:ascii="ＭＳ ゴシック" w:eastAsia="ＭＳ ゴシック" w:hAnsi="ＭＳ ゴシック" w:hint="eastAsia"/>
                          <w:sz w:val="20"/>
                          <w:szCs w:val="20"/>
                        </w:rPr>
                        <w:t>（</w:t>
                      </w:r>
                      <w:r w:rsidRPr="00AE430E">
                        <w:rPr>
                          <w:rFonts w:ascii="ＭＳ ゴシック" w:eastAsia="ＭＳ ゴシック" w:hAnsi="ＭＳ ゴシック"/>
                          <w:sz w:val="20"/>
                          <w:szCs w:val="20"/>
                        </w:rPr>
                        <w:t>ＯＳＮ</w:t>
                      </w:r>
                      <w:r w:rsidRPr="00AE430E">
                        <w:rPr>
                          <w:rFonts w:ascii="ＭＳ ゴシック" w:eastAsia="ＭＳ ゴシック" w:hAnsi="ＭＳ ゴシック" w:hint="eastAsia"/>
                          <w:sz w:val="20"/>
                          <w:szCs w:val="20"/>
                        </w:rPr>
                        <w:t>）</w:t>
                      </w:r>
                    </w:p>
                  </w:txbxContent>
                </v:textbox>
                <w10:wrap anchorx="margin"/>
              </v:shape>
            </w:pict>
          </mc:Fallback>
        </mc:AlternateContent>
      </w:r>
    </w:p>
    <w:p w14:paraId="5E56BFDD" w14:textId="77777777" w:rsidR="00124241" w:rsidRPr="008A3EDE" w:rsidRDefault="00124241" w:rsidP="00124241">
      <w:pPr>
        <w:pStyle w:val="a0"/>
        <w:rPr>
          <w:rFonts w:hAnsi="ＭＳ 明朝"/>
          <w:sz w:val="22"/>
          <w:szCs w:val="22"/>
        </w:rPr>
      </w:pPr>
    </w:p>
    <w:p w14:paraId="410B7CFE" w14:textId="77777777" w:rsidR="00124241" w:rsidRPr="008A3EDE" w:rsidRDefault="00085B41" w:rsidP="00124241">
      <w:pPr>
        <w:pStyle w:val="a0"/>
        <w:rPr>
          <w:rFonts w:hAnsi="ＭＳ 明朝"/>
          <w:sz w:val="22"/>
          <w:szCs w:val="22"/>
        </w:rPr>
      </w:pPr>
      <w:r w:rsidRPr="008A3EDE">
        <w:rPr>
          <w:rFonts w:hAnsi="ＭＳ 明朝" w:hint="eastAsia"/>
          <w:noProof/>
          <w:sz w:val="22"/>
          <w:szCs w:val="22"/>
        </w:rPr>
        <mc:AlternateContent>
          <mc:Choice Requires="wps">
            <w:drawing>
              <wp:anchor distT="0" distB="0" distL="114300" distR="114300" simplePos="0" relativeHeight="254137344" behindDoc="0" locked="0" layoutInCell="1" allowOverlap="1" wp14:anchorId="15361CB4" wp14:editId="40E4683E">
                <wp:simplePos x="0" y="0"/>
                <wp:positionH relativeFrom="page">
                  <wp:align>center</wp:align>
                </wp:positionH>
                <wp:positionV relativeFrom="paragraph">
                  <wp:posOffset>45085</wp:posOffset>
                </wp:positionV>
                <wp:extent cx="0" cy="394970"/>
                <wp:effectExtent l="76200" t="38100" r="57150" b="62230"/>
                <wp:wrapNone/>
                <wp:docPr id="4954" name="Line 265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394970"/>
                        </a:xfrm>
                        <a:prstGeom prst="line">
                          <a:avLst/>
                        </a:prstGeom>
                        <a:noFill/>
                        <a:ln w="9525">
                          <a:solidFill>
                            <a:srgbClr val="000000"/>
                          </a:solidFill>
                          <a:round/>
                          <a:headEnd type="triangle" w="med" len="me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line w14:anchorId="04BBD87D" id="Line 2656" o:spid="_x0000_s1026" style="position:absolute;left:0;text-align:left;z-index:254137344;visibility:visible;mso-wrap-style:square;mso-width-percent:0;mso-height-percent:0;mso-wrap-distance-left:9pt;mso-wrap-distance-top:0;mso-wrap-distance-right:9pt;mso-wrap-distance-bottom:0;mso-position-horizontal:center;mso-position-horizontal-relative:page;mso-position-vertical:absolute;mso-position-vertical-relative:text;mso-width-percent:0;mso-height-percent:0;mso-width-relative:page;mso-height-relative:page" from="0,3.55pt" to="0,34.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">
                <v:stroke startarrow="block" endarrow="block"/>
                <w10:wrap anchorx="page"/>
              </v:line>
            </w:pict>
          </mc:Fallback>
        </mc:AlternateContent>
      </w:r>
      <w:r w:rsidR="00124241" w:rsidRPr="008A3EDE">
        <w:rPr>
          <w:rFonts w:hAnsi="ＭＳ 明朝" w:hint="eastAsia"/>
          <w:noProof/>
          <w:sz w:val="22"/>
          <w:szCs w:val="22"/>
        </w:rPr>
        <mc:AlternateContent>
          <mc:Choice Requires="wps">
            <w:drawing>
              <wp:anchor distT="0" distB="0" distL="114300" distR="114300" simplePos="0" relativeHeight="254143488" behindDoc="0" locked="0" layoutInCell="1" allowOverlap="1" wp14:anchorId="5BA63E8B" wp14:editId="157FEE2A">
                <wp:simplePos x="0" y="0"/>
                <wp:positionH relativeFrom="column">
                  <wp:posOffset>2828205</wp:posOffset>
                </wp:positionH>
                <wp:positionV relativeFrom="paragraph">
                  <wp:posOffset>129348</wp:posOffset>
                </wp:positionV>
                <wp:extent cx="685800" cy="228600"/>
                <wp:effectExtent l="0" t="0" r="0" b="0"/>
                <wp:wrapNone/>
                <wp:docPr id="4955" name="Text Box 266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5800" cy="2286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6E8724D4" w14:textId="77777777" w:rsidR="006A5267" w:rsidRPr="0028754B" w:rsidRDefault="006A5267" w:rsidP="00124241">
                            <w:pPr>
                              <w:rPr>
                                <w:rFonts w:ascii="ＭＳ ゴシック" w:eastAsia="ＭＳ ゴシック" w:hAnsi="ＭＳ ゴシック"/>
                                <w:sz w:val="20"/>
                                <w:szCs w:val="20"/>
                              </w:rPr>
                            </w:pPr>
                            <w:r>
                              <w:rPr>
                                <w:rFonts w:ascii="ＭＳ ゴシック" w:eastAsia="ＭＳ ゴシック" w:hAnsi="ＭＳ ゴシック" w:hint="eastAsia"/>
                                <w:sz w:val="20"/>
                                <w:szCs w:val="20"/>
                              </w:rPr>
                              <w:t>広域連携</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shape w14:anchorId="5BA63E8B" id="Text Box 2662" o:spid="_x0000_s1540" type="#_x0000_t202" style="position:absolute;left:0;text-align:left;margin-left:222.7pt;margin-top:10.2pt;width:54pt;height:18pt;z-index:2541434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" stroked="f">
                <v:textbox inset="5.85pt,.7pt,5.85pt,.7pt">
                  <w:txbxContent>
                    <w:p w14:paraId="6E8724D4" w14:textId="77777777" w:rsidR="006A5267" w:rsidRPr="0028754B" w:rsidRDefault="006A5267" w:rsidP="00124241">
                      <w:pPr>
                        <w:rPr>
                          <w:rFonts w:ascii="ＭＳ ゴシック" w:eastAsia="ＭＳ ゴシック" w:hAnsi="ＭＳ ゴシック"/>
                          <w:sz w:val="20"/>
                          <w:szCs w:val="20"/>
                        </w:rPr>
                      </w:pPr>
                      <w:r>
                        <w:rPr>
                          <w:rFonts w:ascii="ＭＳ ゴシック" w:eastAsia="ＭＳ ゴシック" w:hAnsi="ＭＳ ゴシック" w:hint="eastAsia"/>
                          <w:sz w:val="20"/>
                          <w:szCs w:val="20"/>
                        </w:rPr>
                        <w:t>広域連携</w:t>
                      </w:r>
                    </w:p>
                  </w:txbxContent>
                </v:textbox>
              </v:shape>
            </w:pict>
          </mc:Fallback>
        </mc:AlternateContent>
      </w:r>
      <w:r w:rsidR="00124241" w:rsidRPr="008A3EDE">
        <w:rPr>
          <w:rFonts w:hAnsi="ＭＳ 明朝" w:hint="eastAsia"/>
          <w:noProof/>
          <w:sz w:val="22"/>
          <w:szCs w:val="22"/>
        </w:rPr>
        <mc:AlternateContent>
          <mc:Choice Requires="wps">
            <w:drawing>
              <wp:anchor distT="0" distB="0" distL="114300" distR="114300" simplePos="0" relativeHeight="254154752" behindDoc="0" locked="0" layoutInCell="1" allowOverlap="1" wp14:anchorId="68CA20AC" wp14:editId="67E07A5A">
                <wp:simplePos x="0" y="0"/>
                <wp:positionH relativeFrom="column">
                  <wp:posOffset>3903857</wp:posOffset>
                </wp:positionH>
                <wp:positionV relativeFrom="paragraph">
                  <wp:posOffset>46355</wp:posOffset>
                </wp:positionV>
                <wp:extent cx="9525" cy="385445"/>
                <wp:effectExtent l="76200" t="38100" r="85725" b="52705"/>
                <wp:wrapNone/>
                <wp:docPr id="4151" name="Line 265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9525" cy="385445"/>
                        </a:xfrm>
                        <a:prstGeom prst="line">
                          <a:avLst/>
                        </a:prstGeom>
                        <a:noFill/>
                        <a:ln w="9525">
                          <a:solidFill>
                            <a:srgbClr val="000000"/>
                          </a:solidFill>
                          <a:round/>
                          <a:headEnd type="triangle" w="med" len="me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line w14:anchorId="065925F8" id="Line 2658" o:spid="_x0000_s1026" style="position:absolute;left:0;text-align:left;z-index:254154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07.4pt,3.65pt" to="308.15pt,3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">
                <v:stroke startarrow="block" endarrow="block"/>
              </v:line>
            </w:pict>
          </mc:Fallback>
        </mc:AlternateContent>
      </w:r>
      <w:r w:rsidR="00124241" w:rsidRPr="008A3EDE">
        <w:rPr>
          <w:rFonts w:hAnsi="ＭＳ 明朝" w:hint="eastAsia"/>
          <w:noProof/>
          <w:sz w:val="22"/>
          <w:szCs w:val="22"/>
        </w:rPr>
        <mc:AlternateContent>
          <mc:Choice Requires="wps">
            <w:drawing>
              <wp:anchor distT="0" distB="0" distL="114300" distR="114300" simplePos="0" relativeHeight="254155776" behindDoc="0" locked="0" layoutInCell="1" allowOverlap="1" wp14:anchorId="16B2A51E" wp14:editId="29C2B845">
                <wp:simplePos x="0" y="0"/>
                <wp:positionH relativeFrom="column">
                  <wp:posOffset>3898847</wp:posOffset>
                </wp:positionH>
                <wp:positionV relativeFrom="paragraph">
                  <wp:posOffset>118745</wp:posOffset>
                </wp:positionV>
                <wp:extent cx="457200" cy="228600"/>
                <wp:effectExtent l="0" t="0" r="0" b="0"/>
                <wp:wrapNone/>
                <wp:docPr id="4173" name="Text Box 266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57200" cy="2286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557F85C" w14:textId="77777777" w:rsidR="006A5267" w:rsidRPr="00AE430E" w:rsidRDefault="006A5267" w:rsidP="00124241">
                            <w:pPr>
                              <w:rPr>
                                <w:rFonts w:ascii="ＭＳ ゴシック" w:eastAsia="ＭＳ ゴシック" w:hAnsi="ＭＳ ゴシック"/>
                                <w:sz w:val="20"/>
                                <w:szCs w:val="20"/>
                              </w:rPr>
                            </w:pPr>
                            <w:r w:rsidRPr="00AE430E">
                              <w:rPr>
                                <w:rFonts w:ascii="ＭＳ ゴシック" w:eastAsia="ＭＳ ゴシック" w:hAnsi="ＭＳ ゴシック" w:hint="eastAsia"/>
                                <w:sz w:val="20"/>
                                <w:szCs w:val="20"/>
                              </w:rPr>
                              <w:t>連携</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shape w14:anchorId="16B2A51E" id="_x0000_s1541" type="#_x0000_t202" style="position:absolute;left:0;text-align:left;margin-left:307pt;margin-top:9.35pt;width:36pt;height:18pt;z-index:254155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" filled="f" stroked="f">
                <v:textbox inset="5.85pt,.7pt,5.85pt,.7pt">
                  <w:txbxContent>
                    <w:p w14:paraId="0557F85C" w14:textId="77777777" w:rsidR="006A5267" w:rsidRPr="00AE430E" w:rsidRDefault="006A5267" w:rsidP="00124241">
                      <w:pPr>
                        <w:rPr>
                          <w:rFonts w:ascii="ＭＳ ゴシック" w:eastAsia="ＭＳ ゴシック" w:hAnsi="ＭＳ ゴシック"/>
                          <w:sz w:val="20"/>
                          <w:szCs w:val="20"/>
                        </w:rPr>
                      </w:pPr>
                      <w:r w:rsidRPr="00AE430E">
                        <w:rPr>
                          <w:rFonts w:ascii="ＭＳ ゴシック" w:eastAsia="ＭＳ ゴシック" w:hAnsi="ＭＳ ゴシック" w:hint="eastAsia"/>
                          <w:sz w:val="20"/>
                          <w:szCs w:val="20"/>
                        </w:rPr>
                        <w:t>連携</w:t>
                      </w:r>
                    </w:p>
                  </w:txbxContent>
                </v:textbox>
              </v:shape>
            </w:pict>
          </mc:Fallback>
        </mc:AlternateContent>
      </w:r>
      <w:r w:rsidR="00124241" w:rsidRPr="008A3EDE">
        <w:rPr>
          <w:rFonts w:hAnsi="ＭＳ 明朝" w:hint="eastAsia"/>
          <w:noProof/>
          <w:sz w:val="22"/>
          <w:szCs w:val="22"/>
        </w:rPr>
        <mc:AlternateContent>
          <mc:Choice Requires="wps">
            <w:drawing>
              <wp:anchor distT="0" distB="0" distL="114300" distR="114300" simplePos="0" relativeHeight="254156800" behindDoc="0" locked="0" layoutInCell="1" allowOverlap="1" wp14:anchorId="4FA9E23C" wp14:editId="2E240649">
                <wp:simplePos x="0" y="0"/>
                <wp:positionH relativeFrom="margin">
                  <wp:posOffset>5174615</wp:posOffset>
                </wp:positionH>
                <wp:positionV relativeFrom="paragraph">
                  <wp:posOffset>118745</wp:posOffset>
                </wp:positionV>
                <wp:extent cx="457200" cy="228600"/>
                <wp:effectExtent l="0" t="0" r="0" b="0"/>
                <wp:wrapNone/>
                <wp:docPr id="4465" name="Text Box 266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57200" cy="2286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D09FC9F" w14:textId="77777777" w:rsidR="006A5267" w:rsidRPr="00AE430E" w:rsidRDefault="006A5267" w:rsidP="00124241">
                            <w:pPr>
                              <w:rPr>
                                <w:rFonts w:ascii="ＭＳ ゴシック" w:eastAsia="ＭＳ ゴシック" w:hAnsi="ＭＳ ゴシック"/>
                                <w:sz w:val="20"/>
                                <w:szCs w:val="20"/>
                              </w:rPr>
                            </w:pPr>
                            <w:r w:rsidRPr="00AE430E">
                              <w:rPr>
                                <w:rFonts w:ascii="ＭＳ ゴシック" w:eastAsia="ＭＳ ゴシック" w:hAnsi="ＭＳ ゴシック" w:hint="eastAsia"/>
                                <w:sz w:val="20"/>
                                <w:szCs w:val="20"/>
                              </w:rPr>
                              <w:t>連携</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shape w14:anchorId="4FA9E23C" id="_x0000_s1542" type="#_x0000_t202" style="position:absolute;left:0;text-align:left;margin-left:407.45pt;margin-top:9.35pt;width:36pt;height:18pt;z-index:25415680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" filled="f" stroked="f">
                <v:textbox inset="5.85pt,.7pt,5.85pt,.7pt">
                  <w:txbxContent>
                    <w:p w14:paraId="0D09FC9F" w14:textId="77777777" w:rsidR="006A5267" w:rsidRPr="00AE430E" w:rsidRDefault="006A5267" w:rsidP="00124241">
                      <w:pPr>
                        <w:rPr>
                          <w:rFonts w:ascii="ＭＳ ゴシック" w:eastAsia="ＭＳ ゴシック" w:hAnsi="ＭＳ ゴシック"/>
                          <w:sz w:val="20"/>
                          <w:szCs w:val="20"/>
                        </w:rPr>
                      </w:pPr>
                      <w:r w:rsidRPr="00AE430E">
                        <w:rPr>
                          <w:rFonts w:ascii="ＭＳ ゴシック" w:eastAsia="ＭＳ ゴシック" w:hAnsi="ＭＳ ゴシック" w:hint="eastAsia"/>
                          <w:sz w:val="20"/>
                          <w:szCs w:val="20"/>
                        </w:rPr>
                        <w:t>連携</w:t>
                      </w:r>
                    </w:p>
                  </w:txbxContent>
                </v:textbox>
                <w10:wrap anchorx="margin"/>
              </v:shape>
            </w:pict>
          </mc:Fallback>
        </mc:AlternateContent>
      </w:r>
      <w:r w:rsidR="00124241" w:rsidRPr="008A3EDE">
        <w:rPr>
          <w:rFonts w:hAnsi="ＭＳ 明朝" w:hint="eastAsia"/>
          <w:noProof/>
          <w:sz w:val="22"/>
          <w:szCs w:val="22"/>
        </w:rPr>
        <mc:AlternateContent>
          <mc:Choice Requires="wps">
            <w:drawing>
              <wp:anchor distT="0" distB="0" distL="114300" distR="114300" simplePos="0" relativeHeight="254153728" behindDoc="0" locked="0" layoutInCell="1" allowOverlap="1" wp14:anchorId="47B07B13" wp14:editId="3711E27B">
                <wp:simplePos x="0" y="0"/>
                <wp:positionH relativeFrom="column">
                  <wp:posOffset>5209539</wp:posOffset>
                </wp:positionH>
                <wp:positionV relativeFrom="paragraph">
                  <wp:posOffset>55880</wp:posOffset>
                </wp:positionV>
                <wp:extent cx="9525" cy="385445"/>
                <wp:effectExtent l="76200" t="38100" r="85725" b="52705"/>
                <wp:wrapNone/>
                <wp:docPr id="4148" name="Line 265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9525" cy="385445"/>
                        </a:xfrm>
                        <a:prstGeom prst="line">
                          <a:avLst/>
                        </a:prstGeom>
                        <a:noFill/>
                        <a:ln w="9525">
                          <a:solidFill>
                            <a:srgbClr val="000000"/>
                          </a:solidFill>
                          <a:round/>
                          <a:headEnd type="triangle" w="med" len="me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line w14:anchorId="405E0F97" id="Line 2658" o:spid="_x0000_s1026" style="position:absolute;left:0;text-align:left;z-index:254153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10.2pt,4.4pt" to="410.95pt,34.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">
                <v:stroke startarrow="block" endarrow="block"/>
              </v:line>
            </w:pict>
          </mc:Fallback>
        </mc:AlternateContent>
      </w:r>
      <w:r w:rsidR="00124241" w:rsidRPr="008A3EDE">
        <w:rPr>
          <w:rFonts w:hAnsi="ＭＳ 明朝" w:hint="eastAsia"/>
          <w:noProof/>
          <w:sz w:val="22"/>
          <w:szCs w:val="22"/>
        </w:rPr>
        <mc:AlternateContent>
          <mc:Choice Requires="wps">
            <w:drawing>
              <wp:anchor distT="0" distB="0" distL="114300" distR="114300" simplePos="0" relativeHeight="254127104" behindDoc="0" locked="0" layoutInCell="1" allowOverlap="1" wp14:anchorId="1DCB0625" wp14:editId="442A58DB">
                <wp:simplePos x="0" y="0"/>
                <wp:positionH relativeFrom="column">
                  <wp:posOffset>4572000</wp:posOffset>
                </wp:positionH>
                <wp:positionV relativeFrom="paragraph">
                  <wp:posOffset>1828165</wp:posOffset>
                </wp:positionV>
                <wp:extent cx="1257300" cy="457200"/>
                <wp:effectExtent l="0" t="0" r="19050" b="19050"/>
                <wp:wrapNone/>
                <wp:docPr id="4956" name="AutoShape 264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57300" cy="457200"/>
                        </a:xfrm>
                        <a:prstGeom prst="roundRect">
                          <a:avLst>
                            <a:gd name="adj" fmla="val 16667"/>
                          </a:avLst>
                        </a:prstGeom>
                        <a:solidFill>
                          <a:srgbClr val="FFFFFF"/>
                        </a:solidFill>
                        <a:ln w="9525">
                          <a:solidFill>
                            <a:srgbClr val="000000"/>
                          </a:solidFill>
                          <a:prstDash val="dash"/>
                          <a:round/>
                          <a:headEnd/>
                          <a:tailEnd/>
                        </a:ln>
                      </wps:spPr>
                      <wps:txbx>
                        <w:txbxContent>
                          <w:p w14:paraId="01F78BF8" w14:textId="77777777" w:rsidR="006A5267" w:rsidRDefault="006A5267" w:rsidP="00124241">
                            <w:pPr>
                              <w:spacing w:line="300" w:lineRule="exact"/>
                              <w:jc w:val="center"/>
                              <w:rPr>
                                <w:rFonts w:ascii="ＭＳ ゴシック" w:eastAsia="ＭＳ ゴシック" w:hAnsi="ＭＳ ゴシック"/>
                                <w:sz w:val="20"/>
                                <w:szCs w:val="20"/>
                              </w:rPr>
                            </w:pPr>
                            <w:r>
                              <w:rPr>
                                <w:rFonts w:ascii="ＭＳ ゴシック" w:eastAsia="ＭＳ ゴシック" w:hAnsi="ＭＳ ゴシック" w:hint="eastAsia"/>
                                <w:sz w:val="20"/>
                                <w:szCs w:val="20"/>
                              </w:rPr>
                              <w:t>被災市町村</w:t>
                            </w:r>
                          </w:p>
                          <w:p w14:paraId="10C14B90" w14:textId="77777777" w:rsidR="006A5267" w:rsidRPr="00A527AA" w:rsidRDefault="006A5267" w:rsidP="00124241">
                            <w:pPr>
                              <w:spacing w:line="300" w:lineRule="exact"/>
                              <w:jc w:val="center"/>
                              <w:rPr>
                                <w:rFonts w:ascii="ＭＳ ゴシック" w:eastAsia="ＭＳ ゴシック" w:hAnsi="ＭＳ ゴシック"/>
                                <w:sz w:val="20"/>
                                <w:szCs w:val="20"/>
                              </w:rPr>
                            </w:pPr>
                            <w:r>
                              <w:rPr>
                                <w:rFonts w:ascii="ＭＳ ゴシック" w:eastAsia="ＭＳ ゴシック" w:hAnsi="ＭＳ ゴシック" w:hint="eastAsia"/>
                                <w:sz w:val="20"/>
                                <w:szCs w:val="20"/>
                              </w:rPr>
                              <w:t>災害対策本部</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roundrect w14:anchorId="1DCB0625" id="AutoShape 2647" o:spid="_x0000_s1543" style="position:absolute;left:0;text-align:left;margin-left:5in;margin-top:143.95pt;width:99pt;height:36pt;z-index:2541271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">
                <v:stroke dashstyle="dash"/>
                <v:textbox inset="5.85pt,.7pt,5.85pt,.7pt">
                  <w:txbxContent>
                    <w:p w14:paraId="01F78BF8" w14:textId="77777777" w:rsidR="006A5267" w:rsidRDefault="006A5267" w:rsidP="00124241">
                      <w:pPr>
                        <w:spacing w:line="300" w:lineRule="exact"/>
                        <w:jc w:val="center"/>
                        <w:rPr>
                          <w:rFonts w:ascii="ＭＳ ゴシック" w:eastAsia="ＭＳ ゴシック" w:hAnsi="ＭＳ ゴシック"/>
                          <w:sz w:val="20"/>
                          <w:szCs w:val="20"/>
                        </w:rPr>
                      </w:pPr>
                      <w:r>
                        <w:rPr>
                          <w:rFonts w:ascii="ＭＳ ゴシック" w:eastAsia="ＭＳ ゴシック" w:hAnsi="ＭＳ ゴシック" w:hint="eastAsia"/>
                          <w:sz w:val="20"/>
                          <w:szCs w:val="20"/>
                        </w:rPr>
                        <w:t>被災市町村</w:t>
                      </w:r>
                    </w:p>
                    <w:p w14:paraId="10C14B90" w14:textId="77777777" w:rsidR="006A5267" w:rsidRPr="00A527AA" w:rsidRDefault="006A5267" w:rsidP="00124241">
                      <w:pPr>
                        <w:spacing w:line="300" w:lineRule="exact"/>
                        <w:jc w:val="center"/>
                        <w:rPr>
                          <w:rFonts w:ascii="ＭＳ ゴシック" w:eastAsia="ＭＳ ゴシック" w:hAnsi="ＭＳ ゴシック"/>
                          <w:sz w:val="20"/>
                          <w:szCs w:val="20"/>
                        </w:rPr>
                      </w:pPr>
                      <w:r>
                        <w:rPr>
                          <w:rFonts w:ascii="ＭＳ ゴシック" w:eastAsia="ＭＳ ゴシック" w:hAnsi="ＭＳ ゴシック" w:hint="eastAsia"/>
                          <w:sz w:val="20"/>
                          <w:szCs w:val="20"/>
                        </w:rPr>
                        <w:t>災害対策本部</w:t>
                      </w:r>
                    </w:p>
                  </w:txbxContent>
                </v:textbox>
              </v:roundrect>
            </w:pict>
          </mc:Fallback>
        </mc:AlternateContent>
      </w:r>
      <w:r w:rsidR="00124241" w:rsidRPr="008A3EDE">
        <w:rPr>
          <w:rFonts w:hAnsi="ＭＳ 明朝" w:hint="eastAsia"/>
          <w:noProof/>
          <w:sz w:val="22"/>
          <w:szCs w:val="22"/>
        </w:rPr>
        <mc:AlternateContent>
          <mc:Choice Requires="wps">
            <w:drawing>
              <wp:anchor distT="0" distB="0" distL="114300" distR="114300" simplePos="0" relativeHeight="254135296" behindDoc="0" locked="0" layoutInCell="1" allowOverlap="1" wp14:anchorId="6BDF56BE" wp14:editId="279FB109">
                <wp:simplePos x="0" y="0"/>
                <wp:positionH relativeFrom="column">
                  <wp:posOffset>1257300</wp:posOffset>
                </wp:positionH>
                <wp:positionV relativeFrom="paragraph">
                  <wp:posOffset>2033270</wp:posOffset>
                </wp:positionV>
                <wp:extent cx="571500" cy="0"/>
                <wp:effectExtent l="0" t="76200" r="19050" b="95250"/>
                <wp:wrapNone/>
                <wp:docPr id="4957" name="Line 265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71500" cy="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line w14:anchorId="72D17AC5" id="Line 2654" o:spid="_x0000_s1026" style="position:absolute;left:0;text-align:left;z-index:2541352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99pt,160.1pt" to="2in,160.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">
                <v:stroke endarrow="block"/>
              </v:line>
            </w:pict>
          </mc:Fallback>
        </mc:AlternateContent>
      </w:r>
      <w:r w:rsidR="00124241" w:rsidRPr="008A3EDE">
        <w:rPr>
          <w:rFonts w:hAnsi="ＭＳ 明朝" w:hint="eastAsia"/>
          <w:noProof/>
          <w:sz w:val="22"/>
          <w:szCs w:val="22"/>
        </w:rPr>
        <mc:AlternateContent>
          <mc:Choice Requires="wps">
            <w:drawing>
              <wp:anchor distT="0" distB="0" distL="114300" distR="114300" simplePos="0" relativeHeight="254142464" behindDoc="0" locked="0" layoutInCell="1" allowOverlap="1" wp14:anchorId="5D431CDB" wp14:editId="34577A31">
                <wp:simplePos x="0" y="0"/>
                <wp:positionH relativeFrom="column">
                  <wp:posOffset>4000500</wp:posOffset>
                </wp:positionH>
                <wp:positionV relativeFrom="paragraph">
                  <wp:posOffset>2033270</wp:posOffset>
                </wp:positionV>
                <wp:extent cx="571500" cy="0"/>
                <wp:effectExtent l="38100" t="76200" r="19050" b="95250"/>
                <wp:wrapNone/>
                <wp:docPr id="4958" name="Line 266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71500" cy="0"/>
                        </a:xfrm>
                        <a:prstGeom prst="line">
                          <a:avLst/>
                        </a:prstGeom>
                        <a:noFill/>
                        <a:ln w="9525">
                          <a:solidFill>
                            <a:srgbClr val="000000"/>
                          </a:solidFill>
                          <a:round/>
                          <a:headEnd type="triangle" w="med" len="me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line w14:anchorId="171514A5" id="Line 2661" o:spid="_x0000_s1026" style="position:absolute;left:0;text-align:left;z-index:2541424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15pt,160.1pt" to="5in,160.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">
                <v:stroke startarrow="block" endarrow="block"/>
              </v:line>
            </w:pict>
          </mc:Fallback>
        </mc:AlternateContent>
      </w:r>
      <w:r w:rsidR="00124241" w:rsidRPr="008A3EDE">
        <w:rPr>
          <w:rFonts w:hAnsi="ＭＳ 明朝" w:hint="eastAsia"/>
          <w:noProof/>
          <w:sz w:val="22"/>
          <w:szCs w:val="22"/>
        </w:rPr>
        <mc:AlternateContent>
          <mc:Choice Requires="wps">
            <w:drawing>
              <wp:anchor distT="0" distB="0" distL="114300" distR="114300" simplePos="0" relativeHeight="254125056" behindDoc="0" locked="0" layoutInCell="1" allowOverlap="1" wp14:anchorId="6B2D38D4" wp14:editId="1AF76E10">
                <wp:simplePos x="0" y="0"/>
                <wp:positionH relativeFrom="column">
                  <wp:posOffset>1828800</wp:posOffset>
                </wp:positionH>
                <wp:positionV relativeFrom="paragraph">
                  <wp:posOffset>1828165</wp:posOffset>
                </wp:positionV>
                <wp:extent cx="2171700" cy="457200"/>
                <wp:effectExtent l="0" t="0" r="19050" b="19050"/>
                <wp:wrapNone/>
                <wp:docPr id="4959" name="Text Box 264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71700" cy="457200"/>
                        </a:xfrm>
                        <a:prstGeom prst="rect">
                          <a:avLst/>
                        </a:prstGeom>
                        <a:solidFill>
                          <a:srgbClr val="FFFFFF"/>
                        </a:solidFill>
                        <a:ln w="9525">
                          <a:solidFill>
                            <a:srgbClr val="000000"/>
                          </a:solidFill>
                          <a:prstDash val="dash"/>
                          <a:miter lim="800000"/>
                          <a:headEnd/>
                          <a:tailEnd/>
                        </a:ln>
                      </wps:spPr>
                      <wps:txbx>
                        <w:txbxContent>
                          <w:p w14:paraId="617C3754" w14:textId="77777777" w:rsidR="006A5267" w:rsidRPr="00A527AA" w:rsidRDefault="006A5267" w:rsidP="00124241">
                            <w:pPr>
                              <w:rPr>
                                <w:rFonts w:ascii="ＭＳ ゴシック" w:eastAsia="ＭＳ ゴシック" w:hAnsi="ＭＳ ゴシック"/>
                                <w:sz w:val="20"/>
                                <w:szCs w:val="20"/>
                              </w:rPr>
                            </w:pPr>
                            <w:r w:rsidRPr="00A527AA">
                              <w:rPr>
                                <w:rFonts w:ascii="ＭＳ ゴシック" w:eastAsia="ＭＳ ゴシック" w:hAnsi="ＭＳ ゴシック" w:hint="eastAsia"/>
                                <w:sz w:val="20"/>
                                <w:szCs w:val="20"/>
                              </w:rPr>
                              <w:t>災害ボランティアセンター（現地）</w:t>
                            </w:r>
                          </w:p>
                          <w:p w14:paraId="756374B8" w14:textId="77777777" w:rsidR="006A5267" w:rsidRPr="00A527AA" w:rsidRDefault="006A5267" w:rsidP="00124241">
                            <w:pPr>
                              <w:rPr>
                                <w:rFonts w:ascii="ＭＳ ゴシック" w:eastAsia="ＭＳ ゴシック" w:hAnsi="ＭＳ ゴシック"/>
                                <w:sz w:val="20"/>
                                <w:szCs w:val="20"/>
                              </w:rPr>
                            </w:pPr>
                            <w:r w:rsidRPr="00A527AA">
                              <w:rPr>
                                <w:rFonts w:ascii="ＭＳ ゴシック" w:eastAsia="ＭＳ ゴシック" w:hAnsi="ＭＳ ゴシック" w:hint="eastAsia"/>
                                <w:sz w:val="20"/>
                                <w:szCs w:val="20"/>
                              </w:rPr>
                              <w:t>運営：被災市町村社会福祉協議会</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shape w14:anchorId="6B2D38D4" id="Text Box 2645" o:spid="_x0000_s1544" type="#_x0000_t202" style="position:absolute;left:0;text-align:left;margin-left:2in;margin-top:143.95pt;width:171pt;height:36pt;z-index:2541250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">
                <v:stroke dashstyle="dash"/>
                <v:textbox inset="5.85pt,.7pt,5.85pt,.7pt">
                  <w:txbxContent>
                    <w:p w14:paraId="617C3754" w14:textId="77777777" w:rsidR="006A5267" w:rsidRPr="00A527AA" w:rsidRDefault="006A5267" w:rsidP="00124241">
                      <w:pPr>
                        <w:rPr>
                          <w:rFonts w:ascii="ＭＳ ゴシック" w:eastAsia="ＭＳ ゴシック" w:hAnsi="ＭＳ ゴシック"/>
                          <w:sz w:val="20"/>
                          <w:szCs w:val="20"/>
                        </w:rPr>
                      </w:pPr>
                      <w:r w:rsidRPr="00A527AA">
                        <w:rPr>
                          <w:rFonts w:ascii="ＭＳ ゴシック" w:eastAsia="ＭＳ ゴシック" w:hAnsi="ＭＳ ゴシック" w:hint="eastAsia"/>
                          <w:sz w:val="20"/>
                          <w:szCs w:val="20"/>
                        </w:rPr>
                        <w:t>災害ボランティアセンター（現地）</w:t>
                      </w:r>
                    </w:p>
                    <w:p w14:paraId="756374B8" w14:textId="77777777" w:rsidR="006A5267" w:rsidRPr="00A527AA" w:rsidRDefault="006A5267" w:rsidP="00124241">
                      <w:pPr>
                        <w:rPr>
                          <w:rFonts w:ascii="ＭＳ ゴシック" w:eastAsia="ＭＳ ゴシック" w:hAnsi="ＭＳ ゴシック"/>
                          <w:sz w:val="20"/>
                          <w:szCs w:val="20"/>
                        </w:rPr>
                      </w:pPr>
                      <w:r w:rsidRPr="00A527AA">
                        <w:rPr>
                          <w:rFonts w:ascii="ＭＳ ゴシック" w:eastAsia="ＭＳ ゴシック" w:hAnsi="ＭＳ ゴシック" w:hint="eastAsia"/>
                          <w:sz w:val="20"/>
                          <w:szCs w:val="20"/>
                        </w:rPr>
                        <w:t>運営：被災市町村社会福祉協議会</w:t>
                      </w:r>
                    </w:p>
                  </w:txbxContent>
                </v:textbox>
              </v:shape>
            </w:pict>
          </mc:Fallback>
        </mc:AlternateContent>
      </w:r>
      <w:r w:rsidR="00124241" w:rsidRPr="008A3EDE">
        <w:rPr>
          <w:rFonts w:hAnsi="ＭＳ 明朝" w:hint="eastAsia"/>
          <w:noProof/>
          <w:sz w:val="22"/>
          <w:szCs w:val="22"/>
        </w:rPr>
        <mc:AlternateContent>
          <mc:Choice Requires="wps">
            <w:drawing>
              <wp:anchor distT="0" distB="0" distL="114300" distR="114300" simplePos="0" relativeHeight="254134272" behindDoc="0" locked="0" layoutInCell="1" allowOverlap="1" wp14:anchorId="6DF75B8A" wp14:editId="2146217F">
                <wp:simplePos x="0" y="0"/>
                <wp:positionH relativeFrom="column">
                  <wp:posOffset>1257300</wp:posOffset>
                </wp:positionH>
                <wp:positionV relativeFrom="paragraph">
                  <wp:posOffset>669290</wp:posOffset>
                </wp:positionV>
                <wp:extent cx="571500" cy="0"/>
                <wp:effectExtent l="0" t="76200" r="19050" b="95250"/>
                <wp:wrapNone/>
                <wp:docPr id="4960" name="Line 265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71500" cy="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line w14:anchorId="46470438" id="Line 2653" o:spid="_x0000_s1026" style="position:absolute;left:0;text-align:left;z-index:2541342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99pt,52.7pt" to="2in,52.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">
                <v:stroke endarrow="block"/>
              </v:line>
            </w:pict>
          </mc:Fallback>
        </mc:AlternateContent>
      </w:r>
      <w:r w:rsidR="00124241" w:rsidRPr="008A3EDE">
        <w:rPr>
          <w:rFonts w:hAnsi="ＭＳ 明朝" w:hint="eastAsia"/>
          <w:noProof/>
          <w:sz w:val="22"/>
          <w:szCs w:val="22"/>
        </w:rPr>
        <mc:AlternateContent>
          <mc:Choice Requires="wps">
            <w:drawing>
              <wp:anchor distT="0" distB="0" distL="114300" distR="114300" simplePos="0" relativeHeight="254141440" behindDoc="0" locked="0" layoutInCell="1" allowOverlap="1" wp14:anchorId="4F6D0B20" wp14:editId="1A7FDC22">
                <wp:simplePos x="0" y="0"/>
                <wp:positionH relativeFrom="column">
                  <wp:posOffset>4000500</wp:posOffset>
                </wp:positionH>
                <wp:positionV relativeFrom="paragraph">
                  <wp:posOffset>669290</wp:posOffset>
                </wp:positionV>
                <wp:extent cx="571500" cy="0"/>
                <wp:effectExtent l="38100" t="76200" r="19050" b="95250"/>
                <wp:wrapNone/>
                <wp:docPr id="4961" name="Line 266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71500" cy="0"/>
                        </a:xfrm>
                        <a:prstGeom prst="line">
                          <a:avLst/>
                        </a:prstGeom>
                        <a:noFill/>
                        <a:ln w="9525">
                          <a:solidFill>
                            <a:srgbClr val="000000"/>
                          </a:solidFill>
                          <a:round/>
                          <a:headEnd type="triangle" w="med" len="me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line w14:anchorId="5DCBC335" id="Line 2660" o:spid="_x0000_s1026" style="position:absolute;left:0;text-align:left;z-index:2541414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15pt,52.7pt" to="5in,52.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">
                <v:stroke startarrow="block" endarrow="block"/>
              </v:line>
            </w:pict>
          </mc:Fallback>
        </mc:AlternateContent>
      </w:r>
      <w:r w:rsidR="00124241" w:rsidRPr="008A3EDE">
        <w:rPr>
          <w:rFonts w:hAnsi="ＭＳ 明朝" w:hint="eastAsia"/>
          <w:noProof/>
          <w:sz w:val="22"/>
          <w:szCs w:val="22"/>
        </w:rPr>
        <mc:AlternateContent>
          <mc:Choice Requires="wps">
            <w:drawing>
              <wp:anchor distT="0" distB="0" distL="114300" distR="114300" simplePos="0" relativeHeight="254124032" behindDoc="0" locked="0" layoutInCell="1" allowOverlap="1" wp14:anchorId="22EA4D95" wp14:editId="362CB368">
                <wp:simplePos x="0" y="0"/>
                <wp:positionH relativeFrom="column">
                  <wp:posOffset>1828800</wp:posOffset>
                </wp:positionH>
                <wp:positionV relativeFrom="paragraph">
                  <wp:posOffset>445135</wp:posOffset>
                </wp:positionV>
                <wp:extent cx="2171700" cy="457200"/>
                <wp:effectExtent l="0" t="0" r="19050" b="19050"/>
                <wp:wrapNone/>
                <wp:docPr id="4962" name="Text Box 264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71700" cy="457200"/>
                        </a:xfrm>
                        <a:prstGeom prst="rect">
                          <a:avLst/>
                        </a:prstGeom>
                        <a:solidFill>
                          <a:srgbClr val="FFFFFF"/>
                        </a:solidFill>
                        <a:ln w="9525">
                          <a:solidFill>
                            <a:srgbClr val="000000"/>
                          </a:solidFill>
                          <a:miter lim="800000"/>
                          <a:headEnd/>
                          <a:tailEnd/>
                        </a:ln>
                      </wps:spPr>
                      <wps:txbx>
                        <w:txbxContent>
                          <w:p w14:paraId="1F6CBABC" w14:textId="77777777" w:rsidR="006A5267" w:rsidRPr="00A527AA" w:rsidRDefault="006A5267" w:rsidP="00124241">
                            <w:pPr>
                              <w:rPr>
                                <w:rFonts w:ascii="ＭＳ ゴシック" w:eastAsia="ＭＳ ゴシック" w:hAnsi="ＭＳ ゴシック"/>
                                <w:sz w:val="20"/>
                                <w:szCs w:val="20"/>
                              </w:rPr>
                            </w:pPr>
                            <w:r w:rsidRPr="00A527AA">
                              <w:rPr>
                                <w:rFonts w:ascii="ＭＳ ゴシック" w:eastAsia="ＭＳ ゴシック" w:hAnsi="ＭＳ ゴシック" w:hint="eastAsia"/>
                                <w:sz w:val="20"/>
                                <w:szCs w:val="20"/>
                              </w:rPr>
                              <w:t>大阪府災害ボランティアセンター</w:t>
                            </w:r>
                          </w:p>
                          <w:p w14:paraId="29447598" w14:textId="77777777" w:rsidR="006A5267" w:rsidRPr="00A527AA" w:rsidRDefault="006A5267" w:rsidP="00124241">
                            <w:pPr>
                              <w:rPr>
                                <w:rFonts w:ascii="ＭＳ ゴシック" w:eastAsia="ＭＳ ゴシック" w:hAnsi="ＭＳ ゴシック"/>
                                <w:sz w:val="20"/>
                                <w:szCs w:val="20"/>
                              </w:rPr>
                            </w:pPr>
                            <w:r w:rsidRPr="00A527AA">
                              <w:rPr>
                                <w:rFonts w:ascii="ＭＳ ゴシック" w:eastAsia="ＭＳ ゴシック" w:hAnsi="ＭＳ ゴシック" w:hint="eastAsia"/>
                                <w:sz w:val="20"/>
                                <w:szCs w:val="20"/>
                              </w:rPr>
                              <w:t>運営：大阪府社会福祉協議会</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shape w14:anchorId="22EA4D95" id="_x0000_s1545" type="#_x0000_t202" style="position:absolute;left:0;text-align:left;margin-left:2in;margin-top:35.05pt;width:171pt;height:36pt;z-index:2541240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">
                <v:textbox inset="5.85pt,.7pt,5.85pt,.7pt">
                  <w:txbxContent>
                    <w:p w14:paraId="1F6CBABC" w14:textId="77777777" w:rsidR="006A5267" w:rsidRPr="00A527AA" w:rsidRDefault="006A5267" w:rsidP="00124241">
                      <w:pPr>
                        <w:rPr>
                          <w:rFonts w:ascii="ＭＳ ゴシック" w:eastAsia="ＭＳ ゴシック" w:hAnsi="ＭＳ ゴシック"/>
                          <w:sz w:val="20"/>
                          <w:szCs w:val="20"/>
                        </w:rPr>
                      </w:pPr>
                      <w:r w:rsidRPr="00A527AA">
                        <w:rPr>
                          <w:rFonts w:ascii="ＭＳ ゴシック" w:eastAsia="ＭＳ ゴシック" w:hAnsi="ＭＳ ゴシック" w:hint="eastAsia"/>
                          <w:sz w:val="20"/>
                          <w:szCs w:val="20"/>
                        </w:rPr>
                        <w:t>大阪府災害ボランティアセンター</w:t>
                      </w:r>
                    </w:p>
                    <w:p w14:paraId="29447598" w14:textId="77777777" w:rsidR="006A5267" w:rsidRPr="00A527AA" w:rsidRDefault="006A5267" w:rsidP="00124241">
                      <w:pPr>
                        <w:rPr>
                          <w:rFonts w:ascii="ＭＳ ゴシック" w:eastAsia="ＭＳ ゴシック" w:hAnsi="ＭＳ ゴシック"/>
                          <w:sz w:val="20"/>
                          <w:szCs w:val="20"/>
                        </w:rPr>
                      </w:pPr>
                      <w:r w:rsidRPr="00A527AA">
                        <w:rPr>
                          <w:rFonts w:ascii="ＭＳ ゴシック" w:eastAsia="ＭＳ ゴシック" w:hAnsi="ＭＳ ゴシック" w:hint="eastAsia"/>
                          <w:sz w:val="20"/>
                          <w:szCs w:val="20"/>
                        </w:rPr>
                        <w:t>運営：大阪府社会福祉協議会</w:t>
                      </w:r>
                    </w:p>
                  </w:txbxContent>
                </v:textbox>
              </v:shape>
            </w:pict>
          </mc:Fallback>
        </mc:AlternateContent>
      </w:r>
      <w:r w:rsidR="00124241" w:rsidRPr="008A3EDE">
        <w:rPr>
          <w:rFonts w:hAnsi="ＭＳ 明朝" w:hint="eastAsia"/>
          <w:noProof/>
          <w:sz w:val="22"/>
          <w:szCs w:val="22"/>
        </w:rPr>
        <mc:AlternateContent>
          <mc:Choice Requires="wps">
            <w:drawing>
              <wp:anchor distT="0" distB="0" distL="114300" distR="114300" simplePos="0" relativeHeight="254129152" behindDoc="0" locked="0" layoutInCell="1" allowOverlap="1" wp14:anchorId="0706AED0" wp14:editId="6BEB7951">
                <wp:simplePos x="0" y="0"/>
                <wp:positionH relativeFrom="column">
                  <wp:posOffset>114300</wp:posOffset>
                </wp:positionH>
                <wp:positionV relativeFrom="paragraph">
                  <wp:posOffset>168910</wp:posOffset>
                </wp:positionV>
                <wp:extent cx="342900" cy="1828800"/>
                <wp:effectExtent l="0" t="0" r="0" b="0"/>
                <wp:wrapNone/>
                <wp:docPr id="4963" name="Text Box 264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2900" cy="1828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D5227C1" w14:textId="77777777" w:rsidR="006A5267" w:rsidRPr="00B12616" w:rsidRDefault="006A5267" w:rsidP="00124241">
                            <w:pPr>
                              <w:spacing w:line="240" w:lineRule="exact"/>
                              <w:ind w:firstLineChars="100" w:firstLine="201"/>
                            </w:pPr>
                            <w:r w:rsidRPr="00B12616">
                              <w:rPr>
                                <w:rFonts w:ascii="ＭＳ ゴシック" w:eastAsia="ＭＳ ゴシック" w:hAnsi="ＭＳ ゴシック" w:hint="eastAsia"/>
                                <w:sz w:val="20"/>
                                <w:szCs w:val="20"/>
                              </w:rPr>
                              <w:t>ボランティア（府内・府外</w:t>
                            </w:r>
                            <w:r w:rsidRPr="00B12616">
                              <w:rPr>
                                <w:rFonts w:hint="eastAsia"/>
                              </w:rPr>
                              <w:t>）</w:t>
                            </w:r>
                          </w:p>
                        </w:txbxContent>
                      </wps:txbx>
                      <wps:bodyPr rot="0" vert="eaVert"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shape w14:anchorId="0706AED0" id="Text Box 2649" o:spid="_x0000_s1546" type="#_x0000_t202" style="position:absolute;left:0;text-align:left;margin-left:9pt;margin-top:13.3pt;width:27pt;height:2in;z-index:2541291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" filled="f" stroked="f">
                <v:textbox style="layout-flow:vertical-ideographic" inset="5.85pt,.7pt,5.85pt,.7pt">
                  <w:txbxContent>
                    <w:p w14:paraId="7D5227C1" w14:textId="77777777" w:rsidR="006A5267" w:rsidRPr="00B12616" w:rsidRDefault="006A5267" w:rsidP="00124241">
                      <w:pPr>
                        <w:spacing w:line="240" w:lineRule="exact"/>
                        <w:ind w:firstLineChars="100" w:firstLine="201"/>
                      </w:pPr>
                      <w:r w:rsidRPr="00B12616">
                        <w:rPr>
                          <w:rFonts w:ascii="ＭＳ ゴシック" w:eastAsia="ＭＳ ゴシック" w:hAnsi="ＭＳ ゴシック" w:hint="eastAsia"/>
                          <w:sz w:val="20"/>
                          <w:szCs w:val="20"/>
                        </w:rPr>
                        <w:t>ボランティア（府内・府外</w:t>
                      </w:r>
                      <w:r w:rsidRPr="00B12616">
                        <w:rPr>
                          <w:rFonts w:hint="eastAsia"/>
                        </w:rPr>
                        <w:t>）</w:t>
                      </w:r>
                    </w:p>
                  </w:txbxContent>
                </v:textbox>
              </v:shape>
            </w:pict>
          </mc:Fallback>
        </mc:AlternateContent>
      </w:r>
      <w:r w:rsidR="00124241" w:rsidRPr="008A3EDE">
        <w:rPr>
          <w:rFonts w:hAnsi="ＭＳ 明朝" w:hint="eastAsia"/>
          <w:noProof/>
          <w:sz w:val="22"/>
          <w:szCs w:val="22"/>
        </w:rPr>
        <mc:AlternateContent>
          <mc:Choice Requires="wps">
            <w:drawing>
              <wp:anchor distT="0" distB="0" distL="114300" distR="114300" simplePos="0" relativeHeight="254131200" behindDoc="0" locked="0" layoutInCell="1" allowOverlap="1" wp14:anchorId="42D28689" wp14:editId="4399FEC7">
                <wp:simplePos x="0" y="0"/>
                <wp:positionH relativeFrom="column">
                  <wp:posOffset>800100</wp:posOffset>
                </wp:positionH>
                <wp:positionV relativeFrom="paragraph">
                  <wp:posOffset>374015</wp:posOffset>
                </wp:positionV>
                <wp:extent cx="342900" cy="1828800"/>
                <wp:effectExtent l="0" t="0" r="19050" b="19050"/>
                <wp:wrapNone/>
                <wp:docPr id="4964" name="Text Box 265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2900" cy="1828800"/>
                        </a:xfrm>
                        <a:prstGeom prst="rect">
                          <a:avLst/>
                        </a:prstGeom>
                        <a:solidFill>
                          <a:srgbClr val="FFFFFF"/>
                        </a:solidFill>
                        <a:ln w="9525">
                          <a:solidFill>
                            <a:srgbClr val="000000"/>
                          </a:solidFill>
                          <a:miter lim="800000"/>
                          <a:headEnd/>
                          <a:tailEnd/>
                        </a:ln>
                      </wps:spPr>
                      <wps:txbx>
                        <w:txbxContent>
                          <w:p w14:paraId="58C6C33D" w14:textId="77777777" w:rsidR="006A5267" w:rsidRPr="00B12616" w:rsidRDefault="006A5267" w:rsidP="00124241">
                            <w:pPr>
                              <w:spacing w:line="240" w:lineRule="exact"/>
                              <w:ind w:firstLineChars="150" w:firstLine="302"/>
                              <w:rPr>
                                <w:rFonts w:ascii="ＭＳ ゴシック" w:eastAsia="ＭＳ ゴシック" w:hAnsi="ＭＳ ゴシック"/>
                                <w:sz w:val="20"/>
                                <w:szCs w:val="20"/>
                              </w:rPr>
                            </w:pPr>
                            <w:r w:rsidRPr="00B12616">
                              <w:rPr>
                                <w:rFonts w:ascii="ＭＳ ゴシック" w:eastAsia="ＭＳ ゴシック" w:hAnsi="ＭＳ ゴシック" w:hint="eastAsia"/>
                                <w:sz w:val="20"/>
                                <w:szCs w:val="20"/>
                              </w:rPr>
                              <w:t>事</w:t>
                            </w:r>
                            <w:r>
                              <w:rPr>
                                <w:rFonts w:ascii="ＭＳ ゴシック" w:eastAsia="ＭＳ ゴシック" w:hAnsi="ＭＳ ゴシック" w:hint="eastAsia"/>
                                <w:sz w:val="20"/>
                                <w:szCs w:val="20"/>
                              </w:rPr>
                              <w:t xml:space="preserve">　</w:t>
                            </w:r>
                            <w:r w:rsidRPr="00B12616">
                              <w:rPr>
                                <w:rFonts w:ascii="ＭＳ ゴシック" w:eastAsia="ＭＳ ゴシック" w:hAnsi="ＭＳ ゴシック" w:hint="eastAsia"/>
                                <w:sz w:val="20"/>
                                <w:szCs w:val="20"/>
                              </w:rPr>
                              <w:t>前</w:t>
                            </w:r>
                            <w:r>
                              <w:rPr>
                                <w:rFonts w:ascii="ＭＳ ゴシック" w:eastAsia="ＭＳ ゴシック" w:hAnsi="ＭＳ ゴシック" w:hint="eastAsia"/>
                                <w:sz w:val="20"/>
                                <w:szCs w:val="20"/>
                              </w:rPr>
                              <w:t xml:space="preserve">　</w:t>
                            </w:r>
                            <w:r w:rsidRPr="00B12616">
                              <w:rPr>
                                <w:rFonts w:ascii="ＭＳ ゴシック" w:eastAsia="ＭＳ ゴシック" w:hAnsi="ＭＳ ゴシック" w:hint="eastAsia"/>
                                <w:sz w:val="20"/>
                                <w:szCs w:val="20"/>
                              </w:rPr>
                              <w:t>登</w:t>
                            </w:r>
                            <w:r>
                              <w:rPr>
                                <w:rFonts w:ascii="ＭＳ ゴシック" w:eastAsia="ＭＳ ゴシック" w:hAnsi="ＭＳ ゴシック" w:hint="eastAsia"/>
                                <w:sz w:val="20"/>
                                <w:szCs w:val="20"/>
                              </w:rPr>
                              <w:t xml:space="preserve">　</w:t>
                            </w:r>
                            <w:r w:rsidRPr="00B12616">
                              <w:rPr>
                                <w:rFonts w:ascii="ＭＳ ゴシック" w:eastAsia="ＭＳ ゴシック" w:hAnsi="ＭＳ ゴシック" w:hint="eastAsia"/>
                                <w:sz w:val="20"/>
                                <w:szCs w:val="20"/>
                              </w:rPr>
                              <w:t>録</w:t>
                            </w:r>
                            <w:r>
                              <w:rPr>
                                <w:rFonts w:ascii="ＭＳ ゴシック" w:eastAsia="ＭＳ ゴシック" w:hAnsi="ＭＳ ゴシック" w:hint="eastAsia"/>
                                <w:sz w:val="20"/>
                                <w:szCs w:val="20"/>
                              </w:rPr>
                              <w:t xml:space="preserve">　</w:t>
                            </w:r>
                            <w:r w:rsidRPr="00B12616">
                              <w:rPr>
                                <w:rFonts w:ascii="ＭＳ ゴシック" w:eastAsia="ＭＳ ゴシック" w:hAnsi="ＭＳ ゴシック" w:hint="eastAsia"/>
                                <w:sz w:val="20"/>
                                <w:szCs w:val="20"/>
                              </w:rPr>
                              <w:t>団</w:t>
                            </w:r>
                            <w:r>
                              <w:rPr>
                                <w:rFonts w:ascii="ＭＳ ゴシック" w:eastAsia="ＭＳ ゴシック" w:hAnsi="ＭＳ ゴシック" w:hint="eastAsia"/>
                                <w:sz w:val="20"/>
                                <w:szCs w:val="20"/>
                              </w:rPr>
                              <w:t xml:space="preserve">　</w:t>
                            </w:r>
                            <w:r w:rsidRPr="00B12616">
                              <w:rPr>
                                <w:rFonts w:ascii="ＭＳ ゴシック" w:eastAsia="ＭＳ ゴシック" w:hAnsi="ＭＳ ゴシック" w:hint="eastAsia"/>
                                <w:sz w:val="20"/>
                                <w:szCs w:val="20"/>
                              </w:rPr>
                              <w:t>体</w:t>
                            </w:r>
                          </w:p>
                        </w:txbxContent>
                      </wps:txbx>
                      <wps:bodyPr rot="0" vert="eaVert"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shape w14:anchorId="42D28689" id="Text Box 2651" o:spid="_x0000_s1547" type="#_x0000_t202" style="position:absolute;left:0;text-align:left;margin-left:63pt;margin-top:29.45pt;width:27pt;height:2in;z-index:2541312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">
                <v:textbox style="layout-flow:vertical-ideographic" inset="5.85pt,.7pt,5.85pt,.7pt">
                  <w:txbxContent>
                    <w:p w14:paraId="58C6C33D" w14:textId="77777777" w:rsidR="006A5267" w:rsidRPr="00B12616" w:rsidRDefault="006A5267" w:rsidP="00124241">
                      <w:pPr>
                        <w:spacing w:line="240" w:lineRule="exact"/>
                        <w:ind w:firstLineChars="150" w:firstLine="302"/>
                        <w:rPr>
                          <w:rFonts w:ascii="ＭＳ ゴシック" w:eastAsia="ＭＳ ゴシック" w:hAnsi="ＭＳ ゴシック"/>
                          <w:sz w:val="20"/>
                          <w:szCs w:val="20"/>
                        </w:rPr>
                      </w:pPr>
                      <w:r w:rsidRPr="00B12616">
                        <w:rPr>
                          <w:rFonts w:ascii="ＭＳ ゴシック" w:eastAsia="ＭＳ ゴシック" w:hAnsi="ＭＳ ゴシック" w:hint="eastAsia"/>
                          <w:sz w:val="20"/>
                          <w:szCs w:val="20"/>
                        </w:rPr>
                        <w:t>事</w:t>
                      </w:r>
                      <w:r>
                        <w:rPr>
                          <w:rFonts w:ascii="ＭＳ ゴシック" w:eastAsia="ＭＳ ゴシック" w:hAnsi="ＭＳ ゴシック" w:hint="eastAsia"/>
                          <w:sz w:val="20"/>
                          <w:szCs w:val="20"/>
                        </w:rPr>
                        <w:t xml:space="preserve">　</w:t>
                      </w:r>
                      <w:r w:rsidRPr="00B12616">
                        <w:rPr>
                          <w:rFonts w:ascii="ＭＳ ゴシック" w:eastAsia="ＭＳ ゴシック" w:hAnsi="ＭＳ ゴシック" w:hint="eastAsia"/>
                          <w:sz w:val="20"/>
                          <w:szCs w:val="20"/>
                        </w:rPr>
                        <w:t>前</w:t>
                      </w:r>
                      <w:r>
                        <w:rPr>
                          <w:rFonts w:ascii="ＭＳ ゴシック" w:eastAsia="ＭＳ ゴシック" w:hAnsi="ＭＳ ゴシック" w:hint="eastAsia"/>
                          <w:sz w:val="20"/>
                          <w:szCs w:val="20"/>
                        </w:rPr>
                        <w:t xml:space="preserve">　</w:t>
                      </w:r>
                      <w:r w:rsidRPr="00B12616">
                        <w:rPr>
                          <w:rFonts w:ascii="ＭＳ ゴシック" w:eastAsia="ＭＳ ゴシック" w:hAnsi="ＭＳ ゴシック" w:hint="eastAsia"/>
                          <w:sz w:val="20"/>
                          <w:szCs w:val="20"/>
                        </w:rPr>
                        <w:t>登</w:t>
                      </w:r>
                      <w:r>
                        <w:rPr>
                          <w:rFonts w:ascii="ＭＳ ゴシック" w:eastAsia="ＭＳ ゴシック" w:hAnsi="ＭＳ ゴシック" w:hint="eastAsia"/>
                          <w:sz w:val="20"/>
                          <w:szCs w:val="20"/>
                        </w:rPr>
                        <w:t xml:space="preserve">　</w:t>
                      </w:r>
                      <w:r w:rsidRPr="00B12616">
                        <w:rPr>
                          <w:rFonts w:ascii="ＭＳ ゴシック" w:eastAsia="ＭＳ ゴシック" w:hAnsi="ＭＳ ゴシック" w:hint="eastAsia"/>
                          <w:sz w:val="20"/>
                          <w:szCs w:val="20"/>
                        </w:rPr>
                        <w:t>録</w:t>
                      </w:r>
                      <w:r>
                        <w:rPr>
                          <w:rFonts w:ascii="ＭＳ ゴシック" w:eastAsia="ＭＳ ゴシック" w:hAnsi="ＭＳ ゴシック" w:hint="eastAsia"/>
                          <w:sz w:val="20"/>
                          <w:szCs w:val="20"/>
                        </w:rPr>
                        <w:t xml:space="preserve">　</w:t>
                      </w:r>
                      <w:r w:rsidRPr="00B12616">
                        <w:rPr>
                          <w:rFonts w:ascii="ＭＳ ゴシック" w:eastAsia="ＭＳ ゴシック" w:hAnsi="ＭＳ ゴシック" w:hint="eastAsia"/>
                          <w:sz w:val="20"/>
                          <w:szCs w:val="20"/>
                        </w:rPr>
                        <w:t>団</w:t>
                      </w:r>
                      <w:r>
                        <w:rPr>
                          <w:rFonts w:ascii="ＭＳ ゴシック" w:eastAsia="ＭＳ ゴシック" w:hAnsi="ＭＳ ゴシック" w:hint="eastAsia"/>
                          <w:sz w:val="20"/>
                          <w:szCs w:val="20"/>
                        </w:rPr>
                        <w:t xml:space="preserve">　</w:t>
                      </w:r>
                      <w:r w:rsidRPr="00B12616">
                        <w:rPr>
                          <w:rFonts w:ascii="ＭＳ ゴシック" w:eastAsia="ＭＳ ゴシック" w:hAnsi="ＭＳ ゴシック" w:hint="eastAsia"/>
                          <w:sz w:val="20"/>
                          <w:szCs w:val="20"/>
                        </w:rPr>
                        <w:t>体</w:t>
                      </w:r>
                    </w:p>
                  </w:txbxContent>
                </v:textbox>
              </v:shape>
            </w:pict>
          </mc:Fallback>
        </mc:AlternateContent>
      </w:r>
      <w:r w:rsidR="00124241" w:rsidRPr="008A3EDE">
        <w:rPr>
          <w:rFonts w:hAnsi="ＭＳ 明朝" w:hint="eastAsia"/>
          <w:noProof/>
          <w:sz w:val="22"/>
          <w:szCs w:val="22"/>
        </w:rPr>
        <mc:AlternateContent>
          <mc:Choice Requires="wps">
            <w:drawing>
              <wp:anchor distT="0" distB="0" distL="114300" distR="114300" simplePos="0" relativeHeight="254130176" behindDoc="0" locked="0" layoutInCell="1" allowOverlap="1" wp14:anchorId="4A1CF73F" wp14:editId="05CFF6EE">
                <wp:simplePos x="0" y="0"/>
                <wp:positionH relativeFrom="column">
                  <wp:posOffset>457200</wp:posOffset>
                </wp:positionH>
                <wp:positionV relativeFrom="paragraph">
                  <wp:posOffset>374015</wp:posOffset>
                </wp:positionV>
                <wp:extent cx="342900" cy="1828800"/>
                <wp:effectExtent l="0" t="0" r="19050" b="19050"/>
                <wp:wrapNone/>
                <wp:docPr id="4965" name="Text Box 265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2900" cy="1828800"/>
                        </a:xfrm>
                        <a:prstGeom prst="rect">
                          <a:avLst/>
                        </a:prstGeom>
                        <a:solidFill>
                          <a:srgbClr val="FFFFFF"/>
                        </a:solidFill>
                        <a:ln w="9525">
                          <a:solidFill>
                            <a:srgbClr val="000000"/>
                          </a:solidFill>
                          <a:miter lim="800000"/>
                          <a:headEnd/>
                          <a:tailEnd/>
                        </a:ln>
                      </wps:spPr>
                      <wps:txbx>
                        <w:txbxContent>
                          <w:p w14:paraId="2739B65A" w14:textId="77777777" w:rsidR="006A5267" w:rsidRPr="00B12616" w:rsidRDefault="006A5267" w:rsidP="00124241">
                            <w:pPr>
                              <w:spacing w:line="240" w:lineRule="exact"/>
                              <w:ind w:firstLineChars="100" w:firstLine="201"/>
                              <w:rPr>
                                <w:rFonts w:ascii="ＭＳ ゴシック" w:eastAsia="ＭＳ ゴシック" w:hAnsi="ＭＳ ゴシック"/>
                                <w:sz w:val="20"/>
                                <w:szCs w:val="20"/>
                              </w:rPr>
                            </w:pPr>
                            <w:r w:rsidRPr="00B12616">
                              <w:rPr>
                                <w:rFonts w:ascii="ＭＳ ゴシック" w:eastAsia="ＭＳ ゴシック" w:hAnsi="ＭＳ ゴシック" w:hint="eastAsia"/>
                                <w:sz w:val="20"/>
                                <w:szCs w:val="20"/>
                              </w:rPr>
                              <w:t>発災後に登録する個人・団体</w:t>
                            </w:r>
                          </w:p>
                        </w:txbxContent>
                      </wps:txbx>
                      <wps:bodyPr rot="0" vert="eaVert"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shape w14:anchorId="4A1CF73F" id="Text Box 2650" o:spid="_x0000_s1548" type="#_x0000_t202" style="position:absolute;left:0;text-align:left;margin-left:36pt;margin-top:29.45pt;width:27pt;height:2in;z-index:2541301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">
                <v:textbox style="layout-flow:vertical-ideographic" inset="5.85pt,.7pt,5.85pt,.7pt">
                  <w:txbxContent>
                    <w:p w14:paraId="2739B65A" w14:textId="77777777" w:rsidR="006A5267" w:rsidRPr="00B12616" w:rsidRDefault="006A5267" w:rsidP="00124241">
                      <w:pPr>
                        <w:spacing w:line="240" w:lineRule="exact"/>
                        <w:ind w:firstLineChars="100" w:firstLine="201"/>
                        <w:rPr>
                          <w:rFonts w:ascii="ＭＳ ゴシック" w:eastAsia="ＭＳ ゴシック" w:hAnsi="ＭＳ ゴシック"/>
                          <w:sz w:val="20"/>
                          <w:szCs w:val="20"/>
                        </w:rPr>
                      </w:pPr>
                      <w:r w:rsidRPr="00B12616">
                        <w:rPr>
                          <w:rFonts w:ascii="ＭＳ ゴシック" w:eastAsia="ＭＳ ゴシック" w:hAnsi="ＭＳ ゴシック" w:hint="eastAsia"/>
                          <w:sz w:val="20"/>
                          <w:szCs w:val="20"/>
                        </w:rPr>
                        <w:t>発災後に登録する個人・団体</w:t>
                      </w:r>
                    </w:p>
                  </w:txbxContent>
                </v:textbox>
              </v:shape>
            </w:pict>
          </mc:Fallback>
        </mc:AlternateContent>
      </w:r>
      <w:r w:rsidR="00124241" w:rsidRPr="008A3EDE">
        <w:rPr>
          <w:rFonts w:hAnsi="ＭＳ 明朝" w:hint="eastAsia"/>
          <w:noProof/>
          <w:sz w:val="22"/>
          <w:szCs w:val="22"/>
        </w:rPr>
        <mc:AlternateContent>
          <mc:Choice Requires="wps">
            <w:drawing>
              <wp:anchor distT="0" distB="0" distL="114300" distR="114300" simplePos="0" relativeHeight="254128128" behindDoc="0" locked="0" layoutInCell="1" allowOverlap="1" wp14:anchorId="1EF18FC0" wp14:editId="1640CBC0">
                <wp:simplePos x="0" y="0"/>
                <wp:positionH relativeFrom="column">
                  <wp:posOffset>114300</wp:posOffset>
                </wp:positionH>
                <wp:positionV relativeFrom="paragraph">
                  <wp:posOffset>59055</wp:posOffset>
                </wp:positionV>
                <wp:extent cx="1143000" cy="2347595"/>
                <wp:effectExtent l="0" t="0" r="19050" b="14605"/>
                <wp:wrapNone/>
                <wp:docPr id="4966" name="AutoShape 264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43000" cy="2347595"/>
                        </a:xfrm>
                        <a:prstGeom prst="roundRect">
                          <a:avLst>
                            <a:gd name="adj" fmla="val 16667"/>
                          </a:avLst>
                        </a:prstGeom>
                        <a:solidFill>
                          <a:srgbClr val="FFFFFF"/>
                        </a:solidFill>
                        <a:ln w="9525">
                          <a:solidFill>
                            <a:srgbClr val="000000"/>
                          </a:solidFill>
                          <a:round/>
                          <a:headEnd/>
                          <a:tailEnd/>
                        </a:ln>
                      </wps:spPr>
                      <wps:txbx>
                        <w:txbxContent>
                          <w:p w14:paraId="0B0E0102" w14:textId="77777777" w:rsidR="006A5267" w:rsidRDefault="006A5267" w:rsidP="00124241"/>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roundrect w14:anchorId="1EF18FC0" id="AutoShape 2648" o:spid="_x0000_s1549" style="position:absolute;left:0;text-align:left;margin-left:9pt;margin-top:4.65pt;width:90pt;height:184.85pt;z-index:2541281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">
                <v:textbox inset="5.85pt,.7pt,5.85pt,.7pt">
                  <w:txbxContent>
                    <w:p w14:paraId="0B0E0102" w14:textId="77777777" w:rsidR="006A5267" w:rsidRDefault="006A5267" w:rsidP="00124241"/>
                  </w:txbxContent>
                </v:textbox>
              </v:roundrect>
            </w:pict>
          </mc:Fallback>
        </mc:AlternateContent>
      </w:r>
      <w:r w:rsidR="00124241" w:rsidRPr="008A3EDE">
        <w:rPr>
          <w:rFonts w:hAnsi="ＭＳ 明朝" w:hint="eastAsia"/>
          <w:noProof/>
          <w:sz w:val="22"/>
          <w:szCs w:val="22"/>
        </w:rPr>
        <mc:AlternateContent>
          <mc:Choice Requires="wps">
            <w:drawing>
              <wp:anchor distT="0" distB="0" distL="114300" distR="114300" simplePos="0" relativeHeight="254147584" behindDoc="0" locked="0" layoutInCell="1" allowOverlap="1" wp14:anchorId="77F3753A" wp14:editId="4ED53C92">
                <wp:simplePos x="0" y="0"/>
                <wp:positionH relativeFrom="column">
                  <wp:posOffset>4048125</wp:posOffset>
                </wp:positionH>
                <wp:positionV relativeFrom="paragraph">
                  <wp:posOffset>2090420</wp:posOffset>
                </wp:positionV>
                <wp:extent cx="457200" cy="342900"/>
                <wp:effectExtent l="0" t="0" r="0" b="0"/>
                <wp:wrapNone/>
                <wp:docPr id="4967" name="Text Box 266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57200" cy="3429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3974263" w14:textId="77777777" w:rsidR="006A5267" w:rsidRPr="0028754B" w:rsidRDefault="006A5267" w:rsidP="00124241">
                            <w:pPr>
                              <w:rPr>
                                <w:rFonts w:ascii="ＭＳ ゴシック" w:eastAsia="ＭＳ ゴシック" w:hAnsi="ＭＳ ゴシック"/>
                                <w:sz w:val="20"/>
                                <w:szCs w:val="20"/>
                              </w:rPr>
                            </w:pPr>
                            <w:r>
                              <w:rPr>
                                <w:rFonts w:ascii="ＭＳ ゴシック" w:eastAsia="ＭＳ ゴシック" w:hAnsi="ＭＳ ゴシック" w:hint="eastAsia"/>
                                <w:sz w:val="20"/>
                                <w:szCs w:val="20"/>
                              </w:rPr>
                              <w:t>連携</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shape w14:anchorId="77F3753A" id="Text Box 2666" o:spid="_x0000_s1550" type="#_x0000_t202" style="position:absolute;left:0;text-align:left;margin-left:318.75pt;margin-top:164.6pt;width:36pt;height:27pt;z-index:2541475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" filled="f" stroked="f">
                <v:textbox inset="5.85pt,.7pt,5.85pt,.7pt">
                  <w:txbxContent>
                    <w:p w14:paraId="23974263" w14:textId="77777777" w:rsidR="006A5267" w:rsidRPr="0028754B" w:rsidRDefault="006A5267" w:rsidP="00124241">
                      <w:pPr>
                        <w:rPr>
                          <w:rFonts w:ascii="ＭＳ ゴシック" w:eastAsia="ＭＳ ゴシック" w:hAnsi="ＭＳ ゴシック"/>
                          <w:sz w:val="20"/>
                          <w:szCs w:val="20"/>
                        </w:rPr>
                      </w:pPr>
                      <w:r>
                        <w:rPr>
                          <w:rFonts w:ascii="ＭＳ ゴシック" w:eastAsia="ＭＳ ゴシック" w:hAnsi="ＭＳ ゴシック" w:hint="eastAsia"/>
                          <w:sz w:val="20"/>
                          <w:szCs w:val="20"/>
                        </w:rPr>
                        <w:t>連携</w:t>
                      </w:r>
                    </w:p>
                  </w:txbxContent>
                </v:textbox>
              </v:shape>
            </w:pict>
          </mc:Fallback>
        </mc:AlternateContent>
      </w:r>
      <w:r w:rsidR="00124241" w:rsidRPr="008A3EDE">
        <w:rPr>
          <w:rFonts w:hAnsi="ＭＳ 明朝" w:hint="eastAsia"/>
          <w:noProof/>
          <w:sz w:val="22"/>
          <w:szCs w:val="22"/>
        </w:rPr>
        <mc:AlternateContent>
          <mc:Choice Requires="wps">
            <w:drawing>
              <wp:anchor distT="0" distB="0" distL="114300" distR="114300" simplePos="0" relativeHeight="254146560" behindDoc="0" locked="0" layoutInCell="1" allowOverlap="1" wp14:anchorId="5DEF39F8" wp14:editId="6581933D">
                <wp:simplePos x="0" y="0"/>
                <wp:positionH relativeFrom="column">
                  <wp:posOffset>4048125</wp:posOffset>
                </wp:positionH>
                <wp:positionV relativeFrom="paragraph">
                  <wp:posOffset>731520</wp:posOffset>
                </wp:positionV>
                <wp:extent cx="457200" cy="228600"/>
                <wp:effectExtent l="0" t="0" r="0" b="0"/>
                <wp:wrapNone/>
                <wp:docPr id="4968" name="Text Box 266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57200" cy="2286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A5DE4C4" w14:textId="77777777" w:rsidR="006A5267" w:rsidRPr="0028754B" w:rsidRDefault="006A5267" w:rsidP="00124241">
                            <w:pPr>
                              <w:rPr>
                                <w:rFonts w:ascii="ＭＳ ゴシック" w:eastAsia="ＭＳ ゴシック" w:hAnsi="ＭＳ ゴシック"/>
                                <w:sz w:val="20"/>
                                <w:szCs w:val="20"/>
                              </w:rPr>
                            </w:pPr>
                            <w:r>
                              <w:rPr>
                                <w:rFonts w:ascii="ＭＳ ゴシック" w:eastAsia="ＭＳ ゴシック" w:hAnsi="ＭＳ ゴシック" w:hint="eastAsia"/>
                                <w:sz w:val="20"/>
                                <w:szCs w:val="20"/>
                              </w:rPr>
                              <w:t>連携</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shape w14:anchorId="5DEF39F8" id="Text Box 2665" o:spid="_x0000_s1551" type="#_x0000_t202" style="position:absolute;left:0;text-align:left;margin-left:318.75pt;margin-top:57.6pt;width:36pt;height:18pt;z-index:2541465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" filled="f" stroked="f">
                <v:textbox inset="5.85pt,.7pt,5.85pt,.7pt">
                  <w:txbxContent>
                    <w:p w14:paraId="6A5DE4C4" w14:textId="77777777" w:rsidR="006A5267" w:rsidRPr="0028754B" w:rsidRDefault="006A5267" w:rsidP="00124241">
                      <w:pPr>
                        <w:rPr>
                          <w:rFonts w:ascii="ＭＳ ゴシック" w:eastAsia="ＭＳ ゴシック" w:hAnsi="ＭＳ ゴシック"/>
                          <w:sz w:val="20"/>
                          <w:szCs w:val="20"/>
                        </w:rPr>
                      </w:pPr>
                      <w:r>
                        <w:rPr>
                          <w:rFonts w:ascii="ＭＳ ゴシック" w:eastAsia="ＭＳ ゴシック" w:hAnsi="ＭＳ ゴシック" w:hint="eastAsia"/>
                          <w:sz w:val="20"/>
                          <w:szCs w:val="20"/>
                        </w:rPr>
                        <w:t>連携</w:t>
                      </w:r>
                    </w:p>
                  </w:txbxContent>
                </v:textbox>
              </v:shape>
            </w:pict>
          </mc:Fallback>
        </mc:AlternateContent>
      </w:r>
    </w:p>
    <w:p w14:paraId="70C6F1D7" w14:textId="77777777" w:rsidR="00124241" w:rsidRPr="008A3EDE" w:rsidRDefault="00124241" w:rsidP="00124241">
      <w:pPr>
        <w:pStyle w:val="a0"/>
        <w:rPr>
          <w:rFonts w:hAnsi="ＭＳ 明朝"/>
          <w:sz w:val="22"/>
          <w:szCs w:val="22"/>
        </w:rPr>
      </w:pPr>
      <w:r w:rsidRPr="008A3EDE">
        <w:rPr>
          <w:rFonts w:hAnsi="ＭＳ 明朝" w:hint="eastAsia"/>
          <w:noProof/>
          <w:sz w:val="22"/>
          <w:szCs w:val="22"/>
        </w:rPr>
        <mc:AlternateContent>
          <mc:Choice Requires="wps">
            <w:drawing>
              <wp:anchor distT="0" distB="0" distL="114300" distR="114300" simplePos="0" relativeHeight="254126080" behindDoc="0" locked="0" layoutInCell="1" allowOverlap="1" wp14:anchorId="50C17773" wp14:editId="36FA8212">
                <wp:simplePos x="0" y="0"/>
                <wp:positionH relativeFrom="column">
                  <wp:posOffset>4569874</wp:posOffset>
                </wp:positionH>
                <wp:positionV relativeFrom="paragraph">
                  <wp:posOffset>221201</wp:posOffset>
                </wp:positionV>
                <wp:extent cx="1257300" cy="731520"/>
                <wp:effectExtent l="0" t="0" r="19050" b="11430"/>
                <wp:wrapNone/>
                <wp:docPr id="4969" name="AutoShape 264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57300" cy="731520"/>
                        </a:xfrm>
                        <a:prstGeom prst="roundRect">
                          <a:avLst>
                            <a:gd name="adj" fmla="val 16667"/>
                          </a:avLst>
                        </a:prstGeom>
                        <a:solidFill>
                          <a:srgbClr val="FFFFFF"/>
                        </a:solidFill>
                        <a:ln w="9525">
                          <a:solidFill>
                            <a:srgbClr val="000000"/>
                          </a:solidFill>
                          <a:round/>
                          <a:headEnd/>
                          <a:tailEnd/>
                        </a:ln>
                      </wps:spPr>
                      <wps:txbx>
                        <w:txbxContent>
                          <w:p w14:paraId="32B884B3" w14:textId="77777777" w:rsidR="006A5267" w:rsidRDefault="006A5267" w:rsidP="00124241">
                            <w:pPr>
                              <w:spacing w:line="300" w:lineRule="exact"/>
                              <w:jc w:val="center"/>
                              <w:rPr>
                                <w:rFonts w:ascii="ＭＳ ゴシック" w:eastAsia="ＭＳ ゴシック" w:hAnsi="ＭＳ ゴシック"/>
                                <w:sz w:val="20"/>
                                <w:szCs w:val="20"/>
                              </w:rPr>
                            </w:pPr>
                            <w:r>
                              <w:rPr>
                                <w:rFonts w:ascii="ＭＳ ゴシック" w:eastAsia="ＭＳ ゴシック" w:hAnsi="ＭＳ ゴシック" w:hint="eastAsia"/>
                                <w:sz w:val="20"/>
                                <w:szCs w:val="20"/>
                              </w:rPr>
                              <w:t>大　阪　府</w:t>
                            </w:r>
                          </w:p>
                          <w:p w14:paraId="6BC78C55" w14:textId="77777777" w:rsidR="006A5267" w:rsidRDefault="006A5267" w:rsidP="00124241">
                            <w:pPr>
                              <w:spacing w:line="300" w:lineRule="exact"/>
                              <w:jc w:val="center"/>
                              <w:rPr>
                                <w:rFonts w:ascii="ＭＳ ゴシック" w:eastAsia="ＭＳ ゴシック" w:hAnsi="ＭＳ ゴシック"/>
                                <w:sz w:val="20"/>
                                <w:szCs w:val="20"/>
                              </w:rPr>
                            </w:pPr>
                            <w:r>
                              <w:rPr>
                                <w:rFonts w:ascii="ＭＳ ゴシック" w:eastAsia="ＭＳ ゴシック" w:hAnsi="ＭＳ ゴシック" w:hint="eastAsia"/>
                                <w:sz w:val="20"/>
                                <w:szCs w:val="20"/>
                              </w:rPr>
                              <w:t>災害対策本部</w:t>
                            </w:r>
                          </w:p>
                          <w:p w14:paraId="615F99C1" w14:textId="77777777" w:rsidR="006A5267" w:rsidRPr="00A527AA" w:rsidRDefault="006A5267" w:rsidP="00124241">
                            <w:pPr>
                              <w:spacing w:line="300" w:lineRule="exact"/>
                              <w:jc w:val="center"/>
                              <w:rPr>
                                <w:rFonts w:ascii="ＭＳ ゴシック" w:eastAsia="ＭＳ ゴシック" w:hAnsi="ＭＳ ゴシック"/>
                                <w:sz w:val="20"/>
                                <w:szCs w:val="20"/>
                              </w:rPr>
                            </w:pPr>
                            <w:r>
                              <w:rPr>
                                <w:rFonts w:ascii="ＭＳ ゴシック" w:eastAsia="ＭＳ ゴシック" w:hAnsi="ＭＳ ゴシック" w:hint="eastAsia"/>
                                <w:sz w:val="20"/>
                                <w:szCs w:val="20"/>
                              </w:rPr>
                              <w:t>（対策班</w:t>
                            </w:r>
                            <w:r>
                              <w:rPr>
                                <w:rFonts w:ascii="ＭＳ ゴシック" w:eastAsia="ＭＳ ゴシック" w:hAnsi="ＭＳ ゴシック"/>
                                <w:sz w:val="20"/>
                                <w:szCs w:val="20"/>
                              </w:rPr>
                              <w:t>）</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roundrect w14:anchorId="50C17773" id="AutoShape 2646" o:spid="_x0000_s1552" style="position:absolute;left:0;text-align:left;margin-left:359.85pt;margin-top:17.4pt;width:99pt;height:57.6pt;z-index:2541260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">
                <v:textbox inset="5.85pt,.7pt,5.85pt,.7pt">
                  <w:txbxContent>
                    <w:p w14:paraId="32B884B3" w14:textId="77777777" w:rsidR="006A5267" w:rsidRDefault="006A5267" w:rsidP="00124241">
                      <w:pPr>
                        <w:spacing w:line="300" w:lineRule="exact"/>
                        <w:jc w:val="center"/>
                        <w:rPr>
                          <w:rFonts w:ascii="ＭＳ ゴシック" w:eastAsia="ＭＳ ゴシック" w:hAnsi="ＭＳ ゴシック"/>
                          <w:sz w:val="20"/>
                          <w:szCs w:val="20"/>
                        </w:rPr>
                      </w:pPr>
                      <w:r>
                        <w:rPr>
                          <w:rFonts w:ascii="ＭＳ ゴシック" w:eastAsia="ＭＳ ゴシック" w:hAnsi="ＭＳ ゴシック" w:hint="eastAsia"/>
                          <w:sz w:val="20"/>
                          <w:szCs w:val="20"/>
                        </w:rPr>
                        <w:t>大　阪　府</w:t>
                      </w:r>
                    </w:p>
                    <w:p w14:paraId="6BC78C55" w14:textId="77777777" w:rsidR="006A5267" w:rsidRDefault="006A5267" w:rsidP="00124241">
                      <w:pPr>
                        <w:spacing w:line="300" w:lineRule="exact"/>
                        <w:jc w:val="center"/>
                        <w:rPr>
                          <w:rFonts w:ascii="ＭＳ ゴシック" w:eastAsia="ＭＳ ゴシック" w:hAnsi="ＭＳ ゴシック"/>
                          <w:sz w:val="20"/>
                          <w:szCs w:val="20"/>
                        </w:rPr>
                      </w:pPr>
                      <w:r>
                        <w:rPr>
                          <w:rFonts w:ascii="ＭＳ ゴシック" w:eastAsia="ＭＳ ゴシック" w:hAnsi="ＭＳ ゴシック" w:hint="eastAsia"/>
                          <w:sz w:val="20"/>
                          <w:szCs w:val="20"/>
                        </w:rPr>
                        <w:t>災害対策本部</w:t>
                      </w:r>
                    </w:p>
                    <w:p w14:paraId="615F99C1" w14:textId="77777777" w:rsidR="006A5267" w:rsidRPr="00A527AA" w:rsidRDefault="006A5267" w:rsidP="00124241">
                      <w:pPr>
                        <w:spacing w:line="300" w:lineRule="exact"/>
                        <w:jc w:val="center"/>
                        <w:rPr>
                          <w:rFonts w:ascii="ＭＳ ゴシック" w:eastAsia="ＭＳ ゴシック" w:hAnsi="ＭＳ ゴシック"/>
                          <w:sz w:val="20"/>
                          <w:szCs w:val="20"/>
                        </w:rPr>
                      </w:pPr>
                      <w:r>
                        <w:rPr>
                          <w:rFonts w:ascii="ＭＳ ゴシック" w:eastAsia="ＭＳ ゴシック" w:hAnsi="ＭＳ ゴシック" w:hint="eastAsia"/>
                          <w:sz w:val="20"/>
                          <w:szCs w:val="20"/>
                        </w:rPr>
                        <w:t>（対策班</w:t>
                      </w:r>
                      <w:r>
                        <w:rPr>
                          <w:rFonts w:ascii="ＭＳ ゴシック" w:eastAsia="ＭＳ ゴシック" w:hAnsi="ＭＳ ゴシック"/>
                          <w:sz w:val="20"/>
                          <w:szCs w:val="20"/>
                        </w:rPr>
                        <w:t>）</w:t>
                      </w:r>
                    </w:p>
                  </w:txbxContent>
                </v:textbox>
              </v:roundrect>
            </w:pict>
          </mc:Fallback>
        </mc:AlternateContent>
      </w:r>
    </w:p>
    <w:p w14:paraId="1B38AF95" w14:textId="77777777" w:rsidR="00124241" w:rsidRPr="008A3EDE" w:rsidRDefault="00124241" w:rsidP="00124241">
      <w:pPr>
        <w:pStyle w:val="a0"/>
        <w:rPr>
          <w:rFonts w:hAnsi="ＭＳ 明朝"/>
          <w:sz w:val="22"/>
          <w:szCs w:val="22"/>
        </w:rPr>
      </w:pPr>
    </w:p>
    <w:p w14:paraId="68B49EF3" w14:textId="77777777" w:rsidR="00124241" w:rsidRPr="008A3EDE" w:rsidRDefault="00124241" w:rsidP="00124241">
      <w:pPr>
        <w:pStyle w:val="a0"/>
        <w:rPr>
          <w:rFonts w:hAnsi="ＭＳ 明朝"/>
          <w:sz w:val="22"/>
          <w:szCs w:val="22"/>
        </w:rPr>
      </w:pPr>
    </w:p>
    <w:p w14:paraId="7442B67A" w14:textId="77777777" w:rsidR="00124241" w:rsidRPr="008A3EDE" w:rsidRDefault="00124241" w:rsidP="00124241">
      <w:pPr>
        <w:pStyle w:val="a0"/>
        <w:rPr>
          <w:rFonts w:hAnsi="ＭＳ 明朝"/>
          <w:sz w:val="22"/>
          <w:szCs w:val="22"/>
        </w:rPr>
      </w:pPr>
      <w:r w:rsidRPr="008A3EDE">
        <w:rPr>
          <w:rFonts w:hAnsi="ＭＳ 明朝" w:hint="eastAsia"/>
          <w:noProof/>
          <w:sz w:val="22"/>
          <w:szCs w:val="22"/>
        </w:rPr>
        <mc:AlternateContent>
          <mc:Choice Requires="wps">
            <w:drawing>
              <wp:anchor distT="0" distB="0" distL="114300" distR="114300" simplePos="0" relativeHeight="254145536" behindDoc="0" locked="0" layoutInCell="1" allowOverlap="1" wp14:anchorId="713C7737" wp14:editId="435CD07E">
                <wp:simplePos x="0" y="0"/>
                <wp:positionH relativeFrom="column">
                  <wp:posOffset>2914650</wp:posOffset>
                </wp:positionH>
                <wp:positionV relativeFrom="paragraph">
                  <wp:posOffset>131114</wp:posOffset>
                </wp:positionV>
                <wp:extent cx="457200" cy="228600"/>
                <wp:effectExtent l="0" t="0" r="0" b="0"/>
                <wp:wrapNone/>
                <wp:docPr id="4970" name="Text Box 266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57200" cy="228600"/>
                        </a:xfrm>
                        <a:prstGeom prst="rect">
                          <a:avLst/>
                        </a:prstGeom>
                        <a:noFill/>
                        <a:ln>
                          <a:noFill/>
                        </a:ln>
                      </wps:spPr>
                      <wps:txbx>
                        <w:txbxContent>
                          <w:p w14:paraId="5E0CF860" w14:textId="77777777" w:rsidR="006A5267" w:rsidRPr="0028754B" w:rsidRDefault="006A5267" w:rsidP="00124241">
                            <w:pPr>
                              <w:rPr>
                                <w:rFonts w:ascii="ＭＳ ゴシック" w:eastAsia="ＭＳ ゴシック" w:hAnsi="ＭＳ ゴシック"/>
                                <w:sz w:val="20"/>
                                <w:szCs w:val="20"/>
                              </w:rPr>
                            </w:pPr>
                            <w:r>
                              <w:rPr>
                                <w:rFonts w:ascii="ＭＳ ゴシック" w:eastAsia="ＭＳ ゴシック" w:hAnsi="ＭＳ ゴシック" w:hint="eastAsia"/>
                                <w:sz w:val="20"/>
                                <w:szCs w:val="20"/>
                              </w:rPr>
                              <w:t>連携</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shape w14:anchorId="713C7737" id="Text Box 2664" o:spid="_x0000_s1553" type="#_x0000_t202" style="position:absolute;left:0;text-align:left;margin-left:229.5pt;margin-top:10.3pt;width:36pt;height:18pt;z-index:2541455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" filled="f" stroked="f">
                <v:textbox inset="5.85pt,.7pt,5.85pt,.7pt">
                  <w:txbxContent>
                    <w:p w14:paraId="5E0CF860" w14:textId="77777777" w:rsidR="006A5267" w:rsidRPr="0028754B" w:rsidRDefault="006A5267" w:rsidP="00124241">
                      <w:pPr>
                        <w:rPr>
                          <w:rFonts w:ascii="ＭＳ ゴシック" w:eastAsia="ＭＳ ゴシック" w:hAnsi="ＭＳ ゴシック"/>
                          <w:sz w:val="20"/>
                          <w:szCs w:val="20"/>
                        </w:rPr>
                      </w:pPr>
                      <w:r>
                        <w:rPr>
                          <w:rFonts w:ascii="ＭＳ ゴシック" w:eastAsia="ＭＳ ゴシック" w:hAnsi="ＭＳ ゴシック" w:hint="eastAsia"/>
                          <w:sz w:val="20"/>
                          <w:szCs w:val="20"/>
                        </w:rPr>
                        <w:t>連携</w:t>
                      </w:r>
                    </w:p>
                  </w:txbxContent>
                </v:textbox>
              </v:shape>
            </w:pict>
          </mc:Fallback>
        </mc:AlternateContent>
      </w:r>
      <w:r w:rsidRPr="008A3EDE">
        <w:rPr>
          <w:rFonts w:hAnsi="ＭＳ 明朝" w:hint="eastAsia"/>
          <w:noProof/>
          <w:sz w:val="22"/>
          <w:szCs w:val="22"/>
        </w:rPr>
        <mc:AlternateContent>
          <mc:Choice Requires="wps">
            <w:drawing>
              <wp:anchor distT="0" distB="0" distL="114300" distR="114300" simplePos="0" relativeHeight="254139392" behindDoc="0" locked="0" layoutInCell="1" allowOverlap="1" wp14:anchorId="6CEC820F" wp14:editId="5AB75773">
                <wp:simplePos x="0" y="0"/>
                <wp:positionH relativeFrom="column">
                  <wp:posOffset>2860344</wp:posOffset>
                </wp:positionH>
                <wp:positionV relativeFrom="paragraph">
                  <wp:posOffset>33765</wp:posOffset>
                </wp:positionV>
                <wp:extent cx="0" cy="329980"/>
                <wp:effectExtent l="76200" t="38100" r="76200" b="51435"/>
                <wp:wrapNone/>
                <wp:docPr id="4971" name="Line 265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329980"/>
                        </a:xfrm>
                        <a:prstGeom prst="line">
                          <a:avLst/>
                        </a:prstGeom>
                        <a:noFill/>
                        <a:ln w="9525">
                          <a:solidFill>
                            <a:srgbClr val="000000"/>
                          </a:solidFill>
                          <a:round/>
                          <a:headEnd type="triangle" w="med" len="me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line w14:anchorId="42FE90BD" id="Line 2658" o:spid="_x0000_s1026" style="position:absolute;left:0;text-align:left;z-index:2541393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25.2pt,2.65pt" to="225.2pt,28.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">
                <v:stroke startarrow="block" endarrow="block"/>
              </v:line>
            </w:pict>
          </mc:Fallback>
        </mc:AlternateContent>
      </w:r>
      <w:r w:rsidRPr="008A3EDE">
        <w:rPr>
          <w:rFonts w:hAnsi="ＭＳ 明朝" w:hint="eastAsia"/>
          <w:noProof/>
          <w:sz w:val="22"/>
          <w:szCs w:val="22"/>
        </w:rPr>
        <mc:AlternateContent>
          <mc:Choice Requires="wps">
            <w:drawing>
              <wp:anchor distT="0" distB="0" distL="114300" distR="114300" simplePos="0" relativeHeight="254138368" behindDoc="0" locked="0" layoutInCell="1" allowOverlap="1" wp14:anchorId="5170FC1A" wp14:editId="46A2C346">
                <wp:simplePos x="0" y="0"/>
                <wp:positionH relativeFrom="column">
                  <wp:posOffset>2061514</wp:posOffset>
                </wp:positionH>
                <wp:positionV relativeFrom="paragraph">
                  <wp:posOffset>9525</wp:posOffset>
                </wp:positionV>
                <wp:extent cx="0" cy="897890"/>
                <wp:effectExtent l="76200" t="38100" r="57150" b="54610"/>
                <wp:wrapNone/>
                <wp:docPr id="4972" name="Line 265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897890"/>
                        </a:xfrm>
                        <a:prstGeom prst="line">
                          <a:avLst/>
                        </a:prstGeom>
                        <a:noFill/>
                        <a:ln w="9525">
                          <a:solidFill>
                            <a:srgbClr val="000000"/>
                          </a:solidFill>
                          <a:round/>
                          <a:headEnd type="triangle" w="med" len="me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line w14:anchorId="2CA516B2" id="Line 2657" o:spid="_x0000_s1026" style="position:absolute;left:0;text-align:left;z-index:2541383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62.3pt,.75pt" to="162.3pt,71.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">
                <v:stroke startarrow="block" endarrow="block"/>
              </v:line>
            </w:pict>
          </mc:Fallback>
        </mc:AlternateContent>
      </w:r>
    </w:p>
    <w:p w14:paraId="3E5F5D3B" w14:textId="77777777" w:rsidR="00124241" w:rsidRPr="008A3EDE" w:rsidRDefault="00124241" w:rsidP="00124241">
      <w:pPr>
        <w:pStyle w:val="a0"/>
        <w:rPr>
          <w:rFonts w:hAnsi="ＭＳ 明朝"/>
          <w:sz w:val="22"/>
          <w:szCs w:val="22"/>
        </w:rPr>
      </w:pPr>
      <w:r w:rsidRPr="008A3EDE">
        <w:rPr>
          <w:rFonts w:hAnsi="ＭＳ 明朝" w:hint="eastAsia"/>
          <w:noProof/>
          <w:sz w:val="22"/>
          <w:szCs w:val="22"/>
        </w:rPr>
        <mc:AlternateContent>
          <mc:Choice Requires="wps">
            <w:drawing>
              <wp:anchor distT="0" distB="0" distL="114300" distR="114300" simplePos="0" relativeHeight="254136320" behindDoc="0" locked="0" layoutInCell="1" allowOverlap="1" wp14:anchorId="4F1A80BB" wp14:editId="6D2A2EDE">
                <wp:simplePos x="0" y="0"/>
                <wp:positionH relativeFrom="column">
                  <wp:posOffset>2675890</wp:posOffset>
                </wp:positionH>
                <wp:positionV relativeFrom="paragraph">
                  <wp:posOffset>144780</wp:posOffset>
                </wp:positionV>
                <wp:extent cx="1847850" cy="247650"/>
                <wp:effectExtent l="0" t="0" r="19050" b="19050"/>
                <wp:wrapNone/>
                <wp:docPr id="4973" name="Text Box 265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47850" cy="247650"/>
                        </a:xfrm>
                        <a:prstGeom prst="rect">
                          <a:avLst/>
                        </a:prstGeom>
                        <a:solidFill>
                          <a:srgbClr val="FFFFFF"/>
                        </a:solidFill>
                        <a:ln w="9525">
                          <a:solidFill>
                            <a:srgbClr val="000000"/>
                          </a:solidFill>
                          <a:miter lim="800000"/>
                          <a:headEnd/>
                          <a:tailEnd/>
                        </a:ln>
                      </wps:spPr>
                      <wps:txbx>
                        <w:txbxContent>
                          <w:p w14:paraId="76BF4E29" w14:textId="77777777" w:rsidR="006A5267" w:rsidRPr="0028754B" w:rsidRDefault="006A5267" w:rsidP="00124241">
                            <w:pPr>
                              <w:jc w:val="center"/>
                              <w:rPr>
                                <w:rFonts w:ascii="ＭＳ ゴシック" w:eastAsia="ＭＳ ゴシック" w:hAnsi="ＭＳ ゴシック"/>
                                <w:sz w:val="20"/>
                                <w:szCs w:val="20"/>
                              </w:rPr>
                            </w:pPr>
                            <w:r>
                              <w:rPr>
                                <w:rFonts w:ascii="ＭＳ ゴシック" w:eastAsia="ＭＳ ゴシック" w:hAnsi="ＭＳ ゴシック" w:hint="eastAsia"/>
                                <w:sz w:val="20"/>
                                <w:szCs w:val="20"/>
                              </w:rPr>
                              <w:t>府内</w:t>
                            </w:r>
                            <w:r w:rsidRPr="00176819">
                              <w:rPr>
                                <w:rFonts w:ascii="ＭＳ ゴシック" w:eastAsia="ＭＳ ゴシック" w:hAnsi="ＭＳ ゴシック" w:hint="eastAsia"/>
                                <w:sz w:val="20"/>
                                <w:szCs w:val="20"/>
                              </w:rPr>
                              <w:t>市町村</w:t>
                            </w:r>
                            <w:r>
                              <w:rPr>
                                <w:rFonts w:ascii="ＭＳ ゴシック" w:eastAsia="ＭＳ ゴシック" w:hAnsi="ＭＳ ゴシック" w:hint="eastAsia"/>
                                <w:sz w:val="20"/>
                                <w:szCs w:val="20"/>
                              </w:rPr>
                              <w:t>社会福祉協議会</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shape w14:anchorId="4F1A80BB" id="Text Box 2655" o:spid="_x0000_s1554" type="#_x0000_t202" style="position:absolute;left:0;text-align:left;margin-left:210.7pt;margin-top:11.4pt;width:145.5pt;height:19.5pt;z-index:2541363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">
                <v:textbox inset="5.85pt,.7pt,5.85pt,.7pt">
                  <w:txbxContent>
                    <w:p w14:paraId="76BF4E29" w14:textId="77777777" w:rsidR="006A5267" w:rsidRPr="0028754B" w:rsidRDefault="006A5267" w:rsidP="00124241">
                      <w:pPr>
                        <w:jc w:val="center"/>
                        <w:rPr>
                          <w:rFonts w:ascii="ＭＳ ゴシック" w:eastAsia="ＭＳ ゴシック" w:hAnsi="ＭＳ ゴシック"/>
                          <w:sz w:val="20"/>
                          <w:szCs w:val="20"/>
                        </w:rPr>
                      </w:pPr>
                      <w:r>
                        <w:rPr>
                          <w:rFonts w:ascii="ＭＳ ゴシック" w:eastAsia="ＭＳ ゴシック" w:hAnsi="ＭＳ ゴシック" w:hint="eastAsia"/>
                          <w:sz w:val="20"/>
                          <w:szCs w:val="20"/>
                        </w:rPr>
                        <w:t>府内</w:t>
                      </w:r>
                      <w:r w:rsidRPr="00176819">
                        <w:rPr>
                          <w:rFonts w:ascii="ＭＳ ゴシック" w:eastAsia="ＭＳ ゴシック" w:hAnsi="ＭＳ ゴシック" w:hint="eastAsia"/>
                          <w:sz w:val="20"/>
                          <w:szCs w:val="20"/>
                        </w:rPr>
                        <w:t>市町村</w:t>
                      </w:r>
                      <w:r>
                        <w:rPr>
                          <w:rFonts w:ascii="ＭＳ ゴシック" w:eastAsia="ＭＳ ゴシック" w:hAnsi="ＭＳ ゴシック" w:hint="eastAsia"/>
                          <w:sz w:val="20"/>
                          <w:szCs w:val="20"/>
                        </w:rPr>
                        <w:t>社会福祉協議会</w:t>
                      </w:r>
                    </w:p>
                  </w:txbxContent>
                </v:textbox>
              </v:shape>
            </w:pict>
          </mc:Fallback>
        </mc:AlternateContent>
      </w:r>
      <w:r w:rsidRPr="008A3EDE">
        <w:rPr>
          <w:rFonts w:hAnsi="ＭＳ 明朝" w:hint="eastAsia"/>
          <w:noProof/>
          <w:sz w:val="22"/>
          <w:szCs w:val="22"/>
        </w:rPr>
        <mc:AlternateContent>
          <mc:Choice Requires="wps">
            <w:drawing>
              <wp:anchor distT="0" distB="0" distL="114300" distR="114300" simplePos="0" relativeHeight="254144512" behindDoc="0" locked="0" layoutInCell="1" allowOverlap="1" wp14:anchorId="36943ECB" wp14:editId="0654DDB5">
                <wp:simplePos x="0" y="0"/>
                <wp:positionH relativeFrom="column">
                  <wp:posOffset>2071342</wp:posOffset>
                </wp:positionH>
                <wp:positionV relativeFrom="paragraph">
                  <wp:posOffset>31750</wp:posOffset>
                </wp:positionV>
                <wp:extent cx="457200" cy="461176"/>
                <wp:effectExtent l="0" t="0" r="0" b="0"/>
                <wp:wrapNone/>
                <wp:docPr id="4974" name="Text Box 266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57200" cy="461176"/>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722DCCC2" w14:textId="77777777" w:rsidR="006A5267" w:rsidRDefault="006A5267" w:rsidP="00124241">
                            <w:pPr>
                              <w:rPr>
                                <w:rFonts w:ascii="ＭＳ ゴシック" w:eastAsia="ＭＳ ゴシック" w:hAnsi="ＭＳ ゴシック"/>
                                <w:sz w:val="20"/>
                                <w:szCs w:val="20"/>
                              </w:rPr>
                            </w:pPr>
                            <w:r>
                              <w:rPr>
                                <w:rFonts w:ascii="ＭＳ ゴシック" w:eastAsia="ＭＳ ゴシック" w:hAnsi="ＭＳ ゴシック" w:hint="eastAsia"/>
                                <w:sz w:val="20"/>
                                <w:szCs w:val="20"/>
                              </w:rPr>
                              <w:t>連携</w:t>
                            </w:r>
                          </w:p>
                          <w:p w14:paraId="62152B4E" w14:textId="77777777" w:rsidR="006A5267" w:rsidRPr="0028754B" w:rsidRDefault="006A5267" w:rsidP="00124241">
                            <w:pPr>
                              <w:rPr>
                                <w:rFonts w:ascii="ＭＳ ゴシック" w:eastAsia="ＭＳ ゴシック" w:hAnsi="ＭＳ ゴシック"/>
                                <w:sz w:val="20"/>
                                <w:szCs w:val="20"/>
                              </w:rPr>
                            </w:pPr>
                            <w:r>
                              <w:rPr>
                                <w:rFonts w:ascii="ＭＳ ゴシック" w:eastAsia="ＭＳ ゴシック" w:hAnsi="ＭＳ ゴシック" w:hint="eastAsia"/>
                                <w:sz w:val="20"/>
                                <w:szCs w:val="20"/>
                              </w:rPr>
                              <w:t>支援</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shape w14:anchorId="36943ECB" id="Text Box 2663" o:spid="_x0000_s1555" type="#_x0000_t202" style="position:absolute;left:0;text-align:left;margin-left:163.1pt;margin-top:2.5pt;width:36pt;height:36.3pt;z-index:2541445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" stroked="f">
                <v:textbox inset="5.85pt,.7pt,5.85pt,.7pt">
                  <w:txbxContent>
                    <w:p w14:paraId="722DCCC2" w14:textId="77777777" w:rsidR="006A5267" w:rsidRDefault="006A5267" w:rsidP="00124241">
                      <w:pPr>
                        <w:rPr>
                          <w:rFonts w:ascii="ＭＳ ゴシック" w:eastAsia="ＭＳ ゴシック" w:hAnsi="ＭＳ ゴシック"/>
                          <w:sz w:val="20"/>
                          <w:szCs w:val="20"/>
                        </w:rPr>
                      </w:pPr>
                      <w:r>
                        <w:rPr>
                          <w:rFonts w:ascii="ＭＳ ゴシック" w:eastAsia="ＭＳ ゴシック" w:hAnsi="ＭＳ ゴシック" w:hint="eastAsia"/>
                          <w:sz w:val="20"/>
                          <w:szCs w:val="20"/>
                        </w:rPr>
                        <w:t>連携</w:t>
                      </w:r>
                    </w:p>
                    <w:p w14:paraId="62152B4E" w14:textId="77777777" w:rsidR="006A5267" w:rsidRPr="0028754B" w:rsidRDefault="006A5267" w:rsidP="00124241">
                      <w:pPr>
                        <w:rPr>
                          <w:rFonts w:ascii="ＭＳ ゴシック" w:eastAsia="ＭＳ ゴシック" w:hAnsi="ＭＳ ゴシック"/>
                          <w:sz w:val="20"/>
                          <w:szCs w:val="20"/>
                        </w:rPr>
                      </w:pPr>
                      <w:r>
                        <w:rPr>
                          <w:rFonts w:ascii="ＭＳ ゴシック" w:eastAsia="ＭＳ ゴシック" w:hAnsi="ＭＳ ゴシック" w:hint="eastAsia"/>
                          <w:sz w:val="20"/>
                          <w:szCs w:val="20"/>
                        </w:rPr>
                        <w:t>支援</w:t>
                      </w:r>
                    </w:p>
                  </w:txbxContent>
                </v:textbox>
              </v:shape>
            </w:pict>
          </mc:Fallback>
        </mc:AlternateContent>
      </w:r>
      <w:r w:rsidRPr="008A3EDE">
        <w:rPr>
          <w:rFonts w:hAnsi="ＭＳ 明朝" w:hint="eastAsia"/>
          <w:noProof/>
          <w:sz w:val="22"/>
          <w:szCs w:val="22"/>
        </w:rPr>
        <mc:AlternateContent>
          <mc:Choice Requires="wps">
            <w:drawing>
              <wp:anchor distT="0" distB="0" distL="114300" distR="114300" simplePos="0" relativeHeight="254148608" behindDoc="0" locked="0" layoutInCell="1" allowOverlap="1" wp14:anchorId="714D2D4E" wp14:editId="00CA2154">
                <wp:simplePos x="0" y="0"/>
                <wp:positionH relativeFrom="column">
                  <wp:posOffset>5149850</wp:posOffset>
                </wp:positionH>
                <wp:positionV relativeFrom="paragraph">
                  <wp:posOffset>77774</wp:posOffset>
                </wp:positionV>
                <wp:extent cx="0" cy="587761"/>
                <wp:effectExtent l="76200" t="38100" r="57150" b="60325"/>
                <wp:wrapNone/>
                <wp:docPr id="4975" name="Line 266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587761"/>
                        </a:xfrm>
                        <a:prstGeom prst="line">
                          <a:avLst/>
                        </a:prstGeom>
                        <a:noFill/>
                        <a:ln w="9525">
                          <a:solidFill>
                            <a:srgbClr val="000000"/>
                          </a:solidFill>
                          <a:round/>
                          <a:headEnd type="triangle" w="med" len="me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line w14:anchorId="463E00DD" id="Line 2667" o:spid="_x0000_s1026" style="position:absolute;left:0;text-align:left;z-index:2541486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05.5pt,6.1pt" to="405.5pt,52.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">
                <v:stroke startarrow="block" endarrow="block"/>
              </v:line>
            </w:pict>
          </mc:Fallback>
        </mc:AlternateContent>
      </w:r>
    </w:p>
    <w:p w14:paraId="6B888476" w14:textId="77777777" w:rsidR="00124241" w:rsidRPr="008A3EDE" w:rsidRDefault="00124241" w:rsidP="00124241">
      <w:pPr>
        <w:pStyle w:val="a0"/>
        <w:rPr>
          <w:rFonts w:hAnsi="ＭＳ 明朝"/>
          <w:sz w:val="22"/>
          <w:szCs w:val="22"/>
        </w:rPr>
      </w:pPr>
      <w:r w:rsidRPr="008A3EDE">
        <w:rPr>
          <w:rFonts w:hAnsi="ＭＳ 明朝" w:hint="eastAsia"/>
          <w:noProof/>
          <w:sz w:val="22"/>
          <w:szCs w:val="22"/>
        </w:rPr>
        <mc:AlternateContent>
          <mc:Choice Requires="wps">
            <w:drawing>
              <wp:anchor distT="0" distB="0" distL="114300" distR="114300" simplePos="0" relativeHeight="254123008" behindDoc="0" locked="0" layoutInCell="1" allowOverlap="1" wp14:anchorId="1C506FD1" wp14:editId="656D4C4F">
                <wp:simplePos x="0" y="0"/>
                <wp:positionH relativeFrom="column">
                  <wp:posOffset>2863215</wp:posOffset>
                </wp:positionH>
                <wp:positionV relativeFrom="paragraph">
                  <wp:posOffset>132080</wp:posOffset>
                </wp:positionV>
                <wp:extent cx="0" cy="329565"/>
                <wp:effectExtent l="76200" t="0" r="76200" b="51435"/>
                <wp:wrapNone/>
                <wp:docPr id="4976" name="Line 265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329565"/>
                        </a:xfrm>
                        <a:prstGeom prst="line">
                          <a:avLst/>
                        </a:prstGeom>
                        <a:noFill/>
                        <a:ln w="9525">
                          <a:solidFill>
                            <a:srgbClr val="000000"/>
                          </a:solidFill>
                          <a:round/>
                          <a:headEnd type="none" w="med" len="me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line w14:anchorId="0039F35A" id="Line 2658" o:spid="_x0000_s1026" style="position:absolute;left:0;text-align:left;z-index:2541230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25.45pt,10.4pt" to="225.45pt,36.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">
                <v:stroke endarrow="block"/>
              </v:line>
            </w:pict>
          </mc:Fallback>
        </mc:AlternateContent>
      </w:r>
      <w:r w:rsidRPr="008A3EDE">
        <w:rPr>
          <w:rFonts w:hAnsi="ＭＳ 明朝" w:hint="eastAsia"/>
          <w:noProof/>
          <w:sz w:val="22"/>
          <w:szCs w:val="22"/>
        </w:rPr>
        <mc:AlternateContent>
          <mc:Choice Requires="wps">
            <w:drawing>
              <wp:anchor distT="0" distB="0" distL="114300" distR="114300" simplePos="0" relativeHeight="254151680" behindDoc="0" locked="0" layoutInCell="1" allowOverlap="1" wp14:anchorId="75BDA1DD" wp14:editId="2D1566C4">
                <wp:simplePos x="0" y="0"/>
                <wp:positionH relativeFrom="column">
                  <wp:posOffset>2918129</wp:posOffset>
                </wp:positionH>
                <wp:positionV relativeFrom="paragraph">
                  <wp:posOffset>191715</wp:posOffset>
                </wp:positionV>
                <wp:extent cx="457200" cy="228600"/>
                <wp:effectExtent l="0" t="0" r="0" b="0"/>
                <wp:wrapNone/>
                <wp:docPr id="4977" name="Text Box 266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57200" cy="228600"/>
                        </a:xfrm>
                        <a:prstGeom prst="rect">
                          <a:avLst/>
                        </a:prstGeom>
                        <a:noFill/>
                        <a:ln>
                          <a:noFill/>
                        </a:ln>
                      </wps:spPr>
                      <wps:txbx>
                        <w:txbxContent>
                          <w:p w14:paraId="5363CC27" w14:textId="77777777" w:rsidR="006A5267" w:rsidRPr="0028754B" w:rsidRDefault="006A5267" w:rsidP="00124241">
                            <w:pPr>
                              <w:rPr>
                                <w:rFonts w:ascii="ＭＳ ゴシック" w:eastAsia="ＭＳ ゴシック" w:hAnsi="ＭＳ ゴシック"/>
                                <w:sz w:val="20"/>
                                <w:szCs w:val="20"/>
                              </w:rPr>
                            </w:pPr>
                            <w:r>
                              <w:rPr>
                                <w:rFonts w:ascii="ＭＳ ゴシック" w:eastAsia="ＭＳ ゴシック" w:hAnsi="ＭＳ ゴシック" w:hint="eastAsia"/>
                                <w:sz w:val="20"/>
                                <w:szCs w:val="20"/>
                              </w:rPr>
                              <w:t>支援</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shape w14:anchorId="75BDA1DD" id="_x0000_s1556" type="#_x0000_t202" style="position:absolute;left:0;text-align:left;margin-left:229.75pt;margin-top:15.1pt;width:36pt;height:18pt;z-index:254151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" filled="f" stroked="f">
                <v:textbox inset="5.85pt,.7pt,5.85pt,.7pt">
                  <w:txbxContent>
                    <w:p w14:paraId="5363CC27" w14:textId="77777777" w:rsidR="006A5267" w:rsidRPr="0028754B" w:rsidRDefault="006A5267" w:rsidP="00124241">
                      <w:pPr>
                        <w:rPr>
                          <w:rFonts w:ascii="ＭＳ ゴシック" w:eastAsia="ＭＳ ゴシック" w:hAnsi="ＭＳ ゴシック"/>
                          <w:sz w:val="20"/>
                          <w:szCs w:val="20"/>
                        </w:rPr>
                      </w:pPr>
                      <w:r>
                        <w:rPr>
                          <w:rFonts w:ascii="ＭＳ ゴシック" w:eastAsia="ＭＳ ゴシック" w:hAnsi="ＭＳ ゴシック" w:hint="eastAsia"/>
                          <w:sz w:val="20"/>
                          <w:szCs w:val="20"/>
                        </w:rPr>
                        <w:t>支援</w:t>
                      </w:r>
                    </w:p>
                  </w:txbxContent>
                </v:textbox>
              </v:shape>
            </w:pict>
          </mc:Fallback>
        </mc:AlternateContent>
      </w:r>
      <w:r w:rsidRPr="008A3EDE">
        <w:rPr>
          <w:rFonts w:hAnsi="ＭＳ 明朝" w:hint="eastAsia"/>
          <w:noProof/>
          <w:sz w:val="22"/>
          <w:szCs w:val="22"/>
        </w:rPr>
        <mc:AlternateContent>
          <mc:Choice Requires="wps">
            <w:drawing>
              <wp:anchor distT="0" distB="0" distL="114300" distR="114300" simplePos="0" relativeHeight="254149632" behindDoc="0" locked="0" layoutInCell="1" allowOverlap="1" wp14:anchorId="64C43431" wp14:editId="29143A02">
                <wp:simplePos x="0" y="0"/>
                <wp:positionH relativeFrom="column">
                  <wp:posOffset>5143500</wp:posOffset>
                </wp:positionH>
                <wp:positionV relativeFrom="paragraph">
                  <wp:posOffset>27609</wp:posOffset>
                </wp:positionV>
                <wp:extent cx="457200" cy="228600"/>
                <wp:effectExtent l="0" t="0" r="0" b="0"/>
                <wp:wrapNone/>
                <wp:docPr id="4978" name="Text Box 266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57200" cy="2286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27A318E" w14:textId="77777777" w:rsidR="006A5267" w:rsidRPr="0028754B" w:rsidRDefault="006A5267" w:rsidP="00124241">
                            <w:pPr>
                              <w:rPr>
                                <w:rFonts w:ascii="ＭＳ ゴシック" w:eastAsia="ＭＳ ゴシック" w:hAnsi="ＭＳ ゴシック"/>
                                <w:sz w:val="20"/>
                                <w:szCs w:val="20"/>
                              </w:rPr>
                            </w:pPr>
                            <w:r>
                              <w:rPr>
                                <w:rFonts w:ascii="ＭＳ ゴシック" w:eastAsia="ＭＳ ゴシック" w:hAnsi="ＭＳ ゴシック" w:hint="eastAsia"/>
                                <w:sz w:val="20"/>
                                <w:szCs w:val="20"/>
                              </w:rPr>
                              <w:t>連携</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shape w14:anchorId="64C43431" id="_x0000_s1557" type="#_x0000_t202" style="position:absolute;left:0;text-align:left;margin-left:405pt;margin-top:2.15pt;width:36pt;height:18pt;z-index:2541496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" filled="f" stroked="f">
                <v:textbox inset="5.85pt,.7pt,5.85pt,.7pt">
                  <w:txbxContent>
                    <w:p w14:paraId="127A318E" w14:textId="77777777" w:rsidR="006A5267" w:rsidRPr="0028754B" w:rsidRDefault="006A5267" w:rsidP="00124241">
                      <w:pPr>
                        <w:rPr>
                          <w:rFonts w:ascii="ＭＳ ゴシック" w:eastAsia="ＭＳ ゴシック" w:hAnsi="ＭＳ ゴシック"/>
                          <w:sz w:val="20"/>
                          <w:szCs w:val="20"/>
                        </w:rPr>
                      </w:pPr>
                      <w:r>
                        <w:rPr>
                          <w:rFonts w:ascii="ＭＳ ゴシック" w:eastAsia="ＭＳ ゴシック" w:hAnsi="ＭＳ ゴシック" w:hint="eastAsia"/>
                          <w:sz w:val="20"/>
                          <w:szCs w:val="20"/>
                        </w:rPr>
                        <w:t>連携</w:t>
                      </w:r>
                    </w:p>
                  </w:txbxContent>
                </v:textbox>
              </v:shape>
            </w:pict>
          </mc:Fallback>
        </mc:AlternateContent>
      </w:r>
    </w:p>
    <w:p w14:paraId="6F4E8F83" w14:textId="77777777" w:rsidR="00124241" w:rsidRPr="008A3EDE" w:rsidRDefault="00124241" w:rsidP="00124241">
      <w:pPr>
        <w:pStyle w:val="a0"/>
        <w:rPr>
          <w:rFonts w:hAnsi="ＭＳ 明朝"/>
          <w:sz w:val="22"/>
          <w:szCs w:val="22"/>
        </w:rPr>
      </w:pPr>
    </w:p>
    <w:p w14:paraId="33E47D1E" w14:textId="77777777" w:rsidR="00124241" w:rsidRPr="008A3EDE" w:rsidRDefault="00124241" w:rsidP="00124241">
      <w:pPr>
        <w:pStyle w:val="a0"/>
        <w:rPr>
          <w:rFonts w:hAnsi="ＭＳ 明朝"/>
          <w:sz w:val="22"/>
          <w:szCs w:val="22"/>
        </w:rPr>
      </w:pPr>
    </w:p>
    <w:p w14:paraId="5FA0AA5C" w14:textId="77777777" w:rsidR="00124241" w:rsidRPr="008A3EDE" w:rsidRDefault="00124241" w:rsidP="00124241">
      <w:pPr>
        <w:pStyle w:val="a0"/>
        <w:rPr>
          <w:rFonts w:hAnsi="ＭＳ 明朝"/>
          <w:sz w:val="22"/>
          <w:szCs w:val="22"/>
        </w:rPr>
      </w:pPr>
    </w:p>
    <w:p w14:paraId="31B469AF" w14:textId="77777777" w:rsidR="00124241" w:rsidRPr="008A3EDE" w:rsidRDefault="00124241" w:rsidP="00124241">
      <w:pPr>
        <w:pStyle w:val="a0"/>
        <w:rPr>
          <w:rFonts w:hAnsi="ＭＳ 明朝"/>
          <w:sz w:val="22"/>
          <w:szCs w:val="22"/>
        </w:rPr>
      </w:pPr>
      <w:r w:rsidRPr="008A3EDE">
        <w:rPr>
          <w:rFonts w:hAnsi="ＭＳ 明朝" w:hint="eastAsia"/>
          <w:noProof/>
          <w:sz w:val="22"/>
          <w:szCs w:val="22"/>
        </w:rPr>
        <mc:AlternateContent>
          <mc:Choice Requires="wps">
            <w:drawing>
              <wp:anchor distT="0" distB="0" distL="114300" distR="114300" simplePos="0" relativeHeight="254150656" behindDoc="0" locked="0" layoutInCell="1" allowOverlap="1" wp14:anchorId="37B30969" wp14:editId="0802192D">
                <wp:simplePos x="0" y="0"/>
                <wp:positionH relativeFrom="column">
                  <wp:posOffset>2937510</wp:posOffset>
                </wp:positionH>
                <wp:positionV relativeFrom="paragraph">
                  <wp:posOffset>91771</wp:posOffset>
                </wp:positionV>
                <wp:extent cx="914400" cy="228600"/>
                <wp:effectExtent l="0" t="0" r="0" b="0"/>
                <wp:wrapNone/>
                <wp:docPr id="4979" name="Text Box 266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14400" cy="228600"/>
                        </a:xfrm>
                        <a:prstGeom prst="rect">
                          <a:avLst/>
                        </a:prstGeom>
                        <a:noFill/>
                        <a:ln>
                          <a:noFill/>
                        </a:ln>
                      </wps:spPr>
                      <wps:txbx>
                        <w:txbxContent>
                          <w:p w14:paraId="4C5EB61A" w14:textId="77777777" w:rsidR="006A5267" w:rsidRPr="009B3E68" w:rsidRDefault="006A5267" w:rsidP="00124241">
                            <w:pPr>
                              <w:rPr>
                                <w:rFonts w:ascii="ＭＳ ゴシック" w:eastAsia="ＭＳ ゴシック" w:hAnsi="ＭＳ ゴシック"/>
                                <w:sz w:val="20"/>
                                <w:szCs w:val="20"/>
                              </w:rPr>
                            </w:pPr>
                            <w:r>
                              <w:rPr>
                                <w:rFonts w:ascii="ＭＳ ゴシック" w:eastAsia="ＭＳ ゴシック" w:hAnsi="ＭＳ ゴシック" w:hint="eastAsia"/>
                                <w:sz w:val="20"/>
                                <w:szCs w:val="20"/>
                              </w:rPr>
                              <w:t>派遣（支援）</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shape w14:anchorId="37B30969" id="Text Box 2669" o:spid="_x0000_s1558" type="#_x0000_t202" style="position:absolute;left:0;text-align:left;margin-left:231.3pt;margin-top:7.25pt;width:1in;height:18pt;z-index:2541506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" filled="f" stroked="f">
                <v:textbox inset="5.85pt,.7pt,5.85pt,.7pt">
                  <w:txbxContent>
                    <w:p w14:paraId="4C5EB61A" w14:textId="77777777" w:rsidR="006A5267" w:rsidRPr="009B3E68" w:rsidRDefault="006A5267" w:rsidP="00124241">
                      <w:pPr>
                        <w:rPr>
                          <w:rFonts w:ascii="ＭＳ ゴシック" w:eastAsia="ＭＳ ゴシック" w:hAnsi="ＭＳ ゴシック"/>
                          <w:sz w:val="20"/>
                          <w:szCs w:val="20"/>
                        </w:rPr>
                      </w:pPr>
                      <w:r>
                        <w:rPr>
                          <w:rFonts w:ascii="ＭＳ ゴシック" w:eastAsia="ＭＳ ゴシック" w:hAnsi="ＭＳ ゴシック" w:hint="eastAsia"/>
                          <w:sz w:val="20"/>
                          <w:szCs w:val="20"/>
                        </w:rPr>
                        <w:t>派遣（支援）</w:t>
                      </w:r>
                    </w:p>
                  </w:txbxContent>
                </v:textbox>
              </v:shape>
            </w:pict>
          </mc:Fallback>
        </mc:AlternateContent>
      </w:r>
      <w:r w:rsidRPr="008A3EDE">
        <w:rPr>
          <w:rFonts w:hAnsi="ＭＳ 明朝" w:hint="eastAsia"/>
          <w:noProof/>
          <w:sz w:val="22"/>
          <w:szCs w:val="22"/>
        </w:rPr>
        <mc:AlternateContent>
          <mc:Choice Requires="wps">
            <w:drawing>
              <wp:anchor distT="0" distB="0" distL="114300" distR="114300" simplePos="0" relativeHeight="254140416" behindDoc="0" locked="0" layoutInCell="1" allowOverlap="1" wp14:anchorId="531AA505" wp14:editId="538C7A89">
                <wp:simplePos x="0" y="0"/>
                <wp:positionH relativeFrom="column">
                  <wp:posOffset>2860344</wp:posOffset>
                </wp:positionH>
                <wp:positionV relativeFrom="paragraph">
                  <wp:posOffset>80313</wp:posOffset>
                </wp:positionV>
                <wp:extent cx="0" cy="377079"/>
                <wp:effectExtent l="114300" t="0" r="95250" b="61595"/>
                <wp:wrapNone/>
                <wp:docPr id="4980" name="Line 265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377079"/>
                        </a:xfrm>
                        <a:prstGeom prst="line">
                          <a:avLst/>
                        </a:prstGeom>
                        <a:noFill/>
                        <a:ln w="57150">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line w14:anchorId="0B30F686" id="Line 2659" o:spid="_x0000_s1026" style="position:absolute;left:0;text-align:left;z-index:2541404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25.2pt,6.3pt" to="225.2pt,3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" strokeweight="4.5pt">
                <v:stroke endarrow="block"/>
              </v:line>
            </w:pict>
          </mc:Fallback>
        </mc:AlternateContent>
      </w:r>
    </w:p>
    <w:p w14:paraId="71472561" w14:textId="77777777" w:rsidR="00124241" w:rsidRPr="008A3EDE" w:rsidRDefault="00124241" w:rsidP="00124241">
      <w:pPr>
        <w:pStyle w:val="a0"/>
        <w:rPr>
          <w:rFonts w:hAnsi="ＭＳ 明朝"/>
          <w:sz w:val="22"/>
          <w:szCs w:val="22"/>
        </w:rPr>
      </w:pPr>
      <w:r w:rsidRPr="008A3EDE">
        <w:rPr>
          <w:rFonts w:hAnsi="ＭＳ 明朝" w:hint="eastAsia"/>
          <w:noProof/>
          <w:sz w:val="22"/>
          <w:szCs w:val="22"/>
        </w:rPr>
        <mc:AlternateContent>
          <mc:Choice Requires="wps">
            <w:drawing>
              <wp:anchor distT="0" distB="0" distL="114300" distR="114300" simplePos="0" relativeHeight="254133248" behindDoc="0" locked="0" layoutInCell="1" allowOverlap="1" wp14:anchorId="7B77B5F7" wp14:editId="4F45B388">
                <wp:simplePos x="0" y="0"/>
                <wp:positionH relativeFrom="column">
                  <wp:posOffset>2057400</wp:posOffset>
                </wp:positionH>
                <wp:positionV relativeFrom="paragraph">
                  <wp:posOffset>82219</wp:posOffset>
                </wp:positionV>
                <wp:extent cx="1714500" cy="571500"/>
                <wp:effectExtent l="38100" t="19050" r="38100" b="38100"/>
                <wp:wrapNone/>
                <wp:docPr id="4981" name="AutoShape 265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714500" cy="571500"/>
                        </a:xfrm>
                        <a:prstGeom prst="irregularSeal1">
                          <a:avLst/>
                        </a:prstGeom>
                        <a:solidFill>
                          <a:srgbClr val="FFFFFF"/>
                        </a:solidFill>
                        <a:ln w="9525">
                          <a:solidFill>
                            <a:srgbClr val="000000"/>
                          </a:solidFill>
                          <a:miter lim="800000"/>
                          <a:headEnd/>
                          <a:tailEnd/>
                        </a:ln>
                      </wps:spPr>
                      <wps:txbx>
                        <w:txbxContent>
                          <w:p w14:paraId="170EA48B" w14:textId="77777777" w:rsidR="006A5267" w:rsidRPr="0028754B" w:rsidRDefault="006A5267" w:rsidP="00124241">
                            <w:pPr>
                              <w:ind w:firstLineChars="100" w:firstLine="201"/>
                              <w:rPr>
                                <w:rFonts w:ascii="ＭＳ ゴシック" w:eastAsia="ＭＳ ゴシック" w:hAnsi="ＭＳ ゴシック"/>
                                <w:sz w:val="20"/>
                                <w:szCs w:val="20"/>
                              </w:rPr>
                            </w:pPr>
                            <w:r>
                              <w:rPr>
                                <w:rFonts w:ascii="ＭＳ ゴシック" w:eastAsia="ＭＳ ゴシック" w:hAnsi="ＭＳ ゴシック" w:hint="eastAsia"/>
                                <w:sz w:val="20"/>
                                <w:szCs w:val="20"/>
                              </w:rPr>
                              <w:t>被災地区</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shape w14:anchorId="7B77B5F7" id="AutoShape 2652" o:spid="_x0000_s1559" type="#_x0000_t71" style="position:absolute;left:0;text-align:left;margin-left:162pt;margin-top:6.45pt;width:135pt;height:45pt;z-index:2541332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">
                <v:textbox inset="5.85pt,.7pt,5.85pt,.7pt">
                  <w:txbxContent>
                    <w:p w14:paraId="170EA48B" w14:textId="77777777" w:rsidR="006A5267" w:rsidRPr="0028754B" w:rsidRDefault="006A5267" w:rsidP="00124241">
                      <w:pPr>
                        <w:ind w:firstLineChars="100" w:firstLine="201"/>
                        <w:rPr>
                          <w:rFonts w:ascii="ＭＳ ゴシック" w:eastAsia="ＭＳ ゴシック" w:hAnsi="ＭＳ ゴシック"/>
                          <w:sz w:val="20"/>
                          <w:szCs w:val="20"/>
                        </w:rPr>
                      </w:pPr>
                      <w:r>
                        <w:rPr>
                          <w:rFonts w:ascii="ＭＳ ゴシック" w:eastAsia="ＭＳ ゴシック" w:hAnsi="ＭＳ ゴシック" w:hint="eastAsia"/>
                          <w:sz w:val="20"/>
                          <w:szCs w:val="20"/>
                        </w:rPr>
                        <w:t>被災地区</w:t>
                      </w:r>
                    </w:p>
                  </w:txbxContent>
                </v:textbox>
              </v:shape>
            </w:pict>
          </mc:Fallback>
        </mc:AlternateContent>
      </w:r>
    </w:p>
    <w:p w14:paraId="5171ED07" w14:textId="77777777" w:rsidR="00124241" w:rsidRPr="008A3EDE" w:rsidRDefault="00124241" w:rsidP="00124241">
      <w:pPr>
        <w:pStyle w:val="a0"/>
        <w:rPr>
          <w:rFonts w:hAnsi="ＭＳ 明朝"/>
          <w:sz w:val="22"/>
          <w:szCs w:val="22"/>
        </w:rPr>
      </w:pPr>
    </w:p>
    <w:p w14:paraId="1A9F09E0" w14:textId="77777777" w:rsidR="00124241" w:rsidRPr="008A3EDE" w:rsidRDefault="00124241" w:rsidP="008B4B2B">
      <w:pPr>
        <w:pStyle w:val="a0"/>
        <w:rPr>
          <w:rFonts w:hAnsi="ＭＳ 明朝"/>
          <w:sz w:val="22"/>
          <w:szCs w:val="22"/>
        </w:rPr>
      </w:pPr>
    </w:p>
    <w:p w14:paraId="624A922A" w14:textId="77777777" w:rsidR="008B4B2B" w:rsidRPr="008A3EDE" w:rsidRDefault="008B4B2B" w:rsidP="008B4B2B">
      <w:pPr>
        <w:pStyle w:val="a0"/>
        <w:rPr>
          <w:rFonts w:hAnsi="ＭＳ 明朝"/>
          <w:sz w:val="22"/>
          <w:szCs w:val="22"/>
        </w:rPr>
      </w:pPr>
    </w:p>
    <w:p w14:paraId="61D65383" w14:textId="77777777" w:rsidR="008B4B2B" w:rsidRPr="008A3EDE" w:rsidRDefault="008B4B2B" w:rsidP="008B4B2B">
      <w:pPr>
        <w:pStyle w:val="a0"/>
        <w:rPr>
          <w:rFonts w:hAnsi="ＭＳ 明朝"/>
          <w:sz w:val="22"/>
          <w:szCs w:val="22"/>
        </w:rPr>
      </w:pPr>
    </w:p>
    <w:p w14:paraId="764EA4E6" w14:textId="77777777" w:rsidR="008B4B2B" w:rsidRPr="008A3EDE" w:rsidRDefault="008B4B2B" w:rsidP="008B4B2B">
      <w:pPr>
        <w:pStyle w:val="a0"/>
        <w:ind w:firstLineChars="300" w:firstLine="663"/>
        <w:rPr>
          <w:rFonts w:ascii="ＭＳ ゴシック" w:eastAsia="ＭＳ ゴシック" w:hAnsi="ＭＳ ゴシック"/>
          <w:sz w:val="22"/>
          <w:szCs w:val="22"/>
          <w:u w:val="single"/>
        </w:rPr>
      </w:pPr>
      <w:r w:rsidRPr="008A3EDE">
        <w:rPr>
          <w:rFonts w:ascii="ＭＳ ゴシック" w:eastAsia="ＭＳ ゴシック" w:hAnsi="ＭＳ ゴシック" w:hint="eastAsia"/>
          <w:sz w:val="22"/>
          <w:szCs w:val="22"/>
          <w:u w:val="single"/>
        </w:rPr>
        <w:t>１　ボランティアの受入れ</w:t>
      </w:r>
      <w:r w:rsidRPr="008A3EDE">
        <w:rPr>
          <w:rFonts w:ascii="ＭＳ ゴシック" w:eastAsia="ＭＳ ゴシック" w:hAnsi="ＭＳ ゴシック" w:hint="eastAsia"/>
          <w:sz w:val="22"/>
          <w:szCs w:val="22"/>
          <w:u w:val="single"/>
          <w:shd w:val="pct15" w:color="auto" w:fill="FFFFFF"/>
        </w:rPr>
        <w:t>【第４フェーズ～】</w:t>
      </w:r>
    </w:p>
    <w:p w14:paraId="4219035D" w14:textId="77777777" w:rsidR="008B4B2B" w:rsidRPr="008A3EDE" w:rsidRDefault="008B4B2B" w:rsidP="008B4B2B">
      <w:pPr>
        <w:pStyle w:val="ad"/>
        <w:wordWrap/>
        <w:overflowPunct w:val="0"/>
        <w:spacing w:line="240" w:lineRule="auto"/>
        <w:ind w:firstLineChars="500" w:firstLine="1105"/>
        <w:rPr>
          <w:rFonts w:ascii="ＭＳ ゴシック" w:eastAsia="ＭＳ ゴシック" w:hAnsi="ＭＳ ゴシック"/>
          <w:bdr w:val="single" w:sz="4" w:space="0" w:color="auto"/>
        </w:rPr>
      </w:pPr>
      <w:r w:rsidRPr="008A3EDE">
        <w:rPr>
          <w:rFonts w:ascii="ＭＳ ゴシック" w:eastAsia="ＭＳ ゴシック" w:hAnsi="ＭＳ ゴシック" w:hint="eastAsia"/>
          <w:bdr w:val="single" w:sz="4" w:space="0" w:color="auto"/>
        </w:rPr>
        <w:t>主たる担当：危機管理室、国際課</w:t>
      </w:r>
    </w:p>
    <w:p w14:paraId="54A2F1B5" w14:textId="77777777" w:rsidR="008B4B2B" w:rsidRPr="008A3EDE" w:rsidRDefault="008B4B2B" w:rsidP="008B4B2B">
      <w:pPr>
        <w:pStyle w:val="a0"/>
        <w:ind w:leftChars="420" w:left="887" w:firstLineChars="100" w:firstLine="221"/>
        <w:rPr>
          <w:rFonts w:hAnsi="ＭＳ 明朝"/>
          <w:sz w:val="22"/>
          <w:szCs w:val="22"/>
        </w:rPr>
      </w:pPr>
      <w:r w:rsidRPr="008A3EDE">
        <w:rPr>
          <w:rFonts w:hAnsi="ＭＳ 明朝" w:hint="eastAsia"/>
          <w:sz w:val="22"/>
          <w:szCs w:val="22"/>
        </w:rPr>
        <w:t>災害対策課長は、災害の状況、市町村から収集した住民のニーズなどの情報について、広域的なボランティア活動推進機関に提供するとともに、連携してボランティアが円滑に活動できるように環境整備を図るものとする。</w:t>
      </w:r>
    </w:p>
    <w:p w14:paraId="0A1F8E50" w14:textId="77777777" w:rsidR="008B4B2B" w:rsidRPr="008A3EDE" w:rsidRDefault="008B4B2B" w:rsidP="008B4B2B">
      <w:pPr>
        <w:pStyle w:val="a0"/>
        <w:ind w:leftChars="420" w:left="887" w:firstLineChars="100" w:firstLine="221"/>
        <w:rPr>
          <w:rFonts w:hAnsi="ＭＳ 明朝"/>
          <w:sz w:val="22"/>
          <w:szCs w:val="22"/>
        </w:rPr>
      </w:pPr>
      <w:r w:rsidRPr="008A3EDE">
        <w:rPr>
          <w:rFonts w:hAnsi="ＭＳ 明朝" w:hint="eastAsia"/>
          <w:sz w:val="22"/>
          <w:szCs w:val="22"/>
        </w:rPr>
        <w:t>なお、府内外からのボランティアの受入れについては、府の「災害時におけるボランティア活動支援制度」に基づき、次のとおり行う。</w:t>
      </w:r>
    </w:p>
    <w:p w14:paraId="77A35991" w14:textId="77777777" w:rsidR="008B4B2B" w:rsidRPr="008A3EDE" w:rsidRDefault="008B4B2B" w:rsidP="008B4B2B">
      <w:pPr>
        <w:pStyle w:val="a0"/>
        <w:ind w:leftChars="420" w:left="887" w:firstLineChars="100" w:firstLine="221"/>
        <w:rPr>
          <w:rFonts w:hAnsi="ＭＳ 明朝"/>
          <w:sz w:val="22"/>
          <w:szCs w:val="22"/>
        </w:rPr>
      </w:pPr>
    </w:p>
    <w:p w14:paraId="50B00CF5" w14:textId="77777777" w:rsidR="008B4B2B" w:rsidRPr="008A3EDE" w:rsidRDefault="008B4B2B" w:rsidP="008B4B2B">
      <w:pPr>
        <w:pStyle w:val="a0"/>
        <w:ind w:firstLineChars="200" w:firstLine="442"/>
        <w:rPr>
          <w:rFonts w:hAnsi="ＭＳ 明朝"/>
          <w:sz w:val="22"/>
          <w:szCs w:val="22"/>
        </w:rPr>
      </w:pPr>
      <w:r w:rsidRPr="008A3EDE">
        <w:rPr>
          <w:rFonts w:hAnsi="ＭＳ 明朝" w:hint="eastAsia"/>
          <w:sz w:val="22"/>
          <w:szCs w:val="22"/>
        </w:rPr>
        <w:t xml:space="preserve">　　(1)　ボランティアの活動内容</w:t>
      </w:r>
    </w:p>
    <w:p w14:paraId="0CEDE175" w14:textId="77777777" w:rsidR="008B4B2B" w:rsidRPr="008A3EDE" w:rsidRDefault="008B4B2B" w:rsidP="008B4B2B">
      <w:pPr>
        <w:pStyle w:val="a0"/>
        <w:ind w:firstLineChars="500" w:firstLine="1105"/>
        <w:rPr>
          <w:rFonts w:hAnsi="ＭＳ 明朝"/>
          <w:sz w:val="22"/>
          <w:szCs w:val="22"/>
        </w:rPr>
      </w:pPr>
      <w:r w:rsidRPr="008A3EDE">
        <w:rPr>
          <w:rFonts w:hAnsi="ＭＳ 明朝" w:hint="eastAsia"/>
          <w:sz w:val="22"/>
          <w:szCs w:val="22"/>
        </w:rPr>
        <w:t>①　被災者に対する給食・給水支援</w:t>
      </w:r>
    </w:p>
    <w:p w14:paraId="1CEEFFCD" w14:textId="77777777" w:rsidR="008B4B2B" w:rsidRPr="008A3EDE" w:rsidRDefault="008B4B2B" w:rsidP="007E668F">
      <w:pPr>
        <w:pStyle w:val="a0"/>
        <w:numPr>
          <w:ilvl w:val="0"/>
          <w:numId w:val="22"/>
        </w:numPr>
        <w:rPr>
          <w:rFonts w:hAnsi="ＭＳ 明朝"/>
          <w:sz w:val="22"/>
          <w:szCs w:val="22"/>
        </w:rPr>
      </w:pPr>
      <w:r w:rsidRPr="008A3EDE">
        <w:rPr>
          <w:rFonts w:hAnsi="ＭＳ 明朝" w:hint="eastAsia"/>
          <w:sz w:val="22"/>
          <w:szCs w:val="22"/>
        </w:rPr>
        <w:t xml:space="preserve"> 救助物資の仕分け・配付</w:t>
      </w:r>
    </w:p>
    <w:p w14:paraId="17D81B17" w14:textId="77777777" w:rsidR="008B4B2B" w:rsidRPr="008A3EDE" w:rsidRDefault="008B4B2B" w:rsidP="008B4B2B">
      <w:pPr>
        <w:pStyle w:val="a0"/>
        <w:ind w:left="221" w:firstLineChars="400" w:firstLine="884"/>
        <w:rPr>
          <w:rFonts w:hAnsi="ＭＳ 明朝"/>
          <w:sz w:val="22"/>
          <w:szCs w:val="22"/>
        </w:rPr>
      </w:pPr>
      <w:r w:rsidRPr="008A3EDE">
        <w:rPr>
          <w:rFonts w:hAnsi="ＭＳ 明朝" w:hint="eastAsia"/>
          <w:sz w:val="22"/>
          <w:szCs w:val="22"/>
        </w:rPr>
        <w:t>③　高齢者・障がい者など避難行動要支援者への援助</w:t>
      </w:r>
    </w:p>
    <w:p w14:paraId="5893FCFF" w14:textId="77777777" w:rsidR="008B4B2B" w:rsidRPr="008A3EDE" w:rsidRDefault="008B4B2B" w:rsidP="008B4B2B">
      <w:pPr>
        <w:pStyle w:val="a0"/>
        <w:ind w:left="221" w:firstLineChars="400" w:firstLine="884"/>
        <w:rPr>
          <w:rFonts w:hAnsi="ＭＳ 明朝"/>
          <w:sz w:val="22"/>
          <w:szCs w:val="22"/>
        </w:rPr>
      </w:pPr>
      <w:r w:rsidRPr="008A3EDE">
        <w:rPr>
          <w:rFonts w:hAnsi="ＭＳ 明朝" w:hint="eastAsia"/>
          <w:sz w:val="22"/>
          <w:szCs w:val="22"/>
        </w:rPr>
        <w:t>④　その他被災者に対する支援活動</w:t>
      </w:r>
    </w:p>
    <w:p w14:paraId="65A71F31" w14:textId="05214594" w:rsidR="0000630A" w:rsidRPr="008A3EDE" w:rsidRDefault="0000630A">
      <w:pPr>
        <w:widowControl/>
        <w:jc w:val="left"/>
        <w:rPr>
          <w:rFonts w:ascii="ＭＳ ゴシック" w:eastAsia="ＭＳ ゴシック" w:hAnsi="ＭＳ ゴシック" w:cs="ＭＳ 明朝"/>
          <w:kern w:val="0"/>
          <w:sz w:val="22"/>
          <w:szCs w:val="22"/>
        </w:rPr>
      </w:pPr>
      <w:r w:rsidRPr="008A3EDE">
        <w:rPr>
          <w:rFonts w:ascii="ＭＳ ゴシック" w:eastAsia="ＭＳ ゴシック" w:hAnsi="ＭＳ ゴシック"/>
        </w:rPr>
        <w:br w:type="page"/>
      </w:r>
    </w:p>
    <w:p w14:paraId="687703EC" w14:textId="77777777" w:rsidR="00E434C7" w:rsidRPr="008A3EDE" w:rsidRDefault="00E434C7" w:rsidP="00E434C7">
      <w:pPr>
        <w:pStyle w:val="ad"/>
        <w:wordWrap/>
        <w:overflowPunct w:val="0"/>
        <w:spacing w:line="400" w:lineRule="exact"/>
        <w:rPr>
          <w:rFonts w:ascii="ＭＳ ゴシック" w:eastAsia="ＭＳ ゴシック" w:hAnsi="ＭＳ ゴシック"/>
        </w:rPr>
      </w:pPr>
    </w:p>
    <w:p w14:paraId="576491DC" w14:textId="77777777" w:rsidR="008B4B2B" w:rsidRPr="008A3EDE" w:rsidRDefault="008B4B2B" w:rsidP="00E0548A">
      <w:pPr>
        <w:pStyle w:val="a0"/>
        <w:ind w:firstLineChars="449" w:firstLine="993"/>
        <w:rPr>
          <w:rFonts w:hAnsi="ＭＳ 明朝"/>
          <w:sz w:val="22"/>
          <w:szCs w:val="22"/>
        </w:rPr>
      </w:pPr>
      <w:r w:rsidRPr="008A3EDE">
        <w:rPr>
          <w:rFonts w:hAnsi="ＭＳ 明朝" w:hint="eastAsia"/>
          <w:sz w:val="22"/>
          <w:szCs w:val="22"/>
        </w:rPr>
        <w:t>(2)　登録及び情報提供等</w:t>
      </w:r>
    </w:p>
    <w:p w14:paraId="483C96D0" w14:textId="77777777" w:rsidR="008B4B2B" w:rsidRPr="008A3EDE" w:rsidRDefault="008B4B2B" w:rsidP="008B4B2B">
      <w:pPr>
        <w:pStyle w:val="a0"/>
        <w:ind w:left="1327" w:hangingChars="600" w:hanging="1327"/>
        <w:rPr>
          <w:rFonts w:hAnsi="ＭＳ 明朝"/>
          <w:sz w:val="22"/>
          <w:szCs w:val="22"/>
        </w:rPr>
      </w:pPr>
      <w:r w:rsidRPr="008A3EDE">
        <w:rPr>
          <w:rFonts w:hAnsi="ＭＳ 明朝" w:hint="eastAsia"/>
          <w:sz w:val="22"/>
          <w:szCs w:val="22"/>
        </w:rPr>
        <w:t xml:space="preserve">　　　　　　  災害対策課長は、災害が発生し、ボランティアによる活動が必要と認めるときは、社会福祉法人大阪府社会福祉協議会に調整要員の派遣を要</w:t>
      </w:r>
      <w:r w:rsidR="00CC23FA" w:rsidRPr="008A3EDE">
        <w:rPr>
          <w:rFonts w:hAnsi="ＭＳ 明朝" w:hint="eastAsia"/>
          <w:sz w:val="22"/>
          <w:szCs w:val="22"/>
        </w:rPr>
        <w:t>請するとともに、派遣された調整要員者は、府災害対策本部対策</w:t>
      </w:r>
      <w:r w:rsidRPr="008A3EDE">
        <w:rPr>
          <w:rFonts w:hAnsi="ＭＳ 明朝" w:hint="eastAsia"/>
          <w:sz w:val="22"/>
          <w:szCs w:val="22"/>
        </w:rPr>
        <w:t>班において、ボランティアに係る調整を実施するものとする。</w:t>
      </w:r>
    </w:p>
    <w:p w14:paraId="577286FF" w14:textId="77777777" w:rsidR="008B4B2B" w:rsidRPr="008A3EDE" w:rsidRDefault="008B4B2B" w:rsidP="008B4B2B">
      <w:pPr>
        <w:pStyle w:val="a0"/>
        <w:ind w:leftChars="628" w:left="1326" w:firstLineChars="100" w:firstLine="221"/>
        <w:rPr>
          <w:rFonts w:hAnsi="ＭＳ 明朝"/>
          <w:sz w:val="22"/>
          <w:szCs w:val="22"/>
        </w:rPr>
      </w:pPr>
      <w:r w:rsidRPr="008A3EDE">
        <w:rPr>
          <w:rFonts w:hAnsi="ＭＳ 明朝" w:hint="eastAsia"/>
          <w:sz w:val="22"/>
          <w:szCs w:val="22"/>
        </w:rPr>
        <w:t>また、大阪府社会福祉協議会は、</w:t>
      </w:r>
      <w:r w:rsidR="00FA21D8" w:rsidRPr="008A3EDE">
        <w:rPr>
          <w:rFonts w:hAnsi="ＭＳ 明朝" w:hint="eastAsia"/>
          <w:sz w:val="22"/>
          <w:szCs w:val="22"/>
        </w:rPr>
        <w:t>同協議会内部に設置されている災害ボランティアセンターにおいて</w:t>
      </w:r>
      <w:r w:rsidRPr="008A3EDE">
        <w:rPr>
          <w:rFonts w:hAnsi="ＭＳ 明朝" w:hint="eastAsia"/>
          <w:sz w:val="22"/>
          <w:szCs w:val="22"/>
        </w:rPr>
        <w:t>被災地等でのボランティア活動が可能な団体及び個人の登録を行うとともに、ボランティア情報を提供するものとする。</w:t>
      </w:r>
    </w:p>
    <w:p w14:paraId="5FB1D1E1" w14:textId="77777777" w:rsidR="00FA21D8" w:rsidRPr="008A3EDE" w:rsidRDefault="00FA21D8" w:rsidP="008B4B2B">
      <w:pPr>
        <w:pStyle w:val="a0"/>
        <w:ind w:leftChars="628" w:left="1326" w:firstLineChars="100" w:firstLine="221"/>
        <w:rPr>
          <w:rFonts w:hAnsi="ＭＳ 明朝"/>
          <w:sz w:val="22"/>
          <w:szCs w:val="22"/>
        </w:rPr>
      </w:pPr>
      <w:r w:rsidRPr="008A3EDE">
        <w:rPr>
          <w:rFonts w:hAnsi="ＭＳ 明朝" w:hint="eastAsia"/>
          <w:sz w:val="22"/>
          <w:szCs w:val="22"/>
        </w:rPr>
        <w:t>併せて、災害対策課長および大阪府庁関係部局、大阪府社会福祉協議会、おおさか災害支援ネットワーク</w:t>
      </w:r>
      <w:r w:rsidR="00D947C9" w:rsidRPr="008A3EDE">
        <w:rPr>
          <w:rFonts w:hAnsi="ＭＳ 明朝" w:hint="eastAsia"/>
          <w:sz w:val="22"/>
          <w:szCs w:val="22"/>
        </w:rPr>
        <w:t>世話役団体（大阪ボランティア協会等）による情報共有会議を、大阪府庁新別館北館４Ｆにおいて開催できる体制を整え、被災者支援のための情報共有及び方策の検討を行うものとする。</w:t>
      </w:r>
    </w:p>
    <w:p w14:paraId="43CD9E7F" w14:textId="77777777" w:rsidR="008B4B2B" w:rsidRPr="008A3EDE" w:rsidRDefault="008B4B2B" w:rsidP="008B4B2B">
      <w:pPr>
        <w:pStyle w:val="a0"/>
        <w:ind w:leftChars="578" w:left="1220" w:firstLineChars="100" w:firstLine="221"/>
        <w:rPr>
          <w:rFonts w:hAnsi="ＭＳ 明朝"/>
          <w:sz w:val="22"/>
          <w:szCs w:val="22"/>
        </w:rPr>
      </w:pPr>
    </w:p>
    <w:p w14:paraId="42464E58" w14:textId="77777777" w:rsidR="008B4B2B" w:rsidRPr="008A3EDE" w:rsidRDefault="008B4B2B" w:rsidP="008B4B2B">
      <w:pPr>
        <w:pStyle w:val="a0"/>
        <w:rPr>
          <w:rFonts w:hAnsi="ＭＳ 明朝"/>
          <w:sz w:val="22"/>
          <w:szCs w:val="22"/>
        </w:rPr>
      </w:pPr>
      <w:r w:rsidRPr="008A3EDE">
        <w:rPr>
          <w:rFonts w:hAnsi="ＭＳ 明朝" w:hint="eastAsia"/>
          <w:sz w:val="22"/>
          <w:szCs w:val="22"/>
        </w:rPr>
        <w:t xml:space="preserve">　　　   (3)　提供するボランティア情報の内容</w:t>
      </w:r>
    </w:p>
    <w:p w14:paraId="1E386880" w14:textId="77777777" w:rsidR="008B4B2B" w:rsidRPr="008A3EDE" w:rsidRDefault="008B4B2B" w:rsidP="008B4B2B">
      <w:pPr>
        <w:pStyle w:val="a0"/>
        <w:numPr>
          <w:ilvl w:val="1"/>
          <w:numId w:val="12"/>
        </w:numPr>
        <w:rPr>
          <w:rFonts w:hAnsi="ＭＳ 明朝"/>
          <w:sz w:val="22"/>
          <w:szCs w:val="22"/>
        </w:rPr>
      </w:pPr>
      <w:r w:rsidRPr="008A3EDE">
        <w:rPr>
          <w:rFonts w:hAnsi="ＭＳ 明朝" w:hint="eastAsia"/>
          <w:sz w:val="22"/>
          <w:szCs w:val="22"/>
        </w:rPr>
        <w:t>ボランティアを必要としている市町村名及び連絡先</w:t>
      </w:r>
    </w:p>
    <w:p w14:paraId="750DCADE" w14:textId="77777777" w:rsidR="008B4B2B" w:rsidRPr="008A3EDE" w:rsidRDefault="008B4B2B" w:rsidP="008B4B2B">
      <w:pPr>
        <w:pStyle w:val="a0"/>
        <w:numPr>
          <w:ilvl w:val="1"/>
          <w:numId w:val="12"/>
        </w:numPr>
        <w:rPr>
          <w:rFonts w:hAnsi="ＭＳ 明朝"/>
          <w:sz w:val="22"/>
          <w:szCs w:val="22"/>
        </w:rPr>
      </w:pPr>
      <w:r w:rsidRPr="008A3EDE">
        <w:rPr>
          <w:rFonts w:hAnsi="ＭＳ 明朝" w:hint="eastAsia"/>
          <w:sz w:val="22"/>
          <w:szCs w:val="22"/>
        </w:rPr>
        <w:t>活動場所</w:t>
      </w:r>
    </w:p>
    <w:p w14:paraId="2D2C94B8" w14:textId="77777777" w:rsidR="008B4B2B" w:rsidRPr="008A3EDE" w:rsidRDefault="008B4B2B" w:rsidP="008B4B2B">
      <w:pPr>
        <w:pStyle w:val="a0"/>
        <w:numPr>
          <w:ilvl w:val="1"/>
          <w:numId w:val="12"/>
        </w:numPr>
        <w:rPr>
          <w:rFonts w:hAnsi="ＭＳ 明朝"/>
          <w:sz w:val="22"/>
          <w:szCs w:val="22"/>
        </w:rPr>
      </w:pPr>
      <w:r w:rsidRPr="008A3EDE">
        <w:rPr>
          <w:rFonts w:hAnsi="ＭＳ 明朝" w:hint="eastAsia"/>
          <w:sz w:val="22"/>
          <w:szCs w:val="22"/>
        </w:rPr>
        <w:t>活動内容</w:t>
      </w:r>
    </w:p>
    <w:p w14:paraId="22522A3E" w14:textId="77777777" w:rsidR="008B4B2B" w:rsidRPr="008A3EDE" w:rsidRDefault="008B4B2B" w:rsidP="008B4B2B">
      <w:pPr>
        <w:pStyle w:val="a0"/>
        <w:numPr>
          <w:ilvl w:val="1"/>
          <w:numId w:val="12"/>
        </w:numPr>
        <w:rPr>
          <w:rFonts w:hAnsi="ＭＳ 明朝"/>
          <w:sz w:val="22"/>
          <w:szCs w:val="22"/>
        </w:rPr>
      </w:pPr>
      <w:r w:rsidRPr="008A3EDE">
        <w:rPr>
          <w:rFonts w:hAnsi="ＭＳ 明朝" w:hint="eastAsia"/>
          <w:sz w:val="22"/>
          <w:szCs w:val="22"/>
        </w:rPr>
        <w:t>その他の情報</w:t>
      </w:r>
    </w:p>
    <w:p w14:paraId="452B465E" w14:textId="77777777" w:rsidR="008B4B2B" w:rsidRPr="008A3EDE" w:rsidRDefault="008B4B2B" w:rsidP="008B4B2B">
      <w:pPr>
        <w:pStyle w:val="a0"/>
        <w:ind w:left="2"/>
        <w:rPr>
          <w:rFonts w:hAnsi="ＭＳ 明朝"/>
          <w:sz w:val="22"/>
          <w:szCs w:val="22"/>
        </w:rPr>
      </w:pPr>
    </w:p>
    <w:p w14:paraId="283766AE" w14:textId="77777777" w:rsidR="008B4B2B" w:rsidRPr="008A3EDE" w:rsidRDefault="008B4B2B" w:rsidP="008B4B2B">
      <w:pPr>
        <w:pStyle w:val="a0"/>
        <w:ind w:left="900" w:firstLineChars="50" w:firstLine="111"/>
        <w:rPr>
          <w:rFonts w:hAnsi="ＭＳ 明朝"/>
          <w:sz w:val="22"/>
          <w:szCs w:val="22"/>
        </w:rPr>
      </w:pPr>
      <w:r w:rsidRPr="008A3EDE">
        <w:rPr>
          <w:rFonts w:hAnsi="ＭＳ 明朝" w:hint="eastAsia"/>
          <w:sz w:val="22"/>
          <w:szCs w:val="22"/>
        </w:rPr>
        <w:t>(4)　ボランティアに対する支援</w:t>
      </w:r>
    </w:p>
    <w:p w14:paraId="706AF594" w14:textId="77777777" w:rsidR="008B4B2B" w:rsidRPr="008A3EDE" w:rsidRDefault="008B4B2B" w:rsidP="008B4B2B">
      <w:pPr>
        <w:pStyle w:val="a0"/>
        <w:ind w:leftChars="50" w:left="1433" w:rightChars="-120" w:right="-253" w:hangingChars="600" w:hanging="1327"/>
        <w:rPr>
          <w:rFonts w:hAnsi="ＭＳ 明朝"/>
          <w:sz w:val="22"/>
          <w:szCs w:val="22"/>
        </w:rPr>
      </w:pPr>
      <w:r w:rsidRPr="008A3EDE">
        <w:rPr>
          <w:rFonts w:hAnsi="ＭＳ 明朝" w:hint="eastAsia"/>
          <w:sz w:val="22"/>
          <w:szCs w:val="22"/>
        </w:rPr>
        <w:t xml:space="preserve">　　　　　①  災害対策課長は、ボランティア活動中の事故に備え、ボランティア活動開始時に、活動参加者に保険に加入させることとし、その保険料は府が負担</w:t>
      </w:r>
      <w:r w:rsidR="00D947C9" w:rsidRPr="008A3EDE">
        <w:rPr>
          <w:rFonts w:hAnsi="ＭＳ 明朝" w:hint="eastAsia"/>
          <w:sz w:val="22"/>
          <w:szCs w:val="22"/>
        </w:rPr>
        <w:t>できるものと</w:t>
      </w:r>
      <w:r w:rsidRPr="008A3EDE">
        <w:rPr>
          <w:rFonts w:hAnsi="ＭＳ 明朝" w:hint="eastAsia"/>
          <w:sz w:val="22"/>
          <w:szCs w:val="22"/>
        </w:rPr>
        <w:t>する。</w:t>
      </w:r>
    </w:p>
    <w:p w14:paraId="525C1CD6" w14:textId="77777777" w:rsidR="008B4B2B" w:rsidRPr="008A3EDE" w:rsidRDefault="008B4B2B" w:rsidP="007E668F">
      <w:pPr>
        <w:pStyle w:val="a0"/>
        <w:numPr>
          <w:ilvl w:val="0"/>
          <w:numId w:val="20"/>
        </w:numPr>
        <w:ind w:left="1418" w:hanging="202"/>
        <w:rPr>
          <w:rFonts w:hAnsi="ＭＳ 明朝"/>
          <w:sz w:val="22"/>
          <w:szCs w:val="22"/>
        </w:rPr>
      </w:pPr>
      <w:r w:rsidRPr="008A3EDE">
        <w:rPr>
          <w:rFonts w:hAnsi="ＭＳ 明朝" w:hint="eastAsia"/>
          <w:sz w:val="22"/>
          <w:szCs w:val="22"/>
        </w:rPr>
        <w:t>災害対策課長は、ボランティア活動を支援するため、「災害時におけるバスによる緊急輸送等に関する協定」「船舶による災害時の輸送等に関する協定」などを踏まえ、移動手段の確保を行うものとする。</w:t>
      </w:r>
    </w:p>
    <w:p w14:paraId="32CB1123" w14:textId="77777777" w:rsidR="008B4B2B" w:rsidRPr="008A3EDE" w:rsidRDefault="008B4B2B" w:rsidP="008B4B2B">
      <w:pPr>
        <w:pStyle w:val="a0"/>
        <w:rPr>
          <w:rFonts w:hAnsi="ＭＳ 明朝"/>
          <w:sz w:val="22"/>
          <w:szCs w:val="22"/>
        </w:rPr>
      </w:pPr>
    </w:p>
    <w:p w14:paraId="335D4BED" w14:textId="60043294" w:rsidR="008B4B2B" w:rsidRPr="008A3EDE" w:rsidRDefault="008B4B2B" w:rsidP="008B4B2B">
      <w:pPr>
        <w:pStyle w:val="a0"/>
        <w:ind w:firstLineChars="450" w:firstLine="995"/>
        <w:rPr>
          <w:rFonts w:hAnsi="ＭＳ 明朝"/>
          <w:sz w:val="22"/>
          <w:szCs w:val="22"/>
        </w:rPr>
      </w:pPr>
      <w:r w:rsidRPr="008A3EDE">
        <w:rPr>
          <w:rFonts w:hAnsi="ＭＳ 明朝" w:hint="eastAsia"/>
          <w:sz w:val="22"/>
          <w:szCs w:val="22"/>
        </w:rPr>
        <w:t>(5)　在住外国人への支援</w:t>
      </w:r>
      <w:r w:rsidRPr="008A3EDE">
        <w:rPr>
          <w:rFonts w:hAnsi="ＭＳ 明朝" w:hint="eastAsia"/>
          <w:sz w:val="22"/>
          <w:szCs w:val="22"/>
          <w:shd w:val="pct15" w:color="auto" w:fill="FFFFFF"/>
        </w:rPr>
        <w:t>【第２フェーズ</w:t>
      </w:r>
      <w:r w:rsidR="00872185" w:rsidRPr="008A3EDE">
        <w:rPr>
          <w:rFonts w:hAnsi="ＭＳ 明朝" w:hint="eastAsia"/>
          <w:sz w:val="22"/>
          <w:szCs w:val="22"/>
          <w:shd w:val="pct15" w:color="auto" w:fill="FFFFFF"/>
        </w:rPr>
        <w:t>～</w:t>
      </w:r>
      <w:r w:rsidRPr="008A3EDE">
        <w:rPr>
          <w:rFonts w:hAnsi="ＭＳ 明朝" w:hint="eastAsia"/>
          <w:sz w:val="22"/>
          <w:szCs w:val="22"/>
          <w:shd w:val="pct15" w:color="auto" w:fill="FFFFFF"/>
        </w:rPr>
        <w:t>】</w:t>
      </w:r>
    </w:p>
    <w:p w14:paraId="1D367F44" w14:textId="77777777" w:rsidR="008B4B2B" w:rsidRPr="008A3EDE" w:rsidRDefault="008B4B2B" w:rsidP="008B4B2B">
      <w:pPr>
        <w:pStyle w:val="a0"/>
        <w:ind w:leftChars="550" w:left="1161" w:rightChars="-255" w:right="-538" w:firstLineChars="100" w:firstLine="221"/>
        <w:rPr>
          <w:rFonts w:hAnsi="ＭＳ 明朝"/>
          <w:sz w:val="22"/>
          <w:szCs w:val="22"/>
        </w:rPr>
      </w:pPr>
      <w:r w:rsidRPr="008A3EDE">
        <w:rPr>
          <w:rFonts w:hAnsi="ＭＳ 明朝" w:hint="eastAsia"/>
          <w:sz w:val="22"/>
          <w:szCs w:val="22"/>
        </w:rPr>
        <w:t>国際課長は、大阪府国際交流財団へ、通訳ボランティアの派遣の協力依頼を行う。</w:t>
      </w:r>
    </w:p>
    <w:p w14:paraId="4EBD2812" w14:textId="506C7C9E" w:rsidR="00596CB1" w:rsidRPr="008A3EDE" w:rsidRDefault="00596CB1">
      <w:pPr>
        <w:widowControl/>
        <w:jc w:val="left"/>
        <w:rPr>
          <w:rFonts w:ascii="ＭＳ 明朝" w:hAnsi="ＭＳ 明朝" w:cs="Courier New"/>
          <w:sz w:val="22"/>
          <w:szCs w:val="22"/>
        </w:rPr>
      </w:pPr>
      <w:r w:rsidRPr="008A3EDE">
        <w:rPr>
          <w:rFonts w:hAnsi="ＭＳ 明朝"/>
          <w:sz w:val="22"/>
          <w:szCs w:val="22"/>
        </w:rPr>
        <w:br w:type="page"/>
      </w:r>
    </w:p>
    <w:p w14:paraId="4947299A" w14:textId="77777777" w:rsidR="008B4B2B" w:rsidRPr="008A3EDE" w:rsidRDefault="008B4B2B" w:rsidP="008B4B2B">
      <w:pPr>
        <w:pStyle w:val="a0"/>
        <w:ind w:firstLineChars="200" w:firstLine="442"/>
        <w:rPr>
          <w:rFonts w:ascii="ＭＳ ゴシック" w:eastAsia="ＭＳ ゴシック" w:hAnsi="ＭＳ ゴシック"/>
          <w:sz w:val="22"/>
          <w:szCs w:val="22"/>
          <w:bdr w:val="single" w:sz="4" w:space="0" w:color="auto"/>
          <w:shd w:val="pct15" w:color="auto" w:fill="FFFFFF"/>
        </w:rPr>
      </w:pPr>
      <w:r w:rsidRPr="008A3EDE">
        <w:rPr>
          <w:rFonts w:ascii="ＭＳ ゴシック" w:eastAsia="ＭＳ ゴシック" w:hAnsi="ＭＳ ゴシック" w:hint="eastAsia"/>
          <w:sz w:val="22"/>
          <w:szCs w:val="22"/>
          <w:bdr w:val="single" w:sz="4" w:space="0" w:color="auto"/>
          <w:shd w:val="pct15" w:color="auto" w:fill="FFFFFF"/>
        </w:rPr>
        <w:lastRenderedPageBreak/>
        <w:t>義援金の受付・配分</w:t>
      </w:r>
    </w:p>
    <w:p w14:paraId="4A13CAD7" w14:textId="77777777" w:rsidR="008B4B2B" w:rsidRPr="008A3EDE" w:rsidRDefault="008B4B2B" w:rsidP="008B4B2B">
      <w:pPr>
        <w:pStyle w:val="a0"/>
        <w:ind w:firstLineChars="200" w:firstLine="442"/>
        <w:rPr>
          <w:rFonts w:ascii="ＭＳ ゴシック" w:eastAsia="ＭＳ ゴシック" w:hAnsi="ＭＳ ゴシック"/>
          <w:sz w:val="22"/>
          <w:szCs w:val="22"/>
          <w:bdr w:val="single" w:sz="4" w:space="0" w:color="auto"/>
          <w:shd w:val="pct15" w:color="auto" w:fill="FFFFFF"/>
        </w:rPr>
      </w:pPr>
    </w:p>
    <w:p w14:paraId="74598866" w14:textId="77777777" w:rsidR="008B4B2B" w:rsidRPr="008A3EDE" w:rsidRDefault="008B4B2B" w:rsidP="008B4B2B">
      <w:pPr>
        <w:pStyle w:val="a0"/>
        <w:rPr>
          <w:rFonts w:hAnsi="ＭＳ 明朝"/>
          <w:sz w:val="22"/>
          <w:szCs w:val="22"/>
        </w:rPr>
      </w:pPr>
      <w:r w:rsidRPr="008A3EDE">
        <w:rPr>
          <w:rFonts w:hAnsi="ＭＳ 明朝" w:hint="eastAsia"/>
          <w:noProof/>
          <w:sz w:val="22"/>
          <w:szCs w:val="22"/>
        </w:rPr>
        <mc:AlternateContent>
          <mc:Choice Requires="wps">
            <w:drawing>
              <wp:anchor distT="0" distB="0" distL="114300" distR="114300" simplePos="0" relativeHeight="253396992" behindDoc="0" locked="0" layoutInCell="1" allowOverlap="1" wp14:anchorId="45D631B6" wp14:editId="40055979">
                <wp:simplePos x="0" y="0"/>
                <wp:positionH relativeFrom="column">
                  <wp:posOffset>1417320</wp:posOffset>
                </wp:positionH>
                <wp:positionV relativeFrom="paragraph">
                  <wp:posOffset>168910</wp:posOffset>
                </wp:positionV>
                <wp:extent cx="1714500" cy="506730"/>
                <wp:effectExtent l="7620" t="6985" r="11430" b="10160"/>
                <wp:wrapNone/>
                <wp:docPr id="3856" name="AutoShape 267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714500" cy="506730"/>
                        </a:xfrm>
                        <a:prstGeom prst="roundRect">
                          <a:avLst>
                            <a:gd name="adj" fmla="val 16667"/>
                          </a:avLst>
                        </a:prstGeom>
                        <a:solidFill>
                          <a:srgbClr val="FFFFFF"/>
                        </a:solidFill>
                        <a:ln w="9525">
                          <a:solidFill>
                            <a:srgbClr val="000000"/>
                          </a:solidFill>
                          <a:round/>
                          <a:headEnd/>
                          <a:tailEnd/>
                        </a:ln>
                      </wps:spPr>
                      <wps:txbx>
                        <w:txbxContent>
                          <w:p w14:paraId="363C2E49" w14:textId="77777777" w:rsidR="006A5267" w:rsidRDefault="006A5267" w:rsidP="008B4B2B">
                            <w:pPr>
                              <w:jc w:val="center"/>
                              <w:rPr>
                                <w:rFonts w:ascii="ＭＳ ゴシック" w:eastAsia="ＭＳ ゴシック" w:hAnsi="ＭＳ ゴシック"/>
                                <w:sz w:val="20"/>
                                <w:szCs w:val="20"/>
                              </w:rPr>
                            </w:pPr>
                            <w:r>
                              <w:rPr>
                                <w:rFonts w:ascii="ＭＳ ゴシック" w:eastAsia="ＭＳ ゴシック" w:hAnsi="ＭＳ ゴシック" w:hint="eastAsia"/>
                                <w:sz w:val="20"/>
                                <w:szCs w:val="20"/>
                              </w:rPr>
                              <w:t>大　　阪　　府</w:t>
                            </w:r>
                          </w:p>
                          <w:p w14:paraId="3DC871F9" w14:textId="77777777" w:rsidR="006A5267" w:rsidRPr="00B14354" w:rsidRDefault="006A5267" w:rsidP="008B4B2B">
                            <w:pPr>
                              <w:jc w:val="center"/>
                              <w:rPr>
                                <w:rFonts w:ascii="ＭＳ ゴシック" w:eastAsia="ＭＳ ゴシック" w:hAnsi="ＭＳ ゴシック"/>
                                <w:sz w:val="20"/>
                                <w:szCs w:val="20"/>
                              </w:rPr>
                            </w:pPr>
                            <w:r w:rsidRPr="00B14354">
                              <w:rPr>
                                <w:rFonts w:ascii="ＭＳ ゴシック" w:eastAsia="ＭＳ ゴシック" w:hAnsi="ＭＳ ゴシック" w:hint="eastAsia"/>
                                <w:sz w:val="20"/>
                                <w:szCs w:val="20"/>
                              </w:rPr>
                              <w:t>（福祉部）</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roundrect w14:anchorId="45D631B6" id="AutoShape 2671" o:spid="_x0000_s1560" style="position:absolute;left:0;text-align:left;margin-left:111.6pt;margin-top:13.3pt;width:135pt;height:39.9pt;z-index:2533969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">
                <v:textbox inset="5.85pt,.7pt,5.85pt,.7pt">
                  <w:txbxContent>
                    <w:p w14:paraId="363C2E49" w14:textId="77777777" w:rsidR="006A5267" w:rsidRDefault="006A5267" w:rsidP="008B4B2B">
                      <w:pPr>
                        <w:jc w:val="center"/>
                        <w:rPr>
                          <w:rFonts w:ascii="ＭＳ ゴシック" w:eastAsia="ＭＳ ゴシック" w:hAnsi="ＭＳ ゴシック"/>
                          <w:sz w:val="20"/>
                          <w:szCs w:val="20"/>
                        </w:rPr>
                      </w:pPr>
                      <w:r>
                        <w:rPr>
                          <w:rFonts w:ascii="ＭＳ ゴシック" w:eastAsia="ＭＳ ゴシック" w:hAnsi="ＭＳ ゴシック" w:hint="eastAsia"/>
                          <w:sz w:val="20"/>
                          <w:szCs w:val="20"/>
                        </w:rPr>
                        <w:t>大　　阪　　府</w:t>
                      </w:r>
                    </w:p>
                    <w:p w14:paraId="3DC871F9" w14:textId="77777777" w:rsidR="006A5267" w:rsidRPr="00B14354" w:rsidRDefault="006A5267" w:rsidP="008B4B2B">
                      <w:pPr>
                        <w:jc w:val="center"/>
                        <w:rPr>
                          <w:rFonts w:ascii="ＭＳ ゴシック" w:eastAsia="ＭＳ ゴシック" w:hAnsi="ＭＳ ゴシック"/>
                          <w:sz w:val="20"/>
                          <w:szCs w:val="20"/>
                        </w:rPr>
                      </w:pPr>
                      <w:r w:rsidRPr="00B14354">
                        <w:rPr>
                          <w:rFonts w:ascii="ＭＳ ゴシック" w:eastAsia="ＭＳ ゴシック" w:hAnsi="ＭＳ ゴシック" w:hint="eastAsia"/>
                          <w:sz w:val="20"/>
                          <w:szCs w:val="20"/>
                        </w:rPr>
                        <w:t>（福祉部）</w:t>
                      </w:r>
                    </w:p>
                  </w:txbxContent>
                </v:textbox>
              </v:roundrect>
            </w:pict>
          </mc:Fallback>
        </mc:AlternateContent>
      </w:r>
      <w:r w:rsidRPr="008A3EDE">
        <w:rPr>
          <w:rFonts w:hAnsi="ＭＳ 明朝" w:hint="eastAsia"/>
          <w:noProof/>
          <w:sz w:val="22"/>
          <w:szCs w:val="22"/>
        </w:rPr>
        <mc:AlternateContent>
          <mc:Choice Requires="wps">
            <w:drawing>
              <wp:anchor distT="0" distB="0" distL="114300" distR="114300" simplePos="0" relativeHeight="253409280" behindDoc="0" locked="0" layoutInCell="1" allowOverlap="1" wp14:anchorId="73CC63C5" wp14:editId="28465478">
                <wp:simplePos x="0" y="0"/>
                <wp:positionH relativeFrom="column">
                  <wp:posOffset>3360420</wp:posOffset>
                </wp:positionH>
                <wp:positionV relativeFrom="paragraph">
                  <wp:posOffset>168910</wp:posOffset>
                </wp:positionV>
                <wp:extent cx="685800" cy="228600"/>
                <wp:effectExtent l="0" t="0" r="1905" b="2540"/>
                <wp:wrapNone/>
                <wp:docPr id="3855" name="Text Box 268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5800" cy="2286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AD9D61A" w14:textId="77777777" w:rsidR="006A5267" w:rsidRPr="00FC4D4F" w:rsidRDefault="006A5267" w:rsidP="008B4B2B">
                            <w:pPr>
                              <w:rPr>
                                <w:rFonts w:ascii="ＭＳ ゴシック" w:eastAsia="ＭＳ ゴシック" w:hAnsi="ＭＳ ゴシック"/>
                                <w:sz w:val="20"/>
                                <w:szCs w:val="20"/>
                              </w:rPr>
                            </w:pPr>
                            <w:r>
                              <w:rPr>
                                <w:rFonts w:ascii="ＭＳ ゴシック" w:eastAsia="ＭＳ ゴシック" w:hAnsi="ＭＳ ゴシック" w:hint="eastAsia"/>
                                <w:sz w:val="20"/>
                                <w:szCs w:val="20"/>
                              </w:rPr>
                              <w:t>配分依頼</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shape w14:anchorId="73CC63C5" id="Text Box 2682" o:spid="_x0000_s1561" type="#_x0000_t202" style="position:absolute;left:0;text-align:left;margin-left:264.6pt;margin-top:13.3pt;width:54pt;height:18pt;z-index:2534092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" filled="f" stroked="f">
                <v:textbox inset="5.85pt,.7pt,5.85pt,.7pt">
                  <w:txbxContent>
                    <w:p w14:paraId="3AD9D61A" w14:textId="77777777" w:rsidR="006A5267" w:rsidRPr="00FC4D4F" w:rsidRDefault="006A5267" w:rsidP="008B4B2B">
                      <w:pPr>
                        <w:rPr>
                          <w:rFonts w:ascii="ＭＳ ゴシック" w:eastAsia="ＭＳ ゴシック" w:hAnsi="ＭＳ ゴシック"/>
                          <w:sz w:val="20"/>
                          <w:szCs w:val="20"/>
                        </w:rPr>
                      </w:pPr>
                      <w:r>
                        <w:rPr>
                          <w:rFonts w:ascii="ＭＳ ゴシック" w:eastAsia="ＭＳ ゴシック" w:hAnsi="ＭＳ ゴシック" w:hint="eastAsia"/>
                          <w:sz w:val="20"/>
                          <w:szCs w:val="20"/>
                        </w:rPr>
                        <w:t>配分依頼</w:t>
                      </w:r>
                    </w:p>
                  </w:txbxContent>
                </v:textbox>
              </v:shape>
            </w:pict>
          </mc:Fallback>
        </mc:AlternateContent>
      </w:r>
      <w:r w:rsidRPr="008A3EDE">
        <w:rPr>
          <w:rFonts w:hAnsi="ＭＳ 明朝" w:hint="eastAsia"/>
          <w:noProof/>
          <w:sz w:val="22"/>
          <w:szCs w:val="22"/>
        </w:rPr>
        <mc:AlternateContent>
          <mc:Choice Requires="wps">
            <w:drawing>
              <wp:anchor distT="0" distB="0" distL="114300" distR="114300" simplePos="0" relativeHeight="253395968" behindDoc="0" locked="0" layoutInCell="1" allowOverlap="1" wp14:anchorId="728775CD" wp14:editId="2D234D72">
                <wp:simplePos x="0" y="0"/>
                <wp:positionH relativeFrom="column">
                  <wp:posOffset>160020</wp:posOffset>
                </wp:positionH>
                <wp:positionV relativeFrom="paragraph">
                  <wp:posOffset>54610</wp:posOffset>
                </wp:positionV>
                <wp:extent cx="342900" cy="2057400"/>
                <wp:effectExtent l="7620" t="6985" r="11430" b="12065"/>
                <wp:wrapNone/>
                <wp:docPr id="3854" name="AutoShape 267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42900" cy="2057400"/>
                        </a:xfrm>
                        <a:prstGeom prst="octagon">
                          <a:avLst>
                            <a:gd name="adj" fmla="val 29287"/>
                          </a:avLst>
                        </a:prstGeom>
                        <a:solidFill>
                          <a:srgbClr val="FFFFFF"/>
                        </a:solidFill>
                        <a:ln w="9525">
                          <a:solidFill>
                            <a:srgbClr val="000000"/>
                          </a:solidFill>
                          <a:miter lim="800000"/>
                          <a:headEnd/>
                          <a:tailEnd/>
                        </a:ln>
                      </wps:spPr>
                      <wps:txbx>
                        <w:txbxContent>
                          <w:p w14:paraId="1D8896F6" w14:textId="77777777" w:rsidR="006A5267" w:rsidRDefault="006A5267" w:rsidP="008B4B2B">
                            <w:pPr>
                              <w:rPr>
                                <w:rFonts w:ascii="ＭＳ ゴシック" w:eastAsia="ＭＳ ゴシック" w:hAnsi="ＭＳ ゴシック"/>
                                <w:sz w:val="20"/>
                                <w:szCs w:val="20"/>
                              </w:rPr>
                            </w:pPr>
                          </w:p>
                          <w:p w14:paraId="1C142C24" w14:textId="77777777" w:rsidR="006A5267" w:rsidRPr="00FC3EFB" w:rsidRDefault="006A5267" w:rsidP="008B4B2B">
                            <w:pPr>
                              <w:rPr>
                                <w:rFonts w:ascii="ＭＳ ゴシック" w:eastAsia="ＭＳ ゴシック" w:hAnsi="ＭＳ ゴシック"/>
                                <w:sz w:val="20"/>
                                <w:szCs w:val="20"/>
                              </w:rPr>
                            </w:pPr>
                            <w:r>
                              <w:rPr>
                                <w:rFonts w:ascii="ＭＳ ゴシック" w:eastAsia="ＭＳ ゴシック" w:hAnsi="ＭＳ ゴシック" w:hint="eastAsia"/>
                                <w:sz w:val="20"/>
                                <w:szCs w:val="20"/>
                              </w:rPr>
                              <w:t>個人・団体等</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shape w14:anchorId="728775CD" id="AutoShape 2670" o:spid="_x0000_s1562" type="#_x0000_t10" style="position:absolute;left:0;text-align:left;margin-left:12.6pt;margin-top:4.3pt;width:27pt;height:162pt;z-index:2533959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">
                <v:textbox inset="5.85pt,.7pt,5.85pt,.7pt">
                  <w:txbxContent>
                    <w:p w14:paraId="1D8896F6" w14:textId="77777777" w:rsidR="006A5267" w:rsidRDefault="006A5267" w:rsidP="008B4B2B">
                      <w:pPr>
                        <w:rPr>
                          <w:rFonts w:ascii="ＭＳ ゴシック" w:eastAsia="ＭＳ ゴシック" w:hAnsi="ＭＳ ゴシック"/>
                          <w:sz w:val="20"/>
                          <w:szCs w:val="20"/>
                        </w:rPr>
                      </w:pPr>
                    </w:p>
                    <w:p w14:paraId="1C142C24" w14:textId="77777777" w:rsidR="006A5267" w:rsidRPr="00FC3EFB" w:rsidRDefault="006A5267" w:rsidP="008B4B2B">
                      <w:pPr>
                        <w:rPr>
                          <w:rFonts w:ascii="ＭＳ ゴシック" w:eastAsia="ＭＳ ゴシック" w:hAnsi="ＭＳ ゴシック"/>
                          <w:sz w:val="20"/>
                          <w:szCs w:val="20"/>
                        </w:rPr>
                      </w:pPr>
                      <w:r>
                        <w:rPr>
                          <w:rFonts w:ascii="ＭＳ ゴシック" w:eastAsia="ＭＳ ゴシック" w:hAnsi="ＭＳ ゴシック" w:hint="eastAsia"/>
                          <w:sz w:val="20"/>
                          <w:szCs w:val="20"/>
                        </w:rPr>
                        <w:t>個人・団体等</w:t>
                      </w:r>
                    </w:p>
                  </w:txbxContent>
                </v:textbox>
              </v:shape>
            </w:pict>
          </mc:Fallback>
        </mc:AlternateContent>
      </w:r>
      <w:r w:rsidRPr="008A3EDE">
        <w:rPr>
          <w:rFonts w:hAnsi="ＭＳ 明朝" w:hint="eastAsia"/>
          <w:noProof/>
          <w:sz w:val="22"/>
          <w:szCs w:val="22"/>
        </w:rPr>
        <mc:AlternateContent>
          <mc:Choice Requires="wps">
            <w:drawing>
              <wp:anchor distT="0" distB="0" distL="114300" distR="114300" simplePos="0" relativeHeight="253403136" behindDoc="0" locked="0" layoutInCell="1" allowOverlap="1" wp14:anchorId="30062B3F" wp14:editId="3E5EDDB0">
                <wp:simplePos x="0" y="0"/>
                <wp:positionH relativeFrom="column">
                  <wp:posOffset>5417820</wp:posOffset>
                </wp:positionH>
                <wp:positionV relativeFrom="paragraph">
                  <wp:posOffset>54610</wp:posOffset>
                </wp:positionV>
                <wp:extent cx="342900" cy="1943100"/>
                <wp:effectExtent l="17145" t="6985" r="11430" b="12065"/>
                <wp:wrapNone/>
                <wp:docPr id="3853" name="AutoShape 267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42900" cy="1943100"/>
                        </a:xfrm>
                        <a:prstGeom prst="hexagon">
                          <a:avLst>
                            <a:gd name="adj" fmla="val 25000"/>
                            <a:gd name="vf" fmla="val 115470"/>
                          </a:avLst>
                        </a:prstGeom>
                        <a:solidFill>
                          <a:srgbClr val="FFFFFF"/>
                        </a:solidFill>
                        <a:ln w="9525">
                          <a:solidFill>
                            <a:srgbClr val="000000"/>
                          </a:solidFill>
                          <a:miter lim="800000"/>
                          <a:headEnd/>
                          <a:tailEnd/>
                        </a:ln>
                      </wps:spPr>
                      <wps:txbx>
                        <w:txbxContent>
                          <w:p w14:paraId="693D67B7" w14:textId="77777777" w:rsidR="006A5267" w:rsidRDefault="006A5267" w:rsidP="008B4B2B">
                            <w:pPr>
                              <w:rPr>
                                <w:rFonts w:ascii="ＭＳ ゴシック" w:eastAsia="ＭＳ ゴシック" w:hAnsi="ＭＳ ゴシック"/>
                                <w:sz w:val="20"/>
                                <w:szCs w:val="20"/>
                              </w:rPr>
                            </w:pPr>
                          </w:p>
                          <w:p w14:paraId="73C0C519" w14:textId="77777777" w:rsidR="006A5267" w:rsidRPr="00B12A81" w:rsidRDefault="006A5267" w:rsidP="008B4B2B">
                            <w:pPr>
                              <w:rPr>
                                <w:rFonts w:ascii="ＭＳ ゴシック" w:eastAsia="ＭＳ ゴシック" w:hAnsi="ＭＳ ゴシック"/>
                                <w:sz w:val="20"/>
                                <w:szCs w:val="20"/>
                              </w:rPr>
                            </w:pPr>
                            <w:r>
                              <w:rPr>
                                <w:rFonts w:ascii="ＭＳ ゴシック" w:eastAsia="ＭＳ ゴシック" w:hAnsi="ＭＳ ゴシック" w:hint="eastAsia"/>
                                <w:sz w:val="20"/>
                                <w:szCs w:val="20"/>
                              </w:rPr>
                              <w:t>被災者</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shape w14:anchorId="30062B3F" id="AutoShape 2676" o:spid="_x0000_s1563" type="#_x0000_t9" style="position:absolute;left:0;text-align:left;margin-left:426.6pt;margin-top:4.3pt;width:27pt;height:153pt;z-index:2534031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">
                <v:textbox inset="5.85pt,.7pt,5.85pt,.7pt">
                  <w:txbxContent>
                    <w:p w14:paraId="693D67B7" w14:textId="77777777" w:rsidR="006A5267" w:rsidRDefault="006A5267" w:rsidP="008B4B2B">
                      <w:pPr>
                        <w:rPr>
                          <w:rFonts w:ascii="ＭＳ ゴシック" w:eastAsia="ＭＳ ゴシック" w:hAnsi="ＭＳ ゴシック"/>
                          <w:sz w:val="20"/>
                          <w:szCs w:val="20"/>
                        </w:rPr>
                      </w:pPr>
                    </w:p>
                    <w:p w14:paraId="73C0C519" w14:textId="77777777" w:rsidR="006A5267" w:rsidRPr="00B12A81" w:rsidRDefault="006A5267" w:rsidP="008B4B2B">
                      <w:pPr>
                        <w:rPr>
                          <w:rFonts w:ascii="ＭＳ ゴシック" w:eastAsia="ＭＳ ゴシック" w:hAnsi="ＭＳ ゴシック"/>
                          <w:sz w:val="20"/>
                          <w:szCs w:val="20"/>
                        </w:rPr>
                      </w:pPr>
                      <w:r>
                        <w:rPr>
                          <w:rFonts w:ascii="ＭＳ ゴシック" w:eastAsia="ＭＳ ゴシック" w:hAnsi="ＭＳ ゴシック" w:hint="eastAsia"/>
                          <w:sz w:val="20"/>
                          <w:szCs w:val="20"/>
                        </w:rPr>
                        <w:t>被災者</w:t>
                      </w:r>
                    </w:p>
                  </w:txbxContent>
                </v:textbox>
              </v:shape>
            </w:pict>
          </mc:Fallback>
        </mc:AlternateContent>
      </w:r>
      <w:r w:rsidRPr="008A3EDE">
        <w:rPr>
          <w:rFonts w:hAnsi="ＭＳ 明朝" w:hint="eastAsia"/>
          <w:noProof/>
          <w:sz w:val="22"/>
          <w:szCs w:val="22"/>
        </w:rPr>
        <mc:AlternateContent>
          <mc:Choice Requires="wps">
            <w:drawing>
              <wp:anchor distT="0" distB="0" distL="114300" distR="114300" simplePos="0" relativeHeight="253402112" behindDoc="0" locked="0" layoutInCell="1" allowOverlap="1" wp14:anchorId="15C9594B" wp14:editId="586B8985">
                <wp:simplePos x="0" y="0"/>
                <wp:positionH relativeFrom="column">
                  <wp:posOffset>4389120</wp:posOffset>
                </wp:positionH>
                <wp:positionV relativeFrom="paragraph">
                  <wp:posOffset>54610</wp:posOffset>
                </wp:positionV>
                <wp:extent cx="342900" cy="1943100"/>
                <wp:effectExtent l="7620" t="6985" r="11430" b="12065"/>
                <wp:wrapNone/>
                <wp:docPr id="3852" name="AutoShape 267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42900" cy="1943100"/>
                        </a:xfrm>
                        <a:prstGeom prst="roundRect">
                          <a:avLst>
                            <a:gd name="adj" fmla="val 16667"/>
                          </a:avLst>
                        </a:prstGeom>
                        <a:solidFill>
                          <a:srgbClr val="FFFFFF"/>
                        </a:solidFill>
                        <a:ln w="9525">
                          <a:solidFill>
                            <a:srgbClr val="000000"/>
                          </a:solidFill>
                          <a:round/>
                          <a:headEnd/>
                          <a:tailEnd/>
                        </a:ln>
                      </wps:spPr>
                      <wps:txbx>
                        <w:txbxContent>
                          <w:p w14:paraId="19D4838B" w14:textId="77777777" w:rsidR="006A5267" w:rsidRDefault="006A5267" w:rsidP="008B4B2B">
                            <w:pPr>
                              <w:rPr>
                                <w:rFonts w:ascii="ＭＳ ゴシック" w:eastAsia="ＭＳ ゴシック" w:hAnsi="ＭＳ ゴシック"/>
                                <w:sz w:val="20"/>
                                <w:szCs w:val="20"/>
                              </w:rPr>
                            </w:pPr>
                          </w:p>
                          <w:p w14:paraId="08C7377A" w14:textId="77777777" w:rsidR="006A5267" w:rsidRPr="00B12A81" w:rsidRDefault="006A5267" w:rsidP="008B4B2B">
                            <w:pPr>
                              <w:rPr>
                                <w:rFonts w:ascii="ＭＳ ゴシック" w:eastAsia="ＭＳ ゴシック" w:hAnsi="ＭＳ ゴシック"/>
                                <w:sz w:val="20"/>
                                <w:szCs w:val="20"/>
                              </w:rPr>
                            </w:pPr>
                            <w:r>
                              <w:rPr>
                                <w:rFonts w:ascii="ＭＳ ゴシック" w:eastAsia="ＭＳ ゴシック" w:hAnsi="ＭＳ ゴシック" w:hint="eastAsia"/>
                                <w:sz w:val="20"/>
                                <w:szCs w:val="20"/>
                              </w:rPr>
                              <w:t>被災市町村</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roundrect w14:anchorId="15C9594B" id="AutoShape 2675" o:spid="_x0000_s1564" style="position:absolute;left:0;text-align:left;margin-left:345.6pt;margin-top:4.3pt;width:27pt;height:153pt;z-index:2534021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">
                <v:textbox inset="5.85pt,.7pt,5.85pt,.7pt">
                  <w:txbxContent>
                    <w:p w14:paraId="19D4838B" w14:textId="77777777" w:rsidR="006A5267" w:rsidRDefault="006A5267" w:rsidP="008B4B2B">
                      <w:pPr>
                        <w:rPr>
                          <w:rFonts w:ascii="ＭＳ ゴシック" w:eastAsia="ＭＳ ゴシック" w:hAnsi="ＭＳ ゴシック"/>
                          <w:sz w:val="20"/>
                          <w:szCs w:val="20"/>
                        </w:rPr>
                      </w:pPr>
                    </w:p>
                    <w:p w14:paraId="08C7377A" w14:textId="77777777" w:rsidR="006A5267" w:rsidRPr="00B12A81" w:rsidRDefault="006A5267" w:rsidP="008B4B2B">
                      <w:pPr>
                        <w:rPr>
                          <w:rFonts w:ascii="ＭＳ ゴシック" w:eastAsia="ＭＳ ゴシック" w:hAnsi="ＭＳ ゴシック"/>
                          <w:sz w:val="20"/>
                          <w:szCs w:val="20"/>
                        </w:rPr>
                      </w:pPr>
                      <w:r>
                        <w:rPr>
                          <w:rFonts w:ascii="ＭＳ ゴシック" w:eastAsia="ＭＳ ゴシック" w:hAnsi="ＭＳ ゴシック" w:hint="eastAsia"/>
                          <w:sz w:val="20"/>
                          <w:szCs w:val="20"/>
                        </w:rPr>
                        <w:t>被災市町村</w:t>
                      </w:r>
                    </w:p>
                  </w:txbxContent>
                </v:textbox>
              </v:roundrect>
            </w:pict>
          </mc:Fallback>
        </mc:AlternateContent>
      </w:r>
      <w:r w:rsidRPr="008A3EDE">
        <w:rPr>
          <w:rFonts w:hAnsi="ＭＳ 明朝" w:hint="eastAsia"/>
          <w:noProof/>
          <w:sz w:val="22"/>
          <w:szCs w:val="22"/>
        </w:rPr>
        <mc:AlternateContent>
          <mc:Choice Requires="wps">
            <w:drawing>
              <wp:anchor distT="0" distB="0" distL="114300" distR="114300" simplePos="0" relativeHeight="253405184" behindDoc="0" locked="0" layoutInCell="1" allowOverlap="1" wp14:anchorId="29DC1528" wp14:editId="30879254">
                <wp:simplePos x="0" y="0"/>
                <wp:positionH relativeFrom="column">
                  <wp:posOffset>617220</wp:posOffset>
                </wp:positionH>
                <wp:positionV relativeFrom="paragraph">
                  <wp:posOffset>168910</wp:posOffset>
                </wp:positionV>
                <wp:extent cx="571500" cy="228600"/>
                <wp:effectExtent l="0" t="0" r="1905" b="2540"/>
                <wp:wrapNone/>
                <wp:docPr id="3851" name="Text Box 267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1500" cy="2286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0C1F5A1" w14:textId="77777777" w:rsidR="006A5267" w:rsidRPr="00B12A81" w:rsidRDefault="006A5267" w:rsidP="008B4B2B">
                            <w:pPr>
                              <w:spacing w:line="240" w:lineRule="exact"/>
                              <w:rPr>
                                <w:rFonts w:ascii="ＭＳ ゴシック" w:eastAsia="ＭＳ ゴシック" w:hAnsi="ＭＳ ゴシック"/>
                                <w:sz w:val="20"/>
                                <w:szCs w:val="20"/>
                              </w:rPr>
                            </w:pPr>
                            <w:r>
                              <w:rPr>
                                <w:rFonts w:ascii="ＭＳ ゴシック" w:eastAsia="ＭＳ ゴシック" w:hAnsi="ＭＳ ゴシック" w:hint="eastAsia"/>
                                <w:sz w:val="20"/>
                                <w:szCs w:val="20"/>
                              </w:rPr>
                              <w:t>申入れ</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shape w14:anchorId="29DC1528" id="Text Box 2678" o:spid="_x0000_s1565" type="#_x0000_t202" style="position:absolute;left:0;text-align:left;margin-left:48.6pt;margin-top:13.3pt;width:45pt;height:18pt;z-index:2534051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" filled="f" stroked="f">
                <v:textbox inset="5.85pt,.7pt,5.85pt,.7pt">
                  <w:txbxContent>
                    <w:p w14:paraId="10C1F5A1" w14:textId="77777777" w:rsidR="006A5267" w:rsidRPr="00B12A81" w:rsidRDefault="006A5267" w:rsidP="008B4B2B">
                      <w:pPr>
                        <w:spacing w:line="240" w:lineRule="exact"/>
                        <w:rPr>
                          <w:rFonts w:ascii="ＭＳ ゴシック" w:eastAsia="ＭＳ ゴシック" w:hAnsi="ＭＳ ゴシック"/>
                          <w:sz w:val="20"/>
                          <w:szCs w:val="20"/>
                        </w:rPr>
                      </w:pPr>
                      <w:r>
                        <w:rPr>
                          <w:rFonts w:ascii="ＭＳ ゴシック" w:eastAsia="ＭＳ ゴシック" w:hAnsi="ＭＳ ゴシック" w:hint="eastAsia"/>
                          <w:sz w:val="20"/>
                          <w:szCs w:val="20"/>
                        </w:rPr>
                        <w:t>申入れ</w:t>
                      </w:r>
                    </w:p>
                  </w:txbxContent>
                </v:textbox>
              </v:shape>
            </w:pict>
          </mc:Fallback>
        </mc:AlternateContent>
      </w:r>
    </w:p>
    <w:p w14:paraId="29D29948" w14:textId="77777777" w:rsidR="008B4B2B" w:rsidRPr="008A3EDE" w:rsidRDefault="008B4B2B" w:rsidP="008B4B2B">
      <w:pPr>
        <w:pStyle w:val="a0"/>
        <w:rPr>
          <w:rFonts w:hAnsi="ＭＳ 明朝"/>
          <w:sz w:val="22"/>
          <w:szCs w:val="22"/>
        </w:rPr>
      </w:pPr>
      <w:r w:rsidRPr="008A3EDE">
        <w:rPr>
          <w:rFonts w:hAnsi="ＭＳ 明朝" w:hint="eastAsia"/>
          <w:noProof/>
          <w:sz w:val="22"/>
          <w:szCs w:val="22"/>
        </w:rPr>
        <mc:AlternateContent>
          <mc:Choice Requires="wps">
            <w:drawing>
              <wp:anchor distT="0" distB="0" distL="114300" distR="114300" simplePos="0" relativeHeight="253408256" behindDoc="0" locked="0" layoutInCell="1" allowOverlap="1" wp14:anchorId="3DE16AC2" wp14:editId="5C056047">
                <wp:simplePos x="0" y="0"/>
                <wp:positionH relativeFrom="column">
                  <wp:posOffset>3131820</wp:posOffset>
                </wp:positionH>
                <wp:positionV relativeFrom="paragraph">
                  <wp:posOffset>168910</wp:posOffset>
                </wp:positionV>
                <wp:extent cx="1257300" cy="0"/>
                <wp:effectExtent l="7620" t="54610" r="20955" b="59690"/>
                <wp:wrapNone/>
                <wp:docPr id="3850" name="Line 268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257300" cy="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line w14:anchorId="4C8366F6" id="Line 2681" o:spid="_x0000_s1026" style="position:absolute;left:0;text-align:left;z-index:2534082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46.6pt,13.3pt" to="345.6pt,13.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">
                <v:stroke endarrow="block"/>
              </v:line>
            </w:pict>
          </mc:Fallback>
        </mc:AlternateContent>
      </w:r>
      <w:r w:rsidRPr="008A3EDE">
        <w:rPr>
          <w:rFonts w:hAnsi="ＭＳ 明朝" w:hint="eastAsia"/>
          <w:noProof/>
          <w:sz w:val="22"/>
          <w:szCs w:val="22"/>
        </w:rPr>
        <mc:AlternateContent>
          <mc:Choice Requires="wps">
            <w:drawing>
              <wp:anchor distT="0" distB="0" distL="114300" distR="114300" simplePos="0" relativeHeight="253404160" behindDoc="0" locked="0" layoutInCell="1" allowOverlap="1" wp14:anchorId="48CAF469" wp14:editId="554B73BC">
                <wp:simplePos x="0" y="0"/>
                <wp:positionH relativeFrom="column">
                  <wp:posOffset>502920</wp:posOffset>
                </wp:positionH>
                <wp:positionV relativeFrom="paragraph">
                  <wp:posOffset>168910</wp:posOffset>
                </wp:positionV>
                <wp:extent cx="914400" cy="0"/>
                <wp:effectExtent l="7620" t="54610" r="20955" b="59690"/>
                <wp:wrapNone/>
                <wp:docPr id="3849" name="Line 267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914400" cy="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line w14:anchorId="3294C3F1" id="Line 2677" o:spid="_x0000_s1026" style="position:absolute;left:0;text-align:left;z-index:2534041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9.6pt,13.3pt" to="111.6pt,13.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">
                <v:stroke endarrow="block"/>
              </v:line>
            </w:pict>
          </mc:Fallback>
        </mc:AlternateContent>
      </w:r>
    </w:p>
    <w:p w14:paraId="0F4F2C1C" w14:textId="77777777" w:rsidR="008B4B2B" w:rsidRPr="008A3EDE" w:rsidRDefault="008B4B2B" w:rsidP="008B4B2B">
      <w:pPr>
        <w:pStyle w:val="a0"/>
        <w:rPr>
          <w:rFonts w:hAnsi="ＭＳ 明朝"/>
          <w:sz w:val="22"/>
          <w:szCs w:val="22"/>
        </w:rPr>
      </w:pPr>
      <w:r w:rsidRPr="008A3EDE">
        <w:rPr>
          <w:rFonts w:hAnsi="ＭＳ 明朝" w:hint="eastAsia"/>
          <w:noProof/>
          <w:sz w:val="22"/>
          <w:szCs w:val="22"/>
        </w:rPr>
        <mc:AlternateContent>
          <mc:Choice Requires="wps">
            <w:drawing>
              <wp:anchor distT="0" distB="0" distL="114300" distR="114300" simplePos="0" relativeHeight="253410304" behindDoc="0" locked="0" layoutInCell="1" allowOverlap="1" wp14:anchorId="3A981C95" wp14:editId="4AA3DB5F">
                <wp:simplePos x="0" y="0"/>
                <wp:positionH relativeFrom="column">
                  <wp:posOffset>4846320</wp:posOffset>
                </wp:positionH>
                <wp:positionV relativeFrom="paragraph">
                  <wp:posOffset>54610</wp:posOffset>
                </wp:positionV>
                <wp:extent cx="457200" cy="1028700"/>
                <wp:effectExtent l="7620" t="54610" r="11430" b="12065"/>
                <wp:wrapNone/>
                <wp:docPr id="3848" name="AutoShape 268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57200" cy="1028700"/>
                        </a:xfrm>
                        <a:prstGeom prst="rightArrow">
                          <a:avLst>
                            <a:gd name="adj1" fmla="val 50000"/>
                            <a:gd name="adj2" fmla="val 25000"/>
                          </a:avLst>
                        </a:prstGeom>
                        <a:solidFill>
                          <a:srgbClr val="FFFFFF"/>
                        </a:solidFill>
                        <a:ln w="9525">
                          <a:solidFill>
                            <a:srgbClr val="000000"/>
                          </a:solidFill>
                          <a:miter lim="800000"/>
                          <a:headEnd/>
                          <a:tailEnd/>
                        </a:ln>
                      </wps:spPr>
                      <wps:txbx>
                        <w:txbxContent>
                          <w:p w14:paraId="136DE0A6" w14:textId="77777777" w:rsidR="006A5267" w:rsidRDefault="006A5267" w:rsidP="008B4B2B">
                            <w:pPr>
                              <w:rPr>
                                <w:rFonts w:ascii="ＭＳ ゴシック" w:eastAsia="ＭＳ ゴシック" w:hAnsi="ＭＳ ゴシック"/>
                                <w:sz w:val="20"/>
                                <w:szCs w:val="20"/>
                              </w:rPr>
                            </w:pPr>
                            <w:r w:rsidRPr="00FC4D4F">
                              <w:rPr>
                                <w:rFonts w:ascii="ＭＳ ゴシック" w:eastAsia="ＭＳ ゴシック" w:hAnsi="ＭＳ ゴシック" w:hint="eastAsia"/>
                                <w:sz w:val="20"/>
                                <w:szCs w:val="20"/>
                              </w:rPr>
                              <w:t>配</w:t>
                            </w:r>
                          </w:p>
                          <w:p w14:paraId="794FF414" w14:textId="77777777" w:rsidR="006A5267" w:rsidRPr="00FC4D4F" w:rsidRDefault="006A5267" w:rsidP="008B4B2B">
                            <w:pPr>
                              <w:rPr>
                                <w:rFonts w:ascii="ＭＳ ゴシック" w:eastAsia="ＭＳ ゴシック" w:hAnsi="ＭＳ ゴシック"/>
                                <w:sz w:val="20"/>
                                <w:szCs w:val="20"/>
                              </w:rPr>
                            </w:pPr>
                            <w:r w:rsidRPr="00FC4D4F">
                              <w:rPr>
                                <w:rFonts w:ascii="ＭＳ ゴシック" w:eastAsia="ＭＳ ゴシック" w:hAnsi="ＭＳ ゴシック" w:hint="eastAsia"/>
                                <w:sz w:val="20"/>
                                <w:szCs w:val="20"/>
                              </w:rPr>
                              <w:t>分</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shape w14:anchorId="3A981C95" id="AutoShape 2683" o:spid="_x0000_s1566" type="#_x0000_t13" style="position:absolute;left:0;text-align:left;margin-left:381.6pt;margin-top:4.3pt;width:36pt;height:81pt;z-index:2534103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">
                <v:textbox inset="5.85pt,.7pt,5.85pt,.7pt">
                  <w:txbxContent>
                    <w:p w14:paraId="136DE0A6" w14:textId="77777777" w:rsidR="006A5267" w:rsidRDefault="006A5267" w:rsidP="008B4B2B">
                      <w:pPr>
                        <w:rPr>
                          <w:rFonts w:ascii="ＭＳ ゴシック" w:eastAsia="ＭＳ ゴシック" w:hAnsi="ＭＳ ゴシック"/>
                          <w:sz w:val="20"/>
                          <w:szCs w:val="20"/>
                        </w:rPr>
                      </w:pPr>
                      <w:r w:rsidRPr="00FC4D4F">
                        <w:rPr>
                          <w:rFonts w:ascii="ＭＳ ゴシック" w:eastAsia="ＭＳ ゴシック" w:hAnsi="ＭＳ ゴシック" w:hint="eastAsia"/>
                          <w:sz w:val="20"/>
                          <w:szCs w:val="20"/>
                        </w:rPr>
                        <w:t>配</w:t>
                      </w:r>
                    </w:p>
                    <w:p w14:paraId="794FF414" w14:textId="77777777" w:rsidR="006A5267" w:rsidRPr="00FC4D4F" w:rsidRDefault="006A5267" w:rsidP="008B4B2B">
                      <w:pPr>
                        <w:rPr>
                          <w:rFonts w:ascii="ＭＳ ゴシック" w:eastAsia="ＭＳ ゴシック" w:hAnsi="ＭＳ ゴシック"/>
                          <w:sz w:val="20"/>
                          <w:szCs w:val="20"/>
                        </w:rPr>
                      </w:pPr>
                      <w:r w:rsidRPr="00FC4D4F">
                        <w:rPr>
                          <w:rFonts w:ascii="ＭＳ ゴシック" w:eastAsia="ＭＳ ゴシック" w:hAnsi="ＭＳ ゴシック" w:hint="eastAsia"/>
                          <w:sz w:val="20"/>
                          <w:szCs w:val="20"/>
                        </w:rPr>
                        <w:t>分</w:t>
                      </w:r>
                    </w:p>
                  </w:txbxContent>
                </v:textbox>
              </v:shape>
            </w:pict>
          </mc:Fallback>
        </mc:AlternateContent>
      </w:r>
    </w:p>
    <w:p w14:paraId="6B5BF68D" w14:textId="77777777" w:rsidR="008B4B2B" w:rsidRPr="008A3EDE" w:rsidRDefault="008B4B2B" w:rsidP="008B4B2B">
      <w:pPr>
        <w:pStyle w:val="a0"/>
        <w:rPr>
          <w:rFonts w:hAnsi="ＭＳ 明朝"/>
          <w:sz w:val="22"/>
          <w:szCs w:val="22"/>
        </w:rPr>
      </w:pPr>
      <w:r w:rsidRPr="008A3EDE">
        <w:rPr>
          <w:rFonts w:hAnsi="ＭＳ 明朝" w:hint="eastAsia"/>
          <w:noProof/>
          <w:sz w:val="22"/>
          <w:szCs w:val="22"/>
        </w:rPr>
        <mc:AlternateContent>
          <mc:Choice Requires="wps">
            <w:drawing>
              <wp:anchor distT="0" distB="0" distL="114300" distR="114300" simplePos="0" relativeHeight="253399040" behindDoc="0" locked="0" layoutInCell="1" allowOverlap="1" wp14:anchorId="6325C0BA" wp14:editId="0B23B0D1">
                <wp:simplePos x="0" y="0"/>
                <wp:positionH relativeFrom="column">
                  <wp:posOffset>2217420</wp:posOffset>
                </wp:positionH>
                <wp:positionV relativeFrom="paragraph">
                  <wp:posOffset>54610</wp:posOffset>
                </wp:positionV>
                <wp:extent cx="1371600" cy="1257300"/>
                <wp:effectExtent l="7620" t="6985" r="11430" b="12065"/>
                <wp:wrapNone/>
                <wp:docPr id="3847" name="Text Box 267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71600" cy="1257300"/>
                        </a:xfrm>
                        <a:prstGeom prst="rect">
                          <a:avLst/>
                        </a:prstGeom>
                        <a:solidFill>
                          <a:srgbClr val="FFFFFF"/>
                        </a:solidFill>
                        <a:ln w="9525">
                          <a:solidFill>
                            <a:srgbClr val="000000"/>
                          </a:solidFill>
                          <a:miter lim="800000"/>
                          <a:headEnd/>
                          <a:tailEnd/>
                        </a:ln>
                      </wps:spPr>
                      <wps:txbx>
                        <w:txbxContent>
                          <w:p w14:paraId="1FE7449F" w14:textId="77777777" w:rsidR="006A5267" w:rsidRPr="009A637B" w:rsidRDefault="006A5267" w:rsidP="008B4B2B">
                            <w:pPr>
                              <w:rPr>
                                <w:rFonts w:ascii="ＭＳ ゴシック" w:eastAsia="ＭＳ ゴシック" w:hAnsi="ＭＳ ゴシック"/>
                                <w:sz w:val="20"/>
                                <w:szCs w:val="20"/>
                              </w:rPr>
                            </w:pPr>
                          </w:p>
                          <w:p w14:paraId="06403F10" w14:textId="77777777" w:rsidR="006A5267" w:rsidRPr="009A637B" w:rsidRDefault="006A5267" w:rsidP="008B4B2B">
                            <w:pPr>
                              <w:rPr>
                                <w:rFonts w:ascii="ＭＳ ゴシック" w:eastAsia="ＭＳ ゴシック" w:hAnsi="ＭＳ ゴシック"/>
                                <w:sz w:val="20"/>
                                <w:szCs w:val="20"/>
                              </w:rPr>
                            </w:pPr>
                          </w:p>
                          <w:p w14:paraId="69BFFE3C" w14:textId="77777777" w:rsidR="006A5267" w:rsidRDefault="006A5267" w:rsidP="008B4B2B">
                            <w:pPr>
                              <w:rPr>
                                <w:rFonts w:ascii="ＭＳ ゴシック" w:eastAsia="ＭＳ ゴシック" w:hAnsi="ＭＳ ゴシック"/>
                                <w:sz w:val="20"/>
                                <w:szCs w:val="20"/>
                              </w:rPr>
                            </w:pPr>
                          </w:p>
                          <w:p w14:paraId="05893132" w14:textId="77777777" w:rsidR="006A5267" w:rsidRDefault="006A5267" w:rsidP="008B4B2B">
                            <w:pPr>
                              <w:spacing w:line="240" w:lineRule="exact"/>
                              <w:rPr>
                                <w:rFonts w:ascii="ＭＳ ゴシック" w:eastAsia="ＭＳ ゴシック" w:hAnsi="ＭＳ ゴシック"/>
                                <w:sz w:val="20"/>
                                <w:szCs w:val="20"/>
                              </w:rPr>
                            </w:pPr>
                            <w:r w:rsidRPr="009A637B">
                              <w:rPr>
                                <w:rFonts w:ascii="ＭＳ ゴシック" w:eastAsia="ＭＳ ゴシック" w:hAnsi="ＭＳ ゴシック" w:hint="eastAsia"/>
                                <w:sz w:val="20"/>
                                <w:szCs w:val="20"/>
                              </w:rPr>
                              <w:t>・</w:t>
                            </w:r>
                            <w:r>
                              <w:rPr>
                                <w:rFonts w:ascii="ＭＳ ゴシック" w:eastAsia="ＭＳ ゴシック" w:hAnsi="ＭＳ ゴシック" w:hint="eastAsia"/>
                                <w:sz w:val="20"/>
                                <w:szCs w:val="20"/>
                              </w:rPr>
                              <w:t>義援金の使途</w:t>
                            </w:r>
                            <w:r w:rsidRPr="0058146A">
                              <w:rPr>
                                <w:rFonts w:ascii="ＭＳ ゴシック" w:eastAsia="ＭＳ ゴシック" w:hAnsi="ＭＳ ゴシック" w:hint="eastAsia"/>
                                <w:sz w:val="20"/>
                                <w:szCs w:val="20"/>
                              </w:rPr>
                              <w:t>及び</w:t>
                            </w:r>
                          </w:p>
                          <w:p w14:paraId="7B310621" w14:textId="77777777" w:rsidR="006A5267" w:rsidRPr="009A637B" w:rsidRDefault="006A5267" w:rsidP="008B4B2B">
                            <w:pPr>
                              <w:spacing w:line="240" w:lineRule="exact"/>
                              <w:rPr>
                                <w:rFonts w:ascii="ＭＳ ゴシック" w:eastAsia="ＭＳ ゴシック" w:hAnsi="ＭＳ ゴシック"/>
                                <w:sz w:val="20"/>
                                <w:szCs w:val="20"/>
                              </w:rPr>
                            </w:pPr>
                            <w:r>
                              <w:rPr>
                                <w:rFonts w:ascii="ＭＳ ゴシック" w:eastAsia="ＭＳ ゴシック" w:hAnsi="ＭＳ ゴシック" w:hint="eastAsia"/>
                                <w:sz w:val="20"/>
                                <w:szCs w:val="20"/>
                              </w:rPr>
                              <w:t>配分方法などを協議し決定する</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shape w14:anchorId="6325C0BA" id="Text Box 2673" o:spid="_x0000_s1567" type="#_x0000_t202" style="position:absolute;left:0;text-align:left;margin-left:174.6pt;margin-top:4.3pt;width:108pt;height:99pt;z-index:2533990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">
                <v:textbox inset="5.85pt,.7pt,5.85pt,.7pt">
                  <w:txbxContent>
                    <w:p w14:paraId="1FE7449F" w14:textId="77777777" w:rsidR="006A5267" w:rsidRPr="009A637B" w:rsidRDefault="006A5267" w:rsidP="008B4B2B">
                      <w:pPr>
                        <w:rPr>
                          <w:rFonts w:ascii="ＭＳ ゴシック" w:eastAsia="ＭＳ ゴシック" w:hAnsi="ＭＳ ゴシック"/>
                          <w:sz w:val="20"/>
                          <w:szCs w:val="20"/>
                        </w:rPr>
                      </w:pPr>
                    </w:p>
                    <w:p w14:paraId="06403F10" w14:textId="77777777" w:rsidR="006A5267" w:rsidRPr="009A637B" w:rsidRDefault="006A5267" w:rsidP="008B4B2B">
                      <w:pPr>
                        <w:rPr>
                          <w:rFonts w:ascii="ＭＳ ゴシック" w:eastAsia="ＭＳ ゴシック" w:hAnsi="ＭＳ ゴシック"/>
                          <w:sz w:val="20"/>
                          <w:szCs w:val="20"/>
                        </w:rPr>
                      </w:pPr>
                    </w:p>
                    <w:p w14:paraId="69BFFE3C" w14:textId="77777777" w:rsidR="006A5267" w:rsidRDefault="006A5267" w:rsidP="008B4B2B">
                      <w:pPr>
                        <w:rPr>
                          <w:rFonts w:ascii="ＭＳ ゴシック" w:eastAsia="ＭＳ ゴシック" w:hAnsi="ＭＳ ゴシック"/>
                          <w:sz w:val="20"/>
                          <w:szCs w:val="20"/>
                        </w:rPr>
                      </w:pPr>
                    </w:p>
                    <w:p w14:paraId="05893132" w14:textId="77777777" w:rsidR="006A5267" w:rsidRDefault="006A5267" w:rsidP="008B4B2B">
                      <w:pPr>
                        <w:spacing w:line="240" w:lineRule="exact"/>
                        <w:rPr>
                          <w:rFonts w:ascii="ＭＳ ゴシック" w:eastAsia="ＭＳ ゴシック" w:hAnsi="ＭＳ ゴシック"/>
                          <w:sz w:val="20"/>
                          <w:szCs w:val="20"/>
                        </w:rPr>
                      </w:pPr>
                      <w:r w:rsidRPr="009A637B">
                        <w:rPr>
                          <w:rFonts w:ascii="ＭＳ ゴシック" w:eastAsia="ＭＳ ゴシック" w:hAnsi="ＭＳ ゴシック" w:hint="eastAsia"/>
                          <w:sz w:val="20"/>
                          <w:szCs w:val="20"/>
                        </w:rPr>
                        <w:t>・</w:t>
                      </w:r>
                      <w:r>
                        <w:rPr>
                          <w:rFonts w:ascii="ＭＳ ゴシック" w:eastAsia="ＭＳ ゴシック" w:hAnsi="ＭＳ ゴシック" w:hint="eastAsia"/>
                          <w:sz w:val="20"/>
                          <w:szCs w:val="20"/>
                        </w:rPr>
                        <w:t>義援金の使途</w:t>
                      </w:r>
                      <w:r w:rsidRPr="0058146A">
                        <w:rPr>
                          <w:rFonts w:ascii="ＭＳ ゴシック" w:eastAsia="ＭＳ ゴシック" w:hAnsi="ＭＳ ゴシック" w:hint="eastAsia"/>
                          <w:sz w:val="20"/>
                          <w:szCs w:val="20"/>
                        </w:rPr>
                        <w:t>及び</w:t>
                      </w:r>
                    </w:p>
                    <w:p w14:paraId="7B310621" w14:textId="77777777" w:rsidR="006A5267" w:rsidRPr="009A637B" w:rsidRDefault="006A5267" w:rsidP="008B4B2B">
                      <w:pPr>
                        <w:spacing w:line="240" w:lineRule="exact"/>
                        <w:rPr>
                          <w:rFonts w:ascii="ＭＳ ゴシック" w:eastAsia="ＭＳ ゴシック" w:hAnsi="ＭＳ ゴシック"/>
                          <w:sz w:val="20"/>
                          <w:szCs w:val="20"/>
                        </w:rPr>
                      </w:pPr>
                      <w:r>
                        <w:rPr>
                          <w:rFonts w:ascii="ＭＳ ゴシック" w:eastAsia="ＭＳ ゴシック" w:hAnsi="ＭＳ ゴシック" w:hint="eastAsia"/>
                          <w:sz w:val="20"/>
                          <w:szCs w:val="20"/>
                        </w:rPr>
                        <w:t>配分方法などを協議し決定する</w:t>
                      </w:r>
                    </w:p>
                  </w:txbxContent>
                </v:textbox>
              </v:shape>
            </w:pict>
          </mc:Fallback>
        </mc:AlternateContent>
      </w:r>
      <w:r w:rsidRPr="008A3EDE">
        <w:rPr>
          <w:rFonts w:hAnsi="ＭＳ 明朝" w:hint="eastAsia"/>
          <w:noProof/>
          <w:sz w:val="22"/>
          <w:szCs w:val="22"/>
        </w:rPr>
        <mc:AlternateContent>
          <mc:Choice Requires="wps">
            <w:drawing>
              <wp:anchor distT="0" distB="0" distL="114300" distR="114300" simplePos="0" relativeHeight="253407232" behindDoc="0" locked="0" layoutInCell="1" allowOverlap="1" wp14:anchorId="7F9E5653" wp14:editId="73430B94">
                <wp:simplePos x="0" y="0"/>
                <wp:positionH relativeFrom="column">
                  <wp:posOffset>617220</wp:posOffset>
                </wp:positionH>
                <wp:positionV relativeFrom="paragraph">
                  <wp:posOffset>54610</wp:posOffset>
                </wp:positionV>
                <wp:extent cx="457200" cy="228600"/>
                <wp:effectExtent l="0" t="0" r="1905" b="2540"/>
                <wp:wrapNone/>
                <wp:docPr id="3846" name="Text Box 268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57200" cy="2286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F28ECDA" w14:textId="77777777" w:rsidR="006A5267" w:rsidRPr="00FC4D4F" w:rsidRDefault="006A5267" w:rsidP="008B4B2B">
                            <w:pPr>
                              <w:rPr>
                                <w:rFonts w:ascii="ＭＳ ゴシック" w:eastAsia="ＭＳ ゴシック" w:hAnsi="ＭＳ ゴシック"/>
                                <w:sz w:val="20"/>
                                <w:szCs w:val="20"/>
                              </w:rPr>
                            </w:pPr>
                            <w:r>
                              <w:rPr>
                                <w:rFonts w:ascii="ＭＳ ゴシック" w:eastAsia="ＭＳ ゴシック" w:hAnsi="ＭＳ ゴシック" w:hint="eastAsia"/>
                                <w:sz w:val="20"/>
                                <w:szCs w:val="20"/>
                              </w:rPr>
                              <w:t>受付</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shape w14:anchorId="7F9E5653" id="Text Box 2680" o:spid="_x0000_s1568" type="#_x0000_t202" style="position:absolute;left:0;text-align:left;margin-left:48.6pt;margin-top:4.3pt;width:36pt;height:18pt;z-index:2534072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" filled="f" stroked="f">
                <v:textbox inset="5.85pt,.7pt,5.85pt,.7pt">
                  <w:txbxContent>
                    <w:p w14:paraId="7F28ECDA" w14:textId="77777777" w:rsidR="006A5267" w:rsidRPr="00FC4D4F" w:rsidRDefault="006A5267" w:rsidP="008B4B2B">
                      <w:pPr>
                        <w:rPr>
                          <w:rFonts w:ascii="ＭＳ ゴシック" w:eastAsia="ＭＳ ゴシック" w:hAnsi="ＭＳ ゴシック"/>
                          <w:sz w:val="20"/>
                          <w:szCs w:val="20"/>
                        </w:rPr>
                      </w:pPr>
                      <w:r>
                        <w:rPr>
                          <w:rFonts w:ascii="ＭＳ ゴシック" w:eastAsia="ＭＳ ゴシック" w:hAnsi="ＭＳ ゴシック" w:hint="eastAsia"/>
                          <w:sz w:val="20"/>
                          <w:szCs w:val="20"/>
                        </w:rPr>
                        <w:t>受付</w:t>
                      </w:r>
                    </w:p>
                  </w:txbxContent>
                </v:textbox>
              </v:shape>
            </w:pict>
          </mc:Fallback>
        </mc:AlternateContent>
      </w:r>
      <w:r w:rsidRPr="008A3EDE">
        <w:rPr>
          <w:rFonts w:hAnsi="ＭＳ 明朝" w:hint="eastAsia"/>
          <w:noProof/>
          <w:sz w:val="22"/>
          <w:szCs w:val="22"/>
        </w:rPr>
        <mc:AlternateContent>
          <mc:Choice Requires="wps">
            <w:drawing>
              <wp:anchor distT="0" distB="0" distL="114300" distR="114300" simplePos="0" relativeHeight="253398016" behindDoc="0" locked="0" layoutInCell="1" allowOverlap="1" wp14:anchorId="7CFB6879" wp14:editId="6E201BCF">
                <wp:simplePos x="0" y="0"/>
                <wp:positionH relativeFrom="column">
                  <wp:posOffset>1188720</wp:posOffset>
                </wp:positionH>
                <wp:positionV relativeFrom="paragraph">
                  <wp:posOffset>54610</wp:posOffset>
                </wp:positionV>
                <wp:extent cx="1028700" cy="342900"/>
                <wp:effectExtent l="7620" t="6985" r="11430" b="12065"/>
                <wp:wrapNone/>
                <wp:docPr id="3845" name="AutoShape 267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28700" cy="342900"/>
                        </a:xfrm>
                        <a:prstGeom prst="bevel">
                          <a:avLst>
                            <a:gd name="adj" fmla="val 12500"/>
                          </a:avLst>
                        </a:prstGeom>
                        <a:solidFill>
                          <a:srgbClr val="FFFFFF"/>
                        </a:solidFill>
                        <a:ln w="9525">
                          <a:solidFill>
                            <a:srgbClr val="000000"/>
                          </a:solidFill>
                          <a:miter lim="800000"/>
                          <a:headEnd/>
                          <a:tailEnd/>
                        </a:ln>
                      </wps:spPr>
                      <wps:txbx>
                        <w:txbxContent>
                          <w:p w14:paraId="63A9236B" w14:textId="77777777" w:rsidR="006A5267" w:rsidRPr="000C1134" w:rsidRDefault="006A5267" w:rsidP="008B4B2B">
                            <w:pPr>
                              <w:spacing w:line="240" w:lineRule="exact"/>
                              <w:rPr>
                                <w:rFonts w:ascii="ＭＳ ゴシック" w:eastAsia="ＭＳ ゴシック" w:hAnsi="ＭＳ ゴシック"/>
                                <w:sz w:val="20"/>
                                <w:szCs w:val="20"/>
                              </w:rPr>
                            </w:pPr>
                            <w:r>
                              <w:rPr>
                                <w:rFonts w:ascii="ＭＳ ゴシック" w:eastAsia="ＭＳ ゴシック" w:hAnsi="ＭＳ ゴシック" w:hint="eastAsia"/>
                                <w:sz w:val="20"/>
                                <w:szCs w:val="20"/>
                              </w:rPr>
                              <w:t>受入口座開</w:t>
                            </w:r>
                            <w:r w:rsidRPr="000C1134">
                              <w:rPr>
                                <w:rFonts w:ascii="ＭＳ ゴシック" w:eastAsia="ＭＳ ゴシック" w:hAnsi="ＭＳ ゴシック" w:hint="eastAsia"/>
                                <w:sz w:val="20"/>
                                <w:szCs w:val="20"/>
                              </w:rPr>
                              <w:t>設</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shape w14:anchorId="7CFB6879" id="AutoShape 2672" o:spid="_x0000_s1569" type="#_x0000_t84" style="position:absolute;left:0;text-align:left;margin-left:93.6pt;margin-top:4.3pt;width:81pt;height:27pt;z-index:2533980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">
                <v:textbox inset="5.85pt,.7pt,5.85pt,.7pt">
                  <w:txbxContent>
                    <w:p w14:paraId="63A9236B" w14:textId="77777777" w:rsidR="006A5267" w:rsidRPr="000C1134" w:rsidRDefault="006A5267" w:rsidP="008B4B2B">
                      <w:pPr>
                        <w:spacing w:line="240" w:lineRule="exact"/>
                        <w:rPr>
                          <w:rFonts w:ascii="ＭＳ ゴシック" w:eastAsia="ＭＳ ゴシック" w:hAnsi="ＭＳ ゴシック"/>
                          <w:sz w:val="20"/>
                          <w:szCs w:val="20"/>
                        </w:rPr>
                      </w:pPr>
                      <w:r>
                        <w:rPr>
                          <w:rFonts w:ascii="ＭＳ ゴシック" w:eastAsia="ＭＳ ゴシック" w:hAnsi="ＭＳ ゴシック" w:hint="eastAsia"/>
                          <w:sz w:val="20"/>
                          <w:szCs w:val="20"/>
                        </w:rPr>
                        <w:t>受入口座開</w:t>
                      </w:r>
                      <w:r w:rsidRPr="000C1134">
                        <w:rPr>
                          <w:rFonts w:ascii="ＭＳ ゴシック" w:eastAsia="ＭＳ ゴシック" w:hAnsi="ＭＳ ゴシック" w:hint="eastAsia"/>
                          <w:sz w:val="20"/>
                          <w:szCs w:val="20"/>
                        </w:rPr>
                        <w:t>設</w:t>
                      </w:r>
                    </w:p>
                  </w:txbxContent>
                </v:textbox>
              </v:shape>
            </w:pict>
          </mc:Fallback>
        </mc:AlternateContent>
      </w:r>
      <w:r w:rsidRPr="008A3EDE">
        <w:rPr>
          <w:rFonts w:hAnsi="ＭＳ 明朝" w:hint="eastAsia"/>
          <w:noProof/>
          <w:sz w:val="22"/>
          <w:szCs w:val="22"/>
        </w:rPr>
        <mc:AlternateContent>
          <mc:Choice Requires="wps">
            <w:drawing>
              <wp:anchor distT="0" distB="0" distL="114300" distR="114300" simplePos="0" relativeHeight="253400064" behindDoc="0" locked="0" layoutInCell="1" allowOverlap="1" wp14:anchorId="6AF9A8DC" wp14:editId="60D7B588">
                <wp:simplePos x="0" y="0"/>
                <wp:positionH relativeFrom="column">
                  <wp:posOffset>2331720</wp:posOffset>
                </wp:positionH>
                <wp:positionV relativeFrom="paragraph">
                  <wp:posOffset>168910</wp:posOffset>
                </wp:positionV>
                <wp:extent cx="1143000" cy="457200"/>
                <wp:effectExtent l="7620" t="6985" r="11430" b="12065"/>
                <wp:wrapNone/>
                <wp:docPr id="3844" name="AutoShape 267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43000" cy="457200"/>
                        </a:xfrm>
                        <a:prstGeom prst="roundRect">
                          <a:avLst>
                            <a:gd name="adj" fmla="val 16667"/>
                          </a:avLst>
                        </a:prstGeom>
                        <a:solidFill>
                          <a:srgbClr val="FFFFFF"/>
                        </a:solidFill>
                        <a:ln w="9525">
                          <a:solidFill>
                            <a:srgbClr val="000000"/>
                          </a:solidFill>
                          <a:round/>
                          <a:headEnd/>
                          <a:tailEnd/>
                        </a:ln>
                      </wps:spPr>
                      <wps:txbx>
                        <w:txbxContent>
                          <w:p w14:paraId="7B9EB839" w14:textId="77777777" w:rsidR="006A5267" w:rsidRPr="0058146A" w:rsidRDefault="006A5267" w:rsidP="008B4B2B">
                            <w:pPr>
                              <w:spacing w:line="240" w:lineRule="exact"/>
                              <w:rPr>
                                <w:rFonts w:ascii="ＭＳ ゴシック" w:eastAsia="ＭＳ ゴシック" w:hAnsi="ＭＳ ゴシック"/>
                                <w:sz w:val="20"/>
                                <w:szCs w:val="20"/>
                              </w:rPr>
                            </w:pPr>
                            <w:r w:rsidRPr="009A637B">
                              <w:rPr>
                                <w:rFonts w:ascii="ＭＳ ゴシック" w:eastAsia="ＭＳ ゴシック" w:hAnsi="ＭＳ ゴシック" w:hint="eastAsia"/>
                                <w:sz w:val="20"/>
                                <w:szCs w:val="20"/>
                              </w:rPr>
                              <w:t>義援金</w:t>
                            </w:r>
                            <w:r w:rsidRPr="0058146A">
                              <w:rPr>
                                <w:rFonts w:ascii="ＭＳ ゴシック" w:eastAsia="ＭＳ ゴシック" w:hAnsi="ＭＳ ゴシック" w:hint="eastAsia"/>
                                <w:sz w:val="20"/>
                                <w:szCs w:val="20"/>
                              </w:rPr>
                              <w:t>等</w:t>
                            </w:r>
                          </w:p>
                          <w:p w14:paraId="130E5F64" w14:textId="77777777" w:rsidR="006A5267" w:rsidRPr="0058146A" w:rsidRDefault="006A5267" w:rsidP="008B4B2B">
                            <w:pPr>
                              <w:spacing w:line="240" w:lineRule="exact"/>
                              <w:rPr>
                                <w:rFonts w:ascii="ＭＳ ゴシック" w:eastAsia="ＭＳ ゴシック" w:hAnsi="ＭＳ ゴシック"/>
                                <w:sz w:val="20"/>
                                <w:szCs w:val="20"/>
                              </w:rPr>
                            </w:pPr>
                            <w:r w:rsidRPr="0058146A">
                              <w:rPr>
                                <w:rFonts w:ascii="ＭＳ ゴシック" w:eastAsia="ＭＳ ゴシック" w:hAnsi="ＭＳ ゴシック" w:hint="eastAsia"/>
                                <w:sz w:val="20"/>
                                <w:szCs w:val="20"/>
                              </w:rPr>
                              <w:t>配分委員会</w:t>
                            </w:r>
                            <w:r w:rsidRPr="0058146A">
                              <w:rPr>
                                <w:rFonts w:ascii="ＭＳ ゴシック" w:eastAsia="ＭＳ ゴシック" w:hAnsi="ＭＳ ゴシック" w:hint="eastAsia"/>
                                <w:strike/>
                                <w:sz w:val="20"/>
                                <w:szCs w:val="20"/>
                              </w:rPr>
                              <w:t>等</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roundrect w14:anchorId="6AF9A8DC" id="AutoShape 2674" o:spid="_x0000_s1570" style="position:absolute;left:0;text-align:left;margin-left:183.6pt;margin-top:13.3pt;width:90pt;height:36pt;z-index:2534000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">
                <v:textbox inset="5.85pt,.7pt,5.85pt,.7pt">
                  <w:txbxContent>
                    <w:p w14:paraId="7B9EB839" w14:textId="77777777" w:rsidR="006A5267" w:rsidRPr="0058146A" w:rsidRDefault="006A5267" w:rsidP="008B4B2B">
                      <w:pPr>
                        <w:spacing w:line="240" w:lineRule="exact"/>
                        <w:rPr>
                          <w:rFonts w:ascii="ＭＳ ゴシック" w:eastAsia="ＭＳ ゴシック" w:hAnsi="ＭＳ ゴシック"/>
                          <w:sz w:val="20"/>
                          <w:szCs w:val="20"/>
                        </w:rPr>
                      </w:pPr>
                      <w:r w:rsidRPr="009A637B">
                        <w:rPr>
                          <w:rFonts w:ascii="ＭＳ ゴシック" w:eastAsia="ＭＳ ゴシック" w:hAnsi="ＭＳ ゴシック" w:hint="eastAsia"/>
                          <w:sz w:val="20"/>
                          <w:szCs w:val="20"/>
                        </w:rPr>
                        <w:t>義援金</w:t>
                      </w:r>
                      <w:r w:rsidRPr="0058146A">
                        <w:rPr>
                          <w:rFonts w:ascii="ＭＳ ゴシック" w:eastAsia="ＭＳ ゴシック" w:hAnsi="ＭＳ ゴシック" w:hint="eastAsia"/>
                          <w:sz w:val="20"/>
                          <w:szCs w:val="20"/>
                        </w:rPr>
                        <w:t>等</w:t>
                      </w:r>
                    </w:p>
                    <w:p w14:paraId="130E5F64" w14:textId="77777777" w:rsidR="006A5267" w:rsidRPr="0058146A" w:rsidRDefault="006A5267" w:rsidP="008B4B2B">
                      <w:pPr>
                        <w:spacing w:line="240" w:lineRule="exact"/>
                        <w:rPr>
                          <w:rFonts w:ascii="ＭＳ ゴシック" w:eastAsia="ＭＳ ゴシック" w:hAnsi="ＭＳ ゴシック"/>
                          <w:sz w:val="20"/>
                          <w:szCs w:val="20"/>
                        </w:rPr>
                      </w:pPr>
                      <w:r w:rsidRPr="0058146A">
                        <w:rPr>
                          <w:rFonts w:ascii="ＭＳ ゴシック" w:eastAsia="ＭＳ ゴシック" w:hAnsi="ＭＳ ゴシック" w:hint="eastAsia"/>
                          <w:sz w:val="20"/>
                          <w:szCs w:val="20"/>
                        </w:rPr>
                        <w:t>配分委員会</w:t>
                      </w:r>
                      <w:r w:rsidRPr="0058146A">
                        <w:rPr>
                          <w:rFonts w:ascii="ＭＳ ゴシック" w:eastAsia="ＭＳ ゴシック" w:hAnsi="ＭＳ ゴシック" w:hint="eastAsia"/>
                          <w:strike/>
                          <w:sz w:val="20"/>
                          <w:szCs w:val="20"/>
                        </w:rPr>
                        <w:t>等</w:t>
                      </w:r>
                    </w:p>
                  </w:txbxContent>
                </v:textbox>
              </v:roundrect>
            </w:pict>
          </mc:Fallback>
        </mc:AlternateContent>
      </w:r>
    </w:p>
    <w:p w14:paraId="420E6AE5" w14:textId="77777777" w:rsidR="008B4B2B" w:rsidRPr="008A3EDE" w:rsidRDefault="008B4B2B" w:rsidP="008B4B2B">
      <w:pPr>
        <w:pStyle w:val="a0"/>
        <w:rPr>
          <w:rFonts w:hAnsi="ＭＳ 明朝"/>
          <w:sz w:val="22"/>
          <w:szCs w:val="22"/>
        </w:rPr>
      </w:pPr>
      <w:r w:rsidRPr="008A3EDE">
        <w:rPr>
          <w:rFonts w:hAnsi="ＭＳ 明朝" w:hint="eastAsia"/>
          <w:noProof/>
          <w:sz w:val="22"/>
          <w:szCs w:val="22"/>
        </w:rPr>
        <mc:AlternateContent>
          <mc:Choice Requires="wps">
            <w:drawing>
              <wp:anchor distT="0" distB="0" distL="114300" distR="114300" simplePos="0" relativeHeight="253406208" behindDoc="0" locked="0" layoutInCell="1" allowOverlap="1" wp14:anchorId="75007907" wp14:editId="4E5BFA72">
                <wp:simplePos x="0" y="0"/>
                <wp:positionH relativeFrom="column">
                  <wp:posOffset>502920</wp:posOffset>
                </wp:positionH>
                <wp:positionV relativeFrom="paragraph">
                  <wp:posOffset>54610</wp:posOffset>
                </wp:positionV>
                <wp:extent cx="685800" cy="0"/>
                <wp:effectExtent l="7620" t="54610" r="20955" b="59690"/>
                <wp:wrapNone/>
                <wp:docPr id="3843" name="Line 267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85800" cy="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line w14:anchorId="1CE373CD" id="Line 2679" o:spid="_x0000_s1026" style="position:absolute;left:0;text-align:left;z-index:2534062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9.6pt,4.3pt" to="93.6pt,4.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">
                <v:stroke endarrow="block"/>
              </v:line>
            </w:pict>
          </mc:Fallback>
        </mc:AlternateContent>
      </w:r>
    </w:p>
    <w:p w14:paraId="3E27ADC8" w14:textId="77777777" w:rsidR="008B4B2B" w:rsidRPr="008A3EDE" w:rsidRDefault="008B4B2B" w:rsidP="008B4B2B">
      <w:pPr>
        <w:pStyle w:val="a0"/>
        <w:rPr>
          <w:rFonts w:hAnsi="ＭＳ 明朝"/>
          <w:sz w:val="22"/>
          <w:szCs w:val="22"/>
        </w:rPr>
      </w:pPr>
    </w:p>
    <w:p w14:paraId="13429C4A" w14:textId="77777777" w:rsidR="008B4B2B" w:rsidRPr="008A3EDE" w:rsidRDefault="008B4B2B" w:rsidP="008B4B2B">
      <w:pPr>
        <w:pStyle w:val="a0"/>
        <w:rPr>
          <w:rFonts w:hAnsi="ＭＳ 明朝"/>
          <w:sz w:val="22"/>
          <w:szCs w:val="22"/>
        </w:rPr>
      </w:pPr>
    </w:p>
    <w:p w14:paraId="7D72730F" w14:textId="77777777" w:rsidR="008B4B2B" w:rsidRPr="008A3EDE" w:rsidRDefault="008B4B2B" w:rsidP="008B4B2B">
      <w:pPr>
        <w:pStyle w:val="a0"/>
        <w:rPr>
          <w:rFonts w:hAnsi="ＭＳ 明朝"/>
          <w:sz w:val="22"/>
          <w:szCs w:val="22"/>
        </w:rPr>
      </w:pPr>
    </w:p>
    <w:p w14:paraId="2AB4FEC9" w14:textId="77777777" w:rsidR="008B4B2B" w:rsidRPr="008A3EDE" w:rsidRDefault="008B4B2B" w:rsidP="008B4B2B">
      <w:pPr>
        <w:pStyle w:val="a0"/>
        <w:rPr>
          <w:rFonts w:hAnsi="ＭＳ 明朝"/>
          <w:sz w:val="22"/>
          <w:szCs w:val="22"/>
        </w:rPr>
      </w:pPr>
    </w:p>
    <w:p w14:paraId="7C9F3411" w14:textId="77777777" w:rsidR="008B4B2B" w:rsidRPr="008A3EDE" w:rsidRDefault="008B4B2B" w:rsidP="008B4B2B">
      <w:pPr>
        <w:pStyle w:val="a0"/>
        <w:rPr>
          <w:rFonts w:hAnsi="ＭＳ 明朝"/>
          <w:sz w:val="22"/>
          <w:szCs w:val="22"/>
        </w:rPr>
      </w:pPr>
    </w:p>
    <w:p w14:paraId="029D6239" w14:textId="77777777" w:rsidR="008B4B2B" w:rsidRPr="008A3EDE" w:rsidRDefault="008B4B2B" w:rsidP="008B4B2B">
      <w:pPr>
        <w:pStyle w:val="a0"/>
        <w:rPr>
          <w:rFonts w:ascii="ＭＳ ゴシック" w:eastAsia="ＭＳ ゴシック" w:hAnsi="ＭＳ ゴシック"/>
          <w:sz w:val="22"/>
          <w:szCs w:val="22"/>
          <w:u w:val="single"/>
        </w:rPr>
      </w:pPr>
      <w:r w:rsidRPr="008A3EDE">
        <w:rPr>
          <w:rFonts w:hAnsi="ＭＳ 明朝" w:hint="eastAsia"/>
          <w:sz w:val="22"/>
          <w:szCs w:val="22"/>
        </w:rPr>
        <w:t xml:space="preserve">　　　</w:t>
      </w:r>
      <w:r w:rsidRPr="008A3EDE">
        <w:rPr>
          <w:rFonts w:ascii="ＭＳ ゴシック" w:eastAsia="ＭＳ ゴシック" w:hAnsi="ＭＳ ゴシック" w:hint="eastAsia"/>
          <w:sz w:val="22"/>
          <w:szCs w:val="22"/>
          <w:u w:val="single"/>
        </w:rPr>
        <w:t>２　義援金の受付・配分</w:t>
      </w:r>
      <w:r w:rsidRPr="008A3EDE">
        <w:rPr>
          <w:rFonts w:ascii="ＭＳ ゴシック" w:eastAsia="ＭＳ ゴシック" w:hAnsi="ＭＳ ゴシック" w:hint="eastAsia"/>
          <w:sz w:val="22"/>
          <w:szCs w:val="22"/>
          <w:u w:val="single"/>
          <w:shd w:val="pct15" w:color="auto" w:fill="FFFFFF"/>
        </w:rPr>
        <w:t>【第３フェーズ～】</w:t>
      </w:r>
    </w:p>
    <w:p w14:paraId="6ACDC380" w14:textId="77777777" w:rsidR="008B4B2B" w:rsidRPr="008A3EDE" w:rsidRDefault="008B4B2B" w:rsidP="008B4B2B">
      <w:pPr>
        <w:pStyle w:val="a0"/>
        <w:ind w:firstLineChars="500" w:firstLine="1105"/>
        <w:rPr>
          <w:rFonts w:ascii="ＭＳ ゴシック" w:eastAsia="ＭＳ ゴシック" w:hAnsi="ＭＳ ゴシック"/>
          <w:sz w:val="22"/>
          <w:szCs w:val="22"/>
          <w:bdr w:val="single" w:sz="4" w:space="0" w:color="auto"/>
        </w:rPr>
      </w:pPr>
      <w:r w:rsidRPr="008A3EDE">
        <w:rPr>
          <w:rFonts w:ascii="ＭＳ ゴシック" w:eastAsia="ＭＳ ゴシック" w:hAnsi="ＭＳ ゴシック" w:hint="eastAsia"/>
          <w:sz w:val="22"/>
          <w:szCs w:val="22"/>
          <w:bdr w:val="single" w:sz="4" w:space="0" w:color="auto"/>
        </w:rPr>
        <w:t>主たる担当：福祉総務課</w:t>
      </w:r>
    </w:p>
    <w:p w14:paraId="72D1F871" w14:textId="77777777" w:rsidR="008B4B2B" w:rsidRPr="008A3EDE" w:rsidRDefault="008B4B2B" w:rsidP="008B4B2B">
      <w:pPr>
        <w:pStyle w:val="a0"/>
        <w:ind w:firstLineChars="300" w:firstLine="663"/>
        <w:rPr>
          <w:rFonts w:hAnsi="ＭＳ 明朝"/>
          <w:sz w:val="22"/>
          <w:szCs w:val="22"/>
        </w:rPr>
      </w:pPr>
      <w:r w:rsidRPr="008A3EDE">
        <w:rPr>
          <w:rFonts w:hAnsi="ＭＳ 明朝" w:hint="eastAsia"/>
          <w:sz w:val="22"/>
          <w:szCs w:val="22"/>
        </w:rPr>
        <w:t xml:space="preserve">　(1)　義援金の受付</w:t>
      </w:r>
    </w:p>
    <w:p w14:paraId="7C34EA07" w14:textId="77777777" w:rsidR="008B4B2B" w:rsidRPr="008A3EDE" w:rsidRDefault="008B4B2B" w:rsidP="008B4B2B">
      <w:pPr>
        <w:pStyle w:val="a0"/>
        <w:ind w:left="1327" w:hangingChars="600" w:hanging="1327"/>
        <w:rPr>
          <w:rFonts w:hAnsi="ＭＳ 明朝"/>
          <w:sz w:val="22"/>
          <w:szCs w:val="22"/>
        </w:rPr>
      </w:pPr>
      <w:r w:rsidRPr="008A3EDE">
        <w:rPr>
          <w:rFonts w:hAnsi="ＭＳ 明朝" w:hint="eastAsia"/>
          <w:sz w:val="22"/>
          <w:szCs w:val="22"/>
        </w:rPr>
        <w:t xml:space="preserve">　　　　　　 福祉総務課長は、府に寄託される義援金（府で配分するものに限る）</w:t>
      </w:r>
      <w:r w:rsidR="00495626" w:rsidRPr="008A3EDE">
        <w:rPr>
          <w:rFonts w:hAnsi="ＭＳ 明朝" w:hint="eastAsia"/>
          <w:sz w:val="22"/>
          <w:szCs w:val="22"/>
        </w:rPr>
        <w:t>について、危機管理室が管理する口座を名義変更</w:t>
      </w:r>
      <w:r w:rsidR="007C27CC" w:rsidRPr="008A3EDE">
        <w:rPr>
          <w:rFonts w:hAnsi="ＭＳ 明朝" w:hint="eastAsia"/>
          <w:sz w:val="22"/>
          <w:szCs w:val="22"/>
        </w:rPr>
        <w:t>し、受付るものとする。</w:t>
      </w:r>
    </w:p>
    <w:p w14:paraId="15030CCD" w14:textId="77777777" w:rsidR="008B4B2B" w:rsidRPr="008A3EDE" w:rsidRDefault="008B4B2B" w:rsidP="008B4B2B">
      <w:pPr>
        <w:pStyle w:val="a0"/>
        <w:rPr>
          <w:rFonts w:hAnsi="ＭＳ 明朝"/>
          <w:sz w:val="22"/>
          <w:szCs w:val="22"/>
        </w:rPr>
      </w:pPr>
    </w:p>
    <w:p w14:paraId="310ECA7F" w14:textId="77777777" w:rsidR="008B4B2B" w:rsidRPr="008A3EDE" w:rsidRDefault="008B4B2B" w:rsidP="008B4B2B">
      <w:pPr>
        <w:pStyle w:val="a0"/>
        <w:rPr>
          <w:rFonts w:hAnsi="ＭＳ 明朝"/>
          <w:sz w:val="22"/>
          <w:szCs w:val="22"/>
        </w:rPr>
      </w:pPr>
      <w:r w:rsidRPr="008A3EDE">
        <w:rPr>
          <w:rFonts w:hAnsi="ＭＳ 明朝" w:hint="eastAsia"/>
          <w:sz w:val="22"/>
          <w:szCs w:val="22"/>
        </w:rPr>
        <w:t xml:space="preserve">　      (2)　義援金の配分</w:t>
      </w:r>
    </w:p>
    <w:p w14:paraId="1F7B428E" w14:textId="77777777" w:rsidR="008B4B2B" w:rsidRPr="008A3EDE" w:rsidRDefault="008B4B2B" w:rsidP="008B4B2B">
      <w:pPr>
        <w:pStyle w:val="a0"/>
        <w:ind w:leftChars="500" w:left="1276" w:hangingChars="100" w:hanging="221"/>
        <w:rPr>
          <w:rFonts w:hAnsi="ＭＳ 明朝"/>
          <w:sz w:val="22"/>
          <w:szCs w:val="22"/>
        </w:rPr>
      </w:pPr>
      <w:r w:rsidRPr="008A3EDE">
        <w:rPr>
          <w:rFonts w:hAnsi="ＭＳ 明朝" w:hint="eastAsia"/>
          <w:sz w:val="22"/>
          <w:szCs w:val="22"/>
        </w:rPr>
        <w:t>①　義援金の使途及び配分方法は、関係する機関等で組織する配分等委員会で決定する。</w:t>
      </w:r>
    </w:p>
    <w:p w14:paraId="56B501F3" w14:textId="77777777" w:rsidR="008B4B2B" w:rsidRPr="008A3EDE" w:rsidRDefault="008B4B2B" w:rsidP="008B4B2B">
      <w:pPr>
        <w:pStyle w:val="a0"/>
        <w:ind w:leftChars="500" w:left="1276" w:hangingChars="100" w:hanging="221"/>
        <w:rPr>
          <w:rFonts w:hAnsi="ＭＳ 明朝"/>
          <w:sz w:val="22"/>
          <w:szCs w:val="22"/>
        </w:rPr>
      </w:pPr>
      <w:r w:rsidRPr="008A3EDE">
        <w:rPr>
          <w:rFonts w:hAnsi="ＭＳ 明朝" w:hint="eastAsia"/>
          <w:sz w:val="22"/>
          <w:szCs w:val="22"/>
        </w:rPr>
        <w:t>②　日本赤十字社大阪府支部に配分を委託することが適当と認められるときは、これを委託する。</w:t>
      </w:r>
    </w:p>
    <w:p w14:paraId="7918A23D" w14:textId="77777777" w:rsidR="008B4B2B" w:rsidRPr="008A3EDE" w:rsidRDefault="008B4B2B" w:rsidP="008B4B2B">
      <w:pPr>
        <w:pStyle w:val="a0"/>
        <w:ind w:leftChars="525" w:left="1329" w:hangingChars="100" w:hanging="221"/>
        <w:rPr>
          <w:rFonts w:hAnsi="ＭＳ 明朝"/>
          <w:sz w:val="22"/>
          <w:szCs w:val="22"/>
        </w:rPr>
      </w:pPr>
    </w:p>
    <w:p w14:paraId="4114EBA1" w14:textId="77777777" w:rsidR="008B4B2B" w:rsidRPr="008A3EDE" w:rsidRDefault="008B4B2B" w:rsidP="008B4B2B">
      <w:pPr>
        <w:pStyle w:val="a0"/>
        <w:ind w:firstLineChars="400" w:firstLine="884"/>
        <w:rPr>
          <w:rFonts w:hAnsi="ＭＳ 明朝"/>
          <w:sz w:val="22"/>
          <w:szCs w:val="22"/>
        </w:rPr>
      </w:pPr>
      <w:r w:rsidRPr="008A3EDE">
        <w:rPr>
          <w:rFonts w:hAnsi="ＭＳ 明朝" w:hint="eastAsia"/>
          <w:sz w:val="22"/>
          <w:szCs w:val="22"/>
        </w:rPr>
        <w:t>(3)　義援金の保管</w:t>
      </w:r>
    </w:p>
    <w:p w14:paraId="5AA067DD" w14:textId="77777777" w:rsidR="008B4B2B" w:rsidRPr="008A3EDE" w:rsidRDefault="008B4B2B" w:rsidP="008B4B2B">
      <w:pPr>
        <w:pStyle w:val="a0"/>
        <w:ind w:left="1216" w:rightChars="-255" w:right="-538" w:hangingChars="550" w:hanging="1216"/>
        <w:rPr>
          <w:rFonts w:hAnsi="ＭＳ 明朝"/>
          <w:sz w:val="22"/>
          <w:szCs w:val="22"/>
        </w:rPr>
      </w:pPr>
      <w:r w:rsidRPr="008A3EDE">
        <w:rPr>
          <w:rFonts w:hAnsi="ＭＳ 明朝" w:hint="eastAsia"/>
          <w:sz w:val="22"/>
          <w:szCs w:val="22"/>
        </w:rPr>
        <w:t xml:space="preserve">　　　　　　 福祉総務課長は、寄託された義援金を歳入歳出外現金として保管するものとする。</w:t>
      </w:r>
    </w:p>
    <w:p w14:paraId="56BD6419" w14:textId="77777777" w:rsidR="008B4B2B" w:rsidRPr="008A3EDE" w:rsidRDefault="008B4B2B" w:rsidP="008B4B2B">
      <w:pPr>
        <w:pStyle w:val="a0"/>
        <w:ind w:left="1216" w:hangingChars="550" w:hanging="1216"/>
        <w:rPr>
          <w:rFonts w:hAnsi="ＭＳ 明朝"/>
          <w:sz w:val="22"/>
          <w:szCs w:val="22"/>
        </w:rPr>
      </w:pPr>
    </w:p>
    <w:p w14:paraId="3AB5F29E" w14:textId="6B332CF7" w:rsidR="00596CB1" w:rsidRPr="008A3EDE" w:rsidRDefault="00596CB1">
      <w:pPr>
        <w:widowControl/>
        <w:jc w:val="left"/>
        <w:rPr>
          <w:rFonts w:ascii="ＭＳ 明朝" w:hAnsi="ＭＳ 明朝" w:cs="Courier New"/>
          <w:sz w:val="22"/>
          <w:szCs w:val="22"/>
        </w:rPr>
      </w:pPr>
      <w:r w:rsidRPr="008A3EDE">
        <w:rPr>
          <w:rFonts w:hAnsi="ＭＳ 明朝"/>
          <w:sz w:val="22"/>
          <w:szCs w:val="22"/>
        </w:rPr>
        <w:br w:type="page"/>
      </w:r>
    </w:p>
    <w:p w14:paraId="5AC7C2C2" w14:textId="77777777" w:rsidR="008B4B2B" w:rsidRPr="008A3EDE" w:rsidRDefault="008B4B2B" w:rsidP="008B4B2B">
      <w:pPr>
        <w:pStyle w:val="a0"/>
        <w:ind w:leftChars="200" w:left="422"/>
        <w:rPr>
          <w:rFonts w:ascii="ＭＳ ゴシック" w:eastAsia="ＭＳ ゴシック" w:hAnsi="ＭＳ ゴシック"/>
          <w:sz w:val="22"/>
          <w:szCs w:val="22"/>
          <w:bdr w:val="single" w:sz="4" w:space="0" w:color="auto"/>
          <w:shd w:val="pct15" w:color="auto" w:fill="FFFFFF"/>
        </w:rPr>
      </w:pPr>
      <w:r w:rsidRPr="008A3EDE">
        <w:rPr>
          <w:rFonts w:ascii="ＭＳ ゴシック" w:eastAsia="ＭＳ ゴシック" w:hAnsi="ＭＳ ゴシック" w:hint="eastAsia"/>
          <w:sz w:val="22"/>
          <w:szCs w:val="22"/>
          <w:bdr w:val="single" w:sz="4" w:space="0" w:color="auto"/>
          <w:shd w:val="pct15" w:color="auto" w:fill="FFFFFF"/>
        </w:rPr>
        <w:lastRenderedPageBreak/>
        <w:t>義援物資の受付・配分</w:t>
      </w:r>
      <w:r w:rsidRPr="008A3EDE">
        <w:rPr>
          <w:rFonts w:ascii="ＭＳ ゴシック" w:eastAsia="ＭＳ ゴシック" w:hAnsi="ＭＳ ゴシック"/>
          <w:sz w:val="22"/>
          <w:szCs w:val="22"/>
          <w:bdr w:val="single" w:sz="4" w:space="0" w:color="auto"/>
          <w:shd w:val="pct15" w:color="auto" w:fill="FFFFFF"/>
        </w:rPr>
        <w:br/>
      </w:r>
    </w:p>
    <w:p w14:paraId="3C876019" w14:textId="77777777" w:rsidR="008B4B2B" w:rsidRPr="008A3EDE" w:rsidRDefault="008B4B2B" w:rsidP="008B4B2B">
      <w:pPr>
        <w:pStyle w:val="a0"/>
        <w:rPr>
          <w:rFonts w:hAnsi="ＭＳ 明朝"/>
          <w:sz w:val="22"/>
          <w:szCs w:val="22"/>
        </w:rPr>
      </w:pPr>
      <w:r w:rsidRPr="008A3EDE">
        <w:rPr>
          <w:rFonts w:hAnsi="ＭＳ 明朝" w:hint="eastAsia"/>
          <w:noProof/>
          <w:sz w:val="22"/>
          <w:szCs w:val="22"/>
        </w:rPr>
        <mc:AlternateContent>
          <mc:Choice Requires="wps">
            <w:drawing>
              <wp:anchor distT="0" distB="0" distL="114300" distR="114300" simplePos="0" relativeHeight="253412352" behindDoc="0" locked="0" layoutInCell="1" allowOverlap="1" wp14:anchorId="7F8C9310" wp14:editId="39A3D1AA">
                <wp:simplePos x="0" y="0"/>
                <wp:positionH relativeFrom="column">
                  <wp:posOffset>1417320</wp:posOffset>
                </wp:positionH>
                <wp:positionV relativeFrom="paragraph">
                  <wp:posOffset>168910</wp:posOffset>
                </wp:positionV>
                <wp:extent cx="1714500" cy="502920"/>
                <wp:effectExtent l="7620" t="6985" r="11430" b="13970"/>
                <wp:wrapNone/>
                <wp:docPr id="3842" name="AutoShape 268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714500" cy="502920"/>
                        </a:xfrm>
                        <a:prstGeom prst="roundRect">
                          <a:avLst>
                            <a:gd name="adj" fmla="val 16667"/>
                          </a:avLst>
                        </a:prstGeom>
                        <a:solidFill>
                          <a:srgbClr val="FFFFFF"/>
                        </a:solidFill>
                        <a:ln w="9525">
                          <a:solidFill>
                            <a:srgbClr val="000000"/>
                          </a:solidFill>
                          <a:round/>
                          <a:headEnd/>
                          <a:tailEnd/>
                        </a:ln>
                      </wps:spPr>
                      <wps:txbx>
                        <w:txbxContent>
                          <w:p w14:paraId="050FC9F5" w14:textId="77777777" w:rsidR="006A5267" w:rsidRDefault="006A5267" w:rsidP="008B4B2B">
                            <w:pPr>
                              <w:jc w:val="center"/>
                              <w:rPr>
                                <w:rFonts w:ascii="ＭＳ ゴシック" w:eastAsia="ＭＳ ゴシック" w:hAnsi="ＭＳ ゴシック"/>
                                <w:sz w:val="20"/>
                                <w:szCs w:val="20"/>
                              </w:rPr>
                            </w:pPr>
                            <w:r>
                              <w:rPr>
                                <w:rFonts w:ascii="ＭＳ ゴシック" w:eastAsia="ＭＳ ゴシック" w:hAnsi="ＭＳ ゴシック" w:hint="eastAsia"/>
                                <w:sz w:val="20"/>
                                <w:szCs w:val="20"/>
                              </w:rPr>
                              <w:t>大　　阪　　府</w:t>
                            </w:r>
                          </w:p>
                          <w:p w14:paraId="49C3789F" w14:textId="77777777" w:rsidR="006A5267" w:rsidRDefault="006A5267" w:rsidP="008B4B2B">
                            <w:pPr>
                              <w:jc w:val="center"/>
                              <w:rPr>
                                <w:rFonts w:ascii="ＭＳ ゴシック" w:eastAsia="ＭＳ ゴシック" w:hAnsi="ＭＳ ゴシック"/>
                                <w:sz w:val="20"/>
                                <w:szCs w:val="20"/>
                              </w:rPr>
                            </w:pPr>
                            <w:r>
                              <w:rPr>
                                <w:rFonts w:ascii="ＭＳ ゴシック" w:eastAsia="ＭＳ ゴシック" w:hAnsi="ＭＳ ゴシック" w:hint="eastAsia"/>
                                <w:sz w:val="20"/>
                                <w:szCs w:val="20"/>
                              </w:rPr>
                              <w:t>（危機管理室）</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roundrect w14:anchorId="7F8C9310" id="AutoShape 2685" o:spid="_x0000_s1571" style="position:absolute;left:0;text-align:left;margin-left:111.6pt;margin-top:13.3pt;width:135pt;height:39.6pt;z-index:2534123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">
                <v:textbox inset="5.85pt,.7pt,5.85pt,.7pt">
                  <w:txbxContent>
                    <w:p w14:paraId="050FC9F5" w14:textId="77777777" w:rsidR="006A5267" w:rsidRDefault="006A5267" w:rsidP="008B4B2B">
                      <w:pPr>
                        <w:jc w:val="center"/>
                        <w:rPr>
                          <w:rFonts w:ascii="ＭＳ ゴシック" w:eastAsia="ＭＳ ゴシック" w:hAnsi="ＭＳ ゴシック"/>
                          <w:sz w:val="20"/>
                          <w:szCs w:val="20"/>
                        </w:rPr>
                      </w:pPr>
                      <w:r>
                        <w:rPr>
                          <w:rFonts w:ascii="ＭＳ ゴシック" w:eastAsia="ＭＳ ゴシック" w:hAnsi="ＭＳ ゴシック" w:hint="eastAsia"/>
                          <w:sz w:val="20"/>
                          <w:szCs w:val="20"/>
                        </w:rPr>
                        <w:t>大　　阪　　府</w:t>
                      </w:r>
                    </w:p>
                    <w:p w14:paraId="49C3789F" w14:textId="77777777" w:rsidR="006A5267" w:rsidRDefault="006A5267" w:rsidP="008B4B2B">
                      <w:pPr>
                        <w:jc w:val="center"/>
                        <w:rPr>
                          <w:rFonts w:ascii="ＭＳ ゴシック" w:eastAsia="ＭＳ ゴシック" w:hAnsi="ＭＳ ゴシック"/>
                          <w:sz w:val="20"/>
                          <w:szCs w:val="20"/>
                        </w:rPr>
                      </w:pPr>
                      <w:r>
                        <w:rPr>
                          <w:rFonts w:ascii="ＭＳ ゴシック" w:eastAsia="ＭＳ ゴシック" w:hAnsi="ＭＳ ゴシック" w:hint="eastAsia"/>
                          <w:sz w:val="20"/>
                          <w:szCs w:val="20"/>
                        </w:rPr>
                        <w:t>（危機管理室）</w:t>
                      </w:r>
                    </w:p>
                  </w:txbxContent>
                </v:textbox>
              </v:roundrect>
            </w:pict>
          </mc:Fallback>
        </mc:AlternateContent>
      </w:r>
      <w:r w:rsidRPr="008A3EDE">
        <w:rPr>
          <w:rFonts w:hAnsi="ＭＳ 明朝" w:hint="eastAsia"/>
          <w:noProof/>
          <w:sz w:val="22"/>
          <w:szCs w:val="22"/>
        </w:rPr>
        <mc:AlternateContent>
          <mc:Choice Requires="wps">
            <w:drawing>
              <wp:anchor distT="0" distB="0" distL="114300" distR="114300" simplePos="0" relativeHeight="253423616" behindDoc="0" locked="0" layoutInCell="1" allowOverlap="1" wp14:anchorId="537F0679" wp14:editId="5CAF2FF6">
                <wp:simplePos x="0" y="0"/>
                <wp:positionH relativeFrom="column">
                  <wp:posOffset>3360420</wp:posOffset>
                </wp:positionH>
                <wp:positionV relativeFrom="paragraph">
                  <wp:posOffset>168910</wp:posOffset>
                </wp:positionV>
                <wp:extent cx="800100" cy="228600"/>
                <wp:effectExtent l="0" t="0" r="1905" b="2540"/>
                <wp:wrapNone/>
                <wp:docPr id="3841" name="Text Box 269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00100" cy="2286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AE85A1C" w14:textId="77777777" w:rsidR="006A5267" w:rsidRPr="00FC4D4F" w:rsidRDefault="006A5267" w:rsidP="008B4B2B">
                            <w:pPr>
                              <w:rPr>
                                <w:rFonts w:ascii="ＭＳ ゴシック" w:eastAsia="ＭＳ ゴシック" w:hAnsi="ＭＳ ゴシック"/>
                                <w:sz w:val="20"/>
                                <w:szCs w:val="20"/>
                              </w:rPr>
                            </w:pPr>
                            <w:r>
                              <w:rPr>
                                <w:rFonts w:ascii="ＭＳ ゴシック" w:eastAsia="ＭＳ ゴシック" w:hAnsi="ＭＳ ゴシック" w:hint="eastAsia"/>
                                <w:sz w:val="20"/>
                                <w:szCs w:val="20"/>
                              </w:rPr>
                              <w:t>物資等輸送</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shape w14:anchorId="537F0679" id="Text Box 2696" o:spid="_x0000_s1572" type="#_x0000_t202" style="position:absolute;left:0;text-align:left;margin-left:264.6pt;margin-top:13.3pt;width:63pt;height:18pt;z-index:2534236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" filled="f" stroked="f">
                <v:textbox inset="5.85pt,.7pt,5.85pt,.7pt">
                  <w:txbxContent>
                    <w:p w14:paraId="2AE85A1C" w14:textId="77777777" w:rsidR="006A5267" w:rsidRPr="00FC4D4F" w:rsidRDefault="006A5267" w:rsidP="008B4B2B">
                      <w:pPr>
                        <w:rPr>
                          <w:rFonts w:ascii="ＭＳ ゴシック" w:eastAsia="ＭＳ ゴシック" w:hAnsi="ＭＳ ゴシック"/>
                          <w:sz w:val="20"/>
                          <w:szCs w:val="20"/>
                        </w:rPr>
                      </w:pPr>
                      <w:r>
                        <w:rPr>
                          <w:rFonts w:ascii="ＭＳ ゴシック" w:eastAsia="ＭＳ ゴシック" w:hAnsi="ＭＳ ゴシック" w:hint="eastAsia"/>
                          <w:sz w:val="20"/>
                          <w:szCs w:val="20"/>
                        </w:rPr>
                        <w:t>物資等輸送</w:t>
                      </w:r>
                    </w:p>
                  </w:txbxContent>
                </v:textbox>
              </v:shape>
            </w:pict>
          </mc:Fallback>
        </mc:AlternateContent>
      </w:r>
      <w:r w:rsidRPr="008A3EDE">
        <w:rPr>
          <w:rFonts w:hAnsi="ＭＳ 明朝" w:hint="eastAsia"/>
          <w:noProof/>
          <w:sz w:val="22"/>
          <w:szCs w:val="22"/>
        </w:rPr>
        <mc:AlternateContent>
          <mc:Choice Requires="wps">
            <w:drawing>
              <wp:anchor distT="0" distB="0" distL="114300" distR="114300" simplePos="0" relativeHeight="253411328" behindDoc="0" locked="0" layoutInCell="1" allowOverlap="1" wp14:anchorId="5FDDDD03" wp14:editId="47CFDBF7">
                <wp:simplePos x="0" y="0"/>
                <wp:positionH relativeFrom="column">
                  <wp:posOffset>160020</wp:posOffset>
                </wp:positionH>
                <wp:positionV relativeFrom="paragraph">
                  <wp:posOffset>54610</wp:posOffset>
                </wp:positionV>
                <wp:extent cx="342900" cy="2057400"/>
                <wp:effectExtent l="7620" t="6985" r="11430" b="12065"/>
                <wp:wrapNone/>
                <wp:docPr id="3840" name="AutoShape 268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42900" cy="2057400"/>
                        </a:xfrm>
                        <a:prstGeom prst="octagon">
                          <a:avLst>
                            <a:gd name="adj" fmla="val 29287"/>
                          </a:avLst>
                        </a:prstGeom>
                        <a:solidFill>
                          <a:srgbClr val="FFFFFF"/>
                        </a:solidFill>
                        <a:ln w="9525">
                          <a:solidFill>
                            <a:srgbClr val="000000"/>
                          </a:solidFill>
                          <a:miter lim="800000"/>
                          <a:headEnd/>
                          <a:tailEnd/>
                        </a:ln>
                      </wps:spPr>
                      <wps:txbx>
                        <w:txbxContent>
                          <w:p w14:paraId="58465201" w14:textId="77777777" w:rsidR="006A5267" w:rsidRDefault="006A5267" w:rsidP="008B4B2B">
                            <w:pPr>
                              <w:rPr>
                                <w:rFonts w:ascii="ＭＳ ゴシック" w:eastAsia="ＭＳ ゴシック" w:hAnsi="ＭＳ ゴシック"/>
                                <w:sz w:val="20"/>
                                <w:szCs w:val="20"/>
                              </w:rPr>
                            </w:pPr>
                          </w:p>
                          <w:p w14:paraId="1CC4CA5B" w14:textId="77777777" w:rsidR="006A5267" w:rsidRDefault="006A5267" w:rsidP="008B4B2B">
                            <w:pPr>
                              <w:rPr>
                                <w:rFonts w:ascii="ＭＳ ゴシック" w:eastAsia="ＭＳ ゴシック" w:hAnsi="ＭＳ ゴシック"/>
                                <w:sz w:val="20"/>
                                <w:szCs w:val="20"/>
                              </w:rPr>
                            </w:pPr>
                          </w:p>
                          <w:p w14:paraId="4493BE4E" w14:textId="77777777" w:rsidR="006A5267" w:rsidRDefault="006A5267" w:rsidP="008B4B2B">
                            <w:pPr>
                              <w:rPr>
                                <w:rFonts w:ascii="ＭＳ ゴシック" w:eastAsia="ＭＳ ゴシック" w:hAnsi="ＭＳ ゴシック"/>
                                <w:sz w:val="20"/>
                                <w:szCs w:val="20"/>
                              </w:rPr>
                            </w:pPr>
                            <w:r>
                              <w:rPr>
                                <w:rFonts w:ascii="ＭＳ ゴシック" w:eastAsia="ＭＳ ゴシック" w:hAnsi="ＭＳ ゴシック" w:hint="eastAsia"/>
                                <w:sz w:val="20"/>
                                <w:szCs w:val="20"/>
                              </w:rPr>
                              <w:t>団</w:t>
                            </w:r>
                          </w:p>
                          <w:p w14:paraId="72F8877B" w14:textId="77777777" w:rsidR="006A5267" w:rsidRDefault="006A5267" w:rsidP="008B4B2B">
                            <w:pPr>
                              <w:rPr>
                                <w:rFonts w:ascii="ＭＳ ゴシック" w:eastAsia="ＭＳ ゴシック" w:hAnsi="ＭＳ ゴシック"/>
                                <w:sz w:val="20"/>
                                <w:szCs w:val="20"/>
                              </w:rPr>
                            </w:pPr>
                          </w:p>
                          <w:p w14:paraId="43726F05" w14:textId="77777777" w:rsidR="006A5267" w:rsidRDefault="006A5267" w:rsidP="008B4B2B">
                            <w:pPr>
                              <w:rPr>
                                <w:rFonts w:ascii="ＭＳ ゴシック" w:eastAsia="ＭＳ ゴシック" w:hAnsi="ＭＳ ゴシック"/>
                                <w:sz w:val="20"/>
                                <w:szCs w:val="20"/>
                              </w:rPr>
                            </w:pPr>
                            <w:r>
                              <w:rPr>
                                <w:rFonts w:ascii="ＭＳ ゴシック" w:eastAsia="ＭＳ ゴシック" w:hAnsi="ＭＳ ゴシック" w:hint="eastAsia"/>
                                <w:sz w:val="20"/>
                                <w:szCs w:val="20"/>
                              </w:rPr>
                              <w:t>体</w:t>
                            </w:r>
                          </w:p>
                          <w:p w14:paraId="1819FE0B" w14:textId="77777777" w:rsidR="006A5267" w:rsidRDefault="006A5267" w:rsidP="008B4B2B">
                            <w:pPr>
                              <w:rPr>
                                <w:rFonts w:ascii="ＭＳ ゴシック" w:eastAsia="ＭＳ ゴシック" w:hAnsi="ＭＳ ゴシック"/>
                                <w:sz w:val="20"/>
                                <w:szCs w:val="20"/>
                              </w:rPr>
                            </w:pPr>
                          </w:p>
                          <w:p w14:paraId="38339CB3" w14:textId="77777777" w:rsidR="006A5267" w:rsidRPr="00FC3EFB" w:rsidRDefault="006A5267" w:rsidP="008B4B2B">
                            <w:pPr>
                              <w:rPr>
                                <w:rFonts w:ascii="ＭＳ ゴシック" w:eastAsia="ＭＳ ゴシック" w:hAnsi="ＭＳ ゴシック"/>
                                <w:sz w:val="20"/>
                                <w:szCs w:val="20"/>
                              </w:rPr>
                            </w:pPr>
                            <w:r>
                              <w:rPr>
                                <w:rFonts w:ascii="ＭＳ ゴシック" w:eastAsia="ＭＳ ゴシック" w:hAnsi="ＭＳ ゴシック" w:hint="eastAsia"/>
                                <w:sz w:val="20"/>
                                <w:szCs w:val="20"/>
                              </w:rPr>
                              <w:t>等</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shape w14:anchorId="5FDDDD03" id="AutoShape 2684" o:spid="_x0000_s1573" type="#_x0000_t10" style="position:absolute;left:0;text-align:left;margin-left:12.6pt;margin-top:4.3pt;width:27pt;height:162pt;z-index:2534113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">
                <v:textbox inset="5.85pt,.7pt,5.85pt,.7pt">
                  <w:txbxContent>
                    <w:p w14:paraId="58465201" w14:textId="77777777" w:rsidR="006A5267" w:rsidRDefault="006A5267" w:rsidP="008B4B2B">
                      <w:pPr>
                        <w:rPr>
                          <w:rFonts w:ascii="ＭＳ ゴシック" w:eastAsia="ＭＳ ゴシック" w:hAnsi="ＭＳ ゴシック"/>
                          <w:sz w:val="20"/>
                          <w:szCs w:val="20"/>
                        </w:rPr>
                      </w:pPr>
                    </w:p>
                    <w:p w14:paraId="1CC4CA5B" w14:textId="77777777" w:rsidR="006A5267" w:rsidRDefault="006A5267" w:rsidP="008B4B2B">
                      <w:pPr>
                        <w:rPr>
                          <w:rFonts w:ascii="ＭＳ ゴシック" w:eastAsia="ＭＳ ゴシック" w:hAnsi="ＭＳ ゴシック"/>
                          <w:sz w:val="20"/>
                          <w:szCs w:val="20"/>
                        </w:rPr>
                      </w:pPr>
                    </w:p>
                    <w:p w14:paraId="4493BE4E" w14:textId="77777777" w:rsidR="006A5267" w:rsidRDefault="006A5267" w:rsidP="008B4B2B">
                      <w:pPr>
                        <w:rPr>
                          <w:rFonts w:ascii="ＭＳ ゴシック" w:eastAsia="ＭＳ ゴシック" w:hAnsi="ＭＳ ゴシック"/>
                          <w:sz w:val="20"/>
                          <w:szCs w:val="20"/>
                        </w:rPr>
                      </w:pPr>
                      <w:r>
                        <w:rPr>
                          <w:rFonts w:ascii="ＭＳ ゴシック" w:eastAsia="ＭＳ ゴシック" w:hAnsi="ＭＳ ゴシック" w:hint="eastAsia"/>
                          <w:sz w:val="20"/>
                          <w:szCs w:val="20"/>
                        </w:rPr>
                        <w:t>団</w:t>
                      </w:r>
                    </w:p>
                    <w:p w14:paraId="72F8877B" w14:textId="77777777" w:rsidR="006A5267" w:rsidRDefault="006A5267" w:rsidP="008B4B2B">
                      <w:pPr>
                        <w:rPr>
                          <w:rFonts w:ascii="ＭＳ ゴシック" w:eastAsia="ＭＳ ゴシック" w:hAnsi="ＭＳ ゴシック"/>
                          <w:sz w:val="20"/>
                          <w:szCs w:val="20"/>
                        </w:rPr>
                      </w:pPr>
                    </w:p>
                    <w:p w14:paraId="43726F05" w14:textId="77777777" w:rsidR="006A5267" w:rsidRDefault="006A5267" w:rsidP="008B4B2B">
                      <w:pPr>
                        <w:rPr>
                          <w:rFonts w:ascii="ＭＳ ゴシック" w:eastAsia="ＭＳ ゴシック" w:hAnsi="ＭＳ ゴシック"/>
                          <w:sz w:val="20"/>
                          <w:szCs w:val="20"/>
                        </w:rPr>
                      </w:pPr>
                      <w:r>
                        <w:rPr>
                          <w:rFonts w:ascii="ＭＳ ゴシック" w:eastAsia="ＭＳ ゴシック" w:hAnsi="ＭＳ ゴシック" w:hint="eastAsia"/>
                          <w:sz w:val="20"/>
                          <w:szCs w:val="20"/>
                        </w:rPr>
                        <w:t>体</w:t>
                      </w:r>
                    </w:p>
                    <w:p w14:paraId="1819FE0B" w14:textId="77777777" w:rsidR="006A5267" w:rsidRDefault="006A5267" w:rsidP="008B4B2B">
                      <w:pPr>
                        <w:rPr>
                          <w:rFonts w:ascii="ＭＳ ゴシック" w:eastAsia="ＭＳ ゴシック" w:hAnsi="ＭＳ ゴシック"/>
                          <w:sz w:val="20"/>
                          <w:szCs w:val="20"/>
                        </w:rPr>
                      </w:pPr>
                    </w:p>
                    <w:p w14:paraId="38339CB3" w14:textId="77777777" w:rsidR="006A5267" w:rsidRPr="00FC3EFB" w:rsidRDefault="006A5267" w:rsidP="008B4B2B">
                      <w:pPr>
                        <w:rPr>
                          <w:rFonts w:ascii="ＭＳ ゴシック" w:eastAsia="ＭＳ ゴシック" w:hAnsi="ＭＳ ゴシック"/>
                          <w:sz w:val="20"/>
                          <w:szCs w:val="20"/>
                        </w:rPr>
                      </w:pPr>
                      <w:r>
                        <w:rPr>
                          <w:rFonts w:ascii="ＭＳ ゴシック" w:eastAsia="ＭＳ ゴシック" w:hAnsi="ＭＳ ゴシック" w:hint="eastAsia"/>
                          <w:sz w:val="20"/>
                          <w:szCs w:val="20"/>
                        </w:rPr>
                        <w:t>等</w:t>
                      </w:r>
                    </w:p>
                  </w:txbxContent>
                </v:textbox>
              </v:shape>
            </w:pict>
          </mc:Fallback>
        </mc:AlternateContent>
      </w:r>
      <w:r w:rsidRPr="008A3EDE">
        <w:rPr>
          <w:rFonts w:hAnsi="ＭＳ 明朝" w:hint="eastAsia"/>
          <w:noProof/>
          <w:sz w:val="22"/>
          <w:szCs w:val="22"/>
        </w:rPr>
        <mc:AlternateContent>
          <mc:Choice Requires="wps">
            <w:drawing>
              <wp:anchor distT="0" distB="0" distL="114300" distR="114300" simplePos="0" relativeHeight="253417472" behindDoc="0" locked="0" layoutInCell="1" allowOverlap="1" wp14:anchorId="5DE1EF09" wp14:editId="0C366647">
                <wp:simplePos x="0" y="0"/>
                <wp:positionH relativeFrom="column">
                  <wp:posOffset>5417820</wp:posOffset>
                </wp:positionH>
                <wp:positionV relativeFrom="paragraph">
                  <wp:posOffset>54610</wp:posOffset>
                </wp:positionV>
                <wp:extent cx="342900" cy="1943100"/>
                <wp:effectExtent l="17145" t="6985" r="11430" b="12065"/>
                <wp:wrapNone/>
                <wp:docPr id="3839" name="AutoShape 269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42900" cy="1943100"/>
                        </a:xfrm>
                        <a:prstGeom prst="hexagon">
                          <a:avLst>
                            <a:gd name="adj" fmla="val 25000"/>
                            <a:gd name="vf" fmla="val 115470"/>
                          </a:avLst>
                        </a:prstGeom>
                        <a:solidFill>
                          <a:srgbClr val="FFFFFF"/>
                        </a:solidFill>
                        <a:ln w="9525">
                          <a:solidFill>
                            <a:srgbClr val="000000"/>
                          </a:solidFill>
                          <a:miter lim="800000"/>
                          <a:headEnd/>
                          <a:tailEnd/>
                        </a:ln>
                      </wps:spPr>
                      <wps:txbx>
                        <w:txbxContent>
                          <w:p w14:paraId="7B32C9EB" w14:textId="77777777" w:rsidR="006A5267" w:rsidRDefault="006A5267" w:rsidP="008B4B2B">
                            <w:pPr>
                              <w:rPr>
                                <w:rFonts w:ascii="ＭＳ ゴシック" w:eastAsia="ＭＳ ゴシック" w:hAnsi="ＭＳ ゴシック"/>
                                <w:sz w:val="20"/>
                                <w:szCs w:val="20"/>
                              </w:rPr>
                            </w:pPr>
                          </w:p>
                          <w:p w14:paraId="66794976" w14:textId="77777777" w:rsidR="006A5267" w:rsidRPr="00B12A81" w:rsidRDefault="006A5267" w:rsidP="008B4B2B">
                            <w:pPr>
                              <w:rPr>
                                <w:rFonts w:ascii="ＭＳ ゴシック" w:eastAsia="ＭＳ ゴシック" w:hAnsi="ＭＳ ゴシック"/>
                                <w:sz w:val="20"/>
                                <w:szCs w:val="20"/>
                              </w:rPr>
                            </w:pPr>
                            <w:r>
                              <w:rPr>
                                <w:rFonts w:ascii="ＭＳ ゴシック" w:eastAsia="ＭＳ ゴシック" w:hAnsi="ＭＳ ゴシック" w:hint="eastAsia"/>
                                <w:sz w:val="20"/>
                                <w:szCs w:val="20"/>
                              </w:rPr>
                              <w:t>避難所等</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shape w14:anchorId="5DE1EF09" id="AutoShape 2690" o:spid="_x0000_s1574" type="#_x0000_t9" style="position:absolute;left:0;text-align:left;margin-left:426.6pt;margin-top:4.3pt;width:27pt;height:153pt;z-index:2534174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">
                <v:textbox inset="5.85pt,.7pt,5.85pt,.7pt">
                  <w:txbxContent>
                    <w:p w14:paraId="7B32C9EB" w14:textId="77777777" w:rsidR="006A5267" w:rsidRDefault="006A5267" w:rsidP="008B4B2B">
                      <w:pPr>
                        <w:rPr>
                          <w:rFonts w:ascii="ＭＳ ゴシック" w:eastAsia="ＭＳ ゴシック" w:hAnsi="ＭＳ ゴシック"/>
                          <w:sz w:val="20"/>
                          <w:szCs w:val="20"/>
                        </w:rPr>
                      </w:pPr>
                    </w:p>
                    <w:p w14:paraId="66794976" w14:textId="77777777" w:rsidR="006A5267" w:rsidRPr="00B12A81" w:rsidRDefault="006A5267" w:rsidP="008B4B2B">
                      <w:pPr>
                        <w:rPr>
                          <w:rFonts w:ascii="ＭＳ ゴシック" w:eastAsia="ＭＳ ゴシック" w:hAnsi="ＭＳ ゴシック"/>
                          <w:sz w:val="20"/>
                          <w:szCs w:val="20"/>
                        </w:rPr>
                      </w:pPr>
                      <w:r>
                        <w:rPr>
                          <w:rFonts w:ascii="ＭＳ ゴシック" w:eastAsia="ＭＳ ゴシック" w:hAnsi="ＭＳ ゴシック" w:hint="eastAsia"/>
                          <w:sz w:val="20"/>
                          <w:szCs w:val="20"/>
                        </w:rPr>
                        <w:t>避難所等</w:t>
                      </w:r>
                    </w:p>
                  </w:txbxContent>
                </v:textbox>
              </v:shape>
            </w:pict>
          </mc:Fallback>
        </mc:AlternateContent>
      </w:r>
      <w:r w:rsidRPr="008A3EDE">
        <w:rPr>
          <w:rFonts w:hAnsi="ＭＳ 明朝" w:hint="eastAsia"/>
          <w:noProof/>
          <w:sz w:val="22"/>
          <w:szCs w:val="22"/>
        </w:rPr>
        <mc:AlternateContent>
          <mc:Choice Requires="wps">
            <w:drawing>
              <wp:anchor distT="0" distB="0" distL="114300" distR="114300" simplePos="0" relativeHeight="253416448" behindDoc="0" locked="0" layoutInCell="1" allowOverlap="1" wp14:anchorId="613E3F59" wp14:editId="1DFE7994">
                <wp:simplePos x="0" y="0"/>
                <wp:positionH relativeFrom="column">
                  <wp:posOffset>4389120</wp:posOffset>
                </wp:positionH>
                <wp:positionV relativeFrom="paragraph">
                  <wp:posOffset>54610</wp:posOffset>
                </wp:positionV>
                <wp:extent cx="342900" cy="1943100"/>
                <wp:effectExtent l="7620" t="6985" r="11430" b="12065"/>
                <wp:wrapNone/>
                <wp:docPr id="3838" name="AutoShape 268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42900" cy="1943100"/>
                        </a:xfrm>
                        <a:prstGeom prst="roundRect">
                          <a:avLst>
                            <a:gd name="adj" fmla="val 16667"/>
                          </a:avLst>
                        </a:prstGeom>
                        <a:solidFill>
                          <a:srgbClr val="FFFFFF"/>
                        </a:solidFill>
                        <a:ln w="9525">
                          <a:solidFill>
                            <a:srgbClr val="000000"/>
                          </a:solidFill>
                          <a:round/>
                          <a:headEnd/>
                          <a:tailEnd/>
                        </a:ln>
                      </wps:spPr>
                      <wps:txbx>
                        <w:txbxContent>
                          <w:p w14:paraId="74BCA85B" w14:textId="77777777" w:rsidR="006A5267" w:rsidRDefault="006A5267" w:rsidP="008B4B2B">
                            <w:pPr>
                              <w:rPr>
                                <w:rFonts w:ascii="ＭＳ ゴシック" w:eastAsia="ＭＳ ゴシック" w:hAnsi="ＭＳ ゴシック"/>
                                <w:sz w:val="20"/>
                                <w:szCs w:val="20"/>
                              </w:rPr>
                            </w:pPr>
                          </w:p>
                          <w:p w14:paraId="04938F3E" w14:textId="77777777" w:rsidR="006A5267" w:rsidRPr="00B12A81" w:rsidRDefault="006A5267" w:rsidP="008B4B2B">
                            <w:pPr>
                              <w:rPr>
                                <w:rFonts w:ascii="ＭＳ ゴシック" w:eastAsia="ＭＳ ゴシック" w:hAnsi="ＭＳ ゴシック"/>
                                <w:sz w:val="20"/>
                                <w:szCs w:val="20"/>
                              </w:rPr>
                            </w:pPr>
                            <w:r>
                              <w:rPr>
                                <w:rFonts w:ascii="ＭＳ ゴシック" w:eastAsia="ＭＳ ゴシック" w:hAnsi="ＭＳ ゴシック" w:hint="eastAsia"/>
                                <w:sz w:val="20"/>
                                <w:szCs w:val="20"/>
                              </w:rPr>
                              <w:t>被災市町村</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roundrect w14:anchorId="613E3F59" id="AutoShape 2689" o:spid="_x0000_s1575" style="position:absolute;left:0;text-align:left;margin-left:345.6pt;margin-top:4.3pt;width:27pt;height:153pt;z-index:2534164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">
                <v:textbox inset="5.85pt,.7pt,5.85pt,.7pt">
                  <w:txbxContent>
                    <w:p w14:paraId="74BCA85B" w14:textId="77777777" w:rsidR="006A5267" w:rsidRDefault="006A5267" w:rsidP="008B4B2B">
                      <w:pPr>
                        <w:rPr>
                          <w:rFonts w:ascii="ＭＳ ゴシック" w:eastAsia="ＭＳ ゴシック" w:hAnsi="ＭＳ ゴシック"/>
                          <w:sz w:val="20"/>
                          <w:szCs w:val="20"/>
                        </w:rPr>
                      </w:pPr>
                    </w:p>
                    <w:p w14:paraId="04938F3E" w14:textId="77777777" w:rsidR="006A5267" w:rsidRPr="00B12A81" w:rsidRDefault="006A5267" w:rsidP="008B4B2B">
                      <w:pPr>
                        <w:rPr>
                          <w:rFonts w:ascii="ＭＳ ゴシック" w:eastAsia="ＭＳ ゴシック" w:hAnsi="ＭＳ ゴシック"/>
                          <w:sz w:val="20"/>
                          <w:szCs w:val="20"/>
                        </w:rPr>
                      </w:pPr>
                      <w:r>
                        <w:rPr>
                          <w:rFonts w:ascii="ＭＳ ゴシック" w:eastAsia="ＭＳ ゴシック" w:hAnsi="ＭＳ ゴシック" w:hint="eastAsia"/>
                          <w:sz w:val="20"/>
                          <w:szCs w:val="20"/>
                        </w:rPr>
                        <w:t>被災市町村</w:t>
                      </w:r>
                    </w:p>
                  </w:txbxContent>
                </v:textbox>
              </v:roundrect>
            </w:pict>
          </mc:Fallback>
        </mc:AlternateContent>
      </w:r>
      <w:r w:rsidRPr="008A3EDE">
        <w:rPr>
          <w:rFonts w:hAnsi="ＭＳ 明朝" w:hint="eastAsia"/>
          <w:noProof/>
          <w:sz w:val="22"/>
          <w:szCs w:val="22"/>
        </w:rPr>
        <mc:AlternateContent>
          <mc:Choice Requires="wps">
            <w:drawing>
              <wp:anchor distT="0" distB="0" distL="114300" distR="114300" simplePos="0" relativeHeight="253419520" behindDoc="0" locked="0" layoutInCell="1" allowOverlap="1" wp14:anchorId="29B40725" wp14:editId="468AD6B1">
                <wp:simplePos x="0" y="0"/>
                <wp:positionH relativeFrom="column">
                  <wp:posOffset>617220</wp:posOffset>
                </wp:positionH>
                <wp:positionV relativeFrom="paragraph">
                  <wp:posOffset>168910</wp:posOffset>
                </wp:positionV>
                <wp:extent cx="571500" cy="228600"/>
                <wp:effectExtent l="0" t="0" r="1905" b="2540"/>
                <wp:wrapNone/>
                <wp:docPr id="3837" name="Text Box 269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1500" cy="2286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E57A83D" w14:textId="77777777" w:rsidR="006A5267" w:rsidRPr="00B12A81" w:rsidRDefault="006A5267" w:rsidP="008B4B2B">
                            <w:pPr>
                              <w:spacing w:line="240" w:lineRule="exact"/>
                              <w:rPr>
                                <w:rFonts w:ascii="ＭＳ ゴシック" w:eastAsia="ＭＳ ゴシック" w:hAnsi="ＭＳ ゴシック"/>
                                <w:sz w:val="20"/>
                                <w:szCs w:val="20"/>
                              </w:rPr>
                            </w:pPr>
                            <w:r>
                              <w:rPr>
                                <w:rFonts w:ascii="ＭＳ ゴシック" w:eastAsia="ＭＳ ゴシック" w:hAnsi="ＭＳ ゴシック" w:hint="eastAsia"/>
                                <w:sz w:val="20"/>
                                <w:szCs w:val="20"/>
                              </w:rPr>
                              <w:t>申入れ</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shape w14:anchorId="29B40725" id="Text Box 2692" o:spid="_x0000_s1576" type="#_x0000_t202" style="position:absolute;left:0;text-align:left;margin-left:48.6pt;margin-top:13.3pt;width:45pt;height:18pt;z-index:2534195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" filled="f" stroked="f">
                <v:textbox inset="5.85pt,.7pt,5.85pt,.7pt">
                  <w:txbxContent>
                    <w:p w14:paraId="6E57A83D" w14:textId="77777777" w:rsidR="006A5267" w:rsidRPr="00B12A81" w:rsidRDefault="006A5267" w:rsidP="008B4B2B">
                      <w:pPr>
                        <w:spacing w:line="240" w:lineRule="exact"/>
                        <w:rPr>
                          <w:rFonts w:ascii="ＭＳ ゴシック" w:eastAsia="ＭＳ ゴシック" w:hAnsi="ＭＳ ゴシック"/>
                          <w:sz w:val="20"/>
                          <w:szCs w:val="20"/>
                        </w:rPr>
                      </w:pPr>
                      <w:r>
                        <w:rPr>
                          <w:rFonts w:ascii="ＭＳ ゴシック" w:eastAsia="ＭＳ ゴシック" w:hAnsi="ＭＳ ゴシック" w:hint="eastAsia"/>
                          <w:sz w:val="20"/>
                          <w:szCs w:val="20"/>
                        </w:rPr>
                        <w:t>申入れ</w:t>
                      </w:r>
                    </w:p>
                  </w:txbxContent>
                </v:textbox>
              </v:shape>
            </w:pict>
          </mc:Fallback>
        </mc:AlternateContent>
      </w:r>
    </w:p>
    <w:p w14:paraId="307E6DD5" w14:textId="77777777" w:rsidR="008B4B2B" w:rsidRPr="008A3EDE" w:rsidRDefault="008B4B2B" w:rsidP="008B4B2B">
      <w:pPr>
        <w:pStyle w:val="a0"/>
        <w:rPr>
          <w:rFonts w:hAnsi="ＭＳ 明朝"/>
          <w:sz w:val="22"/>
          <w:szCs w:val="22"/>
        </w:rPr>
      </w:pPr>
      <w:r w:rsidRPr="008A3EDE">
        <w:rPr>
          <w:rFonts w:hAnsi="ＭＳ 明朝" w:hint="eastAsia"/>
          <w:noProof/>
          <w:sz w:val="22"/>
          <w:szCs w:val="22"/>
        </w:rPr>
        <mc:AlternateContent>
          <mc:Choice Requires="wps">
            <w:drawing>
              <wp:anchor distT="0" distB="0" distL="114300" distR="114300" simplePos="0" relativeHeight="253422592" behindDoc="0" locked="0" layoutInCell="1" allowOverlap="1" wp14:anchorId="09718C8D" wp14:editId="575B196B">
                <wp:simplePos x="0" y="0"/>
                <wp:positionH relativeFrom="column">
                  <wp:posOffset>3131820</wp:posOffset>
                </wp:positionH>
                <wp:positionV relativeFrom="paragraph">
                  <wp:posOffset>168910</wp:posOffset>
                </wp:positionV>
                <wp:extent cx="1257300" cy="0"/>
                <wp:effectExtent l="7620" t="54610" r="20955" b="59690"/>
                <wp:wrapNone/>
                <wp:docPr id="3836" name="Line 269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257300" cy="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line w14:anchorId="0644A50D" id="Line 2695" o:spid="_x0000_s1026" style="position:absolute;left:0;text-align:left;z-index:2534225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46.6pt,13.3pt" to="345.6pt,13.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">
                <v:stroke endarrow="block"/>
              </v:line>
            </w:pict>
          </mc:Fallback>
        </mc:AlternateContent>
      </w:r>
      <w:r w:rsidRPr="008A3EDE">
        <w:rPr>
          <w:rFonts w:hAnsi="ＭＳ 明朝" w:hint="eastAsia"/>
          <w:noProof/>
          <w:sz w:val="22"/>
          <w:szCs w:val="22"/>
        </w:rPr>
        <mc:AlternateContent>
          <mc:Choice Requires="wps">
            <w:drawing>
              <wp:anchor distT="0" distB="0" distL="114300" distR="114300" simplePos="0" relativeHeight="253418496" behindDoc="0" locked="0" layoutInCell="1" allowOverlap="1" wp14:anchorId="2F63C994" wp14:editId="5CEB04E5">
                <wp:simplePos x="0" y="0"/>
                <wp:positionH relativeFrom="column">
                  <wp:posOffset>502920</wp:posOffset>
                </wp:positionH>
                <wp:positionV relativeFrom="paragraph">
                  <wp:posOffset>168910</wp:posOffset>
                </wp:positionV>
                <wp:extent cx="914400" cy="0"/>
                <wp:effectExtent l="7620" t="54610" r="20955" b="59690"/>
                <wp:wrapNone/>
                <wp:docPr id="3835" name="Line 269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914400" cy="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line w14:anchorId="036EC4C4" id="Line 2691" o:spid="_x0000_s1026" style="position:absolute;left:0;text-align:left;z-index:2534184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9.6pt,13.3pt" to="111.6pt,13.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">
                <v:stroke endarrow="block"/>
              </v:line>
            </w:pict>
          </mc:Fallback>
        </mc:AlternateContent>
      </w:r>
    </w:p>
    <w:p w14:paraId="7D485A8B" w14:textId="77777777" w:rsidR="008B4B2B" w:rsidRPr="008A3EDE" w:rsidRDefault="008B4B2B" w:rsidP="008B4B2B">
      <w:pPr>
        <w:pStyle w:val="a0"/>
        <w:rPr>
          <w:rFonts w:hAnsi="ＭＳ 明朝"/>
          <w:sz w:val="22"/>
          <w:szCs w:val="22"/>
        </w:rPr>
      </w:pPr>
      <w:r w:rsidRPr="008A3EDE">
        <w:rPr>
          <w:rFonts w:hAnsi="ＭＳ 明朝" w:hint="eastAsia"/>
          <w:noProof/>
          <w:sz w:val="22"/>
          <w:szCs w:val="22"/>
        </w:rPr>
        <mc:AlternateContent>
          <mc:Choice Requires="wps">
            <w:drawing>
              <wp:anchor distT="0" distB="0" distL="114300" distR="114300" simplePos="0" relativeHeight="253424640" behindDoc="0" locked="0" layoutInCell="1" allowOverlap="1" wp14:anchorId="0035788A" wp14:editId="3F27BC07">
                <wp:simplePos x="0" y="0"/>
                <wp:positionH relativeFrom="column">
                  <wp:posOffset>4846320</wp:posOffset>
                </wp:positionH>
                <wp:positionV relativeFrom="paragraph">
                  <wp:posOffset>54610</wp:posOffset>
                </wp:positionV>
                <wp:extent cx="457200" cy="1028700"/>
                <wp:effectExtent l="7620" t="54610" r="11430" b="12065"/>
                <wp:wrapNone/>
                <wp:docPr id="3834" name="AutoShape 269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57200" cy="1028700"/>
                        </a:xfrm>
                        <a:prstGeom prst="rightArrow">
                          <a:avLst>
                            <a:gd name="adj1" fmla="val 50000"/>
                            <a:gd name="adj2" fmla="val 25000"/>
                          </a:avLst>
                        </a:prstGeom>
                        <a:solidFill>
                          <a:srgbClr val="FFFFFF"/>
                        </a:solidFill>
                        <a:ln w="9525">
                          <a:solidFill>
                            <a:srgbClr val="000000"/>
                          </a:solidFill>
                          <a:miter lim="800000"/>
                          <a:headEnd/>
                          <a:tailEnd/>
                        </a:ln>
                      </wps:spPr>
                      <wps:txbx>
                        <w:txbxContent>
                          <w:p w14:paraId="6CFCC1AB" w14:textId="77777777" w:rsidR="006A5267" w:rsidRDefault="006A5267" w:rsidP="008B4B2B">
                            <w:pPr>
                              <w:rPr>
                                <w:rFonts w:ascii="ＭＳ ゴシック" w:eastAsia="ＭＳ ゴシック" w:hAnsi="ＭＳ ゴシック"/>
                                <w:sz w:val="20"/>
                                <w:szCs w:val="20"/>
                              </w:rPr>
                            </w:pPr>
                            <w:r w:rsidRPr="00FC4D4F">
                              <w:rPr>
                                <w:rFonts w:ascii="ＭＳ ゴシック" w:eastAsia="ＭＳ ゴシック" w:hAnsi="ＭＳ ゴシック" w:hint="eastAsia"/>
                                <w:sz w:val="20"/>
                                <w:szCs w:val="20"/>
                              </w:rPr>
                              <w:t>配</w:t>
                            </w:r>
                          </w:p>
                          <w:p w14:paraId="379EAE43" w14:textId="77777777" w:rsidR="006A5267" w:rsidRPr="00FC4D4F" w:rsidRDefault="006A5267" w:rsidP="008B4B2B">
                            <w:pPr>
                              <w:rPr>
                                <w:rFonts w:ascii="ＭＳ ゴシック" w:eastAsia="ＭＳ ゴシック" w:hAnsi="ＭＳ ゴシック"/>
                                <w:sz w:val="20"/>
                                <w:szCs w:val="20"/>
                              </w:rPr>
                            </w:pPr>
                            <w:r w:rsidRPr="00FC4D4F">
                              <w:rPr>
                                <w:rFonts w:ascii="ＭＳ ゴシック" w:eastAsia="ＭＳ ゴシック" w:hAnsi="ＭＳ ゴシック" w:hint="eastAsia"/>
                                <w:sz w:val="20"/>
                                <w:szCs w:val="20"/>
                              </w:rPr>
                              <w:t>分</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shape w14:anchorId="0035788A" id="AutoShape 2697" o:spid="_x0000_s1577" type="#_x0000_t13" style="position:absolute;left:0;text-align:left;margin-left:381.6pt;margin-top:4.3pt;width:36pt;height:81pt;z-index:2534246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">
                <v:textbox inset="5.85pt,.7pt,5.85pt,.7pt">
                  <w:txbxContent>
                    <w:p w14:paraId="6CFCC1AB" w14:textId="77777777" w:rsidR="006A5267" w:rsidRDefault="006A5267" w:rsidP="008B4B2B">
                      <w:pPr>
                        <w:rPr>
                          <w:rFonts w:ascii="ＭＳ ゴシック" w:eastAsia="ＭＳ ゴシック" w:hAnsi="ＭＳ ゴシック"/>
                          <w:sz w:val="20"/>
                          <w:szCs w:val="20"/>
                        </w:rPr>
                      </w:pPr>
                      <w:r w:rsidRPr="00FC4D4F">
                        <w:rPr>
                          <w:rFonts w:ascii="ＭＳ ゴシック" w:eastAsia="ＭＳ ゴシック" w:hAnsi="ＭＳ ゴシック" w:hint="eastAsia"/>
                          <w:sz w:val="20"/>
                          <w:szCs w:val="20"/>
                        </w:rPr>
                        <w:t>配</w:t>
                      </w:r>
                    </w:p>
                    <w:p w14:paraId="379EAE43" w14:textId="77777777" w:rsidR="006A5267" w:rsidRPr="00FC4D4F" w:rsidRDefault="006A5267" w:rsidP="008B4B2B">
                      <w:pPr>
                        <w:rPr>
                          <w:rFonts w:ascii="ＭＳ ゴシック" w:eastAsia="ＭＳ ゴシック" w:hAnsi="ＭＳ ゴシック"/>
                          <w:sz w:val="20"/>
                          <w:szCs w:val="20"/>
                        </w:rPr>
                      </w:pPr>
                      <w:r w:rsidRPr="00FC4D4F">
                        <w:rPr>
                          <w:rFonts w:ascii="ＭＳ ゴシック" w:eastAsia="ＭＳ ゴシック" w:hAnsi="ＭＳ ゴシック" w:hint="eastAsia"/>
                          <w:sz w:val="20"/>
                          <w:szCs w:val="20"/>
                        </w:rPr>
                        <w:t>分</w:t>
                      </w:r>
                    </w:p>
                  </w:txbxContent>
                </v:textbox>
              </v:shape>
            </w:pict>
          </mc:Fallback>
        </mc:AlternateContent>
      </w:r>
    </w:p>
    <w:p w14:paraId="5BC6825A" w14:textId="77777777" w:rsidR="008B4B2B" w:rsidRPr="008A3EDE" w:rsidRDefault="008B4B2B" w:rsidP="008B4B2B">
      <w:pPr>
        <w:pStyle w:val="a0"/>
        <w:rPr>
          <w:rFonts w:hAnsi="ＭＳ 明朝"/>
          <w:sz w:val="22"/>
          <w:szCs w:val="22"/>
        </w:rPr>
      </w:pPr>
      <w:r w:rsidRPr="008A3EDE">
        <w:rPr>
          <w:rFonts w:hAnsi="ＭＳ 明朝" w:hint="eastAsia"/>
          <w:noProof/>
          <w:sz w:val="22"/>
          <w:szCs w:val="22"/>
        </w:rPr>
        <mc:AlternateContent>
          <mc:Choice Requires="wps">
            <w:drawing>
              <wp:anchor distT="0" distB="0" distL="114300" distR="114300" simplePos="0" relativeHeight="253414400" behindDoc="0" locked="0" layoutInCell="1" allowOverlap="1" wp14:anchorId="14BC78AE" wp14:editId="72653587">
                <wp:simplePos x="0" y="0"/>
                <wp:positionH relativeFrom="column">
                  <wp:posOffset>2217420</wp:posOffset>
                </wp:positionH>
                <wp:positionV relativeFrom="paragraph">
                  <wp:posOffset>54610</wp:posOffset>
                </wp:positionV>
                <wp:extent cx="1371600" cy="1257300"/>
                <wp:effectExtent l="7620" t="6985" r="11430" b="12065"/>
                <wp:wrapNone/>
                <wp:docPr id="3833" name="Text Box 268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71600" cy="1257300"/>
                        </a:xfrm>
                        <a:prstGeom prst="rect">
                          <a:avLst/>
                        </a:prstGeom>
                        <a:solidFill>
                          <a:srgbClr val="FFFFFF"/>
                        </a:solidFill>
                        <a:ln w="9525">
                          <a:solidFill>
                            <a:srgbClr val="000000"/>
                          </a:solidFill>
                          <a:miter lim="800000"/>
                          <a:headEnd/>
                          <a:tailEnd/>
                        </a:ln>
                      </wps:spPr>
                      <wps:txbx>
                        <w:txbxContent>
                          <w:p w14:paraId="7DE715C2" w14:textId="77777777" w:rsidR="006A5267" w:rsidRPr="009A637B" w:rsidRDefault="006A5267" w:rsidP="008B4B2B">
                            <w:pPr>
                              <w:rPr>
                                <w:rFonts w:ascii="ＭＳ ゴシック" w:eastAsia="ＭＳ ゴシック" w:hAnsi="ＭＳ ゴシック"/>
                                <w:sz w:val="20"/>
                                <w:szCs w:val="20"/>
                              </w:rPr>
                            </w:pPr>
                          </w:p>
                          <w:p w14:paraId="253AA140" w14:textId="77777777" w:rsidR="006A5267" w:rsidRPr="009A637B" w:rsidRDefault="006A5267" w:rsidP="008B4B2B">
                            <w:pPr>
                              <w:rPr>
                                <w:rFonts w:ascii="ＭＳ ゴシック" w:eastAsia="ＭＳ ゴシック" w:hAnsi="ＭＳ ゴシック"/>
                                <w:sz w:val="20"/>
                                <w:szCs w:val="20"/>
                              </w:rPr>
                            </w:pPr>
                          </w:p>
                          <w:p w14:paraId="5548CBC5" w14:textId="77777777" w:rsidR="006A5267" w:rsidRDefault="006A5267" w:rsidP="008B4B2B">
                            <w:pPr>
                              <w:rPr>
                                <w:rFonts w:ascii="ＭＳ ゴシック" w:eastAsia="ＭＳ ゴシック" w:hAnsi="ＭＳ ゴシック"/>
                                <w:sz w:val="20"/>
                                <w:szCs w:val="20"/>
                              </w:rPr>
                            </w:pPr>
                          </w:p>
                          <w:p w14:paraId="64BE3542" w14:textId="77777777" w:rsidR="006A5267" w:rsidRDefault="006A5267" w:rsidP="008B4B2B">
                            <w:pPr>
                              <w:spacing w:line="240" w:lineRule="exact"/>
                              <w:rPr>
                                <w:rFonts w:ascii="ＭＳ ゴシック" w:eastAsia="ＭＳ ゴシック" w:hAnsi="ＭＳ ゴシック"/>
                                <w:sz w:val="20"/>
                                <w:szCs w:val="20"/>
                              </w:rPr>
                            </w:pPr>
                            <w:r w:rsidRPr="009A637B">
                              <w:rPr>
                                <w:rFonts w:ascii="ＭＳ ゴシック" w:eastAsia="ＭＳ ゴシック" w:hAnsi="ＭＳ ゴシック" w:hint="eastAsia"/>
                                <w:sz w:val="20"/>
                                <w:szCs w:val="20"/>
                              </w:rPr>
                              <w:t>・</w:t>
                            </w:r>
                            <w:r>
                              <w:rPr>
                                <w:rFonts w:ascii="ＭＳ ゴシック" w:eastAsia="ＭＳ ゴシック" w:hAnsi="ＭＳ ゴシック" w:hint="eastAsia"/>
                                <w:sz w:val="20"/>
                                <w:szCs w:val="20"/>
                              </w:rPr>
                              <w:t>義援物資の使途</w:t>
                            </w:r>
                          </w:p>
                          <w:p w14:paraId="700E0602" w14:textId="77777777" w:rsidR="006A5267" w:rsidRDefault="006A5267" w:rsidP="008B4B2B">
                            <w:pPr>
                              <w:spacing w:line="240" w:lineRule="exact"/>
                              <w:rPr>
                                <w:rFonts w:ascii="ＭＳ ゴシック" w:eastAsia="ＭＳ ゴシック" w:hAnsi="ＭＳ ゴシック"/>
                                <w:sz w:val="20"/>
                                <w:szCs w:val="20"/>
                              </w:rPr>
                            </w:pPr>
                            <w:r>
                              <w:rPr>
                                <w:rFonts w:ascii="ＭＳ ゴシック" w:eastAsia="ＭＳ ゴシック" w:hAnsi="ＭＳ ゴシック" w:hint="eastAsia"/>
                                <w:sz w:val="20"/>
                                <w:szCs w:val="20"/>
                              </w:rPr>
                              <w:t>・配分方法　など</w:t>
                            </w:r>
                          </w:p>
                          <w:p w14:paraId="65095D2E" w14:textId="77777777" w:rsidR="006A5267" w:rsidRPr="009A637B" w:rsidRDefault="006A5267" w:rsidP="008B4B2B">
                            <w:pPr>
                              <w:spacing w:line="240" w:lineRule="exact"/>
                              <w:rPr>
                                <w:rFonts w:ascii="ＭＳ ゴシック" w:eastAsia="ＭＳ ゴシック" w:hAnsi="ＭＳ ゴシック"/>
                                <w:sz w:val="20"/>
                                <w:szCs w:val="20"/>
                              </w:rPr>
                            </w:pPr>
                            <w:r>
                              <w:rPr>
                                <w:rFonts w:ascii="ＭＳ ゴシック" w:eastAsia="ＭＳ ゴシック" w:hAnsi="ＭＳ ゴシック" w:hint="eastAsia"/>
                                <w:sz w:val="20"/>
                                <w:szCs w:val="20"/>
                              </w:rPr>
                              <w:t>を協議し決定する</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shape w14:anchorId="14BC78AE" id="Text Box 2687" o:spid="_x0000_s1578" type="#_x0000_t202" style="position:absolute;left:0;text-align:left;margin-left:174.6pt;margin-top:4.3pt;width:108pt;height:99pt;z-index:2534144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">
                <v:textbox inset="5.85pt,.7pt,5.85pt,.7pt">
                  <w:txbxContent>
                    <w:p w14:paraId="7DE715C2" w14:textId="77777777" w:rsidR="006A5267" w:rsidRPr="009A637B" w:rsidRDefault="006A5267" w:rsidP="008B4B2B">
                      <w:pPr>
                        <w:rPr>
                          <w:rFonts w:ascii="ＭＳ ゴシック" w:eastAsia="ＭＳ ゴシック" w:hAnsi="ＭＳ ゴシック"/>
                          <w:sz w:val="20"/>
                          <w:szCs w:val="20"/>
                        </w:rPr>
                      </w:pPr>
                    </w:p>
                    <w:p w14:paraId="253AA140" w14:textId="77777777" w:rsidR="006A5267" w:rsidRPr="009A637B" w:rsidRDefault="006A5267" w:rsidP="008B4B2B">
                      <w:pPr>
                        <w:rPr>
                          <w:rFonts w:ascii="ＭＳ ゴシック" w:eastAsia="ＭＳ ゴシック" w:hAnsi="ＭＳ ゴシック"/>
                          <w:sz w:val="20"/>
                          <w:szCs w:val="20"/>
                        </w:rPr>
                      </w:pPr>
                    </w:p>
                    <w:p w14:paraId="5548CBC5" w14:textId="77777777" w:rsidR="006A5267" w:rsidRDefault="006A5267" w:rsidP="008B4B2B">
                      <w:pPr>
                        <w:rPr>
                          <w:rFonts w:ascii="ＭＳ ゴシック" w:eastAsia="ＭＳ ゴシック" w:hAnsi="ＭＳ ゴシック"/>
                          <w:sz w:val="20"/>
                          <w:szCs w:val="20"/>
                        </w:rPr>
                      </w:pPr>
                    </w:p>
                    <w:p w14:paraId="64BE3542" w14:textId="77777777" w:rsidR="006A5267" w:rsidRDefault="006A5267" w:rsidP="008B4B2B">
                      <w:pPr>
                        <w:spacing w:line="240" w:lineRule="exact"/>
                        <w:rPr>
                          <w:rFonts w:ascii="ＭＳ ゴシック" w:eastAsia="ＭＳ ゴシック" w:hAnsi="ＭＳ ゴシック"/>
                          <w:sz w:val="20"/>
                          <w:szCs w:val="20"/>
                        </w:rPr>
                      </w:pPr>
                      <w:r w:rsidRPr="009A637B">
                        <w:rPr>
                          <w:rFonts w:ascii="ＭＳ ゴシック" w:eastAsia="ＭＳ ゴシック" w:hAnsi="ＭＳ ゴシック" w:hint="eastAsia"/>
                          <w:sz w:val="20"/>
                          <w:szCs w:val="20"/>
                        </w:rPr>
                        <w:t>・</w:t>
                      </w:r>
                      <w:r>
                        <w:rPr>
                          <w:rFonts w:ascii="ＭＳ ゴシック" w:eastAsia="ＭＳ ゴシック" w:hAnsi="ＭＳ ゴシック" w:hint="eastAsia"/>
                          <w:sz w:val="20"/>
                          <w:szCs w:val="20"/>
                        </w:rPr>
                        <w:t>義援物資の使途</w:t>
                      </w:r>
                    </w:p>
                    <w:p w14:paraId="700E0602" w14:textId="77777777" w:rsidR="006A5267" w:rsidRDefault="006A5267" w:rsidP="008B4B2B">
                      <w:pPr>
                        <w:spacing w:line="240" w:lineRule="exact"/>
                        <w:rPr>
                          <w:rFonts w:ascii="ＭＳ ゴシック" w:eastAsia="ＭＳ ゴシック" w:hAnsi="ＭＳ ゴシック"/>
                          <w:sz w:val="20"/>
                          <w:szCs w:val="20"/>
                        </w:rPr>
                      </w:pPr>
                      <w:r>
                        <w:rPr>
                          <w:rFonts w:ascii="ＭＳ ゴシック" w:eastAsia="ＭＳ ゴシック" w:hAnsi="ＭＳ ゴシック" w:hint="eastAsia"/>
                          <w:sz w:val="20"/>
                          <w:szCs w:val="20"/>
                        </w:rPr>
                        <w:t>・配分方法　など</w:t>
                      </w:r>
                    </w:p>
                    <w:p w14:paraId="65095D2E" w14:textId="77777777" w:rsidR="006A5267" w:rsidRPr="009A637B" w:rsidRDefault="006A5267" w:rsidP="008B4B2B">
                      <w:pPr>
                        <w:spacing w:line="240" w:lineRule="exact"/>
                        <w:rPr>
                          <w:rFonts w:ascii="ＭＳ ゴシック" w:eastAsia="ＭＳ ゴシック" w:hAnsi="ＭＳ ゴシック"/>
                          <w:sz w:val="20"/>
                          <w:szCs w:val="20"/>
                        </w:rPr>
                      </w:pPr>
                      <w:r>
                        <w:rPr>
                          <w:rFonts w:ascii="ＭＳ ゴシック" w:eastAsia="ＭＳ ゴシック" w:hAnsi="ＭＳ ゴシック" w:hint="eastAsia"/>
                          <w:sz w:val="20"/>
                          <w:szCs w:val="20"/>
                        </w:rPr>
                        <w:t>を協議し決定する</w:t>
                      </w:r>
                    </w:p>
                  </w:txbxContent>
                </v:textbox>
              </v:shape>
            </w:pict>
          </mc:Fallback>
        </mc:AlternateContent>
      </w:r>
      <w:r w:rsidRPr="008A3EDE">
        <w:rPr>
          <w:rFonts w:hAnsi="ＭＳ 明朝" w:hint="eastAsia"/>
          <w:noProof/>
          <w:sz w:val="22"/>
          <w:szCs w:val="22"/>
        </w:rPr>
        <mc:AlternateContent>
          <mc:Choice Requires="wps">
            <w:drawing>
              <wp:anchor distT="0" distB="0" distL="114300" distR="114300" simplePos="0" relativeHeight="253413376" behindDoc="0" locked="0" layoutInCell="1" allowOverlap="1" wp14:anchorId="2CCEE7A6" wp14:editId="2FC365D8">
                <wp:simplePos x="0" y="0"/>
                <wp:positionH relativeFrom="column">
                  <wp:posOffset>960120</wp:posOffset>
                </wp:positionH>
                <wp:positionV relativeFrom="paragraph">
                  <wp:posOffset>54610</wp:posOffset>
                </wp:positionV>
                <wp:extent cx="1257300" cy="571500"/>
                <wp:effectExtent l="7620" t="6985" r="11430" b="12065"/>
                <wp:wrapNone/>
                <wp:docPr id="3832" name="AutoShape 268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57300" cy="571500"/>
                        </a:xfrm>
                        <a:prstGeom prst="bevel">
                          <a:avLst>
                            <a:gd name="adj" fmla="val 12500"/>
                          </a:avLst>
                        </a:prstGeom>
                        <a:solidFill>
                          <a:srgbClr val="FFFFFF"/>
                        </a:solidFill>
                        <a:ln w="9525">
                          <a:solidFill>
                            <a:srgbClr val="000000"/>
                          </a:solidFill>
                          <a:miter lim="800000"/>
                          <a:headEnd/>
                          <a:tailEnd/>
                        </a:ln>
                      </wps:spPr>
                      <wps:txbx>
                        <w:txbxContent>
                          <w:p w14:paraId="046D50E5" w14:textId="77777777" w:rsidR="006A5267" w:rsidRDefault="006A5267" w:rsidP="008B4B2B">
                            <w:pPr>
                              <w:spacing w:line="240" w:lineRule="exact"/>
                              <w:rPr>
                                <w:rFonts w:ascii="ＭＳ ゴシック" w:eastAsia="ＭＳ ゴシック" w:hAnsi="ＭＳ ゴシック"/>
                                <w:sz w:val="20"/>
                                <w:szCs w:val="20"/>
                              </w:rPr>
                            </w:pPr>
                            <w:r>
                              <w:rPr>
                                <w:rFonts w:ascii="ＭＳ ゴシック" w:eastAsia="ＭＳ ゴシック" w:hAnsi="ＭＳ ゴシック" w:hint="eastAsia"/>
                                <w:sz w:val="20"/>
                                <w:szCs w:val="20"/>
                              </w:rPr>
                              <w:t>受入場所指定</w:t>
                            </w:r>
                          </w:p>
                          <w:p w14:paraId="70C50587" w14:textId="77777777" w:rsidR="006A5267" w:rsidRPr="000C1134" w:rsidRDefault="006A5267" w:rsidP="008B4B2B">
                            <w:pPr>
                              <w:spacing w:line="240" w:lineRule="exact"/>
                              <w:rPr>
                                <w:rFonts w:ascii="ＭＳ ゴシック" w:eastAsia="ＭＳ ゴシック" w:hAnsi="ＭＳ ゴシック"/>
                                <w:sz w:val="20"/>
                                <w:szCs w:val="20"/>
                              </w:rPr>
                            </w:pPr>
                            <w:r>
                              <w:rPr>
                                <w:rFonts w:ascii="ＭＳ ゴシック" w:eastAsia="ＭＳ ゴシック" w:hAnsi="ＭＳ ゴシック" w:hint="eastAsia"/>
                                <w:sz w:val="20"/>
                                <w:szCs w:val="20"/>
                              </w:rPr>
                              <w:t>（防災拠点等）</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shape w14:anchorId="2CCEE7A6" id="AutoShape 2686" o:spid="_x0000_s1579" type="#_x0000_t84" style="position:absolute;left:0;text-align:left;margin-left:75.6pt;margin-top:4.3pt;width:99pt;height:45pt;z-index:2534133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">
                <v:textbox inset="5.85pt,.7pt,5.85pt,.7pt">
                  <w:txbxContent>
                    <w:p w14:paraId="046D50E5" w14:textId="77777777" w:rsidR="006A5267" w:rsidRDefault="006A5267" w:rsidP="008B4B2B">
                      <w:pPr>
                        <w:spacing w:line="240" w:lineRule="exact"/>
                        <w:rPr>
                          <w:rFonts w:ascii="ＭＳ ゴシック" w:eastAsia="ＭＳ ゴシック" w:hAnsi="ＭＳ ゴシック"/>
                          <w:sz w:val="20"/>
                          <w:szCs w:val="20"/>
                        </w:rPr>
                      </w:pPr>
                      <w:r>
                        <w:rPr>
                          <w:rFonts w:ascii="ＭＳ ゴシック" w:eastAsia="ＭＳ ゴシック" w:hAnsi="ＭＳ ゴシック" w:hint="eastAsia"/>
                          <w:sz w:val="20"/>
                          <w:szCs w:val="20"/>
                        </w:rPr>
                        <w:t>受入場所指定</w:t>
                      </w:r>
                    </w:p>
                    <w:p w14:paraId="70C50587" w14:textId="77777777" w:rsidR="006A5267" w:rsidRPr="000C1134" w:rsidRDefault="006A5267" w:rsidP="008B4B2B">
                      <w:pPr>
                        <w:spacing w:line="240" w:lineRule="exact"/>
                        <w:rPr>
                          <w:rFonts w:ascii="ＭＳ ゴシック" w:eastAsia="ＭＳ ゴシック" w:hAnsi="ＭＳ ゴシック"/>
                          <w:sz w:val="20"/>
                          <w:szCs w:val="20"/>
                        </w:rPr>
                      </w:pPr>
                      <w:r>
                        <w:rPr>
                          <w:rFonts w:ascii="ＭＳ ゴシック" w:eastAsia="ＭＳ ゴシック" w:hAnsi="ＭＳ ゴシック" w:hint="eastAsia"/>
                          <w:sz w:val="20"/>
                          <w:szCs w:val="20"/>
                        </w:rPr>
                        <w:t>（防災拠点等）</w:t>
                      </w:r>
                    </w:p>
                  </w:txbxContent>
                </v:textbox>
              </v:shape>
            </w:pict>
          </mc:Fallback>
        </mc:AlternateContent>
      </w:r>
      <w:r w:rsidRPr="008A3EDE">
        <w:rPr>
          <w:rFonts w:hAnsi="ＭＳ 明朝" w:hint="eastAsia"/>
          <w:noProof/>
          <w:sz w:val="22"/>
          <w:szCs w:val="22"/>
        </w:rPr>
        <mc:AlternateContent>
          <mc:Choice Requires="wps">
            <w:drawing>
              <wp:anchor distT="0" distB="0" distL="114300" distR="114300" simplePos="0" relativeHeight="253421568" behindDoc="0" locked="0" layoutInCell="1" allowOverlap="1" wp14:anchorId="5567BBE5" wp14:editId="7626D539">
                <wp:simplePos x="0" y="0"/>
                <wp:positionH relativeFrom="column">
                  <wp:posOffset>502920</wp:posOffset>
                </wp:positionH>
                <wp:positionV relativeFrom="paragraph">
                  <wp:posOffset>54610</wp:posOffset>
                </wp:positionV>
                <wp:extent cx="457200" cy="228600"/>
                <wp:effectExtent l="0" t="0" r="1905" b="2540"/>
                <wp:wrapNone/>
                <wp:docPr id="3831" name="Text Box 269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57200" cy="2286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FD97839" w14:textId="77777777" w:rsidR="006A5267" w:rsidRPr="00FC4D4F" w:rsidRDefault="006A5267" w:rsidP="008B4B2B">
                            <w:pPr>
                              <w:rPr>
                                <w:rFonts w:ascii="ＭＳ ゴシック" w:eastAsia="ＭＳ ゴシック" w:hAnsi="ＭＳ ゴシック"/>
                                <w:sz w:val="20"/>
                                <w:szCs w:val="20"/>
                              </w:rPr>
                            </w:pPr>
                            <w:r>
                              <w:rPr>
                                <w:rFonts w:ascii="ＭＳ ゴシック" w:eastAsia="ＭＳ ゴシック" w:hAnsi="ＭＳ ゴシック" w:hint="eastAsia"/>
                                <w:sz w:val="20"/>
                                <w:szCs w:val="20"/>
                              </w:rPr>
                              <w:t>受付</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shape w14:anchorId="5567BBE5" id="Text Box 2694" o:spid="_x0000_s1580" type="#_x0000_t202" style="position:absolute;left:0;text-align:left;margin-left:39.6pt;margin-top:4.3pt;width:36pt;height:18pt;z-index:2534215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" filled="f" stroked="f">
                <v:textbox inset="5.85pt,.7pt,5.85pt,.7pt">
                  <w:txbxContent>
                    <w:p w14:paraId="1FD97839" w14:textId="77777777" w:rsidR="006A5267" w:rsidRPr="00FC4D4F" w:rsidRDefault="006A5267" w:rsidP="008B4B2B">
                      <w:pPr>
                        <w:rPr>
                          <w:rFonts w:ascii="ＭＳ ゴシック" w:eastAsia="ＭＳ ゴシック" w:hAnsi="ＭＳ ゴシック"/>
                          <w:sz w:val="20"/>
                          <w:szCs w:val="20"/>
                        </w:rPr>
                      </w:pPr>
                      <w:r>
                        <w:rPr>
                          <w:rFonts w:ascii="ＭＳ ゴシック" w:eastAsia="ＭＳ ゴシック" w:hAnsi="ＭＳ ゴシック" w:hint="eastAsia"/>
                          <w:sz w:val="20"/>
                          <w:szCs w:val="20"/>
                        </w:rPr>
                        <w:t>受付</w:t>
                      </w:r>
                    </w:p>
                  </w:txbxContent>
                </v:textbox>
              </v:shape>
            </w:pict>
          </mc:Fallback>
        </mc:AlternateContent>
      </w:r>
      <w:r w:rsidRPr="008A3EDE">
        <w:rPr>
          <w:rFonts w:hAnsi="ＭＳ 明朝" w:hint="eastAsia"/>
          <w:noProof/>
          <w:sz w:val="22"/>
          <w:szCs w:val="22"/>
        </w:rPr>
        <mc:AlternateContent>
          <mc:Choice Requires="wps">
            <w:drawing>
              <wp:anchor distT="0" distB="0" distL="114300" distR="114300" simplePos="0" relativeHeight="253415424" behindDoc="0" locked="0" layoutInCell="1" allowOverlap="1" wp14:anchorId="242A758C" wp14:editId="4ACEF008">
                <wp:simplePos x="0" y="0"/>
                <wp:positionH relativeFrom="column">
                  <wp:posOffset>2331720</wp:posOffset>
                </wp:positionH>
                <wp:positionV relativeFrom="paragraph">
                  <wp:posOffset>168910</wp:posOffset>
                </wp:positionV>
                <wp:extent cx="1143000" cy="457200"/>
                <wp:effectExtent l="7620" t="6985" r="11430" b="12065"/>
                <wp:wrapNone/>
                <wp:docPr id="3830" name="AutoShape 268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43000" cy="457200"/>
                        </a:xfrm>
                        <a:prstGeom prst="roundRect">
                          <a:avLst>
                            <a:gd name="adj" fmla="val 16667"/>
                          </a:avLst>
                        </a:prstGeom>
                        <a:solidFill>
                          <a:srgbClr val="FFFFFF"/>
                        </a:solidFill>
                        <a:ln w="9525">
                          <a:solidFill>
                            <a:srgbClr val="000000"/>
                          </a:solidFill>
                          <a:round/>
                          <a:headEnd/>
                          <a:tailEnd/>
                        </a:ln>
                      </wps:spPr>
                      <wps:txbx>
                        <w:txbxContent>
                          <w:p w14:paraId="34810AC4" w14:textId="77777777" w:rsidR="006A5267" w:rsidRDefault="006A5267" w:rsidP="008B4B2B">
                            <w:pPr>
                              <w:spacing w:line="240" w:lineRule="exact"/>
                              <w:rPr>
                                <w:rFonts w:ascii="ＭＳ ゴシック" w:eastAsia="ＭＳ ゴシック" w:hAnsi="ＭＳ ゴシック"/>
                                <w:sz w:val="20"/>
                                <w:szCs w:val="20"/>
                              </w:rPr>
                            </w:pPr>
                            <w:r>
                              <w:rPr>
                                <w:rFonts w:ascii="ＭＳ ゴシック" w:eastAsia="ＭＳ ゴシック" w:hAnsi="ＭＳ ゴシック" w:hint="eastAsia"/>
                                <w:sz w:val="20"/>
                                <w:szCs w:val="20"/>
                              </w:rPr>
                              <w:t>義援物資</w:t>
                            </w:r>
                          </w:p>
                          <w:p w14:paraId="5586E049" w14:textId="77777777" w:rsidR="006A5267" w:rsidRPr="00B12A81" w:rsidRDefault="006A5267" w:rsidP="008B4B2B">
                            <w:pPr>
                              <w:spacing w:line="240" w:lineRule="exact"/>
                              <w:rPr>
                                <w:rFonts w:ascii="ＭＳ ゴシック" w:eastAsia="ＭＳ ゴシック" w:hAnsi="ＭＳ ゴシック"/>
                                <w:sz w:val="20"/>
                                <w:szCs w:val="20"/>
                              </w:rPr>
                            </w:pPr>
                            <w:r>
                              <w:rPr>
                                <w:rFonts w:ascii="ＭＳ ゴシック" w:eastAsia="ＭＳ ゴシック" w:hAnsi="ＭＳ ゴシック" w:hint="eastAsia"/>
                                <w:sz w:val="20"/>
                                <w:szCs w:val="20"/>
                              </w:rPr>
                              <w:t>配分委員会等</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roundrect w14:anchorId="242A758C" id="AutoShape 2688" o:spid="_x0000_s1581" style="position:absolute;left:0;text-align:left;margin-left:183.6pt;margin-top:13.3pt;width:90pt;height:36pt;z-index:2534154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">
                <v:textbox inset="5.85pt,.7pt,5.85pt,.7pt">
                  <w:txbxContent>
                    <w:p w14:paraId="34810AC4" w14:textId="77777777" w:rsidR="006A5267" w:rsidRDefault="006A5267" w:rsidP="008B4B2B">
                      <w:pPr>
                        <w:spacing w:line="240" w:lineRule="exact"/>
                        <w:rPr>
                          <w:rFonts w:ascii="ＭＳ ゴシック" w:eastAsia="ＭＳ ゴシック" w:hAnsi="ＭＳ ゴシック"/>
                          <w:sz w:val="20"/>
                          <w:szCs w:val="20"/>
                        </w:rPr>
                      </w:pPr>
                      <w:r>
                        <w:rPr>
                          <w:rFonts w:ascii="ＭＳ ゴシック" w:eastAsia="ＭＳ ゴシック" w:hAnsi="ＭＳ ゴシック" w:hint="eastAsia"/>
                          <w:sz w:val="20"/>
                          <w:szCs w:val="20"/>
                        </w:rPr>
                        <w:t>義援物資</w:t>
                      </w:r>
                    </w:p>
                    <w:p w14:paraId="5586E049" w14:textId="77777777" w:rsidR="006A5267" w:rsidRPr="00B12A81" w:rsidRDefault="006A5267" w:rsidP="008B4B2B">
                      <w:pPr>
                        <w:spacing w:line="240" w:lineRule="exact"/>
                        <w:rPr>
                          <w:rFonts w:ascii="ＭＳ ゴシック" w:eastAsia="ＭＳ ゴシック" w:hAnsi="ＭＳ ゴシック"/>
                          <w:sz w:val="20"/>
                          <w:szCs w:val="20"/>
                        </w:rPr>
                      </w:pPr>
                      <w:r>
                        <w:rPr>
                          <w:rFonts w:ascii="ＭＳ ゴシック" w:eastAsia="ＭＳ ゴシック" w:hAnsi="ＭＳ ゴシック" w:hint="eastAsia"/>
                          <w:sz w:val="20"/>
                          <w:szCs w:val="20"/>
                        </w:rPr>
                        <w:t>配分委員会等</w:t>
                      </w:r>
                    </w:p>
                  </w:txbxContent>
                </v:textbox>
              </v:roundrect>
            </w:pict>
          </mc:Fallback>
        </mc:AlternateContent>
      </w:r>
    </w:p>
    <w:p w14:paraId="69839A46" w14:textId="77777777" w:rsidR="008B4B2B" w:rsidRPr="008A3EDE" w:rsidRDefault="008B4B2B" w:rsidP="008B4B2B">
      <w:pPr>
        <w:pStyle w:val="a0"/>
        <w:rPr>
          <w:rFonts w:hAnsi="ＭＳ 明朝"/>
          <w:sz w:val="22"/>
          <w:szCs w:val="22"/>
        </w:rPr>
      </w:pPr>
      <w:r w:rsidRPr="008A3EDE">
        <w:rPr>
          <w:rFonts w:hAnsi="ＭＳ 明朝" w:hint="eastAsia"/>
          <w:noProof/>
          <w:sz w:val="22"/>
          <w:szCs w:val="22"/>
        </w:rPr>
        <mc:AlternateContent>
          <mc:Choice Requires="wps">
            <w:drawing>
              <wp:anchor distT="0" distB="0" distL="114300" distR="114300" simplePos="0" relativeHeight="253420544" behindDoc="0" locked="0" layoutInCell="1" allowOverlap="1" wp14:anchorId="7F9E7F60" wp14:editId="7FDB345A">
                <wp:simplePos x="0" y="0"/>
                <wp:positionH relativeFrom="column">
                  <wp:posOffset>502920</wp:posOffset>
                </wp:positionH>
                <wp:positionV relativeFrom="paragraph">
                  <wp:posOffset>54610</wp:posOffset>
                </wp:positionV>
                <wp:extent cx="457200" cy="0"/>
                <wp:effectExtent l="7620" t="54610" r="20955" b="59690"/>
                <wp:wrapNone/>
                <wp:docPr id="3829" name="Line 269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57200" cy="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line w14:anchorId="3047F5E1" id="Line 2693" o:spid="_x0000_s1026" style="position:absolute;left:0;text-align:left;z-index:2534205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9.6pt,4.3pt" to="75.6pt,4.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">
                <v:stroke endarrow="block"/>
              </v:line>
            </w:pict>
          </mc:Fallback>
        </mc:AlternateContent>
      </w:r>
    </w:p>
    <w:p w14:paraId="78C258A0" w14:textId="77777777" w:rsidR="008B4B2B" w:rsidRPr="008A3EDE" w:rsidRDefault="008B4B2B" w:rsidP="008B4B2B">
      <w:pPr>
        <w:pStyle w:val="a0"/>
        <w:rPr>
          <w:rFonts w:hAnsi="ＭＳ 明朝"/>
          <w:sz w:val="22"/>
          <w:szCs w:val="22"/>
        </w:rPr>
      </w:pPr>
    </w:p>
    <w:p w14:paraId="52CEF33A" w14:textId="77777777" w:rsidR="008B4B2B" w:rsidRPr="008A3EDE" w:rsidRDefault="008B4B2B" w:rsidP="008B4B2B">
      <w:pPr>
        <w:pStyle w:val="a0"/>
        <w:rPr>
          <w:rFonts w:hAnsi="ＭＳ 明朝"/>
          <w:sz w:val="22"/>
          <w:szCs w:val="22"/>
        </w:rPr>
      </w:pPr>
    </w:p>
    <w:p w14:paraId="6855D0B5" w14:textId="77777777" w:rsidR="008B4B2B" w:rsidRPr="008A3EDE" w:rsidRDefault="008B4B2B" w:rsidP="008B4B2B">
      <w:pPr>
        <w:pStyle w:val="a0"/>
        <w:rPr>
          <w:rFonts w:hAnsi="ＭＳ 明朝"/>
          <w:sz w:val="22"/>
          <w:szCs w:val="22"/>
        </w:rPr>
      </w:pPr>
    </w:p>
    <w:p w14:paraId="3F34AB63" w14:textId="77777777" w:rsidR="008B4B2B" w:rsidRPr="008A3EDE" w:rsidRDefault="008B4B2B" w:rsidP="008B4B2B">
      <w:pPr>
        <w:pStyle w:val="a0"/>
        <w:rPr>
          <w:rFonts w:hAnsi="ＭＳ 明朝"/>
          <w:sz w:val="22"/>
          <w:szCs w:val="22"/>
        </w:rPr>
      </w:pPr>
    </w:p>
    <w:p w14:paraId="629FC390" w14:textId="77777777" w:rsidR="008B4B2B" w:rsidRPr="008A3EDE" w:rsidRDefault="008B4B2B" w:rsidP="008B4B2B">
      <w:pPr>
        <w:pStyle w:val="a0"/>
        <w:rPr>
          <w:rFonts w:hAnsi="ＭＳ 明朝"/>
          <w:sz w:val="22"/>
          <w:szCs w:val="22"/>
        </w:rPr>
      </w:pPr>
    </w:p>
    <w:p w14:paraId="261E59E9" w14:textId="77777777" w:rsidR="008B4B2B" w:rsidRPr="008A3EDE" w:rsidRDefault="008B4B2B" w:rsidP="008B4B2B">
      <w:pPr>
        <w:pStyle w:val="a0"/>
        <w:ind w:firstLineChars="300" w:firstLine="663"/>
        <w:rPr>
          <w:rFonts w:ascii="ＭＳ ゴシック" w:eastAsia="ＭＳ ゴシック" w:hAnsi="ＭＳ ゴシック"/>
          <w:sz w:val="22"/>
          <w:szCs w:val="22"/>
          <w:u w:val="single"/>
        </w:rPr>
      </w:pPr>
      <w:r w:rsidRPr="008A3EDE">
        <w:rPr>
          <w:rFonts w:ascii="ＭＳ ゴシック" w:eastAsia="ＭＳ ゴシック" w:hAnsi="ＭＳ ゴシック" w:hint="eastAsia"/>
          <w:sz w:val="22"/>
          <w:szCs w:val="22"/>
          <w:u w:val="single"/>
        </w:rPr>
        <w:t>３　義援物資の受付・配分</w:t>
      </w:r>
      <w:r w:rsidRPr="008A3EDE">
        <w:rPr>
          <w:rFonts w:ascii="ＭＳ ゴシック" w:eastAsia="ＭＳ ゴシック" w:hAnsi="ＭＳ ゴシック" w:hint="eastAsia"/>
          <w:sz w:val="22"/>
          <w:szCs w:val="22"/>
          <w:u w:val="single"/>
          <w:shd w:val="pct15" w:color="auto" w:fill="FFFFFF"/>
        </w:rPr>
        <w:t>【第３フェーズ～】</w:t>
      </w:r>
    </w:p>
    <w:p w14:paraId="756BF703" w14:textId="77777777" w:rsidR="008B4B2B" w:rsidRPr="008A3EDE" w:rsidRDefault="008B4B2B" w:rsidP="008B4B2B">
      <w:pPr>
        <w:pStyle w:val="a0"/>
        <w:ind w:firstLineChars="500" w:firstLine="1105"/>
        <w:rPr>
          <w:rFonts w:ascii="ＭＳ ゴシック" w:eastAsia="ＭＳ ゴシック" w:hAnsi="ＭＳ ゴシック"/>
          <w:sz w:val="22"/>
          <w:szCs w:val="22"/>
          <w:bdr w:val="single" w:sz="4" w:space="0" w:color="auto"/>
        </w:rPr>
      </w:pPr>
      <w:r w:rsidRPr="008A3EDE">
        <w:rPr>
          <w:rFonts w:ascii="ＭＳ ゴシック" w:eastAsia="ＭＳ ゴシック" w:hAnsi="ＭＳ ゴシック" w:hint="eastAsia"/>
          <w:sz w:val="22"/>
          <w:szCs w:val="22"/>
          <w:bdr w:val="single" w:sz="4" w:space="0" w:color="auto"/>
        </w:rPr>
        <w:t>主たる担当：危機管理室</w:t>
      </w:r>
    </w:p>
    <w:p w14:paraId="49F03735" w14:textId="77777777" w:rsidR="008B4B2B" w:rsidRPr="008A3EDE" w:rsidRDefault="008B4B2B" w:rsidP="008B4B2B">
      <w:pPr>
        <w:pStyle w:val="a0"/>
        <w:ind w:firstLineChars="300" w:firstLine="663"/>
        <w:rPr>
          <w:rFonts w:hAnsi="ＭＳ 明朝"/>
          <w:sz w:val="22"/>
          <w:szCs w:val="22"/>
        </w:rPr>
      </w:pPr>
      <w:r w:rsidRPr="008A3EDE">
        <w:rPr>
          <w:rFonts w:hAnsi="ＭＳ 明朝" w:hint="eastAsia"/>
          <w:sz w:val="22"/>
          <w:szCs w:val="22"/>
        </w:rPr>
        <w:t xml:space="preserve">　(1)　義援物資の受付</w:t>
      </w:r>
    </w:p>
    <w:p w14:paraId="1F82D5AE" w14:textId="77777777" w:rsidR="008B4B2B" w:rsidRPr="008A3EDE" w:rsidRDefault="008B4B2B" w:rsidP="008B4B2B">
      <w:pPr>
        <w:pStyle w:val="a0"/>
        <w:rPr>
          <w:rFonts w:hAnsi="ＭＳ 明朝"/>
          <w:sz w:val="22"/>
          <w:szCs w:val="22"/>
        </w:rPr>
      </w:pPr>
      <w:r w:rsidRPr="008A3EDE">
        <w:rPr>
          <w:rFonts w:hAnsi="ＭＳ 明朝" w:hint="eastAsia"/>
          <w:sz w:val="22"/>
          <w:szCs w:val="22"/>
        </w:rPr>
        <w:t xml:space="preserve">　　　　　　 災害対策課長は、府に寄託される義援物資の受付を行うものとする。</w:t>
      </w:r>
    </w:p>
    <w:p w14:paraId="794C3D7D" w14:textId="77777777" w:rsidR="007C27CC" w:rsidRPr="008A3EDE" w:rsidRDefault="007C27CC" w:rsidP="008B4B2B">
      <w:pPr>
        <w:pStyle w:val="a0"/>
        <w:rPr>
          <w:rFonts w:hAnsi="ＭＳ 明朝"/>
          <w:sz w:val="22"/>
          <w:szCs w:val="22"/>
        </w:rPr>
      </w:pPr>
      <w:r w:rsidRPr="008A3EDE">
        <w:rPr>
          <w:rFonts w:hAnsi="ＭＳ 明朝" w:hint="eastAsia"/>
          <w:sz w:val="22"/>
          <w:szCs w:val="22"/>
        </w:rPr>
        <w:t xml:space="preserve">　　　　　　 なお、個人から寄託される物資は原則、受付</w:t>
      </w:r>
      <w:r w:rsidR="003D5EDE" w:rsidRPr="008A3EDE">
        <w:rPr>
          <w:rFonts w:hAnsi="ＭＳ 明朝" w:hint="eastAsia"/>
          <w:sz w:val="22"/>
          <w:szCs w:val="22"/>
        </w:rPr>
        <w:t>を行わないものと</w:t>
      </w:r>
      <w:r w:rsidRPr="008A3EDE">
        <w:rPr>
          <w:rFonts w:hAnsi="ＭＳ 明朝" w:hint="eastAsia"/>
          <w:sz w:val="22"/>
          <w:szCs w:val="22"/>
        </w:rPr>
        <w:t>する。</w:t>
      </w:r>
    </w:p>
    <w:p w14:paraId="7CDFD6F9" w14:textId="77777777" w:rsidR="008B4B2B" w:rsidRPr="008A3EDE" w:rsidRDefault="008B4B2B" w:rsidP="008B4B2B">
      <w:pPr>
        <w:pStyle w:val="a0"/>
        <w:rPr>
          <w:rFonts w:hAnsi="ＭＳ 明朝"/>
          <w:sz w:val="22"/>
          <w:szCs w:val="22"/>
        </w:rPr>
      </w:pPr>
      <w:r w:rsidRPr="008A3EDE">
        <w:rPr>
          <w:rFonts w:hAnsi="ＭＳ 明朝" w:hint="eastAsia"/>
          <w:sz w:val="22"/>
          <w:szCs w:val="22"/>
        </w:rPr>
        <w:t xml:space="preserve">　      (2)　義援物資の配分及び輸送</w:t>
      </w:r>
    </w:p>
    <w:p w14:paraId="32470452" w14:textId="77777777" w:rsidR="008B4B2B" w:rsidRPr="008A3EDE" w:rsidRDefault="008B4B2B" w:rsidP="008B4B2B">
      <w:pPr>
        <w:pStyle w:val="a0"/>
        <w:ind w:firstLineChars="500" w:firstLine="1105"/>
        <w:rPr>
          <w:rFonts w:hAnsi="ＭＳ 明朝"/>
          <w:sz w:val="22"/>
          <w:szCs w:val="22"/>
        </w:rPr>
      </w:pPr>
      <w:r w:rsidRPr="008A3EDE">
        <w:rPr>
          <w:rFonts w:hAnsi="ＭＳ 明朝" w:hint="eastAsia"/>
          <w:sz w:val="22"/>
          <w:szCs w:val="22"/>
        </w:rPr>
        <w:t>①　義援物資の使途及び配分方法は、関係する部局等が協議して決定する。</w:t>
      </w:r>
    </w:p>
    <w:p w14:paraId="697D8CFC" w14:textId="77777777" w:rsidR="008B4B2B" w:rsidRPr="008A3EDE" w:rsidRDefault="008B4B2B" w:rsidP="008B4B2B">
      <w:pPr>
        <w:pStyle w:val="a0"/>
        <w:ind w:firstLineChars="500" w:firstLine="1105"/>
        <w:rPr>
          <w:rFonts w:hAnsi="ＭＳ 明朝"/>
          <w:sz w:val="22"/>
          <w:szCs w:val="22"/>
        </w:rPr>
      </w:pPr>
      <w:r w:rsidRPr="008A3EDE">
        <w:rPr>
          <w:rFonts w:hAnsi="ＭＳ 明朝" w:hint="eastAsia"/>
          <w:sz w:val="22"/>
          <w:szCs w:val="22"/>
        </w:rPr>
        <w:t>②　災害対策課長は、市町村等への義援物資の輸送を行うものとする。</w:t>
      </w:r>
    </w:p>
    <w:p w14:paraId="10969F87" w14:textId="77777777" w:rsidR="008B4B2B" w:rsidRPr="008A3EDE" w:rsidRDefault="008B4B2B" w:rsidP="008B4B2B">
      <w:pPr>
        <w:pStyle w:val="a0"/>
        <w:ind w:leftChars="525" w:left="1329" w:hangingChars="100" w:hanging="221"/>
        <w:rPr>
          <w:sz w:val="22"/>
          <w:szCs w:val="22"/>
        </w:rPr>
      </w:pPr>
      <w:r w:rsidRPr="008A3EDE">
        <w:rPr>
          <w:rFonts w:hAnsi="ＭＳ 明朝" w:hint="eastAsia"/>
          <w:sz w:val="22"/>
          <w:szCs w:val="22"/>
        </w:rPr>
        <w:t xml:space="preserve">　　なお、輸送にあたっては、</w:t>
      </w:r>
      <w:r w:rsidRPr="008A3EDE">
        <w:rPr>
          <w:rFonts w:hint="eastAsia"/>
          <w:sz w:val="22"/>
          <w:szCs w:val="22"/>
        </w:rPr>
        <w:t>「災害発生時等の物資等の緊急輸送に関する協定」及び「災害時における救援物資の受入及び配送等に関する協定」などを踏まえ、行うものとする。</w:t>
      </w:r>
    </w:p>
    <w:p w14:paraId="7D72BACE" w14:textId="77777777" w:rsidR="008B4B2B" w:rsidRPr="008A3EDE" w:rsidRDefault="008B4B2B" w:rsidP="008B4B2B">
      <w:pPr>
        <w:pStyle w:val="a0"/>
        <w:rPr>
          <w:rFonts w:hAnsi="ＭＳ 明朝"/>
          <w:sz w:val="22"/>
          <w:szCs w:val="22"/>
        </w:rPr>
      </w:pPr>
      <w:r w:rsidRPr="008A3EDE">
        <w:rPr>
          <w:rFonts w:hAnsi="ＭＳ 明朝" w:hint="eastAsia"/>
          <w:sz w:val="22"/>
          <w:szCs w:val="22"/>
        </w:rPr>
        <w:t xml:space="preserve">　　　　(3)　義援物資の保管</w:t>
      </w:r>
    </w:p>
    <w:p w14:paraId="35757CF4" w14:textId="77777777" w:rsidR="008B4B2B" w:rsidRPr="008A3EDE" w:rsidRDefault="008B4B2B" w:rsidP="008B4B2B">
      <w:pPr>
        <w:pStyle w:val="a0"/>
        <w:ind w:left="1216" w:hangingChars="550" w:hanging="1216"/>
        <w:rPr>
          <w:rFonts w:hAnsi="ＭＳ 明朝"/>
          <w:sz w:val="22"/>
          <w:szCs w:val="22"/>
        </w:rPr>
      </w:pPr>
      <w:r w:rsidRPr="008A3EDE">
        <w:rPr>
          <w:rFonts w:hAnsi="ＭＳ 明朝" w:hint="eastAsia"/>
          <w:sz w:val="22"/>
          <w:szCs w:val="22"/>
        </w:rPr>
        <w:t xml:space="preserve">　　　　　　 災害対策課長は、寄託された義援物資を直ちに配分することが困難な場合は、広域防災拠点の他、「災害時における救援物資の保管等に関する協定」等に基づいて手配する一時保管場所に保管するものとする。</w:t>
      </w:r>
    </w:p>
    <w:p w14:paraId="774769E3" w14:textId="77777777" w:rsidR="008B4B2B" w:rsidRPr="008A3EDE" w:rsidRDefault="008B4B2B" w:rsidP="008B4B2B">
      <w:pPr>
        <w:pStyle w:val="a0"/>
        <w:rPr>
          <w:rFonts w:ascii="ＭＳ ゴシック" w:eastAsia="ＭＳ ゴシック" w:hAnsi="ＭＳ ゴシック"/>
          <w:sz w:val="22"/>
          <w:szCs w:val="22"/>
        </w:rPr>
      </w:pPr>
    </w:p>
    <w:p w14:paraId="09B63416" w14:textId="765AA7CA" w:rsidR="00596CB1" w:rsidRPr="008A3EDE" w:rsidRDefault="00596CB1">
      <w:pPr>
        <w:widowControl/>
        <w:jc w:val="left"/>
        <w:rPr>
          <w:rFonts w:ascii="ＭＳ ゴシック" w:eastAsia="ＭＳ ゴシック" w:hAnsi="ＭＳ ゴシック" w:cs="Courier New"/>
          <w:sz w:val="22"/>
          <w:szCs w:val="22"/>
        </w:rPr>
      </w:pPr>
      <w:r w:rsidRPr="008A3EDE">
        <w:rPr>
          <w:rFonts w:ascii="ＭＳ ゴシック" w:eastAsia="ＭＳ ゴシック" w:hAnsi="ＭＳ ゴシック"/>
          <w:sz w:val="22"/>
          <w:szCs w:val="22"/>
        </w:rPr>
        <w:br w:type="page"/>
      </w:r>
    </w:p>
    <w:p w14:paraId="3B4F09AB" w14:textId="77777777" w:rsidR="008B4B2B" w:rsidRPr="008A3EDE" w:rsidRDefault="008B4B2B" w:rsidP="008B4B2B">
      <w:pPr>
        <w:pStyle w:val="a0"/>
        <w:rPr>
          <w:rFonts w:ascii="ＭＳ ゴシック" w:eastAsia="ＭＳ ゴシック" w:hAnsi="ＭＳ ゴシック"/>
          <w:sz w:val="22"/>
          <w:szCs w:val="22"/>
          <w:u w:val="single"/>
          <w:shd w:val="pct15" w:color="auto" w:fill="FFFFFF"/>
        </w:rPr>
      </w:pPr>
      <w:r w:rsidRPr="008A3EDE">
        <w:rPr>
          <w:rFonts w:ascii="ＭＳ ゴシック" w:eastAsia="ＭＳ ゴシック" w:hAnsi="ＭＳ ゴシック" w:hint="eastAsia"/>
          <w:sz w:val="22"/>
          <w:szCs w:val="22"/>
        </w:rPr>
        <w:lastRenderedPageBreak/>
        <w:t xml:space="preserve">　　　</w:t>
      </w:r>
      <w:r w:rsidRPr="008A3EDE">
        <w:rPr>
          <w:rFonts w:ascii="ＭＳ ゴシック" w:eastAsia="ＭＳ ゴシック" w:hAnsi="ＭＳ ゴシック" w:hint="eastAsia"/>
          <w:sz w:val="22"/>
          <w:szCs w:val="22"/>
          <w:u w:val="single"/>
        </w:rPr>
        <w:t>４　海外からの支援の受入れ</w:t>
      </w:r>
      <w:r w:rsidRPr="008A3EDE">
        <w:rPr>
          <w:rFonts w:ascii="ＭＳ ゴシック" w:eastAsia="ＭＳ ゴシック" w:hAnsi="ＭＳ ゴシック" w:hint="eastAsia"/>
          <w:sz w:val="22"/>
          <w:szCs w:val="22"/>
          <w:u w:val="single"/>
          <w:shd w:val="pct15" w:color="auto" w:fill="FFFFFF"/>
        </w:rPr>
        <w:t>【第３フェーズ～】</w:t>
      </w:r>
    </w:p>
    <w:p w14:paraId="6232C361" w14:textId="77777777" w:rsidR="008B4B2B" w:rsidRPr="008A3EDE" w:rsidRDefault="008B4B2B" w:rsidP="008B4B2B">
      <w:pPr>
        <w:pStyle w:val="a0"/>
        <w:ind w:firstLineChars="500" w:firstLine="1105"/>
        <w:rPr>
          <w:rFonts w:ascii="ＭＳ ゴシック" w:eastAsia="ＭＳ ゴシック" w:hAnsi="ＭＳ ゴシック"/>
          <w:sz w:val="22"/>
          <w:szCs w:val="22"/>
          <w:bdr w:val="single" w:sz="4" w:space="0" w:color="auto"/>
        </w:rPr>
      </w:pPr>
      <w:r w:rsidRPr="008A3EDE">
        <w:rPr>
          <w:rFonts w:ascii="ＭＳ ゴシック" w:eastAsia="ＭＳ ゴシック" w:hAnsi="ＭＳ ゴシック" w:hint="eastAsia"/>
          <w:sz w:val="22"/>
          <w:szCs w:val="22"/>
          <w:bdr w:val="single" w:sz="4" w:space="0" w:color="auto"/>
        </w:rPr>
        <w:t>主たる担当：国際課、危機管理室</w:t>
      </w:r>
    </w:p>
    <w:p w14:paraId="507E4D68" w14:textId="77777777" w:rsidR="008B4B2B" w:rsidRPr="008A3EDE" w:rsidRDefault="008B4B2B" w:rsidP="008B4B2B">
      <w:pPr>
        <w:pStyle w:val="a0"/>
        <w:ind w:firstLineChars="300" w:firstLine="663"/>
        <w:rPr>
          <w:rFonts w:hAnsi="ＭＳ 明朝"/>
          <w:sz w:val="22"/>
          <w:szCs w:val="22"/>
        </w:rPr>
      </w:pPr>
      <w:r w:rsidRPr="008A3EDE">
        <w:rPr>
          <w:rFonts w:ascii="ＭＳ ゴシック" w:eastAsia="ＭＳ ゴシック" w:hAnsi="ＭＳ ゴシック" w:hint="eastAsia"/>
          <w:sz w:val="22"/>
          <w:szCs w:val="22"/>
        </w:rPr>
        <w:t xml:space="preserve">　</w:t>
      </w:r>
      <w:r w:rsidRPr="008A3EDE">
        <w:rPr>
          <w:rFonts w:hAnsi="ＭＳ 明朝" w:hint="eastAsia"/>
          <w:sz w:val="22"/>
          <w:szCs w:val="22"/>
        </w:rPr>
        <w:t>(1)　国との連絡調整</w:t>
      </w:r>
    </w:p>
    <w:p w14:paraId="186C8193" w14:textId="77777777" w:rsidR="008B4B2B" w:rsidRPr="008A3EDE" w:rsidRDefault="008B4B2B" w:rsidP="008B4B2B">
      <w:pPr>
        <w:pStyle w:val="a0"/>
        <w:ind w:left="1216" w:hangingChars="550" w:hanging="1216"/>
        <w:rPr>
          <w:rFonts w:hAnsi="ＭＳ 明朝"/>
          <w:sz w:val="22"/>
          <w:szCs w:val="22"/>
        </w:rPr>
      </w:pPr>
      <w:r w:rsidRPr="008A3EDE">
        <w:rPr>
          <w:rFonts w:hAnsi="ＭＳ 明朝" w:hint="eastAsia"/>
          <w:sz w:val="22"/>
          <w:szCs w:val="22"/>
        </w:rPr>
        <w:t xml:space="preserve">　　　　　　 国際課長は、外務省及び在外公館等を通じ、海外からの支援の申し出があった場合、被災状況の概要、想定されるニーズを危機管理室に確認のうえ連絡し、外務省及び在外公館等の申し出に迅速に対応する。</w:t>
      </w:r>
    </w:p>
    <w:p w14:paraId="15B3A25F" w14:textId="77777777" w:rsidR="008B4B2B" w:rsidRPr="008A3EDE" w:rsidRDefault="008B4B2B" w:rsidP="008B4B2B">
      <w:pPr>
        <w:pStyle w:val="a0"/>
        <w:ind w:leftChars="600" w:left="1267" w:firstLineChars="100" w:firstLine="221"/>
        <w:rPr>
          <w:rFonts w:ascii="ＭＳ ゴシック" w:eastAsia="ＭＳ ゴシック" w:hAnsi="ＭＳ ゴシック"/>
          <w:sz w:val="22"/>
          <w:szCs w:val="22"/>
        </w:rPr>
      </w:pPr>
      <w:r w:rsidRPr="008A3EDE">
        <w:rPr>
          <w:rFonts w:hAnsi="ＭＳ 明朝" w:hint="eastAsia"/>
          <w:sz w:val="22"/>
          <w:szCs w:val="22"/>
        </w:rPr>
        <w:t>災害対策課長は、海外からの支援が予想される場合、市町村と連携して、被災状況の概要、想定されるニーズを把握し、外務省及び在外公館の求めに応じ国際課を通じて情報提供する。</w:t>
      </w:r>
    </w:p>
    <w:p w14:paraId="2768D24E" w14:textId="77777777" w:rsidR="008B4B2B" w:rsidRPr="008A3EDE" w:rsidRDefault="008B4B2B" w:rsidP="008B4B2B">
      <w:pPr>
        <w:pStyle w:val="a0"/>
        <w:ind w:leftChars="500" w:left="1055" w:firstLineChars="200" w:firstLine="442"/>
        <w:rPr>
          <w:rFonts w:hAnsi="ＭＳ 明朝"/>
          <w:sz w:val="22"/>
          <w:szCs w:val="22"/>
        </w:rPr>
      </w:pPr>
    </w:p>
    <w:p w14:paraId="7B58D239" w14:textId="77777777" w:rsidR="008B4B2B" w:rsidRPr="008A3EDE" w:rsidRDefault="008B4B2B" w:rsidP="008B4B2B">
      <w:pPr>
        <w:pStyle w:val="a0"/>
        <w:rPr>
          <w:rFonts w:hAnsi="ＭＳ 明朝"/>
          <w:sz w:val="22"/>
          <w:szCs w:val="22"/>
        </w:rPr>
      </w:pPr>
      <w:r w:rsidRPr="008A3EDE">
        <w:rPr>
          <w:rFonts w:hAnsi="ＭＳ 明朝" w:hint="eastAsia"/>
          <w:sz w:val="22"/>
          <w:szCs w:val="22"/>
        </w:rPr>
        <w:t xml:space="preserve">　      (2)　支援の受入れ</w:t>
      </w:r>
    </w:p>
    <w:p w14:paraId="1985D762" w14:textId="77777777" w:rsidR="008B4B2B" w:rsidRPr="008A3EDE" w:rsidRDefault="008B4B2B" w:rsidP="008B4B2B">
      <w:pPr>
        <w:pStyle w:val="a0"/>
        <w:ind w:leftChars="531" w:left="1159" w:hangingChars="17" w:hanging="38"/>
        <w:rPr>
          <w:rFonts w:hAnsi="ＭＳ 明朝"/>
          <w:sz w:val="22"/>
          <w:szCs w:val="22"/>
        </w:rPr>
      </w:pPr>
      <w:r w:rsidRPr="008A3EDE">
        <w:rPr>
          <w:rFonts w:hAnsi="ＭＳ 明朝" w:hint="eastAsia"/>
          <w:sz w:val="22"/>
          <w:szCs w:val="22"/>
        </w:rPr>
        <w:t xml:space="preserve">　 国際課長は、支援内容、到着予定日時、場所、活動日程等の連絡調整を行う</w:t>
      </w:r>
    </w:p>
    <w:p w14:paraId="3EA49C0D" w14:textId="77777777" w:rsidR="008B4B2B" w:rsidRPr="008A3EDE" w:rsidRDefault="008B4B2B" w:rsidP="008B4B2B">
      <w:pPr>
        <w:pStyle w:val="a0"/>
        <w:ind w:leftChars="581" w:left="1226" w:firstLine="1"/>
        <w:rPr>
          <w:rFonts w:ascii="ＭＳ ゴシック" w:eastAsia="ＭＳ ゴシック" w:hAnsi="ＭＳ ゴシック"/>
          <w:sz w:val="22"/>
          <w:szCs w:val="22"/>
        </w:rPr>
      </w:pPr>
      <w:r w:rsidRPr="008A3EDE">
        <w:rPr>
          <w:rFonts w:hAnsi="ＭＳ 明朝" w:hint="eastAsia"/>
          <w:sz w:val="22"/>
          <w:szCs w:val="22"/>
        </w:rPr>
        <w:t>とともに、被災地のニーズと受入れ体制を危機管理室に確認のうえ、必要に応じて、案内者・通訳の確保を行う。</w:t>
      </w:r>
    </w:p>
    <w:p w14:paraId="4C036335" w14:textId="77777777" w:rsidR="008B4B2B" w:rsidRPr="008A3EDE" w:rsidRDefault="008B4B2B" w:rsidP="008B4B2B">
      <w:pPr>
        <w:pStyle w:val="a0"/>
        <w:ind w:leftChars="500" w:left="1276" w:hangingChars="100" w:hanging="221"/>
        <w:rPr>
          <w:rFonts w:hAnsi="ＭＳ 明朝"/>
          <w:sz w:val="22"/>
          <w:szCs w:val="22"/>
        </w:rPr>
      </w:pPr>
      <w:r w:rsidRPr="008A3EDE">
        <w:rPr>
          <w:rFonts w:ascii="ＭＳ ゴシック" w:eastAsia="ＭＳ ゴシック" w:hAnsi="ＭＳ ゴシック" w:hint="eastAsia"/>
          <w:sz w:val="22"/>
          <w:szCs w:val="22"/>
        </w:rPr>
        <w:t xml:space="preserve">　　</w:t>
      </w:r>
      <w:r w:rsidRPr="008A3EDE">
        <w:rPr>
          <w:rFonts w:hAnsi="ＭＳ 明朝" w:hint="eastAsia"/>
          <w:sz w:val="22"/>
          <w:szCs w:val="22"/>
        </w:rPr>
        <w:t>災害対策課長は、被災地のニーズと受け入れ体制を確認し、国際課と連絡調整を行うとともに、受入の準備を行い、必要に応じて活動拠点等の確保を行う。</w:t>
      </w:r>
    </w:p>
    <w:p w14:paraId="3901C2D8" w14:textId="56117EED" w:rsidR="00610A64" w:rsidRPr="008A3EDE" w:rsidRDefault="00610A64">
      <w:pPr>
        <w:widowControl/>
        <w:jc w:val="left"/>
        <w:rPr>
          <w:rFonts w:ascii="ＭＳ ゴシック" w:eastAsia="ＭＳ ゴシック" w:hAnsi="Courier New" w:cs="Courier New"/>
          <w:sz w:val="22"/>
          <w:szCs w:val="22"/>
        </w:rPr>
      </w:pPr>
      <w:r w:rsidRPr="008A3EDE">
        <w:rPr>
          <w:rFonts w:ascii="ＭＳ ゴシック" w:eastAsia="ＭＳ ゴシック"/>
          <w:sz w:val="22"/>
          <w:szCs w:val="22"/>
        </w:rPr>
        <w:br w:type="page"/>
      </w:r>
    </w:p>
    <w:p w14:paraId="1257F642" w14:textId="555F463C" w:rsidR="008B4B2B" w:rsidRPr="008A3EDE" w:rsidRDefault="008B4B2B" w:rsidP="001F65EB">
      <w:pPr>
        <w:pStyle w:val="a0"/>
        <w:ind w:firstLineChars="200" w:firstLine="442"/>
        <w:outlineLvl w:val="2"/>
        <w:rPr>
          <w:rFonts w:ascii="ＭＳ ゴシック" w:eastAsia="ＭＳ ゴシック"/>
          <w:sz w:val="22"/>
          <w:szCs w:val="22"/>
          <w:u w:val="double"/>
        </w:rPr>
      </w:pPr>
      <w:bookmarkStart w:id="349" w:name="_Toc122436957"/>
      <w:bookmarkStart w:id="350" w:name="_Toc222486651"/>
      <w:bookmarkStart w:id="351" w:name="_Toc242870321"/>
      <w:r w:rsidRPr="008A3EDE">
        <w:rPr>
          <w:rFonts w:ascii="ＭＳ ゴシック" w:eastAsia="ＭＳ ゴシック" w:hint="eastAsia"/>
          <w:sz w:val="22"/>
          <w:szCs w:val="22"/>
          <w:u w:val="double"/>
        </w:rPr>
        <w:lastRenderedPageBreak/>
        <w:t>第６　被災者生活再建支援金の支給</w:t>
      </w:r>
      <w:r w:rsidRPr="008A3EDE">
        <w:rPr>
          <w:rFonts w:ascii="ＭＳ ゴシック" w:eastAsia="ＭＳ ゴシック" w:hAnsi="ＭＳ ゴシック" w:hint="eastAsia"/>
          <w:sz w:val="22"/>
          <w:szCs w:val="22"/>
          <w:u w:val="double"/>
          <w:shd w:val="pct15" w:color="auto" w:fill="FFFFFF"/>
        </w:rPr>
        <w:t>【第６フェーズ～】</w:t>
      </w:r>
      <w:bookmarkEnd w:id="349"/>
      <w:bookmarkEnd w:id="350"/>
      <w:bookmarkEnd w:id="351"/>
    </w:p>
    <w:p w14:paraId="538F03D6" w14:textId="77777777" w:rsidR="008B4B2B" w:rsidRPr="008A3EDE" w:rsidRDefault="008B4B2B" w:rsidP="008B4B2B">
      <w:pPr>
        <w:pStyle w:val="a0"/>
        <w:ind w:firstLineChars="550" w:firstLine="1161"/>
        <w:rPr>
          <w:rFonts w:ascii="ＭＳ ゴシック" w:eastAsia="ＭＳ ゴシック" w:hAnsi="ＭＳ ゴシック"/>
          <w:bdr w:val="single" w:sz="4" w:space="0" w:color="auto"/>
        </w:rPr>
      </w:pPr>
      <w:r w:rsidRPr="008A3EDE">
        <w:rPr>
          <w:rFonts w:ascii="ＭＳ ゴシック" w:eastAsia="ＭＳ ゴシック" w:hAnsi="ＭＳ ゴシック" w:hint="eastAsia"/>
          <w:bdr w:val="single" w:sz="4" w:space="0" w:color="auto"/>
        </w:rPr>
        <w:t>主たる担当：危機管理室</w:t>
      </w:r>
    </w:p>
    <w:p w14:paraId="30931BFC" w14:textId="77777777" w:rsidR="008B4B2B" w:rsidRPr="008A3EDE" w:rsidRDefault="008B4B2B" w:rsidP="008B4B2B">
      <w:pPr>
        <w:pStyle w:val="a0"/>
        <w:rPr>
          <w:rFonts w:ascii="ＭＳ ゴシック" w:eastAsia="ＭＳ ゴシック" w:hAnsi="ＭＳ ゴシック"/>
          <w:sz w:val="22"/>
          <w:szCs w:val="22"/>
        </w:rPr>
      </w:pPr>
      <w:r w:rsidRPr="008A3EDE">
        <w:rPr>
          <w:rFonts w:ascii="ＭＳ ゴシック" w:eastAsia="ＭＳ ゴシック" w:hAnsi="ＭＳ ゴシック" w:hint="eastAsia"/>
          <w:noProof/>
          <w:sz w:val="22"/>
          <w:szCs w:val="22"/>
        </w:rPr>
        <mc:AlternateContent>
          <mc:Choice Requires="wps">
            <w:drawing>
              <wp:anchor distT="0" distB="0" distL="114300" distR="114300" simplePos="0" relativeHeight="253445120" behindDoc="0" locked="0" layoutInCell="1" allowOverlap="1" wp14:anchorId="7C5405BC" wp14:editId="17744B8C">
                <wp:simplePos x="0" y="0"/>
                <wp:positionH relativeFrom="column">
                  <wp:posOffset>283845</wp:posOffset>
                </wp:positionH>
                <wp:positionV relativeFrom="paragraph">
                  <wp:posOffset>147320</wp:posOffset>
                </wp:positionV>
                <wp:extent cx="2749550" cy="228600"/>
                <wp:effectExtent l="7620" t="13970" r="5080" b="5080"/>
                <wp:wrapNone/>
                <wp:docPr id="3828" name="Text Box 271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49550" cy="228600"/>
                        </a:xfrm>
                        <a:prstGeom prst="rect">
                          <a:avLst/>
                        </a:prstGeom>
                        <a:solidFill>
                          <a:srgbClr val="F2F2F2"/>
                        </a:solidFill>
                        <a:ln w="9525">
                          <a:solidFill>
                            <a:srgbClr val="000000"/>
                          </a:solidFill>
                          <a:miter lim="800000"/>
                          <a:headEnd/>
                          <a:tailEnd/>
                        </a:ln>
                      </wps:spPr>
                      <wps:txbx>
                        <w:txbxContent>
                          <w:p w14:paraId="57E39BDB" w14:textId="77777777" w:rsidR="006A5267" w:rsidRPr="00522697" w:rsidRDefault="006A5267" w:rsidP="008B4B2B">
                            <w:pPr>
                              <w:jc w:val="center"/>
                              <w:rPr>
                                <w:rFonts w:ascii="ＭＳ ゴシック" w:eastAsia="ＭＳ ゴシック" w:hAnsi="ＭＳ ゴシック"/>
                                <w:sz w:val="22"/>
                                <w:szCs w:val="22"/>
                              </w:rPr>
                            </w:pPr>
                            <w:r>
                              <w:rPr>
                                <w:rFonts w:ascii="ＭＳ ゴシック" w:eastAsia="ＭＳ ゴシック" w:hAnsi="ＭＳ ゴシック" w:hint="eastAsia"/>
                                <w:sz w:val="22"/>
                                <w:szCs w:val="22"/>
                              </w:rPr>
                              <w:t>被災者生活再建支援金の支給手続き</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shape w14:anchorId="7C5405BC" id="Text Box 2716" o:spid="_x0000_s1582" type="#_x0000_t202" style="position:absolute;left:0;text-align:left;margin-left:22.35pt;margin-top:11.6pt;width:216.5pt;height:18pt;z-index:2534451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" fillcolor="#f2f2f2">
                <v:textbox inset="5.85pt,.7pt,5.85pt,.7pt">
                  <w:txbxContent>
                    <w:p w14:paraId="57E39BDB" w14:textId="77777777" w:rsidR="006A5267" w:rsidRPr="00522697" w:rsidRDefault="006A5267" w:rsidP="008B4B2B">
                      <w:pPr>
                        <w:jc w:val="center"/>
                        <w:rPr>
                          <w:rFonts w:ascii="ＭＳ ゴシック" w:eastAsia="ＭＳ ゴシック" w:hAnsi="ＭＳ ゴシック"/>
                          <w:sz w:val="22"/>
                          <w:szCs w:val="22"/>
                        </w:rPr>
                      </w:pPr>
                      <w:r>
                        <w:rPr>
                          <w:rFonts w:ascii="ＭＳ ゴシック" w:eastAsia="ＭＳ ゴシック" w:hAnsi="ＭＳ ゴシック" w:hint="eastAsia"/>
                          <w:sz w:val="22"/>
                          <w:szCs w:val="22"/>
                        </w:rPr>
                        <w:t>被災者生活再建支援金の支給手続き</w:t>
                      </w:r>
                    </w:p>
                  </w:txbxContent>
                </v:textbox>
              </v:shape>
            </w:pict>
          </mc:Fallback>
        </mc:AlternateContent>
      </w:r>
    </w:p>
    <w:p w14:paraId="16A553F6" w14:textId="77777777" w:rsidR="008B4B2B" w:rsidRPr="008A3EDE" w:rsidRDefault="008B4B2B" w:rsidP="008B4B2B">
      <w:pPr>
        <w:pStyle w:val="a0"/>
        <w:rPr>
          <w:rFonts w:ascii="ＭＳ ゴシック" w:eastAsia="ＭＳ ゴシック" w:hAnsi="ＭＳ ゴシック"/>
          <w:sz w:val="22"/>
          <w:szCs w:val="22"/>
        </w:rPr>
      </w:pPr>
    </w:p>
    <w:p w14:paraId="5F92CDCC" w14:textId="77777777" w:rsidR="008B4B2B" w:rsidRPr="008A3EDE" w:rsidRDefault="008B4B2B" w:rsidP="008B4B2B">
      <w:pPr>
        <w:pStyle w:val="a0"/>
        <w:rPr>
          <w:rFonts w:ascii="ＭＳ ゴシック" w:eastAsia="ＭＳ ゴシック" w:hAnsi="ＭＳ ゴシック"/>
          <w:sz w:val="22"/>
          <w:szCs w:val="22"/>
        </w:rPr>
      </w:pPr>
      <w:r w:rsidRPr="008A3EDE">
        <w:rPr>
          <w:rFonts w:ascii="ＭＳ ゴシック" w:eastAsia="ＭＳ ゴシック" w:hAnsi="ＭＳ ゴシック" w:hint="eastAsia"/>
          <w:noProof/>
          <w:sz w:val="22"/>
          <w:szCs w:val="22"/>
        </w:rPr>
        <mc:AlternateContent>
          <mc:Choice Requires="wps">
            <w:drawing>
              <wp:anchor distT="0" distB="0" distL="114300" distR="114300" simplePos="0" relativeHeight="253433856" behindDoc="0" locked="0" layoutInCell="1" allowOverlap="1" wp14:anchorId="74E17948" wp14:editId="6382EE3B">
                <wp:simplePos x="0" y="0"/>
                <wp:positionH relativeFrom="column">
                  <wp:posOffset>4800600</wp:posOffset>
                </wp:positionH>
                <wp:positionV relativeFrom="paragraph">
                  <wp:posOffset>47625</wp:posOffset>
                </wp:positionV>
                <wp:extent cx="914400" cy="2057400"/>
                <wp:effectExtent l="9525" t="9525" r="9525" b="9525"/>
                <wp:wrapNone/>
                <wp:docPr id="3827" name="AutoShape 270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14400" cy="2057400"/>
                        </a:xfrm>
                        <a:prstGeom prst="bevel">
                          <a:avLst>
                            <a:gd name="adj" fmla="val 12500"/>
                          </a:avLst>
                        </a:prstGeom>
                        <a:solidFill>
                          <a:srgbClr val="FFFFFF"/>
                        </a:solidFill>
                        <a:ln w="9525">
                          <a:solidFill>
                            <a:srgbClr val="000000"/>
                          </a:solidFill>
                          <a:miter lim="800000"/>
                          <a:headEnd/>
                          <a:tailEnd/>
                        </a:ln>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shape w14:anchorId="4F33BEAE" id="AutoShape 2706" o:spid="_x0000_s1026" type="#_x0000_t84" style="position:absolute;left:0;text-align:left;margin-left:378pt;margin-top:3.75pt;width:1in;height:162pt;z-index:2534338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">
                <v:textbox inset="5.85pt,.7pt,5.85pt,.7pt"/>
              </v:shape>
            </w:pict>
          </mc:Fallback>
        </mc:AlternateContent>
      </w:r>
      <w:r w:rsidRPr="008A3EDE">
        <w:rPr>
          <w:rFonts w:ascii="ＭＳ ゴシック" w:eastAsia="ＭＳ ゴシック" w:hAnsi="ＭＳ ゴシック" w:hint="eastAsia"/>
          <w:noProof/>
          <w:sz w:val="22"/>
          <w:szCs w:val="22"/>
        </w:rPr>
        <mc:AlternateContent>
          <mc:Choice Requires="wps">
            <w:drawing>
              <wp:anchor distT="0" distB="0" distL="114300" distR="114300" simplePos="0" relativeHeight="253426688" behindDoc="0" locked="0" layoutInCell="1" allowOverlap="1" wp14:anchorId="7A29BFFF" wp14:editId="30FA4C5D">
                <wp:simplePos x="0" y="0"/>
                <wp:positionH relativeFrom="column">
                  <wp:posOffset>228600</wp:posOffset>
                </wp:positionH>
                <wp:positionV relativeFrom="paragraph">
                  <wp:posOffset>114300</wp:posOffset>
                </wp:positionV>
                <wp:extent cx="342900" cy="1880870"/>
                <wp:effectExtent l="19050" t="9525" r="19050" b="5080"/>
                <wp:wrapNone/>
                <wp:docPr id="3826" name="AutoShape 269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42900" cy="1880870"/>
                        </a:xfrm>
                        <a:prstGeom prst="hexagon">
                          <a:avLst>
                            <a:gd name="adj" fmla="val 25000"/>
                            <a:gd name="vf" fmla="val 115470"/>
                          </a:avLst>
                        </a:prstGeom>
                        <a:solidFill>
                          <a:srgbClr val="FFFFFF"/>
                        </a:solidFill>
                        <a:ln w="9525">
                          <a:solidFill>
                            <a:srgbClr val="000000"/>
                          </a:solidFill>
                          <a:miter lim="800000"/>
                          <a:headEnd/>
                          <a:tailEnd/>
                        </a:ln>
                      </wps:spPr>
                      <wps:txbx>
                        <w:txbxContent>
                          <w:p w14:paraId="74697381" w14:textId="77777777" w:rsidR="006A5267" w:rsidRPr="007B3FD3" w:rsidRDefault="006A5267" w:rsidP="008B4B2B">
                            <w:pPr>
                              <w:rPr>
                                <w:sz w:val="22"/>
                                <w:szCs w:val="22"/>
                              </w:rPr>
                            </w:pPr>
                            <w:r w:rsidRPr="007B3FD3">
                              <w:rPr>
                                <w:rFonts w:hint="eastAsia"/>
                                <w:sz w:val="22"/>
                                <w:szCs w:val="22"/>
                              </w:rPr>
                              <w:t>被</w:t>
                            </w:r>
                          </w:p>
                          <w:p w14:paraId="0C811DA4" w14:textId="77777777" w:rsidR="006A5267" w:rsidRPr="007B3FD3" w:rsidRDefault="006A5267" w:rsidP="008B4B2B">
                            <w:pPr>
                              <w:rPr>
                                <w:sz w:val="22"/>
                                <w:szCs w:val="22"/>
                              </w:rPr>
                            </w:pPr>
                          </w:p>
                          <w:p w14:paraId="505AE722" w14:textId="77777777" w:rsidR="006A5267" w:rsidRPr="007B3FD3" w:rsidRDefault="006A5267" w:rsidP="008B4B2B">
                            <w:pPr>
                              <w:rPr>
                                <w:sz w:val="22"/>
                                <w:szCs w:val="22"/>
                              </w:rPr>
                            </w:pPr>
                            <w:r w:rsidRPr="007B3FD3">
                              <w:rPr>
                                <w:rFonts w:hint="eastAsia"/>
                                <w:sz w:val="22"/>
                                <w:szCs w:val="22"/>
                              </w:rPr>
                              <w:t>災</w:t>
                            </w:r>
                          </w:p>
                          <w:p w14:paraId="4A61D2ED" w14:textId="77777777" w:rsidR="006A5267" w:rsidRPr="007B3FD3" w:rsidRDefault="006A5267" w:rsidP="008B4B2B">
                            <w:pPr>
                              <w:rPr>
                                <w:sz w:val="22"/>
                                <w:szCs w:val="22"/>
                              </w:rPr>
                            </w:pPr>
                          </w:p>
                          <w:p w14:paraId="25E5A431" w14:textId="77777777" w:rsidR="006A5267" w:rsidRPr="007B3FD3" w:rsidRDefault="006A5267" w:rsidP="008B4B2B">
                            <w:pPr>
                              <w:rPr>
                                <w:sz w:val="22"/>
                                <w:szCs w:val="22"/>
                              </w:rPr>
                            </w:pPr>
                            <w:r w:rsidRPr="007B3FD3">
                              <w:rPr>
                                <w:rFonts w:hint="eastAsia"/>
                                <w:sz w:val="22"/>
                                <w:szCs w:val="22"/>
                              </w:rPr>
                              <w:t>者</w:t>
                            </w:r>
                          </w:p>
                          <w:p w14:paraId="75D8BA53" w14:textId="77777777" w:rsidR="006A5267" w:rsidRDefault="006A5267" w:rsidP="008B4B2B"/>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shape w14:anchorId="7A29BFFF" id="AutoShape 2699" o:spid="_x0000_s1583" type="#_x0000_t9" style="position:absolute;left:0;text-align:left;margin-left:18pt;margin-top:9pt;width:27pt;height:148.1pt;z-index:2534266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">
                <v:textbox inset="5.85pt,.7pt,5.85pt,.7pt">
                  <w:txbxContent>
                    <w:p w14:paraId="74697381" w14:textId="77777777" w:rsidR="006A5267" w:rsidRPr="007B3FD3" w:rsidRDefault="006A5267" w:rsidP="008B4B2B">
                      <w:pPr>
                        <w:rPr>
                          <w:sz w:val="22"/>
                          <w:szCs w:val="22"/>
                        </w:rPr>
                      </w:pPr>
                      <w:r w:rsidRPr="007B3FD3">
                        <w:rPr>
                          <w:rFonts w:hint="eastAsia"/>
                          <w:sz w:val="22"/>
                          <w:szCs w:val="22"/>
                        </w:rPr>
                        <w:t>被</w:t>
                      </w:r>
                    </w:p>
                    <w:p w14:paraId="0C811DA4" w14:textId="77777777" w:rsidR="006A5267" w:rsidRPr="007B3FD3" w:rsidRDefault="006A5267" w:rsidP="008B4B2B">
                      <w:pPr>
                        <w:rPr>
                          <w:sz w:val="22"/>
                          <w:szCs w:val="22"/>
                        </w:rPr>
                      </w:pPr>
                    </w:p>
                    <w:p w14:paraId="505AE722" w14:textId="77777777" w:rsidR="006A5267" w:rsidRPr="007B3FD3" w:rsidRDefault="006A5267" w:rsidP="008B4B2B">
                      <w:pPr>
                        <w:rPr>
                          <w:sz w:val="22"/>
                          <w:szCs w:val="22"/>
                        </w:rPr>
                      </w:pPr>
                      <w:r w:rsidRPr="007B3FD3">
                        <w:rPr>
                          <w:rFonts w:hint="eastAsia"/>
                          <w:sz w:val="22"/>
                          <w:szCs w:val="22"/>
                        </w:rPr>
                        <w:t>災</w:t>
                      </w:r>
                    </w:p>
                    <w:p w14:paraId="4A61D2ED" w14:textId="77777777" w:rsidR="006A5267" w:rsidRPr="007B3FD3" w:rsidRDefault="006A5267" w:rsidP="008B4B2B">
                      <w:pPr>
                        <w:rPr>
                          <w:sz w:val="22"/>
                          <w:szCs w:val="22"/>
                        </w:rPr>
                      </w:pPr>
                    </w:p>
                    <w:p w14:paraId="25E5A431" w14:textId="77777777" w:rsidR="006A5267" w:rsidRPr="007B3FD3" w:rsidRDefault="006A5267" w:rsidP="008B4B2B">
                      <w:pPr>
                        <w:rPr>
                          <w:sz w:val="22"/>
                          <w:szCs w:val="22"/>
                        </w:rPr>
                      </w:pPr>
                      <w:r w:rsidRPr="007B3FD3">
                        <w:rPr>
                          <w:rFonts w:hint="eastAsia"/>
                          <w:sz w:val="22"/>
                          <w:szCs w:val="22"/>
                        </w:rPr>
                        <w:t>者</w:t>
                      </w:r>
                    </w:p>
                    <w:p w14:paraId="75D8BA53" w14:textId="77777777" w:rsidR="006A5267" w:rsidRDefault="006A5267" w:rsidP="008B4B2B"/>
                  </w:txbxContent>
                </v:textbox>
              </v:shape>
            </w:pict>
          </mc:Fallback>
        </mc:AlternateContent>
      </w:r>
      <w:r w:rsidRPr="008A3EDE">
        <w:rPr>
          <w:rFonts w:ascii="ＭＳ ゴシック" w:eastAsia="ＭＳ ゴシック" w:hAnsi="ＭＳ ゴシック" w:hint="eastAsia"/>
          <w:noProof/>
          <w:sz w:val="22"/>
          <w:szCs w:val="22"/>
        </w:rPr>
        <mc:AlternateContent>
          <mc:Choice Requires="wps">
            <w:drawing>
              <wp:anchor distT="0" distB="0" distL="114300" distR="114300" simplePos="0" relativeHeight="253432832" behindDoc="0" locked="0" layoutInCell="1" allowOverlap="1" wp14:anchorId="5111E768" wp14:editId="0D505A17">
                <wp:simplePos x="0" y="0"/>
                <wp:positionH relativeFrom="column">
                  <wp:posOffset>3543300</wp:posOffset>
                </wp:positionH>
                <wp:positionV relativeFrom="paragraph">
                  <wp:posOffset>47625</wp:posOffset>
                </wp:positionV>
                <wp:extent cx="1028700" cy="342900"/>
                <wp:effectExtent l="0" t="0" r="0" b="0"/>
                <wp:wrapNone/>
                <wp:docPr id="3825" name="Text Box 270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28700" cy="3429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4C5593A" w14:textId="77777777" w:rsidR="006A5267" w:rsidRPr="00EB056B" w:rsidRDefault="006A5267" w:rsidP="008B4B2B">
                            <w:pPr>
                              <w:spacing w:line="240" w:lineRule="exact"/>
                              <w:rPr>
                                <w:sz w:val="22"/>
                                <w:szCs w:val="22"/>
                              </w:rPr>
                            </w:pPr>
                            <w:r>
                              <w:rPr>
                                <w:rFonts w:hint="eastAsia"/>
                                <w:sz w:val="22"/>
                                <w:szCs w:val="22"/>
                              </w:rPr>
                              <w:t>申請書の取りまとめ、送付</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shape w14:anchorId="5111E768" id="Text Box 2705" o:spid="_x0000_s1584" type="#_x0000_t202" style="position:absolute;left:0;text-align:left;margin-left:279pt;margin-top:3.75pt;width:81pt;height:27pt;z-index:2534328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" filled="f" stroked="f">
                <v:textbox inset="5.85pt,.7pt,5.85pt,.7pt">
                  <w:txbxContent>
                    <w:p w14:paraId="04C5593A" w14:textId="77777777" w:rsidR="006A5267" w:rsidRPr="00EB056B" w:rsidRDefault="006A5267" w:rsidP="008B4B2B">
                      <w:pPr>
                        <w:spacing w:line="240" w:lineRule="exact"/>
                        <w:rPr>
                          <w:sz w:val="22"/>
                          <w:szCs w:val="22"/>
                        </w:rPr>
                      </w:pPr>
                      <w:r>
                        <w:rPr>
                          <w:rFonts w:hint="eastAsia"/>
                          <w:sz w:val="22"/>
                          <w:szCs w:val="22"/>
                        </w:rPr>
                        <w:t>申請書の取りまとめ、送付</w:t>
                      </w:r>
                    </w:p>
                  </w:txbxContent>
                </v:textbox>
              </v:shape>
            </w:pict>
          </mc:Fallback>
        </mc:AlternateContent>
      </w:r>
      <w:r w:rsidRPr="008A3EDE">
        <w:rPr>
          <w:rFonts w:ascii="ＭＳ ゴシック" w:eastAsia="ＭＳ ゴシック" w:hAnsi="ＭＳ ゴシック" w:hint="eastAsia"/>
          <w:noProof/>
          <w:sz w:val="22"/>
          <w:szCs w:val="22"/>
        </w:rPr>
        <mc:AlternateContent>
          <mc:Choice Requires="wps">
            <w:drawing>
              <wp:anchor distT="0" distB="0" distL="114300" distR="114300" simplePos="0" relativeHeight="253440000" behindDoc="0" locked="0" layoutInCell="1" allowOverlap="1" wp14:anchorId="6466F91D" wp14:editId="5E9CD0B6">
                <wp:simplePos x="0" y="0"/>
                <wp:positionH relativeFrom="column">
                  <wp:posOffset>1828800</wp:posOffset>
                </wp:positionH>
                <wp:positionV relativeFrom="paragraph">
                  <wp:posOffset>47625</wp:posOffset>
                </wp:positionV>
                <wp:extent cx="1028700" cy="342900"/>
                <wp:effectExtent l="0" t="0" r="0" b="0"/>
                <wp:wrapNone/>
                <wp:docPr id="3824" name="Text Box 27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28700" cy="3429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9BA06C2" w14:textId="77777777" w:rsidR="006A5267" w:rsidRPr="00EB056B" w:rsidRDefault="006A5267" w:rsidP="008B4B2B">
                            <w:pPr>
                              <w:spacing w:line="240" w:lineRule="exact"/>
                              <w:rPr>
                                <w:sz w:val="22"/>
                                <w:szCs w:val="22"/>
                              </w:rPr>
                            </w:pPr>
                            <w:r>
                              <w:rPr>
                                <w:rFonts w:hint="eastAsia"/>
                                <w:sz w:val="22"/>
                                <w:szCs w:val="22"/>
                              </w:rPr>
                              <w:t>申請書の取りまとめ、送付</w:t>
                            </w:r>
                          </w:p>
                          <w:p w14:paraId="70A23729" w14:textId="77777777" w:rsidR="006A5267" w:rsidRPr="008053DE" w:rsidRDefault="006A5267" w:rsidP="008B4B2B">
                            <w:pPr>
                              <w:rPr>
                                <w:szCs w:val="22"/>
                              </w:rPr>
                            </w:pP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shape w14:anchorId="6466F91D" id="Text Box 2711" o:spid="_x0000_s1585" type="#_x0000_t202" style="position:absolute;left:0;text-align:left;margin-left:2in;margin-top:3.75pt;width:81pt;height:27pt;z-index:2534400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" filled="f" stroked="f">
                <v:textbox inset="5.85pt,.7pt,5.85pt,.7pt">
                  <w:txbxContent>
                    <w:p w14:paraId="79BA06C2" w14:textId="77777777" w:rsidR="006A5267" w:rsidRPr="00EB056B" w:rsidRDefault="006A5267" w:rsidP="008B4B2B">
                      <w:pPr>
                        <w:spacing w:line="240" w:lineRule="exact"/>
                        <w:rPr>
                          <w:sz w:val="22"/>
                          <w:szCs w:val="22"/>
                        </w:rPr>
                      </w:pPr>
                      <w:r>
                        <w:rPr>
                          <w:rFonts w:hint="eastAsia"/>
                          <w:sz w:val="22"/>
                          <w:szCs w:val="22"/>
                        </w:rPr>
                        <w:t>申請書の取りまとめ、送付</w:t>
                      </w:r>
                    </w:p>
                    <w:p w14:paraId="70A23729" w14:textId="77777777" w:rsidR="006A5267" w:rsidRPr="008053DE" w:rsidRDefault="006A5267" w:rsidP="008B4B2B">
                      <w:pPr>
                        <w:rPr>
                          <w:szCs w:val="22"/>
                        </w:rPr>
                      </w:pPr>
                    </w:p>
                  </w:txbxContent>
                </v:textbox>
              </v:shape>
            </w:pict>
          </mc:Fallback>
        </mc:AlternateContent>
      </w:r>
      <w:r w:rsidRPr="008A3EDE">
        <w:rPr>
          <w:rFonts w:ascii="ＭＳ ゴシック" w:eastAsia="ＭＳ ゴシック" w:hAnsi="ＭＳ ゴシック" w:hint="eastAsia"/>
          <w:noProof/>
          <w:sz w:val="22"/>
          <w:szCs w:val="22"/>
        </w:rPr>
        <mc:AlternateContent>
          <mc:Choice Requires="wps">
            <w:drawing>
              <wp:anchor distT="0" distB="0" distL="114300" distR="114300" simplePos="0" relativeHeight="253429760" behindDoc="0" locked="0" layoutInCell="1" allowOverlap="1" wp14:anchorId="21AB2612" wp14:editId="40FFC456">
                <wp:simplePos x="0" y="0"/>
                <wp:positionH relativeFrom="column">
                  <wp:posOffset>638175</wp:posOffset>
                </wp:positionH>
                <wp:positionV relativeFrom="paragraph">
                  <wp:posOffset>47625</wp:posOffset>
                </wp:positionV>
                <wp:extent cx="573405" cy="342900"/>
                <wp:effectExtent l="0" t="0" r="0" b="0"/>
                <wp:wrapNone/>
                <wp:docPr id="3823" name="Text Box 270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3405" cy="3429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1DD4375" w14:textId="77777777" w:rsidR="006A5267" w:rsidRDefault="006A5267" w:rsidP="008B4B2B">
                            <w:pPr>
                              <w:spacing w:line="240" w:lineRule="exact"/>
                              <w:rPr>
                                <w:sz w:val="22"/>
                                <w:szCs w:val="22"/>
                              </w:rPr>
                            </w:pPr>
                            <w:r w:rsidRPr="00EB056B">
                              <w:rPr>
                                <w:rFonts w:hint="eastAsia"/>
                                <w:sz w:val="22"/>
                                <w:szCs w:val="22"/>
                              </w:rPr>
                              <w:t>申請</w:t>
                            </w:r>
                            <w:r>
                              <w:rPr>
                                <w:rFonts w:hint="eastAsia"/>
                                <w:sz w:val="22"/>
                                <w:szCs w:val="22"/>
                              </w:rPr>
                              <w:t>書</w:t>
                            </w:r>
                          </w:p>
                          <w:p w14:paraId="2071851F" w14:textId="77777777" w:rsidR="006A5267" w:rsidRPr="00EB056B" w:rsidRDefault="006A5267" w:rsidP="008B4B2B">
                            <w:pPr>
                              <w:spacing w:line="240" w:lineRule="exact"/>
                              <w:rPr>
                                <w:sz w:val="22"/>
                                <w:szCs w:val="22"/>
                              </w:rPr>
                            </w:pPr>
                            <w:r>
                              <w:rPr>
                                <w:rFonts w:hint="eastAsia"/>
                                <w:sz w:val="22"/>
                                <w:szCs w:val="22"/>
                              </w:rPr>
                              <w:t>の提出</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shape w14:anchorId="21AB2612" id="Text Box 2702" o:spid="_x0000_s1586" type="#_x0000_t202" style="position:absolute;left:0;text-align:left;margin-left:50.25pt;margin-top:3.75pt;width:45.15pt;height:27pt;z-index:2534297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" filled="f" stroked="f">
                <v:textbox inset="5.85pt,.7pt,5.85pt,.7pt">
                  <w:txbxContent>
                    <w:p w14:paraId="01DD4375" w14:textId="77777777" w:rsidR="006A5267" w:rsidRDefault="006A5267" w:rsidP="008B4B2B">
                      <w:pPr>
                        <w:spacing w:line="240" w:lineRule="exact"/>
                        <w:rPr>
                          <w:sz w:val="22"/>
                          <w:szCs w:val="22"/>
                        </w:rPr>
                      </w:pPr>
                      <w:r w:rsidRPr="00EB056B">
                        <w:rPr>
                          <w:rFonts w:hint="eastAsia"/>
                          <w:sz w:val="22"/>
                          <w:szCs w:val="22"/>
                        </w:rPr>
                        <w:t>申請</w:t>
                      </w:r>
                      <w:r>
                        <w:rPr>
                          <w:rFonts w:hint="eastAsia"/>
                          <w:sz w:val="22"/>
                          <w:szCs w:val="22"/>
                        </w:rPr>
                        <w:t>書</w:t>
                      </w:r>
                    </w:p>
                    <w:p w14:paraId="2071851F" w14:textId="77777777" w:rsidR="006A5267" w:rsidRPr="00EB056B" w:rsidRDefault="006A5267" w:rsidP="008B4B2B">
                      <w:pPr>
                        <w:spacing w:line="240" w:lineRule="exact"/>
                        <w:rPr>
                          <w:sz w:val="22"/>
                          <w:szCs w:val="22"/>
                        </w:rPr>
                      </w:pPr>
                      <w:r>
                        <w:rPr>
                          <w:rFonts w:hint="eastAsia"/>
                          <w:sz w:val="22"/>
                          <w:szCs w:val="22"/>
                        </w:rPr>
                        <w:t>の提出</w:t>
                      </w:r>
                    </w:p>
                  </w:txbxContent>
                </v:textbox>
              </v:shape>
            </w:pict>
          </mc:Fallback>
        </mc:AlternateContent>
      </w:r>
    </w:p>
    <w:p w14:paraId="1DEDE540" w14:textId="77777777" w:rsidR="008B4B2B" w:rsidRPr="008A3EDE" w:rsidRDefault="008B4B2B" w:rsidP="008B4B2B">
      <w:pPr>
        <w:pStyle w:val="a0"/>
        <w:rPr>
          <w:rFonts w:ascii="ＭＳ ゴシック" w:eastAsia="ＭＳ ゴシック" w:hAnsi="ＭＳ ゴシック"/>
          <w:sz w:val="22"/>
          <w:szCs w:val="22"/>
        </w:rPr>
      </w:pPr>
      <w:r w:rsidRPr="008A3EDE">
        <w:rPr>
          <w:rFonts w:ascii="ＭＳ ゴシック" w:eastAsia="ＭＳ ゴシック" w:hAnsi="ＭＳ ゴシック" w:hint="eastAsia"/>
          <w:noProof/>
          <w:sz w:val="22"/>
          <w:szCs w:val="22"/>
        </w:rPr>
        <mc:AlternateContent>
          <mc:Choice Requires="wps">
            <w:drawing>
              <wp:anchor distT="0" distB="0" distL="114300" distR="114300" simplePos="0" relativeHeight="253435904" behindDoc="0" locked="0" layoutInCell="1" allowOverlap="1" wp14:anchorId="61F8386B" wp14:editId="2F1BF880">
                <wp:simplePos x="0" y="0"/>
                <wp:positionH relativeFrom="column">
                  <wp:posOffset>5200650</wp:posOffset>
                </wp:positionH>
                <wp:positionV relativeFrom="paragraph">
                  <wp:posOffset>87630</wp:posOffset>
                </wp:positionV>
                <wp:extent cx="342900" cy="1626870"/>
                <wp:effectExtent l="0" t="1905" r="0" b="0"/>
                <wp:wrapNone/>
                <wp:docPr id="3822" name="Text Box 270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2900" cy="16268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7E6D42F" w14:textId="77777777" w:rsidR="006A5267" w:rsidRPr="007B3FD3" w:rsidRDefault="006A5267" w:rsidP="008B4B2B">
                            <w:pPr>
                              <w:rPr>
                                <w:sz w:val="22"/>
                                <w:szCs w:val="22"/>
                              </w:rPr>
                            </w:pPr>
                            <w:r w:rsidRPr="004159A8">
                              <w:rPr>
                                <w:rFonts w:hint="eastAsia"/>
                                <w:sz w:val="22"/>
                                <w:szCs w:val="22"/>
                              </w:rPr>
                              <w:t>【（</w:t>
                            </w:r>
                            <w:r>
                              <w:rPr>
                                <w:rFonts w:hint="eastAsia"/>
                                <w:sz w:val="22"/>
                                <w:szCs w:val="22"/>
                              </w:rPr>
                              <w:t>公</w:t>
                            </w:r>
                            <w:r w:rsidRPr="004159A8">
                              <w:rPr>
                                <w:rFonts w:hint="eastAsia"/>
                                <w:sz w:val="22"/>
                                <w:szCs w:val="22"/>
                              </w:rPr>
                              <w:t>財）都道府県会館】</w:t>
                            </w:r>
                          </w:p>
                          <w:p w14:paraId="3D66B54A" w14:textId="77777777" w:rsidR="006A5267" w:rsidRDefault="006A5267" w:rsidP="008B4B2B"/>
                        </w:txbxContent>
                      </wps:txbx>
                      <wps:bodyPr rot="0" vert="eaVert"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shape w14:anchorId="61F8386B" id="Text Box 2708" o:spid="_x0000_s1587" type="#_x0000_t202" style="position:absolute;left:0;text-align:left;margin-left:409.5pt;margin-top:6.9pt;width:27pt;height:128.1pt;z-index:2534359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" filled="f" stroked="f">
                <v:textbox style="layout-flow:vertical-ideographic" inset="5.85pt,.7pt,5.85pt,.7pt">
                  <w:txbxContent>
                    <w:p w14:paraId="07E6D42F" w14:textId="77777777" w:rsidR="006A5267" w:rsidRPr="007B3FD3" w:rsidRDefault="006A5267" w:rsidP="008B4B2B">
                      <w:pPr>
                        <w:rPr>
                          <w:sz w:val="22"/>
                          <w:szCs w:val="22"/>
                        </w:rPr>
                      </w:pPr>
                      <w:r w:rsidRPr="004159A8">
                        <w:rPr>
                          <w:rFonts w:hint="eastAsia"/>
                          <w:sz w:val="22"/>
                          <w:szCs w:val="22"/>
                        </w:rPr>
                        <w:t>【（</w:t>
                      </w:r>
                      <w:r>
                        <w:rPr>
                          <w:rFonts w:hint="eastAsia"/>
                          <w:sz w:val="22"/>
                          <w:szCs w:val="22"/>
                        </w:rPr>
                        <w:t>公</w:t>
                      </w:r>
                      <w:r w:rsidRPr="004159A8">
                        <w:rPr>
                          <w:rFonts w:hint="eastAsia"/>
                          <w:sz w:val="22"/>
                          <w:szCs w:val="22"/>
                        </w:rPr>
                        <w:t>財）都道府県会館】</w:t>
                      </w:r>
                    </w:p>
                    <w:p w14:paraId="3D66B54A" w14:textId="77777777" w:rsidR="006A5267" w:rsidRDefault="006A5267" w:rsidP="008B4B2B"/>
                  </w:txbxContent>
                </v:textbox>
              </v:shape>
            </w:pict>
          </mc:Fallback>
        </mc:AlternateContent>
      </w:r>
      <w:r w:rsidRPr="008A3EDE">
        <w:rPr>
          <w:rFonts w:ascii="ＭＳ ゴシック" w:eastAsia="ＭＳ ゴシック" w:hAnsi="ＭＳ ゴシック" w:hint="eastAsia"/>
          <w:noProof/>
          <w:sz w:val="22"/>
          <w:szCs w:val="22"/>
        </w:rPr>
        <mc:AlternateContent>
          <mc:Choice Requires="wps">
            <w:drawing>
              <wp:anchor distT="0" distB="0" distL="114300" distR="114300" simplePos="0" relativeHeight="253434880" behindDoc="0" locked="0" layoutInCell="1" allowOverlap="1" wp14:anchorId="3695E573" wp14:editId="5F19177F">
                <wp:simplePos x="0" y="0"/>
                <wp:positionH relativeFrom="column">
                  <wp:posOffset>4914900</wp:posOffset>
                </wp:positionH>
                <wp:positionV relativeFrom="paragraph">
                  <wp:posOffset>114300</wp:posOffset>
                </wp:positionV>
                <wp:extent cx="342900" cy="1600200"/>
                <wp:effectExtent l="0" t="0" r="0" b="0"/>
                <wp:wrapNone/>
                <wp:docPr id="3821" name="Text Box 270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2900" cy="16002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2A92FF0" w14:textId="77777777" w:rsidR="006A5267" w:rsidRDefault="006A5267" w:rsidP="008B4B2B">
                            <w:pPr>
                              <w:rPr>
                                <w:sz w:val="22"/>
                                <w:szCs w:val="22"/>
                              </w:rPr>
                            </w:pPr>
                            <w:r w:rsidRPr="007B3FD3">
                              <w:rPr>
                                <w:rFonts w:hint="eastAsia"/>
                                <w:sz w:val="22"/>
                                <w:szCs w:val="22"/>
                              </w:rPr>
                              <w:t>被災者生活</w:t>
                            </w:r>
                            <w:r>
                              <w:rPr>
                                <w:rFonts w:hint="eastAsia"/>
                                <w:sz w:val="22"/>
                                <w:szCs w:val="22"/>
                              </w:rPr>
                              <w:t>再建支援法人</w:t>
                            </w:r>
                          </w:p>
                          <w:p w14:paraId="7FA0BC76" w14:textId="77777777" w:rsidR="006A5267" w:rsidRDefault="006A5267" w:rsidP="008B4B2B">
                            <w:pPr>
                              <w:rPr>
                                <w:sz w:val="22"/>
                                <w:szCs w:val="22"/>
                              </w:rPr>
                            </w:pPr>
                          </w:p>
                          <w:p w14:paraId="546AF67F" w14:textId="77777777" w:rsidR="006A5267" w:rsidRDefault="006A5267" w:rsidP="008B4B2B">
                            <w:pPr>
                              <w:rPr>
                                <w:sz w:val="22"/>
                                <w:szCs w:val="22"/>
                              </w:rPr>
                            </w:pPr>
                            <w:r>
                              <w:rPr>
                                <w:rFonts w:hint="eastAsia"/>
                                <w:sz w:val="22"/>
                                <w:szCs w:val="22"/>
                              </w:rPr>
                              <w:t>再建支援法人</w:t>
                            </w:r>
                          </w:p>
                          <w:p w14:paraId="267F5B40" w14:textId="77777777" w:rsidR="006A5267" w:rsidRDefault="006A5267" w:rsidP="008B4B2B"/>
                        </w:txbxContent>
                      </wps:txbx>
                      <wps:bodyPr rot="0" vert="eaVert"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shape w14:anchorId="3695E573" id="Text Box 2707" o:spid="_x0000_s1588" type="#_x0000_t202" style="position:absolute;left:0;text-align:left;margin-left:387pt;margin-top:9pt;width:27pt;height:126pt;z-index:2534348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" filled="f" stroked="f">
                <v:textbox style="layout-flow:vertical-ideographic" inset="5.85pt,.7pt,5.85pt,.7pt">
                  <w:txbxContent>
                    <w:p w14:paraId="12A92FF0" w14:textId="77777777" w:rsidR="006A5267" w:rsidRDefault="006A5267" w:rsidP="008B4B2B">
                      <w:pPr>
                        <w:rPr>
                          <w:sz w:val="22"/>
                          <w:szCs w:val="22"/>
                        </w:rPr>
                      </w:pPr>
                      <w:r w:rsidRPr="007B3FD3">
                        <w:rPr>
                          <w:rFonts w:hint="eastAsia"/>
                          <w:sz w:val="22"/>
                          <w:szCs w:val="22"/>
                        </w:rPr>
                        <w:t>被災者生活</w:t>
                      </w:r>
                      <w:r>
                        <w:rPr>
                          <w:rFonts w:hint="eastAsia"/>
                          <w:sz w:val="22"/>
                          <w:szCs w:val="22"/>
                        </w:rPr>
                        <w:t>再建支援法人</w:t>
                      </w:r>
                    </w:p>
                    <w:p w14:paraId="7FA0BC76" w14:textId="77777777" w:rsidR="006A5267" w:rsidRDefault="006A5267" w:rsidP="008B4B2B">
                      <w:pPr>
                        <w:rPr>
                          <w:sz w:val="22"/>
                          <w:szCs w:val="22"/>
                        </w:rPr>
                      </w:pPr>
                    </w:p>
                    <w:p w14:paraId="546AF67F" w14:textId="77777777" w:rsidR="006A5267" w:rsidRDefault="006A5267" w:rsidP="008B4B2B">
                      <w:pPr>
                        <w:rPr>
                          <w:sz w:val="22"/>
                          <w:szCs w:val="22"/>
                        </w:rPr>
                      </w:pPr>
                      <w:r>
                        <w:rPr>
                          <w:rFonts w:hint="eastAsia"/>
                          <w:sz w:val="22"/>
                          <w:szCs w:val="22"/>
                        </w:rPr>
                        <w:t>再建支援法人</w:t>
                      </w:r>
                    </w:p>
                    <w:p w14:paraId="267F5B40" w14:textId="77777777" w:rsidR="006A5267" w:rsidRDefault="006A5267" w:rsidP="008B4B2B"/>
                  </w:txbxContent>
                </v:textbox>
              </v:shape>
            </w:pict>
          </mc:Fallback>
        </mc:AlternateContent>
      </w:r>
      <w:r w:rsidRPr="008A3EDE">
        <w:rPr>
          <w:rFonts w:ascii="ＭＳ ゴシック" w:eastAsia="ＭＳ ゴシック" w:hAnsi="ＭＳ ゴシック" w:hint="eastAsia"/>
          <w:noProof/>
          <w:sz w:val="22"/>
          <w:szCs w:val="22"/>
        </w:rPr>
        <mc:AlternateContent>
          <mc:Choice Requires="wps">
            <w:drawing>
              <wp:anchor distT="0" distB="0" distL="114300" distR="114300" simplePos="0" relativeHeight="253427712" behindDoc="0" locked="0" layoutInCell="1" allowOverlap="1" wp14:anchorId="4BCF9A22" wp14:editId="60A74A89">
                <wp:simplePos x="0" y="0"/>
                <wp:positionH relativeFrom="column">
                  <wp:posOffset>3086100</wp:posOffset>
                </wp:positionH>
                <wp:positionV relativeFrom="paragraph">
                  <wp:posOffset>0</wp:posOffset>
                </wp:positionV>
                <wp:extent cx="342900" cy="1143000"/>
                <wp:effectExtent l="9525" t="9525" r="9525" b="9525"/>
                <wp:wrapNone/>
                <wp:docPr id="3820" name="AutoShape 270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42900" cy="1143000"/>
                        </a:xfrm>
                        <a:prstGeom prst="roundRect">
                          <a:avLst>
                            <a:gd name="adj" fmla="val 16667"/>
                          </a:avLst>
                        </a:prstGeom>
                        <a:solidFill>
                          <a:srgbClr val="FFFFFF"/>
                        </a:solidFill>
                        <a:ln w="9525">
                          <a:solidFill>
                            <a:srgbClr val="000000"/>
                          </a:solidFill>
                          <a:round/>
                          <a:headEnd/>
                          <a:tailEnd/>
                        </a:ln>
                      </wps:spPr>
                      <wps:txbx>
                        <w:txbxContent>
                          <w:p w14:paraId="6B9DEA5D" w14:textId="77777777" w:rsidR="006A5267" w:rsidRDefault="006A5267" w:rsidP="008B4B2B"/>
                          <w:p w14:paraId="2434D55E" w14:textId="77777777" w:rsidR="006A5267" w:rsidRPr="007B3FD3" w:rsidRDefault="006A5267" w:rsidP="008B4B2B">
                            <w:pPr>
                              <w:rPr>
                                <w:sz w:val="22"/>
                                <w:szCs w:val="22"/>
                              </w:rPr>
                            </w:pPr>
                            <w:r w:rsidRPr="007B3FD3">
                              <w:rPr>
                                <w:rFonts w:hint="eastAsia"/>
                                <w:sz w:val="22"/>
                                <w:szCs w:val="22"/>
                              </w:rPr>
                              <w:t>大</w:t>
                            </w:r>
                          </w:p>
                          <w:p w14:paraId="19EA3A10" w14:textId="77777777" w:rsidR="006A5267" w:rsidRPr="007B3FD3" w:rsidRDefault="006A5267" w:rsidP="008B4B2B">
                            <w:pPr>
                              <w:rPr>
                                <w:sz w:val="22"/>
                                <w:szCs w:val="22"/>
                              </w:rPr>
                            </w:pPr>
                            <w:r w:rsidRPr="007B3FD3">
                              <w:rPr>
                                <w:rFonts w:hint="eastAsia"/>
                                <w:sz w:val="22"/>
                                <w:szCs w:val="22"/>
                              </w:rPr>
                              <w:t>阪</w:t>
                            </w:r>
                          </w:p>
                          <w:p w14:paraId="49C23328" w14:textId="77777777" w:rsidR="006A5267" w:rsidRPr="007B3FD3" w:rsidRDefault="006A5267" w:rsidP="008B4B2B">
                            <w:pPr>
                              <w:rPr>
                                <w:sz w:val="22"/>
                                <w:szCs w:val="22"/>
                              </w:rPr>
                            </w:pPr>
                            <w:r w:rsidRPr="007B3FD3">
                              <w:rPr>
                                <w:rFonts w:hint="eastAsia"/>
                                <w:sz w:val="22"/>
                                <w:szCs w:val="22"/>
                              </w:rPr>
                              <w:t>府</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roundrect w14:anchorId="4BCF9A22" id="AutoShape 2700" o:spid="_x0000_s1589" style="position:absolute;left:0;text-align:left;margin-left:243pt;margin-top:0;width:27pt;height:90pt;z-index:2534277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">
                <v:textbox inset="5.85pt,.7pt,5.85pt,.7pt">
                  <w:txbxContent>
                    <w:p w14:paraId="6B9DEA5D" w14:textId="77777777" w:rsidR="006A5267" w:rsidRDefault="006A5267" w:rsidP="008B4B2B"/>
                    <w:p w14:paraId="2434D55E" w14:textId="77777777" w:rsidR="006A5267" w:rsidRPr="007B3FD3" w:rsidRDefault="006A5267" w:rsidP="008B4B2B">
                      <w:pPr>
                        <w:rPr>
                          <w:sz w:val="22"/>
                          <w:szCs w:val="22"/>
                        </w:rPr>
                      </w:pPr>
                      <w:r w:rsidRPr="007B3FD3">
                        <w:rPr>
                          <w:rFonts w:hint="eastAsia"/>
                          <w:sz w:val="22"/>
                          <w:szCs w:val="22"/>
                        </w:rPr>
                        <w:t>大</w:t>
                      </w:r>
                    </w:p>
                    <w:p w14:paraId="19EA3A10" w14:textId="77777777" w:rsidR="006A5267" w:rsidRPr="007B3FD3" w:rsidRDefault="006A5267" w:rsidP="008B4B2B">
                      <w:pPr>
                        <w:rPr>
                          <w:sz w:val="22"/>
                          <w:szCs w:val="22"/>
                        </w:rPr>
                      </w:pPr>
                      <w:r w:rsidRPr="007B3FD3">
                        <w:rPr>
                          <w:rFonts w:hint="eastAsia"/>
                          <w:sz w:val="22"/>
                          <w:szCs w:val="22"/>
                        </w:rPr>
                        <w:t>阪</w:t>
                      </w:r>
                    </w:p>
                    <w:p w14:paraId="49C23328" w14:textId="77777777" w:rsidR="006A5267" w:rsidRPr="007B3FD3" w:rsidRDefault="006A5267" w:rsidP="008B4B2B">
                      <w:pPr>
                        <w:rPr>
                          <w:sz w:val="22"/>
                          <w:szCs w:val="22"/>
                        </w:rPr>
                      </w:pPr>
                      <w:r w:rsidRPr="007B3FD3">
                        <w:rPr>
                          <w:rFonts w:hint="eastAsia"/>
                          <w:sz w:val="22"/>
                          <w:szCs w:val="22"/>
                        </w:rPr>
                        <w:t>府</w:t>
                      </w:r>
                    </w:p>
                  </w:txbxContent>
                </v:textbox>
              </v:roundrect>
            </w:pict>
          </mc:Fallback>
        </mc:AlternateContent>
      </w:r>
      <w:r w:rsidRPr="008A3EDE">
        <w:rPr>
          <w:rFonts w:ascii="ＭＳ ゴシック" w:eastAsia="ＭＳ ゴシック" w:hAnsi="ＭＳ ゴシック" w:hint="eastAsia"/>
          <w:noProof/>
          <w:sz w:val="22"/>
          <w:szCs w:val="22"/>
        </w:rPr>
        <mc:AlternateContent>
          <mc:Choice Requires="wps">
            <w:drawing>
              <wp:anchor distT="0" distB="0" distL="114300" distR="114300" simplePos="0" relativeHeight="253425664" behindDoc="0" locked="0" layoutInCell="1" allowOverlap="1" wp14:anchorId="4A486835" wp14:editId="0CE35D16">
                <wp:simplePos x="0" y="0"/>
                <wp:positionH relativeFrom="column">
                  <wp:posOffset>1371600</wp:posOffset>
                </wp:positionH>
                <wp:positionV relativeFrom="paragraph">
                  <wp:posOffset>0</wp:posOffset>
                </wp:positionV>
                <wp:extent cx="342900" cy="1143000"/>
                <wp:effectExtent l="9525" t="9525" r="9525" b="9525"/>
                <wp:wrapNone/>
                <wp:docPr id="3819" name="AutoShape 269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42900" cy="1143000"/>
                        </a:xfrm>
                        <a:prstGeom prst="roundRect">
                          <a:avLst>
                            <a:gd name="adj" fmla="val 16667"/>
                          </a:avLst>
                        </a:prstGeom>
                        <a:solidFill>
                          <a:srgbClr val="FFFFFF"/>
                        </a:solidFill>
                        <a:ln w="9525">
                          <a:solidFill>
                            <a:srgbClr val="000000"/>
                          </a:solidFill>
                          <a:round/>
                          <a:headEnd/>
                          <a:tailEnd/>
                        </a:ln>
                      </wps:spPr>
                      <wps:txbx>
                        <w:txbxContent>
                          <w:p w14:paraId="12559A80" w14:textId="77777777" w:rsidR="006A5267" w:rsidRDefault="006A5267" w:rsidP="008B4B2B"/>
                          <w:p w14:paraId="7914C955" w14:textId="77777777" w:rsidR="006A5267" w:rsidRPr="007B3FD3" w:rsidRDefault="006A5267" w:rsidP="008B4B2B">
                            <w:pPr>
                              <w:rPr>
                                <w:sz w:val="22"/>
                                <w:szCs w:val="22"/>
                              </w:rPr>
                            </w:pPr>
                            <w:r w:rsidRPr="007B3FD3">
                              <w:rPr>
                                <w:rFonts w:hint="eastAsia"/>
                                <w:sz w:val="22"/>
                                <w:szCs w:val="22"/>
                              </w:rPr>
                              <w:t>市</w:t>
                            </w:r>
                          </w:p>
                          <w:p w14:paraId="2D7CC1DC" w14:textId="77777777" w:rsidR="006A5267" w:rsidRPr="007B3FD3" w:rsidRDefault="006A5267" w:rsidP="008B4B2B">
                            <w:pPr>
                              <w:rPr>
                                <w:sz w:val="22"/>
                                <w:szCs w:val="22"/>
                              </w:rPr>
                            </w:pPr>
                            <w:r w:rsidRPr="007B3FD3">
                              <w:rPr>
                                <w:rFonts w:hint="eastAsia"/>
                                <w:sz w:val="22"/>
                                <w:szCs w:val="22"/>
                              </w:rPr>
                              <w:t>町</w:t>
                            </w:r>
                          </w:p>
                          <w:p w14:paraId="2625D1B1" w14:textId="77777777" w:rsidR="006A5267" w:rsidRPr="007B3FD3" w:rsidRDefault="006A5267" w:rsidP="008B4B2B">
                            <w:pPr>
                              <w:rPr>
                                <w:sz w:val="22"/>
                                <w:szCs w:val="22"/>
                              </w:rPr>
                            </w:pPr>
                            <w:r w:rsidRPr="007B3FD3">
                              <w:rPr>
                                <w:rFonts w:hint="eastAsia"/>
                                <w:sz w:val="22"/>
                                <w:szCs w:val="22"/>
                              </w:rPr>
                              <w:t>村</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roundrect w14:anchorId="4A486835" id="AutoShape 2698" o:spid="_x0000_s1590" style="position:absolute;left:0;text-align:left;margin-left:108pt;margin-top:0;width:27pt;height:90pt;z-index:2534256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">
                <v:textbox inset="5.85pt,.7pt,5.85pt,.7pt">
                  <w:txbxContent>
                    <w:p w14:paraId="12559A80" w14:textId="77777777" w:rsidR="006A5267" w:rsidRDefault="006A5267" w:rsidP="008B4B2B"/>
                    <w:p w14:paraId="7914C955" w14:textId="77777777" w:rsidR="006A5267" w:rsidRPr="007B3FD3" w:rsidRDefault="006A5267" w:rsidP="008B4B2B">
                      <w:pPr>
                        <w:rPr>
                          <w:sz w:val="22"/>
                          <w:szCs w:val="22"/>
                        </w:rPr>
                      </w:pPr>
                      <w:r w:rsidRPr="007B3FD3">
                        <w:rPr>
                          <w:rFonts w:hint="eastAsia"/>
                          <w:sz w:val="22"/>
                          <w:szCs w:val="22"/>
                        </w:rPr>
                        <w:t>市</w:t>
                      </w:r>
                    </w:p>
                    <w:p w14:paraId="2D7CC1DC" w14:textId="77777777" w:rsidR="006A5267" w:rsidRPr="007B3FD3" w:rsidRDefault="006A5267" w:rsidP="008B4B2B">
                      <w:pPr>
                        <w:rPr>
                          <w:sz w:val="22"/>
                          <w:szCs w:val="22"/>
                        </w:rPr>
                      </w:pPr>
                      <w:r w:rsidRPr="007B3FD3">
                        <w:rPr>
                          <w:rFonts w:hint="eastAsia"/>
                          <w:sz w:val="22"/>
                          <w:szCs w:val="22"/>
                        </w:rPr>
                        <w:t>町</w:t>
                      </w:r>
                    </w:p>
                    <w:p w14:paraId="2625D1B1" w14:textId="77777777" w:rsidR="006A5267" w:rsidRPr="007B3FD3" w:rsidRDefault="006A5267" w:rsidP="008B4B2B">
                      <w:pPr>
                        <w:rPr>
                          <w:sz w:val="22"/>
                          <w:szCs w:val="22"/>
                        </w:rPr>
                      </w:pPr>
                      <w:r w:rsidRPr="007B3FD3">
                        <w:rPr>
                          <w:rFonts w:hint="eastAsia"/>
                          <w:sz w:val="22"/>
                          <w:szCs w:val="22"/>
                        </w:rPr>
                        <w:t>村</w:t>
                      </w:r>
                    </w:p>
                  </w:txbxContent>
                </v:textbox>
              </v:roundrect>
            </w:pict>
          </mc:Fallback>
        </mc:AlternateContent>
      </w:r>
    </w:p>
    <w:p w14:paraId="4A808F6E" w14:textId="77777777" w:rsidR="008B4B2B" w:rsidRPr="008A3EDE" w:rsidRDefault="008B4B2B" w:rsidP="008B4B2B">
      <w:pPr>
        <w:pStyle w:val="a0"/>
        <w:rPr>
          <w:rFonts w:ascii="ＭＳ ゴシック" w:eastAsia="ＭＳ ゴシック" w:hAnsi="ＭＳ ゴシック"/>
          <w:sz w:val="22"/>
          <w:szCs w:val="22"/>
        </w:rPr>
      </w:pPr>
      <w:r w:rsidRPr="008A3EDE">
        <w:rPr>
          <w:rFonts w:ascii="ＭＳ ゴシック" w:eastAsia="ＭＳ ゴシック" w:hAnsi="ＭＳ ゴシック" w:hint="eastAsia"/>
          <w:noProof/>
          <w:sz w:val="22"/>
          <w:szCs w:val="22"/>
        </w:rPr>
        <mc:AlternateContent>
          <mc:Choice Requires="wps">
            <w:drawing>
              <wp:anchor distT="0" distB="0" distL="114300" distR="114300" simplePos="0" relativeHeight="253438976" behindDoc="0" locked="0" layoutInCell="1" allowOverlap="1" wp14:anchorId="66D7D799" wp14:editId="0976DD60">
                <wp:simplePos x="0" y="0"/>
                <wp:positionH relativeFrom="column">
                  <wp:posOffset>1714500</wp:posOffset>
                </wp:positionH>
                <wp:positionV relativeFrom="paragraph">
                  <wp:posOffset>0</wp:posOffset>
                </wp:positionV>
                <wp:extent cx="1371600" cy="0"/>
                <wp:effectExtent l="9525" t="57150" r="19050" b="57150"/>
                <wp:wrapNone/>
                <wp:docPr id="3818" name="Line 271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371600" cy="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line w14:anchorId="750BBE43" id="Line 2710" o:spid="_x0000_s1026" style="position:absolute;left:0;text-align:left;z-index:2534389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35pt,0" to="243pt,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">
                <v:stroke endarrow="block"/>
              </v:line>
            </w:pict>
          </mc:Fallback>
        </mc:AlternateContent>
      </w:r>
      <w:r w:rsidRPr="008A3EDE">
        <w:rPr>
          <w:rFonts w:ascii="ＭＳ ゴシック" w:eastAsia="ＭＳ ゴシック" w:hAnsi="ＭＳ ゴシック" w:hint="eastAsia"/>
          <w:noProof/>
          <w:sz w:val="22"/>
          <w:szCs w:val="22"/>
        </w:rPr>
        <mc:AlternateContent>
          <mc:Choice Requires="wps">
            <w:drawing>
              <wp:anchor distT="0" distB="0" distL="114300" distR="114300" simplePos="0" relativeHeight="253428736" behindDoc="0" locked="0" layoutInCell="1" allowOverlap="1" wp14:anchorId="49ADD156" wp14:editId="3017712F">
                <wp:simplePos x="0" y="0"/>
                <wp:positionH relativeFrom="column">
                  <wp:posOffset>571500</wp:posOffset>
                </wp:positionH>
                <wp:positionV relativeFrom="paragraph">
                  <wp:posOffset>0</wp:posOffset>
                </wp:positionV>
                <wp:extent cx="800100" cy="0"/>
                <wp:effectExtent l="9525" t="57150" r="19050" b="57150"/>
                <wp:wrapNone/>
                <wp:docPr id="3817" name="Line 270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800100" cy="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line w14:anchorId="07EC7D07" id="Line 2701" o:spid="_x0000_s1026" style="position:absolute;left:0;text-align:left;z-index:2534287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5pt,0" to="108pt,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">
                <v:stroke endarrow="block"/>
              </v:line>
            </w:pict>
          </mc:Fallback>
        </mc:AlternateContent>
      </w:r>
      <w:r w:rsidRPr="008A3EDE">
        <w:rPr>
          <w:rFonts w:ascii="ＭＳ ゴシック" w:eastAsia="ＭＳ ゴシック" w:hAnsi="ＭＳ ゴシック" w:hint="eastAsia"/>
          <w:noProof/>
          <w:sz w:val="22"/>
          <w:szCs w:val="22"/>
        </w:rPr>
        <mc:AlternateContent>
          <mc:Choice Requires="wps">
            <w:drawing>
              <wp:anchor distT="0" distB="0" distL="114300" distR="114300" simplePos="0" relativeHeight="253437952" behindDoc="0" locked="0" layoutInCell="1" allowOverlap="1" wp14:anchorId="6177422D" wp14:editId="0E5DF297">
                <wp:simplePos x="0" y="0"/>
                <wp:positionH relativeFrom="column">
                  <wp:posOffset>3429000</wp:posOffset>
                </wp:positionH>
                <wp:positionV relativeFrom="paragraph">
                  <wp:posOffset>0</wp:posOffset>
                </wp:positionV>
                <wp:extent cx="1371600" cy="0"/>
                <wp:effectExtent l="9525" t="57150" r="19050" b="57150"/>
                <wp:wrapNone/>
                <wp:docPr id="3816" name="Line 270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371600" cy="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line w14:anchorId="451FB40E" id="Line 2709" o:spid="_x0000_s1026" style="position:absolute;left:0;text-align:left;z-index:2534379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70pt,0" to="378pt,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">
                <v:stroke endarrow="block"/>
              </v:line>
            </w:pict>
          </mc:Fallback>
        </mc:AlternateContent>
      </w:r>
    </w:p>
    <w:p w14:paraId="410B5E3B" w14:textId="77777777" w:rsidR="008B4B2B" w:rsidRPr="008A3EDE" w:rsidRDefault="008B4B2B" w:rsidP="008B4B2B">
      <w:pPr>
        <w:pStyle w:val="a0"/>
        <w:rPr>
          <w:rFonts w:ascii="ＭＳ ゴシック" w:eastAsia="ＭＳ ゴシック" w:hAnsi="ＭＳ ゴシック"/>
          <w:sz w:val="22"/>
          <w:szCs w:val="22"/>
        </w:rPr>
      </w:pPr>
    </w:p>
    <w:p w14:paraId="6C2ACD28" w14:textId="77777777" w:rsidR="008B4B2B" w:rsidRPr="008A3EDE" w:rsidRDefault="008B4B2B" w:rsidP="008B4B2B">
      <w:pPr>
        <w:pStyle w:val="a0"/>
        <w:rPr>
          <w:rFonts w:ascii="ＭＳ ゴシック" w:eastAsia="ＭＳ ゴシック" w:hAnsi="ＭＳ ゴシック"/>
          <w:sz w:val="22"/>
          <w:szCs w:val="22"/>
        </w:rPr>
      </w:pPr>
      <w:r w:rsidRPr="008A3EDE">
        <w:rPr>
          <w:rFonts w:ascii="ＭＳ ゴシック" w:eastAsia="ＭＳ ゴシック" w:hAnsi="ＭＳ ゴシック" w:hint="eastAsia"/>
          <w:noProof/>
          <w:sz w:val="22"/>
          <w:szCs w:val="22"/>
        </w:rPr>
        <mc:AlternateContent>
          <mc:Choice Requires="wps">
            <w:drawing>
              <wp:anchor distT="0" distB="0" distL="114300" distR="114300" simplePos="0" relativeHeight="253430784" behindDoc="0" locked="0" layoutInCell="1" allowOverlap="1" wp14:anchorId="2DBF8357" wp14:editId="45304E84">
                <wp:simplePos x="0" y="0"/>
                <wp:positionH relativeFrom="column">
                  <wp:posOffset>3429000</wp:posOffset>
                </wp:positionH>
                <wp:positionV relativeFrom="paragraph">
                  <wp:posOffset>166370</wp:posOffset>
                </wp:positionV>
                <wp:extent cx="1371600" cy="342900"/>
                <wp:effectExtent l="0" t="4445" r="0" b="0"/>
                <wp:wrapNone/>
                <wp:docPr id="3815" name="Text Box 270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71600" cy="3429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AA77D68" w14:textId="77777777" w:rsidR="006A5267" w:rsidRPr="008053DE" w:rsidRDefault="006A5267" w:rsidP="008B4B2B">
                            <w:pPr>
                              <w:spacing w:line="240" w:lineRule="exact"/>
                              <w:rPr>
                                <w:szCs w:val="22"/>
                              </w:rPr>
                            </w:pPr>
                            <w:r>
                              <w:rPr>
                                <w:rFonts w:hint="eastAsia"/>
                                <w:szCs w:val="22"/>
                              </w:rPr>
                              <w:t>支援金の支給の報告</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shape w14:anchorId="2DBF8357" id="Text Box 2703" o:spid="_x0000_s1591" type="#_x0000_t202" style="position:absolute;left:0;text-align:left;margin-left:270pt;margin-top:13.1pt;width:108pt;height:27pt;z-index:2534307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" filled="f" stroked="f">
                <v:textbox inset="5.85pt,.7pt,5.85pt,.7pt">
                  <w:txbxContent>
                    <w:p w14:paraId="1AA77D68" w14:textId="77777777" w:rsidR="006A5267" w:rsidRPr="008053DE" w:rsidRDefault="006A5267" w:rsidP="008B4B2B">
                      <w:pPr>
                        <w:spacing w:line="240" w:lineRule="exact"/>
                        <w:rPr>
                          <w:szCs w:val="22"/>
                        </w:rPr>
                      </w:pPr>
                      <w:r>
                        <w:rPr>
                          <w:rFonts w:hint="eastAsia"/>
                          <w:szCs w:val="22"/>
                        </w:rPr>
                        <w:t>支援金の支給の報告</w:t>
                      </w:r>
                    </w:p>
                  </w:txbxContent>
                </v:textbox>
              </v:shape>
            </w:pict>
          </mc:Fallback>
        </mc:AlternateContent>
      </w:r>
      <w:r w:rsidRPr="008A3EDE">
        <w:rPr>
          <w:rFonts w:ascii="ＭＳ ゴシック" w:eastAsia="ＭＳ ゴシック" w:hAnsi="ＭＳ ゴシック" w:hint="eastAsia"/>
          <w:noProof/>
          <w:sz w:val="22"/>
          <w:szCs w:val="22"/>
        </w:rPr>
        <mc:AlternateContent>
          <mc:Choice Requires="wps">
            <w:drawing>
              <wp:anchor distT="0" distB="0" distL="114300" distR="114300" simplePos="0" relativeHeight="253443072" behindDoc="0" locked="0" layoutInCell="1" allowOverlap="1" wp14:anchorId="5338C808" wp14:editId="6940F89D">
                <wp:simplePos x="0" y="0"/>
                <wp:positionH relativeFrom="column">
                  <wp:posOffset>1714500</wp:posOffset>
                </wp:positionH>
                <wp:positionV relativeFrom="paragraph">
                  <wp:posOffset>166370</wp:posOffset>
                </wp:positionV>
                <wp:extent cx="1371600" cy="342900"/>
                <wp:effectExtent l="0" t="4445" r="0" b="0"/>
                <wp:wrapNone/>
                <wp:docPr id="3814" name="Text Box 271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71600" cy="3429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E7645B9" w14:textId="77777777" w:rsidR="006A5267" w:rsidRPr="008053DE" w:rsidRDefault="006A5267" w:rsidP="008B4B2B">
                            <w:pPr>
                              <w:spacing w:line="240" w:lineRule="exact"/>
                              <w:rPr>
                                <w:szCs w:val="22"/>
                              </w:rPr>
                            </w:pPr>
                            <w:r>
                              <w:rPr>
                                <w:rFonts w:hint="eastAsia"/>
                                <w:szCs w:val="22"/>
                              </w:rPr>
                              <w:t>支援金の支給の報告</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shape w14:anchorId="5338C808" id="Text Box 2714" o:spid="_x0000_s1592" type="#_x0000_t202" style="position:absolute;left:0;text-align:left;margin-left:135pt;margin-top:13.1pt;width:108pt;height:27pt;z-index:2534430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" filled="f" stroked="f">
                <v:textbox inset="5.85pt,.7pt,5.85pt,.7pt">
                  <w:txbxContent>
                    <w:p w14:paraId="7E7645B9" w14:textId="77777777" w:rsidR="006A5267" w:rsidRPr="008053DE" w:rsidRDefault="006A5267" w:rsidP="008B4B2B">
                      <w:pPr>
                        <w:spacing w:line="240" w:lineRule="exact"/>
                        <w:rPr>
                          <w:szCs w:val="22"/>
                        </w:rPr>
                      </w:pPr>
                      <w:r>
                        <w:rPr>
                          <w:rFonts w:hint="eastAsia"/>
                          <w:szCs w:val="22"/>
                        </w:rPr>
                        <w:t>支援金の支給の報告</w:t>
                      </w:r>
                    </w:p>
                  </w:txbxContent>
                </v:textbox>
              </v:shape>
            </w:pict>
          </mc:Fallback>
        </mc:AlternateContent>
      </w:r>
      <w:r w:rsidRPr="008A3EDE">
        <w:rPr>
          <w:rFonts w:ascii="ＭＳ ゴシック" w:eastAsia="ＭＳ ゴシック" w:hAnsi="ＭＳ ゴシック" w:hint="eastAsia"/>
          <w:noProof/>
          <w:sz w:val="22"/>
          <w:szCs w:val="22"/>
        </w:rPr>
        <mc:AlternateContent>
          <mc:Choice Requires="wps">
            <w:drawing>
              <wp:anchor distT="0" distB="0" distL="114300" distR="114300" simplePos="0" relativeHeight="253442048" behindDoc="0" locked="0" layoutInCell="1" allowOverlap="1" wp14:anchorId="002EF63A" wp14:editId="7C8E96FE">
                <wp:simplePos x="0" y="0"/>
                <wp:positionH relativeFrom="column">
                  <wp:posOffset>1714500</wp:posOffset>
                </wp:positionH>
                <wp:positionV relativeFrom="paragraph">
                  <wp:posOffset>114300</wp:posOffset>
                </wp:positionV>
                <wp:extent cx="1371600" cy="0"/>
                <wp:effectExtent l="19050" t="57150" r="9525" b="57150"/>
                <wp:wrapNone/>
                <wp:docPr id="3813" name="Line 271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1371600" cy="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line w14:anchorId="0FC1FE51" id="Line 2713" o:spid="_x0000_s1026" style="position:absolute;left:0;text-align:left;flip:x;z-index:2534420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35pt,9pt" to="243pt,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">
                <v:stroke endarrow="block"/>
              </v:line>
            </w:pict>
          </mc:Fallback>
        </mc:AlternateContent>
      </w:r>
      <w:r w:rsidRPr="008A3EDE">
        <w:rPr>
          <w:rFonts w:ascii="ＭＳ ゴシック" w:eastAsia="ＭＳ ゴシック" w:hAnsi="ＭＳ ゴシック" w:hint="eastAsia"/>
          <w:noProof/>
          <w:sz w:val="22"/>
          <w:szCs w:val="22"/>
        </w:rPr>
        <mc:AlternateContent>
          <mc:Choice Requires="wps">
            <w:drawing>
              <wp:anchor distT="0" distB="0" distL="114300" distR="114300" simplePos="0" relativeHeight="253441024" behindDoc="0" locked="0" layoutInCell="1" allowOverlap="1" wp14:anchorId="78FA2981" wp14:editId="05438710">
                <wp:simplePos x="0" y="0"/>
                <wp:positionH relativeFrom="column">
                  <wp:posOffset>3429000</wp:posOffset>
                </wp:positionH>
                <wp:positionV relativeFrom="paragraph">
                  <wp:posOffset>114300</wp:posOffset>
                </wp:positionV>
                <wp:extent cx="1371600" cy="0"/>
                <wp:effectExtent l="19050" t="57150" r="9525" b="57150"/>
                <wp:wrapNone/>
                <wp:docPr id="3812" name="Line 271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1371600" cy="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line w14:anchorId="7E175F40" id="Line 2712" o:spid="_x0000_s1026" style="position:absolute;left:0;text-align:left;flip:x;z-index:2534410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70pt,9pt" to="378pt,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">
                <v:stroke endarrow="block"/>
              </v:line>
            </w:pict>
          </mc:Fallback>
        </mc:AlternateContent>
      </w:r>
    </w:p>
    <w:p w14:paraId="410D5B90" w14:textId="77777777" w:rsidR="008B4B2B" w:rsidRPr="008A3EDE" w:rsidRDefault="008B4B2B" w:rsidP="008B4B2B">
      <w:pPr>
        <w:pStyle w:val="a0"/>
        <w:rPr>
          <w:rFonts w:ascii="ＭＳ ゴシック" w:eastAsia="ＭＳ ゴシック" w:hAnsi="ＭＳ ゴシック"/>
          <w:sz w:val="22"/>
          <w:szCs w:val="22"/>
        </w:rPr>
      </w:pPr>
    </w:p>
    <w:p w14:paraId="387E69AC" w14:textId="77777777" w:rsidR="008B4B2B" w:rsidRPr="008A3EDE" w:rsidRDefault="008B4B2B" w:rsidP="008B4B2B">
      <w:pPr>
        <w:pStyle w:val="a0"/>
        <w:rPr>
          <w:rFonts w:ascii="ＭＳ ゴシック" w:eastAsia="ＭＳ ゴシック" w:hAnsi="ＭＳ ゴシック"/>
          <w:sz w:val="22"/>
          <w:szCs w:val="22"/>
        </w:rPr>
      </w:pPr>
    </w:p>
    <w:p w14:paraId="64A8B476" w14:textId="77777777" w:rsidR="008B4B2B" w:rsidRPr="008A3EDE" w:rsidRDefault="008B4B2B" w:rsidP="008B4B2B">
      <w:pPr>
        <w:pStyle w:val="a0"/>
        <w:rPr>
          <w:rFonts w:ascii="ＭＳ ゴシック" w:eastAsia="ＭＳ ゴシック" w:hAnsi="ＭＳ ゴシック"/>
          <w:sz w:val="22"/>
          <w:szCs w:val="22"/>
        </w:rPr>
      </w:pPr>
      <w:r w:rsidRPr="008A3EDE">
        <w:rPr>
          <w:rFonts w:ascii="ＭＳ ゴシック" w:eastAsia="ＭＳ ゴシック" w:hAnsi="ＭＳ ゴシック" w:hint="eastAsia"/>
          <w:noProof/>
          <w:sz w:val="22"/>
          <w:szCs w:val="22"/>
        </w:rPr>
        <mc:AlternateContent>
          <mc:Choice Requires="wps">
            <w:drawing>
              <wp:anchor distT="0" distB="0" distL="114300" distR="114300" simplePos="0" relativeHeight="253431808" behindDoc="0" locked="0" layoutInCell="1" allowOverlap="1" wp14:anchorId="05271AFE" wp14:editId="0AA11CCD">
                <wp:simplePos x="0" y="0"/>
                <wp:positionH relativeFrom="column">
                  <wp:posOffset>1600200</wp:posOffset>
                </wp:positionH>
                <wp:positionV relativeFrom="paragraph">
                  <wp:posOffset>0</wp:posOffset>
                </wp:positionV>
                <wp:extent cx="2057400" cy="228600"/>
                <wp:effectExtent l="0" t="0" r="0" b="0"/>
                <wp:wrapNone/>
                <wp:docPr id="3811" name="Text Box 270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57400" cy="2286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B618D83" w14:textId="77777777" w:rsidR="006A5267" w:rsidRPr="00EB056B" w:rsidRDefault="006A5267" w:rsidP="008B4B2B">
                            <w:pPr>
                              <w:rPr>
                                <w:sz w:val="22"/>
                                <w:szCs w:val="22"/>
                              </w:rPr>
                            </w:pPr>
                            <w:r>
                              <w:rPr>
                                <w:rFonts w:hint="eastAsia"/>
                                <w:sz w:val="22"/>
                                <w:szCs w:val="22"/>
                              </w:rPr>
                              <w:t>支援金の支給の決定及び支給</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shape w14:anchorId="05271AFE" id="Text Box 2704" o:spid="_x0000_s1593" type="#_x0000_t202" style="position:absolute;left:0;text-align:left;margin-left:126pt;margin-top:0;width:162pt;height:18pt;z-index:2534318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" filled="f" stroked="f">
                <v:textbox inset="5.85pt,.7pt,5.85pt,.7pt">
                  <w:txbxContent>
                    <w:p w14:paraId="1B618D83" w14:textId="77777777" w:rsidR="006A5267" w:rsidRPr="00EB056B" w:rsidRDefault="006A5267" w:rsidP="008B4B2B">
                      <w:pPr>
                        <w:rPr>
                          <w:sz w:val="22"/>
                          <w:szCs w:val="22"/>
                        </w:rPr>
                      </w:pPr>
                      <w:r>
                        <w:rPr>
                          <w:rFonts w:hint="eastAsia"/>
                          <w:sz w:val="22"/>
                          <w:szCs w:val="22"/>
                        </w:rPr>
                        <w:t>支援金の支給の決定及び支給</w:t>
                      </w:r>
                    </w:p>
                  </w:txbxContent>
                </v:textbox>
              </v:shape>
            </w:pict>
          </mc:Fallback>
        </mc:AlternateContent>
      </w:r>
      <w:r w:rsidRPr="008A3EDE">
        <w:rPr>
          <w:rFonts w:ascii="ＭＳ ゴシック" w:eastAsia="ＭＳ ゴシック" w:hAnsi="ＭＳ ゴシック" w:hint="eastAsia"/>
          <w:noProof/>
          <w:sz w:val="22"/>
          <w:szCs w:val="22"/>
        </w:rPr>
        <mc:AlternateContent>
          <mc:Choice Requires="wps">
            <w:drawing>
              <wp:anchor distT="0" distB="0" distL="114300" distR="114300" simplePos="0" relativeHeight="253444096" behindDoc="0" locked="0" layoutInCell="1" allowOverlap="1" wp14:anchorId="5837D87A" wp14:editId="61DA897C">
                <wp:simplePos x="0" y="0"/>
                <wp:positionH relativeFrom="column">
                  <wp:posOffset>571500</wp:posOffset>
                </wp:positionH>
                <wp:positionV relativeFrom="paragraph">
                  <wp:posOffset>0</wp:posOffset>
                </wp:positionV>
                <wp:extent cx="4229100" cy="0"/>
                <wp:effectExtent l="19050" t="57150" r="9525" b="57150"/>
                <wp:wrapNone/>
                <wp:docPr id="3810" name="Line 271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4229100" cy="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line w14:anchorId="1A3B8E1A" id="Line 2715" o:spid="_x0000_s1026" style="position:absolute;left:0;text-align:left;flip:x;z-index:2534440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5pt,0" to="378pt,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">
                <v:stroke endarrow="block"/>
              </v:line>
            </w:pict>
          </mc:Fallback>
        </mc:AlternateContent>
      </w:r>
    </w:p>
    <w:p w14:paraId="37200FEC" w14:textId="77777777" w:rsidR="008B4B2B" w:rsidRPr="008A3EDE" w:rsidRDefault="008B4B2B" w:rsidP="008B4B2B">
      <w:pPr>
        <w:pStyle w:val="a0"/>
        <w:rPr>
          <w:rFonts w:ascii="ＭＳ ゴシック" w:eastAsia="ＭＳ ゴシック" w:hAnsi="ＭＳ ゴシック"/>
          <w:sz w:val="22"/>
          <w:szCs w:val="22"/>
        </w:rPr>
      </w:pPr>
    </w:p>
    <w:p w14:paraId="640FB0A4" w14:textId="77777777" w:rsidR="008B4B2B" w:rsidRPr="008A3EDE" w:rsidRDefault="008B4B2B" w:rsidP="008B4B2B">
      <w:pPr>
        <w:pStyle w:val="a0"/>
        <w:ind w:firstLineChars="300" w:firstLine="663"/>
        <w:rPr>
          <w:sz w:val="22"/>
          <w:szCs w:val="22"/>
          <w:u w:val="single"/>
        </w:rPr>
      </w:pPr>
      <w:r w:rsidRPr="008A3EDE">
        <w:rPr>
          <w:rFonts w:hint="eastAsia"/>
          <w:sz w:val="22"/>
          <w:szCs w:val="22"/>
          <w:u w:val="single"/>
        </w:rPr>
        <w:t>１　被害状況の報告</w:t>
      </w:r>
    </w:p>
    <w:p w14:paraId="48F87099" w14:textId="77777777" w:rsidR="008B4B2B" w:rsidRPr="008A3EDE" w:rsidRDefault="008B4B2B" w:rsidP="008B4B2B">
      <w:pPr>
        <w:ind w:leftChars="400" w:left="844" w:firstLineChars="100" w:firstLine="221"/>
        <w:rPr>
          <w:rFonts w:ascii="ＭＳ 明朝" w:hAnsi="ＭＳ 明朝"/>
          <w:sz w:val="22"/>
          <w:szCs w:val="22"/>
        </w:rPr>
      </w:pPr>
      <w:r w:rsidRPr="008A3EDE">
        <w:rPr>
          <w:rFonts w:ascii="ＭＳ 明朝" w:hAnsi="ＭＳ 明朝" w:hint="eastAsia"/>
          <w:sz w:val="22"/>
          <w:szCs w:val="22"/>
        </w:rPr>
        <w:t>災害対策課長は、府内市町村からの被害状況を取りまとめ、内閣府及び被災者生活再建支援法人（公益財団法人 都道府県会館）に対して被害状況の報告を行う。</w:t>
      </w:r>
    </w:p>
    <w:p w14:paraId="7E04826F" w14:textId="77777777" w:rsidR="008B4B2B" w:rsidRPr="008A3EDE" w:rsidRDefault="008B4B2B" w:rsidP="008B4B2B">
      <w:pPr>
        <w:pStyle w:val="a0"/>
        <w:ind w:firstLineChars="300" w:firstLine="663"/>
        <w:rPr>
          <w:rFonts w:hAnsi="ＭＳ 明朝"/>
          <w:sz w:val="22"/>
          <w:szCs w:val="22"/>
        </w:rPr>
      </w:pPr>
    </w:p>
    <w:p w14:paraId="0E0CC8E6" w14:textId="77777777" w:rsidR="008B4B2B" w:rsidRPr="008A3EDE" w:rsidRDefault="008B4B2B" w:rsidP="008B4B2B">
      <w:pPr>
        <w:pStyle w:val="a0"/>
        <w:ind w:firstLineChars="300" w:firstLine="663"/>
        <w:rPr>
          <w:rFonts w:hAnsi="ＭＳ 明朝"/>
          <w:sz w:val="22"/>
          <w:szCs w:val="22"/>
          <w:u w:val="single"/>
        </w:rPr>
      </w:pPr>
      <w:r w:rsidRPr="008A3EDE">
        <w:rPr>
          <w:rFonts w:hAnsi="ＭＳ 明朝" w:hint="eastAsia"/>
          <w:sz w:val="22"/>
          <w:szCs w:val="22"/>
          <w:u w:val="single"/>
        </w:rPr>
        <w:t xml:space="preserve">２　</w:t>
      </w:r>
      <w:r w:rsidRPr="008A3EDE">
        <w:rPr>
          <w:rFonts w:hint="eastAsia"/>
          <w:sz w:val="22"/>
          <w:szCs w:val="22"/>
          <w:u w:val="single"/>
        </w:rPr>
        <w:t>被災者生活再建支援法の適用・公示</w:t>
      </w:r>
    </w:p>
    <w:p w14:paraId="1B83DAAD" w14:textId="77777777" w:rsidR="008B4B2B" w:rsidRPr="008A3EDE" w:rsidRDefault="008B4B2B" w:rsidP="008B4B2B">
      <w:pPr>
        <w:pStyle w:val="a0"/>
        <w:ind w:left="1327" w:hangingChars="600" w:hanging="1327"/>
        <w:rPr>
          <w:sz w:val="22"/>
          <w:szCs w:val="22"/>
        </w:rPr>
      </w:pPr>
      <w:r w:rsidRPr="008A3EDE">
        <w:rPr>
          <w:rFonts w:hint="eastAsia"/>
          <w:sz w:val="22"/>
          <w:szCs w:val="22"/>
        </w:rPr>
        <w:t xml:space="preserve">　　　　  災害対策課長は、府内市町村の被害状況から、被災者生活再建支援法に定め</w:t>
      </w:r>
    </w:p>
    <w:p w14:paraId="2C68DE63" w14:textId="77777777" w:rsidR="008B4B2B" w:rsidRPr="008A3EDE" w:rsidRDefault="008B4B2B" w:rsidP="008B4B2B">
      <w:pPr>
        <w:pStyle w:val="a0"/>
        <w:ind w:leftChars="400" w:left="1286" w:hangingChars="200" w:hanging="442"/>
        <w:rPr>
          <w:rFonts w:hAnsi="ＭＳ 明朝"/>
          <w:sz w:val="22"/>
          <w:szCs w:val="22"/>
        </w:rPr>
      </w:pPr>
      <w:r w:rsidRPr="008A3EDE">
        <w:rPr>
          <w:rFonts w:hint="eastAsia"/>
          <w:sz w:val="22"/>
          <w:szCs w:val="22"/>
        </w:rPr>
        <w:t>る該当災害に合致する場合、内閣府及び被災者生活再建支援法人</w:t>
      </w:r>
      <w:r w:rsidRPr="008A3EDE">
        <w:rPr>
          <w:rFonts w:hAnsi="ＭＳ 明朝" w:hint="eastAsia"/>
          <w:sz w:val="22"/>
          <w:szCs w:val="22"/>
        </w:rPr>
        <w:t>（公益財団法</w:t>
      </w:r>
    </w:p>
    <w:p w14:paraId="4E285701" w14:textId="77777777" w:rsidR="008B4B2B" w:rsidRPr="008A3EDE" w:rsidRDefault="008B4B2B" w:rsidP="008B4B2B">
      <w:pPr>
        <w:pStyle w:val="a0"/>
        <w:ind w:leftChars="400" w:left="1286" w:hangingChars="200" w:hanging="442"/>
        <w:rPr>
          <w:sz w:val="22"/>
          <w:szCs w:val="22"/>
        </w:rPr>
      </w:pPr>
      <w:r w:rsidRPr="008A3EDE">
        <w:rPr>
          <w:rFonts w:hAnsi="ＭＳ 明朝" w:hint="eastAsia"/>
          <w:sz w:val="22"/>
          <w:szCs w:val="22"/>
        </w:rPr>
        <w:t>人 都道府県会館）</w:t>
      </w:r>
      <w:r w:rsidRPr="008A3EDE">
        <w:rPr>
          <w:rFonts w:hint="eastAsia"/>
          <w:sz w:val="22"/>
          <w:szCs w:val="22"/>
        </w:rPr>
        <w:t>に対して報告するとともに、当該市町村の区域に法を適用し、</w:t>
      </w:r>
    </w:p>
    <w:p w14:paraId="7C9E8F6F" w14:textId="77777777" w:rsidR="008B4B2B" w:rsidRPr="008A3EDE" w:rsidRDefault="008B4B2B" w:rsidP="008B4B2B">
      <w:pPr>
        <w:pStyle w:val="a0"/>
        <w:ind w:leftChars="400" w:left="1286" w:hangingChars="200" w:hanging="442"/>
        <w:rPr>
          <w:sz w:val="22"/>
          <w:szCs w:val="22"/>
        </w:rPr>
      </w:pPr>
      <w:r w:rsidRPr="008A3EDE">
        <w:rPr>
          <w:rFonts w:hint="eastAsia"/>
          <w:sz w:val="22"/>
          <w:szCs w:val="22"/>
        </w:rPr>
        <w:t>その旨を告示する。</w:t>
      </w:r>
    </w:p>
    <w:p w14:paraId="69F19FDD" w14:textId="77777777" w:rsidR="008B4B2B" w:rsidRPr="008A3EDE" w:rsidRDefault="008B4B2B" w:rsidP="008B4B2B">
      <w:pPr>
        <w:ind w:firstLineChars="300" w:firstLine="663"/>
        <w:rPr>
          <w:rFonts w:ascii="ＭＳ 明朝" w:hAnsi="ＭＳ 明朝"/>
          <w:sz w:val="22"/>
          <w:szCs w:val="22"/>
        </w:rPr>
      </w:pPr>
    </w:p>
    <w:p w14:paraId="758EDBF1" w14:textId="77777777" w:rsidR="008B4B2B" w:rsidRPr="008A3EDE" w:rsidRDefault="008B4B2B" w:rsidP="008B4B2B">
      <w:pPr>
        <w:ind w:firstLineChars="300" w:firstLine="663"/>
        <w:rPr>
          <w:rFonts w:ascii="ＭＳ 明朝" w:hAnsi="ＭＳ 明朝"/>
          <w:sz w:val="22"/>
          <w:szCs w:val="22"/>
          <w:u w:val="single"/>
        </w:rPr>
      </w:pPr>
      <w:r w:rsidRPr="008A3EDE">
        <w:rPr>
          <w:rFonts w:ascii="ＭＳ 明朝" w:hAnsi="ＭＳ 明朝" w:hint="eastAsia"/>
          <w:sz w:val="22"/>
          <w:szCs w:val="22"/>
          <w:u w:val="single"/>
        </w:rPr>
        <w:t>３　対象となる自然災害</w:t>
      </w:r>
    </w:p>
    <w:p w14:paraId="049893A8" w14:textId="77777777" w:rsidR="008B4B2B" w:rsidRPr="008A3EDE" w:rsidRDefault="008B4B2B" w:rsidP="008B4B2B">
      <w:pPr>
        <w:ind w:leftChars="400" w:left="844" w:firstLineChars="100" w:firstLine="221"/>
        <w:rPr>
          <w:rFonts w:ascii="ＭＳ 明朝" w:hAnsi="ＭＳ 明朝"/>
          <w:sz w:val="22"/>
          <w:szCs w:val="22"/>
        </w:rPr>
      </w:pPr>
      <w:r w:rsidRPr="008A3EDE">
        <w:rPr>
          <w:rFonts w:ascii="ＭＳ 明朝" w:hAnsi="ＭＳ 明朝" w:hint="eastAsia"/>
          <w:sz w:val="22"/>
          <w:szCs w:val="22"/>
        </w:rPr>
        <w:t>暴風、豪雨、豪雪、洪水、高潮、地震、津波、噴火その他の異常な自然現象により生ずる被害で、対象となる災害の程度は次のとおりである。</w:t>
      </w:r>
    </w:p>
    <w:p w14:paraId="6C65451B" w14:textId="77777777" w:rsidR="008B4B2B" w:rsidRPr="008A3EDE" w:rsidRDefault="008B4B2B" w:rsidP="007E668F">
      <w:pPr>
        <w:numPr>
          <w:ilvl w:val="0"/>
          <w:numId w:val="17"/>
        </w:numPr>
        <w:rPr>
          <w:rFonts w:ascii="ＭＳ 明朝" w:hAnsi="ＭＳ 明朝"/>
          <w:sz w:val="22"/>
          <w:szCs w:val="22"/>
        </w:rPr>
      </w:pPr>
      <w:r w:rsidRPr="008A3EDE">
        <w:rPr>
          <w:rFonts w:ascii="ＭＳ 明朝" w:hAnsi="ＭＳ 明朝" w:hint="eastAsia"/>
          <w:sz w:val="22"/>
          <w:szCs w:val="22"/>
        </w:rPr>
        <w:t xml:space="preserve"> 災害救助法施行令第１条第１項第１号又は第２号に該当する被害が発生し</w:t>
      </w:r>
    </w:p>
    <w:p w14:paraId="04191C0A" w14:textId="77777777" w:rsidR="008B4B2B" w:rsidRPr="008A3EDE" w:rsidRDefault="008B4B2B" w:rsidP="008B4B2B">
      <w:pPr>
        <w:ind w:left="903" w:firstLineChars="100" w:firstLine="221"/>
        <w:rPr>
          <w:rFonts w:ascii="ＭＳ 明朝" w:hAnsi="ＭＳ 明朝"/>
          <w:sz w:val="22"/>
          <w:szCs w:val="22"/>
        </w:rPr>
      </w:pPr>
      <w:r w:rsidRPr="008A3EDE">
        <w:rPr>
          <w:rFonts w:ascii="ＭＳ 明朝" w:hAnsi="ＭＳ 明朝" w:hint="eastAsia"/>
          <w:sz w:val="22"/>
          <w:szCs w:val="22"/>
        </w:rPr>
        <w:t>た市町村における自然災害。</w:t>
      </w:r>
    </w:p>
    <w:p w14:paraId="52556F98" w14:textId="7D820CF2" w:rsidR="008B4B2B" w:rsidRPr="008A3EDE" w:rsidRDefault="008B4B2B" w:rsidP="007E668F">
      <w:pPr>
        <w:numPr>
          <w:ilvl w:val="0"/>
          <w:numId w:val="17"/>
        </w:numPr>
        <w:ind w:rightChars="-175" w:right="-369"/>
        <w:rPr>
          <w:rFonts w:ascii="ＭＳ 明朝" w:hAnsi="ＭＳ 明朝"/>
          <w:sz w:val="22"/>
          <w:szCs w:val="22"/>
        </w:rPr>
      </w:pPr>
      <w:r w:rsidRPr="008A3EDE">
        <w:rPr>
          <w:rFonts w:ascii="ＭＳ 明朝" w:hAnsi="ＭＳ 明朝" w:hint="eastAsia"/>
          <w:sz w:val="22"/>
          <w:szCs w:val="22"/>
        </w:rPr>
        <w:t xml:space="preserve"> １０世帯以上の住宅が全壊する被害が発生した市町村における自然災害。</w:t>
      </w:r>
    </w:p>
    <w:p w14:paraId="32A6EA65" w14:textId="6A877D23" w:rsidR="008B4B2B" w:rsidRPr="008A3EDE" w:rsidRDefault="008B4B2B" w:rsidP="00BA52E1">
      <w:pPr>
        <w:numPr>
          <w:ilvl w:val="0"/>
          <w:numId w:val="17"/>
        </w:numPr>
        <w:ind w:rightChars="-175" w:right="-369"/>
        <w:rPr>
          <w:rFonts w:ascii="ＭＳ 明朝" w:hAnsi="ＭＳ 明朝"/>
          <w:sz w:val="22"/>
          <w:szCs w:val="22"/>
        </w:rPr>
      </w:pPr>
      <w:r w:rsidRPr="008A3EDE">
        <w:rPr>
          <w:rFonts w:ascii="ＭＳ 明朝" w:hAnsi="ＭＳ 明朝"/>
          <w:sz w:val="22"/>
          <w:szCs w:val="22"/>
        </w:rPr>
        <w:t xml:space="preserve"> １００世帯以上の住宅が全壊する被害が発生した都道府県における自然災害。</w:t>
      </w:r>
    </w:p>
    <w:p w14:paraId="487AE5CE" w14:textId="6AD892C9" w:rsidR="008B4B2B" w:rsidRPr="008A3EDE" w:rsidRDefault="008B4B2B" w:rsidP="00BA52E1">
      <w:pPr>
        <w:numPr>
          <w:ilvl w:val="0"/>
          <w:numId w:val="17"/>
        </w:numPr>
        <w:ind w:rightChars="-175" w:right="-369"/>
        <w:rPr>
          <w:rFonts w:ascii="ＭＳ 明朝" w:hAnsi="ＭＳ 明朝"/>
          <w:sz w:val="22"/>
          <w:szCs w:val="22"/>
        </w:rPr>
      </w:pPr>
      <w:r w:rsidRPr="008A3EDE">
        <w:rPr>
          <w:rFonts w:ascii="ＭＳ 明朝" w:hAnsi="ＭＳ 明朝"/>
          <w:sz w:val="22"/>
          <w:szCs w:val="22"/>
        </w:rPr>
        <w:t xml:space="preserve"> (1)又は(2)の市町村を含む都道府県内で、５世帯以上の住宅全壊被害が発生した市町村（人口１０万人未満に限る）における自然災害。</w:t>
      </w:r>
    </w:p>
    <w:p w14:paraId="2DCEE3C2" w14:textId="11841884" w:rsidR="008B4B2B" w:rsidRPr="008A3EDE" w:rsidRDefault="008B4B2B" w:rsidP="00BA52E1">
      <w:pPr>
        <w:numPr>
          <w:ilvl w:val="0"/>
          <w:numId w:val="17"/>
        </w:numPr>
        <w:ind w:rightChars="-175" w:right="-369"/>
        <w:rPr>
          <w:rFonts w:ascii="ＭＳ 明朝" w:hAnsi="ＭＳ 明朝"/>
          <w:sz w:val="22"/>
          <w:szCs w:val="22"/>
        </w:rPr>
      </w:pPr>
      <w:r w:rsidRPr="008A3EDE">
        <w:rPr>
          <w:rFonts w:ascii="ＭＳ 明朝" w:hAnsi="ＭＳ 明朝"/>
          <w:sz w:val="22"/>
          <w:szCs w:val="22"/>
        </w:rPr>
        <w:t xml:space="preserve"> ５世帯以上の住宅が全壊する被害が発生し、前記(1)～(3)に隣接する市町村（人口１０万人未満に限る）における自然災害。</w:t>
      </w:r>
    </w:p>
    <w:p w14:paraId="75044DBC" w14:textId="13AD3E39" w:rsidR="008B4B2B" w:rsidRPr="008A3EDE" w:rsidRDefault="008B4B2B" w:rsidP="00E0548A">
      <w:pPr>
        <w:numPr>
          <w:ilvl w:val="0"/>
          <w:numId w:val="17"/>
        </w:numPr>
        <w:ind w:rightChars="-175" w:right="-369"/>
        <w:rPr>
          <w:rFonts w:ascii="ＭＳ 明朝" w:hAnsi="ＭＳ 明朝"/>
          <w:sz w:val="22"/>
          <w:szCs w:val="22"/>
        </w:rPr>
      </w:pPr>
      <w:r w:rsidRPr="008A3EDE">
        <w:rPr>
          <w:rFonts w:ascii="ＭＳ 明朝" w:hAnsi="ＭＳ 明朝"/>
          <w:sz w:val="22"/>
          <w:szCs w:val="22"/>
        </w:rPr>
        <w:t xml:space="preserve"> (1)若しくは(2)の市町村を含む都道府県又は(3)の都道府県が２つ以上ある場合に、５世帯以上の住宅が全壊する被害が発生した市町村（人口１０万人未満に限る）か、２世帯以上の住宅が全壊する被害が発生した市町村（人口５万人未満に限る）における自然災害。</w:t>
      </w:r>
    </w:p>
    <w:p w14:paraId="41271158" w14:textId="77777777" w:rsidR="008B4B2B" w:rsidRPr="008A3EDE" w:rsidRDefault="008B4B2B" w:rsidP="008B4B2B">
      <w:pPr>
        <w:ind w:firstLineChars="300" w:firstLine="663"/>
        <w:rPr>
          <w:rFonts w:ascii="ＭＳ 明朝" w:hAnsi="ＭＳ 明朝"/>
          <w:sz w:val="22"/>
          <w:szCs w:val="22"/>
          <w:u w:val="single"/>
        </w:rPr>
      </w:pPr>
      <w:r w:rsidRPr="008A3EDE">
        <w:rPr>
          <w:rFonts w:ascii="ＭＳ 明朝" w:hAnsi="ＭＳ 明朝" w:hint="eastAsia"/>
          <w:sz w:val="22"/>
          <w:szCs w:val="22"/>
          <w:u w:val="single"/>
        </w:rPr>
        <w:lastRenderedPageBreak/>
        <w:t>４　支給対象世帯</w:t>
      </w:r>
    </w:p>
    <w:p w14:paraId="12D1341D" w14:textId="77777777" w:rsidR="008B4B2B" w:rsidRPr="008A3EDE" w:rsidRDefault="008B4B2B" w:rsidP="007E668F">
      <w:pPr>
        <w:numPr>
          <w:ilvl w:val="0"/>
          <w:numId w:val="18"/>
        </w:numPr>
        <w:rPr>
          <w:rFonts w:ascii="ＭＳ 明朝" w:hAnsi="ＭＳ 明朝"/>
          <w:sz w:val="22"/>
          <w:szCs w:val="22"/>
        </w:rPr>
      </w:pPr>
      <w:r w:rsidRPr="008A3EDE">
        <w:rPr>
          <w:rFonts w:ascii="ＭＳ 明朝" w:hAnsi="ＭＳ 明朝" w:hint="eastAsia"/>
          <w:sz w:val="22"/>
          <w:szCs w:val="22"/>
        </w:rPr>
        <w:t>住宅が全壊した世帯</w:t>
      </w:r>
    </w:p>
    <w:p w14:paraId="7EC8F986" w14:textId="77777777" w:rsidR="008B4B2B" w:rsidRPr="008A3EDE" w:rsidRDefault="008B4B2B" w:rsidP="007E668F">
      <w:pPr>
        <w:numPr>
          <w:ilvl w:val="0"/>
          <w:numId w:val="18"/>
        </w:numPr>
        <w:ind w:rightChars="-322" w:right="-680"/>
        <w:rPr>
          <w:rFonts w:ascii="ＭＳ 明朝" w:hAnsi="ＭＳ 明朝"/>
          <w:sz w:val="22"/>
          <w:szCs w:val="22"/>
        </w:rPr>
      </w:pPr>
      <w:r w:rsidRPr="008A3EDE">
        <w:rPr>
          <w:rFonts w:ascii="ＭＳ 明朝" w:hAnsi="ＭＳ 明朝" w:hint="eastAsia"/>
          <w:sz w:val="22"/>
          <w:szCs w:val="22"/>
        </w:rPr>
        <w:t>住宅が半壊し、又は住宅の敷地に被害が生じ、その住宅をやむを得ず解体した世帯</w:t>
      </w:r>
    </w:p>
    <w:p w14:paraId="7F198455" w14:textId="77777777" w:rsidR="008B4B2B" w:rsidRPr="008A3EDE" w:rsidRDefault="008B4B2B" w:rsidP="007E668F">
      <w:pPr>
        <w:numPr>
          <w:ilvl w:val="0"/>
          <w:numId w:val="18"/>
        </w:numPr>
        <w:rPr>
          <w:rFonts w:ascii="ＭＳ 明朝" w:hAnsi="ＭＳ 明朝"/>
          <w:sz w:val="22"/>
          <w:szCs w:val="22"/>
        </w:rPr>
      </w:pPr>
      <w:r w:rsidRPr="008A3EDE">
        <w:rPr>
          <w:rFonts w:ascii="ＭＳ 明朝" w:hAnsi="ＭＳ 明朝" w:hint="eastAsia"/>
          <w:sz w:val="22"/>
          <w:szCs w:val="22"/>
        </w:rPr>
        <w:t>災害による危険な状態が継続し、長期にわたり居住不可能な状態が継続している世帯</w:t>
      </w:r>
    </w:p>
    <w:p w14:paraId="10F6BE6C" w14:textId="77777777" w:rsidR="008B4B2B" w:rsidRPr="008A3EDE" w:rsidRDefault="008B4B2B" w:rsidP="007E668F">
      <w:pPr>
        <w:numPr>
          <w:ilvl w:val="0"/>
          <w:numId w:val="18"/>
        </w:numPr>
        <w:rPr>
          <w:rFonts w:ascii="ＭＳ 明朝" w:hAnsi="ＭＳ 明朝"/>
          <w:sz w:val="22"/>
          <w:szCs w:val="22"/>
        </w:rPr>
      </w:pPr>
      <w:r w:rsidRPr="008A3EDE">
        <w:rPr>
          <w:rFonts w:ascii="ＭＳ 明朝" w:hAnsi="ＭＳ 明朝" w:hint="eastAsia"/>
          <w:sz w:val="22"/>
          <w:szCs w:val="22"/>
        </w:rPr>
        <w:t>住宅が半壊し、大規模な補修を行わなければ住宅に居住することが困難である世帯（大規模半壊世帯）</w:t>
      </w:r>
    </w:p>
    <w:p w14:paraId="64F3ED5B" w14:textId="77777777" w:rsidR="008B4B2B" w:rsidRPr="008A3EDE" w:rsidRDefault="005A1604" w:rsidP="007E668F">
      <w:pPr>
        <w:numPr>
          <w:ilvl w:val="0"/>
          <w:numId w:val="18"/>
        </w:numPr>
        <w:rPr>
          <w:rFonts w:ascii="ＭＳ 明朝" w:hAnsi="ＭＳ 明朝"/>
          <w:sz w:val="22"/>
          <w:szCs w:val="22"/>
        </w:rPr>
      </w:pPr>
      <w:r w:rsidRPr="008A3EDE">
        <w:rPr>
          <w:rFonts w:ascii="ＭＳ 明朝" w:hAnsi="ＭＳ 明朝" w:hint="eastAsia"/>
          <w:sz w:val="22"/>
          <w:szCs w:val="22"/>
        </w:rPr>
        <w:t>住宅が半壊し、居室の壁、床又は天井のいずれかの室内に面する部分の過半の補修を含む相当規模の補修を行わなければ当該住宅に居住することが困難であると認められる世帯（</w:t>
      </w:r>
      <w:r w:rsidRPr="008A3EDE">
        <w:rPr>
          <w:rFonts w:hint="eastAsia"/>
          <w:sz w:val="23"/>
          <w:szCs w:val="23"/>
        </w:rPr>
        <w:t>中規模半壊世帯</w:t>
      </w:r>
      <w:r w:rsidRPr="008A3EDE">
        <w:rPr>
          <w:rFonts w:ascii="ＭＳ 明朝" w:hAnsi="ＭＳ 明朝" w:hint="eastAsia"/>
          <w:sz w:val="22"/>
          <w:szCs w:val="22"/>
        </w:rPr>
        <w:t>）</w:t>
      </w:r>
    </w:p>
    <w:p w14:paraId="7CE597C4" w14:textId="77777777" w:rsidR="00205F04" w:rsidRPr="008A3EDE" w:rsidRDefault="00205F04" w:rsidP="008B4B2B">
      <w:pPr>
        <w:ind w:firstLineChars="300" w:firstLine="663"/>
        <w:rPr>
          <w:rFonts w:ascii="ＭＳ 明朝" w:hAnsi="ＭＳ 明朝"/>
          <w:sz w:val="22"/>
          <w:szCs w:val="22"/>
          <w:u w:val="single"/>
        </w:rPr>
      </w:pPr>
    </w:p>
    <w:p w14:paraId="0EFC46FF" w14:textId="77777777" w:rsidR="008B4B2B" w:rsidRPr="008A3EDE" w:rsidRDefault="008B4B2B" w:rsidP="008B4B2B">
      <w:pPr>
        <w:ind w:firstLineChars="300" w:firstLine="663"/>
        <w:rPr>
          <w:rFonts w:ascii="ＭＳ 明朝" w:hAnsi="ＭＳ 明朝"/>
          <w:sz w:val="22"/>
          <w:szCs w:val="22"/>
          <w:u w:val="single"/>
        </w:rPr>
      </w:pPr>
      <w:r w:rsidRPr="008A3EDE">
        <w:rPr>
          <w:rFonts w:ascii="ＭＳ 明朝" w:hAnsi="ＭＳ 明朝" w:hint="eastAsia"/>
          <w:sz w:val="22"/>
          <w:szCs w:val="22"/>
          <w:u w:val="single"/>
        </w:rPr>
        <w:t>５　支給金額</w:t>
      </w:r>
    </w:p>
    <w:p w14:paraId="7F3C63CC" w14:textId="77777777" w:rsidR="008B4B2B" w:rsidRPr="008A3EDE" w:rsidRDefault="008B4B2B" w:rsidP="008B4B2B">
      <w:pPr>
        <w:ind w:firstLineChars="500" w:firstLine="1105"/>
        <w:rPr>
          <w:rFonts w:ascii="ＭＳ 明朝" w:hAnsi="ＭＳ 明朝"/>
          <w:sz w:val="22"/>
          <w:szCs w:val="22"/>
        </w:rPr>
      </w:pPr>
      <w:r w:rsidRPr="008A3EDE">
        <w:rPr>
          <w:rFonts w:ascii="ＭＳ 明朝" w:hAnsi="ＭＳ 明朝" w:hint="eastAsia"/>
          <w:sz w:val="22"/>
          <w:szCs w:val="22"/>
        </w:rPr>
        <w:t>支給額は、次の(1)、(2)の合計額となる。</w:t>
      </w:r>
    </w:p>
    <w:p w14:paraId="4ACD8E08" w14:textId="77777777" w:rsidR="008B4B2B" w:rsidRPr="008A3EDE" w:rsidRDefault="008B4B2B" w:rsidP="007E668F">
      <w:pPr>
        <w:numPr>
          <w:ilvl w:val="0"/>
          <w:numId w:val="19"/>
        </w:numPr>
        <w:ind w:rightChars="-64" w:right="-135"/>
        <w:rPr>
          <w:rFonts w:ascii="ＭＳ 明朝" w:hAnsi="ＭＳ 明朝"/>
          <w:sz w:val="22"/>
          <w:szCs w:val="22"/>
        </w:rPr>
      </w:pPr>
      <w:r w:rsidRPr="008A3EDE">
        <w:rPr>
          <w:rFonts w:ascii="ＭＳ 明朝" w:hAnsi="ＭＳ 明朝" w:hint="eastAsia"/>
          <w:sz w:val="22"/>
          <w:szCs w:val="22"/>
        </w:rPr>
        <w:t>住宅の被害程度に応じて支給する支援金（基礎支援金）</w:t>
      </w:r>
    </w:p>
    <w:p w14:paraId="4ACEABBD" w14:textId="77777777" w:rsidR="008B4B2B" w:rsidRPr="008A3EDE" w:rsidRDefault="008B4B2B" w:rsidP="008B4B2B">
      <w:pPr>
        <w:ind w:rightChars="-64" w:right="-135" w:firstLineChars="550" w:firstLine="1216"/>
        <w:rPr>
          <w:rFonts w:ascii="ＭＳ 明朝" w:hAnsi="ＭＳ 明朝"/>
          <w:sz w:val="22"/>
          <w:szCs w:val="22"/>
        </w:rPr>
      </w:pPr>
      <w:r w:rsidRPr="008A3EDE">
        <w:rPr>
          <w:rFonts w:ascii="ＭＳ 明朝" w:hAnsi="ＭＳ 明朝" w:hint="eastAsia"/>
          <w:sz w:val="22"/>
          <w:szCs w:val="22"/>
        </w:rPr>
        <w:t>・上記４(1)～(3)の世帯　１００万円</w:t>
      </w:r>
    </w:p>
    <w:p w14:paraId="759F3B89" w14:textId="77777777" w:rsidR="008B4B2B" w:rsidRPr="008A3EDE" w:rsidRDefault="008B4B2B" w:rsidP="008B4B2B">
      <w:pPr>
        <w:ind w:rightChars="-64" w:right="-135" w:firstLineChars="550" w:firstLine="1216"/>
        <w:rPr>
          <w:rFonts w:ascii="ＭＳ 明朝" w:hAnsi="ＭＳ 明朝"/>
          <w:sz w:val="22"/>
          <w:szCs w:val="22"/>
        </w:rPr>
      </w:pPr>
      <w:r w:rsidRPr="008A3EDE">
        <w:rPr>
          <w:rFonts w:ascii="ＭＳ 明朝" w:hAnsi="ＭＳ 明朝" w:hint="eastAsia"/>
          <w:sz w:val="22"/>
          <w:szCs w:val="22"/>
        </w:rPr>
        <w:t>・上記４(4)の世帯　　　 　５０万円</w:t>
      </w:r>
    </w:p>
    <w:p w14:paraId="78BBFAB7" w14:textId="77777777" w:rsidR="008B4B2B" w:rsidRPr="008A3EDE" w:rsidRDefault="008B4B2B" w:rsidP="008B4B2B">
      <w:pPr>
        <w:ind w:rightChars="-64" w:right="-135" w:firstLineChars="700" w:firstLine="1548"/>
        <w:rPr>
          <w:rFonts w:ascii="ＭＳ 明朝" w:hAnsi="ＭＳ 明朝"/>
          <w:sz w:val="22"/>
          <w:szCs w:val="22"/>
        </w:rPr>
      </w:pPr>
      <w:r w:rsidRPr="008A3EDE">
        <w:rPr>
          <w:rFonts w:ascii="ＭＳ 明朝" w:hAnsi="ＭＳ 明朝" w:hint="eastAsia"/>
          <w:sz w:val="22"/>
          <w:szCs w:val="22"/>
        </w:rPr>
        <w:t>※ 世帯人数が１人の場合は、それぞれ３／４の額となる。</w:t>
      </w:r>
    </w:p>
    <w:p w14:paraId="5E8E39BC" w14:textId="77777777" w:rsidR="008B4B2B" w:rsidRPr="008A3EDE" w:rsidRDefault="008B4B2B" w:rsidP="008B4B2B">
      <w:pPr>
        <w:ind w:rightChars="-64" w:right="-135" w:firstLineChars="700" w:firstLine="1548"/>
        <w:rPr>
          <w:rFonts w:ascii="ＭＳ 明朝" w:hAnsi="ＭＳ 明朝"/>
          <w:sz w:val="22"/>
          <w:szCs w:val="22"/>
        </w:rPr>
      </w:pPr>
    </w:p>
    <w:p w14:paraId="1149D9DC" w14:textId="77777777" w:rsidR="008B4B2B" w:rsidRPr="008A3EDE" w:rsidRDefault="008B4B2B" w:rsidP="008B4B2B">
      <w:pPr>
        <w:ind w:rightChars="-64" w:right="-135" w:firstLineChars="400" w:firstLine="884"/>
        <w:rPr>
          <w:rFonts w:ascii="ＭＳ 明朝" w:hAnsi="ＭＳ 明朝"/>
          <w:sz w:val="22"/>
          <w:szCs w:val="22"/>
        </w:rPr>
      </w:pPr>
      <w:r w:rsidRPr="008A3EDE">
        <w:rPr>
          <w:rFonts w:ascii="ＭＳ 明朝" w:hAnsi="ＭＳ 明朝" w:hint="eastAsia"/>
          <w:sz w:val="22"/>
          <w:szCs w:val="22"/>
        </w:rPr>
        <w:t>(2)住宅の再建方法に応じて支給する支援金（加算支援金）</w:t>
      </w:r>
    </w:p>
    <w:p w14:paraId="59378A5D" w14:textId="77777777" w:rsidR="005A1604" w:rsidRPr="008A3EDE" w:rsidRDefault="005A1604" w:rsidP="008B4B2B">
      <w:pPr>
        <w:ind w:rightChars="-64" w:right="-135" w:firstLineChars="550" w:firstLine="1216"/>
        <w:rPr>
          <w:rFonts w:ascii="ＭＳ 明朝" w:hAnsi="ＭＳ 明朝"/>
          <w:sz w:val="22"/>
          <w:szCs w:val="22"/>
        </w:rPr>
      </w:pPr>
      <w:r w:rsidRPr="008A3EDE">
        <w:rPr>
          <w:rFonts w:ascii="ＭＳ 明朝" w:hAnsi="ＭＳ 明朝" w:hint="eastAsia"/>
          <w:sz w:val="22"/>
          <w:szCs w:val="22"/>
        </w:rPr>
        <w:t>・上記４(1)～</w:t>
      </w:r>
      <w:r w:rsidR="00205F04" w:rsidRPr="008A3EDE">
        <w:rPr>
          <w:rFonts w:ascii="ＭＳ 明朝" w:hAnsi="ＭＳ 明朝" w:hint="eastAsia"/>
          <w:sz w:val="22"/>
          <w:szCs w:val="22"/>
        </w:rPr>
        <w:t>(</w:t>
      </w:r>
      <w:r w:rsidR="00205F04" w:rsidRPr="008A3EDE">
        <w:rPr>
          <w:rFonts w:ascii="ＭＳ 明朝" w:hAnsi="ＭＳ 明朝"/>
          <w:sz w:val="22"/>
          <w:szCs w:val="22"/>
        </w:rPr>
        <w:t>4</w:t>
      </w:r>
      <w:r w:rsidRPr="008A3EDE">
        <w:rPr>
          <w:rFonts w:ascii="ＭＳ 明朝" w:hAnsi="ＭＳ 明朝" w:hint="eastAsia"/>
          <w:sz w:val="22"/>
          <w:szCs w:val="22"/>
        </w:rPr>
        <w:t>)の世帯</w:t>
      </w:r>
    </w:p>
    <w:p w14:paraId="42C3E987" w14:textId="77777777" w:rsidR="008B4B2B" w:rsidRPr="008A3EDE" w:rsidRDefault="005A1604" w:rsidP="008B4B2B">
      <w:pPr>
        <w:ind w:rightChars="-64" w:right="-135" w:firstLineChars="550" w:firstLine="1216"/>
        <w:rPr>
          <w:rFonts w:ascii="ＭＳ 明朝" w:hAnsi="ＭＳ 明朝"/>
          <w:sz w:val="22"/>
          <w:szCs w:val="22"/>
        </w:rPr>
      </w:pPr>
      <w:r w:rsidRPr="008A3EDE">
        <w:rPr>
          <w:rFonts w:ascii="ＭＳ 明朝" w:hAnsi="ＭＳ 明朝" w:hint="eastAsia"/>
          <w:sz w:val="22"/>
          <w:szCs w:val="22"/>
        </w:rPr>
        <w:t xml:space="preserve">　</w:t>
      </w:r>
      <w:r w:rsidR="008B4B2B" w:rsidRPr="008A3EDE">
        <w:rPr>
          <w:rFonts w:ascii="ＭＳ 明朝" w:hAnsi="ＭＳ 明朝" w:hint="eastAsia"/>
          <w:sz w:val="22"/>
          <w:szCs w:val="22"/>
        </w:rPr>
        <w:t>住宅を建設又は購入した場合　        ２００万円</w:t>
      </w:r>
    </w:p>
    <w:p w14:paraId="70E2AE6A" w14:textId="77777777" w:rsidR="008B4B2B" w:rsidRPr="008A3EDE" w:rsidRDefault="005A1604" w:rsidP="008B4B2B">
      <w:pPr>
        <w:ind w:rightChars="-64" w:right="-135" w:firstLineChars="550" w:firstLine="1216"/>
        <w:rPr>
          <w:rFonts w:ascii="ＭＳ 明朝" w:hAnsi="ＭＳ 明朝"/>
          <w:sz w:val="22"/>
          <w:szCs w:val="22"/>
        </w:rPr>
      </w:pPr>
      <w:r w:rsidRPr="008A3EDE">
        <w:rPr>
          <w:rFonts w:ascii="ＭＳ 明朝" w:hAnsi="ＭＳ 明朝" w:hint="eastAsia"/>
          <w:sz w:val="22"/>
          <w:szCs w:val="22"/>
        </w:rPr>
        <w:t xml:space="preserve">　</w:t>
      </w:r>
      <w:r w:rsidR="008B4B2B" w:rsidRPr="008A3EDE">
        <w:rPr>
          <w:rFonts w:ascii="ＭＳ 明朝" w:hAnsi="ＭＳ 明朝" w:hint="eastAsia"/>
          <w:sz w:val="22"/>
          <w:szCs w:val="22"/>
        </w:rPr>
        <w:t>住宅を補修した場合　　              １００万円</w:t>
      </w:r>
    </w:p>
    <w:p w14:paraId="434A188F" w14:textId="77777777" w:rsidR="00205F04" w:rsidRPr="008A3EDE" w:rsidRDefault="005A1604" w:rsidP="00951A33">
      <w:pPr>
        <w:ind w:rightChars="-64" w:right="-135" w:firstLineChars="550" w:firstLine="1216"/>
        <w:rPr>
          <w:rFonts w:ascii="ＭＳ 明朝" w:hAnsi="ＭＳ 明朝"/>
          <w:sz w:val="22"/>
          <w:szCs w:val="22"/>
        </w:rPr>
      </w:pPr>
      <w:r w:rsidRPr="008A3EDE">
        <w:rPr>
          <w:rFonts w:ascii="ＭＳ 明朝" w:hAnsi="ＭＳ 明朝" w:hint="eastAsia"/>
          <w:sz w:val="22"/>
          <w:szCs w:val="22"/>
        </w:rPr>
        <w:t xml:space="preserve">　</w:t>
      </w:r>
      <w:r w:rsidR="008B4B2B" w:rsidRPr="008A3EDE">
        <w:rPr>
          <w:rFonts w:ascii="ＭＳ 明朝" w:hAnsi="ＭＳ 明朝" w:hint="eastAsia"/>
          <w:sz w:val="22"/>
          <w:szCs w:val="22"/>
        </w:rPr>
        <w:t>住宅を賃借した場合（公営住宅を除く）　５０万円</w:t>
      </w:r>
    </w:p>
    <w:p w14:paraId="0C9D1020" w14:textId="77777777" w:rsidR="00205F04" w:rsidRPr="008A3EDE" w:rsidRDefault="00205F04" w:rsidP="00205F04">
      <w:pPr>
        <w:ind w:rightChars="-64" w:right="-135" w:firstLineChars="550" w:firstLine="1216"/>
        <w:rPr>
          <w:rFonts w:ascii="ＭＳ 明朝" w:hAnsi="ＭＳ 明朝"/>
          <w:sz w:val="22"/>
          <w:szCs w:val="22"/>
        </w:rPr>
      </w:pPr>
      <w:r w:rsidRPr="008A3EDE">
        <w:rPr>
          <w:rFonts w:ascii="ＭＳ 明朝" w:hAnsi="ＭＳ 明朝" w:hint="eastAsia"/>
          <w:sz w:val="22"/>
          <w:szCs w:val="22"/>
        </w:rPr>
        <w:t>・上記４(</w:t>
      </w:r>
      <w:r w:rsidRPr="008A3EDE">
        <w:rPr>
          <w:rFonts w:ascii="ＭＳ 明朝" w:hAnsi="ＭＳ 明朝"/>
          <w:sz w:val="22"/>
          <w:szCs w:val="22"/>
        </w:rPr>
        <w:t>5</w:t>
      </w:r>
      <w:r w:rsidRPr="008A3EDE">
        <w:rPr>
          <w:rFonts w:ascii="ＭＳ 明朝" w:hAnsi="ＭＳ 明朝" w:hint="eastAsia"/>
          <w:sz w:val="22"/>
          <w:szCs w:val="22"/>
        </w:rPr>
        <w:t>)の世帯</w:t>
      </w:r>
    </w:p>
    <w:p w14:paraId="00805DDE" w14:textId="77777777" w:rsidR="00205F04" w:rsidRPr="008A3EDE" w:rsidRDefault="00205F04" w:rsidP="00205F04">
      <w:pPr>
        <w:ind w:rightChars="-64" w:right="-135" w:firstLineChars="550" w:firstLine="1216"/>
        <w:rPr>
          <w:rFonts w:ascii="ＭＳ 明朝" w:hAnsi="ＭＳ 明朝"/>
          <w:sz w:val="22"/>
          <w:szCs w:val="22"/>
        </w:rPr>
      </w:pPr>
      <w:r w:rsidRPr="008A3EDE">
        <w:rPr>
          <w:rFonts w:ascii="ＭＳ 明朝" w:hAnsi="ＭＳ 明朝" w:hint="eastAsia"/>
          <w:sz w:val="22"/>
          <w:szCs w:val="22"/>
        </w:rPr>
        <w:t xml:space="preserve">　住宅を建設又は購入した場合　        １００万円</w:t>
      </w:r>
    </w:p>
    <w:p w14:paraId="579DB0A4" w14:textId="77777777" w:rsidR="00205F04" w:rsidRPr="008A3EDE" w:rsidRDefault="00205F04" w:rsidP="00205F04">
      <w:pPr>
        <w:ind w:rightChars="-64" w:right="-135" w:firstLineChars="550" w:firstLine="1216"/>
        <w:rPr>
          <w:rFonts w:ascii="ＭＳ 明朝" w:hAnsi="ＭＳ 明朝"/>
          <w:sz w:val="22"/>
          <w:szCs w:val="22"/>
        </w:rPr>
      </w:pPr>
      <w:r w:rsidRPr="008A3EDE">
        <w:rPr>
          <w:rFonts w:ascii="ＭＳ 明朝" w:hAnsi="ＭＳ 明朝" w:hint="eastAsia"/>
          <w:sz w:val="22"/>
          <w:szCs w:val="22"/>
        </w:rPr>
        <w:t xml:space="preserve">　住宅を補修した場合　　              　５０万円</w:t>
      </w:r>
    </w:p>
    <w:p w14:paraId="578E56C0" w14:textId="77777777" w:rsidR="00205F04" w:rsidRPr="008A3EDE" w:rsidRDefault="00205F04" w:rsidP="00205F04">
      <w:pPr>
        <w:ind w:rightChars="-64" w:right="-135" w:firstLineChars="550" w:firstLine="1216"/>
        <w:rPr>
          <w:rFonts w:ascii="ＭＳ 明朝" w:hAnsi="ＭＳ 明朝"/>
          <w:sz w:val="22"/>
          <w:szCs w:val="22"/>
        </w:rPr>
      </w:pPr>
      <w:r w:rsidRPr="008A3EDE">
        <w:rPr>
          <w:rFonts w:ascii="ＭＳ 明朝" w:hAnsi="ＭＳ 明朝" w:hint="eastAsia"/>
          <w:sz w:val="22"/>
          <w:szCs w:val="22"/>
        </w:rPr>
        <w:t xml:space="preserve">　住宅を賃借した場合（公営住宅を除く）　２５万円</w:t>
      </w:r>
    </w:p>
    <w:p w14:paraId="0AA2DA85" w14:textId="77777777" w:rsidR="00951A33" w:rsidRPr="008A3EDE" w:rsidRDefault="00951A33" w:rsidP="00205F04">
      <w:pPr>
        <w:ind w:rightChars="-64" w:right="-135" w:firstLineChars="700" w:firstLine="1548"/>
        <w:rPr>
          <w:rFonts w:ascii="ＭＳ 明朝" w:hAnsi="ＭＳ 明朝"/>
          <w:sz w:val="22"/>
          <w:szCs w:val="22"/>
        </w:rPr>
      </w:pPr>
    </w:p>
    <w:p w14:paraId="24A5E0D5" w14:textId="77777777" w:rsidR="00205F04" w:rsidRPr="008A3EDE" w:rsidRDefault="00205F04" w:rsidP="00951A33">
      <w:pPr>
        <w:ind w:leftChars="672" w:left="1419" w:rightChars="-64" w:right="-135"/>
        <w:rPr>
          <w:rFonts w:ascii="ＭＳ 明朝" w:hAnsi="ＭＳ 明朝"/>
          <w:sz w:val="22"/>
          <w:szCs w:val="22"/>
        </w:rPr>
      </w:pPr>
      <w:r w:rsidRPr="008A3EDE">
        <w:rPr>
          <w:rFonts w:ascii="ＭＳ 明朝" w:hAnsi="ＭＳ 明朝" w:hint="eastAsia"/>
          <w:sz w:val="22"/>
          <w:szCs w:val="22"/>
        </w:rPr>
        <w:t xml:space="preserve">※ </w:t>
      </w:r>
      <w:r w:rsidR="00951A33" w:rsidRPr="008A3EDE">
        <w:rPr>
          <w:rFonts w:ascii="ＭＳ 明朝" w:hAnsi="ＭＳ 明朝" w:hint="eastAsia"/>
          <w:sz w:val="22"/>
          <w:szCs w:val="22"/>
        </w:rPr>
        <w:t>加算支援金について、</w:t>
      </w:r>
      <w:r w:rsidRPr="008A3EDE">
        <w:rPr>
          <w:rFonts w:ascii="ＭＳ 明朝" w:hAnsi="ＭＳ 明朝" w:hint="eastAsia"/>
          <w:sz w:val="22"/>
          <w:szCs w:val="22"/>
        </w:rPr>
        <w:t>世帯人数が１人の場合は、それぞれ３／４の額となる。</w:t>
      </w:r>
    </w:p>
    <w:p w14:paraId="0AAF0DEB" w14:textId="6A0015F5" w:rsidR="00254093" w:rsidRPr="008A3EDE" w:rsidRDefault="00254093">
      <w:pPr>
        <w:widowControl/>
        <w:jc w:val="left"/>
        <w:rPr>
          <w:rFonts w:ascii="ＭＳ ゴシック" w:eastAsia="ＭＳ ゴシック" w:hAnsi="ＭＳ ゴシック" w:cs="Courier New"/>
          <w:szCs w:val="21"/>
        </w:rPr>
      </w:pPr>
      <w:r w:rsidRPr="008A3EDE">
        <w:rPr>
          <w:rFonts w:ascii="ＭＳ ゴシック" w:eastAsia="ＭＳ ゴシック" w:hAnsi="ＭＳ ゴシック"/>
        </w:rPr>
        <w:br w:type="page"/>
      </w:r>
    </w:p>
    <w:p w14:paraId="46EB557A" w14:textId="7E7673B9" w:rsidR="008B4B2B" w:rsidRPr="008A3EDE" w:rsidRDefault="008B4B2B" w:rsidP="00E0548A">
      <w:pPr>
        <w:pStyle w:val="2"/>
      </w:pPr>
      <w:bookmarkStart w:id="352" w:name="_Toc122436958"/>
      <w:bookmarkStart w:id="353" w:name="_Toc222486652"/>
      <w:bookmarkStart w:id="354" w:name="_Toc242870322"/>
      <w:r w:rsidRPr="008A3EDE">
        <w:rPr>
          <w:rFonts w:hint="eastAsia"/>
        </w:rPr>
        <w:lastRenderedPageBreak/>
        <w:t>第</w:t>
      </w:r>
      <w:r w:rsidR="00232F6F" w:rsidRPr="008A3EDE">
        <w:rPr>
          <w:rFonts w:hint="eastAsia"/>
        </w:rPr>
        <w:t>９</w:t>
      </w:r>
      <w:r w:rsidRPr="008A3EDE">
        <w:rPr>
          <w:rFonts w:hint="eastAsia"/>
        </w:rPr>
        <w:t>節　社会環境の確保</w:t>
      </w:r>
      <w:bookmarkEnd w:id="352"/>
      <w:bookmarkEnd w:id="353"/>
      <w:bookmarkEnd w:id="354"/>
    </w:p>
    <w:tbl>
      <w:tblPr>
        <w:tblW w:w="0" w:type="auto"/>
        <w:tblBorders>
          <w:top w:val="thinThickSmallGap" w:sz="24" w:space="0" w:color="auto"/>
          <w:left w:val="thinThickSmallGap" w:sz="24" w:space="0" w:color="auto"/>
          <w:bottom w:val="thinThickSmallGap" w:sz="24" w:space="0" w:color="auto"/>
          <w:right w:val="thinThickSmallGap" w:sz="24" w:space="0" w:color="auto"/>
          <w:insideH w:val="thinThickSmallGap" w:sz="24" w:space="0" w:color="auto"/>
          <w:insideV w:val="thinThickSmallGap" w:sz="24" w:space="0" w:color="auto"/>
        </w:tblBorders>
        <w:tblLook w:val="04A0" w:firstRow="1" w:lastRow="0" w:firstColumn="1" w:lastColumn="0" w:noHBand="0" w:noVBand="1"/>
      </w:tblPr>
      <w:tblGrid>
        <w:gridCol w:w="1428"/>
        <w:gridCol w:w="7326"/>
      </w:tblGrid>
      <w:tr w:rsidR="008B4B2B" w:rsidRPr="008A3EDE" w14:paraId="3B4D6EDB" w14:textId="77777777" w:rsidTr="008B4B2B">
        <w:tc>
          <w:tcPr>
            <w:tcW w:w="1526" w:type="dxa"/>
          </w:tcPr>
          <w:p w14:paraId="4D3AF599" w14:textId="77777777" w:rsidR="008B4B2B" w:rsidRPr="008A3EDE" w:rsidRDefault="008B4B2B" w:rsidP="008B4B2B">
            <w:pPr>
              <w:jc w:val="center"/>
              <w:rPr>
                <w:rFonts w:ascii="ＭＳ ゴシック" w:eastAsia="ＭＳ ゴシック" w:hAnsi="ＭＳ ゴシック"/>
                <w:b/>
                <w:sz w:val="28"/>
                <w:szCs w:val="28"/>
              </w:rPr>
            </w:pPr>
            <w:r w:rsidRPr="008A3EDE">
              <w:rPr>
                <w:rFonts w:ascii="ＭＳ ゴシック" w:eastAsia="ＭＳ ゴシック" w:hAnsi="ＭＳ ゴシック" w:hint="eastAsia"/>
                <w:b/>
                <w:sz w:val="28"/>
                <w:szCs w:val="28"/>
              </w:rPr>
              <w:t>目　標</w:t>
            </w:r>
          </w:p>
        </w:tc>
        <w:tc>
          <w:tcPr>
            <w:tcW w:w="8026" w:type="dxa"/>
            <w:vAlign w:val="center"/>
          </w:tcPr>
          <w:p w14:paraId="69ECC4F9" w14:textId="77777777" w:rsidR="008B4B2B" w:rsidRPr="008A3EDE" w:rsidRDefault="008B4B2B" w:rsidP="008B4B2B">
            <w:pPr>
              <w:ind w:firstLineChars="100" w:firstLine="242"/>
              <w:rPr>
                <w:rFonts w:ascii="ＭＳ ゴシック" w:eastAsia="ＭＳ ゴシック" w:hAnsi="ＭＳ ゴシック"/>
                <w:b/>
                <w:sz w:val="24"/>
              </w:rPr>
            </w:pPr>
            <w:r w:rsidRPr="008A3EDE">
              <w:rPr>
                <w:rFonts w:ascii="ＭＳ ゴシック" w:eastAsia="ＭＳ ゴシック" w:hAnsi="ＭＳ ゴシック" w:hint="eastAsia"/>
                <w:b/>
                <w:sz w:val="24"/>
              </w:rPr>
              <w:t>府は、市町村、民間との連携強化等により、一日でも早い被災地を含む地域社会の安定に努める。</w:t>
            </w:r>
          </w:p>
        </w:tc>
      </w:tr>
    </w:tbl>
    <w:p w14:paraId="24A29EB4" w14:textId="77777777" w:rsidR="008B4B2B" w:rsidRPr="008A3EDE" w:rsidRDefault="008B4B2B" w:rsidP="008B4B2B">
      <w:pPr>
        <w:rPr>
          <w:rFonts w:ascii="ＭＳ ゴシック" w:eastAsia="ＭＳ ゴシック" w:hAnsi="ＭＳ ゴシック"/>
          <w:sz w:val="22"/>
          <w:szCs w:val="22"/>
        </w:rPr>
      </w:pPr>
    </w:p>
    <w:tbl>
      <w:tblPr>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68"/>
        <w:gridCol w:w="8079"/>
      </w:tblGrid>
      <w:tr w:rsidR="001D6D10" w:rsidRPr="008A3EDE" w14:paraId="73C8CB4A" w14:textId="77777777" w:rsidTr="008B4B2B">
        <w:tc>
          <w:tcPr>
            <w:tcW w:w="1668" w:type="dxa"/>
            <w:shd w:val="clear" w:color="auto" w:fill="F2F2F2"/>
          </w:tcPr>
          <w:p w14:paraId="0DAF1C63" w14:textId="77777777" w:rsidR="008B4B2B" w:rsidRPr="008A3EDE" w:rsidRDefault="008B4B2B" w:rsidP="008B4B2B">
            <w:pPr>
              <w:jc w:val="center"/>
              <w:rPr>
                <w:rFonts w:ascii="ＭＳ ゴシック" w:eastAsia="ＭＳ ゴシック" w:hAnsi="ＭＳ ゴシック"/>
                <w:sz w:val="22"/>
                <w:szCs w:val="22"/>
              </w:rPr>
            </w:pPr>
            <w:r w:rsidRPr="008A3EDE">
              <w:rPr>
                <w:rFonts w:ascii="ＭＳ ゴシック" w:eastAsia="ＭＳ ゴシック" w:hAnsi="ＭＳ ゴシック" w:hint="eastAsia"/>
                <w:sz w:val="22"/>
                <w:szCs w:val="22"/>
              </w:rPr>
              <w:t>フェーズ</w:t>
            </w:r>
          </w:p>
        </w:tc>
        <w:tc>
          <w:tcPr>
            <w:tcW w:w="8079" w:type="dxa"/>
            <w:shd w:val="clear" w:color="auto" w:fill="F2F2F2"/>
          </w:tcPr>
          <w:p w14:paraId="11E0AFE6" w14:textId="77777777" w:rsidR="008B4B2B" w:rsidRPr="008A3EDE" w:rsidRDefault="008B4B2B" w:rsidP="008B4B2B">
            <w:pPr>
              <w:jc w:val="center"/>
              <w:rPr>
                <w:rFonts w:ascii="ＭＳ ゴシック" w:eastAsia="ＭＳ ゴシック" w:hAnsi="ＭＳ ゴシック"/>
                <w:sz w:val="22"/>
                <w:szCs w:val="22"/>
              </w:rPr>
            </w:pPr>
            <w:r w:rsidRPr="008A3EDE">
              <w:rPr>
                <w:rFonts w:ascii="ＭＳ ゴシック" w:eastAsia="ＭＳ ゴシック" w:hAnsi="ＭＳ ゴシック" w:hint="eastAsia"/>
                <w:sz w:val="22"/>
                <w:szCs w:val="22"/>
              </w:rPr>
              <w:t>主な目標</w:t>
            </w:r>
          </w:p>
        </w:tc>
      </w:tr>
      <w:tr w:rsidR="001D6D10" w:rsidRPr="008A3EDE" w14:paraId="35ED8598" w14:textId="77777777" w:rsidTr="008B4B2B">
        <w:tc>
          <w:tcPr>
            <w:tcW w:w="1668" w:type="dxa"/>
          </w:tcPr>
          <w:p w14:paraId="792BD3AF" w14:textId="77777777" w:rsidR="008B4B2B" w:rsidRPr="008A3EDE" w:rsidRDefault="008B4B2B" w:rsidP="008B4B2B">
            <w:pPr>
              <w:rPr>
                <w:rFonts w:ascii="ＭＳ ゴシック" w:eastAsia="ＭＳ ゴシック" w:hAnsi="ＭＳ ゴシック"/>
                <w:sz w:val="22"/>
                <w:szCs w:val="22"/>
              </w:rPr>
            </w:pPr>
            <w:r w:rsidRPr="008A3EDE">
              <w:rPr>
                <w:rFonts w:ascii="ＭＳ ゴシック" w:eastAsia="ＭＳ ゴシック" w:hAnsi="ＭＳ ゴシック" w:hint="eastAsia"/>
                <w:sz w:val="22"/>
                <w:szCs w:val="22"/>
              </w:rPr>
              <w:t>第１フェーズ</w:t>
            </w:r>
          </w:p>
        </w:tc>
        <w:tc>
          <w:tcPr>
            <w:tcW w:w="8079" w:type="dxa"/>
          </w:tcPr>
          <w:p w14:paraId="2164DFE1" w14:textId="77777777" w:rsidR="008B4B2B" w:rsidRPr="008A3EDE" w:rsidRDefault="008B4B2B" w:rsidP="008B4B2B">
            <w:pPr>
              <w:ind w:firstLineChars="100" w:firstLine="221"/>
              <w:rPr>
                <w:rFonts w:ascii="ＭＳ ゴシック" w:eastAsia="ＭＳ ゴシック" w:hAnsi="ＭＳ ゴシック"/>
                <w:sz w:val="22"/>
                <w:szCs w:val="22"/>
              </w:rPr>
            </w:pPr>
            <w:r w:rsidRPr="008A3EDE">
              <w:rPr>
                <w:rFonts w:ascii="ＭＳ ゴシック" w:eastAsia="ＭＳ ゴシック" w:hAnsi="ＭＳ ゴシック" w:hint="eastAsia"/>
                <w:sz w:val="22"/>
                <w:szCs w:val="22"/>
              </w:rPr>
              <w:t>住民への呼びかけや府警本部による警戒活動の強化による社会秩序の維持</w:t>
            </w:r>
          </w:p>
        </w:tc>
      </w:tr>
      <w:tr w:rsidR="001D6D10" w:rsidRPr="008A3EDE" w14:paraId="52421A03" w14:textId="77777777" w:rsidTr="008B4B2B">
        <w:tc>
          <w:tcPr>
            <w:tcW w:w="1668" w:type="dxa"/>
            <w:vAlign w:val="center"/>
          </w:tcPr>
          <w:p w14:paraId="742ADD4D" w14:textId="77777777" w:rsidR="008B4B2B" w:rsidRPr="008A3EDE" w:rsidRDefault="008B4B2B" w:rsidP="008B4B2B">
            <w:pPr>
              <w:jc w:val="center"/>
              <w:rPr>
                <w:rFonts w:ascii="ＭＳ ゴシック" w:eastAsia="ＭＳ ゴシック" w:hAnsi="ＭＳ ゴシック"/>
                <w:sz w:val="22"/>
                <w:szCs w:val="22"/>
              </w:rPr>
            </w:pPr>
            <w:r w:rsidRPr="008A3EDE">
              <w:rPr>
                <w:rFonts w:ascii="ＭＳ ゴシック" w:eastAsia="ＭＳ ゴシック" w:hAnsi="ＭＳ ゴシック" w:hint="eastAsia"/>
                <w:sz w:val="22"/>
                <w:szCs w:val="22"/>
              </w:rPr>
              <w:t>第２フェーズ</w:t>
            </w:r>
          </w:p>
        </w:tc>
        <w:tc>
          <w:tcPr>
            <w:tcW w:w="8079" w:type="dxa"/>
          </w:tcPr>
          <w:p w14:paraId="2B78BEF2" w14:textId="77777777" w:rsidR="008B4B2B" w:rsidRPr="008A3EDE" w:rsidRDefault="008B4B2B" w:rsidP="008B4B2B">
            <w:pPr>
              <w:ind w:firstLineChars="100" w:firstLine="221"/>
              <w:rPr>
                <w:rFonts w:ascii="ＭＳ ゴシック" w:eastAsia="ＭＳ ゴシック" w:hAnsi="ＭＳ ゴシック"/>
                <w:sz w:val="22"/>
                <w:szCs w:val="22"/>
              </w:rPr>
            </w:pPr>
            <w:r w:rsidRPr="008A3EDE">
              <w:rPr>
                <w:rFonts w:ascii="ＭＳ ゴシック" w:eastAsia="ＭＳ ゴシック" w:hAnsi="ＭＳ ゴシック" w:hint="eastAsia"/>
                <w:sz w:val="22"/>
                <w:szCs w:val="22"/>
              </w:rPr>
              <w:t>市町村による、適正なし尿処理及び遺体の処理・火葬等による衛生状態の維持等</w:t>
            </w:r>
          </w:p>
        </w:tc>
      </w:tr>
      <w:tr w:rsidR="008B4B2B" w:rsidRPr="008A3EDE" w14:paraId="77A8C84B" w14:textId="77777777" w:rsidTr="008B4B2B">
        <w:trPr>
          <w:trHeight w:val="1422"/>
        </w:trPr>
        <w:tc>
          <w:tcPr>
            <w:tcW w:w="1668" w:type="dxa"/>
            <w:vAlign w:val="center"/>
          </w:tcPr>
          <w:p w14:paraId="4CECC599" w14:textId="77777777" w:rsidR="008B4B2B" w:rsidRPr="008A3EDE" w:rsidRDefault="008B4B2B" w:rsidP="008B4B2B">
            <w:pPr>
              <w:jc w:val="center"/>
              <w:rPr>
                <w:rFonts w:ascii="ＭＳ ゴシック" w:eastAsia="ＭＳ ゴシック" w:hAnsi="ＭＳ ゴシック"/>
                <w:sz w:val="22"/>
                <w:szCs w:val="22"/>
              </w:rPr>
            </w:pPr>
            <w:r w:rsidRPr="008A3EDE">
              <w:rPr>
                <w:rFonts w:ascii="ＭＳ ゴシック" w:eastAsia="ＭＳ ゴシック" w:hAnsi="ＭＳ ゴシック" w:hint="eastAsia"/>
                <w:sz w:val="22"/>
                <w:szCs w:val="22"/>
              </w:rPr>
              <w:t>第３フェーズ</w:t>
            </w:r>
          </w:p>
          <w:p w14:paraId="326556A0" w14:textId="77777777" w:rsidR="008B4B2B" w:rsidRPr="008A3EDE" w:rsidRDefault="008B4B2B" w:rsidP="008B4B2B">
            <w:pPr>
              <w:jc w:val="center"/>
              <w:rPr>
                <w:rFonts w:ascii="ＭＳ ゴシック" w:eastAsia="ＭＳ ゴシック" w:hAnsi="ＭＳ ゴシック"/>
                <w:sz w:val="22"/>
                <w:szCs w:val="22"/>
              </w:rPr>
            </w:pPr>
            <w:r w:rsidRPr="008A3EDE">
              <w:rPr>
                <w:rFonts w:ascii="ＭＳ ゴシック" w:eastAsia="ＭＳ ゴシック" w:hAnsi="ＭＳ ゴシック" w:hint="eastAsia"/>
                <w:sz w:val="22"/>
                <w:szCs w:val="22"/>
              </w:rPr>
              <w:t>～</w:t>
            </w:r>
          </w:p>
        </w:tc>
        <w:tc>
          <w:tcPr>
            <w:tcW w:w="8079" w:type="dxa"/>
          </w:tcPr>
          <w:p w14:paraId="74B8FC02" w14:textId="77777777" w:rsidR="008B4B2B" w:rsidRPr="008A3EDE" w:rsidRDefault="008B4B2B" w:rsidP="008B4B2B">
            <w:pPr>
              <w:ind w:firstLineChars="100" w:firstLine="221"/>
              <w:rPr>
                <w:rFonts w:ascii="ＭＳ ゴシック" w:eastAsia="ＭＳ ゴシック" w:hAnsi="ＭＳ ゴシック"/>
                <w:sz w:val="22"/>
                <w:szCs w:val="22"/>
              </w:rPr>
            </w:pPr>
            <w:r w:rsidRPr="008A3EDE">
              <w:rPr>
                <w:rFonts w:ascii="ＭＳ ゴシック" w:eastAsia="ＭＳ ゴシック" w:hAnsi="ＭＳ ゴシック" w:hint="eastAsia"/>
                <w:sz w:val="22"/>
                <w:szCs w:val="22"/>
              </w:rPr>
              <w:t>広域火葬体制の確保等（市町村の火葬体制構築の支援等）、各種食品衛生監視活動、巡回相談等や心の健康相談等の実施による被災者の健康維持活動の実施、生活関連物資等の物価の安定、被災動物保護等及びごみ・災害廃棄物等処理の実施による社会環境の維持など</w:t>
            </w:r>
          </w:p>
        </w:tc>
      </w:tr>
    </w:tbl>
    <w:p w14:paraId="2118D0EC" w14:textId="3E9DC1BD" w:rsidR="008B4B2B" w:rsidRPr="008A3EDE" w:rsidRDefault="008B4B2B" w:rsidP="00B12A97">
      <w:pPr>
        <w:pStyle w:val="a0"/>
        <w:ind w:firstLineChars="200" w:firstLine="442"/>
        <w:outlineLvl w:val="2"/>
        <w:rPr>
          <w:rFonts w:ascii="ＭＳ ゴシック" w:eastAsia="ＭＳ ゴシック" w:hAnsi="ＭＳ ゴシック"/>
          <w:sz w:val="22"/>
          <w:szCs w:val="22"/>
          <w:u w:val="double"/>
        </w:rPr>
      </w:pPr>
      <w:bookmarkStart w:id="355" w:name="_Toc122436959"/>
      <w:bookmarkStart w:id="356" w:name="_Toc222486653"/>
      <w:bookmarkStart w:id="357" w:name="_Toc242870323"/>
      <w:r w:rsidRPr="008A3EDE">
        <w:rPr>
          <w:rFonts w:ascii="ＭＳ ゴシック" w:eastAsia="ＭＳ ゴシック" w:hAnsi="ＭＳ ゴシック" w:hint="eastAsia"/>
          <w:sz w:val="22"/>
          <w:szCs w:val="22"/>
          <w:u w:val="double"/>
        </w:rPr>
        <w:t>第１　保健衛生活動</w:t>
      </w:r>
      <w:bookmarkEnd w:id="355"/>
      <w:bookmarkEnd w:id="356"/>
      <w:bookmarkEnd w:id="357"/>
    </w:p>
    <w:p w14:paraId="5013A1F5" w14:textId="77777777" w:rsidR="008B4B2B" w:rsidRPr="008A3EDE" w:rsidRDefault="008B4B2B" w:rsidP="008B4B2B">
      <w:pPr>
        <w:pStyle w:val="a0"/>
        <w:ind w:firstLineChars="500" w:firstLine="1105"/>
        <w:rPr>
          <w:rFonts w:ascii="ＭＳ ゴシック" w:eastAsia="ＭＳ ゴシック" w:hAnsi="ＭＳ ゴシック"/>
          <w:sz w:val="22"/>
          <w:szCs w:val="22"/>
          <w:bdr w:val="single" w:sz="4" w:space="0" w:color="auto"/>
        </w:rPr>
      </w:pPr>
      <w:r w:rsidRPr="008A3EDE">
        <w:rPr>
          <w:rFonts w:ascii="ＭＳ ゴシック" w:eastAsia="ＭＳ ゴシック" w:hAnsi="ＭＳ ゴシック" w:hint="eastAsia"/>
          <w:sz w:val="22"/>
          <w:szCs w:val="22"/>
          <w:bdr w:val="single" w:sz="4" w:space="0" w:color="auto"/>
        </w:rPr>
        <w:t>主たる担当：健康医療部関係室・課、動物愛護畜産課</w:t>
      </w:r>
    </w:p>
    <w:p w14:paraId="1C392500" w14:textId="5F256B7A" w:rsidR="008B4B2B" w:rsidRPr="008A3EDE" w:rsidRDefault="008B4B2B" w:rsidP="008B4B2B">
      <w:pPr>
        <w:overflowPunct w:val="0"/>
        <w:autoSpaceDE w:val="0"/>
        <w:autoSpaceDN w:val="0"/>
        <w:ind w:firstLineChars="300" w:firstLine="663"/>
        <w:rPr>
          <w:rFonts w:ascii="ＭＳ 明朝" w:hAnsi="ＭＳ 明朝"/>
          <w:sz w:val="22"/>
          <w:szCs w:val="22"/>
          <w:u w:val="single"/>
        </w:rPr>
      </w:pPr>
      <w:r w:rsidRPr="008A3EDE">
        <w:rPr>
          <w:rFonts w:ascii="ＭＳ ゴシック" w:eastAsia="ＭＳ ゴシック" w:hAnsi="ＭＳ ゴシック" w:hint="eastAsia"/>
          <w:sz w:val="22"/>
          <w:szCs w:val="22"/>
          <w:u w:val="single"/>
        </w:rPr>
        <w:t>１　防疫活動</w:t>
      </w:r>
      <w:r w:rsidRPr="008A3EDE">
        <w:rPr>
          <w:rFonts w:ascii="ＭＳ ゴシック" w:eastAsia="ＭＳ ゴシック" w:hAnsi="ＭＳ ゴシック" w:hint="eastAsia"/>
          <w:sz w:val="22"/>
          <w:szCs w:val="22"/>
          <w:u w:val="single"/>
          <w:shd w:val="pct15" w:color="auto" w:fill="FFFFFF"/>
        </w:rPr>
        <w:t>【第</w:t>
      </w:r>
      <w:r w:rsidR="002A07A1" w:rsidRPr="008A3EDE">
        <w:rPr>
          <w:rFonts w:ascii="ＭＳ ゴシック" w:eastAsia="ＭＳ ゴシック" w:hAnsi="ＭＳ ゴシック" w:hint="eastAsia"/>
          <w:sz w:val="22"/>
          <w:szCs w:val="22"/>
          <w:u w:val="single"/>
          <w:shd w:val="pct15" w:color="auto" w:fill="FFFFFF"/>
        </w:rPr>
        <w:t>２</w:t>
      </w:r>
      <w:r w:rsidRPr="008A3EDE">
        <w:rPr>
          <w:rFonts w:ascii="ＭＳ ゴシック" w:eastAsia="ＭＳ ゴシック" w:hAnsi="ＭＳ ゴシック" w:hint="eastAsia"/>
          <w:sz w:val="22"/>
          <w:szCs w:val="22"/>
          <w:u w:val="single"/>
          <w:shd w:val="pct15" w:color="auto" w:fill="FFFFFF"/>
        </w:rPr>
        <w:t>フェーズ～】</w:t>
      </w:r>
    </w:p>
    <w:p w14:paraId="574D212E" w14:textId="60AE410C" w:rsidR="008B4B2B" w:rsidRPr="008A3EDE" w:rsidRDefault="006D1D41" w:rsidP="008B4B2B">
      <w:pPr>
        <w:overflowPunct w:val="0"/>
        <w:autoSpaceDE w:val="0"/>
        <w:autoSpaceDN w:val="0"/>
        <w:ind w:leftChars="415" w:left="876" w:firstLineChars="99" w:firstLine="219"/>
        <w:rPr>
          <w:rFonts w:ascii="ＭＳ 明朝" w:hAnsi="ＭＳ 明朝"/>
          <w:sz w:val="22"/>
          <w:szCs w:val="22"/>
        </w:rPr>
      </w:pPr>
      <w:r w:rsidRPr="008A3EDE">
        <w:rPr>
          <w:rFonts w:hAnsi="ＭＳ 明朝" w:hint="eastAsia"/>
          <w:sz w:val="22"/>
          <w:szCs w:val="22"/>
        </w:rPr>
        <w:t>医療・</w:t>
      </w:r>
      <w:r w:rsidR="008B4B2B" w:rsidRPr="008A3EDE">
        <w:rPr>
          <w:rFonts w:hAnsi="ＭＳ 明朝" w:hint="eastAsia"/>
          <w:sz w:val="22"/>
          <w:szCs w:val="22"/>
        </w:rPr>
        <w:t>感染症対策課長</w:t>
      </w:r>
      <w:r w:rsidR="008B4B2B" w:rsidRPr="008A3EDE">
        <w:rPr>
          <w:rFonts w:ascii="ＭＳ 明朝" w:hAnsi="ＭＳ 明朝" w:hint="eastAsia"/>
          <w:sz w:val="22"/>
          <w:szCs w:val="22"/>
        </w:rPr>
        <w:t>は、「大阪府感染症予防計画」及び「大阪府感染症対策マニュアル」に基づき、感染症の予防及び感染症の患者に対する医療に関し必要な措置（感染症の発生状況及び動向に関する調査、市町村に対する指導・指示、防疫に必要な薬品の調達・確保、衛生教育及び広報活動など）を実施する。</w:t>
      </w:r>
    </w:p>
    <w:p w14:paraId="44FEB3AF" w14:textId="77777777" w:rsidR="008B4B2B" w:rsidRPr="008A3EDE" w:rsidRDefault="008B4B2B" w:rsidP="008B4B2B">
      <w:pPr>
        <w:overflowPunct w:val="0"/>
        <w:autoSpaceDE w:val="0"/>
        <w:autoSpaceDN w:val="0"/>
        <w:ind w:leftChars="415" w:left="876" w:firstLineChars="99" w:firstLine="219"/>
        <w:rPr>
          <w:rFonts w:ascii="ＭＳ 明朝" w:hAnsi="ＭＳ 明朝"/>
          <w:sz w:val="22"/>
          <w:szCs w:val="22"/>
        </w:rPr>
      </w:pPr>
    </w:p>
    <w:p w14:paraId="7A400F78" w14:textId="77777777" w:rsidR="008B4B2B" w:rsidRPr="008A3EDE" w:rsidRDefault="008B4B2B" w:rsidP="008B4B2B">
      <w:pPr>
        <w:overflowPunct w:val="0"/>
        <w:autoSpaceDE w:val="0"/>
        <w:autoSpaceDN w:val="0"/>
        <w:ind w:firstLineChars="300" w:firstLine="663"/>
        <w:rPr>
          <w:rFonts w:ascii="ＭＳ ゴシック" w:eastAsia="ＭＳ ゴシック" w:hAnsi="ＭＳ ゴシック"/>
          <w:sz w:val="22"/>
          <w:szCs w:val="22"/>
          <w:u w:val="single"/>
        </w:rPr>
      </w:pPr>
      <w:r w:rsidRPr="008A3EDE">
        <w:rPr>
          <w:rFonts w:ascii="ＭＳ ゴシック" w:eastAsia="ＭＳ ゴシック" w:hAnsi="ＭＳ ゴシック" w:hint="eastAsia"/>
          <w:sz w:val="22"/>
          <w:szCs w:val="22"/>
          <w:u w:val="single"/>
        </w:rPr>
        <w:t>２　食品衛生監視活動</w:t>
      </w:r>
      <w:r w:rsidRPr="008A3EDE">
        <w:rPr>
          <w:rFonts w:ascii="ＭＳ ゴシック" w:eastAsia="ＭＳ ゴシック" w:hAnsi="ＭＳ ゴシック" w:hint="eastAsia"/>
          <w:sz w:val="22"/>
          <w:szCs w:val="22"/>
          <w:u w:val="single"/>
          <w:shd w:val="pct15" w:color="auto" w:fill="FFFFFF"/>
        </w:rPr>
        <w:t>【第３フェーズ～】</w:t>
      </w:r>
    </w:p>
    <w:p w14:paraId="069E7911" w14:textId="5C18CAA3" w:rsidR="008B4B2B" w:rsidRPr="008A3EDE" w:rsidRDefault="008B4B2B" w:rsidP="008B4B2B">
      <w:pPr>
        <w:overflowPunct w:val="0"/>
        <w:autoSpaceDE w:val="0"/>
        <w:autoSpaceDN w:val="0"/>
        <w:ind w:leftChars="415" w:left="876" w:firstLineChars="99" w:firstLine="219"/>
        <w:rPr>
          <w:rFonts w:ascii="ＭＳ 明朝" w:hAnsi="ＭＳ 明朝"/>
          <w:sz w:val="22"/>
          <w:szCs w:val="22"/>
        </w:rPr>
      </w:pPr>
      <w:r w:rsidRPr="008A3EDE">
        <w:rPr>
          <w:rFonts w:ascii="ＭＳ 明朝" w:hAnsi="ＭＳ 明朝" w:hint="eastAsia"/>
          <w:sz w:val="22"/>
          <w:szCs w:val="22"/>
        </w:rPr>
        <w:t>食の安全推進課長は、食品衛生監視班を編成し、保健所設置市及び食品衛生協会等関係機関と緊密な連携をとりながら、下記業務を実施する。</w:t>
      </w:r>
    </w:p>
    <w:p w14:paraId="08972811" w14:textId="77777777" w:rsidR="008B4B2B" w:rsidRPr="008A3EDE" w:rsidRDefault="008B4B2B" w:rsidP="007E668F">
      <w:pPr>
        <w:numPr>
          <w:ilvl w:val="0"/>
          <w:numId w:val="16"/>
        </w:numPr>
        <w:overflowPunct w:val="0"/>
        <w:autoSpaceDE w:val="0"/>
        <w:autoSpaceDN w:val="0"/>
        <w:rPr>
          <w:rFonts w:ascii="ＭＳ 明朝" w:hAnsi="ＭＳ 明朝"/>
          <w:sz w:val="22"/>
          <w:szCs w:val="22"/>
        </w:rPr>
      </w:pPr>
      <w:r w:rsidRPr="008A3EDE">
        <w:rPr>
          <w:rFonts w:ascii="ＭＳ 明朝" w:hAnsi="ＭＳ 明朝" w:hint="eastAsia"/>
          <w:sz w:val="22"/>
          <w:szCs w:val="22"/>
        </w:rPr>
        <w:t>避難所その他の臨時給食施設及び食品の衛生監視</w:t>
      </w:r>
    </w:p>
    <w:p w14:paraId="29E8D211" w14:textId="77777777" w:rsidR="008B4B2B" w:rsidRPr="008A3EDE" w:rsidRDefault="008B4B2B" w:rsidP="007E668F">
      <w:pPr>
        <w:numPr>
          <w:ilvl w:val="0"/>
          <w:numId w:val="16"/>
        </w:numPr>
        <w:overflowPunct w:val="0"/>
        <w:autoSpaceDE w:val="0"/>
        <w:autoSpaceDN w:val="0"/>
        <w:rPr>
          <w:rFonts w:ascii="ＭＳ 明朝" w:hAnsi="ＭＳ 明朝"/>
          <w:sz w:val="22"/>
          <w:szCs w:val="22"/>
        </w:rPr>
      </w:pPr>
      <w:r w:rsidRPr="008A3EDE">
        <w:rPr>
          <w:rFonts w:ascii="ＭＳ 明朝" w:hAnsi="ＭＳ 明朝" w:hint="eastAsia"/>
          <w:sz w:val="22"/>
          <w:szCs w:val="22"/>
        </w:rPr>
        <w:t>被災した食品関係営業施設の衛生監視</w:t>
      </w:r>
    </w:p>
    <w:p w14:paraId="63CFB15D" w14:textId="77777777" w:rsidR="008B4B2B" w:rsidRPr="008A3EDE" w:rsidRDefault="008B4B2B" w:rsidP="007E668F">
      <w:pPr>
        <w:numPr>
          <w:ilvl w:val="0"/>
          <w:numId w:val="16"/>
        </w:numPr>
        <w:overflowPunct w:val="0"/>
        <w:autoSpaceDE w:val="0"/>
        <w:autoSpaceDN w:val="0"/>
        <w:rPr>
          <w:rFonts w:ascii="ＭＳ 明朝" w:hAnsi="ＭＳ 明朝"/>
          <w:sz w:val="22"/>
          <w:szCs w:val="22"/>
        </w:rPr>
      </w:pPr>
      <w:r w:rsidRPr="008A3EDE">
        <w:rPr>
          <w:rFonts w:ascii="ＭＳ 明朝" w:hAnsi="ＭＳ 明朝" w:hint="eastAsia"/>
          <w:sz w:val="22"/>
          <w:szCs w:val="22"/>
        </w:rPr>
        <w:t>食品製造、運送、販売業者の食品取扱い及び施設の衛生監視</w:t>
      </w:r>
    </w:p>
    <w:p w14:paraId="31D418CC" w14:textId="77777777" w:rsidR="008B4B2B" w:rsidRPr="008A3EDE" w:rsidRDefault="008B4B2B" w:rsidP="007E668F">
      <w:pPr>
        <w:numPr>
          <w:ilvl w:val="0"/>
          <w:numId w:val="16"/>
        </w:numPr>
        <w:overflowPunct w:val="0"/>
        <w:autoSpaceDE w:val="0"/>
        <w:autoSpaceDN w:val="0"/>
        <w:rPr>
          <w:rFonts w:ascii="ＭＳ 明朝" w:hAnsi="ＭＳ 明朝"/>
          <w:sz w:val="22"/>
          <w:szCs w:val="22"/>
        </w:rPr>
      </w:pPr>
      <w:r w:rsidRPr="008A3EDE">
        <w:rPr>
          <w:rFonts w:ascii="ＭＳ 明朝" w:hAnsi="ＭＳ 明朝" w:hint="eastAsia"/>
          <w:sz w:val="22"/>
          <w:szCs w:val="22"/>
        </w:rPr>
        <w:t>飲料水の衛生監視、検査</w:t>
      </w:r>
    </w:p>
    <w:p w14:paraId="30C8260C" w14:textId="77777777" w:rsidR="008B4B2B" w:rsidRPr="008A3EDE" w:rsidRDefault="008B4B2B" w:rsidP="007E668F">
      <w:pPr>
        <w:numPr>
          <w:ilvl w:val="0"/>
          <w:numId w:val="16"/>
        </w:numPr>
        <w:overflowPunct w:val="0"/>
        <w:autoSpaceDE w:val="0"/>
        <w:autoSpaceDN w:val="0"/>
        <w:rPr>
          <w:rFonts w:ascii="ＭＳ 明朝" w:hAnsi="ＭＳ 明朝"/>
          <w:sz w:val="22"/>
          <w:szCs w:val="22"/>
        </w:rPr>
      </w:pPr>
      <w:r w:rsidRPr="008A3EDE">
        <w:rPr>
          <w:rFonts w:ascii="ＭＳ 明朝" w:hAnsi="ＭＳ 明朝" w:hint="eastAsia"/>
          <w:sz w:val="22"/>
          <w:szCs w:val="22"/>
        </w:rPr>
        <w:t>その他食品に起因する危害発生の排除</w:t>
      </w:r>
    </w:p>
    <w:p w14:paraId="09686F55" w14:textId="77777777" w:rsidR="008B4B2B" w:rsidRPr="008A3EDE" w:rsidRDefault="008B4B2B" w:rsidP="008B4B2B">
      <w:pPr>
        <w:overflowPunct w:val="0"/>
        <w:autoSpaceDE w:val="0"/>
        <w:autoSpaceDN w:val="0"/>
        <w:ind w:leftChars="415" w:left="876" w:firstLineChars="99" w:firstLine="219"/>
        <w:rPr>
          <w:rFonts w:ascii="ＭＳ 明朝" w:hAnsi="ＭＳ 明朝"/>
          <w:sz w:val="22"/>
          <w:szCs w:val="22"/>
        </w:rPr>
      </w:pPr>
      <w:r w:rsidRPr="008A3EDE">
        <w:rPr>
          <w:rFonts w:ascii="ＭＳ 明朝" w:hAnsi="ＭＳ 明朝" w:hint="eastAsia"/>
          <w:sz w:val="22"/>
          <w:szCs w:val="22"/>
        </w:rPr>
        <w:t>また、保健所長と連携を密にし、食品の衛生を確保し、食中毒の発生を防止するために食品衛生監視員の応援が必要なときは、食の安全推進課職員の派遣を含めその調整にあたる。また、食中毒の発生若しくはその疑いが発生したときは「大阪府食中毒対策要綱」等に基づき、発生原因を追究し原因及び原因食品の排除について、保健所に助言その他の協力を行う。</w:t>
      </w:r>
    </w:p>
    <w:p w14:paraId="0683C29C" w14:textId="64594719" w:rsidR="00596CB1" w:rsidRPr="008A3EDE" w:rsidRDefault="008B4B2B" w:rsidP="008B4B2B">
      <w:pPr>
        <w:overflowPunct w:val="0"/>
        <w:autoSpaceDE w:val="0"/>
        <w:autoSpaceDN w:val="0"/>
        <w:ind w:leftChars="415" w:left="876" w:rightChars="13" w:right="27" w:firstLineChars="99" w:firstLine="219"/>
        <w:rPr>
          <w:rFonts w:ascii="ＭＳ 明朝" w:hAnsi="ＭＳ 明朝"/>
          <w:sz w:val="22"/>
          <w:szCs w:val="22"/>
        </w:rPr>
      </w:pPr>
      <w:r w:rsidRPr="008A3EDE">
        <w:rPr>
          <w:rFonts w:ascii="ＭＳ 明朝" w:hAnsi="ＭＳ 明朝" w:hint="eastAsia"/>
          <w:sz w:val="22"/>
          <w:szCs w:val="22"/>
        </w:rPr>
        <w:t>また、環境衛生課長は「大阪府飲料水健康危機管理実施要領」に基づき、飲料水の危機管理に必要な情報の収集と連絡、給水の停止の助言・指導、発生源対策などの措置を実施する。</w:t>
      </w:r>
    </w:p>
    <w:p w14:paraId="500971DB" w14:textId="77777777" w:rsidR="00596CB1" w:rsidRPr="008A3EDE" w:rsidRDefault="00596CB1">
      <w:pPr>
        <w:widowControl/>
        <w:jc w:val="left"/>
        <w:rPr>
          <w:rFonts w:ascii="ＭＳ 明朝" w:hAnsi="ＭＳ 明朝"/>
          <w:sz w:val="22"/>
          <w:szCs w:val="22"/>
        </w:rPr>
      </w:pPr>
      <w:r w:rsidRPr="008A3EDE">
        <w:rPr>
          <w:rFonts w:ascii="ＭＳ 明朝" w:hAnsi="ＭＳ 明朝"/>
          <w:sz w:val="22"/>
          <w:szCs w:val="22"/>
        </w:rPr>
        <w:br w:type="page"/>
      </w:r>
    </w:p>
    <w:p w14:paraId="07CD8D07" w14:textId="77777777" w:rsidR="008B4B2B" w:rsidRPr="008A3EDE" w:rsidRDefault="008B4B2B" w:rsidP="008B4B2B">
      <w:pPr>
        <w:overflowPunct w:val="0"/>
        <w:autoSpaceDE w:val="0"/>
        <w:autoSpaceDN w:val="0"/>
        <w:ind w:firstLineChars="300" w:firstLine="663"/>
        <w:rPr>
          <w:rFonts w:ascii="ＭＳ ゴシック" w:eastAsia="ＭＳ ゴシック" w:hAnsi="ＭＳ ゴシック"/>
          <w:sz w:val="22"/>
          <w:szCs w:val="22"/>
          <w:u w:val="single"/>
        </w:rPr>
      </w:pPr>
      <w:r w:rsidRPr="008A3EDE">
        <w:rPr>
          <w:rFonts w:ascii="ＭＳ ゴシック" w:eastAsia="ＭＳ ゴシック" w:hAnsi="ＭＳ ゴシック" w:hint="eastAsia"/>
          <w:sz w:val="22"/>
          <w:szCs w:val="22"/>
          <w:u w:val="single"/>
        </w:rPr>
        <w:lastRenderedPageBreak/>
        <w:t>３　被災者の健康維持活動</w:t>
      </w:r>
      <w:r w:rsidRPr="008A3EDE">
        <w:rPr>
          <w:rFonts w:ascii="ＭＳ ゴシック" w:eastAsia="ＭＳ ゴシック" w:hAnsi="ＭＳ ゴシック" w:hint="eastAsia"/>
          <w:sz w:val="22"/>
          <w:szCs w:val="22"/>
          <w:u w:val="single"/>
          <w:shd w:val="pct15" w:color="auto" w:fill="FFFFFF"/>
        </w:rPr>
        <w:t>【第３フェーズ～】</w:t>
      </w:r>
    </w:p>
    <w:p w14:paraId="73A7FB6A" w14:textId="77777777" w:rsidR="008B4B2B" w:rsidRPr="008A3EDE" w:rsidRDefault="008B4B2B" w:rsidP="008B4B2B">
      <w:pPr>
        <w:overflowPunct w:val="0"/>
        <w:autoSpaceDE w:val="0"/>
        <w:autoSpaceDN w:val="0"/>
        <w:ind w:leftChars="415" w:left="876" w:firstLineChars="99" w:firstLine="219"/>
        <w:rPr>
          <w:rFonts w:ascii="ＭＳ 明朝" w:hAnsi="ＭＳ 明朝"/>
          <w:sz w:val="22"/>
          <w:szCs w:val="22"/>
        </w:rPr>
      </w:pPr>
      <w:r w:rsidRPr="008A3EDE">
        <w:rPr>
          <w:rFonts w:ascii="ＭＳ 明朝" w:hAnsi="ＭＳ 明朝" w:hint="eastAsia"/>
          <w:sz w:val="22"/>
          <w:szCs w:val="22"/>
        </w:rPr>
        <w:t>保健所長は、被災者の健康管理や生活環境の整備を行うため、避難所、社会福祉施設及び応急仮設住宅などにおいて、保健師等による巡回健康相談、訪問指導、健康教育、健康診断などに関し市町村を支援する。</w:t>
      </w:r>
    </w:p>
    <w:p w14:paraId="0E65025A" w14:textId="32AEF766" w:rsidR="008B4B2B" w:rsidRPr="008A3EDE" w:rsidRDefault="008B4B2B" w:rsidP="008B4B2B">
      <w:pPr>
        <w:overflowPunct w:val="0"/>
        <w:autoSpaceDE w:val="0"/>
        <w:autoSpaceDN w:val="0"/>
        <w:ind w:leftChars="415" w:left="876" w:firstLineChars="99" w:firstLine="219"/>
        <w:rPr>
          <w:rFonts w:ascii="ＭＳ 明朝" w:hAnsi="ＭＳ 明朝"/>
          <w:sz w:val="22"/>
          <w:szCs w:val="22"/>
        </w:rPr>
      </w:pPr>
      <w:r w:rsidRPr="008A3EDE">
        <w:rPr>
          <w:rFonts w:hAnsi="ＭＳ 明朝" w:hint="eastAsia"/>
          <w:sz w:val="22"/>
          <w:szCs w:val="22"/>
        </w:rPr>
        <w:t>また、ＤＰＡＴ（</w:t>
      </w:r>
      <w:r w:rsidR="00DC2D80" w:rsidRPr="008A3EDE">
        <w:rPr>
          <w:rFonts w:hAnsi="ＭＳ 明朝" w:hint="eastAsia"/>
          <w:sz w:val="22"/>
        </w:rPr>
        <w:t>災害派遣精神医療チーム</w:t>
      </w:r>
      <w:r w:rsidRPr="008A3EDE">
        <w:rPr>
          <w:rFonts w:hAnsi="ＭＳ 明朝" w:hint="eastAsia"/>
          <w:sz w:val="22"/>
          <w:szCs w:val="22"/>
        </w:rPr>
        <w:t>）と連携し、地域の精神保健活動（こころの健康に関する相談等）を実施する。</w:t>
      </w:r>
    </w:p>
    <w:p w14:paraId="5417FF73" w14:textId="77777777" w:rsidR="008B4B2B" w:rsidRPr="008A3EDE" w:rsidRDefault="008B4B2B" w:rsidP="008B4B2B">
      <w:pPr>
        <w:overflowPunct w:val="0"/>
        <w:autoSpaceDE w:val="0"/>
        <w:autoSpaceDN w:val="0"/>
        <w:ind w:leftChars="415" w:left="876" w:firstLineChars="99" w:firstLine="219"/>
        <w:rPr>
          <w:rFonts w:ascii="ＭＳ 明朝" w:hAnsi="ＭＳ 明朝"/>
          <w:sz w:val="22"/>
          <w:szCs w:val="22"/>
        </w:rPr>
      </w:pPr>
    </w:p>
    <w:p w14:paraId="37AFC6EE" w14:textId="77777777" w:rsidR="008B4B2B" w:rsidRPr="008A3EDE" w:rsidRDefault="008B4B2B" w:rsidP="008B4B2B">
      <w:pPr>
        <w:overflowPunct w:val="0"/>
        <w:autoSpaceDE w:val="0"/>
        <w:autoSpaceDN w:val="0"/>
        <w:ind w:firstLineChars="300" w:firstLine="663"/>
        <w:rPr>
          <w:rFonts w:ascii="ＭＳ ゴシック" w:eastAsia="ＭＳ ゴシック" w:hAnsi="ＭＳ ゴシック"/>
          <w:sz w:val="22"/>
          <w:szCs w:val="22"/>
          <w:u w:val="single"/>
        </w:rPr>
      </w:pPr>
      <w:r w:rsidRPr="008A3EDE">
        <w:rPr>
          <w:rFonts w:ascii="ＭＳ ゴシック" w:eastAsia="ＭＳ ゴシック" w:hAnsi="ＭＳ ゴシック" w:hint="eastAsia"/>
          <w:sz w:val="22"/>
          <w:szCs w:val="22"/>
          <w:u w:val="single"/>
        </w:rPr>
        <w:t>４　動物保護等の実施</w:t>
      </w:r>
      <w:r w:rsidRPr="008A3EDE">
        <w:rPr>
          <w:rFonts w:ascii="ＭＳ ゴシック" w:eastAsia="ＭＳ ゴシック" w:hAnsi="ＭＳ ゴシック" w:hint="eastAsia"/>
          <w:sz w:val="22"/>
          <w:szCs w:val="22"/>
          <w:u w:val="single"/>
          <w:shd w:val="pct15" w:color="auto" w:fill="FFFFFF"/>
        </w:rPr>
        <w:t>【第３フェーズ～】</w:t>
      </w:r>
    </w:p>
    <w:p w14:paraId="6D6F5E5E" w14:textId="77777777" w:rsidR="008B4B2B" w:rsidRPr="008A3EDE" w:rsidRDefault="008B4B2B" w:rsidP="008B4B2B">
      <w:pPr>
        <w:overflowPunct w:val="0"/>
        <w:autoSpaceDE w:val="0"/>
        <w:autoSpaceDN w:val="0"/>
        <w:ind w:leftChars="400" w:left="844" w:rightChars="-53" w:right="-112" w:firstLineChars="100" w:firstLine="221"/>
        <w:rPr>
          <w:rFonts w:ascii="ＭＳ 明朝" w:hAnsi="ＭＳ 明朝"/>
          <w:sz w:val="22"/>
          <w:szCs w:val="22"/>
        </w:rPr>
      </w:pPr>
      <w:r w:rsidRPr="008A3EDE">
        <w:rPr>
          <w:rFonts w:ascii="ＭＳ 明朝" w:hAnsi="ＭＳ 明朝" w:hint="eastAsia"/>
          <w:sz w:val="22"/>
          <w:szCs w:val="22"/>
        </w:rPr>
        <w:t>動物愛護畜産課長は「大阪府災害時等動物救護対策要綱」に基づき大阪府災害時等動物救護本部を設置したときは、「大阪府災害時等動物救護活動ガイドライン」により、府内市町村及び府獣医師会等関係団体等と被災動物の救護活動を実施する。</w:t>
      </w:r>
    </w:p>
    <w:p w14:paraId="6484280B" w14:textId="77777777" w:rsidR="008B4B2B" w:rsidRPr="008A3EDE" w:rsidRDefault="008B4B2B" w:rsidP="008B4B2B">
      <w:pPr>
        <w:overflowPunct w:val="0"/>
        <w:autoSpaceDE w:val="0"/>
        <w:autoSpaceDN w:val="0"/>
        <w:ind w:left="884" w:rightChars="-41" w:right="-87" w:hangingChars="400" w:hanging="884"/>
        <w:rPr>
          <w:rFonts w:ascii="ＭＳ 明朝" w:hAnsi="ＭＳ 明朝"/>
          <w:sz w:val="22"/>
          <w:szCs w:val="22"/>
        </w:rPr>
      </w:pPr>
      <w:r w:rsidRPr="008A3EDE">
        <w:rPr>
          <w:rFonts w:ascii="ＭＳ 明朝" w:hAnsi="ＭＳ 明朝" w:hint="eastAsia"/>
          <w:sz w:val="22"/>
          <w:szCs w:val="22"/>
        </w:rPr>
        <w:t xml:space="preserve">　　　　　また、動物愛護畜産課長は「危険な動物等事故発生時の対応マニュアル」に基づき、危険な動物の逸走対策などを実施するとともに、動物愛護管理センターにおいて、狂犬病の発生予防や犬による咬傷事故等の防止を実施する。</w:t>
      </w:r>
    </w:p>
    <w:p w14:paraId="3D011D6A" w14:textId="77777777" w:rsidR="008B4B2B" w:rsidRPr="008A3EDE" w:rsidRDefault="008B4B2B" w:rsidP="008B4B2B">
      <w:pPr>
        <w:overflowPunct w:val="0"/>
        <w:autoSpaceDE w:val="0"/>
        <w:autoSpaceDN w:val="0"/>
        <w:rPr>
          <w:rFonts w:ascii="ＭＳ 明朝" w:hAnsi="ＭＳ 明朝"/>
          <w:sz w:val="22"/>
          <w:szCs w:val="22"/>
        </w:rPr>
      </w:pPr>
    </w:p>
    <w:p w14:paraId="6ED2492A" w14:textId="77777777" w:rsidR="008B4B2B" w:rsidRPr="008A3EDE" w:rsidRDefault="008B4B2B" w:rsidP="008B4B2B">
      <w:pPr>
        <w:overflowPunct w:val="0"/>
        <w:autoSpaceDE w:val="0"/>
        <w:autoSpaceDN w:val="0"/>
        <w:rPr>
          <w:rFonts w:ascii="ＭＳ ゴシック" w:eastAsia="ＭＳ ゴシック" w:hAnsi="ＭＳ ゴシック"/>
          <w:sz w:val="22"/>
          <w:szCs w:val="22"/>
          <w:u w:val="single"/>
        </w:rPr>
      </w:pPr>
      <w:r w:rsidRPr="008A3EDE">
        <w:rPr>
          <w:rFonts w:ascii="ＭＳ 明朝" w:hAnsi="ＭＳ 明朝" w:hint="eastAsia"/>
          <w:sz w:val="22"/>
          <w:szCs w:val="22"/>
        </w:rPr>
        <w:t xml:space="preserve">　　　</w:t>
      </w:r>
      <w:r w:rsidRPr="008A3EDE">
        <w:rPr>
          <w:rFonts w:ascii="ＭＳ ゴシック" w:eastAsia="ＭＳ ゴシック" w:hAnsi="ＭＳ ゴシック" w:hint="eastAsia"/>
          <w:sz w:val="22"/>
          <w:szCs w:val="22"/>
          <w:u w:val="single"/>
        </w:rPr>
        <w:t>５　応援要請</w:t>
      </w:r>
      <w:r w:rsidRPr="008A3EDE">
        <w:rPr>
          <w:rFonts w:ascii="ＭＳ ゴシック" w:eastAsia="ＭＳ ゴシック" w:hAnsi="ＭＳ ゴシック" w:hint="eastAsia"/>
          <w:sz w:val="22"/>
          <w:szCs w:val="22"/>
          <w:u w:val="single"/>
          <w:shd w:val="pct15" w:color="auto" w:fill="FFFFFF"/>
        </w:rPr>
        <w:t>【第４フェーズ～】</w:t>
      </w:r>
    </w:p>
    <w:p w14:paraId="144DD269" w14:textId="77777777" w:rsidR="008B4B2B" w:rsidRPr="008A3EDE" w:rsidRDefault="008B4B2B" w:rsidP="008B4B2B">
      <w:pPr>
        <w:overflowPunct w:val="0"/>
        <w:autoSpaceDE w:val="0"/>
        <w:autoSpaceDN w:val="0"/>
        <w:ind w:left="884" w:hangingChars="400" w:hanging="884"/>
        <w:rPr>
          <w:rFonts w:ascii="ＭＳ 明朝" w:hAnsi="ＭＳ 明朝"/>
          <w:sz w:val="22"/>
          <w:szCs w:val="22"/>
        </w:rPr>
      </w:pPr>
      <w:r w:rsidRPr="008A3EDE">
        <w:rPr>
          <w:rFonts w:ascii="ＭＳ 明朝" w:hAnsi="ＭＳ 明朝" w:hint="eastAsia"/>
          <w:sz w:val="22"/>
          <w:szCs w:val="22"/>
        </w:rPr>
        <w:t xml:space="preserve">　　　　　防疫活動、食品衛生監視活動、健康維持活動又は動物保護等の実施において、府内での対処が困難になった場合は、関西広域連合や他府県に応援を要請する。</w:t>
      </w:r>
    </w:p>
    <w:p w14:paraId="6FC854A2" w14:textId="77777777" w:rsidR="003916D9" w:rsidRPr="008A3EDE" w:rsidRDefault="003916D9" w:rsidP="008B4B2B">
      <w:pPr>
        <w:pStyle w:val="ad"/>
        <w:wordWrap/>
        <w:overflowPunct w:val="0"/>
        <w:spacing w:line="400" w:lineRule="exact"/>
        <w:ind w:left="442" w:hangingChars="200" w:hanging="442"/>
        <w:rPr>
          <w:rFonts w:ascii="ＭＳ ゴシック" w:eastAsia="ＭＳ ゴシック" w:hAnsi="ＭＳ ゴシック"/>
        </w:rPr>
      </w:pPr>
    </w:p>
    <w:p w14:paraId="355DCF33" w14:textId="77777777" w:rsidR="00254093" w:rsidRPr="008A3EDE" w:rsidRDefault="00254093">
      <w:pPr>
        <w:widowControl/>
        <w:jc w:val="left"/>
        <w:rPr>
          <w:rFonts w:ascii="ＭＳ ゴシック" w:eastAsia="ＭＳ ゴシック" w:hAnsi="ＭＳ ゴシック"/>
          <w:color w:val="000000" w:themeColor="text1"/>
          <w:sz w:val="22"/>
          <w:u w:val="double"/>
        </w:rPr>
      </w:pPr>
      <w:bookmarkStart w:id="358" w:name="_Toc122436960"/>
      <w:bookmarkStart w:id="359" w:name="_Hlk192959456"/>
      <w:r w:rsidRPr="008A3EDE">
        <w:br w:type="page"/>
      </w:r>
    </w:p>
    <w:p w14:paraId="4E8FE43B" w14:textId="4845B5D7" w:rsidR="008B4B2B" w:rsidRPr="008A3EDE" w:rsidRDefault="008B4B2B" w:rsidP="00E0548A">
      <w:pPr>
        <w:pStyle w:val="3"/>
        <w:ind w:firstLine="442"/>
      </w:pPr>
      <w:bookmarkStart w:id="360" w:name="_Toc222486654"/>
      <w:bookmarkStart w:id="361" w:name="_Toc242870324"/>
      <w:r w:rsidRPr="008A3EDE">
        <w:rPr>
          <w:rFonts w:hint="eastAsia"/>
        </w:rPr>
        <w:lastRenderedPageBreak/>
        <w:t>第２　廃棄物の処理</w:t>
      </w:r>
      <w:bookmarkEnd w:id="358"/>
      <w:bookmarkEnd w:id="360"/>
      <w:bookmarkEnd w:id="361"/>
    </w:p>
    <w:p w14:paraId="013397B6" w14:textId="77777777" w:rsidR="008B4B2B" w:rsidRPr="008A3EDE" w:rsidRDefault="008B4B2B" w:rsidP="008B4B2B">
      <w:pPr>
        <w:pStyle w:val="a0"/>
        <w:ind w:firstLineChars="500" w:firstLine="1105"/>
        <w:rPr>
          <w:rFonts w:ascii="ＭＳ ゴシック" w:eastAsia="ＭＳ ゴシック" w:hAnsi="ＭＳ ゴシック"/>
          <w:sz w:val="22"/>
          <w:szCs w:val="22"/>
          <w:bdr w:val="single" w:sz="4" w:space="0" w:color="auto"/>
        </w:rPr>
      </w:pPr>
      <w:r w:rsidRPr="008A3EDE">
        <w:rPr>
          <w:rFonts w:ascii="ＭＳ ゴシック" w:eastAsia="ＭＳ ゴシック" w:hAnsi="ＭＳ ゴシック" w:hint="eastAsia"/>
          <w:sz w:val="22"/>
          <w:szCs w:val="22"/>
          <w:bdr w:val="single" w:sz="4" w:space="0" w:color="auto"/>
        </w:rPr>
        <w:t>主たる担当：環境衛生課、循環型社会推進室</w:t>
      </w:r>
    </w:p>
    <w:p w14:paraId="334FC04A" w14:textId="77777777" w:rsidR="008B4B2B" w:rsidRPr="008A3EDE" w:rsidRDefault="008B4B2B" w:rsidP="008B4B2B">
      <w:pPr>
        <w:overflowPunct w:val="0"/>
        <w:autoSpaceDE w:val="0"/>
        <w:autoSpaceDN w:val="0"/>
        <w:ind w:firstLineChars="300" w:firstLine="663"/>
        <w:rPr>
          <w:rFonts w:ascii="ＭＳ ゴシック" w:eastAsia="ＭＳ ゴシック" w:hAnsi="ＭＳ ゴシック"/>
          <w:sz w:val="22"/>
          <w:szCs w:val="22"/>
          <w:u w:val="single"/>
        </w:rPr>
      </w:pPr>
      <w:r w:rsidRPr="008A3EDE">
        <w:rPr>
          <w:rFonts w:ascii="ＭＳ ゴシック" w:eastAsia="ＭＳ ゴシック" w:hAnsi="ＭＳ ゴシック" w:hint="eastAsia"/>
          <w:sz w:val="22"/>
          <w:szCs w:val="22"/>
          <w:u w:val="single"/>
        </w:rPr>
        <w:t>１　し尿処理</w:t>
      </w:r>
      <w:r w:rsidRPr="008A3EDE">
        <w:rPr>
          <w:rFonts w:ascii="ＭＳ ゴシック" w:eastAsia="ＭＳ ゴシック" w:hAnsi="ＭＳ ゴシック" w:hint="eastAsia"/>
          <w:sz w:val="22"/>
          <w:szCs w:val="22"/>
          <w:u w:val="single"/>
          <w:shd w:val="pct15" w:color="auto" w:fill="FFFFFF"/>
        </w:rPr>
        <w:t>【第２フェーズ～】</w:t>
      </w:r>
    </w:p>
    <w:p w14:paraId="15909FF1" w14:textId="77777777" w:rsidR="008B4B2B" w:rsidRPr="008A3EDE" w:rsidRDefault="008B4B2B" w:rsidP="008B4B2B">
      <w:pPr>
        <w:overflowPunct w:val="0"/>
        <w:autoSpaceDE w:val="0"/>
        <w:autoSpaceDN w:val="0"/>
        <w:ind w:leftChars="415" w:left="876" w:firstLineChars="99" w:firstLine="219"/>
        <w:rPr>
          <w:rFonts w:ascii="ＭＳ 明朝" w:hAnsi="ＭＳ 明朝"/>
          <w:sz w:val="22"/>
          <w:szCs w:val="22"/>
        </w:rPr>
      </w:pPr>
      <w:r w:rsidRPr="008A3EDE">
        <w:rPr>
          <w:rFonts w:ascii="ＭＳ 明朝" w:hAnsi="ＭＳ 明朝" w:hint="eastAsia"/>
          <w:sz w:val="22"/>
          <w:szCs w:val="22"/>
        </w:rPr>
        <w:t>環境衛生課長は、各市町村のし尿等収集運搬体制、し尿処理施設等の被災状況等を把握し、適切にし尿処理がなされるよう支援を行う。</w:t>
      </w:r>
    </w:p>
    <w:p w14:paraId="6854A359" w14:textId="1D15B590" w:rsidR="008B4B2B" w:rsidRPr="008A3EDE" w:rsidRDefault="008B4B2B" w:rsidP="008B4B2B">
      <w:pPr>
        <w:overflowPunct w:val="0"/>
        <w:autoSpaceDE w:val="0"/>
        <w:autoSpaceDN w:val="0"/>
        <w:ind w:leftChars="415" w:left="876" w:firstLineChars="99" w:firstLine="219"/>
        <w:rPr>
          <w:rFonts w:ascii="ＭＳ 明朝" w:hAnsi="ＭＳ 明朝"/>
          <w:sz w:val="22"/>
          <w:szCs w:val="22"/>
        </w:rPr>
      </w:pPr>
      <w:r w:rsidRPr="008A3EDE">
        <w:rPr>
          <w:rFonts w:ascii="ＭＳ 明朝" w:hAnsi="ＭＳ 明朝" w:hint="eastAsia"/>
          <w:sz w:val="22"/>
          <w:szCs w:val="22"/>
        </w:rPr>
        <w:t>し尿等収集運搬体制については、被災市町村からの支援要請により、「</w:t>
      </w:r>
      <w:r w:rsidR="00DC2D80" w:rsidRPr="008A3EDE">
        <w:rPr>
          <w:rFonts w:hAnsi="ＭＳ 明朝" w:hint="eastAsia"/>
          <w:sz w:val="22"/>
        </w:rPr>
        <w:t>災害および感染症発生時におけるし尿及び浄化槽汚泥の収集運搬の協力に関する協定書</w:t>
      </w:r>
      <w:r w:rsidRPr="008A3EDE">
        <w:rPr>
          <w:rFonts w:hAnsi="ＭＳ 明朝" w:hint="eastAsia"/>
          <w:sz w:val="22"/>
          <w:szCs w:val="22"/>
        </w:rPr>
        <w:t>」に基づき、大阪府衛生管理協同組合へ収集運搬車の支援協力要請を行うとともに、状況に応じ、支援市町村、関西広域連合、他府県、国等に支援を要請する。</w:t>
      </w:r>
    </w:p>
    <w:p w14:paraId="120B77C5" w14:textId="77777777" w:rsidR="008B4B2B" w:rsidRPr="008A3EDE" w:rsidRDefault="008B4B2B" w:rsidP="008B4B2B">
      <w:pPr>
        <w:overflowPunct w:val="0"/>
        <w:autoSpaceDE w:val="0"/>
        <w:autoSpaceDN w:val="0"/>
        <w:ind w:leftChars="415" w:left="876" w:firstLineChars="99" w:firstLine="219"/>
        <w:rPr>
          <w:rFonts w:ascii="ＭＳ 明朝" w:hAnsi="ＭＳ 明朝"/>
          <w:sz w:val="22"/>
          <w:szCs w:val="22"/>
        </w:rPr>
      </w:pPr>
      <w:r w:rsidRPr="008A3EDE">
        <w:rPr>
          <w:rFonts w:ascii="ＭＳ 明朝" w:hAnsi="ＭＳ 明朝" w:hint="eastAsia"/>
          <w:sz w:val="22"/>
          <w:szCs w:val="22"/>
        </w:rPr>
        <w:t>し尿等処理体制については、被災市町村からの支援要請により、支援市町村へし尿等処理受け入れを要請するとともに、状況に応じ、関西広域連合、他府県、国等に支援を要請する。</w:t>
      </w:r>
    </w:p>
    <w:bookmarkEnd w:id="359"/>
    <w:p w14:paraId="5CFE880C" w14:textId="77777777" w:rsidR="008B4B2B" w:rsidRPr="008A3EDE" w:rsidRDefault="008B4B2B" w:rsidP="008B4B2B">
      <w:pPr>
        <w:overflowPunct w:val="0"/>
        <w:autoSpaceDE w:val="0"/>
        <w:autoSpaceDN w:val="0"/>
        <w:ind w:leftChars="415" w:left="876" w:firstLineChars="99" w:firstLine="219"/>
        <w:rPr>
          <w:rFonts w:ascii="ＭＳ 明朝" w:hAnsi="ＭＳ 明朝"/>
          <w:sz w:val="22"/>
          <w:szCs w:val="22"/>
        </w:rPr>
      </w:pPr>
    </w:p>
    <w:p w14:paraId="2BB61924" w14:textId="77777777" w:rsidR="008B4B2B" w:rsidRPr="008A3EDE" w:rsidRDefault="008B4B2B" w:rsidP="008B4B2B">
      <w:pPr>
        <w:overflowPunct w:val="0"/>
        <w:autoSpaceDE w:val="0"/>
        <w:autoSpaceDN w:val="0"/>
        <w:ind w:firstLineChars="300" w:firstLine="663"/>
        <w:rPr>
          <w:rFonts w:ascii="ＭＳ ゴシック" w:eastAsia="ＭＳ ゴシック" w:hAnsi="ＭＳ ゴシック"/>
          <w:sz w:val="22"/>
          <w:szCs w:val="22"/>
          <w:u w:val="single"/>
        </w:rPr>
      </w:pPr>
      <w:r w:rsidRPr="008A3EDE">
        <w:rPr>
          <w:rFonts w:ascii="ＭＳ ゴシック" w:eastAsia="ＭＳ ゴシック" w:hAnsi="ＭＳ ゴシック" w:hint="eastAsia"/>
          <w:sz w:val="22"/>
          <w:szCs w:val="22"/>
          <w:u w:val="single"/>
        </w:rPr>
        <w:t>２　ごみ及び災害廃棄物等（津波堆積物を含む）処理</w:t>
      </w:r>
      <w:r w:rsidRPr="008A3EDE">
        <w:rPr>
          <w:rFonts w:ascii="ＭＳ ゴシック" w:eastAsia="ＭＳ ゴシック" w:hAnsi="ＭＳ ゴシック" w:hint="eastAsia"/>
          <w:sz w:val="22"/>
          <w:szCs w:val="22"/>
          <w:u w:val="single"/>
          <w:shd w:val="pct15" w:color="auto" w:fill="FFFFFF"/>
        </w:rPr>
        <w:t>【第２フェーズ～】</w:t>
      </w:r>
    </w:p>
    <w:p w14:paraId="03EF3952" w14:textId="77777777" w:rsidR="008B4B2B" w:rsidRPr="008A3EDE" w:rsidRDefault="008B4B2B" w:rsidP="008B4B2B">
      <w:pPr>
        <w:overflowPunct w:val="0"/>
        <w:autoSpaceDE w:val="0"/>
        <w:autoSpaceDN w:val="0"/>
        <w:ind w:leftChars="415" w:left="876"/>
        <w:rPr>
          <w:rFonts w:ascii="ＭＳ 明朝" w:hAnsi="ＭＳ 明朝"/>
          <w:sz w:val="22"/>
          <w:szCs w:val="22"/>
        </w:rPr>
      </w:pPr>
      <w:r w:rsidRPr="008A3EDE">
        <w:rPr>
          <w:rFonts w:ascii="ＭＳ 明朝" w:hAnsi="ＭＳ 明朝" w:hint="eastAsia"/>
          <w:sz w:val="22"/>
          <w:szCs w:val="22"/>
        </w:rPr>
        <w:t xml:space="preserve">　資源循環課長は、各市町村・一部事務組合等の廃棄物処理施設の被害状況や稼働状況を確認し、府域の一般廃棄物処理能力を把握する。</w:t>
      </w:r>
    </w:p>
    <w:p w14:paraId="0B76BDF5" w14:textId="77777777" w:rsidR="008B4B2B" w:rsidRPr="008A3EDE" w:rsidRDefault="008B4B2B" w:rsidP="008B4B2B">
      <w:pPr>
        <w:overflowPunct w:val="0"/>
        <w:autoSpaceDE w:val="0"/>
        <w:autoSpaceDN w:val="0"/>
        <w:ind w:leftChars="415" w:left="876"/>
        <w:rPr>
          <w:rFonts w:ascii="ＭＳ 明朝" w:hAnsi="ＭＳ 明朝"/>
          <w:sz w:val="22"/>
          <w:szCs w:val="22"/>
        </w:rPr>
      </w:pPr>
      <w:r w:rsidRPr="008A3EDE">
        <w:rPr>
          <w:rFonts w:ascii="ＭＳ 明朝" w:hAnsi="ＭＳ 明朝" w:hint="eastAsia"/>
          <w:sz w:val="22"/>
          <w:szCs w:val="22"/>
        </w:rPr>
        <w:t xml:space="preserve">　その後、被災市町村のごみが適正に処理されるよう「大阪府災害廃棄物処理計画」に基づく府域の地域エリアにおいて、市町村・一部事務組合間の必要な調整を行うなどの支援を行う。</w:t>
      </w:r>
    </w:p>
    <w:p w14:paraId="3D7E160F" w14:textId="16B2C23D" w:rsidR="00BA52E1" w:rsidRPr="008A3EDE" w:rsidRDefault="008B4B2B" w:rsidP="00BA52E1">
      <w:pPr>
        <w:overflowPunct w:val="0"/>
        <w:autoSpaceDE w:val="0"/>
        <w:autoSpaceDN w:val="0"/>
        <w:ind w:leftChars="415" w:left="876" w:firstLineChars="99" w:firstLine="219"/>
        <w:rPr>
          <w:rFonts w:ascii="ＭＳ 明朝" w:hAnsi="ＭＳ 明朝"/>
          <w:sz w:val="22"/>
          <w:szCs w:val="22"/>
        </w:rPr>
      </w:pPr>
      <w:r w:rsidRPr="008A3EDE">
        <w:rPr>
          <w:rFonts w:ascii="ＭＳ 明朝" w:hAnsi="ＭＳ 明朝" w:hint="eastAsia"/>
          <w:sz w:val="22"/>
          <w:szCs w:val="22"/>
        </w:rPr>
        <w:t>また、府域においてごみ処理できないときは、他の府県や国に対し応援を要請する。</w:t>
      </w:r>
    </w:p>
    <w:p w14:paraId="127871C8" w14:textId="37F3E400" w:rsidR="008B4B2B" w:rsidRPr="008A3EDE" w:rsidRDefault="008B4B2B" w:rsidP="00E0548A">
      <w:pPr>
        <w:overflowPunct w:val="0"/>
        <w:autoSpaceDE w:val="0"/>
        <w:autoSpaceDN w:val="0"/>
        <w:ind w:leftChars="415" w:left="876" w:firstLineChars="99" w:firstLine="219"/>
        <w:rPr>
          <w:rFonts w:ascii="ＭＳ ゴシック" w:eastAsia="ＭＳ ゴシック" w:hAnsi="ＭＳ ゴシック"/>
          <w:strike/>
          <w:sz w:val="22"/>
          <w:szCs w:val="22"/>
        </w:rPr>
      </w:pPr>
      <w:r w:rsidRPr="008A3EDE">
        <w:rPr>
          <w:rFonts w:ascii="ＭＳ 明朝" w:hAnsi="ＭＳ 明朝" w:hint="eastAsia"/>
          <w:sz w:val="22"/>
          <w:szCs w:val="22"/>
        </w:rPr>
        <w:t>資源循環課長は、仮置場の設置や災害廃棄物の処理について、大阪府災害廃棄物処理計画や近畿ブロックの行動計画を踏まえて市町村や国との総合調整を行い、災害発生から１ヶ月を目途に災害廃棄物処理の実行計画の作成に着手する。</w:t>
      </w:r>
    </w:p>
    <w:p w14:paraId="31B1B370" w14:textId="77777777" w:rsidR="008B4B2B" w:rsidRPr="008A3EDE" w:rsidRDefault="008B4B2B" w:rsidP="008B4B2B">
      <w:pPr>
        <w:overflowPunct w:val="0"/>
        <w:autoSpaceDE w:val="0"/>
        <w:autoSpaceDN w:val="0"/>
        <w:ind w:leftChars="400" w:left="844" w:firstLineChars="100" w:firstLine="221"/>
        <w:rPr>
          <w:rFonts w:hAnsi="ＭＳ 明朝"/>
          <w:strike/>
          <w:sz w:val="22"/>
          <w:szCs w:val="22"/>
        </w:rPr>
      </w:pPr>
      <w:r w:rsidRPr="008A3EDE">
        <w:rPr>
          <w:rFonts w:ascii="ＭＳ 明朝" w:hAnsi="ＭＳ 明朝" w:hint="eastAsia"/>
          <w:sz w:val="22"/>
          <w:szCs w:val="22"/>
        </w:rPr>
        <w:t>なお、各市町村・一部事務組合から、災害廃棄物処理等について協力要請があった場合は、「</w:t>
      </w:r>
      <w:r w:rsidRPr="008A3EDE">
        <w:rPr>
          <w:rFonts w:hAnsi="ＭＳ 明朝" w:hint="eastAsia"/>
          <w:sz w:val="22"/>
          <w:szCs w:val="22"/>
        </w:rPr>
        <w:t>地震等大規模災害時における災害廃棄物処理等の協力に関する協定」に基づき、公益社団法人</w:t>
      </w:r>
      <w:r w:rsidRPr="008A3EDE">
        <w:rPr>
          <w:rFonts w:hAnsi="ＭＳ 明朝" w:hint="eastAsia"/>
          <w:sz w:val="22"/>
          <w:szCs w:val="22"/>
        </w:rPr>
        <w:t xml:space="preserve"> </w:t>
      </w:r>
      <w:r w:rsidRPr="008A3EDE">
        <w:rPr>
          <w:rFonts w:hAnsi="ＭＳ 明朝" w:hint="eastAsia"/>
          <w:sz w:val="22"/>
          <w:szCs w:val="22"/>
        </w:rPr>
        <w:t>大阪府産業資源循環協会に、また「災害廃棄物の収集運搬の協力に関する協定」に基づき、一般社団法人大阪府清掃事業連合会に対して協力を要請する。</w:t>
      </w:r>
    </w:p>
    <w:p w14:paraId="093DA8DB" w14:textId="77777777" w:rsidR="008B4B2B" w:rsidRPr="008A3EDE" w:rsidRDefault="008B4B2B" w:rsidP="008B4B2B">
      <w:pPr>
        <w:overflowPunct w:val="0"/>
        <w:autoSpaceDE w:val="0"/>
        <w:autoSpaceDN w:val="0"/>
        <w:ind w:leftChars="400" w:left="844" w:firstLineChars="100" w:firstLine="221"/>
        <w:rPr>
          <w:rFonts w:ascii="ＭＳ 明朝" w:hAnsi="ＭＳ 明朝"/>
          <w:sz w:val="22"/>
          <w:szCs w:val="22"/>
        </w:rPr>
      </w:pPr>
      <w:r w:rsidRPr="008A3EDE">
        <w:rPr>
          <w:rFonts w:ascii="ＭＳ 明朝" w:hAnsi="ＭＳ 明朝" w:hint="eastAsia"/>
          <w:sz w:val="22"/>
          <w:szCs w:val="22"/>
        </w:rPr>
        <w:t>また、資源循環課長は、府域で災害廃棄物を処理することが困難であると認められる場合には、広域的な処理ルートを確保するため、関西広域連合、他の府県や国に応援を要請する。</w:t>
      </w:r>
    </w:p>
    <w:p w14:paraId="1D8392E2" w14:textId="3EAF258C" w:rsidR="00254093" w:rsidRPr="008A3EDE" w:rsidRDefault="00254093">
      <w:pPr>
        <w:widowControl/>
        <w:jc w:val="left"/>
        <w:rPr>
          <w:rFonts w:ascii="ＭＳ ゴシック" w:eastAsia="ＭＳ ゴシック" w:hAnsi="ＭＳ ゴシック"/>
          <w:sz w:val="22"/>
          <w:szCs w:val="22"/>
        </w:rPr>
      </w:pPr>
      <w:r w:rsidRPr="008A3EDE">
        <w:rPr>
          <w:rFonts w:ascii="ＭＳ ゴシック" w:eastAsia="ＭＳ ゴシック" w:hAnsi="ＭＳ ゴシック"/>
          <w:sz w:val="22"/>
          <w:szCs w:val="22"/>
        </w:rPr>
        <w:br w:type="page"/>
      </w:r>
    </w:p>
    <w:p w14:paraId="6242AA2C" w14:textId="05AC0F6C" w:rsidR="008B4B2B" w:rsidRPr="008A3EDE" w:rsidRDefault="008B4B2B" w:rsidP="002B2381">
      <w:pPr>
        <w:pStyle w:val="a0"/>
        <w:ind w:firstLineChars="200" w:firstLine="442"/>
        <w:outlineLvl w:val="2"/>
        <w:rPr>
          <w:rFonts w:ascii="ＭＳ ゴシック" w:eastAsia="ＭＳ ゴシック" w:hAnsi="ＭＳ ゴシック"/>
          <w:sz w:val="22"/>
          <w:szCs w:val="22"/>
          <w:u w:val="double"/>
        </w:rPr>
      </w:pPr>
      <w:bookmarkStart w:id="362" w:name="_Toc122436961"/>
      <w:bookmarkStart w:id="363" w:name="_Toc222486655"/>
      <w:bookmarkStart w:id="364" w:name="_Toc242870325"/>
      <w:r w:rsidRPr="008A3EDE">
        <w:rPr>
          <w:rFonts w:ascii="ＭＳ ゴシック" w:eastAsia="ＭＳ ゴシック" w:hAnsi="ＭＳ ゴシック" w:cs="Times New Roman" w:hint="eastAsia"/>
          <w:sz w:val="22"/>
          <w:szCs w:val="22"/>
          <w:u w:val="double"/>
        </w:rPr>
        <w:lastRenderedPageBreak/>
        <w:t xml:space="preserve">第３　</w:t>
      </w:r>
      <w:r w:rsidRPr="008A3EDE">
        <w:rPr>
          <w:rFonts w:ascii="ＭＳ ゴシック" w:eastAsia="ＭＳ ゴシック" w:hAnsi="ＭＳ ゴシック" w:hint="eastAsia"/>
          <w:sz w:val="22"/>
          <w:szCs w:val="22"/>
          <w:u w:val="double"/>
        </w:rPr>
        <w:t>遺体の処理、火葬等</w:t>
      </w:r>
      <w:bookmarkEnd w:id="362"/>
      <w:bookmarkEnd w:id="363"/>
      <w:bookmarkEnd w:id="364"/>
    </w:p>
    <w:p w14:paraId="32873639" w14:textId="77777777" w:rsidR="008B4B2B" w:rsidRPr="008A3EDE" w:rsidRDefault="008B4B2B" w:rsidP="008B4B2B">
      <w:pPr>
        <w:ind w:leftChars="410" w:left="866" w:firstLineChars="100" w:firstLine="221"/>
        <w:rPr>
          <w:rFonts w:ascii="ＭＳ ゴシック" w:eastAsia="ＭＳ ゴシック" w:hAnsi="ＭＳ ゴシック"/>
          <w:sz w:val="22"/>
          <w:szCs w:val="22"/>
          <w:bdr w:val="single" w:sz="4" w:space="0" w:color="auto"/>
        </w:rPr>
      </w:pPr>
      <w:r w:rsidRPr="008A3EDE">
        <w:rPr>
          <w:rFonts w:ascii="ＭＳ ゴシック" w:eastAsia="ＭＳ ゴシック" w:hAnsi="ＭＳ ゴシック" w:hint="eastAsia"/>
          <w:sz w:val="22"/>
          <w:szCs w:val="22"/>
          <w:bdr w:val="single" w:sz="4" w:space="0" w:color="auto"/>
        </w:rPr>
        <w:t>主たる担当：健康医療部関係室・課</w:t>
      </w:r>
    </w:p>
    <w:p w14:paraId="0837F331" w14:textId="77777777" w:rsidR="008B4B2B" w:rsidRPr="008A3EDE" w:rsidRDefault="008B4B2B" w:rsidP="008B4B2B">
      <w:pPr>
        <w:rPr>
          <w:rFonts w:ascii="ＭＳ ゴシック" w:eastAsia="ＭＳ ゴシック" w:hAnsi="ＭＳ ゴシック"/>
          <w:sz w:val="22"/>
          <w:szCs w:val="22"/>
          <w:u w:val="single"/>
        </w:rPr>
      </w:pPr>
      <w:r w:rsidRPr="008A3EDE">
        <w:rPr>
          <w:rFonts w:ascii="ＭＳ 明朝" w:hAnsi="ＭＳ 明朝" w:hint="eastAsia"/>
          <w:sz w:val="22"/>
          <w:szCs w:val="22"/>
        </w:rPr>
        <w:t xml:space="preserve">　　　</w:t>
      </w:r>
      <w:r w:rsidRPr="008A3EDE">
        <w:rPr>
          <w:rFonts w:ascii="ＭＳ ゴシック" w:eastAsia="ＭＳ ゴシック" w:hAnsi="ＭＳ ゴシック" w:hint="eastAsia"/>
          <w:sz w:val="22"/>
          <w:szCs w:val="22"/>
          <w:u w:val="single"/>
        </w:rPr>
        <w:t>１　遺体の検案等</w:t>
      </w:r>
      <w:r w:rsidRPr="008A3EDE">
        <w:rPr>
          <w:rFonts w:ascii="ＭＳ ゴシック" w:eastAsia="ＭＳ ゴシック" w:hAnsi="ＭＳ ゴシック" w:hint="eastAsia"/>
          <w:sz w:val="22"/>
          <w:szCs w:val="22"/>
          <w:u w:val="single"/>
          <w:shd w:val="pct15" w:color="auto" w:fill="FFFFFF"/>
        </w:rPr>
        <w:t>【第２フェーズ】</w:t>
      </w:r>
    </w:p>
    <w:p w14:paraId="6579410B" w14:textId="77777777" w:rsidR="008B4B2B" w:rsidRPr="008A3EDE" w:rsidRDefault="008B4B2B" w:rsidP="008B4B2B">
      <w:pPr>
        <w:ind w:leftChars="410" w:left="866" w:firstLineChars="100" w:firstLine="221"/>
        <w:rPr>
          <w:rFonts w:ascii="ＭＳ 明朝" w:hAnsi="ＭＳ 明朝"/>
          <w:sz w:val="22"/>
          <w:szCs w:val="22"/>
        </w:rPr>
      </w:pPr>
      <w:r w:rsidRPr="008A3EDE">
        <w:rPr>
          <w:rFonts w:ascii="ＭＳ 明朝" w:hAnsi="ＭＳ 明朝" w:hint="eastAsia"/>
          <w:sz w:val="22"/>
          <w:szCs w:val="22"/>
        </w:rPr>
        <w:t>監察医事務所長は、府警察本部より検案要請があった場合は、検案班を編成し、検視・検案が可能な被災遺体収容先に派遣する。検案班は、府警本部等と協力し、遺体の検案、死体検案書の発行等を行う。</w:t>
      </w:r>
    </w:p>
    <w:p w14:paraId="77C11D35" w14:textId="77777777" w:rsidR="008B4B2B" w:rsidRPr="008A3EDE" w:rsidRDefault="008B4B2B" w:rsidP="008B4B2B">
      <w:pPr>
        <w:pStyle w:val="a0"/>
        <w:ind w:firstLineChars="200" w:firstLine="442"/>
        <w:rPr>
          <w:rFonts w:ascii="ＭＳ ゴシック" w:eastAsia="ＭＳ ゴシック" w:hAnsi="ＭＳ ゴシック"/>
          <w:sz w:val="22"/>
          <w:szCs w:val="22"/>
        </w:rPr>
      </w:pPr>
    </w:p>
    <w:p w14:paraId="468A6EC4" w14:textId="77777777" w:rsidR="008B4B2B" w:rsidRPr="008A3EDE" w:rsidRDefault="008B4B2B" w:rsidP="008B4B2B">
      <w:pPr>
        <w:ind w:firstLineChars="300" w:firstLine="663"/>
        <w:rPr>
          <w:rFonts w:ascii="ＭＳ ゴシック" w:eastAsia="ＭＳ ゴシック" w:hAnsi="ＭＳ ゴシック"/>
          <w:sz w:val="22"/>
          <w:szCs w:val="22"/>
          <w:u w:val="single"/>
        </w:rPr>
      </w:pPr>
      <w:r w:rsidRPr="008A3EDE">
        <w:rPr>
          <w:rFonts w:ascii="ＭＳ ゴシック" w:eastAsia="ＭＳ ゴシック" w:hAnsi="ＭＳ ゴシック" w:hint="eastAsia"/>
          <w:sz w:val="22"/>
          <w:szCs w:val="22"/>
          <w:u w:val="single"/>
        </w:rPr>
        <w:t>２　広域火葬の実施</w:t>
      </w:r>
      <w:r w:rsidRPr="008A3EDE">
        <w:rPr>
          <w:rFonts w:ascii="ＭＳ ゴシック" w:eastAsia="ＭＳ ゴシック" w:hAnsi="ＭＳ ゴシック" w:hint="eastAsia"/>
          <w:sz w:val="22"/>
          <w:szCs w:val="22"/>
          <w:u w:val="single"/>
          <w:shd w:val="pct15" w:color="auto" w:fill="FFFFFF"/>
        </w:rPr>
        <w:t>【第３フェーズ】</w:t>
      </w:r>
    </w:p>
    <w:p w14:paraId="47C8406D" w14:textId="77777777" w:rsidR="008B4B2B" w:rsidRPr="008A3EDE" w:rsidRDefault="008B4B2B" w:rsidP="008B4B2B">
      <w:pPr>
        <w:ind w:leftChars="410" w:left="866" w:firstLineChars="100" w:firstLine="221"/>
        <w:rPr>
          <w:rFonts w:ascii="ＭＳ 明朝" w:hAnsi="ＭＳ 明朝"/>
          <w:sz w:val="22"/>
          <w:szCs w:val="22"/>
        </w:rPr>
      </w:pPr>
      <w:r w:rsidRPr="008A3EDE">
        <w:rPr>
          <w:rFonts w:ascii="ＭＳ 明朝" w:hAnsi="ＭＳ 明朝" w:hint="eastAsia"/>
          <w:sz w:val="22"/>
          <w:szCs w:val="22"/>
        </w:rPr>
        <w:t>環境衛生課長は、市町村が平常時に使用している火葬場の火葬能力だけでは、当該市町村内の遺体の火葬を行うことが不可能となった場合（当該火葬場が被災して稼動できなくなった場合を含む）、「大阪府広域火葬計画」などを踏まえ、市町村及び必要に応じて関西広域連合に対し、応援依頼を行う。</w:t>
      </w:r>
    </w:p>
    <w:p w14:paraId="685C6CAA" w14:textId="77777777" w:rsidR="008B4B2B" w:rsidRPr="008A3EDE" w:rsidRDefault="008B4B2B" w:rsidP="008B4B2B">
      <w:pPr>
        <w:rPr>
          <w:rFonts w:ascii="ＭＳ 明朝" w:hAnsi="ＭＳ 明朝"/>
          <w:sz w:val="22"/>
          <w:szCs w:val="22"/>
        </w:rPr>
      </w:pPr>
    </w:p>
    <w:p w14:paraId="3CC19225" w14:textId="77777777" w:rsidR="008B4B2B" w:rsidRPr="008A3EDE" w:rsidRDefault="008B4B2B" w:rsidP="008B4B2B">
      <w:pPr>
        <w:ind w:firstLineChars="300" w:firstLine="663"/>
        <w:rPr>
          <w:rFonts w:ascii="ＭＳ ゴシック" w:eastAsia="ＭＳ ゴシック" w:hAnsi="ＭＳ ゴシック"/>
          <w:sz w:val="22"/>
          <w:szCs w:val="22"/>
          <w:u w:val="single"/>
        </w:rPr>
      </w:pPr>
      <w:r w:rsidRPr="008A3EDE">
        <w:rPr>
          <w:rFonts w:ascii="ＭＳ ゴシック" w:eastAsia="ＭＳ ゴシック" w:hAnsi="ＭＳ ゴシック" w:hint="eastAsia"/>
          <w:sz w:val="22"/>
          <w:szCs w:val="22"/>
          <w:u w:val="single"/>
        </w:rPr>
        <w:t>３　必要物資の調達等</w:t>
      </w:r>
      <w:r w:rsidRPr="008A3EDE">
        <w:rPr>
          <w:rFonts w:ascii="ＭＳ ゴシック" w:eastAsia="ＭＳ ゴシック" w:hAnsi="ＭＳ ゴシック" w:hint="eastAsia"/>
          <w:sz w:val="22"/>
          <w:szCs w:val="22"/>
          <w:u w:val="single"/>
          <w:shd w:val="pct15" w:color="auto" w:fill="FFFFFF"/>
        </w:rPr>
        <w:t>【第３フェーズ】</w:t>
      </w:r>
    </w:p>
    <w:p w14:paraId="69106DDB" w14:textId="77777777" w:rsidR="008B4B2B" w:rsidRPr="008A3EDE" w:rsidRDefault="008B4B2B" w:rsidP="008B4B2B">
      <w:pPr>
        <w:ind w:leftChars="410" w:left="866" w:firstLineChars="100" w:firstLine="221"/>
        <w:rPr>
          <w:rFonts w:ascii="ＭＳ 明朝" w:hAnsi="ＭＳ 明朝"/>
          <w:sz w:val="22"/>
          <w:szCs w:val="22"/>
        </w:rPr>
      </w:pPr>
      <w:r w:rsidRPr="008A3EDE">
        <w:rPr>
          <w:rFonts w:ascii="ＭＳ 明朝" w:hAnsi="ＭＳ 明朝" w:hint="eastAsia"/>
          <w:sz w:val="22"/>
          <w:szCs w:val="22"/>
        </w:rPr>
        <w:t>環境衛生課長は、遺体の保存に必要な物資の調達及び作業要員の確保を図るため、「災害時等における棺及び葬祭用品の供給等の協力に関する協定」などを踏まえ、一般社団法人全日本冠婚葬祭互助協会、全日本葬祭業協同組合連合会及び一般社団法人全国霊柩自動車協会に対し、下記業務について協力を要請する。</w:t>
      </w:r>
    </w:p>
    <w:p w14:paraId="36535149" w14:textId="77777777" w:rsidR="008B4B2B" w:rsidRPr="008A3EDE" w:rsidRDefault="008B4B2B" w:rsidP="008B4B2B">
      <w:pPr>
        <w:ind w:firstLineChars="400" w:firstLine="884"/>
        <w:rPr>
          <w:rFonts w:ascii="ＭＳ 明朝" w:hAnsi="ＭＳ 明朝"/>
          <w:sz w:val="22"/>
          <w:szCs w:val="22"/>
        </w:rPr>
      </w:pPr>
      <w:r w:rsidRPr="008A3EDE">
        <w:rPr>
          <w:rFonts w:ascii="ＭＳ 明朝" w:hAnsi="ＭＳ 明朝" w:hint="eastAsia"/>
          <w:sz w:val="22"/>
          <w:szCs w:val="22"/>
        </w:rPr>
        <w:t>(1)　棺及び葬祭用品の供給並びに作業等の役務の提供</w:t>
      </w:r>
    </w:p>
    <w:p w14:paraId="3562387C" w14:textId="77777777" w:rsidR="008B4B2B" w:rsidRPr="008A3EDE" w:rsidRDefault="008B4B2B" w:rsidP="008B4B2B">
      <w:pPr>
        <w:ind w:firstLineChars="401" w:firstLine="887"/>
        <w:rPr>
          <w:rFonts w:ascii="ＭＳ 明朝" w:hAnsi="ＭＳ 明朝"/>
          <w:sz w:val="22"/>
          <w:szCs w:val="22"/>
        </w:rPr>
      </w:pPr>
      <w:r w:rsidRPr="008A3EDE">
        <w:rPr>
          <w:rFonts w:ascii="ＭＳ 明朝" w:hAnsi="ＭＳ 明朝" w:hint="eastAsia"/>
          <w:sz w:val="22"/>
          <w:szCs w:val="22"/>
        </w:rPr>
        <w:t>(2)　遺体安置施設等の提供</w:t>
      </w:r>
    </w:p>
    <w:p w14:paraId="141DB428" w14:textId="77777777" w:rsidR="008B4B2B" w:rsidRPr="008A3EDE" w:rsidRDefault="008B4B2B" w:rsidP="008B4B2B">
      <w:pPr>
        <w:ind w:firstLineChars="401" w:firstLine="887"/>
        <w:rPr>
          <w:rFonts w:ascii="ＭＳ 明朝" w:hAnsi="ＭＳ 明朝"/>
          <w:sz w:val="22"/>
          <w:szCs w:val="22"/>
        </w:rPr>
      </w:pPr>
      <w:r w:rsidRPr="008A3EDE">
        <w:rPr>
          <w:rFonts w:ascii="ＭＳ 明朝" w:hAnsi="ＭＳ 明朝" w:hint="eastAsia"/>
          <w:sz w:val="22"/>
          <w:szCs w:val="22"/>
        </w:rPr>
        <w:t>(3)　遺体の搬送</w:t>
      </w:r>
    </w:p>
    <w:p w14:paraId="52952478" w14:textId="77777777" w:rsidR="008B4B2B" w:rsidRPr="008A3EDE" w:rsidRDefault="008B4B2B" w:rsidP="008B4B2B">
      <w:pPr>
        <w:ind w:firstLineChars="401" w:firstLine="887"/>
        <w:rPr>
          <w:rFonts w:ascii="ＭＳ 明朝" w:hAnsi="ＭＳ 明朝"/>
          <w:sz w:val="22"/>
          <w:szCs w:val="22"/>
        </w:rPr>
      </w:pPr>
      <w:r w:rsidRPr="008A3EDE">
        <w:rPr>
          <w:rFonts w:ascii="ＭＳ 明朝" w:hAnsi="ＭＳ 明朝" w:hint="eastAsia"/>
          <w:sz w:val="22"/>
          <w:szCs w:val="22"/>
        </w:rPr>
        <w:t>(4)　その他必要とする事項</w:t>
      </w:r>
    </w:p>
    <w:p w14:paraId="3EA4E370" w14:textId="2507E5A0" w:rsidR="00254093" w:rsidRPr="008A3EDE" w:rsidRDefault="00254093">
      <w:pPr>
        <w:widowControl/>
        <w:jc w:val="left"/>
        <w:rPr>
          <w:rFonts w:ascii="ＭＳ 明朝" w:eastAsia="ＭＳ ゴシック" w:hAnsi="ＭＳ 明朝"/>
          <w:color w:val="000000" w:themeColor="text1"/>
          <w:sz w:val="22"/>
          <w:szCs w:val="22"/>
          <w:u w:val="double"/>
        </w:rPr>
      </w:pPr>
      <w:r w:rsidRPr="008A3EDE">
        <w:rPr>
          <w:rFonts w:ascii="ＭＳ 明朝" w:hAnsi="ＭＳ 明朝"/>
          <w:szCs w:val="22"/>
        </w:rPr>
        <w:br w:type="page"/>
      </w:r>
    </w:p>
    <w:p w14:paraId="42EFC8B5" w14:textId="74BBB3D2" w:rsidR="008B4B2B" w:rsidRPr="008A3EDE" w:rsidRDefault="008B4B2B" w:rsidP="00E0548A">
      <w:pPr>
        <w:pStyle w:val="3"/>
        <w:ind w:firstLineChars="0" w:firstLine="0"/>
      </w:pPr>
      <w:bookmarkStart w:id="365" w:name="_Toc122436962"/>
      <w:bookmarkStart w:id="366" w:name="_Toc222486656"/>
      <w:bookmarkStart w:id="367" w:name="_Toc242870326"/>
      <w:r w:rsidRPr="008A3EDE">
        <w:rPr>
          <w:rFonts w:hint="eastAsia"/>
        </w:rPr>
        <w:lastRenderedPageBreak/>
        <w:t>第４　社会秩序の維持</w:t>
      </w:r>
      <w:bookmarkEnd w:id="365"/>
      <w:bookmarkEnd w:id="366"/>
      <w:bookmarkEnd w:id="367"/>
    </w:p>
    <w:p w14:paraId="03F3A532" w14:textId="77777777" w:rsidR="008B4B2B" w:rsidRPr="008A3EDE" w:rsidRDefault="008B4B2B" w:rsidP="008B4B2B">
      <w:pPr>
        <w:pStyle w:val="a0"/>
        <w:ind w:firstLineChars="500" w:firstLine="1105"/>
        <w:rPr>
          <w:rFonts w:ascii="ＭＳ ゴシック" w:eastAsia="ＭＳ ゴシック" w:hAnsi="ＭＳ ゴシック"/>
          <w:sz w:val="22"/>
          <w:szCs w:val="22"/>
        </w:rPr>
      </w:pPr>
      <w:r w:rsidRPr="008A3EDE">
        <w:rPr>
          <w:rFonts w:ascii="ＭＳ ゴシック" w:eastAsia="ＭＳ ゴシック" w:hAnsi="ＭＳ ゴシック" w:hint="eastAsia"/>
          <w:sz w:val="22"/>
          <w:szCs w:val="22"/>
          <w:bdr w:val="single" w:sz="4" w:space="0" w:color="auto"/>
        </w:rPr>
        <w:t>主たる担当：危機管理室、消費生活センター</w:t>
      </w:r>
    </w:p>
    <w:p w14:paraId="35150FAF" w14:textId="77777777" w:rsidR="008B4B2B" w:rsidRPr="008A3EDE" w:rsidRDefault="008B4B2B" w:rsidP="008B4B2B">
      <w:pPr>
        <w:rPr>
          <w:rFonts w:ascii="ＭＳ 明朝" w:hAnsi="ＭＳ 明朝"/>
          <w:sz w:val="22"/>
          <w:szCs w:val="22"/>
          <w:u w:val="single"/>
        </w:rPr>
      </w:pPr>
      <w:r w:rsidRPr="008A3EDE">
        <w:rPr>
          <w:rFonts w:ascii="ＭＳ ゴシック" w:eastAsia="ＭＳ ゴシック" w:hAnsi="ＭＳ ゴシック" w:hint="eastAsia"/>
          <w:sz w:val="22"/>
          <w:szCs w:val="22"/>
        </w:rPr>
        <w:t xml:space="preserve">　　　</w:t>
      </w:r>
      <w:r w:rsidRPr="008A3EDE">
        <w:rPr>
          <w:rFonts w:ascii="ＭＳ ゴシック" w:eastAsia="ＭＳ ゴシック" w:hAnsi="ＭＳ ゴシック" w:hint="eastAsia"/>
          <w:sz w:val="22"/>
          <w:szCs w:val="22"/>
          <w:u w:val="single"/>
        </w:rPr>
        <w:t>１　住民への呼びかけ</w:t>
      </w:r>
      <w:r w:rsidRPr="008A3EDE">
        <w:rPr>
          <w:rFonts w:ascii="ＭＳ ゴシック" w:eastAsia="ＭＳ ゴシック" w:hAnsi="ＭＳ ゴシック" w:hint="eastAsia"/>
          <w:sz w:val="22"/>
          <w:szCs w:val="22"/>
          <w:u w:val="single"/>
          <w:shd w:val="pct15" w:color="auto" w:fill="FFFFFF"/>
        </w:rPr>
        <w:t>【第１フェーズ～】</w:t>
      </w:r>
    </w:p>
    <w:p w14:paraId="04077FF9" w14:textId="77777777" w:rsidR="008B4B2B" w:rsidRPr="008A3EDE" w:rsidRDefault="008B4B2B" w:rsidP="008B4B2B">
      <w:pPr>
        <w:ind w:left="884" w:hangingChars="400" w:hanging="884"/>
        <w:rPr>
          <w:sz w:val="22"/>
          <w:szCs w:val="22"/>
        </w:rPr>
      </w:pPr>
      <w:r w:rsidRPr="008A3EDE">
        <w:rPr>
          <w:rFonts w:hint="eastAsia"/>
          <w:sz w:val="22"/>
          <w:szCs w:val="22"/>
        </w:rPr>
        <w:t xml:space="preserve">　　　　　災害対策課長は、各種の応急対策の推進、実情周知による人心の安定、さらには、復興意欲の高揚を図るため、被害状況や応急・復旧対策に関する情報を積極的に府民に提供するとともに、秩序ある行動をとるよう呼びかけを行うほか、必要に応じて、大阪府警察本部にパトロールの要請等を行う。</w:t>
      </w:r>
    </w:p>
    <w:p w14:paraId="2EC52D4E" w14:textId="77777777" w:rsidR="008B4B2B" w:rsidRPr="008A3EDE" w:rsidRDefault="008B4B2B" w:rsidP="008B4B2B">
      <w:pPr>
        <w:ind w:left="884" w:hangingChars="400" w:hanging="884"/>
        <w:rPr>
          <w:rFonts w:ascii="ＭＳ 明朝" w:hAnsi="ＭＳ 明朝"/>
          <w:sz w:val="22"/>
          <w:szCs w:val="22"/>
        </w:rPr>
      </w:pPr>
    </w:p>
    <w:p w14:paraId="5D67C580" w14:textId="77777777" w:rsidR="008B4B2B" w:rsidRPr="008A3EDE" w:rsidRDefault="008B4B2B" w:rsidP="008B4B2B">
      <w:pPr>
        <w:pStyle w:val="ad"/>
        <w:wordWrap/>
        <w:overflowPunct w:val="0"/>
        <w:spacing w:line="240" w:lineRule="auto"/>
        <w:ind w:firstLineChars="300" w:firstLine="663"/>
        <w:rPr>
          <w:rFonts w:ascii="ＭＳ ゴシック" w:eastAsia="ＭＳ ゴシック" w:hAnsi="ＭＳ ゴシック"/>
          <w:u w:val="single"/>
        </w:rPr>
      </w:pPr>
      <w:r w:rsidRPr="008A3EDE">
        <w:rPr>
          <w:rFonts w:ascii="ＭＳ ゴシック" w:eastAsia="ＭＳ ゴシック" w:hAnsi="ＭＳ ゴシック" w:hint="eastAsia"/>
          <w:u w:val="single"/>
        </w:rPr>
        <w:t>２　生活関連物資の物価の安定等</w:t>
      </w:r>
      <w:r w:rsidRPr="008A3EDE">
        <w:rPr>
          <w:rFonts w:ascii="ＭＳ ゴシック" w:eastAsia="ＭＳ ゴシック" w:hAnsi="ＭＳ ゴシック" w:hint="eastAsia"/>
          <w:u w:val="single"/>
          <w:shd w:val="pct15" w:color="auto" w:fill="FFFFFF"/>
        </w:rPr>
        <w:t>【第３フェーズ～】</w:t>
      </w:r>
    </w:p>
    <w:p w14:paraId="7110BA3B" w14:textId="77777777" w:rsidR="008B4B2B" w:rsidRPr="008A3EDE" w:rsidRDefault="008B4B2B" w:rsidP="008B4B2B">
      <w:pPr>
        <w:pStyle w:val="ad"/>
        <w:wordWrap/>
        <w:overflowPunct w:val="0"/>
        <w:spacing w:line="240" w:lineRule="auto"/>
        <w:ind w:leftChars="420" w:left="887" w:firstLineChars="100" w:firstLine="221"/>
        <w:rPr>
          <w:rFonts w:ascii="ＭＳ 明朝" w:hAnsi="ＭＳ 明朝"/>
        </w:rPr>
      </w:pPr>
      <w:r w:rsidRPr="008A3EDE">
        <w:rPr>
          <w:rFonts w:ascii="ＭＳ 明朝" w:hAnsi="ＭＳ 明朝" w:hint="eastAsia"/>
        </w:rPr>
        <w:t>消費生活センター所長は、生活関連物資等（食料、被服、日用品、燃料、生産資材その他の国民生活との関連性が高い又は国民経済上重要な物資・役務）の価格の高騰又は供給不足が生じ、又は生ずるおそれがあるときは、次の法令に基づき、適切な措置を実施する。</w:t>
      </w:r>
    </w:p>
    <w:p w14:paraId="29C55781" w14:textId="77777777" w:rsidR="008B4B2B" w:rsidRPr="008A3EDE" w:rsidRDefault="008B4B2B" w:rsidP="008B4B2B">
      <w:pPr>
        <w:pStyle w:val="ad"/>
        <w:wordWrap/>
        <w:overflowPunct w:val="0"/>
        <w:spacing w:line="240" w:lineRule="auto"/>
        <w:ind w:leftChars="401" w:left="1070" w:hangingChars="101" w:hanging="223"/>
        <w:rPr>
          <w:rFonts w:ascii="ＭＳ 明朝" w:hAnsi="ＭＳ 明朝"/>
        </w:rPr>
      </w:pPr>
      <w:r w:rsidRPr="008A3EDE">
        <w:rPr>
          <w:rFonts w:ascii="ＭＳ 明朝" w:hAnsi="ＭＳ 明朝" w:hint="eastAsia"/>
        </w:rPr>
        <w:t>(1)　生活関連物資等の買占め及び売惜しみに対する緊急措置に関する法律</w:t>
      </w:r>
    </w:p>
    <w:p w14:paraId="12BAC343" w14:textId="77777777" w:rsidR="008B4B2B" w:rsidRPr="008A3EDE" w:rsidRDefault="008B4B2B" w:rsidP="008B4B2B">
      <w:pPr>
        <w:pStyle w:val="ad"/>
        <w:wordWrap/>
        <w:overflowPunct w:val="0"/>
        <w:spacing w:line="240" w:lineRule="auto"/>
        <w:ind w:leftChars="398" w:left="1072" w:hangingChars="105" w:hanging="232"/>
        <w:rPr>
          <w:rFonts w:ascii="ＭＳ 明朝" w:hAnsi="ＭＳ 明朝"/>
        </w:rPr>
      </w:pPr>
      <w:r w:rsidRPr="008A3EDE">
        <w:rPr>
          <w:rFonts w:ascii="ＭＳ 明朝" w:hAnsi="ＭＳ 明朝" w:hint="eastAsia"/>
        </w:rPr>
        <w:t>(2)　国民生活安定緊急措置法</w:t>
      </w:r>
    </w:p>
    <w:p w14:paraId="21E19B30" w14:textId="77777777" w:rsidR="008B4B2B" w:rsidRPr="008A3EDE" w:rsidRDefault="008B4B2B" w:rsidP="008B4B2B">
      <w:pPr>
        <w:pStyle w:val="ad"/>
        <w:wordWrap/>
        <w:overflowPunct w:val="0"/>
        <w:spacing w:line="240" w:lineRule="auto"/>
        <w:ind w:leftChars="398" w:left="1072" w:hangingChars="105" w:hanging="232"/>
        <w:rPr>
          <w:rFonts w:ascii="ＭＳ 明朝" w:hAnsi="ＭＳ 明朝"/>
        </w:rPr>
      </w:pPr>
      <w:r w:rsidRPr="008A3EDE">
        <w:rPr>
          <w:rFonts w:ascii="ＭＳ 明朝" w:hAnsi="ＭＳ 明朝" w:hint="eastAsia"/>
        </w:rPr>
        <w:t>(3)　物価統制令</w:t>
      </w:r>
    </w:p>
    <w:p w14:paraId="670B3C9A" w14:textId="77777777" w:rsidR="008B4B2B" w:rsidRPr="008A3EDE" w:rsidRDefault="008B4B2B" w:rsidP="008B4B2B">
      <w:pPr>
        <w:pStyle w:val="ad"/>
        <w:wordWrap/>
        <w:overflowPunct w:val="0"/>
        <w:spacing w:line="240" w:lineRule="auto"/>
        <w:ind w:leftChars="398" w:left="1072" w:hangingChars="105" w:hanging="232"/>
        <w:rPr>
          <w:rFonts w:ascii="ＭＳ 明朝" w:hAnsi="ＭＳ 明朝"/>
        </w:rPr>
      </w:pPr>
      <w:r w:rsidRPr="008A3EDE">
        <w:rPr>
          <w:rFonts w:ascii="ＭＳ 明朝" w:hAnsi="ＭＳ 明朝" w:hint="eastAsia"/>
        </w:rPr>
        <w:t>(4)　府消費者保護条例</w:t>
      </w:r>
    </w:p>
    <w:p w14:paraId="3520DAAE" w14:textId="77777777" w:rsidR="008B4B2B" w:rsidRPr="008A3EDE" w:rsidRDefault="008B4B2B" w:rsidP="008B4B2B">
      <w:pPr>
        <w:pStyle w:val="ad"/>
        <w:wordWrap/>
        <w:overflowPunct w:val="0"/>
        <w:spacing w:line="240" w:lineRule="auto"/>
        <w:ind w:leftChars="397" w:left="851" w:hangingChars="6" w:hanging="13"/>
        <w:rPr>
          <w:rFonts w:hAnsi="ＭＳ 明朝"/>
        </w:rPr>
      </w:pPr>
      <w:r w:rsidRPr="008A3EDE">
        <w:rPr>
          <w:rFonts w:ascii="ＭＳ 明朝" w:hAnsi="ＭＳ 明朝" w:hint="eastAsia"/>
        </w:rPr>
        <w:t xml:space="preserve">　また、必要に応じて、生活関連物資等に関する情報を消費者に提供し、消費者の利益を守るとともに、心理的パニックの防止に努める。</w:t>
      </w:r>
    </w:p>
    <w:p w14:paraId="48720CEB" w14:textId="77777777" w:rsidR="008B4B2B" w:rsidRPr="008A3EDE" w:rsidRDefault="008B4B2B" w:rsidP="008B4B2B">
      <w:pPr>
        <w:pStyle w:val="ad"/>
        <w:wordWrap/>
        <w:overflowPunct w:val="0"/>
        <w:spacing w:line="400" w:lineRule="exact"/>
        <w:ind w:left="442" w:hangingChars="200" w:hanging="442"/>
        <w:rPr>
          <w:rFonts w:ascii="ＭＳ ゴシック" w:eastAsia="ＭＳ ゴシック" w:hAnsi="ＭＳ ゴシック"/>
        </w:rPr>
      </w:pPr>
    </w:p>
    <w:p w14:paraId="5A6666B1" w14:textId="77777777" w:rsidR="008B4B2B" w:rsidRPr="008A3EDE" w:rsidRDefault="008B4B2B" w:rsidP="008B4B2B">
      <w:pPr>
        <w:pStyle w:val="ad"/>
        <w:wordWrap/>
        <w:overflowPunct w:val="0"/>
        <w:spacing w:line="400" w:lineRule="exact"/>
        <w:ind w:left="442" w:hangingChars="200" w:hanging="442"/>
        <w:rPr>
          <w:rFonts w:ascii="ＭＳ ゴシック" w:eastAsia="ＭＳ ゴシック" w:hAnsi="ＭＳ ゴシック"/>
        </w:rPr>
      </w:pPr>
    </w:p>
    <w:p w14:paraId="257E6D8B" w14:textId="77777777" w:rsidR="008B4B2B" w:rsidRPr="008A3EDE" w:rsidRDefault="008B4B2B" w:rsidP="008B4B2B">
      <w:pPr>
        <w:pStyle w:val="ad"/>
        <w:wordWrap/>
        <w:overflowPunct w:val="0"/>
        <w:spacing w:line="400" w:lineRule="exact"/>
        <w:ind w:left="442" w:hangingChars="200" w:hanging="442"/>
        <w:rPr>
          <w:rFonts w:ascii="ＭＳ ゴシック" w:eastAsia="ＭＳ ゴシック" w:hAnsi="ＭＳ ゴシック"/>
        </w:rPr>
      </w:pPr>
    </w:p>
    <w:p w14:paraId="7E3D2DC8" w14:textId="77777777" w:rsidR="008B4B2B" w:rsidRPr="008A3EDE" w:rsidRDefault="008B4B2B" w:rsidP="008B4B2B">
      <w:pPr>
        <w:pStyle w:val="ad"/>
        <w:wordWrap/>
        <w:overflowPunct w:val="0"/>
        <w:spacing w:line="400" w:lineRule="exact"/>
        <w:ind w:left="442" w:hangingChars="200" w:hanging="442"/>
        <w:rPr>
          <w:rFonts w:ascii="ＭＳ ゴシック" w:eastAsia="ＭＳ ゴシック" w:hAnsi="ＭＳ ゴシック"/>
        </w:rPr>
      </w:pPr>
    </w:p>
    <w:p w14:paraId="0C124C05" w14:textId="77777777" w:rsidR="008B4B2B" w:rsidRPr="008A3EDE" w:rsidRDefault="008B4B2B" w:rsidP="008B4B2B">
      <w:pPr>
        <w:pStyle w:val="ad"/>
        <w:wordWrap/>
        <w:overflowPunct w:val="0"/>
        <w:spacing w:line="400" w:lineRule="exact"/>
        <w:ind w:left="442" w:hangingChars="200" w:hanging="442"/>
        <w:rPr>
          <w:rFonts w:ascii="ＭＳ ゴシック" w:eastAsia="ＭＳ ゴシック" w:hAnsi="ＭＳ ゴシック"/>
        </w:rPr>
      </w:pPr>
    </w:p>
    <w:p w14:paraId="4968C96E" w14:textId="77777777" w:rsidR="00330A1C" w:rsidRDefault="00610A64">
      <w:pPr>
        <w:widowControl/>
        <w:jc w:val="left"/>
        <w:rPr>
          <w:rFonts w:ascii="ＭＳ ゴシック" w:eastAsia="ＭＳ ゴシック" w:hAnsi="ＭＳ ゴシック"/>
        </w:rPr>
        <w:sectPr w:rsidR="00330A1C" w:rsidSect="00FE02CA">
          <w:headerReference w:type="even" r:id="rId29"/>
          <w:headerReference w:type="default" r:id="rId30"/>
          <w:type w:val="continuous"/>
          <w:pgSz w:w="11906" w:h="16838" w:code="9"/>
          <w:pgMar w:top="1701" w:right="1531" w:bottom="1701" w:left="1531" w:header="850" w:footer="850" w:gutter="0"/>
          <w:pgNumType w:fmt="numberInDash"/>
          <w:cols w:space="425"/>
          <w:docGrid w:type="linesAndChars" w:linePitch="353" w:charSpace="225"/>
        </w:sectPr>
      </w:pPr>
      <w:r w:rsidRPr="008A3EDE">
        <w:rPr>
          <w:rFonts w:ascii="ＭＳ ゴシック" w:eastAsia="ＭＳ ゴシック" w:hAnsi="ＭＳ ゴシック"/>
        </w:rPr>
        <w:br w:type="page"/>
      </w:r>
    </w:p>
    <w:p w14:paraId="34FB00C2" w14:textId="59D40F3C" w:rsidR="00610A64" w:rsidRPr="008A3EDE" w:rsidRDefault="00610A64">
      <w:pPr>
        <w:widowControl/>
        <w:jc w:val="left"/>
        <w:rPr>
          <w:rFonts w:ascii="ＭＳ ゴシック" w:eastAsia="ＭＳ ゴシック" w:hAnsi="ＭＳ ゴシック" w:cstheme="majorBidi"/>
          <w:sz w:val="24"/>
        </w:rPr>
      </w:pPr>
    </w:p>
    <w:p w14:paraId="14ECA7C3" w14:textId="77777777" w:rsidR="00A911D7" w:rsidRPr="008A3EDE" w:rsidRDefault="00A911D7">
      <w:pPr>
        <w:pStyle w:val="1"/>
      </w:pPr>
      <w:bookmarkStart w:id="368" w:name="_Toc222486657"/>
      <w:bookmarkStart w:id="369" w:name="_Toc242870327"/>
      <w:bookmarkStart w:id="370" w:name="_Toc122436963"/>
      <w:r w:rsidRPr="008A3EDE">
        <w:rPr>
          <w:rFonts w:hint="eastAsia"/>
        </w:rPr>
        <w:t>第５章　東海地震の警戒宣言に伴う対応</w:t>
      </w:r>
      <w:bookmarkEnd w:id="368"/>
      <w:bookmarkEnd w:id="369"/>
    </w:p>
    <w:p w14:paraId="7BF29058" w14:textId="77777777" w:rsidR="00165F54" w:rsidRDefault="00165F54" w:rsidP="00A911D7">
      <w:pPr>
        <w:ind w:rightChars="-175" w:right="-369"/>
        <w:rPr>
          <w:rFonts w:ascii="ＭＳ 明朝" w:hAnsi="ＭＳ 明朝" w:cs="Courier New"/>
          <w:sz w:val="22"/>
          <w:szCs w:val="22"/>
        </w:rPr>
        <w:sectPr w:rsidR="00165F54" w:rsidSect="00330A1C">
          <w:headerReference w:type="default" r:id="rId31"/>
          <w:pgSz w:w="11906" w:h="16838" w:code="9"/>
          <w:pgMar w:top="1701" w:right="1531" w:bottom="1701" w:left="1531" w:header="850" w:footer="850" w:gutter="0"/>
          <w:pgNumType w:fmt="numberInDash"/>
          <w:cols w:space="425"/>
          <w:docGrid w:type="linesAndChars" w:linePitch="353" w:charSpace="225"/>
        </w:sectPr>
      </w:pPr>
    </w:p>
    <w:p w14:paraId="55EC9045" w14:textId="77777777" w:rsidR="00A911D7" w:rsidRPr="008A3EDE" w:rsidRDefault="00A911D7" w:rsidP="00A911D7">
      <w:pPr>
        <w:ind w:rightChars="-175" w:right="-369"/>
        <w:rPr>
          <w:rFonts w:ascii="ＭＳ 明朝" w:hAnsi="ＭＳ 明朝" w:cs="Courier New"/>
          <w:sz w:val="22"/>
          <w:szCs w:val="22"/>
        </w:rPr>
      </w:pPr>
      <w:r w:rsidRPr="008A3EDE">
        <w:rPr>
          <w:rFonts w:ascii="ＭＳ 明朝" w:hAnsi="ＭＳ 明朝" w:cs="Courier New" w:hint="eastAsia"/>
          <w:sz w:val="22"/>
          <w:szCs w:val="22"/>
        </w:rPr>
        <w:t xml:space="preserve">　本章においては、防災計画に基づき、「東海地震の警戒宣言に伴う対応」について定める。</w:t>
      </w:r>
    </w:p>
    <w:p w14:paraId="6F679C40" w14:textId="77777777" w:rsidR="00A911D7" w:rsidRPr="008A3EDE" w:rsidRDefault="00A911D7" w:rsidP="00A911D7">
      <w:pPr>
        <w:rPr>
          <w:rFonts w:ascii="ＭＳ 明朝" w:hAnsi="ＭＳ 明朝" w:cs="Courier New"/>
          <w:b/>
          <w:bCs/>
          <w:sz w:val="22"/>
          <w:szCs w:val="22"/>
        </w:rPr>
      </w:pPr>
    </w:p>
    <w:p w14:paraId="74E246BF" w14:textId="77777777" w:rsidR="00A911D7" w:rsidRPr="008A3EDE" w:rsidRDefault="00A911D7" w:rsidP="00E0548A">
      <w:pPr>
        <w:pStyle w:val="3"/>
        <w:ind w:firstLine="442"/>
      </w:pPr>
      <w:bookmarkStart w:id="371" w:name="_Toc222486658"/>
      <w:bookmarkStart w:id="372" w:name="_Toc242870328"/>
      <w:r w:rsidRPr="008A3EDE">
        <w:rPr>
          <w:rFonts w:hint="eastAsia"/>
        </w:rPr>
        <w:t>第１　情報の伝達</w:t>
      </w:r>
      <w:bookmarkEnd w:id="371"/>
      <w:bookmarkEnd w:id="372"/>
    </w:p>
    <w:p w14:paraId="27C10533" w14:textId="77777777" w:rsidR="00A911D7" w:rsidRPr="008A3EDE" w:rsidRDefault="00A911D7" w:rsidP="00A911D7">
      <w:pPr>
        <w:ind w:firstLineChars="500" w:firstLine="1105"/>
        <w:rPr>
          <w:rFonts w:ascii="ＭＳ ゴシック" w:eastAsia="ＭＳ ゴシック" w:hAnsi="ＭＳ ゴシック" w:cs="Courier New"/>
          <w:bCs/>
          <w:sz w:val="22"/>
          <w:szCs w:val="22"/>
        </w:rPr>
      </w:pPr>
      <w:r w:rsidRPr="008A3EDE">
        <w:rPr>
          <w:rFonts w:ascii="ＭＳ ゴシック" w:eastAsia="ＭＳ ゴシック" w:hAnsi="ＭＳ ゴシック" w:cs="Courier New" w:hint="eastAsia"/>
          <w:sz w:val="22"/>
          <w:szCs w:val="22"/>
          <w:bdr w:val="single" w:sz="4" w:space="0" w:color="auto"/>
        </w:rPr>
        <w:t>主たる担当：危機管理室</w:t>
      </w:r>
    </w:p>
    <w:p w14:paraId="32F13A16" w14:textId="77777777" w:rsidR="00A911D7" w:rsidRPr="008A3EDE" w:rsidRDefault="00A911D7" w:rsidP="00A911D7">
      <w:pPr>
        <w:ind w:firstLineChars="300" w:firstLine="663"/>
        <w:rPr>
          <w:rFonts w:ascii="ＭＳ ゴシック" w:eastAsia="ＭＳ ゴシック" w:hAnsi="ＭＳ ゴシック" w:cs="Courier New"/>
          <w:bCs/>
          <w:sz w:val="22"/>
          <w:szCs w:val="22"/>
          <w:u w:val="single"/>
        </w:rPr>
      </w:pPr>
      <w:r w:rsidRPr="008A3EDE">
        <w:rPr>
          <w:rFonts w:ascii="ＭＳ ゴシック" w:eastAsia="ＭＳ ゴシック" w:hAnsi="ＭＳ ゴシック" w:cs="Courier New" w:hint="eastAsia"/>
          <w:bCs/>
          <w:sz w:val="22"/>
          <w:szCs w:val="22"/>
          <w:u w:val="single"/>
        </w:rPr>
        <w:t>１　東海地震注意情報・予知情報の伝達</w:t>
      </w:r>
    </w:p>
    <w:p w14:paraId="6B4E3F8C" w14:textId="77777777" w:rsidR="00A911D7" w:rsidRPr="008A3EDE" w:rsidRDefault="00A911D7" w:rsidP="00A911D7">
      <w:pPr>
        <w:rPr>
          <w:rFonts w:ascii="ＭＳ 明朝" w:hAnsi="ＭＳ 明朝" w:cs="Courier New"/>
          <w:bCs/>
          <w:sz w:val="22"/>
          <w:szCs w:val="22"/>
        </w:rPr>
      </w:pPr>
      <w:r w:rsidRPr="008A3EDE">
        <w:rPr>
          <w:rFonts w:ascii="ＭＳ 明朝" w:hAnsi="ＭＳ 明朝" w:cs="Courier New" w:hint="eastAsia"/>
          <w:bCs/>
          <w:noProof/>
          <w:sz w:val="22"/>
          <w:szCs w:val="22"/>
        </w:rPr>
        <mc:AlternateContent>
          <mc:Choice Requires="wpg">
            <w:drawing>
              <wp:anchor distT="0" distB="0" distL="114300" distR="114300" simplePos="0" relativeHeight="254221312" behindDoc="0" locked="0" layoutInCell="1" allowOverlap="1" wp14:anchorId="3D5CAA6F" wp14:editId="17D94FE9">
                <wp:simplePos x="0" y="0"/>
                <wp:positionH relativeFrom="column">
                  <wp:posOffset>387889</wp:posOffset>
                </wp:positionH>
                <wp:positionV relativeFrom="paragraph">
                  <wp:posOffset>197821</wp:posOffset>
                </wp:positionV>
                <wp:extent cx="5714040" cy="1371600"/>
                <wp:effectExtent l="0" t="0" r="20320" b="19050"/>
                <wp:wrapNone/>
                <wp:docPr id="4823" name="グループ化 4823"/>
                <wp:cNvGraphicFramePr/>
                <a:graphic xmlns:a="http://schemas.openxmlformats.org/drawingml/2006/main">
                  <a:graphicData uri="http://schemas.microsoft.com/office/word/2010/wordprocessingGroup">
                    <wpg:wgp>
                      <wpg:cNvGrpSpPr/>
                      <wpg:grpSpPr>
                        <a:xfrm>
                          <a:off x="0" y="0"/>
                          <a:ext cx="5714040" cy="1371600"/>
                          <a:chOff x="0" y="0"/>
                          <a:chExt cx="5714040" cy="1371600"/>
                        </a:xfrm>
                      </wpg:grpSpPr>
                      <wps:wsp>
                        <wps:cNvPr id="3803" name="AutoShape 2722"/>
                        <wps:cNvSpPr>
                          <a:spLocks noChangeArrowheads="1"/>
                        </wps:cNvSpPr>
                        <wps:spPr bwMode="auto">
                          <a:xfrm>
                            <a:off x="0" y="421662"/>
                            <a:ext cx="1143000" cy="228600"/>
                          </a:xfrm>
                          <a:prstGeom prst="roundRect">
                            <a:avLst>
                              <a:gd name="adj" fmla="val 16667"/>
                            </a:avLst>
                          </a:prstGeom>
                          <a:solidFill>
                            <a:srgbClr val="FFFFFF"/>
                          </a:solidFill>
                          <a:ln w="9525">
                            <a:solidFill>
                              <a:srgbClr val="000000"/>
                            </a:solidFill>
                            <a:round/>
                            <a:headEnd/>
                            <a:tailEnd/>
                          </a:ln>
                        </wps:spPr>
                        <wps:txbx>
                          <w:txbxContent>
                            <w:p w14:paraId="7BE5FF48" w14:textId="77777777" w:rsidR="006A5267" w:rsidRPr="002255AC" w:rsidRDefault="006A5267" w:rsidP="00A911D7">
                              <w:pPr>
                                <w:spacing w:line="240" w:lineRule="exact"/>
                                <w:rPr>
                                  <w:rFonts w:ascii="ＭＳ ゴシック" w:eastAsia="ＭＳ ゴシック" w:hAnsi="ＭＳ ゴシック"/>
                                  <w:sz w:val="20"/>
                                  <w:szCs w:val="20"/>
                                </w:rPr>
                              </w:pPr>
                              <w:r w:rsidRPr="002255AC">
                                <w:rPr>
                                  <w:rFonts w:ascii="ＭＳ ゴシック" w:eastAsia="ＭＳ ゴシック" w:hAnsi="ＭＳ ゴシック" w:hint="eastAsia"/>
                                  <w:sz w:val="20"/>
                                  <w:szCs w:val="20"/>
                                </w:rPr>
                                <w:t>大阪管区気象台</w:t>
                              </w:r>
                            </w:p>
                          </w:txbxContent>
                        </wps:txbx>
                        <wps:bodyPr rot="0" vert="horz" wrap="square" lIns="74295" tIns="8890" rIns="74295" bIns="8890" anchor="t" anchorCtr="0" upright="1">
                          <a:noAutofit/>
                        </wps:bodyPr>
                      </wps:wsp>
                      <wps:wsp>
                        <wps:cNvPr id="3804" name="AutoShape 2723"/>
                        <wps:cNvSpPr>
                          <a:spLocks noChangeArrowheads="1"/>
                        </wps:cNvSpPr>
                        <wps:spPr bwMode="auto">
                          <a:xfrm>
                            <a:off x="1483018" y="421662"/>
                            <a:ext cx="1257300" cy="228600"/>
                          </a:xfrm>
                          <a:prstGeom prst="roundRect">
                            <a:avLst>
                              <a:gd name="adj" fmla="val 16667"/>
                            </a:avLst>
                          </a:prstGeom>
                          <a:solidFill>
                            <a:srgbClr val="FFFFFF"/>
                          </a:solidFill>
                          <a:ln w="9525">
                            <a:solidFill>
                              <a:srgbClr val="000000"/>
                            </a:solidFill>
                            <a:round/>
                            <a:headEnd/>
                            <a:tailEnd/>
                          </a:ln>
                        </wps:spPr>
                        <wps:txbx>
                          <w:txbxContent>
                            <w:p w14:paraId="500C1A2C" w14:textId="77777777" w:rsidR="006A5267" w:rsidRPr="002255AC" w:rsidRDefault="006A5267" w:rsidP="00A911D7">
                              <w:pPr>
                                <w:spacing w:line="240" w:lineRule="exact"/>
                                <w:rPr>
                                  <w:rFonts w:ascii="ＭＳ ゴシック" w:eastAsia="ＭＳ ゴシック" w:hAnsi="ＭＳ ゴシック"/>
                                  <w:sz w:val="20"/>
                                  <w:szCs w:val="20"/>
                                </w:rPr>
                              </w:pPr>
                              <w:r w:rsidRPr="002255AC">
                                <w:rPr>
                                  <w:rFonts w:ascii="ＭＳ ゴシック" w:eastAsia="ＭＳ ゴシック" w:hAnsi="ＭＳ ゴシック" w:hint="eastAsia"/>
                                  <w:sz w:val="20"/>
                                  <w:szCs w:val="20"/>
                                </w:rPr>
                                <w:t>大阪</w:t>
                              </w:r>
                              <w:r>
                                <w:rPr>
                                  <w:rFonts w:ascii="ＭＳ ゴシック" w:eastAsia="ＭＳ ゴシック" w:hAnsi="ＭＳ ゴシック" w:hint="eastAsia"/>
                                  <w:sz w:val="20"/>
                                  <w:szCs w:val="20"/>
                                </w:rPr>
                                <w:t>府危機管理室</w:t>
                              </w:r>
                            </w:p>
                          </w:txbxContent>
                        </wps:txbx>
                        <wps:bodyPr rot="0" vert="horz" wrap="square" lIns="74295" tIns="8890" rIns="74295" bIns="8890" anchor="t" anchorCtr="0" upright="1">
                          <a:noAutofit/>
                        </wps:bodyPr>
                      </wps:wsp>
                      <wps:wsp>
                        <wps:cNvPr id="3795" name="AutoShape 2725"/>
                        <wps:cNvSpPr>
                          <a:spLocks noChangeArrowheads="1"/>
                        </wps:cNvSpPr>
                        <wps:spPr bwMode="auto">
                          <a:xfrm>
                            <a:off x="3088981" y="974912"/>
                            <a:ext cx="1485900" cy="228600"/>
                          </a:xfrm>
                          <a:prstGeom prst="roundRect">
                            <a:avLst>
                              <a:gd name="adj" fmla="val 16667"/>
                            </a:avLst>
                          </a:prstGeom>
                          <a:solidFill>
                            <a:srgbClr val="FFFFFF"/>
                          </a:solidFill>
                          <a:ln w="9525">
                            <a:solidFill>
                              <a:srgbClr val="000000"/>
                            </a:solidFill>
                            <a:round/>
                            <a:headEnd/>
                            <a:tailEnd/>
                          </a:ln>
                        </wps:spPr>
                        <wps:txbx>
                          <w:txbxContent>
                            <w:p w14:paraId="02EB84DF" w14:textId="77777777" w:rsidR="006A5267" w:rsidRPr="002255AC" w:rsidRDefault="006A5267" w:rsidP="00A911D7">
                              <w:pPr>
                                <w:spacing w:line="240" w:lineRule="exact"/>
                                <w:rPr>
                                  <w:rFonts w:ascii="ＭＳ ゴシック" w:eastAsia="ＭＳ ゴシック" w:hAnsi="ＭＳ ゴシック"/>
                                  <w:sz w:val="20"/>
                                  <w:szCs w:val="20"/>
                                </w:rPr>
                              </w:pPr>
                              <w:r>
                                <w:rPr>
                                  <w:rFonts w:ascii="ＭＳ ゴシック" w:eastAsia="ＭＳ ゴシック" w:hAnsi="ＭＳ ゴシック" w:hint="eastAsia"/>
                                  <w:sz w:val="20"/>
                                  <w:szCs w:val="20"/>
                                </w:rPr>
                                <w:t>府庁各課・出先機関等</w:t>
                              </w:r>
                            </w:p>
                          </w:txbxContent>
                        </wps:txbx>
                        <wps:bodyPr rot="0" vert="horz" wrap="square" lIns="74295" tIns="8890" rIns="74295" bIns="8890" anchor="t" anchorCtr="0" upright="1">
                          <a:noAutofit/>
                        </wps:bodyPr>
                      </wps:wsp>
                      <wps:wsp>
                        <wps:cNvPr id="3809" name="AutoShape 2726"/>
                        <wps:cNvSpPr>
                          <a:spLocks noChangeArrowheads="1"/>
                        </wps:cNvSpPr>
                        <wps:spPr bwMode="auto">
                          <a:xfrm rot="5400000">
                            <a:off x="4913940" y="571500"/>
                            <a:ext cx="1371600" cy="228600"/>
                          </a:xfrm>
                          <a:prstGeom prst="roundRect">
                            <a:avLst>
                              <a:gd name="adj" fmla="val 16667"/>
                            </a:avLst>
                          </a:prstGeom>
                          <a:solidFill>
                            <a:srgbClr val="FFFFFF"/>
                          </a:solidFill>
                          <a:ln w="9525">
                            <a:solidFill>
                              <a:srgbClr val="000000"/>
                            </a:solidFill>
                            <a:round/>
                            <a:headEnd/>
                            <a:tailEnd/>
                          </a:ln>
                        </wps:spPr>
                        <wps:txbx>
                          <w:txbxContent>
                            <w:p w14:paraId="7A685A72" w14:textId="77777777" w:rsidR="006A5267" w:rsidRDefault="006A5267" w:rsidP="00A911D7">
                              <w:pPr>
                                <w:spacing w:line="240" w:lineRule="exact"/>
                                <w:rPr>
                                  <w:rFonts w:ascii="ＭＳ ゴシック" w:eastAsia="ＭＳ ゴシック" w:hAnsi="ＭＳ ゴシック"/>
                                  <w:sz w:val="20"/>
                                  <w:szCs w:val="20"/>
                                </w:rPr>
                              </w:pPr>
                            </w:p>
                            <w:p w14:paraId="1062AFDE" w14:textId="77777777" w:rsidR="006A5267" w:rsidRPr="002255AC" w:rsidRDefault="006A5267" w:rsidP="00A911D7">
                              <w:pPr>
                                <w:spacing w:line="240" w:lineRule="exact"/>
                                <w:rPr>
                                  <w:rFonts w:ascii="ＭＳ ゴシック" w:eastAsia="ＭＳ ゴシック" w:hAnsi="ＭＳ ゴシック"/>
                                  <w:sz w:val="20"/>
                                  <w:szCs w:val="20"/>
                                </w:rPr>
                              </w:pPr>
                              <w:r>
                                <w:rPr>
                                  <w:rFonts w:ascii="ＭＳ ゴシック" w:eastAsia="ＭＳ ゴシック" w:hAnsi="ＭＳ ゴシック" w:hint="eastAsia"/>
                                  <w:sz w:val="20"/>
                                  <w:szCs w:val="20"/>
                                </w:rPr>
                                <w:t>住民・その他</w:t>
                              </w:r>
                            </w:p>
                          </w:txbxContent>
                        </wps:txbx>
                        <wps:bodyPr rot="0" vert="horz" wrap="square" lIns="74295" tIns="8890" rIns="74295" bIns="8890" anchor="t" anchorCtr="0" upright="1">
                          <a:noAutofit/>
                        </wps:bodyPr>
                      </wps:wsp>
                      <wps:wsp>
                        <wps:cNvPr id="3808" name="AutoShape 2727"/>
                        <wps:cNvSpPr>
                          <a:spLocks noChangeArrowheads="1"/>
                        </wps:cNvSpPr>
                        <wps:spPr bwMode="auto">
                          <a:xfrm>
                            <a:off x="4379899" y="83564"/>
                            <a:ext cx="762000" cy="228600"/>
                          </a:xfrm>
                          <a:prstGeom prst="roundRect">
                            <a:avLst>
                              <a:gd name="adj" fmla="val 16667"/>
                            </a:avLst>
                          </a:prstGeom>
                          <a:solidFill>
                            <a:srgbClr val="FFFFFF"/>
                          </a:solidFill>
                          <a:ln w="9525">
                            <a:solidFill>
                              <a:srgbClr val="000000"/>
                            </a:solidFill>
                            <a:round/>
                            <a:headEnd/>
                            <a:tailEnd/>
                          </a:ln>
                        </wps:spPr>
                        <wps:txbx>
                          <w:txbxContent>
                            <w:p w14:paraId="18798E55" w14:textId="77777777" w:rsidR="006A5267" w:rsidRPr="002255AC" w:rsidRDefault="006A5267" w:rsidP="00A911D7">
                              <w:pPr>
                                <w:spacing w:line="240" w:lineRule="exact"/>
                                <w:rPr>
                                  <w:rFonts w:ascii="ＭＳ ゴシック" w:eastAsia="ＭＳ ゴシック" w:hAnsi="ＭＳ ゴシック"/>
                                  <w:sz w:val="20"/>
                                  <w:szCs w:val="20"/>
                                </w:rPr>
                              </w:pPr>
                              <w:r>
                                <w:rPr>
                                  <w:rFonts w:ascii="ＭＳ ゴシック" w:eastAsia="ＭＳ ゴシック" w:hAnsi="ＭＳ ゴシック" w:hint="eastAsia"/>
                                  <w:sz w:val="20"/>
                                  <w:szCs w:val="20"/>
                                </w:rPr>
                                <w:t>消防署等</w:t>
                              </w:r>
                            </w:p>
                          </w:txbxContent>
                        </wps:txbx>
                        <wps:bodyPr rot="0" vert="horz" wrap="square" lIns="74295" tIns="8890" rIns="74295" bIns="8890" anchor="t" anchorCtr="0" upright="1">
                          <a:noAutofit/>
                        </wps:bodyPr>
                      </wps:wsp>
                      <wps:wsp>
                        <wps:cNvPr id="3798" name="Line 2728"/>
                        <wps:cNvCnPr>
                          <a:cxnSpLocks noChangeShapeType="1"/>
                        </wps:cNvCnPr>
                        <wps:spPr bwMode="auto">
                          <a:xfrm>
                            <a:off x="1144921" y="529238"/>
                            <a:ext cx="342900" cy="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3799" name="Line 2729"/>
                        <wps:cNvCnPr>
                          <a:cxnSpLocks noChangeShapeType="1"/>
                        </wps:cNvCnPr>
                        <wps:spPr bwMode="auto">
                          <a:xfrm>
                            <a:off x="2743200" y="529238"/>
                            <a:ext cx="342900" cy="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3800" name="Line 2730"/>
                        <wps:cNvCnPr>
                          <a:cxnSpLocks noChangeShapeType="1"/>
                        </wps:cNvCnPr>
                        <wps:spPr bwMode="auto">
                          <a:xfrm>
                            <a:off x="4226218" y="606078"/>
                            <a:ext cx="1257300" cy="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3796" name="Line 2731"/>
                        <wps:cNvCnPr>
                          <a:cxnSpLocks noChangeShapeType="1"/>
                        </wps:cNvCnPr>
                        <wps:spPr bwMode="auto">
                          <a:xfrm>
                            <a:off x="4572000" y="1090172"/>
                            <a:ext cx="914400" cy="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3801" name="Line 2733"/>
                        <wps:cNvCnPr>
                          <a:cxnSpLocks noChangeShapeType="1"/>
                        </wps:cNvCnPr>
                        <wps:spPr bwMode="auto">
                          <a:xfrm flipV="1">
                            <a:off x="2858460" y="529238"/>
                            <a:ext cx="0" cy="57150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3802" name="Line 2734"/>
                        <wps:cNvCnPr>
                          <a:cxnSpLocks noChangeShapeType="1"/>
                        </wps:cNvCnPr>
                        <wps:spPr bwMode="auto">
                          <a:xfrm>
                            <a:off x="4226218" y="529238"/>
                            <a:ext cx="4572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3807" name="Line 2736"/>
                        <wps:cNvCnPr>
                          <a:cxnSpLocks noChangeShapeType="1"/>
                        </wps:cNvCnPr>
                        <wps:spPr bwMode="auto">
                          <a:xfrm>
                            <a:off x="5140618" y="191141"/>
                            <a:ext cx="342900" cy="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3805" name="AutoShape 2724"/>
                        <wps:cNvSpPr>
                          <a:spLocks noChangeArrowheads="1"/>
                        </wps:cNvSpPr>
                        <wps:spPr bwMode="auto">
                          <a:xfrm>
                            <a:off x="3088981" y="421662"/>
                            <a:ext cx="1143000" cy="228600"/>
                          </a:xfrm>
                          <a:prstGeom prst="roundRect">
                            <a:avLst>
                              <a:gd name="adj" fmla="val 16667"/>
                            </a:avLst>
                          </a:prstGeom>
                          <a:solidFill>
                            <a:srgbClr val="FFFFFF"/>
                          </a:solidFill>
                          <a:ln w="9525">
                            <a:solidFill>
                              <a:srgbClr val="000000"/>
                            </a:solidFill>
                            <a:round/>
                            <a:headEnd/>
                            <a:tailEnd/>
                          </a:ln>
                        </wps:spPr>
                        <wps:txbx>
                          <w:txbxContent>
                            <w:p w14:paraId="2377C920" w14:textId="77777777" w:rsidR="006A5267" w:rsidRPr="002255AC" w:rsidRDefault="006A5267" w:rsidP="00A911D7">
                              <w:pPr>
                                <w:spacing w:line="240" w:lineRule="exact"/>
                                <w:rPr>
                                  <w:rFonts w:ascii="ＭＳ ゴシック" w:eastAsia="ＭＳ ゴシック" w:hAnsi="ＭＳ ゴシック"/>
                                  <w:sz w:val="20"/>
                                  <w:szCs w:val="20"/>
                                </w:rPr>
                              </w:pPr>
                              <w:r>
                                <w:rPr>
                                  <w:rFonts w:ascii="ＭＳ ゴシック" w:eastAsia="ＭＳ ゴシック" w:hAnsi="ＭＳ ゴシック" w:hint="eastAsia"/>
                                  <w:sz w:val="20"/>
                                  <w:szCs w:val="20"/>
                                </w:rPr>
                                <w:t>市町村・消防機関</w:t>
                              </w:r>
                            </w:p>
                          </w:txbxContent>
                        </wps:txbx>
                        <wps:bodyPr rot="0" vert="horz" wrap="square" lIns="74295" tIns="8890" rIns="74295" bIns="8890" anchor="t" anchorCtr="0" upright="1">
                          <a:noAutofit/>
                        </wps:bodyPr>
                      </wps:wsp>
                    </wpg:wgp>
                  </a:graphicData>
                </a:graphic>
              </wp:anchor>
            </w:drawing>
          </mc:Choice>
          <mc:Fallback xmlns:w16cei="http://schemas.microsoft.com/office/word/2026/wordml/cei">
            <w:pict>
              <v:group w14:anchorId="3D5CAA6F" id="グループ化 4823" o:spid="_x0000_s1594" style="position:absolute;left:0;text-align:left;margin-left:30.55pt;margin-top:15.6pt;width:449.9pt;height:108pt;z-index:254221312;mso-position-horizontal-relative:text;mso-position-vertical-relative:text" coordsize="57140,1371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">
                <v:roundrect id="AutoShape 2722" o:spid="_x0000_s1595" style="position:absolute;top:4216;width:11430;height:2286;visibility:visible;mso-wrap-style:square;v-text-anchor:top"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">
                  <v:textbox inset="5.85pt,.7pt,5.85pt,.7pt">
                    <w:txbxContent>
                      <w:p w14:paraId="7BE5FF48" w14:textId="77777777" w:rsidR="006A5267" w:rsidRPr="002255AC" w:rsidRDefault="006A5267" w:rsidP="00A911D7">
                        <w:pPr>
                          <w:spacing w:line="240" w:lineRule="exact"/>
                          <w:rPr>
                            <w:rFonts w:ascii="ＭＳ ゴシック" w:eastAsia="ＭＳ ゴシック" w:hAnsi="ＭＳ ゴシック"/>
                            <w:sz w:val="20"/>
                            <w:szCs w:val="20"/>
                          </w:rPr>
                        </w:pPr>
                        <w:r w:rsidRPr="002255AC">
                          <w:rPr>
                            <w:rFonts w:ascii="ＭＳ ゴシック" w:eastAsia="ＭＳ ゴシック" w:hAnsi="ＭＳ ゴシック" w:hint="eastAsia"/>
                            <w:sz w:val="20"/>
                            <w:szCs w:val="20"/>
                          </w:rPr>
                          <w:t>大阪管区気象台</w:t>
                        </w:r>
                      </w:p>
                    </w:txbxContent>
                  </v:textbox>
                </v:roundrect>
                <v:roundrect id="AutoShape 2723" o:spid="_x0000_s1596" style="position:absolute;left:14830;top:4216;width:12573;height:2286;visibility:visible;mso-wrap-style:square;v-text-anchor:top"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">
                  <v:textbox inset="5.85pt,.7pt,5.85pt,.7pt">
                    <w:txbxContent>
                      <w:p w14:paraId="500C1A2C" w14:textId="77777777" w:rsidR="006A5267" w:rsidRPr="002255AC" w:rsidRDefault="006A5267" w:rsidP="00A911D7">
                        <w:pPr>
                          <w:spacing w:line="240" w:lineRule="exact"/>
                          <w:rPr>
                            <w:rFonts w:ascii="ＭＳ ゴシック" w:eastAsia="ＭＳ ゴシック" w:hAnsi="ＭＳ ゴシック"/>
                            <w:sz w:val="20"/>
                            <w:szCs w:val="20"/>
                          </w:rPr>
                        </w:pPr>
                        <w:r w:rsidRPr="002255AC">
                          <w:rPr>
                            <w:rFonts w:ascii="ＭＳ ゴシック" w:eastAsia="ＭＳ ゴシック" w:hAnsi="ＭＳ ゴシック" w:hint="eastAsia"/>
                            <w:sz w:val="20"/>
                            <w:szCs w:val="20"/>
                          </w:rPr>
                          <w:t>大阪</w:t>
                        </w:r>
                        <w:r>
                          <w:rPr>
                            <w:rFonts w:ascii="ＭＳ ゴシック" w:eastAsia="ＭＳ ゴシック" w:hAnsi="ＭＳ ゴシック" w:hint="eastAsia"/>
                            <w:sz w:val="20"/>
                            <w:szCs w:val="20"/>
                          </w:rPr>
                          <w:t>府危機管理室</w:t>
                        </w:r>
                      </w:p>
                    </w:txbxContent>
                  </v:textbox>
                </v:roundrect>
                <v:roundrect id="AutoShape 2725" o:spid="_x0000_s1597" style="position:absolute;left:30889;top:9749;width:14859;height:2286;visibility:visible;mso-wrap-style:square;v-text-anchor:top"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">
                  <v:textbox inset="5.85pt,.7pt,5.85pt,.7pt">
                    <w:txbxContent>
                      <w:p w14:paraId="02EB84DF" w14:textId="77777777" w:rsidR="006A5267" w:rsidRPr="002255AC" w:rsidRDefault="006A5267" w:rsidP="00A911D7">
                        <w:pPr>
                          <w:spacing w:line="240" w:lineRule="exact"/>
                          <w:rPr>
                            <w:rFonts w:ascii="ＭＳ ゴシック" w:eastAsia="ＭＳ ゴシック" w:hAnsi="ＭＳ ゴシック"/>
                            <w:sz w:val="20"/>
                            <w:szCs w:val="20"/>
                          </w:rPr>
                        </w:pPr>
                        <w:r>
                          <w:rPr>
                            <w:rFonts w:ascii="ＭＳ ゴシック" w:eastAsia="ＭＳ ゴシック" w:hAnsi="ＭＳ ゴシック" w:hint="eastAsia"/>
                            <w:sz w:val="20"/>
                            <w:szCs w:val="20"/>
                          </w:rPr>
                          <w:t>府庁各課・出先機関等</w:t>
                        </w:r>
                      </w:p>
                    </w:txbxContent>
                  </v:textbox>
                </v:roundrect>
                <v:roundrect id="AutoShape 2726" o:spid="_x0000_s1598" style="position:absolute;left:49139;top:5715;width:13716;height:2286;rotation:90;visibility:visible;mso-wrap-style:square;v-text-anchor:top"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">
                  <v:textbox inset="5.85pt,.7pt,5.85pt,.7pt">
                    <w:txbxContent>
                      <w:p w14:paraId="7A685A72" w14:textId="77777777" w:rsidR="006A5267" w:rsidRDefault="006A5267" w:rsidP="00A911D7">
                        <w:pPr>
                          <w:spacing w:line="240" w:lineRule="exact"/>
                          <w:rPr>
                            <w:rFonts w:ascii="ＭＳ ゴシック" w:eastAsia="ＭＳ ゴシック" w:hAnsi="ＭＳ ゴシック"/>
                            <w:sz w:val="20"/>
                            <w:szCs w:val="20"/>
                          </w:rPr>
                        </w:pPr>
                      </w:p>
                      <w:p w14:paraId="1062AFDE" w14:textId="77777777" w:rsidR="006A5267" w:rsidRPr="002255AC" w:rsidRDefault="006A5267" w:rsidP="00A911D7">
                        <w:pPr>
                          <w:spacing w:line="240" w:lineRule="exact"/>
                          <w:rPr>
                            <w:rFonts w:ascii="ＭＳ ゴシック" w:eastAsia="ＭＳ ゴシック" w:hAnsi="ＭＳ ゴシック"/>
                            <w:sz w:val="20"/>
                            <w:szCs w:val="20"/>
                          </w:rPr>
                        </w:pPr>
                        <w:r>
                          <w:rPr>
                            <w:rFonts w:ascii="ＭＳ ゴシック" w:eastAsia="ＭＳ ゴシック" w:hAnsi="ＭＳ ゴシック" w:hint="eastAsia"/>
                            <w:sz w:val="20"/>
                            <w:szCs w:val="20"/>
                          </w:rPr>
                          <w:t>住民・その他</w:t>
                        </w:r>
                      </w:p>
                    </w:txbxContent>
                  </v:textbox>
                </v:roundrect>
                <v:roundrect id="AutoShape 2727" o:spid="_x0000_s1599" style="position:absolute;left:43798;top:835;width:7620;height:2286;visibility:visible;mso-wrap-style:square;v-text-anchor:top"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">
                  <v:textbox inset="5.85pt,.7pt,5.85pt,.7pt">
                    <w:txbxContent>
                      <w:p w14:paraId="18798E55" w14:textId="77777777" w:rsidR="006A5267" w:rsidRPr="002255AC" w:rsidRDefault="006A5267" w:rsidP="00A911D7">
                        <w:pPr>
                          <w:spacing w:line="240" w:lineRule="exact"/>
                          <w:rPr>
                            <w:rFonts w:ascii="ＭＳ ゴシック" w:eastAsia="ＭＳ ゴシック" w:hAnsi="ＭＳ ゴシック"/>
                            <w:sz w:val="20"/>
                            <w:szCs w:val="20"/>
                          </w:rPr>
                        </w:pPr>
                        <w:r>
                          <w:rPr>
                            <w:rFonts w:ascii="ＭＳ ゴシック" w:eastAsia="ＭＳ ゴシック" w:hAnsi="ＭＳ ゴシック" w:hint="eastAsia"/>
                            <w:sz w:val="20"/>
                            <w:szCs w:val="20"/>
                          </w:rPr>
                          <w:t>消防署等</w:t>
                        </w:r>
                      </w:p>
                    </w:txbxContent>
                  </v:textbox>
                </v:roundrect>
                <v:line id="Line 2728" o:spid="_x0000_s1600" style="position:absolute;visibility:visible;mso-wrap-style:square" from="11449,5292" to="14878,529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">
                  <v:stroke endarrow="block"/>
                </v:line>
                <v:line id="Line 2729" o:spid="_x0000_s1601" style="position:absolute;visibility:visible;mso-wrap-style:square" from="27432,5292" to="30861,529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">
                  <v:stroke endarrow="block"/>
                </v:line>
                <v:line id="Line 2730" o:spid="_x0000_s1602" style="position:absolute;visibility:visible;mso-wrap-style:square" from="42262,6060" to="54835,606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">
                  <v:stroke endarrow="block"/>
                </v:line>
                <v:line id="Line 2731" o:spid="_x0000_s1603" style="position:absolute;visibility:visible;mso-wrap-style:square" from="45720,10901" to="54864,1090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">
                  <v:stroke endarrow="block"/>
                </v:line>
                <v:line id="Line 2733" o:spid="_x0000_s1604" style="position:absolute;flip:y;visibility:visible;mso-wrap-style:square" from="28584,5292" to="28584,1100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"/>
                <v:line id="Line 2734" o:spid="_x0000_s1605" style="position:absolute;visibility:visible;mso-wrap-style:square" from="42262,5292" to="46834,529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"/>
                <v:line id="Line 2736" o:spid="_x0000_s1606" style="position:absolute;visibility:visible;mso-wrap-style:square" from="51406,1911" to="54835,191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">
                  <v:stroke endarrow="block"/>
                </v:line>
                <v:roundrect id="AutoShape 2724" o:spid="_x0000_s1607" style="position:absolute;left:30889;top:4216;width:11430;height:2286;visibility:visible;mso-wrap-style:square;v-text-anchor:top"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">
                  <v:textbox inset="5.85pt,.7pt,5.85pt,.7pt">
                    <w:txbxContent>
                      <w:p w14:paraId="2377C920" w14:textId="77777777" w:rsidR="006A5267" w:rsidRPr="002255AC" w:rsidRDefault="006A5267" w:rsidP="00A911D7">
                        <w:pPr>
                          <w:spacing w:line="240" w:lineRule="exact"/>
                          <w:rPr>
                            <w:rFonts w:ascii="ＭＳ ゴシック" w:eastAsia="ＭＳ ゴシック" w:hAnsi="ＭＳ ゴシック"/>
                            <w:sz w:val="20"/>
                            <w:szCs w:val="20"/>
                          </w:rPr>
                        </w:pPr>
                        <w:r>
                          <w:rPr>
                            <w:rFonts w:ascii="ＭＳ ゴシック" w:eastAsia="ＭＳ ゴシック" w:hAnsi="ＭＳ ゴシック" w:hint="eastAsia"/>
                            <w:sz w:val="20"/>
                            <w:szCs w:val="20"/>
                          </w:rPr>
                          <w:t>市町村・消防機関</w:t>
                        </w:r>
                      </w:p>
                    </w:txbxContent>
                  </v:textbox>
                </v:roundrect>
              </v:group>
            </w:pict>
          </mc:Fallback>
        </mc:AlternateContent>
      </w:r>
      <w:r w:rsidRPr="008A3EDE">
        <w:rPr>
          <w:rFonts w:ascii="ＭＳ 明朝" w:hAnsi="ＭＳ 明朝" w:cs="Courier New" w:hint="eastAsia"/>
          <w:bCs/>
          <w:sz w:val="22"/>
          <w:szCs w:val="22"/>
        </w:rPr>
        <w:t xml:space="preserve">　　　　(1)　伝達系統</w:t>
      </w:r>
    </w:p>
    <w:p w14:paraId="33E8CABB" w14:textId="77777777" w:rsidR="00A911D7" w:rsidRPr="008A3EDE" w:rsidRDefault="00A911D7" w:rsidP="00A911D7">
      <w:pPr>
        <w:rPr>
          <w:rFonts w:ascii="ＭＳ 明朝" w:hAnsi="ＭＳ 明朝" w:cs="Courier New"/>
          <w:sz w:val="22"/>
          <w:szCs w:val="22"/>
        </w:rPr>
      </w:pPr>
    </w:p>
    <w:p w14:paraId="04B63EEE" w14:textId="77777777" w:rsidR="00A911D7" w:rsidRPr="008A3EDE" w:rsidRDefault="00A911D7" w:rsidP="00A911D7">
      <w:pPr>
        <w:rPr>
          <w:rFonts w:ascii="ＭＳ 明朝" w:hAnsi="ＭＳ 明朝" w:cs="Courier New"/>
          <w:sz w:val="22"/>
          <w:szCs w:val="22"/>
        </w:rPr>
      </w:pPr>
      <w:r w:rsidRPr="008A3EDE">
        <w:rPr>
          <w:rFonts w:ascii="ＭＳ 明朝" w:hAnsi="ＭＳ 明朝" w:cs="Courier New" w:hint="eastAsia"/>
          <w:noProof/>
          <w:sz w:val="22"/>
          <w:szCs w:val="22"/>
        </w:rPr>
        <mc:AlternateContent>
          <mc:Choice Requires="wps">
            <w:drawing>
              <wp:anchor distT="0" distB="0" distL="114300" distR="114300" simplePos="0" relativeHeight="254203904" behindDoc="0" locked="0" layoutInCell="1" allowOverlap="1" wp14:anchorId="423B2584" wp14:editId="06DB6CC6">
                <wp:simplePos x="0" y="0"/>
                <wp:positionH relativeFrom="column">
                  <wp:posOffset>5074920</wp:posOffset>
                </wp:positionH>
                <wp:positionV relativeFrom="paragraph">
                  <wp:posOffset>54610</wp:posOffset>
                </wp:positionV>
                <wp:extent cx="0" cy="228600"/>
                <wp:effectExtent l="55245" t="16510" r="59055" b="12065"/>
                <wp:wrapNone/>
                <wp:docPr id="3806" name="Line 273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0" cy="22860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line w14:anchorId="19DF2641" id="Line 2735" o:spid="_x0000_s1026" style="position:absolute;left:0;text-align:left;flip:y;z-index:2542039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99.6pt,4.3pt" to="399.6pt,22.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">
                <v:stroke endarrow="block"/>
              </v:line>
            </w:pict>
          </mc:Fallback>
        </mc:AlternateContent>
      </w:r>
    </w:p>
    <w:p w14:paraId="5E98DF84" w14:textId="77777777" w:rsidR="00A911D7" w:rsidRPr="008A3EDE" w:rsidRDefault="00A911D7" w:rsidP="00A911D7">
      <w:pPr>
        <w:rPr>
          <w:rFonts w:ascii="ＭＳ 明朝" w:hAnsi="ＭＳ 明朝" w:cs="Courier New"/>
          <w:sz w:val="22"/>
          <w:szCs w:val="22"/>
        </w:rPr>
      </w:pPr>
    </w:p>
    <w:p w14:paraId="29C3A77E" w14:textId="77777777" w:rsidR="00A911D7" w:rsidRPr="008A3EDE" w:rsidRDefault="00A911D7" w:rsidP="00A911D7">
      <w:pPr>
        <w:rPr>
          <w:rFonts w:ascii="ＭＳ 明朝" w:hAnsi="ＭＳ 明朝" w:cs="Courier New"/>
          <w:sz w:val="22"/>
          <w:szCs w:val="22"/>
        </w:rPr>
      </w:pPr>
    </w:p>
    <w:p w14:paraId="51FD4CC3" w14:textId="77777777" w:rsidR="00A911D7" w:rsidRPr="008A3EDE" w:rsidRDefault="00A911D7" w:rsidP="00A911D7">
      <w:pPr>
        <w:rPr>
          <w:rFonts w:ascii="ＭＳ 明朝" w:hAnsi="ＭＳ 明朝" w:cs="Courier New"/>
          <w:sz w:val="22"/>
          <w:szCs w:val="22"/>
        </w:rPr>
      </w:pPr>
      <w:r w:rsidRPr="008A3EDE">
        <w:rPr>
          <w:rFonts w:ascii="ＭＳ 明朝" w:hAnsi="ＭＳ 明朝" w:cs="Courier New" w:hint="eastAsia"/>
          <w:noProof/>
          <w:sz w:val="22"/>
          <w:szCs w:val="22"/>
        </w:rPr>
        <mc:AlternateContent>
          <mc:Choice Requires="wps">
            <w:drawing>
              <wp:anchor distT="0" distB="0" distL="114300" distR="114300" simplePos="0" relativeHeight="254202880" behindDoc="0" locked="0" layoutInCell="1" allowOverlap="1" wp14:anchorId="1475FE5E" wp14:editId="2AE89437">
                <wp:simplePos x="0" y="0"/>
                <wp:positionH relativeFrom="column">
                  <wp:posOffset>3246120</wp:posOffset>
                </wp:positionH>
                <wp:positionV relativeFrom="paragraph">
                  <wp:posOffset>168910</wp:posOffset>
                </wp:positionV>
                <wp:extent cx="228600" cy="0"/>
                <wp:effectExtent l="7620" t="54610" r="20955" b="59690"/>
                <wp:wrapNone/>
                <wp:docPr id="3797" name="Line 273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28600" cy="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line w14:anchorId="0BBC3CD9" id="Line 2732" o:spid="_x0000_s1026" style="position:absolute;left:0;text-align:left;z-index:2542028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55.6pt,13.3pt" to="273.6pt,13.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">
                <v:stroke endarrow="block"/>
              </v:line>
            </w:pict>
          </mc:Fallback>
        </mc:AlternateContent>
      </w:r>
    </w:p>
    <w:p w14:paraId="7D76B352" w14:textId="77777777" w:rsidR="00A911D7" w:rsidRPr="008A3EDE" w:rsidRDefault="00A911D7" w:rsidP="00A911D7">
      <w:pPr>
        <w:ind w:firstLineChars="400" w:firstLine="884"/>
        <w:rPr>
          <w:rFonts w:ascii="ＭＳ 明朝" w:hAnsi="ＭＳ 明朝" w:cs="Courier New"/>
          <w:sz w:val="22"/>
          <w:szCs w:val="22"/>
        </w:rPr>
      </w:pPr>
      <w:r w:rsidRPr="008A3EDE">
        <w:rPr>
          <w:rFonts w:ascii="ＭＳ 明朝" w:hAnsi="ＭＳ 明朝" w:cs="Courier New" w:hint="eastAsia"/>
          <w:sz w:val="22"/>
          <w:szCs w:val="22"/>
        </w:rPr>
        <w:t>(2)　伝達内容</w:t>
      </w:r>
    </w:p>
    <w:p w14:paraId="4DCA52DD" w14:textId="77777777" w:rsidR="00A911D7" w:rsidRPr="008A3EDE" w:rsidRDefault="00A911D7" w:rsidP="00A911D7">
      <w:pPr>
        <w:ind w:firstLineChars="500" w:firstLine="1105"/>
        <w:rPr>
          <w:rFonts w:ascii="ＭＳ 明朝" w:hAnsi="ＭＳ 明朝" w:cs="Courier New"/>
          <w:sz w:val="22"/>
          <w:szCs w:val="22"/>
        </w:rPr>
      </w:pPr>
      <w:r w:rsidRPr="008A3EDE">
        <w:rPr>
          <w:rFonts w:ascii="ＭＳ 明朝" w:hAnsi="ＭＳ 明朝" w:cs="Courier New" w:hint="eastAsia"/>
          <w:sz w:val="22"/>
          <w:szCs w:val="22"/>
        </w:rPr>
        <w:t>①東海地震注意情報の内容</w:t>
      </w:r>
    </w:p>
    <w:p w14:paraId="65D9CEB6" w14:textId="77777777" w:rsidR="00A911D7" w:rsidRPr="008A3EDE" w:rsidRDefault="00A911D7" w:rsidP="00A911D7">
      <w:pPr>
        <w:ind w:left="221" w:firstLineChars="400" w:firstLine="884"/>
        <w:rPr>
          <w:rFonts w:ascii="ＭＳ 明朝" w:hAnsi="ＭＳ 明朝" w:cs="Courier New"/>
          <w:sz w:val="22"/>
          <w:szCs w:val="22"/>
        </w:rPr>
      </w:pPr>
      <w:r w:rsidRPr="008A3EDE">
        <w:rPr>
          <w:rFonts w:ascii="ＭＳ 明朝" w:hAnsi="ＭＳ 明朝" w:cs="Courier New" w:hint="eastAsia"/>
          <w:sz w:val="22"/>
          <w:szCs w:val="22"/>
        </w:rPr>
        <w:t>②東海地震予知情報</w:t>
      </w:r>
    </w:p>
    <w:p w14:paraId="6FDC0191" w14:textId="77777777" w:rsidR="00A911D7" w:rsidRPr="008A3EDE" w:rsidRDefault="00A911D7" w:rsidP="00A911D7">
      <w:pPr>
        <w:ind w:firstLineChars="500" w:firstLine="1105"/>
        <w:rPr>
          <w:rFonts w:ascii="ＭＳ 明朝" w:hAnsi="ＭＳ 明朝" w:cs="Courier New"/>
          <w:sz w:val="22"/>
          <w:szCs w:val="22"/>
        </w:rPr>
      </w:pPr>
      <w:r w:rsidRPr="008A3EDE">
        <w:rPr>
          <w:rFonts w:ascii="ＭＳ 明朝" w:hAnsi="ＭＳ 明朝" w:cs="Courier New" w:hint="eastAsia"/>
          <w:sz w:val="22"/>
          <w:szCs w:val="22"/>
        </w:rPr>
        <w:t>③その他必要と認める事項</w:t>
      </w:r>
    </w:p>
    <w:p w14:paraId="663515A1" w14:textId="77777777" w:rsidR="00A911D7" w:rsidRPr="008A3EDE" w:rsidRDefault="00A911D7" w:rsidP="00A911D7">
      <w:pPr>
        <w:rPr>
          <w:rFonts w:ascii="ＭＳ 明朝" w:hAnsi="ＭＳ 明朝" w:cs="Courier New"/>
          <w:sz w:val="22"/>
          <w:szCs w:val="22"/>
        </w:rPr>
      </w:pPr>
    </w:p>
    <w:p w14:paraId="1D8BA85E" w14:textId="77777777" w:rsidR="00A911D7" w:rsidRPr="008A3EDE" w:rsidRDefault="00A911D7" w:rsidP="00A911D7">
      <w:pPr>
        <w:ind w:firstLineChars="300" w:firstLine="663"/>
        <w:rPr>
          <w:rFonts w:ascii="ＭＳ ゴシック" w:eastAsia="ＭＳ ゴシック" w:hAnsi="ＭＳ ゴシック" w:cs="Courier New"/>
          <w:bCs/>
          <w:sz w:val="22"/>
          <w:szCs w:val="22"/>
          <w:u w:val="single"/>
        </w:rPr>
      </w:pPr>
      <w:r w:rsidRPr="008A3EDE">
        <w:rPr>
          <w:rFonts w:ascii="ＭＳ ゴシック" w:eastAsia="ＭＳ ゴシック" w:hAnsi="ＭＳ ゴシック" w:cs="Courier New" w:hint="eastAsia"/>
          <w:bCs/>
          <w:sz w:val="22"/>
          <w:szCs w:val="22"/>
          <w:u w:val="single"/>
        </w:rPr>
        <w:t>２　東海地震警戒宣言の伝達</w:t>
      </w:r>
    </w:p>
    <w:p w14:paraId="11C6E0B0" w14:textId="77777777" w:rsidR="00A911D7" w:rsidRPr="008A3EDE" w:rsidRDefault="00A911D7" w:rsidP="00A911D7">
      <w:pPr>
        <w:rPr>
          <w:rFonts w:ascii="ＭＳ 明朝" w:hAnsi="ＭＳ 明朝" w:cs="Courier New"/>
          <w:bCs/>
          <w:sz w:val="22"/>
          <w:szCs w:val="22"/>
        </w:rPr>
      </w:pPr>
      <w:r w:rsidRPr="008A3EDE">
        <w:rPr>
          <w:rFonts w:ascii="ＭＳ 明朝" w:hAnsi="ＭＳ 明朝" w:cs="Courier New" w:hint="eastAsia"/>
          <w:noProof/>
          <w:sz w:val="22"/>
          <w:szCs w:val="22"/>
        </w:rPr>
        <mc:AlternateContent>
          <mc:Choice Requires="wps">
            <w:drawing>
              <wp:anchor distT="0" distB="0" distL="114300" distR="114300" simplePos="0" relativeHeight="254209024" behindDoc="0" locked="0" layoutInCell="1" allowOverlap="1" wp14:anchorId="1F921FC3" wp14:editId="378AC2DF">
                <wp:simplePos x="0" y="0"/>
                <wp:positionH relativeFrom="column">
                  <wp:posOffset>5303520</wp:posOffset>
                </wp:positionH>
                <wp:positionV relativeFrom="paragraph">
                  <wp:posOffset>766445</wp:posOffset>
                </wp:positionV>
                <wp:extent cx="1371600" cy="228600"/>
                <wp:effectExtent l="7620" t="13970" r="11430" b="5080"/>
                <wp:wrapNone/>
                <wp:docPr id="3794" name="AutoShape 274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5400000">
                          <a:off x="0" y="0"/>
                          <a:ext cx="1371600" cy="228600"/>
                        </a:xfrm>
                        <a:prstGeom prst="roundRect">
                          <a:avLst>
                            <a:gd name="adj" fmla="val 16667"/>
                          </a:avLst>
                        </a:prstGeom>
                        <a:solidFill>
                          <a:srgbClr val="FFFFFF"/>
                        </a:solidFill>
                        <a:ln w="9525">
                          <a:solidFill>
                            <a:srgbClr val="000000"/>
                          </a:solidFill>
                          <a:round/>
                          <a:headEnd/>
                          <a:tailEnd/>
                        </a:ln>
                      </wps:spPr>
                      <wps:txbx>
                        <w:txbxContent>
                          <w:p w14:paraId="4CD97B86" w14:textId="77777777" w:rsidR="006A5267" w:rsidRDefault="006A5267" w:rsidP="00A911D7">
                            <w:pPr>
                              <w:spacing w:line="240" w:lineRule="exact"/>
                              <w:rPr>
                                <w:rFonts w:ascii="ＭＳ ゴシック" w:eastAsia="ＭＳ ゴシック" w:hAnsi="ＭＳ ゴシック"/>
                                <w:sz w:val="20"/>
                                <w:szCs w:val="20"/>
                              </w:rPr>
                            </w:pPr>
                          </w:p>
                          <w:p w14:paraId="4E64AF0D" w14:textId="77777777" w:rsidR="006A5267" w:rsidRPr="002255AC" w:rsidRDefault="006A5267" w:rsidP="00A911D7">
                            <w:pPr>
                              <w:spacing w:line="240" w:lineRule="exact"/>
                              <w:rPr>
                                <w:rFonts w:ascii="ＭＳ ゴシック" w:eastAsia="ＭＳ ゴシック" w:hAnsi="ＭＳ ゴシック"/>
                                <w:sz w:val="20"/>
                                <w:szCs w:val="20"/>
                              </w:rPr>
                            </w:pPr>
                            <w:r>
                              <w:rPr>
                                <w:rFonts w:ascii="ＭＳ ゴシック" w:eastAsia="ＭＳ ゴシック" w:hAnsi="ＭＳ ゴシック" w:hint="eastAsia"/>
                                <w:sz w:val="20"/>
                                <w:szCs w:val="20"/>
                              </w:rPr>
                              <w:t>住民・その他</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roundrect w14:anchorId="1F921FC3" id="AutoShape 2741" o:spid="_x0000_s1608" style="position:absolute;left:0;text-align:left;margin-left:417.6pt;margin-top:60.35pt;width:108pt;height:18pt;rotation:90;z-index:2542090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">
                <v:textbox inset="5.85pt,.7pt,5.85pt,.7pt">
                  <w:txbxContent>
                    <w:p w14:paraId="4CD97B86" w14:textId="77777777" w:rsidR="006A5267" w:rsidRDefault="006A5267" w:rsidP="00A911D7">
                      <w:pPr>
                        <w:spacing w:line="240" w:lineRule="exact"/>
                        <w:rPr>
                          <w:rFonts w:ascii="ＭＳ ゴシック" w:eastAsia="ＭＳ ゴシック" w:hAnsi="ＭＳ ゴシック"/>
                          <w:sz w:val="20"/>
                          <w:szCs w:val="20"/>
                        </w:rPr>
                      </w:pPr>
                    </w:p>
                    <w:p w14:paraId="4E64AF0D" w14:textId="77777777" w:rsidR="006A5267" w:rsidRPr="002255AC" w:rsidRDefault="006A5267" w:rsidP="00A911D7">
                      <w:pPr>
                        <w:spacing w:line="240" w:lineRule="exact"/>
                        <w:rPr>
                          <w:rFonts w:ascii="ＭＳ ゴシック" w:eastAsia="ＭＳ ゴシック" w:hAnsi="ＭＳ ゴシック"/>
                          <w:sz w:val="20"/>
                          <w:szCs w:val="20"/>
                        </w:rPr>
                      </w:pPr>
                      <w:r>
                        <w:rPr>
                          <w:rFonts w:ascii="ＭＳ ゴシック" w:eastAsia="ＭＳ ゴシック" w:hAnsi="ＭＳ ゴシック" w:hint="eastAsia"/>
                          <w:sz w:val="20"/>
                          <w:szCs w:val="20"/>
                        </w:rPr>
                        <w:t>住民・その他</w:t>
                      </w:r>
                    </w:p>
                  </w:txbxContent>
                </v:textbox>
              </v:roundrect>
            </w:pict>
          </mc:Fallback>
        </mc:AlternateContent>
      </w:r>
      <w:r w:rsidRPr="008A3EDE">
        <w:rPr>
          <w:rFonts w:ascii="ＭＳ 明朝" w:hAnsi="ＭＳ 明朝" w:cs="Courier New" w:hint="eastAsia"/>
          <w:bCs/>
          <w:sz w:val="22"/>
          <w:szCs w:val="22"/>
        </w:rPr>
        <w:t xml:space="preserve">　　　　(1)　伝達系統</w:t>
      </w:r>
    </w:p>
    <w:p w14:paraId="15A67ECE" w14:textId="77777777" w:rsidR="00A911D7" w:rsidRPr="008A3EDE" w:rsidRDefault="00A911D7" w:rsidP="00A911D7">
      <w:pPr>
        <w:rPr>
          <w:rFonts w:ascii="ＭＳ 明朝" w:hAnsi="ＭＳ 明朝" w:cs="Courier New"/>
          <w:sz w:val="22"/>
          <w:szCs w:val="22"/>
        </w:rPr>
      </w:pPr>
      <w:r w:rsidRPr="008A3EDE">
        <w:rPr>
          <w:rFonts w:ascii="ＭＳ 明朝" w:hAnsi="ＭＳ 明朝" w:cs="Courier New" w:hint="eastAsia"/>
          <w:noProof/>
          <w:sz w:val="22"/>
          <w:szCs w:val="22"/>
        </w:rPr>
        <mc:AlternateContent>
          <mc:Choice Requires="wps">
            <w:drawing>
              <wp:anchor distT="0" distB="0" distL="114300" distR="114300" simplePos="0" relativeHeight="254210048" behindDoc="0" locked="0" layoutInCell="1" allowOverlap="1" wp14:anchorId="7F29BA63" wp14:editId="6162A406">
                <wp:simplePos x="0" y="0"/>
                <wp:positionH relativeFrom="column">
                  <wp:posOffset>4770120</wp:posOffset>
                </wp:positionH>
                <wp:positionV relativeFrom="paragraph">
                  <wp:posOffset>54610</wp:posOffset>
                </wp:positionV>
                <wp:extent cx="762000" cy="228600"/>
                <wp:effectExtent l="7620" t="6985" r="11430" b="12065"/>
                <wp:wrapNone/>
                <wp:docPr id="3793" name="AutoShape 274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62000" cy="228600"/>
                        </a:xfrm>
                        <a:prstGeom prst="roundRect">
                          <a:avLst>
                            <a:gd name="adj" fmla="val 16667"/>
                          </a:avLst>
                        </a:prstGeom>
                        <a:solidFill>
                          <a:srgbClr val="FFFFFF"/>
                        </a:solidFill>
                        <a:ln w="9525">
                          <a:solidFill>
                            <a:srgbClr val="000000"/>
                          </a:solidFill>
                          <a:round/>
                          <a:headEnd/>
                          <a:tailEnd/>
                        </a:ln>
                      </wps:spPr>
                      <wps:txbx>
                        <w:txbxContent>
                          <w:p w14:paraId="16B735B8" w14:textId="77777777" w:rsidR="006A5267" w:rsidRPr="002255AC" w:rsidRDefault="006A5267" w:rsidP="00A911D7">
                            <w:pPr>
                              <w:spacing w:line="240" w:lineRule="exact"/>
                              <w:rPr>
                                <w:rFonts w:ascii="ＭＳ ゴシック" w:eastAsia="ＭＳ ゴシック" w:hAnsi="ＭＳ ゴシック"/>
                                <w:sz w:val="20"/>
                                <w:szCs w:val="20"/>
                              </w:rPr>
                            </w:pPr>
                            <w:r>
                              <w:rPr>
                                <w:rFonts w:ascii="ＭＳ ゴシック" w:eastAsia="ＭＳ ゴシック" w:hAnsi="ＭＳ ゴシック" w:hint="eastAsia"/>
                                <w:sz w:val="20"/>
                                <w:szCs w:val="20"/>
                              </w:rPr>
                              <w:t>消防署等</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roundrect w14:anchorId="7F29BA63" id="AutoShape 2742" o:spid="_x0000_s1609" style="position:absolute;left:0;text-align:left;margin-left:375.6pt;margin-top:4.3pt;width:60pt;height:18pt;z-index:2542100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">
                <v:textbox inset="5.85pt,.7pt,5.85pt,.7pt">
                  <w:txbxContent>
                    <w:p w14:paraId="16B735B8" w14:textId="77777777" w:rsidR="006A5267" w:rsidRPr="002255AC" w:rsidRDefault="006A5267" w:rsidP="00A911D7">
                      <w:pPr>
                        <w:spacing w:line="240" w:lineRule="exact"/>
                        <w:rPr>
                          <w:rFonts w:ascii="ＭＳ ゴシック" w:eastAsia="ＭＳ ゴシック" w:hAnsi="ＭＳ ゴシック"/>
                          <w:sz w:val="20"/>
                          <w:szCs w:val="20"/>
                        </w:rPr>
                      </w:pPr>
                      <w:r>
                        <w:rPr>
                          <w:rFonts w:ascii="ＭＳ ゴシック" w:eastAsia="ＭＳ ゴシック" w:hAnsi="ＭＳ ゴシック" w:hint="eastAsia"/>
                          <w:sz w:val="20"/>
                          <w:szCs w:val="20"/>
                        </w:rPr>
                        <w:t>消防署等</w:t>
                      </w:r>
                    </w:p>
                  </w:txbxContent>
                </v:textbox>
              </v:roundrect>
            </w:pict>
          </mc:Fallback>
        </mc:AlternateContent>
      </w:r>
      <w:r w:rsidRPr="008A3EDE">
        <w:rPr>
          <w:rFonts w:ascii="ＭＳ 明朝" w:hAnsi="ＭＳ 明朝" w:cs="Courier New" w:hint="eastAsia"/>
          <w:noProof/>
          <w:sz w:val="22"/>
          <w:szCs w:val="22"/>
        </w:rPr>
        <mc:AlternateContent>
          <mc:Choice Requires="wps">
            <w:drawing>
              <wp:anchor distT="0" distB="0" distL="114300" distR="114300" simplePos="0" relativeHeight="254219264" behindDoc="0" locked="0" layoutInCell="1" allowOverlap="1" wp14:anchorId="7FBEA5BF" wp14:editId="203B712B">
                <wp:simplePos x="0" y="0"/>
                <wp:positionH relativeFrom="column">
                  <wp:posOffset>5532120</wp:posOffset>
                </wp:positionH>
                <wp:positionV relativeFrom="paragraph">
                  <wp:posOffset>168910</wp:posOffset>
                </wp:positionV>
                <wp:extent cx="342900" cy="0"/>
                <wp:effectExtent l="7620" t="54610" r="20955" b="59690"/>
                <wp:wrapNone/>
                <wp:docPr id="3792" name="Line 275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2900" cy="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line w14:anchorId="0C039BF1" id="Line 2751" o:spid="_x0000_s1026" style="position:absolute;left:0;text-align:left;z-index:25421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35.6pt,13.3pt" to="462.6pt,13.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">
                <v:stroke endarrow="block"/>
              </v:line>
            </w:pict>
          </mc:Fallback>
        </mc:AlternateContent>
      </w:r>
    </w:p>
    <w:p w14:paraId="2F5B6786" w14:textId="77777777" w:rsidR="00A911D7" w:rsidRPr="008A3EDE" w:rsidRDefault="00A911D7" w:rsidP="00A911D7">
      <w:pPr>
        <w:rPr>
          <w:rFonts w:ascii="ＭＳ 明朝" w:hAnsi="ＭＳ 明朝" w:cs="Courier New"/>
          <w:sz w:val="22"/>
          <w:szCs w:val="22"/>
        </w:rPr>
      </w:pPr>
      <w:r w:rsidRPr="008A3EDE">
        <w:rPr>
          <w:rFonts w:ascii="ＭＳ 明朝" w:hAnsi="ＭＳ 明朝" w:cs="Courier New" w:hint="eastAsia"/>
          <w:noProof/>
          <w:sz w:val="22"/>
          <w:szCs w:val="22"/>
        </w:rPr>
        <mc:AlternateContent>
          <mc:Choice Requires="wps">
            <w:drawing>
              <wp:anchor distT="0" distB="0" distL="114300" distR="114300" simplePos="0" relativeHeight="254218240" behindDoc="0" locked="0" layoutInCell="1" allowOverlap="1" wp14:anchorId="4EDB3CE9" wp14:editId="2371432F">
                <wp:simplePos x="0" y="0"/>
                <wp:positionH relativeFrom="column">
                  <wp:posOffset>5074920</wp:posOffset>
                </wp:positionH>
                <wp:positionV relativeFrom="paragraph">
                  <wp:posOffset>54610</wp:posOffset>
                </wp:positionV>
                <wp:extent cx="0" cy="228600"/>
                <wp:effectExtent l="55245" t="16510" r="59055" b="12065"/>
                <wp:wrapNone/>
                <wp:docPr id="3791" name="Line 275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0" cy="22860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line w14:anchorId="4E8E51BE" id="Line 2750" o:spid="_x0000_s1026" style="position:absolute;left:0;text-align:left;flip:y;z-index:25421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99.6pt,4.3pt" to="399.6pt,22.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">
                <v:stroke endarrow="block"/>
              </v:line>
            </w:pict>
          </mc:Fallback>
        </mc:AlternateContent>
      </w:r>
      <w:r w:rsidRPr="008A3EDE">
        <w:rPr>
          <w:rFonts w:ascii="ＭＳ 明朝" w:hAnsi="ＭＳ 明朝" w:cs="Courier New" w:hint="eastAsia"/>
          <w:noProof/>
          <w:sz w:val="22"/>
          <w:szCs w:val="22"/>
        </w:rPr>
        <mc:AlternateContent>
          <mc:Choice Requires="wps">
            <w:drawing>
              <wp:anchor distT="0" distB="0" distL="114300" distR="114300" simplePos="0" relativeHeight="254206976" behindDoc="0" locked="0" layoutInCell="1" allowOverlap="1" wp14:anchorId="1E8C395D" wp14:editId="4B2B1D44">
                <wp:simplePos x="0" y="0"/>
                <wp:positionH relativeFrom="column">
                  <wp:posOffset>3474720</wp:posOffset>
                </wp:positionH>
                <wp:positionV relativeFrom="paragraph">
                  <wp:posOffset>168910</wp:posOffset>
                </wp:positionV>
                <wp:extent cx="1143000" cy="228600"/>
                <wp:effectExtent l="7620" t="6985" r="11430" b="12065"/>
                <wp:wrapNone/>
                <wp:docPr id="3790" name="AutoShape 273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43000" cy="228600"/>
                        </a:xfrm>
                        <a:prstGeom prst="roundRect">
                          <a:avLst>
                            <a:gd name="adj" fmla="val 16667"/>
                          </a:avLst>
                        </a:prstGeom>
                        <a:solidFill>
                          <a:srgbClr val="FFFFFF"/>
                        </a:solidFill>
                        <a:ln w="9525">
                          <a:solidFill>
                            <a:srgbClr val="000000"/>
                          </a:solidFill>
                          <a:round/>
                          <a:headEnd/>
                          <a:tailEnd/>
                        </a:ln>
                      </wps:spPr>
                      <wps:txbx>
                        <w:txbxContent>
                          <w:p w14:paraId="15FE47A1" w14:textId="77777777" w:rsidR="006A5267" w:rsidRPr="002255AC" w:rsidRDefault="006A5267" w:rsidP="00A911D7">
                            <w:pPr>
                              <w:spacing w:line="240" w:lineRule="exact"/>
                              <w:rPr>
                                <w:rFonts w:ascii="ＭＳ ゴシック" w:eastAsia="ＭＳ ゴシック" w:hAnsi="ＭＳ ゴシック"/>
                                <w:sz w:val="20"/>
                                <w:szCs w:val="20"/>
                              </w:rPr>
                            </w:pPr>
                            <w:r>
                              <w:rPr>
                                <w:rFonts w:ascii="ＭＳ ゴシック" w:eastAsia="ＭＳ ゴシック" w:hAnsi="ＭＳ ゴシック" w:hint="eastAsia"/>
                                <w:sz w:val="20"/>
                                <w:szCs w:val="20"/>
                              </w:rPr>
                              <w:t>市町村・消防機関</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roundrect w14:anchorId="1E8C395D" id="AutoShape 2739" o:spid="_x0000_s1610" style="position:absolute;left:0;text-align:left;margin-left:273.6pt;margin-top:13.3pt;width:90pt;height:18pt;z-index:2542069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">
                <v:textbox inset="5.85pt,.7pt,5.85pt,.7pt">
                  <w:txbxContent>
                    <w:p w14:paraId="15FE47A1" w14:textId="77777777" w:rsidR="006A5267" w:rsidRPr="002255AC" w:rsidRDefault="006A5267" w:rsidP="00A911D7">
                      <w:pPr>
                        <w:spacing w:line="240" w:lineRule="exact"/>
                        <w:rPr>
                          <w:rFonts w:ascii="ＭＳ ゴシック" w:eastAsia="ＭＳ ゴシック" w:hAnsi="ＭＳ ゴシック"/>
                          <w:sz w:val="20"/>
                          <w:szCs w:val="20"/>
                        </w:rPr>
                      </w:pPr>
                      <w:r>
                        <w:rPr>
                          <w:rFonts w:ascii="ＭＳ ゴシック" w:eastAsia="ＭＳ ゴシック" w:hAnsi="ＭＳ ゴシック" w:hint="eastAsia"/>
                          <w:sz w:val="20"/>
                          <w:szCs w:val="20"/>
                        </w:rPr>
                        <w:t>市町村・消防機関</w:t>
                      </w:r>
                    </w:p>
                  </w:txbxContent>
                </v:textbox>
              </v:roundrect>
            </w:pict>
          </mc:Fallback>
        </mc:AlternateContent>
      </w:r>
      <w:r w:rsidRPr="008A3EDE">
        <w:rPr>
          <w:rFonts w:ascii="ＭＳ 明朝" w:hAnsi="ＭＳ 明朝" w:cs="Courier New" w:hint="eastAsia"/>
          <w:noProof/>
          <w:sz w:val="22"/>
          <w:szCs w:val="22"/>
        </w:rPr>
        <mc:AlternateContent>
          <mc:Choice Requires="wps">
            <w:drawing>
              <wp:anchor distT="0" distB="0" distL="114300" distR="114300" simplePos="0" relativeHeight="254205952" behindDoc="0" locked="0" layoutInCell="1" allowOverlap="1" wp14:anchorId="749C0C0C" wp14:editId="500EA693">
                <wp:simplePos x="0" y="0"/>
                <wp:positionH relativeFrom="column">
                  <wp:posOffset>1874520</wp:posOffset>
                </wp:positionH>
                <wp:positionV relativeFrom="paragraph">
                  <wp:posOffset>168910</wp:posOffset>
                </wp:positionV>
                <wp:extent cx="1257300" cy="228600"/>
                <wp:effectExtent l="7620" t="6985" r="11430" b="12065"/>
                <wp:wrapNone/>
                <wp:docPr id="3789" name="AutoShape 273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57300" cy="228600"/>
                        </a:xfrm>
                        <a:prstGeom prst="roundRect">
                          <a:avLst>
                            <a:gd name="adj" fmla="val 16667"/>
                          </a:avLst>
                        </a:prstGeom>
                        <a:solidFill>
                          <a:srgbClr val="FFFFFF"/>
                        </a:solidFill>
                        <a:ln w="9525">
                          <a:solidFill>
                            <a:srgbClr val="000000"/>
                          </a:solidFill>
                          <a:round/>
                          <a:headEnd/>
                          <a:tailEnd/>
                        </a:ln>
                      </wps:spPr>
                      <wps:txbx>
                        <w:txbxContent>
                          <w:p w14:paraId="66B31E60" w14:textId="77777777" w:rsidR="006A5267" w:rsidRPr="002255AC" w:rsidRDefault="006A5267" w:rsidP="00A911D7">
                            <w:pPr>
                              <w:spacing w:line="240" w:lineRule="exact"/>
                              <w:rPr>
                                <w:rFonts w:ascii="ＭＳ ゴシック" w:eastAsia="ＭＳ ゴシック" w:hAnsi="ＭＳ ゴシック"/>
                                <w:sz w:val="20"/>
                                <w:szCs w:val="20"/>
                              </w:rPr>
                            </w:pPr>
                            <w:r w:rsidRPr="002255AC">
                              <w:rPr>
                                <w:rFonts w:ascii="ＭＳ ゴシック" w:eastAsia="ＭＳ ゴシック" w:hAnsi="ＭＳ ゴシック" w:hint="eastAsia"/>
                                <w:sz w:val="20"/>
                                <w:szCs w:val="20"/>
                              </w:rPr>
                              <w:t>大阪</w:t>
                            </w:r>
                            <w:r>
                              <w:rPr>
                                <w:rFonts w:ascii="ＭＳ ゴシック" w:eastAsia="ＭＳ ゴシック" w:hAnsi="ＭＳ ゴシック" w:hint="eastAsia"/>
                                <w:sz w:val="20"/>
                                <w:szCs w:val="20"/>
                              </w:rPr>
                              <w:t>府危機管理室</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roundrect w14:anchorId="749C0C0C" id="AutoShape 2738" o:spid="_x0000_s1611" style="position:absolute;left:0;text-align:left;margin-left:147.6pt;margin-top:13.3pt;width:99pt;height:18pt;z-index:2542059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">
                <v:textbox inset="5.85pt,.7pt,5.85pt,.7pt">
                  <w:txbxContent>
                    <w:p w14:paraId="66B31E60" w14:textId="77777777" w:rsidR="006A5267" w:rsidRPr="002255AC" w:rsidRDefault="006A5267" w:rsidP="00A911D7">
                      <w:pPr>
                        <w:spacing w:line="240" w:lineRule="exact"/>
                        <w:rPr>
                          <w:rFonts w:ascii="ＭＳ ゴシック" w:eastAsia="ＭＳ ゴシック" w:hAnsi="ＭＳ ゴシック"/>
                          <w:sz w:val="20"/>
                          <w:szCs w:val="20"/>
                        </w:rPr>
                      </w:pPr>
                      <w:r w:rsidRPr="002255AC">
                        <w:rPr>
                          <w:rFonts w:ascii="ＭＳ ゴシック" w:eastAsia="ＭＳ ゴシック" w:hAnsi="ＭＳ ゴシック" w:hint="eastAsia"/>
                          <w:sz w:val="20"/>
                          <w:szCs w:val="20"/>
                        </w:rPr>
                        <w:t>大阪</w:t>
                      </w:r>
                      <w:r>
                        <w:rPr>
                          <w:rFonts w:ascii="ＭＳ ゴシック" w:eastAsia="ＭＳ ゴシック" w:hAnsi="ＭＳ ゴシック" w:hint="eastAsia"/>
                          <w:sz w:val="20"/>
                          <w:szCs w:val="20"/>
                        </w:rPr>
                        <w:t>府危機管理室</w:t>
                      </w:r>
                    </w:p>
                  </w:txbxContent>
                </v:textbox>
              </v:roundrect>
            </w:pict>
          </mc:Fallback>
        </mc:AlternateContent>
      </w:r>
      <w:r w:rsidRPr="008A3EDE">
        <w:rPr>
          <w:rFonts w:ascii="ＭＳ 明朝" w:hAnsi="ＭＳ 明朝" w:cs="Courier New" w:hint="eastAsia"/>
          <w:noProof/>
          <w:sz w:val="22"/>
          <w:szCs w:val="22"/>
        </w:rPr>
        <mc:AlternateContent>
          <mc:Choice Requires="wps">
            <w:drawing>
              <wp:anchor distT="0" distB="0" distL="114300" distR="114300" simplePos="0" relativeHeight="254204928" behindDoc="0" locked="0" layoutInCell="1" allowOverlap="1" wp14:anchorId="57FE1BB6" wp14:editId="5D192C51">
                <wp:simplePos x="0" y="0"/>
                <wp:positionH relativeFrom="column">
                  <wp:posOffset>388620</wp:posOffset>
                </wp:positionH>
                <wp:positionV relativeFrom="paragraph">
                  <wp:posOffset>168910</wp:posOffset>
                </wp:positionV>
                <wp:extent cx="1143000" cy="228600"/>
                <wp:effectExtent l="7620" t="6985" r="11430" b="12065"/>
                <wp:wrapNone/>
                <wp:docPr id="3788" name="AutoShape 273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43000" cy="228600"/>
                        </a:xfrm>
                        <a:prstGeom prst="roundRect">
                          <a:avLst>
                            <a:gd name="adj" fmla="val 16667"/>
                          </a:avLst>
                        </a:prstGeom>
                        <a:solidFill>
                          <a:srgbClr val="FFFFFF"/>
                        </a:solidFill>
                        <a:ln w="9525">
                          <a:solidFill>
                            <a:srgbClr val="000000"/>
                          </a:solidFill>
                          <a:round/>
                          <a:headEnd/>
                          <a:tailEnd/>
                        </a:ln>
                      </wps:spPr>
                      <wps:txbx>
                        <w:txbxContent>
                          <w:p w14:paraId="436119C3" w14:textId="77777777" w:rsidR="006A5267" w:rsidRPr="002255AC" w:rsidRDefault="006A5267" w:rsidP="00A911D7">
                            <w:pPr>
                              <w:spacing w:line="240" w:lineRule="exact"/>
                              <w:jc w:val="center"/>
                              <w:rPr>
                                <w:rFonts w:ascii="ＭＳ ゴシック" w:eastAsia="ＭＳ ゴシック" w:hAnsi="ＭＳ ゴシック"/>
                                <w:sz w:val="20"/>
                                <w:szCs w:val="20"/>
                              </w:rPr>
                            </w:pPr>
                            <w:r>
                              <w:rPr>
                                <w:rFonts w:ascii="ＭＳ ゴシック" w:eastAsia="ＭＳ ゴシック" w:hAnsi="ＭＳ ゴシック" w:hint="eastAsia"/>
                                <w:sz w:val="20"/>
                                <w:szCs w:val="20"/>
                              </w:rPr>
                              <w:t>消　防　庁</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roundrect w14:anchorId="57FE1BB6" id="AutoShape 2737" o:spid="_x0000_s1612" style="position:absolute;left:0;text-align:left;margin-left:30.6pt;margin-top:13.3pt;width:90pt;height:18pt;z-index:2542049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">
                <v:textbox inset="5.85pt,.7pt,5.85pt,.7pt">
                  <w:txbxContent>
                    <w:p w14:paraId="436119C3" w14:textId="77777777" w:rsidR="006A5267" w:rsidRPr="002255AC" w:rsidRDefault="006A5267" w:rsidP="00A911D7">
                      <w:pPr>
                        <w:spacing w:line="240" w:lineRule="exact"/>
                        <w:jc w:val="center"/>
                        <w:rPr>
                          <w:rFonts w:ascii="ＭＳ ゴシック" w:eastAsia="ＭＳ ゴシック" w:hAnsi="ＭＳ ゴシック"/>
                          <w:sz w:val="20"/>
                          <w:szCs w:val="20"/>
                        </w:rPr>
                      </w:pPr>
                      <w:r>
                        <w:rPr>
                          <w:rFonts w:ascii="ＭＳ ゴシック" w:eastAsia="ＭＳ ゴシック" w:hAnsi="ＭＳ ゴシック" w:hint="eastAsia"/>
                          <w:sz w:val="20"/>
                          <w:szCs w:val="20"/>
                        </w:rPr>
                        <w:t>消　防　庁</w:t>
                      </w:r>
                    </w:p>
                  </w:txbxContent>
                </v:textbox>
              </v:roundrect>
            </w:pict>
          </mc:Fallback>
        </mc:AlternateContent>
      </w:r>
    </w:p>
    <w:p w14:paraId="609F4C7B" w14:textId="77777777" w:rsidR="00A911D7" w:rsidRPr="008A3EDE" w:rsidRDefault="00A911D7" w:rsidP="00A911D7">
      <w:pPr>
        <w:rPr>
          <w:rFonts w:ascii="ＭＳ 明朝" w:hAnsi="ＭＳ 明朝" w:cs="Courier New"/>
          <w:sz w:val="22"/>
          <w:szCs w:val="22"/>
        </w:rPr>
      </w:pPr>
      <w:r w:rsidRPr="008A3EDE">
        <w:rPr>
          <w:rFonts w:ascii="ＭＳ 明朝" w:hAnsi="ＭＳ 明朝" w:cs="Courier New" w:hint="eastAsia"/>
          <w:noProof/>
          <w:sz w:val="22"/>
          <w:szCs w:val="22"/>
        </w:rPr>
        <mc:AlternateContent>
          <mc:Choice Requires="wps">
            <w:drawing>
              <wp:anchor distT="0" distB="0" distL="114300" distR="114300" simplePos="0" relativeHeight="254220288" behindDoc="0" locked="0" layoutInCell="1" allowOverlap="1" wp14:anchorId="467174E7" wp14:editId="29C6143E">
                <wp:simplePos x="0" y="0"/>
                <wp:positionH relativeFrom="column">
                  <wp:posOffset>960120</wp:posOffset>
                </wp:positionH>
                <wp:positionV relativeFrom="paragraph">
                  <wp:posOffset>168910</wp:posOffset>
                </wp:positionV>
                <wp:extent cx="1143000" cy="228600"/>
                <wp:effectExtent l="0" t="0" r="1905" b="2540"/>
                <wp:wrapNone/>
                <wp:docPr id="3787" name="Text Box 275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43000" cy="2286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4548C49" w14:textId="77777777" w:rsidR="006A5267" w:rsidRPr="00717430" w:rsidRDefault="006A5267" w:rsidP="00A911D7">
                            <w:pPr>
                              <w:rPr>
                                <w:rFonts w:ascii="ＭＳ ゴシック" w:eastAsia="ＭＳ ゴシック" w:hAnsi="ＭＳ ゴシック"/>
                                <w:sz w:val="20"/>
                                <w:szCs w:val="20"/>
                              </w:rPr>
                            </w:pPr>
                            <w:r w:rsidRPr="00717430">
                              <w:rPr>
                                <w:rFonts w:ascii="ＭＳ ゴシック" w:eastAsia="ＭＳ ゴシック" w:hAnsi="ＭＳ ゴシック" w:hint="eastAsia"/>
                                <w:sz w:val="20"/>
                                <w:szCs w:val="20"/>
                              </w:rPr>
                              <w:t>【消防庁ＦＡＸ】</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shape w14:anchorId="467174E7" id="Text Box 2752" o:spid="_x0000_s1613" type="#_x0000_t202" style="position:absolute;left:0;text-align:left;margin-left:75.6pt;margin-top:13.3pt;width:90pt;height:18pt;z-index:25422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" filled="f" stroked="f">
                <v:textbox inset="5.85pt,.7pt,5.85pt,.7pt">
                  <w:txbxContent>
                    <w:p w14:paraId="74548C49" w14:textId="77777777" w:rsidR="006A5267" w:rsidRPr="00717430" w:rsidRDefault="006A5267" w:rsidP="00A911D7">
                      <w:pPr>
                        <w:rPr>
                          <w:rFonts w:ascii="ＭＳ ゴシック" w:eastAsia="ＭＳ ゴシック" w:hAnsi="ＭＳ ゴシック"/>
                          <w:sz w:val="20"/>
                          <w:szCs w:val="20"/>
                        </w:rPr>
                      </w:pPr>
                      <w:r w:rsidRPr="00717430">
                        <w:rPr>
                          <w:rFonts w:ascii="ＭＳ ゴシック" w:eastAsia="ＭＳ ゴシック" w:hAnsi="ＭＳ ゴシック" w:hint="eastAsia"/>
                          <w:sz w:val="20"/>
                          <w:szCs w:val="20"/>
                        </w:rPr>
                        <w:t>【消防庁ＦＡＸ】</w:t>
                      </w:r>
                    </w:p>
                  </w:txbxContent>
                </v:textbox>
              </v:shape>
            </w:pict>
          </mc:Fallback>
        </mc:AlternateContent>
      </w:r>
      <w:r w:rsidRPr="008A3EDE">
        <w:rPr>
          <w:rFonts w:ascii="ＭＳ 明朝" w:hAnsi="ＭＳ 明朝" w:cs="Courier New" w:hint="eastAsia"/>
          <w:noProof/>
          <w:sz w:val="22"/>
          <w:szCs w:val="22"/>
        </w:rPr>
        <mc:AlternateContent>
          <mc:Choice Requires="wps">
            <w:drawing>
              <wp:anchor distT="0" distB="0" distL="114300" distR="114300" simplePos="0" relativeHeight="254217216" behindDoc="0" locked="0" layoutInCell="1" allowOverlap="1" wp14:anchorId="26767FE1" wp14:editId="2F0348D2">
                <wp:simplePos x="0" y="0"/>
                <wp:positionH relativeFrom="column">
                  <wp:posOffset>4617720</wp:posOffset>
                </wp:positionH>
                <wp:positionV relativeFrom="paragraph">
                  <wp:posOffset>54610</wp:posOffset>
                </wp:positionV>
                <wp:extent cx="457200" cy="0"/>
                <wp:effectExtent l="7620" t="6985" r="11430" b="12065"/>
                <wp:wrapNone/>
                <wp:docPr id="3786" name="Line 274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572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line w14:anchorId="37139BCF" id="Line 2749" o:spid="_x0000_s1026" style="position:absolute;left:0;text-align:left;z-index:25421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63.6pt,4.3pt" to="399.6pt,4.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"/>
            </w:pict>
          </mc:Fallback>
        </mc:AlternateContent>
      </w:r>
      <w:r w:rsidRPr="008A3EDE">
        <w:rPr>
          <w:rFonts w:ascii="ＭＳ 明朝" w:hAnsi="ＭＳ 明朝" w:cs="Courier New" w:hint="eastAsia"/>
          <w:noProof/>
          <w:sz w:val="22"/>
          <w:szCs w:val="22"/>
        </w:rPr>
        <mc:AlternateContent>
          <mc:Choice Requires="wps">
            <w:drawing>
              <wp:anchor distT="0" distB="0" distL="114300" distR="114300" simplePos="0" relativeHeight="254216192" behindDoc="0" locked="0" layoutInCell="1" allowOverlap="1" wp14:anchorId="5446849A" wp14:editId="2C0D5FE8">
                <wp:simplePos x="0" y="0"/>
                <wp:positionH relativeFrom="column">
                  <wp:posOffset>3246120</wp:posOffset>
                </wp:positionH>
                <wp:positionV relativeFrom="paragraph">
                  <wp:posOffset>54610</wp:posOffset>
                </wp:positionV>
                <wp:extent cx="0" cy="571500"/>
                <wp:effectExtent l="7620" t="6985" r="11430" b="12065"/>
                <wp:wrapNone/>
                <wp:docPr id="3785" name="Line 274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0" cy="57150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line w14:anchorId="1A3DABB8" id="Line 2748" o:spid="_x0000_s1026" style="position:absolute;left:0;text-align:left;flip:y;z-index:25421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55.6pt,4.3pt" to="255.6pt,49.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"/>
            </w:pict>
          </mc:Fallback>
        </mc:AlternateContent>
      </w:r>
      <w:r w:rsidRPr="008A3EDE">
        <w:rPr>
          <w:rFonts w:ascii="ＭＳ 明朝" w:hAnsi="ＭＳ 明朝" w:cs="Courier New" w:hint="eastAsia"/>
          <w:noProof/>
          <w:sz w:val="22"/>
          <w:szCs w:val="22"/>
        </w:rPr>
        <mc:AlternateContent>
          <mc:Choice Requires="wps">
            <w:drawing>
              <wp:anchor distT="0" distB="0" distL="114300" distR="114300" simplePos="0" relativeHeight="254213120" behindDoc="0" locked="0" layoutInCell="1" allowOverlap="1" wp14:anchorId="02F590AB" wp14:editId="182502ED">
                <wp:simplePos x="0" y="0"/>
                <wp:positionH relativeFrom="column">
                  <wp:posOffset>4617720</wp:posOffset>
                </wp:positionH>
                <wp:positionV relativeFrom="paragraph">
                  <wp:posOffset>168910</wp:posOffset>
                </wp:positionV>
                <wp:extent cx="1257300" cy="0"/>
                <wp:effectExtent l="7620" t="54610" r="20955" b="59690"/>
                <wp:wrapNone/>
                <wp:docPr id="3784" name="Line 274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257300" cy="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line w14:anchorId="5B4EE829" id="Line 2745" o:spid="_x0000_s1026" style="position:absolute;left:0;text-align:left;z-index:2542131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63.6pt,13.3pt" to="462.6pt,13.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">
                <v:stroke endarrow="block"/>
              </v:line>
            </w:pict>
          </mc:Fallback>
        </mc:AlternateContent>
      </w:r>
      <w:r w:rsidRPr="008A3EDE">
        <w:rPr>
          <w:rFonts w:ascii="ＭＳ 明朝" w:hAnsi="ＭＳ 明朝" w:cs="Courier New" w:hint="eastAsia"/>
          <w:noProof/>
          <w:sz w:val="22"/>
          <w:szCs w:val="22"/>
        </w:rPr>
        <mc:AlternateContent>
          <mc:Choice Requires="wps">
            <w:drawing>
              <wp:anchor distT="0" distB="0" distL="114300" distR="114300" simplePos="0" relativeHeight="254212096" behindDoc="0" locked="0" layoutInCell="1" allowOverlap="1" wp14:anchorId="392377DE" wp14:editId="5EEE080D">
                <wp:simplePos x="0" y="0"/>
                <wp:positionH relativeFrom="column">
                  <wp:posOffset>3131820</wp:posOffset>
                </wp:positionH>
                <wp:positionV relativeFrom="paragraph">
                  <wp:posOffset>54610</wp:posOffset>
                </wp:positionV>
                <wp:extent cx="342900" cy="0"/>
                <wp:effectExtent l="7620" t="54610" r="20955" b="59690"/>
                <wp:wrapNone/>
                <wp:docPr id="3783" name="Line 274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2900" cy="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line w14:anchorId="3F53B666" id="Line 2744" o:spid="_x0000_s1026" style="position:absolute;left:0;text-align:left;z-index:2542120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46.6pt,4.3pt" to="273.6pt,4.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">
                <v:stroke endarrow="block"/>
              </v:line>
            </w:pict>
          </mc:Fallback>
        </mc:AlternateContent>
      </w:r>
      <w:r w:rsidRPr="008A3EDE">
        <w:rPr>
          <w:rFonts w:ascii="ＭＳ 明朝" w:hAnsi="ＭＳ 明朝" w:cs="Courier New" w:hint="eastAsia"/>
          <w:noProof/>
          <w:sz w:val="22"/>
          <w:szCs w:val="22"/>
        </w:rPr>
        <mc:AlternateContent>
          <mc:Choice Requires="wps">
            <w:drawing>
              <wp:anchor distT="0" distB="0" distL="114300" distR="114300" simplePos="0" relativeHeight="254211072" behindDoc="0" locked="0" layoutInCell="1" allowOverlap="1" wp14:anchorId="24420D8A" wp14:editId="6CB7BF46">
                <wp:simplePos x="0" y="0"/>
                <wp:positionH relativeFrom="column">
                  <wp:posOffset>1531620</wp:posOffset>
                </wp:positionH>
                <wp:positionV relativeFrom="paragraph">
                  <wp:posOffset>54610</wp:posOffset>
                </wp:positionV>
                <wp:extent cx="342900" cy="0"/>
                <wp:effectExtent l="7620" t="54610" r="20955" b="59690"/>
                <wp:wrapNone/>
                <wp:docPr id="3782" name="Line 274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2900" cy="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line w14:anchorId="464CD3B0" id="Line 2743" o:spid="_x0000_s1026" style="position:absolute;left:0;text-align:left;z-index:2542110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20.6pt,4.3pt" to="147.6pt,4.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">
                <v:stroke endarrow="block"/>
              </v:line>
            </w:pict>
          </mc:Fallback>
        </mc:AlternateContent>
      </w:r>
    </w:p>
    <w:p w14:paraId="5A45EB7D" w14:textId="77777777" w:rsidR="00A911D7" w:rsidRPr="008A3EDE" w:rsidRDefault="00A911D7" w:rsidP="00A911D7">
      <w:pPr>
        <w:rPr>
          <w:rFonts w:ascii="ＭＳ 明朝" w:hAnsi="ＭＳ 明朝" w:cs="Courier New"/>
          <w:sz w:val="22"/>
          <w:szCs w:val="22"/>
        </w:rPr>
      </w:pPr>
    </w:p>
    <w:p w14:paraId="47680E53" w14:textId="77777777" w:rsidR="00A911D7" w:rsidRPr="008A3EDE" w:rsidRDefault="00A911D7" w:rsidP="00A911D7">
      <w:pPr>
        <w:rPr>
          <w:rFonts w:ascii="ＭＳ 明朝" w:hAnsi="ＭＳ 明朝" w:cs="Courier New"/>
          <w:sz w:val="22"/>
          <w:szCs w:val="22"/>
        </w:rPr>
      </w:pPr>
      <w:r w:rsidRPr="008A3EDE">
        <w:rPr>
          <w:rFonts w:ascii="ＭＳ 明朝" w:hAnsi="ＭＳ 明朝" w:cs="Courier New" w:hint="eastAsia"/>
          <w:noProof/>
          <w:sz w:val="22"/>
          <w:szCs w:val="22"/>
        </w:rPr>
        <mc:AlternateContent>
          <mc:Choice Requires="wps">
            <w:drawing>
              <wp:anchor distT="0" distB="0" distL="114300" distR="114300" simplePos="0" relativeHeight="254215168" behindDoc="0" locked="0" layoutInCell="1" allowOverlap="1" wp14:anchorId="59985EE9" wp14:editId="6031D77D">
                <wp:simplePos x="0" y="0"/>
                <wp:positionH relativeFrom="column">
                  <wp:posOffset>3246120</wp:posOffset>
                </wp:positionH>
                <wp:positionV relativeFrom="paragraph">
                  <wp:posOffset>168910</wp:posOffset>
                </wp:positionV>
                <wp:extent cx="228600" cy="0"/>
                <wp:effectExtent l="7620" t="54610" r="20955" b="59690"/>
                <wp:wrapNone/>
                <wp:docPr id="3781" name="Line 274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28600" cy="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line w14:anchorId="45B43156" id="Line 2747" o:spid="_x0000_s1026" style="position:absolute;left:0;text-align:left;z-index:254215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55.6pt,13.3pt" to="273.6pt,13.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">
                <v:stroke endarrow="block"/>
              </v:line>
            </w:pict>
          </mc:Fallback>
        </mc:AlternateContent>
      </w:r>
      <w:r w:rsidRPr="008A3EDE">
        <w:rPr>
          <w:rFonts w:ascii="ＭＳ 明朝" w:hAnsi="ＭＳ 明朝" w:cs="Courier New" w:hint="eastAsia"/>
          <w:noProof/>
          <w:sz w:val="22"/>
          <w:szCs w:val="22"/>
        </w:rPr>
        <mc:AlternateContent>
          <mc:Choice Requires="wps">
            <w:drawing>
              <wp:anchor distT="0" distB="0" distL="114300" distR="114300" simplePos="0" relativeHeight="254214144" behindDoc="0" locked="0" layoutInCell="1" allowOverlap="1" wp14:anchorId="0D56C92B" wp14:editId="7324C860">
                <wp:simplePos x="0" y="0"/>
                <wp:positionH relativeFrom="column">
                  <wp:posOffset>4960620</wp:posOffset>
                </wp:positionH>
                <wp:positionV relativeFrom="paragraph">
                  <wp:posOffset>168910</wp:posOffset>
                </wp:positionV>
                <wp:extent cx="914400" cy="0"/>
                <wp:effectExtent l="7620" t="54610" r="20955" b="59690"/>
                <wp:wrapNone/>
                <wp:docPr id="3780" name="Line 274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914400" cy="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line w14:anchorId="18D9A285" id="Line 2746" o:spid="_x0000_s1026" style="position:absolute;left:0;text-align:left;z-index:2542141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90.6pt,13.3pt" to="462.6pt,13.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">
                <v:stroke endarrow="block"/>
              </v:line>
            </w:pict>
          </mc:Fallback>
        </mc:AlternateContent>
      </w:r>
      <w:r w:rsidRPr="008A3EDE">
        <w:rPr>
          <w:rFonts w:ascii="ＭＳ 明朝" w:hAnsi="ＭＳ 明朝" w:cs="Courier New" w:hint="eastAsia"/>
          <w:noProof/>
          <w:sz w:val="22"/>
          <w:szCs w:val="22"/>
        </w:rPr>
        <mc:AlternateContent>
          <mc:Choice Requires="wps">
            <w:drawing>
              <wp:anchor distT="0" distB="0" distL="114300" distR="114300" simplePos="0" relativeHeight="254208000" behindDoc="0" locked="0" layoutInCell="1" allowOverlap="1" wp14:anchorId="49C4217F" wp14:editId="6527EF47">
                <wp:simplePos x="0" y="0"/>
                <wp:positionH relativeFrom="column">
                  <wp:posOffset>3474720</wp:posOffset>
                </wp:positionH>
                <wp:positionV relativeFrom="paragraph">
                  <wp:posOffset>54610</wp:posOffset>
                </wp:positionV>
                <wp:extent cx="1485900" cy="228600"/>
                <wp:effectExtent l="7620" t="6985" r="11430" b="12065"/>
                <wp:wrapNone/>
                <wp:docPr id="228" name="AutoShape 274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85900" cy="228600"/>
                        </a:xfrm>
                        <a:prstGeom prst="roundRect">
                          <a:avLst>
                            <a:gd name="adj" fmla="val 16667"/>
                          </a:avLst>
                        </a:prstGeom>
                        <a:solidFill>
                          <a:srgbClr val="FFFFFF"/>
                        </a:solidFill>
                        <a:ln w="9525">
                          <a:solidFill>
                            <a:srgbClr val="000000"/>
                          </a:solidFill>
                          <a:round/>
                          <a:headEnd/>
                          <a:tailEnd/>
                        </a:ln>
                      </wps:spPr>
                      <wps:txbx>
                        <w:txbxContent>
                          <w:p w14:paraId="355E30C9" w14:textId="77777777" w:rsidR="006A5267" w:rsidRPr="002255AC" w:rsidRDefault="006A5267" w:rsidP="00A911D7">
                            <w:pPr>
                              <w:spacing w:line="240" w:lineRule="exact"/>
                              <w:rPr>
                                <w:rFonts w:ascii="ＭＳ ゴシック" w:eastAsia="ＭＳ ゴシック" w:hAnsi="ＭＳ ゴシック"/>
                                <w:sz w:val="20"/>
                                <w:szCs w:val="20"/>
                              </w:rPr>
                            </w:pPr>
                            <w:r>
                              <w:rPr>
                                <w:rFonts w:ascii="ＭＳ ゴシック" w:eastAsia="ＭＳ ゴシック" w:hAnsi="ＭＳ ゴシック" w:hint="eastAsia"/>
                                <w:sz w:val="20"/>
                                <w:szCs w:val="20"/>
                              </w:rPr>
                              <w:t>府庁各課・出先機関等</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roundrect w14:anchorId="49C4217F" id="AutoShape 2740" o:spid="_x0000_s1614" style="position:absolute;left:0;text-align:left;margin-left:273.6pt;margin-top:4.3pt;width:117pt;height:18pt;z-index:2542080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">
                <v:textbox inset="5.85pt,.7pt,5.85pt,.7pt">
                  <w:txbxContent>
                    <w:p w14:paraId="355E30C9" w14:textId="77777777" w:rsidR="006A5267" w:rsidRPr="002255AC" w:rsidRDefault="006A5267" w:rsidP="00A911D7">
                      <w:pPr>
                        <w:spacing w:line="240" w:lineRule="exact"/>
                        <w:rPr>
                          <w:rFonts w:ascii="ＭＳ ゴシック" w:eastAsia="ＭＳ ゴシック" w:hAnsi="ＭＳ ゴシック"/>
                          <w:sz w:val="20"/>
                          <w:szCs w:val="20"/>
                        </w:rPr>
                      </w:pPr>
                      <w:r>
                        <w:rPr>
                          <w:rFonts w:ascii="ＭＳ ゴシック" w:eastAsia="ＭＳ ゴシック" w:hAnsi="ＭＳ ゴシック" w:hint="eastAsia"/>
                          <w:sz w:val="20"/>
                          <w:szCs w:val="20"/>
                        </w:rPr>
                        <w:t>府庁各課・出先機関等</w:t>
                      </w:r>
                    </w:p>
                  </w:txbxContent>
                </v:textbox>
              </v:roundrect>
            </w:pict>
          </mc:Fallback>
        </mc:AlternateContent>
      </w:r>
    </w:p>
    <w:p w14:paraId="7DFA5FEA" w14:textId="77777777" w:rsidR="00A911D7" w:rsidRPr="008A3EDE" w:rsidRDefault="00A911D7" w:rsidP="00A911D7">
      <w:pPr>
        <w:ind w:firstLineChars="400" w:firstLine="884"/>
        <w:rPr>
          <w:rFonts w:ascii="ＭＳ 明朝" w:hAnsi="ＭＳ 明朝" w:cs="Courier New"/>
          <w:sz w:val="22"/>
          <w:szCs w:val="22"/>
        </w:rPr>
      </w:pPr>
      <w:r w:rsidRPr="008A3EDE">
        <w:rPr>
          <w:rFonts w:ascii="ＭＳ 明朝" w:hAnsi="ＭＳ 明朝" w:cs="Courier New" w:hint="eastAsia"/>
          <w:sz w:val="22"/>
          <w:szCs w:val="22"/>
        </w:rPr>
        <w:t>(2)　伝達内容</w:t>
      </w:r>
    </w:p>
    <w:p w14:paraId="093E8514" w14:textId="77777777" w:rsidR="00A911D7" w:rsidRPr="008A3EDE" w:rsidRDefault="00A911D7" w:rsidP="00A911D7">
      <w:pPr>
        <w:ind w:firstLineChars="500" w:firstLine="1105"/>
        <w:rPr>
          <w:rFonts w:ascii="ＭＳ 明朝" w:hAnsi="ＭＳ 明朝" w:cs="Courier New"/>
          <w:sz w:val="22"/>
          <w:szCs w:val="22"/>
        </w:rPr>
      </w:pPr>
      <w:r w:rsidRPr="008A3EDE">
        <w:rPr>
          <w:rFonts w:ascii="ＭＳ 明朝" w:hAnsi="ＭＳ 明朝" w:cs="Courier New" w:hint="eastAsia"/>
          <w:sz w:val="22"/>
          <w:szCs w:val="22"/>
        </w:rPr>
        <w:t>①警戒宣言</w:t>
      </w:r>
    </w:p>
    <w:p w14:paraId="3E84077D" w14:textId="77777777" w:rsidR="00A911D7" w:rsidRPr="008A3EDE" w:rsidRDefault="00A911D7" w:rsidP="00A911D7">
      <w:pPr>
        <w:ind w:firstLineChars="500" w:firstLine="1105"/>
        <w:rPr>
          <w:rFonts w:ascii="ＭＳ 明朝" w:hAnsi="ＭＳ 明朝" w:cs="Courier New"/>
          <w:sz w:val="22"/>
          <w:szCs w:val="22"/>
        </w:rPr>
      </w:pPr>
      <w:r w:rsidRPr="008A3EDE">
        <w:rPr>
          <w:rFonts w:ascii="ＭＳ 明朝" w:hAnsi="ＭＳ 明朝" w:cs="Courier New" w:hint="eastAsia"/>
          <w:sz w:val="22"/>
          <w:szCs w:val="22"/>
        </w:rPr>
        <w:t>②警戒解除宣言</w:t>
      </w:r>
    </w:p>
    <w:p w14:paraId="6A201B3A" w14:textId="77777777" w:rsidR="00A911D7" w:rsidRPr="008A3EDE" w:rsidRDefault="00A911D7" w:rsidP="00A911D7">
      <w:pPr>
        <w:ind w:left="1105"/>
        <w:rPr>
          <w:rFonts w:ascii="ＭＳ 明朝" w:hAnsi="ＭＳ 明朝" w:cs="Courier New"/>
          <w:sz w:val="22"/>
          <w:szCs w:val="22"/>
        </w:rPr>
      </w:pPr>
      <w:r w:rsidRPr="008A3EDE">
        <w:rPr>
          <w:rFonts w:ascii="ＭＳ 明朝" w:hAnsi="ＭＳ 明朝" w:cs="Courier New" w:hint="eastAsia"/>
          <w:sz w:val="22"/>
          <w:szCs w:val="22"/>
        </w:rPr>
        <w:t>③その他必要と認める事項</w:t>
      </w:r>
    </w:p>
    <w:p w14:paraId="6CC17196" w14:textId="77777777" w:rsidR="00A911D7" w:rsidRPr="008A3EDE" w:rsidRDefault="00A911D7" w:rsidP="00A911D7">
      <w:pPr>
        <w:rPr>
          <w:rFonts w:ascii="ＭＳ 明朝" w:hAnsi="ＭＳ 明朝" w:cs="Courier New"/>
          <w:sz w:val="22"/>
          <w:szCs w:val="22"/>
        </w:rPr>
      </w:pPr>
    </w:p>
    <w:p w14:paraId="542F6873" w14:textId="77777777" w:rsidR="00A911D7" w:rsidRPr="008A3EDE" w:rsidRDefault="00A911D7" w:rsidP="00E0548A">
      <w:pPr>
        <w:pStyle w:val="3"/>
        <w:ind w:firstLine="442"/>
      </w:pPr>
      <w:bookmarkStart w:id="373" w:name="_Toc222486659"/>
      <w:bookmarkStart w:id="374" w:name="_Toc242870329"/>
      <w:r w:rsidRPr="008A3EDE">
        <w:rPr>
          <w:rFonts w:hint="eastAsia"/>
        </w:rPr>
        <w:t>第２　警戒態勢の準備</w:t>
      </w:r>
      <w:bookmarkEnd w:id="373"/>
      <w:bookmarkEnd w:id="374"/>
    </w:p>
    <w:p w14:paraId="39C6DF6A" w14:textId="77777777" w:rsidR="00A911D7" w:rsidRPr="008A3EDE" w:rsidRDefault="00A911D7" w:rsidP="00A911D7">
      <w:pPr>
        <w:ind w:firstLineChars="500" w:firstLine="1105"/>
        <w:rPr>
          <w:rFonts w:ascii="ＭＳ ゴシック" w:eastAsia="ＭＳ ゴシック" w:hAnsi="ＭＳ ゴシック" w:cs="Courier New"/>
          <w:bCs/>
          <w:sz w:val="22"/>
          <w:szCs w:val="22"/>
        </w:rPr>
      </w:pPr>
      <w:r w:rsidRPr="008A3EDE">
        <w:rPr>
          <w:rFonts w:ascii="ＭＳ ゴシック" w:eastAsia="ＭＳ ゴシック" w:hAnsi="ＭＳ ゴシック" w:cs="Courier New" w:hint="eastAsia"/>
          <w:sz w:val="22"/>
          <w:szCs w:val="22"/>
          <w:bdr w:val="single" w:sz="4" w:space="0" w:color="auto"/>
        </w:rPr>
        <w:t>主たる担当：危機管理室、関係室・課：全部局室・課</w:t>
      </w:r>
    </w:p>
    <w:p w14:paraId="1D75C4F8" w14:textId="77777777" w:rsidR="00A911D7" w:rsidRPr="008A3EDE" w:rsidRDefault="00A911D7" w:rsidP="00A911D7">
      <w:pPr>
        <w:ind w:left="663" w:hangingChars="300" w:hanging="663"/>
        <w:rPr>
          <w:rFonts w:ascii="ＭＳ 明朝" w:hAnsi="ＭＳ 明朝" w:cs="Courier New"/>
          <w:sz w:val="22"/>
          <w:szCs w:val="22"/>
        </w:rPr>
      </w:pPr>
      <w:r w:rsidRPr="008A3EDE">
        <w:rPr>
          <w:rFonts w:ascii="ＭＳ 明朝" w:hAnsi="ＭＳ 明朝" w:cs="Courier New" w:hint="eastAsia"/>
          <w:sz w:val="22"/>
          <w:szCs w:val="22"/>
        </w:rPr>
        <w:t xml:space="preserve">　　　　</w:t>
      </w:r>
      <w:r w:rsidRPr="008A3EDE">
        <w:rPr>
          <w:rFonts w:ascii="ＭＳ 明朝" w:hAnsi="ＭＳ 明朝" w:cs="Courier New" w:hint="eastAsia"/>
          <w:bCs/>
          <w:sz w:val="22"/>
          <w:szCs w:val="22"/>
        </w:rPr>
        <w:t>災害対策課長は、</w:t>
      </w:r>
      <w:r w:rsidRPr="008A3EDE">
        <w:rPr>
          <w:rFonts w:ascii="ＭＳ 明朝" w:hAnsi="ＭＳ 明朝" w:cs="Courier New" w:hint="eastAsia"/>
          <w:sz w:val="22"/>
          <w:szCs w:val="22"/>
        </w:rPr>
        <w:t>東海地震注意情報又は予知情報が発表されたときは、</w:t>
      </w:r>
    </w:p>
    <w:p w14:paraId="4A12214E" w14:textId="77777777" w:rsidR="00A911D7" w:rsidRPr="008A3EDE" w:rsidRDefault="00A911D7" w:rsidP="00A911D7">
      <w:pPr>
        <w:ind w:leftChars="300" w:left="633"/>
        <w:rPr>
          <w:rFonts w:ascii="ＭＳ 明朝" w:hAnsi="ＭＳ 明朝" w:cs="Courier New"/>
          <w:sz w:val="22"/>
          <w:szCs w:val="22"/>
        </w:rPr>
      </w:pPr>
      <w:r w:rsidRPr="008A3EDE">
        <w:rPr>
          <w:rFonts w:ascii="ＭＳ 明朝" w:hAnsi="ＭＳ 明朝" w:cs="Courier New" w:hint="eastAsia"/>
          <w:sz w:val="22"/>
          <w:szCs w:val="22"/>
        </w:rPr>
        <w:t>地震発生に備え、第２章活動体制の確立（防災・危機管理警戒班又は防災・危機管理指令部）により、情報収集に努めるとともに警戒態勢にあたる。</w:t>
      </w:r>
    </w:p>
    <w:p w14:paraId="3494848E" w14:textId="77777777" w:rsidR="00A911D7" w:rsidRPr="008A3EDE" w:rsidRDefault="00A911D7" w:rsidP="00A911D7">
      <w:pPr>
        <w:ind w:left="663" w:hangingChars="300" w:hanging="663"/>
        <w:rPr>
          <w:rFonts w:ascii="ＭＳ 明朝" w:hAnsi="ＭＳ 明朝" w:cs="Courier New"/>
          <w:sz w:val="22"/>
          <w:szCs w:val="22"/>
        </w:rPr>
      </w:pPr>
      <w:r w:rsidRPr="008A3EDE">
        <w:rPr>
          <w:rFonts w:ascii="ＭＳ 明朝" w:hAnsi="ＭＳ 明朝" w:cs="Courier New" w:hint="eastAsia"/>
          <w:sz w:val="22"/>
          <w:szCs w:val="22"/>
        </w:rPr>
        <w:t xml:space="preserve">　　　　また、庁内各部局課・室長は、情報収集に努めるとともに、必要に応じ</w:t>
      </w:r>
    </w:p>
    <w:p w14:paraId="40ADFF8C" w14:textId="77777777" w:rsidR="00A911D7" w:rsidRPr="008A3EDE" w:rsidRDefault="00A911D7" w:rsidP="00A911D7">
      <w:pPr>
        <w:ind w:leftChars="300" w:left="633"/>
        <w:rPr>
          <w:rFonts w:ascii="ＭＳ 明朝" w:hAnsi="ＭＳ 明朝" w:cs="Courier New"/>
          <w:sz w:val="22"/>
          <w:szCs w:val="22"/>
        </w:rPr>
      </w:pPr>
      <w:r w:rsidRPr="008A3EDE">
        <w:rPr>
          <w:rFonts w:ascii="ＭＳ 明朝" w:hAnsi="ＭＳ 明朝" w:cs="Courier New" w:hint="eastAsia"/>
          <w:sz w:val="22"/>
          <w:szCs w:val="22"/>
        </w:rPr>
        <w:t>警戒態勢にあたる。</w:t>
      </w:r>
    </w:p>
    <w:p w14:paraId="225A49F1" w14:textId="079B2321" w:rsidR="0000630A" w:rsidRPr="008A3EDE" w:rsidRDefault="0000630A">
      <w:pPr>
        <w:widowControl/>
        <w:jc w:val="left"/>
        <w:rPr>
          <w:rFonts w:ascii="ＭＳ ゴシック" w:eastAsia="ＭＳ ゴシック" w:hAnsi="ＭＳ ゴシック"/>
          <w:color w:val="000000" w:themeColor="text1"/>
          <w:sz w:val="22"/>
          <w:u w:val="double"/>
        </w:rPr>
      </w:pPr>
      <w:bookmarkStart w:id="375" w:name="_Toc222486660"/>
    </w:p>
    <w:p w14:paraId="79571061" w14:textId="0C8D4344" w:rsidR="00A911D7" w:rsidRPr="008A3EDE" w:rsidRDefault="00A911D7" w:rsidP="00E0548A">
      <w:pPr>
        <w:pStyle w:val="3"/>
        <w:ind w:firstLine="442"/>
      </w:pPr>
      <w:bookmarkStart w:id="376" w:name="_Toc242870330"/>
      <w:r w:rsidRPr="008A3EDE">
        <w:rPr>
          <w:rFonts w:hint="eastAsia"/>
        </w:rPr>
        <w:lastRenderedPageBreak/>
        <w:t>第３　警戒態勢の確立</w:t>
      </w:r>
      <w:bookmarkEnd w:id="375"/>
      <w:bookmarkEnd w:id="376"/>
    </w:p>
    <w:p w14:paraId="1C1C5399" w14:textId="77777777" w:rsidR="00A911D7" w:rsidRPr="008A3EDE" w:rsidRDefault="00A911D7" w:rsidP="00A911D7">
      <w:pPr>
        <w:ind w:firstLineChars="500" w:firstLine="1105"/>
        <w:rPr>
          <w:rFonts w:ascii="ＭＳ ゴシック" w:eastAsia="ＭＳ ゴシック" w:hAnsi="ＭＳ ゴシック" w:cs="Courier New"/>
          <w:bCs/>
          <w:sz w:val="22"/>
          <w:szCs w:val="22"/>
        </w:rPr>
      </w:pPr>
      <w:r w:rsidRPr="008A3EDE">
        <w:rPr>
          <w:rFonts w:ascii="ＭＳ ゴシック" w:eastAsia="ＭＳ ゴシック" w:hAnsi="ＭＳ ゴシック" w:cs="Courier New" w:hint="eastAsia"/>
          <w:sz w:val="22"/>
          <w:szCs w:val="22"/>
          <w:bdr w:val="single" w:sz="4" w:space="0" w:color="auto"/>
        </w:rPr>
        <w:t>主たる担当：危機管理室、関係室・課：全部局室・課</w:t>
      </w:r>
    </w:p>
    <w:p w14:paraId="05BFDFE4" w14:textId="77777777" w:rsidR="00A911D7" w:rsidRPr="008A3EDE" w:rsidRDefault="00A911D7" w:rsidP="00A911D7">
      <w:pPr>
        <w:ind w:leftChars="315" w:left="665" w:rightChars="-41" w:right="-87" w:firstLineChars="100" w:firstLine="221"/>
        <w:rPr>
          <w:rFonts w:ascii="ＭＳ 明朝" w:hAnsi="ＭＳ 明朝" w:cs="Courier New"/>
          <w:sz w:val="22"/>
          <w:szCs w:val="22"/>
        </w:rPr>
      </w:pPr>
      <w:r w:rsidRPr="008A3EDE">
        <w:rPr>
          <w:rFonts w:ascii="ＭＳ 明朝" w:hAnsi="ＭＳ 明朝" w:cs="Courier New" w:hint="eastAsia"/>
          <w:bCs/>
          <w:sz w:val="22"/>
          <w:szCs w:val="22"/>
        </w:rPr>
        <w:t>災害対策課長は、</w:t>
      </w:r>
      <w:r w:rsidRPr="008A3EDE">
        <w:rPr>
          <w:rFonts w:ascii="ＭＳ 明朝" w:hAnsi="ＭＳ 明朝" w:cs="Courier New" w:hint="eastAsia"/>
          <w:sz w:val="22"/>
          <w:szCs w:val="22"/>
        </w:rPr>
        <w:t>東海地震警戒宣言が発せられたときから、地震が発生するまで又は警戒解除宣言が発せられるまでの間、第２章活動体制の確立（災害警戒本部）により、情報収集に努めるとともに警戒態勢にあたる。</w:t>
      </w:r>
    </w:p>
    <w:p w14:paraId="2CFCCFFF" w14:textId="77777777" w:rsidR="00A911D7" w:rsidRPr="008A3EDE" w:rsidRDefault="00A911D7" w:rsidP="00A911D7">
      <w:pPr>
        <w:ind w:leftChars="315" w:left="665" w:firstLineChars="100" w:firstLine="221"/>
        <w:rPr>
          <w:rFonts w:ascii="ＭＳ 明朝" w:hAnsi="ＭＳ 明朝" w:cs="Courier New"/>
          <w:sz w:val="22"/>
          <w:szCs w:val="22"/>
        </w:rPr>
      </w:pPr>
      <w:r w:rsidRPr="008A3EDE">
        <w:rPr>
          <w:rFonts w:ascii="ＭＳ 明朝" w:hAnsi="ＭＳ 明朝" w:cs="Courier New" w:hint="eastAsia"/>
          <w:sz w:val="22"/>
          <w:szCs w:val="22"/>
        </w:rPr>
        <w:t>また、庁内各部局課・室長は、情報収集に努めるとともに、必要に応じ警戒態勢にあたる。</w:t>
      </w:r>
    </w:p>
    <w:p w14:paraId="79C43CE1" w14:textId="77777777" w:rsidR="00A911D7" w:rsidRPr="008A3EDE" w:rsidRDefault="00A911D7" w:rsidP="00A911D7">
      <w:pPr>
        <w:rPr>
          <w:rFonts w:ascii="ＭＳ 明朝" w:hAnsi="ＭＳ 明朝" w:cs="Courier New"/>
          <w:sz w:val="22"/>
          <w:szCs w:val="22"/>
        </w:rPr>
      </w:pPr>
    </w:p>
    <w:p w14:paraId="78607C5F" w14:textId="77777777" w:rsidR="00A911D7" w:rsidRPr="008A3EDE" w:rsidRDefault="00A911D7" w:rsidP="00E0548A">
      <w:pPr>
        <w:pStyle w:val="3"/>
        <w:ind w:firstLine="442"/>
      </w:pPr>
      <w:bookmarkStart w:id="377" w:name="_Toc222486661"/>
      <w:bookmarkStart w:id="378" w:name="_Toc242870331"/>
      <w:r w:rsidRPr="008A3EDE">
        <w:rPr>
          <w:rFonts w:hint="eastAsia"/>
        </w:rPr>
        <w:t>第４　災害応急対策の実施</w:t>
      </w:r>
      <w:bookmarkEnd w:id="377"/>
      <w:bookmarkEnd w:id="378"/>
    </w:p>
    <w:p w14:paraId="28903370" w14:textId="77777777" w:rsidR="00A911D7" w:rsidRPr="008A3EDE" w:rsidRDefault="00A911D7" w:rsidP="00A911D7">
      <w:pPr>
        <w:ind w:firstLineChars="500" w:firstLine="1105"/>
        <w:rPr>
          <w:rFonts w:ascii="ＭＳ ゴシック" w:eastAsia="ＭＳ ゴシック" w:hAnsi="ＭＳ ゴシック" w:cs="Courier New"/>
          <w:bCs/>
          <w:sz w:val="22"/>
          <w:szCs w:val="22"/>
        </w:rPr>
      </w:pPr>
      <w:r w:rsidRPr="008A3EDE">
        <w:rPr>
          <w:rFonts w:ascii="ＭＳ ゴシック" w:eastAsia="ＭＳ ゴシック" w:hAnsi="ＭＳ ゴシック" w:cs="Courier New" w:hint="eastAsia"/>
          <w:sz w:val="22"/>
          <w:szCs w:val="22"/>
          <w:bdr w:val="single" w:sz="4" w:space="0" w:color="auto"/>
        </w:rPr>
        <w:t>主たる担当：危機管理室、関係室・課：全部局室・課</w:t>
      </w:r>
    </w:p>
    <w:p w14:paraId="3F120AF5" w14:textId="77777777" w:rsidR="00A911D7" w:rsidRPr="008A3EDE" w:rsidRDefault="00A911D7" w:rsidP="00A911D7">
      <w:pPr>
        <w:ind w:leftChars="315" w:left="665" w:firstLineChars="100" w:firstLine="221"/>
        <w:rPr>
          <w:rFonts w:ascii="ＭＳ 明朝" w:hAnsi="ＭＳ 明朝" w:cs="Courier New"/>
          <w:sz w:val="22"/>
          <w:szCs w:val="22"/>
        </w:rPr>
      </w:pPr>
      <w:r w:rsidRPr="008A3EDE">
        <w:rPr>
          <w:rFonts w:ascii="ＭＳ 明朝" w:hAnsi="ＭＳ 明朝" w:cs="Courier New" w:hint="eastAsia"/>
          <w:bCs/>
          <w:sz w:val="22"/>
          <w:szCs w:val="22"/>
        </w:rPr>
        <w:t>災害対策課長は、</w:t>
      </w:r>
      <w:r w:rsidRPr="008A3EDE">
        <w:rPr>
          <w:rFonts w:ascii="ＭＳ 明朝" w:hAnsi="ＭＳ 明朝" w:cs="Courier New" w:hint="eastAsia"/>
          <w:sz w:val="22"/>
          <w:szCs w:val="22"/>
        </w:rPr>
        <w:t>東海地震により府域において被害等が発生し、</w:t>
      </w:r>
    </w:p>
    <w:p w14:paraId="323B267B" w14:textId="77777777" w:rsidR="00A911D7" w:rsidRPr="008A3EDE" w:rsidRDefault="00A911D7" w:rsidP="00A911D7">
      <w:pPr>
        <w:ind w:leftChars="315" w:left="665"/>
        <w:rPr>
          <w:rFonts w:ascii="ＭＳ 明朝" w:hAnsi="ＭＳ 明朝" w:cs="Courier New"/>
          <w:sz w:val="22"/>
          <w:szCs w:val="22"/>
        </w:rPr>
      </w:pPr>
      <w:r w:rsidRPr="008A3EDE">
        <w:rPr>
          <w:rFonts w:ascii="ＭＳ 明朝" w:hAnsi="ＭＳ 明朝" w:cs="Courier New" w:hint="eastAsia"/>
          <w:sz w:val="22"/>
          <w:szCs w:val="22"/>
        </w:rPr>
        <w:t>災害応急対策の実施が必要となった場合は、第２章活動体制の確立（災害警戒本部又は災害対策本部）により、情報収集を行うとともに災害応急対策を実施する。</w:t>
      </w:r>
    </w:p>
    <w:p w14:paraId="22400F7B" w14:textId="77777777" w:rsidR="00A911D7" w:rsidRPr="008A3EDE" w:rsidRDefault="00A911D7" w:rsidP="00A911D7">
      <w:pPr>
        <w:ind w:leftChars="315" w:left="665" w:rightChars="-41" w:right="-87" w:firstLineChars="100" w:firstLine="221"/>
        <w:rPr>
          <w:rFonts w:ascii="ＭＳ 明朝" w:hAnsi="ＭＳ 明朝" w:cs="Courier New"/>
          <w:sz w:val="22"/>
          <w:szCs w:val="22"/>
        </w:rPr>
      </w:pPr>
      <w:r w:rsidRPr="008A3EDE">
        <w:rPr>
          <w:rFonts w:ascii="ＭＳ 明朝" w:hAnsi="ＭＳ 明朝" w:cs="Courier New" w:hint="eastAsia"/>
          <w:sz w:val="22"/>
          <w:szCs w:val="22"/>
        </w:rPr>
        <w:t>また、庁内各部局課・室長は、情報収集を行うとともに、災害応急対策を実施する。</w:t>
      </w:r>
    </w:p>
    <w:p w14:paraId="0E9EB083" w14:textId="77777777" w:rsidR="00A911D7" w:rsidRPr="008A3EDE" w:rsidRDefault="00A911D7" w:rsidP="00A911D7">
      <w:pPr>
        <w:rPr>
          <w:rFonts w:ascii="ＭＳ 明朝" w:hAnsi="ＭＳ 明朝" w:cs="Courier New"/>
          <w:sz w:val="22"/>
          <w:szCs w:val="22"/>
        </w:rPr>
      </w:pPr>
    </w:p>
    <w:p w14:paraId="47F76E12" w14:textId="77777777" w:rsidR="00A911D7" w:rsidRPr="008A3EDE" w:rsidRDefault="00A911D7" w:rsidP="00A911D7">
      <w:pPr>
        <w:ind w:left="884" w:hangingChars="400" w:hanging="884"/>
        <w:rPr>
          <w:rFonts w:ascii="ＭＳ 明朝" w:hAnsi="ＭＳ 明朝"/>
          <w:sz w:val="22"/>
          <w:szCs w:val="22"/>
        </w:rPr>
      </w:pPr>
    </w:p>
    <w:p w14:paraId="7A467C7E" w14:textId="77777777" w:rsidR="00A911D7" w:rsidRPr="008A3EDE" w:rsidRDefault="00A911D7" w:rsidP="00A911D7">
      <w:pPr>
        <w:ind w:left="884" w:hangingChars="400" w:hanging="884"/>
        <w:rPr>
          <w:rFonts w:ascii="ＭＳ 明朝" w:hAnsi="ＭＳ 明朝"/>
          <w:sz w:val="22"/>
          <w:szCs w:val="22"/>
        </w:rPr>
      </w:pPr>
    </w:p>
    <w:p w14:paraId="7D22D818" w14:textId="77777777" w:rsidR="00A911D7" w:rsidRPr="008A3EDE" w:rsidRDefault="00A911D7" w:rsidP="00A911D7">
      <w:pPr>
        <w:ind w:left="884" w:hangingChars="400" w:hanging="884"/>
        <w:rPr>
          <w:rFonts w:ascii="ＭＳ 明朝" w:hAnsi="ＭＳ 明朝"/>
          <w:sz w:val="22"/>
          <w:szCs w:val="22"/>
        </w:rPr>
      </w:pPr>
    </w:p>
    <w:p w14:paraId="3CC90755" w14:textId="77777777" w:rsidR="00A911D7" w:rsidRPr="008A3EDE" w:rsidRDefault="00A911D7" w:rsidP="00A911D7">
      <w:pPr>
        <w:ind w:left="884" w:hangingChars="400" w:hanging="884"/>
        <w:rPr>
          <w:rFonts w:ascii="ＭＳ 明朝" w:hAnsi="ＭＳ 明朝"/>
          <w:sz w:val="22"/>
          <w:szCs w:val="22"/>
        </w:rPr>
      </w:pPr>
    </w:p>
    <w:p w14:paraId="405C3EA3" w14:textId="72F02A41" w:rsidR="00196764" w:rsidRDefault="00196764">
      <w:pPr>
        <w:widowControl/>
        <w:jc w:val="left"/>
        <w:rPr>
          <w:rFonts w:ascii="ＭＳ ゴシック" w:eastAsia="ＭＳ ゴシック" w:hAnsi="ＭＳ ゴシック" w:cstheme="majorBidi"/>
          <w:sz w:val="28"/>
          <w:szCs w:val="28"/>
        </w:rPr>
        <w:sectPr w:rsidR="00196764" w:rsidSect="00FE02CA">
          <w:type w:val="continuous"/>
          <w:pgSz w:w="11906" w:h="16838" w:code="9"/>
          <w:pgMar w:top="1701" w:right="1531" w:bottom="1701" w:left="1531" w:header="850" w:footer="850" w:gutter="0"/>
          <w:pgNumType w:fmt="numberInDash"/>
          <w:cols w:space="425"/>
          <w:docGrid w:type="linesAndChars" w:linePitch="353" w:charSpace="225"/>
        </w:sectPr>
      </w:pPr>
    </w:p>
    <w:p w14:paraId="1A13000A" w14:textId="7F44D36A" w:rsidR="008B4B2B" w:rsidRPr="008A3EDE" w:rsidRDefault="00A911D7" w:rsidP="00196764">
      <w:pPr>
        <w:pStyle w:val="1"/>
        <w:ind w:leftChars="0" w:left="0" w:firstLine="0"/>
      </w:pPr>
      <w:bookmarkStart w:id="379" w:name="_Toc222486662"/>
      <w:bookmarkStart w:id="380" w:name="_Toc242870332"/>
      <w:r w:rsidRPr="008A3EDE">
        <w:rPr>
          <w:rFonts w:hint="eastAsia"/>
        </w:rPr>
        <w:lastRenderedPageBreak/>
        <w:t>第６</w:t>
      </w:r>
      <w:r w:rsidR="008B4B2B" w:rsidRPr="008A3EDE">
        <w:rPr>
          <w:rFonts w:hint="eastAsia"/>
        </w:rPr>
        <w:t>章　南海トラフ地震に関連する情報発表時の措置</w:t>
      </w:r>
      <w:bookmarkEnd w:id="370"/>
      <w:bookmarkEnd w:id="379"/>
      <w:bookmarkEnd w:id="380"/>
    </w:p>
    <w:p w14:paraId="65F54025" w14:textId="77777777" w:rsidR="008B4B2B" w:rsidRPr="008A3EDE" w:rsidRDefault="008B4B2B" w:rsidP="008B4B2B">
      <w:pPr>
        <w:pStyle w:val="a0"/>
        <w:spacing w:line="0" w:lineRule="atLeast"/>
        <w:ind w:firstLineChars="100" w:firstLine="221"/>
        <w:rPr>
          <w:rFonts w:ascii="ＭＳ ゴシック" w:eastAsia="ＭＳ ゴシック" w:hAnsi="ＭＳ ゴシック"/>
          <w:bCs/>
          <w:sz w:val="22"/>
          <w:szCs w:val="22"/>
        </w:rPr>
      </w:pPr>
      <w:r w:rsidRPr="008A3EDE">
        <w:rPr>
          <w:rFonts w:asciiTheme="minorEastAsia" w:eastAsiaTheme="minorEastAsia" w:hAnsiTheme="minorEastAsia" w:hint="eastAsia"/>
          <w:bCs/>
          <w:sz w:val="22"/>
          <w:szCs w:val="22"/>
        </w:rPr>
        <w:t>本章においては、防災計画に基づき、「</w:t>
      </w:r>
      <w:r w:rsidRPr="008A3EDE">
        <w:rPr>
          <w:rFonts w:asciiTheme="minorEastAsia" w:eastAsiaTheme="minorEastAsia" w:hAnsiTheme="minorEastAsia" w:hint="eastAsia"/>
          <w:sz w:val="22"/>
          <w:szCs w:val="22"/>
        </w:rPr>
        <w:t>南海トラフ地震に関連する情報発表時の措置</w:t>
      </w:r>
      <w:r w:rsidRPr="008A3EDE">
        <w:rPr>
          <w:rFonts w:asciiTheme="minorEastAsia" w:eastAsiaTheme="minorEastAsia" w:hAnsiTheme="minorEastAsia" w:hint="eastAsia"/>
          <w:bCs/>
          <w:sz w:val="22"/>
          <w:szCs w:val="22"/>
        </w:rPr>
        <w:t>」について定める。</w:t>
      </w:r>
    </w:p>
    <w:p w14:paraId="0CAAB458" w14:textId="77777777" w:rsidR="008B4B2B" w:rsidRPr="008A3EDE" w:rsidRDefault="008B4B2B" w:rsidP="008B4B2B">
      <w:pPr>
        <w:pStyle w:val="a0"/>
        <w:rPr>
          <w:rFonts w:ascii="ＭＳ ゴシック" w:eastAsia="ＭＳ ゴシック" w:hAnsi="ＭＳ ゴシック"/>
          <w:bCs/>
          <w:sz w:val="22"/>
          <w:szCs w:val="22"/>
        </w:rPr>
      </w:pPr>
    </w:p>
    <w:p w14:paraId="0BD552D6" w14:textId="77777777" w:rsidR="008B4B2B" w:rsidRPr="008A3EDE" w:rsidRDefault="008B4B2B" w:rsidP="002B2381">
      <w:pPr>
        <w:pStyle w:val="a0"/>
        <w:spacing w:line="0" w:lineRule="atLeast"/>
        <w:ind w:firstLineChars="100" w:firstLine="221"/>
        <w:outlineLvl w:val="2"/>
        <w:rPr>
          <w:rFonts w:ascii="ＭＳ ゴシック" w:eastAsia="ＭＳ ゴシック" w:hAnsi="ＭＳ ゴシック"/>
          <w:bCs/>
          <w:sz w:val="28"/>
          <w:szCs w:val="28"/>
          <w:u w:val="double"/>
        </w:rPr>
      </w:pPr>
      <w:bookmarkStart w:id="381" w:name="_Toc122436964"/>
      <w:bookmarkStart w:id="382" w:name="_Toc222486663"/>
      <w:bookmarkStart w:id="383" w:name="_Toc242870333"/>
      <w:r w:rsidRPr="008A3EDE">
        <w:rPr>
          <w:rFonts w:ascii="ＭＳ ゴシック" w:eastAsia="ＭＳ ゴシック" w:hAnsi="ＭＳ ゴシック" w:hint="eastAsia"/>
          <w:bCs/>
          <w:sz w:val="22"/>
          <w:szCs w:val="22"/>
          <w:u w:val="double"/>
        </w:rPr>
        <w:t>第１　情報等の伝達</w:t>
      </w:r>
      <w:bookmarkEnd w:id="381"/>
      <w:bookmarkEnd w:id="382"/>
      <w:bookmarkEnd w:id="383"/>
    </w:p>
    <w:p w14:paraId="11D79E6E" w14:textId="77777777" w:rsidR="008B4B2B" w:rsidRPr="008A3EDE" w:rsidRDefault="008B4B2B" w:rsidP="008B4B2B">
      <w:pPr>
        <w:pStyle w:val="a0"/>
        <w:spacing w:line="0" w:lineRule="atLeast"/>
        <w:ind w:firstLineChars="400" w:firstLine="884"/>
        <w:rPr>
          <w:rFonts w:ascii="ＭＳ ゴシック" w:eastAsia="ＭＳ ゴシック" w:hAnsi="ＭＳ ゴシック"/>
          <w:sz w:val="22"/>
          <w:szCs w:val="22"/>
          <w:bdr w:val="single" w:sz="4" w:space="0" w:color="auto"/>
        </w:rPr>
      </w:pPr>
      <w:r w:rsidRPr="008A3EDE">
        <w:rPr>
          <w:rFonts w:ascii="ＭＳ ゴシック" w:eastAsia="ＭＳ ゴシック" w:hAnsi="ＭＳ ゴシック" w:hint="eastAsia"/>
          <w:sz w:val="22"/>
          <w:szCs w:val="22"/>
          <w:bdr w:val="single" w:sz="4" w:space="0" w:color="auto"/>
        </w:rPr>
        <w:t>主たる担当：危機管理室</w:t>
      </w:r>
    </w:p>
    <w:p w14:paraId="17E5AEC4" w14:textId="77777777" w:rsidR="008B4B2B" w:rsidRPr="008A3EDE" w:rsidRDefault="008B4B2B" w:rsidP="008B4B2B">
      <w:pPr>
        <w:pStyle w:val="a0"/>
        <w:ind w:firstLineChars="200" w:firstLine="442"/>
        <w:rPr>
          <w:rFonts w:hAnsi="ＭＳ 明朝"/>
          <w:bCs/>
          <w:sz w:val="22"/>
          <w:szCs w:val="22"/>
        </w:rPr>
      </w:pPr>
    </w:p>
    <w:p w14:paraId="616E4FA5" w14:textId="77777777" w:rsidR="008B4B2B" w:rsidRPr="008A3EDE" w:rsidRDefault="008B4B2B" w:rsidP="008B4B2B">
      <w:pPr>
        <w:ind w:rightChars="500" w:right="1055" w:firstLineChars="200" w:firstLine="422"/>
        <w:rPr>
          <w:rFonts w:asciiTheme="majorEastAsia" w:eastAsiaTheme="majorEastAsia" w:hAnsiTheme="majorEastAsia"/>
          <w:szCs w:val="18"/>
          <w:u w:val="single"/>
        </w:rPr>
      </w:pPr>
      <w:r w:rsidRPr="008A3EDE">
        <w:rPr>
          <w:rFonts w:asciiTheme="majorEastAsia" w:eastAsiaTheme="majorEastAsia" w:hAnsiTheme="majorEastAsia" w:hint="eastAsia"/>
          <w:szCs w:val="18"/>
          <w:u w:val="single"/>
        </w:rPr>
        <w:t>１　伝達情報及び系統</w:t>
      </w:r>
    </w:p>
    <w:p w14:paraId="5FF260DB" w14:textId="77777777" w:rsidR="008B4B2B" w:rsidRPr="008A3EDE" w:rsidRDefault="008B4B2B" w:rsidP="008B4B2B">
      <w:pPr>
        <w:ind w:rightChars="500" w:right="1055" w:firstLineChars="300" w:firstLine="663"/>
        <w:rPr>
          <w:rFonts w:hAnsi="ＭＳ 明朝"/>
          <w:sz w:val="22"/>
          <w:szCs w:val="22"/>
        </w:rPr>
      </w:pPr>
      <w:r w:rsidRPr="008A3EDE">
        <w:rPr>
          <w:rFonts w:hAnsi="ＭＳ 明朝" w:hint="eastAsia"/>
          <w:noProof/>
          <w:sz w:val="22"/>
          <w:szCs w:val="22"/>
        </w:rPr>
        <mc:AlternateContent>
          <mc:Choice Requires="wpg">
            <w:drawing>
              <wp:anchor distT="0" distB="0" distL="114300" distR="114300" simplePos="0" relativeHeight="253929472" behindDoc="0" locked="0" layoutInCell="1" allowOverlap="1" wp14:anchorId="08E0DEFA" wp14:editId="48135FEB">
                <wp:simplePos x="0" y="0"/>
                <wp:positionH relativeFrom="column">
                  <wp:posOffset>49530</wp:posOffset>
                </wp:positionH>
                <wp:positionV relativeFrom="paragraph">
                  <wp:posOffset>120015</wp:posOffset>
                </wp:positionV>
                <wp:extent cx="5713730" cy="1371600"/>
                <wp:effectExtent l="0" t="0" r="20320" b="19050"/>
                <wp:wrapNone/>
                <wp:docPr id="4841" name="グループ化 4841"/>
                <wp:cNvGraphicFramePr/>
                <a:graphic xmlns:a="http://schemas.openxmlformats.org/drawingml/2006/main">
                  <a:graphicData uri="http://schemas.microsoft.com/office/word/2010/wordprocessingGroup">
                    <wpg:wgp>
                      <wpg:cNvGrpSpPr/>
                      <wpg:grpSpPr>
                        <a:xfrm>
                          <a:off x="0" y="0"/>
                          <a:ext cx="5713730" cy="1371600"/>
                          <a:chOff x="0" y="0"/>
                          <a:chExt cx="5713730" cy="1371600"/>
                        </a:xfrm>
                      </wpg:grpSpPr>
                      <wpg:grpSp>
                        <wpg:cNvPr id="4824" name="グループ化 4824"/>
                        <wpg:cNvGrpSpPr/>
                        <wpg:grpSpPr>
                          <a:xfrm>
                            <a:off x="0" y="0"/>
                            <a:ext cx="5713730" cy="1371600"/>
                            <a:chOff x="0" y="0"/>
                            <a:chExt cx="5714040" cy="1371600"/>
                          </a:xfrm>
                        </wpg:grpSpPr>
                        <wps:wsp>
                          <wps:cNvPr id="4825" name="AutoShape 2722"/>
                          <wps:cNvSpPr>
                            <a:spLocks noChangeArrowheads="1"/>
                          </wps:cNvSpPr>
                          <wps:spPr bwMode="auto">
                            <a:xfrm>
                              <a:off x="0" y="421662"/>
                              <a:ext cx="1143000" cy="228600"/>
                            </a:xfrm>
                            <a:prstGeom prst="roundRect">
                              <a:avLst>
                                <a:gd name="adj" fmla="val 16667"/>
                              </a:avLst>
                            </a:prstGeom>
                            <a:solidFill>
                              <a:srgbClr val="FFFFFF"/>
                            </a:solidFill>
                            <a:ln w="9525">
                              <a:solidFill>
                                <a:srgbClr val="000000"/>
                              </a:solidFill>
                              <a:round/>
                              <a:headEnd/>
                              <a:tailEnd/>
                            </a:ln>
                          </wps:spPr>
                          <wps:txbx>
                            <w:txbxContent>
                              <w:p w14:paraId="17295DB2" w14:textId="77777777" w:rsidR="006A5267" w:rsidRPr="002255AC" w:rsidRDefault="006A5267" w:rsidP="008B4B2B">
                                <w:pPr>
                                  <w:spacing w:line="240" w:lineRule="exact"/>
                                  <w:rPr>
                                    <w:rFonts w:ascii="ＭＳ ゴシック" w:eastAsia="ＭＳ ゴシック" w:hAnsi="ＭＳ ゴシック"/>
                                    <w:sz w:val="20"/>
                                    <w:szCs w:val="20"/>
                                  </w:rPr>
                                </w:pPr>
                                <w:r w:rsidRPr="002255AC">
                                  <w:rPr>
                                    <w:rFonts w:ascii="ＭＳ ゴシック" w:eastAsia="ＭＳ ゴシック" w:hAnsi="ＭＳ ゴシック" w:hint="eastAsia"/>
                                    <w:sz w:val="20"/>
                                    <w:szCs w:val="20"/>
                                  </w:rPr>
                                  <w:t>大阪管区気象台</w:t>
                                </w:r>
                              </w:p>
                            </w:txbxContent>
                          </wps:txbx>
                          <wps:bodyPr rot="0" vert="horz" wrap="square" lIns="74295" tIns="8890" rIns="74295" bIns="8890" anchor="t" anchorCtr="0" upright="1">
                            <a:noAutofit/>
                          </wps:bodyPr>
                        </wps:wsp>
                        <wps:wsp>
                          <wps:cNvPr id="4826" name="AutoShape 2723"/>
                          <wps:cNvSpPr>
                            <a:spLocks noChangeArrowheads="1"/>
                          </wps:cNvSpPr>
                          <wps:spPr bwMode="auto">
                            <a:xfrm>
                              <a:off x="1483018" y="421662"/>
                              <a:ext cx="1257300" cy="228600"/>
                            </a:xfrm>
                            <a:prstGeom prst="roundRect">
                              <a:avLst>
                                <a:gd name="adj" fmla="val 16667"/>
                              </a:avLst>
                            </a:prstGeom>
                            <a:solidFill>
                              <a:srgbClr val="FFFFFF"/>
                            </a:solidFill>
                            <a:ln w="9525">
                              <a:solidFill>
                                <a:srgbClr val="000000"/>
                              </a:solidFill>
                              <a:round/>
                              <a:headEnd/>
                              <a:tailEnd/>
                            </a:ln>
                          </wps:spPr>
                          <wps:txbx>
                            <w:txbxContent>
                              <w:p w14:paraId="7055329F" w14:textId="77777777" w:rsidR="006A5267" w:rsidRPr="002255AC" w:rsidRDefault="006A5267" w:rsidP="008B4B2B">
                                <w:pPr>
                                  <w:spacing w:line="240" w:lineRule="exact"/>
                                  <w:rPr>
                                    <w:rFonts w:ascii="ＭＳ ゴシック" w:eastAsia="ＭＳ ゴシック" w:hAnsi="ＭＳ ゴシック"/>
                                    <w:sz w:val="20"/>
                                    <w:szCs w:val="20"/>
                                  </w:rPr>
                                </w:pPr>
                                <w:r w:rsidRPr="002255AC">
                                  <w:rPr>
                                    <w:rFonts w:ascii="ＭＳ ゴシック" w:eastAsia="ＭＳ ゴシック" w:hAnsi="ＭＳ ゴシック" w:hint="eastAsia"/>
                                    <w:sz w:val="20"/>
                                    <w:szCs w:val="20"/>
                                  </w:rPr>
                                  <w:t>大阪</w:t>
                                </w:r>
                                <w:r>
                                  <w:rPr>
                                    <w:rFonts w:ascii="ＭＳ ゴシック" w:eastAsia="ＭＳ ゴシック" w:hAnsi="ＭＳ ゴシック" w:hint="eastAsia"/>
                                    <w:sz w:val="20"/>
                                    <w:szCs w:val="20"/>
                                  </w:rPr>
                                  <w:t>府危機管理室</w:t>
                                </w:r>
                              </w:p>
                            </w:txbxContent>
                          </wps:txbx>
                          <wps:bodyPr rot="0" vert="horz" wrap="square" lIns="74295" tIns="8890" rIns="74295" bIns="8890" anchor="t" anchorCtr="0" upright="1">
                            <a:noAutofit/>
                          </wps:bodyPr>
                        </wps:wsp>
                        <wps:wsp>
                          <wps:cNvPr id="4827" name="AutoShape 2725"/>
                          <wps:cNvSpPr>
                            <a:spLocks noChangeArrowheads="1"/>
                          </wps:cNvSpPr>
                          <wps:spPr bwMode="auto">
                            <a:xfrm>
                              <a:off x="3088981" y="974912"/>
                              <a:ext cx="1485900" cy="228600"/>
                            </a:xfrm>
                            <a:prstGeom prst="roundRect">
                              <a:avLst>
                                <a:gd name="adj" fmla="val 16667"/>
                              </a:avLst>
                            </a:prstGeom>
                            <a:solidFill>
                              <a:srgbClr val="FFFFFF"/>
                            </a:solidFill>
                            <a:ln w="9525">
                              <a:solidFill>
                                <a:srgbClr val="000000"/>
                              </a:solidFill>
                              <a:round/>
                              <a:headEnd/>
                              <a:tailEnd/>
                            </a:ln>
                          </wps:spPr>
                          <wps:txbx>
                            <w:txbxContent>
                              <w:p w14:paraId="54B5C9DB" w14:textId="77777777" w:rsidR="006A5267" w:rsidRPr="002255AC" w:rsidRDefault="006A5267" w:rsidP="008B4B2B">
                                <w:pPr>
                                  <w:spacing w:line="240" w:lineRule="exact"/>
                                  <w:rPr>
                                    <w:rFonts w:ascii="ＭＳ ゴシック" w:eastAsia="ＭＳ ゴシック" w:hAnsi="ＭＳ ゴシック"/>
                                    <w:sz w:val="20"/>
                                    <w:szCs w:val="20"/>
                                  </w:rPr>
                                </w:pPr>
                                <w:r>
                                  <w:rPr>
                                    <w:rFonts w:ascii="ＭＳ ゴシック" w:eastAsia="ＭＳ ゴシック" w:hAnsi="ＭＳ ゴシック" w:hint="eastAsia"/>
                                    <w:sz w:val="20"/>
                                    <w:szCs w:val="20"/>
                                  </w:rPr>
                                  <w:t>府庁各課・出先機関等</w:t>
                                </w:r>
                              </w:p>
                            </w:txbxContent>
                          </wps:txbx>
                          <wps:bodyPr rot="0" vert="horz" wrap="square" lIns="74295" tIns="8890" rIns="74295" bIns="8890" anchor="t" anchorCtr="0" upright="1">
                            <a:noAutofit/>
                          </wps:bodyPr>
                        </wps:wsp>
                        <wps:wsp>
                          <wps:cNvPr id="4828" name="AutoShape 2726"/>
                          <wps:cNvSpPr>
                            <a:spLocks noChangeArrowheads="1"/>
                          </wps:cNvSpPr>
                          <wps:spPr bwMode="auto">
                            <a:xfrm rot="5400000">
                              <a:off x="4913940" y="571500"/>
                              <a:ext cx="1371600" cy="228600"/>
                            </a:xfrm>
                            <a:prstGeom prst="roundRect">
                              <a:avLst>
                                <a:gd name="adj" fmla="val 16667"/>
                              </a:avLst>
                            </a:prstGeom>
                            <a:solidFill>
                              <a:srgbClr val="FFFFFF"/>
                            </a:solidFill>
                            <a:ln w="9525">
                              <a:solidFill>
                                <a:srgbClr val="000000"/>
                              </a:solidFill>
                              <a:round/>
                              <a:headEnd/>
                              <a:tailEnd/>
                            </a:ln>
                          </wps:spPr>
                          <wps:txbx>
                            <w:txbxContent>
                              <w:p w14:paraId="74CA0178" w14:textId="77777777" w:rsidR="006A5267" w:rsidRDefault="006A5267" w:rsidP="008B4B2B">
                                <w:pPr>
                                  <w:spacing w:line="240" w:lineRule="exact"/>
                                  <w:rPr>
                                    <w:rFonts w:ascii="ＭＳ ゴシック" w:eastAsia="ＭＳ ゴシック" w:hAnsi="ＭＳ ゴシック"/>
                                    <w:sz w:val="20"/>
                                    <w:szCs w:val="20"/>
                                  </w:rPr>
                                </w:pPr>
                              </w:p>
                              <w:p w14:paraId="04A74E16" w14:textId="77777777" w:rsidR="006A5267" w:rsidRPr="002255AC" w:rsidRDefault="006A5267" w:rsidP="008B4B2B">
                                <w:pPr>
                                  <w:spacing w:line="240" w:lineRule="exact"/>
                                  <w:rPr>
                                    <w:rFonts w:ascii="ＭＳ ゴシック" w:eastAsia="ＭＳ ゴシック" w:hAnsi="ＭＳ ゴシック"/>
                                    <w:sz w:val="20"/>
                                    <w:szCs w:val="20"/>
                                  </w:rPr>
                                </w:pPr>
                                <w:r>
                                  <w:rPr>
                                    <w:rFonts w:ascii="ＭＳ ゴシック" w:eastAsia="ＭＳ ゴシック" w:hAnsi="ＭＳ ゴシック" w:hint="eastAsia"/>
                                    <w:sz w:val="20"/>
                                    <w:szCs w:val="20"/>
                                  </w:rPr>
                                  <w:t>住民・その他</w:t>
                                </w:r>
                              </w:p>
                            </w:txbxContent>
                          </wps:txbx>
                          <wps:bodyPr rot="0" vert="horz" wrap="square" lIns="74295" tIns="8890" rIns="74295" bIns="8890" anchor="t" anchorCtr="0" upright="1">
                            <a:noAutofit/>
                          </wps:bodyPr>
                        </wps:wsp>
                        <wps:wsp>
                          <wps:cNvPr id="4829" name="AutoShape 2727"/>
                          <wps:cNvSpPr>
                            <a:spLocks noChangeArrowheads="1"/>
                          </wps:cNvSpPr>
                          <wps:spPr bwMode="auto">
                            <a:xfrm>
                              <a:off x="4379899" y="83564"/>
                              <a:ext cx="762000" cy="228600"/>
                            </a:xfrm>
                            <a:prstGeom prst="roundRect">
                              <a:avLst>
                                <a:gd name="adj" fmla="val 16667"/>
                              </a:avLst>
                            </a:prstGeom>
                            <a:solidFill>
                              <a:srgbClr val="FFFFFF"/>
                            </a:solidFill>
                            <a:ln w="9525">
                              <a:solidFill>
                                <a:srgbClr val="000000"/>
                              </a:solidFill>
                              <a:round/>
                              <a:headEnd/>
                              <a:tailEnd/>
                            </a:ln>
                          </wps:spPr>
                          <wps:txbx>
                            <w:txbxContent>
                              <w:p w14:paraId="2CA6BAAF" w14:textId="77777777" w:rsidR="006A5267" w:rsidRPr="002255AC" w:rsidRDefault="006A5267" w:rsidP="008B4B2B">
                                <w:pPr>
                                  <w:spacing w:line="240" w:lineRule="exact"/>
                                  <w:rPr>
                                    <w:rFonts w:ascii="ＭＳ ゴシック" w:eastAsia="ＭＳ ゴシック" w:hAnsi="ＭＳ ゴシック"/>
                                    <w:sz w:val="20"/>
                                    <w:szCs w:val="20"/>
                                  </w:rPr>
                                </w:pPr>
                                <w:r>
                                  <w:rPr>
                                    <w:rFonts w:ascii="ＭＳ ゴシック" w:eastAsia="ＭＳ ゴシック" w:hAnsi="ＭＳ ゴシック" w:hint="eastAsia"/>
                                    <w:sz w:val="20"/>
                                    <w:szCs w:val="20"/>
                                  </w:rPr>
                                  <w:t>消防署等</w:t>
                                </w:r>
                              </w:p>
                            </w:txbxContent>
                          </wps:txbx>
                          <wps:bodyPr rot="0" vert="horz" wrap="square" lIns="74295" tIns="8890" rIns="74295" bIns="8890" anchor="t" anchorCtr="0" upright="1">
                            <a:noAutofit/>
                          </wps:bodyPr>
                        </wps:wsp>
                        <wps:wsp>
                          <wps:cNvPr id="4830" name="Line 2728"/>
                          <wps:cNvCnPr>
                            <a:cxnSpLocks noChangeShapeType="1"/>
                          </wps:cNvCnPr>
                          <wps:spPr bwMode="auto">
                            <a:xfrm>
                              <a:off x="1144921" y="529238"/>
                              <a:ext cx="342900" cy="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4831" name="Line 2729"/>
                          <wps:cNvCnPr>
                            <a:cxnSpLocks noChangeShapeType="1"/>
                          </wps:cNvCnPr>
                          <wps:spPr bwMode="auto">
                            <a:xfrm>
                              <a:off x="2743200" y="529238"/>
                              <a:ext cx="342900" cy="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4832" name="Line 2730"/>
                          <wps:cNvCnPr>
                            <a:cxnSpLocks noChangeShapeType="1"/>
                          </wps:cNvCnPr>
                          <wps:spPr bwMode="auto">
                            <a:xfrm>
                              <a:off x="4226218" y="606078"/>
                              <a:ext cx="1257300" cy="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4833" name="Line 2731"/>
                          <wps:cNvCnPr>
                            <a:cxnSpLocks noChangeShapeType="1"/>
                          </wps:cNvCnPr>
                          <wps:spPr bwMode="auto">
                            <a:xfrm>
                              <a:off x="4572000" y="1090172"/>
                              <a:ext cx="914400" cy="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4836" name="Line 2736"/>
                          <wps:cNvCnPr>
                            <a:cxnSpLocks noChangeShapeType="1"/>
                          </wps:cNvCnPr>
                          <wps:spPr bwMode="auto">
                            <a:xfrm>
                              <a:off x="5140618" y="191141"/>
                              <a:ext cx="342900" cy="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4837" name="AutoShape 2724"/>
                          <wps:cNvSpPr>
                            <a:spLocks noChangeArrowheads="1"/>
                          </wps:cNvSpPr>
                          <wps:spPr bwMode="auto">
                            <a:xfrm>
                              <a:off x="3088981" y="421662"/>
                              <a:ext cx="1143000" cy="228600"/>
                            </a:xfrm>
                            <a:prstGeom prst="roundRect">
                              <a:avLst>
                                <a:gd name="adj" fmla="val 16667"/>
                              </a:avLst>
                            </a:prstGeom>
                            <a:solidFill>
                              <a:srgbClr val="FFFFFF"/>
                            </a:solidFill>
                            <a:ln w="9525">
                              <a:solidFill>
                                <a:srgbClr val="000000"/>
                              </a:solidFill>
                              <a:round/>
                              <a:headEnd/>
                              <a:tailEnd/>
                            </a:ln>
                          </wps:spPr>
                          <wps:txbx>
                            <w:txbxContent>
                              <w:p w14:paraId="2D55937B" w14:textId="77777777" w:rsidR="006A5267" w:rsidRPr="002255AC" w:rsidRDefault="006A5267" w:rsidP="008B4B2B">
                                <w:pPr>
                                  <w:spacing w:line="240" w:lineRule="exact"/>
                                  <w:rPr>
                                    <w:rFonts w:ascii="ＭＳ ゴシック" w:eastAsia="ＭＳ ゴシック" w:hAnsi="ＭＳ ゴシック"/>
                                    <w:sz w:val="20"/>
                                    <w:szCs w:val="20"/>
                                  </w:rPr>
                                </w:pPr>
                                <w:r>
                                  <w:rPr>
                                    <w:rFonts w:ascii="ＭＳ ゴシック" w:eastAsia="ＭＳ ゴシック" w:hAnsi="ＭＳ ゴシック" w:hint="eastAsia"/>
                                    <w:sz w:val="20"/>
                                    <w:szCs w:val="20"/>
                                  </w:rPr>
                                  <w:t>市町村・消防機関</w:t>
                                </w:r>
                              </w:p>
                            </w:txbxContent>
                          </wps:txbx>
                          <wps:bodyPr rot="0" vert="horz" wrap="square" lIns="74295" tIns="8890" rIns="74295" bIns="8890" anchor="t" anchorCtr="0" upright="1">
                            <a:noAutofit/>
                          </wps:bodyPr>
                        </wps:wsp>
                      </wpg:grpSp>
                      <wps:wsp>
                        <wps:cNvPr id="4839" name="フリーフォーム 4839"/>
                        <wps:cNvSpPr/>
                        <wps:spPr>
                          <a:xfrm>
                            <a:off x="2820041" y="537882"/>
                            <a:ext cx="261257" cy="560935"/>
                          </a:xfrm>
                          <a:custGeom>
                            <a:avLst/>
                            <a:gdLst>
                              <a:gd name="connsiteX0" fmla="*/ 0 w 261257"/>
                              <a:gd name="connsiteY0" fmla="*/ 0 h 560935"/>
                              <a:gd name="connsiteX1" fmla="*/ 0 w 261257"/>
                              <a:gd name="connsiteY1" fmla="*/ 560935 h 560935"/>
                              <a:gd name="connsiteX2" fmla="*/ 261257 w 261257"/>
                              <a:gd name="connsiteY2" fmla="*/ 560935 h 560935"/>
                            </a:gdLst>
                            <a:ahLst/>
                            <a:cxnLst>
                              <a:cxn ang="0">
                                <a:pos x="connsiteX0" y="connsiteY0"/>
                              </a:cxn>
                              <a:cxn ang="0">
                                <a:pos x="connsiteX1" y="connsiteY1"/>
                              </a:cxn>
                              <a:cxn ang="0">
                                <a:pos x="connsiteX2" y="connsiteY2"/>
                              </a:cxn>
                            </a:cxnLst>
                            <a:rect l="l" t="t" r="r" b="b"/>
                            <a:pathLst>
                              <a:path w="261257" h="560935">
                                <a:moveTo>
                                  <a:pt x="0" y="0"/>
                                </a:moveTo>
                                <a:lnTo>
                                  <a:pt x="0" y="560935"/>
                                </a:lnTo>
                                <a:lnTo>
                                  <a:pt x="261257" y="560935"/>
                                </a:lnTo>
                              </a:path>
                            </a:pathLst>
                          </a:custGeom>
                          <a:noFill/>
                          <a:ln w="9525" cap="flat" cmpd="sng" algn="ctr">
                            <a:solidFill>
                              <a:sysClr val="windowText" lastClr="000000"/>
                            </a:solidFill>
                            <a:prstDash val="solid"/>
                            <a:tailEnd type="triangle"/>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4840" name="フリーフォーム 4840"/>
                        <wps:cNvSpPr/>
                        <wps:spPr>
                          <a:xfrm>
                            <a:off x="4233903" y="322730"/>
                            <a:ext cx="476410" cy="207468"/>
                          </a:xfrm>
                          <a:custGeom>
                            <a:avLst/>
                            <a:gdLst>
                              <a:gd name="connsiteX0" fmla="*/ 0 w 476410"/>
                              <a:gd name="connsiteY0" fmla="*/ 207468 h 207468"/>
                              <a:gd name="connsiteX1" fmla="*/ 476410 w 476410"/>
                              <a:gd name="connsiteY1" fmla="*/ 207468 h 207468"/>
                              <a:gd name="connsiteX2" fmla="*/ 476410 w 476410"/>
                              <a:gd name="connsiteY2" fmla="*/ 0 h 207468"/>
                            </a:gdLst>
                            <a:ahLst/>
                            <a:cxnLst>
                              <a:cxn ang="0">
                                <a:pos x="connsiteX0" y="connsiteY0"/>
                              </a:cxn>
                              <a:cxn ang="0">
                                <a:pos x="connsiteX1" y="connsiteY1"/>
                              </a:cxn>
                              <a:cxn ang="0">
                                <a:pos x="connsiteX2" y="connsiteY2"/>
                              </a:cxn>
                            </a:cxnLst>
                            <a:rect l="l" t="t" r="r" b="b"/>
                            <a:pathLst>
                              <a:path w="476410" h="207468">
                                <a:moveTo>
                                  <a:pt x="0" y="207468"/>
                                </a:moveTo>
                                <a:lnTo>
                                  <a:pt x="476410" y="207468"/>
                                </a:lnTo>
                                <a:lnTo>
                                  <a:pt x="476410" y="0"/>
                                </a:lnTo>
                              </a:path>
                            </a:pathLst>
                          </a:custGeom>
                          <a:noFill/>
                          <a:ln w="9525" cap="flat" cmpd="sng" algn="ctr">
                            <a:solidFill>
                              <a:sysClr val="windowText" lastClr="000000"/>
                            </a:solidFill>
                            <a:prstDash val="solid"/>
                            <a:tailEnd type="triangle"/>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anchor>
            </w:drawing>
          </mc:Choice>
          <mc:Fallback xmlns:w16cei="http://schemas.microsoft.com/office/word/2026/wordml/cei">
            <w:pict>
              <v:group w14:anchorId="08E0DEFA" id="グループ化 4841" o:spid="_x0000_s1615" style="position:absolute;left:0;text-align:left;margin-left:3.9pt;margin-top:9.45pt;width:449.9pt;height:108pt;z-index:253929472;mso-position-horizontal-relative:text;mso-position-vertical-relative:text" coordsize="57137,1371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">
                <v:group id="グループ化 4824" o:spid="_x0000_s1616" style="position:absolute;width:57137;height:13716" coordsize="57140,1371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">
                  <v:roundrect id="AutoShape 2722" o:spid="_x0000_s1617" style="position:absolute;top:4216;width:11430;height:2286;visibility:visible;mso-wrap-style:square;v-text-anchor:top"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">
                    <v:textbox inset="5.85pt,.7pt,5.85pt,.7pt">
                      <w:txbxContent>
                        <w:p w14:paraId="17295DB2" w14:textId="77777777" w:rsidR="006A5267" w:rsidRPr="002255AC" w:rsidRDefault="006A5267" w:rsidP="008B4B2B">
                          <w:pPr>
                            <w:spacing w:line="240" w:lineRule="exact"/>
                            <w:rPr>
                              <w:rFonts w:ascii="ＭＳ ゴシック" w:eastAsia="ＭＳ ゴシック" w:hAnsi="ＭＳ ゴシック"/>
                              <w:sz w:val="20"/>
                              <w:szCs w:val="20"/>
                            </w:rPr>
                          </w:pPr>
                          <w:r w:rsidRPr="002255AC">
                            <w:rPr>
                              <w:rFonts w:ascii="ＭＳ ゴシック" w:eastAsia="ＭＳ ゴシック" w:hAnsi="ＭＳ ゴシック" w:hint="eastAsia"/>
                              <w:sz w:val="20"/>
                              <w:szCs w:val="20"/>
                            </w:rPr>
                            <w:t>大阪管区気象台</w:t>
                          </w:r>
                        </w:p>
                      </w:txbxContent>
                    </v:textbox>
                  </v:roundrect>
                  <v:roundrect id="AutoShape 2723" o:spid="_x0000_s1618" style="position:absolute;left:14830;top:4216;width:12573;height:2286;visibility:visible;mso-wrap-style:square;v-text-anchor:top"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">
                    <v:textbox inset="5.85pt,.7pt,5.85pt,.7pt">
                      <w:txbxContent>
                        <w:p w14:paraId="7055329F" w14:textId="77777777" w:rsidR="006A5267" w:rsidRPr="002255AC" w:rsidRDefault="006A5267" w:rsidP="008B4B2B">
                          <w:pPr>
                            <w:spacing w:line="240" w:lineRule="exact"/>
                            <w:rPr>
                              <w:rFonts w:ascii="ＭＳ ゴシック" w:eastAsia="ＭＳ ゴシック" w:hAnsi="ＭＳ ゴシック"/>
                              <w:sz w:val="20"/>
                              <w:szCs w:val="20"/>
                            </w:rPr>
                          </w:pPr>
                          <w:r w:rsidRPr="002255AC">
                            <w:rPr>
                              <w:rFonts w:ascii="ＭＳ ゴシック" w:eastAsia="ＭＳ ゴシック" w:hAnsi="ＭＳ ゴシック" w:hint="eastAsia"/>
                              <w:sz w:val="20"/>
                              <w:szCs w:val="20"/>
                            </w:rPr>
                            <w:t>大阪</w:t>
                          </w:r>
                          <w:r>
                            <w:rPr>
                              <w:rFonts w:ascii="ＭＳ ゴシック" w:eastAsia="ＭＳ ゴシック" w:hAnsi="ＭＳ ゴシック" w:hint="eastAsia"/>
                              <w:sz w:val="20"/>
                              <w:szCs w:val="20"/>
                            </w:rPr>
                            <w:t>府危機管理室</w:t>
                          </w:r>
                        </w:p>
                      </w:txbxContent>
                    </v:textbox>
                  </v:roundrect>
                  <v:roundrect id="AutoShape 2725" o:spid="_x0000_s1619" style="position:absolute;left:30889;top:9749;width:14859;height:2286;visibility:visible;mso-wrap-style:square;v-text-anchor:top"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">
                    <v:textbox inset="5.85pt,.7pt,5.85pt,.7pt">
                      <w:txbxContent>
                        <w:p w14:paraId="54B5C9DB" w14:textId="77777777" w:rsidR="006A5267" w:rsidRPr="002255AC" w:rsidRDefault="006A5267" w:rsidP="008B4B2B">
                          <w:pPr>
                            <w:spacing w:line="240" w:lineRule="exact"/>
                            <w:rPr>
                              <w:rFonts w:ascii="ＭＳ ゴシック" w:eastAsia="ＭＳ ゴシック" w:hAnsi="ＭＳ ゴシック"/>
                              <w:sz w:val="20"/>
                              <w:szCs w:val="20"/>
                            </w:rPr>
                          </w:pPr>
                          <w:r>
                            <w:rPr>
                              <w:rFonts w:ascii="ＭＳ ゴシック" w:eastAsia="ＭＳ ゴシック" w:hAnsi="ＭＳ ゴシック" w:hint="eastAsia"/>
                              <w:sz w:val="20"/>
                              <w:szCs w:val="20"/>
                            </w:rPr>
                            <w:t>府庁各課・出先機関等</w:t>
                          </w:r>
                        </w:p>
                      </w:txbxContent>
                    </v:textbox>
                  </v:roundrect>
                  <v:roundrect id="AutoShape 2726" o:spid="_x0000_s1620" style="position:absolute;left:49139;top:5715;width:13716;height:2286;rotation:90;visibility:visible;mso-wrap-style:square;v-text-anchor:top"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">
                    <v:textbox inset="5.85pt,.7pt,5.85pt,.7pt">
                      <w:txbxContent>
                        <w:p w14:paraId="74CA0178" w14:textId="77777777" w:rsidR="006A5267" w:rsidRDefault="006A5267" w:rsidP="008B4B2B">
                          <w:pPr>
                            <w:spacing w:line="240" w:lineRule="exact"/>
                            <w:rPr>
                              <w:rFonts w:ascii="ＭＳ ゴシック" w:eastAsia="ＭＳ ゴシック" w:hAnsi="ＭＳ ゴシック"/>
                              <w:sz w:val="20"/>
                              <w:szCs w:val="20"/>
                            </w:rPr>
                          </w:pPr>
                        </w:p>
                        <w:p w14:paraId="04A74E16" w14:textId="77777777" w:rsidR="006A5267" w:rsidRPr="002255AC" w:rsidRDefault="006A5267" w:rsidP="008B4B2B">
                          <w:pPr>
                            <w:spacing w:line="240" w:lineRule="exact"/>
                            <w:rPr>
                              <w:rFonts w:ascii="ＭＳ ゴシック" w:eastAsia="ＭＳ ゴシック" w:hAnsi="ＭＳ ゴシック"/>
                              <w:sz w:val="20"/>
                              <w:szCs w:val="20"/>
                            </w:rPr>
                          </w:pPr>
                          <w:r>
                            <w:rPr>
                              <w:rFonts w:ascii="ＭＳ ゴシック" w:eastAsia="ＭＳ ゴシック" w:hAnsi="ＭＳ ゴシック" w:hint="eastAsia"/>
                              <w:sz w:val="20"/>
                              <w:szCs w:val="20"/>
                            </w:rPr>
                            <w:t>住民・その他</w:t>
                          </w:r>
                        </w:p>
                      </w:txbxContent>
                    </v:textbox>
                  </v:roundrect>
                  <v:roundrect id="AutoShape 2727" o:spid="_x0000_s1621" style="position:absolute;left:43798;top:835;width:7620;height:2286;visibility:visible;mso-wrap-style:square;v-text-anchor:top"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">
                    <v:textbox inset="5.85pt,.7pt,5.85pt,.7pt">
                      <w:txbxContent>
                        <w:p w14:paraId="2CA6BAAF" w14:textId="77777777" w:rsidR="006A5267" w:rsidRPr="002255AC" w:rsidRDefault="006A5267" w:rsidP="008B4B2B">
                          <w:pPr>
                            <w:spacing w:line="240" w:lineRule="exact"/>
                            <w:rPr>
                              <w:rFonts w:ascii="ＭＳ ゴシック" w:eastAsia="ＭＳ ゴシック" w:hAnsi="ＭＳ ゴシック"/>
                              <w:sz w:val="20"/>
                              <w:szCs w:val="20"/>
                            </w:rPr>
                          </w:pPr>
                          <w:r>
                            <w:rPr>
                              <w:rFonts w:ascii="ＭＳ ゴシック" w:eastAsia="ＭＳ ゴシック" w:hAnsi="ＭＳ ゴシック" w:hint="eastAsia"/>
                              <w:sz w:val="20"/>
                              <w:szCs w:val="20"/>
                            </w:rPr>
                            <w:t>消防署等</w:t>
                          </w:r>
                        </w:p>
                      </w:txbxContent>
                    </v:textbox>
                  </v:roundrect>
                  <v:line id="Line 2728" o:spid="_x0000_s1622" style="position:absolute;visibility:visible;mso-wrap-style:square" from="11449,5292" to="14878,529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">
                    <v:stroke endarrow="block"/>
                  </v:line>
                  <v:line id="Line 2729" o:spid="_x0000_s1623" style="position:absolute;visibility:visible;mso-wrap-style:square" from="27432,5292" to="30861,529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">
                    <v:stroke endarrow="block"/>
                  </v:line>
                  <v:line id="Line 2730" o:spid="_x0000_s1624" style="position:absolute;visibility:visible;mso-wrap-style:square" from="42262,6060" to="54835,606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">
                    <v:stroke endarrow="block"/>
                  </v:line>
                  <v:line id="Line 2731" o:spid="_x0000_s1625" style="position:absolute;visibility:visible;mso-wrap-style:square" from="45720,10901" to="54864,1090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">
                    <v:stroke endarrow="block"/>
                  </v:line>
                  <v:line id="Line 2736" o:spid="_x0000_s1626" style="position:absolute;visibility:visible;mso-wrap-style:square" from="51406,1911" to="54835,191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">
                    <v:stroke endarrow="block"/>
                  </v:line>
                  <v:roundrect id="AutoShape 2724" o:spid="_x0000_s1627" style="position:absolute;left:30889;top:4216;width:11430;height:2286;visibility:visible;mso-wrap-style:square;v-text-anchor:top"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">
                    <v:textbox inset="5.85pt,.7pt,5.85pt,.7pt">
                      <w:txbxContent>
                        <w:p w14:paraId="2D55937B" w14:textId="77777777" w:rsidR="006A5267" w:rsidRPr="002255AC" w:rsidRDefault="006A5267" w:rsidP="008B4B2B">
                          <w:pPr>
                            <w:spacing w:line="240" w:lineRule="exact"/>
                            <w:rPr>
                              <w:rFonts w:ascii="ＭＳ ゴシック" w:eastAsia="ＭＳ ゴシック" w:hAnsi="ＭＳ ゴシック"/>
                              <w:sz w:val="20"/>
                              <w:szCs w:val="20"/>
                            </w:rPr>
                          </w:pPr>
                          <w:r>
                            <w:rPr>
                              <w:rFonts w:ascii="ＭＳ ゴシック" w:eastAsia="ＭＳ ゴシック" w:hAnsi="ＭＳ ゴシック" w:hint="eastAsia"/>
                              <w:sz w:val="20"/>
                              <w:szCs w:val="20"/>
                            </w:rPr>
                            <w:t>市町村・消防機関</w:t>
                          </w:r>
                        </w:p>
                      </w:txbxContent>
                    </v:textbox>
                  </v:roundrect>
                </v:group>
                <v:shape id="フリーフォーム 4839" o:spid="_x0000_s1628" style="position:absolute;left:28200;top:5378;width:2612;height:5610;visibility:visible;mso-wrap-style:square;v-text-anchor:middle" coordsize="261257,5609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" path="m,l,560935r261257,e" filled="f" strokecolor="windowText">
                  <v:stroke endarrow="block"/>
                  <v:path arrowok="t" o:connecttype="custom" o:connectlocs="0,0;0,560935;261257,560935" o:connectangles="0,0,0"/>
                </v:shape>
                <v:shape id="フリーフォーム 4840" o:spid="_x0000_s1629" style="position:absolute;left:42339;top:3227;width:4764;height:2074;visibility:visible;mso-wrap-style:square;v-text-anchor:middle" coordsize="476410,20746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" path="m,207468r476410,l476410,e" filled="f" strokecolor="windowText">
                  <v:stroke endarrow="block"/>
                  <v:path arrowok="t" o:connecttype="custom" o:connectlocs="0,207468;476410,207468;476410,0" o:connectangles="0,0,0"/>
                </v:shape>
              </v:group>
            </w:pict>
          </mc:Fallback>
        </mc:AlternateContent>
      </w:r>
      <w:r w:rsidRPr="008A3EDE">
        <w:rPr>
          <w:rFonts w:hAnsi="ＭＳ 明朝" w:hint="eastAsia"/>
          <w:sz w:val="22"/>
          <w:szCs w:val="22"/>
        </w:rPr>
        <w:t xml:space="preserve">(1) </w:t>
      </w:r>
      <w:r w:rsidRPr="008A3EDE">
        <w:rPr>
          <w:rFonts w:hAnsi="ＭＳ 明朝" w:hint="eastAsia"/>
          <w:sz w:val="22"/>
          <w:szCs w:val="22"/>
        </w:rPr>
        <w:t>南海トラフ地震臨時情報・関連解説情報</w:t>
      </w:r>
    </w:p>
    <w:p w14:paraId="707A8B52" w14:textId="77777777" w:rsidR="008B4B2B" w:rsidRPr="008A3EDE" w:rsidRDefault="008B4B2B" w:rsidP="008B4B2B">
      <w:pPr>
        <w:ind w:rightChars="500" w:right="1055"/>
        <w:rPr>
          <w:rFonts w:hAnsi="ＭＳ 明朝"/>
          <w:szCs w:val="18"/>
        </w:rPr>
      </w:pPr>
    </w:p>
    <w:p w14:paraId="283FB9DC" w14:textId="77777777" w:rsidR="008B4B2B" w:rsidRPr="008A3EDE" w:rsidRDefault="008B4B2B" w:rsidP="008B4B2B">
      <w:pPr>
        <w:ind w:rightChars="500" w:right="1055"/>
        <w:rPr>
          <w:rFonts w:hAnsi="ＭＳ 明朝"/>
          <w:szCs w:val="18"/>
        </w:rPr>
      </w:pPr>
    </w:p>
    <w:p w14:paraId="2FC9E425" w14:textId="77777777" w:rsidR="008B4B2B" w:rsidRPr="008A3EDE" w:rsidRDefault="008B4B2B" w:rsidP="008B4B2B">
      <w:pPr>
        <w:ind w:rightChars="500" w:right="1055"/>
        <w:rPr>
          <w:rFonts w:hAnsi="ＭＳ 明朝"/>
          <w:szCs w:val="18"/>
        </w:rPr>
      </w:pPr>
    </w:p>
    <w:p w14:paraId="6F423442" w14:textId="77777777" w:rsidR="008B4B2B" w:rsidRPr="008A3EDE" w:rsidRDefault="008B4B2B" w:rsidP="008B4B2B">
      <w:pPr>
        <w:ind w:rightChars="500" w:right="1055"/>
        <w:rPr>
          <w:rFonts w:hAnsi="ＭＳ 明朝"/>
          <w:szCs w:val="18"/>
        </w:rPr>
      </w:pPr>
    </w:p>
    <w:p w14:paraId="59DBB97E" w14:textId="77777777" w:rsidR="008B4B2B" w:rsidRPr="008A3EDE" w:rsidRDefault="008B4B2B" w:rsidP="008B4B2B">
      <w:pPr>
        <w:ind w:rightChars="500" w:right="1055"/>
        <w:rPr>
          <w:rFonts w:hAnsi="ＭＳ 明朝"/>
          <w:szCs w:val="18"/>
        </w:rPr>
      </w:pPr>
    </w:p>
    <w:p w14:paraId="5D67F7CE" w14:textId="77777777" w:rsidR="008B4B2B" w:rsidRPr="008A3EDE" w:rsidRDefault="008B4B2B" w:rsidP="008B4B2B">
      <w:pPr>
        <w:ind w:rightChars="500" w:right="1055"/>
        <w:rPr>
          <w:rFonts w:hAnsi="ＭＳ 明朝"/>
          <w:szCs w:val="18"/>
        </w:rPr>
      </w:pPr>
    </w:p>
    <w:p w14:paraId="789A7C4A" w14:textId="77777777" w:rsidR="008B4B2B" w:rsidRPr="008A3EDE" w:rsidRDefault="008B4B2B" w:rsidP="008B4B2B">
      <w:pPr>
        <w:ind w:rightChars="500" w:right="1055"/>
        <w:rPr>
          <w:rFonts w:hAnsi="ＭＳ 明朝"/>
          <w:szCs w:val="18"/>
        </w:rPr>
      </w:pPr>
    </w:p>
    <w:p w14:paraId="599F16A5" w14:textId="77777777" w:rsidR="008B4B2B" w:rsidRPr="008A3EDE" w:rsidRDefault="008B4B2B" w:rsidP="008B4B2B">
      <w:pPr>
        <w:ind w:rightChars="500" w:right="1055" w:firstLineChars="300" w:firstLine="663"/>
        <w:rPr>
          <w:rFonts w:hAnsi="ＭＳ 明朝"/>
          <w:sz w:val="22"/>
          <w:szCs w:val="22"/>
        </w:rPr>
      </w:pPr>
      <w:r w:rsidRPr="008A3EDE">
        <w:rPr>
          <w:rFonts w:hAnsi="ＭＳ 明朝" w:hint="eastAsia"/>
          <w:noProof/>
          <w:sz w:val="22"/>
          <w:szCs w:val="22"/>
        </w:rPr>
        <mc:AlternateContent>
          <mc:Choice Requires="wpg">
            <w:drawing>
              <wp:anchor distT="0" distB="0" distL="114300" distR="114300" simplePos="0" relativeHeight="253930496" behindDoc="0" locked="0" layoutInCell="1" allowOverlap="1" wp14:anchorId="0D917ED1" wp14:editId="2A538E24">
                <wp:simplePos x="0" y="0"/>
                <wp:positionH relativeFrom="column">
                  <wp:posOffset>49530</wp:posOffset>
                </wp:positionH>
                <wp:positionV relativeFrom="paragraph">
                  <wp:posOffset>97155</wp:posOffset>
                </wp:positionV>
                <wp:extent cx="5713730" cy="1371600"/>
                <wp:effectExtent l="0" t="0" r="20320" b="19050"/>
                <wp:wrapNone/>
                <wp:docPr id="4842" name="グループ化 4842"/>
                <wp:cNvGraphicFramePr/>
                <a:graphic xmlns:a="http://schemas.openxmlformats.org/drawingml/2006/main">
                  <a:graphicData uri="http://schemas.microsoft.com/office/word/2010/wordprocessingGroup">
                    <wpg:wgp>
                      <wpg:cNvGrpSpPr/>
                      <wpg:grpSpPr>
                        <a:xfrm>
                          <a:off x="0" y="0"/>
                          <a:ext cx="5713730" cy="1371600"/>
                          <a:chOff x="0" y="0"/>
                          <a:chExt cx="5713730" cy="1371600"/>
                        </a:xfrm>
                      </wpg:grpSpPr>
                      <wpg:grpSp>
                        <wpg:cNvPr id="4843" name="グループ化 4843"/>
                        <wpg:cNvGrpSpPr/>
                        <wpg:grpSpPr>
                          <a:xfrm>
                            <a:off x="0" y="0"/>
                            <a:ext cx="5713730" cy="1371600"/>
                            <a:chOff x="0" y="0"/>
                            <a:chExt cx="5714040" cy="1371600"/>
                          </a:xfrm>
                        </wpg:grpSpPr>
                        <wps:wsp>
                          <wps:cNvPr id="4844" name="AutoShape 2722"/>
                          <wps:cNvSpPr>
                            <a:spLocks noChangeArrowheads="1"/>
                          </wps:cNvSpPr>
                          <wps:spPr bwMode="auto">
                            <a:xfrm>
                              <a:off x="0" y="421662"/>
                              <a:ext cx="1143000" cy="228600"/>
                            </a:xfrm>
                            <a:prstGeom prst="roundRect">
                              <a:avLst>
                                <a:gd name="adj" fmla="val 16667"/>
                              </a:avLst>
                            </a:prstGeom>
                            <a:solidFill>
                              <a:srgbClr val="FFFFFF"/>
                            </a:solidFill>
                            <a:ln w="9525">
                              <a:solidFill>
                                <a:srgbClr val="000000"/>
                              </a:solidFill>
                              <a:round/>
                              <a:headEnd/>
                              <a:tailEnd/>
                            </a:ln>
                          </wps:spPr>
                          <wps:txbx>
                            <w:txbxContent>
                              <w:p w14:paraId="09B51E15" w14:textId="77777777" w:rsidR="006A5267" w:rsidRPr="002255AC" w:rsidRDefault="006A5267" w:rsidP="008B4B2B">
                                <w:pPr>
                                  <w:spacing w:line="240" w:lineRule="exact"/>
                                  <w:rPr>
                                    <w:rFonts w:ascii="ＭＳ ゴシック" w:eastAsia="ＭＳ ゴシック" w:hAnsi="ＭＳ ゴシック"/>
                                    <w:sz w:val="20"/>
                                    <w:szCs w:val="20"/>
                                  </w:rPr>
                                </w:pPr>
                                <w:r w:rsidRPr="002255AC">
                                  <w:rPr>
                                    <w:rFonts w:ascii="ＭＳ ゴシック" w:eastAsia="ＭＳ ゴシック" w:hAnsi="ＭＳ ゴシック" w:hint="eastAsia"/>
                                    <w:sz w:val="20"/>
                                    <w:szCs w:val="20"/>
                                  </w:rPr>
                                  <w:t>大阪管区気象台</w:t>
                                </w:r>
                              </w:p>
                            </w:txbxContent>
                          </wps:txbx>
                          <wps:bodyPr rot="0" vert="horz" wrap="square" lIns="74295" tIns="8890" rIns="74295" bIns="8890" anchor="t" anchorCtr="0" upright="1">
                            <a:noAutofit/>
                          </wps:bodyPr>
                        </wps:wsp>
                        <wps:wsp>
                          <wps:cNvPr id="4845" name="AutoShape 2723"/>
                          <wps:cNvSpPr>
                            <a:spLocks noChangeArrowheads="1"/>
                          </wps:cNvSpPr>
                          <wps:spPr bwMode="auto">
                            <a:xfrm>
                              <a:off x="1483018" y="421662"/>
                              <a:ext cx="1257300" cy="228600"/>
                            </a:xfrm>
                            <a:prstGeom prst="roundRect">
                              <a:avLst>
                                <a:gd name="adj" fmla="val 16667"/>
                              </a:avLst>
                            </a:prstGeom>
                            <a:solidFill>
                              <a:srgbClr val="FFFFFF"/>
                            </a:solidFill>
                            <a:ln w="9525">
                              <a:solidFill>
                                <a:srgbClr val="000000"/>
                              </a:solidFill>
                              <a:round/>
                              <a:headEnd/>
                              <a:tailEnd/>
                            </a:ln>
                          </wps:spPr>
                          <wps:txbx>
                            <w:txbxContent>
                              <w:p w14:paraId="053D5FA3" w14:textId="77777777" w:rsidR="006A5267" w:rsidRPr="002255AC" w:rsidRDefault="006A5267" w:rsidP="008B4B2B">
                                <w:pPr>
                                  <w:spacing w:line="240" w:lineRule="exact"/>
                                  <w:rPr>
                                    <w:rFonts w:ascii="ＭＳ ゴシック" w:eastAsia="ＭＳ ゴシック" w:hAnsi="ＭＳ ゴシック"/>
                                    <w:sz w:val="20"/>
                                    <w:szCs w:val="20"/>
                                  </w:rPr>
                                </w:pPr>
                                <w:r w:rsidRPr="002255AC">
                                  <w:rPr>
                                    <w:rFonts w:ascii="ＭＳ ゴシック" w:eastAsia="ＭＳ ゴシック" w:hAnsi="ＭＳ ゴシック" w:hint="eastAsia"/>
                                    <w:sz w:val="20"/>
                                    <w:szCs w:val="20"/>
                                  </w:rPr>
                                  <w:t>大阪</w:t>
                                </w:r>
                                <w:r>
                                  <w:rPr>
                                    <w:rFonts w:ascii="ＭＳ ゴシック" w:eastAsia="ＭＳ ゴシック" w:hAnsi="ＭＳ ゴシック" w:hint="eastAsia"/>
                                    <w:sz w:val="20"/>
                                    <w:szCs w:val="20"/>
                                  </w:rPr>
                                  <w:t>府危機管理室</w:t>
                                </w:r>
                              </w:p>
                            </w:txbxContent>
                          </wps:txbx>
                          <wps:bodyPr rot="0" vert="horz" wrap="square" lIns="74295" tIns="8890" rIns="74295" bIns="8890" anchor="t" anchorCtr="0" upright="1">
                            <a:noAutofit/>
                          </wps:bodyPr>
                        </wps:wsp>
                        <wps:wsp>
                          <wps:cNvPr id="4846" name="AutoShape 2725"/>
                          <wps:cNvSpPr>
                            <a:spLocks noChangeArrowheads="1"/>
                          </wps:cNvSpPr>
                          <wps:spPr bwMode="auto">
                            <a:xfrm>
                              <a:off x="3088981" y="974912"/>
                              <a:ext cx="1485900" cy="228600"/>
                            </a:xfrm>
                            <a:prstGeom prst="roundRect">
                              <a:avLst>
                                <a:gd name="adj" fmla="val 16667"/>
                              </a:avLst>
                            </a:prstGeom>
                            <a:solidFill>
                              <a:srgbClr val="FFFFFF"/>
                            </a:solidFill>
                            <a:ln w="9525">
                              <a:solidFill>
                                <a:srgbClr val="000000"/>
                              </a:solidFill>
                              <a:round/>
                              <a:headEnd/>
                              <a:tailEnd/>
                            </a:ln>
                          </wps:spPr>
                          <wps:txbx>
                            <w:txbxContent>
                              <w:p w14:paraId="4601A2A1" w14:textId="77777777" w:rsidR="006A5267" w:rsidRPr="002255AC" w:rsidRDefault="006A5267" w:rsidP="008B4B2B">
                                <w:pPr>
                                  <w:spacing w:line="240" w:lineRule="exact"/>
                                  <w:rPr>
                                    <w:rFonts w:ascii="ＭＳ ゴシック" w:eastAsia="ＭＳ ゴシック" w:hAnsi="ＭＳ ゴシック"/>
                                    <w:sz w:val="20"/>
                                    <w:szCs w:val="20"/>
                                  </w:rPr>
                                </w:pPr>
                                <w:r>
                                  <w:rPr>
                                    <w:rFonts w:ascii="ＭＳ ゴシック" w:eastAsia="ＭＳ ゴシック" w:hAnsi="ＭＳ ゴシック" w:hint="eastAsia"/>
                                    <w:sz w:val="20"/>
                                    <w:szCs w:val="20"/>
                                  </w:rPr>
                                  <w:t>府庁各課・出先機関等</w:t>
                                </w:r>
                              </w:p>
                            </w:txbxContent>
                          </wps:txbx>
                          <wps:bodyPr rot="0" vert="horz" wrap="square" lIns="74295" tIns="8890" rIns="74295" bIns="8890" anchor="t" anchorCtr="0" upright="1">
                            <a:noAutofit/>
                          </wps:bodyPr>
                        </wps:wsp>
                        <wps:wsp>
                          <wps:cNvPr id="4847" name="AutoShape 2726"/>
                          <wps:cNvSpPr>
                            <a:spLocks noChangeArrowheads="1"/>
                          </wps:cNvSpPr>
                          <wps:spPr bwMode="auto">
                            <a:xfrm rot="5400000">
                              <a:off x="4913940" y="571500"/>
                              <a:ext cx="1371600" cy="228600"/>
                            </a:xfrm>
                            <a:prstGeom prst="roundRect">
                              <a:avLst>
                                <a:gd name="adj" fmla="val 16667"/>
                              </a:avLst>
                            </a:prstGeom>
                            <a:solidFill>
                              <a:srgbClr val="FFFFFF"/>
                            </a:solidFill>
                            <a:ln w="9525">
                              <a:solidFill>
                                <a:srgbClr val="000000"/>
                              </a:solidFill>
                              <a:round/>
                              <a:headEnd/>
                              <a:tailEnd/>
                            </a:ln>
                          </wps:spPr>
                          <wps:txbx>
                            <w:txbxContent>
                              <w:p w14:paraId="0058173E" w14:textId="77777777" w:rsidR="006A5267" w:rsidRDefault="006A5267" w:rsidP="008B4B2B">
                                <w:pPr>
                                  <w:spacing w:line="240" w:lineRule="exact"/>
                                  <w:rPr>
                                    <w:rFonts w:ascii="ＭＳ ゴシック" w:eastAsia="ＭＳ ゴシック" w:hAnsi="ＭＳ ゴシック"/>
                                    <w:sz w:val="20"/>
                                    <w:szCs w:val="20"/>
                                  </w:rPr>
                                </w:pPr>
                              </w:p>
                              <w:p w14:paraId="4E80491D" w14:textId="77777777" w:rsidR="006A5267" w:rsidRPr="002255AC" w:rsidRDefault="006A5267" w:rsidP="008B4B2B">
                                <w:pPr>
                                  <w:spacing w:line="240" w:lineRule="exact"/>
                                  <w:rPr>
                                    <w:rFonts w:ascii="ＭＳ ゴシック" w:eastAsia="ＭＳ ゴシック" w:hAnsi="ＭＳ ゴシック"/>
                                    <w:sz w:val="20"/>
                                    <w:szCs w:val="20"/>
                                  </w:rPr>
                                </w:pPr>
                                <w:r>
                                  <w:rPr>
                                    <w:rFonts w:ascii="ＭＳ ゴシック" w:eastAsia="ＭＳ ゴシック" w:hAnsi="ＭＳ ゴシック" w:hint="eastAsia"/>
                                    <w:sz w:val="20"/>
                                    <w:szCs w:val="20"/>
                                  </w:rPr>
                                  <w:t>住民・その他</w:t>
                                </w:r>
                              </w:p>
                            </w:txbxContent>
                          </wps:txbx>
                          <wps:bodyPr rot="0" vert="horz" wrap="square" lIns="74295" tIns="8890" rIns="74295" bIns="8890" anchor="t" anchorCtr="0" upright="1">
                            <a:noAutofit/>
                          </wps:bodyPr>
                        </wps:wsp>
                        <wps:wsp>
                          <wps:cNvPr id="4848" name="AutoShape 2727"/>
                          <wps:cNvSpPr>
                            <a:spLocks noChangeArrowheads="1"/>
                          </wps:cNvSpPr>
                          <wps:spPr bwMode="auto">
                            <a:xfrm>
                              <a:off x="4379899" y="83564"/>
                              <a:ext cx="762000" cy="228600"/>
                            </a:xfrm>
                            <a:prstGeom prst="roundRect">
                              <a:avLst>
                                <a:gd name="adj" fmla="val 16667"/>
                              </a:avLst>
                            </a:prstGeom>
                            <a:solidFill>
                              <a:srgbClr val="FFFFFF"/>
                            </a:solidFill>
                            <a:ln w="9525">
                              <a:solidFill>
                                <a:srgbClr val="000000"/>
                              </a:solidFill>
                              <a:round/>
                              <a:headEnd/>
                              <a:tailEnd/>
                            </a:ln>
                          </wps:spPr>
                          <wps:txbx>
                            <w:txbxContent>
                              <w:p w14:paraId="4EFFCB70" w14:textId="77777777" w:rsidR="006A5267" w:rsidRPr="002255AC" w:rsidRDefault="006A5267" w:rsidP="008B4B2B">
                                <w:pPr>
                                  <w:spacing w:line="240" w:lineRule="exact"/>
                                  <w:rPr>
                                    <w:rFonts w:ascii="ＭＳ ゴシック" w:eastAsia="ＭＳ ゴシック" w:hAnsi="ＭＳ ゴシック"/>
                                    <w:sz w:val="20"/>
                                    <w:szCs w:val="20"/>
                                  </w:rPr>
                                </w:pPr>
                                <w:r>
                                  <w:rPr>
                                    <w:rFonts w:ascii="ＭＳ ゴシック" w:eastAsia="ＭＳ ゴシック" w:hAnsi="ＭＳ ゴシック" w:hint="eastAsia"/>
                                    <w:sz w:val="20"/>
                                    <w:szCs w:val="20"/>
                                  </w:rPr>
                                  <w:t>消防署等</w:t>
                                </w:r>
                              </w:p>
                            </w:txbxContent>
                          </wps:txbx>
                          <wps:bodyPr rot="0" vert="horz" wrap="square" lIns="74295" tIns="8890" rIns="74295" bIns="8890" anchor="t" anchorCtr="0" upright="1">
                            <a:noAutofit/>
                          </wps:bodyPr>
                        </wps:wsp>
                        <wps:wsp>
                          <wps:cNvPr id="4849" name="Line 2728"/>
                          <wps:cNvCnPr>
                            <a:cxnSpLocks noChangeShapeType="1"/>
                          </wps:cNvCnPr>
                          <wps:spPr bwMode="auto">
                            <a:xfrm>
                              <a:off x="1144921" y="529238"/>
                              <a:ext cx="342900" cy="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4850" name="Line 2729"/>
                          <wps:cNvCnPr>
                            <a:cxnSpLocks noChangeShapeType="1"/>
                          </wps:cNvCnPr>
                          <wps:spPr bwMode="auto">
                            <a:xfrm>
                              <a:off x="2743200" y="529238"/>
                              <a:ext cx="342900" cy="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4851" name="Line 2730"/>
                          <wps:cNvCnPr>
                            <a:cxnSpLocks noChangeShapeType="1"/>
                          </wps:cNvCnPr>
                          <wps:spPr bwMode="auto">
                            <a:xfrm>
                              <a:off x="4226218" y="606078"/>
                              <a:ext cx="1257300" cy="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4852" name="Line 2731"/>
                          <wps:cNvCnPr>
                            <a:cxnSpLocks noChangeShapeType="1"/>
                          </wps:cNvCnPr>
                          <wps:spPr bwMode="auto">
                            <a:xfrm>
                              <a:off x="4572000" y="1090172"/>
                              <a:ext cx="914400" cy="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4853" name="Line 2736"/>
                          <wps:cNvCnPr>
                            <a:cxnSpLocks noChangeShapeType="1"/>
                          </wps:cNvCnPr>
                          <wps:spPr bwMode="auto">
                            <a:xfrm>
                              <a:off x="5140618" y="191141"/>
                              <a:ext cx="342900" cy="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4854" name="AutoShape 2724"/>
                          <wps:cNvSpPr>
                            <a:spLocks noChangeArrowheads="1"/>
                          </wps:cNvSpPr>
                          <wps:spPr bwMode="auto">
                            <a:xfrm>
                              <a:off x="3088981" y="421662"/>
                              <a:ext cx="1143000" cy="228600"/>
                            </a:xfrm>
                            <a:prstGeom prst="roundRect">
                              <a:avLst>
                                <a:gd name="adj" fmla="val 16667"/>
                              </a:avLst>
                            </a:prstGeom>
                            <a:solidFill>
                              <a:srgbClr val="FFFFFF"/>
                            </a:solidFill>
                            <a:ln w="9525">
                              <a:solidFill>
                                <a:srgbClr val="000000"/>
                              </a:solidFill>
                              <a:round/>
                              <a:headEnd/>
                              <a:tailEnd/>
                            </a:ln>
                          </wps:spPr>
                          <wps:txbx>
                            <w:txbxContent>
                              <w:p w14:paraId="3289087B" w14:textId="77777777" w:rsidR="006A5267" w:rsidRPr="002255AC" w:rsidRDefault="006A5267" w:rsidP="008B4B2B">
                                <w:pPr>
                                  <w:spacing w:line="240" w:lineRule="exact"/>
                                  <w:rPr>
                                    <w:rFonts w:ascii="ＭＳ ゴシック" w:eastAsia="ＭＳ ゴシック" w:hAnsi="ＭＳ ゴシック"/>
                                    <w:sz w:val="20"/>
                                    <w:szCs w:val="20"/>
                                  </w:rPr>
                                </w:pPr>
                                <w:r>
                                  <w:rPr>
                                    <w:rFonts w:ascii="ＭＳ ゴシック" w:eastAsia="ＭＳ ゴシック" w:hAnsi="ＭＳ ゴシック" w:hint="eastAsia"/>
                                    <w:sz w:val="20"/>
                                    <w:szCs w:val="20"/>
                                  </w:rPr>
                                  <w:t>市町村・消防機関</w:t>
                                </w:r>
                              </w:p>
                            </w:txbxContent>
                          </wps:txbx>
                          <wps:bodyPr rot="0" vert="horz" wrap="square" lIns="74295" tIns="8890" rIns="74295" bIns="8890" anchor="t" anchorCtr="0" upright="1">
                            <a:noAutofit/>
                          </wps:bodyPr>
                        </wps:wsp>
                      </wpg:grpSp>
                      <wps:wsp>
                        <wps:cNvPr id="4855" name="フリーフォーム 4855"/>
                        <wps:cNvSpPr/>
                        <wps:spPr>
                          <a:xfrm>
                            <a:off x="2820041" y="537882"/>
                            <a:ext cx="261257" cy="560935"/>
                          </a:xfrm>
                          <a:custGeom>
                            <a:avLst/>
                            <a:gdLst>
                              <a:gd name="connsiteX0" fmla="*/ 0 w 261257"/>
                              <a:gd name="connsiteY0" fmla="*/ 0 h 560935"/>
                              <a:gd name="connsiteX1" fmla="*/ 0 w 261257"/>
                              <a:gd name="connsiteY1" fmla="*/ 560935 h 560935"/>
                              <a:gd name="connsiteX2" fmla="*/ 261257 w 261257"/>
                              <a:gd name="connsiteY2" fmla="*/ 560935 h 560935"/>
                            </a:gdLst>
                            <a:ahLst/>
                            <a:cxnLst>
                              <a:cxn ang="0">
                                <a:pos x="connsiteX0" y="connsiteY0"/>
                              </a:cxn>
                              <a:cxn ang="0">
                                <a:pos x="connsiteX1" y="connsiteY1"/>
                              </a:cxn>
                              <a:cxn ang="0">
                                <a:pos x="connsiteX2" y="connsiteY2"/>
                              </a:cxn>
                            </a:cxnLst>
                            <a:rect l="l" t="t" r="r" b="b"/>
                            <a:pathLst>
                              <a:path w="261257" h="560935">
                                <a:moveTo>
                                  <a:pt x="0" y="0"/>
                                </a:moveTo>
                                <a:lnTo>
                                  <a:pt x="0" y="560935"/>
                                </a:lnTo>
                                <a:lnTo>
                                  <a:pt x="261257" y="560935"/>
                                </a:lnTo>
                              </a:path>
                            </a:pathLst>
                          </a:custGeom>
                          <a:noFill/>
                          <a:ln w="9525" cap="flat" cmpd="sng" algn="ctr">
                            <a:solidFill>
                              <a:sysClr val="windowText" lastClr="000000"/>
                            </a:solidFill>
                            <a:prstDash val="solid"/>
                            <a:tailEnd type="triangle"/>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4856" name="フリーフォーム 4856"/>
                        <wps:cNvSpPr/>
                        <wps:spPr>
                          <a:xfrm>
                            <a:off x="4233903" y="322730"/>
                            <a:ext cx="476410" cy="207468"/>
                          </a:xfrm>
                          <a:custGeom>
                            <a:avLst/>
                            <a:gdLst>
                              <a:gd name="connsiteX0" fmla="*/ 0 w 476410"/>
                              <a:gd name="connsiteY0" fmla="*/ 207468 h 207468"/>
                              <a:gd name="connsiteX1" fmla="*/ 476410 w 476410"/>
                              <a:gd name="connsiteY1" fmla="*/ 207468 h 207468"/>
                              <a:gd name="connsiteX2" fmla="*/ 476410 w 476410"/>
                              <a:gd name="connsiteY2" fmla="*/ 0 h 207468"/>
                            </a:gdLst>
                            <a:ahLst/>
                            <a:cxnLst>
                              <a:cxn ang="0">
                                <a:pos x="connsiteX0" y="connsiteY0"/>
                              </a:cxn>
                              <a:cxn ang="0">
                                <a:pos x="connsiteX1" y="connsiteY1"/>
                              </a:cxn>
                              <a:cxn ang="0">
                                <a:pos x="connsiteX2" y="connsiteY2"/>
                              </a:cxn>
                            </a:cxnLst>
                            <a:rect l="l" t="t" r="r" b="b"/>
                            <a:pathLst>
                              <a:path w="476410" h="207468">
                                <a:moveTo>
                                  <a:pt x="0" y="207468"/>
                                </a:moveTo>
                                <a:lnTo>
                                  <a:pt x="476410" y="207468"/>
                                </a:lnTo>
                                <a:lnTo>
                                  <a:pt x="476410" y="0"/>
                                </a:lnTo>
                              </a:path>
                            </a:pathLst>
                          </a:custGeom>
                          <a:noFill/>
                          <a:ln w="9525" cap="flat" cmpd="sng" algn="ctr">
                            <a:solidFill>
                              <a:sysClr val="windowText" lastClr="000000"/>
                            </a:solidFill>
                            <a:prstDash val="solid"/>
                            <a:tailEnd type="triangle"/>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anchor>
            </w:drawing>
          </mc:Choice>
          <mc:Fallback xmlns:w16cei="http://schemas.microsoft.com/office/word/2026/wordml/cei">
            <w:pict>
              <v:group w14:anchorId="0D917ED1" id="グループ化 4842" o:spid="_x0000_s1630" style="position:absolute;left:0;text-align:left;margin-left:3.9pt;margin-top:7.65pt;width:449.9pt;height:108pt;z-index:253930496;mso-position-horizontal-relative:text;mso-position-vertical-relative:text" coordsize="57137,1371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">
                <v:group id="グループ化 4843" o:spid="_x0000_s1631" style="position:absolute;width:57137;height:13716" coordsize="57140,1371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">
                  <v:roundrect id="AutoShape 2722" o:spid="_x0000_s1632" style="position:absolute;top:4216;width:11430;height:2286;visibility:visible;mso-wrap-style:square;v-text-anchor:top"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">
                    <v:textbox inset="5.85pt,.7pt,5.85pt,.7pt">
                      <w:txbxContent>
                        <w:p w14:paraId="09B51E15" w14:textId="77777777" w:rsidR="006A5267" w:rsidRPr="002255AC" w:rsidRDefault="006A5267" w:rsidP="008B4B2B">
                          <w:pPr>
                            <w:spacing w:line="240" w:lineRule="exact"/>
                            <w:rPr>
                              <w:rFonts w:ascii="ＭＳ ゴシック" w:eastAsia="ＭＳ ゴシック" w:hAnsi="ＭＳ ゴシック"/>
                              <w:sz w:val="20"/>
                              <w:szCs w:val="20"/>
                            </w:rPr>
                          </w:pPr>
                          <w:r w:rsidRPr="002255AC">
                            <w:rPr>
                              <w:rFonts w:ascii="ＭＳ ゴシック" w:eastAsia="ＭＳ ゴシック" w:hAnsi="ＭＳ ゴシック" w:hint="eastAsia"/>
                              <w:sz w:val="20"/>
                              <w:szCs w:val="20"/>
                            </w:rPr>
                            <w:t>大阪管区気象台</w:t>
                          </w:r>
                        </w:p>
                      </w:txbxContent>
                    </v:textbox>
                  </v:roundrect>
                  <v:roundrect id="AutoShape 2723" o:spid="_x0000_s1633" style="position:absolute;left:14830;top:4216;width:12573;height:2286;visibility:visible;mso-wrap-style:square;v-text-anchor:top"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">
                    <v:textbox inset="5.85pt,.7pt,5.85pt,.7pt">
                      <w:txbxContent>
                        <w:p w14:paraId="053D5FA3" w14:textId="77777777" w:rsidR="006A5267" w:rsidRPr="002255AC" w:rsidRDefault="006A5267" w:rsidP="008B4B2B">
                          <w:pPr>
                            <w:spacing w:line="240" w:lineRule="exact"/>
                            <w:rPr>
                              <w:rFonts w:ascii="ＭＳ ゴシック" w:eastAsia="ＭＳ ゴシック" w:hAnsi="ＭＳ ゴシック"/>
                              <w:sz w:val="20"/>
                              <w:szCs w:val="20"/>
                            </w:rPr>
                          </w:pPr>
                          <w:r w:rsidRPr="002255AC">
                            <w:rPr>
                              <w:rFonts w:ascii="ＭＳ ゴシック" w:eastAsia="ＭＳ ゴシック" w:hAnsi="ＭＳ ゴシック" w:hint="eastAsia"/>
                              <w:sz w:val="20"/>
                              <w:szCs w:val="20"/>
                            </w:rPr>
                            <w:t>大阪</w:t>
                          </w:r>
                          <w:r>
                            <w:rPr>
                              <w:rFonts w:ascii="ＭＳ ゴシック" w:eastAsia="ＭＳ ゴシック" w:hAnsi="ＭＳ ゴシック" w:hint="eastAsia"/>
                              <w:sz w:val="20"/>
                              <w:szCs w:val="20"/>
                            </w:rPr>
                            <w:t>府危機管理室</w:t>
                          </w:r>
                        </w:p>
                      </w:txbxContent>
                    </v:textbox>
                  </v:roundrect>
                  <v:roundrect id="AutoShape 2725" o:spid="_x0000_s1634" style="position:absolute;left:30889;top:9749;width:14859;height:2286;visibility:visible;mso-wrap-style:square;v-text-anchor:top"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">
                    <v:textbox inset="5.85pt,.7pt,5.85pt,.7pt">
                      <w:txbxContent>
                        <w:p w14:paraId="4601A2A1" w14:textId="77777777" w:rsidR="006A5267" w:rsidRPr="002255AC" w:rsidRDefault="006A5267" w:rsidP="008B4B2B">
                          <w:pPr>
                            <w:spacing w:line="240" w:lineRule="exact"/>
                            <w:rPr>
                              <w:rFonts w:ascii="ＭＳ ゴシック" w:eastAsia="ＭＳ ゴシック" w:hAnsi="ＭＳ ゴシック"/>
                              <w:sz w:val="20"/>
                              <w:szCs w:val="20"/>
                            </w:rPr>
                          </w:pPr>
                          <w:r>
                            <w:rPr>
                              <w:rFonts w:ascii="ＭＳ ゴシック" w:eastAsia="ＭＳ ゴシック" w:hAnsi="ＭＳ ゴシック" w:hint="eastAsia"/>
                              <w:sz w:val="20"/>
                              <w:szCs w:val="20"/>
                            </w:rPr>
                            <w:t>府庁各課・出先機関等</w:t>
                          </w:r>
                        </w:p>
                      </w:txbxContent>
                    </v:textbox>
                  </v:roundrect>
                  <v:roundrect id="AutoShape 2726" o:spid="_x0000_s1635" style="position:absolute;left:49139;top:5715;width:13716;height:2286;rotation:90;visibility:visible;mso-wrap-style:square;v-text-anchor:top"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">
                    <v:textbox inset="5.85pt,.7pt,5.85pt,.7pt">
                      <w:txbxContent>
                        <w:p w14:paraId="0058173E" w14:textId="77777777" w:rsidR="006A5267" w:rsidRDefault="006A5267" w:rsidP="008B4B2B">
                          <w:pPr>
                            <w:spacing w:line="240" w:lineRule="exact"/>
                            <w:rPr>
                              <w:rFonts w:ascii="ＭＳ ゴシック" w:eastAsia="ＭＳ ゴシック" w:hAnsi="ＭＳ ゴシック"/>
                              <w:sz w:val="20"/>
                              <w:szCs w:val="20"/>
                            </w:rPr>
                          </w:pPr>
                        </w:p>
                        <w:p w14:paraId="4E80491D" w14:textId="77777777" w:rsidR="006A5267" w:rsidRPr="002255AC" w:rsidRDefault="006A5267" w:rsidP="008B4B2B">
                          <w:pPr>
                            <w:spacing w:line="240" w:lineRule="exact"/>
                            <w:rPr>
                              <w:rFonts w:ascii="ＭＳ ゴシック" w:eastAsia="ＭＳ ゴシック" w:hAnsi="ＭＳ ゴシック"/>
                              <w:sz w:val="20"/>
                              <w:szCs w:val="20"/>
                            </w:rPr>
                          </w:pPr>
                          <w:r>
                            <w:rPr>
                              <w:rFonts w:ascii="ＭＳ ゴシック" w:eastAsia="ＭＳ ゴシック" w:hAnsi="ＭＳ ゴシック" w:hint="eastAsia"/>
                              <w:sz w:val="20"/>
                              <w:szCs w:val="20"/>
                            </w:rPr>
                            <w:t>住民・その他</w:t>
                          </w:r>
                        </w:p>
                      </w:txbxContent>
                    </v:textbox>
                  </v:roundrect>
                  <v:roundrect id="AutoShape 2727" o:spid="_x0000_s1636" style="position:absolute;left:43798;top:835;width:7620;height:2286;visibility:visible;mso-wrap-style:square;v-text-anchor:top"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">
                    <v:textbox inset="5.85pt,.7pt,5.85pt,.7pt">
                      <w:txbxContent>
                        <w:p w14:paraId="4EFFCB70" w14:textId="77777777" w:rsidR="006A5267" w:rsidRPr="002255AC" w:rsidRDefault="006A5267" w:rsidP="008B4B2B">
                          <w:pPr>
                            <w:spacing w:line="240" w:lineRule="exact"/>
                            <w:rPr>
                              <w:rFonts w:ascii="ＭＳ ゴシック" w:eastAsia="ＭＳ ゴシック" w:hAnsi="ＭＳ ゴシック"/>
                              <w:sz w:val="20"/>
                              <w:szCs w:val="20"/>
                            </w:rPr>
                          </w:pPr>
                          <w:r>
                            <w:rPr>
                              <w:rFonts w:ascii="ＭＳ ゴシック" w:eastAsia="ＭＳ ゴシック" w:hAnsi="ＭＳ ゴシック" w:hint="eastAsia"/>
                              <w:sz w:val="20"/>
                              <w:szCs w:val="20"/>
                            </w:rPr>
                            <w:t>消防署等</w:t>
                          </w:r>
                        </w:p>
                      </w:txbxContent>
                    </v:textbox>
                  </v:roundrect>
                  <v:line id="Line 2728" o:spid="_x0000_s1637" style="position:absolute;visibility:visible;mso-wrap-style:square" from="11449,5292" to="14878,529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">
                    <v:stroke endarrow="block"/>
                  </v:line>
                  <v:line id="Line 2729" o:spid="_x0000_s1638" style="position:absolute;visibility:visible;mso-wrap-style:square" from="27432,5292" to="30861,529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">
                    <v:stroke endarrow="block"/>
                  </v:line>
                  <v:line id="Line 2730" o:spid="_x0000_s1639" style="position:absolute;visibility:visible;mso-wrap-style:square" from="42262,6060" to="54835,606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">
                    <v:stroke endarrow="block"/>
                  </v:line>
                  <v:line id="Line 2731" o:spid="_x0000_s1640" style="position:absolute;visibility:visible;mso-wrap-style:square" from="45720,10901" to="54864,1090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">
                    <v:stroke endarrow="block"/>
                  </v:line>
                  <v:line id="Line 2736" o:spid="_x0000_s1641" style="position:absolute;visibility:visible;mso-wrap-style:square" from="51406,1911" to="54835,191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">
                    <v:stroke endarrow="block"/>
                  </v:line>
                  <v:roundrect id="AutoShape 2724" o:spid="_x0000_s1642" style="position:absolute;left:30889;top:4216;width:11430;height:2286;visibility:visible;mso-wrap-style:square;v-text-anchor:top"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">
                    <v:textbox inset="5.85pt,.7pt,5.85pt,.7pt">
                      <w:txbxContent>
                        <w:p w14:paraId="3289087B" w14:textId="77777777" w:rsidR="006A5267" w:rsidRPr="002255AC" w:rsidRDefault="006A5267" w:rsidP="008B4B2B">
                          <w:pPr>
                            <w:spacing w:line="240" w:lineRule="exact"/>
                            <w:rPr>
                              <w:rFonts w:ascii="ＭＳ ゴシック" w:eastAsia="ＭＳ ゴシック" w:hAnsi="ＭＳ ゴシック"/>
                              <w:sz w:val="20"/>
                              <w:szCs w:val="20"/>
                            </w:rPr>
                          </w:pPr>
                          <w:r>
                            <w:rPr>
                              <w:rFonts w:ascii="ＭＳ ゴシック" w:eastAsia="ＭＳ ゴシック" w:hAnsi="ＭＳ ゴシック" w:hint="eastAsia"/>
                              <w:sz w:val="20"/>
                              <w:szCs w:val="20"/>
                            </w:rPr>
                            <w:t>市町村・消防機関</w:t>
                          </w:r>
                        </w:p>
                      </w:txbxContent>
                    </v:textbox>
                  </v:roundrect>
                </v:group>
                <v:shape id="フリーフォーム 4855" o:spid="_x0000_s1643" style="position:absolute;left:28200;top:5378;width:2612;height:5610;visibility:visible;mso-wrap-style:square;v-text-anchor:middle" coordsize="261257,5609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" path="m,l,560935r261257,e" filled="f" strokecolor="windowText">
                  <v:stroke endarrow="block"/>
                  <v:path arrowok="t" o:connecttype="custom" o:connectlocs="0,0;0,560935;261257,560935" o:connectangles="0,0,0"/>
                </v:shape>
                <v:shape id="フリーフォーム 4856" o:spid="_x0000_s1644" style="position:absolute;left:42339;top:3227;width:4764;height:2074;visibility:visible;mso-wrap-style:square;v-text-anchor:middle" coordsize="476410,20746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" path="m,207468r476410,l476410,e" filled="f" strokecolor="windowText">
                  <v:stroke endarrow="block"/>
                  <v:path arrowok="t" o:connecttype="custom" o:connectlocs="0,207468;476410,207468;476410,0" o:connectangles="0,0,0"/>
                </v:shape>
              </v:group>
            </w:pict>
          </mc:Fallback>
        </mc:AlternateContent>
      </w:r>
      <w:r w:rsidRPr="008A3EDE">
        <w:rPr>
          <w:rFonts w:hAnsi="ＭＳ 明朝"/>
          <w:sz w:val="22"/>
          <w:szCs w:val="22"/>
        </w:rPr>
        <w:t>(2)</w:t>
      </w:r>
      <w:r w:rsidRPr="008A3EDE">
        <w:rPr>
          <w:rFonts w:hAnsi="ＭＳ 明朝" w:hint="eastAsia"/>
          <w:sz w:val="22"/>
          <w:szCs w:val="22"/>
        </w:rPr>
        <w:t xml:space="preserve"> </w:t>
      </w:r>
      <w:r w:rsidRPr="008A3EDE">
        <w:rPr>
          <w:rFonts w:hAnsi="ＭＳ 明朝" w:hint="eastAsia"/>
          <w:sz w:val="22"/>
          <w:szCs w:val="22"/>
        </w:rPr>
        <w:t>関係省庁災害警戒会議の情報</w:t>
      </w:r>
    </w:p>
    <w:p w14:paraId="4734AA35" w14:textId="77777777" w:rsidR="008B4B2B" w:rsidRPr="008A3EDE" w:rsidRDefault="008B4B2B" w:rsidP="008B4B2B">
      <w:pPr>
        <w:ind w:rightChars="500" w:right="1055"/>
        <w:rPr>
          <w:rFonts w:hAnsi="ＭＳ 明朝"/>
          <w:szCs w:val="18"/>
        </w:rPr>
      </w:pPr>
    </w:p>
    <w:p w14:paraId="4A728D2B" w14:textId="77777777" w:rsidR="008B4B2B" w:rsidRPr="008A3EDE" w:rsidRDefault="008B4B2B" w:rsidP="008B4B2B">
      <w:pPr>
        <w:ind w:rightChars="500" w:right="1055"/>
        <w:rPr>
          <w:rFonts w:hAnsi="ＭＳ 明朝"/>
          <w:szCs w:val="18"/>
        </w:rPr>
      </w:pPr>
    </w:p>
    <w:p w14:paraId="279E8343" w14:textId="77777777" w:rsidR="008B4B2B" w:rsidRPr="008A3EDE" w:rsidRDefault="008B4B2B" w:rsidP="008B4B2B">
      <w:pPr>
        <w:ind w:rightChars="500" w:right="1055"/>
        <w:rPr>
          <w:rFonts w:hAnsi="ＭＳ 明朝"/>
          <w:szCs w:val="18"/>
        </w:rPr>
      </w:pPr>
    </w:p>
    <w:p w14:paraId="071E769D" w14:textId="77777777" w:rsidR="008B4B2B" w:rsidRPr="008A3EDE" w:rsidRDefault="008B4B2B" w:rsidP="008B4B2B">
      <w:pPr>
        <w:ind w:rightChars="500" w:right="1055"/>
        <w:rPr>
          <w:rFonts w:hAnsi="ＭＳ 明朝"/>
          <w:szCs w:val="18"/>
        </w:rPr>
      </w:pPr>
    </w:p>
    <w:p w14:paraId="36B90D46" w14:textId="77777777" w:rsidR="008B4B2B" w:rsidRPr="008A3EDE" w:rsidRDefault="008B4B2B" w:rsidP="008B4B2B">
      <w:pPr>
        <w:ind w:rightChars="500" w:right="1055"/>
        <w:rPr>
          <w:rFonts w:hAnsi="ＭＳ 明朝"/>
          <w:szCs w:val="18"/>
        </w:rPr>
      </w:pPr>
    </w:p>
    <w:p w14:paraId="743EFEA8" w14:textId="77777777" w:rsidR="008B4B2B" w:rsidRPr="008A3EDE" w:rsidRDefault="008B4B2B" w:rsidP="008B4B2B">
      <w:pPr>
        <w:ind w:rightChars="500" w:right="1055"/>
        <w:rPr>
          <w:rFonts w:hAnsi="ＭＳ 明朝"/>
          <w:szCs w:val="18"/>
        </w:rPr>
      </w:pPr>
    </w:p>
    <w:p w14:paraId="2FBC7722" w14:textId="77777777" w:rsidR="008B4B2B" w:rsidRPr="008A3EDE" w:rsidRDefault="008B4B2B" w:rsidP="008B4B2B">
      <w:pPr>
        <w:ind w:rightChars="500" w:right="1055" w:firstLineChars="300" w:firstLine="663"/>
        <w:rPr>
          <w:rFonts w:hAnsi="ＭＳ 明朝"/>
          <w:szCs w:val="18"/>
        </w:rPr>
      </w:pPr>
      <w:r w:rsidRPr="008A3EDE">
        <w:rPr>
          <w:rFonts w:hAnsi="ＭＳ 明朝" w:hint="eastAsia"/>
          <w:noProof/>
          <w:sz w:val="22"/>
          <w:szCs w:val="18"/>
        </w:rPr>
        <mc:AlternateContent>
          <mc:Choice Requires="wpg">
            <w:drawing>
              <wp:anchor distT="0" distB="0" distL="114300" distR="114300" simplePos="0" relativeHeight="253931520" behindDoc="0" locked="0" layoutInCell="1" allowOverlap="1" wp14:anchorId="19A6573A" wp14:editId="6280D7C3">
                <wp:simplePos x="0" y="0"/>
                <wp:positionH relativeFrom="column">
                  <wp:posOffset>791401</wp:posOffset>
                </wp:positionH>
                <wp:positionV relativeFrom="paragraph">
                  <wp:posOffset>112383</wp:posOffset>
                </wp:positionV>
                <wp:extent cx="4230370" cy="1371600"/>
                <wp:effectExtent l="0" t="0" r="17780" b="19050"/>
                <wp:wrapNone/>
                <wp:docPr id="4857" name="グループ化 4857"/>
                <wp:cNvGraphicFramePr/>
                <a:graphic xmlns:a="http://schemas.openxmlformats.org/drawingml/2006/main">
                  <a:graphicData uri="http://schemas.microsoft.com/office/word/2010/wordprocessingGroup">
                    <wpg:wgp>
                      <wpg:cNvGrpSpPr/>
                      <wpg:grpSpPr>
                        <a:xfrm>
                          <a:off x="0" y="0"/>
                          <a:ext cx="4230370" cy="1371600"/>
                          <a:chOff x="1482938" y="0"/>
                          <a:chExt cx="4230792" cy="1371600"/>
                        </a:xfrm>
                      </wpg:grpSpPr>
                      <wpg:grpSp>
                        <wpg:cNvPr id="4858" name="グループ化 4858"/>
                        <wpg:cNvGrpSpPr/>
                        <wpg:grpSpPr>
                          <a:xfrm>
                            <a:off x="1482938" y="0"/>
                            <a:ext cx="4230792" cy="1371600"/>
                            <a:chOff x="1483018" y="0"/>
                            <a:chExt cx="4231022" cy="1371600"/>
                          </a:xfrm>
                        </wpg:grpSpPr>
                        <wps:wsp>
                          <wps:cNvPr id="4860" name="AutoShape 2723"/>
                          <wps:cNvSpPr>
                            <a:spLocks noChangeArrowheads="1"/>
                          </wps:cNvSpPr>
                          <wps:spPr bwMode="auto">
                            <a:xfrm>
                              <a:off x="1483018" y="421662"/>
                              <a:ext cx="1257300" cy="228600"/>
                            </a:xfrm>
                            <a:prstGeom prst="roundRect">
                              <a:avLst>
                                <a:gd name="adj" fmla="val 16667"/>
                              </a:avLst>
                            </a:prstGeom>
                            <a:solidFill>
                              <a:srgbClr val="FFFFFF"/>
                            </a:solidFill>
                            <a:ln w="9525">
                              <a:solidFill>
                                <a:srgbClr val="000000"/>
                              </a:solidFill>
                              <a:round/>
                              <a:headEnd/>
                              <a:tailEnd/>
                            </a:ln>
                          </wps:spPr>
                          <wps:txbx>
                            <w:txbxContent>
                              <w:p w14:paraId="671E1F59" w14:textId="77777777" w:rsidR="006A5267" w:rsidRPr="002255AC" w:rsidRDefault="006A5267" w:rsidP="008B4B2B">
                                <w:pPr>
                                  <w:spacing w:line="240" w:lineRule="exact"/>
                                  <w:rPr>
                                    <w:rFonts w:ascii="ＭＳ ゴシック" w:eastAsia="ＭＳ ゴシック" w:hAnsi="ＭＳ ゴシック"/>
                                    <w:sz w:val="20"/>
                                    <w:szCs w:val="20"/>
                                  </w:rPr>
                                </w:pPr>
                                <w:r w:rsidRPr="002255AC">
                                  <w:rPr>
                                    <w:rFonts w:ascii="ＭＳ ゴシック" w:eastAsia="ＭＳ ゴシック" w:hAnsi="ＭＳ ゴシック" w:hint="eastAsia"/>
                                    <w:sz w:val="20"/>
                                    <w:szCs w:val="20"/>
                                  </w:rPr>
                                  <w:t>大阪</w:t>
                                </w:r>
                                <w:r>
                                  <w:rPr>
                                    <w:rFonts w:ascii="ＭＳ ゴシック" w:eastAsia="ＭＳ ゴシック" w:hAnsi="ＭＳ ゴシック" w:hint="eastAsia"/>
                                    <w:sz w:val="20"/>
                                    <w:szCs w:val="20"/>
                                  </w:rPr>
                                  <w:t>府危機管理室</w:t>
                                </w:r>
                              </w:p>
                            </w:txbxContent>
                          </wps:txbx>
                          <wps:bodyPr rot="0" vert="horz" wrap="square" lIns="74295" tIns="8890" rIns="74295" bIns="8890" anchor="t" anchorCtr="0" upright="1">
                            <a:noAutofit/>
                          </wps:bodyPr>
                        </wps:wsp>
                        <wps:wsp>
                          <wps:cNvPr id="4861" name="AutoShape 2725"/>
                          <wps:cNvSpPr>
                            <a:spLocks noChangeArrowheads="1"/>
                          </wps:cNvSpPr>
                          <wps:spPr bwMode="auto">
                            <a:xfrm>
                              <a:off x="3088981" y="974912"/>
                              <a:ext cx="1485900" cy="228600"/>
                            </a:xfrm>
                            <a:prstGeom prst="roundRect">
                              <a:avLst>
                                <a:gd name="adj" fmla="val 16667"/>
                              </a:avLst>
                            </a:prstGeom>
                            <a:solidFill>
                              <a:srgbClr val="FFFFFF"/>
                            </a:solidFill>
                            <a:ln w="9525">
                              <a:solidFill>
                                <a:srgbClr val="000000"/>
                              </a:solidFill>
                              <a:round/>
                              <a:headEnd/>
                              <a:tailEnd/>
                            </a:ln>
                          </wps:spPr>
                          <wps:txbx>
                            <w:txbxContent>
                              <w:p w14:paraId="2B7C8DF1" w14:textId="77777777" w:rsidR="006A5267" w:rsidRPr="002255AC" w:rsidRDefault="006A5267" w:rsidP="008B4B2B">
                                <w:pPr>
                                  <w:spacing w:line="240" w:lineRule="exact"/>
                                  <w:rPr>
                                    <w:rFonts w:ascii="ＭＳ ゴシック" w:eastAsia="ＭＳ ゴシック" w:hAnsi="ＭＳ ゴシック"/>
                                    <w:sz w:val="20"/>
                                    <w:szCs w:val="20"/>
                                  </w:rPr>
                                </w:pPr>
                                <w:r>
                                  <w:rPr>
                                    <w:rFonts w:ascii="ＭＳ ゴシック" w:eastAsia="ＭＳ ゴシック" w:hAnsi="ＭＳ ゴシック" w:hint="eastAsia"/>
                                    <w:sz w:val="20"/>
                                    <w:szCs w:val="20"/>
                                  </w:rPr>
                                  <w:t>府庁各課・出先機関等</w:t>
                                </w:r>
                              </w:p>
                            </w:txbxContent>
                          </wps:txbx>
                          <wps:bodyPr rot="0" vert="horz" wrap="square" lIns="74295" tIns="8890" rIns="74295" bIns="8890" anchor="t" anchorCtr="0" upright="1">
                            <a:noAutofit/>
                          </wps:bodyPr>
                        </wps:wsp>
                        <wps:wsp>
                          <wps:cNvPr id="4862" name="AutoShape 2726"/>
                          <wps:cNvSpPr>
                            <a:spLocks noChangeArrowheads="1"/>
                          </wps:cNvSpPr>
                          <wps:spPr bwMode="auto">
                            <a:xfrm rot="5400000">
                              <a:off x="4913940" y="571500"/>
                              <a:ext cx="1371600" cy="228600"/>
                            </a:xfrm>
                            <a:prstGeom prst="roundRect">
                              <a:avLst>
                                <a:gd name="adj" fmla="val 16667"/>
                              </a:avLst>
                            </a:prstGeom>
                            <a:solidFill>
                              <a:srgbClr val="FFFFFF"/>
                            </a:solidFill>
                            <a:ln w="9525">
                              <a:solidFill>
                                <a:srgbClr val="000000"/>
                              </a:solidFill>
                              <a:round/>
                              <a:headEnd/>
                              <a:tailEnd/>
                            </a:ln>
                          </wps:spPr>
                          <wps:txbx>
                            <w:txbxContent>
                              <w:p w14:paraId="0AE96FB9" w14:textId="77777777" w:rsidR="006A5267" w:rsidRDefault="006A5267" w:rsidP="008B4B2B">
                                <w:pPr>
                                  <w:spacing w:line="240" w:lineRule="exact"/>
                                  <w:rPr>
                                    <w:rFonts w:ascii="ＭＳ ゴシック" w:eastAsia="ＭＳ ゴシック" w:hAnsi="ＭＳ ゴシック"/>
                                    <w:sz w:val="20"/>
                                    <w:szCs w:val="20"/>
                                  </w:rPr>
                                </w:pPr>
                              </w:p>
                              <w:p w14:paraId="386FB45F" w14:textId="77777777" w:rsidR="006A5267" w:rsidRPr="002255AC" w:rsidRDefault="006A5267" w:rsidP="008B4B2B">
                                <w:pPr>
                                  <w:spacing w:line="240" w:lineRule="exact"/>
                                  <w:rPr>
                                    <w:rFonts w:ascii="ＭＳ ゴシック" w:eastAsia="ＭＳ ゴシック" w:hAnsi="ＭＳ ゴシック"/>
                                    <w:sz w:val="20"/>
                                    <w:szCs w:val="20"/>
                                  </w:rPr>
                                </w:pPr>
                                <w:r>
                                  <w:rPr>
                                    <w:rFonts w:ascii="ＭＳ ゴシック" w:eastAsia="ＭＳ ゴシック" w:hAnsi="ＭＳ ゴシック" w:hint="eastAsia"/>
                                    <w:sz w:val="20"/>
                                    <w:szCs w:val="20"/>
                                  </w:rPr>
                                  <w:t>住民・その他</w:t>
                                </w:r>
                              </w:p>
                            </w:txbxContent>
                          </wps:txbx>
                          <wps:bodyPr rot="0" vert="horz" wrap="square" lIns="74295" tIns="8890" rIns="74295" bIns="8890" anchor="t" anchorCtr="0" upright="1">
                            <a:noAutofit/>
                          </wps:bodyPr>
                        </wps:wsp>
                        <wps:wsp>
                          <wps:cNvPr id="4863" name="AutoShape 2727"/>
                          <wps:cNvSpPr>
                            <a:spLocks noChangeArrowheads="1"/>
                          </wps:cNvSpPr>
                          <wps:spPr bwMode="auto">
                            <a:xfrm>
                              <a:off x="4379899" y="83564"/>
                              <a:ext cx="762000" cy="228600"/>
                            </a:xfrm>
                            <a:prstGeom prst="roundRect">
                              <a:avLst>
                                <a:gd name="adj" fmla="val 16667"/>
                              </a:avLst>
                            </a:prstGeom>
                            <a:solidFill>
                              <a:srgbClr val="FFFFFF"/>
                            </a:solidFill>
                            <a:ln w="9525">
                              <a:solidFill>
                                <a:srgbClr val="000000"/>
                              </a:solidFill>
                              <a:round/>
                              <a:headEnd/>
                              <a:tailEnd/>
                            </a:ln>
                          </wps:spPr>
                          <wps:txbx>
                            <w:txbxContent>
                              <w:p w14:paraId="091ECACA" w14:textId="77777777" w:rsidR="006A5267" w:rsidRPr="002255AC" w:rsidRDefault="006A5267" w:rsidP="008B4B2B">
                                <w:pPr>
                                  <w:spacing w:line="240" w:lineRule="exact"/>
                                  <w:rPr>
                                    <w:rFonts w:ascii="ＭＳ ゴシック" w:eastAsia="ＭＳ ゴシック" w:hAnsi="ＭＳ ゴシック"/>
                                    <w:sz w:val="20"/>
                                    <w:szCs w:val="20"/>
                                  </w:rPr>
                                </w:pPr>
                                <w:r>
                                  <w:rPr>
                                    <w:rFonts w:ascii="ＭＳ ゴシック" w:eastAsia="ＭＳ ゴシック" w:hAnsi="ＭＳ ゴシック" w:hint="eastAsia"/>
                                    <w:sz w:val="20"/>
                                    <w:szCs w:val="20"/>
                                  </w:rPr>
                                  <w:t>消防署等</w:t>
                                </w:r>
                              </w:p>
                            </w:txbxContent>
                          </wps:txbx>
                          <wps:bodyPr rot="0" vert="horz" wrap="square" lIns="74295" tIns="8890" rIns="74295" bIns="8890" anchor="t" anchorCtr="0" upright="1">
                            <a:noAutofit/>
                          </wps:bodyPr>
                        </wps:wsp>
                        <wps:wsp>
                          <wps:cNvPr id="4865" name="Line 2729"/>
                          <wps:cNvCnPr>
                            <a:cxnSpLocks noChangeShapeType="1"/>
                          </wps:cNvCnPr>
                          <wps:spPr bwMode="auto">
                            <a:xfrm>
                              <a:off x="2743200" y="529238"/>
                              <a:ext cx="342900" cy="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4866" name="Line 2730"/>
                          <wps:cNvCnPr>
                            <a:cxnSpLocks noChangeShapeType="1"/>
                          </wps:cNvCnPr>
                          <wps:spPr bwMode="auto">
                            <a:xfrm>
                              <a:off x="4226218" y="606078"/>
                              <a:ext cx="1257300" cy="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4867" name="Line 2731"/>
                          <wps:cNvCnPr>
                            <a:cxnSpLocks noChangeShapeType="1"/>
                          </wps:cNvCnPr>
                          <wps:spPr bwMode="auto">
                            <a:xfrm>
                              <a:off x="4572000" y="1090172"/>
                              <a:ext cx="914400" cy="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4868" name="Line 2736"/>
                          <wps:cNvCnPr>
                            <a:cxnSpLocks noChangeShapeType="1"/>
                          </wps:cNvCnPr>
                          <wps:spPr bwMode="auto">
                            <a:xfrm>
                              <a:off x="5140618" y="191141"/>
                              <a:ext cx="342900" cy="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4869" name="AutoShape 2724"/>
                          <wps:cNvSpPr>
                            <a:spLocks noChangeArrowheads="1"/>
                          </wps:cNvSpPr>
                          <wps:spPr bwMode="auto">
                            <a:xfrm>
                              <a:off x="3088981" y="421662"/>
                              <a:ext cx="1143000" cy="228600"/>
                            </a:xfrm>
                            <a:prstGeom prst="roundRect">
                              <a:avLst>
                                <a:gd name="adj" fmla="val 16667"/>
                              </a:avLst>
                            </a:prstGeom>
                            <a:solidFill>
                              <a:srgbClr val="FFFFFF"/>
                            </a:solidFill>
                            <a:ln w="9525">
                              <a:solidFill>
                                <a:srgbClr val="000000"/>
                              </a:solidFill>
                              <a:round/>
                              <a:headEnd/>
                              <a:tailEnd/>
                            </a:ln>
                          </wps:spPr>
                          <wps:txbx>
                            <w:txbxContent>
                              <w:p w14:paraId="76302CD9" w14:textId="77777777" w:rsidR="006A5267" w:rsidRPr="002255AC" w:rsidRDefault="006A5267" w:rsidP="008B4B2B">
                                <w:pPr>
                                  <w:spacing w:line="240" w:lineRule="exact"/>
                                  <w:rPr>
                                    <w:rFonts w:ascii="ＭＳ ゴシック" w:eastAsia="ＭＳ ゴシック" w:hAnsi="ＭＳ ゴシック"/>
                                    <w:sz w:val="20"/>
                                    <w:szCs w:val="20"/>
                                  </w:rPr>
                                </w:pPr>
                                <w:r>
                                  <w:rPr>
                                    <w:rFonts w:ascii="ＭＳ ゴシック" w:eastAsia="ＭＳ ゴシック" w:hAnsi="ＭＳ ゴシック" w:hint="eastAsia"/>
                                    <w:sz w:val="20"/>
                                    <w:szCs w:val="20"/>
                                  </w:rPr>
                                  <w:t>市町村・消防機関</w:t>
                                </w:r>
                              </w:p>
                            </w:txbxContent>
                          </wps:txbx>
                          <wps:bodyPr rot="0" vert="horz" wrap="square" lIns="74295" tIns="8890" rIns="74295" bIns="8890" anchor="t" anchorCtr="0" upright="1">
                            <a:noAutofit/>
                          </wps:bodyPr>
                        </wps:wsp>
                      </wpg:grpSp>
                      <wps:wsp>
                        <wps:cNvPr id="4870" name="フリーフォーム 4870"/>
                        <wps:cNvSpPr/>
                        <wps:spPr>
                          <a:xfrm>
                            <a:off x="2820041" y="537882"/>
                            <a:ext cx="261257" cy="560935"/>
                          </a:xfrm>
                          <a:custGeom>
                            <a:avLst/>
                            <a:gdLst>
                              <a:gd name="connsiteX0" fmla="*/ 0 w 261257"/>
                              <a:gd name="connsiteY0" fmla="*/ 0 h 560935"/>
                              <a:gd name="connsiteX1" fmla="*/ 0 w 261257"/>
                              <a:gd name="connsiteY1" fmla="*/ 560935 h 560935"/>
                              <a:gd name="connsiteX2" fmla="*/ 261257 w 261257"/>
                              <a:gd name="connsiteY2" fmla="*/ 560935 h 560935"/>
                            </a:gdLst>
                            <a:ahLst/>
                            <a:cxnLst>
                              <a:cxn ang="0">
                                <a:pos x="connsiteX0" y="connsiteY0"/>
                              </a:cxn>
                              <a:cxn ang="0">
                                <a:pos x="connsiteX1" y="connsiteY1"/>
                              </a:cxn>
                              <a:cxn ang="0">
                                <a:pos x="connsiteX2" y="connsiteY2"/>
                              </a:cxn>
                            </a:cxnLst>
                            <a:rect l="l" t="t" r="r" b="b"/>
                            <a:pathLst>
                              <a:path w="261257" h="560935">
                                <a:moveTo>
                                  <a:pt x="0" y="0"/>
                                </a:moveTo>
                                <a:lnTo>
                                  <a:pt x="0" y="560935"/>
                                </a:lnTo>
                                <a:lnTo>
                                  <a:pt x="261257" y="560935"/>
                                </a:lnTo>
                              </a:path>
                            </a:pathLst>
                          </a:custGeom>
                          <a:noFill/>
                          <a:ln w="9525" cap="flat" cmpd="sng" algn="ctr">
                            <a:solidFill>
                              <a:sysClr val="windowText" lastClr="000000"/>
                            </a:solidFill>
                            <a:prstDash val="solid"/>
                            <a:tailEnd type="triangle"/>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4871" name="フリーフォーム 4871"/>
                        <wps:cNvSpPr/>
                        <wps:spPr>
                          <a:xfrm>
                            <a:off x="4233903" y="322730"/>
                            <a:ext cx="476410" cy="207468"/>
                          </a:xfrm>
                          <a:custGeom>
                            <a:avLst/>
                            <a:gdLst>
                              <a:gd name="connsiteX0" fmla="*/ 0 w 476410"/>
                              <a:gd name="connsiteY0" fmla="*/ 207468 h 207468"/>
                              <a:gd name="connsiteX1" fmla="*/ 476410 w 476410"/>
                              <a:gd name="connsiteY1" fmla="*/ 207468 h 207468"/>
                              <a:gd name="connsiteX2" fmla="*/ 476410 w 476410"/>
                              <a:gd name="connsiteY2" fmla="*/ 0 h 207468"/>
                            </a:gdLst>
                            <a:ahLst/>
                            <a:cxnLst>
                              <a:cxn ang="0">
                                <a:pos x="connsiteX0" y="connsiteY0"/>
                              </a:cxn>
                              <a:cxn ang="0">
                                <a:pos x="connsiteX1" y="connsiteY1"/>
                              </a:cxn>
                              <a:cxn ang="0">
                                <a:pos x="connsiteX2" y="connsiteY2"/>
                              </a:cxn>
                            </a:cxnLst>
                            <a:rect l="l" t="t" r="r" b="b"/>
                            <a:pathLst>
                              <a:path w="476410" h="207468">
                                <a:moveTo>
                                  <a:pt x="0" y="207468"/>
                                </a:moveTo>
                                <a:lnTo>
                                  <a:pt x="476410" y="207468"/>
                                </a:lnTo>
                                <a:lnTo>
                                  <a:pt x="476410" y="0"/>
                                </a:lnTo>
                              </a:path>
                            </a:pathLst>
                          </a:custGeom>
                          <a:noFill/>
                          <a:ln w="9525" cap="flat" cmpd="sng" algn="ctr">
                            <a:solidFill>
                              <a:sysClr val="windowText" lastClr="000000"/>
                            </a:solidFill>
                            <a:prstDash val="solid"/>
                            <a:tailEnd type="triangle"/>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14:sizeRelH relativeFrom="margin">
                  <wp14:pctWidth>0</wp14:pctWidth>
                </wp14:sizeRelH>
              </wp:anchor>
            </w:drawing>
          </mc:Choice>
          <mc:Fallback xmlns:w16cei="http://schemas.microsoft.com/office/word/2026/wordml/cei">
            <w:pict>
              <v:group w14:anchorId="19A6573A" id="グループ化 4857" o:spid="_x0000_s1645" style="position:absolute;left:0;text-align:left;margin-left:62.3pt;margin-top:8.85pt;width:333.1pt;height:108pt;z-index:253931520;mso-position-horizontal-relative:text;mso-position-vertical-relative:text;mso-width-relative:margin" coordorigin="14829" coordsize="42307,1371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">
                <v:group id="グループ化 4858" o:spid="_x0000_s1646" style="position:absolute;left:14829;width:42308;height:13716" coordorigin="14830" coordsize="42310,1371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">
                  <v:roundrect id="AutoShape 2723" o:spid="_x0000_s1647" style="position:absolute;left:14830;top:4216;width:12573;height:2286;visibility:visible;mso-wrap-style:square;v-text-anchor:top"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">
                    <v:textbox inset="5.85pt,.7pt,5.85pt,.7pt">
                      <w:txbxContent>
                        <w:p w14:paraId="671E1F59" w14:textId="77777777" w:rsidR="006A5267" w:rsidRPr="002255AC" w:rsidRDefault="006A5267" w:rsidP="008B4B2B">
                          <w:pPr>
                            <w:spacing w:line="240" w:lineRule="exact"/>
                            <w:rPr>
                              <w:rFonts w:ascii="ＭＳ ゴシック" w:eastAsia="ＭＳ ゴシック" w:hAnsi="ＭＳ ゴシック"/>
                              <w:sz w:val="20"/>
                              <w:szCs w:val="20"/>
                            </w:rPr>
                          </w:pPr>
                          <w:r w:rsidRPr="002255AC">
                            <w:rPr>
                              <w:rFonts w:ascii="ＭＳ ゴシック" w:eastAsia="ＭＳ ゴシック" w:hAnsi="ＭＳ ゴシック" w:hint="eastAsia"/>
                              <w:sz w:val="20"/>
                              <w:szCs w:val="20"/>
                            </w:rPr>
                            <w:t>大阪</w:t>
                          </w:r>
                          <w:r>
                            <w:rPr>
                              <w:rFonts w:ascii="ＭＳ ゴシック" w:eastAsia="ＭＳ ゴシック" w:hAnsi="ＭＳ ゴシック" w:hint="eastAsia"/>
                              <w:sz w:val="20"/>
                              <w:szCs w:val="20"/>
                            </w:rPr>
                            <w:t>府危機管理室</w:t>
                          </w:r>
                        </w:p>
                      </w:txbxContent>
                    </v:textbox>
                  </v:roundrect>
                  <v:roundrect id="AutoShape 2725" o:spid="_x0000_s1648" style="position:absolute;left:30889;top:9749;width:14859;height:2286;visibility:visible;mso-wrap-style:square;v-text-anchor:top"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">
                    <v:textbox inset="5.85pt,.7pt,5.85pt,.7pt">
                      <w:txbxContent>
                        <w:p w14:paraId="2B7C8DF1" w14:textId="77777777" w:rsidR="006A5267" w:rsidRPr="002255AC" w:rsidRDefault="006A5267" w:rsidP="008B4B2B">
                          <w:pPr>
                            <w:spacing w:line="240" w:lineRule="exact"/>
                            <w:rPr>
                              <w:rFonts w:ascii="ＭＳ ゴシック" w:eastAsia="ＭＳ ゴシック" w:hAnsi="ＭＳ ゴシック"/>
                              <w:sz w:val="20"/>
                              <w:szCs w:val="20"/>
                            </w:rPr>
                          </w:pPr>
                          <w:r>
                            <w:rPr>
                              <w:rFonts w:ascii="ＭＳ ゴシック" w:eastAsia="ＭＳ ゴシック" w:hAnsi="ＭＳ ゴシック" w:hint="eastAsia"/>
                              <w:sz w:val="20"/>
                              <w:szCs w:val="20"/>
                            </w:rPr>
                            <w:t>府庁各課・出先機関等</w:t>
                          </w:r>
                        </w:p>
                      </w:txbxContent>
                    </v:textbox>
                  </v:roundrect>
                  <v:roundrect id="AutoShape 2726" o:spid="_x0000_s1649" style="position:absolute;left:49139;top:5715;width:13716;height:2286;rotation:90;visibility:visible;mso-wrap-style:square;v-text-anchor:top"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">
                    <v:textbox inset="5.85pt,.7pt,5.85pt,.7pt">
                      <w:txbxContent>
                        <w:p w14:paraId="0AE96FB9" w14:textId="77777777" w:rsidR="006A5267" w:rsidRDefault="006A5267" w:rsidP="008B4B2B">
                          <w:pPr>
                            <w:spacing w:line="240" w:lineRule="exact"/>
                            <w:rPr>
                              <w:rFonts w:ascii="ＭＳ ゴシック" w:eastAsia="ＭＳ ゴシック" w:hAnsi="ＭＳ ゴシック"/>
                              <w:sz w:val="20"/>
                              <w:szCs w:val="20"/>
                            </w:rPr>
                          </w:pPr>
                        </w:p>
                        <w:p w14:paraId="386FB45F" w14:textId="77777777" w:rsidR="006A5267" w:rsidRPr="002255AC" w:rsidRDefault="006A5267" w:rsidP="008B4B2B">
                          <w:pPr>
                            <w:spacing w:line="240" w:lineRule="exact"/>
                            <w:rPr>
                              <w:rFonts w:ascii="ＭＳ ゴシック" w:eastAsia="ＭＳ ゴシック" w:hAnsi="ＭＳ ゴシック"/>
                              <w:sz w:val="20"/>
                              <w:szCs w:val="20"/>
                            </w:rPr>
                          </w:pPr>
                          <w:r>
                            <w:rPr>
                              <w:rFonts w:ascii="ＭＳ ゴシック" w:eastAsia="ＭＳ ゴシック" w:hAnsi="ＭＳ ゴシック" w:hint="eastAsia"/>
                              <w:sz w:val="20"/>
                              <w:szCs w:val="20"/>
                            </w:rPr>
                            <w:t>住民・その他</w:t>
                          </w:r>
                        </w:p>
                      </w:txbxContent>
                    </v:textbox>
                  </v:roundrect>
                  <v:roundrect id="AutoShape 2727" o:spid="_x0000_s1650" style="position:absolute;left:43798;top:835;width:7620;height:2286;visibility:visible;mso-wrap-style:square;v-text-anchor:top"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">
                    <v:textbox inset="5.85pt,.7pt,5.85pt,.7pt">
                      <w:txbxContent>
                        <w:p w14:paraId="091ECACA" w14:textId="77777777" w:rsidR="006A5267" w:rsidRPr="002255AC" w:rsidRDefault="006A5267" w:rsidP="008B4B2B">
                          <w:pPr>
                            <w:spacing w:line="240" w:lineRule="exact"/>
                            <w:rPr>
                              <w:rFonts w:ascii="ＭＳ ゴシック" w:eastAsia="ＭＳ ゴシック" w:hAnsi="ＭＳ ゴシック"/>
                              <w:sz w:val="20"/>
                              <w:szCs w:val="20"/>
                            </w:rPr>
                          </w:pPr>
                          <w:r>
                            <w:rPr>
                              <w:rFonts w:ascii="ＭＳ ゴシック" w:eastAsia="ＭＳ ゴシック" w:hAnsi="ＭＳ ゴシック" w:hint="eastAsia"/>
                              <w:sz w:val="20"/>
                              <w:szCs w:val="20"/>
                            </w:rPr>
                            <w:t>消防署等</w:t>
                          </w:r>
                        </w:p>
                      </w:txbxContent>
                    </v:textbox>
                  </v:roundrect>
                  <v:line id="Line 2729" o:spid="_x0000_s1651" style="position:absolute;visibility:visible;mso-wrap-style:square" from="27432,5292" to="30861,529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">
                    <v:stroke endarrow="block"/>
                  </v:line>
                  <v:line id="Line 2730" o:spid="_x0000_s1652" style="position:absolute;visibility:visible;mso-wrap-style:square" from="42262,6060" to="54835,606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">
                    <v:stroke endarrow="block"/>
                  </v:line>
                  <v:line id="Line 2731" o:spid="_x0000_s1653" style="position:absolute;visibility:visible;mso-wrap-style:square" from="45720,10901" to="54864,1090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">
                    <v:stroke endarrow="block"/>
                  </v:line>
                  <v:line id="Line 2736" o:spid="_x0000_s1654" style="position:absolute;visibility:visible;mso-wrap-style:square" from="51406,1911" to="54835,191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">
                    <v:stroke endarrow="block"/>
                  </v:line>
                  <v:roundrect id="AutoShape 2724" o:spid="_x0000_s1655" style="position:absolute;left:30889;top:4216;width:11430;height:2286;visibility:visible;mso-wrap-style:square;v-text-anchor:top"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">
                    <v:textbox inset="5.85pt,.7pt,5.85pt,.7pt">
                      <w:txbxContent>
                        <w:p w14:paraId="76302CD9" w14:textId="77777777" w:rsidR="006A5267" w:rsidRPr="002255AC" w:rsidRDefault="006A5267" w:rsidP="008B4B2B">
                          <w:pPr>
                            <w:spacing w:line="240" w:lineRule="exact"/>
                            <w:rPr>
                              <w:rFonts w:ascii="ＭＳ ゴシック" w:eastAsia="ＭＳ ゴシック" w:hAnsi="ＭＳ ゴシック"/>
                              <w:sz w:val="20"/>
                              <w:szCs w:val="20"/>
                            </w:rPr>
                          </w:pPr>
                          <w:r>
                            <w:rPr>
                              <w:rFonts w:ascii="ＭＳ ゴシック" w:eastAsia="ＭＳ ゴシック" w:hAnsi="ＭＳ ゴシック" w:hint="eastAsia"/>
                              <w:sz w:val="20"/>
                              <w:szCs w:val="20"/>
                            </w:rPr>
                            <w:t>市町村・消防機関</w:t>
                          </w:r>
                        </w:p>
                      </w:txbxContent>
                    </v:textbox>
                  </v:roundrect>
                </v:group>
                <v:shape id="フリーフォーム 4870" o:spid="_x0000_s1656" style="position:absolute;left:28200;top:5378;width:2612;height:5610;visibility:visible;mso-wrap-style:square;v-text-anchor:middle" coordsize="261257,5609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" path="m,l,560935r261257,e" filled="f" strokecolor="windowText">
                  <v:stroke endarrow="block"/>
                  <v:path arrowok="t" o:connecttype="custom" o:connectlocs="0,0;0,560935;261257,560935" o:connectangles="0,0,0"/>
                </v:shape>
                <v:shape id="フリーフォーム 4871" o:spid="_x0000_s1657" style="position:absolute;left:42339;top:3227;width:4764;height:2074;visibility:visible;mso-wrap-style:square;v-text-anchor:middle" coordsize="476410,20746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" path="m,207468r476410,l476410,e" filled="f" strokecolor="windowText">
                  <v:stroke endarrow="block"/>
                  <v:path arrowok="t" o:connecttype="custom" o:connectlocs="0,207468;476410,207468;476410,0" o:connectangles="0,0,0"/>
                </v:shape>
              </v:group>
            </w:pict>
          </mc:Fallback>
        </mc:AlternateContent>
      </w:r>
      <w:r w:rsidRPr="008A3EDE">
        <w:rPr>
          <w:rFonts w:hAnsi="ＭＳ 明朝" w:hint="eastAsia"/>
          <w:sz w:val="22"/>
          <w:szCs w:val="18"/>
        </w:rPr>
        <w:t>(3)</w:t>
      </w:r>
      <w:r w:rsidRPr="008A3EDE">
        <w:rPr>
          <w:rFonts w:hAnsi="ＭＳ 明朝" w:hint="eastAsia"/>
          <w:sz w:val="22"/>
          <w:szCs w:val="18"/>
        </w:rPr>
        <w:t>大阪府防災・危機管理指令部会議、災害警戒本部会議の情報</w:t>
      </w:r>
    </w:p>
    <w:p w14:paraId="6C330FD1" w14:textId="77777777" w:rsidR="008B4B2B" w:rsidRPr="008A3EDE" w:rsidRDefault="008B4B2B" w:rsidP="008B4B2B">
      <w:pPr>
        <w:ind w:rightChars="500" w:right="1055"/>
        <w:rPr>
          <w:rFonts w:hAnsi="ＭＳ 明朝"/>
          <w:szCs w:val="18"/>
        </w:rPr>
      </w:pPr>
    </w:p>
    <w:p w14:paraId="7DF2B52A" w14:textId="77777777" w:rsidR="008B4B2B" w:rsidRPr="008A3EDE" w:rsidRDefault="008B4B2B" w:rsidP="008B4B2B">
      <w:pPr>
        <w:ind w:rightChars="500" w:right="1055"/>
        <w:rPr>
          <w:rFonts w:hAnsi="ＭＳ 明朝"/>
          <w:szCs w:val="18"/>
        </w:rPr>
      </w:pPr>
    </w:p>
    <w:p w14:paraId="631D105B" w14:textId="77777777" w:rsidR="008B4B2B" w:rsidRPr="008A3EDE" w:rsidRDefault="008B4B2B" w:rsidP="008B4B2B">
      <w:pPr>
        <w:ind w:rightChars="500" w:right="1055"/>
        <w:rPr>
          <w:rFonts w:hAnsi="ＭＳ 明朝"/>
          <w:szCs w:val="18"/>
        </w:rPr>
      </w:pPr>
    </w:p>
    <w:p w14:paraId="6D0955E3" w14:textId="77777777" w:rsidR="008B4B2B" w:rsidRPr="008A3EDE" w:rsidRDefault="008B4B2B" w:rsidP="008B4B2B">
      <w:pPr>
        <w:ind w:rightChars="500" w:right="1055"/>
        <w:rPr>
          <w:rFonts w:hAnsi="ＭＳ 明朝"/>
          <w:szCs w:val="18"/>
        </w:rPr>
      </w:pPr>
    </w:p>
    <w:p w14:paraId="1A30D5B6" w14:textId="77777777" w:rsidR="008B4B2B" w:rsidRPr="008A3EDE" w:rsidRDefault="008B4B2B" w:rsidP="008B4B2B">
      <w:pPr>
        <w:ind w:rightChars="500" w:right="1055"/>
        <w:rPr>
          <w:rFonts w:hAnsi="ＭＳ 明朝"/>
          <w:szCs w:val="18"/>
        </w:rPr>
      </w:pPr>
    </w:p>
    <w:p w14:paraId="5E835E7D" w14:textId="77777777" w:rsidR="008B4B2B" w:rsidRPr="008A3EDE" w:rsidRDefault="008B4B2B" w:rsidP="008B4B2B">
      <w:pPr>
        <w:ind w:rightChars="500" w:right="1055" w:firstLineChars="200" w:firstLine="442"/>
        <w:rPr>
          <w:rFonts w:asciiTheme="majorEastAsia" w:eastAsiaTheme="majorEastAsia" w:hAnsiTheme="majorEastAsia"/>
          <w:sz w:val="22"/>
          <w:szCs w:val="18"/>
          <w:u w:val="single"/>
        </w:rPr>
      </w:pPr>
      <w:r w:rsidRPr="008A3EDE">
        <w:rPr>
          <w:rFonts w:asciiTheme="majorEastAsia" w:eastAsiaTheme="majorEastAsia" w:hAnsiTheme="majorEastAsia" w:hint="eastAsia"/>
          <w:sz w:val="22"/>
          <w:szCs w:val="18"/>
          <w:u w:val="single"/>
        </w:rPr>
        <w:t>２　伝達事項</w:t>
      </w:r>
    </w:p>
    <w:p w14:paraId="70CCC42A" w14:textId="77777777" w:rsidR="008B4B2B" w:rsidRPr="008A3EDE" w:rsidRDefault="008B4B2B" w:rsidP="008B4B2B">
      <w:pPr>
        <w:pStyle w:val="ad"/>
        <w:wordWrap/>
        <w:overflowPunct w:val="0"/>
        <w:spacing w:line="400" w:lineRule="exact"/>
        <w:ind w:leftChars="200" w:left="422" w:firstLineChars="100" w:firstLine="221"/>
        <w:rPr>
          <w:rFonts w:asciiTheme="minorEastAsia" w:eastAsiaTheme="minorEastAsia" w:hAnsiTheme="minorEastAsia"/>
        </w:rPr>
      </w:pPr>
      <w:r w:rsidRPr="008A3EDE">
        <w:rPr>
          <w:rFonts w:asciiTheme="minorEastAsia" w:eastAsiaTheme="minorEastAsia" w:hAnsiTheme="minorEastAsia" w:hint="eastAsia"/>
        </w:rPr>
        <w:t>(1)南海トラフ地震</w:t>
      </w:r>
      <w:r w:rsidRPr="008A3EDE">
        <w:rPr>
          <w:rFonts w:hAnsi="ＭＳ 明朝" w:hint="eastAsia"/>
        </w:rPr>
        <w:t>臨時情報・関連解説情報</w:t>
      </w:r>
    </w:p>
    <w:p w14:paraId="7A8E6887" w14:textId="77777777" w:rsidR="008B4B2B" w:rsidRPr="008A3EDE" w:rsidRDefault="008B4B2B" w:rsidP="008B4B2B">
      <w:pPr>
        <w:pStyle w:val="ad"/>
        <w:wordWrap/>
        <w:overflowPunct w:val="0"/>
        <w:spacing w:line="400" w:lineRule="exact"/>
        <w:ind w:leftChars="200" w:left="422" w:firstLineChars="200" w:firstLine="442"/>
        <w:rPr>
          <w:rFonts w:asciiTheme="minorEastAsia" w:eastAsiaTheme="minorEastAsia" w:hAnsiTheme="minorEastAsia"/>
        </w:rPr>
      </w:pPr>
      <w:r w:rsidRPr="008A3EDE">
        <w:rPr>
          <w:rFonts w:asciiTheme="minorEastAsia" w:eastAsiaTheme="minorEastAsia" w:hAnsiTheme="minorEastAsia" w:hint="eastAsia"/>
        </w:rPr>
        <w:t>気象庁が発表する情報</w:t>
      </w:r>
    </w:p>
    <w:p w14:paraId="444D0B30" w14:textId="77777777" w:rsidR="008B4B2B" w:rsidRPr="008A3EDE" w:rsidRDefault="008B4B2B" w:rsidP="008B4B2B">
      <w:pPr>
        <w:pStyle w:val="ad"/>
        <w:wordWrap/>
        <w:overflowPunct w:val="0"/>
        <w:spacing w:line="400" w:lineRule="exact"/>
        <w:ind w:leftChars="200" w:left="422" w:firstLineChars="100" w:firstLine="221"/>
        <w:rPr>
          <w:rFonts w:hAnsi="ＭＳ 明朝"/>
        </w:rPr>
      </w:pPr>
      <w:r w:rsidRPr="008A3EDE">
        <w:rPr>
          <w:rFonts w:asciiTheme="minorEastAsia" w:eastAsiaTheme="minorEastAsia" w:hAnsiTheme="minorEastAsia" w:hint="eastAsia"/>
        </w:rPr>
        <w:t>(2)</w:t>
      </w:r>
      <w:r w:rsidRPr="008A3EDE">
        <w:rPr>
          <w:rFonts w:hAnsi="ＭＳ 明朝" w:hint="eastAsia"/>
        </w:rPr>
        <w:t xml:space="preserve"> </w:t>
      </w:r>
      <w:r w:rsidRPr="008A3EDE">
        <w:rPr>
          <w:rFonts w:hAnsi="ＭＳ 明朝" w:hint="eastAsia"/>
        </w:rPr>
        <w:t>関係省庁災害警戒会議の情報</w:t>
      </w:r>
    </w:p>
    <w:p w14:paraId="5AB30BEC" w14:textId="77777777" w:rsidR="008B4B2B" w:rsidRPr="008A3EDE" w:rsidRDefault="008B4B2B" w:rsidP="008B4B2B">
      <w:pPr>
        <w:pStyle w:val="ad"/>
        <w:wordWrap/>
        <w:overflowPunct w:val="0"/>
        <w:spacing w:line="400" w:lineRule="exact"/>
        <w:ind w:leftChars="200" w:left="422" w:firstLineChars="200" w:firstLine="442"/>
        <w:rPr>
          <w:rFonts w:asciiTheme="minorEastAsia" w:eastAsiaTheme="minorEastAsia" w:hAnsiTheme="minorEastAsia"/>
        </w:rPr>
      </w:pPr>
      <w:r w:rsidRPr="008A3EDE">
        <w:rPr>
          <w:rFonts w:hAnsi="ＭＳ 明朝" w:hint="eastAsia"/>
        </w:rPr>
        <w:t>関係省庁災害警戒会議の開催結果の情報</w:t>
      </w:r>
    </w:p>
    <w:p w14:paraId="21DD549F" w14:textId="77777777" w:rsidR="008B4B2B" w:rsidRPr="008A3EDE" w:rsidRDefault="008B4B2B" w:rsidP="008B4B2B">
      <w:pPr>
        <w:pStyle w:val="ad"/>
        <w:wordWrap/>
        <w:overflowPunct w:val="0"/>
        <w:spacing w:line="400" w:lineRule="exact"/>
        <w:ind w:leftChars="200" w:left="422" w:firstLineChars="100" w:firstLine="221"/>
        <w:rPr>
          <w:rFonts w:asciiTheme="minorEastAsia" w:eastAsiaTheme="minorEastAsia" w:hAnsiTheme="minorEastAsia"/>
        </w:rPr>
      </w:pPr>
      <w:r w:rsidRPr="008A3EDE">
        <w:rPr>
          <w:rFonts w:asciiTheme="minorEastAsia" w:eastAsiaTheme="minorEastAsia" w:hAnsiTheme="minorEastAsia" w:hint="eastAsia"/>
        </w:rPr>
        <w:t>(3)</w:t>
      </w:r>
      <w:r w:rsidRPr="008A3EDE">
        <w:rPr>
          <w:rFonts w:hAnsi="ＭＳ 明朝" w:hint="eastAsia"/>
          <w:szCs w:val="18"/>
        </w:rPr>
        <w:t xml:space="preserve"> </w:t>
      </w:r>
      <w:r w:rsidRPr="008A3EDE">
        <w:rPr>
          <w:rFonts w:hAnsi="ＭＳ 明朝" w:hint="eastAsia"/>
          <w:szCs w:val="18"/>
        </w:rPr>
        <w:t>大阪府防災・危機管理指令部会議、災害警戒本部会議の情報</w:t>
      </w:r>
    </w:p>
    <w:p w14:paraId="43042337" w14:textId="77777777" w:rsidR="008B4B2B" w:rsidRPr="008A3EDE" w:rsidRDefault="008B4B2B" w:rsidP="008B4B2B">
      <w:pPr>
        <w:pStyle w:val="ad"/>
        <w:wordWrap/>
        <w:overflowPunct w:val="0"/>
        <w:spacing w:line="400" w:lineRule="exact"/>
        <w:ind w:leftChars="200" w:left="422" w:firstLineChars="200" w:firstLine="442"/>
        <w:rPr>
          <w:rFonts w:asciiTheme="minorEastAsia" w:eastAsiaTheme="minorEastAsia" w:hAnsiTheme="minorEastAsia"/>
        </w:rPr>
      </w:pPr>
      <w:r w:rsidRPr="008A3EDE">
        <w:rPr>
          <w:rFonts w:asciiTheme="minorEastAsia" w:eastAsiaTheme="minorEastAsia" w:hAnsiTheme="minorEastAsia" w:hint="eastAsia"/>
        </w:rPr>
        <w:t>府が南海トラフ沿いの大規模な地震発生に備え、今後の対応を検討した情報</w:t>
      </w:r>
    </w:p>
    <w:p w14:paraId="10C7CB73" w14:textId="41A5AAEE" w:rsidR="00596CB1" w:rsidRPr="008A3EDE" w:rsidRDefault="00596CB1">
      <w:pPr>
        <w:widowControl/>
        <w:jc w:val="left"/>
        <w:rPr>
          <w:rFonts w:ascii="ＭＳ ゴシック" w:eastAsia="ＭＳ ゴシック" w:hAnsi="ＭＳ ゴシック" w:cs="Courier New"/>
          <w:sz w:val="22"/>
          <w:szCs w:val="22"/>
        </w:rPr>
      </w:pPr>
      <w:r w:rsidRPr="008A3EDE">
        <w:rPr>
          <w:rFonts w:ascii="ＭＳ ゴシック" w:eastAsia="ＭＳ ゴシック" w:hAnsi="ＭＳ ゴシック"/>
          <w:sz w:val="22"/>
          <w:szCs w:val="22"/>
        </w:rPr>
        <w:br w:type="page"/>
      </w:r>
    </w:p>
    <w:p w14:paraId="5BD4C5C7" w14:textId="73794BF7" w:rsidR="008B4B2B" w:rsidRPr="008A3EDE" w:rsidRDefault="008B4B2B" w:rsidP="002B2381">
      <w:pPr>
        <w:pStyle w:val="a0"/>
        <w:ind w:firstLineChars="200" w:firstLine="442"/>
        <w:outlineLvl w:val="2"/>
        <w:rPr>
          <w:rFonts w:ascii="ＭＳ ゴシック" w:eastAsia="ＭＳ ゴシック" w:hAnsi="ＭＳ ゴシック"/>
          <w:sz w:val="22"/>
          <w:szCs w:val="22"/>
          <w:u w:val="double"/>
        </w:rPr>
      </w:pPr>
      <w:bookmarkStart w:id="384" w:name="_Toc122436965"/>
      <w:bookmarkStart w:id="385" w:name="_Toc222486664"/>
      <w:bookmarkStart w:id="386" w:name="_Toc242870334"/>
      <w:r w:rsidRPr="008A3EDE">
        <w:rPr>
          <w:rFonts w:ascii="ＭＳ ゴシック" w:eastAsia="ＭＳ ゴシック" w:hAnsi="ＭＳ ゴシック" w:hint="eastAsia"/>
          <w:sz w:val="22"/>
          <w:szCs w:val="22"/>
          <w:u w:val="double"/>
        </w:rPr>
        <w:lastRenderedPageBreak/>
        <w:t>第２　警戒態勢の準備</w:t>
      </w:r>
      <w:bookmarkEnd w:id="384"/>
      <w:bookmarkEnd w:id="385"/>
      <w:bookmarkEnd w:id="386"/>
    </w:p>
    <w:p w14:paraId="0CB45CAE" w14:textId="77777777" w:rsidR="008B4B2B" w:rsidRPr="008A3EDE" w:rsidRDefault="008B4B2B" w:rsidP="008B4B2B">
      <w:pPr>
        <w:pStyle w:val="a0"/>
        <w:ind w:firstLineChars="500" w:firstLine="1105"/>
        <w:rPr>
          <w:rFonts w:ascii="ＭＳ ゴシック" w:eastAsia="ＭＳ ゴシック" w:hAnsi="ＭＳ ゴシック"/>
          <w:bCs/>
          <w:sz w:val="22"/>
          <w:szCs w:val="22"/>
        </w:rPr>
      </w:pPr>
      <w:r w:rsidRPr="008A3EDE">
        <w:rPr>
          <w:rFonts w:ascii="ＭＳ ゴシック" w:eastAsia="ＭＳ ゴシック" w:hAnsi="ＭＳ ゴシック" w:hint="eastAsia"/>
          <w:sz w:val="22"/>
          <w:szCs w:val="22"/>
          <w:bdr w:val="single" w:sz="4" w:space="0" w:color="auto"/>
        </w:rPr>
        <w:t>主たる担当：危機管理室、関係室・課：全部局室・課</w:t>
      </w:r>
    </w:p>
    <w:p w14:paraId="7E543C93" w14:textId="77777777" w:rsidR="008B4B2B" w:rsidRPr="008A3EDE" w:rsidRDefault="008B4B2B" w:rsidP="008B4B2B">
      <w:pPr>
        <w:pStyle w:val="a0"/>
        <w:ind w:left="663" w:hangingChars="300" w:hanging="663"/>
        <w:rPr>
          <w:rFonts w:hAnsi="ＭＳ 明朝"/>
          <w:sz w:val="22"/>
          <w:szCs w:val="22"/>
        </w:rPr>
      </w:pPr>
      <w:r w:rsidRPr="008A3EDE">
        <w:rPr>
          <w:rFonts w:hAnsi="ＭＳ 明朝" w:hint="eastAsia"/>
          <w:sz w:val="22"/>
          <w:szCs w:val="22"/>
        </w:rPr>
        <w:t xml:space="preserve">　　　　</w:t>
      </w:r>
      <w:r w:rsidRPr="008A3EDE">
        <w:rPr>
          <w:rFonts w:hAnsi="ＭＳ 明朝" w:hint="eastAsia"/>
          <w:bCs/>
          <w:sz w:val="22"/>
          <w:szCs w:val="22"/>
        </w:rPr>
        <w:t>南海トラフ沿いで異常な現象が観測され、その現象が南海トラフ沿いの大規模な地震と関連するかどうか調査を開始、または調査を継続しており、「南海トラフ地震臨時情報（調査中）」</w:t>
      </w:r>
      <w:r w:rsidRPr="008A3EDE">
        <w:rPr>
          <w:rFonts w:hAnsi="ＭＳ 明朝" w:hint="eastAsia"/>
          <w:sz w:val="22"/>
          <w:szCs w:val="22"/>
        </w:rPr>
        <w:t>が発表された場合その後の調査の結果に伴う</w:t>
      </w:r>
      <w:r w:rsidRPr="008A3EDE">
        <w:rPr>
          <w:rFonts w:hAnsi="ＭＳ 明朝" w:hint="eastAsia"/>
          <w:bCs/>
          <w:sz w:val="22"/>
          <w:szCs w:val="22"/>
        </w:rPr>
        <w:t>「南海トラフ地震臨時情報」の発表に備えて、</w:t>
      </w:r>
      <w:r w:rsidRPr="008A3EDE">
        <w:rPr>
          <w:rFonts w:hAnsi="ＭＳ 明朝" w:hint="eastAsia"/>
          <w:sz w:val="22"/>
          <w:szCs w:val="22"/>
        </w:rPr>
        <w:t>情報収集に努めるとともに警戒態勢にあたる。</w:t>
      </w:r>
    </w:p>
    <w:p w14:paraId="00A4CA8B" w14:textId="77777777" w:rsidR="008B4B2B" w:rsidRPr="008A3EDE" w:rsidRDefault="008B4B2B" w:rsidP="008B4B2B">
      <w:pPr>
        <w:pStyle w:val="a0"/>
        <w:ind w:left="663" w:hangingChars="300" w:hanging="663"/>
        <w:rPr>
          <w:rFonts w:hAnsi="ＭＳ 明朝"/>
          <w:sz w:val="22"/>
          <w:szCs w:val="22"/>
        </w:rPr>
      </w:pPr>
      <w:r w:rsidRPr="008A3EDE">
        <w:rPr>
          <w:rFonts w:hAnsi="ＭＳ 明朝" w:hint="eastAsia"/>
          <w:sz w:val="22"/>
          <w:szCs w:val="22"/>
        </w:rPr>
        <w:t xml:space="preserve">　　　　また、庁内各部局課・室長は、情報収集に努めるとともに、必要に応じ警戒態勢にあたる。</w:t>
      </w:r>
    </w:p>
    <w:p w14:paraId="4CFAE2C7" w14:textId="77777777" w:rsidR="008B4B2B" w:rsidRPr="008A3EDE" w:rsidRDefault="008B4B2B" w:rsidP="008B4B2B">
      <w:pPr>
        <w:pStyle w:val="a0"/>
        <w:ind w:left="663" w:hangingChars="300" w:hanging="663"/>
        <w:rPr>
          <w:rFonts w:hAnsi="ＭＳ 明朝"/>
          <w:sz w:val="22"/>
          <w:szCs w:val="22"/>
        </w:rPr>
      </w:pPr>
    </w:p>
    <w:p w14:paraId="4FDAD38B" w14:textId="77777777" w:rsidR="008B4B2B" w:rsidRPr="008A3EDE" w:rsidRDefault="008B4B2B" w:rsidP="002B2381">
      <w:pPr>
        <w:pStyle w:val="a0"/>
        <w:ind w:firstLineChars="200" w:firstLine="442"/>
        <w:outlineLvl w:val="2"/>
        <w:rPr>
          <w:rFonts w:ascii="ＭＳ ゴシック" w:eastAsia="ＭＳ ゴシック" w:hAnsi="ＭＳ ゴシック"/>
          <w:sz w:val="22"/>
          <w:szCs w:val="22"/>
          <w:u w:val="double"/>
        </w:rPr>
      </w:pPr>
      <w:bookmarkStart w:id="387" w:name="_Toc122436966"/>
      <w:bookmarkStart w:id="388" w:name="_Toc222486665"/>
      <w:bookmarkStart w:id="389" w:name="_Toc242870335"/>
      <w:r w:rsidRPr="008A3EDE">
        <w:rPr>
          <w:rFonts w:ascii="ＭＳ ゴシック" w:eastAsia="ＭＳ ゴシック" w:hAnsi="ＭＳ ゴシック" w:hint="eastAsia"/>
          <w:sz w:val="22"/>
          <w:szCs w:val="22"/>
          <w:u w:val="double"/>
        </w:rPr>
        <w:t>第３　警戒態勢の確立</w:t>
      </w:r>
      <w:bookmarkEnd w:id="387"/>
      <w:bookmarkEnd w:id="388"/>
      <w:bookmarkEnd w:id="389"/>
    </w:p>
    <w:p w14:paraId="18F26C57" w14:textId="77777777" w:rsidR="008B4B2B" w:rsidRPr="008A3EDE" w:rsidRDefault="008B4B2B" w:rsidP="008B4B2B">
      <w:pPr>
        <w:pStyle w:val="a0"/>
        <w:ind w:firstLineChars="500" w:firstLine="1105"/>
        <w:rPr>
          <w:rFonts w:ascii="ＭＳ ゴシック" w:eastAsia="ＭＳ ゴシック" w:hAnsi="ＭＳ ゴシック"/>
          <w:bCs/>
          <w:sz w:val="22"/>
          <w:szCs w:val="22"/>
        </w:rPr>
      </w:pPr>
      <w:r w:rsidRPr="008A3EDE">
        <w:rPr>
          <w:rFonts w:ascii="ＭＳ ゴシック" w:eastAsia="ＭＳ ゴシック" w:hAnsi="ＭＳ ゴシック" w:hint="eastAsia"/>
          <w:sz w:val="22"/>
          <w:szCs w:val="22"/>
          <w:bdr w:val="single" w:sz="4" w:space="0" w:color="auto"/>
        </w:rPr>
        <w:t>主たる担当：危機管理室、関係室・課：全部局室・課</w:t>
      </w:r>
    </w:p>
    <w:p w14:paraId="27330E36" w14:textId="77777777" w:rsidR="008B4B2B" w:rsidRPr="008A3EDE" w:rsidRDefault="008B4B2B" w:rsidP="008B4B2B">
      <w:pPr>
        <w:pStyle w:val="ad"/>
        <w:overflowPunct w:val="0"/>
        <w:spacing w:line="400" w:lineRule="exact"/>
        <w:ind w:leftChars="200" w:left="422"/>
        <w:rPr>
          <w:rFonts w:ascii="ＭＳ 明朝" w:hAnsi="ＭＳ 明朝" w:cs="Courier New"/>
          <w:bCs/>
          <w:kern w:val="2"/>
        </w:rPr>
      </w:pPr>
      <w:r w:rsidRPr="008A3EDE">
        <w:rPr>
          <w:rFonts w:ascii="ＭＳ 明朝" w:hAnsi="ＭＳ 明朝" w:cs="Courier New" w:hint="eastAsia"/>
          <w:bCs/>
          <w:kern w:val="2"/>
        </w:rPr>
        <w:t>１　南海トラフ地震臨時情報（調査終了）発表時の対応</w:t>
      </w:r>
    </w:p>
    <w:p w14:paraId="6CB507D4" w14:textId="77777777" w:rsidR="008B4B2B" w:rsidRPr="008A3EDE" w:rsidRDefault="008B4B2B" w:rsidP="008B4B2B">
      <w:pPr>
        <w:pStyle w:val="ad"/>
        <w:overflowPunct w:val="0"/>
        <w:spacing w:line="400" w:lineRule="exact"/>
        <w:ind w:leftChars="400" w:left="844" w:firstLineChars="100" w:firstLine="221"/>
        <w:rPr>
          <w:rFonts w:ascii="ＭＳ 明朝" w:hAnsi="ＭＳ 明朝" w:cs="Courier New"/>
          <w:bCs/>
          <w:kern w:val="2"/>
        </w:rPr>
      </w:pPr>
      <w:r w:rsidRPr="008A3EDE">
        <w:rPr>
          <w:rFonts w:ascii="ＭＳ 明朝" w:hAnsi="ＭＳ 明朝" w:cs="Courier New" w:hint="eastAsia"/>
          <w:bCs/>
          <w:kern w:val="2"/>
        </w:rPr>
        <w:t>調査の結果、「南海トラフ地震臨時情報（調査終了）」の発表があった場合、警戒態勢を解除する。</w:t>
      </w:r>
    </w:p>
    <w:p w14:paraId="77FA4487" w14:textId="77777777" w:rsidR="008B4B2B" w:rsidRPr="008A3EDE" w:rsidRDefault="008B4B2B" w:rsidP="008B4B2B">
      <w:pPr>
        <w:pStyle w:val="ad"/>
        <w:overflowPunct w:val="0"/>
        <w:spacing w:line="400" w:lineRule="exact"/>
        <w:ind w:left="442" w:hangingChars="200" w:hanging="442"/>
        <w:rPr>
          <w:rFonts w:ascii="ＭＳ 明朝" w:hAnsi="ＭＳ 明朝" w:cs="Courier New"/>
          <w:bCs/>
          <w:kern w:val="2"/>
        </w:rPr>
      </w:pPr>
    </w:p>
    <w:p w14:paraId="5723DA44" w14:textId="77777777" w:rsidR="008B4B2B" w:rsidRPr="008A3EDE" w:rsidRDefault="008B4B2B" w:rsidP="008B4B2B">
      <w:pPr>
        <w:pStyle w:val="ad"/>
        <w:overflowPunct w:val="0"/>
        <w:spacing w:line="400" w:lineRule="exact"/>
        <w:ind w:left="442" w:hangingChars="200" w:hanging="442"/>
        <w:rPr>
          <w:rFonts w:ascii="ＭＳ 明朝" w:hAnsi="ＭＳ 明朝" w:cs="Courier New"/>
          <w:bCs/>
          <w:kern w:val="2"/>
        </w:rPr>
      </w:pPr>
      <w:r w:rsidRPr="008A3EDE">
        <w:rPr>
          <w:rFonts w:ascii="ＭＳ 明朝" w:hAnsi="ＭＳ 明朝" w:cs="Courier New" w:hint="eastAsia"/>
          <w:bCs/>
          <w:kern w:val="2"/>
        </w:rPr>
        <w:t xml:space="preserve">　　２　南海トラフ地震臨時情報（巨大地震注意）発表時の対応</w:t>
      </w:r>
    </w:p>
    <w:p w14:paraId="157939D9" w14:textId="77777777" w:rsidR="008B4B2B" w:rsidRPr="008A3EDE" w:rsidRDefault="008B4B2B" w:rsidP="008B4B2B">
      <w:pPr>
        <w:pStyle w:val="ad"/>
        <w:overflowPunct w:val="0"/>
        <w:spacing w:line="400" w:lineRule="exact"/>
        <w:ind w:leftChars="300" w:left="633" w:firstLineChars="200" w:firstLine="442"/>
        <w:rPr>
          <w:rFonts w:ascii="ＭＳ 明朝" w:hAnsi="ＭＳ 明朝" w:cs="Courier New"/>
          <w:bCs/>
          <w:kern w:val="2"/>
        </w:rPr>
      </w:pPr>
      <w:r w:rsidRPr="008A3EDE">
        <w:rPr>
          <w:rFonts w:ascii="ＭＳ 明朝" w:hAnsi="ＭＳ 明朝" w:cs="Courier New" w:hint="eastAsia"/>
          <w:bCs/>
          <w:kern w:val="2"/>
        </w:rPr>
        <w:t>調査の結果、「南海トラフ地震臨時情報（巨大地震注意）」の発表があった場合、国から防災対応解除の呼びかけが発せられるまでの間、「大阪府防災・危機管理指令部」の活動を継続し、随時「大阪府防災・危機管理指令部会議」を開催する。</w:t>
      </w:r>
    </w:p>
    <w:p w14:paraId="66ACF6D2" w14:textId="77777777" w:rsidR="008B4B2B" w:rsidRPr="008A3EDE" w:rsidRDefault="008B4B2B" w:rsidP="008B4B2B">
      <w:pPr>
        <w:pStyle w:val="ad"/>
        <w:wordWrap/>
        <w:overflowPunct w:val="0"/>
        <w:spacing w:line="400" w:lineRule="exact"/>
        <w:ind w:left="663" w:hangingChars="300" w:hanging="663"/>
        <w:rPr>
          <w:rFonts w:ascii="ＭＳ 明朝" w:hAnsi="ＭＳ 明朝" w:cs="Courier New"/>
          <w:bCs/>
          <w:kern w:val="2"/>
        </w:rPr>
      </w:pPr>
      <w:r w:rsidRPr="008A3EDE">
        <w:rPr>
          <w:rFonts w:ascii="ＭＳ 明朝" w:hAnsi="ＭＳ 明朝" w:cs="Courier New" w:hint="eastAsia"/>
          <w:bCs/>
          <w:kern w:val="2"/>
        </w:rPr>
        <w:t xml:space="preserve">　　　　庁内各部局課・室長は、情報収集に努めるとともに、必要に応じ警戒態勢にあたる。</w:t>
      </w:r>
    </w:p>
    <w:p w14:paraId="1485D0F3" w14:textId="77777777" w:rsidR="008B4B2B" w:rsidRPr="008A3EDE" w:rsidRDefault="008B4B2B" w:rsidP="008B4B2B">
      <w:pPr>
        <w:pStyle w:val="ad"/>
        <w:wordWrap/>
        <w:overflowPunct w:val="0"/>
        <w:spacing w:line="400" w:lineRule="exact"/>
        <w:ind w:left="442" w:hangingChars="200" w:hanging="442"/>
        <w:rPr>
          <w:rFonts w:ascii="ＭＳ 明朝" w:hAnsi="ＭＳ 明朝" w:cs="Courier New"/>
          <w:bCs/>
          <w:kern w:val="2"/>
        </w:rPr>
      </w:pPr>
    </w:p>
    <w:p w14:paraId="6CADBB03" w14:textId="77777777" w:rsidR="008B4B2B" w:rsidRPr="008A3EDE" w:rsidRDefault="008B4B2B" w:rsidP="008B4B2B">
      <w:pPr>
        <w:pStyle w:val="ad"/>
        <w:overflowPunct w:val="0"/>
        <w:spacing w:line="400" w:lineRule="exact"/>
        <w:ind w:leftChars="200" w:left="422"/>
        <w:rPr>
          <w:rFonts w:asciiTheme="minorEastAsia" w:eastAsiaTheme="minorEastAsia" w:hAnsiTheme="minorEastAsia"/>
        </w:rPr>
      </w:pPr>
      <w:r w:rsidRPr="008A3EDE">
        <w:rPr>
          <w:rFonts w:asciiTheme="minorEastAsia" w:eastAsiaTheme="minorEastAsia" w:hAnsiTheme="minorEastAsia" w:hint="eastAsia"/>
        </w:rPr>
        <w:t>３　南海トラフ地震臨時情報（巨大地震警戒）発表時の対応</w:t>
      </w:r>
    </w:p>
    <w:p w14:paraId="5FEC5FE5" w14:textId="77777777" w:rsidR="008B4B2B" w:rsidRPr="008A3EDE" w:rsidRDefault="008B4B2B" w:rsidP="008B4B2B">
      <w:pPr>
        <w:pStyle w:val="ad"/>
        <w:overflowPunct w:val="0"/>
        <w:spacing w:line="400" w:lineRule="exact"/>
        <w:ind w:leftChars="400" w:left="844" w:firstLineChars="100" w:firstLine="221"/>
        <w:rPr>
          <w:rFonts w:asciiTheme="minorEastAsia" w:eastAsiaTheme="minorEastAsia" w:hAnsiTheme="minorEastAsia"/>
        </w:rPr>
      </w:pPr>
      <w:r w:rsidRPr="008A3EDE">
        <w:rPr>
          <w:rFonts w:asciiTheme="minorEastAsia" w:eastAsiaTheme="minorEastAsia" w:hAnsiTheme="minorEastAsia" w:hint="eastAsia"/>
        </w:rPr>
        <w:t>調査の結果、「南海トラフ地震臨時情報（巨大地震警戒）」の発表があった場合、国から防災対応解除の呼びかけが発せられるまでの間、「大阪府災害警戒本部」を設置し、「大阪府災害警戒本部会議」を開催する。</w:t>
      </w:r>
    </w:p>
    <w:p w14:paraId="0A27AD23" w14:textId="77777777" w:rsidR="008B4B2B" w:rsidRPr="008A3EDE" w:rsidRDefault="008B4B2B" w:rsidP="008B4B2B">
      <w:pPr>
        <w:pStyle w:val="ad"/>
        <w:overflowPunct w:val="0"/>
        <w:spacing w:line="400" w:lineRule="exact"/>
        <w:ind w:leftChars="400" w:left="844" w:firstLineChars="100" w:firstLine="221"/>
        <w:rPr>
          <w:rFonts w:asciiTheme="minorEastAsia" w:eastAsiaTheme="minorEastAsia" w:hAnsiTheme="minorEastAsia"/>
        </w:rPr>
      </w:pPr>
      <w:r w:rsidRPr="008A3EDE">
        <w:rPr>
          <w:rFonts w:asciiTheme="minorEastAsia" w:eastAsiaTheme="minorEastAsia" w:hAnsiTheme="minorEastAsia" w:hint="eastAsia"/>
        </w:rPr>
        <w:t>庁内各部局課・室長は、情報収集に努めるとともに、必要に応じ警戒態勢にあたる。</w:t>
      </w:r>
    </w:p>
    <w:p w14:paraId="2F29BC22" w14:textId="77777777" w:rsidR="008B4B2B" w:rsidRPr="008A3EDE" w:rsidRDefault="008B4B2B" w:rsidP="008B4B2B">
      <w:pPr>
        <w:pStyle w:val="ad"/>
        <w:overflowPunct w:val="0"/>
        <w:spacing w:line="400" w:lineRule="exact"/>
        <w:ind w:leftChars="400" w:left="844" w:firstLineChars="100" w:firstLine="221"/>
        <w:rPr>
          <w:rFonts w:asciiTheme="minorEastAsia" w:eastAsiaTheme="minorEastAsia" w:hAnsiTheme="minorEastAsia"/>
        </w:rPr>
      </w:pPr>
    </w:p>
    <w:p w14:paraId="6F232277" w14:textId="77777777" w:rsidR="008B4B2B" w:rsidRPr="008A3EDE" w:rsidRDefault="008B4B2B" w:rsidP="008B4B2B">
      <w:pPr>
        <w:pStyle w:val="ad"/>
        <w:overflowPunct w:val="0"/>
        <w:spacing w:line="400" w:lineRule="exact"/>
        <w:ind w:left="442" w:hangingChars="200" w:hanging="442"/>
        <w:rPr>
          <w:rFonts w:asciiTheme="minorEastAsia" w:eastAsiaTheme="minorEastAsia" w:hAnsiTheme="minorEastAsia"/>
        </w:rPr>
      </w:pPr>
      <w:r w:rsidRPr="008A3EDE">
        <w:rPr>
          <w:rFonts w:asciiTheme="minorEastAsia" w:eastAsiaTheme="minorEastAsia" w:hAnsiTheme="minorEastAsia" w:hint="eastAsia"/>
        </w:rPr>
        <w:t xml:space="preserve">　　　４　会議の内容</w:t>
      </w:r>
    </w:p>
    <w:p w14:paraId="31EE1F53" w14:textId="77777777" w:rsidR="008B4B2B" w:rsidRPr="008A3EDE" w:rsidRDefault="008B4B2B" w:rsidP="008B4B2B">
      <w:pPr>
        <w:pStyle w:val="ad"/>
        <w:overflowPunct w:val="0"/>
        <w:spacing w:line="400" w:lineRule="exact"/>
        <w:ind w:leftChars="400" w:left="844" w:firstLineChars="100" w:firstLine="221"/>
        <w:rPr>
          <w:rFonts w:asciiTheme="minorEastAsia" w:eastAsiaTheme="minorEastAsia" w:hAnsiTheme="minorEastAsia"/>
        </w:rPr>
      </w:pPr>
      <w:r w:rsidRPr="008A3EDE">
        <w:rPr>
          <w:rFonts w:asciiTheme="minorEastAsia" w:eastAsiaTheme="minorEastAsia" w:hAnsiTheme="minorEastAsia" w:hint="eastAsia"/>
        </w:rPr>
        <w:t>「大阪府防災・危機管理指令部会議」及び「大阪府災害警戒本部会議」においては、政府による関係省庁災害警戒会議の情報を受けて、今後の対応を検討するとともに、大規模地震発生後の災害応急対応の確認、防災上重要な施設及び必要な資機材等の準備、点検を行い、地震と地震発生に伴う津波への備えを徹底する。</w:t>
      </w:r>
    </w:p>
    <w:p w14:paraId="173482CE" w14:textId="77777777" w:rsidR="008B4B2B" w:rsidRPr="008A3EDE" w:rsidRDefault="008B4B2B" w:rsidP="008B4B2B">
      <w:pPr>
        <w:pStyle w:val="ad"/>
        <w:wordWrap/>
        <w:overflowPunct w:val="0"/>
        <w:spacing w:line="400" w:lineRule="exact"/>
        <w:ind w:left="884" w:hangingChars="400" w:hanging="884"/>
        <w:rPr>
          <w:rFonts w:asciiTheme="minorEastAsia" w:eastAsiaTheme="minorEastAsia" w:hAnsiTheme="minorEastAsia"/>
        </w:rPr>
      </w:pPr>
      <w:r w:rsidRPr="008A3EDE">
        <w:rPr>
          <w:rFonts w:asciiTheme="minorEastAsia" w:eastAsiaTheme="minorEastAsia" w:hAnsiTheme="minorEastAsia" w:hint="eastAsia"/>
        </w:rPr>
        <w:lastRenderedPageBreak/>
        <w:t xml:space="preserve">　　　　　併せて、地震と地震発生に伴う津波への備えについて、住民等に対して再確認を目的とした呼びかけや混乱防止のための広報を行う。</w:t>
      </w:r>
    </w:p>
    <w:p w14:paraId="548ACF88" w14:textId="77777777" w:rsidR="008B4B2B" w:rsidRPr="008A3EDE" w:rsidRDefault="008B4B2B" w:rsidP="008B4B2B">
      <w:pPr>
        <w:rPr>
          <w:rFonts w:ascii="ＭＳ ゴシック" w:eastAsia="ＭＳ ゴシック" w:hAnsi="ＭＳ ゴシック"/>
          <w:sz w:val="28"/>
          <w:szCs w:val="28"/>
        </w:rPr>
      </w:pPr>
    </w:p>
    <w:p w14:paraId="1A61D791" w14:textId="77777777" w:rsidR="00B93B64" w:rsidRDefault="00596CB1">
      <w:pPr>
        <w:widowControl/>
        <w:jc w:val="left"/>
        <w:sectPr w:rsidR="00B93B64" w:rsidSect="00196764">
          <w:headerReference w:type="default" r:id="rId32"/>
          <w:pgSz w:w="11906" w:h="16838" w:code="9"/>
          <w:pgMar w:top="1701" w:right="1531" w:bottom="1701" w:left="1531" w:header="850" w:footer="850" w:gutter="0"/>
          <w:pgNumType w:fmt="numberInDash"/>
          <w:cols w:space="425"/>
          <w:docGrid w:type="linesAndChars" w:linePitch="353" w:charSpace="225"/>
        </w:sectPr>
      </w:pPr>
      <w:r w:rsidRPr="008A3EDE">
        <w:br w:type="page"/>
      </w:r>
    </w:p>
    <w:p w14:paraId="1BD051F8" w14:textId="526B2588" w:rsidR="008B4B2B" w:rsidRPr="008A3EDE" w:rsidRDefault="00E434C7" w:rsidP="00B93B64">
      <w:pPr>
        <w:pStyle w:val="1"/>
        <w:ind w:leftChars="0" w:left="0" w:firstLine="0"/>
      </w:pPr>
      <w:bookmarkStart w:id="390" w:name="_Toc122436967"/>
      <w:bookmarkStart w:id="391" w:name="_Toc222486666"/>
      <w:bookmarkStart w:id="392" w:name="_Toc242870336"/>
      <w:r w:rsidRPr="008A3EDE">
        <w:rPr>
          <w:rFonts w:hint="eastAsia"/>
        </w:rPr>
        <w:lastRenderedPageBreak/>
        <w:t>第</w:t>
      </w:r>
      <w:r w:rsidR="00A911D7" w:rsidRPr="008A3EDE">
        <w:rPr>
          <w:rFonts w:hint="eastAsia"/>
        </w:rPr>
        <w:t>７</w:t>
      </w:r>
      <w:r w:rsidR="008B4B2B" w:rsidRPr="008A3EDE">
        <w:rPr>
          <w:rFonts w:hint="eastAsia"/>
        </w:rPr>
        <w:t>章　事故等災害応急対策</w:t>
      </w:r>
      <w:bookmarkEnd w:id="390"/>
      <w:bookmarkEnd w:id="391"/>
      <w:bookmarkEnd w:id="392"/>
    </w:p>
    <w:p w14:paraId="21E557C2" w14:textId="77777777" w:rsidR="008B4B2B" w:rsidRPr="008A3EDE" w:rsidRDefault="008B4B2B" w:rsidP="002B2381">
      <w:pPr>
        <w:pStyle w:val="a0"/>
        <w:spacing w:line="0" w:lineRule="atLeast"/>
        <w:ind w:firstLineChars="100" w:firstLine="281"/>
        <w:outlineLvl w:val="1"/>
        <w:rPr>
          <w:rFonts w:ascii="ＭＳ ゴシック" w:eastAsia="ＭＳ ゴシック" w:hAnsi="ＭＳ ゴシック"/>
          <w:bCs/>
          <w:sz w:val="28"/>
          <w:szCs w:val="28"/>
        </w:rPr>
      </w:pPr>
      <w:bookmarkStart w:id="393" w:name="_Toc122436968"/>
      <w:bookmarkStart w:id="394" w:name="_Toc222486667"/>
      <w:bookmarkStart w:id="395" w:name="_Toc242870337"/>
      <w:r w:rsidRPr="008A3EDE">
        <w:rPr>
          <w:rFonts w:ascii="ＭＳ ゴシック" w:eastAsia="ＭＳ ゴシック" w:hAnsi="ＭＳ ゴシック" w:hint="eastAsia"/>
          <w:bCs/>
          <w:sz w:val="28"/>
          <w:szCs w:val="28"/>
        </w:rPr>
        <w:t>第１節　海上災害応急対策</w:t>
      </w:r>
      <w:bookmarkEnd w:id="393"/>
      <w:bookmarkEnd w:id="394"/>
      <w:bookmarkEnd w:id="395"/>
    </w:p>
    <w:p w14:paraId="76647DF2" w14:textId="77777777" w:rsidR="008B4B2B" w:rsidRPr="008A3EDE" w:rsidRDefault="008B4B2B" w:rsidP="008B4B2B">
      <w:pPr>
        <w:pStyle w:val="a0"/>
        <w:spacing w:line="0" w:lineRule="atLeast"/>
        <w:ind w:firstLineChars="650" w:firstLine="1437"/>
        <w:rPr>
          <w:rFonts w:ascii="ＭＳ ゴシック" w:eastAsia="ＭＳ ゴシック" w:hAnsi="ＭＳ ゴシック"/>
          <w:sz w:val="22"/>
          <w:szCs w:val="22"/>
          <w:bdr w:val="single" w:sz="4" w:space="0" w:color="auto"/>
        </w:rPr>
      </w:pPr>
      <w:r w:rsidRPr="008A3EDE">
        <w:rPr>
          <w:rFonts w:ascii="ＭＳ ゴシック" w:eastAsia="ＭＳ ゴシック" w:hAnsi="ＭＳ ゴシック" w:hint="eastAsia"/>
          <w:sz w:val="22"/>
          <w:szCs w:val="22"/>
          <w:bdr w:val="single" w:sz="4" w:space="0" w:color="auto"/>
        </w:rPr>
        <w:t>主たる担当：危機管理室、環境保全課、水産課、大阪港湾局</w:t>
      </w:r>
    </w:p>
    <w:p w14:paraId="0840B044" w14:textId="77777777" w:rsidR="008B4B2B" w:rsidRPr="008A3EDE" w:rsidRDefault="008B4B2B" w:rsidP="002B2381">
      <w:pPr>
        <w:pStyle w:val="a0"/>
        <w:ind w:firstLineChars="200" w:firstLine="442"/>
        <w:outlineLvl w:val="2"/>
        <w:rPr>
          <w:rFonts w:hAnsi="ＭＳ 明朝"/>
          <w:bCs/>
          <w:sz w:val="22"/>
          <w:szCs w:val="22"/>
          <w:u w:val="double"/>
        </w:rPr>
      </w:pPr>
      <w:bookmarkStart w:id="396" w:name="_Toc122436969"/>
      <w:bookmarkStart w:id="397" w:name="_Toc222486668"/>
      <w:bookmarkStart w:id="398" w:name="_Toc242870338"/>
      <w:r w:rsidRPr="008A3EDE">
        <w:rPr>
          <w:rFonts w:ascii="ＭＳ ゴシック" w:eastAsia="ＭＳ ゴシック" w:hAnsi="ＭＳ ゴシック" w:hint="eastAsia"/>
          <w:bCs/>
          <w:sz w:val="22"/>
          <w:szCs w:val="22"/>
          <w:u w:val="double"/>
        </w:rPr>
        <w:t>第１　流出油等の防除措置等</w:t>
      </w:r>
      <w:bookmarkEnd w:id="396"/>
      <w:bookmarkEnd w:id="397"/>
      <w:bookmarkEnd w:id="398"/>
    </w:p>
    <w:p w14:paraId="34B6E437" w14:textId="77777777" w:rsidR="008B4B2B" w:rsidRPr="008A3EDE" w:rsidRDefault="008B4B2B" w:rsidP="008B4B2B">
      <w:pPr>
        <w:pStyle w:val="a0"/>
        <w:ind w:leftChars="210" w:left="996" w:rightChars="-41" w:right="-87" w:hangingChars="250" w:hanging="553"/>
        <w:rPr>
          <w:rFonts w:hAnsi="ＭＳ 明朝"/>
          <w:bCs/>
          <w:sz w:val="22"/>
          <w:szCs w:val="22"/>
        </w:rPr>
      </w:pPr>
      <w:r w:rsidRPr="008A3EDE">
        <w:rPr>
          <w:rFonts w:hAnsi="ＭＳ 明朝" w:hint="eastAsia"/>
          <w:bCs/>
          <w:sz w:val="22"/>
          <w:szCs w:val="22"/>
        </w:rPr>
        <w:t xml:space="preserve">　１　必要となる油防除資機材を防災関係機関と協力して調達する。</w:t>
      </w:r>
    </w:p>
    <w:p w14:paraId="675DDEB4" w14:textId="77777777" w:rsidR="008B4B2B" w:rsidRPr="008A3EDE" w:rsidRDefault="008B4B2B" w:rsidP="008B4B2B">
      <w:pPr>
        <w:pStyle w:val="a0"/>
        <w:ind w:leftChars="211" w:left="887" w:rightChars="-41" w:right="-87" w:hangingChars="200" w:hanging="442"/>
        <w:rPr>
          <w:rFonts w:hAnsi="ＭＳ 明朝"/>
          <w:bCs/>
          <w:sz w:val="22"/>
          <w:szCs w:val="22"/>
        </w:rPr>
      </w:pPr>
      <w:r w:rsidRPr="008A3EDE">
        <w:rPr>
          <w:rFonts w:hAnsi="ＭＳ 明朝" w:hint="eastAsia"/>
          <w:bCs/>
          <w:sz w:val="22"/>
          <w:szCs w:val="22"/>
        </w:rPr>
        <w:t xml:space="preserve">　２　流出油等の漂着可能性、漂着時期、漂着量の予測や環境影響等に関する情報収集・整理を行う。また、情報収集にあたっては、第５管区海上保安本部と浮流・漂着の監視等について連携を図り、必要に応じて役割分担し、連絡網により、関係機関に各種情報の提供及び収集を行う。</w:t>
      </w:r>
    </w:p>
    <w:p w14:paraId="17359F99" w14:textId="77777777" w:rsidR="008B4B2B" w:rsidRPr="008A3EDE" w:rsidRDefault="008B4B2B" w:rsidP="008B4B2B">
      <w:pPr>
        <w:pStyle w:val="a0"/>
        <w:ind w:leftChars="211" w:left="887" w:rightChars="-41" w:right="-87" w:hangingChars="200" w:hanging="442"/>
        <w:rPr>
          <w:rFonts w:hAnsi="ＭＳ 明朝"/>
          <w:bCs/>
          <w:sz w:val="22"/>
          <w:szCs w:val="22"/>
        </w:rPr>
      </w:pPr>
      <w:r w:rsidRPr="008A3EDE">
        <w:rPr>
          <w:rFonts w:hAnsi="ＭＳ 明朝" w:hint="eastAsia"/>
          <w:bCs/>
          <w:sz w:val="22"/>
          <w:szCs w:val="22"/>
        </w:rPr>
        <w:t xml:space="preserve">　３　第５管区海上保安本部からの「海洋汚染等及び海上災害の防止に関する法律」に基づく要請を受けた場合で知事が必要と認めたときは、第５管区海上保安本部、指定海上防災機関等と連携を密にして、必要な対応を行う。</w:t>
      </w:r>
    </w:p>
    <w:p w14:paraId="7F385BE3" w14:textId="77777777" w:rsidR="008B4B2B" w:rsidRPr="008A3EDE" w:rsidRDefault="008B4B2B" w:rsidP="008B4B2B">
      <w:pPr>
        <w:pStyle w:val="a0"/>
        <w:ind w:leftChars="211" w:left="887" w:rightChars="-41" w:right="-87" w:hangingChars="200" w:hanging="442"/>
        <w:rPr>
          <w:rFonts w:hAnsi="ＭＳ 明朝"/>
          <w:bCs/>
          <w:sz w:val="22"/>
          <w:szCs w:val="22"/>
        </w:rPr>
      </w:pPr>
      <w:r w:rsidRPr="008A3EDE">
        <w:rPr>
          <w:rFonts w:hAnsi="ＭＳ 明朝" w:hint="eastAsia"/>
          <w:bCs/>
          <w:sz w:val="22"/>
          <w:szCs w:val="22"/>
        </w:rPr>
        <w:t xml:space="preserve">　４　港湾法、漁港法、海岸法等に基づく管理区域である、港湾区域、漁港区域、海岸保全区域等に流出油等が漂着するおそれがあると認める場合は、速やかに防除措置の体制を整え、防災関係機関等と協力して有効な防除措置を実施する。</w:t>
      </w:r>
    </w:p>
    <w:p w14:paraId="302A1338" w14:textId="77777777" w:rsidR="008B4B2B" w:rsidRPr="008A3EDE" w:rsidRDefault="008B4B2B" w:rsidP="008B4B2B">
      <w:pPr>
        <w:pStyle w:val="a0"/>
        <w:ind w:leftChars="411" w:left="868" w:rightChars="-41" w:right="-87"/>
        <w:rPr>
          <w:rFonts w:hAnsi="ＭＳ 明朝"/>
          <w:bCs/>
          <w:sz w:val="22"/>
          <w:szCs w:val="22"/>
        </w:rPr>
      </w:pPr>
      <w:r w:rsidRPr="008A3EDE">
        <w:rPr>
          <w:rFonts w:hAnsi="ＭＳ 明朝" w:hint="eastAsia"/>
          <w:bCs/>
          <w:sz w:val="22"/>
          <w:szCs w:val="22"/>
        </w:rPr>
        <w:t xml:space="preserve">　また、管理区域内に流出油等が流入した場合には、迅速かつ効率的な回収及び処理を実施する。</w:t>
      </w:r>
    </w:p>
    <w:p w14:paraId="593019A5" w14:textId="77777777" w:rsidR="008B4B2B" w:rsidRPr="008A3EDE" w:rsidRDefault="008B4B2B" w:rsidP="008B4B2B">
      <w:pPr>
        <w:pStyle w:val="a0"/>
        <w:ind w:leftChars="211" w:left="887" w:rightChars="-41" w:right="-87" w:hangingChars="200" w:hanging="442"/>
        <w:rPr>
          <w:rFonts w:hAnsi="ＭＳ 明朝"/>
          <w:bCs/>
          <w:sz w:val="22"/>
          <w:szCs w:val="22"/>
        </w:rPr>
      </w:pPr>
      <w:r w:rsidRPr="008A3EDE">
        <w:rPr>
          <w:rFonts w:hAnsi="ＭＳ 明朝" w:hint="eastAsia"/>
          <w:bCs/>
          <w:sz w:val="22"/>
          <w:szCs w:val="22"/>
        </w:rPr>
        <w:t xml:space="preserve">　５　上記の場合において、防除措置義務者が必要な措置を講じていない場合には、防除措置義務者に対し措置を講ずるよう要請する。</w:t>
      </w:r>
    </w:p>
    <w:p w14:paraId="2554A1AA" w14:textId="77777777" w:rsidR="008B4B2B" w:rsidRPr="008A3EDE" w:rsidRDefault="008B4B2B" w:rsidP="008B4B2B">
      <w:pPr>
        <w:pStyle w:val="a0"/>
        <w:ind w:leftChars="210" w:left="996" w:rightChars="-41" w:right="-87" w:hangingChars="250" w:hanging="553"/>
        <w:rPr>
          <w:rFonts w:hAnsi="ＭＳ 明朝"/>
          <w:bCs/>
          <w:sz w:val="22"/>
          <w:szCs w:val="22"/>
        </w:rPr>
      </w:pPr>
      <w:r w:rsidRPr="008A3EDE">
        <w:rPr>
          <w:rFonts w:hAnsi="ＭＳ 明朝" w:hint="eastAsia"/>
          <w:bCs/>
          <w:sz w:val="22"/>
          <w:szCs w:val="22"/>
        </w:rPr>
        <w:t xml:space="preserve">　６　関係市町は、必要に応じて、周辺住民に対して避難誘導を行う。</w:t>
      </w:r>
    </w:p>
    <w:p w14:paraId="3ACABE9D" w14:textId="77777777" w:rsidR="008B4B2B" w:rsidRPr="008A3EDE" w:rsidRDefault="008B4B2B" w:rsidP="008B4B2B">
      <w:pPr>
        <w:pStyle w:val="a0"/>
        <w:ind w:leftChars="210" w:left="996" w:rightChars="-41" w:right="-87" w:hangingChars="250" w:hanging="553"/>
        <w:rPr>
          <w:rFonts w:hAnsi="ＭＳ 明朝"/>
          <w:bCs/>
          <w:sz w:val="22"/>
          <w:szCs w:val="22"/>
        </w:rPr>
      </w:pPr>
      <w:r w:rsidRPr="008A3EDE">
        <w:rPr>
          <w:rFonts w:hAnsi="ＭＳ 明朝" w:hint="eastAsia"/>
          <w:bCs/>
          <w:sz w:val="22"/>
          <w:szCs w:val="22"/>
        </w:rPr>
        <w:t xml:space="preserve">　７　環境への影響等の状況を把握するため、必要に応じ、水質等の環境調査を実施する。</w:t>
      </w:r>
    </w:p>
    <w:p w14:paraId="0EFF6E4C" w14:textId="77777777" w:rsidR="008B4B2B" w:rsidRPr="008A3EDE" w:rsidRDefault="008B4B2B" w:rsidP="008B4B2B">
      <w:pPr>
        <w:pStyle w:val="a0"/>
        <w:ind w:leftChars="210" w:left="996" w:hangingChars="250" w:hanging="553"/>
        <w:rPr>
          <w:rFonts w:hAnsi="ＭＳ 明朝"/>
          <w:bCs/>
          <w:sz w:val="22"/>
          <w:szCs w:val="22"/>
        </w:rPr>
      </w:pPr>
    </w:p>
    <w:p w14:paraId="7837043E" w14:textId="2B592741" w:rsidR="008B4B2B" w:rsidRPr="008A3EDE" w:rsidRDefault="008B4B2B" w:rsidP="002B2381">
      <w:pPr>
        <w:pStyle w:val="a0"/>
        <w:ind w:leftChars="210" w:left="996" w:hangingChars="250" w:hanging="553"/>
        <w:outlineLvl w:val="2"/>
        <w:rPr>
          <w:rFonts w:ascii="ＭＳ ゴシック" w:eastAsia="ＭＳ ゴシック" w:hAnsi="ＭＳ ゴシック"/>
          <w:bCs/>
          <w:sz w:val="22"/>
          <w:szCs w:val="22"/>
          <w:u w:val="double"/>
        </w:rPr>
      </w:pPr>
      <w:bookmarkStart w:id="399" w:name="_Toc122436970"/>
      <w:bookmarkStart w:id="400" w:name="_Toc222486669"/>
      <w:bookmarkStart w:id="401" w:name="_Toc242870339"/>
      <w:r w:rsidRPr="008A3EDE">
        <w:rPr>
          <w:rFonts w:ascii="ＭＳ ゴシック" w:eastAsia="ＭＳ ゴシック" w:hAnsi="ＭＳ ゴシック" w:hint="eastAsia"/>
          <w:bCs/>
          <w:sz w:val="22"/>
          <w:szCs w:val="22"/>
          <w:u w:val="double"/>
        </w:rPr>
        <w:t>第</w:t>
      </w:r>
      <w:r w:rsidR="00632BF5" w:rsidRPr="008A3EDE">
        <w:rPr>
          <w:rFonts w:ascii="ＭＳ ゴシック" w:eastAsia="ＭＳ ゴシック" w:hAnsi="ＭＳ ゴシック" w:hint="eastAsia"/>
          <w:bCs/>
          <w:sz w:val="22"/>
          <w:szCs w:val="22"/>
          <w:u w:val="double"/>
        </w:rPr>
        <w:t>２</w:t>
      </w:r>
      <w:r w:rsidRPr="008A3EDE">
        <w:rPr>
          <w:rFonts w:ascii="ＭＳ ゴシック" w:eastAsia="ＭＳ ゴシック" w:hAnsi="ＭＳ ゴシック" w:hint="eastAsia"/>
          <w:bCs/>
          <w:sz w:val="22"/>
          <w:szCs w:val="22"/>
          <w:u w:val="double"/>
        </w:rPr>
        <w:t xml:space="preserve">　事故対策連絡調整本部の設置</w:t>
      </w:r>
      <w:bookmarkEnd w:id="399"/>
      <w:bookmarkEnd w:id="400"/>
      <w:bookmarkEnd w:id="401"/>
    </w:p>
    <w:p w14:paraId="71AAA5EC" w14:textId="2B6D40EE" w:rsidR="008B4B2B" w:rsidRPr="008A3EDE" w:rsidRDefault="008B4B2B" w:rsidP="008B4B2B">
      <w:pPr>
        <w:pStyle w:val="a0"/>
        <w:ind w:leftChars="211" w:left="887" w:hangingChars="200" w:hanging="442"/>
        <w:rPr>
          <w:rFonts w:hAnsi="ＭＳ 明朝"/>
          <w:bCs/>
          <w:sz w:val="22"/>
          <w:szCs w:val="22"/>
        </w:rPr>
      </w:pPr>
      <w:r w:rsidRPr="008A3EDE">
        <w:rPr>
          <w:rFonts w:hAnsi="ＭＳ 明朝" w:hint="eastAsia"/>
          <w:bCs/>
          <w:sz w:val="22"/>
          <w:szCs w:val="22"/>
        </w:rPr>
        <w:t xml:space="preserve">　　　防災関係機関相互の連絡を緊密にし、円滑に応急対策を実施するため必要があるときは、大阪海上保安監部長、関西空港海上保安航空基地長又は関係市町長（ふ頭又は岸壁に係留されたタンカーの事故の場合）は、事故対策連絡調整本部を設置する。</w:t>
      </w:r>
    </w:p>
    <w:p w14:paraId="1960B637" w14:textId="77777777" w:rsidR="004C4014" w:rsidRPr="008A3EDE" w:rsidRDefault="004C4014" w:rsidP="008B4B2B">
      <w:pPr>
        <w:pStyle w:val="a0"/>
        <w:ind w:leftChars="211" w:left="887" w:hangingChars="200" w:hanging="442"/>
        <w:rPr>
          <w:rFonts w:hAnsi="ＭＳ 明朝"/>
          <w:bCs/>
          <w:sz w:val="22"/>
          <w:szCs w:val="22"/>
        </w:rPr>
      </w:pPr>
    </w:p>
    <w:p w14:paraId="3AAC420D" w14:textId="77777777" w:rsidR="008B4B2B" w:rsidRPr="008A3EDE" w:rsidRDefault="008B4B2B" w:rsidP="008B4B2B">
      <w:pPr>
        <w:pStyle w:val="a0"/>
        <w:ind w:leftChars="211" w:left="666" w:hangingChars="100" w:hanging="221"/>
        <w:rPr>
          <w:rFonts w:ascii="ＭＳ ゴシック" w:eastAsia="ＭＳ ゴシック" w:hAnsi="ＭＳ ゴシック"/>
          <w:bCs/>
          <w:sz w:val="22"/>
          <w:szCs w:val="22"/>
          <w:u w:val="single"/>
        </w:rPr>
      </w:pPr>
      <w:r w:rsidRPr="008A3EDE">
        <w:rPr>
          <w:rFonts w:hAnsi="ＭＳ 明朝" w:hint="eastAsia"/>
          <w:bCs/>
          <w:sz w:val="22"/>
          <w:szCs w:val="22"/>
        </w:rPr>
        <w:t xml:space="preserve">　</w:t>
      </w:r>
      <w:r w:rsidRPr="008A3EDE">
        <w:rPr>
          <w:rFonts w:ascii="ＭＳ ゴシック" w:eastAsia="ＭＳ ゴシック" w:hAnsi="ＭＳ ゴシック" w:hint="eastAsia"/>
          <w:bCs/>
          <w:sz w:val="22"/>
          <w:szCs w:val="22"/>
          <w:u w:val="single"/>
        </w:rPr>
        <w:t>１　構　成</w:t>
      </w:r>
    </w:p>
    <w:p w14:paraId="7D6EB52D" w14:textId="77777777" w:rsidR="008B4B2B" w:rsidRPr="008A3EDE" w:rsidRDefault="008B4B2B" w:rsidP="008B4B2B">
      <w:pPr>
        <w:pStyle w:val="a0"/>
        <w:ind w:leftChars="420" w:left="887" w:firstLineChars="100" w:firstLine="221"/>
        <w:rPr>
          <w:rFonts w:hAnsi="ＭＳ 明朝"/>
          <w:bCs/>
          <w:sz w:val="22"/>
          <w:szCs w:val="22"/>
        </w:rPr>
      </w:pPr>
      <w:r w:rsidRPr="008A3EDE">
        <w:rPr>
          <w:rFonts w:hAnsi="ＭＳ 明朝" w:hint="eastAsia"/>
          <w:bCs/>
          <w:sz w:val="22"/>
          <w:szCs w:val="22"/>
        </w:rPr>
        <w:t>大阪海上保安監部・関西空港海上保安航空基地、近畿地方整備局、</w:t>
      </w:r>
    </w:p>
    <w:p w14:paraId="1B2971FE" w14:textId="77777777" w:rsidR="008B4B2B" w:rsidRPr="008A3EDE" w:rsidRDefault="008B4B2B" w:rsidP="008B4B2B">
      <w:pPr>
        <w:pStyle w:val="a0"/>
        <w:ind w:leftChars="420" w:left="887"/>
        <w:rPr>
          <w:rFonts w:hAnsi="ＭＳ 明朝"/>
          <w:bCs/>
          <w:sz w:val="22"/>
          <w:szCs w:val="22"/>
        </w:rPr>
      </w:pPr>
      <w:r w:rsidRPr="008A3EDE">
        <w:rPr>
          <w:rFonts w:hAnsi="ＭＳ 明朝" w:hint="eastAsia"/>
          <w:bCs/>
          <w:sz w:val="22"/>
          <w:szCs w:val="22"/>
        </w:rPr>
        <w:t>近畿運輸局、府、府警察、関係市町（消防機関含む）、港湾の管理者、自衛隊、事故発生責任機関及びその他関係機関</w:t>
      </w:r>
    </w:p>
    <w:p w14:paraId="2006CD74" w14:textId="77777777" w:rsidR="008B4B2B" w:rsidRPr="008A3EDE" w:rsidRDefault="008B4B2B" w:rsidP="008B4B2B">
      <w:pPr>
        <w:pStyle w:val="a0"/>
        <w:ind w:left="995" w:hangingChars="450" w:hanging="995"/>
        <w:rPr>
          <w:rFonts w:hAnsi="ＭＳ 明朝"/>
          <w:bCs/>
          <w:sz w:val="22"/>
          <w:szCs w:val="22"/>
        </w:rPr>
      </w:pPr>
      <w:r w:rsidRPr="008A3EDE">
        <w:rPr>
          <w:rFonts w:hAnsi="ＭＳ 明朝" w:hint="eastAsia"/>
          <w:bCs/>
          <w:sz w:val="22"/>
          <w:szCs w:val="22"/>
        </w:rPr>
        <w:t xml:space="preserve">　　　</w:t>
      </w:r>
    </w:p>
    <w:p w14:paraId="4004AD1D" w14:textId="77777777" w:rsidR="008B4B2B" w:rsidRPr="008A3EDE" w:rsidRDefault="008B4B2B" w:rsidP="008B4B2B">
      <w:pPr>
        <w:pStyle w:val="a0"/>
        <w:ind w:leftChars="300" w:left="965" w:hangingChars="150" w:hanging="332"/>
        <w:rPr>
          <w:rFonts w:ascii="ＭＳ ゴシック" w:eastAsia="ＭＳ ゴシック" w:hAnsi="ＭＳ ゴシック"/>
          <w:bCs/>
          <w:sz w:val="22"/>
          <w:szCs w:val="22"/>
          <w:u w:val="single"/>
        </w:rPr>
      </w:pPr>
      <w:r w:rsidRPr="008A3EDE">
        <w:rPr>
          <w:rFonts w:ascii="ＭＳ ゴシック" w:eastAsia="ＭＳ ゴシック" w:hAnsi="ＭＳ ゴシック" w:hint="eastAsia"/>
          <w:bCs/>
          <w:sz w:val="22"/>
          <w:szCs w:val="22"/>
          <w:u w:val="single"/>
        </w:rPr>
        <w:t>２　設置場所</w:t>
      </w:r>
    </w:p>
    <w:p w14:paraId="0E720070" w14:textId="1E30AB51" w:rsidR="00596CB1" w:rsidRPr="008A3EDE" w:rsidRDefault="008B4B2B" w:rsidP="008B4B2B">
      <w:pPr>
        <w:pStyle w:val="a0"/>
        <w:ind w:left="884" w:hangingChars="400" w:hanging="884"/>
        <w:rPr>
          <w:rFonts w:hAnsi="ＭＳ 明朝"/>
          <w:bCs/>
          <w:sz w:val="22"/>
          <w:szCs w:val="22"/>
        </w:rPr>
      </w:pPr>
      <w:r w:rsidRPr="008A3EDE">
        <w:rPr>
          <w:rFonts w:hAnsi="ＭＳ 明朝" w:hint="eastAsia"/>
          <w:bCs/>
          <w:sz w:val="22"/>
          <w:szCs w:val="22"/>
        </w:rPr>
        <w:t xml:space="preserve">　　　　　大阪海上保安監部・関西空港海上保安航空基地又は事故現場に近い場所、若しくは船艇とする。</w:t>
      </w:r>
    </w:p>
    <w:p w14:paraId="4C28F2D4" w14:textId="77777777" w:rsidR="00596CB1" w:rsidRPr="008A3EDE" w:rsidRDefault="00596CB1">
      <w:pPr>
        <w:widowControl/>
        <w:jc w:val="left"/>
        <w:rPr>
          <w:rFonts w:ascii="ＭＳ 明朝" w:hAnsi="ＭＳ 明朝" w:cs="Courier New"/>
          <w:bCs/>
          <w:sz w:val="22"/>
          <w:szCs w:val="22"/>
        </w:rPr>
      </w:pPr>
      <w:r w:rsidRPr="008A3EDE">
        <w:rPr>
          <w:rFonts w:hAnsi="ＭＳ 明朝"/>
          <w:bCs/>
          <w:sz w:val="22"/>
          <w:szCs w:val="22"/>
        </w:rPr>
        <w:br w:type="page"/>
      </w:r>
    </w:p>
    <w:p w14:paraId="583CF736" w14:textId="77777777" w:rsidR="008B4B2B" w:rsidRPr="008A3EDE" w:rsidRDefault="008B4B2B" w:rsidP="008B4B2B">
      <w:pPr>
        <w:wordWrap w:val="0"/>
        <w:overflowPunct w:val="0"/>
        <w:spacing w:line="362" w:lineRule="exact"/>
        <w:ind w:right="97"/>
        <w:rPr>
          <w:rFonts w:ascii="ＭＳ 明朝" w:hAnsi="ＭＳ 明朝"/>
        </w:rPr>
      </w:pPr>
      <w:r w:rsidRPr="008A3EDE">
        <w:rPr>
          <w:rFonts w:ascii="ＭＳ 明朝" w:hAnsi="ＭＳ 明朝" w:hint="eastAsia"/>
        </w:rPr>
        <w:lastRenderedPageBreak/>
        <w:t>別図〔連絡系統図〕</w:t>
      </w:r>
    </w:p>
    <w:p w14:paraId="35E4B6DF" w14:textId="77777777" w:rsidR="008B4B2B" w:rsidRPr="008A3EDE" w:rsidRDefault="008B4B2B" w:rsidP="008B4B2B">
      <w:pPr>
        <w:wordWrap w:val="0"/>
        <w:overflowPunct w:val="0"/>
        <w:spacing w:line="362" w:lineRule="exact"/>
        <w:ind w:left="645" w:right="97"/>
      </w:pPr>
      <w:r w:rsidRPr="008A3EDE">
        <w:rPr>
          <w:rFonts w:hint="eastAsia"/>
        </w:rPr>
        <w:t xml:space="preserve">　　　　　　</w:t>
      </w:r>
    </w:p>
    <w:p w14:paraId="22486434" w14:textId="77777777" w:rsidR="008B4B2B" w:rsidRPr="008A3EDE" w:rsidRDefault="008B4B2B" w:rsidP="008B4B2B">
      <w:pPr>
        <w:wordWrap w:val="0"/>
        <w:overflowPunct w:val="0"/>
        <w:spacing w:line="362" w:lineRule="exact"/>
        <w:ind w:left="645" w:right="97"/>
      </w:pPr>
      <w:r w:rsidRPr="008A3EDE">
        <w:rPr>
          <w:noProof/>
        </w:rPr>
        <mc:AlternateContent>
          <mc:Choice Requires="wps">
            <w:drawing>
              <wp:anchor distT="0" distB="0" distL="114300" distR="114300" simplePos="0" relativeHeight="253705216" behindDoc="0" locked="0" layoutInCell="1" allowOverlap="1" wp14:anchorId="79D3ACAF" wp14:editId="03E24822">
                <wp:simplePos x="0" y="0"/>
                <wp:positionH relativeFrom="column">
                  <wp:posOffset>-27305</wp:posOffset>
                </wp:positionH>
                <wp:positionV relativeFrom="paragraph">
                  <wp:posOffset>77470</wp:posOffset>
                </wp:positionV>
                <wp:extent cx="982345" cy="1345565"/>
                <wp:effectExtent l="10795" t="10795" r="16510" b="15240"/>
                <wp:wrapNone/>
                <wp:docPr id="3778" name="Text Box 305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82345" cy="1345565"/>
                        </a:xfrm>
                        <a:prstGeom prst="rect">
                          <a:avLst/>
                        </a:prstGeom>
                        <a:solidFill>
                          <a:srgbClr val="FFFFFF"/>
                        </a:solidFill>
                        <a:ln w="19050">
                          <a:solidFill>
                            <a:srgbClr val="000000"/>
                          </a:solidFill>
                          <a:miter lim="800000"/>
                          <a:headEnd/>
                          <a:tailEnd/>
                        </a:ln>
                      </wps:spPr>
                      <wps:txbx>
                        <w:txbxContent>
                          <w:p w14:paraId="6B289916" w14:textId="77777777" w:rsidR="006A5267" w:rsidRDefault="006A5267" w:rsidP="008B4B2B"/>
                          <w:p w14:paraId="0F85C83F" w14:textId="77777777" w:rsidR="006A5267" w:rsidRDefault="006A5267" w:rsidP="008B4B2B">
                            <w:pPr>
                              <w:jc w:val="distribute"/>
                            </w:pPr>
                            <w:r>
                              <w:rPr>
                                <w:rFonts w:hint="eastAsia"/>
                              </w:rPr>
                              <w:t>発見者</w:t>
                            </w:r>
                          </w:p>
                          <w:p w14:paraId="1A5FD80E" w14:textId="77777777" w:rsidR="006A5267" w:rsidRDefault="006A5267" w:rsidP="008B4B2B">
                            <w:pPr>
                              <w:jc w:val="distribute"/>
                            </w:pPr>
                            <w:r>
                              <w:rPr>
                                <w:rFonts w:hint="eastAsia"/>
                              </w:rPr>
                              <w:t>事故船舶</w:t>
                            </w:r>
                          </w:p>
                          <w:p w14:paraId="69F04948" w14:textId="77777777" w:rsidR="006A5267" w:rsidRDefault="006A5267" w:rsidP="008B4B2B">
                            <w:pPr>
                              <w:jc w:val="distribute"/>
                            </w:pPr>
                            <w:r>
                              <w:rPr>
                                <w:rFonts w:hint="eastAsia"/>
                              </w:rPr>
                              <w:t>関係事業者</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shape w14:anchorId="79D3ACAF" id="Text Box 3054" o:spid="_x0000_s1658" type="#_x0000_t202" style="position:absolute;left:0;text-align:left;margin-left:-2.15pt;margin-top:6.1pt;width:77.35pt;height:105.95pt;z-index:253705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" strokeweight="1.5pt">
                <v:textbox>
                  <w:txbxContent>
                    <w:p w14:paraId="6B289916" w14:textId="77777777" w:rsidR="006A5267" w:rsidRDefault="006A5267" w:rsidP="008B4B2B"/>
                    <w:p w14:paraId="0F85C83F" w14:textId="77777777" w:rsidR="006A5267" w:rsidRDefault="006A5267" w:rsidP="008B4B2B">
                      <w:pPr>
                        <w:jc w:val="distribute"/>
                      </w:pPr>
                      <w:r>
                        <w:rPr>
                          <w:rFonts w:hint="eastAsia"/>
                        </w:rPr>
                        <w:t>発見者</w:t>
                      </w:r>
                    </w:p>
                    <w:p w14:paraId="1A5FD80E" w14:textId="77777777" w:rsidR="006A5267" w:rsidRDefault="006A5267" w:rsidP="008B4B2B">
                      <w:pPr>
                        <w:jc w:val="distribute"/>
                      </w:pPr>
                      <w:r>
                        <w:rPr>
                          <w:rFonts w:hint="eastAsia"/>
                        </w:rPr>
                        <w:t>事故船舶</w:t>
                      </w:r>
                    </w:p>
                    <w:p w14:paraId="69F04948" w14:textId="77777777" w:rsidR="006A5267" w:rsidRDefault="006A5267" w:rsidP="008B4B2B">
                      <w:pPr>
                        <w:jc w:val="distribute"/>
                      </w:pPr>
                      <w:r>
                        <w:rPr>
                          <w:rFonts w:hint="eastAsia"/>
                        </w:rPr>
                        <w:t>関係事業者</w:t>
                      </w:r>
                    </w:p>
                  </w:txbxContent>
                </v:textbox>
              </v:shape>
            </w:pict>
          </mc:Fallback>
        </mc:AlternateContent>
      </w:r>
    </w:p>
    <w:p w14:paraId="4E38D48A" w14:textId="25822590" w:rsidR="008B4B2B" w:rsidRPr="008A3EDE" w:rsidRDefault="008B4B2B" w:rsidP="008B4B2B">
      <w:r w:rsidRPr="008A3EDE">
        <w:rPr>
          <w:noProof/>
        </w:rPr>
        <mc:AlternateContent>
          <mc:Choice Requires="wps">
            <w:drawing>
              <wp:anchor distT="0" distB="0" distL="114300" distR="114300" simplePos="0" relativeHeight="253712384" behindDoc="0" locked="0" layoutInCell="1" allowOverlap="1" wp14:anchorId="0B278373" wp14:editId="1AF5F03C">
                <wp:simplePos x="0" y="0"/>
                <wp:positionH relativeFrom="column">
                  <wp:posOffset>3943350</wp:posOffset>
                </wp:positionH>
                <wp:positionV relativeFrom="paragraph">
                  <wp:posOffset>820420</wp:posOffset>
                </wp:positionV>
                <wp:extent cx="1813560" cy="310515"/>
                <wp:effectExtent l="9525" t="10795" r="5715" b="12065"/>
                <wp:wrapNone/>
                <wp:docPr id="3776" name="Text Box 306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13560" cy="310515"/>
                        </a:xfrm>
                        <a:prstGeom prst="rect">
                          <a:avLst/>
                        </a:prstGeom>
                        <a:solidFill>
                          <a:srgbClr val="FFFFFF"/>
                        </a:solidFill>
                        <a:ln w="9525">
                          <a:solidFill>
                            <a:srgbClr val="000000"/>
                          </a:solidFill>
                          <a:miter lim="800000"/>
                          <a:headEnd/>
                          <a:tailEnd/>
                        </a:ln>
                      </wps:spPr>
                      <wps:txbx>
                        <w:txbxContent>
                          <w:p w14:paraId="00DCC10D" w14:textId="77777777" w:rsidR="006A5267" w:rsidRPr="00F3643F" w:rsidRDefault="006A5267" w:rsidP="008B4B2B">
                            <w:pPr>
                              <w:jc w:val="distribute"/>
                            </w:pPr>
                            <w:r w:rsidRPr="00F3643F">
                              <w:rPr>
                                <w:rFonts w:hint="eastAsia"/>
                              </w:rPr>
                              <w:t>近畿地方整備局</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shape w14:anchorId="0B278373" id="Text Box 3061" o:spid="_x0000_s1659" type="#_x0000_t202" style="position:absolute;left:0;text-align:left;margin-left:310.5pt;margin-top:64.6pt;width:142.8pt;height:24.45pt;z-index:253712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">
                <v:textbox>
                  <w:txbxContent>
                    <w:p w14:paraId="00DCC10D" w14:textId="77777777" w:rsidR="006A5267" w:rsidRPr="00F3643F" w:rsidRDefault="006A5267" w:rsidP="008B4B2B">
                      <w:pPr>
                        <w:jc w:val="distribute"/>
                      </w:pPr>
                      <w:r w:rsidRPr="00F3643F">
                        <w:rPr>
                          <w:rFonts w:hint="eastAsia"/>
                        </w:rPr>
                        <w:t>近畿地方整備局</w:t>
                      </w:r>
                    </w:p>
                  </w:txbxContent>
                </v:textbox>
              </v:shape>
            </w:pict>
          </mc:Fallback>
        </mc:AlternateContent>
      </w:r>
      <w:r w:rsidRPr="008A3EDE">
        <w:rPr>
          <w:noProof/>
        </w:rPr>
        <mc:AlternateContent>
          <mc:Choice Requires="wps">
            <w:drawing>
              <wp:anchor distT="0" distB="0" distL="114300" distR="114300" simplePos="0" relativeHeight="253713408" behindDoc="0" locked="0" layoutInCell="1" allowOverlap="1" wp14:anchorId="12B70B92" wp14:editId="680DE3E5">
                <wp:simplePos x="0" y="0"/>
                <wp:positionH relativeFrom="column">
                  <wp:posOffset>3943350</wp:posOffset>
                </wp:positionH>
                <wp:positionV relativeFrom="paragraph">
                  <wp:posOffset>1294130</wp:posOffset>
                </wp:positionV>
                <wp:extent cx="1828800" cy="310515"/>
                <wp:effectExtent l="9525" t="8255" r="9525" b="5080"/>
                <wp:wrapNone/>
                <wp:docPr id="3486" name="Text Box 306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28800" cy="310515"/>
                        </a:xfrm>
                        <a:prstGeom prst="rect">
                          <a:avLst/>
                        </a:prstGeom>
                        <a:solidFill>
                          <a:srgbClr val="FFFFFF"/>
                        </a:solidFill>
                        <a:ln w="9525">
                          <a:solidFill>
                            <a:srgbClr val="000000"/>
                          </a:solidFill>
                          <a:miter lim="800000"/>
                          <a:headEnd/>
                          <a:tailEnd/>
                        </a:ln>
                      </wps:spPr>
                      <wps:txbx>
                        <w:txbxContent>
                          <w:p w14:paraId="44A73882" w14:textId="77777777" w:rsidR="006A5267" w:rsidRDefault="006A5267" w:rsidP="008B4B2B">
                            <w:pPr>
                              <w:jc w:val="distribute"/>
                            </w:pPr>
                            <w:r>
                              <w:rPr>
                                <w:rFonts w:hint="eastAsia"/>
                              </w:rPr>
                              <w:t>近畿運輸局</w:t>
                            </w:r>
                          </w:p>
                          <w:p w14:paraId="5E2FB0EC" w14:textId="77777777" w:rsidR="006A5267" w:rsidRDefault="006A5267" w:rsidP="008B4B2B">
                            <w:pPr>
                              <w:jc w:val="distribute"/>
                            </w:pPr>
                            <w:r>
                              <w:rPr>
                                <w:rFonts w:hint="eastAsia"/>
                              </w:rPr>
                              <w:t>消防庁</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shape w14:anchorId="12B70B92" id="Text Box 3062" o:spid="_x0000_s1660" type="#_x0000_t202" style="position:absolute;left:0;text-align:left;margin-left:310.5pt;margin-top:101.9pt;width:2in;height:24.45pt;z-index:253713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">
                <v:textbox>
                  <w:txbxContent>
                    <w:p w14:paraId="44A73882" w14:textId="77777777" w:rsidR="006A5267" w:rsidRDefault="006A5267" w:rsidP="008B4B2B">
                      <w:pPr>
                        <w:jc w:val="distribute"/>
                      </w:pPr>
                      <w:r>
                        <w:rPr>
                          <w:rFonts w:hint="eastAsia"/>
                        </w:rPr>
                        <w:t>近畿運輸局</w:t>
                      </w:r>
                    </w:p>
                    <w:p w14:paraId="5E2FB0EC" w14:textId="77777777" w:rsidR="006A5267" w:rsidRDefault="006A5267" w:rsidP="008B4B2B">
                      <w:pPr>
                        <w:jc w:val="distribute"/>
                      </w:pPr>
                      <w:r>
                        <w:rPr>
                          <w:rFonts w:hint="eastAsia"/>
                        </w:rPr>
                        <w:t>消防庁</w:t>
                      </w:r>
                    </w:p>
                  </w:txbxContent>
                </v:textbox>
              </v:shape>
            </w:pict>
          </mc:Fallback>
        </mc:AlternateContent>
      </w:r>
      <w:r w:rsidRPr="008A3EDE">
        <w:rPr>
          <w:noProof/>
        </w:rPr>
        <mc:AlternateContent>
          <mc:Choice Requires="wps">
            <w:drawing>
              <wp:anchor distT="0" distB="0" distL="114300" distR="114300" simplePos="0" relativeHeight="253711360" behindDoc="0" locked="0" layoutInCell="1" allowOverlap="1" wp14:anchorId="240E8EA7" wp14:editId="77ECA792">
                <wp:simplePos x="0" y="0"/>
                <wp:positionH relativeFrom="column">
                  <wp:posOffset>3943350</wp:posOffset>
                </wp:positionH>
                <wp:positionV relativeFrom="paragraph">
                  <wp:posOffset>4381500</wp:posOffset>
                </wp:positionV>
                <wp:extent cx="1828800" cy="310515"/>
                <wp:effectExtent l="9525" t="9525" r="9525" b="13335"/>
                <wp:wrapNone/>
                <wp:docPr id="3485" name="Text Box 306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28800" cy="310515"/>
                        </a:xfrm>
                        <a:prstGeom prst="rect">
                          <a:avLst/>
                        </a:prstGeom>
                        <a:solidFill>
                          <a:srgbClr val="FFFFFF"/>
                        </a:solidFill>
                        <a:ln w="9525">
                          <a:solidFill>
                            <a:srgbClr val="000000"/>
                          </a:solidFill>
                          <a:miter lim="800000"/>
                          <a:headEnd/>
                          <a:tailEnd/>
                        </a:ln>
                      </wps:spPr>
                      <wps:txbx>
                        <w:txbxContent>
                          <w:p w14:paraId="19B99686" w14:textId="77777777" w:rsidR="006A5267" w:rsidRPr="00B0112D" w:rsidRDefault="006A5267" w:rsidP="00284235">
                            <w:pPr>
                              <w:jc w:val="distribute"/>
                            </w:pPr>
                            <w:r w:rsidRPr="00B0112D">
                              <w:rPr>
                                <w:rFonts w:hint="eastAsia"/>
                              </w:rPr>
                              <w:t>漁業協同組合</w:t>
                            </w:r>
                          </w:p>
                          <w:p w14:paraId="7E513C51" w14:textId="784F6A9A" w:rsidR="006A5267" w:rsidRDefault="006A5267" w:rsidP="008B4B2B">
                            <w:pPr>
                              <w:jc w:val="distribute"/>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shape w14:anchorId="240E8EA7" id="Text Box 3060" o:spid="_x0000_s1661" type="#_x0000_t202" style="position:absolute;left:0;text-align:left;margin-left:310.5pt;margin-top:345pt;width:2in;height:24.45pt;z-index:253711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">
                <v:textbox>
                  <w:txbxContent>
                    <w:p w14:paraId="19B99686" w14:textId="77777777" w:rsidR="006A5267" w:rsidRPr="00B0112D" w:rsidRDefault="006A5267" w:rsidP="00284235">
                      <w:pPr>
                        <w:jc w:val="distribute"/>
                      </w:pPr>
                      <w:r w:rsidRPr="00B0112D">
                        <w:rPr>
                          <w:rFonts w:hint="eastAsia"/>
                        </w:rPr>
                        <w:t>漁業協同組合</w:t>
                      </w:r>
                    </w:p>
                    <w:p w14:paraId="7E513C51" w14:textId="784F6A9A" w:rsidR="006A5267" w:rsidRDefault="006A5267" w:rsidP="008B4B2B">
                      <w:pPr>
                        <w:jc w:val="distribute"/>
                      </w:pPr>
                    </w:p>
                  </w:txbxContent>
                </v:textbox>
              </v:shape>
            </w:pict>
          </mc:Fallback>
        </mc:AlternateContent>
      </w:r>
      <w:r w:rsidRPr="008A3EDE">
        <w:rPr>
          <w:noProof/>
        </w:rPr>
        <mc:AlternateContent>
          <mc:Choice Requires="wps">
            <w:drawing>
              <wp:anchor distT="0" distB="0" distL="114300" distR="114300" simplePos="0" relativeHeight="253736960" behindDoc="0" locked="0" layoutInCell="1" allowOverlap="1" wp14:anchorId="11F9C95E" wp14:editId="4CE59502">
                <wp:simplePos x="0" y="0"/>
                <wp:positionH relativeFrom="column">
                  <wp:posOffset>6115050</wp:posOffset>
                </wp:positionH>
                <wp:positionV relativeFrom="paragraph">
                  <wp:posOffset>2438400</wp:posOffset>
                </wp:positionV>
                <wp:extent cx="0" cy="1028700"/>
                <wp:effectExtent l="9525" t="9525" r="9525" b="9525"/>
                <wp:wrapNone/>
                <wp:docPr id="3484" name="Line 308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02870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line w14:anchorId="6307D285" id="Line 3084" o:spid="_x0000_s1026" style="position:absolute;left:0;text-align:left;z-index:2537369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81.5pt,192pt" to="481.5pt,27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"/>
            </w:pict>
          </mc:Fallback>
        </mc:AlternateContent>
      </w:r>
      <w:r w:rsidRPr="008A3EDE">
        <w:rPr>
          <w:noProof/>
        </w:rPr>
        <mc:AlternateContent>
          <mc:Choice Requires="wps">
            <w:drawing>
              <wp:anchor distT="0" distB="0" distL="114300" distR="114300" simplePos="0" relativeHeight="253730816" behindDoc="0" locked="0" layoutInCell="1" allowOverlap="1" wp14:anchorId="6A7ECA33" wp14:editId="1E924911">
                <wp:simplePos x="0" y="0"/>
                <wp:positionH relativeFrom="column">
                  <wp:posOffset>5772150</wp:posOffset>
                </wp:positionH>
                <wp:positionV relativeFrom="paragraph">
                  <wp:posOffset>2438400</wp:posOffset>
                </wp:positionV>
                <wp:extent cx="342900" cy="0"/>
                <wp:effectExtent l="19050" t="66675" r="9525" b="66675"/>
                <wp:wrapNone/>
                <wp:docPr id="3483" name="Line 307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342900" cy="0"/>
                        </a:xfrm>
                        <a:prstGeom prst="line">
                          <a:avLst/>
                        </a:prstGeom>
                        <a:noFill/>
                        <a:ln w="9525">
                          <a:solidFill>
                            <a:srgbClr val="000000"/>
                          </a:solidFill>
                          <a:round/>
                          <a:headEnd/>
                          <a:tailEnd type="arrow" w="sm" len="sm"/>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line w14:anchorId="796E0FC9" id="Line 3078" o:spid="_x0000_s1026" style="position:absolute;left:0;text-align:left;flip:x;z-index:253730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54.5pt,192pt" to="481.5pt,19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">
                <v:stroke endarrow="open" endarrowwidth="narrow" endarrowlength="short"/>
              </v:line>
            </w:pict>
          </mc:Fallback>
        </mc:AlternateContent>
      </w:r>
      <w:r w:rsidRPr="008A3EDE">
        <w:rPr>
          <w:noProof/>
        </w:rPr>
        <mc:AlternateContent>
          <mc:Choice Requires="wps">
            <w:drawing>
              <wp:anchor distT="0" distB="0" distL="114300" distR="114300" simplePos="0" relativeHeight="253715456" behindDoc="0" locked="0" layoutInCell="1" allowOverlap="1" wp14:anchorId="7083E78B" wp14:editId="6D09D4C2">
                <wp:simplePos x="0" y="0"/>
                <wp:positionH relativeFrom="column">
                  <wp:posOffset>3943350</wp:posOffset>
                </wp:positionH>
                <wp:positionV relativeFrom="paragraph">
                  <wp:posOffset>2329180</wp:posOffset>
                </wp:positionV>
                <wp:extent cx="1828800" cy="310515"/>
                <wp:effectExtent l="9525" t="5080" r="9525" b="8255"/>
                <wp:wrapNone/>
                <wp:docPr id="3482" name="Text Box 306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28800" cy="310515"/>
                        </a:xfrm>
                        <a:prstGeom prst="rect">
                          <a:avLst/>
                        </a:prstGeom>
                        <a:solidFill>
                          <a:srgbClr val="FFFFFF"/>
                        </a:solidFill>
                        <a:ln w="9525">
                          <a:solidFill>
                            <a:srgbClr val="000000"/>
                          </a:solidFill>
                          <a:miter lim="800000"/>
                          <a:headEnd/>
                          <a:tailEnd/>
                        </a:ln>
                      </wps:spPr>
                      <wps:txbx>
                        <w:txbxContent>
                          <w:p w14:paraId="19088B30" w14:textId="77777777" w:rsidR="006A5267" w:rsidRPr="00F45E06" w:rsidRDefault="006A5267" w:rsidP="008B4B2B">
                            <w:pPr>
                              <w:jc w:val="distribute"/>
                            </w:pPr>
                            <w:r w:rsidRPr="00F45E06">
                              <w:rPr>
                                <w:rFonts w:hint="eastAsia"/>
                              </w:rPr>
                              <w:t>大阪府危機管理室</w:t>
                            </w:r>
                          </w:p>
                          <w:p w14:paraId="77D0682E" w14:textId="77777777" w:rsidR="006A5267" w:rsidRDefault="006A5267" w:rsidP="008B4B2B">
                            <w:pPr>
                              <w:jc w:val="distribute"/>
                            </w:pPr>
                            <w:r>
                              <w:rPr>
                                <w:rFonts w:hint="eastAsia"/>
                              </w:rPr>
                              <w:t>関係市町</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shape w14:anchorId="7083E78B" id="Text Box 3064" o:spid="_x0000_s1662" type="#_x0000_t202" style="position:absolute;left:0;text-align:left;margin-left:310.5pt;margin-top:183.4pt;width:2in;height:24.45pt;z-index:253715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">
                <v:textbox>
                  <w:txbxContent>
                    <w:p w14:paraId="19088B30" w14:textId="77777777" w:rsidR="006A5267" w:rsidRPr="00F45E06" w:rsidRDefault="006A5267" w:rsidP="008B4B2B">
                      <w:pPr>
                        <w:jc w:val="distribute"/>
                      </w:pPr>
                      <w:r w:rsidRPr="00F45E06">
                        <w:rPr>
                          <w:rFonts w:hint="eastAsia"/>
                        </w:rPr>
                        <w:t>大阪府危機管理室</w:t>
                      </w:r>
                    </w:p>
                    <w:p w14:paraId="77D0682E" w14:textId="77777777" w:rsidR="006A5267" w:rsidRDefault="006A5267" w:rsidP="008B4B2B">
                      <w:pPr>
                        <w:jc w:val="distribute"/>
                      </w:pPr>
                      <w:r>
                        <w:rPr>
                          <w:rFonts w:hint="eastAsia"/>
                        </w:rPr>
                        <w:t>関係市町</w:t>
                      </w:r>
                    </w:p>
                  </w:txbxContent>
                </v:textbox>
              </v:shape>
            </w:pict>
          </mc:Fallback>
        </mc:AlternateContent>
      </w:r>
      <w:r w:rsidRPr="008A3EDE">
        <w:rPr>
          <w:noProof/>
        </w:rPr>
        <mc:AlternateContent>
          <mc:Choice Requires="wps">
            <w:drawing>
              <wp:anchor distT="0" distB="0" distL="114300" distR="114300" simplePos="0" relativeHeight="253731840" behindDoc="0" locked="0" layoutInCell="1" allowOverlap="1" wp14:anchorId="0BB7C25D" wp14:editId="2D341089">
                <wp:simplePos x="0" y="0"/>
                <wp:positionH relativeFrom="column">
                  <wp:posOffset>5772150</wp:posOffset>
                </wp:positionH>
                <wp:positionV relativeFrom="paragraph">
                  <wp:posOffset>3467100</wp:posOffset>
                </wp:positionV>
                <wp:extent cx="342900" cy="0"/>
                <wp:effectExtent l="19050" t="66675" r="9525" b="66675"/>
                <wp:wrapNone/>
                <wp:docPr id="3481" name="Line 307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342900" cy="0"/>
                        </a:xfrm>
                        <a:prstGeom prst="line">
                          <a:avLst/>
                        </a:prstGeom>
                        <a:noFill/>
                        <a:ln w="9525">
                          <a:solidFill>
                            <a:srgbClr val="000000"/>
                          </a:solidFill>
                          <a:round/>
                          <a:headEnd/>
                          <a:tailEnd type="arrow" w="sm" len="sm"/>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line w14:anchorId="595C140E" id="Line 3079" o:spid="_x0000_s1026" style="position:absolute;left:0;text-align:left;flip:x;z-index:2537318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54.5pt,273pt" to="481.5pt,27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">
                <v:stroke endarrow="open" endarrowwidth="narrow" endarrowlength="short"/>
              </v:line>
            </w:pict>
          </mc:Fallback>
        </mc:AlternateContent>
      </w:r>
    </w:p>
    <w:p w14:paraId="753E8E11" w14:textId="77777777" w:rsidR="008B4B2B" w:rsidRPr="008A3EDE" w:rsidRDefault="008B4B2B" w:rsidP="008B4B2B"/>
    <w:p w14:paraId="7BDD1D81" w14:textId="77777777" w:rsidR="008B4B2B" w:rsidRPr="008A3EDE" w:rsidRDefault="008B4B2B" w:rsidP="008B4B2B"/>
    <w:p w14:paraId="6CC1DD77" w14:textId="77777777" w:rsidR="008B4B2B" w:rsidRPr="008A3EDE" w:rsidRDefault="008B4B2B" w:rsidP="008B4B2B"/>
    <w:p w14:paraId="645A04F5" w14:textId="77777777" w:rsidR="008B4B2B" w:rsidRPr="008A3EDE" w:rsidRDefault="008B4B2B" w:rsidP="008B4B2B">
      <w:r w:rsidRPr="008A3EDE">
        <w:rPr>
          <w:noProof/>
        </w:rPr>
        <mc:AlternateContent>
          <mc:Choice Requires="wps">
            <w:drawing>
              <wp:anchor distT="0" distB="0" distL="114300" distR="114300" simplePos="0" relativeHeight="253718528" behindDoc="0" locked="0" layoutInCell="1" allowOverlap="1" wp14:anchorId="059C6C50" wp14:editId="416B2D90">
                <wp:simplePos x="0" y="0"/>
                <wp:positionH relativeFrom="column">
                  <wp:posOffset>3590290</wp:posOffset>
                </wp:positionH>
                <wp:positionV relativeFrom="paragraph">
                  <wp:posOffset>57785</wp:posOffset>
                </wp:positionV>
                <wp:extent cx="9525" cy="4638675"/>
                <wp:effectExtent l="0" t="0" r="28575" b="28575"/>
                <wp:wrapNone/>
                <wp:docPr id="3480" name="Line 306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9525" cy="4638675"/>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line w14:anchorId="231F42E0" id="Line 3067" o:spid="_x0000_s1026" style="position:absolute;left:0;text-align:left;flip:x;z-index:253718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82.7pt,4.55pt" to="283.45pt,369.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"/>
            </w:pict>
          </mc:Fallback>
        </mc:AlternateContent>
      </w:r>
      <w:r w:rsidRPr="008A3EDE">
        <w:rPr>
          <w:noProof/>
        </w:rPr>
        <mc:AlternateContent>
          <mc:Choice Requires="wps">
            <w:drawing>
              <wp:anchor distT="0" distB="0" distL="114300" distR="114300" simplePos="0" relativeHeight="253721600" behindDoc="0" locked="0" layoutInCell="1" allowOverlap="1" wp14:anchorId="177AFCA4" wp14:editId="47BFC654">
                <wp:simplePos x="0" y="0"/>
                <wp:positionH relativeFrom="column">
                  <wp:posOffset>3597275</wp:posOffset>
                </wp:positionH>
                <wp:positionV relativeFrom="paragraph">
                  <wp:posOffset>53340</wp:posOffset>
                </wp:positionV>
                <wp:extent cx="342900" cy="0"/>
                <wp:effectExtent l="6350" t="62865" r="22225" b="60960"/>
                <wp:wrapNone/>
                <wp:docPr id="3479" name="Line 306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2900" cy="0"/>
                        </a:xfrm>
                        <a:prstGeom prst="line">
                          <a:avLst/>
                        </a:prstGeom>
                        <a:noFill/>
                        <a:ln w="9525">
                          <a:solidFill>
                            <a:srgbClr val="000000"/>
                          </a:solidFill>
                          <a:round/>
                          <a:headEnd/>
                          <a:tailEnd type="arrow" w="sm" len="sm"/>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line w14:anchorId="33B1CB52" id="Line 3069" o:spid="_x0000_s1026" style="position:absolute;left:0;text-align:left;z-index:253721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83.25pt,4.2pt" to="310.25pt,4.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">
                <v:stroke endarrow="open" endarrowwidth="narrow" endarrowlength="short"/>
              </v:line>
            </w:pict>
          </mc:Fallback>
        </mc:AlternateContent>
      </w:r>
    </w:p>
    <w:p w14:paraId="6C7D060A" w14:textId="77777777" w:rsidR="008B4B2B" w:rsidRPr="008A3EDE" w:rsidRDefault="008B4B2B" w:rsidP="008B4B2B">
      <w:r w:rsidRPr="008A3EDE">
        <w:rPr>
          <w:noProof/>
        </w:rPr>
        <mc:AlternateContent>
          <mc:Choice Requires="wps">
            <w:drawing>
              <wp:anchor distT="0" distB="0" distL="114300" distR="114300" simplePos="0" relativeHeight="253741056" behindDoc="0" locked="0" layoutInCell="1" allowOverlap="1" wp14:anchorId="40522B2A" wp14:editId="23285644">
                <wp:simplePos x="0" y="0"/>
                <wp:positionH relativeFrom="column">
                  <wp:posOffset>270510</wp:posOffset>
                </wp:positionH>
                <wp:positionV relativeFrom="paragraph">
                  <wp:posOffset>43815</wp:posOffset>
                </wp:positionV>
                <wp:extent cx="0" cy="1795145"/>
                <wp:effectExtent l="13335" t="5715" r="5715" b="8890"/>
                <wp:wrapNone/>
                <wp:docPr id="3478" name="Line 308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795145"/>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line w14:anchorId="57154407" id="Line 3088" o:spid="_x0000_s1026" style="position:absolute;left:0;text-align:left;z-index:2537410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1.3pt,3.45pt" to="21.3pt,144.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"/>
            </w:pict>
          </mc:Fallback>
        </mc:AlternateContent>
      </w:r>
    </w:p>
    <w:p w14:paraId="135DA213" w14:textId="77777777" w:rsidR="008B4B2B" w:rsidRPr="008A3EDE" w:rsidRDefault="008B4B2B" w:rsidP="008B4B2B">
      <w:r w:rsidRPr="008A3EDE">
        <w:rPr>
          <w:noProof/>
        </w:rPr>
        <mc:AlternateContent>
          <mc:Choice Requires="wps">
            <w:drawing>
              <wp:anchor distT="0" distB="0" distL="114300" distR="114300" simplePos="0" relativeHeight="253750272" behindDoc="0" locked="0" layoutInCell="1" allowOverlap="1" wp14:anchorId="04F44538" wp14:editId="5D8228B2">
                <wp:simplePos x="0" y="0"/>
                <wp:positionH relativeFrom="column">
                  <wp:posOffset>650240</wp:posOffset>
                </wp:positionH>
                <wp:positionV relativeFrom="paragraph">
                  <wp:posOffset>149225</wp:posOffset>
                </wp:positionV>
                <wp:extent cx="1813560" cy="310515"/>
                <wp:effectExtent l="2540" t="0" r="3175" b="0"/>
                <wp:wrapNone/>
                <wp:docPr id="3477" name="Text Box 309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13560" cy="31051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6D7A5571" w14:textId="77777777" w:rsidR="006A5267" w:rsidRPr="00EE798C" w:rsidRDefault="006A5267" w:rsidP="008B4B2B">
                            <w:pPr>
                              <w:jc w:val="distribute"/>
                            </w:pPr>
                            <w:r w:rsidRPr="00EE798C">
                              <w:rPr>
                                <w:rFonts w:hint="eastAsia"/>
                              </w:rPr>
                              <w:t>海上保安庁</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shape w14:anchorId="04F44538" id="Text Box 3097" o:spid="_x0000_s1663" type="#_x0000_t202" style="position:absolute;left:0;text-align:left;margin-left:51.2pt;margin-top:11.75pt;width:142.8pt;height:24.45pt;z-index:2537502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" stroked="f">
                <v:textbox>
                  <w:txbxContent>
                    <w:p w14:paraId="6D7A5571" w14:textId="77777777" w:rsidR="006A5267" w:rsidRPr="00EE798C" w:rsidRDefault="006A5267" w:rsidP="008B4B2B">
                      <w:pPr>
                        <w:jc w:val="distribute"/>
                      </w:pPr>
                      <w:r w:rsidRPr="00EE798C">
                        <w:rPr>
                          <w:rFonts w:hint="eastAsia"/>
                        </w:rPr>
                        <w:t>海上保安庁</w:t>
                      </w:r>
                    </w:p>
                  </w:txbxContent>
                </v:textbox>
              </v:shape>
            </w:pict>
          </mc:Fallback>
        </mc:AlternateContent>
      </w:r>
      <w:r w:rsidRPr="008A3EDE">
        <w:rPr>
          <w:noProof/>
        </w:rPr>
        <mc:AlternateContent>
          <mc:Choice Requires="wps">
            <w:drawing>
              <wp:anchor distT="0" distB="0" distL="114300" distR="114300" simplePos="0" relativeHeight="253722624" behindDoc="0" locked="0" layoutInCell="1" allowOverlap="1" wp14:anchorId="48B2F532" wp14:editId="65602521">
                <wp:simplePos x="0" y="0"/>
                <wp:positionH relativeFrom="column">
                  <wp:posOffset>3600450</wp:posOffset>
                </wp:positionH>
                <wp:positionV relativeFrom="paragraph">
                  <wp:posOffset>57785</wp:posOffset>
                </wp:positionV>
                <wp:extent cx="342900" cy="0"/>
                <wp:effectExtent l="9525" t="67310" r="19050" b="66040"/>
                <wp:wrapNone/>
                <wp:docPr id="3476" name="Line 307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2900" cy="0"/>
                        </a:xfrm>
                        <a:prstGeom prst="line">
                          <a:avLst/>
                        </a:prstGeom>
                        <a:noFill/>
                        <a:ln w="9525">
                          <a:solidFill>
                            <a:srgbClr val="000000"/>
                          </a:solidFill>
                          <a:round/>
                          <a:headEnd/>
                          <a:tailEnd type="arrow" w="sm" len="sm"/>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line w14:anchorId="687454E1" id="Line 3070" o:spid="_x0000_s1026" style="position:absolute;left:0;text-align:left;z-index:253722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83.5pt,4.55pt" to="310.5pt,4.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">
                <v:stroke endarrow="open" endarrowwidth="narrow" endarrowlength="short"/>
              </v:line>
            </w:pict>
          </mc:Fallback>
        </mc:AlternateContent>
      </w:r>
    </w:p>
    <w:p w14:paraId="0A1F70DF" w14:textId="77777777" w:rsidR="008B4B2B" w:rsidRPr="008A3EDE" w:rsidRDefault="008B4B2B" w:rsidP="008B4B2B">
      <w:r w:rsidRPr="008A3EDE">
        <w:rPr>
          <w:noProof/>
        </w:rPr>
        <mc:AlternateContent>
          <mc:Choice Requires="wps">
            <w:drawing>
              <wp:anchor distT="0" distB="0" distL="114300" distR="114300" simplePos="0" relativeHeight="253751296" behindDoc="0" locked="0" layoutInCell="1" allowOverlap="1" wp14:anchorId="730442A1" wp14:editId="347D557B">
                <wp:simplePos x="0" y="0"/>
                <wp:positionH relativeFrom="column">
                  <wp:posOffset>716280</wp:posOffset>
                </wp:positionH>
                <wp:positionV relativeFrom="paragraph">
                  <wp:posOffset>202565</wp:posOffset>
                </wp:positionV>
                <wp:extent cx="2247900" cy="2380615"/>
                <wp:effectExtent l="11430" t="12065" r="7620" b="7620"/>
                <wp:wrapNone/>
                <wp:docPr id="3475" name="Rectangle 309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47900" cy="2380615"/>
                        </a:xfrm>
                        <a:prstGeom prst="rect">
                          <a:avLst/>
                        </a:prstGeom>
                        <a:noFill/>
                        <a:ln w="3175">
                          <a:solidFill>
                            <a:srgbClr val="000000"/>
                          </a:solidFill>
                          <a:prstDash val="dash"/>
                          <a:miter lim="800000"/>
                          <a:headEnd/>
                          <a:tailEnd/>
                        </a:ln>
                        <a:extLst>
                          <a:ext uri="{909E8E84-426E-40DD-AFC4-6F175D3DCCD1}">
                            <a14:hiddenFill xmlns:a14="http://schemas.microsoft.com/office/drawing/2010/main">
                              <a:solidFill>
                                <a:srgbClr val="FFFFFF"/>
                              </a:solidFill>
                            </a14:hiddenFill>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rect w14:anchorId="505DD4F1" id="Rectangle 3098" o:spid="_x0000_s1026" style="position:absolute;left:0;text-align:left;margin-left:56.4pt;margin-top:15.95pt;width:177pt;height:187.45pt;z-index:2537512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" filled="f" strokeweight=".25pt">
                <v:stroke dashstyle="dash"/>
                <v:textbox inset="5.85pt,.7pt,5.85pt,.7pt"/>
              </v:rect>
            </w:pict>
          </mc:Fallback>
        </mc:AlternateContent>
      </w:r>
      <w:r w:rsidRPr="008A3EDE">
        <w:rPr>
          <w:noProof/>
        </w:rPr>
        <mc:AlternateContent>
          <mc:Choice Requires="wps">
            <w:drawing>
              <wp:anchor distT="0" distB="0" distL="114300" distR="114300" simplePos="0" relativeHeight="253714432" behindDoc="0" locked="0" layoutInCell="1" allowOverlap="1" wp14:anchorId="2B0B6EE9" wp14:editId="47451824">
                <wp:simplePos x="0" y="0"/>
                <wp:positionH relativeFrom="column">
                  <wp:posOffset>3943350</wp:posOffset>
                </wp:positionH>
                <wp:positionV relativeFrom="paragraph">
                  <wp:posOffset>202565</wp:posOffset>
                </wp:positionV>
                <wp:extent cx="1828800" cy="310515"/>
                <wp:effectExtent l="9525" t="12065" r="9525" b="10795"/>
                <wp:wrapNone/>
                <wp:docPr id="3474" name="Text Box 306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28800" cy="310515"/>
                        </a:xfrm>
                        <a:prstGeom prst="rect">
                          <a:avLst/>
                        </a:prstGeom>
                        <a:solidFill>
                          <a:srgbClr val="FFFFFF"/>
                        </a:solidFill>
                        <a:ln w="9525">
                          <a:solidFill>
                            <a:srgbClr val="000000"/>
                          </a:solidFill>
                          <a:miter lim="800000"/>
                          <a:headEnd/>
                          <a:tailEnd/>
                        </a:ln>
                      </wps:spPr>
                      <wps:txbx>
                        <w:txbxContent>
                          <w:p w14:paraId="13FF64D0" w14:textId="77777777" w:rsidR="006A5267" w:rsidRDefault="006A5267" w:rsidP="008B4B2B">
                            <w:pPr>
                              <w:jc w:val="distribute"/>
                            </w:pPr>
                            <w:r>
                              <w:rPr>
                                <w:rFonts w:hint="eastAsia"/>
                              </w:rPr>
                              <w:t>消防庁</w:t>
                            </w:r>
                          </w:p>
                          <w:p w14:paraId="47CB4240" w14:textId="77777777" w:rsidR="006A5267" w:rsidRPr="00F45E06" w:rsidRDefault="006A5267" w:rsidP="008B4B2B">
                            <w:pPr>
                              <w:jc w:val="distribute"/>
                            </w:pPr>
                            <w:r w:rsidRPr="00F45E06">
                              <w:rPr>
                                <w:rFonts w:hint="eastAsia"/>
                              </w:rPr>
                              <w:t>大阪府危機管理室</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shape w14:anchorId="2B0B6EE9" id="Text Box 3063" o:spid="_x0000_s1664" type="#_x0000_t202" style="position:absolute;left:0;text-align:left;margin-left:310.5pt;margin-top:15.95pt;width:2in;height:24.45pt;z-index:253714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">
                <v:textbox>
                  <w:txbxContent>
                    <w:p w14:paraId="13FF64D0" w14:textId="77777777" w:rsidR="006A5267" w:rsidRDefault="006A5267" w:rsidP="008B4B2B">
                      <w:pPr>
                        <w:jc w:val="distribute"/>
                      </w:pPr>
                      <w:r>
                        <w:rPr>
                          <w:rFonts w:hint="eastAsia"/>
                        </w:rPr>
                        <w:t>消防庁</w:t>
                      </w:r>
                    </w:p>
                    <w:p w14:paraId="47CB4240" w14:textId="77777777" w:rsidR="006A5267" w:rsidRPr="00F45E06" w:rsidRDefault="006A5267" w:rsidP="008B4B2B">
                      <w:pPr>
                        <w:jc w:val="distribute"/>
                      </w:pPr>
                      <w:r w:rsidRPr="00F45E06">
                        <w:rPr>
                          <w:rFonts w:hint="eastAsia"/>
                        </w:rPr>
                        <w:t>大阪府危機管理室</w:t>
                      </w:r>
                    </w:p>
                  </w:txbxContent>
                </v:textbox>
              </v:shape>
            </w:pict>
          </mc:Fallback>
        </mc:AlternateContent>
      </w:r>
    </w:p>
    <w:p w14:paraId="7339D6CD" w14:textId="77777777" w:rsidR="008B4B2B" w:rsidRPr="008A3EDE" w:rsidRDefault="008B4B2B" w:rsidP="008B4B2B">
      <w:r w:rsidRPr="008A3EDE">
        <w:rPr>
          <w:noProof/>
        </w:rPr>
        <mc:AlternateContent>
          <mc:Choice Requires="wps">
            <w:drawing>
              <wp:anchor distT="0" distB="0" distL="114300" distR="114300" simplePos="0" relativeHeight="253706240" behindDoc="0" locked="0" layoutInCell="1" allowOverlap="1" wp14:anchorId="5CE14556" wp14:editId="40BBE95B">
                <wp:simplePos x="0" y="0"/>
                <wp:positionH relativeFrom="column">
                  <wp:posOffset>838835</wp:posOffset>
                </wp:positionH>
                <wp:positionV relativeFrom="paragraph">
                  <wp:posOffset>133985</wp:posOffset>
                </wp:positionV>
                <wp:extent cx="2003425" cy="310515"/>
                <wp:effectExtent l="10160" t="10160" r="5715" b="12700"/>
                <wp:wrapNone/>
                <wp:docPr id="3473" name="Text Box 305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03425" cy="310515"/>
                        </a:xfrm>
                        <a:prstGeom prst="rect">
                          <a:avLst/>
                        </a:prstGeom>
                        <a:solidFill>
                          <a:srgbClr val="FFFFFF"/>
                        </a:solidFill>
                        <a:ln w="9525">
                          <a:solidFill>
                            <a:srgbClr val="000000"/>
                          </a:solidFill>
                          <a:miter lim="800000"/>
                          <a:headEnd/>
                          <a:tailEnd/>
                        </a:ln>
                      </wps:spPr>
                      <wps:txbx>
                        <w:txbxContent>
                          <w:p w14:paraId="7159F987" w14:textId="77777777" w:rsidR="006A5267" w:rsidRDefault="006A5267" w:rsidP="008B4B2B">
                            <w:pPr>
                              <w:jc w:val="distribute"/>
                            </w:pPr>
                            <w:r>
                              <w:rPr>
                                <w:rFonts w:hint="eastAsia"/>
                              </w:rPr>
                              <w:t>第五管区海上保安本部</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shape w14:anchorId="5CE14556" id="Text Box 3055" o:spid="_x0000_s1665" type="#_x0000_t202" style="position:absolute;left:0;text-align:left;margin-left:66.05pt;margin-top:10.55pt;width:157.75pt;height:24.45pt;z-index:253706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">
                <v:textbox>
                  <w:txbxContent>
                    <w:p w14:paraId="7159F987" w14:textId="77777777" w:rsidR="006A5267" w:rsidRDefault="006A5267" w:rsidP="008B4B2B">
                      <w:pPr>
                        <w:jc w:val="distribute"/>
                      </w:pPr>
                      <w:r>
                        <w:rPr>
                          <w:rFonts w:hint="eastAsia"/>
                        </w:rPr>
                        <w:t>第五管区海上保安本部</w:t>
                      </w:r>
                    </w:p>
                  </w:txbxContent>
                </v:textbox>
              </v:shape>
            </w:pict>
          </mc:Fallback>
        </mc:AlternateContent>
      </w:r>
      <w:r w:rsidRPr="008A3EDE">
        <w:rPr>
          <w:noProof/>
        </w:rPr>
        <mc:AlternateContent>
          <mc:Choice Requires="wps">
            <w:drawing>
              <wp:anchor distT="0" distB="0" distL="114300" distR="114300" simplePos="0" relativeHeight="253723648" behindDoc="0" locked="0" layoutInCell="1" allowOverlap="1" wp14:anchorId="7D9289EF" wp14:editId="03F41E74">
                <wp:simplePos x="0" y="0"/>
                <wp:positionH relativeFrom="column">
                  <wp:posOffset>3600450</wp:posOffset>
                </wp:positionH>
                <wp:positionV relativeFrom="paragraph">
                  <wp:posOffset>133985</wp:posOffset>
                </wp:positionV>
                <wp:extent cx="342900" cy="0"/>
                <wp:effectExtent l="9525" t="67310" r="19050" b="66040"/>
                <wp:wrapNone/>
                <wp:docPr id="3472" name="Line 307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2900" cy="0"/>
                        </a:xfrm>
                        <a:prstGeom prst="line">
                          <a:avLst/>
                        </a:prstGeom>
                        <a:noFill/>
                        <a:ln w="9525">
                          <a:solidFill>
                            <a:srgbClr val="000000"/>
                          </a:solidFill>
                          <a:round/>
                          <a:headEnd/>
                          <a:tailEnd type="arrow" w="sm" len="sm"/>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line w14:anchorId="32884419" id="Line 3071" o:spid="_x0000_s1026" style="position:absolute;left:0;text-align:left;z-index:253723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83.5pt,10.55pt" to="310.5pt,10.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">
                <v:stroke endarrow="open" endarrowwidth="narrow" endarrowlength="short"/>
              </v:line>
            </w:pict>
          </mc:Fallback>
        </mc:AlternateContent>
      </w:r>
    </w:p>
    <w:p w14:paraId="0CF274BB" w14:textId="77777777" w:rsidR="008B4B2B" w:rsidRPr="008A3EDE" w:rsidRDefault="008B4B2B" w:rsidP="008B4B2B">
      <w:r w:rsidRPr="008A3EDE">
        <w:rPr>
          <w:noProof/>
        </w:rPr>
        <mc:AlternateContent>
          <mc:Choice Requires="wps">
            <w:drawing>
              <wp:anchor distT="0" distB="0" distL="114300" distR="114300" simplePos="0" relativeHeight="253755392" behindDoc="0" locked="0" layoutInCell="1" allowOverlap="1" wp14:anchorId="3A21CF5C" wp14:editId="47410C2D">
                <wp:simplePos x="0" y="0"/>
                <wp:positionH relativeFrom="column">
                  <wp:posOffset>3159125</wp:posOffset>
                </wp:positionH>
                <wp:positionV relativeFrom="paragraph">
                  <wp:posOffset>80645</wp:posOffset>
                </wp:positionV>
                <wp:extent cx="0" cy="1747520"/>
                <wp:effectExtent l="6350" t="13970" r="12700" b="10160"/>
                <wp:wrapNone/>
                <wp:docPr id="3471" name="Line 310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74752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line w14:anchorId="279E779E" id="Line 3102" o:spid="_x0000_s1026" style="position:absolute;left:0;text-align:left;z-index:2537553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48.75pt,6.35pt" to="248.75pt,143.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"/>
            </w:pict>
          </mc:Fallback>
        </mc:AlternateContent>
      </w:r>
      <w:r w:rsidRPr="008A3EDE">
        <w:rPr>
          <w:noProof/>
        </w:rPr>
        <mc:AlternateContent>
          <mc:Choice Requires="wps">
            <w:drawing>
              <wp:anchor distT="0" distB="0" distL="114300" distR="114300" simplePos="0" relativeHeight="253743104" behindDoc="0" locked="0" layoutInCell="1" allowOverlap="1" wp14:anchorId="700D3FC6" wp14:editId="257CF17E">
                <wp:simplePos x="0" y="0"/>
                <wp:positionH relativeFrom="column">
                  <wp:posOffset>530225</wp:posOffset>
                </wp:positionH>
                <wp:positionV relativeFrom="paragraph">
                  <wp:posOffset>80645</wp:posOffset>
                </wp:positionV>
                <wp:extent cx="0" cy="1747520"/>
                <wp:effectExtent l="6350" t="13970" r="12700" b="10160"/>
                <wp:wrapNone/>
                <wp:docPr id="3470" name="Line 309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74752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line w14:anchorId="1DFB3BAB" id="Line 3090" o:spid="_x0000_s1026" style="position:absolute;left:0;text-align:left;z-index:2537431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1.75pt,6.35pt" to="41.75pt,143.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"/>
            </w:pict>
          </mc:Fallback>
        </mc:AlternateContent>
      </w:r>
      <w:r w:rsidRPr="008A3EDE">
        <w:rPr>
          <w:noProof/>
        </w:rPr>
        <mc:AlternateContent>
          <mc:Choice Requires="wps">
            <w:drawing>
              <wp:anchor distT="0" distB="0" distL="114300" distR="114300" simplePos="0" relativeHeight="253719552" behindDoc="0" locked="0" layoutInCell="1" allowOverlap="1" wp14:anchorId="0E4F47C7" wp14:editId="45492BC4">
                <wp:simplePos x="0" y="0"/>
                <wp:positionH relativeFrom="column">
                  <wp:posOffset>530225</wp:posOffset>
                </wp:positionH>
                <wp:positionV relativeFrom="paragraph">
                  <wp:posOffset>81915</wp:posOffset>
                </wp:positionV>
                <wp:extent cx="295275" cy="0"/>
                <wp:effectExtent l="6350" t="62865" r="22225" b="60960"/>
                <wp:wrapNone/>
                <wp:docPr id="3469" name="Line 306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95275" cy="0"/>
                        </a:xfrm>
                        <a:prstGeom prst="line">
                          <a:avLst/>
                        </a:prstGeom>
                        <a:noFill/>
                        <a:ln w="9525">
                          <a:solidFill>
                            <a:srgbClr val="000000"/>
                          </a:solidFill>
                          <a:round/>
                          <a:headEnd/>
                          <a:tailEnd type="arrow" w="sm" len="sm"/>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line w14:anchorId="62C61CE8" id="Line 3068" o:spid="_x0000_s1026" style="position:absolute;left:0;text-align:left;z-index:253719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1.75pt,6.45pt" to="65pt,6.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">
                <v:stroke endarrow="open" endarrowwidth="narrow" endarrowlength="short"/>
              </v:line>
            </w:pict>
          </mc:Fallback>
        </mc:AlternateContent>
      </w:r>
      <w:r w:rsidRPr="008A3EDE">
        <w:rPr>
          <w:noProof/>
        </w:rPr>
        <mc:AlternateContent>
          <mc:Choice Requires="wps">
            <w:drawing>
              <wp:anchor distT="0" distB="0" distL="114300" distR="114300" simplePos="0" relativeHeight="253717504" behindDoc="0" locked="0" layoutInCell="1" allowOverlap="1" wp14:anchorId="09939E3F" wp14:editId="2320D280">
                <wp:simplePos x="0" y="0"/>
                <wp:positionH relativeFrom="column">
                  <wp:posOffset>2854325</wp:posOffset>
                </wp:positionH>
                <wp:positionV relativeFrom="paragraph">
                  <wp:posOffset>81915</wp:posOffset>
                </wp:positionV>
                <wp:extent cx="302260" cy="0"/>
                <wp:effectExtent l="6350" t="5715" r="5715" b="13335"/>
                <wp:wrapNone/>
                <wp:docPr id="3468" name="Line 306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0226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line w14:anchorId="75F94729" id="Line 3066" o:spid="_x0000_s1026" style="position:absolute;left:0;text-align:left;z-index:253717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24.75pt,6.45pt" to="248.55pt,6.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"/>
            </w:pict>
          </mc:Fallback>
        </mc:AlternateContent>
      </w:r>
      <w:r w:rsidRPr="008A3EDE">
        <w:rPr>
          <w:noProof/>
        </w:rPr>
        <mc:AlternateContent>
          <mc:Choice Requires="wps">
            <w:drawing>
              <wp:anchor distT="0" distB="0" distL="114300" distR="114300" simplePos="0" relativeHeight="253752320" behindDoc="0" locked="0" layoutInCell="1" allowOverlap="1" wp14:anchorId="1DAC07BA" wp14:editId="3D38393D">
                <wp:simplePos x="0" y="0"/>
                <wp:positionH relativeFrom="column">
                  <wp:posOffset>1832610</wp:posOffset>
                </wp:positionH>
                <wp:positionV relativeFrom="paragraph">
                  <wp:posOffset>214630</wp:posOffset>
                </wp:positionV>
                <wp:extent cx="0" cy="269240"/>
                <wp:effectExtent l="13335" t="5080" r="5715" b="11430"/>
                <wp:wrapNone/>
                <wp:docPr id="3467" name="Line 309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6924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line w14:anchorId="287130B9" id="Line 3099" o:spid="_x0000_s1026" style="position:absolute;left:0;text-align:left;z-index:2537523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44.3pt,16.9pt" to="144.3pt,38.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"/>
            </w:pict>
          </mc:Fallback>
        </mc:AlternateContent>
      </w:r>
      <w:r w:rsidRPr="008A3EDE">
        <w:rPr>
          <w:noProof/>
        </w:rPr>
        <mc:AlternateContent>
          <mc:Choice Requires="wps">
            <w:drawing>
              <wp:anchor distT="0" distB="0" distL="114300" distR="114300" simplePos="0" relativeHeight="253732864" behindDoc="0" locked="0" layoutInCell="1" allowOverlap="1" wp14:anchorId="07EE209A" wp14:editId="30F8B09A">
                <wp:simplePos x="0" y="0"/>
                <wp:positionH relativeFrom="column">
                  <wp:posOffset>4857750</wp:posOffset>
                </wp:positionH>
                <wp:positionV relativeFrom="paragraph">
                  <wp:posOffset>53340</wp:posOffset>
                </wp:positionV>
                <wp:extent cx="0" cy="201930"/>
                <wp:effectExtent l="66675" t="15240" r="66675" b="11430"/>
                <wp:wrapNone/>
                <wp:docPr id="3466" name="Line 308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flipV="1">
                          <a:off x="0" y="0"/>
                          <a:ext cx="0" cy="201930"/>
                        </a:xfrm>
                        <a:prstGeom prst="line">
                          <a:avLst/>
                        </a:prstGeom>
                        <a:noFill/>
                        <a:ln w="9525">
                          <a:solidFill>
                            <a:srgbClr val="000000"/>
                          </a:solidFill>
                          <a:round/>
                          <a:headEnd/>
                          <a:tailEnd type="arrow" w="sm" len="sm"/>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line w14:anchorId="0C7A6C1E" id="Line 3080" o:spid="_x0000_s1026" style="position:absolute;left:0;text-align:left;flip:x y;z-index:2537328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82.5pt,4.2pt" to="382.5pt,20.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">
                <v:stroke endarrow="open" endarrowwidth="narrow" endarrowlength="short"/>
              </v:line>
            </w:pict>
          </mc:Fallback>
        </mc:AlternateContent>
      </w:r>
    </w:p>
    <w:p w14:paraId="4C74DFF5" w14:textId="77777777" w:rsidR="008B4B2B" w:rsidRPr="008A3EDE" w:rsidRDefault="008B4B2B" w:rsidP="008B4B2B">
      <w:r w:rsidRPr="008A3EDE">
        <w:rPr>
          <w:noProof/>
        </w:rPr>
        <mc:AlternateContent>
          <mc:Choice Requires="wps">
            <w:drawing>
              <wp:anchor distT="0" distB="0" distL="114300" distR="114300" simplePos="0" relativeHeight="253724672" behindDoc="0" locked="0" layoutInCell="1" allowOverlap="1" wp14:anchorId="2BAE0965" wp14:editId="4F9BDCCF">
                <wp:simplePos x="0" y="0"/>
                <wp:positionH relativeFrom="column">
                  <wp:posOffset>3597275</wp:posOffset>
                </wp:positionH>
                <wp:positionV relativeFrom="paragraph">
                  <wp:posOffset>188595</wp:posOffset>
                </wp:positionV>
                <wp:extent cx="346075" cy="0"/>
                <wp:effectExtent l="6350" t="64770" r="19050" b="59055"/>
                <wp:wrapNone/>
                <wp:docPr id="3465" name="Line 307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6075" cy="0"/>
                        </a:xfrm>
                        <a:prstGeom prst="line">
                          <a:avLst/>
                        </a:prstGeom>
                        <a:noFill/>
                        <a:ln w="9525">
                          <a:solidFill>
                            <a:srgbClr val="000000"/>
                          </a:solidFill>
                          <a:round/>
                          <a:headEnd/>
                          <a:tailEnd type="arrow" w="sm" len="sm"/>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line w14:anchorId="6ACD314C" id="Line 3072" o:spid="_x0000_s1026" style="position:absolute;left:0;text-align:left;z-index:253724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83.25pt,14.85pt" to="310.5pt,14.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">
                <v:stroke endarrow="open" endarrowwidth="narrow" endarrowlength="short"/>
              </v:line>
            </w:pict>
          </mc:Fallback>
        </mc:AlternateContent>
      </w:r>
    </w:p>
    <w:p w14:paraId="3AC0926C" w14:textId="77777777" w:rsidR="008B4B2B" w:rsidRPr="008A3EDE" w:rsidRDefault="008B4B2B" w:rsidP="008B4B2B">
      <w:r w:rsidRPr="008A3EDE">
        <w:rPr>
          <w:noProof/>
        </w:rPr>
        <mc:AlternateContent>
          <mc:Choice Requires="wps">
            <w:drawing>
              <wp:anchor distT="0" distB="0" distL="114300" distR="114300" simplePos="0" relativeHeight="253739008" behindDoc="0" locked="0" layoutInCell="1" allowOverlap="1" wp14:anchorId="1801327B" wp14:editId="2972DB60">
                <wp:simplePos x="0" y="0"/>
                <wp:positionH relativeFrom="column">
                  <wp:posOffset>838835</wp:posOffset>
                </wp:positionH>
                <wp:positionV relativeFrom="paragraph">
                  <wp:posOffset>24130</wp:posOffset>
                </wp:positionV>
                <wp:extent cx="2003425" cy="310515"/>
                <wp:effectExtent l="10160" t="5080" r="5715" b="8255"/>
                <wp:wrapNone/>
                <wp:docPr id="3464" name="Text Box 308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03425" cy="310515"/>
                        </a:xfrm>
                        <a:prstGeom prst="rect">
                          <a:avLst/>
                        </a:prstGeom>
                        <a:solidFill>
                          <a:srgbClr val="FFFFFF"/>
                        </a:solidFill>
                        <a:ln w="9525">
                          <a:solidFill>
                            <a:srgbClr val="000000"/>
                          </a:solidFill>
                          <a:miter lim="800000"/>
                          <a:headEnd/>
                          <a:tailEnd/>
                        </a:ln>
                      </wps:spPr>
                      <wps:txbx>
                        <w:txbxContent>
                          <w:p w14:paraId="168CC7D9" w14:textId="77777777" w:rsidR="006A5267" w:rsidRPr="00EE798C" w:rsidRDefault="006A5267" w:rsidP="008B4B2B">
                            <w:pPr>
                              <w:jc w:val="distribute"/>
                            </w:pPr>
                            <w:r w:rsidRPr="00EE798C">
                              <w:rPr>
                                <w:rFonts w:hint="eastAsia"/>
                              </w:rPr>
                              <w:t>大阪海上保安監部</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shape w14:anchorId="1801327B" id="Text Box 3086" o:spid="_x0000_s1666" type="#_x0000_t202" style="position:absolute;left:0;text-align:left;margin-left:66.05pt;margin-top:1.9pt;width:157.75pt;height:24.45pt;z-index:2537390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">
                <v:textbox>
                  <w:txbxContent>
                    <w:p w14:paraId="168CC7D9" w14:textId="77777777" w:rsidR="006A5267" w:rsidRPr="00EE798C" w:rsidRDefault="006A5267" w:rsidP="008B4B2B">
                      <w:pPr>
                        <w:jc w:val="distribute"/>
                      </w:pPr>
                      <w:r w:rsidRPr="00EE798C">
                        <w:rPr>
                          <w:rFonts w:hint="eastAsia"/>
                        </w:rPr>
                        <w:t>大阪海上保安監部</w:t>
                      </w:r>
                    </w:p>
                  </w:txbxContent>
                </v:textbox>
              </v:shape>
            </w:pict>
          </mc:Fallback>
        </mc:AlternateContent>
      </w:r>
      <w:r w:rsidRPr="008A3EDE">
        <w:rPr>
          <w:noProof/>
        </w:rPr>
        <mc:AlternateContent>
          <mc:Choice Requires="wps">
            <w:drawing>
              <wp:anchor distT="0" distB="0" distL="114300" distR="114300" simplePos="0" relativeHeight="253747200" behindDoc="0" locked="0" layoutInCell="1" allowOverlap="1" wp14:anchorId="20846D53" wp14:editId="3656B41D">
                <wp:simplePos x="0" y="0"/>
                <wp:positionH relativeFrom="column">
                  <wp:posOffset>2856865</wp:posOffset>
                </wp:positionH>
                <wp:positionV relativeFrom="paragraph">
                  <wp:posOffset>187325</wp:posOffset>
                </wp:positionV>
                <wp:extent cx="302260" cy="0"/>
                <wp:effectExtent l="8890" t="6350" r="12700" b="12700"/>
                <wp:wrapNone/>
                <wp:docPr id="3463" name="Line 309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0226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line w14:anchorId="0DE3A690" id="Line 3094" o:spid="_x0000_s1026" style="position:absolute;left:0;text-align:left;z-index:2537472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24.95pt,14.75pt" to="248.75pt,14.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"/>
            </w:pict>
          </mc:Fallback>
        </mc:AlternateContent>
      </w:r>
      <w:r w:rsidRPr="008A3EDE">
        <w:rPr>
          <w:noProof/>
        </w:rPr>
        <mc:AlternateContent>
          <mc:Choice Requires="wps">
            <w:drawing>
              <wp:anchor distT="0" distB="0" distL="114300" distR="114300" simplePos="0" relativeHeight="253744128" behindDoc="0" locked="0" layoutInCell="1" allowOverlap="1" wp14:anchorId="4E36064C" wp14:editId="374885E4">
                <wp:simplePos x="0" y="0"/>
                <wp:positionH relativeFrom="column">
                  <wp:posOffset>530225</wp:posOffset>
                </wp:positionH>
                <wp:positionV relativeFrom="paragraph">
                  <wp:posOffset>187325</wp:posOffset>
                </wp:positionV>
                <wp:extent cx="295275" cy="0"/>
                <wp:effectExtent l="6350" t="63500" r="22225" b="60325"/>
                <wp:wrapNone/>
                <wp:docPr id="3462" name="Line 309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95275" cy="0"/>
                        </a:xfrm>
                        <a:prstGeom prst="line">
                          <a:avLst/>
                        </a:prstGeom>
                        <a:noFill/>
                        <a:ln w="9525">
                          <a:solidFill>
                            <a:srgbClr val="000000"/>
                          </a:solidFill>
                          <a:round/>
                          <a:headEnd/>
                          <a:tailEnd type="arrow" w="sm" len="sm"/>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line w14:anchorId="7B5B4293" id="Line 3091" o:spid="_x0000_s1026" style="position:absolute;left:0;text-align:left;z-index:2537441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1.75pt,14.75pt" to="65pt,14.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">
                <v:stroke endarrow="open" endarrowwidth="narrow" endarrowlength="short"/>
              </v:line>
            </w:pict>
          </mc:Fallback>
        </mc:AlternateContent>
      </w:r>
      <w:r w:rsidRPr="008A3EDE">
        <w:rPr>
          <w:noProof/>
        </w:rPr>
        <mc:AlternateContent>
          <mc:Choice Requires="wps">
            <w:drawing>
              <wp:anchor distT="0" distB="0" distL="114300" distR="114300" simplePos="0" relativeHeight="253729792" behindDoc="0" locked="0" layoutInCell="1" allowOverlap="1" wp14:anchorId="54245645" wp14:editId="74454EFF">
                <wp:simplePos x="0" y="0"/>
                <wp:positionH relativeFrom="column">
                  <wp:posOffset>4857750</wp:posOffset>
                </wp:positionH>
                <wp:positionV relativeFrom="paragraph">
                  <wp:posOffset>138430</wp:posOffset>
                </wp:positionV>
                <wp:extent cx="0" cy="179705"/>
                <wp:effectExtent l="66675" t="14605" r="66675" b="15240"/>
                <wp:wrapNone/>
                <wp:docPr id="3461" name="Line 307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79705"/>
                        </a:xfrm>
                        <a:prstGeom prst="line">
                          <a:avLst/>
                        </a:prstGeom>
                        <a:noFill/>
                        <a:ln w="9525">
                          <a:solidFill>
                            <a:srgbClr val="000000"/>
                          </a:solidFill>
                          <a:round/>
                          <a:headEnd type="arrow" w="sm" len="sm"/>
                          <a:tailEnd type="arrow" w="sm" len="sm"/>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line w14:anchorId="57B81262" id="Line 3077" o:spid="_x0000_s1026" style="position:absolute;left:0;text-align:left;z-index:253729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82.5pt,10.9pt" to="382.5pt,25.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">
                <v:stroke startarrow="open" startarrowwidth="narrow" startarrowlength="short" endarrow="open" endarrowwidth="narrow" endarrowlength="short"/>
              </v:line>
            </w:pict>
          </mc:Fallback>
        </mc:AlternateContent>
      </w:r>
    </w:p>
    <w:p w14:paraId="08BDF99A" w14:textId="77777777" w:rsidR="008B4B2B" w:rsidRPr="008A3EDE" w:rsidRDefault="008B4B2B" w:rsidP="008B4B2B">
      <w:r w:rsidRPr="008A3EDE">
        <w:rPr>
          <w:noProof/>
        </w:rPr>
        <mc:AlternateContent>
          <mc:Choice Requires="wps">
            <w:drawing>
              <wp:anchor distT="0" distB="0" distL="114300" distR="114300" simplePos="0" relativeHeight="253753344" behindDoc="0" locked="0" layoutInCell="1" allowOverlap="1" wp14:anchorId="73AFF5B5" wp14:editId="21F47E4E">
                <wp:simplePos x="0" y="0"/>
                <wp:positionH relativeFrom="column">
                  <wp:posOffset>1832610</wp:posOffset>
                </wp:positionH>
                <wp:positionV relativeFrom="paragraph">
                  <wp:posOffset>107315</wp:posOffset>
                </wp:positionV>
                <wp:extent cx="0" cy="269240"/>
                <wp:effectExtent l="13335" t="12065" r="5715" b="13970"/>
                <wp:wrapNone/>
                <wp:docPr id="3460" name="Line 310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6924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line w14:anchorId="237FBA2F" id="Line 3100" o:spid="_x0000_s1026" style="position:absolute;left:0;text-align:left;z-index:2537533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44.3pt,8.45pt" to="144.3pt,29.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"/>
            </w:pict>
          </mc:Fallback>
        </mc:AlternateContent>
      </w:r>
      <w:r w:rsidRPr="008A3EDE">
        <w:rPr>
          <w:noProof/>
        </w:rPr>
        <mc:AlternateContent>
          <mc:Choice Requires="wps">
            <w:drawing>
              <wp:anchor distT="0" distB="0" distL="114300" distR="114300" simplePos="0" relativeHeight="253708288" behindDoc="0" locked="0" layoutInCell="1" allowOverlap="1" wp14:anchorId="72988914" wp14:editId="3B9E3EF1">
                <wp:simplePos x="0" y="0"/>
                <wp:positionH relativeFrom="column">
                  <wp:posOffset>3943350</wp:posOffset>
                </wp:positionH>
                <wp:positionV relativeFrom="paragraph">
                  <wp:posOffset>88265</wp:posOffset>
                </wp:positionV>
                <wp:extent cx="1828800" cy="310515"/>
                <wp:effectExtent l="9525" t="12065" r="9525" b="10795"/>
                <wp:wrapNone/>
                <wp:docPr id="3459" name="Text Box 305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28800" cy="310515"/>
                        </a:xfrm>
                        <a:prstGeom prst="rect">
                          <a:avLst/>
                        </a:prstGeom>
                        <a:solidFill>
                          <a:srgbClr val="FFFFFF"/>
                        </a:solidFill>
                        <a:ln w="9525">
                          <a:solidFill>
                            <a:srgbClr val="000000"/>
                          </a:solidFill>
                          <a:miter lim="800000"/>
                          <a:headEnd/>
                          <a:tailEnd/>
                        </a:ln>
                      </wps:spPr>
                      <wps:txbx>
                        <w:txbxContent>
                          <w:p w14:paraId="4C0FED78" w14:textId="77777777" w:rsidR="006A5267" w:rsidRDefault="006A5267" w:rsidP="008B4B2B">
                            <w:pPr>
                              <w:jc w:val="distribute"/>
                            </w:pPr>
                            <w:r>
                              <w:rPr>
                                <w:rFonts w:hint="eastAsia"/>
                              </w:rPr>
                              <w:t>関係市町</w:t>
                            </w:r>
                          </w:p>
                          <w:p w14:paraId="1A15E2D2" w14:textId="77777777" w:rsidR="006A5267" w:rsidRDefault="006A5267" w:rsidP="008B4B2B">
                            <w:pPr>
                              <w:jc w:val="distribute"/>
                            </w:pPr>
                            <w:r>
                              <w:rPr>
                                <w:rFonts w:hint="eastAsia"/>
                              </w:rPr>
                              <w:t>府警察</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shape w14:anchorId="72988914" id="Text Box 3057" o:spid="_x0000_s1667" type="#_x0000_t202" style="position:absolute;left:0;text-align:left;margin-left:310.5pt;margin-top:6.95pt;width:2in;height:24.45pt;z-index:253708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">
                <v:textbox>
                  <w:txbxContent>
                    <w:p w14:paraId="4C0FED78" w14:textId="77777777" w:rsidR="006A5267" w:rsidRDefault="006A5267" w:rsidP="008B4B2B">
                      <w:pPr>
                        <w:jc w:val="distribute"/>
                      </w:pPr>
                      <w:r>
                        <w:rPr>
                          <w:rFonts w:hint="eastAsia"/>
                        </w:rPr>
                        <w:t>関係市町</w:t>
                      </w:r>
                    </w:p>
                    <w:p w14:paraId="1A15E2D2" w14:textId="77777777" w:rsidR="006A5267" w:rsidRDefault="006A5267" w:rsidP="008B4B2B">
                      <w:pPr>
                        <w:jc w:val="distribute"/>
                      </w:pPr>
                      <w:r>
                        <w:rPr>
                          <w:rFonts w:hint="eastAsia"/>
                        </w:rPr>
                        <w:t>府警察</w:t>
                      </w:r>
                    </w:p>
                  </w:txbxContent>
                </v:textbox>
              </v:shape>
            </w:pict>
          </mc:Fallback>
        </mc:AlternateContent>
      </w:r>
    </w:p>
    <w:p w14:paraId="7B1D3D8B" w14:textId="77777777" w:rsidR="008B4B2B" w:rsidRPr="008A3EDE" w:rsidRDefault="008B4B2B" w:rsidP="008B4B2B">
      <w:r w:rsidRPr="008A3EDE">
        <w:rPr>
          <w:noProof/>
        </w:rPr>
        <mc:AlternateContent>
          <mc:Choice Requires="wps">
            <w:drawing>
              <wp:anchor distT="0" distB="0" distL="114300" distR="114300" simplePos="0" relativeHeight="253707264" behindDoc="0" locked="0" layoutInCell="1" allowOverlap="1" wp14:anchorId="1DD65F96" wp14:editId="40E17DC4">
                <wp:simplePos x="0" y="0"/>
                <wp:positionH relativeFrom="column">
                  <wp:posOffset>838835</wp:posOffset>
                </wp:positionH>
                <wp:positionV relativeFrom="paragraph">
                  <wp:posOffset>149225</wp:posOffset>
                </wp:positionV>
                <wp:extent cx="2003425" cy="310515"/>
                <wp:effectExtent l="10160" t="6350" r="5715" b="6985"/>
                <wp:wrapNone/>
                <wp:docPr id="3458" name="Text Box 305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03425" cy="310515"/>
                        </a:xfrm>
                        <a:prstGeom prst="rect">
                          <a:avLst/>
                        </a:prstGeom>
                        <a:solidFill>
                          <a:srgbClr val="FFFFFF"/>
                        </a:solidFill>
                        <a:ln w="9525">
                          <a:solidFill>
                            <a:srgbClr val="000000"/>
                          </a:solidFill>
                          <a:miter lim="800000"/>
                          <a:headEnd/>
                          <a:tailEnd/>
                        </a:ln>
                      </wps:spPr>
                      <wps:txbx>
                        <w:txbxContent>
                          <w:p w14:paraId="4D4397F9" w14:textId="77777777" w:rsidR="006A5267" w:rsidRPr="00EE798C" w:rsidRDefault="006A5267" w:rsidP="008B4B2B">
                            <w:pPr>
                              <w:jc w:val="distribute"/>
                            </w:pPr>
                            <w:r w:rsidRPr="00EE798C">
                              <w:rPr>
                                <w:rFonts w:hint="eastAsia"/>
                              </w:rPr>
                              <w:t>保安部署</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shape w14:anchorId="1DD65F96" id="Text Box 3056" o:spid="_x0000_s1668" type="#_x0000_t202" style="position:absolute;left:0;text-align:left;margin-left:66.05pt;margin-top:11.75pt;width:157.75pt;height:24.45pt;z-index:253707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">
                <v:textbox>
                  <w:txbxContent>
                    <w:p w14:paraId="4D4397F9" w14:textId="77777777" w:rsidR="006A5267" w:rsidRPr="00EE798C" w:rsidRDefault="006A5267" w:rsidP="008B4B2B">
                      <w:pPr>
                        <w:jc w:val="distribute"/>
                      </w:pPr>
                      <w:r w:rsidRPr="00EE798C">
                        <w:rPr>
                          <w:rFonts w:hint="eastAsia"/>
                        </w:rPr>
                        <w:t>保安部署</w:t>
                      </w:r>
                    </w:p>
                  </w:txbxContent>
                </v:textbox>
              </v:shape>
            </w:pict>
          </mc:Fallback>
        </mc:AlternateContent>
      </w:r>
      <w:r w:rsidRPr="008A3EDE">
        <w:rPr>
          <w:noProof/>
        </w:rPr>
        <mc:AlternateContent>
          <mc:Choice Requires="wps">
            <w:drawing>
              <wp:anchor distT="0" distB="0" distL="114300" distR="114300" simplePos="0" relativeHeight="253716480" behindDoc="0" locked="0" layoutInCell="1" allowOverlap="1" wp14:anchorId="4581E494" wp14:editId="25A2965B">
                <wp:simplePos x="0" y="0"/>
                <wp:positionH relativeFrom="column">
                  <wp:posOffset>3156585</wp:posOffset>
                </wp:positionH>
                <wp:positionV relativeFrom="paragraph">
                  <wp:posOffset>0</wp:posOffset>
                </wp:positionV>
                <wp:extent cx="440690" cy="0"/>
                <wp:effectExtent l="13335" t="66675" r="22225" b="66675"/>
                <wp:wrapNone/>
                <wp:docPr id="3457" name="Line 306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40690" cy="0"/>
                        </a:xfrm>
                        <a:prstGeom prst="line">
                          <a:avLst/>
                        </a:prstGeom>
                        <a:noFill/>
                        <a:ln w="9525">
                          <a:solidFill>
                            <a:srgbClr val="000000"/>
                          </a:solidFill>
                          <a:round/>
                          <a:headEnd/>
                          <a:tailEnd type="arrow" w="sm" len="sm"/>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line w14:anchorId="70961703" id="Line 3065" o:spid="_x0000_s1026" style="position:absolute;left:0;text-align:left;z-index:253716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48.55pt,0" to="283.25pt,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">
                <v:stroke endarrow="open" endarrowwidth="narrow" endarrowlength="short"/>
              </v:line>
            </w:pict>
          </mc:Fallback>
        </mc:AlternateContent>
      </w:r>
      <w:r w:rsidRPr="008A3EDE">
        <w:rPr>
          <w:noProof/>
        </w:rPr>
        <mc:AlternateContent>
          <mc:Choice Requires="wps">
            <w:drawing>
              <wp:anchor distT="0" distB="0" distL="114300" distR="114300" simplePos="0" relativeHeight="253742080" behindDoc="0" locked="0" layoutInCell="1" allowOverlap="1" wp14:anchorId="40BE5DE2" wp14:editId="696EE5D7">
                <wp:simplePos x="0" y="0"/>
                <wp:positionH relativeFrom="column">
                  <wp:posOffset>270510</wp:posOffset>
                </wp:positionH>
                <wp:positionV relativeFrom="paragraph">
                  <wp:posOffset>0</wp:posOffset>
                </wp:positionV>
                <wp:extent cx="259715" cy="0"/>
                <wp:effectExtent l="13335" t="66675" r="22225" b="66675"/>
                <wp:wrapNone/>
                <wp:docPr id="3456" name="Line 308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59715" cy="0"/>
                        </a:xfrm>
                        <a:prstGeom prst="line">
                          <a:avLst/>
                        </a:prstGeom>
                        <a:noFill/>
                        <a:ln w="9525">
                          <a:solidFill>
                            <a:srgbClr val="000000"/>
                          </a:solidFill>
                          <a:round/>
                          <a:headEnd/>
                          <a:tailEnd type="arrow" w="sm" len="sm"/>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line w14:anchorId="59847C7F" id="Line 3089" o:spid="_x0000_s1026" style="position:absolute;left:0;text-align:left;z-index:2537420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1.3pt,0" to="41.75pt,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">
                <v:stroke endarrow="open" endarrowwidth="narrow" endarrowlength="short"/>
              </v:line>
            </w:pict>
          </mc:Fallback>
        </mc:AlternateContent>
      </w:r>
      <w:r w:rsidRPr="008A3EDE">
        <w:rPr>
          <w:noProof/>
        </w:rPr>
        <mc:AlternateContent>
          <mc:Choice Requires="wps">
            <w:drawing>
              <wp:anchor distT="0" distB="0" distL="114300" distR="114300" simplePos="0" relativeHeight="253725696" behindDoc="0" locked="0" layoutInCell="1" allowOverlap="1" wp14:anchorId="2C681B40" wp14:editId="5E745F91">
                <wp:simplePos x="0" y="0"/>
                <wp:positionH relativeFrom="column">
                  <wp:posOffset>3600450</wp:posOffset>
                </wp:positionH>
                <wp:positionV relativeFrom="paragraph">
                  <wp:posOffset>0</wp:posOffset>
                </wp:positionV>
                <wp:extent cx="342900" cy="0"/>
                <wp:effectExtent l="9525" t="66675" r="19050" b="66675"/>
                <wp:wrapNone/>
                <wp:docPr id="3775" name="Line 307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2900" cy="0"/>
                        </a:xfrm>
                        <a:prstGeom prst="line">
                          <a:avLst/>
                        </a:prstGeom>
                        <a:noFill/>
                        <a:ln w="9525">
                          <a:solidFill>
                            <a:srgbClr val="000000"/>
                          </a:solidFill>
                          <a:round/>
                          <a:headEnd/>
                          <a:tailEnd type="arrow" w="sm" len="sm"/>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line w14:anchorId="2B73DB7E" id="Line 3073" o:spid="_x0000_s1026" style="position:absolute;left:0;text-align:left;z-index:253725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83.5pt,0" to="310.5pt,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">
                <v:stroke endarrow="open" endarrowwidth="narrow" endarrowlength="short"/>
              </v:line>
            </w:pict>
          </mc:Fallback>
        </mc:AlternateContent>
      </w:r>
    </w:p>
    <w:p w14:paraId="2BCEEAF8" w14:textId="77777777" w:rsidR="008B4B2B" w:rsidRPr="008A3EDE" w:rsidRDefault="008B4B2B" w:rsidP="008B4B2B">
      <w:r w:rsidRPr="008A3EDE">
        <w:rPr>
          <w:noProof/>
        </w:rPr>
        <mc:AlternateContent>
          <mc:Choice Requires="wps">
            <w:drawing>
              <wp:anchor distT="0" distB="0" distL="114300" distR="114300" simplePos="0" relativeHeight="253748224" behindDoc="0" locked="0" layoutInCell="1" allowOverlap="1" wp14:anchorId="2589E574" wp14:editId="31831E2F">
                <wp:simplePos x="0" y="0"/>
                <wp:positionH relativeFrom="column">
                  <wp:posOffset>2851785</wp:posOffset>
                </wp:positionH>
                <wp:positionV relativeFrom="paragraph">
                  <wp:posOffset>59690</wp:posOffset>
                </wp:positionV>
                <wp:extent cx="302260" cy="0"/>
                <wp:effectExtent l="13335" t="12065" r="8255" b="6985"/>
                <wp:wrapNone/>
                <wp:docPr id="3774" name="Line 309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0226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line w14:anchorId="5997F9BB" id="Line 3095" o:spid="_x0000_s1026" style="position:absolute;left:0;text-align:left;z-index:2537482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24.55pt,4.7pt" to="248.35pt,4.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"/>
            </w:pict>
          </mc:Fallback>
        </mc:AlternateContent>
      </w:r>
      <w:r w:rsidRPr="008A3EDE">
        <w:rPr>
          <w:noProof/>
        </w:rPr>
        <mc:AlternateContent>
          <mc:Choice Requires="wps">
            <w:drawing>
              <wp:anchor distT="0" distB="0" distL="114300" distR="114300" simplePos="0" relativeHeight="253745152" behindDoc="0" locked="0" layoutInCell="1" allowOverlap="1" wp14:anchorId="0F8001D2" wp14:editId="0E29C91E">
                <wp:simplePos x="0" y="0"/>
                <wp:positionH relativeFrom="column">
                  <wp:posOffset>534035</wp:posOffset>
                </wp:positionH>
                <wp:positionV relativeFrom="paragraph">
                  <wp:posOffset>59690</wp:posOffset>
                </wp:positionV>
                <wp:extent cx="295275" cy="0"/>
                <wp:effectExtent l="10160" t="59690" r="18415" b="64135"/>
                <wp:wrapNone/>
                <wp:docPr id="3773" name="Line 309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95275" cy="0"/>
                        </a:xfrm>
                        <a:prstGeom prst="line">
                          <a:avLst/>
                        </a:prstGeom>
                        <a:noFill/>
                        <a:ln w="9525">
                          <a:solidFill>
                            <a:srgbClr val="000000"/>
                          </a:solidFill>
                          <a:round/>
                          <a:headEnd/>
                          <a:tailEnd type="arrow" w="sm" len="sm"/>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line w14:anchorId="062F2D41" id="Line 3092" o:spid="_x0000_s1026" style="position:absolute;left:0;text-align:left;z-index:2537451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2.05pt,4.7pt" to="65.3pt,4.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">
                <v:stroke endarrow="open" endarrowwidth="narrow" endarrowlength="short"/>
              </v:line>
            </w:pict>
          </mc:Fallback>
        </mc:AlternateContent>
      </w:r>
      <w:r w:rsidRPr="008A3EDE">
        <w:rPr>
          <w:noProof/>
        </w:rPr>
        <mc:AlternateContent>
          <mc:Choice Requires="wps">
            <w:drawing>
              <wp:anchor distT="0" distB="0" distL="114300" distR="114300" simplePos="0" relativeHeight="253709312" behindDoc="0" locked="0" layoutInCell="1" allowOverlap="1" wp14:anchorId="77874E53" wp14:editId="741547C8">
                <wp:simplePos x="0" y="0"/>
                <wp:positionH relativeFrom="column">
                  <wp:posOffset>3943350</wp:posOffset>
                </wp:positionH>
                <wp:positionV relativeFrom="paragraph">
                  <wp:posOffset>134620</wp:posOffset>
                </wp:positionV>
                <wp:extent cx="1828800" cy="310515"/>
                <wp:effectExtent l="9525" t="10795" r="9525" b="12065"/>
                <wp:wrapNone/>
                <wp:docPr id="3772" name="Text Box 305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28800" cy="310515"/>
                        </a:xfrm>
                        <a:prstGeom prst="rect">
                          <a:avLst/>
                        </a:prstGeom>
                        <a:solidFill>
                          <a:srgbClr val="FFFFFF"/>
                        </a:solidFill>
                        <a:ln w="9525">
                          <a:solidFill>
                            <a:srgbClr val="000000"/>
                          </a:solidFill>
                          <a:miter lim="800000"/>
                          <a:headEnd/>
                          <a:tailEnd/>
                        </a:ln>
                      </wps:spPr>
                      <wps:txbx>
                        <w:txbxContent>
                          <w:p w14:paraId="29283A20" w14:textId="77777777" w:rsidR="006A5267" w:rsidRDefault="006A5267" w:rsidP="008B4B2B">
                            <w:pPr>
                              <w:jc w:val="distribute"/>
                            </w:pPr>
                            <w:r>
                              <w:rPr>
                                <w:rFonts w:hint="eastAsia"/>
                              </w:rPr>
                              <w:t>府警察</w:t>
                            </w:r>
                          </w:p>
                          <w:p w14:paraId="074AB346" w14:textId="77777777" w:rsidR="006A5267" w:rsidRDefault="006A5267" w:rsidP="008B4B2B">
                            <w:pPr>
                              <w:jc w:val="distribute"/>
                            </w:pPr>
                            <w:r>
                              <w:rPr>
                                <w:rFonts w:hint="eastAsia"/>
                              </w:rPr>
                              <w:t>漁業協同組合</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shape w14:anchorId="77874E53" id="Text Box 3058" o:spid="_x0000_s1669" type="#_x0000_t202" style="position:absolute;left:0;text-align:left;margin-left:310.5pt;margin-top:10.6pt;width:2in;height:24.45pt;z-index:253709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">
                <v:textbox>
                  <w:txbxContent>
                    <w:p w14:paraId="29283A20" w14:textId="77777777" w:rsidR="006A5267" w:rsidRDefault="006A5267" w:rsidP="008B4B2B">
                      <w:pPr>
                        <w:jc w:val="distribute"/>
                      </w:pPr>
                      <w:r>
                        <w:rPr>
                          <w:rFonts w:hint="eastAsia"/>
                        </w:rPr>
                        <w:t>府警察</w:t>
                      </w:r>
                    </w:p>
                    <w:p w14:paraId="074AB346" w14:textId="77777777" w:rsidR="006A5267" w:rsidRDefault="006A5267" w:rsidP="008B4B2B">
                      <w:pPr>
                        <w:jc w:val="distribute"/>
                      </w:pPr>
                      <w:r>
                        <w:rPr>
                          <w:rFonts w:hint="eastAsia"/>
                        </w:rPr>
                        <w:t>漁業協同組合</w:t>
                      </w:r>
                    </w:p>
                  </w:txbxContent>
                </v:textbox>
              </v:shape>
            </w:pict>
          </mc:Fallback>
        </mc:AlternateContent>
      </w:r>
    </w:p>
    <w:p w14:paraId="3C18EE1B" w14:textId="77777777" w:rsidR="008B4B2B" w:rsidRPr="008A3EDE" w:rsidRDefault="008B4B2B" w:rsidP="008B4B2B">
      <w:r w:rsidRPr="008A3EDE">
        <w:rPr>
          <w:noProof/>
        </w:rPr>
        <mc:AlternateContent>
          <mc:Choice Requires="wps">
            <w:drawing>
              <wp:anchor distT="0" distB="0" distL="114300" distR="114300" simplePos="0" relativeHeight="253754368" behindDoc="0" locked="0" layoutInCell="1" allowOverlap="1" wp14:anchorId="27C21A4A" wp14:editId="6F6FB339">
                <wp:simplePos x="0" y="0"/>
                <wp:positionH relativeFrom="column">
                  <wp:posOffset>1832610</wp:posOffset>
                </wp:positionH>
                <wp:positionV relativeFrom="paragraph">
                  <wp:posOffset>0</wp:posOffset>
                </wp:positionV>
                <wp:extent cx="0" cy="269240"/>
                <wp:effectExtent l="13335" t="9525" r="5715" b="6985"/>
                <wp:wrapNone/>
                <wp:docPr id="3771" name="Line 310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6924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line w14:anchorId="269681DB" id="Line 3101" o:spid="_x0000_s1026" style="position:absolute;left:0;text-align:left;z-index:2537543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44.3pt,0" to="144.3pt,21.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"/>
            </w:pict>
          </mc:Fallback>
        </mc:AlternateContent>
      </w:r>
      <w:r w:rsidRPr="008A3EDE">
        <w:rPr>
          <w:noProof/>
        </w:rPr>
        <mc:AlternateContent>
          <mc:Choice Requires="wps">
            <w:drawing>
              <wp:anchor distT="0" distB="0" distL="114300" distR="114300" simplePos="0" relativeHeight="253726720" behindDoc="0" locked="0" layoutInCell="1" allowOverlap="1" wp14:anchorId="69E55275" wp14:editId="2B3B7D61">
                <wp:simplePos x="0" y="0"/>
                <wp:positionH relativeFrom="column">
                  <wp:posOffset>3597275</wp:posOffset>
                </wp:positionH>
                <wp:positionV relativeFrom="paragraph">
                  <wp:posOffset>68580</wp:posOffset>
                </wp:positionV>
                <wp:extent cx="346075" cy="0"/>
                <wp:effectExtent l="6350" t="59055" r="19050" b="64770"/>
                <wp:wrapNone/>
                <wp:docPr id="3770" name="Line 307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6075" cy="0"/>
                        </a:xfrm>
                        <a:prstGeom prst="line">
                          <a:avLst/>
                        </a:prstGeom>
                        <a:noFill/>
                        <a:ln w="9525">
                          <a:solidFill>
                            <a:srgbClr val="000000"/>
                          </a:solidFill>
                          <a:round/>
                          <a:headEnd/>
                          <a:tailEnd type="arrow" w="sm" len="sm"/>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line w14:anchorId="370BA8DB" id="Line 3074" o:spid="_x0000_s1026" style="position:absolute;left:0;text-align:left;z-index:253726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83.25pt,5.4pt" to="310.5pt,5.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">
                <v:stroke endarrow="open" endarrowwidth="narrow" endarrowlength="short"/>
              </v:line>
            </w:pict>
          </mc:Fallback>
        </mc:AlternateContent>
      </w:r>
    </w:p>
    <w:p w14:paraId="23735CA0" w14:textId="77777777" w:rsidR="008B4B2B" w:rsidRPr="008A3EDE" w:rsidRDefault="008B4B2B" w:rsidP="008B4B2B">
      <w:r w:rsidRPr="008A3EDE">
        <w:rPr>
          <w:noProof/>
        </w:rPr>
        <mc:AlternateContent>
          <mc:Choice Requires="wps">
            <w:drawing>
              <wp:anchor distT="0" distB="0" distL="114300" distR="114300" simplePos="0" relativeHeight="253749248" behindDoc="0" locked="0" layoutInCell="1" allowOverlap="1" wp14:anchorId="19D0CBED" wp14:editId="2445CCD4">
                <wp:simplePos x="0" y="0"/>
                <wp:positionH relativeFrom="column">
                  <wp:posOffset>2851785</wp:posOffset>
                </wp:positionH>
                <wp:positionV relativeFrom="paragraph">
                  <wp:posOffset>219075</wp:posOffset>
                </wp:positionV>
                <wp:extent cx="302260" cy="0"/>
                <wp:effectExtent l="13335" t="9525" r="8255" b="9525"/>
                <wp:wrapNone/>
                <wp:docPr id="3769" name="Line 309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0226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line w14:anchorId="4EA3F459" id="Line 3096" o:spid="_x0000_s1026" style="position:absolute;left:0;text-align:left;z-index:2537492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24.55pt,17.25pt" to="248.35pt,17.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"/>
            </w:pict>
          </mc:Fallback>
        </mc:AlternateContent>
      </w:r>
      <w:r w:rsidRPr="008A3EDE">
        <w:rPr>
          <w:noProof/>
        </w:rPr>
        <mc:AlternateContent>
          <mc:Choice Requires="wps">
            <w:drawing>
              <wp:anchor distT="0" distB="0" distL="114300" distR="114300" simplePos="0" relativeHeight="253746176" behindDoc="0" locked="0" layoutInCell="1" allowOverlap="1" wp14:anchorId="052EC51A" wp14:editId="24CFABA5">
                <wp:simplePos x="0" y="0"/>
                <wp:positionH relativeFrom="column">
                  <wp:posOffset>534035</wp:posOffset>
                </wp:positionH>
                <wp:positionV relativeFrom="paragraph">
                  <wp:posOffset>219075</wp:posOffset>
                </wp:positionV>
                <wp:extent cx="295275" cy="0"/>
                <wp:effectExtent l="10160" t="66675" r="18415" b="66675"/>
                <wp:wrapNone/>
                <wp:docPr id="3768" name="Line 309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95275" cy="0"/>
                        </a:xfrm>
                        <a:prstGeom prst="line">
                          <a:avLst/>
                        </a:prstGeom>
                        <a:noFill/>
                        <a:ln w="9525">
                          <a:solidFill>
                            <a:srgbClr val="000000"/>
                          </a:solidFill>
                          <a:round/>
                          <a:headEnd/>
                          <a:tailEnd type="arrow" w="sm" len="sm"/>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line w14:anchorId="7939E96B" id="Line 3093" o:spid="_x0000_s1026" style="position:absolute;left:0;text-align:left;z-index:2537461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2.05pt,17.25pt" to="65.3pt,17.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">
                <v:stroke endarrow="open" endarrowwidth="narrow" endarrowlength="short"/>
              </v:line>
            </w:pict>
          </mc:Fallback>
        </mc:AlternateContent>
      </w:r>
      <w:r w:rsidRPr="008A3EDE">
        <w:rPr>
          <w:noProof/>
        </w:rPr>
        <mc:AlternateContent>
          <mc:Choice Requires="wps">
            <w:drawing>
              <wp:anchor distT="0" distB="0" distL="114300" distR="114300" simplePos="0" relativeHeight="253740032" behindDoc="0" locked="0" layoutInCell="1" allowOverlap="1" wp14:anchorId="7B475086" wp14:editId="4DF8AF7C">
                <wp:simplePos x="0" y="0"/>
                <wp:positionH relativeFrom="column">
                  <wp:posOffset>838835</wp:posOffset>
                </wp:positionH>
                <wp:positionV relativeFrom="paragraph">
                  <wp:posOffset>46355</wp:posOffset>
                </wp:positionV>
                <wp:extent cx="2003425" cy="310515"/>
                <wp:effectExtent l="10160" t="8255" r="5715" b="5080"/>
                <wp:wrapNone/>
                <wp:docPr id="3767" name="Text Box 308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03425" cy="310515"/>
                        </a:xfrm>
                        <a:prstGeom prst="rect">
                          <a:avLst/>
                        </a:prstGeom>
                        <a:solidFill>
                          <a:srgbClr val="FFFFFF"/>
                        </a:solidFill>
                        <a:ln w="9525">
                          <a:solidFill>
                            <a:srgbClr val="000000"/>
                          </a:solidFill>
                          <a:miter lim="800000"/>
                          <a:headEnd/>
                          <a:tailEnd/>
                        </a:ln>
                      </wps:spPr>
                      <wps:txbx>
                        <w:txbxContent>
                          <w:p w14:paraId="4E534A6E" w14:textId="77777777" w:rsidR="006A5267" w:rsidRPr="00EE798C" w:rsidRDefault="006A5267" w:rsidP="008B4B2B">
                            <w:pPr>
                              <w:jc w:val="distribute"/>
                            </w:pPr>
                            <w:r w:rsidRPr="00EE798C">
                              <w:rPr>
                                <w:rFonts w:hint="eastAsia"/>
                              </w:rPr>
                              <w:t>関西空港海上保安航空基地</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shape w14:anchorId="7B475086" id="Text Box 3087" o:spid="_x0000_s1670" type="#_x0000_t202" style="position:absolute;left:0;text-align:left;margin-left:66.05pt;margin-top:3.65pt;width:157.75pt;height:24.45pt;z-index:2537400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">
                <v:textbox>
                  <w:txbxContent>
                    <w:p w14:paraId="4E534A6E" w14:textId="77777777" w:rsidR="006A5267" w:rsidRPr="00EE798C" w:rsidRDefault="006A5267" w:rsidP="008B4B2B">
                      <w:pPr>
                        <w:jc w:val="distribute"/>
                      </w:pPr>
                      <w:r w:rsidRPr="00EE798C">
                        <w:rPr>
                          <w:rFonts w:hint="eastAsia"/>
                        </w:rPr>
                        <w:t>関西空港海上保安航空基地</w:t>
                      </w:r>
                    </w:p>
                  </w:txbxContent>
                </v:textbox>
              </v:shape>
            </w:pict>
          </mc:Fallback>
        </mc:AlternateContent>
      </w:r>
      <w:r w:rsidRPr="008A3EDE">
        <w:rPr>
          <w:noProof/>
        </w:rPr>
        <mc:AlternateContent>
          <mc:Choice Requires="wps">
            <w:drawing>
              <wp:anchor distT="0" distB="0" distL="114300" distR="114300" simplePos="0" relativeHeight="253710336" behindDoc="0" locked="0" layoutInCell="1" allowOverlap="1" wp14:anchorId="7EDFD35D" wp14:editId="5870FA04">
                <wp:simplePos x="0" y="0"/>
                <wp:positionH relativeFrom="column">
                  <wp:posOffset>3943350</wp:posOffset>
                </wp:positionH>
                <wp:positionV relativeFrom="paragraph">
                  <wp:posOffset>203835</wp:posOffset>
                </wp:positionV>
                <wp:extent cx="1828800" cy="310515"/>
                <wp:effectExtent l="9525" t="13335" r="9525" b="9525"/>
                <wp:wrapNone/>
                <wp:docPr id="3766" name="Text Box 305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28800" cy="310515"/>
                        </a:xfrm>
                        <a:prstGeom prst="rect">
                          <a:avLst/>
                        </a:prstGeom>
                        <a:solidFill>
                          <a:srgbClr val="FFFFFF"/>
                        </a:solidFill>
                        <a:ln w="9525">
                          <a:solidFill>
                            <a:srgbClr val="000000"/>
                          </a:solidFill>
                          <a:miter lim="800000"/>
                          <a:headEnd/>
                          <a:tailEnd/>
                        </a:ln>
                      </wps:spPr>
                      <wps:txbx>
                        <w:txbxContent>
                          <w:p w14:paraId="0FC68F7D" w14:textId="77BDE7D7" w:rsidR="006A5267" w:rsidRPr="00AE430E" w:rsidRDefault="006A5267" w:rsidP="00284235">
                            <w:pPr>
                              <w:jc w:val="distribute"/>
                            </w:pPr>
                            <w:r w:rsidRPr="00AE430E">
                              <w:rPr>
                                <w:rFonts w:hint="eastAsia"/>
                              </w:rPr>
                              <w:t>大阪港湾局</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shape w14:anchorId="7EDFD35D" id="Text Box 3059" o:spid="_x0000_s1671" type="#_x0000_t202" style="position:absolute;left:0;text-align:left;margin-left:310.5pt;margin-top:16.05pt;width:2in;height:24.45pt;z-index:253710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">
                <v:textbox>
                  <w:txbxContent>
                    <w:p w14:paraId="0FC68F7D" w14:textId="77BDE7D7" w:rsidR="006A5267" w:rsidRPr="00AE430E" w:rsidRDefault="006A5267" w:rsidP="00284235">
                      <w:pPr>
                        <w:jc w:val="distribute"/>
                      </w:pPr>
                      <w:r w:rsidRPr="00AE430E">
                        <w:rPr>
                          <w:rFonts w:hint="eastAsia"/>
                        </w:rPr>
                        <w:t>大阪港湾局</w:t>
                      </w:r>
                    </w:p>
                  </w:txbxContent>
                </v:textbox>
              </v:shape>
            </w:pict>
          </mc:Fallback>
        </mc:AlternateContent>
      </w:r>
    </w:p>
    <w:p w14:paraId="1BB51F4C" w14:textId="7F65058E" w:rsidR="008B4B2B" w:rsidRPr="008A3EDE" w:rsidRDefault="00972950" w:rsidP="008B4B2B">
      <w:r w:rsidRPr="008A3EDE">
        <w:rPr>
          <w:noProof/>
        </w:rPr>
        <mc:AlternateContent>
          <mc:Choice Requires="wps">
            <w:drawing>
              <wp:anchor distT="0" distB="0" distL="114300" distR="114300" simplePos="0" relativeHeight="253727744" behindDoc="0" locked="0" layoutInCell="1" allowOverlap="1" wp14:anchorId="3D553585" wp14:editId="013460B8">
                <wp:simplePos x="0" y="0"/>
                <wp:positionH relativeFrom="column">
                  <wp:posOffset>3606800</wp:posOffset>
                </wp:positionH>
                <wp:positionV relativeFrom="paragraph">
                  <wp:posOffset>132080</wp:posOffset>
                </wp:positionV>
                <wp:extent cx="336550" cy="0"/>
                <wp:effectExtent l="6350" t="65405" r="19050" b="67945"/>
                <wp:wrapNone/>
                <wp:docPr id="3765" name="Line 307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36550" cy="0"/>
                        </a:xfrm>
                        <a:prstGeom prst="line">
                          <a:avLst/>
                        </a:prstGeom>
                        <a:noFill/>
                        <a:ln w="9525">
                          <a:solidFill>
                            <a:srgbClr val="000000"/>
                          </a:solidFill>
                          <a:round/>
                          <a:headEnd/>
                          <a:tailEnd type="arrow" w="sm" len="sm"/>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line w14:anchorId="3B772767" id="Line 3075" o:spid="_x0000_s1026" style="position:absolute;left:0;text-align:left;z-index:253727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84pt,10.4pt" to="310.5pt,10.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">
                <v:stroke endarrow="open" endarrowwidth="narrow" endarrowlength="short"/>
              </v:line>
            </w:pict>
          </mc:Fallback>
        </mc:AlternateContent>
      </w:r>
    </w:p>
    <w:p w14:paraId="0E7E70CB" w14:textId="749B2846" w:rsidR="008B4B2B" w:rsidRPr="008A3EDE" w:rsidRDefault="008B4B2B" w:rsidP="008B4B2B"/>
    <w:p w14:paraId="23B9C87B" w14:textId="47828082" w:rsidR="008B4B2B" w:rsidRPr="008A3EDE" w:rsidRDefault="008B4B2B" w:rsidP="008B4B2B"/>
    <w:p w14:paraId="294CDB05" w14:textId="7488C7CD" w:rsidR="008B4B2B" w:rsidRPr="008A3EDE" w:rsidRDefault="00284235" w:rsidP="008B4B2B">
      <w:pPr>
        <w:wordWrap w:val="0"/>
        <w:overflowPunct w:val="0"/>
        <w:spacing w:line="362" w:lineRule="exact"/>
        <w:ind w:right="97"/>
        <w:rPr>
          <w:rFonts w:ascii="ゴシック体" w:eastAsia="ゴシック体"/>
        </w:rPr>
      </w:pPr>
      <w:r w:rsidRPr="008A3EDE">
        <w:rPr>
          <w:noProof/>
        </w:rPr>
        <mc:AlternateContent>
          <mc:Choice Requires="wps">
            <w:drawing>
              <wp:anchor distT="0" distB="0" distL="114300" distR="114300" simplePos="0" relativeHeight="253728768" behindDoc="0" locked="0" layoutInCell="1" allowOverlap="1" wp14:anchorId="0D810DE2" wp14:editId="516F3095">
                <wp:simplePos x="0" y="0"/>
                <wp:positionH relativeFrom="column">
                  <wp:posOffset>3597275</wp:posOffset>
                </wp:positionH>
                <wp:positionV relativeFrom="paragraph">
                  <wp:posOffset>38735</wp:posOffset>
                </wp:positionV>
                <wp:extent cx="342900" cy="0"/>
                <wp:effectExtent l="6350" t="62865" r="22225" b="60960"/>
                <wp:wrapNone/>
                <wp:docPr id="3763" name="Line 307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2900" cy="0"/>
                        </a:xfrm>
                        <a:prstGeom prst="line">
                          <a:avLst/>
                        </a:prstGeom>
                        <a:noFill/>
                        <a:ln w="9525">
                          <a:solidFill>
                            <a:srgbClr val="000000"/>
                          </a:solidFill>
                          <a:round/>
                          <a:headEnd/>
                          <a:tailEnd type="arrow" w="sm" len="sm"/>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line w14:anchorId="20375816" id="Line 3076" o:spid="_x0000_s1026" style="position:absolute;left:0;text-align:left;z-index:253728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83.25pt,3.05pt" to="310.25pt,3.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">
                <v:stroke endarrow="open" endarrowwidth="narrow" endarrowlength="short"/>
              </v:line>
            </w:pict>
          </mc:Fallback>
        </mc:AlternateContent>
      </w:r>
    </w:p>
    <w:p w14:paraId="047B1B79" w14:textId="1216A866" w:rsidR="008B4B2B" w:rsidRPr="008A3EDE" w:rsidRDefault="00972950" w:rsidP="008B4B2B">
      <w:pPr>
        <w:wordWrap w:val="0"/>
        <w:overflowPunct w:val="0"/>
        <w:spacing w:line="362" w:lineRule="exact"/>
        <w:ind w:right="97"/>
        <w:rPr>
          <w:rFonts w:ascii="ゴシック体" w:eastAsia="ゴシック体"/>
        </w:rPr>
      </w:pPr>
      <w:r w:rsidRPr="008A3EDE">
        <w:rPr>
          <w:rFonts w:ascii="ゴシック体" w:eastAsia="ゴシック体" w:hint="eastAsia"/>
          <w:noProof/>
        </w:rPr>
        <mc:AlternateContent>
          <mc:Choice Requires="wps">
            <w:drawing>
              <wp:anchor distT="0" distB="0" distL="114300" distR="114300" simplePos="0" relativeHeight="253733888" behindDoc="0" locked="0" layoutInCell="1" allowOverlap="1" wp14:anchorId="7A37ADA6" wp14:editId="31A7B7BF">
                <wp:simplePos x="0" y="0"/>
                <wp:positionH relativeFrom="column">
                  <wp:posOffset>3946525</wp:posOffset>
                </wp:positionH>
                <wp:positionV relativeFrom="paragraph">
                  <wp:posOffset>144780</wp:posOffset>
                </wp:positionV>
                <wp:extent cx="1828800" cy="342900"/>
                <wp:effectExtent l="9525" t="11430" r="9525" b="7620"/>
                <wp:wrapNone/>
                <wp:docPr id="3762" name="Text Box 308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28800" cy="342900"/>
                        </a:xfrm>
                        <a:prstGeom prst="rect">
                          <a:avLst/>
                        </a:prstGeom>
                        <a:solidFill>
                          <a:srgbClr val="FFFFFF"/>
                        </a:solidFill>
                        <a:ln w="9525">
                          <a:solidFill>
                            <a:srgbClr val="000000"/>
                          </a:solidFill>
                          <a:miter lim="800000"/>
                          <a:headEnd/>
                          <a:tailEnd/>
                        </a:ln>
                      </wps:spPr>
                      <wps:txbx>
                        <w:txbxContent>
                          <w:p w14:paraId="635FF762" w14:textId="77777777" w:rsidR="006A5267" w:rsidRDefault="006A5267" w:rsidP="00284235">
                            <w:pPr>
                              <w:jc w:val="distribute"/>
                            </w:pPr>
                            <w:r>
                              <w:rPr>
                                <w:rFonts w:hint="eastAsia"/>
                              </w:rPr>
                              <w:t>船舶</w:t>
                            </w:r>
                          </w:p>
                          <w:p w14:paraId="4F07895D" w14:textId="7FD8E13E" w:rsidR="006A5267" w:rsidRDefault="006A5267" w:rsidP="008B4B2B">
                            <w:pPr>
                              <w:jc w:val="distribute"/>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shape w14:anchorId="7A37ADA6" id="Text Box 3081" o:spid="_x0000_s1672" type="#_x0000_t202" style="position:absolute;left:0;text-align:left;margin-left:310.75pt;margin-top:11.4pt;width:2in;height:27pt;z-index:2537338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">
                <v:textbox>
                  <w:txbxContent>
                    <w:p w14:paraId="635FF762" w14:textId="77777777" w:rsidR="006A5267" w:rsidRDefault="006A5267" w:rsidP="00284235">
                      <w:pPr>
                        <w:jc w:val="distribute"/>
                      </w:pPr>
                      <w:r>
                        <w:rPr>
                          <w:rFonts w:hint="eastAsia"/>
                        </w:rPr>
                        <w:t>船舶</w:t>
                      </w:r>
                    </w:p>
                    <w:p w14:paraId="4F07895D" w14:textId="7FD8E13E" w:rsidR="006A5267" w:rsidRDefault="006A5267" w:rsidP="008B4B2B">
                      <w:pPr>
                        <w:jc w:val="distribute"/>
                      </w:pPr>
                    </w:p>
                  </w:txbxContent>
                </v:textbox>
              </v:shape>
            </w:pict>
          </mc:Fallback>
        </mc:AlternateContent>
      </w:r>
    </w:p>
    <w:p w14:paraId="01D99D78" w14:textId="2AF19CBC" w:rsidR="008B4B2B" w:rsidRPr="008A3EDE" w:rsidRDefault="008B4B2B" w:rsidP="008B4B2B">
      <w:pPr>
        <w:wordWrap w:val="0"/>
        <w:overflowPunct w:val="0"/>
        <w:spacing w:line="362" w:lineRule="exact"/>
        <w:ind w:right="97"/>
        <w:rPr>
          <w:rFonts w:ascii="ゴシック体" w:eastAsia="ゴシック体"/>
        </w:rPr>
      </w:pPr>
      <w:r w:rsidRPr="008A3EDE">
        <w:rPr>
          <w:rFonts w:ascii="ゴシック体" w:eastAsia="ゴシック体" w:hint="eastAsia"/>
          <w:noProof/>
        </w:rPr>
        <mc:AlternateContent>
          <mc:Choice Requires="wps">
            <w:drawing>
              <wp:anchor distT="0" distB="0" distL="114300" distR="114300" simplePos="0" relativeHeight="253734912" behindDoc="0" locked="0" layoutInCell="1" allowOverlap="1" wp14:anchorId="38003FAA" wp14:editId="0A40E3BF">
                <wp:simplePos x="0" y="0"/>
                <wp:positionH relativeFrom="column">
                  <wp:posOffset>3609975</wp:posOffset>
                </wp:positionH>
                <wp:positionV relativeFrom="paragraph">
                  <wp:posOffset>86360</wp:posOffset>
                </wp:positionV>
                <wp:extent cx="342900" cy="0"/>
                <wp:effectExtent l="9525" t="67310" r="19050" b="66040"/>
                <wp:wrapNone/>
                <wp:docPr id="3761" name="Line 308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342900" cy="0"/>
                        </a:xfrm>
                        <a:prstGeom prst="line">
                          <a:avLst/>
                        </a:prstGeom>
                        <a:noFill/>
                        <a:ln w="9525">
                          <a:solidFill>
                            <a:srgbClr val="000000"/>
                          </a:solidFill>
                          <a:round/>
                          <a:headEnd/>
                          <a:tailEnd type="arrow" w="sm" len="sm"/>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line w14:anchorId="0CCB927F" id="Line 3082" o:spid="_x0000_s1026" style="position:absolute;left:0;text-align:left;flip:y;z-index:2537349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84.25pt,6.8pt" to="311.25pt,6.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">
                <v:stroke endarrow="open" endarrowwidth="narrow" endarrowlength="short"/>
              </v:line>
            </w:pict>
          </mc:Fallback>
        </mc:AlternateContent>
      </w:r>
    </w:p>
    <w:p w14:paraId="147AB407" w14:textId="77777777" w:rsidR="008B4B2B" w:rsidRPr="008A3EDE" w:rsidRDefault="008B4B2B" w:rsidP="008B4B2B">
      <w:pPr>
        <w:pStyle w:val="a0"/>
        <w:rPr>
          <w:rFonts w:ascii="ＭＳ ゴシック" w:eastAsia="ＭＳ ゴシック" w:hAnsi="ＭＳ ゴシック"/>
          <w:bCs/>
          <w:sz w:val="22"/>
          <w:szCs w:val="22"/>
        </w:rPr>
      </w:pPr>
    </w:p>
    <w:p w14:paraId="42592332" w14:textId="2B57DDE7" w:rsidR="008B4B2B" w:rsidRPr="008A3EDE" w:rsidRDefault="00972950" w:rsidP="008B4B2B">
      <w:pPr>
        <w:pStyle w:val="a0"/>
        <w:rPr>
          <w:rFonts w:ascii="ＭＳ ゴシック" w:eastAsia="ＭＳ ゴシック" w:hAnsi="ＭＳ ゴシック"/>
          <w:bCs/>
          <w:sz w:val="22"/>
          <w:szCs w:val="22"/>
        </w:rPr>
      </w:pPr>
      <w:r w:rsidRPr="008A3EDE">
        <w:rPr>
          <w:rFonts w:ascii="ゴシック体" w:eastAsia="ゴシック体" w:hint="eastAsia"/>
          <w:noProof/>
        </w:rPr>
        <mc:AlternateContent>
          <mc:Choice Requires="wps">
            <w:drawing>
              <wp:anchor distT="0" distB="0" distL="114300" distR="114300" simplePos="0" relativeHeight="254227456" behindDoc="0" locked="0" layoutInCell="1" allowOverlap="1" wp14:anchorId="545E6DC1" wp14:editId="766DC331">
                <wp:simplePos x="0" y="0"/>
                <wp:positionH relativeFrom="column">
                  <wp:posOffset>3593465</wp:posOffset>
                </wp:positionH>
                <wp:positionV relativeFrom="paragraph">
                  <wp:posOffset>195580</wp:posOffset>
                </wp:positionV>
                <wp:extent cx="342900" cy="0"/>
                <wp:effectExtent l="9525" t="67310" r="19050" b="66040"/>
                <wp:wrapNone/>
                <wp:docPr id="232" name="Line 308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342900" cy="0"/>
                        </a:xfrm>
                        <a:prstGeom prst="line">
                          <a:avLst/>
                        </a:prstGeom>
                        <a:noFill/>
                        <a:ln w="9525">
                          <a:solidFill>
                            <a:srgbClr val="000000"/>
                          </a:solidFill>
                          <a:round/>
                          <a:headEnd/>
                          <a:tailEnd type="arrow" w="sm" len="sm"/>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line w14:anchorId="7898D9DC" id="Line 3082" o:spid="_x0000_s1026" style="position:absolute;left:0;text-align:left;flip:y;z-index:25422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82.95pt,15.4pt" to="309.95pt,15.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">
                <v:stroke endarrow="open" endarrowwidth="narrow" endarrowlength="short"/>
              </v:line>
            </w:pict>
          </mc:Fallback>
        </mc:AlternateContent>
      </w:r>
      <w:r w:rsidRPr="008A3EDE">
        <w:rPr>
          <w:rFonts w:ascii="ゴシック体" w:eastAsia="ゴシック体" w:hAnsi="Century" w:cs="Times New Roman" w:hint="eastAsia"/>
          <w:noProof/>
          <w:szCs w:val="24"/>
        </w:rPr>
        <mc:AlternateContent>
          <mc:Choice Requires="wps">
            <w:drawing>
              <wp:anchor distT="0" distB="0" distL="114300" distR="114300" simplePos="0" relativeHeight="254225408" behindDoc="0" locked="0" layoutInCell="1" allowOverlap="1" wp14:anchorId="234CBE21" wp14:editId="6BE62077">
                <wp:simplePos x="0" y="0"/>
                <wp:positionH relativeFrom="column">
                  <wp:posOffset>3943350</wp:posOffset>
                </wp:positionH>
                <wp:positionV relativeFrom="paragraph">
                  <wp:posOffset>25400</wp:posOffset>
                </wp:positionV>
                <wp:extent cx="1828800" cy="342900"/>
                <wp:effectExtent l="9525" t="11430" r="9525" b="7620"/>
                <wp:wrapNone/>
                <wp:docPr id="231" name="Text Box 308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28800" cy="342900"/>
                        </a:xfrm>
                        <a:prstGeom prst="rect">
                          <a:avLst/>
                        </a:prstGeom>
                        <a:solidFill>
                          <a:srgbClr val="FFFFFF"/>
                        </a:solidFill>
                        <a:ln w="9525">
                          <a:solidFill>
                            <a:srgbClr val="000000"/>
                          </a:solidFill>
                          <a:miter lim="800000"/>
                          <a:headEnd/>
                          <a:tailEnd/>
                        </a:ln>
                      </wps:spPr>
                      <wps:txbx>
                        <w:txbxContent>
                          <w:p w14:paraId="2348577F" w14:textId="77777777" w:rsidR="006A5267" w:rsidRDefault="006A5267" w:rsidP="00972950">
                            <w:pPr>
                              <w:jc w:val="distribute"/>
                            </w:pPr>
                            <w:r>
                              <w:rPr>
                                <w:rFonts w:hint="eastAsia"/>
                              </w:rPr>
                              <w:t>海上自衛隊</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shape w14:anchorId="234CBE21" id="_x0000_s1673" type="#_x0000_t202" style="position:absolute;left:0;text-align:left;margin-left:310.5pt;margin-top:2pt;width:2in;height:27pt;z-index:25422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">
                <v:textbox>
                  <w:txbxContent>
                    <w:p w14:paraId="2348577F" w14:textId="77777777" w:rsidR="006A5267" w:rsidRDefault="006A5267" w:rsidP="00972950">
                      <w:pPr>
                        <w:jc w:val="distribute"/>
                      </w:pPr>
                      <w:r>
                        <w:rPr>
                          <w:rFonts w:hint="eastAsia"/>
                        </w:rPr>
                        <w:t>海上自衛隊</w:t>
                      </w:r>
                    </w:p>
                  </w:txbxContent>
                </v:textbox>
              </v:shape>
            </w:pict>
          </mc:Fallback>
        </mc:AlternateContent>
      </w:r>
    </w:p>
    <w:p w14:paraId="70A81DE9" w14:textId="0D2B967B" w:rsidR="008B4B2B" w:rsidRPr="008A3EDE" w:rsidRDefault="008B4B2B" w:rsidP="008B4B2B">
      <w:pPr>
        <w:pStyle w:val="a0"/>
        <w:rPr>
          <w:rFonts w:ascii="ＭＳ ゴシック" w:eastAsia="ＭＳ ゴシック" w:hAnsi="ＭＳ ゴシック"/>
          <w:bCs/>
          <w:sz w:val="22"/>
          <w:szCs w:val="22"/>
        </w:rPr>
      </w:pPr>
    </w:p>
    <w:p w14:paraId="5C38AFBE" w14:textId="05BAFBAC" w:rsidR="00632BF5" w:rsidRPr="008A3EDE" w:rsidRDefault="00632BF5" w:rsidP="008B4B2B">
      <w:pPr>
        <w:pStyle w:val="a0"/>
        <w:rPr>
          <w:rFonts w:ascii="ＭＳ ゴシック" w:eastAsia="ＭＳ ゴシック" w:hAnsi="ＭＳ ゴシック"/>
          <w:bCs/>
          <w:sz w:val="22"/>
          <w:szCs w:val="22"/>
        </w:rPr>
      </w:pPr>
    </w:p>
    <w:p w14:paraId="71559B52" w14:textId="6B5AB393" w:rsidR="00632BF5" w:rsidRPr="008A3EDE" w:rsidRDefault="00632BF5" w:rsidP="008B4B2B">
      <w:pPr>
        <w:pStyle w:val="a0"/>
        <w:rPr>
          <w:rFonts w:ascii="ＭＳ ゴシック" w:eastAsia="ＭＳ ゴシック" w:hAnsi="ＭＳ ゴシック"/>
          <w:bCs/>
          <w:sz w:val="22"/>
          <w:szCs w:val="22"/>
        </w:rPr>
      </w:pPr>
    </w:p>
    <w:p w14:paraId="11A7FC40" w14:textId="7C23AEE1" w:rsidR="00632BF5" w:rsidRPr="008A3EDE" w:rsidRDefault="00632BF5" w:rsidP="008B4B2B">
      <w:pPr>
        <w:pStyle w:val="a0"/>
        <w:rPr>
          <w:rFonts w:ascii="ＭＳ ゴシック" w:eastAsia="ＭＳ ゴシック" w:hAnsi="ＭＳ ゴシック"/>
          <w:bCs/>
          <w:sz w:val="22"/>
          <w:szCs w:val="22"/>
        </w:rPr>
      </w:pPr>
    </w:p>
    <w:p w14:paraId="7FF8DAFB" w14:textId="53B599A9" w:rsidR="00632BF5" w:rsidRPr="008A3EDE" w:rsidRDefault="00632BF5" w:rsidP="008B4B2B">
      <w:pPr>
        <w:pStyle w:val="a0"/>
        <w:rPr>
          <w:rFonts w:ascii="ＭＳ ゴシック" w:eastAsia="ＭＳ ゴシック" w:hAnsi="ＭＳ ゴシック"/>
          <w:bCs/>
          <w:sz w:val="22"/>
          <w:szCs w:val="22"/>
        </w:rPr>
      </w:pPr>
    </w:p>
    <w:p w14:paraId="78D4B964" w14:textId="4C5AEED8" w:rsidR="00632BF5" w:rsidRPr="008A3EDE" w:rsidRDefault="00632BF5" w:rsidP="008B4B2B">
      <w:pPr>
        <w:pStyle w:val="a0"/>
        <w:rPr>
          <w:rFonts w:ascii="ＭＳ ゴシック" w:eastAsia="ＭＳ ゴシック" w:hAnsi="ＭＳ ゴシック"/>
          <w:bCs/>
          <w:sz w:val="22"/>
          <w:szCs w:val="22"/>
        </w:rPr>
      </w:pPr>
    </w:p>
    <w:p w14:paraId="5789C024" w14:textId="0C1AEB68" w:rsidR="00632BF5" w:rsidRPr="008A3EDE" w:rsidRDefault="00632BF5" w:rsidP="008B4B2B">
      <w:pPr>
        <w:pStyle w:val="a0"/>
        <w:rPr>
          <w:rFonts w:ascii="ＭＳ ゴシック" w:eastAsia="ＭＳ ゴシック" w:hAnsi="ＭＳ ゴシック"/>
          <w:bCs/>
          <w:sz w:val="22"/>
          <w:szCs w:val="22"/>
        </w:rPr>
      </w:pPr>
    </w:p>
    <w:p w14:paraId="7FC5A003" w14:textId="1C189E96" w:rsidR="00632BF5" w:rsidRPr="008A3EDE" w:rsidRDefault="00632BF5" w:rsidP="008B4B2B">
      <w:pPr>
        <w:pStyle w:val="a0"/>
        <w:rPr>
          <w:rFonts w:ascii="ＭＳ ゴシック" w:eastAsia="ＭＳ ゴシック" w:hAnsi="ＭＳ ゴシック"/>
          <w:bCs/>
          <w:sz w:val="22"/>
          <w:szCs w:val="22"/>
        </w:rPr>
      </w:pPr>
    </w:p>
    <w:p w14:paraId="7788AFFD" w14:textId="77777777" w:rsidR="00632BF5" w:rsidRPr="008A3EDE" w:rsidRDefault="00632BF5" w:rsidP="008B4B2B">
      <w:pPr>
        <w:pStyle w:val="a0"/>
        <w:rPr>
          <w:rFonts w:ascii="ＭＳ ゴシック" w:eastAsia="ＭＳ ゴシック" w:hAnsi="ＭＳ ゴシック"/>
          <w:bCs/>
          <w:sz w:val="22"/>
          <w:szCs w:val="22"/>
        </w:rPr>
      </w:pPr>
    </w:p>
    <w:p w14:paraId="13BE2831" w14:textId="77777777" w:rsidR="008B4B2B" w:rsidRPr="008A3EDE" w:rsidRDefault="008B4B2B" w:rsidP="002B2381">
      <w:pPr>
        <w:pStyle w:val="a0"/>
        <w:spacing w:line="0" w:lineRule="atLeast"/>
        <w:ind w:firstLineChars="100" w:firstLine="281"/>
        <w:outlineLvl w:val="1"/>
        <w:rPr>
          <w:rFonts w:ascii="ＭＳ ゴシック" w:eastAsia="ＭＳ ゴシック" w:hAnsi="ＭＳ ゴシック"/>
          <w:bCs/>
          <w:sz w:val="28"/>
          <w:szCs w:val="28"/>
        </w:rPr>
      </w:pPr>
      <w:bookmarkStart w:id="402" w:name="_Toc122436971"/>
      <w:bookmarkStart w:id="403" w:name="_Toc222486670"/>
      <w:bookmarkStart w:id="404" w:name="_Toc242870340"/>
      <w:r w:rsidRPr="008A3EDE">
        <w:rPr>
          <w:rFonts w:ascii="ＭＳ ゴシック" w:eastAsia="ＭＳ ゴシック" w:hAnsi="ＭＳ ゴシック" w:hint="eastAsia"/>
          <w:bCs/>
          <w:sz w:val="28"/>
          <w:szCs w:val="28"/>
        </w:rPr>
        <w:lastRenderedPageBreak/>
        <w:t>第２節　航空災害応急対策</w:t>
      </w:r>
      <w:bookmarkEnd w:id="402"/>
      <w:bookmarkEnd w:id="403"/>
      <w:bookmarkEnd w:id="404"/>
    </w:p>
    <w:p w14:paraId="0118A9E9" w14:textId="2CD53FEF" w:rsidR="008B4B2B" w:rsidRPr="008A3EDE" w:rsidRDefault="008B4B2B" w:rsidP="00E0548A">
      <w:pPr>
        <w:pStyle w:val="a0"/>
        <w:spacing w:line="0" w:lineRule="atLeast"/>
        <w:ind w:rightChars="-175" w:right="-369" w:firstLineChars="650" w:firstLine="1437"/>
        <w:rPr>
          <w:rFonts w:ascii="ＭＳ ゴシック" w:eastAsia="ＭＳ ゴシック" w:hAnsi="ＭＳ ゴシック"/>
          <w:sz w:val="22"/>
          <w:szCs w:val="22"/>
          <w:bdr w:val="single" w:sz="4" w:space="0" w:color="auto"/>
        </w:rPr>
      </w:pPr>
      <w:r w:rsidRPr="008A3EDE">
        <w:rPr>
          <w:rFonts w:ascii="ＭＳ ゴシック" w:eastAsia="ＭＳ ゴシック" w:hAnsi="ＭＳ ゴシック" w:hint="eastAsia"/>
          <w:sz w:val="22"/>
          <w:szCs w:val="22"/>
          <w:bdr w:val="single" w:sz="4" w:space="0" w:color="auto"/>
        </w:rPr>
        <w:t>主たる担当：危機管理室、</w:t>
      </w:r>
      <w:r w:rsidR="001B603E" w:rsidRPr="008A3EDE">
        <w:rPr>
          <w:rFonts w:ascii="ＭＳ ゴシック" w:eastAsia="ＭＳ ゴシック" w:hAnsi="ＭＳ ゴシック" w:hint="eastAsia"/>
          <w:sz w:val="22"/>
          <w:szCs w:val="22"/>
          <w:bdr w:val="single" w:sz="4" w:space="0" w:color="auto"/>
        </w:rPr>
        <w:t>成長戦略局空港政策</w:t>
      </w:r>
      <w:r w:rsidR="00FA5473" w:rsidRPr="008A3EDE">
        <w:rPr>
          <w:rFonts w:ascii="ＭＳ ゴシック" w:eastAsia="ＭＳ ゴシック" w:hAnsi="ＭＳ ゴシック" w:hint="eastAsia"/>
          <w:sz w:val="22"/>
          <w:szCs w:val="22"/>
          <w:bdr w:val="single" w:sz="4" w:space="0" w:color="auto"/>
        </w:rPr>
        <w:t>担当</w:t>
      </w:r>
      <w:r w:rsidR="001B603E" w:rsidRPr="008A3EDE">
        <w:rPr>
          <w:rFonts w:ascii="ＭＳ ゴシック" w:eastAsia="ＭＳ ゴシック" w:hAnsi="ＭＳ ゴシック" w:hint="eastAsia"/>
          <w:sz w:val="22"/>
          <w:szCs w:val="22"/>
          <w:bdr w:val="single" w:sz="4" w:space="0" w:color="auto"/>
        </w:rPr>
        <w:t>課長</w:t>
      </w:r>
      <w:r w:rsidRPr="008A3EDE">
        <w:rPr>
          <w:rFonts w:ascii="ＭＳ ゴシック" w:eastAsia="ＭＳ ゴシック" w:hAnsi="ＭＳ ゴシック" w:hint="eastAsia"/>
          <w:sz w:val="22"/>
          <w:szCs w:val="22"/>
          <w:bdr w:val="single" w:sz="4" w:space="0" w:color="auto"/>
        </w:rPr>
        <w:t>、</w:t>
      </w:r>
      <w:r w:rsidR="006D1D41" w:rsidRPr="008A3EDE">
        <w:rPr>
          <w:rFonts w:ascii="ＭＳ ゴシック" w:eastAsia="ＭＳ ゴシック" w:hAnsi="ＭＳ ゴシック" w:hint="eastAsia"/>
          <w:sz w:val="22"/>
          <w:szCs w:val="22"/>
          <w:bdr w:val="single" w:sz="4" w:space="0" w:color="auto"/>
        </w:rPr>
        <w:t>医療・感染症対策課</w:t>
      </w:r>
    </w:p>
    <w:p w14:paraId="2A3AF569" w14:textId="081FE289" w:rsidR="008B4B2B" w:rsidRPr="008A3EDE" w:rsidRDefault="008B4B2B" w:rsidP="002B2381">
      <w:pPr>
        <w:pStyle w:val="a0"/>
        <w:ind w:firstLineChars="200" w:firstLine="442"/>
        <w:outlineLvl w:val="2"/>
        <w:rPr>
          <w:rFonts w:ascii="ＭＳ ゴシック" w:eastAsia="ＭＳ ゴシック" w:hAnsi="ＭＳ ゴシック"/>
          <w:bCs/>
          <w:sz w:val="22"/>
          <w:szCs w:val="22"/>
          <w:u w:val="double"/>
        </w:rPr>
      </w:pPr>
      <w:bookmarkStart w:id="405" w:name="_Toc122436972"/>
      <w:bookmarkStart w:id="406" w:name="_Toc222486671"/>
      <w:bookmarkStart w:id="407" w:name="_Toc242870341"/>
      <w:r w:rsidRPr="008A3EDE">
        <w:rPr>
          <w:rFonts w:ascii="ＭＳ ゴシック" w:eastAsia="ＭＳ ゴシック" w:hAnsi="ＭＳ ゴシック" w:hint="eastAsia"/>
          <w:bCs/>
          <w:sz w:val="22"/>
          <w:szCs w:val="22"/>
          <w:u w:val="double"/>
        </w:rPr>
        <w:t>第１　対象地域</w:t>
      </w:r>
      <w:bookmarkEnd w:id="405"/>
      <w:bookmarkEnd w:id="406"/>
      <w:bookmarkEnd w:id="407"/>
    </w:p>
    <w:p w14:paraId="32E5859A" w14:textId="77777777" w:rsidR="008B4B2B" w:rsidRPr="008A3EDE" w:rsidRDefault="008B4B2B" w:rsidP="008B4B2B">
      <w:pPr>
        <w:pStyle w:val="a0"/>
        <w:ind w:firstLineChars="200" w:firstLine="442"/>
        <w:rPr>
          <w:rFonts w:ascii="ＭＳ ゴシック" w:eastAsia="ＭＳ ゴシック" w:hAnsi="ＭＳ ゴシック"/>
          <w:bCs/>
          <w:sz w:val="22"/>
          <w:szCs w:val="22"/>
          <w:u w:val="single"/>
        </w:rPr>
      </w:pPr>
      <w:r w:rsidRPr="008A3EDE">
        <w:rPr>
          <w:rFonts w:hAnsi="ＭＳ 明朝" w:hint="eastAsia"/>
          <w:bCs/>
          <w:sz w:val="22"/>
          <w:szCs w:val="22"/>
        </w:rPr>
        <w:t xml:space="preserve">　</w:t>
      </w:r>
      <w:r w:rsidRPr="008A3EDE">
        <w:rPr>
          <w:rFonts w:ascii="ＭＳ ゴシック" w:eastAsia="ＭＳ ゴシック" w:hAnsi="ＭＳ ゴシック" w:hint="eastAsia"/>
          <w:bCs/>
          <w:sz w:val="22"/>
          <w:szCs w:val="22"/>
          <w:u w:val="single"/>
        </w:rPr>
        <w:t>１　大阪国際空港</w:t>
      </w:r>
    </w:p>
    <w:p w14:paraId="2A433CBA" w14:textId="77777777" w:rsidR="008B4B2B" w:rsidRPr="008A3EDE" w:rsidRDefault="008B4B2B" w:rsidP="008B4B2B">
      <w:pPr>
        <w:pStyle w:val="a0"/>
        <w:ind w:firstLineChars="200" w:firstLine="442"/>
        <w:rPr>
          <w:rFonts w:hAnsi="ＭＳ 明朝"/>
          <w:bCs/>
          <w:sz w:val="22"/>
          <w:szCs w:val="22"/>
        </w:rPr>
      </w:pPr>
      <w:r w:rsidRPr="008A3EDE">
        <w:rPr>
          <w:rFonts w:hAnsi="ＭＳ 明朝" w:hint="eastAsia"/>
          <w:bCs/>
          <w:sz w:val="22"/>
          <w:szCs w:val="22"/>
        </w:rPr>
        <w:t xml:space="preserve">　　　大阪国際空港及びその周辺</w:t>
      </w:r>
    </w:p>
    <w:p w14:paraId="707D6A3F" w14:textId="77777777" w:rsidR="008B4B2B" w:rsidRPr="008A3EDE" w:rsidRDefault="008B4B2B" w:rsidP="008B4B2B">
      <w:pPr>
        <w:pStyle w:val="a0"/>
        <w:ind w:firstLineChars="200" w:firstLine="442"/>
        <w:rPr>
          <w:rFonts w:hAnsi="ＭＳ 明朝"/>
          <w:bCs/>
          <w:sz w:val="22"/>
          <w:szCs w:val="22"/>
        </w:rPr>
      </w:pPr>
      <w:r w:rsidRPr="008A3EDE">
        <w:rPr>
          <w:rFonts w:hAnsi="ＭＳ 明朝" w:hint="eastAsia"/>
          <w:bCs/>
          <w:sz w:val="22"/>
          <w:szCs w:val="22"/>
        </w:rPr>
        <w:t xml:space="preserve">　</w:t>
      </w:r>
    </w:p>
    <w:p w14:paraId="1661DDB3" w14:textId="77777777" w:rsidR="008B4B2B" w:rsidRPr="008A3EDE" w:rsidRDefault="008B4B2B" w:rsidP="008B4B2B">
      <w:pPr>
        <w:pStyle w:val="a0"/>
        <w:ind w:firstLineChars="300" w:firstLine="663"/>
        <w:rPr>
          <w:rFonts w:ascii="ＭＳ ゴシック" w:eastAsia="ＭＳ ゴシック" w:hAnsi="ＭＳ ゴシック"/>
          <w:bCs/>
          <w:sz w:val="22"/>
          <w:szCs w:val="22"/>
          <w:u w:val="single"/>
        </w:rPr>
      </w:pPr>
      <w:r w:rsidRPr="008A3EDE">
        <w:rPr>
          <w:rFonts w:ascii="ＭＳ ゴシック" w:eastAsia="ＭＳ ゴシック" w:hAnsi="ＭＳ ゴシック" w:hint="eastAsia"/>
          <w:bCs/>
          <w:sz w:val="22"/>
          <w:szCs w:val="22"/>
          <w:u w:val="single"/>
        </w:rPr>
        <w:t>２　関西国際空港</w:t>
      </w:r>
    </w:p>
    <w:p w14:paraId="4382DFFD" w14:textId="77777777" w:rsidR="008B4B2B" w:rsidRPr="008A3EDE" w:rsidRDefault="008B4B2B" w:rsidP="008B4B2B">
      <w:pPr>
        <w:pStyle w:val="a0"/>
        <w:rPr>
          <w:rFonts w:hAnsi="ＭＳ 明朝"/>
          <w:bCs/>
          <w:sz w:val="22"/>
          <w:szCs w:val="22"/>
        </w:rPr>
      </w:pPr>
      <w:r w:rsidRPr="008A3EDE">
        <w:rPr>
          <w:rFonts w:hAnsi="ＭＳ 明朝" w:hint="eastAsia"/>
          <w:bCs/>
          <w:sz w:val="22"/>
          <w:szCs w:val="22"/>
        </w:rPr>
        <w:t xml:space="preserve">　　　　　関西国際空港の周辺</w:t>
      </w:r>
    </w:p>
    <w:p w14:paraId="0ED7BD16" w14:textId="77777777" w:rsidR="008B4B2B" w:rsidRPr="008A3EDE" w:rsidRDefault="008B4B2B" w:rsidP="008B4B2B">
      <w:pPr>
        <w:pStyle w:val="a0"/>
        <w:ind w:left="1092" w:hangingChars="494" w:hanging="1092"/>
        <w:rPr>
          <w:rFonts w:hAnsi="ＭＳ 明朝"/>
          <w:bCs/>
          <w:sz w:val="22"/>
          <w:szCs w:val="22"/>
        </w:rPr>
      </w:pPr>
      <w:r w:rsidRPr="008A3EDE">
        <w:rPr>
          <w:rFonts w:hAnsi="ＭＳ 明朝" w:hint="eastAsia"/>
          <w:bCs/>
          <w:sz w:val="22"/>
          <w:szCs w:val="22"/>
        </w:rPr>
        <w:t xml:space="preserve">　　　　　（関西国際空港島内で災害が発生した場合には、大阪府石油コンビナート等防災計画による）</w:t>
      </w:r>
    </w:p>
    <w:p w14:paraId="057DB61C" w14:textId="77777777" w:rsidR="008B4B2B" w:rsidRPr="008A3EDE" w:rsidRDefault="008B4B2B" w:rsidP="008B4B2B">
      <w:pPr>
        <w:pStyle w:val="a0"/>
        <w:ind w:left="1216" w:hangingChars="550" w:hanging="1216"/>
        <w:rPr>
          <w:rFonts w:hAnsi="ＭＳ 明朝"/>
          <w:bCs/>
          <w:sz w:val="22"/>
          <w:szCs w:val="22"/>
        </w:rPr>
      </w:pPr>
      <w:r w:rsidRPr="008A3EDE">
        <w:rPr>
          <w:rFonts w:hAnsi="ＭＳ 明朝" w:hint="eastAsia"/>
          <w:bCs/>
          <w:sz w:val="22"/>
          <w:szCs w:val="22"/>
        </w:rPr>
        <w:t xml:space="preserve">　　　</w:t>
      </w:r>
    </w:p>
    <w:p w14:paraId="42BFFDBA" w14:textId="77777777" w:rsidR="008B4B2B" w:rsidRPr="008A3EDE" w:rsidRDefault="008B4B2B" w:rsidP="008B4B2B">
      <w:pPr>
        <w:pStyle w:val="a0"/>
        <w:ind w:firstLineChars="300" w:firstLine="663"/>
        <w:rPr>
          <w:rFonts w:ascii="ＭＳ ゴシック" w:eastAsia="ＭＳ ゴシック" w:hAnsi="ＭＳ ゴシック"/>
          <w:bCs/>
          <w:sz w:val="22"/>
          <w:szCs w:val="22"/>
          <w:u w:val="single"/>
        </w:rPr>
      </w:pPr>
      <w:r w:rsidRPr="008A3EDE">
        <w:rPr>
          <w:rFonts w:ascii="ＭＳ ゴシック" w:eastAsia="ＭＳ ゴシック" w:hAnsi="ＭＳ ゴシック" w:hint="eastAsia"/>
          <w:bCs/>
          <w:sz w:val="22"/>
          <w:szCs w:val="22"/>
          <w:u w:val="single"/>
        </w:rPr>
        <w:t>３　八尾空港</w:t>
      </w:r>
    </w:p>
    <w:p w14:paraId="5A75B331" w14:textId="77777777" w:rsidR="008B4B2B" w:rsidRPr="008A3EDE" w:rsidRDefault="008B4B2B" w:rsidP="008B4B2B">
      <w:pPr>
        <w:pStyle w:val="a0"/>
        <w:rPr>
          <w:rFonts w:hAnsi="ＭＳ 明朝"/>
          <w:bCs/>
          <w:sz w:val="22"/>
          <w:szCs w:val="22"/>
        </w:rPr>
      </w:pPr>
      <w:r w:rsidRPr="008A3EDE">
        <w:rPr>
          <w:rFonts w:hAnsi="ＭＳ 明朝" w:hint="eastAsia"/>
          <w:bCs/>
          <w:sz w:val="22"/>
          <w:szCs w:val="22"/>
        </w:rPr>
        <w:t xml:space="preserve">　　　　　八尾空港</w:t>
      </w:r>
    </w:p>
    <w:p w14:paraId="70684AD8" w14:textId="77777777" w:rsidR="008B4B2B" w:rsidRPr="008A3EDE" w:rsidRDefault="008B4B2B" w:rsidP="008B4B2B">
      <w:pPr>
        <w:pStyle w:val="a0"/>
        <w:rPr>
          <w:rFonts w:hAnsi="ＭＳ 明朝"/>
          <w:bCs/>
          <w:sz w:val="22"/>
          <w:szCs w:val="22"/>
        </w:rPr>
      </w:pPr>
    </w:p>
    <w:p w14:paraId="6C0C3DD2" w14:textId="77777777" w:rsidR="008B4B2B" w:rsidRPr="008A3EDE" w:rsidRDefault="008B4B2B" w:rsidP="002B2381">
      <w:pPr>
        <w:pStyle w:val="a0"/>
        <w:ind w:firstLineChars="200" w:firstLine="442"/>
        <w:outlineLvl w:val="2"/>
        <w:rPr>
          <w:rFonts w:ascii="ＭＳ ゴシック" w:eastAsia="ＭＳ ゴシック" w:hAnsi="ＭＳ ゴシック"/>
          <w:bCs/>
          <w:sz w:val="22"/>
          <w:szCs w:val="22"/>
          <w:u w:val="double"/>
        </w:rPr>
      </w:pPr>
      <w:bookmarkStart w:id="408" w:name="_Toc122436973"/>
      <w:bookmarkStart w:id="409" w:name="_Toc222486672"/>
      <w:bookmarkStart w:id="410" w:name="_Toc242870342"/>
      <w:r w:rsidRPr="008A3EDE">
        <w:rPr>
          <w:rFonts w:ascii="ＭＳ ゴシック" w:eastAsia="ＭＳ ゴシック" w:hAnsi="ＭＳ ゴシック" w:hint="eastAsia"/>
          <w:bCs/>
          <w:sz w:val="22"/>
          <w:szCs w:val="22"/>
          <w:u w:val="double"/>
        </w:rPr>
        <w:t>第２　航空機事故応急対策本部等の設置</w:t>
      </w:r>
      <w:bookmarkEnd w:id="408"/>
      <w:bookmarkEnd w:id="409"/>
      <w:bookmarkEnd w:id="410"/>
    </w:p>
    <w:p w14:paraId="2CAC9D26" w14:textId="62EF1A7A" w:rsidR="008B4B2B" w:rsidRPr="008A3EDE" w:rsidRDefault="008B4B2B" w:rsidP="008B4B2B">
      <w:pPr>
        <w:pStyle w:val="a0"/>
        <w:ind w:leftChars="210" w:left="885" w:hangingChars="200" w:hanging="442"/>
        <w:rPr>
          <w:rFonts w:hAnsi="ＭＳ 明朝"/>
          <w:bCs/>
          <w:sz w:val="22"/>
          <w:szCs w:val="22"/>
        </w:rPr>
      </w:pPr>
      <w:r w:rsidRPr="008A3EDE">
        <w:rPr>
          <w:rFonts w:hAnsi="ＭＳ 明朝" w:hint="eastAsia"/>
          <w:bCs/>
          <w:sz w:val="22"/>
          <w:szCs w:val="22"/>
        </w:rPr>
        <w:t xml:space="preserve">　　　</w:t>
      </w:r>
      <w:r w:rsidR="00872185" w:rsidRPr="008A3EDE">
        <w:rPr>
          <w:rFonts w:hAnsi="ＭＳ 明朝" w:hint="eastAsia"/>
          <w:bCs/>
          <w:sz w:val="22"/>
          <w:szCs w:val="22"/>
        </w:rPr>
        <w:t>大阪国際空港及び関西国際空港においては関西エアポート株式会社、八尾空港において</w:t>
      </w:r>
      <w:proofErr w:type="gramStart"/>
      <w:r w:rsidR="00872185" w:rsidRPr="008A3EDE">
        <w:rPr>
          <w:rFonts w:hAnsi="ＭＳ 明朝" w:hint="eastAsia"/>
          <w:bCs/>
          <w:sz w:val="22"/>
          <w:szCs w:val="22"/>
        </w:rPr>
        <w:t>は</w:t>
      </w:r>
      <w:proofErr w:type="gramEnd"/>
      <w:r w:rsidR="00872185" w:rsidRPr="008A3EDE">
        <w:rPr>
          <w:rFonts w:hAnsi="ＭＳ 明朝" w:hint="eastAsia"/>
          <w:bCs/>
          <w:sz w:val="22"/>
          <w:szCs w:val="22"/>
        </w:rPr>
        <w:t>八尾空港事務所</w:t>
      </w:r>
      <w:proofErr w:type="gramStart"/>
      <w:r w:rsidR="00872185" w:rsidRPr="008A3EDE">
        <w:rPr>
          <w:rFonts w:hAnsi="ＭＳ 明朝" w:hint="eastAsia"/>
          <w:bCs/>
          <w:sz w:val="22"/>
          <w:szCs w:val="22"/>
        </w:rPr>
        <w:t>は</w:t>
      </w:r>
      <w:proofErr w:type="gramEnd"/>
      <w:r w:rsidR="00872185" w:rsidRPr="008A3EDE">
        <w:rPr>
          <w:rFonts w:hAnsi="ＭＳ 明朝" w:hint="eastAsia"/>
          <w:bCs/>
          <w:sz w:val="22"/>
          <w:szCs w:val="22"/>
        </w:rPr>
        <w:t>、</w:t>
      </w:r>
      <w:r w:rsidRPr="008A3EDE">
        <w:rPr>
          <w:rFonts w:hAnsi="ＭＳ 明朝" w:hint="eastAsia"/>
          <w:bCs/>
          <w:sz w:val="22"/>
          <w:szCs w:val="22"/>
        </w:rPr>
        <w:t>必要に応じ、航空機事故応急対策本部等を設置し、事故処理業務全般にわたる防災関係機関の総合連絡調整、情報の収集・管理、政府対策本部等に対する報告・調整等の業務を行い、</w:t>
      </w:r>
    </w:p>
    <w:p w14:paraId="75157805" w14:textId="77777777" w:rsidR="008B4B2B" w:rsidRPr="008A3EDE" w:rsidRDefault="008B4B2B" w:rsidP="008B4B2B">
      <w:pPr>
        <w:pStyle w:val="a0"/>
        <w:ind w:leftChars="410" w:left="866"/>
        <w:rPr>
          <w:rFonts w:hAnsi="ＭＳ 明朝"/>
          <w:bCs/>
          <w:sz w:val="22"/>
          <w:szCs w:val="22"/>
        </w:rPr>
      </w:pPr>
      <w:r w:rsidRPr="008A3EDE">
        <w:rPr>
          <w:rFonts w:hAnsi="ＭＳ 明朝" w:hint="eastAsia"/>
          <w:bCs/>
          <w:sz w:val="22"/>
          <w:szCs w:val="22"/>
        </w:rPr>
        <w:t>迅速かつ的確な事故処理を実施する。</w:t>
      </w:r>
    </w:p>
    <w:p w14:paraId="53AA4104" w14:textId="77777777" w:rsidR="008B4B2B" w:rsidRPr="008A3EDE" w:rsidRDefault="008B4B2B" w:rsidP="008B4B2B">
      <w:pPr>
        <w:pStyle w:val="a0"/>
        <w:ind w:leftChars="210" w:left="664" w:hangingChars="100" w:hanging="221"/>
        <w:rPr>
          <w:rFonts w:ascii="ＭＳ ゴシック" w:eastAsia="ＭＳ ゴシック" w:hAnsi="ＭＳ ゴシック"/>
          <w:bCs/>
          <w:sz w:val="22"/>
          <w:szCs w:val="22"/>
          <w:u w:val="single"/>
        </w:rPr>
      </w:pPr>
      <w:r w:rsidRPr="008A3EDE">
        <w:rPr>
          <w:rFonts w:hAnsi="ＭＳ 明朝" w:hint="eastAsia"/>
          <w:bCs/>
          <w:sz w:val="22"/>
          <w:szCs w:val="22"/>
        </w:rPr>
        <w:t xml:space="preserve">　</w:t>
      </w:r>
      <w:r w:rsidRPr="008A3EDE">
        <w:rPr>
          <w:rFonts w:ascii="ＭＳ ゴシック" w:eastAsia="ＭＳ ゴシック" w:hAnsi="ＭＳ ゴシック" w:hint="eastAsia"/>
          <w:bCs/>
          <w:sz w:val="22"/>
          <w:szCs w:val="22"/>
          <w:u w:val="single"/>
        </w:rPr>
        <w:t>１　大阪国際空港における防災関係機関</w:t>
      </w:r>
    </w:p>
    <w:p w14:paraId="458D1131" w14:textId="77777777" w:rsidR="008B4B2B" w:rsidRPr="008A3EDE" w:rsidRDefault="008B4B2B" w:rsidP="008B4B2B">
      <w:pPr>
        <w:pStyle w:val="a0"/>
        <w:ind w:left="884" w:rightChars="-41" w:right="-87" w:hangingChars="400" w:hanging="884"/>
        <w:rPr>
          <w:rFonts w:hAnsi="ＭＳ 明朝"/>
          <w:bCs/>
          <w:sz w:val="22"/>
          <w:szCs w:val="22"/>
        </w:rPr>
      </w:pPr>
      <w:r w:rsidRPr="008A3EDE">
        <w:rPr>
          <w:rFonts w:hAnsi="ＭＳ 明朝" w:hint="eastAsia"/>
          <w:bCs/>
          <w:sz w:val="22"/>
          <w:szCs w:val="22"/>
        </w:rPr>
        <w:t xml:space="preserve">　　　　　大阪空港事務所、府、府警察、地元市、地元医療機関、日本赤十字社大阪府支部、</w:t>
      </w:r>
      <w:r w:rsidRPr="008A3EDE">
        <w:rPr>
          <w:rFonts w:asciiTheme="minorEastAsia" w:eastAsiaTheme="minorEastAsia" w:hAnsiTheme="minorEastAsia" w:hint="eastAsia"/>
          <w:bCs/>
          <w:sz w:val="22"/>
          <w:szCs w:val="22"/>
        </w:rPr>
        <w:t>関西エアポート株式会社</w:t>
      </w:r>
      <w:r w:rsidRPr="008A3EDE">
        <w:rPr>
          <w:rFonts w:hAnsi="ＭＳ 明朝" w:hint="eastAsia"/>
          <w:bCs/>
          <w:sz w:val="22"/>
          <w:szCs w:val="22"/>
        </w:rPr>
        <w:t>、その他必要と認められる機関</w:t>
      </w:r>
    </w:p>
    <w:p w14:paraId="4FD95D5E" w14:textId="77777777" w:rsidR="008B4B2B" w:rsidRPr="008A3EDE" w:rsidRDefault="008B4B2B" w:rsidP="008B4B2B">
      <w:pPr>
        <w:pStyle w:val="a0"/>
        <w:ind w:leftChars="210" w:left="664" w:hangingChars="100" w:hanging="221"/>
        <w:rPr>
          <w:rFonts w:hAnsi="ＭＳ 明朝"/>
          <w:bCs/>
          <w:sz w:val="22"/>
          <w:szCs w:val="22"/>
        </w:rPr>
      </w:pPr>
      <w:r w:rsidRPr="008A3EDE">
        <w:rPr>
          <w:rFonts w:hAnsi="ＭＳ 明朝" w:hint="eastAsia"/>
          <w:bCs/>
          <w:sz w:val="22"/>
          <w:szCs w:val="22"/>
        </w:rPr>
        <w:t xml:space="preserve">　</w:t>
      </w:r>
    </w:p>
    <w:p w14:paraId="60DFAD72" w14:textId="77777777" w:rsidR="008B4B2B" w:rsidRPr="008A3EDE" w:rsidRDefault="008B4B2B" w:rsidP="008B4B2B">
      <w:pPr>
        <w:pStyle w:val="a0"/>
        <w:ind w:leftChars="310" w:left="654"/>
        <w:rPr>
          <w:rFonts w:ascii="ＭＳ ゴシック" w:eastAsia="ＭＳ ゴシック" w:hAnsi="ＭＳ ゴシック"/>
          <w:bCs/>
          <w:sz w:val="22"/>
          <w:szCs w:val="22"/>
          <w:u w:val="single"/>
        </w:rPr>
      </w:pPr>
      <w:r w:rsidRPr="008A3EDE">
        <w:rPr>
          <w:rFonts w:ascii="ＭＳ ゴシック" w:eastAsia="ＭＳ ゴシック" w:hAnsi="ＭＳ ゴシック" w:hint="eastAsia"/>
          <w:bCs/>
          <w:sz w:val="22"/>
          <w:szCs w:val="22"/>
          <w:u w:val="single"/>
        </w:rPr>
        <w:t>２　関西国際空港における防災関係機関</w:t>
      </w:r>
    </w:p>
    <w:p w14:paraId="000DE781" w14:textId="77777777" w:rsidR="008B4B2B" w:rsidRPr="008A3EDE" w:rsidRDefault="008B4B2B" w:rsidP="008B4B2B">
      <w:pPr>
        <w:pStyle w:val="a0"/>
        <w:ind w:left="884" w:hangingChars="400" w:hanging="884"/>
        <w:rPr>
          <w:rFonts w:hAnsi="ＭＳ 明朝"/>
          <w:bCs/>
          <w:sz w:val="22"/>
          <w:szCs w:val="22"/>
        </w:rPr>
      </w:pPr>
      <w:r w:rsidRPr="008A3EDE">
        <w:rPr>
          <w:rFonts w:hAnsi="ＭＳ 明朝" w:hint="eastAsia"/>
          <w:bCs/>
          <w:sz w:val="22"/>
          <w:szCs w:val="22"/>
        </w:rPr>
        <w:t xml:space="preserve">　　　　　関西空港事務所、関西空港海上保安航空基地、府、府警察、地元市町、地元医療機関、日本赤十字社大阪府支部、</w:t>
      </w:r>
      <w:r w:rsidRPr="008A3EDE">
        <w:rPr>
          <w:rFonts w:asciiTheme="minorEastAsia" w:eastAsiaTheme="minorEastAsia" w:hAnsiTheme="minorEastAsia" w:hint="eastAsia"/>
          <w:bCs/>
          <w:sz w:val="22"/>
          <w:szCs w:val="22"/>
        </w:rPr>
        <w:t>関西エアポート株式会社</w:t>
      </w:r>
      <w:r w:rsidRPr="008A3EDE">
        <w:rPr>
          <w:rFonts w:hAnsi="ＭＳ 明朝" w:hint="eastAsia"/>
          <w:bCs/>
          <w:sz w:val="22"/>
          <w:szCs w:val="22"/>
        </w:rPr>
        <w:t>、その他必要と認められる機関</w:t>
      </w:r>
    </w:p>
    <w:p w14:paraId="3076E15C" w14:textId="77777777" w:rsidR="008B4B2B" w:rsidRPr="008A3EDE" w:rsidRDefault="008B4B2B" w:rsidP="008B4B2B">
      <w:pPr>
        <w:pStyle w:val="a0"/>
        <w:ind w:left="995" w:hangingChars="450" w:hanging="995"/>
        <w:rPr>
          <w:rFonts w:hAnsi="ＭＳ 明朝"/>
          <w:bCs/>
          <w:sz w:val="22"/>
          <w:szCs w:val="22"/>
        </w:rPr>
      </w:pPr>
      <w:r w:rsidRPr="008A3EDE">
        <w:rPr>
          <w:rFonts w:hAnsi="ＭＳ 明朝" w:hint="eastAsia"/>
          <w:bCs/>
          <w:sz w:val="22"/>
          <w:szCs w:val="22"/>
        </w:rPr>
        <w:t xml:space="preserve">　　　</w:t>
      </w:r>
    </w:p>
    <w:p w14:paraId="5BB04151" w14:textId="77777777" w:rsidR="008B4B2B" w:rsidRPr="008A3EDE" w:rsidRDefault="008B4B2B" w:rsidP="008B4B2B">
      <w:pPr>
        <w:pStyle w:val="a0"/>
        <w:ind w:leftChars="300" w:left="965" w:hangingChars="150" w:hanging="332"/>
        <w:rPr>
          <w:rFonts w:ascii="ＭＳ ゴシック" w:eastAsia="ＭＳ ゴシック" w:hAnsi="ＭＳ ゴシック"/>
          <w:bCs/>
          <w:sz w:val="22"/>
          <w:szCs w:val="22"/>
          <w:u w:val="single"/>
        </w:rPr>
      </w:pPr>
      <w:r w:rsidRPr="008A3EDE">
        <w:rPr>
          <w:rFonts w:ascii="ＭＳ ゴシック" w:eastAsia="ＭＳ ゴシック" w:hAnsi="ＭＳ ゴシック" w:hint="eastAsia"/>
          <w:bCs/>
          <w:sz w:val="22"/>
          <w:szCs w:val="22"/>
          <w:u w:val="single"/>
        </w:rPr>
        <w:t>３　八尾空港における防災関係機関</w:t>
      </w:r>
    </w:p>
    <w:p w14:paraId="13C69F10" w14:textId="77777777" w:rsidR="008B4B2B" w:rsidRPr="008A3EDE" w:rsidRDefault="008B4B2B" w:rsidP="008B4B2B">
      <w:pPr>
        <w:pStyle w:val="a0"/>
        <w:ind w:leftChars="400" w:left="844" w:rightChars="-41" w:right="-87" w:firstLineChars="100" w:firstLine="221"/>
        <w:rPr>
          <w:rFonts w:hAnsi="ＭＳ 明朝"/>
          <w:bCs/>
          <w:sz w:val="22"/>
          <w:szCs w:val="22"/>
        </w:rPr>
      </w:pPr>
      <w:r w:rsidRPr="008A3EDE">
        <w:rPr>
          <w:rFonts w:hAnsi="ＭＳ 明朝" w:hint="eastAsia"/>
          <w:bCs/>
          <w:sz w:val="22"/>
          <w:szCs w:val="22"/>
        </w:rPr>
        <w:t>八尾空港事務所、府、府警察、地元市、地元医療機関、その他必要と認められる機関</w:t>
      </w:r>
    </w:p>
    <w:p w14:paraId="45D0EC19" w14:textId="77777777" w:rsidR="008B4B2B" w:rsidRPr="008A3EDE" w:rsidRDefault="008B4B2B" w:rsidP="008B4B2B">
      <w:pPr>
        <w:pStyle w:val="a0"/>
        <w:ind w:left="884" w:hangingChars="400" w:hanging="884"/>
        <w:rPr>
          <w:rFonts w:hAnsi="ＭＳ 明朝"/>
          <w:bCs/>
          <w:sz w:val="22"/>
          <w:szCs w:val="22"/>
        </w:rPr>
      </w:pPr>
    </w:p>
    <w:p w14:paraId="7AFE5943" w14:textId="77777777" w:rsidR="008B4B2B" w:rsidRPr="008A3EDE" w:rsidRDefault="008B4B2B" w:rsidP="002B2381">
      <w:pPr>
        <w:pStyle w:val="a0"/>
        <w:ind w:firstLineChars="200" w:firstLine="442"/>
        <w:outlineLvl w:val="2"/>
        <w:rPr>
          <w:rFonts w:ascii="ＭＳ ゴシック" w:eastAsia="ＭＳ ゴシック" w:hAnsi="ＭＳ ゴシック"/>
          <w:bCs/>
          <w:sz w:val="22"/>
          <w:szCs w:val="22"/>
          <w:u w:val="double"/>
        </w:rPr>
      </w:pPr>
      <w:bookmarkStart w:id="411" w:name="_Toc122436974"/>
      <w:bookmarkStart w:id="412" w:name="_Toc222486673"/>
      <w:bookmarkStart w:id="413" w:name="_Toc242870343"/>
      <w:r w:rsidRPr="008A3EDE">
        <w:rPr>
          <w:rFonts w:ascii="ＭＳ ゴシック" w:eastAsia="ＭＳ ゴシック" w:hAnsi="ＭＳ ゴシック" w:hint="eastAsia"/>
          <w:bCs/>
          <w:sz w:val="22"/>
          <w:szCs w:val="22"/>
          <w:u w:val="double"/>
        </w:rPr>
        <w:t>第３　現場合同指揮所等の設置</w:t>
      </w:r>
      <w:bookmarkEnd w:id="411"/>
      <w:bookmarkEnd w:id="412"/>
      <w:bookmarkEnd w:id="413"/>
    </w:p>
    <w:p w14:paraId="0AB36BE9" w14:textId="09D7A9F5" w:rsidR="00610A64" w:rsidRDefault="008B4B2B" w:rsidP="008B4B2B">
      <w:pPr>
        <w:pStyle w:val="a0"/>
        <w:ind w:left="884" w:hangingChars="400" w:hanging="884"/>
        <w:rPr>
          <w:rFonts w:hAnsi="ＭＳ 明朝"/>
          <w:bCs/>
          <w:sz w:val="22"/>
          <w:szCs w:val="22"/>
        </w:rPr>
      </w:pPr>
      <w:r w:rsidRPr="008A3EDE">
        <w:rPr>
          <w:rFonts w:hAnsi="ＭＳ 明朝" w:hint="eastAsia"/>
          <w:bCs/>
          <w:sz w:val="22"/>
          <w:szCs w:val="22"/>
        </w:rPr>
        <w:t xml:space="preserve">　　　　　</w:t>
      </w:r>
      <w:r w:rsidR="00872185" w:rsidRPr="008A3EDE">
        <w:rPr>
          <w:rFonts w:hAnsi="ＭＳ 明朝" w:hint="eastAsia"/>
          <w:bCs/>
          <w:sz w:val="22"/>
          <w:szCs w:val="22"/>
        </w:rPr>
        <w:t>大阪国際空港及び関西国際空港においては関西エアポート株式会社、八尾空港において</w:t>
      </w:r>
      <w:proofErr w:type="gramStart"/>
      <w:r w:rsidR="00872185" w:rsidRPr="008A3EDE">
        <w:rPr>
          <w:rFonts w:hAnsi="ＭＳ 明朝" w:hint="eastAsia"/>
          <w:bCs/>
          <w:sz w:val="22"/>
          <w:szCs w:val="22"/>
        </w:rPr>
        <w:t>は</w:t>
      </w:r>
      <w:proofErr w:type="gramEnd"/>
      <w:r w:rsidR="00872185" w:rsidRPr="008A3EDE">
        <w:rPr>
          <w:rFonts w:hAnsi="ＭＳ 明朝" w:hint="eastAsia"/>
          <w:bCs/>
          <w:sz w:val="22"/>
          <w:szCs w:val="22"/>
        </w:rPr>
        <w:t>八尾空港事務所</w:t>
      </w:r>
      <w:proofErr w:type="gramStart"/>
      <w:r w:rsidR="00872185" w:rsidRPr="008A3EDE">
        <w:rPr>
          <w:rFonts w:hAnsi="ＭＳ 明朝" w:hint="eastAsia"/>
          <w:bCs/>
          <w:sz w:val="22"/>
          <w:szCs w:val="22"/>
        </w:rPr>
        <w:t>は</w:t>
      </w:r>
      <w:proofErr w:type="gramEnd"/>
      <w:r w:rsidR="00872185" w:rsidRPr="008A3EDE">
        <w:rPr>
          <w:rFonts w:hAnsi="ＭＳ 明朝" w:hint="eastAsia"/>
          <w:bCs/>
          <w:sz w:val="22"/>
          <w:szCs w:val="22"/>
        </w:rPr>
        <w:t>、</w:t>
      </w:r>
      <w:r w:rsidRPr="008A3EDE">
        <w:rPr>
          <w:rFonts w:hAnsi="ＭＳ 明朝" w:hint="eastAsia"/>
          <w:bCs/>
          <w:sz w:val="22"/>
          <w:szCs w:val="22"/>
        </w:rPr>
        <w:t>必要に応じ現場合同指揮所等を設置し、現場における防災関係機関相互の連絡・調整を行う。</w:t>
      </w:r>
    </w:p>
    <w:p w14:paraId="03D5196C" w14:textId="77777777" w:rsidR="00610A64" w:rsidRDefault="00610A64">
      <w:pPr>
        <w:widowControl/>
        <w:jc w:val="left"/>
        <w:rPr>
          <w:rFonts w:ascii="ＭＳ 明朝" w:hAnsi="ＭＳ 明朝" w:cs="Courier New"/>
          <w:bCs/>
          <w:sz w:val="22"/>
          <w:szCs w:val="22"/>
        </w:rPr>
      </w:pPr>
      <w:r>
        <w:rPr>
          <w:rFonts w:hAnsi="ＭＳ 明朝"/>
          <w:bCs/>
          <w:sz w:val="22"/>
          <w:szCs w:val="22"/>
        </w:rPr>
        <w:br w:type="page"/>
      </w:r>
    </w:p>
    <w:p w14:paraId="0CC10C11" w14:textId="77777777" w:rsidR="008B4B2B" w:rsidRPr="001D6D10" w:rsidRDefault="008B4B2B" w:rsidP="008B4B2B">
      <w:pPr>
        <w:pStyle w:val="a0"/>
        <w:ind w:leftChars="-268" w:left="-566" w:rightChars="-309" w:right="-652"/>
        <w:rPr>
          <w:rFonts w:ascii="ＭＳ ゴシック" w:eastAsia="ＭＳ ゴシック" w:hAnsi="ＭＳ ゴシック"/>
          <w:bCs/>
          <w:noProof/>
          <w:sz w:val="22"/>
          <w:szCs w:val="22"/>
        </w:rPr>
      </w:pPr>
      <w:r w:rsidRPr="001D6D10">
        <w:rPr>
          <w:rFonts w:ascii="ＭＳ ゴシック" w:eastAsia="ＭＳ ゴシック" w:hAnsi="ＭＳ ゴシック"/>
          <w:bCs/>
          <w:noProof/>
          <w:sz w:val="22"/>
          <w:szCs w:val="22"/>
        </w:rPr>
        <w:lastRenderedPageBreak/>
        <mc:AlternateContent>
          <mc:Choice Requires="wps">
            <w:drawing>
              <wp:anchor distT="0" distB="0" distL="114300" distR="114300" simplePos="0" relativeHeight="253975552" behindDoc="0" locked="0" layoutInCell="1" allowOverlap="1" wp14:anchorId="4FCE807D" wp14:editId="76786432">
                <wp:simplePos x="0" y="0"/>
                <wp:positionH relativeFrom="column">
                  <wp:posOffset>-154767</wp:posOffset>
                </wp:positionH>
                <wp:positionV relativeFrom="paragraph">
                  <wp:posOffset>42083</wp:posOffset>
                </wp:positionV>
                <wp:extent cx="914400" cy="360218"/>
                <wp:effectExtent l="0" t="0" r="0" b="1905"/>
                <wp:wrapNone/>
                <wp:docPr id="2803" name="テキスト ボックス 2803"/>
                <wp:cNvGraphicFramePr/>
                <a:graphic xmlns:a="http://schemas.openxmlformats.org/drawingml/2006/main">
                  <a:graphicData uri="http://schemas.microsoft.com/office/word/2010/wordprocessingShape">
                    <wps:wsp>
                      <wps:cNvSpPr txBox="1"/>
                      <wps:spPr>
                        <a:xfrm>
                          <a:off x="0" y="0"/>
                          <a:ext cx="914400" cy="360218"/>
                        </a:xfrm>
                        <a:prstGeom prst="rect">
                          <a:avLst/>
                        </a:prstGeom>
                        <a:noFill/>
                        <a:ln w="6350">
                          <a:noFill/>
                        </a:ln>
                      </wps:spPr>
                      <wps:txbx>
                        <w:txbxContent>
                          <w:p w14:paraId="4371AE87" w14:textId="77777777" w:rsidR="006A5267" w:rsidRDefault="006A5267" w:rsidP="008B4B2B">
                            <w:r>
                              <w:rPr>
                                <w:rFonts w:hint="eastAsia"/>
                              </w:rPr>
                              <w:t>別</w:t>
                            </w:r>
                            <w:r>
                              <w:t>図１</w:t>
                            </w:r>
                            <w:r>
                              <w:rPr>
                                <w:rFonts w:hint="eastAsia"/>
                              </w:rPr>
                              <w:t xml:space="preserve">　</w:t>
                            </w:r>
                            <w:r>
                              <w:t>〔</w:t>
                            </w:r>
                            <w:r>
                              <w:rPr>
                                <w:rFonts w:hint="eastAsia"/>
                              </w:rPr>
                              <w:t>連絡系統図</w:t>
                            </w:r>
                            <w:r>
                              <w:t xml:space="preserve">　</w:t>
                            </w:r>
                            <w:r>
                              <w:rPr>
                                <w:rFonts w:hint="eastAsia"/>
                              </w:rPr>
                              <w:t>大阪国際空港</w:t>
                            </w:r>
                            <w:r>
                              <w:t>〕</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xmlns:w16cei="http://schemas.microsoft.com/office/word/2026/wordml/cei">
            <w:pict>
              <v:shape w14:anchorId="4FCE807D" id="テキスト ボックス 2803" o:spid="_x0000_s1674" type="#_x0000_t202" style="position:absolute;left:0;text-align:left;margin-left:-12.2pt;margin-top:3.3pt;width:1in;height:28.35pt;z-index:253975552;visibility:visible;mso-wrap-style:non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" filled="f" stroked="f" strokeweight=".5pt">
                <v:textbox>
                  <w:txbxContent>
                    <w:p w14:paraId="4371AE87" w14:textId="77777777" w:rsidR="006A5267" w:rsidRDefault="006A5267" w:rsidP="008B4B2B">
                      <w:r>
                        <w:rPr>
                          <w:rFonts w:hint="eastAsia"/>
                        </w:rPr>
                        <w:t>別</w:t>
                      </w:r>
                      <w:r>
                        <w:t>図１</w:t>
                      </w:r>
                      <w:r>
                        <w:rPr>
                          <w:rFonts w:hint="eastAsia"/>
                        </w:rPr>
                        <w:t xml:space="preserve">　</w:t>
                      </w:r>
                      <w:r>
                        <w:t>〔</w:t>
                      </w:r>
                      <w:r>
                        <w:rPr>
                          <w:rFonts w:hint="eastAsia"/>
                        </w:rPr>
                        <w:t>連絡系統図</w:t>
                      </w:r>
                      <w:r>
                        <w:t xml:space="preserve">　</w:t>
                      </w:r>
                      <w:r>
                        <w:rPr>
                          <w:rFonts w:hint="eastAsia"/>
                        </w:rPr>
                        <w:t>大阪国際空港</w:t>
                      </w:r>
                      <w:r>
                        <w:t>〕</w:t>
                      </w:r>
                    </w:p>
                  </w:txbxContent>
                </v:textbox>
              </v:shape>
            </w:pict>
          </mc:Fallback>
        </mc:AlternateContent>
      </w:r>
    </w:p>
    <w:p w14:paraId="434D7400" w14:textId="243D8055" w:rsidR="00C215C7" w:rsidRDefault="00D7181D">
      <w:pPr>
        <w:widowControl/>
        <w:jc w:val="left"/>
        <w:rPr>
          <w:rFonts w:ascii="ＭＳ ゴシック" w:eastAsia="ＭＳ ゴシック" w:hAnsi="ＭＳ ゴシック" w:cs="Courier New"/>
          <w:bCs/>
          <w:noProof/>
          <w:sz w:val="22"/>
          <w:szCs w:val="22"/>
        </w:rPr>
      </w:pPr>
      <w:r w:rsidRPr="00D7181D">
        <w:rPr>
          <w:noProof/>
        </w:rPr>
        <w:drawing>
          <wp:inline distT="0" distB="0" distL="0" distR="0" wp14:anchorId="7BB6BFF1" wp14:editId="0CBF40AD">
            <wp:extent cx="8150860" cy="6278116"/>
            <wp:effectExtent l="0" t="0" r="0" b="0"/>
            <wp:docPr id="230" name="図 2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33" cstate="print">
                      <a:extLst>
                        <a:ext uri="{28A0092B-C50C-407E-A947-70E740481C1C}">
                          <a14:useLocalDpi xmlns:a14="http://schemas.microsoft.com/office/drawing/2010/main" val="0"/>
                        </a:ext>
                      </a:extLst>
                    </a:blip>
                    <a:srcRect/>
                    <a:stretch>
                      <a:fillRect/>
                    </a:stretch>
                  </pic:blipFill>
                  <pic:spPr bwMode="auto">
                    <a:xfrm rot="16200000">
                      <a:off x="0" y="0"/>
                      <a:ext cx="8157697" cy="6283382"/>
                    </a:xfrm>
                    <a:prstGeom prst="rect">
                      <a:avLst/>
                    </a:prstGeom>
                    <a:noFill/>
                    <a:ln>
                      <a:noFill/>
                    </a:ln>
                  </pic:spPr>
                </pic:pic>
              </a:graphicData>
            </a:graphic>
          </wp:inline>
        </w:drawing>
      </w:r>
      <w:r w:rsidR="00C215C7">
        <w:rPr>
          <w:rFonts w:ascii="ＭＳ ゴシック" w:eastAsia="ＭＳ ゴシック" w:hAnsi="ＭＳ ゴシック"/>
          <w:bCs/>
          <w:noProof/>
          <w:sz w:val="22"/>
          <w:szCs w:val="22"/>
        </w:rPr>
        <w:br w:type="page"/>
      </w:r>
    </w:p>
    <w:p w14:paraId="0F1B78C1" w14:textId="423C3425" w:rsidR="00C215C7" w:rsidRDefault="004F1C9C">
      <w:pPr>
        <w:widowControl/>
        <w:jc w:val="left"/>
      </w:pPr>
      <w:r>
        <w:rPr>
          <w:rFonts w:hint="eastAsia"/>
        </w:rPr>
        <w:lastRenderedPageBreak/>
        <w:t>別図２　　〔連絡系統図　関西国際空港〕</w:t>
      </w:r>
    </w:p>
    <w:p w14:paraId="58A9E992" w14:textId="77777777" w:rsidR="004F1C9C" w:rsidRDefault="004F1C9C">
      <w:pPr>
        <w:widowControl/>
        <w:jc w:val="left"/>
      </w:pPr>
    </w:p>
    <w:p w14:paraId="470FF517" w14:textId="2753DE48" w:rsidR="004F1C9C" w:rsidRDefault="004F1C9C">
      <w:pPr>
        <w:widowControl/>
        <w:jc w:val="left"/>
      </w:pPr>
      <w:r w:rsidRPr="004F1C9C">
        <w:rPr>
          <w:noProof/>
        </w:rPr>
        <w:drawing>
          <wp:inline distT="0" distB="0" distL="0" distR="0" wp14:anchorId="7F95E416" wp14:editId="4E2FB711">
            <wp:extent cx="7130968" cy="6240806"/>
            <wp:effectExtent l="0" t="0" r="952" b="0"/>
            <wp:docPr id="3865" name="図 38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34" cstate="print">
                      <a:extLst>
                        <a:ext uri="{28A0092B-C50C-407E-A947-70E740481C1C}">
                          <a14:useLocalDpi xmlns:a14="http://schemas.microsoft.com/office/drawing/2010/main" val="0"/>
                        </a:ext>
                      </a:extLst>
                    </a:blip>
                    <a:srcRect/>
                    <a:stretch>
                      <a:fillRect/>
                    </a:stretch>
                  </pic:blipFill>
                  <pic:spPr bwMode="auto">
                    <a:xfrm rot="16200000">
                      <a:off x="0" y="0"/>
                      <a:ext cx="7135758" cy="6244998"/>
                    </a:xfrm>
                    <a:prstGeom prst="rect">
                      <a:avLst/>
                    </a:prstGeom>
                    <a:noFill/>
                    <a:ln>
                      <a:noFill/>
                    </a:ln>
                  </pic:spPr>
                </pic:pic>
              </a:graphicData>
            </a:graphic>
          </wp:inline>
        </w:drawing>
      </w:r>
    </w:p>
    <w:p w14:paraId="398DCA63" w14:textId="0F9A1C72" w:rsidR="004F1C9C" w:rsidRDefault="004F1C9C">
      <w:pPr>
        <w:widowControl/>
        <w:jc w:val="left"/>
      </w:pPr>
    </w:p>
    <w:p w14:paraId="26420B25" w14:textId="4EB25A17" w:rsidR="004F1C9C" w:rsidRDefault="004F1C9C">
      <w:pPr>
        <w:widowControl/>
        <w:jc w:val="left"/>
      </w:pPr>
    </w:p>
    <w:p w14:paraId="2B37016B" w14:textId="4CCEDADC" w:rsidR="00610A64" w:rsidRDefault="00610A64">
      <w:pPr>
        <w:widowControl/>
        <w:jc w:val="left"/>
      </w:pPr>
      <w:r>
        <w:br w:type="page"/>
      </w:r>
    </w:p>
    <w:p w14:paraId="7F349AEB" w14:textId="51E51A15" w:rsidR="008B4B2B" w:rsidRPr="001D6D10" w:rsidRDefault="008B4B2B" w:rsidP="00E0548A">
      <w:pPr>
        <w:pStyle w:val="a0"/>
        <w:spacing w:line="0" w:lineRule="atLeast"/>
        <w:rPr>
          <w:rFonts w:asciiTheme="minorEastAsia" w:eastAsiaTheme="minorEastAsia" w:hAnsiTheme="minorEastAsia"/>
          <w:bCs/>
        </w:rPr>
      </w:pPr>
      <w:r w:rsidRPr="001D6D10">
        <w:rPr>
          <w:rFonts w:asciiTheme="minorEastAsia" w:eastAsiaTheme="minorEastAsia" w:hAnsiTheme="minorEastAsia" w:hint="eastAsia"/>
          <w:bCs/>
        </w:rPr>
        <w:lastRenderedPageBreak/>
        <w:t>別図３〔連絡系統図　八尾空港〕</w:t>
      </w:r>
    </w:p>
    <w:p w14:paraId="20282A1A" w14:textId="7CB02027" w:rsidR="008B4B2B" w:rsidRPr="001D6D10" w:rsidRDefault="008B4B2B" w:rsidP="008B4B2B">
      <w:pPr>
        <w:pStyle w:val="a0"/>
        <w:spacing w:line="0" w:lineRule="atLeast"/>
        <w:ind w:firstLineChars="100" w:firstLine="281"/>
        <w:rPr>
          <w:rFonts w:ascii="ＭＳ ゴシック" w:eastAsia="ＭＳ ゴシック" w:hAnsi="ＭＳ ゴシック"/>
          <w:bCs/>
          <w:sz w:val="28"/>
          <w:szCs w:val="28"/>
        </w:rPr>
      </w:pPr>
      <w:r w:rsidRPr="001D6D10">
        <w:rPr>
          <w:rFonts w:ascii="ＭＳ ゴシック" w:eastAsia="ＭＳ ゴシック" w:hAnsi="ＭＳ ゴシック"/>
          <w:bCs/>
          <w:noProof/>
          <w:sz w:val="28"/>
          <w:szCs w:val="28"/>
        </w:rPr>
        <mc:AlternateContent>
          <mc:Choice Requires="wpg">
            <w:drawing>
              <wp:anchor distT="0" distB="0" distL="114300" distR="114300" simplePos="0" relativeHeight="254017536" behindDoc="0" locked="0" layoutInCell="1" allowOverlap="1" wp14:anchorId="0E355269" wp14:editId="3A6018E7">
                <wp:simplePos x="0" y="0"/>
                <wp:positionH relativeFrom="column">
                  <wp:posOffset>3019064</wp:posOffset>
                </wp:positionH>
                <wp:positionV relativeFrom="paragraph">
                  <wp:posOffset>227099</wp:posOffset>
                </wp:positionV>
                <wp:extent cx="2229941" cy="5661025"/>
                <wp:effectExtent l="0" t="0" r="18415" b="15875"/>
                <wp:wrapNone/>
                <wp:docPr id="350" name="グループ化 350"/>
                <wp:cNvGraphicFramePr/>
                <a:graphic xmlns:a="http://schemas.openxmlformats.org/drawingml/2006/main">
                  <a:graphicData uri="http://schemas.microsoft.com/office/word/2010/wordprocessingGroup">
                    <wpg:wgp>
                      <wpg:cNvGrpSpPr/>
                      <wpg:grpSpPr>
                        <a:xfrm>
                          <a:off x="0" y="0"/>
                          <a:ext cx="2229941" cy="5661025"/>
                          <a:chOff x="0" y="0"/>
                          <a:chExt cx="2230120" cy="5661447"/>
                        </a:xfrm>
                      </wpg:grpSpPr>
                      <wps:wsp>
                        <wps:cNvPr id="351" name="直線矢印コネクタ 351"/>
                        <wps:cNvCnPr/>
                        <wps:spPr>
                          <a:xfrm rot="5400000">
                            <a:off x="1005016" y="3253946"/>
                            <a:ext cx="386759" cy="1"/>
                          </a:xfrm>
                          <a:prstGeom prst="straightConnector1">
                            <a:avLst/>
                          </a:prstGeom>
                          <a:noFill/>
                          <a:ln w="9525" cap="flat" cmpd="sng" algn="ctr">
                            <a:solidFill>
                              <a:sysClr val="windowText" lastClr="000000"/>
                            </a:solidFill>
                            <a:prstDash val="solid"/>
                            <a:tailEnd type="arrow" w="sm" len="sm"/>
                          </a:ln>
                          <a:effectLst/>
                        </wps:spPr>
                        <wps:bodyPr/>
                      </wps:wsp>
                      <wpg:grpSp>
                        <wpg:cNvPr id="370" name="グループ化 370"/>
                        <wpg:cNvGrpSpPr/>
                        <wpg:grpSpPr>
                          <a:xfrm>
                            <a:off x="0" y="0"/>
                            <a:ext cx="2230120" cy="5661447"/>
                            <a:chOff x="0" y="0"/>
                            <a:chExt cx="2230120" cy="5661447"/>
                          </a:xfrm>
                        </wpg:grpSpPr>
                        <wpg:grpSp>
                          <wpg:cNvPr id="3487" name="グループ化 3487"/>
                          <wpg:cNvGrpSpPr/>
                          <wpg:grpSpPr>
                            <a:xfrm>
                              <a:off x="0" y="0"/>
                              <a:ext cx="2230120" cy="5542200"/>
                              <a:chOff x="0" y="0"/>
                              <a:chExt cx="2230120" cy="5542200"/>
                            </a:xfrm>
                          </wpg:grpSpPr>
                          <wpg:grpSp>
                            <wpg:cNvPr id="3488" name="グループ化 3488"/>
                            <wpg:cNvGrpSpPr/>
                            <wpg:grpSpPr>
                              <a:xfrm>
                                <a:off x="0" y="0"/>
                                <a:ext cx="2230120" cy="3093212"/>
                                <a:chOff x="0" y="0"/>
                                <a:chExt cx="2230120" cy="3093212"/>
                              </a:xfrm>
                            </wpg:grpSpPr>
                            <wpg:grpSp>
                              <wpg:cNvPr id="3489" name="グループ化 3489"/>
                              <wpg:cNvGrpSpPr/>
                              <wpg:grpSpPr>
                                <a:xfrm>
                                  <a:off x="0" y="0"/>
                                  <a:ext cx="2230120" cy="215900"/>
                                  <a:chOff x="0" y="0"/>
                                  <a:chExt cx="2230175" cy="215900"/>
                                </a:xfrm>
                              </wpg:grpSpPr>
                              <wps:wsp>
                                <wps:cNvPr id="3490" name="直線矢印コネクタ 3490"/>
                                <wps:cNvCnPr/>
                                <wps:spPr>
                                  <a:xfrm>
                                    <a:off x="0" y="97134"/>
                                    <a:ext cx="238043" cy="0"/>
                                  </a:xfrm>
                                  <a:prstGeom prst="straightConnector1">
                                    <a:avLst/>
                                  </a:prstGeom>
                                  <a:noFill/>
                                  <a:ln w="9525" cap="flat" cmpd="sng" algn="ctr">
                                    <a:solidFill>
                                      <a:sysClr val="windowText" lastClr="000000"/>
                                    </a:solidFill>
                                    <a:prstDash val="solid"/>
                                    <a:tailEnd type="arrow" w="sm" len="sm"/>
                                  </a:ln>
                                  <a:effectLst/>
                                </wps:spPr>
                                <wps:bodyPr/>
                              </wps:wsp>
                              <wps:wsp>
                                <wps:cNvPr id="3491" name="テキスト ボックス 3491"/>
                                <wps:cNvSpPr txBox="1"/>
                                <wps:spPr>
                                  <a:xfrm>
                                    <a:off x="241160" y="0"/>
                                    <a:ext cx="1989015" cy="215900"/>
                                  </a:xfrm>
                                  <a:prstGeom prst="rect">
                                    <a:avLst/>
                                  </a:prstGeom>
                                  <a:solidFill>
                                    <a:sysClr val="window" lastClr="FFFFFF"/>
                                  </a:solidFill>
                                  <a:ln w="6350">
                                    <a:solidFill>
                                      <a:prstClr val="black"/>
                                    </a:solidFill>
                                  </a:ln>
                                </wps:spPr>
                                <wps:txbx>
                                  <w:txbxContent>
                                    <w:p w14:paraId="46DC96E6" w14:textId="77777777" w:rsidR="006A5267" w:rsidRPr="00A44B46" w:rsidRDefault="006A5267" w:rsidP="008B4B2B">
                                      <w:pPr>
                                        <w:jc w:val="center"/>
                                        <w:rPr>
                                          <w:sz w:val="16"/>
                                        </w:rPr>
                                      </w:pPr>
                                      <w:r w:rsidRPr="000B57D7">
                                        <w:rPr>
                                          <w:rFonts w:hint="eastAsia"/>
                                          <w:spacing w:val="5"/>
                                          <w:kern w:val="0"/>
                                          <w:sz w:val="16"/>
                                          <w:fitText w:val="2880" w:id="1939601408"/>
                                        </w:rPr>
                                        <w:t>陸上自衛隊</w:t>
                                      </w:r>
                                      <w:r w:rsidRPr="000B57D7">
                                        <w:rPr>
                                          <w:spacing w:val="5"/>
                                          <w:kern w:val="0"/>
                                          <w:sz w:val="16"/>
                                          <w:fitText w:val="2880" w:id="1939601408"/>
                                        </w:rPr>
                                        <w:t>中部方面</w:t>
                                      </w:r>
                                      <w:r w:rsidRPr="000B57D7">
                                        <w:rPr>
                                          <w:rFonts w:hint="eastAsia"/>
                                          <w:spacing w:val="5"/>
                                          <w:kern w:val="0"/>
                                          <w:sz w:val="16"/>
                                          <w:fitText w:val="2880" w:id="1939601408"/>
                                        </w:rPr>
                                        <w:t>航空隊</w:t>
                                      </w:r>
                                      <w:r w:rsidRPr="000B57D7">
                                        <w:rPr>
                                          <w:spacing w:val="5"/>
                                          <w:kern w:val="0"/>
                                          <w:sz w:val="16"/>
                                          <w:fitText w:val="2880" w:id="1939601408"/>
                                        </w:rPr>
                                        <w:t>八尾駐屯</w:t>
                                      </w:r>
                                      <w:r w:rsidRPr="000B57D7">
                                        <w:rPr>
                                          <w:kern w:val="0"/>
                                          <w:sz w:val="16"/>
                                          <w:fitText w:val="2880" w:id="1939601408"/>
                                        </w:rPr>
                                        <w:t>地</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wpg:grpSp>
                            <wpg:grpSp>
                              <wpg:cNvPr id="3492" name="グループ化 3492"/>
                              <wpg:cNvGrpSpPr/>
                              <wpg:grpSpPr>
                                <a:xfrm>
                                  <a:off x="0" y="365760"/>
                                  <a:ext cx="2230120" cy="215900"/>
                                  <a:chOff x="0" y="0"/>
                                  <a:chExt cx="2230175" cy="215900"/>
                                </a:xfrm>
                              </wpg:grpSpPr>
                              <wps:wsp>
                                <wps:cNvPr id="3493" name="直線矢印コネクタ 3493"/>
                                <wps:cNvCnPr/>
                                <wps:spPr>
                                  <a:xfrm>
                                    <a:off x="0" y="97134"/>
                                    <a:ext cx="238043" cy="0"/>
                                  </a:xfrm>
                                  <a:prstGeom prst="straightConnector1">
                                    <a:avLst/>
                                  </a:prstGeom>
                                  <a:noFill/>
                                  <a:ln w="9525" cap="flat" cmpd="sng" algn="ctr">
                                    <a:solidFill>
                                      <a:sysClr val="windowText" lastClr="000000"/>
                                    </a:solidFill>
                                    <a:prstDash val="solid"/>
                                    <a:tailEnd type="arrow" w="sm" len="sm"/>
                                  </a:ln>
                                  <a:effectLst/>
                                </wps:spPr>
                                <wps:bodyPr/>
                              </wps:wsp>
                              <wps:wsp>
                                <wps:cNvPr id="3494" name="テキスト ボックス 3494"/>
                                <wps:cNvSpPr txBox="1"/>
                                <wps:spPr>
                                  <a:xfrm>
                                    <a:off x="241160" y="0"/>
                                    <a:ext cx="1989015" cy="215900"/>
                                  </a:xfrm>
                                  <a:prstGeom prst="rect">
                                    <a:avLst/>
                                  </a:prstGeom>
                                  <a:solidFill>
                                    <a:sysClr val="window" lastClr="FFFFFF"/>
                                  </a:solidFill>
                                  <a:ln w="6350">
                                    <a:solidFill>
                                      <a:prstClr val="black"/>
                                    </a:solidFill>
                                  </a:ln>
                                </wps:spPr>
                                <wps:txbx>
                                  <w:txbxContent>
                                    <w:p w14:paraId="6992A3BD" w14:textId="77777777" w:rsidR="006A5267" w:rsidRPr="00A44B46" w:rsidRDefault="006A5267" w:rsidP="008B4B2B">
                                      <w:pPr>
                                        <w:jc w:val="center"/>
                                        <w:rPr>
                                          <w:sz w:val="16"/>
                                        </w:rPr>
                                      </w:pPr>
                                      <w:r w:rsidRPr="000B57D7">
                                        <w:rPr>
                                          <w:rFonts w:hint="eastAsia"/>
                                          <w:spacing w:val="43"/>
                                          <w:kern w:val="0"/>
                                          <w:sz w:val="16"/>
                                          <w:fitText w:val="2880" w:id="1939601409"/>
                                        </w:rPr>
                                        <w:t>関西</w:t>
                                      </w:r>
                                      <w:r w:rsidRPr="000B57D7">
                                        <w:rPr>
                                          <w:spacing w:val="43"/>
                                          <w:kern w:val="0"/>
                                          <w:sz w:val="16"/>
                                          <w:fitText w:val="2880" w:id="1939601409"/>
                                        </w:rPr>
                                        <w:t>空港海上保安航空基</w:t>
                                      </w:r>
                                      <w:r w:rsidRPr="000B57D7">
                                        <w:rPr>
                                          <w:spacing w:val="7"/>
                                          <w:kern w:val="0"/>
                                          <w:sz w:val="16"/>
                                          <w:fitText w:val="2880" w:id="1939601409"/>
                                        </w:rPr>
                                        <w:t>地</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wpg:grpSp>
                            <wpg:grpSp>
                              <wpg:cNvPr id="3495" name="グループ化 3495"/>
                              <wpg:cNvGrpSpPr/>
                              <wpg:grpSpPr>
                                <a:xfrm>
                                  <a:off x="0" y="2157984"/>
                                  <a:ext cx="2230120" cy="215900"/>
                                  <a:chOff x="0" y="0"/>
                                  <a:chExt cx="2230175" cy="215900"/>
                                </a:xfrm>
                              </wpg:grpSpPr>
                              <wps:wsp>
                                <wps:cNvPr id="3496" name="直線矢印コネクタ 3496"/>
                                <wps:cNvCnPr/>
                                <wps:spPr>
                                  <a:xfrm>
                                    <a:off x="0" y="97134"/>
                                    <a:ext cx="238043" cy="0"/>
                                  </a:xfrm>
                                  <a:prstGeom prst="straightConnector1">
                                    <a:avLst/>
                                  </a:prstGeom>
                                  <a:noFill/>
                                  <a:ln w="9525" cap="flat" cmpd="sng" algn="ctr">
                                    <a:solidFill>
                                      <a:sysClr val="windowText" lastClr="000000"/>
                                    </a:solidFill>
                                    <a:prstDash val="solid"/>
                                    <a:tailEnd type="arrow" w="sm" len="sm"/>
                                  </a:ln>
                                  <a:effectLst/>
                                </wps:spPr>
                                <wps:bodyPr/>
                              </wps:wsp>
                              <wps:wsp>
                                <wps:cNvPr id="3497" name="テキスト ボックス 3497"/>
                                <wps:cNvSpPr txBox="1"/>
                                <wps:spPr>
                                  <a:xfrm>
                                    <a:off x="241160" y="0"/>
                                    <a:ext cx="1989015" cy="215900"/>
                                  </a:xfrm>
                                  <a:prstGeom prst="rect">
                                    <a:avLst/>
                                  </a:prstGeom>
                                  <a:solidFill>
                                    <a:sysClr val="window" lastClr="FFFFFF"/>
                                  </a:solidFill>
                                  <a:ln w="6350">
                                    <a:solidFill>
                                      <a:prstClr val="black"/>
                                    </a:solidFill>
                                  </a:ln>
                                </wps:spPr>
                                <wps:txbx>
                                  <w:txbxContent>
                                    <w:p w14:paraId="5EB8F640" w14:textId="77777777" w:rsidR="006A5267" w:rsidRPr="00A44B46" w:rsidRDefault="006A5267" w:rsidP="008B4B2B">
                                      <w:pPr>
                                        <w:jc w:val="center"/>
                                        <w:rPr>
                                          <w:sz w:val="16"/>
                                        </w:rPr>
                                      </w:pPr>
                                      <w:r>
                                        <w:rPr>
                                          <w:rFonts w:hint="eastAsia"/>
                                          <w:sz w:val="16"/>
                                        </w:rPr>
                                        <w:t xml:space="preserve">八　　尾　</w:t>
                                      </w:r>
                                      <w:r>
                                        <w:rPr>
                                          <w:sz w:val="16"/>
                                        </w:rPr>
                                        <w:t xml:space="preserve">　</w:t>
                                      </w:r>
                                      <w:r>
                                        <w:rPr>
                                          <w:rFonts w:hint="eastAsia"/>
                                          <w:sz w:val="16"/>
                                        </w:rPr>
                                        <w:t>市</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wpg:grpSp>
                            <wpg:grpSp>
                              <wpg:cNvPr id="3498" name="グループ化 3498"/>
                              <wpg:cNvGrpSpPr/>
                              <wpg:grpSpPr>
                                <a:xfrm>
                                  <a:off x="0" y="719328"/>
                                  <a:ext cx="2230120" cy="215900"/>
                                  <a:chOff x="0" y="0"/>
                                  <a:chExt cx="2230175" cy="215900"/>
                                </a:xfrm>
                              </wpg:grpSpPr>
                              <wps:wsp>
                                <wps:cNvPr id="3499" name="直線矢印コネクタ 3499"/>
                                <wps:cNvCnPr/>
                                <wps:spPr>
                                  <a:xfrm>
                                    <a:off x="0" y="97134"/>
                                    <a:ext cx="238043" cy="0"/>
                                  </a:xfrm>
                                  <a:prstGeom prst="straightConnector1">
                                    <a:avLst/>
                                  </a:prstGeom>
                                  <a:noFill/>
                                  <a:ln w="9525" cap="flat" cmpd="sng" algn="ctr">
                                    <a:solidFill>
                                      <a:sysClr val="windowText" lastClr="000000"/>
                                    </a:solidFill>
                                    <a:prstDash val="solid"/>
                                    <a:tailEnd type="arrow" w="sm" len="sm"/>
                                  </a:ln>
                                  <a:effectLst/>
                                </wps:spPr>
                                <wps:bodyPr/>
                              </wps:wsp>
                              <wps:wsp>
                                <wps:cNvPr id="3500" name="テキスト ボックス 3500"/>
                                <wps:cNvSpPr txBox="1"/>
                                <wps:spPr>
                                  <a:xfrm>
                                    <a:off x="241160" y="0"/>
                                    <a:ext cx="1989015" cy="215900"/>
                                  </a:xfrm>
                                  <a:prstGeom prst="rect">
                                    <a:avLst/>
                                  </a:prstGeom>
                                  <a:solidFill>
                                    <a:sysClr val="window" lastClr="FFFFFF"/>
                                  </a:solidFill>
                                  <a:ln w="6350">
                                    <a:solidFill>
                                      <a:prstClr val="black"/>
                                    </a:solidFill>
                                  </a:ln>
                                </wps:spPr>
                                <wps:txbx>
                                  <w:txbxContent>
                                    <w:p w14:paraId="3E3072E4" w14:textId="77777777" w:rsidR="006A5267" w:rsidRPr="00A44B46" w:rsidRDefault="006A5267" w:rsidP="008B4B2B">
                                      <w:pPr>
                                        <w:jc w:val="center"/>
                                        <w:rPr>
                                          <w:sz w:val="16"/>
                                        </w:rPr>
                                      </w:pPr>
                                      <w:r w:rsidRPr="00403E95">
                                        <w:rPr>
                                          <w:rFonts w:hint="eastAsia"/>
                                          <w:kern w:val="0"/>
                                          <w:sz w:val="16"/>
                                          <w:fitText w:val="2880" w:id="1939601152"/>
                                        </w:rPr>
                                        <w:t>関西航空地方気象台八尾</w:t>
                                      </w:r>
                                      <w:r w:rsidRPr="00403E95">
                                        <w:rPr>
                                          <w:kern w:val="0"/>
                                          <w:sz w:val="16"/>
                                          <w:fitText w:val="2880" w:id="1939601152"/>
                                        </w:rPr>
                                        <w:t>航空気象観測所</w:t>
                                      </w:r>
                                    </w:p>
                                    <w:p w14:paraId="63B45D95" w14:textId="77777777" w:rsidR="006A5267" w:rsidRPr="00A44B46" w:rsidRDefault="006A5267" w:rsidP="008B4B2B">
                                      <w:pPr>
                                        <w:jc w:val="center"/>
                                        <w:rPr>
                                          <w:sz w:val="16"/>
                                        </w:rPr>
                                      </w:pPr>
                                    </w:p>
                                    <w:p w14:paraId="19770548" w14:textId="77777777" w:rsidR="006A5267" w:rsidRPr="00A44B46" w:rsidRDefault="006A5267" w:rsidP="008B4B2B">
                                      <w:pPr>
                                        <w:jc w:val="center"/>
                                        <w:rPr>
                                          <w:sz w:val="16"/>
                                        </w:rPr>
                                      </w:pP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wpg:grpSp>
                            <wpg:grpSp>
                              <wpg:cNvPr id="3501" name="グループ化 3501"/>
                              <wpg:cNvGrpSpPr/>
                              <wpg:grpSpPr>
                                <a:xfrm>
                                  <a:off x="0" y="1072896"/>
                                  <a:ext cx="2230120" cy="215900"/>
                                  <a:chOff x="0" y="0"/>
                                  <a:chExt cx="2230175" cy="215900"/>
                                </a:xfrm>
                              </wpg:grpSpPr>
                              <wps:wsp>
                                <wps:cNvPr id="3502" name="直線矢印コネクタ 3502"/>
                                <wps:cNvCnPr/>
                                <wps:spPr>
                                  <a:xfrm>
                                    <a:off x="0" y="97134"/>
                                    <a:ext cx="238043" cy="0"/>
                                  </a:xfrm>
                                  <a:prstGeom prst="straightConnector1">
                                    <a:avLst/>
                                  </a:prstGeom>
                                  <a:noFill/>
                                  <a:ln w="9525" cap="flat" cmpd="sng" algn="ctr">
                                    <a:solidFill>
                                      <a:sysClr val="windowText" lastClr="000000"/>
                                    </a:solidFill>
                                    <a:prstDash val="solid"/>
                                    <a:tailEnd type="arrow" w="sm" len="sm"/>
                                  </a:ln>
                                  <a:effectLst/>
                                </wps:spPr>
                                <wps:bodyPr/>
                              </wps:wsp>
                              <wps:wsp>
                                <wps:cNvPr id="3503" name="テキスト ボックス 3503"/>
                                <wps:cNvSpPr txBox="1"/>
                                <wps:spPr>
                                  <a:xfrm>
                                    <a:off x="241160" y="0"/>
                                    <a:ext cx="1989015" cy="215900"/>
                                  </a:xfrm>
                                  <a:prstGeom prst="rect">
                                    <a:avLst/>
                                  </a:prstGeom>
                                  <a:solidFill>
                                    <a:sysClr val="window" lastClr="FFFFFF"/>
                                  </a:solidFill>
                                  <a:ln w="6350">
                                    <a:solidFill>
                                      <a:prstClr val="black"/>
                                    </a:solidFill>
                                  </a:ln>
                                </wps:spPr>
                                <wps:txbx>
                                  <w:txbxContent>
                                    <w:p w14:paraId="0A228EB6" w14:textId="77777777" w:rsidR="006A5267" w:rsidRPr="00A44B46" w:rsidRDefault="006A5267" w:rsidP="008B4B2B">
                                      <w:pPr>
                                        <w:jc w:val="center"/>
                                        <w:rPr>
                                          <w:sz w:val="16"/>
                                        </w:rPr>
                                      </w:pPr>
                                      <w:r>
                                        <w:rPr>
                                          <w:rFonts w:hint="eastAsia"/>
                                          <w:sz w:val="16"/>
                                        </w:rPr>
                                        <w:t>大阪府</w:t>
                                      </w:r>
                                      <w:r>
                                        <w:rPr>
                                          <w:sz w:val="16"/>
                                        </w:rPr>
                                        <w:t>警</w:t>
                                      </w:r>
                                      <w:r>
                                        <w:rPr>
                                          <w:rFonts w:hint="eastAsia"/>
                                          <w:sz w:val="16"/>
                                        </w:rPr>
                                        <w:t>航空隊</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wpg:grpSp>
                            <wpg:grpSp>
                              <wpg:cNvPr id="3504" name="グループ化 3504"/>
                              <wpg:cNvGrpSpPr/>
                              <wpg:grpSpPr>
                                <a:xfrm>
                                  <a:off x="0" y="2511552"/>
                                  <a:ext cx="2230120" cy="215900"/>
                                  <a:chOff x="0" y="0"/>
                                  <a:chExt cx="2230175" cy="215900"/>
                                </a:xfrm>
                              </wpg:grpSpPr>
                              <wps:wsp>
                                <wps:cNvPr id="3505" name="直線矢印コネクタ 3505"/>
                                <wps:cNvCnPr/>
                                <wps:spPr>
                                  <a:xfrm>
                                    <a:off x="0" y="97134"/>
                                    <a:ext cx="238043" cy="0"/>
                                  </a:xfrm>
                                  <a:prstGeom prst="straightConnector1">
                                    <a:avLst/>
                                  </a:prstGeom>
                                  <a:noFill/>
                                  <a:ln w="9525" cap="flat" cmpd="sng" algn="ctr">
                                    <a:solidFill>
                                      <a:sysClr val="windowText" lastClr="000000"/>
                                    </a:solidFill>
                                    <a:prstDash val="solid"/>
                                    <a:tailEnd type="arrow" w="sm" len="sm"/>
                                  </a:ln>
                                  <a:effectLst/>
                                </wps:spPr>
                                <wps:bodyPr/>
                              </wps:wsp>
                              <wps:wsp>
                                <wps:cNvPr id="3506" name="テキスト ボックス 3506"/>
                                <wps:cNvSpPr txBox="1"/>
                                <wps:spPr>
                                  <a:xfrm>
                                    <a:off x="241160" y="0"/>
                                    <a:ext cx="1989015" cy="215900"/>
                                  </a:xfrm>
                                  <a:prstGeom prst="rect">
                                    <a:avLst/>
                                  </a:prstGeom>
                                  <a:solidFill>
                                    <a:sysClr val="window" lastClr="FFFFFF"/>
                                  </a:solidFill>
                                  <a:ln w="6350">
                                    <a:solidFill>
                                      <a:prstClr val="black"/>
                                    </a:solidFill>
                                  </a:ln>
                                </wps:spPr>
                                <wps:txbx>
                                  <w:txbxContent>
                                    <w:p w14:paraId="54D266A5" w14:textId="77777777" w:rsidR="006A5267" w:rsidRPr="00A44B46" w:rsidRDefault="006A5267" w:rsidP="008B4B2B">
                                      <w:pPr>
                                        <w:jc w:val="center"/>
                                        <w:rPr>
                                          <w:sz w:val="16"/>
                                        </w:rPr>
                                      </w:pPr>
                                      <w:r>
                                        <w:rPr>
                                          <w:rFonts w:hint="eastAsia"/>
                                          <w:sz w:val="16"/>
                                        </w:rPr>
                                        <w:t>八尾市</w:t>
                                      </w:r>
                                      <w:r>
                                        <w:rPr>
                                          <w:sz w:val="16"/>
                                        </w:rPr>
                                        <w:t>消防本部</w:t>
                                      </w:r>
                                      <w:r>
                                        <w:rPr>
                                          <w:rFonts w:hint="eastAsia"/>
                                          <w:sz w:val="16"/>
                                        </w:rPr>
                                        <w:t>（八尾市</w:t>
                                      </w:r>
                                      <w:r>
                                        <w:rPr>
                                          <w:sz w:val="16"/>
                                        </w:rPr>
                                        <w:t>消防署）</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wpg:grpSp>
                            <wpg:grpSp>
                              <wpg:cNvPr id="3507" name="グループ化 3507"/>
                              <wpg:cNvGrpSpPr/>
                              <wpg:grpSpPr>
                                <a:xfrm>
                                  <a:off x="0" y="1438656"/>
                                  <a:ext cx="2230120" cy="215900"/>
                                  <a:chOff x="0" y="0"/>
                                  <a:chExt cx="2230175" cy="215900"/>
                                </a:xfrm>
                              </wpg:grpSpPr>
                              <wps:wsp>
                                <wps:cNvPr id="3508" name="直線矢印コネクタ 3508"/>
                                <wps:cNvCnPr/>
                                <wps:spPr>
                                  <a:xfrm>
                                    <a:off x="0" y="97134"/>
                                    <a:ext cx="238043" cy="0"/>
                                  </a:xfrm>
                                  <a:prstGeom prst="straightConnector1">
                                    <a:avLst/>
                                  </a:prstGeom>
                                  <a:noFill/>
                                  <a:ln w="9525" cap="flat" cmpd="sng" algn="ctr">
                                    <a:solidFill>
                                      <a:sysClr val="windowText" lastClr="000000"/>
                                    </a:solidFill>
                                    <a:prstDash val="solid"/>
                                    <a:tailEnd type="arrow" w="sm" len="sm"/>
                                  </a:ln>
                                  <a:effectLst/>
                                </wps:spPr>
                                <wps:bodyPr/>
                              </wps:wsp>
                              <wps:wsp>
                                <wps:cNvPr id="3509" name="テキスト ボックス 3509"/>
                                <wps:cNvSpPr txBox="1"/>
                                <wps:spPr>
                                  <a:xfrm>
                                    <a:off x="241160" y="0"/>
                                    <a:ext cx="1989015" cy="215900"/>
                                  </a:xfrm>
                                  <a:prstGeom prst="rect">
                                    <a:avLst/>
                                  </a:prstGeom>
                                  <a:solidFill>
                                    <a:sysClr val="window" lastClr="FFFFFF"/>
                                  </a:solidFill>
                                  <a:ln w="6350">
                                    <a:solidFill>
                                      <a:prstClr val="black"/>
                                    </a:solidFill>
                                  </a:ln>
                                </wps:spPr>
                                <wps:txbx>
                                  <w:txbxContent>
                                    <w:p w14:paraId="1473C3B6" w14:textId="77777777" w:rsidR="006A5267" w:rsidRPr="00A44B46" w:rsidRDefault="006A5267" w:rsidP="008B4B2B">
                                      <w:pPr>
                                        <w:jc w:val="center"/>
                                        <w:rPr>
                                          <w:sz w:val="16"/>
                                        </w:rPr>
                                      </w:pPr>
                                      <w:r>
                                        <w:rPr>
                                          <w:rFonts w:hint="eastAsia"/>
                                          <w:sz w:val="16"/>
                                        </w:rPr>
                                        <w:t xml:space="preserve">八　尾　</w:t>
                                      </w:r>
                                      <w:r>
                                        <w:rPr>
                                          <w:sz w:val="16"/>
                                        </w:rPr>
                                        <w:t>警</w:t>
                                      </w:r>
                                      <w:r>
                                        <w:rPr>
                                          <w:rFonts w:hint="eastAsia"/>
                                          <w:sz w:val="16"/>
                                        </w:rPr>
                                        <w:t xml:space="preserve">　</w:t>
                                      </w:r>
                                      <w:r>
                                        <w:rPr>
                                          <w:sz w:val="16"/>
                                        </w:rPr>
                                        <w:t>察</w:t>
                                      </w:r>
                                      <w:r>
                                        <w:rPr>
                                          <w:rFonts w:hint="eastAsia"/>
                                          <w:sz w:val="16"/>
                                        </w:rPr>
                                        <w:t xml:space="preserve">　</w:t>
                                      </w:r>
                                      <w:r>
                                        <w:rPr>
                                          <w:sz w:val="16"/>
                                        </w:rPr>
                                        <w:t>署</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wpg:grpSp>
                            <wpg:grpSp>
                              <wpg:cNvPr id="3510" name="グループ化 3510"/>
                              <wpg:cNvGrpSpPr/>
                              <wpg:grpSpPr>
                                <a:xfrm>
                                  <a:off x="0" y="2877312"/>
                                  <a:ext cx="2230120" cy="215900"/>
                                  <a:chOff x="0" y="0"/>
                                  <a:chExt cx="2230175" cy="215900"/>
                                </a:xfrm>
                              </wpg:grpSpPr>
                              <wps:wsp>
                                <wps:cNvPr id="3511" name="直線矢印コネクタ 3511"/>
                                <wps:cNvCnPr/>
                                <wps:spPr>
                                  <a:xfrm>
                                    <a:off x="0" y="97134"/>
                                    <a:ext cx="238043" cy="0"/>
                                  </a:xfrm>
                                  <a:prstGeom prst="straightConnector1">
                                    <a:avLst/>
                                  </a:prstGeom>
                                  <a:noFill/>
                                  <a:ln w="9525" cap="flat" cmpd="sng" algn="ctr">
                                    <a:solidFill>
                                      <a:sysClr val="windowText" lastClr="000000"/>
                                    </a:solidFill>
                                    <a:prstDash val="solid"/>
                                    <a:tailEnd type="arrow" w="sm" len="sm"/>
                                  </a:ln>
                                  <a:effectLst/>
                                </wps:spPr>
                                <wps:bodyPr/>
                              </wps:wsp>
                              <wps:wsp>
                                <wps:cNvPr id="3512" name="テキスト ボックス 3512"/>
                                <wps:cNvSpPr txBox="1"/>
                                <wps:spPr>
                                  <a:xfrm>
                                    <a:off x="241160" y="0"/>
                                    <a:ext cx="1989015" cy="215900"/>
                                  </a:xfrm>
                                  <a:prstGeom prst="rect">
                                    <a:avLst/>
                                  </a:prstGeom>
                                  <a:solidFill>
                                    <a:sysClr val="window" lastClr="FFFFFF"/>
                                  </a:solidFill>
                                  <a:ln w="6350">
                                    <a:solidFill>
                                      <a:prstClr val="black"/>
                                    </a:solidFill>
                                  </a:ln>
                                </wps:spPr>
                                <wps:txbx>
                                  <w:txbxContent>
                                    <w:p w14:paraId="6A5D6A2E" w14:textId="77777777" w:rsidR="006A5267" w:rsidRPr="00A44B46" w:rsidRDefault="006A5267" w:rsidP="008B4B2B">
                                      <w:pPr>
                                        <w:jc w:val="center"/>
                                        <w:rPr>
                                          <w:sz w:val="16"/>
                                        </w:rPr>
                                      </w:pPr>
                                      <w:r>
                                        <w:rPr>
                                          <w:rFonts w:hint="eastAsia"/>
                                          <w:sz w:val="16"/>
                                        </w:rPr>
                                        <w:t>大阪府</w:t>
                                      </w:r>
                                      <w:r>
                                        <w:rPr>
                                          <w:sz w:val="16"/>
                                        </w:rPr>
                                        <w:t>危機管理室</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wpg:grpSp>
                            <wpg:grpSp>
                              <wpg:cNvPr id="3513" name="グループ化 3513"/>
                              <wpg:cNvGrpSpPr/>
                              <wpg:grpSpPr>
                                <a:xfrm>
                                  <a:off x="0" y="1792224"/>
                                  <a:ext cx="2230120" cy="215900"/>
                                  <a:chOff x="0" y="0"/>
                                  <a:chExt cx="2230175" cy="215900"/>
                                </a:xfrm>
                              </wpg:grpSpPr>
                              <wps:wsp>
                                <wps:cNvPr id="3514" name="直線矢印コネクタ 3514"/>
                                <wps:cNvCnPr/>
                                <wps:spPr>
                                  <a:xfrm>
                                    <a:off x="0" y="97134"/>
                                    <a:ext cx="238043" cy="0"/>
                                  </a:xfrm>
                                  <a:prstGeom prst="straightConnector1">
                                    <a:avLst/>
                                  </a:prstGeom>
                                  <a:noFill/>
                                  <a:ln w="9525" cap="flat" cmpd="sng" algn="ctr">
                                    <a:solidFill>
                                      <a:sysClr val="windowText" lastClr="000000"/>
                                    </a:solidFill>
                                    <a:prstDash val="solid"/>
                                    <a:tailEnd type="arrow" w="sm" len="sm"/>
                                  </a:ln>
                                  <a:effectLst/>
                                </wps:spPr>
                                <wps:bodyPr/>
                              </wps:wsp>
                              <wps:wsp>
                                <wps:cNvPr id="3515" name="テキスト ボックス 3515"/>
                                <wps:cNvSpPr txBox="1"/>
                                <wps:spPr>
                                  <a:xfrm>
                                    <a:off x="241160" y="0"/>
                                    <a:ext cx="1989015" cy="215900"/>
                                  </a:xfrm>
                                  <a:prstGeom prst="rect">
                                    <a:avLst/>
                                  </a:prstGeom>
                                  <a:solidFill>
                                    <a:sysClr val="window" lastClr="FFFFFF"/>
                                  </a:solidFill>
                                  <a:ln w="6350">
                                    <a:solidFill>
                                      <a:prstClr val="black"/>
                                    </a:solidFill>
                                  </a:ln>
                                </wps:spPr>
                                <wps:txbx>
                                  <w:txbxContent>
                                    <w:p w14:paraId="7637EC8A" w14:textId="77777777" w:rsidR="006A5267" w:rsidRPr="00A44B46" w:rsidRDefault="006A5267" w:rsidP="008B4B2B">
                                      <w:pPr>
                                        <w:jc w:val="center"/>
                                        <w:rPr>
                                          <w:sz w:val="16"/>
                                        </w:rPr>
                                      </w:pPr>
                                      <w:r>
                                        <w:rPr>
                                          <w:rFonts w:hint="eastAsia"/>
                                          <w:sz w:val="16"/>
                                        </w:rPr>
                                        <w:t>大阪市</w:t>
                                      </w:r>
                                      <w:r>
                                        <w:rPr>
                                          <w:sz w:val="16"/>
                                        </w:rPr>
                                        <w:t>消防局航空隊</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wpg:grpSp>
                          </wpg:grpSp>
                          <wps:wsp>
                            <wps:cNvPr id="3516" name="直線コネクタ 3516"/>
                            <wps:cNvCnPr/>
                            <wps:spPr>
                              <a:xfrm>
                                <a:off x="0" y="95530"/>
                                <a:ext cx="0" cy="5446670"/>
                              </a:xfrm>
                              <a:prstGeom prst="line">
                                <a:avLst/>
                              </a:prstGeom>
                              <a:noFill/>
                              <a:ln w="9525" cap="flat" cmpd="sng" algn="ctr">
                                <a:solidFill>
                                  <a:sysClr val="windowText" lastClr="000000"/>
                                </a:solidFill>
                                <a:prstDash val="solid"/>
                              </a:ln>
                              <a:effectLst/>
                            </wps:spPr>
                            <wps:bodyPr/>
                          </wps:wsp>
                        </wpg:grpSp>
                        <wpg:grpSp>
                          <wpg:cNvPr id="3517" name="グループ化 3517"/>
                          <wpg:cNvGrpSpPr/>
                          <wpg:grpSpPr>
                            <a:xfrm>
                              <a:off x="0" y="3446059"/>
                              <a:ext cx="2230120" cy="2215388"/>
                              <a:chOff x="0" y="0"/>
                              <a:chExt cx="2230120" cy="2215388"/>
                            </a:xfrm>
                          </wpg:grpSpPr>
                          <wpg:grpSp>
                            <wpg:cNvPr id="3518" name="グループ化 3518"/>
                            <wpg:cNvGrpSpPr/>
                            <wpg:grpSpPr>
                              <a:xfrm>
                                <a:off x="0" y="670560"/>
                                <a:ext cx="2230120" cy="215900"/>
                                <a:chOff x="0" y="0"/>
                                <a:chExt cx="2230175" cy="215900"/>
                              </a:xfrm>
                            </wpg:grpSpPr>
                            <wps:wsp>
                              <wps:cNvPr id="3519" name="直線矢印コネクタ 3519"/>
                              <wps:cNvCnPr/>
                              <wps:spPr>
                                <a:xfrm>
                                  <a:off x="0" y="97134"/>
                                  <a:ext cx="238043" cy="0"/>
                                </a:xfrm>
                                <a:prstGeom prst="straightConnector1">
                                  <a:avLst/>
                                </a:prstGeom>
                                <a:noFill/>
                                <a:ln w="9525" cap="flat" cmpd="sng" algn="ctr">
                                  <a:solidFill>
                                    <a:sysClr val="windowText" lastClr="000000"/>
                                  </a:solidFill>
                                  <a:prstDash val="solid"/>
                                  <a:tailEnd type="arrow" w="sm" len="sm"/>
                                </a:ln>
                                <a:effectLst/>
                              </wps:spPr>
                              <wps:bodyPr/>
                            </wps:wsp>
                            <wps:wsp>
                              <wps:cNvPr id="3884" name="テキスト ボックス 3884"/>
                              <wps:cNvSpPr txBox="1"/>
                              <wps:spPr>
                                <a:xfrm>
                                  <a:off x="241160" y="0"/>
                                  <a:ext cx="1989015" cy="215900"/>
                                </a:xfrm>
                                <a:prstGeom prst="rect">
                                  <a:avLst/>
                                </a:prstGeom>
                                <a:solidFill>
                                  <a:sysClr val="window" lastClr="FFFFFF"/>
                                </a:solidFill>
                                <a:ln w="6350">
                                  <a:solidFill>
                                    <a:prstClr val="black"/>
                                  </a:solidFill>
                                </a:ln>
                              </wps:spPr>
                              <wps:txbx>
                                <w:txbxContent>
                                  <w:p w14:paraId="22B914BC" w14:textId="77777777" w:rsidR="006A5267" w:rsidRPr="00A44B46" w:rsidRDefault="006A5267" w:rsidP="008B4B2B">
                                    <w:pPr>
                                      <w:jc w:val="center"/>
                                      <w:rPr>
                                        <w:sz w:val="16"/>
                                      </w:rPr>
                                    </w:pPr>
                                    <w:r>
                                      <w:rPr>
                                        <w:rFonts w:hint="eastAsia"/>
                                        <w:sz w:val="16"/>
                                      </w:rPr>
                                      <w:t>八尾市立</w:t>
                                    </w:r>
                                    <w:r>
                                      <w:rPr>
                                        <w:sz w:val="16"/>
                                      </w:rPr>
                                      <w:t>病院</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wpg:grpSp>
                          <wpg:grpSp>
                            <wpg:cNvPr id="3885" name="グループ化 3885"/>
                            <wpg:cNvGrpSpPr/>
                            <wpg:grpSpPr>
                              <a:xfrm>
                                <a:off x="0" y="0"/>
                                <a:ext cx="2230120" cy="215900"/>
                                <a:chOff x="0" y="0"/>
                                <a:chExt cx="2230175" cy="215900"/>
                              </a:xfrm>
                            </wpg:grpSpPr>
                            <wps:wsp>
                              <wps:cNvPr id="3886" name="直線矢印コネクタ 3886"/>
                              <wps:cNvCnPr/>
                              <wps:spPr>
                                <a:xfrm>
                                  <a:off x="0" y="97134"/>
                                  <a:ext cx="238043" cy="0"/>
                                </a:xfrm>
                                <a:prstGeom prst="straightConnector1">
                                  <a:avLst/>
                                </a:prstGeom>
                                <a:noFill/>
                                <a:ln w="9525" cap="flat" cmpd="sng" algn="ctr">
                                  <a:solidFill>
                                    <a:sysClr val="windowText" lastClr="000000"/>
                                  </a:solidFill>
                                  <a:prstDash val="solid"/>
                                  <a:tailEnd type="arrow" w="sm" len="sm"/>
                                </a:ln>
                                <a:effectLst/>
                              </wps:spPr>
                              <wps:bodyPr/>
                            </wps:wsp>
                            <wps:wsp>
                              <wps:cNvPr id="3887" name="テキスト ボックス 3887"/>
                              <wps:cNvSpPr txBox="1"/>
                              <wps:spPr>
                                <a:xfrm>
                                  <a:off x="241160" y="0"/>
                                  <a:ext cx="1989015" cy="215900"/>
                                </a:xfrm>
                                <a:prstGeom prst="rect">
                                  <a:avLst/>
                                </a:prstGeom>
                                <a:solidFill>
                                  <a:sysClr val="window" lastClr="FFFFFF"/>
                                </a:solidFill>
                                <a:ln w="6350">
                                  <a:solidFill>
                                    <a:prstClr val="black"/>
                                  </a:solidFill>
                                </a:ln>
                              </wps:spPr>
                              <wps:txbx>
                                <w:txbxContent>
                                  <w:p w14:paraId="623CDA88" w14:textId="77777777" w:rsidR="006A5267" w:rsidRPr="00A44B46" w:rsidRDefault="006A5267" w:rsidP="008B4B2B">
                                    <w:pPr>
                                      <w:jc w:val="center"/>
                                      <w:rPr>
                                        <w:sz w:val="16"/>
                                      </w:rPr>
                                    </w:pPr>
                                    <w:r>
                                      <w:rPr>
                                        <w:rFonts w:hint="eastAsia"/>
                                        <w:sz w:val="16"/>
                                      </w:rPr>
                                      <w:t xml:space="preserve">消　</w:t>
                                    </w:r>
                                    <w:r>
                                      <w:rPr>
                                        <w:sz w:val="16"/>
                                      </w:rPr>
                                      <w:t xml:space="preserve">　</w:t>
                                    </w:r>
                                    <w:r>
                                      <w:rPr>
                                        <w:rFonts w:hint="eastAsia"/>
                                        <w:sz w:val="16"/>
                                      </w:rPr>
                                      <w:t xml:space="preserve">防　</w:t>
                                    </w:r>
                                    <w:r>
                                      <w:rPr>
                                        <w:sz w:val="16"/>
                                      </w:rPr>
                                      <w:t xml:space="preserve">　</w:t>
                                    </w:r>
                                    <w:r>
                                      <w:rPr>
                                        <w:rFonts w:hint="eastAsia"/>
                                        <w:sz w:val="16"/>
                                      </w:rPr>
                                      <w:t>庁</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wpg:grpSp>
                          <wpg:grpSp>
                            <wpg:cNvPr id="3888" name="グループ化 3888"/>
                            <wpg:cNvGrpSpPr/>
                            <wpg:grpSpPr>
                              <a:xfrm>
                                <a:off x="0" y="1328928"/>
                                <a:ext cx="2230120" cy="215900"/>
                                <a:chOff x="0" y="0"/>
                                <a:chExt cx="2230175" cy="215900"/>
                              </a:xfrm>
                            </wpg:grpSpPr>
                            <wps:wsp>
                              <wps:cNvPr id="3889" name="直線矢印コネクタ 3889"/>
                              <wps:cNvCnPr/>
                              <wps:spPr>
                                <a:xfrm>
                                  <a:off x="0" y="97134"/>
                                  <a:ext cx="238043" cy="0"/>
                                </a:xfrm>
                                <a:prstGeom prst="straightConnector1">
                                  <a:avLst/>
                                </a:prstGeom>
                                <a:noFill/>
                                <a:ln w="9525" cap="flat" cmpd="sng" algn="ctr">
                                  <a:solidFill>
                                    <a:sysClr val="windowText" lastClr="000000"/>
                                  </a:solidFill>
                                  <a:prstDash val="solid"/>
                                  <a:tailEnd type="arrow" w="sm" len="sm"/>
                                </a:ln>
                                <a:effectLst/>
                              </wps:spPr>
                              <wps:bodyPr/>
                            </wps:wsp>
                            <wps:wsp>
                              <wps:cNvPr id="3890" name="テキスト ボックス 3890"/>
                              <wps:cNvSpPr txBox="1"/>
                              <wps:spPr>
                                <a:xfrm>
                                  <a:off x="241160" y="0"/>
                                  <a:ext cx="1989015" cy="215900"/>
                                </a:xfrm>
                                <a:prstGeom prst="rect">
                                  <a:avLst/>
                                </a:prstGeom>
                                <a:solidFill>
                                  <a:sysClr val="window" lastClr="FFFFFF"/>
                                </a:solidFill>
                                <a:ln w="6350">
                                  <a:solidFill>
                                    <a:prstClr val="black"/>
                                  </a:solidFill>
                                </a:ln>
                              </wps:spPr>
                              <wps:txbx>
                                <w:txbxContent>
                                  <w:p w14:paraId="1DFC4983" w14:textId="77777777" w:rsidR="006A5267" w:rsidRPr="00A44B46" w:rsidRDefault="006A5267" w:rsidP="008B4B2B">
                                    <w:pPr>
                                      <w:jc w:val="center"/>
                                      <w:rPr>
                                        <w:sz w:val="16"/>
                                      </w:rPr>
                                    </w:pPr>
                                    <w:r>
                                      <w:rPr>
                                        <w:rFonts w:hint="eastAsia"/>
                                        <w:sz w:val="16"/>
                                      </w:rPr>
                                      <w:t>市立</w:t>
                                    </w:r>
                                    <w:r>
                                      <w:rPr>
                                        <w:sz w:val="16"/>
                                      </w:rPr>
                                      <w:t>東大阪医療センター</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wpg:grpSp>
                          <wpg:grpSp>
                            <wpg:cNvPr id="3891" name="グループ化 3891"/>
                            <wpg:cNvGrpSpPr/>
                            <wpg:grpSpPr>
                              <a:xfrm>
                                <a:off x="0" y="1670304"/>
                                <a:ext cx="2230120" cy="215900"/>
                                <a:chOff x="0" y="0"/>
                                <a:chExt cx="2230175" cy="215900"/>
                              </a:xfrm>
                            </wpg:grpSpPr>
                            <wps:wsp>
                              <wps:cNvPr id="3892" name="直線矢印コネクタ 3892"/>
                              <wps:cNvCnPr/>
                              <wps:spPr>
                                <a:xfrm>
                                  <a:off x="0" y="97134"/>
                                  <a:ext cx="238043" cy="0"/>
                                </a:xfrm>
                                <a:prstGeom prst="straightConnector1">
                                  <a:avLst/>
                                </a:prstGeom>
                                <a:noFill/>
                                <a:ln w="9525" cap="flat" cmpd="sng" algn="ctr">
                                  <a:solidFill>
                                    <a:sysClr val="windowText" lastClr="000000"/>
                                  </a:solidFill>
                                  <a:prstDash val="solid"/>
                                  <a:tailEnd type="arrow" w="sm" len="sm"/>
                                </a:ln>
                                <a:effectLst/>
                              </wps:spPr>
                              <wps:bodyPr/>
                            </wps:wsp>
                            <wps:wsp>
                              <wps:cNvPr id="3893" name="テキスト ボックス 3893"/>
                              <wps:cNvSpPr txBox="1"/>
                              <wps:spPr>
                                <a:xfrm>
                                  <a:off x="241160" y="0"/>
                                  <a:ext cx="1989015" cy="215900"/>
                                </a:xfrm>
                                <a:prstGeom prst="rect">
                                  <a:avLst/>
                                </a:prstGeom>
                                <a:solidFill>
                                  <a:sysClr val="window" lastClr="FFFFFF"/>
                                </a:solidFill>
                                <a:ln w="6350">
                                  <a:solidFill>
                                    <a:prstClr val="black"/>
                                  </a:solidFill>
                                </a:ln>
                              </wps:spPr>
                              <wps:txbx>
                                <w:txbxContent>
                                  <w:p w14:paraId="08CAD44E" w14:textId="77777777" w:rsidR="006A5267" w:rsidRPr="00A44B46" w:rsidRDefault="006A5267" w:rsidP="008B4B2B">
                                    <w:pPr>
                                      <w:jc w:val="center"/>
                                      <w:rPr>
                                        <w:sz w:val="16"/>
                                      </w:rPr>
                                    </w:pPr>
                                    <w:r>
                                      <w:rPr>
                                        <w:rFonts w:hint="eastAsia"/>
                                        <w:sz w:val="16"/>
                                      </w:rPr>
                                      <w:t>八尾空港</w:t>
                                    </w:r>
                                    <w:r>
                                      <w:rPr>
                                        <w:sz w:val="16"/>
                                      </w:rPr>
                                      <w:t>協議会</w:t>
                                    </w:r>
                                  </w:p>
                                  <w:p w14:paraId="683F6C01" w14:textId="77777777" w:rsidR="006A5267" w:rsidRPr="00A44B46" w:rsidRDefault="006A5267" w:rsidP="008B4B2B">
                                    <w:pPr>
                                      <w:jc w:val="center"/>
                                      <w:rPr>
                                        <w:sz w:val="16"/>
                                      </w:rPr>
                                    </w:pP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wpg:grpSp>
                          <wpg:grpSp>
                            <wpg:cNvPr id="3894" name="グループ化 3894"/>
                            <wpg:cNvGrpSpPr/>
                            <wpg:grpSpPr>
                              <a:xfrm>
                                <a:off x="0" y="1999488"/>
                                <a:ext cx="2230120" cy="215900"/>
                                <a:chOff x="0" y="0"/>
                                <a:chExt cx="2230175" cy="215900"/>
                              </a:xfrm>
                            </wpg:grpSpPr>
                            <wps:wsp>
                              <wps:cNvPr id="3895" name="直線矢印コネクタ 3895"/>
                              <wps:cNvCnPr/>
                              <wps:spPr>
                                <a:xfrm>
                                  <a:off x="0" y="97134"/>
                                  <a:ext cx="238043" cy="0"/>
                                </a:xfrm>
                                <a:prstGeom prst="straightConnector1">
                                  <a:avLst/>
                                </a:prstGeom>
                                <a:noFill/>
                                <a:ln w="9525" cap="flat" cmpd="sng" algn="ctr">
                                  <a:solidFill>
                                    <a:sysClr val="windowText" lastClr="000000"/>
                                  </a:solidFill>
                                  <a:prstDash val="solid"/>
                                  <a:tailEnd type="arrow" w="sm" len="sm"/>
                                </a:ln>
                                <a:effectLst/>
                              </wps:spPr>
                              <wps:bodyPr/>
                            </wps:wsp>
                            <wps:wsp>
                              <wps:cNvPr id="3896" name="テキスト ボックス 3896"/>
                              <wps:cNvSpPr txBox="1"/>
                              <wps:spPr>
                                <a:xfrm>
                                  <a:off x="241160" y="0"/>
                                  <a:ext cx="1989015" cy="215900"/>
                                </a:xfrm>
                                <a:prstGeom prst="rect">
                                  <a:avLst/>
                                </a:prstGeom>
                                <a:solidFill>
                                  <a:sysClr val="window" lastClr="FFFFFF"/>
                                </a:solidFill>
                                <a:ln w="6350">
                                  <a:solidFill>
                                    <a:prstClr val="black"/>
                                  </a:solidFill>
                                </a:ln>
                              </wps:spPr>
                              <wps:txbx>
                                <w:txbxContent>
                                  <w:p w14:paraId="22D8C911" w14:textId="77777777" w:rsidR="006A5267" w:rsidRPr="00A44B46" w:rsidRDefault="006A5267" w:rsidP="008B4B2B">
                                    <w:pPr>
                                      <w:jc w:val="center"/>
                                      <w:rPr>
                                        <w:sz w:val="16"/>
                                      </w:rPr>
                                    </w:pPr>
                                    <w:r>
                                      <w:rPr>
                                        <w:rFonts w:hint="eastAsia"/>
                                        <w:sz w:val="16"/>
                                      </w:rPr>
                                      <w:t>八尾空港消火</w:t>
                                    </w:r>
                                    <w:r>
                                      <w:rPr>
                                        <w:sz w:val="16"/>
                                      </w:rPr>
                                      <w:t>救難隊</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wpg:grpSp>
                          <wpg:grpSp>
                            <wpg:cNvPr id="3897" name="グループ化 3897"/>
                            <wpg:cNvGrpSpPr/>
                            <wpg:grpSpPr>
                              <a:xfrm>
                                <a:off x="0" y="329184"/>
                                <a:ext cx="2230120" cy="215900"/>
                                <a:chOff x="0" y="0"/>
                                <a:chExt cx="2230175" cy="215900"/>
                              </a:xfrm>
                            </wpg:grpSpPr>
                            <wps:wsp>
                              <wps:cNvPr id="3898" name="直線矢印コネクタ 3898"/>
                              <wps:cNvCnPr/>
                              <wps:spPr>
                                <a:xfrm>
                                  <a:off x="0" y="97134"/>
                                  <a:ext cx="238043" cy="0"/>
                                </a:xfrm>
                                <a:prstGeom prst="straightConnector1">
                                  <a:avLst/>
                                </a:prstGeom>
                                <a:noFill/>
                                <a:ln w="9525" cap="flat" cmpd="sng" algn="ctr">
                                  <a:solidFill>
                                    <a:sysClr val="windowText" lastClr="000000"/>
                                  </a:solidFill>
                                  <a:prstDash val="solid"/>
                                  <a:tailEnd type="arrow" w="sm" len="sm"/>
                                </a:ln>
                                <a:effectLst/>
                              </wps:spPr>
                              <wps:bodyPr/>
                            </wps:wsp>
                            <wps:wsp>
                              <wps:cNvPr id="3899" name="テキスト ボックス 3899"/>
                              <wps:cNvSpPr txBox="1"/>
                              <wps:spPr>
                                <a:xfrm>
                                  <a:off x="241160" y="0"/>
                                  <a:ext cx="1989015" cy="215900"/>
                                </a:xfrm>
                                <a:prstGeom prst="rect">
                                  <a:avLst/>
                                </a:prstGeom>
                                <a:solidFill>
                                  <a:sysClr val="window" lastClr="FFFFFF"/>
                                </a:solidFill>
                                <a:ln w="6350">
                                  <a:solidFill>
                                    <a:prstClr val="black"/>
                                  </a:solidFill>
                                </a:ln>
                              </wps:spPr>
                              <wps:txbx>
                                <w:txbxContent>
                                  <w:p w14:paraId="140BDC2D" w14:textId="77777777" w:rsidR="006A5267" w:rsidRPr="00A44B46" w:rsidRDefault="006A5267" w:rsidP="008B4B2B">
                                    <w:pPr>
                                      <w:jc w:val="center"/>
                                      <w:rPr>
                                        <w:sz w:val="16"/>
                                      </w:rPr>
                                    </w:pPr>
                                    <w:r>
                                      <w:rPr>
                                        <w:rFonts w:hint="eastAsia"/>
                                        <w:sz w:val="16"/>
                                      </w:rPr>
                                      <w:t>八尾市</w:t>
                                    </w:r>
                                    <w:r>
                                      <w:rPr>
                                        <w:sz w:val="16"/>
                                      </w:rPr>
                                      <w:t>医師会</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wpg:grpSp>
                          <wpg:grpSp>
                            <wpg:cNvPr id="3900" name="グループ化 3900"/>
                            <wpg:cNvGrpSpPr/>
                            <wpg:grpSpPr>
                              <a:xfrm>
                                <a:off x="0" y="999744"/>
                                <a:ext cx="2230120" cy="215900"/>
                                <a:chOff x="0" y="0"/>
                                <a:chExt cx="2230175" cy="215900"/>
                              </a:xfrm>
                            </wpg:grpSpPr>
                            <wps:wsp>
                              <wps:cNvPr id="3901" name="直線矢印コネクタ 3901"/>
                              <wps:cNvCnPr/>
                              <wps:spPr>
                                <a:xfrm>
                                  <a:off x="0" y="97134"/>
                                  <a:ext cx="238043" cy="0"/>
                                </a:xfrm>
                                <a:prstGeom prst="straightConnector1">
                                  <a:avLst/>
                                </a:prstGeom>
                                <a:noFill/>
                                <a:ln w="9525" cap="flat" cmpd="sng" algn="ctr">
                                  <a:solidFill>
                                    <a:sysClr val="windowText" lastClr="000000"/>
                                  </a:solidFill>
                                  <a:prstDash val="solid"/>
                                  <a:tailEnd type="arrow" w="sm" len="sm"/>
                                </a:ln>
                                <a:effectLst/>
                              </wps:spPr>
                              <wps:bodyPr/>
                            </wps:wsp>
                            <wps:wsp>
                              <wps:cNvPr id="3902" name="テキスト ボックス 3902"/>
                              <wps:cNvSpPr txBox="1"/>
                              <wps:spPr>
                                <a:xfrm>
                                  <a:off x="241160" y="0"/>
                                  <a:ext cx="1989015" cy="215900"/>
                                </a:xfrm>
                                <a:prstGeom prst="rect">
                                  <a:avLst/>
                                </a:prstGeom>
                                <a:solidFill>
                                  <a:sysClr val="window" lastClr="FFFFFF"/>
                                </a:solidFill>
                                <a:ln w="6350">
                                  <a:solidFill>
                                    <a:prstClr val="black"/>
                                  </a:solidFill>
                                </a:ln>
                              </wps:spPr>
                              <wps:txbx>
                                <w:txbxContent>
                                  <w:p w14:paraId="79FA1413" w14:textId="77777777" w:rsidR="006A5267" w:rsidRPr="00A44B46" w:rsidRDefault="006A5267" w:rsidP="008B4B2B">
                                    <w:pPr>
                                      <w:jc w:val="center"/>
                                      <w:rPr>
                                        <w:sz w:val="16"/>
                                      </w:rPr>
                                    </w:pPr>
                                    <w:r>
                                      <w:rPr>
                                        <w:rFonts w:hint="eastAsia"/>
                                        <w:sz w:val="16"/>
                                      </w:rPr>
                                      <w:t>府立</w:t>
                                    </w:r>
                                    <w:r>
                                      <w:rPr>
                                        <w:sz w:val="16"/>
                                      </w:rPr>
                                      <w:t>中</w:t>
                                    </w:r>
                                    <w:r>
                                      <w:rPr>
                                        <w:rFonts w:hint="eastAsia"/>
                                        <w:sz w:val="16"/>
                                      </w:rPr>
                                      <w:t>河内救命救急</w:t>
                                    </w:r>
                                    <w:r>
                                      <w:rPr>
                                        <w:sz w:val="16"/>
                                      </w:rPr>
                                      <w:t>センター</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wpg:grpSp>
                        </wpg:grpSp>
                      </wpg:grpSp>
                    </wpg:wgp>
                  </a:graphicData>
                </a:graphic>
              </wp:anchor>
            </w:drawing>
          </mc:Choice>
          <mc:Fallback xmlns:w16cei="http://schemas.microsoft.com/office/word/2026/wordml/cei">
            <w:pict>
              <v:group w14:anchorId="0E355269" id="グループ化 350" o:spid="_x0000_s1675" style="position:absolute;left:0;text-align:left;margin-left:237.7pt;margin-top:17.9pt;width:175.6pt;height:445.75pt;z-index:254017536;mso-position-horizontal-relative:text;mso-position-vertical-relative:text" coordsize="22301,5661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">
                <v:shape id="直線矢印コネクタ 351" o:spid="_x0000_s1676" type="#_x0000_t32" style="position:absolute;left:10049;top:32539;width:3868;height:0;rotation:9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" strokecolor="windowText">
                  <v:stroke endarrow="open" endarrowwidth="narrow" endarrowlength="short"/>
                </v:shape>
                <v:group id="グループ化 370" o:spid="_x0000_s1677" style="position:absolute;width:22301;height:56614" coordsize="22301,5661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">
                  <v:group id="グループ化 3487" o:spid="_x0000_s1678" style="position:absolute;width:22301;height:55422" coordsize="22301,5542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">
                    <v:group id="グループ化 3488" o:spid="_x0000_s1679" style="position:absolute;width:22301;height:30932" coordsize="22301,309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">
                      <v:group id="グループ化 3489" o:spid="_x0000_s1680" style="position:absolute;width:22301;height:2159" coordsize="22301,215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">
                        <v:shape id="直線矢印コネクタ 3490" o:spid="_x0000_s1681" type="#_x0000_t32" style="position:absolute;top:971;width:2380;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" strokecolor="windowText">
                          <v:stroke endarrow="open" endarrowwidth="narrow" endarrowlength="short"/>
                        </v:shape>
                        <v:shape id="テキスト ボックス 3491" o:spid="_x0000_s1682" type="#_x0000_t202" style="position:absolute;left:2411;width:19890;height:215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" fillcolor="window" strokeweight=".5pt">
                          <v:textbox inset="0,0,0,0">
                            <w:txbxContent>
                              <w:p w14:paraId="46DC96E6" w14:textId="77777777" w:rsidR="006A5267" w:rsidRPr="00A44B46" w:rsidRDefault="006A5267" w:rsidP="008B4B2B">
                                <w:pPr>
                                  <w:jc w:val="center"/>
                                  <w:rPr>
                                    <w:sz w:val="16"/>
                                  </w:rPr>
                                </w:pPr>
                                <w:r w:rsidRPr="000B57D7">
                                  <w:rPr>
                                    <w:rFonts w:hint="eastAsia"/>
                                    <w:spacing w:val="5"/>
                                    <w:kern w:val="0"/>
                                    <w:sz w:val="16"/>
                                    <w:fitText w:val="2880" w:id="1939601408"/>
                                  </w:rPr>
                                  <w:t>陸上自衛隊</w:t>
                                </w:r>
                                <w:r w:rsidRPr="000B57D7">
                                  <w:rPr>
                                    <w:spacing w:val="5"/>
                                    <w:kern w:val="0"/>
                                    <w:sz w:val="16"/>
                                    <w:fitText w:val="2880" w:id="1939601408"/>
                                  </w:rPr>
                                  <w:t>中部方面</w:t>
                                </w:r>
                                <w:r w:rsidRPr="000B57D7">
                                  <w:rPr>
                                    <w:rFonts w:hint="eastAsia"/>
                                    <w:spacing w:val="5"/>
                                    <w:kern w:val="0"/>
                                    <w:sz w:val="16"/>
                                    <w:fitText w:val="2880" w:id="1939601408"/>
                                  </w:rPr>
                                  <w:t>航空隊</w:t>
                                </w:r>
                                <w:r w:rsidRPr="000B57D7">
                                  <w:rPr>
                                    <w:spacing w:val="5"/>
                                    <w:kern w:val="0"/>
                                    <w:sz w:val="16"/>
                                    <w:fitText w:val="2880" w:id="1939601408"/>
                                  </w:rPr>
                                  <w:t>八尾駐屯</w:t>
                                </w:r>
                                <w:r w:rsidRPr="000B57D7">
                                  <w:rPr>
                                    <w:kern w:val="0"/>
                                    <w:sz w:val="16"/>
                                    <w:fitText w:val="2880" w:id="1939601408"/>
                                  </w:rPr>
                                  <w:t>地</w:t>
                                </w:r>
                              </w:p>
                            </w:txbxContent>
                          </v:textbox>
                        </v:shape>
                      </v:group>
                      <v:group id="グループ化 3492" o:spid="_x0000_s1683" style="position:absolute;top:3657;width:22301;height:2159" coordsize="22301,215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">
                        <v:shape id="直線矢印コネクタ 3493" o:spid="_x0000_s1684" type="#_x0000_t32" style="position:absolute;top:971;width:2380;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" strokecolor="windowText">
                          <v:stroke endarrow="open" endarrowwidth="narrow" endarrowlength="short"/>
                        </v:shape>
                        <v:shape id="テキスト ボックス 3494" o:spid="_x0000_s1685" type="#_x0000_t202" style="position:absolute;left:2411;width:19890;height:215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" fillcolor="window" strokeweight=".5pt">
                          <v:textbox inset="0,0,0,0">
                            <w:txbxContent>
                              <w:p w14:paraId="6992A3BD" w14:textId="77777777" w:rsidR="006A5267" w:rsidRPr="00A44B46" w:rsidRDefault="006A5267" w:rsidP="008B4B2B">
                                <w:pPr>
                                  <w:jc w:val="center"/>
                                  <w:rPr>
                                    <w:sz w:val="16"/>
                                  </w:rPr>
                                </w:pPr>
                                <w:r w:rsidRPr="000B57D7">
                                  <w:rPr>
                                    <w:rFonts w:hint="eastAsia"/>
                                    <w:spacing w:val="43"/>
                                    <w:kern w:val="0"/>
                                    <w:sz w:val="16"/>
                                    <w:fitText w:val="2880" w:id="1939601409"/>
                                  </w:rPr>
                                  <w:t>関西</w:t>
                                </w:r>
                                <w:r w:rsidRPr="000B57D7">
                                  <w:rPr>
                                    <w:spacing w:val="43"/>
                                    <w:kern w:val="0"/>
                                    <w:sz w:val="16"/>
                                    <w:fitText w:val="2880" w:id="1939601409"/>
                                  </w:rPr>
                                  <w:t>空港海上保安航空基</w:t>
                                </w:r>
                                <w:r w:rsidRPr="000B57D7">
                                  <w:rPr>
                                    <w:spacing w:val="7"/>
                                    <w:kern w:val="0"/>
                                    <w:sz w:val="16"/>
                                    <w:fitText w:val="2880" w:id="1939601409"/>
                                  </w:rPr>
                                  <w:t>地</w:t>
                                </w:r>
                              </w:p>
                            </w:txbxContent>
                          </v:textbox>
                        </v:shape>
                      </v:group>
                      <v:group id="グループ化 3495" o:spid="_x0000_s1686" style="position:absolute;top:21579;width:22301;height:2159" coordsize="22301,215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">
                        <v:shape id="直線矢印コネクタ 3496" o:spid="_x0000_s1687" type="#_x0000_t32" style="position:absolute;top:971;width:2380;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" strokecolor="windowText">
                          <v:stroke endarrow="open" endarrowwidth="narrow" endarrowlength="short"/>
                        </v:shape>
                        <v:shape id="テキスト ボックス 3497" o:spid="_x0000_s1688" type="#_x0000_t202" style="position:absolute;left:2411;width:19890;height:215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" fillcolor="window" strokeweight=".5pt">
                          <v:textbox inset="0,0,0,0">
                            <w:txbxContent>
                              <w:p w14:paraId="5EB8F640" w14:textId="77777777" w:rsidR="006A5267" w:rsidRPr="00A44B46" w:rsidRDefault="006A5267" w:rsidP="008B4B2B">
                                <w:pPr>
                                  <w:jc w:val="center"/>
                                  <w:rPr>
                                    <w:sz w:val="16"/>
                                  </w:rPr>
                                </w:pPr>
                                <w:r>
                                  <w:rPr>
                                    <w:rFonts w:hint="eastAsia"/>
                                    <w:sz w:val="16"/>
                                  </w:rPr>
                                  <w:t xml:space="preserve">八　　尾　</w:t>
                                </w:r>
                                <w:r>
                                  <w:rPr>
                                    <w:sz w:val="16"/>
                                  </w:rPr>
                                  <w:t xml:space="preserve">　</w:t>
                                </w:r>
                                <w:r>
                                  <w:rPr>
                                    <w:rFonts w:hint="eastAsia"/>
                                    <w:sz w:val="16"/>
                                  </w:rPr>
                                  <w:t>市</w:t>
                                </w:r>
                              </w:p>
                            </w:txbxContent>
                          </v:textbox>
                        </v:shape>
                      </v:group>
                      <v:group id="グループ化 3498" o:spid="_x0000_s1689" style="position:absolute;top:7193;width:22301;height:2159" coordsize="22301,215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">
                        <v:shape id="直線矢印コネクタ 3499" o:spid="_x0000_s1690" type="#_x0000_t32" style="position:absolute;top:971;width:2380;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" strokecolor="windowText">
                          <v:stroke endarrow="open" endarrowwidth="narrow" endarrowlength="short"/>
                        </v:shape>
                        <v:shape id="テキスト ボックス 3500" o:spid="_x0000_s1691" type="#_x0000_t202" style="position:absolute;left:2411;width:19890;height:215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" fillcolor="window" strokeweight=".5pt">
                          <v:textbox inset="0,0,0,0">
                            <w:txbxContent>
                              <w:p w14:paraId="3E3072E4" w14:textId="77777777" w:rsidR="006A5267" w:rsidRPr="00A44B46" w:rsidRDefault="006A5267" w:rsidP="008B4B2B">
                                <w:pPr>
                                  <w:jc w:val="center"/>
                                  <w:rPr>
                                    <w:sz w:val="16"/>
                                  </w:rPr>
                                </w:pPr>
                                <w:r w:rsidRPr="00403E95">
                                  <w:rPr>
                                    <w:rFonts w:hint="eastAsia"/>
                                    <w:kern w:val="0"/>
                                    <w:sz w:val="16"/>
                                    <w:fitText w:val="2880" w:id="1939601152"/>
                                  </w:rPr>
                                  <w:t>関西航空地方気象台八尾</w:t>
                                </w:r>
                                <w:r w:rsidRPr="00403E95">
                                  <w:rPr>
                                    <w:kern w:val="0"/>
                                    <w:sz w:val="16"/>
                                    <w:fitText w:val="2880" w:id="1939601152"/>
                                  </w:rPr>
                                  <w:t>航空気象観測所</w:t>
                                </w:r>
                              </w:p>
                              <w:p w14:paraId="63B45D95" w14:textId="77777777" w:rsidR="006A5267" w:rsidRPr="00A44B46" w:rsidRDefault="006A5267" w:rsidP="008B4B2B">
                                <w:pPr>
                                  <w:jc w:val="center"/>
                                  <w:rPr>
                                    <w:sz w:val="16"/>
                                  </w:rPr>
                                </w:pPr>
                              </w:p>
                              <w:p w14:paraId="19770548" w14:textId="77777777" w:rsidR="006A5267" w:rsidRPr="00A44B46" w:rsidRDefault="006A5267" w:rsidP="008B4B2B">
                                <w:pPr>
                                  <w:jc w:val="center"/>
                                  <w:rPr>
                                    <w:sz w:val="16"/>
                                  </w:rPr>
                                </w:pPr>
                              </w:p>
                            </w:txbxContent>
                          </v:textbox>
                        </v:shape>
                      </v:group>
                      <v:group id="グループ化 3501" o:spid="_x0000_s1692" style="position:absolute;top:10728;width:22301;height:2159" coordsize="22301,215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">
                        <v:shape id="直線矢印コネクタ 3502" o:spid="_x0000_s1693" type="#_x0000_t32" style="position:absolute;top:971;width:2380;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" strokecolor="windowText">
                          <v:stroke endarrow="open" endarrowwidth="narrow" endarrowlength="short"/>
                        </v:shape>
                        <v:shape id="テキスト ボックス 3503" o:spid="_x0000_s1694" type="#_x0000_t202" style="position:absolute;left:2411;width:19890;height:215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" fillcolor="window" strokeweight=".5pt">
                          <v:textbox inset="0,0,0,0">
                            <w:txbxContent>
                              <w:p w14:paraId="0A228EB6" w14:textId="77777777" w:rsidR="006A5267" w:rsidRPr="00A44B46" w:rsidRDefault="006A5267" w:rsidP="008B4B2B">
                                <w:pPr>
                                  <w:jc w:val="center"/>
                                  <w:rPr>
                                    <w:sz w:val="16"/>
                                  </w:rPr>
                                </w:pPr>
                                <w:r>
                                  <w:rPr>
                                    <w:rFonts w:hint="eastAsia"/>
                                    <w:sz w:val="16"/>
                                  </w:rPr>
                                  <w:t>大阪府</w:t>
                                </w:r>
                                <w:r>
                                  <w:rPr>
                                    <w:sz w:val="16"/>
                                  </w:rPr>
                                  <w:t>警</w:t>
                                </w:r>
                                <w:r>
                                  <w:rPr>
                                    <w:rFonts w:hint="eastAsia"/>
                                    <w:sz w:val="16"/>
                                  </w:rPr>
                                  <w:t>航空隊</w:t>
                                </w:r>
                              </w:p>
                            </w:txbxContent>
                          </v:textbox>
                        </v:shape>
                      </v:group>
                      <v:group id="グループ化 3504" o:spid="_x0000_s1695" style="position:absolute;top:25115;width:22301;height:2159" coordsize="22301,215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">
                        <v:shape id="直線矢印コネクタ 3505" o:spid="_x0000_s1696" type="#_x0000_t32" style="position:absolute;top:971;width:2380;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" strokecolor="windowText">
                          <v:stroke endarrow="open" endarrowwidth="narrow" endarrowlength="short"/>
                        </v:shape>
                        <v:shape id="テキスト ボックス 3506" o:spid="_x0000_s1697" type="#_x0000_t202" style="position:absolute;left:2411;width:19890;height:215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" fillcolor="window" strokeweight=".5pt">
                          <v:textbox inset="0,0,0,0">
                            <w:txbxContent>
                              <w:p w14:paraId="54D266A5" w14:textId="77777777" w:rsidR="006A5267" w:rsidRPr="00A44B46" w:rsidRDefault="006A5267" w:rsidP="008B4B2B">
                                <w:pPr>
                                  <w:jc w:val="center"/>
                                  <w:rPr>
                                    <w:sz w:val="16"/>
                                  </w:rPr>
                                </w:pPr>
                                <w:r>
                                  <w:rPr>
                                    <w:rFonts w:hint="eastAsia"/>
                                    <w:sz w:val="16"/>
                                  </w:rPr>
                                  <w:t>八尾市</w:t>
                                </w:r>
                                <w:r>
                                  <w:rPr>
                                    <w:sz w:val="16"/>
                                  </w:rPr>
                                  <w:t>消防本部</w:t>
                                </w:r>
                                <w:r>
                                  <w:rPr>
                                    <w:rFonts w:hint="eastAsia"/>
                                    <w:sz w:val="16"/>
                                  </w:rPr>
                                  <w:t>（八尾市</w:t>
                                </w:r>
                                <w:r>
                                  <w:rPr>
                                    <w:sz w:val="16"/>
                                  </w:rPr>
                                  <w:t>消防署）</w:t>
                                </w:r>
                              </w:p>
                            </w:txbxContent>
                          </v:textbox>
                        </v:shape>
                      </v:group>
                      <v:group id="グループ化 3507" o:spid="_x0000_s1698" style="position:absolute;top:14386;width:22301;height:2159" coordsize="22301,215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">
                        <v:shape id="直線矢印コネクタ 3508" o:spid="_x0000_s1699" type="#_x0000_t32" style="position:absolute;top:971;width:2380;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" strokecolor="windowText">
                          <v:stroke endarrow="open" endarrowwidth="narrow" endarrowlength="short"/>
                        </v:shape>
                        <v:shape id="テキスト ボックス 3509" o:spid="_x0000_s1700" type="#_x0000_t202" style="position:absolute;left:2411;width:19890;height:215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" fillcolor="window" strokeweight=".5pt">
                          <v:textbox inset="0,0,0,0">
                            <w:txbxContent>
                              <w:p w14:paraId="1473C3B6" w14:textId="77777777" w:rsidR="006A5267" w:rsidRPr="00A44B46" w:rsidRDefault="006A5267" w:rsidP="008B4B2B">
                                <w:pPr>
                                  <w:jc w:val="center"/>
                                  <w:rPr>
                                    <w:sz w:val="16"/>
                                  </w:rPr>
                                </w:pPr>
                                <w:r>
                                  <w:rPr>
                                    <w:rFonts w:hint="eastAsia"/>
                                    <w:sz w:val="16"/>
                                  </w:rPr>
                                  <w:t xml:space="preserve">八　尾　</w:t>
                                </w:r>
                                <w:r>
                                  <w:rPr>
                                    <w:sz w:val="16"/>
                                  </w:rPr>
                                  <w:t>警</w:t>
                                </w:r>
                                <w:r>
                                  <w:rPr>
                                    <w:rFonts w:hint="eastAsia"/>
                                    <w:sz w:val="16"/>
                                  </w:rPr>
                                  <w:t xml:space="preserve">　</w:t>
                                </w:r>
                                <w:r>
                                  <w:rPr>
                                    <w:sz w:val="16"/>
                                  </w:rPr>
                                  <w:t>察</w:t>
                                </w:r>
                                <w:r>
                                  <w:rPr>
                                    <w:rFonts w:hint="eastAsia"/>
                                    <w:sz w:val="16"/>
                                  </w:rPr>
                                  <w:t xml:space="preserve">　</w:t>
                                </w:r>
                                <w:r>
                                  <w:rPr>
                                    <w:sz w:val="16"/>
                                  </w:rPr>
                                  <w:t>署</w:t>
                                </w:r>
                              </w:p>
                            </w:txbxContent>
                          </v:textbox>
                        </v:shape>
                      </v:group>
                      <v:group id="グループ化 3510" o:spid="_x0000_s1701" style="position:absolute;top:28773;width:22301;height:2159" coordsize="22301,215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">
                        <v:shape id="直線矢印コネクタ 3511" o:spid="_x0000_s1702" type="#_x0000_t32" style="position:absolute;top:971;width:2380;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" strokecolor="windowText">
                          <v:stroke endarrow="open" endarrowwidth="narrow" endarrowlength="short"/>
                        </v:shape>
                        <v:shape id="テキスト ボックス 3512" o:spid="_x0000_s1703" type="#_x0000_t202" style="position:absolute;left:2411;width:19890;height:215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" fillcolor="window" strokeweight=".5pt">
                          <v:textbox inset="0,0,0,0">
                            <w:txbxContent>
                              <w:p w14:paraId="6A5D6A2E" w14:textId="77777777" w:rsidR="006A5267" w:rsidRPr="00A44B46" w:rsidRDefault="006A5267" w:rsidP="008B4B2B">
                                <w:pPr>
                                  <w:jc w:val="center"/>
                                  <w:rPr>
                                    <w:sz w:val="16"/>
                                  </w:rPr>
                                </w:pPr>
                                <w:r>
                                  <w:rPr>
                                    <w:rFonts w:hint="eastAsia"/>
                                    <w:sz w:val="16"/>
                                  </w:rPr>
                                  <w:t>大阪府</w:t>
                                </w:r>
                                <w:r>
                                  <w:rPr>
                                    <w:sz w:val="16"/>
                                  </w:rPr>
                                  <w:t>危機管理室</w:t>
                                </w:r>
                              </w:p>
                            </w:txbxContent>
                          </v:textbox>
                        </v:shape>
                      </v:group>
                      <v:group id="グループ化 3513" o:spid="_x0000_s1704" style="position:absolute;top:17922;width:22301;height:2159" coordsize="22301,215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">
                        <v:shape id="直線矢印コネクタ 3514" o:spid="_x0000_s1705" type="#_x0000_t32" style="position:absolute;top:971;width:2380;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" strokecolor="windowText">
                          <v:stroke endarrow="open" endarrowwidth="narrow" endarrowlength="short"/>
                        </v:shape>
                        <v:shape id="テキスト ボックス 3515" o:spid="_x0000_s1706" type="#_x0000_t202" style="position:absolute;left:2411;width:19890;height:215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" fillcolor="window" strokeweight=".5pt">
                          <v:textbox inset="0,0,0,0">
                            <w:txbxContent>
                              <w:p w14:paraId="7637EC8A" w14:textId="77777777" w:rsidR="006A5267" w:rsidRPr="00A44B46" w:rsidRDefault="006A5267" w:rsidP="008B4B2B">
                                <w:pPr>
                                  <w:jc w:val="center"/>
                                  <w:rPr>
                                    <w:sz w:val="16"/>
                                  </w:rPr>
                                </w:pPr>
                                <w:r>
                                  <w:rPr>
                                    <w:rFonts w:hint="eastAsia"/>
                                    <w:sz w:val="16"/>
                                  </w:rPr>
                                  <w:t>大阪市</w:t>
                                </w:r>
                                <w:r>
                                  <w:rPr>
                                    <w:sz w:val="16"/>
                                  </w:rPr>
                                  <w:t>消防局航空隊</w:t>
                                </w:r>
                              </w:p>
                            </w:txbxContent>
                          </v:textbox>
                        </v:shape>
                      </v:group>
                    </v:group>
                    <v:line id="直線コネクタ 3516" o:spid="_x0000_s1707" style="position:absolute;visibility:visible;mso-wrap-style:square" from="0,955" to="0,5542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" strokecolor="windowText"/>
                  </v:group>
                  <v:group id="グループ化 3517" o:spid="_x0000_s1708" style="position:absolute;top:34460;width:22301;height:22154" coordsize="22301,2215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">
                    <v:group id="グループ化 3518" o:spid="_x0000_s1709" style="position:absolute;top:6705;width:22301;height:2159" coordsize="22301,215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">
                      <v:shape id="直線矢印コネクタ 3519" o:spid="_x0000_s1710" type="#_x0000_t32" style="position:absolute;top:971;width:2380;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" strokecolor="windowText">
                        <v:stroke endarrow="open" endarrowwidth="narrow" endarrowlength="short"/>
                      </v:shape>
                      <v:shape id="テキスト ボックス 3884" o:spid="_x0000_s1711" type="#_x0000_t202" style="position:absolute;left:2411;width:19890;height:215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" fillcolor="window" strokeweight=".5pt">
                        <v:textbox inset="0,0,0,0">
                          <w:txbxContent>
                            <w:p w14:paraId="22B914BC" w14:textId="77777777" w:rsidR="006A5267" w:rsidRPr="00A44B46" w:rsidRDefault="006A5267" w:rsidP="008B4B2B">
                              <w:pPr>
                                <w:jc w:val="center"/>
                                <w:rPr>
                                  <w:sz w:val="16"/>
                                </w:rPr>
                              </w:pPr>
                              <w:r>
                                <w:rPr>
                                  <w:rFonts w:hint="eastAsia"/>
                                  <w:sz w:val="16"/>
                                </w:rPr>
                                <w:t>八尾市立</w:t>
                              </w:r>
                              <w:r>
                                <w:rPr>
                                  <w:sz w:val="16"/>
                                </w:rPr>
                                <w:t>病院</w:t>
                              </w:r>
                            </w:p>
                          </w:txbxContent>
                        </v:textbox>
                      </v:shape>
                    </v:group>
                    <v:group id="グループ化 3885" o:spid="_x0000_s1712" style="position:absolute;width:22301;height:2159" coordsize="22301,215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">
                      <v:shape id="直線矢印コネクタ 3886" o:spid="_x0000_s1713" type="#_x0000_t32" style="position:absolute;top:971;width:2380;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" strokecolor="windowText">
                        <v:stroke endarrow="open" endarrowwidth="narrow" endarrowlength="short"/>
                      </v:shape>
                      <v:shape id="テキスト ボックス 3887" o:spid="_x0000_s1714" type="#_x0000_t202" style="position:absolute;left:2411;width:19890;height:215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" fillcolor="window" strokeweight=".5pt">
                        <v:textbox inset="0,0,0,0">
                          <w:txbxContent>
                            <w:p w14:paraId="623CDA88" w14:textId="77777777" w:rsidR="006A5267" w:rsidRPr="00A44B46" w:rsidRDefault="006A5267" w:rsidP="008B4B2B">
                              <w:pPr>
                                <w:jc w:val="center"/>
                                <w:rPr>
                                  <w:sz w:val="16"/>
                                </w:rPr>
                              </w:pPr>
                              <w:r>
                                <w:rPr>
                                  <w:rFonts w:hint="eastAsia"/>
                                  <w:sz w:val="16"/>
                                </w:rPr>
                                <w:t xml:space="preserve">消　</w:t>
                              </w:r>
                              <w:r>
                                <w:rPr>
                                  <w:sz w:val="16"/>
                                </w:rPr>
                                <w:t xml:space="preserve">　</w:t>
                              </w:r>
                              <w:r>
                                <w:rPr>
                                  <w:rFonts w:hint="eastAsia"/>
                                  <w:sz w:val="16"/>
                                </w:rPr>
                                <w:t xml:space="preserve">防　</w:t>
                              </w:r>
                              <w:r>
                                <w:rPr>
                                  <w:sz w:val="16"/>
                                </w:rPr>
                                <w:t xml:space="preserve">　</w:t>
                              </w:r>
                              <w:r>
                                <w:rPr>
                                  <w:rFonts w:hint="eastAsia"/>
                                  <w:sz w:val="16"/>
                                </w:rPr>
                                <w:t>庁</w:t>
                              </w:r>
                            </w:p>
                          </w:txbxContent>
                        </v:textbox>
                      </v:shape>
                    </v:group>
                    <v:group id="グループ化 3888" o:spid="_x0000_s1715" style="position:absolute;top:13289;width:22301;height:2159" coordsize="22301,215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">
                      <v:shape id="直線矢印コネクタ 3889" o:spid="_x0000_s1716" type="#_x0000_t32" style="position:absolute;top:971;width:2380;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" strokecolor="windowText">
                        <v:stroke endarrow="open" endarrowwidth="narrow" endarrowlength="short"/>
                      </v:shape>
                      <v:shape id="テキスト ボックス 3890" o:spid="_x0000_s1717" type="#_x0000_t202" style="position:absolute;left:2411;width:19890;height:215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" fillcolor="window" strokeweight=".5pt">
                        <v:textbox inset="0,0,0,0">
                          <w:txbxContent>
                            <w:p w14:paraId="1DFC4983" w14:textId="77777777" w:rsidR="006A5267" w:rsidRPr="00A44B46" w:rsidRDefault="006A5267" w:rsidP="008B4B2B">
                              <w:pPr>
                                <w:jc w:val="center"/>
                                <w:rPr>
                                  <w:sz w:val="16"/>
                                </w:rPr>
                              </w:pPr>
                              <w:r>
                                <w:rPr>
                                  <w:rFonts w:hint="eastAsia"/>
                                  <w:sz w:val="16"/>
                                </w:rPr>
                                <w:t>市立</w:t>
                              </w:r>
                              <w:r>
                                <w:rPr>
                                  <w:sz w:val="16"/>
                                </w:rPr>
                                <w:t>東大阪医療センター</w:t>
                              </w:r>
                            </w:p>
                          </w:txbxContent>
                        </v:textbox>
                      </v:shape>
                    </v:group>
                    <v:group id="グループ化 3891" o:spid="_x0000_s1718" style="position:absolute;top:16703;width:22301;height:2159" coordsize="22301,215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">
                      <v:shape id="直線矢印コネクタ 3892" o:spid="_x0000_s1719" type="#_x0000_t32" style="position:absolute;top:971;width:2380;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" strokecolor="windowText">
                        <v:stroke endarrow="open" endarrowwidth="narrow" endarrowlength="short"/>
                      </v:shape>
                      <v:shape id="テキスト ボックス 3893" o:spid="_x0000_s1720" type="#_x0000_t202" style="position:absolute;left:2411;width:19890;height:215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" fillcolor="window" strokeweight=".5pt">
                        <v:textbox inset="0,0,0,0">
                          <w:txbxContent>
                            <w:p w14:paraId="08CAD44E" w14:textId="77777777" w:rsidR="006A5267" w:rsidRPr="00A44B46" w:rsidRDefault="006A5267" w:rsidP="008B4B2B">
                              <w:pPr>
                                <w:jc w:val="center"/>
                                <w:rPr>
                                  <w:sz w:val="16"/>
                                </w:rPr>
                              </w:pPr>
                              <w:r>
                                <w:rPr>
                                  <w:rFonts w:hint="eastAsia"/>
                                  <w:sz w:val="16"/>
                                </w:rPr>
                                <w:t>八尾空港</w:t>
                              </w:r>
                              <w:r>
                                <w:rPr>
                                  <w:sz w:val="16"/>
                                </w:rPr>
                                <w:t>協議会</w:t>
                              </w:r>
                            </w:p>
                            <w:p w14:paraId="683F6C01" w14:textId="77777777" w:rsidR="006A5267" w:rsidRPr="00A44B46" w:rsidRDefault="006A5267" w:rsidP="008B4B2B">
                              <w:pPr>
                                <w:jc w:val="center"/>
                                <w:rPr>
                                  <w:sz w:val="16"/>
                                </w:rPr>
                              </w:pPr>
                            </w:p>
                          </w:txbxContent>
                        </v:textbox>
                      </v:shape>
                    </v:group>
                    <v:group id="グループ化 3894" o:spid="_x0000_s1721" style="position:absolute;top:19994;width:22301;height:2159" coordsize="22301,215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">
                      <v:shape id="直線矢印コネクタ 3895" o:spid="_x0000_s1722" type="#_x0000_t32" style="position:absolute;top:971;width:2380;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" strokecolor="windowText">
                        <v:stroke endarrow="open" endarrowwidth="narrow" endarrowlength="short"/>
                      </v:shape>
                      <v:shape id="テキスト ボックス 3896" o:spid="_x0000_s1723" type="#_x0000_t202" style="position:absolute;left:2411;width:19890;height:215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" fillcolor="window" strokeweight=".5pt">
                        <v:textbox inset="0,0,0,0">
                          <w:txbxContent>
                            <w:p w14:paraId="22D8C911" w14:textId="77777777" w:rsidR="006A5267" w:rsidRPr="00A44B46" w:rsidRDefault="006A5267" w:rsidP="008B4B2B">
                              <w:pPr>
                                <w:jc w:val="center"/>
                                <w:rPr>
                                  <w:sz w:val="16"/>
                                </w:rPr>
                              </w:pPr>
                              <w:r>
                                <w:rPr>
                                  <w:rFonts w:hint="eastAsia"/>
                                  <w:sz w:val="16"/>
                                </w:rPr>
                                <w:t>八尾空港消火</w:t>
                              </w:r>
                              <w:r>
                                <w:rPr>
                                  <w:sz w:val="16"/>
                                </w:rPr>
                                <w:t>救難隊</w:t>
                              </w:r>
                            </w:p>
                          </w:txbxContent>
                        </v:textbox>
                      </v:shape>
                    </v:group>
                    <v:group id="グループ化 3897" o:spid="_x0000_s1724" style="position:absolute;top:3291;width:22301;height:2159" coordsize="22301,215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">
                      <v:shape id="直線矢印コネクタ 3898" o:spid="_x0000_s1725" type="#_x0000_t32" style="position:absolute;top:971;width:2380;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" strokecolor="windowText">
                        <v:stroke endarrow="open" endarrowwidth="narrow" endarrowlength="short"/>
                      </v:shape>
                      <v:shape id="テキスト ボックス 3899" o:spid="_x0000_s1726" type="#_x0000_t202" style="position:absolute;left:2411;width:19890;height:215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" fillcolor="window" strokeweight=".5pt">
                        <v:textbox inset="0,0,0,0">
                          <w:txbxContent>
                            <w:p w14:paraId="140BDC2D" w14:textId="77777777" w:rsidR="006A5267" w:rsidRPr="00A44B46" w:rsidRDefault="006A5267" w:rsidP="008B4B2B">
                              <w:pPr>
                                <w:jc w:val="center"/>
                                <w:rPr>
                                  <w:sz w:val="16"/>
                                </w:rPr>
                              </w:pPr>
                              <w:r>
                                <w:rPr>
                                  <w:rFonts w:hint="eastAsia"/>
                                  <w:sz w:val="16"/>
                                </w:rPr>
                                <w:t>八尾市</w:t>
                              </w:r>
                              <w:r>
                                <w:rPr>
                                  <w:sz w:val="16"/>
                                </w:rPr>
                                <w:t>医師会</w:t>
                              </w:r>
                            </w:p>
                          </w:txbxContent>
                        </v:textbox>
                      </v:shape>
                    </v:group>
                    <v:group id="グループ化 3900" o:spid="_x0000_s1727" style="position:absolute;top:9997;width:22301;height:2159" coordsize="22301,215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">
                      <v:shape id="直線矢印コネクタ 3901" o:spid="_x0000_s1728" type="#_x0000_t32" style="position:absolute;top:971;width:2380;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" strokecolor="windowText">
                        <v:stroke endarrow="open" endarrowwidth="narrow" endarrowlength="short"/>
                      </v:shape>
                      <v:shape id="テキスト ボックス 3902" o:spid="_x0000_s1729" type="#_x0000_t202" style="position:absolute;left:2411;width:19890;height:215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" fillcolor="window" strokeweight=".5pt">
                        <v:textbox inset="0,0,0,0">
                          <w:txbxContent>
                            <w:p w14:paraId="79FA1413" w14:textId="77777777" w:rsidR="006A5267" w:rsidRPr="00A44B46" w:rsidRDefault="006A5267" w:rsidP="008B4B2B">
                              <w:pPr>
                                <w:jc w:val="center"/>
                                <w:rPr>
                                  <w:sz w:val="16"/>
                                </w:rPr>
                              </w:pPr>
                              <w:r>
                                <w:rPr>
                                  <w:rFonts w:hint="eastAsia"/>
                                  <w:sz w:val="16"/>
                                </w:rPr>
                                <w:t>府立</w:t>
                              </w:r>
                              <w:r>
                                <w:rPr>
                                  <w:sz w:val="16"/>
                                </w:rPr>
                                <w:t>中</w:t>
                              </w:r>
                              <w:r>
                                <w:rPr>
                                  <w:rFonts w:hint="eastAsia"/>
                                  <w:sz w:val="16"/>
                                </w:rPr>
                                <w:t>河内救命救急</w:t>
                              </w:r>
                              <w:r>
                                <w:rPr>
                                  <w:sz w:val="16"/>
                                </w:rPr>
                                <w:t>センター</w:t>
                              </w:r>
                            </w:p>
                          </w:txbxContent>
                        </v:textbox>
                      </v:shape>
                    </v:group>
                  </v:group>
                </v:group>
              </v:group>
            </w:pict>
          </mc:Fallback>
        </mc:AlternateContent>
      </w:r>
    </w:p>
    <w:p w14:paraId="3FE3DD52" w14:textId="5CA752A6" w:rsidR="008B4B2B" w:rsidRPr="001D6D10" w:rsidRDefault="008B4B2B" w:rsidP="008B4B2B">
      <w:pPr>
        <w:pStyle w:val="a0"/>
        <w:spacing w:line="0" w:lineRule="atLeast"/>
        <w:ind w:firstLineChars="100" w:firstLine="281"/>
        <w:rPr>
          <w:rFonts w:ascii="ＭＳ ゴシック" w:eastAsia="ＭＳ ゴシック" w:hAnsi="ＭＳ ゴシック"/>
          <w:bCs/>
          <w:sz w:val="28"/>
          <w:szCs w:val="28"/>
        </w:rPr>
      </w:pPr>
      <w:r w:rsidRPr="001D6D10">
        <w:rPr>
          <w:rFonts w:ascii="ＭＳ ゴシック" w:eastAsia="ＭＳ ゴシック" w:hAnsi="ＭＳ ゴシック"/>
          <w:bCs/>
          <w:noProof/>
          <w:sz w:val="28"/>
          <w:szCs w:val="28"/>
        </w:rPr>
        <mc:AlternateContent>
          <mc:Choice Requires="wpg">
            <w:drawing>
              <wp:anchor distT="0" distB="0" distL="114300" distR="114300" simplePos="0" relativeHeight="254018560" behindDoc="0" locked="0" layoutInCell="1" allowOverlap="1" wp14:anchorId="5E9CCE7A" wp14:editId="7F29B630">
                <wp:simplePos x="0" y="0"/>
                <wp:positionH relativeFrom="column">
                  <wp:posOffset>42640</wp:posOffset>
                </wp:positionH>
                <wp:positionV relativeFrom="paragraph">
                  <wp:posOffset>28307</wp:posOffset>
                </wp:positionV>
                <wp:extent cx="1142908" cy="1688974"/>
                <wp:effectExtent l="0" t="0" r="19685" b="26035"/>
                <wp:wrapNone/>
                <wp:docPr id="321" name="グループ化 321"/>
                <wp:cNvGraphicFramePr/>
                <a:graphic xmlns:a="http://schemas.openxmlformats.org/drawingml/2006/main">
                  <a:graphicData uri="http://schemas.microsoft.com/office/word/2010/wordprocessingGroup">
                    <wpg:wgp>
                      <wpg:cNvGrpSpPr/>
                      <wpg:grpSpPr>
                        <a:xfrm>
                          <a:off x="0" y="0"/>
                          <a:ext cx="1142908" cy="1688974"/>
                          <a:chOff x="0" y="0"/>
                          <a:chExt cx="1143000" cy="1689100"/>
                        </a:xfrm>
                      </wpg:grpSpPr>
                      <wpg:grpSp>
                        <wpg:cNvPr id="322" name="グループ化 322"/>
                        <wpg:cNvGrpSpPr/>
                        <wpg:grpSpPr>
                          <a:xfrm>
                            <a:off x="0" y="340360"/>
                            <a:ext cx="1141112" cy="216000"/>
                            <a:chOff x="0" y="0"/>
                            <a:chExt cx="1141112" cy="216000"/>
                          </a:xfrm>
                        </wpg:grpSpPr>
                        <wps:wsp>
                          <wps:cNvPr id="323" name="テキスト ボックス 323"/>
                          <wps:cNvSpPr txBox="1"/>
                          <wps:spPr>
                            <a:xfrm>
                              <a:off x="0" y="0"/>
                              <a:ext cx="900000" cy="216000"/>
                            </a:xfrm>
                            <a:prstGeom prst="rect">
                              <a:avLst/>
                            </a:prstGeom>
                            <a:solidFill>
                              <a:sysClr val="window" lastClr="FFFFFF"/>
                            </a:solidFill>
                            <a:ln w="6350">
                              <a:solidFill>
                                <a:prstClr val="black"/>
                              </a:solidFill>
                            </a:ln>
                          </wps:spPr>
                          <wps:txbx>
                            <w:txbxContent>
                              <w:p w14:paraId="1C712332" w14:textId="77777777" w:rsidR="006A5267" w:rsidRPr="00A44B46" w:rsidRDefault="006A5267" w:rsidP="008B4B2B">
                                <w:pPr>
                                  <w:jc w:val="center"/>
                                  <w:rPr>
                                    <w:sz w:val="16"/>
                                  </w:rPr>
                                </w:pPr>
                                <w:r>
                                  <w:rPr>
                                    <w:rFonts w:hint="eastAsia"/>
                                    <w:sz w:val="16"/>
                                  </w:rPr>
                                  <w:t>大阪航空局</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wps:wsp>
                          <wps:cNvPr id="324" name="直線矢印コネクタ 324"/>
                          <wps:cNvCnPr/>
                          <wps:spPr>
                            <a:xfrm flipH="1">
                              <a:off x="903065" y="108464"/>
                              <a:ext cx="238047" cy="0"/>
                            </a:xfrm>
                            <a:prstGeom prst="straightConnector1">
                              <a:avLst/>
                            </a:prstGeom>
                            <a:noFill/>
                            <a:ln w="9525" cap="flat" cmpd="sng" algn="ctr">
                              <a:solidFill>
                                <a:sysClr val="windowText" lastClr="000000"/>
                              </a:solidFill>
                              <a:prstDash val="solid"/>
                              <a:tailEnd type="arrow" w="sm" len="sm"/>
                            </a:ln>
                            <a:effectLst/>
                          </wps:spPr>
                          <wps:bodyPr/>
                        </wps:wsp>
                      </wpg:grpSp>
                      <wpg:grpSp>
                        <wpg:cNvPr id="325" name="グループ化 325"/>
                        <wpg:cNvGrpSpPr/>
                        <wpg:grpSpPr>
                          <a:xfrm>
                            <a:off x="0" y="0"/>
                            <a:ext cx="1141112" cy="216000"/>
                            <a:chOff x="0" y="0"/>
                            <a:chExt cx="1141112" cy="216000"/>
                          </a:xfrm>
                        </wpg:grpSpPr>
                        <wps:wsp>
                          <wps:cNvPr id="326" name="テキスト ボックス 326"/>
                          <wps:cNvSpPr txBox="1"/>
                          <wps:spPr>
                            <a:xfrm>
                              <a:off x="0" y="0"/>
                              <a:ext cx="900000" cy="216000"/>
                            </a:xfrm>
                            <a:prstGeom prst="rect">
                              <a:avLst/>
                            </a:prstGeom>
                            <a:solidFill>
                              <a:sysClr val="window" lastClr="FFFFFF"/>
                            </a:solidFill>
                            <a:ln w="6350">
                              <a:solidFill>
                                <a:prstClr val="black"/>
                              </a:solidFill>
                            </a:ln>
                          </wps:spPr>
                          <wps:txbx>
                            <w:txbxContent>
                              <w:p w14:paraId="6B97744A" w14:textId="77777777" w:rsidR="006A5267" w:rsidRPr="00A44B46" w:rsidRDefault="006A5267" w:rsidP="008B4B2B">
                                <w:pPr>
                                  <w:jc w:val="center"/>
                                  <w:rPr>
                                    <w:sz w:val="16"/>
                                  </w:rPr>
                                </w:pPr>
                                <w:r w:rsidRPr="00A44B46">
                                  <w:rPr>
                                    <w:rFonts w:hint="eastAsia"/>
                                    <w:sz w:val="16"/>
                                  </w:rPr>
                                  <w:t>国土交通省</w:t>
                                </w:r>
                                <w:r w:rsidRPr="00A44B46">
                                  <w:rPr>
                                    <w:sz w:val="16"/>
                                  </w:rPr>
                                  <w:t>運輸局</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wps:wsp>
                          <wps:cNvPr id="327" name="直線矢印コネクタ 327"/>
                          <wps:cNvCnPr/>
                          <wps:spPr>
                            <a:xfrm flipH="1">
                              <a:off x="903065" y="108464"/>
                              <a:ext cx="238047" cy="0"/>
                            </a:xfrm>
                            <a:prstGeom prst="straightConnector1">
                              <a:avLst/>
                            </a:prstGeom>
                            <a:noFill/>
                            <a:ln w="9525" cap="flat" cmpd="sng" algn="ctr">
                              <a:solidFill>
                                <a:sysClr val="windowText" lastClr="000000"/>
                              </a:solidFill>
                              <a:prstDash val="solid"/>
                              <a:tailEnd type="arrow" w="sm" len="sm"/>
                            </a:ln>
                            <a:effectLst/>
                          </wps:spPr>
                          <wps:bodyPr/>
                        </wps:wsp>
                      </wpg:grpSp>
                      <wpg:grpSp>
                        <wpg:cNvPr id="328" name="グループ化 328"/>
                        <wpg:cNvGrpSpPr/>
                        <wpg:grpSpPr>
                          <a:xfrm>
                            <a:off x="0" y="680720"/>
                            <a:ext cx="1141095" cy="215900"/>
                            <a:chOff x="0" y="0"/>
                            <a:chExt cx="1141112" cy="216000"/>
                          </a:xfrm>
                        </wpg:grpSpPr>
                        <wps:wsp>
                          <wps:cNvPr id="329" name="テキスト ボックス 329"/>
                          <wps:cNvSpPr txBox="1"/>
                          <wps:spPr>
                            <a:xfrm>
                              <a:off x="0" y="0"/>
                              <a:ext cx="900000" cy="216000"/>
                            </a:xfrm>
                            <a:prstGeom prst="rect">
                              <a:avLst/>
                            </a:prstGeom>
                            <a:solidFill>
                              <a:sysClr val="window" lastClr="FFFFFF"/>
                            </a:solidFill>
                            <a:ln w="6350">
                              <a:solidFill>
                                <a:prstClr val="black"/>
                              </a:solidFill>
                            </a:ln>
                          </wps:spPr>
                          <wps:txbx>
                            <w:txbxContent>
                              <w:p w14:paraId="58815E16" w14:textId="77777777" w:rsidR="006A5267" w:rsidRPr="00A44B46" w:rsidRDefault="006A5267" w:rsidP="008B4B2B">
                                <w:pPr>
                                  <w:jc w:val="center"/>
                                  <w:rPr>
                                    <w:sz w:val="16"/>
                                  </w:rPr>
                                </w:pPr>
                                <w:r>
                                  <w:rPr>
                                    <w:rFonts w:hint="eastAsia"/>
                                    <w:sz w:val="16"/>
                                  </w:rPr>
                                  <w:t>ＲＣＣ</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wps:wsp>
                          <wps:cNvPr id="333" name="直線矢印コネクタ 333"/>
                          <wps:cNvCnPr/>
                          <wps:spPr>
                            <a:xfrm flipH="1">
                              <a:off x="903065" y="108464"/>
                              <a:ext cx="238047" cy="0"/>
                            </a:xfrm>
                            <a:prstGeom prst="straightConnector1">
                              <a:avLst/>
                            </a:prstGeom>
                            <a:noFill/>
                            <a:ln w="9525" cap="flat" cmpd="sng" algn="ctr">
                              <a:solidFill>
                                <a:sysClr val="windowText" lastClr="000000"/>
                              </a:solidFill>
                              <a:prstDash val="solid"/>
                              <a:tailEnd type="arrow" w="sm" len="sm"/>
                            </a:ln>
                            <a:effectLst/>
                          </wps:spPr>
                          <wps:bodyPr/>
                        </wps:wsp>
                      </wpg:grpSp>
                      <wpg:grpSp>
                        <wpg:cNvPr id="335" name="グループ化 335"/>
                        <wpg:cNvGrpSpPr/>
                        <wpg:grpSpPr>
                          <a:xfrm>
                            <a:off x="0" y="1021080"/>
                            <a:ext cx="1141095" cy="330200"/>
                            <a:chOff x="0" y="0"/>
                            <a:chExt cx="1141112" cy="330505"/>
                          </a:xfrm>
                        </wpg:grpSpPr>
                        <wps:wsp>
                          <wps:cNvPr id="336" name="テキスト ボックス 336"/>
                          <wps:cNvSpPr txBox="1"/>
                          <wps:spPr>
                            <a:xfrm>
                              <a:off x="0" y="0"/>
                              <a:ext cx="900000" cy="330505"/>
                            </a:xfrm>
                            <a:prstGeom prst="rect">
                              <a:avLst/>
                            </a:prstGeom>
                            <a:solidFill>
                              <a:sysClr val="window" lastClr="FFFFFF"/>
                            </a:solidFill>
                            <a:ln w="6350">
                              <a:solidFill>
                                <a:prstClr val="black"/>
                              </a:solidFill>
                            </a:ln>
                          </wps:spPr>
                          <wps:txbx>
                            <w:txbxContent>
                              <w:p w14:paraId="791C098E" w14:textId="77777777" w:rsidR="006A5267" w:rsidRDefault="006A5267" w:rsidP="008B4B2B">
                                <w:pPr>
                                  <w:spacing w:line="240" w:lineRule="exact"/>
                                  <w:jc w:val="center"/>
                                  <w:rPr>
                                    <w:sz w:val="16"/>
                                  </w:rPr>
                                </w:pPr>
                                <w:r>
                                  <w:rPr>
                                    <w:rFonts w:hint="eastAsia"/>
                                    <w:sz w:val="16"/>
                                  </w:rPr>
                                  <w:t>航空保安協会</w:t>
                                </w:r>
                              </w:p>
                              <w:p w14:paraId="43A77E8D" w14:textId="77777777" w:rsidR="006A5267" w:rsidRPr="00A44B46" w:rsidRDefault="006A5267" w:rsidP="008B4B2B">
                                <w:pPr>
                                  <w:spacing w:line="240" w:lineRule="exact"/>
                                  <w:jc w:val="center"/>
                                  <w:rPr>
                                    <w:sz w:val="16"/>
                                  </w:rPr>
                                </w:pPr>
                                <w:r>
                                  <w:rPr>
                                    <w:rFonts w:hint="eastAsia"/>
                                    <w:sz w:val="16"/>
                                  </w:rPr>
                                  <w:t>八尾</w:t>
                                </w:r>
                                <w:r>
                                  <w:rPr>
                                    <w:sz w:val="16"/>
                                  </w:rPr>
                                  <w:t>事務所</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wps:wsp>
                          <wps:cNvPr id="337" name="直線矢印コネクタ 337"/>
                          <wps:cNvCnPr/>
                          <wps:spPr>
                            <a:xfrm flipH="1">
                              <a:off x="903065" y="165667"/>
                              <a:ext cx="238047" cy="0"/>
                            </a:xfrm>
                            <a:prstGeom prst="straightConnector1">
                              <a:avLst/>
                            </a:prstGeom>
                            <a:noFill/>
                            <a:ln w="9525" cap="flat" cmpd="sng" algn="ctr">
                              <a:solidFill>
                                <a:sysClr val="windowText" lastClr="000000"/>
                              </a:solidFill>
                              <a:prstDash val="solid"/>
                              <a:tailEnd type="arrow" w="sm" len="sm"/>
                            </a:ln>
                            <a:effectLst/>
                          </wps:spPr>
                          <wps:bodyPr/>
                        </wps:wsp>
                      </wpg:grpSp>
                      <wpg:grpSp>
                        <wpg:cNvPr id="338" name="グループ化 338"/>
                        <wpg:cNvGrpSpPr/>
                        <wpg:grpSpPr>
                          <a:xfrm>
                            <a:off x="0" y="1473200"/>
                            <a:ext cx="1141095" cy="215900"/>
                            <a:chOff x="0" y="0"/>
                            <a:chExt cx="1141112" cy="216000"/>
                          </a:xfrm>
                        </wpg:grpSpPr>
                        <wps:wsp>
                          <wps:cNvPr id="339" name="テキスト ボックス 339"/>
                          <wps:cNvSpPr txBox="1"/>
                          <wps:spPr>
                            <a:xfrm>
                              <a:off x="0" y="0"/>
                              <a:ext cx="900000" cy="216000"/>
                            </a:xfrm>
                            <a:prstGeom prst="rect">
                              <a:avLst/>
                            </a:prstGeom>
                            <a:solidFill>
                              <a:sysClr val="window" lastClr="FFFFFF"/>
                            </a:solidFill>
                            <a:ln w="6350">
                              <a:solidFill>
                                <a:prstClr val="black"/>
                              </a:solidFill>
                            </a:ln>
                          </wps:spPr>
                          <wps:txbx>
                            <w:txbxContent>
                              <w:p w14:paraId="4BC9821F" w14:textId="77777777" w:rsidR="006A5267" w:rsidRPr="00A44B46" w:rsidRDefault="006A5267" w:rsidP="008B4B2B">
                                <w:pPr>
                                  <w:jc w:val="center"/>
                                  <w:rPr>
                                    <w:sz w:val="16"/>
                                  </w:rPr>
                                </w:pPr>
                                <w:r>
                                  <w:rPr>
                                    <w:rFonts w:hint="eastAsia"/>
                                    <w:sz w:val="16"/>
                                  </w:rPr>
                                  <w:t>当該</w:t>
                                </w:r>
                                <w:r>
                                  <w:rPr>
                                    <w:sz w:val="16"/>
                                  </w:rPr>
                                  <w:t>航空機運</w:t>
                                </w:r>
                                <w:r>
                                  <w:rPr>
                                    <w:rFonts w:hint="eastAsia"/>
                                    <w:sz w:val="16"/>
                                  </w:rPr>
                                  <w:t>航者</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wps:wsp>
                          <wps:cNvPr id="340" name="直線矢印コネクタ 340"/>
                          <wps:cNvCnPr/>
                          <wps:spPr>
                            <a:xfrm flipH="1">
                              <a:off x="903065" y="108464"/>
                              <a:ext cx="238047" cy="0"/>
                            </a:xfrm>
                            <a:prstGeom prst="straightConnector1">
                              <a:avLst/>
                            </a:prstGeom>
                            <a:noFill/>
                            <a:ln w="9525" cap="flat" cmpd="sng" algn="ctr">
                              <a:solidFill>
                                <a:sysClr val="windowText" lastClr="000000"/>
                              </a:solidFill>
                              <a:prstDash val="solid"/>
                              <a:tailEnd type="arrow" w="sm" len="sm"/>
                            </a:ln>
                            <a:effectLst/>
                          </wps:spPr>
                          <wps:bodyPr/>
                        </wps:wsp>
                      </wpg:grpSp>
                      <wps:wsp>
                        <wps:cNvPr id="341" name="直線コネクタ 341"/>
                        <wps:cNvCnPr/>
                        <wps:spPr>
                          <a:xfrm>
                            <a:off x="1143000" y="106680"/>
                            <a:ext cx="0" cy="1473200"/>
                          </a:xfrm>
                          <a:prstGeom prst="line">
                            <a:avLst/>
                          </a:prstGeom>
                          <a:noFill/>
                          <a:ln w="9525" cap="flat" cmpd="sng" algn="ctr">
                            <a:solidFill>
                              <a:sysClr val="windowText" lastClr="000000"/>
                            </a:solidFill>
                            <a:prstDash val="solid"/>
                          </a:ln>
                          <a:effectLst/>
                        </wps:spPr>
                        <wps:bodyPr/>
                      </wps:wsp>
                    </wpg:wgp>
                  </a:graphicData>
                </a:graphic>
              </wp:anchor>
            </w:drawing>
          </mc:Choice>
          <mc:Fallback xmlns:w16cei="http://schemas.microsoft.com/office/word/2026/wordml/cei">
            <w:pict>
              <v:group w14:anchorId="5E9CCE7A" id="グループ化 321" o:spid="_x0000_s1730" style="position:absolute;left:0;text-align:left;margin-left:3.35pt;margin-top:2.25pt;width:90pt;height:133pt;z-index:254018560;mso-position-horizontal-relative:text;mso-position-vertical-relative:text" coordsize="11430,1689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">
                <v:group id="グループ化 322" o:spid="_x0000_s1731" style="position:absolute;top:3403;width:11411;height:2160" coordsize="11411,21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">
                  <v:shape id="テキスト ボックス 323" o:spid="_x0000_s1732" type="#_x0000_t202" style="position:absolute;width:9000;height:216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" fillcolor="window" strokeweight=".5pt">
                    <v:textbox inset="0,0,0,0">
                      <w:txbxContent>
                        <w:p w14:paraId="1C712332" w14:textId="77777777" w:rsidR="006A5267" w:rsidRPr="00A44B46" w:rsidRDefault="006A5267" w:rsidP="008B4B2B">
                          <w:pPr>
                            <w:jc w:val="center"/>
                            <w:rPr>
                              <w:sz w:val="16"/>
                            </w:rPr>
                          </w:pPr>
                          <w:r>
                            <w:rPr>
                              <w:rFonts w:hint="eastAsia"/>
                              <w:sz w:val="16"/>
                            </w:rPr>
                            <w:t>大阪航空局</w:t>
                          </w:r>
                        </w:p>
                      </w:txbxContent>
                    </v:textbox>
                  </v:shape>
                  <v:shape id="直線矢印コネクタ 324" o:spid="_x0000_s1733" type="#_x0000_t32" style="position:absolute;left:9030;top:1084;width:2381;height:0;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" strokecolor="windowText">
                    <v:stroke endarrow="open" endarrowwidth="narrow" endarrowlength="short"/>
                  </v:shape>
                </v:group>
                <v:group id="グループ化 325" o:spid="_x0000_s1734" style="position:absolute;width:11411;height:2160" coordsize="11411,21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">
                  <v:shape id="テキスト ボックス 326" o:spid="_x0000_s1735" type="#_x0000_t202" style="position:absolute;width:9000;height:216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" fillcolor="window" strokeweight=".5pt">
                    <v:textbox inset="0,0,0,0">
                      <w:txbxContent>
                        <w:p w14:paraId="6B97744A" w14:textId="77777777" w:rsidR="006A5267" w:rsidRPr="00A44B46" w:rsidRDefault="006A5267" w:rsidP="008B4B2B">
                          <w:pPr>
                            <w:jc w:val="center"/>
                            <w:rPr>
                              <w:sz w:val="16"/>
                            </w:rPr>
                          </w:pPr>
                          <w:r w:rsidRPr="00A44B46">
                            <w:rPr>
                              <w:rFonts w:hint="eastAsia"/>
                              <w:sz w:val="16"/>
                            </w:rPr>
                            <w:t>国土交通省</w:t>
                          </w:r>
                          <w:r w:rsidRPr="00A44B46">
                            <w:rPr>
                              <w:sz w:val="16"/>
                            </w:rPr>
                            <w:t>運輸局</w:t>
                          </w:r>
                        </w:p>
                      </w:txbxContent>
                    </v:textbox>
                  </v:shape>
                  <v:shape id="直線矢印コネクタ 327" o:spid="_x0000_s1736" type="#_x0000_t32" style="position:absolute;left:9030;top:1084;width:2381;height:0;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" strokecolor="windowText">
                    <v:stroke endarrow="open" endarrowwidth="narrow" endarrowlength="short"/>
                  </v:shape>
                </v:group>
                <v:group id="グループ化 328" o:spid="_x0000_s1737" style="position:absolute;top:6807;width:11410;height:2159" coordsize="11411,21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">
                  <v:shape id="テキスト ボックス 329" o:spid="_x0000_s1738" type="#_x0000_t202" style="position:absolute;width:9000;height:216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" fillcolor="window" strokeweight=".5pt">
                    <v:textbox inset="0,0,0,0">
                      <w:txbxContent>
                        <w:p w14:paraId="58815E16" w14:textId="77777777" w:rsidR="006A5267" w:rsidRPr="00A44B46" w:rsidRDefault="006A5267" w:rsidP="008B4B2B">
                          <w:pPr>
                            <w:jc w:val="center"/>
                            <w:rPr>
                              <w:sz w:val="16"/>
                            </w:rPr>
                          </w:pPr>
                          <w:r>
                            <w:rPr>
                              <w:rFonts w:hint="eastAsia"/>
                              <w:sz w:val="16"/>
                            </w:rPr>
                            <w:t>ＲＣＣ</w:t>
                          </w:r>
                        </w:p>
                      </w:txbxContent>
                    </v:textbox>
                  </v:shape>
                  <v:shape id="直線矢印コネクタ 333" o:spid="_x0000_s1739" type="#_x0000_t32" style="position:absolute;left:9030;top:1084;width:2381;height:0;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" strokecolor="windowText">
                    <v:stroke endarrow="open" endarrowwidth="narrow" endarrowlength="short"/>
                  </v:shape>
                </v:group>
                <v:group id="グループ化 335" o:spid="_x0000_s1740" style="position:absolute;top:10210;width:11410;height:3302" coordsize="11411,33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">
                  <v:shape id="テキスト ボックス 336" o:spid="_x0000_s1741" type="#_x0000_t202" style="position:absolute;width:9000;height:330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" fillcolor="window" strokeweight=".5pt">
                    <v:textbox inset="0,0,0,0">
                      <w:txbxContent>
                        <w:p w14:paraId="791C098E" w14:textId="77777777" w:rsidR="006A5267" w:rsidRDefault="006A5267" w:rsidP="008B4B2B">
                          <w:pPr>
                            <w:spacing w:line="240" w:lineRule="exact"/>
                            <w:jc w:val="center"/>
                            <w:rPr>
                              <w:sz w:val="16"/>
                            </w:rPr>
                          </w:pPr>
                          <w:r>
                            <w:rPr>
                              <w:rFonts w:hint="eastAsia"/>
                              <w:sz w:val="16"/>
                            </w:rPr>
                            <w:t>航空保安協会</w:t>
                          </w:r>
                        </w:p>
                        <w:p w14:paraId="43A77E8D" w14:textId="77777777" w:rsidR="006A5267" w:rsidRPr="00A44B46" w:rsidRDefault="006A5267" w:rsidP="008B4B2B">
                          <w:pPr>
                            <w:spacing w:line="240" w:lineRule="exact"/>
                            <w:jc w:val="center"/>
                            <w:rPr>
                              <w:sz w:val="16"/>
                            </w:rPr>
                          </w:pPr>
                          <w:r>
                            <w:rPr>
                              <w:rFonts w:hint="eastAsia"/>
                              <w:sz w:val="16"/>
                            </w:rPr>
                            <w:t>八尾</w:t>
                          </w:r>
                          <w:r>
                            <w:rPr>
                              <w:sz w:val="16"/>
                            </w:rPr>
                            <w:t>事務所</w:t>
                          </w:r>
                        </w:p>
                      </w:txbxContent>
                    </v:textbox>
                  </v:shape>
                  <v:shape id="直線矢印コネクタ 337" o:spid="_x0000_s1742" type="#_x0000_t32" style="position:absolute;left:9030;top:1656;width:2381;height:0;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" strokecolor="windowText">
                    <v:stroke endarrow="open" endarrowwidth="narrow" endarrowlength="short"/>
                  </v:shape>
                </v:group>
                <v:group id="グループ化 338" o:spid="_x0000_s1743" style="position:absolute;top:14732;width:11410;height:2159" coordsize="11411,21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">
                  <v:shape id="テキスト ボックス 339" o:spid="_x0000_s1744" type="#_x0000_t202" style="position:absolute;width:9000;height:216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" fillcolor="window" strokeweight=".5pt">
                    <v:textbox inset="0,0,0,0">
                      <w:txbxContent>
                        <w:p w14:paraId="4BC9821F" w14:textId="77777777" w:rsidR="006A5267" w:rsidRPr="00A44B46" w:rsidRDefault="006A5267" w:rsidP="008B4B2B">
                          <w:pPr>
                            <w:jc w:val="center"/>
                            <w:rPr>
                              <w:sz w:val="16"/>
                            </w:rPr>
                          </w:pPr>
                          <w:r>
                            <w:rPr>
                              <w:rFonts w:hint="eastAsia"/>
                              <w:sz w:val="16"/>
                            </w:rPr>
                            <w:t>当該</w:t>
                          </w:r>
                          <w:r>
                            <w:rPr>
                              <w:sz w:val="16"/>
                            </w:rPr>
                            <w:t>航空機運</w:t>
                          </w:r>
                          <w:r>
                            <w:rPr>
                              <w:rFonts w:hint="eastAsia"/>
                              <w:sz w:val="16"/>
                            </w:rPr>
                            <w:t>航者</w:t>
                          </w:r>
                        </w:p>
                      </w:txbxContent>
                    </v:textbox>
                  </v:shape>
                  <v:shape id="直線矢印コネクタ 340" o:spid="_x0000_s1745" type="#_x0000_t32" style="position:absolute;left:9030;top:1084;width:2381;height:0;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" strokecolor="windowText">
                    <v:stroke endarrow="open" endarrowwidth="narrow" endarrowlength="short"/>
                  </v:shape>
                </v:group>
                <v:line id="直線コネクタ 341" o:spid="_x0000_s1746" style="position:absolute;visibility:visible;mso-wrap-style:square" from="11430,1066" to="11430,1579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" strokecolor="windowText"/>
              </v:group>
            </w:pict>
          </mc:Fallback>
        </mc:AlternateContent>
      </w:r>
    </w:p>
    <w:p w14:paraId="23AE5D45" w14:textId="77777777" w:rsidR="008B4B2B" w:rsidRPr="001D6D10" w:rsidRDefault="008B4B2B" w:rsidP="008B4B2B">
      <w:pPr>
        <w:pStyle w:val="a0"/>
        <w:spacing w:line="0" w:lineRule="atLeast"/>
        <w:ind w:firstLineChars="100" w:firstLine="281"/>
        <w:rPr>
          <w:rFonts w:ascii="ＭＳ ゴシック" w:eastAsia="ＭＳ ゴシック" w:hAnsi="ＭＳ ゴシック"/>
          <w:bCs/>
          <w:sz w:val="28"/>
          <w:szCs w:val="28"/>
        </w:rPr>
      </w:pPr>
      <w:r w:rsidRPr="001D6D10">
        <w:rPr>
          <w:rFonts w:ascii="ＭＳ ゴシック" w:eastAsia="ＭＳ ゴシック" w:hAnsi="ＭＳ ゴシック"/>
          <w:bCs/>
          <w:noProof/>
          <w:sz w:val="28"/>
          <w:szCs w:val="28"/>
        </w:rPr>
        <mc:AlternateContent>
          <mc:Choice Requires="wps">
            <w:drawing>
              <wp:anchor distT="0" distB="0" distL="114300" distR="114300" simplePos="0" relativeHeight="254019584" behindDoc="0" locked="0" layoutInCell="1" allowOverlap="1" wp14:anchorId="574E0447" wp14:editId="7E3F5E8C">
                <wp:simplePos x="0" y="0"/>
                <wp:positionH relativeFrom="column">
                  <wp:posOffset>2566035</wp:posOffset>
                </wp:positionH>
                <wp:positionV relativeFrom="paragraph">
                  <wp:posOffset>50800</wp:posOffset>
                </wp:positionV>
                <wp:extent cx="248920" cy="900000"/>
                <wp:effectExtent l="0" t="0" r="17780" b="14605"/>
                <wp:wrapNone/>
                <wp:docPr id="349" name="テキスト ボックス 349"/>
                <wp:cNvGraphicFramePr/>
                <a:graphic xmlns:a="http://schemas.openxmlformats.org/drawingml/2006/main">
                  <a:graphicData uri="http://schemas.microsoft.com/office/word/2010/wordprocessingShape">
                    <wps:wsp>
                      <wps:cNvSpPr txBox="1"/>
                      <wps:spPr>
                        <a:xfrm>
                          <a:off x="0" y="0"/>
                          <a:ext cx="248920" cy="900000"/>
                        </a:xfrm>
                        <a:prstGeom prst="rect">
                          <a:avLst/>
                        </a:prstGeom>
                        <a:solidFill>
                          <a:sysClr val="window" lastClr="FFFFFF"/>
                        </a:solidFill>
                        <a:ln w="6350">
                          <a:solidFill>
                            <a:prstClr val="black"/>
                          </a:solidFill>
                        </a:ln>
                      </wps:spPr>
                      <wps:txbx>
                        <w:txbxContent>
                          <w:p w14:paraId="4BEFFDB4" w14:textId="77777777" w:rsidR="006A5267" w:rsidRPr="00A44B46" w:rsidRDefault="006A5267" w:rsidP="008B4B2B">
                            <w:pPr>
                              <w:jc w:val="center"/>
                              <w:rPr>
                                <w:sz w:val="16"/>
                              </w:rPr>
                            </w:pPr>
                            <w:r w:rsidRPr="00A44B46">
                              <w:rPr>
                                <w:rFonts w:hint="eastAsia"/>
                                <w:sz w:val="16"/>
                              </w:rPr>
                              <w:t>援助</w:t>
                            </w:r>
                            <w:r w:rsidRPr="00A44B46">
                              <w:rPr>
                                <w:sz w:val="16"/>
                              </w:rPr>
                              <w:t>要請機関等</w:t>
                            </w:r>
                          </w:p>
                        </w:txbxContent>
                      </wps:txbx>
                      <wps:bodyPr rot="0" spcFirstLastPara="0" vertOverflow="overflow" horzOverflow="overflow" vert="eaVert" wrap="square" lIns="0" tIns="0" rIns="0" bIns="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xmlns:w16cei="http://schemas.microsoft.com/office/word/2026/wordml/cei">
            <w:pict>
              <v:shape w14:anchorId="574E0447" id="テキスト ボックス 349" o:spid="_x0000_s1747" type="#_x0000_t202" style="position:absolute;left:0;text-align:left;margin-left:202.05pt;margin-top:4pt;width:19.6pt;height:70.85pt;z-index:25401958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" fillcolor="window" strokeweight=".5pt">
                <v:textbox style="layout-flow:vertical-ideographic" inset="0,0,0,0">
                  <w:txbxContent>
                    <w:p w14:paraId="4BEFFDB4" w14:textId="77777777" w:rsidR="006A5267" w:rsidRPr="00A44B46" w:rsidRDefault="006A5267" w:rsidP="008B4B2B">
                      <w:pPr>
                        <w:jc w:val="center"/>
                        <w:rPr>
                          <w:sz w:val="16"/>
                        </w:rPr>
                      </w:pPr>
                      <w:r w:rsidRPr="00A44B46">
                        <w:rPr>
                          <w:rFonts w:hint="eastAsia"/>
                          <w:sz w:val="16"/>
                        </w:rPr>
                        <w:t>援助</w:t>
                      </w:r>
                      <w:r w:rsidRPr="00A44B46">
                        <w:rPr>
                          <w:sz w:val="16"/>
                        </w:rPr>
                        <w:t>要請機関等</w:t>
                      </w:r>
                    </w:p>
                  </w:txbxContent>
                </v:textbox>
              </v:shape>
            </w:pict>
          </mc:Fallback>
        </mc:AlternateContent>
      </w:r>
    </w:p>
    <w:p w14:paraId="733CE8AB" w14:textId="77777777" w:rsidR="008B4B2B" w:rsidRPr="001D6D10" w:rsidRDefault="008B4B2B" w:rsidP="008B4B2B">
      <w:pPr>
        <w:pStyle w:val="a0"/>
        <w:spacing w:line="0" w:lineRule="atLeast"/>
        <w:ind w:firstLineChars="100" w:firstLine="281"/>
        <w:rPr>
          <w:rFonts w:ascii="ＭＳ ゴシック" w:eastAsia="ＭＳ ゴシック" w:hAnsi="ＭＳ ゴシック"/>
          <w:bCs/>
          <w:sz w:val="28"/>
          <w:szCs w:val="28"/>
        </w:rPr>
      </w:pPr>
      <w:r w:rsidRPr="001D6D10">
        <w:rPr>
          <w:rFonts w:ascii="ＭＳ ゴシック" w:eastAsia="ＭＳ ゴシック" w:hAnsi="ＭＳ ゴシック"/>
          <w:bCs/>
          <w:noProof/>
          <w:sz w:val="28"/>
          <w:szCs w:val="28"/>
        </w:rPr>
        <mc:AlternateContent>
          <mc:Choice Requires="wpg">
            <w:drawing>
              <wp:anchor distT="0" distB="0" distL="114300" distR="114300" simplePos="0" relativeHeight="253314048" behindDoc="0" locked="0" layoutInCell="1" allowOverlap="1" wp14:anchorId="0FA48EB5" wp14:editId="601B1EAA">
                <wp:simplePos x="0" y="0"/>
                <wp:positionH relativeFrom="column">
                  <wp:posOffset>1189605</wp:posOffset>
                </wp:positionH>
                <wp:positionV relativeFrom="paragraph">
                  <wp:posOffset>87476</wp:posOffset>
                </wp:positionV>
                <wp:extent cx="1820398" cy="215884"/>
                <wp:effectExtent l="0" t="0" r="8890" b="13335"/>
                <wp:wrapNone/>
                <wp:docPr id="344" name="グループ化 344"/>
                <wp:cNvGraphicFramePr/>
                <a:graphic xmlns:a="http://schemas.openxmlformats.org/drawingml/2006/main">
                  <a:graphicData uri="http://schemas.microsoft.com/office/word/2010/wordprocessingGroup">
                    <wpg:wgp>
                      <wpg:cNvGrpSpPr/>
                      <wpg:grpSpPr>
                        <a:xfrm>
                          <a:off x="0" y="0"/>
                          <a:ext cx="1820398" cy="215884"/>
                          <a:chOff x="0" y="0"/>
                          <a:chExt cx="1820985" cy="216000"/>
                        </a:xfrm>
                      </wpg:grpSpPr>
                      <wpg:grpSp>
                        <wpg:cNvPr id="345" name="グループ化 345"/>
                        <wpg:cNvGrpSpPr/>
                        <wpg:grpSpPr>
                          <a:xfrm>
                            <a:off x="241539" y="0"/>
                            <a:ext cx="1579446" cy="216000"/>
                            <a:chOff x="0" y="0"/>
                            <a:chExt cx="1579446" cy="216000"/>
                          </a:xfrm>
                        </wpg:grpSpPr>
                        <wps:wsp>
                          <wps:cNvPr id="346" name="テキスト ボックス 346"/>
                          <wps:cNvSpPr txBox="1"/>
                          <wps:spPr>
                            <a:xfrm>
                              <a:off x="0" y="0"/>
                              <a:ext cx="900000" cy="216000"/>
                            </a:xfrm>
                            <a:prstGeom prst="rect">
                              <a:avLst/>
                            </a:prstGeom>
                            <a:solidFill>
                              <a:sysClr val="window" lastClr="FFFFFF"/>
                            </a:solidFill>
                            <a:ln w="6350">
                              <a:solidFill>
                                <a:prstClr val="black"/>
                              </a:solidFill>
                            </a:ln>
                          </wps:spPr>
                          <wps:txbx>
                            <w:txbxContent>
                              <w:p w14:paraId="75858D87" w14:textId="77777777" w:rsidR="006A5267" w:rsidRPr="00A44B46" w:rsidRDefault="006A5267" w:rsidP="008B4B2B">
                                <w:pPr>
                                  <w:jc w:val="center"/>
                                  <w:rPr>
                                    <w:sz w:val="16"/>
                                  </w:rPr>
                                </w:pPr>
                                <w:r>
                                  <w:rPr>
                                    <w:rFonts w:hint="eastAsia"/>
                                    <w:sz w:val="16"/>
                                  </w:rPr>
                                  <w:t>八尾</w:t>
                                </w:r>
                                <w:r>
                                  <w:rPr>
                                    <w:sz w:val="16"/>
                                  </w:rPr>
                                  <w:t>空港事務所</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wps:wsp>
                          <wps:cNvPr id="347" name="直線矢印コネクタ 347"/>
                          <wps:cNvCnPr/>
                          <wps:spPr>
                            <a:xfrm flipH="1">
                              <a:off x="902854" y="108414"/>
                              <a:ext cx="676592" cy="0"/>
                            </a:xfrm>
                            <a:prstGeom prst="straightConnector1">
                              <a:avLst/>
                            </a:prstGeom>
                            <a:noFill/>
                            <a:ln w="9525" cap="flat" cmpd="sng" algn="ctr">
                              <a:solidFill>
                                <a:sysClr val="windowText" lastClr="000000"/>
                              </a:solidFill>
                              <a:prstDash val="solid"/>
                              <a:tailEnd type="arrow" w="sm" len="sm"/>
                            </a:ln>
                            <a:effectLst/>
                          </wps:spPr>
                          <wps:bodyPr/>
                        </wps:wsp>
                      </wpg:grpSp>
                      <wps:wsp>
                        <wps:cNvPr id="348" name="直線矢印コネクタ 348"/>
                        <wps:cNvCnPr/>
                        <wps:spPr>
                          <a:xfrm>
                            <a:off x="0" y="106968"/>
                            <a:ext cx="238043" cy="0"/>
                          </a:xfrm>
                          <a:prstGeom prst="straightConnector1">
                            <a:avLst/>
                          </a:prstGeom>
                          <a:noFill/>
                          <a:ln w="9525" cap="flat" cmpd="sng" algn="ctr">
                            <a:solidFill>
                              <a:sysClr val="windowText" lastClr="000000"/>
                            </a:solidFill>
                            <a:prstDash val="solid"/>
                            <a:tailEnd type="arrow" w="sm" len="sm"/>
                          </a:ln>
                          <a:effectLst/>
                        </wps:spPr>
                        <wps:bodyPr/>
                      </wps:wsp>
                    </wpg:wgp>
                  </a:graphicData>
                </a:graphic>
              </wp:anchor>
            </w:drawing>
          </mc:Choice>
          <mc:Fallback xmlns:w16cei="http://schemas.microsoft.com/office/word/2026/wordml/cei">
            <w:pict>
              <v:group w14:anchorId="0FA48EB5" id="グループ化 344" o:spid="_x0000_s1748" style="position:absolute;left:0;text-align:left;margin-left:93.65pt;margin-top:6.9pt;width:143.35pt;height:17pt;z-index:253314048;mso-position-horizontal-relative:text;mso-position-vertical-relative:text" coordsize="18209,21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">
                <v:group id="グループ化 345" o:spid="_x0000_s1749" style="position:absolute;left:2415;width:15794;height:2160" coordsize="15794,21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">
                  <v:shape id="テキスト ボックス 346" o:spid="_x0000_s1750" type="#_x0000_t202" style="position:absolute;width:9000;height:216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" fillcolor="window" strokeweight=".5pt">
                    <v:textbox inset="0,0,0,0">
                      <w:txbxContent>
                        <w:p w14:paraId="75858D87" w14:textId="77777777" w:rsidR="006A5267" w:rsidRPr="00A44B46" w:rsidRDefault="006A5267" w:rsidP="008B4B2B">
                          <w:pPr>
                            <w:jc w:val="center"/>
                            <w:rPr>
                              <w:sz w:val="16"/>
                            </w:rPr>
                          </w:pPr>
                          <w:r>
                            <w:rPr>
                              <w:rFonts w:hint="eastAsia"/>
                              <w:sz w:val="16"/>
                            </w:rPr>
                            <w:t>八尾</w:t>
                          </w:r>
                          <w:r>
                            <w:rPr>
                              <w:sz w:val="16"/>
                            </w:rPr>
                            <w:t>空港事務所</w:t>
                          </w:r>
                        </w:p>
                      </w:txbxContent>
                    </v:textbox>
                  </v:shape>
                  <v:shape id="直線矢印コネクタ 347" o:spid="_x0000_s1751" type="#_x0000_t32" style="position:absolute;left:9028;top:1084;width:6766;height:0;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" strokecolor="windowText">
                    <v:stroke endarrow="open" endarrowwidth="narrow" endarrowlength="short"/>
                  </v:shape>
                </v:group>
                <v:shape id="直線矢印コネクタ 348" o:spid="_x0000_s1752" type="#_x0000_t32" style="position:absolute;top:1069;width:2380;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" strokecolor="windowText">
                  <v:stroke endarrow="open" endarrowwidth="narrow" endarrowlength="short"/>
                </v:shape>
              </v:group>
            </w:pict>
          </mc:Fallback>
        </mc:AlternateContent>
      </w:r>
    </w:p>
    <w:p w14:paraId="02B6E8B4" w14:textId="77777777" w:rsidR="008B4B2B" w:rsidRPr="001D6D10" w:rsidRDefault="008B4B2B" w:rsidP="008B4B2B">
      <w:pPr>
        <w:pStyle w:val="a0"/>
        <w:spacing w:line="0" w:lineRule="atLeast"/>
        <w:ind w:firstLineChars="100" w:firstLine="281"/>
        <w:rPr>
          <w:rFonts w:ascii="ＭＳ ゴシック" w:eastAsia="ＭＳ ゴシック" w:hAnsi="ＭＳ ゴシック"/>
          <w:bCs/>
          <w:sz w:val="28"/>
          <w:szCs w:val="28"/>
        </w:rPr>
      </w:pPr>
    </w:p>
    <w:p w14:paraId="3E09E92E" w14:textId="77777777" w:rsidR="008B4B2B" w:rsidRPr="001D6D10" w:rsidRDefault="008B4B2B" w:rsidP="008B4B2B">
      <w:pPr>
        <w:pStyle w:val="a0"/>
        <w:spacing w:line="0" w:lineRule="atLeast"/>
        <w:ind w:firstLineChars="100" w:firstLine="211"/>
        <w:rPr>
          <w:rFonts w:ascii="ＭＳ ゴシック" w:eastAsia="ＭＳ ゴシック" w:hAnsi="ＭＳ ゴシック"/>
          <w:bCs/>
          <w:sz w:val="28"/>
          <w:szCs w:val="28"/>
        </w:rPr>
      </w:pPr>
      <w:r w:rsidRPr="001D6D10">
        <w:rPr>
          <w:noProof/>
        </w:rPr>
        <mc:AlternateContent>
          <mc:Choice Requires="wps">
            <w:drawing>
              <wp:anchor distT="0" distB="0" distL="114300" distR="114300" simplePos="0" relativeHeight="253533184" behindDoc="0" locked="0" layoutInCell="1" allowOverlap="1" wp14:anchorId="1C72455F" wp14:editId="0B7438B4">
                <wp:simplePos x="0" y="0"/>
                <wp:positionH relativeFrom="column">
                  <wp:posOffset>1543380</wp:posOffset>
                </wp:positionH>
                <wp:positionV relativeFrom="paragraph">
                  <wp:posOffset>192163</wp:posOffset>
                </wp:positionV>
                <wp:extent cx="711033" cy="4540"/>
                <wp:effectExtent l="29210" t="46990" r="80645" b="42545"/>
                <wp:wrapNone/>
                <wp:docPr id="3903" name="直線矢印コネクタ 3903"/>
                <wp:cNvGraphicFramePr/>
                <a:graphic xmlns:a="http://schemas.openxmlformats.org/drawingml/2006/main">
                  <a:graphicData uri="http://schemas.microsoft.com/office/word/2010/wordprocessingShape">
                    <wps:wsp>
                      <wps:cNvCnPr/>
                      <wps:spPr>
                        <a:xfrm rot="5400000" flipV="1">
                          <a:off x="0" y="0"/>
                          <a:ext cx="711033" cy="4540"/>
                        </a:xfrm>
                        <a:prstGeom prst="straightConnector1">
                          <a:avLst/>
                        </a:prstGeom>
                        <a:noFill/>
                        <a:ln w="6350" cap="flat" cmpd="sng" algn="ctr">
                          <a:solidFill>
                            <a:sysClr val="windowText" lastClr="000000"/>
                          </a:solidFill>
                          <a:prstDash val="dash"/>
                          <a:headEnd type="arrow" w="sm" len="sm"/>
                          <a:tailEnd type="arrow" w="sm" len="sm"/>
                        </a:ln>
                        <a:effectLst/>
                      </wps:spPr>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shape w14:anchorId="11B8D58C" id="直線矢印コネクタ 3903" o:spid="_x0000_s1026" type="#_x0000_t32" style="position:absolute;left:0;text-align:left;margin-left:121.55pt;margin-top:15.15pt;width:56pt;height:.35pt;rotation:-90;flip:y;z-index:2535331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" strokecolor="windowText" strokeweight=".5pt">
                <v:stroke dashstyle="dash" startarrow="open" startarrowwidth="narrow" startarrowlength="short" endarrow="open" endarrowwidth="narrow" endarrowlength="short"/>
              </v:shape>
            </w:pict>
          </mc:Fallback>
        </mc:AlternateContent>
      </w:r>
    </w:p>
    <w:p w14:paraId="1D434E80" w14:textId="77777777" w:rsidR="008B4B2B" w:rsidRPr="001D6D10" w:rsidRDefault="008B4B2B" w:rsidP="008B4B2B">
      <w:pPr>
        <w:pStyle w:val="a0"/>
        <w:spacing w:line="0" w:lineRule="atLeast"/>
        <w:ind w:firstLineChars="100" w:firstLine="281"/>
        <w:rPr>
          <w:rFonts w:ascii="ＭＳ ゴシック" w:eastAsia="ＭＳ ゴシック" w:hAnsi="ＭＳ ゴシック"/>
          <w:bCs/>
          <w:sz w:val="28"/>
          <w:szCs w:val="28"/>
        </w:rPr>
      </w:pPr>
    </w:p>
    <w:p w14:paraId="3A27453D" w14:textId="77777777" w:rsidR="008B4B2B" w:rsidRPr="001D6D10" w:rsidRDefault="008B4B2B" w:rsidP="008B4B2B">
      <w:pPr>
        <w:pStyle w:val="a0"/>
        <w:spacing w:line="0" w:lineRule="atLeast"/>
        <w:ind w:firstLineChars="100" w:firstLine="281"/>
        <w:rPr>
          <w:rFonts w:ascii="ＭＳ ゴシック" w:eastAsia="ＭＳ ゴシック" w:hAnsi="ＭＳ ゴシック"/>
          <w:bCs/>
          <w:sz w:val="28"/>
          <w:szCs w:val="28"/>
        </w:rPr>
      </w:pPr>
      <w:r w:rsidRPr="001D6D10">
        <w:rPr>
          <w:rFonts w:ascii="ＭＳ ゴシック" w:eastAsia="ＭＳ ゴシック" w:hAnsi="ＭＳ ゴシック"/>
          <w:bCs/>
          <w:noProof/>
          <w:sz w:val="28"/>
          <w:szCs w:val="28"/>
        </w:rPr>
        <mc:AlternateContent>
          <mc:Choice Requires="wps">
            <w:drawing>
              <wp:anchor distT="0" distB="0" distL="114300" distR="114300" simplePos="0" relativeHeight="253532160" behindDoc="0" locked="0" layoutInCell="1" allowOverlap="1" wp14:anchorId="21FC11A0" wp14:editId="04AFF5CF">
                <wp:simplePos x="0" y="0"/>
                <wp:positionH relativeFrom="column">
                  <wp:posOffset>1432416</wp:posOffset>
                </wp:positionH>
                <wp:positionV relativeFrom="paragraph">
                  <wp:posOffset>95382</wp:posOffset>
                </wp:positionV>
                <wp:extent cx="899723" cy="330175"/>
                <wp:effectExtent l="0" t="0" r="15240" b="13335"/>
                <wp:wrapNone/>
                <wp:docPr id="342" name="テキスト ボックス 342"/>
                <wp:cNvGraphicFramePr/>
                <a:graphic xmlns:a="http://schemas.openxmlformats.org/drawingml/2006/main">
                  <a:graphicData uri="http://schemas.microsoft.com/office/word/2010/wordprocessingShape">
                    <wps:wsp>
                      <wps:cNvSpPr txBox="1"/>
                      <wps:spPr>
                        <a:xfrm>
                          <a:off x="0" y="0"/>
                          <a:ext cx="899723" cy="330175"/>
                        </a:xfrm>
                        <a:prstGeom prst="rect">
                          <a:avLst/>
                        </a:prstGeom>
                        <a:solidFill>
                          <a:sysClr val="window" lastClr="FFFFFF"/>
                        </a:solidFill>
                        <a:ln w="6350">
                          <a:solidFill>
                            <a:prstClr val="black"/>
                          </a:solidFill>
                          <a:prstDash val="dash"/>
                        </a:ln>
                      </wps:spPr>
                      <wps:txbx>
                        <w:txbxContent>
                          <w:p w14:paraId="778BDEDF" w14:textId="77777777" w:rsidR="006A5267" w:rsidRDefault="006A5267" w:rsidP="008B4B2B">
                            <w:pPr>
                              <w:spacing w:line="240" w:lineRule="exact"/>
                              <w:jc w:val="center"/>
                              <w:rPr>
                                <w:sz w:val="16"/>
                              </w:rPr>
                            </w:pPr>
                            <w:r>
                              <w:rPr>
                                <w:rFonts w:hint="eastAsia"/>
                                <w:sz w:val="16"/>
                              </w:rPr>
                              <w:t>奈良県</w:t>
                            </w:r>
                            <w:r>
                              <w:rPr>
                                <w:sz w:val="16"/>
                              </w:rPr>
                              <w:t>警察本部</w:t>
                            </w:r>
                          </w:p>
                          <w:p w14:paraId="4BF206A6" w14:textId="77777777" w:rsidR="006A5267" w:rsidRPr="00A44B46" w:rsidRDefault="006A5267" w:rsidP="008B4B2B">
                            <w:pPr>
                              <w:spacing w:line="240" w:lineRule="exact"/>
                              <w:jc w:val="center"/>
                              <w:rPr>
                                <w:sz w:val="16"/>
                              </w:rPr>
                            </w:pPr>
                            <w:r>
                              <w:rPr>
                                <w:rFonts w:hint="eastAsia"/>
                                <w:sz w:val="16"/>
                              </w:rPr>
                              <w:t>奈良県警</w:t>
                            </w:r>
                            <w:r>
                              <w:rPr>
                                <w:sz w:val="16"/>
                              </w:rPr>
                              <w:t>航空隊</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anchor>
            </w:drawing>
          </mc:Choice>
          <mc:Fallback xmlns:w16cei="http://schemas.microsoft.com/office/word/2026/wordml/cei">
            <w:pict>
              <v:shape w14:anchorId="21FC11A0" id="テキスト ボックス 342" o:spid="_x0000_s1753" type="#_x0000_t202" style="position:absolute;left:0;text-align:left;margin-left:112.8pt;margin-top:7.5pt;width:70.85pt;height:26pt;z-index:25353216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" fillcolor="window" strokeweight=".5pt">
                <v:stroke dashstyle="dash"/>
                <v:textbox inset="0,0,0,0">
                  <w:txbxContent>
                    <w:p w14:paraId="778BDEDF" w14:textId="77777777" w:rsidR="006A5267" w:rsidRDefault="006A5267" w:rsidP="008B4B2B">
                      <w:pPr>
                        <w:spacing w:line="240" w:lineRule="exact"/>
                        <w:jc w:val="center"/>
                        <w:rPr>
                          <w:sz w:val="16"/>
                        </w:rPr>
                      </w:pPr>
                      <w:r>
                        <w:rPr>
                          <w:rFonts w:hint="eastAsia"/>
                          <w:sz w:val="16"/>
                        </w:rPr>
                        <w:t>奈良県</w:t>
                      </w:r>
                      <w:r>
                        <w:rPr>
                          <w:sz w:val="16"/>
                        </w:rPr>
                        <w:t>警察本部</w:t>
                      </w:r>
                    </w:p>
                    <w:p w14:paraId="4BF206A6" w14:textId="77777777" w:rsidR="006A5267" w:rsidRPr="00A44B46" w:rsidRDefault="006A5267" w:rsidP="008B4B2B">
                      <w:pPr>
                        <w:spacing w:line="240" w:lineRule="exact"/>
                        <w:jc w:val="center"/>
                        <w:rPr>
                          <w:sz w:val="16"/>
                        </w:rPr>
                      </w:pPr>
                      <w:r>
                        <w:rPr>
                          <w:rFonts w:hint="eastAsia"/>
                          <w:sz w:val="16"/>
                        </w:rPr>
                        <w:t>奈良県警</w:t>
                      </w:r>
                      <w:r>
                        <w:rPr>
                          <w:sz w:val="16"/>
                        </w:rPr>
                        <w:t>航空隊</w:t>
                      </w:r>
                    </w:p>
                  </w:txbxContent>
                </v:textbox>
              </v:shape>
            </w:pict>
          </mc:Fallback>
        </mc:AlternateContent>
      </w:r>
    </w:p>
    <w:p w14:paraId="0F980C9B" w14:textId="77777777" w:rsidR="008B4B2B" w:rsidRPr="001D6D10" w:rsidRDefault="008B4B2B" w:rsidP="008B4B2B">
      <w:pPr>
        <w:pStyle w:val="a0"/>
        <w:spacing w:line="0" w:lineRule="atLeast"/>
        <w:ind w:firstLineChars="100" w:firstLine="281"/>
        <w:rPr>
          <w:rFonts w:ascii="ＭＳ ゴシック" w:eastAsia="ＭＳ ゴシック" w:hAnsi="ＭＳ ゴシック"/>
          <w:bCs/>
          <w:sz w:val="28"/>
          <w:szCs w:val="28"/>
        </w:rPr>
      </w:pPr>
    </w:p>
    <w:p w14:paraId="572848CF" w14:textId="77777777" w:rsidR="008B4B2B" w:rsidRPr="001D6D10" w:rsidRDefault="008B4B2B" w:rsidP="008B4B2B">
      <w:pPr>
        <w:pStyle w:val="a0"/>
        <w:spacing w:line="0" w:lineRule="atLeast"/>
        <w:ind w:firstLineChars="100" w:firstLine="281"/>
        <w:rPr>
          <w:rFonts w:ascii="ＭＳ ゴシック" w:eastAsia="ＭＳ ゴシック" w:hAnsi="ＭＳ ゴシック"/>
          <w:bCs/>
          <w:sz w:val="28"/>
          <w:szCs w:val="28"/>
        </w:rPr>
      </w:pPr>
    </w:p>
    <w:p w14:paraId="3F7E175F" w14:textId="77777777" w:rsidR="008B4B2B" w:rsidRPr="001D6D10" w:rsidRDefault="008B4B2B" w:rsidP="008B4B2B">
      <w:pPr>
        <w:pStyle w:val="a0"/>
        <w:spacing w:line="0" w:lineRule="atLeast"/>
        <w:ind w:firstLineChars="100" w:firstLine="281"/>
        <w:rPr>
          <w:rFonts w:ascii="ＭＳ ゴシック" w:eastAsia="ＭＳ ゴシック" w:hAnsi="ＭＳ ゴシック"/>
          <w:bCs/>
          <w:sz w:val="28"/>
          <w:szCs w:val="28"/>
        </w:rPr>
      </w:pPr>
    </w:p>
    <w:p w14:paraId="6353801C" w14:textId="77777777" w:rsidR="008B4B2B" w:rsidRPr="001D6D10" w:rsidRDefault="008B4B2B" w:rsidP="008B4B2B">
      <w:pPr>
        <w:pStyle w:val="a0"/>
        <w:spacing w:line="0" w:lineRule="atLeast"/>
        <w:ind w:firstLineChars="100" w:firstLine="281"/>
        <w:rPr>
          <w:rFonts w:ascii="ＭＳ ゴシック" w:eastAsia="ＭＳ ゴシック" w:hAnsi="ＭＳ ゴシック"/>
          <w:bCs/>
          <w:sz w:val="28"/>
          <w:szCs w:val="28"/>
        </w:rPr>
      </w:pPr>
    </w:p>
    <w:p w14:paraId="1566A1E5" w14:textId="77777777" w:rsidR="008B4B2B" w:rsidRPr="001D6D10" w:rsidRDefault="008B4B2B" w:rsidP="008B4B2B">
      <w:pPr>
        <w:pStyle w:val="a0"/>
        <w:spacing w:line="0" w:lineRule="atLeast"/>
        <w:ind w:firstLineChars="100" w:firstLine="281"/>
        <w:rPr>
          <w:rFonts w:ascii="ＭＳ ゴシック" w:eastAsia="ＭＳ ゴシック" w:hAnsi="ＭＳ ゴシック"/>
          <w:bCs/>
          <w:sz w:val="28"/>
          <w:szCs w:val="28"/>
        </w:rPr>
      </w:pPr>
    </w:p>
    <w:p w14:paraId="1D5D7B00" w14:textId="77777777" w:rsidR="008B4B2B" w:rsidRPr="001D6D10" w:rsidRDefault="008B4B2B" w:rsidP="008B4B2B">
      <w:pPr>
        <w:pStyle w:val="a0"/>
        <w:spacing w:line="0" w:lineRule="atLeast"/>
        <w:ind w:firstLineChars="100" w:firstLine="281"/>
        <w:rPr>
          <w:rFonts w:ascii="ＭＳ ゴシック" w:eastAsia="ＭＳ ゴシック" w:hAnsi="ＭＳ ゴシック"/>
          <w:bCs/>
          <w:sz w:val="28"/>
          <w:szCs w:val="28"/>
        </w:rPr>
      </w:pPr>
    </w:p>
    <w:p w14:paraId="26447A4E" w14:textId="77777777" w:rsidR="008B4B2B" w:rsidRPr="001D6D10" w:rsidRDefault="008B4B2B" w:rsidP="008B4B2B">
      <w:pPr>
        <w:pStyle w:val="a0"/>
        <w:spacing w:line="0" w:lineRule="atLeast"/>
        <w:ind w:firstLineChars="100" w:firstLine="281"/>
        <w:rPr>
          <w:rFonts w:ascii="ＭＳ ゴシック" w:eastAsia="ＭＳ ゴシック" w:hAnsi="ＭＳ ゴシック"/>
          <w:bCs/>
          <w:sz w:val="28"/>
          <w:szCs w:val="28"/>
        </w:rPr>
      </w:pPr>
    </w:p>
    <w:p w14:paraId="2C14CADE" w14:textId="77777777" w:rsidR="008B4B2B" w:rsidRPr="004F1C9C" w:rsidRDefault="008B4B2B" w:rsidP="008B4B2B">
      <w:pPr>
        <w:pStyle w:val="a0"/>
        <w:spacing w:line="0" w:lineRule="atLeast"/>
        <w:ind w:firstLineChars="100" w:firstLine="281"/>
        <w:rPr>
          <w:rFonts w:ascii="ＭＳ ゴシック" w:eastAsia="ＭＳ ゴシック" w:hAnsi="ＭＳ ゴシック"/>
          <w:bCs/>
          <w:sz w:val="28"/>
          <w:szCs w:val="28"/>
        </w:rPr>
      </w:pPr>
    </w:p>
    <w:p w14:paraId="34B779E5" w14:textId="77777777" w:rsidR="008B4B2B" w:rsidRPr="001D6D10" w:rsidRDefault="008B4B2B" w:rsidP="008B4B2B">
      <w:pPr>
        <w:pStyle w:val="a0"/>
        <w:spacing w:line="0" w:lineRule="atLeast"/>
        <w:ind w:firstLineChars="100" w:firstLine="281"/>
        <w:rPr>
          <w:rFonts w:ascii="ＭＳ ゴシック" w:eastAsia="ＭＳ ゴシック" w:hAnsi="ＭＳ ゴシック"/>
          <w:bCs/>
          <w:sz w:val="28"/>
          <w:szCs w:val="28"/>
        </w:rPr>
      </w:pPr>
    </w:p>
    <w:p w14:paraId="7DCC1876" w14:textId="77777777" w:rsidR="008B4B2B" w:rsidRPr="001D6D10" w:rsidRDefault="008B4B2B" w:rsidP="008B4B2B">
      <w:pPr>
        <w:pStyle w:val="a0"/>
        <w:spacing w:line="0" w:lineRule="atLeast"/>
        <w:ind w:firstLineChars="100" w:firstLine="281"/>
        <w:rPr>
          <w:rFonts w:ascii="ＭＳ ゴシック" w:eastAsia="ＭＳ ゴシック" w:hAnsi="ＭＳ ゴシック"/>
          <w:bCs/>
          <w:sz w:val="28"/>
          <w:szCs w:val="28"/>
        </w:rPr>
      </w:pPr>
    </w:p>
    <w:p w14:paraId="19D351A5" w14:textId="77777777" w:rsidR="008B4B2B" w:rsidRPr="001D6D10" w:rsidRDefault="008B4B2B" w:rsidP="008B4B2B">
      <w:pPr>
        <w:pStyle w:val="a0"/>
        <w:spacing w:line="0" w:lineRule="atLeast"/>
        <w:ind w:firstLineChars="100" w:firstLine="281"/>
        <w:rPr>
          <w:rFonts w:ascii="ＭＳ ゴシック" w:eastAsia="ＭＳ ゴシック" w:hAnsi="ＭＳ ゴシック"/>
          <w:bCs/>
          <w:sz w:val="28"/>
          <w:szCs w:val="28"/>
        </w:rPr>
      </w:pPr>
    </w:p>
    <w:p w14:paraId="5AEFD446" w14:textId="77777777" w:rsidR="008B4B2B" w:rsidRPr="001D6D10" w:rsidRDefault="008B4B2B" w:rsidP="008B4B2B">
      <w:pPr>
        <w:pStyle w:val="a0"/>
        <w:spacing w:line="0" w:lineRule="atLeast"/>
        <w:ind w:firstLineChars="100" w:firstLine="281"/>
        <w:rPr>
          <w:rFonts w:ascii="ＭＳ ゴシック" w:eastAsia="ＭＳ ゴシック" w:hAnsi="ＭＳ ゴシック"/>
          <w:bCs/>
          <w:sz w:val="28"/>
          <w:szCs w:val="28"/>
        </w:rPr>
      </w:pPr>
    </w:p>
    <w:p w14:paraId="3DAF5726" w14:textId="77777777" w:rsidR="008B4B2B" w:rsidRPr="001D6D10" w:rsidRDefault="008B4B2B" w:rsidP="008B4B2B">
      <w:pPr>
        <w:pStyle w:val="a0"/>
        <w:spacing w:line="0" w:lineRule="atLeast"/>
        <w:ind w:firstLineChars="100" w:firstLine="281"/>
        <w:rPr>
          <w:rFonts w:ascii="ＭＳ ゴシック" w:eastAsia="ＭＳ ゴシック" w:hAnsi="ＭＳ ゴシック"/>
          <w:bCs/>
          <w:sz w:val="28"/>
          <w:szCs w:val="28"/>
        </w:rPr>
      </w:pPr>
    </w:p>
    <w:p w14:paraId="0AAF1EDB" w14:textId="77777777" w:rsidR="008B4B2B" w:rsidRPr="001D6D10" w:rsidRDefault="008B4B2B" w:rsidP="008B4B2B">
      <w:pPr>
        <w:pStyle w:val="a0"/>
        <w:spacing w:line="0" w:lineRule="atLeast"/>
        <w:ind w:firstLineChars="100" w:firstLine="281"/>
        <w:rPr>
          <w:rFonts w:ascii="ＭＳ ゴシック" w:eastAsia="ＭＳ ゴシック" w:hAnsi="ＭＳ ゴシック"/>
          <w:bCs/>
          <w:sz w:val="28"/>
          <w:szCs w:val="28"/>
        </w:rPr>
      </w:pPr>
    </w:p>
    <w:p w14:paraId="7B3F670F" w14:textId="77777777" w:rsidR="008B4B2B" w:rsidRPr="001D6D10" w:rsidRDefault="008B4B2B" w:rsidP="008B4B2B">
      <w:pPr>
        <w:pStyle w:val="a0"/>
        <w:spacing w:line="0" w:lineRule="atLeast"/>
        <w:ind w:firstLineChars="100" w:firstLine="281"/>
        <w:rPr>
          <w:rFonts w:ascii="ＭＳ ゴシック" w:eastAsia="ＭＳ ゴシック" w:hAnsi="ＭＳ ゴシック"/>
          <w:bCs/>
          <w:sz w:val="28"/>
          <w:szCs w:val="28"/>
        </w:rPr>
      </w:pPr>
    </w:p>
    <w:p w14:paraId="4A61B0CC" w14:textId="77777777" w:rsidR="008B4B2B" w:rsidRPr="001D6D10" w:rsidRDefault="008B4B2B" w:rsidP="008B4B2B">
      <w:pPr>
        <w:pStyle w:val="a0"/>
        <w:spacing w:line="0" w:lineRule="atLeast"/>
        <w:ind w:firstLineChars="100" w:firstLine="281"/>
        <w:rPr>
          <w:rFonts w:ascii="ＭＳ ゴシック" w:eastAsia="ＭＳ ゴシック" w:hAnsi="ＭＳ ゴシック"/>
          <w:bCs/>
          <w:sz w:val="28"/>
          <w:szCs w:val="28"/>
        </w:rPr>
      </w:pPr>
    </w:p>
    <w:p w14:paraId="20C84FD0" w14:textId="77777777" w:rsidR="008B4B2B" w:rsidRPr="001D6D10" w:rsidRDefault="008B4B2B" w:rsidP="008B4B2B">
      <w:pPr>
        <w:pStyle w:val="a0"/>
        <w:spacing w:line="0" w:lineRule="atLeast"/>
        <w:ind w:firstLineChars="100" w:firstLine="281"/>
        <w:rPr>
          <w:rFonts w:ascii="ＭＳ ゴシック" w:eastAsia="ＭＳ ゴシック" w:hAnsi="ＭＳ ゴシック"/>
          <w:bCs/>
          <w:sz w:val="28"/>
          <w:szCs w:val="28"/>
        </w:rPr>
      </w:pPr>
    </w:p>
    <w:p w14:paraId="3FAA9FE6" w14:textId="77777777" w:rsidR="008B4B2B" w:rsidRPr="001D6D10" w:rsidRDefault="008B4B2B" w:rsidP="008B4B2B">
      <w:pPr>
        <w:pStyle w:val="a0"/>
        <w:spacing w:line="0" w:lineRule="atLeast"/>
        <w:ind w:firstLineChars="100" w:firstLine="281"/>
        <w:rPr>
          <w:rFonts w:ascii="ＭＳ ゴシック" w:eastAsia="ＭＳ ゴシック" w:hAnsi="ＭＳ ゴシック"/>
          <w:bCs/>
          <w:sz w:val="28"/>
          <w:szCs w:val="28"/>
        </w:rPr>
      </w:pPr>
    </w:p>
    <w:p w14:paraId="0FC52362" w14:textId="77777777" w:rsidR="008B4B2B" w:rsidRPr="001D6D10" w:rsidRDefault="008B4B2B" w:rsidP="008B4B2B">
      <w:pPr>
        <w:pStyle w:val="a0"/>
        <w:spacing w:line="0" w:lineRule="atLeast"/>
        <w:ind w:firstLineChars="100" w:firstLine="281"/>
        <w:rPr>
          <w:rFonts w:ascii="ＭＳ ゴシック" w:eastAsia="ＭＳ ゴシック" w:hAnsi="ＭＳ ゴシック"/>
          <w:bCs/>
          <w:sz w:val="28"/>
          <w:szCs w:val="28"/>
        </w:rPr>
      </w:pPr>
    </w:p>
    <w:p w14:paraId="18EB1E80" w14:textId="77777777" w:rsidR="008B4B2B" w:rsidRPr="001D6D10" w:rsidRDefault="008B4B2B" w:rsidP="008B4B2B">
      <w:pPr>
        <w:pStyle w:val="a0"/>
        <w:spacing w:line="0" w:lineRule="atLeast"/>
        <w:ind w:firstLineChars="100" w:firstLine="211"/>
        <w:rPr>
          <w:rFonts w:asciiTheme="minorEastAsia" w:eastAsiaTheme="minorEastAsia" w:hAnsiTheme="minorEastAsia"/>
          <w:bCs/>
        </w:rPr>
      </w:pPr>
      <w:r w:rsidRPr="001D6D10">
        <w:rPr>
          <w:rFonts w:asciiTheme="minorEastAsia" w:eastAsiaTheme="minorEastAsia" w:hAnsiTheme="minorEastAsia" w:hint="eastAsia"/>
          <w:bCs/>
        </w:rPr>
        <w:t>（注）事故の発生場所、態様及び規模により連絡先を選定する。</w:t>
      </w:r>
    </w:p>
    <w:p w14:paraId="0EFDDB50" w14:textId="77777777" w:rsidR="008B4B2B" w:rsidRPr="001D6D10" w:rsidRDefault="008B4B2B" w:rsidP="008B4B2B">
      <w:pPr>
        <w:pStyle w:val="a0"/>
        <w:spacing w:line="0" w:lineRule="atLeast"/>
        <w:ind w:firstLineChars="100" w:firstLine="211"/>
        <w:rPr>
          <w:rFonts w:asciiTheme="minorEastAsia" w:eastAsiaTheme="minorEastAsia" w:hAnsiTheme="minorEastAsia"/>
          <w:bCs/>
        </w:rPr>
      </w:pPr>
    </w:p>
    <w:p w14:paraId="3BD33220" w14:textId="1D617DBF" w:rsidR="00610A64" w:rsidRDefault="00610A64">
      <w:pPr>
        <w:widowControl/>
        <w:jc w:val="left"/>
        <w:rPr>
          <w:rFonts w:asciiTheme="minorEastAsia" w:eastAsiaTheme="minorEastAsia" w:hAnsiTheme="minorEastAsia" w:cs="Courier New"/>
          <w:bCs/>
          <w:szCs w:val="21"/>
        </w:rPr>
      </w:pPr>
      <w:r>
        <w:rPr>
          <w:rFonts w:asciiTheme="minorEastAsia" w:eastAsiaTheme="minorEastAsia" w:hAnsiTheme="minorEastAsia"/>
          <w:bCs/>
        </w:rPr>
        <w:br w:type="page"/>
      </w:r>
    </w:p>
    <w:p w14:paraId="6C8E43FC" w14:textId="7E444842" w:rsidR="008B4B2B" w:rsidRPr="001D6D10" w:rsidRDefault="008B4B2B" w:rsidP="00831F71">
      <w:pPr>
        <w:pStyle w:val="a0"/>
        <w:spacing w:line="0" w:lineRule="atLeast"/>
        <w:ind w:firstLineChars="100" w:firstLine="281"/>
        <w:outlineLvl w:val="1"/>
        <w:rPr>
          <w:rFonts w:ascii="ＭＳ ゴシック" w:eastAsia="ＭＳ ゴシック" w:hAnsi="ＭＳ ゴシック"/>
          <w:bCs/>
          <w:sz w:val="28"/>
          <w:szCs w:val="28"/>
        </w:rPr>
      </w:pPr>
      <w:bookmarkStart w:id="414" w:name="_Toc122436975"/>
      <w:bookmarkStart w:id="415" w:name="_Toc222486674"/>
      <w:bookmarkStart w:id="416" w:name="_Toc242870344"/>
      <w:r w:rsidRPr="001D6D10">
        <w:rPr>
          <w:rFonts w:ascii="ＭＳ ゴシック" w:eastAsia="ＭＳ ゴシック" w:hAnsi="ＭＳ ゴシック" w:hint="eastAsia"/>
          <w:bCs/>
          <w:sz w:val="28"/>
          <w:szCs w:val="28"/>
        </w:rPr>
        <w:lastRenderedPageBreak/>
        <w:t>第３節　鉄道災害応急対策</w:t>
      </w:r>
      <w:bookmarkEnd w:id="414"/>
      <w:bookmarkEnd w:id="415"/>
      <w:bookmarkEnd w:id="416"/>
    </w:p>
    <w:p w14:paraId="28D2FEA7" w14:textId="77777777" w:rsidR="008B4B2B" w:rsidRPr="001D6D10" w:rsidRDefault="008B4B2B" w:rsidP="008B4B2B">
      <w:pPr>
        <w:pStyle w:val="a0"/>
        <w:spacing w:line="0" w:lineRule="atLeast"/>
        <w:ind w:firstLineChars="650" w:firstLine="1437"/>
        <w:rPr>
          <w:rFonts w:ascii="ＭＳ ゴシック" w:eastAsia="ＭＳ ゴシック" w:hAnsi="ＭＳ ゴシック"/>
          <w:sz w:val="22"/>
          <w:szCs w:val="22"/>
          <w:bdr w:val="single" w:sz="4" w:space="0" w:color="auto"/>
        </w:rPr>
      </w:pPr>
      <w:r w:rsidRPr="001D6D10">
        <w:rPr>
          <w:rFonts w:ascii="ＭＳ ゴシック" w:eastAsia="ＭＳ ゴシック" w:hAnsi="ＭＳ ゴシック" w:hint="eastAsia"/>
          <w:sz w:val="22"/>
          <w:szCs w:val="22"/>
          <w:bdr w:val="single" w:sz="4" w:space="0" w:color="auto"/>
        </w:rPr>
        <w:t>主たる担当：危機管理室、道路室</w:t>
      </w:r>
    </w:p>
    <w:p w14:paraId="418019EB" w14:textId="77777777" w:rsidR="008B4B2B" w:rsidRPr="001D6D10" w:rsidRDefault="008B4B2B" w:rsidP="00831F71">
      <w:pPr>
        <w:pStyle w:val="a0"/>
        <w:ind w:firstLineChars="200" w:firstLine="442"/>
        <w:outlineLvl w:val="2"/>
        <w:rPr>
          <w:rFonts w:ascii="ＭＳ ゴシック" w:eastAsia="ＭＳ ゴシック" w:hAnsi="ＭＳ ゴシック"/>
          <w:bCs/>
          <w:sz w:val="22"/>
          <w:szCs w:val="22"/>
          <w:u w:val="double"/>
        </w:rPr>
      </w:pPr>
      <w:bookmarkStart w:id="417" w:name="_Toc122436976"/>
      <w:bookmarkStart w:id="418" w:name="_Toc222486675"/>
      <w:bookmarkStart w:id="419" w:name="_Toc242870345"/>
      <w:r w:rsidRPr="001D6D10">
        <w:rPr>
          <w:rFonts w:ascii="ＭＳ ゴシック" w:eastAsia="ＭＳ ゴシック" w:hAnsi="ＭＳ ゴシック" w:hint="eastAsia"/>
          <w:bCs/>
          <w:sz w:val="22"/>
          <w:szCs w:val="22"/>
          <w:u w:val="double"/>
        </w:rPr>
        <w:t>第１　鉄軌道事業者の災害応急対策</w:t>
      </w:r>
      <w:bookmarkEnd w:id="417"/>
      <w:bookmarkEnd w:id="418"/>
      <w:bookmarkEnd w:id="419"/>
    </w:p>
    <w:p w14:paraId="6A6F309F" w14:textId="77777777" w:rsidR="008B4B2B" w:rsidRPr="001D6D10" w:rsidRDefault="008B4B2B" w:rsidP="008B4B2B">
      <w:pPr>
        <w:pStyle w:val="a0"/>
        <w:ind w:firstLineChars="300" w:firstLine="663"/>
        <w:rPr>
          <w:rFonts w:ascii="ＭＳ ゴシック" w:eastAsia="ＭＳ ゴシック" w:hAnsi="ＭＳ ゴシック"/>
          <w:bCs/>
          <w:sz w:val="22"/>
          <w:szCs w:val="22"/>
          <w:u w:val="single"/>
        </w:rPr>
      </w:pPr>
      <w:r w:rsidRPr="001D6D10">
        <w:rPr>
          <w:rFonts w:ascii="ＭＳ ゴシック" w:eastAsia="ＭＳ ゴシック" w:hAnsi="ＭＳ ゴシック" w:hint="eastAsia"/>
          <w:bCs/>
          <w:sz w:val="22"/>
          <w:szCs w:val="22"/>
          <w:u w:val="single"/>
        </w:rPr>
        <w:t>１　災害の拡大防止</w:t>
      </w:r>
    </w:p>
    <w:p w14:paraId="46A94550" w14:textId="77777777" w:rsidR="008B4B2B" w:rsidRPr="001D6D10" w:rsidRDefault="008B4B2B" w:rsidP="008B4B2B">
      <w:pPr>
        <w:pStyle w:val="a0"/>
        <w:ind w:rightChars="-175" w:right="-369" w:firstLineChars="500" w:firstLine="1105"/>
        <w:rPr>
          <w:rFonts w:hAnsi="ＭＳ 明朝"/>
          <w:bCs/>
          <w:sz w:val="22"/>
          <w:szCs w:val="22"/>
        </w:rPr>
      </w:pPr>
      <w:r w:rsidRPr="001D6D10">
        <w:rPr>
          <w:rFonts w:hAnsi="ＭＳ 明朝" w:hint="eastAsia"/>
          <w:bCs/>
          <w:sz w:val="22"/>
          <w:szCs w:val="22"/>
        </w:rPr>
        <w:t>速やかに関係列車の非常停止の手配、乗客の避難誘導等の必要な措置を講ずる。</w:t>
      </w:r>
    </w:p>
    <w:p w14:paraId="66D4EA13" w14:textId="77777777" w:rsidR="008B4B2B" w:rsidRPr="001D6D10" w:rsidRDefault="008B4B2B" w:rsidP="008B4B2B">
      <w:pPr>
        <w:pStyle w:val="a0"/>
        <w:rPr>
          <w:rFonts w:ascii="ＭＳ ゴシック" w:eastAsia="ＭＳ ゴシック" w:hAnsi="ＭＳ ゴシック"/>
          <w:bCs/>
          <w:sz w:val="22"/>
          <w:szCs w:val="22"/>
          <w:u w:val="single"/>
        </w:rPr>
      </w:pPr>
      <w:r w:rsidRPr="001D6D10">
        <w:rPr>
          <w:rFonts w:hAnsi="ＭＳ 明朝" w:hint="eastAsia"/>
          <w:bCs/>
          <w:sz w:val="22"/>
          <w:szCs w:val="22"/>
        </w:rPr>
        <w:t xml:space="preserve">　　　</w:t>
      </w:r>
      <w:r w:rsidRPr="001D6D10">
        <w:rPr>
          <w:rFonts w:ascii="ＭＳ ゴシック" w:eastAsia="ＭＳ ゴシック" w:hAnsi="ＭＳ ゴシック" w:hint="eastAsia"/>
          <w:bCs/>
          <w:sz w:val="22"/>
          <w:szCs w:val="22"/>
          <w:u w:val="single"/>
        </w:rPr>
        <w:t>２　救助・救急活動</w:t>
      </w:r>
    </w:p>
    <w:p w14:paraId="1124B6D8" w14:textId="77777777" w:rsidR="008B4B2B" w:rsidRPr="001D6D10" w:rsidRDefault="008B4B2B" w:rsidP="008B4B2B">
      <w:pPr>
        <w:pStyle w:val="a0"/>
        <w:ind w:rightChars="-309" w:right="-652"/>
        <w:rPr>
          <w:rFonts w:hAnsi="ＭＳ 明朝"/>
          <w:bCs/>
          <w:sz w:val="22"/>
          <w:szCs w:val="22"/>
        </w:rPr>
      </w:pPr>
      <w:r w:rsidRPr="001D6D10">
        <w:rPr>
          <w:rFonts w:hAnsi="ＭＳ 明朝" w:hint="eastAsia"/>
          <w:bCs/>
          <w:sz w:val="22"/>
          <w:szCs w:val="22"/>
        </w:rPr>
        <w:t xml:space="preserve">　　　　　事故発生直後における、負傷者の救助・救急活動を行う。</w:t>
      </w:r>
    </w:p>
    <w:p w14:paraId="48872B13" w14:textId="77777777" w:rsidR="008B4B2B" w:rsidRPr="001D6D10" w:rsidRDefault="008B4B2B" w:rsidP="008B4B2B">
      <w:pPr>
        <w:pStyle w:val="a0"/>
        <w:rPr>
          <w:rFonts w:ascii="ＭＳ ゴシック" w:eastAsia="ＭＳ ゴシック" w:hAnsi="ＭＳ ゴシック"/>
          <w:bCs/>
          <w:sz w:val="22"/>
          <w:szCs w:val="22"/>
          <w:u w:val="single"/>
        </w:rPr>
      </w:pPr>
      <w:r w:rsidRPr="001D6D10">
        <w:rPr>
          <w:rFonts w:hAnsi="ＭＳ 明朝" w:hint="eastAsia"/>
          <w:bCs/>
          <w:sz w:val="22"/>
          <w:szCs w:val="22"/>
        </w:rPr>
        <w:t xml:space="preserve">　　　</w:t>
      </w:r>
      <w:r w:rsidRPr="001D6D10">
        <w:rPr>
          <w:rFonts w:ascii="ＭＳ ゴシック" w:eastAsia="ＭＳ ゴシック" w:hAnsi="ＭＳ ゴシック" w:hint="eastAsia"/>
          <w:bCs/>
          <w:sz w:val="22"/>
          <w:szCs w:val="22"/>
          <w:u w:val="single"/>
        </w:rPr>
        <w:t>３　代替交通手段の確保</w:t>
      </w:r>
    </w:p>
    <w:p w14:paraId="048C50FF" w14:textId="77777777" w:rsidR="008B4B2B" w:rsidRPr="001D6D10" w:rsidRDefault="008B4B2B" w:rsidP="008B4B2B">
      <w:pPr>
        <w:pStyle w:val="a0"/>
        <w:rPr>
          <w:rFonts w:hAnsi="ＭＳ 明朝"/>
          <w:bCs/>
          <w:sz w:val="22"/>
          <w:szCs w:val="22"/>
        </w:rPr>
      </w:pPr>
      <w:r w:rsidRPr="001D6D10">
        <w:rPr>
          <w:rFonts w:hAnsi="ＭＳ 明朝" w:hint="eastAsia"/>
          <w:bCs/>
          <w:sz w:val="22"/>
          <w:szCs w:val="22"/>
        </w:rPr>
        <w:t xml:space="preserve">　　　　　他の路線への振り替え輸送、バス代行輸送等代替交通手段の確保に努める。</w:t>
      </w:r>
    </w:p>
    <w:p w14:paraId="160BF8FE" w14:textId="77777777" w:rsidR="008B4B2B" w:rsidRPr="001D6D10" w:rsidRDefault="008B4B2B" w:rsidP="008B4B2B">
      <w:pPr>
        <w:pStyle w:val="a0"/>
        <w:rPr>
          <w:rFonts w:ascii="ＭＳ ゴシック" w:eastAsia="ＭＳ ゴシック" w:hAnsi="ＭＳ ゴシック"/>
          <w:bCs/>
          <w:sz w:val="22"/>
          <w:szCs w:val="22"/>
          <w:u w:val="single"/>
        </w:rPr>
      </w:pPr>
      <w:r w:rsidRPr="001D6D10">
        <w:rPr>
          <w:rFonts w:hAnsi="ＭＳ 明朝" w:hint="eastAsia"/>
          <w:bCs/>
          <w:sz w:val="22"/>
          <w:szCs w:val="22"/>
        </w:rPr>
        <w:t xml:space="preserve">　　　</w:t>
      </w:r>
      <w:r w:rsidRPr="001D6D10">
        <w:rPr>
          <w:rFonts w:ascii="ＭＳ ゴシック" w:eastAsia="ＭＳ ゴシック" w:hAnsi="ＭＳ ゴシック" w:hint="eastAsia"/>
          <w:bCs/>
          <w:sz w:val="22"/>
          <w:szCs w:val="22"/>
          <w:u w:val="single"/>
        </w:rPr>
        <w:t>４　関係者等への情報伝達</w:t>
      </w:r>
    </w:p>
    <w:p w14:paraId="645BDE25" w14:textId="77777777" w:rsidR="008B4B2B" w:rsidRPr="001D6D10" w:rsidRDefault="008B4B2B" w:rsidP="008B4B2B">
      <w:pPr>
        <w:pStyle w:val="a0"/>
        <w:ind w:left="884" w:hangingChars="400" w:hanging="884"/>
        <w:rPr>
          <w:rFonts w:hAnsi="ＭＳ 明朝"/>
          <w:bCs/>
          <w:sz w:val="22"/>
          <w:szCs w:val="22"/>
        </w:rPr>
      </w:pPr>
      <w:r w:rsidRPr="001D6D10">
        <w:rPr>
          <w:rFonts w:hAnsi="ＭＳ 明朝" w:hint="eastAsia"/>
          <w:bCs/>
          <w:sz w:val="22"/>
          <w:szCs w:val="22"/>
        </w:rPr>
        <w:t xml:space="preserve">　　　　　災害の状況、安否情報、医療機関の状況、施設の復旧状況などの情報を適切に関係者等へ伝達する。</w:t>
      </w:r>
    </w:p>
    <w:p w14:paraId="33662249" w14:textId="77777777" w:rsidR="008B4B2B" w:rsidRPr="001D6D10" w:rsidRDefault="008B4B2B" w:rsidP="008B4B2B">
      <w:pPr>
        <w:wordWrap w:val="0"/>
        <w:spacing w:line="362" w:lineRule="exact"/>
        <w:ind w:right="125"/>
        <w:rPr>
          <w:rFonts w:ascii="ＭＳ ゴシック" w:eastAsia="ＭＳ ゴシック"/>
        </w:rPr>
      </w:pPr>
    </w:p>
    <w:p w14:paraId="703E131F" w14:textId="77777777" w:rsidR="008B4B2B" w:rsidRPr="001D6D10" w:rsidRDefault="008B4B2B" w:rsidP="008B4B2B">
      <w:pPr>
        <w:wordWrap w:val="0"/>
        <w:spacing w:line="362" w:lineRule="exact"/>
        <w:ind w:right="125"/>
      </w:pPr>
      <w:r w:rsidRPr="001D6D10">
        <w:rPr>
          <w:rFonts w:hint="eastAsia"/>
        </w:rPr>
        <w:t>別図〔連絡系統図〕</w:t>
      </w:r>
    </w:p>
    <w:p w14:paraId="18708CD7" w14:textId="77777777" w:rsidR="008B4B2B" w:rsidRPr="001D6D10" w:rsidRDefault="008B4B2B" w:rsidP="008B4B2B">
      <w:pPr>
        <w:wordWrap w:val="0"/>
        <w:spacing w:line="362" w:lineRule="exact"/>
        <w:ind w:left="900" w:right="125"/>
      </w:pPr>
      <w:r w:rsidRPr="001D6D10">
        <w:rPr>
          <w:rFonts w:hint="eastAsia"/>
        </w:rPr>
        <w:t>(1)</w:t>
      </w:r>
      <w:r w:rsidRPr="001D6D10">
        <w:rPr>
          <w:rFonts w:hint="eastAsia"/>
        </w:rPr>
        <w:t xml:space="preserve">　鉄道事業者</w:t>
      </w:r>
    </w:p>
    <w:p w14:paraId="30D7E242" w14:textId="77777777" w:rsidR="008B4B2B" w:rsidRPr="001D6D10" w:rsidRDefault="008B4B2B" w:rsidP="008B4B2B">
      <w:pPr>
        <w:wordWrap w:val="0"/>
        <w:spacing w:line="362" w:lineRule="exact"/>
        <w:ind w:left="900" w:right="125"/>
      </w:pPr>
    </w:p>
    <w:p w14:paraId="650FC2C2" w14:textId="77777777" w:rsidR="008B4B2B" w:rsidRPr="001D6D10" w:rsidRDefault="008B4B2B" w:rsidP="008B4B2B">
      <w:pPr>
        <w:wordWrap w:val="0"/>
        <w:spacing w:line="362" w:lineRule="exact"/>
        <w:ind w:right="125"/>
      </w:pPr>
      <w:r w:rsidRPr="001D6D10">
        <w:rPr>
          <w:rFonts w:hint="eastAsia"/>
          <w:noProof/>
        </w:rPr>
        <mc:AlternateContent>
          <mc:Choice Requires="wps">
            <w:drawing>
              <wp:anchor distT="0" distB="0" distL="114300" distR="114300" simplePos="0" relativeHeight="253761536" behindDoc="0" locked="0" layoutInCell="0" allowOverlap="1" wp14:anchorId="63BA0827" wp14:editId="6D75C450">
                <wp:simplePos x="0" y="0"/>
                <wp:positionH relativeFrom="column">
                  <wp:posOffset>1183640</wp:posOffset>
                </wp:positionH>
                <wp:positionV relativeFrom="paragraph">
                  <wp:posOffset>27940</wp:posOffset>
                </wp:positionV>
                <wp:extent cx="1216660" cy="229870"/>
                <wp:effectExtent l="12065" t="8890" r="9525" b="8890"/>
                <wp:wrapNone/>
                <wp:docPr id="3755" name="Freeform 321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216660" cy="229870"/>
                        </a:xfrm>
                        <a:custGeom>
                          <a:avLst/>
                          <a:gdLst>
                            <a:gd name="T0" fmla="*/ 2150 w 2150"/>
                            <a:gd name="T1" fmla="*/ 0 h 362"/>
                            <a:gd name="T2" fmla="*/ 0 w 2150"/>
                            <a:gd name="T3" fmla="*/ 362 h 362"/>
                          </a:gdLst>
                          <a:ahLst/>
                          <a:cxnLst>
                            <a:cxn ang="0">
                              <a:pos x="T0" y="T1"/>
                            </a:cxn>
                            <a:cxn ang="0">
                              <a:pos x="T2" y="T3"/>
                            </a:cxn>
                          </a:cxnLst>
                          <a:rect l="0" t="0" r="r" b="b"/>
                          <a:pathLst>
                            <a:path w="2150" h="362">
                              <a:moveTo>
                                <a:pt x="2150" y="0"/>
                              </a:moveTo>
                              <a:lnTo>
                                <a:pt x="0" y="362"/>
                              </a:lnTo>
                            </a:path>
                          </a:pathLst>
                        </a:custGeom>
                        <a:noFill/>
                        <a:ln w="10795" cap="flat">
                          <a:solidFill>
                            <a:srgbClr val="000000"/>
                          </a:solidFill>
                          <a:prstDash val="solid"/>
                          <a:round/>
                          <a:headEnd type="none" w="med" len="med"/>
                          <a:tailEnd type="none" w="med" len="me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shape w14:anchorId="74163855" id="Freeform 3216" o:spid="_x0000_s1026" style="position:absolute;left:0;text-align:left;margin-left:93.2pt;margin-top:2.2pt;width:95.8pt;height:18.1pt;z-index:2537615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2150,36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" o:allowincell="f" path="m2150,l,362e" filled="f" strokeweight=".85pt">
                <v:path arrowok="t" o:connecttype="custom" o:connectlocs="1216660,0;0,229870" o:connectangles="0,0"/>
              </v:shape>
            </w:pict>
          </mc:Fallback>
        </mc:AlternateContent>
      </w:r>
      <w:r w:rsidRPr="001D6D10">
        <w:rPr>
          <w:rFonts w:hint="eastAsia"/>
          <w:noProof/>
        </w:rPr>
        <mc:AlternateContent>
          <mc:Choice Requires="wps">
            <w:drawing>
              <wp:anchor distT="0" distB="0" distL="114300" distR="114300" simplePos="0" relativeHeight="253759488" behindDoc="0" locked="0" layoutInCell="1" allowOverlap="1" wp14:anchorId="577ACB06" wp14:editId="59F92127">
                <wp:simplePos x="0" y="0"/>
                <wp:positionH relativeFrom="column">
                  <wp:posOffset>914400</wp:posOffset>
                </wp:positionH>
                <wp:positionV relativeFrom="paragraph">
                  <wp:posOffset>27940</wp:posOffset>
                </wp:positionV>
                <wp:extent cx="269240" cy="1838960"/>
                <wp:effectExtent l="9525" t="8890" r="6985" b="9525"/>
                <wp:wrapNone/>
                <wp:docPr id="3754" name="Text Box 321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269240" cy="1838960"/>
                        </a:xfrm>
                        <a:prstGeom prst="rect">
                          <a:avLst/>
                        </a:prstGeom>
                        <a:noFill/>
                        <a:ln w="6350">
                          <a:solidFill>
                            <a:srgbClr val="000000"/>
                          </a:solidFill>
                          <a:miter lim="800000"/>
                          <a:headEnd/>
                          <a:tailEnd/>
                        </a:ln>
                        <a:extLst>
                          <a:ext uri="{909E8E84-426E-40DD-AFC4-6F175D3DCCD1}">
                            <a14:hiddenFill xmlns:a14="http://schemas.microsoft.com/office/drawing/2010/main">
                              <a:solidFill>
                                <a:srgbClr val="000000"/>
                              </a:solidFill>
                            </a14:hiddenFill>
                          </a:ext>
                        </a:extLst>
                      </wps:spPr>
                      <wps:txbx>
                        <w:txbxContent>
                          <w:p w14:paraId="5BE01937" w14:textId="77777777" w:rsidR="006A5267" w:rsidRDefault="006A5267" w:rsidP="008B4B2B">
                            <w:pPr>
                              <w:kinsoku w:val="0"/>
                              <w:wordWrap w:val="0"/>
                              <w:overflowPunct w:val="0"/>
                              <w:spacing w:line="181" w:lineRule="exact"/>
                            </w:pPr>
                          </w:p>
                          <w:p w14:paraId="3F3430DE" w14:textId="77777777" w:rsidR="006A5267" w:rsidRDefault="006A5267" w:rsidP="008B4B2B">
                            <w:pPr>
                              <w:kinsoku w:val="0"/>
                              <w:wordWrap w:val="0"/>
                              <w:overflowPunct w:val="0"/>
                              <w:spacing w:line="362" w:lineRule="exact"/>
                            </w:pPr>
                          </w:p>
                          <w:p w14:paraId="50437EFA" w14:textId="77777777" w:rsidR="006A5267" w:rsidRDefault="006A5267" w:rsidP="008B4B2B">
                            <w:pPr>
                              <w:kinsoku w:val="0"/>
                              <w:wordWrap w:val="0"/>
                              <w:overflowPunct w:val="0"/>
                              <w:spacing w:line="362" w:lineRule="exact"/>
                            </w:pPr>
                            <w:r>
                              <w:rPr>
                                <w:rFonts w:hint="eastAsia"/>
                                <w:spacing w:val="1"/>
                              </w:rPr>
                              <w:t xml:space="preserve"> </w:t>
                            </w:r>
                            <w:r>
                              <w:rPr>
                                <w:rFonts w:hint="eastAsia"/>
                              </w:rPr>
                              <w:t>鉄</w:t>
                            </w:r>
                          </w:p>
                          <w:p w14:paraId="486B1DDA" w14:textId="77777777" w:rsidR="006A5267" w:rsidRDefault="006A5267" w:rsidP="008B4B2B">
                            <w:pPr>
                              <w:kinsoku w:val="0"/>
                              <w:wordWrap w:val="0"/>
                              <w:overflowPunct w:val="0"/>
                              <w:spacing w:line="362" w:lineRule="exact"/>
                            </w:pPr>
                            <w:r>
                              <w:rPr>
                                <w:rFonts w:hint="eastAsia"/>
                                <w:spacing w:val="1"/>
                              </w:rPr>
                              <w:t xml:space="preserve"> </w:t>
                            </w:r>
                            <w:r>
                              <w:rPr>
                                <w:rFonts w:hint="eastAsia"/>
                              </w:rPr>
                              <w:t>道</w:t>
                            </w:r>
                          </w:p>
                          <w:p w14:paraId="506516A7" w14:textId="77777777" w:rsidR="006A5267" w:rsidRDefault="006A5267" w:rsidP="008B4B2B">
                            <w:pPr>
                              <w:kinsoku w:val="0"/>
                              <w:wordWrap w:val="0"/>
                              <w:overflowPunct w:val="0"/>
                              <w:spacing w:line="362" w:lineRule="exact"/>
                            </w:pPr>
                            <w:r>
                              <w:rPr>
                                <w:rFonts w:hint="eastAsia"/>
                                <w:spacing w:val="1"/>
                              </w:rPr>
                              <w:t xml:space="preserve"> </w:t>
                            </w:r>
                            <w:r>
                              <w:rPr>
                                <w:rFonts w:hint="eastAsia"/>
                              </w:rPr>
                              <w:t>事</w:t>
                            </w:r>
                          </w:p>
                          <w:p w14:paraId="5122D211" w14:textId="77777777" w:rsidR="006A5267" w:rsidRDefault="006A5267" w:rsidP="008B4B2B">
                            <w:pPr>
                              <w:kinsoku w:val="0"/>
                              <w:wordWrap w:val="0"/>
                              <w:overflowPunct w:val="0"/>
                              <w:spacing w:line="362" w:lineRule="exact"/>
                            </w:pPr>
                            <w:r>
                              <w:rPr>
                                <w:rFonts w:hint="eastAsia"/>
                                <w:spacing w:val="1"/>
                              </w:rPr>
                              <w:t xml:space="preserve"> </w:t>
                            </w:r>
                            <w:r>
                              <w:rPr>
                                <w:rFonts w:hint="eastAsia"/>
                              </w:rPr>
                              <w:t>業</w:t>
                            </w:r>
                          </w:p>
                          <w:p w14:paraId="3FE1C85E" w14:textId="77777777" w:rsidR="006A5267" w:rsidRDefault="006A5267" w:rsidP="008B4B2B">
                            <w:pPr>
                              <w:kinsoku w:val="0"/>
                              <w:wordWrap w:val="0"/>
                              <w:overflowPunct w:val="0"/>
                              <w:spacing w:line="362" w:lineRule="exact"/>
                            </w:pPr>
                            <w:r>
                              <w:rPr>
                                <w:rFonts w:hint="eastAsia"/>
                                <w:spacing w:val="1"/>
                              </w:rPr>
                              <w:t xml:space="preserve"> </w:t>
                            </w:r>
                            <w:r>
                              <w:rPr>
                                <w:rFonts w:hint="eastAsia"/>
                              </w:rPr>
                              <w:t>者</w:t>
                            </w:r>
                          </w:p>
                          <w:p w14:paraId="53D09118" w14:textId="77777777" w:rsidR="006A5267" w:rsidRDefault="006A5267" w:rsidP="008B4B2B">
                            <w:pPr>
                              <w:kinsoku w:val="0"/>
                              <w:wordWrap w:val="0"/>
                              <w:overflowPunct w:val="0"/>
                              <w:spacing w:line="362" w:lineRule="exact"/>
                            </w:pPr>
                          </w:p>
                          <w:p w14:paraId="035B227C" w14:textId="77777777" w:rsidR="006A5267" w:rsidRDefault="006A5267" w:rsidP="008B4B2B">
                            <w:pPr>
                              <w:kinsoku w:val="0"/>
                              <w:wordWrap w:val="0"/>
                              <w:overflowPunct w:val="0"/>
                              <w:spacing w:line="181" w:lineRule="exact"/>
                            </w:pPr>
                          </w:p>
                          <w:p w14:paraId="5A469D93" w14:textId="77777777" w:rsidR="006A5267" w:rsidRDefault="006A5267" w:rsidP="008B4B2B">
                            <w:pPr>
                              <w:wordWrap w:val="0"/>
                              <w:spacing w:line="0" w:lineRule="atLeast"/>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shape w14:anchorId="577ACB06" id="Text Box 3214" o:spid="_x0000_s1754" type="#_x0000_t202" style="position:absolute;left:0;text-align:left;margin-left:1in;margin-top:2.2pt;width:21.2pt;height:144.8pt;z-index:2537594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" filled="f" fillcolor="black" strokeweight=".5pt">
                <v:path arrowok="t"/>
                <v:textbox inset="0,0,0,0">
                  <w:txbxContent>
                    <w:p w14:paraId="5BE01937" w14:textId="77777777" w:rsidR="006A5267" w:rsidRDefault="006A5267" w:rsidP="008B4B2B">
                      <w:pPr>
                        <w:kinsoku w:val="0"/>
                        <w:wordWrap w:val="0"/>
                        <w:overflowPunct w:val="0"/>
                        <w:spacing w:line="181" w:lineRule="exact"/>
                      </w:pPr>
                    </w:p>
                    <w:p w14:paraId="3F3430DE" w14:textId="77777777" w:rsidR="006A5267" w:rsidRDefault="006A5267" w:rsidP="008B4B2B">
                      <w:pPr>
                        <w:kinsoku w:val="0"/>
                        <w:wordWrap w:val="0"/>
                        <w:overflowPunct w:val="0"/>
                        <w:spacing w:line="362" w:lineRule="exact"/>
                      </w:pPr>
                    </w:p>
                    <w:p w14:paraId="50437EFA" w14:textId="77777777" w:rsidR="006A5267" w:rsidRDefault="006A5267" w:rsidP="008B4B2B">
                      <w:pPr>
                        <w:kinsoku w:val="0"/>
                        <w:wordWrap w:val="0"/>
                        <w:overflowPunct w:val="0"/>
                        <w:spacing w:line="362" w:lineRule="exact"/>
                      </w:pPr>
                      <w:r>
                        <w:rPr>
                          <w:rFonts w:hint="eastAsia"/>
                          <w:spacing w:val="1"/>
                        </w:rPr>
                        <w:t xml:space="preserve"> </w:t>
                      </w:r>
                      <w:r>
                        <w:rPr>
                          <w:rFonts w:hint="eastAsia"/>
                        </w:rPr>
                        <w:t>鉄</w:t>
                      </w:r>
                    </w:p>
                    <w:p w14:paraId="486B1DDA" w14:textId="77777777" w:rsidR="006A5267" w:rsidRDefault="006A5267" w:rsidP="008B4B2B">
                      <w:pPr>
                        <w:kinsoku w:val="0"/>
                        <w:wordWrap w:val="0"/>
                        <w:overflowPunct w:val="0"/>
                        <w:spacing w:line="362" w:lineRule="exact"/>
                      </w:pPr>
                      <w:r>
                        <w:rPr>
                          <w:rFonts w:hint="eastAsia"/>
                          <w:spacing w:val="1"/>
                        </w:rPr>
                        <w:t xml:space="preserve"> </w:t>
                      </w:r>
                      <w:r>
                        <w:rPr>
                          <w:rFonts w:hint="eastAsia"/>
                        </w:rPr>
                        <w:t>道</w:t>
                      </w:r>
                    </w:p>
                    <w:p w14:paraId="506516A7" w14:textId="77777777" w:rsidR="006A5267" w:rsidRDefault="006A5267" w:rsidP="008B4B2B">
                      <w:pPr>
                        <w:kinsoku w:val="0"/>
                        <w:wordWrap w:val="0"/>
                        <w:overflowPunct w:val="0"/>
                        <w:spacing w:line="362" w:lineRule="exact"/>
                      </w:pPr>
                      <w:r>
                        <w:rPr>
                          <w:rFonts w:hint="eastAsia"/>
                          <w:spacing w:val="1"/>
                        </w:rPr>
                        <w:t xml:space="preserve"> </w:t>
                      </w:r>
                      <w:r>
                        <w:rPr>
                          <w:rFonts w:hint="eastAsia"/>
                        </w:rPr>
                        <w:t>事</w:t>
                      </w:r>
                    </w:p>
                    <w:p w14:paraId="5122D211" w14:textId="77777777" w:rsidR="006A5267" w:rsidRDefault="006A5267" w:rsidP="008B4B2B">
                      <w:pPr>
                        <w:kinsoku w:val="0"/>
                        <w:wordWrap w:val="0"/>
                        <w:overflowPunct w:val="0"/>
                        <w:spacing w:line="362" w:lineRule="exact"/>
                      </w:pPr>
                      <w:r>
                        <w:rPr>
                          <w:rFonts w:hint="eastAsia"/>
                          <w:spacing w:val="1"/>
                        </w:rPr>
                        <w:t xml:space="preserve"> </w:t>
                      </w:r>
                      <w:r>
                        <w:rPr>
                          <w:rFonts w:hint="eastAsia"/>
                        </w:rPr>
                        <w:t>業</w:t>
                      </w:r>
                    </w:p>
                    <w:p w14:paraId="3FE1C85E" w14:textId="77777777" w:rsidR="006A5267" w:rsidRDefault="006A5267" w:rsidP="008B4B2B">
                      <w:pPr>
                        <w:kinsoku w:val="0"/>
                        <w:wordWrap w:val="0"/>
                        <w:overflowPunct w:val="0"/>
                        <w:spacing w:line="362" w:lineRule="exact"/>
                      </w:pPr>
                      <w:r>
                        <w:rPr>
                          <w:rFonts w:hint="eastAsia"/>
                          <w:spacing w:val="1"/>
                        </w:rPr>
                        <w:t xml:space="preserve"> </w:t>
                      </w:r>
                      <w:r>
                        <w:rPr>
                          <w:rFonts w:hint="eastAsia"/>
                        </w:rPr>
                        <w:t>者</w:t>
                      </w:r>
                    </w:p>
                    <w:p w14:paraId="53D09118" w14:textId="77777777" w:rsidR="006A5267" w:rsidRDefault="006A5267" w:rsidP="008B4B2B">
                      <w:pPr>
                        <w:kinsoku w:val="0"/>
                        <w:wordWrap w:val="0"/>
                        <w:overflowPunct w:val="0"/>
                        <w:spacing w:line="362" w:lineRule="exact"/>
                      </w:pPr>
                    </w:p>
                    <w:p w14:paraId="035B227C" w14:textId="77777777" w:rsidR="006A5267" w:rsidRDefault="006A5267" w:rsidP="008B4B2B">
                      <w:pPr>
                        <w:kinsoku w:val="0"/>
                        <w:wordWrap w:val="0"/>
                        <w:overflowPunct w:val="0"/>
                        <w:spacing w:line="181" w:lineRule="exact"/>
                      </w:pPr>
                    </w:p>
                    <w:p w14:paraId="5A469D93" w14:textId="77777777" w:rsidR="006A5267" w:rsidRDefault="006A5267" w:rsidP="008B4B2B">
                      <w:pPr>
                        <w:wordWrap w:val="0"/>
                        <w:spacing w:line="0" w:lineRule="atLeast"/>
                      </w:pPr>
                    </w:p>
                  </w:txbxContent>
                </v:textbox>
              </v:shape>
            </w:pict>
          </mc:Fallback>
        </mc:AlternateContent>
      </w:r>
      <w:r w:rsidRPr="001D6D10">
        <w:rPr>
          <w:rFonts w:hint="eastAsia"/>
          <w:noProof/>
        </w:rPr>
        <mc:AlternateContent>
          <mc:Choice Requires="wps">
            <w:drawing>
              <wp:anchor distT="0" distB="0" distL="114300" distR="114300" simplePos="0" relativeHeight="253762560" behindDoc="0" locked="0" layoutInCell="1" allowOverlap="1" wp14:anchorId="4584381C" wp14:editId="4579CB2E">
                <wp:simplePos x="0" y="0"/>
                <wp:positionH relativeFrom="column">
                  <wp:posOffset>2400300</wp:posOffset>
                </wp:positionH>
                <wp:positionV relativeFrom="paragraph">
                  <wp:posOffset>27940</wp:posOffset>
                </wp:positionV>
                <wp:extent cx="1365250" cy="229870"/>
                <wp:effectExtent l="9525" t="8890" r="34925" b="75565"/>
                <wp:wrapNone/>
                <wp:docPr id="3753" name="Freeform 321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365250" cy="229870"/>
                        </a:xfrm>
                        <a:custGeom>
                          <a:avLst/>
                          <a:gdLst>
                            <a:gd name="T0" fmla="*/ 0 w 2150"/>
                            <a:gd name="T1" fmla="*/ 0 h 362"/>
                            <a:gd name="T2" fmla="*/ 2150 w 2150"/>
                            <a:gd name="T3" fmla="*/ 362 h 362"/>
                          </a:gdLst>
                          <a:ahLst/>
                          <a:cxnLst>
                            <a:cxn ang="0">
                              <a:pos x="T0" y="T1"/>
                            </a:cxn>
                            <a:cxn ang="0">
                              <a:pos x="T2" y="T3"/>
                            </a:cxn>
                          </a:cxnLst>
                          <a:rect l="0" t="0" r="r" b="b"/>
                          <a:pathLst>
                            <a:path w="2150" h="362">
                              <a:moveTo>
                                <a:pt x="0" y="0"/>
                              </a:moveTo>
                              <a:lnTo>
                                <a:pt x="2150" y="362"/>
                              </a:lnTo>
                            </a:path>
                          </a:pathLst>
                        </a:custGeom>
                        <a:noFill/>
                        <a:ln w="10795" cap="flat">
                          <a:solidFill>
                            <a:srgbClr val="000000"/>
                          </a:solidFill>
                          <a:prstDash val="solid"/>
                          <a:round/>
                          <a:headEnd type="none" w="med" len="med"/>
                          <a:tailEnd type="arrow" w="med" len="me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polyline w14:anchorId="598CDC8B" id="Freeform 3217" o:spid="_x0000_s1026" style="position:absolute;left:0;text-align:left;z-index:2537625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points="189pt,2.2pt,296.5pt,20.3pt" coordsize="2150,36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" filled="f" strokeweight=".85pt">
                <v:stroke endarrow="open"/>
                <v:path arrowok="t" o:connecttype="custom" o:connectlocs="0,0;1365250,229870" o:connectangles="0,0"/>
              </v:polyline>
            </w:pict>
          </mc:Fallback>
        </mc:AlternateContent>
      </w:r>
      <w:r w:rsidRPr="001D6D10">
        <w:rPr>
          <w:rFonts w:hint="eastAsia"/>
          <w:noProof/>
        </w:rPr>
        <mc:AlternateContent>
          <mc:Choice Requires="wps">
            <w:drawing>
              <wp:anchor distT="0" distB="0" distL="114300" distR="114300" simplePos="0" relativeHeight="253760512" behindDoc="0" locked="0" layoutInCell="1" allowOverlap="1" wp14:anchorId="7228D905" wp14:editId="6C7480C5">
                <wp:simplePos x="0" y="0"/>
                <wp:positionH relativeFrom="column">
                  <wp:posOffset>3771900</wp:posOffset>
                </wp:positionH>
                <wp:positionV relativeFrom="paragraph">
                  <wp:posOffset>27940</wp:posOffset>
                </wp:positionV>
                <wp:extent cx="538480" cy="919480"/>
                <wp:effectExtent l="9525" t="8890" r="13970" b="5080"/>
                <wp:wrapNone/>
                <wp:docPr id="3752" name="Text Box 321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538480" cy="919480"/>
                        </a:xfrm>
                        <a:prstGeom prst="rect">
                          <a:avLst/>
                        </a:prstGeom>
                        <a:noFill/>
                        <a:ln w="6350">
                          <a:solidFill>
                            <a:srgbClr val="000000"/>
                          </a:solidFill>
                          <a:miter lim="800000"/>
                          <a:headEnd/>
                          <a:tailEnd/>
                        </a:ln>
                        <a:extLst>
                          <a:ext uri="{909E8E84-426E-40DD-AFC4-6F175D3DCCD1}">
                            <a14:hiddenFill xmlns:a14="http://schemas.microsoft.com/office/drawing/2010/main">
                              <a:solidFill>
                                <a:srgbClr val="000000"/>
                              </a:solidFill>
                            </a14:hiddenFill>
                          </a:ext>
                        </a:extLst>
                      </wps:spPr>
                      <wps:txbx>
                        <w:txbxContent>
                          <w:p w14:paraId="4F19C94D" w14:textId="77777777" w:rsidR="006A5267" w:rsidRDefault="006A5267" w:rsidP="008B4B2B">
                            <w:pPr>
                              <w:kinsoku w:val="0"/>
                              <w:wordWrap w:val="0"/>
                              <w:overflowPunct w:val="0"/>
                              <w:spacing w:line="181" w:lineRule="exact"/>
                            </w:pPr>
                          </w:p>
                          <w:p w14:paraId="2B4C6AD6" w14:textId="77777777" w:rsidR="006A5267" w:rsidRDefault="006A5267" w:rsidP="008B4B2B">
                            <w:pPr>
                              <w:kinsoku w:val="0"/>
                              <w:wordWrap w:val="0"/>
                              <w:overflowPunct w:val="0"/>
                              <w:spacing w:line="362" w:lineRule="exact"/>
                            </w:pPr>
                            <w:r>
                              <w:rPr>
                                <w:rFonts w:hint="eastAsia"/>
                                <w:spacing w:val="1"/>
                              </w:rPr>
                              <w:t xml:space="preserve"> </w:t>
                            </w:r>
                            <w:r>
                              <w:fldChar w:fldCharType="begin"/>
                            </w:r>
                            <w:r>
                              <w:instrText xml:space="preserve"> eq \o\ad(</w:instrText>
                            </w:r>
                            <w:r>
                              <w:rPr>
                                <w:rFonts w:hint="eastAsia"/>
                              </w:rPr>
                              <w:instrText>近畿</w:instrText>
                            </w:r>
                            <w:r>
                              <w:rPr>
                                <w:rFonts w:hint="eastAsia"/>
                              </w:rPr>
                              <w:instrText>,</w:instrText>
                            </w:r>
                            <w:r>
                              <w:rPr>
                                <w:rFonts w:hint="eastAsia"/>
                                <w:w w:val="50"/>
                              </w:rPr>
                              <w:instrText xml:space="preserve">　　　　　　</w:instrText>
                            </w:r>
                            <w:r>
                              <w:rPr>
                                <w:rFonts w:hint="eastAsia"/>
                              </w:rPr>
                              <w:instrText>)</w:instrText>
                            </w:r>
                            <w:r>
                              <w:fldChar w:fldCharType="end"/>
                            </w:r>
                          </w:p>
                          <w:p w14:paraId="2DAB61BE" w14:textId="77777777" w:rsidR="006A5267" w:rsidRDefault="006A5267" w:rsidP="008B4B2B">
                            <w:pPr>
                              <w:kinsoku w:val="0"/>
                              <w:wordWrap w:val="0"/>
                              <w:overflowPunct w:val="0"/>
                              <w:spacing w:line="362" w:lineRule="exact"/>
                            </w:pPr>
                          </w:p>
                          <w:p w14:paraId="22D1933D" w14:textId="77777777" w:rsidR="006A5267" w:rsidRDefault="006A5267" w:rsidP="008B4B2B">
                            <w:pPr>
                              <w:kinsoku w:val="0"/>
                              <w:wordWrap w:val="0"/>
                              <w:overflowPunct w:val="0"/>
                              <w:spacing w:line="362" w:lineRule="exact"/>
                            </w:pPr>
                            <w:r>
                              <w:rPr>
                                <w:rFonts w:hint="eastAsia"/>
                                <w:spacing w:val="1"/>
                              </w:rPr>
                              <w:t xml:space="preserve"> </w:t>
                            </w:r>
                            <w:r>
                              <w:rPr>
                                <w:rFonts w:hint="eastAsia"/>
                              </w:rPr>
                              <w:t>運輸局</w:t>
                            </w:r>
                          </w:p>
                          <w:p w14:paraId="5D0A3D23" w14:textId="77777777" w:rsidR="006A5267" w:rsidRDefault="006A5267" w:rsidP="008B4B2B">
                            <w:pPr>
                              <w:kinsoku w:val="0"/>
                              <w:wordWrap w:val="0"/>
                              <w:overflowPunct w:val="0"/>
                              <w:spacing w:line="181" w:lineRule="exact"/>
                            </w:pPr>
                          </w:p>
                          <w:p w14:paraId="6CD84779" w14:textId="77777777" w:rsidR="006A5267" w:rsidRDefault="006A5267" w:rsidP="008B4B2B">
                            <w:pPr>
                              <w:wordWrap w:val="0"/>
                              <w:spacing w:line="0" w:lineRule="atLeast"/>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shape w14:anchorId="7228D905" id="Text Box 3215" o:spid="_x0000_s1755" type="#_x0000_t202" style="position:absolute;left:0;text-align:left;margin-left:297pt;margin-top:2.2pt;width:42.4pt;height:72.4pt;z-index:2537605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" filled="f" fillcolor="black" strokeweight=".5pt">
                <v:path arrowok="t"/>
                <v:textbox inset="0,0,0,0">
                  <w:txbxContent>
                    <w:p w14:paraId="4F19C94D" w14:textId="77777777" w:rsidR="006A5267" w:rsidRDefault="006A5267" w:rsidP="008B4B2B">
                      <w:pPr>
                        <w:kinsoku w:val="0"/>
                        <w:wordWrap w:val="0"/>
                        <w:overflowPunct w:val="0"/>
                        <w:spacing w:line="181" w:lineRule="exact"/>
                      </w:pPr>
                    </w:p>
                    <w:p w14:paraId="2B4C6AD6" w14:textId="77777777" w:rsidR="006A5267" w:rsidRDefault="006A5267" w:rsidP="008B4B2B">
                      <w:pPr>
                        <w:kinsoku w:val="0"/>
                        <w:wordWrap w:val="0"/>
                        <w:overflowPunct w:val="0"/>
                        <w:spacing w:line="362" w:lineRule="exact"/>
                      </w:pPr>
                      <w:r>
                        <w:rPr>
                          <w:rFonts w:hint="eastAsia"/>
                          <w:spacing w:val="1"/>
                        </w:rPr>
                        <w:t xml:space="preserve"> </w:t>
                      </w:r>
                      <w:r>
                        <w:fldChar w:fldCharType="begin"/>
                      </w:r>
                      <w:r>
                        <w:instrText xml:space="preserve"> eq \o\ad(</w:instrText>
                      </w:r>
                      <w:r>
                        <w:rPr>
                          <w:rFonts w:hint="eastAsia"/>
                        </w:rPr>
                        <w:instrText>近畿</w:instrText>
                      </w:r>
                      <w:r>
                        <w:rPr>
                          <w:rFonts w:hint="eastAsia"/>
                        </w:rPr>
                        <w:instrText>,</w:instrText>
                      </w:r>
                      <w:r>
                        <w:rPr>
                          <w:rFonts w:hint="eastAsia"/>
                          <w:w w:val="50"/>
                        </w:rPr>
                        <w:instrText xml:space="preserve">　　　　　　</w:instrText>
                      </w:r>
                      <w:r>
                        <w:rPr>
                          <w:rFonts w:hint="eastAsia"/>
                        </w:rPr>
                        <w:instrText>)</w:instrText>
                      </w:r>
                      <w:r>
                        <w:fldChar w:fldCharType="end"/>
                      </w:r>
                    </w:p>
                    <w:p w14:paraId="2DAB61BE" w14:textId="77777777" w:rsidR="006A5267" w:rsidRDefault="006A5267" w:rsidP="008B4B2B">
                      <w:pPr>
                        <w:kinsoku w:val="0"/>
                        <w:wordWrap w:val="0"/>
                        <w:overflowPunct w:val="0"/>
                        <w:spacing w:line="362" w:lineRule="exact"/>
                      </w:pPr>
                    </w:p>
                    <w:p w14:paraId="22D1933D" w14:textId="77777777" w:rsidR="006A5267" w:rsidRDefault="006A5267" w:rsidP="008B4B2B">
                      <w:pPr>
                        <w:kinsoku w:val="0"/>
                        <w:wordWrap w:val="0"/>
                        <w:overflowPunct w:val="0"/>
                        <w:spacing w:line="362" w:lineRule="exact"/>
                      </w:pPr>
                      <w:r>
                        <w:rPr>
                          <w:rFonts w:hint="eastAsia"/>
                          <w:spacing w:val="1"/>
                        </w:rPr>
                        <w:t xml:space="preserve"> </w:t>
                      </w:r>
                      <w:r>
                        <w:rPr>
                          <w:rFonts w:hint="eastAsia"/>
                        </w:rPr>
                        <w:t>運輸局</w:t>
                      </w:r>
                    </w:p>
                    <w:p w14:paraId="5D0A3D23" w14:textId="77777777" w:rsidR="006A5267" w:rsidRDefault="006A5267" w:rsidP="008B4B2B">
                      <w:pPr>
                        <w:kinsoku w:val="0"/>
                        <w:wordWrap w:val="0"/>
                        <w:overflowPunct w:val="0"/>
                        <w:spacing w:line="181" w:lineRule="exact"/>
                      </w:pPr>
                    </w:p>
                    <w:p w14:paraId="6CD84779" w14:textId="77777777" w:rsidR="006A5267" w:rsidRDefault="006A5267" w:rsidP="008B4B2B">
                      <w:pPr>
                        <w:wordWrap w:val="0"/>
                        <w:spacing w:line="0" w:lineRule="atLeast"/>
                      </w:pPr>
                    </w:p>
                  </w:txbxContent>
                </v:textbox>
              </v:shape>
            </w:pict>
          </mc:Fallback>
        </mc:AlternateContent>
      </w:r>
      <w:r w:rsidRPr="001D6D10">
        <w:rPr>
          <w:rFonts w:hint="eastAsia"/>
          <w:noProof/>
        </w:rPr>
        <mc:AlternateContent>
          <mc:Choice Requires="wps">
            <w:drawing>
              <wp:anchor distT="0" distB="0" distL="114300" distR="114300" simplePos="0" relativeHeight="253758464" behindDoc="0" locked="0" layoutInCell="0" allowOverlap="1" wp14:anchorId="263EE754" wp14:editId="4C7CF655">
                <wp:simplePos x="0" y="0"/>
                <wp:positionH relativeFrom="column">
                  <wp:posOffset>2759710</wp:posOffset>
                </wp:positionH>
                <wp:positionV relativeFrom="paragraph">
                  <wp:posOffset>344805</wp:posOffset>
                </wp:positionV>
                <wp:extent cx="538480" cy="1609090"/>
                <wp:effectExtent l="6985" t="11430" r="6985" b="8255"/>
                <wp:wrapNone/>
                <wp:docPr id="3751" name="Text Box 321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538480" cy="1609090"/>
                        </a:xfrm>
                        <a:prstGeom prst="rect">
                          <a:avLst/>
                        </a:prstGeom>
                        <a:noFill/>
                        <a:ln w="6350">
                          <a:solidFill>
                            <a:srgbClr val="000000"/>
                          </a:solidFill>
                          <a:miter lim="800000"/>
                          <a:headEnd/>
                          <a:tailEnd/>
                        </a:ln>
                        <a:extLst>
                          <a:ext uri="{909E8E84-426E-40DD-AFC4-6F175D3DCCD1}">
                            <a14:hiddenFill xmlns:a14="http://schemas.microsoft.com/office/drawing/2010/main">
                              <a:solidFill>
                                <a:srgbClr val="000000"/>
                              </a:solidFill>
                            </a14:hiddenFill>
                          </a:ext>
                        </a:extLst>
                      </wps:spPr>
                      <wps:txbx>
                        <w:txbxContent>
                          <w:p w14:paraId="2AB288CE" w14:textId="77777777" w:rsidR="006A5267" w:rsidRDefault="006A5267" w:rsidP="008B4B2B">
                            <w:pPr>
                              <w:pStyle w:val="a8"/>
                              <w:tabs>
                                <w:tab w:val="clear" w:pos="4252"/>
                                <w:tab w:val="clear" w:pos="8504"/>
                              </w:tabs>
                              <w:kinsoku w:val="0"/>
                              <w:wordWrap w:val="0"/>
                              <w:overflowPunct w:val="0"/>
                              <w:snapToGrid/>
                              <w:spacing w:line="181" w:lineRule="exact"/>
                            </w:pPr>
                          </w:p>
                          <w:p w14:paraId="1E371344" w14:textId="77777777" w:rsidR="006A5267" w:rsidRDefault="006A5267" w:rsidP="008B4B2B">
                            <w:pPr>
                              <w:kinsoku w:val="0"/>
                              <w:wordWrap w:val="0"/>
                              <w:overflowPunct w:val="0"/>
                              <w:spacing w:line="362" w:lineRule="exact"/>
                            </w:pPr>
                          </w:p>
                          <w:p w14:paraId="41EAD5AB" w14:textId="77777777" w:rsidR="006A5267" w:rsidRDefault="006A5267" w:rsidP="008B4B2B">
                            <w:pPr>
                              <w:kinsoku w:val="0"/>
                              <w:wordWrap w:val="0"/>
                              <w:overflowPunct w:val="0"/>
                              <w:spacing w:line="362" w:lineRule="exact"/>
                            </w:pPr>
                            <w:r>
                              <w:rPr>
                                <w:rFonts w:hint="eastAsia"/>
                                <w:spacing w:val="1"/>
                              </w:rPr>
                              <w:t xml:space="preserve"> </w:t>
                            </w:r>
                            <w:r>
                              <w:rPr>
                                <w:rFonts w:hint="eastAsia"/>
                              </w:rPr>
                              <w:t>大阪府</w:t>
                            </w:r>
                          </w:p>
                          <w:p w14:paraId="6913E346" w14:textId="77777777" w:rsidR="006A5267" w:rsidRDefault="006A5267" w:rsidP="008B4B2B">
                            <w:pPr>
                              <w:kinsoku w:val="0"/>
                              <w:wordWrap w:val="0"/>
                              <w:overflowPunct w:val="0"/>
                              <w:spacing w:line="362" w:lineRule="exact"/>
                              <w:rPr>
                                <w:spacing w:val="1"/>
                              </w:rPr>
                            </w:pPr>
                            <w:r>
                              <w:rPr>
                                <w:rFonts w:hint="eastAsia"/>
                                <w:spacing w:val="1"/>
                              </w:rPr>
                              <w:t xml:space="preserve"> </w:t>
                            </w:r>
                            <w:r>
                              <w:rPr>
                                <w:rFonts w:hint="eastAsia"/>
                                <w:spacing w:val="1"/>
                              </w:rPr>
                              <w:t>危機管</w:t>
                            </w:r>
                          </w:p>
                          <w:p w14:paraId="3B02F2AF" w14:textId="77777777" w:rsidR="006A5267" w:rsidRDefault="006A5267" w:rsidP="008B4B2B">
                            <w:pPr>
                              <w:kinsoku w:val="0"/>
                              <w:wordWrap w:val="0"/>
                              <w:overflowPunct w:val="0"/>
                              <w:spacing w:line="362" w:lineRule="exact"/>
                              <w:ind w:firstLineChars="50" w:firstLine="107"/>
                            </w:pPr>
                            <w:r>
                              <w:rPr>
                                <w:rFonts w:hint="eastAsia"/>
                                <w:spacing w:val="1"/>
                              </w:rPr>
                              <w:t>理室</w:t>
                            </w:r>
                          </w:p>
                          <w:p w14:paraId="7B24FFE2" w14:textId="77777777" w:rsidR="006A5267" w:rsidRDefault="006A5267" w:rsidP="008B4B2B">
                            <w:pPr>
                              <w:kinsoku w:val="0"/>
                              <w:wordWrap w:val="0"/>
                              <w:overflowPunct w:val="0"/>
                              <w:spacing w:line="362" w:lineRule="exact"/>
                            </w:pPr>
                          </w:p>
                          <w:p w14:paraId="557978E9" w14:textId="77777777" w:rsidR="006A5267" w:rsidRDefault="006A5267" w:rsidP="008B4B2B">
                            <w:pPr>
                              <w:kinsoku w:val="0"/>
                              <w:wordWrap w:val="0"/>
                              <w:overflowPunct w:val="0"/>
                              <w:spacing w:line="181" w:lineRule="exact"/>
                            </w:pPr>
                          </w:p>
                          <w:p w14:paraId="30206D92" w14:textId="77777777" w:rsidR="006A5267" w:rsidRDefault="006A5267" w:rsidP="008B4B2B">
                            <w:pPr>
                              <w:wordWrap w:val="0"/>
                              <w:spacing w:line="0" w:lineRule="atLeast"/>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shape w14:anchorId="263EE754" id="Text Box 3213" o:spid="_x0000_s1756" type="#_x0000_t202" style="position:absolute;left:0;text-align:left;margin-left:217.3pt;margin-top:27.15pt;width:42.4pt;height:126.7pt;z-index:2537584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" o:allowincell="f" filled="f" fillcolor="black" strokeweight=".5pt">
                <v:path arrowok="t"/>
                <v:textbox inset="0,0,0,0">
                  <w:txbxContent>
                    <w:p w14:paraId="2AB288CE" w14:textId="77777777" w:rsidR="006A5267" w:rsidRDefault="006A5267" w:rsidP="008B4B2B">
                      <w:pPr>
                        <w:pStyle w:val="a8"/>
                        <w:tabs>
                          <w:tab w:val="clear" w:pos="4252"/>
                          <w:tab w:val="clear" w:pos="8504"/>
                        </w:tabs>
                        <w:kinsoku w:val="0"/>
                        <w:wordWrap w:val="0"/>
                        <w:overflowPunct w:val="0"/>
                        <w:snapToGrid/>
                        <w:spacing w:line="181" w:lineRule="exact"/>
                      </w:pPr>
                    </w:p>
                    <w:p w14:paraId="1E371344" w14:textId="77777777" w:rsidR="006A5267" w:rsidRDefault="006A5267" w:rsidP="008B4B2B">
                      <w:pPr>
                        <w:kinsoku w:val="0"/>
                        <w:wordWrap w:val="0"/>
                        <w:overflowPunct w:val="0"/>
                        <w:spacing w:line="362" w:lineRule="exact"/>
                      </w:pPr>
                    </w:p>
                    <w:p w14:paraId="41EAD5AB" w14:textId="77777777" w:rsidR="006A5267" w:rsidRDefault="006A5267" w:rsidP="008B4B2B">
                      <w:pPr>
                        <w:kinsoku w:val="0"/>
                        <w:wordWrap w:val="0"/>
                        <w:overflowPunct w:val="0"/>
                        <w:spacing w:line="362" w:lineRule="exact"/>
                      </w:pPr>
                      <w:r>
                        <w:rPr>
                          <w:rFonts w:hint="eastAsia"/>
                          <w:spacing w:val="1"/>
                        </w:rPr>
                        <w:t xml:space="preserve"> </w:t>
                      </w:r>
                      <w:r>
                        <w:rPr>
                          <w:rFonts w:hint="eastAsia"/>
                        </w:rPr>
                        <w:t>大阪府</w:t>
                      </w:r>
                    </w:p>
                    <w:p w14:paraId="6913E346" w14:textId="77777777" w:rsidR="006A5267" w:rsidRDefault="006A5267" w:rsidP="008B4B2B">
                      <w:pPr>
                        <w:kinsoku w:val="0"/>
                        <w:wordWrap w:val="0"/>
                        <w:overflowPunct w:val="0"/>
                        <w:spacing w:line="362" w:lineRule="exact"/>
                        <w:rPr>
                          <w:spacing w:val="1"/>
                        </w:rPr>
                      </w:pPr>
                      <w:r>
                        <w:rPr>
                          <w:rFonts w:hint="eastAsia"/>
                          <w:spacing w:val="1"/>
                        </w:rPr>
                        <w:t xml:space="preserve"> </w:t>
                      </w:r>
                      <w:r>
                        <w:rPr>
                          <w:rFonts w:hint="eastAsia"/>
                          <w:spacing w:val="1"/>
                        </w:rPr>
                        <w:t>危機管</w:t>
                      </w:r>
                    </w:p>
                    <w:p w14:paraId="3B02F2AF" w14:textId="77777777" w:rsidR="006A5267" w:rsidRDefault="006A5267" w:rsidP="008B4B2B">
                      <w:pPr>
                        <w:kinsoku w:val="0"/>
                        <w:wordWrap w:val="0"/>
                        <w:overflowPunct w:val="0"/>
                        <w:spacing w:line="362" w:lineRule="exact"/>
                        <w:ind w:firstLineChars="50" w:firstLine="107"/>
                      </w:pPr>
                      <w:r>
                        <w:rPr>
                          <w:rFonts w:hint="eastAsia"/>
                          <w:spacing w:val="1"/>
                        </w:rPr>
                        <w:t>理室</w:t>
                      </w:r>
                    </w:p>
                    <w:p w14:paraId="7B24FFE2" w14:textId="77777777" w:rsidR="006A5267" w:rsidRDefault="006A5267" w:rsidP="008B4B2B">
                      <w:pPr>
                        <w:kinsoku w:val="0"/>
                        <w:wordWrap w:val="0"/>
                        <w:overflowPunct w:val="0"/>
                        <w:spacing w:line="362" w:lineRule="exact"/>
                      </w:pPr>
                    </w:p>
                    <w:p w14:paraId="557978E9" w14:textId="77777777" w:rsidR="006A5267" w:rsidRDefault="006A5267" w:rsidP="008B4B2B">
                      <w:pPr>
                        <w:kinsoku w:val="0"/>
                        <w:wordWrap w:val="0"/>
                        <w:overflowPunct w:val="0"/>
                        <w:spacing w:line="181" w:lineRule="exact"/>
                      </w:pPr>
                    </w:p>
                    <w:p w14:paraId="30206D92" w14:textId="77777777" w:rsidR="006A5267" w:rsidRDefault="006A5267" w:rsidP="008B4B2B">
                      <w:pPr>
                        <w:wordWrap w:val="0"/>
                        <w:spacing w:line="0" w:lineRule="atLeast"/>
                      </w:pPr>
                    </w:p>
                  </w:txbxContent>
                </v:textbox>
              </v:shape>
            </w:pict>
          </mc:Fallback>
        </mc:AlternateContent>
      </w:r>
    </w:p>
    <w:p w14:paraId="28AF82F1" w14:textId="77777777" w:rsidR="008B4B2B" w:rsidRPr="001D6D10" w:rsidRDefault="008B4B2B" w:rsidP="008B4B2B">
      <w:pPr>
        <w:wordWrap w:val="0"/>
        <w:spacing w:line="362" w:lineRule="exact"/>
        <w:ind w:right="125"/>
      </w:pPr>
      <w:r w:rsidRPr="001D6D10">
        <w:rPr>
          <w:noProof/>
          <w:sz w:val="20"/>
        </w:rPr>
        <mc:AlternateContent>
          <mc:Choice Requires="wps">
            <w:drawing>
              <wp:anchor distT="0" distB="0" distL="114300" distR="114300" simplePos="0" relativeHeight="253769728" behindDoc="0" locked="0" layoutInCell="1" allowOverlap="1" wp14:anchorId="0AE3A3DD" wp14:editId="710302F4">
                <wp:simplePos x="0" y="0"/>
                <wp:positionH relativeFrom="column">
                  <wp:posOffset>1600200</wp:posOffset>
                </wp:positionH>
                <wp:positionV relativeFrom="paragraph">
                  <wp:posOffset>140970</wp:posOffset>
                </wp:positionV>
                <wp:extent cx="685800" cy="457200"/>
                <wp:effectExtent l="9525" t="7620" r="9525" b="11430"/>
                <wp:wrapNone/>
                <wp:docPr id="3750" name="Text Box 322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685800" cy="457200"/>
                        </a:xfrm>
                        <a:prstGeom prst="rect">
                          <a:avLst/>
                        </a:prstGeom>
                        <a:noFill/>
                        <a:ln w="6350">
                          <a:solidFill>
                            <a:srgbClr val="000000"/>
                          </a:solidFill>
                          <a:miter lim="800000"/>
                          <a:headEnd/>
                          <a:tailEnd/>
                        </a:ln>
                        <a:extLst>
                          <a:ext uri="{909E8E84-426E-40DD-AFC4-6F175D3DCCD1}">
                            <a14:hiddenFill xmlns:a14="http://schemas.microsoft.com/office/drawing/2010/main">
                              <a:solidFill>
                                <a:srgbClr val="000000"/>
                              </a:solidFill>
                            </a14:hiddenFill>
                          </a:ext>
                        </a:extLst>
                      </wps:spPr>
                      <wps:txbx>
                        <w:txbxContent>
                          <w:p w14:paraId="26BF054E" w14:textId="77777777" w:rsidR="006A5267" w:rsidRDefault="006A5267" w:rsidP="008B4B2B">
                            <w:pPr>
                              <w:kinsoku w:val="0"/>
                              <w:overflowPunct w:val="0"/>
                              <w:spacing w:line="362" w:lineRule="exact"/>
                              <w:jc w:val="center"/>
                            </w:pPr>
                            <w:r>
                              <w:rPr>
                                <w:rFonts w:hint="eastAsia"/>
                              </w:rPr>
                              <w:t>市町村</w:t>
                            </w:r>
                          </w:p>
                          <w:p w14:paraId="093B5842" w14:textId="77777777" w:rsidR="006A5267" w:rsidRDefault="006A5267" w:rsidP="008B4B2B">
                            <w:pPr>
                              <w:spacing w:line="0" w:lineRule="atLeast"/>
                              <w:jc w:val="center"/>
                            </w:pPr>
                            <w:r>
                              <w:rPr>
                                <w:rFonts w:hint="eastAsia"/>
                              </w:rPr>
                              <w:t>消防本部</w:t>
                            </w:r>
                          </w:p>
                        </w:txbxContent>
                      </wps:txbx>
                      <wps:bodyPr rot="0" vert="horz" wrap="square" lIns="18000" tIns="18000" rIns="18000" bIns="18000" anchor="t" anchorCtr="0" upright="1">
                        <a:noAutofit/>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shape w14:anchorId="0AE3A3DD" id="Text Box 3224" o:spid="_x0000_s1757" type="#_x0000_t202" style="position:absolute;left:0;text-align:left;margin-left:126pt;margin-top:11.1pt;width:54pt;height:36pt;z-index:253769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" filled="f" fillcolor="black" strokeweight=".5pt">
                <v:path arrowok="t"/>
                <v:textbox inset=".5mm,.5mm,.5mm,.5mm">
                  <w:txbxContent>
                    <w:p w14:paraId="26BF054E" w14:textId="77777777" w:rsidR="006A5267" w:rsidRDefault="006A5267" w:rsidP="008B4B2B">
                      <w:pPr>
                        <w:kinsoku w:val="0"/>
                        <w:overflowPunct w:val="0"/>
                        <w:spacing w:line="362" w:lineRule="exact"/>
                        <w:jc w:val="center"/>
                      </w:pPr>
                      <w:r>
                        <w:rPr>
                          <w:rFonts w:hint="eastAsia"/>
                        </w:rPr>
                        <w:t>市町村</w:t>
                      </w:r>
                    </w:p>
                    <w:p w14:paraId="093B5842" w14:textId="77777777" w:rsidR="006A5267" w:rsidRDefault="006A5267" w:rsidP="008B4B2B">
                      <w:pPr>
                        <w:spacing w:line="0" w:lineRule="atLeast"/>
                        <w:jc w:val="center"/>
                      </w:pPr>
                      <w:r>
                        <w:rPr>
                          <w:rFonts w:hint="eastAsia"/>
                        </w:rPr>
                        <w:t>消防本部</w:t>
                      </w:r>
                    </w:p>
                  </w:txbxContent>
                </v:textbox>
              </v:shape>
            </w:pict>
          </mc:Fallback>
        </mc:AlternateContent>
      </w:r>
    </w:p>
    <w:p w14:paraId="703F11B1" w14:textId="77777777" w:rsidR="008B4B2B" w:rsidRPr="001D6D10" w:rsidRDefault="008B4B2B" w:rsidP="008B4B2B">
      <w:pPr>
        <w:wordWrap w:val="0"/>
        <w:spacing w:line="362" w:lineRule="exact"/>
        <w:ind w:right="125"/>
      </w:pPr>
      <w:r w:rsidRPr="001D6D10">
        <w:rPr>
          <w:noProof/>
          <w:sz w:val="20"/>
        </w:rPr>
        <mc:AlternateContent>
          <mc:Choice Requires="wps">
            <w:drawing>
              <wp:anchor distT="0" distB="0" distL="114300" distR="114300" simplePos="0" relativeHeight="253770752" behindDoc="0" locked="0" layoutInCell="1" allowOverlap="1" wp14:anchorId="0173CC2E" wp14:editId="1B952FF2">
                <wp:simplePos x="0" y="0"/>
                <wp:positionH relativeFrom="column">
                  <wp:posOffset>1183640</wp:posOffset>
                </wp:positionH>
                <wp:positionV relativeFrom="paragraph">
                  <wp:posOffset>139700</wp:posOffset>
                </wp:positionV>
                <wp:extent cx="414655" cy="0"/>
                <wp:effectExtent l="12065" t="63500" r="20955" b="60325"/>
                <wp:wrapNone/>
                <wp:docPr id="3749" name="Line 322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14655" cy="0"/>
                        </a:xfrm>
                        <a:prstGeom prst="line">
                          <a:avLst/>
                        </a:prstGeom>
                        <a:noFill/>
                        <a:ln w="9525">
                          <a:solidFill>
                            <a:srgbClr val="000000"/>
                          </a:solidFill>
                          <a:round/>
                          <a:headEnd/>
                          <a:tailEnd type="arrow" w="sm" len="sm"/>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line w14:anchorId="421D378E" id="Line 3225" o:spid="_x0000_s1026" style="position:absolute;left:0;text-align:left;z-index:253770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93.2pt,11pt" to="125.85pt,1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">
                <v:stroke endarrow="open" endarrowwidth="narrow" endarrowlength="short"/>
              </v:line>
            </w:pict>
          </mc:Fallback>
        </mc:AlternateContent>
      </w:r>
      <w:r w:rsidRPr="001D6D10">
        <w:rPr>
          <w:noProof/>
          <w:sz w:val="20"/>
        </w:rPr>
        <mc:AlternateContent>
          <mc:Choice Requires="wps">
            <w:drawing>
              <wp:anchor distT="0" distB="0" distL="114300" distR="114300" simplePos="0" relativeHeight="253776896" behindDoc="0" locked="0" layoutInCell="1" allowOverlap="1" wp14:anchorId="2DB41959" wp14:editId="455D2092">
                <wp:simplePos x="0" y="0"/>
                <wp:positionH relativeFrom="column">
                  <wp:posOffset>3314700</wp:posOffset>
                </wp:positionH>
                <wp:positionV relativeFrom="paragraph">
                  <wp:posOffset>139700</wp:posOffset>
                </wp:positionV>
                <wp:extent cx="457200" cy="0"/>
                <wp:effectExtent l="19050" t="63500" r="19050" b="60325"/>
                <wp:wrapNone/>
                <wp:docPr id="3748" name="Line 323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57200" cy="0"/>
                        </a:xfrm>
                        <a:prstGeom prst="line">
                          <a:avLst/>
                        </a:prstGeom>
                        <a:noFill/>
                        <a:ln w="9525">
                          <a:solidFill>
                            <a:srgbClr val="000000"/>
                          </a:solidFill>
                          <a:round/>
                          <a:headEnd type="arrow" w="sm" len="sm"/>
                          <a:tailEnd type="arrow" w="sm" len="sm"/>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line w14:anchorId="29CF47A6" id="Line 3230" o:spid="_x0000_s1026" style="position:absolute;left:0;text-align:left;z-index:2537768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61pt,11pt" to="297pt,1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">
                <v:stroke startarrow="open" startarrowwidth="narrow" startarrowlength="short" endarrow="open" endarrowwidth="narrow" endarrowlength="short"/>
              </v:line>
            </w:pict>
          </mc:Fallback>
        </mc:AlternateContent>
      </w:r>
      <w:r w:rsidRPr="001D6D10">
        <w:rPr>
          <w:noProof/>
          <w:sz w:val="20"/>
        </w:rPr>
        <mc:AlternateContent>
          <mc:Choice Requires="wps">
            <w:drawing>
              <wp:anchor distT="0" distB="0" distL="114300" distR="114300" simplePos="0" relativeHeight="253773824" behindDoc="0" locked="0" layoutInCell="1" allowOverlap="1" wp14:anchorId="5351E029" wp14:editId="20B749B9">
                <wp:simplePos x="0" y="0"/>
                <wp:positionH relativeFrom="column">
                  <wp:posOffset>1600200</wp:posOffset>
                </wp:positionH>
                <wp:positionV relativeFrom="paragraph">
                  <wp:posOffset>139700</wp:posOffset>
                </wp:positionV>
                <wp:extent cx="685800" cy="0"/>
                <wp:effectExtent l="9525" t="6350" r="9525" b="12700"/>
                <wp:wrapNone/>
                <wp:docPr id="3747" name="Line 322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85800" cy="0"/>
                        </a:xfrm>
                        <a:prstGeom prst="line">
                          <a:avLst/>
                        </a:prstGeom>
                        <a:noFill/>
                        <a:ln w="9525">
                          <a:solidFill>
                            <a:srgbClr val="000000"/>
                          </a:solidFill>
                          <a:prstDash val="sysDot"/>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line w14:anchorId="696ED991" id="Line 3227" o:spid="_x0000_s1026" style="position:absolute;left:0;text-align:left;z-index:2537738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26pt,11pt" to="180pt,1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">
                <v:stroke dashstyle="1 1"/>
              </v:line>
            </w:pict>
          </mc:Fallback>
        </mc:AlternateContent>
      </w:r>
      <w:r w:rsidRPr="001D6D10">
        <w:rPr>
          <w:noProof/>
          <w:sz w:val="20"/>
        </w:rPr>
        <mc:AlternateContent>
          <mc:Choice Requires="wps">
            <w:drawing>
              <wp:anchor distT="0" distB="0" distL="114300" distR="114300" simplePos="0" relativeHeight="253774848" behindDoc="0" locked="0" layoutInCell="1" allowOverlap="1" wp14:anchorId="413B1AA8" wp14:editId="3293F907">
                <wp:simplePos x="0" y="0"/>
                <wp:positionH relativeFrom="column">
                  <wp:posOffset>2286000</wp:posOffset>
                </wp:positionH>
                <wp:positionV relativeFrom="paragraph">
                  <wp:posOffset>139700</wp:posOffset>
                </wp:positionV>
                <wp:extent cx="457200" cy="0"/>
                <wp:effectExtent l="19050" t="63500" r="19050" b="60325"/>
                <wp:wrapNone/>
                <wp:docPr id="3746" name="Line 322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57200" cy="0"/>
                        </a:xfrm>
                        <a:prstGeom prst="line">
                          <a:avLst/>
                        </a:prstGeom>
                        <a:noFill/>
                        <a:ln w="9525">
                          <a:solidFill>
                            <a:srgbClr val="000000"/>
                          </a:solidFill>
                          <a:round/>
                          <a:headEnd type="arrow" w="sm" len="sm"/>
                          <a:tailEnd type="arrow" w="sm" len="sm"/>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line w14:anchorId="03243EF3" id="Line 3228" o:spid="_x0000_s1026" style="position:absolute;left:0;text-align:left;z-index:2537748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80pt,11pt" to="3in,1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">
                <v:stroke startarrow="open" startarrowwidth="narrow" startarrowlength="short" endarrow="open" endarrowwidth="narrow" endarrowlength="short"/>
              </v:line>
            </w:pict>
          </mc:Fallback>
        </mc:AlternateContent>
      </w:r>
    </w:p>
    <w:p w14:paraId="3E96B1B5" w14:textId="77777777" w:rsidR="008B4B2B" w:rsidRPr="001D6D10" w:rsidRDefault="008B4B2B" w:rsidP="008B4B2B">
      <w:pPr>
        <w:wordWrap w:val="0"/>
        <w:spacing w:line="362" w:lineRule="exact"/>
        <w:ind w:right="125"/>
      </w:pPr>
      <w:r w:rsidRPr="001D6D10">
        <w:rPr>
          <w:noProof/>
          <w:sz w:val="20"/>
        </w:rPr>
        <mc:AlternateContent>
          <mc:Choice Requires="wps">
            <w:drawing>
              <wp:anchor distT="0" distB="0" distL="114300" distR="114300" simplePos="0" relativeHeight="253778944" behindDoc="0" locked="0" layoutInCell="1" allowOverlap="1" wp14:anchorId="5DF183DF" wp14:editId="71C54B92">
                <wp:simplePos x="0" y="0"/>
                <wp:positionH relativeFrom="column">
                  <wp:posOffset>1657350</wp:posOffset>
                </wp:positionH>
                <wp:positionV relativeFrom="paragraph">
                  <wp:posOffset>424180</wp:posOffset>
                </wp:positionV>
                <wp:extent cx="571500" cy="0"/>
                <wp:effectExtent l="66675" t="14605" r="66675" b="23495"/>
                <wp:wrapNone/>
                <wp:docPr id="3745" name="Line 323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rot="-5400000">
                          <a:off x="0" y="0"/>
                          <a:ext cx="571500" cy="0"/>
                        </a:xfrm>
                        <a:prstGeom prst="line">
                          <a:avLst/>
                        </a:prstGeom>
                        <a:noFill/>
                        <a:ln w="9525">
                          <a:solidFill>
                            <a:srgbClr val="000000"/>
                          </a:solidFill>
                          <a:round/>
                          <a:headEnd type="arrow" w="sm" len="sm"/>
                          <a:tailEnd type="arrow" w="sm" len="sm"/>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line w14:anchorId="0531B32A" id="Line 3232" o:spid="_x0000_s1026" style="position:absolute;left:0;text-align:left;rotation:-90;z-index:2537789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30.5pt,33.4pt" to="175.5pt,33.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">
                <v:stroke startarrow="open" startarrowwidth="narrow" startarrowlength="short" endarrow="open" endarrowwidth="narrow" endarrowlength="short"/>
              </v:line>
            </w:pict>
          </mc:Fallback>
        </mc:AlternateContent>
      </w:r>
    </w:p>
    <w:p w14:paraId="362C30B7" w14:textId="77777777" w:rsidR="008B4B2B" w:rsidRPr="001D6D10" w:rsidRDefault="008B4B2B" w:rsidP="008B4B2B">
      <w:pPr>
        <w:wordWrap w:val="0"/>
        <w:spacing w:line="362" w:lineRule="exact"/>
        <w:ind w:right="125"/>
      </w:pPr>
    </w:p>
    <w:p w14:paraId="5855ACA7" w14:textId="77777777" w:rsidR="008B4B2B" w:rsidRPr="001D6D10" w:rsidRDefault="008B4B2B" w:rsidP="008B4B2B">
      <w:pPr>
        <w:wordWrap w:val="0"/>
        <w:spacing w:line="362" w:lineRule="exact"/>
        <w:ind w:right="125"/>
      </w:pPr>
    </w:p>
    <w:p w14:paraId="69CD6A24" w14:textId="77777777" w:rsidR="008B4B2B" w:rsidRPr="001D6D10" w:rsidRDefault="008B4B2B" w:rsidP="008B4B2B">
      <w:pPr>
        <w:wordWrap w:val="0"/>
        <w:spacing w:line="362" w:lineRule="exact"/>
        <w:ind w:right="125"/>
      </w:pPr>
      <w:r w:rsidRPr="001D6D10">
        <w:rPr>
          <w:rFonts w:hint="eastAsia"/>
          <w:noProof/>
        </w:rPr>
        <mc:AlternateContent>
          <mc:Choice Requires="wps">
            <w:drawing>
              <wp:anchor distT="0" distB="0" distL="114300" distR="114300" simplePos="0" relativeHeight="253757440" behindDoc="0" locked="0" layoutInCell="1" allowOverlap="1" wp14:anchorId="268D8A51" wp14:editId="38F10B90">
                <wp:simplePos x="0" y="0"/>
                <wp:positionH relativeFrom="column">
                  <wp:posOffset>3771900</wp:posOffset>
                </wp:positionH>
                <wp:positionV relativeFrom="paragraph">
                  <wp:posOffset>20320</wp:posOffset>
                </wp:positionV>
                <wp:extent cx="538480" cy="459740"/>
                <wp:effectExtent l="9525" t="10795" r="13970" b="5715"/>
                <wp:wrapNone/>
                <wp:docPr id="3744" name="Text Box 321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538480" cy="459740"/>
                        </a:xfrm>
                        <a:prstGeom prst="rect">
                          <a:avLst/>
                        </a:prstGeom>
                        <a:noFill/>
                        <a:ln w="6350">
                          <a:solidFill>
                            <a:srgbClr val="000000"/>
                          </a:solidFill>
                          <a:miter lim="800000"/>
                          <a:headEnd/>
                          <a:tailEnd/>
                        </a:ln>
                        <a:extLst>
                          <a:ext uri="{909E8E84-426E-40DD-AFC4-6F175D3DCCD1}">
                            <a14:hiddenFill xmlns:a14="http://schemas.microsoft.com/office/drawing/2010/main">
                              <a:solidFill>
                                <a:srgbClr val="000000"/>
                              </a:solidFill>
                            </a14:hiddenFill>
                          </a:ext>
                        </a:extLst>
                      </wps:spPr>
                      <wps:txbx>
                        <w:txbxContent>
                          <w:p w14:paraId="02983A79" w14:textId="77777777" w:rsidR="006A5267" w:rsidRDefault="006A5267" w:rsidP="008B4B2B">
                            <w:pPr>
                              <w:kinsoku w:val="0"/>
                              <w:wordWrap w:val="0"/>
                              <w:overflowPunct w:val="0"/>
                              <w:spacing w:line="181" w:lineRule="exact"/>
                            </w:pPr>
                          </w:p>
                          <w:p w14:paraId="2507F393" w14:textId="77777777" w:rsidR="006A5267" w:rsidRDefault="006A5267" w:rsidP="008B4B2B">
                            <w:pPr>
                              <w:kinsoku w:val="0"/>
                              <w:wordWrap w:val="0"/>
                              <w:overflowPunct w:val="0"/>
                              <w:spacing w:line="362" w:lineRule="exact"/>
                            </w:pPr>
                            <w:r>
                              <w:rPr>
                                <w:rFonts w:hint="eastAsia"/>
                                <w:spacing w:val="1"/>
                              </w:rPr>
                              <w:t xml:space="preserve"> </w:t>
                            </w:r>
                            <w:r>
                              <w:rPr>
                                <w:rFonts w:hint="eastAsia"/>
                              </w:rPr>
                              <w:t>消防庁</w:t>
                            </w:r>
                          </w:p>
                          <w:p w14:paraId="3D180A0C" w14:textId="77777777" w:rsidR="006A5267" w:rsidRDefault="006A5267" w:rsidP="008B4B2B">
                            <w:pPr>
                              <w:kinsoku w:val="0"/>
                              <w:wordWrap w:val="0"/>
                              <w:overflowPunct w:val="0"/>
                              <w:spacing w:line="181" w:lineRule="exact"/>
                            </w:pPr>
                          </w:p>
                          <w:p w14:paraId="5E464F51" w14:textId="77777777" w:rsidR="006A5267" w:rsidRDefault="006A5267" w:rsidP="008B4B2B">
                            <w:pPr>
                              <w:wordWrap w:val="0"/>
                              <w:spacing w:line="0" w:lineRule="atLeast"/>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shape w14:anchorId="268D8A51" id="Text Box 3212" o:spid="_x0000_s1758" type="#_x0000_t202" style="position:absolute;left:0;text-align:left;margin-left:297pt;margin-top:1.6pt;width:42.4pt;height:36.2pt;z-index:2537574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" filled="f" fillcolor="black" strokeweight=".5pt">
                <v:path arrowok="t"/>
                <v:textbox inset="0,0,0,0">
                  <w:txbxContent>
                    <w:p w14:paraId="02983A79" w14:textId="77777777" w:rsidR="006A5267" w:rsidRDefault="006A5267" w:rsidP="008B4B2B">
                      <w:pPr>
                        <w:kinsoku w:val="0"/>
                        <w:wordWrap w:val="0"/>
                        <w:overflowPunct w:val="0"/>
                        <w:spacing w:line="181" w:lineRule="exact"/>
                      </w:pPr>
                    </w:p>
                    <w:p w14:paraId="2507F393" w14:textId="77777777" w:rsidR="006A5267" w:rsidRDefault="006A5267" w:rsidP="008B4B2B">
                      <w:pPr>
                        <w:kinsoku w:val="0"/>
                        <w:wordWrap w:val="0"/>
                        <w:overflowPunct w:val="0"/>
                        <w:spacing w:line="362" w:lineRule="exact"/>
                      </w:pPr>
                      <w:r>
                        <w:rPr>
                          <w:rFonts w:hint="eastAsia"/>
                          <w:spacing w:val="1"/>
                        </w:rPr>
                        <w:t xml:space="preserve"> </w:t>
                      </w:r>
                      <w:r>
                        <w:rPr>
                          <w:rFonts w:hint="eastAsia"/>
                        </w:rPr>
                        <w:t>消防庁</w:t>
                      </w:r>
                    </w:p>
                    <w:p w14:paraId="3D180A0C" w14:textId="77777777" w:rsidR="006A5267" w:rsidRDefault="006A5267" w:rsidP="008B4B2B">
                      <w:pPr>
                        <w:kinsoku w:val="0"/>
                        <w:wordWrap w:val="0"/>
                        <w:overflowPunct w:val="0"/>
                        <w:spacing w:line="181" w:lineRule="exact"/>
                      </w:pPr>
                    </w:p>
                    <w:p w14:paraId="5E464F51" w14:textId="77777777" w:rsidR="006A5267" w:rsidRDefault="006A5267" w:rsidP="008B4B2B">
                      <w:pPr>
                        <w:wordWrap w:val="0"/>
                        <w:spacing w:line="0" w:lineRule="atLeast"/>
                      </w:pPr>
                    </w:p>
                  </w:txbxContent>
                </v:textbox>
              </v:shape>
            </w:pict>
          </mc:Fallback>
        </mc:AlternateContent>
      </w:r>
      <w:r w:rsidRPr="001D6D10">
        <w:rPr>
          <w:rFonts w:hint="eastAsia"/>
          <w:noProof/>
        </w:rPr>
        <mc:AlternateContent>
          <mc:Choice Requires="wps">
            <w:drawing>
              <wp:anchor distT="0" distB="0" distL="114300" distR="114300" simplePos="0" relativeHeight="253756416" behindDoc="0" locked="0" layoutInCell="1" allowOverlap="1" wp14:anchorId="6101994A" wp14:editId="12555FF8">
                <wp:simplePos x="0" y="0"/>
                <wp:positionH relativeFrom="column">
                  <wp:posOffset>1600200</wp:posOffset>
                </wp:positionH>
                <wp:positionV relativeFrom="paragraph">
                  <wp:posOffset>20320</wp:posOffset>
                </wp:positionV>
                <wp:extent cx="685800" cy="459740"/>
                <wp:effectExtent l="9525" t="10795" r="9525" b="5715"/>
                <wp:wrapNone/>
                <wp:docPr id="3743" name="Text Box 32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685800" cy="459740"/>
                        </a:xfrm>
                        <a:prstGeom prst="rect">
                          <a:avLst/>
                        </a:prstGeom>
                        <a:noFill/>
                        <a:ln w="6350">
                          <a:solidFill>
                            <a:srgbClr val="000000"/>
                          </a:solidFill>
                          <a:miter lim="800000"/>
                          <a:headEnd/>
                          <a:tailEnd/>
                        </a:ln>
                        <a:extLst>
                          <a:ext uri="{909E8E84-426E-40DD-AFC4-6F175D3DCCD1}">
                            <a14:hiddenFill xmlns:a14="http://schemas.microsoft.com/office/drawing/2010/main">
                              <a:solidFill>
                                <a:srgbClr val="000000"/>
                              </a:solidFill>
                            </a14:hiddenFill>
                          </a:ext>
                        </a:extLst>
                      </wps:spPr>
                      <wps:txbx>
                        <w:txbxContent>
                          <w:p w14:paraId="077F2F89" w14:textId="77777777" w:rsidR="006A5267" w:rsidRDefault="006A5267" w:rsidP="008B4B2B">
                            <w:pPr>
                              <w:kinsoku w:val="0"/>
                              <w:wordWrap w:val="0"/>
                              <w:overflowPunct w:val="0"/>
                              <w:spacing w:line="181" w:lineRule="exact"/>
                            </w:pPr>
                          </w:p>
                          <w:p w14:paraId="354F3FDC" w14:textId="77777777" w:rsidR="006A5267" w:rsidRDefault="006A5267" w:rsidP="008B4B2B">
                            <w:pPr>
                              <w:kinsoku w:val="0"/>
                              <w:overflowPunct w:val="0"/>
                              <w:spacing w:line="362" w:lineRule="exact"/>
                              <w:jc w:val="center"/>
                            </w:pPr>
                            <w:r>
                              <w:rPr>
                                <w:rFonts w:hint="eastAsia"/>
                              </w:rPr>
                              <w:t>府警察</w:t>
                            </w:r>
                          </w:p>
                          <w:p w14:paraId="3C51B164" w14:textId="77777777" w:rsidR="006A5267" w:rsidRDefault="006A5267" w:rsidP="008B4B2B">
                            <w:pPr>
                              <w:kinsoku w:val="0"/>
                              <w:wordWrap w:val="0"/>
                              <w:overflowPunct w:val="0"/>
                              <w:spacing w:line="181" w:lineRule="exact"/>
                            </w:pPr>
                          </w:p>
                          <w:p w14:paraId="250F1455" w14:textId="77777777" w:rsidR="006A5267" w:rsidRDefault="006A5267" w:rsidP="008B4B2B">
                            <w:pPr>
                              <w:wordWrap w:val="0"/>
                              <w:spacing w:line="0" w:lineRule="atLeast"/>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shape w14:anchorId="6101994A" id="Text Box 3211" o:spid="_x0000_s1759" type="#_x0000_t202" style="position:absolute;left:0;text-align:left;margin-left:126pt;margin-top:1.6pt;width:54pt;height:36.2pt;z-index:2537564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" filled="f" fillcolor="black" strokeweight=".5pt">
                <v:path arrowok="t"/>
                <v:textbox inset="0,0,0,0">
                  <w:txbxContent>
                    <w:p w14:paraId="077F2F89" w14:textId="77777777" w:rsidR="006A5267" w:rsidRDefault="006A5267" w:rsidP="008B4B2B">
                      <w:pPr>
                        <w:kinsoku w:val="0"/>
                        <w:wordWrap w:val="0"/>
                        <w:overflowPunct w:val="0"/>
                        <w:spacing w:line="181" w:lineRule="exact"/>
                      </w:pPr>
                    </w:p>
                    <w:p w14:paraId="354F3FDC" w14:textId="77777777" w:rsidR="006A5267" w:rsidRDefault="006A5267" w:rsidP="008B4B2B">
                      <w:pPr>
                        <w:kinsoku w:val="0"/>
                        <w:overflowPunct w:val="0"/>
                        <w:spacing w:line="362" w:lineRule="exact"/>
                        <w:jc w:val="center"/>
                      </w:pPr>
                      <w:r>
                        <w:rPr>
                          <w:rFonts w:hint="eastAsia"/>
                        </w:rPr>
                        <w:t>府警察</w:t>
                      </w:r>
                    </w:p>
                    <w:p w14:paraId="3C51B164" w14:textId="77777777" w:rsidR="006A5267" w:rsidRDefault="006A5267" w:rsidP="008B4B2B">
                      <w:pPr>
                        <w:kinsoku w:val="0"/>
                        <w:wordWrap w:val="0"/>
                        <w:overflowPunct w:val="0"/>
                        <w:spacing w:line="181" w:lineRule="exact"/>
                      </w:pPr>
                    </w:p>
                    <w:p w14:paraId="250F1455" w14:textId="77777777" w:rsidR="006A5267" w:rsidRDefault="006A5267" w:rsidP="008B4B2B">
                      <w:pPr>
                        <w:wordWrap w:val="0"/>
                        <w:spacing w:line="0" w:lineRule="atLeast"/>
                      </w:pPr>
                    </w:p>
                  </w:txbxContent>
                </v:textbox>
              </v:shape>
            </w:pict>
          </mc:Fallback>
        </mc:AlternateContent>
      </w:r>
    </w:p>
    <w:p w14:paraId="086DE15D" w14:textId="77777777" w:rsidR="008B4B2B" w:rsidRPr="001D6D10" w:rsidRDefault="008B4B2B" w:rsidP="008B4B2B">
      <w:pPr>
        <w:wordWrap w:val="0"/>
        <w:spacing w:line="362" w:lineRule="exact"/>
        <w:ind w:right="125"/>
      </w:pPr>
      <w:r w:rsidRPr="001D6D10">
        <w:rPr>
          <w:noProof/>
          <w:sz w:val="20"/>
        </w:rPr>
        <mc:AlternateContent>
          <mc:Choice Requires="wps">
            <w:drawing>
              <wp:anchor distT="0" distB="0" distL="114300" distR="114300" simplePos="0" relativeHeight="253777920" behindDoc="0" locked="0" layoutInCell="1" allowOverlap="1" wp14:anchorId="02BEB8B5" wp14:editId="704F5999">
                <wp:simplePos x="0" y="0"/>
                <wp:positionH relativeFrom="column">
                  <wp:posOffset>3298190</wp:posOffset>
                </wp:positionH>
                <wp:positionV relativeFrom="paragraph">
                  <wp:posOffset>19050</wp:posOffset>
                </wp:positionV>
                <wp:extent cx="473710" cy="0"/>
                <wp:effectExtent l="12065" t="66675" r="19050" b="66675"/>
                <wp:wrapNone/>
                <wp:docPr id="3742" name="Line 323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73710" cy="0"/>
                        </a:xfrm>
                        <a:prstGeom prst="line">
                          <a:avLst/>
                        </a:prstGeom>
                        <a:noFill/>
                        <a:ln w="9525">
                          <a:solidFill>
                            <a:srgbClr val="000000"/>
                          </a:solidFill>
                          <a:round/>
                          <a:headEnd/>
                          <a:tailEnd type="arrow" w="sm" len="sm"/>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line w14:anchorId="248CC373" id="Line 3231" o:spid="_x0000_s1026" style="position:absolute;left:0;text-align:left;z-index:2537779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59.7pt,1.5pt" to="297pt,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">
                <v:stroke endarrow="open" endarrowwidth="narrow" endarrowlength="short"/>
              </v:line>
            </w:pict>
          </mc:Fallback>
        </mc:AlternateContent>
      </w:r>
      <w:r w:rsidRPr="001D6D10">
        <w:rPr>
          <w:noProof/>
          <w:sz w:val="20"/>
        </w:rPr>
        <mc:AlternateContent>
          <mc:Choice Requires="wps">
            <w:drawing>
              <wp:anchor distT="0" distB="0" distL="114300" distR="114300" simplePos="0" relativeHeight="253772800" behindDoc="0" locked="0" layoutInCell="1" allowOverlap="1" wp14:anchorId="1E22975F" wp14:editId="2F2D3EBD">
                <wp:simplePos x="0" y="0"/>
                <wp:positionH relativeFrom="column">
                  <wp:posOffset>1183640</wp:posOffset>
                </wp:positionH>
                <wp:positionV relativeFrom="paragraph">
                  <wp:posOffset>19050</wp:posOffset>
                </wp:positionV>
                <wp:extent cx="416560" cy="0"/>
                <wp:effectExtent l="12065" t="66675" r="19050" b="66675"/>
                <wp:wrapNone/>
                <wp:docPr id="3741" name="Line 322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16560" cy="0"/>
                        </a:xfrm>
                        <a:prstGeom prst="line">
                          <a:avLst/>
                        </a:prstGeom>
                        <a:noFill/>
                        <a:ln w="9525">
                          <a:solidFill>
                            <a:srgbClr val="000000"/>
                          </a:solidFill>
                          <a:round/>
                          <a:headEnd/>
                          <a:tailEnd type="arrow" w="sm" len="sm"/>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line w14:anchorId="5DA071DB" id="Line 3226" o:spid="_x0000_s1026" style="position:absolute;left:0;text-align:left;z-index:2537728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93.2pt,1.5pt" to="126pt,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">
                <v:stroke endarrow="open" endarrowwidth="narrow" endarrowlength="short"/>
              </v:line>
            </w:pict>
          </mc:Fallback>
        </mc:AlternateContent>
      </w:r>
      <w:r w:rsidRPr="001D6D10">
        <w:rPr>
          <w:noProof/>
          <w:sz w:val="20"/>
        </w:rPr>
        <mc:AlternateContent>
          <mc:Choice Requires="wps">
            <w:drawing>
              <wp:anchor distT="0" distB="0" distL="114300" distR="114300" simplePos="0" relativeHeight="253775872" behindDoc="0" locked="0" layoutInCell="1" allowOverlap="1" wp14:anchorId="509D2C1F" wp14:editId="75CCB1BF">
                <wp:simplePos x="0" y="0"/>
                <wp:positionH relativeFrom="column">
                  <wp:posOffset>2286000</wp:posOffset>
                </wp:positionH>
                <wp:positionV relativeFrom="paragraph">
                  <wp:posOffset>19050</wp:posOffset>
                </wp:positionV>
                <wp:extent cx="457200" cy="0"/>
                <wp:effectExtent l="19050" t="66675" r="19050" b="66675"/>
                <wp:wrapNone/>
                <wp:docPr id="3740" name="Line 322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57200" cy="0"/>
                        </a:xfrm>
                        <a:prstGeom prst="line">
                          <a:avLst/>
                        </a:prstGeom>
                        <a:noFill/>
                        <a:ln w="9525">
                          <a:solidFill>
                            <a:srgbClr val="000000"/>
                          </a:solidFill>
                          <a:round/>
                          <a:headEnd type="arrow" w="sm" len="sm"/>
                          <a:tailEnd type="arrow" w="sm" len="sm"/>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line w14:anchorId="4D8AEC05" id="Line 3229" o:spid="_x0000_s1026" style="position:absolute;left:0;text-align:left;z-index:2537758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80pt,1.5pt" to="3in,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">
                <v:stroke startarrow="open" startarrowwidth="narrow" startarrowlength="short" endarrow="open" endarrowwidth="narrow" endarrowlength="short"/>
              </v:line>
            </w:pict>
          </mc:Fallback>
        </mc:AlternateContent>
      </w:r>
    </w:p>
    <w:p w14:paraId="7A6B710B" w14:textId="77777777" w:rsidR="008B4B2B" w:rsidRPr="001D6D10" w:rsidRDefault="008B4B2B" w:rsidP="008B4B2B">
      <w:pPr>
        <w:wordWrap w:val="0"/>
        <w:spacing w:line="362" w:lineRule="exact"/>
        <w:ind w:right="125"/>
      </w:pPr>
    </w:p>
    <w:p w14:paraId="06DC9F0C" w14:textId="77777777" w:rsidR="008B4B2B" w:rsidRPr="001D6D10" w:rsidRDefault="008B4B2B" w:rsidP="008B4B2B">
      <w:pPr>
        <w:wordWrap w:val="0"/>
        <w:spacing w:line="362" w:lineRule="exact"/>
        <w:ind w:leftChars="420" w:left="887" w:right="125"/>
      </w:pPr>
      <w:r w:rsidRPr="001D6D10">
        <w:rPr>
          <w:rFonts w:hint="eastAsia"/>
        </w:rPr>
        <w:t>(2)</w:t>
      </w:r>
      <w:r w:rsidRPr="001D6D10">
        <w:rPr>
          <w:rFonts w:hint="eastAsia"/>
        </w:rPr>
        <w:t xml:space="preserve">　軌道事業者</w:t>
      </w:r>
    </w:p>
    <w:p w14:paraId="58CE4023" w14:textId="77777777" w:rsidR="008B4B2B" w:rsidRPr="001D6D10" w:rsidRDefault="008B4B2B" w:rsidP="008B4B2B">
      <w:pPr>
        <w:wordWrap w:val="0"/>
        <w:spacing w:line="362" w:lineRule="exact"/>
        <w:ind w:right="125"/>
      </w:pPr>
      <w:r w:rsidRPr="001D6D10">
        <w:rPr>
          <w:rFonts w:hint="eastAsia"/>
          <w:noProof/>
        </w:rPr>
        <mc:AlternateContent>
          <mc:Choice Requires="wps">
            <w:drawing>
              <wp:anchor distT="0" distB="0" distL="114300" distR="114300" simplePos="0" relativeHeight="253767680" behindDoc="0" locked="0" layoutInCell="1" allowOverlap="1" wp14:anchorId="34F525EA" wp14:editId="48CBEB77">
                <wp:simplePos x="0" y="0"/>
                <wp:positionH relativeFrom="column">
                  <wp:posOffset>1183640</wp:posOffset>
                </wp:positionH>
                <wp:positionV relativeFrom="paragraph">
                  <wp:posOffset>15240</wp:posOffset>
                </wp:positionV>
                <wp:extent cx="1210310" cy="228600"/>
                <wp:effectExtent l="12065" t="5715" r="6350" b="13335"/>
                <wp:wrapNone/>
                <wp:docPr id="3739" name="Freeform 322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210310" cy="228600"/>
                        </a:xfrm>
                        <a:custGeom>
                          <a:avLst/>
                          <a:gdLst>
                            <a:gd name="T0" fmla="*/ 2150 w 2150"/>
                            <a:gd name="T1" fmla="*/ 0 h 362"/>
                            <a:gd name="T2" fmla="*/ 0 w 2150"/>
                            <a:gd name="T3" fmla="*/ 362 h 362"/>
                          </a:gdLst>
                          <a:ahLst/>
                          <a:cxnLst>
                            <a:cxn ang="0">
                              <a:pos x="T0" y="T1"/>
                            </a:cxn>
                            <a:cxn ang="0">
                              <a:pos x="T2" y="T3"/>
                            </a:cxn>
                          </a:cxnLst>
                          <a:rect l="0" t="0" r="r" b="b"/>
                          <a:pathLst>
                            <a:path w="2150" h="362">
                              <a:moveTo>
                                <a:pt x="2150" y="0"/>
                              </a:moveTo>
                              <a:lnTo>
                                <a:pt x="0" y="362"/>
                              </a:lnTo>
                            </a:path>
                          </a:pathLst>
                        </a:custGeom>
                        <a:noFill/>
                        <a:ln w="10795" cap="flat">
                          <a:solidFill>
                            <a:srgbClr val="000000"/>
                          </a:solidFill>
                          <a:prstDash val="solid"/>
                          <a:round/>
                          <a:headEnd type="none" w="med" len="med"/>
                          <a:tailEnd type="none" w="med" len="me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shape w14:anchorId="4AFEE790" id="Freeform 3222" o:spid="_x0000_s1026" style="position:absolute;left:0;text-align:left;margin-left:93.2pt;margin-top:1.2pt;width:95.3pt;height:18pt;z-index:253767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2150,36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" path="m2150,l,362e" filled="f" strokeweight=".85pt">
                <v:path arrowok="t" o:connecttype="custom" o:connectlocs="1210310,0;0,228600" o:connectangles="0,0"/>
              </v:shape>
            </w:pict>
          </mc:Fallback>
        </mc:AlternateContent>
      </w:r>
      <w:r w:rsidRPr="001D6D10">
        <w:rPr>
          <w:rFonts w:hint="eastAsia"/>
          <w:noProof/>
        </w:rPr>
        <mc:AlternateContent>
          <mc:Choice Requires="wps">
            <w:drawing>
              <wp:anchor distT="0" distB="0" distL="114300" distR="114300" simplePos="0" relativeHeight="253765632" behindDoc="0" locked="0" layoutInCell="1" allowOverlap="1" wp14:anchorId="457DF599" wp14:editId="52151077">
                <wp:simplePos x="0" y="0"/>
                <wp:positionH relativeFrom="column">
                  <wp:posOffset>914400</wp:posOffset>
                </wp:positionH>
                <wp:positionV relativeFrom="paragraph">
                  <wp:posOffset>129540</wp:posOffset>
                </wp:positionV>
                <wp:extent cx="269240" cy="2528570"/>
                <wp:effectExtent l="9525" t="5715" r="6985" b="8890"/>
                <wp:wrapNone/>
                <wp:docPr id="3738" name="Text Box 322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269240" cy="2528570"/>
                        </a:xfrm>
                        <a:prstGeom prst="rect">
                          <a:avLst/>
                        </a:prstGeom>
                        <a:noFill/>
                        <a:ln w="6350">
                          <a:solidFill>
                            <a:srgbClr val="000000"/>
                          </a:solidFill>
                          <a:miter lim="800000"/>
                          <a:headEnd/>
                          <a:tailEnd/>
                        </a:ln>
                        <a:extLst>
                          <a:ext uri="{909E8E84-426E-40DD-AFC4-6F175D3DCCD1}">
                            <a14:hiddenFill xmlns:a14="http://schemas.microsoft.com/office/drawing/2010/main">
                              <a:solidFill>
                                <a:srgbClr val="000000"/>
                              </a:solidFill>
                            </a14:hiddenFill>
                          </a:ext>
                        </a:extLst>
                      </wps:spPr>
                      <wps:txbx>
                        <w:txbxContent>
                          <w:p w14:paraId="654D0248" w14:textId="77777777" w:rsidR="006A5267" w:rsidRDefault="006A5267" w:rsidP="008B4B2B">
                            <w:pPr>
                              <w:kinsoku w:val="0"/>
                              <w:wordWrap w:val="0"/>
                              <w:overflowPunct w:val="0"/>
                              <w:spacing w:line="181" w:lineRule="exact"/>
                            </w:pPr>
                          </w:p>
                          <w:p w14:paraId="565D7B4B" w14:textId="77777777" w:rsidR="006A5267" w:rsidRDefault="006A5267" w:rsidP="008B4B2B">
                            <w:pPr>
                              <w:kinsoku w:val="0"/>
                              <w:wordWrap w:val="0"/>
                              <w:overflowPunct w:val="0"/>
                              <w:spacing w:line="362" w:lineRule="exact"/>
                            </w:pPr>
                          </w:p>
                          <w:p w14:paraId="5B4FBEBE" w14:textId="77777777" w:rsidR="006A5267" w:rsidRDefault="006A5267" w:rsidP="008B4B2B">
                            <w:pPr>
                              <w:kinsoku w:val="0"/>
                              <w:wordWrap w:val="0"/>
                              <w:overflowPunct w:val="0"/>
                              <w:spacing w:line="362" w:lineRule="exact"/>
                            </w:pPr>
                          </w:p>
                          <w:p w14:paraId="1D555857" w14:textId="77777777" w:rsidR="006A5267" w:rsidRDefault="006A5267" w:rsidP="008B4B2B">
                            <w:pPr>
                              <w:kinsoku w:val="0"/>
                              <w:wordWrap w:val="0"/>
                              <w:overflowPunct w:val="0"/>
                              <w:spacing w:line="362" w:lineRule="exact"/>
                            </w:pPr>
                            <w:r>
                              <w:rPr>
                                <w:rFonts w:hint="eastAsia"/>
                                <w:spacing w:val="1"/>
                              </w:rPr>
                              <w:t xml:space="preserve"> </w:t>
                            </w:r>
                            <w:r>
                              <w:rPr>
                                <w:rFonts w:hint="eastAsia"/>
                              </w:rPr>
                              <w:t>軌</w:t>
                            </w:r>
                          </w:p>
                          <w:p w14:paraId="6E2AC8DC" w14:textId="77777777" w:rsidR="006A5267" w:rsidRDefault="006A5267" w:rsidP="008B4B2B">
                            <w:pPr>
                              <w:kinsoku w:val="0"/>
                              <w:wordWrap w:val="0"/>
                              <w:overflowPunct w:val="0"/>
                              <w:spacing w:line="362" w:lineRule="exact"/>
                            </w:pPr>
                            <w:r>
                              <w:rPr>
                                <w:rFonts w:hint="eastAsia"/>
                                <w:spacing w:val="1"/>
                              </w:rPr>
                              <w:t xml:space="preserve"> </w:t>
                            </w:r>
                            <w:r>
                              <w:rPr>
                                <w:rFonts w:hint="eastAsia"/>
                              </w:rPr>
                              <w:t>道</w:t>
                            </w:r>
                          </w:p>
                          <w:p w14:paraId="7A689628" w14:textId="77777777" w:rsidR="006A5267" w:rsidRDefault="006A5267" w:rsidP="008B4B2B">
                            <w:pPr>
                              <w:kinsoku w:val="0"/>
                              <w:wordWrap w:val="0"/>
                              <w:overflowPunct w:val="0"/>
                              <w:spacing w:line="362" w:lineRule="exact"/>
                            </w:pPr>
                            <w:r>
                              <w:rPr>
                                <w:rFonts w:hint="eastAsia"/>
                                <w:spacing w:val="1"/>
                              </w:rPr>
                              <w:t xml:space="preserve"> </w:t>
                            </w:r>
                            <w:r>
                              <w:rPr>
                                <w:rFonts w:hint="eastAsia"/>
                              </w:rPr>
                              <w:t>事</w:t>
                            </w:r>
                          </w:p>
                          <w:p w14:paraId="19556EA6" w14:textId="77777777" w:rsidR="006A5267" w:rsidRDefault="006A5267" w:rsidP="008B4B2B">
                            <w:pPr>
                              <w:kinsoku w:val="0"/>
                              <w:wordWrap w:val="0"/>
                              <w:overflowPunct w:val="0"/>
                              <w:spacing w:line="362" w:lineRule="exact"/>
                            </w:pPr>
                            <w:r>
                              <w:rPr>
                                <w:rFonts w:hint="eastAsia"/>
                                <w:spacing w:val="1"/>
                              </w:rPr>
                              <w:t xml:space="preserve"> </w:t>
                            </w:r>
                            <w:r>
                              <w:rPr>
                                <w:rFonts w:hint="eastAsia"/>
                              </w:rPr>
                              <w:t>業</w:t>
                            </w:r>
                          </w:p>
                          <w:p w14:paraId="7D82A25A" w14:textId="77777777" w:rsidR="006A5267" w:rsidRDefault="006A5267" w:rsidP="008B4B2B">
                            <w:pPr>
                              <w:kinsoku w:val="0"/>
                              <w:wordWrap w:val="0"/>
                              <w:overflowPunct w:val="0"/>
                              <w:spacing w:line="362" w:lineRule="exact"/>
                            </w:pPr>
                            <w:r>
                              <w:rPr>
                                <w:rFonts w:hint="eastAsia"/>
                                <w:spacing w:val="1"/>
                              </w:rPr>
                              <w:t xml:space="preserve"> </w:t>
                            </w:r>
                            <w:r>
                              <w:rPr>
                                <w:rFonts w:hint="eastAsia"/>
                              </w:rPr>
                              <w:t>者</w:t>
                            </w:r>
                          </w:p>
                          <w:p w14:paraId="179B64E9" w14:textId="77777777" w:rsidR="006A5267" w:rsidRDefault="006A5267" w:rsidP="008B4B2B">
                            <w:pPr>
                              <w:kinsoku w:val="0"/>
                              <w:wordWrap w:val="0"/>
                              <w:overflowPunct w:val="0"/>
                              <w:spacing w:line="362" w:lineRule="exact"/>
                            </w:pPr>
                          </w:p>
                          <w:p w14:paraId="3F7B0F31" w14:textId="77777777" w:rsidR="006A5267" w:rsidRDefault="006A5267" w:rsidP="008B4B2B">
                            <w:pPr>
                              <w:kinsoku w:val="0"/>
                              <w:wordWrap w:val="0"/>
                              <w:overflowPunct w:val="0"/>
                              <w:spacing w:line="362" w:lineRule="exact"/>
                            </w:pPr>
                          </w:p>
                          <w:p w14:paraId="6F02AEC1" w14:textId="77777777" w:rsidR="006A5267" w:rsidRDefault="006A5267" w:rsidP="008B4B2B">
                            <w:pPr>
                              <w:kinsoku w:val="0"/>
                              <w:wordWrap w:val="0"/>
                              <w:overflowPunct w:val="0"/>
                              <w:spacing w:line="362" w:lineRule="exact"/>
                            </w:pPr>
                          </w:p>
                          <w:p w14:paraId="54F707CA" w14:textId="77777777" w:rsidR="006A5267" w:rsidRDefault="006A5267" w:rsidP="008B4B2B">
                            <w:pPr>
                              <w:kinsoku w:val="0"/>
                              <w:wordWrap w:val="0"/>
                              <w:overflowPunct w:val="0"/>
                              <w:spacing w:line="181" w:lineRule="exact"/>
                            </w:pPr>
                          </w:p>
                          <w:p w14:paraId="23F2BCF5" w14:textId="77777777" w:rsidR="006A5267" w:rsidRDefault="006A5267" w:rsidP="008B4B2B">
                            <w:pPr>
                              <w:wordWrap w:val="0"/>
                              <w:spacing w:line="0" w:lineRule="atLeast"/>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shape w14:anchorId="457DF599" id="Text Box 3220" o:spid="_x0000_s1760" type="#_x0000_t202" style="position:absolute;left:0;text-align:left;margin-left:1in;margin-top:10.2pt;width:21.2pt;height:199.1pt;z-index:2537656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" filled="f" fillcolor="black" strokeweight=".5pt">
                <v:path arrowok="t"/>
                <v:textbox inset="0,0,0,0">
                  <w:txbxContent>
                    <w:p w14:paraId="654D0248" w14:textId="77777777" w:rsidR="006A5267" w:rsidRDefault="006A5267" w:rsidP="008B4B2B">
                      <w:pPr>
                        <w:kinsoku w:val="0"/>
                        <w:wordWrap w:val="0"/>
                        <w:overflowPunct w:val="0"/>
                        <w:spacing w:line="181" w:lineRule="exact"/>
                      </w:pPr>
                    </w:p>
                    <w:p w14:paraId="565D7B4B" w14:textId="77777777" w:rsidR="006A5267" w:rsidRDefault="006A5267" w:rsidP="008B4B2B">
                      <w:pPr>
                        <w:kinsoku w:val="0"/>
                        <w:wordWrap w:val="0"/>
                        <w:overflowPunct w:val="0"/>
                        <w:spacing w:line="362" w:lineRule="exact"/>
                      </w:pPr>
                    </w:p>
                    <w:p w14:paraId="5B4FBEBE" w14:textId="77777777" w:rsidR="006A5267" w:rsidRDefault="006A5267" w:rsidP="008B4B2B">
                      <w:pPr>
                        <w:kinsoku w:val="0"/>
                        <w:wordWrap w:val="0"/>
                        <w:overflowPunct w:val="0"/>
                        <w:spacing w:line="362" w:lineRule="exact"/>
                      </w:pPr>
                    </w:p>
                    <w:p w14:paraId="1D555857" w14:textId="77777777" w:rsidR="006A5267" w:rsidRDefault="006A5267" w:rsidP="008B4B2B">
                      <w:pPr>
                        <w:kinsoku w:val="0"/>
                        <w:wordWrap w:val="0"/>
                        <w:overflowPunct w:val="0"/>
                        <w:spacing w:line="362" w:lineRule="exact"/>
                      </w:pPr>
                      <w:r>
                        <w:rPr>
                          <w:rFonts w:hint="eastAsia"/>
                          <w:spacing w:val="1"/>
                        </w:rPr>
                        <w:t xml:space="preserve"> </w:t>
                      </w:r>
                      <w:r>
                        <w:rPr>
                          <w:rFonts w:hint="eastAsia"/>
                        </w:rPr>
                        <w:t>軌</w:t>
                      </w:r>
                    </w:p>
                    <w:p w14:paraId="6E2AC8DC" w14:textId="77777777" w:rsidR="006A5267" w:rsidRDefault="006A5267" w:rsidP="008B4B2B">
                      <w:pPr>
                        <w:kinsoku w:val="0"/>
                        <w:wordWrap w:val="0"/>
                        <w:overflowPunct w:val="0"/>
                        <w:spacing w:line="362" w:lineRule="exact"/>
                      </w:pPr>
                      <w:r>
                        <w:rPr>
                          <w:rFonts w:hint="eastAsia"/>
                          <w:spacing w:val="1"/>
                        </w:rPr>
                        <w:t xml:space="preserve"> </w:t>
                      </w:r>
                      <w:r>
                        <w:rPr>
                          <w:rFonts w:hint="eastAsia"/>
                        </w:rPr>
                        <w:t>道</w:t>
                      </w:r>
                    </w:p>
                    <w:p w14:paraId="7A689628" w14:textId="77777777" w:rsidR="006A5267" w:rsidRDefault="006A5267" w:rsidP="008B4B2B">
                      <w:pPr>
                        <w:kinsoku w:val="0"/>
                        <w:wordWrap w:val="0"/>
                        <w:overflowPunct w:val="0"/>
                        <w:spacing w:line="362" w:lineRule="exact"/>
                      </w:pPr>
                      <w:r>
                        <w:rPr>
                          <w:rFonts w:hint="eastAsia"/>
                          <w:spacing w:val="1"/>
                        </w:rPr>
                        <w:t xml:space="preserve"> </w:t>
                      </w:r>
                      <w:r>
                        <w:rPr>
                          <w:rFonts w:hint="eastAsia"/>
                        </w:rPr>
                        <w:t>事</w:t>
                      </w:r>
                    </w:p>
                    <w:p w14:paraId="19556EA6" w14:textId="77777777" w:rsidR="006A5267" w:rsidRDefault="006A5267" w:rsidP="008B4B2B">
                      <w:pPr>
                        <w:kinsoku w:val="0"/>
                        <w:wordWrap w:val="0"/>
                        <w:overflowPunct w:val="0"/>
                        <w:spacing w:line="362" w:lineRule="exact"/>
                      </w:pPr>
                      <w:r>
                        <w:rPr>
                          <w:rFonts w:hint="eastAsia"/>
                          <w:spacing w:val="1"/>
                        </w:rPr>
                        <w:t xml:space="preserve"> </w:t>
                      </w:r>
                      <w:r>
                        <w:rPr>
                          <w:rFonts w:hint="eastAsia"/>
                        </w:rPr>
                        <w:t>業</w:t>
                      </w:r>
                    </w:p>
                    <w:p w14:paraId="7D82A25A" w14:textId="77777777" w:rsidR="006A5267" w:rsidRDefault="006A5267" w:rsidP="008B4B2B">
                      <w:pPr>
                        <w:kinsoku w:val="0"/>
                        <w:wordWrap w:val="0"/>
                        <w:overflowPunct w:val="0"/>
                        <w:spacing w:line="362" w:lineRule="exact"/>
                      </w:pPr>
                      <w:r>
                        <w:rPr>
                          <w:rFonts w:hint="eastAsia"/>
                          <w:spacing w:val="1"/>
                        </w:rPr>
                        <w:t xml:space="preserve"> </w:t>
                      </w:r>
                      <w:r>
                        <w:rPr>
                          <w:rFonts w:hint="eastAsia"/>
                        </w:rPr>
                        <w:t>者</w:t>
                      </w:r>
                    </w:p>
                    <w:p w14:paraId="179B64E9" w14:textId="77777777" w:rsidR="006A5267" w:rsidRDefault="006A5267" w:rsidP="008B4B2B">
                      <w:pPr>
                        <w:kinsoku w:val="0"/>
                        <w:wordWrap w:val="0"/>
                        <w:overflowPunct w:val="0"/>
                        <w:spacing w:line="362" w:lineRule="exact"/>
                      </w:pPr>
                    </w:p>
                    <w:p w14:paraId="3F7B0F31" w14:textId="77777777" w:rsidR="006A5267" w:rsidRDefault="006A5267" w:rsidP="008B4B2B">
                      <w:pPr>
                        <w:kinsoku w:val="0"/>
                        <w:wordWrap w:val="0"/>
                        <w:overflowPunct w:val="0"/>
                        <w:spacing w:line="362" w:lineRule="exact"/>
                      </w:pPr>
                    </w:p>
                    <w:p w14:paraId="6F02AEC1" w14:textId="77777777" w:rsidR="006A5267" w:rsidRDefault="006A5267" w:rsidP="008B4B2B">
                      <w:pPr>
                        <w:kinsoku w:val="0"/>
                        <w:wordWrap w:val="0"/>
                        <w:overflowPunct w:val="0"/>
                        <w:spacing w:line="362" w:lineRule="exact"/>
                      </w:pPr>
                    </w:p>
                    <w:p w14:paraId="54F707CA" w14:textId="77777777" w:rsidR="006A5267" w:rsidRDefault="006A5267" w:rsidP="008B4B2B">
                      <w:pPr>
                        <w:kinsoku w:val="0"/>
                        <w:wordWrap w:val="0"/>
                        <w:overflowPunct w:val="0"/>
                        <w:spacing w:line="181" w:lineRule="exact"/>
                      </w:pPr>
                    </w:p>
                    <w:p w14:paraId="23F2BCF5" w14:textId="77777777" w:rsidR="006A5267" w:rsidRDefault="006A5267" w:rsidP="008B4B2B">
                      <w:pPr>
                        <w:wordWrap w:val="0"/>
                        <w:spacing w:line="0" w:lineRule="atLeast"/>
                      </w:pPr>
                    </w:p>
                  </w:txbxContent>
                </v:textbox>
              </v:shape>
            </w:pict>
          </mc:Fallback>
        </mc:AlternateContent>
      </w:r>
      <w:r w:rsidRPr="001D6D10">
        <w:rPr>
          <w:rFonts w:hint="eastAsia"/>
          <w:noProof/>
        </w:rPr>
        <mc:AlternateContent>
          <mc:Choice Requires="wps">
            <w:drawing>
              <wp:anchor distT="0" distB="0" distL="114300" distR="114300" simplePos="0" relativeHeight="253766656" behindDoc="0" locked="0" layoutInCell="1" allowOverlap="1" wp14:anchorId="1E2217C8" wp14:editId="0D259613">
                <wp:simplePos x="0" y="0"/>
                <wp:positionH relativeFrom="column">
                  <wp:posOffset>3771900</wp:posOffset>
                </wp:positionH>
                <wp:positionV relativeFrom="paragraph">
                  <wp:posOffset>129540</wp:posOffset>
                </wp:positionV>
                <wp:extent cx="538480" cy="1838960"/>
                <wp:effectExtent l="9525" t="5715" r="13970" b="12700"/>
                <wp:wrapNone/>
                <wp:docPr id="3737" name="Text Box 322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538480" cy="1838960"/>
                        </a:xfrm>
                        <a:prstGeom prst="rect">
                          <a:avLst/>
                        </a:prstGeom>
                        <a:noFill/>
                        <a:ln w="6350">
                          <a:solidFill>
                            <a:srgbClr val="000000"/>
                          </a:solidFill>
                          <a:miter lim="800000"/>
                          <a:headEnd/>
                          <a:tailEnd/>
                        </a:ln>
                        <a:extLst>
                          <a:ext uri="{909E8E84-426E-40DD-AFC4-6F175D3DCCD1}">
                            <a14:hiddenFill xmlns:a14="http://schemas.microsoft.com/office/drawing/2010/main">
                              <a:solidFill>
                                <a:srgbClr val="000000"/>
                              </a:solidFill>
                            </a14:hiddenFill>
                          </a:ext>
                        </a:extLst>
                      </wps:spPr>
                      <wps:txbx>
                        <w:txbxContent>
                          <w:p w14:paraId="0552B14C" w14:textId="77777777" w:rsidR="006A5267" w:rsidRDefault="006A5267" w:rsidP="008B4B2B">
                            <w:pPr>
                              <w:kinsoku w:val="0"/>
                              <w:wordWrap w:val="0"/>
                              <w:overflowPunct w:val="0"/>
                              <w:spacing w:line="181" w:lineRule="exact"/>
                            </w:pPr>
                          </w:p>
                          <w:p w14:paraId="50686968" w14:textId="77777777" w:rsidR="006A5267" w:rsidRDefault="006A5267" w:rsidP="008B4B2B">
                            <w:pPr>
                              <w:kinsoku w:val="0"/>
                              <w:wordWrap w:val="0"/>
                              <w:overflowPunct w:val="0"/>
                              <w:spacing w:line="362" w:lineRule="exact"/>
                            </w:pPr>
                          </w:p>
                          <w:p w14:paraId="50A0887B" w14:textId="77777777" w:rsidR="006A5267" w:rsidRDefault="006A5267" w:rsidP="008B4B2B">
                            <w:pPr>
                              <w:kinsoku w:val="0"/>
                              <w:wordWrap w:val="0"/>
                              <w:overflowPunct w:val="0"/>
                              <w:spacing w:line="362" w:lineRule="exact"/>
                            </w:pPr>
                            <w:r>
                              <w:rPr>
                                <w:rFonts w:hint="eastAsia"/>
                                <w:spacing w:val="1"/>
                              </w:rPr>
                              <w:t xml:space="preserve"> </w:t>
                            </w:r>
                            <w:r>
                              <w:fldChar w:fldCharType="begin"/>
                            </w:r>
                            <w:r>
                              <w:instrText xml:space="preserve"> eq \o\ad(</w:instrText>
                            </w:r>
                            <w:r>
                              <w:rPr>
                                <w:rFonts w:hint="eastAsia"/>
                              </w:rPr>
                              <w:instrText>近畿</w:instrText>
                            </w:r>
                            <w:r>
                              <w:rPr>
                                <w:rFonts w:hint="eastAsia"/>
                              </w:rPr>
                              <w:instrText>,</w:instrText>
                            </w:r>
                            <w:r>
                              <w:rPr>
                                <w:rFonts w:hint="eastAsia"/>
                                <w:w w:val="50"/>
                              </w:rPr>
                              <w:instrText xml:space="preserve">　　　　　　</w:instrText>
                            </w:r>
                            <w:r>
                              <w:rPr>
                                <w:rFonts w:hint="eastAsia"/>
                              </w:rPr>
                              <w:instrText>)</w:instrText>
                            </w:r>
                            <w:r>
                              <w:fldChar w:fldCharType="end"/>
                            </w:r>
                          </w:p>
                          <w:p w14:paraId="39A0BE63" w14:textId="77777777" w:rsidR="006A5267" w:rsidRDefault="006A5267" w:rsidP="008B4B2B">
                            <w:pPr>
                              <w:kinsoku w:val="0"/>
                              <w:wordWrap w:val="0"/>
                              <w:overflowPunct w:val="0"/>
                              <w:spacing w:line="362" w:lineRule="exact"/>
                            </w:pPr>
                          </w:p>
                          <w:p w14:paraId="66B49E6D" w14:textId="77777777" w:rsidR="006A5267" w:rsidRDefault="006A5267" w:rsidP="008B4B2B">
                            <w:pPr>
                              <w:kinsoku w:val="0"/>
                              <w:wordWrap w:val="0"/>
                              <w:overflowPunct w:val="0"/>
                              <w:spacing w:line="362" w:lineRule="exact"/>
                            </w:pPr>
                          </w:p>
                          <w:p w14:paraId="3A2E99DC" w14:textId="77777777" w:rsidR="006A5267" w:rsidRDefault="006A5267" w:rsidP="008B4B2B">
                            <w:pPr>
                              <w:kinsoku w:val="0"/>
                              <w:wordWrap w:val="0"/>
                              <w:overflowPunct w:val="0"/>
                              <w:spacing w:line="362" w:lineRule="exact"/>
                            </w:pPr>
                            <w:r>
                              <w:rPr>
                                <w:rFonts w:hint="eastAsia"/>
                                <w:spacing w:val="1"/>
                              </w:rPr>
                              <w:t xml:space="preserve"> </w:t>
                            </w:r>
                          </w:p>
                          <w:p w14:paraId="28D153BB" w14:textId="77777777" w:rsidR="006A5267" w:rsidRDefault="006A5267" w:rsidP="008B4B2B">
                            <w:pPr>
                              <w:kinsoku w:val="0"/>
                              <w:overflowPunct w:val="0"/>
                              <w:spacing w:line="362" w:lineRule="exact"/>
                              <w:jc w:val="center"/>
                            </w:pPr>
                            <w:r>
                              <w:rPr>
                                <w:rFonts w:hint="eastAsia"/>
                              </w:rPr>
                              <w:t>運輸局</w:t>
                            </w:r>
                          </w:p>
                          <w:p w14:paraId="0185F95D" w14:textId="77777777" w:rsidR="006A5267" w:rsidRDefault="006A5267" w:rsidP="008B4B2B">
                            <w:pPr>
                              <w:kinsoku w:val="0"/>
                              <w:wordWrap w:val="0"/>
                              <w:overflowPunct w:val="0"/>
                              <w:spacing w:line="362" w:lineRule="exact"/>
                            </w:pPr>
                          </w:p>
                          <w:p w14:paraId="0BBC22C1" w14:textId="77777777" w:rsidR="006A5267" w:rsidRDefault="006A5267" w:rsidP="008B4B2B">
                            <w:pPr>
                              <w:kinsoku w:val="0"/>
                              <w:wordWrap w:val="0"/>
                              <w:overflowPunct w:val="0"/>
                              <w:spacing w:line="181" w:lineRule="exact"/>
                            </w:pPr>
                          </w:p>
                          <w:p w14:paraId="4B8E01E8" w14:textId="77777777" w:rsidR="006A5267" w:rsidRDefault="006A5267" w:rsidP="008B4B2B">
                            <w:pPr>
                              <w:wordWrap w:val="0"/>
                              <w:spacing w:line="0" w:lineRule="atLeast"/>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shape w14:anchorId="1E2217C8" id="Text Box 3221" o:spid="_x0000_s1761" type="#_x0000_t202" style="position:absolute;left:0;text-align:left;margin-left:297pt;margin-top:10.2pt;width:42.4pt;height:144.8pt;z-index:2537666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" filled="f" fillcolor="black" strokeweight=".5pt">
                <v:path arrowok="t"/>
                <v:textbox inset="0,0,0,0">
                  <w:txbxContent>
                    <w:p w14:paraId="0552B14C" w14:textId="77777777" w:rsidR="006A5267" w:rsidRDefault="006A5267" w:rsidP="008B4B2B">
                      <w:pPr>
                        <w:kinsoku w:val="0"/>
                        <w:wordWrap w:val="0"/>
                        <w:overflowPunct w:val="0"/>
                        <w:spacing w:line="181" w:lineRule="exact"/>
                      </w:pPr>
                    </w:p>
                    <w:p w14:paraId="50686968" w14:textId="77777777" w:rsidR="006A5267" w:rsidRDefault="006A5267" w:rsidP="008B4B2B">
                      <w:pPr>
                        <w:kinsoku w:val="0"/>
                        <w:wordWrap w:val="0"/>
                        <w:overflowPunct w:val="0"/>
                        <w:spacing w:line="362" w:lineRule="exact"/>
                      </w:pPr>
                    </w:p>
                    <w:p w14:paraId="50A0887B" w14:textId="77777777" w:rsidR="006A5267" w:rsidRDefault="006A5267" w:rsidP="008B4B2B">
                      <w:pPr>
                        <w:kinsoku w:val="0"/>
                        <w:wordWrap w:val="0"/>
                        <w:overflowPunct w:val="0"/>
                        <w:spacing w:line="362" w:lineRule="exact"/>
                      </w:pPr>
                      <w:r>
                        <w:rPr>
                          <w:rFonts w:hint="eastAsia"/>
                          <w:spacing w:val="1"/>
                        </w:rPr>
                        <w:t xml:space="preserve"> </w:t>
                      </w:r>
                      <w:r>
                        <w:fldChar w:fldCharType="begin"/>
                      </w:r>
                      <w:r>
                        <w:instrText xml:space="preserve"> eq \o\ad(</w:instrText>
                      </w:r>
                      <w:r>
                        <w:rPr>
                          <w:rFonts w:hint="eastAsia"/>
                        </w:rPr>
                        <w:instrText>近畿</w:instrText>
                      </w:r>
                      <w:r>
                        <w:rPr>
                          <w:rFonts w:hint="eastAsia"/>
                        </w:rPr>
                        <w:instrText>,</w:instrText>
                      </w:r>
                      <w:r>
                        <w:rPr>
                          <w:rFonts w:hint="eastAsia"/>
                          <w:w w:val="50"/>
                        </w:rPr>
                        <w:instrText xml:space="preserve">　　　　　　</w:instrText>
                      </w:r>
                      <w:r>
                        <w:rPr>
                          <w:rFonts w:hint="eastAsia"/>
                        </w:rPr>
                        <w:instrText>)</w:instrText>
                      </w:r>
                      <w:r>
                        <w:fldChar w:fldCharType="end"/>
                      </w:r>
                    </w:p>
                    <w:p w14:paraId="39A0BE63" w14:textId="77777777" w:rsidR="006A5267" w:rsidRDefault="006A5267" w:rsidP="008B4B2B">
                      <w:pPr>
                        <w:kinsoku w:val="0"/>
                        <w:wordWrap w:val="0"/>
                        <w:overflowPunct w:val="0"/>
                        <w:spacing w:line="362" w:lineRule="exact"/>
                      </w:pPr>
                    </w:p>
                    <w:p w14:paraId="66B49E6D" w14:textId="77777777" w:rsidR="006A5267" w:rsidRDefault="006A5267" w:rsidP="008B4B2B">
                      <w:pPr>
                        <w:kinsoku w:val="0"/>
                        <w:wordWrap w:val="0"/>
                        <w:overflowPunct w:val="0"/>
                        <w:spacing w:line="362" w:lineRule="exact"/>
                      </w:pPr>
                    </w:p>
                    <w:p w14:paraId="3A2E99DC" w14:textId="77777777" w:rsidR="006A5267" w:rsidRDefault="006A5267" w:rsidP="008B4B2B">
                      <w:pPr>
                        <w:kinsoku w:val="0"/>
                        <w:wordWrap w:val="0"/>
                        <w:overflowPunct w:val="0"/>
                        <w:spacing w:line="362" w:lineRule="exact"/>
                      </w:pPr>
                      <w:r>
                        <w:rPr>
                          <w:rFonts w:hint="eastAsia"/>
                          <w:spacing w:val="1"/>
                        </w:rPr>
                        <w:t xml:space="preserve"> </w:t>
                      </w:r>
                    </w:p>
                    <w:p w14:paraId="28D153BB" w14:textId="77777777" w:rsidR="006A5267" w:rsidRDefault="006A5267" w:rsidP="008B4B2B">
                      <w:pPr>
                        <w:kinsoku w:val="0"/>
                        <w:overflowPunct w:val="0"/>
                        <w:spacing w:line="362" w:lineRule="exact"/>
                        <w:jc w:val="center"/>
                      </w:pPr>
                      <w:r>
                        <w:rPr>
                          <w:rFonts w:hint="eastAsia"/>
                        </w:rPr>
                        <w:t>運輸局</w:t>
                      </w:r>
                    </w:p>
                    <w:p w14:paraId="0185F95D" w14:textId="77777777" w:rsidR="006A5267" w:rsidRDefault="006A5267" w:rsidP="008B4B2B">
                      <w:pPr>
                        <w:kinsoku w:val="0"/>
                        <w:wordWrap w:val="0"/>
                        <w:overflowPunct w:val="0"/>
                        <w:spacing w:line="362" w:lineRule="exact"/>
                      </w:pPr>
                    </w:p>
                    <w:p w14:paraId="0BBC22C1" w14:textId="77777777" w:rsidR="006A5267" w:rsidRDefault="006A5267" w:rsidP="008B4B2B">
                      <w:pPr>
                        <w:kinsoku w:val="0"/>
                        <w:wordWrap w:val="0"/>
                        <w:overflowPunct w:val="0"/>
                        <w:spacing w:line="181" w:lineRule="exact"/>
                      </w:pPr>
                    </w:p>
                    <w:p w14:paraId="4B8E01E8" w14:textId="77777777" w:rsidR="006A5267" w:rsidRDefault="006A5267" w:rsidP="008B4B2B">
                      <w:pPr>
                        <w:wordWrap w:val="0"/>
                        <w:spacing w:line="0" w:lineRule="atLeast"/>
                      </w:pPr>
                    </w:p>
                  </w:txbxContent>
                </v:textbox>
              </v:shape>
            </w:pict>
          </mc:Fallback>
        </mc:AlternateContent>
      </w:r>
      <w:r w:rsidRPr="001D6D10">
        <w:rPr>
          <w:rFonts w:hint="eastAsia"/>
          <w:noProof/>
        </w:rPr>
        <mc:AlternateContent>
          <mc:Choice Requires="wps">
            <w:drawing>
              <wp:anchor distT="0" distB="0" distL="114300" distR="114300" simplePos="0" relativeHeight="253768704" behindDoc="0" locked="0" layoutInCell="1" allowOverlap="1" wp14:anchorId="4DD07E64" wp14:editId="75FB1F81">
                <wp:simplePos x="0" y="0"/>
                <wp:positionH relativeFrom="column">
                  <wp:posOffset>2400300</wp:posOffset>
                </wp:positionH>
                <wp:positionV relativeFrom="paragraph">
                  <wp:posOffset>15240</wp:posOffset>
                </wp:positionV>
                <wp:extent cx="1365250" cy="229870"/>
                <wp:effectExtent l="9525" t="5715" r="34925" b="78740"/>
                <wp:wrapNone/>
                <wp:docPr id="3736" name="Freeform 322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365250" cy="229870"/>
                        </a:xfrm>
                        <a:custGeom>
                          <a:avLst/>
                          <a:gdLst>
                            <a:gd name="T0" fmla="*/ 0 w 2150"/>
                            <a:gd name="T1" fmla="*/ 0 h 362"/>
                            <a:gd name="T2" fmla="*/ 2150 w 2150"/>
                            <a:gd name="T3" fmla="*/ 362 h 362"/>
                          </a:gdLst>
                          <a:ahLst/>
                          <a:cxnLst>
                            <a:cxn ang="0">
                              <a:pos x="T0" y="T1"/>
                            </a:cxn>
                            <a:cxn ang="0">
                              <a:pos x="T2" y="T3"/>
                            </a:cxn>
                          </a:cxnLst>
                          <a:rect l="0" t="0" r="r" b="b"/>
                          <a:pathLst>
                            <a:path w="2150" h="362">
                              <a:moveTo>
                                <a:pt x="0" y="0"/>
                              </a:moveTo>
                              <a:lnTo>
                                <a:pt x="2150" y="362"/>
                              </a:lnTo>
                            </a:path>
                          </a:pathLst>
                        </a:custGeom>
                        <a:noFill/>
                        <a:ln w="10795" cap="flat">
                          <a:solidFill>
                            <a:srgbClr val="000000"/>
                          </a:solidFill>
                          <a:prstDash val="solid"/>
                          <a:round/>
                          <a:headEnd type="none" w="med" len="med"/>
                          <a:tailEnd type="arrow" w="med" len="me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polyline w14:anchorId="75440248" id="Freeform 3223" o:spid="_x0000_s1026" style="position:absolute;left:0;text-align:left;z-index:253768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points="189pt,1.2pt,296.5pt,19.3pt" coordsize="2150,36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" filled="f" strokeweight=".85pt">
                <v:stroke endarrow="open"/>
                <v:path arrowok="t" o:connecttype="custom" o:connectlocs="0,0;1365250,229870" o:connectangles="0,0"/>
              </v:polyline>
            </w:pict>
          </mc:Fallback>
        </mc:AlternateContent>
      </w:r>
    </w:p>
    <w:p w14:paraId="7B7F6211" w14:textId="77777777" w:rsidR="008B4B2B" w:rsidRPr="001D6D10" w:rsidRDefault="008B4B2B" w:rsidP="008B4B2B">
      <w:pPr>
        <w:wordWrap w:val="0"/>
        <w:spacing w:line="181" w:lineRule="exact"/>
        <w:ind w:right="125"/>
      </w:pPr>
      <w:r w:rsidRPr="001D6D10">
        <w:rPr>
          <w:noProof/>
          <w:sz w:val="20"/>
        </w:rPr>
        <mc:AlternateContent>
          <mc:Choice Requires="wps">
            <w:drawing>
              <wp:anchor distT="0" distB="0" distL="114300" distR="114300" simplePos="0" relativeHeight="253782016" behindDoc="0" locked="0" layoutInCell="1" allowOverlap="1" wp14:anchorId="1EC3C2C0" wp14:editId="3DF49871">
                <wp:simplePos x="0" y="0"/>
                <wp:positionH relativeFrom="column">
                  <wp:posOffset>2743200</wp:posOffset>
                </wp:positionH>
                <wp:positionV relativeFrom="paragraph">
                  <wp:posOffset>13970</wp:posOffset>
                </wp:positionV>
                <wp:extent cx="571500" cy="571500"/>
                <wp:effectExtent l="9525" t="13970" r="9525" b="5080"/>
                <wp:wrapNone/>
                <wp:docPr id="3735" name="Text Box 323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571500" cy="571500"/>
                        </a:xfrm>
                        <a:prstGeom prst="rect">
                          <a:avLst/>
                        </a:prstGeom>
                        <a:noFill/>
                        <a:ln w="6350">
                          <a:solidFill>
                            <a:srgbClr val="000000"/>
                          </a:solidFill>
                          <a:miter lim="800000"/>
                          <a:headEnd/>
                          <a:tailEnd/>
                        </a:ln>
                        <a:extLst>
                          <a:ext uri="{909E8E84-426E-40DD-AFC4-6F175D3DCCD1}">
                            <a14:hiddenFill xmlns:a14="http://schemas.microsoft.com/office/drawing/2010/main">
                              <a:solidFill>
                                <a:srgbClr val="000000"/>
                              </a:solidFill>
                            </a14:hiddenFill>
                          </a:ext>
                        </a:extLst>
                      </wps:spPr>
                      <wps:txbx>
                        <w:txbxContent>
                          <w:p w14:paraId="767C257B" w14:textId="77777777" w:rsidR="006A5267" w:rsidRDefault="006A5267" w:rsidP="008B4B2B">
                            <w:pPr>
                              <w:wordWrap w:val="0"/>
                              <w:spacing w:line="0" w:lineRule="atLeast"/>
                            </w:pPr>
                          </w:p>
                          <w:p w14:paraId="13B6C836" w14:textId="77777777" w:rsidR="006A5267" w:rsidRDefault="006A5267" w:rsidP="008B4B2B">
                            <w:pPr>
                              <w:spacing w:line="0" w:lineRule="atLeast"/>
                              <w:jc w:val="center"/>
                            </w:pPr>
                            <w:r>
                              <w:rPr>
                                <w:rFonts w:hint="eastAsia"/>
                              </w:rPr>
                              <w:t>大阪府</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shape w14:anchorId="1EC3C2C0" id="Text Box 3235" o:spid="_x0000_s1762" type="#_x0000_t202" style="position:absolute;left:0;text-align:left;margin-left:3in;margin-top:1.1pt;width:45pt;height:45pt;z-index:2537820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" filled="f" fillcolor="black" strokeweight=".5pt">
                <v:path arrowok="t"/>
                <v:textbox inset="0,0,0,0">
                  <w:txbxContent>
                    <w:p w14:paraId="767C257B" w14:textId="77777777" w:rsidR="006A5267" w:rsidRDefault="006A5267" w:rsidP="008B4B2B">
                      <w:pPr>
                        <w:wordWrap w:val="0"/>
                        <w:spacing w:line="0" w:lineRule="atLeast"/>
                      </w:pPr>
                    </w:p>
                    <w:p w14:paraId="13B6C836" w14:textId="77777777" w:rsidR="006A5267" w:rsidRDefault="006A5267" w:rsidP="008B4B2B">
                      <w:pPr>
                        <w:spacing w:line="0" w:lineRule="atLeast"/>
                        <w:jc w:val="center"/>
                      </w:pPr>
                      <w:r>
                        <w:rPr>
                          <w:rFonts w:hint="eastAsia"/>
                        </w:rPr>
                        <w:t>大阪府</w:t>
                      </w:r>
                    </w:p>
                  </w:txbxContent>
                </v:textbox>
              </v:shape>
            </w:pict>
          </mc:Fallback>
        </mc:AlternateContent>
      </w:r>
    </w:p>
    <w:p w14:paraId="60E220D5" w14:textId="77777777" w:rsidR="008B4B2B" w:rsidRPr="001D6D10" w:rsidRDefault="008B4B2B" w:rsidP="008B4B2B">
      <w:pPr>
        <w:wordWrap w:val="0"/>
        <w:spacing w:line="181" w:lineRule="exact"/>
        <w:ind w:right="125"/>
      </w:pPr>
    </w:p>
    <w:p w14:paraId="5E12728E" w14:textId="77777777" w:rsidR="008B4B2B" w:rsidRPr="001D6D10" w:rsidRDefault="008B4B2B" w:rsidP="008B4B2B">
      <w:pPr>
        <w:wordWrap w:val="0"/>
        <w:spacing w:line="181" w:lineRule="exact"/>
        <w:ind w:right="125"/>
      </w:pPr>
      <w:r w:rsidRPr="001D6D10">
        <w:rPr>
          <w:noProof/>
          <w:sz w:val="20"/>
        </w:rPr>
        <mc:AlternateContent>
          <mc:Choice Requires="wps">
            <w:drawing>
              <wp:anchor distT="0" distB="0" distL="114300" distR="114300" simplePos="0" relativeHeight="253785088" behindDoc="0" locked="0" layoutInCell="1" allowOverlap="1" wp14:anchorId="104E441D" wp14:editId="6B88F533">
                <wp:simplePos x="0" y="0"/>
                <wp:positionH relativeFrom="column">
                  <wp:posOffset>1183640</wp:posOffset>
                </wp:positionH>
                <wp:positionV relativeFrom="paragraph">
                  <wp:posOffset>12700</wp:posOffset>
                </wp:positionV>
                <wp:extent cx="873760" cy="0"/>
                <wp:effectExtent l="12065" t="12700" r="9525" b="6350"/>
                <wp:wrapNone/>
                <wp:docPr id="3734" name="Line 323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87376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line w14:anchorId="26BDB8E6" id="Line 3238" o:spid="_x0000_s1026" style="position:absolute;left:0;text-align:left;flip:y;z-index:2537850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93.2pt,1pt" to="162pt,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"/>
            </w:pict>
          </mc:Fallback>
        </mc:AlternateContent>
      </w:r>
      <w:r w:rsidRPr="001D6D10">
        <w:rPr>
          <w:noProof/>
          <w:sz w:val="20"/>
        </w:rPr>
        <mc:AlternateContent>
          <mc:Choice Requires="wps">
            <w:drawing>
              <wp:anchor distT="0" distB="0" distL="114300" distR="114300" simplePos="0" relativeHeight="253786112" behindDoc="0" locked="0" layoutInCell="1" allowOverlap="1" wp14:anchorId="481E76BD" wp14:editId="003390AE">
                <wp:simplePos x="0" y="0"/>
                <wp:positionH relativeFrom="column">
                  <wp:posOffset>2057400</wp:posOffset>
                </wp:positionH>
                <wp:positionV relativeFrom="paragraph">
                  <wp:posOffset>12700</wp:posOffset>
                </wp:positionV>
                <wp:extent cx="685800" cy="571500"/>
                <wp:effectExtent l="9525" t="12700" r="47625" b="53975"/>
                <wp:wrapNone/>
                <wp:docPr id="3733" name="Line 323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85800" cy="571500"/>
                        </a:xfrm>
                        <a:prstGeom prst="line">
                          <a:avLst/>
                        </a:prstGeom>
                        <a:noFill/>
                        <a:ln w="9525">
                          <a:solidFill>
                            <a:srgbClr val="000000"/>
                          </a:solidFill>
                          <a:round/>
                          <a:headEnd/>
                          <a:tailEnd type="arrow" w="sm" len="sm"/>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line w14:anchorId="428B94FB" id="Line 3239" o:spid="_x0000_s1026" style="position:absolute;left:0;text-align:left;z-index:2537861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62pt,1pt" to="3in,4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">
                <v:stroke endarrow="open" endarrowwidth="narrow" endarrowlength="short"/>
              </v:line>
            </w:pict>
          </mc:Fallback>
        </mc:AlternateContent>
      </w:r>
    </w:p>
    <w:p w14:paraId="04C19000" w14:textId="77777777" w:rsidR="008B4B2B" w:rsidRPr="001D6D10" w:rsidRDefault="008B4B2B" w:rsidP="008B4B2B">
      <w:pPr>
        <w:wordWrap w:val="0"/>
        <w:spacing w:line="181" w:lineRule="exact"/>
        <w:ind w:right="125"/>
      </w:pPr>
    </w:p>
    <w:p w14:paraId="10BDFE62" w14:textId="77777777" w:rsidR="008B4B2B" w:rsidRPr="001D6D10" w:rsidRDefault="008B4B2B" w:rsidP="008B4B2B">
      <w:pPr>
        <w:wordWrap w:val="0"/>
        <w:spacing w:line="181" w:lineRule="exact"/>
        <w:ind w:right="125"/>
      </w:pPr>
    </w:p>
    <w:p w14:paraId="63D4B9C9" w14:textId="77777777" w:rsidR="008B4B2B" w:rsidRPr="001D6D10" w:rsidRDefault="008B4B2B" w:rsidP="008B4B2B">
      <w:pPr>
        <w:wordWrap w:val="0"/>
        <w:spacing w:line="181" w:lineRule="exact"/>
        <w:ind w:right="125"/>
      </w:pPr>
      <w:r w:rsidRPr="001D6D10">
        <w:rPr>
          <w:noProof/>
          <w:sz w:val="20"/>
        </w:rPr>
        <mc:AlternateContent>
          <mc:Choice Requires="wps">
            <w:drawing>
              <wp:anchor distT="0" distB="0" distL="114300" distR="114300" simplePos="0" relativeHeight="253783040" behindDoc="0" locked="0" layoutInCell="1" allowOverlap="1" wp14:anchorId="3C2FC77A" wp14:editId="55420D18">
                <wp:simplePos x="0" y="0"/>
                <wp:positionH relativeFrom="column">
                  <wp:posOffset>2743200</wp:posOffset>
                </wp:positionH>
                <wp:positionV relativeFrom="paragraph">
                  <wp:posOffset>10795</wp:posOffset>
                </wp:positionV>
                <wp:extent cx="571500" cy="1828800"/>
                <wp:effectExtent l="9525" t="10795" r="9525" b="8255"/>
                <wp:wrapNone/>
                <wp:docPr id="3732" name="Text Box 323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571500" cy="1828800"/>
                        </a:xfrm>
                        <a:prstGeom prst="rect">
                          <a:avLst/>
                        </a:prstGeom>
                        <a:noFill/>
                        <a:ln w="6350">
                          <a:solidFill>
                            <a:srgbClr val="000000"/>
                          </a:solidFill>
                          <a:miter lim="800000"/>
                          <a:headEnd/>
                          <a:tailEnd/>
                        </a:ln>
                        <a:extLst>
                          <a:ext uri="{909E8E84-426E-40DD-AFC4-6F175D3DCCD1}">
                            <a14:hiddenFill xmlns:a14="http://schemas.microsoft.com/office/drawing/2010/main">
                              <a:solidFill>
                                <a:srgbClr val="000000"/>
                              </a:solidFill>
                            </a14:hiddenFill>
                          </a:ext>
                        </a:extLst>
                      </wps:spPr>
                      <wps:txbx>
                        <w:txbxContent>
                          <w:p w14:paraId="2E2A1787" w14:textId="77777777" w:rsidR="006A5267" w:rsidRPr="00CC1AC7" w:rsidRDefault="006A5267" w:rsidP="008B4B2B">
                            <w:pPr>
                              <w:wordWrap w:val="0"/>
                              <w:spacing w:line="0" w:lineRule="atLeast"/>
                              <w:rPr>
                                <w:sz w:val="16"/>
                              </w:rPr>
                            </w:pPr>
                          </w:p>
                          <w:p w14:paraId="1FD55CDA" w14:textId="77777777" w:rsidR="006A5267" w:rsidRPr="008D0CC4" w:rsidRDefault="006A5267" w:rsidP="008B4B2B">
                            <w:pPr>
                              <w:kinsoku w:val="0"/>
                              <w:overflowPunct w:val="0"/>
                              <w:spacing w:line="362" w:lineRule="exact"/>
                              <w:jc w:val="center"/>
                              <w:rPr>
                                <w:sz w:val="16"/>
                              </w:rPr>
                            </w:pPr>
                            <w:r w:rsidRPr="008D0CC4">
                              <w:rPr>
                                <w:rFonts w:hint="eastAsia"/>
                                <w:sz w:val="16"/>
                              </w:rPr>
                              <w:t>道路室</w:t>
                            </w:r>
                          </w:p>
                          <w:p w14:paraId="5757E39F" w14:textId="77777777" w:rsidR="006A5267" w:rsidRPr="00CC1AC7" w:rsidRDefault="006A5267" w:rsidP="008B4B2B">
                            <w:pPr>
                              <w:wordWrap w:val="0"/>
                              <w:spacing w:line="0" w:lineRule="atLeast"/>
                              <w:jc w:val="center"/>
                              <w:rPr>
                                <w:sz w:val="16"/>
                              </w:rPr>
                            </w:pPr>
                          </w:p>
                          <w:p w14:paraId="61C42F17" w14:textId="77777777" w:rsidR="006A5267" w:rsidRPr="00CC1AC7" w:rsidRDefault="006A5267" w:rsidP="008B4B2B">
                            <w:pPr>
                              <w:wordWrap w:val="0"/>
                              <w:spacing w:line="0" w:lineRule="atLeast"/>
                              <w:jc w:val="center"/>
                              <w:rPr>
                                <w:sz w:val="16"/>
                              </w:rPr>
                            </w:pPr>
                          </w:p>
                          <w:p w14:paraId="3E4F6783" w14:textId="77777777" w:rsidR="006A5267" w:rsidRPr="00CC1AC7" w:rsidRDefault="006A5267" w:rsidP="008B4B2B">
                            <w:pPr>
                              <w:wordWrap w:val="0"/>
                              <w:spacing w:line="0" w:lineRule="atLeast"/>
                              <w:jc w:val="center"/>
                              <w:rPr>
                                <w:sz w:val="16"/>
                              </w:rPr>
                            </w:pPr>
                          </w:p>
                          <w:p w14:paraId="0742E47C" w14:textId="77777777" w:rsidR="006A5267" w:rsidRPr="00CC1AC7" w:rsidRDefault="006A5267" w:rsidP="008B4B2B">
                            <w:pPr>
                              <w:pStyle w:val="af8"/>
                              <w:ind w:firstLineChars="50" w:firstLine="81"/>
                              <w:rPr>
                                <w:sz w:val="16"/>
                              </w:rPr>
                            </w:pPr>
                            <w:r w:rsidRPr="00CC1AC7">
                              <w:rPr>
                                <w:rFonts w:hint="eastAsia"/>
                                <w:sz w:val="16"/>
                              </w:rPr>
                              <w:t>危機管理室</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shape w14:anchorId="3C2FC77A" id="Text Box 3236" o:spid="_x0000_s1763" type="#_x0000_t202" style="position:absolute;left:0;text-align:left;margin-left:3in;margin-top:.85pt;width:45pt;height:2in;z-index:2537830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" filled="f" fillcolor="black" strokeweight=".5pt">
                <v:path arrowok="t"/>
                <v:textbox inset="0,0,0,0">
                  <w:txbxContent>
                    <w:p w14:paraId="2E2A1787" w14:textId="77777777" w:rsidR="006A5267" w:rsidRPr="00CC1AC7" w:rsidRDefault="006A5267" w:rsidP="008B4B2B">
                      <w:pPr>
                        <w:wordWrap w:val="0"/>
                        <w:spacing w:line="0" w:lineRule="atLeast"/>
                        <w:rPr>
                          <w:sz w:val="16"/>
                        </w:rPr>
                      </w:pPr>
                    </w:p>
                    <w:p w14:paraId="1FD55CDA" w14:textId="77777777" w:rsidR="006A5267" w:rsidRPr="008D0CC4" w:rsidRDefault="006A5267" w:rsidP="008B4B2B">
                      <w:pPr>
                        <w:kinsoku w:val="0"/>
                        <w:overflowPunct w:val="0"/>
                        <w:spacing w:line="362" w:lineRule="exact"/>
                        <w:jc w:val="center"/>
                        <w:rPr>
                          <w:sz w:val="16"/>
                        </w:rPr>
                      </w:pPr>
                      <w:r w:rsidRPr="008D0CC4">
                        <w:rPr>
                          <w:rFonts w:hint="eastAsia"/>
                          <w:sz w:val="16"/>
                        </w:rPr>
                        <w:t>道路室</w:t>
                      </w:r>
                    </w:p>
                    <w:p w14:paraId="5757E39F" w14:textId="77777777" w:rsidR="006A5267" w:rsidRPr="00CC1AC7" w:rsidRDefault="006A5267" w:rsidP="008B4B2B">
                      <w:pPr>
                        <w:wordWrap w:val="0"/>
                        <w:spacing w:line="0" w:lineRule="atLeast"/>
                        <w:jc w:val="center"/>
                        <w:rPr>
                          <w:sz w:val="16"/>
                        </w:rPr>
                      </w:pPr>
                    </w:p>
                    <w:p w14:paraId="61C42F17" w14:textId="77777777" w:rsidR="006A5267" w:rsidRPr="00CC1AC7" w:rsidRDefault="006A5267" w:rsidP="008B4B2B">
                      <w:pPr>
                        <w:wordWrap w:val="0"/>
                        <w:spacing w:line="0" w:lineRule="atLeast"/>
                        <w:jc w:val="center"/>
                        <w:rPr>
                          <w:sz w:val="16"/>
                        </w:rPr>
                      </w:pPr>
                    </w:p>
                    <w:p w14:paraId="3E4F6783" w14:textId="77777777" w:rsidR="006A5267" w:rsidRPr="00CC1AC7" w:rsidRDefault="006A5267" w:rsidP="008B4B2B">
                      <w:pPr>
                        <w:wordWrap w:val="0"/>
                        <w:spacing w:line="0" w:lineRule="atLeast"/>
                        <w:jc w:val="center"/>
                        <w:rPr>
                          <w:sz w:val="16"/>
                        </w:rPr>
                      </w:pPr>
                    </w:p>
                    <w:p w14:paraId="0742E47C" w14:textId="77777777" w:rsidR="006A5267" w:rsidRPr="00CC1AC7" w:rsidRDefault="006A5267" w:rsidP="008B4B2B">
                      <w:pPr>
                        <w:pStyle w:val="af8"/>
                        <w:ind w:firstLineChars="50" w:firstLine="81"/>
                        <w:rPr>
                          <w:sz w:val="16"/>
                        </w:rPr>
                      </w:pPr>
                      <w:r w:rsidRPr="00CC1AC7">
                        <w:rPr>
                          <w:rFonts w:hint="eastAsia"/>
                          <w:sz w:val="16"/>
                        </w:rPr>
                        <w:t>危機管理室</w:t>
                      </w:r>
                    </w:p>
                  </w:txbxContent>
                </v:textbox>
              </v:shape>
            </w:pict>
          </mc:Fallback>
        </mc:AlternateContent>
      </w:r>
    </w:p>
    <w:p w14:paraId="72E83918" w14:textId="77777777" w:rsidR="008B4B2B" w:rsidRPr="001D6D10" w:rsidRDefault="008B4B2B" w:rsidP="008B4B2B">
      <w:pPr>
        <w:wordWrap w:val="0"/>
        <w:spacing w:line="181" w:lineRule="exact"/>
        <w:ind w:right="125"/>
      </w:pPr>
    </w:p>
    <w:p w14:paraId="51E34F32" w14:textId="77777777" w:rsidR="008B4B2B" w:rsidRPr="001D6D10" w:rsidRDefault="008B4B2B" w:rsidP="008B4B2B">
      <w:pPr>
        <w:wordWrap w:val="0"/>
        <w:spacing w:line="181" w:lineRule="exact"/>
        <w:ind w:right="125"/>
      </w:pPr>
      <w:r w:rsidRPr="001D6D10">
        <w:rPr>
          <w:noProof/>
          <w:sz w:val="20"/>
        </w:rPr>
        <mc:AlternateContent>
          <mc:Choice Requires="wps">
            <w:drawing>
              <wp:anchor distT="0" distB="0" distL="114300" distR="114300" simplePos="0" relativeHeight="253779968" behindDoc="0" locked="0" layoutInCell="1" allowOverlap="1" wp14:anchorId="115E97CA" wp14:editId="61FD402A">
                <wp:simplePos x="0" y="0"/>
                <wp:positionH relativeFrom="column">
                  <wp:posOffset>1600200</wp:posOffset>
                </wp:positionH>
                <wp:positionV relativeFrom="paragraph">
                  <wp:posOffset>9525</wp:posOffset>
                </wp:positionV>
                <wp:extent cx="685800" cy="457200"/>
                <wp:effectExtent l="9525" t="9525" r="9525" b="9525"/>
                <wp:wrapNone/>
                <wp:docPr id="3731" name="Text Box 323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685800" cy="457200"/>
                        </a:xfrm>
                        <a:prstGeom prst="rect">
                          <a:avLst/>
                        </a:prstGeom>
                        <a:noFill/>
                        <a:ln w="6350">
                          <a:solidFill>
                            <a:srgbClr val="000000"/>
                          </a:solidFill>
                          <a:miter lim="800000"/>
                          <a:headEnd/>
                          <a:tailEnd/>
                        </a:ln>
                        <a:extLst>
                          <a:ext uri="{909E8E84-426E-40DD-AFC4-6F175D3DCCD1}">
                            <a14:hiddenFill xmlns:a14="http://schemas.microsoft.com/office/drawing/2010/main">
                              <a:solidFill>
                                <a:srgbClr val="000000"/>
                              </a:solidFill>
                            </a14:hiddenFill>
                          </a:ext>
                        </a:extLst>
                      </wps:spPr>
                      <wps:txbx>
                        <w:txbxContent>
                          <w:p w14:paraId="4C65EE15" w14:textId="77777777" w:rsidR="006A5267" w:rsidRDefault="006A5267" w:rsidP="008B4B2B">
                            <w:pPr>
                              <w:kinsoku w:val="0"/>
                              <w:overflowPunct w:val="0"/>
                              <w:spacing w:line="362" w:lineRule="exact"/>
                              <w:jc w:val="center"/>
                            </w:pPr>
                            <w:r>
                              <w:rPr>
                                <w:rFonts w:hint="eastAsia"/>
                              </w:rPr>
                              <w:t>市町村</w:t>
                            </w:r>
                          </w:p>
                          <w:p w14:paraId="7D6B8679" w14:textId="77777777" w:rsidR="006A5267" w:rsidRDefault="006A5267" w:rsidP="008B4B2B">
                            <w:pPr>
                              <w:spacing w:line="0" w:lineRule="atLeast"/>
                              <w:jc w:val="center"/>
                            </w:pPr>
                            <w:r>
                              <w:rPr>
                                <w:rFonts w:hint="eastAsia"/>
                              </w:rPr>
                              <w:t>消防本部</w:t>
                            </w:r>
                          </w:p>
                        </w:txbxContent>
                      </wps:txbx>
                      <wps:bodyPr rot="0" vert="horz" wrap="square" lIns="18000" tIns="18000" rIns="18000" bIns="18000" anchor="t" anchorCtr="0" upright="1">
                        <a:noAutofit/>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shape w14:anchorId="115E97CA" id="Text Box 3233" o:spid="_x0000_s1764" type="#_x0000_t202" style="position:absolute;left:0;text-align:left;margin-left:126pt;margin-top:.75pt;width:54pt;height:36pt;z-index:2537799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" filled="f" fillcolor="black" strokeweight=".5pt">
                <v:path arrowok="t"/>
                <v:textbox inset=".5mm,.5mm,.5mm,.5mm">
                  <w:txbxContent>
                    <w:p w14:paraId="4C65EE15" w14:textId="77777777" w:rsidR="006A5267" w:rsidRDefault="006A5267" w:rsidP="008B4B2B">
                      <w:pPr>
                        <w:kinsoku w:val="0"/>
                        <w:overflowPunct w:val="0"/>
                        <w:spacing w:line="362" w:lineRule="exact"/>
                        <w:jc w:val="center"/>
                      </w:pPr>
                      <w:r>
                        <w:rPr>
                          <w:rFonts w:hint="eastAsia"/>
                        </w:rPr>
                        <w:t>市町村</w:t>
                      </w:r>
                    </w:p>
                    <w:p w14:paraId="7D6B8679" w14:textId="77777777" w:rsidR="006A5267" w:rsidRDefault="006A5267" w:rsidP="008B4B2B">
                      <w:pPr>
                        <w:spacing w:line="0" w:lineRule="atLeast"/>
                        <w:jc w:val="center"/>
                      </w:pPr>
                      <w:r>
                        <w:rPr>
                          <w:rFonts w:hint="eastAsia"/>
                        </w:rPr>
                        <w:t>消防本部</w:t>
                      </w:r>
                    </w:p>
                  </w:txbxContent>
                </v:textbox>
              </v:shape>
            </w:pict>
          </mc:Fallback>
        </mc:AlternateContent>
      </w:r>
    </w:p>
    <w:p w14:paraId="18620636" w14:textId="77777777" w:rsidR="008B4B2B" w:rsidRPr="001D6D10" w:rsidRDefault="008B4B2B" w:rsidP="008B4B2B">
      <w:pPr>
        <w:wordWrap w:val="0"/>
        <w:spacing w:line="181" w:lineRule="exact"/>
        <w:ind w:right="125"/>
      </w:pPr>
    </w:p>
    <w:p w14:paraId="0394FF51" w14:textId="77777777" w:rsidR="008B4B2B" w:rsidRPr="001D6D10" w:rsidRDefault="008B4B2B" w:rsidP="008B4B2B">
      <w:pPr>
        <w:wordWrap w:val="0"/>
        <w:spacing w:line="181" w:lineRule="exact"/>
        <w:ind w:right="125"/>
      </w:pPr>
      <w:r w:rsidRPr="001D6D10">
        <w:rPr>
          <w:noProof/>
          <w:sz w:val="20"/>
        </w:rPr>
        <mc:AlternateContent>
          <mc:Choice Requires="wps">
            <w:drawing>
              <wp:anchor distT="0" distB="0" distL="114300" distR="114300" simplePos="0" relativeHeight="253787136" behindDoc="0" locked="0" layoutInCell="1" allowOverlap="1" wp14:anchorId="7EA0F656" wp14:editId="4B936971">
                <wp:simplePos x="0" y="0"/>
                <wp:positionH relativeFrom="column">
                  <wp:posOffset>1183640</wp:posOffset>
                </wp:positionH>
                <wp:positionV relativeFrom="paragraph">
                  <wp:posOffset>8255</wp:posOffset>
                </wp:positionV>
                <wp:extent cx="416560" cy="0"/>
                <wp:effectExtent l="12065" t="65405" r="19050" b="67945"/>
                <wp:wrapNone/>
                <wp:docPr id="3730" name="Line 324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16560" cy="0"/>
                        </a:xfrm>
                        <a:prstGeom prst="line">
                          <a:avLst/>
                        </a:prstGeom>
                        <a:noFill/>
                        <a:ln w="9525">
                          <a:solidFill>
                            <a:srgbClr val="000000"/>
                          </a:solidFill>
                          <a:round/>
                          <a:headEnd/>
                          <a:tailEnd type="arrow" w="sm" len="sm"/>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line w14:anchorId="6DAEC5C2" id="Line 3240" o:spid="_x0000_s1026" style="position:absolute;left:0;text-align:left;z-index:2537871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93.2pt,.65pt" to="126pt,.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">
                <v:stroke endarrow="open" endarrowwidth="narrow" endarrowlength="short"/>
              </v:line>
            </w:pict>
          </mc:Fallback>
        </mc:AlternateContent>
      </w:r>
      <w:r w:rsidRPr="001D6D10">
        <w:rPr>
          <w:noProof/>
          <w:sz w:val="20"/>
        </w:rPr>
        <mc:AlternateContent>
          <mc:Choice Requires="wps">
            <w:drawing>
              <wp:anchor distT="0" distB="0" distL="114300" distR="114300" simplePos="0" relativeHeight="253790208" behindDoc="0" locked="0" layoutInCell="1" allowOverlap="1" wp14:anchorId="1844B802" wp14:editId="7140FA40">
                <wp:simplePos x="0" y="0"/>
                <wp:positionH relativeFrom="column">
                  <wp:posOffset>2286000</wp:posOffset>
                </wp:positionH>
                <wp:positionV relativeFrom="paragraph">
                  <wp:posOffset>8255</wp:posOffset>
                </wp:positionV>
                <wp:extent cx="457200" cy="0"/>
                <wp:effectExtent l="19050" t="65405" r="19050" b="67945"/>
                <wp:wrapNone/>
                <wp:docPr id="3729" name="Line 324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57200" cy="0"/>
                        </a:xfrm>
                        <a:prstGeom prst="line">
                          <a:avLst/>
                        </a:prstGeom>
                        <a:noFill/>
                        <a:ln w="9525">
                          <a:solidFill>
                            <a:srgbClr val="000000"/>
                          </a:solidFill>
                          <a:round/>
                          <a:headEnd type="arrow" w="sm" len="sm"/>
                          <a:tailEnd type="arrow" w="sm" len="sm"/>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line w14:anchorId="61BAF6D3" id="Line 3243" o:spid="_x0000_s1026" style="position:absolute;left:0;text-align:left;z-index:2537902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80pt,.65pt" to="3in,.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">
                <v:stroke startarrow="open" startarrowwidth="narrow" startarrowlength="short" endarrow="open" endarrowwidth="narrow" endarrowlength="short"/>
              </v:line>
            </w:pict>
          </mc:Fallback>
        </mc:AlternateContent>
      </w:r>
      <w:r w:rsidRPr="001D6D10">
        <w:rPr>
          <w:noProof/>
          <w:sz w:val="20"/>
        </w:rPr>
        <mc:AlternateContent>
          <mc:Choice Requires="wps">
            <w:drawing>
              <wp:anchor distT="0" distB="0" distL="114300" distR="114300" simplePos="0" relativeHeight="253780992" behindDoc="0" locked="0" layoutInCell="1" allowOverlap="1" wp14:anchorId="6F047D6E" wp14:editId="64CD6029">
                <wp:simplePos x="0" y="0"/>
                <wp:positionH relativeFrom="column">
                  <wp:posOffset>1600200</wp:posOffset>
                </wp:positionH>
                <wp:positionV relativeFrom="paragraph">
                  <wp:posOffset>8255</wp:posOffset>
                </wp:positionV>
                <wp:extent cx="685800" cy="0"/>
                <wp:effectExtent l="9525" t="8255" r="9525" b="10795"/>
                <wp:wrapNone/>
                <wp:docPr id="3728" name="Line 323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85800" cy="0"/>
                        </a:xfrm>
                        <a:prstGeom prst="line">
                          <a:avLst/>
                        </a:prstGeom>
                        <a:noFill/>
                        <a:ln w="9525">
                          <a:solidFill>
                            <a:srgbClr val="000000"/>
                          </a:solidFill>
                          <a:prstDash val="sysDot"/>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line w14:anchorId="6AD25806" id="Line 3234" o:spid="_x0000_s1026" style="position:absolute;left:0;text-align:left;z-index:2537809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26pt,.65pt" to="180pt,.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">
                <v:stroke dashstyle="1 1"/>
              </v:line>
            </w:pict>
          </mc:Fallback>
        </mc:AlternateContent>
      </w:r>
    </w:p>
    <w:p w14:paraId="061374A9" w14:textId="77777777" w:rsidR="008B4B2B" w:rsidRPr="001D6D10" w:rsidRDefault="008B4B2B" w:rsidP="008B4B2B">
      <w:pPr>
        <w:wordWrap w:val="0"/>
        <w:spacing w:line="181" w:lineRule="exact"/>
        <w:ind w:right="125"/>
      </w:pPr>
      <w:r w:rsidRPr="001D6D10">
        <w:rPr>
          <w:noProof/>
          <w:sz w:val="20"/>
        </w:rPr>
        <mc:AlternateContent>
          <mc:Choice Requires="wps">
            <w:drawing>
              <wp:anchor distT="0" distB="0" distL="114300" distR="114300" simplePos="0" relativeHeight="253793280" behindDoc="0" locked="0" layoutInCell="1" allowOverlap="1" wp14:anchorId="123CD6CD" wp14:editId="35EEE8ED">
                <wp:simplePos x="0" y="0"/>
                <wp:positionH relativeFrom="column">
                  <wp:posOffset>3314700</wp:posOffset>
                </wp:positionH>
                <wp:positionV relativeFrom="paragraph">
                  <wp:posOffset>7620</wp:posOffset>
                </wp:positionV>
                <wp:extent cx="457200" cy="0"/>
                <wp:effectExtent l="19050" t="64770" r="19050" b="59055"/>
                <wp:wrapNone/>
                <wp:docPr id="3727" name="Line 324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57200" cy="0"/>
                        </a:xfrm>
                        <a:prstGeom prst="line">
                          <a:avLst/>
                        </a:prstGeom>
                        <a:noFill/>
                        <a:ln w="9525">
                          <a:solidFill>
                            <a:srgbClr val="000000"/>
                          </a:solidFill>
                          <a:round/>
                          <a:headEnd type="arrow" w="sm" len="sm"/>
                          <a:tailEnd type="arrow" w="sm" len="sm"/>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line w14:anchorId="3CA20917" id="Line 3246" o:spid="_x0000_s1026" style="position:absolute;left:0;text-align:left;z-index:2537932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61pt,.6pt" to="297pt,.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">
                <v:stroke startarrow="open" startarrowwidth="narrow" startarrowlength="short" endarrow="open" endarrowwidth="narrow" endarrowlength="short"/>
              </v:line>
            </w:pict>
          </mc:Fallback>
        </mc:AlternateContent>
      </w:r>
      <w:r w:rsidRPr="001D6D10">
        <w:rPr>
          <w:noProof/>
          <w:sz w:val="20"/>
        </w:rPr>
        <mc:AlternateContent>
          <mc:Choice Requires="wps">
            <w:drawing>
              <wp:anchor distT="0" distB="0" distL="114300" distR="114300" simplePos="0" relativeHeight="253784064" behindDoc="0" locked="0" layoutInCell="1" allowOverlap="1" wp14:anchorId="5455A186" wp14:editId="296A9262">
                <wp:simplePos x="0" y="0"/>
                <wp:positionH relativeFrom="column">
                  <wp:posOffset>2743200</wp:posOffset>
                </wp:positionH>
                <wp:positionV relativeFrom="paragraph">
                  <wp:posOffset>7620</wp:posOffset>
                </wp:positionV>
                <wp:extent cx="571500" cy="635"/>
                <wp:effectExtent l="9525" t="7620" r="9525" b="10795"/>
                <wp:wrapNone/>
                <wp:docPr id="3726" name="Line 323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71500" cy="635"/>
                        </a:xfrm>
                        <a:prstGeom prst="line">
                          <a:avLst/>
                        </a:prstGeom>
                        <a:noFill/>
                        <a:ln w="9525">
                          <a:solidFill>
                            <a:srgbClr val="000000"/>
                          </a:solidFill>
                          <a:prstDash val="sysDot"/>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line w14:anchorId="5015E921" id="Line 3237" o:spid="_x0000_s1026" style="position:absolute;left:0;text-align:left;z-index:2537840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in,.6pt" to="261pt,.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">
                <v:stroke dashstyle="1 1"/>
              </v:line>
            </w:pict>
          </mc:Fallback>
        </mc:AlternateContent>
      </w:r>
    </w:p>
    <w:p w14:paraId="336F2DA5" w14:textId="77777777" w:rsidR="008B4B2B" w:rsidRPr="001D6D10" w:rsidRDefault="008B4B2B" w:rsidP="008B4B2B">
      <w:pPr>
        <w:wordWrap w:val="0"/>
        <w:spacing w:line="181" w:lineRule="exact"/>
        <w:ind w:right="125"/>
      </w:pPr>
      <w:r w:rsidRPr="001D6D10">
        <w:rPr>
          <w:noProof/>
          <w:sz w:val="20"/>
        </w:rPr>
        <mc:AlternateContent>
          <mc:Choice Requires="wps">
            <w:drawing>
              <wp:anchor distT="0" distB="0" distL="114300" distR="114300" simplePos="0" relativeHeight="253789184" behindDoc="0" locked="0" layoutInCell="1" allowOverlap="1" wp14:anchorId="66DA069E" wp14:editId="787E7B9C">
                <wp:simplePos x="0" y="0"/>
                <wp:positionH relativeFrom="column">
                  <wp:posOffset>1600200</wp:posOffset>
                </wp:positionH>
                <wp:positionV relativeFrom="paragraph">
                  <wp:posOffset>349885</wp:posOffset>
                </wp:positionV>
                <wp:extent cx="685800" cy="0"/>
                <wp:effectExtent l="66675" t="16510" r="66675" b="21590"/>
                <wp:wrapNone/>
                <wp:docPr id="3725" name="Line 324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rot="-5400000">
                          <a:off x="0" y="0"/>
                          <a:ext cx="685800" cy="0"/>
                        </a:xfrm>
                        <a:prstGeom prst="line">
                          <a:avLst/>
                        </a:prstGeom>
                        <a:noFill/>
                        <a:ln w="9525">
                          <a:solidFill>
                            <a:srgbClr val="000000"/>
                          </a:solidFill>
                          <a:round/>
                          <a:headEnd type="arrow" w="sm" len="sm"/>
                          <a:tailEnd type="arrow" w="sm" len="sm"/>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line w14:anchorId="4F98C36C" id="Line 3242" o:spid="_x0000_s1026" style="position:absolute;left:0;text-align:left;rotation:-90;z-index:2537891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26pt,27.55pt" to="180pt,27.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">
                <v:stroke startarrow="open" startarrowwidth="narrow" startarrowlength="short" endarrow="open" endarrowwidth="narrow" endarrowlength="short"/>
              </v:line>
            </w:pict>
          </mc:Fallback>
        </mc:AlternateContent>
      </w:r>
    </w:p>
    <w:p w14:paraId="4B36D9E6" w14:textId="77777777" w:rsidR="008B4B2B" w:rsidRPr="001D6D10" w:rsidRDefault="008B4B2B" w:rsidP="008B4B2B">
      <w:pPr>
        <w:wordWrap w:val="0"/>
        <w:spacing w:line="181" w:lineRule="exact"/>
        <w:ind w:right="125"/>
      </w:pPr>
    </w:p>
    <w:p w14:paraId="125226EC" w14:textId="77777777" w:rsidR="008B4B2B" w:rsidRPr="001D6D10" w:rsidRDefault="008B4B2B" w:rsidP="008B4B2B">
      <w:pPr>
        <w:wordWrap w:val="0"/>
        <w:spacing w:line="181" w:lineRule="exact"/>
        <w:ind w:right="125"/>
      </w:pPr>
    </w:p>
    <w:p w14:paraId="74ABE174" w14:textId="77777777" w:rsidR="008B4B2B" w:rsidRPr="001D6D10" w:rsidRDefault="008B4B2B" w:rsidP="008B4B2B">
      <w:pPr>
        <w:wordWrap w:val="0"/>
        <w:spacing w:line="181" w:lineRule="exact"/>
        <w:ind w:right="125"/>
      </w:pPr>
    </w:p>
    <w:p w14:paraId="00F5286A" w14:textId="77777777" w:rsidR="008B4B2B" w:rsidRPr="001D6D10" w:rsidRDefault="008B4B2B" w:rsidP="008B4B2B">
      <w:pPr>
        <w:wordWrap w:val="0"/>
        <w:spacing w:line="181" w:lineRule="exact"/>
        <w:ind w:right="125"/>
      </w:pPr>
    </w:p>
    <w:p w14:paraId="581C14FE" w14:textId="77777777" w:rsidR="008B4B2B" w:rsidRPr="001D6D10" w:rsidRDefault="008B4B2B" w:rsidP="008B4B2B">
      <w:pPr>
        <w:wordWrap w:val="0"/>
        <w:spacing w:line="181" w:lineRule="exact"/>
        <w:ind w:right="125"/>
      </w:pPr>
    </w:p>
    <w:p w14:paraId="485E2DBD" w14:textId="77777777" w:rsidR="008B4B2B" w:rsidRPr="001D6D10" w:rsidRDefault="008B4B2B" w:rsidP="008B4B2B">
      <w:pPr>
        <w:wordWrap w:val="0"/>
        <w:spacing w:line="181" w:lineRule="exact"/>
        <w:ind w:right="125"/>
      </w:pPr>
      <w:r w:rsidRPr="001D6D10">
        <w:rPr>
          <w:rFonts w:hint="eastAsia"/>
          <w:noProof/>
        </w:rPr>
        <mc:AlternateContent>
          <mc:Choice Requires="wps">
            <w:drawing>
              <wp:anchor distT="0" distB="0" distL="114300" distR="114300" simplePos="0" relativeHeight="253763584" behindDoc="0" locked="0" layoutInCell="1" allowOverlap="1" wp14:anchorId="16E4A11C" wp14:editId="275910DA">
                <wp:simplePos x="0" y="0"/>
                <wp:positionH relativeFrom="column">
                  <wp:posOffset>1600200</wp:posOffset>
                </wp:positionH>
                <wp:positionV relativeFrom="paragraph">
                  <wp:posOffset>3175</wp:posOffset>
                </wp:positionV>
                <wp:extent cx="685800" cy="459740"/>
                <wp:effectExtent l="9525" t="12700" r="9525" b="13335"/>
                <wp:wrapNone/>
                <wp:docPr id="3724" name="Text Box 321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685800" cy="459740"/>
                        </a:xfrm>
                        <a:prstGeom prst="rect">
                          <a:avLst/>
                        </a:prstGeom>
                        <a:noFill/>
                        <a:ln w="6350">
                          <a:solidFill>
                            <a:srgbClr val="000000"/>
                          </a:solidFill>
                          <a:miter lim="800000"/>
                          <a:headEnd/>
                          <a:tailEnd/>
                        </a:ln>
                        <a:extLst>
                          <a:ext uri="{909E8E84-426E-40DD-AFC4-6F175D3DCCD1}">
                            <a14:hiddenFill xmlns:a14="http://schemas.microsoft.com/office/drawing/2010/main">
                              <a:solidFill>
                                <a:srgbClr val="000000"/>
                              </a:solidFill>
                            </a14:hiddenFill>
                          </a:ext>
                        </a:extLst>
                      </wps:spPr>
                      <wps:txbx>
                        <w:txbxContent>
                          <w:p w14:paraId="69E54559" w14:textId="77777777" w:rsidR="006A5267" w:rsidRDefault="006A5267" w:rsidP="008B4B2B">
                            <w:pPr>
                              <w:kinsoku w:val="0"/>
                              <w:wordWrap w:val="0"/>
                              <w:overflowPunct w:val="0"/>
                              <w:spacing w:line="181" w:lineRule="exact"/>
                            </w:pPr>
                          </w:p>
                          <w:p w14:paraId="1BA244D8" w14:textId="77777777" w:rsidR="006A5267" w:rsidRDefault="006A5267" w:rsidP="008B4B2B">
                            <w:pPr>
                              <w:kinsoku w:val="0"/>
                              <w:overflowPunct w:val="0"/>
                              <w:spacing w:line="362" w:lineRule="exact"/>
                              <w:jc w:val="center"/>
                            </w:pPr>
                            <w:r>
                              <w:rPr>
                                <w:rFonts w:hint="eastAsia"/>
                              </w:rPr>
                              <w:t>府警察</w:t>
                            </w:r>
                          </w:p>
                          <w:p w14:paraId="3B37E052" w14:textId="77777777" w:rsidR="006A5267" w:rsidRDefault="006A5267" w:rsidP="008B4B2B">
                            <w:pPr>
                              <w:kinsoku w:val="0"/>
                              <w:wordWrap w:val="0"/>
                              <w:overflowPunct w:val="0"/>
                              <w:spacing w:line="181" w:lineRule="exact"/>
                            </w:pPr>
                          </w:p>
                          <w:p w14:paraId="69A57910" w14:textId="77777777" w:rsidR="006A5267" w:rsidRDefault="006A5267" w:rsidP="008B4B2B">
                            <w:pPr>
                              <w:wordWrap w:val="0"/>
                              <w:spacing w:line="0" w:lineRule="atLeast"/>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shape w14:anchorId="16E4A11C" id="Text Box 3218" o:spid="_x0000_s1765" type="#_x0000_t202" style="position:absolute;left:0;text-align:left;margin-left:126pt;margin-top:.25pt;width:54pt;height:36.2pt;z-index:2537635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" filled="f" fillcolor="black" strokeweight=".5pt">
                <v:path arrowok="t"/>
                <v:textbox inset="0,0,0,0">
                  <w:txbxContent>
                    <w:p w14:paraId="69E54559" w14:textId="77777777" w:rsidR="006A5267" w:rsidRDefault="006A5267" w:rsidP="008B4B2B">
                      <w:pPr>
                        <w:kinsoku w:val="0"/>
                        <w:wordWrap w:val="0"/>
                        <w:overflowPunct w:val="0"/>
                        <w:spacing w:line="181" w:lineRule="exact"/>
                      </w:pPr>
                    </w:p>
                    <w:p w14:paraId="1BA244D8" w14:textId="77777777" w:rsidR="006A5267" w:rsidRDefault="006A5267" w:rsidP="008B4B2B">
                      <w:pPr>
                        <w:kinsoku w:val="0"/>
                        <w:overflowPunct w:val="0"/>
                        <w:spacing w:line="362" w:lineRule="exact"/>
                        <w:jc w:val="center"/>
                      </w:pPr>
                      <w:r>
                        <w:rPr>
                          <w:rFonts w:hint="eastAsia"/>
                        </w:rPr>
                        <w:t>府警察</w:t>
                      </w:r>
                    </w:p>
                    <w:p w14:paraId="3B37E052" w14:textId="77777777" w:rsidR="006A5267" w:rsidRDefault="006A5267" w:rsidP="008B4B2B">
                      <w:pPr>
                        <w:kinsoku w:val="0"/>
                        <w:wordWrap w:val="0"/>
                        <w:overflowPunct w:val="0"/>
                        <w:spacing w:line="181" w:lineRule="exact"/>
                      </w:pPr>
                    </w:p>
                    <w:p w14:paraId="69A57910" w14:textId="77777777" w:rsidR="006A5267" w:rsidRDefault="006A5267" w:rsidP="008B4B2B">
                      <w:pPr>
                        <w:wordWrap w:val="0"/>
                        <w:spacing w:line="0" w:lineRule="atLeast"/>
                      </w:pPr>
                    </w:p>
                  </w:txbxContent>
                </v:textbox>
              </v:shape>
            </w:pict>
          </mc:Fallback>
        </mc:AlternateContent>
      </w:r>
      <w:r w:rsidRPr="001D6D10">
        <w:rPr>
          <w:rFonts w:hint="eastAsia"/>
          <w:noProof/>
        </w:rPr>
        <mc:AlternateContent>
          <mc:Choice Requires="wps">
            <w:drawing>
              <wp:anchor distT="0" distB="0" distL="114300" distR="114300" simplePos="0" relativeHeight="253764608" behindDoc="0" locked="0" layoutInCell="1" allowOverlap="1" wp14:anchorId="55500FDB" wp14:editId="1EE8345E">
                <wp:simplePos x="0" y="0"/>
                <wp:positionH relativeFrom="column">
                  <wp:posOffset>3771900</wp:posOffset>
                </wp:positionH>
                <wp:positionV relativeFrom="paragraph">
                  <wp:posOffset>3175</wp:posOffset>
                </wp:positionV>
                <wp:extent cx="538480" cy="459740"/>
                <wp:effectExtent l="9525" t="12700" r="13970" b="13335"/>
                <wp:wrapNone/>
                <wp:docPr id="3723" name="Text Box 321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538480" cy="459740"/>
                        </a:xfrm>
                        <a:prstGeom prst="rect">
                          <a:avLst/>
                        </a:prstGeom>
                        <a:noFill/>
                        <a:ln w="6350">
                          <a:solidFill>
                            <a:srgbClr val="000000"/>
                          </a:solidFill>
                          <a:miter lim="800000"/>
                          <a:headEnd/>
                          <a:tailEnd/>
                        </a:ln>
                        <a:extLst>
                          <a:ext uri="{909E8E84-426E-40DD-AFC4-6F175D3DCCD1}">
                            <a14:hiddenFill xmlns:a14="http://schemas.microsoft.com/office/drawing/2010/main">
                              <a:solidFill>
                                <a:srgbClr val="000000"/>
                              </a:solidFill>
                            </a14:hiddenFill>
                          </a:ext>
                        </a:extLst>
                      </wps:spPr>
                      <wps:txbx>
                        <w:txbxContent>
                          <w:p w14:paraId="184D70B4" w14:textId="77777777" w:rsidR="006A5267" w:rsidRDefault="006A5267" w:rsidP="008B4B2B">
                            <w:pPr>
                              <w:kinsoku w:val="0"/>
                              <w:wordWrap w:val="0"/>
                              <w:overflowPunct w:val="0"/>
                              <w:spacing w:line="181" w:lineRule="exact"/>
                            </w:pPr>
                          </w:p>
                          <w:p w14:paraId="6DE96927" w14:textId="77777777" w:rsidR="006A5267" w:rsidRDefault="006A5267" w:rsidP="008B4B2B">
                            <w:pPr>
                              <w:kinsoku w:val="0"/>
                              <w:wordWrap w:val="0"/>
                              <w:overflowPunct w:val="0"/>
                              <w:spacing w:line="362" w:lineRule="exact"/>
                            </w:pPr>
                            <w:r>
                              <w:rPr>
                                <w:rFonts w:hint="eastAsia"/>
                                <w:spacing w:val="1"/>
                              </w:rPr>
                              <w:t xml:space="preserve"> </w:t>
                            </w:r>
                            <w:r>
                              <w:rPr>
                                <w:rFonts w:hint="eastAsia"/>
                              </w:rPr>
                              <w:t>消防庁</w:t>
                            </w:r>
                          </w:p>
                          <w:p w14:paraId="2E73ED1D" w14:textId="77777777" w:rsidR="006A5267" w:rsidRDefault="006A5267" w:rsidP="008B4B2B">
                            <w:pPr>
                              <w:kinsoku w:val="0"/>
                              <w:wordWrap w:val="0"/>
                              <w:overflowPunct w:val="0"/>
                              <w:spacing w:line="181" w:lineRule="exact"/>
                            </w:pPr>
                          </w:p>
                          <w:p w14:paraId="305C3366" w14:textId="77777777" w:rsidR="006A5267" w:rsidRDefault="006A5267" w:rsidP="008B4B2B">
                            <w:pPr>
                              <w:wordWrap w:val="0"/>
                              <w:spacing w:line="0" w:lineRule="atLeast"/>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shape w14:anchorId="55500FDB" id="Text Box 3219" o:spid="_x0000_s1766" type="#_x0000_t202" style="position:absolute;left:0;text-align:left;margin-left:297pt;margin-top:.25pt;width:42.4pt;height:36.2pt;z-index:2537646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" filled="f" fillcolor="black" strokeweight=".5pt">
                <v:path arrowok="t"/>
                <v:textbox inset="0,0,0,0">
                  <w:txbxContent>
                    <w:p w14:paraId="184D70B4" w14:textId="77777777" w:rsidR="006A5267" w:rsidRDefault="006A5267" w:rsidP="008B4B2B">
                      <w:pPr>
                        <w:kinsoku w:val="0"/>
                        <w:wordWrap w:val="0"/>
                        <w:overflowPunct w:val="0"/>
                        <w:spacing w:line="181" w:lineRule="exact"/>
                      </w:pPr>
                    </w:p>
                    <w:p w14:paraId="6DE96927" w14:textId="77777777" w:rsidR="006A5267" w:rsidRDefault="006A5267" w:rsidP="008B4B2B">
                      <w:pPr>
                        <w:kinsoku w:val="0"/>
                        <w:wordWrap w:val="0"/>
                        <w:overflowPunct w:val="0"/>
                        <w:spacing w:line="362" w:lineRule="exact"/>
                      </w:pPr>
                      <w:r>
                        <w:rPr>
                          <w:rFonts w:hint="eastAsia"/>
                          <w:spacing w:val="1"/>
                        </w:rPr>
                        <w:t xml:space="preserve"> </w:t>
                      </w:r>
                      <w:r>
                        <w:rPr>
                          <w:rFonts w:hint="eastAsia"/>
                        </w:rPr>
                        <w:t>消防庁</w:t>
                      </w:r>
                    </w:p>
                    <w:p w14:paraId="2E73ED1D" w14:textId="77777777" w:rsidR="006A5267" w:rsidRDefault="006A5267" w:rsidP="008B4B2B">
                      <w:pPr>
                        <w:kinsoku w:val="0"/>
                        <w:wordWrap w:val="0"/>
                        <w:overflowPunct w:val="0"/>
                        <w:spacing w:line="181" w:lineRule="exact"/>
                      </w:pPr>
                    </w:p>
                    <w:p w14:paraId="305C3366" w14:textId="77777777" w:rsidR="006A5267" w:rsidRDefault="006A5267" w:rsidP="008B4B2B">
                      <w:pPr>
                        <w:wordWrap w:val="0"/>
                        <w:spacing w:line="0" w:lineRule="atLeast"/>
                      </w:pPr>
                    </w:p>
                  </w:txbxContent>
                </v:textbox>
              </v:shape>
            </w:pict>
          </mc:Fallback>
        </mc:AlternateContent>
      </w:r>
    </w:p>
    <w:p w14:paraId="600D8C51" w14:textId="77777777" w:rsidR="008B4B2B" w:rsidRPr="001D6D10" w:rsidRDefault="008B4B2B" w:rsidP="008B4B2B">
      <w:pPr>
        <w:wordWrap w:val="0"/>
        <w:spacing w:line="181" w:lineRule="exact"/>
        <w:ind w:right="125"/>
      </w:pPr>
    </w:p>
    <w:p w14:paraId="02CCE568" w14:textId="77777777" w:rsidR="008B4B2B" w:rsidRPr="001D6D10" w:rsidRDefault="008B4B2B" w:rsidP="008B4B2B">
      <w:pPr>
        <w:wordWrap w:val="0"/>
        <w:spacing w:line="181" w:lineRule="exact"/>
        <w:ind w:right="125"/>
      </w:pPr>
      <w:r w:rsidRPr="001D6D10">
        <w:rPr>
          <w:noProof/>
          <w:sz w:val="20"/>
        </w:rPr>
        <mc:AlternateContent>
          <mc:Choice Requires="wps">
            <w:drawing>
              <wp:anchor distT="0" distB="0" distL="114300" distR="114300" simplePos="0" relativeHeight="253788160" behindDoc="0" locked="0" layoutInCell="1" allowOverlap="1" wp14:anchorId="0B3A72C3" wp14:editId="4D2DC454">
                <wp:simplePos x="0" y="0"/>
                <wp:positionH relativeFrom="column">
                  <wp:posOffset>1183640</wp:posOffset>
                </wp:positionH>
                <wp:positionV relativeFrom="paragraph">
                  <wp:posOffset>1905</wp:posOffset>
                </wp:positionV>
                <wp:extent cx="416560" cy="0"/>
                <wp:effectExtent l="12065" t="59055" r="19050" b="64770"/>
                <wp:wrapNone/>
                <wp:docPr id="3722" name="Line 324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16560" cy="0"/>
                        </a:xfrm>
                        <a:prstGeom prst="line">
                          <a:avLst/>
                        </a:prstGeom>
                        <a:noFill/>
                        <a:ln w="9525">
                          <a:solidFill>
                            <a:srgbClr val="000000"/>
                          </a:solidFill>
                          <a:round/>
                          <a:headEnd/>
                          <a:tailEnd type="arrow" w="sm" len="sm"/>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line w14:anchorId="278F7EA0" id="Line 3241" o:spid="_x0000_s1026" style="position:absolute;left:0;text-align:left;z-index:2537881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93.2pt,.15pt" to="126pt,.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">
                <v:stroke endarrow="open" endarrowwidth="narrow" endarrowlength="short"/>
              </v:line>
            </w:pict>
          </mc:Fallback>
        </mc:AlternateContent>
      </w:r>
      <w:r w:rsidRPr="001D6D10">
        <w:rPr>
          <w:noProof/>
          <w:sz w:val="20"/>
        </w:rPr>
        <mc:AlternateContent>
          <mc:Choice Requires="wps">
            <w:drawing>
              <wp:anchor distT="0" distB="0" distL="114300" distR="114300" simplePos="0" relativeHeight="253792256" behindDoc="0" locked="0" layoutInCell="1" allowOverlap="1" wp14:anchorId="39A8193C" wp14:editId="6FD19D9C">
                <wp:simplePos x="0" y="0"/>
                <wp:positionH relativeFrom="column">
                  <wp:posOffset>3314700</wp:posOffset>
                </wp:positionH>
                <wp:positionV relativeFrom="paragraph">
                  <wp:posOffset>1905</wp:posOffset>
                </wp:positionV>
                <wp:extent cx="457200" cy="0"/>
                <wp:effectExtent l="19050" t="59055" r="19050" b="64770"/>
                <wp:wrapNone/>
                <wp:docPr id="3721" name="Line 324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57200" cy="0"/>
                        </a:xfrm>
                        <a:prstGeom prst="line">
                          <a:avLst/>
                        </a:prstGeom>
                        <a:noFill/>
                        <a:ln w="9525">
                          <a:solidFill>
                            <a:srgbClr val="000000"/>
                          </a:solidFill>
                          <a:round/>
                          <a:headEnd type="arrow" w="sm" len="sm"/>
                          <a:tailEnd type="arrow" w="sm" len="sm"/>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line w14:anchorId="7BDC8D2A" id="Line 3245" o:spid="_x0000_s1026" style="position:absolute;left:0;text-align:left;z-index:2537922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61pt,.15pt" to="297pt,.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">
                <v:stroke startarrow="open" startarrowwidth="narrow" startarrowlength="short" endarrow="open" endarrowwidth="narrow" endarrowlength="short"/>
              </v:line>
            </w:pict>
          </mc:Fallback>
        </mc:AlternateContent>
      </w:r>
      <w:r w:rsidRPr="001D6D10">
        <w:rPr>
          <w:noProof/>
          <w:sz w:val="20"/>
        </w:rPr>
        <mc:AlternateContent>
          <mc:Choice Requires="wps">
            <w:drawing>
              <wp:anchor distT="0" distB="0" distL="114300" distR="114300" simplePos="0" relativeHeight="253791232" behindDoc="0" locked="0" layoutInCell="1" allowOverlap="1" wp14:anchorId="3394DBBD" wp14:editId="5798545E">
                <wp:simplePos x="0" y="0"/>
                <wp:positionH relativeFrom="column">
                  <wp:posOffset>2286000</wp:posOffset>
                </wp:positionH>
                <wp:positionV relativeFrom="paragraph">
                  <wp:posOffset>1905</wp:posOffset>
                </wp:positionV>
                <wp:extent cx="457200" cy="0"/>
                <wp:effectExtent l="19050" t="59055" r="19050" b="64770"/>
                <wp:wrapNone/>
                <wp:docPr id="3720" name="Line 324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57200" cy="0"/>
                        </a:xfrm>
                        <a:prstGeom prst="line">
                          <a:avLst/>
                        </a:prstGeom>
                        <a:noFill/>
                        <a:ln w="9525">
                          <a:solidFill>
                            <a:srgbClr val="000000"/>
                          </a:solidFill>
                          <a:round/>
                          <a:headEnd type="arrow" w="sm" len="sm"/>
                          <a:tailEnd type="arrow" w="sm" len="sm"/>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line w14:anchorId="36BD911F" id="Line 3244" o:spid="_x0000_s1026" style="position:absolute;left:0;text-align:left;z-index:2537912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80pt,.15pt" to="3in,.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">
                <v:stroke startarrow="open" startarrowwidth="narrow" startarrowlength="short" endarrow="open" endarrowwidth="narrow" endarrowlength="short"/>
              </v:line>
            </w:pict>
          </mc:Fallback>
        </mc:AlternateContent>
      </w:r>
    </w:p>
    <w:p w14:paraId="0989826E" w14:textId="77777777" w:rsidR="008B4B2B" w:rsidRPr="001D6D10" w:rsidRDefault="008B4B2B" w:rsidP="008B4B2B">
      <w:pPr>
        <w:wordWrap w:val="0"/>
        <w:spacing w:line="181" w:lineRule="exact"/>
        <w:ind w:right="125"/>
      </w:pPr>
    </w:p>
    <w:p w14:paraId="7B5D598D" w14:textId="77777777" w:rsidR="008B4B2B" w:rsidRPr="001D6D10" w:rsidRDefault="008B4B2B" w:rsidP="00831F71">
      <w:pPr>
        <w:pStyle w:val="a0"/>
        <w:spacing w:line="0" w:lineRule="atLeast"/>
        <w:ind w:firstLineChars="100" w:firstLine="281"/>
        <w:outlineLvl w:val="1"/>
        <w:rPr>
          <w:rFonts w:ascii="ＭＳ ゴシック" w:eastAsia="ＭＳ ゴシック" w:hAnsi="ＭＳ ゴシック"/>
          <w:bCs/>
          <w:sz w:val="28"/>
          <w:szCs w:val="28"/>
        </w:rPr>
      </w:pPr>
      <w:bookmarkStart w:id="420" w:name="_Toc122436977"/>
      <w:bookmarkStart w:id="421" w:name="_Toc222486676"/>
      <w:bookmarkStart w:id="422" w:name="_Toc242870346"/>
      <w:r w:rsidRPr="001D6D10">
        <w:rPr>
          <w:rFonts w:ascii="ＭＳ ゴシック" w:eastAsia="ＭＳ ゴシック" w:hAnsi="ＭＳ ゴシック" w:hint="eastAsia"/>
          <w:bCs/>
          <w:sz w:val="28"/>
          <w:szCs w:val="28"/>
        </w:rPr>
        <w:lastRenderedPageBreak/>
        <w:t>第４節　道路災害応急対策</w:t>
      </w:r>
      <w:bookmarkEnd w:id="420"/>
      <w:bookmarkEnd w:id="421"/>
      <w:bookmarkEnd w:id="422"/>
    </w:p>
    <w:p w14:paraId="474171C5" w14:textId="77777777" w:rsidR="008B4B2B" w:rsidRPr="001D6D10" w:rsidRDefault="008B4B2B" w:rsidP="008B4B2B">
      <w:pPr>
        <w:pStyle w:val="a0"/>
        <w:spacing w:line="0" w:lineRule="atLeast"/>
        <w:ind w:firstLineChars="650" w:firstLine="1437"/>
        <w:rPr>
          <w:rFonts w:ascii="ＭＳ ゴシック" w:eastAsia="ＭＳ ゴシック" w:hAnsi="ＭＳ ゴシック"/>
          <w:sz w:val="22"/>
          <w:szCs w:val="22"/>
          <w:bdr w:val="single" w:sz="4" w:space="0" w:color="auto"/>
        </w:rPr>
      </w:pPr>
      <w:r w:rsidRPr="001D6D10">
        <w:rPr>
          <w:rFonts w:ascii="ＭＳ ゴシック" w:eastAsia="ＭＳ ゴシック" w:hAnsi="ＭＳ ゴシック" w:hint="eastAsia"/>
          <w:sz w:val="22"/>
          <w:szCs w:val="22"/>
          <w:bdr w:val="single" w:sz="4" w:space="0" w:color="auto"/>
        </w:rPr>
        <w:t>主たる担当：危機管理室、道路室</w:t>
      </w:r>
    </w:p>
    <w:p w14:paraId="34B6715A" w14:textId="77777777" w:rsidR="008B4B2B" w:rsidRPr="001D6D10" w:rsidRDefault="008B4B2B" w:rsidP="00831F71">
      <w:pPr>
        <w:pStyle w:val="a0"/>
        <w:ind w:firstLineChars="200" w:firstLine="442"/>
        <w:outlineLvl w:val="2"/>
        <w:rPr>
          <w:rFonts w:ascii="ＭＳ ゴシック" w:eastAsia="ＭＳ ゴシック" w:hAnsi="ＭＳ ゴシック"/>
          <w:bCs/>
          <w:sz w:val="22"/>
          <w:szCs w:val="22"/>
          <w:u w:val="double"/>
        </w:rPr>
      </w:pPr>
      <w:bookmarkStart w:id="423" w:name="_Toc122436978"/>
      <w:bookmarkStart w:id="424" w:name="_Toc222486677"/>
      <w:bookmarkStart w:id="425" w:name="_Toc242870347"/>
      <w:r w:rsidRPr="001D6D10">
        <w:rPr>
          <w:rFonts w:ascii="ＭＳ ゴシック" w:eastAsia="ＭＳ ゴシック" w:hAnsi="ＭＳ ゴシック" w:hint="eastAsia"/>
          <w:bCs/>
          <w:sz w:val="22"/>
          <w:szCs w:val="22"/>
          <w:u w:val="double"/>
        </w:rPr>
        <w:t>第１　道路管理者の災害応急対策</w:t>
      </w:r>
      <w:bookmarkEnd w:id="423"/>
      <w:bookmarkEnd w:id="424"/>
      <w:bookmarkEnd w:id="425"/>
    </w:p>
    <w:p w14:paraId="56275AEB" w14:textId="77777777" w:rsidR="008B4B2B" w:rsidRPr="001D6D10" w:rsidRDefault="008B4B2B" w:rsidP="008B4B2B">
      <w:pPr>
        <w:pStyle w:val="a0"/>
        <w:ind w:firstLineChars="200" w:firstLine="442"/>
        <w:rPr>
          <w:rFonts w:ascii="ＭＳ ゴシック" w:eastAsia="ＭＳ ゴシック" w:hAnsi="ＭＳ ゴシック"/>
          <w:bCs/>
          <w:sz w:val="22"/>
          <w:szCs w:val="22"/>
          <w:u w:val="single"/>
        </w:rPr>
      </w:pPr>
      <w:r w:rsidRPr="001D6D10">
        <w:rPr>
          <w:rFonts w:hAnsi="ＭＳ 明朝" w:hint="eastAsia"/>
          <w:bCs/>
          <w:sz w:val="22"/>
          <w:szCs w:val="22"/>
        </w:rPr>
        <w:t xml:space="preserve">　</w:t>
      </w:r>
      <w:r w:rsidRPr="001D6D10">
        <w:rPr>
          <w:rFonts w:ascii="ＭＳ ゴシック" w:eastAsia="ＭＳ ゴシック" w:hAnsi="ＭＳ ゴシック" w:hint="eastAsia"/>
          <w:bCs/>
          <w:sz w:val="22"/>
          <w:szCs w:val="22"/>
          <w:u w:val="single"/>
        </w:rPr>
        <w:t>１　災害の拡大防止</w:t>
      </w:r>
    </w:p>
    <w:p w14:paraId="3ED7BF50" w14:textId="77777777" w:rsidR="008B4B2B" w:rsidRPr="001D6D10" w:rsidRDefault="008B4B2B" w:rsidP="008B4B2B">
      <w:pPr>
        <w:pStyle w:val="a0"/>
        <w:rPr>
          <w:rFonts w:hAnsi="ＭＳ 明朝"/>
          <w:bCs/>
          <w:sz w:val="22"/>
          <w:szCs w:val="22"/>
        </w:rPr>
      </w:pPr>
      <w:r w:rsidRPr="001D6D10">
        <w:rPr>
          <w:rFonts w:hAnsi="ＭＳ 明朝" w:hint="eastAsia"/>
          <w:bCs/>
          <w:sz w:val="22"/>
          <w:szCs w:val="22"/>
        </w:rPr>
        <w:t xml:space="preserve">　　　　　速やかに被災者の避難誘導等の必要な措置を講ずる。</w:t>
      </w:r>
    </w:p>
    <w:p w14:paraId="75D34703" w14:textId="77777777" w:rsidR="008B4B2B" w:rsidRPr="001D6D10" w:rsidRDefault="008B4B2B" w:rsidP="008B4B2B">
      <w:pPr>
        <w:pStyle w:val="a0"/>
        <w:rPr>
          <w:rFonts w:hAnsi="ＭＳ 明朝"/>
          <w:bCs/>
          <w:sz w:val="22"/>
          <w:szCs w:val="22"/>
        </w:rPr>
      </w:pPr>
      <w:r w:rsidRPr="001D6D10">
        <w:rPr>
          <w:rFonts w:hAnsi="ＭＳ 明朝" w:hint="eastAsia"/>
          <w:bCs/>
          <w:sz w:val="22"/>
          <w:szCs w:val="22"/>
        </w:rPr>
        <w:t xml:space="preserve">　　　</w:t>
      </w:r>
    </w:p>
    <w:p w14:paraId="45582DF5" w14:textId="77777777" w:rsidR="008B4B2B" w:rsidRPr="001D6D10" w:rsidRDefault="008B4B2B" w:rsidP="008B4B2B">
      <w:pPr>
        <w:pStyle w:val="a0"/>
        <w:ind w:firstLineChars="300" w:firstLine="663"/>
        <w:rPr>
          <w:rFonts w:ascii="ＭＳ ゴシック" w:eastAsia="ＭＳ ゴシック" w:hAnsi="ＭＳ ゴシック"/>
          <w:bCs/>
          <w:sz w:val="22"/>
          <w:szCs w:val="22"/>
          <w:u w:val="single"/>
        </w:rPr>
      </w:pPr>
      <w:r w:rsidRPr="001D6D10">
        <w:rPr>
          <w:rFonts w:ascii="ＭＳ ゴシック" w:eastAsia="ＭＳ ゴシック" w:hAnsi="ＭＳ ゴシック" w:hint="eastAsia"/>
          <w:bCs/>
          <w:sz w:val="22"/>
          <w:szCs w:val="22"/>
          <w:u w:val="single"/>
        </w:rPr>
        <w:t>２　危険物等の流出対策</w:t>
      </w:r>
    </w:p>
    <w:p w14:paraId="62E7F12F" w14:textId="77777777" w:rsidR="008B4B2B" w:rsidRPr="001D6D10" w:rsidRDefault="008B4B2B" w:rsidP="008B4B2B">
      <w:pPr>
        <w:pStyle w:val="a0"/>
        <w:ind w:leftChars="420" w:left="887" w:firstLineChars="100" w:firstLine="221"/>
        <w:rPr>
          <w:rFonts w:hAnsi="ＭＳ 明朝"/>
          <w:bCs/>
          <w:sz w:val="22"/>
          <w:szCs w:val="22"/>
        </w:rPr>
      </w:pPr>
      <w:r w:rsidRPr="001D6D10">
        <w:rPr>
          <w:rFonts w:hAnsi="ＭＳ 明朝" w:hint="eastAsia"/>
          <w:bCs/>
          <w:sz w:val="22"/>
          <w:szCs w:val="22"/>
        </w:rPr>
        <w:t>他の防災関係機関と協力し、直ちに、防除活動、避難誘導を行い、</w:t>
      </w:r>
    </w:p>
    <w:p w14:paraId="771C8877" w14:textId="77777777" w:rsidR="008B4B2B" w:rsidRPr="001D6D10" w:rsidRDefault="008B4B2B" w:rsidP="008B4B2B">
      <w:pPr>
        <w:pStyle w:val="a0"/>
        <w:ind w:firstLineChars="400" w:firstLine="884"/>
        <w:rPr>
          <w:rFonts w:hAnsi="ＭＳ 明朝"/>
          <w:bCs/>
          <w:sz w:val="22"/>
          <w:szCs w:val="22"/>
        </w:rPr>
      </w:pPr>
      <w:r w:rsidRPr="001D6D10">
        <w:rPr>
          <w:rFonts w:hAnsi="ＭＳ 明朝" w:hint="eastAsia"/>
          <w:bCs/>
          <w:sz w:val="22"/>
          <w:szCs w:val="22"/>
        </w:rPr>
        <w:t>危険物等による二次災害の防止に努める。</w:t>
      </w:r>
    </w:p>
    <w:p w14:paraId="1CAC28C1" w14:textId="77777777" w:rsidR="008B4B2B" w:rsidRPr="001D6D10" w:rsidRDefault="008B4B2B" w:rsidP="008B4B2B">
      <w:pPr>
        <w:pStyle w:val="a0"/>
        <w:ind w:firstLineChars="300" w:firstLine="663"/>
        <w:rPr>
          <w:rFonts w:ascii="ＭＳ ゴシック" w:eastAsia="ＭＳ ゴシック" w:hAnsi="ＭＳ ゴシック"/>
          <w:bCs/>
          <w:sz w:val="22"/>
          <w:szCs w:val="22"/>
        </w:rPr>
      </w:pPr>
    </w:p>
    <w:p w14:paraId="13A440C5" w14:textId="77777777" w:rsidR="008B4B2B" w:rsidRPr="001D6D10" w:rsidRDefault="008B4B2B" w:rsidP="008B4B2B">
      <w:pPr>
        <w:pStyle w:val="a0"/>
        <w:ind w:firstLineChars="300" w:firstLine="663"/>
        <w:rPr>
          <w:rFonts w:ascii="ＭＳ ゴシック" w:eastAsia="ＭＳ ゴシック" w:hAnsi="ＭＳ ゴシック"/>
          <w:bCs/>
          <w:sz w:val="22"/>
          <w:szCs w:val="22"/>
          <w:u w:val="single"/>
        </w:rPr>
      </w:pPr>
      <w:r w:rsidRPr="001D6D10">
        <w:rPr>
          <w:rFonts w:ascii="ＭＳ ゴシック" w:eastAsia="ＭＳ ゴシック" w:hAnsi="ＭＳ ゴシック" w:hint="eastAsia"/>
          <w:bCs/>
          <w:sz w:val="22"/>
          <w:szCs w:val="22"/>
          <w:u w:val="single"/>
        </w:rPr>
        <w:t>３　救助・救急活動</w:t>
      </w:r>
    </w:p>
    <w:p w14:paraId="1F557213" w14:textId="77777777" w:rsidR="008B4B2B" w:rsidRPr="001D6D10" w:rsidRDefault="008B4B2B" w:rsidP="008B4B2B">
      <w:pPr>
        <w:pStyle w:val="a0"/>
        <w:ind w:rightChars="-309" w:right="-652"/>
        <w:rPr>
          <w:rFonts w:hAnsi="ＭＳ 明朝"/>
          <w:bCs/>
          <w:sz w:val="22"/>
          <w:szCs w:val="22"/>
        </w:rPr>
      </w:pPr>
      <w:r w:rsidRPr="001D6D10">
        <w:rPr>
          <w:rFonts w:hAnsi="ＭＳ 明朝" w:hint="eastAsia"/>
          <w:bCs/>
          <w:sz w:val="22"/>
          <w:szCs w:val="22"/>
        </w:rPr>
        <w:t xml:space="preserve">　　　　　事故発生直後における、負傷者の救助・救急活動に協力する。</w:t>
      </w:r>
    </w:p>
    <w:p w14:paraId="2C0618B2" w14:textId="77777777" w:rsidR="008B4B2B" w:rsidRPr="001D6D10" w:rsidRDefault="008B4B2B" w:rsidP="008B4B2B">
      <w:pPr>
        <w:pStyle w:val="a0"/>
        <w:ind w:left="995" w:hangingChars="450" w:hanging="995"/>
        <w:rPr>
          <w:rFonts w:hAnsi="ＭＳ 明朝"/>
          <w:bCs/>
          <w:sz w:val="22"/>
          <w:szCs w:val="22"/>
        </w:rPr>
      </w:pPr>
      <w:r w:rsidRPr="001D6D10">
        <w:rPr>
          <w:rFonts w:hAnsi="ＭＳ 明朝" w:hint="eastAsia"/>
          <w:bCs/>
          <w:sz w:val="22"/>
          <w:szCs w:val="22"/>
        </w:rPr>
        <w:t xml:space="preserve">　　　</w:t>
      </w:r>
    </w:p>
    <w:p w14:paraId="00EE3DAF" w14:textId="77777777" w:rsidR="008B4B2B" w:rsidRPr="001D6D10" w:rsidRDefault="008B4B2B" w:rsidP="008B4B2B">
      <w:pPr>
        <w:pStyle w:val="a0"/>
        <w:ind w:leftChars="300" w:left="965" w:hangingChars="150" w:hanging="332"/>
        <w:rPr>
          <w:rFonts w:ascii="ＭＳ ゴシック" w:eastAsia="ＭＳ ゴシック" w:hAnsi="ＭＳ ゴシック"/>
          <w:bCs/>
          <w:sz w:val="22"/>
          <w:szCs w:val="22"/>
          <w:u w:val="single"/>
        </w:rPr>
      </w:pPr>
      <w:r w:rsidRPr="001D6D10">
        <w:rPr>
          <w:rFonts w:ascii="ＭＳ ゴシック" w:eastAsia="ＭＳ ゴシック" w:hAnsi="ＭＳ ゴシック" w:hint="eastAsia"/>
          <w:bCs/>
          <w:sz w:val="22"/>
          <w:szCs w:val="22"/>
          <w:u w:val="single"/>
        </w:rPr>
        <w:t>４　施設の応急復旧</w:t>
      </w:r>
    </w:p>
    <w:p w14:paraId="4EC10DF5" w14:textId="77777777" w:rsidR="008B4B2B" w:rsidRPr="001D6D10" w:rsidRDefault="008B4B2B" w:rsidP="008B4B2B">
      <w:pPr>
        <w:pStyle w:val="a0"/>
        <w:ind w:rightChars="-444" w:right="-937"/>
        <w:rPr>
          <w:rFonts w:hAnsi="ＭＳ 明朝"/>
          <w:bCs/>
          <w:sz w:val="22"/>
          <w:szCs w:val="22"/>
        </w:rPr>
      </w:pPr>
      <w:r w:rsidRPr="001D6D10">
        <w:rPr>
          <w:rFonts w:hAnsi="ＭＳ 明朝" w:hint="eastAsia"/>
          <w:bCs/>
          <w:sz w:val="22"/>
          <w:szCs w:val="22"/>
        </w:rPr>
        <w:t xml:space="preserve">　　　　　迅速かつ的確な障害物の除去、仮設等の応急復旧を行い、早期の交通確保に努める。</w:t>
      </w:r>
    </w:p>
    <w:p w14:paraId="5F41505C" w14:textId="77777777" w:rsidR="008B4B2B" w:rsidRPr="001D6D10" w:rsidRDefault="008B4B2B" w:rsidP="008B4B2B">
      <w:pPr>
        <w:pStyle w:val="a0"/>
        <w:rPr>
          <w:rFonts w:hAnsi="ＭＳ 明朝"/>
          <w:bCs/>
          <w:sz w:val="22"/>
          <w:szCs w:val="22"/>
        </w:rPr>
      </w:pPr>
      <w:r w:rsidRPr="001D6D10">
        <w:rPr>
          <w:rFonts w:hAnsi="ＭＳ 明朝" w:hint="eastAsia"/>
          <w:bCs/>
          <w:sz w:val="22"/>
          <w:szCs w:val="22"/>
        </w:rPr>
        <w:t xml:space="preserve">　　　</w:t>
      </w:r>
    </w:p>
    <w:p w14:paraId="67B4D55A" w14:textId="77777777" w:rsidR="008B4B2B" w:rsidRPr="001D6D10" w:rsidRDefault="008B4B2B" w:rsidP="008B4B2B">
      <w:pPr>
        <w:pStyle w:val="a0"/>
        <w:ind w:firstLineChars="300" w:firstLine="663"/>
        <w:rPr>
          <w:rFonts w:ascii="ＭＳ ゴシック" w:eastAsia="ＭＳ ゴシック" w:hAnsi="ＭＳ ゴシック"/>
          <w:bCs/>
          <w:sz w:val="22"/>
          <w:szCs w:val="22"/>
          <w:u w:val="single"/>
        </w:rPr>
      </w:pPr>
      <w:r w:rsidRPr="001D6D10">
        <w:rPr>
          <w:rFonts w:ascii="ＭＳ ゴシック" w:eastAsia="ＭＳ ゴシック" w:hAnsi="ＭＳ ゴシック" w:hint="eastAsia"/>
          <w:bCs/>
          <w:sz w:val="22"/>
          <w:szCs w:val="22"/>
          <w:u w:val="single"/>
        </w:rPr>
        <w:t>５　関係者等への情報伝達</w:t>
      </w:r>
    </w:p>
    <w:p w14:paraId="1F69C82C" w14:textId="77777777" w:rsidR="008B4B2B" w:rsidRPr="001D6D10" w:rsidRDefault="008B4B2B" w:rsidP="008B4B2B">
      <w:pPr>
        <w:pStyle w:val="a0"/>
        <w:ind w:left="884" w:hangingChars="400" w:hanging="884"/>
        <w:rPr>
          <w:rFonts w:hAnsi="ＭＳ 明朝"/>
          <w:bCs/>
          <w:sz w:val="22"/>
          <w:szCs w:val="22"/>
        </w:rPr>
      </w:pPr>
      <w:r w:rsidRPr="001D6D10">
        <w:rPr>
          <w:rFonts w:hAnsi="ＭＳ 明朝" w:hint="eastAsia"/>
          <w:bCs/>
          <w:sz w:val="22"/>
          <w:szCs w:val="22"/>
        </w:rPr>
        <w:t xml:space="preserve">　　　　　災害の状況、安否情報、医療機関の状況、施設の復旧状況などの情報を</w:t>
      </w:r>
    </w:p>
    <w:p w14:paraId="3830F7BB" w14:textId="77777777" w:rsidR="008B4B2B" w:rsidRPr="001D6D10" w:rsidRDefault="008B4B2B" w:rsidP="008B4B2B">
      <w:pPr>
        <w:pStyle w:val="a0"/>
        <w:ind w:leftChars="400" w:left="844"/>
        <w:rPr>
          <w:rFonts w:hAnsi="ＭＳ 明朝"/>
          <w:bCs/>
          <w:sz w:val="22"/>
          <w:szCs w:val="22"/>
        </w:rPr>
      </w:pPr>
      <w:r w:rsidRPr="001D6D10">
        <w:rPr>
          <w:rFonts w:hAnsi="ＭＳ 明朝" w:hint="eastAsia"/>
          <w:bCs/>
          <w:sz w:val="22"/>
          <w:szCs w:val="22"/>
        </w:rPr>
        <w:t>適切に関係者等へ伝達する。</w:t>
      </w:r>
    </w:p>
    <w:p w14:paraId="499CA02B" w14:textId="77777777" w:rsidR="008B4B2B" w:rsidRPr="001D6D10" w:rsidRDefault="008B4B2B" w:rsidP="008B4B2B">
      <w:pPr>
        <w:pStyle w:val="a0"/>
        <w:ind w:left="884" w:hangingChars="400" w:hanging="884"/>
        <w:rPr>
          <w:rFonts w:hAnsi="ＭＳ 明朝"/>
          <w:bCs/>
          <w:sz w:val="22"/>
          <w:szCs w:val="22"/>
        </w:rPr>
      </w:pPr>
    </w:p>
    <w:p w14:paraId="18B9664B" w14:textId="77777777" w:rsidR="008B4B2B" w:rsidRPr="001D6D10" w:rsidRDefault="008B4B2B" w:rsidP="008B4B2B">
      <w:pPr>
        <w:pStyle w:val="a0"/>
        <w:ind w:left="844" w:hangingChars="400" w:hanging="844"/>
        <w:rPr>
          <w:rFonts w:hAnsi="ＭＳ 明朝"/>
          <w:bCs/>
        </w:rPr>
      </w:pPr>
      <w:r w:rsidRPr="001D6D10">
        <w:rPr>
          <w:rFonts w:hAnsi="ＭＳ 明朝" w:hint="eastAsia"/>
          <w:bCs/>
        </w:rPr>
        <w:t>別図〔連絡系統図〕</w:t>
      </w:r>
    </w:p>
    <w:p w14:paraId="1B960877" w14:textId="77777777" w:rsidR="008B4B2B" w:rsidRPr="001D6D10" w:rsidRDefault="008B4B2B" w:rsidP="008B4B2B">
      <w:pPr>
        <w:wordWrap w:val="0"/>
        <w:spacing w:line="362" w:lineRule="exact"/>
        <w:ind w:left="215" w:right="97"/>
      </w:pPr>
      <w:r w:rsidRPr="001D6D10">
        <w:rPr>
          <w:rFonts w:hint="eastAsia"/>
          <w:noProof/>
        </w:rPr>
        <mc:AlternateContent>
          <mc:Choice Requires="wps">
            <w:drawing>
              <wp:anchor distT="0" distB="0" distL="114300" distR="114300" simplePos="0" relativeHeight="253796352" behindDoc="0" locked="0" layoutInCell="1" allowOverlap="1" wp14:anchorId="5BFEAAC8" wp14:editId="09E98D2B">
                <wp:simplePos x="0" y="0"/>
                <wp:positionH relativeFrom="column">
                  <wp:posOffset>413385</wp:posOffset>
                </wp:positionH>
                <wp:positionV relativeFrom="paragraph">
                  <wp:posOffset>142240</wp:posOffset>
                </wp:positionV>
                <wp:extent cx="1100455" cy="2969260"/>
                <wp:effectExtent l="13335" t="8890" r="10160" b="12700"/>
                <wp:wrapNone/>
                <wp:docPr id="3719" name="Text Box 324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1100455" cy="2969260"/>
                        </a:xfrm>
                        <a:prstGeom prst="rect">
                          <a:avLst/>
                        </a:prstGeom>
                        <a:noFill/>
                        <a:ln w="6350">
                          <a:solidFill>
                            <a:srgbClr val="000000"/>
                          </a:solidFill>
                          <a:miter lim="800000"/>
                          <a:headEnd/>
                          <a:tailEnd/>
                        </a:ln>
                        <a:extLst>
                          <a:ext uri="{909E8E84-426E-40DD-AFC4-6F175D3DCCD1}">
                            <a14:hiddenFill xmlns:a14="http://schemas.microsoft.com/office/drawing/2010/main">
                              <a:solidFill>
                                <a:srgbClr val="000000"/>
                              </a:solidFill>
                            </a14:hiddenFill>
                          </a:ext>
                        </a:extLst>
                      </wps:spPr>
                      <wps:txbx>
                        <w:txbxContent>
                          <w:p w14:paraId="368D3E3D" w14:textId="77777777" w:rsidR="006A5267" w:rsidRDefault="006A5267" w:rsidP="008B4B2B">
                            <w:pPr>
                              <w:kinsoku w:val="0"/>
                              <w:wordWrap w:val="0"/>
                              <w:overflowPunct w:val="0"/>
                              <w:spacing w:line="362" w:lineRule="exact"/>
                            </w:pPr>
                          </w:p>
                          <w:p w14:paraId="63997397" w14:textId="77777777" w:rsidR="006A5267" w:rsidRDefault="006A5267" w:rsidP="008B4B2B">
                            <w:pPr>
                              <w:kinsoku w:val="0"/>
                              <w:wordWrap w:val="0"/>
                              <w:overflowPunct w:val="0"/>
                              <w:spacing w:line="362" w:lineRule="exact"/>
                              <w:ind w:left="107" w:hangingChars="50" w:hanging="107"/>
                            </w:pPr>
                            <w:r>
                              <w:rPr>
                                <w:rFonts w:hint="eastAsia"/>
                                <w:spacing w:val="1"/>
                              </w:rPr>
                              <w:t xml:space="preserve"> </w:t>
                            </w:r>
                            <w:r>
                              <w:rPr>
                                <w:rFonts w:hint="eastAsia"/>
                                <w:spacing w:val="1"/>
                              </w:rPr>
                              <w:t>西日本</w:t>
                            </w:r>
                            <w:r>
                              <w:rPr>
                                <w:rFonts w:hint="eastAsia"/>
                              </w:rPr>
                              <w:t>高速道路株式会社</w:t>
                            </w:r>
                          </w:p>
                          <w:p w14:paraId="10F441FF" w14:textId="77777777" w:rsidR="006A5267" w:rsidRDefault="006A5267" w:rsidP="008B4B2B">
                            <w:pPr>
                              <w:kinsoku w:val="0"/>
                              <w:wordWrap w:val="0"/>
                              <w:overflowPunct w:val="0"/>
                              <w:spacing w:line="362" w:lineRule="exact"/>
                            </w:pPr>
                          </w:p>
                          <w:p w14:paraId="05949AD3" w14:textId="77777777" w:rsidR="006A5267" w:rsidRDefault="006A5267" w:rsidP="008B4B2B">
                            <w:pPr>
                              <w:kinsoku w:val="0"/>
                              <w:wordWrap w:val="0"/>
                              <w:overflowPunct w:val="0"/>
                              <w:spacing w:line="362" w:lineRule="exact"/>
                            </w:pPr>
                          </w:p>
                          <w:p w14:paraId="31043332" w14:textId="77777777" w:rsidR="006A5267" w:rsidRDefault="006A5267" w:rsidP="008B4B2B">
                            <w:pPr>
                              <w:kinsoku w:val="0"/>
                              <w:wordWrap w:val="0"/>
                              <w:overflowPunct w:val="0"/>
                              <w:spacing w:line="362" w:lineRule="exact"/>
                            </w:pPr>
                            <w:r>
                              <w:rPr>
                                <w:rFonts w:hint="eastAsia"/>
                                <w:spacing w:val="1"/>
                              </w:rPr>
                              <w:t xml:space="preserve"> </w:t>
                            </w:r>
                            <w:r>
                              <w:rPr>
                                <w:rFonts w:hint="eastAsia"/>
                              </w:rPr>
                              <w:t>阪神高速道路</w:t>
                            </w:r>
                          </w:p>
                          <w:p w14:paraId="092CD4E4" w14:textId="77777777" w:rsidR="006A5267" w:rsidRDefault="006A5267" w:rsidP="008B4B2B">
                            <w:pPr>
                              <w:kinsoku w:val="0"/>
                              <w:wordWrap w:val="0"/>
                              <w:overflowPunct w:val="0"/>
                              <w:spacing w:line="362" w:lineRule="exact"/>
                            </w:pPr>
                            <w:r>
                              <w:rPr>
                                <w:rFonts w:hint="eastAsia"/>
                                <w:spacing w:val="1"/>
                              </w:rPr>
                              <w:t xml:space="preserve"> </w:t>
                            </w:r>
                            <w:r>
                              <w:rPr>
                                <w:rFonts w:hint="eastAsia"/>
                                <w:spacing w:val="1"/>
                              </w:rPr>
                              <w:t>株式会社</w:t>
                            </w:r>
                          </w:p>
                          <w:p w14:paraId="17EFEC7F" w14:textId="77777777" w:rsidR="006A5267" w:rsidRDefault="006A5267" w:rsidP="008B4B2B">
                            <w:pPr>
                              <w:kinsoku w:val="0"/>
                              <w:wordWrap w:val="0"/>
                              <w:overflowPunct w:val="0"/>
                              <w:spacing w:line="362" w:lineRule="exact"/>
                            </w:pPr>
                          </w:p>
                          <w:p w14:paraId="6A508A6B" w14:textId="77777777" w:rsidR="006A5267" w:rsidRDefault="006A5267" w:rsidP="008B4B2B">
                            <w:pPr>
                              <w:kinsoku w:val="0"/>
                              <w:wordWrap w:val="0"/>
                              <w:overflowPunct w:val="0"/>
                              <w:spacing w:line="362" w:lineRule="exact"/>
                            </w:pPr>
                          </w:p>
                          <w:p w14:paraId="2EDB133F" w14:textId="77777777" w:rsidR="006A5267" w:rsidRDefault="006A5267" w:rsidP="008B4B2B">
                            <w:pPr>
                              <w:kinsoku w:val="0"/>
                              <w:wordWrap w:val="0"/>
                              <w:overflowPunct w:val="0"/>
                              <w:spacing w:line="362" w:lineRule="exact"/>
                            </w:pPr>
                            <w:r>
                              <w:rPr>
                                <w:rFonts w:hint="eastAsia"/>
                                <w:spacing w:val="1"/>
                              </w:rPr>
                              <w:t xml:space="preserve"> </w:t>
                            </w:r>
                            <w:r>
                              <w:rPr>
                                <w:rFonts w:hint="eastAsia"/>
                              </w:rPr>
                              <w:t>大阪府道路公社</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shape w14:anchorId="5BFEAAC8" id="Text Box 3249" o:spid="_x0000_s1767" type="#_x0000_t202" style="position:absolute;left:0;text-align:left;margin-left:32.55pt;margin-top:11.2pt;width:86.65pt;height:233.8pt;z-index:2537963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" filled="f" fillcolor="black" strokeweight=".5pt">
                <v:path arrowok="t"/>
                <v:textbox inset="0,0,0,0">
                  <w:txbxContent>
                    <w:p w14:paraId="368D3E3D" w14:textId="77777777" w:rsidR="006A5267" w:rsidRDefault="006A5267" w:rsidP="008B4B2B">
                      <w:pPr>
                        <w:kinsoku w:val="0"/>
                        <w:wordWrap w:val="0"/>
                        <w:overflowPunct w:val="0"/>
                        <w:spacing w:line="362" w:lineRule="exact"/>
                      </w:pPr>
                    </w:p>
                    <w:p w14:paraId="63997397" w14:textId="77777777" w:rsidR="006A5267" w:rsidRDefault="006A5267" w:rsidP="008B4B2B">
                      <w:pPr>
                        <w:kinsoku w:val="0"/>
                        <w:wordWrap w:val="0"/>
                        <w:overflowPunct w:val="0"/>
                        <w:spacing w:line="362" w:lineRule="exact"/>
                        <w:ind w:left="107" w:hangingChars="50" w:hanging="107"/>
                      </w:pPr>
                      <w:r>
                        <w:rPr>
                          <w:rFonts w:hint="eastAsia"/>
                          <w:spacing w:val="1"/>
                        </w:rPr>
                        <w:t xml:space="preserve"> </w:t>
                      </w:r>
                      <w:r>
                        <w:rPr>
                          <w:rFonts w:hint="eastAsia"/>
                          <w:spacing w:val="1"/>
                        </w:rPr>
                        <w:t>西日本</w:t>
                      </w:r>
                      <w:r>
                        <w:rPr>
                          <w:rFonts w:hint="eastAsia"/>
                        </w:rPr>
                        <w:t>高速道路株式会社</w:t>
                      </w:r>
                    </w:p>
                    <w:p w14:paraId="10F441FF" w14:textId="77777777" w:rsidR="006A5267" w:rsidRDefault="006A5267" w:rsidP="008B4B2B">
                      <w:pPr>
                        <w:kinsoku w:val="0"/>
                        <w:wordWrap w:val="0"/>
                        <w:overflowPunct w:val="0"/>
                        <w:spacing w:line="362" w:lineRule="exact"/>
                      </w:pPr>
                    </w:p>
                    <w:p w14:paraId="05949AD3" w14:textId="77777777" w:rsidR="006A5267" w:rsidRDefault="006A5267" w:rsidP="008B4B2B">
                      <w:pPr>
                        <w:kinsoku w:val="0"/>
                        <w:wordWrap w:val="0"/>
                        <w:overflowPunct w:val="0"/>
                        <w:spacing w:line="362" w:lineRule="exact"/>
                      </w:pPr>
                    </w:p>
                    <w:p w14:paraId="31043332" w14:textId="77777777" w:rsidR="006A5267" w:rsidRDefault="006A5267" w:rsidP="008B4B2B">
                      <w:pPr>
                        <w:kinsoku w:val="0"/>
                        <w:wordWrap w:val="0"/>
                        <w:overflowPunct w:val="0"/>
                        <w:spacing w:line="362" w:lineRule="exact"/>
                      </w:pPr>
                      <w:r>
                        <w:rPr>
                          <w:rFonts w:hint="eastAsia"/>
                          <w:spacing w:val="1"/>
                        </w:rPr>
                        <w:t xml:space="preserve"> </w:t>
                      </w:r>
                      <w:r>
                        <w:rPr>
                          <w:rFonts w:hint="eastAsia"/>
                        </w:rPr>
                        <w:t>阪神高速道路</w:t>
                      </w:r>
                    </w:p>
                    <w:p w14:paraId="092CD4E4" w14:textId="77777777" w:rsidR="006A5267" w:rsidRDefault="006A5267" w:rsidP="008B4B2B">
                      <w:pPr>
                        <w:kinsoku w:val="0"/>
                        <w:wordWrap w:val="0"/>
                        <w:overflowPunct w:val="0"/>
                        <w:spacing w:line="362" w:lineRule="exact"/>
                      </w:pPr>
                      <w:r>
                        <w:rPr>
                          <w:rFonts w:hint="eastAsia"/>
                          <w:spacing w:val="1"/>
                        </w:rPr>
                        <w:t xml:space="preserve"> </w:t>
                      </w:r>
                      <w:r>
                        <w:rPr>
                          <w:rFonts w:hint="eastAsia"/>
                          <w:spacing w:val="1"/>
                        </w:rPr>
                        <w:t>株式会社</w:t>
                      </w:r>
                    </w:p>
                    <w:p w14:paraId="17EFEC7F" w14:textId="77777777" w:rsidR="006A5267" w:rsidRDefault="006A5267" w:rsidP="008B4B2B">
                      <w:pPr>
                        <w:kinsoku w:val="0"/>
                        <w:wordWrap w:val="0"/>
                        <w:overflowPunct w:val="0"/>
                        <w:spacing w:line="362" w:lineRule="exact"/>
                      </w:pPr>
                    </w:p>
                    <w:p w14:paraId="6A508A6B" w14:textId="77777777" w:rsidR="006A5267" w:rsidRDefault="006A5267" w:rsidP="008B4B2B">
                      <w:pPr>
                        <w:kinsoku w:val="0"/>
                        <w:wordWrap w:val="0"/>
                        <w:overflowPunct w:val="0"/>
                        <w:spacing w:line="362" w:lineRule="exact"/>
                      </w:pPr>
                    </w:p>
                    <w:p w14:paraId="2EDB133F" w14:textId="77777777" w:rsidR="006A5267" w:rsidRDefault="006A5267" w:rsidP="008B4B2B">
                      <w:pPr>
                        <w:kinsoku w:val="0"/>
                        <w:wordWrap w:val="0"/>
                        <w:overflowPunct w:val="0"/>
                        <w:spacing w:line="362" w:lineRule="exact"/>
                      </w:pPr>
                      <w:r>
                        <w:rPr>
                          <w:rFonts w:hint="eastAsia"/>
                          <w:spacing w:val="1"/>
                        </w:rPr>
                        <w:t xml:space="preserve"> </w:t>
                      </w:r>
                      <w:r>
                        <w:rPr>
                          <w:rFonts w:hint="eastAsia"/>
                        </w:rPr>
                        <w:t>大阪府道路公社</w:t>
                      </w:r>
                    </w:p>
                  </w:txbxContent>
                </v:textbox>
              </v:shape>
            </w:pict>
          </mc:Fallback>
        </mc:AlternateContent>
      </w:r>
      <w:r w:rsidRPr="001D6D10">
        <w:rPr>
          <w:rFonts w:hint="eastAsia"/>
          <w:noProof/>
        </w:rPr>
        <mc:AlternateContent>
          <mc:Choice Requires="wps">
            <w:drawing>
              <wp:anchor distT="0" distB="0" distL="114300" distR="114300" simplePos="0" relativeHeight="253797376" behindDoc="0" locked="0" layoutInCell="1" allowOverlap="1" wp14:anchorId="6B3847D2" wp14:editId="5FD95720">
                <wp:simplePos x="0" y="0"/>
                <wp:positionH relativeFrom="column">
                  <wp:posOffset>4000500</wp:posOffset>
                </wp:positionH>
                <wp:positionV relativeFrom="paragraph">
                  <wp:posOffset>142240</wp:posOffset>
                </wp:positionV>
                <wp:extent cx="538480" cy="2068830"/>
                <wp:effectExtent l="9525" t="8890" r="13970" b="8255"/>
                <wp:wrapNone/>
                <wp:docPr id="3718" name="Text Box 325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538480" cy="2068830"/>
                        </a:xfrm>
                        <a:prstGeom prst="rect">
                          <a:avLst/>
                        </a:prstGeom>
                        <a:noFill/>
                        <a:ln w="6350">
                          <a:solidFill>
                            <a:srgbClr val="000000"/>
                          </a:solidFill>
                          <a:miter lim="800000"/>
                          <a:headEnd/>
                          <a:tailEnd/>
                        </a:ln>
                        <a:extLst>
                          <a:ext uri="{909E8E84-426E-40DD-AFC4-6F175D3DCCD1}">
                            <a14:hiddenFill xmlns:a14="http://schemas.microsoft.com/office/drawing/2010/main">
                              <a:solidFill>
                                <a:srgbClr val="000000"/>
                              </a:solidFill>
                            </a14:hiddenFill>
                          </a:ext>
                        </a:extLst>
                      </wps:spPr>
                      <wps:txbx>
                        <w:txbxContent>
                          <w:p w14:paraId="756BDC8F" w14:textId="77777777" w:rsidR="006A5267" w:rsidRDefault="006A5267" w:rsidP="008B4B2B">
                            <w:pPr>
                              <w:kinsoku w:val="0"/>
                              <w:wordWrap w:val="0"/>
                              <w:overflowPunct w:val="0"/>
                              <w:spacing w:line="181" w:lineRule="exact"/>
                            </w:pPr>
                          </w:p>
                          <w:p w14:paraId="45F94A7E" w14:textId="77777777" w:rsidR="006A5267" w:rsidRDefault="006A5267" w:rsidP="008B4B2B">
                            <w:pPr>
                              <w:kinsoku w:val="0"/>
                              <w:wordWrap w:val="0"/>
                              <w:overflowPunct w:val="0"/>
                              <w:spacing w:line="362" w:lineRule="exact"/>
                            </w:pPr>
                          </w:p>
                          <w:p w14:paraId="07AB9706" w14:textId="77777777" w:rsidR="006A5267" w:rsidRDefault="006A5267" w:rsidP="008B4B2B">
                            <w:pPr>
                              <w:kinsoku w:val="0"/>
                              <w:wordWrap w:val="0"/>
                              <w:overflowPunct w:val="0"/>
                              <w:spacing w:line="362" w:lineRule="exact"/>
                            </w:pPr>
                            <w:r>
                              <w:rPr>
                                <w:rFonts w:hint="eastAsia"/>
                                <w:spacing w:val="1"/>
                              </w:rPr>
                              <w:t xml:space="preserve"> </w:t>
                            </w:r>
                            <w:r>
                              <w:fldChar w:fldCharType="begin"/>
                            </w:r>
                            <w:r>
                              <w:instrText xml:space="preserve"> eq \o\ad(</w:instrText>
                            </w:r>
                            <w:r>
                              <w:rPr>
                                <w:rFonts w:hint="eastAsia"/>
                              </w:rPr>
                              <w:instrText>近畿</w:instrText>
                            </w:r>
                            <w:r>
                              <w:rPr>
                                <w:rFonts w:hint="eastAsia"/>
                              </w:rPr>
                              <w:instrText>,</w:instrText>
                            </w:r>
                            <w:r>
                              <w:rPr>
                                <w:rFonts w:hint="eastAsia"/>
                                <w:w w:val="50"/>
                              </w:rPr>
                              <w:instrText xml:space="preserve">　　　　　　</w:instrText>
                            </w:r>
                            <w:r>
                              <w:rPr>
                                <w:rFonts w:hint="eastAsia"/>
                              </w:rPr>
                              <w:instrText>)</w:instrText>
                            </w:r>
                            <w:r>
                              <w:fldChar w:fldCharType="end"/>
                            </w:r>
                          </w:p>
                          <w:p w14:paraId="5CCD6D16" w14:textId="77777777" w:rsidR="006A5267" w:rsidRDefault="006A5267" w:rsidP="008B4B2B">
                            <w:pPr>
                              <w:kinsoku w:val="0"/>
                              <w:wordWrap w:val="0"/>
                              <w:overflowPunct w:val="0"/>
                              <w:spacing w:line="362" w:lineRule="exact"/>
                            </w:pPr>
                          </w:p>
                          <w:p w14:paraId="4FDECFC4" w14:textId="77777777" w:rsidR="006A5267" w:rsidRDefault="006A5267" w:rsidP="008B4B2B">
                            <w:pPr>
                              <w:kinsoku w:val="0"/>
                              <w:wordWrap w:val="0"/>
                              <w:overflowPunct w:val="0"/>
                              <w:spacing w:line="362" w:lineRule="exact"/>
                            </w:pPr>
                            <w:r>
                              <w:rPr>
                                <w:rFonts w:hint="eastAsia"/>
                                <w:spacing w:val="1"/>
                              </w:rPr>
                              <w:t xml:space="preserve"> </w:t>
                            </w:r>
                            <w:r>
                              <w:fldChar w:fldCharType="begin"/>
                            </w:r>
                            <w:r>
                              <w:instrText xml:space="preserve"> eq \o\ad(</w:instrText>
                            </w:r>
                            <w:r>
                              <w:rPr>
                                <w:rFonts w:hint="eastAsia"/>
                              </w:rPr>
                              <w:instrText>地方</w:instrText>
                            </w:r>
                            <w:r>
                              <w:rPr>
                                <w:rFonts w:hint="eastAsia"/>
                              </w:rPr>
                              <w:instrText>,</w:instrText>
                            </w:r>
                            <w:r>
                              <w:rPr>
                                <w:rFonts w:hint="eastAsia"/>
                                <w:w w:val="50"/>
                              </w:rPr>
                              <w:instrText xml:space="preserve">　　　　　　</w:instrText>
                            </w:r>
                            <w:r>
                              <w:rPr>
                                <w:rFonts w:hint="eastAsia"/>
                              </w:rPr>
                              <w:instrText>)</w:instrText>
                            </w:r>
                            <w:r>
                              <w:fldChar w:fldCharType="end"/>
                            </w:r>
                          </w:p>
                          <w:p w14:paraId="31D565D3" w14:textId="77777777" w:rsidR="006A5267" w:rsidRDefault="006A5267" w:rsidP="008B4B2B">
                            <w:pPr>
                              <w:kinsoku w:val="0"/>
                              <w:wordWrap w:val="0"/>
                              <w:overflowPunct w:val="0"/>
                              <w:spacing w:line="362" w:lineRule="exact"/>
                            </w:pPr>
                          </w:p>
                          <w:p w14:paraId="62B01E66" w14:textId="77777777" w:rsidR="006A5267" w:rsidRDefault="006A5267" w:rsidP="008B4B2B">
                            <w:pPr>
                              <w:kinsoku w:val="0"/>
                              <w:wordWrap w:val="0"/>
                              <w:overflowPunct w:val="0"/>
                              <w:spacing w:line="362" w:lineRule="exact"/>
                            </w:pPr>
                            <w:r>
                              <w:rPr>
                                <w:rFonts w:hint="eastAsia"/>
                                <w:spacing w:val="1"/>
                              </w:rPr>
                              <w:t xml:space="preserve"> </w:t>
                            </w:r>
                            <w:r>
                              <w:rPr>
                                <w:rFonts w:hint="eastAsia"/>
                              </w:rPr>
                              <w:t>整備局</w:t>
                            </w:r>
                          </w:p>
                          <w:p w14:paraId="198B2B97" w14:textId="77777777" w:rsidR="006A5267" w:rsidRDefault="006A5267" w:rsidP="008B4B2B">
                            <w:pPr>
                              <w:kinsoku w:val="0"/>
                              <w:wordWrap w:val="0"/>
                              <w:overflowPunct w:val="0"/>
                              <w:spacing w:line="362" w:lineRule="exact"/>
                            </w:pPr>
                          </w:p>
                          <w:p w14:paraId="0B13EEFD" w14:textId="77777777" w:rsidR="006A5267" w:rsidRDefault="006A5267" w:rsidP="008B4B2B">
                            <w:pPr>
                              <w:kinsoku w:val="0"/>
                              <w:wordWrap w:val="0"/>
                              <w:overflowPunct w:val="0"/>
                              <w:spacing w:line="362" w:lineRule="exact"/>
                            </w:pPr>
                          </w:p>
                          <w:p w14:paraId="16C41D0E" w14:textId="77777777" w:rsidR="006A5267" w:rsidRDefault="006A5267" w:rsidP="008B4B2B">
                            <w:pPr>
                              <w:kinsoku w:val="0"/>
                              <w:wordWrap w:val="0"/>
                              <w:overflowPunct w:val="0"/>
                              <w:spacing w:line="181" w:lineRule="exact"/>
                            </w:pPr>
                          </w:p>
                          <w:p w14:paraId="7C9B5DF3" w14:textId="77777777" w:rsidR="006A5267" w:rsidRDefault="006A5267" w:rsidP="008B4B2B">
                            <w:pPr>
                              <w:wordWrap w:val="0"/>
                              <w:spacing w:line="0" w:lineRule="atLeast"/>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shape w14:anchorId="6B3847D2" id="Text Box 3250" o:spid="_x0000_s1768" type="#_x0000_t202" style="position:absolute;left:0;text-align:left;margin-left:315pt;margin-top:11.2pt;width:42.4pt;height:162.9pt;z-index:2537973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" filled="f" fillcolor="black" strokeweight=".5pt">
                <v:path arrowok="t"/>
                <v:textbox inset="0,0,0,0">
                  <w:txbxContent>
                    <w:p w14:paraId="756BDC8F" w14:textId="77777777" w:rsidR="006A5267" w:rsidRDefault="006A5267" w:rsidP="008B4B2B">
                      <w:pPr>
                        <w:kinsoku w:val="0"/>
                        <w:wordWrap w:val="0"/>
                        <w:overflowPunct w:val="0"/>
                        <w:spacing w:line="181" w:lineRule="exact"/>
                      </w:pPr>
                    </w:p>
                    <w:p w14:paraId="45F94A7E" w14:textId="77777777" w:rsidR="006A5267" w:rsidRDefault="006A5267" w:rsidP="008B4B2B">
                      <w:pPr>
                        <w:kinsoku w:val="0"/>
                        <w:wordWrap w:val="0"/>
                        <w:overflowPunct w:val="0"/>
                        <w:spacing w:line="362" w:lineRule="exact"/>
                      </w:pPr>
                    </w:p>
                    <w:p w14:paraId="07AB9706" w14:textId="77777777" w:rsidR="006A5267" w:rsidRDefault="006A5267" w:rsidP="008B4B2B">
                      <w:pPr>
                        <w:kinsoku w:val="0"/>
                        <w:wordWrap w:val="0"/>
                        <w:overflowPunct w:val="0"/>
                        <w:spacing w:line="362" w:lineRule="exact"/>
                      </w:pPr>
                      <w:r>
                        <w:rPr>
                          <w:rFonts w:hint="eastAsia"/>
                          <w:spacing w:val="1"/>
                        </w:rPr>
                        <w:t xml:space="preserve"> </w:t>
                      </w:r>
                      <w:r>
                        <w:fldChar w:fldCharType="begin"/>
                      </w:r>
                      <w:r>
                        <w:instrText xml:space="preserve"> eq \o\ad(</w:instrText>
                      </w:r>
                      <w:r>
                        <w:rPr>
                          <w:rFonts w:hint="eastAsia"/>
                        </w:rPr>
                        <w:instrText>近畿</w:instrText>
                      </w:r>
                      <w:r>
                        <w:rPr>
                          <w:rFonts w:hint="eastAsia"/>
                        </w:rPr>
                        <w:instrText>,</w:instrText>
                      </w:r>
                      <w:r>
                        <w:rPr>
                          <w:rFonts w:hint="eastAsia"/>
                          <w:w w:val="50"/>
                        </w:rPr>
                        <w:instrText xml:space="preserve">　　　　　　</w:instrText>
                      </w:r>
                      <w:r>
                        <w:rPr>
                          <w:rFonts w:hint="eastAsia"/>
                        </w:rPr>
                        <w:instrText>)</w:instrText>
                      </w:r>
                      <w:r>
                        <w:fldChar w:fldCharType="end"/>
                      </w:r>
                    </w:p>
                    <w:p w14:paraId="5CCD6D16" w14:textId="77777777" w:rsidR="006A5267" w:rsidRDefault="006A5267" w:rsidP="008B4B2B">
                      <w:pPr>
                        <w:kinsoku w:val="0"/>
                        <w:wordWrap w:val="0"/>
                        <w:overflowPunct w:val="0"/>
                        <w:spacing w:line="362" w:lineRule="exact"/>
                      </w:pPr>
                    </w:p>
                    <w:p w14:paraId="4FDECFC4" w14:textId="77777777" w:rsidR="006A5267" w:rsidRDefault="006A5267" w:rsidP="008B4B2B">
                      <w:pPr>
                        <w:kinsoku w:val="0"/>
                        <w:wordWrap w:val="0"/>
                        <w:overflowPunct w:val="0"/>
                        <w:spacing w:line="362" w:lineRule="exact"/>
                      </w:pPr>
                      <w:r>
                        <w:rPr>
                          <w:rFonts w:hint="eastAsia"/>
                          <w:spacing w:val="1"/>
                        </w:rPr>
                        <w:t xml:space="preserve"> </w:t>
                      </w:r>
                      <w:r>
                        <w:fldChar w:fldCharType="begin"/>
                      </w:r>
                      <w:r>
                        <w:instrText xml:space="preserve"> eq \o\ad(</w:instrText>
                      </w:r>
                      <w:r>
                        <w:rPr>
                          <w:rFonts w:hint="eastAsia"/>
                        </w:rPr>
                        <w:instrText>地方</w:instrText>
                      </w:r>
                      <w:r>
                        <w:rPr>
                          <w:rFonts w:hint="eastAsia"/>
                        </w:rPr>
                        <w:instrText>,</w:instrText>
                      </w:r>
                      <w:r>
                        <w:rPr>
                          <w:rFonts w:hint="eastAsia"/>
                          <w:w w:val="50"/>
                        </w:rPr>
                        <w:instrText xml:space="preserve">　　　　　　</w:instrText>
                      </w:r>
                      <w:r>
                        <w:rPr>
                          <w:rFonts w:hint="eastAsia"/>
                        </w:rPr>
                        <w:instrText>)</w:instrText>
                      </w:r>
                      <w:r>
                        <w:fldChar w:fldCharType="end"/>
                      </w:r>
                    </w:p>
                    <w:p w14:paraId="31D565D3" w14:textId="77777777" w:rsidR="006A5267" w:rsidRDefault="006A5267" w:rsidP="008B4B2B">
                      <w:pPr>
                        <w:kinsoku w:val="0"/>
                        <w:wordWrap w:val="0"/>
                        <w:overflowPunct w:val="0"/>
                        <w:spacing w:line="362" w:lineRule="exact"/>
                      </w:pPr>
                    </w:p>
                    <w:p w14:paraId="62B01E66" w14:textId="77777777" w:rsidR="006A5267" w:rsidRDefault="006A5267" w:rsidP="008B4B2B">
                      <w:pPr>
                        <w:kinsoku w:val="0"/>
                        <w:wordWrap w:val="0"/>
                        <w:overflowPunct w:val="0"/>
                        <w:spacing w:line="362" w:lineRule="exact"/>
                      </w:pPr>
                      <w:r>
                        <w:rPr>
                          <w:rFonts w:hint="eastAsia"/>
                          <w:spacing w:val="1"/>
                        </w:rPr>
                        <w:t xml:space="preserve"> </w:t>
                      </w:r>
                      <w:r>
                        <w:rPr>
                          <w:rFonts w:hint="eastAsia"/>
                        </w:rPr>
                        <w:t>整備局</w:t>
                      </w:r>
                    </w:p>
                    <w:p w14:paraId="198B2B97" w14:textId="77777777" w:rsidR="006A5267" w:rsidRDefault="006A5267" w:rsidP="008B4B2B">
                      <w:pPr>
                        <w:kinsoku w:val="0"/>
                        <w:wordWrap w:val="0"/>
                        <w:overflowPunct w:val="0"/>
                        <w:spacing w:line="362" w:lineRule="exact"/>
                      </w:pPr>
                    </w:p>
                    <w:p w14:paraId="0B13EEFD" w14:textId="77777777" w:rsidR="006A5267" w:rsidRDefault="006A5267" w:rsidP="008B4B2B">
                      <w:pPr>
                        <w:kinsoku w:val="0"/>
                        <w:wordWrap w:val="0"/>
                        <w:overflowPunct w:val="0"/>
                        <w:spacing w:line="362" w:lineRule="exact"/>
                      </w:pPr>
                    </w:p>
                    <w:p w14:paraId="16C41D0E" w14:textId="77777777" w:rsidR="006A5267" w:rsidRDefault="006A5267" w:rsidP="008B4B2B">
                      <w:pPr>
                        <w:kinsoku w:val="0"/>
                        <w:wordWrap w:val="0"/>
                        <w:overflowPunct w:val="0"/>
                        <w:spacing w:line="181" w:lineRule="exact"/>
                      </w:pPr>
                    </w:p>
                    <w:p w14:paraId="7C9B5DF3" w14:textId="77777777" w:rsidR="006A5267" w:rsidRDefault="006A5267" w:rsidP="008B4B2B">
                      <w:pPr>
                        <w:wordWrap w:val="0"/>
                        <w:spacing w:line="0" w:lineRule="atLeast"/>
                      </w:pPr>
                    </w:p>
                  </w:txbxContent>
                </v:textbox>
              </v:shape>
            </w:pict>
          </mc:Fallback>
        </mc:AlternateContent>
      </w:r>
    </w:p>
    <w:p w14:paraId="65CF8011" w14:textId="77777777" w:rsidR="008B4B2B" w:rsidRPr="001D6D10" w:rsidRDefault="008B4B2B" w:rsidP="008B4B2B">
      <w:pPr>
        <w:wordWrap w:val="0"/>
        <w:spacing w:line="362" w:lineRule="exact"/>
        <w:ind w:left="1075" w:right="97"/>
      </w:pPr>
    </w:p>
    <w:p w14:paraId="6470E6E9" w14:textId="77777777" w:rsidR="008B4B2B" w:rsidRPr="001D6D10" w:rsidRDefault="008B4B2B" w:rsidP="008B4B2B">
      <w:pPr>
        <w:wordWrap w:val="0"/>
        <w:spacing w:line="181" w:lineRule="exact"/>
        <w:ind w:left="1075" w:right="97"/>
      </w:pPr>
      <w:r w:rsidRPr="001D6D10">
        <w:rPr>
          <w:noProof/>
          <w:sz w:val="20"/>
        </w:rPr>
        <mc:AlternateContent>
          <mc:Choice Requires="wps">
            <w:drawing>
              <wp:anchor distT="0" distB="0" distL="114300" distR="114300" simplePos="0" relativeHeight="253798400" behindDoc="0" locked="0" layoutInCell="1" allowOverlap="1" wp14:anchorId="471F9CA0" wp14:editId="2FF062C8">
                <wp:simplePos x="0" y="0"/>
                <wp:positionH relativeFrom="column">
                  <wp:posOffset>1513840</wp:posOffset>
                </wp:positionH>
                <wp:positionV relativeFrom="paragraph">
                  <wp:posOffset>33020</wp:posOffset>
                </wp:positionV>
                <wp:extent cx="2486660" cy="0"/>
                <wp:effectExtent l="8890" t="61595" r="19050" b="62230"/>
                <wp:wrapNone/>
                <wp:docPr id="3717" name="Line 325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2486660" cy="0"/>
                        </a:xfrm>
                        <a:prstGeom prst="line">
                          <a:avLst/>
                        </a:prstGeom>
                        <a:noFill/>
                        <a:ln w="9525">
                          <a:solidFill>
                            <a:srgbClr val="000000"/>
                          </a:solidFill>
                          <a:round/>
                          <a:headEnd/>
                          <a:tailEnd type="arrow" w="sm" len="sm"/>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line w14:anchorId="36832CA8" id="Line 3251" o:spid="_x0000_s1026" style="position:absolute;left:0;text-align:left;flip:y;z-index:2537984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19.2pt,2.6pt" to="315pt,2.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">
                <v:stroke endarrow="open" endarrowwidth="narrow" endarrowlength="short"/>
              </v:line>
            </w:pict>
          </mc:Fallback>
        </mc:AlternateContent>
      </w:r>
    </w:p>
    <w:p w14:paraId="5A577792" w14:textId="77777777" w:rsidR="008B4B2B" w:rsidRPr="001D6D10" w:rsidRDefault="008B4B2B" w:rsidP="008B4B2B">
      <w:pPr>
        <w:wordWrap w:val="0"/>
        <w:overflowPunct w:val="0"/>
        <w:spacing w:line="362" w:lineRule="exact"/>
        <w:ind w:right="97"/>
      </w:pPr>
    </w:p>
    <w:p w14:paraId="689310B3" w14:textId="77777777" w:rsidR="008B4B2B" w:rsidRPr="001D6D10" w:rsidRDefault="008B4B2B" w:rsidP="008B4B2B">
      <w:pPr>
        <w:wordWrap w:val="0"/>
        <w:overflowPunct w:val="0"/>
        <w:spacing w:line="362" w:lineRule="exact"/>
        <w:ind w:right="97"/>
      </w:pPr>
      <w:r w:rsidRPr="001D6D10">
        <w:rPr>
          <w:noProof/>
          <w:sz w:val="20"/>
        </w:rPr>
        <mc:AlternateContent>
          <mc:Choice Requires="wps">
            <w:drawing>
              <wp:anchor distT="0" distB="0" distL="114300" distR="114300" simplePos="0" relativeHeight="253799424" behindDoc="0" locked="0" layoutInCell="1" allowOverlap="1" wp14:anchorId="02158A92" wp14:editId="340A6BAC">
                <wp:simplePos x="0" y="0"/>
                <wp:positionH relativeFrom="column">
                  <wp:posOffset>2971800</wp:posOffset>
                </wp:positionH>
                <wp:positionV relativeFrom="paragraph">
                  <wp:posOffset>23495</wp:posOffset>
                </wp:positionV>
                <wp:extent cx="775335" cy="2068830"/>
                <wp:effectExtent l="9525" t="13970" r="5715" b="12700"/>
                <wp:wrapNone/>
                <wp:docPr id="3716" name="Text Box 325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775335" cy="2068830"/>
                        </a:xfrm>
                        <a:prstGeom prst="rect">
                          <a:avLst/>
                        </a:prstGeom>
                        <a:noFill/>
                        <a:ln w="6350">
                          <a:solidFill>
                            <a:srgbClr val="000000"/>
                          </a:solidFill>
                          <a:miter lim="800000"/>
                          <a:headEnd/>
                          <a:tailEnd/>
                        </a:ln>
                        <a:extLst>
                          <a:ext uri="{909E8E84-426E-40DD-AFC4-6F175D3DCCD1}">
                            <a14:hiddenFill xmlns:a14="http://schemas.microsoft.com/office/drawing/2010/main">
                              <a:solidFill>
                                <a:srgbClr val="000000"/>
                              </a:solidFill>
                            </a14:hiddenFill>
                          </a:ext>
                        </a:extLst>
                      </wps:spPr>
                      <wps:txbx>
                        <w:txbxContent>
                          <w:p w14:paraId="3F345ED7" w14:textId="77777777" w:rsidR="006A5267" w:rsidRDefault="006A5267" w:rsidP="008B4B2B">
                            <w:pPr>
                              <w:kinsoku w:val="0"/>
                              <w:wordWrap w:val="0"/>
                              <w:overflowPunct w:val="0"/>
                              <w:spacing w:line="181" w:lineRule="exact"/>
                            </w:pPr>
                          </w:p>
                          <w:p w14:paraId="57273DF0" w14:textId="77777777" w:rsidR="006A5267" w:rsidRDefault="006A5267" w:rsidP="008B4B2B">
                            <w:pPr>
                              <w:kinsoku w:val="0"/>
                              <w:overflowPunct w:val="0"/>
                              <w:spacing w:line="362" w:lineRule="exact"/>
                              <w:jc w:val="center"/>
                            </w:pPr>
                            <w:r>
                              <w:rPr>
                                <w:rFonts w:hint="eastAsia"/>
                              </w:rPr>
                              <w:t>大阪府</w:t>
                            </w:r>
                          </w:p>
                          <w:p w14:paraId="1780063E" w14:textId="77777777" w:rsidR="006A5267" w:rsidRDefault="006A5267" w:rsidP="008B4B2B">
                            <w:pPr>
                              <w:kinsoku w:val="0"/>
                              <w:overflowPunct w:val="0"/>
                              <w:spacing w:line="362" w:lineRule="exact"/>
                              <w:jc w:val="center"/>
                            </w:pPr>
                          </w:p>
                          <w:p w14:paraId="257C3B23" w14:textId="77777777" w:rsidR="006A5267" w:rsidRPr="008D0CC4" w:rsidRDefault="006A5267" w:rsidP="008B4B2B">
                            <w:pPr>
                              <w:kinsoku w:val="0"/>
                              <w:overflowPunct w:val="0"/>
                              <w:spacing w:line="362" w:lineRule="exact"/>
                              <w:jc w:val="center"/>
                            </w:pPr>
                            <w:r w:rsidRPr="008D0CC4">
                              <w:rPr>
                                <w:rFonts w:hint="eastAsia"/>
                              </w:rPr>
                              <w:t>道路室</w:t>
                            </w:r>
                          </w:p>
                          <w:p w14:paraId="29F5738D" w14:textId="77777777" w:rsidR="006A5267" w:rsidRPr="00CC1AC7" w:rsidRDefault="006A5267" w:rsidP="008B4B2B">
                            <w:pPr>
                              <w:kinsoku w:val="0"/>
                              <w:overflowPunct w:val="0"/>
                              <w:spacing w:line="362" w:lineRule="exact"/>
                              <w:rPr>
                                <w:strike/>
                                <w:color w:val="FF0000"/>
                              </w:rPr>
                            </w:pPr>
                          </w:p>
                          <w:p w14:paraId="485EA6CA" w14:textId="77777777" w:rsidR="006A5267" w:rsidRDefault="006A5267" w:rsidP="008B4B2B">
                            <w:pPr>
                              <w:kinsoku w:val="0"/>
                              <w:wordWrap w:val="0"/>
                              <w:overflowPunct w:val="0"/>
                              <w:spacing w:line="362" w:lineRule="exact"/>
                            </w:pPr>
                          </w:p>
                          <w:p w14:paraId="7231608E" w14:textId="77777777" w:rsidR="006A5267" w:rsidRDefault="006A5267" w:rsidP="008B4B2B">
                            <w:pPr>
                              <w:pStyle w:val="21"/>
                              <w:jc w:val="center"/>
                            </w:pPr>
                            <w:r>
                              <w:rPr>
                                <w:rFonts w:hint="eastAsia"/>
                              </w:rPr>
                              <w:t>危機管理室</w:t>
                            </w:r>
                            <w:r>
                              <w:br/>
                            </w:r>
                          </w:p>
                          <w:p w14:paraId="6B522B3C" w14:textId="77777777" w:rsidR="006A5267" w:rsidRDefault="006A5267" w:rsidP="008B4B2B">
                            <w:pPr>
                              <w:pStyle w:val="21"/>
                            </w:pPr>
                          </w:p>
                          <w:p w14:paraId="4A517C2E" w14:textId="77777777" w:rsidR="006A5267" w:rsidRDefault="006A5267" w:rsidP="008B4B2B">
                            <w:pPr>
                              <w:pStyle w:val="21"/>
                            </w:pPr>
                          </w:p>
                          <w:p w14:paraId="3315D365" w14:textId="77777777" w:rsidR="006A5267" w:rsidRDefault="006A5267" w:rsidP="008B4B2B">
                            <w:pPr>
                              <w:pStyle w:val="21"/>
                              <w:jc w:val="center"/>
                            </w:pPr>
                            <w:r>
                              <w:rPr>
                                <w:rFonts w:hint="eastAsia"/>
                              </w:rPr>
                              <w:t>危機管理室</w:t>
                            </w:r>
                          </w:p>
                          <w:p w14:paraId="675B85A2" w14:textId="77777777" w:rsidR="006A5267" w:rsidRDefault="006A5267" w:rsidP="008B4B2B">
                            <w:pPr>
                              <w:kinsoku w:val="0"/>
                              <w:wordWrap w:val="0"/>
                              <w:overflowPunct w:val="0"/>
                              <w:spacing w:line="362" w:lineRule="exact"/>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shape w14:anchorId="02158A92" id="Text Box 3252" o:spid="_x0000_s1769" type="#_x0000_t202" style="position:absolute;left:0;text-align:left;margin-left:234pt;margin-top:1.85pt;width:61.05pt;height:162.9pt;z-index:2537994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" filled="f" fillcolor="black" strokeweight=".5pt">
                <v:path arrowok="t"/>
                <v:textbox inset="0,0,0,0">
                  <w:txbxContent>
                    <w:p w14:paraId="3F345ED7" w14:textId="77777777" w:rsidR="006A5267" w:rsidRDefault="006A5267" w:rsidP="008B4B2B">
                      <w:pPr>
                        <w:kinsoku w:val="0"/>
                        <w:wordWrap w:val="0"/>
                        <w:overflowPunct w:val="0"/>
                        <w:spacing w:line="181" w:lineRule="exact"/>
                      </w:pPr>
                    </w:p>
                    <w:p w14:paraId="57273DF0" w14:textId="77777777" w:rsidR="006A5267" w:rsidRDefault="006A5267" w:rsidP="008B4B2B">
                      <w:pPr>
                        <w:kinsoku w:val="0"/>
                        <w:overflowPunct w:val="0"/>
                        <w:spacing w:line="362" w:lineRule="exact"/>
                        <w:jc w:val="center"/>
                      </w:pPr>
                      <w:r>
                        <w:rPr>
                          <w:rFonts w:hint="eastAsia"/>
                        </w:rPr>
                        <w:t>大阪府</w:t>
                      </w:r>
                    </w:p>
                    <w:p w14:paraId="1780063E" w14:textId="77777777" w:rsidR="006A5267" w:rsidRDefault="006A5267" w:rsidP="008B4B2B">
                      <w:pPr>
                        <w:kinsoku w:val="0"/>
                        <w:overflowPunct w:val="0"/>
                        <w:spacing w:line="362" w:lineRule="exact"/>
                        <w:jc w:val="center"/>
                      </w:pPr>
                    </w:p>
                    <w:p w14:paraId="257C3B23" w14:textId="77777777" w:rsidR="006A5267" w:rsidRPr="008D0CC4" w:rsidRDefault="006A5267" w:rsidP="008B4B2B">
                      <w:pPr>
                        <w:kinsoku w:val="0"/>
                        <w:overflowPunct w:val="0"/>
                        <w:spacing w:line="362" w:lineRule="exact"/>
                        <w:jc w:val="center"/>
                      </w:pPr>
                      <w:r w:rsidRPr="008D0CC4">
                        <w:rPr>
                          <w:rFonts w:hint="eastAsia"/>
                        </w:rPr>
                        <w:t>道路室</w:t>
                      </w:r>
                    </w:p>
                    <w:p w14:paraId="29F5738D" w14:textId="77777777" w:rsidR="006A5267" w:rsidRPr="00CC1AC7" w:rsidRDefault="006A5267" w:rsidP="008B4B2B">
                      <w:pPr>
                        <w:kinsoku w:val="0"/>
                        <w:overflowPunct w:val="0"/>
                        <w:spacing w:line="362" w:lineRule="exact"/>
                        <w:rPr>
                          <w:strike/>
                          <w:color w:val="FF0000"/>
                        </w:rPr>
                      </w:pPr>
                    </w:p>
                    <w:p w14:paraId="485EA6CA" w14:textId="77777777" w:rsidR="006A5267" w:rsidRDefault="006A5267" w:rsidP="008B4B2B">
                      <w:pPr>
                        <w:kinsoku w:val="0"/>
                        <w:wordWrap w:val="0"/>
                        <w:overflowPunct w:val="0"/>
                        <w:spacing w:line="362" w:lineRule="exact"/>
                      </w:pPr>
                    </w:p>
                    <w:p w14:paraId="7231608E" w14:textId="77777777" w:rsidR="006A5267" w:rsidRDefault="006A5267" w:rsidP="008B4B2B">
                      <w:pPr>
                        <w:pStyle w:val="21"/>
                        <w:jc w:val="center"/>
                      </w:pPr>
                      <w:r>
                        <w:rPr>
                          <w:rFonts w:hint="eastAsia"/>
                        </w:rPr>
                        <w:t>危機管理室</w:t>
                      </w:r>
                      <w:r>
                        <w:br/>
                      </w:r>
                    </w:p>
                    <w:p w14:paraId="6B522B3C" w14:textId="77777777" w:rsidR="006A5267" w:rsidRDefault="006A5267" w:rsidP="008B4B2B">
                      <w:pPr>
                        <w:pStyle w:val="21"/>
                      </w:pPr>
                    </w:p>
                    <w:p w14:paraId="4A517C2E" w14:textId="77777777" w:rsidR="006A5267" w:rsidRDefault="006A5267" w:rsidP="008B4B2B">
                      <w:pPr>
                        <w:pStyle w:val="21"/>
                      </w:pPr>
                    </w:p>
                    <w:p w14:paraId="3315D365" w14:textId="77777777" w:rsidR="006A5267" w:rsidRDefault="006A5267" w:rsidP="008B4B2B">
                      <w:pPr>
                        <w:pStyle w:val="21"/>
                        <w:jc w:val="center"/>
                      </w:pPr>
                      <w:r>
                        <w:rPr>
                          <w:rFonts w:hint="eastAsia"/>
                        </w:rPr>
                        <w:t>危機管理室</w:t>
                      </w:r>
                    </w:p>
                    <w:p w14:paraId="675B85A2" w14:textId="77777777" w:rsidR="006A5267" w:rsidRDefault="006A5267" w:rsidP="008B4B2B">
                      <w:pPr>
                        <w:kinsoku w:val="0"/>
                        <w:wordWrap w:val="0"/>
                        <w:overflowPunct w:val="0"/>
                        <w:spacing w:line="362" w:lineRule="exact"/>
                      </w:pPr>
                    </w:p>
                  </w:txbxContent>
                </v:textbox>
              </v:shape>
            </w:pict>
          </mc:Fallback>
        </mc:AlternateContent>
      </w:r>
    </w:p>
    <w:p w14:paraId="6CF49C1C" w14:textId="77777777" w:rsidR="008B4B2B" w:rsidRPr="001D6D10" w:rsidRDefault="008B4B2B" w:rsidP="008B4B2B">
      <w:pPr>
        <w:wordWrap w:val="0"/>
        <w:overflowPunct w:val="0"/>
        <w:spacing w:line="362" w:lineRule="exact"/>
        <w:ind w:right="97"/>
      </w:pPr>
    </w:p>
    <w:p w14:paraId="7F15CC63" w14:textId="77777777" w:rsidR="008B4B2B" w:rsidRPr="001D6D10" w:rsidRDefault="008B4B2B" w:rsidP="008B4B2B">
      <w:pPr>
        <w:wordWrap w:val="0"/>
        <w:overflowPunct w:val="0"/>
        <w:spacing w:line="362" w:lineRule="exact"/>
        <w:ind w:right="97"/>
      </w:pPr>
      <w:r w:rsidRPr="001D6D10">
        <w:rPr>
          <w:noProof/>
          <w:sz w:val="20"/>
        </w:rPr>
        <mc:AlternateContent>
          <mc:Choice Requires="wps">
            <w:drawing>
              <wp:anchor distT="0" distB="0" distL="114300" distR="114300" simplePos="0" relativeHeight="253800448" behindDoc="0" locked="0" layoutInCell="1" allowOverlap="1" wp14:anchorId="158B3920" wp14:editId="0ED1773C">
                <wp:simplePos x="0" y="0"/>
                <wp:positionH relativeFrom="column">
                  <wp:posOffset>2971800</wp:posOffset>
                </wp:positionH>
                <wp:positionV relativeFrom="paragraph">
                  <wp:posOffset>20955</wp:posOffset>
                </wp:positionV>
                <wp:extent cx="775335" cy="0"/>
                <wp:effectExtent l="9525" t="11430" r="5715" b="7620"/>
                <wp:wrapNone/>
                <wp:docPr id="3715" name="Line 325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77533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line w14:anchorId="559C744A" id="Line 3253" o:spid="_x0000_s1026" style="position:absolute;left:0;text-align:left;z-index:2538004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34pt,1.65pt" to="295.05pt,1.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"/>
            </w:pict>
          </mc:Fallback>
        </mc:AlternateContent>
      </w:r>
      <w:r w:rsidRPr="001D6D10">
        <w:rPr>
          <w:noProof/>
          <w:sz w:val="20"/>
        </w:rPr>
        <mc:AlternateContent>
          <mc:Choice Requires="wps">
            <w:drawing>
              <wp:anchor distT="0" distB="0" distL="114300" distR="114300" simplePos="0" relativeHeight="253815808" behindDoc="0" locked="0" layoutInCell="1" allowOverlap="1" wp14:anchorId="46063FF5" wp14:editId="14D7F2CB">
                <wp:simplePos x="0" y="0"/>
                <wp:positionH relativeFrom="column">
                  <wp:posOffset>1513840</wp:posOffset>
                </wp:positionH>
                <wp:positionV relativeFrom="paragraph">
                  <wp:posOffset>135255</wp:posOffset>
                </wp:positionV>
                <wp:extent cx="1457960" cy="0"/>
                <wp:effectExtent l="8890" t="59055" r="19050" b="64770"/>
                <wp:wrapNone/>
                <wp:docPr id="3714" name="Line 326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457960" cy="0"/>
                        </a:xfrm>
                        <a:prstGeom prst="line">
                          <a:avLst/>
                        </a:prstGeom>
                        <a:noFill/>
                        <a:ln w="9525">
                          <a:solidFill>
                            <a:srgbClr val="000000"/>
                          </a:solidFill>
                          <a:round/>
                          <a:headEnd/>
                          <a:tailEnd type="arrow" w="sm" len="sm"/>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line w14:anchorId="2E96BBD4" id="Line 3267" o:spid="_x0000_s1026" style="position:absolute;left:0;text-align:left;z-index:2538158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19.2pt,10.65pt" to="234pt,10.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">
                <v:stroke endarrow="open" endarrowwidth="narrow" endarrowlength="short"/>
              </v:line>
            </w:pict>
          </mc:Fallback>
        </mc:AlternateContent>
      </w:r>
    </w:p>
    <w:p w14:paraId="024EF9AA" w14:textId="77777777" w:rsidR="008B4B2B" w:rsidRPr="001D6D10" w:rsidRDefault="008B4B2B" w:rsidP="008B4B2B">
      <w:pPr>
        <w:wordWrap w:val="0"/>
        <w:overflowPunct w:val="0"/>
        <w:spacing w:line="362" w:lineRule="exact"/>
        <w:ind w:right="97"/>
      </w:pPr>
      <w:r w:rsidRPr="001D6D10">
        <w:rPr>
          <w:noProof/>
          <w:sz w:val="20"/>
        </w:rPr>
        <mc:AlternateContent>
          <mc:Choice Requires="wps">
            <w:drawing>
              <wp:anchor distT="0" distB="0" distL="114300" distR="114300" simplePos="0" relativeHeight="253803520" behindDoc="0" locked="0" layoutInCell="1" allowOverlap="1" wp14:anchorId="72715AB0" wp14:editId="3B8A1FDA">
                <wp:simplePos x="0" y="0"/>
                <wp:positionH relativeFrom="column">
                  <wp:posOffset>3747135</wp:posOffset>
                </wp:positionH>
                <wp:positionV relativeFrom="paragraph">
                  <wp:posOffset>17780</wp:posOffset>
                </wp:positionV>
                <wp:extent cx="253365" cy="0"/>
                <wp:effectExtent l="22860" t="65405" r="19050" b="67945"/>
                <wp:wrapNone/>
                <wp:docPr id="3713" name="Line 325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53365" cy="0"/>
                        </a:xfrm>
                        <a:prstGeom prst="line">
                          <a:avLst/>
                        </a:prstGeom>
                        <a:noFill/>
                        <a:ln w="9525">
                          <a:solidFill>
                            <a:srgbClr val="000000"/>
                          </a:solidFill>
                          <a:round/>
                          <a:headEnd type="arrow" w="sm" len="sm"/>
                          <a:tailEnd type="arrow" w="sm" len="sm"/>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line w14:anchorId="4250F66C" id="Line 3256" o:spid="_x0000_s1026" style="position:absolute;left:0;text-align:left;z-index:2538035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95.05pt,1.4pt" to="315pt,1.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">
                <v:stroke startarrow="open" startarrowwidth="narrow" startarrowlength="short" endarrow="open" endarrowwidth="narrow" endarrowlength="short"/>
              </v:line>
            </w:pict>
          </mc:Fallback>
        </mc:AlternateContent>
      </w:r>
    </w:p>
    <w:p w14:paraId="2ACCA070" w14:textId="77777777" w:rsidR="008B4B2B" w:rsidRPr="001D6D10" w:rsidRDefault="008B4B2B" w:rsidP="008B4B2B">
      <w:pPr>
        <w:wordWrap w:val="0"/>
        <w:overflowPunct w:val="0"/>
        <w:spacing w:line="362" w:lineRule="exact"/>
        <w:ind w:right="97"/>
      </w:pPr>
      <w:r w:rsidRPr="001D6D10">
        <w:rPr>
          <w:noProof/>
          <w:sz w:val="20"/>
        </w:rPr>
        <mc:AlternateContent>
          <mc:Choice Requires="wps">
            <w:drawing>
              <wp:anchor distT="0" distB="0" distL="114300" distR="114300" simplePos="0" relativeHeight="253801472" behindDoc="0" locked="0" layoutInCell="1" allowOverlap="1" wp14:anchorId="7D62EB3E" wp14:editId="3CF4BA53">
                <wp:simplePos x="0" y="0"/>
                <wp:positionH relativeFrom="column">
                  <wp:posOffset>2971800</wp:posOffset>
                </wp:positionH>
                <wp:positionV relativeFrom="paragraph">
                  <wp:posOffset>132715</wp:posOffset>
                </wp:positionV>
                <wp:extent cx="775335" cy="0"/>
                <wp:effectExtent l="9525" t="8890" r="5715" b="10160"/>
                <wp:wrapNone/>
                <wp:docPr id="3712" name="Line 325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775335" cy="0"/>
                        </a:xfrm>
                        <a:prstGeom prst="line">
                          <a:avLst/>
                        </a:prstGeom>
                        <a:noFill/>
                        <a:ln w="9525">
                          <a:solidFill>
                            <a:srgbClr val="000000"/>
                          </a:solidFill>
                          <a:prstDash val="sysDot"/>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line w14:anchorId="56F51ED3" id="Line 3254" o:spid="_x0000_s1026" style="position:absolute;left:0;text-align:left;z-index:2538014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34pt,10.45pt" to="295.05pt,10.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">
                <v:stroke dashstyle="1 1"/>
              </v:line>
            </w:pict>
          </mc:Fallback>
        </mc:AlternateContent>
      </w:r>
    </w:p>
    <w:p w14:paraId="0733AC94" w14:textId="77777777" w:rsidR="008B4B2B" w:rsidRPr="001D6D10" w:rsidRDefault="008B4B2B" w:rsidP="008B4B2B">
      <w:pPr>
        <w:wordWrap w:val="0"/>
        <w:overflowPunct w:val="0"/>
        <w:spacing w:line="362" w:lineRule="exact"/>
        <w:ind w:right="97"/>
      </w:pPr>
      <w:r w:rsidRPr="001D6D10">
        <w:rPr>
          <w:noProof/>
          <w:sz w:val="20"/>
        </w:rPr>
        <mc:AlternateContent>
          <mc:Choice Requires="wps">
            <w:drawing>
              <wp:anchor distT="0" distB="0" distL="114300" distR="114300" simplePos="0" relativeHeight="253809664" behindDoc="0" locked="0" layoutInCell="1" allowOverlap="1" wp14:anchorId="0CFA74C5" wp14:editId="139CCA9C">
                <wp:simplePos x="0" y="0"/>
                <wp:positionH relativeFrom="column">
                  <wp:posOffset>1513840</wp:posOffset>
                </wp:positionH>
                <wp:positionV relativeFrom="paragraph">
                  <wp:posOffset>17145</wp:posOffset>
                </wp:positionV>
                <wp:extent cx="429260" cy="0"/>
                <wp:effectExtent l="8890" t="64770" r="19050" b="59055"/>
                <wp:wrapNone/>
                <wp:docPr id="3711" name="Line 326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29260" cy="0"/>
                        </a:xfrm>
                        <a:prstGeom prst="line">
                          <a:avLst/>
                        </a:prstGeom>
                        <a:noFill/>
                        <a:ln w="9525">
                          <a:solidFill>
                            <a:srgbClr val="000000"/>
                          </a:solidFill>
                          <a:round/>
                          <a:headEnd/>
                          <a:tailEnd type="arrow" w="sm" len="sm"/>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line w14:anchorId="4640858C" id="Line 3262" o:spid="_x0000_s1026" style="position:absolute;left:0;text-align:left;z-index:2538096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19.2pt,1.35pt" to="153pt,1.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">
                <v:stroke endarrow="open" endarrowwidth="narrow" endarrowlength="short"/>
              </v:line>
            </w:pict>
          </mc:Fallback>
        </mc:AlternateContent>
      </w:r>
      <w:r w:rsidRPr="001D6D10">
        <w:rPr>
          <w:noProof/>
          <w:sz w:val="20"/>
        </w:rPr>
        <mc:AlternateContent>
          <mc:Choice Requires="wps">
            <w:drawing>
              <wp:anchor distT="0" distB="0" distL="114300" distR="114300" simplePos="0" relativeHeight="253802496" behindDoc="0" locked="0" layoutInCell="1" allowOverlap="1" wp14:anchorId="6066B4B6" wp14:editId="01158EF4">
                <wp:simplePos x="0" y="0"/>
                <wp:positionH relativeFrom="column">
                  <wp:posOffset>1943100</wp:posOffset>
                </wp:positionH>
                <wp:positionV relativeFrom="paragraph">
                  <wp:posOffset>-325755</wp:posOffset>
                </wp:positionV>
                <wp:extent cx="685800" cy="571500"/>
                <wp:effectExtent l="9525" t="7620" r="9525" b="11430"/>
                <wp:wrapNone/>
                <wp:docPr id="3710" name="Text Box 325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685800" cy="571500"/>
                        </a:xfrm>
                        <a:prstGeom prst="rect">
                          <a:avLst/>
                        </a:prstGeom>
                        <a:noFill/>
                        <a:ln w="6350">
                          <a:solidFill>
                            <a:srgbClr val="000000"/>
                          </a:solidFill>
                          <a:miter lim="800000"/>
                          <a:headEnd/>
                          <a:tailEnd/>
                        </a:ln>
                        <a:extLst>
                          <a:ext uri="{909E8E84-426E-40DD-AFC4-6F175D3DCCD1}">
                            <a14:hiddenFill xmlns:a14="http://schemas.microsoft.com/office/drawing/2010/main">
                              <a:solidFill>
                                <a:srgbClr val="000000"/>
                              </a:solidFill>
                            </a14:hiddenFill>
                          </a:ext>
                        </a:extLst>
                      </wps:spPr>
                      <wps:txbx>
                        <w:txbxContent>
                          <w:p w14:paraId="6F3C5047" w14:textId="77777777" w:rsidR="006A5267" w:rsidRDefault="006A5267" w:rsidP="008B4B2B">
                            <w:pPr>
                              <w:kinsoku w:val="0"/>
                              <w:wordWrap w:val="0"/>
                              <w:overflowPunct w:val="0"/>
                              <w:spacing w:line="181" w:lineRule="exact"/>
                            </w:pPr>
                          </w:p>
                          <w:p w14:paraId="77E0AC59" w14:textId="77777777" w:rsidR="006A5267" w:rsidRDefault="006A5267" w:rsidP="008B4B2B">
                            <w:pPr>
                              <w:kinsoku w:val="0"/>
                              <w:overflowPunct w:val="0"/>
                              <w:spacing w:line="362" w:lineRule="exact"/>
                              <w:jc w:val="center"/>
                              <w:rPr>
                                <w:spacing w:val="1"/>
                              </w:rPr>
                            </w:pPr>
                            <w:r>
                              <w:rPr>
                                <w:rFonts w:hint="eastAsia"/>
                                <w:spacing w:val="1"/>
                              </w:rPr>
                              <w:t>市町村</w:t>
                            </w:r>
                          </w:p>
                          <w:p w14:paraId="0140DC94" w14:textId="77777777" w:rsidR="006A5267" w:rsidRDefault="006A5267" w:rsidP="008B4B2B">
                            <w:pPr>
                              <w:wordWrap w:val="0"/>
                              <w:spacing w:line="0" w:lineRule="atLeast"/>
                              <w:jc w:val="center"/>
                            </w:pPr>
                            <w:r>
                              <w:rPr>
                                <w:rFonts w:hint="eastAsia"/>
                              </w:rPr>
                              <w:t>消防本部</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shape w14:anchorId="6066B4B6" id="Text Box 3255" o:spid="_x0000_s1770" type="#_x0000_t202" style="position:absolute;left:0;text-align:left;margin-left:153pt;margin-top:-25.65pt;width:54pt;height:45pt;z-index:2538024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" filled="f" fillcolor="black" strokeweight=".5pt">
                <v:path arrowok="t"/>
                <v:textbox inset="0,0,0,0">
                  <w:txbxContent>
                    <w:p w14:paraId="6F3C5047" w14:textId="77777777" w:rsidR="006A5267" w:rsidRDefault="006A5267" w:rsidP="008B4B2B">
                      <w:pPr>
                        <w:kinsoku w:val="0"/>
                        <w:wordWrap w:val="0"/>
                        <w:overflowPunct w:val="0"/>
                        <w:spacing w:line="181" w:lineRule="exact"/>
                      </w:pPr>
                    </w:p>
                    <w:p w14:paraId="77E0AC59" w14:textId="77777777" w:rsidR="006A5267" w:rsidRDefault="006A5267" w:rsidP="008B4B2B">
                      <w:pPr>
                        <w:kinsoku w:val="0"/>
                        <w:overflowPunct w:val="0"/>
                        <w:spacing w:line="362" w:lineRule="exact"/>
                        <w:jc w:val="center"/>
                        <w:rPr>
                          <w:spacing w:val="1"/>
                        </w:rPr>
                      </w:pPr>
                      <w:r>
                        <w:rPr>
                          <w:rFonts w:hint="eastAsia"/>
                          <w:spacing w:val="1"/>
                        </w:rPr>
                        <w:t>市町村</w:t>
                      </w:r>
                    </w:p>
                    <w:p w14:paraId="0140DC94" w14:textId="77777777" w:rsidR="006A5267" w:rsidRDefault="006A5267" w:rsidP="008B4B2B">
                      <w:pPr>
                        <w:wordWrap w:val="0"/>
                        <w:spacing w:line="0" w:lineRule="atLeast"/>
                        <w:jc w:val="center"/>
                      </w:pPr>
                      <w:r>
                        <w:rPr>
                          <w:rFonts w:hint="eastAsia"/>
                        </w:rPr>
                        <w:t>消防本部</w:t>
                      </w:r>
                    </w:p>
                  </w:txbxContent>
                </v:textbox>
              </v:shape>
            </w:pict>
          </mc:Fallback>
        </mc:AlternateContent>
      </w:r>
      <w:r w:rsidRPr="001D6D10">
        <w:rPr>
          <w:noProof/>
          <w:sz w:val="20"/>
        </w:rPr>
        <mc:AlternateContent>
          <mc:Choice Requires="wps">
            <w:drawing>
              <wp:anchor distT="0" distB="0" distL="114300" distR="114300" simplePos="0" relativeHeight="253805568" behindDoc="0" locked="0" layoutInCell="1" allowOverlap="1" wp14:anchorId="4094F542" wp14:editId="3319D6AC">
                <wp:simplePos x="0" y="0"/>
                <wp:positionH relativeFrom="column">
                  <wp:posOffset>2628900</wp:posOffset>
                </wp:positionH>
                <wp:positionV relativeFrom="paragraph">
                  <wp:posOffset>17145</wp:posOffset>
                </wp:positionV>
                <wp:extent cx="342900" cy="0"/>
                <wp:effectExtent l="19050" t="64770" r="19050" b="59055"/>
                <wp:wrapNone/>
                <wp:docPr id="3709" name="Line 325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2900" cy="0"/>
                        </a:xfrm>
                        <a:prstGeom prst="line">
                          <a:avLst/>
                        </a:prstGeom>
                        <a:noFill/>
                        <a:ln w="9525">
                          <a:solidFill>
                            <a:srgbClr val="000000"/>
                          </a:solidFill>
                          <a:round/>
                          <a:headEnd type="arrow" w="sm" len="sm"/>
                          <a:tailEnd type="arrow" w="sm" len="sm"/>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line w14:anchorId="26AE4DF8" id="Line 3258" o:spid="_x0000_s1026" style="position:absolute;left:0;text-align:left;z-index:2538055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07pt,1.35pt" to="234pt,1.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">
                <v:stroke startarrow="open" startarrowwidth="narrow" startarrowlength="short" endarrow="open" endarrowwidth="narrow" endarrowlength="short"/>
              </v:line>
            </w:pict>
          </mc:Fallback>
        </mc:AlternateContent>
      </w:r>
      <w:r w:rsidRPr="001D6D10">
        <w:rPr>
          <w:noProof/>
          <w:sz w:val="20"/>
        </w:rPr>
        <mc:AlternateContent>
          <mc:Choice Requires="wps">
            <w:drawing>
              <wp:anchor distT="0" distB="0" distL="114300" distR="114300" simplePos="0" relativeHeight="253804544" behindDoc="0" locked="0" layoutInCell="1" allowOverlap="1" wp14:anchorId="49E7F9E4" wp14:editId="014D4886">
                <wp:simplePos x="0" y="0"/>
                <wp:positionH relativeFrom="column">
                  <wp:posOffset>1943100</wp:posOffset>
                </wp:positionH>
                <wp:positionV relativeFrom="paragraph">
                  <wp:posOffset>17145</wp:posOffset>
                </wp:positionV>
                <wp:extent cx="685800" cy="0"/>
                <wp:effectExtent l="9525" t="7620" r="9525" b="11430"/>
                <wp:wrapNone/>
                <wp:docPr id="3708" name="Line 325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85800" cy="0"/>
                        </a:xfrm>
                        <a:prstGeom prst="line">
                          <a:avLst/>
                        </a:prstGeom>
                        <a:noFill/>
                        <a:ln w="9525">
                          <a:solidFill>
                            <a:srgbClr val="000000"/>
                          </a:solidFill>
                          <a:prstDash val="sysDot"/>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line w14:anchorId="5B4E215F" id="Line 3257" o:spid="_x0000_s1026" style="position:absolute;left:0;text-align:left;z-index:2538045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53pt,1.35pt" to="207pt,1.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">
                <v:stroke dashstyle="1 1"/>
              </v:line>
            </w:pict>
          </mc:Fallback>
        </mc:AlternateContent>
      </w:r>
      <w:r w:rsidRPr="001D6D10">
        <w:rPr>
          <w:noProof/>
          <w:sz w:val="20"/>
        </w:rPr>
        <mc:AlternateContent>
          <mc:Choice Requires="wps">
            <w:drawing>
              <wp:anchor distT="0" distB="0" distL="114300" distR="114300" simplePos="0" relativeHeight="253813760" behindDoc="0" locked="0" layoutInCell="1" allowOverlap="1" wp14:anchorId="09CCC423" wp14:editId="0CE3F8F7">
                <wp:simplePos x="0" y="0"/>
                <wp:positionH relativeFrom="column">
                  <wp:posOffset>4914900</wp:posOffset>
                </wp:positionH>
                <wp:positionV relativeFrom="paragraph">
                  <wp:posOffset>17145</wp:posOffset>
                </wp:positionV>
                <wp:extent cx="0" cy="1143000"/>
                <wp:effectExtent l="9525" t="7620" r="9525" b="11430"/>
                <wp:wrapNone/>
                <wp:docPr id="3707" name="Line 326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0" cy="114300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line w14:anchorId="47DAD16F" id="Line 3265" o:spid="_x0000_s1026" style="position:absolute;left:0;text-align:left;flip:y;z-index:2538137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87pt,1.35pt" to="387pt,91.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"/>
            </w:pict>
          </mc:Fallback>
        </mc:AlternateContent>
      </w:r>
      <w:r w:rsidRPr="001D6D10">
        <w:rPr>
          <w:noProof/>
          <w:sz w:val="20"/>
        </w:rPr>
        <mc:AlternateContent>
          <mc:Choice Requires="wps">
            <w:drawing>
              <wp:anchor distT="0" distB="0" distL="114300" distR="114300" simplePos="0" relativeHeight="253814784" behindDoc="0" locked="0" layoutInCell="1" allowOverlap="1" wp14:anchorId="36242A48" wp14:editId="20D2C103">
                <wp:simplePos x="0" y="0"/>
                <wp:positionH relativeFrom="column">
                  <wp:posOffset>4572000</wp:posOffset>
                </wp:positionH>
                <wp:positionV relativeFrom="paragraph">
                  <wp:posOffset>17145</wp:posOffset>
                </wp:positionV>
                <wp:extent cx="342900" cy="0"/>
                <wp:effectExtent l="19050" t="64770" r="9525" b="59055"/>
                <wp:wrapNone/>
                <wp:docPr id="3706" name="Line 326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rot="-10800000">
                          <a:off x="0" y="0"/>
                          <a:ext cx="342900" cy="0"/>
                        </a:xfrm>
                        <a:prstGeom prst="line">
                          <a:avLst/>
                        </a:prstGeom>
                        <a:noFill/>
                        <a:ln w="9525">
                          <a:solidFill>
                            <a:srgbClr val="000000"/>
                          </a:solidFill>
                          <a:round/>
                          <a:headEnd/>
                          <a:tailEnd type="arrow" w="sm" len="sm"/>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line w14:anchorId="37617065" id="Line 3266" o:spid="_x0000_s1026" style="position:absolute;left:0;text-align:left;rotation:180;z-index:2538147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5in,1.35pt" to="387pt,1.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">
                <v:stroke endarrow="open" endarrowwidth="narrow" endarrowlength="short"/>
              </v:line>
            </w:pict>
          </mc:Fallback>
        </mc:AlternateContent>
      </w:r>
    </w:p>
    <w:p w14:paraId="6470639C" w14:textId="77777777" w:rsidR="008B4B2B" w:rsidRPr="001D6D10" w:rsidRDefault="008B4B2B" w:rsidP="008B4B2B">
      <w:pPr>
        <w:wordWrap w:val="0"/>
        <w:overflowPunct w:val="0"/>
        <w:spacing w:line="362" w:lineRule="exact"/>
        <w:ind w:right="97"/>
      </w:pPr>
      <w:r w:rsidRPr="001D6D10">
        <w:rPr>
          <w:noProof/>
          <w:sz w:val="20"/>
        </w:rPr>
        <mc:AlternateContent>
          <mc:Choice Requires="wps">
            <w:drawing>
              <wp:anchor distT="0" distB="0" distL="114300" distR="114300" simplePos="0" relativeHeight="253807616" behindDoc="0" locked="0" layoutInCell="1" allowOverlap="1" wp14:anchorId="0090373E" wp14:editId="504349EF">
                <wp:simplePos x="0" y="0"/>
                <wp:positionH relativeFrom="column">
                  <wp:posOffset>2171700</wp:posOffset>
                </wp:positionH>
                <wp:positionV relativeFrom="paragraph">
                  <wp:posOffset>130175</wp:posOffset>
                </wp:positionV>
                <wp:extent cx="228600" cy="0"/>
                <wp:effectExtent l="66675" t="15875" r="66675" b="22225"/>
                <wp:wrapNone/>
                <wp:docPr id="3705" name="Line 326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rot="-5400000">
                          <a:off x="0" y="0"/>
                          <a:ext cx="228600" cy="0"/>
                        </a:xfrm>
                        <a:prstGeom prst="line">
                          <a:avLst/>
                        </a:prstGeom>
                        <a:noFill/>
                        <a:ln w="9525">
                          <a:solidFill>
                            <a:srgbClr val="000000"/>
                          </a:solidFill>
                          <a:round/>
                          <a:headEnd type="arrow" w="sm" len="sm"/>
                          <a:tailEnd type="arrow" w="sm" len="sm"/>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line w14:anchorId="374505BF" id="Line 3260" o:spid="_x0000_s1026" style="position:absolute;left:0;text-align:left;rotation:-90;z-index:2538076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71pt,10.25pt" to="189pt,10.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">
                <v:stroke startarrow="open" startarrowwidth="narrow" startarrowlength="short" endarrow="open" endarrowwidth="narrow" endarrowlength="short"/>
              </v:line>
            </w:pict>
          </mc:Fallback>
        </mc:AlternateContent>
      </w:r>
    </w:p>
    <w:p w14:paraId="46AA3A34" w14:textId="77777777" w:rsidR="008B4B2B" w:rsidRPr="001D6D10" w:rsidRDefault="008B4B2B" w:rsidP="008B4B2B">
      <w:pPr>
        <w:wordWrap w:val="0"/>
        <w:overflowPunct w:val="0"/>
        <w:spacing w:line="362" w:lineRule="exact"/>
        <w:ind w:right="97"/>
      </w:pPr>
      <w:r w:rsidRPr="001D6D10">
        <w:rPr>
          <w:rFonts w:hint="eastAsia"/>
          <w:noProof/>
        </w:rPr>
        <mc:AlternateContent>
          <mc:Choice Requires="wps">
            <w:drawing>
              <wp:anchor distT="0" distB="0" distL="114300" distR="114300" simplePos="0" relativeHeight="253794304" behindDoc="0" locked="0" layoutInCell="1" allowOverlap="1" wp14:anchorId="2A20F4D4" wp14:editId="4078385B">
                <wp:simplePos x="0" y="0"/>
                <wp:positionH relativeFrom="column">
                  <wp:posOffset>1943100</wp:posOffset>
                </wp:positionH>
                <wp:positionV relativeFrom="paragraph">
                  <wp:posOffset>14605</wp:posOffset>
                </wp:positionV>
                <wp:extent cx="685800" cy="459740"/>
                <wp:effectExtent l="9525" t="5080" r="9525" b="11430"/>
                <wp:wrapNone/>
                <wp:docPr id="3704" name="Text Box 324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685800" cy="459740"/>
                        </a:xfrm>
                        <a:prstGeom prst="rect">
                          <a:avLst/>
                        </a:prstGeom>
                        <a:noFill/>
                        <a:ln w="6350">
                          <a:solidFill>
                            <a:srgbClr val="000000"/>
                          </a:solidFill>
                          <a:miter lim="800000"/>
                          <a:headEnd/>
                          <a:tailEnd/>
                        </a:ln>
                        <a:extLst>
                          <a:ext uri="{909E8E84-426E-40DD-AFC4-6F175D3DCCD1}">
                            <a14:hiddenFill xmlns:a14="http://schemas.microsoft.com/office/drawing/2010/main">
                              <a:solidFill>
                                <a:srgbClr val="000000"/>
                              </a:solidFill>
                            </a14:hiddenFill>
                          </a:ext>
                        </a:extLst>
                      </wps:spPr>
                      <wps:txbx>
                        <w:txbxContent>
                          <w:p w14:paraId="273E4CAA" w14:textId="77777777" w:rsidR="006A5267" w:rsidRDefault="006A5267" w:rsidP="008B4B2B">
                            <w:pPr>
                              <w:kinsoku w:val="0"/>
                              <w:wordWrap w:val="0"/>
                              <w:overflowPunct w:val="0"/>
                              <w:spacing w:line="181" w:lineRule="exact"/>
                            </w:pPr>
                          </w:p>
                          <w:p w14:paraId="1C0FD0D7" w14:textId="77777777" w:rsidR="006A5267" w:rsidRDefault="006A5267" w:rsidP="008B4B2B">
                            <w:pPr>
                              <w:kinsoku w:val="0"/>
                              <w:overflowPunct w:val="0"/>
                              <w:spacing w:line="362" w:lineRule="exact"/>
                              <w:jc w:val="center"/>
                            </w:pPr>
                            <w:r>
                              <w:rPr>
                                <w:rFonts w:hint="eastAsia"/>
                              </w:rPr>
                              <w:t>府警察</w:t>
                            </w:r>
                          </w:p>
                          <w:p w14:paraId="25CB9758" w14:textId="77777777" w:rsidR="006A5267" w:rsidRDefault="006A5267" w:rsidP="008B4B2B">
                            <w:pPr>
                              <w:kinsoku w:val="0"/>
                              <w:wordWrap w:val="0"/>
                              <w:overflowPunct w:val="0"/>
                              <w:spacing w:line="181" w:lineRule="exact"/>
                            </w:pPr>
                          </w:p>
                          <w:p w14:paraId="0E79D4E4" w14:textId="77777777" w:rsidR="006A5267" w:rsidRDefault="006A5267" w:rsidP="008B4B2B">
                            <w:pPr>
                              <w:wordWrap w:val="0"/>
                              <w:spacing w:line="0" w:lineRule="atLeast"/>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shape w14:anchorId="2A20F4D4" id="Text Box 3247" o:spid="_x0000_s1771" type="#_x0000_t202" style="position:absolute;left:0;text-align:left;margin-left:153pt;margin-top:1.15pt;width:54pt;height:36.2pt;z-index:2537943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" filled="f" fillcolor="black" strokeweight=".5pt">
                <v:path arrowok="t"/>
                <v:textbox inset="0,0,0,0">
                  <w:txbxContent>
                    <w:p w14:paraId="273E4CAA" w14:textId="77777777" w:rsidR="006A5267" w:rsidRDefault="006A5267" w:rsidP="008B4B2B">
                      <w:pPr>
                        <w:kinsoku w:val="0"/>
                        <w:wordWrap w:val="0"/>
                        <w:overflowPunct w:val="0"/>
                        <w:spacing w:line="181" w:lineRule="exact"/>
                      </w:pPr>
                    </w:p>
                    <w:p w14:paraId="1C0FD0D7" w14:textId="77777777" w:rsidR="006A5267" w:rsidRDefault="006A5267" w:rsidP="008B4B2B">
                      <w:pPr>
                        <w:kinsoku w:val="0"/>
                        <w:overflowPunct w:val="0"/>
                        <w:spacing w:line="362" w:lineRule="exact"/>
                        <w:jc w:val="center"/>
                      </w:pPr>
                      <w:r>
                        <w:rPr>
                          <w:rFonts w:hint="eastAsia"/>
                        </w:rPr>
                        <w:t>府警察</w:t>
                      </w:r>
                    </w:p>
                    <w:p w14:paraId="25CB9758" w14:textId="77777777" w:rsidR="006A5267" w:rsidRDefault="006A5267" w:rsidP="008B4B2B">
                      <w:pPr>
                        <w:kinsoku w:val="0"/>
                        <w:wordWrap w:val="0"/>
                        <w:overflowPunct w:val="0"/>
                        <w:spacing w:line="181" w:lineRule="exact"/>
                      </w:pPr>
                    </w:p>
                    <w:p w14:paraId="0E79D4E4" w14:textId="77777777" w:rsidR="006A5267" w:rsidRDefault="006A5267" w:rsidP="008B4B2B">
                      <w:pPr>
                        <w:wordWrap w:val="0"/>
                        <w:spacing w:line="0" w:lineRule="atLeast"/>
                      </w:pPr>
                    </w:p>
                  </w:txbxContent>
                </v:textbox>
              </v:shape>
            </w:pict>
          </mc:Fallback>
        </mc:AlternateContent>
      </w:r>
      <w:r w:rsidRPr="001D6D10">
        <w:rPr>
          <w:rFonts w:hint="eastAsia"/>
          <w:noProof/>
        </w:rPr>
        <mc:AlternateContent>
          <mc:Choice Requires="wps">
            <w:drawing>
              <wp:anchor distT="0" distB="0" distL="114300" distR="114300" simplePos="0" relativeHeight="253795328" behindDoc="0" locked="0" layoutInCell="1" allowOverlap="1" wp14:anchorId="0AC420CC" wp14:editId="5F16CF6D">
                <wp:simplePos x="0" y="0"/>
                <wp:positionH relativeFrom="column">
                  <wp:posOffset>4000500</wp:posOffset>
                </wp:positionH>
                <wp:positionV relativeFrom="paragraph">
                  <wp:posOffset>14605</wp:posOffset>
                </wp:positionV>
                <wp:extent cx="538480" cy="459740"/>
                <wp:effectExtent l="9525" t="5080" r="13970" b="11430"/>
                <wp:wrapNone/>
                <wp:docPr id="3703" name="Text Box 324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538480" cy="459740"/>
                        </a:xfrm>
                        <a:prstGeom prst="rect">
                          <a:avLst/>
                        </a:prstGeom>
                        <a:noFill/>
                        <a:ln w="6350">
                          <a:solidFill>
                            <a:srgbClr val="000000"/>
                          </a:solidFill>
                          <a:miter lim="800000"/>
                          <a:headEnd/>
                          <a:tailEnd/>
                        </a:ln>
                        <a:extLst>
                          <a:ext uri="{909E8E84-426E-40DD-AFC4-6F175D3DCCD1}">
                            <a14:hiddenFill xmlns:a14="http://schemas.microsoft.com/office/drawing/2010/main">
                              <a:solidFill>
                                <a:srgbClr val="000000"/>
                              </a:solidFill>
                            </a14:hiddenFill>
                          </a:ext>
                        </a:extLst>
                      </wps:spPr>
                      <wps:txbx>
                        <w:txbxContent>
                          <w:p w14:paraId="697420A2" w14:textId="77777777" w:rsidR="006A5267" w:rsidRDefault="006A5267" w:rsidP="008B4B2B">
                            <w:pPr>
                              <w:kinsoku w:val="0"/>
                              <w:wordWrap w:val="0"/>
                              <w:overflowPunct w:val="0"/>
                              <w:spacing w:line="181" w:lineRule="exact"/>
                            </w:pPr>
                          </w:p>
                          <w:p w14:paraId="2714D8AB" w14:textId="77777777" w:rsidR="006A5267" w:rsidRDefault="006A5267" w:rsidP="008B4B2B">
                            <w:pPr>
                              <w:kinsoku w:val="0"/>
                              <w:wordWrap w:val="0"/>
                              <w:overflowPunct w:val="0"/>
                              <w:spacing w:line="362" w:lineRule="exact"/>
                            </w:pPr>
                            <w:r>
                              <w:rPr>
                                <w:rFonts w:hint="eastAsia"/>
                                <w:spacing w:val="1"/>
                              </w:rPr>
                              <w:t xml:space="preserve"> </w:t>
                            </w:r>
                            <w:r>
                              <w:rPr>
                                <w:rFonts w:hint="eastAsia"/>
                              </w:rPr>
                              <w:t>消防庁</w:t>
                            </w:r>
                          </w:p>
                          <w:p w14:paraId="65C8EE96" w14:textId="77777777" w:rsidR="006A5267" w:rsidRDefault="006A5267" w:rsidP="008B4B2B">
                            <w:pPr>
                              <w:kinsoku w:val="0"/>
                              <w:wordWrap w:val="0"/>
                              <w:overflowPunct w:val="0"/>
                              <w:spacing w:line="181" w:lineRule="exact"/>
                            </w:pPr>
                          </w:p>
                          <w:p w14:paraId="6875E1DB" w14:textId="77777777" w:rsidR="006A5267" w:rsidRDefault="006A5267" w:rsidP="008B4B2B">
                            <w:pPr>
                              <w:wordWrap w:val="0"/>
                              <w:spacing w:line="0" w:lineRule="atLeast"/>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shape w14:anchorId="0AC420CC" id="Text Box 3248" o:spid="_x0000_s1772" type="#_x0000_t202" style="position:absolute;left:0;text-align:left;margin-left:315pt;margin-top:1.15pt;width:42.4pt;height:36.2pt;z-index:2537953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" filled="f" fillcolor="black" strokeweight=".5pt">
                <v:path arrowok="t"/>
                <v:textbox inset="0,0,0,0">
                  <w:txbxContent>
                    <w:p w14:paraId="697420A2" w14:textId="77777777" w:rsidR="006A5267" w:rsidRDefault="006A5267" w:rsidP="008B4B2B">
                      <w:pPr>
                        <w:kinsoku w:val="0"/>
                        <w:wordWrap w:val="0"/>
                        <w:overflowPunct w:val="0"/>
                        <w:spacing w:line="181" w:lineRule="exact"/>
                      </w:pPr>
                    </w:p>
                    <w:p w14:paraId="2714D8AB" w14:textId="77777777" w:rsidR="006A5267" w:rsidRDefault="006A5267" w:rsidP="008B4B2B">
                      <w:pPr>
                        <w:kinsoku w:val="0"/>
                        <w:wordWrap w:val="0"/>
                        <w:overflowPunct w:val="0"/>
                        <w:spacing w:line="362" w:lineRule="exact"/>
                      </w:pPr>
                      <w:r>
                        <w:rPr>
                          <w:rFonts w:hint="eastAsia"/>
                          <w:spacing w:val="1"/>
                        </w:rPr>
                        <w:t xml:space="preserve"> </w:t>
                      </w:r>
                      <w:r>
                        <w:rPr>
                          <w:rFonts w:hint="eastAsia"/>
                        </w:rPr>
                        <w:t>消防庁</w:t>
                      </w:r>
                    </w:p>
                    <w:p w14:paraId="65C8EE96" w14:textId="77777777" w:rsidR="006A5267" w:rsidRDefault="006A5267" w:rsidP="008B4B2B">
                      <w:pPr>
                        <w:kinsoku w:val="0"/>
                        <w:wordWrap w:val="0"/>
                        <w:overflowPunct w:val="0"/>
                        <w:spacing w:line="181" w:lineRule="exact"/>
                      </w:pPr>
                    </w:p>
                    <w:p w14:paraId="6875E1DB" w14:textId="77777777" w:rsidR="006A5267" w:rsidRDefault="006A5267" w:rsidP="008B4B2B">
                      <w:pPr>
                        <w:wordWrap w:val="0"/>
                        <w:spacing w:line="0" w:lineRule="atLeast"/>
                      </w:pPr>
                    </w:p>
                  </w:txbxContent>
                </v:textbox>
              </v:shape>
            </w:pict>
          </mc:Fallback>
        </mc:AlternateContent>
      </w:r>
    </w:p>
    <w:p w14:paraId="0B87B143" w14:textId="77777777" w:rsidR="008B4B2B" w:rsidRPr="001D6D10" w:rsidRDefault="008B4B2B" w:rsidP="008B4B2B">
      <w:pPr>
        <w:wordWrap w:val="0"/>
        <w:overflowPunct w:val="0"/>
        <w:spacing w:line="362" w:lineRule="exact"/>
        <w:ind w:right="97"/>
      </w:pPr>
      <w:r w:rsidRPr="001D6D10">
        <w:rPr>
          <w:noProof/>
          <w:sz w:val="20"/>
        </w:rPr>
        <mc:AlternateContent>
          <mc:Choice Requires="wps">
            <w:drawing>
              <wp:anchor distT="0" distB="0" distL="114300" distR="114300" simplePos="0" relativeHeight="253810688" behindDoc="0" locked="0" layoutInCell="1" allowOverlap="1" wp14:anchorId="08C17A1F" wp14:editId="092076AC">
                <wp:simplePos x="0" y="0"/>
                <wp:positionH relativeFrom="column">
                  <wp:posOffset>3747135</wp:posOffset>
                </wp:positionH>
                <wp:positionV relativeFrom="paragraph">
                  <wp:posOffset>13335</wp:posOffset>
                </wp:positionV>
                <wp:extent cx="253365" cy="0"/>
                <wp:effectExtent l="13335" t="60960" r="19050" b="62865"/>
                <wp:wrapNone/>
                <wp:docPr id="3702" name="Line 326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53365" cy="0"/>
                        </a:xfrm>
                        <a:prstGeom prst="line">
                          <a:avLst/>
                        </a:prstGeom>
                        <a:noFill/>
                        <a:ln w="9525">
                          <a:solidFill>
                            <a:srgbClr val="000000"/>
                          </a:solidFill>
                          <a:round/>
                          <a:headEnd/>
                          <a:tailEnd type="arrow" w="sm" len="sm"/>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line w14:anchorId="5CEC9C40" id="Line 3263" o:spid="_x0000_s1026" style="position:absolute;left:0;text-align:left;z-index:2538106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95.05pt,1.05pt" to="315pt,1.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">
                <v:stroke endarrow="open" endarrowwidth="narrow" endarrowlength="short"/>
              </v:line>
            </w:pict>
          </mc:Fallback>
        </mc:AlternateContent>
      </w:r>
      <w:r w:rsidRPr="001D6D10">
        <w:rPr>
          <w:noProof/>
          <w:sz w:val="20"/>
        </w:rPr>
        <mc:AlternateContent>
          <mc:Choice Requires="wps">
            <w:drawing>
              <wp:anchor distT="0" distB="0" distL="114300" distR="114300" simplePos="0" relativeHeight="253808640" behindDoc="0" locked="0" layoutInCell="1" allowOverlap="1" wp14:anchorId="3FCBCE7B" wp14:editId="3D755171">
                <wp:simplePos x="0" y="0"/>
                <wp:positionH relativeFrom="column">
                  <wp:posOffset>1513840</wp:posOffset>
                </wp:positionH>
                <wp:positionV relativeFrom="paragraph">
                  <wp:posOffset>13335</wp:posOffset>
                </wp:positionV>
                <wp:extent cx="429260" cy="0"/>
                <wp:effectExtent l="8890" t="60960" r="19050" b="62865"/>
                <wp:wrapNone/>
                <wp:docPr id="3701" name="Line 326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29260" cy="0"/>
                        </a:xfrm>
                        <a:prstGeom prst="line">
                          <a:avLst/>
                        </a:prstGeom>
                        <a:noFill/>
                        <a:ln w="9525">
                          <a:solidFill>
                            <a:srgbClr val="000000"/>
                          </a:solidFill>
                          <a:round/>
                          <a:headEnd/>
                          <a:tailEnd type="arrow" w="sm" len="sm"/>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line w14:anchorId="47914533" id="Line 3261" o:spid="_x0000_s1026" style="position:absolute;left:0;text-align:left;z-index:2538086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19.2pt,1.05pt" to="153pt,1.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">
                <v:stroke endarrow="open" endarrowwidth="narrow" endarrowlength="short"/>
              </v:line>
            </w:pict>
          </mc:Fallback>
        </mc:AlternateContent>
      </w:r>
      <w:r w:rsidRPr="001D6D10">
        <w:rPr>
          <w:noProof/>
          <w:sz w:val="20"/>
        </w:rPr>
        <mc:AlternateContent>
          <mc:Choice Requires="wps">
            <w:drawing>
              <wp:anchor distT="0" distB="0" distL="114300" distR="114300" simplePos="0" relativeHeight="253806592" behindDoc="0" locked="0" layoutInCell="1" allowOverlap="1" wp14:anchorId="58E187FB" wp14:editId="58C2354A">
                <wp:simplePos x="0" y="0"/>
                <wp:positionH relativeFrom="column">
                  <wp:posOffset>2628900</wp:posOffset>
                </wp:positionH>
                <wp:positionV relativeFrom="paragraph">
                  <wp:posOffset>13335</wp:posOffset>
                </wp:positionV>
                <wp:extent cx="342900" cy="0"/>
                <wp:effectExtent l="19050" t="60960" r="19050" b="62865"/>
                <wp:wrapNone/>
                <wp:docPr id="3700" name="Line 325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2900" cy="0"/>
                        </a:xfrm>
                        <a:prstGeom prst="line">
                          <a:avLst/>
                        </a:prstGeom>
                        <a:noFill/>
                        <a:ln w="9525">
                          <a:solidFill>
                            <a:srgbClr val="000000"/>
                          </a:solidFill>
                          <a:round/>
                          <a:headEnd type="arrow" w="sm" len="sm"/>
                          <a:tailEnd type="arrow" w="sm" len="sm"/>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line w14:anchorId="331EEABF" id="Line 3259" o:spid="_x0000_s1026" style="position:absolute;left:0;text-align:left;z-index:2538065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07pt,1.05pt" to="234pt,1.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">
                <v:stroke startarrow="open" startarrowwidth="narrow" startarrowlength="short" endarrow="open" endarrowwidth="narrow" endarrowlength="short"/>
              </v:line>
            </w:pict>
          </mc:Fallback>
        </mc:AlternateContent>
      </w:r>
    </w:p>
    <w:p w14:paraId="6FA81F0B" w14:textId="77777777" w:rsidR="008B4B2B" w:rsidRPr="001D6D10" w:rsidRDefault="008B4B2B" w:rsidP="008B4B2B">
      <w:pPr>
        <w:wordWrap w:val="0"/>
        <w:overflowPunct w:val="0"/>
        <w:spacing w:line="362" w:lineRule="exact"/>
        <w:ind w:right="97"/>
      </w:pPr>
      <w:r w:rsidRPr="001D6D10">
        <w:rPr>
          <w:noProof/>
          <w:sz w:val="20"/>
        </w:rPr>
        <mc:AlternateContent>
          <mc:Choice Requires="wps">
            <w:drawing>
              <wp:anchor distT="0" distB="0" distL="114300" distR="114300" simplePos="0" relativeHeight="253812736" behindDoc="0" locked="0" layoutInCell="1" allowOverlap="1" wp14:anchorId="7DFBA424" wp14:editId="2D833E89">
                <wp:simplePos x="0" y="0"/>
                <wp:positionH relativeFrom="column">
                  <wp:posOffset>2286000</wp:posOffset>
                </wp:positionH>
                <wp:positionV relativeFrom="paragraph">
                  <wp:posOffset>126365</wp:posOffset>
                </wp:positionV>
                <wp:extent cx="228600" cy="0"/>
                <wp:effectExtent l="66675" t="21590" r="66675" b="6985"/>
                <wp:wrapNone/>
                <wp:docPr id="3699" name="Line 326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rot="-5400000">
                          <a:off x="0" y="0"/>
                          <a:ext cx="228600" cy="0"/>
                        </a:xfrm>
                        <a:prstGeom prst="line">
                          <a:avLst/>
                        </a:prstGeom>
                        <a:noFill/>
                        <a:ln w="9525">
                          <a:solidFill>
                            <a:srgbClr val="000000"/>
                          </a:solidFill>
                          <a:round/>
                          <a:headEnd/>
                          <a:tailEnd type="arrow" w="sm" len="sm"/>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line w14:anchorId="4DA5F944" id="Line 3264" o:spid="_x0000_s1026" style="position:absolute;left:0;text-align:left;rotation:-90;z-index:2538127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80pt,9.95pt" to="198pt,9.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">
                <v:stroke endarrow="open" endarrowwidth="narrow" endarrowlength="short"/>
              </v:line>
            </w:pict>
          </mc:Fallback>
        </mc:AlternateContent>
      </w:r>
    </w:p>
    <w:p w14:paraId="1FBBE2AF" w14:textId="77777777" w:rsidR="008B4B2B" w:rsidRPr="001D6D10" w:rsidRDefault="008B4B2B" w:rsidP="008B4B2B">
      <w:pPr>
        <w:pStyle w:val="a0"/>
        <w:ind w:left="995" w:hangingChars="450" w:hanging="995"/>
        <w:rPr>
          <w:rFonts w:hAnsi="ＭＳ 明朝"/>
          <w:bCs/>
          <w:sz w:val="22"/>
          <w:szCs w:val="22"/>
        </w:rPr>
      </w:pPr>
      <w:r w:rsidRPr="001D6D10">
        <w:rPr>
          <w:rFonts w:hAnsi="ＭＳ 明朝" w:hint="eastAsia"/>
          <w:bCs/>
          <w:noProof/>
          <w:sz w:val="22"/>
          <w:szCs w:val="22"/>
        </w:rPr>
        <mc:AlternateContent>
          <mc:Choice Requires="wps">
            <w:drawing>
              <wp:anchor distT="0" distB="0" distL="114300" distR="114300" simplePos="0" relativeHeight="253917184" behindDoc="0" locked="0" layoutInCell="1" allowOverlap="1" wp14:anchorId="3821AB49" wp14:editId="1F02E1C4">
                <wp:simplePos x="0" y="0"/>
                <wp:positionH relativeFrom="column">
                  <wp:posOffset>2400300</wp:posOffset>
                </wp:positionH>
                <wp:positionV relativeFrom="paragraph">
                  <wp:posOffset>8255</wp:posOffset>
                </wp:positionV>
                <wp:extent cx="2514600" cy="2540"/>
                <wp:effectExtent l="9525" t="8255" r="9525" b="8255"/>
                <wp:wrapNone/>
                <wp:docPr id="3698" name="AutoShape 360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514600" cy="254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shape w14:anchorId="77E54FF7" id="AutoShape 3602" o:spid="_x0000_s1026" type="#_x0000_t32" style="position:absolute;left:0;text-align:left;margin-left:189pt;margin-top:.65pt;width:198pt;height:.2pt;z-index:2539171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"/>
            </w:pict>
          </mc:Fallback>
        </mc:AlternateContent>
      </w:r>
    </w:p>
    <w:p w14:paraId="05F40674" w14:textId="77777777" w:rsidR="008B4B2B" w:rsidRPr="001D6D10" w:rsidRDefault="008B4B2B" w:rsidP="008B4B2B">
      <w:pPr>
        <w:pStyle w:val="a0"/>
        <w:ind w:left="995" w:hangingChars="450" w:hanging="995"/>
        <w:rPr>
          <w:rFonts w:hAnsi="ＭＳ 明朝"/>
          <w:bCs/>
          <w:sz w:val="22"/>
          <w:szCs w:val="22"/>
        </w:rPr>
      </w:pPr>
    </w:p>
    <w:p w14:paraId="7DA8506D" w14:textId="77777777" w:rsidR="008B4B2B" w:rsidRPr="001D6D10" w:rsidRDefault="008B4B2B" w:rsidP="008B4B2B">
      <w:pPr>
        <w:pStyle w:val="a0"/>
        <w:ind w:left="995" w:hangingChars="450" w:hanging="995"/>
        <w:rPr>
          <w:rFonts w:hAnsi="ＭＳ 明朝"/>
          <w:bCs/>
          <w:sz w:val="22"/>
          <w:szCs w:val="22"/>
        </w:rPr>
      </w:pPr>
    </w:p>
    <w:p w14:paraId="3D225FF5" w14:textId="77777777" w:rsidR="008B4B2B" w:rsidRPr="001D6D10" w:rsidRDefault="008B4B2B" w:rsidP="00831F71">
      <w:pPr>
        <w:pStyle w:val="a0"/>
        <w:spacing w:line="0" w:lineRule="atLeast"/>
        <w:ind w:firstLineChars="100" w:firstLine="281"/>
        <w:outlineLvl w:val="1"/>
        <w:rPr>
          <w:rFonts w:ascii="ＭＳ ゴシック" w:eastAsia="ＭＳ ゴシック" w:hAnsi="ＭＳ ゴシック"/>
          <w:bCs/>
          <w:sz w:val="28"/>
          <w:szCs w:val="28"/>
        </w:rPr>
      </w:pPr>
      <w:bookmarkStart w:id="426" w:name="_Toc122436979"/>
      <w:bookmarkStart w:id="427" w:name="_Toc222433310"/>
      <w:bookmarkStart w:id="428" w:name="_Toc222486678"/>
      <w:bookmarkStart w:id="429" w:name="_Toc242870348"/>
      <w:r w:rsidRPr="001D6D10">
        <w:rPr>
          <w:rFonts w:ascii="ＭＳ ゴシック" w:eastAsia="ＭＳ ゴシック" w:hAnsi="ＭＳ ゴシック" w:hint="eastAsia"/>
          <w:bCs/>
          <w:sz w:val="28"/>
          <w:szCs w:val="28"/>
        </w:rPr>
        <w:lastRenderedPageBreak/>
        <w:t>第５節　危険物等災害応急対策</w:t>
      </w:r>
      <w:bookmarkEnd w:id="426"/>
      <w:bookmarkEnd w:id="427"/>
      <w:bookmarkEnd w:id="428"/>
      <w:bookmarkEnd w:id="429"/>
    </w:p>
    <w:p w14:paraId="6AC8054E" w14:textId="77777777" w:rsidR="008B4B2B" w:rsidRPr="001D6D10" w:rsidRDefault="008B4B2B" w:rsidP="008B4B2B">
      <w:pPr>
        <w:pStyle w:val="a0"/>
        <w:spacing w:line="0" w:lineRule="atLeast"/>
        <w:ind w:firstLineChars="650" w:firstLine="1437"/>
        <w:rPr>
          <w:rFonts w:ascii="ＭＳ ゴシック" w:eastAsia="ＭＳ ゴシック" w:hAnsi="ＭＳ ゴシック"/>
          <w:sz w:val="22"/>
          <w:szCs w:val="22"/>
          <w:bdr w:val="single" w:sz="4" w:space="0" w:color="auto"/>
        </w:rPr>
      </w:pPr>
      <w:r w:rsidRPr="001D6D10">
        <w:rPr>
          <w:rFonts w:ascii="ＭＳ ゴシック" w:eastAsia="ＭＳ ゴシック" w:hAnsi="ＭＳ ゴシック" w:hint="eastAsia"/>
          <w:sz w:val="22"/>
          <w:szCs w:val="22"/>
          <w:bdr w:val="single" w:sz="4" w:space="0" w:color="auto"/>
        </w:rPr>
        <w:t>主たる担当：危機管理室、薬務課、事業所指導課</w:t>
      </w:r>
    </w:p>
    <w:p w14:paraId="1680703C" w14:textId="77777777" w:rsidR="008B4B2B" w:rsidRPr="001D6D10" w:rsidRDefault="008B4B2B">
      <w:pPr>
        <w:pStyle w:val="a0"/>
        <w:ind w:firstLineChars="200" w:firstLine="442"/>
        <w:outlineLvl w:val="2"/>
        <w:rPr>
          <w:rFonts w:ascii="ＭＳ ゴシック" w:eastAsia="ＭＳ ゴシック" w:hAnsi="ＭＳ ゴシック"/>
          <w:bCs/>
          <w:sz w:val="22"/>
          <w:szCs w:val="22"/>
          <w:u w:val="double"/>
        </w:rPr>
      </w:pPr>
      <w:bookmarkStart w:id="430" w:name="_Toc122436980"/>
      <w:bookmarkStart w:id="431" w:name="_Toc222433311"/>
      <w:bookmarkStart w:id="432" w:name="_Toc222486679"/>
      <w:bookmarkStart w:id="433" w:name="_Toc242870349"/>
      <w:r w:rsidRPr="001D6D10">
        <w:rPr>
          <w:rFonts w:ascii="ＭＳ ゴシック" w:eastAsia="ＭＳ ゴシック" w:hAnsi="ＭＳ ゴシック" w:hint="eastAsia"/>
          <w:bCs/>
          <w:sz w:val="22"/>
          <w:szCs w:val="22"/>
          <w:u w:val="double"/>
        </w:rPr>
        <w:t>第１　危険物災害応急対策（危機管理室）</w:t>
      </w:r>
      <w:bookmarkEnd w:id="430"/>
      <w:bookmarkEnd w:id="431"/>
      <w:bookmarkEnd w:id="432"/>
      <w:bookmarkEnd w:id="433"/>
    </w:p>
    <w:p w14:paraId="585E5AAE" w14:textId="77777777" w:rsidR="008B4B2B" w:rsidRPr="001D6D10" w:rsidRDefault="008B4B2B" w:rsidP="008B4B2B">
      <w:pPr>
        <w:pStyle w:val="a0"/>
        <w:ind w:left="884" w:hangingChars="400" w:hanging="884"/>
        <w:rPr>
          <w:rFonts w:hAnsi="ＭＳ 明朝"/>
          <w:bCs/>
          <w:sz w:val="22"/>
          <w:szCs w:val="22"/>
        </w:rPr>
      </w:pPr>
      <w:r w:rsidRPr="001D6D10">
        <w:rPr>
          <w:rFonts w:hAnsi="ＭＳ 明朝" w:hint="eastAsia"/>
          <w:bCs/>
          <w:sz w:val="22"/>
          <w:szCs w:val="22"/>
        </w:rPr>
        <w:t xml:space="preserve">　　　１　市町村（消防本部及び消防署を置かない市町村の場合は府）は、関係機関と密接な連絡をとるとともに、所管する危険物の安全管理、施設の使用停止等の緊急措置を講ずる。</w:t>
      </w:r>
    </w:p>
    <w:p w14:paraId="36C9977C" w14:textId="77777777" w:rsidR="008B4B2B" w:rsidRPr="001D6D10" w:rsidRDefault="008B4B2B" w:rsidP="008B4B2B">
      <w:pPr>
        <w:pStyle w:val="a0"/>
        <w:ind w:left="884" w:rightChars="-154" w:right="-325" w:hangingChars="400" w:hanging="884"/>
        <w:rPr>
          <w:rFonts w:hAnsi="ＭＳ 明朝"/>
          <w:bCs/>
          <w:sz w:val="22"/>
          <w:szCs w:val="22"/>
        </w:rPr>
      </w:pPr>
      <w:r w:rsidRPr="001D6D10">
        <w:rPr>
          <w:rFonts w:ascii="ＭＳ ゴシック" w:eastAsia="ＭＳ ゴシック" w:hAnsi="ＭＳ ゴシック" w:hint="eastAsia"/>
          <w:bCs/>
          <w:sz w:val="22"/>
          <w:szCs w:val="22"/>
        </w:rPr>
        <w:t xml:space="preserve">　　　</w:t>
      </w:r>
      <w:r w:rsidRPr="001D6D10">
        <w:rPr>
          <w:rFonts w:hAnsi="ＭＳ 明朝" w:hint="eastAsia"/>
          <w:bCs/>
          <w:sz w:val="22"/>
          <w:szCs w:val="22"/>
        </w:rPr>
        <w:t>２　市町村（消防本部及び消防署を置かない市町村の場合は府）は、関係事業所の管理者、危険物保安監督者及び危険物取扱者等に対して、災害の拡大を防止するため、自衛消防組織等による災害状況の把握と状況に応じた従業員、周辺地域住民に対する人命安全装置及び防災機関との連携等必要な措置を講ずるよう指導する。</w:t>
      </w:r>
    </w:p>
    <w:p w14:paraId="6EC53474" w14:textId="77777777" w:rsidR="008B4B2B" w:rsidRPr="001D6D10" w:rsidRDefault="008B4B2B" w:rsidP="008B4B2B">
      <w:pPr>
        <w:pStyle w:val="a0"/>
        <w:ind w:left="884" w:rightChars="-175" w:right="-369" w:hangingChars="400" w:hanging="884"/>
        <w:rPr>
          <w:rFonts w:hAnsi="ＭＳ 明朝"/>
          <w:bCs/>
          <w:sz w:val="22"/>
          <w:szCs w:val="22"/>
        </w:rPr>
      </w:pPr>
      <w:r w:rsidRPr="001D6D10">
        <w:rPr>
          <w:rFonts w:hAnsi="ＭＳ 明朝" w:hint="eastAsia"/>
          <w:bCs/>
          <w:sz w:val="22"/>
          <w:szCs w:val="22"/>
        </w:rPr>
        <w:t xml:space="preserve">　　　３　市町村は、施設の管理責任者と密接な連絡を図り、災害の拡大を防止するための消防活動、負傷者の救出、警戒区域の設定、広報及び避難の指示等必要な応急対策を実施する。</w:t>
      </w:r>
    </w:p>
    <w:p w14:paraId="1E7A4020" w14:textId="77777777" w:rsidR="008B4B2B" w:rsidRPr="001D6D10" w:rsidRDefault="008B4B2B" w:rsidP="008B4B2B">
      <w:pPr>
        <w:pStyle w:val="a0"/>
        <w:ind w:left="884" w:hangingChars="400" w:hanging="884"/>
        <w:rPr>
          <w:rFonts w:hAnsi="ＭＳ 明朝"/>
          <w:bCs/>
          <w:sz w:val="22"/>
          <w:szCs w:val="22"/>
        </w:rPr>
      </w:pPr>
    </w:p>
    <w:p w14:paraId="52FADA60" w14:textId="77777777" w:rsidR="008B4B2B" w:rsidRPr="001D6D10" w:rsidRDefault="008B4B2B" w:rsidP="008B4B2B">
      <w:pPr>
        <w:pStyle w:val="a0"/>
        <w:ind w:left="844" w:hangingChars="400" w:hanging="844"/>
        <w:rPr>
          <w:rFonts w:hAnsi="ＭＳ 明朝"/>
          <w:bCs/>
        </w:rPr>
      </w:pPr>
      <w:r w:rsidRPr="001D6D10">
        <w:rPr>
          <w:rFonts w:hAnsi="ＭＳ 明朝" w:hint="eastAsia"/>
          <w:bCs/>
        </w:rPr>
        <w:t>別図〔連絡系統図〕</w:t>
      </w:r>
    </w:p>
    <w:p w14:paraId="7C986B0A" w14:textId="77777777" w:rsidR="008B4B2B" w:rsidRPr="001D6D10" w:rsidRDefault="008B4B2B" w:rsidP="008B4B2B">
      <w:pPr>
        <w:spacing w:line="220" w:lineRule="exact"/>
      </w:pPr>
      <w:r w:rsidRPr="001D6D10">
        <w:rPr>
          <w:noProof/>
          <w:sz w:val="20"/>
        </w:rPr>
        <mc:AlternateContent>
          <mc:Choice Requires="wps">
            <w:drawing>
              <wp:anchor distT="0" distB="0" distL="114300" distR="114300" simplePos="0" relativeHeight="253465600" behindDoc="0" locked="0" layoutInCell="1" allowOverlap="1" wp14:anchorId="7DE4DA87" wp14:editId="4C9BE76E">
                <wp:simplePos x="0" y="0"/>
                <wp:positionH relativeFrom="column">
                  <wp:posOffset>2400300</wp:posOffset>
                </wp:positionH>
                <wp:positionV relativeFrom="paragraph">
                  <wp:posOffset>90805</wp:posOffset>
                </wp:positionV>
                <wp:extent cx="1440180" cy="1089660"/>
                <wp:effectExtent l="9525" t="5080" r="7620" b="10160"/>
                <wp:wrapNone/>
                <wp:docPr id="3697" name="Text Box 276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40180" cy="1089660"/>
                        </a:xfrm>
                        <a:prstGeom prst="rect">
                          <a:avLst/>
                        </a:prstGeom>
                        <a:solidFill>
                          <a:srgbClr val="FFFFFF"/>
                        </a:solidFill>
                        <a:ln w="9525">
                          <a:solidFill>
                            <a:srgbClr val="000000"/>
                          </a:solidFill>
                          <a:miter lim="800000"/>
                          <a:headEnd/>
                          <a:tailEnd/>
                        </a:ln>
                      </wps:spPr>
                      <wps:txbx>
                        <w:txbxContent>
                          <w:p w14:paraId="317A0C48" w14:textId="77777777" w:rsidR="006A5267" w:rsidRDefault="006A5267" w:rsidP="008B4B2B">
                            <w:pPr>
                              <w:jc w:val="distribute"/>
                            </w:pPr>
                            <w:r>
                              <w:rPr>
                                <w:rFonts w:hint="eastAsia"/>
                              </w:rPr>
                              <w:t>発見者</w:t>
                            </w:r>
                          </w:p>
                          <w:p w14:paraId="3235F6EE" w14:textId="77777777" w:rsidR="006A5267" w:rsidRDefault="006A5267" w:rsidP="008B4B2B">
                            <w:pPr>
                              <w:jc w:val="distribute"/>
                            </w:pPr>
                            <w:r>
                              <w:rPr>
                                <w:rFonts w:hint="eastAsia"/>
                              </w:rPr>
                              <w:t>関係事業所の管理者</w:t>
                            </w:r>
                          </w:p>
                          <w:p w14:paraId="5B4EDAF5" w14:textId="77777777" w:rsidR="006A5267" w:rsidRDefault="006A5267" w:rsidP="008B4B2B">
                            <w:pPr>
                              <w:jc w:val="distribute"/>
                            </w:pPr>
                            <w:r>
                              <w:rPr>
                                <w:rFonts w:hint="eastAsia"/>
                              </w:rPr>
                              <w:t>危険物保安監督者</w:t>
                            </w:r>
                          </w:p>
                          <w:p w14:paraId="7B32C251" w14:textId="77777777" w:rsidR="006A5267" w:rsidRDefault="006A5267" w:rsidP="008B4B2B">
                            <w:pPr>
                              <w:jc w:val="distribute"/>
                            </w:pPr>
                            <w:r>
                              <w:rPr>
                                <w:rFonts w:hint="eastAsia"/>
                              </w:rPr>
                              <w:t>危険物取扱者　　等</w:t>
                            </w:r>
                          </w:p>
                        </w:txbxContent>
                      </wps:txbx>
                      <wps:bodyPr rot="0" vert="horz" wrap="square" lIns="37440" tIns="24120" rIns="41040" bIns="24120" anchor="t" anchorCtr="0" upright="1">
                        <a:noAutofit/>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shape w14:anchorId="7DE4DA87" id="Text Box 2768" o:spid="_x0000_s1773" type="#_x0000_t202" style="position:absolute;left:0;text-align:left;margin-left:189pt;margin-top:7.15pt;width:113.4pt;height:85.8pt;z-index:253465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">
                <v:textbox inset="1.04mm,.67mm,1.14mm,.67mm">
                  <w:txbxContent>
                    <w:p w14:paraId="317A0C48" w14:textId="77777777" w:rsidR="006A5267" w:rsidRDefault="006A5267" w:rsidP="008B4B2B">
                      <w:pPr>
                        <w:jc w:val="distribute"/>
                      </w:pPr>
                      <w:r>
                        <w:rPr>
                          <w:rFonts w:hint="eastAsia"/>
                        </w:rPr>
                        <w:t>発見者</w:t>
                      </w:r>
                    </w:p>
                    <w:p w14:paraId="3235F6EE" w14:textId="77777777" w:rsidR="006A5267" w:rsidRDefault="006A5267" w:rsidP="008B4B2B">
                      <w:pPr>
                        <w:jc w:val="distribute"/>
                      </w:pPr>
                      <w:r>
                        <w:rPr>
                          <w:rFonts w:hint="eastAsia"/>
                        </w:rPr>
                        <w:t>関係事業所の管理者</w:t>
                      </w:r>
                    </w:p>
                    <w:p w14:paraId="5B4EDAF5" w14:textId="77777777" w:rsidR="006A5267" w:rsidRDefault="006A5267" w:rsidP="008B4B2B">
                      <w:pPr>
                        <w:jc w:val="distribute"/>
                      </w:pPr>
                      <w:r>
                        <w:rPr>
                          <w:rFonts w:hint="eastAsia"/>
                        </w:rPr>
                        <w:t>危険物保安監督者</w:t>
                      </w:r>
                    </w:p>
                    <w:p w14:paraId="7B32C251" w14:textId="77777777" w:rsidR="006A5267" w:rsidRDefault="006A5267" w:rsidP="008B4B2B">
                      <w:pPr>
                        <w:jc w:val="distribute"/>
                      </w:pPr>
                      <w:r>
                        <w:rPr>
                          <w:rFonts w:hint="eastAsia"/>
                        </w:rPr>
                        <w:t>危険物取扱者　　等</w:t>
                      </w:r>
                    </w:p>
                  </w:txbxContent>
                </v:textbox>
              </v:shape>
            </w:pict>
          </mc:Fallback>
        </mc:AlternateContent>
      </w:r>
    </w:p>
    <w:p w14:paraId="7E4F5A7C" w14:textId="77777777" w:rsidR="008B4B2B" w:rsidRPr="001D6D10" w:rsidRDefault="008B4B2B" w:rsidP="008B4B2B">
      <w:pPr>
        <w:spacing w:line="220" w:lineRule="exact"/>
      </w:pPr>
    </w:p>
    <w:p w14:paraId="454F50FD" w14:textId="77777777" w:rsidR="008B4B2B" w:rsidRPr="001D6D10" w:rsidRDefault="008B4B2B" w:rsidP="008B4B2B">
      <w:pPr>
        <w:spacing w:line="220" w:lineRule="exact"/>
      </w:pPr>
      <w:r w:rsidRPr="001D6D10">
        <w:rPr>
          <w:noProof/>
          <w:sz w:val="20"/>
        </w:rPr>
        <mc:AlternateContent>
          <mc:Choice Requires="wps">
            <w:drawing>
              <wp:anchor distT="0" distB="0" distL="114300" distR="114300" simplePos="0" relativeHeight="253469696" behindDoc="0" locked="0" layoutInCell="1" allowOverlap="1" wp14:anchorId="5AAE030F" wp14:editId="140A4EE4">
                <wp:simplePos x="0" y="0"/>
                <wp:positionH relativeFrom="column">
                  <wp:posOffset>114300</wp:posOffset>
                </wp:positionH>
                <wp:positionV relativeFrom="paragraph">
                  <wp:posOffset>24765</wp:posOffset>
                </wp:positionV>
                <wp:extent cx="1805940" cy="316865"/>
                <wp:effectExtent l="9525" t="5715" r="13335" b="10795"/>
                <wp:wrapNone/>
                <wp:docPr id="3696" name="Text Box 277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05940" cy="316865"/>
                        </a:xfrm>
                        <a:prstGeom prst="rect">
                          <a:avLst/>
                        </a:prstGeom>
                        <a:solidFill>
                          <a:srgbClr val="FFFFFF"/>
                        </a:solidFill>
                        <a:ln w="9525">
                          <a:solidFill>
                            <a:srgbClr val="000000"/>
                          </a:solidFill>
                          <a:miter lim="800000"/>
                          <a:headEnd/>
                          <a:tailEnd/>
                        </a:ln>
                      </wps:spPr>
                      <wps:txbx>
                        <w:txbxContent>
                          <w:p w14:paraId="1DC41B4F" w14:textId="77777777" w:rsidR="006A5267" w:rsidRDefault="006A5267" w:rsidP="008B4B2B">
                            <w:pPr>
                              <w:jc w:val="distribute"/>
                            </w:pPr>
                            <w:r>
                              <w:rPr>
                                <w:rFonts w:hint="eastAsia"/>
                                <w:sz w:val="20"/>
                              </w:rPr>
                              <w:t>第五管区海上保安本部</w:t>
                            </w:r>
                          </w:p>
                        </w:txbxContent>
                      </wps:txbx>
                      <wps:bodyPr rot="0" vert="horz" wrap="square" lIns="37440" tIns="24120" rIns="41040" bIns="24120" anchor="t" anchorCtr="0" upright="1">
                        <a:noAutofit/>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shape w14:anchorId="5AAE030F" id="Text Box 2772" o:spid="_x0000_s1774" type="#_x0000_t202" style="position:absolute;left:0;text-align:left;margin-left:9pt;margin-top:1.95pt;width:142.2pt;height:24.95pt;z-index:253469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">
                <v:textbox inset="1.04mm,.67mm,1.14mm,.67mm">
                  <w:txbxContent>
                    <w:p w14:paraId="1DC41B4F" w14:textId="77777777" w:rsidR="006A5267" w:rsidRDefault="006A5267" w:rsidP="008B4B2B">
                      <w:pPr>
                        <w:jc w:val="distribute"/>
                      </w:pPr>
                      <w:r>
                        <w:rPr>
                          <w:rFonts w:hint="eastAsia"/>
                          <w:sz w:val="20"/>
                        </w:rPr>
                        <w:t>第五管区海上保安本部</w:t>
                      </w:r>
                    </w:p>
                  </w:txbxContent>
                </v:textbox>
              </v:shape>
            </w:pict>
          </mc:Fallback>
        </mc:AlternateContent>
      </w:r>
      <w:r w:rsidRPr="001D6D10">
        <w:rPr>
          <w:noProof/>
          <w:sz w:val="20"/>
        </w:rPr>
        <mc:AlternateContent>
          <mc:Choice Requires="wps">
            <w:drawing>
              <wp:anchor distT="0" distB="0" distL="114300" distR="114300" simplePos="0" relativeHeight="253483008" behindDoc="0" locked="0" layoutInCell="1" allowOverlap="1" wp14:anchorId="197F8640" wp14:editId="6A8131D4">
                <wp:simplePos x="0" y="0"/>
                <wp:positionH relativeFrom="column">
                  <wp:posOffset>2400300</wp:posOffset>
                </wp:positionH>
                <wp:positionV relativeFrom="paragraph">
                  <wp:posOffset>83820</wp:posOffset>
                </wp:positionV>
                <wp:extent cx="1440180" cy="0"/>
                <wp:effectExtent l="9525" t="7620" r="7620" b="11430"/>
                <wp:wrapNone/>
                <wp:docPr id="3695" name="Line 278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440180" cy="0"/>
                        </a:xfrm>
                        <a:prstGeom prst="line">
                          <a:avLst/>
                        </a:prstGeom>
                        <a:noFill/>
                        <a:ln w="9525">
                          <a:solidFill>
                            <a:srgbClr val="000000"/>
                          </a:solidFill>
                          <a:prstDash val="sysDot"/>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line w14:anchorId="55D1DD69" id="Line 2784" o:spid="_x0000_s1026" style="position:absolute;left:0;text-align:left;z-index:2534830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89pt,6.6pt" to="302.4pt,6.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">
                <v:stroke dashstyle="1 1"/>
              </v:line>
            </w:pict>
          </mc:Fallback>
        </mc:AlternateContent>
      </w:r>
    </w:p>
    <w:p w14:paraId="0EE2E330" w14:textId="77777777" w:rsidR="008B4B2B" w:rsidRPr="001D6D10" w:rsidRDefault="008B4B2B" w:rsidP="008B4B2B">
      <w:pPr>
        <w:spacing w:line="220" w:lineRule="exact"/>
      </w:pPr>
      <w:r w:rsidRPr="001D6D10">
        <w:rPr>
          <w:noProof/>
          <w:sz w:val="20"/>
        </w:rPr>
        <mc:AlternateContent>
          <mc:Choice Requires="wps">
            <w:drawing>
              <wp:anchor distT="0" distB="0" distL="114300" distR="114300" simplePos="0" relativeHeight="253474816" behindDoc="0" locked="0" layoutInCell="1" allowOverlap="1" wp14:anchorId="6773DBEB" wp14:editId="79618A46">
                <wp:simplePos x="0" y="0"/>
                <wp:positionH relativeFrom="column">
                  <wp:posOffset>4320540</wp:posOffset>
                </wp:positionH>
                <wp:positionV relativeFrom="paragraph">
                  <wp:posOffset>125730</wp:posOffset>
                </wp:positionV>
                <wp:extent cx="1440180" cy="272415"/>
                <wp:effectExtent l="5715" t="11430" r="11430" b="11430"/>
                <wp:wrapNone/>
                <wp:docPr id="3694" name="Text Box 277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40180" cy="272415"/>
                        </a:xfrm>
                        <a:prstGeom prst="rect">
                          <a:avLst/>
                        </a:prstGeom>
                        <a:solidFill>
                          <a:srgbClr val="FFFFFF"/>
                        </a:solidFill>
                        <a:ln w="9525">
                          <a:solidFill>
                            <a:srgbClr val="000000"/>
                          </a:solidFill>
                          <a:miter lim="800000"/>
                          <a:headEnd/>
                          <a:tailEnd/>
                        </a:ln>
                      </wps:spPr>
                      <wps:txbx>
                        <w:txbxContent>
                          <w:p w14:paraId="680ACF59" w14:textId="77777777" w:rsidR="006A5267" w:rsidRDefault="006A5267" w:rsidP="008B4B2B">
                            <w:pPr>
                              <w:jc w:val="distribute"/>
                            </w:pPr>
                            <w:r>
                              <w:rPr>
                                <w:rFonts w:hint="eastAsia"/>
                              </w:rPr>
                              <w:t>警察署</w:t>
                            </w:r>
                          </w:p>
                        </w:txbxContent>
                      </wps:txbx>
                      <wps:bodyPr rot="0" vert="horz" wrap="square" lIns="37440" tIns="24120" rIns="41040" bIns="24120" anchor="t" anchorCtr="0" upright="1">
                        <a:noAutofit/>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shape w14:anchorId="6773DBEB" id="Text Box 2777" o:spid="_x0000_s1775" type="#_x0000_t202" style="position:absolute;left:0;text-align:left;margin-left:340.2pt;margin-top:9.9pt;width:113.4pt;height:21.45pt;z-index:253474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">
                <v:textbox inset="1.04mm,.67mm,1.14mm,.67mm">
                  <w:txbxContent>
                    <w:p w14:paraId="680ACF59" w14:textId="77777777" w:rsidR="006A5267" w:rsidRDefault="006A5267" w:rsidP="008B4B2B">
                      <w:pPr>
                        <w:jc w:val="distribute"/>
                      </w:pPr>
                      <w:r>
                        <w:rPr>
                          <w:rFonts w:hint="eastAsia"/>
                        </w:rPr>
                        <w:t>警察署</w:t>
                      </w:r>
                    </w:p>
                  </w:txbxContent>
                </v:textbox>
              </v:shape>
            </w:pict>
          </mc:Fallback>
        </mc:AlternateContent>
      </w:r>
    </w:p>
    <w:p w14:paraId="313263C8" w14:textId="77777777" w:rsidR="008B4B2B" w:rsidRPr="001D6D10" w:rsidRDefault="008B4B2B" w:rsidP="008B4B2B">
      <w:pPr>
        <w:spacing w:line="220" w:lineRule="exact"/>
      </w:pPr>
      <w:r w:rsidRPr="001D6D10">
        <w:rPr>
          <w:noProof/>
          <w:sz w:val="20"/>
        </w:rPr>
        <mc:AlternateContent>
          <mc:Choice Requires="wps">
            <w:drawing>
              <wp:anchor distT="0" distB="0" distL="114300" distR="114300" simplePos="0" relativeHeight="253464576" behindDoc="0" locked="0" layoutInCell="1" allowOverlap="1" wp14:anchorId="4B06AC1E" wp14:editId="2E028DBA">
                <wp:simplePos x="0" y="0"/>
                <wp:positionH relativeFrom="column">
                  <wp:posOffset>114300</wp:posOffset>
                </wp:positionH>
                <wp:positionV relativeFrom="paragraph">
                  <wp:posOffset>66040</wp:posOffset>
                </wp:positionV>
                <wp:extent cx="1805940" cy="269240"/>
                <wp:effectExtent l="9525" t="8890" r="13335" b="7620"/>
                <wp:wrapNone/>
                <wp:docPr id="3693" name="Text Box 276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05940" cy="269240"/>
                        </a:xfrm>
                        <a:prstGeom prst="rect">
                          <a:avLst/>
                        </a:prstGeom>
                        <a:solidFill>
                          <a:srgbClr val="FFFFFF"/>
                        </a:solidFill>
                        <a:ln w="9525">
                          <a:solidFill>
                            <a:srgbClr val="000000"/>
                          </a:solidFill>
                          <a:miter lim="800000"/>
                          <a:headEnd/>
                          <a:tailEnd/>
                        </a:ln>
                      </wps:spPr>
                      <wps:txbx>
                        <w:txbxContent>
                          <w:p w14:paraId="755F25A0" w14:textId="77777777" w:rsidR="006A5267" w:rsidRPr="008A4793" w:rsidRDefault="006A5267" w:rsidP="008B4B2B">
                            <w:pPr>
                              <w:spacing w:line="260" w:lineRule="atLeast"/>
                              <w:jc w:val="distribute"/>
                            </w:pPr>
                            <w:r w:rsidRPr="008A4793">
                              <w:rPr>
                                <w:rFonts w:hint="eastAsia"/>
                              </w:rPr>
                              <w:t>近畿地方整備局港湾空港部</w:t>
                            </w:r>
                          </w:p>
                        </w:txbxContent>
                      </wps:txbx>
                      <wps:bodyPr rot="0" vert="horz" wrap="square" lIns="37440" tIns="24120" rIns="41040" bIns="24120" anchor="t" anchorCtr="0" upright="1">
                        <a:noAutofit/>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shape w14:anchorId="4B06AC1E" id="Text Box 2767" o:spid="_x0000_s1776" type="#_x0000_t202" style="position:absolute;left:0;text-align:left;margin-left:9pt;margin-top:5.2pt;width:142.2pt;height:21.2pt;z-index:253464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">
                <v:textbox inset="1.04mm,.67mm,1.14mm,.67mm">
                  <w:txbxContent>
                    <w:p w14:paraId="755F25A0" w14:textId="77777777" w:rsidR="006A5267" w:rsidRPr="008A4793" w:rsidRDefault="006A5267" w:rsidP="008B4B2B">
                      <w:pPr>
                        <w:spacing w:line="260" w:lineRule="atLeast"/>
                        <w:jc w:val="distribute"/>
                      </w:pPr>
                      <w:r w:rsidRPr="008A4793">
                        <w:rPr>
                          <w:rFonts w:hint="eastAsia"/>
                        </w:rPr>
                        <w:t>近畿地方整備局港湾空港部</w:t>
                      </w:r>
                    </w:p>
                  </w:txbxContent>
                </v:textbox>
              </v:shape>
            </w:pict>
          </mc:Fallback>
        </mc:AlternateContent>
      </w:r>
      <w:r w:rsidRPr="001D6D10">
        <w:rPr>
          <w:noProof/>
          <w:sz w:val="20"/>
        </w:rPr>
        <mc:AlternateContent>
          <mc:Choice Requires="wps">
            <w:drawing>
              <wp:anchor distT="0" distB="0" distL="114300" distR="114300" simplePos="0" relativeHeight="253468672" behindDoc="0" locked="0" layoutInCell="1" allowOverlap="1" wp14:anchorId="2DC4BC91" wp14:editId="3303DA6F">
                <wp:simplePos x="0" y="0"/>
                <wp:positionH relativeFrom="column">
                  <wp:posOffset>3840480</wp:posOffset>
                </wp:positionH>
                <wp:positionV relativeFrom="paragraph">
                  <wp:posOffset>76835</wp:posOffset>
                </wp:positionV>
                <wp:extent cx="480060" cy="0"/>
                <wp:effectExtent l="11430" t="67310" r="22860" b="66040"/>
                <wp:wrapNone/>
                <wp:docPr id="3692" name="Line 277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rot="10800000" flipH="1">
                          <a:off x="0" y="0"/>
                          <a:ext cx="480060" cy="0"/>
                        </a:xfrm>
                        <a:prstGeom prst="line">
                          <a:avLst/>
                        </a:prstGeom>
                        <a:noFill/>
                        <a:ln w="9525">
                          <a:solidFill>
                            <a:srgbClr val="000000"/>
                          </a:solidFill>
                          <a:prstDash val="sysDot"/>
                          <a:round/>
                          <a:headEnd/>
                          <a:tailEnd type="arrow" w="sm" len="sm"/>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line w14:anchorId="1ABEBE25" id="Line 2771" o:spid="_x0000_s1026" style="position:absolute;left:0;text-align:left;rotation:180;flip:x;z-index:253468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02.4pt,6.05pt" to="340.2pt,6.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">
                <v:stroke dashstyle="1 1" endarrow="open" endarrowwidth="narrow" endarrowlength="short"/>
              </v:line>
            </w:pict>
          </mc:Fallback>
        </mc:AlternateContent>
      </w:r>
    </w:p>
    <w:p w14:paraId="752AC419" w14:textId="77777777" w:rsidR="008B4B2B" w:rsidRPr="001D6D10" w:rsidRDefault="008B4B2B" w:rsidP="008B4B2B">
      <w:pPr>
        <w:spacing w:line="220" w:lineRule="exact"/>
      </w:pPr>
      <w:r w:rsidRPr="001D6D10">
        <w:rPr>
          <w:noProof/>
          <w:sz w:val="20"/>
        </w:rPr>
        <mc:AlternateContent>
          <mc:Choice Requires="wps">
            <w:drawing>
              <wp:anchor distT="0" distB="0" distL="114300" distR="114300" simplePos="0" relativeHeight="253467648" behindDoc="0" locked="0" layoutInCell="1" allowOverlap="1" wp14:anchorId="06658DBF" wp14:editId="35DFA134">
                <wp:simplePos x="0" y="0"/>
                <wp:positionH relativeFrom="column">
                  <wp:posOffset>1948815</wp:posOffset>
                </wp:positionH>
                <wp:positionV relativeFrom="paragraph">
                  <wp:posOffset>51435</wp:posOffset>
                </wp:positionV>
                <wp:extent cx="440055" cy="0"/>
                <wp:effectExtent l="15240" t="60960" r="11430" b="62865"/>
                <wp:wrapNone/>
                <wp:docPr id="3691" name="Line 277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440055" cy="0"/>
                        </a:xfrm>
                        <a:prstGeom prst="line">
                          <a:avLst/>
                        </a:prstGeom>
                        <a:noFill/>
                        <a:ln w="9525">
                          <a:solidFill>
                            <a:srgbClr val="000000"/>
                          </a:solidFill>
                          <a:prstDash val="sysDot"/>
                          <a:round/>
                          <a:headEnd/>
                          <a:tailEnd type="arrow" w="sm" len="sm"/>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line w14:anchorId="28DCFB5C" id="Line 2770" o:spid="_x0000_s1026" style="position:absolute;left:0;text-align:left;flip:x;z-index:253467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53.45pt,4.05pt" to="188.1pt,4.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">
                <v:stroke dashstyle="1 1" endarrow="open" endarrowwidth="narrow" endarrowlength="short"/>
              </v:line>
            </w:pict>
          </mc:Fallback>
        </mc:AlternateContent>
      </w:r>
      <w:r w:rsidRPr="001D6D10">
        <w:rPr>
          <w:noProof/>
          <w:sz w:val="20"/>
        </w:rPr>
        <mc:AlternateContent>
          <mc:Choice Requires="wps">
            <w:drawing>
              <wp:anchor distT="0" distB="0" distL="114300" distR="114300" simplePos="0" relativeHeight="253495296" behindDoc="0" locked="0" layoutInCell="1" allowOverlap="1" wp14:anchorId="4ECF5C55" wp14:editId="5F38094D">
                <wp:simplePos x="0" y="0"/>
                <wp:positionH relativeFrom="column">
                  <wp:posOffset>3761105</wp:posOffset>
                </wp:positionH>
                <wp:positionV relativeFrom="paragraph">
                  <wp:posOffset>198120</wp:posOffset>
                </wp:positionV>
                <wp:extent cx="998855" cy="840105"/>
                <wp:effectExtent l="59055" t="52070" r="53340" b="53975"/>
                <wp:wrapNone/>
                <wp:docPr id="3690" name="Line 279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rot="16200000">
                          <a:off x="0" y="0"/>
                          <a:ext cx="998855" cy="840105"/>
                        </a:xfrm>
                        <a:prstGeom prst="line">
                          <a:avLst/>
                        </a:prstGeom>
                        <a:noFill/>
                        <a:ln w="9525">
                          <a:solidFill>
                            <a:srgbClr val="000000"/>
                          </a:solidFill>
                          <a:prstDash val="sysDot"/>
                          <a:round/>
                          <a:headEnd type="arrow" w="sm" len="sm"/>
                          <a:tailEnd type="arrow" w="sm" len="sm"/>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line w14:anchorId="2183EB12" id="Line 2794" o:spid="_x0000_s1026" style="position:absolute;left:0;text-align:left;rotation:-90;z-index:2534952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96.15pt,15.6pt" to="374.8pt,81.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">
                <v:stroke dashstyle="1 1" startarrow="open" startarrowwidth="narrow" startarrowlength="short" endarrow="open" endarrowwidth="narrow" endarrowlength="short"/>
              </v:line>
            </w:pict>
          </mc:Fallback>
        </mc:AlternateContent>
      </w:r>
      <w:r w:rsidRPr="001D6D10">
        <w:rPr>
          <w:noProof/>
          <w:sz w:val="20"/>
        </w:rPr>
        <mc:AlternateContent>
          <mc:Choice Requires="wps">
            <w:drawing>
              <wp:anchor distT="0" distB="0" distL="114300" distR="114300" simplePos="0" relativeHeight="253492224" behindDoc="0" locked="0" layoutInCell="1" allowOverlap="1" wp14:anchorId="5E6FC794" wp14:editId="03C9BEC5">
                <wp:simplePos x="0" y="0"/>
                <wp:positionH relativeFrom="column">
                  <wp:posOffset>4677410</wp:posOffset>
                </wp:positionH>
                <wp:positionV relativeFrom="paragraph">
                  <wp:posOffset>481965</wp:posOffset>
                </wp:positionV>
                <wp:extent cx="726440" cy="0"/>
                <wp:effectExtent l="59055" t="23495" r="64770" b="21590"/>
                <wp:wrapNone/>
                <wp:docPr id="3689" name="Line 279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rot="5400000" flipH="1">
                          <a:off x="0" y="0"/>
                          <a:ext cx="726440" cy="0"/>
                        </a:xfrm>
                        <a:prstGeom prst="line">
                          <a:avLst/>
                        </a:prstGeom>
                        <a:noFill/>
                        <a:ln w="9525">
                          <a:solidFill>
                            <a:srgbClr val="000000"/>
                          </a:solidFill>
                          <a:prstDash val="sysDot"/>
                          <a:round/>
                          <a:headEnd type="arrow" w="sm" len="sm"/>
                          <a:tailEnd type="arrow" w="sm" len="sm"/>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line w14:anchorId="4E0D8443" id="Line 2792" o:spid="_x0000_s1026" style="position:absolute;left:0;text-align:left;rotation:-90;flip:x;z-index:2534922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68.3pt,37.95pt" to="425.5pt,37.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">
                <v:stroke dashstyle="1 1" startarrow="open" startarrowwidth="narrow" startarrowlength="short" endarrow="open" endarrowwidth="narrow" endarrowlength="short"/>
              </v:line>
            </w:pict>
          </mc:Fallback>
        </mc:AlternateContent>
      </w:r>
    </w:p>
    <w:p w14:paraId="04B1E820" w14:textId="77777777" w:rsidR="008B4B2B" w:rsidRPr="001D6D10" w:rsidRDefault="008B4B2B" w:rsidP="008B4B2B">
      <w:pPr>
        <w:spacing w:line="220" w:lineRule="exact"/>
      </w:pPr>
      <w:r w:rsidRPr="001D6D10">
        <w:rPr>
          <w:noProof/>
          <w:sz w:val="20"/>
        </w:rPr>
        <mc:AlternateContent>
          <mc:Choice Requires="wps">
            <w:drawing>
              <wp:anchor distT="0" distB="0" distL="114300" distR="114300" simplePos="0" relativeHeight="253484032" behindDoc="0" locked="0" layoutInCell="1" allowOverlap="1" wp14:anchorId="4FC3A867" wp14:editId="6DA83F57">
                <wp:simplePos x="0" y="0"/>
                <wp:positionH relativeFrom="column">
                  <wp:posOffset>-471805</wp:posOffset>
                </wp:positionH>
                <wp:positionV relativeFrom="paragraph">
                  <wp:posOffset>1127760</wp:posOffset>
                </wp:positionV>
                <wp:extent cx="2143760" cy="0"/>
                <wp:effectExtent l="66675" t="17780" r="66675" b="19685"/>
                <wp:wrapNone/>
                <wp:docPr id="3688" name="Line 278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rot="5400000" flipH="1">
                          <a:off x="0" y="0"/>
                          <a:ext cx="2143760" cy="0"/>
                        </a:xfrm>
                        <a:prstGeom prst="line">
                          <a:avLst/>
                        </a:prstGeom>
                        <a:noFill/>
                        <a:ln w="9525">
                          <a:solidFill>
                            <a:srgbClr val="000000"/>
                          </a:solidFill>
                          <a:prstDash val="sysDot"/>
                          <a:round/>
                          <a:headEnd type="arrow" w="sm" len="sm"/>
                          <a:tailEnd type="arrow" w="sm" len="sm"/>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line w14:anchorId="21DC9EF8" id="Line 2785" o:spid="_x0000_s1026" style="position:absolute;left:0;text-align:left;rotation:-90;flip:x;z-index:2534840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7.15pt,88.8pt" to="131.65pt,88.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">
                <v:stroke dashstyle="1 1" startarrow="open" startarrowwidth="narrow" startarrowlength="short" endarrow="open" endarrowwidth="narrow" endarrowlength="short"/>
              </v:line>
            </w:pict>
          </mc:Fallback>
        </mc:AlternateContent>
      </w:r>
      <w:r w:rsidRPr="001D6D10">
        <w:rPr>
          <w:noProof/>
          <w:sz w:val="20"/>
        </w:rPr>
        <mc:AlternateContent>
          <mc:Choice Requires="wps">
            <w:drawing>
              <wp:anchor distT="0" distB="0" distL="114300" distR="114300" simplePos="0" relativeHeight="253486080" behindDoc="0" locked="0" layoutInCell="1" allowOverlap="1" wp14:anchorId="112DE163" wp14:editId="6A92DA26">
                <wp:simplePos x="0" y="0"/>
                <wp:positionH relativeFrom="column">
                  <wp:posOffset>1511300</wp:posOffset>
                </wp:positionH>
                <wp:positionV relativeFrom="paragraph">
                  <wp:posOffset>-1270</wp:posOffset>
                </wp:positionV>
                <wp:extent cx="817245" cy="960120"/>
                <wp:effectExtent l="49530" t="60325" r="47625" b="55880"/>
                <wp:wrapNone/>
                <wp:docPr id="3687" name="Line 278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rot="5400000" flipH="1">
                          <a:off x="0" y="0"/>
                          <a:ext cx="817245" cy="960120"/>
                        </a:xfrm>
                        <a:prstGeom prst="line">
                          <a:avLst/>
                        </a:prstGeom>
                        <a:noFill/>
                        <a:ln w="9525">
                          <a:solidFill>
                            <a:srgbClr val="000000"/>
                          </a:solidFill>
                          <a:prstDash val="sysDot"/>
                          <a:round/>
                          <a:headEnd type="arrow" w="sm" len="sm"/>
                          <a:tailEnd type="arrow" w="sm" len="sm"/>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line w14:anchorId="6EAEEF67" id="Line 2786" o:spid="_x0000_s1026" style="position:absolute;left:0;text-align:left;rotation:-90;flip:x;z-index:2534860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19pt,-.1pt" to="183.35pt,7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">
                <v:stroke dashstyle="1 1" startarrow="open" startarrowwidth="narrow" startarrowlength="short" endarrow="open" endarrowwidth="narrow" endarrowlength="short"/>
              </v:line>
            </w:pict>
          </mc:Fallback>
        </mc:AlternateContent>
      </w:r>
    </w:p>
    <w:p w14:paraId="3822BC9D" w14:textId="77777777" w:rsidR="008B4B2B" w:rsidRPr="001D6D10" w:rsidRDefault="008B4B2B" w:rsidP="008B4B2B">
      <w:pPr>
        <w:spacing w:line="220" w:lineRule="exact"/>
      </w:pPr>
    </w:p>
    <w:p w14:paraId="27AA9439" w14:textId="77777777" w:rsidR="008B4B2B" w:rsidRPr="001D6D10" w:rsidRDefault="008B4B2B" w:rsidP="008B4B2B">
      <w:pPr>
        <w:spacing w:line="220" w:lineRule="exact"/>
      </w:pPr>
      <w:r w:rsidRPr="001D6D10">
        <w:rPr>
          <w:noProof/>
          <w:sz w:val="20"/>
        </w:rPr>
        <mc:AlternateContent>
          <mc:Choice Requires="wps">
            <w:drawing>
              <wp:anchor distT="0" distB="0" distL="114300" distR="114300" simplePos="0" relativeHeight="253466624" behindDoc="0" locked="0" layoutInCell="1" allowOverlap="1" wp14:anchorId="445AFCF3" wp14:editId="1EC7D33A">
                <wp:simplePos x="0" y="0"/>
                <wp:positionH relativeFrom="column">
                  <wp:posOffset>3120390</wp:posOffset>
                </wp:positionH>
                <wp:positionV relativeFrom="paragraph">
                  <wp:posOffset>62865</wp:posOffset>
                </wp:positionV>
                <wp:extent cx="960120" cy="363220"/>
                <wp:effectExtent l="5715" t="5715" r="5715" b="12065"/>
                <wp:wrapNone/>
                <wp:docPr id="3686" name="Line 276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960120" cy="36322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line w14:anchorId="10889E99" id="Line 2769" o:spid="_x0000_s1026" style="position:absolute;left:0;text-align:left;z-index:253466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45.7pt,4.95pt" to="321.3pt,33.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"/>
            </w:pict>
          </mc:Fallback>
        </mc:AlternateContent>
      </w:r>
      <w:r w:rsidRPr="001D6D10">
        <w:rPr>
          <w:noProof/>
          <w:sz w:val="20"/>
        </w:rPr>
        <mc:AlternateContent>
          <mc:Choice Requires="wps">
            <w:drawing>
              <wp:anchor distT="0" distB="0" distL="114300" distR="114300" simplePos="0" relativeHeight="253476864" behindDoc="0" locked="0" layoutInCell="1" allowOverlap="1" wp14:anchorId="266B6D81" wp14:editId="72FF0F5D">
                <wp:simplePos x="0" y="0"/>
                <wp:positionH relativeFrom="column">
                  <wp:posOffset>2945765</wp:posOffset>
                </wp:positionH>
                <wp:positionV relativeFrom="paragraph">
                  <wp:posOffset>237490</wp:posOffset>
                </wp:positionV>
                <wp:extent cx="349250" cy="0"/>
                <wp:effectExtent l="62865" t="5715" r="60960" b="16510"/>
                <wp:wrapNone/>
                <wp:docPr id="3685" name="Line 277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rot="16200000" flipH="1">
                          <a:off x="0" y="0"/>
                          <a:ext cx="349250" cy="0"/>
                        </a:xfrm>
                        <a:prstGeom prst="line">
                          <a:avLst/>
                        </a:prstGeom>
                        <a:noFill/>
                        <a:ln w="9525">
                          <a:solidFill>
                            <a:srgbClr val="000000"/>
                          </a:solidFill>
                          <a:round/>
                          <a:headEnd/>
                          <a:tailEnd type="arrow" w="sm" len="sm"/>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line w14:anchorId="181F7504" id="Line 2778" o:spid="_x0000_s1026" style="position:absolute;left:0;text-align:left;rotation:90;flip:x;z-index:2534768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31.95pt,18.7pt" to="259.45pt,18.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">
                <v:stroke endarrow="open" endarrowwidth="narrow" endarrowlength="short"/>
              </v:line>
            </w:pict>
          </mc:Fallback>
        </mc:AlternateContent>
      </w:r>
    </w:p>
    <w:p w14:paraId="56052998" w14:textId="77777777" w:rsidR="008B4B2B" w:rsidRPr="001D6D10" w:rsidRDefault="008B4B2B" w:rsidP="008B4B2B">
      <w:pPr>
        <w:tabs>
          <w:tab w:val="right" w:pos="6048"/>
        </w:tabs>
        <w:spacing w:line="220" w:lineRule="exact"/>
      </w:pPr>
      <w:r w:rsidRPr="001D6D10">
        <w:rPr>
          <w:rFonts w:hint="eastAsia"/>
        </w:rPr>
        <w:tab/>
      </w:r>
      <w:r w:rsidRPr="001D6D10">
        <w:rPr>
          <w:rFonts w:hint="eastAsia"/>
        </w:rPr>
        <w:t>※</w:t>
      </w:r>
    </w:p>
    <w:p w14:paraId="1F1992B9" w14:textId="77777777" w:rsidR="008B4B2B" w:rsidRPr="001D6D10" w:rsidRDefault="008B4B2B" w:rsidP="008B4B2B">
      <w:pPr>
        <w:spacing w:line="220" w:lineRule="exact"/>
      </w:pPr>
    </w:p>
    <w:p w14:paraId="331E8944" w14:textId="77777777" w:rsidR="008B4B2B" w:rsidRPr="001D6D10" w:rsidRDefault="008B4B2B" w:rsidP="008B4B2B">
      <w:pPr>
        <w:spacing w:line="220" w:lineRule="exact"/>
      </w:pPr>
      <w:r w:rsidRPr="001D6D10">
        <w:rPr>
          <w:noProof/>
          <w:sz w:val="20"/>
        </w:rPr>
        <mc:AlternateContent>
          <mc:Choice Requires="wps">
            <w:drawing>
              <wp:anchor distT="0" distB="0" distL="114300" distR="114300" simplePos="0" relativeHeight="253493248" behindDoc="0" locked="0" layoutInCell="1" allowOverlap="1" wp14:anchorId="07F727A8" wp14:editId="3DFD64F0">
                <wp:simplePos x="0" y="0"/>
                <wp:positionH relativeFrom="column">
                  <wp:posOffset>3611880</wp:posOffset>
                </wp:positionH>
                <wp:positionV relativeFrom="paragraph">
                  <wp:posOffset>475615</wp:posOffset>
                </wp:positionV>
                <wp:extent cx="937260" cy="0"/>
                <wp:effectExtent l="60960" t="6985" r="62865" b="17780"/>
                <wp:wrapNone/>
                <wp:docPr id="3684" name="Line 279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rot="16200000" flipH="1">
                          <a:off x="0" y="0"/>
                          <a:ext cx="937260" cy="0"/>
                        </a:xfrm>
                        <a:prstGeom prst="line">
                          <a:avLst/>
                        </a:prstGeom>
                        <a:noFill/>
                        <a:ln w="9525">
                          <a:solidFill>
                            <a:srgbClr val="000000"/>
                          </a:solidFill>
                          <a:round/>
                          <a:headEnd/>
                          <a:tailEnd type="arrow" w="sm" len="sm"/>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line w14:anchorId="5855BBED" id="Line 2793" o:spid="_x0000_s1026" style="position:absolute;left:0;text-align:left;rotation:90;flip:x;z-index:2534932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84.4pt,37.45pt" to="358.2pt,37.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">
                <v:stroke endarrow="open" endarrowwidth="narrow" endarrowlength="short"/>
              </v:line>
            </w:pict>
          </mc:Fallback>
        </mc:AlternateContent>
      </w:r>
      <w:r w:rsidRPr="001D6D10">
        <w:rPr>
          <w:noProof/>
          <w:sz w:val="20"/>
        </w:rPr>
        <mc:AlternateContent>
          <mc:Choice Requires="wps">
            <w:drawing>
              <wp:anchor distT="0" distB="0" distL="114300" distR="114300" simplePos="0" relativeHeight="253479936" behindDoc="0" locked="0" layoutInCell="1" allowOverlap="1" wp14:anchorId="66AB3D88" wp14:editId="3D16124C">
                <wp:simplePos x="0" y="0"/>
                <wp:positionH relativeFrom="column">
                  <wp:posOffset>4320540</wp:posOffset>
                </wp:positionH>
                <wp:positionV relativeFrom="paragraph">
                  <wp:posOffset>6985</wp:posOffset>
                </wp:positionV>
                <wp:extent cx="1440180" cy="272415"/>
                <wp:effectExtent l="5715" t="6985" r="11430" b="6350"/>
                <wp:wrapNone/>
                <wp:docPr id="3683" name="Text Box 278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40180" cy="272415"/>
                        </a:xfrm>
                        <a:prstGeom prst="rect">
                          <a:avLst/>
                        </a:prstGeom>
                        <a:solidFill>
                          <a:srgbClr val="FFFFFF"/>
                        </a:solidFill>
                        <a:ln w="9525">
                          <a:solidFill>
                            <a:srgbClr val="000000"/>
                          </a:solidFill>
                          <a:miter lim="800000"/>
                          <a:headEnd/>
                          <a:tailEnd/>
                        </a:ln>
                      </wps:spPr>
                      <wps:txbx>
                        <w:txbxContent>
                          <w:p w14:paraId="73001CEA" w14:textId="77777777" w:rsidR="006A5267" w:rsidRDefault="006A5267" w:rsidP="008B4B2B">
                            <w:pPr>
                              <w:jc w:val="distribute"/>
                            </w:pPr>
                            <w:r>
                              <w:rPr>
                                <w:rFonts w:hint="eastAsia"/>
                              </w:rPr>
                              <w:t>大阪府警察本部</w:t>
                            </w:r>
                          </w:p>
                        </w:txbxContent>
                      </wps:txbx>
                      <wps:bodyPr rot="0" vert="horz" wrap="square" lIns="37440" tIns="24120" rIns="41040" bIns="24120" anchor="t" anchorCtr="0" upright="1">
                        <a:noAutofit/>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shape w14:anchorId="66AB3D88" id="Text Box 2781" o:spid="_x0000_s1777" type="#_x0000_t202" style="position:absolute;left:0;text-align:left;margin-left:340.2pt;margin-top:.55pt;width:113.4pt;height:21.45pt;z-index:2534799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">
                <v:textbox inset="1.04mm,.67mm,1.14mm,.67mm">
                  <w:txbxContent>
                    <w:p w14:paraId="73001CEA" w14:textId="77777777" w:rsidR="006A5267" w:rsidRDefault="006A5267" w:rsidP="008B4B2B">
                      <w:pPr>
                        <w:jc w:val="distribute"/>
                      </w:pPr>
                      <w:r>
                        <w:rPr>
                          <w:rFonts w:hint="eastAsia"/>
                        </w:rPr>
                        <w:t>大阪府警察本部</w:t>
                      </w:r>
                    </w:p>
                  </w:txbxContent>
                </v:textbox>
              </v:shape>
            </w:pict>
          </mc:Fallback>
        </mc:AlternateContent>
      </w:r>
      <w:r w:rsidRPr="001D6D10">
        <w:rPr>
          <w:noProof/>
          <w:sz w:val="20"/>
        </w:rPr>
        <mc:AlternateContent>
          <mc:Choice Requires="wps">
            <w:drawing>
              <wp:anchor distT="0" distB="0" distL="114300" distR="114300" simplePos="0" relativeHeight="253473792" behindDoc="0" locked="0" layoutInCell="1" allowOverlap="1" wp14:anchorId="732E0696" wp14:editId="12C8AF8D">
                <wp:simplePos x="0" y="0"/>
                <wp:positionH relativeFrom="column">
                  <wp:posOffset>2400300</wp:posOffset>
                </wp:positionH>
                <wp:positionV relativeFrom="paragraph">
                  <wp:posOffset>6985</wp:posOffset>
                </wp:positionV>
                <wp:extent cx="1440180" cy="635635"/>
                <wp:effectExtent l="9525" t="6985" r="7620" b="5080"/>
                <wp:wrapNone/>
                <wp:docPr id="3682" name="Text Box 277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40180" cy="635635"/>
                        </a:xfrm>
                        <a:prstGeom prst="rect">
                          <a:avLst/>
                        </a:prstGeom>
                        <a:solidFill>
                          <a:srgbClr val="FFFFFF"/>
                        </a:solidFill>
                        <a:ln w="9525">
                          <a:solidFill>
                            <a:srgbClr val="000000"/>
                          </a:solidFill>
                          <a:miter lim="800000"/>
                          <a:headEnd/>
                          <a:tailEnd/>
                        </a:ln>
                      </wps:spPr>
                      <wps:txbx>
                        <w:txbxContent>
                          <w:p w14:paraId="5E551A82" w14:textId="77777777" w:rsidR="006A5267" w:rsidRDefault="006A5267" w:rsidP="002F0670">
                            <w:pPr>
                              <w:spacing w:line="360" w:lineRule="auto"/>
                              <w:jc w:val="distribute"/>
                            </w:pPr>
                            <w:r>
                              <w:rPr>
                                <w:rFonts w:hint="eastAsia"/>
                              </w:rPr>
                              <w:t>市町村</w:t>
                            </w:r>
                          </w:p>
                          <w:p w14:paraId="01E6D648" w14:textId="77777777" w:rsidR="006A5267" w:rsidRDefault="006A5267" w:rsidP="002F0670">
                            <w:pPr>
                              <w:spacing w:line="360" w:lineRule="auto"/>
                              <w:jc w:val="distribute"/>
                            </w:pPr>
                            <w:r>
                              <w:rPr>
                                <w:rFonts w:hint="eastAsia"/>
                              </w:rPr>
                              <w:t>消防本部</w:t>
                            </w:r>
                          </w:p>
                        </w:txbxContent>
                      </wps:txbx>
                      <wps:bodyPr rot="0" vert="horz" wrap="square" lIns="37440" tIns="24120" rIns="41040" bIns="24120" anchor="t" anchorCtr="0" upright="1">
                        <a:noAutofit/>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shape w14:anchorId="732E0696" id="Text Box 2776" o:spid="_x0000_s1778" type="#_x0000_t202" style="position:absolute;left:0;text-align:left;margin-left:189pt;margin-top:.55pt;width:113.4pt;height:50.05pt;z-index:253473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">
                <v:textbox inset="1.04mm,.67mm,1.14mm,.67mm">
                  <w:txbxContent>
                    <w:p w14:paraId="5E551A82" w14:textId="77777777" w:rsidR="006A5267" w:rsidRDefault="006A5267" w:rsidP="002F0670">
                      <w:pPr>
                        <w:spacing w:line="360" w:lineRule="auto"/>
                        <w:jc w:val="distribute"/>
                      </w:pPr>
                      <w:r>
                        <w:rPr>
                          <w:rFonts w:hint="eastAsia"/>
                        </w:rPr>
                        <w:t>市町村</w:t>
                      </w:r>
                    </w:p>
                    <w:p w14:paraId="01E6D648" w14:textId="77777777" w:rsidR="006A5267" w:rsidRDefault="006A5267" w:rsidP="002F0670">
                      <w:pPr>
                        <w:spacing w:line="360" w:lineRule="auto"/>
                        <w:jc w:val="distribute"/>
                      </w:pPr>
                      <w:r>
                        <w:rPr>
                          <w:rFonts w:hint="eastAsia"/>
                        </w:rPr>
                        <w:t>消防本部</w:t>
                      </w:r>
                    </w:p>
                  </w:txbxContent>
                </v:textbox>
              </v:shape>
            </w:pict>
          </mc:Fallback>
        </mc:AlternateContent>
      </w:r>
    </w:p>
    <w:p w14:paraId="3584C92D" w14:textId="77777777" w:rsidR="008B4B2B" w:rsidRPr="001D6D10" w:rsidRDefault="008B4B2B" w:rsidP="008B4B2B">
      <w:pPr>
        <w:spacing w:line="220" w:lineRule="exact"/>
      </w:pPr>
    </w:p>
    <w:p w14:paraId="42268429" w14:textId="77777777" w:rsidR="008B4B2B" w:rsidRPr="001D6D10" w:rsidRDefault="008B4B2B" w:rsidP="008B4B2B">
      <w:pPr>
        <w:spacing w:line="220" w:lineRule="exact"/>
      </w:pPr>
      <w:r w:rsidRPr="001D6D10">
        <w:rPr>
          <w:noProof/>
          <w:sz w:val="20"/>
        </w:rPr>
        <mc:AlternateContent>
          <mc:Choice Requires="wps">
            <w:drawing>
              <wp:anchor distT="0" distB="0" distL="114300" distR="114300" simplePos="0" relativeHeight="253500416" behindDoc="0" locked="0" layoutInCell="1" allowOverlap="1" wp14:anchorId="1BCC280A" wp14:editId="380361B4">
                <wp:simplePos x="0" y="0"/>
                <wp:positionH relativeFrom="column">
                  <wp:posOffset>3924300</wp:posOffset>
                </wp:positionH>
                <wp:positionV relativeFrom="paragraph">
                  <wp:posOffset>-101600</wp:posOffset>
                </wp:positionV>
                <wp:extent cx="650875" cy="872490"/>
                <wp:effectExtent l="51435" t="56515" r="47625" b="54610"/>
                <wp:wrapNone/>
                <wp:docPr id="3681" name="Line 279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rot="16200000">
                          <a:off x="0" y="0"/>
                          <a:ext cx="650875" cy="872490"/>
                        </a:xfrm>
                        <a:prstGeom prst="line">
                          <a:avLst/>
                        </a:prstGeom>
                        <a:noFill/>
                        <a:ln w="9525">
                          <a:solidFill>
                            <a:srgbClr val="000000"/>
                          </a:solidFill>
                          <a:prstDash val="sysDot"/>
                          <a:round/>
                          <a:headEnd type="arrow" w="sm" len="sm"/>
                          <a:tailEnd type="arrow" w="sm" len="sm"/>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line w14:anchorId="60F45023" id="Line 2799" o:spid="_x0000_s1026" style="position:absolute;left:0;text-align:left;rotation:-90;z-index:2535004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09pt,-8pt" to="360.25pt,60.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">
                <v:stroke dashstyle="1 1" startarrow="open" startarrowwidth="narrow" startarrowlength="short" endarrow="open" endarrowwidth="narrow" endarrowlength="short"/>
              </v:line>
            </w:pict>
          </mc:Fallback>
        </mc:AlternateContent>
      </w:r>
      <w:r w:rsidRPr="001D6D10">
        <w:rPr>
          <w:noProof/>
          <w:sz w:val="20"/>
        </w:rPr>
        <mc:AlternateContent>
          <mc:Choice Requires="wps">
            <w:drawing>
              <wp:anchor distT="0" distB="0" distL="114300" distR="114300" simplePos="0" relativeHeight="253487104" behindDoc="0" locked="0" layoutInCell="1" allowOverlap="1" wp14:anchorId="70318C3F" wp14:editId="74C81A0B">
                <wp:simplePos x="0" y="0"/>
                <wp:positionH relativeFrom="column">
                  <wp:posOffset>2403475</wp:posOffset>
                </wp:positionH>
                <wp:positionV relativeFrom="paragraph">
                  <wp:posOffset>34290</wp:posOffset>
                </wp:positionV>
                <wp:extent cx="1440180" cy="0"/>
                <wp:effectExtent l="12700" t="5715" r="13970" b="13335"/>
                <wp:wrapNone/>
                <wp:docPr id="3680" name="Line 278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440180" cy="0"/>
                        </a:xfrm>
                        <a:prstGeom prst="line">
                          <a:avLst/>
                        </a:prstGeom>
                        <a:noFill/>
                        <a:ln w="9525">
                          <a:solidFill>
                            <a:srgbClr val="000000"/>
                          </a:solidFill>
                          <a:prstDash val="sysDot"/>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line w14:anchorId="4F058A93" id="Line 2787" o:spid="_x0000_s1026" style="position:absolute;left:0;text-align:left;z-index:2534871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89.25pt,2.7pt" to="302.65pt,2.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">
                <v:stroke dashstyle="1 1"/>
              </v:line>
            </w:pict>
          </mc:Fallback>
        </mc:AlternateContent>
      </w:r>
      <w:r w:rsidRPr="001D6D10">
        <w:rPr>
          <w:noProof/>
          <w:sz w:val="20"/>
        </w:rPr>
        <mc:AlternateContent>
          <mc:Choice Requires="wps">
            <w:drawing>
              <wp:anchor distT="0" distB="0" distL="114300" distR="114300" simplePos="0" relativeHeight="253470720" behindDoc="0" locked="0" layoutInCell="1" allowOverlap="1" wp14:anchorId="636ED490" wp14:editId="3B9C082A">
                <wp:simplePos x="0" y="0"/>
                <wp:positionH relativeFrom="column">
                  <wp:posOffset>840105</wp:posOffset>
                </wp:positionH>
                <wp:positionV relativeFrom="paragraph">
                  <wp:posOffset>90805</wp:posOffset>
                </wp:positionV>
                <wp:extent cx="1080135" cy="272415"/>
                <wp:effectExtent l="11430" t="5080" r="13335" b="8255"/>
                <wp:wrapNone/>
                <wp:docPr id="3679" name="Text Box 277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80135" cy="272415"/>
                        </a:xfrm>
                        <a:prstGeom prst="rect">
                          <a:avLst/>
                        </a:prstGeom>
                        <a:solidFill>
                          <a:srgbClr val="FFFFFF"/>
                        </a:solidFill>
                        <a:ln w="9525">
                          <a:solidFill>
                            <a:srgbClr val="000000"/>
                          </a:solidFill>
                          <a:miter lim="800000"/>
                          <a:headEnd/>
                          <a:tailEnd/>
                        </a:ln>
                      </wps:spPr>
                      <wps:txbx>
                        <w:txbxContent>
                          <w:p w14:paraId="01835E08" w14:textId="77777777" w:rsidR="006A5267" w:rsidRDefault="006A5267" w:rsidP="008B4B2B">
                            <w:pPr>
                              <w:jc w:val="distribute"/>
                            </w:pPr>
                            <w:r>
                              <w:rPr>
                                <w:rFonts w:hint="eastAsia"/>
                              </w:rPr>
                              <w:t>隣接市町村</w:t>
                            </w:r>
                          </w:p>
                        </w:txbxContent>
                      </wps:txbx>
                      <wps:bodyPr rot="0" vert="horz" wrap="square" lIns="37440" tIns="24120" rIns="41040" bIns="24120" anchor="t" anchorCtr="0" upright="1">
                        <a:noAutofit/>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shape w14:anchorId="636ED490" id="Text Box 2773" o:spid="_x0000_s1779" type="#_x0000_t202" style="position:absolute;left:0;text-align:left;margin-left:66.15pt;margin-top:7.15pt;width:85.05pt;height:21.45pt;z-index:253470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">
                <v:textbox inset="1.04mm,.67mm,1.14mm,.67mm">
                  <w:txbxContent>
                    <w:p w14:paraId="01835E08" w14:textId="77777777" w:rsidR="006A5267" w:rsidRDefault="006A5267" w:rsidP="008B4B2B">
                      <w:pPr>
                        <w:jc w:val="distribute"/>
                      </w:pPr>
                      <w:r>
                        <w:rPr>
                          <w:rFonts w:hint="eastAsia"/>
                        </w:rPr>
                        <w:t>隣接市町村</w:t>
                      </w:r>
                    </w:p>
                  </w:txbxContent>
                </v:textbox>
              </v:shape>
            </w:pict>
          </mc:Fallback>
        </mc:AlternateContent>
      </w:r>
    </w:p>
    <w:p w14:paraId="5AA8F74E" w14:textId="77777777" w:rsidR="008B4B2B" w:rsidRPr="001D6D10" w:rsidRDefault="008B4B2B" w:rsidP="008B4B2B">
      <w:pPr>
        <w:spacing w:line="220" w:lineRule="exact"/>
      </w:pPr>
      <w:r w:rsidRPr="001D6D10">
        <w:rPr>
          <w:noProof/>
          <w:sz w:val="20"/>
        </w:rPr>
        <mc:AlternateContent>
          <mc:Choice Requires="wps">
            <w:drawing>
              <wp:anchor distT="0" distB="0" distL="114300" distR="114300" simplePos="0" relativeHeight="253488128" behindDoc="0" locked="0" layoutInCell="1" allowOverlap="1" wp14:anchorId="2898787B" wp14:editId="6BF209F3">
                <wp:simplePos x="0" y="0"/>
                <wp:positionH relativeFrom="column">
                  <wp:posOffset>2160270</wp:posOffset>
                </wp:positionH>
                <wp:positionV relativeFrom="paragraph">
                  <wp:posOffset>-198120</wp:posOffset>
                </wp:positionV>
                <wp:extent cx="0" cy="480060"/>
                <wp:effectExtent l="15240" t="60960" r="19050" b="62865"/>
                <wp:wrapNone/>
                <wp:docPr id="3678" name="Line 278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rot="5400000" flipH="1">
                          <a:off x="0" y="0"/>
                          <a:ext cx="0" cy="480060"/>
                        </a:xfrm>
                        <a:prstGeom prst="line">
                          <a:avLst/>
                        </a:prstGeom>
                        <a:noFill/>
                        <a:ln w="9525">
                          <a:solidFill>
                            <a:srgbClr val="000000"/>
                          </a:solidFill>
                          <a:prstDash val="sysDot"/>
                          <a:round/>
                          <a:headEnd type="arrow" w="sm" len="sm"/>
                          <a:tailEnd type="arrow" w="sm" len="sm"/>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line w14:anchorId="070CE950" id="Line 2788" o:spid="_x0000_s1026" style="position:absolute;left:0;text-align:left;rotation:-90;flip:x;z-index:2534881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70.1pt,-15.6pt" to="170.1pt,22.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">
                <v:stroke dashstyle="1 1" startarrow="open" startarrowwidth="narrow" startarrowlength="short" endarrow="open" endarrowwidth="narrow" endarrowlength="short"/>
              </v:line>
            </w:pict>
          </mc:Fallback>
        </mc:AlternateContent>
      </w:r>
    </w:p>
    <w:p w14:paraId="1F244015" w14:textId="77777777" w:rsidR="008B4B2B" w:rsidRPr="001D6D10" w:rsidRDefault="008B4B2B" w:rsidP="008B4B2B">
      <w:pPr>
        <w:spacing w:line="220" w:lineRule="exact"/>
      </w:pPr>
      <w:r w:rsidRPr="001D6D10">
        <w:rPr>
          <w:noProof/>
          <w:sz w:val="20"/>
        </w:rPr>
        <mc:AlternateContent>
          <mc:Choice Requires="wps">
            <w:drawing>
              <wp:anchor distT="0" distB="0" distL="114300" distR="114300" simplePos="0" relativeHeight="253477888" behindDoc="0" locked="0" layoutInCell="1" allowOverlap="1" wp14:anchorId="10A7BB6F" wp14:editId="3F748F30">
                <wp:simplePos x="0" y="0"/>
                <wp:positionH relativeFrom="column">
                  <wp:posOffset>2969260</wp:posOffset>
                </wp:positionH>
                <wp:positionV relativeFrom="paragraph">
                  <wp:posOffset>234950</wp:posOffset>
                </wp:positionV>
                <wp:extent cx="301625" cy="0"/>
                <wp:effectExtent l="62865" t="17145" r="60960" b="14605"/>
                <wp:wrapNone/>
                <wp:docPr id="3677" name="Line 277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rot="16200000" flipH="1">
                          <a:off x="0" y="0"/>
                          <a:ext cx="301625" cy="0"/>
                        </a:xfrm>
                        <a:prstGeom prst="line">
                          <a:avLst/>
                        </a:prstGeom>
                        <a:noFill/>
                        <a:ln w="9525">
                          <a:solidFill>
                            <a:srgbClr val="000000"/>
                          </a:solidFill>
                          <a:round/>
                          <a:headEnd type="arrow" w="sm" len="sm"/>
                          <a:tailEnd type="arrow" w="sm" len="sm"/>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line w14:anchorId="3FCD2044" id="Line 2779" o:spid="_x0000_s1026" style="position:absolute;left:0;text-align:left;rotation:90;flip:x;z-index:2534778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33.8pt,18.5pt" to="257.55pt,1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">
                <v:stroke startarrow="open" startarrowwidth="narrow" startarrowlength="short" endarrow="open" endarrowwidth="narrow" endarrowlength="short"/>
              </v:line>
            </w:pict>
          </mc:Fallback>
        </mc:AlternateContent>
      </w:r>
      <w:r w:rsidRPr="001D6D10">
        <w:rPr>
          <w:noProof/>
          <w:sz w:val="20"/>
        </w:rPr>
        <mc:AlternateContent>
          <mc:Choice Requires="wps">
            <w:drawing>
              <wp:anchor distT="0" distB="0" distL="114300" distR="114300" simplePos="0" relativeHeight="253489152" behindDoc="0" locked="0" layoutInCell="1" allowOverlap="1" wp14:anchorId="40121D0A" wp14:editId="75A5EB18">
                <wp:simplePos x="0" y="0"/>
                <wp:positionH relativeFrom="column">
                  <wp:posOffset>1800225</wp:posOffset>
                </wp:positionH>
                <wp:positionV relativeFrom="paragraph">
                  <wp:posOffset>83820</wp:posOffset>
                </wp:positionV>
                <wp:extent cx="0" cy="301625"/>
                <wp:effectExtent l="66675" t="17145" r="66675" b="14605"/>
                <wp:wrapNone/>
                <wp:docPr id="3676" name="Line 278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0" cy="301625"/>
                        </a:xfrm>
                        <a:prstGeom prst="line">
                          <a:avLst/>
                        </a:prstGeom>
                        <a:noFill/>
                        <a:ln w="9525">
                          <a:solidFill>
                            <a:srgbClr val="000000"/>
                          </a:solidFill>
                          <a:prstDash val="sysDot"/>
                          <a:round/>
                          <a:headEnd type="arrow" w="sm" len="sm"/>
                          <a:tailEnd type="arrow" w="sm" len="sm"/>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line w14:anchorId="124AEF9A" id="Line 2789" o:spid="_x0000_s1026" style="position:absolute;left:0;text-align:left;flip:x;z-index:2534891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41.75pt,6.6pt" to="141.75pt,30.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">
                <v:stroke dashstyle="1 1" startarrow="open" startarrowwidth="narrow" startarrowlength="short" endarrow="open" endarrowwidth="narrow" endarrowlength="short"/>
              </v:line>
            </w:pict>
          </mc:Fallback>
        </mc:AlternateContent>
      </w:r>
    </w:p>
    <w:p w14:paraId="4CBB29D0" w14:textId="77777777" w:rsidR="008B4B2B" w:rsidRPr="001D6D10" w:rsidRDefault="008B4B2B" w:rsidP="008B4B2B">
      <w:pPr>
        <w:spacing w:line="220" w:lineRule="exact"/>
      </w:pPr>
    </w:p>
    <w:p w14:paraId="433FF5A4" w14:textId="77777777" w:rsidR="008B4B2B" w:rsidRPr="001D6D10" w:rsidRDefault="008B4B2B" w:rsidP="008B4B2B">
      <w:pPr>
        <w:spacing w:line="220" w:lineRule="exact"/>
      </w:pPr>
      <w:r w:rsidRPr="001D6D10">
        <w:rPr>
          <w:noProof/>
          <w:sz w:val="20"/>
        </w:rPr>
        <mc:AlternateContent>
          <mc:Choice Requires="wps">
            <w:drawing>
              <wp:anchor distT="0" distB="0" distL="114300" distR="114300" simplePos="0" relativeHeight="253501440" behindDoc="0" locked="0" layoutInCell="1" allowOverlap="1" wp14:anchorId="5E3BEF83" wp14:editId="7938DC92">
                <wp:simplePos x="0" y="0"/>
                <wp:positionH relativeFrom="column">
                  <wp:posOffset>3347085</wp:posOffset>
                </wp:positionH>
                <wp:positionV relativeFrom="paragraph">
                  <wp:posOffset>100965</wp:posOffset>
                </wp:positionV>
                <wp:extent cx="0" cy="267970"/>
                <wp:effectExtent l="13335" t="5715" r="5715" b="12065"/>
                <wp:wrapNone/>
                <wp:docPr id="3675" name="Line 280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67970"/>
                        </a:xfrm>
                        <a:prstGeom prst="line">
                          <a:avLst/>
                        </a:prstGeom>
                        <a:noFill/>
                        <a:ln w="9525">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line w14:anchorId="7B79F9E9" id="Line 2800" o:spid="_x0000_s1026" style="position:absolute;left:0;text-align:left;z-index:2535014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63.55pt,7.95pt" to="263.55pt,29.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"/>
            </w:pict>
          </mc:Fallback>
        </mc:AlternateContent>
      </w:r>
      <w:r w:rsidRPr="001D6D10">
        <w:rPr>
          <w:noProof/>
          <w:sz w:val="20"/>
        </w:rPr>
        <mc:AlternateContent>
          <mc:Choice Requires="wps">
            <w:drawing>
              <wp:anchor distT="0" distB="0" distL="114300" distR="114300" simplePos="0" relativeHeight="253478912" behindDoc="0" locked="0" layoutInCell="1" allowOverlap="1" wp14:anchorId="56711AD6" wp14:editId="1572B9C3">
                <wp:simplePos x="0" y="0"/>
                <wp:positionH relativeFrom="column">
                  <wp:posOffset>1714500</wp:posOffset>
                </wp:positionH>
                <wp:positionV relativeFrom="paragraph">
                  <wp:posOffset>100965</wp:posOffset>
                </wp:positionV>
                <wp:extent cx="3566160" cy="283210"/>
                <wp:effectExtent l="9525" t="5715" r="5715" b="6350"/>
                <wp:wrapNone/>
                <wp:docPr id="3674" name="Text Box 278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66160" cy="283210"/>
                        </a:xfrm>
                        <a:prstGeom prst="rect">
                          <a:avLst/>
                        </a:prstGeom>
                        <a:solidFill>
                          <a:srgbClr val="FFFFFF"/>
                        </a:solidFill>
                        <a:ln w="9525">
                          <a:solidFill>
                            <a:srgbClr val="000000"/>
                          </a:solidFill>
                          <a:miter lim="800000"/>
                          <a:headEnd/>
                          <a:tailEnd/>
                        </a:ln>
                      </wps:spPr>
                      <wps:txbx>
                        <w:txbxContent>
                          <w:p w14:paraId="4F71EAC8" w14:textId="77777777" w:rsidR="006A5267" w:rsidRPr="00EE798C" w:rsidRDefault="006A5267" w:rsidP="008B4B2B">
                            <w:pPr>
                              <w:tabs>
                                <w:tab w:val="right" w:pos="2079"/>
                                <w:tab w:val="left" w:pos="2935"/>
                              </w:tabs>
                              <w:ind w:firstLineChars="200" w:firstLine="402"/>
                            </w:pPr>
                            <w:r w:rsidRPr="00EE798C">
                              <w:rPr>
                                <w:rFonts w:hint="eastAsia"/>
                                <w:sz w:val="20"/>
                              </w:rPr>
                              <w:t xml:space="preserve">大　</w:t>
                            </w:r>
                            <w:r w:rsidRPr="00EE798C">
                              <w:rPr>
                                <w:rFonts w:hint="eastAsia"/>
                                <w:sz w:val="20"/>
                              </w:rPr>
                              <w:t xml:space="preserve"> </w:t>
                            </w:r>
                            <w:r w:rsidRPr="00EE798C">
                              <w:rPr>
                                <w:rFonts w:hint="eastAsia"/>
                                <w:sz w:val="20"/>
                              </w:rPr>
                              <w:t xml:space="preserve">　阪</w:t>
                            </w:r>
                            <w:r w:rsidRPr="00EE798C">
                              <w:rPr>
                                <w:rFonts w:hint="eastAsia"/>
                                <w:sz w:val="20"/>
                              </w:rPr>
                              <w:t xml:space="preserve"> </w:t>
                            </w:r>
                            <w:r w:rsidRPr="00EE798C">
                              <w:rPr>
                                <w:rFonts w:hint="eastAsia"/>
                                <w:sz w:val="20"/>
                              </w:rPr>
                              <w:t xml:space="preserve">　　府</w:t>
                            </w:r>
                            <w:r w:rsidRPr="00EE798C">
                              <w:rPr>
                                <w:rFonts w:hint="eastAsia"/>
                                <w:sz w:val="20"/>
                              </w:rPr>
                              <w:t xml:space="preserve">   </w:t>
                            </w:r>
                            <w:r w:rsidRPr="00EE798C">
                              <w:rPr>
                                <w:rFonts w:hint="eastAsia"/>
                                <w:sz w:val="20"/>
                              </w:rPr>
                              <w:t xml:space="preserve">　　</w:t>
                            </w:r>
                            <w:r w:rsidRPr="00EE798C">
                              <w:rPr>
                                <w:rFonts w:hint="eastAsia"/>
                                <w:sz w:val="20"/>
                              </w:rPr>
                              <w:t xml:space="preserve">  </w:t>
                            </w:r>
                            <w:r w:rsidRPr="00EE798C">
                              <w:rPr>
                                <w:rFonts w:hint="eastAsia"/>
                                <w:sz w:val="20"/>
                              </w:rPr>
                              <w:t xml:space="preserve">消　</w:t>
                            </w:r>
                            <w:r w:rsidRPr="00EE798C">
                              <w:rPr>
                                <w:rFonts w:hint="eastAsia"/>
                                <w:sz w:val="20"/>
                              </w:rPr>
                              <w:t xml:space="preserve"> </w:t>
                            </w:r>
                            <w:r w:rsidRPr="00EE798C">
                              <w:rPr>
                                <w:rFonts w:hint="eastAsia"/>
                                <w:sz w:val="20"/>
                              </w:rPr>
                              <w:t xml:space="preserve">防　</w:t>
                            </w:r>
                            <w:r w:rsidRPr="00EE798C">
                              <w:rPr>
                                <w:rFonts w:hint="eastAsia"/>
                                <w:sz w:val="20"/>
                              </w:rPr>
                              <w:t xml:space="preserve"> </w:t>
                            </w:r>
                            <w:r w:rsidRPr="00EE798C">
                              <w:rPr>
                                <w:rFonts w:hint="eastAsia"/>
                                <w:sz w:val="20"/>
                              </w:rPr>
                              <w:t xml:space="preserve">保　</w:t>
                            </w:r>
                            <w:r w:rsidRPr="00EE798C">
                              <w:rPr>
                                <w:rFonts w:hint="eastAsia"/>
                                <w:sz w:val="20"/>
                              </w:rPr>
                              <w:t xml:space="preserve"> </w:t>
                            </w:r>
                            <w:r w:rsidRPr="00EE798C">
                              <w:rPr>
                                <w:rFonts w:hint="eastAsia"/>
                                <w:sz w:val="20"/>
                              </w:rPr>
                              <w:t xml:space="preserve">安　</w:t>
                            </w:r>
                            <w:r w:rsidRPr="00EE798C">
                              <w:rPr>
                                <w:rFonts w:hint="eastAsia"/>
                                <w:sz w:val="20"/>
                              </w:rPr>
                              <w:t xml:space="preserve"> </w:t>
                            </w:r>
                            <w:r w:rsidRPr="00EE798C">
                              <w:rPr>
                                <w:rFonts w:hint="eastAsia"/>
                                <w:sz w:val="20"/>
                              </w:rPr>
                              <w:t>課</w:t>
                            </w:r>
                            <w:r w:rsidRPr="00EE798C">
                              <w:rPr>
                                <w:rFonts w:hint="eastAsia"/>
                              </w:rPr>
                              <w:t xml:space="preserve">　　　　　</w:t>
                            </w:r>
                            <w:r w:rsidRPr="00EE798C">
                              <w:rPr>
                                <w:rFonts w:hint="eastAsia"/>
                              </w:rPr>
                              <w:t xml:space="preserve">   </w:t>
                            </w:r>
                          </w:p>
                        </w:txbxContent>
                      </wps:txbx>
                      <wps:bodyPr rot="0" vert="horz" wrap="square" lIns="37440" tIns="24120" rIns="41040" bIns="24120" anchor="t" anchorCtr="0" upright="1">
                        <a:noAutofit/>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shape w14:anchorId="56711AD6" id="Text Box 2780" o:spid="_x0000_s1780" type="#_x0000_t202" style="position:absolute;left:0;text-align:left;margin-left:135pt;margin-top:7.95pt;width:280.8pt;height:22.3pt;z-index:2534789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">
                <v:textbox inset="1.04mm,.67mm,1.14mm,.67mm">
                  <w:txbxContent>
                    <w:p w14:paraId="4F71EAC8" w14:textId="77777777" w:rsidR="006A5267" w:rsidRPr="00EE798C" w:rsidRDefault="006A5267" w:rsidP="008B4B2B">
                      <w:pPr>
                        <w:tabs>
                          <w:tab w:val="right" w:pos="2079"/>
                          <w:tab w:val="left" w:pos="2935"/>
                        </w:tabs>
                        <w:ind w:firstLineChars="200" w:firstLine="402"/>
                      </w:pPr>
                      <w:r w:rsidRPr="00EE798C">
                        <w:rPr>
                          <w:rFonts w:hint="eastAsia"/>
                          <w:sz w:val="20"/>
                        </w:rPr>
                        <w:t xml:space="preserve">大　</w:t>
                      </w:r>
                      <w:r w:rsidRPr="00EE798C">
                        <w:rPr>
                          <w:rFonts w:hint="eastAsia"/>
                          <w:sz w:val="20"/>
                        </w:rPr>
                        <w:t xml:space="preserve"> </w:t>
                      </w:r>
                      <w:r w:rsidRPr="00EE798C">
                        <w:rPr>
                          <w:rFonts w:hint="eastAsia"/>
                          <w:sz w:val="20"/>
                        </w:rPr>
                        <w:t xml:space="preserve">　阪</w:t>
                      </w:r>
                      <w:r w:rsidRPr="00EE798C">
                        <w:rPr>
                          <w:rFonts w:hint="eastAsia"/>
                          <w:sz w:val="20"/>
                        </w:rPr>
                        <w:t xml:space="preserve"> </w:t>
                      </w:r>
                      <w:r w:rsidRPr="00EE798C">
                        <w:rPr>
                          <w:rFonts w:hint="eastAsia"/>
                          <w:sz w:val="20"/>
                        </w:rPr>
                        <w:t xml:space="preserve">　　府</w:t>
                      </w:r>
                      <w:r w:rsidRPr="00EE798C">
                        <w:rPr>
                          <w:rFonts w:hint="eastAsia"/>
                          <w:sz w:val="20"/>
                        </w:rPr>
                        <w:t xml:space="preserve">   </w:t>
                      </w:r>
                      <w:r w:rsidRPr="00EE798C">
                        <w:rPr>
                          <w:rFonts w:hint="eastAsia"/>
                          <w:sz w:val="20"/>
                        </w:rPr>
                        <w:t xml:space="preserve">　　</w:t>
                      </w:r>
                      <w:r w:rsidRPr="00EE798C">
                        <w:rPr>
                          <w:rFonts w:hint="eastAsia"/>
                          <w:sz w:val="20"/>
                        </w:rPr>
                        <w:t xml:space="preserve">  </w:t>
                      </w:r>
                      <w:r w:rsidRPr="00EE798C">
                        <w:rPr>
                          <w:rFonts w:hint="eastAsia"/>
                          <w:sz w:val="20"/>
                        </w:rPr>
                        <w:t xml:space="preserve">消　</w:t>
                      </w:r>
                      <w:r w:rsidRPr="00EE798C">
                        <w:rPr>
                          <w:rFonts w:hint="eastAsia"/>
                          <w:sz w:val="20"/>
                        </w:rPr>
                        <w:t xml:space="preserve"> </w:t>
                      </w:r>
                      <w:r w:rsidRPr="00EE798C">
                        <w:rPr>
                          <w:rFonts w:hint="eastAsia"/>
                          <w:sz w:val="20"/>
                        </w:rPr>
                        <w:t xml:space="preserve">防　</w:t>
                      </w:r>
                      <w:r w:rsidRPr="00EE798C">
                        <w:rPr>
                          <w:rFonts w:hint="eastAsia"/>
                          <w:sz w:val="20"/>
                        </w:rPr>
                        <w:t xml:space="preserve"> </w:t>
                      </w:r>
                      <w:r w:rsidRPr="00EE798C">
                        <w:rPr>
                          <w:rFonts w:hint="eastAsia"/>
                          <w:sz w:val="20"/>
                        </w:rPr>
                        <w:t xml:space="preserve">保　</w:t>
                      </w:r>
                      <w:r w:rsidRPr="00EE798C">
                        <w:rPr>
                          <w:rFonts w:hint="eastAsia"/>
                          <w:sz w:val="20"/>
                        </w:rPr>
                        <w:t xml:space="preserve"> </w:t>
                      </w:r>
                      <w:r w:rsidRPr="00EE798C">
                        <w:rPr>
                          <w:rFonts w:hint="eastAsia"/>
                          <w:sz w:val="20"/>
                        </w:rPr>
                        <w:t xml:space="preserve">安　</w:t>
                      </w:r>
                      <w:r w:rsidRPr="00EE798C">
                        <w:rPr>
                          <w:rFonts w:hint="eastAsia"/>
                          <w:sz w:val="20"/>
                        </w:rPr>
                        <w:t xml:space="preserve"> </w:t>
                      </w:r>
                      <w:r w:rsidRPr="00EE798C">
                        <w:rPr>
                          <w:rFonts w:hint="eastAsia"/>
                          <w:sz w:val="20"/>
                        </w:rPr>
                        <w:t>課</w:t>
                      </w:r>
                      <w:r w:rsidRPr="00EE798C">
                        <w:rPr>
                          <w:rFonts w:hint="eastAsia"/>
                        </w:rPr>
                        <w:t xml:space="preserve">　　　　　</w:t>
                      </w:r>
                      <w:r w:rsidRPr="00EE798C">
                        <w:rPr>
                          <w:rFonts w:hint="eastAsia"/>
                        </w:rPr>
                        <w:t xml:space="preserve">   </w:t>
                      </w:r>
                    </w:p>
                  </w:txbxContent>
                </v:textbox>
              </v:shape>
            </w:pict>
          </mc:Fallback>
        </mc:AlternateContent>
      </w:r>
    </w:p>
    <w:p w14:paraId="07BF6FB2" w14:textId="77777777" w:rsidR="008B4B2B" w:rsidRPr="001D6D10" w:rsidRDefault="008B4B2B" w:rsidP="008B4B2B">
      <w:pPr>
        <w:spacing w:line="220" w:lineRule="exact"/>
      </w:pPr>
      <w:r w:rsidRPr="001D6D10">
        <w:rPr>
          <w:noProof/>
          <w:sz w:val="20"/>
        </w:rPr>
        <mc:AlternateContent>
          <mc:Choice Requires="wps">
            <w:drawing>
              <wp:anchor distT="0" distB="0" distL="114300" distR="114300" simplePos="0" relativeHeight="253496320" behindDoc="0" locked="0" layoutInCell="1" allowOverlap="1" wp14:anchorId="6E440189" wp14:editId="6D4D36E4">
                <wp:simplePos x="0" y="0"/>
                <wp:positionH relativeFrom="column">
                  <wp:posOffset>600075</wp:posOffset>
                </wp:positionH>
                <wp:positionV relativeFrom="paragraph">
                  <wp:posOffset>118745</wp:posOffset>
                </wp:positionV>
                <wp:extent cx="1080135" cy="0"/>
                <wp:effectExtent l="9525" t="61595" r="15240" b="62230"/>
                <wp:wrapNone/>
                <wp:docPr id="3673" name="Line 279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rot="10800000" flipH="1">
                          <a:off x="0" y="0"/>
                          <a:ext cx="1080135" cy="0"/>
                        </a:xfrm>
                        <a:prstGeom prst="line">
                          <a:avLst/>
                        </a:prstGeom>
                        <a:noFill/>
                        <a:ln w="9525">
                          <a:solidFill>
                            <a:srgbClr val="000000"/>
                          </a:solidFill>
                          <a:prstDash val="sysDot"/>
                          <a:round/>
                          <a:headEnd/>
                          <a:tailEnd type="arrow" w="sm" len="sm"/>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line w14:anchorId="390AA77F" id="Line 2795" o:spid="_x0000_s1026" style="position:absolute;left:0;text-align:left;rotation:180;flip:x;z-index:2534963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7.25pt,9.35pt" to="132.3pt,9.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">
                <v:stroke dashstyle="1 1" endarrow="open" endarrowwidth="narrow" endarrowlength="short"/>
              </v:line>
            </w:pict>
          </mc:Fallback>
        </mc:AlternateContent>
      </w:r>
    </w:p>
    <w:p w14:paraId="562CAE58" w14:textId="77777777" w:rsidR="008B4B2B" w:rsidRPr="001D6D10" w:rsidRDefault="008B4B2B" w:rsidP="008B4B2B">
      <w:pPr>
        <w:spacing w:line="220" w:lineRule="exact"/>
      </w:pPr>
      <w:r w:rsidRPr="001D6D10">
        <w:rPr>
          <w:noProof/>
          <w:sz w:val="20"/>
        </w:rPr>
        <mc:AlternateContent>
          <mc:Choice Requires="wps">
            <w:drawing>
              <wp:anchor distT="0" distB="0" distL="114300" distR="114300" simplePos="0" relativeHeight="253490176" behindDoc="0" locked="0" layoutInCell="1" allowOverlap="1" wp14:anchorId="740B1E8D" wp14:editId="463FCCDA">
                <wp:simplePos x="0" y="0"/>
                <wp:positionH relativeFrom="column">
                  <wp:posOffset>3623945</wp:posOffset>
                </wp:positionH>
                <wp:positionV relativeFrom="paragraph">
                  <wp:posOffset>-313055</wp:posOffset>
                </wp:positionV>
                <wp:extent cx="259715" cy="1133475"/>
                <wp:effectExtent l="34290" t="66675" r="32385" b="64135"/>
                <wp:wrapNone/>
                <wp:docPr id="3672" name="Line 279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rot="5400000" flipH="1">
                          <a:off x="0" y="0"/>
                          <a:ext cx="259715" cy="1133475"/>
                        </a:xfrm>
                        <a:prstGeom prst="line">
                          <a:avLst/>
                        </a:prstGeom>
                        <a:noFill/>
                        <a:ln w="9525">
                          <a:solidFill>
                            <a:srgbClr val="000000"/>
                          </a:solidFill>
                          <a:prstDash val="sysDot"/>
                          <a:round/>
                          <a:headEnd type="arrow" w="sm" len="sm"/>
                          <a:tailEnd type="arrow" w="sm" len="sm"/>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line w14:anchorId="2168CB7B" id="Line 2790" o:spid="_x0000_s1026" style="position:absolute;left:0;text-align:left;rotation:-90;flip:x;z-index:2534901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85.35pt,-24.65pt" to="305.8pt,64.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">
                <v:stroke dashstyle="1 1" startarrow="open" startarrowwidth="narrow" startarrowlength="short" endarrow="open" endarrowwidth="narrow" endarrowlength="short"/>
              </v:line>
            </w:pict>
          </mc:Fallback>
        </mc:AlternateContent>
      </w:r>
      <w:r w:rsidRPr="001D6D10">
        <w:rPr>
          <w:noProof/>
          <w:sz w:val="20"/>
        </w:rPr>
        <mc:AlternateContent>
          <mc:Choice Requires="wps">
            <w:drawing>
              <wp:anchor distT="0" distB="0" distL="114300" distR="114300" simplePos="0" relativeHeight="253491200" behindDoc="0" locked="0" layoutInCell="1" allowOverlap="1" wp14:anchorId="397AE73E" wp14:editId="18A2A323">
                <wp:simplePos x="0" y="0"/>
                <wp:positionH relativeFrom="column">
                  <wp:posOffset>2980690</wp:posOffset>
                </wp:positionH>
                <wp:positionV relativeFrom="paragraph">
                  <wp:posOffset>244475</wp:posOffset>
                </wp:positionV>
                <wp:extent cx="278765" cy="0"/>
                <wp:effectExtent l="62865" t="19050" r="60960" b="16510"/>
                <wp:wrapNone/>
                <wp:docPr id="3671" name="Line 279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rot="16200000" flipH="1">
                          <a:off x="0" y="0"/>
                          <a:ext cx="278765" cy="0"/>
                        </a:xfrm>
                        <a:prstGeom prst="line">
                          <a:avLst/>
                        </a:prstGeom>
                        <a:noFill/>
                        <a:ln w="9525">
                          <a:solidFill>
                            <a:srgbClr val="000000"/>
                          </a:solidFill>
                          <a:round/>
                          <a:headEnd type="arrow" w="sm" len="sm"/>
                          <a:tailEnd type="arrow" w="sm" len="sm"/>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line w14:anchorId="476D78FD" id="Line 2791" o:spid="_x0000_s1026" style="position:absolute;left:0;text-align:left;rotation:90;flip:x;z-index:2534912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34.7pt,19.25pt" to="256.65pt,19.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">
                <v:stroke startarrow="open" startarrowwidth="narrow" startarrowlength="short" endarrow="open" endarrowwidth="narrow" endarrowlength="short"/>
              </v:line>
            </w:pict>
          </mc:Fallback>
        </mc:AlternateContent>
      </w:r>
    </w:p>
    <w:p w14:paraId="0B294608" w14:textId="77777777" w:rsidR="008B4B2B" w:rsidRPr="001D6D10" w:rsidRDefault="008B4B2B" w:rsidP="008B4B2B">
      <w:pPr>
        <w:spacing w:line="220" w:lineRule="exact"/>
      </w:pPr>
    </w:p>
    <w:p w14:paraId="49704F23" w14:textId="77777777" w:rsidR="008B4B2B" w:rsidRPr="001D6D10" w:rsidRDefault="008B4B2B" w:rsidP="008B4B2B">
      <w:pPr>
        <w:spacing w:line="220" w:lineRule="exact"/>
      </w:pPr>
      <w:r w:rsidRPr="001D6D10">
        <w:rPr>
          <w:noProof/>
          <w:sz w:val="20"/>
        </w:rPr>
        <mc:AlternateContent>
          <mc:Choice Requires="wps">
            <w:drawing>
              <wp:anchor distT="0" distB="0" distL="114300" distR="114300" simplePos="0" relativeHeight="253472768" behindDoc="0" locked="0" layoutInCell="1" allowOverlap="1" wp14:anchorId="707FEBDD" wp14:editId="32592452">
                <wp:simplePos x="0" y="0"/>
                <wp:positionH relativeFrom="column">
                  <wp:posOffset>480060</wp:posOffset>
                </wp:positionH>
                <wp:positionV relativeFrom="paragraph">
                  <wp:posOffset>369570</wp:posOffset>
                </wp:positionV>
                <wp:extent cx="1440180" cy="272415"/>
                <wp:effectExtent l="13335" t="7620" r="13335" b="5715"/>
                <wp:wrapNone/>
                <wp:docPr id="3670" name="Text Box 277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40180" cy="272415"/>
                        </a:xfrm>
                        <a:prstGeom prst="rect">
                          <a:avLst/>
                        </a:prstGeom>
                        <a:solidFill>
                          <a:srgbClr val="FFFFFF"/>
                        </a:solidFill>
                        <a:ln w="9525">
                          <a:solidFill>
                            <a:srgbClr val="000000"/>
                          </a:solidFill>
                          <a:miter lim="800000"/>
                          <a:headEnd/>
                          <a:tailEnd/>
                        </a:ln>
                      </wps:spPr>
                      <wps:txbx>
                        <w:txbxContent>
                          <w:p w14:paraId="64A1129E" w14:textId="77777777" w:rsidR="006A5267" w:rsidRDefault="006A5267" w:rsidP="008B4B2B">
                            <w:pPr>
                              <w:jc w:val="distribute"/>
                            </w:pPr>
                            <w:r>
                              <w:rPr>
                                <w:rFonts w:hint="eastAsia"/>
                              </w:rPr>
                              <w:t>漁港管理者</w:t>
                            </w:r>
                          </w:p>
                        </w:txbxContent>
                      </wps:txbx>
                      <wps:bodyPr rot="0" vert="horz" wrap="square" lIns="37440" tIns="24120" rIns="41040" bIns="24120" anchor="t" anchorCtr="0" upright="1">
                        <a:noAutofit/>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shape w14:anchorId="707FEBDD" id="Text Box 2775" o:spid="_x0000_s1781" type="#_x0000_t202" style="position:absolute;left:0;text-align:left;margin-left:37.8pt;margin-top:29.1pt;width:113.4pt;height:21.45pt;z-index:253472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">
                <v:textbox inset="1.04mm,.67mm,1.14mm,.67mm">
                  <w:txbxContent>
                    <w:p w14:paraId="64A1129E" w14:textId="77777777" w:rsidR="006A5267" w:rsidRDefault="006A5267" w:rsidP="008B4B2B">
                      <w:pPr>
                        <w:jc w:val="distribute"/>
                      </w:pPr>
                      <w:r>
                        <w:rPr>
                          <w:rFonts w:hint="eastAsia"/>
                        </w:rPr>
                        <w:t>漁港管理者</w:t>
                      </w:r>
                    </w:p>
                  </w:txbxContent>
                </v:textbox>
              </v:shape>
            </w:pict>
          </mc:Fallback>
        </mc:AlternateContent>
      </w:r>
      <w:r w:rsidRPr="001D6D10">
        <w:rPr>
          <w:noProof/>
          <w:sz w:val="20"/>
        </w:rPr>
        <mc:AlternateContent>
          <mc:Choice Requires="wps">
            <w:drawing>
              <wp:anchor distT="0" distB="0" distL="114300" distR="114300" simplePos="0" relativeHeight="253481984" behindDoc="0" locked="0" layoutInCell="1" allowOverlap="1" wp14:anchorId="69FE7BB7" wp14:editId="20D336E2">
                <wp:simplePos x="0" y="0"/>
                <wp:positionH relativeFrom="column">
                  <wp:posOffset>2400300</wp:posOffset>
                </wp:positionH>
                <wp:positionV relativeFrom="paragraph">
                  <wp:posOffset>111125</wp:posOffset>
                </wp:positionV>
                <wp:extent cx="1440180" cy="272415"/>
                <wp:effectExtent l="9525" t="6350" r="7620" b="6985"/>
                <wp:wrapNone/>
                <wp:docPr id="3669" name="Text Box 278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40180" cy="272415"/>
                        </a:xfrm>
                        <a:prstGeom prst="rect">
                          <a:avLst/>
                        </a:prstGeom>
                        <a:solidFill>
                          <a:srgbClr val="FFFFFF"/>
                        </a:solidFill>
                        <a:ln w="9525">
                          <a:solidFill>
                            <a:srgbClr val="000000"/>
                          </a:solidFill>
                          <a:miter lim="800000"/>
                          <a:headEnd/>
                          <a:tailEnd/>
                        </a:ln>
                      </wps:spPr>
                      <wps:txbx>
                        <w:txbxContent>
                          <w:p w14:paraId="4378A588" w14:textId="77777777" w:rsidR="006A5267" w:rsidRDefault="006A5267" w:rsidP="008B4B2B">
                            <w:pPr>
                              <w:jc w:val="distribute"/>
                            </w:pPr>
                            <w:r>
                              <w:rPr>
                                <w:rFonts w:hint="eastAsia"/>
                              </w:rPr>
                              <w:t>消防庁</w:t>
                            </w:r>
                          </w:p>
                        </w:txbxContent>
                      </wps:txbx>
                      <wps:bodyPr rot="0" vert="horz" wrap="square" lIns="37440" tIns="24120" rIns="41040" bIns="24120" anchor="t" anchorCtr="0" upright="1">
                        <a:noAutofit/>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shape w14:anchorId="69FE7BB7" id="Text Box 2783" o:spid="_x0000_s1782" type="#_x0000_t202" style="position:absolute;left:0;text-align:left;margin-left:189pt;margin-top:8.75pt;width:113.4pt;height:21.45pt;z-index:2534819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">
                <v:textbox inset="1.04mm,.67mm,1.14mm,.67mm">
                  <w:txbxContent>
                    <w:p w14:paraId="4378A588" w14:textId="77777777" w:rsidR="006A5267" w:rsidRDefault="006A5267" w:rsidP="008B4B2B">
                      <w:pPr>
                        <w:jc w:val="distribute"/>
                      </w:pPr>
                      <w:r>
                        <w:rPr>
                          <w:rFonts w:hint="eastAsia"/>
                        </w:rPr>
                        <w:t>消防庁</w:t>
                      </w:r>
                    </w:p>
                  </w:txbxContent>
                </v:textbox>
              </v:shape>
            </w:pict>
          </mc:Fallback>
        </mc:AlternateContent>
      </w:r>
      <w:r w:rsidRPr="001D6D10">
        <w:rPr>
          <w:noProof/>
          <w:sz w:val="20"/>
        </w:rPr>
        <mc:AlternateContent>
          <mc:Choice Requires="wps">
            <w:drawing>
              <wp:anchor distT="0" distB="0" distL="114300" distR="114300" simplePos="0" relativeHeight="253471744" behindDoc="0" locked="0" layoutInCell="1" allowOverlap="1" wp14:anchorId="532C0BE8" wp14:editId="61ED2E74">
                <wp:simplePos x="0" y="0"/>
                <wp:positionH relativeFrom="column">
                  <wp:posOffset>480060</wp:posOffset>
                </wp:positionH>
                <wp:positionV relativeFrom="paragraph">
                  <wp:posOffset>111125</wp:posOffset>
                </wp:positionV>
                <wp:extent cx="1440180" cy="272415"/>
                <wp:effectExtent l="13335" t="6350" r="13335" b="6985"/>
                <wp:wrapNone/>
                <wp:docPr id="3668" name="Text Box 277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40180" cy="272415"/>
                        </a:xfrm>
                        <a:prstGeom prst="rect">
                          <a:avLst/>
                        </a:prstGeom>
                        <a:solidFill>
                          <a:srgbClr val="FFFFFF"/>
                        </a:solidFill>
                        <a:ln w="9525">
                          <a:solidFill>
                            <a:srgbClr val="000000"/>
                          </a:solidFill>
                          <a:miter lim="800000"/>
                          <a:headEnd/>
                          <a:tailEnd/>
                        </a:ln>
                      </wps:spPr>
                      <wps:txbx>
                        <w:txbxContent>
                          <w:p w14:paraId="0BDCB9E8" w14:textId="77777777" w:rsidR="006A5267" w:rsidRDefault="006A5267" w:rsidP="008B4B2B">
                            <w:pPr>
                              <w:jc w:val="distribute"/>
                            </w:pPr>
                            <w:r>
                              <w:rPr>
                                <w:rFonts w:hint="eastAsia"/>
                              </w:rPr>
                              <w:t>港湾管理者</w:t>
                            </w:r>
                          </w:p>
                        </w:txbxContent>
                      </wps:txbx>
                      <wps:bodyPr rot="0" vert="horz" wrap="square" lIns="37440" tIns="24120" rIns="41040" bIns="24120" anchor="t" anchorCtr="0" upright="1">
                        <a:noAutofit/>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shape w14:anchorId="532C0BE8" id="Text Box 2774" o:spid="_x0000_s1783" type="#_x0000_t202" style="position:absolute;left:0;text-align:left;margin-left:37.8pt;margin-top:8.75pt;width:113.4pt;height:21.45pt;z-index:253471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">
                <v:textbox inset="1.04mm,.67mm,1.14mm,.67mm">
                  <w:txbxContent>
                    <w:p w14:paraId="0BDCB9E8" w14:textId="77777777" w:rsidR="006A5267" w:rsidRDefault="006A5267" w:rsidP="008B4B2B">
                      <w:pPr>
                        <w:jc w:val="distribute"/>
                      </w:pPr>
                      <w:r>
                        <w:rPr>
                          <w:rFonts w:hint="eastAsia"/>
                        </w:rPr>
                        <w:t>港湾管理者</w:t>
                      </w:r>
                    </w:p>
                  </w:txbxContent>
                </v:textbox>
              </v:shape>
            </w:pict>
          </mc:Fallback>
        </mc:AlternateContent>
      </w:r>
      <w:r w:rsidRPr="001D6D10">
        <w:rPr>
          <w:noProof/>
          <w:sz w:val="20"/>
        </w:rPr>
        <mc:AlternateContent>
          <mc:Choice Requires="wps">
            <w:drawing>
              <wp:anchor distT="0" distB="0" distL="114300" distR="114300" simplePos="0" relativeHeight="253480960" behindDoc="0" locked="0" layoutInCell="1" allowOverlap="1" wp14:anchorId="14E43029" wp14:editId="631BF460">
                <wp:simplePos x="0" y="0"/>
                <wp:positionH relativeFrom="column">
                  <wp:posOffset>4320540</wp:posOffset>
                </wp:positionH>
                <wp:positionV relativeFrom="paragraph">
                  <wp:posOffset>111125</wp:posOffset>
                </wp:positionV>
                <wp:extent cx="1440180" cy="272415"/>
                <wp:effectExtent l="5715" t="6350" r="11430" b="6985"/>
                <wp:wrapNone/>
                <wp:docPr id="3667" name="Text Box 278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40180" cy="272415"/>
                        </a:xfrm>
                        <a:prstGeom prst="rect">
                          <a:avLst/>
                        </a:prstGeom>
                        <a:solidFill>
                          <a:srgbClr val="FFFFFF"/>
                        </a:solidFill>
                        <a:ln w="9525">
                          <a:solidFill>
                            <a:srgbClr val="000000"/>
                          </a:solidFill>
                          <a:miter lim="800000"/>
                          <a:headEnd/>
                          <a:tailEnd/>
                        </a:ln>
                      </wps:spPr>
                      <wps:txbx>
                        <w:txbxContent>
                          <w:p w14:paraId="53A69821" w14:textId="77777777" w:rsidR="006A5267" w:rsidRDefault="006A5267" w:rsidP="008B4B2B">
                            <w:pPr>
                              <w:jc w:val="distribute"/>
                            </w:pPr>
                            <w:r>
                              <w:rPr>
                                <w:rFonts w:hint="eastAsia"/>
                              </w:rPr>
                              <w:t>陸上自衛隊第３師団</w:t>
                            </w:r>
                          </w:p>
                        </w:txbxContent>
                      </wps:txbx>
                      <wps:bodyPr rot="0" vert="horz" wrap="square" lIns="37440" tIns="24120" rIns="41040" bIns="24120" anchor="t" anchorCtr="0" upright="1">
                        <a:noAutofit/>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shape w14:anchorId="14E43029" id="Text Box 2782" o:spid="_x0000_s1784" type="#_x0000_t202" style="position:absolute;left:0;text-align:left;margin-left:340.2pt;margin-top:8.75pt;width:113.4pt;height:21.45pt;z-index:2534809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">
                <v:textbox inset="1.04mm,.67mm,1.14mm,.67mm">
                  <w:txbxContent>
                    <w:p w14:paraId="53A69821" w14:textId="77777777" w:rsidR="006A5267" w:rsidRDefault="006A5267" w:rsidP="008B4B2B">
                      <w:pPr>
                        <w:jc w:val="distribute"/>
                      </w:pPr>
                      <w:r>
                        <w:rPr>
                          <w:rFonts w:hint="eastAsia"/>
                        </w:rPr>
                        <w:t>陸上自衛隊第３師団</w:t>
                      </w:r>
                    </w:p>
                  </w:txbxContent>
                </v:textbox>
              </v:shape>
            </w:pict>
          </mc:Fallback>
        </mc:AlternateContent>
      </w:r>
    </w:p>
    <w:p w14:paraId="7498CE53" w14:textId="77777777" w:rsidR="008B4B2B" w:rsidRPr="001D6D10" w:rsidRDefault="008B4B2B" w:rsidP="008B4B2B">
      <w:pPr>
        <w:spacing w:line="220" w:lineRule="exact"/>
      </w:pPr>
    </w:p>
    <w:p w14:paraId="2530337A" w14:textId="77777777" w:rsidR="008B4B2B" w:rsidRPr="001D6D10" w:rsidRDefault="008B4B2B" w:rsidP="008B4B2B">
      <w:pPr>
        <w:spacing w:line="220" w:lineRule="exact"/>
      </w:pPr>
    </w:p>
    <w:p w14:paraId="45338365" w14:textId="77777777" w:rsidR="008B4B2B" w:rsidRPr="001D6D10" w:rsidRDefault="008B4B2B" w:rsidP="008B4B2B">
      <w:pPr>
        <w:spacing w:line="220" w:lineRule="exact"/>
      </w:pPr>
    </w:p>
    <w:p w14:paraId="64449CBF" w14:textId="77777777" w:rsidR="008B4B2B" w:rsidRPr="001D6D10" w:rsidRDefault="008B4B2B" w:rsidP="008B4B2B">
      <w:pPr>
        <w:spacing w:line="220" w:lineRule="exact"/>
      </w:pPr>
    </w:p>
    <w:p w14:paraId="373E2A2C" w14:textId="77777777" w:rsidR="008B4B2B" w:rsidRPr="001D6D10" w:rsidRDefault="008B4B2B" w:rsidP="008B4B2B">
      <w:pPr>
        <w:spacing w:line="220" w:lineRule="exact"/>
      </w:pPr>
      <w:r w:rsidRPr="001D6D10">
        <w:rPr>
          <w:noProof/>
        </w:rPr>
        <mc:AlternateContent>
          <mc:Choice Requires="wps">
            <w:drawing>
              <wp:anchor distT="0" distB="0" distL="114300" distR="114300" simplePos="0" relativeHeight="253497344" behindDoc="0" locked="0" layoutInCell="1" allowOverlap="1" wp14:anchorId="6AF0BDF1" wp14:editId="427AF7B8">
                <wp:simplePos x="0" y="0"/>
                <wp:positionH relativeFrom="column">
                  <wp:posOffset>3543300</wp:posOffset>
                </wp:positionH>
                <wp:positionV relativeFrom="paragraph">
                  <wp:posOffset>55245</wp:posOffset>
                </wp:positionV>
                <wp:extent cx="2400300" cy="1345565"/>
                <wp:effectExtent l="9525" t="7620" r="9525" b="8890"/>
                <wp:wrapNone/>
                <wp:docPr id="3666" name="Text Box 279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00300" cy="1345565"/>
                        </a:xfrm>
                        <a:prstGeom prst="rect">
                          <a:avLst/>
                        </a:prstGeom>
                        <a:solidFill>
                          <a:srgbClr val="FFFFFF"/>
                        </a:solidFill>
                        <a:ln w="9525">
                          <a:solidFill>
                            <a:srgbClr val="000000"/>
                          </a:solidFill>
                          <a:miter lim="800000"/>
                          <a:headEnd/>
                          <a:tailEnd/>
                        </a:ln>
                      </wps:spPr>
                      <wps:txbx>
                        <w:txbxContent>
                          <w:p w14:paraId="2AAD97F6" w14:textId="77777777" w:rsidR="006A5267" w:rsidRDefault="006A5267" w:rsidP="008B4B2B">
                            <w:pPr>
                              <w:spacing w:line="280" w:lineRule="atLeast"/>
                              <w:ind w:firstLineChars="600" w:firstLine="1267"/>
                            </w:pPr>
                            <w:r>
                              <w:rPr>
                                <w:rFonts w:hint="eastAsia"/>
                              </w:rPr>
                              <w:t>凡　　例</w:t>
                            </w:r>
                          </w:p>
                          <w:p w14:paraId="60AB8FF5" w14:textId="6BC27920" w:rsidR="006A5267" w:rsidRDefault="006A5267" w:rsidP="008B4B2B">
                            <w:pPr>
                              <w:tabs>
                                <w:tab w:val="left" w:pos="378"/>
                              </w:tabs>
                              <w:spacing w:line="280" w:lineRule="atLeast"/>
                              <w:ind w:left="633" w:hangingChars="300" w:hanging="633"/>
                            </w:pPr>
                            <w:r>
                              <w:rPr>
                                <w:rFonts w:hint="eastAsia"/>
                              </w:rPr>
                              <w:t xml:space="preserve">※　</w:t>
                            </w:r>
                            <w:r w:rsidR="00B93B64">
                              <w:rPr>
                                <w:rFonts w:hint="eastAsia"/>
                              </w:rPr>
                              <w:t>：</w:t>
                            </w:r>
                            <w:r>
                              <w:rPr>
                                <w:rFonts w:hint="eastAsia"/>
                              </w:rPr>
                              <w:t>消防本部を置かない市町村の場合の通信系統</w:t>
                            </w:r>
                          </w:p>
                          <w:p w14:paraId="30BE90CF" w14:textId="77E0BF1F" w:rsidR="006A5267" w:rsidRDefault="00B93B64" w:rsidP="008B4B2B">
                            <w:pPr>
                              <w:spacing w:line="280" w:lineRule="atLeast"/>
                              <w:ind w:leftChars="200" w:left="422"/>
                            </w:pPr>
                            <w:r>
                              <w:rPr>
                                <w:rFonts w:hint="eastAsia"/>
                              </w:rPr>
                              <w:t>：</w:t>
                            </w:r>
                            <w:r w:rsidR="006A5267">
                              <w:rPr>
                                <w:rFonts w:hint="eastAsia"/>
                              </w:rPr>
                              <w:t>通常の通信系統</w:t>
                            </w:r>
                          </w:p>
                          <w:p w14:paraId="19C610C5" w14:textId="7FA08D6A" w:rsidR="006A5267" w:rsidRDefault="006A5267" w:rsidP="008B4B2B">
                            <w:pPr>
                              <w:tabs>
                                <w:tab w:val="left" w:pos="499"/>
                              </w:tabs>
                              <w:spacing w:line="280" w:lineRule="atLeast"/>
                              <w:ind w:leftChars="100" w:left="422" w:hangingChars="100" w:hanging="211"/>
                            </w:pPr>
                            <w:r>
                              <w:rPr>
                                <w:rFonts w:hint="eastAsia"/>
                              </w:rPr>
                              <w:t xml:space="preserve">　</w:t>
                            </w:r>
                            <w:r w:rsidR="00B93B64">
                              <w:rPr>
                                <w:rFonts w:hint="eastAsia"/>
                              </w:rPr>
                              <w:t>：</w:t>
                            </w:r>
                            <w:r>
                              <w:rPr>
                                <w:rFonts w:hint="eastAsia"/>
                              </w:rPr>
                              <w:t>必要に応じての通信系統</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shape w14:anchorId="6AF0BDF1" id="Text Box 2796" o:spid="_x0000_s1785" type="#_x0000_t202" style="position:absolute;left:0;text-align:left;margin-left:279pt;margin-top:4.35pt;width:189pt;height:105.95pt;z-index:2534973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">
                <v:textbox>
                  <w:txbxContent>
                    <w:p w14:paraId="2AAD97F6" w14:textId="77777777" w:rsidR="006A5267" w:rsidRDefault="006A5267" w:rsidP="008B4B2B">
                      <w:pPr>
                        <w:spacing w:line="280" w:lineRule="atLeast"/>
                        <w:ind w:firstLineChars="600" w:firstLine="1267"/>
                      </w:pPr>
                      <w:r>
                        <w:rPr>
                          <w:rFonts w:hint="eastAsia"/>
                        </w:rPr>
                        <w:t>凡　　例</w:t>
                      </w:r>
                    </w:p>
                    <w:p w14:paraId="60AB8FF5" w14:textId="6BC27920" w:rsidR="006A5267" w:rsidRDefault="006A5267" w:rsidP="008B4B2B">
                      <w:pPr>
                        <w:tabs>
                          <w:tab w:val="left" w:pos="378"/>
                        </w:tabs>
                        <w:spacing w:line="280" w:lineRule="atLeast"/>
                        <w:ind w:left="633" w:hangingChars="300" w:hanging="633"/>
                      </w:pPr>
                      <w:r>
                        <w:rPr>
                          <w:rFonts w:hint="eastAsia"/>
                        </w:rPr>
                        <w:t xml:space="preserve">※　</w:t>
                      </w:r>
                      <w:r w:rsidR="00B93B64">
                        <w:rPr>
                          <w:rFonts w:hint="eastAsia"/>
                        </w:rPr>
                        <w:t>：</w:t>
                      </w:r>
                      <w:r>
                        <w:rPr>
                          <w:rFonts w:hint="eastAsia"/>
                        </w:rPr>
                        <w:t>消防本部を置かない市町村の場合の通信系統</w:t>
                      </w:r>
                    </w:p>
                    <w:p w14:paraId="30BE90CF" w14:textId="77E0BF1F" w:rsidR="006A5267" w:rsidRDefault="00B93B64" w:rsidP="008B4B2B">
                      <w:pPr>
                        <w:spacing w:line="280" w:lineRule="atLeast"/>
                        <w:ind w:leftChars="200" w:left="422"/>
                      </w:pPr>
                      <w:r>
                        <w:rPr>
                          <w:rFonts w:hint="eastAsia"/>
                        </w:rPr>
                        <w:t>：</w:t>
                      </w:r>
                      <w:r w:rsidR="006A5267">
                        <w:rPr>
                          <w:rFonts w:hint="eastAsia"/>
                        </w:rPr>
                        <w:t>通常の通信系統</w:t>
                      </w:r>
                    </w:p>
                    <w:p w14:paraId="19C610C5" w14:textId="7FA08D6A" w:rsidR="006A5267" w:rsidRDefault="006A5267" w:rsidP="008B4B2B">
                      <w:pPr>
                        <w:tabs>
                          <w:tab w:val="left" w:pos="499"/>
                        </w:tabs>
                        <w:spacing w:line="280" w:lineRule="atLeast"/>
                        <w:ind w:leftChars="100" w:left="422" w:hangingChars="100" w:hanging="211"/>
                      </w:pPr>
                      <w:r>
                        <w:rPr>
                          <w:rFonts w:hint="eastAsia"/>
                        </w:rPr>
                        <w:t xml:space="preserve">　</w:t>
                      </w:r>
                      <w:r w:rsidR="00B93B64">
                        <w:rPr>
                          <w:rFonts w:hint="eastAsia"/>
                        </w:rPr>
                        <w:t>：</w:t>
                      </w:r>
                      <w:r>
                        <w:rPr>
                          <w:rFonts w:hint="eastAsia"/>
                        </w:rPr>
                        <w:t>必要に応じての通信系統</w:t>
                      </w:r>
                    </w:p>
                  </w:txbxContent>
                </v:textbox>
              </v:shape>
            </w:pict>
          </mc:Fallback>
        </mc:AlternateContent>
      </w:r>
    </w:p>
    <w:p w14:paraId="66E4AB34" w14:textId="77777777" w:rsidR="008B4B2B" w:rsidRPr="001D6D10" w:rsidRDefault="008B4B2B" w:rsidP="008B4B2B">
      <w:pPr>
        <w:spacing w:line="220" w:lineRule="exact"/>
      </w:pPr>
    </w:p>
    <w:p w14:paraId="6D88E632" w14:textId="77777777" w:rsidR="008B4B2B" w:rsidRPr="001D6D10" w:rsidRDefault="008B4B2B" w:rsidP="008B4B2B">
      <w:pPr>
        <w:spacing w:line="220" w:lineRule="exact"/>
      </w:pPr>
    </w:p>
    <w:p w14:paraId="37F3F31E" w14:textId="77777777" w:rsidR="008B4B2B" w:rsidRPr="001D6D10" w:rsidRDefault="008B4B2B" w:rsidP="008B4B2B">
      <w:pPr>
        <w:spacing w:line="220" w:lineRule="exact"/>
      </w:pPr>
    </w:p>
    <w:p w14:paraId="24C28F8E" w14:textId="07B7CEB8" w:rsidR="008B4B2B" w:rsidRPr="001D6D10" w:rsidRDefault="008B4B2B" w:rsidP="008B4B2B">
      <w:pPr>
        <w:spacing w:line="220" w:lineRule="exact"/>
      </w:pPr>
    </w:p>
    <w:p w14:paraId="570A0344" w14:textId="7B43EF67" w:rsidR="008B4B2B" w:rsidRPr="001D6D10" w:rsidRDefault="008B4B2B" w:rsidP="008B4B2B">
      <w:pPr>
        <w:spacing w:line="220" w:lineRule="exact"/>
      </w:pPr>
    </w:p>
    <w:p w14:paraId="362C28E3" w14:textId="24C90D1C" w:rsidR="008B4B2B" w:rsidRPr="001D6D10" w:rsidRDefault="00B93B64" w:rsidP="008B4B2B">
      <w:pPr>
        <w:wordWrap w:val="0"/>
        <w:overflowPunct w:val="0"/>
        <w:spacing w:line="362" w:lineRule="exact"/>
        <w:ind w:leftChars="336" w:left="709" w:right="97"/>
        <w:rPr>
          <w:rFonts w:ascii="ゴシック体" w:eastAsia="ゴシック体"/>
        </w:rPr>
      </w:pPr>
      <w:r w:rsidRPr="001D6D10">
        <w:rPr>
          <w:rFonts w:hint="eastAsia"/>
          <w:noProof/>
        </w:rPr>
        <mc:AlternateContent>
          <mc:Choice Requires="wps">
            <w:drawing>
              <wp:anchor distT="0" distB="0" distL="114300" distR="114300" simplePos="0" relativeHeight="253498368" behindDoc="0" locked="0" layoutInCell="1" allowOverlap="1" wp14:anchorId="789B115D" wp14:editId="191E4CC9">
                <wp:simplePos x="0" y="0"/>
                <wp:positionH relativeFrom="column">
                  <wp:posOffset>3611880</wp:posOffset>
                </wp:positionH>
                <wp:positionV relativeFrom="paragraph">
                  <wp:posOffset>60960</wp:posOffset>
                </wp:positionV>
                <wp:extent cx="213995" cy="0"/>
                <wp:effectExtent l="9525" t="8890" r="5080" b="10160"/>
                <wp:wrapNone/>
                <wp:docPr id="3665" name="Line 279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1399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line w14:anchorId="46938A09" id="Line 2797" o:spid="_x0000_s1026" style="position:absolute;z-index:2534983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84.4pt,4.8pt" to="301.25pt,4.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"/>
            </w:pict>
          </mc:Fallback>
        </mc:AlternateContent>
      </w:r>
    </w:p>
    <w:p w14:paraId="5729567E" w14:textId="00981F77" w:rsidR="008B4B2B" w:rsidRPr="001D6D10" w:rsidRDefault="00B93B64" w:rsidP="008B4B2B">
      <w:pPr>
        <w:pStyle w:val="a0"/>
        <w:ind w:left="950" w:hangingChars="450" w:hanging="950"/>
        <w:rPr>
          <w:rFonts w:hAnsi="ＭＳ 明朝"/>
          <w:bCs/>
          <w:sz w:val="22"/>
          <w:szCs w:val="22"/>
        </w:rPr>
      </w:pPr>
      <w:r w:rsidRPr="001D6D10">
        <w:rPr>
          <w:rFonts w:hint="eastAsia"/>
          <w:noProof/>
        </w:rPr>
        <mc:AlternateContent>
          <mc:Choice Requires="wps">
            <w:drawing>
              <wp:anchor distT="0" distB="0" distL="114300" distR="114300" simplePos="0" relativeHeight="253499392" behindDoc="0" locked="0" layoutInCell="1" allowOverlap="1" wp14:anchorId="4BDD7475" wp14:editId="395C2F29">
                <wp:simplePos x="0" y="0"/>
                <wp:positionH relativeFrom="column">
                  <wp:posOffset>3611880</wp:posOffset>
                </wp:positionH>
                <wp:positionV relativeFrom="paragraph">
                  <wp:posOffset>34925</wp:posOffset>
                </wp:positionV>
                <wp:extent cx="213995" cy="0"/>
                <wp:effectExtent l="9525" t="5715" r="5080" b="13335"/>
                <wp:wrapNone/>
                <wp:docPr id="3664" name="Line 279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13995" cy="0"/>
                        </a:xfrm>
                        <a:prstGeom prst="line">
                          <a:avLst/>
                        </a:prstGeom>
                        <a:noFill/>
                        <a:ln w="9525">
                          <a:solidFill>
                            <a:srgbClr val="000000"/>
                          </a:solidFill>
                          <a:prstDash val="sysDot"/>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line w14:anchorId="37BDB904" id="Line 2798" o:spid="_x0000_s1026" style="position:absolute;z-index:2534993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84.4pt,2.75pt" to="301.25pt,2.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">
                <v:stroke dashstyle="1 1"/>
              </v:line>
            </w:pict>
          </mc:Fallback>
        </mc:AlternateContent>
      </w:r>
    </w:p>
    <w:p w14:paraId="67E80B4B" w14:textId="6C5E0F40" w:rsidR="008B4B2B" w:rsidRPr="001D6D10" w:rsidRDefault="008B4B2B" w:rsidP="008B4B2B">
      <w:pPr>
        <w:pStyle w:val="a0"/>
        <w:ind w:left="995" w:hangingChars="450" w:hanging="995"/>
        <w:rPr>
          <w:rFonts w:hAnsi="ＭＳ 明朝"/>
          <w:bCs/>
          <w:sz w:val="22"/>
          <w:szCs w:val="22"/>
        </w:rPr>
      </w:pPr>
    </w:p>
    <w:p w14:paraId="4C062F30" w14:textId="48167D5F" w:rsidR="008B4B2B" w:rsidRPr="001D6D10" w:rsidRDefault="008B4B2B" w:rsidP="00831F71">
      <w:pPr>
        <w:pStyle w:val="a0"/>
        <w:ind w:leftChars="200" w:left="975" w:hangingChars="250" w:hanging="553"/>
        <w:outlineLvl w:val="2"/>
        <w:rPr>
          <w:rFonts w:ascii="ＭＳ ゴシック" w:eastAsia="ＭＳ ゴシック" w:hAnsi="ＭＳ ゴシック"/>
          <w:bCs/>
          <w:sz w:val="22"/>
          <w:szCs w:val="22"/>
          <w:u w:val="double"/>
        </w:rPr>
      </w:pPr>
      <w:bookmarkStart w:id="434" w:name="_Toc122436981"/>
      <w:bookmarkStart w:id="435" w:name="_Toc222433312"/>
      <w:bookmarkStart w:id="436" w:name="_Toc222486680"/>
      <w:bookmarkStart w:id="437" w:name="_Toc242870350"/>
      <w:r w:rsidRPr="001D6D10">
        <w:rPr>
          <w:rFonts w:ascii="ＭＳ ゴシック" w:eastAsia="ＭＳ ゴシック" w:hAnsi="ＭＳ ゴシック" w:hint="eastAsia"/>
          <w:bCs/>
          <w:sz w:val="22"/>
          <w:szCs w:val="22"/>
          <w:u w:val="double"/>
        </w:rPr>
        <w:lastRenderedPageBreak/>
        <w:t>第２　高圧ガス災害応急対策（危機管理室）</w:t>
      </w:r>
      <w:bookmarkEnd w:id="434"/>
      <w:bookmarkEnd w:id="435"/>
      <w:bookmarkEnd w:id="436"/>
      <w:bookmarkEnd w:id="437"/>
    </w:p>
    <w:p w14:paraId="244D1058" w14:textId="201A26EA" w:rsidR="008B4B2B" w:rsidRPr="001D6D10" w:rsidRDefault="008B4B2B" w:rsidP="008B4B2B">
      <w:pPr>
        <w:pStyle w:val="a0"/>
        <w:ind w:left="884" w:hangingChars="400" w:hanging="884"/>
        <w:rPr>
          <w:rFonts w:hAnsi="ＭＳ 明朝"/>
          <w:bCs/>
          <w:sz w:val="22"/>
          <w:szCs w:val="22"/>
        </w:rPr>
      </w:pPr>
      <w:r w:rsidRPr="001D6D10">
        <w:rPr>
          <w:rFonts w:hAnsi="ＭＳ 明朝" w:hint="eastAsia"/>
          <w:bCs/>
          <w:sz w:val="22"/>
          <w:szCs w:val="22"/>
        </w:rPr>
        <w:t xml:space="preserve">　　　　　市町村消防本部(高槻市の区域にあっては、大阪府)は、関係機関と密接な連携をとり、製造若しくは販売のための施設等の使用一時停止すべきことを命じること、高圧ガスを取り扱う者に対し貯蔵・移動・消費等を一時禁止すること、容器の所有者又は占有者に対しその廃棄又は所在場所の変更を命じること等の緊急措置を講ずる。</w:t>
      </w:r>
    </w:p>
    <w:p w14:paraId="3B78B385" w14:textId="629AF983" w:rsidR="008B4B2B" w:rsidRPr="001D6D10" w:rsidRDefault="008B4B2B" w:rsidP="008B4B2B">
      <w:pPr>
        <w:wordWrap w:val="0"/>
        <w:overflowPunct w:val="0"/>
        <w:spacing w:line="362" w:lineRule="exact"/>
        <w:ind w:right="97"/>
        <w:rPr>
          <w:rFonts w:ascii="ＭＳ ゴシック" w:eastAsia="ＭＳ ゴシック" w:hAnsi="ＭＳ ゴシック"/>
          <w:bCs/>
          <w:sz w:val="22"/>
          <w:szCs w:val="22"/>
        </w:rPr>
      </w:pPr>
    </w:p>
    <w:p w14:paraId="208BCDF5" w14:textId="44469ACF" w:rsidR="008B4B2B" w:rsidRPr="001D6D10" w:rsidRDefault="008B4B2B" w:rsidP="008B4B2B">
      <w:pPr>
        <w:wordWrap w:val="0"/>
        <w:overflowPunct w:val="0"/>
        <w:spacing w:line="362" w:lineRule="exact"/>
        <w:ind w:right="97"/>
        <w:rPr>
          <w:rFonts w:ascii="ＭＳ 明朝" w:hAnsi="ＭＳ 明朝"/>
          <w:szCs w:val="21"/>
        </w:rPr>
      </w:pPr>
      <w:r w:rsidRPr="001D6D10">
        <w:rPr>
          <w:rFonts w:ascii="ＭＳ 明朝" w:hAnsi="ＭＳ 明朝" w:hint="eastAsia"/>
          <w:bCs/>
          <w:szCs w:val="21"/>
        </w:rPr>
        <w:t>別図〔連絡系統図〕</w:t>
      </w:r>
    </w:p>
    <w:p w14:paraId="2E690546" w14:textId="77777777" w:rsidR="008B4B2B" w:rsidRPr="001D6D10" w:rsidRDefault="008B4B2B" w:rsidP="008B4B2B">
      <w:pPr>
        <w:wordWrap w:val="0"/>
        <w:overflowPunct w:val="0"/>
        <w:spacing w:line="362" w:lineRule="exact"/>
        <w:ind w:leftChars="331" w:left="699" w:right="97" w:firstLineChars="1550" w:firstLine="3117"/>
      </w:pPr>
      <w:r w:rsidRPr="001D6D10">
        <w:rPr>
          <w:noProof/>
          <w:sz w:val="20"/>
        </w:rPr>
        <mc:AlternateContent>
          <mc:Choice Requires="wps">
            <w:drawing>
              <wp:anchor distT="0" distB="0" distL="114300" distR="114300" simplePos="0" relativeHeight="253506560" behindDoc="0" locked="0" layoutInCell="1" allowOverlap="1" wp14:anchorId="14BA9E0E" wp14:editId="617BC56D">
                <wp:simplePos x="0" y="0"/>
                <wp:positionH relativeFrom="column">
                  <wp:posOffset>2400300</wp:posOffset>
                </wp:positionH>
                <wp:positionV relativeFrom="paragraph">
                  <wp:posOffset>172085</wp:posOffset>
                </wp:positionV>
                <wp:extent cx="1600200" cy="1006475"/>
                <wp:effectExtent l="9525" t="10160" r="9525" b="12065"/>
                <wp:wrapNone/>
                <wp:docPr id="3663" name="Text Box 280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00200" cy="1006475"/>
                        </a:xfrm>
                        <a:prstGeom prst="rect">
                          <a:avLst/>
                        </a:prstGeom>
                        <a:solidFill>
                          <a:srgbClr val="FFFFFF"/>
                        </a:solidFill>
                        <a:ln w="9525">
                          <a:solidFill>
                            <a:srgbClr val="000000"/>
                          </a:solidFill>
                          <a:miter lim="800000"/>
                          <a:headEnd/>
                          <a:tailEnd/>
                        </a:ln>
                      </wps:spPr>
                      <wps:txbx>
                        <w:txbxContent>
                          <w:p w14:paraId="2680C1E6" w14:textId="77777777" w:rsidR="006A5267" w:rsidRPr="008A4793" w:rsidRDefault="006A5267" w:rsidP="008B4B2B">
                            <w:pPr>
                              <w:jc w:val="distribute"/>
                            </w:pPr>
                            <w:r w:rsidRPr="008A4793">
                              <w:rPr>
                                <w:rFonts w:hint="eastAsia"/>
                              </w:rPr>
                              <w:t>発見者</w:t>
                            </w:r>
                          </w:p>
                          <w:p w14:paraId="349B64E1" w14:textId="77777777" w:rsidR="006A5267" w:rsidRPr="008A4793" w:rsidRDefault="006A5267" w:rsidP="008B4B2B">
                            <w:pPr>
                              <w:jc w:val="distribute"/>
                            </w:pPr>
                            <w:r w:rsidRPr="008A4793">
                              <w:rPr>
                                <w:rFonts w:hint="eastAsia"/>
                              </w:rPr>
                              <w:t>高圧ガス製造事業者</w:t>
                            </w:r>
                          </w:p>
                          <w:p w14:paraId="4879DACA" w14:textId="77777777" w:rsidR="006A5267" w:rsidRPr="008A4793" w:rsidRDefault="006A5267" w:rsidP="008B4B2B">
                            <w:pPr>
                              <w:jc w:val="distribute"/>
                            </w:pPr>
                            <w:r w:rsidRPr="008A4793">
                              <w:rPr>
                                <w:rFonts w:hint="eastAsia"/>
                              </w:rPr>
                              <w:t>高圧ガス販売事業者</w:t>
                            </w:r>
                          </w:p>
                          <w:p w14:paraId="05CB4310" w14:textId="77777777" w:rsidR="006A5267" w:rsidRPr="008A4793" w:rsidRDefault="006A5267" w:rsidP="008B4B2B">
                            <w:pPr>
                              <w:jc w:val="distribute"/>
                              <w:rPr>
                                <w:w w:val="80"/>
                              </w:rPr>
                            </w:pPr>
                            <w:r w:rsidRPr="008A4793">
                              <w:rPr>
                                <w:rFonts w:hint="eastAsia"/>
                                <w:w w:val="80"/>
                                <w:sz w:val="20"/>
                              </w:rPr>
                              <w:t xml:space="preserve">高圧ガス貯蔵施設管理者　</w:t>
                            </w:r>
                            <w:r w:rsidRPr="008A4793">
                              <w:rPr>
                                <w:rFonts w:hint="eastAsia"/>
                                <w:w w:val="80"/>
                              </w:rPr>
                              <w:t>等</w:t>
                            </w:r>
                          </w:p>
                        </w:txbxContent>
                      </wps:txbx>
                      <wps:bodyPr rot="0" vert="horz" wrap="square" lIns="37440" tIns="24120" rIns="41040" bIns="24120" anchor="t" anchorCtr="0" upright="1">
                        <a:noAutofit/>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shape w14:anchorId="14BA9E0E" id="Text Box 2805" o:spid="_x0000_s1786" type="#_x0000_t202" style="position:absolute;left:0;text-align:left;margin-left:189pt;margin-top:13.55pt;width:126pt;height:79.25pt;z-index:2535065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">
                <v:textbox inset="1.04mm,.67mm,1.14mm,.67mm">
                  <w:txbxContent>
                    <w:p w14:paraId="2680C1E6" w14:textId="77777777" w:rsidR="006A5267" w:rsidRPr="008A4793" w:rsidRDefault="006A5267" w:rsidP="008B4B2B">
                      <w:pPr>
                        <w:jc w:val="distribute"/>
                      </w:pPr>
                      <w:r w:rsidRPr="008A4793">
                        <w:rPr>
                          <w:rFonts w:hint="eastAsia"/>
                        </w:rPr>
                        <w:t>発見者</w:t>
                      </w:r>
                    </w:p>
                    <w:p w14:paraId="349B64E1" w14:textId="77777777" w:rsidR="006A5267" w:rsidRPr="008A4793" w:rsidRDefault="006A5267" w:rsidP="008B4B2B">
                      <w:pPr>
                        <w:jc w:val="distribute"/>
                      </w:pPr>
                      <w:r w:rsidRPr="008A4793">
                        <w:rPr>
                          <w:rFonts w:hint="eastAsia"/>
                        </w:rPr>
                        <w:t>高圧ガス製造事業者</w:t>
                      </w:r>
                    </w:p>
                    <w:p w14:paraId="4879DACA" w14:textId="77777777" w:rsidR="006A5267" w:rsidRPr="008A4793" w:rsidRDefault="006A5267" w:rsidP="008B4B2B">
                      <w:pPr>
                        <w:jc w:val="distribute"/>
                      </w:pPr>
                      <w:r w:rsidRPr="008A4793">
                        <w:rPr>
                          <w:rFonts w:hint="eastAsia"/>
                        </w:rPr>
                        <w:t>高圧ガス販売事業者</w:t>
                      </w:r>
                    </w:p>
                    <w:p w14:paraId="05CB4310" w14:textId="77777777" w:rsidR="006A5267" w:rsidRPr="008A4793" w:rsidRDefault="006A5267" w:rsidP="008B4B2B">
                      <w:pPr>
                        <w:jc w:val="distribute"/>
                        <w:rPr>
                          <w:w w:val="80"/>
                        </w:rPr>
                      </w:pPr>
                      <w:r w:rsidRPr="008A4793">
                        <w:rPr>
                          <w:rFonts w:hint="eastAsia"/>
                          <w:w w:val="80"/>
                          <w:sz w:val="20"/>
                        </w:rPr>
                        <w:t xml:space="preserve">高圧ガス貯蔵施設管理者　</w:t>
                      </w:r>
                      <w:r w:rsidRPr="008A4793">
                        <w:rPr>
                          <w:rFonts w:hint="eastAsia"/>
                          <w:w w:val="80"/>
                        </w:rPr>
                        <w:t>等</w:t>
                      </w:r>
                    </w:p>
                  </w:txbxContent>
                </v:textbox>
              </v:shape>
            </w:pict>
          </mc:Fallback>
        </mc:AlternateContent>
      </w:r>
    </w:p>
    <w:p w14:paraId="0DFC1D08" w14:textId="725A0776" w:rsidR="008B4B2B" w:rsidRPr="001D6D10" w:rsidRDefault="008B4B2B" w:rsidP="008B4B2B">
      <w:pPr>
        <w:wordWrap w:val="0"/>
        <w:overflowPunct w:val="0"/>
        <w:spacing w:line="362" w:lineRule="exact"/>
        <w:ind w:leftChars="331" w:left="699" w:right="97" w:firstLineChars="1550" w:firstLine="3117"/>
      </w:pPr>
      <w:r w:rsidRPr="001D6D10">
        <w:rPr>
          <w:noProof/>
          <w:sz w:val="20"/>
        </w:rPr>
        <mc:AlternateContent>
          <mc:Choice Requires="wps">
            <w:drawing>
              <wp:anchor distT="0" distB="0" distL="114300" distR="114300" simplePos="0" relativeHeight="253510656" behindDoc="0" locked="0" layoutInCell="1" allowOverlap="1" wp14:anchorId="132436E6" wp14:editId="77804A88">
                <wp:simplePos x="0" y="0"/>
                <wp:positionH relativeFrom="column">
                  <wp:posOffset>403860</wp:posOffset>
                </wp:positionH>
                <wp:positionV relativeFrom="paragraph">
                  <wp:posOffset>37465</wp:posOffset>
                </wp:positionV>
                <wp:extent cx="1516380" cy="272415"/>
                <wp:effectExtent l="13335" t="8890" r="13335" b="13970"/>
                <wp:wrapNone/>
                <wp:docPr id="3662" name="Text Box 280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16380" cy="272415"/>
                        </a:xfrm>
                        <a:prstGeom prst="rect">
                          <a:avLst/>
                        </a:prstGeom>
                        <a:solidFill>
                          <a:srgbClr val="FFFFFF"/>
                        </a:solidFill>
                        <a:ln w="9525">
                          <a:solidFill>
                            <a:srgbClr val="000000"/>
                          </a:solidFill>
                          <a:miter lim="800000"/>
                          <a:headEnd/>
                          <a:tailEnd/>
                        </a:ln>
                      </wps:spPr>
                      <wps:txbx>
                        <w:txbxContent>
                          <w:p w14:paraId="49F93A4B" w14:textId="77777777" w:rsidR="006A5267" w:rsidRDefault="006A5267" w:rsidP="008B4B2B">
                            <w:pPr>
                              <w:jc w:val="distribute"/>
                            </w:pPr>
                            <w:r>
                              <w:rPr>
                                <w:rFonts w:hint="eastAsia"/>
                                <w:sz w:val="20"/>
                              </w:rPr>
                              <w:t>第五管区海上保安本部</w:t>
                            </w:r>
                          </w:p>
                        </w:txbxContent>
                      </wps:txbx>
                      <wps:bodyPr rot="0" vert="horz" wrap="square" lIns="37440" tIns="24120" rIns="41040" bIns="24120" anchor="t" anchorCtr="0" upright="1">
                        <a:noAutofit/>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shape w14:anchorId="132436E6" id="Text Box 2809" o:spid="_x0000_s1787" type="#_x0000_t202" style="position:absolute;left:0;text-align:left;margin-left:31.8pt;margin-top:2.95pt;width:119.4pt;height:21.45pt;z-index:2535106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">
                <v:textbox inset="1.04mm,.67mm,1.14mm,.67mm">
                  <w:txbxContent>
                    <w:p w14:paraId="49F93A4B" w14:textId="77777777" w:rsidR="006A5267" w:rsidRDefault="006A5267" w:rsidP="008B4B2B">
                      <w:pPr>
                        <w:jc w:val="distribute"/>
                      </w:pPr>
                      <w:r>
                        <w:rPr>
                          <w:rFonts w:hint="eastAsia"/>
                          <w:sz w:val="20"/>
                        </w:rPr>
                        <w:t>第五管区海上保安本部</w:t>
                      </w:r>
                    </w:p>
                  </w:txbxContent>
                </v:textbox>
              </v:shape>
            </w:pict>
          </mc:Fallback>
        </mc:AlternateContent>
      </w:r>
      <w:r w:rsidRPr="001D6D10">
        <w:rPr>
          <w:rFonts w:hint="eastAsia"/>
          <w:noProof/>
        </w:rPr>
        <mc:AlternateContent>
          <mc:Choice Requires="wps">
            <w:drawing>
              <wp:anchor distT="0" distB="0" distL="114300" distR="114300" simplePos="0" relativeHeight="253520896" behindDoc="0" locked="0" layoutInCell="1" allowOverlap="1" wp14:anchorId="09B97FC1" wp14:editId="2F9B1700">
                <wp:simplePos x="0" y="0"/>
                <wp:positionH relativeFrom="column">
                  <wp:posOffset>2400300</wp:posOffset>
                </wp:positionH>
                <wp:positionV relativeFrom="paragraph">
                  <wp:posOffset>170815</wp:posOffset>
                </wp:positionV>
                <wp:extent cx="1600200" cy="0"/>
                <wp:effectExtent l="9525" t="8890" r="9525" b="10160"/>
                <wp:wrapNone/>
                <wp:docPr id="3661" name="Line 281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600200" cy="0"/>
                        </a:xfrm>
                        <a:prstGeom prst="line">
                          <a:avLst/>
                        </a:prstGeom>
                        <a:noFill/>
                        <a:ln w="9525">
                          <a:solidFill>
                            <a:srgbClr val="000000"/>
                          </a:solidFill>
                          <a:prstDash val="sysDot"/>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line w14:anchorId="13336410" id="Line 2819" o:spid="_x0000_s1026" style="position:absolute;left:0;text-align:left;z-index:2535208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89pt,13.45pt" to="315pt,13.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">
                <v:stroke dashstyle="1 1"/>
              </v:line>
            </w:pict>
          </mc:Fallback>
        </mc:AlternateContent>
      </w:r>
    </w:p>
    <w:p w14:paraId="1BF28424" w14:textId="204DBD71" w:rsidR="008B4B2B" w:rsidRPr="001D6D10" w:rsidRDefault="008B4B2B" w:rsidP="008B4B2B">
      <w:pPr>
        <w:wordWrap w:val="0"/>
        <w:overflowPunct w:val="0"/>
        <w:spacing w:line="362" w:lineRule="exact"/>
        <w:ind w:leftChars="331" w:left="699" w:right="97" w:firstLineChars="1550" w:firstLine="3272"/>
      </w:pPr>
      <w:r w:rsidRPr="001D6D10">
        <w:rPr>
          <w:rFonts w:hint="eastAsia"/>
          <w:noProof/>
        </w:rPr>
        <mc:AlternateContent>
          <mc:Choice Requires="wps">
            <w:drawing>
              <wp:anchor distT="0" distB="0" distL="114300" distR="114300" simplePos="0" relativeHeight="253509632" behindDoc="0" locked="0" layoutInCell="1" allowOverlap="1" wp14:anchorId="7C46F7E8" wp14:editId="230FA2DA">
                <wp:simplePos x="0" y="0"/>
                <wp:positionH relativeFrom="column">
                  <wp:posOffset>4006215</wp:posOffset>
                </wp:positionH>
                <wp:positionV relativeFrom="paragraph">
                  <wp:posOffset>212090</wp:posOffset>
                </wp:positionV>
                <wp:extent cx="497205" cy="0"/>
                <wp:effectExtent l="5715" t="59690" r="20955" b="64135"/>
                <wp:wrapNone/>
                <wp:docPr id="3660" name="Line 280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rot="10800000" flipH="1">
                          <a:off x="0" y="0"/>
                          <a:ext cx="497205" cy="0"/>
                        </a:xfrm>
                        <a:prstGeom prst="line">
                          <a:avLst/>
                        </a:prstGeom>
                        <a:noFill/>
                        <a:ln w="9525">
                          <a:solidFill>
                            <a:srgbClr val="000000"/>
                          </a:solidFill>
                          <a:prstDash val="sysDot"/>
                          <a:round/>
                          <a:headEnd/>
                          <a:tailEnd type="arrow" w="sm" len="sm"/>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line w14:anchorId="2DCFB09E" id="Line 2808" o:spid="_x0000_s1026" style="position:absolute;rotation:180;flip:x;z-index:2535096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15.45pt,16.7pt" to="354.6pt,16.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">
                <v:stroke dashstyle="1 1" endarrow="open" endarrowwidth="narrow" endarrowlength="short"/>
              </v:line>
            </w:pict>
          </mc:Fallback>
        </mc:AlternateContent>
      </w:r>
      <w:r w:rsidRPr="001D6D10">
        <w:rPr>
          <w:rFonts w:hint="eastAsia"/>
          <w:noProof/>
        </w:rPr>
        <mc:AlternateContent>
          <mc:Choice Requires="wps">
            <w:drawing>
              <wp:anchor distT="0" distB="0" distL="114300" distR="114300" simplePos="0" relativeHeight="253505536" behindDoc="0" locked="0" layoutInCell="1" allowOverlap="1" wp14:anchorId="506E6EC8" wp14:editId="5C2DA30F">
                <wp:simplePos x="0" y="0"/>
                <wp:positionH relativeFrom="column">
                  <wp:posOffset>403860</wp:posOffset>
                </wp:positionH>
                <wp:positionV relativeFrom="paragraph">
                  <wp:posOffset>76200</wp:posOffset>
                </wp:positionV>
                <wp:extent cx="1516380" cy="279400"/>
                <wp:effectExtent l="13335" t="9525" r="13335" b="6350"/>
                <wp:wrapNone/>
                <wp:docPr id="3659" name="Text Box 280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16380" cy="279400"/>
                        </a:xfrm>
                        <a:prstGeom prst="rect">
                          <a:avLst/>
                        </a:prstGeom>
                        <a:solidFill>
                          <a:srgbClr val="FFFFFF"/>
                        </a:solidFill>
                        <a:ln w="9525">
                          <a:solidFill>
                            <a:srgbClr val="000000"/>
                          </a:solidFill>
                          <a:miter lim="800000"/>
                          <a:headEnd/>
                          <a:tailEnd/>
                        </a:ln>
                      </wps:spPr>
                      <wps:txbx>
                        <w:txbxContent>
                          <w:p w14:paraId="5FE08C7E" w14:textId="77777777" w:rsidR="006A5267" w:rsidRPr="008A4793" w:rsidRDefault="006A5267" w:rsidP="008B4B2B">
                            <w:pPr>
                              <w:spacing w:line="280" w:lineRule="atLeast"/>
                              <w:jc w:val="distribute"/>
                            </w:pPr>
                            <w:r w:rsidRPr="008A4793">
                              <w:rPr>
                                <w:rFonts w:hint="eastAsia"/>
                                <w:sz w:val="18"/>
                                <w:szCs w:val="18"/>
                              </w:rPr>
                              <w:t>近畿地方整備局港湾空港部</w:t>
                            </w:r>
                          </w:p>
                        </w:txbxContent>
                      </wps:txbx>
                      <wps:bodyPr rot="0" vert="horz" wrap="square" lIns="37440" tIns="24120" rIns="41040" bIns="24120" anchor="t" anchorCtr="0" upright="1">
                        <a:noAutofit/>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shape w14:anchorId="506E6EC8" id="Text Box 2804" o:spid="_x0000_s1788" type="#_x0000_t202" style="position:absolute;left:0;text-align:left;margin-left:31.8pt;margin-top:6pt;width:119.4pt;height:22pt;z-index:2535055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">
                <v:textbox inset="1.04mm,.67mm,1.14mm,.67mm">
                  <w:txbxContent>
                    <w:p w14:paraId="5FE08C7E" w14:textId="77777777" w:rsidR="006A5267" w:rsidRPr="008A4793" w:rsidRDefault="006A5267" w:rsidP="008B4B2B">
                      <w:pPr>
                        <w:spacing w:line="280" w:lineRule="atLeast"/>
                        <w:jc w:val="distribute"/>
                      </w:pPr>
                      <w:r w:rsidRPr="008A4793">
                        <w:rPr>
                          <w:rFonts w:hint="eastAsia"/>
                          <w:sz w:val="18"/>
                          <w:szCs w:val="18"/>
                        </w:rPr>
                        <w:t>近畿地方整備局港湾空港部</w:t>
                      </w:r>
                    </w:p>
                  </w:txbxContent>
                </v:textbox>
              </v:shape>
            </w:pict>
          </mc:Fallback>
        </mc:AlternateContent>
      </w:r>
      <w:r w:rsidRPr="001D6D10">
        <w:rPr>
          <w:rFonts w:hint="eastAsia"/>
          <w:noProof/>
        </w:rPr>
        <mc:AlternateContent>
          <mc:Choice Requires="wps">
            <w:drawing>
              <wp:anchor distT="0" distB="0" distL="114300" distR="114300" simplePos="0" relativeHeight="253514752" behindDoc="0" locked="0" layoutInCell="1" allowOverlap="1" wp14:anchorId="142668ED" wp14:editId="5DD559E1">
                <wp:simplePos x="0" y="0"/>
                <wp:positionH relativeFrom="column">
                  <wp:posOffset>4503420</wp:posOffset>
                </wp:positionH>
                <wp:positionV relativeFrom="paragraph">
                  <wp:posOffset>83185</wp:posOffset>
                </wp:positionV>
                <wp:extent cx="1440180" cy="272415"/>
                <wp:effectExtent l="7620" t="6985" r="9525" b="6350"/>
                <wp:wrapNone/>
                <wp:docPr id="3658" name="Text Box 281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40180" cy="272415"/>
                        </a:xfrm>
                        <a:prstGeom prst="rect">
                          <a:avLst/>
                        </a:prstGeom>
                        <a:solidFill>
                          <a:srgbClr val="FFFFFF"/>
                        </a:solidFill>
                        <a:ln w="9525">
                          <a:solidFill>
                            <a:srgbClr val="000000"/>
                          </a:solidFill>
                          <a:miter lim="800000"/>
                          <a:headEnd/>
                          <a:tailEnd/>
                        </a:ln>
                      </wps:spPr>
                      <wps:txbx>
                        <w:txbxContent>
                          <w:p w14:paraId="2EFD295D" w14:textId="77777777" w:rsidR="006A5267" w:rsidRDefault="006A5267" w:rsidP="008B4B2B">
                            <w:pPr>
                              <w:jc w:val="distribute"/>
                            </w:pPr>
                            <w:r>
                              <w:rPr>
                                <w:rFonts w:hint="eastAsia"/>
                              </w:rPr>
                              <w:t>警察署</w:t>
                            </w:r>
                          </w:p>
                        </w:txbxContent>
                      </wps:txbx>
                      <wps:bodyPr rot="0" vert="horz" wrap="square" lIns="37440" tIns="24120" rIns="41040" bIns="24120" anchor="t" anchorCtr="0" upright="1">
                        <a:noAutofit/>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shape w14:anchorId="142668ED" id="Text Box 2813" o:spid="_x0000_s1789" type="#_x0000_t202" style="position:absolute;left:0;text-align:left;margin-left:354.6pt;margin-top:6.55pt;width:113.4pt;height:21.45pt;z-index:253514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">
                <v:textbox inset="1.04mm,.67mm,1.14mm,.67mm">
                  <w:txbxContent>
                    <w:p w14:paraId="2EFD295D" w14:textId="77777777" w:rsidR="006A5267" w:rsidRDefault="006A5267" w:rsidP="008B4B2B">
                      <w:pPr>
                        <w:jc w:val="distribute"/>
                      </w:pPr>
                      <w:r>
                        <w:rPr>
                          <w:rFonts w:hint="eastAsia"/>
                        </w:rPr>
                        <w:t>警察署</w:t>
                      </w:r>
                    </w:p>
                  </w:txbxContent>
                </v:textbox>
              </v:shape>
            </w:pict>
          </mc:Fallback>
        </mc:AlternateContent>
      </w:r>
    </w:p>
    <w:p w14:paraId="41C41073" w14:textId="77777777" w:rsidR="008B4B2B" w:rsidRPr="001D6D10" w:rsidRDefault="008B4B2B" w:rsidP="008B4B2B">
      <w:pPr>
        <w:wordWrap w:val="0"/>
        <w:overflowPunct w:val="0"/>
        <w:spacing w:line="362" w:lineRule="exact"/>
        <w:ind w:leftChars="331" w:left="699" w:right="97" w:firstLineChars="1550" w:firstLine="3272"/>
      </w:pPr>
      <w:r w:rsidRPr="001D6D10">
        <w:rPr>
          <w:rFonts w:hint="eastAsia"/>
          <w:noProof/>
        </w:rPr>
        <mc:AlternateContent>
          <mc:Choice Requires="wps">
            <w:drawing>
              <wp:anchor distT="0" distB="0" distL="114300" distR="114300" simplePos="0" relativeHeight="253508608" behindDoc="0" locked="0" layoutInCell="1" allowOverlap="1" wp14:anchorId="682822ED" wp14:editId="5CE5E800">
                <wp:simplePos x="0" y="0"/>
                <wp:positionH relativeFrom="column">
                  <wp:posOffset>1920240</wp:posOffset>
                </wp:positionH>
                <wp:positionV relativeFrom="paragraph">
                  <wp:posOffset>1270</wp:posOffset>
                </wp:positionV>
                <wp:extent cx="468630" cy="0"/>
                <wp:effectExtent l="15240" t="67945" r="11430" b="65405"/>
                <wp:wrapNone/>
                <wp:docPr id="3657" name="Line 280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468630" cy="0"/>
                        </a:xfrm>
                        <a:prstGeom prst="line">
                          <a:avLst/>
                        </a:prstGeom>
                        <a:noFill/>
                        <a:ln w="9525">
                          <a:solidFill>
                            <a:srgbClr val="000000"/>
                          </a:solidFill>
                          <a:prstDash val="sysDot"/>
                          <a:round/>
                          <a:headEnd/>
                          <a:tailEnd type="arrow" w="sm" len="sm"/>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line w14:anchorId="6D04628E" id="Line 2807" o:spid="_x0000_s1026" style="position:absolute;left:0;text-align:left;flip:x;z-index:2535086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51.2pt,.1pt" to="188.1pt,.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">
                <v:stroke dashstyle="1 1" endarrow="open" endarrowwidth="narrow" endarrowlength="short"/>
              </v:line>
            </w:pict>
          </mc:Fallback>
        </mc:AlternateContent>
      </w:r>
      <w:r w:rsidRPr="001D6D10">
        <w:rPr>
          <w:rFonts w:hint="eastAsia"/>
          <w:noProof/>
        </w:rPr>
        <mc:AlternateContent>
          <mc:Choice Requires="wps">
            <w:drawing>
              <wp:anchor distT="0" distB="0" distL="114300" distR="114300" simplePos="0" relativeHeight="253530112" behindDoc="0" locked="0" layoutInCell="1" allowOverlap="1" wp14:anchorId="741876B9" wp14:editId="7B022AFA">
                <wp:simplePos x="0" y="0"/>
                <wp:positionH relativeFrom="column">
                  <wp:posOffset>600075</wp:posOffset>
                </wp:positionH>
                <wp:positionV relativeFrom="paragraph">
                  <wp:posOffset>133350</wp:posOffset>
                </wp:positionV>
                <wp:extent cx="0" cy="1362075"/>
                <wp:effectExtent l="66675" t="19050" r="66675" b="9525"/>
                <wp:wrapNone/>
                <wp:docPr id="3656" name="Line 282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rot="10800000" flipH="1">
                          <a:off x="0" y="0"/>
                          <a:ext cx="0" cy="1362075"/>
                        </a:xfrm>
                        <a:prstGeom prst="line">
                          <a:avLst/>
                        </a:prstGeom>
                        <a:noFill/>
                        <a:ln w="9525">
                          <a:solidFill>
                            <a:srgbClr val="000000"/>
                          </a:solidFill>
                          <a:prstDash val="sysDot"/>
                          <a:round/>
                          <a:headEnd/>
                          <a:tailEnd type="arrow" w="sm" len="sm"/>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line w14:anchorId="38C06819" id="Line 2828" o:spid="_x0000_s1026" style="position:absolute;left:0;text-align:left;rotation:180;flip:x;z-index:2535301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7.25pt,10.5pt" to="47.25pt,117.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">
                <v:stroke dashstyle="1 1" endarrow="open" endarrowwidth="narrow" endarrowlength="short"/>
              </v:line>
            </w:pict>
          </mc:Fallback>
        </mc:AlternateContent>
      </w:r>
      <w:r w:rsidRPr="001D6D10">
        <w:rPr>
          <w:rFonts w:hint="eastAsia"/>
          <w:noProof/>
        </w:rPr>
        <mc:AlternateContent>
          <mc:Choice Requires="wps">
            <w:drawing>
              <wp:anchor distT="0" distB="0" distL="114300" distR="114300" simplePos="0" relativeHeight="253528064" behindDoc="0" locked="0" layoutInCell="1" allowOverlap="1" wp14:anchorId="41CDAA34" wp14:editId="1D37B701">
                <wp:simplePos x="0" y="0"/>
                <wp:positionH relativeFrom="column">
                  <wp:posOffset>3761105</wp:posOffset>
                </wp:positionH>
                <wp:positionV relativeFrom="paragraph">
                  <wp:posOffset>205105</wp:posOffset>
                </wp:positionV>
                <wp:extent cx="998855" cy="840105"/>
                <wp:effectExtent l="59055" t="49530" r="53340" b="46990"/>
                <wp:wrapNone/>
                <wp:docPr id="3655" name="Line 282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rot="16200000">
                          <a:off x="0" y="0"/>
                          <a:ext cx="998855" cy="840105"/>
                        </a:xfrm>
                        <a:prstGeom prst="line">
                          <a:avLst/>
                        </a:prstGeom>
                        <a:noFill/>
                        <a:ln w="9525">
                          <a:solidFill>
                            <a:srgbClr val="000000"/>
                          </a:solidFill>
                          <a:prstDash val="sysDot"/>
                          <a:round/>
                          <a:headEnd type="arrow" w="sm" len="sm"/>
                          <a:tailEnd type="arrow" w="sm" len="sm"/>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line w14:anchorId="170961E7" id="Line 2826" o:spid="_x0000_s1026" style="position:absolute;left:0;text-align:left;rotation:-90;z-index:2535280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96.15pt,16.15pt" to="374.8pt,82.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">
                <v:stroke dashstyle="1 1" startarrow="open" startarrowwidth="narrow" startarrowlength="short" endarrow="open" endarrowwidth="narrow" endarrowlength="short"/>
              </v:line>
            </w:pict>
          </mc:Fallback>
        </mc:AlternateContent>
      </w:r>
      <w:r w:rsidRPr="001D6D10">
        <w:rPr>
          <w:rFonts w:hint="eastAsia"/>
          <w:noProof/>
        </w:rPr>
        <mc:AlternateContent>
          <mc:Choice Requires="wps">
            <w:drawing>
              <wp:anchor distT="0" distB="0" distL="114300" distR="114300" simplePos="0" relativeHeight="253526016" behindDoc="0" locked="0" layoutInCell="1" allowOverlap="1" wp14:anchorId="58C08852" wp14:editId="7D745057">
                <wp:simplePos x="0" y="0"/>
                <wp:positionH relativeFrom="column">
                  <wp:posOffset>4677410</wp:posOffset>
                </wp:positionH>
                <wp:positionV relativeFrom="paragraph">
                  <wp:posOffset>488950</wp:posOffset>
                </wp:positionV>
                <wp:extent cx="726440" cy="0"/>
                <wp:effectExtent l="59055" t="20955" r="64770" b="14605"/>
                <wp:wrapNone/>
                <wp:docPr id="3654" name="Line 282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rot="5400000" flipH="1">
                          <a:off x="0" y="0"/>
                          <a:ext cx="726440" cy="0"/>
                        </a:xfrm>
                        <a:prstGeom prst="line">
                          <a:avLst/>
                        </a:prstGeom>
                        <a:noFill/>
                        <a:ln w="9525">
                          <a:solidFill>
                            <a:srgbClr val="000000"/>
                          </a:solidFill>
                          <a:prstDash val="sysDot"/>
                          <a:round/>
                          <a:headEnd type="arrow" w="sm" len="sm"/>
                          <a:tailEnd type="arrow" w="sm" len="sm"/>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line w14:anchorId="3B39EC14" id="Line 2824" o:spid="_x0000_s1026" style="position:absolute;left:0;text-align:left;rotation:-90;flip:x;z-index:2535260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68.3pt,38.5pt" to="425.5pt,3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">
                <v:stroke dashstyle="1 1" startarrow="open" startarrowwidth="narrow" startarrowlength="short" endarrow="open" endarrowwidth="narrow" endarrowlength="short"/>
              </v:line>
            </w:pict>
          </mc:Fallback>
        </mc:AlternateContent>
      </w:r>
      <w:r w:rsidRPr="001D6D10">
        <w:rPr>
          <w:rFonts w:hint="eastAsia"/>
          <w:noProof/>
        </w:rPr>
        <mc:AlternateContent>
          <mc:Choice Requires="wps">
            <w:drawing>
              <wp:anchor distT="0" distB="0" distL="114300" distR="114300" simplePos="0" relativeHeight="253521920" behindDoc="0" locked="0" layoutInCell="1" allowOverlap="1" wp14:anchorId="7B72C0FE" wp14:editId="723B1589">
                <wp:simplePos x="0" y="0"/>
                <wp:positionH relativeFrom="column">
                  <wp:posOffset>1482725</wp:posOffset>
                </wp:positionH>
                <wp:positionV relativeFrom="paragraph">
                  <wp:posOffset>69215</wp:posOffset>
                </wp:positionV>
                <wp:extent cx="817245" cy="960120"/>
                <wp:effectExtent l="49530" t="54610" r="47625" b="52070"/>
                <wp:wrapNone/>
                <wp:docPr id="3653" name="Line 282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rot="5400000" flipH="1">
                          <a:off x="0" y="0"/>
                          <a:ext cx="817245" cy="960120"/>
                        </a:xfrm>
                        <a:prstGeom prst="line">
                          <a:avLst/>
                        </a:prstGeom>
                        <a:noFill/>
                        <a:ln w="9525">
                          <a:solidFill>
                            <a:srgbClr val="000000"/>
                          </a:solidFill>
                          <a:prstDash val="sysDot"/>
                          <a:round/>
                          <a:headEnd type="arrow" w="sm" len="sm"/>
                          <a:tailEnd type="arrow" w="sm" len="sm"/>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line w14:anchorId="491DA008" id="Line 2820" o:spid="_x0000_s1026" style="position:absolute;left:0;text-align:left;rotation:-90;flip:x;z-index:2535219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16.75pt,5.45pt" to="181.1pt,81.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">
                <v:stroke dashstyle="1 1" startarrow="open" startarrowwidth="narrow" startarrowlength="short" endarrow="open" endarrowwidth="narrow" endarrowlength="short"/>
              </v:line>
            </w:pict>
          </mc:Fallback>
        </mc:AlternateContent>
      </w:r>
    </w:p>
    <w:p w14:paraId="19B7EE89" w14:textId="396DD6F6" w:rsidR="008B4B2B" w:rsidRPr="001D6D10" w:rsidRDefault="008B4B2B" w:rsidP="008B4B2B">
      <w:pPr>
        <w:wordWrap w:val="0"/>
        <w:overflowPunct w:val="0"/>
        <w:spacing w:line="362" w:lineRule="exact"/>
        <w:ind w:leftChars="331" w:left="699" w:right="97" w:firstLineChars="1550" w:firstLine="3272"/>
      </w:pPr>
    </w:p>
    <w:p w14:paraId="4046C0AE" w14:textId="47DB3526" w:rsidR="008B4B2B" w:rsidRPr="001D6D10" w:rsidRDefault="008B4B2B" w:rsidP="008B4B2B">
      <w:pPr>
        <w:wordWrap w:val="0"/>
        <w:overflowPunct w:val="0"/>
        <w:spacing w:line="362" w:lineRule="exact"/>
        <w:ind w:leftChars="331" w:left="699" w:right="97" w:firstLineChars="1550" w:firstLine="3272"/>
      </w:pPr>
      <w:r w:rsidRPr="001D6D10">
        <w:rPr>
          <w:rFonts w:hint="eastAsia"/>
          <w:noProof/>
        </w:rPr>
        <mc:AlternateContent>
          <mc:Choice Requires="wps">
            <w:drawing>
              <wp:anchor distT="0" distB="0" distL="114300" distR="114300" simplePos="0" relativeHeight="253515776" behindDoc="0" locked="0" layoutInCell="1" allowOverlap="1" wp14:anchorId="7360C709" wp14:editId="7C183AC0">
                <wp:simplePos x="0" y="0"/>
                <wp:positionH relativeFrom="column">
                  <wp:posOffset>2945765</wp:posOffset>
                </wp:positionH>
                <wp:positionV relativeFrom="paragraph">
                  <wp:posOffset>203835</wp:posOffset>
                </wp:positionV>
                <wp:extent cx="349250" cy="0"/>
                <wp:effectExtent l="62865" t="10160" r="60960" b="21590"/>
                <wp:wrapNone/>
                <wp:docPr id="3652" name="Line 281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rot="16200000" flipH="1">
                          <a:off x="0" y="0"/>
                          <a:ext cx="349250" cy="0"/>
                        </a:xfrm>
                        <a:prstGeom prst="line">
                          <a:avLst/>
                        </a:prstGeom>
                        <a:noFill/>
                        <a:ln w="9525">
                          <a:solidFill>
                            <a:srgbClr val="000000"/>
                          </a:solidFill>
                          <a:round/>
                          <a:headEnd/>
                          <a:tailEnd type="arrow" w="sm" len="sm"/>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line w14:anchorId="1442C8E3" id="Line 2814" o:spid="_x0000_s1026" style="position:absolute;rotation:90;flip:x;z-index:253515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31.95pt,16.05pt" to="259.45pt,16.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">
                <v:stroke endarrow="open" endarrowwidth="narrow" endarrowlength="short"/>
              </v:line>
            </w:pict>
          </mc:Fallback>
        </mc:AlternateContent>
      </w:r>
      <w:r w:rsidRPr="001D6D10">
        <w:rPr>
          <w:rFonts w:hint="eastAsia"/>
          <w:noProof/>
        </w:rPr>
        <mc:AlternateContent>
          <mc:Choice Requires="wps">
            <w:drawing>
              <wp:anchor distT="0" distB="0" distL="114300" distR="114300" simplePos="0" relativeHeight="253507584" behindDoc="0" locked="0" layoutInCell="1" allowOverlap="1" wp14:anchorId="0F0BBA67" wp14:editId="6712CF73">
                <wp:simplePos x="0" y="0"/>
                <wp:positionH relativeFrom="column">
                  <wp:posOffset>3120390</wp:posOffset>
                </wp:positionH>
                <wp:positionV relativeFrom="paragraph">
                  <wp:posOffset>29210</wp:posOffset>
                </wp:positionV>
                <wp:extent cx="960120" cy="363220"/>
                <wp:effectExtent l="5715" t="10160" r="5715" b="7620"/>
                <wp:wrapNone/>
                <wp:docPr id="3651" name="Line 280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960120" cy="36322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line w14:anchorId="4AC0B8B5" id="Line 2806" o:spid="_x0000_s1026" style="position:absolute;left:0;text-align:left;z-index:2535075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45.7pt,2.3pt" to="321.3pt,30.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"/>
            </w:pict>
          </mc:Fallback>
        </mc:AlternateContent>
      </w:r>
    </w:p>
    <w:p w14:paraId="755AB4EA" w14:textId="3DEECBC7" w:rsidR="008B4B2B" w:rsidRPr="001D6D10" w:rsidRDefault="008B4B2B" w:rsidP="008B4B2B">
      <w:pPr>
        <w:wordWrap w:val="0"/>
        <w:overflowPunct w:val="0"/>
        <w:spacing w:line="362" w:lineRule="exact"/>
        <w:ind w:leftChars="331" w:left="699" w:right="97" w:firstLineChars="1550" w:firstLine="3272"/>
      </w:pPr>
      <w:r w:rsidRPr="001D6D10">
        <w:rPr>
          <w:rFonts w:hint="eastAsia"/>
          <w:noProof/>
        </w:rPr>
        <mc:AlternateContent>
          <mc:Choice Requires="wps">
            <w:drawing>
              <wp:anchor distT="0" distB="0" distL="114300" distR="114300" simplePos="0" relativeHeight="253527040" behindDoc="0" locked="0" layoutInCell="1" allowOverlap="1" wp14:anchorId="6195945E" wp14:editId="312BE0E1">
                <wp:simplePos x="0" y="0"/>
                <wp:positionH relativeFrom="column">
                  <wp:posOffset>3496310</wp:posOffset>
                </wp:positionH>
                <wp:positionV relativeFrom="paragraph">
                  <wp:posOffset>509905</wp:posOffset>
                </wp:positionV>
                <wp:extent cx="932180" cy="236855"/>
                <wp:effectExtent l="62230" t="10160" r="5715" b="29210"/>
                <wp:wrapNone/>
                <wp:docPr id="3650" name="Line 282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rot="5400000">
                          <a:off x="0" y="0"/>
                          <a:ext cx="932180" cy="236855"/>
                        </a:xfrm>
                        <a:prstGeom prst="line">
                          <a:avLst/>
                        </a:prstGeom>
                        <a:noFill/>
                        <a:ln w="9525">
                          <a:solidFill>
                            <a:srgbClr val="000000"/>
                          </a:solidFill>
                          <a:round/>
                          <a:headEnd/>
                          <a:tailEnd type="arrow" w="sm" len="sm"/>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line w14:anchorId="0E411C80" id="Line 2825" o:spid="_x0000_s1026" style="position:absolute;rotation:90;z-index:2535270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75.3pt,40.15pt" to="348.7pt,58.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">
                <v:stroke endarrow="open" endarrowwidth="narrow" endarrowlength="short"/>
              </v:line>
            </w:pict>
          </mc:Fallback>
        </mc:AlternateContent>
      </w:r>
      <w:r w:rsidRPr="001D6D10">
        <w:rPr>
          <w:rFonts w:hint="eastAsia"/>
          <w:noProof/>
        </w:rPr>
        <mc:AlternateContent>
          <mc:Choice Requires="wps">
            <w:drawing>
              <wp:anchor distT="0" distB="0" distL="114300" distR="114300" simplePos="0" relativeHeight="253518848" behindDoc="0" locked="0" layoutInCell="1" allowOverlap="1" wp14:anchorId="6FC57911" wp14:editId="2E65BFF5">
                <wp:simplePos x="0" y="0"/>
                <wp:positionH relativeFrom="column">
                  <wp:posOffset>4320540</wp:posOffset>
                </wp:positionH>
                <wp:positionV relativeFrom="paragraph">
                  <wp:posOffset>162560</wp:posOffset>
                </wp:positionV>
                <wp:extent cx="1440180" cy="272415"/>
                <wp:effectExtent l="5715" t="10160" r="11430" b="12700"/>
                <wp:wrapNone/>
                <wp:docPr id="3649" name="Text Box 28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40180" cy="272415"/>
                        </a:xfrm>
                        <a:prstGeom prst="rect">
                          <a:avLst/>
                        </a:prstGeom>
                        <a:solidFill>
                          <a:srgbClr val="FFFFFF"/>
                        </a:solidFill>
                        <a:ln w="9525">
                          <a:solidFill>
                            <a:srgbClr val="000000"/>
                          </a:solidFill>
                          <a:miter lim="800000"/>
                          <a:headEnd/>
                          <a:tailEnd/>
                        </a:ln>
                      </wps:spPr>
                      <wps:txbx>
                        <w:txbxContent>
                          <w:p w14:paraId="4D44E9E3" w14:textId="77777777" w:rsidR="006A5267" w:rsidRDefault="006A5267" w:rsidP="008B4B2B">
                            <w:pPr>
                              <w:jc w:val="distribute"/>
                            </w:pPr>
                            <w:r>
                              <w:rPr>
                                <w:rFonts w:hint="eastAsia"/>
                              </w:rPr>
                              <w:t>大阪府警察本部</w:t>
                            </w:r>
                          </w:p>
                        </w:txbxContent>
                      </wps:txbx>
                      <wps:bodyPr rot="0" vert="horz" wrap="square" lIns="37440" tIns="24120" rIns="41040" bIns="24120" anchor="t" anchorCtr="0" upright="1">
                        <a:noAutofit/>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shape w14:anchorId="6FC57911" id="Text Box 2817" o:spid="_x0000_s1790" type="#_x0000_t202" style="position:absolute;left:0;text-align:left;margin-left:340.2pt;margin-top:12.8pt;width:113.4pt;height:21.45pt;z-index:2535188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">
                <v:textbox inset="1.04mm,.67mm,1.14mm,.67mm">
                  <w:txbxContent>
                    <w:p w14:paraId="4D44E9E3" w14:textId="77777777" w:rsidR="006A5267" w:rsidRDefault="006A5267" w:rsidP="008B4B2B">
                      <w:pPr>
                        <w:jc w:val="distribute"/>
                      </w:pPr>
                      <w:r>
                        <w:rPr>
                          <w:rFonts w:hint="eastAsia"/>
                        </w:rPr>
                        <w:t>大阪府警察本部</w:t>
                      </w:r>
                    </w:p>
                  </w:txbxContent>
                </v:textbox>
              </v:shape>
            </w:pict>
          </mc:Fallback>
        </mc:AlternateContent>
      </w:r>
      <w:r w:rsidRPr="001D6D10">
        <w:rPr>
          <w:rFonts w:hint="eastAsia"/>
          <w:noProof/>
        </w:rPr>
        <mc:AlternateContent>
          <mc:Choice Requires="wps">
            <w:drawing>
              <wp:anchor distT="0" distB="0" distL="114300" distR="114300" simplePos="0" relativeHeight="253513728" behindDoc="0" locked="0" layoutInCell="1" allowOverlap="1" wp14:anchorId="0F12F8C8" wp14:editId="1081F6EB">
                <wp:simplePos x="0" y="0"/>
                <wp:positionH relativeFrom="column">
                  <wp:posOffset>2400300</wp:posOffset>
                </wp:positionH>
                <wp:positionV relativeFrom="paragraph">
                  <wp:posOffset>162560</wp:posOffset>
                </wp:positionV>
                <wp:extent cx="1440180" cy="635635"/>
                <wp:effectExtent l="0" t="0" r="26670" b="12065"/>
                <wp:wrapNone/>
                <wp:docPr id="3648" name="Text Box 281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40180" cy="635635"/>
                        </a:xfrm>
                        <a:prstGeom prst="rect">
                          <a:avLst/>
                        </a:prstGeom>
                        <a:solidFill>
                          <a:srgbClr val="FFFFFF"/>
                        </a:solidFill>
                        <a:ln w="9525">
                          <a:solidFill>
                            <a:srgbClr val="000000"/>
                          </a:solidFill>
                          <a:miter lim="800000"/>
                          <a:headEnd/>
                          <a:tailEnd/>
                        </a:ln>
                      </wps:spPr>
                      <wps:txbx>
                        <w:txbxContent>
                          <w:p w14:paraId="53DC85DE" w14:textId="77777777" w:rsidR="006A5267" w:rsidRDefault="006A5267" w:rsidP="008B4B2B">
                            <w:pPr>
                              <w:jc w:val="distribute"/>
                            </w:pPr>
                            <w:r>
                              <w:rPr>
                                <w:rFonts w:hint="eastAsia"/>
                              </w:rPr>
                              <w:t>市町村</w:t>
                            </w:r>
                          </w:p>
                          <w:p w14:paraId="4E0872EF" w14:textId="77777777" w:rsidR="006A5267" w:rsidRDefault="006A5267" w:rsidP="008B4B2B">
                            <w:pPr>
                              <w:jc w:val="distribute"/>
                            </w:pPr>
                            <w:r>
                              <w:rPr>
                                <w:rFonts w:hint="eastAsia"/>
                              </w:rPr>
                              <w:t>消防本部</w:t>
                            </w:r>
                          </w:p>
                        </w:txbxContent>
                      </wps:txbx>
                      <wps:bodyPr rot="0" vert="horz" wrap="square" lIns="37440" tIns="24120" rIns="41040" bIns="24120" anchor="ctr" anchorCtr="0" upright="1">
                        <a:noAutofit/>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shape w14:anchorId="0F12F8C8" id="Text Box 2812" o:spid="_x0000_s1791" type="#_x0000_t202" style="position:absolute;left:0;text-align:left;margin-left:189pt;margin-top:12.8pt;width:113.4pt;height:50.05pt;z-index:253513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">
                <v:textbox inset="1.04mm,.67mm,1.14mm,.67mm">
                  <w:txbxContent>
                    <w:p w14:paraId="53DC85DE" w14:textId="77777777" w:rsidR="006A5267" w:rsidRDefault="006A5267" w:rsidP="008B4B2B">
                      <w:pPr>
                        <w:jc w:val="distribute"/>
                      </w:pPr>
                      <w:r>
                        <w:rPr>
                          <w:rFonts w:hint="eastAsia"/>
                        </w:rPr>
                        <w:t>市町村</w:t>
                      </w:r>
                    </w:p>
                    <w:p w14:paraId="4E0872EF" w14:textId="77777777" w:rsidR="006A5267" w:rsidRDefault="006A5267" w:rsidP="008B4B2B">
                      <w:pPr>
                        <w:jc w:val="distribute"/>
                      </w:pPr>
                      <w:r>
                        <w:rPr>
                          <w:rFonts w:hint="eastAsia"/>
                        </w:rPr>
                        <w:t>消防本部</w:t>
                      </w:r>
                    </w:p>
                  </w:txbxContent>
                </v:textbox>
              </v:shape>
            </w:pict>
          </mc:Fallback>
        </mc:AlternateContent>
      </w:r>
    </w:p>
    <w:p w14:paraId="33DB6FD1" w14:textId="000DC941" w:rsidR="008B4B2B" w:rsidRPr="001D6D10" w:rsidRDefault="008B4B2B" w:rsidP="008B4B2B">
      <w:pPr>
        <w:wordWrap w:val="0"/>
        <w:overflowPunct w:val="0"/>
        <w:spacing w:line="362" w:lineRule="exact"/>
        <w:ind w:leftChars="331" w:left="699" w:right="97" w:firstLineChars="1550" w:firstLine="3272"/>
      </w:pPr>
      <w:r w:rsidRPr="001D6D10">
        <w:rPr>
          <w:rFonts w:hint="eastAsia"/>
          <w:noProof/>
        </w:rPr>
        <mc:AlternateContent>
          <mc:Choice Requires="wps">
            <w:drawing>
              <wp:anchor distT="0" distB="0" distL="114300" distR="114300" simplePos="0" relativeHeight="253523968" behindDoc="0" locked="0" layoutInCell="1" allowOverlap="1" wp14:anchorId="31221AFA" wp14:editId="64EA51D6">
                <wp:simplePos x="0" y="0"/>
                <wp:positionH relativeFrom="column">
                  <wp:posOffset>3840480</wp:posOffset>
                </wp:positionH>
                <wp:positionV relativeFrom="paragraph">
                  <wp:posOffset>222250</wp:posOffset>
                </wp:positionV>
                <wp:extent cx="1169035" cy="793115"/>
                <wp:effectExtent l="49530" t="60325" r="48260" b="60960"/>
                <wp:wrapNone/>
                <wp:docPr id="3647" name="Line 282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1169035" cy="793115"/>
                        </a:xfrm>
                        <a:prstGeom prst="line">
                          <a:avLst/>
                        </a:prstGeom>
                        <a:noFill/>
                        <a:ln w="9525">
                          <a:solidFill>
                            <a:srgbClr val="000000"/>
                          </a:solidFill>
                          <a:prstDash val="sysDot"/>
                          <a:round/>
                          <a:headEnd type="arrow" w="sm" len="sm"/>
                          <a:tailEnd type="arrow" w="sm" len="sm"/>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line w14:anchorId="21A60317" id="Line 2822" o:spid="_x0000_s1026" style="position:absolute;left:0;text-align:left;flip:x;z-index:2535239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02.4pt,17.5pt" to="394.45pt,79.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">
                <v:stroke dashstyle="1 1" startarrow="open" startarrowwidth="narrow" startarrowlength="short" endarrow="open" endarrowwidth="narrow" endarrowlength="short"/>
              </v:line>
            </w:pict>
          </mc:Fallback>
        </mc:AlternateContent>
      </w:r>
      <w:r w:rsidRPr="001D6D10">
        <w:rPr>
          <w:rFonts w:hint="eastAsia"/>
          <w:noProof/>
        </w:rPr>
        <mc:AlternateContent>
          <mc:Choice Requires="wps">
            <w:drawing>
              <wp:anchor distT="0" distB="0" distL="114300" distR="114300" simplePos="0" relativeHeight="253511680" behindDoc="0" locked="0" layoutInCell="1" allowOverlap="1" wp14:anchorId="1A908737" wp14:editId="0C526EFD">
                <wp:simplePos x="0" y="0"/>
                <wp:positionH relativeFrom="column">
                  <wp:posOffset>840105</wp:posOffset>
                </wp:positionH>
                <wp:positionV relativeFrom="paragraph">
                  <wp:posOffset>222250</wp:posOffset>
                </wp:positionV>
                <wp:extent cx="1080135" cy="272415"/>
                <wp:effectExtent l="11430" t="12700" r="13335" b="10160"/>
                <wp:wrapNone/>
                <wp:docPr id="3646" name="Text Box 28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80135" cy="272415"/>
                        </a:xfrm>
                        <a:prstGeom prst="rect">
                          <a:avLst/>
                        </a:prstGeom>
                        <a:solidFill>
                          <a:srgbClr val="FFFFFF"/>
                        </a:solidFill>
                        <a:ln w="9525">
                          <a:solidFill>
                            <a:srgbClr val="000000"/>
                          </a:solidFill>
                          <a:miter lim="800000"/>
                          <a:headEnd/>
                          <a:tailEnd/>
                        </a:ln>
                      </wps:spPr>
                      <wps:txbx>
                        <w:txbxContent>
                          <w:p w14:paraId="44AD65FD" w14:textId="77777777" w:rsidR="006A5267" w:rsidRDefault="006A5267" w:rsidP="008B4B2B">
                            <w:pPr>
                              <w:jc w:val="distribute"/>
                            </w:pPr>
                            <w:r>
                              <w:rPr>
                                <w:rFonts w:hint="eastAsia"/>
                              </w:rPr>
                              <w:t>隣接市町村</w:t>
                            </w:r>
                          </w:p>
                        </w:txbxContent>
                      </wps:txbx>
                      <wps:bodyPr rot="0" vert="horz" wrap="square" lIns="37440" tIns="24120" rIns="41040" bIns="24120" anchor="t" anchorCtr="0" upright="1">
                        <a:noAutofit/>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shape w14:anchorId="1A908737" id="Text Box 2810" o:spid="_x0000_s1792" type="#_x0000_t202" style="position:absolute;left:0;text-align:left;margin-left:66.15pt;margin-top:17.5pt;width:85.05pt;height:21.45pt;z-index:253511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">
                <v:textbox inset="1.04mm,.67mm,1.14mm,.67mm">
                  <w:txbxContent>
                    <w:p w14:paraId="44AD65FD" w14:textId="77777777" w:rsidR="006A5267" w:rsidRDefault="006A5267" w:rsidP="008B4B2B">
                      <w:pPr>
                        <w:jc w:val="distribute"/>
                      </w:pPr>
                      <w:r>
                        <w:rPr>
                          <w:rFonts w:hint="eastAsia"/>
                        </w:rPr>
                        <w:t>隣接市町村</w:t>
                      </w:r>
                    </w:p>
                  </w:txbxContent>
                </v:textbox>
              </v:shape>
            </w:pict>
          </mc:Fallback>
        </mc:AlternateContent>
      </w:r>
    </w:p>
    <w:p w14:paraId="045D73AE" w14:textId="77777777" w:rsidR="008B4B2B" w:rsidRPr="001D6D10" w:rsidRDefault="008B4B2B" w:rsidP="008B4B2B">
      <w:pPr>
        <w:wordWrap w:val="0"/>
        <w:overflowPunct w:val="0"/>
        <w:spacing w:line="362" w:lineRule="exact"/>
        <w:ind w:leftChars="331" w:left="699" w:right="97" w:firstLineChars="1550" w:firstLine="3272"/>
      </w:pPr>
      <w:r w:rsidRPr="001D6D10">
        <w:rPr>
          <w:rFonts w:hint="eastAsia"/>
          <w:noProof/>
        </w:rPr>
        <mc:AlternateContent>
          <mc:Choice Requires="wps">
            <w:drawing>
              <wp:anchor distT="0" distB="0" distL="114300" distR="114300" simplePos="0" relativeHeight="253536256" behindDoc="0" locked="0" layoutInCell="1" allowOverlap="1" wp14:anchorId="59FD5420" wp14:editId="51789722">
                <wp:simplePos x="0" y="0"/>
                <wp:positionH relativeFrom="column">
                  <wp:posOffset>1915160</wp:posOffset>
                </wp:positionH>
                <wp:positionV relativeFrom="paragraph">
                  <wp:posOffset>159385</wp:posOffset>
                </wp:positionV>
                <wp:extent cx="483235" cy="0"/>
                <wp:effectExtent l="19685" t="64135" r="11430" b="59690"/>
                <wp:wrapNone/>
                <wp:docPr id="3645" name="Line 283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483235" cy="0"/>
                        </a:xfrm>
                        <a:prstGeom prst="line">
                          <a:avLst/>
                        </a:prstGeom>
                        <a:noFill/>
                        <a:ln w="9525">
                          <a:solidFill>
                            <a:srgbClr val="000000"/>
                          </a:solidFill>
                          <a:prstDash val="sysDot"/>
                          <a:round/>
                          <a:headEnd/>
                          <a:tailEnd type="arrow" w="sm" len="sm"/>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line w14:anchorId="44D19954" id="Line 2832" o:spid="_x0000_s1026" style="position:absolute;left:0;text-align:left;flip:x;z-index:2535362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50.8pt,12.55pt" to="188.85pt,12.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">
                <v:stroke dashstyle="1 1" endarrow="open" endarrowwidth="narrow" endarrowlength="short"/>
              </v:line>
            </w:pict>
          </mc:Fallback>
        </mc:AlternateContent>
      </w:r>
      <w:r w:rsidRPr="001D6D10">
        <w:rPr>
          <w:rFonts w:hint="eastAsia"/>
          <w:noProof/>
        </w:rPr>
        <mc:AlternateContent>
          <mc:Choice Requires="wps">
            <w:drawing>
              <wp:anchor distT="0" distB="0" distL="114300" distR="114300" simplePos="0" relativeHeight="253522944" behindDoc="0" locked="0" layoutInCell="1" allowOverlap="1" wp14:anchorId="6C54D05B" wp14:editId="1A4AC82C">
                <wp:simplePos x="0" y="0"/>
                <wp:positionH relativeFrom="column">
                  <wp:posOffset>2403475</wp:posOffset>
                </wp:positionH>
                <wp:positionV relativeFrom="paragraph">
                  <wp:posOffset>9525</wp:posOffset>
                </wp:positionV>
                <wp:extent cx="1440180" cy="0"/>
                <wp:effectExtent l="12700" t="9525" r="13970" b="9525"/>
                <wp:wrapNone/>
                <wp:docPr id="3644" name="Line 282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440180" cy="0"/>
                        </a:xfrm>
                        <a:prstGeom prst="line">
                          <a:avLst/>
                        </a:prstGeom>
                        <a:noFill/>
                        <a:ln w="9525">
                          <a:solidFill>
                            <a:srgbClr val="000000"/>
                          </a:solidFill>
                          <a:prstDash val="sysDot"/>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line w14:anchorId="35D890C9" id="Line 2821" o:spid="_x0000_s1026" style="position:absolute;left:0;text-align:left;z-index:2535229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89.25pt,.75pt" to="302.65pt,.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">
                <v:stroke dashstyle="1 1"/>
              </v:line>
            </w:pict>
          </mc:Fallback>
        </mc:AlternateContent>
      </w:r>
    </w:p>
    <w:p w14:paraId="102B8A05" w14:textId="7B39493C" w:rsidR="008B4B2B" w:rsidRPr="001D6D10" w:rsidRDefault="008B4B2B" w:rsidP="008B4B2B">
      <w:pPr>
        <w:wordWrap w:val="0"/>
        <w:overflowPunct w:val="0"/>
        <w:spacing w:line="362" w:lineRule="exact"/>
        <w:ind w:leftChars="331" w:left="699" w:right="97" w:firstLineChars="1550" w:firstLine="3272"/>
      </w:pPr>
      <w:r w:rsidRPr="001D6D10">
        <w:rPr>
          <w:rFonts w:hint="eastAsia"/>
          <w:noProof/>
        </w:rPr>
        <mc:AlternateContent>
          <mc:Choice Requires="wps">
            <w:drawing>
              <wp:anchor distT="0" distB="0" distL="114300" distR="114300" simplePos="0" relativeHeight="253529088" behindDoc="0" locked="0" layoutInCell="1" allowOverlap="1" wp14:anchorId="3EFBBE44" wp14:editId="3697D471">
                <wp:simplePos x="0" y="0"/>
                <wp:positionH relativeFrom="column">
                  <wp:posOffset>600075</wp:posOffset>
                </wp:positionH>
                <wp:positionV relativeFrom="paragraph">
                  <wp:posOffset>116205</wp:posOffset>
                </wp:positionV>
                <wp:extent cx="1560195" cy="288925"/>
                <wp:effectExtent l="9525" t="11430" r="30480" b="61595"/>
                <wp:wrapNone/>
                <wp:docPr id="3643" name="Line 282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rot="10800000" flipH="1" flipV="1">
                          <a:off x="0" y="0"/>
                          <a:ext cx="1560195" cy="288925"/>
                        </a:xfrm>
                        <a:prstGeom prst="line">
                          <a:avLst/>
                        </a:prstGeom>
                        <a:noFill/>
                        <a:ln w="9525">
                          <a:solidFill>
                            <a:srgbClr val="000000"/>
                          </a:solidFill>
                          <a:prstDash val="sysDot"/>
                          <a:round/>
                          <a:headEnd/>
                          <a:tailEnd type="arrow" w="sm" len="sm"/>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line w14:anchorId="32FE1998" id="Line 2827" o:spid="_x0000_s1026" style="position:absolute;rotation:180;flip:x y;z-index:2535290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7.25pt,9.15pt" to="170.1pt,31.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">
                <v:stroke dashstyle="1 1" endarrow="open" endarrowwidth="narrow" endarrowlength="short"/>
              </v:line>
            </w:pict>
          </mc:Fallback>
        </mc:AlternateContent>
      </w:r>
      <w:r w:rsidRPr="001D6D10">
        <w:rPr>
          <w:rFonts w:hint="eastAsia"/>
          <w:noProof/>
        </w:rPr>
        <mc:AlternateContent>
          <mc:Choice Requires="wps">
            <w:drawing>
              <wp:anchor distT="0" distB="0" distL="114300" distR="114300" simplePos="0" relativeHeight="253516800" behindDoc="0" locked="0" layoutInCell="1" allowOverlap="1" wp14:anchorId="6BB73B06" wp14:editId="642E1EAC">
                <wp:simplePos x="0" y="0"/>
                <wp:positionH relativeFrom="column">
                  <wp:posOffset>2980055</wp:posOffset>
                </wp:positionH>
                <wp:positionV relativeFrom="paragraph">
                  <wp:posOffset>248920</wp:posOffset>
                </wp:positionV>
                <wp:extent cx="280035" cy="0"/>
                <wp:effectExtent l="62865" t="22860" r="60960" b="20955"/>
                <wp:wrapNone/>
                <wp:docPr id="3642" name="Line 281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rot="16200000" flipH="1">
                          <a:off x="0" y="0"/>
                          <a:ext cx="280035" cy="0"/>
                        </a:xfrm>
                        <a:prstGeom prst="line">
                          <a:avLst/>
                        </a:prstGeom>
                        <a:noFill/>
                        <a:ln w="9525">
                          <a:solidFill>
                            <a:srgbClr val="000000"/>
                          </a:solidFill>
                          <a:round/>
                          <a:headEnd type="arrow" w="sm" len="sm"/>
                          <a:tailEnd type="arrow" w="sm" len="sm"/>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line w14:anchorId="48D6A6E1" id="Line 2815" o:spid="_x0000_s1026" style="position:absolute;left:0;text-align:left;rotation:90;flip:x;z-index:2535168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34.65pt,19.6pt" to="256.7pt,19.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">
                <v:stroke startarrow="open" startarrowwidth="narrow" startarrowlength="short" endarrow="open" endarrowwidth="narrow" endarrowlength="short"/>
              </v:line>
            </w:pict>
          </mc:Fallback>
        </mc:AlternateContent>
      </w:r>
    </w:p>
    <w:p w14:paraId="715A90F2" w14:textId="0223B210" w:rsidR="008B4B2B" w:rsidRPr="001D6D10" w:rsidRDefault="008B4B2B" w:rsidP="008B4B2B">
      <w:pPr>
        <w:wordWrap w:val="0"/>
        <w:overflowPunct w:val="0"/>
        <w:spacing w:line="362" w:lineRule="exact"/>
        <w:ind w:leftChars="331" w:left="699" w:right="97" w:firstLineChars="1550" w:firstLine="3272"/>
      </w:pPr>
      <w:r w:rsidRPr="001D6D10">
        <w:rPr>
          <w:rFonts w:hint="eastAsia"/>
          <w:noProof/>
        </w:rPr>
        <mc:AlternateContent>
          <mc:Choice Requires="wps">
            <w:drawing>
              <wp:anchor distT="0" distB="0" distL="114300" distR="114300" simplePos="0" relativeHeight="253517824" behindDoc="0" locked="0" layoutInCell="1" allowOverlap="1" wp14:anchorId="5B70DC86" wp14:editId="02DA89A6">
                <wp:simplePos x="0" y="0"/>
                <wp:positionH relativeFrom="column">
                  <wp:posOffset>2160270</wp:posOffset>
                </wp:positionH>
                <wp:positionV relativeFrom="paragraph">
                  <wp:posOffset>175260</wp:posOffset>
                </wp:positionV>
                <wp:extent cx="1680210" cy="847090"/>
                <wp:effectExtent l="7620" t="13335" r="7620" b="6350"/>
                <wp:wrapNone/>
                <wp:docPr id="3641" name="Text Box 281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80210" cy="847090"/>
                        </a:xfrm>
                        <a:prstGeom prst="rect">
                          <a:avLst/>
                        </a:prstGeom>
                        <a:solidFill>
                          <a:srgbClr val="FFFFFF"/>
                        </a:solidFill>
                        <a:ln w="9525">
                          <a:solidFill>
                            <a:srgbClr val="000000"/>
                          </a:solidFill>
                          <a:miter lim="800000"/>
                          <a:headEnd/>
                          <a:tailEnd/>
                        </a:ln>
                      </wps:spPr>
                      <wps:txbx>
                        <w:txbxContent>
                          <w:p w14:paraId="511951B9" w14:textId="77777777" w:rsidR="006A5267" w:rsidRPr="00EE798C" w:rsidRDefault="006A5267" w:rsidP="008B4B2B">
                            <w:pPr>
                              <w:ind w:firstLineChars="300" w:firstLine="633"/>
                            </w:pPr>
                            <w:r w:rsidRPr="00EE798C">
                              <w:rPr>
                                <w:rFonts w:hint="eastAsia"/>
                              </w:rPr>
                              <w:t xml:space="preserve">　　</w:t>
                            </w:r>
                          </w:p>
                          <w:p w14:paraId="5360FD6C" w14:textId="77777777" w:rsidR="006A5267" w:rsidRPr="00EE798C" w:rsidRDefault="006A5267" w:rsidP="008B4B2B">
                            <w:pPr>
                              <w:ind w:firstLineChars="100" w:firstLine="211"/>
                            </w:pPr>
                            <w:r w:rsidRPr="00EE798C">
                              <w:rPr>
                                <w:rFonts w:hint="eastAsia"/>
                              </w:rPr>
                              <w:t>大阪府　　消防保安課</w:t>
                            </w:r>
                          </w:p>
                          <w:p w14:paraId="4AE7028F" w14:textId="77777777" w:rsidR="006A5267" w:rsidRPr="00EE798C" w:rsidRDefault="006A5267" w:rsidP="008B4B2B">
                            <w:pPr>
                              <w:ind w:firstLineChars="500" w:firstLine="1055"/>
                            </w:pPr>
                          </w:p>
                        </w:txbxContent>
                      </wps:txbx>
                      <wps:bodyPr rot="0" vert="horz" wrap="square" lIns="37440" tIns="24120" rIns="41040" bIns="24120" anchor="t" anchorCtr="0" upright="1">
                        <a:noAutofit/>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shape w14:anchorId="5B70DC86" id="Text Box 2816" o:spid="_x0000_s1793" type="#_x0000_t202" style="position:absolute;left:0;text-align:left;margin-left:170.1pt;margin-top:13.8pt;width:132.3pt;height:66.7pt;z-index:2535178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">
                <v:textbox inset="1.04mm,.67mm,1.14mm,.67mm">
                  <w:txbxContent>
                    <w:p w14:paraId="511951B9" w14:textId="77777777" w:rsidR="006A5267" w:rsidRPr="00EE798C" w:rsidRDefault="006A5267" w:rsidP="008B4B2B">
                      <w:pPr>
                        <w:ind w:firstLineChars="300" w:firstLine="633"/>
                      </w:pPr>
                      <w:r w:rsidRPr="00EE798C">
                        <w:rPr>
                          <w:rFonts w:hint="eastAsia"/>
                        </w:rPr>
                        <w:t xml:space="preserve">　　</w:t>
                      </w:r>
                    </w:p>
                    <w:p w14:paraId="5360FD6C" w14:textId="77777777" w:rsidR="006A5267" w:rsidRPr="00EE798C" w:rsidRDefault="006A5267" w:rsidP="008B4B2B">
                      <w:pPr>
                        <w:ind w:firstLineChars="100" w:firstLine="211"/>
                      </w:pPr>
                      <w:r w:rsidRPr="00EE798C">
                        <w:rPr>
                          <w:rFonts w:hint="eastAsia"/>
                        </w:rPr>
                        <w:t>大阪府　　消防保安課</w:t>
                      </w:r>
                    </w:p>
                    <w:p w14:paraId="4AE7028F" w14:textId="77777777" w:rsidR="006A5267" w:rsidRPr="00EE798C" w:rsidRDefault="006A5267" w:rsidP="008B4B2B">
                      <w:pPr>
                        <w:ind w:firstLineChars="500" w:firstLine="1055"/>
                      </w:pPr>
                    </w:p>
                  </w:txbxContent>
                </v:textbox>
              </v:shape>
            </w:pict>
          </mc:Fallback>
        </mc:AlternateContent>
      </w:r>
    </w:p>
    <w:p w14:paraId="3A77776B" w14:textId="77777777" w:rsidR="008B4B2B" w:rsidRPr="001D6D10" w:rsidRDefault="008B4B2B" w:rsidP="008B4B2B">
      <w:pPr>
        <w:wordWrap w:val="0"/>
        <w:overflowPunct w:val="0"/>
        <w:spacing w:line="362" w:lineRule="exact"/>
        <w:ind w:leftChars="331" w:left="699" w:right="97" w:firstLineChars="1550" w:firstLine="3272"/>
      </w:pPr>
      <w:r w:rsidRPr="001D6D10">
        <w:rPr>
          <w:rFonts w:hint="eastAsia"/>
          <w:noProof/>
        </w:rPr>
        <mc:AlternateContent>
          <mc:Choice Requires="wps">
            <w:drawing>
              <wp:anchor distT="0" distB="0" distL="114300" distR="114300" simplePos="0" relativeHeight="253537280" behindDoc="0" locked="0" layoutInCell="1" allowOverlap="1" wp14:anchorId="2008BD3A" wp14:editId="4A7C2CFB">
                <wp:simplePos x="0" y="0"/>
                <wp:positionH relativeFrom="column">
                  <wp:posOffset>4320540</wp:posOffset>
                </wp:positionH>
                <wp:positionV relativeFrom="paragraph">
                  <wp:posOffset>12065</wp:posOffset>
                </wp:positionV>
                <wp:extent cx="1623060" cy="328295"/>
                <wp:effectExtent l="5715" t="12065" r="9525" b="12065"/>
                <wp:wrapNone/>
                <wp:docPr id="3640" name="Text Box 283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23060" cy="328295"/>
                        </a:xfrm>
                        <a:prstGeom prst="rect">
                          <a:avLst/>
                        </a:prstGeom>
                        <a:solidFill>
                          <a:srgbClr val="FFFFFF"/>
                        </a:solidFill>
                        <a:ln w="9525">
                          <a:solidFill>
                            <a:srgbClr val="000000"/>
                          </a:solidFill>
                          <a:miter lim="800000"/>
                          <a:headEnd/>
                          <a:tailEnd/>
                        </a:ln>
                      </wps:spPr>
                      <wps:txbx>
                        <w:txbxContent>
                          <w:p w14:paraId="6590A4BC" w14:textId="77777777" w:rsidR="006A5267" w:rsidRPr="00EE798C" w:rsidRDefault="006A5267" w:rsidP="008B4B2B">
                            <w:r w:rsidRPr="00EE798C">
                              <w:rPr>
                                <w:rFonts w:hint="eastAsia"/>
                                <w:sz w:val="16"/>
                                <w:szCs w:val="16"/>
                              </w:rPr>
                              <w:t>（一社）大阪府ＬＰガス協会等</w:t>
                            </w:r>
                          </w:p>
                        </w:txbxContent>
                      </wps:txbx>
                      <wps:bodyPr rot="0" vert="horz" wrap="square" lIns="37440" tIns="24120" rIns="41040" bIns="24120" anchor="t" anchorCtr="0" upright="1">
                        <a:noAutofit/>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shape w14:anchorId="2008BD3A" id="Text Box 2833" o:spid="_x0000_s1794" type="#_x0000_t202" style="position:absolute;left:0;text-align:left;margin-left:340.2pt;margin-top:.95pt;width:127.8pt;height:25.85pt;z-index:2535372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">
                <v:textbox inset="1.04mm,.67mm,1.14mm,.67mm">
                  <w:txbxContent>
                    <w:p w14:paraId="6590A4BC" w14:textId="77777777" w:rsidR="006A5267" w:rsidRPr="00EE798C" w:rsidRDefault="006A5267" w:rsidP="008B4B2B">
                      <w:r w:rsidRPr="00EE798C">
                        <w:rPr>
                          <w:rFonts w:hint="eastAsia"/>
                          <w:sz w:val="16"/>
                          <w:szCs w:val="16"/>
                        </w:rPr>
                        <w:t>（一社）大阪府ＬＰガス協会等</w:t>
                      </w:r>
                    </w:p>
                  </w:txbxContent>
                </v:textbox>
              </v:shape>
            </w:pict>
          </mc:Fallback>
        </mc:AlternateContent>
      </w:r>
      <w:r w:rsidRPr="001D6D10">
        <w:rPr>
          <w:rFonts w:hint="eastAsia"/>
          <w:noProof/>
        </w:rPr>
        <mc:AlternateContent>
          <mc:Choice Requires="wps">
            <w:drawing>
              <wp:anchor distT="0" distB="0" distL="114300" distR="114300" simplePos="0" relativeHeight="253538304" behindDoc="0" locked="0" layoutInCell="1" allowOverlap="1" wp14:anchorId="3D103AED" wp14:editId="18D664A4">
                <wp:simplePos x="0" y="0"/>
                <wp:positionH relativeFrom="column">
                  <wp:posOffset>4080510</wp:posOffset>
                </wp:positionH>
                <wp:positionV relativeFrom="paragraph">
                  <wp:posOffset>-77470</wp:posOffset>
                </wp:positionV>
                <wp:extent cx="0" cy="480060"/>
                <wp:effectExtent l="20955" t="67310" r="22860" b="66040"/>
                <wp:wrapNone/>
                <wp:docPr id="3639" name="Line 283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rot="16200000" flipH="1" flipV="1">
                          <a:off x="0" y="0"/>
                          <a:ext cx="0" cy="480060"/>
                        </a:xfrm>
                        <a:prstGeom prst="line">
                          <a:avLst/>
                        </a:prstGeom>
                        <a:noFill/>
                        <a:ln w="9525">
                          <a:solidFill>
                            <a:srgbClr val="000000"/>
                          </a:solidFill>
                          <a:prstDash val="sysDot"/>
                          <a:round/>
                          <a:headEnd type="arrow" w="sm" len="sm"/>
                          <a:tailEnd type="arrow" w="sm" len="sm"/>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line w14:anchorId="4A8D0334" id="Line 2834" o:spid="_x0000_s1026" style="position:absolute;left:0;text-align:left;rotation:-90;flip:x y;z-index:2535383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21.3pt,-6.1pt" to="321.3pt,31.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">
                <v:stroke dashstyle="1 1" startarrow="open" startarrowwidth="narrow" startarrowlength="short" endarrow="open" endarrowwidth="narrow" endarrowlength="short"/>
              </v:line>
            </w:pict>
          </mc:Fallback>
        </mc:AlternateContent>
      </w:r>
      <w:r w:rsidRPr="001D6D10">
        <w:rPr>
          <w:rFonts w:hint="eastAsia"/>
          <w:noProof/>
        </w:rPr>
        <mc:AlternateContent>
          <mc:Choice Requires="wps">
            <w:drawing>
              <wp:anchor distT="0" distB="0" distL="114300" distR="114300" simplePos="0" relativeHeight="253534208" behindDoc="0" locked="0" layoutInCell="1" allowOverlap="1" wp14:anchorId="5D288FF6" wp14:editId="73DF97AE">
                <wp:simplePos x="0" y="0"/>
                <wp:positionH relativeFrom="column">
                  <wp:posOffset>1560195</wp:posOffset>
                </wp:positionH>
                <wp:positionV relativeFrom="paragraph">
                  <wp:posOffset>95885</wp:posOffset>
                </wp:positionV>
                <wp:extent cx="600075" cy="0"/>
                <wp:effectExtent l="17145" t="67310" r="20955" b="66040"/>
                <wp:wrapNone/>
                <wp:docPr id="3638" name="Line 283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rot="10800000" flipH="1">
                          <a:off x="0" y="0"/>
                          <a:ext cx="600075" cy="0"/>
                        </a:xfrm>
                        <a:prstGeom prst="line">
                          <a:avLst/>
                        </a:prstGeom>
                        <a:noFill/>
                        <a:ln w="9525">
                          <a:solidFill>
                            <a:srgbClr val="000000"/>
                          </a:solidFill>
                          <a:round/>
                          <a:headEnd type="arrow" w="sm" len="sm"/>
                          <a:tailEnd type="arrow" w="sm" len="sm"/>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line w14:anchorId="1A1760AF" id="Line 2830" o:spid="_x0000_s1026" style="position:absolute;left:0;text-align:left;rotation:180;flip:x;z-index:2535342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22.85pt,7.55pt" to="170.1pt,7.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">
                <v:stroke startarrow="open" startarrowwidth="narrow" startarrowlength="short" endarrow="open" endarrowwidth="narrow" endarrowlength="short"/>
              </v:line>
            </w:pict>
          </mc:Fallback>
        </mc:AlternateContent>
      </w:r>
      <w:r w:rsidRPr="001D6D10">
        <w:rPr>
          <w:rFonts w:hint="eastAsia"/>
          <w:noProof/>
        </w:rPr>
        <mc:AlternateContent>
          <mc:Choice Requires="wps">
            <w:drawing>
              <wp:anchor distT="0" distB="0" distL="114300" distR="114300" simplePos="0" relativeHeight="253512704" behindDoc="0" locked="0" layoutInCell="1" allowOverlap="1" wp14:anchorId="2554BDF2" wp14:editId="63CADF93">
                <wp:simplePos x="0" y="0"/>
                <wp:positionH relativeFrom="column">
                  <wp:posOffset>480060</wp:posOffset>
                </wp:positionH>
                <wp:positionV relativeFrom="paragraph">
                  <wp:posOffset>5080</wp:posOffset>
                </wp:positionV>
                <wp:extent cx="1080135" cy="396875"/>
                <wp:effectExtent l="13335" t="5080" r="11430" b="7620"/>
                <wp:wrapNone/>
                <wp:docPr id="3637" name="Text Box 28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80135" cy="396875"/>
                        </a:xfrm>
                        <a:prstGeom prst="rect">
                          <a:avLst/>
                        </a:prstGeom>
                        <a:solidFill>
                          <a:srgbClr val="FFFFFF"/>
                        </a:solidFill>
                        <a:ln w="9525">
                          <a:solidFill>
                            <a:srgbClr val="000000"/>
                          </a:solidFill>
                          <a:miter lim="800000"/>
                          <a:headEnd/>
                          <a:tailEnd/>
                        </a:ln>
                      </wps:spPr>
                      <wps:txbx>
                        <w:txbxContent>
                          <w:p w14:paraId="785EAA63" w14:textId="77777777" w:rsidR="006A5267" w:rsidRPr="008A4793" w:rsidRDefault="006A5267" w:rsidP="008B4B2B">
                            <w:pPr>
                              <w:spacing w:line="240" w:lineRule="exact"/>
                              <w:jc w:val="center"/>
                              <w:rPr>
                                <w:sz w:val="18"/>
                                <w:szCs w:val="18"/>
                              </w:rPr>
                            </w:pPr>
                            <w:r w:rsidRPr="008A4793">
                              <w:rPr>
                                <w:rFonts w:hint="eastAsia"/>
                                <w:kern w:val="0"/>
                                <w:sz w:val="18"/>
                                <w:szCs w:val="18"/>
                                <w:fitText w:val="1440" w:id="-1509239551"/>
                              </w:rPr>
                              <w:t>中部近畿産業保安</w:t>
                            </w:r>
                            <w:r w:rsidRPr="000B57D7">
                              <w:rPr>
                                <w:rFonts w:hint="eastAsia"/>
                                <w:spacing w:val="15"/>
                                <w:kern w:val="0"/>
                                <w:sz w:val="18"/>
                                <w:szCs w:val="18"/>
                                <w:fitText w:val="1440" w:id="-1509239552"/>
                              </w:rPr>
                              <w:t>監督部近畿支</w:t>
                            </w:r>
                            <w:r w:rsidRPr="000B57D7">
                              <w:rPr>
                                <w:rFonts w:hint="eastAsia"/>
                                <w:kern w:val="0"/>
                                <w:sz w:val="18"/>
                                <w:szCs w:val="18"/>
                                <w:fitText w:val="1440" w:id="-1509239552"/>
                              </w:rPr>
                              <w:t>部</w:t>
                            </w:r>
                          </w:p>
                        </w:txbxContent>
                      </wps:txbx>
                      <wps:bodyPr rot="0" vert="horz" wrap="square" lIns="37440" tIns="24120" rIns="41040" bIns="24120" anchor="t" anchorCtr="0" upright="1">
                        <a:noAutofit/>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shape w14:anchorId="2554BDF2" id="Text Box 2811" o:spid="_x0000_s1795" type="#_x0000_t202" style="position:absolute;left:0;text-align:left;margin-left:37.8pt;margin-top:.4pt;width:85.05pt;height:31.25pt;z-index:253512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">
                <v:textbox inset="1.04mm,.67mm,1.14mm,.67mm">
                  <w:txbxContent>
                    <w:p w14:paraId="785EAA63" w14:textId="77777777" w:rsidR="006A5267" w:rsidRPr="008A4793" w:rsidRDefault="006A5267" w:rsidP="008B4B2B">
                      <w:pPr>
                        <w:spacing w:line="240" w:lineRule="exact"/>
                        <w:jc w:val="center"/>
                        <w:rPr>
                          <w:sz w:val="18"/>
                          <w:szCs w:val="18"/>
                        </w:rPr>
                      </w:pPr>
                      <w:r w:rsidRPr="008A4793">
                        <w:rPr>
                          <w:rFonts w:hint="eastAsia"/>
                          <w:kern w:val="0"/>
                          <w:sz w:val="18"/>
                          <w:szCs w:val="18"/>
                          <w:fitText w:val="1440" w:id="-1509239551"/>
                        </w:rPr>
                        <w:t>中部近畿産業保安</w:t>
                      </w:r>
                      <w:r w:rsidRPr="000B57D7">
                        <w:rPr>
                          <w:rFonts w:hint="eastAsia"/>
                          <w:spacing w:val="15"/>
                          <w:kern w:val="0"/>
                          <w:sz w:val="18"/>
                          <w:szCs w:val="18"/>
                          <w:fitText w:val="1440" w:id="-1509239552"/>
                        </w:rPr>
                        <w:t>監督部近畿支</w:t>
                      </w:r>
                      <w:r w:rsidRPr="000B57D7">
                        <w:rPr>
                          <w:rFonts w:hint="eastAsia"/>
                          <w:kern w:val="0"/>
                          <w:sz w:val="18"/>
                          <w:szCs w:val="18"/>
                          <w:fitText w:val="1440" w:id="-1509239552"/>
                        </w:rPr>
                        <w:t>部</w:t>
                      </w:r>
                    </w:p>
                  </w:txbxContent>
                </v:textbox>
              </v:shape>
            </w:pict>
          </mc:Fallback>
        </mc:AlternateContent>
      </w:r>
    </w:p>
    <w:p w14:paraId="142D261B" w14:textId="1226F14B" w:rsidR="008B4B2B" w:rsidRPr="001D6D10" w:rsidRDefault="008B4B2B" w:rsidP="008B4B2B">
      <w:pPr>
        <w:wordWrap w:val="0"/>
        <w:overflowPunct w:val="0"/>
        <w:spacing w:line="362" w:lineRule="exact"/>
        <w:ind w:leftChars="331" w:left="699" w:right="97" w:firstLineChars="1550" w:firstLine="3272"/>
      </w:pPr>
    </w:p>
    <w:p w14:paraId="231B924E" w14:textId="1C78FCB8" w:rsidR="008B4B2B" w:rsidRPr="001D6D10" w:rsidRDefault="008B4B2B" w:rsidP="008B4B2B">
      <w:pPr>
        <w:wordWrap w:val="0"/>
        <w:overflowPunct w:val="0"/>
        <w:spacing w:line="362" w:lineRule="exact"/>
        <w:ind w:leftChars="331" w:left="699" w:right="97" w:firstLineChars="1550" w:firstLine="3272"/>
      </w:pPr>
      <w:r w:rsidRPr="001D6D10">
        <w:rPr>
          <w:rFonts w:hint="eastAsia"/>
          <w:noProof/>
        </w:rPr>
        <mc:AlternateContent>
          <mc:Choice Requires="wps">
            <w:drawing>
              <wp:anchor distT="0" distB="0" distL="114300" distR="114300" simplePos="0" relativeHeight="253524992" behindDoc="0" locked="0" layoutInCell="1" allowOverlap="1" wp14:anchorId="23B4E196" wp14:editId="282D772A">
                <wp:simplePos x="0" y="0"/>
                <wp:positionH relativeFrom="column">
                  <wp:posOffset>4080510</wp:posOffset>
                </wp:positionH>
                <wp:positionV relativeFrom="paragraph">
                  <wp:posOffset>-90170</wp:posOffset>
                </wp:positionV>
                <wp:extent cx="0" cy="480060"/>
                <wp:effectExtent l="20955" t="64135" r="22860" b="59690"/>
                <wp:wrapNone/>
                <wp:docPr id="3636" name="Line 282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rot="16200000" flipH="1" flipV="1">
                          <a:off x="0" y="0"/>
                          <a:ext cx="0" cy="480060"/>
                        </a:xfrm>
                        <a:prstGeom prst="line">
                          <a:avLst/>
                        </a:prstGeom>
                        <a:noFill/>
                        <a:ln w="9525">
                          <a:solidFill>
                            <a:srgbClr val="000000"/>
                          </a:solidFill>
                          <a:prstDash val="sysDot"/>
                          <a:round/>
                          <a:headEnd type="arrow" w="sm" len="sm"/>
                          <a:tailEnd type="arrow" w="sm" len="sm"/>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line w14:anchorId="3237B100" id="Line 2823" o:spid="_x0000_s1026" style="position:absolute;rotation:-90;flip:x y;z-index:2535249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21.3pt,-7.1pt" to="321.3pt,30.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">
                <v:stroke dashstyle="1 1" startarrow="open" startarrowwidth="narrow" startarrowlength="short" endarrow="open" endarrowwidth="narrow" endarrowlength="short"/>
              </v:line>
            </w:pict>
          </mc:Fallback>
        </mc:AlternateContent>
      </w:r>
      <w:r w:rsidRPr="001D6D10">
        <w:rPr>
          <w:rFonts w:hint="eastAsia"/>
          <w:noProof/>
        </w:rPr>
        <mc:AlternateContent>
          <mc:Choice Requires="wps">
            <w:drawing>
              <wp:anchor distT="0" distB="0" distL="114300" distR="114300" simplePos="0" relativeHeight="253535232" behindDoc="0" locked="0" layoutInCell="1" allowOverlap="1" wp14:anchorId="25AB9105" wp14:editId="2AD0F99F">
                <wp:simplePos x="0" y="0"/>
                <wp:positionH relativeFrom="column">
                  <wp:posOffset>1560195</wp:posOffset>
                </wp:positionH>
                <wp:positionV relativeFrom="paragraph">
                  <wp:posOffset>119380</wp:posOffset>
                </wp:positionV>
                <wp:extent cx="600075" cy="0"/>
                <wp:effectExtent l="17145" t="62230" r="20955" b="61595"/>
                <wp:wrapNone/>
                <wp:docPr id="3635" name="Line 283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rot="10800000" flipH="1">
                          <a:off x="0" y="0"/>
                          <a:ext cx="600075" cy="0"/>
                        </a:xfrm>
                        <a:prstGeom prst="line">
                          <a:avLst/>
                        </a:prstGeom>
                        <a:noFill/>
                        <a:ln w="9525">
                          <a:solidFill>
                            <a:srgbClr val="000000"/>
                          </a:solidFill>
                          <a:round/>
                          <a:headEnd type="arrow" w="sm" len="sm"/>
                          <a:tailEnd type="arrow" w="sm" len="sm"/>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line w14:anchorId="2FF80842" id="Line 2831" o:spid="_x0000_s1026" style="position:absolute;left:0;text-align:left;rotation:180;flip:x;z-index:2535352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22.85pt,9.4pt" to="170.1pt,9.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">
                <v:stroke startarrow="open" startarrowwidth="narrow" startarrowlength="short" endarrow="open" endarrowwidth="narrow" endarrowlength="short"/>
              </v:line>
            </w:pict>
          </mc:Fallback>
        </mc:AlternateContent>
      </w:r>
      <w:r w:rsidRPr="001D6D10">
        <w:rPr>
          <w:rFonts w:hint="eastAsia"/>
          <w:noProof/>
        </w:rPr>
        <mc:AlternateContent>
          <mc:Choice Requires="wps">
            <w:drawing>
              <wp:anchor distT="0" distB="0" distL="114300" distR="114300" simplePos="0" relativeHeight="253531136" behindDoc="0" locked="0" layoutInCell="1" allowOverlap="1" wp14:anchorId="5F85F899" wp14:editId="2E05156A">
                <wp:simplePos x="0" y="0"/>
                <wp:positionH relativeFrom="column">
                  <wp:posOffset>480060</wp:posOffset>
                </wp:positionH>
                <wp:positionV relativeFrom="paragraph">
                  <wp:posOffset>28575</wp:posOffset>
                </wp:positionV>
                <wp:extent cx="1080135" cy="272415"/>
                <wp:effectExtent l="13335" t="9525" r="11430" b="13335"/>
                <wp:wrapNone/>
                <wp:docPr id="3634" name="Text Box 282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80135" cy="272415"/>
                        </a:xfrm>
                        <a:prstGeom prst="rect">
                          <a:avLst/>
                        </a:prstGeom>
                        <a:solidFill>
                          <a:srgbClr val="FFFFFF"/>
                        </a:solidFill>
                        <a:ln w="9525">
                          <a:solidFill>
                            <a:srgbClr val="000000"/>
                          </a:solidFill>
                          <a:miter lim="800000"/>
                          <a:headEnd/>
                          <a:tailEnd/>
                        </a:ln>
                      </wps:spPr>
                      <wps:txbx>
                        <w:txbxContent>
                          <w:p w14:paraId="4EC71E07" w14:textId="77777777" w:rsidR="006A5267" w:rsidRDefault="006A5267" w:rsidP="008B4B2B">
                            <w:pPr>
                              <w:jc w:val="distribute"/>
                            </w:pPr>
                            <w:r>
                              <w:rPr>
                                <w:rFonts w:hint="eastAsia"/>
                              </w:rPr>
                              <w:t>消防庁</w:t>
                            </w:r>
                          </w:p>
                        </w:txbxContent>
                      </wps:txbx>
                      <wps:bodyPr rot="0" vert="horz" wrap="square" lIns="37440" tIns="24120" rIns="41040" bIns="24120" anchor="t" anchorCtr="0" upright="1">
                        <a:noAutofit/>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shape w14:anchorId="5F85F899" id="Text Box 2829" o:spid="_x0000_s1796" type="#_x0000_t202" style="position:absolute;left:0;text-align:left;margin-left:37.8pt;margin-top:2.25pt;width:85.05pt;height:21.45pt;z-index:2535311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">
                <v:textbox inset="1.04mm,.67mm,1.14mm,.67mm">
                  <w:txbxContent>
                    <w:p w14:paraId="4EC71E07" w14:textId="77777777" w:rsidR="006A5267" w:rsidRDefault="006A5267" w:rsidP="008B4B2B">
                      <w:pPr>
                        <w:jc w:val="distribute"/>
                      </w:pPr>
                      <w:r>
                        <w:rPr>
                          <w:rFonts w:hint="eastAsia"/>
                        </w:rPr>
                        <w:t>消防庁</w:t>
                      </w:r>
                    </w:p>
                  </w:txbxContent>
                </v:textbox>
              </v:shape>
            </w:pict>
          </mc:Fallback>
        </mc:AlternateContent>
      </w:r>
      <w:r w:rsidRPr="001D6D10">
        <w:rPr>
          <w:rFonts w:hint="eastAsia"/>
          <w:noProof/>
        </w:rPr>
        <mc:AlternateContent>
          <mc:Choice Requires="wps">
            <w:drawing>
              <wp:anchor distT="0" distB="0" distL="114300" distR="114300" simplePos="0" relativeHeight="253519872" behindDoc="0" locked="0" layoutInCell="1" allowOverlap="1" wp14:anchorId="3BF00A3A" wp14:editId="14135662">
                <wp:simplePos x="0" y="0"/>
                <wp:positionH relativeFrom="column">
                  <wp:posOffset>4320540</wp:posOffset>
                </wp:positionH>
                <wp:positionV relativeFrom="paragraph">
                  <wp:posOffset>35560</wp:posOffset>
                </wp:positionV>
                <wp:extent cx="1623060" cy="272415"/>
                <wp:effectExtent l="5715" t="6985" r="9525" b="6350"/>
                <wp:wrapNone/>
                <wp:docPr id="3633" name="Text Box 281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23060" cy="272415"/>
                        </a:xfrm>
                        <a:prstGeom prst="rect">
                          <a:avLst/>
                        </a:prstGeom>
                        <a:solidFill>
                          <a:srgbClr val="FFFFFF"/>
                        </a:solidFill>
                        <a:ln w="9525">
                          <a:solidFill>
                            <a:srgbClr val="000000"/>
                          </a:solidFill>
                          <a:miter lim="800000"/>
                          <a:headEnd/>
                          <a:tailEnd/>
                        </a:ln>
                      </wps:spPr>
                      <wps:txbx>
                        <w:txbxContent>
                          <w:p w14:paraId="3C8C3FFD" w14:textId="77777777" w:rsidR="006A5267" w:rsidRDefault="006A5267" w:rsidP="008B4B2B">
                            <w:pPr>
                              <w:jc w:val="distribute"/>
                            </w:pPr>
                            <w:r>
                              <w:rPr>
                                <w:rFonts w:hint="eastAsia"/>
                              </w:rPr>
                              <w:t>陸上自衛隊第３師団</w:t>
                            </w:r>
                          </w:p>
                        </w:txbxContent>
                      </wps:txbx>
                      <wps:bodyPr rot="0" vert="horz" wrap="square" lIns="37440" tIns="24120" rIns="41040" bIns="24120" anchor="t" anchorCtr="0" upright="1">
                        <a:noAutofit/>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shape w14:anchorId="3BF00A3A" id="Text Box 2818" o:spid="_x0000_s1797" type="#_x0000_t202" style="position:absolute;left:0;text-align:left;margin-left:340.2pt;margin-top:2.8pt;width:127.8pt;height:21.45pt;z-index:2535198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">
                <v:textbox inset="1.04mm,.67mm,1.14mm,.67mm">
                  <w:txbxContent>
                    <w:p w14:paraId="3C8C3FFD" w14:textId="77777777" w:rsidR="006A5267" w:rsidRDefault="006A5267" w:rsidP="008B4B2B">
                      <w:pPr>
                        <w:jc w:val="distribute"/>
                      </w:pPr>
                      <w:r>
                        <w:rPr>
                          <w:rFonts w:hint="eastAsia"/>
                        </w:rPr>
                        <w:t>陸上自衛隊第３師団</w:t>
                      </w:r>
                    </w:p>
                  </w:txbxContent>
                </v:textbox>
              </v:shape>
            </w:pict>
          </mc:Fallback>
        </mc:AlternateContent>
      </w:r>
    </w:p>
    <w:p w14:paraId="73C89286" w14:textId="77777777" w:rsidR="008B4B2B" w:rsidRPr="001D6D10" w:rsidRDefault="008B4B2B" w:rsidP="008B4B2B">
      <w:pPr>
        <w:wordWrap w:val="0"/>
        <w:overflowPunct w:val="0"/>
        <w:spacing w:line="362" w:lineRule="exact"/>
        <w:ind w:leftChars="331" w:left="699" w:right="97" w:firstLineChars="1550" w:firstLine="3272"/>
      </w:pPr>
    </w:p>
    <w:p w14:paraId="70AA16DD" w14:textId="32B90836" w:rsidR="008B4B2B" w:rsidRPr="001D6D10" w:rsidRDefault="008B4B2B" w:rsidP="008B4B2B">
      <w:pPr>
        <w:wordWrap w:val="0"/>
        <w:overflowPunct w:val="0"/>
        <w:spacing w:line="362" w:lineRule="exact"/>
        <w:ind w:leftChars="331" w:left="699" w:right="97" w:firstLineChars="1550" w:firstLine="3272"/>
      </w:pPr>
    </w:p>
    <w:p w14:paraId="483C039C" w14:textId="57800D1E" w:rsidR="008B4B2B" w:rsidRPr="001D6D10" w:rsidRDefault="008B4B2B" w:rsidP="008B4B2B">
      <w:pPr>
        <w:wordWrap w:val="0"/>
        <w:overflowPunct w:val="0"/>
        <w:spacing w:line="362" w:lineRule="exact"/>
        <w:ind w:leftChars="331" w:left="699" w:right="97" w:firstLineChars="1550" w:firstLine="3272"/>
      </w:pPr>
    </w:p>
    <w:p w14:paraId="41636418" w14:textId="523668B6" w:rsidR="008B4B2B" w:rsidRPr="001D6D10" w:rsidRDefault="00B93B64" w:rsidP="008B4B2B">
      <w:pPr>
        <w:wordWrap w:val="0"/>
        <w:overflowPunct w:val="0"/>
        <w:spacing w:line="362" w:lineRule="exact"/>
        <w:ind w:leftChars="331" w:left="699" w:right="97" w:firstLineChars="1550" w:firstLine="3272"/>
      </w:pPr>
      <w:r w:rsidRPr="001D6D10">
        <w:rPr>
          <w:rFonts w:hint="eastAsia"/>
          <w:noProof/>
        </w:rPr>
        <mc:AlternateContent>
          <mc:Choice Requires="wps">
            <w:drawing>
              <wp:anchor distT="0" distB="0" distL="114300" distR="114300" simplePos="0" relativeHeight="253502464" behindDoc="0" locked="0" layoutInCell="1" allowOverlap="1" wp14:anchorId="61CBB324" wp14:editId="3E73C171">
                <wp:simplePos x="0" y="0"/>
                <wp:positionH relativeFrom="column">
                  <wp:posOffset>3844290</wp:posOffset>
                </wp:positionH>
                <wp:positionV relativeFrom="paragraph">
                  <wp:posOffset>126365</wp:posOffset>
                </wp:positionV>
                <wp:extent cx="2280285" cy="790575"/>
                <wp:effectExtent l="11430" t="8255" r="13335" b="10795"/>
                <wp:wrapNone/>
                <wp:docPr id="3632" name="Text Box 280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80285" cy="790575"/>
                        </a:xfrm>
                        <a:prstGeom prst="rect">
                          <a:avLst/>
                        </a:prstGeom>
                        <a:solidFill>
                          <a:srgbClr val="FFFFFF"/>
                        </a:solidFill>
                        <a:ln w="9525">
                          <a:solidFill>
                            <a:srgbClr val="000000"/>
                          </a:solidFill>
                          <a:miter lim="800000"/>
                          <a:headEnd/>
                          <a:tailEnd/>
                        </a:ln>
                      </wps:spPr>
                      <wps:txbx>
                        <w:txbxContent>
                          <w:p w14:paraId="1C943542" w14:textId="77777777" w:rsidR="006A5267" w:rsidRDefault="006A5267" w:rsidP="008B4B2B">
                            <w:pPr>
                              <w:ind w:firstLineChars="600" w:firstLine="1267"/>
                            </w:pPr>
                            <w:r>
                              <w:rPr>
                                <w:rFonts w:hint="eastAsia"/>
                              </w:rPr>
                              <w:t>凡　　例</w:t>
                            </w:r>
                          </w:p>
                          <w:p w14:paraId="7CCBEE07" w14:textId="39C4B258" w:rsidR="006A5267" w:rsidRDefault="006A5267" w:rsidP="00B93B64">
                            <w:pPr>
                              <w:tabs>
                                <w:tab w:val="left" w:pos="186"/>
                              </w:tabs>
                              <w:ind w:left="422" w:hangingChars="200" w:hanging="422"/>
                            </w:pPr>
                            <w:r>
                              <w:rPr>
                                <w:rFonts w:hint="eastAsia"/>
                              </w:rPr>
                              <w:tab/>
                            </w:r>
                            <w:r>
                              <w:rPr>
                                <w:rFonts w:hint="eastAsia"/>
                              </w:rPr>
                              <w:tab/>
                            </w:r>
                            <w:r w:rsidR="00B93B64">
                              <w:rPr>
                                <w:rFonts w:hint="eastAsia"/>
                              </w:rPr>
                              <w:t>：</w:t>
                            </w:r>
                            <w:r>
                              <w:rPr>
                                <w:rFonts w:hint="eastAsia"/>
                              </w:rPr>
                              <w:t>通常の通信系統</w:t>
                            </w:r>
                          </w:p>
                          <w:p w14:paraId="36778691" w14:textId="4DE241EE" w:rsidR="006A5267" w:rsidRDefault="006A5267" w:rsidP="008B4B2B">
                            <w:pPr>
                              <w:tabs>
                                <w:tab w:val="left" w:pos="482"/>
                              </w:tabs>
                              <w:ind w:left="422" w:hangingChars="200" w:hanging="422"/>
                            </w:pPr>
                            <w:r>
                              <w:rPr>
                                <w:rFonts w:hint="eastAsia"/>
                              </w:rPr>
                              <w:tab/>
                            </w:r>
                            <w:r w:rsidR="00B93B64">
                              <w:rPr>
                                <w:rFonts w:hint="eastAsia"/>
                              </w:rPr>
                              <w:t>：</w:t>
                            </w:r>
                            <w:r>
                              <w:rPr>
                                <w:rFonts w:hint="eastAsia"/>
                              </w:rPr>
                              <w:t>必要に応じての通信系統</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shape w14:anchorId="61CBB324" id="Text Box 2801" o:spid="_x0000_s1798" type="#_x0000_t202" style="position:absolute;left:0;text-align:left;margin-left:302.7pt;margin-top:9.95pt;width:179.55pt;height:62.25pt;z-index:2535024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">
                <v:textbox>
                  <w:txbxContent>
                    <w:p w14:paraId="1C943542" w14:textId="77777777" w:rsidR="006A5267" w:rsidRDefault="006A5267" w:rsidP="008B4B2B">
                      <w:pPr>
                        <w:ind w:firstLineChars="600" w:firstLine="1267"/>
                      </w:pPr>
                      <w:r>
                        <w:rPr>
                          <w:rFonts w:hint="eastAsia"/>
                        </w:rPr>
                        <w:t>凡　　例</w:t>
                      </w:r>
                    </w:p>
                    <w:p w14:paraId="7CCBEE07" w14:textId="39C4B258" w:rsidR="006A5267" w:rsidRDefault="006A5267" w:rsidP="00B93B64">
                      <w:pPr>
                        <w:tabs>
                          <w:tab w:val="left" w:pos="186"/>
                        </w:tabs>
                        <w:ind w:left="422" w:hangingChars="200" w:hanging="422"/>
                      </w:pPr>
                      <w:r>
                        <w:rPr>
                          <w:rFonts w:hint="eastAsia"/>
                        </w:rPr>
                        <w:tab/>
                      </w:r>
                      <w:r>
                        <w:rPr>
                          <w:rFonts w:hint="eastAsia"/>
                        </w:rPr>
                        <w:tab/>
                      </w:r>
                      <w:r w:rsidR="00B93B64">
                        <w:rPr>
                          <w:rFonts w:hint="eastAsia"/>
                        </w:rPr>
                        <w:t>：</w:t>
                      </w:r>
                      <w:r>
                        <w:rPr>
                          <w:rFonts w:hint="eastAsia"/>
                        </w:rPr>
                        <w:t>通常の通信系統</w:t>
                      </w:r>
                    </w:p>
                    <w:p w14:paraId="36778691" w14:textId="4DE241EE" w:rsidR="006A5267" w:rsidRDefault="006A5267" w:rsidP="008B4B2B">
                      <w:pPr>
                        <w:tabs>
                          <w:tab w:val="left" w:pos="482"/>
                        </w:tabs>
                        <w:ind w:left="422" w:hangingChars="200" w:hanging="422"/>
                      </w:pPr>
                      <w:r>
                        <w:rPr>
                          <w:rFonts w:hint="eastAsia"/>
                        </w:rPr>
                        <w:tab/>
                      </w:r>
                      <w:r w:rsidR="00B93B64">
                        <w:rPr>
                          <w:rFonts w:hint="eastAsia"/>
                        </w:rPr>
                        <w:t>：</w:t>
                      </w:r>
                      <w:r>
                        <w:rPr>
                          <w:rFonts w:hint="eastAsia"/>
                        </w:rPr>
                        <w:t>必要に応じての通信系統</w:t>
                      </w:r>
                    </w:p>
                  </w:txbxContent>
                </v:textbox>
              </v:shape>
            </w:pict>
          </mc:Fallback>
        </mc:AlternateContent>
      </w:r>
    </w:p>
    <w:p w14:paraId="1D03C031" w14:textId="0440FED8" w:rsidR="008B4B2B" w:rsidRPr="001D6D10" w:rsidRDefault="008B4B2B" w:rsidP="008B4B2B">
      <w:pPr>
        <w:wordWrap w:val="0"/>
        <w:overflowPunct w:val="0"/>
        <w:spacing w:line="362" w:lineRule="exact"/>
        <w:ind w:leftChars="331" w:left="699" w:right="97" w:firstLineChars="1550" w:firstLine="3272"/>
      </w:pPr>
    </w:p>
    <w:p w14:paraId="33EC99FC" w14:textId="101EF1F6" w:rsidR="00610A64" w:rsidRDefault="00B93B64">
      <w:pPr>
        <w:widowControl/>
        <w:jc w:val="left"/>
        <w:rPr>
          <w:rFonts w:ascii="ＭＳ ゴシック" w:eastAsia="ＭＳ ゴシック" w:hAnsi="ＭＳ ゴシック" w:cs="Courier New"/>
          <w:bCs/>
          <w:sz w:val="22"/>
          <w:szCs w:val="22"/>
        </w:rPr>
      </w:pPr>
      <w:r w:rsidRPr="001D6D10">
        <w:rPr>
          <w:rFonts w:hint="eastAsia"/>
          <w:noProof/>
        </w:rPr>
        <mc:AlternateContent>
          <mc:Choice Requires="wps">
            <w:drawing>
              <wp:anchor distT="0" distB="0" distL="114300" distR="114300" simplePos="0" relativeHeight="254380032" behindDoc="0" locked="0" layoutInCell="1" allowOverlap="1" wp14:anchorId="3792EE19" wp14:editId="4A5705ED">
                <wp:simplePos x="0" y="0"/>
                <wp:positionH relativeFrom="column">
                  <wp:posOffset>3937635</wp:posOffset>
                </wp:positionH>
                <wp:positionV relativeFrom="paragraph">
                  <wp:posOffset>56515</wp:posOffset>
                </wp:positionV>
                <wp:extent cx="213995" cy="0"/>
                <wp:effectExtent l="0" t="0" r="0" b="0"/>
                <wp:wrapNone/>
                <wp:docPr id="243797270" name="Line 279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1399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line w14:anchorId="74517F8A" id="Line 2797" o:spid="_x0000_s1026" style="position:absolute;z-index:2543800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10.05pt,4.45pt" to="326.9pt,4.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"/>
            </w:pict>
          </mc:Fallback>
        </mc:AlternateContent>
      </w:r>
      <w:r w:rsidRPr="001D6D10">
        <w:rPr>
          <w:rFonts w:hint="eastAsia"/>
          <w:noProof/>
        </w:rPr>
        <mc:AlternateContent>
          <mc:Choice Requires="wps">
            <w:drawing>
              <wp:anchor distT="0" distB="0" distL="114300" distR="114300" simplePos="0" relativeHeight="254382080" behindDoc="0" locked="0" layoutInCell="1" allowOverlap="1" wp14:anchorId="484C2C40" wp14:editId="4E71F9EC">
                <wp:simplePos x="0" y="0"/>
                <wp:positionH relativeFrom="column">
                  <wp:posOffset>3927475</wp:posOffset>
                </wp:positionH>
                <wp:positionV relativeFrom="paragraph">
                  <wp:posOffset>281940</wp:posOffset>
                </wp:positionV>
                <wp:extent cx="213995" cy="0"/>
                <wp:effectExtent l="9525" t="5715" r="5080" b="13335"/>
                <wp:wrapNone/>
                <wp:docPr id="1429963588" name="Line 279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13995" cy="0"/>
                        </a:xfrm>
                        <a:prstGeom prst="line">
                          <a:avLst/>
                        </a:prstGeom>
                        <a:noFill/>
                        <a:ln w="9525">
                          <a:solidFill>
                            <a:srgbClr val="000000"/>
                          </a:solidFill>
                          <a:prstDash val="sysDot"/>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line w14:anchorId="65DF3294" id="Line 2798" o:spid="_x0000_s1026" style="position:absolute;z-index:2543820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09.25pt,22.2pt" to="326.1pt,22.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">
                <v:stroke dashstyle="1 1"/>
              </v:line>
            </w:pict>
          </mc:Fallback>
        </mc:AlternateContent>
      </w:r>
      <w:r w:rsidR="00610A64">
        <w:rPr>
          <w:rFonts w:ascii="ＭＳ ゴシック" w:eastAsia="ＭＳ ゴシック" w:hAnsi="ＭＳ ゴシック"/>
          <w:bCs/>
          <w:sz w:val="22"/>
          <w:szCs w:val="22"/>
        </w:rPr>
        <w:br w:type="page"/>
      </w:r>
    </w:p>
    <w:p w14:paraId="7036F30C" w14:textId="450E5474" w:rsidR="008B4B2B" w:rsidRPr="001D6D10" w:rsidRDefault="008B4B2B" w:rsidP="00E0548A">
      <w:pPr>
        <w:pStyle w:val="3"/>
        <w:ind w:firstLine="442"/>
        <w:rPr>
          <w:szCs w:val="22"/>
        </w:rPr>
      </w:pPr>
      <w:bookmarkStart w:id="438" w:name="_Toc122436982"/>
      <w:bookmarkStart w:id="439" w:name="_Toc222433313"/>
      <w:bookmarkStart w:id="440" w:name="_Toc222486681"/>
      <w:bookmarkStart w:id="441" w:name="_Toc242870351"/>
      <w:r w:rsidRPr="001D6D10">
        <w:rPr>
          <w:rFonts w:hint="eastAsia"/>
          <w:szCs w:val="22"/>
        </w:rPr>
        <w:lastRenderedPageBreak/>
        <w:t>第３　火薬類災害応急対策（危機管理室）</w:t>
      </w:r>
      <w:bookmarkEnd w:id="438"/>
      <w:bookmarkEnd w:id="439"/>
      <w:bookmarkEnd w:id="440"/>
      <w:bookmarkEnd w:id="441"/>
    </w:p>
    <w:p w14:paraId="0717142A" w14:textId="03B24D3B" w:rsidR="008B4B2B" w:rsidRPr="001D6D10" w:rsidRDefault="008B4B2B" w:rsidP="008B4B2B">
      <w:pPr>
        <w:pStyle w:val="a0"/>
        <w:ind w:leftChars="420" w:left="887" w:firstLineChars="100" w:firstLine="221"/>
        <w:rPr>
          <w:rFonts w:hAnsi="ＭＳ 明朝"/>
          <w:bCs/>
          <w:sz w:val="22"/>
          <w:szCs w:val="22"/>
        </w:rPr>
      </w:pPr>
      <w:r w:rsidRPr="001D6D10">
        <w:rPr>
          <w:rFonts w:hAnsi="ＭＳ 明朝" w:hint="eastAsia"/>
          <w:bCs/>
          <w:sz w:val="22"/>
          <w:szCs w:val="22"/>
        </w:rPr>
        <w:t>関係機関と密接な連絡を図り、施設の使用停止、火薬の運搬禁止等の必要な緊急措置を講ずる。</w:t>
      </w:r>
    </w:p>
    <w:p w14:paraId="1B6D4C07" w14:textId="5372FF72" w:rsidR="008B4B2B" w:rsidRPr="001D6D10" w:rsidRDefault="008B4B2B" w:rsidP="008B4B2B">
      <w:pPr>
        <w:pStyle w:val="a0"/>
      </w:pPr>
    </w:p>
    <w:p w14:paraId="4B0A67EF" w14:textId="1E2EF582" w:rsidR="00610A64" w:rsidRDefault="00610A64" w:rsidP="008B4B2B">
      <w:pPr>
        <w:pStyle w:val="a0"/>
      </w:pPr>
      <w:r w:rsidRPr="00610A64">
        <w:rPr>
          <w:noProof/>
        </w:rPr>
        <mc:AlternateContent>
          <mc:Choice Requires="wps">
            <w:drawing>
              <wp:anchor distT="0" distB="0" distL="114300" distR="114300" simplePos="0" relativeHeight="254323712" behindDoc="1" locked="0" layoutInCell="1" allowOverlap="1" wp14:anchorId="7CCDF5A9" wp14:editId="6A56FC6B">
                <wp:simplePos x="0" y="0"/>
                <wp:positionH relativeFrom="column">
                  <wp:posOffset>100965</wp:posOffset>
                </wp:positionH>
                <wp:positionV relativeFrom="paragraph">
                  <wp:posOffset>960755</wp:posOffset>
                </wp:positionV>
                <wp:extent cx="212725" cy="0"/>
                <wp:effectExtent l="0" t="0" r="0" b="0"/>
                <wp:wrapNone/>
                <wp:docPr id="3878" name="Line 289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12725" cy="0"/>
                        </a:xfrm>
                        <a:prstGeom prst="line">
                          <a:avLst/>
                        </a:prstGeom>
                        <a:noFill/>
                        <a:ln w="9525">
                          <a:solidFill>
                            <a:srgbClr val="000000"/>
                          </a:solidFill>
                          <a:prstDash val="sysDot"/>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line w14:anchorId="5A0AFD4E" id="Line 2894" o:spid="_x0000_s1026" style="position:absolute;z-index:-248992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7.95pt,75.65pt" to="24.7pt,75.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">
                <v:stroke dashstyle="1 1"/>
              </v:line>
            </w:pict>
          </mc:Fallback>
        </mc:AlternateContent>
      </w:r>
      <w:r w:rsidRPr="00610A64">
        <w:rPr>
          <w:noProof/>
        </w:rPr>
        <mc:AlternateContent>
          <mc:Choice Requires="wps">
            <w:drawing>
              <wp:anchor distT="0" distB="0" distL="114300" distR="114300" simplePos="0" relativeHeight="254322688" behindDoc="1" locked="0" layoutInCell="1" allowOverlap="1" wp14:anchorId="3BAABCC8" wp14:editId="6E3BECBE">
                <wp:simplePos x="0" y="0"/>
                <wp:positionH relativeFrom="column">
                  <wp:posOffset>100965</wp:posOffset>
                </wp:positionH>
                <wp:positionV relativeFrom="paragraph">
                  <wp:posOffset>755015</wp:posOffset>
                </wp:positionV>
                <wp:extent cx="212725" cy="0"/>
                <wp:effectExtent l="0" t="0" r="0" b="0"/>
                <wp:wrapNone/>
                <wp:docPr id="3877" name="Line 289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1272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line w14:anchorId="3D6C4C53" id="Line 2893" o:spid="_x0000_s1026" style="position:absolute;left:0;text-align:left;z-index:-248993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7.95pt,59.45pt" to="24.7pt,59.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"/>
            </w:pict>
          </mc:Fallback>
        </mc:AlternateContent>
      </w:r>
      <w:r w:rsidRPr="00610A64">
        <w:rPr>
          <w:noProof/>
        </w:rPr>
        <mc:AlternateContent>
          <mc:Choice Requires="wps">
            <w:drawing>
              <wp:anchor distT="0" distB="0" distL="114300" distR="114300" simplePos="0" relativeHeight="254321664" behindDoc="1" locked="0" layoutInCell="1" allowOverlap="1" wp14:anchorId="7684C830" wp14:editId="36E79B41">
                <wp:simplePos x="0" y="0"/>
                <wp:positionH relativeFrom="column">
                  <wp:posOffset>-3810</wp:posOffset>
                </wp:positionH>
                <wp:positionV relativeFrom="paragraph">
                  <wp:posOffset>362585</wp:posOffset>
                </wp:positionV>
                <wp:extent cx="2122170" cy="772160"/>
                <wp:effectExtent l="0" t="0" r="11430" b="27940"/>
                <wp:wrapNone/>
                <wp:docPr id="3876" name="Text Box 289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22170" cy="772160"/>
                        </a:xfrm>
                        <a:prstGeom prst="rect">
                          <a:avLst/>
                        </a:prstGeom>
                        <a:solidFill>
                          <a:srgbClr val="FFFFFF"/>
                        </a:solidFill>
                        <a:ln w="9525">
                          <a:solidFill>
                            <a:srgbClr val="000000"/>
                          </a:solidFill>
                          <a:miter lim="800000"/>
                          <a:headEnd/>
                          <a:tailEnd/>
                        </a:ln>
                      </wps:spPr>
                      <wps:txbx>
                        <w:txbxContent>
                          <w:p w14:paraId="76331FA6" w14:textId="77777777" w:rsidR="00610A64" w:rsidRDefault="00610A64" w:rsidP="00610A64">
                            <w:pPr>
                              <w:spacing w:line="280" w:lineRule="atLeast"/>
                              <w:jc w:val="center"/>
                            </w:pPr>
                            <w:r>
                              <w:rPr>
                                <w:rFonts w:hint="eastAsia"/>
                              </w:rPr>
                              <w:t>凡　　　　　例</w:t>
                            </w:r>
                          </w:p>
                          <w:p w14:paraId="22520756" w14:textId="77777777" w:rsidR="00610A64" w:rsidRPr="000F1A6E" w:rsidRDefault="00610A64" w:rsidP="00610A64">
                            <w:pPr>
                              <w:spacing w:line="280" w:lineRule="atLeast"/>
                              <w:rPr>
                                <w:sz w:val="20"/>
                              </w:rPr>
                            </w:pPr>
                            <w:r>
                              <w:rPr>
                                <w:rFonts w:hint="eastAsia"/>
                              </w:rPr>
                              <w:t xml:space="preserve">　　</w:t>
                            </w:r>
                            <w:r w:rsidRPr="000F1A6E">
                              <w:rPr>
                                <w:rFonts w:hint="eastAsia"/>
                                <w:sz w:val="20"/>
                              </w:rPr>
                              <w:t>；通常の通信系統</w:t>
                            </w:r>
                          </w:p>
                          <w:p w14:paraId="3FF0349A" w14:textId="77777777" w:rsidR="00610A64" w:rsidRPr="000F1A6E" w:rsidRDefault="00610A64" w:rsidP="00610A64">
                            <w:pPr>
                              <w:tabs>
                                <w:tab w:val="left" w:pos="186"/>
                              </w:tabs>
                              <w:spacing w:line="280" w:lineRule="atLeast"/>
                              <w:ind w:left="422" w:hangingChars="200" w:hanging="422"/>
                              <w:rPr>
                                <w:sz w:val="20"/>
                              </w:rPr>
                            </w:pPr>
                            <w:r>
                              <w:rPr>
                                <w:rFonts w:hint="eastAsia"/>
                              </w:rPr>
                              <w:tab/>
                            </w:r>
                            <w:r>
                              <w:rPr>
                                <w:rFonts w:hint="eastAsia"/>
                              </w:rPr>
                              <w:tab/>
                            </w:r>
                            <w:r w:rsidRPr="000F1A6E">
                              <w:rPr>
                                <w:rFonts w:hint="eastAsia"/>
                                <w:sz w:val="20"/>
                              </w:rPr>
                              <w:t xml:space="preserve">；必要に応じての通信系統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shape w14:anchorId="7684C830" id="Text Box 2892" o:spid="_x0000_s1799" type="#_x0000_t202" style="position:absolute;left:0;text-align:left;margin-left:-.3pt;margin-top:28.55pt;width:167.1pt;height:60.8pt;z-index:-248994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">
                <v:textbox>
                  <w:txbxContent>
                    <w:p w14:paraId="76331FA6" w14:textId="77777777" w:rsidR="00610A64" w:rsidRDefault="00610A64" w:rsidP="00610A64">
                      <w:pPr>
                        <w:spacing w:line="280" w:lineRule="atLeast"/>
                        <w:jc w:val="center"/>
                      </w:pPr>
                      <w:r>
                        <w:rPr>
                          <w:rFonts w:hint="eastAsia"/>
                        </w:rPr>
                        <w:t>凡　　　　　例</w:t>
                      </w:r>
                    </w:p>
                    <w:p w14:paraId="22520756" w14:textId="77777777" w:rsidR="00610A64" w:rsidRPr="000F1A6E" w:rsidRDefault="00610A64" w:rsidP="00610A64">
                      <w:pPr>
                        <w:spacing w:line="280" w:lineRule="atLeast"/>
                        <w:rPr>
                          <w:sz w:val="20"/>
                        </w:rPr>
                      </w:pPr>
                      <w:r>
                        <w:rPr>
                          <w:rFonts w:hint="eastAsia"/>
                        </w:rPr>
                        <w:t xml:space="preserve">　　</w:t>
                      </w:r>
                      <w:r w:rsidRPr="000F1A6E">
                        <w:rPr>
                          <w:rFonts w:hint="eastAsia"/>
                          <w:sz w:val="20"/>
                        </w:rPr>
                        <w:t>；通常の通信系統</w:t>
                      </w:r>
                    </w:p>
                    <w:p w14:paraId="3FF0349A" w14:textId="77777777" w:rsidR="00610A64" w:rsidRPr="000F1A6E" w:rsidRDefault="00610A64" w:rsidP="00610A64">
                      <w:pPr>
                        <w:tabs>
                          <w:tab w:val="left" w:pos="186"/>
                        </w:tabs>
                        <w:spacing w:line="280" w:lineRule="atLeast"/>
                        <w:ind w:left="422" w:hangingChars="200" w:hanging="422"/>
                        <w:rPr>
                          <w:sz w:val="20"/>
                        </w:rPr>
                      </w:pPr>
                      <w:r>
                        <w:rPr>
                          <w:rFonts w:hint="eastAsia"/>
                        </w:rPr>
                        <w:tab/>
                      </w:r>
                      <w:r>
                        <w:rPr>
                          <w:rFonts w:hint="eastAsia"/>
                        </w:rPr>
                        <w:tab/>
                      </w:r>
                      <w:r w:rsidRPr="000F1A6E">
                        <w:rPr>
                          <w:rFonts w:hint="eastAsia"/>
                          <w:sz w:val="20"/>
                        </w:rPr>
                        <w:t xml:space="preserve">；必要に応じての通信系統　</w:t>
                      </w:r>
                    </w:p>
                  </w:txbxContent>
                </v:textbox>
              </v:shape>
            </w:pict>
          </mc:Fallback>
        </mc:AlternateContent>
      </w:r>
      <w:r w:rsidRPr="00610A64">
        <w:rPr>
          <w:noProof/>
        </w:rPr>
        <mc:AlternateContent>
          <mc:Choice Requires="wps">
            <w:drawing>
              <wp:anchor distT="0" distB="0" distL="114300" distR="114300" simplePos="0" relativeHeight="254320640" behindDoc="1" locked="0" layoutInCell="1" allowOverlap="1" wp14:anchorId="3BA6D18E" wp14:editId="601C409C">
                <wp:simplePos x="0" y="0"/>
                <wp:positionH relativeFrom="column">
                  <wp:posOffset>2118360</wp:posOffset>
                </wp:positionH>
                <wp:positionV relativeFrom="paragraph">
                  <wp:posOffset>2190115</wp:posOffset>
                </wp:positionV>
                <wp:extent cx="1600200" cy="568960"/>
                <wp:effectExtent l="0" t="0" r="19050" b="21590"/>
                <wp:wrapNone/>
                <wp:docPr id="3875" name="Text Box 289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00200" cy="568960"/>
                        </a:xfrm>
                        <a:prstGeom prst="rect">
                          <a:avLst/>
                        </a:prstGeom>
                        <a:solidFill>
                          <a:srgbClr val="FFFFFF"/>
                        </a:solidFill>
                        <a:ln w="9525">
                          <a:solidFill>
                            <a:srgbClr val="000000"/>
                          </a:solidFill>
                          <a:miter lim="800000"/>
                          <a:headEnd/>
                          <a:tailEnd/>
                        </a:ln>
                      </wps:spPr>
                      <wps:txbx>
                        <w:txbxContent>
                          <w:p w14:paraId="0747B4FE" w14:textId="77777777" w:rsidR="00610A64" w:rsidRPr="00EE798C" w:rsidRDefault="00610A64" w:rsidP="00610A64">
                            <w:pPr>
                              <w:ind w:firstLineChars="100" w:firstLine="211"/>
                            </w:pPr>
                            <w:r w:rsidRPr="00EE798C">
                              <w:rPr>
                                <w:rFonts w:hint="eastAsia"/>
                              </w:rPr>
                              <w:t>大阪府　消防保安課</w:t>
                            </w:r>
                          </w:p>
                        </w:txbxContent>
                      </wps:txbx>
                      <wps:bodyPr rot="0" vert="horz" wrap="square" lIns="37440" tIns="24120" rIns="41040" bIns="24120" anchor="t" anchorCtr="0" upright="1">
                        <a:noAutofit/>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shape w14:anchorId="3BA6D18E" id="Text Box 2891" o:spid="_x0000_s1800" type="#_x0000_t202" style="position:absolute;left:0;text-align:left;margin-left:166.8pt;margin-top:172.45pt;width:126pt;height:44.8pt;z-index:-2489958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">
                <v:textbox inset="1.04mm,.67mm,1.14mm,.67mm">
                  <w:txbxContent>
                    <w:p w14:paraId="0747B4FE" w14:textId="77777777" w:rsidR="00610A64" w:rsidRPr="00EE798C" w:rsidRDefault="00610A64" w:rsidP="00610A64">
                      <w:pPr>
                        <w:ind w:firstLineChars="100" w:firstLine="211"/>
                      </w:pPr>
                      <w:r w:rsidRPr="00EE798C">
                        <w:rPr>
                          <w:rFonts w:hint="eastAsia"/>
                        </w:rPr>
                        <w:t>大阪府　消防保安課</w:t>
                      </w:r>
                    </w:p>
                  </w:txbxContent>
                </v:textbox>
              </v:shape>
            </w:pict>
          </mc:Fallback>
        </mc:AlternateContent>
      </w:r>
      <w:r w:rsidRPr="00610A64">
        <w:rPr>
          <w:noProof/>
        </w:rPr>
        <mc:AlternateContent>
          <mc:Choice Requires="wps">
            <w:drawing>
              <wp:anchor distT="0" distB="0" distL="114300" distR="114300" simplePos="0" relativeHeight="254319616" behindDoc="1" locked="0" layoutInCell="1" allowOverlap="1" wp14:anchorId="7F08971C" wp14:editId="150E493C">
                <wp:simplePos x="0" y="0"/>
                <wp:positionH relativeFrom="column">
                  <wp:posOffset>403860</wp:posOffset>
                </wp:positionH>
                <wp:positionV relativeFrom="paragraph">
                  <wp:posOffset>2075815</wp:posOffset>
                </wp:positionV>
                <wp:extent cx="1080135" cy="396875"/>
                <wp:effectExtent l="0" t="0" r="24765" b="22225"/>
                <wp:wrapNone/>
                <wp:docPr id="3874" name="Text Box 289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80135" cy="396875"/>
                        </a:xfrm>
                        <a:prstGeom prst="rect">
                          <a:avLst/>
                        </a:prstGeom>
                        <a:solidFill>
                          <a:srgbClr val="FFFFFF"/>
                        </a:solidFill>
                        <a:ln w="9525">
                          <a:solidFill>
                            <a:srgbClr val="000000"/>
                          </a:solidFill>
                          <a:miter lim="800000"/>
                          <a:headEnd/>
                          <a:tailEnd/>
                        </a:ln>
                      </wps:spPr>
                      <wps:txbx>
                        <w:txbxContent>
                          <w:p w14:paraId="62BE75EA" w14:textId="77777777" w:rsidR="00610A64" w:rsidRPr="008A4793" w:rsidRDefault="00610A64" w:rsidP="00610A64">
                            <w:pPr>
                              <w:spacing w:line="240" w:lineRule="exact"/>
                              <w:jc w:val="center"/>
                              <w:rPr>
                                <w:sz w:val="18"/>
                                <w:szCs w:val="18"/>
                              </w:rPr>
                            </w:pPr>
                            <w:r w:rsidRPr="008A4793">
                              <w:rPr>
                                <w:rFonts w:hint="eastAsia"/>
                                <w:kern w:val="0"/>
                                <w:sz w:val="18"/>
                                <w:szCs w:val="18"/>
                                <w:fitText w:val="1440" w:id="-1509239551"/>
                              </w:rPr>
                              <w:t>中部近畿産業保安</w:t>
                            </w:r>
                            <w:r w:rsidRPr="000B57D7">
                              <w:rPr>
                                <w:rFonts w:hint="eastAsia"/>
                                <w:spacing w:val="15"/>
                                <w:kern w:val="0"/>
                                <w:sz w:val="18"/>
                                <w:szCs w:val="18"/>
                                <w:fitText w:val="1440" w:id="-1509239552"/>
                              </w:rPr>
                              <w:t>監督部近畿支</w:t>
                            </w:r>
                            <w:r w:rsidRPr="000B57D7">
                              <w:rPr>
                                <w:rFonts w:hint="eastAsia"/>
                                <w:kern w:val="0"/>
                                <w:sz w:val="18"/>
                                <w:szCs w:val="18"/>
                                <w:fitText w:val="1440" w:id="-1509239552"/>
                              </w:rPr>
                              <w:t>部</w:t>
                            </w:r>
                          </w:p>
                        </w:txbxContent>
                      </wps:txbx>
                      <wps:bodyPr rot="0" vert="horz" wrap="square" lIns="37440" tIns="24120" rIns="41040" bIns="24120" anchor="t" anchorCtr="0" upright="1">
                        <a:noAutofit/>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shape w14:anchorId="7F08971C" id="Text Box 2890" o:spid="_x0000_s1801" type="#_x0000_t202" style="position:absolute;left:0;text-align:left;margin-left:31.8pt;margin-top:163.45pt;width:85.05pt;height:31.25pt;z-index:-2489968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">
                <v:textbox inset="1.04mm,.67mm,1.14mm,.67mm">
                  <w:txbxContent>
                    <w:p w14:paraId="62BE75EA" w14:textId="77777777" w:rsidR="00610A64" w:rsidRPr="008A4793" w:rsidRDefault="00610A64" w:rsidP="00610A64">
                      <w:pPr>
                        <w:spacing w:line="240" w:lineRule="exact"/>
                        <w:jc w:val="center"/>
                        <w:rPr>
                          <w:sz w:val="18"/>
                          <w:szCs w:val="18"/>
                        </w:rPr>
                      </w:pPr>
                      <w:r w:rsidRPr="008A4793">
                        <w:rPr>
                          <w:rFonts w:hint="eastAsia"/>
                          <w:kern w:val="0"/>
                          <w:sz w:val="18"/>
                          <w:szCs w:val="18"/>
                          <w:fitText w:val="1440" w:id="-1509239551"/>
                        </w:rPr>
                        <w:t>中部近畿産業保安</w:t>
                      </w:r>
                      <w:r w:rsidRPr="000B57D7">
                        <w:rPr>
                          <w:rFonts w:hint="eastAsia"/>
                          <w:spacing w:val="15"/>
                          <w:kern w:val="0"/>
                          <w:sz w:val="18"/>
                          <w:szCs w:val="18"/>
                          <w:fitText w:val="1440" w:id="-1509239552"/>
                        </w:rPr>
                        <w:t>監督部近畿支</w:t>
                      </w:r>
                      <w:r w:rsidRPr="000B57D7">
                        <w:rPr>
                          <w:rFonts w:hint="eastAsia"/>
                          <w:kern w:val="0"/>
                          <w:sz w:val="18"/>
                          <w:szCs w:val="18"/>
                          <w:fitText w:val="1440" w:id="-1509239552"/>
                        </w:rPr>
                        <w:t>部</w:t>
                      </w:r>
                    </w:p>
                  </w:txbxContent>
                </v:textbox>
              </v:shape>
            </w:pict>
          </mc:Fallback>
        </mc:AlternateContent>
      </w:r>
      <w:r w:rsidRPr="00610A64">
        <w:rPr>
          <w:noProof/>
        </w:rPr>
        <mc:AlternateContent>
          <mc:Choice Requires="wps">
            <w:drawing>
              <wp:anchor distT="0" distB="0" distL="114300" distR="114300" simplePos="0" relativeHeight="254318592" behindDoc="1" locked="0" layoutInCell="1" allowOverlap="1" wp14:anchorId="3873981A" wp14:editId="40E46548">
                <wp:simplePos x="0" y="0"/>
                <wp:positionH relativeFrom="column">
                  <wp:posOffset>3705860</wp:posOffset>
                </wp:positionH>
                <wp:positionV relativeFrom="paragraph">
                  <wp:posOffset>2423795</wp:posOffset>
                </wp:positionV>
                <wp:extent cx="538480" cy="0"/>
                <wp:effectExtent l="38100" t="76200" r="33020" b="95250"/>
                <wp:wrapNone/>
                <wp:docPr id="3873" name="Line 288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rot="10800000" flipH="1" flipV="1">
                          <a:off x="0" y="0"/>
                          <a:ext cx="538480" cy="0"/>
                        </a:xfrm>
                        <a:prstGeom prst="line">
                          <a:avLst/>
                        </a:prstGeom>
                        <a:noFill/>
                        <a:ln w="9525">
                          <a:solidFill>
                            <a:srgbClr val="000000"/>
                          </a:solidFill>
                          <a:round/>
                          <a:headEnd type="arrow" w="sm" len="sm"/>
                          <a:tailEnd type="arrow" w="sm" len="sm"/>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line w14:anchorId="11FDE0B1" id="Line 2889" o:spid="_x0000_s1026" style="position:absolute;left:0;text-align:left;rotation:180;flip:x y;z-index:-2489978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91.8pt,190.85pt" to="334.2pt,190.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">
                <v:stroke startarrow="open" startarrowwidth="narrow" startarrowlength="short" endarrow="open" endarrowwidth="narrow" endarrowlength="short"/>
              </v:line>
            </w:pict>
          </mc:Fallback>
        </mc:AlternateContent>
      </w:r>
      <w:r w:rsidRPr="00610A64">
        <w:rPr>
          <w:noProof/>
        </w:rPr>
        <mc:AlternateContent>
          <mc:Choice Requires="wps">
            <w:drawing>
              <wp:anchor distT="0" distB="0" distL="114300" distR="114300" simplePos="0" relativeHeight="254317568" behindDoc="1" locked="0" layoutInCell="1" allowOverlap="1" wp14:anchorId="33F765B6" wp14:editId="641CD356">
                <wp:simplePos x="0" y="0"/>
                <wp:positionH relativeFrom="column">
                  <wp:posOffset>4248150</wp:posOffset>
                </wp:positionH>
                <wp:positionV relativeFrom="paragraph">
                  <wp:posOffset>2190115</wp:posOffset>
                </wp:positionV>
                <wp:extent cx="1508760" cy="272415"/>
                <wp:effectExtent l="0" t="0" r="15240" b="13335"/>
                <wp:wrapNone/>
                <wp:docPr id="3872" name="Text Box 288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08760" cy="272415"/>
                        </a:xfrm>
                        <a:prstGeom prst="rect">
                          <a:avLst/>
                        </a:prstGeom>
                        <a:solidFill>
                          <a:srgbClr val="FFFFFF"/>
                        </a:solidFill>
                        <a:ln w="9525">
                          <a:solidFill>
                            <a:srgbClr val="000000"/>
                          </a:solidFill>
                          <a:miter lim="800000"/>
                          <a:headEnd/>
                          <a:tailEnd/>
                        </a:ln>
                      </wps:spPr>
                      <wps:txbx>
                        <w:txbxContent>
                          <w:p w14:paraId="543D3A29" w14:textId="77777777" w:rsidR="00610A64" w:rsidRDefault="00610A64" w:rsidP="00610A64">
                            <w:pPr>
                              <w:jc w:val="distribute"/>
                            </w:pPr>
                            <w:r>
                              <w:rPr>
                                <w:rFonts w:hint="eastAsia"/>
                                <w:sz w:val="20"/>
                              </w:rPr>
                              <w:t>大阪府火薬類保安協会</w:t>
                            </w:r>
                          </w:p>
                        </w:txbxContent>
                      </wps:txbx>
                      <wps:bodyPr rot="0" vert="horz" wrap="square" lIns="37440" tIns="24120" rIns="41040" bIns="24120" anchor="t" anchorCtr="0" upright="1">
                        <a:noAutofit/>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shape w14:anchorId="33F765B6" id="Text Box 2888" o:spid="_x0000_s1802" type="#_x0000_t202" style="position:absolute;left:0;text-align:left;margin-left:334.5pt;margin-top:172.45pt;width:118.8pt;height:21.45pt;z-index:-2489989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">
                <v:textbox inset="1.04mm,.67mm,1.14mm,.67mm">
                  <w:txbxContent>
                    <w:p w14:paraId="543D3A29" w14:textId="77777777" w:rsidR="00610A64" w:rsidRDefault="00610A64" w:rsidP="00610A64">
                      <w:pPr>
                        <w:jc w:val="distribute"/>
                      </w:pPr>
                      <w:r>
                        <w:rPr>
                          <w:rFonts w:hint="eastAsia"/>
                          <w:sz w:val="20"/>
                        </w:rPr>
                        <w:t>大阪府火薬類保安協会</w:t>
                      </w:r>
                    </w:p>
                  </w:txbxContent>
                </v:textbox>
              </v:shape>
            </w:pict>
          </mc:Fallback>
        </mc:AlternateContent>
      </w:r>
      <w:r w:rsidRPr="00610A64">
        <w:rPr>
          <w:noProof/>
        </w:rPr>
        <mc:AlternateContent>
          <mc:Choice Requires="wps">
            <w:drawing>
              <wp:anchor distT="0" distB="0" distL="114300" distR="114300" simplePos="0" relativeHeight="254316544" behindDoc="1" locked="0" layoutInCell="1" allowOverlap="1" wp14:anchorId="1BE12482" wp14:editId="57C60E3B">
                <wp:simplePos x="0" y="0"/>
                <wp:positionH relativeFrom="column">
                  <wp:posOffset>1868805</wp:posOffset>
                </wp:positionH>
                <wp:positionV relativeFrom="paragraph">
                  <wp:posOffset>1515110</wp:posOffset>
                </wp:positionV>
                <wp:extent cx="440055" cy="0"/>
                <wp:effectExtent l="38100" t="76200" r="0" b="95250"/>
                <wp:wrapNone/>
                <wp:docPr id="3871" name="Line 288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440055" cy="0"/>
                        </a:xfrm>
                        <a:prstGeom prst="line">
                          <a:avLst/>
                        </a:prstGeom>
                        <a:noFill/>
                        <a:ln w="9525">
                          <a:solidFill>
                            <a:srgbClr val="000000"/>
                          </a:solidFill>
                          <a:prstDash val="sysDot"/>
                          <a:round/>
                          <a:headEnd/>
                          <a:tailEnd type="arrow" w="sm" len="sm"/>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line w14:anchorId="2BD2C9C9" id="Line 2887" o:spid="_x0000_s1026" style="position:absolute;left:0;text-align:left;flip:x;z-index:-2489999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47.15pt,119.3pt" to="181.8pt,119.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">
                <v:stroke dashstyle="1 1" endarrow="open" endarrowwidth="narrow" endarrowlength="short"/>
              </v:line>
            </w:pict>
          </mc:Fallback>
        </mc:AlternateContent>
      </w:r>
      <w:r w:rsidRPr="00610A64">
        <w:rPr>
          <w:noProof/>
        </w:rPr>
        <mc:AlternateContent>
          <mc:Choice Requires="wps">
            <w:drawing>
              <wp:anchor distT="0" distB="0" distL="114300" distR="114300" simplePos="0" relativeHeight="254315520" behindDoc="1" locked="0" layoutInCell="1" allowOverlap="1" wp14:anchorId="6C410971" wp14:editId="0D9993C1">
                <wp:simplePos x="0" y="0"/>
                <wp:positionH relativeFrom="column">
                  <wp:posOffset>1485900</wp:posOffset>
                </wp:positionH>
                <wp:positionV relativeFrom="paragraph">
                  <wp:posOffset>2726690</wp:posOffset>
                </wp:positionV>
                <wp:extent cx="634365" cy="0"/>
                <wp:effectExtent l="38100" t="76200" r="32385" b="95250"/>
                <wp:wrapNone/>
                <wp:docPr id="3864" name="Line 288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rot="10800000" flipH="1" flipV="1">
                          <a:off x="0" y="0"/>
                          <a:ext cx="634365" cy="0"/>
                        </a:xfrm>
                        <a:prstGeom prst="line">
                          <a:avLst/>
                        </a:prstGeom>
                        <a:noFill/>
                        <a:ln w="9525">
                          <a:solidFill>
                            <a:srgbClr val="000000"/>
                          </a:solidFill>
                          <a:round/>
                          <a:headEnd type="arrow" w="sm" len="sm"/>
                          <a:tailEnd type="arrow" w="sm" len="sm"/>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line w14:anchorId="46473E7C" id="Line 2886" o:spid="_x0000_s1026" style="position:absolute;left:0;text-align:left;rotation:180;flip:x y;z-index:-2490009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17pt,214.7pt" to="166.95pt,214.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">
                <v:stroke startarrow="open" startarrowwidth="narrow" startarrowlength="short" endarrow="open" endarrowwidth="narrow" endarrowlength="short"/>
              </v:line>
            </w:pict>
          </mc:Fallback>
        </mc:AlternateContent>
      </w:r>
      <w:r w:rsidRPr="00610A64">
        <w:rPr>
          <w:noProof/>
        </w:rPr>
        <mc:AlternateContent>
          <mc:Choice Requires="wps">
            <w:drawing>
              <wp:anchor distT="0" distB="0" distL="114300" distR="114300" simplePos="0" relativeHeight="254314496" behindDoc="1" locked="0" layoutInCell="1" allowOverlap="1" wp14:anchorId="390E96A1" wp14:editId="0986A5F6">
                <wp:simplePos x="0" y="0"/>
                <wp:positionH relativeFrom="column">
                  <wp:posOffset>1483995</wp:posOffset>
                </wp:positionH>
                <wp:positionV relativeFrom="paragraph">
                  <wp:posOffset>2380615</wp:posOffset>
                </wp:positionV>
                <wp:extent cx="634365" cy="0"/>
                <wp:effectExtent l="38100" t="76200" r="32385" b="95250"/>
                <wp:wrapNone/>
                <wp:docPr id="3863" name="Line 288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rot="10800000" flipH="1">
                          <a:off x="0" y="0"/>
                          <a:ext cx="634365" cy="0"/>
                        </a:xfrm>
                        <a:prstGeom prst="line">
                          <a:avLst/>
                        </a:prstGeom>
                        <a:noFill/>
                        <a:ln w="9525">
                          <a:solidFill>
                            <a:srgbClr val="000000"/>
                          </a:solidFill>
                          <a:round/>
                          <a:headEnd type="arrow" w="sm" len="sm"/>
                          <a:tailEnd type="arrow" w="sm" len="sm"/>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line w14:anchorId="15EB1A49" id="Line 2885" o:spid="_x0000_s1026" style="position:absolute;left:0;text-align:left;rotation:180;flip:x;z-index:-2490019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16.85pt,187.45pt" to="166.8pt,187.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">
                <v:stroke startarrow="open" startarrowwidth="narrow" startarrowlength="short" endarrow="open" endarrowwidth="narrow" endarrowlength="short"/>
              </v:line>
            </w:pict>
          </mc:Fallback>
        </mc:AlternateContent>
      </w:r>
      <w:r w:rsidRPr="00610A64">
        <w:rPr>
          <w:noProof/>
        </w:rPr>
        <mc:AlternateContent>
          <mc:Choice Requires="wps">
            <w:drawing>
              <wp:anchor distT="0" distB="0" distL="114300" distR="114300" simplePos="0" relativeHeight="254313472" behindDoc="1" locked="0" layoutInCell="1" allowOverlap="1" wp14:anchorId="4C3FE87A" wp14:editId="4D27C392">
                <wp:simplePos x="0" y="0"/>
                <wp:positionH relativeFrom="column">
                  <wp:posOffset>407670</wp:posOffset>
                </wp:positionH>
                <wp:positionV relativeFrom="paragraph">
                  <wp:posOffset>2530475</wp:posOffset>
                </wp:positionV>
                <wp:extent cx="1080135" cy="342900"/>
                <wp:effectExtent l="0" t="0" r="24765" b="19050"/>
                <wp:wrapNone/>
                <wp:docPr id="3764" name="Text Box 288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80135" cy="342900"/>
                        </a:xfrm>
                        <a:prstGeom prst="rect">
                          <a:avLst/>
                        </a:prstGeom>
                        <a:solidFill>
                          <a:srgbClr val="FFFFFF"/>
                        </a:solidFill>
                        <a:ln w="9525">
                          <a:solidFill>
                            <a:srgbClr val="000000"/>
                          </a:solidFill>
                          <a:miter lim="800000"/>
                          <a:headEnd/>
                          <a:tailEnd/>
                        </a:ln>
                      </wps:spPr>
                      <wps:txbx>
                        <w:txbxContent>
                          <w:p w14:paraId="143EA200" w14:textId="77777777" w:rsidR="00610A64" w:rsidRDefault="00610A64" w:rsidP="00610A64">
                            <w:pPr>
                              <w:jc w:val="distribute"/>
                            </w:pPr>
                            <w:r>
                              <w:rPr>
                                <w:rFonts w:hint="eastAsia"/>
                              </w:rPr>
                              <w:t>消防庁</w:t>
                            </w:r>
                          </w:p>
                        </w:txbxContent>
                      </wps:txbx>
                      <wps:bodyPr rot="0" vert="horz" wrap="square" lIns="37440" tIns="24120" rIns="41040" bIns="24120" anchor="t" anchorCtr="0" upright="1">
                        <a:noAutofit/>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shape w14:anchorId="4C3FE87A" id="Text Box 2884" o:spid="_x0000_s1803" type="#_x0000_t202" style="position:absolute;left:0;text-align:left;margin-left:32.1pt;margin-top:199.25pt;width:85.05pt;height:27pt;z-index:-2490030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">
                <v:textbox inset="1.04mm,.67mm,1.14mm,.67mm">
                  <w:txbxContent>
                    <w:p w14:paraId="143EA200" w14:textId="77777777" w:rsidR="00610A64" w:rsidRDefault="00610A64" w:rsidP="00610A64">
                      <w:pPr>
                        <w:jc w:val="distribute"/>
                      </w:pPr>
                      <w:r>
                        <w:rPr>
                          <w:rFonts w:hint="eastAsia"/>
                        </w:rPr>
                        <w:t>消防庁</w:t>
                      </w:r>
                    </w:p>
                  </w:txbxContent>
                </v:textbox>
              </v:shape>
            </w:pict>
          </mc:Fallback>
        </mc:AlternateContent>
      </w:r>
      <w:r w:rsidRPr="00610A64">
        <w:rPr>
          <w:noProof/>
        </w:rPr>
        <mc:AlternateContent>
          <mc:Choice Requires="wps">
            <w:drawing>
              <wp:anchor distT="0" distB="0" distL="114300" distR="114300" simplePos="0" relativeHeight="254312448" behindDoc="1" locked="0" layoutInCell="1" allowOverlap="1" wp14:anchorId="26F0344E" wp14:editId="06A6EEE7">
                <wp:simplePos x="0" y="0"/>
                <wp:positionH relativeFrom="column">
                  <wp:posOffset>3898265</wp:posOffset>
                </wp:positionH>
                <wp:positionV relativeFrom="paragraph">
                  <wp:posOffset>650875</wp:posOffset>
                </wp:positionV>
                <wp:extent cx="260985" cy="1000125"/>
                <wp:effectExtent l="0" t="64770" r="55245" b="74295"/>
                <wp:wrapNone/>
                <wp:docPr id="3760" name="Line 288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rot="16200000">
                          <a:off x="0" y="0"/>
                          <a:ext cx="260985" cy="1000125"/>
                        </a:xfrm>
                        <a:prstGeom prst="line">
                          <a:avLst/>
                        </a:prstGeom>
                        <a:noFill/>
                        <a:ln w="9525">
                          <a:solidFill>
                            <a:srgbClr val="000000"/>
                          </a:solidFill>
                          <a:round/>
                          <a:headEnd type="arrow" w="sm" len="sm"/>
                          <a:tailEnd type="arrow" w="sm" len="sm"/>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line w14:anchorId="7BBD73CE" id="Line 2881" o:spid="_x0000_s1026" style="position:absolute;left:0;text-align:left;rotation:-90;z-index:-2490040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06.95pt,51.25pt" to="327.5pt,130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">
                <v:stroke startarrow="open" startarrowwidth="narrow" startarrowlength="short" endarrow="open" endarrowwidth="narrow" endarrowlength="short"/>
              </v:line>
            </w:pict>
          </mc:Fallback>
        </mc:AlternateContent>
      </w:r>
      <w:r w:rsidRPr="00610A64">
        <w:rPr>
          <w:noProof/>
        </w:rPr>
        <mc:AlternateContent>
          <mc:Choice Requires="wps">
            <w:drawing>
              <wp:anchor distT="0" distB="0" distL="114300" distR="114300" simplePos="0" relativeHeight="254311424" behindDoc="1" locked="0" layoutInCell="1" allowOverlap="1" wp14:anchorId="4C7AB1CE" wp14:editId="5553B080">
                <wp:simplePos x="0" y="0"/>
                <wp:positionH relativeFrom="column">
                  <wp:posOffset>1743075</wp:posOffset>
                </wp:positionH>
                <wp:positionV relativeFrom="paragraph">
                  <wp:posOffset>1615440</wp:posOffset>
                </wp:positionV>
                <wp:extent cx="918210" cy="228600"/>
                <wp:effectExtent l="1905" t="0" r="55245" b="55245"/>
                <wp:wrapNone/>
                <wp:docPr id="3759" name="Line 288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rot="16200000" flipH="1">
                          <a:off x="0" y="0"/>
                          <a:ext cx="918210" cy="228600"/>
                        </a:xfrm>
                        <a:prstGeom prst="line">
                          <a:avLst/>
                        </a:prstGeom>
                        <a:noFill/>
                        <a:ln w="9525">
                          <a:solidFill>
                            <a:srgbClr val="000000"/>
                          </a:solidFill>
                          <a:round/>
                          <a:headEnd/>
                          <a:tailEnd type="arrow" w="sm" len="sm"/>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line w14:anchorId="63326C3A" id="Line 2880" o:spid="_x0000_s1026" style="position:absolute;left:0;text-align:left;rotation:90;flip:x;z-index:-2490050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37.25pt,127.2pt" to="209.55pt,145.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">
                <v:stroke endarrow="open" endarrowwidth="narrow" endarrowlength="short"/>
              </v:line>
            </w:pict>
          </mc:Fallback>
        </mc:AlternateContent>
      </w:r>
      <w:r w:rsidRPr="00610A64">
        <w:rPr>
          <w:noProof/>
        </w:rPr>
        <mc:AlternateContent>
          <mc:Choice Requires="wps">
            <w:drawing>
              <wp:anchor distT="0" distB="0" distL="114300" distR="114300" simplePos="0" relativeHeight="254310400" behindDoc="1" locked="0" layoutInCell="1" allowOverlap="1" wp14:anchorId="784E2F1F" wp14:editId="0CDB54DF">
                <wp:simplePos x="0" y="0"/>
                <wp:positionH relativeFrom="column">
                  <wp:posOffset>4750435</wp:posOffset>
                </wp:positionH>
                <wp:positionV relativeFrom="paragraph">
                  <wp:posOffset>1176655</wp:posOffset>
                </wp:positionV>
                <wp:extent cx="413385" cy="0"/>
                <wp:effectExtent l="35243" t="40957" r="60007" b="60008"/>
                <wp:wrapNone/>
                <wp:docPr id="3758" name="Line 287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rot="5400000" flipH="1">
                          <a:off x="0" y="0"/>
                          <a:ext cx="413385" cy="0"/>
                        </a:xfrm>
                        <a:prstGeom prst="line">
                          <a:avLst/>
                        </a:prstGeom>
                        <a:noFill/>
                        <a:ln w="9525">
                          <a:solidFill>
                            <a:srgbClr val="000000"/>
                          </a:solidFill>
                          <a:round/>
                          <a:headEnd type="arrow" w="sm" len="sm"/>
                          <a:tailEnd type="arrow" w="sm" len="sm"/>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line w14:anchorId="729BAC80" id="Line 2879" o:spid="_x0000_s1026" style="position:absolute;left:0;text-align:left;rotation:-90;flip:x;z-index:-2490060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74.05pt,92.65pt" to="406.6pt,92.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">
                <v:stroke startarrow="open" startarrowwidth="narrow" startarrowlength="short" endarrow="open" endarrowwidth="narrow" endarrowlength="short"/>
              </v:line>
            </w:pict>
          </mc:Fallback>
        </mc:AlternateContent>
      </w:r>
      <w:r w:rsidRPr="00610A64">
        <w:rPr>
          <w:noProof/>
        </w:rPr>
        <mc:AlternateContent>
          <mc:Choice Requires="wps">
            <w:drawing>
              <wp:anchor distT="0" distB="0" distL="114300" distR="114300" simplePos="0" relativeHeight="254309376" behindDoc="1" locked="0" layoutInCell="1" allowOverlap="1" wp14:anchorId="1B7436DF" wp14:editId="39765D05">
                <wp:simplePos x="0" y="0"/>
                <wp:positionH relativeFrom="column">
                  <wp:posOffset>3983990</wp:posOffset>
                </wp:positionH>
                <wp:positionV relativeFrom="paragraph">
                  <wp:posOffset>2460625</wp:posOffset>
                </wp:positionV>
                <wp:extent cx="0" cy="529590"/>
                <wp:effectExtent l="1905" t="74295" r="20955" b="97155"/>
                <wp:wrapNone/>
                <wp:docPr id="3757" name="Line 287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rot="5400000" flipH="1">
                          <a:off x="0" y="0"/>
                          <a:ext cx="0" cy="529590"/>
                        </a:xfrm>
                        <a:prstGeom prst="line">
                          <a:avLst/>
                        </a:prstGeom>
                        <a:noFill/>
                        <a:ln w="9525">
                          <a:solidFill>
                            <a:srgbClr val="000000"/>
                          </a:solidFill>
                          <a:prstDash val="sysDot"/>
                          <a:round/>
                          <a:headEnd type="arrow" w="sm" len="sm"/>
                          <a:tailEnd type="arrow" w="sm" len="sm"/>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line w14:anchorId="529FB957" id="Line 2878" o:spid="_x0000_s1026" style="position:absolute;left:0;text-align:left;rotation:-90;flip:x;z-index:-2490071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13.7pt,193.75pt" to="313.7pt,235.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">
                <v:stroke dashstyle="1 1" startarrow="open" startarrowwidth="narrow" startarrowlength="short" endarrow="open" endarrowwidth="narrow" endarrowlength="short"/>
              </v:line>
            </w:pict>
          </mc:Fallback>
        </mc:AlternateContent>
      </w:r>
      <w:r w:rsidRPr="00610A64">
        <w:rPr>
          <w:noProof/>
        </w:rPr>
        <mc:AlternateContent>
          <mc:Choice Requires="wps">
            <w:drawing>
              <wp:anchor distT="0" distB="0" distL="114300" distR="114300" simplePos="0" relativeHeight="254308352" behindDoc="1" locked="0" layoutInCell="1" allowOverlap="1" wp14:anchorId="6931B434" wp14:editId="7633BA13">
                <wp:simplePos x="0" y="0"/>
                <wp:positionH relativeFrom="column">
                  <wp:posOffset>3718560</wp:posOffset>
                </wp:positionH>
                <wp:positionV relativeFrom="paragraph">
                  <wp:posOffset>1671955</wp:posOffset>
                </wp:positionV>
                <wp:extent cx="1221105" cy="635000"/>
                <wp:effectExtent l="19050" t="38100" r="55245" b="69850"/>
                <wp:wrapNone/>
                <wp:docPr id="3756" name="Line 287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1221105" cy="635000"/>
                        </a:xfrm>
                        <a:prstGeom prst="line">
                          <a:avLst/>
                        </a:prstGeom>
                        <a:noFill/>
                        <a:ln w="9525">
                          <a:solidFill>
                            <a:srgbClr val="000000"/>
                          </a:solidFill>
                          <a:prstDash val="sysDot"/>
                          <a:round/>
                          <a:headEnd type="arrow" w="sm" len="sm"/>
                          <a:tailEnd type="arrow" w="sm" len="sm"/>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line w14:anchorId="150E6E72" id="Line 2877" o:spid="_x0000_s1026" style="position:absolute;left:0;text-align:left;flip:x;z-index:-2490081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92.8pt,131.65pt" to="388.95pt,181.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">
                <v:stroke dashstyle="1 1" startarrow="open" startarrowwidth="narrow" startarrowlength="short" endarrow="open" endarrowwidth="narrow" endarrowlength="short"/>
              </v:line>
            </w:pict>
          </mc:Fallback>
        </mc:AlternateContent>
      </w:r>
      <w:r w:rsidRPr="00610A64">
        <w:rPr>
          <w:noProof/>
        </w:rPr>
        <mc:AlternateContent>
          <mc:Choice Requires="wps">
            <w:drawing>
              <wp:anchor distT="0" distB="0" distL="114300" distR="114300" simplePos="0" relativeHeight="254307328" behindDoc="1" locked="0" layoutInCell="1" allowOverlap="1" wp14:anchorId="756CCCD7" wp14:editId="4E74E9A2">
                <wp:simplePos x="0" y="0"/>
                <wp:positionH relativeFrom="column">
                  <wp:posOffset>2327275</wp:posOffset>
                </wp:positionH>
                <wp:positionV relativeFrom="paragraph">
                  <wp:posOffset>1500505</wp:posOffset>
                </wp:positionV>
                <wp:extent cx="1482725" cy="0"/>
                <wp:effectExtent l="0" t="0" r="0" b="0"/>
                <wp:wrapNone/>
                <wp:docPr id="214" name="Line 287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482725" cy="0"/>
                        </a:xfrm>
                        <a:prstGeom prst="line">
                          <a:avLst/>
                        </a:prstGeom>
                        <a:noFill/>
                        <a:ln w="9525">
                          <a:solidFill>
                            <a:srgbClr val="000000"/>
                          </a:solidFill>
                          <a:prstDash val="sysDot"/>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line w14:anchorId="115D2ED3" id="Line 2876" o:spid="_x0000_s1026" style="position:absolute;left:0;text-align:left;z-index:-2490091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83.25pt,118.15pt" to="300pt,118.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">
                <v:stroke dashstyle="1 1"/>
              </v:line>
            </w:pict>
          </mc:Fallback>
        </mc:AlternateContent>
      </w:r>
      <w:r w:rsidRPr="00610A64">
        <w:rPr>
          <w:noProof/>
        </w:rPr>
        <mc:AlternateContent>
          <mc:Choice Requires="wps">
            <w:drawing>
              <wp:anchor distT="0" distB="0" distL="114300" distR="114300" simplePos="0" relativeHeight="254306304" behindDoc="1" locked="0" layoutInCell="1" allowOverlap="1" wp14:anchorId="1E105B19" wp14:editId="691B1155">
                <wp:simplePos x="0" y="0"/>
                <wp:positionH relativeFrom="column">
                  <wp:posOffset>2324100</wp:posOffset>
                </wp:positionH>
                <wp:positionV relativeFrom="paragraph">
                  <wp:posOffset>477520</wp:posOffset>
                </wp:positionV>
                <wp:extent cx="1371600" cy="0"/>
                <wp:effectExtent l="0" t="0" r="0" b="0"/>
                <wp:wrapNone/>
                <wp:docPr id="213" name="Line 287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371600" cy="0"/>
                        </a:xfrm>
                        <a:prstGeom prst="line">
                          <a:avLst/>
                        </a:prstGeom>
                        <a:noFill/>
                        <a:ln w="9525">
                          <a:solidFill>
                            <a:srgbClr val="000000"/>
                          </a:solidFill>
                          <a:prstDash val="sysDot"/>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line w14:anchorId="78B65FB1" id="Line 2875" o:spid="_x0000_s1026" style="position:absolute;left:0;text-align:left;z-index:-2490101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83pt,37.6pt" to="291pt,37.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">
                <v:stroke dashstyle="1 1"/>
              </v:line>
            </w:pict>
          </mc:Fallback>
        </mc:AlternateContent>
      </w:r>
      <w:r w:rsidRPr="00610A64">
        <w:rPr>
          <w:noProof/>
        </w:rPr>
        <mc:AlternateContent>
          <mc:Choice Requires="wps">
            <w:drawing>
              <wp:anchor distT="0" distB="0" distL="114300" distR="114300" simplePos="0" relativeHeight="254305280" behindDoc="1" locked="0" layoutInCell="1" allowOverlap="1" wp14:anchorId="23C82968" wp14:editId="6FD8BEC2">
                <wp:simplePos x="0" y="0"/>
                <wp:positionH relativeFrom="column">
                  <wp:posOffset>4250690</wp:posOffset>
                </wp:positionH>
                <wp:positionV relativeFrom="paragraph">
                  <wp:posOffset>2530475</wp:posOffset>
                </wp:positionV>
                <wp:extent cx="1506220" cy="342900"/>
                <wp:effectExtent l="0" t="0" r="17780" b="19050"/>
                <wp:wrapNone/>
                <wp:docPr id="210" name="Text Box 287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06220" cy="342900"/>
                        </a:xfrm>
                        <a:prstGeom prst="rect">
                          <a:avLst/>
                        </a:prstGeom>
                        <a:solidFill>
                          <a:srgbClr val="FFFFFF"/>
                        </a:solidFill>
                        <a:ln w="9525">
                          <a:solidFill>
                            <a:srgbClr val="000000"/>
                          </a:solidFill>
                          <a:miter lim="800000"/>
                          <a:headEnd/>
                          <a:tailEnd/>
                        </a:ln>
                      </wps:spPr>
                      <wps:txbx>
                        <w:txbxContent>
                          <w:p w14:paraId="18B34EEB" w14:textId="77777777" w:rsidR="00610A64" w:rsidRDefault="00610A64" w:rsidP="00610A64">
                            <w:pPr>
                              <w:jc w:val="distribute"/>
                            </w:pPr>
                            <w:r>
                              <w:rPr>
                                <w:rFonts w:hint="eastAsia"/>
                              </w:rPr>
                              <w:t>陸上自衛隊第３師団</w:t>
                            </w:r>
                          </w:p>
                        </w:txbxContent>
                      </wps:txbx>
                      <wps:bodyPr rot="0" vert="horz" wrap="square" lIns="37440" tIns="24120" rIns="41040" bIns="24120" anchor="t" anchorCtr="0" upright="1">
                        <a:noAutofit/>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shape w14:anchorId="23C82968" id="Text Box 2874" o:spid="_x0000_s1804" type="#_x0000_t202" style="position:absolute;left:0;text-align:left;margin-left:334.7pt;margin-top:199.25pt;width:118.6pt;height:27pt;z-index:-2490112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">
                <v:textbox inset="1.04mm,.67mm,1.14mm,.67mm">
                  <w:txbxContent>
                    <w:p w14:paraId="18B34EEB" w14:textId="77777777" w:rsidR="00610A64" w:rsidRDefault="00610A64" w:rsidP="00610A64">
                      <w:pPr>
                        <w:jc w:val="distribute"/>
                      </w:pPr>
                      <w:r>
                        <w:rPr>
                          <w:rFonts w:hint="eastAsia"/>
                        </w:rPr>
                        <w:t>陸上自衛隊第３師団</w:t>
                      </w:r>
                    </w:p>
                  </w:txbxContent>
                </v:textbox>
              </v:shape>
            </w:pict>
          </mc:Fallback>
        </mc:AlternateContent>
      </w:r>
      <w:r w:rsidRPr="00610A64">
        <w:rPr>
          <w:noProof/>
        </w:rPr>
        <mc:AlternateContent>
          <mc:Choice Requires="wps">
            <w:drawing>
              <wp:anchor distT="0" distB="0" distL="114300" distR="114300" simplePos="0" relativeHeight="254304256" behindDoc="1" locked="0" layoutInCell="1" allowOverlap="1" wp14:anchorId="0DE8E2EE" wp14:editId="65FB2C20">
                <wp:simplePos x="0" y="0"/>
                <wp:positionH relativeFrom="column">
                  <wp:posOffset>4248150</wp:posOffset>
                </wp:positionH>
                <wp:positionV relativeFrom="paragraph">
                  <wp:posOffset>1344295</wp:posOffset>
                </wp:positionV>
                <wp:extent cx="1440180" cy="272415"/>
                <wp:effectExtent l="0" t="0" r="26670" b="13335"/>
                <wp:wrapNone/>
                <wp:docPr id="175" name="Text Box 287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40180" cy="272415"/>
                        </a:xfrm>
                        <a:prstGeom prst="rect">
                          <a:avLst/>
                        </a:prstGeom>
                        <a:solidFill>
                          <a:srgbClr val="FFFFFF"/>
                        </a:solidFill>
                        <a:ln w="9525">
                          <a:solidFill>
                            <a:srgbClr val="000000"/>
                          </a:solidFill>
                          <a:miter lim="800000"/>
                          <a:headEnd/>
                          <a:tailEnd/>
                        </a:ln>
                      </wps:spPr>
                      <wps:txbx>
                        <w:txbxContent>
                          <w:p w14:paraId="6357EED4" w14:textId="77777777" w:rsidR="00610A64" w:rsidRDefault="00610A64" w:rsidP="00610A64">
                            <w:pPr>
                              <w:jc w:val="distribute"/>
                            </w:pPr>
                            <w:r>
                              <w:rPr>
                                <w:rFonts w:hint="eastAsia"/>
                              </w:rPr>
                              <w:t>大阪府警察本部</w:t>
                            </w:r>
                          </w:p>
                        </w:txbxContent>
                      </wps:txbx>
                      <wps:bodyPr rot="0" vert="horz" wrap="square" lIns="37440" tIns="24120" rIns="41040" bIns="24120" anchor="t" anchorCtr="0" upright="1">
                        <a:noAutofit/>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shape w14:anchorId="0DE8E2EE" id="Text Box 2873" o:spid="_x0000_s1805" type="#_x0000_t202" style="position:absolute;left:0;text-align:left;margin-left:334.5pt;margin-top:105.85pt;width:113.4pt;height:21.45pt;z-index:-2490122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">
                <v:textbox inset="1.04mm,.67mm,1.14mm,.67mm">
                  <w:txbxContent>
                    <w:p w14:paraId="6357EED4" w14:textId="77777777" w:rsidR="00610A64" w:rsidRDefault="00610A64" w:rsidP="00610A64">
                      <w:pPr>
                        <w:jc w:val="distribute"/>
                      </w:pPr>
                      <w:r>
                        <w:rPr>
                          <w:rFonts w:hint="eastAsia"/>
                        </w:rPr>
                        <w:t>大阪府警察本部</w:t>
                      </w:r>
                    </w:p>
                  </w:txbxContent>
                </v:textbox>
              </v:shape>
            </w:pict>
          </mc:Fallback>
        </mc:AlternateContent>
      </w:r>
      <w:r w:rsidRPr="00610A64">
        <w:rPr>
          <w:noProof/>
        </w:rPr>
        <mc:AlternateContent>
          <mc:Choice Requires="wps">
            <w:drawing>
              <wp:anchor distT="0" distB="0" distL="114300" distR="114300" simplePos="0" relativeHeight="254303232" behindDoc="1" locked="0" layoutInCell="1" allowOverlap="1" wp14:anchorId="73B50637" wp14:editId="1E31579F">
                <wp:simplePos x="0" y="0"/>
                <wp:positionH relativeFrom="column">
                  <wp:posOffset>2844800</wp:posOffset>
                </wp:positionH>
                <wp:positionV relativeFrom="paragraph">
                  <wp:posOffset>1979930</wp:posOffset>
                </wp:positionV>
                <wp:extent cx="398145" cy="635"/>
                <wp:effectExtent l="46355" t="29845" r="86360" b="67310"/>
                <wp:wrapNone/>
                <wp:docPr id="165" name="Line 287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rot="16200000" flipH="1">
                          <a:off x="0" y="0"/>
                          <a:ext cx="398145" cy="635"/>
                        </a:xfrm>
                        <a:prstGeom prst="line">
                          <a:avLst/>
                        </a:prstGeom>
                        <a:noFill/>
                        <a:ln w="9525">
                          <a:solidFill>
                            <a:srgbClr val="000000"/>
                          </a:solidFill>
                          <a:round/>
                          <a:headEnd type="arrow" w="sm" len="sm"/>
                          <a:tailEnd type="arrow" w="sm" len="sm"/>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line w14:anchorId="793D72A3" id="Line 2872" o:spid="_x0000_s1026" style="position:absolute;left:0;text-align:left;rotation:90;flip:x;z-index:-2490132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24pt,155.9pt" to="255.35pt,155.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">
                <v:stroke startarrow="open" startarrowwidth="narrow" startarrowlength="short" endarrow="open" endarrowwidth="narrow" endarrowlength="short"/>
              </v:line>
            </w:pict>
          </mc:Fallback>
        </mc:AlternateContent>
      </w:r>
      <w:r w:rsidRPr="00610A64">
        <w:rPr>
          <w:noProof/>
        </w:rPr>
        <mc:AlternateContent>
          <mc:Choice Requires="wps">
            <w:drawing>
              <wp:anchor distT="0" distB="0" distL="114300" distR="114300" simplePos="0" relativeHeight="254302208" behindDoc="1" locked="0" layoutInCell="1" allowOverlap="1" wp14:anchorId="74A09924" wp14:editId="2DE3FB6D">
                <wp:simplePos x="0" y="0"/>
                <wp:positionH relativeFrom="column">
                  <wp:posOffset>2854960</wp:posOffset>
                </wp:positionH>
                <wp:positionV relativeFrom="paragraph">
                  <wp:posOffset>1101725</wp:posOffset>
                </wp:positionV>
                <wp:extent cx="321945" cy="0"/>
                <wp:effectExtent l="65723" t="0" r="86677" b="67628"/>
                <wp:wrapNone/>
                <wp:docPr id="160" name="Line 287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rot="16200000" flipH="1">
                          <a:off x="0" y="0"/>
                          <a:ext cx="321945" cy="0"/>
                        </a:xfrm>
                        <a:prstGeom prst="line">
                          <a:avLst/>
                        </a:prstGeom>
                        <a:noFill/>
                        <a:ln w="9525">
                          <a:solidFill>
                            <a:srgbClr val="000000"/>
                          </a:solidFill>
                          <a:round/>
                          <a:headEnd/>
                          <a:tailEnd type="arrow" w="sm" len="sm"/>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line w14:anchorId="1A5108FE" id="Line 2871" o:spid="_x0000_s1026" style="position:absolute;left:0;text-align:left;rotation:90;flip:x;z-index:-2490142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24.8pt,86.75pt" to="250.15pt,86.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">
                <v:stroke endarrow="open" endarrowwidth="narrow" endarrowlength="short"/>
              </v:line>
            </w:pict>
          </mc:Fallback>
        </mc:AlternateContent>
      </w:r>
      <w:r w:rsidRPr="00610A64">
        <w:rPr>
          <w:noProof/>
        </w:rPr>
        <mc:AlternateContent>
          <mc:Choice Requires="wps">
            <w:drawing>
              <wp:anchor distT="0" distB="0" distL="114300" distR="114300" simplePos="0" relativeHeight="254301184" behindDoc="1" locked="0" layoutInCell="1" allowOverlap="1" wp14:anchorId="66EE2C5E" wp14:editId="5FAA935B">
                <wp:simplePos x="0" y="0"/>
                <wp:positionH relativeFrom="column">
                  <wp:posOffset>4248150</wp:posOffset>
                </wp:positionH>
                <wp:positionV relativeFrom="paragraph">
                  <wp:posOffset>666115</wp:posOffset>
                </wp:positionV>
                <wp:extent cx="1440180" cy="272415"/>
                <wp:effectExtent l="0" t="0" r="26670" b="13335"/>
                <wp:wrapNone/>
                <wp:docPr id="110" name="Text Box 287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40180" cy="272415"/>
                        </a:xfrm>
                        <a:prstGeom prst="rect">
                          <a:avLst/>
                        </a:prstGeom>
                        <a:solidFill>
                          <a:srgbClr val="FFFFFF"/>
                        </a:solidFill>
                        <a:ln w="9525">
                          <a:solidFill>
                            <a:srgbClr val="000000"/>
                          </a:solidFill>
                          <a:miter lim="800000"/>
                          <a:headEnd/>
                          <a:tailEnd/>
                        </a:ln>
                      </wps:spPr>
                      <wps:txbx>
                        <w:txbxContent>
                          <w:p w14:paraId="4D90C5BF" w14:textId="77777777" w:rsidR="00610A64" w:rsidRDefault="00610A64" w:rsidP="00610A64">
                            <w:pPr>
                              <w:jc w:val="distribute"/>
                            </w:pPr>
                            <w:r>
                              <w:rPr>
                                <w:rFonts w:hint="eastAsia"/>
                              </w:rPr>
                              <w:t>警察署</w:t>
                            </w:r>
                          </w:p>
                        </w:txbxContent>
                      </wps:txbx>
                      <wps:bodyPr rot="0" vert="horz" wrap="square" lIns="37440" tIns="24120" rIns="41040" bIns="24120" anchor="t" anchorCtr="0" upright="1">
                        <a:noAutofit/>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shape w14:anchorId="66EE2C5E" id="Text Box 2870" o:spid="_x0000_s1806" type="#_x0000_t202" style="position:absolute;left:0;text-align:left;margin-left:334.5pt;margin-top:52.45pt;width:113.4pt;height:21.45pt;z-index:-2490152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">
                <v:textbox inset="1.04mm,.67mm,1.14mm,.67mm">
                  <w:txbxContent>
                    <w:p w14:paraId="4D90C5BF" w14:textId="77777777" w:rsidR="00610A64" w:rsidRDefault="00610A64" w:rsidP="00610A64">
                      <w:pPr>
                        <w:jc w:val="distribute"/>
                      </w:pPr>
                      <w:r>
                        <w:rPr>
                          <w:rFonts w:hint="eastAsia"/>
                        </w:rPr>
                        <w:t>警察署</w:t>
                      </w:r>
                    </w:p>
                  </w:txbxContent>
                </v:textbox>
              </v:shape>
            </w:pict>
          </mc:Fallback>
        </mc:AlternateContent>
      </w:r>
      <w:r w:rsidRPr="00610A64">
        <w:rPr>
          <w:noProof/>
        </w:rPr>
        <mc:AlternateContent>
          <mc:Choice Requires="wps">
            <w:drawing>
              <wp:anchor distT="0" distB="0" distL="114300" distR="114300" simplePos="0" relativeHeight="254300160" behindDoc="1" locked="0" layoutInCell="1" allowOverlap="1" wp14:anchorId="51FCCCD8" wp14:editId="476A9A34">
                <wp:simplePos x="0" y="0"/>
                <wp:positionH relativeFrom="column">
                  <wp:posOffset>2324100</wp:posOffset>
                </wp:positionH>
                <wp:positionV relativeFrom="paragraph">
                  <wp:posOffset>1271905</wp:posOffset>
                </wp:positionV>
                <wp:extent cx="1485900" cy="461010"/>
                <wp:effectExtent l="0" t="0" r="19050" b="15240"/>
                <wp:wrapNone/>
                <wp:docPr id="80" name="Text Box 286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85900" cy="461010"/>
                        </a:xfrm>
                        <a:prstGeom prst="rect">
                          <a:avLst/>
                        </a:prstGeom>
                        <a:solidFill>
                          <a:srgbClr val="FFFFFF"/>
                        </a:solidFill>
                        <a:ln w="9525">
                          <a:solidFill>
                            <a:srgbClr val="000000"/>
                          </a:solidFill>
                          <a:miter lim="800000"/>
                          <a:headEnd/>
                          <a:tailEnd/>
                        </a:ln>
                      </wps:spPr>
                      <wps:txbx>
                        <w:txbxContent>
                          <w:p w14:paraId="48201615" w14:textId="77777777" w:rsidR="00610A64" w:rsidRDefault="00610A64" w:rsidP="00610A64">
                            <w:pPr>
                              <w:spacing w:line="300" w:lineRule="atLeast"/>
                              <w:jc w:val="distribute"/>
                            </w:pPr>
                            <w:r>
                              <w:rPr>
                                <w:rFonts w:hint="eastAsia"/>
                              </w:rPr>
                              <w:t>市町村</w:t>
                            </w:r>
                          </w:p>
                          <w:p w14:paraId="11FC01F8" w14:textId="77777777" w:rsidR="00610A64" w:rsidRDefault="00610A64" w:rsidP="00610A64">
                            <w:pPr>
                              <w:spacing w:line="300" w:lineRule="atLeast"/>
                              <w:jc w:val="distribute"/>
                            </w:pPr>
                            <w:r>
                              <w:rPr>
                                <w:rFonts w:hint="eastAsia"/>
                              </w:rPr>
                              <w:t>消防本部</w:t>
                            </w:r>
                          </w:p>
                        </w:txbxContent>
                      </wps:txbx>
                      <wps:bodyPr rot="0" vert="horz" wrap="square" lIns="37440" tIns="24120" rIns="41040" bIns="24120" anchor="t" anchorCtr="0" upright="1">
                        <a:noAutofit/>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shape w14:anchorId="51FCCCD8" id="Text Box 2869" o:spid="_x0000_s1807" type="#_x0000_t202" style="position:absolute;left:0;text-align:left;margin-left:183pt;margin-top:100.15pt;width:117pt;height:36.3pt;z-index:-2490163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">
                <v:textbox inset="1.04mm,.67mm,1.14mm,.67mm">
                  <w:txbxContent>
                    <w:p w14:paraId="48201615" w14:textId="77777777" w:rsidR="00610A64" w:rsidRDefault="00610A64" w:rsidP="00610A64">
                      <w:pPr>
                        <w:spacing w:line="300" w:lineRule="atLeast"/>
                        <w:jc w:val="distribute"/>
                      </w:pPr>
                      <w:r>
                        <w:rPr>
                          <w:rFonts w:hint="eastAsia"/>
                        </w:rPr>
                        <w:t>市町村</w:t>
                      </w:r>
                    </w:p>
                    <w:p w14:paraId="11FC01F8" w14:textId="77777777" w:rsidR="00610A64" w:rsidRDefault="00610A64" w:rsidP="00610A64">
                      <w:pPr>
                        <w:spacing w:line="300" w:lineRule="atLeast"/>
                        <w:jc w:val="distribute"/>
                      </w:pPr>
                      <w:r>
                        <w:rPr>
                          <w:rFonts w:hint="eastAsia"/>
                        </w:rPr>
                        <w:t>消防本部</w:t>
                      </w:r>
                    </w:p>
                  </w:txbxContent>
                </v:textbox>
              </v:shape>
            </w:pict>
          </mc:Fallback>
        </mc:AlternateContent>
      </w:r>
      <w:r w:rsidRPr="00610A64">
        <w:rPr>
          <w:noProof/>
        </w:rPr>
        <mc:AlternateContent>
          <mc:Choice Requires="wps">
            <w:drawing>
              <wp:anchor distT="0" distB="0" distL="114300" distR="114300" simplePos="0" relativeHeight="254299136" behindDoc="1" locked="0" layoutInCell="1" allowOverlap="1" wp14:anchorId="76BE1379" wp14:editId="68029DBF">
                <wp:simplePos x="0" y="0"/>
                <wp:positionH relativeFrom="column">
                  <wp:posOffset>763905</wp:posOffset>
                </wp:positionH>
                <wp:positionV relativeFrom="paragraph">
                  <wp:posOffset>1271905</wp:posOffset>
                </wp:positionV>
                <wp:extent cx="1080135" cy="272415"/>
                <wp:effectExtent l="0" t="0" r="24765" b="13335"/>
                <wp:wrapNone/>
                <wp:docPr id="79" name="Text Box 286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80135" cy="272415"/>
                        </a:xfrm>
                        <a:prstGeom prst="rect">
                          <a:avLst/>
                        </a:prstGeom>
                        <a:solidFill>
                          <a:srgbClr val="FFFFFF"/>
                        </a:solidFill>
                        <a:ln w="9525">
                          <a:solidFill>
                            <a:srgbClr val="000000"/>
                          </a:solidFill>
                          <a:miter lim="800000"/>
                          <a:headEnd/>
                          <a:tailEnd/>
                        </a:ln>
                      </wps:spPr>
                      <wps:txbx>
                        <w:txbxContent>
                          <w:p w14:paraId="462E845A" w14:textId="77777777" w:rsidR="00610A64" w:rsidRDefault="00610A64" w:rsidP="00610A64">
                            <w:pPr>
                              <w:jc w:val="distribute"/>
                            </w:pPr>
                            <w:r>
                              <w:rPr>
                                <w:rFonts w:hint="eastAsia"/>
                              </w:rPr>
                              <w:t>隣接市町村</w:t>
                            </w:r>
                          </w:p>
                        </w:txbxContent>
                      </wps:txbx>
                      <wps:bodyPr rot="0" vert="horz" wrap="square" lIns="37440" tIns="24120" rIns="41040" bIns="24120" anchor="t" anchorCtr="0" upright="1">
                        <a:noAutofit/>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shape w14:anchorId="76BE1379" id="Text Box 2868" o:spid="_x0000_s1808" type="#_x0000_t202" style="position:absolute;left:0;text-align:left;margin-left:60.15pt;margin-top:100.15pt;width:85.05pt;height:21.45pt;z-index:-2490173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">
                <v:textbox inset="1.04mm,.67mm,1.14mm,.67mm">
                  <w:txbxContent>
                    <w:p w14:paraId="462E845A" w14:textId="77777777" w:rsidR="00610A64" w:rsidRDefault="00610A64" w:rsidP="00610A64">
                      <w:pPr>
                        <w:jc w:val="distribute"/>
                      </w:pPr>
                      <w:r>
                        <w:rPr>
                          <w:rFonts w:hint="eastAsia"/>
                        </w:rPr>
                        <w:t>隣接市町村</w:t>
                      </w:r>
                    </w:p>
                  </w:txbxContent>
                </v:textbox>
              </v:shape>
            </w:pict>
          </mc:Fallback>
        </mc:AlternateContent>
      </w:r>
      <w:r w:rsidRPr="00610A64">
        <w:rPr>
          <w:noProof/>
        </w:rPr>
        <mc:AlternateContent>
          <mc:Choice Requires="wps">
            <w:drawing>
              <wp:anchor distT="0" distB="0" distL="114300" distR="114300" simplePos="0" relativeHeight="254298112" behindDoc="1" locked="0" layoutInCell="1" allowOverlap="1" wp14:anchorId="7119C97D" wp14:editId="25848582">
                <wp:simplePos x="0" y="0"/>
                <wp:positionH relativeFrom="column">
                  <wp:posOffset>3710940</wp:posOffset>
                </wp:positionH>
                <wp:positionV relativeFrom="paragraph">
                  <wp:posOffset>835025</wp:posOffset>
                </wp:positionV>
                <wp:extent cx="529590" cy="0"/>
                <wp:effectExtent l="0" t="76200" r="22860" b="95250"/>
                <wp:wrapNone/>
                <wp:docPr id="2815" name="Line 286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rot="10800000" flipH="1">
                          <a:off x="0" y="0"/>
                          <a:ext cx="529590" cy="0"/>
                        </a:xfrm>
                        <a:prstGeom prst="line">
                          <a:avLst/>
                        </a:prstGeom>
                        <a:noFill/>
                        <a:ln w="9525">
                          <a:solidFill>
                            <a:srgbClr val="000000"/>
                          </a:solidFill>
                          <a:round/>
                          <a:headEnd/>
                          <a:tailEnd type="arrow" w="sm" len="sm"/>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line w14:anchorId="5700C064" id="Line 2867" o:spid="_x0000_s1026" style="position:absolute;left:0;text-align:left;rotation:180;flip:x;z-index:-2490183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92.2pt,65.75pt" to="333.9pt,65.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">
                <v:stroke endarrow="open" endarrowwidth="narrow" endarrowlength="short"/>
              </v:line>
            </w:pict>
          </mc:Fallback>
        </mc:AlternateContent>
      </w:r>
      <w:r w:rsidRPr="00610A64">
        <w:rPr>
          <w:noProof/>
        </w:rPr>
        <mc:AlternateContent>
          <mc:Choice Requires="wps">
            <w:drawing>
              <wp:anchor distT="0" distB="0" distL="114300" distR="114300" simplePos="0" relativeHeight="254297088" behindDoc="1" locked="0" layoutInCell="1" allowOverlap="1" wp14:anchorId="3D6E92AA" wp14:editId="5FB107C9">
                <wp:simplePos x="0" y="0"/>
                <wp:positionH relativeFrom="column">
                  <wp:posOffset>2087880</wp:posOffset>
                </wp:positionH>
                <wp:positionV relativeFrom="paragraph">
                  <wp:posOffset>944245</wp:posOffset>
                </wp:positionV>
                <wp:extent cx="685800" cy="321945"/>
                <wp:effectExtent l="0" t="0" r="19050" b="20955"/>
                <wp:wrapNone/>
                <wp:docPr id="2802" name="Line 286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685800" cy="321945"/>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line w14:anchorId="3C10D0CB" id="Line 2866" o:spid="_x0000_s1026" style="position:absolute;left:0;text-align:left;flip:x;z-index:-2490193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64.4pt,74.35pt" to="218.4pt,99.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"/>
            </w:pict>
          </mc:Fallback>
        </mc:AlternateContent>
      </w:r>
      <w:r w:rsidRPr="00610A64">
        <w:rPr>
          <w:noProof/>
        </w:rPr>
        <mc:AlternateContent>
          <mc:Choice Requires="wps">
            <w:drawing>
              <wp:anchor distT="0" distB="0" distL="114300" distR="114300" simplePos="0" relativeHeight="254296064" behindDoc="1" locked="0" layoutInCell="1" allowOverlap="1" wp14:anchorId="59FC975D" wp14:editId="42F22CE4">
                <wp:simplePos x="0" y="0"/>
                <wp:positionH relativeFrom="column">
                  <wp:posOffset>2324100</wp:posOffset>
                </wp:positionH>
                <wp:positionV relativeFrom="paragraph">
                  <wp:posOffset>210185</wp:posOffset>
                </wp:positionV>
                <wp:extent cx="1371600" cy="735965"/>
                <wp:effectExtent l="0" t="0" r="19050" b="26035"/>
                <wp:wrapNone/>
                <wp:docPr id="2801" name="Text Box 286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71600" cy="735965"/>
                        </a:xfrm>
                        <a:prstGeom prst="rect">
                          <a:avLst/>
                        </a:prstGeom>
                        <a:solidFill>
                          <a:srgbClr val="FFFFFF"/>
                        </a:solidFill>
                        <a:ln w="9525">
                          <a:solidFill>
                            <a:srgbClr val="000000"/>
                          </a:solidFill>
                          <a:miter lim="800000"/>
                          <a:headEnd/>
                          <a:tailEnd/>
                        </a:ln>
                      </wps:spPr>
                      <wps:txbx>
                        <w:txbxContent>
                          <w:p w14:paraId="2B287923" w14:textId="77777777" w:rsidR="00610A64" w:rsidRDefault="00610A64" w:rsidP="00610A64">
                            <w:pPr>
                              <w:jc w:val="distribute"/>
                            </w:pPr>
                            <w:r>
                              <w:rPr>
                                <w:rFonts w:hint="eastAsia"/>
                              </w:rPr>
                              <w:t>発見者</w:t>
                            </w:r>
                          </w:p>
                          <w:p w14:paraId="4ABBF1D4" w14:textId="77777777" w:rsidR="00610A64" w:rsidRDefault="00610A64" w:rsidP="00610A64">
                            <w:pPr>
                              <w:jc w:val="distribute"/>
                            </w:pPr>
                            <w:r>
                              <w:rPr>
                                <w:rFonts w:hint="eastAsia"/>
                              </w:rPr>
                              <w:t>火薬類製造事業者</w:t>
                            </w:r>
                          </w:p>
                          <w:p w14:paraId="2739421C" w14:textId="77777777" w:rsidR="00610A64" w:rsidRDefault="00610A64" w:rsidP="00610A64">
                            <w:pPr>
                              <w:jc w:val="distribute"/>
                              <w:rPr>
                                <w:w w:val="80"/>
                              </w:rPr>
                            </w:pPr>
                            <w:r>
                              <w:rPr>
                                <w:rFonts w:hint="eastAsia"/>
                                <w:w w:val="80"/>
                              </w:rPr>
                              <w:t>火薬類貯蔵施設管理者　等</w:t>
                            </w:r>
                          </w:p>
                        </w:txbxContent>
                      </wps:txbx>
                      <wps:bodyPr rot="0" vert="horz" wrap="square" lIns="37440" tIns="24120" rIns="41040" bIns="24120" anchor="t" anchorCtr="0" upright="1">
                        <a:noAutofit/>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shape w14:anchorId="59FC975D" id="Text Box 2865" o:spid="_x0000_s1809" type="#_x0000_t202" style="position:absolute;left:0;text-align:left;margin-left:183pt;margin-top:16.55pt;width:108pt;height:57.95pt;z-index:-2490204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">
                <v:textbox inset="1.04mm,.67mm,1.14mm,.67mm">
                  <w:txbxContent>
                    <w:p w14:paraId="2B287923" w14:textId="77777777" w:rsidR="00610A64" w:rsidRDefault="00610A64" w:rsidP="00610A64">
                      <w:pPr>
                        <w:jc w:val="distribute"/>
                      </w:pPr>
                      <w:r>
                        <w:rPr>
                          <w:rFonts w:hint="eastAsia"/>
                        </w:rPr>
                        <w:t>発見者</w:t>
                      </w:r>
                    </w:p>
                    <w:p w14:paraId="4ABBF1D4" w14:textId="77777777" w:rsidR="00610A64" w:rsidRDefault="00610A64" w:rsidP="00610A64">
                      <w:pPr>
                        <w:jc w:val="distribute"/>
                      </w:pPr>
                      <w:r>
                        <w:rPr>
                          <w:rFonts w:hint="eastAsia"/>
                        </w:rPr>
                        <w:t>火薬類製造事業者</w:t>
                      </w:r>
                    </w:p>
                    <w:p w14:paraId="2739421C" w14:textId="77777777" w:rsidR="00610A64" w:rsidRDefault="00610A64" w:rsidP="00610A64">
                      <w:pPr>
                        <w:jc w:val="distribute"/>
                        <w:rPr>
                          <w:w w:val="80"/>
                        </w:rPr>
                      </w:pPr>
                      <w:r>
                        <w:rPr>
                          <w:rFonts w:hint="eastAsia"/>
                          <w:w w:val="80"/>
                        </w:rPr>
                        <w:t>火薬類貯蔵施設管理者　等</w:t>
                      </w:r>
                    </w:p>
                  </w:txbxContent>
                </v:textbox>
              </v:shape>
            </w:pict>
          </mc:Fallback>
        </mc:AlternateContent>
      </w:r>
      <w:r w:rsidR="008B4B2B" w:rsidRPr="001D6D10">
        <w:rPr>
          <w:rFonts w:hint="eastAsia"/>
        </w:rPr>
        <w:t>別図〔連絡系統図〕</w:t>
      </w:r>
    </w:p>
    <w:p w14:paraId="4AAAA15E" w14:textId="7F143567" w:rsidR="00610A64" w:rsidRDefault="00610A64">
      <w:pPr>
        <w:widowControl/>
        <w:jc w:val="left"/>
        <w:rPr>
          <w:rFonts w:ascii="ＭＳ 明朝" w:hAnsi="Courier New" w:cs="Courier New"/>
          <w:szCs w:val="21"/>
        </w:rPr>
      </w:pPr>
      <w:r>
        <w:br w:type="page"/>
      </w:r>
    </w:p>
    <w:p w14:paraId="694208EC" w14:textId="338B6561" w:rsidR="008B4B2B" w:rsidRPr="00033310" w:rsidRDefault="008B4B2B" w:rsidP="00E0548A">
      <w:pPr>
        <w:pStyle w:val="3"/>
        <w:ind w:firstLine="442"/>
      </w:pPr>
      <w:bookmarkStart w:id="442" w:name="_Toc122436983"/>
      <w:bookmarkStart w:id="443" w:name="_Toc222433314"/>
      <w:bookmarkStart w:id="444" w:name="_Toc222486682"/>
      <w:bookmarkStart w:id="445" w:name="_Toc242870352"/>
      <w:r w:rsidRPr="00610BB0">
        <w:rPr>
          <w:rFonts w:hint="eastAsia"/>
        </w:rPr>
        <w:lastRenderedPageBreak/>
        <w:t>第４　毒物劇物災害応急対策（薬務課）</w:t>
      </w:r>
      <w:bookmarkEnd w:id="442"/>
      <w:bookmarkEnd w:id="443"/>
      <w:bookmarkEnd w:id="444"/>
      <w:bookmarkEnd w:id="445"/>
    </w:p>
    <w:p w14:paraId="255D426B" w14:textId="1739ADC9" w:rsidR="008B4B2B" w:rsidRPr="001D6D10" w:rsidRDefault="008B4B2B" w:rsidP="008B4B2B">
      <w:pPr>
        <w:pStyle w:val="a0"/>
        <w:ind w:leftChars="211" w:left="887" w:hangingChars="200" w:hanging="442"/>
        <w:rPr>
          <w:rFonts w:hAnsi="ＭＳ 明朝"/>
          <w:bCs/>
          <w:sz w:val="22"/>
          <w:szCs w:val="22"/>
        </w:rPr>
      </w:pPr>
      <w:r w:rsidRPr="001D6D10">
        <w:rPr>
          <w:rFonts w:hAnsi="ＭＳ 明朝" w:hint="eastAsia"/>
          <w:bCs/>
          <w:sz w:val="22"/>
          <w:szCs w:val="22"/>
        </w:rPr>
        <w:t xml:space="preserve">　１　毒物劇物施設が、災害により被害を受け、毒物劇物が飛散漏洩又は地下に浸透し、保健衛生上危害が発生し、又は、そのおそれがある際は、施設等の管理責任者に対し、危害を防止するための除毒等の応急措置を講ずるよう指示する。</w:t>
      </w:r>
    </w:p>
    <w:p w14:paraId="05C9BFF1" w14:textId="4211ABF7" w:rsidR="008B4B2B" w:rsidRPr="001D6D10" w:rsidRDefault="008B4B2B" w:rsidP="008B4B2B">
      <w:pPr>
        <w:pStyle w:val="a0"/>
        <w:ind w:left="884" w:hangingChars="400" w:hanging="884"/>
      </w:pPr>
      <w:r w:rsidRPr="001D6D10">
        <w:rPr>
          <w:rFonts w:hAnsi="ＭＳ 明朝" w:hint="eastAsia"/>
          <w:bCs/>
          <w:sz w:val="22"/>
          <w:szCs w:val="22"/>
        </w:rPr>
        <w:t xml:space="preserve">　　　２　関係機関との連携を密にし、毒物・劇物に係る災害情報の収集、伝達に努め、住民等の避難や広報等の必要な措置を行う。</w:t>
      </w:r>
    </w:p>
    <w:p w14:paraId="27D53574" w14:textId="721AAEA1" w:rsidR="008B4B2B" w:rsidRPr="001D6D10" w:rsidRDefault="008B4B2B" w:rsidP="008B4B2B">
      <w:pPr>
        <w:spacing w:line="220" w:lineRule="exact"/>
      </w:pPr>
      <w:r w:rsidRPr="001D6D10">
        <w:rPr>
          <w:noProof/>
          <w:sz w:val="20"/>
        </w:rPr>
        <mc:AlternateContent>
          <mc:Choice Requires="wps">
            <w:drawing>
              <wp:anchor distT="0" distB="0" distL="114300" distR="114300" simplePos="0" relativeHeight="253603840" behindDoc="0" locked="0" layoutInCell="1" allowOverlap="1" wp14:anchorId="1D0775E8" wp14:editId="11C1C49C">
                <wp:simplePos x="0" y="0"/>
                <wp:positionH relativeFrom="column">
                  <wp:posOffset>600075</wp:posOffset>
                </wp:positionH>
                <wp:positionV relativeFrom="paragraph">
                  <wp:posOffset>1306195</wp:posOffset>
                </wp:positionV>
                <wp:extent cx="0" cy="1543685"/>
                <wp:effectExtent l="66675" t="20320" r="66675" b="7620"/>
                <wp:wrapNone/>
                <wp:docPr id="3601" name="Line 292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rot="10800000" flipH="1">
                          <a:off x="0" y="0"/>
                          <a:ext cx="0" cy="1543685"/>
                        </a:xfrm>
                        <a:prstGeom prst="line">
                          <a:avLst/>
                        </a:prstGeom>
                        <a:noFill/>
                        <a:ln w="9525">
                          <a:solidFill>
                            <a:srgbClr val="000000"/>
                          </a:solidFill>
                          <a:prstDash val="sysDot"/>
                          <a:round/>
                          <a:headEnd/>
                          <a:tailEnd type="arrow" w="sm" len="sm"/>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line w14:anchorId="0E287A98" id="Line 2920" o:spid="_x0000_s1026" style="position:absolute;rotation:180;flip:x;z-index:2536038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7.25pt,102.85pt" to="47.25pt,224.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">
                <v:stroke dashstyle="1 1" endarrow="open" endarrowwidth="narrow" endarrowlength="short"/>
              </v:line>
            </w:pict>
          </mc:Fallback>
        </mc:AlternateContent>
      </w:r>
      <w:r w:rsidRPr="001D6D10">
        <w:rPr>
          <w:noProof/>
          <w:sz w:val="20"/>
        </w:rPr>
        <mc:AlternateContent>
          <mc:Choice Requires="wps">
            <w:drawing>
              <wp:anchor distT="0" distB="0" distL="114300" distR="114300" simplePos="0" relativeHeight="253599744" behindDoc="0" locked="0" layoutInCell="1" allowOverlap="1" wp14:anchorId="21E01306" wp14:editId="71E95520">
                <wp:simplePos x="0" y="0"/>
                <wp:positionH relativeFrom="column">
                  <wp:posOffset>600075</wp:posOffset>
                </wp:positionH>
                <wp:positionV relativeFrom="paragraph">
                  <wp:posOffset>2849880</wp:posOffset>
                </wp:positionV>
                <wp:extent cx="1560195" cy="0"/>
                <wp:effectExtent l="9525" t="59055" r="20955" b="64770"/>
                <wp:wrapNone/>
                <wp:docPr id="3600" name="Line 291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rot="10800000" flipH="1" flipV="1">
                          <a:off x="0" y="0"/>
                          <a:ext cx="1560195" cy="0"/>
                        </a:xfrm>
                        <a:prstGeom prst="line">
                          <a:avLst/>
                        </a:prstGeom>
                        <a:noFill/>
                        <a:ln w="9525">
                          <a:solidFill>
                            <a:srgbClr val="000000"/>
                          </a:solidFill>
                          <a:prstDash val="sysDot"/>
                          <a:round/>
                          <a:headEnd/>
                          <a:tailEnd type="arrow" w="sm" len="sm"/>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line w14:anchorId="2ABADA51" id="Line 2916" o:spid="_x0000_s1026" style="position:absolute;left:0;text-align:left;rotation:180;flip:x y;z-index:253599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7.25pt,224.4pt" to="170.1pt,224.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">
                <v:stroke dashstyle="1 1" endarrow="open" endarrowwidth="narrow" endarrowlength="short"/>
              </v:line>
            </w:pict>
          </mc:Fallback>
        </mc:AlternateContent>
      </w:r>
      <w:r w:rsidRPr="001D6D10">
        <w:rPr>
          <w:noProof/>
          <w:sz w:val="20"/>
        </w:rPr>
        <mc:AlternateContent>
          <mc:Choice Requires="wps">
            <w:drawing>
              <wp:anchor distT="0" distB="0" distL="114300" distR="114300" simplePos="0" relativeHeight="253588480" behindDoc="0" locked="0" layoutInCell="1" allowOverlap="1" wp14:anchorId="2C8547DF" wp14:editId="1F73ACC1">
                <wp:simplePos x="0" y="0"/>
                <wp:positionH relativeFrom="column">
                  <wp:posOffset>2921000</wp:posOffset>
                </wp:positionH>
                <wp:positionV relativeFrom="paragraph">
                  <wp:posOffset>2560320</wp:posOffset>
                </wp:positionV>
                <wp:extent cx="398145" cy="0"/>
                <wp:effectExtent l="62865" t="17780" r="60960" b="22225"/>
                <wp:wrapNone/>
                <wp:docPr id="3599" name="Line 290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rot="16200000" flipH="1">
                          <a:off x="0" y="0"/>
                          <a:ext cx="398145" cy="0"/>
                        </a:xfrm>
                        <a:prstGeom prst="line">
                          <a:avLst/>
                        </a:prstGeom>
                        <a:noFill/>
                        <a:ln w="9525">
                          <a:solidFill>
                            <a:srgbClr val="000000"/>
                          </a:solidFill>
                          <a:round/>
                          <a:headEnd type="arrow" w="sm" len="sm"/>
                          <a:tailEnd type="arrow" w="sm" len="sm"/>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line w14:anchorId="2050D27B" id="Line 2905" o:spid="_x0000_s1026" style="position:absolute;left:0;text-align:left;rotation:90;flip:x;z-index:25358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30pt,201.6pt" to="261.35pt,201.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">
                <v:stroke startarrow="open" startarrowwidth="narrow" startarrowlength="short" endarrow="open" endarrowwidth="narrow" endarrowlength="short"/>
              </v:line>
            </w:pict>
          </mc:Fallback>
        </mc:AlternateContent>
      </w:r>
      <w:r w:rsidRPr="001D6D10">
        <w:rPr>
          <w:noProof/>
          <w:sz w:val="20"/>
        </w:rPr>
        <mc:AlternateContent>
          <mc:Choice Requires="wps">
            <w:drawing>
              <wp:anchor distT="0" distB="0" distL="114300" distR="114300" simplePos="0" relativeHeight="253608960" behindDoc="0" locked="0" layoutInCell="1" allowOverlap="1" wp14:anchorId="28EDD4DB" wp14:editId="33B732F8">
                <wp:simplePos x="0" y="0"/>
                <wp:positionH relativeFrom="column">
                  <wp:posOffset>4320540</wp:posOffset>
                </wp:positionH>
                <wp:positionV relativeFrom="paragraph">
                  <wp:posOffset>2759075</wp:posOffset>
                </wp:positionV>
                <wp:extent cx="1440180" cy="272415"/>
                <wp:effectExtent l="5715" t="6350" r="11430" b="6985"/>
                <wp:wrapNone/>
                <wp:docPr id="3598" name="Text Box 292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40180" cy="272415"/>
                        </a:xfrm>
                        <a:prstGeom prst="rect">
                          <a:avLst/>
                        </a:prstGeom>
                        <a:solidFill>
                          <a:srgbClr val="FFFFFF"/>
                        </a:solidFill>
                        <a:ln w="9525">
                          <a:solidFill>
                            <a:srgbClr val="000000"/>
                          </a:solidFill>
                          <a:miter lim="800000"/>
                          <a:headEnd/>
                          <a:tailEnd/>
                        </a:ln>
                      </wps:spPr>
                      <wps:txbx>
                        <w:txbxContent>
                          <w:p w14:paraId="7D38236D" w14:textId="77777777" w:rsidR="006A5267" w:rsidRDefault="006A5267" w:rsidP="008B4B2B">
                            <w:pPr>
                              <w:jc w:val="distribute"/>
                            </w:pPr>
                            <w:r>
                              <w:rPr>
                                <w:rFonts w:hint="eastAsia"/>
                              </w:rPr>
                              <w:t>近畿厚生局</w:t>
                            </w:r>
                          </w:p>
                          <w:p w14:paraId="6DB41155" w14:textId="77777777" w:rsidR="006A5267" w:rsidRDefault="006A5267" w:rsidP="008B4B2B">
                            <w:pPr>
                              <w:jc w:val="distribute"/>
                              <w:rPr>
                                <w:u w:val="single"/>
                              </w:rPr>
                            </w:pPr>
                          </w:p>
                          <w:p w14:paraId="3009CE5C" w14:textId="77777777" w:rsidR="006A5267" w:rsidRDefault="006A5267" w:rsidP="008B4B2B">
                            <w:pPr>
                              <w:jc w:val="distribute"/>
                            </w:pPr>
                          </w:p>
                        </w:txbxContent>
                      </wps:txbx>
                      <wps:bodyPr rot="0" vert="horz" wrap="square" lIns="37440" tIns="24120" rIns="41040" bIns="24120" anchor="t" anchorCtr="0" upright="1">
                        <a:noAutofit/>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shape w14:anchorId="28EDD4DB" id="Text Box 2925" o:spid="_x0000_s1810" type="#_x0000_t202" style="position:absolute;left:0;text-align:left;margin-left:340.2pt;margin-top:217.25pt;width:113.4pt;height:21.45pt;z-index:2536089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">
                <v:textbox inset="1.04mm,.67mm,1.14mm,.67mm">
                  <w:txbxContent>
                    <w:p w14:paraId="7D38236D" w14:textId="77777777" w:rsidR="006A5267" w:rsidRDefault="006A5267" w:rsidP="008B4B2B">
                      <w:pPr>
                        <w:jc w:val="distribute"/>
                      </w:pPr>
                      <w:r>
                        <w:rPr>
                          <w:rFonts w:hint="eastAsia"/>
                        </w:rPr>
                        <w:t>近畿厚生局</w:t>
                      </w:r>
                    </w:p>
                    <w:p w14:paraId="6DB41155" w14:textId="77777777" w:rsidR="006A5267" w:rsidRDefault="006A5267" w:rsidP="008B4B2B">
                      <w:pPr>
                        <w:jc w:val="distribute"/>
                        <w:rPr>
                          <w:u w:val="single"/>
                        </w:rPr>
                      </w:pPr>
                    </w:p>
                    <w:p w14:paraId="3009CE5C" w14:textId="77777777" w:rsidR="006A5267" w:rsidRDefault="006A5267" w:rsidP="008B4B2B">
                      <w:pPr>
                        <w:jc w:val="distribute"/>
                      </w:pPr>
                    </w:p>
                  </w:txbxContent>
                </v:textbox>
              </v:shape>
            </w:pict>
          </mc:Fallback>
        </mc:AlternateContent>
      </w:r>
      <w:r w:rsidRPr="001D6D10">
        <w:rPr>
          <w:noProof/>
          <w:sz w:val="20"/>
        </w:rPr>
        <mc:AlternateContent>
          <mc:Choice Requires="wps">
            <w:drawing>
              <wp:anchor distT="0" distB="0" distL="114300" distR="114300" simplePos="0" relativeHeight="253607936" behindDoc="0" locked="0" layoutInCell="1" allowOverlap="1" wp14:anchorId="24AB40DE" wp14:editId="162B192E">
                <wp:simplePos x="0" y="0"/>
                <wp:positionH relativeFrom="column">
                  <wp:posOffset>2160270</wp:posOffset>
                </wp:positionH>
                <wp:positionV relativeFrom="paragraph">
                  <wp:posOffset>2759075</wp:posOffset>
                </wp:positionV>
                <wp:extent cx="1680210" cy="272415"/>
                <wp:effectExtent l="7620" t="6350" r="7620" b="6985"/>
                <wp:wrapNone/>
                <wp:docPr id="3597" name="Text Box 292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80210" cy="272415"/>
                        </a:xfrm>
                        <a:prstGeom prst="rect">
                          <a:avLst/>
                        </a:prstGeom>
                        <a:solidFill>
                          <a:srgbClr val="FFFFFF"/>
                        </a:solidFill>
                        <a:ln w="9525">
                          <a:solidFill>
                            <a:srgbClr val="000000"/>
                          </a:solidFill>
                          <a:miter lim="800000"/>
                          <a:headEnd/>
                          <a:tailEnd/>
                        </a:ln>
                      </wps:spPr>
                      <wps:txbx>
                        <w:txbxContent>
                          <w:p w14:paraId="0C57ACB1" w14:textId="77777777" w:rsidR="006A5267" w:rsidRDefault="006A5267" w:rsidP="008B4B2B">
                            <w:pPr>
                              <w:jc w:val="distribute"/>
                            </w:pPr>
                            <w:r>
                              <w:rPr>
                                <w:rFonts w:hint="eastAsia"/>
                              </w:rPr>
                              <w:t>大阪府薬務課</w:t>
                            </w:r>
                          </w:p>
                        </w:txbxContent>
                      </wps:txbx>
                      <wps:bodyPr rot="0" vert="horz" wrap="square" lIns="37440" tIns="24120" rIns="41040" bIns="24120" anchor="t" anchorCtr="0" upright="1">
                        <a:noAutofit/>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shape w14:anchorId="24AB40DE" id="Text Box 2924" o:spid="_x0000_s1811" type="#_x0000_t202" style="position:absolute;left:0;text-align:left;margin-left:170.1pt;margin-top:217.25pt;width:132.3pt;height:21.45pt;z-index:2536079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">
                <v:textbox inset="1.04mm,.67mm,1.14mm,.67mm">
                  <w:txbxContent>
                    <w:p w14:paraId="0C57ACB1" w14:textId="77777777" w:rsidR="006A5267" w:rsidRDefault="006A5267" w:rsidP="008B4B2B">
                      <w:pPr>
                        <w:jc w:val="distribute"/>
                      </w:pPr>
                      <w:r>
                        <w:rPr>
                          <w:rFonts w:hint="eastAsia"/>
                        </w:rPr>
                        <w:t>大阪府薬務課</w:t>
                      </w:r>
                    </w:p>
                  </w:txbxContent>
                </v:textbox>
              </v:shape>
            </w:pict>
          </mc:Fallback>
        </mc:AlternateContent>
      </w:r>
      <w:r w:rsidRPr="001D6D10">
        <w:rPr>
          <w:noProof/>
          <w:sz w:val="20"/>
        </w:rPr>
        <mc:AlternateContent>
          <mc:Choice Requires="wps">
            <w:drawing>
              <wp:anchor distT="0" distB="0" distL="114300" distR="114300" simplePos="0" relativeHeight="253600768" behindDoc="0" locked="0" layoutInCell="1" allowOverlap="1" wp14:anchorId="4B62FA95" wp14:editId="0E71BF53">
                <wp:simplePos x="0" y="0"/>
                <wp:positionH relativeFrom="column">
                  <wp:posOffset>3720465</wp:posOffset>
                </wp:positionH>
                <wp:positionV relativeFrom="paragraph">
                  <wp:posOffset>3932555</wp:posOffset>
                </wp:positionV>
                <wp:extent cx="2280285" cy="726440"/>
                <wp:effectExtent l="5715" t="8255" r="9525" b="8255"/>
                <wp:wrapNone/>
                <wp:docPr id="3596" name="Text Box 29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80285" cy="726440"/>
                        </a:xfrm>
                        <a:prstGeom prst="rect">
                          <a:avLst/>
                        </a:prstGeom>
                        <a:solidFill>
                          <a:srgbClr val="FFFFFF"/>
                        </a:solidFill>
                        <a:ln w="9525">
                          <a:solidFill>
                            <a:srgbClr val="000000"/>
                          </a:solidFill>
                          <a:miter lim="800000"/>
                          <a:headEnd/>
                          <a:tailEnd/>
                        </a:ln>
                      </wps:spPr>
                      <wps:txbx>
                        <w:txbxContent>
                          <w:p w14:paraId="098FFD84" w14:textId="77777777" w:rsidR="006A5267" w:rsidRDefault="006A5267" w:rsidP="008B4B2B">
                            <w:pPr>
                              <w:spacing w:line="320" w:lineRule="atLeast"/>
                              <w:ind w:firstLineChars="600" w:firstLine="1267"/>
                            </w:pPr>
                            <w:r>
                              <w:rPr>
                                <w:rFonts w:hint="eastAsia"/>
                              </w:rPr>
                              <w:t>凡　　例</w:t>
                            </w:r>
                          </w:p>
                          <w:p w14:paraId="73FD56C0" w14:textId="7A153ABF" w:rsidR="006A5267" w:rsidRDefault="006A5267" w:rsidP="008B4B2B">
                            <w:pPr>
                              <w:tabs>
                                <w:tab w:val="left" w:pos="186"/>
                              </w:tabs>
                              <w:spacing w:line="320" w:lineRule="atLeast"/>
                              <w:ind w:left="422" w:hangingChars="200" w:hanging="422"/>
                            </w:pPr>
                            <w:r>
                              <w:rPr>
                                <w:rFonts w:hint="eastAsia"/>
                              </w:rPr>
                              <w:tab/>
                            </w:r>
                            <w:r>
                              <w:rPr>
                                <w:rFonts w:hint="eastAsia"/>
                              </w:rPr>
                              <w:tab/>
                            </w:r>
                            <w:r w:rsidR="005F4A67">
                              <w:rPr>
                                <w:rFonts w:hint="eastAsia"/>
                              </w:rPr>
                              <w:t>：</w:t>
                            </w:r>
                            <w:r>
                              <w:rPr>
                                <w:rFonts w:hint="eastAsia"/>
                              </w:rPr>
                              <w:t>通常の通信系統</w:t>
                            </w:r>
                          </w:p>
                          <w:p w14:paraId="58F6093C" w14:textId="4DFA54C2" w:rsidR="006A5267" w:rsidRDefault="006A5267" w:rsidP="005F4A67">
                            <w:pPr>
                              <w:tabs>
                                <w:tab w:val="left" w:pos="477"/>
                              </w:tabs>
                              <w:spacing w:line="320" w:lineRule="atLeast"/>
                              <w:ind w:left="422" w:hangingChars="200" w:hanging="422"/>
                            </w:pPr>
                            <w:r>
                              <w:rPr>
                                <w:rFonts w:hint="eastAsia"/>
                              </w:rPr>
                              <w:tab/>
                            </w:r>
                            <w:r w:rsidR="00B93B64">
                              <w:rPr>
                                <w:rFonts w:hint="eastAsia"/>
                              </w:rPr>
                              <w:t>：</w:t>
                            </w:r>
                            <w:r>
                              <w:rPr>
                                <w:rFonts w:hint="eastAsia"/>
                              </w:rPr>
                              <w:t>必要に応じての通信系統</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shape w14:anchorId="4B62FA95" id="Text Box 2917" o:spid="_x0000_s1812" type="#_x0000_t202" style="position:absolute;left:0;text-align:left;margin-left:292.95pt;margin-top:309.65pt;width:179.55pt;height:57.2pt;z-index:253600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">
                <v:textbox>
                  <w:txbxContent>
                    <w:p w14:paraId="098FFD84" w14:textId="77777777" w:rsidR="006A5267" w:rsidRDefault="006A5267" w:rsidP="008B4B2B">
                      <w:pPr>
                        <w:spacing w:line="320" w:lineRule="atLeast"/>
                        <w:ind w:firstLineChars="600" w:firstLine="1267"/>
                      </w:pPr>
                      <w:r>
                        <w:rPr>
                          <w:rFonts w:hint="eastAsia"/>
                        </w:rPr>
                        <w:t>凡　　例</w:t>
                      </w:r>
                    </w:p>
                    <w:p w14:paraId="73FD56C0" w14:textId="7A153ABF" w:rsidR="006A5267" w:rsidRDefault="006A5267" w:rsidP="008B4B2B">
                      <w:pPr>
                        <w:tabs>
                          <w:tab w:val="left" w:pos="186"/>
                        </w:tabs>
                        <w:spacing w:line="320" w:lineRule="atLeast"/>
                        <w:ind w:left="422" w:hangingChars="200" w:hanging="422"/>
                      </w:pPr>
                      <w:r>
                        <w:rPr>
                          <w:rFonts w:hint="eastAsia"/>
                        </w:rPr>
                        <w:tab/>
                      </w:r>
                      <w:r>
                        <w:rPr>
                          <w:rFonts w:hint="eastAsia"/>
                        </w:rPr>
                        <w:tab/>
                      </w:r>
                      <w:r w:rsidR="005F4A67">
                        <w:rPr>
                          <w:rFonts w:hint="eastAsia"/>
                        </w:rPr>
                        <w:t>：</w:t>
                      </w:r>
                      <w:r>
                        <w:rPr>
                          <w:rFonts w:hint="eastAsia"/>
                        </w:rPr>
                        <w:t>通常の通信系統</w:t>
                      </w:r>
                    </w:p>
                    <w:p w14:paraId="58F6093C" w14:textId="4DFA54C2" w:rsidR="006A5267" w:rsidRDefault="006A5267" w:rsidP="005F4A67">
                      <w:pPr>
                        <w:tabs>
                          <w:tab w:val="left" w:pos="477"/>
                        </w:tabs>
                        <w:spacing w:line="320" w:lineRule="atLeast"/>
                        <w:ind w:left="422" w:hangingChars="200" w:hanging="422"/>
                      </w:pPr>
                      <w:r>
                        <w:rPr>
                          <w:rFonts w:hint="eastAsia"/>
                        </w:rPr>
                        <w:tab/>
                      </w:r>
                      <w:r w:rsidR="00B93B64">
                        <w:rPr>
                          <w:rFonts w:hint="eastAsia"/>
                        </w:rPr>
                        <w:t>：</w:t>
                      </w:r>
                      <w:r>
                        <w:rPr>
                          <w:rFonts w:hint="eastAsia"/>
                        </w:rPr>
                        <w:t>必要に応じての通信系統</w:t>
                      </w:r>
                    </w:p>
                  </w:txbxContent>
                </v:textbox>
              </v:shape>
            </w:pict>
          </mc:Fallback>
        </mc:AlternateContent>
      </w:r>
      <w:r w:rsidRPr="001D6D10">
        <w:rPr>
          <w:noProof/>
          <w:sz w:val="20"/>
        </w:rPr>
        <mc:AlternateContent>
          <mc:Choice Requires="wps">
            <w:drawing>
              <wp:anchor distT="0" distB="0" distL="114300" distR="114300" simplePos="0" relativeHeight="253597696" behindDoc="0" locked="0" layoutInCell="1" allowOverlap="1" wp14:anchorId="7A319047" wp14:editId="3CC57CD0">
                <wp:simplePos x="0" y="0"/>
                <wp:positionH relativeFrom="column">
                  <wp:posOffset>1826260</wp:posOffset>
                </wp:positionH>
                <wp:positionV relativeFrom="paragraph">
                  <wp:posOffset>2065020</wp:posOffset>
                </wp:positionV>
                <wp:extent cx="908050" cy="480060"/>
                <wp:effectExtent l="11430" t="12700" r="60960" b="41275"/>
                <wp:wrapNone/>
                <wp:docPr id="3595" name="Line 291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rot="16200000" flipH="1">
                          <a:off x="0" y="0"/>
                          <a:ext cx="908050" cy="480060"/>
                        </a:xfrm>
                        <a:prstGeom prst="line">
                          <a:avLst/>
                        </a:prstGeom>
                        <a:noFill/>
                        <a:ln w="9525">
                          <a:solidFill>
                            <a:srgbClr val="000000"/>
                          </a:solidFill>
                          <a:round/>
                          <a:headEnd/>
                          <a:tailEnd type="arrow" w="sm" len="sm"/>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line w14:anchorId="2438DD9C" id="Line 2914" o:spid="_x0000_s1026" style="position:absolute;left:0;text-align:left;rotation:90;flip:x;z-index:253597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43.8pt,162.6pt" to="215.3pt,200.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">
                <v:stroke endarrow="open" endarrowwidth="narrow" endarrowlength="short"/>
              </v:line>
            </w:pict>
          </mc:Fallback>
        </mc:AlternateContent>
      </w:r>
      <w:r w:rsidRPr="001D6D10">
        <w:rPr>
          <w:noProof/>
          <w:sz w:val="20"/>
        </w:rPr>
        <mc:AlternateContent>
          <mc:Choice Requires="wps">
            <w:drawing>
              <wp:anchor distT="0" distB="0" distL="114300" distR="114300" simplePos="0" relativeHeight="253580288" behindDoc="0" locked="0" layoutInCell="1" allowOverlap="1" wp14:anchorId="6CF6123A" wp14:editId="7F521119">
                <wp:simplePos x="0" y="0"/>
                <wp:positionH relativeFrom="column">
                  <wp:posOffset>2040255</wp:posOffset>
                </wp:positionH>
                <wp:positionV relativeFrom="paragraph">
                  <wp:posOffset>1124585</wp:posOffset>
                </wp:positionV>
                <wp:extent cx="600075" cy="726440"/>
                <wp:effectExtent l="11430" t="10160" r="7620" b="6350"/>
                <wp:wrapNone/>
                <wp:docPr id="3594" name="Line 289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600075" cy="72644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line w14:anchorId="0541CD73" id="Line 2897" o:spid="_x0000_s1026" style="position:absolute;left:0;text-align:left;flip:x;z-index:25358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60.65pt,88.55pt" to="207.9pt,145.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"/>
            </w:pict>
          </mc:Fallback>
        </mc:AlternateContent>
      </w:r>
      <w:r w:rsidRPr="001D6D10">
        <w:rPr>
          <w:noProof/>
          <w:sz w:val="20"/>
        </w:rPr>
        <mc:AlternateContent>
          <mc:Choice Requires="wps">
            <w:drawing>
              <wp:anchor distT="0" distB="0" distL="114300" distR="114300" simplePos="0" relativeHeight="253587456" behindDoc="0" locked="0" layoutInCell="1" allowOverlap="1" wp14:anchorId="4E0DBD03" wp14:editId="0A66EE9C">
                <wp:simplePos x="0" y="0"/>
                <wp:positionH relativeFrom="column">
                  <wp:posOffset>2827020</wp:posOffset>
                </wp:positionH>
                <wp:positionV relativeFrom="paragraph">
                  <wp:posOffset>1417955</wp:posOffset>
                </wp:positionV>
                <wp:extent cx="586740" cy="0"/>
                <wp:effectExtent l="62865" t="10160" r="60960" b="22225"/>
                <wp:wrapNone/>
                <wp:docPr id="3593" name="Line 290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rot="16200000" flipH="1">
                          <a:off x="0" y="0"/>
                          <a:ext cx="586740" cy="0"/>
                        </a:xfrm>
                        <a:prstGeom prst="line">
                          <a:avLst/>
                        </a:prstGeom>
                        <a:noFill/>
                        <a:ln w="9525">
                          <a:solidFill>
                            <a:srgbClr val="000000"/>
                          </a:solidFill>
                          <a:round/>
                          <a:headEnd/>
                          <a:tailEnd type="arrow" w="sm" len="sm"/>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line w14:anchorId="2BE231AF" id="Line 2904" o:spid="_x0000_s1026" style="position:absolute;left:0;text-align:left;rotation:90;flip:x;z-index:25358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22.6pt,111.65pt" to="268.8pt,111.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">
                <v:stroke endarrow="open" endarrowwidth="narrow" endarrowlength="short"/>
              </v:line>
            </w:pict>
          </mc:Fallback>
        </mc:AlternateContent>
      </w:r>
      <w:r w:rsidRPr="001D6D10">
        <w:rPr>
          <w:noProof/>
          <w:sz w:val="20"/>
        </w:rPr>
        <mc:AlternateContent>
          <mc:Choice Requires="wps">
            <w:drawing>
              <wp:anchor distT="0" distB="0" distL="114300" distR="114300" simplePos="0" relativeHeight="253586432" behindDoc="0" locked="0" layoutInCell="1" allowOverlap="1" wp14:anchorId="56AE3381" wp14:editId="29DC9A55">
                <wp:simplePos x="0" y="0"/>
                <wp:positionH relativeFrom="column">
                  <wp:posOffset>4320540</wp:posOffset>
                </wp:positionH>
                <wp:positionV relativeFrom="paragraph">
                  <wp:posOffset>852170</wp:posOffset>
                </wp:positionV>
                <wp:extent cx="1440180" cy="272415"/>
                <wp:effectExtent l="5715" t="13970" r="11430" b="8890"/>
                <wp:wrapNone/>
                <wp:docPr id="3592" name="Text Box 290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40180" cy="272415"/>
                        </a:xfrm>
                        <a:prstGeom prst="rect">
                          <a:avLst/>
                        </a:prstGeom>
                        <a:solidFill>
                          <a:srgbClr val="FFFFFF"/>
                        </a:solidFill>
                        <a:ln w="9525">
                          <a:solidFill>
                            <a:srgbClr val="000000"/>
                          </a:solidFill>
                          <a:miter lim="800000"/>
                          <a:headEnd/>
                          <a:tailEnd/>
                        </a:ln>
                      </wps:spPr>
                      <wps:txbx>
                        <w:txbxContent>
                          <w:p w14:paraId="655A64AD" w14:textId="77777777" w:rsidR="006A5267" w:rsidRDefault="006A5267" w:rsidP="008B4B2B">
                            <w:pPr>
                              <w:jc w:val="distribute"/>
                            </w:pPr>
                            <w:r>
                              <w:rPr>
                                <w:rFonts w:hint="eastAsia"/>
                              </w:rPr>
                              <w:t>警察署</w:t>
                            </w:r>
                          </w:p>
                        </w:txbxContent>
                      </wps:txbx>
                      <wps:bodyPr rot="0" vert="horz" wrap="square" lIns="37440" tIns="24120" rIns="41040" bIns="24120" anchor="t" anchorCtr="0" upright="1">
                        <a:noAutofit/>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shape w14:anchorId="56AE3381" id="Text Box 2903" o:spid="_x0000_s1813" type="#_x0000_t202" style="position:absolute;left:0;text-align:left;margin-left:340.2pt;margin-top:67.1pt;width:113.4pt;height:21.45pt;z-index:25358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">
                <v:textbox inset="1.04mm,.67mm,1.14mm,.67mm">
                  <w:txbxContent>
                    <w:p w14:paraId="655A64AD" w14:textId="77777777" w:rsidR="006A5267" w:rsidRDefault="006A5267" w:rsidP="008B4B2B">
                      <w:pPr>
                        <w:jc w:val="distribute"/>
                      </w:pPr>
                      <w:r>
                        <w:rPr>
                          <w:rFonts w:hint="eastAsia"/>
                        </w:rPr>
                        <w:t>警察署</w:t>
                      </w:r>
                    </w:p>
                  </w:txbxContent>
                </v:textbox>
              </v:shape>
            </w:pict>
          </mc:Fallback>
        </mc:AlternateContent>
      </w:r>
      <w:r w:rsidRPr="001D6D10">
        <w:rPr>
          <w:noProof/>
          <w:sz w:val="20"/>
        </w:rPr>
        <mc:AlternateContent>
          <mc:Choice Requires="wps">
            <w:drawing>
              <wp:anchor distT="0" distB="0" distL="114300" distR="114300" simplePos="0" relativeHeight="253598720" behindDoc="0" locked="0" layoutInCell="1" allowOverlap="1" wp14:anchorId="7763D3CE" wp14:editId="0F19898C">
                <wp:simplePos x="0" y="0"/>
                <wp:positionH relativeFrom="column">
                  <wp:posOffset>3763645</wp:posOffset>
                </wp:positionH>
                <wp:positionV relativeFrom="paragraph">
                  <wp:posOffset>1201420</wp:posOffset>
                </wp:positionV>
                <wp:extent cx="873125" cy="720090"/>
                <wp:effectExtent l="59055" t="48260" r="59055" b="50165"/>
                <wp:wrapNone/>
                <wp:docPr id="3591" name="Line 291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rot="16200000">
                          <a:off x="0" y="0"/>
                          <a:ext cx="873125" cy="720090"/>
                        </a:xfrm>
                        <a:prstGeom prst="line">
                          <a:avLst/>
                        </a:prstGeom>
                        <a:noFill/>
                        <a:ln w="9525">
                          <a:solidFill>
                            <a:srgbClr val="000000"/>
                          </a:solidFill>
                          <a:prstDash val="sysDot"/>
                          <a:round/>
                          <a:headEnd type="arrow" w="sm" len="sm"/>
                          <a:tailEnd type="arrow" w="sm" len="sm"/>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line w14:anchorId="53BA25BD" id="Line 2915" o:spid="_x0000_s1026" style="position:absolute;left:0;text-align:left;rotation:-90;z-index:253598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96.35pt,94.6pt" to="365.1pt,151.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">
                <v:stroke dashstyle="1 1" startarrow="open" startarrowwidth="narrow" startarrowlength="short" endarrow="open" endarrowwidth="narrow" endarrowlength="short"/>
              </v:line>
            </w:pict>
          </mc:Fallback>
        </mc:AlternateContent>
      </w:r>
      <w:r w:rsidRPr="001D6D10">
        <w:rPr>
          <w:noProof/>
          <w:sz w:val="20"/>
        </w:rPr>
        <mc:AlternateContent>
          <mc:Choice Requires="wps">
            <w:drawing>
              <wp:anchor distT="0" distB="0" distL="114300" distR="114300" simplePos="0" relativeHeight="253596672" behindDoc="0" locked="0" layoutInCell="1" allowOverlap="1" wp14:anchorId="57CD5B92" wp14:editId="61BE6B17">
                <wp:simplePos x="0" y="0"/>
                <wp:positionH relativeFrom="column">
                  <wp:posOffset>4740275</wp:posOffset>
                </wp:positionH>
                <wp:positionV relativeFrom="paragraph">
                  <wp:posOffset>1424940</wp:posOffset>
                </wp:positionV>
                <wp:extent cx="600710" cy="0"/>
                <wp:effectExtent l="59055" t="19685" r="64770" b="17780"/>
                <wp:wrapNone/>
                <wp:docPr id="3590" name="Line 291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rot="5400000" flipH="1">
                          <a:off x="0" y="0"/>
                          <a:ext cx="600710" cy="0"/>
                        </a:xfrm>
                        <a:prstGeom prst="line">
                          <a:avLst/>
                        </a:prstGeom>
                        <a:noFill/>
                        <a:ln w="9525">
                          <a:solidFill>
                            <a:srgbClr val="000000"/>
                          </a:solidFill>
                          <a:prstDash val="sysDot"/>
                          <a:round/>
                          <a:headEnd type="arrow" w="sm" len="sm"/>
                          <a:tailEnd type="arrow" w="sm" len="sm"/>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line w14:anchorId="46D3B3AC" id="Line 2913" o:spid="_x0000_s1026" style="position:absolute;left:0;text-align:left;rotation:-90;flip:x;z-index:253596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73.25pt,112.2pt" to="420.55pt,112.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">
                <v:stroke dashstyle="1 1" startarrow="open" startarrowwidth="narrow" startarrowlength="short" endarrow="open" endarrowwidth="narrow" endarrowlength="short"/>
              </v:line>
            </w:pict>
          </mc:Fallback>
        </mc:AlternateContent>
      </w:r>
      <w:r w:rsidRPr="001D6D10">
        <w:rPr>
          <w:noProof/>
          <w:sz w:val="20"/>
        </w:rPr>
        <mc:AlternateContent>
          <mc:Choice Requires="wps">
            <w:drawing>
              <wp:anchor distT="0" distB="0" distL="114300" distR="114300" simplePos="0" relativeHeight="253592576" behindDoc="0" locked="0" layoutInCell="1" allowOverlap="1" wp14:anchorId="1334C77C" wp14:editId="611F4A23">
                <wp:simplePos x="0" y="0"/>
                <wp:positionH relativeFrom="column">
                  <wp:posOffset>2400300</wp:posOffset>
                </wp:positionH>
                <wp:positionV relativeFrom="paragraph">
                  <wp:posOffset>852170</wp:posOffset>
                </wp:positionV>
                <wp:extent cx="1440180" cy="0"/>
                <wp:effectExtent l="9525" t="13970" r="7620" b="5080"/>
                <wp:wrapNone/>
                <wp:docPr id="3589" name="Line 290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440180" cy="0"/>
                        </a:xfrm>
                        <a:prstGeom prst="line">
                          <a:avLst/>
                        </a:prstGeom>
                        <a:noFill/>
                        <a:ln w="9525">
                          <a:solidFill>
                            <a:srgbClr val="000000"/>
                          </a:solidFill>
                          <a:prstDash val="sysDot"/>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line w14:anchorId="0D6AEBE0" id="Line 2909" o:spid="_x0000_s1026" style="position:absolute;left:0;text-align:left;z-index:25359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89pt,67.1pt" to="302.4pt,67.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">
                <v:stroke dashstyle="1 1"/>
              </v:line>
            </w:pict>
          </mc:Fallback>
        </mc:AlternateContent>
      </w:r>
      <w:r w:rsidRPr="001D6D10">
        <w:rPr>
          <w:noProof/>
          <w:sz w:val="20"/>
        </w:rPr>
        <mc:AlternateContent>
          <mc:Choice Requires="wps">
            <w:drawing>
              <wp:anchor distT="0" distB="0" distL="114300" distR="114300" simplePos="0" relativeHeight="253579264" behindDoc="0" locked="0" layoutInCell="1" allowOverlap="1" wp14:anchorId="224F21E6" wp14:editId="086C196E">
                <wp:simplePos x="0" y="0"/>
                <wp:positionH relativeFrom="column">
                  <wp:posOffset>2400300</wp:posOffset>
                </wp:positionH>
                <wp:positionV relativeFrom="paragraph">
                  <wp:posOffset>579755</wp:posOffset>
                </wp:positionV>
                <wp:extent cx="1440180" cy="544830"/>
                <wp:effectExtent l="9525" t="8255" r="7620" b="8890"/>
                <wp:wrapNone/>
                <wp:docPr id="3588" name="Text Box 289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40180" cy="544830"/>
                        </a:xfrm>
                        <a:prstGeom prst="rect">
                          <a:avLst/>
                        </a:prstGeom>
                        <a:solidFill>
                          <a:srgbClr val="FFFFFF"/>
                        </a:solidFill>
                        <a:ln w="9525">
                          <a:solidFill>
                            <a:srgbClr val="000000"/>
                          </a:solidFill>
                          <a:miter lim="800000"/>
                          <a:headEnd/>
                          <a:tailEnd/>
                        </a:ln>
                      </wps:spPr>
                      <wps:txbx>
                        <w:txbxContent>
                          <w:p w14:paraId="2A3BEC42" w14:textId="77777777" w:rsidR="006A5267" w:rsidRDefault="006A5267" w:rsidP="008B4B2B">
                            <w:pPr>
                              <w:jc w:val="distribute"/>
                            </w:pPr>
                            <w:r>
                              <w:rPr>
                                <w:rFonts w:hint="eastAsia"/>
                              </w:rPr>
                              <w:t>発見者</w:t>
                            </w:r>
                          </w:p>
                          <w:p w14:paraId="57E37A44" w14:textId="77777777" w:rsidR="006A5267" w:rsidRDefault="006A5267" w:rsidP="008B4B2B">
                            <w:pPr>
                              <w:spacing w:line="60" w:lineRule="exact"/>
                              <w:jc w:val="distribute"/>
                            </w:pPr>
                          </w:p>
                          <w:p w14:paraId="4CD657D2" w14:textId="77777777" w:rsidR="006A5267" w:rsidRDefault="006A5267" w:rsidP="008B4B2B">
                            <w:pPr>
                              <w:jc w:val="distribute"/>
                            </w:pPr>
                            <w:r>
                              <w:rPr>
                                <w:rFonts w:hint="eastAsia"/>
                              </w:rPr>
                              <w:t>毒劇物施設管理者</w:t>
                            </w:r>
                          </w:p>
                        </w:txbxContent>
                      </wps:txbx>
                      <wps:bodyPr rot="0" vert="horz" wrap="square" lIns="37440" tIns="24120" rIns="41040" bIns="24120" anchor="t" anchorCtr="0" upright="1">
                        <a:noAutofit/>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shape w14:anchorId="224F21E6" id="Text Box 2896" o:spid="_x0000_s1814" type="#_x0000_t202" style="position:absolute;left:0;text-align:left;margin-left:189pt;margin-top:45.65pt;width:113.4pt;height:42.9pt;z-index:25357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">
                <v:textbox inset="1.04mm,.67mm,1.14mm,.67mm">
                  <w:txbxContent>
                    <w:p w14:paraId="2A3BEC42" w14:textId="77777777" w:rsidR="006A5267" w:rsidRDefault="006A5267" w:rsidP="008B4B2B">
                      <w:pPr>
                        <w:jc w:val="distribute"/>
                      </w:pPr>
                      <w:r>
                        <w:rPr>
                          <w:rFonts w:hint="eastAsia"/>
                        </w:rPr>
                        <w:t>発見者</w:t>
                      </w:r>
                    </w:p>
                    <w:p w14:paraId="57E37A44" w14:textId="77777777" w:rsidR="006A5267" w:rsidRDefault="006A5267" w:rsidP="008B4B2B">
                      <w:pPr>
                        <w:spacing w:line="60" w:lineRule="exact"/>
                        <w:jc w:val="distribute"/>
                      </w:pPr>
                    </w:p>
                    <w:p w14:paraId="4CD657D2" w14:textId="77777777" w:rsidR="006A5267" w:rsidRDefault="006A5267" w:rsidP="008B4B2B">
                      <w:pPr>
                        <w:jc w:val="distribute"/>
                      </w:pPr>
                      <w:r>
                        <w:rPr>
                          <w:rFonts w:hint="eastAsia"/>
                        </w:rPr>
                        <w:t>毒劇物施設管理者</w:t>
                      </w:r>
                    </w:p>
                  </w:txbxContent>
                </v:textbox>
              </v:shape>
            </w:pict>
          </mc:Fallback>
        </mc:AlternateContent>
      </w:r>
      <w:r w:rsidRPr="001D6D10">
        <w:rPr>
          <w:noProof/>
          <w:sz w:val="20"/>
        </w:rPr>
        <mc:AlternateContent>
          <mc:Choice Requires="wps">
            <w:drawing>
              <wp:anchor distT="0" distB="0" distL="114300" distR="114300" simplePos="0" relativeHeight="253589504" behindDoc="0" locked="0" layoutInCell="1" allowOverlap="1" wp14:anchorId="7B3AD116" wp14:editId="361835FA">
                <wp:simplePos x="0" y="0"/>
                <wp:positionH relativeFrom="column">
                  <wp:posOffset>4320540</wp:posOffset>
                </wp:positionH>
                <wp:positionV relativeFrom="paragraph">
                  <wp:posOffset>1725295</wp:posOffset>
                </wp:positionV>
                <wp:extent cx="1440180" cy="272415"/>
                <wp:effectExtent l="5715" t="10795" r="11430" b="12065"/>
                <wp:wrapNone/>
                <wp:docPr id="3587" name="Text Box 290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40180" cy="272415"/>
                        </a:xfrm>
                        <a:prstGeom prst="rect">
                          <a:avLst/>
                        </a:prstGeom>
                        <a:solidFill>
                          <a:srgbClr val="FFFFFF"/>
                        </a:solidFill>
                        <a:ln w="9525">
                          <a:solidFill>
                            <a:srgbClr val="000000"/>
                          </a:solidFill>
                          <a:miter lim="800000"/>
                          <a:headEnd/>
                          <a:tailEnd/>
                        </a:ln>
                      </wps:spPr>
                      <wps:txbx>
                        <w:txbxContent>
                          <w:p w14:paraId="0BD6C5E7" w14:textId="77777777" w:rsidR="006A5267" w:rsidRDefault="006A5267" w:rsidP="008B4B2B">
                            <w:pPr>
                              <w:jc w:val="distribute"/>
                            </w:pPr>
                            <w:r>
                              <w:rPr>
                                <w:rFonts w:hint="eastAsia"/>
                              </w:rPr>
                              <w:t>大阪府警察本部</w:t>
                            </w:r>
                          </w:p>
                        </w:txbxContent>
                      </wps:txbx>
                      <wps:bodyPr rot="0" vert="horz" wrap="square" lIns="37440" tIns="24120" rIns="41040" bIns="24120" anchor="t" anchorCtr="0" upright="1">
                        <a:noAutofit/>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shape w14:anchorId="7B3AD116" id="Text Box 2906" o:spid="_x0000_s1815" type="#_x0000_t202" style="position:absolute;left:0;text-align:left;margin-left:340.2pt;margin-top:135.85pt;width:113.4pt;height:21.45pt;z-index:25358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">
                <v:textbox inset="1.04mm,.67mm,1.14mm,.67mm">
                  <w:txbxContent>
                    <w:p w14:paraId="0BD6C5E7" w14:textId="77777777" w:rsidR="006A5267" w:rsidRDefault="006A5267" w:rsidP="008B4B2B">
                      <w:pPr>
                        <w:jc w:val="distribute"/>
                      </w:pPr>
                      <w:r>
                        <w:rPr>
                          <w:rFonts w:hint="eastAsia"/>
                        </w:rPr>
                        <w:t>大阪府警察本部</w:t>
                      </w:r>
                    </w:p>
                  </w:txbxContent>
                </v:textbox>
              </v:shape>
            </w:pict>
          </mc:Fallback>
        </mc:AlternateContent>
      </w:r>
      <w:r w:rsidRPr="001D6D10">
        <w:rPr>
          <w:noProof/>
          <w:sz w:val="20"/>
        </w:rPr>
        <mc:AlternateContent>
          <mc:Choice Requires="wps">
            <w:drawing>
              <wp:anchor distT="0" distB="0" distL="114300" distR="114300" simplePos="0" relativeHeight="253585408" behindDoc="0" locked="0" layoutInCell="1" allowOverlap="1" wp14:anchorId="7550611A" wp14:editId="59DB8751">
                <wp:simplePos x="0" y="0"/>
                <wp:positionH relativeFrom="column">
                  <wp:posOffset>2400300</wp:posOffset>
                </wp:positionH>
                <wp:positionV relativeFrom="paragraph">
                  <wp:posOffset>1725295</wp:posOffset>
                </wp:positionV>
                <wp:extent cx="1440180" cy="635635"/>
                <wp:effectExtent l="0" t="0" r="26670" b="12065"/>
                <wp:wrapNone/>
                <wp:docPr id="3586" name="Text Box 290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40180" cy="635635"/>
                        </a:xfrm>
                        <a:prstGeom prst="rect">
                          <a:avLst/>
                        </a:prstGeom>
                        <a:solidFill>
                          <a:srgbClr val="FFFFFF"/>
                        </a:solidFill>
                        <a:ln w="9525">
                          <a:solidFill>
                            <a:srgbClr val="000000"/>
                          </a:solidFill>
                          <a:miter lim="800000"/>
                          <a:headEnd/>
                          <a:tailEnd/>
                        </a:ln>
                      </wps:spPr>
                      <wps:txbx>
                        <w:txbxContent>
                          <w:p w14:paraId="57DCC8EE" w14:textId="77777777" w:rsidR="006A5267" w:rsidRDefault="006A5267" w:rsidP="008B4B2B">
                            <w:pPr>
                              <w:jc w:val="distribute"/>
                            </w:pPr>
                            <w:r>
                              <w:rPr>
                                <w:rFonts w:hint="eastAsia"/>
                              </w:rPr>
                              <w:t>市町村</w:t>
                            </w:r>
                          </w:p>
                          <w:p w14:paraId="4C153E95" w14:textId="77777777" w:rsidR="006A5267" w:rsidRDefault="006A5267" w:rsidP="008B4B2B">
                            <w:pPr>
                              <w:jc w:val="distribute"/>
                            </w:pPr>
                            <w:r>
                              <w:rPr>
                                <w:rFonts w:hint="eastAsia"/>
                              </w:rPr>
                              <w:t>消防本部</w:t>
                            </w:r>
                          </w:p>
                        </w:txbxContent>
                      </wps:txbx>
                      <wps:bodyPr rot="0" vert="horz" wrap="square" lIns="37440" tIns="24120" rIns="41040" bIns="24120" anchor="ctr" anchorCtr="0" upright="1">
                        <a:noAutofit/>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shape w14:anchorId="7550611A" id="Text Box 2902" o:spid="_x0000_s1816" type="#_x0000_t202" style="position:absolute;left:0;text-align:left;margin-left:189pt;margin-top:135.85pt;width:113.4pt;height:50.05pt;z-index:25358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">
                <v:textbox inset="1.04mm,.67mm,1.14mm,.67mm">
                  <w:txbxContent>
                    <w:p w14:paraId="57DCC8EE" w14:textId="77777777" w:rsidR="006A5267" w:rsidRDefault="006A5267" w:rsidP="008B4B2B">
                      <w:pPr>
                        <w:jc w:val="distribute"/>
                      </w:pPr>
                      <w:r>
                        <w:rPr>
                          <w:rFonts w:hint="eastAsia"/>
                        </w:rPr>
                        <w:t>市町村</w:t>
                      </w:r>
                    </w:p>
                    <w:p w14:paraId="4C153E95" w14:textId="77777777" w:rsidR="006A5267" w:rsidRDefault="006A5267" w:rsidP="008B4B2B">
                      <w:pPr>
                        <w:jc w:val="distribute"/>
                      </w:pPr>
                      <w:r>
                        <w:rPr>
                          <w:rFonts w:hint="eastAsia"/>
                        </w:rPr>
                        <w:t>消防本部</w:t>
                      </w:r>
                    </w:p>
                  </w:txbxContent>
                </v:textbox>
              </v:shape>
            </w:pict>
          </mc:Fallback>
        </mc:AlternateContent>
      </w:r>
      <w:r w:rsidRPr="001D6D10">
        <w:rPr>
          <w:noProof/>
          <w:sz w:val="20"/>
        </w:rPr>
        <mc:AlternateContent>
          <mc:Choice Requires="wps">
            <w:drawing>
              <wp:anchor distT="0" distB="0" distL="114300" distR="114300" simplePos="0" relativeHeight="253584384" behindDoc="0" locked="0" layoutInCell="1" allowOverlap="1" wp14:anchorId="42A18744" wp14:editId="55E323EA">
                <wp:simplePos x="0" y="0"/>
                <wp:positionH relativeFrom="column">
                  <wp:posOffset>840105</wp:posOffset>
                </wp:positionH>
                <wp:positionV relativeFrom="paragraph">
                  <wp:posOffset>2081530</wp:posOffset>
                </wp:positionV>
                <wp:extent cx="1080135" cy="272415"/>
                <wp:effectExtent l="11430" t="5080" r="13335" b="8255"/>
                <wp:wrapNone/>
                <wp:docPr id="3585" name="Text Box 290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80135" cy="272415"/>
                        </a:xfrm>
                        <a:prstGeom prst="rect">
                          <a:avLst/>
                        </a:prstGeom>
                        <a:solidFill>
                          <a:srgbClr val="FFFFFF"/>
                        </a:solidFill>
                        <a:ln w="9525">
                          <a:solidFill>
                            <a:srgbClr val="000000"/>
                          </a:solidFill>
                          <a:miter lim="800000"/>
                          <a:headEnd/>
                          <a:tailEnd/>
                        </a:ln>
                      </wps:spPr>
                      <wps:txbx>
                        <w:txbxContent>
                          <w:p w14:paraId="5DB91BA7" w14:textId="77777777" w:rsidR="006A5267" w:rsidRDefault="006A5267" w:rsidP="008B4B2B">
                            <w:pPr>
                              <w:jc w:val="distribute"/>
                            </w:pPr>
                            <w:r>
                              <w:rPr>
                                <w:rFonts w:hint="eastAsia"/>
                              </w:rPr>
                              <w:t>隣接市町村</w:t>
                            </w:r>
                          </w:p>
                        </w:txbxContent>
                      </wps:txbx>
                      <wps:bodyPr rot="0" vert="horz" wrap="square" lIns="37440" tIns="24120" rIns="41040" bIns="24120" anchor="t" anchorCtr="0" upright="1">
                        <a:noAutofit/>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shape w14:anchorId="42A18744" id="Text Box 2901" o:spid="_x0000_s1817" type="#_x0000_t202" style="position:absolute;left:0;text-align:left;margin-left:66.15pt;margin-top:163.9pt;width:85.05pt;height:21.45pt;z-index:25358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">
                <v:textbox inset="1.04mm,.67mm,1.14mm,.67mm">
                  <w:txbxContent>
                    <w:p w14:paraId="5DB91BA7" w14:textId="77777777" w:rsidR="006A5267" w:rsidRDefault="006A5267" w:rsidP="008B4B2B">
                      <w:pPr>
                        <w:jc w:val="distribute"/>
                      </w:pPr>
                      <w:r>
                        <w:rPr>
                          <w:rFonts w:hint="eastAsia"/>
                        </w:rPr>
                        <w:t>隣接市町村</w:t>
                      </w:r>
                    </w:p>
                  </w:txbxContent>
                </v:textbox>
              </v:shape>
            </w:pict>
          </mc:Fallback>
        </mc:AlternateContent>
      </w:r>
    </w:p>
    <w:p w14:paraId="39705FC2" w14:textId="1FBA05CD" w:rsidR="008B4B2B" w:rsidRPr="001D6D10" w:rsidRDefault="008B4B2B" w:rsidP="008B4B2B">
      <w:pPr>
        <w:wordWrap w:val="0"/>
        <w:spacing w:line="362" w:lineRule="exact"/>
        <w:ind w:right="97"/>
      </w:pPr>
      <w:r w:rsidRPr="001D6D10">
        <w:rPr>
          <w:rFonts w:hint="eastAsia"/>
        </w:rPr>
        <w:t>別図〔連絡系統図〕</w:t>
      </w:r>
    </w:p>
    <w:p w14:paraId="27166D4B" w14:textId="55E36F14" w:rsidR="008B4B2B" w:rsidRPr="001D6D10" w:rsidRDefault="008B4B2B" w:rsidP="008B4B2B">
      <w:pPr>
        <w:wordWrap w:val="0"/>
        <w:spacing w:line="362" w:lineRule="exact"/>
        <w:ind w:right="97"/>
      </w:pPr>
      <w:r w:rsidRPr="001D6D10">
        <w:rPr>
          <w:rFonts w:hint="eastAsia"/>
        </w:rPr>
        <w:t xml:space="preserve">　</w:t>
      </w:r>
    </w:p>
    <w:p w14:paraId="226BAB97" w14:textId="50125AE8" w:rsidR="008B4B2B" w:rsidRPr="001D6D10" w:rsidRDefault="008B4B2B" w:rsidP="008B4B2B">
      <w:pPr>
        <w:wordWrap w:val="0"/>
        <w:spacing w:line="362" w:lineRule="exact"/>
        <w:ind w:right="97"/>
      </w:pPr>
      <w:r w:rsidRPr="001D6D10">
        <w:rPr>
          <w:noProof/>
          <w:sz w:val="20"/>
        </w:rPr>
        <mc:AlternateContent>
          <mc:Choice Requires="wps">
            <w:drawing>
              <wp:anchor distT="0" distB="0" distL="114300" distR="114300" simplePos="0" relativeHeight="253583360" behindDoc="0" locked="0" layoutInCell="1" allowOverlap="1" wp14:anchorId="267D7E0F" wp14:editId="1F8C9157">
                <wp:simplePos x="0" y="0"/>
                <wp:positionH relativeFrom="column">
                  <wp:posOffset>222885</wp:posOffset>
                </wp:positionH>
                <wp:positionV relativeFrom="paragraph">
                  <wp:posOffset>135255</wp:posOffset>
                </wp:positionV>
                <wp:extent cx="1697355" cy="272415"/>
                <wp:effectExtent l="13335" t="11430" r="13335" b="11430"/>
                <wp:wrapNone/>
                <wp:docPr id="3584" name="Text Box 290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97355" cy="272415"/>
                        </a:xfrm>
                        <a:prstGeom prst="rect">
                          <a:avLst/>
                        </a:prstGeom>
                        <a:solidFill>
                          <a:srgbClr val="FFFFFF"/>
                        </a:solidFill>
                        <a:ln w="9525">
                          <a:solidFill>
                            <a:srgbClr val="000000"/>
                          </a:solidFill>
                          <a:miter lim="800000"/>
                          <a:headEnd/>
                          <a:tailEnd/>
                        </a:ln>
                      </wps:spPr>
                      <wps:txbx>
                        <w:txbxContent>
                          <w:p w14:paraId="7BDDBA98" w14:textId="77777777" w:rsidR="006A5267" w:rsidRDefault="006A5267" w:rsidP="008B4B2B">
                            <w:pPr>
                              <w:jc w:val="distribute"/>
                            </w:pPr>
                            <w:r>
                              <w:rPr>
                                <w:rFonts w:hint="eastAsia"/>
                                <w:sz w:val="20"/>
                              </w:rPr>
                              <w:t>第五管区海上保安本部</w:t>
                            </w:r>
                          </w:p>
                        </w:txbxContent>
                      </wps:txbx>
                      <wps:bodyPr rot="0" vert="horz" wrap="square" lIns="37440" tIns="24120" rIns="41040" bIns="24120" anchor="t" anchorCtr="0" upright="1">
                        <a:noAutofit/>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shape w14:anchorId="267D7E0F" id="Text Box 2900" o:spid="_x0000_s1818" type="#_x0000_t202" style="position:absolute;left:0;text-align:left;margin-left:17.55pt;margin-top:10.65pt;width:133.65pt;height:21.45pt;z-index:25358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">
                <v:textbox inset="1.04mm,.67mm,1.14mm,.67mm">
                  <w:txbxContent>
                    <w:p w14:paraId="7BDDBA98" w14:textId="77777777" w:rsidR="006A5267" w:rsidRDefault="006A5267" w:rsidP="008B4B2B">
                      <w:pPr>
                        <w:jc w:val="distribute"/>
                      </w:pPr>
                      <w:r>
                        <w:rPr>
                          <w:rFonts w:hint="eastAsia"/>
                          <w:sz w:val="20"/>
                        </w:rPr>
                        <w:t>第五管区海上保安本部</w:t>
                      </w:r>
                    </w:p>
                  </w:txbxContent>
                </v:textbox>
              </v:shape>
            </w:pict>
          </mc:Fallback>
        </mc:AlternateContent>
      </w:r>
    </w:p>
    <w:p w14:paraId="17A2956D" w14:textId="77777777" w:rsidR="008B4B2B" w:rsidRPr="001D6D10" w:rsidRDefault="008B4B2B" w:rsidP="008B4B2B">
      <w:pPr>
        <w:wordWrap w:val="0"/>
        <w:spacing w:line="362" w:lineRule="exact"/>
        <w:ind w:right="97"/>
      </w:pPr>
      <w:r w:rsidRPr="001D6D10">
        <w:rPr>
          <w:noProof/>
          <w:sz w:val="20"/>
        </w:rPr>
        <mc:AlternateContent>
          <mc:Choice Requires="wps">
            <w:drawing>
              <wp:anchor distT="0" distB="0" distL="114300" distR="114300" simplePos="0" relativeHeight="253578240" behindDoc="0" locked="0" layoutInCell="1" allowOverlap="1" wp14:anchorId="0DDACB6E" wp14:editId="546ADFEB">
                <wp:simplePos x="0" y="0"/>
                <wp:positionH relativeFrom="column">
                  <wp:posOffset>222885</wp:posOffset>
                </wp:positionH>
                <wp:positionV relativeFrom="paragraph">
                  <wp:posOffset>177800</wp:posOffset>
                </wp:positionV>
                <wp:extent cx="1697355" cy="276225"/>
                <wp:effectExtent l="13335" t="6350" r="13335" b="12700"/>
                <wp:wrapNone/>
                <wp:docPr id="3583" name="Text Box 289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97355" cy="276225"/>
                        </a:xfrm>
                        <a:prstGeom prst="rect">
                          <a:avLst/>
                        </a:prstGeom>
                        <a:solidFill>
                          <a:srgbClr val="FFFFFF"/>
                        </a:solidFill>
                        <a:ln w="9525">
                          <a:solidFill>
                            <a:srgbClr val="000000"/>
                          </a:solidFill>
                          <a:miter lim="800000"/>
                          <a:headEnd/>
                          <a:tailEnd/>
                        </a:ln>
                      </wps:spPr>
                      <wps:txbx>
                        <w:txbxContent>
                          <w:p w14:paraId="7DAB1199" w14:textId="77777777" w:rsidR="006A5267" w:rsidRPr="008A4793" w:rsidRDefault="006A5267" w:rsidP="008B4B2B">
                            <w:pPr>
                              <w:spacing w:line="280" w:lineRule="atLeast"/>
                              <w:jc w:val="distribute"/>
                              <w:rPr>
                                <w:sz w:val="20"/>
                              </w:rPr>
                            </w:pPr>
                            <w:r w:rsidRPr="008A4793">
                              <w:rPr>
                                <w:rFonts w:hint="eastAsia"/>
                                <w:sz w:val="20"/>
                              </w:rPr>
                              <w:t>近畿地方整備局港湾空港部</w:t>
                            </w:r>
                          </w:p>
                        </w:txbxContent>
                      </wps:txbx>
                      <wps:bodyPr rot="0" vert="horz" wrap="square" lIns="37440" tIns="24120" rIns="41040" bIns="24120" anchor="t" anchorCtr="0" upright="1">
                        <a:noAutofit/>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shape w14:anchorId="0DDACB6E" id="Text Box 2895" o:spid="_x0000_s1819" type="#_x0000_t202" style="position:absolute;left:0;text-align:left;margin-left:17.55pt;margin-top:14pt;width:133.65pt;height:21.75pt;z-index:25357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">
                <v:textbox inset="1.04mm,.67mm,1.14mm,.67mm">
                  <w:txbxContent>
                    <w:p w14:paraId="7DAB1199" w14:textId="77777777" w:rsidR="006A5267" w:rsidRPr="008A4793" w:rsidRDefault="006A5267" w:rsidP="008B4B2B">
                      <w:pPr>
                        <w:spacing w:line="280" w:lineRule="atLeast"/>
                        <w:jc w:val="distribute"/>
                        <w:rPr>
                          <w:sz w:val="20"/>
                        </w:rPr>
                      </w:pPr>
                      <w:r w:rsidRPr="008A4793">
                        <w:rPr>
                          <w:rFonts w:hint="eastAsia"/>
                          <w:sz w:val="20"/>
                        </w:rPr>
                        <w:t>近畿地方整備局港湾空港部</w:t>
                      </w:r>
                    </w:p>
                  </w:txbxContent>
                </v:textbox>
              </v:shape>
            </w:pict>
          </mc:Fallback>
        </mc:AlternateContent>
      </w:r>
      <w:r w:rsidRPr="001D6D10">
        <w:rPr>
          <w:noProof/>
          <w:sz w:val="20"/>
        </w:rPr>
        <mc:AlternateContent>
          <mc:Choice Requires="wps">
            <w:drawing>
              <wp:anchor distT="0" distB="0" distL="114300" distR="114300" simplePos="0" relativeHeight="253581312" behindDoc="0" locked="0" layoutInCell="1" allowOverlap="1" wp14:anchorId="26AAB840" wp14:editId="231D1FC0">
                <wp:simplePos x="0" y="0"/>
                <wp:positionH relativeFrom="column">
                  <wp:posOffset>1920240</wp:posOffset>
                </wp:positionH>
                <wp:positionV relativeFrom="paragraph">
                  <wp:posOffset>196850</wp:posOffset>
                </wp:positionV>
                <wp:extent cx="468630" cy="0"/>
                <wp:effectExtent l="15240" t="63500" r="11430" b="60325"/>
                <wp:wrapNone/>
                <wp:docPr id="3582" name="Line 289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468630" cy="0"/>
                        </a:xfrm>
                        <a:prstGeom prst="line">
                          <a:avLst/>
                        </a:prstGeom>
                        <a:noFill/>
                        <a:ln w="9525">
                          <a:solidFill>
                            <a:srgbClr val="000000"/>
                          </a:solidFill>
                          <a:prstDash val="sysDot"/>
                          <a:round/>
                          <a:headEnd/>
                          <a:tailEnd type="arrow" w="sm" len="sm"/>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line w14:anchorId="4CB3FCCD" id="Line 2898" o:spid="_x0000_s1026" style="position:absolute;left:0;text-align:left;flip:x;z-index:25358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51.2pt,15.5pt" to="188.1pt,1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">
                <v:stroke dashstyle="1 1" endarrow="open" endarrowwidth="narrow" endarrowlength="short"/>
              </v:line>
            </w:pict>
          </mc:Fallback>
        </mc:AlternateContent>
      </w:r>
      <w:r w:rsidRPr="001D6D10">
        <w:rPr>
          <w:noProof/>
          <w:sz w:val="20"/>
        </w:rPr>
        <mc:AlternateContent>
          <mc:Choice Requires="wps">
            <w:drawing>
              <wp:anchor distT="0" distB="0" distL="114300" distR="114300" simplePos="0" relativeHeight="253582336" behindDoc="0" locked="0" layoutInCell="1" allowOverlap="1" wp14:anchorId="723C476B" wp14:editId="2F57D960">
                <wp:simplePos x="0" y="0"/>
                <wp:positionH relativeFrom="column">
                  <wp:posOffset>3840480</wp:posOffset>
                </wp:positionH>
                <wp:positionV relativeFrom="paragraph">
                  <wp:posOffset>82550</wp:posOffset>
                </wp:positionV>
                <wp:extent cx="480060" cy="0"/>
                <wp:effectExtent l="11430" t="63500" r="22860" b="60325"/>
                <wp:wrapNone/>
                <wp:docPr id="3581" name="Line 289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rot="10800000" flipH="1">
                          <a:off x="0" y="0"/>
                          <a:ext cx="480060" cy="0"/>
                        </a:xfrm>
                        <a:prstGeom prst="line">
                          <a:avLst/>
                        </a:prstGeom>
                        <a:noFill/>
                        <a:ln w="9525">
                          <a:solidFill>
                            <a:srgbClr val="000000"/>
                          </a:solidFill>
                          <a:prstDash val="sysDot"/>
                          <a:round/>
                          <a:headEnd/>
                          <a:tailEnd type="arrow" w="sm" len="sm"/>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line w14:anchorId="19573C9A" id="Line 2899" o:spid="_x0000_s1026" style="position:absolute;left:0;text-align:left;rotation:180;flip:x;z-index:25358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02.4pt,6.5pt" to="340.2pt,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">
                <v:stroke dashstyle="1 1" endarrow="open" endarrowwidth="narrow" endarrowlength="short"/>
              </v:line>
            </w:pict>
          </mc:Fallback>
        </mc:AlternateContent>
      </w:r>
    </w:p>
    <w:p w14:paraId="534B3AB5" w14:textId="6A7F47E6" w:rsidR="008B4B2B" w:rsidRPr="001D6D10" w:rsidRDefault="008B4B2B" w:rsidP="008B4B2B">
      <w:pPr>
        <w:wordWrap w:val="0"/>
        <w:spacing w:line="362" w:lineRule="exact"/>
        <w:ind w:right="97"/>
      </w:pPr>
    </w:p>
    <w:p w14:paraId="08180FDE" w14:textId="77777777" w:rsidR="008B4B2B" w:rsidRPr="001D6D10" w:rsidRDefault="008B4B2B" w:rsidP="008B4B2B">
      <w:pPr>
        <w:wordWrap w:val="0"/>
        <w:spacing w:line="362" w:lineRule="exact"/>
        <w:ind w:right="97"/>
      </w:pPr>
    </w:p>
    <w:p w14:paraId="1E257085" w14:textId="77777777" w:rsidR="008B4B2B" w:rsidRPr="001D6D10" w:rsidRDefault="008B4B2B" w:rsidP="008B4B2B">
      <w:pPr>
        <w:wordWrap w:val="0"/>
        <w:spacing w:line="362" w:lineRule="exact"/>
        <w:ind w:right="97"/>
      </w:pPr>
    </w:p>
    <w:p w14:paraId="1D5A72FD" w14:textId="41C69E3E" w:rsidR="008B4B2B" w:rsidRPr="001D6D10" w:rsidRDefault="008B4B2B" w:rsidP="008B4B2B">
      <w:pPr>
        <w:wordWrap w:val="0"/>
        <w:spacing w:line="362" w:lineRule="exact"/>
        <w:ind w:right="97"/>
      </w:pPr>
    </w:p>
    <w:p w14:paraId="31FA1121" w14:textId="17B7D85B" w:rsidR="008B4B2B" w:rsidRPr="001D6D10" w:rsidRDefault="008B4B2B" w:rsidP="008B4B2B">
      <w:pPr>
        <w:wordWrap w:val="0"/>
        <w:spacing w:line="362" w:lineRule="exact"/>
        <w:ind w:right="97"/>
      </w:pPr>
      <w:r w:rsidRPr="001D6D10">
        <w:rPr>
          <w:noProof/>
          <w:sz w:val="20"/>
        </w:rPr>
        <mc:AlternateContent>
          <mc:Choice Requires="wps">
            <w:drawing>
              <wp:anchor distT="0" distB="0" distL="114300" distR="114300" simplePos="0" relativeHeight="253594624" behindDoc="0" locked="0" layoutInCell="1" allowOverlap="1" wp14:anchorId="6A49E158" wp14:editId="5DB49609">
                <wp:simplePos x="0" y="0"/>
                <wp:positionH relativeFrom="column">
                  <wp:posOffset>3604260</wp:posOffset>
                </wp:positionH>
                <wp:positionV relativeFrom="paragraph">
                  <wp:posOffset>62865</wp:posOffset>
                </wp:positionV>
                <wp:extent cx="1436370" cy="686435"/>
                <wp:effectExtent l="41910" t="62865" r="45720" b="60325"/>
                <wp:wrapNone/>
                <wp:docPr id="3580" name="Line 291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1436370" cy="686435"/>
                        </a:xfrm>
                        <a:prstGeom prst="line">
                          <a:avLst/>
                        </a:prstGeom>
                        <a:noFill/>
                        <a:ln w="9525">
                          <a:solidFill>
                            <a:srgbClr val="000000"/>
                          </a:solidFill>
                          <a:prstDash val="sysDot"/>
                          <a:round/>
                          <a:headEnd type="arrow" w="sm" len="sm"/>
                          <a:tailEnd type="arrow" w="sm" len="sm"/>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line w14:anchorId="5671E432" id="Line 2911" o:spid="_x0000_s1026" style="position:absolute;flip:x;z-index:25359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83.8pt,4.95pt" to="396.9pt,5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">
                <v:stroke dashstyle="1 1" startarrow="open" startarrowwidth="narrow" startarrowlength="short" endarrow="open" endarrowwidth="narrow" endarrowlength="short"/>
              </v:line>
            </w:pict>
          </mc:Fallback>
        </mc:AlternateContent>
      </w:r>
      <w:r w:rsidRPr="001D6D10">
        <w:rPr>
          <w:noProof/>
          <w:sz w:val="20"/>
        </w:rPr>
        <mc:AlternateContent>
          <mc:Choice Requires="wps">
            <w:drawing>
              <wp:anchor distT="0" distB="0" distL="114300" distR="114300" simplePos="0" relativeHeight="253606912" behindDoc="0" locked="0" layoutInCell="1" allowOverlap="1" wp14:anchorId="30B0D261" wp14:editId="69F30FE1">
                <wp:simplePos x="0" y="0"/>
                <wp:positionH relativeFrom="column">
                  <wp:posOffset>1920240</wp:posOffset>
                </wp:positionH>
                <wp:positionV relativeFrom="paragraph">
                  <wp:posOffset>193675</wp:posOffset>
                </wp:positionV>
                <wp:extent cx="480060" cy="0"/>
                <wp:effectExtent l="15240" t="60325" r="9525" b="63500"/>
                <wp:wrapNone/>
                <wp:docPr id="3579" name="Line 292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480060" cy="0"/>
                        </a:xfrm>
                        <a:prstGeom prst="line">
                          <a:avLst/>
                        </a:prstGeom>
                        <a:noFill/>
                        <a:ln w="9525">
                          <a:solidFill>
                            <a:srgbClr val="000000"/>
                          </a:solidFill>
                          <a:prstDash val="sysDot"/>
                          <a:round/>
                          <a:headEnd/>
                          <a:tailEnd type="arrow" w="sm" len="sm"/>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line w14:anchorId="638A3194" id="Line 2923" o:spid="_x0000_s1026" style="position:absolute;left:0;text-align:left;flip:x;z-index:2536069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51.2pt,15.25pt" to="189pt,15.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">
                <v:stroke dashstyle="1 1" endarrow="open" endarrowwidth="narrow" endarrowlength="short"/>
              </v:line>
            </w:pict>
          </mc:Fallback>
        </mc:AlternateContent>
      </w:r>
      <w:r w:rsidRPr="001D6D10">
        <w:rPr>
          <w:noProof/>
          <w:sz w:val="20"/>
        </w:rPr>
        <mc:AlternateContent>
          <mc:Choice Requires="wps">
            <w:drawing>
              <wp:anchor distT="0" distB="0" distL="114300" distR="114300" simplePos="0" relativeHeight="253593600" behindDoc="0" locked="0" layoutInCell="1" allowOverlap="1" wp14:anchorId="766EA2A3" wp14:editId="2CB5179C">
                <wp:simplePos x="0" y="0"/>
                <wp:positionH relativeFrom="column">
                  <wp:posOffset>2400300</wp:posOffset>
                </wp:positionH>
                <wp:positionV relativeFrom="paragraph">
                  <wp:posOffset>53340</wp:posOffset>
                </wp:positionV>
                <wp:extent cx="1433830" cy="0"/>
                <wp:effectExtent l="9525" t="5715" r="13970" b="13335"/>
                <wp:wrapNone/>
                <wp:docPr id="3578" name="Line 291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433830" cy="0"/>
                        </a:xfrm>
                        <a:prstGeom prst="line">
                          <a:avLst/>
                        </a:prstGeom>
                        <a:noFill/>
                        <a:ln w="9525">
                          <a:solidFill>
                            <a:srgbClr val="000000"/>
                          </a:solidFill>
                          <a:prstDash val="sysDot"/>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line w14:anchorId="4B8564EA" id="Line 2910" o:spid="_x0000_s1026" style="position:absolute;left:0;text-align:left;z-index:25359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89pt,4.2pt" to="301.9pt,4.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">
                <v:stroke dashstyle="1 1"/>
              </v:line>
            </w:pict>
          </mc:Fallback>
        </mc:AlternateContent>
      </w:r>
    </w:p>
    <w:p w14:paraId="616FE1D3" w14:textId="77777777" w:rsidR="008B4B2B" w:rsidRPr="001D6D10" w:rsidRDefault="008B4B2B" w:rsidP="008B4B2B">
      <w:pPr>
        <w:wordWrap w:val="0"/>
        <w:spacing w:line="362" w:lineRule="exact"/>
        <w:ind w:right="97"/>
      </w:pPr>
    </w:p>
    <w:p w14:paraId="1C373665" w14:textId="2931E53C" w:rsidR="008B4B2B" w:rsidRPr="001D6D10" w:rsidRDefault="008B4B2B" w:rsidP="008B4B2B">
      <w:pPr>
        <w:wordWrap w:val="0"/>
        <w:spacing w:line="362" w:lineRule="exact"/>
        <w:ind w:right="97"/>
      </w:pPr>
    </w:p>
    <w:p w14:paraId="0D2E72E6" w14:textId="77777777" w:rsidR="008B4B2B" w:rsidRPr="001D6D10" w:rsidRDefault="008B4B2B" w:rsidP="008B4B2B">
      <w:pPr>
        <w:wordWrap w:val="0"/>
        <w:spacing w:line="362" w:lineRule="exact"/>
        <w:ind w:right="97"/>
      </w:pPr>
      <w:r w:rsidRPr="001D6D10">
        <w:rPr>
          <w:noProof/>
          <w:sz w:val="20"/>
        </w:rPr>
        <mc:AlternateContent>
          <mc:Choice Requires="wps">
            <w:drawing>
              <wp:anchor distT="0" distB="0" distL="114300" distR="114300" simplePos="0" relativeHeight="253612032" behindDoc="0" locked="0" layoutInCell="1" allowOverlap="1" wp14:anchorId="0B83666A" wp14:editId="3A579297">
                <wp:simplePos x="0" y="0"/>
                <wp:positionH relativeFrom="column">
                  <wp:posOffset>1440180</wp:posOffset>
                </wp:positionH>
                <wp:positionV relativeFrom="paragraph">
                  <wp:posOffset>181610</wp:posOffset>
                </wp:positionV>
                <wp:extent cx="720090" cy="432435"/>
                <wp:effectExtent l="11430" t="10160" r="49530" b="62230"/>
                <wp:wrapNone/>
                <wp:docPr id="3577" name="Line 292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rot="10800000" flipH="1" flipV="1">
                          <a:off x="0" y="0"/>
                          <a:ext cx="720090" cy="432435"/>
                        </a:xfrm>
                        <a:prstGeom prst="line">
                          <a:avLst/>
                        </a:prstGeom>
                        <a:noFill/>
                        <a:ln w="9525">
                          <a:solidFill>
                            <a:srgbClr val="000000"/>
                          </a:solidFill>
                          <a:prstDash val="sysDot"/>
                          <a:round/>
                          <a:headEnd/>
                          <a:tailEnd type="arrow" w="sm" len="sm"/>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line w14:anchorId="2E4E1D45" id="Line 2928" o:spid="_x0000_s1026" style="position:absolute;left:0;text-align:left;rotation:180;flip:x y;z-index:2536120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13.4pt,14.3pt" to="170.1pt,48.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">
                <v:stroke dashstyle="1 1" endarrow="open" endarrowwidth="narrow" endarrowlength="short"/>
              </v:line>
            </w:pict>
          </mc:Fallback>
        </mc:AlternateContent>
      </w:r>
    </w:p>
    <w:p w14:paraId="49FA897E" w14:textId="5F8F3560" w:rsidR="008B4B2B" w:rsidRPr="001D6D10" w:rsidRDefault="008B4B2B" w:rsidP="008B4B2B">
      <w:pPr>
        <w:wordWrap w:val="0"/>
        <w:spacing w:line="362" w:lineRule="exact"/>
        <w:ind w:right="97"/>
      </w:pPr>
      <w:r w:rsidRPr="001D6D10">
        <w:rPr>
          <w:noProof/>
          <w:sz w:val="20"/>
        </w:rPr>
        <mc:AlternateContent>
          <mc:Choice Requires="wps">
            <w:drawing>
              <wp:anchor distT="0" distB="0" distL="114300" distR="114300" simplePos="0" relativeHeight="253609984" behindDoc="0" locked="0" layoutInCell="1" allowOverlap="1" wp14:anchorId="5C36C92C" wp14:editId="4E2748E4">
                <wp:simplePos x="0" y="0"/>
                <wp:positionH relativeFrom="column">
                  <wp:posOffset>3840480</wp:posOffset>
                </wp:positionH>
                <wp:positionV relativeFrom="paragraph">
                  <wp:posOffset>10795</wp:posOffset>
                </wp:positionV>
                <wp:extent cx="480060" cy="0"/>
                <wp:effectExtent l="20955" t="67945" r="22860" b="65405"/>
                <wp:wrapNone/>
                <wp:docPr id="3576" name="Line 292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rot="10800000" flipH="1">
                          <a:off x="0" y="0"/>
                          <a:ext cx="480060" cy="0"/>
                        </a:xfrm>
                        <a:prstGeom prst="line">
                          <a:avLst/>
                        </a:prstGeom>
                        <a:noFill/>
                        <a:ln w="9525">
                          <a:solidFill>
                            <a:srgbClr val="000000"/>
                          </a:solidFill>
                          <a:round/>
                          <a:headEnd type="arrow" w="sm" len="sm"/>
                          <a:tailEnd type="arrow" w="sm" len="sm"/>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line w14:anchorId="6EDF45F5" id="Line 2926" o:spid="_x0000_s1026" style="position:absolute;rotation:180;flip:x;z-index:2536099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02.4pt,.85pt" to="340.2pt,.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">
                <v:stroke startarrow="open" startarrowwidth="narrow" startarrowlength="short" endarrow="open" endarrowwidth="narrow" endarrowlength="short"/>
              </v:line>
            </w:pict>
          </mc:Fallback>
        </mc:AlternateContent>
      </w:r>
      <w:r w:rsidRPr="001D6D10">
        <w:rPr>
          <w:noProof/>
          <w:sz w:val="20"/>
        </w:rPr>
        <mc:AlternateContent>
          <mc:Choice Requires="wps">
            <w:drawing>
              <wp:anchor distT="0" distB="0" distL="114300" distR="114300" simplePos="0" relativeHeight="253611008" behindDoc="0" locked="0" layoutInCell="1" allowOverlap="1" wp14:anchorId="23B63679" wp14:editId="1CFD85FF">
                <wp:simplePos x="0" y="0"/>
                <wp:positionH relativeFrom="column">
                  <wp:posOffset>2994660</wp:posOffset>
                </wp:positionH>
                <wp:positionV relativeFrom="paragraph">
                  <wp:posOffset>259080</wp:posOffset>
                </wp:positionV>
                <wp:extent cx="250825" cy="0"/>
                <wp:effectExtent l="62865" t="19050" r="60960" b="15875"/>
                <wp:wrapNone/>
                <wp:docPr id="3575" name="Line 292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rot="16200000" flipH="1">
                          <a:off x="0" y="0"/>
                          <a:ext cx="250825" cy="0"/>
                        </a:xfrm>
                        <a:prstGeom prst="line">
                          <a:avLst/>
                        </a:prstGeom>
                        <a:noFill/>
                        <a:ln w="9525">
                          <a:solidFill>
                            <a:srgbClr val="000000"/>
                          </a:solidFill>
                          <a:round/>
                          <a:headEnd type="arrow" w="sm" len="sm"/>
                          <a:tailEnd type="arrow" w="sm" len="sm"/>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line w14:anchorId="55C9B7ED" id="Line 2927" o:spid="_x0000_s1026" style="position:absolute;left:0;text-align:left;rotation:90;flip:x;z-index:2536110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35.8pt,20.4pt" to="255.55pt,20.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">
                <v:stroke startarrow="open" startarrowwidth="narrow" startarrowlength="short" endarrow="open" endarrowwidth="narrow" endarrowlength="short"/>
              </v:line>
            </w:pict>
          </mc:Fallback>
        </mc:AlternateContent>
      </w:r>
    </w:p>
    <w:p w14:paraId="2B79797F" w14:textId="5AF5A342" w:rsidR="008B4B2B" w:rsidRPr="001D6D10" w:rsidRDefault="008B4B2B" w:rsidP="008B4B2B">
      <w:pPr>
        <w:wordWrap w:val="0"/>
        <w:spacing w:line="362" w:lineRule="exact"/>
        <w:ind w:right="97"/>
      </w:pPr>
      <w:r w:rsidRPr="001D6D10">
        <w:rPr>
          <w:noProof/>
          <w:sz w:val="20"/>
        </w:rPr>
        <mc:AlternateContent>
          <mc:Choice Requires="wps">
            <w:drawing>
              <wp:anchor distT="0" distB="0" distL="114300" distR="114300" simplePos="0" relativeHeight="253605888" behindDoc="0" locked="0" layoutInCell="1" allowOverlap="1" wp14:anchorId="6735A8F2" wp14:editId="36544935">
                <wp:simplePos x="0" y="0"/>
                <wp:positionH relativeFrom="column">
                  <wp:posOffset>1560195</wp:posOffset>
                </wp:positionH>
                <wp:positionV relativeFrom="paragraph">
                  <wp:posOffset>245110</wp:posOffset>
                </wp:positionV>
                <wp:extent cx="600075" cy="0"/>
                <wp:effectExtent l="17145" t="64135" r="20955" b="59690"/>
                <wp:wrapNone/>
                <wp:docPr id="3574" name="Line 292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rot="10800000" flipH="1">
                          <a:off x="0" y="0"/>
                          <a:ext cx="600075" cy="0"/>
                        </a:xfrm>
                        <a:prstGeom prst="line">
                          <a:avLst/>
                        </a:prstGeom>
                        <a:noFill/>
                        <a:ln w="9525">
                          <a:solidFill>
                            <a:srgbClr val="000000"/>
                          </a:solidFill>
                          <a:round/>
                          <a:headEnd type="arrow" w="sm" len="sm"/>
                          <a:tailEnd type="arrow" w="sm" len="sm"/>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line w14:anchorId="469FA261" id="Line 2922" o:spid="_x0000_s1026" style="position:absolute;rotation:180;flip:x;z-index:2536058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22.85pt,19.3pt" to="170.1pt,19.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">
                <v:stroke startarrow="open" startarrowwidth="narrow" startarrowlength="short" endarrow="open" endarrowwidth="narrow" endarrowlength="short"/>
              </v:line>
            </w:pict>
          </mc:Fallback>
        </mc:AlternateContent>
      </w:r>
      <w:r w:rsidRPr="001D6D10">
        <w:rPr>
          <w:noProof/>
          <w:sz w:val="20"/>
        </w:rPr>
        <mc:AlternateContent>
          <mc:Choice Requires="wps">
            <w:drawing>
              <wp:anchor distT="0" distB="0" distL="114300" distR="114300" simplePos="0" relativeHeight="253604864" behindDoc="0" locked="0" layoutInCell="1" allowOverlap="1" wp14:anchorId="46DC733D" wp14:editId="365C4442">
                <wp:simplePos x="0" y="0"/>
                <wp:positionH relativeFrom="column">
                  <wp:posOffset>480060</wp:posOffset>
                </wp:positionH>
                <wp:positionV relativeFrom="paragraph">
                  <wp:posOffset>154305</wp:posOffset>
                </wp:positionV>
                <wp:extent cx="1080135" cy="272415"/>
                <wp:effectExtent l="13335" t="11430" r="11430" b="11430"/>
                <wp:wrapNone/>
                <wp:docPr id="3573" name="Text Box 292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80135" cy="272415"/>
                        </a:xfrm>
                        <a:prstGeom prst="rect">
                          <a:avLst/>
                        </a:prstGeom>
                        <a:solidFill>
                          <a:srgbClr val="FFFFFF"/>
                        </a:solidFill>
                        <a:ln w="9525">
                          <a:solidFill>
                            <a:srgbClr val="000000"/>
                          </a:solidFill>
                          <a:miter lim="800000"/>
                          <a:headEnd/>
                          <a:tailEnd/>
                        </a:ln>
                      </wps:spPr>
                      <wps:txbx>
                        <w:txbxContent>
                          <w:p w14:paraId="73997373" w14:textId="77777777" w:rsidR="006A5267" w:rsidRDefault="006A5267" w:rsidP="008B4B2B">
                            <w:pPr>
                              <w:jc w:val="distribute"/>
                            </w:pPr>
                            <w:r>
                              <w:rPr>
                                <w:rFonts w:hint="eastAsia"/>
                              </w:rPr>
                              <w:t>消防庁</w:t>
                            </w:r>
                          </w:p>
                        </w:txbxContent>
                      </wps:txbx>
                      <wps:bodyPr rot="0" vert="horz" wrap="square" lIns="37440" tIns="24120" rIns="41040" bIns="24120" anchor="t" anchorCtr="0" upright="1">
                        <a:noAutofit/>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shape w14:anchorId="46DC733D" id="Text Box 2921" o:spid="_x0000_s1820" type="#_x0000_t202" style="position:absolute;left:0;text-align:left;margin-left:37.8pt;margin-top:12.15pt;width:85.05pt;height:21.45pt;z-index:2536048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">
                <v:textbox inset="1.04mm,.67mm,1.14mm,.67mm">
                  <w:txbxContent>
                    <w:p w14:paraId="73997373" w14:textId="77777777" w:rsidR="006A5267" w:rsidRDefault="006A5267" w:rsidP="008B4B2B">
                      <w:pPr>
                        <w:jc w:val="distribute"/>
                      </w:pPr>
                      <w:r>
                        <w:rPr>
                          <w:rFonts w:hint="eastAsia"/>
                        </w:rPr>
                        <w:t>消防庁</w:t>
                      </w:r>
                    </w:p>
                  </w:txbxContent>
                </v:textbox>
              </v:shape>
            </w:pict>
          </mc:Fallback>
        </mc:AlternateContent>
      </w:r>
      <w:r w:rsidRPr="001D6D10">
        <w:rPr>
          <w:noProof/>
          <w:sz w:val="20"/>
        </w:rPr>
        <mc:AlternateContent>
          <mc:Choice Requires="wps">
            <w:drawing>
              <wp:anchor distT="0" distB="0" distL="114300" distR="114300" simplePos="0" relativeHeight="253591552" behindDoc="0" locked="0" layoutInCell="1" allowOverlap="1" wp14:anchorId="67597B8F" wp14:editId="0CB361EF">
                <wp:simplePos x="0" y="0"/>
                <wp:positionH relativeFrom="column">
                  <wp:posOffset>2160270</wp:posOffset>
                </wp:positionH>
                <wp:positionV relativeFrom="paragraph">
                  <wp:posOffset>161290</wp:posOffset>
                </wp:positionV>
                <wp:extent cx="1680210" cy="272415"/>
                <wp:effectExtent l="7620" t="8890" r="7620" b="13970"/>
                <wp:wrapNone/>
                <wp:docPr id="3572" name="Text Box 290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80210" cy="272415"/>
                        </a:xfrm>
                        <a:prstGeom prst="rect">
                          <a:avLst/>
                        </a:prstGeom>
                        <a:solidFill>
                          <a:srgbClr val="FFFFFF"/>
                        </a:solidFill>
                        <a:ln w="9525">
                          <a:solidFill>
                            <a:srgbClr val="000000"/>
                          </a:solidFill>
                          <a:miter lim="800000"/>
                          <a:headEnd/>
                          <a:tailEnd/>
                        </a:ln>
                      </wps:spPr>
                      <wps:txbx>
                        <w:txbxContent>
                          <w:p w14:paraId="49D6E596" w14:textId="77777777" w:rsidR="006A5267" w:rsidRDefault="006A5267" w:rsidP="008B4B2B">
                            <w:pPr>
                              <w:jc w:val="distribute"/>
                            </w:pPr>
                            <w:r>
                              <w:rPr>
                                <w:rFonts w:hint="eastAsia"/>
                              </w:rPr>
                              <w:t>大阪府危機管理室</w:t>
                            </w:r>
                          </w:p>
                        </w:txbxContent>
                      </wps:txbx>
                      <wps:bodyPr rot="0" vert="horz" wrap="square" lIns="37440" tIns="24120" rIns="41040" bIns="24120" anchor="t" anchorCtr="0" upright="1">
                        <a:noAutofit/>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shape w14:anchorId="67597B8F" id="Text Box 2908" o:spid="_x0000_s1821" type="#_x0000_t202" style="position:absolute;left:0;text-align:left;margin-left:170.1pt;margin-top:12.7pt;width:132.3pt;height:21.45pt;z-index:25359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">
                <v:textbox inset="1.04mm,.67mm,1.14mm,.67mm">
                  <w:txbxContent>
                    <w:p w14:paraId="49D6E596" w14:textId="77777777" w:rsidR="006A5267" w:rsidRDefault="006A5267" w:rsidP="008B4B2B">
                      <w:pPr>
                        <w:jc w:val="distribute"/>
                      </w:pPr>
                      <w:r>
                        <w:rPr>
                          <w:rFonts w:hint="eastAsia"/>
                        </w:rPr>
                        <w:t>大阪府危機管理室</w:t>
                      </w:r>
                    </w:p>
                  </w:txbxContent>
                </v:textbox>
              </v:shape>
            </w:pict>
          </mc:Fallback>
        </mc:AlternateContent>
      </w:r>
      <w:r w:rsidRPr="001D6D10">
        <w:rPr>
          <w:noProof/>
          <w:sz w:val="20"/>
        </w:rPr>
        <mc:AlternateContent>
          <mc:Choice Requires="wps">
            <w:drawing>
              <wp:anchor distT="0" distB="0" distL="114300" distR="114300" simplePos="0" relativeHeight="253590528" behindDoc="0" locked="0" layoutInCell="1" allowOverlap="1" wp14:anchorId="07AF4FC2" wp14:editId="58C0CC03">
                <wp:simplePos x="0" y="0"/>
                <wp:positionH relativeFrom="column">
                  <wp:posOffset>4320540</wp:posOffset>
                </wp:positionH>
                <wp:positionV relativeFrom="paragraph">
                  <wp:posOffset>161290</wp:posOffset>
                </wp:positionV>
                <wp:extent cx="1440180" cy="272415"/>
                <wp:effectExtent l="5715" t="8890" r="11430" b="13970"/>
                <wp:wrapNone/>
                <wp:docPr id="3571" name="Text Box 290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40180" cy="272415"/>
                        </a:xfrm>
                        <a:prstGeom prst="rect">
                          <a:avLst/>
                        </a:prstGeom>
                        <a:solidFill>
                          <a:srgbClr val="FFFFFF"/>
                        </a:solidFill>
                        <a:ln w="9525">
                          <a:solidFill>
                            <a:srgbClr val="000000"/>
                          </a:solidFill>
                          <a:miter lim="800000"/>
                          <a:headEnd/>
                          <a:tailEnd/>
                        </a:ln>
                      </wps:spPr>
                      <wps:txbx>
                        <w:txbxContent>
                          <w:p w14:paraId="31B8F979" w14:textId="77777777" w:rsidR="006A5267" w:rsidRDefault="006A5267" w:rsidP="008B4B2B">
                            <w:pPr>
                              <w:jc w:val="distribute"/>
                            </w:pPr>
                            <w:r>
                              <w:rPr>
                                <w:rFonts w:hint="eastAsia"/>
                              </w:rPr>
                              <w:t>陸上自衛隊第３師団</w:t>
                            </w:r>
                          </w:p>
                        </w:txbxContent>
                      </wps:txbx>
                      <wps:bodyPr rot="0" vert="horz" wrap="square" lIns="37440" tIns="24120" rIns="41040" bIns="24120" anchor="t" anchorCtr="0" upright="1">
                        <a:noAutofit/>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shape w14:anchorId="07AF4FC2" id="Text Box 2907" o:spid="_x0000_s1822" type="#_x0000_t202" style="position:absolute;left:0;text-align:left;margin-left:340.2pt;margin-top:12.7pt;width:113.4pt;height:21.45pt;z-index:25359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">
                <v:textbox inset="1.04mm,.67mm,1.14mm,.67mm">
                  <w:txbxContent>
                    <w:p w14:paraId="31B8F979" w14:textId="77777777" w:rsidR="006A5267" w:rsidRDefault="006A5267" w:rsidP="008B4B2B">
                      <w:pPr>
                        <w:jc w:val="distribute"/>
                      </w:pPr>
                      <w:r>
                        <w:rPr>
                          <w:rFonts w:hint="eastAsia"/>
                        </w:rPr>
                        <w:t>陸上自衛隊第３師団</w:t>
                      </w:r>
                    </w:p>
                  </w:txbxContent>
                </v:textbox>
              </v:shape>
            </w:pict>
          </mc:Fallback>
        </mc:AlternateContent>
      </w:r>
    </w:p>
    <w:p w14:paraId="6E36C4FE" w14:textId="345A24F4" w:rsidR="008B4B2B" w:rsidRPr="001D6D10" w:rsidRDefault="008B4B2B" w:rsidP="008B4B2B">
      <w:pPr>
        <w:wordWrap w:val="0"/>
        <w:spacing w:line="362" w:lineRule="exact"/>
        <w:ind w:right="97"/>
      </w:pPr>
      <w:r w:rsidRPr="001D6D10">
        <w:rPr>
          <w:noProof/>
          <w:sz w:val="20"/>
        </w:rPr>
        <mc:AlternateContent>
          <mc:Choice Requires="wps">
            <w:drawing>
              <wp:anchor distT="0" distB="0" distL="114300" distR="114300" simplePos="0" relativeHeight="253595648" behindDoc="0" locked="0" layoutInCell="1" allowOverlap="1" wp14:anchorId="113295BC" wp14:editId="5529065B">
                <wp:simplePos x="0" y="0"/>
                <wp:positionH relativeFrom="column">
                  <wp:posOffset>4077335</wp:posOffset>
                </wp:positionH>
                <wp:positionV relativeFrom="paragraph">
                  <wp:posOffset>-163830</wp:posOffset>
                </wp:positionV>
                <wp:extent cx="0" cy="486410"/>
                <wp:effectExtent l="14605" t="60325" r="22860" b="63500"/>
                <wp:wrapNone/>
                <wp:docPr id="3570" name="Line 291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rot="16200000" flipH="1" flipV="1">
                          <a:off x="0" y="0"/>
                          <a:ext cx="0" cy="486410"/>
                        </a:xfrm>
                        <a:prstGeom prst="line">
                          <a:avLst/>
                        </a:prstGeom>
                        <a:noFill/>
                        <a:ln w="9525">
                          <a:solidFill>
                            <a:srgbClr val="000000"/>
                          </a:solidFill>
                          <a:prstDash val="sysDot"/>
                          <a:round/>
                          <a:headEnd type="arrow" w="sm" len="sm"/>
                          <a:tailEnd type="arrow" w="sm" len="sm"/>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line w14:anchorId="411A4D27" id="Line 2912" o:spid="_x0000_s1026" style="position:absolute;rotation:-90;flip:x y;z-index:25359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21.05pt,-12.9pt" to="321.05pt,25.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">
                <v:stroke dashstyle="1 1" startarrow="open" startarrowwidth="narrow" startarrowlength="short" endarrow="open" endarrowwidth="narrow" endarrowlength="short"/>
              </v:line>
            </w:pict>
          </mc:Fallback>
        </mc:AlternateContent>
      </w:r>
    </w:p>
    <w:p w14:paraId="46302588" w14:textId="652E5848" w:rsidR="008B4B2B" w:rsidRPr="001D6D10" w:rsidRDefault="008B4B2B" w:rsidP="008B4B2B">
      <w:pPr>
        <w:wordWrap w:val="0"/>
        <w:spacing w:line="362" w:lineRule="exact"/>
        <w:ind w:right="97"/>
      </w:pPr>
    </w:p>
    <w:p w14:paraId="401CA38E" w14:textId="05BD1056" w:rsidR="00610A64" w:rsidRDefault="005F4A67">
      <w:pPr>
        <w:widowControl/>
        <w:jc w:val="left"/>
        <w:rPr>
          <w:rFonts w:ascii="ＭＳ 明朝" w:hAnsi="Courier New" w:cs="Courier New"/>
          <w:szCs w:val="21"/>
        </w:rPr>
      </w:pPr>
      <w:r w:rsidRPr="001D6D10">
        <w:rPr>
          <w:rFonts w:hint="eastAsia"/>
          <w:noProof/>
        </w:rPr>
        <mc:AlternateContent>
          <mc:Choice Requires="wps">
            <w:drawing>
              <wp:anchor distT="0" distB="0" distL="114300" distR="114300" simplePos="0" relativeHeight="254386176" behindDoc="0" locked="0" layoutInCell="1" allowOverlap="1" wp14:anchorId="0FAB36B4" wp14:editId="502E842B">
                <wp:simplePos x="0" y="0"/>
                <wp:positionH relativeFrom="column">
                  <wp:posOffset>3796665</wp:posOffset>
                </wp:positionH>
                <wp:positionV relativeFrom="paragraph">
                  <wp:posOffset>501015</wp:posOffset>
                </wp:positionV>
                <wp:extent cx="213995" cy="0"/>
                <wp:effectExtent l="0" t="0" r="0" b="0"/>
                <wp:wrapNone/>
                <wp:docPr id="1270123094" name="Line 279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1399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line w14:anchorId="7051CA5A" id="Line 2797" o:spid="_x0000_s1026" style="position:absolute;z-index:2543861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98.95pt,39.45pt" to="315.8pt,39.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"/>
            </w:pict>
          </mc:Fallback>
        </mc:AlternateContent>
      </w:r>
      <w:r w:rsidR="00B93B64" w:rsidRPr="001D6D10">
        <w:rPr>
          <w:rFonts w:hint="eastAsia"/>
          <w:noProof/>
        </w:rPr>
        <mc:AlternateContent>
          <mc:Choice Requires="wps">
            <w:drawing>
              <wp:anchor distT="0" distB="0" distL="114300" distR="114300" simplePos="0" relativeHeight="254384128" behindDoc="0" locked="0" layoutInCell="1" allowOverlap="1" wp14:anchorId="465E17A3" wp14:editId="67D8E645">
                <wp:simplePos x="0" y="0"/>
                <wp:positionH relativeFrom="column">
                  <wp:posOffset>3787140</wp:posOffset>
                </wp:positionH>
                <wp:positionV relativeFrom="paragraph">
                  <wp:posOffset>725805</wp:posOffset>
                </wp:positionV>
                <wp:extent cx="213995" cy="0"/>
                <wp:effectExtent l="9525" t="5715" r="5080" b="13335"/>
                <wp:wrapNone/>
                <wp:docPr id="1721635941" name="Line 279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13995" cy="0"/>
                        </a:xfrm>
                        <a:prstGeom prst="line">
                          <a:avLst/>
                        </a:prstGeom>
                        <a:noFill/>
                        <a:ln w="9525">
                          <a:solidFill>
                            <a:srgbClr val="000000"/>
                          </a:solidFill>
                          <a:prstDash val="sysDot"/>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line w14:anchorId="0A000C8F" id="Line 2798" o:spid="_x0000_s1026" style="position:absolute;z-index:2543841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98.2pt,57.15pt" to="315.05pt,57.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">
                <v:stroke dashstyle="1 1"/>
              </v:line>
            </w:pict>
          </mc:Fallback>
        </mc:AlternateContent>
      </w:r>
      <w:r w:rsidR="00610A64">
        <w:br w:type="page"/>
      </w:r>
    </w:p>
    <w:p w14:paraId="6DA33F78" w14:textId="3DA1DF4C" w:rsidR="008B4B2B" w:rsidRPr="00033310" w:rsidRDefault="008B4B2B" w:rsidP="00E0548A">
      <w:pPr>
        <w:pStyle w:val="3"/>
        <w:ind w:firstLine="442"/>
      </w:pPr>
      <w:bookmarkStart w:id="446" w:name="_Toc122436984"/>
      <w:bookmarkStart w:id="447" w:name="_Toc222433315"/>
      <w:bookmarkStart w:id="448" w:name="_Toc222486683"/>
      <w:bookmarkStart w:id="449" w:name="_Toc242870353"/>
      <w:r w:rsidRPr="00610BB0">
        <w:rPr>
          <w:rFonts w:hint="eastAsia"/>
        </w:rPr>
        <w:lastRenderedPageBreak/>
        <w:t>第５　管理化学物質災害応急対策（事業所指導課）</w:t>
      </w:r>
      <w:bookmarkEnd w:id="446"/>
      <w:bookmarkEnd w:id="447"/>
      <w:bookmarkEnd w:id="448"/>
      <w:bookmarkEnd w:id="449"/>
    </w:p>
    <w:p w14:paraId="2AC6DBBA" w14:textId="77777777" w:rsidR="008B4B2B" w:rsidRPr="001D6D10" w:rsidRDefault="008B4B2B" w:rsidP="008B4B2B">
      <w:pPr>
        <w:pStyle w:val="a0"/>
        <w:ind w:left="884" w:hangingChars="400" w:hanging="884"/>
        <w:rPr>
          <w:rFonts w:hAnsi="ＭＳ 明朝"/>
          <w:bCs/>
          <w:sz w:val="22"/>
          <w:szCs w:val="22"/>
        </w:rPr>
      </w:pPr>
      <w:r w:rsidRPr="001D6D10">
        <w:rPr>
          <w:rFonts w:ascii="ＭＳ ゴシック" w:eastAsia="ＭＳ ゴシック" w:hAnsi="ＭＳ ゴシック" w:hint="eastAsia"/>
          <w:bCs/>
          <w:sz w:val="22"/>
          <w:szCs w:val="22"/>
        </w:rPr>
        <w:t xml:space="preserve">　　　</w:t>
      </w:r>
      <w:r w:rsidRPr="001D6D10">
        <w:rPr>
          <w:rFonts w:hAnsi="ＭＳ 明朝" w:hint="eastAsia"/>
          <w:bCs/>
          <w:sz w:val="22"/>
          <w:szCs w:val="22"/>
        </w:rPr>
        <w:t>１　管理化学物質が流出し住民の健康に被害を及ぼすおそれがある際等は、管理化学物質を取扱う施設の管理責任者に対し、被害の拡大防止等の応急措置を講じるよう指示する。</w:t>
      </w:r>
    </w:p>
    <w:p w14:paraId="29E82F3C" w14:textId="77777777" w:rsidR="008B4B2B" w:rsidRPr="001D6D10" w:rsidRDefault="008B4B2B" w:rsidP="008B4B2B">
      <w:pPr>
        <w:pStyle w:val="a0"/>
        <w:ind w:left="884" w:rightChars="-108" w:right="-228" w:hangingChars="400" w:hanging="884"/>
        <w:rPr>
          <w:rFonts w:hAnsi="ＭＳ 明朝"/>
          <w:bCs/>
          <w:sz w:val="22"/>
          <w:szCs w:val="22"/>
        </w:rPr>
      </w:pPr>
      <w:r w:rsidRPr="001D6D10">
        <w:rPr>
          <w:rFonts w:hAnsi="ＭＳ 明朝" w:hint="eastAsia"/>
          <w:bCs/>
          <w:sz w:val="22"/>
          <w:szCs w:val="22"/>
        </w:rPr>
        <w:t xml:space="preserve">　　　２　関係機関との連携を密にし、管理化学物質に係る災害情報の収集、伝達に努め、住民等の避難や広報等の必要な措置を行う。</w:t>
      </w:r>
    </w:p>
    <w:p w14:paraId="4B68E145" w14:textId="77777777" w:rsidR="008B4B2B" w:rsidRPr="001D6D10" w:rsidRDefault="008B4B2B" w:rsidP="008B4B2B">
      <w:pPr>
        <w:pStyle w:val="a0"/>
        <w:ind w:left="884" w:hangingChars="400" w:hanging="884"/>
        <w:rPr>
          <w:rFonts w:hAnsi="ＭＳ 明朝"/>
          <w:bCs/>
          <w:sz w:val="22"/>
          <w:szCs w:val="22"/>
        </w:rPr>
      </w:pPr>
    </w:p>
    <w:p w14:paraId="1196F10E" w14:textId="77777777" w:rsidR="008B4B2B" w:rsidRPr="001D6D10" w:rsidRDefault="008B4B2B" w:rsidP="008B4B2B">
      <w:pPr>
        <w:wordWrap w:val="0"/>
        <w:spacing w:line="362" w:lineRule="exact"/>
        <w:ind w:right="97"/>
      </w:pPr>
      <w:r w:rsidRPr="001D6D10">
        <w:rPr>
          <w:rFonts w:hint="eastAsia"/>
        </w:rPr>
        <w:t>別図〔連絡系統図〕</w:t>
      </w:r>
    </w:p>
    <w:p w14:paraId="66AA6985" w14:textId="0F395280" w:rsidR="008B4B2B" w:rsidRPr="001D6D10" w:rsidRDefault="001111CC" w:rsidP="008B4B2B">
      <w:pPr>
        <w:wordWrap w:val="0"/>
        <w:spacing w:line="362" w:lineRule="exact"/>
        <w:ind w:right="97"/>
      </w:pPr>
      <w:r w:rsidRPr="001111CC">
        <w:rPr>
          <w:rFonts w:hint="eastAsia"/>
          <w:noProof/>
        </w:rPr>
        <mc:AlternateContent>
          <mc:Choice Requires="wps">
            <w:drawing>
              <wp:anchor distT="0" distB="0" distL="114300" distR="114300" simplePos="0" relativeHeight="254325760" behindDoc="0" locked="0" layoutInCell="1" allowOverlap="1" wp14:anchorId="13DF1E76" wp14:editId="5C95B94E">
                <wp:simplePos x="0" y="0"/>
                <wp:positionH relativeFrom="column">
                  <wp:posOffset>2177415</wp:posOffset>
                </wp:positionH>
                <wp:positionV relativeFrom="paragraph">
                  <wp:posOffset>167640</wp:posOffset>
                </wp:positionV>
                <wp:extent cx="1725930" cy="544830"/>
                <wp:effectExtent l="9525" t="11430" r="7620" b="5715"/>
                <wp:wrapNone/>
                <wp:docPr id="3879" name="Text Box 292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25930" cy="544830"/>
                        </a:xfrm>
                        <a:prstGeom prst="rect">
                          <a:avLst/>
                        </a:prstGeom>
                        <a:solidFill>
                          <a:srgbClr val="FFFFFF"/>
                        </a:solidFill>
                        <a:ln w="9525">
                          <a:solidFill>
                            <a:srgbClr val="000000"/>
                          </a:solidFill>
                          <a:miter lim="800000"/>
                          <a:headEnd/>
                          <a:tailEnd/>
                        </a:ln>
                      </wps:spPr>
                      <wps:txbx>
                        <w:txbxContent>
                          <w:p w14:paraId="1503131D" w14:textId="77777777" w:rsidR="001111CC" w:rsidRPr="00EE798C" w:rsidRDefault="001111CC" w:rsidP="001111CC">
                            <w:pPr>
                              <w:jc w:val="distribute"/>
                            </w:pPr>
                            <w:r w:rsidRPr="00EE798C">
                              <w:rPr>
                                <w:rFonts w:hint="eastAsia"/>
                              </w:rPr>
                              <w:t>発見者</w:t>
                            </w:r>
                          </w:p>
                          <w:p w14:paraId="32010033" w14:textId="77777777" w:rsidR="001111CC" w:rsidRPr="00EE798C" w:rsidRDefault="001111CC" w:rsidP="001111CC">
                            <w:pPr>
                              <w:spacing w:line="60" w:lineRule="exact"/>
                              <w:jc w:val="distribute"/>
                            </w:pPr>
                          </w:p>
                          <w:p w14:paraId="6B7174FF" w14:textId="77777777" w:rsidR="001111CC" w:rsidRPr="00EE798C" w:rsidRDefault="001111CC" w:rsidP="001111CC">
                            <w:pPr>
                              <w:jc w:val="distribute"/>
                            </w:pPr>
                            <w:r w:rsidRPr="00EE798C">
                              <w:rPr>
                                <w:rFonts w:hint="eastAsia"/>
                              </w:rPr>
                              <w:t>管理化学物質取扱事業者</w:t>
                            </w:r>
                          </w:p>
                        </w:txbxContent>
                      </wps:txbx>
                      <wps:bodyPr rot="0" vert="horz" wrap="square" lIns="37440" tIns="24120" rIns="41040" bIns="24120" anchor="t" anchorCtr="0" upright="1">
                        <a:noAutofit/>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shape w14:anchorId="13DF1E76" id="Text Box 2929" o:spid="_x0000_s1823" type="#_x0000_t202" style="position:absolute;left:0;text-align:left;margin-left:171.45pt;margin-top:13.2pt;width:135.9pt;height:42.9pt;z-index:2543257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">
                <v:textbox inset="1.04mm,.67mm,1.14mm,.67mm">
                  <w:txbxContent>
                    <w:p w14:paraId="1503131D" w14:textId="77777777" w:rsidR="001111CC" w:rsidRPr="00EE798C" w:rsidRDefault="001111CC" w:rsidP="001111CC">
                      <w:pPr>
                        <w:jc w:val="distribute"/>
                      </w:pPr>
                      <w:r w:rsidRPr="00EE798C">
                        <w:rPr>
                          <w:rFonts w:hint="eastAsia"/>
                        </w:rPr>
                        <w:t>発見者</w:t>
                      </w:r>
                    </w:p>
                    <w:p w14:paraId="32010033" w14:textId="77777777" w:rsidR="001111CC" w:rsidRPr="00EE798C" w:rsidRDefault="001111CC" w:rsidP="001111CC">
                      <w:pPr>
                        <w:spacing w:line="60" w:lineRule="exact"/>
                        <w:jc w:val="distribute"/>
                      </w:pPr>
                    </w:p>
                    <w:p w14:paraId="6B7174FF" w14:textId="77777777" w:rsidR="001111CC" w:rsidRPr="00EE798C" w:rsidRDefault="001111CC" w:rsidP="001111CC">
                      <w:pPr>
                        <w:jc w:val="distribute"/>
                      </w:pPr>
                      <w:r w:rsidRPr="00EE798C">
                        <w:rPr>
                          <w:rFonts w:hint="eastAsia"/>
                        </w:rPr>
                        <w:t>管理化学物質取扱事業者</w:t>
                      </w:r>
                    </w:p>
                  </w:txbxContent>
                </v:textbox>
              </v:shape>
            </w:pict>
          </mc:Fallback>
        </mc:AlternateContent>
      </w:r>
      <w:r w:rsidRPr="001111CC">
        <w:rPr>
          <w:rFonts w:hint="eastAsia"/>
          <w:noProof/>
        </w:rPr>
        <mc:AlternateContent>
          <mc:Choice Requires="wps">
            <w:drawing>
              <wp:anchor distT="0" distB="0" distL="114300" distR="114300" simplePos="0" relativeHeight="254326784" behindDoc="0" locked="0" layoutInCell="1" allowOverlap="1" wp14:anchorId="2F7C8D31" wp14:editId="2955D33E">
                <wp:simplePos x="0" y="0"/>
                <wp:positionH relativeFrom="column">
                  <wp:posOffset>1969770</wp:posOffset>
                </wp:positionH>
                <wp:positionV relativeFrom="paragraph">
                  <wp:posOffset>714375</wp:posOffset>
                </wp:positionV>
                <wp:extent cx="600075" cy="726440"/>
                <wp:effectExtent l="11430" t="13335" r="7620" b="12700"/>
                <wp:wrapNone/>
                <wp:docPr id="3880" name="Line 293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600075" cy="72644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line w14:anchorId="7652EF95" id="Line 2930" o:spid="_x0000_s1026" style="position:absolute;left:0;text-align:left;flip:x;z-index:2543267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55.1pt,56.25pt" to="202.35pt,113.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"/>
            </w:pict>
          </mc:Fallback>
        </mc:AlternateContent>
      </w:r>
      <w:r w:rsidRPr="001111CC">
        <w:rPr>
          <w:rFonts w:hint="eastAsia"/>
          <w:noProof/>
        </w:rPr>
        <mc:AlternateContent>
          <mc:Choice Requires="wps">
            <w:drawing>
              <wp:anchor distT="0" distB="0" distL="114300" distR="114300" simplePos="0" relativeHeight="254327808" behindDoc="0" locked="0" layoutInCell="1" allowOverlap="1" wp14:anchorId="5CF611AB" wp14:editId="220B5F5A">
                <wp:simplePos x="0" y="0"/>
                <wp:positionH relativeFrom="column">
                  <wp:posOffset>3922395</wp:posOffset>
                </wp:positionH>
                <wp:positionV relativeFrom="paragraph">
                  <wp:posOffset>474345</wp:posOffset>
                </wp:positionV>
                <wp:extent cx="327660" cy="9525"/>
                <wp:effectExtent l="11430" t="55245" r="22860" b="59055"/>
                <wp:wrapNone/>
                <wp:docPr id="3881" name="Line 293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rot="10800000" flipH="1" flipV="1">
                          <a:off x="0" y="0"/>
                          <a:ext cx="327660" cy="9525"/>
                        </a:xfrm>
                        <a:prstGeom prst="line">
                          <a:avLst/>
                        </a:prstGeom>
                        <a:noFill/>
                        <a:ln w="9525">
                          <a:solidFill>
                            <a:srgbClr val="000000"/>
                          </a:solidFill>
                          <a:prstDash val="sysDot"/>
                          <a:round/>
                          <a:headEnd/>
                          <a:tailEnd type="arrow" w="sm" len="sm"/>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line w14:anchorId="1602E814" id="Line 2931" o:spid="_x0000_s1026" style="position:absolute;left:0;text-align:left;rotation:180;flip:x y;z-index:2543278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08.85pt,37.35pt" to="334.65pt,38.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">
                <v:stroke dashstyle="1 1" endarrow="open" endarrowwidth="narrow" endarrowlength="short"/>
              </v:line>
            </w:pict>
          </mc:Fallback>
        </mc:AlternateContent>
      </w:r>
      <w:r w:rsidRPr="001111CC">
        <w:rPr>
          <w:rFonts w:hint="eastAsia"/>
          <w:noProof/>
        </w:rPr>
        <mc:AlternateContent>
          <mc:Choice Requires="wps">
            <w:drawing>
              <wp:anchor distT="0" distB="0" distL="114300" distR="114300" simplePos="0" relativeHeight="254328832" behindDoc="0" locked="0" layoutInCell="1" allowOverlap="1" wp14:anchorId="0629AE4D" wp14:editId="2B1364B6">
                <wp:simplePos x="0" y="0"/>
                <wp:positionH relativeFrom="column">
                  <wp:posOffset>769620</wp:posOffset>
                </wp:positionH>
                <wp:positionV relativeFrom="paragraph">
                  <wp:posOffset>1666240</wp:posOffset>
                </wp:positionV>
                <wp:extent cx="1080135" cy="272415"/>
                <wp:effectExtent l="11430" t="8255" r="13335" b="5080"/>
                <wp:wrapNone/>
                <wp:docPr id="3882" name="Text Box 293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80135" cy="272415"/>
                        </a:xfrm>
                        <a:prstGeom prst="rect">
                          <a:avLst/>
                        </a:prstGeom>
                        <a:solidFill>
                          <a:srgbClr val="FFFFFF"/>
                        </a:solidFill>
                        <a:ln w="9525">
                          <a:solidFill>
                            <a:srgbClr val="000000"/>
                          </a:solidFill>
                          <a:miter lim="800000"/>
                          <a:headEnd/>
                          <a:tailEnd/>
                        </a:ln>
                      </wps:spPr>
                      <wps:txbx>
                        <w:txbxContent>
                          <w:p w14:paraId="41FC766C" w14:textId="77777777" w:rsidR="001111CC" w:rsidRPr="00EE798C" w:rsidRDefault="001111CC" w:rsidP="001111CC">
                            <w:pPr>
                              <w:jc w:val="distribute"/>
                            </w:pPr>
                            <w:r w:rsidRPr="00EE798C">
                              <w:rPr>
                                <w:rFonts w:hint="eastAsia"/>
                              </w:rPr>
                              <w:t>隣接市町村</w:t>
                            </w:r>
                          </w:p>
                        </w:txbxContent>
                      </wps:txbx>
                      <wps:bodyPr rot="0" vert="horz" wrap="square" lIns="37440" tIns="24120" rIns="41040" bIns="24120" anchor="t" anchorCtr="0" upright="1">
                        <a:noAutofit/>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shape w14:anchorId="0629AE4D" id="Text Box 2932" o:spid="_x0000_s1824" type="#_x0000_t202" style="position:absolute;left:0;text-align:left;margin-left:60.6pt;margin-top:131.2pt;width:85.05pt;height:21.45pt;z-index:2543288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">
                <v:textbox inset="1.04mm,.67mm,1.14mm,.67mm">
                  <w:txbxContent>
                    <w:p w14:paraId="41FC766C" w14:textId="77777777" w:rsidR="001111CC" w:rsidRPr="00EE798C" w:rsidRDefault="001111CC" w:rsidP="001111CC">
                      <w:pPr>
                        <w:jc w:val="distribute"/>
                      </w:pPr>
                      <w:r w:rsidRPr="00EE798C">
                        <w:rPr>
                          <w:rFonts w:hint="eastAsia"/>
                        </w:rPr>
                        <w:t>隣接市町村</w:t>
                      </w:r>
                    </w:p>
                  </w:txbxContent>
                </v:textbox>
              </v:shape>
            </w:pict>
          </mc:Fallback>
        </mc:AlternateContent>
      </w:r>
      <w:r w:rsidRPr="001111CC">
        <w:rPr>
          <w:rFonts w:hint="eastAsia"/>
          <w:noProof/>
        </w:rPr>
        <mc:AlternateContent>
          <mc:Choice Requires="wps">
            <w:drawing>
              <wp:anchor distT="0" distB="0" distL="114300" distR="114300" simplePos="0" relativeHeight="254329856" behindDoc="0" locked="0" layoutInCell="1" allowOverlap="1" wp14:anchorId="78AE6584" wp14:editId="09F22F75">
                <wp:simplePos x="0" y="0"/>
                <wp:positionH relativeFrom="column">
                  <wp:posOffset>2329815</wp:posOffset>
                </wp:positionH>
                <wp:positionV relativeFrom="paragraph">
                  <wp:posOffset>1301750</wp:posOffset>
                </wp:positionV>
                <wp:extent cx="1440180" cy="635635"/>
                <wp:effectExtent l="0" t="0" r="26670" b="12065"/>
                <wp:wrapNone/>
                <wp:docPr id="3883" name="Text Box 293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40180" cy="635635"/>
                        </a:xfrm>
                        <a:prstGeom prst="rect">
                          <a:avLst/>
                        </a:prstGeom>
                        <a:solidFill>
                          <a:srgbClr val="FFFFFF"/>
                        </a:solidFill>
                        <a:ln w="9525">
                          <a:solidFill>
                            <a:srgbClr val="000000"/>
                          </a:solidFill>
                          <a:miter lim="800000"/>
                          <a:headEnd/>
                          <a:tailEnd/>
                        </a:ln>
                      </wps:spPr>
                      <wps:txbx>
                        <w:txbxContent>
                          <w:p w14:paraId="7E546C13" w14:textId="77777777" w:rsidR="001111CC" w:rsidRPr="00EE798C" w:rsidRDefault="001111CC" w:rsidP="001111CC">
                            <w:pPr>
                              <w:jc w:val="distribute"/>
                            </w:pPr>
                            <w:r w:rsidRPr="00EE798C">
                              <w:rPr>
                                <w:rFonts w:hint="eastAsia"/>
                              </w:rPr>
                              <w:t>市町村</w:t>
                            </w:r>
                          </w:p>
                          <w:p w14:paraId="07C308D2" w14:textId="77777777" w:rsidR="001111CC" w:rsidRPr="00EE798C" w:rsidRDefault="001111CC" w:rsidP="001111CC">
                            <w:pPr>
                              <w:jc w:val="distribute"/>
                            </w:pPr>
                            <w:r w:rsidRPr="00EE798C">
                              <w:rPr>
                                <w:rFonts w:hint="eastAsia"/>
                              </w:rPr>
                              <w:t>消防本部</w:t>
                            </w:r>
                          </w:p>
                        </w:txbxContent>
                      </wps:txbx>
                      <wps:bodyPr rot="0" vert="horz" wrap="square" lIns="37440" tIns="24120" rIns="41040" bIns="24120" anchor="ctr" anchorCtr="0" upright="1">
                        <a:noAutofit/>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shape w14:anchorId="78AE6584" id="Text Box 2933" o:spid="_x0000_s1825" type="#_x0000_t202" style="position:absolute;left:0;text-align:left;margin-left:183.45pt;margin-top:102.5pt;width:113.4pt;height:50.05pt;z-index:2543298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">
                <v:textbox inset="1.04mm,.67mm,1.14mm,.67mm">
                  <w:txbxContent>
                    <w:p w14:paraId="7E546C13" w14:textId="77777777" w:rsidR="001111CC" w:rsidRPr="00EE798C" w:rsidRDefault="001111CC" w:rsidP="001111CC">
                      <w:pPr>
                        <w:jc w:val="distribute"/>
                      </w:pPr>
                      <w:r w:rsidRPr="00EE798C">
                        <w:rPr>
                          <w:rFonts w:hint="eastAsia"/>
                        </w:rPr>
                        <w:t>市町村</w:t>
                      </w:r>
                    </w:p>
                    <w:p w14:paraId="07C308D2" w14:textId="77777777" w:rsidR="001111CC" w:rsidRPr="00EE798C" w:rsidRDefault="001111CC" w:rsidP="001111CC">
                      <w:pPr>
                        <w:jc w:val="distribute"/>
                      </w:pPr>
                      <w:r w:rsidRPr="00EE798C">
                        <w:rPr>
                          <w:rFonts w:hint="eastAsia"/>
                        </w:rPr>
                        <w:t>消防本部</w:t>
                      </w:r>
                    </w:p>
                  </w:txbxContent>
                </v:textbox>
              </v:shape>
            </w:pict>
          </mc:Fallback>
        </mc:AlternateContent>
      </w:r>
      <w:r w:rsidRPr="001111CC">
        <w:rPr>
          <w:rFonts w:hint="eastAsia"/>
          <w:noProof/>
        </w:rPr>
        <mc:AlternateContent>
          <mc:Choice Requires="wps">
            <w:drawing>
              <wp:anchor distT="0" distB="0" distL="114300" distR="114300" simplePos="0" relativeHeight="254330880" behindDoc="0" locked="0" layoutInCell="1" allowOverlap="1" wp14:anchorId="3120FA28" wp14:editId="10BEFCBA">
                <wp:simplePos x="0" y="0"/>
                <wp:positionH relativeFrom="column">
                  <wp:posOffset>4250055</wp:posOffset>
                </wp:positionH>
                <wp:positionV relativeFrom="paragraph">
                  <wp:posOffset>312420</wp:posOffset>
                </wp:positionV>
                <wp:extent cx="1440180" cy="272415"/>
                <wp:effectExtent l="5715" t="7620" r="11430" b="5715"/>
                <wp:wrapNone/>
                <wp:docPr id="3905" name="Text Box 293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40180" cy="272415"/>
                        </a:xfrm>
                        <a:prstGeom prst="rect">
                          <a:avLst/>
                        </a:prstGeom>
                        <a:solidFill>
                          <a:srgbClr val="FFFFFF"/>
                        </a:solidFill>
                        <a:ln w="9525">
                          <a:solidFill>
                            <a:srgbClr val="000000"/>
                          </a:solidFill>
                          <a:miter lim="800000"/>
                          <a:headEnd/>
                          <a:tailEnd/>
                        </a:ln>
                      </wps:spPr>
                      <wps:txbx>
                        <w:txbxContent>
                          <w:p w14:paraId="15A117E1" w14:textId="77777777" w:rsidR="001111CC" w:rsidRPr="00EE798C" w:rsidRDefault="001111CC" w:rsidP="001111CC">
                            <w:pPr>
                              <w:jc w:val="distribute"/>
                            </w:pPr>
                            <w:r w:rsidRPr="00EE798C">
                              <w:rPr>
                                <w:rFonts w:hint="eastAsia"/>
                              </w:rPr>
                              <w:t>警察署</w:t>
                            </w:r>
                          </w:p>
                        </w:txbxContent>
                      </wps:txbx>
                      <wps:bodyPr rot="0" vert="horz" wrap="square" lIns="37440" tIns="24120" rIns="41040" bIns="24120" anchor="t" anchorCtr="0" upright="1">
                        <a:noAutofit/>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shape w14:anchorId="3120FA28" id="Text Box 2934" o:spid="_x0000_s1826" type="#_x0000_t202" style="position:absolute;left:0;text-align:left;margin-left:334.65pt;margin-top:24.6pt;width:113.4pt;height:21.45pt;z-index:2543308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">
                <v:textbox inset="1.04mm,.67mm,1.14mm,.67mm">
                  <w:txbxContent>
                    <w:p w14:paraId="15A117E1" w14:textId="77777777" w:rsidR="001111CC" w:rsidRPr="00EE798C" w:rsidRDefault="001111CC" w:rsidP="001111CC">
                      <w:pPr>
                        <w:jc w:val="distribute"/>
                      </w:pPr>
                      <w:r w:rsidRPr="00EE798C">
                        <w:rPr>
                          <w:rFonts w:hint="eastAsia"/>
                        </w:rPr>
                        <w:t>警察署</w:t>
                      </w:r>
                    </w:p>
                  </w:txbxContent>
                </v:textbox>
              </v:shape>
            </w:pict>
          </mc:Fallback>
        </mc:AlternateContent>
      </w:r>
      <w:r w:rsidRPr="001111CC">
        <w:rPr>
          <w:rFonts w:hint="eastAsia"/>
          <w:noProof/>
        </w:rPr>
        <mc:AlternateContent>
          <mc:Choice Requires="wps">
            <w:drawing>
              <wp:anchor distT="0" distB="0" distL="114300" distR="114300" simplePos="0" relativeHeight="254331904" behindDoc="0" locked="0" layoutInCell="1" allowOverlap="1" wp14:anchorId="2E1534B6" wp14:editId="67F72E7A">
                <wp:simplePos x="0" y="0"/>
                <wp:positionH relativeFrom="column">
                  <wp:posOffset>2756535</wp:posOffset>
                </wp:positionH>
                <wp:positionV relativeFrom="paragraph">
                  <wp:posOffset>1007745</wp:posOffset>
                </wp:positionV>
                <wp:extent cx="586740" cy="0"/>
                <wp:effectExtent l="62865" t="13335" r="60960" b="19050"/>
                <wp:wrapNone/>
                <wp:docPr id="3908" name="Line 293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rot="16200000" flipH="1">
                          <a:off x="0" y="0"/>
                          <a:ext cx="586740" cy="0"/>
                        </a:xfrm>
                        <a:prstGeom prst="line">
                          <a:avLst/>
                        </a:prstGeom>
                        <a:noFill/>
                        <a:ln w="9525">
                          <a:solidFill>
                            <a:srgbClr val="000000"/>
                          </a:solidFill>
                          <a:round/>
                          <a:headEnd/>
                          <a:tailEnd type="arrow" w="sm" len="sm"/>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line w14:anchorId="01D58914" id="Line 2935" o:spid="_x0000_s1026" style="position:absolute;left:0;text-align:left;rotation:90;flip:x;z-index:2543319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17.05pt,79.35pt" to="263.25pt,79.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">
                <v:stroke endarrow="open" endarrowwidth="narrow" endarrowlength="short"/>
              </v:line>
            </w:pict>
          </mc:Fallback>
        </mc:AlternateContent>
      </w:r>
      <w:r w:rsidRPr="001111CC">
        <w:rPr>
          <w:rFonts w:hint="eastAsia"/>
          <w:noProof/>
        </w:rPr>
        <mc:AlternateContent>
          <mc:Choice Requires="wps">
            <w:drawing>
              <wp:anchor distT="0" distB="0" distL="114300" distR="114300" simplePos="0" relativeHeight="254332928" behindDoc="0" locked="0" layoutInCell="1" allowOverlap="1" wp14:anchorId="0DF5D05D" wp14:editId="2465944E">
                <wp:simplePos x="0" y="0"/>
                <wp:positionH relativeFrom="column">
                  <wp:posOffset>2849880</wp:posOffset>
                </wp:positionH>
                <wp:positionV relativeFrom="paragraph">
                  <wp:posOffset>2157730</wp:posOffset>
                </wp:positionV>
                <wp:extent cx="398145" cy="0"/>
                <wp:effectExtent l="62865" t="20955" r="60960" b="19050"/>
                <wp:wrapNone/>
                <wp:docPr id="3929" name="Line 293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rot="16200000" flipH="1">
                          <a:off x="0" y="0"/>
                          <a:ext cx="398145" cy="0"/>
                        </a:xfrm>
                        <a:prstGeom prst="line">
                          <a:avLst/>
                        </a:prstGeom>
                        <a:noFill/>
                        <a:ln w="9525">
                          <a:solidFill>
                            <a:srgbClr val="000000"/>
                          </a:solidFill>
                          <a:round/>
                          <a:headEnd type="arrow" w="sm" len="sm"/>
                          <a:tailEnd type="arrow" w="sm" len="sm"/>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line w14:anchorId="7F02EF12" id="Line 2936" o:spid="_x0000_s1026" style="position:absolute;left:0;text-align:left;rotation:90;flip:x;z-index:2543329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24.4pt,169.9pt" to="255.75pt,169.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">
                <v:stroke startarrow="open" startarrowwidth="narrow" startarrowlength="short" endarrow="open" endarrowwidth="narrow" endarrowlength="short"/>
              </v:line>
            </w:pict>
          </mc:Fallback>
        </mc:AlternateContent>
      </w:r>
      <w:r w:rsidRPr="001111CC">
        <w:rPr>
          <w:rFonts w:hint="eastAsia"/>
          <w:noProof/>
        </w:rPr>
        <mc:AlternateContent>
          <mc:Choice Requires="wps">
            <w:drawing>
              <wp:anchor distT="0" distB="0" distL="114300" distR="114300" simplePos="0" relativeHeight="254333952" behindDoc="0" locked="0" layoutInCell="1" allowOverlap="1" wp14:anchorId="07A62D1A" wp14:editId="6108A9C3">
                <wp:simplePos x="0" y="0"/>
                <wp:positionH relativeFrom="column">
                  <wp:posOffset>4250055</wp:posOffset>
                </wp:positionH>
                <wp:positionV relativeFrom="paragraph">
                  <wp:posOffset>1315720</wp:posOffset>
                </wp:positionV>
                <wp:extent cx="1440180" cy="272415"/>
                <wp:effectExtent l="5715" t="13970" r="11430" b="8890"/>
                <wp:wrapNone/>
                <wp:docPr id="3931" name="Text Box 293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40180" cy="272415"/>
                        </a:xfrm>
                        <a:prstGeom prst="rect">
                          <a:avLst/>
                        </a:prstGeom>
                        <a:solidFill>
                          <a:srgbClr val="FFFFFF"/>
                        </a:solidFill>
                        <a:ln w="9525">
                          <a:solidFill>
                            <a:srgbClr val="000000"/>
                          </a:solidFill>
                          <a:miter lim="800000"/>
                          <a:headEnd/>
                          <a:tailEnd/>
                        </a:ln>
                      </wps:spPr>
                      <wps:txbx>
                        <w:txbxContent>
                          <w:p w14:paraId="7138BE6D" w14:textId="77777777" w:rsidR="001111CC" w:rsidRPr="00EE798C" w:rsidRDefault="001111CC" w:rsidP="001111CC">
                            <w:pPr>
                              <w:jc w:val="distribute"/>
                            </w:pPr>
                            <w:r w:rsidRPr="00EE798C">
                              <w:rPr>
                                <w:rFonts w:hint="eastAsia"/>
                              </w:rPr>
                              <w:t>大阪府警察本部</w:t>
                            </w:r>
                          </w:p>
                        </w:txbxContent>
                      </wps:txbx>
                      <wps:bodyPr rot="0" vert="horz" wrap="square" lIns="37440" tIns="24120" rIns="41040" bIns="24120" anchor="t" anchorCtr="0" upright="1">
                        <a:noAutofit/>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shape w14:anchorId="07A62D1A" id="Text Box 2937" o:spid="_x0000_s1827" type="#_x0000_t202" style="position:absolute;left:0;text-align:left;margin-left:334.65pt;margin-top:103.6pt;width:113.4pt;height:21.45pt;z-index:2543339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">
                <v:textbox inset="1.04mm,.67mm,1.14mm,.67mm">
                  <w:txbxContent>
                    <w:p w14:paraId="7138BE6D" w14:textId="77777777" w:rsidR="001111CC" w:rsidRPr="00EE798C" w:rsidRDefault="001111CC" w:rsidP="001111CC">
                      <w:pPr>
                        <w:jc w:val="distribute"/>
                      </w:pPr>
                      <w:r w:rsidRPr="00EE798C">
                        <w:rPr>
                          <w:rFonts w:hint="eastAsia"/>
                        </w:rPr>
                        <w:t>大阪府警察本部</w:t>
                      </w:r>
                    </w:p>
                  </w:txbxContent>
                </v:textbox>
              </v:shape>
            </w:pict>
          </mc:Fallback>
        </mc:AlternateContent>
      </w:r>
      <w:r w:rsidRPr="001111CC">
        <w:rPr>
          <w:rFonts w:hint="eastAsia"/>
          <w:noProof/>
        </w:rPr>
        <mc:AlternateContent>
          <mc:Choice Requires="wps">
            <w:drawing>
              <wp:anchor distT="0" distB="0" distL="114300" distR="114300" simplePos="0" relativeHeight="254334976" behindDoc="0" locked="0" layoutInCell="1" allowOverlap="1" wp14:anchorId="2C962418" wp14:editId="1059D337">
                <wp:simplePos x="0" y="0"/>
                <wp:positionH relativeFrom="column">
                  <wp:posOffset>2089785</wp:posOffset>
                </wp:positionH>
                <wp:positionV relativeFrom="paragraph">
                  <wp:posOffset>2857500</wp:posOffset>
                </wp:positionV>
                <wp:extent cx="1680210" cy="272415"/>
                <wp:effectExtent l="7620" t="12065" r="7620" b="10795"/>
                <wp:wrapNone/>
                <wp:docPr id="3943" name="Text Box 293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80210" cy="272415"/>
                        </a:xfrm>
                        <a:prstGeom prst="rect">
                          <a:avLst/>
                        </a:prstGeom>
                        <a:solidFill>
                          <a:srgbClr val="FFFFFF"/>
                        </a:solidFill>
                        <a:ln w="9525">
                          <a:solidFill>
                            <a:srgbClr val="000000"/>
                          </a:solidFill>
                          <a:miter lim="800000"/>
                          <a:headEnd/>
                          <a:tailEnd/>
                        </a:ln>
                      </wps:spPr>
                      <wps:txbx>
                        <w:txbxContent>
                          <w:p w14:paraId="59283188" w14:textId="77777777" w:rsidR="001111CC" w:rsidRPr="00EE798C" w:rsidRDefault="001111CC" w:rsidP="001111CC">
                            <w:pPr>
                              <w:jc w:val="distribute"/>
                            </w:pPr>
                            <w:r w:rsidRPr="00EE798C">
                              <w:rPr>
                                <w:rFonts w:hint="eastAsia"/>
                              </w:rPr>
                              <w:t>大阪府危機管理室</w:t>
                            </w:r>
                          </w:p>
                        </w:txbxContent>
                      </wps:txbx>
                      <wps:bodyPr rot="0" vert="horz" wrap="square" lIns="37440" tIns="24120" rIns="41040" bIns="24120" anchor="t" anchorCtr="0" upright="1">
                        <a:noAutofit/>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shape w14:anchorId="2C962418" id="Text Box 2938" o:spid="_x0000_s1828" type="#_x0000_t202" style="position:absolute;left:0;text-align:left;margin-left:164.55pt;margin-top:225pt;width:132.3pt;height:21.45pt;z-index:2543349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">
                <v:textbox inset="1.04mm,.67mm,1.14mm,.67mm">
                  <w:txbxContent>
                    <w:p w14:paraId="59283188" w14:textId="77777777" w:rsidR="001111CC" w:rsidRPr="00EE798C" w:rsidRDefault="001111CC" w:rsidP="001111CC">
                      <w:pPr>
                        <w:jc w:val="distribute"/>
                      </w:pPr>
                      <w:r w:rsidRPr="00EE798C">
                        <w:rPr>
                          <w:rFonts w:hint="eastAsia"/>
                        </w:rPr>
                        <w:t>大阪府危機管理室</w:t>
                      </w:r>
                    </w:p>
                  </w:txbxContent>
                </v:textbox>
              </v:shape>
            </w:pict>
          </mc:Fallback>
        </mc:AlternateContent>
      </w:r>
      <w:r w:rsidRPr="001111CC">
        <w:rPr>
          <w:rFonts w:hint="eastAsia"/>
          <w:noProof/>
        </w:rPr>
        <mc:AlternateContent>
          <mc:Choice Requires="wps">
            <w:drawing>
              <wp:anchor distT="0" distB="0" distL="114300" distR="114300" simplePos="0" relativeHeight="254336000" behindDoc="0" locked="0" layoutInCell="1" allowOverlap="1" wp14:anchorId="164D3B55" wp14:editId="6324A84F">
                <wp:simplePos x="0" y="0"/>
                <wp:positionH relativeFrom="column">
                  <wp:posOffset>2186940</wp:posOffset>
                </wp:positionH>
                <wp:positionV relativeFrom="paragraph">
                  <wp:posOffset>436245</wp:posOffset>
                </wp:positionV>
                <wp:extent cx="1716405" cy="0"/>
                <wp:effectExtent l="9525" t="7620" r="7620" b="11430"/>
                <wp:wrapNone/>
                <wp:docPr id="3944" name="Line 293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716405" cy="0"/>
                        </a:xfrm>
                        <a:prstGeom prst="line">
                          <a:avLst/>
                        </a:prstGeom>
                        <a:noFill/>
                        <a:ln w="9525">
                          <a:solidFill>
                            <a:srgbClr val="000000"/>
                          </a:solidFill>
                          <a:prstDash val="sysDot"/>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line w14:anchorId="600B64F5" id="Line 2939" o:spid="_x0000_s1026" style="position:absolute;left:0;text-align:left;z-index:2543360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72.2pt,34.35pt" to="307.35pt,34.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">
                <v:stroke dashstyle="1 1"/>
              </v:line>
            </w:pict>
          </mc:Fallback>
        </mc:AlternateContent>
      </w:r>
      <w:r w:rsidRPr="001111CC">
        <w:rPr>
          <w:rFonts w:hint="eastAsia"/>
          <w:noProof/>
        </w:rPr>
        <mc:AlternateContent>
          <mc:Choice Requires="wps">
            <w:drawing>
              <wp:anchor distT="0" distB="0" distL="114300" distR="114300" simplePos="0" relativeHeight="254337024" behindDoc="0" locked="0" layoutInCell="1" allowOverlap="1" wp14:anchorId="48525EE6" wp14:editId="4AACD2ED">
                <wp:simplePos x="0" y="0"/>
                <wp:positionH relativeFrom="column">
                  <wp:posOffset>2332990</wp:posOffset>
                </wp:positionH>
                <wp:positionV relativeFrom="paragraph">
                  <wp:posOffset>1614805</wp:posOffset>
                </wp:positionV>
                <wp:extent cx="1440180" cy="0"/>
                <wp:effectExtent l="12700" t="6350" r="13970" b="12700"/>
                <wp:wrapNone/>
                <wp:docPr id="3945" name="Line 294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440180" cy="0"/>
                        </a:xfrm>
                        <a:prstGeom prst="line">
                          <a:avLst/>
                        </a:prstGeom>
                        <a:noFill/>
                        <a:ln w="9525">
                          <a:solidFill>
                            <a:srgbClr val="000000"/>
                          </a:solidFill>
                          <a:prstDash val="sysDot"/>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line w14:anchorId="514FEABD" id="Line 2940" o:spid="_x0000_s1026" style="position:absolute;left:0;text-align:left;z-index:2543370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83.7pt,127.15pt" to="297.1pt,127.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">
                <v:stroke dashstyle="1 1"/>
              </v:line>
            </w:pict>
          </mc:Fallback>
        </mc:AlternateContent>
      </w:r>
      <w:r w:rsidRPr="001111CC">
        <w:rPr>
          <w:rFonts w:hint="eastAsia"/>
          <w:noProof/>
        </w:rPr>
        <mc:AlternateContent>
          <mc:Choice Requires="wps">
            <w:drawing>
              <wp:anchor distT="0" distB="0" distL="114300" distR="114300" simplePos="0" relativeHeight="254338048" behindDoc="0" locked="0" layoutInCell="1" allowOverlap="1" wp14:anchorId="3D7AD74F" wp14:editId="6524AA79">
                <wp:simplePos x="0" y="0"/>
                <wp:positionH relativeFrom="column">
                  <wp:posOffset>3640455</wp:posOffset>
                </wp:positionH>
                <wp:positionV relativeFrom="paragraph">
                  <wp:posOffset>1650365</wp:posOffset>
                </wp:positionV>
                <wp:extent cx="1320165" cy="727075"/>
                <wp:effectExtent l="43815" t="60960" r="45720" b="59690"/>
                <wp:wrapNone/>
                <wp:docPr id="3962" name="Line 294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1320165" cy="727075"/>
                        </a:xfrm>
                        <a:prstGeom prst="line">
                          <a:avLst/>
                        </a:prstGeom>
                        <a:noFill/>
                        <a:ln w="9525">
                          <a:solidFill>
                            <a:srgbClr val="000000"/>
                          </a:solidFill>
                          <a:prstDash val="sysDot"/>
                          <a:round/>
                          <a:headEnd type="arrow" w="sm" len="sm"/>
                          <a:tailEnd type="arrow" w="sm" len="sm"/>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line w14:anchorId="185FA1DC" id="Line 2941" o:spid="_x0000_s1026" style="position:absolute;left:0;text-align:left;flip:x;z-index:2543380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86.65pt,129.95pt" to="390.6pt,187.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">
                <v:stroke dashstyle="1 1" startarrow="open" startarrowwidth="narrow" startarrowlength="short" endarrow="open" endarrowwidth="narrow" endarrowlength="short"/>
              </v:line>
            </w:pict>
          </mc:Fallback>
        </mc:AlternateContent>
      </w:r>
      <w:r w:rsidRPr="001111CC">
        <w:rPr>
          <w:rFonts w:hint="eastAsia"/>
          <w:noProof/>
        </w:rPr>
        <mc:AlternateContent>
          <mc:Choice Requires="wps">
            <w:drawing>
              <wp:anchor distT="0" distB="0" distL="114300" distR="114300" simplePos="0" relativeHeight="254339072" behindDoc="0" locked="0" layoutInCell="1" allowOverlap="1" wp14:anchorId="7C72BE49" wp14:editId="1157820B">
                <wp:simplePos x="0" y="0"/>
                <wp:positionH relativeFrom="column">
                  <wp:posOffset>4612640</wp:posOffset>
                </wp:positionH>
                <wp:positionV relativeFrom="paragraph">
                  <wp:posOffset>967105</wp:posOffset>
                </wp:positionV>
                <wp:extent cx="715010" cy="0"/>
                <wp:effectExtent l="59055" t="22860" r="64770" b="14605"/>
                <wp:wrapNone/>
                <wp:docPr id="3964" name="Line 294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rot="5400000" flipH="1">
                          <a:off x="0" y="0"/>
                          <a:ext cx="715010" cy="0"/>
                        </a:xfrm>
                        <a:prstGeom prst="line">
                          <a:avLst/>
                        </a:prstGeom>
                        <a:noFill/>
                        <a:ln w="9525">
                          <a:solidFill>
                            <a:srgbClr val="000000"/>
                          </a:solidFill>
                          <a:prstDash val="sysDot"/>
                          <a:round/>
                          <a:headEnd type="arrow" w="sm" len="sm"/>
                          <a:tailEnd type="arrow" w="sm" len="sm"/>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line w14:anchorId="1B1647D5" id="Line 2942" o:spid="_x0000_s1026" style="position:absolute;left:0;text-align:left;rotation:-90;flip:x;z-index:2543390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63.2pt,76.15pt" to="419.5pt,76.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">
                <v:stroke dashstyle="1 1" startarrow="open" startarrowwidth="narrow" startarrowlength="short" endarrow="open" endarrowwidth="narrow" endarrowlength="short"/>
              </v:line>
            </w:pict>
          </mc:Fallback>
        </mc:AlternateContent>
      </w:r>
      <w:r w:rsidRPr="001111CC">
        <w:rPr>
          <w:rFonts w:hint="eastAsia"/>
          <w:noProof/>
        </w:rPr>
        <mc:AlternateContent>
          <mc:Choice Requires="wps">
            <w:drawing>
              <wp:anchor distT="0" distB="0" distL="114300" distR="114300" simplePos="0" relativeHeight="254340096" behindDoc="0" locked="0" layoutInCell="1" allowOverlap="1" wp14:anchorId="2C4E462F" wp14:editId="2AA18426">
                <wp:simplePos x="0" y="0"/>
                <wp:positionH relativeFrom="column">
                  <wp:posOffset>1755775</wp:posOffset>
                </wp:positionH>
                <wp:positionV relativeFrom="paragraph">
                  <wp:posOffset>1647825</wp:posOffset>
                </wp:positionV>
                <wp:extent cx="908050" cy="480060"/>
                <wp:effectExtent l="11430" t="6350" r="60960" b="47625"/>
                <wp:wrapNone/>
                <wp:docPr id="4000" name="Line 294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rot="16200000" flipH="1">
                          <a:off x="0" y="0"/>
                          <a:ext cx="908050" cy="480060"/>
                        </a:xfrm>
                        <a:prstGeom prst="line">
                          <a:avLst/>
                        </a:prstGeom>
                        <a:noFill/>
                        <a:ln w="9525">
                          <a:solidFill>
                            <a:srgbClr val="000000"/>
                          </a:solidFill>
                          <a:round/>
                          <a:headEnd/>
                          <a:tailEnd type="arrow" w="sm" len="sm"/>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line w14:anchorId="546C2A94" id="Line 2943" o:spid="_x0000_s1026" style="position:absolute;left:0;text-align:left;rotation:90;flip:x;z-index:2543400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38.25pt,129.75pt" to="209.75pt,167.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">
                <v:stroke endarrow="open" endarrowwidth="narrow" endarrowlength="short"/>
              </v:line>
            </w:pict>
          </mc:Fallback>
        </mc:AlternateContent>
      </w:r>
      <w:r w:rsidRPr="001111CC">
        <w:rPr>
          <w:rFonts w:hint="eastAsia"/>
          <w:noProof/>
        </w:rPr>
        <mc:AlternateContent>
          <mc:Choice Requires="wps">
            <w:drawing>
              <wp:anchor distT="0" distB="0" distL="114300" distR="114300" simplePos="0" relativeHeight="254341120" behindDoc="0" locked="0" layoutInCell="1" allowOverlap="1" wp14:anchorId="2F373148" wp14:editId="6AD5E43A">
                <wp:simplePos x="0" y="0"/>
                <wp:positionH relativeFrom="column">
                  <wp:posOffset>3698240</wp:posOffset>
                </wp:positionH>
                <wp:positionV relativeFrom="paragraph">
                  <wp:posOffset>745490</wp:posOffset>
                </wp:positionV>
                <wp:extent cx="977900" cy="777240"/>
                <wp:effectExtent l="59055" t="48895" r="59055" b="49530"/>
                <wp:wrapNone/>
                <wp:docPr id="4008" name="Line 294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rot="16200000">
                          <a:off x="0" y="0"/>
                          <a:ext cx="977900" cy="777240"/>
                        </a:xfrm>
                        <a:prstGeom prst="line">
                          <a:avLst/>
                        </a:prstGeom>
                        <a:noFill/>
                        <a:ln w="9525">
                          <a:solidFill>
                            <a:srgbClr val="000000"/>
                          </a:solidFill>
                          <a:prstDash val="sysDot"/>
                          <a:round/>
                          <a:headEnd type="arrow" w="sm" len="sm"/>
                          <a:tailEnd type="arrow" w="sm" len="sm"/>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line w14:anchorId="65D46079" id="Line 2944" o:spid="_x0000_s1026" style="position:absolute;left:0;text-align:left;rotation:-90;z-index:2543411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91.2pt,58.7pt" to="368.2pt,119.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">
                <v:stroke dashstyle="1 1" startarrow="open" startarrowwidth="narrow" startarrowlength="short" endarrow="open" endarrowwidth="narrow" endarrowlength="short"/>
              </v:line>
            </w:pict>
          </mc:Fallback>
        </mc:AlternateContent>
      </w:r>
      <w:r w:rsidRPr="001111CC">
        <w:rPr>
          <w:rFonts w:hint="eastAsia"/>
          <w:noProof/>
        </w:rPr>
        <mc:AlternateContent>
          <mc:Choice Requires="wps">
            <w:drawing>
              <wp:anchor distT="0" distB="0" distL="114300" distR="114300" simplePos="0" relativeHeight="254342144" behindDoc="0" locked="0" layoutInCell="1" allowOverlap="1" wp14:anchorId="51FA00C9" wp14:editId="60A9BD74">
                <wp:simplePos x="0" y="0"/>
                <wp:positionH relativeFrom="column">
                  <wp:posOffset>1849755</wp:posOffset>
                </wp:positionH>
                <wp:positionV relativeFrom="paragraph">
                  <wp:posOffset>1858645</wp:posOffset>
                </wp:positionV>
                <wp:extent cx="480060" cy="0"/>
                <wp:effectExtent l="15240" t="60325" r="9525" b="63500"/>
                <wp:wrapNone/>
                <wp:docPr id="4009" name="Line 294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480060" cy="0"/>
                        </a:xfrm>
                        <a:prstGeom prst="line">
                          <a:avLst/>
                        </a:prstGeom>
                        <a:noFill/>
                        <a:ln w="9525">
                          <a:solidFill>
                            <a:srgbClr val="000000"/>
                          </a:solidFill>
                          <a:prstDash val="sysDot"/>
                          <a:round/>
                          <a:headEnd/>
                          <a:tailEnd type="arrow" w="sm" len="sm"/>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line w14:anchorId="5F069FC2" id="Line 2945" o:spid="_x0000_s1026" style="position:absolute;left:0;text-align:left;flip:x;z-index:2543421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45.65pt,146.35pt" to="183.45pt,146.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">
                <v:stroke dashstyle="1 1" endarrow="open" endarrowwidth="narrow" endarrowlength="short"/>
              </v:line>
            </w:pict>
          </mc:Fallback>
        </mc:AlternateContent>
      </w:r>
      <w:r w:rsidRPr="001111CC">
        <w:rPr>
          <w:rFonts w:hint="eastAsia"/>
          <w:noProof/>
        </w:rPr>
        <mc:AlternateContent>
          <mc:Choice Requires="wps">
            <w:drawing>
              <wp:anchor distT="0" distB="0" distL="114300" distR="114300" simplePos="0" relativeHeight="254343168" behindDoc="0" locked="0" layoutInCell="1" allowOverlap="1" wp14:anchorId="4D6A78FC" wp14:editId="79AF99BC">
                <wp:simplePos x="0" y="0"/>
                <wp:positionH relativeFrom="column">
                  <wp:posOffset>2089785</wp:posOffset>
                </wp:positionH>
                <wp:positionV relativeFrom="paragraph">
                  <wp:posOffset>2345055</wp:posOffset>
                </wp:positionV>
                <wp:extent cx="1680210" cy="272415"/>
                <wp:effectExtent l="7620" t="9525" r="7620" b="13335"/>
                <wp:wrapNone/>
                <wp:docPr id="4011" name="Text Box 294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80210" cy="272415"/>
                        </a:xfrm>
                        <a:prstGeom prst="rect">
                          <a:avLst/>
                        </a:prstGeom>
                        <a:solidFill>
                          <a:srgbClr val="FFFFFF"/>
                        </a:solidFill>
                        <a:ln w="9525">
                          <a:solidFill>
                            <a:srgbClr val="000000"/>
                          </a:solidFill>
                          <a:miter lim="800000"/>
                          <a:headEnd/>
                          <a:tailEnd/>
                        </a:ln>
                      </wps:spPr>
                      <wps:txbx>
                        <w:txbxContent>
                          <w:p w14:paraId="22BFB260" w14:textId="77777777" w:rsidR="001111CC" w:rsidRPr="00EE798C" w:rsidRDefault="001111CC" w:rsidP="001111CC">
                            <w:pPr>
                              <w:jc w:val="distribute"/>
                            </w:pPr>
                            <w:r w:rsidRPr="00EE798C">
                              <w:rPr>
                                <w:rFonts w:hint="eastAsia"/>
                              </w:rPr>
                              <w:t>大阪府</w:t>
                            </w:r>
                            <w:r w:rsidRPr="008D0CC4">
                              <w:rPr>
                                <w:rFonts w:hint="eastAsia"/>
                              </w:rPr>
                              <w:t>事業所指導</w:t>
                            </w:r>
                            <w:r w:rsidRPr="00EE798C">
                              <w:rPr>
                                <w:rFonts w:hint="eastAsia"/>
                              </w:rPr>
                              <w:t>課</w:t>
                            </w:r>
                          </w:p>
                        </w:txbxContent>
                      </wps:txbx>
                      <wps:bodyPr rot="0" vert="horz" wrap="square" lIns="37440" tIns="24120" rIns="41040" bIns="24120" anchor="t" anchorCtr="0" upright="1">
                        <a:noAutofit/>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shape w14:anchorId="4D6A78FC" id="Text Box 2946" o:spid="_x0000_s1829" type="#_x0000_t202" style="position:absolute;left:0;text-align:left;margin-left:164.55pt;margin-top:184.65pt;width:132.3pt;height:21.45pt;z-index:254343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">
                <v:textbox inset="1.04mm,.67mm,1.14mm,.67mm">
                  <w:txbxContent>
                    <w:p w14:paraId="22BFB260" w14:textId="77777777" w:rsidR="001111CC" w:rsidRPr="00EE798C" w:rsidRDefault="001111CC" w:rsidP="001111CC">
                      <w:pPr>
                        <w:jc w:val="distribute"/>
                      </w:pPr>
                      <w:r w:rsidRPr="00EE798C">
                        <w:rPr>
                          <w:rFonts w:hint="eastAsia"/>
                        </w:rPr>
                        <w:t>大阪府</w:t>
                      </w:r>
                      <w:r w:rsidRPr="008D0CC4">
                        <w:rPr>
                          <w:rFonts w:hint="eastAsia"/>
                        </w:rPr>
                        <w:t>事業所指導</w:t>
                      </w:r>
                      <w:r w:rsidRPr="00EE798C">
                        <w:rPr>
                          <w:rFonts w:hint="eastAsia"/>
                        </w:rPr>
                        <w:t>課</w:t>
                      </w:r>
                    </w:p>
                  </w:txbxContent>
                </v:textbox>
              </v:shape>
            </w:pict>
          </mc:Fallback>
        </mc:AlternateContent>
      </w:r>
      <w:r w:rsidRPr="001111CC">
        <w:rPr>
          <w:rFonts w:hint="eastAsia"/>
          <w:noProof/>
        </w:rPr>
        <mc:AlternateContent>
          <mc:Choice Requires="wps">
            <w:drawing>
              <wp:anchor distT="0" distB="0" distL="114300" distR="114300" simplePos="0" relativeHeight="254344192" behindDoc="0" locked="0" layoutInCell="1" allowOverlap="1" wp14:anchorId="6C785790" wp14:editId="5A93F875">
                <wp:simplePos x="0" y="0"/>
                <wp:positionH relativeFrom="column">
                  <wp:posOffset>2931160</wp:posOffset>
                </wp:positionH>
                <wp:positionV relativeFrom="paragraph">
                  <wp:posOffset>2748915</wp:posOffset>
                </wp:positionV>
                <wp:extent cx="237490" cy="0"/>
                <wp:effectExtent l="62865" t="22225" r="60960" b="16510"/>
                <wp:wrapNone/>
                <wp:docPr id="4012" name="Line 294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rot="16200000" flipH="1">
                          <a:off x="0" y="0"/>
                          <a:ext cx="237490" cy="0"/>
                        </a:xfrm>
                        <a:prstGeom prst="line">
                          <a:avLst/>
                        </a:prstGeom>
                        <a:noFill/>
                        <a:ln w="9525">
                          <a:solidFill>
                            <a:srgbClr val="000000"/>
                          </a:solidFill>
                          <a:round/>
                          <a:headEnd type="arrow" w="sm" len="sm"/>
                          <a:tailEnd type="arrow" w="sm" len="sm"/>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line w14:anchorId="04D17DD7" id="Line 2947" o:spid="_x0000_s1026" style="position:absolute;left:0;text-align:left;rotation:90;flip:x;z-index:254344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30.8pt,216.45pt" to="249.5pt,216.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">
                <v:stroke startarrow="open" startarrowwidth="narrow" startarrowlength="short" endarrow="open" endarrowwidth="narrow" endarrowlength="short"/>
              </v:line>
            </w:pict>
          </mc:Fallback>
        </mc:AlternateContent>
      </w:r>
      <w:r w:rsidRPr="001111CC">
        <w:rPr>
          <w:rFonts w:hint="eastAsia"/>
          <w:noProof/>
        </w:rPr>
        <mc:AlternateContent>
          <mc:Choice Requires="wps">
            <w:drawing>
              <wp:anchor distT="0" distB="0" distL="114300" distR="114300" simplePos="0" relativeHeight="254345216" behindDoc="0" locked="0" layoutInCell="1" allowOverlap="1" wp14:anchorId="0345F961" wp14:editId="1B1DA01B">
                <wp:simplePos x="0" y="0"/>
                <wp:positionH relativeFrom="column">
                  <wp:posOffset>4122420</wp:posOffset>
                </wp:positionH>
                <wp:positionV relativeFrom="paragraph">
                  <wp:posOffset>3213735</wp:posOffset>
                </wp:positionV>
                <wp:extent cx="2099310" cy="726440"/>
                <wp:effectExtent l="11430" t="13970" r="13335" b="12065"/>
                <wp:wrapNone/>
                <wp:docPr id="4013" name="Text Box 294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99310" cy="726440"/>
                        </a:xfrm>
                        <a:prstGeom prst="rect">
                          <a:avLst/>
                        </a:prstGeom>
                        <a:solidFill>
                          <a:srgbClr val="FFFFFF"/>
                        </a:solidFill>
                        <a:ln w="9525">
                          <a:solidFill>
                            <a:srgbClr val="000000"/>
                          </a:solidFill>
                          <a:miter lim="800000"/>
                          <a:headEnd/>
                          <a:tailEnd/>
                        </a:ln>
                      </wps:spPr>
                      <wps:txbx>
                        <w:txbxContent>
                          <w:p w14:paraId="1B52129F" w14:textId="77777777" w:rsidR="001111CC" w:rsidRPr="00EE798C" w:rsidRDefault="001111CC" w:rsidP="001111CC">
                            <w:pPr>
                              <w:spacing w:line="320" w:lineRule="atLeast"/>
                              <w:ind w:firstLineChars="600" w:firstLine="1267"/>
                            </w:pPr>
                            <w:r w:rsidRPr="00EE798C">
                              <w:rPr>
                                <w:rFonts w:hint="eastAsia"/>
                              </w:rPr>
                              <w:t>凡　　例</w:t>
                            </w:r>
                          </w:p>
                          <w:p w14:paraId="36A11F06" w14:textId="7419A75B" w:rsidR="001111CC" w:rsidRPr="00EE798C" w:rsidRDefault="001111CC" w:rsidP="001111CC">
                            <w:pPr>
                              <w:tabs>
                                <w:tab w:val="left" w:pos="186"/>
                              </w:tabs>
                              <w:spacing w:line="320" w:lineRule="atLeast"/>
                              <w:ind w:left="422" w:hangingChars="200" w:hanging="422"/>
                            </w:pPr>
                            <w:r w:rsidRPr="00EE798C">
                              <w:rPr>
                                <w:rFonts w:hint="eastAsia"/>
                              </w:rPr>
                              <w:tab/>
                            </w:r>
                            <w:r w:rsidRPr="00EE798C">
                              <w:rPr>
                                <w:rFonts w:hint="eastAsia"/>
                              </w:rPr>
                              <w:tab/>
                            </w:r>
                            <w:r w:rsidR="005F4A67">
                              <w:rPr>
                                <w:rFonts w:hint="eastAsia"/>
                              </w:rPr>
                              <w:t>：</w:t>
                            </w:r>
                            <w:r w:rsidRPr="00EE798C">
                              <w:rPr>
                                <w:rFonts w:hint="eastAsia"/>
                              </w:rPr>
                              <w:t>通常の通信系統</w:t>
                            </w:r>
                          </w:p>
                          <w:p w14:paraId="5E300B09" w14:textId="61567E4F" w:rsidR="001111CC" w:rsidRPr="00EE798C" w:rsidRDefault="001111CC" w:rsidP="005F4A67">
                            <w:pPr>
                              <w:tabs>
                                <w:tab w:val="left" w:pos="477"/>
                              </w:tabs>
                              <w:spacing w:line="320" w:lineRule="atLeast"/>
                              <w:ind w:left="422" w:hangingChars="200" w:hanging="422"/>
                            </w:pPr>
                            <w:r w:rsidRPr="00EE798C">
                              <w:rPr>
                                <w:rFonts w:hint="eastAsia"/>
                              </w:rPr>
                              <w:tab/>
                            </w:r>
                            <w:r w:rsidR="005F4A67">
                              <w:rPr>
                                <w:rFonts w:hint="eastAsia"/>
                              </w:rPr>
                              <w:t>：</w:t>
                            </w:r>
                            <w:r w:rsidRPr="00EE798C">
                              <w:rPr>
                                <w:rFonts w:hint="eastAsia"/>
                              </w:rPr>
                              <w:t>必要に応じての通信系統</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shape w14:anchorId="0345F961" id="Text Box 2948" o:spid="_x0000_s1830" type="#_x0000_t202" style="position:absolute;left:0;text-align:left;margin-left:324.6pt;margin-top:253.05pt;width:165.3pt;height:57.2pt;z-index:254345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">
                <v:textbox>
                  <w:txbxContent>
                    <w:p w14:paraId="1B52129F" w14:textId="77777777" w:rsidR="001111CC" w:rsidRPr="00EE798C" w:rsidRDefault="001111CC" w:rsidP="001111CC">
                      <w:pPr>
                        <w:spacing w:line="320" w:lineRule="atLeast"/>
                        <w:ind w:firstLineChars="600" w:firstLine="1267"/>
                      </w:pPr>
                      <w:r w:rsidRPr="00EE798C">
                        <w:rPr>
                          <w:rFonts w:hint="eastAsia"/>
                        </w:rPr>
                        <w:t>凡　　例</w:t>
                      </w:r>
                    </w:p>
                    <w:p w14:paraId="36A11F06" w14:textId="7419A75B" w:rsidR="001111CC" w:rsidRPr="00EE798C" w:rsidRDefault="001111CC" w:rsidP="001111CC">
                      <w:pPr>
                        <w:tabs>
                          <w:tab w:val="left" w:pos="186"/>
                        </w:tabs>
                        <w:spacing w:line="320" w:lineRule="atLeast"/>
                        <w:ind w:left="422" w:hangingChars="200" w:hanging="422"/>
                      </w:pPr>
                      <w:r w:rsidRPr="00EE798C">
                        <w:rPr>
                          <w:rFonts w:hint="eastAsia"/>
                        </w:rPr>
                        <w:tab/>
                      </w:r>
                      <w:r w:rsidRPr="00EE798C">
                        <w:rPr>
                          <w:rFonts w:hint="eastAsia"/>
                        </w:rPr>
                        <w:tab/>
                      </w:r>
                      <w:r w:rsidR="005F4A67">
                        <w:rPr>
                          <w:rFonts w:hint="eastAsia"/>
                        </w:rPr>
                        <w:t>：</w:t>
                      </w:r>
                      <w:r w:rsidRPr="00EE798C">
                        <w:rPr>
                          <w:rFonts w:hint="eastAsia"/>
                        </w:rPr>
                        <w:t>通常の通信系統</w:t>
                      </w:r>
                    </w:p>
                    <w:p w14:paraId="5E300B09" w14:textId="61567E4F" w:rsidR="001111CC" w:rsidRPr="00EE798C" w:rsidRDefault="001111CC" w:rsidP="005F4A67">
                      <w:pPr>
                        <w:tabs>
                          <w:tab w:val="left" w:pos="477"/>
                        </w:tabs>
                        <w:spacing w:line="320" w:lineRule="atLeast"/>
                        <w:ind w:left="422" w:hangingChars="200" w:hanging="422"/>
                      </w:pPr>
                      <w:r w:rsidRPr="00EE798C">
                        <w:rPr>
                          <w:rFonts w:hint="eastAsia"/>
                        </w:rPr>
                        <w:tab/>
                      </w:r>
                      <w:r w:rsidR="005F4A67">
                        <w:rPr>
                          <w:rFonts w:hint="eastAsia"/>
                        </w:rPr>
                        <w:t>：</w:t>
                      </w:r>
                      <w:r w:rsidRPr="00EE798C">
                        <w:rPr>
                          <w:rFonts w:hint="eastAsia"/>
                        </w:rPr>
                        <w:t>必要に応じての通信系統</w:t>
                      </w:r>
                    </w:p>
                  </w:txbxContent>
                </v:textbox>
              </v:shape>
            </w:pict>
          </mc:Fallback>
        </mc:AlternateContent>
      </w:r>
      <w:r w:rsidRPr="001111CC">
        <w:rPr>
          <w:rFonts w:hint="eastAsia"/>
          <w:noProof/>
        </w:rPr>
        <mc:AlternateContent>
          <mc:Choice Requires="wps">
            <w:drawing>
              <wp:anchor distT="0" distB="0" distL="114300" distR="114300" simplePos="0" relativeHeight="254346240" behindDoc="0" locked="0" layoutInCell="1" allowOverlap="1" wp14:anchorId="7EFCFF32" wp14:editId="25006489">
                <wp:simplePos x="0" y="0"/>
                <wp:positionH relativeFrom="column">
                  <wp:posOffset>4185285</wp:posOffset>
                </wp:positionH>
                <wp:positionV relativeFrom="paragraph">
                  <wp:posOffset>3613785</wp:posOffset>
                </wp:positionV>
                <wp:extent cx="240030" cy="0"/>
                <wp:effectExtent l="7620" t="13970" r="9525" b="5080"/>
                <wp:wrapNone/>
                <wp:docPr id="4014" name="Line 294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4003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line w14:anchorId="07F44AFA" id="Line 2949" o:spid="_x0000_s1026" style="position:absolute;left:0;text-align:left;z-index:254346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29.55pt,284.55pt" to="348.45pt,284.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"/>
            </w:pict>
          </mc:Fallback>
        </mc:AlternateContent>
      </w:r>
      <w:r w:rsidRPr="001111CC">
        <w:rPr>
          <w:rFonts w:hint="eastAsia"/>
          <w:noProof/>
        </w:rPr>
        <mc:AlternateContent>
          <mc:Choice Requires="wps">
            <w:drawing>
              <wp:anchor distT="0" distB="0" distL="114300" distR="114300" simplePos="0" relativeHeight="254347264" behindDoc="0" locked="0" layoutInCell="1" allowOverlap="1" wp14:anchorId="3B86951E" wp14:editId="5C82E7B8">
                <wp:simplePos x="0" y="0"/>
                <wp:positionH relativeFrom="column">
                  <wp:posOffset>4305300</wp:posOffset>
                </wp:positionH>
                <wp:positionV relativeFrom="paragraph">
                  <wp:posOffset>3703320</wp:posOffset>
                </wp:positionV>
                <wp:extent cx="0" cy="240030"/>
                <wp:effectExtent l="7620" t="13970" r="9525" b="5080"/>
                <wp:wrapNone/>
                <wp:docPr id="4015" name="Line 295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rot="5400000" flipV="1">
                          <a:off x="0" y="0"/>
                          <a:ext cx="0" cy="240030"/>
                        </a:xfrm>
                        <a:prstGeom prst="line">
                          <a:avLst/>
                        </a:prstGeom>
                        <a:noFill/>
                        <a:ln w="9525">
                          <a:solidFill>
                            <a:srgbClr val="000000"/>
                          </a:solidFill>
                          <a:prstDash val="sysDot"/>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line w14:anchorId="0F160201" id="Line 2950" o:spid="_x0000_s1026" style="position:absolute;left:0;text-align:left;rotation:-90;flip:y;z-index:254347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39pt,291.6pt" to="339pt,31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">
                <v:stroke dashstyle="1 1"/>
              </v:line>
            </w:pict>
          </mc:Fallback>
        </mc:AlternateContent>
      </w:r>
      <w:r w:rsidRPr="001111CC">
        <w:rPr>
          <w:noProof/>
        </w:rPr>
        <mc:AlternateContent>
          <mc:Choice Requires="wps">
            <w:drawing>
              <wp:anchor distT="0" distB="0" distL="114300" distR="114300" simplePos="0" relativeHeight="254348288" behindDoc="0" locked="0" layoutInCell="1" allowOverlap="1" wp14:anchorId="4790F510" wp14:editId="27860BE4">
                <wp:simplePos x="0" y="0"/>
                <wp:positionH relativeFrom="column">
                  <wp:posOffset>0</wp:posOffset>
                </wp:positionH>
                <wp:positionV relativeFrom="paragraph">
                  <wp:posOffset>379730</wp:posOffset>
                </wp:positionV>
                <wp:extent cx="1697355" cy="278130"/>
                <wp:effectExtent l="13335" t="12065" r="13335" b="5080"/>
                <wp:wrapNone/>
                <wp:docPr id="4016" name="Text Box 295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97355" cy="278130"/>
                        </a:xfrm>
                        <a:prstGeom prst="rect">
                          <a:avLst/>
                        </a:prstGeom>
                        <a:solidFill>
                          <a:srgbClr val="FFFFFF"/>
                        </a:solidFill>
                        <a:ln w="9525">
                          <a:solidFill>
                            <a:srgbClr val="000000"/>
                          </a:solidFill>
                          <a:miter lim="800000"/>
                          <a:headEnd/>
                          <a:tailEnd/>
                        </a:ln>
                      </wps:spPr>
                      <wps:txbx>
                        <w:txbxContent>
                          <w:p w14:paraId="2CEADF1A" w14:textId="77777777" w:rsidR="001111CC" w:rsidRPr="00EE798C" w:rsidRDefault="001111CC" w:rsidP="001111CC">
                            <w:pPr>
                              <w:spacing w:line="280" w:lineRule="atLeast"/>
                              <w:jc w:val="distribute"/>
                              <w:rPr>
                                <w:sz w:val="20"/>
                              </w:rPr>
                            </w:pPr>
                            <w:r w:rsidRPr="00EE798C">
                              <w:rPr>
                                <w:rFonts w:hint="eastAsia"/>
                                <w:sz w:val="20"/>
                              </w:rPr>
                              <w:t>近畿地方整備局港湾空港部</w:t>
                            </w:r>
                          </w:p>
                        </w:txbxContent>
                      </wps:txbx>
                      <wps:bodyPr rot="0" vert="horz" wrap="square" lIns="37440" tIns="24120" rIns="41040" bIns="24120" anchor="t" anchorCtr="0" upright="1">
                        <a:noAutofit/>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shape w14:anchorId="4790F510" id="Text Box 2951" o:spid="_x0000_s1831" type="#_x0000_t202" style="position:absolute;left:0;text-align:left;margin-left:0;margin-top:29.9pt;width:133.65pt;height:21.9pt;z-index:254348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">
                <v:textbox inset="1.04mm,.67mm,1.14mm,.67mm">
                  <w:txbxContent>
                    <w:p w14:paraId="2CEADF1A" w14:textId="77777777" w:rsidR="001111CC" w:rsidRPr="00EE798C" w:rsidRDefault="001111CC" w:rsidP="001111CC">
                      <w:pPr>
                        <w:spacing w:line="280" w:lineRule="atLeast"/>
                        <w:jc w:val="distribute"/>
                        <w:rPr>
                          <w:sz w:val="20"/>
                        </w:rPr>
                      </w:pPr>
                      <w:r w:rsidRPr="00EE798C">
                        <w:rPr>
                          <w:rFonts w:hint="eastAsia"/>
                          <w:sz w:val="20"/>
                        </w:rPr>
                        <w:t>近畿地方整備局港湾空港部</w:t>
                      </w:r>
                    </w:p>
                  </w:txbxContent>
                </v:textbox>
              </v:shape>
            </w:pict>
          </mc:Fallback>
        </mc:AlternateContent>
      </w:r>
      <w:r w:rsidRPr="001111CC">
        <w:rPr>
          <w:noProof/>
        </w:rPr>
        <mc:AlternateContent>
          <mc:Choice Requires="wps">
            <w:drawing>
              <wp:anchor distT="0" distB="0" distL="114300" distR="114300" simplePos="0" relativeHeight="254349312" behindDoc="0" locked="0" layoutInCell="1" allowOverlap="1" wp14:anchorId="36479AFC" wp14:editId="015EA900">
                <wp:simplePos x="0" y="0"/>
                <wp:positionH relativeFrom="column">
                  <wp:posOffset>1697355</wp:posOffset>
                </wp:positionH>
                <wp:positionV relativeFrom="paragraph">
                  <wp:posOffset>489585</wp:posOffset>
                </wp:positionV>
                <wp:extent cx="468630" cy="0"/>
                <wp:effectExtent l="15240" t="62230" r="11430" b="61595"/>
                <wp:wrapNone/>
                <wp:docPr id="4017" name="Line 295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468630" cy="0"/>
                        </a:xfrm>
                        <a:prstGeom prst="line">
                          <a:avLst/>
                        </a:prstGeom>
                        <a:noFill/>
                        <a:ln w="9525">
                          <a:solidFill>
                            <a:srgbClr val="000000"/>
                          </a:solidFill>
                          <a:prstDash val="sysDot"/>
                          <a:round/>
                          <a:headEnd/>
                          <a:tailEnd type="arrow" w="sm" len="sm"/>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line w14:anchorId="119452A0" id="Line 2952" o:spid="_x0000_s1026" style="position:absolute;left:0;text-align:left;flip:x;z-index:254349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33.65pt,38.55pt" to="170.55pt,38.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">
                <v:stroke dashstyle="1 1" endarrow="open" endarrowwidth="narrow" endarrowlength="short"/>
              </v:line>
            </w:pict>
          </mc:Fallback>
        </mc:AlternateContent>
      </w:r>
      <w:r w:rsidRPr="001111CC">
        <w:rPr>
          <w:noProof/>
        </w:rPr>
        <mc:AlternateContent>
          <mc:Choice Requires="wps">
            <w:drawing>
              <wp:anchor distT="0" distB="0" distL="114300" distR="114300" simplePos="0" relativeHeight="254350336" behindDoc="0" locked="0" layoutInCell="1" allowOverlap="1" wp14:anchorId="5E6F14E3" wp14:editId="7B9E4233">
                <wp:simplePos x="0" y="0"/>
                <wp:positionH relativeFrom="column">
                  <wp:posOffset>0</wp:posOffset>
                </wp:positionH>
                <wp:positionV relativeFrom="paragraph">
                  <wp:posOffset>102870</wp:posOffset>
                </wp:positionV>
                <wp:extent cx="1697355" cy="272415"/>
                <wp:effectExtent l="13335" t="7620" r="13335" b="5715"/>
                <wp:wrapNone/>
                <wp:docPr id="4018" name="Text Box 295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97355" cy="272415"/>
                        </a:xfrm>
                        <a:prstGeom prst="rect">
                          <a:avLst/>
                        </a:prstGeom>
                        <a:solidFill>
                          <a:srgbClr val="FFFFFF"/>
                        </a:solidFill>
                        <a:ln w="9525">
                          <a:solidFill>
                            <a:srgbClr val="000000"/>
                          </a:solidFill>
                          <a:miter lim="800000"/>
                          <a:headEnd/>
                          <a:tailEnd/>
                        </a:ln>
                      </wps:spPr>
                      <wps:txbx>
                        <w:txbxContent>
                          <w:p w14:paraId="7717CD42" w14:textId="77777777" w:rsidR="001111CC" w:rsidRPr="00EE798C" w:rsidRDefault="001111CC" w:rsidP="001111CC">
                            <w:pPr>
                              <w:jc w:val="distribute"/>
                            </w:pPr>
                            <w:r w:rsidRPr="00EE798C">
                              <w:rPr>
                                <w:rFonts w:hint="eastAsia"/>
                                <w:sz w:val="20"/>
                              </w:rPr>
                              <w:t>第五管区海上保安本部</w:t>
                            </w:r>
                          </w:p>
                        </w:txbxContent>
                      </wps:txbx>
                      <wps:bodyPr rot="0" vert="horz" wrap="square" lIns="37440" tIns="24120" rIns="41040" bIns="24120" anchor="t" anchorCtr="0" upright="1">
                        <a:noAutofit/>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shape w14:anchorId="5E6F14E3" id="Text Box 2953" o:spid="_x0000_s1832" type="#_x0000_t202" style="position:absolute;left:0;text-align:left;margin-left:0;margin-top:8.1pt;width:133.65pt;height:21.45pt;z-index:254350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">
                <v:textbox inset="1.04mm,.67mm,1.14mm,.67mm">
                  <w:txbxContent>
                    <w:p w14:paraId="7717CD42" w14:textId="77777777" w:rsidR="001111CC" w:rsidRPr="00EE798C" w:rsidRDefault="001111CC" w:rsidP="001111CC">
                      <w:pPr>
                        <w:jc w:val="distribute"/>
                      </w:pPr>
                      <w:r w:rsidRPr="00EE798C">
                        <w:rPr>
                          <w:rFonts w:hint="eastAsia"/>
                          <w:sz w:val="20"/>
                        </w:rPr>
                        <w:t>第五管区海上保安本部</w:t>
                      </w:r>
                    </w:p>
                  </w:txbxContent>
                </v:textbox>
              </v:shape>
            </w:pict>
          </mc:Fallback>
        </mc:AlternateContent>
      </w:r>
      <w:r w:rsidRPr="001111CC">
        <w:rPr>
          <w:noProof/>
        </w:rPr>
        <mc:AlternateContent>
          <mc:Choice Requires="wps">
            <w:drawing>
              <wp:anchor distT="0" distB="0" distL="114300" distR="114300" simplePos="0" relativeHeight="254351360" behindDoc="0" locked="0" layoutInCell="1" allowOverlap="1" wp14:anchorId="07A2A73F" wp14:editId="1D4BAFA6">
                <wp:simplePos x="0" y="0"/>
                <wp:positionH relativeFrom="column">
                  <wp:posOffset>377190</wp:posOffset>
                </wp:positionH>
                <wp:positionV relativeFrom="paragraph">
                  <wp:posOffset>2515870</wp:posOffset>
                </wp:positionV>
                <wp:extent cx="1712595" cy="0"/>
                <wp:effectExtent l="9525" t="60325" r="20955" b="63500"/>
                <wp:wrapNone/>
                <wp:docPr id="4019" name="Line 295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rot="10800000" flipH="1" flipV="1">
                          <a:off x="0" y="0"/>
                          <a:ext cx="1712595" cy="0"/>
                        </a:xfrm>
                        <a:prstGeom prst="line">
                          <a:avLst/>
                        </a:prstGeom>
                        <a:noFill/>
                        <a:ln w="9525">
                          <a:solidFill>
                            <a:srgbClr val="000000"/>
                          </a:solidFill>
                          <a:prstDash val="sysDot"/>
                          <a:round/>
                          <a:headEnd/>
                          <a:tailEnd type="arrow" w="sm" len="sm"/>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line w14:anchorId="6D844712" id="Line 2954" o:spid="_x0000_s1026" style="position:absolute;left:0;text-align:left;rotation:180;flip:x y;z-index:254351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9.7pt,198.1pt" to="164.55pt,198.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">
                <v:stroke dashstyle="1 1" endarrow="open" endarrowwidth="narrow" endarrowlength="short"/>
              </v:line>
            </w:pict>
          </mc:Fallback>
        </mc:AlternateContent>
      </w:r>
      <w:r w:rsidRPr="001111CC">
        <w:rPr>
          <w:noProof/>
        </w:rPr>
        <mc:AlternateContent>
          <mc:Choice Requires="wps">
            <w:drawing>
              <wp:anchor distT="0" distB="0" distL="114300" distR="114300" simplePos="0" relativeHeight="254352384" behindDoc="0" locked="0" layoutInCell="1" allowOverlap="1" wp14:anchorId="6969A9DA" wp14:editId="57957F91">
                <wp:simplePos x="0" y="0"/>
                <wp:positionH relativeFrom="column">
                  <wp:posOffset>377190</wp:posOffset>
                </wp:positionH>
                <wp:positionV relativeFrom="paragraph">
                  <wp:posOffset>677545</wp:posOffset>
                </wp:positionV>
                <wp:extent cx="0" cy="1800225"/>
                <wp:effectExtent l="66675" t="22225" r="66675" b="6350"/>
                <wp:wrapNone/>
                <wp:docPr id="4020" name="Line 295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rot="10800000" flipH="1">
                          <a:off x="0" y="0"/>
                          <a:ext cx="0" cy="1800225"/>
                        </a:xfrm>
                        <a:prstGeom prst="line">
                          <a:avLst/>
                        </a:prstGeom>
                        <a:noFill/>
                        <a:ln w="9525">
                          <a:solidFill>
                            <a:srgbClr val="000000"/>
                          </a:solidFill>
                          <a:prstDash val="sysDot"/>
                          <a:round/>
                          <a:headEnd/>
                          <a:tailEnd type="arrow" w="sm" len="sm"/>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line w14:anchorId="40B059E1" id="Line 2955" o:spid="_x0000_s1026" style="position:absolute;left:0;text-align:left;rotation:180;flip:x;z-index:254352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9.7pt,53.35pt" to="29.7pt,195.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">
                <v:stroke dashstyle="1 1" endarrow="open" endarrowwidth="narrow" endarrowlength="short"/>
              </v:line>
            </w:pict>
          </mc:Fallback>
        </mc:AlternateContent>
      </w:r>
      <w:r w:rsidRPr="001111CC">
        <w:rPr>
          <w:noProof/>
        </w:rPr>
        <mc:AlternateContent>
          <mc:Choice Requires="wps">
            <w:drawing>
              <wp:anchor distT="0" distB="0" distL="114300" distR="114300" simplePos="0" relativeHeight="254353408" behindDoc="0" locked="0" layoutInCell="1" allowOverlap="1" wp14:anchorId="1A18A10C" wp14:editId="68F9F0BD">
                <wp:simplePos x="0" y="0"/>
                <wp:positionH relativeFrom="column">
                  <wp:posOffset>1104900</wp:posOffset>
                </wp:positionH>
                <wp:positionV relativeFrom="paragraph">
                  <wp:posOffset>2468245</wp:posOffset>
                </wp:positionV>
                <wp:extent cx="984885" cy="426085"/>
                <wp:effectExtent l="13335" t="12700" r="40005" b="66040"/>
                <wp:wrapNone/>
                <wp:docPr id="4021" name="Line 295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rot="10800000" flipH="1" flipV="1">
                          <a:off x="0" y="0"/>
                          <a:ext cx="984885" cy="426085"/>
                        </a:xfrm>
                        <a:prstGeom prst="line">
                          <a:avLst/>
                        </a:prstGeom>
                        <a:noFill/>
                        <a:ln w="9525">
                          <a:solidFill>
                            <a:srgbClr val="000000"/>
                          </a:solidFill>
                          <a:prstDash val="sysDot"/>
                          <a:round/>
                          <a:headEnd/>
                          <a:tailEnd type="arrow" w="sm" len="sm"/>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line w14:anchorId="3110F12B" id="Line 2956" o:spid="_x0000_s1026" style="position:absolute;left:0;text-align:left;rotation:180;flip:x y;z-index:254353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87pt,194.35pt" to="164.55pt,227.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">
                <v:stroke dashstyle="1 1" endarrow="open" endarrowwidth="narrow" endarrowlength="short"/>
              </v:line>
            </w:pict>
          </mc:Fallback>
        </mc:AlternateContent>
      </w:r>
    </w:p>
    <w:p w14:paraId="5DCB2BA9" w14:textId="77777777" w:rsidR="001111CC" w:rsidRDefault="001111CC">
      <w:pPr>
        <w:widowControl/>
        <w:jc w:val="left"/>
      </w:pPr>
      <w:r>
        <w:br w:type="page"/>
      </w:r>
    </w:p>
    <w:p w14:paraId="18BA49A6" w14:textId="6AE76A2D" w:rsidR="008B4B2B" w:rsidRPr="00E0548A" w:rsidRDefault="008B4B2B" w:rsidP="00E0548A">
      <w:pPr>
        <w:pStyle w:val="2"/>
        <w:rPr>
          <w:rFonts w:asciiTheme="majorEastAsia" w:eastAsiaTheme="majorEastAsia" w:hAnsiTheme="majorEastAsia"/>
          <w:bCs/>
          <w:sz w:val="44"/>
          <w:szCs w:val="44"/>
        </w:rPr>
      </w:pPr>
      <w:bookmarkStart w:id="450" w:name="_Toc122436985"/>
      <w:bookmarkStart w:id="451" w:name="_Toc222433316"/>
      <w:bookmarkStart w:id="452" w:name="_Toc222486684"/>
      <w:bookmarkStart w:id="453" w:name="_Toc242870354"/>
      <w:r w:rsidRPr="00E0548A">
        <w:rPr>
          <w:rFonts w:asciiTheme="majorEastAsia" w:eastAsiaTheme="majorEastAsia" w:hAnsiTheme="majorEastAsia" w:hint="eastAsia"/>
          <w:szCs w:val="40"/>
        </w:rPr>
        <w:lastRenderedPageBreak/>
        <w:t>第６節　高層建築物、地下街、市街地災害応急対策</w:t>
      </w:r>
      <w:bookmarkEnd w:id="450"/>
      <w:bookmarkEnd w:id="451"/>
      <w:bookmarkEnd w:id="452"/>
      <w:bookmarkEnd w:id="453"/>
    </w:p>
    <w:p w14:paraId="3DA8369A" w14:textId="77777777" w:rsidR="008B4B2B" w:rsidRPr="001D6D10" w:rsidRDefault="008B4B2B" w:rsidP="008B4B2B">
      <w:pPr>
        <w:pStyle w:val="a0"/>
        <w:spacing w:line="0" w:lineRule="atLeast"/>
        <w:ind w:firstLineChars="650" w:firstLine="1437"/>
        <w:rPr>
          <w:rFonts w:ascii="ＭＳ ゴシック" w:eastAsia="ＭＳ ゴシック" w:hAnsi="ＭＳ ゴシック"/>
          <w:sz w:val="22"/>
          <w:szCs w:val="22"/>
          <w:bdr w:val="single" w:sz="4" w:space="0" w:color="auto"/>
        </w:rPr>
      </w:pPr>
      <w:r w:rsidRPr="001D6D10">
        <w:rPr>
          <w:rFonts w:ascii="ＭＳ ゴシック" w:eastAsia="ＭＳ ゴシック" w:hAnsi="ＭＳ ゴシック" w:hint="eastAsia"/>
          <w:sz w:val="22"/>
          <w:szCs w:val="22"/>
          <w:bdr w:val="single" w:sz="4" w:space="0" w:color="auto"/>
        </w:rPr>
        <w:t>主たる担当：危機管理室</w:t>
      </w:r>
    </w:p>
    <w:p w14:paraId="79438EDA" w14:textId="77777777" w:rsidR="008B4B2B" w:rsidRPr="001D6D10" w:rsidRDefault="008B4B2B" w:rsidP="00831F71">
      <w:pPr>
        <w:pStyle w:val="a0"/>
        <w:ind w:firstLineChars="200" w:firstLine="442"/>
        <w:outlineLvl w:val="2"/>
        <w:rPr>
          <w:rFonts w:ascii="ＭＳ ゴシック" w:eastAsia="ＭＳ ゴシック" w:hAnsi="ＭＳ ゴシック"/>
          <w:bCs/>
          <w:sz w:val="22"/>
          <w:szCs w:val="22"/>
          <w:u w:val="double"/>
        </w:rPr>
      </w:pPr>
      <w:bookmarkStart w:id="454" w:name="_Toc122436986"/>
      <w:bookmarkStart w:id="455" w:name="_Toc222433317"/>
      <w:bookmarkStart w:id="456" w:name="_Toc222486685"/>
      <w:bookmarkStart w:id="457" w:name="_Toc242870355"/>
      <w:r w:rsidRPr="001D6D10">
        <w:rPr>
          <w:rFonts w:ascii="ＭＳ ゴシック" w:eastAsia="ＭＳ ゴシック" w:hAnsi="ＭＳ ゴシック" w:hint="eastAsia"/>
          <w:bCs/>
          <w:sz w:val="22"/>
          <w:szCs w:val="22"/>
          <w:u w:val="double"/>
        </w:rPr>
        <w:t>第１　広域応援体制</w:t>
      </w:r>
      <w:bookmarkEnd w:id="454"/>
      <w:bookmarkEnd w:id="455"/>
      <w:bookmarkEnd w:id="456"/>
      <w:bookmarkEnd w:id="457"/>
    </w:p>
    <w:p w14:paraId="2FCC4A64" w14:textId="77777777" w:rsidR="008B4B2B" w:rsidRPr="001D6D10" w:rsidRDefault="008B4B2B" w:rsidP="008B4B2B">
      <w:pPr>
        <w:pStyle w:val="a0"/>
        <w:ind w:leftChars="315" w:left="886" w:hangingChars="100" w:hanging="221"/>
        <w:rPr>
          <w:rFonts w:hAnsi="ＭＳ 明朝"/>
          <w:bCs/>
          <w:sz w:val="22"/>
          <w:szCs w:val="22"/>
        </w:rPr>
      </w:pPr>
      <w:r w:rsidRPr="001D6D10">
        <w:rPr>
          <w:rFonts w:hAnsi="ＭＳ 明朝" w:hint="eastAsia"/>
          <w:bCs/>
          <w:sz w:val="22"/>
          <w:szCs w:val="22"/>
        </w:rPr>
        <w:t>１　市街地における火災が延焼・拡大し、被災市町村単独では十分に火災防ぎ</w:t>
      </w:r>
      <w:proofErr w:type="gramStart"/>
      <w:r w:rsidRPr="001D6D10">
        <w:rPr>
          <w:rFonts w:hAnsi="ＭＳ 明朝" w:hint="eastAsia"/>
          <w:bCs/>
          <w:sz w:val="22"/>
          <w:szCs w:val="22"/>
        </w:rPr>
        <w:t>ょ</w:t>
      </w:r>
      <w:proofErr w:type="gramEnd"/>
      <w:r w:rsidRPr="001D6D10">
        <w:rPr>
          <w:rFonts w:hAnsi="ＭＳ 明朝" w:hint="eastAsia"/>
          <w:bCs/>
          <w:sz w:val="22"/>
          <w:szCs w:val="22"/>
        </w:rPr>
        <w:t>活動が実施できない場合には、隣接市町村、府、府警察などに応援を要請し、相互に緊密な連携を図りながら消火・救助・救急活動を実施する。</w:t>
      </w:r>
    </w:p>
    <w:p w14:paraId="4B4EA848" w14:textId="77777777" w:rsidR="008B4B2B" w:rsidRPr="001D6D10" w:rsidRDefault="008B4B2B" w:rsidP="008B4B2B">
      <w:pPr>
        <w:pStyle w:val="a0"/>
        <w:ind w:leftChars="415" w:left="876" w:rightChars="-175" w:right="-369" w:firstLineChars="100" w:firstLine="221"/>
        <w:rPr>
          <w:rFonts w:hAnsi="ＭＳ 明朝"/>
          <w:bCs/>
          <w:sz w:val="22"/>
          <w:szCs w:val="22"/>
        </w:rPr>
      </w:pPr>
      <w:r w:rsidRPr="001D6D10">
        <w:rPr>
          <w:rFonts w:hAnsi="ＭＳ 明朝" w:hint="eastAsia"/>
          <w:bCs/>
          <w:sz w:val="22"/>
          <w:szCs w:val="22"/>
        </w:rPr>
        <w:t>海水を利用した消火活動を実施する場合は、必要に応じ、第５管区海上保安本部に応援を要請する。</w:t>
      </w:r>
    </w:p>
    <w:p w14:paraId="239AB6B6" w14:textId="77777777" w:rsidR="008B4B2B" w:rsidRPr="001D6D10" w:rsidRDefault="008B4B2B" w:rsidP="008B4B2B">
      <w:pPr>
        <w:pStyle w:val="a0"/>
        <w:ind w:leftChars="315" w:left="886" w:hangingChars="100" w:hanging="221"/>
        <w:rPr>
          <w:rFonts w:hAnsi="ＭＳ 明朝"/>
          <w:bCs/>
          <w:sz w:val="22"/>
          <w:szCs w:val="22"/>
        </w:rPr>
      </w:pPr>
    </w:p>
    <w:p w14:paraId="016034D2" w14:textId="77777777" w:rsidR="008B4B2B" w:rsidRPr="001D6D10" w:rsidRDefault="008B4B2B" w:rsidP="008B4B2B">
      <w:pPr>
        <w:pStyle w:val="a0"/>
        <w:ind w:leftChars="332" w:left="849" w:hangingChars="67" w:hanging="148"/>
        <w:rPr>
          <w:rFonts w:hAnsi="ＭＳ 明朝"/>
          <w:bCs/>
          <w:sz w:val="22"/>
          <w:szCs w:val="22"/>
        </w:rPr>
      </w:pPr>
      <w:r w:rsidRPr="001D6D10">
        <w:rPr>
          <w:rFonts w:hAnsi="ＭＳ 明朝" w:hint="eastAsia"/>
          <w:bCs/>
          <w:sz w:val="22"/>
          <w:szCs w:val="22"/>
        </w:rPr>
        <w:t>２　府は、市町村から要請があったとき又は緊急の必要があるとき、</w:t>
      </w:r>
    </w:p>
    <w:p w14:paraId="62D70174" w14:textId="77777777" w:rsidR="008B4B2B" w:rsidRPr="001D6D10" w:rsidRDefault="008B4B2B" w:rsidP="008B4B2B">
      <w:pPr>
        <w:pStyle w:val="a0"/>
        <w:ind w:leftChars="332" w:left="701" w:rightChars="-41" w:right="-87" w:firstLineChars="100" w:firstLine="221"/>
        <w:rPr>
          <w:rFonts w:hAnsi="ＭＳ 明朝"/>
          <w:bCs/>
          <w:sz w:val="22"/>
          <w:szCs w:val="22"/>
        </w:rPr>
      </w:pPr>
      <w:r w:rsidRPr="001D6D10">
        <w:rPr>
          <w:rFonts w:hAnsi="ＭＳ 明朝" w:hint="eastAsia"/>
          <w:bCs/>
          <w:sz w:val="22"/>
          <w:szCs w:val="22"/>
        </w:rPr>
        <w:t>隣接市町村に対し、消防相互応援の実施、その他災害応急対策に関し必要な指示をする。</w:t>
      </w:r>
    </w:p>
    <w:p w14:paraId="6D5F9C93" w14:textId="77777777" w:rsidR="008B4B2B" w:rsidRPr="001D6D10" w:rsidRDefault="008B4B2B" w:rsidP="008B4B2B">
      <w:pPr>
        <w:wordWrap w:val="0"/>
        <w:overflowPunct w:val="0"/>
        <w:spacing w:line="362" w:lineRule="exact"/>
        <w:ind w:right="65"/>
      </w:pPr>
    </w:p>
    <w:p w14:paraId="0806AC1E" w14:textId="77777777" w:rsidR="008B4B2B" w:rsidRPr="001D6D10" w:rsidRDefault="008B4B2B" w:rsidP="008B4B2B">
      <w:pPr>
        <w:wordWrap w:val="0"/>
        <w:overflowPunct w:val="0"/>
        <w:spacing w:line="362" w:lineRule="exact"/>
        <w:ind w:right="65"/>
      </w:pPr>
      <w:r w:rsidRPr="001D6D10">
        <w:rPr>
          <w:rFonts w:hint="eastAsia"/>
        </w:rPr>
        <w:t>別図〔連絡系統図〕</w:t>
      </w:r>
    </w:p>
    <w:p w14:paraId="03059FFE" w14:textId="77777777" w:rsidR="008B4B2B" w:rsidRPr="001D6D10" w:rsidRDefault="008B4B2B" w:rsidP="008B4B2B">
      <w:pPr>
        <w:wordWrap w:val="0"/>
        <w:overflowPunct w:val="0"/>
        <w:spacing w:line="362" w:lineRule="exact"/>
        <w:ind w:right="65"/>
      </w:pPr>
    </w:p>
    <w:p w14:paraId="09D78362" w14:textId="77777777" w:rsidR="008B4B2B" w:rsidRPr="001D6D10" w:rsidRDefault="008B4B2B" w:rsidP="008B4B2B">
      <w:pPr>
        <w:wordWrap w:val="0"/>
        <w:overflowPunct w:val="0"/>
        <w:spacing w:line="362" w:lineRule="exact"/>
        <w:ind w:right="65"/>
      </w:pPr>
      <w:r w:rsidRPr="001D6D10">
        <w:rPr>
          <w:noProof/>
          <w:sz w:val="20"/>
        </w:rPr>
        <mc:AlternateContent>
          <mc:Choice Requires="wps">
            <w:drawing>
              <wp:anchor distT="0" distB="0" distL="114300" distR="114300" simplePos="0" relativeHeight="253651968" behindDoc="0" locked="0" layoutInCell="1" allowOverlap="1" wp14:anchorId="105747FB" wp14:editId="50BCB27E">
                <wp:simplePos x="0" y="0"/>
                <wp:positionH relativeFrom="column">
                  <wp:posOffset>2743200</wp:posOffset>
                </wp:positionH>
                <wp:positionV relativeFrom="paragraph">
                  <wp:posOffset>137160</wp:posOffset>
                </wp:positionV>
                <wp:extent cx="1371600" cy="0"/>
                <wp:effectExtent l="9525" t="60960" r="19050" b="62865"/>
                <wp:wrapNone/>
                <wp:docPr id="3537" name="Line 296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371600" cy="0"/>
                        </a:xfrm>
                        <a:prstGeom prst="line">
                          <a:avLst/>
                        </a:prstGeom>
                        <a:noFill/>
                        <a:ln w="9525">
                          <a:solidFill>
                            <a:srgbClr val="000000"/>
                          </a:solidFill>
                          <a:prstDash val="sysDot"/>
                          <a:round/>
                          <a:headEnd/>
                          <a:tailEnd type="arrow" w="sm" len="sm"/>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line w14:anchorId="1AB70BF7" id="Line 2966" o:spid="_x0000_s1026" style="position:absolute;left:0;text-align:left;z-index:2536519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in,10.8pt" to="324pt,10.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">
                <v:stroke dashstyle="1 1" endarrow="open" endarrowwidth="narrow" endarrowlength="short"/>
              </v:line>
            </w:pict>
          </mc:Fallback>
        </mc:AlternateContent>
      </w:r>
      <w:r w:rsidRPr="001D6D10">
        <w:rPr>
          <w:noProof/>
          <w:sz w:val="20"/>
        </w:rPr>
        <mc:AlternateContent>
          <mc:Choice Requires="wps">
            <w:drawing>
              <wp:anchor distT="0" distB="0" distL="114300" distR="114300" simplePos="0" relativeHeight="253647872" behindDoc="0" locked="0" layoutInCell="1" allowOverlap="1" wp14:anchorId="34F66943" wp14:editId="7218623D">
                <wp:simplePos x="0" y="0"/>
                <wp:positionH relativeFrom="column">
                  <wp:posOffset>4114800</wp:posOffset>
                </wp:positionH>
                <wp:positionV relativeFrom="paragraph">
                  <wp:posOffset>22860</wp:posOffset>
                </wp:positionV>
                <wp:extent cx="1600200" cy="342900"/>
                <wp:effectExtent l="9525" t="13335" r="9525" b="5715"/>
                <wp:wrapNone/>
                <wp:docPr id="3536" name="Text Box 296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00200" cy="342900"/>
                        </a:xfrm>
                        <a:prstGeom prst="rect">
                          <a:avLst/>
                        </a:prstGeom>
                        <a:solidFill>
                          <a:srgbClr val="FFFFFF"/>
                        </a:solidFill>
                        <a:ln w="9525">
                          <a:solidFill>
                            <a:srgbClr val="000000"/>
                          </a:solidFill>
                          <a:miter lim="800000"/>
                          <a:headEnd/>
                          <a:tailEnd/>
                        </a:ln>
                      </wps:spPr>
                      <wps:txbx>
                        <w:txbxContent>
                          <w:p w14:paraId="579454A7" w14:textId="77777777" w:rsidR="006A5267" w:rsidRDefault="006A5267" w:rsidP="008B4B2B">
                            <w:pPr>
                              <w:jc w:val="distribute"/>
                            </w:pPr>
                            <w:r>
                              <w:rPr>
                                <w:rFonts w:hint="eastAsia"/>
                              </w:rPr>
                              <w:t>警察署</w:t>
                            </w:r>
                          </w:p>
                        </w:txbxContent>
                      </wps:txbx>
                      <wps:bodyPr rot="0" vert="horz" wrap="square" lIns="30240" tIns="31320" rIns="30240" bIns="31320" anchor="t" anchorCtr="0" upright="1">
                        <a:noAutofit/>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shape w14:anchorId="34F66943" id="Text Box 2962" o:spid="_x0000_s1833" type="#_x0000_t202" style="position:absolute;left:0;text-align:left;margin-left:324pt;margin-top:1.8pt;width:126pt;height:27pt;z-index:2536478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">
                <v:textbox inset=".84mm,.87mm,.84mm,.87mm">
                  <w:txbxContent>
                    <w:p w14:paraId="579454A7" w14:textId="77777777" w:rsidR="006A5267" w:rsidRDefault="006A5267" w:rsidP="008B4B2B">
                      <w:pPr>
                        <w:jc w:val="distribute"/>
                      </w:pPr>
                      <w:r>
                        <w:rPr>
                          <w:rFonts w:hint="eastAsia"/>
                        </w:rPr>
                        <w:t>警察署</w:t>
                      </w:r>
                    </w:p>
                  </w:txbxContent>
                </v:textbox>
              </v:shape>
            </w:pict>
          </mc:Fallback>
        </mc:AlternateContent>
      </w:r>
      <w:r w:rsidRPr="001D6D10">
        <w:rPr>
          <w:noProof/>
          <w:sz w:val="20"/>
        </w:rPr>
        <mc:AlternateContent>
          <mc:Choice Requires="wps">
            <w:drawing>
              <wp:anchor distT="0" distB="0" distL="114300" distR="114300" simplePos="0" relativeHeight="253643776" behindDoc="0" locked="0" layoutInCell="1" allowOverlap="1" wp14:anchorId="2CF860E4" wp14:editId="2C7DAF87">
                <wp:simplePos x="0" y="0"/>
                <wp:positionH relativeFrom="column">
                  <wp:posOffset>1714500</wp:posOffset>
                </wp:positionH>
                <wp:positionV relativeFrom="paragraph">
                  <wp:posOffset>22860</wp:posOffset>
                </wp:positionV>
                <wp:extent cx="1028700" cy="685800"/>
                <wp:effectExtent l="9525" t="13335" r="9525" b="5715"/>
                <wp:wrapNone/>
                <wp:docPr id="3535" name="Text Box 295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28700" cy="685800"/>
                        </a:xfrm>
                        <a:prstGeom prst="rect">
                          <a:avLst/>
                        </a:prstGeom>
                        <a:solidFill>
                          <a:srgbClr val="FFFFFF"/>
                        </a:solidFill>
                        <a:ln w="9525">
                          <a:solidFill>
                            <a:srgbClr val="000000"/>
                          </a:solidFill>
                          <a:miter lim="800000"/>
                          <a:headEnd/>
                          <a:tailEnd/>
                        </a:ln>
                      </wps:spPr>
                      <wps:txbx>
                        <w:txbxContent>
                          <w:p w14:paraId="0A996A03" w14:textId="77777777" w:rsidR="006A5267" w:rsidRDefault="006A5267" w:rsidP="008B4B2B">
                            <w:pPr>
                              <w:jc w:val="distribute"/>
                            </w:pPr>
                            <w:r>
                              <w:rPr>
                                <w:rFonts w:hint="eastAsia"/>
                              </w:rPr>
                              <w:t>火災発見者</w:t>
                            </w:r>
                          </w:p>
                          <w:p w14:paraId="3A84A7AB" w14:textId="77777777" w:rsidR="006A5267" w:rsidRDefault="006A5267" w:rsidP="008B4B2B">
                            <w:pPr>
                              <w:spacing w:line="60" w:lineRule="exact"/>
                              <w:jc w:val="distribute"/>
                            </w:pPr>
                          </w:p>
                          <w:p w14:paraId="0E2115E7" w14:textId="77777777" w:rsidR="006A5267" w:rsidRDefault="006A5267" w:rsidP="008B4B2B">
                            <w:pPr>
                              <w:spacing w:line="60" w:lineRule="exact"/>
                              <w:jc w:val="distribute"/>
                            </w:pPr>
                          </w:p>
                          <w:p w14:paraId="2651FD09" w14:textId="77777777" w:rsidR="006A5267" w:rsidRDefault="006A5267" w:rsidP="008B4B2B">
                            <w:pPr>
                              <w:jc w:val="distribute"/>
                            </w:pPr>
                            <w:r>
                              <w:rPr>
                                <w:rFonts w:hint="eastAsia"/>
                              </w:rPr>
                              <w:t>施設管理者等</w:t>
                            </w:r>
                          </w:p>
                        </w:txbxContent>
                      </wps:txbx>
                      <wps:bodyPr rot="0" vert="horz" wrap="square" lIns="30240" tIns="31320" rIns="30240" bIns="31320" anchor="t" anchorCtr="0" upright="1">
                        <a:noAutofit/>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shape w14:anchorId="2CF860E4" id="Text Box 2958" o:spid="_x0000_s1834" type="#_x0000_t202" style="position:absolute;left:0;text-align:left;margin-left:135pt;margin-top:1.8pt;width:81pt;height:54pt;z-index:253643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">
                <v:textbox inset=".84mm,.87mm,.84mm,.87mm">
                  <w:txbxContent>
                    <w:p w14:paraId="0A996A03" w14:textId="77777777" w:rsidR="006A5267" w:rsidRDefault="006A5267" w:rsidP="008B4B2B">
                      <w:pPr>
                        <w:jc w:val="distribute"/>
                      </w:pPr>
                      <w:r>
                        <w:rPr>
                          <w:rFonts w:hint="eastAsia"/>
                        </w:rPr>
                        <w:t>火災発見者</w:t>
                      </w:r>
                    </w:p>
                    <w:p w14:paraId="3A84A7AB" w14:textId="77777777" w:rsidR="006A5267" w:rsidRDefault="006A5267" w:rsidP="008B4B2B">
                      <w:pPr>
                        <w:spacing w:line="60" w:lineRule="exact"/>
                        <w:jc w:val="distribute"/>
                      </w:pPr>
                    </w:p>
                    <w:p w14:paraId="0E2115E7" w14:textId="77777777" w:rsidR="006A5267" w:rsidRDefault="006A5267" w:rsidP="008B4B2B">
                      <w:pPr>
                        <w:spacing w:line="60" w:lineRule="exact"/>
                        <w:jc w:val="distribute"/>
                      </w:pPr>
                    </w:p>
                    <w:p w14:paraId="2651FD09" w14:textId="77777777" w:rsidR="006A5267" w:rsidRDefault="006A5267" w:rsidP="008B4B2B">
                      <w:pPr>
                        <w:jc w:val="distribute"/>
                      </w:pPr>
                      <w:r>
                        <w:rPr>
                          <w:rFonts w:hint="eastAsia"/>
                        </w:rPr>
                        <w:t>施設管理者等</w:t>
                      </w:r>
                    </w:p>
                  </w:txbxContent>
                </v:textbox>
              </v:shape>
            </w:pict>
          </mc:Fallback>
        </mc:AlternateContent>
      </w:r>
    </w:p>
    <w:p w14:paraId="2BD7EB3F" w14:textId="77777777" w:rsidR="008B4B2B" w:rsidRPr="001D6D10" w:rsidRDefault="008B4B2B" w:rsidP="008B4B2B">
      <w:pPr>
        <w:wordWrap w:val="0"/>
        <w:overflowPunct w:val="0"/>
        <w:spacing w:line="362" w:lineRule="exact"/>
        <w:ind w:right="65"/>
      </w:pPr>
      <w:r w:rsidRPr="001D6D10">
        <w:rPr>
          <w:noProof/>
          <w:sz w:val="20"/>
        </w:rPr>
        <mc:AlternateContent>
          <mc:Choice Requires="wps">
            <w:drawing>
              <wp:anchor distT="0" distB="0" distL="114300" distR="114300" simplePos="0" relativeHeight="253654016" behindDoc="0" locked="0" layoutInCell="1" allowOverlap="1" wp14:anchorId="3EC57EB2" wp14:editId="6CC3A123">
                <wp:simplePos x="0" y="0"/>
                <wp:positionH relativeFrom="column">
                  <wp:posOffset>4914900</wp:posOffset>
                </wp:positionH>
                <wp:positionV relativeFrom="paragraph">
                  <wp:posOffset>135890</wp:posOffset>
                </wp:positionV>
                <wp:extent cx="0" cy="1485900"/>
                <wp:effectExtent l="66675" t="21590" r="66675" b="16510"/>
                <wp:wrapNone/>
                <wp:docPr id="3534" name="Line 296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485900"/>
                        </a:xfrm>
                        <a:prstGeom prst="line">
                          <a:avLst/>
                        </a:prstGeom>
                        <a:noFill/>
                        <a:ln w="9525">
                          <a:solidFill>
                            <a:srgbClr val="000000"/>
                          </a:solidFill>
                          <a:prstDash val="sysDot"/>
                          <a:round/>
                          <a:headEnd type="arrow" w="sm" len="sm"/>
                          <a:tailEnd type="arrow" w="sm" len="sm"/>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line w14:anchorId="7FF7378A" id="Line 2968" o:spid="_x0000_s1026" style="position:absolute;left:0;text-align:left;z-index:2536540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87pt,10.7pt" to="387pt,127.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">
                <v:stroke dashstyle="1 1" startarrow="open" startarrowwidth="narrow" startarrowlength="short" endarrow="open" endarrowwidth="narrow" endarrowlength="short"/>
              </v:line>
            </w:pict>
          </mc:Fallback>
        </mc:AlternateContent>
      </w:r>
      <w:r w:rsidRPr="001D6D10">
        <w:rPr>
          <w:noProof/>
          <w:sz w:val="20"/>
        </w:rPr>
        <mc:AlternateContent>
          <mc:Choice Requires="wps">
            <w:drawing>
              <wp:anchor distT="0" distB="0" distL="114300" distR="114300" simplePos="0" relativeHeight="253652992" behindDoc="0" locked="0" layoutInCell="1" allowOverlap="1" wp14:anchorId="70EB71B8" wp14:editId="2809A66A">
                <wp:simplePos x="0" y="0"/>
                <wp:positionH relativeFrom="column">
                  <wp:posOffset>1714500</wp:posOffset>
                </wp:positionH>
                <wp:positionV relativeFrom="paragraph">
                  <wp:posOffset>135890</wp:posOffset>
                </wp:positionV>
                <wp:extent cx="1028700" cy="0"/>
                <wp:effectExtent l="9525" t="12065" r="9525" b="6985"/>
                <wp:wrapNone/>
                <wp:docPr id="3533" name="Line 296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028700" cy="0"/>
                        </a:xfrm>
                        <a:prstGeom prst="line">
                          <a:avLst/>
                        </a:prstGeom>
                        <a:noFill/>
                        <a:ln w="9525">
                          <a:solidFill>
                            <a:srgbClr val="000000"/>
                          </a:solidFill>
                          <a:prstDash val="sysDot"/>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line w14:anchorId="3AEDF10E" id="Line 2967" o:spid="_x0000_s1026" style="position:absolute;left:0;text-align:left;z-index:2536529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35pt,10.7pt" to="3in,10.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">
                <v:stroke dashstyle="1 1"/>
              </v:line>
            </w:pict>
          </mc:Fallback>
        </mc:AlternateContent>
      </w:r>
    </w:p>
    <w:p w14:paraId="1568938A" w14:textId="77777777" w:rsidR="008B4B2B" w:rsidRPr="001D6D10" w:rsidRDefault="008B4B2B" w:rsidP="008B4B2B">
      <w:pPr>
        <w:wordWrap w:val="0"/>
        <w:overflowPunct w:val="0"/>
        <w:spacing w:line="362" w:lineRule="exact"/>
        <w:ind w:right="65"/>
      </w:pPr>
    </w:p>
    <w:p w14:paraId="67F0E08C" w14:textId="77777777" w:rsidR="008B4B2B" w:rsidRPr="001D6D10" w:rsidRDefault="008B4B2B" w:rsidP="008B4B2B">
      <w:pPr>
        <w:wordWrap w:val="0"/>
        <w:overflowPunct w:val="0"/>
        <w:spacing w:line="362" w:lineRule="exact"/>
        <w:ind w:right="65"/>
      </w:pPr>
      <w:r w:rsidRPr="001D6D10">
        <w:rPr>
          <w:noProof/>
          <w:sz w:val="20"/>
        </w:rPr>
        <mc:AlternateContent>
          <mc:Choice Requires="wps">
            <w:drawing>
              <wp:anchor distT="0" distB="0" distL="114300" distR="114300" simplePos="0" relativeHeight="253650944" behindDoc="0" locked="0" layoutInCell="1" allowOverlap="1" wp14:anchorId="49093C8E" wp14:editId="1541FD2A">
                <wp:simplePos x="0" y="0"/>
                <wp:positionH relativeFrom="column">
                  <wp:posOffset>2171700</wp:posOffset>
                </wp:positionH>
                <wp:positionV relativeFrom="paragraph">
                  <wp:posOffset>19050</wp:posOffset>
                </wp:positionV>
                <wp:extent cx="0" cy="228600"/>
                <wp:effectExtent l="66675" t="9525" r="66675" b="19050"/>
                <wp:wrapNone/>
                <wp:docPr id="3532" name="Line 296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28600"/>
                        </a:xfrm>
                        <a:prstGeom prst="line">
                          <a:avLst/>
                        </a:prstGeom>
                        <a:noFill/>
                        <a:ln w="9525">
                          <a:solidFill>
                            <a:srgbClr val="000000"/>
                          </a:solidFill>
                          <a:round/>
                          <a:headEnd/>
                          <a:tailEnd type="arrow" w="sm" len="sm"/>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line w14:anchorId="221E473F" id="Line 2965" o:spid="_x0000_s1026" style="position:absolute;left:0;text-align:left;z-index:2536509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71pt,1.5pt" to="171pt,1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">
                <v:stroke endarrow="open" endarrowwidth="narrow" endarrowlength="short"/>
              </v:line>
            </w:pict>
          </mc:Fallback>
        </mc:AlternateContent>
      </w:r>
    </w:p>
    <w:p w14:paraId="1EE34107" w14:textId="77777777" w:rsidR="008B4B2B" w:rsidRPr="001D6D10" w:rsidRDefault="008B4B2B" w:rsidP="008B4B2B">
      <w:pPr>
        <w:wordWrap w:val="0"/>
        <w:overflowPunct w:val="0"/>
        <w:spacing w:line="362" w:lineRule="exact"/>
        <w:ind w:right="65"/>
      </w:pPr>
      <w:r w:rsidRPr="001D6D10">
        <w:rPr>
          <w:noProof/>
          <w:sz w:val="20"/>
        </w:rPr>
        <mc:AlternateContent>
          <mc:Choice Requires="wps">
            <w:drawing>
              <wp:anchor distT="0" distB="0" distL="114300" distR="114300" simplePos="0" relativeHeight="253646848" behindDoc="0" locked="0" layoutInCell="1" allowOverlap="1" wp14:anchorId="7445E828" wp14:editId="1F99E0C4">
                <wp:simplePos x="0" y="0"/>
                <wp:positionH relativeFrom="column">
                  <wp:posOffset>1714500</wp:posOffset>
                </wp:positionH>
                <wp:positionV relativeFrom="paragraph">
                  <wp:posOffset>17780</wp:posOffset>
                </wp:positionV>
                <wp:extent cx="1028700" cy="685800"/>
                <wp:effectExtent l="9525" t="8255" r="9525" b="10795"/>
                <wp:wrapNone/>
                <wp:docPr id="3531" name="Text Box 296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28700" cy="685800"/>
                        </a:xfrm>
                        <a:prstGeom prst="rect">
                          <a:avLst/>
                        </a:prstGeom>
                        <a:solidFill>
                          <a:srgbClr val="FFFFFF"/>
                        </a:solidFill>
                        <a:ln w="9525">
                          <a:solidFill>
                            <a:srgbClr val="000000"/>
                          </a:solidFill>
                          <a:miter lim="800000"/>
                          <a:headEnd/>
                          <a:tailEnd/>
                        </a:ln>
                      </wps:spPr>
                      <wps:txbx>
                        <w:txbxContent>
                          <w:p w14:paraId="698A2BA6" w14:textId="77777777" w:rsidR="006A5267" w:rsidRDefault="006A5267" w:rsidP="008B4B2B">
                            <w:pPr>
                              <w:jc w:val="distribute"/>
                            </w:pPr>
                            <w:r>
                              <w:rPr>
                                <w:rFonts w:hint="eastAsia"/>
                              </w:rPr>
                              <w:t>市町村</w:t>
                            </w:r>
                          </w:p>
                          <w:p w14:paraId="74B95C5D" w14:textId="77777777" w:rsidR="006A5267" w:rsidRDefault="006A5267" w:rsidP="008B4B2B">
                            <w:pPr>
                              <w:spacing w:line="60" w:lineRule="exact"/>
                              <w:jc w:val="distribute"/>
                            </w:pPr>
                          </w:p>
                          <w:p w14:paraId="06194C8E" w14:textId="77777777" w:rsidR="006A5267" w:rsidRDefault="006A5267" w:rsidP="008B4B2B">
                            <w:pPr>
                              <w:spacing w:line="60" w:lineRule="exact"/>
                              <w:jc w:val="distribute"/>
                            </w:pPr>
                          </w:p>
                          <w:p w14:paraId="139AA54D" w14:textId="77777777" w:rsidR="006A5267" w:rsidRDefault="006A5267" w:rsidP="008B4B2B">
                            <w:pPr>
                              <w:jc w:val="distribute"/>
                            </w:pPr>
                            <w:r>
                              <w:rPr>
                                <w:rFonts w:hint="eastAsia"/>
                              </w:rPr>
                              <w:t>消防本部</w:t>
                            </w:r>
                          </w:p>
                        </w:txbxContent>
                      </wps:txbx>
                      <wps:bodyPr rot="0" vert="horz" wrap="square" lIns="30240" tIns="31320" rIns="30240" bIns="31320" anchor="t" anchorCtr="0" upright="1">
                        <a:noAutofit/>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shape w14:anchorId="7445E828" id="Text Box 2961" o:spid="_x0000_s1835" type="#_x0000_t202" style="position:absolute;left:0;text-align:left;margin-left:135pt;margin-top:1.4pt;width:81pt;height:54pt;z-index:2536468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">
                <v:textbox inset=".84mm,.87mm,.84mm,.87mm">
                  <w:txbxContent>
                    <w:p w14:paraId="698A2BA6" w14:textId="77777777" w:rsidR="006A5267" w:rsidRDefault="006A5267" w:rsidP="008B4B2B">
                      <w:pPr>
                        <w:jc w:val="distribute"/>
                      </w:pPr>
                      <w:r>
                        <w:rPr>
                          <w:rFonts w:hint="eastAsia"/>
                        </w:rPr>
                        <w:t>市町村</w:t>
                      </w:r>
                    </w:p>
                    <w:p w14:paraId="74B95C5D" w14:textId="77777777" w:rsidR="006A5267" w:rsidRDefault="006A5267" w:rsidP="008B4B2B">
                      <w:pPr>
                        <w:spacing w:line="60" w:lineRule="exact"/>
                        <w:jc w:val="distribute"/>
                      </w:pPr>
                    </w:p>
                    <w:p w14:paraId="06194C8E" w14:textId="77777777" w:rsidR="006A5267" w:rsidRDefault="006A5267" w:rsidP="008B4B2B">
                      <w:pPr>
                        <w:spacing w:line="60" w:lineRule="exact"/>
                        <w:jc w:val="distribute"/>
                      </w:pPr>
                    </w:p>
                    <w:p w14:paraId="139AA54D" w14:textId="77777777" w:rsidR="006A5267" w:rsidRDefault="006A5267" w:rsidP="008B4B2B">
                      <w:pPr>
                        <w:jc w:val="distribute"/>
                      </w:pPr>
                      <w:r>
                        <w:rPr>
                          <w:rFonts w:hint="eastAsia"/>
                        </w:rPr>
                        <w:t>消防本部</w:t>
                      </w:r>
                    </w:p>
                  </w:txbxContent>
                </v:textbox>
              </v:shape>
            </w:pict>
          </mc:Fallback>
        </mc:AlternateContent>
      </w:r>
    </w:p>
    <w:p w14:paraId="0F426364" w14:textId="77777777" w:rsidR="008B4B2B" w:rsidRPr="001D6D10" w:rsidRDefault="008B4B2B" w:rsidP="008B4B2B">
      <w:pPr>
        <w:wordWrap w:val="0"/>
        <w:overflowPunct w:val="0"/>
        <w:spacing w:line="362" w:lineRule="exact"/>
        <w:ind w:right="65"/>
      </w:pPr>
    </w:p>
    <w:p w14:paraId="00EBAF80" w14:textId="77777777" w:rsidR="008B4B2B" w:rsidRPr="001D6D10" w:rsidRDefault="008B4B2B" w:rsidP="008B4B2B">
      <w:pPr>
        <w:wordWrap w:val="0"/>
        <w:overflowPunct w:val="0"/>
        <w:spacing w:line="362" w:lineRule="exact"/>
        <w:ind w:right="65"/>
      </w:pPr>
    </w:p>
    <w:p w14:paraId="6CB86F81" w14:textId="77777777" w:rsidR="008B4B2B" w:rsidRPr="001D6D10" w:rsidRDefault="008B4B2B" w:rsidP="008B4B2B">
      <w:pPr>
        <w:wordWrap w:val="0"/>
        <w:overflowPunct w:val="0"/>
        <w:spacing w:line="362" w:lineRule="exact"/>
        <w:ind w:right="65"/>
      </w:pPr>
      <w:r w:rsidRPr="001D6D10">
        <w:rPr>
          <w:noProof/>
          <w:sz w:val="20"/>
        </w:rPr>
        <mc:AlternateContent>
          <mc:Choice Requires="wps">
            <w:drawing>
              <wp:anchor distT="0" distB="0" distL="114300" distR="114300" simplePos="0" relativeHeight="253660160" behindDoc="0" locked="0" layoutInCell="1" allowOverlap="1" wp14:anchorId="3F4B0170" wp14:editId="6D5094FE">
                <wp:simplePos x="0" y="0"/>
                <wp:positionH relativeFrom="column">
                  <wp:posOffset>770890</wp:posOffset>
                </wp:positionH>
                <wp:positionV relativeFrom="paragraph">
                  <wp:posOffset>46355</wp:posOffset>
                </wp:positionV>
                <wp:extent cx="829310" cy="161925"/>
                <wp:effectExtent l="27940" t="65405" r="28575" b="67945"/>
                <wp:wrapNone/>
                <wp:docPr id="3530" name="Line 297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829310" cy="161925"/>
                        </a:xfrm>
                        <a:prstGeom prst="line">
                          <a:avLst/>
                        </a:prstGeom>
                        <a:noFill/>
                        <a:ln w="9525">
                          <a:solidFill>
                            <a:srgbClr val="000000"/>
                          </a:solidFill>
                          <a:prstDash val="sysDot"/>
                          <a:round/>
                          <a:headEnd type="arrow" w="sm" len="sm"/>
                          <a:tailEnd type="arrow" w="sm" len="sm"/>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line w14:anchorId="065EE935" id="Line 2974" o:spid="_x0000_s1026" style="position:absolute;left:0;text-align:left;z-index:2536601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60.7pt,3.65pt" to="126pt,16.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">
                <v:stroke dashstyle="1 1" startarrow="open" startarrowwidth="narrow" startarrowlength="short" endarrow="open" endarrowwidth="narrow" endarrowlength="short"/>
              </v:line>
            </w:pict>
          </mc:Fallback>
        </mc:AlternateContent>
      </w:r>
      <w:r w:rsidRPr="001D6D10">
        <w:rPr>
          <w:noProof/>
          <w:sz w:val="20"/>
        </w:rPr>
        <mc:AlternateContent>
          <mc:Choice Requires="wps">
            <w:drawing>
              <wp:anchor distT="0" distB="0" distL="114300" distR="114300" simplePos="0" relativeHeight="253661184" behindDoc="0" locked="0" layoutInCell="1" allowOverlap="1" wp14:anchorId="2C9743F3" wp14:editId="4770D3A7">
                <wp:simplePos x="0" y="0"/>
                <wp:positionH relativeFrom="column">
                  <wp:posOffset>1714500</wp:posOffset>
                </wp:positionH>
                <wp:positionV relativeFrom="paragraph">
                  <wp:posOffset>-328930</wp:posOffset>
                </wp:positionV>
                <wp:extent cx="1028700" cy="0"/>
                <wp:effectExtent l="9525" t="13970" r="9525" b="5080"/>
                <wp:wrapNone/>
                <wp:docPr id="3529" name="Line 297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028700" cy="0"/>
                        </a:xfrm>
                        <a:prstGeom prst="line">
                          <a:avLst/>
                        </a:prstGeom>
                        <a:noFill/>
                        <a:ln w="9525">
                          <a:solidFill>
                            <a:srgbClr val="000000"/>
                          </a:solidFill>
                          <a:prstDash val="sysDot"/>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line w14:anchorId="5BBEC5A1" id="Line 2975" o:spid="_x0000_s1026" style="position:absolute;left:0;text-align:left;z-index:2536611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35pt,-25.9pt" to="3in,-25.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">
                <v:stroke dashstyle="1 1"/>
              </v:line>
            </w:pict>
          </mc:Fallback>
        </mc:AlternateContent>
      </w:r>
      <w:r w:rsidRPr="001D6D10">
        <w:rPr>
          <w:noProof/>
          <w:sz w:val="20"/>
        </w:rPr>
        <mc:AlternateContent>
          <mc:Choice Requires="wps">
            <w:drawing>
              <wp:anchor distT="0" distB="0" distL="114300" distR="114300" simplePos="0" relativeHeight="253659136" behindDoc="0" locked="0" layoutInCell="1" allowOverlap="1" wp14:anchorId="73C333B0" wp14:editId="4E747F6A">
                <wp:simplePos x="0" y="0"/>
                <wp:positionH relativeFrom="column">
                  <wp:posOffset>1257300</wp:posOffset>
                </wp:positionH>
                <wp:positionV relativeFrom="paragraph">
                  <wp:posOffset>-214630</wp:posOffset>
                </wp:positionV>
                <wp:extent cx="457200" cy="0"/>
                <wp:effectExtent l="19050" t="61595" r="9525" b="62230"/>
                <wp:wrapNone/>
                <wp:docPr id="3528" name="Line 297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rot="-10800000">
                          <a:off x="0" y="0"/>
                          <a:ext cx="457200" cy="0"/>
                        </a:xfrm>
                        <a:prstGeom prst="line">
                          <a:avLst/>
                        </a:prstGeom>
                        <a:noFill/>
                        <a:ln w="9525">
                          <a:solidFill>
                            <a:srgbClr val="000000"/>
                          </a:solidFill>
                          <a:prstDash val="sysDot"/>
                          <a:round/>
                          <a:headEnd/>
                          <a:tailEnd type="arrow" w="sm" len="sm"/>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line w14:anchorId="1DD5BD7D" id="Line 2973" o:spid="_x0000_s1026" style="position:absolute;left:0;text-align:left;rotation:180;z-index:2536591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99pt,-16.9pt" to="135pt,-16.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">
                <v:stroke dashstyle="1 1" endarrow="open" endarrowwidth="narrow" endarrowlength="short"/>
              </v:line>
            </w:pict>
          </mc:Fallback>
        </mc:AlternateContent>
      </w:r>
      <w:r w:rsidRPr="001D6D10">
        <w:rPr>
          <w:noProof/>
          <w:sz w:val="20"/>
        </w:rPr>
        <mc:AlternateContent>
          <mc:Choice Requires="wps">
            <w:drawing>
              <wp:anchor distT="0" distB="0" distL="114300" distR="114300" simplePos="0" relativeHeight="253642752" behindDoc="0" locked="0" layoutInCell="1" allowOverlap="1" wp14:anchorId="5A65719F" wp14:editId="6648E5DD">
                <wp:simplePos x="0" y="0"/>
                <wp:positionH relativeFrom="column">
                  <wp:posOffset>228600</wp:posOffset>
                </wp:positionH>
                <wp:positionV relativeFrom="paragraph">
                  <wp:posOffset>-328930</wp:posOffset>
                </wp:positionV>
                <wp:extent cx="1028700" cy="342900"/>
                <wp:effectExtent l="9525" t="13970" r="9525" b="5080"/>
                <wp:wrapNone/>
                <wp:docPr id="3527" name="Text Box 295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28700" cy="342900"/>
                        </a:xfrm>
                        <a:prstGeom prst="rect">
                          <a:avLst/>
                        </a:prstGeom>
                        <a:solidFill>
                          <a:srgbClr val="FFFFFF"/>
                        </a:solidFill>
                        <a:ln w="9525">
                          <a:solidFill>
                            <a:srgbClr val="000000"/>
                          </a:solidFill>
                          <a:miter lim="800000"/>
                          <a:headEnd/>
                          <a:tailEnd/>
                        </a:ln>
                      </wps:spPr>
                      <wps:txbx>
                        <w:txbxContent>
                          <w:p w14:paraId="38EE8FAA" w14:textId="77777777" w:rsidR="006A5267" w:rsidRDefault="006A5267" w:rsidP="008B4B2B">
                            <w:pPr>
                              <w:jc w:val="distribute"/>
                            </w:pPr>
                            <w:r>
                              <w:rPr>
                                <w:rFonts w:hint="eastAsia"/>
                              </w:rPr>
                              <w:t>隣接市町村</w:t>
                            </w:r>
                          </w:p>
                        </w:txbxContent>
                      </wps:txbx>
                      <wps:bodyPr rot="0" vert="horz" wrap="square" lIns="30240" tIns="31320" rIns="30240" bIns="31320" anchor="t" anchorCtr="0" upright="1">
                        <a:noAutofit/>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shape w14:anchorId="5A65719F" id="Text Box 2957" o:spid="_x0000_s1836" type="#_x0000_t202" style="position:absolute;left:0;text-align:left;margin-left:18pt;margin-top:-25.9pt;width:81pt;height:27pt;z-index:253642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">
                <v:textbox inset=".84mm,.87mm,.84mm,.87mm">
                  <w:txbxContent>
                    <w:p w14:paraId="38EE8FAA" w14:textId="77777777" w:rsidR="006A5267" w:rsidRDefault="006A5267" w:rsidP="008B4B2B">
                      <w:pPr>
                        <w:jc w:val="distribute"/>
                      </w:pPr>
                      <w:r>
                        <w:rPr>
                          <w:rFonts w:hint="eastAsia"/>
                        </w:rPr>
                        <w:t>隣接市町村</w:t>
                      </w:r>
                    </w:p>
                  </w:txbxContent>
                </v:textbox>
              </v:shape>
            </w:pict>
          </mc:Fallback>
        </mc:AlternateContent>
      </w:r>
      <w:r w:rsidRPr="001D6D10">
        <w:rPr>
          <w:noProof/>
          <w:sz w:val="20"/>
        </w:rPr>
        <mc:AlternateContent>
          <mc:Choice Requires="wps">
            <w:drawing>
              <wp:anchor distT="0" distB="0" distL="114300" distR="114300" simplePos="0" relativeHeight="253657088" behindDoc="0" locked="0" layoutInCell="1" allowOverlap="1" wp14:anchorId="16291844" wp14:editId="15A73FC1">
                <wp:simplePos x="0" y="0"/>
                <wp:positionH relativeFrom="column">
                  <wp:posOffset>2171700</wp:posOffset>
                </wp:positionH>
                <wp:positionV relativeFrom="paragraph">
                  <wp:posOffset>13970</wp:posOffset>
                </wp:positionV>
                <wp:extent cx="0" cy="228600"/>
                <wp:effectExtent l="66675" t="23495" r="66675" b="14605"/>
                <wp:wrapNone/>
                <wp:docPr id="3526" name="Line 297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28600"/>
                        </a:xfrm>
                        <a:prstGeom prst="line">
                          <a:avLst/>
                        </a:prstGeom>
                        <a:noFill/>
                        <a:ln w="9525">
                          <a:solidFill>
                            <a:srgbClr val="000000"/>
                          </a:solidFill>
                          <a:round/>
                          <a:headEnd type="arrow" w="sm" len="sm"/>
                          <a:tailEnd type="arrow" w="sm" len="sm"/>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line w14:anchorId="59D6944A" id="Line 2971" o:spid="_x0000_s1026" style="position:absolute;left:0;text-align:left;z-index:2536570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71pt,1.1pt" to="171pt,19.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">
                <v:stroke startarrow="open" startarrowwidth="narrow" startarrowlength="short" endarrow="open" endarrowwidth="narrow" endarrowlength="short"/>
              </v:line>
            </w:pict>
          </mc:Fallback>
        </mc:AlternateContent>
      </w:r>
    </w:p>
    <w:p w14:paraId="7A9A95EE" w14:textId="77777777" w:rsidR="008B4B2B" w:rsidRPr="001D6D10" w:rsidRDefault="008B4B2B" w:rsidP="008B4B2B">
      <w:pPr>
        <w:wordWrap w:val="0"/>
        <w:overflowPunct w:val="0"/>
        <w:spacing w:line="362" w:lineRule="exact"/>
        <w:ind w:right="65"/>
      </w:pPr>
    </w:p>
    <w:p w14:paraId="1776D0C3" w14:textId="77777777" w:rsidR="008B4B2B" w:rsidRPr="001D6D10" w:rsidRDefault="008B4B2B" w:rsidP="008B4B2B">
      <w:pPr>
        <w:wordWrap w:val="0"/>
        <w:overflowPunct w:val="0"/>
        <w:spacing w:line="362" w:lineRule="exact"/>
        <w:ind w:right="65"/>
      </w:pPr>
    </w:p>
    <w:p w14:paraId="443381B6" w14:textId="77777777" w:rsidR="008B4B2B" w:rsidRPr="001D6D10" w:rsidRDefault="008B4B2B" w:rsidP="008B4B2B">
      <w:pPr>
        <w:wordWrap w:val="0"/>
        <w:overflowPunct w:val="0"/>
        <w:spacing w:line="362" w:lineRule="exact"/>
        <w:ind w:right="65"/>
      </w:pPr>
      <w:r w:rsidRPr="001D6D10">
        <w:rPr>
          <w:noProof/>
          <w:sz w:val="20"/>
        </w:rPr>
        <mc:AlternateContent>
          <mc:Choice Requires="wps">
            <w:drawing>
              <wp:anchor distT="0" distB="0" distL="114300" distR="114300" simplePos="0" relativeHeight="253649920" behindDoc="0" locked="0" layoutInCell="1" allowOverlap="1" wp14:anchorId="003DAB1A" wp14:editId="4C459B3D">
                <wp:simplePos x="0" y="0"/>
                <wp:positionH relativeFrom="column">
                  <wp:posOffset>4114800</wp:posOffset>
                </wp:positionH>
                <wp:positionV relativeFrom="paragraph">
                  <wp:posOffset>124460</wp:posOffset>
                </wp:positionV>
                <wp:extent cx="1600200" cy="342900"/>
                <wp:effectExtent l="9525" t="10160" r="9525" b="8890"/>
                <wp:wrapNone/>
                <wp:docPr id="3525" name="Text Box 296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00200" cy="342900"/>
                        </a:xfrm>
                        <a:prstGeom prst="rect">
                          <a:avLst/>
                        </a:prstGeom>
                        <a:solidFill>
                          <a:srgbClr val="FFFFFF"/>
                        </a:solidFill>
                        <a:ln w="9525">
                          <a:solidFill>
                            <a:srgbClr val="000000"/>
                          </a:solidFill>
                          <a:miter lim="800000"/>
                          <a:headEnd/>
                          <a:tailEnd/>
                        </a:ln>
                      </wps:spPr>
                      <wps:txbx>
                        <w:txbxContent>
                          <w:p w14:paraId="29B0EADF" w14:textId="77777777" w:rsidR="006A5267" w:rsidRDefault="006A5267" w:rsidP="008B4B2B">
                            <w:pPr>
                              <w:jc w:val="distribute"/>
                            </w:pPr>
                            <w:r>
                              <w:rPr>
                                <w:rFonts w:hint="eastAsia"/>
                              </w:rPr>
                              <w:t>陸上自衛隊第３師団</w:t>
                            </w:r>
                          </w:p>
                        </w:txbxContent>
                      </wps:txbx>
                      <wps:bodyPr rot="0" vert="horz" wrap="square" lIns="30240" tIns="31320" rIns="30240" bIns="31320" anchor="t" anchorCtr="0" upright="1">
                        <a:noAutofit/>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shape w14:anchorId="003DAB1A" id="Text Box 2964" o:spid="_x0000_s1837" type="#_x0000_t202" style="position:absolute;left:0;text-align:left;margin-left:324pt;margin-top:9.8pt;width:126pt;height:27pt;z-index:2536499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">
                <v:textbox inset=".84mm,.87mm,.84mm,.87mm">
                  <w:txbxContent>
                    <w:p w14:paraId="29B0EADF" w14:textId="77777777" w:rsidR="006A5267" w:rsidRDefault="006A5267" w:rsidP="008B4B2B">
                      <w:pPr>
                        <w:jc w:val="distribute"/>
                      </w:pPr>
                      <w:r>
                        <w:rPr>
                          <w:rFonts w:hint="eastAsia"/>
                        </w:rPr>
                        <w:t>陸上自衛隊第３師団</w:t>
                      </w:r>
                    </w:p>
                  </w:txbxContent>
                </v:textbox>
              </v:shape>
            </w:pict>
          </mc:Fallback>
        </mc:AlternateContent>
      </w:r>
      <w:r w:rsidRPr="001D6D10">
        <w:rPr>
          <w:noProof/>
          <w:sz w:val="20"/>
        </w:rPr>
        <mc:AlternateContent>
          <mc:Choice Requires="wps">
            <w:drawing>
              <wp:anchor distT="0" distB="0" distL="114300" distR="114300" simplePos="0" relativeHeight="253645824" behindDoc="0" locked="0" layoutInCell="1" allowOverlap="1" wp14:anchorId="306C6D33" wp14:editId="256161FB">
                <wp:simplePos x="0" y="0"/>
                <wp:positionH relativeFrom="column">
                  <wp:posOffset>1714500</wp:posOffset>
                </wp:positionH>
                <wp:positionV relativeFrom="paragraph">
                  <wp:posOffset>124460</wp:posOffset>
                </wp:positionV>
                <wp:extent cx="1028700" cy="342900"/>
                <wp:effectExtent l="9525" t="10160" r="9525" b="8890"/>
                <wp:wrapNone/>
                <wp:docPr id="3524" name="Text Box 296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28700" cy="342900"/>
                        </a:xfrm>
                        <a:prstGeom prst="rect">
                          <a:avLst/>
                        </a:prstGeom>
                        <a:solidFill>
                          <a:srgbClr val="FFFFFF"/>
                        </a:solidFill>
                        <a:ln w="9525">
                          <a:solidFill>
                            <a:srgbClr val="000000"/>
                          </a:solidFill>
                          <a:miter lim="800000"/>
                          <a:headEnd/>
                          <a:tailEnd/>
                        </a:ln>
                      </wps:spPr>
                      <wps:txbx>
                        <w:txbxContent>
                          <w:p w14:paraId="455F6628" w14:textId="77777777" w:rsidR="006A5267" w:rsidRDefault="006A5267" w:rsidP="008B4B2B">
                            <w:pPr>
                              <w:jc w:val="distribute"/>
                            </w:pPr>
                            <w:r>
                              <w:rPr>
                                <w:rFonts w:hint="eastAsia"/>
                              </w:rPr>
                              <w:t>消防庁</w:t>
                            </w:r>
                          </w:p>
                        </w:txbxContent>
                      </wps:txbx>
                      <wps:bodyPr rot="0" vert="horz" wrap="square" lIns="30240" tIns="31320" rIns="30240" bIns="31320" anchor="t" anchorCtr="0" upright="1">
                        <a:noAutofit/>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shape w14:anchorId="306C6D33" id="Text Box 2960" o:spid="_x0000_s1838" type="#_x0000_t202" style="position:absolute;left:0;text-align:left;margin-left:135pt;margin-top:9.8pt;width:81pt;height:27pt;z-index:2536458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">
                <v:textbox inset=".84mm,.87mm,.84mm,.87mm">
                  <w:txbxContent>
                    <w:p w14:paraId="455F6628" w14:textId="77777777" w:rsidR="006A5267" w:rsidRDefault="006A5267" w:rsidP="008B4B2B">
                      <w:pPr>
                        <w:jc w:val="distribute"/>
                      </w:pPr>
                      <w:r>
                        <w:rPr>
                          <w:rFonts w:hint="eastAsia"/>
                        </w:rPr>
                        <w:t>消防庁</w:t>
                      </w:r>
                    </w:p>
                  </w:txbxContent>
                </v:textbox>
              </v:shape>
            </w:pict>
          </mc:Fallback>
        </mc:AlternateContent>
      </w:r>
    </w:p>
    <w:p w14:paraId="0703F7CA" w14:textId="77777777" w:rsidR="008B4B2B" w:rsidRPr="001D6D10" w:rsidRDefault="008B4B2B" w:rsidP="008B4B2B">
      <w:pPr>
        <w:wordWrap w:val="0"/>
        <w:overflowPunct w:val="0"/>
        <w:spacing w:line="362" w:lineRule="exact"/>
        <w:ind w:right="65"/>
      </w:pPr>
      <w:r w:rsidRPr="001D6D10">
        <w:rPr>
          <w:noProof/>
          <w:sz w:val="20"/>
        </w:rPr>
        <mc:AlternateContent>
          <mc:Choice Requires="wps">
            <w:drawing>
              <wp:anchor distT="0" distB="0" distL="114300" distR="114300" simplePos="0" relativeHeight="253656064" behindDoc="0" locked="0" layoutInCell="1" allowOverlap="1" wp14:anchorId="5C99D3D5" wp14:editId="23F8A676">
                <wp:simplePos x="0" y="0"/>
                <wp:positionH relativeFrom="column">
                  <wp:posOffset>2743200</wp:posOffset>
                </wp:positionH>
                <wp:positionV relativeFrom="paragraph">
                  <wp:posOffset>-562610</wp:posOffset>
                </wp:positionV>
                <wp:extent cx="1371600" cy="0"/>
                <wp:effectExtent l="19050" t="66040" r="19050" b="67310"/>
                <wp:wrapNone/>
                <wp:docPr id="3523" name="Line 297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371600" cy="0"/>
                        </a:xfrm>
                        <a:prstGeom prst="line">
                          <a:avLst/>
                        </a:prstGeom>
                        <a:noFill/>
                        <a:ln w="9525">
                          <a:solidFill>
                            <a:srgbClr val="000000"/>
                          </a:solidFill>
                          <a:prstDash val="sysDot"/>
                          <a:round/>
                          <a:headEnd type="arrow" w="sm" len="sm"/>
                          <a:tailEnd type="arrow" w="sm" len="sm"/>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line w14:anchorId="1BF41A29" id="Line 2970" o:spid="_x0000_s1026" style="position:absolute;left:0;text-align:left;z-index:2536560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in,-44.3pt" to="324pt,-44.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">
                <v:stroke dashstyle="1 1" startarrow="open" startarrowwidth="narrow" startarrowlength="short" endarrow="open" endarrowwidth="narrow" endarrowlength="short"/>
              </v:line>
            </w:pict>
          </mc:Fallback>
        </mc:AlternateContent>
      </w:r>
      <w:r w:rsidRPr="001D6D10">
        <w:rPr>
          <w:noProof/>
          <w:sz w:val="20"/>
        </w:rPr>
        <mc:AlternateContent>
          <mc:Choice Requires="wps">
            <w:drawing>
              <wp:anchor distT="0" distB="0" distL="114300" distR="114300" simplePos="0" relativeHeight="253648896" behindDoc="0" locked="0" layoutInCell="1" allowOverlap="1" wp14:anchorId="562C6396" wp14:editId="1516D343">
                <wp:simplePos x="0" y="0"/>
                <wp:positionH relativeFrom="column">
                  <wp:posOffset>4114800</wp:posOffset>
                </wp:positionH>
                <wp:positionV relativeFrom="paragraph">
                  <wp:posOffset>-676910</wp:posOffset>
                </wp:positionV>
                <wp:extent cx="1600200" cy="342900"/>
                <wp:effectExtent l="9525" t="8890" r="9525" b="10160"/>
                <wp:wrapNone/>
                <wp:docPr id="3522" name="Text Box 296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00200" cy="342900"/>
                        </a:xfrm>
                        <a:prstGeom prst="rect">
                          <a:avLst/>
                        </a:prstGeom>
                        <a:solidFill>
                          <a:srgbClr val="FFFFFF"/>
                        </a:solidFill>
                        <a:ln w="9525">
                          <a:solidFill>
                            <a:srgbClr val="000000"/>
                          </a:solidFill>
                          <a:miter lim="800000"/>
                          <a:headEnd/>
                          <a:tailEnd/>
                        </a:ln>
                      </wps:spPr>
                      <wps:txbx>
                        <w:txbxContent>
                          <w:p w14:paraId="3B3BEA14" w14:textId="77777777" w:rsidR="006A5267" w:rsidRDefault="006A5267" w:rsidP="008B4B2B">
                            <w:pPr>
                              <w:jc w:val="distribute"/>
                            </w:pPr>
                            <w:r>
                              <w:rPr>
                                <w:rFonts w:hint="eastAsia"/>
                              </w:rPr>
                              <w:t>大阪府警察本部</w:t>
                            </w:r>
                          </w:p>
                        </w:txbxContent>
                      </wps:txbx>
                      <wps:bodyPr rot="0" vert="horz" wrap="square" lIns="30240" tIns="31320" rIns="30240" bIns="31320" anchor="t" anchorCtr="0" upright="1">
                        <a:noAutofit/>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shape w14:anchorId="562C6396" id="Text Box 2963" o:spid="_x0000_s1839" type="#_x0000_t202" style="position:absolute;left:0;text-align:left;margin-left:324pt;margin-top:-53.3pt;width:126pt;height:27pt;z-index:2536488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">
                <v:textbox inset=".84mm,.87mm,.84mm,.87mm">
                  <w:txbxContent>
                    <w:p w14:paraId="3B3BEA14" w14:textId="77777777" w:rsidR="006A5267" w:rsidRDefault="006A5267" w:rsidP="008B4B2B">
                      <w:pPr>
                        <w:jc w:val="distribute"/>
                      </w:pPr>
                      <w:r>
                        <w:rPr>
                          <w:rFonts w:hint="eastAsia"/>
                        </w:rPr>
                        <w:t>大阪府警察本部</w:t>
                      </w:r>
                    </w:p>
                  </w:txbxContent>
                </v:textbox>
              </v:shape>
            </w:pict>
          </mc:Fallback>
        </mc:AlternateContent>
      </w:r>
      <w:r w:rsidRPr="001D6D10">
        <w:rPr>
          <w:noProof/>
          <w:sz w:val="20"/>
        </w:rPr>
        <mc:AlternateContent>
          <mc:Choice Requires="wps">
            <w:drawing>
              <wp:anchor distT="0" distB="0" distL="114300" distR="114300" simplePos="0" relativeHeight="253644800" behindDoc="0" locked="0" layoutInCell="1" allowOverlap="1" wp14:anchorId="02C7917E" wp14:editId="27B37560">
                <wp:simplePos x="0" y="0"/>
                <wp:positionH relativeFrom="column">
                  <wp:posOffset>1143000</wp:posOffset>
                </wp:positionH>
                <wp:positionV relativeFrom="paragraph">
                  <wp:posOffset>-676910</wp:posOffset>
                </wp:positionV>
                <wp:extent cx="1600200" cy="342900"/>
                <wp:effectExtent l="9525" t="8890" r="9525" b="10160"/>
                <wp:wrapNone/>
                <wp:docPr id="3521" name="Text Box 295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00200" cy="342900"/>
                        </a:xfrm>
                        <a:prstGeom prst="rect">
                          <a:avLst/>
                        </a:prstGeom>
                        <a:solidFill>
                          <a:srgbClr val="FFFFFF"/>
                        </a:solidFill>
                        <a:ln w="9525">
                          <a:solidFill>
                            <a:srgbClr val="000000"/>
                          </a:solidFill>
                          <a:miter lim="800000"/>
                          <a:headEnd/>
                          <a:tailEnd/>
                        </a:ln>
                      </wps:spPr>
                      <wps:txbx>
                        <w:txbxContent>
                          <w:p w14:paraId="1C7C7C01" w14:textId="77777777" w:rsidR="006A5267" w:rsidRDefault="006A5267" w:rsidP="008B4B2B">
                            <w:pPr>
                              <w:jc w:val="distribute"/>
                            </w:pPr>
                            <w:r>
                              <w:rPr>
                                <w:rFonts w:hint="eastAsia"/>
                              </w:rPr>
                              <w:t>大阪府危機管理室</w:t>
                            </w:r>
                          </w:p>
                        </w:txbxContent>
                      </wps:txbx>
                      <wps:bodyPr rot="0" vert="horz" wrap="square" lIns="30240" tIns="31320" rIns="30240" bIns="31320" anchor="t" anchorCtr="0" upright="1">
                        <a:noAutofit/>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shape w14:anchorId="02C7917E" id="Text Box 2959" o:spid="_x0000_s1840" type="#_x0000_t202" style="position:absolute;left:0;text-align:left;margin-left:90pt;margin-top:-53.3pt;width:126pt;height:27pt;z-index:2536448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">
                <v:textbox inset=".84mm,.87mm,.84mm,.87mm">
                  <w:txbxContent>
                    <w:p w14:paraId="1C7C7C01" w14:textId="77777777" w:rsidR="006A5267" w:rsidRDefault="006A5267" w:rsidP="008B4B2B">
                      <w:pPr>
                        <w:jc w:val="distribute"/>
                      </w:pPr>
                      <w:r>
                        <w:rPr>
                          <w:rFonts w:hint="eastAsia"/>
                        </w:rPr>
                        <w:t>大阪府危機管理室</w:t>
                      </w:r>
                    </w:p>
                  </w:txbxContent>
                </v:textbox>
              </v:shape>
            </w:pict>
          </mc:Fallback>
        </mc:AlternateContent>
      </w:r>
      <w:r w:rsidRPr="001D6D10">
        <w:rPr>
          <w:noProof/>
          <w:sz w:val="20"/>
        </w:rPr>
        <mc:AlternateContent>
          <mc:Choice Requires="wps">
            <w:drawing>
              <wp:anchor distT="0" distB="0" distL="114300" distR="114300" simplePos="0" relativeHeight="253655040" behindDoc="0" locked="0" layoutInCell="1" allowOverlap="1" wp14:anchorId="5793F822" wp14:editId="2AAABB05">
                <wp:simplePos x="0" y="0"/>
                <wp:positionH relativeFrom="column">
                  <wp:posOffset>2743200</wp:posOffset>
                </wp:positionH>
                <wp:positionV relativeFrom="paragraph">
                  <wp:posOffset>-448310</wp:posOffset>
                </wp:positionV>
                <wp:extent cx="1371600" cy="457200"/>
                <wp:effectExtent l="38100" t="66040" r="38100" b="67310"/>
                <wp:wrapNone/>
                <wp:docPr id="3520" name="Line 296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371600" cy="457200"/>
                        </a:xfrm>
                        <a:prstGeom prst="line">
                          <a:avLst/>
                        </a:prstGeom>
                        <a:noFill/>
                        <a:ln w="9525">
                          <a:solidFill>
                            <a:srgbClr val="000000"/>
                          </a:solidFill>
                          <a:prstDash val="sysDot"/>
                          <a:round/>
                          <a:headEnd type="arrow" w="sm" len="sm"/>
                          <a:tailEnd type="arrow" w="sm" len="sm"/>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line w14:anchorId="6926CE52" id="Line 2969" o:spid="_x0000_s1026" style="position:absolute;left:0;text-align:left;z-index:2536550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in,-35.3pt" to="324pt,.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">
                <v:stroke dashstyle="1 1" startarrow="open" startarrowwidth="narrow" startarrowlength="short" endarrow="open" endarrowwidth="narrow" endarrowlength="short"/>
              </v:line>
            </w:pict>
          </mc:Fallback>
        </mc:AlternateContent>
      </w:r>
      <w:r w:rsidRPr="001D6D10">
        <w:rPr>
          <w:noProof/>
          <w:sz w:val="20"/>
        </w:rPr>
        <mc:AlternateContent>
          <mc:Choice Requires="wps">
            <w:drawing>
              <wp:anchor distT="0" distB="0" distL="114300" distR="114300" simplePos="0" relativeHeight="253658112" behindDoc="0" locked="0" layoutInCell="1" allowOverlap="1" wp14:anchorId="24F89DE5" wp14:editId="72D56BCE">
                <wp:simplePos x="0" y="0"/>
                <wp:positionH relativeFrom="column">
                  <wp:posOffset>2171700</wp:posOffset>
                </wp:positionH>
                <wp:positionV relativeFrom="paragraph">
                  <wp:posOffset>-334010</wp:posOffset>
                </wp:positionV>
                <wp:extent cx="0" cy="228600"/>
                <wp:effectExtent l="66675" t="18415" r="66675" b="19685"/>
                <wp:wrapNone/>
                <wp:docPr id="383" name="Line 297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28600"/>
                        </a:xfrm>
                        <a:prstGeom prst="line">
                          <a:avLst/>
                        </a:prstGeom>
                        <a:noFill/>
                        <a:ln w="9525">
                          <a:solidFill>
                            <a:srgbClr val="000000"/>
                          </a:solidFill>
                          <a:round/>
                          <a:headEnd type="arrow" w="sm" len="sm"/>
                          <a:tailEnd type="arrow" w="sm" len="sm"/>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line w14:anchorId="52B4976F" id="Line 2972" o:spid="_x0000_s1026" style="position:absolute;left:0;text-align:left;z-index:2536581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71pt,-26.3pt" to="171pt,-8.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">
                <v:stroke startarrow="open" startarrowwidth="narrow" startarrowlength="short" endarrow="open" endarrowwidth="narrow" endarrowlength="short"/>
              </v:line>
            </w:pict>
          </mc:Fallback>
        </mc:AlternateContent>
      </w:r>
    </w:p>
    <w:p w14:paraId="3E45BD9A" w14:textId="77777777" w:rsidR="008B4B2B" w:rsidRPr="001D6D10" w:rsidRDefault="008B4B2B" w:rsidP="008B4B2B">
      <w:pPr>
        <w:wordWrap w:val="0"/>
        <w:overflowPunct w:val="0"/>
        <w:spacing w:line="362" w:lineRule="exact"/>
        <w:ind w:right="65"/>
      </w:pPr>
    </w:p>
    <w:p w14:paraId="14877FC9" w14:textId="77777777" w:rsidR="008B4B2B" w:rsidRPr="001D6D10" w:rsidRDefault="008B4B2B" w:rsidP="008B4B2B">
      <w:pPr>
        <w:wordWrap w:val="0"/>
        <w:overflowPunct w:val="0"/>
        <w:spacing w:line="362" w:lineRule="exact"/>
        <w:ind w:right="65"/>
      </w:pPr>
    </w:p>
    <w:p w14:paraId="2D3DF665" w14:textId="77777777" w:rsidR="008B4B2B" w:rsidRPr="001D6D10" w:rsidRDefault="008B4B2B" w:rsidP="008B4B2B">
      <w:pPr>
        <w:wordWrap w:val="0"/>
        <w:overflowPunct w:val="0"/>
        <w:spacing w:line="362" w:lineRule="exact"/>
        <w:ind w:right="65"/>
      </w:pPr>
    </w:p>
    <w:p w14:paraId="3D225942" w14:textId="77777777" w:rsidR="008B4B2B" w:rsidRPr="001D6D10" w:rsidRDefault="008B4B2B" w:rsidP="008B4B2B">
      <w:pPr>
        <w:wordWrap w:val="0"/>
        <w:overflowPunct w:val="0"/>
        <w:spacing w:line="362" w:lineRule="exact"/>
        <w:ind w:right="65"/>
      </w:pPr>
      <w:r w:rsidRPr="001D6D10">
        <w:rPr>
          <w:noProof/>
          <w:sz w:val="20"/>
        </w:rPr>
        <mc:AlternateContent>
          <mc:Choice Requires="wps">
            <w:drawing>
              <wp:anchor distT="0" distB="0" distL="114300" distR="114300" simplePos="0" relativeHeight="253662208" behindDoc="0" locked="0" layoutInCell="1" allowOverlap="1" wp14:anchorId="30029BD9" wp14:editId="0095B87F">
                <wp:simplePos x="0" y="0"/>
                <wp:positionH relativeFrom="column">
                  <wp:posOffset>3657600</wp:posOffset>
                </wp:positionH>
                <wp:positionV relativeFrom="paragraph">
                  <wp:posOffset>-339090</wp:posOffset>
                </wp:positionV>
                <wp:extent cx="2286000" cy="571500"/>
                <wp:effectExtent l="9525" t="13335" r="9525" b="5715"/>
                <wp:wrapNone/>
                <wp:docPr id="382" name="Text Box 297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86000" cy="571500"/>
                        </a:xfrm>
                        <a:prstGeom prst="rect">
                          <a:avLst/>
                        </a:prstGeom>
                        <a:solidFill>
                          <a:srgbClr val="FFFFFF"/>
                        </a:solidFill>
                        <a:ln w="9525">
                          <a:solidFill>
                            <a:srgbClr val="000000"/>
                          </a:solidFill>
                          <a:miter lim="800000"/>
                          <a:headEnd/>
                          <a:tailEnd/>
                        </a:ln>
                      </wps:spPr>
                      <wps:txbx>
                        <w:txbxContent>
                          <w:p w14:paraId="1FA502CC" w14:textId="77777777" w:rsidR="006A5267" w:rsidRDefault="006A5267" w:rsidP="008B4B2B">
                            <w:pPr>
                              <w:spacing w:line="240" w:lineRule="exact"/>
                              <w:jc w:val="center"/>
                            </w:pPr>
                            <w:r>
                              <w:rPr>
                                <w:rFonts w:hint="eastAsia"/>
                              </w:rPr>
                              <w:t>凡　　　　例</w:t>
                            </w:r>
                          </w:p>
                          <w:p w14:paraId="18691877" w14:textId="792A6884" w:rsidR="006A5267" w:rsidRDefault="006A5267" w:rsidP="008B4B2B">
                            <w:pPr>
                              <w:spacing w:line="240" w:lineRule="exact"/>
                            </w:pPr>
                            <w:r>
                              <w:rPr>
                                <w:rFonts w:hint="eastAsia"/>
                              </w:rPr>
                              <w:t xml:space="preserve">　　</w:t>
                            </w:r>
                            <w:r w:rsidR="005F4A67">
                              <w:rPr>
                                <w:rFonts w:hint="eastAsia"/>
                              </w:rPr>
                              <w:t>：</w:t>
                            </w:r>
                            <w:r>
                              <w:rPr>
                                <w:rFonts w:hint="eastAsia"/>
                              </w:rPr>
                              <w:t>通常の通信系統</w:t>
                            </w:r>
                          </w:p>
                          <w:p w14:paraId="12DC443B" w14:textId="52106115" w:rsidR="006A5267" w:rsidRDefault="006A5267" w:rsidP="008B4B2B">
                            <w:pPr>
                              <w:spacing w:line="240" w:lineRule="exact"/>
                            </w:pPr>
                            <w:r>
                              <w:rPr>
                                <w:rFonts w:hint="eastAsia"/>
                              </w:rPr>
                              <w:t xml:space="preserve">　　</w:t>
                            </w:r>
                            <w:r w:rsidR="005F4A67">
                              <w:rPr>
                                <w:rFonts w:hint="eastAsia"/>
                              </w:rPr>
                              <w:t>：</w:t>
                            </w:r>
                            <w:r>
                              <w:rPr>
                                <w:rFonts w:hint="eastAsia"/>
                              </w:rPr>
                              <w:t>必要に応じての通信系統</w:t>
                            </w:r>
                          </w:p>
                        </w:txbxContent>
                      </wps:txbx>
                      <wps:bodyPr rot="0" vert="horz" wrap="square" lIns="30240" tIns="31320" rIns="30240" bIns="31320" anchor="t" anchorCtr="0" upright="1">
                        <a:noAutofit/>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shape w14:anchorId="30029BD9" id="Text Box 2976" o:spid="_x0000_s1841" type="#_x0000_t202" style="position:absolute;left:0;text-align:left;margin-left:4in;margin-top:-26.7pt;width:180pt;height:45pt;z-index:2536622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">
                <v:textbox inset=".84mm,.87mm,.84mm,.87mm">
                  <w:txbxContent>
                    <w:p w14:paraId="1FA502CC" w14:textId="77777777" w:rsidR="006A5267" w:rsidRDefault="006A5267" w:rsidP="008B4B2B">
                      <w:pPr>
                        <w:spacing w:line="240" w:lineRule="exact"/>
                        <w:jc w:val="center"/>
                      </w:pPr>
                      <w:r>
                        <w:rPr>
                          <w:rFonts w:hint="eastAsia"/>
                        </w:rPr>
                        <w:t>凡　　　　例</w:t>
                      </w:r>
                    </w:p>
                    <w:p w14:paraId="18691877" w14:textId="792A6884" w:rsidR="006A5267" w:rsidRDefault="006A5267" w:rsidP="008B4B2B">
                      <w:pPr>
                        <w:spacing w:line="240" w:lineRule="exact"/>
                      </w:pPr>
                      <w:r>
                        <w:rPr>
                          <w:rFonts w:hint="eastAsia"/>
                        </w:rPr>
                        <w:t xml:space="preserve">　　</w:t>
                      </w:r>
                      <w:r w:rsidR="005F4A67">
                        <w:rPr>
                          <w:rFonts w:hint="eastAsia"/>
                        </w:rPr>
                        <w:t>：</w:t>
                      </w:r>
                      <w:r>
                        <w:rPr>
                          <w:rFonts w:hint="eastAsia"/>
                        </w:rPr>
                        <w:t>通常の通信系統</w:t>
                      </w:r>
                    </w:p>
                    <w:p w14:paraId="12DC443B" w14:textId="52106115" w:rsidR="006A5267" w:rsidRDefault="006A5267" w:rsidP="008B4B2B">
                      <w:pPr>
                        <w:spacing w:line="240" w:lineRule="exact"/>
                      </w:pPr>
                      <w:r>
                        <w:rPr>
                          <w:rFonts w:hint="eastAsia"/>
                        </w:rPr>
                        <w:t xml:space="preserve">　　</w:t>
                      </w:r>
                      <w:r w:rsidR="005F4A67">
                        <w:rPr>
                          <w:rFonts w:hint="eastAsia"/>
                        </w:rPr>
                        <w:t>：</w:t>
                      </w:r>
                      <w:r>
                        <w:rPr>
                          <w:rFonts w:hint="eastAsia"/>
                        </w:rPr>
                        <w:t>必要に応じての通信系統</w:t>
                      </w:r>
                    </w:p>
                  </w:txbxContent>
                </v:textbox>
              </v:shape>
            </w:pict>
          </mc:Fallback>
        </mc:AlternateContent>
      </w:r>
      <w:r w:rsidRPr="001D6D10">
        <w:rPr>
          <w:noProof/>
          <w:sz w:val="20"/>
        </w:rPr>
        <mc:AlternateContent>
          <mc:Choice Requires="wps">
            <w:drawing>
              <wp:anchor distT="0" distB="0" distL="114300" distR="114300" simplePos="0" relativeHeight="253664256" behindDoc="0" locked="0" layoutInCell="1" allowOverlap="1" wp14:anchorId="7A0AB169" wp14:editId="0AD3A0F4">
                <wp:simplePos x="0" y="0"/>
                <wp:positionH relativeFrom="column">
                  <wp:posOffset>3779520</wp:posOffset>
                </wp:positionH>
                <wp:positionV relativeFrom="paragraph">
                  <wp:posOffset>85090</wp:posOffset>
                </wp:positionV>
                <wp:extent cx="228600" cy="0"/>
                <wp:effectExtent l="7620" t="8890" r="11430" b="10160"/>
                <wp:wrapNone/>
                <wp:docPr id="381" name="Line 297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28600" cy="0"/>
                        </a:xfrm>
                        <a:prstGeom prst="line">
                          <a:avLst/>
                        </a:prstGeom>
                        <a:noFill/>
                        <a:ln w="9525">
                          <a:solidFill>
                            <a:srgbClr val="000000"/>
                          </a:solidFill>
                          <a:prstDash val="sysDot"/>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line w14:anchorId="7F97A03F" id="Line 2978" o:spid="_x0000_s1026" style="position:absolute;left:0;text-align:left;z-index:2536642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97.6pt,6.7pt" to="315.6pt,6.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">
                <v:stroke dashstyle="1 1"/>
              </v:line>
            </w:pict>
          </mc:Fallback>
        </mc:AlternateContent>
      </w:r>
      <w:r w:rsidRPr="001D6D10">
        <w:rPr>
          <w:noProof/>
          <w:sz w:val="20"/>
        </w:rPr>
        <mc:AlternateContent>
          <mc:Choice Requires="wps">
            <w:drawing>
              <wp:anchor distT="0" distB="0" distL="114300" distR="114300" simplePos="0" relativeHeight="253663232" behindDoc="0" locked="0" layoutInCell="1" allowOverlap="1" wp14:anchorId="7FAF5FA0" wp14:editId="73D268AF">
                <wp:simplePos x="0" y="0"/>
                <wp:positionH relativeFrom="column">
                  <wp:posOffset>3769995</wp:posOffset>
                </wp:positionH>
                <wp:positionV relativeFrom="paragraph">
                  <wp:posOffset>-67310</wp:posOffset>
                </wp:positionV>
                <wp:extent cx="228600" cy="0"/>
                <wp:effectExtent l="7620" t="8890" r="11430" b="10160"/>
                <wp:wrapNone/>
                <wp:docPr id="380" name="Line 297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286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line w14:anchorId="7A3E7FF4" id="Line 2977" o:spid="_x0000_s1026" style="position:absolute;left:0;text-align:left;z-index:2536632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96.85pt,-5.3pt" to="314.85pt,-5.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"/>
            </w:pict>
          </mc:Fallback>
        </mc:AlternateContent>
      </w:r>
    </w:p>
    <w:p w14:paraId="69C70746" w14:textId="77777777" w:rsidR="008B4B2B" w:rsidRPr="001D6D10" w:rsidRDefault="008B4B2B" w:rsidP="008B4B2B">
      <w:pPr>
        <w:wordWrap w:val="0"/>
        <w:overflowPunct w:val="0"/>
        <w:spacing w:line="292" w:lineRule="exact"/>
        <w:ind w:right="65"/>
      </w:pPr>
    </w:p>
    <w:p w14:paraId="136F0184" w14:textId="77777777" w:rsidR="008B4B2B" w:rsidRPr="001D6D10" w:rsidRDefault="008B4B2B" w:rsidP="008B4B2B">
      <w:pPr>
        <w:pStyle w:val="a0"/>
        <w:ind w:firstLineChars="100" w:firstLine="221"/>
        <w:rPr>
          <w:rFonts w:ascii="ＭＳ ゴシック" w:eastAsia="ＭＳ ゴシック" w:hAnsi="ＭＳ ゴシック"/>
          <w:bCs/>
          <w:sz w:val="22"/>
          <w:szCs w:val="22"/>
        </w:rPr>
      </w:pPr>
    </w:p>
    <w:p w14:paraId="2499ECD0" w14:textId="77777777" w:rsidR="008B4B2B" w:rsidRPr="001D6D10" w:rsidRDefault="008B4B2B" w:rsidP="008B4B2B">
      <w:pPr>
        <w:pStyle w:val="a0"/>
        <w:ind w:firstLineChars="100" w:firstLine="221"/>
        <w:rPr>
          <w:rFonts w:ascii="ＭＳ ゴシック" w:eastAsia="ＭＳ ゴシック" w:hAnsi="ＭＳ ゴシック"/>
          <w:bCs/>
          <w:sz w:val="22"/>
          <w:szCs w:val="22"/>
        </w:rPr>
      </w:pPr>
    </w:p>
    <w:p w14:paraId="401EA275" w14:textId="77777777" w:rsidR="008B4B2B" w:rsidRPr="001D6D10" w:rsidRDefault="008B4B2B" w:rsidP="008B4B2B">
      <w:pPr>
        <w:pStyle w:val="a0"/>
        <w:ind w:firstLineChars="100" w:firstLine="221"/>
        <w:rPr>
          <w:rFonts w:ascii="ＭＳ ゴシック" w:eastAsia="ＭＳ ゴシック" w:hAnsi="ＭＳ ゴシック"/>
          <w:bCs/>
          <w:sz w:val="22"/>
          <w:szCs w:val="22"/>
        </w:rPr>
      </w:pPr>
    </w:p>
    <w:p w14:paraId="724B3380" w14:textId="77777777" w:rsidR="008B4B2B" w:rsidRPr="001D6D10" w:rsidRDefault="008B4B2B" w:rsidP="008B4B2B">
      <w:pPr>
        <w:pStyle w:val="a0"/>
        <w:ind w:firstLineChars="100" w:firstLine="221"/>
        <w:rPr>
          <w:rFonts w:ascii="ＭＳ ゴシック" w:eastAsia="ＭＳ ゴシック" w:hAnsi="ＭＳ ゴシック"/>
          <w:bCs/>
          <w:sz w:val="22"/>
          <w:szCs w:val="22"/>
        </w:rPr>
      </w:pPr>
    </w:p>
    <w:p w14:paraId="4A039CE7" w14:textId="77777777" w:rsidR="008B4B2B" w:rsidRPr="001D6D10" w:rsidRDefault="008B4B2B" w:rsidP="008B4B2B">
      <w:pPr>
        <w:pStyle w:val="a0"/>
        <w:ind w:firstLineChars="100" w:firstLine="221"/>
        <w:rPr>
          <w:rFonts w:ascii="ＭＳ ゴシック" w:eastAsia="ＭＳ ゴシック" w:hAnsi="ＭＳ ゴシック"/>
          <w:bCs/>
          <w:sz w:val="22"/>
          <w:szCs w:val="22"/>
        </w:rPr>
      </w:pPr>
    </w:p>
    <w:p w14:paraId="07A716E0" w14:textId="77777777" w:rsidR="008B4B2B" w:rsidRPr="008A3EDE" w:rsidRDefault="008B4B2B" w:rsidP="00831F71">
      <w:pPr>
        <w:pStyle w:val="a0"/>
        <w:spacing w:line="0" w:lineRule="atLeast"/>
        <w:ind w:firstLineChars="100" w:firstLine="281"/>
        <w:outlineLvl w:val="1"/>
        <w:rPr>
          <w:rFonts w:ascii="ＭＳ ゴシック" w:eastAsia="ＭＳ ゴシック" w:hAnsi="ＭＳ ゴシック"/>
          <w:bCs/>
          <w:sz w:val="28"/>
          <w:szCs w:val="28"/>
        </w:rPr>
      </w:pPr>
      <w:bookmarkStart w:id="458" w:name="_Toc122436987"/>
      <w:bookmarkStart w:id="459" w:name="_Toc222433318"/>
      <w:bookmarkStart w:id="460" w:name="_Toc222486686"/>
      <w:bookmarkStart w:id="461" w:name="_Toc242870356"/>
      <w:r w:rsidRPr="001D6D10">
        <w:rPr>
          <w:rFonts w:ascii="ＭＳ ゴシック" w:eastAsia="ＭＳ ゴシック" w:hAnsi="ＭＳ ゴシック" w:hint="eastAsia"/>
          <w:bCs/>
          <w:sz w:val="28"/>
          <w:szCs w:val="28"/>
        </w:rPr>
        <w:lastRenderedPageBreak/>
        <w:t>第７</w:t>
      </w:r>
      <w:r w:rsidRPr="008A3EDE">
        <w:rPr>
          <w:rFonts w:ascii="ＭＳ ゴシック" w:eastAsia="ＭＳ ゴシック" w:hAnsi="ＭＳ ゴシック" w:hint="eastAsia"/>
          <w:bCs/>
          <w:sz w:val="28"/>
          <w:szCs w:val="28"/>
        </w:rPr>
        <w:t>節　林野火災応急対策</w:t>
      </w:r>
      <w:bookmarkEnd w:id="458"/>
      <w:bookmarkEnd w:id="459"/>
      <w:bookmarkEnd w:id="460"/>
      <w:bookmarkEnd w:id="461"/>
    </w:p>
    <w:p w14:paraId="30253165" w14:textId="5A775385" w:rsidR="008B4B2B" w:rsidRPr="008A3EDE" w:rsidRDefault="008B4B2B" w:rsidP="008B4B2B">
      <w:pPr>
        <w:pStyle w:val="a0"/>
        <w:spacing w:line="0" w:lineRule="atLeast"/>
        <w:ind w:firstLineChars="650" w:firstLine="1437"/>
        <w:rPr>
          <w:rFonts w:ascii="ＭＳ ゴシック" w:eastAsia="ＭＳ ゴシック" w:hAnsi="ＭＳ ゴシック"/>
          <w:sz w:val="22"/>
          <w:szCs w:val="22"/>
          <w:bdr w:val="single" w:sz="4" w:space="0" w:color="auto"/>
        </w:rPr>
      </w:pPr>
      <w:r w:rsidRPr="008A3EDE">
        <w:rPr>
          <w:rFonts w:ascii="ＭＳ ゴシック" w:eastAsia="ＭＳ ゴシック" w:hAnsi="ＭＳ ゴシック" w:hint="eastAsia"/>
          <w:sz w:val="22"/>
          <w:szCs w:val="22"/>
          <w:bdr w:val="single" w:sz="4" w:space="0" w:color="auto"/>
        </w:rPr>
        <w:t>主たる担当：危機管理室、みどり推進室</w:t>
      </w:r>
    </w:p>
    <w:p w14:paraId="4020DADA" w14:textId="04266494" w:rsidR="00242324" w:rsidRPr="008A3EDE" w:rsidRDefault="00242324" w:rsidP="00242324">
      <w:pPr>
        <w:pStyle w:val="a0"/>
        <w:ind w:firstLineChars="200" w:firstLine="442"/>
        <w:outlineLvl w:val="2"/>
        <w:rPr>
          <w:rFonts w:ascii="ＭＳ ゴシック" w:eastAsia="ＭＳ ゴシック" w:hAnsi="ＭＳ ゴシック"/>
          <w:bCs/>
          <w:sz w:val="22"/>
          <w:szCs w:val="22"/>
          <w:u w:val="double"/>
        </w:rPr>
      </w:pPr>
      <w:bookmarkStart w:id="462" w:name="_Toc242870357"/>
      <w:r w:rsidRPr="008A3EDE">
        <w:rPr>
          <w:rFonts w:ascii="ＭＳ ゴシック" w:eastAsia="ＭＳ ゴシック" w:hAnsi="ＭＳ ゴシック" w:hint="eastAsia"/>
          <w:bCs/>
          <w:sz w:val="22"/>
          <w:szCs w:val="22"/>
          <w:u w:val="double"/>
        </w:rPr>
        <w:t xml:space="preserve">第１　</w:t>
      </w:r>
      <w:r w:rsidR="006973AE" w:rsidRPr="008A3EDE">
        <w:rPr>
          <w:rFonts w:ascii="ＭＳ ゴシック" w:eastAsia="ＭＳ ゴシック" w:hAnsi="ＭＳ ゴシック" w:hint="eastAsia"/>
          <w:bCs/>
          <w:sz w:val="22"/>
          <w:szCs w:val="22"/>
          <w:u w:val="double"/>
        </w:rPr>
        <w:t>府民への周知</w:t>
      </w:r>
      <w:bookmarkEnd w:id="462"/>
    </w:p>
    <w:p w14:paraId="2ECBF7ED" w14:textId="0FE0A3AC" w:rsidR="00242324" w:rsidRPr="008A3EDE" w:rsidRDefault="00242324" w:rsidP="00E0548A">
      <w:pPr>
        <w:pStyle w:val="a0"/>
        <w:spacing w:line="0" w:lineRule="atLeast"/>
        <w:ind w:leftChars="267" w:left="566" w:hanging="2"/>
        <w:rPr>
          <w:rFonts w:asciiTheme="minorEastAsia" w:eastAsiaTheme="minorEastAsia" w:hAnsiTheme="minorEastAsia"/>
          <w:sz w:val="22"/>
          <w:szCs w:val="22"/>
        </w:rPr>
      </w:pPr>
      <w:r w:rsidRPr="008A3EDE">
        <w:rPr>
          <w:rFonts w:ascii="ＭＳ ゴシック" w:eastAsia="ＭＳ ゴシック" w:hAnsi="ＭＳ ゴシック" w:hint="eastAsia"/>
          <w:sz w:val="22"/>
          <w:szCs w:val="22"/>
        </w:rPr>
        <w:t xml:space="preserve">　</w:t>
      </w:r>
      <w:r w:rsidRPr="008A3EDE">
        <w:rPr>
          <w:rFonts w:asciiTheme="minorEastAsia" w:eastAsiaTheme="minorEastAsia" w:hAnsiTheme="minorEastAsia" w:hint="eastAsia"/>
          <w:sz w:val="22"/>
          <w:szCs w:val="22"/>
        </w:rPr>
        <w:t>府内において林野火災注意報又は林野火災警報が発表及び解除された場合並びに林野火災が発生した場合は、おおさか防災ネットを活用し府民へ周知を図る。</w:t>
      </w:r>
    </w:p>
    <w:p w14:paraId="72024BE7" w14:textId="725B5515" w:rsidR="00242324" w:rsidRPr="008A3EDE" w:rsidRDefault="00242324" w:rsidP="00E0548A">
      <w:pPr>
        <w:pStyle w:val="a0"/>
        <w:spacing w:line="0" w:lineRule="atLeast"/>
        <w:rPr>
          <w:rFonts w:asciiTheme="minorEastAsia" w:eastAsiaTheme="minorEastAsia" w:hAnsiTheme="minorEastAsia"/>
          <w:bCs/>
          <w:sz w:val="22"/>
          <w:szCs w:val="22"/>
        </w:rPr>
      </w:pPr>
    </w:p>
    <w:p w14:paraId="1DE4B501" w14:textId="65334D82" w:rsidR="008B4B2B" w:rsidRPr="008A3EDE" w:rsidRDefault="008B4B2B" w:rsidP="00831F71">
      <w:pPr>
        <w:pStyle w:val="a0"/>
        <w:ind w:firstLineChars="200" w:firstLine="442"/>
        <w:outlineLvl w:val="2"/>
        <w:rPr>
          <w:rFonts w:ascii="ＭＳ ゴシック" w:eastAsia="ＭＳ ゴシック" w:hAnsi="ＭＳ ゴシック"/>
          <w:bCs/>
          <w:sz w:val="22"/>
          <w:szCs w:val="22"/>
          <w:u w:val="double"/>
        </w:rPr>
      </w:pPr>
      <w:bookmarkStart w:id="463" w:name="_Toc122436988"/>
      <w:bookmarkStart w:id="464" w:name="_Toc222433319"/>
      <w:bookmarkStart w:id="465" w:name="_Toc222486687"/>
      <w:bookmarkStart w:id="466" w:name="_Toc242870358"/>
      <w:bookmarkStart w:id="467" w:name="_Hlk224247119"/>
      <w:r w:rsidRPr="008A3EDE">
        <w:rPr>
          <w:rFonts w:ascii="ＭＳ ゴシック" w:eastAsia="ＭＳ ゴシック" w:hAnsi="ＭＳ ゴシック" w:hint="eastAsia"/>
          <w:bCs/>
          <w:sz w:val="22"/>
          <w:szCs w:val="22"/>
          <w:u w:val="double"/>
        </w:rPr>
        <w:t>第</w:t>
      </w:r>
      <w:r w:rsidR="00242324" w:rsidRPr="008A3EDE">
        <w:rPr>
          <w:rFonts w:ascii="ＭＳ ゴシック" w:eastAsia="ＭＳ ゴシック" w:hAnsi="ＭＳ ゴシック" w:hint="eastAsia"/>
          <w:bCs/>
          <w:sz w:val="22"/>
          <w:szCs w:val="22"/>
          <w:u w:val="double"/>
        </w:rPr>
        <w:t>２</w:t>
      </w:r>
      <w:r w:rsidRPr="008A3EDE">
        <w:rPr>
          <w:rFonts w:ascii="ＭＳ ゴシック" w:eastAsia="ＭＳ ゴシック" w:hAnsi="ＭＳ ゴシック" w:hint="eastAsia"/>
          <w:bCs/>
          <w:sz w:val="22"/>
          <w:szCs w:val="22"/>
          <w:u w:val="double"/>
        </w:rPr>
        <w:t xml:space="preserve">　火災通報等</w:t>
      </w:r>
      <w:bookmarkEnd w:id="463"/>
      <w:bookmarkEnd w:id="464"/>
      <w:bookmarkEnd w:id="465"/>
      <w:bookmarkEnd w:id="466"/>
    </w:p>
    <w:bookmarkEnd w:id="467"/>
    <w:p w14:paraId="6A009B83" w14:textId="77777777" w:rsidR="008B4B2B" w:rsidRPr="008A3EDE" w:rsidRDefault="008B4B2B" w:rsidP="008B4B2B">
      <w:pPr>
        <w:pStyle w:val="a0"/>
        <w:ind w:firstLineChars="200" w:firstLine="442"/>
        <w:rPr>
          <w:rFonts w:ascii="ＭＳ ゴシック" w:eastAsia="ＭＳ ゴシック" w:hAnsi="ＭＳ ゴシック"/>
          <w:bCs/>
          <w:sz w:val="22"/>
          <w:szCs w:val="22"/>
          <w:u w:val="single"/>
        </w:rPr>
      </w:pPr>
      <w:r w:rsidRPr="008A3EDE">
        <w:rPr>
          <w:rFonts w:hAnsi="ＭＳ 明朝" w:hint="eastAsia"/>
          <w:bCs/>
          <w:sz w:val="22"/>
          <w:szCs w:val="22"/>
        </w:rPr>
        <w:t xml:space="preserve">　</w:t>
      </w:r>
      <w:r w:rsidRPr="008A3EDE">
        <w:rPr>
          <w:rFonts w:ascii="ＭＳ ゴシック" w:eastAsia="ＭＳ ゴシック" w:hAnsi="ＭＳ ゴシック" w:hint="eastAsia"/>
          <w:bCs/>
          <w:sz w:val="22"/>
          <w:szCs w:val="22"/>
          <w:u w:val="single"/>
        </w:rPr>
        <w:t>１　通報基準</w:t>
      </w:r>
    </w:p>
    <w:p w14:paraId="345ADA9D" w14:textId="77777777" w:rsidR="008B4B2B" w:rsidRPr="008A3EDE" w:rsidRDefault="008B4B2B" w:rsidP="007E668F">
      <w:pPr>
        <w:pStyle w:val="a0"/>
        <w:numPr>
          <w:ilvl w:val="0"/>
          <w:numId w:val="25"/>
        </w:numPr>
        <w:ind w:leftChars="404" w:left="1275" w:rightChars="-41" w:right="-87" w:hangingChars="191" w:hanging="422"/>
        <w:rPr>
          <w:rFonts w:hAnsi="ＭＳ 明朝"/>
          <w:bCs/>
          <w:sz w:val="22"/>
          <w:szCs w:val="22"/>
        </w:rPr>
      </w:pPr>
      <w:r w:rsidRPr="008A3EDE">
        <w:rPr>
          <w:rFonts w:hAnsi="ＭＳ 明朝" w:hint="eastAsia"/>
          <w:bCs/>
          <w:sz w:val="22"/>
          <w:szCs w:val="22"/>
        </w:rPr>
        <w:t xml:space="preserve">　市町村は、林野における火災の規模等が府の定める通報基準に達したと　　　　き、又は特に必要と認めるときは、府に即報を行う。その後１時間ごとに状況を通報する。</w:t>
      </w:r>
    </w:p>
    <w:p w14:paraId="1C8193B3" w14:textId="77777777" w:rsidR="008B4B2B" w:rsidRPr="008A3EDE" w:rsidRDefault="008B4B2B" w:rsidP="007E668F">
      <w:pPr>
        <w:pStyle w:val="a0"/>
        <w:numPr>
          <w:ilvl w:val="1"/>
          <w:numId w:val="20"/>
        </w:numPr>
        <w:ind w:left="1701" w:rightChars="-41" w:right="-87" w:hanging="425"/>
        <w:rPr>
          <w:rFonts w:hAnsi="ＭＳ 明朝"/>
          <w:bCs/>
          <w:sz w:val="22"/>
          <w:szCs w:val="22"/>
        </w:rPr>
      </w:pPr>
      <w:r w:rsidRPr="008A3EDE">
        <w:rPr>
          <w:rFonts w:hAnsi="ＭＳ 明朝" w:hint="eastAsia"/>
          <w:bCs/>
          <w:sz w:val="22"/>
          <w:szCs w:val="22"/>
        </w:rPr>
        <w:t>焼損面積5ha以上と推定される場合（延焼のおそれがある場合は3ha）</w:t>
      </w:r>
    </w:p>
    <w:p w14:paraId="320C0BA0" w14:textId="77777777" w:rsidR="008B4B2B" w:rsidRPr="008A3EDE" w:rsidRDefault="008B4B2B" w:rsidP="007E668F">
      <w:pPr>
        <w:pStyle w:val="a0"/>
        <w:numPr>
          <w:ilvl w:val="1"/>
          <w:numId w:val="20"/>
        </w:numPr>
        <w:ind w:left="1701" w:rightChars="-41" w:right="-87" w:hanging="425"/>
        <w:rPr>
          <w:rFonts w:hAnsi="ＭＳ 明朝"/>
          <w:bCs/>
          <w:sz w:val="22"/>
          <w:szCs w:val="22"/>
        </w:rPr>
      </w:pPr>
      <w:r w:rsidRPr="008A3EDE">
        <w:rPr>
          <w:rFonts w:hAnsi="ＭＳ 明朝" w:hint="eastAsia"/>
          <w:bCs/>
          <w:sz w:val="22"/>
          <w:szCs w:val="22"/>
        </w:rPr>
        <w:t>覚知後３時間を経過しても鎮火できない場合</w:t>
      </w:r>
    </w:p>
    <w:p w14:paraId="1326CB8D" w14:textId="77777777" w:rsidR="008B4B2B" w:rsidRPr="008A3EDE" w:rsidRDefault="008B4B2B" w:rsidP="007E668F">
      <w:pPr>
        <w:pStyle w:val="a0"/>
        <w:numPr>
          <w:ilvl w:val="1"/>
          <w:numId w:val="20"/>
        </w:numPr>
        <w:ind w:left="1701" w:rightChars="-41" w:right="-87" w:hanging="425"/>
        <w:rPr>
          <w:rFonts w:hAnsi="ＭＳ 明朝"/>
          <w:bCs/>
          <w:sz w:val="22"/>
          <w:szCs w:val="22"/>
        </w:rPr>
      </w:pPr>
      <w:r w:rsidRPr="008A3EDE">
        <w:rPr>
          <w:rFonts w:hAnsi="ＭＳ 明朝" w:hint="eastAsia"/>
          <w:bCs/>
          <w:sz w:val="22"/>
          <w:szCs w:val="22"/>
        </w:rPr>
        <w:t>空中消火を要請する場合</w:t>
      </w:r>
    </w:p>
    <w:p w14:paraId="525B8C34" w14:textId="77777777" w:rsidR="008B4B2B" w:rsidRPr="008A3EDE" w:rsidRDefault="008B4B2B" w:rsidP="007E668F">
      <w:pPr>
        <w:pStyle w:val="a0"/>
        <w:numPr>
          <w:ilvl w:val="1"/>
          <w:numId w:val="20"/>
        </w:numPr>
        <w:ind w:left="1134" w:rightChars="-41" w:right="-87" w:firstLineChars="64" w:firstLine="141"/>
        <w:rPr>
          <w:rFonts w:hAnsi="ＭＳ 明朝"/>
          <w:bCs/>
          <w:sz w:val="22"/>
          <w:szCs w:val="22"/>
        </w:rPr>
      </w:pPr>
      <w:r w:rsidRPr="008A3EDE">
        <w:rPr>
          <w:rFonts w:hAnsi="ＭＳ 明朝" w:hint="eastAsia"/>
          <w:bCs/>
          <w:sz w:val="22"/>
          <w:szCs w:val="22"/>
        </w:rPr>
        <w:t>住家等へ延焼するおそれがある等、社会的に影響度が高い場合</w:t>
      </w:r>
    </w:p>
    <w:p w14:paraId="1D1E98A2" w14:textId="77777777" w:rsidR="008B4B2B" w:rsidRPr="008A3EDE" w:rsidRDefault="008B4B2B" w:rsidP="007E668F">
      <w:pPr>
        <w:pStyle w:val="a0"/>
        <w:numPr>
          <w:ilvl w:val="1"/>
          <w:numId w:val="20"/>
        </w:numPr>
        <w:ind w:left="1134" w:rightChars="-41" w:right="-87" w:firstLineChars="64" w:firstLine="141"/>
        <w:rPr>
          <w:rFonts w:hAnsi="ＭＳ 明朝"/>
          <w:bCs/>
          <w:sz w:val="22"/>
          <w:szCs w:val="22"/>
        </w:rPr>
      </w:pPr>
      <w:r w:rsidRPr="008A3EDE">
        <w:rPr>
          <w:rFonts w:hAnsi="ＭＳ 明朝" w:hint="eastAsia"/>
          <w:bCs/>
          <w:sz w:val="22"/>
          <w:szCs w:val="22"/>
        </w:rPr>
        <w:t>人身事故が生じた場合</w:t>
      </w:r>
    </w:p>
    <w:p w14:paraId="39D24E5A" w14:textId="77777777" w:rsidR="008B4B2B" w:rsidRPr="008A3EDE" w:rsidRDefault="008B4B2B" w:rsidP="007E668F">
      <w:pPr>
        <w:pStyle w:val="a0"/>
        <w:numPr>
          <w:ilvl w:val="1"/>
          <w:numId w:val="20"/>
        </w:numPr>
        <w:ind w:left="1134" w:rightChars="-41" w:right="-87" w:firstLineChars="64" w:firstLine="141"/>
        <w:rPr>
          <w:rFonts w:hAnsi="ＭＳ 明朝"/>
          <w:bCs/>
          <w:sz w:val="22"/>
          <w:szCs w:val="22"/>
        </w:rPr>
      </w:pPr>
      <w:r w:rsidRPr="008A3EDE">
        <w:rPr>
          <w:rFonts w:hAnsi="ＭＳ 明朝" w:hint="eastAsia"/>
          <w:bCs/>
          <w:sz w:val="22"/>
          <w:szCs w:val="22"/>
        </w:rPr>
        <w:t>重要な森林（府営林、保安林、自然公園等）の場合</w:t>
      </w:r>
    </w:p>
    <w:p w14:paraId="5414A1D2" w14:textId="77777777" w:rsidR="008B4B2B" w:rsidRPr="008A3EDE" w:rsidRDefault="008B4B2B" w:rsidP="008B4B2B">
      <w:pPr>
        <w:pStyle w:val="a0"/>
        <w:ind w:left="1216" w:hangingChars="550" w:hanging="1216"/>
        <w:rPr>
          <w:rFonts w:hAnsi="ＭＳ 明朝"/>
          <w:bCs/>
          <w:sz w:val="22"/>
          <w:szCs w:val="22"/>
        </w:rPr>
      </w:pPr>
      <w:r w:rsidRPr="008A3EDE">
        <w:rPr>
          <w:rFonts w:hAnsi="ＭＳ 明朝" w:hint="eastAsia"/>
          <w:bCs/>
          <w:sz w:val="22"/>
          <w:szCs w:val="22"/>
        </w:rPr>
        <w:t xml:space="preserve">　</w:t>
      </w:r>
    </w:p>
    <w:p w14:paraId="3690C7F0" w14:textId="48F7FEA8" w:rsidR="008B4B2B" w:rsidRPr="008A3EDE" w:rsidRDefault="008B4B2B" w:rsidP="007E668F">
      <w:pPr>
        <w:pStyle w:val="a0"/>
        <w:numPr>
          <w:ilvl w:val="0"/>
          <w:numId w:val="25"/>
        </w:numPr>
        <w:ind w:leftChars="418" w:left="1417" w:hangingChars="242" w:hanging="535"/>
        <w:rPr>
          <w:rFonts w:hAnsi="ＭＳ 明朝"/>
          <w:bCs/>
          <w:sz w:val="22"/>
          <w:szCs w:val="22"/>
        </w:rPr>
      </w:pPr>
      <w:r w:rsidRPr="008A3EDE">
        <w:rPr>
          <w:rFonts w:hAnsi="ＭＳ 明朝" w:hint="eastAsia"/>
          <w:bCs/>
          <w:sz w:val="22"/>
          <w:szCs w:val="22"/>
        </w:rPr>
        <w:t xml:space="preserve">　府は、林野における火災の規模等が消防庁の定める通報基準に達したと　　き、又は特に必要と認めるときは、消防庁及び林野庁に</w:t>
      </w:r>
      <w:r w:rsidR="00242324" w:rsidRPr="008A3EDE">
        <w:rPr>
          <w:rFonts w:hAnsi="ＭＳ 明朝" w:hint="eastAsia"/>
          <w:bCs/>
          <w:sz w:val="22"/>
          <w:szCs w:val="22"/>
        </w:rPr>
        <w:t>即</w:t>
      </w:r>
      <w:r w:rsidRPr="008A3EDE">
        <w:rPr>
          <w:rFonts w:hAnsi="ＭＳ 明朝" w:hint="eastAsia"/>
          <w:bCs/>
          <w:sz w:val="22"/>
          <w:szCs w:val="22"/>
        </w:rPr>
        <w:t>報を行う。</w:t>
      </w:r>
    </w:p>
    <w:p w14:paraId="6B530313" w14:textId="77777777" w:rsidR="008B4B2B" w:rsidRPr="008A3EDE" w:rsidRDefault="008B4B2B" w:rsidP="008B4B2B">
      <w:pPr>
        <w:pStyle w:val="a0"/>
        <w:ind w:left="1440"/>
        <w:rPr>
          <w:rFonts w:hAnsi="ＭＳ 明朝"/>
          <w:bCs/>
          <w:sz w:val="22"/>
          <w:szCs w:val="22"/>
        </w:rPr>
      </w:pPr>
      <w:r w:rsidRPr="008A3EDE">
        <w:rPr>
          <w:rFonts w:hAnsi="ＭＳ 明朝" w:hint="eastAsia"/>
          <w:bCs/>
          <w:sz w:val="22"/>
          <w:szCs w:val="22"/>
        </w:rPr>
        <w:t>その後新たな情報を</w:t>
      </w:r>
      <w:proofErr w:type="gramStart"/>
      <w:r w:rsidRPr="008A3EDE">
        <w:rPr>
          <w:rFonts w:hAnsi="ＭＳ 明朝" w:hint="eastAsia"/>
          <w:bCs/>
          <w:sz w:val="22"/>
          <w:szCs w:val="22"/>
        </w:rPr>
        <w:t>入手のつど報告する。</w:t>
      </w:r>
      <w:proofErr w:type="gramEnd"/>
    </w:p>
    <w:p w14:paraId="6AA9D547" w14:textId="77777777" w:rsidR="008B4B2B" w:rsidRPr="001D6D10" w:rsidRDefault="008B4B2B" w:rsidP="008B4B2B">
      <w:pPr>
        <w:pStyle w:val="a0"/>
        <w:ind w:firstLineChars="800" w:firstLine="1769"/>
        <w:rPr>
          <w:rFonts w:hAnsi="ＭＳ 明朝"/>
          <w:bCs/>
          <w:sz w:val="22"/>
          <w:szCs w:val="22"/>
        </w:rPr>
      </w:pPr>
      <w:r w:rsidRPr="008A3EDE">
        <w:rPr>
          <w:rFonts w:hAnsi="ＭＳ 明朝" w:hint="eastAsia"/>
          <w:bCs/>
          <w:sz w:val="22"/>
          <w:szCs w:val="22"/>
        </w:rPr>
        <w:t>（ア）焼損面積10ha以上と推定される場合</w:t>
      </w:r>
    </w:p>
    <w:p w14:paraId="1067FBDB" w14:textId="77777777" w:rsidR="008B4B2B" w:rsidRPr="001D6D10" w:rsidRDefault="008B4B2B" w:rsidP="008B4B2B">
      <w:pPr>
        <w:pStyle w:val="a0"/>
        <w:ind w:firstLineChars="800" w:firstLine="1769"/>
        <w:rPr>
          <w:rFonts w:hAnsi="ＭＳ 明朝"/>
          <w:bCs/>
          <w:sz w:val="22"/>
          <w:szCs w:val="22"/>
        </w:rPr>
      </w:pPr>
      <w:r w:rsidRPr="001D6D10">
        <w:rPr>
          <w:rFonts w:hAnsi="ＭＳ 明朝" w:hint="eastAsia"/>
          <w:bCs/>
          <w:sz w:val="22"/>
          <w:szCs w:val="22"/>
        </w:rPr>
        <w:t>（イ）空中消火を要請した場合（大阪市消防ヘリによるものを含む）</w:t>
      </w:r>
    </w:p>
    <w:p w14:paraId="0035CC17" w14:textId="77777777" w:rsidR="008B4B2B" w:rsidRPr="001D6D10" w:rsidRDefault="008B4B2B" w:rsidP="008B4B2B">
      <w:pPr>
        <w:pStyle w:val="a0"/>
        <w:ind w:left="1652" w:firstLineChars="50" w:firstLine="111"/>
        <w:rPr>
          <w:rFonts w:hAnsi="ＭＳ 明朝"/>
          <w:bCs/>
          <w:sz w:val="22"/>
          <w:szCs w:val="22"/>
        </w:rPr>
      </w:pPr>
      <w:r w:rsidRPr="001D6D10">
        <w:rPr>
          <w:rFonts w:hAnsi="ＭＳ 明朝" w:hint="eastAsia"/>
          <w:bCs/>
          <w:sz w:val="22"/>
          <w:szCs w:val="22"/>
        </w:rPr>
        <w:t>（ウ）住家等へ延焼するおそれがある等、社会的に影響度が高い場合</w:t>
      </w:r>
    </w:p>
    <w:p w14:paraId="2AE3456E" w14:textId="77777777" w:rsidR="008B4B2B" w:rsidRPr="001D6D10" w:rsidRDefault="008B4B2B" w:rsidP="008B4B2B">
      <w:pPr>
        <w:pStyle w:val="a0"/>
        <w:ind w:left="1652" w:firstLineChars="50" w:firstLine="111"/>
        <w:rPr>
          <w:rFonts w:hAnsi="ＭＳ 明朝"/>
          <w:bCs/>
          <w:sz w:val="22"/>
          <w:szCs w:val="22"/>
        </w:rPr>
      </w:pPr>
      <w:r w:rsidRPr="001D6D10">
        <w:rPr>
          <w:rFonts w:hAnsi="ＭＳ 明朝" w:hint="eastAsia"/>
          <w:bCs/>
          <w:sz w:val="22"/>
          <w:szCs w:val="22"/>
        </w:rPr>
        <w:t>（エ）人身事故が生じた場合</w:t>
      </w:r>
    </w:p>
    <w:p w14:paraId="6BEB53D8" w14:textId="77777777" w:rsidR="008B4B2B" w:rsidRPr="001D6D10" w:rsidRDefault="008B4B2B" w:rsidP="008B4B2B">
      <w:pPr>
        <w:pStyle w:val="a0"/>
        <w:ind w:left="1652" w:firstLineChars="50" w:firstLine="111"/>
        <w:rPr>
          <w:rFonts w:hAnsi="ＭＳ 明朝"/>
          <w:bCs/>
          <w:sz w:val="22"/>
          <w:szCs w:val="22"/>
        </w:rPr>
      </w:pPr>
      <w:r w:rsidRPr="001D6D10">
        <w:rPr>
          <w:rFonts w:hAnsi="ＭＳ 明朝" w:hint="eastAsia"/>
          <w:bCs/>
          <w:sz w:val="22"/>
          <w:szCs w:val="22"/>
        </w:rPr>
        <w:t>（オ）重要な森林（府営林、保安林、自然公園等）の場合</w:t>
      </w:r>
    </w:p>
    <w:p w14:paraId="3DFC6740" w14:textId="5D8FF38E" w:rsidR="00BA52E1" w:rsidRDefault="00BA52E1">
      <w:pPr>
        <w:widowControl/>
        <w:jc w:val="left"/>
        <w:rPr>
          <w:rFonts w:ascii="ゴシック体" w:eastAsia="ゴシック体"/>
        </w:rPr>
      </w:pPr>
      <w:r>
        <w:rPr>
          <w:rFonts w:ascii="ゴシック体" w:eastAsia="ゴシック体"/>
        </w:rPr>
        <w:br w:type="page"/>
      </w:r>
    </w:p>
    <w:p w14:paraId="0050DB88" w14:textId="77777777" w:rsidR="008B4B2B" w:rsidRPr="001D6D10" w:rsidRDefault="008B4B2B" w:rsidP="008B4B2B">
      <w:pPr>
        <w:wordWrap w:val="0"/>
        <w:overflowPunct w:val="0"/>
        <w:spacing w:line="362" w:lineRule="exact"/>
        <w:ind w:right="99"/>
        <w:rPr>
          <w:rFonts w:ascii="ＭＳ 明朝" w:hAnsi="ＭＳ 明朝"/>
        </w:rPr>
      </w:pPr>
      <w:r w:rsidRPr="001D6D10">
        <w:rPr>
          <w:rFonts w:ascii="ＭＳ 明朝" w:hAnsi="ＭＳ 明朝" w:hint="eastAsia"/>
        </w:rPr>
        <w:lastRenderedPageBreak/>
        <w:t>別図〔連絡系統図〕</w:t>
      </w:r>
    </w:p>
    <w:p w14:paraId="39029A71" w14:textId="77777777" w:rsidR="008B4B2B" w:rsidRPr="001D6D10" w:rsidRDefault="008B4B2B" w:rsidP="008B4B2B">
      <w:pPr>
        <w:wordWrap w:val="0"/>
        <w:overflowPunct w:val="0"/>
        <w:spacing w:line="362" w:lineRule="exact"/>
        <w:ind w:left="1720" w:right="99"/>
      </w:pPr>
      <w:r w:rsidRPr="001D6D10">
        <w:rPr>
          <w:noProof/>
          <w:sz w:val="20"/>
        </w:rPr>
        <mc:AlternateContent>
          <mc:Choice Requires="wps">
            <w:drawing>
              <wp:anchor distT="0" distB="0" distL="114300" distR="114300" simplePos="0" relativeHeight="253671424" behindDoc="0" locked="0" layoutInCell="1" allowOverlap="1" wp14:anchorId="0F75F178" wp14:editId="6A07082E">
                <wp:simplePos x="0" y="0"/>
                <wp:positionH relativeFrom="column">
                  <wp:posOffset>2628900</wp:posOffset>
                </wp:positionH>
                <wp:positionV relativeFrom="paragraph">
                  <wp:posOffset>226060</wp:posOffset>
                </wp:positionV>
                <wp:extent cx="914400" cy="342900"/>
                <wp:effectExtent l="9525" t="6985" r="9525" b="12065"/>
                <wp:wrapNone/>
                <wp:docPr id="379" name="Text Box 302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14400" cy="342900"/>
                        </a:xfrm>
                        <a:prstGeom prst="rect">
                          <a:avLst/>
                        </a:prstGeom>
                        <a:solidFill>
                          <a:srgbClr val="FFFFFF"/>
                        </a:solidFill>
                        <a:ln w="9525">
                          <a:solidFill>
                            <a:srgbClr val="000000"/>
                          </a:solidFill>
                          <a:miter lim="800000"/>
                          <a:headEnd/>
                          <a:tailEnd/>
                        </a:ln>
                      </wps:spPr>
                      <wps:txbx>
                        <w:txbxContent>
                          <w:p w14:paraId="4F816CD9" w14:textId="77777777" w:rsidR="006A5267" w:rsidRDefault="006A5267" w:rsidP="008B4B2B">
                            <w:pPr>
                              <w:jc w:val="distribute"/>
                            </w:pPr>
                            <w:r>
                              <w:rPr>
                                <w:rFonts w:hint="eastAsia"/>
                              </w:rPr>
                              <w:t>火災発見者</w:t>
                            </w:r>
                          </w:p>
                        </w:txbxContent>
                      </wps:txbx>
                      <wps:bodyPr rot="0" vert="horz" wrap="square" lIns="30240" tIns="31320" rIns="30240" bIns="31320" anchor="t" anchorCtr="0" upright="1">
                        <a:noAutofit/>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shape w14:anchorId="0F75F178" id="Text Box 3022" o:spid="_x0000_s1842" type="#_x0000_t202" style="position:absolute;left:0;text-align:left;margin-left:207pt;margin-top:17.8pt;width:1in;height:27pt;z-index:2536714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">
                <v:textbox inset=".84mm,.87mm,.84mm,.87mm">
                  <w:txbxContent>
                    <w:p w14:paraId="4F816CD9" w14:textId="77777777" w:rsidR="006A5267" w:rsidRDefault="006A5267" w:rsidP="008B4B2B">
                      <w:pPr>
                        <w:jc w:val="distribute"/>
                      </w:pPr>
                      <w:r>
                        <w:rPr>
                          <w:rFonts w:hint="eastAsia"/>
                        </w:rPr>
                        <w:t>火災発見者</w:t>
                      </w:r>
                    </w:p>
                  </w:txbxContent>
                </v:textbox>
              </v:shape>
            </w:pict>
          </mc:Fallback>
        </mc:AlternateContent>
      </w:r>
      <w:r w:rsidRPr="001D6D10">
        <w:rPr>
          <w:rFonts w:hint="eastAsia"/>
        </w:rPr>
        <w:t xml:space="preserve">　　　　　　　　　　　　　　　　　　　　　　</w:t>
      </w:r>
      <w:r w:rsidRPr="001D6D10">
        <w:rPr>
          <w:rFonts w:hint="eastAsia"/>
          <w:spacing w:val="1"/>
        </w:rPr>
        <w:t xml:space="preserve">  </w:t>
      </w:r>
      <w:r w:rsidRPr="001D6D10">
        <w:rPr>
          <w:rFonts w:hint="eastAsia"/>
        </w:rPr>
        <w:t xml:space="preserve">　　　</w:t>
      </w:r>
    </w:p>
    <w:p w14:paraId="33EBB712" w14:textId="77777777" w:rsidR="008B4B2B" w:rsidRPr="001D6D10" w:rsidRDefault="008B4B2B" w:rsidP="008B4B2B">
      <w:pPr>
        <w:wordWrap w:val="0"/>
        <w:overflowPunct w:val="0"/>
        <w:spacing w:line="362" w:lineRule="exact"/>
        <w:ind w:right="99"/>
      </w:pPr>
    </w:p>
    <w:p w14:paraId="74DB037B" w14:textId="77777777" w:rsidR="008B4B2B" w:rsidRPr="001D6D10" w:rsidRDefault="008B4B2B" w:rsidP="008B4B2B">
      <w:pPr>
        <w:wordWrap w:val="0"/>
        <w:overflowPunct w:val="0"/>
        <w:spacing w:line="362" w:lineRule="exact"/>
        <w:ind w:right="99"/>
      </w:pPr>
      <w:r w:rsidRPr="001D6D10">
        <w:rPr>
          <w:noProof/>
          <w:sz w:val="20"/>
        </w:rPr>
        <mc:AlternateContent>
          <mc:Choice Requires="wps">
            <w:drawing>
              <wp:anchor distT="0" distB="0" distL="114300" distR="114300" simplePos="0" relativeHeight="253682688" behindDoc="0" locked="0" layoutInCell="1" allowOverlap="1" wp14:anchorId="0B59D1D3" wp14:editId="2AD1C605">
                <wp:simplePos x="0" y="0"/>
                <wp:positionH relativeFrom="column">
                  <wp:posOffset>2971800</wp:posOffset>
                </wp:positionH>
                <wp:positionV relativeFrom="paragraph">
                  <wp:posOffset>223520</wp:posOffset>
                </wp:positionV>
                <wp:extent cx="228600" cy="0"/>
                <wp:effectExtent l="66675" t="13970" r="66675" b="14605"/>
                <wp:wrapNone/>
                <wp:docPr id="378" name="Line 303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rot="-16200000">
                          <a:off x="0" y="0"/>
                          <a:ext cx="228600" cy="0"/>
                        </a:xfrm>
                        <a:prstGeom prst="line">
                          <a:avLst/>
                        </a:prstGeom>
                        <a:noFill/>
                        <a:ln w="9525">
                          <a:solidFill>
                            <a:srgbClr val="000000"/>
                          </a:solidFill>
                          <a:round/>
                          <a:headEnd/>
                          <a:tailEnd type="arrow" w="sm" len="sm"/>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line w14:anchorId="44763FEE" id="Line 3032" o:spid="_x0000_s1026" style="position:absolute;left:0;text-align:left;rotation:90;z-index:2536826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34pt,17.6pt" to="252pt,17.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">
                <v:stroke endarrow="open" endarrowwidth="narrow" endarrowlength="short"/>
              </v:line>
            </w:pict>
          </mc:Fallback>
        </mc:AlternateContent>
      </w:r>
    </w:p>
    <w:p w14:paraId="11216CA3" w14:textId="77777777" w:rsidR="008B4B2B" w:rsidRPr="001D6D10" w:rsidRDefault="008B4B2B" w:rsidP="008B4B2B">
      <w:pPr>
        <w:wordWrap w:val="0"/>
        <w:overflowPunct w:val="0"/>
        <w:spacing w:line="362" w:lineRule="exact"/>
        <w:ind w:right="99"/>
      </w:pPr>
      <w:r w:rsidRPr="001D6D10">
        <w:rPr>
          <w:noProof/>
          <w:sz w:val="20"/>
        </w:rPr>
        <mc:AlternateContent>
          <mc:Choice Requires="wps">
            <w:drawing>
              <wp:anchor distT="0" distB="0" distL="114300" distR="114300" simplePos="0" relativeHeight="253672448" behindDoc="0" locked="0" layoutInCell="1" allowOverlap="1" wp14:anchorId="34B1179A" wp14:editId="4CA68A94">
                <wp:simplePos x="0" y="0"/>
                <wp:positionH relativeFrom="column">
                  <wp:posOffset>2628900</wp:posOffset>
                </wp:positionH>
                <wp:positionV relativeFrom="paragraph">
                  <wp:posOffset>107950</wp:posOffset>
                </wp:positionV>
                <wp:extent cx="914400" cy="1028700"/>
                <wp:effectExtent l="9525" t="12700" r="9525" b="6350"/>
                <wp:wrapNone/>
                <wp:docPr id="377" name="Text Box 302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14400" cy="1028700"/>
                        </a:xfrm>
                        <a:prstGeom prst="rect">
                          <a:avLst/>
                        </a:prstGeom>
                        <a:solidFill>
                          <a:srgbClr val="FFFFFF"/>
                        </a:solidFill>
                        <a:ln w="9525">
                          <a:solidFill>
                            <a:srgbClr val="000000"/>
                          </a:solidFill>
                          <a:miter lim="800000"/>
                          <a:headEnd/>
                          <a:tailEnd/>
                        </a:ln>
                      </wps:spPr>
                      <wps:txbx>
                        <w:txbxContent>
                          <w:p w14:paraId="44D57FCF" w14:textId="77777777" w:rsidR="006A5267" w:rsidRPr="00DD6C3E" w:rsidRDefault="006A5267" w:rsidP="008B4B2B">
                            <w:pPr>
                              <w:jc w:val="distribute"/>
                            </w:pPr>
                            <w:r w:rsidRPr="00DD6C3E">
                              <w:rPr>
                                <w:rFonts w:hint="eastAsia"/>
                              </w:rPr>
                              <w:t>市町村</w:t>
                            </w:r>
                          </w:p>
                          <w:p w14:paraId="4D95112C" w14:textId="77777777" w:rsidR="006A5267" w:rsidRPr="00DD6C3E" w:rsidRDefault="006A5267" w:rsidP="008B4B2B">
                            <w:pPr>
                              <w:spacing w:line="60" w:lineRule="exact"/>
                              <w:jc w:val="distribute"/>
                            </w:pPr>
                          </w:p>
                          <w:p w14:paraId="6AC0B12E" w14:textId="77777777" w:rsidR="006A5267" w:rsidRPr="00DD6C3E" w:rsidRDefault="006A5267" w:rsidP="008B4B2B">
                            <w:pPr>
                              <w:spacing w:line="60" w:lineRule="exact"/>
                              <w:jc w:val="distribute"/>
                            </w:pPr>
                          </w:p>
                          <w:p w14:paraId="7D5A16A3" w14:textId="77777777" w:rsidR="006A5267" w:rsidRPr="00DD6C3E" w:rsidRDefault="006A5267" w:rsidP="008B4B2B">
                            <w:pPr>
                              <w:spacing w:line="60" w:lineRule="exact"/>
                              <w:jc w:val="distribute"/>
                            </w:pPr>
                          </w:p>
                          <w:p w14:paraId="04235EC2" w14:textId="77777777" w:rsidR="006A5267" w:rsidRPr="00DD6C3E" w:rsidRDefault="006A5267" w:rsidP="008B4B2B">
                            <w:pPr>
                              <w:jc w:val="distribute"/>
                            </w:pPr>
                            <w:r w:rsidRPr="00DD6C3E">
                              <w:rPr>
                                <w:rFonts w:hint="eastAsia"/>
                              </w:rPr>
                              <w:t>消防本部</w:t>
                            </w:r>
                          </w:p>
                          <w:p w14:paraId="5BF6EF8C" w14:textId="77777777" w:rsidR="006A5267" w:rsidRPr="00DD6C3E" w:rsidRDefault="006A5267" w:rsidP="008B4B2B">
                            <w:pPr>
                              <w:spacing w:line="60" w:lineRule="exact"/>
                              <w:jc w:val="distribute"/>
                            </w:pPr>
                          </w:p>
                          <w:p w14:paraId="2B50BB1B" w14:textId="77777777" w:rsidR="006A5267" w:rsidRPr="00DD6C3E" w:rsidRDefault="006A5267" w:rsidP="008B4B2B">
                            <w:pPr>
                              <w:spacing w:line="60" w:lineRule="exact"/>
                              <w:jc w:val="distribute"/>
                            </w:pPr>
                          </w:p>
                          <w:p w14:paraId="5326CE34" w14:textId="77777777" w:rsidR="006A5267" w:rsidRPr="00DD6C3E" w:rsidRDefault="006A5267" w:rsidP="008B4B2B">
                            <w:pPr>
                              <w:jc w:val="distribute"/>
                              <w:rPr>
                                <w:sz w:val="18"/>
                                <w:szCs w:val="18"/>
                              </w:rPr>
                            </w:pPr>
                            <w:r w:rsidRPr="00DD6C3E">
                              <w:rPr>
                                <w:rFonts w:hint="eastAsia"/>
                              </w:rPr>
                              <w:t>②</w:t>
                            </w:r>
                            <w:r w:rsidRPr="00DD6C3E">
                              <w:rPr>
                                <w:rFonts w:hint="eastAsia"/>
                                <w:w w:val="80"/>
                                <w:sz w:val="18"/>
                                <w:szCs w:val="18"/>
                              </w:rPr>
                              <w:t>森林管理事務所</w:t>
                            </w:r>
                          </w:p>
                        </w:txbxContent>
                      </wps:txbx>
                      <wps:bodyPr rot="0" vert="horz" wrap="square" lIns="30240" tIns="31320" rIns="30240" bIns="31320" anchor="t" anchorCtr="0" upright="1">
                        <a:noAutofit/>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shape w14:anchorId="34B1179A" id="Text Box 3023" o:spid="_x0000_s1843" type="#_x0000_t202" style="position:absolute;left:0;text-align:left;margin-left:207pt;margin-top:8.5pt;width:1in;height:81pt;z-index:2536724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">
                <v:textbox inset=".84mm,.87mm,.84mm,.87mm">
                  <w:txbxContent>
                    <w:p w14:paraId="44D57FCF" w14:textId="77777777" w:rsidR="006A5267" w:rsidRPr="00DD6C3E" w:rsidRDefault="006A5267" w:rsidP="008B4B2B">
                      <w:pPr>
                        <w:jc w:val="distribute"/>
                      </w:pPr>
                      <w:r w:rsidRPr="00DD6C3E">
                        <w:rPr>
                          <w:rFonts w:hint="eastAsia"/>
                        </w:rPr>
                        <w:t>市町村</w:t>
                      </w:r>
                    </w:p>
                    <w:p w14:paraId="4D95112C" w14:textId="77777777" w:rsidR="006A5267" w:rsidRPr="00DD6C3E" w:rsidRDefault="006A5267" w:rsidP="008B4B2B">
                      <w:pPr>
                        <w:spacing w:line="60" w:lineRule="exact"/>
                        <w:jc w:val="distribute"/>
                      </w:pPr>
                    </w:p>
                    <w:p w14:paraId="6AC0B12E" w14:textId="77777777" w:rsidR="006A5267" w:rsidRPr="00DD6C3E" w:rsidRDefault="006A5267" w:rsidP="008B4B2B">
                      <w:pPr>
                        <w:spacing w:line="60" w:lineRule="exact"/>
                        <w:jc w:val="distribute"/>
                      </w:pPr>
                    </w:p>
                    <w:p w14:paraId="7D5A16A3" w14:textId="77777777" w:rsidR="006A5267" w:rsidRPr="00DD6C3E" w:rsidRDefault="006A5267" w:rsidP="008B4B2B">
                      <w:pPr>
                        <w:spacing w:line="60" w:lineRule="exact"/>
                        <w:jc w:val="distribute"/>
                      </w:pPr>
                    </w:p>
                    <w:p w14:paraId="04235EC2" w14:textId="77777777" w:rsidR="006A5267" w:rsidRPr="00DD6C3E" w:rsidRDefault="006A5267" w:rsidP="008B4B2B">
                      <w:pPr>
                        <w:jc w:val="distribute"/>
                      </w:pPr>
                      <w:r w:rsidRPr="00DD6C3E">
                        <w:rPr>
                          <w:rFonts w:hint="eastAsia"/>
                        </w:rPr>
                        <w:t>消防本部</w:t>
                      </w:r>
                    </w:p>
                    <w:p w14:paraId="5BF6EF8C" w14:textId="77777777" w:rsidR="006A5267" w:rsidRPr="00DD6C3E" w:rsidRDefault="006A5267" w:rsidP="008B4B2B">
                      <w:pPr>
                        <w:spacing w:line="60" w:lineRule="exact"/>
                        <w:jc w:val="distribute"/>
                      </w:pPr>
                    </w:p>
                    <w:p w14:paraId="2B50BB1B" w14:textId="77777777" w:rsidR="006A5267" w:rsidRPr="00DD6C3E" w:rsidRDefault="006A5267" w:rsidP="008B4B2B">
                      <w:pPr>
                        <w:spacing w:line="60" w:lineRule="exact"/>
                        <w:jc w:val="distribute"/>
                      </w:pPr>
                    </w:p>
                    <w:p w14:paraId="5326CE34" w14:textId="77777777" w:rsidR="006A5267" w:rsidRPr="00DD6C3E" w:rsidRDefault="006A5267" w:rsidP="008B4B2B">
                      <w:pPr>
                        <w:jc w:val="distribute"/>
                        <w:rPr>
                          <w:sz w:val="18"/>
                          <w:szCs w:val="18"/>
                        </w:rPr>
                      </w:pPr>
                      <w:r w:rsidRPr="00DD6C3E">
                        <w:rPr>
                          <w:rFonts w:hint="eastAsia"/>
                        </w:rPr>
                        <w:t>②</w:t>
                      </w:r>
                      <w:r w:rsidRPr="00DD6C3E">
                        <w:rPr>
                          <w:rFonts w:hint="eastAsia"/>
                          <w:w w:val="80"/>
                          <w:sz w:val="18"/>
                          <w:szCs w:val="18"/>
                        </w:rPr>
                        <w:t>森林管理事務所</w:t>
                      </w:r>
                    </w:p>
                  </w:txbxContent>
                </v:textbox>
              </v:shape>
            </w:pict>
          </mc:Fallback>
        </mc:AlternateContent>
      </w:r>
      <w:r w:rsidRPr="001D6D10">
        <w:rPr>
          <w:noProof/>
          <w:sz w:val="20"/>
        </w:rPr>
        <mc:AlternateContent>
          <mc:Choice Requires="wps">
            <w:drawing>
              <wp:anchor distT="0" distB="0" distL="114300" distR="114300" simplePos="0" relativeHeight="253681664" behindDoc="0" locked="0" layoutInCell="1" allowOverlap="1" wp14:anchorId="12C534AF" wp14:editId="2C1F24A9">
                <wp:simplePos x="0" y="0"/>
                <wp:positionH relativeFrom="column">
                  <wp:posOffset>914400</wp:posOffset>
                </wp:positionH>
                <wp:positionV relativeFrom="paragraph">
                  <wp:posOffset>222250</wp:posOffset>
                </wp:positionV>
                <wp:extent cx="1714500" cy="0"/>
                <wp:effectExtent l="19050" t="60325" r="19050" b="63500"/>
                <wp:wrapNone/>
                <wp:docPr id="376" name="Line 303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714500" cy="0"/>
                        </a:xfrm>
                        <a:prstGeom prst="line">
                          <a:avLst/>
                        </a:prstGeom>
                        <a:noFill/>
                        <a:ln w="9525">
                          <a:solidFill>
                            <a:srgbClr val="000000"/>
                          </a:solidFill>
                          <a:prstDash val="sysDot"/>
                          <a:round/>
                          <a:headEnd type="arrow" w="sm" len="sm"/>
                          <a:tailEnd type="arrow" w="sm" len="sm"/>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line w14:anchorId="3C4D7B2A" id="Line 3031" o:spid="_x0000_s1026" style="position:absolute;left:0;text-align:left;z-index:2536816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in,17.5pt" to="207pt,1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">
                <v:stroke dashstyle="1 1" startarrow="open" startarrowwidth="narrow" startarrowlength="short" endarrow="open" endarrowwidth="narrow" endarrowlength="short"/>
              </v:line>
            </w:pict>
          </mc:Fallback>
        </mc:AlternateContent>
      </w:r>
      <w:r w:rsidRPr="001D6D10">
        <w:rPr>
          <w:noProof/>
          <w:sz w:val="20"/>
        </w:rPr>
        <mc:AlternateContent>
          <mc:Choice Requires="wps">
            <w:drawing>
              <wp:anchor distT="0" distB="0" distL="114300" distR="114300" simplePos="0" relativeHeight="253676544" behindDoc="0" locked="0" layoutInCell="1" allowOverlap="1" wp14:anchorId="636365CF" wp14:editId="41CE3984">
                <wp:simplePos x="0" y="0"/>
                <wp:positionH relativeFrom="column">
                  <wp:posOffset>4914900</wp:posOffset>
                </wp:positionH>
                <wp:positionV relativeFrom="paragraph">
                  <wp:posOffset>107950</wp:posOffset>
                </wp:positionV>
                <wp:extent cx="800100" cy="342900"/>
                <wp:effectExtent l="9525" t="12700" r="9525" b="6350"/>
                <wp:wrapNone/>
                <wp:docPr id="375" name="Text Box 302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00100" cy="342900"/>
                        </a:xfrm>
                        <a:prstGeom prst="rect">
                          <a:avLst/>
                        </a:prstGeom>
                        <a:solidFill>
                          <a:srgbClr val="FFFFFF"/>
                        </a:solidFill>
                        <a:ln w="9525">
                          <a:solidFill>
                            <a:srgbClr val="000000"/>
                          </a:solidFill>
                          <a:miter lim="800000"/>
                          <a:headEnd/>
                          <a:tailEnd/>
                        </a:ln>
                      </wps:spPr>
                      <wps:txbx>
                        <w:txbxContent>
                          <w:p w14:paraId="24827E9D" w14:textId="77777777" w:rsidR="006A5267" w:rsidRDefault="006A5267" w:rsidP="008B4B2B">
                            <w:pPr>
                              <w:jc w:val="distribute"/>
                            </w:pPr>
                            <w:r>
                              <w:rPr>
                                <w:rFonts w:hint="eastAsia"/>
                              </w:rPr>
                              <w:t>警察署</w:t>
                            </w:r>
                          </w:p>
                        </w:txbxContent>
                      </wps:txbx>
                      <wps:bodyPr rot="0" vert="horz" wrap="square" lIns="30240" tIns="31320" rIns="30240" bIns="31320" anchor="t" anchorCtr="0" upright="1">
                        <a:noAutofit/>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shape w14:anchorId="636365CF" id="Text Box 3027" o:spid="_x0000_s1844" type="#_x0000_t202" style="position:absolute;left:0;text-align:left;margin-left:387pt;margin-top:8.5pt;width:63pt;height:27pt;z-index:2536765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">
                <v:textbox inset=".84mm,.87mm,.84mm,.87mm">
                  <w:txbxContent>
                    <w:p w14:paraId="24827E9D" w14:textId="77777777" w:rsidR="006A5267" w:rsidRDefault="006A5267" w:rsidP="008B4B2B">
                      <w:pPr>
                        <w:jc w:val="distribute"/>
                      </w:pPr>
                      <w:r>
                        <w:rPr>
                          <w:rFonts w:hint="eastAsia"/>
                        </w:rPr>
                        <w:t>警察署</w:t>
                      </w:r>
                    </w:p>
                  </w:txbxContent>
                </v:textbox>
              </v:shape>
            </w:pict>
          </mc:Fallback>
        </mc:AlternateContent>
      </w:r>
      <w:r w:rsidRPr="001D6D10">
        <w:rPr>
          <w:noProof/>
          <w:sz w:val="20"/>
        </w:rPr>
        <mc:AlternateContent>
          <mc:Choice Requires="wps">
            <w:drawing>
              <wp:anchor distT="0" distB="0" distL="114300" distR="114300" simplePos="0" relativeHeight="253665280" behindDoc="0" locked="0" layoutInCell="1" allowOverlap="1" wp14:anchorId="473A0D30" wp14:editId="1F8159CB">
                <wp:simplePos x="0" y="0"/>
                <wp:positionH relativeFrom="column">
                  <wp:posOffset>114300</wp:posOffset>
                </wp:positionH>
                <wp:positionV relativeFrom="paragraph">
                  <wp:posOffset>107950</wp:posOffset>
                </wp:positionV>
                <wp:extent cx="800100" cy="342900"/>
                <wp:effectExtent l="9525" t="12700" r="9525" b="6350"/>
                <wp:wrapNone/>
                <wp:docPr id="374" name="Text Box 30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00100" cy="342900"/>
                        </a:xfrm>
                        <a:prstGeom prst="rect">
                          <a:avLst/>
                        </a:prstGeom>
                        <a:solidFill>
                          <a:srgbClr val="FFFFFF"/>
                        </a:solidFill>
                        <a:ln w="9525">
                          <a:solidFill>
                            <a:srgbClr val="000000"/>
                          </a:solidFill>
                          <a:miter lim="800000"/>
                          <a:headEnd/>
                          <a:tailEnd/>
                        </a:ln>
                      </wps:spPr>
                      <wps:txbx>
                        <w:txbxContent>
                          <w:p w14:paraId="604E5A7C" w14:textId="77777777" w:rsidR="006A5267" w:rsidRDefault="006A5267" w:rsidP="008B4B2B">
                            <w:pPr>
                              <w:jc w:val="distribute"/>
                            </w:pPr>
                            <w:r>
                              <w:rPr>
                                <w:rFonts w:hint="eastAsia"/>
                              </w:rPr>
                              <w:t>森林組合等</w:t>
                            </w:r>
                          </w:p>
                        </w:txbxContent>
                      </wps:txbx>
                      <wps:bodyPr rot="0" vert="horz" wrap="square" lIns="30240" tIns="31320" rIns="30240" bIns="31320" anchor="t" anchorCtr="0" upright="1">
                        <a:noAutofit/>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shape w14:anchorId="473A0D30" id="Text Box 3017" o:spid="_x0000_s1845" type="#_x0000_t202" style="position:absolute;left:0;text-align:left;margin-left:9pt;margin-top:8.5pt;width:63pt;height:27pt;z-index:2536652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">
                <v:textbox inset=".84mm,.87mm,.84mm,.87mm">
                  <w:txbxContent>
                    <w:p w14:paraId="604E5A7C" w14:textId="77777777" w:rsidR="006A5267" w:rsidRDefault="006A5267" w:rsidP="008B4B2B">
                      <w:pPr>
                        <w:jc w:val="distribute"/>
                      </w:pPr>
                      <w:r>
                        <w:rPr>
                          <w:rFonts w:hint="eastAsia"/>
                        </w:rPr>
                        <w:t>森林組合等</w:t>
                      </w:r>
                    </w:p>
                  </w:txbxContent>
                </v:textbox>
              </v:shape>
            </w:pict>
          </mc:Fallback>
        </mc:AlternateContent>
      </w:r>
    </w:p>
    <w:p w14:paraId="4A5172DE" w14:textId="77777777" w:rsidR="008B4B2B" w:rsidRPr="001D6D10" w:rsidRDefault="008B4B2B" w:rsidP="008B4B2B">
      <w:pPr>
        <w:wordWrap w:val="0"/>
        <w:overflowPunct w:val="0"/>
        <w:spacing w:line="362" w:lineRule="exact"/>
        <w:ind w:right="99"/>
      </w:pPr>
      <w:r w:rsidRPr="001D6D10">
        <w:rPr>
          <w:noProof/>
          <w:sz w:val="20"/>
        </w:rPr>
        <mc:AlternateContent>
          <mc:Choice Requires="wps">
            <w:drawing>
              <wp:anchor distT="0" distB="0" distL="114300" distR="114300" simplePos="0" relativeHeight="253683712" behindDoc="0" locked="0" layoutInCell="1" allowOverlap="1" wp14:anchorId="6473FD61" wp14:editId="405E763F">
                <wp:simplePos x="0" y="0"/>
                <wp:positionH relativeFrom="column">
                  <wp:posOffset>3543300</wp:posOffset>
                </wp:positionH>
                <wp:positionV relativeFrom="paragraph">
                  <wp:posOffset>-7620</wp:posOffset>
                </wp:positionV>
                <wp:extent cx="1371600" cy="0"/>
                <wp:effectExtent l="19050" t="59055" r="19050" b="64770"/>
                <wp:wrapNone/>
                <wp:docPr id="373" name="Line 303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371600" cy="0"/>
                        </a:xfrm>
                        <a:prstGeom prst="line">
                          <a:avLst/>
                        </a:prstGeom>
                        <a:noFill/>
                        <a:ln w="9525">
                          <a:solidFill>
                            <a:srgbClr val="000000"/>
                          </a:solidFill>
                          <a:round/>
                          <a:headEnd type="arrow" w="sm" len="sm"/>
                          <a:tailEnd type="arrow" w="sm" len="sm"/>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line w14:anchorId="0F41D41F" id="Line 3033" o:spid="_x0000_s1026" style="position:absolute;left:0;text-align:left;z-index:2536837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79pt,-.6pt" to="387pt,-.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">
                <v:stroke startarrow="open" startarrowwidth="narrow" startarrowlength="short" endarrow="open" endarrowwidth="narrow" endarrowlength="short"/>
              </v:line>
            </w:pict>
          </mc:Fallback>
        </mc:AlternateContent>
      </w:r>
      <w:r w:rsidRPr="001D6D10">
        <w:rPr>
          <w:noProof/>
          <w:sz w:val="20"/>
        </w:rPr>
        <mc:AlternateContent>
          <mc:Choice Requires="wps">
            <w:drawing>
              <wp:anchor distT="0" distB="0" distL="114300" distR="114300" simplePos="0" relativeHeight="253684736" behindDoc="0" locked="0" layoutInCell="1" allowOverlap="1" wp14:anchorId="4B9D49C3" wp14:editId="02EB1CE4">
                <wp:simplePos x="0" y="0"/>
                <wp:positionH relativeFrom="column">
                  <wp:posOffset>2628900</wp:posOffset>
                </wp:positionH>
                <wp:positionV relativeFrom="paragraph">
                  <wp:posOffset>220980</wp:posOffset>
                </wp:positionV>
                <wp:extent cx="1257300" cy="0"/>
                <wp:effectExtent l="9525" t="11430" r="9525" b="7620"/>
                <wp:wrapNone/>
                <wp:docPr id="372" name="Line 303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257300" cy="0"/>
                        </a:xfrm>
                        <a:prstGeom prst="line">
                          <a:avLst/>
                        </a:prstGeom>
                        <a:noFill/>
                        <a:ln w="9525">
                          <a:solidFill>
                            <a:srgbClr val="000000"/>
                          </a:solidFill>
                          <a:prstDash val="sysDot"/>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line w14:anchorId="06CD25E1" id="Line 3034" o:spid="_x0000_s1026" style="position:absolute;left:0;text-align:left;z-index:2536847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07pt,17.4pt" to="306pt,17.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">
                <v:stroke dashstyle="1 1"/>
              </v:line>
            </w:pict>
          </mc:Fallback>
        </mc:AlternateContent>
      </w:r>
      <w:r w:rsidRPr="001D6D10">
        <w:rPr>
          <w:noProof/>
          <w:sz w:val="20"/>
        </w:rPr>
        <mc:AlternateContent>
          <mc:Choice Requires="wps">
            <w:drawing>
              <wp:anchor distT="0" distB="0" distL="114300" distR="114300" simplePos="0" relativeHeight="253686784" behindDoc="0" locked="0" layoutInCell="1" allowOverlap="1" wp14:anchorId="2B2B8F25" wp14:editId="10C00DAE">
                <wp:simplePos x="0" y="0"/>
                <wp:positionH relativeFrom="column">
                  <wp:posOffset>3543300</wp:posOffset>
                </wp:positionH>
                <wp:positionV relativeFrom="paragraph">
                  <wp:posOffset>563880</wp:posOffset>
                </wp:positionV>
                <wp:extent cx="685800" cy="0"/>
                <wp:effectExtent l="66675" t="11430" r="66675" b="17145"/>
                <wp:wrapNone/>
                <wp:docPr id="371" name="Line 303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rot="-16200000">
                          <a:off x="0" y="0"/>
                          <a:ext cx="685800" cy="0"/>
                        </a:xfrm>
                        <a:prstGeom prst="line">
                          <a:avLst/>
                        </a:prstGeom>
                        <a:noFill/>
                        <a:ln w="9525">
                          <a:solidFill>
                            <a:srgbClr val="000000"/>
                          </a:solidFill>
                          <a:prstDash val="sysDot"/>
                          <a:round/>
                          <a:headEnd/>
                          <a:tailEnd type="arrow" w="sm" len="sm"/>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line w14:anchorId="7C6A729D" id="Line 3036" o:spid="_x0000_s1026" style="position:absolute;left:0;text-align:left;rotation:90;z-index:2536867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79pt,44.4pt" to="333pt,44.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">
                <v:stroke dashstyle="1 1" endarrow="open" endarrowwidth="narrow" endarrowlength="short"/>
              </v:line>
            </w:pict>
          </mc:Fallback>
        </mc:AlternateContent>
      </w:r>
      <w:r w:rsidRPr="001D6D10">
        <w:rPr>
          <w:noProof/>
          <w:sz w:val="20"/>
        </w:rPr>
        <mc:AlternateContent>
          <mc:Choice Requires="wps">
            <w:drawing>
              <wp:anchor distT="0" distB="0" distL="114300" distR="114300" simplePos="0" relativeHeight="253687808" behindDoc="0" locked="0" layoutInCell="1" allowOverlap="1" wp14:anchorId="689C2A12" wp14:editId="32D97E31">
                <wp:simplePos x="0" y="0"/>
                <wp:positionH relativeFrom="column">
                  <wp:posOffset>4572000</wp:posOffset>
                </wp:positionH>
                <wp:positionV relativeFrom="paragraph">
                  <wp:posOffset>906780</wp:posOffset>
                </wp:positionV>
                <wp:extent cx="1371600" cy="0"/>
                <wp:effectExtent l="66675" t="20955" r="66675" b="17145"/>
                <wp:wrapNone/>
                <wp:docPr id="360" name="Line 303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rot="-16200000">
                          <a:off x="0" y="0"/>
                          <a:ext cx="1371600" cy="0"/>
                        </a:xfrm>
                        <a:prstGeom prst="line">
                          <a:avLst/>
                        </a:prstGeom>
                        <a:noFill/>
                        <a:ln w="9525">
                          <a:solidFill>
                            <a:srgbClr val="000000"/>
                          </a:solidFill>
                          <a:round/>
                          <a:headEnd type="arrow" w="sm" len="sm"/>
                          <a:tailEnd type="arrow" w="sm" len="sm"/>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line w14:anchorId="7867122D" id="Line 3037" o:spid="_x0000_s1026" style="position:absolute;left:0;text-align:left;rotation:90;z-index:2536878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5in,71.4pt" to="468pt,71.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">
                <v:stroke startarrow="open" startarrowwidth="narrow" startarrowlength="short" endarrow="open" endarrowwidth="narrow" endarrowlength="short"/>
              </v:line>
            </w:pict>
          </mc:Fallback>
        </mc:AlternateContent>
      </w:r>
      <w:r w:rsidRPr="001D6D10">
        <w:rPr>
          <w:noProof/>
          <w:sz w:val="20"/>
        </w:rPr>
        <mc:AlternateContent>
          <mc:Choice Requires="wps">
            <w:drawing>
              <wp:anchor distT="0" distB="0" distL="114300" distR="114300" simplePos="0" relativeHeight="253666304" behindDoc="0" locked="0" layoutInCell="1" allowOverlap="1" wp14:anchorId="04D45222" wp14:editId="5CCAEE33">
                <wp:simplePos x="0" y="0"/>
                <wp:positionH relativeFrom="column">
                  <wp:posOffset>114300</wp:posOffset>
                </wp:positionH>
                <wp:positionV relativeFrom="paragraph">
                  <wp:posOffset>220980</wp:posOffset>
                </wp:positionV>
                <wp:extent cx="800100" cy="342900"/>
                <wp:effectExtent l="9525" t="11430" r="9525" b="7620"/>
                <wp:wrapNone/>
                <wp:docPr id="358" name="Text Box 301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00100" cy="342900"/>
                        </a:xfrm>
                        <a:prstGeom prst="rect">
                          <a:avLst/>
                        </a:prstGeom>
                        <a:solidFill>
                          <a:srgbClr val="FFFFFF"/>
                        </a:solidFill>
                        <a:ln w="9525">
                          <a:solidFill>
                            <a:srgbClr val="000000"/>
                          </a:solidFill>
                          <a:miter lim="800000"/>
                          <a:headEnd/>
                          <a:tailEnd/>
                        </a:ln>
                      </wps:spPr>
                      <wps:txbx>
                        <w:txbxContent>
                          <w:p w14:paraId="40AA1F2C" w14:textId="77777777" w:rsidR="006A5267" w:rsidRDefault="006A5267" w:rsidP="008B4B2B">
                            <w:pPr>
                              <w:jc w:val="distribute"/>
                            </w:pPr>
                            <w:r>
                              <w:rPr>
                                <w:rFonts w:hint="eastAsia"/>
                              </w:rPr>
                              <w:t>消防団</w:t>
                            </w:r>
                          </w:p>
                        </w:txbxContent>
                      </wps:txbx>
                      <wps:bodyPr rot="0" vert="horz" wrap="square" lIns="30240" tIns="31320" rIns="30240" bIns="31320" anchor="t" anchorCtr="0" upright="1">
                        <a:noAutofit/>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shape w14:anchorId="04D45222" id="Text Box 3018" o:spid="_x0000_s1846" type="#_x0000_t202" style="position:absolute;left:0;text-align:left;margin-left:9pt;margin-top:17.4pt;width:63pt;height:27pt;z-index:2536663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">
                <v:textbox inset=".84mm,.87mm,.84mm,.87mm">
                  <w:txbxContent>
                    <w:p w14:paraId="40AA1F2C" w14:textId="77777777" w:rsidR="006A5267" w:rsidRDefault="006A5267" w:rsidP="008B4B2B">
                      <w:pPr>
                        <w:jc w:val="distribute"/>
                      </w:pPr>
                      <w:r>
                        <w:rPr>
                          <w:rFonts w:hint="eastAsia"/>
                        </w:rPr>
                        <w:t>消防団</w:t>
                      </w:r>
                    </w:p>
                  </w:txbxContent>
                </v:textbox>
              </v:shape>
            </w:pict>
          </mc:Fallback>
        </mc:AlternateContent>
      </w:r>
    </w:p>
    <w:p w14:paraId="31B09DB2" w14:textId="77777777" w:rsidR="008B4B2B" w:rsidRPr="001D6D10" w:rsidRDefault="008B4B2B" w:rsidP="008B4B2B">
      <w:pPr>
        <w:wordWrap w:val="0"/>
        <w:overflowPunct w:val="0"/>
        <w:spacing w:line="362" w:lineRule="exact"/>
        <w:ind w:right="99"/>
      </w:pPr>
      <w:r w:rsidRPr="001D6D10">
        <w:rPr>
          <w:noProof/>
          <w:sz w:val="20"/>
        </w:rPr>
        <mc:AlternateContent>
          <mc:Choice Requires="wps">
            <w:drawing>
              <wp:anchor distT="0" distB="0" distL="114300" distR="114300" simplePos="0" relativeHeight="253694976" behindDoc="0" locked="0" layoutInCell="1" allowOverlap="1" wp14:anchorId="50709BC1" wp14:editId="7020F08B">
                <wp:simplePos x="0" y="0"/>
                <wp:positionH relativeFrom="column">
                  <wp:posOffset>914400</wp:posOffset>
                </wp:positionH>
                <wp:positionV relativeFrom="paragraph">
                  <wp:posOffset>450215</wp:posOffset>
                </wp:positionV>
                <wp:extent cx="685800" cy="0"/>
                <wp:effectExtent l="66675" t="12065" r="66675" b="16510"/>
                <wp:wrapNone/>
                <wp:docPr id="149" name="Line 304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rot="-16200000">
                          <a:off x="0" y="0"/>
                          <a:ext cx="685800" cy="0"/>
                        </a:xfrm>
                        <a:prstGeom prst="line">
                          <a:avLst/>
                        </a:prstGeom>
                        <a:noFill/>
                        <a:ln w="9525">
                          <a:solidFill>
                            <a:srgbClr val="000000"/>
                          </a:solidFill>
                          <a:prstDash val="sysDot"/>
                          <a:round/>
                          <a:headEnd/>
                          <a:tailEnd type="arrow" w="sm" len="sm"/>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line w14:anchorId="1A272668" id="Line 3044" o:spid="_x0000_s1026" style="position:absolute;left:0;text-align:left;rotation:90;z-index:2536949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in,35.45pt" to="126pt,35.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">
                <v:stroke dashstyle="1 1" endarrow="open" endarrowwidth="narrow" endarrowlength="short"/>
              </v:line>
            </w:pict>
          </mc:Fallback>
        </mc:AlternateContent>
      </w:r>
      <w:r w:rsidRPr="001D6D10">
        <w:rPr>
          <w:noProof/>
          <w:sz w:val="20"/>
        </w:rPr>
        <mc:AlternateContent>
          <mc:Choice Requires="wps">
            <w:drawing>
              <wp:anchor distT="0" distB="0" distL="114300" distR="114300" simplePos="0" relativeHeight="253696000" behindDoc="0" locked="0" layoutInCell="1" allowOverlap="1" wp14:anchorId="1B38748A" wp14:editId="3AB8F26B">
                <wp:simplePos x="0" y="0"/>
                <wp:positionH relativeFrom="column">
                  <wp:posOffset>914400</wp:posOffset>
                </wp:positionH>
                <wp:positionV relativeFrom="paragraph">
                  <wp:posOffset>105410</wp:posOffset>
                </wp:positionV>
                <wp:extent cx="1714500" cy="0"/>
                <wp:effectExtent l="19050" t="67310" r="19050" b="66040"/>
                <wp:wrapNone/>
                <wp:docPr id="138" name="Line 304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714500" cy="0"/>
                        </a:xfrm>
                        <a:prstGeom prst="line">
                          <a:avLst/>
                        </a:prstGeom>
                        <a:noFill/>
                        <a:ln w="9525">
                          <a:solidFill>
                            <a:srgbClr val="000000"/>
                          </a:solidFill>
                          <a:prstDash val="sysDot"/>
                          <a:round/>
                          <a:headEnd type="arrow" w="sm" len="sm"/>
                          <a:tailEnd type="arrow" w="sm" len="sm"/>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line w14:anchorId="433F90A7" id="Line 3045" o:spid="_x0000_s1026" style="position:absolute;left:0;text-align:left;z-index:2536960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in,8.3pt" to="207pt,8.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">
                <v:stroke dashstyle="1 1" startarrow="open" startarrowwidth="narrow" startarrowlength="short" endarrow="open" endarrowwidth="narrow" endarrowlength="short"/>
              </v:line>
            </w:pict>
          </mc:Fallback>
        </mc:AlternateContent>
      </w:r>
    </w:p>
    <w:p w14:paraId="5F9E707B" w14:textId="77777777" w:rsidR="008B4B2B" w:rsidRPr="001D6D10" w:rsidRDefault="008B4B2B" w:rsidP="008B4B2B">
      <w:pPr>
        <w:wordWrap w:val="0"/>
        <w:overflowPunct w:val="0"/>
        <w:spacing w:line="362" w:lineRule="exact"/>
        <w:ind w:right="99"/>
      </w:pPr>
      <w:r w:rsidRPr="001D6D10">
        <w:rPr>
          <w:noProof/>
          <w:sz w:val="20"/>
        </w:rPr>
        <mc:AlternateContent>
          <mc:Choice Requires="wps">
            <w:drawing>
              <wp:anchor distT="0" distB="0" distL="114300" distR="114300" simplePos="0" relativeHeight="253685760" behindDoc="0" locked="0" layoutInCell="1" allowOverlap="1" wp14:anchorId="0841CE11" wp14:editId="6438B854">
                <wp:simplePos x="0" y="0"/>
                <wp:positionH relativeFrom="column">
                  <wp:posOffset>2628900</wp:posOffset>
                </wp:positionH>
                <wp:positionV relativeFrom="paragraph">
                  <wp:posOffset>104140</wp:posOffset>
                </wp:positionV>
                <wp:extent cx="914400" cy="0"/>
                <wp:effectExtent l="9525" t="8890" r="9525" b="10160"/>
                <wp:wrapNone/>
                <wp:docPr id="137" name="Line 303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9144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line w14:anchorId="715C86EB" id="Line 3035" o:spid="_x0000_s1026" style="position:absolute;left:0;text-align:left;z-index:2536857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07pt,8.2pt" to="279pt,8.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"/>
            </w:pict>
          </mc:Fallback>
        </mc:AlternateContent>
      </w:r>
    </w:p>
    <w:p w14:paraId="5C4E0F13" w14:textId="77777777" w:rsidR="008B4B2B" w:rsidRPr="001D6D10" w:rsidRDefault="008B4B2B" w:rsidP="008B4B2B">
      <w:pPr>
        <w:tabs>
          <w:tab w:val="left" w:pos="2160"/>
        </w:tabs>
        <w:wordWrap w:val="0"/>
        <w:overflowPunct w:val="0"/>
        <w:spacing w:line="362" w:lineRule="exact"/>
        <w:ind w:right="99"/>
      </w:pPr>
      <w:r w:rsidRPr="001D6D10">
        <w:rPr>
          <w:noProof/>
          <w:sz w:val="20"/>
        </w:rPr>
        <mc:AlternateContent>
          <mc:Choice Requires="wps">
            <w:drawing>
              <wp:anchor distT="0" distB="0" distL="114300" distR="114300" simplePos="0" relativeHeight="253698048" behindDoc="0" locked="0" layoutInCell="1" allowOverlap="1" wp14:anchorId="743DCB2F" wp14:editId="6F0456F7">
                <wp:simplePos x="0" y="0"/>
                <wp:positionH relativeFrom="column">
                  <wp:posOffset>-509905</wp:posOffset>
                </wp:positionH>
                <wp:positionV relativeFrom="paragraph">
                  <wp:posOffset>841375</wp:posOffset>
                </wp:positionV>
                <wp:extent cx="1477010" cy="0"/>
                <wp:effectExtent l="66675" t="7620" r="66675" b="20320"/>
                <wp:wrapNone/>
                <wp:docPr id="136" name="Line 304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rot="-16200000">
                          <a:off x="0" y="0"/>
                          <a:ext cx="1477010" cy="0"/>
                        </a:xfrm>
                        <a:prstGeom prst="line">
                          <a:avLst/>
                        </a:prstGeom>
                        <a:noFill/>
                        <a:ln w="9525">
                          <a:solidFill>
                            <a:srgbClr val="000000"/>
                          </a:solidFill>
                          <a:prstDash val="sysDot"/>
                          <a:round/>
                          <a:headEnd/>
                          <a:tailEnd type="arrow" w="sm" len="sm"/>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line w14:anchorId="0A9A8DF8" id="Line 3047" o:spid="_x0000_s1026" style="position:absolute;left:0;text-align:left;rotation:90;z-index:2536980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0.15pt,66.25pt" to="76.15pt,66.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">
                <v:stroke dashstyle="1 1" endarrow="open" endarrowwidth="narrow" endarrowlength="short"/>
              </v:line>
            </w:pict>
          </mc:Fallback>
        </mc:AlternateContent>
      </w:r>
      <w:r w:rsidRPr="001D6D10">
        <w:rPr>
          <w:noProof/>
          <w:sz w:val="20"/>
        </w:rPr>
        <mc:AlternateContent>
          <mc:Choice Requires="wps">
            <w:drawing>
              <wp:anchor distT="0" distB="0" distL="114300" distR="114300" simplePos="0" relativeHeight="253673472" behindDoc="0" locked="0" layoutInCell="1" allowOverlap="1" wp14:anchorId="4250E3F5" wp14:editId="14892384">
                <wp:simplePos x="0" y="0"/>
                <wp:positionH relativeFrom="column">
                  <wp:posOffset>3771900</wp:posOffset>
                </wp:positionH>
                <wp:positionV relativeFrom="paragraph">
                  <wp:posOffset>217170</wp:posOffset>
                </wp:positionV>
                <wp:extent cx="914400" cy="342900"/>
                <wp:effectExtent l="9525" t="7620" r="9525" b="11430"/>
                <wp:wrapNone/>
                <wp:docPr id="135" name="Text Box 302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14400" cy="342900"/>
                        </a:xfrm>
                        <a:prstGeom prst="rect">
                          <a:avLst/>
                        </a:prstGeom>
                        <a:solidFill>
                          <a:srgbClr val="FFFFFF"/>
                        </a:solidFill>
                        <a:ln w="9525">
                          <a:solidFill>
                            <a:srgbClr val="000000"/>
                          </a:solidFill>
                          <a:miter lim="800000"/>
                          <a:headEnd/>
                          <a:tailEnd/>
                        </a:ln>
                      </wps:spPr>
                      <wps:txbx>
                        <w:txbxContent>
                          <w:p w14:paraId="55635E35" w14:textId="77777777" w:rsidR="006A5267" w:rsidRDefault="006A5267" w:rsidP="008B4B2B">
                            <w:pPr>
                              <w:jc w:val="distribute"/>
                            </w:pPr>
                            <w:r>
                              <w:rPr>
                                <w:rFonts w:hint="eastAsia"/>
                              </w:rPr>
                              <w:t>隣接市町村</w:t>
                            </w:r>
                          </w:p>
                        </w:txbxContent>
                      </wps:txbx>
                      <wps:bodyPr rot="0" vert="horz" wrap="square" lIns="30240" tIns="31320" rIns="30240" bIns="31320" anchor="t" anchorCtr="0" upright="1">
                        <a:noAutofit/>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shape w14:anchorId="4250E3F5" id="Text Box 3024" o:spid="_x0000_s1847" type="#_x0000_t202" style="position:absolute;left:0;text-align:left;margin-left:297pt;margin-top:17.1pt;width:1in;height:27pt;z-index:2536734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">
                <v:textbox inset=".84mm,.87mm,.84mm,.87mm">
                  <w:txbxContent>
                    <w:p w14:paraId="55635E35" w14:textId="77777777" w:rsidR="006A5267" w:rsidRDefault="006A5267" w:rsidP="008B4B2B">
                      <w:pPr>
                        <w:jc w:val="distribute"/>
                      </w:pPr>
                      <w:r>
                        <w:rPr>
                          <w:rFonts w:hint="eastAsia"/>
                        </w:rPr>
                        <w:t>隣接市町村</w:t>
                      </w:r>
                    </w:p>
                  </w:txbxContent>
                </v:textbox>
              </v:shape>
            </w:pict>
          </mc:Fallback>
        </mc:AlternateContent>
      </w:r>
      <w:r w:rsidRPr="001D6D10">
        <w:rPr>
          <w:noProof/>
          <w:sz w:val="20"/>
        </w:rPr>
        <mc:AlternateContent>
          <mc:Choice Requires="wps">
            <w:drawing>
              <wp:anchor distT="0" distB="0" distL="114300" distR="114300" simplePos="0" relativeHeight="253700096" behindDoc="0" locked="0" layoutInCell="1" allowOverlap="1" wp14:anchorId="7AAE08DF" wp14:editId="6C243413">
                <wp:simplePos x="0" y="0"/>
                <wp:positionH relativeFrom="column">
                  <wp:posOffset>2743200</wp:posOffset>
                </wp:positionH>
                <wp:positionV relativeFrom="paragraph">
                  <wp:posOffset>561975</wp:posOffset>
                </wp:positionV>
                <wp:extent cx="685800" cy="0"/>
                <wp:effectExtent l="66675" t="19050" r="66675" b="19050"/>
                <wp:wrapNone/>
                <wp:docPr id="134" name="Line 304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rot="-16200000">
                          <a:off x="0" y="0"/>
                          <a:ext cx="685800" cy="0"/>
                        </a:xfrm>
                        <a:prstGeom prst="line">
                          <a:avLst/>
                        </a:prstGeom>
                        <a:noFill/>
                        <a:ln w="9525">
                          <a:solidFill>
                            <a:srgbClr val="000000"/>
                          </a:solidFill>
                          <a:round/>
                          <a:headEnd type="arrow" w="sm" len="sm"/>
                          <a:tailEnd type="arrow" w="sm" len="sm"/>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line w14:anchorId="7FA85080" id="Line 3049" o:spid="_x0000_s1026" style="position:absolute;left:0;text-align:left;rotation:90;z-index:2537000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in,44.25pt" to="270pt,44.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">
                <v:stroke startarrow="open" startarrowwidth="narrow" startarrowlength="short" endarrow="open" endarrowwidth="narrow" endarrowlength="short"/>
              </v:line>
            </w:pict>
          </mc:Fallback>
        </mc:AlternateContent>
      </w:r>
      <w:r w:rsidRPr="001D6D10">
        <w:rPr>
          <w:noProof/>
          <w:sz w:val="20"/>
        </w:rPr>
        <mc:AlternateContent>
          <mc:Choice Requires="wps">
            <w:drawing>
              <wp:anchor distT="0" distB="0" distL="114300" distR="114300" simplePos="0" relativeHeight="253697024" behindDoc="0" locked="0" layoutInCell="1" allowOverlap="1" wp14:anchorId="26CA666F" wp14:editId="43EEB4CA">
                <wp:simplePos x="0" y="0"/>
                <wp:positionH relativeFrom="column">
                  <wp:posOffset>226695</wp:posOffset>
                </wp:positionH>
                <wp:positionV relativeFrom="paragraph">
                  <wp:posOffset>102870</wp:posOffset>
                </wp:positionV>
                <wp:extent cx="1028700" cy="0"/>
                <wp:effectExtent l="7620" t="7620" r="11430" b="11430"/>
                <wp:wrapNone/>
                <wp:docPr id="133" name="Line 304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1028700" cy="0"/>
                        </a:xfrm>
                        <a:prstGeom prst="line">
                          <a:avLst/>
                        </a:prstGeom>
                        <a:noFill/>
                        <a:ln w="9525">
                          <a:solidFill>
                            <a:srgbClr val="000000"/>
                          </a:solidFill>
                          <a:prstDash val="sysDot"/>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line w14:anchorId="3C803DD7" id="Line 3046" o:spid="_x0000_s1026" style="position:absolute;left:0;text-align:left;flip:x;z-index:2536970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7.85pt,8.1pt" to="98.85pt,8.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">
                <v:stroke dashstyle="1 1"/>
              </v:line>
            </w:pict>
          </mc:Fallback>
        </mc:AlternateContent>
      </w:r>
      <w:r w:rsidRPr="001D6D10">
        <w:rPr>
          <w:rFonts w:hint="eastAsia"/>
        </w:rPr>
        <w:t>②</w:t>
      </w:r>
      <w:r w:rsidRPr="001D6D10">
        <w:rPr>
          <w:rFonts w:hint="eastAsia"/>
        </w:rPr>
        <w:tab/>
      </w:r>
      <w:r w:rsidRPr="001D6D10">
        <w:rPr>
          <w:rFonts w:hint="eastAsia"/>
        </w:rPr>
        <w:t>①</w:t>
      </w:r>
    </w:p>
    <w:p w14:paraId="39A5376D" w14:textId="77777777" w:rsidR="008B4B2B" w:rsidRPr="001D6D10" w:rsidRDefault="008B4B2B" w:rsidP="008B4B2B">
      <w:pPr>
        <w:wordWrap w:val="0"/>
        <w:overflowPunct w:val="0"/>
        <w:spacing w:line="362" w:lineRule="exact"/>
        <w:ind w:right="99"/>
      </w:pPr>
      <w:r w:rsidRPr="001D6D10">
        <w:rPr>
          <w:noProof/>
          <w:sz w:val="20"/>
        </w:rPr>
        <mc:AlternateContent>
          <mc:Choice Requires="wps">
            <w:drawing>
              <wp:anchor distT="0" distB="0" distL="114300" distR="114300" simplePos="0" relativeHeight="253667328" behindDoc="0" locked="0" layoutInCell="1" allowOverlap="1" wp14:anchorId="4F4FC29D" wp14:editId="379A74D6">
                <wp:simplePos x="0" y="0"/>
                <wp:positionH relativeFrom="column">
                  <wp:posOffset>342900</wp:posOffset>
                </wp:positionH>
                <wp:positionV relativeFrom="paragraph">
                  <wp:posOffset>101600</wp:posOffset>
                </wp:positionV>
                <wp:extent cx="1714500" cy="342900"/>
                <wp:effectExtent l="9525" t="6350" r="9525" b="12700"/>
                <wp:wrapNone/>
                <wp:docPr id="132" name="Text Box 301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14500" cy="342900"/>
                        </a:xfrm>
                        <a:prstGeom prst="rect">
                          <a:avLst/>
                        </a:prstGeom>
                        <a:solidFill>
                          <a:srgbClr val="FFFFFF"/>
                        </a:solidFill>
                        <a:ln w="9525">
                          <a:solidFill>
                            <a:srgbClr val="000000"/>
                          </a:solidFill>
                          <a:miter lim="800000"/>
                          <a:headEnd/>
                          <a:tailEnd/>
                        </a:ln>
                      </wps:spPr>
                      <wps:txbx>
                        <w:txbxContent>
                          <w:p w14:paraId="14BA2E66" w14:textId="77777777" w:rsidR="006A5267" w:rsidRDefault="006A5267" w:rsidP="008B4B2B">
                            <w:pPr>
                              <w:jc w:val="distribute"/>
                            </w:pPr>
                            <w:r>
                              <w:rPr>
                                <w:rFonts w:hint="eastAsia"/>
                              </w:rPr>
                              <w:t>大阪府農と緑の総合事務所</w:t>
                            </w:r>
                          </w:p>
                        </w:txbxContent>
                      </wps:txbx>
                      <wps:bodyPr rot="0" vert="horz" wrap="square" lIns="30240" tIns="31320" rIns="30240" bIns="31320" anchor="t" anchorCtr="0" upright="1">
                        <a:noAutofit/>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shape w14:anchorId="4F4FC29D" id="Text Box 3019" o:spid="_x0000_s1848" type="#_x0000_t202" style="position:absolute;left:0;text-align:left;margin-left:27pt;margin-top:8pt;width:135pt;height:27pt;z-index:2536673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">
                <v:textbox inset=".84mm,.87mm,.84mm,.87mm">
                  <w:txbxContent>
                    <w:p w14:paraId="14BA2E66" w14:textId="77777777" w:rsidR="006A5267" w:rsidRDefault="006A5267" w:rsidP="008B4B2B">
                      <w:pPr>
                        <w:jc w:val="distribute"/>
                      </w:pPr>
                      <w:r>
                        <w:rPr>
                          <w:rFonts w:hint="eastAsia"/>
                        </w:rPr>
                        <w:t>大阪府農と緑の総合事務所</w:t>
                      </w:r>
                    </w:p>
                  </w:txbxContent>
                </v:textbox>
              </v:shape>
            </w:pict>
          </mc:Fallback>
        </mc:AlternateContent>
      </w:r>
    </w:p>
    <w:p w14:paraId="124C1D2D" w14:textId="77777777" w:rsidR="008B4B2B" w:rsidRPr="001D6D10" w:rsidRDefault="008B4B2B" w:rsidP="008B4B2B">
      <w:pPr>
        <w:wordWrap w:val="0"/>
        <w:overflowPunct w:val="0"/>
        <w:spacing w:line="362" w:lineRule="exact"/>
        <w:ind w:right="99"/>
      </w:pPr>
      <w:r w:rsidRPr="001D6D10">
        <w:rPr>
          <w:noProof/>
          <w:sz w:val="20"/>
        </w:rPr>
        <mc:AlternateContent>
          <mc:Choice Requires="wps">
            <w:drawing>
              <wp:anchor distT="0" distB="0" distL="114300" distR="114300" simplePos="0" relativeHeight="253701120" behindDoc="0" locked="0" layoutInCell="1" allowOverlap="1" wp14:anchorId="462216A8" wp14:editId="3B810C36">
                <wp:simplePos x="0" y="0"/>
                <wp:positionH relativeFrom="column">
                  <wp:posOffset>3714750</wp:posOffset>
                </wp:positionH>
                <wp:positionV relativeFrom="paragraph">
                  <wp:posOffset>271780</wp:posOffset>
                </wp:positionV>
                <wp:extent cx="342900" cy="0"/>
                <wp:effectExtent l="66675" t="14605" r="66675" b="13970"/>
                <wp:wrapNone/>
                <wp:docPr id="131" name="Line 305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rot="-27000000">
                          <a:off x="0" y="0"/>
                          <a:ext cx="342900" cy="0"/>
                        </a:xfrm>
                        <a:prstGeom prst="line">
                          <a:avLst/>
                        </a:prstGeom>
                        <a:noFill/>
                        <a:ln w="9525">
                          <a:solidFill>
                            <a:srgbClr val="000000"/>
                          </a:solidFill>
                          <a:prstDash val="sysDot"/>
                          <a:round/>
                          <a:headEnd/>
                          <a:tailEnd type="arrow" w="sm" len="sm"/>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line w14:anchorId="1EB34C4B" id="Line 3050" o:spid="_x0000_s1026" style="position:absolute;left:0;text-align:left;rotation:-90;z-index:2537011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92.5pt,21.4pt" to="319.5pt,21.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">
                <v:stroke dashstyle="1 1" endarrow="open" endarrowwidth="narrow" endarrowlength="short"/>
              </v:line>
            </w:pict>
          </mc:Fallback>
        </mc:AlternateContent>
      </w:r>
      <w:r w:rsidRPr="001D6D10">
        <w:rPr>
          <w:noProof/>
          <w:sz w:val="20"/>
        </w:rPr>
        <mc:AlternateContent>
          <mc:Choice Requires="wps">
            <w:drawing>
              <wp:anchor distT="0" distB="0" distL="114300" distR="114300" simplePos="0" relativeHeight="253692928" behindDoc="0" locked="0" layoutInCell="1" allowOverlap="1" wp14:anchorId="406B21A0" wp14:editId="60BE3E9E">
                <wp:simplePos x="0" y="0"/>
                <wp:positionH relativeFrom="column">
                  <wp:posOffset>1141095</wp:posOffset>
                </wp:positionH>
                <wp:positionV relativeFrom="paragraph">
                  <wp:posOffset>328930</wp:posOffset>
                </wp:positionV>
                <wp:extent cx="228600" cy="0"/>
                <wp:effectExtent l="64770" t="14605" r="59055" b="23495"/>
                <wp:wrapNone/>
                <wp:docPr id="130" name="Line 304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rot="-5400000">
                          <a:off x="0" y="0"/>
                          <a:ext cx="228600" cy="0"/>
                        </a:xfrm>
                        <a:prstGeom prst="line">
                          <a:avLst/>
                        </a:prstGeom>
                        <a:noFill/>
                        <a:ln w="9525">
                          <a:solidFill>
                            <a:srgbClr val="000000"/>
                          </a:solidFill>
                          <a:prstDash val="sysDot"/>
                          <a:round/>
                          <a:headEnd type="arrow" w="sm" len="sm"/>
                          <a:tailEnd type="arrow" w="sm" len="sm"/>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line w14:anchorId="548D7FA6" id="Line 3042" o:spid="_x0000_s1026" style="position:absolute;left:0;text-align:left;rotation:-90;z-index:2536929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89.85pt,25.9pt" to="107.85pt,25.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">
                <v:stroke dashstyle="1 1" startarrow="open" startarrowwidth="narrow" startarrowlength="short" endarrow="open" endarrowwidth="narrow" endarrowlength="short"/>
              </v:line>
            </w:pict>
          </mc:Fallback>
        </mc:AlternateContent>
      </w:r>
    </w:p>
    <w:p w14:paraId="0D081341" w14:textId="77777777" w:rsidR="008B4B2B" w:rsidRPr="001D6D10" w:rsidRDefault="008B4B2B" w:rsidP="008B4B2B">
      <w:pPr>
        <w:wordWrap w:val="0"/>
        <w:overflowPunct w:val="0"/>
        <w:spacing w:line="362" w:lineRule="exact"/>
        <w:ind w:right="99"/>
      </w:pPr>
      <w:r w:rsidRPr="001D6D10">
        <w:rPr>
          <w:noProof/>
          <w:sz w:val="20"/>
        </w:rPr>
        <mc:AlternateContent>
          <mc:Choice Requires="wps">
            <w:drawing>
              <wp:anchor distT="0" distB="0" distL="114300" distR="114300" simplePos="0" relativeHeight="253668352" behindDoc="0" locked="0" layoutInCell="1" allowOverlap="1" wp14:anchorId="39B78165" wp14:editId="7D752CC7">
                <wp:simplePos x="0" y="0"/>
                <wp:positionH relativeFrom="column">
                  <wp:posOffset>256540</wp:posOffset>
                </wp:positionH>
                <wp:positionV relativeFrom="paragraph">
                  <wp:posOffset>210820</wp:posOffset>
                </wp:positionV>
                <wp:extent cx="1943100" cy="342900"/>
                <wp:effectExtent l="0" t="0" r="19050" b="19050"/>
                <wp:wrapNone/>
                <wp:docPr id="95" name="Text Box 302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43100" cy="342900"/>
                        </a:xfrm>
                        <a:prstGeom prst="rect">
                          <a:avLst/>
                        </a:prstGeom>
                        <a:solidFill>
                          <a:srgbClr val="FFFFFF"/>
                        </a:solidFill>
                        <a:ln w="9525">
                          <a:solidFill>
                            <a:srgbClr val="000000"/>
                          </a:solidFill>
                          <a:miter lim="800000"/>
                          <a:headEnd/>
                          <a:tailEnd/>
                        </a:ln>
                      </wps:spPr>
                      <wps:txbx>
                        <w:txbxContent>
                          <w:p w14:paraId="27790159" w14:textId="77777777" w:rsidR="006A5267" w:rsidRPr="00DD6C3E" w:rsidRDefault="006A5267" w:rsidP="008B4B2B">
                            <w:pPr>
                              <w:jc w:val="distribute"/>
                            </w:pPr>
                            <w:r w:rsidRPr="00223343">
                              <w:rPr>
                                <w:rFonts w:hint="eastAsia"/>
                              </w:rPr>
                              <w:t>大阪府みどり推進室</w:t>
                            </w:r>
                          </w:p>
                        </w:txbxContent>
                      </wps:txbx>
                      <wps:bodyPr rot="0" vert="horz" wrap="square" lIns="30240" tIns="31320" rIns="30240" bIns="31320" anchor="t" anchorCtr="0" upright="1">
                        <a:noAutofit/>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shape w14:anchorId="39B78165" id="Text Box 3020" o:spid="_x0000_s1849" type="#_x0000_t202" style="position:absolute;left:0;text-align:left;margin-left:20.2pt;margin-top:16.6pt;width:153pt;height:27pt;z-index:2536683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">
                <v:textbox inset=".84mm,.87mm,.84mm,.87mm">
                  <w:txbxContent>
                    <w:p w14:paraId="27790159" w14:textId="77777777" w:rsidR="006A5267" w:rsidRPr="00DD6C3E" w:rsidRDefault="006A5267" w:rsidP="008B4B2B">
                      <w:pPr>
                        <w:jc w:val="distribute"/>
                      </w:pPr>
                      <w:r w:rsidRPr="00223343">
                        <w:rPr>
                          <w:rFonts w:hint="eastAsia"/>
                        </w:rPr>
                        <w:t>大阪府みどり推進室</w:t>
                      </w:r>
                    </w:p>
                  </w:txbxContent>
                </v:textbox>
              </v:shape>
            </w:pict>
          </mc:Fallback>
        </mc:AlternateContent>
      </w:r>
      <w:r w:rsidRPr="001D6D10">
        <w:rPr>
          <w:noProof/>
          <w:sz w:val="20"/>
        </w:rPr>
        <mc:AlternateContent>
          <mc:Choice Requires="wps">
            <w:drawing>
              <wp:anchor distT="0" distB="0" distL="114300" distR="114300" simplePos="0" relativeHeight="253674496" behindDoc="0" locked="0" layoutInCell="1" allowOverlap="1" wp14:anchorId="240DFEB6" wp14:editId="1343D864">
                <wp:simplePos x="0" y="0"/>
                <wp:positionH relativeFrom="column">
                  <wp:posOffset>2514600</wp:posOffset>
                </wp:positionH>
                <wp:positionV relativeFrom="paragraph">
                  <wp:posOffset>213360</wp:posOffset>
                </wp:positionV>
                <wp:extent cx="1485900" cy="342900"/>
                <wp:effectExtent l="9525" t="13335" r="9525" b="5715"/>
                <wp:wrapNone/>
                <wp:docPr id="129" name="Text Box 302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85900" cy="342900"/>
                        </a:xfrm>
                        <a:prstGeom prst="rect">
                          <a:avLst/>
                        </a:prstGeom>
                        <a:solidFill>
                          <a:srgbClr val="FFFFFF"/>
                        </a:solidFill>
                        <a:ln w="9525">
                          <a:solidFill>
                            <a:srgbClr val="000000"/>
                          </a:solidFill>
                          <a:miter lim="800000"/>
                          <a:headEnd/>
                          <a:tailEnd/>
                        </a:ln>
                      </wps:spPr>
                      <wps:txbx>
                        <w:txbxContent>
                          <w:p w14:paraId="66C6A190" w14:textId="77777777" w:rsidR="006A5267" w:rsidRDefault="006A5267" w:rsidP="008B4B2B">
                            <w:pPr>
                              <w:jc w:val="distribute"/>
                            </w:pPr>
                            <w:r>
                              <w:rPr>
                                <w:rFonts w:hint="eastAsia"/>
                              </w:rPr>
                              <w:t>大阪府危機管理室</w:t>
                            </w:r>
                          </w:p>
                        </w:txbxContent>
                      </wps:txbx>
                      <wps:bodyPr rot="0" vert="horz" wrap="square" lIns="30240" tIns="31320" rIns="30240" bIns="31320" anchor="t" anchorCtr="0" upright="1">
                        <a:noAutofit/>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shape w14:anchorId="240DFEB6" id="Text Box 3025" o:spid="_x0000_s1850" type="#_x0000_t202" style="position:absolute;left:0;text-align:left;margin-left:198pt;margin-top:16.8pt;width:117pt;height:27pt;z-index:2536744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">
                <v:textbox inset=".84mm,.87mm,.84mm,.87mm">
                  <w:txbxContent>
                    <w:p w14:paraId="66C6A190" w14:textId="77777777" w:rsidR="006A5267" w:rsidRDefault="006A5267" w:rsidP="008B4B2B">
                      <w:pPr>
                        <w:jc w:val="distribute"/>
                      </w:pPr>
                      <w:r>
                        <w:rPr>
                          <w:rFonts w:hint="eastAsia"/>
                        </w:rPr>
                        <w:t>大阪府危機管理室</w:t>
                      </w:r>
                    </w:p>
                  </w:txbxContent>
                </v:textbox>
              </v:shape>
            </w:pict>
          </mc:Fallback>
        </mc:AlternateContent>
      </w:r>
      <w:r w:rsidRPr="001D6D10">
        <w:rPr>
          <w:noProof/>
          <w:sz w:val="20"/>
        </w:rPr>
        <mc:AlternateContent>
          <mc:Choice Requires="wps">
            <w:drawing>
              <wp:anchor distT="0" distB="0" distL="114300" distR="114300" simplePos="0" relativeHeight="253677568" behindDoc="0" locked="0" layoutInCell="1" allowOverlap="1" wp14:anchorId="11A7E7C7" wp14:editId="2CD11ED0">
                <wp:simplePos x="0" y="0"/>
                <wp:positionH relativeFrom="column">
                  <wp:posOffset>4343400</wp:posOffset>
                </wp:positionH>
                <wp:positionV relativeFrom="paragraph">
                  <wp:posOffset>213360</wp:posOffset>
                </wp:positionV>
                <wp:extent cx="1371600" cy="342900"/>
                <wp:effectExtent l="9525" t="13335" r="9525" b="5715"/>
                <wp:wrapNone/>
                <wp:docPr id="128" name="Text Box 302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71600" cy="342900"/>
                        </a:xfrm>
                        <a:prstGeom prst="rect">
                          <a:avLst/>
                        </a:prstGeom>
                        <a:solidFill>
                          <a:srgbClr val="FFFFFF"/>
                        </a:solidFill>
                        <a:ln w="9525">
                          <a:solidFill>
                            <a:srgbClr val="000000"/>
                          </a:solidFill>
                          <a:miter lim="800000"/>
                          <a:headEnd/>
                          <a:tailEnd/>
                        </a:ln>
                      </wps:spPr>
                      <wps:txbx>
                        <w:txbxContent>
                          <w:p w14:paraId="0C887D00" w14:textId="77777777" w:rsidR="006A5267" w:rsidRDefault="006A5267" w:rsidP="008B4B2B">
                            <w:pPr>
                              <w:jc w:val="distribute"/>
                            </w:pPr>
                            <w:r>
                              <w:rPr>
                                <w:rFonts w:hint="eastAsia"/>
                              </w:rPr>
                              <w:t>大阪府警察本部</w:t>
                            </w:r>
                          </w:p>
                        </w:txbxContent>
                      </wps:txbx>
                      <wps:bodyPr rot="0" vert="horz" wrap="square" lIns="30240" tIns="31320" rIns="30240" bIns="31320" anchor="t" anchorCtr="0" upright="1">
                        <a:noAutofit/>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shape w14:anchorId="11A7E7C7" id="Text Box 3028" o:spid="_x0000_s1851" type="#_x0000_t202" style="position:absolute;left:0;text-align:left;margin-left:342pt;margin-top:16.8pt;width:108pt;height:27pt;z-index:2536775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">
                <v:textbox inset=".84mm,.87mm,.84mm,.87mm">
                  <w:txbxContent>
                    <w:p w14:paraId="0C887D00" w14:textId="77777777" w:rsidR="006A5267" w:rsidRDefault="006A5267" w:rsidP="008B4B2B">
                      <w:pPr>
                        <w:jc w:val="distribute"/>
                      </w:pPr>
                      <w:r>
                        <w:rPr>
                          <w:rFonts w:hint="eastAsia"/>
                        </w:rPr>
                        <w:t>大阪府警察本部</w:t>
                      </w:r>
                    </w:p>
                  </w:txbxContent>
                </v:textbox>
              </v:shape>
            </w:pict>
          </mc:Fallback>
        </mc:AlternateContent>
      </w:r>
    </w:p>
    <w:p w14:paraId="09D7582B" w14:textId="77777777" w:rsidR="008B4B2B" w:rsidRPr="001D6D10" w:rsidRDefault="008B4B2B" w:rsidP="008B4B2B">
      <w:pPr>
        <w:wordWrap w:val="0"/>
        <w:overflowPunct w:val="0"/>
        <w:spacing w:line="362" w:lineRule="exact"/>
        <w:ind w:right="99"/>
      </w:pPr>
      <w:r w:rsidRPr="001D6D10">
        <w:rPr>
          <w:noProof/>
          <w:sz w:val="20"/>
        </w:rPr>
        <mc:AlternateContent>
          <mc:Choice Requires="wps">
            <w:drawing>
              <wp:anchor distT="0" distB="0" distL="114300" distR="114300" simplePos="0" relativeHeight="253699072" behindDoc="0" locked="0" layoutInCell="1" allowOverlap="1" wp14:anchorId="72FC7B48" wp14:editId="6D97EB06">
                <wp:simplePos x="0" y="0"/>
                <wp:positionH relativeFrom="column">
                  <wp:posOffset>2256789</wp:posOffset>
                </wp:positionH>
                <wp:positionV relativeFrom="paragraph">
                  <wp:posOffset>161924</wp:posOffset>
                </wp:positionV>
                <wp:extent cx="257175" cy="1"/>
                <wp:effectExtent l="38100" t="76200" r="28575" b="95250"/>
                <wp:wrapNone/>
                <wp:docPr id="93" name="Line 304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257175" cy="1"/>
                        </a:xfrm>
                        <a:prstGeom prst="line">
                          <a:avLst/>
                        </a:prstGeom>
                        <a:noFill/>
                        <a:ln w="9525">
                          <a:solidFill>
                            <a:srgbClr val="000000"/>
                          </a:solidFill>
                          <a:round/>
                          <a:headEnd type="arrow" w="sm" len="sm"/>
                          <a:tailEnd type="arrow" w="sm" len="sm"/>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line w14:anchorId="3FDD5DFB" id="Line 3048" o:spid="_x0000_s1026" style="position:absolute;left:0;text-align:left;flip:y;z-index:2536990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77.7pt,12.75pt" to="197.95pt,12.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">
                <v:stroke startarrow="open" startarrowwidth="narrow" startarrowlength="short" endarrow="open" endarrowwidth="narrow" endarrowlength="short"/>
              </v:line>
            </w:pict>
          </mc:Fallback>
        </mc:AlternateContent>
      </w:r>
      <w:r w:rsidRPr="001D6D10">
        <w:rPr>
          <w:noProof/>
          <w:sz w:val="20"/>
        </w:rPr>
        <mc:AlternateContent>
          <mc:Choice Requires="wps">
            <w:drawing>
              <wp:anchor distT="0" distB="0" distL="114300" distR="114300" simplePos="0" relativeHeight="253688832" behindDoc="0" locked="0" layoutInCell="1" allowOverlap="1" wp14:anchorId="6CB5A7F6" wp14:editId="782040BC">
                <wp:simplePos x="0" y="0"/>
                <wp:positionH relativeFrom="column">
                  <wp:posOffset>4000500</wp:posOffset>
                </wp:positionH>
                <wp:positionV relativeFrom="paragraph">
                  <wp:posOffset>161925</wp:posOffset>
                </wp:positionV>
                <wp:extent cx="342900" cy="0"/>
                <wp:effectExtent l="19050" t="66675" r="19050" b="66675"/>
                <wp:wrapNone/>
                <wp:docPr id="94" name="Line 303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rot="-21600000">
                          <a:off x="0" y="0"/>
                          <a:ext cx="342900" cy="0"/>
                        </a:xfrm>
                        <a:prstGeom prst="line">
                          <a:avLst/>
                        </a:prstGeom>
                        <a:noFill/>
                        <a:ln w="9525">
                          <a:solidFill>
                            <a:srgbClr val="000000"/>
                          </a:solidFill>
                          <a:round/>
                          <a:headEnd type="arrow" w="sm" len="sm"/>
                          <a:tailEnd type="arrow" w="sm" len="sm"/>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line w14:anchorId="6FD1E501" id="Line 3038" o:spid="_x0000_s1026" style="position:absolute;left:0;text-align:left;z-index:2536888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15pt,12.75pt" to="342pt,12.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">
                <v:stroke startarrow="open" startarrowwidth="narrow" startarrowlength="short" endarrow="open" endarrowwidth="narrow" endarrowlength="short"/>
              </v:line>
            </w:pict>
          </mc:Fallback>
        </mc:AlternateContent>
      </w:r>
    </w:p>
    <w:p w14:paraId="255E1BE6" w14:textId="77777777" w:rsidR="008B4B2B" w:rsidRPr="001D6D10" w:rsidRDefault="008B4B2B" w:rsidP="008B4B2B">
      <w:pPr>
        <w:wordWrap w:val="0"/>
        <w:overflowPunct w:val="0"/>
        <w:spacing w:line="362" w:lineRule="exact"/>
        <w:ind w:right="99"/>
      </w:pPr>
      <w:r w:rsidRPr="001D6D10">
        <w:rPr>
          <w:noProof/>
          <w:sz w:val="20"/>
        </w:rPr>
        <mc:AlternateContent>
          <mc:Choice Requires="wps">
            <w:drawing>
              <wp:anchor distT="0" distB="0" distL="114300" distR="114300" simplePos="0" relativeHeight="253691904" behindDoc="0" locked="0" layoutInCell="1" allowOverlap="1" wp14:anchorId="729A3F20" wp14:editId="08605A5F">
                <wp:simplePos x="0" y="0"/>
                <wp:positionH relativeFrom="column">
                  <wp:posOffset>1939290</wp:posOffset>
                </wp:positionH>
                <wp:positionV relativeFrom="paragraph">
                  <wp:posOffset>-146050</wp:posOffset>
                </wp:positionV>
                <wp:extent cx="336550" cy="797560"/>
                <wp:effectExtent l="41910" t="65405" r="36830" b="64770"/>
                <wp:wrapNone/>
                <wp:docPr id="92" name="Line 304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rot="-27000000">
                          <a:off x="0" y="0"/>
                          <a:ext cx="336550" cy="797560"/>
                        </a:xfrm>
                        <a:prstGeom prst="line">
                          <a:avLst/>
                        </a:prstGeom>
                        <a:noFill/>
                        <a:ln w="9525">
                          <a:solidFill>
                            <a:srgbClr val="000000"/>
                          </a:solidFill>
                          <a:prstDash val="sysDot"/>
                          <a:round/>
                          <a:headEnd type="arrow" w="sm" len="sm"/>
                          <a:tailEnd type="arrow" w="sm" len="sm"/>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line w14:anchorId="662864F9" id="Line 3041" o:spid="_x0000_s1026" style="position:absolute;left:0;text-align:left;rotation:-90;z-index:2536919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52.7pt,-11.5pt" to="179.2pt,51.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">
                <v:stroke dashstyle="1 1" startarrow="open" startarrowwidth="narrow" startarrowlength="short" endarrow="open" endarrowwidth="narrow" endarrowlength="short"/>
              </v:line>
            </w:pict>
          </mc:Fallback>
        </mc:AlternateContent>
      </w:r>
      <w:r w:rsidRPr="001D6D10">
        <w:rPr>
          <w:noProof/>
          <w:sz w:val="20"/>
        </w:rPr>
        <mc:AlternateContent>
          <mc:Choice Requires="wps">
            <w:drawing>
              <wp:anchor distT="0" distB="0" distL="114300" distR="114300" simplePos="0" relativeHeight="253689856" behindDoc="0" locked="0" layoutInCell="1" allowOverlap="1" wp14:anchorId="70CB73B0" wp14:editId="73779B8A">
                <wp:simplePos x="0" y="0"/>
                <wp:positionH relativeFrom="column">
                  <wp:posOffset>4004945</wp:posOffset>
                </wp:positionH>
                <wp:positionV relativeFrom="paragraph">
                  <wp:posOffset>113030</wp:posOffset>
                </wp:positionV>
                <wp:extent cx="690880" cy="317500"/>
                <wp:effectExtent l="42545" t="65405" r="38100" b="64770"/>
                <wp:wrapNone/>
                <wp:docPr id="91" name="Line 303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rot="-21600000">
                          <a:off x="0" y="0"/>
                          <a:ext cx="690880" cy="317500"/>
                        </a:xfrm>
                        <a:prstGeom prst="line">
                          <a:avLst/>
                        </a:prstGeom>
                        <a:noFill/>
                        <a:ln w="9525">
                          <a:solidFill>
                            <a:srgbClr val="000000"/>
                          </a:solidFill>
                          <a:prstDash val="sysDot"/>
                          <a:round/>
                          <a:headEnd type="arrow" w="sm" len="sm"/>
                          <a:tailEnd type="arrow" w="sm" len="sm"/>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line w14:anchorId="60C4CFCD" id="Line 3039" o:spid="_x0000_s1026" style="position:absolute;left:0;text-align:left;z-index:2536898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15.35pt,8.9pt" to="369.75pt,33.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">
                <v:stroke dashstyle="1 1" startarrow="open" startarrowwidth="narrow" startarrowlength="short" endarrow="open" endarrowwidth="narrow" endarrowlength="short"/>
              </v:line>
            </w:pict>
          </mc:Fallback>
        </mc:AlternateContent>
      </w:r>
      <w:r w:rsidRPr="001D6D10">
        <w:rPr>
          <w:noProof/>
          <w:sz w:val="20"/>
        </w:rPr>
        <mc:AlternateContent>
          <mc:Choice Requires="wps">
            <w:drawing>
              <wp:anchor distT="0" distB="0" distL="114300" distR="114300" simplePos="0" relativeHeight="253704192" behindDoc="0" locked="0" layoutInCell="1" allowOverlap="1" wp14:anchorId="61867EEC" wp14:editId="4E9703B4">
                <wp:simplePos x="0" y="0"/>
                <wp:positionH relativeFrom="column">
                  <wp:posOffset>3375025</wp:posOffset>
                </wp:positionH>
                <wp:positionV relativeFrom="paragraph">
                  <wp:posOffset>267335</wp:posOffset>
                </wp:positionV>
                <wp:extent cx="336550" cy="0"/>
                <wp:effectExtent l="66675" t="22860" r="66675" b="21590"/>
                <wp:wrapNone/>
                <wp:docPr id="90" name="Line 305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rot="-27000000">
                          <a:off x="0" y="0"/>
                          <a:ext cx="336550" cy="0"/>
                        </a:xfrm>
                        <a:prstGeom prst="line">
                          <a:avLst/>
                        </a:prstGeom>
                        <a:noFill/>
                        <a:ln w="9525">
                          <a:solidFill>
                            <a:srgbClr val="000000"/>
                          </a:solidFill>
                          <a:prstDash val="sysDot"/>
                          <a:round/>
                          <a:headEnd type="arrow" w="sm" len="sm"/>
                          <a:tailEnd type="arrow" w="sm" len="sm"/>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line w14:anchorId="3967E430" id="Line 3053" o:spid="_x0000_s1026" style="position:absolute;left:0;text-align:left;rotation:-90;z-index:253704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65.75pt,21.05pt" to="292.25pt,21.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">
                <v:stroke dashstyle="1 1" startarrow="open" startarrowwidth="narrow" startarrowlength="short" endarrow="open" endarrowwidth="narrow" endarrowlength="short"/>
              </v:line>
            </w:pict>
          </mc:Fallback>
        </mc:AlternateContent>
      </w:r>
      <w:r w:rsidRPr="001D6D10">
        <w:rPr>
          <w:noProof/>
          <w:sz w:val="20"/>
        </w:rPr>
        <mc:AlternateContent>
          <mc:Choice Requires="wps">
            <w:drawing>
              <wp:anchor distT="0" distB="0" distL="114300" distR="114300" simplePos="0" relativeHeight="253690880" behindDoc="0" locked="0" layoutInCell="1" allowOverlap="1" wp14:anchorId="088027C0" wp14:editId="1275F2ED">
                <wp:simplePos x="0" y="0"/>
                <wp:positionH relativeFrom="column">
                  <wp:posOffset>2235835</wp:posOffset>
                </wp:positionH>
                <wp:positionV relativeFrom="paragraph">
                  <wp:posOffset>492125</wp:posOffset>
                </wp:positionV>
                <wp:extent cx="786130" cy="0"/>
                <wp:effectExtent l="66675" t="22860" r="66675" b="19685"/>
                <wp:wrapNone/>
                <wp:docPr id="89" name="Line 304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rot="-27000000">
                          <a:off x="0" y="0"/>
                          <a:ext cx="786130" cy="0"/>
                        </a:xfrm>
                        <a:prstGeom prst="line">
                          <a:avLst/>
                        </a:prstGeom>
                        <a:noFill/>
                        <a:ln w="9525">
                          <a:solidFill>
                            <a:srgbClr val="000000"/>
                          </a:solidFill>
                          <a:prstDash val="sysDot"/>
                          <a:round/>
                          <a:headEnd type="arrow" w="sm" len="sm"/>
                          <a:tailEnd type="arrow" w="sm" len="sm"/>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line w14:anchorId="73499AAB" id="Line 3040" o:spid="_x0000_s1026" style="position:absolute;left:0;text-align:left;rotation:-90;z-index:2536908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76.05pt,38.75pt" to="237.95pt,38.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">
                <v:stroke dashstyle="1 1" startarrow="open" startarrowwidth="narrow" startarrowlength="short" endarrow="open" endarrowwidth="narrow" endarrowlength="short"/>
              </v:line>
            </w:pict>
          </mc:Fallback>
        </mc:AlternateContent>
      </w:r>
      <w:r w:rsidRPr="001D6D10">
        <w:rPr>
          <w:noProof/>
          <w:sz w:val="20"/>
        </w:rPr>
        <mc:AlternateContent>
          <mc:Choice Requires="wps">
            <w:drawing>
              <wp:anchor distT="0" distB="0" distL="114300" distR="114300" simplePos="0" relativeHeight="253693952" behindDoc="0" locked="0" layoutInCell="1" allowOverlap="1" wp14:anchorId="06A532CB" wp14:editId="51F51C1A">
                <wp:simplePos x="0" y="0"/>
                <wp:positionH relativeFrom="column">
                  <wp:posOffset>807085</wp:posOffset>
                </wp:positionH>
                <wp:positionV relativeFrom="paragraph">
                  <wp:posOffset>267335</wp:posOffset>
                </wp:positionV>
                <wp:extent cx="336550" cy="0"/>
                <wp:effectExtent l="60960" t="22860" r="62865" b="21590"/>
                <wp:wrapNone/>
                <wp:docPr id="88" name="Line 304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rot="-5400000">
                          <a:off x="0" y="0"/>
                          <a:ext cx="336550" cy="0"/>
                        </a:xfrm>
                        <a:prstGeom prst="line">
                          <a:avLst/>
                        </a:prstGeom>
                        <a:noFill/>
                        <a:ln w="9525">
                          <a:solidFill>
                            <a:srgbClr val="000000"/>
                          </a:solidFill>
                          <a:prstDash val="sysDot"/>
                          <a:round/>
                          <a:headEnd type="arrow" w="sm" len="sm"/>
                          <a:tailEnd type="arrow" w="sm" len="sm"/>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line w14:anchorId="434869C5" id="Line 3043" o:spid="_x0000_s1026" style="position:absolute;left:0;text-align:left;rotation:-90;z-index:2536939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63.55pt,21.05pt" to="90.05pt,21.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">
                <v:stroke dashstyle="1 1" startarrow="open" startarrowwidth="narrow" startarrowlength="short" endarrow="open" endarrowwidth="narrow" endarrowlength="short"/>
              </v:line>
            </w:pict>
          </mc:Fallback>
        </mc:AlternateContent>
      </w:r>
    </w:p>
    <w:p w14:paraId="26611BD3" w14:textId="77777777" w:rsidR="008B4B2B" w:rsidRPr="001D6D10" w:rsidRDefault="008B4B2B" w:rsidP="008B4B2B">
      <w:pPr>
        <w:wordWrap w:val="0"/>
        <w:overflowPunct w:val="0"/>
        <w:spacing w:line="362" w:lineRule="exact"/>
        <w:ind w:right="99"/>
      </w:pPr>
      <w:r w:rsidRPr="001D6D10">
        <w:rPr>
          <w:noProof/>
          <w:sz w:val="20"/>
        </w:rPr>
        <mc:AlternateContent>
          <mc:Choice Requires="wps">
            <w:drawing>
              <wp:anchor distT="0" distB="0" distL="114300" distR="114300" simplePos="0" relativeHeight="253669376" behindDoc="0" locked="0" layoutInCell="1" allowOverlap="1" wp14:anchorId="5CAFD91A" wp14:editId="4343FF84">
                <wp:simplePos x="0" y="0"/>
                <wp:positionH relativeFrom="column">
                  <wp:posOffset>114300</wp:posOffset>
                </wp:positionH>
                <wp:positionV relativeFrom="paragraph">
                  <wp:posOffset>201930</wp:posOffset>
                </wp:positionV>
                <wp:extent cx="1584960" cy="342900"/>
                <wp:effectExtent l="9525" t="11430" r="5715" b="7620"/>
                <wp:wrapNone/>
                <wp:docPr id="87" name="Text Box 302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84960" cy="342900"/>
                        </a:xfrm>
                        <a:prstGeom prst="rect">
                          <a:avLst/>
                        </a:prstGeom>
                        <a:solidFill>
                          <a:srgbClr val="FFFFFF"/>
                        </a:solidFill>
                        <a:ln w="9525">
                          <a:solidFill>
                            <a:srgbClr val="000000"/>
                          </a:solidFill>
                          <a:miter lim="800000"/>
                          <a:headEnd/>
                          <a:tailEnd/>
                        </a:ln>
                      </wps:spPr>
                      <wps:txbx>
                        <w:txbxContent>
                          <w:p w14:paraId="330E5FF9" w14:textId="77777777" w:rsidR="006A5267" w:rsidRDefault="006A5267" w:rsidP="008B4B2B">
                            <w:pPr>
                              <w:jc w:val="distribute"/>
                            </w:pPr>
                            <w:r>
                              <w:rPr>
                                <w:rFonts w:hint="eastAsia"/>
                              </w:rPr>
                              <w:t>近畿中国森林管理局</w:t>
                            </w:r>
                          </w:p>
                        </w:txbxContent>
                      </wps:txbx>
                      <wps:bodyPr rot="0" vert="horz" wrap="square" lIns="30240" tIns="31320" rIns="30240" bIns="31320" anchor="t" anchorCtr="0" upright="1">
                        <a:noAutofit/>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shape w14:anchorId="5CAFD91A" id="Text Box 3021" o:spid="_x0000_s1852" type="#_x0000_t202" style="position:absolute;left:0;text-align:left;margin-left:9pt;margin-top:15.9pt;width:124.8pt;height:27pt;z-index:2536693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">
                <v:textbox inset=".84mm,.87mm,.84mm,.87mm">
                  <w:txbxContent>
                    <w:p w14:paraId="330E5FF9" w14:textId="77777777" w:rsidR="006A5267" w:rsidRDefault="006A5267" w:rsidP="008B4B2B">
                      <w:pPr>
                        <w:jc w:val="distribute"/>
                      </w:pPr>
                      <w:r>
                        <w:rPr>
                          <w:rFonts w:hint="eastAsia"/>
                        </w:rPr>
                        <w:t>近畿中国森林管理局</w:t>
                      </w:r>
                    </w:p>
                  </w:txbxContent>
                </v:textbox>
              </v:shape>
            </w:pict>
          </mc:Fallback>
        </mc:AlternateContent>
      </w:r>
      <w:r w:rsidRPr="001D6D10">
        <w:rPr>
          <w:noProof/>
          <w:sz w:val="20"/>
        </w:rPr>
        <mc:AlternateContent>
          <mc:Choice Requires="wps">
            <w:drawing>
              <wp:anchor distT="0" distB="0" distL="114300" distR="114300" simplePos="0" relativeHeight="253678592" behindDoc="0" locked="0" layoutInCell="1" allowOverlap="1" wp14:anchorId="6D743EB0" wp14:editId="22AE3E47">
                <wp:simplePos x="0" y="0"/>
                <wp:positionH relativeFrom="column">
                  <wp:posOffset>4705350</wp:posOffset>
                </wp:positionH>
                <wp:positionV relativeFrom="paragraph">
                  <wp:posOffset>205740</wp:posOffset>
                </wp:positionV>
                <wp:extent cx="1371600" cy="342900"/>
                <wp:effectExtent l="9525" t="5715" r="9525" b="13335"/>
                <wp:wrapNone/>
                <wp:docPr id="86" name="Text Box 302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71600" cy="342900"/>
                        </a:xfrm>
                        <a:prstGeom prst="rect">
                          <a:avLst/>
                        </a:prstGeom>
                        <a:solidFill>
                          <a:srgbClr val="FFFFFF"/>
                        </a:solidFill>
                        <a:ln w="9525">
                          <a:solidFill>
                            <a:srgbClr val="000000"/>
                          </a:solidFill>
                          <a:miter lim="800000"/>
                          <a:headEnd/>
                          <a:tailEnd/>
                        </a:ln>
                      </wps:spPr>
                      <wps:txbx>
                        <w:txbxContent>
                          <w:p w14:paraId="7E8F3598" w14:textId="77777777" w:rsidR="006A5267" w:rsidRDefault="006A5267" w:rsidP="008B4B2B">
                            <w:pPr>
                              <w:jc w:val="distribute"/>
                            </w:pPr>
                            <w:r>
                              <w:rPr>
                                <w:rFonts w:hint="eastAsia"/>
                              </w:rPr>
                              <w:t>陸上自衛隊第３師団</w:t>
                            </w:r>
                          </w:p>
                        </w:txbxContent>
                      </wps:txbx>
                      <wps:bodyPr rot="0" vert="horz" wrap="square" lIns="30240" tIns="31320" rIns="30240" bIns="31320" anchor="t" anchorCtr="0" upright="1">
                        <a:noAutofit/>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shape w14:anchorId="6D743EB0" id="Text Box 3029" o:spid="_x0000_s1853" type="#_x0000_t202" style="position:absolute;left:0;text-align:left;margin-left:370.5pt;margin-top:16.2pt;width:108pt;height:27pt;z-index:2536785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">
                <v:textbox inset=".84mm,.87mm,.84mm,.87mm">
                  <w:txbxContent>
                    <w:p w14:paraId="7E8F3598" w14:textId="77777777" w:rsidR="006A5267" w:rsidRDefault="006A5267" w:rsidP="008B4B2B">
                      <w:pPr>
                        <w:jc w:val="distribute"/>
                      </w:pPr>
                      <w:r>
                        <w:rPr>
                          <w:rFonts w:hint="eastAsia"/>
                        </w:rPr>
                        <w:t>陸上自衛隊第３師団</w:t>
                      </w:r>
                    </w:p>
                  </w:txbxContent>
                </v:textbox>
              </v:shape>
            </w:pict>
          </mc:Fallback>
        </mc:AlternateContent>
      </w:r>
      <w:r w:rsidRPr="001D6D10">
        <w:rPr>
          <w:noProof/>
          <w:sz w:val="20"/>
        </w:rPr>
        <mc:AlternateContent>
          <mc:Choice Requires="wps">
            <w:drawing>
              <wp:anchor distT="0" distB="0" distL="114300" distR="114300" simplePos="0" relativeHeight="253703168" behindDoc="0" locked="0" layoutInCell="1" allowOverlap="1" wp14:anchorId="534654DC" wp14:editId="1197DCAC">
                <wp:simplePos x="0" y="0"/>
                <wp:positionH relativeFrom="column">
                  <wp:posOffset>2858770</wp:posOffset>
                </wp:positionH>
                <wp:positionV relativeFrom="paragraph">
                  <wp:posOffset>201930</wp:posOffset>
                </wp:positionV>
                <wp:extent cx="1403985" cy="342900"/>
                <wp:effectExtent l="10795" t="11430" r="13970" b="7620"/>
                <wp:wrapNone/>
                <wp:docPr id="85" name="Text Box 305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03985" cy="342900"/>
                        </a:xfrm>
                        <a:prstGeom prst="rect">
                          <a:avLst/>
                        </a:prstGeom>
                        <a:solidFill>
                          <a:srgbClr val="FFFFFF"/>
                        </a:solidFill>
                        <a:ln w="9525">
                          <a:solidFill>
                            <a:srgbClr val="000000"/>
                          </a:solidFill>
                          <a:miter lim="800000"/>
                          <a:headEnd/>
                          <a:tailEnd/>
                        </a:ln>
                      </wps:spPr>
                      <wps:txbx>
                        <w:txbxContent>
                          <w:p w14:paraId="682CC084" w14:textId="77777777" w:rsidR="006A5267" w:rsidRPr="00EE798C" w:rsidRDefault="006A5267" w:rsidP="008B4B2B">
                            <w:pPr>
                              <w:jc w:val="distribute"/>
                            </w:pPr>
                            <w:r w:rsidRPr="00EE798C">
                              <w:rPr>
                                <w:rFonts w:hint="eastAsia"/>
                              </w:rPr>
                              <w:t>大阪市消防局</w:t>
                            </w:r>
                          </w:p>
                        </w:txbxContent>
                      </wps:txbx>
                      <wps:bodyPr rot="0" vert="horz" wrap="square" lIns="30240" tIns="31320" rIns="30240" bIns="31320" anchor="t" anchorCtr="0" upright="1">
                        <a:noAutofit/>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shape w14:anchorId="534654DC" id="Text Box 3052" o:spid="_x0000_s1854" type="#_x0000_t202" style="position:absolute;left:0;text-align:left;margin-left:225.1pt;margin-top:15.9pt;width:110.55pt;height:27pt;z-index:253703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">
                <v:textbox inset=".84mm,.87mm,.84mm,.87mm">
                  <w:txbxContent>
                    <w:p w14:paraId="682CC084" w14:textId="77777777" w:rsidR="006A5267" w:rsidRPr="00EE798C" w:rsidRDefault="006A5267" w:rsidP="008B4B2B">
                      <w:pPr>
                        <w:jc w:val="distribute"/>
                      </w:pPr>
                      <w:r w:rsidRPr="00EE798C">
                        <w:rPr>
                          <w:rFonts w:hint="eastAsia"/>
                        </w:rPr>
                        <w:t>大阪市消防局</w:t>
                      </w:r>
                    </w:p>
                  </w:txbxContent>
                </v:textbox>
              </v:shape>
            </w:pict>
          </mc:Fallback>
        </mc:AlternateContent>
      </w:r>
    </w:p>
    <w:p w14:paraId="76753C40" w14:textId="77777777" w:rsidR="008B4B2B" w:rsidRPr="001D6D10" w:rsidRDefault="008B4B2B" w:rsidP="008B4B2B">
      <w:pPr>
        <w:wordWrap w:val="0"/>
        <w:overflowPunct w:val="0"/>
        <w:spacing w:line="362" w:lineRule="exact"/>
        <w:ind w:right="99"/>
      </w:pPr>
    </w:p>
    <w:p w14:paraId="0A9551D9" w14:textId="77777777" w:rsidR="008B4B2B" w:rsidRPr="001D6D10" w:rsidRDefault="008B4B2B" w:rsidP="008B4B2B">
      <w:pPr>
        <w:wordWrap w:val="0"/>
        <w:overflowPunct w:val="0"/>
        <w:spacing w:line="362" w:lineRule="exact"/>
        <w:ind w:right="99"/>
      </w:pPr>
      <w:r w:rsidRPr="001D6D10">
        <w:rPr>
          <w:noProof/>
          <w:sz w:val="20"/>
        </w:rPr>
        <mc:AlternateContent>
          <mc:Choice Requires="wps">
            <w:drawing>
              <wp:anchor distT="0" distB="0" distL="114300" distR="114300" simplePos="0" relativeHeight="253675520" behindDoc="0" locked="0" layoutInCell="1" allowOverlap="1" wp14:anchorId="44E26B0D" wp14:editId="09F972C7">
                <wp:simplePos x="0" y="0"/>
                <wp:positionH relativeFrom="column">
                  <wp:posOffset>2235835</wp:posOffset>
                </wp:positionH>
                <wp:positionV relativeFrom="paragraph">
                  <wp:posOffset>195580</wp:posOffset>
                </wp:positionV>
                <wp:extent cx="800100" cy="342900"/>
                <wp:effectExtent l="6985" t="5080" r="12065" b="13970"/>
                <wp:wrapNone/>
                <wp:docPr id="84" name="Text Box 302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00100" cy="342900"/>
                        </a:xfrm>
                        <a:prstGeom prst="rect">
                          <a:avLst/>
                        </a:prstGeom>
                        <a:solidFill>
                          <a:srgbClr val="FFFFFF"/>
                        </a:solidFill>
                        <a:ln w="9525">
                          <a:solidFill>
                            <a:srgbClr val="000000"/>
                          </a:solidFill>
                          <a:miter lim="800000"/>
                          <a:headEnd/>
                          <a:tailEnd/>
                        </a:ln>
                      </wps:spPr>
                      <wps:txbx>
                        <w:txbxContent>
                          <w:p w14:paraId="66F32AB2" w14:textId="77777777" w:rsidR="006A5267" w:rsidRDefault="006A5267" w:rsidP="008B4B2B">
                            <w:pPr>
                              <w:jc w:val="distribute"/>
                            </w:pPr>
                            <w:r>
                              <w:rPr>
                                <w:rFonts w:hint="eastAsia"/>
                              </w:rPr>
                              <w:t>消防庁</w:t>
                            </w:r>
                          </w:p>
                        </w:txbxContent>
                      </wps:txbx>
                      <wps:bodyPr rot="0" vert="horz" wrap="square" lIns="30240" tIns="31320" rIns="30240" bIns="31320" anchor="t" anchorCtr="0" upright="1">
                        <a:noAutofit/>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shape w14:anchorId="44E26B0D" id="Text Box 3026" o:spid="_x0000_s1855" type="#_x0000_t202" style="position:absolute;left:0;text-align:left;margin-left:176.05pt;margin-top:15.4pt;width:63pt;height:27pt;z-index:2536755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">
                <v:textbox inset=".84mm,.87mm,.84mm,.87mm">
                  <w:txbxContent>
                    <w:p w14:paraId="66F32AB2" w14:textId="77777777" w:rsidR="006A5267" w:rsidRDefault="006A5267" w:rsidP="008B4B2B">
                      <w:pPr>
                        <w:jc w:val="distribute"/>
                      </w:pPr>
                      <w:r>
                        <w:rPr>
                          <w:rFonts w:hint="eastAsia"/>
                        </w:rPr>
                        <w:t>消防庁</w:t>
                      </w:r>
                    </w:p>
                  </w:txbxContent>
                </v:textbox>
              </v:shape>
            </w:pict>
          </mc:Fallback>
        </mc:AlternateContent>
      </w:r>
    </w:p>
    <w:p w14:paraId="1D71A935" w14:textId="77777777" w:rsidR="008B4B2B" w:rsidRPr="001D6D10" w:rsidRDefault="008B4B2B" w:rsidP="008B4B2B">
      <w:pPr>
        <w:wordWrap w:val="0"/>
        <w:overflowPunct w:val="0"/>
        <w:spacing w:line="362" w:lineRule="exact"/>
        <w:ind w:right="99"/>
      </w:pPr>
    </w:p>
    <w:p w14:paraId="2C7512A6" w14:textId="77777777" w:rsidR="008B4B2B" w:rsidRPr="001D6D10" w:rsidRDefault="008B4B2B" w:rsidP="008B4B2B">
      <w:pPr>
        <w:wordWrap w:val="0"/>
        <w:overflowPunct w:val="0"/>
        <w:spacing w:line="362" w:lineRule="exact"/>
        <w:ind w:right="99"/>
      </w:pPr>
    </w:p>
    <w:p w14:paraId="22592D38" w14:textId="77777777" w:rsidR="008B4B2B" w:rsidRPr="001D6D10" w:rsidRDefault="008B4B2B" w:rsidP="008B4B2B">
      <w:pPr>
        <w:wordWrap w:val="0"/>
        <w:overflowPunct w:val="0"/>
        <w:spacing w:line="362" w:lineRule="exact"/>
        <w:ind w:right="99"/>
      </w:pPr>
    </w:p>
    <w:p w14:paraId="522878B0" w14:textId="77777777" w:rsidR="008B4B2B" w:rsidRPr="001D6D10" w:rsidRDefault="008B4B2B" w:rsidP="008B4B2B">
      <w:pPr>
        <w:pStyle w:val="ad"/>
        <w:wordWrap/>
        <w:overflowPunct w:val="0"/>
        <w:spacing w:line="400" w:lineRule="exact"/>
        <w:ind w:left="402" w:hangingChars="200" w:hanging="402"/>
        <w:rPr>
          <w:rFonts w:ascii="ＭＳ ゴシック" w:eastAsia="ＭＳ ゴシック" w:hAnsi="ＭＳ ゴシック"/>
        </w:rPr>
      </w:pPr>
      <w:r w:rsidRPr="001D6D10">
        <w:rPr>
          <w:noProof/>
          <w:sz w:val="20"/>
        </w:rPr>
        <mc:AlternateContent>
          <mc:Choice Requires="wps">
            <w:drawing>
              <wp:anchor distT="0" distB="0" distL="114300" distR="114300" simplePos="0" relativeHeight="253679616" behindDoc="0" locked="0" layoutInCell="1" allowOverlap="1" wp14:anchorId="35B4E34E" wp14:editId="41B4E9ED">
                <wp:simplePos x="0" y="0"/>
                <wp:positionH relativeFrom="column">
                  <wp:posOffset>3609975</wp:posOffset>
                </wp:positionH>
                <wp:positionV relativeFrom="paragraph">
                  <wp:posOffset>85090</wp:posOffset>
                </wp:positionV>
                <wp:extent cx="2286000" cy="914400"/>
                <wp:effectExtent l="9525" t="8890" r="9525" b="10160"/>
                <wp:wrapNone/>
                <wp:docPr id="83" name="Text Box 303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86000" cy="914400"/>
                        </a:xfrm>
                        <a:prstGeom prst="rect">
                          <a:avLst/>
                        </a:prstGeom>
                        <a:solidFill>
                          <a:srgbClr val="FFFFFF"/>
                        </a:solidFill>
                        <a:ln w="9525">
                          <a:solidFill>
                            <a:srgbClr val="000000"/>
                          </a:solidFill>
                          <a:miter lim="800000"/>
                          <a:headEnd/>
                          <a:tailEnd/>
                        </a:ln>
                      </wps:spPr>
                      <wps:txbx>
                        <w:txbxContent>
                          <w:p w14:paraId="09505764" w14:textId="77777777" w:rsidR="006A5267" w:rsidRDefault="006A5267" w:rsidP="008B4B2B">
                            <w:pPr>
                              <w:spacing w:line="240" w:lineRule="exact"/>
                              <w:jc w:val="center"/>
                            </w:pPr>
                            <w:r>
                              <w:rPr>
                                <w:rFonts w:hint="eastAsia"/>
                              </w:rPr>
                              <w:t>凡例</w:t>
                            </w:r>
                          </w:p>
                          <w:p w14:paraId="6A354196" w14:textId="73AE0D83" w:rsidR="006A5267" w:rsidRDefault="005F4A67" w:rsidP="005F4A67">
                            <w:pPr>
                              <w:pStyle w:val="af4"/>
                              <w:numPr>
                                <w:ilvl w:val="0"/>
                                <w:numId w:val="44"/>
                              </w:numPr>
                              <w:spacing w:line="240" w:lineRule="exact"/>
                              <w:ind w:leftChars="0"/>
                            </w:pPr>
                            <w:r>
                              <w:rPr>
                                <w:rFonts w:hint="eastAsia"/>
                              </w:rPr>
                              <w:t>：</w:t>
                            </w:r>
                            <w:r w:rsidR="006A5267">
                              <w:rPr>
                                <w:rFonts w:hint="eastAsia"/>
                              </w:rPr>
                              <w:t>民有林</w:t>
                            </w:r>
                            <w:r w:rsidR="006A5267">
                              <w:rPr>
                                <w:rFonts w:hint="eastAsia"/>
                              </w:rPr>
                              <w:t>(</w:t>
                            </w:r>
                            <w:r w:rsidR="006A5267">
                              <w:rPr>
                                <w:rFonts w:hint="eastAsia"/>
                              </w:rPr>
                              <w:t>府営林を含む</w:t>
                            </w:r>
                            <w:r w:rsidR="006A5267">
                              <w:rPr>
                                <w:rFonts w:hint="eastAsia"/>
                              </w:rPr>
                              <w:t>)</w:t>
                            </w:r>
                            <w:r w:rsidR="006A5267">
                              <w:rPr>
                                <w:rFonts w:hint="eastAsia"/>
                              </w:rPr>
                              <w:t>の場合</w:t>
                            </w:r>
                          </w:p>
                          <w:p w14:paraId="1822026B" w14:textId="416578B0" w:rsidR="006A5267" w:rsidRDefault="005F4A67" w:rsidP="005F4A67">
                            <w:pPr>
                              <w:pStyle w:val="af4"/>
                              <w:numPr>
                                <w:ilvl w:val="0"/>
                                <w:numId w:val="44"/>
                              </w:numPr>
                              <w:spacing w:line="240" w:lineRule="exact"/>
                              <w:ind w:leftChars="0"/>
                            </w:pPr>
                            <w:r>
                              <w:rPr>
                                <w:rFonts w:hint="eastAsia"/>
                              </w:rPr>
                              <w:t>：</w:t>
                            </w:r>
                            <w:r w:rsidR="006A5267">
                              <w:rPr>
                                <w:rFonts w:hint="eastAsia"/>
                              </w:rPr>
                              <w:t>国有林の場合</w:t>
                            </w:r>
                          </w:p>
                          <w:p w14:paraId="6BC37E10" w14:textId="2C8B1854" w:rsidR="006A5267" w:rsidRDefault="005F4A67" w:rsidP="005F4A67">
                            <w:pPr>
                              <w:spacing w:line="240" w:lineRule="exact"/>
                              <w:ind w:left="571"/>
                            </w:pPr>
                            <w:r>
                              <w:rPr>
                                <w:rFonts w:hint="eastAsia"/>
                              </w:rPr>
                              <w:t>：</w:t>
                            </w:r>
                            <w:r w:rsidR="006A5267">
                              <w:rPr>
                                <w:rFonts w:hint="eastAsia"/>
                              </w:rPr>
                              <w:t>通常の通信系統</w:t>
                            </w:r>
                          </w:p>
                          <w:p w14:paraId="45C818AF" w14:textId="179C7CCC" w:rsidR="006A5267" w:rsidRDefault="005F4A67" w:rsidP="005F4A67">
                            <w:pPr>
                              <w:spacing w:line="240" w:lineRule="exact"/>
                              <w:ind w:firstLineChars="300" w:firstLine="633"/>
                            </w:pPr>
                            <w:r>
                              <w:rPr>
                                <w:rFonts w:hint="eastAsia"/>
                              </w:rPr>
                              <w:t>：</w:t>
                            </w:r>
                            <w:r w:rsidR="006A5267">
                              <w:rPr>
                                <w:rFonts w:hint="eastAsia"/>
                              </w:rPr>
                              <w:t>必要に応じての通信系統</w:t>
                            </w:r>
                          </w:p>
                        </w:txbxContent>
                      </wps:txbx>
                      <wps:bodyPr rot="0" vert="horz" wrap="square" lIns="30240" tIns="31320" rIns="30240" bIns="31320" anchor="t" anchorCtr="0" upright="1">
                        <a:noAutofit/>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shape w14:anchorId="35B4E34E" id="Text Box 3030" o:spid="_x0000_s1856" type="#_x0000_t202" style="position:absolute;left:0;text-align:left;margin-left:284.25pt;margin-top:6.7pt;width:180pt;height:1in;z-index:2536796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">
                <v:textbox inset=".84mm,.87mm,.84mm,.87mm">
                  <w:txbxContent>
                    <w:p w14:paraId="09505764" w14:textId="77777777" w:rsidR="006A5267" w:rsidRDefault="006A5267" w:rsidP="008B4B2B">
                      <w:pPr>
                        <w:spacing w:line="240" w:lineRule="exact"/>
                        <w:jc w:val="center"/>
                      </w:pPr>
                      <w:r>
                        <w:rPr>
                          <w:rFonts w:hint="eastAsia"/>
                        </w:rPr>
                        <w:t>凡例</w:t>
                      </w:r>
                    </w:p>
                    <w:p w14:paraId="6A354196" w14:textId="73AE0D83" w:rsidR="006A5267" w:rsidRDefault="005F4A67" w:rsidP="005F4A67">
                      <w:pPr>
                        <w:pStyle w:val="af4"/>
                        <w:numPr>
                          <w:ilvl w:val="0"/>
                          <w:numId w:val="44"/>
                        </w:numPr>
                        <w:spacing w:line="240" w:lineRule="exact"/>
                        <w:ind w:leftChars="0"/>
                      </w:pPr>
                      <w:r>
                        <w:rPr>
                          <w:rFonts w:hint="eastAsia"/>
                        </w:rPr>
                        <w:t>：</w:t>
                      </w:r>
                      <w:r w:rsidR="006A5267">
                        <w:rPr>
                          <w:rFonts w:hint="eastAsia"/>
                        </w:rPr>
                        <w:t>民有林</w:t>
                      </w:r>
                      <w:r w:rsidR="006A5267">
                        <w:rPr>
                          <w:rFonts w:hint="eastAsia"/>
                        </w:rPr>
                        <w:t>(</w:t>
                      </w:r>
                      <w:r w:rsidR="006A5267">
                        <w:rPr>
                          <w:rFonts w:hint="eastAsia"/>
                        </w:rPr>
                        <w:t>府営林を含む</w:t>
                      </w:r>
                      <w:r w:rsidR="006A5267">
                        <w:rPr>
                          <w:rFonts w:hint="eastAsia"/>
                        </w:rPr>
                        <w:t>)</w:t>
                      </w:r>
                      <w:r w:rsidR="006A5267">
                        <w:rPr>
                          <w:rFonts w:hint="eastAsia"/>
                        </w:rPr>
                        <w:t>の場合</w:t>
                      </w:r>
                    </w:p>
                    <w:p w14:paraId="1822026B" w14:textId="416578B0" w:rsidR="006A5267" w:rsidRDefault="005F4A67" w:rsidP="005F4A67">
                      <w:pPr>
                        <w:pStyle w:val="af4"/>
                        <w:numPr>
                          <w:ilvl w:val="0"/>
                          <w:numId w:val="44"/>
                        </w:numPr>
                        <w:spacing w:line="240" w:lineRule="exact"/>
                        <w:ind w:leftChars="0"/>
                      </w:pPr>
                      <w:r>
                        <w:rPr>
                          <w:rFonts w:hint="eastAsia"/>
                        </w:rPr>
                        <w:t>：</w:t>
                      </w:r>
                      <w:r w:rsidR="006A5267">
                        <w:rPr>
                          <w:rFonts w:hint="eastAsia"/>
                        </w:rPr>
                        <w:t>国有林の場合</w:t>
                      </w:r>
                    </w:p>
                    <w:p w14:paraId="6BC37E10" w14:textId="2C8B1854" w:rsidR="006A5267" w:rsidRDefault="005F4A67" w:rsidP="005F4A67">
                      <w:pPr>
                        <w:spacing w:line="240" w:lineRule="exact"/>
                        <w:ind w:left="571"/>
                      </w:pPr>
                      <w:r>
                        <w:rPr>
                          <w:rFonts w:hint="eastAsia"/>
                        </w:rPr>
                        <w:t>：</w:t>
                      </w:r>
                      <w:r w:rsidR="006A5267">
                        <w:rPr>
                          <w:rFonts w:hint="eastAsia"/>
                        </w:rPr>
                        <w:t>通常の通信系統</w:t>
                      </w:r>
                    </w:p>
                    <w:p w14:paraId="45C818AF" w14:textId="179C7CCC" w:rsidR="006A5267" w:rsidRDefault="005F4A67" w:rsidP="005F4A67">
                      <w:pPr>
                        <w:spacing w:line="240" w:lineRule="exact"/>
                        <w:ind w:firstLineChars="300" w:firstLine="633"/>
                      </w:pPr>
                      <w:r>
                        <w:rPr>
                          <w:rFonts w:hint="eastAsia"/>
                        </w:rPr>
                        <w:t>：</w:t>
                      </w:r>
                      <w:r w:rsidR="006A5267">
                        <w:rPr>
                          <w:rFonts w:hint="eastAsia"/>
                        </w:rPr>
                        <w:t>必要に応じての通信系統</w:t>
                      </w:r>
                    </w:p>
                  </w:txbxContent>
                </v:textbox>
              </v:shape>
            </w:pict>
          </mc:Fallback>
        </mc:AlternateContent>
      </w:r>
    </w:p>
    <w:p w14:paraId="75AACC61" w14:textId="77777777" w:rsidR="008B4B2B" w:rsidRPr="001D6D10" w:rsidRDefault="008B4B2B" w:rsidP="008B4B2B">
      <w:pPr>
        <w:pStyle w:val="ad"/>
        <w:wordWrap/>
        <w:overflowPunct w:val="0"/>
        <w:spacing w:line="400" w:lineRule="exact"/>
        <w:ind w:left="442" w:hangingChars="200" w:hanging="442"/>
        <w:rPr>
          <w:rFonts w:ascii="ＭＳ ゴシック" w:eastAsia="ＭＳ ゴシック" w:hAnsi="ＭＳ ゴシック"/>
        </w:rPr>
      </w:pPr>
    </w:p>
    <w:p w14:paraId="346F9A47" w14:textId="77777777" w:rsidR="008B4B2B" w:rsidRPr="001D6D10" w:rsidRDefault="008B4B2B" w:rsidP="008B4B2B">
      <w:pPr>
        <w:pStyle w:val="ad"/>
        <w:wordWrap/>
        <w:overflowPunct w:val="0"/>
        <w:spacing w:line="400" w:lineRule="exact"/>
        <w:ind w:left="402" w:hangingChars="200" w:hanging="402"/>
        <w:rPr>
          <w:rFonts w:ascii="ＭＳ ゴシック" w:eastAsia="ＭＳ ゴシック" w:hAnsi="ＭＳ ゴシック"/>
        </w:rPr>
      </w:pPr>
      <w:r w:rsidRPr="001D6D10">
        <w:rPr>
          <w:noProof/>
          <w:sz w:val="20"/>
        </w:rPr>
        <mc:AlternateContent>
          <mc:Choice Requires="wps">
            <w:drawing>
              <wp:anchor distT="0" distB="0" distL="114300" distR="114300" simplePos="0" relativeHeight="253702144" behindDoc="0" locked="0" layoutInCell="1" allowOverlap="1" wp14:anchorId="28BE280D" wp14:editId="547EF453">
                <wp:simplePos x="0" y="0"/>
                <wp:positionH relativeFrom="column">
                  <wp:posOffset>3735705</wp:posOffset>
                </wp:positionH>
                <wp:positionV relativeFrom="paragraph">
                  <wp:posOffset>129540</wp:posOffset>
                </wp:positionV>
                <wp:extent cx="228600" cy="0"/>
                <wp:effectExtent l="11430" t="5715" r="7620" b="13335"/>
                <wp:wrapNone/>
                <wp:docPr id="82" name="Line 305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286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line w14:anchorId="2A9F23B9" id="Line 3051" o:spid="_x0000_s1026" style="position:absolute;left:0;text-align:left;z-index:2537021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94.15pt,10.2pt" to="312.15pt,10.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"/>
            </w:pict>
          </mc:Fallback>
        </mc:AlternateContent>
      </w:r>
    </w:p>
    <w:p w14:paraId="387E6525" w14:textId="77777777" w:rsidR="008B4B2B" w:rsidRPr="001D6D10" w:rsidRDefault="008B4B2B" w:rsidP="008B4B2B">
      <w:pPr>
        <w:pStyle w:val="ad"/>
        <w:wordWrap/>
        <w:overflowPunct w:val="0"/>
        <w:spacing w:line="400" w:lineRule="exact"/>
        <w:ind w:left="442" w:hangingChars="200" w:hanging="442"/>
        <w:rPr>
          <w:rFonts w:ascii="ＭＳ ゴシック" w:eastAsia="ＭＳ ゴシック" w:hAnsi="ＭＳ ゴシック"/>
        </w:rPr>
      </w:pPr>
      <w:r w:rsidRPr="001D6D10">
        <w:rPr>
          <w:rFonts w:ascii="ＭＳ ゴシック" w:eastAsia="ＭＳ ゴシック" w:hAnsi="ＭＳ ゴシック" w:hint="eastAsia"/>
          <w:bCs/>
          <w:noProof/>
        </w:rPr>
        <mc:AlternateContent>
          <mc:Choice Requires="wps">
            <w:drawing>
              <wp:anchor distT="0" distB="0" distL="114300" distR="114300" simplePos="0" relativeHeight="253918208" behindDoc="0" locked="0" layoutInCell="1" allowOverlap="1" wp14:anchorId="5769CEF8" wp14:editId="256FFC14">
                <wp:simplePos x="0" y="0"/>
                <wp:positionH relativeFrom="column">
                  <wp:posOffset>3735705</wp:posOffset>
                </wp:positionH>
                <wp:positionV relativeFrom="paragraph">
                  <wp:posOffset>56515</wp:posOffset>
                </wp:positionV>
                <wp:extent cx="228600" cy="0"/>
                <wp:effectExtent l="11430" t="8890" r="7620" b="10160"/>
                <wp:wrapNone/>
                <wp:docPr id="81" name="Line 360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28600" cy="0"/>
                        </a:xfrm>
                        <a:prstGeom prst="line">
                          <a:avLst/>
                        </a:prstGeom>
                        <a:noFill/>
                        <a:ln w="9525">
                          <a:solidFill>
                            <a:srgbClr val="000000"/>
                          </a:solidFill>
                          <a:prstDash val="sysDot"/>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line w14:anchorId="6EEAFB37" id="Line 3603" o:spid="_x0000_s1026" style="position:absolute;left:0;text-align:left;z-index:2539182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94.15pt,4.45pt" to="312.15pt,4.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">
                <v:stroke dashstyle="1 1"/>
              </v:line>
            </w:pict>
          </mc:Fallback>
        </mc:AlternateContent>
      </w:r>
    </w:p>
    <w:p w14:paraId="63FAFDA1" w14:textId="77777777" w:rsidR="008B4B2B" w:rsidRPr="001D6D10" w:rsidRDefault="008B4B2B" w:rsidP="008B4B2B">
      <w:pPr>
        <w:pStyle w:val="ad"/>
        <w:wordWrap/>
        <w:overflowPunct w:val="0"/>
        <w:spacing w:line="400" w:lineRule="exact"/>
        <w:ind w:left="442" w:hangingChars="200" w:hanging="442"/>
        <w:rPr>
          <w:rFonts w:ascii="ＭＳ ゴシック" w:eastAsia="ＭＳ ゴシック" w:hAnsi="ＭＳ ゴシック"/>
        </w:rPr>
      </w:pPr>
    </w:p>
    <w:p w14:paraId="2EE0E461" w14:textId="77777777" w:rsidR="008B4B2B" w:rsidRPr="001D6D10" w:rsidRDefault="008B4B2B" w:rsidP="008B4B2B">
      <w:pPr>
        <w:pStyle w:val="ad"/>
        <w:wordWrap/>
        <w:overflowPunct w:val="0"/>
        <w:spacing w:line="400" w:lineRule="exact"/>
        <w:ind w:left="442" w:hangingChars="200" w:hanging="442"/>
        <w:rPr>
          <w:rFonts w:ascii="ＭＳ ゴシック" w:eastAsia="ＭＳ ゴシック" w:hAnsi="ＭＳ ゴシック"/>
        </w:rPr>
      </w:pPr>
    </w:p>
    <w:p w14:paraId="04A61D61" w14:textId="77777777" w:rsidR="008B4B2B" w:rsidRPr="001D6D10" w:rsidRDefault="008B4B2B" w:rsidP="008B4B2B">
      <w:pPr>
        <w:pStyle w:val="ad"/>
        <w:wordWrap/>
        <w:overflowPunct w:val="0"/>
        <w:spacing w:line="400" w:lineRule="exact"/>
        <w:ind w:left="442" w:hangingChars="200" w:hanging="442"/>
        <w:rPr>
          <w:rFonts w:ascii="ＭＳ ゴシック" w:eastAsia="ＭＳ ゴシック" w:hAnsi="ＭＳ ゴシック"/>
        </w:rPr>
      </w:pPr>
    </w:p>
    <w:p w14:paraId="73C1D84B" w14:textId="77777777" w:rsidR="008B4B2B" w:rsidRPr="001D6D10" w:rsidRDefault="008B4B2B" w:rsidP="008B4B2B">
      <w:pPr>
        <w:pStyle w:val="ad"/>
        <w:wordWrap/>
        <w:overflowPunct w:val="0"/>
        <w:spacing w:line="400" w:lineRule="exact"/>
        <w:ind w:left="442" w:hangingChars="200" w:hanging="442"/>
        <w:rPr>
          <w:rFonts w:ascii="ＭＳ ゴシック" w:eastAsia="ＭＳ ゴシック" w:hAnsi="ＭＳ ゴシック"/>
        </w:rPr>
      </w:pPr>
    </w:p>
    <w:p w14:paraId="6E93AF14" w14:textId="77777777" w:rsidR="008B4B2B" w:rsidRPr="001D6D10" w:rsidRDefault="008B4B2B" w:rsidP="008B4B2B">
      <w:pPr>
        <w:pStyle w:val="ad"/>
        <w:wordWrap/>
        <w:overflowPunct w:val="0"/>
        <w:spacing w:line="400" w:lineRule="exact"/>
        <w:ind w:left="442" w:hangingChars="200" w:hanging="442"/>
        <w:rPr>
          <w:rFonts w:ascii="ＭＳ ゴシック" w:eastAsia="ＭＳ ゴシック" w:hAnsi="ＭＳ ゴシック"/>
        </w:rPr>
      </w:pPr>
    </w:p>
    <w:p w14:paraId="32B07998" w14:textId="77777777" w:rsidR="008B4B2B" w:rsidRPr="001D6D10" w:rsidRDefault="008B4B2B" w:rsidP="008B4B2B">
      <w:pPr>
        <w:pStyle w:val="ad"/>
        <w:wordWrap/>
        <w:overflowPunct w:val="0"/>
        <w:spacing w:line="400" w:lineRule="exact"/>
        <w:ind w:left="442" w:hangingChars="200" w:hanging="442"/>
        <w:rPr>
          <w:rFonts w:ascii="ＭＳ ゴシック" w:eastAsia="ＭＳ ゴシック" w:hAnsi="ＭＳ ゴシック"/>
        </w:rPr>
      </w:pPr>
    </w:p>
    <w:p w14:paraId="37358247" w14:textId="77777777" w:rsidR="008B4B2B" w:rsidRPr="001D6D10" w:rsidRDefault="008B4B2B" w:rsidP="008B4B2B">
      <w:pPr>
        <w:pStyle w:val="ad"/>
        <w:wordWrap/>
        <w:overflowPunct w:val="0"/>
        <w:spacing w:line="400" w:lineRule="exact"/>
        <w:ind w:left="442" w:hangingChars="200" w:hanging="442"/>
        <w:rPr>
          <w:rFonts w:ascii="ＭＳ ゴシック" w:eastAsia="ＭＳ ゴシック" w:hAnsi="ＭＳ ゴシック"/>
        </w:rPr>
      </w:pPr>
    </w:p>
    <w:p w14:paraId="1AD3B144" w14:textId="77777777" w:rsidR="008B4B2B" w:rsidRPr="001D6D10" w:rsidRDefault="008B4B2B" w:rsidP="008B4B2B">
      <w:pPr>
        <w:pStyle w:val="ad"/>
        <w:wordWrap/>
        <w:overflowPunct w:val="0"/>
        <w:spacing w:line="400" w:lineRule="exact"/>
        <w:ind w:left="442" w:hangingChars="200" w:hanging="442"/>
        <w:rPr>
          <w:rFonts w:ascii="ＭＳ ゴシック" w:eastAsia="ＭＳ ゴシック" w:hAnsi="ＭＳ ゴシック"/>
        </w:rPr>
      </w:pPr>
    </w:p>
    <w:p w14:paraId="46443E84" w14:textId="77777777" w:rsidR="008B4B2B" w:rsidRPr="001D6D10" w:rsidRDefault="008B4B2B" w:rsidP="008B4B2B">
      <w:pPr>
        <w:pStyle w:val="ad"/>
        <w:wordWrap/>
        <w:overflowPunct w:val="0"/>
        <w:spacing w:line="400" w:lineRule="exact"/>
        <w:ind w:left="442" w:hangingChars="200" w:hanging="442"/>
        <w:rPr>
          <w:rFonts w:ascii="ＭＳ ゴシック" w:eastAsia="ＭＳ ゴシック" w:hAnsi="ＭＳ ゴシック"/>
        </w:rPr>
      </w:pPr>
    </w:p>
    <w:p w14:paraId="431F2C5D" w14:textId="77777777" w:rsidR="008B4B2B" w:rsidRPr="001D6D10" w:rsidRDefault="008B4B2B" w:rsidP="008B4B2B">
      <w:pPr>
        <w:pStyle w:val="ad"/>
        <w:wordWrap/>
        <w:overflowPunct w:val="0"/>
        <w:spacing w:line="400" w:lineRule="exact"/>
        <w:ind w:left="442" w:hangingChars="200" w:hanging="442"/>
        <w:rPr>
          <w:rFonts w:ascii="ＭＳ ゴシック" w:eastAsia="ＭＳ ゴシック" w:hAnsi="ＭＳ ゴシック"/>
        </w:rPr>
      </w:pPr>
    </w:p>
    <w:p w14:paraId="1DF5C088" w14:textId="77777777" w:rsidR="008B4B2B" w:rsidRPr="001D6D10" w:rsidRDefault="008B4B2B" w:rsidP="008B4B2B">
      <w:pPr>
        <w:pStyle w:val="ad"/>
        <w:wordWrap/>
        <w:overflowPunct w:val="0"/>
        <w:spacing w:line="400" w:lineRule="exact"/>
        <w:ind w:left="442" w:hangingChars="200" w:hanging="442"/>
        <w:rPr>
          <w:rFonts w:ascii="ＭＳ ゴシック" w:eastAsia="ＭＳ ゴシック" w:hAnsi="ＭＳ ゴシック"/>
        </w:rPr>
      </w:pPr>
    </w:p>
    <w:p w14:paraId="77E7E597" w14:textId="77777777" w:rsidR="008B4B2B" w:rsidRPr="001D6D10" w:rsidRDefault="008B4B2B" w:rsidP="008B4B2B">
      <w:pPr>
        <w:pStyle w:val="a0"/>
        <w:spacing w:line="0" w:lineRule="atLeast"/>
        <w:ind w:leftChars="99" w:left="209" w:firstLine="1"/>
        <w:rPr>
          <w:rFonts w:ascii="ＭＳ ゴシック" w:eastAsia="ＭＳ ゴシック" w:hAnsi="ＭＳ ゴシック"/>
          <w:bCs/>
          <w:sz w:val="28"/>
          <w:szCs w:val="28"/>
        </w:rPr>
        <w:sectPr w:rsidR="008B4B2B" w:rsidRPr="001D6D10" w:rsidSect="00196764">
          <w:headerReference w:type="default" r:id="rId35"/>
          <w:pgSz w:w="11906" w:h="16838" w:code="9"/>
          <w:pgMar w:top="1701" w:right="1531" w:bottom="1701" w:left="1531" w:header="850" w:footer="850" w:gutter="0"/>
          <w:pgNumType w:fmt="numberInDash"/>
          <w:cols w:space="425"/>
          <w:docGrid w:type="linesAndChars" w:linePitch="353" w:charSpace="225"/>
        </w:sectPr>
      </w:pPr>
    </w:p>
    <w:p w14:paraId="165FB6F0" w14:textId="77777777" w:rsidR="008B4B2B" w:rsidRPr="00BA52E1" w:rsidRDefault="00E434C7" w:rsidP="00E0548A">
      <w:pPr>
        <w:pStyle w:val="1"/>
      </w:pPr>
      <w:bookmarkStart w:id="468" w:name="_Toc122436989"/>
      <w:bookmarkStart w:id="469" w:name="_Toc222433320"/>
      <w:bookmarkStart w:id="470" w:name="_Toc222486688"/>
      <w:bookmarkStart w:id="471" w:name="_Toc242870359"/>
      <w:r w:rsidRPr="00BA52E1">
        <w:rPr>
          <w:rFonts w:hint="eastAsia"/>
        </w:rPr>
        <w:lastRenderedPageBreak/>
        <w:t>第</w:t>
      </w:r>
      <w:r w:rsidR="00A911D7" w:rsidRPr="00BA52E1">
        <w:rPr>
          <w:rFonts w:hint="eastAsia"/>
        </w:rPr>
        <w:t>８</w:t>
      </w:r>
      <w:r w:rsidR="008B4B2B" w:rsidRPr="00BA52E1">
        <w:rPr>
          <w:rFonts w:hint="eastAsia"/>
        </w:rPr>
        <w:t>章　原子力災害応急対策</w:t>
      </w:r>
      <w:bookmarkEnd w:id="468"/>
      <w:bookmarkEnd w:id="469"/>
      <w:bookmarkEnd w:id="470"/>
      <w:bookmarkEnd w:id="471"/>
    </w:p>
    <w:p w14:paraId="39C7B11A" w14:textId="1161EE87" w:rsidR="008B4B2B" w:rsidRPr="00E0548A" w:rsidRDefault="008B4B2B" w:rsidP="00E0548A">
      <w:pPr>
        <w:pStyle w:val="2"/>
        <w:rPr>
          <w:rFonts w:asciiTheme="majorEastAsia" w:eastAsiaTheme="majorEastAsia" w:hAnsiTheme="majorEastAsia"/>
          <w:szCs w:val="40"/>
        </w:rPr>
      </w:pPr>
      <w:bookmarkStart w:id="472" w:name="_Toc122436990"/>
      <w:bookmarkStart w:id="473" w:name="_Toc222433321"/>
      <w:bookmarkStart w:id="474" w:name="_Toc222486689"/>
      <w:bookmarkStart w:id="475" w:name="_Toc242870360"/>
      <w:r w:rsidRPr="00E0548A">
        <w:rPr>
          <w:rFonts w:asciiTheme="majorEastAsia" w:eastAsiaTheme="majorEastAsia" w:hAnsiTheme="majorEastAsia" w:hint="eastAsia"/>
          <w:szCs w:val="40"/>
        </w:rPr>
        <w:t>第１節　組織動員</w:t>
      </w:r>
      <w:bookmarkEnd w:id="472"/>
      <w:bookmarkEnd w:id="473"/>
      <w:bookmarkEnd w:id="474"/>
      <w:bookmarkEnd w:id="475"/>
    </w:p>
    <w:p w14:paraId="3CE20E62" w14:textId="77777777" w:rsidR="008B4B2B" w:rsidRPr="001D6D10" w:rsidRDefault="008B4B2B" w:rsidP="008B4B2B">
      <w:pPr>
        <w:pStyle w:val="a0"/>
        <w:spacing w:line="0" w:lineRule="atLeast"/>
        <w:ind w:firstLineChars="650" w:firstLine="1437"/>
        <w:rPr>
          <w:rFonts w:ascii="ＭＳ ゴシック" w:eastAsia="ＭＳ ゴシック" w:hAnsi="ＭＳ ゴシック"/>
          <w:sz w:val="22"/>
          <w:szCs w:val="22"/>
          <w:bdr w:val="single" w:sz="4" w:space="0" w:color="auto"/>
        </w:rPr>
      </w:pPr>
      <w:r w:rsidRPr="001D6D10">
        <w:rPr>
          <w:rFonts w:ascii="ＭＳ ゴシック" w:eastAsia="ＭＳ ゴシック" w:hAnsi="ＭＳ ゴシック" w:hint="eastAsia"/>
          <w:sz w:val="22"/>
          <w:szCs w:val="22"/>
          <w:bdr w:val="single" w:sz="4" w:space="0" w:color="auto"/>
        </w:rPr>
        <w:t>主たる担当：危機管理室、関係室・課</w:t>
      </w:r>
    </w:p>
    <w:p w14:paraId="474E9A92" w14:textId="77777777" w:rsidR="008B4B2B" w:rsidRPr="001D6D10" w:rsidRDefault="008B4B2B" w:rsidP="00E0548A">
      <w:pPr>
        <w:pStyle w:val="a0"/>
        <w:ind w:firstLineChars="200" w:firstLine="442"/>
        <w:outlineLvl w:val="2"/>
        <w:rPr>
          <w:rFonts w:ascii="ＭＳ ゴシック" w:eastAsia="ＭＳ ゴシック" w:hAnsi="ＭＳ ゴシック"/>
          <w:bCs/>
          <w:sz w:val="22"/>
          <w:szCs w:val="22"/>
          <w:u w:val="double"/>
        </w:rPr>
      </w:pPr>
      <w:bookmarkStart w:id="476" w:name="_Toc122436991"/>
      <w:bookmarkStart w:id="477" w:name="_Toc222433322"/>
      <w:bookmarkStart w:id="478" w:name="_Toc222486690"/>
      <w:bookmarkStart w:id="479" w:name="_Toc242870361"/>
      <w:r w:rsidRPr="001D6D10">
        <w:rPr>
          <w:rFonts w:ascii="ＭＳ ゴシック" w:eastAsia="ＭＳ ゴシック" w:hAnsi="ＭＳ ゴシック" w:hint="eastAsia"/>
          <w:bCs/>
          <w:sz w:val="22"/>
          <w:szCs w:val="22"/>
          <w:u w:val="double"/>
        </w:rPr>
        <w:t>第１　組織体制</w:t>
      </w:r>
      <w:bookmarkEnd w:id="476"/>
      <w:bookmarkEnd w:id="477"/>
      <w:bookmarkEnd w:id="478"/>
      <w:bookmarkEnd w:id="479"/>
    </w:p>
    <w:p w14:paraId="2D8CAC21" w14:textId="77777777" w:rsidR="008B4B2B" w:rsidRPr="001D6D10" w:rsidRDefault="008B4B2B" w:rsidP="008B4B2B">
      <w:pPr>
        <w:pStyle w:val="ad"/>
        <w:wordWrap/>
        <w:overflowPunct w:val="0"/>
        <w:spacing w:line="400" w:lineRule="exact"/>
        <w:ind w:left="442" w:hangingChars="200" w:hanging="442"/>
        <w:rPr>
          <w:rFonts w:ascii="ＭＳ ゴシック" w:eastAsia="ＭＳ ゴシック" w:hAnsi="ＭＳ ゴシック"/>
          <w:u w:val="single"/>
        </w:rPr>
      </w:pPr>
      <w:r w:rsidRPr="001D6D10">
        <w:rPr>
          <w:rFonts w:ascii="ＭＳ 明朝" w:hAnsi="ＭＳ 明朝" w:hint="eastAsia"/>
        </w:rPr>
        <w:t xml:space="preserve">　　　　</w:t>
      </w:r>
      <w:r w:rsidRPr="001D6D10">
        <w:rPr>
          <w:rFonts w:ascii="ＭＳ ゴシック" w:eastAsia="ＭＳ ゴシック" w:hAnsi="ＭＳ ゴシック" w:hint="eastAsia"/>
          <w:u w:val="single"/>
        </w:rPr>
        <w:t>１　大阪府原子力事故警戒班の活動（情報収集事態）</w:t>
      </w:r>
    </w:p>
    <w:p w14:paraId="08B446B5" w14:textId="77777777" w:rsidR="008B4B2B" w:rsidRPr="001D6D10" w:rsidRDefault="008B4B2B" w:rsidP="008B4B2B">
      <w:pPr>
        <w:pStyle w:val="ad"/>
        <w:wordWrap/>
        <w:overflowPunct w:val="0"/>
        <w:spacing w:line="400" w:lineRule="exact"/>
        <w:ind w:leftChars="500" w:left="1055" w:firstLineChars="100" w:firstLine="221"/>
        <w:rPr>
          <w:rFonts w:ascii="ＭＳ 明朝" w:hAnsi="ＭＳ 明朝"/>
        </w:rPr>
      </w:pPr>
      <w:r w:rsidRPr="001D6D10">
        <w:rPr>
          <w:rFonts w:ascii="ＭＳ 明朝" w:hAnsi="ＭＳ 明朝" w:hint="eastAsia"/>
        </w:rPr>
        <w:t>危機管理室長は、次の開始又は解除基準に該当する場合には、大阪府原子力事故警戒班（以下「原子力警戒班」という）に対し、活動の開始又は解除を指示する。</w:t>
      </w:r>
    </w:p>
    <w:p w14:paraId="070943A2" w14:textId="77777777" w:rsidR="008B4B2B" w:rsidRPr="001D6D10" w:rsidRDefault="008B4B2B" w:rsidP="008B4B2B">
      <w:pPr>
        <w:pStyle w:val="ad"/>
        <w:wordWrap/>
        <w:overflowPunct w:val="0"/>
        <w:spacing w:line="400" w:lineRule="exact"/>
        <w:rPr>
          <w:rFonts w:ascii="ＭＳ 明朝" w:hAnsi="ＭＳ 明朝"/>
        </w:rPr>
      </w:pPr>
      <w:r w:rsidRPr="001D6D10">
        <w:rPr>
          <w:rFonts w:ascii="ＭＳ 明朝" w:hAnsi="ＭＳ 明朝" w:hint="eastAsia"/>
        </w:rPr>
        <w:t xml:space="preserve">　　　　（１）開始基準</w:t>
      </w:r>
    </w:p>
    <w:p w14:paraId="097441F8" w14:textId="7CD36BE7" w:rsidR="008B4B2B" w:rsidRPr="001D6D10" w:rsidRDefault="008B4B2B" w:rsidP="008B4B2B">
      <w:pPr>
        <w:pStyle w:val="ad"/>
        <w:overflowPunct w:val="0"/>
        <w:spacing w:line="400" w:lineRule="exact"/>
        <w:ind w:leftChars="500" w:left="1276" w:hangingChars="100" w:hanging="221"/>
        <w:rPr>
          <w:rFonts w:ascii="ＭＳ 明朝" w:hAnsi="ＭＳ 明朝"/>
        </w:rPr>
      </w:pPr>
      <w:r w:rsidRPr="001D6D10">
        <w:rPr>
          <w:rFonts w:ascii="ＭＳ 明朝" w:hAnsi="ＭＳ 明朝" w:hint="eastAsia"/>
        </w:rPr>
        <w:t>①</w:t>
      </w:r>
      <w:r w:rsidR="0000630A">
        <w:rPr>
          <w:rFonts w:ascii="ＭＳ 明朝" w:hAnsi="ＭＳ 明朝" w:hint="eastAsia"/>
        </w:rPr>
        <w:t xml:space="preserve">　</w:t>
      </w:r>
      <w:r w:rsidRPr="001D6D10">
        <w:rPr>
          <w:rFonts w:ascii="ＭＳ 明朝" w:hAnsi="ＭＳ 明朝" w:hint="eastAsia"/>
        </w:rPr>
        <w:t>原子力規制委員会より情報収集事態が発生したことの連絡があったとき（地震を除く。）</w:t>
      </w:r>
    </w:p>
    <w:p w14:paraId="0AB709A3" w14:textId="384B4F9C" w:rsidR="008B4B2B" w:rsidRPr="001D6D10" w:rsidRDefault="008B4B2B" w:rsidP="00E0548A">
      <w:pPr>
        <w:pStyle w:val="ad"/>
        <w:overflowPunct w:val="0"/>
        <w:spacing w:line="400" w:lineRule="exact"/>
        <w:ind w:leftChars="200" w:left="422" w:firstLineChars="300" w:firstLine="663"/>
        <w:rPr>
          <w:rFonts w:ascii="ＭＳ 明朝" w:hAnsi="ＭＳ 明朝"/>
        </w:rPr>
      </w:pPr>
      <w:r w:rsidRPr="001D6D10">
        <w:rPr>
          <w:rFonts w:ascii="ＭＳ 明朝" w:hAnsi="ＭＳ 明朝" w:hint="eastAsia"/>
        </w:rPr>
        <w:t>②</w:t>
      </w:r>
      <w:r w:rsidR="0000630A">
        <w:rPr>
          <w:rFonts w:ascii="ＭＳ 明朝" w:hAnsi="ＭＳ 明朝" w:hint="eastAsia"/>
        </w:rPr>
        <w:t xml:space="preserve">　</w:t>
      </w:r>
      <w:r w:rsidRPr="001D6D10">
        <w:rPr>
          <w:rFonts w:ascii="ＭＳ 明朝" w:hAnsi="ＭＳ 明朝" w:hint="eastAsia"/>
        </w:rPr>
        <w:t>その他防災企画課長が必要と認めたとき</w:t>
      </w:r>
    </w:p>
    <w:p w14:paraId="2AF95BF4" w14:textId="77777777" w:rsidR="008B4B2B" w:rsidRPr="001D6D10" w:rsidRDefault="008B4B2B" w:rsidP="008B4B2B">
      <w:pPr>
        <w:pStyle w:val="ad"/>
        <w:wordWrap/>
        <w:overflowPunct w:val="0"/>
        <w:spacing w:line="400" w:lineRule="exact"/>
        <w:ind w:left="442" w:hangingChars="200" w:hanging="442"/>
        <w:rPr>
          <w:rFonts w:ascii="ＭＳ 明朝" w:hAnsi="ＭＳ 明朝"/>
        </w:rPr>
      </w:pPr>
      <w:r w:rsidRPr="001D6D10">
        <w:rPr>
          <w:rFonts w:ascii="ＭＳ 明朝" w:hAnsi="ＭＳ 明朝" w:hint="eastAsia"/>
        </w:rPr>
        <w:t xml:space="preserve">　　　　（２）解除基準</w:t>
      </w:r>
    </w:p>
    <w:p w14:paraId="3B4959C9" w14:textId="78D00B97" w:rsidR="008B4B2B" w:rsidRPr="001D6D10" w:rsidRDefault="008B4B2B" w:rsidP="008B4B2B">
      <w:pPr>
        <w:pStyle w:val="ad"/>
        <w:wordWrap/>
        <w:overflowPunct w:val="0"/>
        <w:spacing w:line="400" w:lineRule="exact"/>
        <w:ind w:left="1327" w:hangingChars="600" w:hanging="1327"/>
        <w:rPr>
          <w:rFonts w:ascii="ＭＳ 明朝" w:hAnsi="ＭＳ 明朝"/>
        </w:rPr>
      </w:pPr>
      <w:r w:rsidRPr="001D6D10">
        <w:rPr>
          <w:rFonts w:ascii="ＭＳ 明朝" w:hAnsi="ＭＳ 明朝" w:hint="eastAsia"/>
        </w:rPr>
        <w:t xml:space="preserve">　　　　　①</w:t>
      </w:r>
      <w:r w:rsidR="0000630A">
        <w:rPr>
          <w:rFonts w:ascii="ＭＳ 明朝" w:hAnsi="ＭＳ 明朝" w:hint="eastAsia"/>
        </w:rPr>
        <w:t xml:space="preserve">　</w:t>
      </w:r>
      <w:r w:rsidRPr="001D6D10">
        <w:rPr>
          <w:rFonts w:ascii="ＭＳ 明朝" w:hAnsi="ＭＳ 明朝" w:hint="eastAsia"/>
        </w:rPr>
        <w:t>災害等に係る情報収集・関係機関への連絡等の必要がなくなったと認められる場合</w:t>
      </w:r>
    </w:p>
    <w:p w14:paraId="08064C10" w14:textId="60599CAF" w:rsidR="008B4B2B" w:rsidRPr="001D6D10" w:rsidRDefault="008B4B2B" w:rsidP="008B4B2B">
      <w:pPr>
        <w:pStyle w:val="ad"/>
        <w:overflowPunct w:val="0"/>
        <w:spacing w:line="400" w:lineRule="exact"/>
        <w:rPr>
          <w:rFonts w:ascii="ＭＳ 明朝" w:hAnsi="ＭＳ 明朝"/>
        </w:rPr>
      </w:pPr>
      <w:r w:rsidRPr="001D6D10">
        <w:rPr>
          <w:rFonts w:ascii="ＭＳ 明朝" w:hAnsi="ＭＳ 明朝" w:hint="eastAsia"/>
        </w:rPr>
        <w:t xml:space="preserve">　　　　　②</w:t>
      </w:r>
      <w:r w:rsidR="0000630A">
        <w:rPr>
          <w:rFonts w:ascii="ＭＳ 明朝" w:hAnsi="ＭＳ 明朝" w:hint="eastAsia"/>
        </w:rPr>
        <w:t xml:space="preserve">　</w:t>
      </w:r>
      <w:r w:rsidRPr="001D6D10">
        <w:rPr>
          <w:rFonts w:ascii="ＭＳ 明朝" w:hAnsi="ＭＳ 明朝" w:hint="eastAsia"/>
        </w:rPr>
        <w:t>防災・危機管理指令部が活動を開始したとき</w:t>
      </w:r>
    </w:p>
    <w:p w14:paraId="74A0C5B2" w14:textId="68DCD717" w:rsidR="008B4B2B" w:rsidRPr="001D6D10" w:rsidRDefault="008B4B2B" w:rsidP="008B4B2B">
      <w:pPr>
        <w:pStyle w:val="ad"/>
        <w:wordWrap/>
        <w:overflowPunct w:val="0"/>
        <w:spacing w:line="400" w:lineRule="exact"/>
        <w:rPr>
          <w:rFonts w:ascii="ＭＳ 明朝" w:hAnsi="ＭＳ 明朝"/>
        </w:rPr>
      </w:pPr>
      <w:r w:rsidRPr="001D6D10">
        <w:rPr>
          <w:rFonts w:ascii="ＭＳ 明朝" w:hAnsi="ＭＳ 明朝" w:hint="eastAsia"/>
        </w:rPr>
        <w:t xml:space="preserve">　　　　　③</w:t>
      </w:r>
      <w:r w:rsidR="0000630A">
        <w:rPr>
          <w:rFonts w:ascii="ＭＳ 明朝" w:hAnsi="ＭＳ 明朝" w:hint="eastAsia"/>
        </w:rPr>
        <w:t xml:space="preserve">　</w:t>
      </w:r>
      <w:r w:rsidRPr="001D6D10">
        <w:rPr>
          <w:rFonts w:ascii="ＭＳ 明朝" w:hAnsi="ＭＳ 明朝" w:hint="eastAsia"/>
        </w:rPr>
        <w:t>災害警戒本部が設置されたとき</w:t>
      </w:r>
    </w:p>
    <w:p w14:paraId="56CD2D3B" w14:textId="77777777" w:rsidR="008B4B2B" w:rsidRPr="001D6D10" w:rsidRDefault="008B4B2B" w:rsidP="008B4B2B">
      <w:pPr>
        <w:pStyle w:val="ad"/>
        <w:wordWrap/>
        <w:overflowPunct w:val="0"/>
        <w:spacing w:line="400" w:lineRule="exact"/>
        <w:ind w:left="442" w:hangingChars="200" w:hanging="442"/>
        <w:rPr>
          <w:rFonts w:ascii="ＭＳ 明朝" w:hAnsi="ＭＳ 明朝"/>
        </w:rPr>
      </w:pPr>
      <w:r w:rsidRPr="001D6D10">
        <w:rPr>
          <w:rFonts w:ascii="ＭＳ 明朝" w:hAnsi="ＭＳ 明朝" w:hint="eastAsia"/>
        </w:rPr>
        <w:t xml:space="preserve">　　　　（３）組織</w:t>
      </w:r>
    </w:p>
    <w:p w14:paraId="184D1C1C" w14:textId="77777777" w:rsidR="008B4B2B" w:rsidRPr="001D6D10" w:rsidRDefault="008B4B2B" w:rsidP="008B4B2B">
      <w:pPr>
        <w:pStyle w:val="ad"/>
        <w:wordWrap/>
        <w:overflowPunct w:val="0"/>
        <w:spacing w:line="400" w:lineRule="exact"/>
        <w:ind w:left="442" w:hangingChars="200" w:hanging="442"/>
        <w:rPr>
          <w:rFonts w:ascii="ＭＳ 明朝" w:hAnsi="ＭＳ 明朝"/>
        </w:rPr>
      </w:pPr>
      <w:r w:rsidRPr="001D6D10">
        <w:rPr>
          <w:rFonts w:ascii="ＭＳ 明朝" w:hAnsi="ＭＳ 明朝" w:hint="eastAsia"/>
        </w:rPr>
        <w:t xml:space="preserve">　　　　　　班長：危機管理室防災企画課課長補佐（計画推進Ｇ）</w:t>
      </w:r>
    </w:p>
    <w:p w14:paraId="613C1252" w14:textId="77777777" w:rsidR="008B4B2B" w:rsidRPr="001D6D10" w:rsidRDefault="008B4B2B" w:rsidP="008B4B2B">
      <w:pPr>
        <w:pStyle w:val="ad"/>
        <w:wordWrap/>
        <w:overflowPunct w:val="0"/>
        <w:spacing w:line="400" w:lineRule="exact"/>
        <w:ind w:left="442" w:hangingChars="200" w:hanging="442"/>
        <w:rPr>
          <w:rFonts w:ascii="ＭＳ 明朝" w:hAnsi="ＭＳ 明朝"/>
        </w:rPr>
      </w:pPr>
      <w:r w:rsidRPr="001D6D10">
        <w:rPr>
          <w:rFonts w:ascii="ＭＳ 明朝" w:hAnsi="ＭＳ 明朝" w:hint="eastAsia"/>
        </w:rPr>
        <w:t xml:space="preserve">　　　　　　班員：危機管理室防災企画課職員（計画推進Ｇ）</w:t>
      </w:r>
    </w:p>
    <w:p w14:paraId="5897BDD0" w14:textId="77777777" w:rsidR="008B4B2B" w:rsidRPr="001D6D10" w:rsidRDefault="008B4B2B" w:rsidP="008B4B2B">
      <w:pPr>
        <w:pStyle w:val="ad"/>
        <w:wordWrap/>
        <w:overflowPunct w:val="0"/>
        <w:spacing w:line="400" w:lineRule="exact"/>
        <w:ind w:left="442" w:hangingChars="200" w:hanging="442"/>
        <w:rPr>
          <w:rFonts w:ascii="ＭＳ 明朝" w:hAnsi="ＭＳ 明朝"/>
        </w:rPr>
      </w:pPr>
      <w:r w:rsidRPr="001D6D10">
        <w:rPr>
          <w:rFonts w:ascii="ＭＳ 明朝" w:hAnsi="ＭＳ 明朝" w:hint="eastAsia"/>
        </w:rPr>
        <w:t xml:space="preserve">　　　　（４）編成</w:t>
      </w:r>
    </w:p>
    <w:p w14:paraId="5059AF3A" w14:textId="77777777" w:rsidR="008B4B2B" w:rsidRPr="001D6D10" w:rsidRDefault="008B4B2B" w:rsidP="008B4B2B">
      <w:pPr>
        <w:pStyle w:val="ad"/>
        <w:overflowPunct w:val="0"/>
        <w:spacing w:line="400" w:lineRule="exact"/>
        <w:ind w:left="442" w:hangingChars="200" w:hanging="442"/>
        <w:rPr>
          <w:rFonts w:ascii="ＭＳ 明朝" w:hAnsi="ＭＳ 明朝"/>
        </w:rPr>
      </w:pPr>
      <w:r w:rsidRPr="001D6D10">
        <w:rPr>
          <w:rFonts w:ascii="ＭＳ 明朝" w:hAnsi="ＭＳ 明朝" w:hint="eastAsia"/>
        </w:rPr>
        <w:t xml:space="preserve">　　　　　　　危機管理室長が、毎年度当初に別に定める。</w:t>
      </w:r>
    </w:p>
    <w:p w14:paraId="1BA415AB" w14:textId="77777777" w:rsidR="008B4B2B" w:rsidRPr="001D6D10" w:rsidRDefault="008B4B2B" w:rsidP="008B4B2B">
      <w:pPr>
        <w:pStyle w:val="ad"/>
        <w:wordWrap/>
        <w:overflowPunct w:val="0"/>
        <w:spacing w:line="400" w:lineRule="exact"/>
        <w:ind w:left="442" w:hangingChars="200" w:hanging="442"/>
        <w:rPr>
          <w:rFonts w:ascii="ＭＳ 明朝" w:hAnsi="ＭＳ 明朝"/>
        </w:rPr>
      </w:pPr>
      <w:r w:rsidRPr="001D6D10">
        <w:rPr>
          <w:rFonts w:ascii="ＭＳ 明朝" w:hAnsi="ＭＳ 明朝" w:hint="eastAsia"/>
        </w:rPr>
        <w:t xml:space="preserve">　　　　（５）活動内容</w:t>
      </w:r>
    </w:p>
    <w:p w14:paraId="00E0138C" w14:textId="77777777" w:rsidR="008B4B2B" w:rsidRPr="001D6D10" w:rsidRDefault="008B4B2B" w:rsidP="008B4B2B">
      <w:pPr>
        <w:pStyle w:val="ad"/>
        <w:wordWrap/>
        <w:overflowPunct w:val="0"/>
        <w:spacing w:line="400" w:lineRule="exact"/>
        <w:ind w:left="442" w:hangingChars="200" w:hanging="442"/>
        <w:rPr>
          <w:rFonts w:ascii="ＭＳ 明朝" w:hAnsi="ＭＳ 明朝"/>
        </w:rPr>
      </w:pPr>
      <w:r w:rsidRPr="001D6D10">
        <w:rPr>
          <w:rFonts w:ascii="ＭＳ 明朝" w:hAnsi="ＭＳ 明朝" w:hint="eastAsia"/>
        </w:rPr>
        <w:t xml:space="preserve">　　　　　　・被害情報、モニタリング情報等の収集</w:t>
      </w:r>
    </w:p>
    <w:p w14:paraId="2F5A8DD8" w14:textId="77777777" w:rsidR="008B4B2B" w:rsidRPr="001D6D10" w:rsidRDefault="008B4B2B" w:rsidP="008B4B2B">
      <w:pPr>
        <w:pStyle w:val="ad"/>
        <w:wordWrap/>
        <w:overflowPunct w:val="0"/>
        <w:spacing w:line="400" w:lineRule="exact"/>
        <w:ind w:left="1548" w:hangingChars="700" w:hanging="1548"/>
        <w:rPr>
          <w:rFonts w:ascii="ＭＳ 明朝" w:hAnsi="ＭＳ 明朝"/>
        </w:rPr>
      </w:pPr>
      <w:r w:rsidRPr="001D6D10">
        <w:rPr>
          <w:rFonts w:ascii="ＭＳ 明朝" w:hAnsi="ＭＳ 明朝" w:hint="eastAsia"/>
        </w:rPr>
        <w:t xml:space="preserve">　　　　　　・原子力規制事務所、関係市町、原子力事業者、環境放射線評価会議委員等との連絡調整</w:t>
      </w:r>
    </w:p>
    <w:p w14:paraId="400062D9" w14:textId="77777777" w:rsidR="008B4B2B" w:rsidRPr="001D6D10" w:rsidRDefault="008B4B2B" w:rsidP="008B4B2B">
      <w:pPr>
        <w:pStyle w:val="ad"/>
        <w:wordWrap/>
        <w:overflowPunct w:val="0"/>
        <w:spacing w:line="400" w:lineRule="exact"/>
        <w:ind w:left="442" w:hangingChars="200" w:hanging="442"/>
        <w:rPr>
          <w:rFonts w:ascii="ＭＳ 明朝" w:hAnsi="ＭＳ 明朝"/>
        </w:rPr>
      </w:pPr>
    </w:p>
    <w:p w14:paraId="69DCF9D5" w14:textId="77777777" w:rsidR="008B4B2B" w:rsidRPr="001D6D10" w:rsidRDefault="008B4B2B" w:rsidP="008B4B2B">
      <w:pPr>
        <w:pStyle w:val="ad"/>
        <w:wordWrap/>
        <w:overflowPunct w:val="0"/>
        <w:spacing w:line="400" w:lineRule="exact"/>
        <w:ind w:left="442" w:hangingChars="200" w:hanging="442"/>
        <w:rPr>
          <w:rFonts w:ascii="ＭＳ ゴシック" w:eastAsia="ＭＳ ゴシック" w:hAnsi="ＭＳ ゴシック"/>
          <w:u w:val="single"/>
        </w:rPr>
      </w:pPr>
      <w:r w:rsidRPr="001D6D10">
        <w:rPr>
          <w:rFonts w:ascii="ＭＳ ゴシック" w:eastAsia="ＭＳ ゴシック" w:hAnsi="ＭＳ ゴシック" w:hint="eastAsia"/>
        </w:rPr>
        <w:t xml:space="preserve">　　　　</w:t>
      </w:r>
      <w:r w:rsidRPr="001D6D10">
        <w:rPr>
          <w:rFonts w:ascii="ＭＳ ゴシック" w:eastAsia="ＭＳ ゴシック" w:hAnsi="ＭＳ ゴシック" w:hint="eastAsia"/>
          <w:u w:val="single"/>
        </w:rPr>
        <w:t>２　大阪府防災・危機管理指令部の活動（警戒事態）</w:t>
      </w:r>
    </w:p>
    <w:p w14:paraId="5D693E30" w14:textId="77777777" w:rsidR="008B4B2B" w:rsidRPr="001D6D10" w:rsidRDefault="008B4B2B" w:rsidP="008B4B2B">
      <w:pPr>
        <w:pStyle w:val="ad"/>
        <w:overflowPunct w:val="0"/>
        <w:spacing w:line="400" w:lineRule="exact"/>
        <w:ind w:leftChars="500" w:left="1055" w:firstLineChars="100" w:firstLine="221"/>
        <w:rPr>
          <w:rFonts w:ascii="ＭＳ 明朝" w:hAnsi="ＭＳ 明朝"/>
        </w:rPr>
      </w:pPr>
      <w:r w:rsidRPr="001D6D10">
        <w:rPr>
          <w:rFonts w:ascii="ＭＳ 明朝" w:hAnsi="ＭＳ 明朝" w:hint="eastAsia"/>
        </w:rPr>
        <w:t>危機管理監は、次の活動又は解除基準に該当する場合には、防災・危機管理指令部（以下「府指令部」という）に対し、活動の開始又は解除を指示する。</w:t>
      </w:r>
    </w:p>
    <w:p w14:paraId="2983A12A" w14:textId="77777777" w:rsidR="008B4B2B" w:rsidRPr="001D6D10" w:rsidRDefault="008B4B2B" w:rsidP="008B4B2B">
      <w:pPr>
        <w:pStyle w:val="ad"/>
        <w:overflowPunct w:val="0"/>
        <w:spacing w:line="400" w:lineRule="exact"/>
        <w:ind w:firstLineChars="400" w:firstLine="884"/>
        <w:rPr>
          <w:rFonts w:ascii="ＭＳ 明朝" w:hAnsi="ＭＳ 明朝"/>
        </w:rPr>
      </w:pPr>
      <w:r w:rsidRPr="001D6D10">
        <w:rPr>
          <w:rFonts w:ascii="ＭＳ 明朝" w:hAnsi="ＭＳ 明朝" w:hint="eastAsia"/>
        </w:rPr>
        <w:t>（１）活動基準</w:t>
      </w:r>
    </w:p>
    <w:p w14:paraId="39CA870C" w14:textId="7B346E4F" w:rsidR="008B4B2B" w:rsidRPr="001D6D10" w:rsidRDefault="008B4B2B" w:rsidP="008B4B2B">
      <w:pPr>
        <w:pStyle w:val="ad"/>
        <w:overflowPunct w:val="0"/>
        <w:spacing w:line="400" w:lineRule="exact"/>
        <w:ind w:firstLineChars="500" w:firstLine="1105"/>
        <w:rPr>
          <w:rFonts w:ascii="ＭＳ 明朝" w:hAnsi="ＭＳ 明朝"/>
        </w:rPr>
      </w:pPr>
      <w:r w:rsidRPr="001D6D10">
        <w:rPr>
          <w:rFonts w:ascii="ＭＳ 明朝" w:hAnsi="ＭＳ 明朝" w:hint="eastAsia"/>
        </w:rPr>
        <w:t>①</w:t>
      </w:r>
      <w:r w:rsidR="0000630A">
        <w:rPr>
          <w:rFonts w:ascii="ＭＳ 明朝" w:hAnsi="ＭＳ 明朝" w:hint="eastAsia"/>
        </w:rPr>
        <w:t xml:space="preserve">　</w:t>
      </w:r>
      <w:r w:rsidRPr="001D6D10">
        <w:rPr>
          <w:rFonts w:ascii="ＭＳ 明朝" w:hAnsi="ＭＳ 明朝" w:hint="eastAsia"/>
        </w:rPr>
        <w:t>原子力事業者より警戒事態事象発生の連絡があったとき（地震を除く。）</w:t>
      </w:r>
    </w:p>
    <w:p w14:paraId="29ABB971" w14:textId="2578CE8D" w:rsidR="008B4B2B" w:rsidRPr="001D6D10" w:rsidRDefault="008B4B2B" w:rsidP="008B4B2B">
      <w:pPr>
        <w:pStyle w:val="ad"/>
        <w:overflowPunct w:val="0"/>
        <w:spacing w:line="400" w:lineRule="exact"/>
        <w:ind w:firstLineChars="500" w:firstLine="1105"/>
        <w:rPr>
          <w:rFonts w:ascii="ＭＳ 明朝" w:hAnsi="ＭＳ 明朝"/>
        </w:rPr>
      </w:pPr>
      <w:r w:rsidRPr="001D6D10">
        <w:rPr>
          <w:rFonts w:ascii="ＭＳ 明朝" w:hAnsi="ＭＳ 明朝" w:hint="eastAsia"/>
        </w:rPr>
        <w:t>②</w:t>
      </w:r>
      <w:r w:rsidR="0000630A">
        <w:rPr>
          <w:rFonts w:ascii="ＭＳ 明朝" w:hAnsi="ＭＳ 明朝" w:hint="eastAsia"/>
        </w:rPr>
        <w:t xml:space="preserve">　</w:t>
      </w:r>
      <w:r w:rsidRPr="001D6D10">
        <w:rPr>
          <w:rFonts w:ascii="ＭＳ 明朝" w:hAnsi="ＭＳ 明朝" w:hint="eastAsia"/>
        </w:rPr>
        <w:t>原子力規制委員会より警戒事態が発生したことの連絡があったとき</w:t>
      </w:r>
    </w:p>
    <w:p w14:paraId="3BF5F4F9" w14:textId="77777777" w:rsidR="008B4B2B" w:rsidRPr="001D6D10" w:rsidRDefault="008B4B2B" w:rsidP="008B4B2B">
      <w:pPr>
        <w:pStyle w:val="ad"/>
        <w:overflowPunct w:val="0"/>
        <w:spacing w:line="400" w:lineRule="exact"/>
        <w:ind w:firstLineChars="500" w:firstLine="1105"/>
        <w:rPr>
          <w:rFonts w:ascii="ＭＳ 明朝" w:hAnsi="ＭＳ 明朝"/>
        </w:rPr>
      </w:pPr>
      <w:r w:rsidRPr="001D6D10">
        <w:rPr>
          <w:rFonts w:ascii="ＭＳ 明朝" w:hAnsi="ＭＳ 明朝" w:hint="eastAsia"/>
        </w:rPr>
        <w:t>（地震を除く。）</w:t>
      </w:r>
    </w:p>
    <w:p w14:paraId="000F6AC9" w14:textId="3C39E9EA" w:rsidR="00133D5B" w:rsidRPr="001D6D10" w:rsidRDefault="008B4B2B" w:rsidP="008B4B2B">
      <w:pPr>
        <w:pStyle w:val="ad"/>
        <w:overflowPunct w:val="0"/>
        <w:spacing w:line="400" w:lineRule="exact"/>
        <w:ind w:firstLineChars="500" w:firstLine="1105"/>
        <w:rPr>
          <w:rFonts w:ascii="ＭＳ 明朝" w:hAnsi="ＭＳ 明朝"/>
        </w:rPr>
      </w:pPr>
      <w:r w:rsidRPr="001D6D10">
        <w:rPr>
          <w:rFonts w:ascii="ＭＳ 明朝" w:hAnsi="ＭＳ 明朝" w:hint="eastAsia"/>
        </w:rPr>
        <w:lastRenderedPageBreak/>
        <w:t>③</w:t>
      </w:r>
      <w:r w:rsidR="0000630A">
        <w:rPr>
          <w:rFonts w:ascii="ＭＳ 明朝" w:hAnsi="ＭＳ 明朝" w:hint="eastAsia"/>
        </w:rPr>
        <w:t xml:space="preserve">　</w:t>
      </w:r>
      <w:r w:rsidRPr="001D6D10">
        <w:rPr>
          <w:rFonts w:ascii="ＭＳ 明朝" w:hAnsi="ＭＳ 明朝" w:hint="eastAsia"/>
        </w:rPr>
        <w:t>その他危機管理監が必要と認めたとき</w:t>
      </w:r>
    </w:p>
    <w:p w14:paraId="109B04DF" w14:textId="548BA9D8" w:rsidR="00572D04" w:rsidRPr="001D6D10" w:rsidRDefault="00133D5B" w:rsidP="00E0548A">
      <w:pPr>
        <w:pStyle w:val="ad"/>
        <w:overflowPunct w:val="0"/>
        <w:spacing w:line="400" w:lineRule="exact"/>
        <w:ind w:left="1559" w:hangingChars="705" w:hanging="1559"/>
        <w:rPr>
          <w:rFonts w:ascii="ＭＳ 明朝" w:hAnsi="ＭＳ 明朝"/>
        </w:rPr>
      </w:pPr>
      <w:r>
        <w:rPr>
          <w:rFonts w:ascii="ＭＳ 明朝" w:hAnsi="ＭＳ 明朝" w:hint="eastAsia"/>
        </w:rPr>
        <w:t xml:space="preserve">　　　　</w:t>
      </w:r>
      <w:r w:rsidR="008B4B2B" w:rsidRPr="001D6D10">
        <w:rPr>
          <w:rFonts w:ascii="ＭＳ 明朝" w:hAnsi="ＭＳ 明朝" w:hint="eastAsia"/>
        </w:rPr>
        <w:t xml:space="preserve">　</w:t>
      </w:r>
      <w:r w:rsidR="00572D04">
        <w:rPr>
          <w:rFonts w:ascii="ＭＳ 明朝" w:hAnsi="ＭＳ 明朝" w:hint="eastAsia"/>
        </w:rPr>
        <w:t xml:space="preserve">　</w:t>
      </w:r>
      <w:r w:rsidR="008B4B2B" w:rsidRPr="001D6D10">
        <w:rPr>
          <w:rFonts w:ascii="ＭＳ 明朝" w:hAnsi="ＭＳ 明朝" w:hint="eastAsia"/>
        </w:rPr>
        <w:t>・事業者放射線測定設備において、10分以上１μSv/h以上の放射線量を検出した旨の通報を受信したとき</w:t>
      </w:r>
    </w:p>
    <w:p w14:paraId="070B34EF" w14:textId="0CFF9585" w:rsidR="008B4B2B" w:rsidRPr="001D6D10" w:rsidRDefault="008B4B2B" w:rsidP="00E0548A">
      <w:pPr>
        <w:pStyle w:val="ad"/>
        <w:overflowPunct w:val="0"/>
        <w:spacing w:line="400" w:lineRule="exact"/>
        <w:ind w:leftChars="604" w:left="1558" w:hangingChars="128" w:hanging="283"/>
        <w:rPr>
          <w:rFonts w:ascii="ＭＳ 明朝" w:hAnsi="ＭＳ 明朝"/>
        </w:rPr>
      </w:pPr>
      <w:r w:rsidRPr="001D6D10">
        <w:rPr>
          <w:rFonts w:ascii="ＭＳ 明朝" w:hAnsi="ＭＳ 明朝" w:hint="eastAsia"/>
        </w:rPr>
        <w:t>・その他府指令部の活動が必要と認められるとき</w:t>
      </w:r>
    </w:p>
    <w:p w14:paraId="53FA5737" w14:textId="77777777" w:rsidR="008B4B2B" w:rsidRPr="001D6D10" w:rsidRDefault="008B4B2B" w:rsidP="008B4B2B">
      <w:pPr>
        <w:pStyle w:val="ad"/>
        <w:wordWrap/>
        <w:overflowPunct w:val="0"/>
        <w:spacing w:line="400" w:lineRule="exact"/>
        <w:ind w:left="442" w:hangingChars="200" w:hanging="442"/>
        <w:rPr>
          <w:rFonts w:ascii="ＭＳ 明朝" w:hAnsi="ＭＳ 明朝"/>
        </w:rPr>
      </w:pPr>
      <w:r w:rsidRPr="001D6D10">
        <w:rPr>
          <w:rFonts w:ascii="ＭＳ 明朝" w:hAnsi="ＭＳ 明朝" w:hint="eastAsia"/>
        </w:rPr>
        <w:t xml:space="preserve">　　　　（２）解除基準</w:t>
      </w:r>
    </w:p>
    <w:p w14:paraId="45F0C121" w14:textId="4E5CF2B6" w:rsidR="008B4B2B" w:rsidRPr="001D6D10" w:rsidRDefault="008B4B2B" w:rsidP="008B4B2B">
      <w:pPr>
        <w:pStyle w:val="ad"/>
        <w:overflowPunct w:val="0"/>
        <w:spacing w:line="400" w:lineRule="exact"/>
        <w:ind w:left="442" w:hangingChars="200" w:hanging="442"/>
        <w:rPr>
          <w:rFonts w:ascii="ＭＳ 明朝" w:hAnsi="ＭＳ 明朝"/>
        </w:rPr>
      </w:pPr>
      <w:r w:rsidRPr="001D6D10">
        <w:rPr>
          <w:rFonts w:ascii="ＭＳ 明朝" w:hAnsi="ＭＳ 明朝" w:hint="eastAsia"/>
        </w:rPr>
        <w:t xml:space="preserve">　　　　　①</w:t>
      </w:r>
      <w:r w:rsidR="0000630A">
        <w:rPr>
          <w:rFonts w:ascii="ＭＳ 明朝" w:hAnsi="ＭＳ 明朝" w:hint="eastAsia"/>
        </w:rPr>
        <w:t xml:space="preserve">　</w:t>
      </w:r>
      <w:r w:rsidRPr="001D6D10">
        <w:rPr>
          <w:rFonts w:ascii="ＭＳ 明朝" w:hAnsi="ＭＳ 明朝" w:hint="eastAsia"/>
        </w:rPr>
        <w:t>災害発生のおそれが解消したとき</w:t>
      </w:r>
    </w:p>
    <w:p w14:paraId="402DFB43" w14:textId="5ED80276" w:rsidR="008B4B2B" w:rsidRPr="001D6D10" w:rsidRDefault="008B4B2B" w:rsidP="008B4B2B">
      <w:pPr>
        <w:pStyle w:val="ad"/>
        <w:wordWrap/>
        <w:overflowPunct w:val="0"/>
        <w:spacing w:line="400" w:lineRule="exact"/>
        <w:ind w:left="442" w:hangingChars="200" w:hanging="442"/>
        <w:rPr>
          <w:rFonts w:ascii="ＭＳ 明朝" w:hAnsi="ＭＳ 明朝"/>
        </w:rPr>
      </w:pPr>
      <w:r w:rsidRPr="001D6D10">
        <w:rPr>
          <w:rFonts w:ascii="ＭＳ 明朝" w:hAnsi="ＭＳ 明朝" w:hint="eastAsia"/>
        </w:rPr>
        <w:t xml:space="preserve">　　　　　②</w:t>
      </w:r>
      <w:r w:rsidR="0000630A">
        <w:rPr>
          <w:rFonts w:ascii="ＭＳ 明朝" w:hAnsi="ＭＳ 明朝" w:hint="eastAsia"/>
        </w:rPr>
        <w:t xml:space="preserve">　</w:t>
      </w:r>
      <w:r w:rsidRPr="001D6D10">
        <w:rPr>
          <w:rFonts w:ascii="ＭＳ 明朝" w:hAnsi="ＭＳ 明朝" w:hint="eastAsia"/>
        </w:rPr>
        <w:t>災害応急対策がおおむね完了したとき</w:t>
      </w:r>
    </w:p>
    <w:p w14:paraId="3F0CFEE0" w14:textId="77777777" w:rsidR="008B4B2B" w:rsidRPr="008A3EDE" w:rsidRDefault="008B4B2B" w:rsidP="008B4B2B">
      <w:pPr>
        <w:pStyle w:val="ad"/>
        <w:wordWrap/>
        <w:overflowPunct w:val="0"/>
        <w:spacing w:line="400" w:lineRule="exact"/>
        <w:ind w:left="442" w:hangingChars="200" w:hanging="442"/>
        <w:rPr>
          <w:rFonts w:ascii="ＭＳ 明朝" w:hAnsi="ＭＳ 明朝"/>
        </w:rPr>
      </w:pPr>
      <w:r w:rsidRPr="001D6D10">
        <w:rPr>
          <w:rFonts w:ascii="ＭＳ 明朝" w:hAnsi="ＭＳ 明朝" w:hint="eastAsia"/>
        </w:rPr>
        <w:t xml:space="preserve">　　　　（３）</w:t>
      </w:r>
      <w:r w:rsidRPr="008A3EDE">
        <w:rPr>
          <w:rFonts w:ascii="ＭＳ 明朝" w:hAnsi="ＭＳ 明朝" w:hint="eastAsia"/>
        </w:rPr>
        <w:t>組織</w:t>
      </w:r>
    </w:p>
    <w:p w14:paraId="709AA06D" w14:textId="77777777" w:rsidR="008B4B2B" w:rsidRPr="008A3EDE" w:rsidRDefault="008B4B2B" w:rsidP="008B4B2B">
      <w:pPr>
        <w:pStyle w:val="ad"/>
        <w:overflowPunct w:val="0"/>
        <w:spacing w:line="400" w:lineRule="exact"/>
        <w:ind w:leftChars="200" w:left="422" w:firstLineChars="400" w:firstLine="884"/>
        <w:rPr>
          <w:rFonts w:ascii="ＭＳ 明朝" w:hAnsi="ＭＳ 明朝"/>
        </w:rPr>
      </w:pPr>
      <w:r w:rsidRPr="008A3EDE">
        <w:rPr>
          <w:rFonts w:ascii="ＭＳ 明朝" w:hAnsi="ＭＳ 明朝" w:hint="eastAsia"/>
        </w:rPr>
        <w:t>指令部長：危機管理監</w:t>
      </w:r>
    </w:p>
    <w:p w14:paraId="7709799E" w14:textId="77777777" w:rsidR="008B4B2B" w:rsidRPr="008A3EDE" w:rsidRDefault="008B4B2B" w:rsidP="008B4B2B">
      <w:pPr>
        <w:pStyle w:val="ad"/>
        <w:overflowPunct w:val="0"/>
        <w:spacing w:line="400" w:lineRule="exact"/>
        <w:ind w:leftChars="200" w:left="422" w:firstLineChars="400" w:firstLine="884"/>
        <w:rPr>
          <w:rFonts w:ascii="ＭＳ 明朝" w:hAnsi="ＭＳ 明朝"/>
        </w:rPr>
      </w:pPr>
      <w:r w:rsidRPr="008A3EDE">
        <w:rPr>
          <w:rFonts w:ascii="ＭＳ 明朝" w:hAnsi="ＭＳ 明朝" w:hint="eastAsia"/>
        </w:rPr>
        <w:t>指令部副部長：危機管理室長、危機管理センター長</w:t>
      </w:r>
    </w:p>
    <w:p w14:paraId="418BA4B3" w14:textId="77777777" w:rsidR="008B4B2B" w:rsidRPr="008A3EDE" w:rsidRDefault="008B4B2B" w:rsidP="008B4B2B">
      <w:pPr>
        <w:pStyle w:val="ad"/>
        <w:overflowPunct w:val="0"/>
        <w:spacing w:line="400" w:lineRule="exact"/>
        <w:ind w:leftChars="200" w:left="422" w:firstLineChars="400" w:firstLine="884"/>
        <w:rPr>
          <w:rFonts w:ascii="ＭＳ 明朝" w:hAnsi="ＭＳ 明朝"/>
        </w:rPr>
      </w:pPr>
      <w:r w:rsidRPr="008A3EDE">
        <w:rPr>
          <w:rFonts w:ascii="ＭＳ 明朝" w:hAnsi="ＭＳ 明朝" w:hint="eastAsia"/>
        </w:rPr>
        <w:t>指令部員：防災企画課長、災害対策課長、消防保安課長、</w:t>
      </w:r>
    </w:p>
    <w:p w14:paraId="253A3C13" w14:textId="4417BED2" w:rsidR="008B4B2B" w:rsidRPr="008A3EDE" w:rsidRDefault="00D90277" w:rsidP="008B4B2B">
      <w:pPr>
        <w:pStyle w:val="ad"/>
        <w:overflowPunct w:val="0"/>
        <w:spacing w:line="400" w:lineRule="exact"/>
        <w:ind w:leftChars="200" w:left="422" w:firstLineChars="900" w:firstLine="1990"/>
        <w:rPr>
          <w:rFonts w:ascii="ＭＳ 明朝" w:hAnsi="ＭＳ 明朝"/>
        </w:rPr>
      </w:pPr>
      <w:r w:rsidRPr="008A3EDE">
        <w:rPr>
          <w:rFonts w:ascii="ＭＳ 明朝" w:hAnsi="ＭＳ 明朝" w:hint="eastAsia"/>
        </w:rPr>
        <w:t>企画室連携課長</w:t>
      </w:r>
      <w:r w:rsidR="008B4B2B" w:rsidRPr="008A3EDE">
        <w:rPr>
          <w:rFonts w:ascii="ＭＳ 明朝" w:hAnsi="ＭＳ 明朝" w:hint="eastAsia"/>
        </w:rPr>
        <w:t>、</w:t>
      </w:r>
      <w:r w:rsidR="006D1D41" w:rsidRPr="008A3EDE">
        <w:rPr>
          <w:rFonts w:ascii="ＭＳ 明朝" w:hAnsi="ＭＳ 明朝" w:hint="eastAsia"/>
        </w:rPr>
        <w:t>医療・感染症対策課</w:t>
      </w:r>
      <w:r w:rsidR="008B4B2B" w:rsidRPr="008A3EDE">
        <w:rPr>
          <w:rFonts w:ascii="ＭＳ 明朝" w:hAnsi="ＭＳ 明朝" w:hint="eastAsia"/>
        </w:rPr>
        <w:t>長、報道Ｇ参事</w:t>
      </w:r>
    </w:p>
    <w:p w14:paraId="461F5E99" w14:textId="77777777" w:rsidR="008B4B2B" w:rsidRPr="008A3EDE" w:rsidRDefault="008B4B2B" w:rsidP="008B4B2B">
      <w:pPr>
        <w:pStyle w:val="ad"/>
        <w:overflowPunct w:val="0"/>
        <w:spacing w:line="400" w:lineRule="exact"/>
        <w:ind w:firstLineChars="600" w:firstLine="1327"/>
        <w:rPr>
          <w:rFonts w:ascii="ＭＳ 明朝" w:hAnsi="ＭＳ 明朝"/>
        </w:rPr>
      </w:pPr>
      <w:r w:rsidRPr="008A3EDE">
        <w:rPr>
          <w:rFonts w:ascii="ＭＳ 明朝" w:hAnsi="ＭＳ 明朝" w:hint="eastAsia"/>
        </w:rPr>
        <w:t>※なお、必要に応じ指令部員を限定又は追加して、指令部会議を開催する。</w:t>
      </w:r>
    </w:p>
    <w:p w14:paraId="3C7CE82D" w14:textId="77777777" w:rsidR="008B4B2B" w:rsidRPr="008A3EDE" w:rsidRDefault="008B4B2B" w:rsidP="008B4B2B">
      <w:pPr>
        <w:pStyle w:val="ad"/>
        <w:wordWrap/>
        <w:overflowPunct w:val="0"/>
        <w:spacing w:line="400" w:lineRule="exact"/>
        <w:rPr>
          <w:rFonts w:ascii="ＭＳ 明朝" w:hAnsi="ＭＳ 明朝"/>
        </w:rPr>
      </w:pPr>
      <w:r w:rsidRPr="008A3EDE">
        <w:rPr>
          <w:rFonts w:ascii="ＭＳ 明朝" w:hAnsi="ＭＳ 明朝" w:hint="eastAsia"/>
        </w:rPr>
        <w:t xml:space="preserve">　　　　（４）会議の開催</w:t>
      </w:r>
    </w:p>
    <w:p w14:paraId="1EE3E2F6" w14:textId="77777777" w:rsidR="008B4B2B" w:rsidRPr="001D6D10" w:rsidRDefault="008B4B2B" w:rsidP="008B4B2B">
      <w:pPr>
        <w:pStyle w:val="ad"/>
        <w:overflowPunct w:val="0"/>
        <w:spacing w:line="400" w:lineRule="exact"/>
        <w:ind w:left="1327" w:hangingChars="600" w:hanging="1327"/>
        <w:rPr>
          <w:rFonts w:ascii="ＭＳ 明朝" w:hAnsi="ＭＳ 明朝"/>
        </w:rPr>
      </w:pPr>
      <w:r w:rsidRPr="008A3EDE">
        <w:rPr>
          <w:rFonts w:ascii="ＭＳ 明朝" w:hAnsi="ＭＳ 明朝" w:hint="eastAsia"/>
        </w:rPr>
        <w:t xml:space="preserve">　　　　　　　指令部長は、活動基準に該当すると認めたときは、速やかに、指令部</w:t>
      </w:r>
      <w:r w:rsidRPr="001D6D10">
        <w:rPr>
          <w:rFonts w:ascii="ＭＳ 明朝" w:hAnsi="ＭＳ 明朝" w:hint="eastAsia"/>
        </w:rPr>
        <w:t>副部長、指令部員を招集して、指令部会議を開催する。</w:t>
      </w:r>
    </w:p>
    <w:p w14:paraId="2786BE53" w14:textId="77777777" w:rsidR="008B4B2B" w:rsidRPr="001D6D10" w:rsidRDefault="008B4B2B" w:rsidP="008B4B2B">
      <w:pPr>
        <w:pStyle w:val="ad"/>
        <w:wordWrap/>
        <w:overflowPunct w:val="0"/>
        <w:spacing w:line="400" w:lineRule="exact"/>
        <w:ind w:left="442" w:hangingChars="200" w:hanging="442"/>
        <w:rPr>
          <w:rFonts w:ascii="ＭＳ 明朝" w:hAnsi="ＭＳ 明朝"/>
        </w:rPr>
      </w:pPr>
      <w:r w:rsidRPr="001D6D10">
        <w:rPr>
          <w:rFonts w:ascii="ＭＳ 明朝" w:hAnsi="ＭＳ 明朝" w:hint="eastAsia"/>
        </w:rPr>
        <w:t xml:space="preserve">　　　　（５）会議の内容</w:t>
      </w:r>
    </w:p>
    <w:p w14:paraId="7017E22B" w14:textId="5E005E45" w:rsidR="0000630A" w:rsidRPr="001D6D10" w:rsidRDefault="008B4B2B" w:rsidP="008B4B2B">
      <w:pPr>
        <w:pStyle w:val="ad"/>
        <w:overflowPunct w:val="0"/>
        <w:spacing w:line="400" w:lineRule="exact"/>
        <w:ind w:firstLineChars="500" w:firstLine="1105"/>
        <w:rPr>
          <w:rFonts w:ascii="ＭＳ 明朝" w:hAnsi="ＭＳ 明朝"/>
        </w:rPr>
      </w:pPr>
      <w:r w:rsidRPr="001D6D10">
        <w:rPr>
          <w:rFonts w:ascii="ＭＳ 明朝" w:hAnsi="ＭＳ 明朝" w:hint="eastAsia"/>
        </w:rPr>
        <w:t>①　災害原因情報、被害情報及び災害対策情報等の収集・分析</w:t>
      </w:r>
    </w:p>
    <w:p w14:paraId="111C2ADD" w14:textId="1D5706D2" w:rsidR="0000630A" w:rsidRPr="001D6D10" w:rsidRDefault="0000630A" w:rsidP="00E0548A">
      <w:pPr>
        <w:pStyle w:val="ad"/>
        <w:overflowPunct w:val="0"/>
        <w:spacing w:line="400" w:lineRule="exact"/>
        <w:ind w:firstLineChars="500" w:firstLine="1105"/>
        <w:rPr>
          <w:rFonts w:ascii="ＭＳ 明朝" w:hAnsi="ＭＳ 明朝"/>
        </w:rPr>
      </w:pPr>
      <w:r>
        <w:rPr>
          <w:rFonts w:ascii="ＭＳ 明朝" w:hAnsi="ＭＳ 明朝" w:hint="eastAsia"/>
        </w:rPr>
        <w:t xml:space="preserve">②　</w:t>
      </w:r>
      <w:r w:rsidR="008B4B2B" w:rsidRPr="001D6D10">
        <w:rPr>
          <w:rFonts w:ascii="ＭＳ 明朝" w:hAnsi="ＭＳ 明朝" w:hint="eastAsia"/>
        </w:rPr>
        <w:t>消防、府警察、自衛隊等防災関係機関との連絡調整</w:t>
      </w:r>
    </w:p>
    <w:p w14:paraId="0534FC8F" w14:textId="4E3684E5" w:rsidR="0000630A" w:rsidRPr="001D6D10" w:rsidRDefault="0000630A" w:rsidP="00E0548A">
      <w:pPr>
        <w:pStyle w:val="ad"/>
        <w:overflowPunct w:val="0"/>
        <w:spacing w:line="400" w:lineRule="exact"/>
        <w:ind w:firstLineChars="500" w:firstLine="1105"/>
        <w:rPr>
          <w:rFonts w:ascii="ＭＳ 明朝" w:hAnsi="ＭＳ 明朝"/>
        </w:rPr>
      </w:pPr>
      <w:r>
        <w:rPr>
          <w:rFonts w:ascii="ＭＳ 明朝" w:hAnsi="ＭＳ 明朝" w:hint="eastAsia"/>
        </w:rPr>
        <w:t xml:space="preserve">③　</w:t>
      </w:r>
      <w:r w:rsidR="008B4B2B" w:rsidRPr="001D6D10">
        <w:rPr>
          <w:rFonts w:ascii="ＭＳ 明朝" w:hAnsi="ＭＳ 明朝" w:hint="eastAsia"/>
        </w:rPr>
        <w:t>職員の配備体制</w:t>
      </w:r>
    </w:p>
    <w:p w14:paraId="7C8A6CCE" w14:textId="23410023" w:rsidR="0000630A" w:rsidRPr="001D6D10" w:rsidRDefault="0000630A" w:rsidP="00E0548A">
      <w:pPr>
        <w:pStyle w:val="ad"/>
        <w:overflowPunct w:val="0"/>
        <w:spacing w:line="400" w:lineRule="exact"/>
        <w:ind w:firstLineChars="500" w:firstLine="1105"/>
        <w:rPr>
          <w:rFonts w:ascii="ＭＳ 明朝" w:hAnsi="ＭＳ 明朝"/>
        </w:rPr>
      </w:pPr>
      <w:r>
        <w:rPr>
          <w:rFonts w:ascii="ＭＳ 明朝" w:hAnsi="ＭＳ 明朝" w:hint="eastAsia"/>
        </w:rPr>
        <w:t xml:space="preserve">④　</w:t>
      </w:r>
      <w:r w:rsidR="008B4B2B" w:rsidRPr="001D6D10">
        <w:rPr>
          <w:rFonts w:ascii="ＭＳ 明朝" w:hAnsi="ＭＳ 明朝" w:hint="eastAsia"/>
        </w:rPr>
        <w:t>災害警戒本部、災害対策本部の設置の必要性の検討等</w:t>
      </w:r>
    </w:p>
    <w:p w14:paraId="4773FC69" w14:textId="0FAEFAD0" w:rsidR="008B4B2B" w:rsidRPr="001D6D10" w:rsidRDefault="0000630A" w:rsidP="00E0548A">
      <w:pPr>
        <w:pStyle w:val="ad"/>
        <w:overflowPunct w:val="0"/>
        <w:spacing w:line="400" w:lineRule="exact"/>
        <w:ind w:leftChars="524" w:left="1418" w:hangingChars="141" w:hanging="312"/>
        <w:rPr>
          <w:rFonts w:ascii="ＭＳ 明朝" w:hAnsi="ＭＳ 明朝"/>
        </w:rPr>
      </w:pPr>
      <w:r>
        <w:rPr>
          <w:rFonts w:ascii="ＭＳ 明朝" w:hAnsi="ＭＳ 明朝" w:hint="eastAsia"/>
        </w:rPr>
        <w:t xml:space="preserve">⑤　</w:t>
      </w:r>
      <w:r w:rsidR="008B4B2B" w:rsidRPr="001D6D10">
        <w:rPr>
          <w:rFonts w:ascii="ＭＳ 明朝" w:hAnsi="ＭＳ 明朝" w:hint="eastAsia"/>
        </w:rPr>
        <w:t>災害警戒本部若しくは災害対策本部が設置されたときの当該本部事務局の運営に関すること</w:t>
      </w:r>
    </w:p>
    <w:p w14:paraId="47A71997" w14:textId="77777777" w:rsidR="008B4B2B" w:rsidRPr="001D6D10" w:rsidRDefault="008B4B2B" w:rsidP="008B4B2B">
      <w:pPr>
        <w:pStyle w:val="ad"/>
        <w:wordWrap/>
        <w:overflowPunct w:val="0"/>
        <w:spacing w:line="400" w:lineRule="exact"/>
        <w:rPr>
          <w:rFonts w:ascii="ＭＳ 明朝" w:hAnsi="ＭＳ 明朝"/>
        </w:rPr>
      </w:pPr>
      <w:r w:rsidRPr="001D6D10">
        <w:rPr>
          <w:rFonts w:ascii="ＭＳ 明朝" w:hAnsi="ＭＳ 明朝" w:hint="eastAsia"/>
        </w:rPr>
        <w:t xml:space="preserve">　　　　（６）現地連絡要員の派遣及び活動</w:t>
      </w:r>
    </w:p>
    <w:p w14:paraId="708DA0B3" w14:textId="77777777" w:rsidR="008B4B2B" w:rsidRPr="001D6D10" w:rsidRDefault="008B4B2B" w:rsidP="008B4B2B">
      <w:pPr>
        <w:pStyle w:val="ad"/>
        <w:overflowPunct w:val="0"/>
        <w:spacing w:line="400" w:lineRule="exact"/>
        <w:ind w:left="442" w:hangingChars="200" w:hanging="442"/>
        <w:rPr>
          <w:rFonts w:ascii="ＭＳ 明朝" w:hAnsi="ＭＳ 明朝"/>
        </w:rPr>
      </w:pPr>
      <w:r w:rsidRPr="001D6D10">
        <w:rPr>
          <w:rFonts w:ascii="ＭＳ 明朝" w:hAnsi="ＭＳ 明朝" w:hint="eastAsia"/>
        </w:rPr>
        <w:t xml:space="preserve">　　　　　　　指令部長は、発災地域のオフサイトセンターに現地連絡要員を派遣する。</w:t>
      </w:r>
    </w:p>
    <w:p w14:paraId="045AF3FC" w14:textId="77777777" w:rsidR="008B4B2B" w:rsidRPr="001D6D10" w:rsidRDefault="008B4B2B" w:rsidP="008B4B2B">
      <w:pPr>
        <w:pStyle w:val="ad"/>
        <w:overflowPunct w:val="0"/>
        <w:spacing w:line="400" w:lineRule="exact"/>
        <w:ind w:left="442" w:hangingChars="200" w:hanging="442"/>
        <w:rPr>
          <w:rFonts w:ascii="ＭＳ 明朝" w:hAnsi="ＭＳ 明朝"/>
        </w:rPr>
      </w:pPr>
      <w:r w:rsidRPr="001D6D10">
        <w:rPr>
          <w:rFonts w:ascii="ＭＳ 明朝" w:hAnsi="ＭＳ 明朝" w:hint="eastAsia"/>
        </w:rPr>
        <w:t xml:space="preserve">　　　　　　　＜現地連絡要員の活動内容＞</w:t>
      </w:r>
    </w:p>
    <w:p w14:paraId="304EAEE3" w14:textId="77777777" w:rsidR="008B4B2B" w:rsidRPr="001D6D10" w:rsidRDefault="008B4B2B" w:rsidP="008B4B2B">
      <w:pPr>
        <w:pStyle w:val="ad"/>
        <w:overflowPunct w:val="0"/>
        <w:spacing w:line="400" w:lineRule="exact"/>
        <w:ind w:left="442" w:hangingChars="200" w:hanging="442"/>
        <w:rPr>
          <w:rFonts w:ascii="ＭＳ 明朝" w:hAnsi="ＭＳ 明朝"/>
        </w:rPr>
      </w:pPr>
      <w:r w:rsidRPr="001D6D10">
        <w:rPr>
          <w:rFonts w:ascii="ＭＳ 明朝" w:hAnsi="ＭＳ 明朝" w:hint="eastAsia"/>
        </w:rPr>
        <w:t xml:space="preserve">　　　　　　　　・情報収集</w:t>
      </w:r>
    </w:p>
    <w:p w14:paraId="559817F9" w14:textId="77777777" w:rsidR="008B4B2B" w:rsidRPr="001D6D10" w:rsidRDefault="008B4B2B" w:rsidP="008B4B2B">
      <w:pPr>
        <w:pStyle w:val="ad"/>
        <w:overflowPunct w:val="0"/>
        <w:spacing w:line="400" w:lineRule="exact"/>
        <w:ind w:left="442" w:hangingChars="200" w:hanging="442"/>
        <w:rPr>
          <w:rFonts w:ascii="ＭＳ 明朝" w:hAnsi="ＭＳ 明朝"/>
        </w:rPr>
      </w:pPr>
      <w:r w:rsidRPr="001D6D10">
        <w:rPr>
          <w:rFonts w:ascii="ＭＳ 明朝" w:hAnsi="ＭＳ 明朝" w:hint="eastAsia"/>
        </w:rPr>
        <w:t xml:space="preserve">　　　　　　　　・国の事故現地警戒本部及び府指令部との連絡調整</w:t>
      </w:r>
    </w:p>
    <w:p w14:paraId="46DC9FAC" w14:textId="77777777" w:rsidR="008B4B2B" w:rsidRPr="001D6D10" w:rsidRDefault="008B4B2B" w:rsidP="008B4B2B">
      <w:pPr>
        <w:pStyle w:val="ad"/>
        <w:overflowPunct w:val="0"/>
        <w:spacing w:line="400" w:lineRule="exact"/>
        <w:ind w:left="442" w:hangingChars="200" w:hanging="442"/>
        <w:rPr>
          <w:rFonts w:ascii="ＭＳ 明朝" w:hAnsi="ＭＳ 明朝"/>
        </w:rPr>
      </w:pPr>
      <w:r w:rsidRPr="001D6D10">
        <w:rPr>
          <w:rFonts w:ascii="ＭＳ 明朝" w:hAnsi="ＭＳ 明朝" w:hint="eastAsia"/>
        </w:rPr>
        <w:t xml:space="preserve">　　　　　　　　・緊急時モニタリングセンターの立ち上げ補助</w:t>
      </w:r>
    </w:p>
    <w:p w14:paraId="18E658C3" w14:textId="77777777" w:rsidR="008B4B2B" w:rsidRPr="001D6D10" w:rsidRDefault="008B4B2B" w:rsidP="008B4B2B">
      <w:pPr>
        <w:pStyle w:val="ad"/>
        <w:wordWrap/>
        <w:overflowPunct w:val="0"/>
        <w:spacing w:line="400" w:lineRule="exact"/>
        <w:rPr>
          <w:rFonts w:ascii="ＭＳ ゴシック" w:eastAsia="ＭＳ ゴシック" w:hAnsi="ＭＳ ゴシック"/>
        </w:rPr>
      </w:pPr>
    </w:p>
    <w:p w14:paraId="57E7EB0F" w14:textId="77777777" w:rsidR="008B4B2B" w:rsidRPr="001D6D10" w:rsidRDefault="008B4B2B" w:rsidP="008B4B2B">
      <w:pPr>
        <w:pStyle w:val="ad"/>
        <w:wordWrap/>
        <w:overflowPunct w:val="0"/>
        <w:spacing w:line="400" w:lineRule="exact"/>
        <w:ind w:left="442" w:hangingChars="200" w:hanging="442"/>
        <w:rPr>
          <w:rFonts w:ascii="ＭＳ ゴシック" w:eastAsia="ＭＳ ゴシック" w:hAnsi="ＭＳ ゴシック"/>
          <w:u w:val="single"/>
        </w:rPr>
      </w:pPr>
      <w:r w:rsidRPr="001D6D10">
        <w:rPr>
          <w:rFonts w:ascii="ＭＳ ゴシック" w:eastAsia="ＭＳ ゴシック" w:hAnsi="ＭＳ ゴシック" w:hint="eastAsia"/>
        </w:rPr>
        <w:t xml:space="preserve">　　　　</w:t>
      </w:r>
      <w:r w:rsidRPr="001D6D10">
        <w:rPr>
          <w:rFonts w:ascii="ＭＳ ゴシック" w:eastAsia="ＭＳ ゴシック" w:hAnsi="ＭＳ ゴシック" w:hint="eastAsia"/>
          <w:u w:val="single"/>
        </w:rPr>
        <w:t>３　災害警戒本部等の設置（施設敷地緊急事態）</w:t>
      </w:r>
    </w:p>
    <w:p w14:paraId="77317D75" w14:textId="77777777" w:rsidR="008B4B2B" w:rsidRPr="001D6D10" w:rsidRDefault="008B4B2B" w:rsidP="008B4B2B">
      <w:pPr>
        <w:pStyle w:val="ad"/>
        <w:overflowPunct w:val="0"/>
        <w:spacing w:line="400" w:lineRule="exact"/>
        <w:ind w:firstLineChars="600" w:firstLine="1327"/>
        <w:rPr>
          <w:rFonts w:ascii="ＭＳ 明朝" w:hAnsi="ＭＳ 明朝"/>
        </w:rPr>
      </w:pPr>
      <w:r w:rsidRPr="001D6D10">
        <w:rPr>
          <w:rFonts w:ascii="ＭＳ 明朝" w:hAnsi="ＭＳ 明朝" w:hint="eastAsia"/>
        </w:rPr>
        <w:t>知事は、次の設置基準に該当する場合には、大阪府災害警戒本部（以下「府　　　　　警戒本部」という）及び原子力事故現地連絡班（以下「府現地連絡班」という）</w:t>
      </w:r>
      <w:r w:rsidRPr="001D6D10">
        <w:rPr>
          <w:rFonts w:ascii="ＭＳ 明朝" w:hAnsi="ＭＳ 明朝" w:hint="eastAsia"/>
        </w:rPr>
        <w:lastRenderedPageBreak/>
        <w:t xml:space="preserve">　　　　　を設置する。また、指令部長は、その旨を各部連絡責任者に通知する。</w:t>
      </w:r>
    </w:p>
    <w:p w14:paraId="40A6D7A2" w14:textId="77777777" w:rsidR="008B4B2B" w:rsidRPr="008A3EDE" w:rsidRDefault="008B4B2B" w:rsidP="008B4B2B">
      <w:pPr>
        <w:pStyle w:val="ad"/>
        <w:overflowPunct w:val="0"/>
        <w:spacing w:line="400" w:lineRule="exact"/>
        <w:ind w:firstLineChars="400" w:firstLine="884"/>
        <w:rPr>
          <w:rFonts w:ascii="ＭＳ 明朝" w:hAnsi="ＭＳ 明朝"/>
        </w:rPr>
      </w:pPr>
      <w:r w:rsidRPr="008A3EDE">
        <w:rPr>
          <w:rFonts w:ascii="ＭＳ 明朝" w:hAnsi="ＭＳ 明朝" w:hint="eastAsia"/>
        </w:rPr>
        <w:t>Ａ：府警戒本部の設置</w:t>
      </w:r>
    </w:p>
    <w:p w14:paraId="5BAB2B81" w14:textId="77777777" w:rsidR="008B4B2B" w:rsidRPr="008A3EDE" w:rsidRDefault="008B4B2B" w:rsidP="008B4B2B">
      <w:pPr>
        <w:pStyle w:val="ad"/>
        <w:overflowPunct w:val="0"/>
        <w:spacing w:line="400" w:lineRule="exact"/>
        <w:ind w:firstLineChars="400" w:firstLine="884"/>
        <w:rPr>
          <w:rFonts w:ascii="ＭＳ 明朝" w:hAnsi="ＭＳ 明朝"/>
        </w:rPr>
      </w:pPr>
      <w:r w:rsidRPr="008A3EDE">
        <w:rPr>
          <w:rFonts w:ascii="ＭＳ 明朝" w:hAnsi="ＭＳ 明朝" w:hint="eastAsia"/>
        </w:rPr>
        <w:t>（１）設置基準</w:t>
      </w:r>
    </w:p>
    <w:p w14:paraId="50B0E2E8" w14:textId="002F73C7" w:rsidR="008B4B2B" w:rsidRPr="008A3EDE" w:rsidRDefault="008B4B2B" w:rsidP="008B4B2B">
      <w:pPr>
        <w:pStyle w:val="ad"/>
        <w:overflowPunct w:val="0"/>
        <w:spacing w:line="400" w:lineRule="exact"/>
        <w:ind w:firstLineChars="500" w:firstLine="1105"/>
        <w:rPr>
          <w:rFonts w:ascii="ＭＳ 明朝" w:hAnsi="ＭＳ 明朝"/>
        </w:rPr>
      </w:pPr>
      <w:r w:rsidRPr="008A3EDE">
        <w:rPr>
          <w:rFonts w:ascii="ＭＳ 明朝" w:hAnsi="ＭＳ 明朝" w:hint="eastAsia"/>
        </w:rPr>
        <w:t>①</w:t>
      </w:r>
      <w:r w:rsidR="0000630A" w:rsidRPr="008A3EDE">
        <w:rPr>
          <w:rFonts w:ascii="ＭＳ 明朝" w:hAnsi="ＭＳ 明朝" w:hint="eastAsia"/>
        </w:rPr>
        <w:t xml:space="preserve">　</w:t>
      </w:r>
      <w:r w:rsidRPr="008A3EDE">
        <w:rPr>
          <w:rFonts w:ascii="ＭＳ 明朝" w:hAnsi="ＭＳ 明朝" w:hint="eastAsia"/>
        </w:rPr>
        <w:t>原子力事業者からの</w:t>
      </w:r>
      <w:r w:rsidR="00572D04" w:rsidRPr="008A3EDE">
        <w:rPr>
          <w:rFonts w:ascii="ＭＳ 明朝" w:hAnsi="ＭＳ 明朝" w:hint="eastAsia"/>
        </w:rPr>
        <w:t>施設敷地緊急事態</w:t>
      </w:r>
      <w:r w:rsidRPr="008A3EDE">
        <w:rPr>
          <w:rFonts w:ascii="ＭＳ 明朝" w:hAnsi="ＭＳ 明朝" w:hint="eastAsia"/>
        </w:rPr>
        <w:t>の通報を受信したとき</w:t>
      </w:r>
    </w:p>
    <w:p w14:paraId="2CFDBF77" w14:textId="45010202" w:rsidR="008B4B2B" w:rsidRPr="008A3EDE" w:rsidRDefault="008B4B2B" w:rsidP="008B4B2B">
      <w:pPr>
        <w:pStyle w:val="ad"/>
        <w:overflowPunct w:val="0"/>
        <w:spacing w:line="400" w:lineRule="exact"/>
        <w:ind w:firstLineChars="500" w:firstLine="1105"/>
        <w:rPr>
          <w:rFonts w:ascii="ＭＳ 明朝" w:hAnsi="ＭＳ 明朝"/>
        </w:rPr>
      </w:pPr>
      <w:r w:rsidRPr="008A3EDE">
        <w:rPr>
          <w:rFonts w:ascii="ＭＳ 明朝" w:hAnsi="ＭＳ 明朝" w:hint="eastAsia"/>
        </w:rPr>
        <w:t>②</w:t>
      </w:r>
      <w:r w:rsidR="0000630A" w:rsidRPr="008A3EDE">
        <w:rPr>
          <w:rFonts w:ascii="ＭＳ 明朝" w:hAnsi="ＭＳ 明朝" w:hint="eastAsia"/>
        </w:rPr>
        <w:t xml:space="preserve">　</w:t>
      </w:r>
      <w:r w:rsidRPr="008A3EDE">
        <w:rPr>
          <w:rFonts w:ascii="ＭＳ 明朝" w:hAnsi="ＭＳ 明朝" w:hint="eastAsia"/>
        </w:rPr>
        <w:t>その他知事が必要と認めたとき</w:t>
      </w:r>
    </w:p>
    <w:p w14:paraId="4ABB4467" w14:textId="427A7F23" w:rsidR="0000630A" w:rsidRPr="008A3EDE" w:rsidRDefault="008B4B2B" w:rsidP="00E0548A">
      <w:pPr>
        <w:pStyle w:val="ad"/>
        <w:overflowPunct w:val="0"/>
        <w:spacing w:line="400" w:lineRule="exact"/>
        <w:ind w:firstLineChars="600" w:firstLine="1327"/>
        <w:rPr>
          <w:rFonts w:ascii="ＭＳ 明朝" w:hAnsi="ＭＳ 明朝"/>
        </w:rPr>
      </w:pPr>
      <w:r w:rsidRPr="008A3EDE">
        <w:rPr>
          <w:rFonts w:ascii="ＭＳ 明朝" w:hAnsi="ＭＳ 明朝" w:hint="eastAsia"/>
        </w:rPr>
        <w:t>・府モニタリング施設において、5µSv/h以上の放射線量を検出したとき</w:t>
      </w:r>
    </w:p>
    <w:p w14:paraId="5141A0B8" w14:textId="706C44FE" w:rsidR="0000630A" w:rsidRPr="008A3EDE" w:rsidRDefault="008B4B2B" w:rsidP="00E0548A">
      <w:pPr>
        <w:pStyle w:val="ad"/>
        <w:overflowPunct w:val="0"/>
        <w:spacing w:line="400" w:lineRule="exact"/>
        <w:ind w:firstLineChars="700" w:firstLine="1548"/>
        <w:rPr>
          <w:rFonts w:ascii="ＭＳ 明朝" w:hAnsi="ＭＳ 明朝"/>
        </w:rPr>
      </w:pPr>
      <w:r w:rsidRPr="008A3EDE">
        <w:rPr>
          <w:rFonts w:ascii="ＭＳ 明朝" w:hAnsi="ＭＳ 明朝" w:hint="eastAsia"/>
        </w:rPr>
        <w:t>（ただし、当該数値が落雷等による場合を除く。）</w:t>
      </w:r>
    </w:p>
    <w:p w14:paraId="67BDC013" w14:textId="049FB7F7" w:rsidR="008B4B2B" w:rsidRPr="008A3EDE" w:rsidRDefault="008B4B2B" w:rsidP="00E0548A">
      <w:pPr>
        <w:pStyle w:val="ad"/>
        <w:overflowPunct w:val="0"/>
        <w:spacing w:line="400" w:lineRule="exact"/>
        <w:ind w:firstLineChars="600" w:firstLine="1327"/>
        <w:rPr>
          <w:rFonts w:ascii="ＭＳ 明朝" w:hAnsi="ＭＳ 明朝"/>
        </w:rPr>
      </w:pPr>
      <w:r w:rsidRPr="008A3EDE">
        <w:rPr>
          <w:rFonts w:ascii="ＭＳ 明朝" w:hAnsi="ＭＳ 明朝" w:hint="eastAsia"/>
        </w:rPr>
        <w:t>・その他警戒本部の設置が必要と認められるとき</w:t>
      </w:r>
    </w:p>
    <w:p w14:paraId="757E8B2A" w14:textId="77777777" w:rsidR="008B4B2B" w:rsidRPr="008A3EDE" w:rsidRDefault="008B4B2B" w:rsidP="008B4B2B">
      <w:pPr>
        <w:pStyle w:val="ad"/>
        <w:wordWrap/>
        <w:overflowPunct w:val="0"/>
        <w:spacing w:line="400" w:lineRule="exact"/>
        <w:ind w:left="442" w:hangingChars="200" w:hanging="442"/>
        <w:rPr>
          <w:rFonts w:ascii="ＭＳ 明朝" w:hAnsi="ＭＳ 明朝"/>
        </w:rPr>
      </w:pPr>
      <w:r w:rsidRPr="008A3EDE">
        <w:rPr>
          <w:rFonts w:ascii="ＭＳ 明朝" w:hAnsi="ＭＳ 明朝" w:hint="eastAsia"/>
        </w:rPr>
        <w:t xml:space="preserve">　　　　（２）廃止基準</w:t>
      </w:r>
    </w:p>
    <w:p w14:paraId="12ADCA8A" w14:textId="5DBF8171" w:rsidR="008B4B2B" w:rsidRPr="008A3EDE" w:rsidRDefault="008B4B2B" w:rsidP="008B4B2B">
      <w:pPr>
        <w:pStyle w:val="ad"/>
        <w:overflowPunct w:val="0"/>
        <w:spacing w:line="400" w:lineRule="exact"/>
        <w:ind w:leftChars="200" w:left="422" w:firstLineChars="300" w:firstLine="663"/>
        <w:rPr>
          <w:rFonts w:ascii="ＭＳ 明朝" w:hAnsi="ＭＳ 明朝"/>
        </w:rPr>
      </w:pPr>
      <w:r w:rsidRPr="008A3EDE">
        <w:rPr>
          <w:rFonts w:ascii="ＭＳ 明朝" w:hAnsi="ＭＳ 明朝" w:hint="eastAsia"/>
        </w:rPr>
        <w:t>①</w:t>
      </w:r>
      <w:r w:rsidR="0000630A" w:rsidRPr="008A3EDE">
        <w:rPr>
          <w:rFonts w:ascii="ＭＳ 明朝" w:hAnsi="ＭＳ 明朝" w:hint="eastAsia"/>
        </w:rPr>
        <w:t xml:space="preserve">　</w:t>
      </w:r>
      <w:r w:rsidRPr="008A3EDE">
        <w:rPr>
          <w:rFonts w:ascii="ＭＳ 明朝" w:hAnsi="ＭＳ 明朝" w:hint="eastAsia"/>
        </w:rPr>
        <w:t>災害等発生のおそれが解消したとき</w:t>
      </w:r>
    </w:p>
    <w:p w14:paraId="303FC269" w14:textId="16D5BAA6" w:rsidR="008B4B2B" w:rsidRPr="008A3EDE" w:rsidRDefault="008B4B2B" w:rsidP="008B4B2B">
      <w:pPr>
        <w:pStyle w:val="ad"/>
        <w:overflowPunct w:val="0"/>
        <w:spacing w:line="400" w:lineRule="exact"/>
        <w:ind w:leftChars="200" w:left="422" w:firstLineChars="300" w:firstLine="663"/>
        <w:rPr>
          <w:rFonts w:ascii="ＭＳ 明朝" w:hAnsi="ＭＳ 明朝"/>
        </w:rPr>
      </w:pPr>
      <w:r w:rsidRPr="008A3EDE">
        <w:rPr>
          <w:rFonts w:ascii="ＭＳ 明朝" w:hAnsi="ＭＳ 明朝" w:hint="eastAsia"/>
        </w:rPr>
        <w:t>②</w:t>
      </w:r>
      <w:r w:rsidR="0000630A" w:rsidRPr="008A3EDE">
        <w:rPr>
          <w:rFonts w:ascii="ＭＳ 明朝" w:hAnsi="ＭＳ 明朝" w:hint="eastAsia"/>
        </w:rPr>
        <w:t xml:space="preserve">　</w:t>
      </w:r>
      <w:r w:rsidRPr="008A3EDE">
        <w:rPr>
          <w:rFonts w:ascii="ＭＳ 明朝" w:hAnsi="ＭＳ 明朝" w:hint="eastAsia"/>
        </w:rPr>
        <w:t>災害応急対策がおおむね完了したとき</w:t>
      </w:r>
    </w:p>
    <w:p w14:paraId="19120B6A" w14:textId="206629AE" w:rsidR="008B4B2B" w:rsidRPr="008A3EDE" w:rsidRDefault="008B4B2B" w:rsidP="008B4B2B">
      <w:pPr>
        <w:pStyle w:val="ad"/>
        <w:overflowPunct w:val="0"/>
        <w:spacing w:line="400" w:lineRule="exact"/>
        <w:ind w:leftChars="200" w:left="422" w:firstLineChars="300" w:firstLine="663"/>
        <w:rPr>
          <w:rFonts w:ascii="ＭＳ 明朝" w:hAnsi="ＭＳ 明朝"/>
        </w:rPr>
      </w:pPr>
      <w:r w:rsidRPr="008A3EDE">
        <w:rPr>
          <w:rFonts w:ascii="ＭＳ 明朝" w:hAnsi="ＭＳ 明朝" w:hint="eastAsia"/>
        </w:rPr>
        <w:t>③</w:t>
      </w:r>
      <w:r w:rsidR="0000630A" w:rsidRPr="008A3EDE">
        <w:rPr>
          <w:rFonts w:ascii="ＭＳ 明朝" w:hAnsi="ＭＳ 明朝" w:hint="eastAsia"/>
        </w:rPr>
        <w:t xml:space="preserve">　</w:t>
      </w:r>
      <w:r w:rsidRPr="008A3EDE">
        <w:rPr>
          <w:rFonts w:ascii="ＭＳ 明朝" w:hAnsi="ＭＳ 明朝" w:hint="eastAsia"/>
        </w:rPr>
        <w:t>大阪府災害対策本部が設置されたとき</w:t>
      </w:r>
    </w:p>
    <w:p w14:paraId="644CB01B" w14:textId="0A59B49B" w:rsidR="008B4B2B" w:rsidRPr="008A3EDE" w:rsidRDefault="008B4B2B" w:rsidP="008B4B2B">
      <w:pPr>
        <w:pStyle w:val="ad"/>
        <w:overflowPunct w:val="0"/>
        <w:spacing w:line="400" w:lineRule="exact"/>
        <w:ind w:leftChars="200" w:left="422" w:firstLineChars="300" w:firstLine="663"/>
        <w:rPr>
          <w:rFonts w:ascii="ＭＳ 明朝" w:hAnsi="ＭＳ 明朝"/>
        </w:rPr>
      </w:pPr>
      <w:r w:rsidRPr="008A3EDE">
        <w:rPr>
          <w:rFonts w:ascii="ＭＳ 明朝" w:hAnsi="ＭＳ 明朝" w:hint="eastAsia"/>
        </w:rPr>
        <w:t>④</w:t>
      </w:r>
      <w:r w:rsidR="0000630A" w:rsidRPr="008A3EDE">
        <w:rPr>
          <w:rFonts w:ascii="ＭＳ 明朝" w:hAnsi="ＭＳ 明朝" w:hint="eastAsia"/>
        </w:rPr>
        <w:t xml:space="preserve">　</w:t>
      </w:r>
      <w:r w:rsidRPr="008A3EDE">
        <w:rPr>
          <w:rFonts w:ascii="ＭＳ 明朝" w:hAnsi="ＭＳ 明朝" w:hint="eastAsia"/>
        </w:rPr>
        <w:t>その他知事が認めたとき</w:t>
      </w:r>
    </w:p>
    <w:p w14:paraId="6D0CEA66" w14:textId="77777777" w:rsidR="008B4B2B" w:rsidRPr="008A3EDE" w:rsidRDefault="008B4B2B" w:rsidP="008B4B2B">
      <w:pPr>
        <w:pStyle w:val="ad"/>
        <w:overflowPunct w:val="0"/>
        <w:spacing w:line="400" w:lineRule="exact"/>
        <w:rPr>
          <w:rFonts w:ascii="ＭＳ 明朝" w:hAnsi="ＭＳ 明朝"/>
        </w:rPr>
      </w:pPr>
      <w:r w:rsidRPr="008A3EDE">
        <w:rPr>
          <w:rFonts w:ascii="ＭＳ 明朝" w:hAnsi="ＭＳ 明朝" w:hint="eastAsia"/>
        </w:rPr>
        <w:t xml:space="preserve">　　　　（３）組織</w:t>
      </w:r>
    </w:p>
    <w:p w14:paraId="23894F28" w14:textId="77777777" w:rsidR="008B4B2B" w:rsidRPr="008A3EDE" w:rsidRDefault="008B4B2B" w:rsidP="008B4B2B">
      <w:pPr>
        <w:pStyle w:val="ad"/>
        <w:overflowPunct w:val="0"/>
        <w:spacing w:line="400" w:lineRule="exact"/>
        <w:ind w:firstLineChars="600" w:firstLine="1327"/>
        <w:rPr>
          <w:rFonts w:ascii="ＭＳ 明朝" w:hAnsi="ＭＳ 明朝"/>
        </w:rPr>
      </w:pPr>
      <w:r w:rsidRPr="008A3EDE">
        <w:rPr>
          <w:rFonts w:ascii="ＭＳ 明朝" w:hAnsi="ＭＳ 明朝" w:hint="eastAsia"/>
        </w:rPr>
        <w:t>本部長：知事</w:t>
      </w:r>
    </w:p>
    <w:p w14:paraId="65AE6DFF" w14:textId="77777777" w:rsidR="008B4B2B" w:rsidRPr="008A3EDE" w:rsidRDefault="008B4B2B" w:rsidP="008B4B2B">
      <w:pPr>
        <w:pStyle w:val="ad"/>
        <w:overflowPunct w:val="0"/>
        <w:spacing w:line="400" w:lineRule="exact"/>
        <w:ind w:firstLineChars="600" w:firstLine="1327"/>
        <w:rPr>
          <w:rFonts w:ascii="ＭＳ 明朝" w:hAnsi="ＭＳ 明朝"/>
        </w:rPr>
      </w:pPr>
      <w:r w:rsidRPr="008A3EDE">
        <w:rPr>
          <w:rFonts w:ascii="ＭＳ 明朝" w:hAnsi="ＭＳ 明朝" w:hint="eastAsia"/>
        </w:rPr>
        <w:t>副本部長：副知事(３名）、危機管理監</w:t>
      </w:r>
    </w:p>
    <w:p w14:paraId="6FBEBFE0" w14:textId="77777777" w:rsidR="008B4B2B" w:rsidRPr="008A3EDE" w:rsidRDefault="008B4B2B" w:rsidP="008B4B2B">
      <w:pPr>
        <w:pStyle w:val="ad"/>
        <w:wordWrap/>
        <w:overflowPunct w:val="0"/>
        <w:spacing w:line="400" w:lineRule="exact"/>
        <w:ind w:firstLineChars="600" w:firstLine="1327"/>
        <w:rPr>
          <w:rFonts w:ascii="ＭＳ 明朝" w:hAnsi="ＭＳ 明朝"/>
        </w:rPr>
      </w:pPr>
      <w:r w:rsidRPr="008A3EDE">
        <w:rPr>
          <w:rFonts w:ascii="ＭＳ 明朝" w:hAnsi="ＭＳ 明朝" w:hint="eastAsia"/>
        </w:rPr>
        <w:t>本部員：政策企画部長、報道監、危機管理室長、総務部長、財務部長、</w:t>
      </w:r>
    </w:p>
    <w:p w14:paraId="03D3F854" w14:textId="77777777" w:rsidR="008B4B2B" w:rsidRPr="008A3EDE" w:rsidRDefault="008B4B2B" w:rsidP="008B4B2B">
      <w:pPr>
        <w:pStyle w:val="ad"/>
        <w:wordWrap/>
        <w:overflowPunct w:val="0"/>
        <w:spacing w:line="400" w:lineRule="exact"/>
        <w:ind w:firstLineChars="1000" w:firstLine="2211"/>
        <w:rPr>
          <w:rFonts w:ascii="ＭＳ 明朝" w:hAnsi="ＭＳ 明朝"/>
        </w:rPr>
      </w:pPr>
      <w:r w:rsidRPr="008A3EDE">
        <w:rPr>
          <w:rFonts w:ascii="ＭＳ 明朝" w:hAnsi="ＭＳ 明朝" w:hint="eastAsia"/>
        </w:rPr>
        <w:t>スマートシティ戦略部長、府民文化部長、ＩＲ推進局長、福祉部長、</w:t>
      </w:r>
    </w:p>
    <w:p w14:paraId="75EA5D0B" w14:textId="77777777" w:rsidR="008B4B2B" w:rsidRPr="008A3EDE" w:rsidRDefault="008B4B2B" w:rsidP="008B4B2B">
      <w:pPr>
        <w:pStyle w:val="ad"/>
        <w:wordWrap/>
        <w:overflowPunct w:val="0"/>
        <w:spacing w:line="400" w:lineRule="exact"/>
        <w:ind w:firstLineChars="1000" w:firstLine="2211"/>
        <w:rPr>
          <w:rFonts w:ascii="ＭＳ 明朝" w:hAnsi="ＭＳ 明朝"/>
        </w:rPr>
      </w:pPr>
      <w:r w:rsidRPr="008A3EDE">
        <w:rPr>
          <w:rFonts w:ascii="ＭＳ 明朝" w:hAnsi="ＭＳ 明朝" w:hint="eastAsia"/>
        </w:rPr>
        <w:t xml:space="preserve">健康医療部長、商工労働部長、環境農林水産部長、都市整備部長、　　</w:t>
      </w:r>
    </w:p>
    <w:p w14:paraId="3B00677B" w14:textId="77777777" w:rsidR="00B63D83" w:rsidRPr="008A3EDE" w:rsidRDefault="0062373F" w:rsidP="008B4B2B">
      <w:pPr>
        <w:pStyle w:val="ad"/>
        <w:wordWrap/>
        <w:overflowPunct w:val="0"/>
        <w:spacing w:line="400" w:lineRule="exact"/>
        <w:ind w:firstLineChars="1000" w:firstLine="2211"/>
        <w:rPr>
          <w:rFonts w:ascii="ＭＳ 明朝" w:hAnsi="ＭＳ 明朝"/>
        </w:rPr>
      </w:pPr>
      <w:r w:rsidRPr="008A3EDE">
        <w:rPr>
          <w:rFonts w:ascii="ＭＳ 明朝" w:hAnsi="ＭＳ 明朝" w:hint="eastAsia"/>
        </w:rPr>
        <w:t>大阪</w:t>
      </w:r>
      <w:r w:rsidR="00B63D83" w:rsidRPr="008A3EDE">
        <w:rPr>
          <w:rFonts w:ascii="ＭＳ 明朝" w:hAnsi="ＭＳ 明朝" w:hint="eastAsia"/>
        </w:rPr>
        <w:t>都市計画局長、</w:t>
      </w:r>
      <w:r w:rsidR="008B4B2B" w:rsidRPr="008A3EDE">
        <w:rPr>
          <w:rFonts w:ascii="ＭＳ 明朝" w:hAnsi="ＭＳ 明朝" w:hint="eastAsia"/>
        </w:rPr>
        <w:t>大阪港湾局長、</w:t>
      </w:r>
    </w:p>
    <w:p w14:paraId="198EB686" w14:textId="77777777" w:rsidR="008B4B2B" w:rsidRPr="008A3EDE" w:rsidRDefault="008B4B2B" w:rsidP="008B4B2B">
      <w:pPr>
        <w:pStyle w:val="ad"/>
        <w:wordWrap/>
        <w:overflowPunct w:val="0"/>
        <w:spacing w:line="400" w:lineRule="exact"/>
        <w:ind w:firstLineChars="1000" w:firstLine="2211"/>
        <w:rPr>
          <w:rFonts w:ascii="ＭＳ 明朝" w:hAnsi="ＭＳ 明朝"/>
        </w:rPr>
      </w:pPr>
      <w:r w:rsidRPr="008A3EDE">
        <w:rPr>
          <w:rFonts w:ascii="ＭＳ 明朝" w:hAnsi="ＭＳ 明朝" w:hint="eastAsia"/>
        </w:rPr>
        <w:t>会計管理者、教育長</w:t>
      </w:r>
    </w:p>
    <w:p w14:paraId="12FCE82E" w14:textId="77777777" w:rsidR="008B4B2B" w:rsidRPr="008A3EDE" w:rsidRDefault="008B4B2B" w:rsidP="008B4B2B">
      <w:pPr>
        <w:pStyle w:val="ad"/>
        <w:wordWrap/>
        <w:overflowPunct w:val="0"/>
        <w:spacing w:line="400" w:lineRule="exact"/>
        <w:rPr>
          <w:rFonts w:ascii="ＭＳ 明朝" w:hAnsi="ＭＳ 明朝"/>
        </w:rPr>
      </w:pPr>
      <w:r w:rsidRPr="008A3EDE">
        <w:rPr>
          <w:rFonts w:ascii="ＭＳ 明朝" w:hAnsi="ＭＳ 明朝" w:hint="eastAsia"/>
        </w:rPr>
        <w:t xml:space="preserve">　　　　　　※なお、必要に応じ、構成員を増減する。</w:t>
      </w:r>
    </w:p>
    <w:p w14:paraId="0B63FAB7" w14:textId="77777777" w:rsidR="008B4B2B" w:rsidRPr="008A3EDE" w:rsidRDefault="008B4B2B" w:rsidP="008B4B2B">
      <w:pPr>
        <w:pStyle w:val="ad"/>
        <w:wordWrap/>
        <w:overflowPunct w:val="0"/>
        <w:spacing w:line="400" w:lineRule="exact"/>
        <w:ind w:firstLineChars="400" w:firstLine="884"/>
        <w:rPr>
          <w:rFonts w:ascii="ＭＳ 明朝" w:hAnsi="ＭＳ 明朝"/>
        </w:rPr>
      </w:pPr>
      <w:r w:rsidRPr="008A3EDE">
        <w:rPr>
          <w:rFonts w:ascii="ＭＳ 明朝" w:hAnsi="ＭＳ 明朝" w:hint="eastAsia"/>
        </w:rPr>
        <w:t>（４）会議の開催</w:t>
      </w:r>
    </w:p>
    <w:p w14:paraId="1595F555" w14:textId="77777777" w:rsidR="008B4B2B" w:rsidRPr="008A3EDE" w:rsidRDefault="008B4B2B" w:rsidP="008B4B2B">
      <w:pPr>
        <w:pStyle w:val="ad"/>
        <w:overflowPunct w:val="0"/>
        <w:spacing w:line="400" w:lineRule="exact"/>
        <w:ind w:leftChars="600" w:left="1267" w:firstLineChars="100" w:firstLine="221"/>
        <w:rPr>
          <w:rFonts w:ascii="ＭＳ 明朝" w:hAnsi="ＭＳ 明朝"/>
        </w:rPr>
      </w:pPr>
      <w:r w:rsidRPr="008A3EDE">
        <w:rPr>
          <w:rFonts w:ascii="ＭＳ 明朝" w:hAnsi="ＭＳ 明朝" w:hint="eastAsia"/>
        </w:rPr>
        <w:t>府警戒本部の所掌事務について方針を策定し、それを実施するため、本部長は、必要の都度、副本部長及び本部員を招集し、本部会議を開催する。</w:t>
      </w:r>
    </w:p>
    <w:p w14:paraId="34F16FDB" w14:textId="77777777" w:rsidR="008B4B2B" w:rsidRPr="008A3EDE" w:rsidRDefault="008B4B2B" w:rsidP="008B4B2B">
      <w:pPr>
        <w:pStyle w:val="ad"/>
        <w:overflowPunct w:val="0"/>
        <w:spacing w:line="400" w:lineRule="exact"/>
        <w:ind w:leftChars="600" w:left="1267" w:firstLineChars="100" w:firstLine="221"/>
        <w:rPr>
          <w:rFonts w:ascii="ＭＳ 明朝" w:hAnsi="ＭＳ 明朝"/>
        </w:rPr>
      </w:pPr>
      <w:r w:rsidRPr="008A3EDE">
        <w:rPr>
          <w:rFonts w:ascii="ＭＳ 明朝" w:hAnsi="ＭＳ 明朝" w:hint="eastAsia"/>
        </w:rPr>
        <w:t>ただし、本部長は災害等の状況に応じ、会議の構成員を限定することができる。また、本部長は、指令部員及び各部連絡責任者を会議に出席させることができる。</w:t>
      </w:r>
    </w:p>
    <w:p w14:paraId="2D5D0452" w14:textId="77777777" w:rsidR="008B4B2B" w:rsidRPr="008A3EDE" w:rsidRDefault="008B4B2B" w:rsidP="008B4B2B">
      <w:pPr>
        <w:pStyle w:val="ad"/>
        <w:overflowPunct w:val="0"/>
        <w:spacing w:line="400" w:lineRule="exact"/>
        <w:ind w:firstLineChars="400" w:firstLine="884"/>
        <w:rPr>
          <w:rFonts w:ascii="ＭＳ 明朝" w:hAnsi="ＭＳ 明朝"/>
        </w:rPr>
      </w:pPr>
      <w:r w:rsidRPr="008A3EDE">
        <w:rPr>
          <w:rFonts w:ascii="ＭＳ 明朝" w:hAnsi="ＭＳ 明朝" w:hint="eastAsia"/>
        </w:rPr>
        <w:t>（５）会議の内容</w:t>
      </w:r>
    </w:p>
    <w:p w14:paraId="647B7682" w14:textId="77777777" w:rsidR="008B4B2B" w:rsidRPr="008A3EDE" w:rsidRDefault="008B4B2B" w:rsidP="008B4B2B">
      <w:pPr>
        <w:pStyle w:val="ad"/>
        <w:overflowPunct w:val="0"/>
        <w:spacing w:line="400" w:lineRule="exact"/>
        <w:ind w:firstLineChars="500" w:firstLine="1105"/>
        <w:rPr>
          <w:rFonts w:ascii="ＭＳ 明朝" w:hAnsi="ＭＳ 明朝"/>
        </w:rPr>
      </w:pPr>
      <w:r w:rsidRPr="008A3EDE">
        <w:rPr>
          <w:rFonts w:ascii="ＭＳ 明朝" w:hAnsi="ＭＳ 明朝" w:hint="eastAsia"/>
        </w:rPr>
        <w:t>①　情報の収集・伝達</w:t>
      </w:r>
    </w:p>
    <w:p w14:paraId="6F7E4652" w14:textId="77777777" w:rsidR="008B4B2B" w:rsidRPr="008A3EDE" w:rsidRDefault="008B4B2B" w:rsidP="008B4B2B">
      <w:pPr>
        <w:pStyle w:val="ad"/>
        <w:overflowPunct w:val="0"/>
        <w:spacing w:line="400" w:lineRule="exact"/>
        <w:ind w:firstLineChars="500" w:firstLine="1105"/>
        <w:rPr>
          <w:rFonts w:ascii="ＭＳ 明朝" w:hAnsi="ＭＳ 明朝"/>
        </w:rPr>
      </w:pPr>
      <w:r w:rsidRPr="008A3EDE">
        <w:rPr>
          <w:rFonts w:ascii="ＭＳ 明朝" w:hAnsi="ＭＳ 明朝" w:hint="eastAsia"/>
        </w:rPr>
        <w:t>②　職員の配備</w:t>
      </w:r>
    </w:p>
    <w:p w14:paraId="5A5CA39C" w14:textId="77777777" w:rsidR="008B4B2B" w:rsidRPr="008A3EDE" w:rsidRDefault="008B4B2B" w:rsidP="008B4B2B">
      <w:pPr>
        <w:pStyle w:val="ad"/>
        <w:overflowPunct w:val="0"/>
        <w:spacing w:line="400" w:lineRule="exact"/>
        <w:ind w:firstLineChars="500" w:firstLine="1105"/>
        <w:rPr>
          <w:rFonts w:ascii="ＭＳ 明朝" w:hAnsi="ＭＳ 明朝"/>
        </w:rPr>
      </w:pPr>
      <w:r w:rsidRPr="008A3EDE">
        <w:rPr>
          <w:rFonts w:ascii="ＭＳ 明朝" w:hAnsi="ＭＳ 明朝" w:hint="eastAsia"/>
        </w:rPr>
        <w:t>③　関係機関等との連絡調整</w:t>
      </w:r>
    </w:p>
    <w:p w14:paraId="2EFD8033" w14:textId="77777777" w:rsidR="008B4B2B" w:rsidRPr="008A3EDE" w:rsidRDefault="008B4B2B" w:rsidP="008B4B2B">
      <w:pPr>
        <w:pStyle w:val="ad"/>
        <w:overflowPunct w:val="0"/>
        <w:spacing w:line="400" w:lineRule="exact"/>
        <w:ind w:firstLineChars="500" w:firstLine="1105"/>
        <w:rPr>
          <w:rFonts w:ascii="ＭＳ 明朝" w:hAnsi="ＭＳ 明朝"/>
        </w:rPr>
      </w:pPr>
      <w:r w:rsidRPr="008A3EDE">
        <w:rPr>
          <w:rFonts w:ascii="ＭＳ 明朝" w:hAnsi="ＭＳ 明朝" w:hint="eastAsia"/>
        </w:rPr>
        <w:t>④　災害対策本部の設置</w:t>
      </w:r>
    </w:p>
    <w:p w14:paraId="4E2BE6EA" w14:textId="77777777" w:rsidR="008B4B2B" w:rsidRPr="008A3EDE" w:rsidRDefault="008B4B2B" w:rsidP="008B4B2B">
      <w:pPr>
        <w:pStyle w:val="ad"/>
        <w:overflowPunct w:val="0"/>
        <w:spacing w:line="400" w:lineRule="exact"/>
        <w:ind w:firstLineChars="500" w:firstLine="1105"/>
        <w:rPr>
          <w:rFonts w:ascii="ＭＳ 明朝" w:hAnsi="ＭＳ 明朝"/>
        </w:rPr>
      </w:pPr>
      <w:r w:rsidRPr="008A3EDE">
        <w:rPr>
          <w:rFonts w:ascii="ＭＳ 明朝" w:hAnsi="ＭＳ 明朝" w:hint="eastAsia"/>
        </w:rPr>
        <w:lastRenderedPageBreak/>
        <w:t>⑤　現地事故対策連絡会議への職員の派遣</w:t>
      </w:r>
    </w:p>
    <w:p w14:paraId="0546764E" w14:textId="77777777" w:rsidR="008B4B2B" w:rsidRPr="008A3EDE" w:rsidRDefault="008B4B2B" w:rsidP="008B4B2B">
      <w:pPr>
        <w:pStyle w:val="ad"/>
        <w:overflowPunct w:val="0"/>
        <w:spacing w:line="400" w:lineRule="exact"/>
        <w:ind w:firstLineChars="500" w:firstLine="1105"/>
        <w:rPr>
          <w:rFonts w:ascii="ＭＳ 明朝" w:hAnsi="ＭＳ 明朝"/>
        </w:rPr>
      </w:pPr>
      <w:r w:rsidRPr="008A3EDE">
        <w:rPr>
          <w:rFonts w:ascii="ＭＳ 明朝" w:hAnsi="ＭＳ 明朝" w:hint="eastAsia"/>
        </w:rPr>
        <w:t>⑥　その他応急対策</w:t>
      </w:r>
    </w:p>
    <w:p w14:paraId="7B3532E6" w14:textId="77777777" w:rsidR="008B4B2B" w:rsidRPr="008A3EDE" w:rsidRDefault="008B4B2B" w:rsidP="008B4B2B">
      <w:pPr>
        <w:pStyle w:val="ad"/>
        <w:overflowPunct w:val="0"/>
        <w:spacing w:line="400" w:lineRule="exact"/>
        <w:ind w:firstLineChars="400" w:firstLine="884"/>
        <w:rPr>
          <w:rFonts w:ascii="ＭＳ 明朝" w:hAnsi="ＭＳ 明朝"/>
        </w:rPr>
      </w:pPr>
      <w:r w:rsidRPr="008A3EDE">
        <w:rPr>
          <w:rFonts w:ascii="ＭＳ 明朝" w:hAnsi="ＭＳ 明朝" w:hint="eastAsia"/>
        </w:rPr>
        <w:t>Ｂ：府現地連絡班の設置</w:t>
      </w:r>
    </w:p>
    <w:p w14:paraId="42EE93F8" w14:textId="77777777" w:rsidR="008B4B2B" w:rsidRPr="008A3EDE" w:rsidRDefault="008B4B2B" w:rsidP="008B4B2B">
      <w:pPr>
        <w:pStyle w:val="ad"/>
        <w:wordWrap/>
        <w:overflowPunct w:val="0"/>
        <w:spacing w:line="400" w:lineRule="exact"/>
        <w:ind w:left="442" w:hangingChars="200" w:hanging="442"/>
        <w:rPr>
          <w:rFonts w:ascii="ＭＳ 明朝" w:hAnsi="ＭＳ 明朝"/>
        </w:rPr>
      </w:pPr>
      <w:r w:rsidRPr="008A3EDE">
        <w:rPr>
          <w:rFonts w:ascii="ＭＳ 明朝" w:hAnsi="ＭＳ 明朝" w:hint="eastAsia"/>
        </w:rPr>
        <w:t xml:space="preserve">　　　　（１）設置基準</w:t>
      </w:r>
    </w:p>
    <w:p w14:paraId="76149563" w14:textId="2E726139" w:rsidR="00572D04" w:rsidRPr="008A3EDE" w:rsidRDefault="008B4B2B" w:rsidP="00572D04">
      <w:pPr>
        <w:wordWrap w:val="0"/>
        <w:overflowPunct w:val="0"/>
        <w:autoSpaceDE w:val="0"/>
        <w:autoSpaceDN w:val="0"/>
        <w:adjustRightInd w:val="0"/>
        <w:spacing w:line="400" w:lineRule="exact"/>
        <w:ind w:firstLineChars="100" w:firstLine="211"/>
        <w:rPr>
          <w:rFonts w:ascii="ＭＳ 明朝" w:hAnsi="ＭＳ 明朝" w:cs="ＭＳ 明朝"/>
          <w:kern w:val="0"/>
          <w:szCs w:val="21"/>
        </w:rPr>
      </w:pPr>
      <w:r w:rsidRPr="008A3EDE">
        <w:rPr>
          <w:rFonts w:ascii="ＭＳ 明朝" w:hAnsi="ＭＳ 明朝" w:hint="eastAsia"/>
        </w:rPr>
        <w:t xml:space="preserve">　　　</w:t>
      </w:r>
      <w:r w:rsidR="00572D04" w:rsidRPr="008A3EDE">
        <w:rPr>
          <w:rFonts w:ascii="ＭＳ 明朝" w:hAnsi="ＭＳ 明朝" w:hint="eastAsia"/>
        </w:rPr>
        <w:t xml:space="preserve">　　　</w:t>
      </w:r>
      <w:r w:rsidR="00572D04" w:rsidRPr="008A3EDE">
        <w:rPr>
          <w:rFonts w:ascii="ＭＳ 明朝" w:hAnsi="ＭＳ 明朝" w:cs="ＭＳ 明朝" w:hint="eastAsia"/>
          <w:kern w:val="0"/>
          <w:szCs w:val="21"/>
        </w:rPr>
        <w:t>①</w:t>
      </w:r>
      <w:r w:rsidR="0000630A" w:rsidRPr="008A3EDE">
        <w:rPr>
          <w:rFonts w:ascii="ＭＳ 明朝" w:hAnsi="ＭＳ 明朝" w:cs="ＭＳ 明朝" w:hint="eastAsia"/>
          <w:kern w:val="0"/>
          <w:szCs w:val="21"/>
        </w:rPr>
        <w:t xml:space="preserve">　</w:t>
      </w:r>
      <w:r w:rsidR="00572D04" w:rsidRPr="008A3EDE">
        <w:rPr>
          <w:rFonts w:ascii="ＭＳ 明朝" w:hAnsi="ＭＳ 明朝" w:cs="ＭＳ 明朝" w:hint="eastAsia"/>
          <w:kern w:val="0"/>
          <w:szCs w:val="21"/>
        </w:rPr>
        <w:t>施設敷地緊急事態の通報を受信したとき</w:t>
      </w:r>
    </w:p>
    <w:p w14:paraId="55AF7905" w14:textId="7E614396" w:rsidR="008B4B2B" w:rsidRPr="008A3EDE" w:rsidRDefault="00572D04" w:rsidP="00E0548A">
      <w:pPr>
        <w:wordWrap w:val="0"/>
        <w:overflowPunct w:val="0"/>
        <w:autoSpaceDE w:val="0"/>
        <w:autoSpaceDN w:val="0"/>
        <w:adjustRightInd w:val="0"/>
        <w:spacing w:line="400" w:lineRule="exact"/>
        <w:ind w:firstLineChars="700" w:firstLine="1478"/>
        <w:rPr>
          <w:rFonts w:ascii="ＭＳ 明朝" w:hAnsi="ＭＳ 明朝"/>
          <w:szCs w:val="21"/>
        </w:rPr>
      </w:pPr>
      <w:r w:rsidRPr="008A3EDE">
        <w:rPr>
          <w:rFonts w:ascii="ＭＳ 明朝" w:hAnsi="ＭＳ 明朝" w:cs="ＭＳ 明朝" w:hint="eastAsia"/>
          <w:kern w:val="0"/>
          <w:szCs w:val="21"/>
        </w:rPr>
        <w:t>②</w:t>
      </w:r>
      <w:r w:rsidR="0000630A" w:rsidRPr="008A3EDE">
        <w:rPr>
          <w:rFonts w:ascii="ＭＳ 明朝" w:hAnsi="ＭＳ 明朝" w:cs="ＭＳ 明朝" w:hint="eastAsia"/>
          <w:kern w:val="0"/>
          <w:szCs w:val="21"/>
        </w:rPr>
        <w:t xml:space="preserve">　</w:t>
      </w:r>
      <w:r w:rsidRPr="008A3EDE">
        <w:rPr>
          <w:rFonts w:ascii="ＭＳ 明朝" w:hAnsi="ＭＳ 明朝" w:cs="ＭＳ 明朝" w:hint="eastAsia"/>
          <w:kern w:val="0"/>
          <w:szCs w:val="21"/>
        </w:rPr>
        <w:t>府モニタリング設備での放射線量が別に定める異常値を検出したとき</w:t>
      </w:r>
    </w:p>
    <w:p w14:paraId="47C28C2F" w14:textId="77777777" w:rsidR="008B4B2B" w:rsidRPr="008A3EDE" w:rsidRDefault="008B4B2B" w:rsidP="008B4B2B">
      <w:pPr>
        <w:pStyle w:val="ad"/>
        <w:overflowPunct w:val="0"/>
        <w:spacing w:line="400" w:lineRule="exact"/>
        <w:ind w:firstLineChars="400" w:firstLine="884"/>
        <w:rPr>
          <w:rFonts w:ascii="ＭＳ 明朝" w:hAnsi="ＭＳ 明朝"/>
        </w:rPr>
      </w:pPr>
      <w:r w:rsidRPr="008A3EDE">
        <w:rPr>
          <w:rFonts w:ascii="ＭＳ 明朝" w:hAnsi="ＭＳ 明朝" w:hint="eastAsia"/>
        </w:rPr>
        <w:t>（２）廃止基準</w:t>
      </w:r>
    </w:p>
    <w:p w14:paraId="0D88B8F9" w14:textId="746ACEEB" w:rsidR="008B4B2B" w:rsidRPr="008A3EDE" w:rsidRDefault="008B4B2B" w:rsidP="008B4B2B">
      <w:pPr>
        <w:pStyle w:val="ad"/>
        <w:wordWrap/>
        <w:overflowPunct w:val="0"/>
        <w:spacing w:line="400" w:lineRule="exact"/>
        <w:ind w:left="442" w:hangingChars="200" w:hanging="442"/>
        <w:rPr>
          <w:rFonts w:ascii="ＭＳ 明朝" w:hAnsi="ＭＳ 明朝"/>
        </w:rPr>
      </w:pPr>
      <w:r w:rsidRPr="008A3EDE">
        <w:rPr>
          <w:rFonts w:ascii="ＭＳ 明朝" w:hAnsi="ＭＳ 明朝" w:hint="eastAsia"/>
        </w:rPr>
        <w:t xml:space="preserve">　　　　　　　</w:t>
      </w:r>
      <w:r w:rsidR="00572D04" w:rsidRPr="008A3EDE">
        <w:rPr>
          <w:rFonts w:ascii="ＭＳ 明朝" w:hAnsi="ＭＳ 明朝" w:hint="eastAsia"/>
          <w:sz w:val="21"/>
          <w:szCs w:val="21"/>
        </w:rPr>
        <w:t>応急対策がおおむね完了したとき</w:t>
      </w:r>
    </w:p>
    <w:p w14:paraId="512CF063" w14:textId="77777777" w:rsidR="008B4B2B" w:rsidRPr="008A3EDE" w:rsidRDefault="008B4B2B" w:rsidP="008B4B2B">
      <w:pPr>
        <w:pStyle w:val="ad"/>
        <w:wordWrap/>
        <w:overflowPunct w:val="0"/>
        <w:spacing w:line="400" w:lineRule="exact"/>
        <w:ind w:left="442" w:hangingChars="200" w:hanging="442"/>
        <w:rPr>
          <w:rFonts w:ascii="ＭＳ 明朝" w:hAnsi="ＭＳ 明朝"/>
        </w:rPr>
      </w:pPr>
      <w:r w:rsidRPr="008A3EDE">
        <w:rPr>
          <w:rFonts w:ascii="ＭＳ 明朝" w:hAnsi="ＭＳ 明朝" w:hint="eastAsia"/>
        </w:rPr>
        <w:t xml:space="preserve">　　　　（３）組織</w:t>
      </w:r>
    </w:p>
    <w:p w14:paraId="440EEE31" w14:textId="40911045" w:rsidR="008B4B2B" w:rsidRPr="008A3EDE" w:rsidRDefault="008B4B2B" w:rsidP="008B4B2B">
      <w:pPr>
        <w:pStyle w:val="ad"/>
        <w:overflowPunct w:val="0"/>
        <w:spacing w:line="400" w:lineRule="exact"/>
        <w:ind w:leftChars="200" w:left="422" w:firstLineChars="400" w:firstLine="884"/>
        <w:rPr>
          <w:rFonts w:ascii="ＭＳ 明朝" w:hAnsi="ＭＳ 明朝"/>
        </w:rPr>
      </w:pPr>
      <w:r w:rsidRPr="008A3EDE">
        <w:rPr>
          <w:rFonts w:ascii="ＭＳ 明朝" w:hAnsi="ＭＳ 明朝" w:hint="eastAsia"/>
        </w:rPr>
        <w:t>班長：危機管理室長</w:t>
      </w:r>
      <w:r w:rsidR="003C47E9" w:rsidRPr="008A3EDE">
        <w:rPr>
          <w:rFonts w:ascii="ＭＳ 明朝" w:hAnsi="ＭＳ 明朝" w:hint="eastAsia"/>
          <w:sz w:val="21"/>
          <w:szCs w:val="21"/>
        </w:rPr>
        <w:t>もしくは危機管理監が指名する者</w:t>
      </w:r>
    </w:p>
    <w:p w14:paraId="0BD49AAE" w14:textId="77777777" w:rsidR="008B4B2B" w:rsidRPr="008A3EDE" w:rsidRDefault="008B4B2B" w:rsidP="008B4B2B">
      <w:pPr>
        <w:pStyle w:val="ad"/>
        <w:wordWrap/>
        <w:overflowPunct w:val="0"/>
        <w:spacing w:line="400" w:lineRule="exact"/>
        <w:ind w:leftChars="200" w:left="422" w:firstLineChars="400" w:firstLine="884"/>
        <w:rPr>
          <w:rFonts w:ascii="ＭＳ 明朝" w:hAnsi="ＭＳ 明朝"/>
        </w:rPr>
      </w:pPr>
      <w:r w:rsidRPr="008A3EDE">
        <w:rPr>
          <w:rFonts w:ascii="ＭＳ 明朝" w:hAnsi="ＭＳ 明朝" w:hint="eastAsia"/>
        </w:rPr>
        <w:t>班員：危機管理監が指名する者</w:t>
      </w:r>
    </w:p>
    <w:p w14:paraId="763EC69F" w14:textId="77777777" w:rsidR="008B4B2B" w:rsidRPr="008A3EDE" w:rsidRDefault="008B4B2B" w:rsidP="008B4B2B">
      <w:pPr>
        <w:pStyle w:val="ad"/>
        <w:wordWrap/>
        <w:overflowPunct w:val="0"/>
        <w:spacing w:line="400" w:lineRule="exact"/>
        <w:ind w:leftChars="600" w:left="1488" w:hangingChars="100" w:hanging="221"/>
        <w:rPr>
          <w:rFonts w:ascii="ＭＳ 明朝" w:hAnsi="ＭＳ 明朝"/>
        </w:rPr>
      </w:pPr>
      <w:r w:rsidRPr="008A3EDE">
        <w:rPr>
          <w:rFonts w:ascii="ＭＳ 明朝" w:hAnsi="ＭＳ 明朝" w:hint="eastAsia"/>
        </w:rPr>
        <w:t>※班長を現地オフサイトセンターへ派遣するにあたっては、必要に応じ、緊急用自動車による先導等、派遣方法について防災関係機関と調整を図る。</w:t>
      </w:r>
    </w:p>
    <w:p w14:paraId="6156B18E" w14:textId="77777777" w:rsidR="008B4B2B" w:rsidRPr="008A3EDE" w:rsidRDefault="008B4B2B" w:rsidP="008B4B2B">
      <w:pPr>
        <w:pStyle w:val="ad"/>
        <w:wordWrap/>
        <w:overflowPunct w:val="0"/>
        <w:spacing w:line="400" w:lineRule="exact"/>
        <w:rPr>
          <w:rFonts w:ascii="ＭＳ 明朝" w:hAnsi="ＭＳ 明朝"/>
        </w:rPr>
      </w:pPr>
      <w:r w:rsidRPr="008A3EDE">
        <w:rPr>
          <w:rFonts w:ascii="ＭＳ 明朝" w:hAnsi="ＭＳ 明朝" w:hint="eastAsia"/>
        </w:rPr>
        <w:t xml:space="preserve">　　　　（４）活動内容</w:t>
      </w:r>
    </w:p>
    <w:p w14:paraId="55E66EB9" w14:textId="32B0C9F0" w:rsidR="008B4B2B" w:rsidRPr="008A3EDE" w:rsidRDefault="003C47E9" w:rsidP="00E0548A">
      <w:pPr>
        <w:pStyle w:val="ad"/>
        <w:overflowPunct w:val="0"/>
        <w:spacing w:line="400" w:lineRule="exact"/>
        <w:ind w:firstLineChars="500" w:firstLine="1105"/>
        <w:rPr>
          <w:rFonts w:ascii="ＭＳ 明朝" w:hAnsi="ＭＳ 明朝"/>
        </w:rPr>
      </w:pPr>
      <w:r w:rsidRPr="008A3EDE">
        <w:rPr>
          <w:rFonts w:ascii="ＭＳ 明朝" w:hAnsi="ＭＳ 明朝" w:hint="eastAsia"/>
        </w:rPr>
        <w:t xml:space="preserve">①　</w:t>
      </w:r>
      <w:r w:rsidR="008B4B2B" w:rsidRPr="008A3EDE">
        <w:rPr>
          <w:rFonts w:ascii="ＭＳ 明朝" w:hAnsi="ＭＳ 明朝" w:hint="eastAsia"/>
        </w:rPr>
        <w:t>緊急事態応急対策の現地調整と推進</w:t>
      </w:r>
    </w:p>
    <w:p w14:paraId="04329CC2" w14:textId="3690EC05" w:rsidR="008B4B2B" w:rsidRPr="008A3EDE" w:rsidRDefault="003C47E9" w:rsidP="00E0548A">
      <w:pPr>
        <w:pStyle w:val="ad"/>
        <w:overflowPunct w:val="0"/>
        <w:spacing w:line="400" w:lineRule="exact"/>
        <w:ind w:firstLineChars="500" w:firstLine="1105"/>
        <w:rPr>
          <w:rFonts w:ascii="ＭＳ 明朝" w:hAnsi="ＭＳ 明朝"/>
        </w:rPr>
      </w:pPr>
      <w:r w:rsidRPr="008A3EDE">
        <w:rPr>
          <w:rFonts w:ascii="ＭＳ 明朝" w:hAnsi="ＭＳ 明朝" w:hint="eastAsia"/>
        </w:rPr>
        <w:t xml:space="preserve">②　</w:t>
      </w:r>
      <w:r w:rsidR="008B4B2B" w:rsidRPr="008A3EDE">
        <w:rPr>
          <w:rFonts w:ascii="ＭＳ 明朝" w:hAnsi="ＭＳ 明朝" w:hint="eastAsia"/>
        </w:rPr>
        <w:t>現地における関係機関との連絡調整</w:t>
      </w:r>
    </w:p>
    <w:p w14:paraId="24B46105" w14:textId="4EC5DB56" w:rsidR="008B4B2B" w:rsidRPr="008A3EDE" w:rsidRDefault="003C47E9" w:rsidP="00E0548A">
      <w:pPr>
        <w:pStyle w:val="ad"/>
        <w:overflowPunct w:val="0"/>
        <w:spacing w:line="400" w:lineRule="exact"/>
        <w:ind w:firstLineChars="500" w:firstLine="1105"/>
        <w:rPr>
          <w:rFonts w:ascii="ＭＳ 明朝" w:hAnsi="ＭＳ 明朝"/>
        </w:rPr>
      </w:pPr>
      <w:r w:rsidRPr="008A3EDE">
        <w:rPr>
          <w:rFonts w:ascii="ＭＳ 明朝" w:hAnsi="ＭＳ 明朝" w:hint="eastAsia"/>
        </w:rPr>
        <w:t xml:space="preserve">③　</w:t>
      </w:r>
      <w:r w:rsidR="008B4B2B" w:rsidRPr="008A3EDE">
        <w:rPr>
          <w:rFonts w:ascii="ＭＳ 明朝" w:hAnsi="ＭＳ 明朝" w:hint="eastAsia"/>
        </w:rPr>
        <w:t>その他必要な事項</w:t>
      </w:r>
    </w:p>
    <w:p w14:paraId="36FACC8A" w14:textId="77777777" w:rsidR="008B4B2B" w:rsidRPr="008A3EDE" w:rsidRDefault="008B4B2B" w:rsidP="008B4B2B">
      <w:pPr>
        <w:pStyle w:val="ad"/>
        <w:overflowPunct w:val="0"/>
        <w:spacing w:line="400" w:lineRule="exact"/>
        <w:ind w:left="1620"/>
        <w:rPr>
          <w:rFonts w:ascii="ＭＳ 明朝" w:hAnsi="ＭＳ 明朝"/>
        </w:rPr>
      </w:pPr>
    </w:p>
    <w:p w14:paraId="4E85AE29" w14:textId="77777777" w:rsidR="008B4B2B" w:rsidRPr="008A3EDE" w:rsidRDefault="008B4B2B" w:rsidP="008B4B2B">
      <w:pPr>
        <w:pStyle w:val="ad"/>
        <w:wordWrap/>
        <w:overflowPunct w:val="0"/>
        <w:spacing w:line="400" w:lineRule="exact"/>
        <w:rPr>
          <w:rFonts w:ascii="ＭＳ ゴシック" w:eastAsia="ＭＳ ゴシック" w:hAnsi="ＭＳ ゴシック"/>
          <w:u w:val="single"/>
        </w:rPr>
      </w:pPr>
      <w:r w:rsidRPr="008A3EDE">
        <w:rPr>
          <w:rFonts w:ascii="ＭＳ ゴシック" w:eastAsia="ＭＳ ゴシック" w:hAnsi="ＭＳ ゴシック" w:hint="eastAsia"/>
        </w:rPr>
        <w:t xml:space="preserve">　　　</w:t>
      </w:r>
      <w:r w:rsidRPr="008A3EDE">
        <w:rPr>
          <w:rFonts w:ascii="ＭＳ ゴシック" w:eastAsia="ＭＳ ゴシック" w:hAnsi="ＭＳ ゴシック" w:hint="eastAsia"/>
          <w:u w:val="single"/>
        </w:rPr>
        <w:t xml:space="preserve">　４　災害対策本部等の設置（全面緊急事態）</w:t>
      </w:r>
    </w:p>
    <w:p w14:paraId="7977478A" w14:textId="77777777" w:rsidR="008B4B2B" w:rsidRPr="001D6D10" w:rsidRDefault="008B4B2B" w:rsidP="008B4B2B">
      <w:pPr>
        <w:pStyle w:val="ad"/>
        <w:overflowPunct w:val="0"/>
        <w:spacing w:line="400" w:lineRule="exact"/>
        <w:ind w:leftChars="500" w:left="1055" w:firstLineChars="100" w:firstLine="221"/>
        <w:rPr>
          <w:rFonts w:ascii="ＭＳ 明朝" w:hAnsi="ＭＳ 明朝"/>
        </w:rPr>
      </w:pPr>
      <w:r w:rsidRPr="008A3EDE">
        <w:rPr>
          <w:rFonts w:ascii="ＭＳ 明朝" w:hAnsi="ＭＳ 明朝" w:hint="eastAsia"/>
        </w:rPr>
        <w:t>知事は、次の設置基準に該当する場合には、大阪府災害</w:t>
      </w:r>
      <w:r w:rsidRPr="001D6D10">
        <w:rPr>
          <w:rFonts w:ascii="ＭＳ 明朝" w:hAnsi="ＭＳ 明朝" w:hint="eastAsia"/>
        </w:rPr>
        <w:t>対策本部（以下「府災対本部」という）及び原子力災害現地連絡部（以下「府現地連絡部」という）を設置し、災害応急対策等を実施する。また、指令部長は、その旨を各部連絡責任者に通知する。</w:t>
      </w:r>
    </w:p>
    <w:p w14:paraId="70006181" w14:textId="77777777" w:rsidR="008B4B2B" w:rsidRPr="001D6D10" w:rsidRDefault="008B4B2B" w:rsidP="008B4B2B">
      <w:pPr>
        <w:pStyle w:val="ad"/>
        <w:overflowPunct w:val="0"/>
        <w:spacing w:line="400" w:lineRule="exact"/>
        <w:ind w:firstLineChars="400" w:firstLine="884"/>
        <w:rPr>
          <w:rFonts w:ascii="ＭＳ 明朝" w:hAnsi="ＭＳ 明朝"/>
        </w:rPr>
      </w:pPr>
      <w:r w:rsidRPr="001D6D10">
        <w:rPr>
          <w:rFonts w:ascii="ＭＳ 明朝" w:hAnsi="ＭＳ 明朝" w:hint="eastAsia"/>
        </w:rPr>
        <w:t>Ａ：府災対本部の設置</w:t>
      </w:r>
    </w:p>
    <w:p w14:paraId="59A9931D" w14:textId="77777777" w:rsidR="008B4B2B" w:rsidRPr="001D6D10" w:rsidRDefault="008B4B2B" w:rsidP="008B4B2B">
      <w:pPr>
        <w:pStyle w:val="ad"/>
        <w:overflowPunct w:val="0"/>
        <w:spacing w:line="400" w:lineRule="exact"/>
        <w:ind w:firstLineChars="400" w:firstLine="884"/>
        <w:rPr>
          <w:rFonts w:ascii="ＭＳ 明朝" w:hAnsi="ＭＳ 明朝"/>
        </w:rPr>
      </w:pPr>
      <w:r w:rsidRPr="001D6D10">
        <w:rPr>
          <w:rFonts w:ascii="ＭＳ 明朝" w:hAnsi="ＭＳ 明朝" w:hint="eastAsia"/>
        </w:rPr>
        <w:t>（１）設置基準</w:t>
      </w:r>
    </w:p>
    <w:p w14:paraId="216F88B5" w14:textId="182A0D7F" w:rsidR="0000630A" w:rsidRPr="001D6D10" w:rsidRDefault="008B4B2B" w:rsidP="008B4B2B">
      <w:pPr>
        <w:pStyle w:val="ad"/>
        <w:overflowPunct w:val="0"/>
        <w:spacing w:line="400" w:lineRule="exact"/>
        <w:ind w:firstLineChars="500" w:firstLine="1105"/>
        <w:rPr>
          <w:rFonts w:ascii="ＭＳ 明朝" w:hAnsi="ＭＳ 明朝"/>
        </w:rPr>
      </w:pPr>
      <w:r w:rsidRPr="001D6D10">
        <w:rPr>
          <w:rFonts w:ascii="ＭＳ 明朝" w:hAnsi="ＭＳ 明朝" w:hint="eastAsia"/>
        </w:rPr>
        <w:t>①</w:t>
      </w:r>
      <w:r w:rsidR="0000630A">
        <w:rPr>
          <w:rFonts w:ascii="ＭＳ 明朝" w:hAnsi="ＭＳ 明朝" w:hint="eastAsia"/>
        </w:rPr>
        <w:t xml:space="preserve">　</w:t>
      </w:r>
      <w:r w:rsidRPr="001D6D10">
        <w:rPr>
          <w:rFonts w:ascii="ＭＳ 明朝" w:hAnsi="ＭＳ 明朝" w:hint="eastAsia"/>
        </w:rPr>
        <w:t>内閣総理大臣が原子力緊急事態宣言を発出したとき</w:t>
      </w:r>
    </w:p>
    <w:p w14:paraId="445A7390" w14:textId="2054803B" w:rsidR="008B4B2B" w:rsidRPr="001D6D10" w:rsidRDefault="0000630A" w:rsidP="00E0548A">
      <w:pPr>
        <w:pStyle w:val="ad"/>
        <w:overflowPunct w:val="0"/>
        <w:spacing w:line="400" w:lineRule="exact"/>
        <w:ind w:firstLineChars="500" w:firstLine="1105"/>
        <w:rPr>
          <w:rFonts w:ascii="ＭＳ 明朝" w:hAnsi="ＭＳ 明朝"/>
        </w:rPr>
      </w:pPr>
      <w:r>
        <w:rPr>
          <w:rFonts w:ascii="ＭＳ 明朝" w:hAnsi="ＭＳ 明朝" w:hint="eastAsia"/>
        </w:rPr>
        <w:t xml:space="preserve">②　</w:t>
      </w:r>
      <w:r w:rsidR="008B4B2B" w:rsidRPr="001D6D10">
        <w:rPr>
          <w:rFonts w:ascii="ＭＳ 明朝" w:hAnsi="ＭＳ 明朝" w:hint="eastAsia"/>
        </w:rPr>
        <w:t>その他知事が必要と認めたとき</w:t>
      </w:r>
    </w:p>
    <w:p w14:paraId="5D102AA9" w14:textId="77777777" w:rsidR="008B4B2B" w:rsidRPr="001D6D10" w:rsidRDefault="008B4B2B" w:rsidP="008B4B2B">
      <w:pPr>
        <w:pStyle w:val="ad"/>
        <w:overflowPunct w:val="0"/>
        <w:spacing w:line="400" w:lineRule="exact"/>
        <w:ind w:leftChars="500" w:left="1497" w:hangingChars="200" w:hanging="442"/>
        <w:rPr>
          <w:rFonts w:ascii="ＭＳ 明朝" w:hAnsi="ＭＳ 明朝"/>
        </w:rPr>
      </w:pPr>
      <w:r w:rsidRPr="001D6D10">
        <w:rPr>
          <w:rFonts w:ascii="ＭＳ 明朝" w:hAnsi="ＭＳ 明朝" w:hint="eastAsia"/>
        </w:rPr>
        <w:t xml:space="preserve">　・府モニタリング施設において、10分以上又は２地点以上で同時に5µSv/h以上の放射線量を検出したとき（ただし、当該数値が落雷等による場合を除く。）</w:t>
      </w:r>
    </w:p>
    <w:p w14:paraId="50417CF2" w14:textId="77777777" w:rsidR="008B4B2B" w:rsidRPr="001D6D10" w:rsidRDefault="008B4B2B" w:rsidP="008B4B2B">
      <w:pPr>
        <w:pStyle w:val="ad"/>
        <w:overflowPunct w:val="0"/>
        <w:spacing w:line="400" w:lineRule="exact"/>
        <w:ind w:leftChars="200" w:left="422" w:firstLineChars="300" w:firstLine="663"/>
        <w:rPr>
          <w:rFonts w:ascii="ＭＳ 明朝" w:hAnsi="ＭＳ 明朝"/>
        </w:rPr>
      </w:pPr>
      <w:r w:rsidRPr="001D6D10">
        <w:rPr>
          <w:rFonts w:ascii="ＭＳ 明朝" w:hAnsi="ＭＳ 明朝" w:hint="eastAsia"/>
        </w:rPr>
        <w:t xml:space="preserve">　・その他府災対本部の設置が必要と認められるとき</w:t>
      </w:r>
    </w:p>
    <w:p w14:paraId="7B632ACC" w14:textId="77777777" w:rsidR="008B4B2B" w:rsidRPr="001D6D10" w:rsidRDefault="008B4B2B" w:rsidP="008B4B2B">
      <w:pPr>
        <w:pStyle w:val="ad"/>
        <w:wordWrap/>
        <w:overflowPunct w:val="0"/>
        <w:spacing w:line="400" w:lineRule="exact"/>
        <w:ind w:left="442" w:hangingChars="200" w:hanging="442"/>
        <w:rPr>
          <w:rFonts w:ascii="ＭＳ 明朝" w:hAnsi="ＭＳ 明朝"/>
        </w:rPr>
      </w:pPr>
      <w:r w:rsidRPr="001D6D10">
        <w:rPr>
          <w:rFonts w:ascii="ＭＳ 明朝" w:hAnsi="ＭＳ 明朝" w:hint="eastAsia"/>
        </w:rPr>
        <w:t xml:space="preserve">　　　　（２）廃止基準</w:t>
      </w:r>
    </w:p>
    <w:p w14:paraId="64BBF8EC" w14:textId="64C808A9" w:rsidR="0000630A" w:rsidRPr="001D6D10" w:rsidRDefault="008B4B2B" w:rsidP="008B4B2B">
      <w:pPr>
        <w:pStyle w:val="ad"/>
        <w:overflowPunct w:val="0"/>
        <w:spacing w:line="400" w:lineRule="exact"/>
        <w:ind w:firstLineChars="500" w:firstLine="1105"/>
        <w:rPr>
          <w:rFonts w:ascii="ＭＳ 明朝" w:hAnsi="ＭＳ 明朝"/>
        </w:rPr>
      </w:pPr>
      <w:r w:rsidRPr="001D6D10">
        <w:rPr>
          <w:rFonts w:ascii="ＭＳ 明朝" w:hAnsi="ＭＳ 明朝" w:hint="eastAsia"/>
        </w:rPr>
        <w:t>①</w:t>
      </w:r>
      <w:r w:rsidR="0000630A">
        <w:rPr>
          <w:rFonts w:ascii="ＭＳ 明朝" w:hAnsi="ＭＳ 明朝" w:hint="eastAsia"/>
        </w:rPr>
        <w:t xml:space="preserve">　</w:t>
      </w:r>
      <w:r w:rsidRPr="001D6D10">
        <w:rPr>
          <w:rFonts w:ascii="ＭＳ 明朝" w:hAnsi="ＭＳ 明朝" w:hint="eastAsia"/>
        </w:rPr>
        <w:t>災害等応急対策がおおむね完了したとき</w:t>
      </w:r>
    </w:p>
    <w:p w14:paraId="605C9CE0" w14:textId="69012232" w:rsidR="008B4B2B" w:rsidRPr="001D6D10" w:rsidRDefault="0000630A">
      <w:pPr>
        <w:pStyle w:val="ad"/>
        <w:overflowPunct w:val="0"/>
        <w:spacing w:line="400" w:lineRule="exact"/>
        <w:ind w:firstLineChars="500" w:firstLine="1105"/>
        <w:rPr>
          <w:rFonts w:ascii="ＭＳ 明朝" w:hAnsi="ＭＳ 明朝"/>
        </w:rPr>
      </w:pPr>
      <w:r>
        <w:rPr>
          <w:rFonts w:ascii="ＭＳ 明朝" w:hAnsi="ＭＳ 明朝" w:hint="eastAsia"/>
        </w:rPr>
        <w:lastRenderedPageBreak/>
        <w:t xml:space="preserve">②　</w:t>
      </w:r>
      <w:r w:rsidR="008B4B2B" w:rsidRPr="001D6D10">
        <w:rPr>
          <w:rFonts w:ascii="ＭＳ 明朝" w:hAnsi="ＭＳ 明朝" w:hint="eastAsia"/>
        </w:rPr>
        <w:t>その他災害対策本部長が認めたとき</w:t>
      </w:r>
    </w:p>
    <w:p w14:paraId="5BFB3735" w14:textId="77777777" w:rsidR="008B4B2B" w:rsidRPr="001D6D10" w:rsidRDefault="008B4B2B" w:rsidP="008B4B2B">
      <w:pPr>
        <w:pStyle w:val="ad"/>
        <w:overflowPunct w:val="0"/>
        <w:spacing w:line="400" w:lineRule="exact"/>
        <w:ind w:firstLineChars="400" w:firstLine="884"/>
        <w:rPr>
          <w:rFonts w:ascii="ＭＳ 明朝" w:hAnsi="ＭＳ 明朝"/>
        </w:rPr>
      </w:pPr>
      <w:r w:rsidRPr="001D6D10">
        <w:rPr>
          <w:rFonts w:ascii="ＭＳ 明朝" w:hAnsi="ＭＳ 明朝" w:hint="eastAsia"/>
        </w:rPr>
        <w:t>（３）組織</w:t>
      </w:r>
    </w:p>
    <w:p w14:paraId="4F81D36E" w14:textId="77777777" w:rsidR="008B4B2B" w:rsidRPr="001D6D10" w:rsidRDefault="008B4B2B" w:rsidP="008B4B2B">
      <w:pPr>
        <w:pStyle w:val="ad"/>
        <w:overflowPunct w:val="0"/>
        <w:spacing w:line="400" w:lineRule="exact"/>
        <w:ind w:firstLineChars="600" w:firstLine="1327"/>
        <w:rPr>
          <w:rFonts w:ascii="ＭＳ 明朝" w:hAnsi="ＭＳ 明朝"/>
        </w:rPr>
      </w:pPr>
      <w:r w:rsidRPr="001D6D10">
        <w:rPr>
          <w:rFonts w:ascii="ＭＳ 明朝" w:hAnsi="ＭＳ 明朝" w:hint="eastAsia"/>
        </w:rPr>
        <w:t>本部長：知事</w:t>
      </w:r>
    </w:p>
    <w:p w14:paraId="4299015F" w14:textId="77777777" w:rsidR="008B4B2B" w:rsidRPr="001D6D10" w:rsidRDefault="008B4B2B" w:rsidP="008B4B2B">
      <w:pPr>
        <w:pStyle w:val="ad"/>
        <w:overflowPunct w:val="0"/>
        <w:spacing w:line="400" w:lineRule="exact"/>
        <w:ind w:firstLineChars="600" w:firstLine="1327"/>
        <w:rPr>
          <w:rFonts w:ascii="ＭＳ 明朝" w:hAnsi="ＭＳ 明朝"/>
        </w:rPr>
      </w:pPr>
      <w:r w:rsidRPr="001D6D10">
        <w:rPr>
          <w:rFonts w:ascii="ＭＳ 明朝" w:hAnsi="ＭＳ 明朝" w:hint="eastAsia"/>
        </w:rPr>
        <w:t>副本部長：副知事(３名）、危機管理監</w:t>
      </w:r>
    </w:p>
    <w:p w14:paraId="02D66E42" w14:textId="77777777" w:rsidR="008B4B2B" w:rsidRPr="001D6D10" w:rsidRDefault="008B4B2B" w:rsidP="008B4B2B">
      <w:pPr>
        <w:pStyle w:val="ad"/>
        <w:wordWrap/>
        <w:overflowPunct w:val="0"/>
        <w:spacing w:line="400" w:lineRule="exact"/>
        <w:ind w:firstLineChars="600" w:firstLine="1327"/>
        <w:rPr>
          <w:rFonts w:ascii="ＭＳ 明朝" w:hAnsi="ＭＳ 明朝"/>
        </w:rPr>
      </w:pPr>
      <w:r w:rsidRPr="001D6D10">
        <w:rPr>
          <w:rFonts w:ascii="ＭＳ 明朝" w:hAnsi="ＭＳ 明朝" w:hint="eastAsia"/>
        </w:rPr>
        <w:t>本部員：政策企画部長、報道監、危機管理室長、総務部長、財務部長、</w:t>
      </w:r>
    </w:p>
    <w:p w14:paraId="77509E29" w14:textId="77777777" w:rsidR="008B4B2B" w:rsidRPr="001D6D10" w:rsidRDefault="008B4B2B" w:rsidP="008B4B2B">
      <w:pPr>
        <w:pStyle w:val="ad"/>
        <w:wordWrap/>
        <w:overflowPunct w:val="0"/>
        <w:spacing w:line="400" w:lineRule="exact"/>
        <w:ind w:firstLineChars="1000" w:firstLine="2211"/>
        <w:rPr>
          <w:rFonts w:ascii="ＭＳ 明朝" w:hAnsi="ＭＳ 明朝"/>
        </w:rPr>
      </w:pPr>
      <w:r w:rsidRPr="001D6D10">
        <w:rPr>
          <w:rFonts w:ascii="ＭＳ 明朝" w:hAnsi="ＭＳ 明朝" w:hint="eastAsia"/>
        </w:rPr>
        <w:t>スマートシティ戦略部長、府民文化部長、ＩＲ推進局長、福祉部長、</w:t>
      </w:r>
    </w:p>
    <w:p w14:paraId="6AD06FF9" w14:textId="77777777" w:rsidR="0084677D" w:rsidRPr="001D6D10" w:rsidRDefault="008B4B2B" w:rsidP="008B4B2B">
      <w:pPr>
        <w:pStyle w:val="ad"/>
        <w:wordWrap/>
        <w:overflowPunct w:val="0"/>
        <w:spacing w:line="400" w:lineRule="exact"/>
        <w:ind w:firstLineChars="1000" w:firstLine="2211"/>
        <w:rPr>
          <w:rFonts w:ascii="ＭＳ 明朝" w:hAnsi="ＭＳ 明朝"/>
        </w:rPr>
      </w:pPr>
      <w:r w:rsidRPr="001D6D10">
        <w:rPr>
          <w:rFonts w:ascii="ＭＳ 明朝" w:hAnsi="ＭＳ 明朝" w:hint="eastAsia"/>
        </w:rPr>
        <w:t>健康医療部長、商工労働部長、環境農林水産部長、都市整備部長、</w:t>
      </w:r>
    </w:p>
    <w:p w14:paraId="59649592" w14:textId="77777777" w:rsidR="0084677D" w:rsidRPr="001D6D10" w:rsidRDefault="0062373F" w:rsidP="008B4B2B">
      <w:pPr>
        <w:pStyle w:val="ad"/>
        <w:wordWrap/>
        <w:overflowPunct w:val="0"/>
        <w:spacing w:line="400" w:lineRule="exact"/>
        <w:ind w:firstLineChars="1000" w:firstLine="2211"/>
        <w:rPr>
          <w:rFonts w:ascii="ＭＳ 明朝" w:hAnsi="ＭＳ 明朝"/>
        </w:rPr>
      </w:pPr>
      <w:r w:rsidRPr="001D6D10">
        <w:rPr>
          <w:rFonts w:ascii="ＭＳ 明朝" w:hAnsi="ＭＳ 明朝" w:hint="eastAsia"/>
        </w:rPr>
        <w:t>大阪</w:t>
      </w:r>
      <w:r w:rsidR="0084677D" w:rsidRPr="001D6D10">
        <w:rPr>
          <w:rFonts w:ascii="ＭＳ 明朝" w:hAnsi="ＭＳ 明朝" w:hint="eastAsia"/>
        </w:rPr>
        <w:t>都市計画局長、</w:t>
      </w:r>
      <w:r w:rsidR="008B4B2B" w:rsidRPr="001D6D10">
        <w:rPr>
          <w:rFonts w:ascii="ＭＳ 明朝" w:hAnsi="ＭＳ 明朝" w:hint="eastAsia"/>
        </w:rPr>
        <w:t>大阪港湾局長、</w:t>
      </w:r>
    </w:p>
    <w:p w14:paraId="02CAF475" w14:textId="77777777" w:rsidR="008B4B2B" w:rsidRPr="001D6D10" w:rsidRDefault="008B4B2B" w:rsidP="008B4B2B">
      <w:pPr>
        <w:pStyle w:val="ad"/>
        <w:wordWrap/>
        <w:overflowPunct w:val="0"/>
        <w:spacing w:line="400" w:lineRule="exact"/>
        <w:ind w:firstLineChars="1000" w:firstLine="2211"/>
        <w:rPr>
          <w:rFonts w:ascii="ＭＳ 明朝" w:hAnsi="ＭＳ 明朝"/>
        </w:rPr>
      </w:pPr>
      <w:r w:rsidRPr="001D6D10">
        <w:rPr>
          <w:rFonts w:ascii="ＭＳ 明朝" w:hAnsi="ＭＳ 明朝" w:hint="eastAsia"/>
        </w:rPr>
        <w:t>会計管理者、教育長、警察本部副本部長</w:t>
      </w:r>
    </w:p>
    <w:p w14:paraId="3F10EDFE" w14:textId="77777777" w:rsidR="008B4B2B" w:rsidRPr="001D6D10" w:rsidRDefault="008B4B2B" w:rsidP="008B4B2B">
      <w:pPr>
        <w:pStyle w:val="ad"/>
        <w:wordWrap/>
        <w:overflowPunct w:val="0"/>
        <w:spacing w:line="400" w:lineRule="exact"/>
        <w:ind w:firstLineChars="400" w:firstLine="884"/>
        <w:rPr>
          <w:rFonts w:ascii="ＭＳ 明朝" w:hAnsi="ＭＳ 明朝"/>
        </w:rPr>
      </w:pPr>
      <w:r w:rsidRPr="001D6D10">
        <w:rPr>
          <w:rFonts w:ascii="ＭＳ 明朝" w:hAnsi="ＭＳ 明朝" w:hint="eastAsia"/>
        </w:rPr>
        <w:t>（４）会議の開催</w:t>
      </w:r>
    </w:p>
    <w:p w14:paraId="0786F9AD" w14:textId="77777777" w:rsidR="008B4B2B" w:rsidRPr="001D6D10" w:rsidRDefault="008B4B2B" w:rsidP="008B4B2B">
      <w:pPr>
        <w:pStyle w:val="ad"/>
        <w:overflowPunct w:val="0"/>
        <w:spacing w:line="400" w:lineRule="exact"/>
        <w:ind w:leftChars="600" w:left="1267" w:firstLineChars="100" w:firstLine="221"/>
        <w:rPr>
          <w:rFonts w:ascii="ＭＳ 明朝" w:hAnsi="ＭＳ 明朝"/>
        </w:rPr>
      </w:pPr>
      <w:r w:rsidRPr="001D6D10">
        <w:rPr>
          <w:rFonts w:ascii="ＭＳ 明朝" w:hAnsi="ＭＳ 明朝" w:hint="eastAsia"/>
        </w:rPr>
        <w:t>府災対本部の所掌事務について方針を策定し、それを実施するため本部長は、必要の都度、副本部長及び本部員を招集し災対本部会議を開催する。</w:t>
      </w:r>
    </w:p>
    <w:p w14:paraId="60252881" w14:textId="77777777" w:rsidR="008B4B2B" w:rsidRPr="001D6D10" w:rsidRDefault="008B4B2B" w:rsidP="008B4B2B">
      <w:pPr>
        <w:pStyle w:val="ad"/>
        <w:overflowPunct w:val="0"/>
        <w:spacing w:line="400" w:lineRule="exact"/>
        <w:ind w:leftChars="600" w:left="1267" w:firstLineChars="100" w:firstLine="221"/>
        <w:rPr>
          <w:rFonts w:ascii="ＭＳ 明朝" w:hAnsi="ＭＳ 明朝"/>
        </w:rPr>
      </w:pPr>
      <w:r w:rsidRPr="001D6D10">
        <w:rPr>
          <w:rFonts w:ascii="ＭＳ 明朝" w:hAnsi="ＭＳ 明朝" w:hint="eastAsia"/>
        </w:rPr>
        <w:t>また、本部長は、指令部員及び各部連絡責任者を会議に出席させることができる。災対本部会議の運営・議事進行は危機管理監が行う。</w:t>
      </w:r>
    </w:p>
    <w:p w14:paraId="0C8FC1B8" w14:textId="77777777" w:rsidR="008B4B2B" w:rsidRPr="001D6D10" w:rsidRDefault="008B4B2B" w:rsidP="008B4B2B">
      <w:pPr>
        <w:pStyle w:val="ad"/>
        <w:overflowPunct w:val="0"/>
        <w:spacing w:line="400" w:lineRule="exact"/>
        <w:ind w:firstLineChars="400" w:firstLine="884"/>
        <w:rPr>
          <w:rFonts w:ascii="ＭＳ 明朝" w:hAnsi="ＭＳ 明朝"/>
        </w:rPr>
      </w:pPr>
      <w:r w:rsidRPr="001D6D10">
        <w:rPr>
          <w:rFonts w:ascii="ＭＳ 明朝" w:hAnsi="ＭＳ 明朝" w:hint="eastAsia"/>
        </w:rPr>
        <w:t>（５）会議の内容</w:t>
      </w:r>
    </w:p>
    <w:p w14:paraId="0207760E" w14:textId="77777777" w:rsidR="008B4B2B" w:rsidRPr="001D6D10" w:rsidRDefault="008B4B2B" w:rsidP="008B4B2B">
      <w:pPr>
        <w:pStyle w:val="ad"/>
        <w:overflowPunct w:val="0"/>
        <w:spacing w:line="400" w:lineRule="exact"/>
        <w:ind w:firstLineChars="500" w:firstLine="1105"/>
        <w:rPr>
          <w:rFonts w:ascii="ＭＳ 明朝" w:hAnsi="ＭＳ 明朝"/>
        </w:rPr>
      </w:pPr>
      <w:r w:rsidRPr="001D6D10">
        <w:rPr>
          <w:rFonts w:ascii="ＭＳ 明朝" w:hAnsi="ＭＳ 明朝" w:hint="eastAsia"/>
        </w:rPr>
        <w:t>①　情報の収集・分析</w:t>
      </w:r>
    </w:p>
    <w:p w14:paraId="7348B220" w14:textId="77777777" w:rsidR="008B4B2B" w:rsidRPr="001D6D10" w:rsidRDefault="008B4B2B" w:rsidP="008B4B2B">
      <w:pPr>
        <w:pStyle w:val="ad"/>
        <w:overflowPunct w:val="0"/>
        <w:spacing w:line="400" w:lineRule="exact"/>
        <w:ind w:firstLineChars="500" w:firstLine="1105"/>
        <w:rPr>
          <w:rFonts w:ascii="ＭＳ 明朝" w:hAnsi="ＭＳ 明朝"/>
        </w:rPr>
      </w:pPr>
      <w:r w:rsidRPr="001D6D10">
        <w:rPr>
          <w:rFonts w:ascii="ＭＳ 明朝" w:hAnsi="ＭＳ 明朝" w:hint="eastAsia"/>
        </w:rPr>
        <w:t>②　職員の配備</w:t>
      </w:r>
    </w:p>
    <w:p w14:paraId="46E67AED" w14:textId="77777777" w:rsidR="008B4B2B" w:rsidRPr="001D6D10" w:rsidRDefault="008B4B2B" w:rsidP="008B4B2B">
      <w:pPr>
        <w:pStyle w:val="ad"/>
        <w:overflowPunct w:val="0"/>
        <w:spacing w:line="400" w:lineRule="exact"/>
        <w:ind w:firstLineChars="500" w:firstLine="1105"/>
        <w:rPr>
          <w:rFonts w:ascii="ＭＳ 明朝" w:hAnsi="ＭＳ 明朝"/>
        </w:rPr>
      </w:pPr>
      <w:r w:rsidRPr="001D6D10">
        <w:rPr>
          <w:rFonts w:ascii="ＭＳ 明朝" w:hAnsi="ＭＳ 明朝" w:hint="eastAsia"/>
        </w:rPr>
        <w:t>③　関係機関に対する応援の要請及び応援</w:t>
      </w:r>
    </w:p>
    <w:p w14:paraId="1306A5E6" w14:textId="77777777" w:rsidR="008B4B2B" w:rsidRPr="001D6D10" w:rsidRDefault="008B4B2B" w:rsidP="008B4B2B">
      <w:pPr>
        <w:pStyle w:val="ad"/>
        <w:overflowPunct w:val="0"/>
        <w:spacing w:line="400" w:lineRule="exact"/>
        <w:ind w:firstLineChars="500" w:firstLine="1105"/>
        <w:rPr>
          <w:rFonts w:ascii="ＭＳ 明朝" w:hAnsi="ＭＳ 明朝"/>
        </w:rPr>
      </w:pPr>
      <w:r w:rsidRPr="001D6D10">
        <w:rPr>
          <w:rFonts w:ascii="ＭＳ 明朝" w:hAnsi="ＭＳ 明朝" w:hint="eastAsia"/>
        </w:rPr>
        <w:t>④　関係市町への応援</w:t>
      </w:r>
    </w:p>
    <w:p w14:paraId="01172D31" w14:textId="77777777" w:rsidR="008B4B2B" w:rsidRPr="001D6D10" w:rsidRDefault="008B4B2B" w:rsidP="008B4B2B">
      <w:pPr>
        <w:pStyle w:val="ad"/>
        <w:overflowPunct w:val="0"/>
        <w:spacing w:line="400" w:lineRule="exact"/>
        <w:ind w:firstLineChars="500" w:firstLine="1105"/>
        <w:rPr>
          <w:rFonts w:ascii="ＭＳ 明朝" w:hAnsi="ＭＳ 明朝"/>
        </w:rPr>
      </w:pPr>
      <w:r w:rsidRPr="001D6D10">
        <w:rPr>
          <w:rFonts w:ascii="ＭＳ 明朝" w:hAnsi="ＭＳ 明朝" w:hint="eastAsia"/>
        </w:rPr>
        <w:t>⑤　原子力災害合同対策協議会への職員の派遣及び連携</w:t>
      </w:r>
    </w:p>
    <w:p w14:paraId="712D72F6" w14:textId="77777777" w:rsidR="008B4B2B" w:rsidRPr="001D6D10" w:rsidRDefault="008B4B2B" w:rsidP="008B4B2B">
      <w:pPr>
        <w:pStyle w:val="ad"/>
        <w:overflowPunct w:val="0"/>
        <w:spacing w:line="400" w:lineRule="exact"/>
        <w:ind w:firstLineChars="500" w:firstLine="1105"/>
        <w:rPr>
          <w:rFonts w:ascii="ＭＳ 明朝" w:hAnsi="ＭＳ 明朝"/>
        </w:rPr>
      </w:pPr>
      <w:r w:rsidRPr="001D6D10">
        <w:rPr>
          <w:rFonts w:ascii="ＭＳ 明朝" w:hAnsi="ＭＳ 明朝" w:hint="eastAsia"/>
        </w:rPr>
        <w:t>⑥　その他災害に関する重要な事項の決定</w:t>
      </w:r>
    </w:p>
    <w:p w14:paraId="77A0301D" w14:textId="77777777" w:rsidR="008B4B2B" w:rsidRPr="008A3EDE" w:rsidRDefault="008B4B2B" w:rsidP="008B4B2B">
      <w:pPr>
        <w:pStyle w:val="ad"/>
        <w:overflowPunct w:val="0"/>
        <w:spacing w:line="400" w:lineRule="exact"/>
        <w:ind w:firstLineChars="400" w:firstLine="884"/>
        <w:rPr>
          <w:rFonts w:ascii="ＭＳ 明朝" w:hAnsi="ＭＳ 明朝"/>
        </w:rPr>
      </w:pPr>
      <w:r w:rsidRPr="001D6D10">
        <w:rPr>
          <w:rFonts w:ascii="ＭＳ 明朝" w:hAnsi="ＭＳ 明朝" w:hint="eastAsia"/>
        </w:rPr>
        <w:t>Ｂ：府現</w:t>
      </w:r>
      <w:r w:rsidRPr="008A3EDE">
        <w:rPr>
          <w:rFonts w:ascii="ＭＳ 明朝" w:hAnsi="ＭＳ 明朝" w:hint="eastAsia"/>
        </w:rPr>
        <w:t>地連絡部の設置</w:t>
      </w:r>
    </w:p>
    <w:p w14:paraId="5762D1BA" w14:textId="77777777" w:rsidR="008B4B2B" w:rsidRPr="008A3EDE" w:rsidRDefault="008B4B2B" w:rsidP="008B4B2B">
      <w:pPr>
        <w:pStyle w:val="ad"/>
        <w:wordWrap/>
        <w:overflowPunct w:val="0"/>
        <w:spacing w:line="400" w:lineRule="exact"/>
        <w:ind w:left="442" w:hangingChars="200" w:hanging="442"/>
        <w:rPr>
          <w:rFonts w:ascii="ＭＳ 明朝" w:hAnsi="ＭＳ 明朝"/>
        </w:rPr>
      </w:pPr>
      <w:r w:rsidRPr="008A3EDE">
        <w:rPr>
          <w:rFonts w:ascii="ＭＳ 明朝" w:hAnsi="ＭＳ 明朝" w:hint="eastAsia"/>
        </w:rPr>
        <w:t xml:space="preserve">　　　　（１）設置基準</w:t>
      </w:r>
    </w:p>
    <w:p w14:paraId="0514BCE4" w14:textId="6B89BA18" w:rsidR="008B4B2B" w:rsidRPr="008A3EDE" w:rsidRDefault="008B4B2B" w:rsidP="008B4B2B">
      <w:pPr>
        <w:pStyle w:val="ad"/>
        <w:overflowPunct w:val="0"/>
        <w:spacing w:line="400" w:lineRule="exact"/>
        <w:ind w:firstLineChars="400" w:firstLine="884"/>
        <w:rPr>
          <w:rFonts w:ascii="ＭＳ 明朝" w:hAnsi="ＭＳ 明朝"/>
        </w:rPr>
      </w:pPr>
      <w:r w:rsidRPr="008A3EDE">
        <w:rPr>
          <w:rFonts w:ascii="ＭＳ 明朝" w:hAnsi="ＭＳ 明朝" w:hint="eastAsia"/>
        </w:rPr>
        <w:t xml:space="preserve">　　　</w:t>
      </w:r>
      <w:r w:rsidR="003D1B73" w:rsidRPr="008A3EDE">
        <w:rPr>
          <w:rFonts w:ascii="ＭＳ 明朝" w:hAnsi="ＭＳ 明朝" w:hint="eastAsia"/>
        </w:rPr>
        <w:t>内閣総理大臣が原子力緊急事態宣言を発出したとき</w:t>
      </w:r>
    </w:p>
    <w:p w14:paraId="079F3506" w14:textId="77777777" w:rsidR="008B4B2B" w:rsidRPr="008A3EDE" w:rsidRDefault="008B4B2B" w:rsidP="008B4B2B">
      <w:pPr>
        <w:pStyle w:val="ad"/>
        <w:overflowPunct w:val="0"/>
        <w:spacing w:line="400" w:lineRule="exact"/>
        <w:ind w:firstLineChars="400" w:firstLine="884"/>
        <w:rPr>
          <w:rFonts w:ascii="ＭＳ 明朝" w:hAnsi="ＭＳ 明朝"/>
        </w:rPr>
      </w:pPr>
      <w:r w:rsidRPr="008A3EDE">
        <w:rPr>
          <w:rFonts w:ascii="ＭＳ 明朝" w:hAnsi="ＭＳ 明朝" w:hint="eastAsia"/>
        </w:rPr>
        <w:t>（２）廃止基準</w:t>
      </w:r>
    </w:p>
    <w:p w14:paraId="40D27824" w14:textId="77777777" w:rsidR="003D1B73" w:rsidRPr="008A3EDE" w:rsidRDefault="008B4B2B" w:rsidP="003D1B73">
      <w:pPr>
        <w:pStyle w:val="ad"/>
        <w:overflowPunct w:val="0"/>
        <w:spacing w:line="400" w:lineRule="exact"/>
        <w:ind w:left="1904" w:rightChars="-185" w:right="-391" w:hangingChars="861" w:hanging="1904"/>
        <w:rPr>
          <w:rFonts w:ascii="ＭＳ 明朝" w:hAnsi="ＭＳ 明朝"/>
        </w:rPr>
      </w:pPr>
      <w:r w:rsidRPr="008A3EDE">
        <w:rPr>
          <w:rFonts w:ascii="ＭＳ 明朝" w:hAnsi="ＭＳ 明朝" w:hint="eastAsia"/>
        </w:rPr>
        <w:t xml:space="preserve">　　　　　　　</w:t>
      </w:r>
      <w:r w:rsidR="003D1B73" w:rsidRPr="008A3EDE">
        <w:rPr>
          <w:rFonts w:ascii="ＭＳ 明朝" w:hAnsi="ＭＳ 明朝" w:hint="eastAsia"/>
        </w:rPr>
        <w:t>①　内閣総理大臣が原子力緊急事態解除宣言を発出したとき（当該原子力緊急事態解除宣言に係る原子力災害事後対策実施区域に府域が含まれる場合を除く）</w:t>
      </w:r>
    </w:p>
    <w:p w14:paraId="03757258" w14:textId="1DB51412" w:rsidR="009D4B52" w:rsidRPr="008A3EDE" w:rsidRDefault="003D1B73" w:rsidP="00E0548A">
      <w:pPr>
        <w:pStyle w:val="ad"/>
        <w:overflowPunct w:val="0"/>
        <w:spacing w:line="400" w:lineRule="exact"/>
        <w:ind w:leftChars="700" w:left="1834" w:rightChars="-185" w:right="-391" w:hangingChars="161" w:hanging="356"/>
        <w:rPr>
          <w:rFonts w:ascii="ＭＳ 明朝" w:hAnsi="ＭＳ 明朝"/>
        </w:rPr>
      </w:pPr>
      <w:r w:rsidRPr="008A3EDE">
        <w:rPr>
          <w:rFonts w:ascii="ＭＳ 明朝" w:hAnsi="ＭＳ 明朝" w:hint="eastAsia"/>
        </w:rPr>
        <w:t>②　緊急事態応急対策がおおむね完了したとき</w:t>
      </w:r>
    </w:p>
    <w:p w14:paraId="038F807C" w14:textId="77777777" w:rsidR="008B4B2B" w:rsidRPr="008A3EDE" w:rsidRDefault="008B4B2B" w:rsidP="008B4B2B">
      <w:pPr>
        <w:pStyle w:val="ad"/>
        <w:wordWrap/>
        <w:overflowPunct w:val="0"/>
        <w:spacing w:line="400" w:lineRule="exact"/>
        <w:ind w:left="442" w:hangingChars="200" w:hanging="442"/>
        <w:rPr>
          <w:rFonts w:ascii="ＭＳ 明朝" w:hAnsi="ＭＳ 明朝"/>
        </w:rPr>
      </w:pPr>
      <w:r w:rsidRPr="008A3EDE">
        <w:rPr>
          <w:rFonts w:ascii="ＭＳ 明朝" w:hAnsi="ＭＳ 明朝" w:hint="eastAsia"/>
        </w:rPr>
        <w:t xml:space="preserve">　　　　（３）組織</w:t>
      </w:r>
    </w:p>
    <w:p w14:paraId="3340CC1F" w14:textId="46CFB900" w:rsidR="008B4B2B" w:rsidRPr="008A3EDE" w:rsidRDefault="008B4B2B" w:rsidP="008B4B2B">
      <w:pPr>
        <w:pStyle w:val="ad"/>
        <w:overflowPunct w:val="0"/>
        <w:spacing w:line="400" w:lineRule="exact"/>
        <w:ind w:firstLineChars="600" w:firstLine="1327"/>
        <w:rPr>
          <w:rFonts w:ascii="ＭＳ 明朝" w:hAnsi="ＭＳ 明朝"/>
        </w:rPr>
      </w:pPr>
      <w:r w:rsidRPr="008A3EDE">
        <w:rPr>
          <w:rFonts w:ascii="ＭＳ 明朝" w:hAnsi="ＭＳ 明朝" w:hint="eastAsia"/>
        </w:rPr>
        <w:t>部長：危機管理室長</w:t>
      </w:r>
      <w:r w:rsidR="003D1B73" w:rsidRPr="008A3EDE">
        <w:rPr>
          <w:rFonts w:ascii="ＭＳ 明朝" w:hAnsi="ＭＳ 明朝" w:hint="eastAsia"/>
        </w:rPr>
        <w:t>もしくは危機管理監が指名する者</w:t>
      </w:r>
    </w:p>
    <w:p w14:paraId="57E39F23" w14:textId="77777777" w:rsidR="008B4B2B" w:rsidRPr="008A3EDE" w:rsidRDefault="008B4B2B" w:rsidP="008B4B2B">
      <w:pPr>
        <w:pStyle w:val="ad"/>
        <w:overflowPunct w:val="0"/>
        <w:spacing w:line="400" w:lineRule="exact"/>
        <w:ind w:firstLineChars="600" w:firstLine="1327"/>
        <w:rPr>
          <w:rFonts w:ascii="ＭＳ 明朝" w:hAnsi="ＭＳ 明朝"/>
        </w:rPr>
      </w:pPr>
      <w:r w:rsidRPr="008A3EDE">
        <w:rPr>
          <w:rFonts w:ascii="ＭＳ 明朝" w:hAnsi="ＭＳ 明朝" w:hint="eastAsia"/>
        </w:rPr>
        <w:t>部員：危機管理監が指名する者、</w:t>
      </w:r>
    </w:p>
    <w:p w14:paraId="525CE329" w14:textId="77777777" w:rsidR="008B4B2B" w:rsidRPr="001D6D10" w:rsidRDefault="008B4B2B" w:rsidP="008B4B2B">
      <w:pPr>
        <w:pStyle w:val="ad"/>
        <w:overflowPunct w:val="0"/>
        <w:spacing w:line="400" w:lineRule="exact"/>
        <w:ind w:firstLineChars="900" w:firstLine="1990"/>
        <w:rPr>
          <w:rFonts w:ascii="ＭＳ 明朝" w:hAnsi="ＭＳ 明朝"/>
        </w:rPr>
      </w:pPr>
      <w:r w:rsidRPr="008A3EDE">
        <w:rPr>
          <w:rFonts w:ascii="ＭＳ 明朝" w:hAnsi="ＭＳ 明朝" w:hint="eastAsia"/>
        </w:rPr>
        <w:t>報道監が指名する者、</w:t>
      </w:r>
    </w:p>
    <w:p w14:paraId="50836B2B" w14:textId="77777777" w:rsidR="008B4B2B" w:rsidRPr="001D6D10" w:rsidRDefault="008B4B2B" w:rsidP="008B4B2B">
      <w:pPr>
        <w:pStyle w:val="ad"/>
        <w:overflowPunct w:val="0"/>
        <w:spacing w:line="400" w:lineRule="exact"/>
        <w:ind w:firstLineChars="900" w:firstLine="1990"/>
        <w:rPr>
          <w:rFonts w:ascii="ＭＳ 明朝" w:hAnsi="ＭＳ 明朝"/>
        </w:rPr>
      </w:pPr>
      <w:r w:rsidRPr="001D6D10">
        <w:rPr>
          <w:rFonts w:ascii="ＭＳ 明朝" w:hAnsi="ＭＳ 明朝" w:hint="eastAsia"/>
        </w:rPr>
        <w:lastRenderedPageBreak/>
        <w:t>健康医療部長が指名する者</w:t>
      </w:r>
    </w:p>
    <w:p w14:paraId="5CB33134" w14:textId="77777777" w:rsidR="008B4B2B" w:rsidRPr="001D6D10" w:rsidRDefault="008B4B2B" w:rsidP="008B4B2B">
      <w:pPr>
        <w:pStyle w:val="ad"/>
        <w:wordWrap/>
        <w:overflowPunct w:val="0"/>
        <w:spacing w:line="400" w:lineRule="exact"/>
        <w:ind w:leftChars="600" w:left="1488" w:hangingChars="100" w:hanging="221"/>
        <w:rPr>
          <w:rFonts w:ascii="ＭＳ 明朝" w:hAnsi="ＭＳ 明朝"/>
        </w:rPr>
      </w:pPr>
      <w:r w:rsidRPr="001D6D10">
        <w:rPr>
          <w:rFonts w:ascii="ＭＳ 明朝" w:hAnsi="ＭＳ 明朝" w:hint="eastAsia"/>
        </w:rPr>
        <w:t>※部長を現地オフサイトセンターへ派遣するにあたっては、必要に応じ、緊急用自動車による先導等、派遣方法について防災関係機関と調整を図る。</w:t>
      </w:r>
    </w:p>
    <w:p w14:paraId="617376E6" w14:textId="77777777" w:rsidR="008B4B2B" w:rsidRPr="001D6D10" w:rsidRDefault="008B4B2B" w:rsidP="008B4B2B">
      <w:pPr>
        <w:pStyle w:val="ad"/>
        <w:wordWrap/>
        <w:overflowPunct w:val="0"/>
        <w:spacing w:line="400" w:lineRule="exact"/>
        <w:ind w:firstLineChars="400" w:firstLine="884"/>
        <w:rPr>
          <w:rFonts w:ascii="ＭＳ 明朝" w:hAnsi="ＭＳ 明朝"/>
        </w:rPr>
      </w:pPr>
      <w:r w:rsidRPr="001D6D10">
        <w:rPr>
          <w:rFonts w:ascii="ＭＳ 明朝" w:hAnsi="ＭＳ 明朝" w:hint="eastAsia"/>
        </w:rPr>
        <w:t>（４）活動内容</w:t>
      </w:r>
    </w:p>
    <w:p w14:paraId="25A53BAF" w14:textId="77777777" w:rsidR="008B4B2B" w:rsidRPr="001D6D10" w:rsidRDefault="008B4B2B" w:rsidP="007E668F">
      <w:pPr>
        <w:pStyle w:val="ad"/>
        <w:numPr>
          <w:ilvl w:val="0"/>
          <w:numId w:val="28"/>
        </w:numPr>
        <w:overflowPunct w:val="0"/>
        <w:spacing w:line="400" w:lineRule="exact"/>
        <w:rPr>
          <w:rFonts w:ascii="ＭＳ 明朝" w:hAnsi="ＭＳ 明朝"/>
        </w:rPr>
      </w:pPr>
      <w:r w:rsidRPr="001D6D10">
        <w:rPr>
          <w:rFonts w:ascii="ＭＳ 明朝" w:hAnsi="ＭＳ 明朝" w:hint="eastAsia"/>
        </w:rPr>
        <w:t>緊急事態応急対策の現地調整と推進</w:t>
      </w:r>
    </w:p>
    <w:p w14:paraId="4EEF7227" w14:textId="77777777" w:rsidR="008B4B2B" w:rsidRPr="001D6D10" w:rsidRDefault="008B4B2B" w:rsidP="007E668F">
      <w:pPr>
        <w:pStyle w:val="ad"/>
        <w:numPr>
          <w:ilvl w:val="0"/>
          <w:numId w:val="28"/>
        </w:numPr>
        <w:overflowPunct w:val="0"/>
        <w:spacing w:line="400" w:lineRule="exact"/>
        <w:rPr>
          <w:rFonts w:ascii="ＭＳ 明朝" w:hAnsi="ＭＳ 明朝"/>
        </w:rPr>
      </w:pPr>
      <w:r w:rsidRPr="001D6D10">
        <w:rPr>
          <w:rFonts w:ascii="ＭＳ 明朝" w:hAnsi="ＭＳ 明朝" w:hint="eastAsia"/>
        </w:rPr>
        <w:t>現地における関係機関との連絡調整</w:t>
      </w:r>
    </w:p>
    <w:p w14:paraId="52FB2A3E" w14:textId="77777777" w:rsidR="008B4B2B" w:rsidRPr="001D6D10" w:rsidRDefault="008B4B2B" w:rsidP="007E668F">
      <w:pPr>
        <w:pStyle w:val="ad"/>
        <w:numPr>
          <w:ilvl w:val="0"/>
          <w:numId w:val="28"/>
        </w:numPr>
        <w:overflowPunct w:val="0"/>
        <w:spacing w:line="400" w:lineRule="exact"/>
        <w:rPr>
          <w:rFonts w:ascii="ＭＳ 明朝" w:hAnsi="ＭＳ 明朝"/>
        </w:rPr>
      </w:pPr>
      <w:r w:rsidRPr="001D6D10">
        <w:rPr>
          <w:rFonts w:ascii="ＭＳ 明朝" w:hAnsi="ＭＳ 明朝" w:hint="eastAsia"/>
        </w:rPr>
        <w:t>その他必要な事項</w:t>
      </w:r>
    </w:p>
    <w:p w14:paraId="089071D5" w14:textId="77777777" w:rsidR="008B4B2B" w:rsidRPr="001D6D10" w:rsidRDefault="008B4B2B" w:rsidP="008B4B2B">
      <w:pPr>
        <w:pStyle w:val="ad"/>
        <w:wordWrap/>
        <w:overflowPunct w:val="0"/>
        <w:spacing w:line="400" w:lineRule="exact"/>
        <w:rPr>
          <w:rFonts w:ascii="ＭＳ 明朝" w:hAnsi="ＭＳ 明朝"/>
        </w:rPr>
      </w:pPr>
    </w:p>
    <w:p w14:paraId="286B9BAC" w14:textId="77777777" w:rsidR="008B4B2B" w:rsidRPr="001D6D10" w:rsidRDefault="008B4B2B" w:rsidP="008B4B2B">
      <w:pPr>
        <w:pStyle w:val="ad"/>
        <w:wordWrap/>
        <w:overflowPunct w:val="0"/>
        <w:spacing w:line="400" w:lineRule="exact"/>
        <w:ind w:firstLineChars="400" w:firstLine="884"/>
        <w:rPr>
          <w:rFonts w:ascii="ＭＳ ゴシック" w:eastAsia="ＭＳ ゴシック" w:hAnsi="ＭＳ ゴシック"/>
          <w:u w:val="single"/>
        </w:rPr>
      </w:pPr>
      <w:r w:rsidRPr="001D6D10">
        <w:rPr>
          <w:rFonts w:ascii="ＭＳ ゴシック" w:eastAsia="ＭＳ ゴシック" w:hAnsi="ＭＳ ゴシック" w:hint="eastAsia"/>
          <w:u w:val="single"/>
        </w:rPr>
        <w:t>５　緊急時モニタリングセンター（EMC）の活動（</w:t>
      </w:r>
      <w:r w:rsidRPr="001D6D10">
        <w:rPr>
          <w:rFonts w:ascii="ＭＳ ゴシック" w:eastAsia="ＭＳ ゴシック" w:hAnsi="ＭＳ ゴシック" w:hint="eastAsia"/>
          <w:spacing w:val="-20"/>
          <w:u w:val="single"/>
        </w:rPr>
        <w:t>施設敷地緊急事態・全面緊急事態</w:t>
      </w:r>
      <w:r w:rsidRPr="001D6D10">
        <w:rPr>
          <w:rFonts w:ascii="ＭＳ ゴシック" w:eastAsia="ＭＳ ゴシック" w:hAnsi="ＭＳ ゴシック" w:hint="eastAsia"/>
          <w:u w:val="single"/>
        </w:rPr>
        <w:t>）</w:t>
      </w:r>
    </w:p>
    <w:p w14:paraId="433FDE2A" w14:textId="77777777" w:rsidR="008B4B2B" w:rsidRPr="001D6D10" w:rsidRDefault="008B4B2B" w:rsidP="008B4B2B">
      <w:pPr>
        <w:pStyle w:val="ad"/>
        <w:overflowPunct w:val="0"/>
        <w:spacing w:line="400" w:lineRule="exact"/>
        <w:ind w:leftChars="500" w:left="1055" w:firstLineChars="100" w:firstLine="221"/>
        <w:rPr>
          <w:rFonts w:ascii="ＭＳ 明朝" w:hAnsi="ＭＳ 明朝"/>
        </w:rPr>
      </w:pPr>
      <w:r w:rsidRPr="001D6D10">
        <w:rPr>
          <w:rFonts w:ascii="ＭＳ 明朝" w:hAnsi="ＭＳ 明朝" w:hint="eastAsia"/>
        </w:rPr>
        <w:t>国は、施設敷地緊急事態が発生したときは、国、府、関係市町、指定公共機関及び原子力事業者等が連携した緊急時モニタリングを行うために、オフサイトセンター内に緊急時モニタリングセンターを設置する。</w:t>
      </w:r>
    </w:p>
    <w:p w14:paraId="043AD272" w14:textId="4079A4DA" w:rsidR="008B4B2B" w:rsidRDefault="008B4B2B" w:rsidP="008B4B2B">
      <w:pPr>
        <w:pStyle w:val="ad"/>
        <w:wordWrap/>
        <w:overflowPunct w:val="0"/>
        <w:spacing w:line="400" w:lineRule="exact"/>
        <w:ind w:leftChars="500" w:left="1055" w:firstLineChars="100" w:firstLine="221"/>
        <w:rPr>
          <w:rFonts w:ascii="ＭＳ 明朝" w:hAnsi="ＭＳ 明朝"/>
        </w:rPr>
      </w:pPr>
      <w:r w:rsidRPr="001D6D10">
        <w:rPr>
          <w:rFonts w:ascii="ＭＳ 明朝" w:hAnsi="ＭＳ 明朝" w:hint="eastAsia"/>
        </w:rPr>
        <w:t>府、関係市町、指定公共機関及び原子力事業者等は、緊急時モニタリングセンターの設置の連絡を受けたときは、オフサイトセンターに要員を派遣する等、緊急時モニタリングに必要な体制をとる。</w:t>
      </w:r>
    </w:p>
    <w:p w14:paraId="15B608B4" w14:textId="77777777" w:rsidR="0000630A" w:rsidRPr="001D6D10" w:rsidRDefault="0000630A" w:rsidP="008B4B2B">
      <w:pPr>
        <w:pStyle w:val="ad"/>
        <w:wordWrap/>
        <w:overflowPunct w:val="0"/>
        <w:spacing w:line="400" w:lineRule="exact"/>
        <w:ind w:leftChars="500" w:left="1055" w:firstLineChars="100" w:firstLine="221"/>
        <w:rPr>
          <w:rFonts w:ascii="ＭＳ 明朝" w:hAnsi="ＭＳ 明朝"/>
        </w:rPr>
      </w:pPr>
    </w:p>
    <w:p w14:paraId="5FA80314" w14:textId="1621C019" w:rsidR="008B4B2B" w:rsidRPr="001D6D10" w:rsidRDefault="008B4B2B" w:rsidP="008B4B2B">
      <w:pPr>
        <w:pStyle w:val="ad"/>
        <w:wordWrap/>
        <w:overflowPunct w:val="0"/>
        <w:spacing w:line="400" w:lineRule="exact"/>
        <w:ind w:leftChars="200" w:left="422" w:firstLineChars="200" w:firstLine="442"/>
        <w:rPr>
          <w:rFonts w:ascii="ＭＳ ゴシック" w:eastAsia="ＭＳ ゴシック" w:hAnsi="ＭＳ ゴシック"/>
          <w:u w:val="single"/>
        </w:rPr>
      </w:pPr>
      <w:r w:rsidRPr="001D6D10">
        <w:rPr>
          <w:rFonts w:ascii="ＭＳ ゴシック" w:eastAsia="ＭＳ ゴシック" w:hAnsi="ＭＳ ゴシック" w:hint="eastAsia"/>
          <w:u w:val="single"/>
        </w:rPr>
        <w:t>６　原子力災害合同対策協議会の設置（</w:t>
      </w:r>
      <w:r w:rsidR="005F4A67">
        <w:rPr>
          <w:rFonts w:ascii="ＭＳ ゴシック" w:eastAsia="ＭＳ ゴシック" w:hAnsi="ＭＳ ゴシック" w:hint="eastAsia"/>
          <w:u w:val="single"/>
        </w:rPr>
        <w:t>全面緊急事態</w:t>
      </w:r>
      <w:r w:rsidRPr="001D6D10">
        <w:rPr>
          <w:rFonts w:ascii="ＭＳ ゴシック" w:eastAsia="ＭＳ ゴシック" w:hAnsi="ＭＳ ゴシック" w:hint="eastAsia"/>
          <w:u w:val="single"/>
        </w:rPr>
        <w:t>）</w:t>
      </w:r>
    </w:p>
    <w:p w14:paraId="4B8B01CA" w14:textId="77777777" w:rsidR="008B4B2B" w:rsidRPr="001D6D10" w:rsidRDefault="008B4B2B" w:rsidP="008B4B2B">
      <w:pPr>
        <w:pStyle w:val="ad"/>
        <w:overflowPunct w:val="0"/>
        <w:spacing w:line="400" w:lineRule="exact"/>
        <w:ind w:left="1105" w:hangingChars="500" w:hanging="1105"/>
        <w:rPr>
          <w:rFonts w:ascii="ＭＳ 明朝" w:hAnsi="ＭＳ 明朝"/>
        </w:rPr>
      </w:pPr>
      <w:r w:rsidRPr="001D6D10">
        <w:rPr>
          <w:rFonts w:ascii="ＭＳ 明朝" w:hAnsi="ＭＳ 明朝" w:hint="eastAsia"/>
        </w:rPr>
        <w:t xml:space="preserve">　　　　　　全面緊急事態が発生したときは、知事（府災害対策本部長）は、国の原子力災害現地対策本部長及び関係市町長（市町災害対策本部長）とともに、原災法第23条に基づきオフサイトセンター内に原子力災害合同対策協議会を組織する。</w:t>
      </w:r>
    </w:p>
    <w:p w14:paraId="2ED06EF6" w14:textId="77777777" w:rsidR="008B4B2B" w:rsidRPr="001D6D10" w:rsidRDefault="008B4B2B" w:rsidP="008B4B2B">
      <w:pPr>
        <w:pStyle w:val="ad"/>
        <w:overflowPunct w:val="0"/>
        <w:spacing w:line="400" w:lineRule="exact"/>
        <w:ind w:leftChars="500" w:left="1055" w:firstLineChars="100" w:firstLine="221"/>
        <w:rPr>
          <w:rFonts w:ascii="ＭＳ 明朝" w:hAnsi="ＭＳ 明朝"/>
        </w:rPr>
      </w:pPr>
      <w:r w:rsidRPr="001D6D10">
        <w:rPr>
          <w:rFonts w:ascii="ＭＳ 明朝" w:hAnsi="ＭＳ 明朝" w:hint="eastAsia"/>
        </w:rPr>
        <w:t>原子力災害合同対策協議会は、関係機関相互の情報共有、緊急事態応急対策の確認・調整及び相互協力のための調整等を目的とする「全体会議」と、緊急事態応急対策に必要な情報収集及び防護対策の検討等を行う「機能班活動」により運営される。</w:t>
      </w:r>
    </w:p>
    <w:p w14:paraId="0D3D9F46" w14:textId="77777777" w:rsidR="008B4B2B" w:rsidRPr="001D6D10" w:rsidRDefault="008B4B2B" w:rsidP="008B4B2B">
      <w:pPr>
        <w:pStyle w:val="ad"/>
        <w:wordWrap/>
        <w:overflowPunct w:val="0"/>
        <w:spacing w:line="400" w:lineRule="exact"/>
        <w:ind w:leftChars="500" w:left="1055" w:firstLineChars="100" w:firstLine="221"/>
        <w:rPr>
          <w:rFonts w:ascii="ＭＳ 明朝" w:hAnsi="ＭＳ 明朝"/>
        </w:rPr>
      </w:pPr>
      <w:r w:rsidRPr="001D6D10">
        <w:rPr>
          <w:rFonts w:ascii="ＭＳ 明朝" w:hAnsi="ＭＳ 明朝" w:hint="eastAsia"/>
        </w:rPr>
        <w:t>原子力災害合同対策協議会の構成員、運営方法、緊急事態応急対策を実施する際の役割分担等については、あらかじめ、国、府、関係市町及び原子力事業者が協議し、「原子力緊急事態等現地対応標準マニュアル」により定める。</w:t>
      </w:r>
    </w:p>
    <w:p w14:paraId="1013F3FC" w14:textId="77777777" w:rsidR="008B4B2B" w:rsidRPr="001D6D10" w:rsidRDefault="008B4B2B" w:rsidP="008B4B2B">
      <w:pPr>
        <w:pStyle w:val="a0"/>
        <w:rPr>
          <w:rFonts w:ascii="ＭＳ ゴシック" w:eastAsia="ＭＳ ゴシック" w:hAnsi="ＭＳ ゴシック"/>
          <w:bCs/>
          <w:sz w:val="22"/>
          <w:szCs w:val="22"/>
        </w:rPr>
      </w:pPr>
    </w:p>
    <w:p w14:paraId="6883BCD2" w14:textId="3C357B85" w:rsidR="00BA52E1" w:rsidRDefault="00BA52E1">
      <w:pPr>
        <w:widowControl/>
        <w:jc w:val="left"/>
        <w:rPr>
          <w:rFonts w:ascii="ＭＳ ゴシック" w:eastAsia="ＭＳ ゴシック" w:hAnsi="ＭＳ ゴシック"/>
          <w:bCs/>
          <w:color w:val="000000" w:themeColor="text1"/>
          <w:sz w:val="22"/>
          <w:szCs w:val="22"/>
          <w:u w:val="double"/>
        </w:rPr>
      </w:pPr>
      <w:r>
        <w:rPr>
          <w:bCs/>
          <w:szCs w:val="22"/>
        </w:rPr>
        <w:br w:type="page"/>
      </w:r>
    </w:p>
    <w:p w14:paraId="28A28F56" w14:textId="4B2DBCEF" w:rsidR="008B4B2B" w:rsidRPr="001D6D10" w:rsidRDefault="008B4B2B" w:rsidP="00E0548A">
      <w:pPr>
        <w:pStyle w:val="3"/>
        <w:ind w:firstLine="442"/>
      </w:pPr>
      <w:bookmarkStart w:id="480" w:name="_Toc122436992"/>
      <w:bookmarkStart w:id="481" w:name="_Toc222433323"/>
      <w:bookmarkStart w:id="482" w:name="_Toc222486691"/>
      <w:bookmarkStart w:id="483" w:name="_Toc242870362"/>
      <w:r w:rsidRPr="001D6D10">
        <w:rPr>
          <w:rFonts w:hint="eastAsia"/>
        </w:rPr>
        <w:lastRenderedPageBreak/>
        <w:t>第２　動員配備体制</w:t>
      </w:r>
      <w:bookmarkEnd w:id="480"/>
      <w:bookmarkEnd w:id="481"/>
      <w:bookmarkEnd w:id="482"/>
      <w:bookmarkEnd w:id="483"/>
    </w:p>
    <w:p w14:paraId="7F619E78" w14:textId="77777777" w:rsidR="008B4B2B" w:rsidRPr="001D6D10" w:rsidRDefault="008B4B2B" w:rsidP="008B4B2B">
      <w:pPr>
        <w:pStyle w:val="ad"/>
        <w:overflowPunct w:val="0"/>
        <w:spacing w:line="240" w:lineRule="auto"/>
        <w:ind w:firstLineChars="400" w:firstLine="884"/>
        <w:rPr>
          <w:rFonts w:ascii="ＭＳ ゴシック" w:eastAsia="ＭＳ ゴシック" w:hAnsi="ＭＳ ゴシック"/>
          <w:u w:val="single"/>
        </w:rPr>
      </w:pPr>
      <w:r w:rsidRPr="001D6D10">
        <w:rPr>
          <w:rFonts w:ascii="ＭＳ ゴシック" w:eastAsia="ＭＳ ゴシック" w:hAnsi="ＭＳ ゴシック" w:hint="eastAsia"/>
          <w:u w:val="single"/>
        </w:rPr>
        <w:t>１　知事等の緊急登庁</w:t>
      </w:r>
    </w:p>
    <w:p w14:paraId="5F0965B1" w14:textId="77777777" w:rsidR="008B4B2B" w:rsidRPr="001D6D10" w:rsidRDefault="008B4B2B" w:rsidP="008B4B2B">
      <w:pPr>
        <w:pStyle w:val="ad"/>
        <w:overflowPunct w:val="0"/>
        <w:spacing w:line="240" w:lineRule="auto"/>
        <w:ind w:firstLineChars="400" w:firstLine="884"/>
        <w:rPr>
          <w:rFonts w:ascii="ＭＳ 明朝" w:hAnsi="ＭＳ 明朝"/>
        </w:rPr>
      </w:pPr>
      <w:r w:rsidRPr="001D6D10">
        <w:rPr>
          <w:rFonts w:ascii="ＭＳ 明朝" w:hAnsi="ＭＳ 明朝" w:hint="eastAsia"/>
        </w:rPr>
        <w:t>(1)　知　事</w:t>
      </w:r>
    </w:p>
    <w:p w14:paraId="068F1A23" w14:textId="77777777" w:rsidR="008B4B2B" w:rsidRPr="001D6D10" w:rsidRDefault="008B4B2B" w:rsidP="008B4B2B">
      <w:pPr>
        <w:pStyle w:val="ad"/>
        <w:overflowPunct w:val="0"/>
        <w:spacing w:line="240" w:lineRule="auto"/>
        <w:ind w:leftChars="580" w:left="1224" w:firstLineChars="100" w:firstLine="221"/>
        <w:rPr>
          <w:rFonts w:ascii="ＭＳ 明朝" w:hAnsi="ＭＳ 明朝"/>
        </w:rPr>
      </w:pPr>
      <w:r w:rsidRPr="001D6D10">
        <w:rPr>
          <w:rFonts w:ascii="ＭＳ 明朝" w:hAnsi="ＭＳ 明朝" w:hint="eastAsia"/>
        </w:rPr>
        <w:t>秘書課長は、本庁舎以外の場所にいる知事が公用車等によっては迅速に登庁できないと認めたときは、災害対策課長に搬送を要請する。</w:t>
      </w:r>
    </w:p>
    <w:p w14:paraId="3AEA543B" w14:textId="77777777" w:rsidR="008B4B2B" w:rsidRPr="001D6D10" w:rsidRDefault="008B4B2B" w:rsidP="008B4B2B">
      <w:pPr>
        <w:pStyle w:val="ad"/>
        <w:overflowPunct w:val="0"/>
        <w:spacing w:line="240" w:lineRule="auto"/>
        <w:ind w:leftChars="580" w:left="1224" w:firstLineChars="100" w:firstLine="221"/>
        <w:rPr>
          <w:rFonts w:ascii="ＭＳ 明朝" w:hAnsi="ＭＳ 明朝"/>
        </w:rPr>
      </w:pPr>
      <w:r w:rsidRPr="001D6D10">
        <w:rPr>
          <w:rFonts w:ascii="ＭＳ 明朝" w:hAnsi="ＭＳ 明朝" w:hint="eastAsia"/>
        </w:rPr>
        <w:t>災害対策課長はその要請に応じて府警本部に対し、搬送の協力を依頼する。</w:t>
      </w:r>
    </w:p>
    <w:p w14:paraId="4AAE3905" w14:textId="77777777" w:rsidR="008B4B2B" w:rsidRPr="001D6D10" w:rsidRDefault="008B4B2B" w:rsidP="008B4B2B">
      <w:pPr>
        <w:pStyle w:val="ad"/>
        <w:overflowPunct w:val="0"/>
        <w:spacing w:line="240" w:lineRule="auto"/>
        <w:ind w:firstLineChars="400" w:firstLine="884"/>
        <w:rPr>
          <w:rFonts w:ascii="ＭＳ 明朝" w:hAnsi="ＭＳ 明朝"/>
        </w:rPr>
      </w:pPr>
      <w:r w:rsidRPr="001D6D10">
        <w:rPr>
          <w:rFonts w:ascii="ＭＳ 明朝" w:hAnsi="ＭＳ 明朝" w:hint="eastAsia"/>
        </w:rPr>
        <w:t>(2)　災対本部員・指令部員等</w:t>
      </w:r>
    </w:p>
    <w:p w14:paraId="18CE49A3" w14:textId="77777777" w:rsidR="008B4B2B" w:rsidRPr="001D6D10" w:rsidRDefault="008B4B2B" w:rsidP="008B4B2B">
      <w:pPr>
        <w:pStyle w:val="ad"/>
        <w:overflowPunct w:val="0"/>
        <w:spacing w:line="240" w:lineRule="auto"/>
        <w:ind w:leftChars="570" w:left="1203" w:firstLineChars="100" w:firstLine="221"/>
        <w:rPr>
          <w:rFonts w:ascii="ＭＳ 明朝" w:hAnsi="ＭＳ 明朝"/>
        </w:rPr>
      </w:pPr>
      <w:r w:rsidRPr="001D6D10">
        <w:rPr>
          <w:rFonts w:ascii="ＭＳ 明朝" w:hAnsi="ＭＳ 明朝" w:hint="eastAsia"/>
        </w:rPr>
        <w:t>本庁舎以外の場所にいる災対本部員・指令部員等は、府域において震度５弱以上の震度を観測したとき、又は災害等発生の情報を入手し、重大な人的、物的被害の発生を認めたときは、自宅又は災害対策要員公舎（本庁舎から徒歩30分圏内）などから、直ちに登庁する。</w:t>
      </w:r>
    </w:p>
    <w:p w14:paraId="3CEBBD5E" w14:textId="77777777" w:rsidR="008B4B2B" w:rsidRPr="001D6D10" w:rsidRDefault="008B4B2B" w:rsidP="008B4B2B">
      <w:pPr>
        <w:pStyle w:val="ad"/>
        <w:overflowPunct w:val="0"/>
        <w:spacing w:line="240" w:lineRule="auto"/>
        <w:ind w:firstLineChars="550" w:firstLine="1216"/>
        <w:rPr>
          <w:rFonts w:ascii="ＭＳ 明朝" w:hAnsi="ＭＳ 明朝"/>
        </w:rPr>
      </w:pPr>
    </w:p>
    <w:p w14:paraId="3ACCA01B" w14:textId="77777777" w:rsidR="008B4B2B" w:rsidRPr="001D6D10" w:rsidRDefault="008B4B2B" w:rsidP="008B4B2B">
      <w:pPr>
        <w:pStyle w:val="ad"/>
        <w:overflowPunct w:val="0"/>
        <w:spacing w:line="240" w:lineRule="auto"/>
        <w:ind w:firstLineChars="400" w:firstLine="884"/>
        <w:rPr>
          <w:rFonts w:ascii="ＭＳ ゴシック" w:eastAsia="ＭＳ ゴシック" w:hAnsi="ＭＳ ゴシック"/>
          <w:u w:val="single"/>
        </w:rPr>
      </w:pPr>
      <w:r w:rsidRPr="001D6D10">
        <w:rPr>
          <w:rFonts w:ascii="ＭＳ ゴシック" w:eastAsia="ＭＳ ゴシック" w:hAnsi="ＭＳ ゴシック" w:hint="eastAsia"/>
          <w:u w:val="single"/>
        </w:rPr>
        <w:t>２　動員体制の整備</w:t>
      </w:r>
    </w:p>
    <w:p w14:paraId="5727074C" w14:textId="0BE6CE38" w:rsidR="008B4B2B" w:rsidRDefault="008B4B2B" w:rsidP="008B4B2B">
      <w:pPr>
        <w:pStyle w:val="ad"/>
        <w:overflowPunct w:val="0"/>
        <w:spacing w:line="240" w:lineRule="auto"/>
        <w:ind w:firstLineChars="400" w:firstLine="884"/>
        <w:rPr>
          <w:rFonts w:ascii="ＭＳ 明朝" w:hAnsi="ＭＳ 明朝"/>
        </w:rPr>
      </w:pPr>
      <w:r w:rsidRPr="001D6D10">
        <w:rPr>
          <w:rFonts w:ascii="ＭＳ 明朝" w:hAnsi="ＭＳ 明朝" w:hint="eastAsia"/>
        </w:rPr>
        <w:t xml:space="preserve">　「第２章　第２　動員配備体制」の非常１号配備による。</w:t>
      </w:r>
    </w:p>
    <w:p w14:paraId="3081EA26" w14:textId="309B34BB" w:rsidR="00596CB1" w:rsidRDefault="00596CB1">
      <w:pPr>
        <w:widowControl/>
        <w:jc w:val="left"/>
        <w:rPr>
          <w:rFonts w:ascii="ＭＳ ゴシック" w:eastAsia="ＭＳ ゴシック" w:hAnsi="ＭＳ ゴシック" w:cs="ＭＳ 明朝"/>
          <w:kern w:val="0"/>
          <w:sz w:val="22"/>
          <w:szCs w:val="22"/>
        </w:rPr>
      </w:pPr>
      <w:r>
        <w:rPr>
          <w:rFonts w:ascii="ＭＳ ゴシック" w:eastAsia="ＭＳ ゴシック" w:hAnsi="ＭＳ ゴシック"/>
        </w:rPr>
        <w:br w:type="page"/>
      </w:r>
    </w:p>
    <w:p w14:paraId="3EBAEC4E" w14:textId="08AF745C" w:rsidR="008B4B2B" w:rsidRPr="001D6D10" w:rsidRDefault="008B4B2B" w:rsidP="00E0548A">
      <w:pPr>
        <w:pStyle w:val="2"/>
        <w:rPr>
          <w:sz w:val="22"/>
          <w:szCs w:val="22"/>
        </w:rPr>
      </w:pPr>
      <w:bookmarkStart w:id="484" w:name="_Toc122436993"/>
      <w:bookmarkStart w:id="485" w:name="_Toc222433324"/>
      <w:bookmarkStart w:id="486" w:name="_Toc222486692"/>
      <w:bookmarkStart w:id="487" w:name="_Toc242870363"/>
      <w:r w:rsidRPr="001D6D10">
        <w:rPr>
          <w:rFonts w:hint="eastAsia"/>
          <w:bCs/>
          <w:szCs w:val="28"/>
        </w:rPr>
        <w:lastRenderedPageBreak/>
        <w:t>第２節　災害情報の収集伝達</w:t>
      </w:r>
      <w:bookmarkEnd w:id="484"/>
      <w:bookmarkEnd w:id="485"/>
      <w:bookmarkEnd w:id="486"/>
      <w:bookmarkEnd w:id="487"/>
    </w:p>
    <w:p w14:paraId="24083758" w14:textId="77777777" w:rsidR="008B4B2B" w:rsidRPr="001D6D10" w:rsidRDefault="008B4B2B" w:rsidP="008B4B2B">
      <w:pPr>
        <w:pStyle w:val="a0"/>
        <w:spacing w:line="0" w:lineRule="atLeast"/>
        <w:ind w:firstLineChars="650" w:firstLine="1437"/>
        <w:rPr>
          <w:rFonts w:ascii="ＭＳ ゴシック" w:eastAsia="ＭＳ ゴシック" w:hAnsi="ＭＳ ゴシック"/>
          <w:sz w:val="22"/>
          <w:szCs w:val="22"/>
          <w:bdr w:val="single" w:sz="4" w:space="0" w:color="auto"/>
        </w:rPr>
      </w:pPr>
      <w:r w:rsidRPr="001D6D10">
        <w:rPr>
          <w:rFonts w:ascii="ＭＳ ゴシック" w:eastAsia="ＭＳ ゴシック" w:hAnsi="ＭＳ ゴシック" w:hint="eastAsia"/>
          <w:sz w:val="22"/>
          <w:szCs w:val="22"/>
          <w:bdr w:val="single" w:sz="4" w:space="0" w:color="auto"/>
        </w:rPr>
        <w:t>主たる担当：危機管理室</w:t>
      </w:r>
    </w:p>
    <w:p w14:paraId="6A3FE316" w14:textId="047E8D69" w:rsidR="008B4B2B" w:rsidRDefault="008B4B2B" w:rsidP="009D4B52">
      <w:pPr>
        <w:pStyle w:val="ad"/>
        <w:wordWrap/>
        <w:overflowPunct w:val="0"/>
        <w:spacing w:line="400" w:lineRule="exact"/>
        <w:ind w:leftChars="200" w:left="422" w:firstLineChars="100" w:firstLine="221"/>
        <w:contextualSpacing/>
        <w:rPr>
          <w:rFonts w:ascii="ＭＳ 明朝" w:hAnsi="ＭＳ 明朝"/>
        </w:rPr>
      </w:pPr>
      <w:r w:rsidRPr="001D6D10">
        <w:rPr>
          <w:rFonts w:ascii="ＭＳ 明朝" w:hAnsi="ＭＳ 明朝" w:hint="eastAsia"/>
        </w:rPr>
        <w:t>防災関係機関及び原子力事業者は、別図の連絡系統図のとおり、相互に情報収集及び伝達活動を行う。</w:t>
      </w:r>
    </w:p>
    <w:p w14:paraId="66916A93" w14:textId="77777777" w:rsidR="009D4B52" w:rsidRPr="001D6D10" w:rsidRDefault="009D4B52" w:rsidP="00E0548A">
      <w:pPr>
        <w:pStyle w:val="ad"/>
        <w:wordWrap/>
        <w:overflowPunct w:val="0"/>
        <w:spacing w:line="400" w:lineRule="exact"/>
        <w:ind w:leftChars="200" w:left="422" w:firstLineChars="100" w:firstLine="221"/>
        <w:contextualSpacing/>
        <w:rPr>
          <w:rFonts w:ascii="ＭＳ 明朝" w:hAnsi="ＭＳ 明朝"/>
        </w:rPr>
      </w:pPr>
    </w:p>
    <w:p w14:paraId="2FF7C512" w14:textId="7B3473F3" w:rsidR="008B4B2B" w:rsidRPr="001D6D10" w:rsidRDefault="003C47E9" w:rsidP="008B4B2B">
      <w:pPr>
        <w:pStyle w:val="ad"/>
        <w:wordWrap/>
        <w:overflowPunct w:val="0"/>
        <w:spacing w:line="240" w:lineRule="auto"/>
        <w:rPr>
          <w:rFonts w:ascii="ＭＳ 明朝" w:hAnsi="ＭＳ 明朝"/>
        </w:rPr>
      </w:pPr>
      <w:r w:rsidRPr="00810DEF">
        <w:rPr>
          <w:rFonts w:ascii="ＭＳ 明朝" w:hAnsi="ＭＳ 明朝"/>
          <w:noProof/>
          <w:color w:val="FF0000"/>
          <w:sz w:val="20"/>
          <w:szCs w:val="20"/>
        </w:rPr>
        <mc:AlternateContent>
          <mc:Choice Requires="wpc">
            <w:drawing>
              <wp:anchor distT="0" distB="0" distL="114300" distR="114300" simplePos="0" relativeHeight="254371840" behindDoc="0" locked="0" layoutInCell="1" allowOverlap="1" wp14:anchorId="79F6635B" wp14:editId="68D44809">
                <wp:simplePos x="0" y="0"/>
                <wp:positionH relativeFrom="column">
                  <wp:posOffset>-533400</wp:posOffset>
                </wp:positionH>
                <wp:positionV relativeFrom="paragraph">
                  <wp:posOffset>208915</wp:posOffset>
                </wp:positionV>
                <wp:extent cx="6482080" cy="4363720"/>
                <wp:effectExtent l="0" t="0" r="0" b="0"/>
                <wp:wrapNone/>
                <wp:docPr id="4325" name="キャンバス 4325"/>
                <wp:cNvGraphicFramePr>
                  <a:graphicFrameLocks xmlns:a="http://schemas.openxmlformats.org/drawingml/2006/main" noChangeAspect="1"/>
                </wp:cNvGraphicFramePr>
                <a:graphic xmlns:a="http://schemas.openxmlformats.org/drawingml/2006/main">
                  <a:graphicData uri="http://schemas.microsoft.com/office/word/2010/wordprocessingCanvas">
                    <wpc:wpc>
                      <wpc:bg>
                        <a:noFill/>
                      </wpc:bg>
                      <wpc:whole>
                        <a:ln>
                          <a:noFill/>
                        </a:ln>
                      </wpc:whole>
                      <wps:wsp>
                        <wps:cNvPr id="2800" name="Rectangle 101"/>
                        <wps:cNvSpPr>
                          <a:spLocks noChangeArrowheads="1"/>
                        </wps:cNvSpPr>
                        <wps:spPr bwMode="auto">
                          <a:xfrm>
                            <a:off x="3445510" y="506095"/>
                            <a:ext cx="818515" cy="2241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22E3A68" w14:textId="77777777" w:rsidR="003C47E9" w:rsidRDefault="003C47E9" w:rsidP="003C47E9">
                              <w:r>
                                <w:rPr>
                                  <w:rFonts w:ascii="ＭＳ Ｐゴシック" w:eastAsia="ＭＳ Ｐゴシック" w:cs="ＭＳ Ｐゴシック" w:hint="eastAsia"/>
                                  <w:color w:val="000000"/>
                                  <w:kern w:val="0"/>
                                  <w:sz w:val="16"/>
                                  <w:szCs w:val="16"/>
                                </w:rPr>
                                <w:t>原子力規制委員会</w:t>
                              </w:r>
                            </w:p>
                          </w:txbxContent>
                        </wps:txbx>
                        <wps:bodyPr rot="0" vert="horz" wrap="none" lIns="0" tIns="0" rIns="0" bIns="0" anchor="t" anchorCtr="0">
                          <a:spAutoFit/>
                        </wps:bodyPr>
                      </wps:wsp>
                      <wps:wsp>
                        <wps:cNvPr id="233" name="Rectangle 102"/>
                        <wps:cNvSpPr>
                          <a:spLocks noChangeArrowheads="1"/>
                        </wps:cNvSpPr>
                        <wps:spPr bwMode="auto">
                          <a:xfrm>
                            <a:off x="2331085" y="815975"/>
                            <a:ext cx="3068955" cy="2241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283934D" w14:textId="77777777" w:rsidR="003C47E9" w:rsidRDefault="003C47E9" w:rsidP="003C47E9">
                              <w:r>
                                <w:rPr>
                                  <w:rFonts w:ascii="ＭＳ Ｐゴシック" w:eastAsia="ＭＳ Ｐゴシック" w:cs="ＭＳ Ｐゴシック" w:hint="eastAsia"/>
                                  <w:color w:val="000000"/>
                                  <w:kern w:val="0"/>
                                  <w:sz w:val="16"/>
                                  <w:szCs w:val="16"/>
                                </w:rPr>
                                <w:t>熊取原子力規制事務所（原子力防災専門官）（上席放射線防災専門官）</w:t>
                              </w:r>
                            </w:p>
                          </w:txbxContent>
                        </wps:txbx>
                        <wps:bodyPr rot="0" vert="horz" wrap="none" lIns="0" tIns="0" rIns="0" bIns="0" anchor="t" anchorCtr="0">
                          <a:spAutoFit/>
                        </wps:bodyPr>
                      </wps:wsp>
                      <wps:wsp>
                        <wps:cNvPr id="234" name="Rectangle 103"/>
                        <wps:cNvSpPr>
                          <a:spLocks noChangeArrowheads="1"/>
                        </wps:cNvSpPr>
                        <wps:spPr bwMode="auto">
                          <a:xfrm>
                            <a:off x="3627120" y="1126490"/>
                            <a:ext cx="442595" cy="2241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F5253E9" w14:textId="77777777" w:rsidR="003C47E9" w:rsidRDefault="003C47E9" w:rsidP="003C47E9">
                              <w:r>
                                <w:rPr>
                                  <w:rFonts w:ascii="ＭＳ Ｐゴシック" w:eastAsia="ＭＳ Ｐゴシック" w:cs="ＭＳ Ｐゴシック" w:hint="eastAsia"/>
                                  <w:color w:val="000000"/>
                                  <w:kern w:val="0"/>
                                  <w:sz w:val="16"/>
                                  <w:szCs w:val="16"/>
                                </w:rPr>
                                <w:t>大　阪　府</w:t>
                              </w:r>
                            </w:p>
                          </w:txbxContent>
                        </wps:txbx>
                        <wps:bodyPr rot="0" vert="horz" wrap="none" lIns="0" tIns="0" rIns="0" bIns="0" anchor="t" anchorCtr="0">
                          <a:spAutoFit/>
                        </wps:bodyPr>
                      </wps:wsp>
                      <wps:wsp>
                        <wps:cNvPr id="237" name="Rectangle 104"/>
                        <wps:cNvSpPr>
                          <a:spLocks noChangeArrowheads="1"/>
                        </wps:cNvSpPr>
                        <wps:spPr bwMode="auto">
                          <a:xfrm>
                            <a:off x="3546475" y="1436370"/>
                            <a:ext cx="612775" cy="2241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E7EA596" w14:textId="77777777" w:rsidR="003C47E9" w:rsidRDefault="003C47E9" w:rsidP="003C47E9">
                              <w:r>
                                <w:rPr>
                                  <w:rFonts w:ascii="ＭＳ Ｐゴシック" w:eastAsia="ＭＳ Ｐゴシック" w:cs="ＭＳ Ｐゴシック" w:hint="eastAsia"/>
                                  <w:color w:val="000000"/>
                                  <w:kern w:val="0"/>
                                  <w:sz w:val="16"/>
                                  <w:szCs w:val="16"/>
                                </w:rPr>
                                <w:t>関　係　市　町</w:t>
                              </w:r>
                            </w:p>
                          </w:txbxContent>
                        </wps:txbx>
                        <wps:bodyPr rot="0" vert="horz" wrap="none" lIns="0" tIns="0" rIns="0" bIns="0" anchor="t" anchorCtr="0">
                          <a:spAutoFit/>
                        </wps:bodyPr>
                      </wps:wsp>
                      <wps:wsp>
                        <wps:cNvPr id="4025" name="Rectangle 105"/>
                        <wps:cNvSpPr>
                          <a:spLocks noChangeArrowheads="1"/>
                        </wps:cNvSpPr>
                        <wps:spPr bwMode="auto">
                          <a:xfrm>
                            <a:off x="2075815" y="1746885"/>
                            <a:ext cx="3580130" cy="2241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6B80561" w14:textId="77777777" w:rsidR="003C47E9" w:rsidRDefault="003C47E9" w:rsidP="003C47E9">
                              <w:r>
                                <w:rPr>
                                  <w:rFonts w:ascii="ＭＳ Ｐゴシック" w:eastAsia="ＭＳ Ｐゴシック" w:cs="ＭＳ Ｐゴシック" w:hint="eastAsia"/>
                                  <w:color w:val="000000"/>
                                  <w:kern w:val="0"/>
                                  <w:sz w:val="16"/>
                                  <w:szCs w:val="16"/>
                                </w:rPr>
                                <w:t>内閣官房（内閣情報集約センター）（内閣官房副長官補（事態対処・危機管理担当））</w:t>
                              </w:r>
                            </w:p>
                          </w:txbxContent>
                        </wps:txbx>
                        <wps:bodyPr rot="0" vert="horz" wrap="none" lIns="0" tIns="0" rIns="0" bIns="0" anchor="t" anchorCtr="0">
                          <a:spAutoFit/>
                        </wps:bodyPr>
                      </wps:wsp>
                      <wps:wsp>
                        <wps:cNvPr id="4026" name="Rectangle 106"/>
                        <wps:cNvSpPr>
                          <a:spLocks noChangeArrowheads="1"/>
                        </wps:cNvSpPr>
                        <wps:spPr bwMode="auto">
                          <a:xfrm>
                            <a:off x="591185" y="1942465"/>
                            <a:ext cx="614045" cy="2241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B951D7D" w14:textId="77777777" w:rsidR="003C47E9" w:rsidRDefault="003C47E9" w:rsidP="003C47E9">
                              <w:r>
                                <w:rPr>
                                  <w:rFonts w:ascii="ＭＳ Ｐゴシック" w:eastAsia="ＭＳ Ｐゴシック" w:cs="ＭＳ Ｐゴシック" w:hint="eastAsia"/>
                                  <w:color w:val="000000"/>
                                  <w:kern w:val="0"/>
                                  <w:sz w:val="16"/>
                                  <w:szCs w:val="16"/>
                                </w:rPr>
                                <w:t>原子力事業者</w:t>
                              </w:r>
                            </w:p>
                          </w:txbxContent>
                        </wps:txbx>
                        <wps:bodyPr rot="0" vert="horz" wrap="none" lIns="0" tIns="0" rIns="0" bIns="0" anchor="t" anchorCtr="0">
                          <a:spAutoFit/>
                        </wps:bodyPr>
                      </wps:wsp>
                      <wps:wsp>
                        <wps:cNvPr id="4027" name="Rectangle 107"/>
                        <wps:cNvSpPr>
                          <a:spLocks noChangeArrowheads="1"/>
                        </wps:cNvSpPr>
                        <wps:spPr bwMode="auto">
                          <a:xfrm>
                            <a:off x="497840" y="2057400"/>
                            <a:ext cx="818515" cy="2241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89D1E3D" w14:textId="77777777" w:rsidR="003C47E9" w:rsidRDefault="003C47E9" w:rsidP="003C47E9">
                              <w:r>
                                <w:rPr>
                                  <w:rFonts w:ascii="ＭＳ Ｐゴシック" w:eastAsia="ＭＳ Ｐゴシック" w:cs="ＭＳ Ｐゴシック" w:hint="eastAsia"/>
                                  <w:color w:val="000000"/>
                                  <w:kern w:val="0"/>
                                  <w:sz w:val="16"/>
                                  <w:szCs w:val="16"/>
                                </w:rPr>
                                <w:t>原子力防災管理者</w:t>
                              </w:r>
                            </w:p>
                          </w:txbxContent>
                        </wps:txbx>
                        <wps:bodyPr rot="0" vert="horz" wrap="none" lIns="0" tIns="0" rIns="0" bIns="0" anchor="t" anchorCtr="0">
                          <a:spAutoFit/>
                        </wps:bodyPr>
                      </wps:wsp>
                      <wps:wsp>
                        <wps:cNvPr id="4028" name="Rectangle 108"/>
                        <wps:cNvSpPr>
                          <a:spLocks noChangeArrowheads="1"/>
                        </wps:cNvSpPr>
                        <wps:spPr bwMode="auto">
                          <a:xfrm>
                            <a:off x="2532380" y="2057400"/>
                            <a:ext cx="2660015" cy="2241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B013D02" w14:textId="77777777" w:rsidR="003C47E9" w:rsidRDefault="003C47E9" w:rsidP="003C47E9">
                              <w:r>
                                <w:rPr>
                                  <w:rFonts w:ascii="ＭＳ Ｐゴシック" w:eastAsia="ＭＳ Ｐゴシック" w:cs="ＭＳ Ｐゴシック" w:hint="eastAsia"/>
                                  <w:color w:val="000000"/>
                                  <w:kern w:val="0"/>
                                  <w:sz w:val="16"/>
                                  <w:szCs w:val="16"/>
                                </w:rPr>
                                <w:t>内閣府政策統括官（原子力防災担当）付参事官（総括担当）付</w:t>
                              </w:r>
                            </w:p>
                          </w:txbxContent>
                        </wps:txbx>
                        <wps:bodyPr rot="0" vert="horz" wrap="none" lIns="0" tIns="0" rIns="0" bIns="0" anchor="t" anchorCtr="0">
                          <a:spAutoFit/>
                        </wps:bodyPr>
                      </wps:wsp>
                      <wps:wsp>
                        <wps:cNvPr id="4029" name="Rectangle 109"/>
                        <wps:cNvSpPr>
                          <a:spLocks noChangeArrowheads="1"/>
                        </wps:cNvSpPr>
                        <wps:spPr bwMode="auto">
                          <a:xfrm>
                            <a:off x="3378835" y="2367280"/>
                            <a:ext cx="953135" cy="2241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25BAD30" w14:textId="77777777" w:rsidR="003C47E9" w:rsidRDefault="003C47E9" w:rsidP="003C47E9">
                              <w:r>
                                <w:rPr>
                                  <w:rFonts w:ascii="ＭＳ Ｐゴシック" w:eastAsia="ＭＳ Ｐゴシック" w:cs="ＭＳ Ｐゴシック" w:hint="eastAsia"/>
                                  <w:color w:val="000000"/>
                                  <w:kern w:val="0"/>
                                  <w:sz w:val="16"/>
                                  <w:szCs w:val="16"/>
                                </w:rPr>
                                <w:t>関　係　消　防　機　関</w:t>
                              </w:r>
                            </w:p>
                          </w:txbxContent>
                        </wps:txbx>
                        <wps:bodyPr rot="0" vert="horz" wrap="none" lIns="0" tIns="0" rIns="0" bIns="0" anchor="t" anchorCtr="0">
                          <a:spAutoFit/>
                        </wps:bodyPr>
                      </wps:wsp>
                      <wps:wsp>
                        <wps:cNvPr id="4030" name="Rectangle 110"/>
                        <wps:cNvSpPr>
                          <a:spLocks noChangeArrowheads="1"/>
                        </wps:cNvSpPr>
                        <wps:spPr bwMode="auto">
                          <a:xfrm>
                            <a:off x="3228975" y="2548255"/>
                            <a:ext cx="1228090" cy="2241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3BB8BBD" w14:textId="77777777" w:rsidR="003C47E9" w:rsidRDefault="003C47E9" w:rsidP="003C47E9">
                              <w:r>
                                <w:rPr>
                                  <w:rFonts w:ascii="ＭＳ Ｐゴシック" w:eastAsia="ＭＳ Ｐゴシック" w:cs="ＭＳ Ｐゴシック" w:hint="eastAsia"/>
                                  <w:color w:val="000000"/>
                                  <w:kern w:val="0"/>
                                  <w:sz w:val="16"/>
                                  <w:szCs w:val="16"/>
                                </w:rPr>
                                <w:t>原子力災害現地対策本部等</w:t>
                              </w:r>
                            </w:p>
                          </w:txbxContent>
                        </wps:txbx>
                        <wps:bodyPr rot="0" vert="horz" wrap="none" lIns="0" tIns="0" rIns="0" bIns="0" anchor="t" anchorCtr="0">
                          <a:spAutoFit/>
                        </wps:bodyPr>
                      </wps:wsp>
                      <wps:wsp>
                        <wps:cNvPr id="4031" name="Rectangle 111"/>
                        <wps:cNvSpPr>
                          <a:spLocks noChangeArrowheads="1"/>
                        </wps:cNvSpPr>
                        <wps:spPr bwMode="auto">
                          <a:xfrm>
                            <a:off x="3352165" y="2677160"/>
                            <a:ext cx="1163320" cy="2241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B5A2341" w14:textId="77777777" w:rsidR="003C47E9" w:rsidRDefault="003C47E9" w:rsidP="003C47E9">
                              <w:r>
                                <w:rPr>
                                  <w:rFonts w:ascii="ＭＳ Ｐゴシック" w:eastAsia="ＭＳ Ｐゴシック" w:cs="ＭＳ Ｐゴシック" w:hint="eastAsia"/>
                                  <w:color w:val="000000"/>
                                  <w:kern w:val="0"/>
                                  <w:sz w:val="16"/>
                                  <w:szCs w:val="16"/>
                                </w:rPr>
                                <w:t>（オフサイトセンター内）</w:t>
                              </w:r>
                              <w:r w:rsidRPr="00E0548A">
                                <w:rPr>
                                  <w:rFonts w:ascii="ＭＳ Ｐゴシック" w:eastAsia="ＭＳ Ｐゴシック" w:cs="ＭＳ Ｐゴシック" w:hint="eastAsia"/>
                                  <w:kern w:val="0"/>
                                  <w:sz w:val="16"/>
                                  <w:szCs w:val="16"/>
                                </w:rPr>
                                <w:t>※１</w:t>
                              </w:r>
                            </w:p>
                          </w:txbxContent>
                        </wps:txbx>
                        <wps:bodyPr rot="0" vert="horz" wrap="none" lIns="0" tIns="0" rIns="0" bIns="0" anchor="t" anchorCtr="0">
                          <a:spAutoFit/>
                        </wps:bodyPr>
                      </wps:wsp>
                      <wps:wsp>
                        <wps:cNvPr id="4032" name="Rectangle 112"/>
                        <wps:cNvSpPr>
                          <a:spLocks noChangeArrowheads="1"/>
                        </wps:cNvSpPr>
                        <wps:spPr bwMode="auto">
                          <a:xfrm>
                            <a:off x="3492500" y="2987675"/>
                            <a:ext cx="716280" cy="2241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F1D2C88" w14:textId="77777777" w:rsidR="003C47E9" w:rsidRDefault="003C47E9" w:rsidP="003C47E9">
                              <w:r>
                                <w:rPr>
                                  <w:rFonts w:ascii="ＭＳ Ｐゴシック" w:eastAsia="ＭＳ Ｐゴシック" w:cs="ＭＳ Ｐゴシック" w:hint="eastAsia"/>
                                  <w:color w:val="000000"/>
                                  <w:kern w:val="0"/>
                                  <w:sz w:val="16"/>
                                  <w:szCs w:val="16"/>
                                </w:rPr>
                                <w:t>大阪府警察本部</w:t>
                              </w:r>
                            </w:p>
                          </w:txbxContent>
                        </wps:txbx>
                        <wps:bodyPr rot="0" vert="horz" wrap="none" lIns="0" tIns="0" rIns="0" bIns="0" anchor="t" anchorCtr="0">
                          <a:spAutoFit/>
                        </wps:bodyPr>
                      </wps:wsp>
                      <wps:wsp>
                        <wps:cNvPr id="4033" name="Rectangle 113"/>
                        <wps:cNvSpPr>
                          <a:spLocks noChangeArrowheads="1"/>
                        </wps:cNvSpPr>
                        <wps:spPr bwMode="auto">
                          <a:xfrm>
                            <a:off x="3459480" y="3298190"/>
                            <a:ext cx="782955" cy="2241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BF5CF9C" w14:textId="77777777" w:rsidR="003C47E9" w:rsidRDefault="003C47E9" w:rsidP="003C47E9">
                              <w:r>
                                <w:rPr>
                                  <w:rFonts w:ascii="ＭＳ Ｐゴシック" w:eastAsia="ＭＳ Ｐゴシック" w:cs="ＭＳ Ｐゴシック" w:hint="eastAsia"/>
                                  <w:color w:val="000000"/>
                                  <w:kern w:val="0"/>
                                  <w:sz w:val="16"/>
                                  <w:szCs w:val="16"/>
                                </w:rPr>
                                <w:t>所　轄　警　察　署</w:t>
                              </w:r>
                            </w:p>
                          </w:txbxContent>
                        </wps:txbx>
                        <wps:bodyPr rot="0" vert="horz" wrap="none" lIns="0" tIns="0" rIns="0" bIns="0" anchor="t" anchorCtr="0">
                          <a:spAutoFit/>
                        </wps:bodyPr>
                      </wps:wsp>
                      <wps:wsp>
                        <wps:cNvPr id="4034" name="Rectangle 114"/>
                        <wps:cNvSpPr>
                          <a:spLocks noChangeArrowheads="1"/>
                        </wps:cNvSpPr>
                        <wps:spPr bwMode="auto">
                          <a:xfrm>
                            <a:off x="3270885" y="3608705"/>
                            <a:ext cx="1168400" cy="2241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434293B" w14:textId="77777777" w:rsidR="003C47E9" w:rsidRDefault="003C47E9" w:rsidP="003C47E9">
                              <w:r>
                                <w:rPr>
                                  <w:rFonts w:ascii="ＭＳ Ｐゴシック" w:eastAsia="ＭＳ Ｐゴシック" w:cs="ＭＳ Ｐゴシック" w:hint="eastAsia"/>
                                  <w:color w:val="000000"/>
                                  <w:kern w:val="0"/>
                                  <w:sz w:val="16"/>
                                  <w:szCs w:val="16"/>
                                </w:rPr>
                                <w:t>最寄りの海上保安部署※２</w:t>
                              </w:r>
                            </w:p>
                          </w:txbxContent>
                        </wps:txbx>
                        <wps:bodyPr rot="0" vert="horz" wrap="none" lIns="0" tIns="0" rIns="0" bIns="0" anchor="t" anchorCtr="0">
                          <a:spAutoFit/>
                        </wps:bodyPr>
                      </wps:wsp>
                      <wps:wsp>
                        <wps:cNvPr id="4035" name="Rectangle 115"/>
                        <wps:cNvSpPr>
                          <a:spLocks noChangeArrowheads="1"/>
                        </wps:cNvSpPr>
                        <wps:spPr bwMode="auto">
                          <a:xfrm>
                            <a:off x="3398520" y="3918585"/>
                            <a:ext cx="912495" cy="2241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0C289BD" w14:textId="77777777" w:rsidR="003C47E9" w:rsidRDefault="003C47E9" w:rsidP="003C47E9">
                              <w:r>
                                <w:rPr>
                                  <w:rFonts w:ascii="ＭＳ Ｐゴシック" w:eastAsia="ＭＳ Ｐゴシック" w:cs="ＭＳ Ｐゴシック" w:hint="eastAsia"/>
                                  <w:color w:val="000000"/>
                                  <w:kern w:val="0"/>
                                  <w:sz w:val="16"/>
                                  <w:szCs w:val="16"/>
                                </w:rPr>
                                <w:t>その他防災関係機関</w:t>
                              </w:r>
                            </w:p>
                          </w:txbxContent>
                        </wps:txbx>
                        <wps:bodyPr rot="0" vert="horz" wrap="none" lIns="0" tIns="0" rIns="0" bIns="0" anchor="t" anchorCtr="0">
                          <a:spAutoFit/>
                        </wps:bodyPr>
                      </wps:wsp>
                      <wps:wsp>
                        <wps:cNvPr id="4036" name="Rectangle 116"/>
                        <wps:cNvSpPr>
                          <a:spLocks noChangeArrowheads="1"/>
                        </wps:cNvSpPr>
                        <wps:spPr bwMode="auto">
                          <a:xfrm>
                            <a:off x="3566795" y="208915"/>
                            <a:ext cx="563245" cy="2241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59F003D" w14:textId="77777777" w:rsidR="003C47E9" w:rsidRDefault="003C47E9" w:rsidP="003C47E9">
                              <w:r>
                                <w:rPr>
                                  <w:rFonts w:ascii="ＭＳ Ｐゴシック" w:eastAsia="ＭＳ Ｐゴシック" w:cs="ＭＳ Ｐゴシック" w:hint="eastAsia"/>
                                  <w:color w:val="000000"/>
                                  <w:kern w:val="0"/>
                                  <w:sz w:val="16"/>
                                  <w:szCs w:val="16"/>
                                </w:rPr>
                                <w:t>連絡・通報先</w:t>
                              </w:r>
                            </w:p>
                          </w:txbxContent>
                        </wps:txbx>
                        <wps:bodyPr rot="0" vert="horz" wrap="none" lIns="0" tIns="0" rIns="0" bIns="0" anchor="t" anchorCtr="0">
                          <a:spAutoFit/>
                        </wps:bodyPr>
                      </wps:wsp>
                      <wps:wsp>
                        <wps:cNvPr id="4037" name="Line 117"/>
                        <wps:cNvCnPr>
                          <a:cxnSpLocks noChangeShapeType="1"/>
                        </wps:cNvCnPr>
                        <wps:spPr bwMode="auto">
                          <a:xfrm>
                            <a:off x="1974850" y="121285"/>
                            <a:ext cx="3754755" cy="0"/>
                          </a:xfrm>
                          <a:prstGeom prst="line">
                            <a:avLst/>
                          </a:prstGeom>
                          <a:noFill/>
                          <a:ln w="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4038" name="Rectangle 118"/>
                        <wps:cNvSpPr>
                          <a:spLocks noChangeArrowheads="1"/>
                        </wps:cNvSpPr>
                        <wps:spPr bwMode="auto">
                          <a:xfrm>
                            <a:off x="1974850" y="121285"/>
                            <a:ext cx="3754755" cy="6985"/>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4039" name="Line 121"/>
                        <wps:cNvCnPr>
                          <a:cxnSpLocks noChangeShapeType="1"/>
                        </wps:cNvCnPr>
                        <wps:spPr bwMode="auto">
                          <a:xfrm>
                            <a:off x="1974850" y="391160"/>
                            <a:ext cx="3754755" cy="0"/>
                          </a:xfrm>
                          <a:prstGeom prst="line">
                            <a:avLst/>
                          </a:prstGeom>
                          <a:noFill/>
                          <a:ln w="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4040" name="Rectangle 122"/>
                        <wps:cNvSpPr>
                          <a:spLocks noChangeArrowheads="1"/>
                        </wps:cNvSpPr>
                        <wps:spPr bwMode="auto">
                          <a:xfrm>
                            <a:off x="1974850" y="391160"/>
                            <a:ext cx="3754755" cy="6985"/>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4041" name="Line 129"/>
                        <wps:cNvCnPr>
                          <a:cxnSpLocks noChangeShapeType="1"/>
                        </wps:cNvCnPr>
                        <wps:spPr bwMode="auto">
                          <a:xfrm>
                            <a:off x="1974850" y="701675"/>
                            <a:ext cx="3754755" cy="0"/>
                          </a:xfrm>
                          <a:prstGeom prst="line">
                            <a:avLst/>
                          </a:prstGeom>
                          <a:noFill/>
                          <a:ln w="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4042" name="Rectangle 130"/>
                        <wps:cNvSpPr>
                          <a:spLocks noChangeArrowheads="1"/>
                        </wps:cNvSpPr>
                        <wps:spPr bwMode="auto">
                          <a:xfrm>
                            <a:off x="1974850" y="701675"/>
                            <a:ext cx="3754755" cy="635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4043" name="Line 131"/>
                        <wps:cNvCnPr>
                          <a:cxnSpLocks noChangeShapeType="1"/>
                        </wps:cNvCnPr>
                        <wps:spPr bwMode="auto">
                          <a:xfrm>
                            <a:off x="1974850" y="1011555"/>
                            <a:ext cx="3754755" cy="0"/>
                          </a:xfrm>
                          <a:prstGeom prst="line">
                            <a:avLst/>
                          </a:prstGeom>
                          <a:noFill/>
                          <a:ln w="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4044" name="Rectangle 132"/>
                        <wps:cNvSpPr>
                          <a:spLocks noChangeArrowheads="1"/>
                        </wps:cNvSpPr>
                        <wps:spPr bwMode="auto">
                          <a:xfrm>
                            <a:off x="1974850" y="1011555"/>
                            <a:ext cx="3754755" cy="6985"/>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4045" name="Line 133"/>
                        <wps:cNvCnPr>
                          <a:cxnSpLocks noChangeShapeType="1"/>
                        </wps:cNvCnPr>
                        <wps:spPr bwMode="auto">
                          <a:xfrm>
                            <a:off x="1974850" y="1322070"/>
                            <a:ext cx="3754755" cy="0"/>
                          </a:xfrm>
                          <a:prstGeom prst="line">
                            <a:avLst/>
                          </a:prstGeom>
                          <a:noFill/>
                          <a:ln w="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4046" name="Rectangle 134"/>
                        <wps:cNvSpPr>
                          <a:spLocks noChangeArrowheads="1"/>
                        </wps:cNvSpPr>
                        <wps:spPr bwMode="auto">
                          <a:xfrm>
                            <a:off x="1974850" y="1322070"/>
                            <a:ext cx="3754755" cy="6985"/>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4047" name="Line 135"/>
                        <wps:cNvCnPr>
                          <a:cxnSpLocks noChangeShapeType="1"/>
                        </wps:cNvCnPr>
                        <wps:spPr bwMode="auto">
                          <a:xfrm>
                            <a:off x="1974850" y="1631950"/>
                            <a:ext cx="3754755" cy="0"/>
                          </a:xfrm>
                          <a:prstGeom prst="line">
                            <a:avLst/>
                          </a:prstGeom>
                          <a:noFill/>
                          <a:ln w="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4048" name="Rectangle 136"/>
                        <wps:cNvSpPr>
                          <a:spLocks noChangeArrowheads="1"/>
                        </wps:cNvSpPr>
                        <wps:spPr bwMode="auto">
                          <a:xfrm>
                            <a:off x="1974850" y="1631950"/>
                            <a:ext cx="3754755" cy="6985"/>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4049" name="Line 137"/>
                        <wps:cNvCnPr>
                          <a:cxnSpLocks noChangeShapeType="1"/>
                        </wps:cNvCnPr>
                        <wps:spPr bwMode="auto">
                          <a:xfrm>
                            <a:off x="302260" y="1942465"/>
                            <a:ext cx="1188720" cy="0"/>
                          </a:xfrm>
                          <a:prstGeom prst="line">
                            <a:avLst/>
                          </a:prstGeom>
                          <a:noFill/>
                          <a:ln w="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4050" name="Rectangle 138"/>
                        <wps:cNvSpPr>
                          <a:spLocks noChangeArrowheads="1"/>
                        </wps:cNvSpPr>
                        <wps:spPr bwMode="auto">
                          <a:xfrm>
                            <a:off x="302260" y="1942465"/>
                            <a:ext cx="1188720" cy="6985"/>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4051" name="Line 139"/>
                        <wps:cNvCnPr>
                          <a:cxnSpLocks noChangeShapeType="1"/>
                        </wps:cNvCnPr>
                        <wps:spPr bwMode="auto">
                          <a:xfrm>
                            <a:off x="1974850" y="1942465"/>
                            <a:ext cx="3754755" cy="0"/>
                          </a:xfrm>
                          <a:prstGeom prst="line">
                            <a:avLst/>
                          </a:prstGeom>
                          <a:noFill/>
                          <a:ln w="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4052" name="Rectangle 140"/>
                        <wps:cNvSpPr>
                          <a:spLocks noChangeArrowheads="1"/>
                        </wps:cNvSpPr>
                        <wps:spPr bwMode="auto">
                          <a:xfrm>
                            <a:off x="1974850" y="1942465"/>
                            <a:ext cx="3754755" cy="6985"/>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4053" name="Line 141"/>
                        <wps:cNvCnPr>
                          <a:cxnSpLocks noChangeShapeType="1"/>
                        </wps:cNvCnPr>
                        <wps:spPr bwMode="auto">
                          <a:xfrm>
                            <a:off x="295275" y="1942465"/>
                            <a:ext cx="0" cy="316865"/>
                          </a:xfrm>
                          <a:prstGeom prst="line">
                            <a:avLst/>
                          </a:prstGeom>
                          <a:noFill/>
                          <a:ln w="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4054" name="Rectangle 142"/>
                        <wps:cNvSpPr>
                          <a:spLocks noChangeArrowheads="1"/>
                        </wps:cNvSpPr>
                        <wps:spPr bwMode="auto">
                          <a:xfrm>
                            <a:off x="295275" y="1942465"/>
                            <a:ext cx="6985" cy="316865"/>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4055" name="Line 143"/>
                        <wps:cNvCnPr>
                          <a:cxnSpLocks noChangeShapeType="1"/>
                        </wps:cNvCnPr>
                        <wps:spPr bwMode="auto">
                          <a:xfrm>
                            <a:off x="302260" y="2252980"/>
                            <a:ext cx="1188720" cy="0"/>
                          </a:xfrm>
                          <a:prstGeom prst="line">
                            <a:avLst/>
                          </a:prstGeom>
                          <a:noFill/>
                          <a:ln w="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4056" name="Rectangle 144"/>
                        <wps:cNvSpPr>
                          <a:spLocks noChangeArrowheads="1"/>
                        </wps:cNvSpPr>
                        <wps:spPr bwMode="auto">
                          <a:xfrm>
                            <a:off x="302260" y="2252980"/>
                            <a:ext cx="1188720" cy="635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4111" name="Line 145"/>
                        <wps:cNvCnPr>
                          <a:cxnSpLocks noChangeShapeType="1"/>
                        </wps:cNvCnPr>
                        <wps:spPr bwMode="auto">
                          <a:xfrm>
                            <a:off x="1484630" y="1949450"/>
                            <a:ext cx="0" cy="309880"/>
                          </a:xfrm>
                          <a:prstGeom prst="line">
                            <a:avLst/>
                          </a:prstGeom>
                          <a:noFill/>
                          <a:ln w="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4112" name="Rectangle 146"/>
                        <wps:cNvSpPr>
                          <a:spLocks noChangeArrowheads="1"/>
                        </wps:cNvSpPr>
                        <wps:spPr bwMode="auto">
                          <a:xfrm>
                            <a:off x="1484630" y="1949450"/>
                            <a:ext cx="6350" cy="30988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4141" name="Line 147"/>
                        <wps:cNvCnPr>
                          <a:cxnSpLocks noChangeShapeType="1"/>
                        </wps:cNvCnPr>
                        <wps:spPr bwMode="auto">
                          <a:xfrm>
                            <a:off x="1974850" y="2252980"/>
                            <a:ext cx="3754755" cy="0"/>
                          </a:xfrm>
                          <a:prstGeom prst="line">
                            <a:avLst/>
                          </a:prstGeom>
                          <a:noFill/>
                          <a:ln w="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4142" name="Rectangle 148"/>
                        <wps:cNvSpPr>
                          <a:spLocks noChangeArrowheads="1"/>
                        </wps:cNvSpPr>
                        <wps:spPr bwMode="auto">
                          <a:xfrm>
                            <a:off x="1974850" y="2252980"/>
                            <a:ext cx="3754755" cy="635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4144" name="Line 149"/>
                        <wps:cNvCnPr>
                          <a:cxnSpLocks noChangeShapeType="1"/>
                        </wps:cNvCnPr>
                        <wps:spPr bwMode="auto">
                          <a:xfrm>
                            <a:off x="1974850" y="2562860"/>
                            <a:ext cx="3754755" cy="0"/>
                          </a:xfrm>
                          <a:prstGeom prst="line">
                            <a:avLst/>
                          </a:prstGeom>
                          <a:noFill/>
                          <a:ln w="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4146" name="Rectangle 150"/>
                        <wps:cNvSpPr>
                          <a:spLocks noChangeArrowheads="1"/>
                        </wps:cNvSpPr>
                        <wps:spPr bwMode="auto">
                          <a:xfrm>
                            <a:off x="1974850" y="2562860"/>
                            <a:ext cx="3754755" cy="6985"/>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4154" name="Line 151"/>
                        <wps:cNvCnPr>
                          <a:cxnSpLocks noChangeShapeType="1"/>
                        </wps:cNvCnPr>
                        <wps:spPr bwMode="auto">
                          <a:xfrm>
                            <a:off x="1974850" y="2873375"/>
                            <a:ext cx="3754755" cy="0"/>
                          </a:xfrm>
                          <a:prstGeom prst="line">
                            <a:avLst/>
                          </a:prstGeom>
                          <a:noFill/>
                          <a:ln w="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4156" name="Rectangle 152"/>
                        <wps:cNvSpPr>
                          <a:spLocks noChangeArrowheads="1"/>
                        </wps:cNvSpPr>
                        <wps:spPr bwMode="auto">
                          <a:xfrm>
                            <a:off x="1974850" y="2873375"/>
                            <a:ext cx="3754755" cy="6985"/>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4158" name="Line 153"/>
                        <wps:cNvCnPr>
                          <a:cxnSpLocks noChangeShapeType="1"/>
                        </wps:cNvCnPr>
                        <wps:spPr bwMode="auto">
                          <a:xfrm>
                            <a:off x="1974850" y="3183255"/>
                            <a:ext cx="3754755" cy="0"/>
                          </a:xfrm>
                          <a:prstGeom prst="line">
                            <a:avLst/>
                          </a:prstGeom>
                          <a:noFill/>
                          <a:ln w="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4161" name="Rectangle 154"/>
                        <wps:cNvSpPr>
                          <a:spLocks noChangeArrowheads="1"/>
                        </wps:cNvSpPr>
                        <wps:spPr bwMode="auto">
                          <a:xfrm>
                            <a:off x="1974850" y="3183255"/>
                            <a:ext cx="3754755" cy="6985"/>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4162" name="Line 155"/>
                        <wps:cNvCnPr>
                          <a:cxnSpLocks noChangeShapeType="1"/>
                        </wps:cNvCnPr>
                        <wps:spPr bwMode="auto">
                          <a:xfrm>
                            <a:off x="1974850" y="3493770"/>
                            <a:ext cx="3754755" cy="0"/>
                          </a:xfrm>
                          <a:prstGeom prst="line">
                            <a:avLst/>
                          </a:prstGeom>
                          <a:noFill/>
                          <a:ln w="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4163" name="Rectangle 156"/>
                        <wps:cNvSpPr>
                          <a:spLocks noChangeArrowheads="1"/>
                        </wps:cNvSpPr>
                        <wps:spPr bwMode="auto">
                          <a:xfrm>
                            <a:off x="1974850" y="3493770"/>
                            <a:ext cx="3754755" cy="6985"/>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4164" name="Line 157"/>
                        <wps:cNvCnPr>
                          <a:cxnSpLocks noChangeShapeType="1"/>
                        </wps:cNvCnPr>
                        <wps:spPr bwMode="auto">
                          <a:xfrm>
                            <a:off x="1974850" y="3804285"/>
                            <a:ext cx="3754755" cy="0"/>
                          </a:xfrm>
                          <a:prstGeom prst="line">
                            <a:avLst/>
                          </a:prstGeom>
                          <a:noFill/>
                          <a:ln w="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4165" name="Rectangle 158"/>
                        <wps:cNvSpPr>
                          <a:spLocks noChangeArrowheads="1"/>
                        </wps:cNvSpPr>
                        <wps:spPr bwMode="auto">
                          <a:xfrm>
                            <a:off x="1974850" y="3804285"/>
                            <a:ext cx="3754755" cy="635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4166" name="Line 159"/>
                        <wps:cNvCnPr>
                          <a:cxnSpLocks noChangeShapeType="1"/>
                        </wps:cNvCnPr>
                        <wps:spPr bwMode="auto">
                          <a:xfrm>
                            <a:off x="1967865" y="121285"/>
                            <a:ext cx="0" cy="3999865"/>
                          </a:xfrm>
                          <a:prstGeom prst="line">
                            <a:avLst/>
                          </a:prstGeom>
                          <a:noFill/>
                          <a:ln w="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4167" name="Rectangle 160"/>
                        <wps:cNvSpPr>
                          <a:spLocks noChangeArrowheads="1"/>
                        </wps:cNvSpPr>
                        <wps:spPr bwMode="auto">
                          <a:xfrm>
                            <a:off x="1967865" y="121285"/>
                            <a:ext cx="6985" cy="3999865"/>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4170" name="Line 161"/>
                        <wps:cNvCnPr>
                          <a:cxnSpLocks noChangeShapeType="1"/>
                        </wps:cNvCnPr>
                        <wps:spPr bwMode="auto">
                          <a:xfrm>
                            <a:off x="1974850" y="4114165"/>
                            <a:ext cx="3754755" cy="0"/>
                          </a:xfrm>
                          <a:prstGeom prst="line">
                            <a:avLst/>
                          </a:prstGeom>
                          <a:noFill/>
                          <a:ln w="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4171" name="Rectangle 162"/>
                        <wps:cNvSpPr>
                          <a:spLocks noChangeArrowheads="1"/>
                        </wps:cNvSpPr>
                        <wps:spPr bwMode="auto">
                          <a:xfrm>
                            <a:off x="1974850" y="4114165"/>
                            <a:ext cx="3754755" cy="6985"/>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4174" name="Line 163"/>
                        <wps:cNvCnPr>
                          <a:cxnSpLocks noChangeShapeType="1"/>
                        </wps:cNvCnPr>
                        <wps:spPr bwMode="auto">
                          <a:xfrm>
                            <a:off x="5722620" y="128270"/>
                            <a:ext cx="0" cy="3992880"/>
                          </a:xfrm>
                          <a:prstGeom prst="line">
                            <a:avLst/>
                          </a:prstGeom>
                          <a:noFill/>
                          <a:ln w="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4274" name="Rectangle 164"/>
                        <wps:cNvSpPr>
                          <a:spLocks noChangeArrowheads="1"/>
                        </wps:cNvSpPr>
                        <wps:spPr bwMode="auto">
                          <a:xfrm>
                            <a:off x="5722620" y="128270"/>
                            <a:ext cx="6985" cy="399288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4276" name="Freeform 165"/>
                        <wps:cNvSpPr>
                          <a:spLocks noEditPoints="1"/>
                        </wps:cNvSpPr>
                        <wps:spPr bwMode="auto">
                          <a:xfrm>
                            <a:off x="1484630" y="2076450"/>
                            <a:ext cx="458470" cy="69850"/>
                          </a:xfrm>
                          <a:custGeom>
                            <a:avLst/>
                            <a:gdLst>
                              <a:gd name="T0" fmla="*/ 0 w 1092"/>
                              <a:gd name="T1" fmla="*/ 75 h 167"/>
                              <a:gd name="T2" fmla="*/ 1076 w 1092"/>
                              <a:gd name="T3" fmla="*/ 75 h 167"/>
                              <a:gd name="T4" fmla="*/ 1076 w 1092"/>
                              <a:gd name="T5" fmla="*/ 91 h 167"/>
                              <a:gd name="T6" fmla="*/ 0 w 1092"/>
                              <a:gd name="T7" fmla="*/ 91 h 167"/>
                              <a:gd name="T8" fmla="*/ 0 w 1092"/>
                              <a:gd name="T9" fmla="*/ 75 h 167"/>
                              <a:gd name="T10" fmla="*/ 952 w 1092"/>
                              <a:gd name="T11" fmla="*/ 2 h 167"/>
                              <a:gd name="T12" fmla="*/ 1092 w 1092"/>
                              <a:gd name="T13" fmla="*/ 83 h 167"/>
                              <a:gd name="T14" fmla="*/ 952 w 1092"/>
                              <a:gd name="T15" fmla="*/ 165 h 167"/>
                              <a:gd name="T16" fmla="*/ 941 w 1092"/>
                              <a:gd name="T17" fmla="*/ 162 h 167"/>
                              <a:gd name="T18" fmla="*/ 944 w 1092"/>
                              <a:gd name="T19" fmla="*/ 151 h 167"/>
                              <a:gd name="T20" fmla="*/ 1072 w 1092"/>
                              <a:gd name="T21" fmla="*/ 77 h 167"/>
                              <a:gd name="T22" fmla="*/ 1072 w 1092"/>
                              <a:gd name="T23" fmla="*/ 90 h 167"/>
                              <a:gd name="T24" fmla="*/ 944 w 1092"/>
                              <a:gd name="T25" fmla="*/ 16 h 167"/>
                              <a:gd name="T26" fmla="*/ 941 w 1092"/>
                              <a:gd name="T27" fmla="*/ 5 h 167"/>
                              <a:gd name="T28" fmla="*/ 952 w 1092"/>
                              <a:gd name="T29" fmla="*/ 2 h 16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Lst>
                            <a:rect l="0" t="0" r="r" b="b"/>
                            <a:pathLst>
                              <a:path w="1092" h="167">
                                <a:moveTo>
                                  <a:pt x="0" y="75"/>
                                </a:moveTo>
                                <a:lnTo>
                                  <a:pt x="1076" y="75"/>
                                </a:lnTo>
                                <a:lnTo>
                                  <a:pt x="1076" y="91"/>
                                </a:lnTo>
                                <a:lnTo>
                                  <a:pt x="0" y="91"/>
                                </a:lnTo>
                                <a:lnTo>
                                  <a:pt x="0" y="75"/>
                                </a:lnTo>
                                <a:close/>
                                <a:moveTo>
                                  <a:pt x="952" y="2"/>
                                </a:moveTo>
                                <a:lnTo>
                                  <a:pt x="1092" y="83"/>
                                </a:lnTo>
                                <a:lnTo>
                                  <a:pt x="952" y="165"/>
                                </a:lnTo>
                                <a:cubicBezTo>
                                  <a:pt x="948" y="167"/>
                                  <a:pt x="944" y="166"/>
                                  <a:pt x="941" y="162"/>
                                </a:cubicBezTo>
                                <a:cubicBezTo>
                                  <a:pt x="939" y="158"/>
                                  <a:pt x="940" y="154"/>
                                  <a:pt x="944" y="151"/>
                                </a:cubicBezTo>
                                <a:lnTo>
                                  <a:pt x="1072" y="77"/>
                                </a:lnTo>
                                <a:lnTo>
                                  <a:pt x="1072" y="90"/>
                                </a:lnTo>
                                <a:lnTo>
                                  <a:pt x="944" y="16"/>
                                </a:lnTo>
                                <a:cubicBezTo>
                                  <a:pt x="940" y="13"/>
                                  <a:pt x="939" y="9"/>
                                  <a:pt x="941" y="5"/>
                                </a:cubicBezTo>
                                <a:cubicBezTo>
                                  <a:pt x="944" y="1"/>
                                  <a:pt x="948" y="0"/>
                                  <a:pt x="952" y="2"/>
                                </a:cubicBezTo>
                                <a:close/>
                              </a:path>
                            </a:pathLst>
                          </a:custGeom>
                          <a:solidFill>
                            <a:srgbClr val="000000"/>
                          </a:solidFill>
                          <a:ln w="635" cap="flat">
                            <a:solidFill>
                              <a:srgbClr val="000000"/>
                            </a:solidFill>
                            <a:prstDash val="solid"/>
                            <a:round/>
                            <a:headEnd/>
                            <a:tailEnd/>
                          </a:ln>
                        </wps:spPr>
                        <wps:bodyPr rot="0" vert="horz" wrap="square" lIns="91440" tIns="45720" rIns="91440" bIns="45720" anchor="t" anchorCtr="0" upright="1">
                          <a:noAutofit/>
                        </wps:bodyPr>
                      </wps:wsp>
                      <wps:wsp>
                        <wps:cNvPr id="4277" name="Line 166"/>
                        <wps:cNvCnPr>
                          <a:cxnSpLocks noChangeShapeType="1"/>
                        </wps:cNvCnPr>
                        <wps:spPr bwMode="auto">
                          <a:xfrm>
                            <a:off x="1712595" y="539750"/>
                            <a:ext cx="0" cy="3452495"/>
                          </a:xfrm>
                          <a:prstGeom prst="line">
                            <a:avLst/>
                          </a:prstGeom>
                          <a:noFill/>
                          <a:ln w="6985" cap="flat">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4287" name="Freeform 167"/>
                        <wps:cNvSpPr>
                          <a:spLocks noEditPoints="1"/>
                        </wps:cNvSpPr>
                        <wps:spPr bwMode="auto">
                          <a:xfrm>
                            <a:off x="1712595" y="808355"/>
                            <a:ext cx="229235" cy="70485"/>
                          </a:xfrm>
                          <a:custGeom>
                            <a:avLst/>
                            <a:gdLst>
                              <a:gd name="T0" fmla="*/ 0 w 546"/>
                              <a:gd name="T1" fmla="*/ 75 h 167"/>
                              <a:gd name="T2" fmla="*/ 530 w 546"/>
                              <a:gd name="T3" fmla="*/ 75 h 167"/>
                              <a:gd name="T4" fmla="*/ 530 w 546"/>
                              <a:gd name="T5" fmla="*/ 91 h 167"/>
                              <a:gd name="T6" fmla="*/ 0 w 546"/>
                              <a:gd name="T7" fmla="*/ 91 h 167"/>
                              <a:gd name="T8" fmla="*/ 0 w 546"/>
                              <a:gd name="T9" fmla="*/ 75 h 167"/>
                              <a:gd name="T10" fmla="*/ 406 w 546"/>
                              <a:gd name="T11" fmla="*/ 2 h 167"/>
                              <a:gd name="T12" fmla="*/ 546 w 546"/>
                              <a:gd name="T13" fmla="*/ 83 h 167"/>
                              <a:gd name="T14" fmla="*/ 406 w 546"/>
                              <a:gd name="T15" fmla="*/ 165 h 167"/>
                              <a:gd name="T16" fmla="*/ 395 w 546"/>
                              <a:gd name="T17" fmla="*/ 162 h 167"/>
                              <a:gd name="T18" fmla="*/ 398 w 546"/>
                              <a:gd name="T19" fmla="*/ 151 h 167"/>
                              <a:gd name="T20" fmla="*/ 526 w 546"/>
                              <a:gd name="T21" fmla="*/ 77 h 167"/>
                              <a:gd name="T22" fmla="*/ 526 w 546"/>
                              <a:gd name="T23" fmla="*/ 90 h 167"/>
                              <a:gd name="T24" fmla="*/ 398 w 546"/>
                              <a:gd name="T25" fmla="*/ 16 h 167"/>
                              <a:gd name="T26" fmla="*/ 395 w 546"/>
                              <a:gd name="T27" fmla="*/ 5 h 167"/>
                              <a:gd name="T28" fmla="*/ 406 w 546"/>
                              <a:gd name="T29" fmla="*/ 2 h 16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Lst>
                            <a:rect l="0" t="0" r="r" b="b"/>
                            <a:pathLst>
                              <a:path w="546" h="167">
                                <a:moveTo>
                                  <a:pt x="0" y="75"/>
                                </a:moveTo>
                                <a:lnTo>
                                  <a:pt x="530" y="75"/>
                                </a:lnTo>
                                <a:lnTo>
                                  <a:pt x="530" y="91"/>
                                </a:lnTo>
                                <a:lnTo>
                                  <a:pt x="0" y="91"/>
                                </a:lnTo>
                                <a:lnTo>
                                  <a:pt x="0" y="75"/>
                                </a:lnTo>
                                <a:close/>
                                <a:moveTo>
                                  <a:pt x="406" y="2"/>
                                </a:moveTo>
                                <a:lnTo>
                                  <a:pt x="546" y="83"/>
                                </a:lnTo>
                                <a:lnTo>
                                  <a:pt x="406" y="165"/>
                                </a:lnTo>
                                <a:cubicBezTo>
                                  <a:pt x="403" y="167"/>
                                  <a:pt x="398" y="166"/>
                                  <a:pt x="395" y="162"/>
                                </a:cubicBezTo>
                                <a:cubicBezTo>
                                  <a:pt x="393" y="158"/>
                                  <a:pt x="395" y="154"/>
                                  <a:pt x="398" y="151"/>
                                </a:cubicBezTo>
                                <a:lnTo>
                                  <a:pt x="526" y="77"/>
                                </a:lnTo>
                                <a:lnTo>
                                  <a:pt x="526" y="90"/>
                                </a:lnTo>
                                <a:lnTo>
                                  <a:pt x="398" y="16"/>
                                </a:lnTo>
                                <a:cubicBezTo>
                                  <a:pt x="395" y="13"/>
                                  <a:pt x="393" y="9"/>
                                  <a:pt x="395" y="5"/>
                                </a:cubicBezTo>
                                <a:cubicBezTo>
                                  <a:pt x="398" y="1"/>
                                  <a:pt x="403" y="0"/>
                                  <a:pt x="406" y="2"/>
                                </a:cubicBezTo>
                                <a:close/>
                              </a:path>
                            </a:pathLst>
                          </a:custGeom>
                          <a:solidFill>
                            <a:srgbClr val="000000"/>
                          </a:solidFill>
                          <a:ln w="635" cap="flat">
                            <a:solidFill>
                              <a:srgbClr val="000000"/>
                            </a:solidFill>
                            <a:prstDash val="solid"/>
                            <a:round/>
                            <a:headEnd/>
                            <a:tailEnd/>
                          </a:ln>
                        </wps:spPr>
                        <wps:bodyPr rot="0" vert="horz" wrap="square" lIns="91440" tIns="45720" rIns="91440" bIns="45720" anchor="t" anchorCtr="0" upright="1">
                          <a:noAutofit/>
                        </wps:bodyPr>
                      </wps:wsp>
                      <wps:wsp>
                        <wps:cNvPr id="4296" name="Freeform 168"/>
                        <wps:cNvSpPr>
                          <a:spLocks noEditPoints="1"/>
                        </wps:cNvSpPr>
                        <wps:spPr bwMode="auto">
                          <a:xfrm>
                            <a:off x="1719580" y="1138555"/>
                            <a:ext cx="229235" cy="70485"/>
                          </a:xfrm>
                          <a:custGeom>
                            <a:avLst/>
                            <a:gdLst>
                              <a:gd name="T0" fmla="*/ 0 w 546"/>
                              <a:gd name="T1" fmla="*/ 75 h 167"/>
                              <a:gd name="T2" fmla="*/ 530 w 546"/>
                              <a:gd name="T3" fmla="*/ 75 h 167"/>
                              <a:gd name="T4" fmla="*/ 530 w 546"/>
                              <a:gd name="T5" fmla="*/ 91 h 167"/>
                              <a:gd name="T6" fmla="*/ 0 w 546"/>
                              <a:gd name="T7" fmla="*/ 91 h 167"/>
                              <a:gd name="T8" fmla="*/ 0 w 546"/>
                              <a:gd name="T9" fmla="*/ 75 h 167"/>
                              <a:gd name="T10" fmla="*/ 406 w 546"/>
                              <a:gd name="T11" fmla="*/ 2 h 167"/>
                              <a:gd name="T12" fmla="*/ 546 w 546"/>
                              <a:gd name="T13" fmla="*/ 83 h 167"/>
                              <a:gd name="T14" fmla="*/ 406 w 546"/>
                              <a:gd name="T15" fmla="*/ 165 h 167"/>
                              <a:gd name="T16" fmla="*/ 395 w 546"/>
                              <a:gd name="T17" fmla="*/ 162 h 167"/>
                              <a:gd name="T18" fmla="*/ 398 w 546"/>
                              <a:gd name="T19" fmla="*/ 151 h 167"/>
                              <a:gd name="T20" fmla="*/ 526 w 546"/>
                              <a:gd name="T21" fmla="*/ 77 h 167"/>
                              <a:gd name="T22" fmla="*/ 526 w 546"/>
                              <a:gd name="T23" fmla="*/ 90 h 167"/>
                              <a:gd name="T24" fmla="*/ 398 w 546"/>
                              <a:gd name="T25" fmla="*/ 16 h 167"/>
                              <a:gd name="T26" fmla="*/ 395 w 546"/>
                              <a:gd name="T27" fmla="*/ 5 h 167"/>
                              <a:gd name="T28" fmla="*/ 406 w 546"/>
                              <a:gd name="T29" fmla="*/ 2 h 16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Lst>
                            <a:rect l="0" t="0" r="r" b="b"/>
                            <a:pathLst>
                              <a:path w="546" h="167">
                                <a:moveTo>
                                  <a:pt x="0" y="75"/>
                                </a:moveTo>
                                <a:lnTo>
                                  <a:pt x="530" y="75"/>
                                </a:lnTo>
                                <a:lnTo>
                                  <a:pt x="530" y="91"/>
                                </a:lnTo>
                                <a:lnTo>
                                  <a:pt x="0" y="91"/>
                                </a:lnTo>
                                <a:lnTo>
                                  <a:pt x="0" y="75"/>
                                </a:lnTo>
                                <a:close/>
                                <a:moveTo>
                                  <a:pt x="406" y="2"/>
                                </a:moveTo>
                                <a:lnTo>
                                  <a:pt x="546" y="83"/>
                                </a:lnTo>
                                <a:lnTo>
                                  <a:pt x="406" y="165"/>
                                </a:lnTo>
                                <a:cubicBezTo>
                                  <a:pt x="403" y="167"/>
                                  <a:pt x="398" y="166"/>
                                  <a:pt x="395" y="162"/>
                                </a:cubicBezTo>
                                <a:cubicBezTo>
                                  <a:pt x="393" y="158"/>
                                  <a:pt x="395" y="154"/>
                                  <a:pt x="398" y="151"/>
                                </a:cubicBezTo>
                                <a:lnTo>
                                  <a:pt x="526" y="77"/>
                                </a:lnTo>
                                <a:lnTo>
                                  <a:pt x="526" y="90"/>
                                </a:lnTo>
                                <a:lnTo>
                                  <a:pt x="398" y="16"/>
                                </a:lnTo>
                                <a:cubicBezTo>
                                  <a:pt x="395" y="13"/>
                                  <a:pt x="393" y="9"/>
                                  <a:pt x="395" y="5"/>
                                </a:cubicBezTo>
                                <a:cubicBezTo>
                                  <a:pt x="398" y="1"/>
                                  <a:pt x="403" y="0"/>
                                  <a:pt x="406" y="2"/>
                                </a:cubicBezTo>
                                <a:close/>
                              </a:path>
                            </a:pathLst>
                          </a:custGeom>
                          <a:solidFill>
                            <a:srgbClr val="000000"/>
                          </a:solidFill>
                          <a:ln w="635" cap="flat">
                            <a:solidFill>
                              <a:srgbClr val="000000"/>
                            </a:solidFill>
                            <a:prstDash val="solid"/>
                            <a:round/>
                            <a:headEnd/>
                            <a:tailEnd/>
                          </a:ln>
                        </wps:spPr>
                        <wps:bodyPr rot="0" vert="horz" wrap="square" lIns="91440" tIns="45720" rIns="91440" bIns="45720" anchor="t" anchorCtr="0" upright="1">
                          <a:noAutofit/>
                        </wps:bodyPr>
                      </wps:wsp>
                      <wps:wsp>
                        <wps:cNvPr id="4297" name="Freeform 169"/>
                        <wps:cNvSpPr>
                          <a:spLocks noEditPoints="1"/>
                        </wps:cNvSpPr>
                        <wps:spPr bwMode="auto">
                          <a:xfrm>
                            <a:off x="1712595" y="1455420"/>
                            <a:ext cx="229235" cy="70485"/>
                          </a:xfrm>
                          <a:custGeom>
                            <a:avLst/>
                            <a:gdLst>
                              <a:gd name="T0" fmla="*/ 0 w 546"/>
                              <a:gd name="T1" fmla="*/ 75 h 167"/>
                              <a:gd name="T2" fmla="*/ 530 w 546"/>
                              <a:gd name="T3" fmla="*/ 75 h 167"/>
                              <a:gd name="T4" fmla="*/ 530 w 546"/>
                              <a:gd name="T5" fmla="*/ 91 h 167"/>
                              <a:gd name="T6" fmla="*/ 0 w 546"/>
                              <a:gd name="T7" fmla="*/ 91 h 167"/>
                              <a:gd name="T8" fmla="*/ 0 w 546"/>
                              <a:gd name="T9" fmla="*/ 75 h 167"/>
                              <a:gd name="T10" fmla="*/ 406 w 546"/>
                              <a:gd name="T11" fmla="*/ 2 h 167"/>
                              <a:gd name="T12" fmla="*/ 546 w 546"/>
                              <a:gd name="T13" fmla="*/ 83 h 167"/>
                              <a:gd name="T14" fmla="*/ 406 w 546"/>
                              <a:gd name="T15" fmla="*/ 165 h 167"/>
                              <a:gd name="T16" fmla="*/ 395 w 546"/>
                              <a:gd name="T17" fmla="*/ 162 h 167"/>
                              <a:gd name="T18" fmla="*/ 398 w 546"/>
                              <a:gd name="T19" fmla="*/ 151 h 167"/>
                              <a:gd name="T20" fmla="*/ 526 w 546"/>
                              <a:gd name="T21" fmla="*/ 77 h 167"/>
                              <a:gd name="T22" fmla="*/ 526 w 546"/>
                              <a:gd name="T23" fmla="*/ 90 h 167"/>
                              <a:gd name="T24" fmla="*/ 398 w 546"/>
                              <a:gd name="T25" fmla="*/ 16 h 167"/>
                              <a:gd name="T26" fmla="*/ 395 w 546"/>
                              <a:gd name="T27" fmla="*/ 5 h 167"/>
                              <a:gd name="T28" fmla="*/ 406 w 546"/>
                              <a:gd name="T29" fmla="*/ 2 h 16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Lst>
                            <a:rect l="0" t="0" r="r" b="b"/>
                            <a:pathLst>
                              <a:path w="546" h="167">
                                <a:moveTo>
                                  <a:pt x="0" y="75"/>
                                </a:moveTo>
                                <a:lnTo>
                                  <a:pt x="530" y="75"/>
                                </a:lnTo>
                                <a:lnTo>
                                  <a:pt x="530" y="91"/>
                                </a:lnTo>
                                <a:lnTo>
                                  <a:pt x="0" y="91"/>
                                </a:lnTo>
                                <a:lnTo>
                                  <a:pt x="0" y="75"/>
                                </a:lnTo>
                                <a:close/>
                                <a:moveTo>
                                  <a:pt x="406" y="2"/>
                                </a:moveTo>
                                <a:lnTo>
                                  <a:pt x="546" y="83"/>
                                </a:lnTo>
                                <a:lnTo>
                                  <a:pt x="406" y="165"/>
                                </a:lnTo>
                                <a:cubicBezTo>
                                  <a:pt x="403" y="167"/>
                                  <a:pt x="398" y="166"/>
                                  <a:pt x="395" y="162"/>
                                </a:cubicBezTo>
                                <a:cubicBezTo>
                                  <a:pt x="393" y="158"/>
                                  <a:pt x="395" y="154"/>
                                  <a:pt x="398" y="151"/>
                                </a:cubicBezTo>
                                <a:lnTo>
                                  <a:pt x="526" y="77"/>
                                </a:lnTo>
                                <a:lnTo>
                                  <a:pt x="526" y="90"/>
                                </a:lnTo>
                                <a:lnTo>
                                  <a:pt x="398" y="16"/>
                                </a:lnTo>
                                <a:cubicBezTo>
                                  <a:pt x="395" y="13"/>
                                  <a:pt x="393" y="9"/>
                                  <a:pt x="395" y="5"/>
                                </a:cubicBezTo>
                                <a:cubicBezTo>
                                  <a:pt x="398" y="1"/>
                                  <a:pt x="403" y="0"/>
                                  <a:pt x="406" y="2"/>
                                </a:cubicBezTo>
                                <a:close/>
                              </a:path>
                            </a:pathLst>
                          </a:custGeom>
                          <a:solidFill>
                            <a:srgbClr val="000000"/>
                          </a:solidFill>
                          <a:ln w="635" cap="flat">
                            <a:solidFill>
                              <a:srgbClr val="000000"/>
                            </a:solidFill>
                            <a:prstDash val="solid"/>
                            <a:round/>
                            <a:headEnd/>
                            <a:tailEnd/>
                          </a:ln>
                        </wps:spPr>
                        <wps:bodyPr rot="0" vert="horz" wrap="square" lIns="91440" tIns="45720" rIns="91440" bIns="45720" anchor="t" anchorCtr="0" upright="1">
                          <a:noAutofit/>
                        </wps:bodyPr>
                      </wps:wsp>
                      <wps:wsp>
                        <wps:cNvPr id="4298" name="Freeform 170"/>
                        <wps:cNvSpPr>
                          <a:spLocks noEditPoints="1"/>
                        </wps:cNvSpPr>
                        <wps:spPr bwMode="auto">
                          <a:xfrm>
                            <a:off x="1719580" y="1758950"/>
                            <a:ext cx="229235" cy="70485"/>
                          </a:xfrm>
                          <a:custGeom>
                            <a:avLst/>
                            <a:gdLst>
                              <a:gd name="T0" fmla="*/ 0 w 546"/>
                              <a:gd name="T1" fmla="*/ 75 h 167"/>
                              <a:gd name="T2" fmla="*/ 530 w 546"/>
                              <a:gd name="T3" fmla="*/ 75 h 167"/>
                              <a:gd name="T4" fmla="*/ 530 w 546"/>
                              <a:gd name="T5" fmla="*/ 91 h 167"/>
                              <a:gd name="T6" fmla="*/ 0 w 546"/>
                              <a:gd name="T7" fmla="*/ 91 h 167"/>
                              <a:gd name="T8" fmla="*/ 0 w 546"/>
                              <a:gd name="T9" fmla="*/ 75 h 167"/>
                              <a:gd name="T10" fmla="*/ 406 w 546"/>
                              <a:gd name="T11" fmla="*/ 2 h 167"/>
                              <a:gd name="T12" fmla="*/ 546 w 546"/>
                              <a:gd name="T13" fmla="*/ 83 h 167"/>
                              <a:gd name="T14" fmla="*/ 406 w 546"/>
                              <a:gd name="T15" fmla="*/ 165 h 167"/>
                              <a:gd name="T16" fmla="*/ 395 w 546"/>
                              <a:gd name="T17" fmla="*/ 162 h 167"/>
                              <a:gd name="T18" fmla="*/ 398 w 546"/>
                              <a:gd name="T19" fmla="*/ 151 h 167"/>
                              <a:gd name="T20" fmla="*/ 526 w 546"/>
                              <a:gd name="T21" fmla="*/ 77 h 167"/>
                              <a:gd name="T22" fmla="*/ 526 w 546"/>
                              <a:gd name="T23" fmla="*/ 90 h 167"/>
                              <a:gd name="T24" fmla="*/ 398 w 546"/>
                              <a:gd name="T25" fmla="*/ 16 h 167"/>
                              <a:gd name="T26" fmla="*/ 395 w 546"/>
                              <a:gd name="T27" fmla="*/ 5 h 167"/>
                              <a:gd name="T28" fmla="*/ 406 w 546"/>
                              <a:gd name="T29" fmla="*/ 2 h 16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Lst>
                            <a:rect l="0" t="0" r="r" b="b"/>
                            <a:pathLst>
                              <a:path w="546" h="167">
                                <a:moveTo>
                                  <a:pt x="0" y="75"/>
                                </a:moveTo>
                                <a:lnTo>
                                  <a:pt x="530" y="75"/>
                                </a:lnTo>
                                <a:lnTo>
                                  <a:pt x="530" y="91"/>
                                </a:lnTo>
                                <a:lnTo>
                                  <a:pt x="0" y="91"/>
                                </a:lnTo>
                                <a:lnTo>
                                  <a:pt x="0" y="75"/>
                                </a:lnTo>
                                <a:close/>
                                <a:moveTo>
                                  <a:pt x="406" y="2"/>
                                </a:moveTo>
                                <a:lnTo>
                                  <a:pt x="546" y="83"/>
                                </a:lnTo>
                                <a:lnTo>
                                  <a:pt x="406" y="165"/>
                                </a:lnTo>
                                <a:cubicBezTo>
                                  <a:pt x="403" y="167"/>
                                  <a:pt x="398" y="166"/>
                                  <a:pt x="395" y="162"/>
                                </a:cubicBezTo>
                                <a:cubicBezTo>
                                  <a:pt x="393" y="158"/>
                                  <a:pt x="395" y="154"/>
                                  <a:pt x="398" y="151"/>
                                </a:cubicBezTo>
                                <a:lnTo>
                                  <a:pt x="526" y="77"/>
                                </a:lnTo>
                                <a:lnTo>
                                  <a:pt x="526" y="90"/>
                                </a:lnTo>
                                <a:lnTo>
                                  <a:pt x="398" y="16"/>
                                </a:lnTo>
                                <a:cubicBezTo>
                                  <a:pt x="395" y="13"/>
                                  <a:pt x="393" y="9"/>
                                  <a:pt x="395" y="5"/>
                                </a:cubicBezTo>
                                <a:cubicBezTo>
                                  <a:pt x="398" y="1"/>
                                  <a:pt x="403" y="0"/>
                                  <a:pt x="406" y="2"/>
                                </a:cubicBezTo>
                                <a:close/>
                              </a:path>
                            </a:pathLst>
                          </a:custGeom>
                          <a:solidFill>
                            <a:srgbClr val="000000"/>
                          </a:solidFill>
                          <a:ln w="635" cap="flat">
                            <a:solidFill>
                              <a:srgbClr val="000000"/>
                            </a:solidFill>
                            <a:prstDash val="solid"/>
                            <a:round/>
                            <a:headEnd/>
                            <a:tailEnd/>
                          </a:ln>
                        </wps:spPr>
                        <wps:bodyPr rot="0" vert="horz" wrap="square" lIns="91440" tIns="45720" rIns="91440" bIns="45720" anchor="t" anchorCtr="0" upright="1">
                          <a:noAutofit/>
                        </wps:bodyPr>
                      </wps:wsp>
                      <wps:wsp>
                        <wps:cNvPr id="4299" name="Freeform 171"/>
                        <wps:cNvSpPr>
                          <a:spLocks noEditPoints="1"/>
                        </wps:cNvSpPr>
                        <wps:spPr bwMode="auto">
                          <a:xfrm>
                            <a:off x="1726565" y="2386330"/>
                            <a:ext cx="228600" cy="70485"/>
                          </a:xfrm>
                          <a:custGeom>
                            <a:avLst/>
                            <a:gdLst>
                              <a:gd name="T0" fmla="*/ 0 w 546"/>
                              <a:gd name="T1" fmla="*/ 75 h 167"/>
                              <a:gd name="T2" fmla="*/ 530 w 546"/>
                              <a:gd name="T3" fmla="*/ 75 h 167"/>
                              <a:gd name="T4" fmla="*/ 530 w 546"/>
                              <a:gd name="T5" fmla="*/ 91 h 167"/>
                              <a:gd name="T6" fmla="*/ 0 w 546"/>
                              <a:gd name="T7" fmla="*/ 91 h 167"/>
                              <a:gd name="T8" fmla="*/ 0 w 546"/>
                              <a:gd name="T9" fmla="*/ 75 h 167"/>
                              <a:gd name="T10" fmla="*/ 406 w 546"/>
                              <a:gd name="T11" fmla="*/ 2 h 167"/>
                              <a:gd name="T12" fmla="*/ 546 w 546"/>
                              <a:gd name="T13" fmla="*/ 83 h 167"/>
                              <a:gd name="T14" fmla="*/ 406 w 546"/>
                              <a:gd name="T15" fmla="*/ 165 h 167"/>
                              <a:gd name="T16" fmla="*/ 395 w 546"/>
                              <a:gd name="T17" fmla="*/ 162 h 167"/>
                              <a:gd name="T18" fmla="*/ 398 w 546"/>
                              <a:gd name="T19" fmla="*/ 151 h 167"/>
                              <a:gd name="T20" fmla="*/ 526 w 546"/>
                              <a:gd name="T21" fmla="*/ 77 h 167"/>
                              <a:gd name="T22" fmla="*/ 526 w 546"/>
                              <a:gd name="T23" fmla="*/ 90 h 167"/>
                              <a:gd name="T24" fmla="*/ 398 w 546"/>
                              <a:gd name="T25" fmla="*/ 16 h 167"/>
                              <a:gd name="T26" fmla="*/ 395 w 546"/>
                              <a:gd name="T27" fmla="*/ 5 h 167"/>
                              <a:gd name="T28" fmla="*/ 406 w 546"/>
                              <a:gd name="T29" fmla="*/ 2 h 16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Lst>
                            <a:rect l="0" t="0" r="r" b="b"/>
                            <a:pathLst>
                              <a:path w="546" h="167">
                                <a:moveTo>
                                  <a:pt x="0" y="75"/>
                                </a:moveTo>
                                <a:lnTo>
                                  <a:pt x="530" y="75"/>
                                </a:lnTo>
                                <a:lnTo>
                                  <a:pt x="530" y="91"/>
                                </a:lnTo>
                                <a:lnTo>
                                  <a:pt x="0" y="91"/>
                                </a:lnTo>
                                <a:lnTo>
                                  <a:pt x="0" y="75"/>
                                </a:lnTo>
                                <a:close/>
                                <a:moveTo>
                                  <a:pt x="406" y="2"/>
                                </a:moveTo>
                                <a:lnTo>
                                  <a:pt x="546" y="83"/>
                                </a:lnTo>
                                <a:lnTo>
                                  <a:pt x="406" y="165"/>
                                </a:lnTo>
                                <a:cubicBezTo>
                                  <a:pt x="403" y="167"/>
                                  <a:pt x="398" y="166"/>
                                  <a:pt x="395" y="162"/>
                                </a:cubicBezTo>
                                <a:cubicBezTo>
                                  <a:pt x="393" y="158"/>
                                  <a:pt x="395" y="154"/>
                                  <a:pt x="398" y="151"/>
                                </a:cubicBezTo>
                                <a:lnTo>
                                  <a:pt x="526" y="77"/>
                                </a:lnTo>
                                <a:lnTo>
                                  <a:pt x="526" y="90"/>
                                </a:lnTo>
                                <a:lnTo>
                                  <a:pt x="398" y="16"/>
                                </a:lnTo>
                                <a:cubicBezTo>
                                  <a:pt x="395" y="13"/>
                                  <a:pt x="393" y="9"/>
                                  <a:pt x="395" y="5"/>
                                </a:cubicBezTo>
                                <a:cubicBezTo>
                                  <a:pt x="398" y="1"/>
                                  <a:pt x="403" y="0"/>
                                  <a:pt x="406" y="2"/>
                                </a:cubicBezTo>
                                <a:close/>
                              </a:path>
                            </a:pathLst>
                          </a:custGeom>
                          <a:solidFill>
                            <a:srgbClr val="000000"/>
                          </a:solidFill>
                          <a:ln w="635" cap="flat">
                            <a:solidFill>
                              <a:srgbClr val="000000"/>
                            </a:solidFill>
                            <a:prstDash val="solid"/>
                            <a:round/>
                            <a:headEnd/>
                            <a:tailEnd/>
                          </a:ln>
                        </wps:spPr>
                        <wps:bodyPr rot="0" vert="horz" wrap="square" lIns="91440" tIns="45720" rIns="91440" bIns="45720" anchor="t" anchorCtr="0" upright="1">
                          <a:noAutofit/>
                        </wps:bodyPr>
                      </wps:wsp>
                      <wps:wsp>
                        <wps:cNvPr id="4309" name="Freeform 172"/>
                        <wps:cNvSpPr>
                          <a:spLocks noEditPoints="1"/>
                        </wps:cNvSpPr>
                        <wps:spPr bwMode="auto">
                          <a:xfrm>
                            <a:off x="1712595" y="3006725"/>
                            <a:ext cx="229235" cy="70485"/>
                          </a:xfrm>
                          <a:custGeom>
                            <a:avLst/>
                            <a:gdLst>
                              <a:gd name="T0" fmla="*/ 0 w 546"/>
                              <a:gd name="T1" fmla="*/ 75 h 167"/>
                              <a:gd name="T2" fmla="*/ 530 w 546"/>
                              <a:gd name="T3" fmla="*/ 75 h 167"/>
                              <a:gd name="T4" fmla="*/ 530 w 546"/>
                              <a:gd name="T5" fmla="*/ 91 h 167"/>
                              <a:gd name="T6" fmla="*/ 0 w 546"/>
                              <a:gd name="T7" fmla="*/ 91 h 167"/>
                              <a:gd name="T8" fmla="*/ 0 w 546"/>
                              <a:gd name="T9" fmla="*/ 75 h 167"/>
                              <a:gd name="T10" fmla="*/ 406 w 546"/>
                              <a:gd name="T11" fmla="*/ 2 h 167"/>
                              <a:gd name="T12" fmla="*/ 546 w 546"/>
                              <a:gd name="T13" fmla="*/ 83 h 167"/>
                              <a:gd name="T14" fmla="*/ 406 w 546"/>
                              <a:gd name="T15" fmla="*/ 165 h 167"/>
                              <a:gd name="T16" fmla="*/ 395 w 546"/>
                              <a:gd name="T17" fmla="*/ 162 h 167"/>
                              <a:gd name="T18" fmla="*/ 398 w 546"/>
                              <a:gd name="T19" fmla="*/ 151 h 167"/>
                              <a:gd name="T20" fmla="*/ 526 w 546"/>
                              <a:gd name="T21" fmla="*/ 77 h 167"/>
                              <a:gd name="T22" fmla="*/ 526 w 546"/>
                              <a:gd name="T23" fmla="*/ 90 h 167"/>
                              <a:gd name="T24" fmla="*/ 398 w 546"/>
                              <a:gd name="T25" fmla="*/ 16 h 167"/>
                              <a:gd name="T26" fmla="*/ 395 w 546"/>
                              <a:gd name="T27" fmla="*/ 5 h 167"/>
                              <a:gd name="T28" fmla="*/ 406 w 546"/>
                              <a:gd name="T29" fmla="*/ 2 h 16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Lst>
                            <a:rect l="0" t="0" r="r" b="b"/>
                            <a:pathLst>
                              <a:path w="546" h="167">
                                <a:moveTo>
                                  <a:pt x="0" y="75"/>
                                </a:moveTo>
                                <a:lnTo>
                                  <a:pt x="530" y="75"/>
                                </a:lnTo>
                                <a:lnTo>
                                  <a:pt x="530" y="91"/>
                                </a:lnTo>
                                <a:lnTo>
                                  <a:pt x="0" y="91"/>
                                </a:lnTo>
                                <a:lnTo>
                                  <a:pt x="0" y="75"/>
                                </a:lnTo>
                                <a:close/>
                                <a:moveTo>
                                  <a:pt x="406" y="2"/>
                                </a:moveTo>
                                <a:lnTo>
                                  <a:pt x="546" y="83"/>
                                </a:lnTo>
                                <a:lnTo>
                                  <a:pt x="406" y="165"/>
                                </a:lnTo>
                                <a:cubicBezTo>
                                  <a:pt x="403" y="167"/>
                                  <a:pt x="398" y="166"/>
                                  <a:pt x="395" y="162"/>
                                </a:cubicBezTo>
                                <a:cubicBezTo>
                                  <a:pt x="393" y="158"/>
                                  <a:pt x="395" y="154"/>
                                  <a:pt x="398" y="151"/>
                                </a:cubicBezTo>
                                <a:lnTo>
                                  <a:pt x="526" y="77"/>
                                </a:lnTo>
                                <a:lnTo>
                                  <a:pt x="526" y="90"/>
                                </a:lnTo>
                                <a:lnTo>
                                  <a:pt x="398" y="16"/>
                                </a:lnTo>
                                <a:cubicBezTo>
                                  <a:pt x="395" y="13"/>
                                  <a:pt x="393" y="9"/>
                                  <a:pt x="395" y="5"/>
                                </a:cubicBezTo>
                                <a:cubicBezTo>
                                  <a:pt x="398" y="1"/>
                                  <a:pt x="403" y="0"/>
                                  <a:pt x="406" y="2"/>
                                </a:cubicBezTo>
                                <a:close/>
                              </a:path>
                            </a:pathLst>
                          </a:custGeom>
                          <a:solidFill>
                            <a:srgbClr val="000000"/>
                          </a:solidFill>
                          <a:ln w="635" cap="flat">
                            <a:solidFill>
                              <a:srgbClr val="000000"/>
                            </a:solidFill>
                            <a:prstDash val="solid"/>
                            <a:round/>
                            <a:headEnd/>
                            <a:tailEnd/>
                          </a:ln>
                        </wps:spPr>
                        <wps:bodyPr rot="0" vert="horz" wrap="square" lIns="91440" tIns="45720" rIns="91440" bIns="45720" anchor="t" anchorCtr="0" upright="1">
                          <a:noAutofit/>
                        </wps:bodyPr>
                      </wps:wsp>
                      <wps:wsp>
                        <wps:cNvPr id="4313" name="Freeform 173"/>
                        <wps:cNvSpPr>
                          <a:spLocks noEditPoints="1"/>
                        </wps:cNvSpPr>
                        <wps:spPr bwMode="auto">
                          <a:xfrm>
                            <a:off x="1719580" y="3330575"/>
                            <a:ext cx="229235" cy="70485"/>
                          </a:xfrm>
                          <a:custGeom>
                            <a:avLst/>
                            <a:gdLst>
                              <a:gd name="T0" fmla="*/ 0 w 546"/>
                              <a:gd name="T1" fmla="*/ 75 h 167"/>
                              <a:gd name="T2" fmla="*/ 530 w 546"/>
                              <a:gd name="T3" fmla="*/ 75 h 167"/>
                              <a:gd name="T4" fmla="*/ 530 w 546"/>
                              <a:gd name="T5" fmla="*/ 91 h 167"/>
                              <a:gd name="T6" fmla="*/ 0 w 546"/>
                              <a:gd name="T7" fmla="*/ 91 h 167"/>
                              <a:gd name="T8" fmla="*/ 0 w 546"/>
                              <a:gd name="T9" fmla="*/ 75 h 167"/>
                              <a:gd name="T10" fmla="*/ 406 w 546"/>
                              <a:gd name="T11" fmla="*/ 2 h 167"/>
                              <a:gd name="T12" fmla="*/ 546 w 546"/>
                              <a:gd name="T13" fmla="*/ 83 h 167"/>
                              <a:gd name="T14" fmla="*/ 406 w 546"/>
                              <a:gd name="T15" fmla="*/ 165 h 167"/>
                              <a:gd name="T16" fmla="*/ 395 w 546"/>
                              <a:gd name="T17" fmla="*/ 162 h 167"/>
                              <a:gd name="T18" fmla="*/ 398 w 546"/>
                              <a:gd name="T19" fmla="*/ 151 h 167"/>
                              <a:gd name="T20" fmla="*/ 526 w 546"/>
                              <a:gd name="T21" fmla="*/ 77 h 167"/>
                              <a:gd name="T22" fmla="*/ 526 w 546"/>
                              <a:gd name="T23" fmla="*/ 90 h 167"/>
                              <a:gd name="T24" fmla="*/ 398 w 546"/>
                              <a:gd name="T25" fmla="*/ 16 h 167"/>
                              <a:gd name="T26" fmla="*/ 395 w 546"/>
                              <a:gd name="T27" fmla="*/ 5 h 167"/>
                              <a:gd name="T28" fmla="*/ 406 w 546"/>
                              <a:gd name="T29" fmla="*/ 2 h 16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Lst>
                            <a:rect l="0" t="0" r="r" b="b"/>
                            <a:pathLst>
                              <a:path w="546" h="167">
                                <a:moveTo>
                                  <a:pt x="0" y="75"/>
                                </a:moveTo>
                                <a:lnTo>
                                  <a:pt x="530" y="75"/>
                                </a:lnTo>
                                <a:lnTo>
                                  <a:pt x="530" y="91"/>
                                </a:lnTo>
                                <a:lnTo>
                                  <a:pt x="0" y="91"/>
                                </a:lnTo>
                                <a:lnTo>
                                  <a:pt x="0" y="75"/>
                                </a:lnTo>
                                <a:close/>
                                <a:moveTo>
                                  <a:pt x="406" y="2"/>
                                </a:moveTo>
                                <a:lnTo>
                                  <a:pt x="546" y="83"/>
                                </a:lnTo>
                                <a:lnTo>
                                  <a:pt x="406" y="165"/>
                                </a:lnTo>
                                <a:cubicBezTo>
                                  <a:pt x="403" y="167"/>
                                  <a:pt x="398" y="166"/>
                                  <a:pt x="395" y="162"/>
                                </a:cubicBezTo>
                                <a:cubicBezTo>
                                  <a:pt x="393" y="158"/>
                                  <a:pt x="395" y="154"/>
                                  <a:pt x="398" y="151"/>
                                </a:cubicBezTo>
                                <a:lnTo>
                                  <a:pt x="526" y="77"/>
                                </a:lnTo>
                                <a:lnTo>
                                  <a:pt x="526" y="90"/>
                                </a:lnTo>
                                <a:lnTo>
                                  <a:pt x="398" y="16"/>
                                </a:lnTo>
                                <a:cubicBezTo>
                                  <a:pt x="395" y="13"/>
                                  <a:pt x="393" y="9"/>
                                  <a:pt x="395" y="5"/>
                                </a:cubicBezTo>
                                <a:cubicBezTo>
                                  <a:pt x="398" y="1"/>
                                  <a:pt x="403" y="0"/>
                                  <a:pt x="406" y="2"/>
                                </a:cubicBezTo>
                                <a:close/>
                              </a:path>
                            </a:pathLst>
                          </a:custGeom>
                          <a:solidFill>
                            <a:srgbClr val="000000"/>
                          </a:solidFill>
                          <a:ln w="635" cap="flat">
                            <a:solidFill>
                              <a:srgbClr val="000000"/>
                            </a:solidFill>
                            <a:prstDash val="solid"/>
                            <a:round/>
                            <a:headEnd/>
                            <a:tailEnd/>
                          </a:ln>
                        </wps:spPr>
                        <wps:bodyPr rot="0" vert="horz" wrap="square" lIns="91440" tIns="45720" rIns="91440" bIns="45720" anchor="t" anchorCtr="0" upright="1">
                          <a:noAutofit/>
                        </wps:bodyPr>
                      </wps:wsp>
                      <wps:wsp>
                        <wps:cNvPr id="4315" name="Freeform 174"/>
                        <wps:cNvSpPr>
                          <a:spLocks noEditPoints="1"/>
                        </wps:cNvSpPr>
                        <wps:spPr bwMode="auto">
                          <a:xfrm>
                            <a:off x="1726565" y="3613785"/>
                            <a:ext cx="228600" cy="70485"/>
                          </a:xfrm>
                          <a:custGeom>
                            <a:avLst/>
                            <a:gdLst>
                              <a:gd name="T0" fmla="*/ 0 w 546"/>
                              <a:gd name="T1" fmla="*/ 75 h 167"/>
                              <a:gd name="T2" fmla="*/ 530 w 546"/>
                              <a:gd name="T3" fmla="*/ 75 h 167"/>
                              <a:gd name="T4" fmla="*/ 530 w 546"/>
                              <a:gd name="T5" fmla="*/ 91 h 167"/>
                              <a:gd name="T6" fmla="*/ 0 w 546"/>
                              <a:gd name="T7" fmla="*/ 91 h 167"/>
                              <a:gd name="T8" fmla="*/ 0 w 546"/>
                              <a:gd name="T9" fmla="*/ 75 h 167"/>
                              <a:gd name="T10" fmla="*/ 406 w 546"/>
                              <a:gd name="T11" fmla="*/ 2 h 167"/>
                              <a:gd name="T12" fmla="*/ 546 w 546"/>
                              <a:gd name="T13" fmla="*/ 83 h 167"/>
                              <a:gd name="T14" fmla="*/ 406 w 546"/>
                              <a:gd name="T15" fmla="*/ 165 h 167"/>
                              <a:gd name="T16" fmla="*/ 395 w 546"/>
                              <a:gd name="T17" fmla="*/ 162 h 167"/>
                              <a:gd name="T18" fmla="*/ 398 w 546"/>
                              <a:gd name="T19" fmla="*/ 151 h 167"/>
                              <a:gd name="T20" fmla="*/ 398 w 546"/>
                              <a:gd name="T21" fmla="*/ 151 h 167"/>
                              <a:gd name="T22" fmla="*/ 526 w 546"/>
                              <a:gd name="T23" fmla="*/ 77 h 167"/>
                              <a:gd name="T24" fmla="*/ 526 w 546"/>
                              <a:gd name="T25" fmla="*/ 90 h 167"/>
                              <a:gd name="T26" fmla="*/ 398 w 546"/>
                              <a:gd name="T27" fmla="*/ 16 h 167"/>
                              <a:gd name="T28" fmla="*/ 395 w 546"/>
                              <a:gd name="T29" fmla="*/ 5 h 167"/>
                              <a:gd name="T30" fmla="*/ 406 w 546"/>
                              <a:gd name="T31" fmla="*/ 2 h 16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Lst>
                            <a:rect l="0" t="0" r="r" b="b"/>
                            <a:pathLst>
                              <a:path w="546" h="167">
                                <a:moveTo>
                                  <a:pt x="0" y="75"/>
                                </a:moveTo>
                                <a:lnTo>
                                  <a:pt x="530" y="75"/>
                                </a:lnTo>
                                <a:lnTo>
                                  <a:pt x="530" y="91"/>
                                </a:lnTo>
                                <a:lnTo>
                                  <a:pt x="0" y="91"/>
                                </a:lnTo>
                                <a:lnTo>
                                  <a:pt x="0" y="75"/>
                                </a:lnTo>
                                <a:close/>
                                <a:moveTo>
                                  <a:pt x="406" y="2"/>
                                </a:moveTo>
                                <a:lnTo>
                                  <a:pt x="546" y="83"/>
                                </a:lnTo>
                                <a:lnTo>
                                  <a:pt x="406" y="165"/>
                                </a:lnTo>
                                <a:cubicBezTo>
                                  <a:pt x="403" y="167"/>
                                  <a:pt x="398" y="166"/>
                                  <a:pt x="395" y="162"/>
                                </a:cubicBezTo>
                                <a:cubicBezTo>
                                  <a:pt x="393" y="158"/>
                                  <a:pt x="395" y="154"/>
                                  <a:pt x="398" y="151"/>
                                </a:cubicBezTo>
                                <a:lnTo>
                                  <a:pt x="398" y="151"/>
                                </a:lnTo>
                                <a:lnTo>
                                  <a:pt x="526" y="77"/>
                                </a:lnTo>
                                <a:lnTo>
                                  <a:pt x="526" y="90"/>
                                </a:lnTo>
                                <a:lnTo>
                                  <a:pt x="398" y="16"/>
                                </a:lnTo>
                                <a:cubicBezTo>
                                  <a:pt x="395" y="13"/>
                                  <a:pt x="393" y="9"/>
                                  <a:pt x="395" y="5"/>
                                </a:cubicBezTo>
                                <a:cubicBezTo>
                                  <a:pt x="398" y="1"/>
                                  <a:pt x="403" y="0"/>
                                  <a:pt x="406" y="2"/>
                                </a:cubicBezTo>
                                <a:close/>
                              </a:path>
                            </a:pathLst>
                          </a:custGeom>
                          <a:solidFill>
                            <a:srgbClr val="000000"/>
                          </a:solidFill>
                          <a:ln w="635" cap="flat">
                            <a:solidFill>
                              <a:srgbClr val="000000"/>
                            </a:solidFill>
                            <a:prstDash val="solid"/>
                            <a:round/>
                            <a:headEnd/>
                            <a:tailEnd/>
                          </a:ln>
                        </wps:spPr>
                        <wps:bodyPr rot="0" vert="horz" wrap="square" lIns="91440" tIns="45720" rIns="91440" bIns="45720" anchor="t" anchorCtr="0" upright="1">
                          <a:noAutofit/>
                        </wps:bodyPr>
                      </wps:wsp>
                      <wps:wsp>
                        <wps:cNvPr id="4316" name="Freeform 175"/>
                        <wps:cNvSpPr>
                          <a:spLocks noEditPoints="1"/>
                        </wps:cNvSpPr>
                        <wps:spPr bwMode="auto">
                          <a:xfrm>
                            <a:off x="1712595" y="3950970"/>
                            <a:ext cx="229235" cy="70485"/>
                          </a:xfrm>
                          <a:custGeom>
                            <a:avLst/>
                            <a:gdLst>
                              <a:gd name="T0" fmla="*/ 0 w 546"/>
                              <a:gd name="T1" fmla="*/ 75 h 167"/>
                              <a:gd name="T2" fmla="*/ 530 w 546"/>
                              <a:gd name="T3" fmla="*/ 75 h 167"/>
                              <a:gd name="T4" fmla="*/ 530 w 546"/>
                              <a:gd name="T5" fmla="*/ 91 h 167"/>
                              <a:gd name="T6" fmla="*/ 0 w 546"/>
                              <a:gd name="T7" fmla="*/ 91 h 167"/>
                              <a:gd name="T8" fmla="*/ 0 w 546"/>
                              <a:gd name="T9" fmla="*/ 75 h 167"/>
                              <a:gd name="T10" fmla="*/ 406 w 546"/>
                              <a:gd name="T11" fmla="*/ 2 h 167"/>
                              <a:gd name="T12" fmla="*/ 546 w 546"/>
                              <a:gd name="T13" fmla="*/ 83 h 167"/>
                              <a:gd name="T14" fmla="*/ 406 w 546"/>
                              <a:gd name="T15" fmla="*/ 165 h 167"/>
                              <a:gd name="T16" fmla="*/ 395 w 546"/>
                              <a:gd name="T17" fmla="*/ 162 h 167"/>
                              <a:gd name="T18" fmla="*/ 398 w 546"/>
                              <a:gd name="T19" fmla="*/ 151 h 167"/>
                              <a:gd name="T20" fmla="*/ 398 w 546"/>
                              <a:gd name="T21" fmla="*/ 151 h 167"/>
                              <a:gd name="T22" fmla="*/ 526 w 546"/>
                              <a:gd name="T23" fmla="*/ 77 h 167"/>
                              <a:gd name="T24" fmla="*/ 526 w 546"/>
                              <a:gd name="T25" fmla="*/ 90 h 167"/>
                              <a:gd name="T26" fmla="*/ 398 w 546"/>
                              <a:gd name="T27" fmla="*/ 16 h 167"/>
                              <a:gd name="T28" fmla="*/ 395 w 546"/>
                              <a:gd name="T29" fmla="*/ 5 h 167"/>
                              <a:gd name="T30" fmla="*/ 406 w 546"/>
                              <a:gd name="T31" fmla="*/ 2 h 16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Lst>
                            <a:rect l="0" t="0" r="r" b="b"/>
                            <a:pathLst>
                              <a:path w="546" h="167">
                                <a:moveTo>
                                  <a:pt x="0" y="75"/>
                                </a:moveTo>
                                <a:lnTo>
                                  <a:pt x="530" y="75"/>
                                </a:lnTo>
                                <a:lnTo>
                                  <a:pt x="530" y="91"/>
                                </a:lnTo>
                                <a:lnTo>
                                  <a:pt x="0" y="91"/>
                                </a:lnTo>
                                <a:lnTo>
                                  <a:pt x="0" y="75"/>
                                </a:lnTo>
                                <a:close/>
                                <a:moveTo>
                                  <a:pt x="406" y="2"/>
                                </a:moveTo>
                                <a:lnTo>
                                  <a:pt x="546" y="83"/>
                                </a:lnTo>
                                <a:lnTo>
                                  <a:pt x="406" y="165"/>
                                </a:lnTo>
                                <a:cubicBezTo>
                                  <a:pt x="403" y="167"/>
                                  <a:pt x="398" y="166"/>
                                  <a:pt x="395" y="162"/>
                                </a:cubicBezTo>
                                <a:cubicBezTo>
                                  <a:pt x="393" y="158"/>
                                  <a:pt x="395" y="154"/>
                                  <a:pt x="398" y="151"/>
                                </a:cubicBezTo>
                                <a:lnTo>
                                  <a:pt x="398" y="151"/>
                                </a:lnTo>
                                <a:lnTo>
                                  <a:pt x="526" y="77"/>
                                </a:lnTo>
                                <a:lnTo>
                                  <a:pt x="526" y="90"/>
                                </a:lnTo>
                                <a:lnTo>
                                  <a:pt x="398" y="16"/>
                                </a:lnTo>
                                <a:cubicBezTo>
                                  <a:pt x="395" y="13"/>
                                  <a:pt x="393" y="9"/>
                                  <a:pt x="395" y="5"/>
                                </a:cubicBezTo>
                                <a:cubicBezTo>
                                  <a:pt x="398" y="1"/>
                                  <a:pt x="403" y="0"/>
                                  <a:pt x="406" y="2"/>
                                </a:cubicBezTo>
                                <a:close/>
                              </a:path>
                            </a:pathLst>
                          </a:custGeom>
                          <a:solidFill>
                            <a:srgbClr val="000000"/>
                          </a:solidFill>
                          <a:ln w="635" cap="flat">
                            <a:solidFill>
                              <a:srgbClr val="000000"/>
                            </a:solidFill>
                            <a:prstDash val="solid"/>
                            <a:round/>
                            <a:headEnd/>
                            <a:tailEnd/>
                          </a:ln>
                        </wps:spPr>
                        <wps:bodyPr rot="0" vert="horz" wrap="square" lIns="91440" tIns="45720" rIns="91440" bIns="45720" anchor="t" anchorCtr="0" upright="1">
                          <a:noAutofit/>
                        </wps:bodyPr>
                      </wps:wsp>
                      <wps:wsp>
                        <wps:cNvPr id="4317" name="Freeform 176"/>
                        <wps:cNvSpPr>
                          <a:spLocks noEditPoints="1"/>
                        </wps:cNvSpPr>
                        <wps:spPr bwMode="auto">
                          <a:xfrm>
                            <a:off x="1712595" y="2703195"/>
                            <a:ext cx="229235" cy="70485"/>
                          </a:xfrm>
                          <a:custGeom>
                            <a:avLst/>
                            <a:gdLst>
                              <a:gd name="T0" fmla="*/ 0 w 546"/>
                              <a:gd name="T1" fmla="*/ 75 h 167"/>
                              <a:gd name="T2" fmla="*/ 530 w 546"/>
                              <a:gd name="T3" fmla="*/ 75 h 167"/>
                              <a:gd name="T4" fmla="*/ 530 w 546"/>
                              <a:gd name="T5" fmla="*/ 91 h 167"/>
                              <a:gd name="T6" fmla="*/ 0 w 546"/>
                              <a:gd name="T7" fmla="*/ 91 h 167"/>
                              <a:gd name="T8" fmla="*/ 0 w 546"/>
                              <a:gd name="T9" fmla="*/ 75 h 167"/>
                              <a:gd name="T10" fmla="*/ 406 w 546"/>
                              <a:gd name="T11" fmla="*/ 2 h 167"/>
                              <a:gd name="T12" fmla="*/ 546 w 546"/>
                              <a:gd name="T13" fmla="*/ 83 h 167"/>
                              <a:gd name="T14" fmla="*/ 406 w 546"/>
                              <a:gd name="T15" fmla="*/ 165 h 167"/>
                              <a:gd name="T16" fmla="*/ 395 w 546"/>
                              <a:gd name="T17" fmla="*/ 162 h 167"/>
                              <a:gd name="T18" fmla="*/ 398 w 546"/>
                              <a:gd name="T19" fmla="*/ 151 h 167"/>
                              <a:gd name="T20" fmla="*/ 526 w 546"/>
                              <a:gd name="T21" fmla="*/ 77 h 167"/>
                              <a:gd name="T22" fmla="*/ 526 w 546"/>
                              <a:gd name="T23" fmla="*/ 90 h 167"/>
                              <a:gd name="T24" fmla="*/ 398 w 546"/>
                              <a:gd name="T25" fmla="*/ 16 h 167"/>
                              <a:gd name="T26" fmla="*/ 395 w 546"/>
                              <a:gd name="T27" fmla="*/ 5 h 167"/>
                              <a:gd name="T28" fmla="*/ 406 w 546"/>
                              <a:gd name="T29" fmla="*/ 2 h 16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Lst>
                            <a:rect l="0" t="0" r="r" b="b"/>
                            <a:pathLst>
                              <a:path w="546" h="167">
                                <a:moveTo>
                                  <a:pt x="0" y="75"/>
                                </a:moveTo>
                                <a:lnTo>
                                  <a:pt x="530" y="75"/>
                                </a:lnTo>
                                <a:lnTo>
                                  <a:pt x="530" y="91"/>
                                </a:lnTo>
                                <a:lnTo>
                                  <a:pt x="0" y="91"/>
                                </a:lnTo>
                                <a:lnTo>
                                  <a:pt x="0" y="75"/>
                                </a:lnTo>
                                <a:close/>
                                <a:moveTo>
                                  <a:pt x="406" y="2"/>
                                </a:moveTo>
                                <a:lnTo>
                                  <a:pt x="546" y="83"/>
                                </a:lnTo>
                                <a:lnTo>
                                  <a:pt x="406" y="165"/>
                                </a:lnTo>
                                <a:cubicBezTo>
                                  <a:pt x="403" y="167"/>
                                  <a:pt x="398" y="166"/>
                                  <a:pt x="395" y="162"/>
                                </a:cubicBezTo>
                                <a:cubicBezTo>
                                  <a:pt x="393" y="158"/>
                                  <a:pt x="395" y="154"/>
                                  <a:pt x="398" y="151"/>
                                </a:cubicBezTo>
                                <a:lnTo>
                                  <a:pt x="526" y="77"/>
                                </a:lnTo>
                                <a:lnTo>
                                  <a:pt x="526" y="90"/>
                                </a:lnTo>
                                <a:lnTo>
                                  <a:pt x="398" y="16"/>
                                </a:lnTo>
                                <a:cubicBezTo>
                                  <a:pt x="395" y="13"/>
                                  <a:pt x="393" y="9"/>
                                  <a:pt x="395" y="5"/>
                                </a:cubicBezTo>
                                <a:cubicBezTo>
                                  <a:pt x="398" y="1"/>
                                  <a:pt x="403" y="0"/>
                                  <a:pt x="406" y="2"/>
                                </a:cubicBezTo>
                                <a:close/>
                              </a:path>
                            </a:pathLst>
                          </a:custGeom>
                          <a:solidFill>
                            <a:srgbClr val="000000"/>
                          </a:solidFill>
                          <a:ln w="635" cap="flat">
                            <a:solidFill>
                              <a:srgbClr val="000000"/>
                            </a:solidFill>
                            <a:prstDash val="solid"/>
                            <a:round/>
                            <a:headEnd/>
                            <a:tailEnd/>
                          </a:ln>
                        </wps:spPr>
                        <wps:bodyPr rot="0" vert="horz" wrap="square" lIns="91440" tIns="45720" rIns="91440" bIns="45720" anchor="t" anchorCtr="0" upright="1">
                          <a:noAutofit/>
                        </wps:bodyPr>
                      </wps:wsp>
                      <wps:wsp>
                        <wps:cNvPr id="4318" name="Freeform 177"/>
                        <wps:cNvSpPr>
                          <a:spLocks noEditPoints="1"/>
                        </wps:cNvSpPr>
                        <wps:spPr bwMode="auto">
                          <a:xfrm>
                            <a:off x="1706245" y="511175"/>
                            <a:ext cx="229235" cy="70485"/>
                          </a:xfrm>
                          <a:custGeom>
                            <a:avLst/>
                            <a:gdLst>
                              <a:gd name="T0" fmla="*/ 0 w 546"/>
                              <a:gd name="T1" fmla="*/ 75 h 167"/>
                              <a:gd name="T2" fmla="*/ 530 w 546"/>
                              <a:gd name="T3" fmla="*/ 75 h 167"/>
                              <a:gd name="T4" fmla="*/ 530 w 546"/>
                              <a:gd name="T5" fmla="*/ 91 h 167"/>
                              <a:gd name="T6" fmla="*/ 0 w 546"/>
                              <a:gd name="T7" fmla="*/ 91 h 167"/>
                              <a:gd name="T8" fmla="*/ 0 w 546"/>
                              <a:gd name="T9" fmla="*/ 75 h 167"/>
                              <a:gd name="T10" fmla="*/ 406 w 546"/>
                              <a:gd name="T11" fmla="*/ 2 h 167"/>
                              <a:gd name="T12" fmla="*/ 546 w 546"/>
                              <a:gd name="T13" fmla="*/ 83 h 167"/>
                              <a:gd name="T14" fmla="*/ 406 w 546"/>
                              <a:gd name="T15" fmla="*/ 165 h 167"/>
                              <a:gd name="T16" fmla="*/ 395 w 546"/>
                              <a:gd name="T17" fmla="*/ 162 h 167"/>
                              <a:gd name="T18" fmla="*/ 398 w 546"/>
                              <a:gd name="T19" fmla="*/ 151 h 167"/>
                              <a:gd name="T20" fmla="*/ 526 w 546"/>
                              <a:gd name="T21" fmla="*/ 77 h 167"/>
                              <a:gd name="T22" fmla="*/ 526 w 546"/>
                              <a:gd name="T23" fmla="*/ 90 h 167"/>
                              <a:gd name="T24" fmla="*/ 398 w 546"/>
                              <a:gd name="T25" fmla="*/ 16 h 167"/>
                              <a:gd name="T26" fmla="*/ 395 w 546"/>
                              <a:gd name="T27" fmla="*/ 5 h 167"/>
                              <a:gd name="T28" fmla="*/ 406 w 546"/>
                              <a:gd name="T29" fmla="*/ 2 h 16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Lst>
                            <a:rect l="0" t="0" r="r" b="b"/>
                            <a:pathLst>
                              <a:path w="546" h="167">
                                <a:moveTo>
                                  <a:pt x="0" y="75"/>
                                </a:moveTo>
                                <a:lnTo>
                                  <a:pt x="530" y="75"/>
                                </a:lnTo>
                                <a:lnTo>
                                  <a:pt x="530" y="91"/>
                                </a:lnTo>
                                <a:lnTo>
                                  <a:pt x="0" y="91"/>
                                </a:lnTo>
                                <a:lnTo>
                                  <a:pt x="0" y="75"/>
                                </a:lnTo>
                                <a:close/>
                                <a:moveTo>
                                  <a:pt x="406" y="2"/>
                                </a:moveTo>
                                <a:lnTo>
                                  <a:pt x="546" y="83"/>
                                </a:lnTo>
                                <a:lnTo>
                                  <a:pt x="406" y="165"/>
                                </a:lnTo>
                                <a:cubicBezTo>
                                  <a:pt x="403" y="167"/>
                                  <a:pt x="398" y="166"/>
                                  <a:pt x="395" y="162"/>
                                </a:cubicBezTo>
                                <a:cubicBezTo>
                                  <a:pt x="393" y="158"/>
                                  <a:pt x="395" y="154"/>
                                  <a:pt x="398" y="151"/>
                                </a:cubicBezTo>
                                <a:lnTo>
                                  <a:pt x="526" y="77"/>
                                </a:lnTo>
                                <a:lnTo>
                                  <a:pt x="526" y="90"/>
                                </a:lnTo>
                                <a:lnTo>
                                  <a:pt x="398" y="16"/>
                                </a:lnTo>
                                <a:cubicBezTo>
                                  <a:pt x="395" y="13"/>
                                  <a:pt x="393" y="9"/>
                                  <a:pt x="395" y="5"/>
                                </a:cubicBezTo>
                                <a:cubicBezTo>
                                  <a:pt x="398" y="1"/>
                                  <a:pt x="403" y="0"/>
                                  <a:pt x="406" y="2"/>
                                </a:cubicBezTo>
                                <a:close/>
                              </a:path>
                            </a:pathLst>
                          </a:custGeom>
                          <a:solidFill>
                            <a:srgbClr val="000000"/>
                          </a:solidFill>
                          <a:ln w="635" cap="flat">
                            <a:solidFill>
                              <a:srgbClr val="000000"/>
                            </a:solidFill>
                            <a:prstDash val="solid"/>
                            <a:round/>
                            <a:headEnd/>
                            <a:tailEnd/>
                          </a:ln>
                        </wps:spPr>
                        <wps:bodyPr rot="0" vert="horz" wrap="square" lIns="91440" tIns="45720" rIns="91440" bIns="45720" anchor="t" anchorCtr="0" upright="1">
                          <a:noAutofit/>
                        </wps:bodyPr>
                      </wps:wsp>
                      <wps:wsp>
                        <wps:cNvPr id="4319" name="Freeform 178"/>
                        <wps:cNvSpPr>
                          <a:spLocks noEditPoints="1"/>
                        </wps:cNvSpPr>
                        <wps:spPr bwMode="auto">
                          <a:xfrm rot="10800000">
                            <a:off x="821635" y="2821305"/>
                            <a:ext cx="93980" cy="368935"/>
                          </a:xfrm>
                          <a:custGeom>
                            <a:avLst/>
                            <a:gdLst>
                              <a:gd name="T0" fmla="*/ 135 w 223"/>
                              <a:gd name="T1" fmla="*/ 876 h 876"/>
                              <a:gd name="T2" fmla="*/ 135 w 223"/>
                              <a:gd name="T3" fmla="*/ 684 h 876"/>
                              <a:gd name="T4" fmla="*/ 87 w 223"/>
                              <a:gd name="T5" fmla="*/ 684 h 876"/>
                              <a:gd name="T6" fmla="*/ 87 w 223"/>
                              <a:gd name="T7" fmla="*/ 876 h 876"/>
                              <a:gd name="T8" fmla="*/ 135 w 223"/>
                              <a:gd name="T9" fmla="*/ 876 h 876"/>
                              <a:gd name="T10" fmla="*/ 135 w 223"/>
                              <a:gd name="T11" fmla="*/ 540 h 876"/>
                              <a:gd name="T12" fmla="*/ 135 w 223"/>
                              <a:gd name="T13" fmla="*/ 348 h 876"/>
                              <a:gd name="T14" fmla="*/ 87 w 223"/>
                              <a:gd name="T15" fmla="*/ 348 h 876"/>
                              <a:gd name="T16" fmla="*/ 87 w 223"/>
                              <a:gd name="T17" fmla="*/ 540 h 876"/>
                              <a:gd name="T18" fmla="*/ 135 w 223"/>
                              <a:gd name="T19" fmla="*/ 540 h 876"/>
                              <a:gd name="T20" fmla="*/ 135 w 223"/>
                              <a:gd name="T21" fmla="*/ 204 h 876"/>
                              <a:gd name="T22" fmla="*/ 135 w 223"/>
                              <a:gd name="T23" fmla="*/ 48 h 876"/>
                              <a:gd name="T24" fmla="*/ 87 w 223"/>
                              <a:gd name="T25" fmla="*/ 48 h 876"/>
                              <a:gd name="T26" fmla="*/ 87 w 223"/>
                              <a:gd name="T27" fmla="*/ 204 h 876"/>
                              <a:gd name="T28" fmla="*/ 135 w 223"/>
                              <a:gd name="T29" fmla="*/ 204 h 876"/>
                              <a:gd name="T30" fmla="*/ 216 w 223"/>
                              <a:gd name="T31" fmla="*/ 180 h 876"/>
                              <a:gd name="T32" fmla="*/ 111 w 223"/>
                              <a:gd name="T33" fmla="*/ 0 h 876"/>
                              <a:gd name="T34" fmla="*/ 7 w 223"/>
                              <a:gd name="T35" fmla="*/ 180 h 876"/>
                              <a:gd name="T36" fmla="*/ 15 w 223"/>
                              <a:gd name="T37" fmla="*/ 213 h 876"/>
                              <a:gd name="T38" fmla="*/ 48 w 223"/>
                              <a:gd name="T39" fmla="*/ 204 h 876"/>
                              <a:gd name="T40" fmla="*/ 48 w 223"/>
                              <a:gd name="T41" fmla="*/ 204 h 876"/>
                              <a:gd name="T42" fmla="*/ 132 w 223"/>
                              <a:gd name="T43" fmla="*/ 60 h 876"/>
                              <a:gd name="T44" fmla="*/ 91 w 223"/>
                              <a:gd name="T45" fmla="*/ 60 h 876"/>
                              <a:gd name="T46" fmla="*/ 175 w 223"/>
                              <a:gd name="T47" fmla="*/ 204 h 876"/>
                              <a:gd name="T48" fmla="*/ 208 w 223"/>
                              <a:gd name="T49" fmla="*/ 213 h 876"/>
                              <a:gd name="T50" fmla="*/ 216 w 223"/>
                              <a:gd name="T51" fmla="*/ 180 h 87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Lst>
                            <a:rect l="0" t="0" r="r" b="b"/>
                            <a:pathLst>
                              <a:path w="223" h="876">
                                <a:moveTo>
                                  <a:pt x="135" y="876"/>
                                </a:moveTo>
                                <a:lnTo>
                                  <a:pt x="135" y="684"/>
                                </a:lnTo>
                                <a:lnTo>
                                  <a:pt x="87" y="684"/>
                                </a:lnTo>
                                <a:lnTo>
                                  <a:pt x="87" y="876"/>
                                </a:lnTo>
                                <a:lnTo>
                                  <a:pt x="135" y="876"/>
                                </a:lnTo>
                                <a:close/>
                                <a:moveTo>
                                  <a:pt x="135" y="540"/>
                                </a:moveTo>
                                <a:lnTo>
                                  <a:pt x="135" y="348"/>
                                </a:lnTo>
                                <a:lnTo>
                                  <a:pt x="87" y="348"/>
                                </a:lnTo>
                                <a:lnTo>
                                  <a:pt x="87" y="540"/>
                                </a:lnTo>
                                <a:lnTo>
                                  <a:pt x="135" y="540"/>
                                </a:lnTo>
                                <a:close/>
                                <a:moveTo>
                                  <a:pt x="135" y="204"/>
                                </a:moveTo>
                                <a:lnTo>
                                  <a:pt x="135" y="48"/>
                                </a:lnTo>
                                <a:lnTo>
                                  <a:pt x="87" y="48"/>
                                </a:lnTo>
                                <a:lnTo>
                                  <a:pt x="87" y="204"/>
                                </a:lnTo>
                                <a:lnTo>
                                  <a:pt x="135" y="204"/>
                                </a:lnTo>
                                <a:close/>
                                <a:moveTo>
                                  <a:pt x="216" y="180"/>
                                </a:moveTo>
                                <a:lnTo>
                                  <a:pt x="111" y="0"/>
                                </a:lnTo>
                                <a:lnTo>
                                  <a:pt x="7" y="180"/>
                                </a:lnTo>
                                <a:cubicBezTo>
                                  <a:pt x="0" y="191"/>
                                  <a:pt x="4" y="206"/>
                                  <a:pt x="15" y="213"/>
                                </a:cubicBezTo>
                                <a:cubicBezTo>
                                  <a:pt x="27" y="219"/>
                                  <a:pt x="42" y="216"/>
                                  <a:pt x="48" y="204"/>
                                </a:cubicBezTo>
                                <a:lnTo>
                                  <a:pt x="48" y="204"/>
                                </a:lnTo>
                                <a:lnTo>
                                  <a:pt x="132" y="60"/>
                                </a:lnTo>
                                <a:lnTo>
                                  <a:pt x="91" y="60"/>
                                </a:lnTo>
                                <a:lnTo>
                                  <a:pt x="175" y="204"/>
                                </a:lnTo>
                                <a:cubicBezTo>
                                  <a:pt x="181" y="216"/>
                                  <a:pt x="196" y="219"/>
                                  <a:pt x="208" y="213"/>
                                </a:cubicBezTo>
                                <a:cubicBezTo>
                                  <a:pt x="219" y="206"/>
                                  <a:pt x="223" y="191"/>
                                  <a:pt x="216" y="180"/>
                                </a:cubicBezTo>
                                <a:close/>
                              </a:path>
                            </a:pathLst>
                          </a:custGeom>
                          <a:solidFill>
                            <a:srgbClr val="FF0000"/>
                          </a:solidFill>
                          <a:ln w="635" cap="flat">
                            <a:solidFill>
                              <a:srgbClr val="FF0000"/>
                            </a:solidFill>
                            <a:prstDash val="solid"/>
                            <a:round/>
                            <a:headEnd/>
                            <a:tailEnd/>
                          </a:ln>
                        </wps:spPr>
                        <wps:bodyPr rot="0" vert="horz" wrap="square" lIns="91440" tIns="45720" rIns="91440" bIns="45720" anchor="t" anchorCtr="0" upright="1">
                          <a:noAutofit/>
                        </wps:bodyPr>
                      </wps:wsp>
                      <wps:wsp>
                        <wps:cNvPr id="4320" name="Rectangle 180"/>
                        <wps:cNvSpPr>
                          <a:spLocks noChangeArrowheads="1"/>
                        </wps:cNvSpPr>
                        <wps:spPr bwMode="auto">
                          <a:xfrm>
                            <a:off x="326748" y="3874467"/>
                            <a:ext cx="90170" cy="2241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3FF5E61" w14:textId="77777777" w:rsidR="003C47E9" w:rsidRDefault="003C47E9" w:rsidP="003C47E9">
                              <w:r>
                                <w:rPr>
                                  <w:rFonts w:ascii="ＭＳ ゴシック" w:eastAsia="ＭＳ ゴシック" w:cs="ＭＳ ゴシック" w:hint="eastAsia"/>
                                  <w:color w:val="000000"/>
                                  <w:kern w:val="0"/>
                                  <w:sz w:val="14"/>
                                  <w:szCs w:val="14"/>
                                </w:rPr>
                                <w:t>※</w:t>
                              </w:r>
                            </w:p>
                          </w:txbxContent>
                        </wps:txbx>
                        <wps:bodyPr rot="0" vert="horz" wrap="none" lIns="0" tIns="0" rIns="0" bIns="0" anchor="t" anchorCtr="0">
                          <a:spAutoFit/>
                        </wps:bodyPr>
                      </wps:wsp>
                      <wps:wsp>
                        <wps:cNvPr id="4321" name="Rectangle 181"/>
                        <wps:cNvSpPr>
                          <a:spLocks noChangeArrowheads="1"/>
                        </wps:cNvSpPr>
                        <wps:spPr bwMode="auto">
                          <a:xfrm>
                            <a:off x="386715" y="3891335"/>
                            <a:ext cx="819785" cy="2241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3DD8775" w14:textId="77777777" w:rsidR="003C47E9" w:rsidRPr="00E0548A" w:rsidRDefault="003C47E9" w:rsidP="003C47E9">
                              <w:r>
                                <w:rPr>
                                  <w:rFonts w:ascii="ＭＳ Ｐゴシック" w:eastAsia="ＭＳ Ｐゴシック" w:cs="ＭＳ Ｐゴシック" w:hint="eastAsia"/>
                                  <w:color w:val="000000"/>
                                  <w:kern w:val="0"/>
                                  <w:sz w:val="14"/>
                                  <w:szCs w:val="14"/>
                                </w:rPr>
                                <w:t>１</w:t>
                              </w:r>
                              <w:r w:rsidRPr="00E0548A">
                                <w:rPr>
                                  <w:rFonts w:ascii="ＭＳ Ｐゴシック" w:eastAsia="ＭＳ Ｐゴシック" w:cs="ＭＳ Ｐゴシック" w:hint="eastAsia"/>
                                  <w:kern w:val="0"/>
                                  <w:sz w:val="14"/>
                                  <w:szCs w:val="14"/>
                                </w:rPr>
                                <w:t>設置されている場合</w:t>
                              </w:r>
                            </w:p>
                          </w:txbxContent>
                        </wps:txbx>
                        <wps:bodyPr rot="0" vert="horz" wrap="none" lIns="0" tIns="0" rIns="0" bIns="0" anchor="t" anchorCtr="0">
                          <a:spAutoFit/>
                        </wps:bodyPr>
                      </wps:wsp>
                      <wps:wsp>
                        <wps:cNvPr id="4322" name="Rectangle 184"/>
                        <wps:cNvSpPr>
                          <a:spLocks noChangeArrowheads="1"/>
                        </wps:cNvSpPr>
                        <wps:spPr bwMode="auto">
                          <a:xfrm>
                            <a:off x="316452" y="4035315"/>
                            <a:ext cx="90170" cy="2241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04A9FB3" w14:textId="77777777" w:rsidR="003C47E9" w:rsidRDefault="003C47E9" w:rsidP="003C47E9">
                              <w:r>
                                <w:rPr>
                                  <w:rFonts w:ascii="ＭＳ ゴシック" w:eastAsia="ＭＳ ゴシック" w:cs="ＭＳ ゴシック" w:hint="eastAsia"/>
                                  <w:color w:val="000000"/>
                                  <w:kern w:val="0"/>
                                  <w:sz w:val="14"/>
                                  <w:szCs w:val="14"/>
                                </w:rPr>
                                <w:t>※</w:t>
                              </w:r>
                            </w:p>
                          </w:txbxContent>
                        </wps:txbx>
                        <wps:bodyPr rot="0" vert="horz" wrap="none" lIns="0" tIns="0" rIns="0" bIns="0" anchor="t" anchorCtr="0">
                          <a:spAutoFit/>
                        </wps:bodyPr>
                      </wps:wsp>
                      <wps:wsp>
                        <wps:cNvPr id="4323" name="Rectangle 185"/>
                        <wps:cNvSpPr>
                          <a:spLocks noChangeArrowheads="1"/>
                        </wps:cNvSpPr>
                        <wps:spPr bwMode="auto">
                          <a:xfrm>
                            <a:off x="398836" y="4021787"/>
                            <a:ext cx="850900" cy="2241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11ED20B" w14:textId="77777777" w:rsidR="003C47E9" w:rsidRDefault="003C47E9" w:rsidP="003C47E9">
                              <w:r>
                                <w:rPr>
                                  <w:rFonts w:ascii="ＭＳ Ｐゴシック" w:eastAsia="ＭＳ Ｐゴシック" w:cs="ＭＳ Ｐゴシック" w:hint="eastAsia"/>
                                  <w:color w:val="000000"/>
                                  <w:kern w:val="0"/>
                                  <w:sz w:val="14"/>
                                  <w:szCs w:val="14"/>
                                </w:rPr>
                                <w:t>２関係する事業者のみ</w:t>
                              </w:r>
                            </w:p>
                          </w:txbxContent>
                        </wps:txbx>
                        <wps:bodyPr rot="0" vert="horz" wrap="none" lIns="0" tIns="0" rIns="0" bIns="0" anchor="t" anchorCtr="0">
                          <a:spAutoFit/>
                        </wps:bodyPr>
                      </wps:wsp>
                      <wps:wsp>
                        <wps:cNvPr id="4324" name="Freeform 179"/>
                        <wps:cNvSpPr>
                          <a:spLocks noEditPoints="1"/>
                        </wps:cNvSpPr>
                        <wps:spPr bwMode="auto">
                          <a:xfrm>
                            <a:off x="882015" y="2819833"/>
                            <a:ext cx="1066800" cy="19685"/>
                          </a:xfrm>
                          <a:custGeom>
                            <a:avLst/>
                            <a:gdLst>
                              <a:gd name="T0" fmla="*/ 0 w 1680"/>
                              <a:gd name="T1" fmla="*/ 0 h 31"/>
                              <a:gd name="T2" fmla="*/ 127 w 1680"/>
                              <a:gd name="T3" fmla="*/ 0 h 31"/>
                              <a:gd name="T4" fmla="*/ 127 w 1680"/>
                              <a:gd name="T5" fmla="*/ 31 h 31"/>
                              <a:gd name="T6" fmla="*/ 0 w 1680"/>
                              <a:gd name="T7" fmla="*/ 31 h 31"/>
                              <a:gd name="T8" fmla="*/ 0 w 1680"/>
                              <a:gd name="T9" fmla="*/ 0 h 31"/>
                              <a:gd name="T10" fmla="*/ 223 w 1680"/>
                              <a:gd name="T11" fmla="*/ 0 h 31"/>
                              <a:gd name="T12" fmla="*/ 350 w 1680"/>
                              <a:gd name="T13" fmla="*/ 0 h 31"/>
                              <a:gd name="T14" fmla="*/ 350 w 1680"/>
                              <a:gd name="T15" fmla="*/ 31 h 31"/>
                              <a:gd name="T16" fmla="*/ 223 w 1680"/>
                              <a:gd name="T17" fmla="*/ 31 h 31"/>
                              <a:gd name="T18" fmla="*/ 223 w 1680"/>
                              <a:gd name="T19" fmla="*/ 0 h 31"/>
                              <a:gd name="T20" fmla="*/ 445 w 1680"/>
                              <a:gd name="T21" fmla="*/ 0 h 31"/>
                              <a:gd name="T22" fmla="*/ 572 w 1680"/>
                              <a:gd name="T23" fmla="*/ 0 h 31"/>
                              <a:gd name="T24" fmla="*/ 572 w 1680"/>
                              <a:gd name="T25" fmla="*/ 31 h 31"/>
                              <a:gd name="T26" fmla="*/ 445 w 1680"/>
                              <a:gd name="T27" fmla="*/ 31 h 31"/>
                              <a:gd name="T28" fmla="*/ 445 w 1680"/>
                              <a:gd name="T29" fmla="*/ 0 h 31"/>
                              <a:gd name="T30" fmla="*/ 667 w 1680"/>
                              <a:gd name="T31" fmla="*/ 0 h 31"/>
                              <a:gd name="T32" fmla="*/ 794 w 1680"/>
                              <a:gd name="T33" fmla="*/ 0 h 31"/>
                              <a:gd name="T34" fmla="*/ 794 w 1680"/>
                              <a:gd name="T35" fmla="*/ 31 h 31"/>
                              <a:gd name="T36" fmla="*/ 667 w 1680"/>
                              <a:gd name="T37" fmla="*/ 31 h 31"/>
                              <a:gd name="T38" fmla="*/ 667 w 1680"/>
                              <a:gd name="T39" fmla="*/ 0 h 31"/>
                              <a:gd name="T40" fmla="*/ 889 w 1680"/>
                              <a:gd name="T41" fmla="*/ 0 h 31"/>
                              <a:gd name="T42" fmla="*/ 1016 w 1680"/>
                              <a:gd name="T43" fmla="*/ 0 h 31"/>
                              <a:gd name="T44" fmla="*/ 1016 w 1680"/>
                              <a:gd name="T45" fmla="*/ 31 h 31"/>
                              <a:gd name="T46" fmla="*/ 889 w 1680"/>
                              <a:gd name="T47" fmla="*/ 31 h 31"/>
                              <a:gd name="T48" fmla="*/ 889 w 1680"/>
                              <a:gd name="T49" fmla="*/ 0 h 31"/>
                              <a:gd name="T50" fmla="*/ 1111 w 1680"/>
                              <a:gd name="T51" fmla="*/ 0 h 31"/>
                              <a:gd name="T52" fmla="*/ 1238 w 1680"/>
                              <a:gd name="T53" fmla="*/ 0 h 31"/>
                              <a:gd name="T54" fmla="*/ 1238 w 1680"/>
                              <a:gd name="T55" fmla="*/ 31 h 31"/>
                              <a:gd name="T56" fmla="*/ 1111 w 1680"/>
                              <a:gd name="T57" fmla="*/ 31 h 31"/>
                              <a:gd name="T58" fmla="*/ 1111 w 1680"/>
                              <a:gd name="T59" fmla="*/ 0 h 31"/>
                              <a:gd name="T60" fmla="*/ 1333 w 1680"/>
                              <a:gd name="T61" fmla="*/ 0 h 31"/>
                              <a:gd name="T62" fmla="*/ 1460 w 1680"/>
                              <a:gd name="T63" fmla="*/ 0 h 31"/>
                              <a:gd name="T64" fmla="*/ 1460 w 1680"/>
                              <a:gd name="T65" fmla="*/ 31 h 31"/>
                              <a:gd name="T66" fmla="*/ 1333 w 1680"/>
                              <a:gd name="T67" fmla="*/ 31 h 31"/>
                              <a:gd name="T68" fmla="*/ 1333 w 1680"/>
                              <a:gd name="T69" fmla="*/ 0 h 31"/>
                              <a:gd name="T70" fmla="*/ 1555 w 1680"/>
                              <a:gd name="T71" fmla="*/ 0 h 31"/>
                              <a:gd name="T72" fmla="*/ 1680 w 1680"/>
                              <a:gd name="T73" fmla="*/ 0 h 31"/>
                              <a:gd name="T74" fmla="*/ 1680 w 1680"/>
                              <a:gd name="T75" fmla="*/ 31 h 31"/>
                              <a:gd name="T76" fmla="*/ 1555 w 1680"/>
                              <a:gd name="T77" fmla="*/ 31 h 31"/>
                              <a:gd name="T78" fmla="*/ 1555 w 1680"/>
                              <a:gd name="T79" fmla="*/ 0 h 3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Lst>
                            <a:rect l="0" t="0" r="r" b="b"/>
                            <a:pathLst>
                              <a:path w="1680" h="31">
                                <a:moveTo>
                                  <a:pt x="0" y="0"/>
                                </a:moveTo>
                                <a:lnTo>
                                  <a:pt x="127" y="0"/>
                                </a:lnTo>
                                <a:lnTo>
                                  <a:pt x="127" y="31"/>
                                </a:lnTo>
                                <a:lnTo>
                                  <a:pt x="0" y="31"/>
                                </a:lnTo>
                                <a:lnTo>
                                  <a:pt x="0" y="0"/>
                                </a:lnTo>
                                <a:close/>
                                <a:moveTo>
                                  <a:pt x="223" y="0"/>
                                </a:moveTo>
                                <a:lnTo>
                                  <a:pt x="350" y="0"/>
                                </a:lnTo>
                                <a:lnTo>
                                  <a:pt x="350" y="31"/>
                                </a:lnTo>
                                <a:lnTo>
                                  <a:pt x="223" y="31"/>
                                </a:lnTo>
                                <a:lnTo>
                                  <a:pt x="223" y="0"/>
                                </a:lnTo>
                                <a:close/>
                                <a:moveTo>
                                  <a:pt x="445" y="0"/>
                                </a:moveTo>
                                <a:lnTo>
                                  <a:pt x="572" y="0"/>
                                </a:lnTo>
                                <a:lnTo>
                                  <a:pt x="572" y="31"/>
                                </a:lnTo>
                                <a:lnTo>
                                  <a:pt x="445" y="31"/>
                                </a:lnTo>
                                <a:lnTo>
                                  <a:pt x="445" y="0"/>
                                </a:lnTo>
                                <a:close/>
                                <a:moveTo>
                                  <a:pt x="667" y="0"/>
                                </a:moveTo>
                                <a:lnTo>
                                  <a:pt x="794" y="0"/>
                                </a:lnTo>
                                <a:lnTo>
                                  <a:pt x="794" y="31"/>
                                </a:lnTo>
                                <a:lnTo>
                                  <a:pt x="667" y="31"/>
                                </a:lnTo>
                                <a:lnTo>
                                  <a:pt x="667" y="0"/>
                                </a:lnTo>
                                <a:close/>
                                <a:moveTo>
                                  <a:pt x="889" y="0"/>
                                </a:moveTo>
                                <a:lnTo>
                                  <a:pt x="1016" y="0"/>
                                </a:lnTo>
                                <a:lnTo>
                                  <a:pt x="1016" y="31"/>
                                </a:lnTo>
                                <a:lnTo>
                                  <a:pt x="889" y="31"/>
                                </a:lnTo>
                                <a:lnTo>
                                  <a:pt x="889" y="0"/>
                                </a:lnTo>
                                <a:close/>
                                <a:moveTo>
                                  <a:pt x="1111" y="0"/>
                                </a:moveTo>
                                <a:lnTo>
                                  <a:pt x="1238" y="0"/>
                                </a:lnTo>
                                <a:lnTo>
                                  <a:pt x="1238" y="31"/>
                                </a:lnTo>
                                <a:lnTo>
                                  <a:pt x="1111" y="31"/>
                                </a:lnTo>
                                <a:lnTo>
                                  <a:pt x="1111" y="0"/>
                                </a:lnTo>
                                <a:close/>
                                <a:moveTo>
                                  <a:pt x="1333" y="0"/>
                                </a:moveTo>
                                <a:lnTo>
                                  <a:pt x="1460" y="0"/>
                                </a:lnTo>
                                <a:lnTo>
                                  <a:pt x="1460" y="31"/>
                                </a:lnTo>
                                <a:lnTo>
                                  <a:pt x="1333" y="31"/>
                                </a:lnTo>
                                <a:lnTo>
                                  <a:pt x="1333" y="0"/>
                                </a:lnTo>
                                <a:close/>
                                <a:moveTo>
                                  <a:pt x="1555" y="0"/>
                                </a:moveTo>
                                <a:lnTo>
                                  <a:pt x="1680" y="0"/>
                                </a:lnTo>
                                <a:lnTo>
                                  <a:pt x="1680" y="31"/>
                                </a:lnTo>
                                <a:lnTo>
                                  <a:pt x="1555" y="31"/>
                                </a:lnTo>
                                <a:lnTo>
                                  <a:pt x="1555" y="0"/>
                                </a:lnTo>
                                <a:close/>
                              </a:path>
                            </a:pathLst>
                          </a:custGeom>
                          <a:solidFill>
                            <a:srgbClr val="FF0000"/>
                          </a:solidFill>
                          <a:ln w="635" cap="flat">
                            <a:solidFill>
                              <a:srgbClr val="FF0000"/>
                            </a:solidFill>
                            <a:prstDash val="solid"/>
                            <a:round/>
                            <a:headEnd/>
                            <a:tailEnd/>
                          </a:ln>
                        </wps:spPr>
                        <wps:bodyPr rot="0" vert="horz" wrap="square" lIns="91440" tIns="45720" rIns="91440" bIns="45720" anchor="t" anchorCtr="0" upright="1">
                          <a:noAutofit/>
                        </wps:bodyPr>
                      </wps:wsp>
                      <wps:wsp>
                        <wps:cNvPr id="1561" name="テキスト ボックス 2"/>
                        <wps:cNvSpPr txBox="1">
                          <a:spLocks noChangeArrowheads="1"/>
                        </wps:cNvSpPr>
                        <wps:spPr bwMode="auto">
                          <a:xfrm>
                            <a:off x="292100" y="3259454"/>
                            <a:ext cx="1192530" cy="544831"/>
                          </a:xfrm>
                          <a:prstGeom prst="rect">
                            <a:avLst/>
                          </a:prstGeom>
                          <a:solidFill>
                            <a:srgbClr val="FFFFFF"/>
                          </a:solidFill>
                          <a:ln w="9525">
                            <a:solidFill>
                              <a:srgbClr val="000000"/>
                            </a:solidFill>
                            <a:miter lim="800000"/>
                            <a:headEnd/>
                            <a:tailEnd/>
                          </a:ln>
                        </wps:spPr>
                        <wps:txbx>
                          <w:txbxContent>
                            <w:p w14:paraId="18865A4A" w14:textId="77777777" w:rsidR="00ED4674" w:rsidRDefault="00ED4674" w:rsidP="00ED4674">
                              <w:pPr>
                                <w:jc w:val="center"/>
                                <w:rPr>
                                  <w:sz w:val="16"/>
                                  <w:szCs w:val="16"/>
                                </w:rPr>
                              </w:pPr>
                              <w:r>
                                <w:rPr>
                                  <w:rFonts w:hint="eastAsia"/>
                                  <w:sz w:val="16"/>
                                  <w:szCs w:val="16"/>
                                </w:rPr>
                                <w:t>・周辺関係市</w:t>
                              </w:r>
                            </w:p>
                            <w:p w14:paraId="754292AF" w14:textId="77777777" w:rsidR="00ED4674" w:rsidRDefault="00ED4674" w:rsidP="00ED4674">
                              <w:pPr>
                                <w:jc w:val="center"/>
                                <w:rPr>
                                  <w:sz w:val="16"/>
                                  <w:szCs w:val="16"/>
                                </w:rPr>
                              </w:pPr>
                              <w:r>
                                <w:rPr>
                                  <w:rFonts w:hint="eastAsia"/>
                                  <w:sz w:val="16"/>
                                  <w:szCs w:val="16"/>
                                </w:rPr>
                                <w:t>・指定地方公共機関</w:t>
                              </w:r>
                            </w:p>
                          </w:txbxContent>
                        </wps:txbx>
                        <wps:bodyPr rot="0" vert="horz" wrap="square" lIns="91440" tIns="45720" rIns="91440" bIns="45720" anchor="t" anchorCtr="0">
                          <a:noAutofit/>
                        </wps:bodyPr>
                      </wps:wsp>
                    </wpc:wpc>
                  </a:graphicData>
                </a:graphic>
                <wp14:sizeRelH relativeFrom="page">
                  <wp14:pctWidth>0</wp14:pctWidth>
                </wp14:sizeRelH>
                <wp14:sizeRelV relativeFrom="page">
                  <wp14:pctHeight>0</wp14:pctHeight>
                </wp14:sizeRelV>
              </wp:anchor>
            </w:drawing>
          </mc:Choice>
          <mc:Fallback xmlns:w16cei="http://schemas.microsoft.com/office/word/2026/wordml/cei">
            <w:pict>
              <v:group w14:anchorId="79F6635B" id="キャンバス 4325" o:spid="_x0000_s1857" editas="canvas" style="position:absolute;left:0;text-align:left;margin-left:-42pt;margin-top:16.45pt;width:510.4pt;height:343.6pt;z-index:254371840;mso-position-horizontal-relative:text;mso-position-vertical-relative:text" coordsize="64820,4363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">
                <v:shape id="_x0000_s1858" type="#_x0000_t75" style="position:absolute;width:64820;height:43637;visibility:visible;mso-wrap-style:square">
                  <v:fill o:detectmouseclick="t"/>
                  <v:path o:connecttype="none"/>
                </v:shape>
                <v:rect id="Rectangle 101" o:spid="_x0000_s1859" style="position:absolute;left:34455;top:5060;width:8185;height:2242;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" filled="f" stroked="f">
                  <v:textbox style="mso-fit-shape-to-text:t" inset="0,0,0,0">
                    <w:txbxContent>
                      <w:p w14:paraId="522E3A68" w14:textId="77777777" w:rsidR="003C47E9" w:rsidRDefault="003C47E9" w:rsidP="003C47E9">
                        <w:r>
                          <w:rPr>
                            <w:rFonts w:ascii="ＭＳ Ｐゴシック" w:eastAsia="ＭＳ Ｐゴシック" w:cs="ＭＳ Ｐゴシック" w:hint="eastAsia"/>
                            <w:color w:val="000000"/>
                            <w:kern w:val="0"/>
                            <w:sz w:val="16"/>
                            <w:szCs w:val="16"/>
                          </w:rPr>
                          <w:t>原子力規制委員会</w:t>
                        </w:r>
                      </w:p>
                    </w:txbxContent>
                  </v:textbox>
                </v:rect>
                <v:rect id="Rectangle 102" o:spid="_x0000_s1860" style="position:absolute;left:23310;top:8159;width:30690;height:2242;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" filled="f" stroked="f">
                  <v:textbox style="mso-fit-shape-to-text:t" inset="0,0,0,0">
                    <w:txbxContent>
                      <w:p w14:paraId="5283934D" w14:textId="77777777" w:rsidR="003C47E9" w:rsidRDefault="003C47E9" w:rsidP="003C47E9">
                        <w:r>
                          <w:rPr>
                            <w:rFonts w:ascii="ＭＳ Ｐゴシック" w:eastAsia="ＭＳ Ｐゴシック" w:cs="ＭＳ Ｐゴシック" w:hint="eastAsia"/>
                            <w:color w:val="000000"/>
                            <w:kern w:val="0"/>
                            <w:sz w:val="16"/>
                            <w:szCs w:val="16"/>
                          </w:rPr>
                          <w:t>熊取原子力規制事務所（原子力防災専門官）（上席放射線防災専門官）</w:t>
                        </w:r>
                      </w:p>
                    </w:txbxContent>
                  </v:textbox>
                </v:rect>
                <v:rect id="Rectangle 103" o:spid="_x0000_s1861" style="position:absolute;left:36271;top:11264;width:4426;height:2242;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" filled="f" stroked="f">
                  <v:textbox style="mso-fit-shape-to-text:t" inset="0,0,0,0">
                    <w:txbxContent>
                      <w:p w14:paraId="2F5253E9" w14:textId="77777777" w:rsidR="003C47E9" w:rsidRDefault="003C47E9" w:rsidP="003C47E9">
                        <w:r>
                          <w:rPr>
                            <w:rFonts w:ascii="ＭＳ Ｐゴシック" w:eastAsia="ＭＳ Ｐゴシック" w:cs="ＭＳ Ｐゴシック" w:hint="eastAsia"/>
                            <w:color w:val="000000"/>
                            <w:kern w:val="0"/>
                            <w:sz w:val="16"/>
                            <w:szCs w:val="16"/>
                          </w:rPr>
                          <w:t>大　阪　府</w:t>
                        </w:r>
                      </w:p>
                    </w:txbxContent>
                  </v:textbox>
                </v:rect>
                <v:rect id="Rectangle 104" o:spid="_x0000_s1862" style="position:absolute;left:35464;top:14363;width:6128;height:2242;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" filled="f" stroked="f">
                  <v:textbox style="mso-fit-shape-to-text:t" inset="0,0,0,0">
                    <w:txbxContent>
                      <w:p w14:paraId="6E7EA596" w14:textId="77777777" w:rsidR="003C47E9" w:rsidRDefault="003C47E9" w:rsidP="003C47E9">
                        <w:r>
                          <w:rPr>
                            <w:rFonts w:ascii="ＭＳ Ｐゴシック" w:eastAsia="ＭＳ Ｐゴシック" w:cs="ＭＳ Ｐゴシック" w:hint="eastAsia"/>
                            <w:color w:val="000000"/>
                            <w:kern w:val="0"/>
                            <w:sz w:val="16"/>
                            <w:szCs w:val="16"/>
                          </w:rPr>
                          <w:t>関　係　市　町</w:t>
                        </w:r>
                      </w:p>
                    </w:txbxContent>
                  </v:textbox>
                </v:rect>
                <v:rect id="Rectangle 105" o:spid="_x0000_s1863" style="position:absolute;left:20758;top:17468;width:35801;height:2242;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" filled="f" stroked="f">
                  <v:textbox style="mso-fit-shape-to-text:t" inset="0,0,0,0">
                    <w:txbxContent>
                      <w:p w14:paraId="16B80561" w14:textId="77777777" w:rsidR="003C47E9" w:rsidRDefault="003C47E9" w:rsidP="003C47E9">
                        <w:r>
                          <w:rPr>
                            <w:rFonts w:ascii="ＭＳ Ｐゴシック" w:eastAsia="ＭＳ Ｐゴシック" w:cs="ＭＳ Ｐゴシック" w:hint="eastAsia"/>
                            <w:color w:val="000000"/>
                            <w:kern w:val="0"/>
                            <w:sz w:val="16"/>
                            <w:szCs w:val="16"/>
                          </w:rPr>
                          <w:t>内閣官房（内閣情報集約センター）（内閣官房副長官補（事態対処・危機管理担当））</w:t>
                        </w:r>
                      </w:p>
                    </w:txbxContent>
                  </v:textbox>
                </v:rect>
                <v:rect id="Rectangle 106" o:spid="_x0000_s1864" style="position:absolute;left:5911;top:19424;width:6141;height:2242;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" filled="f" stroked="f">
                  <v:textbox style="mso-fit-shape-to-text:t" inset="0,0,0,0">
                    <w:txbxContent>
                      <w:p w14:paraId="6B951D7D" w14:textId="77777777" w:rsidR="003C47E9" w:rsidRDefault="003C47E9" w:rsidP="003C47E9">
                        <w:r>
                          <w:rPr>
                            <w:rFonts w:ascii="ＭＳ Ｐゴシック" w:eastAsia="ＭＳ Ｐゴシック" w:cs="ＭＳ Ｐゴシック" w:hint="eastAsia"/>
                            <w:color w:val="000000"/>
                            <w:kern w:val="0"/>
                            <w:sz w:val="16"/>
                            <w:szCs w:val="16"/>
                          </w:rPr>
                          <w:t>原子力事業者</w:t>
                        </w:r>
                      </w:p>
                    </w:txbxContent>
                  </v:textbox>
                </v:rect>
                <v:rect id="Rectangle 107" o:spid="_x0000_s1865" style="position:absolute;left:4978;top:20574;width:8185;height:2241;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" filled="f" stroked="f">
                  <v:textbox style="mso-fit-shape-to-text:t" inset="0,0,0,0">
                    <w:txbxContent>
                      <w:p w14:paraId="589D1E3D" w14:textId="77777777" w:rsidR="003C47E9" w:rsidRDefault="003C47E9" w:rsidP="003C47E9">
                        <w:r>
                          <w:rPr>
                            <w:rFonts w:ascii="ＭＳ Ｐゴシック" w:eastAsia="ＭＳ Ｐゴシック" w:cs="ＭＳ Ｐゴシック" w:hint="eastAsia"/>
                            <w:color w:val="000000"/>
                            <w:kern w:val="0"/>
                            <w:sz w:val="16"/>
                            <w:szCs w:val="16"/>
                          </w:rPr>
                          <w:t>原子力防災管理者</w:t>
                        </w:r>
                      </w:p>
                    </w:txbxContent>
                  </v:textbox>
                </v:rect>
                <v:rect id="Rectangle 108" o:spid="_x0000_s1866" style="position:absolute;left:25323;top:20574;width:26600;height:2241;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" filled="f" stroked="f">
                  <v:textbox style="mso-fit-shape-to-text:t" inset="0,0,0,0">
                    <w:txbxContent>
                      <w:p w14:paraId="2B013D02" w14:textId="77777777" w:rsidR="003C47E9" w:rsidRDefault="003C47E9" w:rsidP="003C47E9">
                        <w:r>
                          <w:rPr>
                            <w:rFonts w:ascii="ＭＳ Ｐゴシック" w:eastAsia="ＭＳ Ｐゴシック" w:cs="ＭＳ Ｐゴシック" w:hint="eastAsia"/>
                            <w:color w:val="000000"/>
                            <w:kern w:val="0"/>
                            <w:sz w:val="16"/>
                            <w:szCs w:val="16"/>
                          </w:rPr>
                          <w:t>内閣府政策統括官（原子力防災担当）付参事官（総括担当）付</w:t>
                        </w:r>
                      </w:p>
                    </w:txbxContent>
                  </v:textbox>
                </v:rect>
                <v:rect id="Rectangle 109" o:spid="_x0000_s1867" style="position:absolute;left:33788;top:23672;width:9531;height:2242;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" filled="f" stroked="f">
                  <v:textbox style="mso-fit-shape-to-text:t" inset="0,0,0,0">
                    <w:txbxContent>
                      <w:p w14:paraId="125BAD30" w14:textId="77777777" w:rsidR="003C47E9" w:rsidRDefault="003C47E9" w:rsidP="003C47E9">
                        <w:r>
                          <w:rPr>
                            <w:rFonts w:ascii="ＭＳ Ｐゴシック" w:eastAsia="ＭＳ Ｐゴシック" w:cs="ＭＳ Ｐゴシック" w:hint="eastAsia"/>
                            <w:color w:val="000000"/>
                            <w:kern w:val="0"/>
                            <w:sz w:val="16"/>
                            <w:szCs w:val="16"/>
                          </w:rPr>
                          <w:t>関　係　消　防　機　関</w:t>
                        </w:r>
                      </w:p>
                    </w:txbxContent>
                  </v:textbox>
                </v:rect>
                <v:rect id="Rectangle 110" o:spid="_x0000_s1868" style="position:absolute;left:32289;top:25482;width:12281;height:2242;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" filled="f" stroked="f">
                  <v:textbox style="mso-fit-shape-to-text:t" inset="0,0,0,0">
                    <w:txbxContent>
                      <w:p w14:paraId="13BB8BBD" w14:textId="77777777" w:rsidR="003C47E9" w:rsidRDefault="003C47E9" w:rsidP="003C47E9">
                        <w:r>
                          <w:rPr>
                            <w:rFonts w:ascii="ＭＳ Ｐゴシック" w:eastAsia="ＭＳ Ｐゴシック" w:cs="ＭＳ Ｐゴシック" w:hint="eastAsia"/>
                            <w:color w:val="000000"/>
                            <w:kern w:val="0"/>
                            <w:sz w:val="16"/>
                            <w:szCs w:val="16"/>
                          </w:rPr>
                          <w:t>原子力災害現地対策本部等</w:t>
                        </w:r>
                      </w:p>
                    </w:txbxContent>
                  </v:textbox>
                </v:rect>
                <v:rect id="Rectangle 111" o:spid="_x0000_s1869" style="position:absolute;left:33521;top:26771;width:11633;height:2242;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" filled="f" stroked="f">
                  <v:textbox style="mso-fit-shape-to-text:t" inset="0,0,0,0">
                    <w:txbxContent>
                      <w:p w14:paraId="3B5A2341" w14:textId="77777777" w:rsidR="003C47E9" w:rsidRDefault="003C47E9" w:rsidP="003C47E9">
                        <w:r>
                          <w:rPr>
                            <w:rFonts w:ascii="ＭＳ Ｐゴシック" w:eastAsia="ＭＳ Ｐゴシック" w:cs="ＭＳ Ｐゴシック" w:hint="eastAsia"/>
                            <w:color w:val="000000"/>
                            <w:kern w:val="0"/>
                            <w:sz w:val="16"/>
                            <w:szCs w:val="16"/>
                          </w:rPr>
                          <w:t>（オフサイトセンター内）</w:t>
                        </w:r>
                        <w:r w:rsidRPr="00E0548A">
                          <w:rPr>
                            <w:rFonts w:ascii="ＭＳ Ｐゴシック" w:eastAsia="ＭＳ Ｐゴシック" w:cs="ＭＳ Ｐゴシック" w:hint="eastAsia"/>
                            <w:kern w:val="0"/>
                            <w:sz w:val="16"/>
                            <w:szCs w:val="16"/>
                          </w:rPr>
                          <w:t>※１</w:t>
                        </w:r>
                      </w:p>
                    </w:txbxContent>
                  </v:textbox>
                </v:rect>
                <v:rect id="Rectangle 112" o:spid="_x0000_s1870" style="position:absolute;left:34925;top:29876;width:7162;height:2242;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" filled="f" stroked="f">
                  <v:textbox style="mso-fit-shape-to-text:t" inset="0,0,0,0">
                    <w:txbxContent>
                      <w:p w14:paraId="0F1D2C88" w14:textId="77777777" w:rsidR="003C47E9" w:rsidRDefault="003C47E9" w:rsidP="003C47E9">
                        <w:r>
                          <w:rPr>
                            <w:rFonts w:ascii="ＭＳ Ｐゴシック" w:eastAsia="ＭＳ Ｐゴシック" w:cs="ＭＳ Ｐゴシック" w:hint="eastAsia"/>
                            <w:color w:val="000000"/>
                            <w:kern w:val="0"/>
                            <w:sz w:val="16"/>
                            <w:szCs w:val="16"/>
                          </w:rPr>
                          <w:t>大阪府警察本部</w:t>
                        </w:r>
                      </w:p>
                    </w:txbxContent>
                  </v:textbox>
                </v:rect>
                <v:rect id="Rectangle 113" o:spid="_x0000_s1871" style="position:absolute;left:34594;top:32981;width:7830;height:2242;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" filled="f" stroked="f">
                  <v:textbox style="mso-fit-shape-to-text:t" inset="0,0,0,0">
                    <w:txbxContent>
                      <w:p w14:paraId="1BF5CF9C" w14:textId="77777777" w:rsidR="003C47E9" w:rsidRDefault="003C47E9" w:rsidP="003C47E9">
                        <w:r>
                          <w:rPr>
                            <w:rFonts w:ascii="ＭＳ Ｐゴシック" w:eastAsia="ＭＳ Ｐゴシック" w:cs="ＭＳ Ｐゴシック" w:hint="eastAsia"/>
                            <w:color w:val="000000"/>
                            <w:kern w:val="0"/>
                            <w:sz w:val="16"/>
                            <w:szCs w:val="16"/>
                          </w:rPr>
                          <w:t>所　轄　警　察　署</w:t>
                        </w:r>
                      </w:p>
                    </w:txbxContent>
                  </v:textbox>
                </v:rect>
                <v:rect id="Rectangle 114" o:spid="_x0000_s1872" style="position:absolute;left:32708;top:36087;width:11684;height:2241;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" filled="f" stroked="f">
                  <v:textbox style="mso-fit-shape-to-text:t" inset="0,0,0,0">
                    <w:txbxContent>
                      <w:p w14:paraId="3434293B" w14:textId="77777777" w:rsidR="003C47E9" w:rsidRDefault="003C47E9" w:rsidP="003C47E9">
                        <w:r>
                          <w:rPr>
                            <w:rFonts w:ascii="ＭＳ Ｐゴシック" w:eastAsia="ＭＳ Ｐゴシック" w:cs="ＭＳ Ｐゴシック" w:hint="eastAsia"/>
                            <w:color w:val="000000"/>
                            <w:kern w:val="0"/>
                            <w:sz w:val="16"/>
                            <w:szCs w:val="16"/>
                          </w:rPr>
                          <w:t>最寄りの海上保安部署※２</w:t>
                        </w:r>
                      </w:p>
                    </w:txbxContent>
                  </v:textbox>
                </v:rect>
                <v:rect id="Rectangle 115" o:spid="_x0000_s1873" style="position:absolute;left:33985;top:39185;width:9125;height:2242;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" filled="f" stroked="f">
                  <v:textbox style="mso-fit-shape-to-text:t" inset="0,0,0,0">
                    <w:txbxContent>
                      <w:p w14:paraId="40C289BD" w14:textId="77777777" w:rsidR="003C47E9" w:rsidRDefault="003C47E9" w:rsidP="003C47E9">
                        <w:r>
                          <w:rPr>
                            <w:rFonts w:ascii="ＭＳ Ｐゴシック" w:eastAsia="ＭＳ Ｐゴシック" w:cs="ＭＳ Ｐゴシック" w:hint="eastAsia"/>
                            <w:color w:val="000000"/>
                            <w:kern w:val="0"/>
                            <w:sz w:val="16"/>
                            <w:szCs w:val="16"/>
                          </w:rPr>
                          <w:t>その他防災関係機関</w:t>
                        </w:r>
                      </w:p>
                    </w:txbxContent>
                  </v:textbox>
                </v:rect>
                <v:rect id="Rectangle 116" o:spid="_x0000_s1874" style="position:absolute;left:35667;top:2089;width:5633;height:2241;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" filled="f" stroked="f">
                  <v:textbox style="mso-fit-shape-to-text:t" inset="0,0,0,0">
                    <w:txbxContent>
                      <w:p w14:paraId="459F003D" w14:textId="77777777" w:rsidR="003C47E9" w:rsidRDefault="003C47E9" w:rsidP="003C47E9">
                        <w:r>
                          <w:rPr>
                            <w:rFonts w:ascii="ＭＳ Ｐゴシック" w:eastAsia="ＭＳ Ｐゴシック" w:cs="ＭＳ Ｐゴシック" w:hint="eastAsia"/>
                            <w:color w:val="000000"/>
                            <w:kern w:val="0"/>
                            <w:sz w:val="16"/>
                            <w:szCs w:val="16"/>
                          </w:rPr>
                          <w:t>連絡・通報先</w:t>
                        </w:r>
                      </w:p>
                    </w:txbxContent>
                  </v:textbox>
                </v:rect>
                <v:line id="Line 117" o:spid="_x0000_s1875" style="position:absolute;visibility:visible;mso-wrap-style:square" from="19748,1212" to="57296,121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" strokeweight="0"/>
                <v:rect id="Rectangle 118" o:spid="_x0000_s1876" style="position:absolute;left:19748;top:1212;width:37548;height: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" fillcolor="black" stroked="f"/>
                <v:line id="Line 121" o:spid="_x0000_s1877" style="position:absolute;visibility:visible;mso-wrap-style:square" from="19748,3911" to="57296,391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" strokeweight="0"/>
                <v:rect id="Rectangle 122" o:spid="_x0000_s1878" style="position:absolute;left:19748;top:3911;width:37548;height: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" fillcolor="black" stroked="f"/>
                <v:line id="Line 129" o:spid="_x0000_s1879" style="position:absolute;visibility:visible;mso-wrap-style:square" from="19748,7016" to="57296,701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" strokeweight="0"/>
                <v:rect id="Rectangle 130" o:spid="_x0000_s1880" style="position:absolute;left:19748;top:7016;width:37548;height:6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" fillcolor="black" stroked="f"/>
                <v:line id="Line 131" o:spid="_x0000_s1881" style="position:absolute;visibility:visible;mso-wrap-style:square" from="19748,10115" to="57296,1011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" strokeweight="0"/>
                <v:rect id="Rectangle 132" o:spid="_x0000_s1882" style="position:absolute;left:19748;top:10115;width:37548;height: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" fillcolor="black" stroked="f"/>
                <v:line id="Line 133" o:spid="_x0000_s1883" style="position:absolute;visibility:visible;mso-wrap-style:square" from="19748,13220" to="57296,1322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" strokeweight="0"/>
                <v:rect id="Rectangle 134" o:spid="_x0000_s1884" style="position:absolute;left:19748;top:13220;width:37548;height: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" fillcolor="black" stroked="f"/>
                <v:line id="Line 135" o:spid="_x0000_s1885" style="position:absolute;visibility:visible;mso-wrap-style:square" from="19748,16319" to="57296,1631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" strokeweight="0"/>
                <v:rect id="Rectangle 136" o:spid="_x0000_s1886" style="position:absolute;left:19748;top:16319;width:37548;height: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" fillcolor="black" stroked="f"/>
                <v:line id="Line 137" o:spid="_x0000_s1887" style="position:absolute;visibility:visible;mso-wrap-style:square" from="3022,19424" to="14909,1942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" strokeweight="0"/>
                <v:rect id="Rectangle 138" o:spid="_x0000_s1888" style="position:absolute;left:3022;top:19424;width:11887;height: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" fillcolor="black" stroked="f"/>
                <v:line id="Line 139" o:spid="_x0000_s1889" style="position:absolute;visibility:visible;mso-wrap-style:square" from="19748,19424" to="57296,1942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" strokeweight="0"/>
                <v:rect id="Rectangle 140" o:spid="_x0000_s1890" style="position:absolute;left:19748;top:19424;width:37548;height: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" fillcolor="black" stroked="f"/>
                <v:line id="Line 141" o:spid="_x0000_s1891" style="position:absolute;visibility:visible;mso-wrap-style:square" from="2952,19424" to="2952,2259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" strokeweight="0"/>
                <v:rect id="Rectangle 142" o:spid="_x0000_s1892" style="position:absolute;left:2952;top:19424;width:70;height:316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" fillcolor="black" stroked="f"/>
                <v:line id="Line 143" o:spid="_x0000_s1893" style="position:absolute;visibility:visible;mso-wrap-style:square" from="3022,22529" to="14909,2252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" strokeweight="0"/>
                <v:rect id="Rectangle 144" o:spid="_x0000_s1894" style="position:absolute;left:3022;top:22529;width:11887;height:6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" fillcolor="black" stroked="f"/>
                <v:line id="Line 145" o:spid="_x0000_s1895" style="position:absolute;visibility:visible;mso-wrap-style:square" from="14846,19494" to="14846,2259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" strokeweight="0"/>
                <v:rect id="Rectangle 146" o:spid="_x0000_s1896" style="position:absolute;left:14846;top:19494;width:63;height:309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" fillcolor="black" stroked="f"/>
                <v:line id="Line 147" o:spid="_x0000_s1897" style="position:absolute;visibility:visible;mso-wrap-style:square" from="19748,22529" to="57296,2252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" strokeweight="0"/>
                <v:rect id="Rectangle 148" o:spid="_x0000_s1898" style="position:absolute;left:19748;top:22529;width:37548;height:6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" fillcolor="black" stroked="f"/>
                <v:line id="Line 149" o:spid="_x0000_s1899" style="position:absolute;visibility:visible;mso-wrap-style:square" from="19748,25628" to="57296,2562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" strokeweight="0"/>
                <v:rect id="Rectangle 150" o:spid="_x0000_s1900" style="position:absolute;left:19748;top:25628;width:37548;height: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" fillcolor="black" stroked="f"/>
                <v:line id="Line 151" o:spid="_x0000_s1901" style="position:absolute;visibility:visible;mso-wrap-style:square" from="19748,28733" to="57296,2873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" strokeweight="0"/>
                <v:rect id="Rectangle 152" o:spid="_x0000_s1902" style="position:absolute;left:19748;top:28733;width:37548;height: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" fillcolor="black" stroked="f"/>
                <v:line id="Line 153" o:spid="_x0000_s1903" style="position:absolute;visibility:visible;mso-wrap-style:square" from="19748,31832" to="57296,3183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" strokeweight="0"/>
                <v:rect id="Rectangle 154" o:spid="_x0000_s1904" style="position:absolute;left:19748;top:31832;width:37548;height: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" fillcolor="black" stroked="f"/>
                <v:line id="Line 155" o:spid="_x0000_s1905" style="position:absolute;visibility:visible;mso-wrap-style:square" from="19748,34937" to="57296,3493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" strokeweight="0"/>
                <v:rect id="Rectangle 156" o:spid="_x0000_s1906" style="position:absolute;left:19748;top:34937;width:37548;height: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" fillcolor="black" stroked="f"/>
                <v:line id="Line 157" o:spid="_x0000_s1907" style="position:absolute;visibility:visible;mso-wrap-style:square" from="19748,38042" to="57296,3804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" strokeweight="0"/>
                <v:rect id="Rectangle 158" o:spid="_x0000_s1908" style="position:absolute;left:19748;top:38042;width:37548;height:6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" fillcolor="black" stroked="f"/>
                <v:line id="Line 159" o:spid="_x0000_s1909" style="position:absolute;visibility:visible;mso-wrap-style:square" from="19678,1212" to="19678,4121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" strokeweight="0"/>
                <v:rect id="Rectangle 160" o:spid="_x0000_s1910" style="position:absolute;left:19678;top:1212;width:70;height:3999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" fillcolor="black" stroked="f"/>
                <v:line id="Line 161" o:spid="_x0000_s1911" style="position:absolute;visibility:visible;mso-wrap-style:square" from="19748,41141" to="57296,4114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" strokeweight="0"/>
                <v:rect id="Rectangle 162" o:spid="_x0000_s1912" style="position:absolute;left:19748;top:41141;width:37548;height: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" fillcolor="black" stroked="f"/>
                <v:line id="Line 163" o:spid="_x0000_s1913" style="position:absolute;visibility:visible;mso-wrap-style:square" from="57226,1282" to="57226,4121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" strokeweight="0"/>
                <v:rect id="Rectangle 164" o:spid="_x0000_s1914" style="position:absolute;left:57226;top:1282;width:70;height:3992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" fillcolor="black" stroked="f"/>
                <v:shape id="Freeform 165" o:spid="_x0000_s1915" style="position:absolute;left:14846;top:20764;width:4585;height:699;visibility:visible;mso-wrap-style:square;v-text-anchor:top" coordsize="1092,16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" path="m,75r1076,l1076,91,,91,,75xm952,2r140,81l952,165v-4,2,-8,1,-11,-3c939,158,940,154,944,151l1072,77r,13l944,16c940,13,939,9,941,5v3,-4,7,-5,11,-3xe" fillcolor="black" strokeweight=".05pt">
                  <v:path arrowok="t" o:connecttype="custom" o:connectlocs="0,31370;451752,31370;451752,38062;0,38062;0,31370;399692,837;458470,34716;399692,69013;395074,67759;396333,63158;450073,32206;450073,37644;396333,6692;395074,2091;399692,837" o:connectangles="0,0,0,0,0,0,0,0,0,0,0,0,0,0,0"/>
                  <o:lock v:ext="edit" verticies="t"/>
                </v:shape>
                <v:line id="Line 166" o:spid="_x0000_s1916" style="position:absolute;visibility:visible;mso-wrap-style:square" from="17125,5397" to="17125,3992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" strokeweight=".55pt"/>
                <v:shape id="Freeform 167" o:spid="_x0000_s1917" style="position:absolute;left:17125;top:8083;width:2293;height:705;visibility:visible;mso-wrap-style:square;v-text-anchor:top" coordsize="546,16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" path="m,75r530,l530,91,,91,,75xm406,2l546,83,406,165v-3,2,-8,1,-11,-3c393,158,395,154,398,151l526,77r,13l398,16c395,13,393,9,395,5v3,-4,8,-5,11,-3xe" fillcolor="black" strokeweight=".05pt">
                  <v:path arrowok="t" o:connecttype="custom" o:connectlocs="0,31655;222517,31655;222517,38408;0,38408;0,31655;170457,844;229235,35031;170457,69641;165839,68375;167098,63732;220838,32499;220838,37986;167098,6753;165839,2110;170457,844" o:connectangles="0,0,0,0,0,0,0,0,0,0,0,0,0,0,0"/>
                  <o:lock v:ext="edit" verticies="t"/>
                </v:shape>
                <v:shape id="Freeform 168" o:spid="_x0000_s1918" style="position:absolute;left:17195;top:11385;width:2293;height:705;visibility:visible;mso-wrap-style:square;v-text-anchor:top" coordsize="546,16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" path="m,75r530,l530,91,,91,,75xm406,2l546,83,406,165v-3,2,-8,1,-11,-3c393,158,395,154,398,151l526,77r,13l398,16c395,13,393,9,395,5v3,-4,8,-5,11,-3xe" fillcolor="black" strokeweight=".05pt">
                  <v:path arrowok="t" o:connecttype="custom" o:connectlocs="0,31655;222517,31655;222517,38408;0,38408;0,31655;170457,844;229235,35031;170457,69641;165839,68375;167098,63732;220838,32499;220838,37986;167098,6753;165839,2110;170457,844" o:connectangles="0,0,0,0,0,0,0,0,0,0,0,0,0,0,0"/>
                  <o:lock v:ext="edit" verticies="t"/>
                </v:shape>
                <v:shape id="Freeform 169" o:spid="_x0000_s1919" style="position:absolute;left:17125;top:14554;width:2293;height:705;visibility:visible;mso-wrap-style:square;v-text-anchor:top" coordsize="546,16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" path="m,75r530,l530,91,,91,,75xm406,2l546,83,406,165v-3,2,-8,1,-11,-3c393,158,395,154,398,151l526,77r,13l398,16c395,13,393,9,395,5v3,-4,8,-5,11,-3xe" fillcolor="black" strokeweight=".05pt">
                  <v:path arrowok="t" o:connecttype="custom" o:connectlocs="0,31655;222517,31655;222517,38408;0,38408;0,31655;170457,844;229235,35031;170457,69641;165839,68375;167098,63732;220838,32499;220838,37986;167098,6753;165839,2110;170457,844" o:connectangles="0,0,0,0,0,0,0,0,0,0,0,0,0,0,0"/>
                  <o:lock v:ext="edit" verticies="t"/>
                </v:shape>
                <v:shape id="Freeform 170" o:spid="_x0000_s1920" style="position:absolute;left:17195;top:17589;width:2293;height:705;visibility:visible;mso-wrap-style:square;v-text-anchor:top" coordsize="546,16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" path="m,75r530,l530,91,,91,,75xm406,2l546,83,406,165v-3,2,-8,1,-11,-3c393,158,395,154,398,151l526,77r,13l398,16c395,13,393,9,395,5v3,-4,8,-5,11,-3xe" fillcolor="black" strokeweight=".05pt">
                  <v:path arrowok="t" o:connecttype="custom" o:connectlocs="0,31655;222517,31655;222517,38408;0,38408;0,31655;170457,844;229235,35031;170457,69641;165839,68375;167098,63732;220838,32499;220838,37986;167098,6753;165839,2110;170457,844" o:connectangles="0,0,0,0,0,0,0,0,0,0,0,0,0,0,0"/>
                  <o:lock v:ext="edit" verticies="t"/>
                </v:shape>
                <v:shape id="Freeform 171" o:spid="_x0000_s1921" style="position:absolute;left:17265;top:23863;width:2286;height:705;visibility:visible;mso-wrap-style:square;v-text-anchor:top" coordsize="546,16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" path="m,75r530,l530,91,,91,,75xm406,2l546,83,406,165v-3,2,-8,1,-11,-3c393,158,395,154,398,151l526,77r,13l398,16c395,13,393,9,395,5v3,-4,8,-5,11,-3xe" fillcolor="black" strokeweight=".05pt">
                  <v:path arrowok="t" o:connecttype="custom" o:connectlocs="0,31655;221901,31655;221901,38408;0,38408;0,31655;169985,844;228600,35031;169985,69641;165379,68375;166635,63732;220226,32499;220226,37986;166635,6753;165379,2110;169985,844" o:connectangles="0,0,0,0,0,0,0,0,0,0,0,0,0,0,0"/>
                  <o:lock v:ext="edit" verticies="t"/>
                </v:shape>
                <v:shape id="Freeform 172" o:spid="_x0000_s1922" style="position:absolute;left:17125;top:30067;width:2293;height:705;visibility:visible;mso-wrap-style:square;v-text-anchor:top" coordsize="546,16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" path="m,75r530,l530,91,,91,,75xm406,2l546,83,406,165v-3,2,-8,1,-11,-3c393,158,395,154,398,151l526,77r,13l398,16c395,13,393,9,395,5v3,-4,8,-5,11,-3xe" fillcolor="black" strokeweight=".05pt">
                  <v:path arrowok="t" o:connecttype="custom" o:connectlocs="0,31655;222517,31655;222517,38408;0,38408;0,31655;170457,844;229235,35031;170457,69641;165839,68375;167098,63732;220838,32499;220838,37986;167098,6753;165839,2110;170457,844" o:connectangles="0,0,0,0,0,0,0,0,0,0,0,0,0,0,0"/>
                  <o:lock v:ext="edit" verticies="t"/>
                </v:shape>
                <v:shape id="Freeform 173" o:spid="_x0000_s1923" style="position:absolute;left:17195;top:33305;width:2293;height:705;visibility:visible;mso-wrap-style:square;v-text-anchor:top" coordsize="546,16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" path="m,75r530,l530,91,,91,,75xm406,2l546,83,406,165v-3,2,-8,1,-11,-3c393,158,395,154,398,151l526,77r,13l398,16c395,13,393,9,395,5v3,-4,8,-5,11,-3xe" fillcolor="black" strokeweight=".05pt">
                  <v:path arrowok="t" o:connecttype="custom" o:connectlocs="0,31655;222517,31655;222517,38408;0,38408;0,31655;170457,844;229235,35031;170457,69641;165839,68375;167098,63732;220838,32499;220838,37986;167098,6753;165839,2110;170457,844" o:connectangles="0,0,0,0,0,0,0,0,0,0,0,0,0,0,0"/>
                  <o:lock v:ext="edit" verticies="t"/>
                </v:shape>
                <v:shape id="Freeform 174" o:spid="_x0000_s1924" style="position:absolute;left:17265;top:36137;width:2286;height:705;visibility:visible;mso-wrap-style:square;v-text-anchor:top" coordsize="546,16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" path="m,75r530,l530,91,,91,,75xm406,2l546,83,406,165v-3,2,-8,1,-11,-3c393,158,395,154,398,151r,l526,77r,13l398,16c395,13,393,9,395,5v3,-4,8,-5,11,-3xe" fillcolor="black" strokeweight=".05pt">
                  <v:path arrowok="t" o:connecttype="custom" o:connectlocs="0,31655;221901,31655;221901,38408;0,38408;0,31655;169985,844;228600,35031;169985,69641;165379,68375;166635,63732;166635,63732;220226,32499;220226,37986;166635,6753;165379,2110;169985,844" o:connectangles="0,0,0,0,0,0,0,0,0,0,0,0,0,0,0,0"/>
                  <o:lock v:ext="edit" verticies="t"/>
                </v:shape>
                <v:shape id="Freeform 175" o:spid="_x0000_s1925" style="position:absolute;left:17125;top:39509;width:2293;height:705;visibility:visible;mso-wrap-style:square;v-text-anchor:top" coordsize="546,16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" path="m,75r530,l530,91,,91,,75xm406,2l546,83,406,165v-3,2,-8,1,-11,-3c393,158,395,154,398,151r,l526,77r,13l398,16c395,13,393,9,395,5v3,-4,8,-5,11,-3xe" fillcolor="black" strokeweight=".05pt">
                  <v:path arrowok="t" o:connecttype="custom" o:connectlocs="0,31655;222517,31655;222517,38408;0,38408;0,31655;170457,844;229235,35031;170457,69641;165839,68375;167098,63732;167098,63732;220838,32499;220838,37986;167098,6753;165839,2110;170457,844" o:connectangles="0,0,0,0,0,0,0,0,0,0,0,0,0,0,0,0"/>
                  <o:lock v:ext="edit" verticies="t"/>
                </v:shape>
                <v:shape id="Freeform 176" o:spid="_x0000_s1926" style="position:absolute;left:17125;top:27031;width:2293;height:705;visibility:visible;mso-wrap-style:square;v-text-anchor:top" coordsize="546,16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" path="m,75r530,l530,91,,91,,75xm406,2l546,83,406,165v-3,2,-8,1,-11,-3c393,158,395,154,398,151l526,77r,13l398,16c395,13,393,9,395,5v3,-4,8,-5,11,-3xe" fillcolor="black" strokeweight=".05pt">
                  <v:path arrowok="t" o:connecttype="custom" o:connectlocs="0,31655;222517,31655;222517,38408;0,38408;0,31655;170457,844;229235,35031;170457,69641;165839,68375;167098,63732;220838,32499;220838,37986;167098,6753;165839,2110;170457,844" o:connectangles="0,0,0,0,0,0,0,0,0,0,0,0,0,0,0"/>
                  <o:lock v:ext="edit" verticies="t"/>
                </v:shape>
                <v:shape id="Freeform 177" o:spid="_x0000_s1927" style="position:absolute;left:17062;top:5111;width:2292;height:705;visibility:visible;mso-wrap-style:square;v-text-anchor:top" coordsize="546,16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" path="m,75r530,l530,91,,91,,75xm406,2l546,83,406,165v-3,2,-8,1,-11,-3c393,158,395,154,398,151l526,77r,13l398,16c395,13,393,9,395,5v3,-4,8,-5,11,-3xe" fillcolor="black" strokeweight=".05pt">
                  <v:path arrowok="t" o:connecttype="custom" o:connectlocs="0,31655;222517,31655;222517,38408;0,38408;0,31655;170457,844;229235,35031;170457,69641;165839,68375;167098,63732;220838,32499;220838,37986;167098,6753;165839,2110;170457,844" o:connectangles="0,0,0,0,0,0,0,0,0,0,0,0,0,0,0"/>
                  <o:lock v:ext="edit" verticies="t"/>
                </v:shape>
                <v:shape id="Freeform 178" o:spid="_x0000_s1928" style="position:absolute;left:8216;top:28213;width:940;height:3689;rotation:180;visibility:visible;mso-wrap-style:square;v-text-anchor:top" coordsize="223,87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" path="m135,876r,-192l87,684r,192l135,876xm135,540r,-192l87,348r,192l135,540xm135,204r,-156l87,48r,156l135,204xm216,180l111,,7,180v-7,11,-3,26,8,33c27,219,42,216,48,204r,l132,60r-41,l175,204v6,12,21,15,33,9c219,206,223,191,216,180xe" fillcolor="red" strokecolor="red" strokeweight=".05pt">
                  <v:path arrowok="t" o:connecttype="custom" o:connectlocs="56894,368935;56894,288073;36665,288073;36665,368935;56894,368935;56894,227426;56894,146563;36665,146563;36665,227426;56894,227426;56894,85916;56894,20216;36665,20216;36665,85916;56894,85916;91030,75809;46779,0;2950,75809;6322,89707;20229,85916;20229,85916;55629,25270;38351,25270;73751,85916;87658,89707;91030,75809" o:connectangles="0,0,0,0,0,0,0,0,0,0,0,0,0,0,0,0,0,0,0,0,0,0,0,0,0,0"/>
                  <o:lock v:ext="edit" verticies="t"/>
                </v:shape>
                <v:rect id="Rectangle 180" o:spid="_x0000_s1929" style="position:absolute;left:3267;top:38744;width:902;height:2242;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" filled="f" stroked="f">
                  <v:textbox style="mso-fit-shape-to-text:t" inset="0,0,0,0">
                    <w:txbxContent>
                      <w:p w14:paraId="43FF5E61" w14:textId="77777777" w:rsidR="003C47E9" w:rsidRDefault="003C47E9" w:rsidP="003C47E9">
                        <w:r>
                          <w:rPr>
                            <w:rFonts w:ascii="ＭＳ ゴシック" w:eastAsia="ＭＳ ゴシック" w:cs="ＭＳ ゴシック" w:hint="eastAsia"/>
                            <w:color w:val="000000"/>
                            <w:kern w:val="0"/>
                            <w:sz w:val="14"/>
                            <w:szCs w:val="14"/>
                          </w:rPr>
                          <w:t>※</w:t>
                        </w:r>
                      </w:p>
                    </w:txbxContent>
                  </v:textbox>
                </v:rect>
                <v:rect id="Rectangle 181" o:spid="_x0000_s1930" style="position:absolute;left:3867;top:38913;width:8198;height:2241;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" filled="f" stroked="f">
                  <v:textbox style="mso-fit-shape-to-text:t" inset="0,0,0,0">
                    <w:txbxContent>
                      <w:p w14:paraId="13DD8775" w14:textId="77777777" w:rsidR="003C47E9" w:rsidRPr="00E0548A" w:rsidRDefault="003C47E9" w:rsidP="003C47E9">
                        <w:r>
                          <w:rPr>
                            <w:rFonts w:ascii="ＭＳ Ｐゴシック" w:eastAsia="ＭＳ Ｐゴシック" w:cs="ＭＳ Ｐゴシック" w:hint="eastAsia"/>
                            <w:color w:val="000000"/>
                            <w:kern w:val="0"/>
                            <w:sz w:val="14"/>
                            <w:szCs w:val="14"/>
                          </w:rPr>
                          <w:t>１</w:t>
                        </w:r>
                        <w:r w:rsidRPr="00E0548A">
                          <w:rPr>
                            <w:rFonts w:ascii="ＭＳ Ｐゴシック" w:eastAsia="ＭＳ Ｐゴシック" w:cs="ＭＳ Ｐゴシック" w:hint="eastAsia"/>
                            <w:kern w:val="0"/>
                            <w:sz w:val="14"/>
                            <w:szCs w:val="14"/>
                          </w:rPr>
                          <w:t>設置されている場合</w:t>
                        </w:r>
                      </w:p>
                    </w:txbxContent>
                  </v:textbox>
                </v:rect>
                <v:rect id="Rectangle 184" o:spid="_x0000_s1931" style="position:absolute;left:3164;top:40353;width:902;height:2241;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" filled="f" stroked="f">
                  <v:textbox style="mso-fit-shape-to-text:t" inset="0,0,0,0">
                    <w:txbxContent>
                      <w:p w14:paraId="504A9FB3" w14:textId="77777777" w:rsidR="003C47E9" w:rsidRDefault="003C47E9" w:rsidP="003C47E9">
                        <w:r>
                          <w:rPr>
                            <w:rFonts w:ascii="ＭＳ ゴシック" w:eastAsia="ＭＳ ゴシック" w:cs="ＭＳ ゴシック" w:hint="eastAsia"/>
                            <w:color w:val="000000"/>
                            <w:kern w:val="0"/>
                            <w:sz w:val="14"/>
                            <w:szCs w:val="14"/>
                          </w:rPr>
                          <w:t>※</w:t>
                        </w:r>
                      </w:p>
                    </w:txbxContent>
                  </v:textbox>
                </v:rect>
                <v:rect id="Rectangle 185" o:spid="_x0000_s1932" style="position:absolute;left:3988;top:40217;width:8509;height:2242;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" filled="f" stroked="f">
                  <v:textbox style="mso-fit-shape-to-text:t" inset="0,0,0,0">
                    <w:txbxContent>
                      <w:p w14:paraId="211ED20B" w14:textId="77777777" w:rsidR="003C47E9" w:rsidRDefault="003C47E9" w:rsidP="003C47E9">
                        <w:r>
                          <w:rPr>
                            <w:rFonts w:ascii="ＭＳ Ｐゴシック" w:eastAsia="ＭＳ Ｐゴシック" w:cs="ＭＳ Ｐゴシック" w:hint="eastAsia"/>
                            <w:color w:val="000000"/>
                            <w:kern w:val="0"/>
                            <w:sz w:val="14"/>
                            <w:szCs w:val="14"/>
                          </w:rPr>
                          <w:t>２関係する事業者のみ</w:t>
                        </w:r>
                      </w:p>
                    </w:txbxContent>
                  </v:textbox>
                </v:rect>
                <v:shape id="Freeform 179" o:spid="_x0000_s1933" style="position:absolute;left:8820;top:28198;width:10668;height:197;visibility:visible;mso-wrap-style:square;v-text-anchor:top" coordsize="1680,3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" path="m,l127,r,31l,31,,xm223,l350,r,31l223,31,223,xm445,l572,r,31l445,31,445,xm667,l794,r,31l667,31,667,xm889,r127,l1016,31r-127,l889,xm1111,r127,l1238,31r-127,l1111,xm1333,r127,l1460,31r-127,l1333,xm1555,r125,l1680,31r-125,l1555,xe" fillcolor="red" strokecolor="red" strokeweight=".05pt">
                  <v:path arrowok="t" o:connecttype="custom" o:connectlocs="0,0;80645,0;80645,19685;0,19685;0,0;141605,0;222250,0;222250,19685;141605,19685;141605,0;282575,0;363220,0;363220,19685;282575,19685;282575,0;423545,0;504190,0;504190,19685;423545,19685;423545,0;564515,0;645160,0;645160,19685;564515,19685;564515,0;705485,0;786130,0;786130,19685;705485,19685;705485,0;846455,0;927100,0;927100,19685;846455,19685;846455,0;987425,0;1066800,0;1066800,19685;987425,19685;987425,0" o:connectangles="0,0,0,0,0,0,0,0,0,0,0,0,0,0,0,0,0,0,0,0,0,0,0,0,0,0,0,0,0,0,0,0,0,0,0,0,0,0,0,0"/>
                  <o:lock v:ext="edit" verticies="t"/>
                </v:shape>
                <v:shape id="_x0000_s1934" type="#_x0000_t202" style="position:absolute;left:2921;top:32594;width:11925;height:544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">
                  <v:textbox>
                    <w:txbxContent>
                      <w:p w14:paraId="18865A4A" w14:textId="77777777" w:rsidR="00ED4674" w:rsidRDefault="00ED4674" w:rsidP="00ED4674">
                        <w:pPr>
                          <w:jc w:val="center"/>
                          <w:rPr>
                            <w:sz w:val="16"/>
                            <w:szCs w:val="16"/>
                          </w:rPr>
                        </w:pPr>
                        <w:r>
                          <w:rPr>
                            <w:rFonts w:hint="eastAsia"/>
                            <w:sz w:val="16"/>
                            <w:szCs w:val="16"/>
                          </w:rPr>
                          <w:t>・周辺関係市</w:t>
                        </w:r>
                      </w:p>
                      <w:p w14:paraId="754292AF" w14:textId="77777777" w:rsidR="00ED4674" w:rsidRDefault="00ED4674" w:rsidP="00ED4674">
                        <w:pPr>
                          <w:jc w:val="center"/>
                          <w:rPr>
                            <w:sz w:val="16"/>
                            <w:szCs w:val="16"/>
                          </w:rPr>
                        </w:pPr>
                        <w:r>
                          <w:rPr>
                            <w:rFonts w:hint="eastAsia"/>
                            <w:sz w:val="16"/>
                            <w:szCs w:val="16"/>
                          </w:rPr>
                          <w:t>・指定地方公共機関</w:t>
                        </w:r>
                      </w:p>
                    </w:txbxContent>
                  </v:textbox>
                </v:shape>
              </v:group>
            </w:pict>
          </mc:Fallback>
        </mc:AlternateContent>
      </w:r>
      <w:r w:rsidR="008B4B2B" w:rsidRPr="001D6D10">
        <w:rPr>
          <w:rFonts w:ascii="ＭＳ 明朝" w:hAnsi="ＭＳ 明朝" w:hint="eastAsia"/>
        </w:rPr>
        <w:t>別図〔連絡系統図〕</w:t>
      </w:r>
    </w:p>
    <w:p w14:paraId="7133A5DD" w14:textId="67E59BEF" w:rsidR="00254093" w:rsidRDefault="00254093" w:rsidP="00254093">
      <w:pPr>
        <w:rPr>
          <w:rFonts w:ascii="ＭＳ ゴシック" w:eastAsia="ＭＳ ゴシック" w:hAnsi="ＭＳ ゴシック"/>
        </w:rPr>
      </w:pPr>
      <w:bookmarkStart w:id="488" w:name="_Toc122436994"/>
    </w:p>
    <w:p w14:paraId="654318EB" w14:textId="6E9C1635" w:rsidR="00254093" w:rsidRDefault="00254093">
      <w:pPr>
        <w:widowControl/>
        <w:jc w:val="left"/>
        <w:rPr>
          <w:rFonts w:ascii="ＭＳ ゴシック" w:eastAsia="ＭＳ ゴシック" w:hAnsi="ＭＳ ゴシック" w:cs="Courier New"/>
          <w:bCs/>
          <w:sz w:val="28"/>
          <w:szCs w:val="28"/>
        </w:rPr>
      </w:pPr>
      <w:r>
        <w:br w:type="page"/>
      </w:r>
    </w:p>
    <w:p w14:paraId="4F50039A" w14:textId="57E89B76" w:rsidR="008B4B2B" w:rsidRPr="00E0548A" w:rsidRDefault="008B4B2B" w:rsidP="00E0548A">
      <w:pPr>
        <w:pStyle w:val="2"/>
        <w:rPr>
          <w:rFonts w:asciiTheme="majorEastAsia" w:eastAsiaTheme="majorEastAsia" w:hAnsiTheme="majorEastAsia"/>
          <w:szCs w:val="28"/>
        </w:rPr>
      </w:pPr>
      <w:bookmarkStart w:id="489" w:name="_Toc222433325"/>
      <w:bookmarkStart w:id="490" w:name="_Toc222486693"/>
      <w:bookmarkStart w:id="491" w:name="_Toc242870364"/>
      <w:r w:rsidRPr="00E0548A">
        <w:rPr>
          <w:rFonts w:asciiTheme="majorEastAsia" w:eastAsiaTheme="majorEastAsia" w:hAnsiTheme="majorEastAsia" w:hint="eastAsia"/>
          <w:szCs w:val="28"/>
        </w:rPr>
        <w:lastRenderedPageBreak/>
        <w:t>第３節　災害対策本部等の事務局体制</w:t>
      </w:r>
      <w:bookmarkEnd w:id="488"/>
      <w:bookmarkEnd w:id="489"/>
      <w:bookmarkEnd w:id="490"/>
      <w:bookmarkEnd w:id="491"/>
    </w:p>
    <w:p w14:paraId="4BA71066" w14:textId="77777777" w:rsidR="008B4B2B" w:rsidRPr="001D6D10" w:rsidRDefault="008B4B2B" w:rsidP="008B4B2B">
      <w:pPr>
        <w:pStyle w:val="a0"/>
        <w:spacing w:line="0" w:lineRule="atLeast"/>
        <w:ind w:firstLineChars="650" w:firstLine="1437"/>
        <w:rPr>
          <w:rFonts w:ascii="ＭＳ ゴシック" w:eastAsia="ＭＳ ゴシック" w:hAnsi="ＭＳ ゴシック"/>
          <w:sz w:val="22"/>
          <w:szCs w:val="22"/>
          <w:bdr w:val="single" w:sz="4" w:space="0" w:color="auto"/>
        </w:rPr>
      </w:pPr>
      <w:r w:rsidRPr="001D6D10">
        <w:rPr>
          <w:rFonts w:ascii="ＭＳ ゴシック" w:eastAsia="ＭＳ ゴシック" w:hAnsi="ＭＳ ゴシック" w:hint="eastAsia"/>
          <w:sz w:val="22"/>
          <w:szCs w:val="22"/>
          <w:bdr w:val="single" w:sz="4" w:space="0" w:color="auto"/>
        </w:rPr>
        <w:t>主たる担当：危機管理室</w:t>
      </w:r>
    </w:p>
    <w:p w14:paraId="632CF0A5" w14:textId="77777777" w:rsidR="008B4B2B" w:rsidRPr="001D6D10" w:rsidRDefault="008B4B2B" w:rsidP="008B4B2B">
      <w:pPr>
        <w:pStyle w:val="ad"/>
        <w:wordWrap/>
        <w:overflowPunct w:val="0"/>
        <w:spacing w:line="400" w:lineRule="exact"/>
        <w:ind w:leftChars="200" w:left="422" w:firstLineChars="100" w:firstLine="221"/>
        <w:rPr>
          <w:rFonts w:ascii="ＭＳ 明朝" w:hAnsi="ＭＳ 明朝"/>
        </w:rPr>
      </w:pPr>
      <w:r w:rsidRPr="001D6D10">
        <w:rPr>
          <w:rFonts w:ascii="ＭＳ 明朝" w:hAnsi="ＭＳ 明朝" w:hint="eastAsia"/>
        </w:rPr>
        <w:t>災害対策本部等の事務局の主な業務体制は以下のとおり。</w:t>
      </w:r>
    </w:p>
    <w:p w14:paraId="4E18D0BE" w14:textId="77777777" w:rsidR="008B4B2B" w:rsidRPr="001D6D10" w:rsidRDefault="008B4B2B" w:rsidP="008B4B2B">
      <w:pPr>
        <w:pStyle w:val="ad"/>
        <w:wordWrap/>
        <w:overflowPunct w:val="0"/>
        <w:spacing w:line="400" w:lineRule="exact"/>
        <w:ind w:left="442" w:hangingChars="200" w:hanging="442"/>
        <w:rPr>
          <w:rFonts w:ascii="ＭＳ 明朝" w:hAnsi="ＭＳ 明朝"/>
          <w:u w:val="single"/>
        </w:rPr>
      </w:pPr>
      <w:r w:rsidRPr="001D6D10">
        <w:rPr>
          <w:rFonts w:ascii="ＭＳ 明朝" w:hAnsi="ＭＳ 明朝" w:hint="eastAsia"/>
        </w:rPr>
        <w:t xml:space="preserve">　　　</w:t>
      </w:r>
      <w:r w:rsidRPr="001D6D10">
        <w:rPr>
          <w:rFonts w:ascii="ＭＳ 明朝" w:hAnsi="ＭＳ 明朝" w:hint="eastAsia"/>
          <w:u w:val="single"/>
        </w:rPr>
        <w:t>１　統括</w:t>
      </w:r>
    </w:p>
    <w:p w14:paraId="290CEAF5" w14:textId="77777777" w:rsidR="008B4B2B" w:rsidRPr="001D6D10" w:rsidRDefault="008B4B2B" w:rsidP="008B4B2B">
      <w:pPr>
        <w:pStyle w:val="ad"/>
        <w:overflowPunct w:val="0"/>
        <w:spacing w:line="400" w:lineRule="exact"/>
        <w:ind w:left="442" w:hangingChars="200" w:hanging="442"/>
        <w:rPr>
          <w:rFonts w:ascii="ＭＳ 明朝" w:hAnsi="ＭＳ 明朝"/>
        </w:rPr>
      </w:pPr>
      <w:r w:rsidRPr="001D6D10">
        <w:rPr>
          <w:rFonts w:ascii="ＭＳ 明朝" w:hAnsi="ＭＳ 明朝" w:hint="eastAsia"/>
        </w:rPr>
        <w:t xml:space="preserve">　　　　○災害対策に関する基本方針の作成</w:t>
      </w:r>
    </w:p>
    <w:p w14:paraId="6F9E7BFD" w14:textId="77777777" w:rsidR="008B4B2B" w:rsidRPr="001D6D10" w:rsidRDefault="008B4B2B" w:rsidP="008B4B2B">
      <w:pPr>
        <w:pStyle w:val="ad"/>
        <w:overflowPunct w:val="0"/>
        <w:spacing w:line="400" w:lineRule="exact"/>
        <w:ind w:leftChars="200" w:left="422" w:firstLineChars="200" w:firstLine="442"/>
        <w:rPr>
          <w:rFonts w:ascii="ＭＳ 明朝" w:hAnsi="ＭＳ 明朝"/>
        </w:rPr>
      </w:pPr>
      <w:r w:rsidRPr="001D6D10">
        <w:rPr>
          <w:rFonts w:ascii="ＭＳ 明朝" w:hAnsi="ＭＳ 明朝" w:hint="eastAsia"/>
        </w:rPr>
        <w:t>○情報の総合集約(事務局班長会議の主催)</w:t>
      </w:r>
    </w:p>
    <w:p w14:paraId="2E078196" w14:textId="77777777" w:rsidR="008B4B2B" w:rsidRPr="001D6D10" w:rsidRDefault="008B4B2B" w:rsidP="008B4B2B">
      <w:pPr>
        <w:pStyle w:val="ad"/>
        <w:overflowPunct w:val="0"/>
        <w:spacing w:line="400" w:lineRule="exact"/>
        <w:ind w:leftChars="200" w:left="422" w:firstLineChars="200" w:firstLine="442"/>
        <w:rPr>
          <w:rFonts w:ascii="ＭＳ 明朝" w:hAnsi="ＭＳ 明朝"/>
        </w:rPr>
      </w:pPr>
      <w:r w:rsidRPr="001D6D10">
        <w:rPr>
          <w:rFonts w:ascii="ＭＳ 明朝" w:hAnsi="ＭＳ 明朝" w:hint="eastAsia"/>
        </w:rPr>
        <w:t>○対策に関する総合調整</w:t>
      </w:r>
    </w:p>
    <w:p w14:paraId="710327E3" w14:textId="77777777" w:rsidR="008B4B2B" w:rsidRPr="001D6D10" w:rsidRDefault="008B4B2B" w:rsidP="008B4B2B">
      <w:pPr>
        <w:pStyle w:val="ad"/>
        <w:overflowPunct w:val="0"/>
        <w:spacing w:line="400" w:lineRule="exact"/>
        <w:ind w:leftChars="200" w:left="422" w:firstLineChars="200" w:firstLine="442"/>
        <w:rPr>
          <w:rFonts w:ascii="ＭＳ 明朝" w:hAnsi="ＭＳ 明朝"/>
        </w:rPr>
      </w:pPr>
      <w:r w:rsidRPr="001D6D10">
        <w:rPr>
          <w:rFonts w:ascii="ＭＳ 明朝" w:hAnsi="ＭＳ 明朝" w:hint="eastAsia"/>
        </w:rPr>
        <w:t>○事務局内の人員調整</w:t>
      </w:r>
    </w:p>
    <w:p w14:paraId="211E2BD9" w14:textId="77777777" w:rsidR="008B4B2B" w:rsidRPr="001D6D10" w:rsidRDefault="008B4B2B" w:rsidP="008B4B2B">
      <w:pPr>
        <w:pStyle w:val="ad"/>
        <w:wordWrap/>
        <w:overflowPunct w:val="0"/>
        <w:spacing w:line="400" w:lineRule="exact"/>
        <w:ind w:leftChars="200" w:left="422" w:firstLineChars="200" w:firstLine="442"/>
        <w:rPr>
          <w:rFonts w:ascii="ＭＳ 明朝" w:hAnsi="ＭＳ 明朝"/>
        </w:rPr>
      </w:pPr>
      <w:r w:rsidRPr="001D6D10">
        <w:rPr>
          <w:rFonts w:ascii="ＭＳ 明朝" w:hAnsi="ＭＳ 明朝" w:hint="eastAsia"/>
        </w:rPr>
        <w:t>○報道提供資料作成</w:t>
      </w:r>
    </w:p>
    <w:p w14:paraId="1D84EB64" w14:textId="77777777" w:rsidR="008B4B2B" w:rsidRPr="001D6D10" w:rsidRDefault="008B4B2B" w:rsidP="008B4B2B">
      <w:pPr>
        <w:pStyle w:val="ad"/>
        <w:wordWrap/>
        <w:overflowPunct w:val="0"/>
        <w:spacing w:line="400" w:lineRule="exact"/>
        <w:ind w:leftChars="200" w:left="422" w:firstLineChars="200" w:firstLine="442"/>
        <w:rPr>
          <w:rFonts w:ascii="ＭＳ 明朝" w:hAnsi="ＭＳ 明朝"/>
        </w:rPr>
      </w:pPr>
    </w:p>
    <w:p w14:paraId="0F4720B7" w14:textId="77777777" w:rsidR="008B4B2B" w:rsidRPr="001D6D10" w:rsidRDefault="008B4B2B" w:rsidP="008B4B2B">
      <w:pPr>
        <w:pStyle w:val="ad"/>
        <w:wordWrap/>
        <w:overflowPunct w:val="0"/>
        <w:spacing w:line="400" w:lineRule="exact"/>
        <w:ind w:left="442" w:hangingChars="200" w:hanging="442"/>
        <w:rPr>
          <w:rFonts w:ascii="ＭＳ 明朝" w:hAnsi="ＭＳ 明朝"/>
          <w:u w:val="single"/>
        </w:rPr>
      </w:pPr>
      <w:r w:rsidRPr="001D6D10">
        <w:rPr>
          <w:rFonts w:ascii="ＭＳ 明朝" w:hAnsi="ＭＳ 明朝" w:hint="eastAsia"/>
        </w:rPr>
        <w:t xml:space="preserve">　　　</w:t>
      </w:r>
      <w:r w:rsidRPr="001D6D10">
        <w:rPr>
          <w:rFonts w:ascii="ＭＳ 明朝" w:hAnsi="ＭＳ 明朝" w:hint="eastAsia"/>
          <w:u w:val="single"/>
        </w:rPr>
        <w:t>２　総務・広報班</w:t>
      </w:r>
    </w:p>
    <w:p w14:paraId="36BEC79A" w14:textId="77777777" w:rsidR="008B4B2B" w:rsidRPr="001D6D10" w:rsidRDefault="008B4B2B" w:rsidP="00C83631">
      <w:pPr>
        <w:pStyle w:val="ad"/>
        <w:overflowPunct w:val="0"/>
        <w:spacing w:line="400" w:lineRule="exact"/>
        <w:ind w:leftChars="400" w:left="1065" w:hangingChars="100" w:hanging="221"/>
        <w:rPr>
          <w:rFonts w:ascii="ＭＳ 明朝" w:hAnsi="ＭＳ 明朝"/>
        </w:rPr>
      </w:pPr>
      <w:r w:rsidRPr="001D6D10">
        <w:rPr>
          <w:rFonts w:ascii="ＭＳ 明朝" w:hAnsi="ＭＳ 明朝" w:hint="eastAsia"/>
        </w:rPr>
        <w:t>○庁内各部局との連絡調整(体制連絡、本部会議開催通知、リエゾン派遣要請</w:t>
      </w:r>
      <w:r w:rsidR="00C83631" w:rsidRPr="001D6D10">
        <w:rPr>
          <w:rFonts w:ascii="ＭＳ 明朝" w:hAnsi="ＭＳ 明朝" w:hint="eastAsia"/>
        </w:rPr>
        <w:t>※1</w:t>
      </w:r>
      <w:r w:rsidRPr="001D6D10">
        <w:rPr>
          <w:rFonts w:ascii="ＭＳ 明朝" w:hAnsi="ＭＳ 明朝" w:hint="eastAsia"/>
        </w:rPr>
        <w:t>など)</w:t>
      </w:r>
    </w:p>
    <w:p w14:paraId="4FFC1E7C" w14:textId="77777777" w:rsidR="008B4B2B" w:rsidRPr="001D6D10" w:rsidRDefault="008B4B2B" w:rsidP="008B4B2B">
      <w:pPr>
        <w:pStyle w:val="ad"/>
        <w:overflowPunct w:val="0"/>
        <w:spacing w:line="400" w:lineRule="exact"/>
        <w:ind w:leftChars="200" w:left="422" w:firstLineChars="200" w:firstLine="442"/>
        <w:rPr>
          <w:rFonts w:ascii="ＭＳ 明朝" w:hAnsi="ＭＳ 明朝"/>
        </w:rPr>
      </w:pPr>
      <w:r w:rsidRPr="001D6D10">
        <w:rPr>
          <w:rFonts w:ascii="ＭＳ 明朝" w:hAnsi="ＭＳ 明朝" w:hint="eastAsia"/>
        </w:rPr>
        <w:t>○災対本部会議の準備・運営・会議録作成</w:t>
      </w:r>
    </w:p>
    <w:p w14:paraId="162A5616" w14:textId="77777777" w:rsidR="008B4B2B" w:rsidRPr="001D6D10" w:rsidRDefault="008B4B2B" w:rsidP="008B4B2B">
      <w:pPr>
        <w:pStyle w:val="ad"/>
        <w:overflowPunct w:val="0"/>
        <w:spacing w:line="400" w:lineRule="exact"/>
        <w:ind w:leftChars="200" w:left="422" w:firstLineChars="200" w:firstLine="442"/>
        <w:rPr>
          <w:rFonts w:ascii="ＭＳ 明朝" w:hAnsi="ＭＳ 明朝"/>
        </w:rPr>
      </w:pPr>
      <w:r w:rsidRPr="001D6D10">
        <w:rPr>
          <w:rFonts w:ascii="ＭＳ 明朝" w:hAnsi="ＭＳ 明朝" w:hint="eastAsia"/>
        </w:rPr>
        <w:t>○議会対応</w:t>
      </w:r>
    </w:p>
    <w:p w14:paraId="71355811" w14:textId="77777777" w:rsidR="008B4B2B" w:rsidRPr="001D6D10" w:rsidRDefault="008B4B2B" w:rsidP="008B4B2B">
      <w:pPr>
        <w:pStyle w:val="ad"/>
        <w:overflowPunct w:val="0"/>
        <w:spacing w:line="400" w:lineRule="exact"/>
        <w:ind w:leftChars="200" w:left="422" w:firstLineChars="200" w:firstLine="442"/>
        <w:rPr>
          <w:rFonts w:ascii="ＭＳ 明朝" w:hAnsi="ＭＳ 明朝"/>
        </w:rPr>
      </w:pPr>
      <w:r w:rsidRPr="001D6D10">
        <w:rPr>
          <w:rFonts w:ascii="ＭＳ 明朝" w:hAnsi="ＭＳ 明朝" w:hint="eastAsia"/>
        </w:rPr>
        <w:t>○事務局班長会議の決定事項の記録</w:t>
      </w:r>
    </w:p>
    <w:p w14:paraId="2680685B" w14:textId="77777777" w:rsidR="008B4B2B" w:rsidRPr="001D6D10" w:rsidRDefault="008B4B2B" w:rsidP="008B4B2B">
      <w:pPr>
        <w:pStyle w:val="ad"/>
        <w:overflowPunct w:val="0"/>
        <w:spacing w:line="400" w:lineRule="exact"/>
        <w:ind w:leftChars="200" w:left="422" w:firstLineChars="200" w:firstLine="442"/>
        <w:rPr>
          <w:rFonts w:ascii="ＭＳ 明朝" w:hAnsi="ＭＳ 明朝"/>
        </w:rPr>
      </w:pPr>
      <w:r w:rsidRPr="001D6D10">
        <w:rPr>
          <w:rFonts w:ascii="ＭＳ 明朝" w:hAnsi="ＭＳ 明朝" w:hint="eastAsia"/>
        </w:rPr>
        <w:t>○事務局、関係機関要員の執務環境対応</w:t>
      </w:r>
    </w:p>
    <w:p w14:paraId="27303F5B" w14:textId="77777777" w:rsidR="008B4B2B" w:rsidRPr="001D6D10" w:rsidRDefault="008B4B2B" w:rsidP="008B4B2B">
      <w:pPr>
        <w:pStyle w:val="ad"/>
        <w:overflowPunct w:val="0"/>
        <w:spacing w:line="400" w:lineRule="exact"/>
        <w:ind w:leftChars="200" w:left="422" w:firstLineChars="200" w:firstLine="442"/>
        <w:rPr>
          <w:rFonts w:ascii="ＭＳ 明朝" w:hAnsi="ＭＳ 明朝"/>
        </w:rPr>
      </w:pPr>
      <w:r w:rsidRPr="001D6D10">
        <w:rPr>
          <w:rFonts w:ascii="ＭＳ 明朝" w:hAnsi="ＭＳ 明朝" w:hint="eastAsia"/>
        </w:rPr>
        <w:t>○文書管理</w:t>
      </w:r>
    </w:p>
    <w:p w14:paraId="00FB46CD" w14:textId="77777777" w:rsidR="008B4B2B" w:rsidRPr="001D6D10" w:rsidRDefault="008B4B2B" w:rsidP="008B4B2B">
      <w:pPr>
        <w:pStyle w:val="ad"/>
        <w:overflowPunct w:val="0"/>
        <w:spacing w:line="400" w:lineRule="exact"/>
        <w:ind w:leftChars="200" w:left="422" w:firstLineChars="200" w:firstLine="442"/>
        <w:rPr>
          <w:rFonts w:ascii="ＭＳ 明朝" w:hAnsi="ＭＳ 明朝"/>
        </w:rPr>
      </w:pPr>
      <w:r w:rsidRPr="001D6D10">
        <w:rPr>
          <w:rFonts w:ascii="ＭＳ 明朝" w:hAnsi="ＭＳ 明朝" w:hint="eastAsia"/>
        </w:rPr>
        <w:t>○知事緊急放送(マスコミ以外)対応※</w:t>
      </w:r>
      <w:r w:rsidR="00C83631" w:rsidRPr="001D6D10">
        <w:rPr>
          <w:rFonts w:ascii="ＭＳ 明朝" w:hAnsi="ＭＳ 明朝" w:hint="eastAsia"/>
        </w:rPr>
        <w:t>2</w:t>
      </w:r>
    </w:p>
    <w:p w14:paraId="42D7D78D" w14:textId="123704F5" w:rsidR="008B4B2B" w:rsidRPr="001D6D10" w:rsidRDefault="008B4B2B" w:rsidP="008B4B2B">
      <w:pPr>
        <w:pStyle w:val="ad"/>
        <w:overflowPunct w:val="0"/>
        <w:spacing w:line="400" w:lineRule="exact"/>
        <w:ind w:leftChars="200" w:left="422" w:firstLineChars="200" w:firstLine="442"/>
        <w:rPr>
          <w:rFonts w:ascii="ＭＳ 明朝" w:hAnsi="ＭＳ 明朝"/>
        </w:rPr>
      </w:pPr>
      <w:r w:rsidRPr="001D6D10">
        <w:rPr>
          <w:rFonts w:ascii="ＭＳ 明朝" w:hAnsi="ＭＳ 明朝" w:hint="eastAsia"/>
        </w:rPr>
        <w:t>○府民向け広報の実施(府HP※</w:t>
      </w:r>
      <w:r w:rsidR="003F3E46" w:rsidRPr="001D6D10">
        <w:rPr>
          <w:rFonts w:ascii="ＭＳ 明朝" w:hAnsi="ＭＳ 明朝" w:hint="eastAsia"/>
        </w:rPr>
        <w:t>2</w:t>
      </w:r>
      <w:r w:rsidRPr="001D6D10">
        <w:rPr>
          <w:rFonts w:ascii="ＭＳ 明朝" w:hAnsi="ＭＳ 明朝" w:hint="eastAsia"/>
        </w:rPr>
        <w:t>、</w:t>
      </w:r>
      <w:r w:rsidR="00AB6FBD">
        <w:rPr>
          <w:rFonts w:ascii="ＭＳ 明朝" w:hAnsi="ＭＳ 明朝" w:hint="eastAsia"/>
        </w:rPr>
        <w:t>おおさか</w:t>
      </w:r>
      <w:r w:rsidRPr="001D6D10">
        <w:rPr>
          <w:rFonts w:ascii="ＭＳ 明朝" w:hAnsi="ＭＳ 明朝" w:hint="eastAsia"/>
        </w:rPr>
        <w:t>防災ネットの更新、防災情報メール、</w:t>
      </w:r>
    </w:p>
    <w:p w14:paraId="6D751516" w14:textId="77777777" w:rsidR="008B4B2B" w:rsidRPr="001D6D10" w:rsidRDefault="008B4B2B" w:rsidP="008B4B2B">
      <w:pPr>
        <w:pStyle w:val="ad"/>
        <w:overflowPunct w:val="0"/>
        <w:spacing w:line="400" w:lineRule="exact"/>
        <w:ind w:leftChars="200" w:left="422" w:firstLineChars="300" w:firstLine="663"/>
        <w:rPr>
          <w:rFonts w:ascii="ＭＳ 明朝" w:hAnsi="ＭＳ 明朝"/>
        </w:rPr>
      </w:pPr>
      <w:r w:rsidRPr="001D6D10">
        <w:rPr>
          <w:rFonts w:ascii="ＭＳ 明朝" w:hAnsi="ＭＳ 明朝" w:hint="eastAsia"/>
        </w:rPr>
        <w:t>その他SNS※</w:t>
      </w:r>
      <w:r w:rsidR="003F3E46" w:rsidRPr="001D6D10">
        <w:rPr>
          <w:rFonts w:ascii="ＭＳ 明朝" w:hAnsi="ＭＳ 明朝" w:hint="eastAsia"/>
        </w:rPr>
        <w:t>2</w:t>
      </w:r>
      <w:r w:rsidRPr="001D6D10">
        <w:rPr>
          <w:rFonts w:ascii="ＭＳ 明朝" w:hAnsi="ＭＳ 明朝" w:hint="eastAsia"/>
        </w:rPr>
        <w:t>の発信など)</w:t>
      </w:r>
    </w:p>
    <w:p w14:paraId="3FB6E2A1" w14:textId="77777777" w:rsidR="008B4B2B" w:rsidRPr="001D6D10" w:rsidRDefault="008B4B2B" w:rsidP="008B4B2B">
      <w:pPr>
        <w:pStyle w:val="ad"/>
        <w:overflowPunct w:val="0"/>
        <w:spacing w:line="400" w:lineRule="exact"/>
        <w:ind w:leftChars="200" w:left="422" w:firstLineChars="200" w:firstLine="442"/>
        <w:rPr>
          <w:rFonts w:ascii="ＭＳ 明朝" w:hAnsi="ＭＳ 明朝"/>
        </w:rPr>
      </w:pPr>
      <w:r w:rsidRPr="001D6D10">
        <w:rPr>
          <w:rFonts w:ascii="ＭＳ 明朝" w:hAnsi="ＭＳ 明朝" w:hint="eastAsia"/>
        </w:rPr>
        <w:t>○府民からの問い合わせ対応、窓口の開設</w:t>
      </w:r>
    </w:p>
    <w:p w14:paraId="66211B38" w14:textId="77777777" w:rsidR="008B4B2B" w:rsidRPr="001D6D10" w:rsidRDefault="008B4B2B" w:rsidP="008B4B2B">
      <w:pPr>
        <w:pStyle w:val="ad"/>
        <w:overflowPunct w:val="0"/>
        <w:spacing w:line="400" w:lineRule="exact"/>
        <w:ind w:leftChars="200" w:left="422" w:firstLineChars="200" w:firstLine="442"/>
        <w:rPr>
          <w:rFonts w:ascii="ＭＳ 明朝" w:hAnsi="ＭＳ 明朝"/>
        </w:rPr>
      </w:pPr>
      <w:r w:rsidRPr="001D6D10">
        <w:rPr>
          <w:rFonts w:ascii="ＭＳ 明朝" w:hAnsi="ＭＳ 明朝" w:hint="eastAsia"/>
        </w:rPr>
        <w:t>○職員の被ばく管理</w:t>
      </w:r>
    </w:p>
    <w:p w14:paraId="1F1E204B" w14:textId="77777777" w:rsidR="008B4B2B" w:rsidRPr="001D6D10" w:rsidRDefault="008B4B2B" w:rsidP="008B4B2B">
      <w:pPr>
        <w:pStyle w:val="ad"/>
        <w:overflowPunct w:val="0"/>
        <w:spacing w:line="400" w:lineRule="exact"/>
        <w:ind w:leftChars="200" w:left="422" w:firstLineChars="200" w:firstLine="442"/>
        <w:rPr>
          <w:rFonts w:ascii="ＭＳ 明朝" w:hAnsi="ＭＳ 明朝"/>
        </w:rPr>
      </w:pPr>
      <w:r w:rsidRPr="001D6D10">
        <w:rPr>
          <w:rFonts w:ascii="ＭＳ 明朝" w:hAnsi="ＭＳ 明朝" w:hint="eastAsia"/>
        </w:rPr>
        <w:t>○総務・広報班活動記録(画像、文書)作成</w:t>
      </w:r>
    </w:p>
    <w:p w14:paraId="61C994C4" w14:textId="5A34AE65" w:rsidR="00C83631" w:rsidRPr="001D6D10" w:rsidRDefault="00C83631" w:rsidP="008B4B2B">
      <w:pPr>
        <w:pStyle w:val="ad"/>
        <w:wordWrap/>
        <w:overflowPunct w:val="0"/>
        <w:spacing w:line="400" w:lineRule="exact"/>
        <w:ind w:leftChars="200" w:left="422" w:firstLineChars="200" w:firstLine="442"/>
        <w:rPr>
          <w:rFonts w:ascii="ＭＳ 明朝" w:hAnsi="ＭＳ 明朝"/>
        </w:rPr>
      </w:pPr>
      <w:r w:rsidRPr="001D6D10">
        <w:rPr>
          <w:rFonts w:ascii="ＭＳ 明朝" w:hAnsi="ＭＳ 明朝" w:hint="eastAsia"/>
        </w:rPr>
        <w:t>※1は</w:t>
      </w:r>
      <w:r w:rsidR="00C32B8D" w:rsidRPr="00B064CC">
        <w:rPr>
          <w:rFonts w:ascii="ＭＳ 明朝" w:hAnsi="ＭＳ 明朝" w:hint="eastAsia"/>
        </w:rPr>
        <w:t>企画厚生課・人事課</w:t>
      </w:r>
      <w:r w:rsidRPr="001D6D10">
        <w:rPr>
          <w:rFonts w:ascii="ＭＳ 明朝" w:hAnsi="ＭＳ 明朝" w:hint="eastAsia"/>
        </w:rPr>
        <w:t>と連携</w:t>
      </w:r>
    </w:p>
    <w:p w14:paraId="0D5D13E6" w14:textId="77777777" w:rsidR="008B4B2B" w:rsidRPr="001D6D10" w:rsidRDefault="006C04DB" w:rsidP="008B4B2B">
      <w:pPr>
        <w:pStyle w:val="ad"/>
        <w:wordWrap/>
        <w:overflowPunct w:val="0"/>
        <w:spacing w:line="400" w:lineRule="exact"/>
        <w:ind w:leftChars="200" w:left="422" w:firstLineChars="200" w:firstLine="442"/>
        <w:rPr>
          <w:rFonts w:ascii="ＭＳ 明朝" w:hAnsi="ＭＳ 明朝"/>
        </w:rPr>
      </w:pPr>
      <w:r w:rsidRPr="001D6D10">
        <w:rPr>
          <w:rFonts w:ascii="ＭＳ 明朝" w:hAnsi="ＭＳ 明朝" w:hint="eastAsia"/>
        </w:rPr>
        <w:t>※</w:t>
      </w:r>
      <w:r w:rsidR="00C83631" w:rsidRPr="001D6D10">
        <w:rPr>
          <w:rFonts w:ascii="ＭＳ 明朝" w:hAnsi="ＭＳ 明朝" w:hint="eastAsia"/>
        </w:rPr>
        <w:t>2</w:t>
      </w:r>
      <w:r w:rsidRPr="001D6D10">
        <w:rPr>
          <w:rFonts w:ascii="ＭＳ 明朝" w:hAnsi="ＭＳ 明朝" w:hint="eastAsia"/>
        </w:rPr>
        <w:t>は広報広聴課</w:t>
      </w:r>
      <w:r w:rsidR="008B4B2B" w:rsidRPr="001D6D10">
        <w:rPr>
          <w:rFonts w:ascii="ＭＳ 明朝" w:hAnsi="ＭＳ 明朝" w:hint="eastAsia"/>
        </w:rPr>
        <w:t>と連携</w:t>
      </w:r>
    </w:p>
    <w:p w14:paraId="46D11939" w14:textId="77777777" w:rsidR="008B4B2B" w:rsidRPr="001D6D10" w:rsidRDefault="008B4B2B" w:rsidP="008B4B2B">
      <w:pPr>
        <w:pStyle w:val="ad"/>
        <w:wordWrap/>
        <w:overflowPunct w:val="0"/>
        <w:spacing w:line="400" w:lineRule="exact"/>
        <w:ind w:leftChars="200" w:left="422" w:firstLineChars="200" w:firstLine="442"/>
        <w:rPr>
          <w:rFonts w:ascii="ＭＳ 明朝" w:hAnsi="ＭＳ 明朝"/>
        </w:rPr>
      </w:pPr>
    </w:p>
    <w:p w14:paraId="5EC18229" w14:textId="77777777" w:rsidR="008B4B2B" w:rsidRPr="001D6D10" w:rsidRDefault="008B4B2B" w:rsidP="008B4B2B">
      <w:pPr>
        <w:pStyle w:val="ad"/>
        <w:wordWrap/>
        <w:overflowPunct w:val="0"/>
        <w:spacing w:line="400" w:lineRule="exact"/>
        <w:ind w:left="442" w:hangingChars="200" w:hanging="442"/>
        <w:rPr>
          <w:rFonts w:ascii="ＭＳ 明朝" w:hAnsi="ＭＳ 明朝"/>
          <w:u w:val="single"/>
        </w:rPr>
      </w:pPr>
      <w:r w:rsidRPr="001D6D10">
        <w:rPr>
          <w:rFonts w:ascii="ＭＳ 明朝" w:hAnsi="ＭＳ 明朝" w:hint="eastAsia"/>
        </w:rPr>
        <w:t xml:space="preserve">　　　</w:t>
      </w:r>
      <w:r w:rsidRPr="001D6D10">
        <w:rPr>
          <w:rFonts w:ascii="ＭＳ 明朝" w:hAnsi="ＭＳ 明朝" w:hint="eastAsia"/>
          <w:u w:val="single"/>
        </w:rPr>
        <w:t>３　報道班</w:t>
      </w:r>
    </w:p>
    <w:p w14:paraId="40AB52A9" w14:textId="77777777" w:rsidR="008B4B2B" w:rsidRPr="001D6D10" w:rsidRDefault="008B4B2B" w:rsidP="008B4B2B">
      <w:pPr>
        <w:pStyle w:val="ad"/>
        <w:overflowPunct w:val="0"/>
        <w:spacing w:line="400" w:lineRule="exact"/>
        <w:ind w:leftChars="200" w:left="422" w:firstLineChars="200" w:firstLine="442"/>
        <w:rPr>
          <w:rFonts w:ascii="ＭＳ 明朝" w:hAnsi="ＭＳ 明朝"/>
        </w:rPr>
      </w:pPr>
      <w:r w:rsidRPr="001D6D10">
        <w:rPr>
          <w:rFonts w:ascii="ＭＳ 明朝" w:hAnsi="ＭＳ 明朝" w:hint="eastAsia"/>
        </w:rPr>
        <w:t>○報道機関対応</w:t>
      </w:r>
    </w:p>
    <w:p w14:paraId="078EE93A" w14:textId="77777777" w:rsidR="008B4B2B" w:rsidRPr="001D6D10" w:rsidRDefault="008B4B2B" w:rsidP="008B4B2B">
      <w:pPr>
        <w:pStyle w:val="ad"/>
        <w:overflowPunct w:val="0"/>
        <w:spacing w:line="400" w:lineRule="exact"/>
        <w:ind w:leftChars="200" w:left="422" w:firstLineChars="200" w:firstLine="442"/>
        <w:rPr>
          <w:rFonts w:ascii="ＭＳ 明朝" w:hAnsi="ＭＳ 明朝"/>
        </w:rPr>
      </w:pPr>
      <w:r w:rsidRPr="001D6D10">
        <w:rPr>
          <w:rFonts w:ascii="ＭＳ 明朝" w:hAnsi="ＭＳ 明朝" w:hint="eastAsia"/>
        </w:rPr>
        <w:t>○報道機関への緊急放送要請の実施</w:t>
      </w:r>
    </w:p>
    <w:p w14:paraId="109602A8" w14:textId="77777777" w:rsidR="008B4B2B" w:rsidRPr="001D6D10" w:rsidRDefault="008B4B2B" w:rsidP="008B4B2B">
      <w:pPr>
        <w:pStyle w:val="ad"/>
        <w:wordWrap/>
        <w:overflowPunct w:val="0"/>
        <w:spacing w:line="400" w:lineRule="exact"/>
        <w:ind w:leftChars="200" w:left="422" w:firstLineChars="200" w:firstLine="442"/>
        <w:rPr>
          <w:rFonts w:ascii="ＭＳ 明朝" w:hAnsi="ＭＳ 明朝"/>
        </w:rPr>
      </w:pPr>
      <w:r w:rsidRPr="001D6D10">
        <w:rPr>
          <w:rFonts w:ascii="ＭＳ 明朝" w:hAnsi="ＭＳ 明朝" w:hint="eastAsia"/>
        </w:rPr>
        <w:t>○報道班活動記録(画像、文書)作成</w:t>
      </w:r>
    </w:p>
    <w:p w14:paraId="65F09D6D" w14:textId="77777777" w:rsidR="008B4B2B" w:rsidRPr="001D6D10" w:rsidRDefault="008B4B2B" w:rsidP="008B4B2B">
      <w:pPr>
        <w:pStyle w:val="ad"/>
        <w:wordWrap/>
        <w:overflowPunct w:val="0"/>
        <w:spacing w:line="400" w:lineRule="exact"/>
        <w:rPr>
          <w:rFonts w:ascii="ＭＳ 明朝" w:hAnsi="ＭＳ 明朝"/>
          <w:u w:val="single"/>
        </w:rPr>
      </w:pPr>
      <w:r w:rsidRPr="001D6D10">
        <w:rPr>
          <w:rFonts w:ascii="ＭＳ 明朝" w:hAnsi="ＭＳ 明朝"/>
        </w:rPr>
        <w:br w:type="page"/>
      </w:r>
      <w:r w:rsidRPr="001D6D10">
        <w:rPr>
          <w:rFonts w:ascii="ＭＳ 明朝" w:hAnsi="ＭＳ 明朝" w:hint="eastAsia"/>
        </w:rPr>
        <w:lastRenderedPageBreak/>
        <w:t xml:space="preserve">　　　</w:t>
      </w:r>
      <w:r w:rsidRPr="001D6D10">
        <w:rPr>
          <w:rFonts w:ascii="ＭＳ 明朝" w:hAnsi="ＭＳ 明朝" w:hint="eastAsia"/>
          <w:u w:val="single"/>
        </w:rPr>
        <w:t>４　情報班</w:t>
      </w:r>
    </w:p>
    <w:p w14:paraId="5AD459DA" w14:textId="77777777" w:rsidR="008B4B2B" w:rsidRPr="001D6D10" w:rsidRDefault="008B4B2B" w:rsidP="008B4B2B">
      <w:pPr>
        <w:pStyle w:val="ad"/>
        <w:overflowPunct w:val="0"/>
        <w:spacing w:line="400" w:lineRule="exact"/>
        <w:ind w:leftChars="400" w:left="1065" w:hangingChars="100" w:hanging="221"/>
        <w:rPr>
          <w:rFonts w:ascii="ＭＳ 明朝" w:hAnsi="ＭＳ 明朝"/>
        </w:rPr>
      </w:pPr>
      <w:r w:rsidRPr="001D6D10">
        <w:rPr>
          <w:rFonts w:ascii="ＭＳ 明朝" w:hAnsi="ＭＳ 明朝" w:hint="eastAsia"/>
        </w:rPr>
        <w:t>○以下の被害情報等を収集・整理し、モニターやホワイトボードに記載(事務局内の情報共有)</w:t>
      </w:r>
    </w:p>
    <w:p w14:paraId="1F87F8AF" w14:textId="77777777" w:rsidR="008B4B2B" w:rsidRPr="001D6D10" w:rsidRDefault="008B4B2B" w:rsidP="008B4B2B">
      <w:pPr>
        <w:pStyle w:val="ad"/>
        <w:overflowPunct w:val="0"/>
        <w:spacing w:line="400" w:lineRule="exact"/>
        <w:ind w:firstLineChars="500" w:firstLine="1105"/>
        <w:rPr>
          <w:rFonts w:ascii="ＭＳ 明朝" w:hAnsi="ＭＳ 明朝"/>
        </w:rPr>
      </w:pPr>
      <w:r w:rsidRPr="001D6D10">
        <w:rPr>
          <w:rFonts w:ascii="ＭＳ 明朝" w:hAnsi="ＭＳ 明朝" w:hint="eastAsia"/>
        </w:rPr>
        <w:t>・気象台情報(気象等)を収集・整理</w:t>
      </w:r>
    </w:p>
    <w:p w14:paraId="3E5C080C" w14:textId="77777777" w:rsidR="008B4B2B" w:rsidRPr="001D6D10" w:rsidRDefault="008B4B2B" w:rsidP="008B4B2B">
      <w:pPr>
        <w:pStyle w:val="ad"/>
        <w:overflowPunct w:val="0"/>
        <w:spacing w:line="400" w:lineRule="exact"/>
        <w:ind w:firstLineChars="500" w:firstLine="1105"/>
        <w:rPr>
          <w:rFonts w:ascii="ＭＳ 明朝" w:hAnsi="ＭＳ 明朝"/>
        </w:rPr>
      </w:pPr>
      <w:r w:rsidRPr="001D6D10">
        <w:rPr>
          <w:rFonts w:ascii="ＭＳ 明朝" w:hAnsi="ＭＳ 明朝" w:hint="eastAsia"/>
        </w:rPr>
        <w:t>・市町村からO-DISを通じて情報収集(避難情報の発令状況確認含む)</w:t>
      </w:r>
    </w:p>
    <w:p w14:paraId="6BAD9038" w14:textId="77777777" w:rsidR="008B4B2B" w:rsidRPr="001D6D10" w:rsidRDefault="008B4B2B" w:rsidP="008B4B2B">
      <w:pPr>
        <w:pStyle w:val="ad"/>
        <w:overflowPunct w:val="0"/>
        <w:spacing w:line="400" w:lineRule="exact"/>
        <w:ind w:firstLineChars="500" w:firstLine="1105"/>
        <w:rPr>
          <w:rFonts w:ascii="ＭＳ 明朝" w:hAnsi="ＭＳ 明朝"/>
        </w:rPr>
      </w:pPr>
      <w:r w:rsidRPr="001D6D10">
        <w:rPr>
          <w:rFonts w:ascii="ＭＳ 明朝" w:hAnsi="ＭＳ 明朝" w:hint="eastAsia"/>
        </w:rPr>
        <w:t>・被害情報(TV・各機関等)の収集・整理</w:t>
      </w:r>
    </w:p>
    <w:p w14:paraId="7C82A8B4" w14:textId="77777777" w:rsidR="008B4B2B" w:rsidRPr="001D6D10" w:rsidRDefault="008B4B2B" w:rsidP="008B4B2B">
      <w:pPr>
        <w:pStyle w:val="ad"/>
        <w:overflowPunct w:val="0"/>
        <w:spacing w:line="400" w:lineRule="exact"/>
        <w:ind w:firstLineChars="500" w:firstLine="1105"/>
        <w:rPr>
          <w:rFonts w:ascii="ＭＳ 明朝" w:hAnsi="ＭＳ 明朝"/>
        </w:rPr>
      </w:pPr>
      <w:r w:rsidRPr="001D6D10">
        <w:rPr>
          <w:rFonts w:ascii="ＭＳ 明朝" w:hAnsi="ＭＳ 明朝" w:hint="eastAsia"/>
        </w:rPr>
        <w:t>・ヘリテレ映像の収集・配信</w:t>
      </w:r>
    </w:p>
    <w:p w14:paraId="3B8F050A" w14:textId="77777777" w:rsidR="008B4B2B" w:rsidRPr="001D6D10" w:rsidRDefault="008B4B2B" w:rsidP="008B4B2B">
      <w:pPr>
        <w:pStyle w:val="ad"/>
        <w:overflowPunct w:val="0"/>
        <w:spacing w:line="400" w:lineRule="exact"/>
        <w:ind w:firstLineChars="500" w:firstLine="1105"/>
        <w:rPr>
          <w:rFonts w:ascii="ＭＳ 明朝" w:hAnsi="ＭＳ 明朝"/>
        </w:rPr>
      </w:pPr>
      <w:r w:rsidRPr="001D6D10">
        <w:rPr>
          <w:rFonts w:ascii="ＭＳ 明朝" w:hAnsi="ＭＳ 明朝" w:hint="eastAsia"/>
        </w:rPr>
        <w:t>・国現地対策本部、府現地連絡部（OFC）等からの被害情報等を収集・整理</w:t>
      </w:r>
    </w:p>
    <w:p w14:paraId="265BEC10" w14:textId="77777777" w:rsidR="008B4B2B" w:rsidRPr="001D6D10" w:rsidRDefault="008B4B2B" w:rsidP="008B4B2B">
      <w:pPr>
        <w:pStyle w:val="ad"/>
        <w:overflowPunct w:val="0"/>
        <w:spacing w:line="400" w:lineRule="exact"/>
        <w:ind w:firstLineChars="500" w:firstLine="1105"/>
        <w:rPr>
          <w:rFonts w:ascii="ＭＳ 明朝" w:hAnsi="ＭＳ 明朝"/>
        </w:rPr>
      </w:pPr>
      <w:r w:rsidRPr="001D6D10">
        <w:rPr>
          <w:rFonts w:ascii="ＭＳ 明朝" w:hAnsi="ＭＳ 明朝" w:hint="eastAsia"/>
        </w:rPr>
        <w:t>・評価会議委員との連絡調整</w:t>
      </w:r>
    </w:p>
    <w:p w14:paraId="2F7BD6CA" w14:textId="77777777" w:rsidR="008B4B2B" w:rsidRPr="008A3EDE" w:rsidRDefault="008B4B2B" w:rsidP="008B4B2B">
      <w:pPr>
        <w:pStyle w:val="ad"/>
        <w:overflowPunct w:val="0"/>
        <w:spacing w:line="400" w:lineRule="exact"/>
        <w:ind w:firstLineChars="500" w:firstLine="1105"/>
        <w:rPr>
          <w:rFonts w:ascii="ＭＳ 明朝" w:hAnsi="ＭＳ 明朝"/>
        </w:rPr>
      </w:pPr>
      <w:r w:rsidRPr="001D6D10">
        <w:rPr>
          <w:rFonts w:ascii="ＭＳ 明朝" w:hAnsi="ＭＳ 明朝" w:hint="eastAsia"/>
        </w:rPr>
        <w:t>以上、</w:t>
      </w:r>
      <w:r w:rsidRPr="008A3EDE">
        <w:rPr>
          <w:rFonts w:ascii="ＭＳ 明朝" w:hAnsi="ＭＳ 明朝" w:hint="eastAsia"/>
        </w:rPr>
        <w:t>対応の必要性を判断し、対策班に引き継ぐ</w:t>
      </w:r>
    </w:p>
    <w:p w14:paraId="3CEBC6F8" w14:textId="77777777" w:rsidR="008B4B2B" w:rsidRPr="008A3EDE" w:rsidRDefault="008B4B2B" w:rsidP="008B4B2B">
      <w:pPr>
        <w:pStyle w:val="ad"/>
        <w:overflowPunct w:val="0"/>
        <w:spacing w:line="400" w:lineRule="exact"/>
        <w:ind w:firstLineChars="400" w:firstLine="884"/>
        <w:rPr>
          <w:rFonts w:ascii="ＭＳ 明朝" w:hAnsi="ＭＳ 明朝"/>
        </w:rPr>
      </w:pPr>
      <w:r w:rsidRPr="008A3EDE">
        <w:rPr>
          <w:rFonts w:ascii="ＭＳ 明朝" w:hAnsi="ＭＳ 明朝" w:hint="eastAsia"/>
        </w:rPr>
        <w:t>○上記について、状況地図を作成</w:t>
      </w:r>
    </w:p>
    <w:p w14:paraId="082E7A1B" w14:textId="6044861B" w:rsidR="008B4B2B" w:rsidRPr="008A3EDE" w:rsidRDefault="008B4B2B" w:rsidP="008B4B2B">
      <w:pPr>
        <w:pStyle w:val="ad"/>
        <w:wordWrap/>
        <w:overflowPunct w:val="0"/>
        <w:spacing w:line="400" w:lineRule="exact"/>
        <w:ind w:firstLineChars="400" w:firstLine="884"/>
        <w:rPr>
          <w:rFonts w:ascii="ＭＳ 明朝" w:hAnsi="ＭＳ 明朝"/>
        </w:rPr>
      </w:pPr>
      <w:r w:rsidRPr="008A3EDE">
        <w:rPr>
          <w:rFonts w:ascii="ＭＳ 明朝" w:hAnsi="ＭＳ 明朝" w:hint="eastAsia"/>
        </w:rPr>
        <w:t>○情報班活動記録(画像、文書)作成</w:t>
      </w:r>
    </w:p>
    <w:p w14:paraId="3FD99B84" w14:textId="5A348777" w:rsidR="003C47E9" w:rsidRPr="008A3EDE" w:rsidRDefault="003C47E9" w:rsidP="00CB0BF4">
      <w:pPr>
        <w:pStyle w:val="ad"/>
        <w:wordWrap/>
        <w:overflowPunct w:val="0"/>
        <w:spacing w:line="400" w:lineRule="exact"/>
        <w:ind w:firstLineChars="400" w:firstLine="884"/>
        <w:rPr>
          <w:rFonts w:ascii="ＭＳ 明朝" w:hAnsi="ＭＳ 明朝"/>
        </w:rPr>
      </w:pPr>
      <w:r w:rsidRPr="008A3EDE">
        <w:rPr>
          <w:rFonts w:ascii="ＭＳ 明朝" w:hAnsi="ＭＳ 明朝" w:hint="eastAsia"/>
        </w:rPr>
        <w:t>〇原子力防災システムからの情報収集・入力</w:t>
      </w:r>
    </w:p>
    <w:p w14:paraId="7A0F097D" w14:textId="77777777" w:rsidR="008B4B2B" w:rsidRPr="008A3EDE" w:rsidRDefault="008B4B2B" w:rsidP="008B4B2B">
      <w:pPr>
        <w:pStyle w:val="ad"/>
        <w:wordWrap/>
        <w:overflowPunct w:val="0"/>
        <w:spacing w:line="400" w:lineRule="exact"/>
        <w:ind w:firstLineChars="400" w:firstLine="884"/>
        <w:rPr>
          <w:rFonts w:ascii="ＭＳ 明朝" w:hAnsi="ＭＳ 明朝"/>
        </w:rPr>
      </w:pPr>
    </w:p>
    <w:p w14:paraId="2DEBFCA5" w14:textId="77777777" w:rsidR="008B4B2B" w:rsidRPr="008A3EDE" w:rsidRDefault="008B4B2B" w:rsidP="008B4B2B">
      <w:pPr>
        <w:pStyle w:val="ad"/>
        <w:wordWrap/>
        <w:overflowPunct w:val="0"/>
        <w:spacing w:line="400" w:lineRule="exact"/>
        <w:rPr>
          <w:rFonts w:ascii="ＭＳ 明朝" w:hAnsi="ＭＳ 明朝"/>
          <w:u w:val="single"/>
        </w:rPr>
      </w:pPr>
      <w:r w:rsidRPr="008A3EDE">
        <w:rPr>
          <w:rFonts w:ascii="ＭＳ 明朝" w:hAnsi="ＭＳ 明朝" w:hint="eastAsia"/>
        </w:rPr>
        <w:t xml:space="preserve">　　　</w:t>
      </w:r>
      <w:r w:rsidRPr="008A3EDE">
        <w:rPr>
          <w:rFonts w:ascii="ＭＳ 明朝" w:hAnsi="ＭＳ 明朝" w:hint="eastAsia"/>
          <w:u w:val="single"/>
        </w:rPr>
        <w:t>５　対策班</w:t>
      </w:r>
    </w:p>
    <w:p w14:paraId="5147FFB6" w14:textId="77777777" w:rsidR="008B4B2B" w:rsidRPr="008A3EDE" w:rsidRDefault="008B4B2B" w:rsidP="008B4B2B">
      <w:pPr>
        <w:pStyle w:val="ad"/>
        <w:overflowPunct w:val="0"/>
        <w:spacing w:line="400" w:lineRule="exact"/>
        <w:ind w:firstLineChars="400" w:firstLine="884"/>
        <w:rPr>
          <w:rFonts w:ascii="ＭＳ 明朝" w:hAnsi="ＭＳ 明朝"/>
        </w:rPr>
      </w:pPr>
      <w:r w:rsidRPr="008A3EDE">
        <w:rPr>
          <w:rFonts w:ascii="ＭＳ 明朝" w:hAnsi="ＭＳ 明朝" w:hint="eastAsia"/>
        </w:rPr>
        <w:t>○情報班より引き継いだ案件について、対策を検討し、対応する。</w:t>
      </w:r>
    </w:p>
    <w:p w14:paraId="5229C4AE" w14:textId="77777777" w:rsidR="008B4B2B" w:rsidRPr="008A3EDE" w:rsidRDefault="008B4B2B" w:rsidP="008B4B2B">
      <w:pPr>
        <w:pStyle w:val="ad"/>
        <w:overflowPunct w:val="0"/>
        <w:spacing w:line="400" w:lineRule="exact"/>
        <w:ind w:firstLineChars="400" w:firstLine="884"/>
        <w:rPr>
          <w:rFonts w:ascii="ＭＳ 明朝" w:hAnsi="ＭＳ 明朝"/>
        </w:rPr>
      </w:pPr>
      <w:r w:rsidRPr="008A3EDE">
        <w:rPr>
          <w:rFonts w:ascii="ＭＳ 明朝" w:hAnsi="ＭＳ 明朝" w:hint="eastAsia"/>
        </w:rPr>
        <w:t>○防災関係機関（大安研、警察、消防等）への連絡・活動調整</w:t>
      </w:r>
    </w:p>
    <w:p w14:paraId="276B1FB4" w14:textId="77777777" w:rsidR="008B4B2B" w:rsidRPr="008A3EDE" w:rsidRDefault="008B4B2B" w:rsidP="008B4B2B">
      <w:pPr>
        <w:pStyle w:val="ad"/>
        <w:overflowPunct w:val="0"/>
        <w:spacing w:line="400" w:lineRule="exact"/>
        <w:ind w:leftChars="400" w:left="1065" w:hangingChars="100" w:hanging="221"/>
        <w:rPr>
          <w:rFonts w:ascii="ＭＳ 明朝" w:hAnsi="ＭＳ 明朝"/>
        </w:rPr>
      </w:pPr>
      <w:r w:rsidRPr="008A3EDE">
        <w:rPr>
          <w:rFonts w:ascii="ＭＳ 明朝" w:hAnsi="ＭＳ 明朝" w:hint="eastAsia"/>
        </w:rPr>
        <w:t>○庁内各部局・事務局各班等への指示(避難退域時検査、飲料水・飲食物摂取制限、農林水産物出荷制限など)</w:t>
      </w:r>
    </w:p>
    <w:p w14:paraId="53AC03B9" w14:textId="77777777" w:rsidR="008B4B2B" w:rsidRPr="008A3EDE" w:rsidRDefault="008B4B2B" w:rsidP="008B4B2B">
      <w:pPr>
        <w:pStyle w:val="ad"/>
        <w:overflowPunct w:val="0"/>
        <w:spacing w:line="400" w:lineRule="exact"/>
        <w:ind w:firstLineChars="400" w:firstLine="884"/>
        <w:rPr>
          <w:rFonts w:ascii="ＭＳ 明朝" w:hAnsi="ＭＳ 明朝"/>
        </w:rPr>
      </w:pPr>
      <w:r w:rsidRPr="008A3EDE">
        <w:rPr>
          <w:rFonts w:ascii="ＭＳ 明朝" w:hAnsi="ＭＳ 明朝" w:hint="eastAsia"/>
        </w:rPr>
        <w:t>○緊急通行車両証の発行手続き</w:t>
      </w:r>
    </w:p>
    <w:p w14:paraId="0917A70D" w14:textId="77777777" w:rsidR="008B4B2B" w:rsidRPr="008A3EDE" w:rsidRDefault="008B4B2B" w:rsidP="008B4B2B">
      <w:pPr>
        <w:pStyle w:val="ad"/>
        <w:overflowPunct w:val="0"/>
        <w:spacing w:line="400" w:lineRule="exact"/>
        <w:ind w:firstLineChars="400" w:firstLine="884"/>
        <w:rPr>
          <w:rFonts w:ascii="ＭＳ 明朝" w:hAnsi="ＭＳ 明朝"/>
        </w:rPr>
      </w:pPr>
      <w:r w:rsidRPr="008A3EDE">
        <w:rPr>
          <w:rFonts w:ascii="ＭＳ 明朝" w:hAnsi="ＭＳ 明朝" w:hint="eastAsia"/>
        </w:rPr>
        <w:t>○周辺市（泉佐野市）及び指定地方公共機関への情報連絡</w:t>
      </w:r>
    </w:p>
    <w:p w14:paraId="6B706534" w14:textId="77777777" w:rsidR="008B4B2B" w:rsidRPr="001D6D10" w:rsidRDefault="008B4B2B" w:rsidP="008B4B2B">
      <w:pPr>
        <w:pStyle w:val="ad"/>
        <w:overflowPunct w:val="0"/>
        <w:spacing w:line="400" w:lineRule="exact"/>
        <w:ind w:firstLineChars="400" w:firstLine="884"/>
        <w:rPr>
          <w:rFonts w:ascii="ＭＳ 明朝" w:hAnsi="ＭＳ 明朝"/>
        </w:rPr>
      </w:pPr>
      <w:r w:rsidRPr="008A3EDE">
        <w:rPr>
          <w:rFonts w:ascii="ＭＳ 明朝" w:hAnsi="ＭＳ 明朝" w:hint="eastAsia"/>
        </w:rPr>
        <w:t>○庁内各部局の対策実施状況の情報収集・</w:t>
      </w:r>
      <w:r w:rsidRPr="001D6D10">
        <w:rPr>
          <w:rFonts w:ascii="ＭＳ 明朝" w:hAnsi="ＭＳ 明朝" w:hint="eastAsia"/>
        </w:rPr>
        <w:t>整理</w:t>
      </w:r>
    </w:p>
    <w:p w14:paraId="347465CD" w14:textId="77777777" w:rsidR="008B4B2B" w:rsidRPr="001D6D10" w:rsidRDefault="008B4B2B" w:rsidP="008B4B2B">
      <w:pPr>
        <w:pStyle w:val="ad"/>
        <w:overflowPunct w:val="0"/>
        <w:spacing w:line="400" w:lineRule="exact"/>
        <w:ind w:firstLineChars="400" w:firstLine="884"/>
        <w:rPr>
          <w:rFonts w:ascii="ＭＳ 明朝" w:hAnsi="ＭＳ 明朝"/>
        </w:rPr>
      </w:pPr>
      <w:r w:rsidRPr="001D6D10">
        <w:rPr>
          <w:rFonts w:ascii="ＭＳ 明朝" w:hAnsi="ＭＳ 明朝" w:hint="eastAsia"/>
        </w:rPr>
        <w:t>○危機管理センターの機器操作</w:t>
      </w:r>
    </w:p>
    <w:p w14:paraId="70722F9A" w14:textId="77777777" w:rsidR="008B4B2B" w:rsidRPr="001D6D10" w:rsidRDefault="008B4B2B" w:rsidP="008B4B2B">
      <w:pPr>
        <w:pStyle w:val="ad"/>
        <w:overflowPunct w:val="0"/>
        <w:spacing w:line="400" w:lineRule="exact"/>
        <w:ind w:firstLineChars="400" w:firstLine="884"/>
        <w:rPr>
          <w:rFonts w:ascii="ＭＳ 明朝" w:hAnsi="ＭＳ 明朝"/>
        </w:rPr>
      </w:pPr>
      <w:r w:rsidRPr="001D6D10">
        <w:rPr>
          <w:rFonts w:ascii="ＭＳ 明朝" w:hAnsi="ＭＳ 明朝" w:hint="eastAsia"/>
        </w:rPr>
        <w:t>○防災行政無線、各種システムの運用</w:t>
      </w:r>
    </w:p>
    <w:p w14:paraId="679927BF" w14:textId="77777777" w:rsidR="008B4B2B" w:rsidRPr="001D6D10" w:rsidRDefault="008B4B2B" w:rsidP="008B4B2B">
      <w:pPr>
        <w:pStyle w:val="ad"/>
        <w:wordWrap/>
        <w:overflowPunct w:val="0"/>
        <w:spacing w:line="400" w:lineRule="exact"/>
        <w:ind w:firstLineChars="400" w:firstLine="884"/>
        <w:rPr>
          <w:rFonts w:ascii="ＭＳ 明朝" w:hAnsi="ＭＳ 明朝"/>
        </w:rPr>
      </w:pPr>
      <w:r w:rsidRPr="001D6D10">
        <w:rPr>
          <w:rFonts w:ascii="ＭＳ 明朝" w:hAnsi="ＭＳ 明朝" w:hint="eastAsia"/>
        </w:rPr>
        <w:t>○対策班活動記録(画像、文書)作成</w:t>
      </w:r>
    </w:p>
    <w:p w14:paraId="7996AD83" w14:textId="77777777" w:rsidR="008B4B2B" w:rsidRPr="001D6D10" w:rsidRDefault="008B4B2B" w:rsidP="008B4B2B">
      <w:pPr>
        <w:pStyle w:val="ad"/>
        <w:overflowPunct w:val="0"/>
        <w:spacing w:line="400" w:lineRule="exact"/>
        <w:ind w:firstLineChars="400" w:firstLine="884"/>
        <w:rPr>
          <w:rFonts w:ascii="ＭＳ 明朝" w:hAnsi="ＭＳ 明朝"/>
        </w:rPr>
      </w:pPr>
      <w:r w:rsidRPr="001D6D10">
        <w:rPr>
          <w:rFonts w:ascii="ＭＳ 明朝" w:hAnsi="ＭＳ 明朝" w:hint="eastAsia"/>
        </w:rPr>
        <w:t>○プル型支援の準備</w:t>
      </w:r>
    </w:p>
    <w:p w14:paraId="248B86B5" w14:textId="77777777" w:rsidR="008B4B2B" w:rsidRPr="001D6D10" w:rsidRDefault="008B4B2B" w:rsidP="008B4B2B">
      <w:pPr>
        <w:pStyle w:val="ad"/>
        <w:wordWrap/>
        <w:overflowPunct w:val="0"/>
        <w:spacing w:line="400" w:lineRule="exact"/>
        <w:ind w:firstLineChars="400" w:firstLine="884"/>
        <w:rPr>
          <w:rFonts w:ascii="ＭＳ 明朝" w:hAnsi="ＭＳ 明朝"/>
        </w:rPr>
      </w:pPr>
      <w:r w:rsidRPr="001D6D10">
        <w:rPr>
          <w:rFonts w:ascii="ＭＳ 明朝" w:hAnsi="ＭＳ 明朝" w:hint="eastAsia"/>
        </w:rPr>
        <w:t>○備蓄物資等の出在庫管理</w:t>
      </w:r>
    </w:p>
    <w:p w14:paraId="507345B6" w14:textId="28F36D74" w:rsidR="00596CB1" w:rsidRPr="00982E6E" w:rsidRDefault="00596CB1" w:rsidP="00E0548A">
      <w:pPr>
        <w:widowControl/>
        <w:jc w:val="left"/>
        <w:rPr>
          <w:rFonts w:ascii="ＭＳ ゴシック" w:eastAsia="ＭＳ ゴシック" w:hAnsi="ＭＳ ゴシック"/>
        </w:rPr>
      </w:pPr>
      <w:r>
        <w:rPr>
          <w:rFonts w:ascii="ＭＳ ゴシック" w:eastAsia="ＭＳ ゴシック" w:hAnsi="ＭＳ ゴシック"/>
        </w:rPr>
        <w:br w:type="page"/>
      </w:r>
    </w:p>
    <w:p w14:paraId="17BB9B02" w14:textId="39435FE8" w:rsidR="008B4B2B" w:rsidRPr="001D6D10" w:rsidRDefault="008B4B2B" w:rsidP="00831F71">
      <w:pPr>
        <w:pStyle w:val="a0"/>
        <w:ind w:firstLineChars="200" w:firstLine="562"/>
        <w:outlineLvl w:val="1"/>
        <w:rPr>
          <w:rFonts w:ascii="ＭＳ ゴシック" w:eastAsia="ＭＳ ゴシック" w:hAnsi="ＭＳ ゴシック"/>
        </w:rPr>
      </w:pPr>
      <w:bookmarkStart w:id="492" w:name="_Toc122436995"/>
      <w:bookmarkStart w:id="493" w:name="_Toc222433326"/>
      <w:bookmarkStart w:id="494" w:name="_Toc222486694"/>
      <w:bookmarkStart w:id="495" w:name="_Toc242870365"/>
      <w:r w:rsidRPr="001D6D10">
        <w:rPr>
          <w:rFonts w:ascii="ＭＳ ゴシック" w:eastAsia="ＭＳ ゴシック" w:hAnsi="ＭＳ ゴシック" w:hint="eastAsia"/>
          <w:bCs/>
          <w:sz w:val="28"/>
          <w:szCs w:val="28"/>
        </w:rPr>
        <w:lastRenderedPageBreak/>
        <w:t>第４節　防災業務関係者の安全確保</w:t>
      </w:r>
      <w:bookmarkEnd w:id="492"/>
      <w:bookmarkEnd w:id="493"/>
      <w:bookmarkEnd w:id="494"/>
      <w:bookmarkEnd w:id="495"/>
    </w:p>
    <w:p w14:paraId="1336599F" w14:textId="77777777" w:rsidR="008B4B2B" w:rsidRPr="001D6D10" w:rsidRDefault="008B4B2B" w:rsidP="008B4B2B">
      <w:pPr>
        <w:pStyle w:val="a0"/>
        <w:spacing w:line="0" w:lineRule="atLeast"/>
        <w:rPr>
          <w:rFonts w:ascii="ＭＳ ゴシック" w:eastAsia="ＭＳ ゴシック" w:hAnsi="ＭＳ ゴシック"/>
          <w:sz w:val="22"/>
          <w:szCs w:val="22"/>
          <w:bdr w:val="single" w:sz="4" w:space="0" w:color="auto"/>
        </w:rPr>
      </w:pPr>
      <w:r w:rsidRPr="001D6D10">
        <w:rPr>
          <w:rFonts w:ascii="ＭＳ ゴシック" w:eastAsia="ＭＳ ゴシック" w:hAnsi="ＭＳ ゴシック" w:hint="eastAsia"/>
          <w:sz w:val="22"/>
          <w:szCs w:val="22"/>
          <w:bdr w:val="single" w:sz="4" w:space="0" w:color="auto"/>
        </w:rPr>
        <w:t>主たる担当：危機管理室、政策企画部、健康医療部、都市整備部、大阪港湾局</w:t>
      </w:r>
    </w:p>
    <w:p w14:paraId="2718DD97" w14:textId="77777777" w:rsidR="008B4B2B" w:rsidRPr="001D6D10" w:rsidRDefault="008B4B2B" w:rsidP="008B4B2B">
      <w:pPr>
        <w:pStyle w:val="a0"/>
        <w:ind w:leftChars="400" w:left="844" w:firstLineChars="100" w:firstLine="221"/>
        <w:rPr>
          <w:rFonts w:hAnsi="ＭＳ 明朝"/>
          <w:sz w:val="22"/>
          <w:szCs w:val="22"/>
        </w:rPr>
      </w:pPr>
      <w:r w:rsidRPr="001D6D10">
        <w:rPr>
          <w:rFonts w:hAnsi="ＭＳ 明朝" w:hint="eastAsia"/>
          <w:sz w:val="22"/>
          <w:szCs w:val="22"/>
        </w:rPr>
        <w:t>防災業務関係者が被ばくする可能性のある環境下で活動する場合には、国、関係市町、原子力事業者及び現場指揮者との情報交換を行い、連携を密にし、適切な被ばく管理を行う。</w:t>
      </w:r>
    </w:p>
    <w:p w14:paraId="7FF99F80" w14:textId="77777777" w:rsidR="008B4B2B" w:rsidRPr="001D6D10" w:rsidRDefault="008B4B2B" w:rsidP="008B4B2B">
      <w:pPr>
        <w:pStyle w:val="a0"/>
        <w:ind w:firstLineChars="300" w:firstLine="663"/>
        <w:rPr>
          <w:rFonts w:hAnsi="ＭＳ 明朝"/>
          <w:sz w:val="22"/>
          <w:szCs w:val="22"/>
        </w:rPr>
      </w:pPr>
    </w:p>
    <w:p w14:paraId="2668F3CD" w14:textId="77777777" w:rsidR="008B4B2B" w:rsidRPr="001D6D10" w:rsidRDefault="008B4B2B" w:rsidP="00831F71">
      <w:pPr>
        <w:pStyle w:val="a0"/>
        <w:ind w:firstLineChars="150" w:firstLine="422"/>
        <w:outlineLvl w:val="1"/>
        <w:rPr>
          <w:rFonts w:ascii="ＭＳ ゴシック" w:eastAsia="ＭＳ ゴシック" w:hAnsi="ＭＳ ゴシック"/>
        </w:rPr>
      </w:pPr>
      <w:bookmarkStart w:id="496" w:name="_Toc122436996"/>
      <w:bookmarkStart w:id="497" w:name="_Toc222433327"/>
      <w:bookmarkStart w:id="498" w:name="_Toc222486695"/>
      <w:bookmarkStart w:id="499" w:name="_Toc242870366"/>
      <w:r w:rsidRPr="001D6D10">
        <w:rPr>
          <w:rFonts w:ascii="ＭＳ ゴシック" w:eastAsia="ＭＳ ゴシック" w:hAnsi="ＭＳ ゴシック" w:hint="eastAsia"/>
          <w:bCs/>
          <w:sz w:val="28"/>
          <w:szCs w:val="28"/>
        </w:rPr>
        <w:t>第５節　緊急時モニタリングの実施</w:t>
      </w:r>
      <w:bookmarkEnd w:id="496"/>
      <w:bookmarkEnd w:id="497"/>
      <w:bookmarkEnd w:id="498"/>
      <w:bookmarkEnd w:id="499"/>
    </w:p>
    <w:p w14:paraId="235DD485" w14:textId="77777777" w:rsidR="008B4B2B" w:rsidRPr="001D6D10" w:rsidRDefault="008B4B2B" w:rsidP="008B4B2B">
      <w:pPr>
        <w:pStyle w:val="a0"/>
        <w:spacing w:line="0" w:lineRule="atLeast"/>
        <w:ind w:firstLineChars="650" w:firstLine="1437"/>
        <w:rPr>
          <w:rFonts w:ascii="ＭＳ ゴシック" w:eastAsia="ＭＳ ゴシック" w:hAnsi="ＭＳ ゴシック"/>
          <w:sz w:val="22"/>
          <w:szCs w:val="22"/>
          <w:bdr w:val="single" w:sz="4" w:space="0" w:color="auto"/>
        </w:rPr>
      </w:pPr>
      <w:r w:rsidRPr="001D6D10">
        <w:rPr>
          <w:rFonts w:ascii="ＭＳ ゴシック" w:eastAsia="ＭＳ ゴシック" w:hAnsi="ＭＳ ゴシック" w:hint="eastAsia"/>
          <w:sz w:val="22"/>
          <w:szCs w:val="22"/>
          <w:bdr w:val="single" w:sz="4" w:space="0" w:color="auto"/>
        </w:rPr>
        <w:t>主たる担当：危機管理室</w:t>
      </w:r>
    </w:p>
    <w:p w14:paraId="61AEAC02" w14:textId="77777777" w:rsidR="008B4B2B" w:rsidRPr="001D6D10" w:rsidRDefault="008B4B2B" w:rsidP="008B4B2B">
      <w:pPr>
        <w:pStyle w:val="a0"/>
        <w:ind w:leftChars="400" w:left="844" w:firstLineChars="100" w:firstLine="221"/>
        <w:rPr>
          <w:rFonts w:hAnsi="ＭＳ 明朝"/>
          <w:sz w:val="22"/>
          <w:szCs w:val="22"/>
        </w:rPr>
      </w:pPr>
      <w:r w:rsidRPr="001D6D10">
        <w:rPr>
          <w:rFonts w:hAnsi="ＭＳ 明朝" w:hint="eastAsia"/>
          <w:sz w:val="22"/>
          <w:szCs w:val="22"/>
        </w:rPr>
        <w:t>緊急時モニタリング計画等に基づき、国、関係市町、指定公共機関及び原子力事業者等と連携して緊急時モニタリング活動を行う</w:t>
      </w:r>
    </w:p>
    <w:p w14:paraId="0509C3B0" w14:textId="77777777" w:rsidR="008B4B2B" w:rsidRPr="001D6D10" w:rsidRDefault="008B4B2B" w:rsidP="008B4B2B">
      <w:pPr>
        <w:pStyle w:val="a0"/>
        <w:ind w:firstLineChars="300" w:firstLine="663"/>
        <w:rPr>
          <w:rFonts w:hAnsi="ＭＳ 明朝"/>
          <w:sz w:val="22"/>
          <w:szCs w:val="22"/>
        </w:rPr>
      </w:pPr>
    </w:p>
    <w:p w14:paraId="62A4ED2F" w14:textId="77777777" w:rsidR="008B4B2B" w:rsidRPr="001D6D10" w:rsidRDefault="008B4B2B" w:rsidP="00831F71">
      <w:pPr>
        <w:pStyle w:val="a0"/>
        <w:ind w:firstLineChars="150" w:firstLine="422"/>
        <w:outlineLvl w:val="1"/>
        <w:rPr>
          <w:rFonts w:ascii="ＭＳ ゴシック" w:eastAsia="ＭＳ ゴシック" w:hAnsi="ＭＳ ゴシック"/>
        </w:rPr>
      </w:pPr>
      <w:bookmarkStart w:id="500" w:name="_Toc122436997"/>
      <w:bookmarkStart w:id="501" w:name="_Toc222433328"/>
      <w:bookmarkStart w:id="502" w:name="_Toc222486696"/>
      <w:bookmarkStart w:id="503" w:name="_Toc242870367"/>
      <w:r w:rsidRPr="001D6D10">
        <w:rPr>
          <w:rFonts w:ascii="ＭＳ ゴシック" w:eastAsia="ＭＳ ゴシック" w:hAnsi="ＭＳ ゴシック" w:hint="eastAsia"/>
          <w:bCs/>
          <w:sz w:val="28"/>
          <w:szCs w:val="28"/>
        </w:rPr>
        <w:t>第６節　救助・救急・医療活動</w:t>
      </w:r>
      <w:bookmarkEnd w:id="500"/>
      <w:bookmarkEnd w:id="501"/>
      <w:bookmarkEnd w:id="502"/>
      <w:bookmarkEnd w:id="503"/>
    </w:p>
    <w:p w14:paraId="6C2C1164" w14:textId="77777777" w:rsidR="008B4B2B" w:rsidRPr="001D6D10" w:rsidRDefault="008B4B2B" w:rsidP="008B4B2B">
      <w:pPr>
        <w:pStyle w:val="a0"/>
        <w:spacing w:line="0" w:lineRule="atLeast"/>
        <w:ind w:firstLineChars="650" w:firstLine="1437"/>
        <w:rPr>
          <w:rFonts w:ascii="ＭＳ ゴシック" w:eastAsia="ＭＳ ゴシック" w:hAnsi="ＭＳ ゴシック"/>
          <w:sz w:val="22"/>
          <w:szCs w:val="22"/>
          <w:bdr w:val="single" w:sz="4" w:space="0" w:color="auto"/>
        </w:rPr>
      </w:pPr>
      <w:r w:rsidRPr="001D6D10">
        <w:rPr>
          <w:rFonts w:ascii="ＭＳ ゴシック" w:eastAsia="ＭＳ ゴシック" w:hAnsi="ＭＳ ゴシック" w:hint="eastAsia"/>
          <w:sz w:val="22"/>
          <w:szCs w:val="22"/>
          <w:bdr w:val="single" w:sz="4" w:space="0" w:color="auto"/>
        </w:rPr>
        <w:t>主たる担当：危機管理室、健康医療部</w:t>
      </w:r>
    </w:p>
    <w:p w14:paraId="71A42A0D" w14:textId="77777777" w:rsidR="008B4B2B" w:rsidRPr="001D6D10" w:rsidRDefault="008B4B2B" w:rsidP="008B4B2B">
      <w:pPr>
        <w:pStyle w:val="ad"/>
        <w:wordWrap/>
        <w:overflowPunct w:val="0"/>
        <w:spacing w:line="400" w:lineRule="exact"/>
        <w:rPr>
          <w:rFonts w:ascii="ＭＳ 明朝" w:hAnsi="ＭＳ 明朝"/>
          <w:u w:val="single"/>
        </w:rPr>
      </w:pPr>
      <w:r w:rsidRPr="001D6D10">
        <w:rPr>
          <w:rFonts w:ascii="ＭＳ 明朝" w:hAnsi="ＭＳ 明朝" w:hint="eastAsia"/>
        </w:rPr>
        <w:t xml:space="preserve">　　　</w:t>
      </w:r>
      <w:r w:rsidRPr="001D6D10">
        <w:rPr>
          <w:rFonts w:ascii="ＭＳ 明朝" w:hAnsi="ＭＳ 明朝" w:hint="eastAsia"/>
          <w:u w:val="single"/>
        </w:rPr>
        <w:t>１　救助・救急活動</w:t>
      </w:r>
    </w:p>
    <w:p w14:paraId="41EE3753" w14:textId="77777777" w:rsidR="008B4B2B" w:rsidRPr="001D6D10" w:rsidRDefault="008B4B2B" w:rsidP="008B4B2B">
      <w:pPr>
        <w:pStyle w:val="ad"/>
        <w:wordWrap/>
        <w:overflowPunct w:val="0"/>
        <w:spacing w:line="400" w:lineRule="exact"/>
        <w:ind w:leftChars="400" w:left="844" w:firstLineChars="100" w:firstLine="221"/>
        <w:rPr>
          <w:rFonts w:ascii="ＭＳ 明朝" w:hAnsi="ＭＳ 明朝"/>
        </w:rPr>
      </w:pPr>
      <w:r w:rsidRPr="001D6D10">
        <w:rPr>
          <w:rFonts w:ascii="ＭＳ 明朝" w:hAnsi="ＭＳ 明朝" w:hint="eastAsia"/>
        </w:rPr>
        <w:t>府、関係市町、府警察、第五管区海上保安本部及び自衛隊は、相互に連携を図りつつ、迅速かつ的確に救助・救急活動を実施する。</w:t>
      </w:r>
    </w:p>
    <w:p w14:paraId="6ACD35B4" w14:textId="77777777" w:rsidR="008B4B2B" w:rsidRPr="001D6D10" w:rsidRDefault="008B4B2B" w:rsidP="008B4B2B">
      <w:pPr>
        <w:pStyle w:val="ad"/>
        <w:wordWrap/>
        <w:overflowPunct w:val="0"/>
        <w:spacing w:line="400" w:lineRule="exact"/>
        <w:rPr>
          <w:rFonts w:ascii="ＭＳ 明朝" w:hAnsi="ＭＳ 明朝"/>
          <w:u w:val="single"/>
        </w:rPr>
      </w:pPr>
      <w:r w:rsidRPr="001D6D10">
        <w:rPr>
          <w:rFonts w:ascii="ＭＳ 明朝" w:hAnsi="ＭＳ 明朝" w:hint="eastAsia"/>
        </w:rPr>
        <w:t xml:space="preserve">　　　</w:t>
      </w:r>
      <w:r w:rsidRPr="001D6D10">
        <w:rPr>
          <w:rFonts w:ascii="ＭＳ 明朝" w:hAnsi="ＭＳ 明朝" w:hint="eastAsia"/>
          <w:u w:val="single"/>
        </w:rPr>
        <w:t>２　医療活動</w:t>
      </w:r>
    </w:p>
    <w:p w14:paraId="5D923054" w14:textId="77777777" w:rsidR="008B4B2B" w:rsidRPr="001D6D10" w:rsidRDefault="008B4B2B" w:rsidP="008B4B2B">
      <w:pPr>
        <w:pStyle w:val="ad"/>
        <w:wordWrap/>
        <w:overflowPunct w:val="0"/>
        <w:spacing w:line="400" w:lineRule="exact"/>
        <w:ind w:left="884" w:hangingChars="400" w:hanging="884"/>
        <w:rPr>
          <w:rFonts w:ascii="ＭＳ 明朝" w:hAnsi="ＭＳ 明朝"/>
        </w:rPr>
      </w:pPr>
      <w:r w:rsidRPr="001D6D10">
        <w:rPr>
          <w:rFonts w:ascii="ＭＳ 明朝" w:hAnsi="ＭＳ 明朝" w:hint="eastAsia"/>
        </w:rPr>
        <w:t xml:space="preserve">　　　　　府は、国、関係市町、原子力災害拠点病院、原子力災害医療協力機関及び大阪府医師会等の協力を得て、医療救護活動を実施する。</w:t>
      </w:r>
    </w:p>
    <w:p w14:paraId="4C54DCC2" w14:textId="77777777" w:rsidR="008B4B2B" w:rsidRPr="001D6D10" w:rsidRDefault="008B4B2B" w:rsidP="008B4B2B">
      <w:pPr>
        <w:pStyle w:val="ad"/>
        <w:wordWrap/>
        <w:overflowPunct w:val="0"/>
        <w:spacing w:line="400" w:lineRule="exact"/>
        <w:ind w:left="884" w:hangingChars="400" w:hanging="884"/>
        <w:rPr>
          <w:rFonts w:ascii="ＭＳ 明朝" w:hAnsi="ＭＳ 明朝"/>
        </w:rPr>
      </w:pPr>
    </w:p>
    <w:p w14:paraId="6EA5DAF0" w14:textId="77777777" w:rsidR="008B4B2B" w:rsidRPr="001D6D10" w:rsidRDefault="008B4B2B" w:rsidP="00831F71">
      <w:pPr>
        <w:pStyle w:val="a0"/>
        <w:ind w:firstLineChars="150" w:firstLine="422"/>
        <w:outlineLvl w:val="1"/>
        <w:rPr>
          <w:rFonts w:ascii="ＭＳ ゴシック" w:eastAsia="ＭＳ ゴシック" w:hAnsi="ＭＳ ゴシック"/>
        </w:rPr>
      </w:pPr>
      <w:bookmarkStart w:id="504" w:name="_Toc122436998"/>
      <w:bookmarkStart w:id="505" w:name="_Toc222433329"/>
      <w:bookmarkStart w:id="506" w:name="_Toc222486697"/>
      <w:bookmarkStart w:id="507" w:name="_Toc242870368"/>
      <w:r w:rsidRPr="001D6D10">
        <w:rPr>
          <w:rFonts w:ascii="ＭＳ ゴシック" w:eastAsia="ＭＳ ゴシック" w:hAnsi="ＭＳ ゴシック" w:hint="eastAsia"/>
          <w:bCs/>
          <w:sz w:val="28"/>
          <w:szCs w:val="28"/>
        </w:rPr>
        <w:t>第７節　屋内退避、避難受入れ等の防護活動</w:t>
      </w:r>
      <w:bookmarkEnd w:id="504"/>
      <w:bookmarkEnd w:id="505"/>
      <w:bookmarkEnd w:id="506"/>
      <w:bookmarkEnd w:id="507"/>
    </w:p>
    <w:p w14:paraId="6BCD0892" w14:textId="77777777" w:rsidR="008B4B2B" w:rsidRPr="001D6D10" w:rsidRDefault="008B4B2B" w:rsidP="008B4B2B">
      <w:pPr>
        <w:pStyle w:val="a0"/>
        <w:spacing w:line="0" w:lineRule="atLeast"/>
        <w:ind w:firstLineChars="650" w:firstLine="1437"/>
        <w:rPr>
          <w:rFonts w:ascii="ＭＳ ゴシック" w:eastAsia="ＭＳ ゴシック" w:hAnsi="ＭＳ ゴシック"/>
          <w:sz w:val="22"/>
          <w:szCs w:val="22"/>
          <w:bdr w:val="single" w:sz="4" w:space="0" w:color="auto"/>
        </w:rPr>
      </w:pPr>
      <w:r w:rsidRPr="001D6D10">
        <w:rPr>
          <w:rFonts w:ascii="ＭＳ ゴシック" w:eastAsia="ＭＳ ゴシック" w:hAnsi="ＭＳ ゴシック" w:hint="eastAsia"/>
          <w:sz w:val="22"/>
          <w:szCs w:val="22"/>
          <w:bdr w:val="single" w:sz="4" w:space="0" w:color="auto"/>
        </w:rPr>
        <w:t>主たる担当：危機管理室、関係室・課</w:t>
      </w:r>
    </w:p>
    <w:p w14:paraId="33CEABB8" w14:textId="77777777" w:rsidR="008B4B2B" w:rsidRPr="001D6D10" w:rsidRDefault="008B4B2B" w:rsidP="008B4B2B">
      <w:pPr>
        <w:pStyle w:val="ad"/>
        <w:wordWrap/>
        <w:overflowPunct w:val="0"/>
        <w:spacing w:line="400" w:lineRule="exact"/>
        <w:ind w:leftChars="200" w:left="422" w:firstLineChars="100" w:firstLine="221"/>
        <w:rPr>
          <w:rFonts w:ascii="ＭＳ 明朝" w:hAnsi="ＭＳ 明朝"/>
        </w:rPr>
      </w:pPr>
      <w:r w:rsidRPr="001D6D10">
        <w:rPr>
          <w:rFonts w:ascii="ＭＳ 明朝" w:hAnsi="ＭＳ 明朝" w:hint="eastAsia"/>
        </w:rPr>
        <w:t>放射性物質及び放射線の放出に伴う放射線被ばくから住民を防護するため、防災関係機関は相互に連携し、屋内退避又は避難等の勧告、指示、誘導等必要な措置を講ずるとともに、避難退域時検査を行う。</w:t>
      </w:r>
    </w:p>
    <w:p w14:paraId="1A9E943A" w14:textId="34630331" w:rsidR="001111CC" w:rsidRDefault="001111CC">
      <w:pPr>
        <w:widowControl/>
        <w:jc w:val="left"/>
        <w:rPr>
          <w:rFonts w:ascii="ＭＳ 明朝" w:hAnsi="ＭＳ 明朝" w:cs="Courier New"/>
          <w:szCs w:val="21"/>
        </w:rPr>
      </w:pPr>
      <w:r>
        <w:rPr>
          <w:rFonts w:hAnsi="ＭＳ 明朝"/>
        </w:rPr>
        <w:br w:type="page"/>
      </w:r>
    </w:p>
    <w:p w14:paraId="6BF56DF1" w14:textId="38205F81" w:rsidR="008B4B2B" w:rsidRPr="001D6D10" w:rsidRDefault="008B4B2B" w:rsidP="00831F71">
      <w:pPr>
        <w:pStyle w:val="a0"/>
        <w:ind w:firstLineChars="150" w:firstLine="422"/>
        <w:outlineLvl w:val="1"/>
        <w:rPr>
          <w:rFonts w:ascii="ＭＳ ゴシック" w:eastAsia="ＭＳ ゴシック" w:hAnsi="ＭＳ ゴシック"/>
        </w:rPr>
      </w:pPr>
      <w:bookmarkStart w:id="508" w:name="_Toc122436999"/>
      <w:bookmarkStart w:id="509" w:name="_Toc222433330"/>
      <w:bookmarkStart w:id="510" w:name="_Toc222486698"/>
      <w:bookmarkStart w:id="511" w:name="_Toc242870369"/>
      <w:r w:rsidRPr="001D6D10">
        <w:rPr>
          <w:rFonts w:ascii="ＭＳ ゴシック" w:eastAsia="ＭＳ ゴシック" w:hAnsi="ＭＳ ゴシック" w:hint="eastAsia"/>
          <w:bCs/>
          <w:sz w:val="28"/>
          <w:szCs w:val="28"/>
        </w:rPr>
        <w:lastRenderedPageBreak/>
        <w:t>第８節　飲食物の出荷制限、摂取制限等</w:t>
      </w:r>
      <w:bookmarkEnd w:id="508"/>
      <w:bookmarkEnd w:id="509"/>
      <w:bookmarkEnd w:id="510"/>
      <w:bookmarkEnd w:id="511"/>
    </w:p>
    <w:p w14:paraId="4187A4FF" w14:textId="77777777" w:rsidR="008B4B2B" w:rsidRPr="001D6D10" w:rsidRDefault="008B4B2B" w:rsidP="008B4B2B">
      <w:pPr>
        <w:pStyle w:val="a0"/>
        <w:spacing w:line="0" w:lineRule="atLeast"/>
        <w:ind w:firstLineChars="650" w:firstLine="1437"/>
        <w:rPr>
          <w:rFonts w:ascii="ＭＳ ゴシック" w:eastAsia="ＭＳ ゴシック" w:hAnsi="ＭＳ ゴシック"/>
          <w:sz w:val="22"/>
          <w:szCs w:val="22"/>
          <w:bdr w:val="single" w:sz="4" w:space="0" w:color="auto"/>
        </w:rPr>
      </w:pPr>
      <w:r w:rsidRPr="001D6D10">
        <w:rPr>
          <w:rFonts w:ascii="ＭＳ ゴシック" w:eastAsia="ＭＳ ゴシック" w:hAnsi="ＭＳ ゴシック" w:hint="eastAsia"/>
          <w:sz w:val="22"/>
          <w:szCs w:val="22"/>
          <w:bdr w:val="single" w:sz="4" w:space="0" w:color="auto"/>
        </w:rPr>
        <w:t>主たる担当：危機管理室、健康医療部、流通対策室</w:t>
      </w:r>
    </w:p>
    <w:p w14:paraId="0BD19A97" w14:textId="77777777" w:rsidR="008B4B2B" w:rsidRPr="001D6D10" w:rsidRDefault="008B4B2B" w:rsidP="008B4B2B">
      <w:pPr>
        <w:pStyle w:val="ad"/>
        <w:wordWrap/>
        <w:overflowPunct w:val="0"/>
        <w:spacing w:line="400" w:lineRule="exact"/>
        <w:ind w:left="442" w:hangingChars="200" w:hanging="442"/>
        <w:rPr>
          <w:rFonts w:ascii="ＭＳ 明朝" w:hAnsi="ＭＳ 明朝"/>
        </w:rPr>
      </w:pPr>
      <w:r w:rsidRPr="001D6D10">
        <w:rPr>
          <w:rFonts w:ascii="ＭＳ 明朝" w:hAnsi="ＭＳ 明朝" w:hint="eastAsia"/>
        </w:rPr>
        <w:t xml:space="preserve">　　　緊急時モニタリング結果に応じたＯＩＬに基づき、飲料水、飲食物等について、「飲食物摂取制限に関する指標」の基準を超え、又は超えるおそれがあると認められる場合は、国の指導・助言及び指示等を踏まえ、汚染水源の使用禁止、汚染飲料水の飲用禁止の措置及び汚染飲食物の摂取制限等必要な措置をとるよう関係市町に指示する。</w:t>
      </w:r>
    </w:p>
    <w:p w14:paraId="03243F11" w14:textId="77777777" w:rsidR="008B4B2B" w:rsidRPr="001D6D10" w:rsidRDefault="008B4B2B" w:rsidP="008B4B2B">
      <w:pPr>
        <w:pStyle w:val="ad"/>
        <w:wordWrap/>
        <w:overflowPunct w:val="0"/>
        <w:spacing w:line="400" w:lineRule="exact"/>
        <w:ind w:firstLineChars="200" w:firstLine="442"/>
        <w:rPr>
          <w:rFonts w:ascii="ＭＳ 明朝" w:hAnsi="ＭＳ 明朝"/>
        </w:rPr>
      </w:pPr>
    </w:p>
    <w:p w14:paraId="20942919" w14:textId="77777777" w:rsidR="008B4B2B" w:rsidRPr="001D6D10" w:rsidRDefault="008B4B2B" w:rsidP="00831F71">
      <w:pPr>
        <w:pStyle w:val="a0"/>
        <w:ind w:firstLineChars="150" w:firstLine="422"/>
        <w:outlineLvl w:val="1"/>
        <w:rPr>
          <w:rFonts w:ascii="ＭＳ ゴシック" w:eastAsia="ＭＳ ゴシック" w:hAnsi="ＭＳ ゴシック"/>
        </w:rPr>
      </w:pPr>
      <w:bookmarkStart w:id="512" w:name="_Toc122437000"/>
      <w:bookmarkStart w:id="513" w:name="_Toc222433331"/>
      <w:bookmarkStart w:id="514" w:name="_Toc222486699"/>
      <w:bookmarkStart w:id="515" w:name="_Toc242870370"/>
      <w:r w:rsidRPr="001D6D10">
        <w:rPr>
          <w:rFonts w:ascii="ＭＳ ゴシック" w:eastAsia="ＭＳ ゴシック" w:hAnsi="ＭＳ ゴシック" w:hint="eastAsia"/>
          <w:bCs/>
          <w:sz w:val="28"/>
          <w:szCs w:val="28"/>
        </w:rPr>
        <w:t>第９節　交通規制、緊急輸送活動</w:t>
      </w:r>
      <w:bookmarkEnd w:id="512"/>
      <w:bookmarkEnd w:id="513"/>
      <w:bookmarkEnd w:id="514"/>
      <w:bookmarkEnd w:id="515"/>
    </w:p>
    <w:p w14:paraId="6EF96738" w14:textId="77777777" w:rsidR="008B4B2B" w:rsidRPr="001D6D10" w:rsidRDefault="008B4B2B" w:rsidP="008B4B2B">
      <w:pPr>
        <w:pStyle w:val="a0"/>
        <w:spacing w:line="0" w:lineRule="atLeast"/>
        <w:ind w:firstLineChars="650" w:firstLine="1437"/>
        <w:rPr>
          <w:rFonts w:ascii="ＭＳ ゴシック" w:eastAsia="ＭＳ ゴシック" w:hAnsi="ＭＳ ゴシック"/>
          <w:sz w:val="22"/>
          <w:szCs w:val="22"/>
          <w:bdr w:val="single" w:sz="4" w:space="0" w:color="auto"/>
        </w:rPr>
      </w:pPr>
      <w:r w:rsidRPr="001D6D10">
        <w:rPr>
          <w:rFonts w:ascii="ＭＳ ゴシック" w:eastAsia="ＭＳ ゴシック" w:hAnsi="ＭＳ ゴシック" w:hint="eastAsia"/>
          <w:sz w:val="22"/>
          <w:szCs w:val="22"/>
          <w:bdr w:val="single" w:sz="4" w:space="0" w:color="auto"/>
        </w:rPr>
        <w:t>主たる担当：危機管理室、都市整備部、大阪港湾局</w:t>
      </w:r>
    </w:p>
    <w:p w14:paraId="70F9B698" w14:textId="77777777" w:rsidR="008B4B2B" w:rsidRPr="001D6D10" w:rsidRDefault="008B4B2B" w:rsidP="008B4B2B">
      <w:pPr>
        <w:pStyle w:val="ad"/>
        <w:wordWrap/>
        <w:overflowPunct w:val="0"/>
        <w:spacing w:line="400" w:lineRule="exact"/>
        <w:ind w:left="442" w:hangingChars="200" w:hanging="442"/>
        <w:rPr>
          <w:rFonts w:ascii="ＭＳ 明朝" w:hAnsi="ＭＳ 明朝"/>
        </w:rPr>
      </w:pPr>
      <w:r w:rsidRPr="001D6D10">
        <w:rPr>
          <w:rFonts w:ascii="ＭＳ 明朝" w:hAnsi="ＭＳ 明朝" w:hint="eastAsia"/>
        </w:rPr>
        <w:t xml:space="preserve">　　　府、関係市町をはじめ防災関係機関は、救助・救急、医療並びに緊急物資の供給を迅速かつ的確に実施するための緊急輸送活動に努める。</w:t>
      </w:r>
    </w:p>
    <w:p w14:paraId="4D46BB6B" w14:textId="77777777" w:rsidR="008B4B2B" w:rsidRPr="001D6D10" w:rsidRDefault="008B4B2B" w:rsidP="008B4B2B">
      <w:pPr>
        <w:rPr>
          <w:rFonts w:ascii="ＭＳ 明朝" w:hAnsi="ＭＳ 明朝"/>
        </w:rPr>
      </w:pPr>
    </w:p>
    <w:p w14:paraId="5EED8270" w14:textId="77777777" w:rsidR="008B4B2B" w:rsidRPr="001D6D10" w:rsidRDefault="008B4B2B" w:rsidP="008B4B2B">
      <w:pPr>
        <w:rPr>
          <w:rFonts w:ascii="ＭＳ ゴシック" w:eastAsia="ＭＳ ゴシック" w:hAnsi="ＭＳ ゴシック"/>
          <w:sz w:val="28"/>
          <w:szCs w:val="28"/>
        </w:rPr>
        <w:sectPr w:rsidR="008B4B2B" w:rsidRPr="001D6D10" w:rsidSect="00FE02CA">
          <w:headerReference w:type="default" r:id="rId36"/>
          <w:type w:val="continuous"/>
          <w:pgSz w:w="11906" w:h="16838" w:code="9"/>
          <w:pgMar w:top="1701" w:right="1531" w:bottom="1701" w:left="1531" w:header="850" w:footer="850" w:gutter="0"/>
          <w:pgNumType w:fmt="numberInDash"/>
          <w:cols w:space="425"/>
          <w:docGrid w:type="linesAndChars" w:linePitch="353" w:charSpace="225"/>
        </w:sectPr>
      </w:pPr>
    </w:p>
    <w:p w14:paraId="58B1E66A" w14:textId="77777777" w:rsidR="008B4B2B" w:rsidRPr="001D6D10" w:rsidRDefault="00E434C7">
      <w:pPr>
        <w:pStyle w:val="1"/>
      </w:pPr>
      <w:bookmarkStart w:id="516" w:name="_Toc122437001"/>
      <w:bookmarkStart w:id="517" w:name="_Toc222433332"/>
      <w:bookmarkStart w:id="518" w:name="_Toc222486700"/>
      <w:bookmarkStart w:id="519" w:name="_Toc242870371"/>
      <w:r w:rsidRPr="001D6D10">
        <w:rPr>
          <w:rFonts w:hint="eastAsia"/>
        </w:rPr>
        <w:lastRenderedPageBreak/>
        <w:t>第</w:t>
      </w:r>
      <w:r w:rsidR="00A911D7" w:rsidRPr="001D6D10">
        <w:rPr>
          <w:rFonts w:hint="eastAsia"/>
        </w:rPr>
        <w:t>９</w:t>
      </w:r>
      <w:r w:rsidR="008B4B2B" w:rsidRPr="001D6D10">
        <w:rPr>
          <w:rFonts w:hint="eastAsia"/>
        </w:rPr>
        <w:t>章　危機事象応急対策</w:t>
      </w:r>
      <w:bookmarkEnd w:id="516"/>
      <w:bookmarkEnd w:id="517"/>
      <w:bookmarkEnd w:id="518"/>
      <w:bookmarkEnd w:id="519"/>
    </w:p>
    <w:p w14:paraId="3BE167A5" w14:textId="77777777" w:rsidR="008B4B2B" w:rsidRPr="001D6D10" w:rsidRDefault="008B4B2B">
      <w:pPr>
        <w:pStyle w:val="3"/>
        <w:ind w:firstLine="442"/>
      </w:pPr>
      <w:bookmarkStart w:id="520" w:name="_Toc122437002"/>
      <w:bookmarkStart w:id="521" w:name="_Toc222486701"/>
      <w:bookmarkStart w:id="522" w:name="_Toc242870372"/>
      <w:r w:rsidRPr="001D6D10">
        <w:rPr>
          <w:rFonts w:hint="eastAsia"/>
        </w:rPr>
        <w:t>第１　対応する危機事象</w:t>
      </w:r>
      <w:bookmarkEnd w:id="520"/>
      <w:bookmarkEnd w:id="521"/>
      <w:bookmarkEnd w:id="522"/>
    </w:p>
    <w:p w14:paraId="5151F770" w14:textId="7F51620C" w:rsidR="008B4B2B" w:rsidRPr="00DC2D80" w:rsidRDefault="008B4B2B" w:rsidP="008B4B2B">
      <w:pPr>
        <w:widowControl/>
        <w:ind w:left="633" w:rightChars="-175" w:right="-369" w:hangingChars="300" w:hanging="633"/>
        <w:jc w:val="left"/>
        <w:rPr>
          <w:rFonts w:ascii="ＭＳ 明朝" w:hAnsi="ＭＳ 明朝"/>
          <w:sz w:val="18"/>
          <w:szCs w:val="21"/>
          <w:u w:val="single"/>
        </w:rPr>
      </w:pPr>
      <w:r w:rsidRPr="001D6D10">
        <w:rPr>
          <w:rFonts w:ascii="ＭＳ 明朝" w:hAnsi="ＭＳ 明朝" w:hint="eastAsia"/>
        </w:rPr>
        <w:t xml:space="preserve">　　　　</w:t>
      </w:r>
      <w:r w:rsidRPr="001D6D10">
        <w:rPr>
          <w:rFonts w:ascii="ＭＳ 明朝" w:hAnsi="ＭＳ 明朝" w:hint="eastAsia"/>
          <w:sz w:val="22"/>
          <w:szCs w:val="22"/>
        </w:rPr>
        <w:t>大阪府域及びその周辺において、府の生命、身体等に直接的かつ重大な被害が生じ、</w:t>
      </w:r>
      <w:r w:rsidRPr="001D6D10">
        <w:rPr>
          <w:rFonts w:ascii="ＭＳ 明朝" w:hAnsi="ＭＳ 明朝" w:hint="eastAsia"/>
        </w:rPr>
        <w:t>又は生じるおそれのある次に例示するような事故・事件をいう。</w:t>
      </w:r>
      <w:r w:rsidRPr="00DC2D80">
        <w:rPr>
          <w:rFonts w:ascii="ＭＳ 明朝" w:hAnsi="ＭＳ 明朝" w:hint="eastAsia"/>
          <w:sz w:val="18"/>
          <w:szCs w:val="21"/>
        </w:rPr>
        <w:t>令和</w:t>
      </w:r>
      <w:r w:rsidR="00194E7F">
        <w:rPr>
          <w:rFonts w:ascii="ＭＳ 明朝" w:hAnsi="ＭＳ 明朝" w:hint="eastAsia"/>
          <w:sz w:val="18"/>
          <w:szCs w:val="21"/>
        </w:rPr>
        <w:t>８</w:t>
      </w:r>
      <w:r w:rsidRPr="00DC2D80">
        <w:rPr>
          <w:rFonts w:ascii="ＭＳ 明朝" w:hAnsi="ＭＳ 明朝" w:hint="eastAsia"/>
          <w:sz w:val="18"/>
          <w:szCs w:val="21"/>
        </w:rPr>
        <w:t>年</w:t>
      </w:r>
      <w:r w:rsidR="00194E7F">
        <w:rPr>
          <w:rFonts w:ascii="ＭＳ 明朝" w:hAnsi="ＭＳ 明朝" w:hint="eastAsia"/>
          <w:sz w:val="18"/>
          <w:szCs w:val="21"/>
        </w:rPr>
        <w:t>３</w:t>
      </w:r>
      <w:r w:rsidRPr="00DC2D80">
        <w:rPr>
          <w:rFonts w:ascii="ＭＳ 明朝" w:hAnsi="ＭＳ 明朝" w:hint="eastAsia"/>
          <w:sz w:val="18"/>
          <w:szCs w:val="21"/>
        </w:rPr>
        <w:t>月時点</w:t>
      </w:r>
    </w:p>
    <w:tbl>
      <w:tblPr>
        <w:tblW w:w="9825" w:type="dxa"/>
        <w:tblInd w:w="-610" w:type="dxa"/>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CellMar>
          <w:left w:w="99" w:type="dxa"/>
          <w:right w:w="99" w:type="dxa"/>
        </w:tblCellMar>
        <w:tblLook w:val="04A0" w:firstRow="1" w:lastRow="0" w:firstColumn="1" w:lastColumn="0" w:noHBand="0" w:noVBand="1"/>
      </w:tblPr>
      <w:tblGrid>
        <w:gridCol w:w="1501"/>
        <w:gridCol w:w="800"/>
        <w:gridCol w:w="4831"/>
        <w:gridCol w:w="850"/>
        <w:gridCol w:w="1843"/>
      </w:tblGrid>
      <w:tr w:rsidR="008A3EDE" w:rsidRPr="00263B73" w14:paraId="74D5CCF0" w14:textId="77777777" w:rsidTr="00831B7C">
        <w:trPr>
          <w:trHeight w:val="20"/>
        </w:trPr>
        <w:tc>
          <w:tcPr>
            <w:tcW w:w="1501" w:type="dxa"/>
            <w:vAlign w:val="center"/>
            <w:hideMark/>
          </w:tcPr>
          <w:p w14:paraId="317FEC5B" w14:textId="77777777" w:rsidR="008A3EDE" w:rsidRPr="00263B73" w:rsidRDefault="008A3EDE" w:rsidP="00831B7C">
            <w:pPr>
              <w:widowControl/>
              <w:spacing w:line="180" w:lineRule="exact"/>
              <w:jc w:val="center"/>
              <w:rPr>
                <w:rFonts w:ascii="ＭＳ ゴシック" w:eastAsia="ＭＳ ゴシック" w:hAnsi="ＭＳ ゴシック" w:cs="ＭＳ Ｐゴシック"/>
                <w:kern w:val="0"/>
                <w:sz w:val="12"/>
                <w:szCs w:val="12"/>
              </w:rPr>
            </w:pPr>
            <w:r w:rsidRPr="00263B73">
              <w:rPr>
                <w:rFonts w:ascii="ＭＳ ゴシック" w:eastAsia="ＭＳ ゴシック" w:hAnsi="ＭＳ ゴシック" w:cs="ＭＳ Ｐゴシック" w:hint="eastAsia"/>
                <w:kern w:val="0"/>
                <w:sz w:val="12"/>
                <w:szCs w:val="12"/>
              </w:rPr>
              <w:t>想定される危機事象</w:t>
            </w:r>
          </w:p>
        </w:tc>
        <w:tc>
          <w:tcPr>
            <w:tcW w:w="5631" w:type="dxa"/>
            <w:gridSpan w:val="2"/>
            <w:noWrap/>
            <w:vAlign w:val="center"/>
            <w:hideMark/>
          </w:tcPr>
          <w:p w14:paraId="139B34C8" w14:textId="77777777" w:rsidR="008A3EDE" w:rsidRPr="00263B73" w:rsidRDefault="008A3EDE" w:rsidP="00831B7C">
            <w:pPr>
              <w:widowControl/>
              <w:spacing w:line="180" w:lineRule="exact"/>
              <w:jc w:val="center"/>
              <w:rPr>
                <w:rFonts w:ascii="ＭＳ ゴシック" w:eastAsia="ＭＳ ゴシック" w:hAnsi="ＭＳ ゴシック" w:cs="ＭＳ Ｐゴシック"/>
                <w:kern w:val="0"/>
                <w:sz w:val="12"/>
                <w:szCs w:val="12"/>
              </w:rPr>
            </w:pPr>
            <w:r w:rsidRPr="00263B73">
              <w:rPr>
                <w:rFonts w:ascii="ＭＳ ゴシック" w:eastAsia="ＭＳ ゴシック" w:hAnsi="ＭＳ ゴシック" w:cs="ＭＳ Ｐゴシック" w:hint="eastAsia"/>
                <w:kern w:val="0"/>
                <w:sz w:val="12"/>
                <w:szCs w:val="12"/>
              </w:rPr>
              <w:t>マニュアル等の名称</w:t>
            </w:r>
          </w:p>
        </w:tc>
        <w:tc>
          <w:tcPr>
            <w:tcW w:w="850" w:type="dxa"/>
            <w:noWrap/>
            <w:vAlign w:val="center"/>
            <w:hideMark/>
          </w:tcPr>
          <w:p w14:paraId="44448857" w14:textId="77777777" w:rsidR="008A3EDE" w:rsidRPr="00263B73" w:rsidRDefault="008A3EDE" w:rsidP="00831B7C">
            <w:pPr>
              <w:widowControl/>
              <w:spacing w:line="180" w:lineRule="exact"/>
              <w:jc w:val="center"/>
              <w:rPr>
                <w:rFonts w:ascii="ＭＳ ゴシック" w:eastAsia="ＭＳ ゴシック" w:hAnsi="ＭＳ ゴシック" w:cs="ＭＳ Ｐゴシック"/>
                <w:kern w:val="0"/>
                <w:sz w:val="12"/>
                <w:szCs w:val="12"/>
              </w:rPr>
            </w:pPr>
            <w:r w:rsidRPr="00263B73">
              <w:rPr>
                <w:rFonts w:ascii="ＭＳ ゴシック" w:eastAsia="ＭＳ ゴシック" w:hAnsi="ＭＳ ゴシック" w:cs="ＭＳ Ｐゴシック" w:hint="eastAsia"/>
                <w:kern w:val="0"/>
                <w:sz w:val="12"/>
                <w:szCs w:val="12"/>
              </w:rPr>
              <w:t>部局名</w:t>
            </w:r>
          </w:p>
        </w:tc>
        <w:tc>
          <w:tcPr>
            <w:tcW w:w="1843" w:type="dxa"/>
            <w:noWrap/>
            <w:vAlign w:val="center"/>
            <w:hideMark/>
          </w:tcPr>
          <w:p w14:paraId="142F477A" w14:textId="77777777" w:rsidR="008A3EDE" w:rsidRPr="00263B73" w:rsidRDefault="008A3EDE" w:rsidP="00831B7C">
            <w:pPr>
              <w:widowControl/>
              <w:spacing w:line="180" w:lineRule="exact"/>
              <w:jc w:val="center"/>
              <w:rPr>
                <w:rFonts w:ascii="ＭＳ ゴシック" w:eastAsia="ＭＳ ゴシック" w:hAnsi="ＭＳ ゴシック" w:cs="ＭＳ Ｐゴシック"/>
                <w:kern w:val="0"/>
                <w:sz w:val="12"/>
                <w:szCs w:val="12"/>
              </w:rPr>
            </w:pPr>
            <w:r w:rsidRPr="00263B73">
              <w:rPr>
                <w:rFonts w:ascii="ＭＳ ゴシック" w:eastAsia="ＭＳ ゴシック" w:hAnsi="ＭＳ ゴシック" w:cs="ＭＳ Ｐゴシック" w:hint="eastAsia"/>
                <w:kern w:val="0"/>
                <w:sz w:val="12"/>
                <w:szCs w:val="12"/>
              </w:rPr>
              <w:t>担当課名</w:t>
            </w:r>
          </w:p>
        </w:tc>
      </w:tr>
      <w:tr w:rsidR="008A3EDE" w:rsidRPr="00263B73" w14:paraId="20AC3E32" w14:textId="77777777" w:rsidTr="00831B7C">
        <w:trPr>
          <w:trHeight w:val="20"/>
        </w:trPr>
        <w:tc>
          <w:tcPr>
            <w:tcW w:w="1501" w:type="dxa"/>
            <w:vAlign w:val="center"/>
            <w:hideMark/>
          </w:tcPr>
          <w:p w14:paraId="4924072D" w14:textId="77777777" w:rsidR="008A3EDE" w:rsidRPr="00263B73" w:rsidRDefault="008A3EDE" w:rsidP="00831B7C">
            <w:pPr>
              <w:widowControl/>
              <w:spacing w:line="180" w:lineRule="exact"/>
              <w:jc w:val="left"/>
              <w:rPr>
                <w:rFonts w:ascii="ＭＳ ゴシック" w:eastAsia="ＭＳ ゴシック" w:hAnsi="ＭＳ ゴシック" w:cs="ＭＳ Ｐゴシック"/>
                <w:kern w:val="0"/>
                <w:sz w:val="12"/>
                <w:szCs w:val="12"/>
              </w:rPr>
            </w:pPr>
            <w:r w:rsidRPr="00263B73">
              <w:rPr>
                <w:rFonts w:ascii="ＭＳ ゴシック" w:eastAsia="ＭＳ ゴシック" w:hAnsi="ＭＳ ゴシック" w:cs="ＭＳ Ｐゴシック" w:hint="eastAsia"/>
                <w:kern w:val="0"/>
                <w:sz w:val="14"/>
                <w:szCs w:val="12"/>
              </w:rPr>
              <w:t>テロの発生</w:t>
            </w:r>
          </w:p>
        </w:tc>
        <w:tc>
          <w:tcPr>
            <w:tcW w:w="5631" w:type="dxa"/>
            <w:gridSpan w:val="2"/>
            <w:noWrap/>
            <w:vAlign w:val="center"/>
            <w:hideMark/>
          </w:tcPr>
          <w:p w14:paraId="06342A15" w14:textId="77777777" w:rsidR="008A3EDE" w:rsidRPr="00263B73" w:rsidRDefault="008A3EDE" w:rsidP="00831B7C">
            <w:pPr>
              <w:widowControl/>
              <w:spacing w:line="180" w:lineRule="exact"/>
              <w:jc w:val="left"/>
              <w:rPr>
                <w:rFonts w:ascii="ＭＳ ゴシック" w:eastAsia="ＭＳ ゴシック" w:hAnsi="ＭＳ ゴシック" w:cs="ＭＳ Ｐゴシック"/>
                <w:kern w:val="0"/>
                <w:sz w:val="12"/>
                <w:szCs w:val="12"/>
              </w:rPr>
            </w:pPr>
            <w:r w:rsidRPr="00263B73">
              <w:rPr>
                <w:rFonts w:ascii="ＭＳ ゴシック" w:eastAsia="ＭＳ ゴシック" w:hAnsi="ＭＳ ゴシック" w:cs="ＭＳ Ｐゴシック" w:hint="eastAsia"/>
                <w:kern w:val="0"/>
                <w:sz w:val="12"/>
                <w:szCs w:val="12"/>
              </w:rPr>
              <w:t>NBC等大量殺傷型テロ対処現地関係機関の連携指針</w:t>
            </w:r>
          </w:p>
        </w:tc>
        <w:tc>
          <w:tcPr>
            <w:tcW w:w="850" w:type="dxa"/>
            <w:vMerge w:val="restart"/>
            <w:vAlign w:val="center"/>
            <w:hideMark/>
          </w:tcPr>
          <w:p w14:paraId="1A3F2E37" w14:textId="77777777" w:rsidR="008A3EDE" w:rsidRPr="00263B73" w:rsidRDefault="008A3EDE" w:rsidP="00831B7C">
            <w:pPr>
              <w:widowControl/>
              <w:spacing w:line="180" w:lineRule="exact"/>
              <w:jc w:val="left"/>
              <w:rPr>
                <w:rFonts w:ascii="ＭＳ ゴシック" w:eastAsia="ＭＳ ゴシック" w:hAnsi="ＭＳ ゴシック" w:cs="ＭＳ Ｐゴシック"/>
                <w:kern w:val="0"/>
                <w:sz w:val="12"/>
                <w:szCs w:val="12"/>
              </w:rPr>
            </w:pPr>
            <w:r w:rsidRPr="00263B73">
              <w:rPr>
                <w:rFonts w:ascii="ＭＳ ゴシック" w:eastAsia="ＭＳ ゴシック" w:hAnsi="ＭＳ ゴシック" w:cs="ＭＳ Ｐゴシック" w:hint="eastAsia"/>
                <w:kern w:val="0"/>
                <w:sz w:val="12"/>
                <w:szCs w:val="12"/>
              </w:rPr>
              <w:t>政策企画部</w:t>
            </w:r>
          </w:p>
        </w:tc>
        <w:tc>
          <w:tcPr>
            <w:tcW w:w="1843" w:type="dxa"/>
            <w:noWrap/>
            <w:vAlign w:val="center"/>
            <w:hideMark/>
          </w:tcPr>
          <w:p w14:paraId="04DCAB82" w14:textId="77777777" w:rsidR="008A3EDE" w:rsidRPr="00263B73" w:rsidRDefault="008A3EDE" w:rsidP="00831B7C">
            <w:pPr>
              <w:widowControl/>
              <w:spacing w:line="180" w:lineRule="exact"/>
              <w:rPr>
                <w:rFonts w:ascii="ＭＳ ゴシック" w:eastAsia="ＭＳ ゴシック" w:hAnsi="ＭＳ ゴシック" w:cs="ＭＳ Ｐゴシック"/>
                <w:kern w:val="0"/>
                <w:sz w:val="12"/>
                <w:szCs w:val="12"/>
              </w:rPr>
            </w:pPr>
            <w:r w:rsidRPr="00263B73">
              <w:rPr>
                <w:rFonts w:ascii="ＭＳ ゴシック" w:eastAsia="ＭＳ ゴシック" w:hAnsi="ＭＳ ゴシック" w:cs="ＭＳ Ｐゴシック" w:hint="eastAsia"/>
                <w:kern w:val="0"/>
                <w:sz w:val="12"/>
                <w:szCs w:val="12"/>
              </w:rPr>
              <w:t>災害対策課</w:t>
            </w:r>
          </w:p>
        </w:tc>
      </w:tr>
      <w:tr w:rsidR="008A3EDE" w:rsidRPr="00263B73" w14:paraId="1F97FB04" w14:textId="77777777" w:rsidTr="00831B7C">
        <w:trPr>
          <w:trHeight w:val="20"/>
        </w:trPr>
        <w:tc>
          <w:tcPr>
            <w:tcW w:w="1501" w:type="dxa"/>
            <w:vAlign w:val="center"/>
            <w:hideMark/>
          </w:tcPr>
          <w:p w14:paraId="0ADABED6" w14:textId="77777777" w:rsidR="008A3EDE" w:rsidRPr="00263B73" w:rsidRDefault="008A3EDE" w:rsidP="00831B7C">
            <w:pPr>
              <w:widowControl/>
              <w:spacing w:line="180" w:lineRule="exact"/>
              <w:jc w:val="left"/>
              <w:rPr>
                <w:rFonts w:ascii="ＭＳ ゴシック" w:eastAsia="ＭＳ ゴシック" w:hAnsi="ＭＳ ゴシック" w:cs="ＭＳ Ｐゴシック"/>
                <w:kern w:val="0"/>
                <w:sz w:val="14"/>
                <w:szCs w:val="12"/>
              </w:rPr>
            </w:pPr>
            <w:r w:rsidRPr="00263B73">
              <w:rPr>
                <w:rFonts w:ascii="ＭＳ ゴシック" w:eastAsia="ＭＳ ゴシック" w:hAnsi="ＭＳ ゴシック" w:cs="ＭＳ Ｐゴシック" w:hint="eastAsia"/>
                <w:kern w:val="0"/>
                <w:sz w:val="14"/>
                <w:szCs w:val="12"/>
              </w:rPr>
              <w:t>武力攻撃事態等</w:t>
            </w:r>
          </w:p>
        </w:tc>
        <w:tc>
          <w:tcPr>
            <w:tcW w:w="5631" w:type="dxa"/>
            <w:gridSpan w:val="2"/>
            <w:vAlign w:val="center"/>
            <w:hideMark/>
          </w:tcPr>
          <w:p w14:paraId="04D7D3D7" w14:textId="77777777" w:rsidR="008A3EDE" w:rsidRPr="00263B73" w:rsidRDefault="008A3EDE" w:rsidP="00831B7C">
            <w:pPr>
              <w:widowControl/>
              <w:spacing w:line="180" w:lineRule="exact"/>
              <w:jc w:val="left"/>
              <w:rPr>
                <w:rFonts w:ascii="ＭＳ ゴシック" w:eastAsia="ＭＳ ゴシック" w:hAnsi="ＭＳ ゴシック" w:cs="ＭＳ Ｐゴシック"/>
                <w:kern w:val="0"/>
                <w:sz w:val="14"/>
                <w:szCs w:val="12"/>
              </w:rPr>
            </w:pPr>
            <w:r w:rsidRPr="00263B73">
              <w:rPr>
                <w:rFonts w:ascii="ＭＳ ゴシック" w:eastAsia="ＭＳ ゴシック" w:hAnsi="ＭＳ ゴシック" w:cs="ＭＳ Ｐゴシック" w:hint="eastAsia"/>
                <w:kern w:val="0"/>
                <w:sz w:val="14"/>
                <w:szCs w:val="12"/>
              </w:rPr>
              <w:t>大阪府国民保護計画</w:t>
            </w:r>
            <w:r w:rsidRPr="00263B73">
              <w:rPr>
                <w:rFonts w:ascii="ＭＳ ゴシック" w:eastAsia="ＭＳ ゴシック" w:hAnsi="ＭＳ ゴシック" w:cs="ＭＳ Ｐゴシック" w:hint="eastAsia"/>
                <w:kern w:val="0"/>
                <w:sz w:val="14"/>
                <w:szCs w:val="12"/>
              </w:rPr>
              <w:br/>
              <w:t>大阪府国民保護措置実施マニュアル</w:t>
            </w:r>
            <w:r w:rsidRPr="00263B73">
              <w:rPr>
                <w:rFonts w:ascii="ＭＳ ゴシック" w:eastAsia="ＭＳ ゴシック" w:hAnsi="ＭＳ ゴシック" w:cs="ＭＳ Ｐゴシック" w:hint="eastAsia"/>
                <w:kern w:val="0"/>
                <w:sz w:val="14"/>
                <w:szCs w:val="12"/>
              </w:rPr>
              <w:br/>
              <w:t>（緊急対処事態(NBCテロ対処)措置実施マニュアル）</w:t>
            </w:r>
          </w:p>
        </w:tc>
        <w:tc>
          <w:tcPr>
            <w:tcW w:w="850" w:type="dxa"/>
            <w:vMerge/>
            <w:noWrap/>
            <w:vAlign w:val="center"/>
            <w:hideMark/>
          </w:tcPr>
          <w:p w14:paraId="66E68624" w14:textId="77777777" w:rsidR="008A3EDE" w:rsidRPr="00263B73" w:rsidRDefault="008A3EDE" w:rsidP="00831B7C">
            <w:pPr>
              <w:spacing w:line="180" w:lineRule="exact"/>
              <w:jc w:val="left"/>
              <w:rPr>
                <w:rFonts w:ascii="ＭＳ ゴシック" w:eastAsia="ＭＳ ゴシック" w:hAnsi="ＭＳ ゴシック" w:cs="ＭＳ Ｐゴシック"/>
                <w:kern w:val="0"/>
                <w:sz w:val="14"/>
                <w:szCs w:val="12"/>
              </w:rPr>
            </w:pPr>
          </w:p>
        </w:tc>
        <w:tc>
          <w:tcPr>
            <w:tcW w:w="1843" w:type="dxa"/>
            <w:noWrap/>
            <w:vAlign w:val="center"/>
            <w:hideMark/>
          </w:tcPr>
          <w:p w14:paraId="34B50545" w14:textId="77777777" w:rsidR="008A3EDE" w:rsidRPr="00263B73" w:rsidRDefault="008A3EDE" w:rsidP="00831B7C">
            <w:pPr>
              <w:widowControl/>
              <w:spacing w:line="180" w:lineRule="exact"/>
              <w:rPr>
                <w:rFonts w:ascii="ＭＳ ゴシック" w:eastAsia="ＭＳ ゴシック" w:hAnsi="ＭＳ ゴシック" w:cs="ＭＳ Ｐゴシック"/>
                <w:kern w:val="0"/>
                <w:sz w:val="14"/>
                <w:szCs w:val="12"/>
              </w:rPr>
            </w:pPr>
            <w:r w:rsidRPr="00263B73">
              <w:rPr>
                <w:rFonts w:ascii="ＭＳ ゴシック" w:eastAsia="ＭＳ ゴシック" w:hAnsi="ＭＳ ゴシック" w:cs="ＭＳ Ｐゴシック" w:hint="eastAsia"/>
                <w:kern w:val="0"/>
                <w:sz w:val="14"/>
                <w:szCs w:val="12"/>
              </w:rPr>
              <w:t>災害対策課</w:t>
            </w:r>
          </w:p>
        </w:tc>
      </w:tr>
      <w:tr w:rsidR="008A3EDE" w:rsidRPr="00263B73" w14:paraId="6D6C0D77" w14:textId="77777777" w:rsidTr="00831B7C">
        <w:trPr>
          <w:trHeight w:val="20"/>
        </w:trPr>
        <w:tc>
          <w:tcPr>
            <w:tcW w:w="1501" w:type="dxa"/>
            <w:vAlign w:val="center"/>
            <w:hideMark/>
          </w:tcPr>
          <w:p w14:paraId="24857EDA" w14:textId="77777777" w:rsidR="008A3EDE" w:rsidRPr="00263B73" w:rsidRDefault="008A3EDE" w:rsidP="00831B7C">
            <w:pPr>
              <w:widowControl/>
              <w:spacing w:line="180" w:lineRule="exact"/>
              <w:jc w:val="left"/>
              <w:rPr>
                <w:rFonts w:ascii="ＭＳ ゴシック" w:eastAsia="ＭＳ ゴシック" w:hAnsi="ＭＳ ゴシック" w:cs="ＭＳ Ｐゴシック"/>
                <w:kern w:val="0"/>
                <w:sz w:val="14"/>
                <w:szCs w:val="12"/>
              </w:rPr>
            </w:pPr>
            <w:r w:rsidRPr="00263B73">
              <w:rPr>
                <w:rFonts w:ascii="ＭＳ ゴシック" w:eastAsia="ＭＳ ゴシック" w:hAnsi="ＭＳ ゴシック" w:cs="ＭＳ Ｐゴシック" w:hint="eastAsia"/>
                <w:kern w:val="0"/>
                <w:sz w:val="14"/>
                <w:szCs w:val="12"/>
              </w:rPr>
              <w:t>地震、風水害、鉄道災害等</w:t>
            </w:r>
          </w:p>
        </w:tc>
        <w:tc>
          <w:tcPr>
            <w:tcW w:w="5631" w:type="dxa"/>
            <w:gridSpan w:val="2"/>
            <w:vAlign w:val="center"/>
            <w:hideMark/>
          </w:tcPr>
          <w:p w14:paraId="30604617" w14:textId="77777777" w:rsidR="008A3EDE" w:rsidRPr="00263B73" w:rsidRDefault="008A3EDE" w:rsidP="00831B7C">
            <w:pPr>
              <w:widowControl/>
              <w:spacing w:line="180" w:lineRule="exact"/>
              <w:jc w:val="left"/>
              <w:rPr>
                <w:rFonts w:ascii="ＭＳ ゴシック" w:eastAsia="ＭＳ ゴシック" w:hAnsi="ＭＳ ゴシック" w:cs="ＭＳ Ｐゴシック"/>
                <w:kern w:val="0"/>
                <w:sz w:val="14"/>
                <w:szCs w:val="12"/>
              </w:rPr>
            </w:pPr>
            <w:r w:rsidRPr="00263B73">
              <w:rPr>
                <w:rFonts w:ascii="ＭＳ ゴシック" w:eastAsia="ＭＳ ゴシック" w:hAnsi="ＭＳ ゴシック" w:cs="ＭＳ Ｐゴシック" w:hint="eastAsia"/>
                <w:kern w:val="0"/>
                <w:sz w:val="14"/>
                <w:szCs w:val="12"/>
              </w:rPr>
              <w:t>大阪府地域防災計画（基本対策編）</w:t>
            </w:r>
            <w:r w:rsidRPr="00263B73">
              <w:rPr>
                <w:rFonts w:ascii="ＭＳ ゴシック" w:eastAsia="ＭＳ ゴシック" w:hAnsi="ＭＳ ゴシック" w:cs="ＭＳ Ｐゴシック" w:hint="eastAsia"/>
                <w:kern w:val="0"/>
                <w:sz w:val="14"/>
                <w:szCs w:val="12"/>
              </w:rPr>
              <w:br/>
              <w:t>大阪府災害等応急対策実施要領</w:t>
            </w:r>
          </w:p>
        </w:tc>
        <w:tc>
          <w:tcPr>
            <w:tcW w:w="850" w:type="dxa"/>
            <w:vMerge/>
            <w:noWrap/>
            <w:vAlign w:val="center"/>
            <w:hideMark/>
          </w:tcPr>
          <w:p w14:paraId="786DB279" w14:textId="77777777" w:rsidR="008A3EDE" w:rsidRPr="00263B73" w:rsidRDefault="008A3EDE" w:rsidP="00831B7C">
            <w:pPr>
              <w:spacing w:line="180" w:lineRule="exact"/>
              <w:jc w:val="left"/>
              <w:rPr>
                <w:rFonts w:ascii="ＭＳ ゴシック" w:eastAsia="ＭＳ ゴシック" w:hAnsi="ＭＳ ゴシック" w:cs="ＭＳ Ｐゴシック"/>
                <w:kern w:val="0"/>
                <w:sz w:val="14"/>
                <w:szCs w:val="12"/>
              </w:rPr>
            </w:pPr>
          </w:p>
        </w:tc>
        <w:tc>
          <w:tcPr>
            <w:tcW w:w="1843" w:type="dxa"/>
            <w:vAlign w:val="center"/>
            <w:hideMark/>
          </w:tcPr>
          <w:p w14:paraId="2364CF29" w14:textId="77777777" w:rsidR="008A3EDE" w:rsidRPr="00263B73" w:rsidRDefault="008A3EDE" w:rsidP="00831B7C">
            <w:pPr>
              <w:widowControl/>
              <w:spacing w:line="180" w:lineRule="exact"/>
              <w:rPr>
                <w:rFonts w:ascii="ＭＳ ゴシック" w:eastAsia="ＭＳ ゴシック" w:hAnsi="ＭＳ ゴシック" w:cs="ＭＳ Ｐゴシック"/>
                <w:kern w:val="0"/>
                <w:sz w:val="14"/>
                <w:szCs w:val="12"/>
              </w:rPr>
            </w:pPr>
            <w:r w:rsidRPr="00263B73">
              <w:rPr>
                <w:rFonts w:ascii="ＭＳ ゴシック" w:eastAsia="ＭＳ ゴシック" w:hAnsi="ＭＳ ゴシック" w:cs="ＭＳ Ｐゴシック" w:hint="eastAsia"/>
                <w:kern w:val="0"/>
                <w:sz w:val="14"/>
                <w:szCs w:val="12"/>
              </w:rPr>
              <w:t>防災企画課</w:t>
            </w:r>
            <w:r w:rsidRPr="00263B73">
              <w:rPr>
                <w:rFonts w:ascii="ＭＳ ゴシック" w:eastAsia="ＭＳ ゴシック" w:hAnsi="ＭＳ ゴシック" w:cs="ＭＳ Ｐゴシック" w:hint="eastAsia"/>
                <w:kern w:val="0"/>
                <w:sz w:val="14"/>
                <w:szCs w:val="12"/>
              </w:rPr>
              <w:br/>
              <w:t>災害対策課</w:t>
            </w:r>
          </w:p>
        </w:tc>
      </w:tr>
      <w:tr w:rsidR="008A3EDE" w:rsidRPr="00263B73" w14:paraId="4E1631BD" w14:textId="77777777" w:rsidTr="00831B7C">
        <w:trPr>
          <w:trHeight w:val="20"/>
        </w:trPr>
        <w:tc>
          <w:tcPr>
            <w:tcW w:w="1501" w:type="dxa"/>
            <w:vAlign w:val="center"/>
            <w:hideMark/>
          </w:tcPr>
          <w:p w14:paraId="654D898F" w14:textId="77777777" w:rsidR="008A3EDE" w:rsidRPr="00263B73" w:rsidRDefault="008A3EDE" w:rsidP="00831B7C">
            <w:pPr>
              <w:widowControl/>
              <w:spacing w:line="180" w:lineRule="exact"/>
              <w:jc w:val="left"/>
              <w:rPr>
                <w:rFonts w:ascii="ＭＳ ゴシック" w:eastAsia="ＭＳ ゴシック" w:hAnsi="ＭＳ ゴシック" w:cs="ＭＳ Ｐゴシック"/>
                <w:kern w:val="0"/>
                <w:sz w:val="14"/>
                <w:szCs w:val="12"/>
              </w:rPr>
            </w:pPr>
            <w:r w:rsidRPr="00263B73">
              <w:rPr>
                <w:rFonts w:ascii="ＭＳ ゴシック" w:eastAsia="ＭＳ ゴシック" w:hAnsi="ＭＳ ゴシック" w:cs="ＭＳ Ｐゴシック" w:hint="eastAsia"/>
                <w:kern w:val="0"/>
                <w:sz w:val="14"/>
                <w:szCs w:val="12"/>
              </w:rPr>
              <w:t>原子力災害</w:t>
            </w:r>
          </w:p>
        </w:tc>
        <w:tc>
          <w:tcPr>
            <w:tcW w:w="5631" w:type="dxa"/>
            <w:gridSpan w:val="2"/>
            <w:vAlign w:val="center"/>
            <w:hideMark/>
          </w:tcPr>
          <w:p w14:paraId="6AA3328D" w14:textId="77777777" w:rsidR="008A3EDE" w:rsidRPr="00263B73" w:rsidRDefault="008A3EDE" w:rsidP="00831B7C">
            <w:pPr>
              <w:widowControl/>
              <w:spacing w:line="180" w:lineRule="exact"/>
              <w:jc w:val="left"/>
              <w:rPr>
                <w:rFonts w:ascii="ＭＳ ゴシック" w:eastAsia="ＭＳ ゴシック" w:hAnsi="ＭＳ ゴシック" w:cs="ＭＳ Ｐゴシック"/>
                <w:kern w:val="0"/>
                <w:sz w:val="14"/>
                <w:szCs w:val="12"/>
              </w:rPr>
            </w:pPr>
            <w:r w:rsidRPr="00263B73">
              <w:rPr>
                <w:rFonts w:ascii="ＭＳ ゴシック" w:eastAsia="ＭＳ ゴシック" w:hAnsi="ＭＳ ゴシック" w:cs="ＭＳ Ｐゴシック" w:hint="eastAsia"/>
                <w:kern w:val="0"/>
                <w:sz w:val="14"/>
                <w:szCs w:val="12"/>
              </w:rPr>
              <w:t>大阪府地域防災計画（原子力災害対策編）</w:t>
            </w:r>
            <w:r w:rsidRPr="00263B73">
              <w:rPr>
                <w:rFonts w:ascii="ＭＳ ゴシック" w:eastAsia="ＭＳ ゴシック" w:hAnsi="ＭＳ ゴシック" w:cs="ＭＳ Ｐゴシック" w:hint="eastAsia"/>
                <w:kern w:val="0"/>
                <w:sz w:val="14"/>
                <w:szCs w:val="12"/>
              </w:rPr>
              <w:br/>
              <w:t>大阪府災害等応急対策実施要領（再掲）</w:t>
            </w:r>
            <w:r w:rsidRPr="00263B73">
              <w:rPr>
                <w:rFonts w:ascii="ＭＳ ゴシック" w:eastAsia="ＭＳ ゴシック" w:hAnsi="ＭＳ ゴシック" w:cs="ＭＳ Ｐゴシック" w:hint="eastAsia"/>
                <w:kern w:val="0"/>
                <w:sz w:val="14"/>
                <w:szCs w:val="12"/>
              </w:rPr>
              <w:br/>
              <w:t>大阪府緊急時モニタリング計画、同実施要領</w:t>
            </w:r>
          </w:p>
        </w:tc>
        <w:tc>
          <w:tcPr>
            <w:tcW w:w="850" w:type="dxa"/>
            <w:vMerge/>
            <w:noWrap/>
            <w:vAlign w:val="center"/>
            <w:hideMark/>
          </w:tcPr>
          <w:p w14:paraId="11D731E1" w14:textId="77777777" w:rsidR="008A3EDE" w:rsidRPr="00263B73" w:rsidRDefault="008A3EDE" w:rsidP="00831B7C">
            <w:pPr>
              <w:spacing w:line="180" w:lineRule="exact"/>
              <w:jc w:val="left"/>
              <w:rPr>
                <w:rFonts w:ascii="ＭＳ ゴシック" w:eastAsia="ＭＳ ゴシック" w:hAnsi="ＭＳ ゴシック" w:cs="ＭＳ Ｐゴシック"/>
                <w:kern w:val="0"/>
                <w:sz w:val="14"/>
                <w:szCs w:val="12"/>
              </w:rPr>
            </w:pPr>
          </w:p>
        </w:tc>
        <w:tc>
          <w:tcPr>
            <w:tcW w:w="1843" w:type="dxa"/>
            <w:vAlign w:val="center"/>
            <w:hideMark/>
          </w:tcPr>
          <w:p w14:paraId="07A13260" w14:textId="77777777" w:rsidR="008A3EDE" w:rsidRPr="00263B73" w:rsidRDefault="008A3EDE" w:rsidP="00831B7C">
            <w:pPr>
              <w:widowControl/>
              <w:spacing w:line="180" w:lineRule="exact"/>
              <w:rPr>
                <w:rFonts w:ascii="ＭＳ ゴシック" w:eastAsia="ＭＳ ゴシック" w:hAnsi="ＭＳ ゴシック" w:cs="ＭＳ Ｐゴシック"/>
                <w:kern w:val="0"/>
                <w:sz w:val="14"/>
                <w:szCs w:val="12"/>
              </w:rPr>
            </w:pPr>
            <w:r w:rsidRPr="00263B73">
              <w:rPr>
                <w:rFonts w:ascii="ＭＳ ゴシック" w:eastAsia="ＭＳ ゴシック" w:hAnsi="ＭＳ ゴシック" w:cs="ＭＳ Ｐゴシック" w:hint="eastAsia"/>
                <w:kern w:val="0"/>
                <w:sz w:val="14"/>
                <w:szCs w:val="12"/>
              </w:rPr>
              <w:t>防災企画課</w:t>
            </w:r>
            <w:r w:rsidRPr="00263B73">
              <w:rPr>
                <w:rFonts w:ascii="ＭＳ ゴシック" w:eastAsia="ＭＳ ゴシック" w:hAnsi="ＭＳ ゴシック" w:cs="ＭＳ Ｐゴシック" w:hint="eastAsia"/>
                <w:kern w:val="0"/>
                <w:sz w:val="14"/>
                <w:szCs w:val="12"/>
              </w:rPr>
              <w:br/>
              <w:t>災害対策課</w:t>
            </w:r>
            <w:r w:rsidRPr="00263B73">
              <w:rPr>
                <w:rFonts w:ascii="ＭＳ ゴシック" w:eastAsia="ＭＳ ゴシック" w:hAnsi="ＭＳ ゴシック" w:cs="ＭＳ Ｐゴシック" w:hint="eastAsia"/>
                <w:kern w:val="0"/>
                <w:sz w:val="14"/>
                <w:szCs w:val="12"/>
              </w:rPr>
              <w:br/>
              <w:t>防災企画課</w:t>
            </w:r>
          </w:p>
        </w:tc>
      </w:tr>
      <w:tr w:rsidR="008A3EDE" w:rsidRPr="00263B73" w14:paraId="707EA991" w14:textId="77777777" w:rsidTr="00831B7C">
        <w:trPr>
          <w:trHeight w:val="20"/>
        </w:trPr>
        <w:tc>
          <w:tcPr>
            <w:tcW w:w="1501" w:type="dxa"/>
            <w:vAlign w:val="center"/>
            <w:hideMark/>
          </w:tcPr>
          <w:p w14:paraId="447F0796" w14:textId="77777777" w:rsidR="008A3EDE" w:rsidRPr="00263B73" w:rsidRDefault="008A3EDE" w:rsidP="00831B7C">
            <w:pPr>
              <w:widowControl/>
              <w:spacing w:line="180" w:lineRule="exact"/>
              <w:jc w:val="left"/>
              <w:rPr>
                <w:rFonts w:ascii="ＭＳ ゴシック" w:eastAsia="ＭＳ ゴシック" w:hAnsi="ＭＳ ゴシック" w:cs="ＭＳ Ｐゴシック"/>
                <w:kern w:val="0"/>
                <w:sz w:val="14"/>
                <w:szCs w:val="12"/>
              </w:rPr>
            </w:pPr>
            <w:r w:rsidRPr="00263B73">
              <w:rPr>
                <w:rFonts w:ascii="ＭＳ ゴシック" w:eastAsia="ＭＳ ゴシック" w:hAnsi="ＭＳ ゴシック" w:cs="ＭＳ Ｐゴシック" w:hint="eastAsia"/>
                <w:kern w:val="0"/>
                <w:sz w:val="14"/>
                <w:szCs w:val="12"/>
              </w:rPr>
              <w:t>地震、風水害、大火災等</w:t>
            </w:r>
          </w:p>
        </w:tc>
        <w:tc>
          <w:tcPr>
            <w:tcW w:w="5631" w:type="dxa"/>
            <w:gridSpan w:val="2"/>
            <w:vAlign w:val="center"/>
            <w:hideMark/>
          </w:tcPr>
          <w:p w14:paraId="5852DCDB" w14:textId="77777777" w:rsidR="008A3EDE" w:rsidRPr="00263B73" w:rsidRDefault="008A3EDE" w:rsidP="00831B7C">
            <w:pPr>
              <w:widowControl/>
              <w:spacing w:line="180" w:lineRule="exact"/>
              <w:jc w:val="left"/>
              <w:rPr>
                <w:rFonts w:ascii="ＭＳ ゴシック" w:eastAsia="ＭＳ ゴシック" w:hAnsi="ＭＳ ゴシック" w:cs="ＭＳ Ｐゴシック"/>
                <w:kern w:val="0"/>
                <w:sz w:val="14"/>
                <w:szCs w:val="12"/>
              </w:rPr>
            </w:pPr>
            <w:r w:rsidRPr="00263B73">
              <w:rPr>
                <w:rFonts w:ascii="ＭＳ ゴシック" w:eastAsia="ＭＳ ゴシック" w:hAnsi="ＭＳ ゴシック" w:cs="ＭＳ Ｐゴシック" w:hint="eastAsia"/>
                <w:kern w:val="0"/>
                <w:sz w:val="14"/>
                <w:szCs w:val="12"/>
              </w:rPr>
              <w:t>緊急消防援助隊大阪府大隊応援等実施計画</w:t>
            </w:r>
            <w:r w:rsidRPr="00263B73">
              <w:rPr>
                <w:rFonts w:ascii="ＭＳ ゴシック" w:eastAsia="ＭＳ ゴシック" w:hAnsi="ＭＳ ゴシック" w:cs="ＭＳ Ｐゴシック" w:hint="eastAsia"/>
                <w:kern w:val="0"/>
                <w:sz w:val="14"/>
                <w:szCs w:val="12"/>
              </w:rPr>
              <w:br/>
              <w:t>緊急消防援助隊大阪府受援計画</w:t>
            </w:r>
            <w:r w:rsidRPr="00263B73">
              <w:rPr>
                <w:rFonts w:ascii="ＭＳ ゴシック" w:eastAsia="ＭＳ ゴシック" w:hAnsi="ＭＳ ゴシック" w:cs="ＭＳ Ｐゴシック" w:hint="eastAsia"/>
                <w:kern w:val="0"/>
                <w:sz w:val="14"/>
                <w:szCs w:val="12"/>
              </w:rPr>
              <w:br/>
              <w:t>大阪府緊急消防援助隊航空部隊受援計画</w:t>
            </w:r>
          </w:p>
        </w:tc>
        <w:tc>
          <w:tcPr>
            <w:tcW w:w="850" w:type="dxa"/>
            <w:vMerge/>
            <w:noWrap/>
            <w:vAlign w:val="center"/>
            <w:hideMark/>
          </w:tcPr>
          <w:p w14:paraId="7DEFB5D1" w14:textId="77777777" w:rsidR="008A3EDE" w:rsidRPr="00263B73" w:rsidRDefault="008A3EDE" w:rsidP="00831B7C">
            <w:pPr>
              <w:spacing w:line="180" w:lineRule="exact"/>
              <w:jc w:val="left"/>
              <w:rPr>
                <w:rFonts w:ascii="ＭＳ ゴシック" w:eastAsia="ＭＳ ゴシック" w:hAnsi="ＭＳ ゴシック" w:cs="ＭＳ Ｐゴシック"/>
                <w:kern w:val="0"/>
                <w:sz w:val="14"/>
                <w:szCs w:val="12"/>
              </w:rPr>
            </w:pPr>
          </w:p>
        </w:tc>
        <w:tc>
          <w:tcPr>
            <w:tcW w:w="1843" w:type="dxa"/>
            <w:vAlign w:val="center"/>
            <w:hideMark/>
          </w:tcPr>
          <w:p w14:paraId="701F0138" w14:textId="77777777" w:rsidR="008A3EDE" w:rsidRPr="00263B73" w:rsidRDefault="008A3EDE" w:rsidP="00831B7C">
            <w:pPr>
              <w:widowControl/>
              <w:spacing w:line="180" w:lineRule="exact"/>
              <w:rPr>
                <w:rFonts w:ascii="ＭＳ ゴシック" w:eastAsia="ＭＳ ゴシック" w:hAnsi="ＭＳ ゴシック" w:cs="ＭＳ Ｐゴシック"/>
                <w:kern w:val="0"/>
                <w:sz w:val="14"/>
                <w:szCs w:val="12"/>
              </w:rPr>
            </w:pPr>
            <w:r w:rsidRPr="00263B73">
              <w:rPr>
                <w:rFonts w:ascii="ＭＳ ゴシック" w:eastAsia="ＭＳ ゴシック" w:hAnsi="ＭＳ ゴシック" w:cs="ＭＳ Ｐゴシック" w:hint="eastAsia"/>
                <w:kern w:val="0"/>
                <w:sz w:val="14"/>
                <w:szCs w:val="12"/>
              </w:rPr>
              <w:t>消防保安課</w:t>
            </w:r>
          </w:p>
        </w:tc>
      </w:tr>
      <w:tr w:rsidR="008A3EDE" w:rsidRPr="00263B73" w14:paraId="3C197933" w14:textId="77777777" w:rsidTr="00831B7C">
        <w:trPr>
          <w:trHeight w:val="20"/>
        </w:trPr>
        <w:tc>
          <w:tcPr>
            <w:tcW w:w="1501" w:type="dxa"/>
            <w:vAlign w:val="center"/>
            <w:hideMark/>
          </w:tcPr>
          <w:p w14:paraId="463C12FE" w14:textId="77777777" w:rsidR="008A3EDE" w:rsidRPr="00263B73" w:rsidRDefault="008A3EDE" w:rsidP="00831B7C">
            <w:pPr>
              <w:widowControl/>
              <w:spacing w:line="180" w:lineRule="exact"/>
              <w:jc w:val="left"/>
              <w:rPr>
                <w:rFonts w:ascii="ＭＳ ゴシック" w:eastAsia="ＭＳ ゴシック" w:hAnsi="ＭＳ ゴシック" w:cs="ＭＳ Ｐゴシック"/>
                <w:kern w:val="0"/>
                <w:sz w:val="14"/>
                <w:szCs w:val="12"/>
              </w:rPr>
            </w:pPr>
            <w:r w:rsidRPr="00263B73">
              <w:rPr>
                <w:rFonts w:ascii="ＭＳ ゴシック" w:eastAsia="ＭＳ ゴシック" w:hAnsi="ＭＳ ゴシック" w:cs="ＭＳ Ｐゴシック" w:hint="eastAsia"/>
                <w:kern w:val="0"/>
                <w:sz w:val="14"/>
                <w:szCs w:val="12"/>
              </w:rPr>
              <w:t>石油コンビナート等災害</w:t>
            </w:r>
          </w:p>
        </w:tc>
        <w:tc>
          <w:tcPr>
            <w:tcW w:w="5631" w:type="dxa"/>
            <w:gridSpan w:val="2"/>
            <w:vAlign w:val="center"/>
            <w:hideMark/>
          </w:tcPr>
          <w:p w14:paraId="09B162BC" w14:textId="77777777" w:rsidR="008A3EDE" w:rsidRPr="00263B73" w:rsidRDefault="008A3EDE" w:rsidP="00831B7C">
            <w:pPr>
              <w:widowControl/>
              <w:spacing w:line="180" w:lineRule="exact"/>
              <w:jc w:val="left"/>
              <w:rPr>
                <w:rFonts w:ascii="ＭＳ ゴシック" w:eastAsia="ＭＳ ゴシック" w:hAnsi="ＭＳ ゴシック" w:cs="ＭＳ Ｐゴシック"/>
                <w:kern w:val="0"/>
                <w:sz w:val="14"/>
                <w:szCs w:val="12"/>
              </w:rPr>
            </w:pPr>
            <w:r w:rsidRPr="00263B73">
              <w:rPr>
                <w:rFonts w:ascii="ＭＳ ゴシック" w:eastAsia="ＭＳ ゴシック" w:hAnsi="ＭＳ ゴシック" w:cs="ＭＳ Ｐゴシック" w:hint="eastAsia"/>
                <w:kern w:val="0"/>
                <w:sz w:val="14"/>
                <w:szCs w:val="12"/>
              </w:rPr>
              <w:t>大阪府石油コンビナート等防災計画</w:t>
            </w:r>
            <w:r w:rsidRPr="00263B73">
              <w:rPr>
                <w:rFonts w:ascii="ＭＳ ゴシック" w:eastAsia="ＭＳ ゴシック" w:hAnsi="ＭＳ ゴシック" w:cs="ＭＳ Ｐゴシック"/>
                <w:kern w:val="0"/>
                <w:sz w:val="14"/>
                <w:szCs w:val="12"/>
              </w:rPr>
              <w:br/>
            </w:r>
            <w:r w:rsidRPr="00263B73">
              <w:rPr>
                <w:rFonts w:ascii="ＭＳ ゴシック" w:eastAsia="ＭＳ ゴシック" w:hAnsi="ＭＳ ゴシック" w:cs="ＭＳ Ｐゴシック" w:hint="eastAsia"/>
                <w:kern w:val="0"/>
                <w:sz w:val="14"/>
                <w:szCs w:val="12"/>
              </w:rPr>
              <w:t>コンビナート事故発生時の対応マニュアル</w:t>
            </w:r>
          </w:p>
        </w:tc>
        <w:tc>
          <w:tcPr>
            <w:tcW w:w="850" w:type="dxa"/>
            <w:vMerge/>
            <w:noWrap/>
            <w:vAlign w:val="center"/>
            <w:hideMark/>
          </w:tcPr>
          <w:p w14:paraId="75256C35" w14:textId="77777777" w:rsidR="008A3EDE" w:rsidRPr="00263B73" w:rsidRDefault="008A3EDE" w:rsidP="00831B7C">
            <w:pPr>
              <w:spacing w:line="180" w:lineRule="exact"/>
              <w:jc w:val="left"/>
              <w:rPr>
                <w:rFonts w:ascii="ＭＳ ゴシック" w:eastAsia="ＭＳ ゴシック" w:hAnsi="ＭＳ ゴシック" w:cs="ＭＳ Ｐゴシック"/>
                <w:kern w:val="0"/>
                <w:sz w:val="14"/>
                <w:szCs w:val="12"/>
              </w:rPr>
            </w:pPr>
          </w:p>
        </w:tc>
        <w:tc>
          <w:tcPr>
            <w:tcW w:w="1843" w:type="dxa"/>
            <w:noWrap/>
            <w:vAlign w:val="center"/>
            <w:hideMark/>
          </w:tcPr>
          <w:p w14:paraId="37B52A03" w14:textId="77777777" w:rsidR="008A3EDE" w:rsidRPr="00263B73" w:rsidRDefault="008A3EDE" w:rsidP="00831B7C">
            <w:pPr>
              <w:widowControl/>
              <w:spacing w:line="180" w:lineRule="exact"/>
              <w:rPr>
                <w:rFonts w:ascii="ＭＳ ゴシック" w:eastAsia="ＭＳ ゴシック" w:hAnsi="ＭＳ ゴシック" w:cs="ＭＳ Ｐゴシック"/>
                <w:kern w:val="0"/>
                <w:sz w:val="14"/>
                <w:szCs w:val="12"/>
              </w:rPr>
            </w:pPr>
            <w:r w:rsidRPr="00263B73">
              <w:rPr>
                <w:rFonts w:ascii="ＭＳ ゴシック" w:eastAsia="ＭＳ ゴシック" w:hAnsi="ＭＳ ゴシック" w:cs="ＭＳ Ｐゴシック" w:hint="eastAsia"/>
                <w:kern w:val="0"/>
                <w:sz w:val="14"/>
                <w:szCs w:val="12"/>
              </w:rPr>
              <w:t>消防保安課</w:t>
            </w:r>
          </w:p>
        </w:tc>
      </w:tr>
      <w:tr w:rsidR="008A3EDE" w:rsidRPr="00263B73" w14:paraId="55E84479" w14:textId="77777777" w:rsidTr="00831B7C">
        <w:trPr>
          <w:trHeight w:val="210"/>
        </w:trPr>
        <w:tc>
          <w:tcPr>
            <w:tcW w:w="1501" w:type="dxa"/>
            <w:vMerge w:val="restart"/>
            <w:hideMark/>
          </w:tcPr>
          <w:p w14:paraId="384B77A3" w14:textId="77777777" w:rsidR="008A3EDE" w:rsidRPr="00263B73" w:rsidRDefault="008A3EDE" w:rsidP="00831B7C">
            <w:pPr>
              <w:widowControl/>
              <w:spacing w:line="180" w:lineRule="exact"/>
              <w:jc w:val="left"/>
              <w:rPr>
                <w:rFonts w:ascii="ＭＳ ゴシック" w:eastAsia="ＭＳ ゴシック" w:hAnsi="ＭＳ ゴシック" w:cs="ＭＳ Ｐゴシック"/>
                <w:kern w:val="0"/>
                <w:sz w:val="14"/>
                <w:szCs w:val="12"/>
              </w:rPr>
            </w:pPr>
            <w:r w:rsidRPr="00263B73">
              <w:rPr>
                <w:rFonts w:ascii="ＭＳ ゴシック" w:eastAsia="ＭＳ ゴシック" w:hAnsi="ＭＳ ゴシック" w:cs="ＭＳ Ｐゴシック" w:hint="eastAsia"/>
                <w:kern w:val="0"/>
                <w:sz w:val="14"/>
                <w:szCs w:val="12"/>
              </w:rPr>
              <w:t xml:space="preserve">本庁舎における事故・事件　</w:t>
            </w:r>
          </w:p>
        </w:tc>
        <w:tc>
          <w:tcPr>
            <w:tcW w:w="5631" w:type="dxa"/>
            <w:gridSpan w:val="2"/>
            <w:noWrap/>
            <w:vAlign w:val="center"/>
            <w:hideMark/>
          </w:tcPr>
          <w:p w14:paraId="42398773" w14:textId="77777777" w:rsidR="008A3EDE" w:rsidRPr="00263B73" w:rsidRDefault="008A3EDE" w:rsidP="00831B7C">
            <w:pPr>
              <w:spacing w:line="180" w:lineRule="exact"/>
              <w:jc w:val="left"/>
              <w:rPr>
                <w:rFonts w:ascii="ＭＳ ゴシック" w:eastAsia="ＭＳ ゴシック" w:hAnsi="ＭＳ ゴシック" w:cs="ＭＳ Ｐゴシック"/>
                <w:kern w:val="0"/>
                <w:sz w:val="14"/>
                <w:szCs w:val="12"/>
              </w:rPr>
            </w:pPr>
            <w:r w:rsidRPr="00263B73">
              <w:rPr>
                <w:rFonts w:ascii="ＭＳ ゴシック" w:eastAsia="ＭＳ ゴシック" w:hAnsi="ＭＳ ゴシック" w:cs="ＭＳ Ｐゴシック" w:hint="eastAsia"/>
                <w:kern w:val="0"/>
                <w:sz w:val="14"/>
                <w:szCs w:val="12"/>
              </w:rPr>
              <w:t>本庁舎非常事態措置要綱</w:t>
            </w:r>
          </w:p>
        </w:tc>
        <w:tc>
          <w:tcPr>
            <w:tcW w:w="850" w:type="dxa"/>
            <w:vMerge w:val="restart"/>
            <w:noWrap/>
            <w:vAlign w:val="center"/>
            <w:hideMark/>
          </w:tcPr>
          <w:p w14:paraId="340E1B73" w14:textId="77777777" w:rsidR="008A3EDE" w:rsidRPr="00263B73" w:rsidRDefault="008A3EDE" w:rsidP="00831B7C">
            <w:pPr>
              <w:spacing w:line="180" w:lineRule="exact"/>
              <w:jc w:val="left"/>
              <w:rPr>
                <w:rFonts w:ascii="ＭＳ ゴシック" w:eastAsia="ＭＳ ゴシック" w:hAnsi="ＭＳ ゴシック" w:cs="ＭＳ Ｐゴシック"/>
                <w:kern w:val="0"/>
                <w:sz w:val="14"/>
                <w:szCs w:val="12"/>
              </w:rPr>
            </w:pPr>
            <w:r w:rsidRPr="00263B73">
              <w:rPr>
                <w:rFonts w:ascii="ＭＳ ゴシック" w:eastAsia="ＭＳ ゴシック" w:hAnsi="ＭＳ ゴシック" w:cs="ＭＳ Ｐゴシック" w:hint="eastAsia"/>
                <w:kern w:val="0"/>
                <w:sz w:val="14"/>
                <w:szCs w:val="12"/>
              </w:rPr>
              <w:t>総務部</w:t>
            </w:r>
          </w:p>
        </w:tc>
        <w:tc>
          <w:tcPr>
            <w:tcW w:w="1843" w:type="dxa"/>
            <w:noWrap/>
            <w:vAlign w:val="center"/>
            <w:hideMark/>
          </w:tcPr>
          <w:p w14:paraId="1C3FC7FF" w14:textId="77777777" w:rsidR="008A3EDE" w:rsidRPr="00263B73" w:rsidRDefault="008A3EDE" w:rsidP="00831B7C">
            <w:pPr>
              <w:spacing w:line="180" w:lineRule="exact"/>
              <w:rPr>
                <w:rFonts w:ascii="ＭＳ ゴシック" w:eastAsia="ＭＳ ゴシック" w:hAnsi="ＭＳ ゴシック" w:cs="ＭＳ Ｐゴシック"/>
                <w:kern w:val="0"/>
                <w:sz w:val="14"/>
                <w:szCs w:val="12"/>
              </w:rPr>
            </w:pPr>
            <w:r w:rsidRPr="00263B73">
              <w:rPr>
                <w:rFonts w:ascii="ＭＳ ゴシック" w:eastAsia="ＭＳ ゴシック" w:hAnsi="ＭＳ ゴシック" w:cs="ＭＳ Ｐゴシック" w:hint="eastAsia"/>
                <w:kern w:val="0"/>
                <w:sz w:val="14"/>
                <w:szCs w:val="12"/>
              </w:rPr>
              <w:t>庁舎室庁舎管理課</w:t>
            </w:r>
          </w:p>
        </w:tc>
      </w:tr>
      <w:tr w:rsidR="008A3EDE" w:rsidRPr="00263B73" w14:paraId="5CF000AC" w14:textId="77777777" w:rsidTr="00831B7C">
        <w:trPr>
          <w:trHeight w:val="20"/>
        </w:trPr>
        <w:tc>
          <w:tcPr>
            <w:tcW w:w="1501" w:type="dxa"/>
            <w:vMerge/>
            <w:hideMark/>
          </w:tcPr>
          <w:p w14:paraId="4A97B0B2" w14:textId="77777777" w:rsidR="008A3EDE" w:rsidRPr="00263B73" w:rsidRDefault="008A3EDE" w:rsidP="00831B7C">
            <w:pPr>
              <w:widowControl/>
              <w:spacing w:line="180" w:lineRule="exact"/>
              <w:jc w:val="left"/>
              <w:rPr>
                <w:rFonts w:ascii="ＭＳ ゴシック" w:eastAsia="ＭＳ ゴシック" w:hAnsi="ＭＳ ゴシック" w:cs="ＭＳ Ｐゴシック"/>
                <w:kern w:val="0"/>
                <w:sz w:val="14"/>
                <w:szCs w:val="12"/>
              </w:rPr>
            </w:pPr>
          </w:p>
        </w:tc>
        <w:tc>
          <w:tcPr>
            <w:tcW w:w="5631" w:type="dxa"/>
            <w:gridSpan w:val="2"/>
            <w:noWrap/>
            <w:vAlign w:val="center"/>
            <w:hideMark/>
          </w:tcPr>
          <w:p w14:paraId="3862753B" w14:textId="77777777" w:rsidR="008A3EDE" w:rsidRPr="00263B73" w:rsidRDefault="008A3EDE" w:rsidP="00831B7C">
            <w:pPr>
              <w:widowControl/>
              <w:spacing w:line="180" w:lineRule="exact"/>
              <w:jc w:val="left"/>
              <w:rPr>
                <w:rFonts w:ascii="ＭＳ ゴシック" w:eastAsia="ＭＳ ゴシック" w:hAnsi="ＭＳ ゴシック" w:cs="ＭＳ Ｐゴシック"/>
                <w:kern w:val="0"/>
                <w:sz w:val="14"/>
                <w:szCs w:val="12"/>
              </w:rPr>
            </w:pPr>
            <w:r w:rsidRPr="00263B73">
              <w:rPr>
                <w:rFonts w:ascii="ＭＳ ゴシック" w:eastAsia="ＭＳ ゴシック" w:hAnsi="ＭＳ ゴシック" w:cs="ＭＳ Ｐゴシック" w:hint="eastAsia"/>
                <w:kern w:val="0"/>
                <w:sz w:val="14"/>
                <w:szCs w:val="12"/>
              </w:rPr>
              <w:t>停電時対応マニュアル</w:t>
            </w:r>
          </w:p>
        </w:tc>
        <w:tc>
          <w:tcPr>
            <w:tcW w:w="850" w:type="dxa"/>
            <w:vMerge/>
            <w:noWrap/>
            <w:vAlign w:val="center"/>
            <w:hideMark/>
          </w:tcPr>
          <w:p w14:paraId="343826BC" w14:textId="77777777" w:rsidR="008A3EDE" w:rsidRPr="00263B73" w:rsidRDefault="008A3EDE" w:rsidP="00831B7C">
            <w:pPr>
              <w:widowControl/>
              <w:spacing w:line="180" w:lineRule="exact"/>
              <w:jc w:val="left"/>
              <w:rPr>
                <w:rFonts w:ascii="ＭＳ ゴシック" w:eastAsia="ＭＳ ゴシック" w:hAnsi="ＭＳ ゴシック" w:cs="ＭＳ Ｐゴシック"/>
                <w:kern w:val="0"/>
                <w:sz w:val="14"/>
                <w:szCs w:val="12"/>
              </w:rPr>
            </w:pPr>
          </w:p>
        </w:tc>
        <w:tc>
          <w:tcPr>
            <w:tcW w:w="1843" w:type="dxa"/>
            <w:noWrap/>
            <w:vAlign w:val="center"/>
            <w:hideMark/>
          </w:tcPr>
          <w:p w14:paraId="6932CD04" w14:textId="77777777" w:rsidR="008A3EDE" w:rsidRPr="00263B73" w:rsidRDefault="008A3EDE" w:rsidP="00831B7C">
            <w:pPr>
              <w:widowControl/>
              <w:spacing w:line="180" w:lineRule="exact"/>
              <w:rPr>
                <w:rFonts w:ascii="ＭＳ ゴシック" w:eastAsia="ＭＳ ゴシック" w:hAnsi="ＭＳ ゴシック" w:cs="ＭＳ Ｐゴシック"/>
                <w:kern w:val="0"/>
                <w:sz w:val="14"/>
                <w:szCs w:val="12"/>
              </w:rPr>
            </w:pPr>
            <w:r w:rsidRPr="00263B73">
              <w:rPr>
                <w:rFonts w:ascii="ＭＳ ゴシック" w:eastAsia="ＭＳ ゴシック" w:hAnsi="ＭＳ ゴシック" w:cs="ＭＳ Ｐゴシック" w:hint="eastAsia"/>
                <w:kern w:val="0"/>
                <w:sz w:val="14"/>
                <w:szCs w:val="12"/>
              </w:rPr>
              <w:t>庁舎室庁舎管理課</w:t>
            </w:r>
          </w:p>
        </w:tc>
      </w:tr>
      <w:tr w:rsidR="008A3EDE" w:rsidRPr="00263B73" w14:paraId="19E84AE2" w14:textId="77777777" w:rsidTr="00831B7C">
        <w:trPr>
          <w:trHeight w:val="431"/>
        </w:trPr>
        <w:tc>
          <w:tcPr>
            <w:tcW w:w="1501" w:type="dxa"/>
            <w:vAlign w:val="center"/>
          </w:tcPr>
          <w:p w14:paraId="7E56A7BD" w14:textId="77777777" w:rsidR="008A3EDE" w:rsidRPr="00263B73" w:rsidRDefault="008A3EDE" w:rsidP="00831B7C">
            <w:pPr>
              <w:widowControl/>
              <w:spacing w:line="180" w:lineRule="exact"/>
              <w:jc w:val="left"/>
              <w:rPr>
                <w:rFonts w:ascii="ＭＳ ゴシック" w:eastAsia="ＭＳ ゴシック" w:hAnsi="ＭＳ ゴシック" w:cs="ＭＳ Ｐゴシック"/>
                <w:kern w:val="0"/>
                <w:sz w:val="14"/>
                <w:szCs w:val="12"/>
              </w:rPr>
            </w:pPr>
            <w:r w:rsidRPr="00263B73">
              <w:rPr>
                <w:rFonts w:ascii="ＭＳ ゴシック" w:eastAsia="ＭＳ ゴシック" w:hAnsi="ＭＳ ゴシック" w:cs="ＭＳ Ｐゴシック" w:hint="eastAsia"/>
                <w:kern w:val="0"/>
                <w:sz w:val="14"/>
                <w:szCs w:val="12"/>
              </w:rPr>
              <w:t>情報システム・コンピュータ・ネットワークへの脅威</w:t>
            </w:r>
          </w:p>
        </w:tc>
        <w:tc>
          <w:tcPr>
            <w:tcW w:w="5631" w:type="dxa"/>
            <w:gridSpan w:val="2"/>
            <w:noWrap/>
            <w:vAlign w:val="center"/>
          </w:tcPr>
          <w:p w14:paraId="5D6DF505" w14:textId="77777777" w:rsidR="008A3EDE" w:rsidRPr="00263B73" w:rsidRDefault="008A3EDE" w:rsidP="00831B7C">
            <w:pPr>
              <w:widowControl/>
              <w:spacing w:line="180" w:lineRule="exact"/>
              <w:jc w:val="left"/>
              <w:rPr>
                <w:rFonts w:ascii="ＭＳ ゴシック" w:eastAsia="ＭＳ ゴシック" w:hAnsi="ＭＳ ゴシック" w:cs="ＭＳ Ｐゴシック"/>
                <w:kern w:val="0"/>
                <w:sz w:val="14"/>
                <w:szCs w:val="12"/>
              </w:rPr>
            </w:pPr>
            <w:r w:rsidRPr="00263B73">
              <w:rPr>
                <w:rFonts w:ascii="ＭＳ ゴシック" w:eastAsia="ＭＳ ゴシック" w:hAnsi="ＭＳ ゴシック" w:cs="ＭＳ Ｐゴシック" w:hint="eastAsia"/>
                <w:kern w:val="0"/>
                <w:sz w:val="14"/>
                <w:szCs w:val="12"/>
              </w:rPr>
              <w:t>情報セキュリティに関する基本要綱</w:t>
            </w:r>
            <w:r w:rsidRPr="00263B73">
              <w:rPr>
                <w:rFonts w:ascii="ＭＳ ゴシック" w:eastAsia="ＭＳ ゴシック" w:hAnsi="ＭＳ ゴシック" w:cs="ＭＳ Ｐゴシック"/>
                <w:kern w:val="0"/>
                <w:sz w:val="14"/>
                <w:szCs w:val="12"/>
              </w:rPr>
              <w:br/>
            </w:r>
            <w:r w:rsidRPr="00263B73">
              <w:rPr>
                <w:rFonts w:ascii="ＭＳ ゴシック" w:eastAsia="ＭＳ ゴシック" w:hAnsi="ＭＳ ゴシック" w:cs="ＭＳ Ｐゴシック" w:hint="eastAsia"/>
                <w:kern w:val="0"/>
                <w:sz w:val="14"/>
                <w:szCs w:val="12"/>
              </w:rPr>
              <w:t>情報セキュリティインシデント対応（</w:t>
            </w:r>
            <w:r w:rsidRPr="00263B73">
              <w:rPr>
                <w:rFonts w:ascii="ＭＳ ゴシック" w:eastAsia="ＭＳ ゴシック" w:hAnsi="ＭＳ ゴシック" w:cs="ＭＳ Ｐゴシック"/>
                <w:kern w:val="0"/>
                <w:sz w:val="14"/>
                <w:szCs w:val="12"/>
              </w:rPr>
              <w:t>CSIRT</w:t>
            </w:r>
            <w:r w:rsidRPr="00263B73">
              <w:rPr>
                <w:rFonts w:ascii="ＭＳ ゴシック" w:eastAsia="ＭＳ ゴシック" w:hAnsi="ＭＳ ゴシック" w:cs="ＭＳ Ｐゴシック" w:hint="eastAsia"/>
                <w:kern w:val="0"/>
                <w:sz w:val="14"/>
                <w:szCs w:val="12"/>
              </w:rPr>
              <w:t>運用）フロー</w:t>
            </w:r>
          </w:p>
        </w:tc>
        <w:tc>
          <w:tcPr>
            <w:tcW w:w="850" w:type="dxa"/>
            <w:noWrap/>
            <w:vAlign w:val="center"/>
          </w:tcPr>
          <w:p w14:paraId="5E5DA84A" w14:textId="77777777" w:rsidR="008A3EDE" w:rsidRPr="00263B73" w:rsidRDefault="008A3EDE" w:rsidP="00831B7C">
            <w:pPr>
              <w:widowControl/>
              <w:spacing w:line="180" w:lineRule="exact"/>
              <w:jc w:val="left"/>
              <w:rPr>
                <w:rFonts w:ascii="ＭＳ ゴシック" w:eastAsia="ＭＳ ゴシック" w:hAnsi="ＭＳ ゴシック" w:cs="ＭＳ Ｐゴシック"/>
                <w:kern w:val="0"/>
                <w:sz w:val="14"/>
                <w:szCs w:val="12"/>
              </w:rPr>
            </w:pPr>
            <w:r w:rsidRPr="00263B73">
              <w:rPr>
                <w:rFonts w:ascii="ＭＳ ゴシック" w:eastAsia="ＭＳ ゴシック" w:hAnsi="ＭＳ ゴシック" w:cs="ＭＳ Ｐゴシック" w:hint="eastAsia"/>
                <w:kern w:val="0"/>
                <w:sz w:val="14"/>
                <w:szCs w:val="12"/>
              </w:rPr>
              <w:t>財政部</w:t>
            </w:r>
          </w:p>
        </w:tc>
        <w:tc>
          <w:tcPr>
            <w:tcW w:w="1843" w:type="dxa"/>
            <w:noWrap/>
            <w:vAlign w:val="center"/>
          </w:tcPr>
          <w:p w14:paraId="4A0E192A" w14:textId="77777777" w:rsidR="008A3EDE" w:rsidRPr="00263B73" w:rsidRDefault="008A3EDE" w:rsidP="00831B7C">
            <w:pPr>
              <w:widowControl/>
              <w:spacing w:line="180" w:lineRule="exact"/>
              <w:rPr>
                <w:rFonts w:ascii="ＭＳ ゴシック" w:eastAsia="ＭＳ ゴシック" w:hAnsi="ＭＳ ゴシック" w:cs="ＭＳ Ｐゴシック"/>
                <w:kern w:val="0"/>
                <w:sz w:val="14"/>
                <w:szCs w:val="12"/>
              </w:rPr>
            </w:pPr>
            <w:r w:rsidRPr="00263B73">
              <w:rPr>
                <w:rFonts w:ascii="ＭＳ ゴシック" w:eastAsia="ＭＳ ゴシック" w:hAnsi="ＭＳ ゴシック" w:cs="ＭＳ Ｐゴシック" w:hint="eastAsia"/>
                <w:kern w:val="0"/>
                <w:sz w:val="14"/>
                <w:szCs w:val="12"/>
              </w:rPr>
              <w:t>行政DX企画課</w:t>
            </w:r>
          </w:p>
        </w:tc>
      </w:tr>
      <w:tr w:rsidR="008A3EDE" w:rsidRPr="00263B73" w14:paraId="01C5EEF5" w14:textId="77777777" w:rsidTr="00831B7C">
        <w:trPr>
          <w:trHeight w:val="20"/>
        </w:trPr>
        <w:tc>
          <w:tcPr>
            <w:tcW w:w="1501" w:type="dxa"/>
            <w:vAlign w:val="center"/>
            <w:hideMark/>
          </w:tcPr>
          <w:p w14:paraId="7F8D85C8" w14:textId="77777777" w:rsidR="008A3EDE" w:rsidRPr="00263B73" w:rsidRDefault="008A3EDE" w:rsidP="00831B7C">
            <w:pPr>
              <w:widowControl/>
              <w:spacing w:line="180" w:lineRule="exact"/>
              <w:jc w:val="left"/>
              <w:rPr>
                <w:rFonts w:ascii="ＭＳ ゴシック" w:eastAsia="ＭＳ ゴシック" w:hAnsi="ＭＳ ゴシック" w:cs="ＭＳ Ｐゴシック"/>
                <w:kern w:val="0"/>
                <w:sz w:val="14"/>
                <w:szCs w:val="12"/>
              </w:rPr>
            </w:pPr>
            <w:r w:rsidRPr="00263B73">
              <w:rPr>
                <w:rFonts w:ascii="ＭＳ ゴシック" w:eastAsia="ＭＳ ゴシック" w:hAnsi="ＭＳ ゴシック" w:cs="ＭＳ Ｐゴシック" w:hint="eastAsia"/>
                <w:kern w:val="0"/>
                <w:sz w:val="14"/>
                <w:szCs w:val="12"/>
              </w:rPr>
              <w:t>不審郵便物による被害</w:t>
            </w:r>
          </w:p>
        </w:tc>
        <w:tc>
          <w:tcPr>
            <w:tcW w:w="5631" w:type="dxa"/>
            <w:gridSpan w:val="2"/>
            <w:noWrap/>
            <w:vAlign w:val="center"/>
            <w:hideMark/>
          </w:tcPr>
          <w:p w14:paraId="73524702" w14:textId="77777777" w:rsidR="008A3EDE" w:rsidRPr="00263B73" w:rsidRDefault="008A3EDE" w:rsidP="00831B7C">
            <w:pPr>
              <w:widowControl/>
              <w:spacing w:line="180" w:lineRule="exact"/>
              <w:jc w:val="left"/>
              <w:rPr>
                <w:rFonts w:ascii="ＭＳ ゴシック" w:eastAsia="ＭＳ ゴシック" w:hAnsi="ＭＳ ゴシック" w:cs="ＭＳ Ｐゴシック"/>
                <w:kern w:val="0"/>
                <w:sz w:val="14"/>
                <w:szCs w:val="12"/>
              </w:rPr>
            </w:pPr>
            <w:r w:rsidRPr="00263B73">
              <w:rPr>
                <w:rFonts w:ascii="ＭＳ ゴシック" w:eastAsia="ＭＳ ゴシック" w:hAnsi="ＭＳ ゴシック" w:cs="ＭＳ Ｐゴシック" w:hint="eastAsia"/>
                <w:kern w:val="0"/>
                <w:sz w:val="14"/>
                <w:szCs w:val="12"/>
              </w:rPr>
              <w:t>不審郵便物等の取扱いについて</w:t>
            </w:r>
          </w:p>
        </w:tc>
        <w:tc>
          <w:tcPr>
            <w:tcW w:w="850" w:type="dxa"/>
            <w:vMerge w:val="restart"/>
            <w:noWrap/>
            <w:vAlign w:val="center"/>
            <w:hideMark/>
          </w:tcPr>
          <w:p w14:paraId="367B1395" w14:textId="77777777" w:rsidR="008A3EDE" w:rsidRPr="00263B73" w:rsidRDefault="008A3EDE" w:rsidP="00831B7C">
            <w:pPr>
              <w:widowControl/>
              <w:spacing w:line="180" w:lineRule="exact"/>
              <w:jc w:val="left"/>
              <w:rPr>
                <w:rFonts w:ascii="ＭＳ ゴシック" w:eastAsia="ＭＳ ゴシック" w:hAnsi="ＭＳ ゴシック" w:cs="ＭＳ Ｐゴシック"/>
                <w:kern w:val="0"/>
                <w:sz w:val="14"/>
                <w:szCs w:val="12"/>
              </w:rPr>
            </w:pPr>
            <w:r w:rsidRPr="00263B73">
              <w:rPr>
                <w:rFonts w:ascii="ＭＳ ゴシック" w:eastAsia="ＭＳ ゴシック" w:hAnsi="ＭＳ ゴシック" w:cs="ＭＳ Ｐゴシック" w:hint="eastAsia"/>
                <w:kern w:val="0"/>
                <w:sz w:val="14"/>
                <w:szCs w:val="12"/>
              </w:rPr>
              <w:t xml:space="preserve">府民文化部　</w:t>
            </w:r>
          </w:p>
        </w:tc>
        <w:tc>
          <w:tcPr>
            <w:tcW w:w="1843" w:type="dxa"/>
            <w:noWrap/>
            <w:vAlign w:val="center"/>
            <w:hideMark/>
          </w:tcPr>
          <w:p w14:paraId="2AAB1EB6" w14:textId="77777777" w:rsidR="008A3EDE" w:rsidRPr="00263B73" w:rsidRDefault="008A3EDE" w:rsidP="00831B7C">
            <w:pPr>
              <w:widowControl/>
              <w:spacing w:line="180" w:lineRule="exact"/>
              <w:rPr>
                <w:rFonts w:ascii="ＭＳ ゴシック" w:eastAsia="ＭＳ ゴシック" w:hAnsi="ＭＳ ゴシック" w:cs="ＭＳ Ｐゴシック"/>
                <w:kern w:val="0"/>
                <w:sz w:val="14"/>
                <w:szCs w:val="12"/>
              </w:rPr>
            </w:pPr>
            <w:r w:rsidRPr="00263B73">
              <w:rPr>
                <w:rFonts w:ascii="ＭＳ ゴシック" w:eastAsia="ＭＳ ゴシック" w:hAnsi="ＭＳ ゴシック" w:cs="ＭＳ Ｐゴシック" w:hint="eastAsia"/>
                <w:kern w:val="0"/>
                <w:sz w:val="14"/>
                <w:szCs w:val="12"/>
              </w:rPr>
              <w:t>府政情報室</w:t>
            </w:r>
          </w:p>
        </w:tc>
      </w:tr>
      <w:tr w:rsidR="008A3EDE" w:rsidRPr="00263B73" w14:paraId="419B37E5" w14:textId="77777777" w:rsidTr="00831B7C">
        <w:trPr>
          <w:trHeight w:val="20"/>
        </w:trPr>
        <w:tc>
          <w:tcPr>
            <w:tcW w:w="1501" w:type="dxa"/>
            <w:vAlign w:val="center"/>
            <w:hideMark/>
          </w:tcPr>
          <w:p w14:paraId="216CE162" w14:textId="77777777" w:rsidR="008A3EDE" w:rsidRPr="00263B73" w:rsidRDefault="008A3EDE" w:rsidP="00831B7C">
            <w:pPr>
              <w:widowControl/>
              <w:spacing w:line="180" w:lineRule="exact"/>
              <w:jc w:val="left"/>
              <w:rPr>
                <w:rFonts w:ascii="ＭＳ ゴシック" w:eastAsia="ＭＳ ゴシック" w:hAnsi="ＭＳ ゴシック" w:cs="ＭＳ Ｐゴシック"/>
                <w:kern w:val="0"/>
                <w:sz w:val="14"/>
                <w:szCs w:val="12"/>
              </w:rPr>
            </w:pPr>
            <w:r w:rsidRPr="00263B73">
              <w:rPr>
                <w:rFonts w:ascii="ＭＳ ゴシック" w:eastAsia="ＭＳ ゴシック" w:hAnsi="ＭＳ ゴシック" w:cs="ＭＳ Ｐゴシック" w:hint="eastAsia"/>
                <w:kern w:val="0"/>
                <w:sz w:val="14"/>
                <w:szCs w:val="12"/>
              </w:rPr>
              <w:t>万博記念公園における</w:t>
            </w:r>
          </w:p>
          <w:p w14:paraId="690F1ECE" w14:textId="77777777" w:rsidR="008A3EDE" w:rsidRPr="00263B73" w:rsidRDefault="008A3EDE" w:rsidP="00831B7C">
            <w:pPr>
              <w:widowControl/>
              <w:spacing w:line="180" w:lineRule="exact"/>
              <w:jc w:val="left"/>
              <w:rPr>
                <w:rFonts w:ascii="ＭＳ ゴシック" w:eastAsia="ＭＳ ゴシック" w:hAnsi="ＭＳ ゴシック" w:cs="ＭＳ Ｐゴシック"/>
                <w:kern w:val="0"/>
                <w:sz w:val="14"/>
                <w:szCs w:val="12"/>
              </w:rPr>
            </w:pPr>
            <w:r w:rsidRPr="00263B73">
              <w:rPr>
                <w:rFonts w:ascii="ＭＳ ゴシック" w:eastAsia="ＭＳ ゴシック" w:hAnsi="ＭＳ ゴシック" w:cs="ＭＳ Ｐゴシック" w:hint="eastAsia"/>
                <w:kern w:val="0"/>
                <w:sz w:val="14"/>
                <w:szCs w:val="12"/>
              </w:rPr>
              <w:t>地震・風水害・災害・事件・事故等</w:t>
            </w:r>
          </w:p>
        </w:tc>
        <w:tc>
          <w:tcPr>
            <w:tcW w:w="5631" w:type="dxa"/>
            <w:gridSpan w:val="2"/>
            <w:noWrap/>
            <w:vAlign w:val="center"/>
            <w:hideMark/>
          </w:tcPr>
          <w:p w14:paraId="041DAA25" w14:textId="77777777" w:rsidR="008A3EDE" w:rsidRPr="00263B73" w:rsidRDefault="008A3EDE" w:rsidP="00831B7C">
            <w:pPr>
              <w:widowControl/>
              <w:spacing w:line="180" w:lineRule="exact"/>
              <w:jc w:val="left"/>
              <w:rPr>
                <w:rFonts w:ascii="ＭＳ ゴシック" w:eastAsia="ＭＳ ゴシック" w:hAnsi="ＭＳ ゴシック" w:cs="ＭＳ Ｐゴシック"/>
                <w:kern w:val="0"/>
                <w:sz w:val="14"/>
                <w:szCs w:val="12"/>
              </w:rPr>
            </w:pPr>
            <w:r w:rsidRPr="00263B73">
              <w:rPr>
                <w:rFonts w:ascii="ＭＳ ゴシック" w:eastAsia="ＭＳ ゴシック" w:hAnsi="ＭＳ ゴシック" w:cs="ＭＳ Ｐゴシック" w:hint="eastAsia"/>
                <w:kern w:val="0"/>
                <w:sz w:val="14"/>
                <w:szCs w:val="12"/>
              </w:rPr>
              <w:t>危機管理対応マニュアル</w:t>
            </w:r>
          </w:p>
          <w:p w14:paraId="0114F0BD" w14:textId="77777777" w:rsidR="008A3EDE" w:rsidRPr="00263B73" w:rsidRDefault="008A3EDE" w:rsidP="00831B7C">
            <w:pPr>
              <w:widowControl/>
              <w:spacing w:line="180" w:lineRule="exact"/>
              <w:jc w:val="left"/>
              <w:rPr>
                <w:rFonts w:ascii="ＭＳ ゴシック" w:eastAsia="ＭＳ ゴシック" w:hAnsi="ＭＳ ゴシック" w:cs="ＭＳ Ｐゴシック"/>
                <w:kern w:val="0"/>
                <w:sz w:val="14"/>
                <w:szCs w:val="12"/>
              </w:rPr>
            </w:pPr>
            <w:r w:rsidRPr="00263B73">
              <w:rPr>
                <w:rFonts w:ascii="ＭＳ ゴシック" w:eastAsia="ＭＳ ゴシック" w:hAnsi="ＭＳ ゴシック" w:cs="ＭＳ Ｐゴシック" w:hint="eastAsia"/>
                <w:kern w:val="0"/>
                <w:sz w:val="14"/>
                <w:szCs w:val="12"/>
              </w:rPr>
              <w:t>広域避難場所・後方支援活動拠点・北部広域防災拠点となる万博記念公園初動マニュアル</w:t>
            </w:r>
          </w:p>
        </w:tc>
        <w:tc>
          <w:tcPr>
            <w:tcW w:w="850" w:type="dxa"/>
            <w:vMerge/>
            <w:noWrap/>
            <w:vAlign w:val="center"/>
            <w:hideMark/>
          </w:tcPr>
          <w:p w14:paraId="1B6424FB" w14:textId="77777777" w:rsidR="008A3EDE" w:rsidRPr="00263B73" w:rsidRDefault="008A3EDE" w:rsidP="00831B7C">
            <w:pPr>
              <w:widowControl/>
              <w:spacing w:line="180" w:lineRule="exact"/>
              <w:jc w:val="left"/>
              <w:rPr>
                <w:rFonts w:ascii="ＭＳ ゴシック" w:eastAsia="ＭＳ ゴシック" w:hAnsi="ＭＳ ゴシック" w:cs="ＭＳ Ｐゴシック"/>
                <w:kern w:val="0"/>
                <w:sz w:val="14"/>
                <w:szCs w:val="12"/>
              </w:rPr>
            </w:pPr>
          </w:p>
        </w:tc>
        <w:tc>
          <w:tcPr>
            <w:tcW w:w="1843" w:type="dxa"/>
            <w:vAlign w:val="center"/>
            <w:hideMark/>
          </w:tcPr>
          <w:p w14:paraId="6BEB6C00" w14:textId="77777777" w:rsidR="008A3EDE" w:rsidRPr="00263B73" w:rsidRDefault="008A3EDE" w:rsidP="00831B7C">
            <w:pPr>
              <w:widowControl/>
              <w:spacing w:line="180" w:lineRule="exact"/>
              <w:rPr>
                <w:rFonts w:ascii="ＭＳ ゴシック" w:eastAsia="ＭＳ ゴシック" w:hAnsi="ＭＳ ゴシック" w:cs="ＭＳ Ｐゴシック"/>
                <w:kern w:val="0"/>
                <w:sz w:val="14"/>
                <w:szCs w:val="12"/>
              </w:rPr>
            </w:pPr>
            <w:r w:rsidRPr="00263B73">
              <w:rPr>
                <w:rFonts w:ascii="ＭＳ ゴシック" w:eastAsia="ＭＳ ゴシック" w:hAnsi="ＭＳ ゴシック" w:cs="ＭＳ Ｐゴシック" w:hint="eastAsia"/>
                <w:kern w:val="0"/>
                <w:sz w:val="14"/>
                <w:szCs w:val="12"/>
              </w:rPr>
              <w:t>日本万国博覧会記念公園事務所企画課</w:t>
            </w:r>
          </w:p>
        </w:tc>
      </w:tr>
      <w:tr w:rsidR="008A3EDE" w:rsidRPr="00263B73" w14:paraId="5686197D" w14:textId="77777777" w:rsidTr="00831B7C">
        <w:trPr>
          <w:trHeight w:val="20"/>
        </w:trPr>
        <w:tc>
          <w:tcPr>
            <w:tcW w:w="1501" w:type="dxa"/>
            <w:vMerge w:val="restart"/>
            <w:hideMark/>
          </w:tcPr>
          <w:p w14:paraId="7ABC2008" w14:textId="77777777" w:rsidR="008A3EDE" w:rsidRPr="00263B73" w:rsidRDefault="008A3EDE" w:rsidP="00831B7C">
            <w:pPr>
              <w:widowControl/>
              <w:spacing w:line="180" w:lineRule="exact"/>
              <w:jc w:val="left"/>
              <w:rPr>
                <w:rFonts w:ascii="ＭＳ ゴシック" w:eastAsia="ＭＳ ゴシック" w:hAnsi="ＭＳ ゴシック" w:cs="ＭＳ Ｐゴシック"/>
                <w:kern w:val="0"/>
                <w:sz w:val="14"/>
                <w:szCs w:val="12"/>
              </w:rPr>
            </w:pPr>
            <w:r w:rsidRPr="00263B73">
              <w:rPr>
                <w:rFonts w:ascii="ＭＳ ゴシック" w:eastAsia="ＭＳ ゴシック" w:hAnsi="ＭＳ ゴシック" w:cs="ＭＳ Ｐゴシック" w:hint="eastAsia"/>
                <w:kern w:val="0"/>
                <w:sz w:val="14"/>
                <w:szCs w:val="12"/>
              </w:rPr>
              <w:t>社会福祉施設等入所者、来所者の健康被害、地震被害、犯罪被害</w:t>
            </w:r>
          </w:p>
        </w:tc>
        <w:tc>
          <w:tcPr>
            <w:tcW w:w="5631" w:type="dxa"/>
            <w:gridSpan w:val="2"/>
            <w:noWrap/>
            <w:vAlign w:val="center"/>
          </w:tcPr>
          <w:p w14:paraId="1E25DCED" w14:textId="77777777" w:rsidR="008A3EDE" w:rsidRPr="00263B73" w:rsidRDefault="008A3EDE" w:rsidP="00831B7C">
            <w:pPr>
              <w:widowControl/>
              <w:spacing w:line="180" w:lineRule="exact"/>
              <w:jc w:val="left"/>
              <w:rPr>
                <w:rFonts w:ascii="ＭＳ ゴシック" w:eastAsia="ＭＳ ゴシック" w:hAnsi="ＭＳ ゴシック" w:cs="ＭＳ Ｐゴシック"/>
                <w:kern w:val="0"/>
                <w:sz w:val="14"/>
                <w:szCs w:val="12"/>
              </w:rPr>
            </w:pPr>
            <w:r w:rsidRPr="00263B73">
              <w:rPr>
                <w:rFonts w:ascii="ＭＳ ゴシック" w:eastAsia="ＭＳ ゴシック" w:hAnsi="ＭＳ ゴシック" w:cs="ＭＳ Ｐゴシック" w:hint="eastAsia"/>
                <w:kern w:val="0"/>
                <w:sz w:val="14"/>
                <w:szCs w:val="12"/>
              </w:rPr>
              <w:t>社会福祉施設等における地震防災対策マニュアル（入所施設版）</w:t>
            </w:r>
          </w:p>
        </w:tc>
        <w:tc>
          <w:tcPr>
            <w:tcW w:w="850" w:type="dxa"/>
            <w:vMerge w:val="restart"/>
            <w:noWrap/>
            <w:vAlign w:val="center"/>
          </w:tcPr>
          <w:p w14:paraId="2D993A0E" w14:textId="77777777" w:rsidR="008A3EDE" w:rsidRPr="00263B73" w:rsidRDefault="008A3EDE" w:rsidP="00831B7C">
            <w:pPr>
              <w:widowControl/>
              <w:spacing w:line="180" w:lineRule="exact"/>
              <w:jc w:val="left"/>
              <w:rPr>
                <w:rFonts w:ascii="ＭＳ ゴシック" w:eastAsia="ＭＳ ゴシック" w:hAnsi="ＭＳ ゴシック" w:cs="ＭＳ Ｐゴシック"/>
                <w:kern w:val="0"/>
                <w:sz w:val="14"/>
                <w:szCs w:val="12"/>
              </w:rPr>
            </w:pPr>
            <w:r w:rsidRPr="00263B73">
              <w:rPr>
                <w:rFonts w:ascii="ＭＳ ゴシック" w:eastAsia="ＭＳ ゴシック" w:hAnsi="ＭＳ ゴシック" w:cs="ＭＳ Ｐゴシック" w:hint="eastAsia"/>
                <w:kern w:val="0"/>
                <w:sz w:val="14"/>
                <w:szCs w:val="12"/>
              </w:rPr>
              <w:t>福祉部</w:t>
            </w:r>
          </w:p>
        </w:tc>
        <w:tc>
          <w:tcPr>
            <w:tcW w:w="1843" w:type="dxa"/>
            <w:vAlign w:val="center"/>
          </w:tcPr>
          <w:p w14:paraId="6A54E946" w14:textId="77777777" w:rsidR="008A3EDE" w:rsidRPr="00263B73" w:rsidRDefault="008A3EDE" w:rsidP="00831B7C">
            <w:pPr>
              <w:widowControl/>
              <w:spacing w:line="180" w:lineRule="exact"/>
              <w:rPr>
                <w:rFonts w:ascii="ＭＳ ゴシック" w:eastAsia="ＭＳ ゴシック" w:hAnsi="ＭＳ ゴシック" w:cs="ＭＳ Ｐゴシック"/>
                <w:kern w:val="0"/>
                <w:sz w:val="14"/>
                <w:szCs w:val="12"/>
              </w:rPr>
            </w:pPr>
            <w:r w:rsidRPr="00263B73">
              <w:rPr>
                <w:rFonts w:ascii="ＭＳ ゴシック" w:eastAsia="ＭＳ ゴシック" w:hAnsi="ＭＳ ゴシック" w:cs="ＭＳ Ｐゴシック" w:hint="eastAsia"/>
                <w:kern w:val="0"/>
                <w:sz w:val="14"/>
                <w:szCs w:val="12"/>
              </w:rPr>
              <w:t>福祉総務課</w:t>
            </w:r>
          </w:p>
        </w:tc>
      </w:tr>
      <w:tr w:rsidR="008A3EDE" w:rsidRPr="00263B73" w14:paraId="129F844A" w14:textId="77777777" w:rsidTr="00831B7C">
        <w:trPr>
          <w:trHeight w:val="20"/>
        </w:trPr>
        <w:tc>
          <w:tcPr>
            <w:tcW w:w="1501" w:type="dxa"/>
            <w:vMerge/>
            <w:hideMark/>
          </w:tcPr>
          <w:p w14:paraId="718CC24C" w14:textId="77777777" w:rsidR="008A3EDE" w:rsidRPr="00263B73" w:rsidRDefault="008A3EDE" w:rsidP="00831B7C">
            <w:pPr>
              <w:spacing w:line="180" w:lineRule="exact"/>
              <w:jc w:val="left"/>
              <w:rPr>
                <w:rFonts w:ascii="ＭＳ ゴシック" w:eastAsia="ＭＳ ゴシック" w:hAnsi="ＭＳ ゴシック" w:cs="ＭＳ Ｐゴシック"/>
                <w:kern w:val="0"/>
                <w:sz w:val="14"/>
                <w:szCs w:val="12"/>
              </w:rPr>
            </w:pPr>
          </w:p>
        </w:tc>
        <w:tc>
          <w:tcPr>
            <w:tcW w:w="5631" w:type="dxa"/>
            <w:gridSpan w:val="2"/>
            <w:noWrap/>
            <w:vAlign w:val="center"/>
          </w:tcPr>
          <w:p w14:paraId="4006E169" w14:textId="77777777" w:rsidR="008A3EDE" w:rsidRPr="00263B73" w:rsidRDefault="008A3EDE" w:rsidP="00831B7C">
            <w:pPr>
              <w:widowControl/>
              <w:spacing w:line="180" w:lineRule="exact"/>
              <w:jc w:val="left"/>
              <w:rPr>
                <w:rFonts w:ascii="ＭＳ ゴシック" w:eastAsia="ＭＳ ゴシック" w:hAnsi="ＭＳ ゴシック" w:cs="ＭＳ Ｐゴシック"/>
                <w:kern w:val="0"/>
                <w:sz w:val="14"/>
                <w:szCs w:val="12"/>
              </w:rPr>
            </w:pPr>
            <w:r w:rsidRPr="00263B73">
              <w:rPr>
                <w:rFonts w:ascii="ＭＳ ゴシック" w:eastAsia="ＭＳ ゴシック" w:hAnsi="ＭＳ ゴシック" w:cs="ＭＳ Ｐゴシック" w:hint="eastAsia"/>
                <w:kern w:val="0"/>
                <w:sz w:val="14"/>
                <w:szCs w:val="12"/>
              </w:rPr>
              <w:t>社会福祉施設等における地震防災対策マニュアル（通所施設版）</w:t>
            </w:r>
          </w:p>
        </w:tc>
        <w:tc>
          <w:tcPr>
            <w:tcW w:w="850" w:type="dxa"/>
            <w:vMerge/>
            <w:noWrap/>
            <w:vAlign w:val="center"/>
          </w:tcPr>
          <w:p w14:paraId="6302401A" w14:textId="77777777" w:rsidR="008A3EDE" w:rsidRPr="00263B73" w:rsidRDefault="008A3EDE" w:rsidP="00831B7C">
            <w:pPr>
              <w:spacing w:line="180" w:lineRule="exact"/>
              <w:jc w:val="left"/>
              <w:rPr>
                <w:rFonts w:ascii="ＭＳ ゴシック" w:eastAsia="ＭＳ ゴシック" w:hAnsi="ＭＳ ゴシック" w:cs="ＭＳ Ｐゴシック"/>
                <w:kern w:val="0"/>
                <w:sz w:val="14"/>
                <w:szCs w:val="12"/>
              </w:rPr>
            </w:pPr>
          </w:p>
        </w:tc>
        <w:tc>
          <w:tcPr>
            <w:tcW w:w="1843" w:type="dxa"/>
            <w:vAlign w:val="center"/>
          </w:tcPr>
          <w:p w14:paraId="6861FFCF" w14:textId="77777777" w:rsidR="008A3EDE" w:rsidRPr="00263B73" w:rsidRDefault="008A3EDE" w:rsidP="00831B7C">
            <w:pPr>
              <w:widowControl/>
              <w:spacing w:line="180" w:lineRule="exact"/>
              <w:rPr>
                <w:rFonts w:ascii="ＭＳ ゴシック" w:eastAsia="ＭＳ ゴシック" w:hAnsi="ＭＳ ゴシック" w:cs="ＭＳ Ｐゴシック"/>
                <w:kern w:val="0"/>
                <w:sz w:val="14"/>
                <w:szCs w:val="12"/>
              </w:rPr>
            </w:pPr>
            <w:r w:rsidRPr="00263B73">
              <w:rPr>
                <w:rFonts w:ascii="ＭＳ ゴシック" w:eastAsia="ＭＳ ゴシック" w:hAnsi="ＭＳ ゴシック" w:cs="ＭＳ Ｐゴシック" w:hint="eastAsia"/>
                <w:kern w:val="0"/>
                <w:sz w:val="14"/>
                <w:szCs w:val="12"/>
              </w:rPr>
              <w:t>福祉総務課</w:t>
            </w:r>
          </w:p>
        </w:tc>
      </w:tr>
      <w:tr w:rsidR="008A3EDE" w:rsidRPr="00263B73" w14:paraId="274E8775" w14:textId="77777777" w:rsidTr="00831B7C">
        <w:trPr>
          <w:trHeight w:val="20"/>
        </w:trPr>
        <w:tc>
          <w:tcPr>
            <w:tcW w:w="1501" w:type="dxa"/>
            <w:vMerge/>
            <w:hideMark/>
          </w:tcPr>
          <w:p w14:paraId="0CA2C76E" w14:textId="77777777" w:rsidR="008A3EDE" w:rsidRPr="00263B73" w:rsidRDefault="008A3EDE" w:rsidP="00831B7C">
            <w:pPr>
              <w:spacing w:line="180" w:lineRule="exact"/>
              <w:jc w:val="left"/>
              <w:rPr>
                <w:rFonts w:ascii="ＭＳ ゴシック" w:eastAsia="ＭＳ ゴシック" w:hAnsi="ＭＳ ゴシック" w:cs="ＭＳ Ｐゴシック"/>
                <w:kern w:val="0"/>
                <w:sz w:val="14"/>
                <w:szCs w:val="12"/>
              </w:rPr>
            </w:pPr>
          </w:p>
        </w:tc>
        <w:tc>
          <w:tcPr>
            <w:tcW w:w="5631" w:type="dxa"/>
            <w:gridSpan w:val="2"/>
            <w:noWrap/>
            <w:vAlign w:val="center"/>
          </w:tcPr>
          <w:p w14:paraId="5BC97172" w14:textId="77777777" w:rsidR="008A3EDE" w:rsidRPr="00263B73" w:rsidRDefault="008A3EDE" w:rsidP="00831B7C">
            <w:pPr>
              <w:widowControl/>
              <w:spacing w:line="180" w:lineRule="exact"/>
              <w:jc w:val="left"/>
              <w:rPr>
                <w:rFonts w:ascii="ＭＳ ゴシック" w:eastAsia="ＭＳ ゴシック" w:hAnsi="ＭＳ ゴシック" w:cs="ＭＳ Ｐゴシック"/>
                <w:kern w:val="0"/>
                <w:sz w:val="14"/>
                <w:szCs w:val="12"/>
              </w:rPr>
            </w:pPr>
            <w:r w:rsidRPr="00263B73">
              <w:rPr>
                <w:rFonts w:ascii="ＭＳ ゴシック" w:eastAsia="ＭＳ ゴシック" w:hAnsi="ＭＳ ゴシック" w:cs="ＭＳ Ｐゴシック" w:hint="eastAsia"/>
                <w:kern w:val="0"/>
                <w:sz w:val="14"/>
                <w:szCs w:val="12"/>
              </w:rPr>
              <w:t>社会福祉施設等における感染症及び食中毒対策マニュアル</w:t>
            </w:r>
          </w:p>
        </w:tc>
        <w:tc>
          <w:tcPr>
            <w:tcW w:w="850" w:type="dxa"/>
            <w:vMerge/>
            <w:noWrap/>
            <w:vAlign w:val="center"/>
          </w:tcPr>
          <w:p w14:paraId="5A11FBE1" w14:textId="77777777" w:rsidR="008A3EDE" w:rsidRPr="00263B73" w:rsidRDefault="008A3EDE" w:rsidP="00831B7C">
            <w:pPr>
              <w:spacing w:line="180" w:lineRule="exact"/>
              <w:jc w:val="left"/>
              <w:rPr>
                <w:rFonts w:ascii="ＭＳ ゴシック" w:eastAsia="ＭＳ ゴシック" w:hAnsi="ＭＳ ゴシック" w:cs="ＭＳ Ｐゴシック"/>
                <w:kern w:val="0"/>
                <w:sz w:val="14"/>
                <w:szCs w:val="12"/>
              </w:rPr>
            </w:pPr>
          </w:p>
        </w:tc>
        <w:tc>
          <w:tcPr>
            <w:tcW w:w="1843" w:type="dxa"/>
            <w:noWrap/>
            <w:vAlign w:val="center"/>
          </w:tcPr>
          <w:p w14:paraId="7EF8BBEE" w14:textId="77777777" w:rsidR="008A3EDE" w:rsidRPr="00263B73" w:rsidRDefault="008A3EDE" w:rsidP="00831B7C">
            <w:pPr>
              <w:widowControl/>
              <w:spacing w:line="180" w:lineRule="exact"/>
              <w:rPr>
                <w:rFonts w:ascii="ＭＳ ゴシック" w:eastAsia="ＭＳ ゴシック" w:hAnsi="ＭＳ ゴシック" w:cs="ＭＳ Ｐゴシック"/>
                <w:kern w:val="0"/>
                <w:sz w:val="14"/>
                <w:szCs w:val="12"/>
              </w:rPr>
            </w:pPr>
            <w:r w:rsidRPr="00263B73">
              <w:rPr>
                <w:rFonts w:ascii="ＭＳ ゴシック" w:eastAsia="ＭＳ ゴシック" w:hAnsi="ＭＳ ゴシック" w:cs="ＭＳ Ｐゴシック" w:hint="eastAsia"/>
                <w:kern w:val="0"/>
                <w:sz w:val="14"/>
                <w:szCs w:val="12"/>
              </w:rPr>
              <w:t>社会援護課／自立支援課／地域生活支援課／生活基盤推進課／介護事業者課／子育て支援課／家庭支援課</w:t>
            </w:r>
          </w:p>
        </w:tc>
      </w:tr>
      <w:tr w:rsidR="008A3EDE" w:rsidRPr="00263B73" w14:paraId="5C738D1F" w14:textId="77777777" w:rsidTr="00831B7C">
        <w:trPr>
          <w:trHeight w:val="20"/>
        </w:trPr>
        <w:tc>
          <w:tcPr>
            <w:tcW w:w="1501" w:type="dxa"/>
            <w:vMerge/>
            <w:hideMark/>
          </w:tcPr>
          <w:p w14:paraId="0AAF5FDC" w14:textId="77777777" w:rsidR="008A3EDE" w:rsidRPr="00263B73" w:rsidRDefault="008A3EDE" w:rsidP="00831B7C">
            <w:pPr>
              <w:spacing w:line="180" w:lineRule="exact"/>
              <w:jc w:val="left"/>
              <w:rPr>
                <w:rFonts w:ascii="ＭＳ ゴシック" w:eastAsia="ＭＳ ゴシック" w:hAnsi="ＭＳ ゴシック" w:cs="ＭＳ Ｐゴシック"/>
                <w:kern w:val="0"/>
                <w:sz w:val="14"/>
                <w:szCs w:val="12"/>
              </w:rPr>
            </w:pPr>
          </w:p>
        </w:tc>
        <w:tc>
          <w:tcPr>
            <w:tcW w:w="5631" w:type="dxa"/>
            <w:gridSpan w:val="2"/>
            <w:noWrap/>
            <w:vAlign w:val="center"/>
          </w:tcPr>
          <w:p w14:paraId="04FD31EC" w14:textId="77777777" w:rsidR="008A3EDE" w:rsidRPr="00263B73" w:rsidRDefault="008A3EDE" w:rsidP="00831B7C">
            <w:pPr>
              <w:widowControl/>
              <w:spacing w:line="180" w:lineRule="exact"/>
              <w:jc w:val="left"/>
              <w:rPr>
                <w:rFonts w:ascii="ＭＳ ゴシック" w:eastAsia="ＭＳ ゴシック" w:hAnsi="ＭＳ ゴシック" w:cs="ＭＳ Ｐゴシック"/>
                <w:kern w:val="0"/>
                <w:sz w:val="14"/>
                <w:szCs w:val="12"/>
              </w:rPr>
            </w:pPr>
            <w:r w:rsidRPr="00263B73">
              <w:rPr>
                <w:rFonts w:ascii="ＭＳ ゴシック" w:eastAsia="ＭＳ ゴシック" w:hAnsi="ＭＳ ゴシック" w:cs="ＭＳ Ｐゴシック" w:hint="eastAsia"/>
                <w:kern w:val="0"/>
                <w:sz w:val="14"/>
                <w:szCs w:val="12"/>
              </w:rPr>
              <w:t>社会福祉施設等の入浴設備におけるレジオネラ症発生防止対策マニュアル</w:t>
            </w:r>
          </w:p>
        </w:tc>
        <w:tc>
          <w:tcPr>
            <w:tcW w:w="850" w:type="dxa"/>
            <w:vMerge/>
            <w:noWrap/>
            <w:vAlign w:val="center"/>
          </w:tcPr>
          <w:p w14:paraId="0070EAA7" w14:textId="77777777" w:rsidR="008A3EDE" w:rsidRPr="00263B73" w:rsidRDefault="008A3EDE" w:rsidP="00831B7C">
            <w:pPr>
              <w:spacing w:line="180" w:lineRule="exact"/>
              <w:jc w:val="left"/>
              <w:rPr>
                <w:rFonts w:ascii="ＭＳ ゴシック" w:eastAsia="ＭＳ ゴシック" w:hAnsi="ＭＳ ゴシック" w:cs="ＭＳ Ｐゴシック"/>
                <w:kern w:val="0"/>
                <w:sz w:val="14"/>
                <w:szCs w:val="12"/>
              </w:rPr>
            </w:pPr>
          </w:p>
        </w:tc>
        <w:tc>
          <w:tcPr>
            <w:tcW w:w="1843" w:type="dxa"/>
            <w:vAlign w:val="center"/>
          </w:tcPr>
          <w:p w14:paraId="06E6B9D3" w14:textId="77777777" w:rsidR="008A3EDE" w:rsidRPr="00263B73" w:rsidRDefault="008A3EDE" w:rsidP="00831B7C">
            <w:pPr>
              <w:widowControl/>
              <w:spacing w:line="180" w:lineRule="exact"/>
              <w:rPr>
                <w:rFonts w:ascii="ＭＳ ゴシック" w:eastAsia="ＭＳ ゴシック" w:hAnsi="ＭＳ ゴシック" w:cs="ＭＳ Ｐゴシック"/>
                <w:kern w:val="0"/>
                <w:sz w:val="14"/>
                <w:szCs w:val="12"/>
              </w:rPr>
            </w:pPr>
            <w:r w:rsidRPr="00263B73">
              <w:rPr>
                <w:rFonts w:ascii="ＭＳ ゴシック" w:eastAsia="ＭＳ ゴシック" w:hAnsi="ＭＳ ゴシック" w:cs="ＭＳ Ｐゴシック" w:hint="eastAsia"/>
                <w:kern w:val="0"/>
                <w:sz w:val="14"/>
                <w:szCs w:val="12"/>
              </w:rPr>
              <w:t>社会援護課／自立支援課／地域生活支援課／生活基盤推進課／介護事業者課／子育て支援課／家庭支援課</w:t>
            </w:r>
          </w:p>
        </w:tc>
      </w:tr>
      <w:tr w:rsidR="008A3EDE" w:rsidRPr="00263B73" w14:paraId="5CBA2E42" w14:textId="77777777" w:rsidTr="00831B7C">
        <w:trPr>
          <w:trHeight w:val="20"/>
        </w:trPr>
        <w:tc>
          <w:tcPr>
            <w:tcW w:w="1501" w:type="dxa"/>
            <w:vMerge/>
            <w:hideMark/>
          </w:tcPr>
          <w:p w14:paraId="57F9CFD0" w14:textId="77777777" w:rsidR="008A3EDE" w:rsidRPr="00263B73" w:rsidRDefault="008A3EDE" w:rsidP="00831B7C">
            <w:pPr>
              <w:spacing w:line="180" w:lineRule="exact"/>
              <w:jc w:val="left"/>
              <w:rPr>
                <w:rFonts w:ascii="ＭＳ ゴシック" w:eastAsia="ＭＳ ゴシック" w:hAnsi="ＭＳ ゴシック" w:cs="ＭＳ Ｐゴシック"/>
                <w:kern w:val="0"/>
                <w:sz w:val="14"/>
                <w:szCs w:val="12"/>
              </w:rPr>
            </w:pPr>
          </w:p>
        </w:tc>
        <w:tc>
          <w:tcPr>
            <w:tcW w:w="5631" w:type="dxa"/>
            <w:gridSpan w:val="2"/>
            <w:noWrap/>
            <w:vAlign w:val="center"/>
          </w:tcPr>
          <w:p w14:paraId="25A65626" w14:textId="77777777" w:rsidR="008A3EDE" w:rsidRPr="00263B73" w:rsidRDefault="008A3EDE" w:rsidP="00831B7C">
            <w:pPr>
              <w:widowControl/>
              <w:spacing w:line="180" w:lineRule="exact"/>
              <w:jc w:val="left"/>
              <w:rPr>
                <w:rFonts w:ascii="ＭＳ ゴシック" w:eastAsia="ＭＳ ゴシック" w:hAnsi="ＭＳ ゴシック" w:cs="ＭＳ Ｐゴシック"/>
                <w:kern w:val="0"/>
                <w:sz w:val="14"/>
                <w:szCs w:val="12"/>
              </w:rPr>
            </w:pPr>
            <w:r w:rsidRPr="00263B73">
              <w:rPr>
                <w:rFonts w:ascii="ＭＳ ゴシック" w:eastAsia="ＭＳ ゴシック" w:hAnsi="ＭＳ ゴシック" w:cs="ＭＳ Ｐゴシック" w:hint="eastAsia"/>
                <w:kern w:val="0"/>
                <w:sz w:val="14"/>
                <w:szCs w:val="12"/>
              </w:rPr>
              <w:t>防犯に係る安全確保に関するマニュアル</w:t>
            </w:r>
          </w:p>
        </w:tc>
        <w:tc>
          <w:tcPr>
            <w:tcW w:w="850" w:type="dxa"/>
            <w:vMerge/>
            <w:noWrap/>
            <w:vAlign w:val="center"/>
          </w:tcPr>
          <w:p w14:paraId="7943C5BF" w14:textId="77777777" w:rsidR="008A3EDE" w:rsidRPr="00263B73" w:rsidRDefault="008A3EDE" w:rsidP="00831B7C">
            <w:pPr>
              <w:spacing w:line="180" w:lineRule="exact"/>
              <w:jc w:val="left"/>
              <w:rPr>
                <w:rFonts w:ascii="ＭＳ ゴシック" w:eastAsia="ＭＳ ゴシック" w:hAnsi="ＭＳ ゴシック" w:cs="ＭＳ Ｐゴシック"/>
                <w:kern w:val="0"/>
                <w:sz w:val="14"/>
                <w:szCs w:val="12"/>
              </w:rPr>
            </w:pPr>
          </w:p>
        </w:tc>
        <w:tc>
          <w:tcPr>
            <w:tcW w:w="1843" w:type="dxa"/>
            <w:noWrap/>
            <w:vAlign w:val="center"/>
          </w:tcPr>
          <w:p w14:paraId="38061757" w14:textId="77777777" w:rsidR="008A3EDE" w:rsidRPr="00263B73" w:rsidRDefault="008A3EDE" w:rsidP="00831B7C">
            <w:pPr>
              <w:widowControl/>
              <w:spacing w:line="180" w:lineRule="exact"/>
              <w:rPr>
                <w:rFonts w:ascii="ＭＳ ゴシック" w:eastAsia="ＭＳ ゴシック" w:hAnsi="ＭＳ ゴシック" w:cs="ＭＳ Ｐゴシック"/>
                <w:kern w:val="0"/>
                <w:sz w:val="14"/>
                <w:szCs w:val="12"/>
              </w:rPr>
            </w:pPr>
            <w:r w:rsidRPr="00263B73">
              <w:rPr>
                <w:rFonts w:ascii="ＭＳ ゴシック" w:eastAsia="ＭＳ ゴシック" w:hAnsi="ＭＳ ゴシック" w:cs="ＭＳ Ｐゴシック" w:hint="eastAsia"/>
                <w:kern w:val="0"/>
                <w:sz w:val="14"/>
                <w:szCs w:val="12"/>
              </w:rPr>
              <w:t>生活基盤推進課</w:t>
            </w:r>
          </w:p>
        </w:tc>
      </w:tr>
      <w:tr w:rsidR="008A3EDE" w:rsidRPr="00263B73" w14:paraId="371D72A5" w14:textId="77777777" w:rsidTr="00831B7C">
        <w:trPr>
          <w:trHeight w:val="20"/>
        </w:trPr>
        <w:tc>
          <w:tcPr>
            <w:tcW w:w="1501" w:type="dxa"/>
            <w:vMerge/>
            <w:hideMark/>
          </w:tcPr>
          <w:p w14:paraId="6D8D8905" w14:textId="77777777" w:rsidR="008A3EDE" w:rsidRPr="00263B73" w:rsidRDefault="008A3EDE" w:rsidP="00831B7C">
            <w:pPr>
              <w:spacing w:line="180" w:lineRule="exact"/>
              <w:jc w:val="left"/>
              <w:rPr>
                <w:rFonts w:ascii="ＭＳ ゴシック" w:eastAsia="ＭＳ ゴシック" w:hAnsi="ＭＳ ゴシック" w:cs="ＭＳ Ｐゴシック"/>
                <w:kern w:val="0"/>
                <w:sz w:val="14"/>
                <w:szCs w:val="12"/>
              </w:rPr>
            </w:pPr>
          </w:p>
        </w:tc>
        <w:tc>
          <w:tcPr>
            <w:tcW w:w="5631" w:type="dxa"/>
            <w:gridSpan w:val="2"/>
            <w:noWrap/>
            <w:vAlign w:val="center"/>
          </w:tcPr>
          <w:p w14:paraId="69CE65FF" w14:textId="77777777" w:rsidR="008A3EDE" w:rsidRPr="00263B73" w:rsidRDefault="008A3EDE" w:rsidP="00831B7C">
            <w:pPr>
              <w:widowControl/>
              <w:spacing w:line="180" w:lineRule="exact"/>
              <w:jc w:val="left"/>
              <w:rPr>
                <w:rFonts w:ascii="ＭＳ ゴシック" w:eastAsia="ＭＳ ゴシック" w:hAnsi="ＭＳ ゴシック" w:cs="ＭＳ Ｐゴシック"/>
                <w:kern w:val="0"/>
                <w:sz w:val="14"/>
                <w:szCs w:val="12"/>
              </w:rPr>
            </w:pPr>
            <w:r w:rsidRPr="00263B73">
              <w:rPr>
                <w:rFonts w:ascii="ＭＳ ゴシック" w:eastAsia="ＭＳ ゴシック" w:hAnsi="ＭＳ ゴシック" w:cs="ＭＳ Ｐゴシック" w:hint="eastAsia"/>
                <w:kern w:val="0"/>
                <w:sz w:val="14"/>
                <w:szCs w:val="12"/>
              </w:rPr>
              <w:t>介護保険施設等における地震防災対策マニュアル作成の推進について</w:t>
            </w:r>
          </w:p>
        </w:tc>
        <w:tc>
          <w:tcPr>
            <w:tcW w:w="850" w:type="dxa"/>
            <w:vMerge/>
            <w:noWrap/>
            <w:vAlign w:val="center"/>
          </w:tcPr>
          <w:p w14:paraId="2E2BD81B" w14:textId="77777777" w:rsidR="008A3EDE" w:rsidRPr="00263B73" w:rsidRDefault="008A3EDE" w:rsidP="00831B7C">
            <w:pPr>
              <w:spacing w:line="180" w:lineRule="exact"/>
              <w:jc w:val="left"/>
              <w:rPr>
                <w:rFonts w:ascii="ＭＳ ゴシック" w:eastAsia="ＭＳ ゴシック" w:hAnsi="ＭＳ ゴシック" w:cs="ＭＳ Ｐゴシック"/>
                <w:kern w:val="0"/>
                <w:sz w:val="14"/>
                <w:szCs w:val="12"/>
              </w:rPr>
            </w:pPr>
          </w:p>
        </w:tc>
        <w:tc>
          <w:tcPr>
            <w:tcW w:w="1843" w:type="dxa"/>
            <w:vAlign w:val="center"/>
          </w:tcPr>
          <w:p w14:paraId="630E4FEF" w14:textId="77777777" w:rsidR="008A3EDE" w:rsidRPr="00263B73" w:rsidRDefault="008A3EDE" w:rsidP="00831B7C">
            <w:pPr>
              <w:widowControl/>
              <w:spacing w:line="180" w:lineRule="exact"/>
              <w:rPr>
                <w:rFonts w:ascii="ＭＳ ゴシック" w:eastAsia="ＭＳ ゴシック" w:hAnsi="ＭＳ ゴシック" w:cs="ＭＳ Ｐゴシック"/>
                <w:kern w:val="0"/>
                <w:sz w:val="14"/>
                <w:szCs w:val="12"/>
              </w:rPr>
            </w:pPr>
            <w:r w:rsidRPr="00263B73">
              <w:rPr>
                <w:rFonts w:ascii="ＭＳ ゴシック" w:eastAsia="ＭＳ ゴシック" w:hAnsi="ＭＳ ゴシック" w:cs="ＭＳ Ｐゴシック" w:hint="eastAsia"/>
                <w:kern w:val="0"/>
                <w:sz w:val="14"/>
                <w:szCs w:val="12"/>
              </w:rPr>
              <w:t>介護事業者課</w:t>
            </w:r>
          </w:p>
        </w:tc>
      </w:tr>
      <w:tr w:rsidR="008A3EDE" w:rsidRPr="00263B73" w14:paraId="66001B14" w14:textId="77777777" w:rsidTr="00831B7C">
        <w:trPr>
          <w:trHeight w:val="20"/>
        </w:trPr>
        <w:tc>
          <w:tcPr>
            <w:tcW w:w="1501" w:type="dxa"/>
            <w:vMerge/>
            <w:hideMark/>
          </w:tcPr>
          <w:p w14:paraId="7FC3F037" w14:textId="77777777" w:rsidR="008A3EDE" w:rsidRPr="00263B73" w:rsidRDefault="008A3EDE" w:rsidP="00831B7C">
            <w:pPr>
              <w:spacing w:line="180" w:lineRule="exact"/>
              <w:jc w:val="left"/>
              <w:rPr>
                <w:rFonts w:ascii="ＭＳ ゴシック" w:eastAsia="ＭＳ ゴシック" w:hAnsi="ＭＳ ゴシック" w:cs="ＭＳ Ｐゴシック"/>
                <w:kern w:val="0"/>
                <w:sz w:val="14"/>
                <w:szCs w:val="12"/>
              </w:rPr>
            </w:pPr>
          </w:p>
        </w:tc>
        <w:tc>
          <w:tcPr>
            <w:tcW w:w="5631" w:type="dxa"/>
            <w:gridSpan w:val="2"/>
            <w:noWrap/>
            <w:vAlign w:val="center"/>
          </w:tcPr>
          <w:p w14:paraId="1AE36ABD" w14:textId="77777777" w:rsidR="008A3EDE" w:rsidRPr="00263B73" w:rsidRDefault="008A3EDE" w:rsidP="00831B7C">
            <w:pPr>
              <w:widowControl/>
              <w:spacing w:line="180" w:lineRule="exact"/>
              <w:jc w:val="left"/>
              <w:rPr>
                <w:rFonts w:ascii="ＭＳ ゴシック" w:eastAsia="ＭＳ ゴシック" w:hAnsi="ＭＳ ゴシック" w:cs="ＭＳ Ｐゴシック"/>
                <w:kern w:val="0"/>
                <w:sz w:val="14"/>
                <w:szCs w:val="12"/>
              </w:rPr>
            </w:pPr>
            <w:r w:rsidRPr="00263B73">
              <w:rPr>
                <w:rFonts w:ascii="ＭＳ ゴシック" w:eastAsia="ＭＳ ゴシック" w:hAnsi="ＭＳ ゴシック" w:cs="ＭＳ Ｐゴシック" w:hint="eastAsia"/>
                <w:kern w:val="0"/>
                <w:sz w:val="14"/>
                <w:szCs w:val="12"/>
              </w:rPr>
              <w:t>有料老人ホームにおける地震防災対策マニュアル作成の推進について</w:t>
            </w:r>
          </w:p>
        </w:tc>
        <w:tc>
          <w:tcPr>
            <w:tcW w:w="850" w:type="dxa"/>
            <w:vMerge/>
            <w:noWrap/>
            <w:vAlign w:val="center"/>
          </w:tcPr>
          <w:p w14:paraId="218298C6" w14:textId="77777777" w:rsidR="008A3EDE" w:rsidRPr="00263B73" w:rsidRDefault="008A3EDE" w:rsidP="00831B7C">
            <w:pPr>
              <w:spacing w:line="180" w:lineRule="exact"/>
              <w:jc w:val="left"/>
              <w:rPr>
                <w:rFonts w:ascii="ＭＳ ゴシック" w:eastAsia="ＭＳ ゴシック" w:hAnsi="ＭＳ ゴシック" w:cs="ＭＳ Ｐゴシック"/>
                <w:kern w:val="0"/>
                <w:sz w:val="14"/>
                <w:szCs w:val="12"/>
              </w:rPr>
            </w:pPr>
          </w:p>
        </w:tc>
        <w:tc>
          <w:tcPr>
            <w:tcW w:w="1843" w:type="dxa"/>
            <w:noWrap/>
            <w:vAlign w:val="center"/>
          </w:tcPr>
          <w:p w14:paraId="2A2B9BAE" w14:textId="77777777" w:rsidR="008A3EDE" w:rsidRPr="00263B73" w:rsidRDefault="008A3EDE" w:rsidP="00831B7C">
            <w:pPr>
              <w:widowControl/>
              <w:spacing w:line="180" w:lineRule="exact"/>
              <w:rPr>
                <w:rFonts w:ascii="ＭＳ ゴシック" w:eastAsia="ＭＳ ゴシック" w:hAnsi="ＭＳ ゴシック" w:cs="ＭＳ Ｐゴシック"/>
                <w:kern w:val="0"/>
                <w:sz w:val="14"/>
                <w:szCs w:val="12"/>
              </w:rPr>
            </w:pPr>
            <w:r w:rsidRPr="00263B73">
              <w:rPr>
                <w:rFonts w:ascii="ＭＳ ゴシック" w:eastAsia="ＭＳ ゴシック" w:hAnsi="ＭＳ ゴシック" w:cs="ＭＳ Ｐゴシック" w:hint="eastAsia"/>
                <w:kern w:val="0"/>
                <w:sz w:val="14"/>
                <w:szCs w:val="12"/>
              </w:rPr>
              <w:t>介護事業者課</w:t>
            </w:r>
          </w:p>
        </w:tc>
      </w:tr>
      <w:tr w:rsidR="008A3EDE" w:rsidRPr="00263B73" w14:paraId="25C01A48" w14:textId="77777777" w:rsidTr="00831B7C">
        <w:trPr>
          <w:trHeight w:val="20"/>
        </w:trPr>
        <w:tc>
          <w:tcPr>
            <w:tcW w:w="1501" w:type="dxa"/>
            <w:vMerge w:val="restart"/>
          </w:tcPr>
          <w:p w14:paraId="2D1BC94D" w14:textId="77777777" w:rsidR="008A3EDE" w:rsidRPr="00263B73" w:rsidRDefault="008A3EDE" w:rsidP="00831B7C">
            <w:pPr>
              <w:spacing w:line="180" w:lineRule="exact"/>
              <w:jc w:val="left"/>
              <w:rPr>
                <w:rFonts w:ascii="ＭＳ ゴシック" w:eastAsia="ＭＳ ゴシック" w:hAnsi="ＭＳ ゴシック" w:cs="ＭＳ Ｐゴシック"/>
                <w:kern w:val="0"/>
                <w:sz w:val="14"/>
                <w:szCs w:val="12"/>
              </w:rPr>
            </w:pPr>
            <w:r w:rsidRPr="00263B73">
              <w:rPr>
                <w:rFonts w:ascii="ＭＳ ゴシック" w:eastAsia="ＭＳ ゴシック" w:hAnsi="ＭＳ ゴシック" w:cs="ＭＳ Ｐゴシック" w:hint="eastAsia"/>
                <w:kern w:val="0"/>
                <w:sz w:val="14"/>
                <w:szCs w:val="12"/>
              </w:rPr>
              <w:t>府立施設入所者、来所者の健康被害、地震被害、火災被害、犯罪被害</w:t>
            </w:r>
          </w:p>
        </w:tc>
        <w:tc>
          <w:tcPr>
            <w:tcW w:w="5631" w:type="dxa"/>
            <w:gridSpan w:val="2"/>
            <w:noWrap/>
            <w:vAlign w:val="center"/>
          </w:tcPr>
          <w:p w14:paraId="1E064C31" w14:textId="77777777" w:rsidR="008A3EDE" w:rsidRPr="00263B73" w:rsidRDefault="008A3EDE" w:rsidP="00831B7C">
            <w:pPr>
              <w:widowControl/>
              <w:spacing w:line="180" w:lineRule="exact"/>
              <w:jc w:val="left"/>
              <w:rPr>
                <w:rFonts w:ascii="ＭＳ ゴシック" w:eastAsia="ＭＳ ゴシック" w:hAnsi="ＭＳ ゴシック" w:cs="ＭＳ Ｐゴシック"/>
                <w:kern w:val="0"/>
                <w:sz w:val="14"/>
                <w:szCs w:val="12"/>
              </w:rPr>
            </w:pPr>
            <w:r w:rsidRPr="00263B73">
              <w:rPr>
                <w:rFonts w:ascii="ＭＳ ゴシック" w:eastAsia="ＭＳ ゴシック" w:hAnsi="ＭＳ ゴシック" w:cs="ＭＳ Ｐゴシック" w:hint="eastAsia"/>
                <w:kern w:val="0"/>
                <w:sz w:val="14"/>
                <w:szCs w:val="12"/>
              </w:rPr>
              <w:t>大阪府立障がい者自立センター健康状態急変時の対応マニュアル</w:t>
            </w:r>
          </w:p>
        </w:tc>
        <w:tc>
          <w:tcPr>
            <w:tcW w:w="850" w:type="dxa"/>
            <w:vMerge/>
            <w:noWrap/>
            <w:vAlign w:val="center"/>
          </w:tcPr>
          <w:p w14:paraId="72A5B6A2" w14:textId="77777777" w:rsidR="008A3EDE" w:rsidRPr="00263B73" w:rsidRDefault="008A3EDE" w:rsidP="00831B7C">
            <w:pPr>
              <w:spacing w:line="180" w:lineRule="exact"/>
              <w:jc w:val="left"/>
              <w:rPr>
                <w:rFonts w:ascii="ＭＳ ゴシック" w:eastAsia="ＭＳ ゴシック" w:hAnsi="ＭＳ ゴシック" w:cs="ＭＳ Ｐゴシック"/>
                <w:kern w:val="0"/>
                <w:sz w:val="14"/>
                <w:szCs w:val="12"/>
              </w:rPr>
            </w:pPr>
          </w:p>
        </w:tc>
        <w:tc>
          <w:tcPr>
            <w:tcW w:w="1843" w:type="dxa"/>
            <w:noWrap/>
            <w:vAlign w:val="center"/>
          </w:tcPr>
          <w:p w14:paraId="5A5C65F4" w14:textId="77777777" w:rsidR="008A3EDE" w:rsidRPr="00263B73" w:rsidRDefault="008A3EDE" w:rsidP="00831B7C">
            <w:pPr>
              <w:widowControl/>
              <w:spacing w:line="180" w:lineRule="exact"/>
              <w:rPr>
                <w:rFonts w:ascii="ＭＳ ゴシック" w:eastAsia="ＭＳ ゴシック" w:hAnsi="ＭＳ ゴシック" w:cs="ＭＳ Ｐゴシック"/>
                <w:kern w:val="0"/>
                <w:sz w:val="14"/>
                <w:szCs w:val="12"/>
              </w:rPr>
            </w:pPr>
            <w:r w:rsidRPr="00263B73">
              <w:rPr>
                <w:rFonts w:ascii="ＭＳ ゴシック" w:eastAsia="ＭＳ ゴシック" w:hAnsi="ＭＳ ゴシック" w:cs="ＭＳ Ｐゴシック" w:hint="eastAsia"/>
                <w:kern w:val="0"/>
                <w:sz w:val="14"/>
                <w:szCs w:val="12"/>
              </w:rPr>
              <w:t>地域生活支援課</w:t>
            </w:r>
          </w:p>
        </w:tc>
      </w:tr>
      <w:tr w:rsidR="008A3EDE" w:rsidRPr="00263B73" w14:paraId="46998B5F" w14:textId="77777777" w:rsidTr="00831B7C">
        <w:trPr>
          <w:trHeight w:val="20"/>
        </w:trPr>
        <w:tc>
          <w:tcPr>
            <w:tcW w:w="1501" w:type="dxa"/>
            <w:vMerge/>
          </w:tcPr>
          <w:p w14:paraId="55BD116C" w14:textId="77777777" w:rsidR="008A3EDE" w:rsidRPr="00263B73" w:rsidRDefault="008A3EDE" w:rsidP="00831B7C">
            <w:pPr>
              <w:spacing w:line="180" w:lineRule="exact"/>
              <w:jc w:val="left"/>
              <w:rPr>
                <w:rFonts w:ascii="ＭＳ ゴシック" w:eastAsia="ＭＳ ゴシック" w:hAnsi="ＭＳ ゴシック" w:cs="ＭＳ Ｐゴシック"/>
                <w:kern w:val="0"/>
                <w:sz w:val="14"/>
                <w:szCs w:val="12"/>
              </w:rPr>
            </w:pPr>
          </w:p>
        </w:tc>
        <w:tc>
          <w:tcPr>
            <w:tcW w:w="5631" w:type="dxa"/>
            <w:gridSpan w:val="2"/>
            <w:noWrap/>
            <w:vAlign w:val="center"/>
          </w:tcPr>
          <w:p w14:paraId="51525132" w14:textId="77777777" w:rsidR="008A3EDE" w:rsidRPr="00263B73" w:rsidRDefault="008A3EDE" w:rsidP="00831B7C">
            <w:pPr>
              <w:widowControl/>
              <w:spacing w:line="180" w:lineRule="exact"/>
              <w:jc w:val="left"/>
              <w:rPr>
                <w:rFonts w:ascii="ＭＳ ゴシック" w:eastAsia="ＭＳ ゴシック" w:hAnsi="ＭＳ ゴシック" w:cs="ＭＳ Ｐゴシック"/>
                <w:kern w:val="0"/>
                <w:sz w:val="14"/>
                <w:szCs w:val="12"/>
              </w:rPr>
            </w:pPr>
            <w:r w:rsidRPr="00263B73">
              <w:rPr>
                <w:rFonts w:ascii="ＭＳ ゴシック" w:eastAsia="ＭＳ ゴシック" w:hAnsi="ＭＳ ゴシック" w:cs="ＭＳ Ｐゴシック" w:hint="eastAsia"/>
                <w:kern w:val="0"/>
                <w:sz w:val="14"/>
                <w:szCs w:val="12"/>
              </w:rPr>
              <w:t>大阪府立障がい者自立センター感染症・食中毒発生時対応マニュアル</w:t>
            </w:r>
          </w:p>
        </w:tc>
        <w:tc>
          <w:tcPr>
            <w:tcW w:w="850" w:type="dxa"/>
            <w:vMerge/>
            <w:noWrap/>
            <w:vAlign w:val="center"/>
          </w:tcPr>
          <w:p w14:paraId="5E01D9C2" w14:textId="77777777" w:rsidR="008A3EDE" w:rsidRPr="00263B73" w:rsidRDefault="008A3EDE" w:rsidP="00831B7C">
            <w:pPr>
              <w:spacing w:line="180" w:lineRule="exact"/>
              <w:jc w:val="left"/>
              <w:rPr>
                <w:rFonts w:ascii="ＭＳ ゴシック" w:eastAsia="ＭＳ ゴシック" w:hAnsi="ＭＳ ゴシック" w:cs="ＭＳ Ｐゴシック"/>
                <w:kern w:val="0"/>
                <w:sz w:val="14"/>
                <w:szCs w:val="12"/>
              </w:rPr>
            </w:pPr>
          </w:p>
        </w:tc>
        <w:tc>
          <w:tcPr>
            <w:tcW w:w="1843" w:type="dxa"/>
            <w:noWrap/>
            <w:vAlign w:val="center"/>
          </w:tcPr>
          <w:p w14:paraId="080BC537" w14:textId="77777777" w:rsidR="008A3EDE" w:rsidRPr="00263B73" w:rsidRDefault="008A3EDE" w:rsidP="00831B7C">
            <w:pPr>
              <w:widowControl/>
              <w:spacing w:line="180" w:lineRule="exact"/>
              <w:rPr>
                <w:rFonts w:ascii="ＭＳ ゴシック" w:eastAsia="ＭＳ ゴシック" w:hAnsi="ＭＳ ゴシック" w:cs="ＭＳ Ｐゴシック"/>
                <w:kern w:val="0"/>
                <w:sz w:val="14"/>
                <w:szCs w:val="12"/>
              </w:rPr>
            </w:pPr>
            <w:r w:rsidRPr="00263B73">
              <w:rPr>
                <w:rFonts w:ascii="ＭＳ ゴシック" w:eastAsia="ＭＳ ゴシック" w:hAnsi="ＭＳ ゴシック" w:cs="ＭＳ Ｐゴシック" w:hint="eastAsia"/>
                <w:kern w:val="0"/>
                <w:sz w:val="14"/>
                <w:szCs w:val="12"/>
              </w:rPr>
              <w:t>地域生活支援課</w:t>
            </w:r>
          </w:p>
        </w:tc>
      </w:tr>
      <w:tr w:rsidR="008A3EDE" w:rsidRPr="00263B73" w14:paraId="7D59A10E" w14:textId="77777777" w:rsidTr="00831B7C">
        <w:trPr>
          <w:trHeight w:val="20"/>
        </w:trPr>
        <w:tc>
          <w:tcPr>
            <w:tcW w:w="1501" w:type="dxa"/>
            <w:vMerge/>
          </w:tcPr>
          <w:p w14:paraId="0B84A4CA" w14:textId="77777777" w:rsidR="008A3EDE" w:rsidRPr="00263B73" w:rsidRDefault="008A3EDE" w:rsidP="00831B7C">
            <w:pPr>
              <w:spacing w:line="180" w:lineRule="exact"/>
              <w:jc w:val="left"/>
              <w:rPr>
                <w:rFonts w:ascii="ＭＳ ゴシック" w:eastAsia="ＭＳ ゴシック" w:hAnsi="ＭＳ ゴシック" w:cs="ＭＳ Ｐゴシック"/>
                <w:kern w:val="0"/>
                <w:sz w:val="14"/>
                <w:szCs w:val="12"/>
              </w:rPr>
            </w:pPr>
          </w:p>
        </w:tc>
        <w:tc>
          <w:tcPr>
            <w:tcW w:w="5631" w:type="dxa"/>
            <w:gridSpan w:val="2"/>
            <w:noWrap/>
            <w:vAlign w:val="center"/>
          </w:tcPr>
          <w:p w14:paraId="7AB294B9" w14:textId="77777777" w:rsidR="008A3EDE" w:rsidRPr="00263B73" w:rsidRDefault="008A3EDE" w:rsidP="00831B7C">
            <w:pPr>
              <w:widowControl/>
              <w:spacing w:line="180" w:lineRule="exact"/>
              <w:jc w:val="left"/>
              <w:rPr>
                <w:rFonts w:ascii="ＭＳ ゴシック" w:eastAsia="ＭＳ ゴシック" w:hAnsi="ＭＳ ゴシック" w:cs="ＭＳ Ｐゴシック"/>
                <w:kern w:val="0"/>
                <w:sz w:val="14"/>
                <w:szCs w:val="12"/>
              </w:rPr>
            </w:pPr>
            <w:r w:rsidRPr="00263B73">
              <w:rPr>
                <w:rFonts w:ascii="ＭＳ ゴシック" w:eastAsia="ＭＳ ゴシック" w:hAnsi="ＭＳ ゴシック" w:cs="ＭＳ Ｐゴシック" w:hint="eastAsia"/>
                <w:kern w:val="0"/>
                <w:sz w:val="14"/>
                <w:szCs w:val="12"/>
              </w:rPr>
              <w:t>大阪府立障がい者自立センター自然災害発生時における業務継続計画（旧　災害等応急対策実施要領）</w:t>
            </w:r>
          </w:p>
        </w:tc>
        <w:tc>
          <w:tcPr>
            <w:tcW w:w="850" w:type="dxa"/>
            <w:vMerge/>
            <w:noWrap/>
            <w:vAlign w:val="center"/>
          </w:tcPr>
          <w:p w14:paraId="30007804" w14:textId="77777777" w:rsidR="008A3EDE" w:rsidRPr="00263B73" w:rsidRDefault="008A3EDE" w:rsidP="00831B7C">
            <w:pPr>
              <w:spacing w:line="180" w:lineRule="exact"/>
              <w:jc w:val="left"/>
              <w:rPr>
                <w:rFonts w:ascii="ＭＳ ゴシック" w:eastAsia="ＭＳ ゴシック" w:hAnsi="ＭＳ ゴシック" w:cs="ＭＳ Ｐゴシック"/>
                <w:kern w:val="0"/>
                <w:sz w:val="14"/>
                <w:szCs w:val="12"/>
              </w:rPr>
            </w:pPr>
          </w:p>
        </w:tc>
        <w:tc>
          <w:tcPr>
            <w:tcW w:w="1843" w:type="dxa"/>
            <w:noWrap/>
            <w:vAlign w:val="center"/>
          </w:tcPr>
          <w:p w14:paraId="1D090035" w14:textId="77777777" w:rsidR="008A3EDE" w:rsidRPr="00263B73" w:rsidRDefault="008A3EDE" w:rsidP="00831B7C">
            <w:pPr>
              <w:widowControl/>
              <w:spacing w:line="180" w:lineRule="exact"/>
              <w:rPr>
                <w:rFonts w:ascii="ＭＳ ゴシック" w:eastAsia="ＭＳ ゴシック" w:hAnsi="ＭＳ ゴシック" w:cs="ＭＳ Ｐゴシック"/>
                <w:kern w:val="0"/>
                <w:sz w:val="14"/>
                <w:szCs w:val="12"/>
              </w:rPr>
            </w:pPr>
            <w:r w:rsidRPr="00263B73">
              <w:rPr>
                <w:rFonts w:ascii="ＭＳ ゴシック" w:eastAsia="ＭＳ ゴシック" w:hAnsi="ＭＳ ゴシック" w:cs="ＭＳ Ｐゴシック" w:hint="eastAsia"/>
                <w:kern w:val="0"/>
                <w:sz w:val="14"/>
                <w:szCs w:val="12"/>
              </w:rPr>
              <w:t>地域生活支援課</w:t>
            </w:r>
          </w:p>
        </w:tc>
      </w:tr>
      <w:tr w:rsidR="008A3EDE" w:rsidRPr="00263B73" w14:paraId="466CB5CE" w14:textId="77777777" w:rsidTr="00831B7C">
        <w:trPr>
          <w:trHeight w:val="20"/>
        </w:trPr>
        <w:tc>
          <w:tcPr>
            <w:tcW w:w="1501" w:type="dxa"/>
            <w:vMerge/>
          </w:tcPr>
          <w:p w14:paraId="728491F1" w14:textId="77777777" w:rsidR="008A3EDE" w:rsidRPr="00263B73" w:rsidRDefault="008A3EDE" w:rsidP="00831B7C">
            <w:pPr>
              <w:spacing w:line="180" w:lineRule="exact"/>
              <w:jc w:val="left"/>
              <w:rPr>
                <w:rFonts w:ascii="ＭＳ ゴシック" w:eastAsia="ＭＳ ゴシック" w:hAnsi="ＭＳ ゴシック" w:cs="ＭＳ Ｐゴシック"/>
                <w:kern w:val="0"/>
                <w:sz w:val="14"/>
                <w:szCs w:val="12"/>
              </w:rPr>
            </w:pPr>
          </w:p>
        </w:tc>
        <w:tc>
          <w:tcPr>
            <w:tcW w:w="5631" w:type="dxa"/>
            <w:gridSpan w:val="2"/>
            <w:noWrap/>
            <w:vAlign w:val="center"/>
          </w:tcPr>
          <w:p w14:paraId="62DFAE21" w14:textId="77777777" w:rsidR="008A3EDE" w:rsidRPr="00263B73" w:rsidRDefault="008A3EDE" w:rsidP="00831B7C">
            <w:pPr>
              <w:widowControl/>
              <w:spacing w:line="180" w:lineRule="exact"/>
              <w:jc w:val="left"/>
              <w:rPr>
                <w:rFonts w:ascii="ＭＳ ゴシック" w:eastAsia="ＭＳ ゴシック" w:hAnsi="ＭＳ ゴシック" w:cs="ＭＳ Ｐゴシック"/>
                <w:kern w:val="0"/>
                <w:sz w:val="14"/>
                <w:szCs w:val="12"/>
              </w:rPr>
            </w:pPr>
            <w:r w:rsidRPr="00263B73">
              <w:rPr>
                <w:rFonts w:ascii="ＭＳ ゴシック" w:eastAsia="ＭＳ ゴシック" w:hAnsi="ＭＳ ゴシック" w:cs="ＭＳ Ｐゴシック" w:hint="eastAsia"/>
                <w:kern w:val="0"/>
                <w:sz w:val="14"/>
                <w:szCs w:val="12"/>
              </w:rPr>
              <w:t>大阪府立障がい者自立センター危機管理マニュアル（不審者侵入編）</w:t>
            </w:r>
          </w:p>
        </w:tc>
        <w:tc>
          <w:tcPr>
            <w:tcW w:w="850" w:type="dxa"/>
            <w:vMerge/>
            <w:noWrap/>
            <w:vAlign w:val="center"/>
          </w:tcPr>
          <w:p w14:paraId="3A281143" w14:textId="77777777" w:rsidR="008A3EDE" w:rsidRPr="00263B73" w:rsidRDefault="008A3EDE" w:rsidP="00831B7C">
            <w:pPr>
              <w:spacing w:line="180" w:lineRule="exact"/>
              <w:jc w:val="left"/>
              <w:rPr>
                <w:rFonts w:ascii="ＭＳ ゴシック" w:eastAsia="ＭＳ ゴシック" w:hAnsi="ＭＳ ゴシック" w:cs="ＭＳ Ｐゴシック"/>
                <w:kern w:val="0"/>
                <w:sz w:val="14"/>
                <w:szCs w:val="12"/>
              </w:rPr>
            </w:pPr>
          </w:p>
        </w:tc>
        <w:tc>
          <w:tcPr>
            <w:tcW w:w="1843" w:type="dxa"/>
            <w:noWrap/>
            <w:vAlign w:val="center"/>
          </w:tcPr>
          <w:p w14:paraId="2E2B190C" w14:textId="77777777" w:rsidR="008A3EDE" w:rsidRPr="00263B73" w:rsidRDefault="008A3EDE" w:rsidP="00831B7C">
            <w:pPr>
              <w:widowControl/>
              <w:spacing w:line="180" w:lineRule="exact"/>
              <w:rPr>
                <w:rFonts w:ascii="ＭＳ ゴシック" w:eastAsia="ＭＳ ゴシック" w:hAnsi="ＭＳ ゴシック" w:cs="ＭＳ Ｐゴシック"/>
                <w:kern w:val="0"/>
                <w:sz w:val="14"/>
                <w:szCs w:val="12"/>
              </w:rPr>
            </w:pPr>
            <w:r w:rsidRPr="00263B73">
              <w:rPr>
                <w:rFonts w:ascii="ＭＳ ゴシック" w:eastAsia="ＭＳ ゴシック" w:hAnsi="ＭＳ ゴシック" w:cs="ＭＳ Ｐゴシック" w:hint="eastAsia"/>
                <w:kern w:val="0"/>
                <w:sz w:val="14"/>
                <w:szCs w:val="12"/>
              </w:rPr>
              <w:t>地域生活支援課</w:t>
            </w:r>
          </w:p>
        </w:tc>
      </w:tr>
      <w:tr w:rsidR="008A3EDE" w:rsidRPr="00263B73" w14:paraId="3C65E5F5" w14:textId="77777777" w:rsidTr="00831B7C">
        <w:trPr>
          <w:trHeight w:val="20"/>
        </w:trPr>
        <w:tc>
          <w:tcPr>
            <w:tcW w:w="1501" w:type="dxa"/>
            <w:vMerge/>
          </w:tcPr>
          <w:p w14:paraId="53876E83" w14:textId="77777777" w:rsidR="008A3EDE" w:rsidRPr="00263B73" w:rsidRDefault="008A3EDE" w:rsidP="00831B7C">
            <w:pPr>
              <w:spacing w:line="180" w:lineRule="exact"/>
              <w:jc w:val="left"/>
              <w:rPr>
                <w:rFonts w:ascii="ＭＳ ゴシック" w:eastAsia="ＭＳ ゴシック" w:hAnsi="ＭＳ ゴシック" w:cs="ＭＳ Ｐゴシック"/>
                <w:kern w:val="0"/>
                <w:sz w:val="14"/>
                <w:szCs w:val="12"/>
              </w:rPr>
            </w:pPr>
          </w:p>
        </w:tc>
        <w:tc>
          <w:tcPr>
            <w:tcW w:w="5631" w:type="dxa"/>
            <w:gridSpan w:val="2"/>
            <w:noWrap/>
            <w:vAlign w:val="center"/>
          </w:tcPr>
          <w:p w14:paraId="0DA766CB" w14:textId="77777777" w:rsidR="008A3EDE" w:rsidRPr="00263B73" w:rsidRDefault="008A3EDE" w:rsidP="00831B7C">
            <w:pPr>
              <w:widowControl/>
              <w:spacing w:line="180" w:lineRule="exact"/>
              <w:jc w:val="left"/>
              <w:rPr>
                <w:rFonts w:ascii="ＭＳ ゴシック" w:eastAsia="ＭＳ ゴシック" w:hAnsi="ＭＳ ゴシック" w:cs="ＭＳ Ｐゴシック"/>
                <w:kern w:val="0"/>
                <w:sz w:val="14"/>
                <w:szCs w:val="12"/>
              </w:rPr>
            </w:pPr>
            <w:r w:rsidRPr="00263B73">
              <w:rPr>
                <w:rFonts w:ascii="ＭＳ ゴシック" w:eastAsia="ＭＳ ゴシック" w:hAnsi="ＭＳ ゴシック" w:cs="ＭＳ Ｐゴシック" w:hint="eastAsia"/>
                <w:kern w:val="0"/>
                <w:sz w:val="14"/>
                <w:szCs w:val="12"/>
              </w:rPr>
              <w:t>大阪府立障がい者自立センター消防計画</w:t>
            </w:r>
          </w:p>
        </w:tc>
        <w:tc>
          <w:tcPr>
            <w:tcW w:w="850" w:type="dxa"/>
            <w:vMerge/>
            <w:noWrap/>
            <w:vAlign w:val="center"/>
          </w:tcPr>
          <w:p w14:paraId="6A1F2CFF" w14:textId="77777777" w:rsidR="008A3EDE" w:rsidRPr="00263B73" w:rsidRDefault="008A3EDE" w:rsidP="00831B7C">
            <w:pPr>
              <w:spacing w:line="180" w:lineRule="exact"/>
              <w:jc w:val="left"/>
              <w:rPr>
                <w:rFonts w:ascii="ＭＳ ゴシック" w:eastAsia="ＭＳ ゴシック" w:hAnsi="ＭＳ ゴシック" w:cs="ＭＳ Ｐゴシック"/>
                <w:kern w:val="0"/>
                <w:sz w:val="14"/>
                <w:szCs w:val="12"/>
              </w:rPr>
            </w:pPr>
          </w:p>
        </w:tc>
        <w:tc>
          <w:tcPr>
            <w:tcW w:w="1843" w:type="dxa"/>
            <w:noWrap/>
            <w:vAlign w:val="center"/>
          </w:tcPr>
          <w:p w14:paraId="490E15C4" w14:textId="77777777" w:rsidR="008A3EDE" w:rsidRPr="00263B73" w:rsidRDefault="008A3EDE" w:rsidP="00831B7C">
            <w:pPr>
              <w:widowControl/>
              <w:spacing w:line="180" w:lineRule="exact"/>
              <w:rPr>
                <w:rFonts w:ascii="ＭＳ ゴシック" w:eastAsia="ＭＳ ゴシック" w:hAnsi="ＭＳ ゴシック" w:cs="ＭＳ Ｐゴシック"/>
                <w:kern w:val="0"/>
                <w:sz w:val="14"/>
                <w:szCs w:val="12"/>
              </w:rPr>
            </w:pPr>
            <w:r w:rsidRPr="00263B73">
              <w:rPr>
                <w:rFonts w:ascii="ＭＳ ゴシック" w:eastAsia="ＭＳ ゴシック" w:hAnsi="ＭＳ ゴシック" w:cs="ＭＳ Ｐゴシック" w:hint="eastAsia"/>
                <w:kern w:val="0"/>
                <w:sz w:val="14"/>
                <w:szCs w:val="12"/>
              </w:rPr>
              <w:t>地域生活支援課</w:t>
            </w:r>
          </w:p>
        </w:tc>
      </w:tr>
      <w:tr w:rsidR="008A3EDE" w:rsidRPr="00263B73" w14:paraId="09C47351" w14:textId="77777777" w:rsidTr="00831B7C">
        <w:trPr>
          <w:trHeight w:val="20"/>
        </w:trPr>
        <w:tc>
          <w:tcPr>
            <w:tcW w:w="1501" w:type="dxa"/>
            <w:vMerge/>
          </w:tcPr>
          <w:p w14:paraId="2C33B51B" w14:textId="77777777" w:rsidR="008A3EDE" w:rsidRPr="00263B73" w:rsidRDefault="008A3EDE" w:rsidP="00831B7C">
            <w:pPr>
              <w:spacing w:line="180" w:lineRule="exact"/>
              <w:jc w:val="left"/>
              <w:rPr>
                <w:rFonts w:ascii="ＭＳ ゴシック" w:eastAsia="ＭＳ ゴシック" w:hAnsi="ＭＳ ゴシック" w:cs="ＭＳ Ｐゴシック"/>
                <w:kern w:val="0"/>
                <w:sz w:val="14"/>
                <w:szCs w:val="12"/>
              </w:rPr>
            </w:pPr>
          </w:p>
        </w:tc>
        <w:tc>
          <w:tcPr>
            <w:tcW w:w="5631" w:type="dxa"/>
            <w:gridSpan w:val="2"/>
            <w:noWrap/>
            <w:vAlign w:val="center"/>
          </w:tcPr>
          <w:p w14:paraId="56B7A320" w14:textId="77777777" w:rsidR="008A3EDE" w:rsidRPr="00263B73" w:rsidRDefault="008A3EDE" w:rsidP="00831B7C">
            <w:pPr>
              <w:widowControl/>
              <w:spacing w:line="180" w:lineRule="exact"/>
              <w:jc w:val="left"/>
              <w:rPr>
                <w:rFonts w:ascii="ＭＳ ゴシック" w:eastAsia="ＭＳ ゴシック" w:hAnsi="ＭＳ ゴシック" w:cs="ＭＳ Ｐゴシック"/>
                <w:kern w:val="0"/>
                <w:sz w:val="14"/>
                <w:szCs w:val="12"/>
              </w:rPr>
            </w:pPr>
            <w:r w:rsidRPr="00263B73">
              <w:rPr>
                <w:rFonts w:ascii="ＭＳ ゴシック" w:eastAsia="ＭＳ ゴシック" w:hAnsi="ＭＳ ゴシック" w:cs="ＭＳ Ｐゴシック" w:hint="eastAsia"/>
                <w:kern w:val="0"/>
                <w:sz w:val="14"/>
                <w:szCs w:val="12"/>
              </w:rPr>
              <w:t>砂川厚生福祉センター感染症予防対策マニュアル</w:t>
            </w:r>
          </w:p>
        </w:tc>
        <w:tc>
          <w:tcPr>
            <w:tcW w:w="850" w:type="dxa"/>
            <w:vMerge/>
            <w:noWrap/>
            <w:vAlign w:val="center"/>
          </w:tcPr>
          <w:p w14:paraId="5DF9E60E" w14:textId="77777777" w:rsidR="008A3EDE" w:rsidRPr="00263B73" w:rsidRDefault="008A3EDE" w:rsidP="00831B7C">
            <w:pPr>
              <w:spacing w:line="180" w:lineRule="exact"/>
              <w:jc w:val="left"/>
              <w:rPr>
                <w:rFonts w:ascii="ＭＳ ゴシック" w:eastAsia="ＭＳ ゴシック" w:hAnsi="ＭＳ ゴシック" w:cs="ＭＳ Ｐゴシック"/>
                <w:kern w:val="0"/>
                <w:sz w:val="14"/>
                <w:szCs w:val="12"/>
              </w:rPr>
            </w:pPr>
          </w:p>
        </w:tc>
        <w:tc>
          <w:tcPr>
            <w:tcW w:w="1843" w:type="dxa"/>
            <w:noWrap/>
            <w:vAlign w:val="center"/>
          </w:tcPr>
          <w:p w14:paraId="56FB8259" w14:textId="77777777" w:rsidR="008A3EDE" w:rsidRPr="00263B73" w:rsidRDefault="008A3EDE" w:rsidP="00831B7C">
            <w:pPr>
              <w:widowControl/>
              <w:spacing w:line="180" w:lineRule="exact"/>
              <w:rPr>
                <w:rFonts w:ascii="ＭＳ ゴシック" w:eastAsia="ＭＳ ゴシック" w:hAnsi="ＭＳ ゴシック" w:cs="ＭＳ Ｐゴシック"/>
                <w:kern w:val="0"/>
                <w:sz w:val="14"/>
                <w:szCs w:val="12"/>
              </w:rPr>
            </w:pPr>
            <w:r w:rsidRPr="00263B73">
              <w:rPr>
                <w:rFonts w:ascii="ＭＳ ゴシック" w:eastAsia="ＭＳ ゴシック" w:hAnsi="ＭＳ ゴシック" w:cs="ＭＳ Ｐゴシック" w:hint="eastAsia"/>
                <w:kern w:val="0"/>
                <w:sz w:val="14"/>
                <w:szCs w:val="12"/>
              </w:rPr>
              <w:t>地域生活支援課</w:t>
            </w:r>
          </w:p>
        </w:tc>
      </w:tr>
      <w:tr w:rsidR="008A3EDE" w:rsidRPr="00263B73" w14:paraId="7CCE7252" w14:textId="77777777" w:rsidTr="00831B7C">
        <w:trPr>
          <w:trHeight w:val="20"/>
        </w:trPr>
        <w:tc>
          <w:tcPr>
            <w:tcW w:w="1501" w:type="dxa"/>
            <w:vMerge/>
          </w:tcPr>
          <w:p w14:paraId="50889BE1" w14:textId="77777777" w:rsidR="008A3EDE" w:rsidRPr="00263B73" w:rsidRDefault="008A3EDE" w:rsidP="00831B7C">
            <w:pPr>
              <w:spacing w:line="180" w:lineRule="exact"/>
              <w:jc w:val="left"/>
              <w:rPr>
                <w:rFonts w:ascii="ＭＳ ゴシック" w:eastAsia="ＭＳ ゴシック" w:hAnsi="ＭＳ ゴシック" w:cs="ＭＳ Ｐゴシック"/>
                <w:kern w:val="0"/>
                <w:sz w:val="14"/>
                <w:szCs w:val="12"/>
              </w:rPr>
            </w:pPr>
          </w:p>
        </w:tc>
        <w:tc>
          <w:tcPr>
            <w:tcW w:w="5631" w:type="dxa"/>
            <w:gridSpan w:val="2"/>
            <w:noWrap/>
            <w:vAlign w:val="center"/>
          </w:tcPr>
          <w:p w14:paraId="23D0DC15" w14:textId="77777777" w:rsidR="008A3EDE" w:rsidRPr="00263B73" w:rsidRDefault="008A3EDE" w:rsidP="00831B7C">
            <w:pPr>
              <w:widowControl/>
              <w:spacing w:line="180" w:lineRule="exact"/>
              <w:jc w:val="left"/>
              <w:rPr>
                <w:rFonts w:ascii="ＭＳ ゴシック" w:eastAsia="ＭＳ ゴシック" w:hAnsi="ＭＳ ゴシック" w:cs="ＭＳ Ｐゴシック"/>
                <w:kern w:val="0"/>
                <w:sz w:val="14"/>
                <w:szCs w:val="12"/>
              </w:rPr>
            </w:pPr>
            <w:r w:rsidRPr="00263B73">
              <w:rPr>
                <w:rFonts w:ascii="ＭＳ ゴシック" w:eastAsia="ＭＳ ゴシック" w:hAnsi="ＭＳ ゴシック" w:cs="ＭＳ Ｐゴシック" w:hint="eastAsia"/>
                <w:kern w:val="0"/>
                <w:sz w:val="14"/>
                <w:szCs w:val="12"/>
              </w:rPr>
              <w:t>大阪府立砂川厚生福祉センター感染症対策指針</w:t>
            </w:r>
          </w:p>
        </w:tc>
        <w:tc>
          <w:tcPr>
            <w:tcW w:w="850" w:type="dxa"/>
            <w:vMerge/>
            <w:noWrap/>
            <w:vAlign w:val="center"/>
          </w:tcPr>
          <w:p w14:paraId="1E97E733" w14:textId="77777777" w:rsidR="008A3EDE" w:rsidRPr="00263B73" w:rsidRDefault="008A3EDE" w:rsidP="00831B7C">
            <w:pPr>
              <w:spacing w:line="180" w:lineRule="exact"/>
              <w:jc w:val="left"/>
              <w:rPr>
                <w:rFonts w:ascii="ＭＳ ゴシック" w:eastAsia="ＭＳ ゴシック" w:hAnsi="ＭＳ ゴシック" w:cs="ＭＳ Ｐゴシック"/>
                <w:kern w:val="0"/>
                <w:sz w:val="14"/>
                <w:szCs w:val="12"/>
              </w:rPr>
            </w:pPr>
          </w:p>
        </w:tc>
        <w:tc>
          <w:tcPr>
            <w:tcW w:w="1843" w:type="dxa"/>
            <w:noWrap/>
            <w:vAlign w:val="center"/>
          </w:tcPr>
          <w:p w14:paraId="448D53A3" w14:textId="77777777" w:rsidR="008A3EDE" w:rsidRPr="00263B73" w:rsidRDefault="008A3EDE" w:rsidP="00831B7C">
            <w:pPr>
              <w:widowControl/>
              <w:spacing w:line="180" w:lineRule="exact"/>
              <w:rPr>
                <w:rFonts w:ascii="ＭＳ ゴシック" w:eastAsia="ＭＳ ゴシック" w:hAnsi="ＭＳ ゴシック" w:cs="ＭＳ Ｐゴシック"/>
                <w:kern w:val="0"/>
                <w:sz w:val="14"/>
                <w:szCs w:val="12"/>
              </w:rPr>
            </w:pPr>
            <w:r w:rsidRPr="00263B73">
              <w:rPr>
                <w:rFonts w:ascii="ＭＳ ゴシック" w:eastAsia="ＭＳ ゴシック" w:hAnsi="ＭＳ ゴシック" w:cs="ＭＳ Ｐゴシック" w:hint="eastAsia"/>
                <w:kern w:val="0"/>
                <w:sz w:val="14"/>
                <w:szCs w:val="12"/>
              </w:rPr>
              <w:t>地域生活支援課</w:t>
            </w:r>
          </w:p>
        </w:tc>
      </w:tr>
      <w:tr w:rsidR="008A3EDE" w:rsidRPr="00263B73" w14:paraId="7EDF55D5" w14:textId="77777777" w:rsidTr="00831B7C">
        <w:trPr>
          <w:trHeight w:val="20"/>
        </w:trPr>
        <w:tc>
          <w:tcPr>
            <w:tcW w:w="1501" w:type="dxa"/>
            <w:vMerge/>
          </w:tcPr>
          <w:p w14:paraId="1704B964" w14:textId="77777777" w:rsidR="008A3EDE" w:rsidRPr="00263B73" w:rsidRDefault="008A3EDE" w:rsidP="00831B7C">
            <w:pPr>
              <w:spacing w:line="180" w:lineRule="exact"/>
              <w:jc w:val="left"/>
              <w:rPr>
                <w:rFonts w:ascii="ＭＳ ゴシック" w:eastAsia="ＭＳ ゴシック" w:hAnsi="ＭＳ ゴシック" w:cs="ＭＳ Ｐゴシック"/>
                <w:kern w:val="0"/>
                <w:sz w:val="14"/>
                <w:szCs w:val="12"/>
              </w:rPr>
            </w:pPr>
          </w:p>
        </w:tc>
        <w:tc>
          <w:tcPr>
            <w:tcW w:w="5631" w:type="dxa"/>
            <w:gridSpan w:val="2"/>
            <w:noWrap/>
            <w:vAlign w:val="center"/>
          </w:tcPr>
          <w:p w14:paraId="2B48DFB6" w14:textId="77777777" w:rsidR="008A3EDE" w:rsidRPr="00263B73" w:rsidRDefault="008A3EDE" w:rsidP="00831B7C">
            <w:pPr>
              <w:widowControl/>
              <w:spacing w:line="180" w:lineRule="exact"/>
              <w:jc w:val="left"/>
              <w:rPr>
                <w:rFonts w:ascii="ＭＳ ゴシック" w:eastAsia="ＭＳ ゴシック" w:hAnsi="ＭＳ ゴシック" w:cs="ＭＳ Ｐゴシック"/>
                <w:kern w:val="0"/>
                <w:sz w:val="14"/>
                <w:szCs w:val="12"/>
              </w:rPr>
            </w:pPr>
            <w:r w:rsidRPr="00263B73">
              <w:rPr>
                <w:rFonts w:ascii="ＭＳ ゴシック" w:eastAsia="ＭＳ ゴシック" w:hAnsi="ＭＳ ゴシック" w:cs="ＭＳ Ｐゴシック" w:hint="eastAsia"/>
                <w:kern w:val="0"/>
                <w:sz w:val="14"/>
                <w:szCs w:val="12"/>
              </w:rPr>
              <w:t>大阪府立砂川厚生福祉センター感染症に関する業務継続計画</w:t>
            </w:r>
          </w:p>
        </w:tc>
        <w:tc>
          <w:tcPr>
            <w:tcW w:w="850" w:type="dxa"/>
            <w:vMerge/>
            <w:noWrap/>
            <w:vAlign w:val="center"/>
          </w:tcPr>
          <w:p w14:paraId="25BB0D4E" w14:textId="77777777" w:rsidR="008A3EDE" w:rsidRPr="00263B73" w:rsidRDefault="008A3EDE" w:rsidP="00831B7C">
            <w:pPr>
              <w:spacing w:line="180" w:lineRule="exact"/>
              <w:jc w:val="left"/>
              <w:rPr>
                <w:rFonts w:ascii="ＭＳ ゴシック" w:eastAsia="ＭＳ ゴシック" w:hAnsi="ＭＳ ゴシック" w:cs="ＭＳ Ｐゴシック"/>
                <w:kern w:val="0"/>
                <w:sz w:val="14"/>
                <w:szCs w:val="12"/>
              </w:rPr>
            </w:pPr>
          </w:p>
        </w:tc>
        <w:tc>
          <w:tcPr>
            <w:tcW w:w="1843" w:type="dxa"/>
            <w:noWrap/>
            <w:vAlign w:val="center"/>
          </w:tcPr>
          <w:p w14:paraId="13FA280E" w14:textId="77777777" w:rsidR="008A3EDE" w:rsidRPr="00263B73" w:rsidRDefault="008A3EDE" w:rsidP="00831B7C">
            <w:pPr>
              <w:widowControl/>
              <w:spacing w:line="180" w:lineRule="exact"/>
              <w:rPr>
                <w:rFonts w:ascii="ＭＳ ゴシック" w:eastAsia="ＭＳ ゴシック" w:hAnsi="ＭＳ ゴシック" w:cs="ＭＳ Ｐゴシック"/>
                <w:kern w:val="0"/>
                <w:sz w:val="14"/>
                <w:szCs w:val="12"/>
              </w:rPr>
            </w:pPr>
            <w:r w:rsidRPr="00263B73">
              <w:rPr>
                <w:rFonts w:ascii="ＭＳ ゴシック" w:eastAsia="ＭＳ ゴシック" w:hAnsi="ＭＳ ゴシック" w:cs="ＭＳ Ｐゴシック" w:hint="eastAsia"/>
                <w:kern w:val="0"/>
                <w:sz w:val="14"/>
                <w:szCs w:val="12"/>
              </w:rPr>
              <w:t>地域生活支援課</w:t>
            </w:r>
          </w:p>
        </w:tc>
      </w:tr>
      <w:tr w:rsidR="008A3EDE" w:rsidRPr="00263B73" w14:paraId="302DC001" w14:textId="77777777" w:rsidTr="00831B7C">
        <w:trPr>
          <w:trHeight w:val="20"/>
        </w:trPr>
        <w:tc>
          <w:tcPr>
            <w:tcW w:w="1501" w:type="dxa"/>
            <w:vMerge/>
            <w:hideMark/>
          </w:tcPr>
          <w:p w14:paraId="58ECC7C9" w14:textId="77777777" w:rsidR="008A3EDE" w:rsidRPr="00263B73" w:rsidRDefault="008A3EDE" w:rsidP="00831B7C">
            <w:pPr>
              <w:spacing w:line="180" w:lineRule="exact"/>
              <w:jc w:val="left"/>
              <w:rPr>
                <w:rFonts w:ascii="ＭＳ ゴシック" w:eastAsia="ＭＳ ゴシック" w:hAnsi="ＭＳ ゴシック" w:cs="ＭＳ Ｐゴシック"/>
                <w:kern w:val="0"/>
                <w:sz w:val="14"/>
                <w:szCs w:val="12"/>
              </w:rPr>
            </w:pPr>
          </w:p>
        </w:tc>
        <w:tc>
          <w:tcPr>
            <w:tcW w:w="5631" w:type="dxa"/>
            <w:gridSpan w:val="2"/>
            <w:noWrap/>
            <w:vAlign w:val="center"/>
          </w:tcPr>
          <w:p w14:paraId="0EB94A28" w14:textId="77777777" w:rsidR="008A3EDE" w:rsidRPr="00263B73" w:rsidRDefault="008A3EDE" w:rsidP="00831B7C">
            <w:pPr>
              <w:widowControl/>
              <w:spacing w:line="180" w:lineRule="exact"/>
              <w:jc w:val="left"/>
              <w:rPr>
                <w:rFonts w:ascii="ＭＳ ゴシック" w:eastAsia="ＭＳ ゴシック" w:hAnsi="ＭＳ ゴシック" w:cs="ＭＳ Ｐゴシック"/>
                <w:kern w:val="0"/>
                <w:sz w:val="14"/>
                <w:szCs w:val="12"/>
              </w:rPr>
            </w:pPr>
            <w:r w:rsidRPr="00263B73">
              <w:rPr>
                <w:rFonts w:ascii="ＭＳ ゴシック" w:eastAsia="ＭＳ ゴシック" w:hAnsi="ＭＳ ゴシック" w:cs="ＭＳ Ｐゴシック" w:hint="eastAsia"/>
                <w:kern w:val="0"/>
                <w:sz w:val="14"/>
                <w:szCs w:val="12"/>
              </w:rPr>
              <w:t>大阪府立砂川厚生福祉センター災害等応急対策実施要領</w:t>
            </w:r>
          </w:p>
        </w:tc>
        <w:tc>
          <w:tcPr>
            <w:tcW w:w="850" w:type="dxa"/>
            <w:vMerge/>
            <w:noWrap/>
            <w:vAlign w:val="center"/>
          </w:tcPr>
          <w:p w14:paraId="755E95BA" w14:textId="77777777" w:rsidR="008A3EDE" w:rsidRPr="00263B73" w:rsidRDefault="008A3EDE" w:rsidP="00831B7C">
            <w:pPr>
              <w:spacing w:line="180" w:lineRule="exact"/>
              <w:jc w:val="left"/>
              <w:rPr>
                <w:rFonts w:ascii="ＭＳ ゴシック" w:eastAsia="ＭＳ ゴシック" w:hAnsi="ＭＳ ゴシック" w:cs="ＭＳ Ｐゴシック"/>
                <w:kern w:val="0"/>
                <w:sz w:val="14"/>
                <w:szCs w:val="12"/>
              </w:rPr>
            </w:pPr>
          </w:p>
        </w:tc>
        <w:tc>
          <w:tcPr>
            <w:tcW w:w="1843" w:type="dxa"/>
            <w:noWrap/>
            <w:vAlign w:val="center"/>
          </w:tcPr>
          <w:p w14:paraId="48A2FF6C" w14:textId="77777777" w:rsidR="008A3EDE" w:rsidRPr="00263B73" w:rsidRDefault="008A3EDE" w:rsidP="00831B7C">
            <w:pPr>
              <w:widowControl/>
              <w:spacing w:line="180" w:lineRule="exact"/>
              <w:rPr>
                <w:rFonts w:ascii="ＭＳ ゴシック" w:eastAsia="ＭＳ ゴシック" w:hAnsi="ＭＳ ゴシック" w:cs="ＭＳ Ｐゴシック"/>
                <w:kern w:val="0"/>
                <w:sz w:val="14"/>
                <w:szCs w:val="12"/>
              </w:rPr>
            </w:pPr>
            <w:r w:rsidRPr="00263B73">
              <w:rPr>
                <w:rFonts w:ascii="ＭＳ ゴシック" w:eastAsia="ＭＳ ゴシック" w:hAnsi="ＭＳ ゴシック" w:cs="ＭＳ Ｐゴシック" w:hint="eastAsia"/>
                <w:kern w:val="0"/>
                <w:sz w:val="14"/>
                <w:szCs w:val="12"/>
              </w:rPr>
              <w:t>地域生活支援課</w:t>
            </w:r>
          </w:p>
        </w:tc>
      </w:tr>
      <w:tr w:rsidR="008A3EDE" w:rsidRPr="00263B73" w14:paraId="042DBBB6" w14:textId="77777777" w:rsidTr="00831B7C">
        <w:trPr>
          <w:trHeight w:val="20"/>
        </w:trPr>
        <w:tc>
          <w:tcPr>
            <w:tcW w:w="1501" w:type="dxa"/>
            <w:vMerge/>
          </w:tcPr>
          <w:p w14:paraId="662BC42C" w14:textId="77777777" w:rsidR="008A3EDE" w:rsidRPr="00263B73" w:rsidRDefault="008A3EDE" w:rsidP="00831B7C">
            <w:pPr>
              <w:spacing w:line="180" w:lineRule="exact"/>
              <w:jc w:val="left"/>
              <w:rPr>
                <w:rFonts w:ascii="ＭＳ ゴシック" w:eastAsia="ＭＳ ゴシック" w:hAnsi="ＭＳ ゴシック" w:cs="ＭＳ Ｐゴシック"/>
                <w:kern w:val="0"/>
                <w:sz w:val="14"/>
                <w:szCs w:val="12"/>
              </w:rPr>
            </w:pPr>
          </w:p>
        </w:tc>
        <w:tc>
          <w:tcPr>
            <w:tcW w:w="5631" w:type="dxa"/>
            <w:gridSpan w:val="2"/>
            <w:noWrap/>
            <w:vAlign w:val="center"/>
          </w:tcPr>
          <w:p w14:paraId="3811B5B6" w14:textId="77777777" w:rsidR="008A3EDE" w:rsidRPr="00263B73" w:rsidRDefault="008A3EDE" w:rsidP="00831B7C">
            <w:pPr>
              <w:widowControl/>
              <w:spacing w:line="180" w:lineRule="exact"/>
              <w:jc w:val="left"/>
              <w:rPr>
                <w:rFonts w:ascii="ＭＳ ゴシック" w:eastAsia="ＭＳ ゴシック" w:hAnsi="ＭＳ ゴシック" w:cs="ＭＳ Ｐゴシック"/>
                <w:kern w:val="0"/>
                <w:sz w:val="14"/>
                <w:szCs w:val="12"/>
              </w:rPr>
            </w:pPr>
            <w:r w:rsidRPr="00263B73">
              <w:rPr>
                <w:rFonts w:ascii="ＭＳ ゴシック" w:eastAsia="ＭＳ ゴシック" w:hAnsi="ＭＳ ゴシック" w:cs="ＭＳ Ｐゴシック" w:hint="eastAsia"/>
                <w:kern w:val="0"/>
                <w:sz w:val="14"/>
                <w:szCs w:val="12"/>
              </w:rPr>
              <w:t>大阪府立砂川厚生福祉センター災害に関する業務継続計画</w:t>
            </w:r>
          </w:p>
        </w:tc>
        <w:tc>
          <w:tcPr>
            <w:tcW w:w="850" w:type="dxa"/>
            <w:vMerge/>
            <w:noWrap/>
            <w:vAlign w:val="center"/>
          </w:tcPr>
          <w:p w14:paraId="1A74C5E9" w14:textId="77777777" w:rsidR="008A3EDE" w:rsidRPr="00263B73" w:rsidRDefault="008A3EDE" w:rsidP="00831B7C">
            <w:pPr>
              <w:spacing w:line="180" w:lineRule="exact"/>
              <w:jc w:val="left"/>
              <w:rPr>
                <w:rFonts w:ascii="ＭＳ ゴシック" w:eastAsia="ＭＳ ゴシック" w:hAnsi="ＭＳ ゴシック" w:cs="ＭＳ Ｐゴシック"/>
                <w:kern w:val="0"/>
                <w:sz w:val="14"/>
                <w:szCs w:val="12"/>
              </w:rPr>
            </w:pPr>
          </w:p>
        </w:tc>
        <w:tc>
          <w:tcPr>
            <w:tcW w:w="1843" w:type="dxa"/>
            <w:noWrap/>
            <w:vAlign w:val="center"/>
          </w:tcPr>
          <w:p w14:paraId="0CD9375E" w14:textId="77777777" w:rsidR="008A3EDE" w:rsidRPr="00263B73" w:rsidRDefault="008A3EDE" w:rsidP="00831B7C">
            <w:pPr>
              <w:widowControl/>
              <w:spacing w:line="180" w:lineRule="exact"/>
              <w:rPr>
                <w:rFonts w:ascii="ＭＳ ゴシック" w:eastAsia="ＭＳ ゴシック" w:hAnsi="ＭＳ ゴシック" w:cs="ＭＳ Ｐゴシック"/>
                <w:kern w:val="0"/>
                <w:sz w:val="14"/>
                <w:szCs w:val="12"/>
              </w:rPr>
            </w:pPr>
            <w:r w:rsidRPr="00263B73">
              <w:rPr>
                <w:rFonts w:ascii="ＭＳ ゴシック" w:eastAsia="ＭＳ ゴシック" w:hAnsi="ＭＳ ゴシック" w:cs="ＭＳ Ｐゴシック" w:hint="eastAsia"/>
                <w:kern w:val="0"/>
                <w:sz w:val="14"/>
                <w:szCs w:val="12"/>
              </w:rPr>
              <w:t>地域生活支援課</w:t>
            </w:r>
          </w:p>
        </w:tc>
      </w:tr>
      <w:tr w:rsidR="008A3EDE" w:rsidRPr="00263B73" w14:paraId="755A4322" w14:textId="77777777" w:rsidTr="00831B7C">
        <w:trPr>
          <w:trHeight w:val="20"/>
        </w:trPr>
        <w:tc>
          <w:tcPr>
            <w:tcW w:w="1501" w:type="dxa"/>
            <w:vMerge/>
            <w:hideMark/>
          </w:tcPr>
          <w:p w14:paraId="6986EF2F" w14:textId="77777777" w:rsidR="008A3EDE" w:rsidRPr="00263B73" w:rsidRDefault="008A3EDE" w:rsidP="00831B7C">
            <w:pPr>
              <w:spacing w:line="180" w:lineRule="exact"/>
              <w:jc w:val="left"/>
              <w:rPr>
                <w:rFonts w:ascii="ＭＳ ゴシック" w:eastAsia="ＭＳ ゴシック" w:hAnsi="ＭＳ ゴシック" w:cs="ＭＳ Ｐゴシック"/>
                <w:kern w:val="0"/>
                <w:sz w:val="14"/>
                <w:szCs w:val="12"/>
              </w:rPr>
            </w:pPr>
          </w:p>
        </w:tc>
        <w:tc>
          <w:tcPr>
            <w:tcW w:w="5631" w:type="dxa"/>
            <w:gridSpan w:val="2"/>
            <w:noWrap/>
            <w:vAlign w:val="center"/>
          </w:tcPr>
          <w:p w14:paraId="7892D582" w14:textId="77777777" w:rsidR="008A3EDE" w:rsidRPr="00263B73" w:rsidRDefault="008A3EDE" w:rsidP="00831B7C">
            <w:pPr>
              <w:widowControl/>
              <w:spacing w:line="180" w:lineRule="exact"/>
              <w:jc w:val="left"/>
              <w:rPr>
                <w:rFonts w:ascii="ＭＳ ゴシック" w:eastAsia="ＭＳ ゴシック" w:hAnsi="ＭＳ ゴシック" w:cs="ＭＳ Ｐゴシック"/>
                <w:kern w:val="0"/>
                <w:sz w:val="14"/>
                <w:szCs w:val="12"/>
              </w:rPr>
            </w:pPr>
            <w:r w:rsidRPr="00263B73">
              <w:rPr>
                <w:rFonts w:ascii="ＭＳ ゴシック" w:eastAsia="ＭＳ ゴシック" w:hAnsi="ＭＳ ゴシック" w:cs="ＭＳ Ｐゴシック" w:hint="eastAsia"/>
                <w:kern w:val="0"/>
                <w:sz w:val="14"/>
                <w:szCs w:val="12"/>
              </w:rPr>
              <w:t>砂川厚生福祉センター不審者対応マニュアル</w:t>
            </w:r>
          </w:p>
        </w:tc>
        <w:tc>
          <w:tcPr>
            <w:tcW w:w="850" w:type="dxa"/>
            <w:vMerge/>
            <w:noWrap/>
            <w:vAlign w:val="center"/>
          </w:tcPr>
          <w:p w14:paraId="3415CA99" w14:textId="77777777" w:rsidR="008A3EDE" w:rsidRPr="00263B73" w:rsidRDefault="008A3EDE" w:rsidP="00831B7C">
            <w:pPr>
              <w:spacing w:line="180" w:lineRule="exact"/>
              <w:jc w:val="left"/>
              <w:rPr>
                <w:rFonts w:ascii="ＭＳ ゴシック" w:eastAsia="ＭＳ ゴシック" w:hAnsi="ＭＳ ゴシック" w:cs="ＭＳ Ｐゴシック"/>
                <w:kern w:val="0"/>
                <w:sz w:val="14"/>
                <w:szCs w:val="12"/>
              </w:rPr>
            </w:pPr>
          </w:p>
        </w:tc>
        <w:tc>
          <w:tcPr>
            <w:tcW w:w="1843" w:type="dxa"/>
            <w:noWrap/>
            <w:vAlign w:val="center"/>
          </w:tcPr>
          <w:p w14:paraId="430A187D" w14:textId="77777777" w:rsidR="008A3EDE" w:rsidRPr="00263B73" w:rsidRDefault="008A3EDE" w:rsidP="00831B7C">
            <w:pPr>
              <w:widowControl/>
              <w:spacing w:line="180" w:lineRule="exact"/>
              <w:rPr>
                <w:rFonts w:ascii="ＭＳ ゴシック" w:eastAsia="ＭＳ ゴシック" w:hAnsi="ＭＳ ゴシック" w:cs="ＭＳ Ｐゴシック"/>
                <w:kern w:val="0"/>
                <w:sz w:val="14"/>
                <w:szCs w:val="12"/>
              </w:rPr>
            </w:pPr>
            <w:r w:rsidRPr="00263B73">
              <w:rPr>
                <w:rFonts w:ascii="ＭＳ ゴシック" w:eastAsia="ＭＳ ゴシック" w:hAnsi="ＭＳ ゴシック" w:cs="ＭＳ Ｐゴシック" w:hint="eastAsia"/>
                <w:kern w:val="0"/>
                <w:sz w:val="14"/>
                <w:szCs w:val="12"/>
              </w:rPr>
              <w:t>地域生活支援課</w:t>
            </w:r>
          </w:p>
        </w:tc>
      </w:tr>
      <w:tr w:rsidR="008A3EDE" w:rsidRPr="00263B73" w14:paraId="698F8116" w14:textId="77777777" w:rsidTr="00831B7C">
        <w:trPr>
          <w:trHeight w:val="20"/>
        </w:trPr>
        <w:tc>
          <w:tcPr>
            <w:tcW w:w="1501" w:type="dxa"/>
            <w:vMerge/>
            <w:hideMark/>
          </w:tcPr>
          <w:p w14:paraId="22CE5362" w14:textId="77777777" w:rsidR="008A3EDE" w:rsidRPr="00263B73" w:rsidRDefault="008A3EDE" w:rsidP="00831B7C">
            <w:pPr>
              <w:spacing w:line="180" w:lineRule="exact"/>
              <w:jc w:val="left"/>
              <w:rPr>
                <w:rFonts w:ascii="ＭＳ ゴシック" w:eastAsia="ＭＳ ゴシック" w:hAnsi="ＭＳ ゴシック" w:cs="ＭＳ Ｐゴシック"/>
                <w:kern w:val="0"/>
                <w:sz w:val="14"/>
                <w:szCs w:val="12"/>
              </w:rPr>
            </w:pPr>
          </w:p>
        </w:tc>
        <w:tc>
          <w:tcPr>
            <w:tcW w:w="5631" w:type="dxa"/>
            <w:gridSpan w:val="2"/>
            <w:noWrap/>
            <w:vAlign w:val="center"/>
          </w:tcPr>
          <w:p w14:paraId="60619CF5" w14:textId="77777777" w:rsidR="008A3EDE" w:rsidRPr="00263B73" w:rsidRDefault="008A3EDE" w:rsidP="00831B7C">
            <w:pPr>
              <w:widowControl/>
              <w:spacing w:line="180" w:lineRule="exact"/>
              <w:jc w:val="left"/>
              <w:rPr>
                <w:rFonts w:ascii="ＭＳ ゴシック" w:eastAsia="ＭＳ ゴシック" w:hAnsi="ＭＳ ゴシック" w:cs="ＭＳ Ｐゴシック"/>
                <w:kern w:val="0"/>
                <w:sz w:val="14"/>
                <w:szCs w:val="12"/>
              </w:rPr>
            </w:pPr>
            <w:r w:rsidRPr="00263B73">
              <w:rPr>
                <w:rFonts w:ascii="ＭＳ ゴシック" w:eastAsia="ＭＳ ゴシック" w:hAnsi="ＭＳ ゴシック" w:cs="ＭＳ Ｐゴシック" w:hint="eastAsia"/>
                <w:kern w:val="0"/>
                <w:sz w:val="14"/>
                <w:szCs w:val="12"/>
              </w:rPr>
              <w:t>大阪府障がい者自立相談支援センター災害等応急対策実施要領</w:t>
            </w:r>
          </w:p>
        </w:tc>
        <w:tc>
          <w:tcPr>
            <w:tcW w:w="850" w:type="dxa"/>
            <w:vMerge/>
            <w:noWrap/>
            <w:vAlign w:val="center"/>
          </w:tcPr>
          <w:p w14:paraId="1BCF525A" w14:textId="77777777" w:rsidR="008A3EDE" w:rsidRPr="00263B73" w:rsidRDefault="008A3EDE" w:rsidP="00831B7C">
            <w:pPr>
              <w:spacing w:line="180" w:lineRule="exact"/>
              <w:jc w:val="left"/>
              <w:rPr>
                <w:rFonts w:ascii="ＭＳ ゴシック" w:eastAsia="ＭＳ ゴシック" w:hAnsi="ＭＳ ゴシック" w:cs="ＭＳ Ｐゴシック"/>
                <w:kern w:val="0"/>
                <w:sz w:val="14"/>
                <w:szCs w:val="12"/>
              </w:rPr>
            </w:pPr>
          </w:p>
        </w:tc>
        <w:tc>
          <w:tcPr>
            <w:tcW w:w="1843" w:type="dxa"/>
            <w:noWrap/>
            <w:vAlign w:val="center"/>
          </w:tcPr>
          <w:p w14:paraId="7B96F705" w14:textId="77777777" w:rsidR="008A3EDE" w:rsidRPr="00263B73" w:rsidRDefault="008A3EDE" w:rsidP="00831B7C">
            <w:pPr>
              <w:widowControl/>
              <w:spacing w:line="180" w:lineRule="exact"/>
              <w:rPr>
                <w:rFonts w:ascii="ＭＳ ゴシック" w:eastAsia="ＭＳ ゴシック" w:hAnsi="ＭＳ ゴシック" w:cs="ＭＳ Ｐゴシック"/>
                <w:kern w:val="0"/>
                <w:sz w:val="14"/>
                <w:szCs w:val="12"/>
              </w:rPr>
            </w:pPr>
            <w:r w:rsidRPr="00263B73">
              <w:rPr>
                <w:rFonts w:ascii="ＭＳ ゴシック" w:eastAsia="ＭＳ ゴシック" w:hAnsi="ＭＳ ゴシック" w:cs="ＭＳ Ｐゴシック" w:hint="eastAsia"/>
                <w:kern w:val="0"/>
                <w:sz w:val="14"/>
                <w:szCs w:val="12"/>
              </w:rPr>
              <w:t>地域生活支援課</w:t>
            </w:r>
          </w:p>
        </w:tc>
      </w:tr>
      <w:tr w:rsidR="008A3EDE" w:rsidRPr="00263B73" w14:paraId="404C8FED" w14:textId="77777777" w:rsidTr="00831B7C">
        <w:trPr>
          <w:trHeight w:val="20"/>
        </w:trPr>
        <w:tc>
          <w:tcPr>
            <w:tcW w:w="1501" w:type="dxa"/>
            <w:vMerge/>
            <w:hideMark/>
          </w:tcPr>
          <w:p w14:paraId="41581603" w14:textId="77777777" w:rsidR="008A3EDE" w:rsidRPr="00263B73" w:rsidRDefault="008A3EDE" w:rsidP="00831B7C">
            <w:pPr>
              <w:spacing w:line="180" w:lineRule="exact"/>
              <w:jc w:val="left"/>
              <w:rPr>
                <w:rFonts w:ascii="ＭＳ ゴシック" w:eastAsia="ＭＳ ゴシック" w:hAnsi="ＭＳ ゴシック" w:cs="ＭＳ Ｐゴシック"/>
                <w:kern w:val="0"/>
                <w:sz w:val="14"/>
                <w:szCs w:val="12"/>
              </w:rPr>
            </w:pPr>
          </w:p>
        </w:tc>
        <w:tc>
          <w:tcPr>
            <w:tcW w:w="5631" w:type="dxa"/>
            <w:gridSpan w:val="2"/>
            <w:noWrap/>
            <w:vAlign w:val="center"/>
          </w:tcPr>
          <w:p w14:paraId="6B5155F1" w14:textId="77777777" w:rsidR="008A3EDE" w:rsidRPr="00263B73" w:rsidRDefault="008A3EDE" w:rsidP="00831B7C">
            <w:pPr>
              <w:widowControl/>
              <w:spacing w:line="180" w:lineRule="exact"/>
              <w:jc w:val="left"/>
              <w:rPr>
                <w:rFonts w:ascii="ＭＳ ゴシック" w:eastAsia="ＭＳ ゴシック" w:hAnsi="ＭＳ ゴシック" w:cs="ＭＳ Ｐゴシック"/>
                <w:kern w:val="0"/>
                <w:sz w:val="14"/>
                <w:szCs w:val="12"/>
              </w:rPr>
            </w:pPr>
            <w:r w:rsidRPr="00263B73">
              <w:rPr>
                <w:rFonts w:ascii="ＭＳ ゴシック" w:eastAsia="ＭＳ ゴシック" w:hAnsi="ＭＳ ゴシック" w:cs="ＭＳ Ｐゴシック" w:hint="eastAsia"/>
                <w:kern w:val="0"/>
                <w:sz w:val="14"/>
                <w:szCs w:val="12"/>
              </w:rPr>
              <w:t>障がい者自立相談支援センター災害等応急関連避難マニュアル</w:t>
            </w:r>
          </w:p>
        </w:tc>
        <w:tc>
          <w:tcPr>
            <w:tcW w:w="850" w:type="dxa"/>
            <w:vMerge/>
            <w:noWrap/>
            <w:vAlign w:val="center"/>
          </w:tcPr>
          <w:p w14:paraId="2A5AEB20" w14:textId="77777777" w:rsidR="008A3EDE" w:rsidRPr="00263B73" w:rsidRDefault="008A3EDE" w:rsidP="00831B7C">
            <w:pPr>
              <w:spacing w:line="180" w:lineRule="exact"/>
              <w:jc w:val="left"/>
              <w:rPr>
                <w:rFonts w:ascii="ＭＳ ゴシック" w:eastAsia="ＭＳ ゴシック" w:hAnsi="ＭＳ ゴシック" w:cs="ＭＳ Ｐゴシック"/>
                <w:kern w:val="0"/>
                <w:sz w:val="14"/>
                <w:szCs w:val="12"/>
              </w:rPr>
            </w:pPr>
          </w:p>
        </w:tc>
        <w:tc>
          <w:tcPr>
            <w:tcW w:w="1843" w:type="dxa"/>
            <w:noWrap/>
            <w:vAlign w:val="center"/>
          </w:tcPr>
          <w:p w14:paraId="7CFAE5BD" w14:textId="77777777" w:rsidR="008A3EDE" w:rsidRPr="00263B73" w:rsidRDefault="008A3EDE" w:rsidP="00831B7C">
            <w:pPr>
              <w:widowControl/>
              <w:spacing w:line="180" w:lineRule="exact"/>
              <w:rPr>
                <w:rFonts w:ascii="ＭＳ ゴシック" w:eastAsia="ＭＳ ゴシック" w:hAnsi="ＭＳ ゴシック" w:cs="ＭＳ Ｐゴシック"/>
                <w:kern w:val="0"/>
                <w:sz w:val="14"/>
                <w:szCs w:val="12"/>
              </w:rPr>
            </w:pPr>
            <w:r w:rsidRPr="00263B73">
              <w:rPr>
                <w:rFonts w:ascii="ＭＳ ゴシック" w:eastAsia="ＭＳ ゴシック" w:hAnsi="ＭＳ ゴシック" w:cs="ＭＳ Ｐゴシック" w:hint="eastAsia"/>
                <w:kern w:val="0"/>
                <w:sz w:val="14"/>
                <w:szCs w:val="12"/>
              </w:rPr>
              <w:t>地域生活支援課</w:t>
            </w:r>
          </w:p>
        </w:tc>
      </w:tr>
      <w:tr w:rsidR="008A3EDE" w:rsidRPr="00263B73" w14:paraId="5A8E688A" w14:textId="77777777" w:rsidTr="00831B7C">
        <w:trPr>
          <w:trHeight w:val="20"/>
        </w:trPr>
        <w:tc>
          <w:tcPr>
            <w:tcW w:w="1501" w:type="dxa"/>
            <w:vMerge/>
            <w:hideMark/>
          </w:tcPr>
          <w:p w14:paraId="543A5222" w14:textId="77777777" w:rsidR="008A3EDE" w:rsidRPr="00263B73" w:rsidRDefault="008A3EDE" w:rsidP="00831B7C">
            <w:pPr>
              <w:spacing w:line="180" w:lineRule="exact"/>
              <w:jc w:val="left"/>
              <w:rPr>
                <w:rFonts w:ascii="ＭＳ ゴシック" w:eastAsia="ＭＳ ゴシック" w:hAnsi="ＭＳ ゴシック" w:cs="ＭＳ Ｐゴシック"/>
                <w:kern w:val="0"/>
                <w:sz w:val="14"/>
                <w:szCs w:val="12"/>
              </w:rPr>
            </w:pPr>
          </w:p>
        </w:tc>
        <w:tc>
          <w:tcPr>
            <w:tcW w:w="5631" w:type="dxa"/>
            <w:gridSpan w:val="2"/>
            <w:noWrap/>
            <w:vAlign w:val="center"/>
          </w:tcPr>
          <w:p w14:paraId="5C6DD6CA" w14:textId="77777777" w:rsidR="008A3EDE" w:rsidRPr="00263B73" w:rsidRDefault="008A3EDE" w:rsidP="00831B7C">
            <w:pPr>
              <w:widowControl/>
              <w:spacing w:line="180" w:lineRule="exact"/>
              <w:jc w:val="left"/>
              <w:rPr>
                <w:rFonts w:ascii="ＭＳ ゴシック" w:eastAsia="ＭＳ ゴシック" w:hAnsi="ＭＳ ゴシック" w:cs="ＭＳ Ｐゴシック"/>
                <w:kern w:val="0"/>
                <w:sz w:val="14"/>
                <w:szCs w:val="12"/>
              </w:rPr>
            </w:pPr>
            <w:r w:rsidRPr="00263B73">
              <w:rPr>
                <w:rFonts w:ascii="ＭＳ ゴシック" w:eastAsia="ＭＳ ゴシック" w:hAnsi="ＭＳ ゴシック" w:cs="ＭＳ Ｐゴシック" w:hint="eastAsia"/>
                <w:kern w:val="0"/>
                <w:sz w:val="14"/>
                <w:szCs w:val="12"/>
              </w:rPr>
              <w:t>大阪府障がい者自立相談支援センター消防計画</w:t>
            </w:r>
          </w:p>
        </w:tc>
        <w:tc>
          <w:tcPr>
            <w:tcW w:w="850" w:type="dxa"/>
            <w:vMerge/>
            <w:noWrap/>
            <w:vAlign w:val="center"/>
          </w:tcPr>
          <w:p w14:paraId="7CD5E78F" w14:textId="77777777" w:rsidR="008A3EDE" w:rsidRPr="00263B73" w:rsidRDefault="008A3EDE" w:rsidP="00831B7C">
            <w:pPr>
              <w:spacing w:line="180" w:lineRule="exact"/>
              <w:jc w:val="left"/>
              <w:rPr>
                <w:rFonts w:ascii="ＭＳ ゴシック" w:eastAsia="ＭＳ ゴシック" w:hAnsi="ＭＳ ゴシック" w:cs="ＭＳ Ｐゴシック"/>
                <w:kern w:val="0"/>
                <w:sz w:val="14"/>
                <w:szCs w:val="12"/>
              </w:rPr>
            </w:pPr>
          </w:p>
        </w:tc>
        <w:tc>
          <w:tcPr>
            <w:tcW w:w="1843" w:type="dxa"/>
            <w:noWrap/>
            <w:vAlign w:val="center"/>
          </w:tcPr>
          <w:p w14:paraId="35215388" w14:textId="77777777" w:rsidR="008A3EDE" w:rsidRPr="00263B73" w:rsidRDefault="008A3EDE" w:rsidP="00831B7C">
            <w:pPr>
              <w:widowControl/>
              <w:spacing w:line="180" w:lineRule="exact"/>
              <w:rPr>
                <w:rFonts w:ascii="ＭＳ ゴシック" w:eastAsia="ＭＳ ゴシック" w:hAnsi="ＭＳ ゴシック" w:cs="ＭＳ Ｐゴシック"/>
                <w:kern w:val="0"/>
                <w:sz w:val="14"/>
                <w:szCs w:val="12"/>
              </w:rPr>
            </w:pPr>
            <w:r w:rsidRPr="00263B73">
              <w:rPr>
                <w:rFonts w:ascii="ＭＳ ゴシック" w:eastAsia="ＭＳ ゴシック" w:hAnsi="ＭＳ ゴシック" w:cs="ＭＳ Ｐゴシック" w:hint="eastAsia"/>
                <w:kern w:val="0"/>
                <w:sz w:val="14"/>
                <w:szCs w:val="12"/>
              </w:rPr>
              <w:t>地域生活支援課</w:t>
            </w:r>
          </w:p>
        </w:tc>
      </w:tr>
      <w:tr w:rsidR="008A3EDE" w:rsidRPr="00263B73" w14:paraId="4AB32178" w14:textId="77777777" w:rsidTr="00831B7C">
        <w:trPr>
          <w:trHeight w:val="20"/>
        </w:trPr>
        <w:tc>
          <w:tcPr>
            <w:tcW w:w="1501" w:type="dxa"/>
            <w:vMerge/>
            <w:hideMark/>
          </w:tcPr>
          <w:p w14:paraId="244D51B2" w14:textId="77777777" w:rsidR="008A3EDE" w:rsidRPr="00263B73" w:rsidRDefault="008A3EDE" w:rsidP="00831B7C">
            <w:pPr>
              <w:spacing w:line="180" w:lineRule="exact"/>
              <w:jc w:val="left"/>
              <w:rPr>
                <w:rFonts w:ascii="ＭＳ ゴシック" w:eastAsia="ＭＳ ゴシック" w:hAnsi="ＭＳ ゴシック" w:cs="ＭＳ Ｐゴシック"/>
                <w:kern w:val="0"/>
                <w:sz w:val="14"/>
                <w:szCs w:val="12"/>
              </w:rPr>
            </w:pPr>
          </w:p>
        </w:tc>
        <w:tc>
          <w:tcPr>
            <w:tcW w:w="5631" w:type="dxa"/>
            <w:gridSpan w:val="2"/>
            <w:noWrap/>
            <w:vAlign w:val="center"/>
          </w:tcPr>
          <w:p w14:paraId="4543F228" w14:textId="77777777" w:rsidR="008A3EDE" w:rsidRPr="00263B73" w:rsidRDefault="008A3EDE" w:rsidP="00831B7C">
            <w:pPr>
              <w:widowControl/>
              <w:spacing w:line="180" w:lineRule="exact"/>
              <w:jc w:val="left"/>
              <w:rPr>
                <w:rFonts w:ascii="ＭＳ ゴシック" w:eastAsia="ＭＳ ゴシック" w:hAnsi="ＭＳ ゴシック" w:cs="ＭＳ Ｐゴシック"/>
                <w:kern w:val="0"/>
                <w:sz w:val="14"/>
                <w:szCs w:val="12"/>
              </w:rPr>
            </w:pPr>
            <w:r w:rsidRPr="00263B73">
              <w:rPr>
                <w:rFonts w:ascii="ＭＳ ゴシック" w:eastAsia="ＭＳ ゴシック" w:hAnsi="ＭＳ ゴシック" w:cs="ＭＳ Ｐゴシック" w:hint="eastAsia"/>
                <w:kern w:val="0"/>
                <w:sz w:val="14"/>
                <w:szCs w:val="12"/>
              </w:rPr>
              <w:t>大阪府子ども家庭センター危機管理マニュアル</w:t>
            </w:r>
          </w:p>
        </w:tc>
        <w:tc>
          <w:tcPr>
            <w:tcW w:w="850" w:type="dxa"/>
            <w:vMerge/>
            <w:noWrap/>
            <w:vAlign w:val="center"/>
          </w:tcPr>
          <w:p w14:paraId="5AADAFDD" w14:textId="77777777" w:rsidR="008A3EDE" w:rsidRPr="00263B73" w:rsidRDefault="008A3EDE" w:rsidP="00831B7C">
            <w:pPr>
              <w:spacing w:line="180" w:lineRule="exact"/>
              <w:jc w:val="left"/>
              <w:rPr>
                <w:rFonts w:ascii="ＭＳ ゴシック" w:eastAsia="ＭＳ ゴシック" w:hAnsi="ＭＳ ゴシック" w:cs="ＭＳ Ｐゴシック"/>
                <w:kern w:val="0"/>
                <w:sz w:val="14"/>
                <w:szCs w:val="12"/>
              </w:rPr>
            </w:pPr>
          </w:p>
        </w:tc>
        <w:tc>
          <w:tcPr>
            <w:tcW w:w="1843" w:type="dxa"/>
            <w:noWrap/>
            <w:vAlign w:val="center"/>
          </w:tcPr>
          <w:p w14:paraId="54408820" w14:textId="77777777" w:rsidR="008A3EDE" w:rsidRPr="00263B73" w:rsidRDefault="008A3EDE" w:rsidP="00831B7C">
            <w:pPr>
              <w:widowControl/>
              <w:spacing w:line="180" w:lineRule="exact"/>
              <w:rPr>
                <w:rFonts w:ascii="ＭＳ ゴシック" w:eastAsia="ＭＳ ゴシック" w:hAnsi="ＭＳ ゴシック" w:cs="ＭＳ Ｐゴシック"/>
                <w:kern w:val="0"/>
                <w:sz w:val="14"/>
                <w:szCs w:val="12"/>
              </w:rPr>
            </w:pPr>
            <w:r w:rsidRPr="00263B73">
              <w:rPr>
                <w:rFonts w:ascii="ＭＳ ゴシック" w:eastAsia="ＭＳ ゴシック" w:hAnsi="ＭＳ ゴシック" w:cs="ＭＳ Ｐゴシック" w:hint="eastAsia"/>
                <w:kern w:val="0"/>
                <w:sz w:val="14"/>
                <w:szCs w:val="12"/>
              </w:rPr>
              <w:t>家庭支援課</w:t>
            </w:r>
          </w:p>
        </w:tc>
      </w:tr>
      <w:tr w:rsidR="008A3EDE" w:rsidRPr="00263B73" w14:paraId="638C9831" w14:textId="77777777" w:rsidTr="00831B7C">
        <w:trPr>
          <w:trHeight w:val="20"/>
        </w:trPr>
        <w:tc>
          <w:tcPr>
            <w:tcW w:w="1501" w:type="dxa"/>
            <w:vMerge/>
            <w:hideMark/>
          </w:tcPr>
          <w:p w14:paraId="5517DD5F" w14:textId="77777777" w:rsidR="008A3EDE" w:rsidRPr="00263B73" w:rsidRDefault="008A3EDE" w:rsidP="00831B7C">
            <w:pPr>
              <w:spacing w:line="180" w:lineRule="exact"/>
              <w:jc w:val="left"/>
              <w:rPr>
                <w:rFonts w:ascii="ＭＳ ゴシック" w:eastAsia="ＭＳ ゴシック" w:hAnsi="ＭＳ ゴシック" w:cs="ＭＳ Ｐゴシック"/>
                <w:kern w:val="0"/>
                <w:sz w:val="14"/>
                <w:szCs w:val="12"/>
              </w:rPr>
            </w:pPr>
          </w:p>
        </w:tc>
        <w:tc>
          <w:tcPr>
            <w:tcW w:w="5631" w:type="dxa"/>
            <w:gridSpan w:val="2"/>
            <w:noWrap/>
            <w:vAlign w:val="center"/>
          </w:tcPr>
          <w:p w14:paraId="0F946B1E" w14:textId="77777777" w:rsidR="008A3EDE" w:rsidRPr="00263B73" w:rsidRDefault="008A3EDE" w:rsidP="00831B7C">
            <w:pPr>
              <w:widowControl/>
              <w:spacing w:line="180" w:lineRule="exact"/>
              <w:jc w:val="left"/>
              <w:rPr>
                <w:rFonts w:ascii="ＭＳ ゴシック" w:eastAsia="ＭＳ ゴシック" w:hAnsi="ＭＳ ゴシック" w:cs="ＭＳ Ｐゴシック"/>
                <w:kern w:val="0"/>
                <w:sz w:val="14"/>
                <w:szCs w:val="12"/>
              </w:rPr>
            </w:pPr>
            <w:r w:rsidRPr="00263B73">
              <w:rPr>
                <w:rFonts w:ascii="ＭＳ ゴシック" w:eastAsia="ＭＳ ゴシック" w:hAnsi="ＭＳ ゴシック" w:cs="ＭＳ Ｐゴシック" w:hint="eastAsia"/>
                <w:kern w:val="0"/>
                <w:sz w:val="14"/>
                <w:szCs w:val="12"/>
              </w:rPr>
              <w:t xml:space="preserve">大阪府箕面子ども家庭センター「なにわプラット」 消防計画（防災マニュアル） </w:t>
            </w:r>
          </w:p>
        </w:tc>
        <w:tc>
          <w:tcPr>
            <w:tcW w:w="850" w:type="dxa"/>
            <w:vMerge/>
            <w:noWrap/>
            <w:vAlign w:val="center"/>
          </w:tcPr>
          <w:p w14:paraId="4BDE1D10" w14:textId="77777777" w:rsidR="008A3EDE" w:rsidRPr="00263B73" w:rsidRDefault="008A3EDE" w:rsidP="00831B7C">
            <w:pPr>
              <w:spacing w:line="180" w:lineRule="exact"/>
              <w:jc w:val="left"/>
              <w:rPr>
                <w:rFonts w:ascii="ＭＳ ゴシック" w:eastAsia="ＭＳ ゴシック" w:hAnsi="ＭＳ ゴシック" w:cs="ＭＳ Ｐゴシック"/>
                <w:kern w:val="0"/>
                <w:sz w:val="14"/>
                <w:szCs w:val="12"/>
              </w:rPr>
            </w:pPr>
          </w:p>
        </w:tc>
        <w:tc>
          <w:tcPr>
            <w:tcW w:w="1843" w:type="dxa"/>
            <w:noWrap/>
            <w:vAlign w:val="center"/>
          </w:tcPr>
          <w:p w14:paraId="230DCD60" w14:textId="77777777" w:rsidR="008A3EDE" w:rsidRPr="00263B73" w:rsidRDefault="008A3EDE" w:rsidP="00831B7C">
            <w:pPr>
              <w:widowControl/>
              <w:spacing w:line="180" w:lineRule="exact"/>
              <w:rPr>
                <w:rFonts w:ascii="ＭＳ ゴシック" w:eastAsia="ＭＳ ゴシック" w:hAnsi="ＭＳ ゴシック" w:cs="ＭＳ Ｐゴシック"/>
                <w:kern w:val="0"/>
                <w:sz w:val="14"/>
                <w:szCs w:val="12"/>
              </w:rPr>
            </w:pPr>
            <w:r w:rsidRPr="00263B73">
              <w:rPr>
                <w:rFonts w:ascii="ＭＳ ゴシック" w:eastAsia="ＭＳ ゴシック" w:hAnsi="ＭＳ ゴシック" w:cs="ＭＳ Ｐゴシック" w:hint="eastAsia"/>
                <w:kern w:val="0"/>
                <w:sz w:val="14"/>
                <w:szCs w:val="12"/>
              </w:rPr>
              <w:t>家庭支援課</w:t>
            </w:r>
          </w:p>
        </w:tc>
      </w:tr>
      <w:tr w:rsidR="008A3EDE" w:rsidRPr="00263B73" w14:paraId="68119A5C" w14:textId="77777777" w:rsidTr="00831B7C">
        <w:trPr>
          <w:trHeight w:val="20"/>
        </w:trPr>
        <w:tc>
          <w:tcPr>
            <w:tcW w:w="1501" w:type="dxa"/>
            <w:vMerge/>
            <w:hideMark/>
          </w:tcPr>
          <w:p w14:paraId="23B7721C" w14:textId="77777777" w:rsidR="008A3EDE" w:rsidRPr="00263B73" w:rsidRDefault="008A3EDE" w:rsidP="00831B7C">
            <w:pPr>
              <w:spacing w:line="180" w:lineRule="exact"/>
              <w:jc w:val="left"/>
              <w:rPr>
                <w:rFonts w:ascii="ＭＳ ゴシック" w:eastAsia="ＭＳ ゴシック" w:hAnsi="ＭＳ ゴシック" w:cs="ＭＳ Ｐゴシック"/>
                <w:kern w:val="0"/>
                <w:sz w:val="14"/>
                <w:szCs w:val="12"/>
              </w:rPr>
            </w:pPr>
          </w:p>
        </w:tc>
        <w:tc>
          <w:tcPr>
            <w:tcW w:w="5631" w:type="dxa"/>
            <w:gridSpan w:val="2"/>
            <w:noWrap/>
            <w:vAlign w:val="center"/>
          </w:tcPr>
          <w:p w14:paraId="4FA15BA3" w14:textId="77777777" w:rsidR="008A3EDE" w:rsidRPr="00263B73" w:rsidRDefault="008A3EDE" w:rsidP="00831B7C">
            <w:pPr>
              <w:widowControl/>
              <w:spacing w:line="180" w:lineRule="exact"/>
              <w:jc w:val="left"/>
              <w:rPr>
                <w:rFonts w:ascii="ＭＳ ゴシック" w:eastAsia="ＭＳ ゴシック" w:hAnsi="ＭＳ ゴシック" w:cs="ＭＳ Ｐゴシック"/>
                <w:kern w:val="0"/>
                <w:sz w:val="14"/>
                <w:szCs w:val="12"/>
              </w:rPr>
            </w:pPr>
            <w:r w:rsidRPr="00263B73">
              <w:rPr>
                <w:rFonts w:ascii="ＭＳ ゴシック" w:eastAsia="ＭＳ ゴシック" w:hAnsi="ＭＳ ゴシック" w:cs="ＭＳ Ｐゴシック" w:hint="eastAsia"/>
                <w:kern w:val="0"/>
                <w:sz w:val="14"/>
                <w:szCs w:val="12"/>
              </w:rPr>
              <w:t>大阪府立修徳学院消防計画</w:t>
            </w:r>
          </w:p>
        </w:tc>
        <w:tc>
          <w:tcPr>
            <w:tcW w:w="850" w:type="dxa"/>
            <w:vMerge/>
            <w:noWrap/>
            <w:vAlign w:val="center"/>
          </w:tcPr>
          <w:p w14:paraId="7C455048" w14:textId="77777777" w:rsidR="008A3EDE" w:rsidRPr="00263B73" w:rsidRDefault="008A3EDE" w:rsidP="00831B7C">
            <w:pPr>
              <w:spacing w:line="180" w:lineRule="exact"/>
              <w:jc w:val="left"/>
              <w:rPr>
                <w:rFonts w:ascii="ＭＳ ゴシック" w:eastAsia="ＭＳ ゴシック" w:hAnsi="ＭＳ ゴシック" w:cs="ＭＳ Ｐゴシック"/>
                <w:kern w:val="0"/>
                <w:sz w:val="14"/>
                <w:szCs w:val="12"/>
              </w:rPr>
            </w:pPr>
          </w:p>
        </w:tc>
        <w:tc>
          <w:tcPr>
            <w:tcW w:w="1843" w:type="dxa"/>
            <w:noWrap/>
            <w:vAlign w:val="center"/>
          </w:tcPr>
          <w:p w14:paraId="0A25D2B8" w14:textId="77777777" w:rsidR="008A3EDE" w:rsidRPr="00263B73" w:rsidRDefault="008A3EDE" w:rsidP="00831B7C">
            <w:pPr>
              <w:widowControl/>
              <w:spacing w:line="180" w:lineRule="exact"/>
              <w:rPr>
                <w:rFonts w:ascii="ＭＳ ゴシック" w:eastAsia="ＭＳ ゴシック" w:hAnsi="ＭＳ ゴシック" w:cs="ＭＳ Ｐゴシック"/>
                <w:kern w:val="0"/>
                <w:sz w:val="14"/>
                <w:szCs w:val="12"/>
              </w:rPr>
            </w:pPr>
            <w:r w:rsidRPr="00263B73">
              <w:rPr>
                <w:rFonts w:ascii="ＭＳ ゴシック" w:eastAsia="ＭＳ ゴシック" w:hAnsi="ＭＳ ゴシック" w:cs="ＭＳ Ｐゴシック" w:hint="eastAsia"/>
                <w:kern w:val="0"/>
                <w:sz w:val="14"/>
                <w:szCs w:val="12"/>
              </w:rPr>
              <w:t>家庭支援課</w:t>
            </w:r>
          </w:p>
        </w:tc>
      </w:tr>
      <w:tr w:rsidR="008A3EDE" w:rsidRPr="00263B73" w14:paraId="6ADDE562" w14:textId="77777777" w:rsidTr="00831B7C">
        <w:trPr>
          <w:trHeight w:val="20"/>
        </w:trPr>
        <w:tc>
          <w:tcPr>
            <w:tcW w:w="1501" w:type="dxa"/>
            <w:vMerge/>
          </w:tcPr>
          <w:p w14:paraId="065B9A23" w14:textId="77777777" w:rsidR="008A3EDE" w:rsidRPr="00263B73" w:rsidRDefault="008A3EDE" w:rsidP="00831B7C">
            <w:pPr>
              <w:spacing w:line="180" w:lineRule="exact"/>
              <w:jc w:val="left"/>
              <w:rPr>
                <w:rFonts w:ascii="ＭＳ ゴシック" w:eastAsia="ＭＳ ゴシック" w:hAnsi="ＭＳ ゴシック" w:cs="ＭＳ Ｐゴシック"/>
                <w:kern w:val="0"/>
                <w:sz w:val="14"/>
                <w:szCs w:val="12"/>
              </w:rPr>
            </w:pPr>
          </w:p>
        </w:tc>
        <w:tc>
          <w:tcPr>
            <w:tcW w:w="5631" w:type="dxa"/>
            <w:gridSpan w:val="2"/>
            <w:noWrap/>
            <w:vAlign w:val="center"/>
          </w:tcPr>
          <w:p w14:paraId="0334D49C" w14:textId="77777777" w:rsidR="008A3EDE" w:rsidRPr="00263B73" w:rsidRDefault="008A3EDE" w:rsidP="00831B7C">
            <w:pPr>
              <w:widowControl/>
              <w:spacing w:line="180" w:lineRule="exact"/>
              <w:jc w:val="left"/>
              <w:rPr>
                <w:rFonts w:ascii="ＭＳ ゴシック" w:eastAsia="ＭＳ ゴシック" w:hAnsi="ＭＳ ゴシック" w:cs="ＭＳ Ｐゴシック"/>
                <w:kern w:val="0"/>
                <w:sz w:val="14"/>
                <w:szCs w:val="12"/>
              </w:rPr>
            </w:pPr>
            <w:r w:rsidRPr="00263B73">
              <w:rPr>
                <w:rFonts w:ascii="ＭＳ ゴシック" w:eastAsia="ＭＳ ゴシック" w:hAnsi="ＭＳ ゴシック" w:cs="ＭＳ Ｐゴシック" w:hint="eastAsia"/>
                <w:kern w:val="0"/>
                <w:sz w:val="14"/>
                <w:szCs w:val="12"/>
              </w:rPr>
              <w:t>大阪府立修徳学院危機管理対応マニュアル</w:t>
            </w:r>
          </w:p>
        </w:tc>
        <w:tc>
          <w:tcPr>
            <w:tcW w:w="850" w:type="dxa"/>
            <w:vMerge/>
            <w:noWrap/>
            <w:vAlign w:val="center"/>
          </w:tcPr>
          <w:p w14:paraId="1CCD1860" w14:textId="77777777" w:rsidR="008A3EDE" w:rsidRPr="00263B73" w:rsidRDefault="008A3EDE" w:rsidP="00831B7C">
            <w:pPr>
              <w:spacing w:line="180" w:lineRule="exact"/>
              <w:jc w:val="left"/>
              <w:rPr>
                <w:rFonts w:ascii="ＭＳ ゴシック" w:eastAsia="ＭＳ ゴシック" w:hAnsi="ＭＳ ゴシック" w:cs="ＭＳ Ｐゴシック"/>
                <w:kern w:val="0"/>
                <w:sz w:val="14"/>
                <w:szCs w:val="12"/>
              </w:rPr>
            </w:pPr>
          </w:p>
        </w:tc>
        <w:tc>
          <w:tcPr>
            <w:tcW w:w="1843" w:type="dxa"/>
            <w:noWrap/>
            <w:vAlign w:val="center"/>
          </w:tcPr>
          <w:p w14:paraId="032CDB18" w14:textId="77777777" w:rsidR="008A3EDE" w:rsidRPr="00263B73" w:rsidRDefault="008A3EDE" w:rsidP="00831B7C">
            <w:pPr>
              <w:widowControl/>
              <w:spacing w:line="180" w:lineRule="exact"/>
              <w:rPr>
                <w:rFonts w:ascii="ＭＳ ゴシック" w:eastAsia="ＭＳ ゴシック" w:hAnsi="ＭＳ ゴシック" w:cs="ＭＳ Ｐゴシック"/>
                <w:kern w:val="0"/>
                <w:sz w:val="14"/>
                <w:szCs w:val="12"/>
              </w:rPr>
            </w:pPr>
            <w:r w:rsidRPr="00263B73">
              <w:rPr>
                <w:rFonts w:ascii="ＭＳ ゴシック" w:eastAsia="ＭＳ ゴシック" w:hAnsi="ＭＳ ゴシック" w:cs="ＭＳ Ｐゴシック" w:hint="eastAsia"/>
                <w:kern w:val="0"/>
                <w:sz w:val="14"/>
                <w:szCs w:val="12"/>
              </w:rPr>
              <w:t>家庭支援課</w:t>
            </w:r>
          </w:p>
        </w:tc>
      </w:tr>
      <w:tr w:rsidR="008A3EDE" w:rsidRPr="00263B73" w14:paraId="55D8A405" w14:textId="77777777" w:rsidTr="00831B7C">
        <w:trPr>
          <w:trHeight w:val="20"/>
        </w:trPr>
        <w:tc>
          <w:tcPr>
            <w:tcW w:w="1501" w:type="dxa"/>
            <w:vMerge/>
            <w:hideMark/>
          </w:tcPr>
          <w:p w14:paraId="5DB5CD40" w14:textId="77777777" w:rsidR="008A3EDE" w:rsidRPr="00263B73" w:rsidRDefault="008A3EDE" w:rsidP="00831B7C">
            <w:pPr>
              <w:widowControl/>
              <w:spacing w:line="180" w:lineRule="exact"/>
              <w:jc w:val="left"/>
              <w:rPr>
                <w:rFonts w:ascii="ＭＳ ゴシック" w:eastAsia="ＭＳ ゴシック" w:hAnsi="ＭＳ ゴシック" w:cs="ＭＳ Ｐゴシック"/>
                <w:kern w:val="0"/>
                <w:sz w:val="14"/>
                <w:szCs w:val="12"/>
              </w:rPr>
            </w:pPr>
          </w:p>
        </w:tc>
        <w:tc>
          <w:tcPr>
            <w:tcW w:w="5631" w:type="dxa"/>
            <w:gridSpan w:val="2"/>
            <w:vAlign w:val="center"/>
          </w:tcPr>
          <w:p w14:paraId="228FE958" w14:textId="77777777" w:rsidR="008A3EDE" w:rsidRPr="00263B73" w:rsidRDefault="008A3EDE" w:rsidP="00831B7C">
            <w:pPr>
              <w:widowControl/>
              <w:spacing w:line="180" w:lineRule="exact"/>
              <w:jc w:val="left"/>
              <w:rPr>
                <w:rFonts w:ascii="ＭＳ ゴシック" w:eastAsia="ＭＳ ゴシック" w:hAnsi="ＭＳ ゴシック" w:cs="ＭＳ Ｐゴシック"/>
                <w:kern w:val="0"/>
                <w:sz w:val="14"/>
                <w:szCs w:val="12"/>
              </w:rPr>
            </w:pPr>
            <w:r w:rsidRPr="00263B73">
              <w:rPr>
                <w:rFonts w:ascii="ＭＳ ゴシック" w:eastAsia="ＭＳ ゴシック" w:hAnsi="ＭＳ ゴシック" w:cs="ＭＳ Ｐゴシック" w:hint="eastAsia"/>
                <w:kern w:val="0"/>
                <w:sz w:val="14"/>
                <w:szCs w:val="12"/>
              </w:rPr>
              <w:t>大阪府立子どもライフサポートセンター医療対応マニュアル</w:t>
            </w:r>
          </w:p>
        </w:tc>
        <w:tc>
          <w:tcPr>
            <w:tcW w:w="850" w:type="dxa"/>
            <w:vMerge/>
            <w:noWrap/>
            <w:vAlign w:val="center"/>
          </w:tcPr>
          <w:p w14:paraId="05F78753" w14:textId="77777777" w:rsidR="008A3EDE" w:rsidRPr="00263B73" w:rsidRDefault="008A3EDE" w:rsidP="00831B7C">
            <w:pPr>
              <w:spacing w:line="180" w:lineRule="exact"/>
              <w:jc w:val="left"/>
              <w:rPr>
                <w:rFonts w:ascii="ＭＳ ゴシック" w:eastAsia="ＭＳ ゴシック" w:hAnsi="ＭＳ ゴシック" w:cs="ＭＳ Ｐゴシック"/>
                <w:kern w:val="0"/>
                <w:sz w:val="14"/>
                <w:szCs w:val="12"/>
              </w:rPr>
            </w:pPr>
          </w:p>
        </w:tc>
        <w:tc>
          <w:tcPr>
            <w:tcW w:w="1843" w:type="dxa"/>
            <w:noWrap/>
            <w:vAlign w:val="center"/>
          </w:tcPr>
          <w:p w14:paraId="040F3108" w14:textId="77777777" w:rsidR="008A3EDE" w:rsidRPr="00263B73" w:rsidRDefault="008A3EDE" w:rsidP="00831B7C">
            <w:pPr>
              <w:widowControl/>
              <w:spacing w:line="180" w:lineRule="exact"/>
              <w:rPr>
                <w:rFonts w:ascii="ＭＳ ゴシック" w:eastAsia="ＭＳ ゴシック" w:hAnsi="ＭＳ ゴシック" w:cs="ＭＳ Ｐゴシック"/>
                <w:kern w:val="0"/>
                <w:sz w:val="14"/>
                <w:szCs w:val="12"/>
              </w:rPr>
            </w:pPr>
            <w:r w:rsidRPr="00263B73">
              <w:rPr>
                <w:rFonts w:ascii="ＭＳ ゴシック" w:eastAsia="ＭＳ ゴシック" w:hAnsi="ＭＳ ゴシック" w:cs="ＭＳ Ｐゴシック" w:hint="eastAsia"/>
                <w:kern w:val="0"/>
                <w:sz w:val="14"/>
                <w:szCs w:val="12"/>
              </w:rPr>
              <w:t>家庭支援課</w:t>
            </w:r>
          </w:p>
        </w:tc>
      </w:tr>
      <w:tr w:rsidR="008A3EDE" w:rsidRPr="00263B73" w14:paraId="4F6E6AE9" w14:textId="77777777" w:rsidTr="00831B7C">
        <w:trPr>
          <w:trHeight w:val="20"/>
        </w:trPr>
        <w:tc>
          <w:tcPr>
            <w:tcW w:w="1501" w:type="dxa"/>
            <w:vMerge/>
            <w:vAlign w:val="center"/>
          </w:tcPr>
          <w:p w14:paraId="731942C8" w14:textId="77777777" w:rsidR="008A3EDE" w:rsidRPr="00263B73" w:rsidRDefault="008A3EDE" w:rsidP="00831B7C">
            <w:pPr>
              <w:widowControl/>
              <w:spacing w:line="180" w:lineRule="exact"/>
              <w:jc w:val="left"/>
              <w:rPr>
                <w:rFonts w:ascii="ＭＳ ゴシック" w:eastAsia="ＭＳ ゴシック" w:hAnsi="ＭＳ ゴシック" w:cs="ＭＳ Ｐゴシック"/>
                <w:kern w:val="0"/>
                <w:sz w:val="14"/>
                <w:szCs w:val="12"/>
              </w:rPr>
            </w:pPr>
          </w:p>
        </w:tc>
        <w:tc>
          <w:tcPr>
            <w:tcW w:w="5631" w:type="dxa"/>
            <w:gridSpan w:val="2"/>
            <w:noWrap/>
            <w:vAlign w:val="center"/>
          </w:tcPr>
          <w:p w14:paraId="2B23F33C" w14:textId="77777777" w:rsidR="008A3EDE" w:rsidRPr="00263B73" w:rsidRDefault="008A3EDE" w:rsidP="00831B7C">
            <w:pPr>
              <w:widowControl/>
              <w:spacing w:line="180" w:lineRule="exact"/>
              <w:jc w:val="left"/>
              <w:rPr>
                <w:rFonts w:ascii="ＭＳ ゴシック" w:eastAsia="ＭＳ ゴシック" w:hAnsi="ＭＳ ゴシック" w:cs="ＭＳ Ｐゴシック"/>
                <w:kern w:val="0"/>
                <w:sz w:val="14"/>
                <w:szCs w:val="12"/>
              </w:rPr>
            </w:pPr>
            <w:r w:rsidRPr="00263B73">
              <w:rPr>
                <w:rFonts w:ascii="ＭＳ ゴシック" w:eastAsia="ＭＳ ゴシック" w:hAnsi="ＭＳ ゴシック" w:cs="ＭＳ Ｐゴシック" w:hint="eastAsia"/>
                <w:kern w:val="0"/>
                <w:sz w:val="14"/>
                <w:szCs w:val="12"/>
              </w:rPr>
              <w:t>大阪府立子どもライフサポートセンター 大阪府中央子ども家庭センター保護課 消防計画</w:t>
            </w:r>
          </w:p>
        </w:tc>
        <w:tc>
          <w:tcPr>
            <w:tcW w:w="850" w:type="dxa"/>
            <w:vMerge/>
            <w:noWrap/>
            <w:vAlign w:val="center"/>
          </w:tcPr>
          <w:p w14:paraId="1D3712F3" w14:textId="77777777" w:rsidR="008A3EDE" w:rsidRPr="00263B73" w:rsidRDefault="008A3EDE" w:rsidP="00831B7C">
            <w:pPr>
              <w:spacing w:line="180" w:lineRule="exact"/>
              <w:jc w:val="left"/>
              <w:rPr>
                <w:rFonts w:ascii="ＭＳ ゴシック" w:eastAsia="ＭＳ ゴシック" w:hAnsi="ＭＳ ゴシック" w:cs="ＭＳ Ｐゴシック"/>
                <w:kern w:val="0"/>
                <w:sz w:val="14"/>
                <w:szCs w:val="12"/>
              </w:rPr>
            </w:pPr>
          </w:p>
        </w:tc>
        <w:tc>
          <w:tcPr>
            <w:tcW w:w="1843" w:type="dxa"/>
            <w:noWrap/>
            <w:vAlign w:val="center"/>
          </w:tcPr>
          <w:p w14:paraId="64DEB90F" w14:textId="77777777" w:rsidR="008A3EDE" w:rsidRPr="00263B73" w:rsidRDefault="008A3EDE" w:rsidP="00831B7C">
            <w:pPr>
              <w:widowControl/>
              <w:spacing w:line="180" w:lineRule="exact"/>
              <w:rPr>
                <w:rFonts w:ascii="ＭＳ ゴシック" w:eastAsia="ＭＳ ゴシック" w:hAnsi="ＭＳ ゴシック" w:cs="ＭＳ Ｐゴシック"/>
                <w:kern w:val="0"/>
                <w:sz w:val="14"/>
                <w:szCs w:val="12"/>
              </w:rPr>
            </w:pPr>
            <w:r w:rsidRPr="00263B73">
              <w:rPr>
                <w:rFonts w:ascii="ＭＳ ゴシック" w:eastAsia="ＭＳ ゴシック" w:hAnsi="ＭＳ ゴシック" w:cs="ＭＳ Ｐゴシック" w:hint="eastAsia"/>
                <w:kern w:val="0"/>
                <w:sz w:val="14"/>
                <w:szCs w:val="12"/>
              </w:rPr>
              <w:t>家庭支援課</w:t>
            </w:r>
          </w:p>
        </w:tc>
      </w:tr>
      <w:tr w:rsidR="008A3EDE" w:rsidRPr="00263B73" w14:paraId="70DC9DD8" w14:textId="77777777" w:rsidTr="00831B7C">
        <w:trPr>
          <w:trHeight w:val="20"/>
        </w:trPr>
        <w:tc>
          <w:tcPr>
            <w:tcW w:w="1501" w:type="dxa"/>
            <w:vMerge/>
            <w:vAlign w:val="center"/>
          </w:tcPr>
          <w:p w14:paraId="5A084D27" w14:textId="77777777" w:rsidR="008A3EDE" w:rsidRPr="00263B73" w:rsidRDefault="008A3EDE" w:rsidP="00831B7C">
            <w:pPr>
              <w:widowControl/>
              <w:spacing w:line="180" w:lineRule="exact"/>
              <w:jc w:val="left"/>
              <w:rPr>
                <w:rFonts w:ascii="ＭＳ ゴシック" w:eastAsia="ＭＳ ゴシック" w:hAnsi="ＭＳ ゴシック" w:cs="ＭＳ Ｐゴシック"/>
                <w:kern w:val="0"/>
                <w:sz w:val="14"/>
                <w:szCs w:val="12"/>
              </w:rPr>
            </w:pPr>
          </w:p>
        </w:tc>
        <w:tc>
          <w:tcPr>
            <w:tcW w:w="5631" w:type="dxa"/>
            <w:gridSpan w:val="2"/>
            <w:noWrap/>
            <w:vAlign w:val="center"/>
          </w:tcPr>
          <w:p w14:paraId="0B84A936" w14:textId="77777777" w:rsidR="008A3EDE" w:rsidRPr="00263B73" w:rsidRDefault="008A3EDE" w:rsidP="00831B7C">
            <w:pPr>
              <w:widowControl/>
              <w:spacing w:line="180" w:lineRule="exact"/>
              <w:jc w:val="left"/>
              <w:rPr>
                <w:rFonts w:ascii="ＭＳ ゴシック" w:eastAsia="ＭＳ ゴシック" w:hAnsi="ＭＳ ゴシック" w:cs="ＭＳ Ｐゴシック"/>
                <w:kern w:val="0"/>
                <w:sz w:val="14"/>
                <w:szCs w:val="12"/>
              </w:rPr>
            </w:pPr>
            <w:r w:rsidRPr="00263B73">
              <w:rPr>
                <w:rFonts w:ascii="ＭＳ ゴシック" w:eastAsia="ＭＳ ゴシック" w:hAnsi="ＭＳ ゴシック" w:cs="ＭＳ Ｐゴシック" w:hint="eastAsia"/>
                <w:kern w:val="0"/>
                <w:sz w:val="14"/>
                <w:szCs w:val="12"/>
              </w:rPr>
              <w:t xml:space="preserve">大阪府立子どもライフサポートセンター緊急時対応マニュアル </w:t>
            </w:r>
          </w:p>
        </w:tc>
        <w:tc>
          <w:tcPr>
            <w:tcW w:w="850" w:type="dxa"/>
            <w:vMerge/>
            <w:noWrap/>
            <w:vAlign w:val="center"/>
          </w:tcPr>
          <w:p w14:paraId="7B5C4080" w14:textId="77777777" w:rsidR="008A3EDE" w:rsidRPr="00263B73" w:rsidRDefault="008A3EDE" w:rsidP="00831B7C">
            <w:pPr>
              <w:widowControl/>
              <w:spacing w:line="180" w:lineRule="exact"/>
              <w:jc w:val="left"/>
              <w:rPr>
                <w:rFonts w:ascii="ＭＳ ゴシック" w:eastAsia="ＭＳ ゴシック" w:hAnsi="ＭＳ ゴシック" w:cs="ＭＳ Ｐゴシック"/>
                <w:kern w:val="0"/>
                <w:sz w:val="14"/>
                <w:szCs w:val="12"/>
              </w:rPr>
            </w:pPr>
          </w:p>
        </w:tc>
        <w:tc>
          <w:tcPr>
            <w:tcW w:w="1843" w:type="dxa"/>
            <w:noWrap/>
            <w:vAlign w:val="center"/>
          </w:tcPr>
          <w:p w14:paraId="1D235E12" w14:textId="77777777" w:rsidR="008A3EDE" w:rsidRPr="00263B73" w:rsidRDefault="008A3EDE" w:rsidP="00831B7C">
            <w:pPr>
              <w:widowControl/>
              <w:spacing w:line="180" w:lineRule="exact"/>
              <w:rPr>
                <w:rFonts w:ascii="ＭＳ ゴシック" w:eastAsia="ＭＳ ゴシック" w:hAnsi="ＭＳ ゴシック" w:cs="ＭＳ Ｐゴシック"/>
                <w:kern w:val="0"/>
                <w:sz w:val="14"/>
                <w:szCs w:val="12"/>
              </w:rPr>
            </w:pPr>
            <w:r w:rsidRPr="00263B73">
              <w:rPr>
                <w:rFonts w:ascii="ＭＳ ゴシック" w:eastAsia="ＭＳ ゴシック" w:hAnsi="ＭＳ ゴシック" w:cs="ＭＳ Ｐゴシック" w:hint="eastAsia"/>
                <w:kern w:val="0"/>
                <w:sz w:val="14"/>
                <w:szCs w:val="12"/>
              </w:rPr>
              <w:t>家庭支援課</w:t>
            </w:r>
          </w:p>
        </w:tc>
      </w:tr>
      <w:tr w:rsidR="008A3EDE" w:rsidRPr="00263B73" w14:paraId="4E26B871" w14:textId="77777777" w:rsidTr="00831B7C">
        <w:trPr>
          <w:trHeight w:val="20"/>
        </w:trPr>
        <w:tc>
          <w:tcPr>
            <w:tcW w:w="1501" w:type="dxa"/>
            <w:vMerge/>
            <w:vAlign w:val="center"/>
          </w:tcPr>
          <w:p w14:paraId="5AA06858" w14:textId="77777777" w:rsidR="008A3EDE" w:rsidRPr="00263B73" w:rsidRDefault="008A3EDE" w:rsidP="00831B7C">
            <w:pPr>
              <w:widowControl/>
              <w:spacing w:line="180" w:lineRule="exact"/>
              <w:jc w:val="left"/>
              <w:rPr>
                <w:rFonts w:ascii="ＭＳ ゴシック" w:eastAsia="ＭＳ ゴシック" w:hAnsi="ＭＳ ゴシック" w:cs="ＭＳ Ｐゴシック"/>
                <w:kern w:val="0"/>
                <w:sz w:val="14"/>
                <w:szCs w:val="12"/>
              </w:rPr>
            </w:pPr>
          </w:p>
        </w:tc>
        <w:tc>
          <w:tcPr>
            <w:tcW w:w="5631" w:type="dxa"/>
            <w:gridSpan w:val="2"/>
            <w:noWrap/>
            <w:vAlign w:val="center"/>
          </w:tcPr>
          <w:p w14:paraId="56CFE1FE" w14:textId="77777777" w:rsidR="008A3EDE" w:rsidRPr="00263B73" w:rsidRDefault="008A3EDE" w:rsidP="00831B7C">
            <w:pPr>
              <w:widowControl/>
              <w:spacing w:line="180" w:lineRule="exact"/>
              <w:jc w:val="left"/>
              <w:rPr>
                <w:rFonts w:ascii="ＭＳ ゴシック" w:eastAsia="ＭＳ ゴシック" w:hAnsi="ＭＳ ゴシック" w:cs="ＭＳ Ｐゴシック"/>
                <w:kern w:val="0"/>
                <w:sz w:val="14"/>
                <w:szCs w:val="12"/>
              </w:rPr>
            </w:pPr>
            <w:r w:rsidRPr="00263B73">
              <w:rPr>
                <w:rFonts w:ascii="ＭＳ ゴシック" w:eastAsia="ＭＳ ゴシック" w:hAnsi="ＭＳ ゴシック" w:cs="ＭＳ Ｐゴシック" w:hint="eastAsia"/>
                <w:kern w:val="0"/>
                <w:sz w:val="14"/>
                <w:szCs w:val="12"/>
              </w:rPr>
              <w:t>大阪府女性相談センター危機対応マニュアル</w:t>
            </w:r>
          </w:p>
        </w:tc>
        <w:tc>
          <w:tcPr>
            <w:tcW w:w="850" w:type="dxa"/>
            <w:vMerge/>
            <w:noWrap/>
            <w:vAlign w:val="center"/>
          </w:tcPr>
          <w:p w14:paraId="001DA7F1" w14:textId="77777777" w:rsidR="008A3EDE" w:rsidRPr="00263B73" w:rsidRDefault="008A3EDE" w:rsidP="00831B7C">
            <w:pPr>
              <w:widowControl/>
              <w:spacing w:line="180" w:lineRule="exact"/>
              <w:jc w:val="left"/>
              <w:rPr>
                <w:rFonts w:ascii="ＭＳ ゴシック" w:eastAsia="ＭＳ ゴシック" w:hAnsi="ＭＳ ゴシック" w:cs="ＭＳ Ｐゴシック"/>
                <w:kern w:val="0"/>
                <w:sz w:val="14"/>
                <w:szCs w:val="12"/>
              </w:rPr>
            </w:pPr>
          </w:p>
        </w:tc>
        <w:tc>
          <w:tcPr>
            <w:tcW w:w="1843" w:type="dxa"/>
            <w:noWrap/>
            <w:vAlign w:val="center"/>
          </w:tcPr>
          <w:p w14:paraId="0CC073CA" w14:textId="77777777" w:rsidR="008A3EDE" w:rsidRPr="00263B73" w:rsidRDefault="008A3EDE" w:rsidP="00831B7C">
            <w:pPr>
              <w:widowControl/>
              <w:spacing w:line="180" w:lineRule="exact"/>
              <w:rPr>
                <w:rFonts w:ascii="ＭＳ ゴシック" w:eastAsia="ＭＳ ゴシック" w:hAnsi="ＭＳ ゴシック" w:cs="ＭＳ Ｐゴシック"/>
                <w:kern w:val="0"/>
                <w:sz w:val="14"/>
                <w:szCs w:val="12"/>
              </w:rPr>
            </w:pPr>
            <w:r w:rsidRPr="00263B73">
              <w:rPr>
                <w:rFonts w:ascii="ＭＳ ゴシック" w:eastAsia="ＭＳ ゴシック" w:hAnsi="ＭＳ ゴシック" w:cs="ＭＳ Ｐゴシック" w:hint="eastAsia"/>
                <w:kern w:val="0"/>
                <w:sz w:val="14"/>
                <w:szCs w:val="12"/>
              </w:rPr>
              <w:t>家庭支援課</w:t>
            </w:r>
          </w:p>
        </w:tc>
      </w:tr>
      <w:tr w:rsidR="008A3EDE" w:rsidRPr="00263B73" w14:paraId="2EED4A6D" w14:textId="77777777" w:rsidTr="00831B7C">
        <w:trPr>
          <w:trHeight w:val="20"/>
        </w:trPr>
        <w:tc>
          <w:tcPr>
            <w:tcW w:w="1501" w:type="dxa"/>
            <w:vMerge/>
            <w:vAlign w:val="center"/>
          </w:tcPr>
          <w:p w14:paraId="3E7EA7C6" w14:textId="77777777" w:rsidR="008A3EDE" w:rsidRPr="00263B73" w:rsidRDefault="008A3EDE" w:rsidP="00831B7C">
            <w:pPr>
              <w:widowControl/>
              <w:spacing w:line="180" w:lineRule="exact"/>
              <w:jc w:val="left"/>
              <w:rPr>
                <w:rFonts w:ascii="ＭＳ ゴシック" w:eastAsia="ＭＳ ゴシック" w:hAnsi="ＭＳ ゴシック" w:cs="ＭＳ Ｐゴシック"/>
                <w:kern w:val="0"/>
                <w:sz w:val="14"/>
                <w:szCs w:val="12"/>
              </w:rPr>
            </w:pPr>
          </w:p>
        </w:tc>
        <w:tc>
          <w:tcPr>
            <w:tcW w:w="5631" w:type="dxa"/>
            <w:gridSpan w:val="2"/>
            <w:noWrap/>
            <w:vAlign w:val="center"/>
          </w:tcPr>
          <w:p w14:paraId="1BF73498" w14:textId="77777777" w:rsidR="008A3EDE" w:rsidRPr="00263B73" w:rsidRDefault="008A3EDE" w:rsidP="00831B7C">
            <w:pPr>
              <w:widowControl/>
              <w:spacing w:line="180" w:lineRule="exact"/>
              <w:jc w:val="left"/>
              <w:rPr>
                <w:rFonts w:ascii="ＭＳ ゴシック" w:eastAsia="ＭＳ ゴシック" w:hAnsi="ＭＳ ゴシック" w:cs="ＭＳ Ｐゴシック"/>
                <w:kern w:val="0"/>
                <w:sz w:val="14"/>
                <w:szCs w:val="12"/>
              </w:rPr>
            </w:pPr>
            <w:r w:rsidRPr="00263B73">
              <w:rPr>
                <w:rFonts w:ascii="ＭＳ ゴシック" w:eastAsia="ＭＳ ゴシック" w:hAnsi="ＭＳ ゴシック" w:cs="ＭＳ Ｐゴシック" w:hint="eastAsia"/>
                <w:kern w:val="0"/>
                <w:sz w:val="14"/>
                <w:szCs w:val="12"/>
              </w:rPr>
              <w:t>大阪府女性相談センター消防計画</w:t>
            </w:r>
          </w:p>
          <w:p w14:paraId="75A960A4" w14:textId="77777777" w:rsidR="008A3EDE" w:rsidRPr="00263B73" w:rsidRDefault="008A3EDE" w:rsidP="00831B7C">
            <w:pPr>
              <w:widowControl/>
              <w:spacing w:line="180" w:lineRule="exact"/>
              <w:jc w:val="left"/>
              <w:rPr>
                <w:rFonts w:ascii="ＭＳ ゴシック" w:eastAsia="ＭＳ ゴシック" w:hAnsi="ＭＳ ゴシック" w:cs="ＭＳ Ｐゴシック"/>
                <w:kern w:val="0"/>
                <w:sz w:val="14"/>
                <w:szCs w:val="12"/>
              </w:rPr>
            </w:pPr>
          </w:p>
        </w:tc>
        <w:tc>
          <w:tcPr>
            <w:tcW w:w="850" w:type="dxa"/>
            <w:vMerge/>
            <w:noWrap/>
            <w:vAlign w:val="center"/>
          </w:tcPr>
          <w:p w14:paraId="7DED60F8" w14:textId="77777777" w:rsidR="008A3EDE" w:rsidRPr="00263B73" w:rsidRDefault="008A3EDE" w:rsidP="00831B7C">
            <w:pPr>
              <w:widowControl/>
              <w:spacing w:line="180" w:lineRule="exact"/>
              <w:jc w:val="left"/>
              <w:rPr>
                <w:rFonts w:ascii="ＭＳ ゴシック" w:eastAsia="ＭＳ ゴシック" w:hAnsi="ＭＳ ゴシック" w:cs="ＭＳ Ｐゴシック"/>
                <w:kern w:val="0"/>
                <w:sz w:val="14"/>
                <w:szCs w:val="12"/>
              </w:rPr>
            </w:pPr>
          </w:p>
        </w:tc>
        <w:tc>
          <w:tcPr>
            <w:tcW w:w="1843" w:type="dxa"/>
            <w:noWrap/>
            <w:vAlign w:val="center"/>
          </w:tcPr>
          <w:p w14:paraId="16AE11CB" w14:textId="77777777" w:rsidR="008A3EDE" w:rsidRPr="00263B73" w:rsidRDefault="008A3EDE" w:rsidP="00831B7C">
            <w:pPr>
              <w:widowControl/>
              <w:spacing w:line="180" w:lineRule="exact"/>
              <w:rPr>
                <w:rFonts w:ascii="ＭＳ ゴシック" w:eastAsia="ＭＳ ゴシック" w:hAnsi="ＭＳ ゴシック" w:cs="ＭＳ Ｐゴシック"/>
                <w:kern w:val="0"/>
                <w:sz w:val="14"/>
                <w:szCs w:val="12"/>
              </w:rPr>
            </w:pPr>
            <w:r w:rsidRPr="00263B73">
              <w:rPr>
                <w:rFonts w:ascii="ＭＳ ゴシック" w:eastAsia="ＭＳ ゴシック" w:hAnsi="ＭＳ ゴシック" w:cs="ＭＳ Ｐゴシック" w:hint="eastAsia"/>
                <w:kern w:val="0"/>
                <w:sz w:val="14"/>
                <w:szCs w:val="12"/>
              </w:rPr>
              <w:t>家庭支援課</w:t>
            </w:r>
          </w:p>
        </w:tc>
      </w:tr>
      <w:tr w:rsidR="008A3EDE" w:rsidRPr="00263B73" w14:paraId="112D1C06" w14:textId="77777777" w:rsidTr="00831B7C">
        <w:trPr>
          <w:trHeight w:val="180"/>
        </w:trPr>
        <w:tc>
          <w:tcPr>
            <w:tcW w:w="1501" w:type="dxa"/>
            <w:vMerge w:val="restart"/>
          </w:tcPr>
          <w:p w14:paraId="604CFB7B" w14:textId="77777777" w:rsidR="008A3EDE" w:rsidRPr="00263B73" w:rsidRDefault="008A3EDE" w:rsidP="00831B7C">
            <w:pPr>
              <w:widowControl/>
              <w:spacing w:line="180" w:lineRule="exact"/>
              <w:rPr>
                <w:rFonts w:ascii="ＭＳ ゴシック" w:eastAsia="ＭＳ ゴシック" w:hAnsi="ＭＳ ゴシック" w:cs="ＭＳ Ｐゴシック"/>
                <w:kern w:val="0"/>
                <w:sz w:val="14"/>
                <w:szCs w:val="12"/>
              </w:rPr>
            </w:pPr>
            <w:r w:rsidRPr="00263B73">
              <w:rPr>
                <w:rFonts w:ascii="ＭＳ ゴシック" w:eastAsia="ＭＳ ゴシック" w:hAnsi="ＭＳ ゴシック" w:cs="ＭＳ Ｐゴシック" w:hint="eastAsia"/>
                <w:kern w:val="0"/>
                <w:sz w:val="14"/>
                <w:szCs w:val="12"/>
              </w:rPr>
              <w:t>一定期間、避難所の設置を継続するような災害の規模</w:t>
            </w:r>
          </w:p>
        </w:tc>
        <w:tc>
          <w:tcPr>
            <w:tcW w:w="5631" w:type="dxa"/>
            <w:gridSpan w:val="2"/>
            <w:noWrap/>
            <w:vAlign w:val="center"/>
          </w:tcPr>
          <w:p w14:paraId="04588D41" w14:textId="77777777" w:rsidR="008A3EDE" w:rsidRPr="00263B73" w:rsidRDefault="008A3EDE" w:rsidP="00831B7C">
            <w:pPr>
              <w:widowControl/>
              <w:spacing w:line="180" w:lineRule="exact"/>
              <w:jc w:val="left"/>
              <w:rPr>
                <w:rFonts w:ascii="ＭＳ ゴシック" w:eastAsia="ＭＳ ゴシック" w:hAnsi="ＭＳ ゴシック" w:cs="ＭＳ Ｐゴシック"/>
                <w:kern w:val="0"/>
                <w:sz w:val="14"/>
                <w:szCs w:val="12"/>
              </w:rPr>
            </w:pPr>
            <w:r w:rsidRPr="00263B73">
              <w:rPr>
                <w:rFonts w:ascii="ＭＳ ゴシック" w:eastAsia="ＭＳ ゴシック" w:hAnsi="ＭＳ ゴシック" w:cs="ＭＳ Ｐゴシック" w:hint="eastAsia"/>
                <w:kern w:val="0"/>
                <w:sz w:val="14"/>
                <w:szCs w:val="12"/>
              </w:rPr>
              <w:t>大阪府災害派遣福祉チーム（大阪D</w:t>
            </w:r>
            <w:r w:rsidRPr="00263B73">
              <w:rPr>
                <w:rFonts w:ascii="ＭＳ ゴシック" w:eastAsia="ＭＳ ゴシック" w:hAnsi="ＭＳ ゴシック" w:cs="ＭＳ Ｐゴシック"/>
                <w:kern w:val="0"/>
                <w:sz w:val="14"/>
                <w:szCs w:val="12"/>
              </w:rPr>
              <w:t>WAT</w:t>
            </w:r>
            <w:r w:rsidRPr="00263B73">
              <w:rPr>
                <w:rFonts w:ascii="ＭＳ ゴシック" w:eastAsia="ＭＳ ゴシック" w:hAnsi="ＭＳ ゴシック" w:cs="ＭＳ Ｐゴシック" w:hint="eastAsia"/>
                <w:kern w:val="0"/>
                <w:sz w:val="14"/>
                <w:szCs w:val="12"/>
              </w:rPr>
              <w:t>）活動マニュアル</w:t>
            </w:r>
          </w:p>
        </w:tc>
        <w:tc>
          <w:tcPr>
            <w:tcW w:w="850" w:type="dxa"/>
            <w:vMerge w:val="restart"/>
            <w:noWrap/>
            <w:vAlign w:val="center"/>
          </w:tcPr>
          <w:p w14:paraId="542FBBD9" w14:textId="77777777" w:rsidR="008A3EDE" w:rsidRPr="00263B73" w:rsidRDefault="008A3EDE" w:rsidP="00831B7C">
            <w:pPr>
              <w:widowControl/>
              <w:spacing w:line="180" w:lineRule="exact"/>
              <w:jc w:val="left"/>
              <w:rPr>
                <w:rFonts w:ascii="ＭＳ ゴシック" w:eastAsia="ＭＳ ゴシック" w:hAnsi="ＭＳ ゴシック" w:cs="ＭＳ Ｐゴシック"/>
                <w:kern w:val="0"/>
                <w:sz w:val="14"/>
                <w:szCs w:val="12"/>
              </w:rPr>
            </w:pPr>
            <w:r w:rsidRPr="00263B73">
              <w:rPr>
                <w:rFonts w:ascii="ＭＳ ゴシック" w:eastAsia="ＭＳ ゴシック" w:hAnsi="ＭＳ ゴシック" w:cs="ＭＳ Ｐゴシック" w:hint="eastAsia"/>
                <w:kern w:val="0"/>
                <w:sz w:val="14"/>
                <w:szCs w:val="12"/>
              </w:rPr>
              <w:t>福祉部</w:t>
            </w:r>
          </w:p>
        </w:tc>
        <w:tc>
          <w:tcPr>
            <w:tcW w:w="1843" w:type="dxa"/>
            <w:noWrap/>
            <w:vAlign w:val="center"/>
          </w:tcPr>
          <w:p w14:paraId="46464761" w14:textId="77777777" w:rsidR="008A3EDE" w:rsidRPr="00263B73" w:rsidRDefault="008A3EDE" w:rsidP="00831B7C">
            <w:pPr>
              <w:widowControl/>
              <w:spacing w:line="180" w:lineRule="exact"/>
              <w:rPr>
                <w:rFonts w:ascii="ＭＳ ゴシック" w:eastAsia="ＭＳ ゴシック" w:hAnsi="ＭＳ ゴシック" w:cs="ＭＳ Ｐゴシック"/>
                <w:kern w:val="0"/>
                <w:sz w:val="14"/>
                <w:szCs w:val="12"/>
              </w:rPr>
            </w:pPr>
            <w:r w:rsidRPr="00263B73">
              <w:rPr>
                <w:rFonts w:ascii="ＭＳ ゴシック" w:eastAsia="ＭＳ ゴシック" w:hAnsi="ＭＳ ゴシック" w:cs="ＭＳ Ｐゴシック" w:hint="eastAsia"/>
                <w:kern w:val="0"/>
                <w:sz w:val="14"/>
                <w:szCs w:val="12"/>
              </w:rPr>
              <w:t>地域福祉課</w:t>
            </w:r>
          </w:p>
        </w:tc>
      </w:tr>
      <w:tr w:rsidR="008A3EDE" w:rsidRPr="00263B73" w14:paraId="2F595112" w14:textId="77777777" w:rsidTr="00831B7C">
        <w:trPr>
          <w:trHeight w:val="20"/>
        </w:trPr>
        <w:tc>
          <w:tcPr>
            <w:tcW w:w="1501" w:type="dxa"/>
            <w:vMerge/>
          </w:tcPr>
          <w:p w14:paraId="0A98C61C" w14:textId="77777777" w:rsidR="008A3EDE" w:rsidRPr="00263B73" w:rsidRDefault="008A3EDE" w:rsidP="00831B7C">
            <w:pPr>
              <w:widowControl/>
              <w:spacing w:line="180" w:lineRule="exact"/>
              <w:rPr>
                <w:rFonts w:ascii="ＭＳ ゴシック" w:eastAsia="ＭＳ ゴシック" w:hAnsi="ＭＳ ゴシック" w:cs="ＭＳ Ｐゴシック"/>
                <w:kern w:val="0"/>
                <w:sz w:val="14"/>
                <w:szCs w:val="12"/>
              </w:rPr>
            </w:pPr>
          </w:p>
        </w:tc>
        <w:tc>
          <w:tcPr>
            <w:tcW w:w="5631" w:type="dxa"/>
            <w:gridSpan w:val="2"/>
            <w:noWrap/>
            <w:vAlign w:val="center"/>
          </w:tcPr>
          <w:p w14:paraId="21F4CEEE" w14:textId="77777777" w:rsidR="008A3EDE" w:rsidRPr="00263B73" w:rsidRDefault="008A3EDE" w:rsidP="00831B7C">
            <w:pPr>
              <w:widowControl/>
              <w:spacing w:line="180" w:lineRule="exact"/>
              <w:jc w:val="left"/>
              <w:rPr>
                <w:rFonts w:ascii="ＭＳ ゴシック" w:eastAsia="ＭＳ ゴシック" w:hAnsi="ＭＳ ゴシック" w:cs="ＭＳ Ｐゴシック"/>
                <w:kern w:val="0"/>
                <w:sz w:val="14"/>
                <w:szCs w:val="12"/>
              </w:rPr>
            </w:pPr>
            <w:r w:rsidRPr="00263B73">
              <w:rPr>
                <w:rFonts w:ascii="ＭＳ ゴシック" w:eastAsia="ＭＳ ゴシック" w:hAnsi="ＭＳ ゴシック" w:cs="ＭＳ Ｐゴシック" w:hint="eastAsia"/>
                <w:kern w:val="0"/>
                <w:sz w:val="14"/>
                <w:szCs w:val="12"/>
              </w:rPr>
              <w:t>大阪府災害派遣福祉チーム（大阪D</w:t>
            </w:r>
            <w:r w:rsidRPr="00263B73">
              <w:rPr>
                <w:rFonts w:ascii="ＭＳ ゴシック" w:eastAsia="ＭＳ ゴシック" w:hAnsi="ＭＳ ゴシック" w:cs="ＭＳ Ｐゴシック"/>
                <w:kern w:val="0"/>
                <w:sz w:val="14"/>
                <w:szCs w:val="12"/>
              </w:rPr>
              <w:t>WAT</w:t>
            </w:r>
            <w:r w:rsidRPr="00263B73">
              <w:rPr>
                <w:rFonts w:ascii="ＭＳ ゴシック" w:eastAsia="ＭＳ ゴシック" w:hAnsi="ＭＳ ゴシック" w:cs="ＭＳ Ｐゴシック" w:hint="eastAsia"/>
                <w:kern w:val="0"/>
                <w:sz w:val="14"/>
                <w:szCs w:val="12"/>
              </w:rPr>
              <w:t>）後方支援マニュアル</w:t>
            </w:r>
          </w:p>
        </w:tc>
        <w:tc>
          <w:tcPr>
            <w:tcW w:w="850" w:type="dxa"/>
            <w:vMerge/>
            <w:noWrap/>
            <w:vAlign w:val="center"/>
          </w:tcPr>
          <w:p w14:paraId="47B34120" w14:textId="77777777" w:rsidR="008A3EDE" w:rsidRPr="00263B73" w:rsidRDefault="008A3EDE" w:rsidP="00831B7C">
            <w:pPr>
              <w:widowControl/>
              <w:spacing w:line="180" w:lineRule="exact"/>
              <w:jc w:val="left"/>
              <w:rPr>
                <w:rFonts w:ascii="ＭＳ ゴシック" w:eastAsia="ＭＳ ゴシック" w:hAnsi="ＭＳ ゴシック" w:cs="ＭＳ Ｐゴシック"/>
                <w:kern w:val="0"/>
                <w:sz w:val="14"/>
                <w:szCs w:val="12"/>
              </w:rPr>
            </w:pPr>
          </w:p>
        </w:tc>
        <w:tc>
          <w:tcPr>
            <w:tcW w:w="1843" w:type="dxa"/>
            <w:noWrap/>
            <w:vAlign w:val="center"/>
          </w:tcPr>
          <w:p w14:paraId="42D63919" w14:textId="77777777" w:rsidR="008A3EDE" w:rsidRPr="00263B73" w:rsidRDefault="008A3EDE" w:rsidP="00831B7C">
            <w:pPr>
              <w:widowControl/>
              <w:spacing w:line="180" w:lineRule="exact"/>
              <w:rPr>
                <w:rFonts w:ascii="ＭＳ ゴシック" w:eastAsia="ＭＳ ゴシック" w:hAnsi="ＭＳ ゴシック" w:cs="ＭＳ Ｐゴシック"/>
                <w:kern w:val="0"/>
                <w:sz w:val="14"/>
                <w:szCs w:val="12"/>
              </w:rPr>
            </w:pPr>
            <w:r w:rsidRPr="00263B73">
              <w:rPr>
                <w:rFonts w:ascii="ＭＳ ゴシック" w:eastAsia="ＭＳ ゴシック" w:hAnsi="ＭＳ ゴシック" w:cs="ＭＳ Ｐゴシック" w:hint="eastAsia"/>
                <w:kern w:val="0"/>
                <w:sz w:val="14"/>
                <w:szCs w:val="12"/>
              </w:rPr>
              <w:t>地域福祉課</w:t>
            </w:r>
          </w:p>
        </w:tc>
      </w:tr>
      <w:tr w:rsidR="008A3EDE" w:rsidRPr="00263B73" w14:paraId="5DE1C489" w14:textId="77777777" w:rsidTr="00831B7C">
        <w:trPr>
          <w:trHeight w:val="20"/>
        </w:trPr>
        <w:tc>
          <w:tcPr>
            <w:tcW w:w="1501" w:type="dxa"/>
            <w:vMerge w:val="restart"/>
            <w:hideMark/>
          </w:tcPr>
          <w:p w14:paraId="1087E2FA" w14:textId="77777777" w:rsidR="008A3EDE" w:rsidRPr="00263B73" w:rsidRDefault="008A3EDE" w:rsidP="00831B7C">
            <w:pPr>
              <w:widowControl/>
              <w:spacing w:line="180" w:lineRule="exact"/>
              <w:jc w:val="left"/>
              <w:rPr>
                <w:rFonts w:ascii="ＭＳ ゴシック" w:eastAsia="ＭＳ ゴシック" w:hAnsi="ＭＳ ゴシック" w:cs="ＭＳ Ｐゴシック"/>
                <w:kern w:val="0"/>
                <w:sz w:val="14"/>
                <w:szCs w:val="12"/>
              </w:rPr>
            </w:pPr>
            <w:r w:rsidRPr="00263B73">
              <w:rPr>
                <w:rFonts w:ascii="ＭＳ ゴシック" w:eastAsia="ＭＳ ゴシック" w:hAnsi="ＭＳ ゴシック" w:cs="ＭＳ Ｐゴシック" w:hint="eastAsia"/>
                <w:kern w:val="0"/>
                <w:sz w:val="14"/>
                <w:szCs w:val="12"/>
              </w:rPr>
              <w:t>健康危機事象</w:t>
            </w:r>
          </w:p>
          <w:p w14:paraId="481B5694" w14:textId="77777777" w:rsidR="008A3EDE" w:rsidRPr="00263B73" w:rsidRDefault="008A3EDE" w:rsidP="00831B7C">
            <w:pPr>
              <w:widowControl/>
              <w:spacing w:line="180" w:lineRule="exact"/>
              <w:jc w:val="left"/>
              <w:rPr>
                <w:rFonts w:ascii="ＭＳ ゴシック" w:eastAsia="ＭＳ ゴシック" w:hAnsi="ＭＳ ゴシック" w:cs="ＭＳ Ｐゴシック"/>
                <w:kern w:val="0"/>
                <w:sz w:val="14"/>
                <w:szCs w:val="12"/>
              </w:rPr>
            </w:pPr>
          </w:p>
        </w:tc>
        <w:tc>
          <w:tcPr>
            <w:tcW w:w="5631" w:type="dxa"/>
            <w:gridSpan w:val="2"/>
            <w:noWrap/>
            <w:vAlign w:val="center"/>
            <w:hideMark/>
          </w:tcPr>
          <w:p w14:paraId="5BD549B9" w14:textId="77777777" w:rsidR="008A3EDE" w:rsidRPr="00263B73" w:rsidRDefault="008A3EDE" w:rsidP="00831B7C">
            <w:pPr>
              <w:widowControl/>
              <w:spacing w:line="180" w:lineRule="exact"/>
              <w:jc w:val="left"/>
              <w:rPr>
                <w:rFonts w:ascii="ＭＳ ゴシック" w:eastAsia="ＭＳ ゴシック" w:hAnsi="ＭＳ ゴシック" w:cs="ＭＳ Ｐゴシック"/>
                <w:kern w:val="0"/>
                <w:sz w:val="14"/>
                <w:szCs w:val="12"/>
              </w:rPr>
            </w:pPr>
            <w:r w:rsidRPr="00263B73">
              <w:rPr>
                <w:rFonts w:ascii="ＭＳ ゴシック" w:eastAsia="ＭＳ ゴシック" w:hAnsi="ＭＳ ゴシック" w:cs="ＭＳ Ｐゴシック" w:hint="eastAsia"/>
                <w:kern w:val="0"/>
                <w:sz w:val="14"/>
                <w:szCs w:val="12"/>
              </w:rPr>
              <w:t>大阪府健康危機管理基本指針</w:t>
            </w:r>
          </w:p>
        </w:tc>
        <w:tc>
          <w:tcPr>
            <w:tcW w:w="850" w:type="dxa"/>
            <w:vMerge w:val="restart"/>
            <w:noWrap/>
            <w:vAlign w:val="center"/>
            <w:hideMark/>
          </w:tcPr>
          <w:p w14:paraId="207A35DF" w14:textId="77777777" w:rsidR="008A3EDE" w:rsidRPr="00263B73" w:rsidRDefault="008A3EDE" w:rsidP="00831B7C">
            <w:pPr>
              <w:spacing w:line="180" w:lineRule="exact"/>
              <w:rPr>
                <w:rFonts w:ascii="ＭＳ ゴシック" w:eastAsia="ＭＳ ゴシック" w:hAnsi="ＭＳ ゴシック" w:cs="ＭＳ Ｐゴシック"/>
                <w:kern w:val="0"/>
                <w:sz w:val="14"/>
                <w:szCs w:val="12"/>
              </w:rPr>
            </w:pPr>
            <w:r w:rsidRPr="00263B73">
              <w:rPr>
                <w:rFonts w:ascii="ＭＳ ゴシック" w:eastAsia="ＭＳ ゴシック" w:hAnsi="ＭＳ ゴシック" w:cs="ＭＳ Ｐゴシック" w:hint="eastAsia"/>
                <w:kern w:val="0"/>
                <w:sz w:val="14"/>
                <w:szCs w:val="12"/>
              </w:rPr>
              <w:t>健康医療部</w:t>
            </w:r>
          </w:p>
        </w:tc>
        <w:tc>
          <w:tcPr>
            <w:tcW w:w="1843" w:type="dxa"/>
            <w:vMerge w:val="restart"/>
            <w:noWrap/>
            <w:vAlign w:val="center"/>
            <w:hideMark/>
          </w:tcPr>
          <w:p w14:paraId="0B716290" w14:textId="77777777" w:rsidR="008A3EDE" w:rsidRPr="00263B73" w:rsidRDefault="008A3EDE" w:rsidP="00831B7C">
            <w:pPr>
              <w:widowControl/>
              <w:spacing w:line="180" w:lineRule="exact"/>
              <w:rPr>
                <w:rFonts w:ascii="ＭＳ ゴシック" w:eastAsia="ＭＳ ゴシック" w:hAnsi="ＭＳ ゴシック" w:cs="ＭＳ Ｐゴシック"/>
                <w:kern w:val="0"/>
                <w:sz w:val="14"/>
                <w:szCs w:val="12"/>
              </w:rPr>
            </w:pPr>
            <w:r w:rsidRPr="00263B73">
              <w:rPr>
                <w:rFonts w:ascii="ＭＳ ゴシック" w:eastAsia="ＭＳ ゴシック" w:hAnsi="ＭＳ ゴシック" w:cs="ＭＳ Ｐゴシック" w:hint="eastAsia"/>
                <w:kern w:val="0"/>
                <w:sz w:val="14"/>
                <w:szCs w:val="12"/>
              </w:rPr>
              <w:t>健康医療総務課</w:t>
            </w:r>
          </w:p>
          <w:p w14:paraId="17DEEAC8" w14:textId="77777777" w:rsidR="008A3EDE" w:rsidRPr="00263B73" w:rsidRDefault="008A3EDE" w:rsidP="00831B7C">
            <w:pPr>
              <w:spacing w:line="180" w:lineRule="exact"/>
              <w:rPr>
                <w:rFonts w:ascii="ＭＳ ゴシック" w:eastAsia="ＭＳ ゴシック" w:hAnsi="ＭＳ ゴシック" w:cs="ＭＳ Ｐゴシック"/>
                <w:kern w:val="0"/>
                <w:sz w:val="14"/>
                <w:szCs w:val="12"/>
              </w:rPr>
            </w:pPr>
          </w:p>
        </w:tc>
      </w:tr>
      <w:tr w:rsidR="008A3EDE" w:rsidRPr="00263B73" w14:paraId="0FB747A9" w14:textId="77777777" w:rsidTr="00831B7C">
        <w:trPr>
          <w:trHeight w:val="20"/>
        </w:trPr>
        <w:tc>
          <w:tcPr>
            <w:tcW w:w="1501" w:type="dxa"/>
            <w:vMerge/>
            <w:hideMark/>
          </w:tcPr>
          <w:p w14:paraId="393D995B" w14:textId="77777777" w:rsidR="008A3EDE" w:rsidRPr="00263B73" w:rsidRDefault="008A3EDE" w:rsidP="00831B7C">
            <w:pPr>
              <w:widowControl/>
              <w:spacing w:line="180" w:lineRule="exact"/>
              <w:jc w:val="left"/>
              <w:rPr>
                <w:rFonts w:ascii="ＭＳ ゴシック" w:eastAsia="ＭＳ ゴシック" w:hAnsi="ＭＳ ゴシック" w:cs="ＭＳ Ｐゴシック"/>
                <w:kern w:val="0"/>
                <w:sz w:val="14"/>
                <w:szCs w:val="12"/>
              </w:rPr>
            </w:pPr>
          </w:p>
        </w:tc>
        <w:tc>
          <w:tcPr>
            <w:tcW w:w="5631" w:type="dxa"/>
            <w:gridSpan w:val="2"/>
            <w:noWrap/>
            <w:vAlign w:val="center"/>
            <w:hideMark/>
          </w:tcPr>
          <w:p w14:paraId="0B310CE2" w14:textId="77777777" w:rsidR="008A3EDE" w:rsidRPr="00263B73" w:rsidRDefault="008A3EDE" w:rsidP="00831B7C">
            <w:pPr>
              <w:widowControl/>
              <w:spacing w:line="180" w:lineRule="exact"/>
              <w:jc w:val="left"/>
              <w:rPr>
                <w:rFonts w:ascii="ＭＳ ゴシック" w:eastAsia="ＭＳ ゴシック" w:hAnsi="ＭＳ ゴシック" w:cs="ＭＳ Ｐゴシック"/>
                <w:kern w:val="0"/>
                <w:sz w:val="14"/>
                <w:szCs w:val="12"/>
              </w:rPr>
            </w:pPr>
            <w:r w:rsidRPr="00263B73">
              <w:rPr>
                <w:rFonts w:ascii="ＭＳ ゴシック" w:eastAsia="ＭＳ ゴシック" w:hAnsi="ＭＳ ゴシック" w:cs="ＭＳ Ｐゴシック" w:hint="eastAsia"/>
                <w:kern w:val="0"/>
                <w:sz w:val="14"/>
                <w:szCs w:val="12"/>
              </w:rPr>
              <w:t>大阪府保健所危機管理マニュアル</w:t>
            </w:r>
          </w:p>
        </w:tc>
        <w:tc>
          <w:tcPr>
            <w:tcW w:w="850" w:type="dxa"/>
            <w:vMerge/>
            <w:noWrap/>
            <w:vAlign w:val="center"/>
            <w:hideMark/>
          </w:tcPr>
          <w:p w14:paraId="73C7DEE3" w14:textId="77777777" w:rsidR="008A3EDE" w:rsidRPr="00263B73" w:rsidRDefault="008A3EDE" w:rsidP="00831B7C">
            <w:pPr>
              <w:spacing w:line="180" w:lineRule="exact"/>
              <w:jc w:val="left"/>
              <w:rPr>
                <w:rFonts w:ascii="ＭＳ ゴシック" w:eastAsia="ＭＳ ゴシック" w:hAnsi="ＭＳ ゴシック" w:cs="ＭＳ Ｐゴシック"/>
                <w:kern w:val="0"/>
                <w:sz w:val="14"/>
                <w:szCs w:val="12"/>
              </w:rPr>
            </w:pPr>
          </w:p>
        </w:tc>
        <w:tc>
          <w:tcPr>
            <w:tcW w:w="1843" w:type="dxa"/>
            <w:vMerge/>
            <w:vAlign w:val="center"/>
            <w:hideMark/>
          </w:tcPr>
          <w:p w14:paraId="55BEB1C9" w14:textId="77777777" w:rsidR="008A3EDE" w:rsidRPr="00263B73" w:rsidRDefault="008A3EDE" w:rsidP="00831B7C">
            <w:pPr>
              <w:spacing w:line="180" w:lineRule="exact"/>
              <w:rPr>
                <w:rFonts w:ascii="ＭＳ ゴシック" w:eastAsia="ＭＳ ゴシック" w:hAnsi="ＭＳ ゴシック" w:cs="ＭＳ Ｐゴシック"/>
                <w:kern w:val="0"/>
                <w:sz w:val="14"/>
                <w:szCs w:val="12"/>
              </w:rPr>
            </w:pPr>
          </w:p>
        </w:tc>
      </w:tr>
      <w:tr w:rsidR="008A3EDE" w:rsidRPr="00263B73" w14:paraId="2273776F" w14:textId="77777777" w:rsidTr="00831B7C">
        <w:trPr>
          <w:trHeight w:val="20"/>
        </w:trPr>
        <w:tc>
          <w:tcPr>
            <w:tcW w:w="1501" w:type="dxa"/>
            <w:vMerge/>
          </w:tcPr>
          <w:p w14:paraId="0544D77E" w14:textId="77777777" w:rsidR="008A3EDE" w:rsidRPr="00263B73" w:rsidRDefault="008A3EDE" w:rsidP="00831B7C">
            <w:pPr>
              <w:widowControl/>
              <w:spacing w:line="180" w:lineRule="exact"/>
              <w:jc w:val="left"/>
              <w:rPr>
                <w:rFonts w:ascii="ＭＳ ゴシック" w:eastAsia="ＭＳ ゴシック" w:hAnsi="ＭＳ ゴシック" w:cs="ＭＳ Ｐゴシック"/>
                <w:kern w:val="0"/>
                <w:sz w:val="14"/>
                <w:szCs w:val="12"/>
              </w:rPr>
            </w:pPr>
          </w:p>
        </w:tc>
        <w:tc>
          <w:tcPr>
            <w:tcW w:w="5631" w:type="dxa"/>
            <w:gridSpan w:val="2"/>
            <w:noWrap/>
            <w:vAlign w:val="center"/>
          </w:tcPr>
          <w:p w14:paraId="3D0BBFFC" w14:textId="77777777" w:rsidR="008A3EDE" w:rsidRPr="00263B73" w:rsidRDefault="008A3EDE" w:rsidP="00831B7C">
            <w:pPr>
              <w:widowControl/>
              <w:spacing w:line="180" w:lineRule="exact"/>
              <w:jc w:val="left"/>
              <w:rPr>
                <w:rFonts w:ascii="ＭＳ ゴシック" w:eastAsia="ＭＳ ゴシック" w:hAnsi="ＭＳ ゴシック" w:cs="ＭＳ Ｐゴシック"/>
                <w:kern w:val="0"/>
                <w:sz w:val="14"/>
                <w:szCs w:val="12"/>
              </w:rPr>
            </w:pPr>
            <w:r w:rsidRPr="00263B73">
              <w:rPr>
                <w:rFonts w:ascii="ＭＳ ゴシック" w:eastAsia="ＭＳ ゴシック" w:hAnsi="ＭＳ ゴシック" w:cs="ＭＳ Ｐゴシック" w:hint="eastAsia"/>
                <w:kern w:val="0"/>
                <w:sz w:val="14"/>
                <w:szCs w:val="12"/>
              </w:rPr>
              <w:t>大阪府保健医療調整本部活動ガイドライン</w:t>
            </w:r>
          </w:p>
        </w:tc>
        <w:tc>
          <w:tcPr>
            <w:tcW w:w="850" w:type="dxa"/>
            <w:vMerge/>
            <w:noWrap/>
            <w:vAlign w:val="center"/>
          </w:tcPr>
          <w:p w14:paraId="06D0FDC4" w14:textId="77777777" w:rsidR="008A3EDE" w:rsidRPr="00263B73" w:rsidRDefault="008A3EDE" w:rsidP="00831B7C">
            <w:pPr>
              <w:spacing w:line="180" w:lineRule="exact"/>
              <w:jc w:val="left"/>
              <w:rPr>
                <w:rFonts w:ascii="ＭＳ ゴシック" w:eastAsia="ＭＳ ゴシック" w:hAnsi="ＭＳ ゴシック" w:cs="ＭＳ Ｐゴシック"/>
                <w:kern w:val="0"/>
                <w:sz w:val="14"/>
                <w:szCs w:val="12"/>
              </w:rPr>
            </w:pPr>
          </w:p>
        </w:tc>
        <w:tc>
          <w:tcPr>
            <w:tcW w:w="1843" w:type="dxa"/>
            <w:vMerge/>
            <w:vAlign w:val="center"/>
          </w:tcPr>
          <w:p w14:paraId="1AA40C2A" w14:textId="77777777" w:rsidR="008A3EDE" w:rsidRPr="00263B73" w:rsidRDefault="008A3EDE" w:rsidP="00831B7C">
            <w:pPr>
              <w:widowControl/>
              <w:spacing w:line="180" w:lineRule="exact"/>
              <w:rPr>
                <w:rFonts w:ascii="ＭＳ ゴシック" w:eastAsia="ＭＳ ゴシック" w:hAnsi="ＭＳ ゴシック" w:cs="ＭＳ Ｐゴシック"/>
                <w:kern w:val="0"/>
                <w:sz w:val="14"/>
                <w:szCs w:val="12"/>
              </w:rPr>
            </w:pPr>
          </w:p>
        </w:tc>
      </w:tr>
      <w:tr w:rsidR="008A3EDE" w:rsidRPr="00263B73" w14:paraId="318F1E38" w14:textId="77777777" w:rsidTr="00831B7C">
        <w:trPr>
          <w:trHeight w:val="20"/>
        </w:trPr>
        <w:tc>
          <w:tcPr>
            <w:tcW w:w="1501" w:type="dxa"/>
            <w:vMerge/>
          </w:tcPr>
          <w:p w14:paraId="42B99E70" w14:textId="77777777" w:rsidR="008A3EDE" w:rsidRPr="00263B73" w:rsidRDefault="008A3EDE" w:rsidP="00831B7C">
            <w:pPr>
              <w:widowControl/>
              <w:spacing w:line="180" w:lineRule="exact"/>
              <w:jc w:val="left"/>
              <w:rPr>
                <w:rFonts w:ascii="ＭＳ ゴシック" w:eastAsia="ＭＳ ゴシック" w:hAnsi="ＭＳ ゴシック" w:cs="ＭＳ Ｐゴシック"/>
                <w:kern w:val="0"/>
                <w:sz w:val="14"/>
                <w:szCs w:val="12"/>
              </w:rPr>
            </w:pPr>
          </w:p>
        </w:tc>
        <w:tc>
          <w:tcPr>
            <w:tcW w:w="5631" w:type="dxa"/>
            <w:gridSpan w:val="2"/>
            <w:noWrap/>
            <w:vAlign w:val="center"/>
          </w:tcPr>
          <w:p w14:paraId="6600029B" w14:textId="77777777" w:rsidR="008A3EDE" w:rsidRPr="00263B73" w:rsidRDefault="008A3EDE" w:rsidP="00831B7C">
            <w:pPr>
              <w:widowControl/>
              <w:spacing w:line="180" w:lineRule="exact"/>
              <w:jc w:val="left"/>
              <w:rPr>
                <w:rFonts w:ascii="ＭＳ ゴシック" w:eastAsia="ＭＳ ゴシック" w:hAnsi="ＭＳ ゴシック" w:cs="ＭＳ Ｐゴシック"/>
                <w:kern w:val="0"/>
                <w:sz w:val="14"/>
                <w:szCs w:val="12"/>
              </w:rPr>
            </w:pPr>
            <w:r w:rsidRPr="00263B73">
              <w:rPr>
                <w:rFonts w:ascii="ＭＳ ゴシック" w:eastAsia="ＭＳ ゴシック" w:hAnsi="ＭＳ ゴシック" w:cs="ＭＳ Ｐゴシック" w:hint="eastAsia"/>
                <w:kern w:val="0"/>
                <w:sz w:val="14"/>
                <w:szCs w:val="12"/>
              </w:rPr>
              <w:t>大阪府保健所災害対策マニュアル</w:t>
            </w:r>
          </w:p>
        </w:tc>
        <w:tc>
          <w:tcPr>
            <w:tcW w:w="850" w:type="dxa"/>
            <w:vMerge/>
            <w:noWrap/>
            <w:vAlign w:val="center"/>
          </w:tcPr>
          <w:p w14:paraId="2970DEEF" w14:textId="77777777" w:rsidR="008A3EDE" w:rsidRPr="00263B73" w:rsidRDefault="008A3EDE" w:rsidP="00831B7C">
            <w:pPr>
              <w:spacing w:line="180" w:lineRule="exact"/>
              <w:jc w:val="left"/>
              <w:rPr>
                <w:rFonts w:ascii="ＭＳ ゴシック" w:eastAsia="ＭＳ ゴシック" w:hAnsi="ＭＳ ゴシック" w:cs="ＭＳ Ｐゴシック"/>
                <w:kern w:val="0"/>
                <w:sz w:val="14"/>
                <w:szCs w:val="12"/>
              </w:rPr>
            </w:pPr>
          </w:p>
        </w:tc>
        <w:tc>
          <w:tcPr>
            <w:tcW w:w="1843" w:type="dxa"/>
            <w:vMerge/>
            <w:vAlign w:val="center"/>
          </w:tcPr>
          <w:p w14:paraId="6A253C81" w14:textId="77777777" w:rsidR="008A3EDE" w:rsidRPr="00263B73" w:rsidRDefault="008A3EDE" w:rsidP="00831B7C">
            <w:pPr>
              <w:widowControl/>
              <w:spacing w:line="180" w:lineRule="exact"/>
              <w:rPr>
                <w:rFonts w:ascii="ＭＳ ゴシック" w:eastAsia="ＭＳ ゴシック" w:hAnsi="ＭＳ ゴシック" w:cs="ＭＳ Ｐゴシック"/>
                <w:kern w:val="0"/>
                <w:sz w:val="14"/>
                <w:szCs w:val="12"/>
              </w:rPr>
            </w:pPr>
          </w:p>
        </w:tc>
      </w:tr>
      <w:tr w:rsidR="008A3EDE" w:rsidRPr="00263B73" w14:paraId="66861F4C" w14:textId="77777777" w:rsidTr="00831B7C">
        <w:trPr>
          <w:trHeight w:val="20"/>
        </w:trPr>
        <w:tc>
          <w:tcPr>
            <w:tcW w:w="1501" w:type="dxa"/>
            <w:vMerge/>
          </w:tcPr>
          <w:p w14:paraId="5A871FC3" w14:textId="77777777" w:rsidR="008A3EDE" w:rsidRPr="00263B73" w:rsidRDefault="008A3EDE" w:rsidP="00831B7C">
            <w:pPr>
              <w:widowControl/>
              <w:spacing w:line="180" w:lineRule="exact"/>
              <w:jc w:val="left"/>
              <w:rPr>
                <w:rFonts w:ascii="ＭＳ ゴシック" w:eastAsia="ＭＳ ゴシック" w:hAnsi="ＭＳ ゴシック" w:cs="ＭＳ Ｐゴシック"/>
                <w:kern w:val="0"/>
                <w:sz w:val="14"/>
                <w:szCs w:val="12"/>
              </w:rPr>
            </w:pPr>
          </w:p>
        </w:tc>
        <w:tc>
          <w:tcPr>
            <w:tcW w:w="5631" w:type="dxa"/>
            <w:gridSpan w:val="2"/>
            <w:noWrap/>
            <w:vAlign w:val="center"/>
          </w:tcPr>
          <w:p w14:paraId="0CDA5861" w14:textId="77777777" w:rsidR="008A3EDE" w:rsidRPr="00263B73" w:rsidRDefault="008A3EDE" w:rsidP="00831B7C">
            <w:pPr>
              <w:widowControl/>
              <w:spacing w:line="180" w:lineRule="exact"/>
              <w:jc w:val="left"/>
              <w:rPr>
                <w:rFonts w:ascii="ＭＳ ゴシック" w:eastAsia="ＭＳ ゴシック" w:hAnsi="ＭＳ ゴシック" w:cs="ＭＳ Ｐゴシック"/>
                <w:kern w:val="0"/>
                <w:sz w:val="14"/>
                <w:szCs w:val="12"/>
              </w:rPr>
            </w:pPr>
            <w:r w:rsidRPr="00263B73">
              <w:rPr>
                <w:rFonts w:ascii="ＭＳ ゴシック" w:eastAsia="ＭＳ ゴシック" w:hAnsi="ＭＳ ゴシック" w:cs="ＭＳ Ｐゴシック" w:hint="eastAsia"/>
                <w:kern w:val="0"/>
                <w:sz w:val="14"/>
                <w:szCs w:val="12"/>
              </w:rPr>
              <w:t>大阪府水道災害調整本部活動マニュアル</w:t>
            </w:r>
          </w:p>
        </w:tc>
        <w:tc>
          <w:tcPr>
            <w:tcW w:w="850" w:type="dxa"/>
            <w:vMerge/>
            <w:noWrap/>
            <w:vAlign w:val="center"/>
          </w:tcPr>
          <w:p w14:paraId="2F7D413A" w14:textId="77777777" w:rsidR="008A3EDE" w:rsidRPr="00263B73" w:rsidRDefault="008A3EDE" w:rsidP="00831B7C">
            <w:pPr>
              <w:spacing w:line="180" w:lineRule="exact"/>
              <w:jc w:val="left"/>
              <w:rPr>
                <w:rFonts w:ascii="ＭＳ ゴシック" w:eastAsia="ＭＳ ゴシック" w:hAnsi="ＭＳ ゴシック" w:cs="ＭＳ Ｐゴシック"/>
                <w:kern w:val="0"/>
                <w:sz w:val="14"/>
                <w:szCs w:val="12"/>
              </w:rPr>
            </w:pPr>
          </w:p>
        </w:tc>
        <w:tc>
          <w:tcPr>
            <w:tcW w:w="1843" w:type="dxa"/>
            <w:vAlign w:val="center"/>
          </w:tcPr>
          <w:p w14:paraId="733C2C8D" w14:textId="77777777" w:rsidR="008A3EDE" w:rsidRPr="00263B73" w:rsidRDefault="008A3EDE" w:rsidP="00831B7C">
            <w:pPr>
              <w:widowControl/>
              <w:spacing w:line="180" w:lineRule="exact"/>
              <w:rPr>
                <w:rFonts w:ascii="ＭＳ ゴシック" w:eastAsia="ＭＳ ゴシック" w:hAnsi="ＭＳ ゴシック" w:cs="ＭＳ Ｐゴシック"/>
                <w:kern w:val="0"/>
                <w:sz w:val="14"/>
                <w:szCs w:val="12"/>
              </w:rPr>
            </w:pPr>
            <w:r w:rsidRPr="00263B73">
              <w:rPr>
                <w:rFonts w:ascii="ＭＳ ゴシック" w:eastAsia="ＭＳ ゴシック" w:hAnsi="ＭＳ ゴシック" w:cs="ＭＳ Ｐゴシック" w:hint="eastAsia"/>
                <w:kern w:val="0"/>
                <w:sz w:val="14"/>
                <w:szCs w:val="12"/>
              </w:rPr>
              <w:t>環境衛生課</w:t>
            </w:r>
          </w:p>
        </w:tc>
      </w:tr>
      <w:tr w:rsidR="008A3EDE" w:rsidRPr="00263B73" w14:paraId="0433C794" w14:textId="77777777" w:rsidTr="00831B7C">
        <w:trPr>
          <w:trHeight w:val="20"/>
        </w:trPr>
        <w:tc>
          <w:tcPr>
            <w:tcW w:w="1501" w:type="dxa"/>
            <w:vMerge w:val="restart"/>
            <w:vAlign w:val="center"/>
            <w:hideMark/>
          </w:tcPr>
          <w:p w14:paraId="426B8D09" w14:textId="77777777" w:rsidR="008A3EDE" w:rsidRPr="00263B73" w:rsidRDefault="008A3EDE" w:rsidP="00831B7C">
            <w:pPr>
              <w:widowControl/>
              <w:spacing w:line="180" w:lineRule="exact"/>
              <w:jc w:val="left"/>
              <w:rPr>
                <w:rFonts w:ascii="ＭＳ ゴシック" w:eastAsia="ＭＳ ゴシック" w:hAnsi="ＭＳ ゴシック" w:cs="ＭＳ Ｐゴシック"/>
                <w:kern w:val="0"/>
                <w:sz w:val="14"/>
                <w:szCs w:val="12"/>
              </w:rPr>
            </w:pPr>
            <w:r w:rsidRPr="00263B73">
              <w:rPr>
                <w:rFonts w:ascii="ＭＳ ゴシック" w:eastAsia="ＭＳ ゴシック" w:hAnsi="ＭＳ ゴシック" w:cs="ＭＳ Ｐゴシック" w:hint="eastAsia"/>
                <w:kern w:val="0"/>
                <w:sz w:val="14"/>
                <w:szCs w:val="12"/>
              </w:rPr>
              <w:t>広域的救急医療事案の発生</w:t>
            </w:r>
          </w:p>
        </w:tc>
        <w:tc>
          <w:tcPr>
            <w:tcW w:w="5631" w:type="dxa"/>
            <w:gridSpan w:val="2"/>
            <w:noWrap/>
            <w:vAlign w:val="center"/>
            <w:hideMark/>
          </w:tcPr>
          <w:p w14:paraId="330E77B9" w14:textId="77777777" w:rsidR="008A3EDE" w:rsidRPr="00263B73" w:rsidRDefault="008A3EDE" w:rsidP="00831B7C">
            <w:pPr>
              <w:widowControl/>
              <w:spacing w:line="180" w:lineRule="exact"/>
              <w:jc w:val="left"/>
              <w:rPr>
                <w:rFonts w:ascii="ＭＳ ゴシック" w:eastAsia="ＭＳ ゴシック" w:hAnsi="ＭＳ ゴシック" w:cs="ＭＳ Ｐゴシック"/>
                <w:kern w:val="0"/>
                <w:sz w:val="14"/>
                <w:szCs w:val="12"/>
              </w:rPr>
            </w:pPr>
            <w:r w:rsidRPr="00263B73">
              <w:rPr>
                <w:rFonts w:ascii="ＭＳ ゴシック" w:eastAsia="ＭＳ ゴシック" w:hAnsi="ＭＳ ゴシック" w:cs="ＭＳ Ｐゴシック" w:hint="eastAsia"/>
                <w:kern w:val="0"/>
                <w:sz w:val="14"/>
                <w:szCs w:val="12"/>
              </w:rPr>
              <w:t>大阪府災害時医療救護活動マニュアル（基本編）</w:t>
            </w:r>
          </w:p>
        </w:tc>
        <w:tc>
          <w:tcPr>
            <w:tcW w:w="850" w:type="dxa"/>
            <w:vMerge/>
            <w:noWrap/>
            <w:vAlign w:val="center"/>
            <w:hideMark/>
          </w:tcPr>
          <w:p w14:paraId="4D13CBCC" w14:textId="77777777" w:rsidR="008A3EDE" w:rsidRPr="00263B73" w:rsidRDefault="008A3EDE" w:rsidP="00831B7C">
            <w:pPr>
              <w:spacing w:line="180" w:lineRule="exact"/>
              <w:jc w:val="left"/>
              <w:rPr>
                <w:rFonts w:ascii="ＭＳ ゴシック" w:eastAsia="ＭＳ ゴシック" w:hAnsi="ＭＳ ゴシック" w:cs="ＭＳ Ｐゴシック"/>
                <w:kern w:val="0"/>
                <w:sz w:val="14"/>
                <w:szCs w:val="12"/>
              </w:rPr>
            </w:pPr>
          </w:p>
        </w:tc>
        <w:tc>
          <w:tcPr>
            <w:tcW w:w="1843" w:type="dxa"/>
            <w:noWrap/>
            <w:vAlign w:val="center"/>
            <w:hideMark/>
          </w:tcPr>
          <w:p w14:paraId="0B7E37EA" w14:textId="77777777" w:rsidR="008A3EDE" w:rsidRPr="00263B73" w:rsidRDefault="008A3EDE" w:rsidP="00831B7C">
            <w:pPr>
              <w:widowControl/>
              <w:spacing w:line="180" w:lineRule="exact"/>
              <w:rPr>
                <w:rFonts w:ascii="ＭＳ ゴシック" w:eastAsia="ＭＳ ゴシック" w:hAnsi="ＭＳ ゴシック" w:cs="ＭＳ Ｐゴシック"/>
                <w:kern w:val="0"/>
                <w:sz w:val="14"/>
                <w:szCs w:val="12"/>
              </w:rPr>
            </w:pPr>
            <w:r w:rsidRPr="00263B73">
              <w:rPr>
                <w:rFonts w:ascii="ＭＳ ゴシック" w:eastAsia="ＭＳ ゴシック" w:hAnsi="ＭＳ ゴシック" w:cs="ＭＳ Ｐゴシック" w:hint="eastAsia"/>
                <w:kern w:val="0"/>
                <w:sz w:val="14"/>
                <w:szCs w:val="12"/>
              </w:rPr>
              <w:t>医療・感染症対策課</w:t>
            </w:r>
          </w:p>
        </w:tc>
      </w:tr>
      <w:tr w:rsidR="008A3EDE" w:rsidRPr="00263B73" w14:paraId="6F4F84B2" w14:textId="77777777" w:rsidTr="00831B7C">
        <w:trPr>
          <w:trHeight w:val="20"/>
        </w:trPr>
        <w:tc>
          <w:tcPr>
            <w:tcW w:w="1501" w:type="dxa"/>
            <w:vMerge/>
            <w:vAlign w:val="center"/>
          </w:tcPr>
          <w:p w14:paraId="517C3BC0" w14:textId="77777777" w:rsidR="008A3EDE" w:rsidRPr="00263B73" w:rsidRDefault="008A3EDE" w:rsidP="00831B7C">
            <w:pPr>
              <w:widowControl/>
              <w:spacing w:line="180" w:lineRule="exact"/>
              <w:jc w:val="left"/>
              <w:rPr>
                <w:rFonts w:ascii="ＭＳ ゴシック" w:eastAsia="ＭＳ ゴシック" w:hAnsi="ＭＳ ゴシック" w:cs="ＭＳ Ｐゴシック"/>
                <w:kern w:val="0"/>
                <w:sz w:val="14"/>
                <w:szCs w:val="12"/>
              </w:rPr>
            </w:pPr>
          </w:p>
        </w:tc>
        <w:tc>
          <w:tcPr>
            <w:tcW w:w="5631" w:type="dxa"/>
            <w:gridSpan w:val="2"/>
            <w:noWrap/>
            <w:vAlign w:val="center"/>
          </w:tcPr>
          <w:p w14:paraId="260D1D6D" w14:textId="77777777" w:rsidR="008A3EDE" w:rsidRPr="00263B73" w:rsidRDefault="008A3EDE" w:rsidP="00831B7C">
            <w:pPr>
              <w:widowControl/>
              <w:spacing w:line="180" w:lineRule="exact"/>
              <w:jc w:val="left"/>
              <w:rPr>
                <w:rFonts w:ascii="ＭＳ ゴシック" w:eastAsia="ＭＳ ゴシック" w:hAnsi="ＭＳ ゴシック" w:cs="ＭＳ Ｐゴシック"/>
                <w:kern w:val="0"/>
                <w:sz w:val="14"/>
                <w:szCs w:val="12"/>
              </w:rPr>
            </w:pPr>
            <w:r w:rsidRPr="00263B73">
              <w:rPr>
                <w:rFonts w:ascii="ＭＳ ゴシック" w:eastAsia="ＭＳ ゴシック" w:hAnsi="ＭＳ ゴシック" w:cs="ＭＳ Ｐゴシック" w:hint="eastAsia"/>
                <w:kern w:val="0"/>
                <w:sz w:val="14"/>
                <w:szCs w:val="12"/>
              </w:rPr>
              <w:t>大阪府小児周産期リエゾン初動対応マニュアル</w:t>
            </w:r>
          </w:p>
        </w:tc>
        <w:tc>
          <w:tcPr>
            <w:tcW w:w="850" w:type="dxa"/>
            <w:vMerge/>
            <w:noWrap/>
            <w:vAlign w:val="center"/>
          </w:tcPr>
          <w:p w14:paraId="602EAEEB" w14:textId="77777777" w:rsidR="008A3EDE" w:rsidRPr="00263B73" w:rsidRDefault="008A3EDE" w:rsidP="00831B7C">
            <w:pPr>
              <w:spacing w:line="180" w:lineRule="exact"/>
              <w:jc w:val="left"/>
              <w:rPr>
                <w:rFonts w:ascii="ＭＳ ゴシック" w:eastAsia="ＭＳ ゴシック" w:hAnsi="ＭＳ ゴシック" w:cs="ＭＳ Ｐゴシック"/>
                <w:kern w:val="0"/>
                <w:sz w:val="14"/>
                <w:szCs w:val="12"/>
              </w:rPr>
            </w:pPr>
          </w:p>
        </w:tc>
        <w:tc>
          <w:tcPr>
            <w:tcW w:w="1843" w:type="dxa"/>
            <w:noWrap/>
            <w:vAlign w:val="center"/>
          </w:tcPr>
          <w:p w14:paraId="79F962C8" w14:textId="77777777" w:rsidR="008A3EDE" w:rsidRPr="00263B73" w:rsidRDefault="008A3EDE" w:rsidP="00831B7C">
            <w:pPr>
              <w:widowControl/>
              <w:spacing w:line="180" w:lineRule="exact"/>
              <w:rPr>
                <w:rFonts w:ascii="ＭＳ ゴシック" w:eastAsia="ＭＳ ゴシック" w:hAnsi="ＭＳ ゴシック" w:cs="ＭＳ Ｐゴシック"/>
                <w:kern w:val="0"/>
                <w:sz w:val="14"/>
                <w:szCs w:val="12"/>
              </w:rPr>
            </w:pPr>
            <w:r w:rsidRPr="00263B73">
              <w:rPr>
                <w:rFonts w:ascii="ＭＳ ゴシック" w:eastAsia="ＭＳ ゴシック" w:hAnsi="ＭＳ ゴシック" w:cs="ＭＳ Ｐゴシック" w:hint="eastAsia"/>
                <w:kern w:val="0"/>
                <w:sz w:val="14"/>
                <w:szCs w:val="12"/>
              </w:rPr>
              <w:t>地域保健課</w:t>
            </w:r>
          </w:p>
        </w:tc>
      </w:tr>
      <w:tr w:rsidR="008A3EDE" w:rsidRPr="00263B73" w14:paraId="247CD41E" w14:textId="77777777" w:rsidTr="00831B7C">
        <w:trPr>
          <w:trHeight w:val="20"/>
        </w:trPr>
        <w:tc>
          <w:tcPr>
            <w:tcW w:w="1501" w:type="dxa"/>
            <w:vAlign w:val="center"/>
            <w:hideMark/>
          </w:tcPr>
          <w:p w14:paraId="58A28C2F" w14:textId="77777777" w:rsidR="008A3EDE" w:rsidRPr="00263B73" w:rsidRDefault="008A3EDE" w:rsidP="00831B7C">
            <w:pPr>
              <w:widowControl/>
              <w:spacing w:line="180" w:lineRule="exact"/>
              <w:jc w:val="left"/>
              <w:rPr>
                <w:rFonts w:ascii="ＭＳ ゴシック" w:eastAsia="ＭＳ ゴシック" w:hAnsi="ＭＳ ゴシック" w:cs="ＭＳ Ｐゴシック"/>
                <w:kern w:val="0"/>
                <w:sz w:val="14"/>
                <w:szCs w:val="12"/>
              </w:rPr>
            </w:pPr>
            <w:r w:rsidRPr="00263B73">
              <w:rPr>
                <w:rFonts w:ascii="ＭＳ ゴシック" w:eastAsia="ＭＳ ゴシック" w:hAnsi="ＭＳ ゴシック" w:cs="ＭＳ Ｐゴシック" w:hint="eastAsia"/>
                <w:kern w:val="0"/>
                <w:sz w:val="14"/>
                <w:szCs w:val="12"/>
              </w:rPr>
              <w:t>原子力事業所での放射線事故</w:t>
            </w:r>
          </w:p>
        </w:tc>
        <w:tc>
          <w:tcPr>
            <w:tcW w:w="5631" w:type="dxa"/>
            <w:gridSpan w:val="2"/>
            <w:noWrap/>
            <w:vAlign w:val="center"/>
            <w:hideMark/>
          </w:tcPr>
          <w:p w14:paraId="6EE8DA16" w14:textId="77777777" w:rsidR="008A3EDE" w:rsidRPr="00263B73" w:rsidRDefault="008A3EDE" w:rsidP="00831B7C">
            <w:pPr>
              <w:widowControl/>
              <w:spacing w:line="180" w:lineRule="exact"/>
              <w:jc w:val="left"/>
              <w:rPr>
                <w:rFonts w:ascii="ＭＳ ゴシック" w:eastAsia="ＭＳ ゴシック" w:hAnsi="ＭＳ ゴシック" w:cs="ＭＳ Ｐゴシック"/>
                <w:kern w:val="0"/>
                <w:sz w:val="14"/>
                <w:szCs w:val="12"/>
              </w:rPr>
            </w:pPr>
            <w:r w:rsidRPr="00263B73">
              <w:rPr>
                <w:rFonts w:ascii="ＭＳ ゴシック" w:eastAsia="ＭＳ ゴシック" w:hAnsi="ＭＳ ゴシック" w:cs="ＭＳ Ｐゴシック" w:hint="eastAsia"/>
                <w:kern w:val="0"/>
                <w:sz w:val="14"/>
                <w:szCs w:val="12"/>
              </w:rPr>
              <w:t>大阪府原子力災害医療活動マニュアル</w:t>
            </w:r>
          </w:p>
        </w:tc>
        <w:tc>
          <w:tcPr>
            <w:tcW w:w="850" w:type="dxa"/>
            <w:vMerge/>
            <w:noWrap/>
            <w:vAlign w:val="center"/>
            <w:hideMark/>
          </w:tcPr>
          <w:p w14:paraId="76037739" w14:textId="77777777" w:rsidR="008A3EDE" w:rsidRPr="00263B73" w:rsidRDefault="008A3EDE" w:rsidP="00831B7C">
            <w:pPr>
              <w:spacing w:line="180" w:lineRule="exact"/>
              <w:jc w:val="left"/>
              <w:rPr>
                <w:rFonts w:ascii="ＭＳ ゴシック" w:eastAsia="ＭＳ ゴシック" w:hAnsi="ＭＳ ゴシック" w:cs="ＭＳ Ｐゴシック"/>
                <w:kern w:val="0"/>
                <w:sz w:val="14"/>
                <w:szCs w:val="12"/>
              </w:rPr>
            </w:pPr>
          </w:p>
        </w:tc>
        <w:tc>
          <w:tcPr>
            <w:tcW w:w="1843" w:type="dxa"/>
            <w:noWrap/>
            <w:vAlign w:val="center"/>
            <w:hideMark/>
          </w:tcPr>
          <w:p w14:paraId="7E01C202" w14:textId="77777777" w:rsidR="008A3EDE" w:rsidRPr="00263B73" w:rsidRDefault="008A3EDE" w:rsidP="00831B7C">
            <w:pPr>
              <w:widowControl/>
              <w:spacing w:line="180" w:lineRule="exact"/>
              <w:rPr>
                <w:rFonts w:ascii="ＭＳ ゴシック" w:eastAsia="ＭＳ ゴシック" w:hAnsi="ＭＳ ゴシック" w:cs="ＭＳ Ｐゴシック"/>
                <w:kern w:val="0"/>
                <w:sz w:val="14"/>
                <w:szCs w:val="12"/>
              </w:rPr>
            </w:pPr>
            <w:r w:rsidRPr="00263B73">
              <w:rPr>
                <w:rFonts w:ascii="ＭＳ ゴシック" w:eastAsia="ＭＳ ゴシック" w:hAnsi="ＭＳ ゴシック" w:cs="ＭＳ Ｐゴシック" w:hint="eastAsia"/>
                <w:kern w:val="0"/>
                <w:sz w:val="14"/>
                <w:szCs w:val="12"/>
              </w:rPr>
              <w:t>医療・感染症対策課</w:t>
            </w:r>
          </w:p>
        </w:tc>
      </w:tr>
      <w:tr w:rsidR="008A3EDE" w:rsidRPr="00263B73" w14:paraId="37AC9E1D" w14:textId="77777777" w:rsidTr="00831B7C">
        <w:trPr>
          <w:trHeight w:val="20"/>
        </w:trPr>
        <w:tc>
          <w:tcPr>
            <w:tcW w:w="1501" w:type="dxa"/>
            <w:vAlign w:val="center"/>
            <w:hideMark/>
          </w:tcPr>
          <w:p w14:paraId="63E25372" w14:textId="77777777" w:rsidR="008A3EDE" w:rsidRPr="00263B73" w:rsidRDefault="008A3EDE" w:rsidP="00831B7C">
            <w:pPr>
              <w:widowControl/>
              <w:spacing w:line="180" w:lineRule="exact"/>
              <w:jc w:val="left"/>
              <w:rPr>
                <w:rFonts w:ascii="ＭＳ ゴシック" w:eastAsia="ＭＳ ゴシック" w:hAnsi="ＭＳ ゴシック" w:cs="ＭＳ Ｐゴシック"/>
                <w:kern w:val="0"/>
                <w:sz w:val="14"/>
                <w:szCs w:val="12"/>
              </w:rPr>
            </w:pPr>
            <w:r w:rsidRPr="00263B73">
              <w:rPr>
                <w:rFonts w:ascii="ＭＳ ゴシック" w:eastAsia="ＭＳ ゴシック" w:hAnsi="ＭＳ ゴシック" w:cs="ＭＳ Ｐゴシック" w:hint="eastAsia"/>
                <w:kern w:val="0"/>
                <w:sz w:val="14"/>
                <w:szCs w:val="12"/>
              </w:rPr>
              <w:t>医療施設における事故</w:t>
            </w:r>
          </w:p>
        </w:tc>
        <w:tc>
          <w:tcPr>
            <w:tcW w:w="5631" w:type="dxa"/>
            <w:gridSpan w:val="2"/>
            <w:noWrap/>
            <w:vAlign w:val="center"/>
            <w:hideMark/>
          </w:tcPr>
          <w:p w14:paraId="7CA8205D" w14:textId="77777777" w:rsidR="008A3EDE" w:rsidRPr="00263B73" w:rsidRDefault="008A3EDE" w:rsidP="00831B7C">
            <w:pPr>
              <w:widowControl/>
              <w:spacing w:line="180" w:lineRule="exact"/>
              <w:jc w:val="left"/>
              <w:rPr>
                <w:rFonts w:ascii="ＭＳ ゴシック" w:eastAsia="ＭＳ ゴシック" w:hAnsi="ＭＳ ゴシック" w:cs="ＭＳ Ｐゴシック"/>
                <w:kern w:val="0"/>
                <w:sz w:val="14"/>
                <w:szCs w:val="12"/>
              </w:rPr>
            </w:pPr>
            <w:r w:rsidRPr="00263B73">
              <w:rPr>
                <w:rFonts w:ascii="ＭＳ ゴシック" w:eastAsia="ＭＳ ゴシック" w:hAnsi="ＭＳ ゴシック" w:cs="ＭＳ Ｐゴシック" w:hint="eastAsia"/>
                <w:kern w:val="0"/>
                <w:sz w:val="14"/>
                <w:szCs w:val="12"/>
              </w:rPr>
              <w:t>大阪府医療安全相談センター運営要綱</w:t>
            </w:r>
          </w:p>
        </w:tc>
        <w:tc>
          <w:tcPr>
            <w:tcW w:w="850" w:type="dxa"/>
            <w:vMerge/>
            <w:noWrap/>
            <w:vAlign w:val="center"/>
            <w:hideMark/>
          </w:tcPr>
          <w:p w14:paraId="58EE9BD3" w14:textId="77777777" w:rsidR="008A3EDE" w:rsidRPr="00263B73" w:rsidRDefault="008A3EDE" w:rsidP="00831B7C">
            <w:pPr>
              <w:spacing w:line="180" w:lineRule="exact"/>
              <w:jc w:val="left"/>
              <w:rPr>
                <w:rFonts w:ascii="ＭＳ ゴシック" w:eastAsia="ＭＳ ゴシック" w:hAnsi="ＭＳ ゴシック" w:cs="ＭＳ Ｐゴシック"/>
                <w:kern w:val="0"/>
                <w:sz w:val="14"/>
                <w:szCs w:val="12"/>
              </w:rPr>
            </w:pPr>
          </w:p>
        </w:tc>
        <w:tc>
          <w:tcPr>
            <w:tcW w:w="1843" w:type="dxa"/>
            <w:noWrap/>
            <w:vAlign w:val="center"/>
            <w:hideMark/>
          </w:tcPr>
          <w:p w14:paraId="54DCDA39" w14:textId="77777777" w:rsidR="008A3EDE" w:rsidRPr="00263B73" w:rsidRDefault="008A3EDE" w:rsidP="00831B7C">
            <w:pPr>
              <w:widowControl/>
              <w:spacing w:line="180" w:lineRule="exact"/>
              <w:rPr>
                <w:rFonts w:ascii="ＭＳ ゴシック" w:eastAsia="ＭＳ ゴシック" w:hAnsi="ＭＳ ゴシック" w:cs="ＭＳ Ｐゴシック"/>
                <w:kern w:val="0"/>
                <w:sz w:val="14"/>
                <w:szCs w:val="12"/>
              </w:rPr>
            </w:pPr>
            <w:r w:rsidRPr="00263B73">
              <w:rPr>
                <w:rFonts w:ascii="ＭＳ ゴシック" w:eastAsia="ＭＳ ゴシック" w:hAnsi="ＭＳ ゴシック" w:cs="ＭＳ Ｐゴシック" w:hint="eastAsia"/>
                <w:kern w:val="0"/>
                <w:sz w:val="14"/>
                <w:szCs w:val="12"/>
              </w:rPr>
              <w:t>保健医療企画課</w:t>
            </w:r>
          </w:p>
        </w:tc>
      </w:tr>
      <w:tr w:rsidR="008A3EDE" w:rsidRPr="00263B73" w14:paraId="72BF5DF1" w14:textId="77777777" w:rsidTr="00831B7C">
        <w:trPr>
          <w:trHeight w:val="200"/>
        </w:trPr>
        <w:tc>
          <w:tcPr>
            <w:tcW w:w="1501" w:type="dxa"/>
            <w:vMerge w:val="restart"/>
            <w:hideMark/>
          </w:tcPr>
          <w:p w14:paraId="743A9D77" w14:textId="77777777" w:rsidR="008A3EDE" w:rsidRPr="00263B73" w:rsidRDefault="008A3EDE" w:rsidP="00831B7C">
            <w:pPr>
              <w:widowControl/>
              <w:spacing w:line="180" w:lineRule="exact"/>
              <w:jc w:val="left"/>
              <w:rPr>
                <w:rFonts w:ascii="ＭＳ ゴシック" w:eastAsia="ＭＳ ゴシック" w:hAnsi="ＭＳ ゴシック" w:cs="ＭＳ Ｐゴシック"/>
                <w:kern w:val="0"/>
                <w:sz w:val="14"/>
                <w:szCs w:val="12"/>
              </w:rPr>
            </w:pPr>
            <w:r w:rsidRPr="00263B73">
              <w:rPr>
                <w:rFonts w:ascii="ＭＳ ゴシック" w:eastAsia="ＭＳ ゴシック" w:hAnsi="ＭＳ ゴシック" w:cs="ＭＳ Ｐゴシック" w:hint="eastAsia"/>
                <w:kern w:val="0"/>
                <w:sz w:val="14"/>
                <w:szCs w:val="12"/>
              </w:rPr>
              <w:t>感染症による健康被害</w:t>
            </w:r>
          </w:p>
        </w:tc>
        <w:tc>
          <w:tcPr>
            <w:tcW w:w="5631" w:type="dxa"/>
            <w:gridSpan w:val="2"/>
            <w:noWrap/>
            <w:vAlign w:val="center"/>
            <w:hideMark/>
          </w:tcPr>
          <w:p w14:paraId="07B7E3C2" w14:textId="77777777" w:rsidR="008A3EDE" w:rsidRPr="00263B73" w:rsidRDefault="008A3EDE" w:rsidP="00831B7C">
            <w:pPr>
              <w:widowControl/>
              <w:spacing w:line="180" w:lineRule="exact"/>
              <w:jc w:val="left"/>
              <w:rPr>
                <w:rFonts w:ascii="ＭＳ ゴシック" w:eastAsia="ＭＳ ゴシック" w:hAnsi="ＭＳ ゴシック" w:cs="ＭＳ Ｐゴシック"/>
                <w:kern w:val="0"/>
                <w:sz w:val="14"/>
                <w:szCs w:val="12"/>
              </w:rPr>
            </w:pPr>
            <w:r w:rsidRPr="00263B73">
              <w:rPr>
                <w:rFonts w:ascii="ＭＳ ゴシック" w:eastAsia="ＭＳ ゴシック" w:hAnsi="ＭＳ ゴシック" w:cs="ＭＳ Ｐゴシック" w:hint="eastAsia"/>
                <w:kern w:val="0"/>
                <w:sz w:val="14"/>
                <w:szCs w:val="12"/>
              </w:rPr>
              <w:t>大阪府感染症対策マニュアル</w:t>
            </w:r>
          </w:p>
        </w:tc>
        <w:tc>
          <w:tcPr>
            <w:tcW w:w="850" w:type="dxa"/>
            <w:vMerge/>
            <w:noWrap/>
            <w:vAlign w:val="center"/>
            <w:hideMark/>
          </w:tcPr>
          <w:p w14:paraId="34A930F7" w14:textId="77777777" w:rsidR="008A3EDE" w:rsidRPr="00263B73" w:rsidRDefault="008A3EDE" w:rsidP="00831B7C">
            <w:pPr>
              <w:spacing w:line="180" w:lineRule="exact"/>
              <w:jc w:val="left"/>
              <w:rPr>
                <w:rFonts w:ascii="ＭＳ ゴシック" w:eastAsia="ＭＳ ゴシック" w:hAnsi="ＭＳ ゴシック" w:cs="ＭＳ Ｐゴシック"/>
                <w:kern w:val="0"/>
                <w:sz w:val="14"/>
                <w:szCs w:val="12"/>
              </w:rPr>
            </w:pPr>
          </w:p>
        </w:tc>
        <w:tc>
          <w:tcPr>
            <w:tcW w:w="1843" w:type="dxa"/>
            <w:vMerge w:val="restart"/>
            <w:noWrap/>
            <w:vAlign w:val="center"/>
            <w:hideMark/>
          </w:tcPr>
          <w:p w14:paraId="59C84301" w14:textId="77777777" w:rsidR="008A3EDE" w:rsidRPr="00263B73" w:rsidRDefault="008A3EDE" w:rsidP="00831B7C">
            <w:pPr>
              <w:widowControl/>
              <w:spacing w:line="180" w:lineRule="exact"/>
              <w:rPr>
                <w:rFonts w:ascii="ＭＳ ゴシック" w:eastAsia="ＭＳ ゴシック" w:hAnsi="ＭＳ ゴシック" w:cs="ＭＳ Ｐゴシック"/>
                <w:kern w:val="0"/>
                <w:sz w:val="14"/>
                <w:szCs w:val="12"/>
              </w:rPr>
            </w:pPr>
            <w:r w:rsidRPr="00263B73">
              <w:rPr>
                <w:rFonts w:ascii="ＭＳ ゴシック" w:eastAsia="ＭＳ ゴシック" w:hAnsi="ＭＳ ゴシック" w:cs="ＭＳ Ｐゴシック" w:hint="eastAsia"/>
                <w:kern w:val="0"/>
                <w:sz w:val="14"/>
                <w:szCs w:val="12"/>
              </w:rPr>
              <w:t>環境衛生課</w:t>
            </w:r>
          </w:p>
        </w:tc>
      </w:tr>
      <w:tr w:rsidR="008A3EDE" w:rsidRPr="00263B73" w14:paraId="09D565BB" w14:textId="77777777" w:rsidTr="00831B7C">
        <w:trPr>
          <w:trHeight w:val="461"/>
        </w:trPr>
        <w:tc>
          <w:tcPr>
            <w:tcW w:w="1501" w:type="dxa"/>
            <w:vMerge/>
            <w:hideMark/>
          </w:tcPr>
          <w:p w14:paraId="3283EBED" w14:textId="77777777" w:rsidR="008A3EDE" w:rsidRPr="00263B73" w:rsidRDefault="008A3EDE" w:rsidP="00831B7C">
            <w:pPr>
              <w:widowControl/>
              <w:spacing w:line="180" w:lineRule="exact"/>
              <w:jc w:val="left"/>
              <w:rPr>
                <w:rFonts w:ascii="ＭＳ ゴシック" w:eastAsia="ＭＳ ゴシック" w:hAnsi="ＭＳ ゴシック" w:cs="ＭＳ Ｐゴシック"/>
                <w:kern w:val="0"/>
                <w:sz w:val="14"/>
                <w:szCs w:val="12"/>
              </w:rPr>
            </w:pPr>
          </w:p>
        </w:tc>
        <w:tc>
          <w:tcPr>
            <w:tcW w:w="5631" w:type="dxa"/>
            <w:gridSpan w:val="2"/>
            <w:noWrap/>
            <w:vAlign w:val="center"/>
            <w:hideMark/>
          </w:tcPr>
          <w:p w14:paraId="09FEA2DE" w14:textId="77777777" w:rsidR="008A3EDE" w:rsidRPr="00263B73" w:rsidRDefault="008A3EDE" w:rsidP="00831B7C">
            <w:pPr>
              <w:widowControl/>
              <w:spacing w:line="180" w:lineRule="exact"/>
              <w:jc w:val="left"/>
              <w:rPr>
                <w:rFonts w:ascii="ＭＳ ゴシック" w:eastAsia="ＭＳ ゴシック" w:hAnsi="ＭＳ ゴシック" w:cs="ＭＳ Ｐゴシック"/>
                <w:kern w:val="0"/>
                <w:sz w:val="14"/>
                <w:szCs w:val="12"/>
              </w:rPr>
            </w:pPr>
            <w:r w:rsidRPr="00263B73">
              <w:rPr>
                <w:rFonts w:ascii="ＭＳ ゴシック" w:eastAsia="ＭＳ ゴシック" w:hAnsi="ＭＳ ゴシック" w:cs="ＭＳ Ｐゴシック" w:hint="eastAsia"/>
                <w:kern w:val="0"/>
                <w:sz w:val="14"/>
                <w:szCs w:val="12"/>
              </w:rPr>
              <w:t>旅館及び公衆浴場の入浴施設におけるレジオネラ属菌検出時及び患者発生時の対応指針</w:t>
            </w:r>
          </w:p>
        </w:tc>
        <w:tc>
          <w:tcPr>
            <w:tcW w:w="850" w:type="dxa"/>
            <w:vMerge/>
            <w:noWrap/>
            <w:vAlign w:val="center"/>
            <w:hideMark/>
          </w:tcPr>
          <w:p w14:paraId="08BAC1DE" w14:textId="77777777" w:rsidR="008A3EDE" w:rsidRPr="00263B73" w:rsidRDefault="008A3EDE" w:rsidP="00831B7C">
            <w:pPr>
              <w:spacing w:line="180" w:lineRule="exact"/>
              <w:jc w:val="left"/>
              <w:rPr>
                <w:rFonts w:ascii="ＭＳ ゴシック" w:eastAsia="ＭＳ ゴシック" w:hAnsi="ＭＳ ゴシック" w:cs="ＭＳ Ｐゴシック"/>
                <w:kern w:val="0"/>
                <w:sz w:val="14"/>
                <w:szCs w:val="12"/>
              </w:rPr>
            </w:pPr>
          </w:p>
        </w:tc>
        <w:tc>
          <w:tcPr>
            <w:tcW w:w="1843" w:type="dxa"/>
            <w:vMerge/>
            <w:noWrap/>
            <w:vAlign w:val="center"/>
            <w:hideMark/>
          </w:tcPr>
          <w:p w14:paraId="7FAC235B" w14:textId="77777777" w:rsidR="008A3EDE" w:rsidRPr="00263B73" w:rsidRDefault="008A3EDE" w:rsidP="00831B7C">
            <w:pPr>
              <w:widowControl/>
              <w:spacing w:line="180" w:lineRule="exact"/>
              <w:rPr>
                <w:rFonts w:ascii="ＭＳ ゴシック" w:eastAsia="ＭＳ ゴシック" w:hAnsi="ＭＳ ゴシック" w:cs="ＭＳ Ｐゴシック"/>
                <w:kern w:val="0"/>
                <w:sz w:val="14"/>
                <w:szCs w:val="12"/>
              </w:rPr>
            </w:pPr>
          </w:p>
        </w:tc>
      </w:tr>
      <w:tr w:rsidR="008A3EDE" w:rsidRPr="00263B73" w14:paraId="5335206B" w14:textId="77777777" w:rsidTr="00831B7C">
        <w:trPr>
          <w:trHeight w:val="20"/>
        </w:trPr>
        <w:tc>
          <w:tcPr>
            <w:tcW w:w="1501" w:type="dxa"/>
            <w:vMerge/>
          </w:tcPr>
          <w:p w14:paraId="5AAC5A39" w14:textId="77777777" w:rsidR="008A3EDE" w:rsidRPr="00263B73" w:rsidRDefault="008A3EDE" w:rsidP="00831B7C">
            <w:pPr>
              <w:widowControl/>
              <w:spacing w:line="180" w:lineRule="exact"/>
              <w:jc w:val="left"/>
              <w:rPr>
                <w:rFonts w:ascii="ＭＳ ゴシック" w:eastAsia="ＭＳ ゴシック" w:hAnsi="ＭＳ ゴシック" w:cs="ＭＳ Ｐゴシック"/>
                <w:kern w:val="0"/>
                <w:sz w:val="14"/>
                <w:szCs w:val="12"/>
              </w:rPr>
            </w:pPr>
          </w:p>
        </w:tc>
        <w:tc>
          <w:tcPr>
            <w:tcW w:w="5631" w:type="dxa"/>
            <w:gridSpan w:val="2"/>
            <w:noWrap/>
            <w:vAlign w:val="center"/>
          </w:tcPr>
          <w:p w14:paraId="210E2BC1" w14:textId="77777777" w:rsidR="008A3EDE" w:rsidRPr="00263B73" w:rsidRDefault="008A3EDE" w:rsidP="00831B7C">
            <w:pPr>
              <w:widowControl/>
              <w:spacing w:line="180" w:lineRule="exact"/>
              <w:jc w:val="left"/>
              <w:rPr>
                <w:rFonts w:ascii="ＭＳ ゴシック" w:eastAsia="ＭＳ ゴシック" w:hAnsi="ＭＳ ゴシック" w:cs="ＭＳ Ｐゴシック"/>
                <w:kern w:val="0"/>
                <w:sz w:val="14"/>
                <w:szCs w:val="12"/>
              </w:rPr>
            </w:pPr>
            <w:r w:rsidRPr="00263B73">
              <w:rPr>
                <w:rFonts w:ascii="ＭＳ ゴシック" w:eastAsia="ＭＳ ゴシック" w:hAnsi="ＭＳ ゴシック" w:cs="ＭＳ Ｐゴシック" w:hint="eastAsia"/>
                <w:kern w:val="0"/>
                <w:sz w:val="14"/>
                <w:szCs w:val="12"/>
              </w:rPr>
              <w:t>大阪府保健所健康危機対処計画（感染症編）</w:t>
            </w:r>
          </w:p>
        </w:tc>
        <w:tc>
          <w:tcPr>
            <w:tcW w:w="850" w:type="dxa"/>
            <w:vMerge/>
            <w:noWrap/>
            <w:vAlign w:val="center"/>
          </w:tcPr>
          <w:p w14:paraId="37B145EF" w14:textId="77777777" w:rsidR="008A3EDE" w:rsidRPr="00263B73" w:rsidRDefault="008A3EDE" w:rsidP="00831B7C">
            <w:pPr>
              <w:spacing w:line="180" w:lineRule="exact"/>
              <w:jc w:val="left"/>
              <w:rPr>
                <w:rFonts w:ascii="ＭＳ ゴシック" w:eastAsia="ＭＳ ゴシック" w:hAnsi="ＭＳ ゴシック" w:cs="ＭＳ Ｐゴシック"/>
                <w:kern w:val="0"/>
                <w:sz w:val="14"/>
                <w:szCs w:val="12"/>
              </w:rPr>
            </w:pPr>
          </w:p>
        </w:tc>
        <w:tc>
          <w:tcPr>
            <w:tcW w:w="1843" w:type="dxa"/>
            <w:noWrap/>
            <w:vAlign w:val="center"/>
          </w:tcPr>
          <w:p w14:paraId="26D4ABDB" w14:textId="77777777" w:rsidR="008A3EDE" w:rsidRPr="00263B73" w:rsidRDefault="008A3EDE" w:rsidP="00831B7C">
            <w:pPr>
              <w:widowControl/>
              <w:spacing w:line="180" w:lineRule="exact"/>
              <w:rPr>
                <w:rFonts w:ascii="ＭＳ ゴシック" w:eastAsia="ＭＳ ゴシック" w:hAnsi="ＭＳ ゴシック" w:cs="ＭＳ Ｐゴシック"/>
                <w:kern w:val="0"/>
                <w:sz w:val="14"/>
                <w:szCs w:val="12"/>
              </w:rPr>
            </w:pPr>
            <w:r w:rsidRPr="00263B73">
              <w:rPr>
                <w:rFonts w:ascii="ＭＳ ゴシック" w:eastAsia="ＭＳ ゴシック" w:hAnsi="ＭＳ ゴシック" w:cs="ＭＳ Ｐゴシック" w:hint="eastAsia"/>
                <w:kern w:val="0"/>
                <w:sz w:val="14"/>
                <w:szCs w:val="12"/>
              </w:rPr>
              <w:t>健康医療総務課</w:t>
            </w:r>
          </w:p>
          <w:p w14:paraId="47D1B5B8" w14:textId="77777777" w:rsidR="008A3EDE" w:rsidRPr="00263B73" w:rsidRDefault="008A3EDE" w:rsidP="00831B7C">
            <w:pPr>
              <w:widowControl/>
              <w:spacing w:line="180" w:lineRule="exact"/>
              <w:rPr>
                <w:rFonts w:ascii="ＭＳ ゴシック" w:eastAsia="ＭＳ ゴシック" w:hAnsi="ＭＳ ゴシック" w:cs="ＭＳ Ｐゴシック"/>
                <w:kern w:val="0"/>
                <w:sz w:val="14"/>
                <w:szCs w:val="12"/>
              </w:rPr>
            </w:pPr>
            <w:r w:rsidRPr="00263B73">
              <w:rPr>
                <w:rFonts w:ascii="ＭＳ ゴシック" w:eastAsia="ＭＳ ゴシック" w:hAnsi="ＭＳ ゴシック" w:cs="ＭＳ Ｐゴシック" w:hint="eastAsia"/>
                <w:kern w:val="0"/>
                <w:sz w:val="14"/>
                <w:szCs w:val="12"/>
              </w:rPr>
              <w:t>医療・感染対策課</w:t>
            </w:r>
          </w:p>
        </w:tc>
      </w:tr>
      <w:tr w:rsidR="008A3EDE" w:rsidRPr="00263B73" w14:paraId="60618193" w14:textId="77777777" w:rsidTr="00831B7C">
        <w:trPr>
          <w:trHeight w:val="360"/>
        </w:trPr>
        <w:tc>
          <w:tcPr>
            <w:tcW w:w="1501" w:type="dxa"/>
            <w:hideMark/>
          </w:tcPr>
          <w:p w14:paraId="38299B23" w14:textId="77777777" w:rsidR="008A3EDE" w:rsidRPr="00263B73" w:rsidRDefault="008A3EDE" w:rsidP="00831B7C">
            <w:pPr>
              <w:widowControl/>
              <w:spacing w:line="180" w:lineRule="exact"/>
              <w:jc w:val="left"/>
              <w:rPr>
                <w:rFonts w:ascii="ＭＳ ゴシック" w:eastAsia="ＭＳ ゴシック" w:hAnsi="ＭＳ ゴシック" w:cs="ＭＳ Ｐゴシック"/>
                <w:kern w:val="0"/>
                <w:sz w:val="14"/>
                <w:szCs w:val="12"/>
              </w:rPr>
            </w:pPr>
            <w:r w:rsidRPr="00263B73">
              <w:rPr>
                <w:rFonts w:ascii="ＭＳ ゴシック" w:eastAsia="ＭＳ ゴシック" w:hAnsi="ＭＳ ゴシック" w:cs="ＭＳ Ｐゴシック" w:hint="eastAsia"/>
                <w:kern w:val="0"/>
                <w:sz w:val="14"/>
                <w:szCs w:val="12"/>
              </w:rPr>
              <w:t>新型インフルエンザの発生</w:t>
            </w:r>
          </w:p>
        </w:tc>
        <w:tc>
          <w:tcPr>
            <w:tcW w:w="5631" w:type="dxa"/>
            <w:gridSpan w:val="2"/>
            <w:noWrap/>
            <w:vAlign w:val="center"/>
            <w:hideMark/>
          </w:tcPr>
          <w:p w14:paraId="2F3167A1" w14:textId="77777777" w:rsidR="008A3EDE" w:rsidRPr="00263B73" w:rsidRDefault="008A3EDE" w:rsidP="00831B7C">
            <w:pPr>
              <w:widowControl/>
              <w:spacing w:line="180" w:lineRule="exact"/>
              <w:jc w:val="left"/>
              <w:rPr>
                <w:rFonts w:ascii="ＭＳ ゴシック" w:eastAsia="ＭＳ ゴシック" w:hAnsi="ＭＳ ゴシック" w:cs="ＭＳ Ｐゴシック"/>
                <w:kern w:val="0"/>
                <w:sz w:val="14"/>
                <w:szCs w:val="12"/>
              </w:rPr>
            </w:pPr>
            <w:r w:rsidRPr="00263B73">
              <w:rPr>
                <w:rFonts w:ascii="ＭＳ ゴシック" w:eastAsia="ＭＳ ゴシック" w:hAnsi="ＭＳ ゴシック" w:cs="ＭＳ Ｐゴシック" w:hint="eastAsia"/>
                <w:kern w:val="0"/>
                <w:sz w:val="14"/>
                <w:szCs w:val="12"/>
              </w:rPr>
              <w:t>大阪府新型インフルエンザ等対策行動計画</w:t>
            </w:r>
          </w:p>
        </w:tc>
        <w:tc>
          <w:tcPr>
            <w:tcW w:w="850" w:type="dxa"/>
            <w:vMerge/>
            <w:noWrap/>
            <w:vAlign w:val="center"/>
          </w:tcPr>
          <w:p w14:paraId="15616422" w14:textId="77777777" w:rsidR="008A3EDE" w:rsidRPr="00263B73" w:rsidRDefault="008A3EDE" w:rsidP="00831B7C">
            <w:pPr>
              <w:spacing w:line="180" w:lineRule="exact"/>
              <w:jc w:val="left"/>
              <w:rPr>
                <w:rFonts w:ascii="ＭＳ ゴシック" w:eastAsia="ＭＳ ゴシック" w:hAnsi="ＭＳ ゴシック" w:cs="ＭＳ Ｐゴシック"/>
                <w:kern w:val="0"/>
                <w:sz w:val="14"/>
                <w:szCs w:val="12"/>
              </w:rPr>
            </w:pPr>
          </w:p>
        </w:tc>
        <w:tc>
          <w:tcPr>
            <w:tcW w:w="1843" w:type="dxa"/>
            <w:noWrap/>
            <w:vAlign w:val="center"/>
            <w:hideMark/>
          </w:tcPr>
          <w:p w14:paraId="544B1B41" w14:textId="77777777" w:rsidR="008A3EDE" w:rsidRPr="00263B73" w:rsidRDefault="008A3EDE" w:rsidP="00831B7C">
            <w:pPr>
              <w:widowControl/>
              <w:spacing w:line="180" w:lineRule="exact"/>
              <w:rPr>
                <w:rFonts w:ascii="ＭＳ ゴシック" w:eastAsia="ＭＳ ゴシック" w:hAnsi="ＭＳ ゴシック" w:cs="ＭＳ Ｐゴシック"/>
                <w:kern w:val="0"/>
                <w:sz w:val="14"/>
                <w:szCs w:val="12"/>
              </w:rPr>
            </w:pPr>
            <w:r w:rsidRPr="00263B73">
              <w:rPr>
                <w:rFonts w:ascii="ＭＳ ゴシック" w:eastAsia="ＭＳ ゴシック" w:hAnsi="ＭＳ ゴシック" w:cs="ＭＳ Ｐゴシック" w:hint="eastAsia"/>
                <w:kern w:val="0"/>
                <w:sz w:val="14"/>
                <w:szCs w:val="12"/>
              </w:rPr>
              <w:t>医療・感染症対策課</w:t>
            </w:r>
          </w:p>
        </w:tc>
      </w:tr>
      <w:tr w:rsidR="008A3EDE" w:rsidRPr="00263B73" w14:paraId="16379A88" w14:textId="77777777" w:rsidTr="00831B7C">
        <w:trPr>
          <w:trHeight w:val="20"/>
        </w:trPr>
        <w:tc>
          <w:tcPr>
            <w:tcW w:w="1501" w:type="dxa"/>
            <w:vAlign w:val="center"/>
            <w:hideMark/>
          </w:tcPr>
          <w:p w14:paraId="17B4D300" w14:textId="77777777" w:rsidR="008A3EDE" w:rsidRPr="00263B73" w:rsidRDefault="008A3EDE" w:rsidP="00831B7C">
            <w:pPr>
              <w:widowControl/>
              <w:spacing w:line="180" w:lineRule="exact"/>
              <w:jc w:val="left"/>
              <w:rPr>
                <w:rFonts w:ascii="ＭＳ ゴシック" w:eastAsia="ＭＳ ゴシック" w:hAnsi="ＭＳ ゴシック" w:cs="ＭＳ Ｐゴシック"/>
                <w:kern w:val="0"/>
                <w:sz w:val="14"/>
                <w:szCs w:val="12"/>
              </w:rPr>
            </w:pPr>
            <w:r w:rsidRPr="00263B73">
              <w:rPr>
                <w:rFonts w:ascii="ＭＳ ゴシック" w:eastAsia="ＭＳ ゴシック" w:hAnsi="ＭＳ ゴシック" w:cs="ＭＳ Ｐゴシック" w:hint="eastAsia"/>
                <w:kern w:val="0"/>
                <w:sz w:val="14"/>
                <w:szCs w:val="12"/>
              </w:rPr>
              <w:t>災害時等のこころのケア</w:t>
            </w:r>
          </w:p>
        </w:tc>
        <w:tc>
          <w:tcPr>
            <w:tcW w:w="5631" w:type="dxa"/>
            <w:gridSpan w:val="2"/>
            <w:noWrap/>
            <w:vAlign w:val="center"/>
            <w:hideMark/>
          </w:tcPr>
          <w:p w14:paraId="0F0F5E60" w14:textId="77777777" w:rsidR="008A3EDE" w:rsidRPr="00263B73" w:rsidRDefault="008A3EDE" w:rsidP="00831B7C">
            <w:pPr>
              <w:widowControl/>
              <w:spacing w:line="180" w:lineRule="exact"/>
              <w:jc w:val="left"/>
              <w:rPr>
                <w:rFonts w:ascii="ＭＳ ゴシック" w:eastAsia="ＭＳ ゴシック" w:hAnsi="ＭＳ ゴシック" w:cs="ＭＳ Ｐゴシック"/>
                <w:kern w:val="0"/>
                <w:sz w:val="14"/>
                <w:szCs w:val="12"/>
              </w:rPr>
            </w:pPr>
            <w:r w:rsidRPr="00263B73">
              <w:rPr>
                <w:rFonts w:ascii="ＭＳ ゴシック" w:eastAsia="ＭＳ ゴシック" w:hAnsi="ＭＳ ゴシック" w:cs="ＭＳ Ｐゴシック" w:hint="eastAsia"/>
                <w:kern w:val="0"/>
                <w:sz w:val="14"/>
                <w:szCs w:val="12"/>
              </w:rPr>
              <w:t>大阪ＤＰＡＴ活動マニュアル</w:t>
            </w:r>
          </w:p>
        </w:tc>
        <w:tc>
          <w:tcPr>
            <w:tcW w:w="850" w:type="dxa"/>
            <w:vMerge/>
            <w:noWrap/>
            <w:vAlign w:val="center"/>
            <w:hideMark/>
          </w:tcPr>
          <w:p w14:paraId="5BA44544" w14:textId="77777777" w:rsidR="008A3EDE" w:rsidRPr="00263B73" w:rsidRDefault="008A3EDE" w:rsidP="00831B7C">
            <w:pPr>
              <w:spacing w:line="180" w:lineRule="exact"/>
              <w:jc w:val="left"/>
              <w:rPr>
                <w:rFonts w:ascii="ＭＳ ゴシック" w:eastAsia="ＭＳ ゴシック" w:hAnsi="ＭＳ ゴシック" w:cs="ＭＳ Ｐゴシック"/>
                <w:kern w:val="0"/>
                <w:sz w:val="14"/>
                <w:szCs w:val="12"/>
              </w:rPr>
            </w:pPr>
          </w:p>
        </w:tc>
        <w:tc>
          <w:tcPr>
            <w:tcW w:w="1843" w:type="dxa"/>
            <w:noWrap/>
            <w:vAlign w:val="center"/>
            <w:hideMark/>
          </w:tcPr>
          <w:p w14:paraId="48022AFA" w14:textId="77777777" w:rsidR="008A3EDE" w:rsidRPr="00263B73" w:rsidRDefault="008A3EDE" w:rsidP="00831B7C">
            <w:pPr>
              <w:widowControl/>
              <w:spacing w:line="180" w:lineRule="exact"/>
              <w:rPr>
                <w:rFonts w:ascii="ＭＳ ゴシック" w:eastAsia="ＭＳ ゴシック" w:hAnsi="ＭＳ ゴシック" w:cs="ＭＳ Ｐゴシック"/>
                <w:kern w:val="0"/>
                <w:sz w:val="14"/>
                <w:szCs w:val="12"/>
              </w:rPr>
            </w:pPr>
            <w:r>
              <w:rPr>
                <w:rFonts w:ascii="ＭＳ ゴシック" w:eastAsia="ＭＳ ゴシック" w:hAnsi="ＭＳ ゴシック" w:cs="ＭＳ Ｐゴシック" w:hint="eastAsia"/>
                <w:kern w:val="0"/>
                <w:sz w:val="14"/>
                <w:szCs w:val="12"/>
              </w:rPr>
              <w:t>地域保健課</w:t>
            </w:r>
          </w:p>
        </w:tc>
      </w:tr>
      <w:tr w:rsidR="008A3EDE" w:rsidRPr="00263B73" w14:paraId="64DF1C6B" w14:textId="77777777" w:rsidTr="00831B7C">
        <w:trPr>
          <w:trHeight w:val="20"/>
        </w:trPr>
        <w:tc>
          <w:tcPr>
            <w:tcW w:w="1501" w:type="dxa"/>
            <w:vAlign w:val="center"/>
          </w:tcPr>
          <w:p w14:paraId="6E30017C" w14:textId="77777777" w:rsidR="008A3EDE" w:rsidRPr="00263B73" w:rsidRDefault="008A3EDE" w:rsidP="00831B7C">
            <w:pPr>
              <w:widowControl/>
              <w:spacing w:line="180" w:lineRule="exact"/>
              <w:jc w:val="left"/>
              <w:rPr>
                <w:rFonts w:ascii="ＭＳ ゴシック" w:eastAsia="ＭＳ ゴシック" w:hAnsi="ＭＳ ゴシック" w:cs="ＭＳ Ｐゴシック"/>
                <w:kern w:val="0"/>
                <w:sz w:val="14"/>
                <w:szCs w:val="12"/>
              </w:rPr>
            </w:pPr>
            <w:r w:rsidRPr="00263B73">
              <w:rPr>
                <w:rFonts w:ascii="ＭＳ ゴシック" w:eastAsia="ＭＳ ゴシック" w:hAnsi="ＭＳ ゴシック" w:cs="ＭＳ Ｐゴシック" w:hint="eastAsia"/>
                <w:kern w:val="0"/>
                <w:sz w:val="14"/>
                <w:szCs w:val="12"/>
              </w:rPr>
              <w:t>災害時における栄養・食生活課題</w:t>
            </w:r>
          </w:p>
        </w:tc>
        <w:tc>
          <w:tcPr>
            <w:tcW w:w="5631" w:type="dxa"/>
            <w:gridSpan w:val="2"/>
            <w:noWrap/>
            <w:vAlign w:val="center"/>
          </w:tcPr>
          <w:p w14:paraId="42B5E716" w14:textId="77777777" w:rsidR="008A3EDE" w:rsidRPr="00263B73" w:rsidRDefault="008A3EDE" w:rsidP="00831B7C">
            <w:pPr>
              <w:widowControl/>
              <w:spacing w:line="180" w:lineRule="exact"/>
              <w:jc w:val="left"/>
              <w:rPr>
                <w:rFonts w:ascii="ＭＳ ゴシック" w:eastAsia="ＭＳ ゴシック" w:hAnsi="ＭＳ ゴシック" w:cs="ＭＳ Ｐゴシック"/>
                <w:kern w:val="0"/>
                <w:sz w:val="14"/>
                <w:szCs w:val="12"/>
              </w:rPr>
            </w:pPr>
            <w:r w:rsidRPr="00263B73">
              <w:rPr>
                <w:rFonts w:ascii="ＭＳ ゴシック" w:eastAsia="ＭＳ ゴシック" w:hAnsi="ＭＳ ゴシック" w:cs="ＭＳ Ｐゴシック" w:hint="eastAsia"/>
                <w:kern w:val="0"/>
                <w:sz w:val="14"/>
                <w:szCs w:val="12"/>
              </w:rPr>
              <w:t>災害時の栄養食生活支援について～行政栄養士の災害時対応マニュアル～</w:t>
            </w:r>
          </w:p>
        </w:tc>
        <w:tc>
          <w:tcPr>
            <w:tcW w:w="850" w:type="dxa"/>
            <w:vMerge/>
            <w:noWrap/>
            <w:vAlign w:val="center"/>
          </w:tcPr>
          <w:p w14:paraId="576F0657" w14:textId="77777777" w:rsidR="008A3EDE" w:rsidRPr="00263B73" w:rsidRDefault="008A3EDE" w:rsidP="00831B7C">
            <w:pPr>
              <w:spacing w:line="180" w:lineRule="exact"/>
              <w:jc w:val="left"/>
              <w:rPr>
                <w:rFonts w:ascii="ＭＳ ゴシック" w:eastAsia="ＭＳ ゴシック" w:hAnsi="ＭＳ ゴシック" w:cs="ＭＳ Ｐゴシック"/>
                <w:kern w:val="0"/>
                <w:sz w:val="14"/>
                <w:szCs w:val="12"/>
              </w:rPr>
            </w:pPr>
          </w:p>
        </w:tc>
        <w:tc>
          <w:tcPr>
            <w:tcW w:w="1843" w:type="dxa"/>
            <w:noWrap/>
            <w:vAlign w:val="center"/>
          </w:tcPr>
          <w:p w14:paraId="59531F28" w14:textId="77777777" w:rsidR="008A3EDE" w:rsidRPr="00263B73" w:rsidRDefault="008A3EDE" w:rsidP="00831B7C">
            <w:pPr>
              <w:widowControl/>
              <w:spacing w:line="180" w:lineRule="exact"/>
              <w:rPr>
                <w:rFonts w:ascii="ＭＳ ゴシック" w:eastAsia="ＭＳ ゴシック" w:hAnsi="ＭＳ ゴシック" w:cs="ＭＳ Ｐゴシック"/>
                <w:kern w:val="0"/>
                <w:sz w:val="14"/>
                <w:szCs w:val="12"/>
              </w:rPr>
            </w:pPr>
            <w:r w:rsidRPr="00263B73">
              <w:rPr>
                <w:rFonts w:ascii="ＭＳ ゴシック" w:eastAsia="ＭＳ ゴシック" w:hAnsi="ＭＳ ゴシック" w:cs="ＭＳ Ｐゴシック" w:hint="eastAsia"/>
                <w:kern w:val="0"/>
                <w:sz w:val="14"/>
                <w:szCs w:val="12"/>
              </w:rPr>
              <w:t>健康づくり課</w:t>
            </w:r>
          </w:p>
        </w:tc>
      </w:tr>
      <w:tr w:rsidR="008A3EDE" w:rsidRPr="00263B73" w14:paraId="472BB8A5" w14:textId="77777777" w:rsidTr="00831B7C">
        <w:trPr>
          <w:trHeight w:val="20"/>
        </w:trPr>
        <w:tc>
          <w:tcPr>
            <w:tcW w:w="1501" w:type="dxa"/>
            <w:vAlign w:val="center"/>
          </w:tcPr>
          <w:p w14:paraId="5E521B5F" w14:textId="77777777" w:rsidR="008A3EDE" w:rsidRPr="00263B73" w:rsidRDefault="008A3EDE" w:rsidP="00831B7C">
            <w:pPr>
              <w:widowControl/>
              <w:spacing w:line="180" w:lineRule="exact"/>
              <w:jc w:val="left"/>
              <w:rPr>
                <w:rFonts w:ascii="ＭＳ ゴシック" w:eastAsia="ＭＳ ゴシック" w:hAnsi="ＭＳ ゴシック" w:cs="ＭＳ Ｐゴシック"/>
                <w:kern w:val="0"/>
                <w:sz w:val="14"/>
                <w:szCs w:val="12"/>
              </w:rPr>
            </w:pPr>
            <w:r w:rsidRPr="00263B73">
              <w:rPr>
                <w:rFonts w:ascii="ＭＳ ゴシック" w:eastAsia="ＭＳ ゴシック" w:hAnsi="ＭＳ ゴシック" w:cs="ＭＳ Ｐゴシック" w:hint="eastAsia"/>
                <w:kern w:val="0"/>
                <w:sz w:val="14"/>
                <w:szCs w:val="12"/>
              </w:rPr>
              <w:t>環境衛生に関わる健康被害</w:t>
            </w:r>
          </w:p>
        </w:tc>
        <w:tc>
          <w:tcPr>
            <w:tcW w:w="5631" w:type="dxa"/>
            <w:gridSpan w:val="2"/>
            <w:noWrap/>
            <w:vAlign w:val="center"/>
          </w:tcPr>
          <w:p w14:paraId="0EF0F7F0" w14:textId="77777777" w:rsidR="008A3EDE" w:rsidRPr="00263B73" w:rsidRDefault="008A3EDE" w:rsidP="00831B7C">
            <w:pPr>
              <w:widowControl/>
              <w:spacing w:line="180" w:lineRule="exact"/>
              <w:jc w:val="left"/>
              <w:rPr>
                <w:rFonts w:ascii="ＭＳ ゴシック" w:eastAsia="ＭＳ ゴシック" w:hAnsi="ＭＳ ゴシック" w:cs="ＭＳ Ｐゴシック"/>
                <w:kern w:val="0"/>
                <w:sz w:val="14"/>
                <w:szCs w:val="12"/>
              </w:rPr>
            </w:pPr>
            <w:r w:rsidRPr="00263B73">
              <w:rPr>
                <w:rFonts w:ascii="ＭＳ ゴシック" w:eastAsia="ＭＳ ゴシック" w:hAnsi="ＭＳ ゴシック" w:cs="ＭＳ Ｐゴシック" w:hint="eastAsia"/>
                <w:kern w:val="0"/>
                <w:sz w:val="14"/>
                <w:szCs w:val="12"/>
              </w:rPr>
              <w:t>環境衛生確保マニュアル</w:t>
            </w:r>
          </w:p>
        </w:tc>
        <w:tc>
          <w:tcPr>
            <w:tcW w:w="850" w:type="dxa"/>
            <w:vMerge/>
            <w:noWrap/>
            <w:vAlign w:val="center"/>
          </w:tcPr>
          <w:p w14:paraId="4D645F4B" w14:textId="77777777" w:rsidR="008A3EDE" w:rsidRPr="00263B73" w:rsidRDefault="008A3EDE" w:rsidP="00831B7C">
            <w:pPr>
              <w:spacing w:line="180" w:lineRule="exact"/>
              <w:jc w:val="left"/>
              <w:rPr>
                <w:rFonts w:ascii="ＭＳ ゴシック" w:eastAsia="ＭＳ ゴシック" w:hAnsi="ＭＳ ゴシック" w:cs="ＭＳ Ｐゴシック"/>
                <w:kern w:val="0"/>
                <w:sz w:val="14"/>
                <w:szCs w:val="12"/>
              </w:rPr>
            </w:pPr>
          </w:p>
        </w:tc>
        <w:tc>
          <w:tcPr>
            <w:tcW w:w="1843" w:type="dxa"/>
            <w:noWrap/>
            <w:vAlign w:val="center"/>
          </w:tcPr>
          <w:p w14:paraId="1EA8A76D" w14:textId="77777777" w:rsidR="008A3EDE" w:rsidRPr="00263B73" w:rsidRDefault="008A3EDE" w:rsidP="00831B7C">
            <w:pPr>
              <w:widowControl/>
              <w:spacing w:line="180" w:lineRule="exact"/>
              <w:rPr>
                <w:rFonts w:ascii="ＭＳ ゴシック" w:eastAsia="ＭＳ ゴシック" w:hAnsi="ＭＳ ゴシック" w:cs="ＭＳ Ｐゴシック"/>
                <w:kern w:val="0"/>
                <w:sz w:val="14"/>
                <w:szCs w:val="12"/>
              </w:rPr>
            </w:pPr>
            <w:r w:rsidRPr="00263B73">
              <w:rPr>
                <w:rFonts w:ascii="ＭＳ ゴシック" w:eastAsia="ＭＳ ゴシック" w:hAnsi="ＭＳ ゴシック" w:cs="ＭＳ Ｐゴシック" w:hint="eastAsia"/>
                <w:kern w:val="0"/>
                <w:sz w:val="14"/>
                <w:szCs w:val="12"/>
              </w:rPr>
              <w:t>環境衛生課</w:t>
            </w:r>
          </w:p>
        </w:tc>
      </w:tr>
      <w:tr w:rsidR="008A3EDE" w:rsidRPr="00263B73" w14:paraId="2DE7439E" w14:textId="77777777" w:rsidTr="00831B7C">
        <w:trPr>
          <w:trHeight w:val="20"/>
        </w:trPr>
        <w:tc>
          <w:tcPr>
            <w:tcW w:w="1501" w:type="dxa"/>
            <w:vAlign w:val="center"/>
          </w:tcPr>
          <w:p w14:paraId="735766AF" w14:textId="77777777" w:rsidR="008A3EDE" w:rsidRPr="00263B73" w:rsidRDefault="008A3EDE" w:rsidP="00831B7C">
            <w:pPr>
              <w:widowControl/>
              <w:spacing w:line="180" w:lineRule="exact"/>
              <w:jc w:val="left"/>
              <w:rPr>
                <w:rFonts w:ascii="ＭＳ ゴシック" w:eastAsia="ＭＳ ゴシック" w:hAnsi="ＭＳ ゴシック" w:cs="ＭＳ Ｐゴシック"/>
                <w:kern w:val="0"/>
                <w:sz w:val="14"/>
                <w:szCs w:val="12"/>
              </w:rPr>
            </w:pPr>
            <w:r w:rsidRPr="00263B73">
              <w:rPr>
                <w:rFonts w:ascii="ＭＳ ゴシック" w:eastAsia="ＭＳ ゴシック" w:hAnsi="ＭＳ ゴシック" w:cs="ＭＳ Ｐゴシック" w:hint="eastAsia"/>
                <w:kern w:val="0"/>
                <w:sz w:val="14"/>
                <w:szCs w:val="12"/>
              </w:rPr>
              <w:t>セアカゴケグモによる健康被害</w:t>
            </w:r>
          </w:p>
        </w:tc>
        <w:tc>
          <w:tcPr>
            <w:tcW w:w="5631" w:type="dxa"/>
            <w:gridSpan w:val="2"/>
            <w:noWrap/>
            <w:vAlign w:val="center"/>
          </w:tcPr>
          <w:p w14:paraId="7B0B321E" w14:textId="77777777" w:rsidR="008A3EDE" w:rsidRPr="00263B73" w:rsidRDefault="008A3EDE" w:rsidP="00831B7C">
            <w:pPr>
              <w:widowControl/>
              <w:spacing w:line="180" w:lineRule="exact"/>
              <w:jc w:val="left"/>
              <w:rPr>
                <w:rFonts w:ascii="ＭＳ ゴシック" w:eastAsia="ＭＳ ゴシック" w:hAnsi="ＭＳ ゴシック" w:cs="ＭＳ Ｐゴシック"/>
                <w:kern w:val="0"/>
                <w:sz w:val="14"/>
                <w:szCs w:val="12"/>
              </w:rPr>
            </w:pPr>
            <w:r w:rsidRPr="00263B73">
              <w:rPr>
                <w:rFonts w:ascii="ＭＳ ゴシック" w:eastAsia="ＭＳ ゴシック" w:hAnsi="ＭＳ ゴシック" w:cs="ＭＳ Ｐゴシック" w:hint="eastAsia"/>
                <w:kern w:val="0"/>
                <w:sz w:val="14"/>
                <w:szCs w:val="12"/>
              </w:rPr>
              <w:t>セアカゴケグモによる咬傷時の対応方策</w:t>
            </w:r>
          </w:p>
        </w:tc>
        <w:tc>
          <w:tcPr>
            <w:tcW w:w="850" w:type="dxa"/>
            <w:vMerge/>
            <w:noWrap/>
            <w:vAlign w:val="center"/>
          </w:tcPr>
          <w:p w14:paraId="778EB47D" w14:textId="77777777" w:rsidR="008A3EDE" w:rsidRPr="00263B73" w:rsidRDefault="008A3EDE" w:rsidP="00831B7C">
            <w:pPr>
              <w:spacing w:line="180" w:lineRule="exact"/>
              <w:jc w:val="left"/>
              <w:rPr>
                <w:rFonts w:ascii="ＭＳ ゴシック" w:eastAsia="ＭＳ ゴシック" w:hAnsi="ＭＳ ゴシック" w:cs="ＭＳ Ｐゴシック"/>
                <w:kern w:val="0"/>
                <w:sz w:val="14"/>
                <w:szCs w:val="12"/>
              </w:rPr>
            </w:pPr>
          </w:p>
        </w:tc>
        <w:tc>
          <w:tcPr>
            <w:tcW w:w="1843" w:type="dxa"/>
            <w:noWrap/>
            <w:vAlign w:val="center"/>
          </w:tcPr>
          <w:p w14:paraId="38AF0889" w14:textId="77777777" w:rsidR="008A3EDE" w:rsidRPr="00263B73" w:rsidRDefault="008A3EDE" w:rsidP="00831B7C">
            <w:pPr>
              <w:widowControl/>
              <w:spacing w:line="180" w:lineRule="exact"/>
              <w:rPr>
                <w:rFonts w:ascii="ＭＳ ゴシック" w:eastAsia="ＭＳ ゴシック" w:hAnsi="ＭＳ ゴシック" w:cs="ＭＳ Ｐゴシック"/>
                <w:kern w:val="0"/>
                <w:sz w:val="14"/>
                <w:szCs w:val="12"/>
              </w:rPr>
            </w:pPr>
            <w:r w:rsidRPr="00263B73">
              <w:rPr>
                <w:rFonts w:ascii="ＭＳ ゴシック" w:eastAsia="ＭＳ ゴシック" w:hAnsi="ＭＳ ゴシック" w:cs="ＭＳ Ｐゴシック" w:hint="eastAsia"/>
                <w:kern w:val="0"/>
                <w:sz w:val="14"/>
                <w:szCs w:val="12"/>
              </w:rPr>
              <w:t>環境衛生課</w:t>
            </w:r>
          </w:p>
        </w:tc>
      </w:tr>
      <w:tr w:rsidR="008A3EDE" w:rsidRPr="00263B73" w14:paraId="3A9CC1E9" w14:textId="77777777" w:rsidTr="00831B7C">
        <w:trPr>
          <w:trHeight w:val="20"/>
        </w:trPr>
        <w:tc>
          <w:tcPr>
            <w:tcW w:w="1501" w:type="dxa"/>
            <w:vAlign w:val="center"/>
          </w:tcPr>
          <w:p w14:paraId="1C19C1B1" w14:textId="77777777" w:rsidR="008A3EDE" w:rsidRPr="00263B73" w:rsidRDefault="008A3EDE" w:rsidP="00831B7C">
            <w:pPr>
              <w:widowControl/>
              <w:spacing w:line="180" w:lineRule="exact"/>
              <w:jc w:val="left"/>
              <w:rPr>
                <w:rFonts w:ascii="ＭＳ ゴシック" w:eastAsia="ＭＳ ゴシック" w:hAnsi="ＭＳ ゴシック" w:cs="ＭＳ Ｐゴシック"/>
                <w:kern w:val="0"/>
                <w:sz w:val="14"/>
                <w:szCs w:val="12"/>
              </w:rPr>
            </w:pPr>
            <w:r w:rsidRPr="00263B73">
              <w:rPr>
                <w:rFonts w:ascii="ＭＳ ゴシック" w:eastAsia="ＭＳ ゴシック" w:hAnsi="ＭＳ ゴシック" w:cs="ＭＳ Ｐゴシック" w:hint="eastAsia"/>
                <w:kern w:val="0"/>
                <w:sz w:val="14"/>
                <w:szCs w:val="12"/>
              </w:rPr>
              <w:t>飲料水による健康被害</w:t>
            </w:r>
          </w:p>
        </w:tc>
        <w:tc>
          <w:tcPr>
            <w:tcW w:w="5631" w:type="dxa"/>
            <w:gridSpan w:val="2"/>
            <w:noWrap/>
            <w:vAlign w:val="center"/>
          </w:tcPr>
          <w:p w14:paraId="23286D1B" w14:textId="77777777" w:rsidR="008A3EDE" w:rsidRPr="00263B73" w:rsidRDefault="008A3EDE" w:rsidP="00831B7C">
            <w:pPr>
              <w:widowControl/>
              <w:spacing w:line="180" w:lineRule="exact"/>
              <w:jc w:val="left"/>
              <w:rPr>
                <w:rFonts w:ascii="ＭＳ ゴシック" w:eastAsia="ＭＳ ゴシック" w:hAnsi="ＭＳ ゴシック" w:cs="ＭＳ Ｐゴシック"/>
                <w:kern w:val="0"/>
                <w:sz w:val="14"/>
                <w:szCs w:val="12"/>
              </w:rPr>
            </w:pPr>
            <w:r w:rsidRPr="00263B73">
              <w:rPr>
                <w:rFonts w:ascii="ＭＳ ゴシック" w:eastAsia="ＭＳ ゴシック" w:hAnsi="ＭＳ ゴシック" w:cs="ＭＳ Ｐゴシック" w:hint="eastAsia"/>
                <w:kern w:val="0"/>
                <w:sz w:val="14"/>
                <w:szCs w:val="12"/>
              </w:rPr>
              <w:t>大阪府飲料水健康危機管理実施要領</w:t>
            </w:r>
          </w:p>
        </w:tc>
        <w:tc>
          <w:tcPr>
            <w:tcW w:w="850" w:type="dxa"/>
            <w:vMerge/>
            <w:noWrap/>
            <w:vAlign w:val="center"/>
          </w:tcPr>
          <w:p w14:paraId="60EE7B6D" w14:textId="77777777" w:rsidR="008A3EDE" w:rsidRPr="00263B73" w:rsidRDefault="008A3EDE" w:rsidP="00831B7C">
            <w:pPr>
              <w:spacing w:line="180" w:lineRule="exact"/>
              <w:jc w:val="left"/>
              <w:rPr>
                <w:rFonts w:ascii="ＭＳ ゴシック" w:eastAsia="ＭＳ ゴシック" w:hAnsi="ＭＳ ゴシック" w:cs="ＭＳ Ｐゴシック"/>
                <w:kern w:val="0"/>
                <w:sz w:val="14"/>
                <w:szCs w:val="12"/>
              </w:rPr>
            </w:pPr>
          </w:p>
        </w:tc>
        <w:tc>
          <w:tcPr>
            <w:tcW w:w="1843" w:type="dxa"/>
            <w:noWrap/>
            <w:vAlign w:val="center"/>
          </w:tcPr>
          <w:p w14:paraId="3801DD8A" w14:textId="77777777" w:rsidR="008A3EDE" w:rsidRPr="00263B73" w:rsidRDefault="008A3EDE" w:rsidP="00831B7C">
            <w:pPr>
              <w:widowControl/>
              <w:spacing w:line="180" w:lineRule="exact"/>
              <w:rPr>
                <w:rFonts w:ascii="ＭＳ ゴシック" w:eastAsia="ＭＳ ゴシック" w:hAnsi="ＭＳ ゴシック" w:cs="ＭＳ Ｐゴシック"/>
                <w:kern w:val="0"/>
                <w:sz w:val="14"/>
                <w:szCs w:val="12"/>
              </w:rPr>
            </w:pPr>
            <w:r w:rsidRPr="00263B73">
              <w:rPr>
                <w:rFonts w:ascii="ＭＳ ゴシック" w:eastAsia="ＭＳ ゴシック" w:hAnsi="ＭＳ ゴシック" w:cs="ＭＳ Ｐゴシック" w:hint="eastAsia"/>
                <w:kern w:val="0"/>
                <w:sz w:val="14"/>
                <w:szCs w:val="12"/>
              </w:rPr>
              <w:t>環境衛生課</w:t>
            </w:r>
          </w:p>
        </w:tc>
      </w:tr>
      <w:tr w:rsidR="008A3EDE" w:rsidRPr="00263B73" w14:paraId="33F3BF55" w14:textId="77777777" w:rsidTr="00831B7C">
        <w:trPr>
          <w:trHeight w:val="20"/>
        </w:trPr>
        <w:tc>
          <w:tcPr>
            <w:tcW w:w="1501" w:type="dxa"/>
            <w:vAlign w:val="center"/>
            <w:hideMark/>
          </w:tcPr>
          <w:p w14:paraId="2AC7EC20" w14:textId="77777777" w:rsidR="008A3EDE" w:rsidRPr="00263B73" w:rsidRDefault="008A3EDE" w:rsidP="00831B7C">
            <w:pPr>
              <w:widowControl/>
              <w:spacing w:line="180" w:lineRule="exact"/>
              <w:jc w:val="left"/>
              <w:rPr>
                <w:rFonts w:ascii="ＭＳ ゴシック" w:eastAsia="ＭＳ ゴシック" w:hAnsi="ＭＳ ゴシック" w:cs="ＭＳ Ｐゴシック"/>
                <w:kern w:val="0"/>
                <w:sz w:val="14"/>
                <w:szCs w:val="12"/>
              </w:rPr>
            </w:pPr>
            <w:r w:rsidRPr="00263B73">
              <w:rPr>
                <w:rFonts w:ascii="ＭＳ ゴシック" w:eastAsia="ＭＳ ゴシック" w:hAnsi="ＭＳ ゴシック" w:cs="ＭＳ Ｐゴシック" w:hint="eastAsia"/>
                <w:kern w:val="0"/>
                <w:sz w:val="14"/>
                <w:szCs w:val="12"/>
              </w:rPr>
              <w:t>医薬品等による健康被害</w:t>
            </w:r>
          </w:p>
        </w:tc>
        <w:tc>
          <w:tcPr>
            <w:tcW w:w="5631" w:type="dxa"/>
            <w:gridSpan w:val="2"/>
            <w:noWrap/>
            <w:vAlign w:val="center"/>
            <w:hideMark/>
          </w:tcPr>
          <w:p w14:paraId="52BA515B" w14:textId="77777777" w:rsidR="008A3EDE" w:rsidRPr="00263B73" w:rsidRDefault="008A3EDE" w:rsidP="00831B7C">
            <w:pPr>
              <w:widowControl/>
              <w:spacing w:line="180" w:lineRule="exact"/>
              <w:jc w:val="left"/>
              <w:rPr>
                <w:rFonts w:ascii="ＭＳ ゴシック" w:eastAsia="ＭＳ ゴシック" w:hAnsi="ＭＳ ゴシック" w:cs="ＭＳ Ｐゴシック"/>
                <w:kern w:val="0"/>
                <w:sz w:val="14"/>
                <w:szCs w:val="12"/>
              </w:rPr>
            </w:pPr>
            <w:r w:rsidRPr="00263B73">
              <w:rPr>
                <w:rFonts w:ascii="ＭＳ ゴシック" w:eastAsia="ＭＳ ゴシック" w:hAnsi="ＭＳ ゴシック" w:cs="ＭＳ Ｐゴシック" w:hint="eastAsia"/>
                <w:kern w:val="0"/>
                <w:sz w:val="14"/>
                <w:szCs w:val="12"/>
              </w:rPr>
              <w:t>医薬品等健康危機管理実施要領</w:t>
            </w:r>
          </w:p>
        </w:tc>
        <w:tc>
          <w:tcPr>
            <w:tcW w:w="850" w:type="dxa"/>
            <w:vMerge/>
            <w:noWrap/>
            <w:vAlign w:val="center"/>
            <w:hideMark/>
          </w:tcPr>
          <w:p w14:paraId="50CFDFB5" w14:textId="77777777" w:rsidR="008A3EDE" w:rsidRPr="00263B73" w:rsidRDefault="008A3EDE" w:rsidP="00831B7C">
            <w:pPr>
              <w:spacing w:line="180" w:lineRule="exact"/>
              <w:jc w:val="left"/>
              <w:rPr>
                <w:rFonts w:ascii="ＭＳ ゴシック" w:eastAsia="ＭＳ ゴシック" w:hAnsi="ＭＳ ゴシック" w:cs="ＭＳ Ｐゴシック"/>
                <w:kern w:val="0"/>
                <w:sz w:val="14"/>
                <w:szCs w:val="12"/>
              </w:rPr>
            </w:pPr>
          </w:p>
        </w:tc>
        <w:tc>
          <w:tcPr>
            <w:tcW w:w="1843" w:type="dxa"/>
            <w:noWrap/>
            <w:vAlign w:val="center"/>
            <w:hideMark/>
          </w:tcPr>
          <w:p w14:paraId="51C5FFD0" w14:textId="77777777" w:rsidR="008A3EDE" w:rsidRPr="00263B73" w:rsidRDefault="008A3EDE" w:rsidP="00831B7C">
            <w:pPr>
              <w:widowControl/>
              <w:spacing w:line="180" w:lineRule="exact"/>
              <w:rPr>
                <w:rFonts w:ascii="ＭＳ ゴシック" w:eastAsia="ＭＳ ゴシック" w:hAnsi="ＭＳ ゴシック" w:cs="ＭＳ Ｐゴシック"/>
                <w:kern w:val="0"/>
                <w:sz w:val="14"/>
                <w:szCs w:val="12"/>
              </w:rPr>
            </w:pPr>
            <w:r w:rsidRPr="00263B73">
              <w:rPr>
                <w:rFonts w:ascii="ＭＳ ゴシック" w:eastAsia="ＭＳ ゴシック" w:hAnsi="ＭＳ ゴシック" w:cs="ＭＳ Ｐゴシック" w:hint="eastAsia"/>
                <w:kern w:val="0"/>
                <w:sz w:val="14"/>
                <w:szCs w:val="12"/>
              </w:rPr>
              <w:t>薬務課</w:t>
            </w:r>
          </w:p>
        </w:tc>
      </w:tr>
      <w:tr w:rsidR="008A3EDE" w:rsidRPr="00263B73" w14:paraId="0CDE397A" w14:textId="77777777" w:rsidTr="00831B7C">
        <w:trPr>
          <w:trHeight w:val="20"/>
        </w:trPr>
        <w:tc>
          <w:tcPr>
            <w:tcW w:w="1501" w:type="dxa"/>
            <w:vAlign w:val="center"/>
            <w:hideMark/>
          </w:tcPr>
          <w:p w14:paraId="28FFE185" w14:textId="77777777" w:rsidR="008A3EDE" w:rsidRPr="00263B73" w:rsidRDefault="008A3EDE" w:rsidP="00831B7C">
            <w:pPr>
              <w:widowControl/>
              <w:spacing w:line="180" w:lineRule="exact"/>
              <w:jc w:val="left"/>
              <w:rPr>
                <w:rFonts w:ascii="ＭＳ ゴシック" w:eastAsia="ＭＳ ゴシック" w:hAnsi="ＭＳ ゴシック" w:cs="ＭＳ Ｐゴシック"/>
                <w:kern w:val="0"/>
                <w:sz w:val="14"/>
                <w:szCs w:val="12"/>
              </w:rPr>
            </w:pPr>
            <w:r w:rsidRPr="00263B73">
              <w:rPr>
                <w:rFonts w:ascii="ＭＳ ゴシック" w:eastAsia="ＭＳ ゴシック" w:hAnsi="ＭＳ ゴシック" w:cs="ＭＳ Ｐゴシック" w:hint="eastAsia"/>
                <w:kern w:val="0"/>
                <w:sz w:val="14"/>
                <w:szCs w:val="12"/>
              </w:rPr>
              <w:t>毒物・劇物による健康被害</w:t>
            </w:r>
          </w:p>
        </w:tc>
        <w:tc>
          <w:tcPr>
            <w:tcW w:w="5631" w:type="dxa"/>
            <w:gridSpan w:val="2"/>
            <w:noWrap/>
            <w:vAlign w:val="center"/>
            <w:hideMark/>
          </w:tcPr>
          <w:p w14:paraId="7B7B6349" w14:textId="77777777" w:rsidR="008A3EDE" w:rsidRPr="00263B73" w:rsidRDefault="008A3EDE" w:rsidP="00831B7C">
            <w:pPr>
              <w:widowControl/>
              <w:spacing w:line="180" w:lineRule="exact"/>
              <w:jc w:val="left"/>
              <w:rPr>
                <w:rFonts w:ascii="ＭＳ ゴシック" w:eastAsia="ＭＳ ゴシック" w:hAnsi="ＭＳ ゴシック" w:cs="ＭＳ Ｐゴシック"/>
                <w:kern w:val="0"/>
                <w:sz w:val="14"/>
                <w:szCs w:val="12"/>
              </w:rPr>
            </w:pPr>
            <w:r w:rsidRPr="00263B73">
              <w:rPr>
                <w:rFonts w:ascii="ＭＳ ゴシック" w:eastAsia="ＭＳ ゴシック" w:hAnsi="ＭＳ ゴシック" w:cs="ＭＳ Ｐゴシック" w:hint="eastAsia"/>
                <w:kern w:val="0"/>
                <w:sz w:val="14"/>
                <w:szCs w:val="12"/>
              </w:rPr>
              <w:t>毒物・劇物事故対応マニュアル</w:t>
            </w:r>
          </w:p>
        </w:tc>
        <w:tc>
          <w:tcPr>
            <w:tcW w:w="850" w:type="dxa"/>
            <w:vMerge/>
            <w:noWrap/>
            <w:vAlign w:val="center"/>
            <w:hideMark/>
          </w:tcPr>
          <w:p w14:paraId="479CDBA9" w14:textId="77777777" w:rsidR="008A3EDE" w:rsidRPr="00263B73" w:rsidRDefault="008A3EDE" w:rsidP="00831B7C">
            <w:pPr>
              <w:spacing w:line="180" w:lineRule="exact"/>
              <w:jc w:val="left"/>
              <w:rPr>
                <w:rFonts w:ascii="ＭＳ ゴシック" w:eastAsia="ＭＳ ゴシック" w:hAnsi="ＭＳ ゴシック" w:cs="ＭＳ Ｐゴシック"/>
                <w:kern w:val="0"/>
                <w:sz w:val="14"/>
                <w:szCs w:val="12"/>
              </w:rPr>
            </w:pPr>
          </w:p>
        </w:tc>
        <w:tc>
          <w:tcPr>
            <w:tcW w:w="1843" w:type="dxa"/>
            <w:noWrap/>
            <w:vAlign w:val="center"/>
            <w:hideMark/>
          </w:tcPr>
          <w:p w14:paraId="67A3AAD9" w14:textId="77777777" w:rsidR="008A3EDE" w:rsidRPr="00263B73" w:rsidRDefault="008A3EDE" w:rsidP="00831B7C">
            <w:pPr>
              <w:widowControl/>
              <w:spacing w:line="180" w:lineRule="exact"/>
              <w:rPr>
                <w:rFonts w:ascii="ＭＳ ゴシック" w:eastAsia="ＭＳ ゴシック" w:hAnsi="ＭＳ ゴシック" w:cs="ＭＳ Ｐゴシック"/>
                <w:kern w:val="0"/>
                <w:sz w:val="14"/>
                <w:szCs w:val="12"/>
              </w:rPr>
            </w:pPr>
            <w:r w:rsidRPr="00263B73">
              <w:rPr>
                <w:rFonts w:ascii="ＭＳ ゴシック" w:eastAsia="ＭＳ ゴシック" w:hAnsi="ＭＳ ゴシック" w:cs="ＭＳ Ｐゴシック" w:hint="eastAsia"/>
                <w:kern w:val="0"/>
                <w:sz w:val="14"/>
                <w:szCs w:val="12"/>
              </w:rPr>
              <w:t>薬務課</w:t>
            </w:r>
          </w:p>
        </w:tc>
      </w:tr>
      <w:tr w:rsidR="008A3EDE" w:rsidRPr="00263B73" w14:paraId="641F0645" w14:textId="77777777" w:rsidTr="00831B7C">
        <w:trPr>
          <w:trHeight w:val="20"/>
        </w:trPr>
        <w:tc>
          <w:tcPr>
            <w:tcW w:w="1501" w:type="dxa"/>
            <w:vAlign w:val="center"/>
            <w:hideMark/>
          </w:tcPr>
          <w:p w14:paraId="444FAD59" w14:textId="77777777" w:rsidR="008A3EDE" w:rsidRPr="00263B73" w:rsidRDefault="008A3EDE" w:rsidP="00831B7C">
            <w:pPr>
              <w:widowControl/>
              <w:spacing w:line="180" w:lineRule="exact"/>
              <w:jc w:val="left"/>
              <w:rPr>
                <w:rFonts w:ascii="ＭＳ ゴシック" w:eastAsia="ＭＳ ゴシック" w:hAnsi="ＭＳ ゴシック" w:cs="ＭＳ Ｐゴシック"/>
                <w:kern w:val="0"/>
                <w:sz w:val="14"/>
                <w:szCs w:val="12"/>
              </w:rPr>
            </w:pPr>
            <w:r w:rsidRPr="00263B73">
              <w:rPr>
                <w:rFonts w:ascii="ＭＳ ゴシック" w:eastAsia="ＭＳ ゴシック" w:hAnsi="ＭＳ ゴシック" w:cs="ＭＳ Ｐゴシック" w:hint="eastAsia"/>
                <w:kern w:val="0"/>
                <w:sz w:val="14"/>
                <w:szCs w:val="12"/>
              </w:rPr>
              <w:t>健康食品による健康被害</w:t>
            </w:r>
          </w:p>
        </w:tc>
        <w:tc>
          <w:tcPr>
            <w:tcW w:w="5631" w:type="dxa"/>
            <w:gridSpan w:val="2"/>
            <w:noWrap/>
            <w:vAlign w:val="center"/>
            <w:hideMark/>
          </w:tcPr>
          <w:p w14:paraId="3FBA19BB" w14:textId="77777777" w:rsidR="008A3EDE" w:rsidRPr="00263B73" w:rsidRDefault="008A3EDE" w:rsidP="00831B7C">
            <w:pPr>
              <w:widowControl/>
              <w:spacing w:line="180" w:lineRule="exact"/>
              <w:jc w:val="left"/>
              <w:rPr>
                <w:rFonts w:ascii="ＭＳ ゴシック" w:eastAsia="ＭＳ ゴシック" w:hAnsi="ＭＳ ゴシック" w:cs="ＭＳ Ｐゴシック"/>
                <w:kern w:val="0"/>
                <w:sz w:val="14"/>
                <w:szCs w:val="12"/>
              </w:rPr>
            </w:pPr>
            <w:r w:rsidRPr="00263B73">
              <w:rPr>
                <w:rFonts w:ascii="ＭＳ ゴシック" w:eastAsia="ＭＳ ゴシック" w:hAnsi="ＭＳ ゴシック" w:cs="ＭＳ Ｐゴシック" w:hint="eastAsia"/>
                <w:kern w:val="0"/>
                <w:sz w:val="14"/>
                <w:szCs w:val="12"/>
              </w:rPr>
              <w:t>いわゆる「健康食品」等による健康被害相談の処理手順</w:t>
            </w:r>
          </w:p>
        </w:tc>
        <w:tc>
          <w:tcPr>
            <w:tcW w:w="850" w:type="dxa"/>
            <w:vMerge/>
            <w:noWrap/>
            <w:vAlign w:val="center"/>
            <w:hideMark/>
          </w:tcPr>
          <w:p w14:paraId="6179F213" w14:textId="77777777" w:rsidR="008A3EDE" w:rsidRPr="00263B73" w:rsidRDefault="008A3EDE" w:rsidP="00831B7C">
            <w:pPr>
              <w:spacing w:line="180" w:lineRule="exact"/>
              <w:jc w:val="left"/>
              <w:rPr>
                <w:rFonts w:ascii="ＭＳ ゴシック" w:eastAsia="ＭＳ ゴシック" w:hAnsi="ＭＳ ゴシック" w:cs="ＭＳ Ｐゴシック"/>
                <w:kern w:val="0"/>
                <w:sz w:val="14"/>
                <w:szCs w:val="12"/>
              </w:rPr>
            </w:pPr>
          </w:p>
        </w:tc>
        <w:tc>
          <w:tcPr>
            <w:tcW w:w="1843" w:type="dxa"/>
            <w:vAlign w:val="center"/>
            <w:hideMark/>
          </w:tcPr>
          <w:p w14:paraId="1E48A642" w14:textId="77777777" w:rsidR="008A3EDE" w:rsidRPr="00263B73" w:rsidRDefault="008A3EDE" w:rsidP="00831B7C">
            <w:pPr>
              <w:widowControl/>
              <w:spacing w:line="180" w:lineRule="exact"/>
              <w:rPr>
                <w:rFonts w:ascii="ＭＳ ゴシック" w:eastAsia="ＭＳ ゴシック" w:hAnsi="ＭＳ ゴシック" w:cs="ＭＳ Ｐゴシック"/>
                <w:kern w:val="0"/>
                <w:sz w:val="14"/>
                <w:szCs w:val="12"/>
              </w:rPr>
            </w:pPr>
            <w:r w:rsidRPr="00263B73">
              <w:rPr>
                <w:rFonts w:ascii="ＭＳ ゴシック" w:eastAsia="ＭＳ ゴシック" w:hAnsi="ＭＳ ゴシック" w:cs="ＭＳ Ｐゴシック" w:hint="eastAsia"/>
                <w:kern w:val="0"/>
                <w:sz w:val="14"/>
                <w:szCs w:val="12"/>
              </w:rPr>
              <w:t>薬務課／食の安全推進課</w:t>
            </w:r>
          </w:p>
        </w:tc>
      </w:tr>
      <w:tr w:rsidR="008A3EDE" w:rsidRPr="00263B73" w14:paraId="06460A6C" w14:textId="77777777" w:rsidTr="00831B7C">
        <w:trPr>
          <w:trHeight w:val="20"/>
        </w:trPr>
        <w:tc>
          <w:tcPr>
            <w:tcW w:w="1501" w:type="dxa"/>
            <w:vAlign w:val="center"/>
          </w:tcPr>
          <w:p w14:paraId="15406C2C" w14:textId="77777777" w:rsidR="008A3EDE" w:rsidRPr="00263B73" w:rsidRDefault="008A3EDE" w:rsidP="00831B7C">
            <w:pPr>
              <w:widowControl/>
              <w:spacing w:line="180" w:lineRule="exact"/>
              <w:jc w:val="left"/>
              <w:rPr>
                <w:rFonts w:ascii="ＭＳ ゴシック" w:eastAsia="ＭＳ ゴシック" w:hAnsi="ＭＳ ゴシック" w:cs="ＭＳ Ｐゴシック"/>
                <w:kern w:val="0"/>
                <w:sz w:val="14"/>
                <w:szCs w:val="12"/>
              </w:rPr>
            </w:pPr>
            <w:r w:rsidRPr="00263B73">
              <w:rPr>
                <w:rFonts w:ascii="ＭＳ ゴシック" w:eastAsia="ＭＳ ゴシック" w:hAnsi="ＭＳ ゴシック" w:cs="ＭＳ Ｐゴシック" w:hint="eastAsia"/>
                <w:kern w:val="0"/>
                <w:sz w:val="14"/>
                <w:szCs w:val="12"/>
              </w:rPr>
              <w:t>大規模災害</w:t>
            </w:r>
          </w:p>
        </w:tc>
        <w:tc>
          <w:tcPr>
            <w:tcW w:w="5631" w:type="dxa"/>
            <w:gridSpan w:val="2"/>
            <w:noWrap/>
            <w:vAlign w:val="center"/>
          </w:tcPr>
          <w:p w14:paraId="63828510" w14:textId="77777777" w:rsidR="008A3EDE" w:rsidRPr="00263B73" w:rsidRDefault="008A3EDE" w:rsidP="00831B7C">
            <w:pPr>
              <w:widowControl/>
              <w:spacing w:line="180" w:lineRule="exact"/>
              <w:jc w:val="left"/>
              <w:rPr>
                <w:rFonts w:ascii="ＭＳ ゴシック" w:eastAsia="ＭＳ ゴシック" w:hAnsi="ＭＳ ゴシック" w:cs="ＭＳ Ｐゴシック"/>
                <w:kern w:val="0"/>
                <w:sz w:val="14"/>
                <w:szCs w:val="12"/>
              </w:rPr>
            </w:pPr>
            <w:r w:rsidRPr="00263B73">
              <w:rPr>
                <w:rFonts w:ascii="ＭＳ ゴシック" w:eastAsia="ＭＳ ゴシック" w:hAnsi="ＭＳ ゴシック" w:cs="ＭＳ Ｐゴシック" w:hint="eastAsia"/>
                <w:kern w:val="0"/>
                <w:sz w:val="14"/>
                <w:szCs w:val="12"/>
              </w:rPr>
              <w:t>薬務課災害時対策実施要領</w:t>
            </w:r>
          </w:p>
        </w:tc>
        <w:tc>
          <w:tcPr>
            <w:tcW w:w="850" w:type="dxa"/>
            <w:vMerge/>
            <w:noWrap/>
            <w:vAlign w:val="center"/>
          </w:tcPr>
          <w:p w14:paraId="21378FAE" w14:textId="77777777" w:rsidR="008A3EDE" w:rsidRPr="00263B73" w:rsidRDefault="008A3EDE" w:rsidP="00831B7C">
            <w:pPr>
              <w:spacing w:line="180" w:lineRule="exact"/>
              <w:jc w:val="left"/>
              <w:rPr>
                <w:rFonts w:ascii="ＭＳ ゴシック" w:eastAsia="ＭＳ ゴシック" w:hAnsi="ＭＳ ゴシック" w:cs="ＭＳ Ｐゴシック"/>
                <w:kern w:val="0"/>
                <w:sz w:val="14"/>
                <w:szCs w:val="12"/>
              </w:rPr>
            </w:pPr>
          </w:p>
        </w:tc>
        <w:tc>
          <w:tcPr>
            <w:tcW w:w="1843" w:type="dxa"/>
            <w:vAlign w:val="center"/>
          </w:tcPr>
          <w:p w14:paraId="6B8FCA05" w14:textId="77777777" w:rsidR="008A3EDE" w:rsidRPr="00263B73" w:rsidRDefault="008A3EDE" w:rsidP="00831B7C">
            <w:pPr>
              <w:widowControl/>
              <w:spacing w:line="180" w:lineRule="exact"/>
              <w:rPr>
                <w:rFonts w:ascii="ＭＳ ゴシック" w:eastAsia="ＭＳ ゴシック" w:hAnsi="ＭＳ ゴシック" w:cs="ＭＳ Ｐゴシック"/>
                <w:kern w:val="0"/>
                <w:sz w:val="14"/>
                <w:szCs w:val="12"/>
              </w:rPr>
            </w:pPr>
            <w:r w:rsidRPr="00263B73">
              <w:rPr>
                <w:rFonts w:ascii="ＭＳ ゴシック" w:eastAsia="ＭＳ ゴシック" w:hAnsi="ＭＳ ゴシック" w:cs="ＭＳ Ｐゴシック" w:hint="eastAsia"/>
                <w:kern w:val="0"/>
                <w:sz w:val="14"/>
                <w:szCs w:val="12"/>
              </w:rPr>
              <w:t>薬務課</w:t>
            </w:r>
          </w:p>
        </w:tc>
      </w:tr>
      <w:tr w:rsidR="008A3EDE" w:rsidRPr="00263B73" w14:paraId="7BD6CC1A" w14:textId="77777777" w:rsidTr="00831B7C">
        <w:trPr>
          <w:trHeight w:val="20"/>
        </w:trPr>
        <w:tc>
          <w:tcPr>
            <w:tcW w:w="1501" w:type="dxa"/>
            <w:vMerge w:val="restart"/>
            <w:hideMark/>
          </w:tcPr>
          <w:p w14:paraId="480A743A" w14:textId="77777777" w:rsidR="008A3EDE" w:rsidRPr="00263B73" w:rsidRDefault="008A3EDE" w:rsidP="00831B7C">
            <w:pPr>
              <w:widowControl/>
              <w:spacing w:line="180" w:lineRule="exact"/>
              <w:jc w:val="left"/>
              <w:rPr>
                <w:rFonts w:ascii="ＭＳ ゴシック" w:eastAsia="ＭＳ ゴシック" w:hAnsi="ＭＳ ゴシック" w:cs="ＭＳ Ｐゴシック"/>
                <w:kern w:val="0"/>
                <w:sz w:val="14"/>
                <w:szCs w:val="12"/>
              </w:rPr>
            </w:pPr>
            <w:r w:rsidRPr="00263B73">
              <w:rPr>
                <w:rFonts w:ascii="ＭＳ ゴシック" w:eastAsia="ＭＳ ゴシック" w:hAnsi="ＭＳ ゴシック" w:cs="ＭＳ Ｐゴシック" w:hint="eastAsia"/>
                <w:kern w:val="0"/>
                <w:sz w:val="14"/>
                <w:szCs w:val="12"/>
              </w:rPr>
              <w:t>食中毒等食に関わる健康被害</w:t>
            </w:r>
          </w:p>
        </w:tc>
        <w:tc>
          <w:tcPr>
            <w:tcW w:w="5631" w:type="dxa"/>
            <w:gridSpan w:val="2"/>
            <w:noWrap/>
            <w:vAlign w:val="center"/>
            <w:hideMark/>
          </w:tcPr>
          <w:p w14:paraId="5419A83D" w14:textId="77777777" w:rsidR="008A3EDE" w:rsidRPr="00263B73" w:rsidRDefault="008A3EDE" w:rsidP="00831B7C">
            <w:pPr>
              <w:widowControl/>
              <w:spacing w:line="180" w:lineRule="exact"/>
              <w:jc w:val="left"/>
              <w:rPr>
                <w:rFonts w:ascii="ＭＳ ゴシック" w:eastAsia="ＭＳ ゴシック" w:hAnsi="ＭＳ ゴシック" w:cs="ＭＳ Ｐゴシック"/>
                <w:kern w:val="0"/>
                <w:sz w:val="14"/>
                <w:szCs w:val="12"/>
              </w:rPr>
            </w:pPr>
            <w:r w:rsidRPr="00263B73">
              <w:rPr>
                <w:rFonts w:ascii="ＭＳ ゴシック" w:eastAsia="ＭＳ ゴシック" w:hAnsi="ＭＳ ゴシック" w:cs="ＭＳ Ｐゴシック" w:hint="eastAsia"/>
                <w:kern w:val="0"/>
                <w:sz w:val="14"/>
                <w:szCs w:val="12"/>
              </w:rPr>
              <w:t>大阪府食中毒対策要綱</w:t>
            </w:r>
          </w:p>
        </w:tc>
        <w:tc>
          <w:tcPr>
            <w:tcW w:w="850" w:type="dxa"/>
            <w:vMerge/>
            <w:noWrap/>
            <w:vAlign w:val="center"/>
            <w:hideMark/>
          </w:tcPr>
          <w:p w14:paraId="77581DD3" w14:textId="77777777" w:rsidR="008A3EDE" w:rsidRPr="00263B73" w:rsidRDefault="008A3EDE" w:rsidP="00831B7C">
            <w:pPr>
              <w:spacing w:line="180" w:lineRule="exact"/>
              <w:jc w:val="left"/>
              <w:rPr>
                <w:rFonts w:ascii="ＭＳ ゴシック" w:eastAsia="ＭＳ ゴシック" w:hAnsi="ＭＳ ゴシック" w:cs="ＭＳ Ｐゴシック"/>
                <w:kern w:val="0"/>
                <w:sz w:val="14"/>
                <w:szCs w:val="12"/>
              </w:rPr>
            </w:pPr>
          </w:p>
        </w:tc>
        <w:tc>
          <w:tcPr>
            <w:tcW w:w="1843" w:type="dxa"/>
            <w:noWrap/>
            <w:vAlign w:val="center"/>
            <w:hideMark/>
          </w:tcPr>
          <w:p w14:paraId="0A7D168D" w14:textId="77777777" w:rsidR="008A3EDE" w:rsidRPr="00263B73" w:rsidRDefault="008A3EDE" w:rsidP="00831B7C">
            <w:pPr>
              <w:widowControl/>
              <w:spacing w:line="180" w:lineRule="exact"/>
              <w:rPr>
                <w:rFonts w:ascii="ＭＳ ゴシック" w:eastAsia="ＭＳ ゴシック" w:hAnsi="ＭＳ ゴシック" w:cs="ＭＳ Ｐゴシック"/>
                <w:kern w:val="0"/>
                <w:sz w:val="14"/>
                <w:szCs w:val="12"/>
              </w:rPr>
            </w:pPr>
            <w:r w:rsidRPr="00263B73">
              <w:rPr>
                <w:rFonts w:ascii="ＭＳ ゴシック" w:eastAsia="ＭＳ ゴシック" w:hAnsi="ＭＳ ゴシック" w:cs="ＭＳ Ｐゴシック" w:hint="eastAsia"/>
                <w:kern w:val="0"/>
                <w:sz w:val="14"/>
                <w:szCs w:val="12"/>
              </w:rPr>
              <w:t>食の安全推進課</w:t>
            </w:r>
          </w:p>
        </w:tc>
      </w:tr>
      <w:tr w:rsidR="008A3EDE" w:rsidRPr="00263B73" w14:paraId="005D6320" w14:textId="77777777" w:rsidTr="00831B7C">
        <w:trPr>
          <w:trHeight w:val="20"/>
        </w:trPr>
        <w:tc>
          <w:tcPr>
            <w:tcW w:w="1501" w:type="dxa"/>
            <w:vMerge/>
            <w:hideMark/>
          </w:tcPr>
          <w:p w14:paraId="7A60FA14" w14:textId="77777777" w:rsidR="008A3EDE" w:rsidRPr="00263B73" w:rsidRDefault="008A3EDE" w:rsidP="00831B7C">
            <w:pPr>
              <w:spacing w:line="180" w:lineRule="exact"/>
              <w:jc w:val="left"/>
              <w:rPr>
                <w:rFonts w:ascii="ＭＳ ゴシック" w:eastAsia="ＭＳ ゴシック" w:hAnsi="ＭＳ ゴシック" w:cs="ＭＳ Ｐゴシック"/>
                <w:kern w:val="0"/>
                <w:sz w:val="14"/>
                <w:szCs w:val="12"/>
              </w:rPr>
            </w:pPr>
          </w:p>
        </w:tc>
        <w:tc>
          <w:tcPr>
            <w:tcW w:w="5631" w:type="dxa"/>
            <w:gridSpan w:val="2"/>
            <w:noWrap/>
            <w:vAlign w:val="center"/>
            <w:hideMark/>
          </w:tcPr>
          <w:p w14:paraId="7566BC2F" w14:textId="77777777" w:rsidR="008A3EDE" w:rsidRPr="00263B73" w:rsidRDefault="008A3EDE" w:rsidP="00831B7C">
            <w:pPr>
              <w:widowControl/>
              <w:spacing w:line="180" w:lineRule="exact"/>
              <w:jc w:val="left"/>
              <w:rPr>
                <w:rFonts w:ascii="ＭＳ ゴシック" w:eastAsia="ＭＳ ゴシック" w:hAnsi="ＭＳ ゴシック" w:cs="ＭＳ Ｐゴシック"/>
                <w:kern w:val="0"/>
                <w:sz w:val="14"/>
                <w:szCs w:val="12"/>
              </w:rPr>
            </w:pPr>
            <w:r w:rsidRPr="00263B73">
              <w:rPr>
                <w:rFonts w:ascii="ＭＳ ゴシック" w:eastAsia="ＭＳ ゴシック" w:hAnsi="ＭＳ ゴシック" w:cs="ＭＳ Ｐゴシック" w:hint="eastAsia"/>
                <w:kern w:val="0"/>
                <w:sz w:val="14"/>
                <w:szCs w:val="12"/>
              </w:rPr>
              <w:t>大阪府災害時食品衛生監視活動マニュアル</w:t>
            </w:r>
          </w:p>
        </w:tc>
        <w:tc>
          <w:tcPr>
            <w:tcW w:w="850" w:type="dxa"/>
            <w:vMerge/>
            <w:noWrap/>
            <w:vAlign w:val="center"/>
            <w:hideMark/>
          </w:tcPr>
          <w:p w14:paraId="014E5F13" w14:textId="77777777" w:rsidR="008A3EDE" w:rsidRPr="00263B73" w:rsidRDefault="008A3EDE" w:rsidP="00831B7C">
            <w:pPr>
              <w:spacing w:line="180" w:lineRule="exact"/>
              <w:jc w:val="left"/>
              <w:rPr>
                <w:rFonts w:ascii="ＭＳ ゴシック" w:eastAsia="ＭＳ ゴシック" w:hAnsi="ＭＳ ゴシック" w:cs="ＭＳ Ｐゴシック"/>
                <w:kern w:val="0"/>
                <w:sz w:val="14"/>
                <w:szCs w:val="12"/>
              </w:rPr>
            </w:pPr>
          </w:p>
        </w:tc>
        <w:tc>
          <w:tcPr>
            <w:tcW w:w="1843" w:type="dxa"/>
            <w:noWrap/>
            <w:vAlign w:val="center"/>
            <w:hideMark/>
          </w:tcPr>
          <w:p w14:paraId="36A20317" w14:textId="77777777" w:rsidR="008A3EDE" w:rsidRPr="00263B73" w:rsidRDefault="008A3EDE" w:rsidP="00831B7C">
            <w:pPr>
              <w:widowControl/>
              <w:spacing w:line="180" w:lineRule="exact"/>
              <w:rPr>
                <w:rFonts w:ascii="ＭＳ ゴシック" w:eastAsia="ＭＳ ゴシック" w:hAnsi="ＭＳ ゴシック" w:cs="ＭＳ Ｐゴシック"/>
                <w:kern w:val="0"/>
                <w:sz w:val="14"/>
                <w:szCs w:val="12"/>
              </w:rPr>
            </w:pPr>
            <w:r w:rsidRPr="00263B73">
              <w:rPr>
                <w:rFonts w:ascii="ＭＳ ゴシック" w:eastAsia="ＭＳ ゴシック" w:hAnsi="ＭＳ ゴシック" w:cs="ＭＳ Ｐゴシック" w:hint="eastAsia"/>
                <w:kern w:val="0"/>
                <w:sz w:val="14"/>
                <w:szCs w:val="12"/>
              </w:rPr>
              <w:t>食の安全推進課</w:t>
            </w:r>
          </w:p>
        </w:tc>
      </w:tr>
      <w:tr w:rsidR="008A3EDE" w:rsidRPr="00263B73" w14:paraId="2D9E7F59" w14:textId="77777777" w:rsidTr="00831B7C">
        <w:trPr>
          <w:trHeight w:val="20"/>
        </w:trPr>
        <w:tc>
          <w:tcPr>
            <w:tcW w:w="1501" w:type="dxa"/>
            <w:vMerge/>
            <w:hideMark/>
          </w:tcPr>
          <w:p w14:paraId="19B0726F" w14:textId="77777777" w:rsidR="008A3EDE" w:rsidRPr="00263B73" w:rsidRDefault="008A3EDE" w:rsidP="00831B7C">
            <w:pPr>
              <w:spacing w:line="180" w:lineRule="exact"/>
              <w:jc w:val="left"/>
              <w:rPr>
                <w:rFonts w:ascii="ＭＳ ゴシック" w:eastAsia="ＭＳ ゴシック" w:hAnsi="ＭＳ ゴシック" w:cs="ＭＳ Ｐゴシック"/>
                <w:kern w:val="0"/>
                <w:sz w:val="14"/>
                <w:szCs w:val="12"/>
              </w:rPr>
            </w:pPr>
          </w:p>
        </w:tc>
        <w:tc>
          <w:tcPr>
            <w:tcW w:w="5631" w:type="dxa"/>
            <w:gridSpan w:val="2"/>
            <w:noWrap/>
            <w:vAlign w:val="center"/>
            <w:hideMark/>
          </w:tcPr>
          <w:p w14:paraId="2122BB75" w14:textId="77777777" w:rsidR="008A3EDE" w:rsidRPr="00263B73" w:rsidRDefault="008A3EDE" w:rsidP="00831B7C">
            <w:pPr>
              <w:widowControl/>
              <w:spacing w:line="180" w:lineRule="exact"/>
              <w:jc w:val="left"/>
              <w:rPr>
                <w:rFonts w:ascii="ＭＳ ゴシック" w:eastAsia="ＭＳ ゴシック" w:hAnsi="ＭＳ ゴシック" w:cs="ＭＳ Ｐゴシック"/>
                <w:kern w:val="0"/>
                <w:sz w:val="14"/>
                <w:szCs w:val="12"/>
              </w:rPr>
            </w:pPr>
            <w:r w:rsidRPr="00263B73">
              <w:rPr>
                <w:rFonts w:ascii="ＭＳ ゴシック" w:eastAsia="ＭＳ ゴシック" w:hAnsi="ＭＳ ゴシック" w:cs="ＭＳ Ｐゴシック" w:hint="eastAsia"/>
                <w:kern w:val="0"/>
                <w:sz w:val="14"/>
                <w:szCs w:val="12"/>
              </w:rPr>
              <w:t>大阪府におけるBSE発生時の措置マニュアル</w:t>
            </w:r>
          </w:p>
        </w:tc>
        <w:tc>
          <w:tcPr>
            <w:tcW w:w="850" w:type="dxa"/>
            <w:vMerge/>
            <w:noWrap/>
            <w:vAlign w:val="center"/>
            <w:hideMark/>
          </w:tcPr>
          <w:p w14:paraId="4C7E4303" w14:textId="77777777" w:rsidR="008A3EDE" w:rsidRPr="00263B73" w:rsidRDefault="008A3EDE" w:rsidP="00831B7C">
            <w:pPr>
              <w:spacing w:line="180" w:lineRule="exact"/>
              <w:jc w:val="left"/>
              <w:rPr>
                <w:rFonts w:ascii="ＭＳ ゴシック" w:eastAsia="ＭＳ ゴシック" w:hAnsi="ＭＳ ゴシック" w:cs="ＭＳ Ｐゴシック"/>
                <w:kern w:val="0"/>
                <w:sz w:val="14"/>
                <w:szCs w:val="12"/>
              </w:rPr>
            </w:pPr>
          </w:p>
        </w:tc>
        <w:tc>
          <w:tcPr>
            <w:tcW w:w="1843" w:type="dxa"/>
            <w:noWrap/>
            <w:vAlign w:val="center"/>
            <w:hideMark/>
          </w:tcPr>
          <w:p w14:paraId="22DDAF65" w14:textId="77777777" w:rsidR="008A3EDE" w:rsidRPr="00263B73" w:rsidRDefault="008A3EDE" w:rsidP="00831B7C">
            <w:pPr>
              <w:widowControl/>
              <w:spacing w:line="180" w:lineRule="exact"/>
              <w:rPr>
                <w:rFonts w:ascii="ＭＳ ゴシック" w:eastAsia="ＭＳ ゴシック" w:hAnsi="ＭＳ ゴシック" w:cs="ＭＳ Ｐゴシック"/>
                <w:kern w:val="0"/>
                <w:sz w:val="14"/>
                <w:szCs w:val="12"/>
              </w:rPr>
            </w:pPr>
            <w:r w:rsidRPr="00263B73">
              <w:rPr>
                <w:rFonts w:ascii="ＭＳ ゴシック" w:eastAsia="ＭＳ ゴシック" w:hAnsi="ＭＳ ゴシック" w:cs="ＭＳ Ｐゴシック" w:hint="eastAsia"/>
                <w:kern w:val="0"/>
                <w:sz w:val="14"/>
                <w:szCs w:val="12"/>
              </w:rPr>
              <w:t>食の安全推進課</w:t>
            </w:r>
          </w:p>
        </w:tc>
      </w:tr>
      <w:tr w:rsidR="008A3EDE" w:rsidRPr="00263B73" w14:paraId="0AB64233" w14:textId="77777777" w:rsidTr="00831B7C">
        <w:trPr>
          <w:trHeight w:val="20"/>
        </w:trPr>
        <w:tc>
          <w:tcPr>
            <w:tcW w:w="1501" w:type="dxa"/>
            <w:vMerge/>
            <w:hideMark/>
          </w:tcPr>
          <w:p w14:paraId="34884203" w14:textId="77777777" w:rsidR="008A3EDE" w:rsidRPr="00263B73" w:rsidRDefault="008A3EDE" w:rsidP="00831B7C">
            <w:pPr>
              <w:spacing w:line="180" w:lineRule="exact"/>
              <w:jc w:val="left"/>
              <w:rPr>
                <w:rFonts w:ascii="ＭＳ ゴシック" w:eastAsia="ＭＳ ゴシック" w:hAnsi="ＭＳ ゴシック" w:cs="ＭＳ Ｐゴシック"/>
                <w:kern w:val="0"/>
                <w:sz w:val="14"/>
                <w:szCs w:val="12"/>
              </w:rPr>
            </w:pPr>
          </w:p>
        </w:tc>
        <w:tc>
          <w:tcPr>
            <w:tcW w:w="5631" w:type="dxa"/>
            <w:gridSpan w:val="2"/>
            <w:vAlign w:val="center"/>
            <w:hideMark/>
          </w:tcPr>
          <w:p w14:paraId="6A594E45" w14:textId="77777777" w:rsidR="008A3EDE" w:rsidRPr="00263B73" w:rsidRDefault="008A3EDE" w:rsidP="00831B7C">
            <w:pPr>
              <w:widowControl/>
              <w:spacing w:line="180" w:lineRule="exact"/>
              <w:jc w:val="left"/>
              <w:rPr>
                <w:rFonts w:ascii="ＭＳ ゴシック" w:eastAsia="ＭＳ ゴシック" w:hAnsi="ＭＳ ゴシック" w:cs="ＭＳ Ｐゴシック"/>
                <w:kern w:val="0"/>
                <w:sz w:val="14"/>
                <w:szCs w:val="12"/>
              </w:rPr>
            </w:pPr>
            <w:r w:rsidRPr="00263B73">
              <w:rPr>
                <w:rFonts w:ascii="ＭＳ ゴシック" w:eastAsia="ＭＳ ゴシック" w:hAnsi="ＭＳ ゴシック" w:cs="ＭＳ Ｐゴシック" w:hint="eastAsia"/>
                <w:kern w:val="0"/>
                <w:sz w:val="14"/>
                <w:szCs w:val="12"/>
              </w:rPr>
              <w:t>大規模食鳥処理場における高病原性鳥インフルエンザ及び低病原性鳥インフルエンザ対応マニュアル</w:t>
            </w:r>
          </w:p>
        </w:tc>
        <w:tc>
          <w:tcPr>
            <w:tcW w:w="850" w:type="dxa"/>
            <w:vMerge/>
            <w:noWrap/>
            <w:vAlign w:val="center"/>
            <w:hideMark/>
          </w:tcPr>
          <w:p w14:paraId="7F1C9D75" w14:textId="77777777" w:rsidR="008A3EDE" w:rsidRPr="00263B73" w:rsidRDefault="008A3EDE" w:rsidP="00831B7C">
            <w:pPr>
              <w:spacing w:line="180" w:lineRule="exact"/>
              <w:jc w:val="left"/>
              <w:rPr>
                <w:rFonts w:ascii="ＭＳ ゴシック" w:eastAsia="ＭＳ ゴシック" w:hAnsi="ＭＳ ゴシック" w:cs="ＭＳ Ｐゴシック"/>
                <w:kern w:val="0"/>
                <w:sz w:val="14"/>
                <w:szCs w:val="12"/>
              </w:rPr>
            </w:pPr>
          </w:p>
        </w:tc>
        <w:tc>
          <w:tcPr>
            <w:tcW w:w="1843" w:type="dxa"/>
            <w:noWrap/>
            <w:vAlign w:val="center"/>
            <w:hideMark/>
          </w:tcPr>
          <w:p w14:paraId="07D17D08" w14:textId="77777777" w:rsidR="008A3EDE" w:rsidRPr="00263B73" w:rsidRDefault="008A3EDE" w:rsidP="00831B7C">
            <w:pPr>
              <w:widowControl/>
              <w:spacing w:line="180" w:lineRule="exact"/>
              <w:rPr>
                <w:rFonts w:ascii="ＭＳ ゴシック" w:eastAsia="ＭＳ ゴシック" w:hAnsi="ＭＳ ゴシック" w:cs="ＭＳ Ｐゴシック"/>
                <w:kern w:val="0"/>
                <w:sz w:val="14"/>
                <w:szCs w:val="12"/>
              </w:rPr>
            </w:pPr>
            <w:r w:rsidRPr="00263B73">
              <w:rPr>
                <w:rFonts w:ascii="ＭＳ ゴシック" w:eastAsia="ＭＳ ゴシック" w:hAnsi="ＭＳ ゴシック" w:cs="ＭＳ Ｐゴシック" w:hint="eastAsia"/>
                <w:kern w:val="0"/>
                <w:sz w:val="14"/>
                <w:szCs w:val="12"/>
              </w:rPr>
              <w:t>食の安全推進課</w:t>
            </w:r>
          </w:p>
        </w:tc>
      </w:tr>
      <w:tr w:rsidR="008A3EDE" w:rsidRPr="00263B73" w14:paraId="3ABD6B33" w14:textId="77777777" w:rsidTr="00831B7C">
        <w:trPr>
          <w:trHeight w:val="20"/>
        </w:trPr>
        <w:tc>
          <w:tcPr>
            <w:tcW w:w="1501" w:type="dxa"/>
            <w:vMerge/>
            <w:hideMark/>
          </w:tcPr>
          <w:p w14:paraId="0D164B0A" w14:textId="77777777" w:rsidR="008A3EDE" w:rsidRPr="00263B73" w:rsidRDefault="008A3EDE" w:rsidP="00831B7C">
            <w:pPr>
              <w:spacing w:line="180" w:lineRule="exact"/>
              <w:jc w:val="left"/>
              <w:rPr>
                <w:rFonts w:ascii="ＭＳ ゴシック" w:eastAsia="ＭＳ ゴシック" w:hAnsi="ＭＳ ゴシック" w:cs="ＭＳ Ｐゴシック"/>
                <w:kern w:val="0"/>
                <w:sz w:val="14"/>
                <w:szCs w:val="12"/>
              </w:rPr>
            </w:pPr>
          </w:p>
        </w:tc>
        <w:tc>
          <w:tcPr>
            <w:tcW w:w="5631" w:type="dxa"/>
            <w:gridSpan w:val="2"/>
            <w:noWrap/>
            <w:vAlign w:val="center"/>
            <w:hideMark/>
          </w:tcPr>
          <w:p w14:paraId="2B496E10" w14:textId="77777777" w:rsidR="008A3EDE" w:rsidRPr="00263B73" w:rsidRDefault="008A3EDE" w:rsidP="00831B7C">
            <w:pPr>
              <w:widowControl/>
              <w:spacing w:line="180" w:lineRule="exact"/>
              <w:jc w:val="left"/>
              <w:rPr>
                <w:rFonts w:ascii="ＭＳ ゴシック" w:eastAsia="ＭＳ ゴシック" w:hAnsi="ＭＳ ゴシック" w:cs="ＭＳ Ｐゴシック"/>
                <w:kern w:val="0"/>
                <w:sz w:val="14"/>
                <w:szCs w:val="12"/>
              </w:rPr>
            </w:pPr>
            <w:r w:rsidRPr="00263B73">
              <w:rPr>
                <w:rFonts w:ascii="ＭＳ ゴシック" w:eastAsia="ＭＳ ゴシック" w:hAnsi="ＭＳ ゴシック" w:cs="ＭＳ Ｐゴシック" w:hint="eastAsia"/>
                <w:kern w:val="0"/>
                <w:sz w:val="14"/>
                <w:szCs w:val="12"/>
              </w:rPr>
              <w:t>大阪府管内の</w:t>
            </w:r>
            <w:proofErr w:type="gramStart"/>
            <w:r w:rsidRPr="00263B73">
              <w:rPr>
                <w:rFonts w:ascii="ＭＳ ゴシック" w:eastAsia="ＭＳ ゴシック" w:hAnsi="ＭＳ ゴシック" w:cs="ＭＳ Ｐゴシック" w:hint="eastAsia"/>
                <w:kern w:val="0"/>
                <w:sz w:val="14"/>
                <w:szCs w:val="12"/>
              </w:rPr>
              <w:t>と畜</w:t>
            </w:r>
            <w:proofErr w:type="gramEnd"/>
            <w:r w:rsidRPr="00263B73">
              <w:rPr>
                <w:rFonts w:ascii="ＭＳ ゴシック" w:eastAsia="ＭＳ ゴシック" w:hAnsi="ＭＳ ゴシック" w:cs="ＭＳ Ｐゴシック" w:hint="eastAsia"/>
                <w:kern w:val="0"/>
                <w:sz w:val="14"/>
                <w:szCs w:val="12"/>
              </w:rPr>
              <w:t>場および大規模食鳥処理場における家畜伝染病対応要領</w:t>
            </w:r>
          </w:p>
        </w:tc>
        <w:tc>
          <w:tcPr>
            <w:tcW w:w="850" w:type="dxa"/>
            <w:vMerge/>
            <w:noWrap/>
            <w:vAlign w:val="center"/>
            <w:hideMark/>
          </w:tcPr>
          <w:p w14:paraId="3B1034D4" w14:textId="77777777" w:rsidR="008A3EDE" w:rsidRPr="00263B73" w:rsidRDefault="008A3EDE" w:rsidP="00831B7C">
            <w:pPr>
              <w:spacing w:line="180" w:lineRule="exact"/>
              <w:jc w:val="left"/>
              <w:rPr>
                <w:rFonts w:ascii="ＭＳ ゴシック" w:eastAsia="ＭＳ ゴシック" w:hAnsi="ＭＳ ゴシック" w:cs="ＭＳ Ｐゴシック"/>
                <w:kern w:val="0"/>
                <w:sz w:val="14"/>
                <w:szCs w:val="12"/>
              </w:rPr>
            </w:pPr>
          </w:p>
        </w:tc>
        <w:tc>
          <w:tcPr>
            <w:tcW w:w="1843" w:type="dxa"/>
            <w:noWrap/>
            <w:vAlign w:val="center"/>
            <w:hideMark/>
          </w:tcPr>
          <w:p w14:paraId="77C77AC2" w14:textId="77777777" w:rsidR="008A3EDE" w:rsidRPr="00263B73" w:rsidRDefault="008A3EDE" w:rsidP="00831B7C">
            <w:pPr>
              <w:widowControl/>
              <w:spacing w:line="180" w:lineRule="exact"/>
              <w:rPr>
                <w:rFonts w:ascii="ＭＳ ゴシック" w:eastAsia="ＭＳ ゴシック" w:hAnsi="ＭＳ ゴシック" w:cs="ＭＳ Ｐゴシック"/>
                <w:kern w:val="0"/>
                <w:sz w:val="14"/>
                <w:szCs w:val="12"/>
              </w:rPr>
            </w:pPr>
            <w:r w:rsidRPr="00263B73">
              <w:rPr>
                <w:rFonts w:ascii="ＭＳ ゴシック" w:eastAsia="ＭＳ ゴシック" w:hAnsi="ＭＳ ゴシック" w:cs="ＭＳ Ｐゴシック" w:hint="eastAsia"/>
                <w:kern w:val="0"/>
                <w:sz w:val="14"/>
                <w:szCs w:val="12"/>
              </w:rPr>
              <w:t>食の安全推進課</w:t>
            </w:r>
          </w:p>
        </w:tc>
      </w:tr>
      <w:tr w:rsidR="008A3EDE" w:rsidRPr="00263B73" w14:paraId="18E85DB1" w14:textId="77777777" w:rsidTr="00831B7C">
        <w:trPr>
          <w:trHeight w:val="20"/>
        </w:trPr>
        <w:tc>
          <w:tcPr>
            <w:tcW w:w="1501" w:type="dxa"/>
            <w:vMerge/>
            <w:hideMark/>
          </w:tcPr>
          <w:p w14:paraId="0FC64DC9" w14:textId="77777777" w:rsidR="008A3EDE" w:rsidRPr="00263B73" w:rsidRDefault="008A3EDE" w:rsidP="00831B7C">
            <w:pPr>
              <w:spacing w:line="180" w:lineRule="exact"/>
              <w:jc w:val="left"/>
              <w:rPr>
                <w:rFonts w:ascii="ＭＳ ゴシック" w:eastAsia="ＭＳ ゴシック" w:hAnsi="ＭＳ ゴシック" w:cs="ＭＳ Ｐゴシック"/>
                <w:kern w:val="0"/>
                <w:sz w:val="14"/>
                <w:szCs w:val="12"/>
              </w:rPr>
            </w:pPr>
          </w:p>
        </w:tc>
        <w:tc>
          <w:tcPr>
            <w:tcW w:w="5631" w:type="dxa"/>
            <w:gridSpan w:val="2"/>
            <w:noWrap/>
            <w:vAlign w:val="center"/>
            <w:hideMark/>
          </w:tcPr>
          <w:p w14:paraId="45A2CBB8" w14:textId="77777777" w:rsidR="008A3EDE" w:rsidRPr="00263B73" w:rsidRDefault="008A3EDE" w:rsidP="00831B7C">
            <w:pPr>
              <w:widowControl/>
              <w:spacing w:line="180" w:lineRule="exact"/>
              <w:jc w:val="left"/>
              <w:rPr>
                <w:rFonts w:ascii="ＭＳ ゴシック" w:eastAsia="ＭＳ ゴシック" w:hAnsi="ＭＳ ゴシック" w:cs="ＭＳ Ｐゴシック"/>
                <w:kern w:val="0"/>
                <w:sz w:val="14"/>
                <w:szCs w:val="12"/>
              </w:rPr>
            </w:pPr>
            <w:r w:rsidRPr="00263B73">
              <w:rPr>
                <w:rFonts w:ascii="ＭＳ ゴシック" w:eastAsia="ＭＳ ゴシック" w:hAnsi="ＭＳ ゴシック" w:cs="ＭＳ Ｐゴシック" w:hint="eastAsia"/>
                <w:kern w:val="0"/>
                <w:sz w:val="14"/>
                <w:szCs w:val="12"/>
              </w:rPr>
              <w:t>大阪府食肉衛生検査所口蹄疫対応要領</w:t>
            </w:r>
          </w:p>
        </w:tc>
        <w:tc>
          <w:tcPr>
            <w:tcW w:w="850" w:type="dxa"/>
            <w:vMerge/>
            <w:noWrap/>
            <w:vAlign w:val="center"/>
            <w:hideMark/>
          </w:tcPr>
          <w:p w14:paraId="116E386C" w14:textId="77777777" w:rsidR="008A3EDE" w:rsidRPr="00263B73" w:rsidRDefault="008A3EDE" w:rsidP="00831B7C">
            <w:pPr>
              <w:spacing w:line="180" w:lineRule="exact"/>
              <w:jc w:val="left"/>
              <w:rPr>
                <w:rFonts w:ascii="ＭＳ ゴシック" w:eastAsia="ＭＳ ゴシック" w:hAnsi="ＭＳ ゴシック" w:cs="ＭＳ Ｐゴシック"/>
                <w:kern w:val="0"/>
                <w:sz w:val="14"/>
                <w:szCs w:val="12"/>
              </w:rPr>
            </w:pPr>
          </w:p>
        </w:tc>
        <w:tc>
          <w:tcPr>
            <w:tcW w:w="1843" w:type="dxa"/>
            <w:noWrap/>
            <w:vAlign w:val="center"/>
            <w:hideMark/>
          </w:tcPr>
          <w:p w14:paraId="4C775443" w14:textId="77777777" w:rsidR="008A3EDE" w:rsidRPr="00263B73" w:rsidRDefault="008A3EDE" w:rsidP="00831B7C">
            <w:pPr>
              <w:widowControl/>
              <w:spacing w:line="180" w:lineRule="exact"/>
              <w:rPr>
                <w:rFonts w:ascii="ＭＳ ゴシック" w:eastAsia="ＭＳ ゴシック" w:hAnsi="ＭＳ ゴシック" w:cs="ＭＳ Ｐゴシック"/>
                <w:kern w:val="0"/>
                <w:sz w:val="14"/>
                <w:szCs w:val="12"/>
              </w:rPr>
            </w:pPr>
            <w:r w:rsidRPr="00263B73">
              <w:rPr>
                <w:rFonts w:ascii="ＭＳ ゴシック" w:eastAsia="ＭＳ ゴシック" w:hAnsi="ＭＳ ゴシック" w:cs="ＭＳ Ｐゴシック" w:hint="eastAsia"/>
                <w:kern w:val="0"/>
                <w:sz w:val="14"/>
                <w:szCs w:val="12"/>
              </w:rPr>
              <w:t>食の安全推進課</w:t>
            </w:r>
          </w:p>
        </w:tc>
      </w:tr>
      <w:tr w:rsidR="008A3EDE" w:rsidRPr="00263B73" w14:paraId="7E5D98AF" w14:textId="77777777" w:rsidTr="00831B7C">
        <w:trPr>
          <w:trHeight w:val="20"/>
        </w:trPr>
        <w:tc>
          <w:tcPr>
            <w:tcW w:w="1501" w:type="dxa"/>
            <w:vMerge/>
            <w:hideMark/>
          </w:tcPr>
          <w:p w14:paraId="255F107E" w14:textId="77777777" w:rsidR="008A3EDE" w:rsidRPr="00263B73" w:rsidRDefault="008A3EDE" w:rsidP="00831B7C">
            <w:pPr>
              <w:widowControl/>
              <w:spacing w:line="180" w:lineRule="exact"/>
              <w:jc w:val="left"/>
              <w:rPr>
                <w:rFonts w:ascii="ＭＳ ゴシック" w:eastAsia="ＭＳ ゴシック" w:hAnsi="ＭＳ ゴシック" w:cs="ＭＳ Ｐゴシック"/>
                <w:kern w:val="0"/>
                <w:sz w:val="14"/>
                <w:szCs w:val="12"/>
              </w:rPr>
            </w:pPr>
          </w:p>
        </w:tc>
        <w:tc>
          <w:tcPr>
            <w:tcW w:w="5631" w:type="dxa"/>
            <w:gridSpan w:val="2"/>
            <w:vAlign w:val="center"/>
            <w:hideMark/>
          </w:tcPr>
          <w:p w14:paraId="4B08664C" w14:textId="77777777" w:rsidR="008A3EDE" w:rsidRPr="00263B73" w:rsidRDefault="008A3EDE" w:rsidP="00831B7C">
            <w:pPr>
              <w:widowControl/>
              <w:spacing w:line="180" w:lineRule="exact"/>
              <w:jc w:val="left"/>
              <w:rPr>
                <w:rFonts w:ascii="ＭＳ ゴシック" w:eastAsia="ＭＳ ゴシック" w:hAnsi="ＭＳ ゴシック" w:cs="ＭＳ Ｐゴシック"/>
                <w:kern w:val="0"/>
                <w:sz w:val="14"/>
                <w:szCs w:val="12"/>
              </w:rPr>
            </w:pPr>
            <w:r w:rsidRPr="00263B73">
              <w:rPr>
                <w:rFonts w:ascii="ＭＳ ゴシック" w:eastAsia="ＭＳ ゴシック" w:hAnsi="ＭＳ ゴシック" w:cs="ＭＳ Ｐゴシック" w:hint="eastAsia"/>
                <w:kern w:val="0"/>
                <w:sz w:val="14"/>
                <w:szCs w:val="12"/>
              </w:rPr>
              <w:t>食の安全安心推進条例第１９条にかかる運用指針</w:t>
            </w:r>
            <w:r w:rsidRPr="00263B73">
              <w:rPr>
                <w:rFonts w:ascii="ＭＳ ゴシック" w:eastAsia="ＭＳ ゴシック" w:hAnsi="ＭＳ ゴシック" w:cs="ＭＳ Ｐゴシック" w:hint="eastAsia"/>
                <w:kern w:val="0"/>
                <w:sz w:val="14"/>
                <w:szCs w:val="12"/>
              </w:rPr>
              <w:br/>
              <w:t>（飲食に起因する衛生上の健康被害発生の拡大防止）</w:t>
            </w:r>
          </w:p>
        </w:tc>
        <w:tc>
          <w:tcPr>
            <w:tcW w:w="850" w:type="dxa"/>
            <w:vMerge/>
            <w:noWrap/>
            <w:vAlign w:val="center"/>
            <w:hideMark/>
          </w:tcPr>
          <w:p w14:paraId="1C49581D" w14:textId="77777777" w:rsidR="008A3EDE" w:rsidRPr="00263B73" w:rsidRDefault="008A3EDE" w:rsidP="00831B7C">
            <w:pPr>
              <w:spacing w:line="180" w:lineRule="exact"/>
              <w:jc w:val="left"/>
              <w:rPr>
                <w:rFonts w:ascii="ＭＳ ゴシック" w:eastAsia="ＭＳ ゴシック" w:hAnsi="ＭＳ ゴシック" w:cs="ＭＳ Ｐゴシック"/>
                <w:kern w:val="0"/>
                <w:sz w:val="14"/>
                <w:szCs w:val="12"/>
              </w:rPr>
            </w:pPr>
          </w:p>
        </w:tc>
        <w:tc>
          <w:tcPr>
            <w:tcW w:w="1843" w:type="dxa"/>
            <w:noWrap/>
            <w:vAlign w:val="center"/>
            <w:hideMark/>
          </w:tcPr>
          <w:p w14:paraId="44C61698" w14:textId="77777777" w:rsidR="008A3EDE" w:rsidRPr="00263B73" w:rsidRDefault="008A3EDE" w:rsidP="00831B7C">
            <w:pPr>
              <w:widowControl/>
              <w:spacing w:line="180" w:lineRule="exact"/>
              <w:rPr>
                <w:rFonts w:ascii="ＭＳ ゴシック" w:eastAsia="ＭＳ ゴシック" w:hAnsi="ＭＳ ゴシック" w:cs="ＭＳ Ｐゴシック"/>
                <w:kern w:val="0"/>
                <w:sz w:val="14"/>
                <w:szCs w:val="12"/>
              </w:rPr>
            </w:pPr>
            <w:r w:rsidRPr="00263B73">
              <w:rPr>
                <w:rFonts w:ascii="ＭＳ ゴシック" w:eastAsia="ＭＳ ゴシック" w:hAnsi="ＭＳ ゴシック" w:cs="ＭＳ Ｐゴシック" w:hint="eastAsia"/>
                <w:kern w:val="0"/>
                <w:sz w:val="14"/>
                <w:szCs w:val="12"/>
              </w:rPr>
              <w:t>食の安全推進課</w:t>
            </w:r>
          </w:p>
        </w:tc>
      </w:tr>
      <w:tr w:rsidR="008A3EDE" w:rsidRPr="00263B73" w14:paraId="7F61530B" w14:textId="77777777" w:rsidTr="00831B7C">
        <w:trPr>
          <w:trHeight w:val="20"/>
        </w:trPr>
        <w:tc>
          <w:tcPr>
            <w:tcW w:w="1501" w:type="dxa"/>
            <w:vMerge w:val="restart"/>
            <w:vAlign w:val="center"/>
            <w:hideMark/>
          </w:tcPr>
          <w:p w14:paraId="67B77F1D" w14:textId="77777777" w:rsidR="008A3EDE" w:rsidRPr="00263B73" w:rsidRDefault="008A3EDE" w:rsidP="00831B7C">
            <w:pPr>
              <w:widowControl/>
              <w:spacing w:line="180" w:lineRule="exact"/>
              <w:jc w:val="left"/>
              <w:rPr>
                <w:rFonts w:ascii="ＭＳ ゴシック" w:eastAsia="ＭＳ ゴシック" w:hAnsi="ＭＳ ゴシック" w:cs="ＭＳ Ｐゴシック"/>
                <w:kern w:val="0"/>
                <w:sz w:val="14"/>
                <w:szCs w:val="12"/>
              </w:rPr>
            </w:pPr>
            <w:r w:rsidRPr="00263B73">
              <w:rPr>
                <w:rFonts w:ascii="ＭＳ ゴシック" w:eastAsia="ＭＳ ゴシック" w:hAnsi="ＭＳ ゴシック" w:cs="ＭＳ Ｐゴシック" w:hint="eastAsia"/>
                <w:kern w:val="0"/>
                <w:sz w:val="14"/>
                <w:szCs w:val="12"/>
              </w:rPr>
              <w:t>技術専門校の生徒への危害</w:t>
            </w:r>
          </w:p>
        </w:tc>
        <w:tc>
          <w:tcPr>
            <w:tcW w:w="5631" w:type="dxa"/>
            <w:gridSpan w:val="2"/>
            <w:noWrap/>
            <w:vAlign w:val="center"/>
            <w:hideMark/>
          </w:tcPr>
          <w:p w14:paraId="05945A06" w14:textId="77777777" w:rsidR="008A3EDE" w:rsidRPr="00263B73" w:rsidRDefault="008A3EDE" w:rsidP="00831B7C">
            <w:pPr>
              <w:widowControl/>
              <w:spacing w:line="180" w:lineRule="exact"/>
              <w:jc w:val="left"/>
              <w:rPr>
                <w:rFonts w:ascii="ＭＳ ゴシック" w:eastAsia="ＭＳ ゴシック" w:hAnsi="ＭＳ ゴシック" w:cs="ＭＳ Ｐゴシック"/>
                <w:kern w:val="0"/>
                <w:sz w:val="14"/>
                <w:szCs w:val="12"/>
              </w:rPr>
            </w:pPr>
            <w:r w:rsidRPr="00263B73">
              <w:rPr>
                <w:rFonts w:ascii="ＭＳ ゴシック" w:eastAsia="ＭＳ ゴシック" w:hAnsi="ＭＳ ゴシック" w:cs="ＭＳ Ｐゴシック" w:hint="eastAsia"/>
                <w:kern w:val="0"/>
                <w:sz w:val="14"/>
                <w:szCs w:val="12"/>
              </w:rPr>
              <w:t>府立高等職業技術専門校等における生徒の安全の確保に関する指針</w:t>
            </w:r>
          </w:p>
        </w:tc>
        <w:tc>
          <w:tcPr>
            <w:tcW w:w="850" w:type="dxa"/>
            <w:vMerge w:val="restart"/>
            <w:noWrap/>
            <w:vAlign w:val="center"/>
            <w:hideMark/>
          </w:tcPr>
          <w:p w14:paraId="274E4D88" w14:textId="77777777" w:rsidR="008A3EDE" w:rsidRPr="00263B73" w:rsidRDefault="008A3EDE" w:rsidP="00831B7C">
            <w:pPr>
              <w:widowControl/>
              <w:spacing w:line="180" w:lineRule="exact"/>
              <w:rPr>
                <w:rFonts w:ascii="ＭＳ ゴシック" w:eastAsia="ＭＳ ゴシック" w:hAnsi="ＭＳ ゴシック" w:cs="ＭＳ Ｐゴシック"/>
                <w:kern w:val="0"/>
                <w:sz w:val="14"/>
                <w:szCs w:val="12"/>
              </w:rPr>
            </w:pPr>
            <w:r w:rsidRPr="00263B73">
              <w:rPr>
                <w:rFonts w:ascii="ＭＳ ゴシック" w:eastAsia="ＭＳ ゴシック" w:hAnsi="ＭＳ ゴシック" w:cs="ＭＳ Ｐゴシック" w:hint="eastAsia"/>
                <w:kern w:val="0"/>
                <w:sz w:val="14"/>
                <w:szCs w:val="12"/>
              </w:rPr>
              <w:t>商工労働部</w:t>
            </w:r>
          </w:p>
        </w:tc>
        <w:tc>
          <w:tcPr>
            <w:tcW w:w="1843" w:type="dxa"/>
            <w:noWrap/>
            <w:vAlign w:val="center"/>
            <w:hideMark/>
          </w:tcPr>
          <w:p w14:paraId="02011A79" w14:textId="77777777" w:rsidR="008A3EDE" w:rsidRPr="00263B73" w:rsidRDefault="008A3EDE" w:rsidP="00831B7C">
            <w:pPr>
              <w:widowControl/>
              <w:spacing w:line="180" w:lineRule="exact"/>
              <w:rPr>
                <w:rFonts w:ascii="ＭＳ ゴシック" w:eastAsia="ＭＳ ゴシック" w:hAnsi="ＭＳ ゴシック" w:cs="ＭＳ Ｐゴシック"/>
                <w:kern w:val="0"/>
                <w:sz w:val="14"/>
                <w:szCs w:val="12"/>
              </w:rPr>
            </w:pPr>
            <w:r w:rsidRPr="00263B73">
              <w:rPr>
                <w:rFonts w:ascii="ＭＳ ゴシック" w:eastAsia="ＭＳ ゴシック" w:hAnsi="ＭＳ ゴシック" w:cs="ＭＳ Ｐゴシック" w:hint="eastAsia"/>
                <w:kern w:val="0"/>
                <w:sz w:val="14"/>
                <w:szCs w:val="12"/>
              </w:rPr>
              <w:t>人材育成課</w:t>
            </w:r>
          </w:p>
        </w:tc>
      </w:tr>
      <w:tr w:rsidR="008A3EDE" w:rsidRPr="00263B73" w14:paraId="2F7AD04F" w14:textId="77777777" w:rsidTr="00831B7C">
        <w:trPr>
          <w:trHeight w:val="20"/>
        </w:trPr>
        <w:tc>
          <w:tcPr>
            <w:tcW w:w="1501" w:type="dxa"/>
            <w:vMerge/>
            <w:vAlign w:val="center"/>
          </w:tcPr>
          <w:p w14:paraId="53BBCAF4" w14:textId="77777777" w:rsidR="008A3EDE" w:rsidRPr="00263B73" w:rsidRDefault="008A3EDE" w:rsidP="00831B7C">
            <w:pPr>
              <w:widowControl/>
              <w:spacing w:line="180" w:lineRule="exact"/>
              <w:jc w:val="left"/>
              <w:rPr>
                <w:rFonts w:ascii="ＭＳ ゴシック" w:eastAsia="ＭＳ ゴシック" w:hAnsi="ＭＳ ゴシック" w:cs="ＭＳ Ｐゴシック"/>
                <w:kern w:val="0"/>
                <w:sz w:val="14"/>
                <w:szCs w:val="12"/>
              </w:rPr>
            </w:pPr>
          </w:p>
        </w:tc>
        <w:tc>
          <w:tcPr>
            <w:tcW w:w="5631" w:type="dxa"/>
            <w:gridSpan w:val="2"/>
            <w:noWrap/>
            <w:vAlign w:val="center"/>
          </w:tcPr>
          <w:p w14:paraId="6665CA14" w14:textId="77777777" w:rsidR="008A3EDE" w:rsidRPr="00263B73" w:rsidRDefault="008A3EDE" w:rsidP="00831B7C">
            <w:pPr>
              <w:widowControl/>
              <w:spacing w:line="180" w:lineRule="exact"/>
              <w:jc w:val="left"/>
              <w:rPr>
                <w:rFonts w:ascii="ＭＳ ゴシック" w:eastAsia="ＭＳ ゴシック" w:hAnsi="ＭＳ ゴシック" w:cs="ＭＳ Ｐゴシック"/>
                <w:kern w:val="0"/>
                <w:sz w:val="14"/>
                <w:szCs w:val="12"/>
              </w:rPr>
            </w:pPr>
            <w:r w:rsidRPr="00263B73">
              <w:rPr>
                <w:rFonts w:ascii="ＭＳ ゴシック" w:eastAsia="ＭＳ ゴシック" w:hAnsi="ＭＳ ゴシック" w:cs="ＭＳ Ｐゴシック" w:hint="eastAsia"/>
                <w:kern w:val="0"/>
                <w:sz w:val="14"/>
                <w:szCs w:val="12"/>
              </w:rPr>
              <w:t>北大阪高等職業技術専門校　災害等応急対策実施要領</w:t>
            </w:r>
          </w:p>
          <w:p w14:paraId="6A06607E" w14:textId="77777777" w:rsidR="008A3EDE" w:rsidRPr="00263B73" w:rsidRDefault="008A3EDE" w:rsidP="00831B7C">
            <w:pPr>
              <w:widowControl/>
              <w:spacing w:line="180" w:lineRule="exact"/>
              <w:jc w:val="left"/>
              <w:rPr>
                <w:rFonts w:ascii="ＭＳ ゴシック" w:eastAsia="ＭＳ ゴシック" w:hAnsi="ＭＳ ゴシック" w:cs="ＭＳ Ｐゴシック"/>
                <w:kern w:val="0"/>
                <w:sz w:val="14"/>
                <w:szCs w:val="12"/>
              </w:rPr>
            </w:pPr>
            <w:r w:rsidRPr="00263B73">
              <w:rPr>
                <w:rFonts w:ascii="ＭＳ ゴシック" w:eastAsia="ＭＳ ゴシック" w:hAnsi="ＭＳ ゴシック" w:cs="ＭＳ Ｐゴシック" w:hint="eastAsia"/>
                <w:kern w:val="0"/>
                <w:sz w:val="14"/>
                <w:szCs w:val="12"/>
              </w:rPr>
              <w:t>不審者・不審物等の対応マニュアル</w:t>
            </w:r>
          </w:p>
        </w:tc>
        <w:tc>
          <w:tcPr>
            <w:tcW w:w="850" w:type="dxa"/>
            <w:vMerge/>
            <w:noWrap/>
            <w:vAlign w:val="center"/>
          </w:tcPr>
          <w:p w14:paraId="11B0ABF3" w14:textId="77777777" w:rsidR="008A3EDE" w:rsidRPr="00263B73" w:rsidRDefault="008A3EDE" w:rsidP="00831B7C">
            <w:pPr>
              <w:widowControl/>
              <w:spacing w:line="180" w:lineRule="exact"/>
              <w:rPr>
                <w:rFonts w:ascii="ＭＳ ゴシック" w:eastAsia="ＭＳ ゴシック" w:hAnsi="ＭＳ ゴシック" w:cs="ＭＳ Ｐゴシック"/>
                <w:kern w:val="0"/>
                <w:sz w:val="14"/>
                <w:szCs w:val="12"/>
              </w:rPr>
            </w:pPr>
          </w:p>
        </w:tc>
        <w:tc>
          <w:tcPr>
            <w:tcW w:w="1843" w:type="dxa"/>
            <w:noWrap/>
            <w:vAlign w:val="center"/>
          </w:tcPr>
          <w:p w14:paraId="41C14B84" w14:textId="77777777" w:rsidR="008A3EDE" w:rsidRPr="00263B73" w:rsidRDefault="008A3EDE" w:rsidP="00831B7C">
            <w:pPr>
              <w:widowControl/>
              <w:spacing w:line="180" w:lineRule="exact"/>
              <w:rPr>
                <w:rFonts w:ascii="ＭＳ ゴシック" w:eastAsia="ＭＳ ゴシック" w:hAnsi="ＭＳ ゴシック" w:cs="ＭＳ Ｐゴシック"/>
                <w:kern w:val="0"/>
                <w:sz w:val="14"/>
                <w:szCs w:val="12"/>
              </w:rPr>
            </w:pPr>
            <w:r w:rsidRPr="00263B73">
              <w:rPr>
                <w:rFonts w:ascii="ＭＳ ゴシック" w:eastAsia="ＭＳ ゴシック" w:hAnsi="ＭＳ ゴシック" w:cs="ＭＳ Ｐゴシック" w:hint="eastAsia"/>
                <w:kern w:val="0"/>
                <w:sz w:val="14"/>
                <w:szCs w:val="12"/>
              </w:rPr>
              <w:t>北大阪技専校</w:t>
            </w:r>
          </w:p>
        </w:tc>
      </w:tr>
      <w:tr w:rsidR="008A3EDE" w:rsidRPr="00263B73" w14:paraId="6D19CA16" w14:textId="77777777" w:rsidTr="00831B7C">
        <w:trPr>
          <w:trHeight w:val="20"/>
        </w:trPr>
        <w:tc>
          <w:tcPr>
            <w:tcW w:w="1501" w:type="dxa"/>
            <w:vMerge/>
            <w:vAlign w:val="center"/>
          </w:tcPr>
          <w:p w14:paraId="159639DF" w14:textId="77777777" w:rsidR="008A3EDE" w:rsidRPr="00263B73" w:rsidRDefault="008A3EDE" w:rsidP="00831B7C">
            <w:pPr>
              <w:widowControl/>
              <w:spacing w:line="180" w:lineRule="exact"/>
              <w:jc w:val="left"/>
              <w:rPr>
                <w:rFonts w:ascii="ＭＳ ゴシック" w:eastAsia="ＭＳ ゴシック" w:hAnsi="ＭＳ ゴシック" w:cs="ＭＳ Ｐゴシック"/>
                <w:kern w:val="0"/>
                <w:sz w:val="14"/>
                <w:szCs w:val="12"/>
              </w:rPr>
            </w:pPr>
          </w:p>
        </w:tc>
        <w:tc>
          <w:tcPr>
            <w:tcW w:w="5631" w:type="dxa"/>
            <w:gridSpan w:val="2"/>
            <w:noWrap/>
            <w:vAlign w:val="center"/>
          </w:tcPr>
          <w:p w14:paraId="3F36EB51" w14:textId="77777777" w:rsidR="008A3EDE" w:rsidRPr="00263B73" w:rsidRDefault="008A3EDE" w:rsidP="00831B7C">
            <w:pPr>
              <w:widowControl/>
              <w:spacing w:line="180" w:lineRule="exact"/>
              <w:jc w:val="left"/>
              <w:rPr>
                <w:rFonts w:ascii="ＭＳ ゴシック" w:eastAsia="ＭＳ ゴシック" w:hAnsi="ＭＳ ゴシック" w:cs="ＭＳ Ｐゴシック"/>
                <w:kern w:val="0"/>
                <w:sz w:val="14"/>
                <w:szCs w:val="12"/>
              </w:rPr>
            </w:pPr>
            <w:r w:rsidRPr="00263B73">
              <w:rPr>
                <w:rFonts w:ascii="ＭＳ ゴシック" w:eastAsia="ＭＳ ゴシック" w:hAnsi="ＭＳ ゴシック" w:cs="ＭＳ Ｐゴシック" w:hint="eastAsia"/>
                <w:kern w:val="0"/>
                <w:sz w:val="14"/>
                <w:szCs w:val="12"/>
              </w:rPr>
              <w:t>東大阪高等職業技術専門校　災害等応急対策実施要領</w:t>
            </w:r>
          </w:p>
          <w:p w14:paraId="38EE4AF5" w14:textId="77777777" w:rsidR="008A3EDE" w:rsidRPr="00263B73" w:rsidRDefault="008A3EDE" w:rsidP="00831B7C">
            <w:pPr>
              <w:widowControl/>
              <w:spacing w:line="180" w:lineRule="exact"/>
              <w:jc w:val="left"/>
              <w:rPr>
                <w:rFonts w:ascii="ＭＳ ゴシック" w:eastAsia="ＭＳ ゴシック" w:hAnsi="ＭＳ ゴシック" w:cs="ＭＳ Ｐゴシック"/>
                <w:kern w:val="0"/>
                <w:sz w:val="14"/>
                <w:szCs w:val="12"/>
              </w:rPr>
            </w:pPr>
            <w:r w:rsidRPr="00263B73">
              <w:rPr>
                <w:rFonts w:ascii="ＭＳ ゴシック" w:eastAsia="ＭＳ ゴシック" w:hAnsi="ＭＳ ゴシック" w:cs="ＭＳ Ｐゴシック" w:hint="eastAsia"/>
                <w:kern w:val="0"/>
                <w:sz w:val="14"/>
                <w:szCs w:val="12"/>
              </w:rPr>
              <w:t>不審者・不審物等の対応マニュアル</w:t>
            </w:r>
          </w:p>
        </w:tc>
        <w:tc>
          <w:tcPr>
            <w:tcW w:w="850" w:type="dxa"/>
            <w:vMerge/>
            <w:noWrap/>
            <w:vAlign w:val="center"/>
          </w:tcPr>
          <w:p w14:paraId="28BE6C40" w14:textId="77777777" w:rsidR="008A3EDE" w:rsidRPr="00263B73" w:rsidRDefault="008A3EDE" w:rsidP="00831B7C">
            <w:pPr>
              <w:widowControl/>
              <w:spacing w:line="180" w:lineRule="exact"/>
              <w:rPr>
                <w:rFonts w:ascii="ＭＳ ゴシック" w:eastAsia="ＭＳ ゴシック" w:hAnsi="ＭＳ ゴシック" w:cs="ＭＳ Ｐゴシック"/>
                <w:kern w:val="0"/>
                <w:sz w:val="14"/>
                <w:szCs w:val="12"/>
              </w:rPr>
            </w:pPr>
          </w:p>
        </w:tc>
        <w:tc>
          <w:tcPr>
            <w:tcW w:w="1843" w:type="dxa"/>
            <w:noWrap/>
            <w:vAlign w:val="center"/>
          </w:tcPr>
          <w:p w14:paraId="2C4BA586" w14:textId="77777777" w:rsidR="008A3EDE" w:rsidRPr="00263B73" w:rsidRDefault="008A3EDE" w:rsidP="00831B7C">
            <w:pPr>
              <w:widowControl/>
              <w:spacing w:line="180" w:lineRule="exact"/>
              <w:rPr>
                <w:rFonts w:ascii="ＭＳ ゴシック" w:eastAsia="ＭＳ ゴシック" w:hAnsi="ＭＳ ゴシック" w:cs="ＭＳ Ｐゴシック"/>
                <w:kern w:val="0"/>
                <w:sz w:val="14"/>
                <w:szCs w:val="12"/>
              </w:rPr>
            </w:pPr>
            <w:r w:rsidRPr="00263B73">
              <w:rPr>
                <w:rFonts w:ascii="ＭＳ ゴシック" w:eastAsia="ＭＳ ゴシック" w:hAnsi="ＭＳ ゴシック" w:cs="ＭＳ Ｐゴシック" w:hint="eastAsia"/>
                <w:kern w:val="0"/>
                <w:sz w:val="14"/>
                <w:szCs w:val="12"/>
              </w:rPr>
              <w:t>東大阪技専校</w:t>
            </w:r>
          </w:p>
        </w:tc>
      </w:tr>
      <w:tr w:rsidR="008A3EDE" w:rsidRPr="00263B73" w14:paraId="73E31FED" w14:textId="77777777" w:rsidTr="00831B7C">
        <w:trPr>
          <w:trHeight w:val="20"/>
        </w:trPr>
        <w:tc>
          <w:tcPr>
            <w:tcW w:w="1501" w:type="dxa"/>
            <w:vMerge/>
            <w:vAlign w:val="center"/>
          </w:tcPr>
          <w:p w14:paraId="116AA7FB" w14:textId="77777777" w:rsidR="008A3EDE" w:rsidRPr="00263B73" w:rsidRDefault="008A3EDE" w:rsidP="00831B7C">
            <w:pPr>
              <w:widowControl/>
              <w:spacing w:line="180" w:lineRule="exact"/>
              <w:jc w:val="left"/>
              <w:rPr>
                <w:rFonts w:ascii="ＭＳ ゴシック" w:eastAsia="ＭＳ ゴシック" w:hAnsi="ＭＳ ゴシック" w:cs="ＭＳ Ｐゴシック"/>
                <w:kern w:val="0"/>
                <w:sz w:val="14"/>
                <w:szCs w:val="12"/>
              </w:rPr>
            </w:pPr>
          </w:p>
        </w:tc>
        <w:tc>
          <w:tcPr>
            <w:tcW w:w="5631" w:type="dxa"/>
            <w:gridSpan w:val="2"/>
            <w:noWrap/>
            <w:vAlign w:val="center"/>
          </w:tcPr>
          <w:p w14:paraId="43BAF092" w14:textId="77777777" w:rsidR="008A3EDE" w:rsidRPr="00263B73" w:rsidRDefault="008A3EDE" w:rsidP="00831B7C">
            <w:pPr>
              <w:widowControl/>
              <w:spacing w:line="180" w:lineRule="exact"/>
              <w:jc w:val="left"/>
              <w:rPr>
                <w:rFonts w:ascii="ＭＳ ゴシック" w:eastAsia="ＭＳ ゴシック" w:hAnsi="ＭＳ ゴシック" w:cs="ＭＳ Ｐゴシック"/>
                <w:kern w:val="0"/>
                <w:sz w:val="14"/>
                <w:szCs w:val="12"/>
              </w:rPr>
            </w:pPr>
            <w:r w:rsidRPr="00263B73">
              <w:rPr>
                <w:rFonts w:ascii="ＭＳ ゴシック" w:eastAsia="ＭＳ ゴシック" w:hAnsi="ＭＳ ゴシック" w:cs="ＭＳ Ｐゴシック" w:hint="eastAsia"/>
                <w:kern w:val="0"/>
                <w:sz w:val="14"/>
                <w:szCs w:val="12"/>
              </w:rPr>
              <w:t>南大阪高等職業技術専門校　災害等応急対策実施要領</w:t>
            </w:r>
          </w:p>
          <w:p w14:paraId="75ABE734" w14:textId="77777777" w:rsidR="008A3EDE" w:rsidRPr="00263B73" w:rsidRDefault="008A3EDE" w:rsidP="00831B7C">
            <w:pPr>
              <w:widowControl/>
              <w:spacing w:line="180" w:lineRule="exact"/>
              <w:jc w:val="left"/>
              <w:rPr>
                <w:rFonts w:ascii="ＭＳ ゴシック" w:eastAsia="ＭＳ ゴシック" w:hAnsi="ＭＳ ゴシック" w:cs="ＭＳ Ｐゴシック"/>
                <w:kern w:val="0"/>
                <w:sz w:val="14"/>
                <w:szCs w:val="12"/>
              </w:rPr>
            </w:pPr>
            <w:r w:rsidRPr="00263B73">
              <w:rPr>
                <w:rFonts w:ascii="ＭＳ ゴシック" w:eastAsia="ＭＳ ゴシック" w:hAnsi="ＭＳ ゴシック" w:cs="ＭＳ Ｐゴシック" w:hint="eastAsia"/>
                <w:kern w:val="0"/>
                <w:sz w:val="14"/>
                <w:szCs w:val="12"/>
              </w:rPr>
              <w:t>生徒の安全確保等実施要領</w:t>
            </w:r>
          </w:p>
        </w:tc>
        <w:tc>
          <w:tcPr>
            <w:tcW w:w="850" w:type="dxa"/>
            <w:vMerge/>
            <w:noWrap/>
            <w:vAlign w:val="center"/>
          </w:tcPr>
          <w:p w14:paraId="5ED1B1BF" w14:textId="77777777" w:rsidR="008A3EDE" w:rsidRPr="00263B73" w:rsidRDefault="008A3EDE" w:rsidP="00831B7C">
            <w:pPr>
              <w:widowControl/>
              <w:spacing w:line="180" w:lineRule="exact"/>
              <w:rPr>
                <w:rFonts w:ascii="ＭＳ ゴシック" w:eastAsia="ＭＳ ゴシック" w:hAnsi="ＭＳ ゴシック" w:cs="ＭＳ Ｐゴシック"/>
                <w:kern w:val="0"/>
                <w:sz w:val="14"/>
                <w:szCs w:val="12"/>
              </w:rPr>
            </w:pPr>
          </w:p>
        </w:tc>
        <w:tc>
          <w:tcPr>
            <w:tcW w:w="1843" w:type="dxa"/>
            <w:noWrap/>
            <w:vAlign w:val="center"/>
          </w:tcPr>
          <w:p w14:paraId="2D9CCFF8" w14:textId="77777777" w:rsidR="008A3EDE" w:rsidRPr="00263B73" w:rsidRDefault="008A3EDE" w:rsidP="00831B7C">
            <w:pPr>
              <w:widowControl/>
              <w:spacing w:line="180" w:lineRule="exact"/>
              <w:rPr>
                <w:rFonts w:ascii="ＭＳ ゴシック" w:eastAsia="ＭＳ ゴシック" w:hAnsi="ＭＳ ゴシック" w:cs="ＭＳ Ｐゴシック"/>
                <w:kern w:val="0"/>
                <w:sz w:val="14"/>
                <w:szCs w:val="12"/>
              </w:rPr>
            </w:pPr>
            <w:r w:rsidRPr="00263B73">
              <w:rPr>
                <w:rFonts w:ascii="ＭＳ ゴシック" w:eastAsia="ＭＳ ゴシック" w:hAnsi="ＭＳ ゴシック" w:cs="ＭＳ Ｐゴシック" w:hint="eastAsia"/>
                <w:kern w:val="0"/>
                <w:sz w:val="14"/>
                <w:szCs w:val="12"/>
              </w:rPr>
              <w:t>南大阪技専校</w:t>
            </w:r>
          </w:p>
        </w:tc>
      </w:tr>
      <w:tr w:rsidR="008A3EDE" w:rsidRPr="00263B73" w14:paraId="2772B1F4" w14:textId="77777777" w:rsidTr="00831B7C">
        <w:trPr>
          <w:trHeight w:val="20"/>
        </w:trPr>
        <w:tc>
          <w:tcPr>
            <w:tcW w:w="1501" w:type="dxa"/>
            <w:vMerge/>
            <w:vAlign w:val="center"/>
          </w:tcPr>
          <w:p w14:paraId="6B4CC832" w14:textId="77777777" w:rsidR="008A3EDE" w:rsidRPr="00263B73" w:rsidRDefault="008A3EDE" w:rsidP="00831B7C">
            <w:pPr>
              <w:widowControl/>
              <w:spacing w:line="180" w:lineRule="exact"/>
              <w:jc w:val="left"/>
              <w:rPr>
                <w:rFonts w:ascii="ＭＳ ゴシック" w:eastAsia="ＭＳ ゴシック" w:hAnsi="ＭＳ ゴシック" w:cs="ＭＳ Ｐゴシック"/>
                <w:kern w:val="0"/>
                <w:sz w:val="14"/>
                <w:szCs w:val="12"/>
              </w:rPr>
            </w:pPr>
          </w:p>
        </w:tc>
        <w:tc>
          <w:tcPr>
            <w:tcW w:w="5631" w:type="dxa"/>
            <w:gridSpan w:val="2"/>
            <w:noWrap/>
            <w:vAlign w:val="center"/>
          </w:tcPr>
          <w:p w14:paraId="7BA9252A" w14:textId="77777777" w:rsidR="008A3EDE" w:rsidRPr="00263B73" w:rsidRDefault="008A3EDE" w:rsidP="00831B7C">
            <w:pPr>
              <w:widowControl/>
              <w:spacing w:line="180" w:lineRule="exact"/>
              <w:jc w:val="left"/>
              <w:rPr>
                <w:rFonts w:ascii="ＭＳ ゴシック" w:eastAsia="ＭＳ ゴシック" w:hAnsi="ＭＳ ゴシック" w:cs="ＭＳ Ｐゴシック"/>
                <w:kern w:val="0"/>
                <w:sz w:val="14"/>
                <w:szCs w:val="12"/>
              </w:rPr>
            </w:pPr>
            <w:r w:rsidRPr="00263B73">
              <w:rPr>
                <w:rFonts w:ascii="ＭＳ ゴシック" w:eastAsia="ＭＳ ゴシック" w:hAnsi="ＭＳ ゴシック" w:cs="ＭＳ Ｐゴシック" w:hint="eastAsia"/>
                <w:kern w:val="0"/>
                <w:sz w:val="14"/>
                <w:szCs w:val="12"/>
              </w:rPr>
              <w:t>夕陽丘高等職業技術専門校　危機管理マニュアル</w:t>
            </w:r>
          </w:p>
        </w:tc>
        <w:tc>
          <w:tcPr>
            <w:tcW w:w="850" w:type="dxa"/>
            <w:vMerge/>
            <w:noWrap/>
            <w:vAlign w:val="center"/>
          </w:tcPr>
          <w:p w14:paraId="2303B7F7" w14:textId="77777777" w:rsidR="008A3EDE" w:rsidRPr="00263B73" w:rsidRDefault="008A3EDE" w:rsidP="00831B7C">
            <w:pPr>
              <w:widowControl/>
              <w:spacing w:line="180" w:lineRule="exact"/>
              <w:rPr>
                <w:rFonts w:ascii="ＭＳ ゴシック" w:eastAsia="ＭＳ ゴシック" w:hAnsi="ＭＳ ゴシック" w:cs="ＭＳ Ｐゴシック"/>
                <w:kern w:val="0"/>
                <w:sz w:val="14"/>
                <w:szCs w:val="12"/>
              </w:rPr>
            </w:pPr>
          </w:p>
        </w:tc>
        <w:tc>
          <w:tcPr>
            <w:tcW w:w="1843" w:type="dxa"/>
            <w:noWrap/>
            <w:vAlign w:val="center"/>
          </w:tcPr>
          <w:p w14:paraId="60B5545F" w14:textId="77777777" w:rsidR="008A3EDE" w:rsidRPr="00263B73" w:rsidRDefault="008A3EDE" w:rsidP="00831B7C">
            <w:pPr>
              <w:widowControl/>
              <w:spacing w:line="180" w:lineRule="exact"/>
              <w:rPr>
                <w:rFonts w:ascii="ＭＳ ゴシック" w:eastAsia="ＭＳ ゴシック" w:hAnsi="ＭＳ ゴシック" w:cs="ＭＳ Ｐゴシック"/>
                <w:kern w:val="0"/>
                <w:sz w:val="14"/>
                <w:szCs w:val="12"/>
              </w:rPr>
            </w:pPr>
            <w:r w:rsidRPr="00263B73">
              <w:rPr>
                <w:rFonts w:ascii="ＭＳ ゴシック" w:eastAsia="ＭＳ ゴシック" w:hAnsi="ＭＳ ゴシック" w:cs="ＭＳ Ｐゴシック" w:hint="eastAsia"/>
                <w:kern w:val="0"/>
                <w:sz w:val="14"/>
                <w:szCs w:val="12"/>
              </w:rPr>
              <w:t>夕陽丘技専校</w:t>
            </w:r>
          </w:p>
        </w:tc>
      </w:tr>
      <w:tr w:rsidR="008A3EDE" w:rsidRPr="00263B73" w14:paraId="64CF45DA" w14:textId="77777777" w:rsidTr="00831B7C">
        <w:trPr>
          <w:trHeight w:val="20"/>
        </w:trPr>
        <w:tc>
          <w:tcPr>
            <w:tcW w:w="1501" w:type="dxa"/>
            <w:vMerge/>
            <w:vAlign w:val="center"/>
          </w:tcPr>
          <w:p w14:paraId="7621B7A0" w14:textId="77777777" w:rsidR="008A3EDE" w:rsidRPr="00263B73" w:rsidRDefault="008A3EDE" w:rsidP="00831B7C">
            <w:pPr>
              <w:widowControl/>
              <w:spacing w:line="180" w:lineRule="exact"/>
              <w:jc w:val="left"/>
              <w:rPr>
                <w:rFonts w:ascii="ＭＳ ゴシック" w:eastAsia="ＭＳ ゴシック" w:hAnsi="ＭＳ ゴシック" w:cs="ＭＳ Ｐゴシック"/>
                <w:kern w:val="0"/>
                <w:sz w:val="14"/>
                <w:szCs w:val="12"/>
              </w:rPr>
            </w:pPr>
          </w:p>
        </w:tc>
        <w:tc>
          <w:tcPr>
            <w:tcW w:w="5631" w:type="dxa"/>
            <w:gridSpan w:val="2"/>
            <w:noWrap/>
            <w:vAlign w:val="center"/>
          </w:tcPr>
          <w:p w14:paraId="068E7B1A" w14:textId="77777777" w:rsidR="008A3EDE" w:rsidRPr="00263B73" w:rsidRDefault="008A3EDE" w:rsidP="00831B7C">
            <w:pPr>
              <w:widowControl/>
              <w:spacing w:line="180" w:lineRule="exact"/>
              <w:jc w:val="left"/>
              <w:rPr>
                <w:rFonts w:ascii="ＭＳ ゴシック" w:eastAsia="ＭＳ ゴシック" w:hAnsi="ＭＳ ゴシック" w:cs="ＭＳ Ｐゴシック"/>
                <w:kern w:val="0"/>
                <w:sz w:val="14"/>
                <w:szCs w:val="12"/>
              </w:rPr>
            </w:pPr>
            <w:r w:rsidRPr="00263B73">
              <w:rPr>
                <w:rFonts w:ascii="ＭＳ ゴシック" w:eastAsia="ＭＳ ゴシック" w:hAnsi="ＭＳ ゴシック" w:cs="ＭＳ Ｐゴシック" w:hint="eastAsia"/>
                <w:kern w:val="0"/>
                <w:sz w:val="14"/>
                <w:szCs w:val="12"/>
              </w:rPr>
              <w:t>大阪障害者職業能力開発校　危機管理マニュアル</w:t>
            </w:r>
          </w:p>
        </w:tc>
        <w:tc>
          <w:tcPr>
            <w:tcW w:w="850" w:type="dxa"/>
            <w:vMerge/>
            <w:noWrap/>
            <w:vAlign w:val="center"/>
          </w:tcPr>
          <w:p w14:paraId="23153F3B" w14:textId="77777777" w:rsidR="008A3EDE" w:rsidRPr="00263B73" w:rsidRDefault="008A3EDE" w:rsidP="00831B7C">
            <w:pPr>
              <w:widowControl/>
              <w:spacing w:line="180" w:lineRule="exact"/>
              <w:rPr>
                <w:rFonts w:ascii="ＭＳ ゴシック" w:eastAsia="ＭＳ ゴシック" w:hAnsi="ＭＳ ゴシック" w:cs="ＭＳ Ｐゴシック"/>
                <w:kern w:val="0"/>
                <w:sz w:val="14"/>
                <w:szCs w:val="12"/>
              </w:rPr>
            </w:pPr>
          </w:p>
        </w:tc>
        <w:tc>
          <w:tcPr>
            <w:tcW w:w="1843" w:type="dxa"/>
            <w:noWrap/>
            <w:vAlign w:val="center"/>
          </w:tcPr>
          <w:p w14:paraId="0127896A" w14:textId="77777777" w:rsidR="008A3EDE" w:rsidRPr="00263B73" w:rsidRDefault="008A3EDE" w:rsidP="00831B7C">
            <w:pPr>
              <w:widowControl/>
              <w:spacing w:line="180" w:lineRule="exact"/>
              <w:rPr>
                <w:rFonts w:ascii="ＭＳ ゴシック" w:eastAsia="ＭＳ ゴシック" w:hAnsi="ＭＳ ゴシック" w:cs="ＭＳ Ｐゴシック"/>
                <w:kern w:val="0"/>
                <w:sz w:val="14"/>
                <w:szCs w:val="12"/>
              </w:rPr>
            </w:pPr>
            <w:r w:rsidRPr="00263B73">
              <w:rPr>
                <w:rFonts w:ascii="ＭＳ ゴシック" w:eastAsia="ＭＳ ゴシック" w:hAnsi="ＭＳ ゴシック" w:cs="ＭＳ Ｐゴシック" w:hint="eastAsia"/>
                <w:kern w:val="0"/>
                <w:sz w:val="14"/>
                <w:szCs w:val="12"/>
              </w:rPr>
              <w:t>障害者開発校</w:t>
            </w:r>
          </w:p>
        </w:tc>
      </w:tr>
      <w:tr w:rsidR="008A3EDE" w:rsidRPr="00263B73" w14:paraId="03627BDD" w14:textId="77777777" w:rsidTr="00831B7C">
        <w:trPr>
          <w:trHeight w:val="20"/>
        </w:trPr>
        <w:tc>
          <w:tcPr>
            <w:tcW w:w="1501" w:type="dxa"/>
            <w:vAlign w:val="center"/>
            <w:hideMark/>
          </w:tcPr>
          <w:p w14:paraId="7EB7ABB0" w14:textId="77777777" w:rsidR="008A3EDE" w:rsidRPr="00263B73" w:rsidRDefault="008A3EDE" w:rsidP="00831B7C">
            <w:pPr>
              <w:widowControl/>
              <w:spacing w:line="180" w:lineRule="exact"/>
              <w:jc w:val="left"/>
              <w:rPr>
                <w:rFonts w:ascii="ＭＳ ゴシック" w:eastAsia="ＭＳ ゴシック" w:hAnsi="ＭＳ ゴシック" w:cs="ＭＳ Ｐゴシック"/>
                <w:kern w:val="0"/>
                <w:sz w:val="14"/>
                <w:szCs w:val="12"/>
              </w:rPr>
            </w:pPr>
            <w:r w:rsidRPr="00263B73">
              <w:rPr>
                <w:rFonts w:ascii="ＭＳ ゴシック" w:eastAsia="ＭＳ ゴシック" w:hAnsi="ＭＳ ゴシック" w:cs="ＭＳ Ｐゴシック" w:hint="eastAsia"/>
                <w:kern w:val="0"/>
                <w:sz w:val="14"/>
                <w:szCs w:val="12"/>
              </w:rPr>
              <w:t>電力需給ひっ迫による計画停電・大規模停電</w:t>
            </w:r>
          </w:p>
        </w:tc>
        <w:tc>
          <w:tcPr>
            <w:tcW w:w="5631" w:type="dxa"/>
            <w:gridSpan w:val="2"/>
            <w:noWrap/>
            <w:vAlign w:val="center"/>
            <w:hideMark/>
          </w:tcPr>
          <w:p w14:paraId="67426F07" w14:textId="77777777" w:rsidR="008A3EDE" w:rsidRPr="00263B73" w:rsidRDefault="008A3EDE" w:rsidP="00831B7C">
            <w:pPr>
              <w:widowControl/>
              <w:spacing w:line="180" w:lineRule="exact"/>
              <w:jc w:val="left"/>
              <w:rPr>
                <w:rFonts w:ascii="ＭＳ ゴシック" w:eastAsia="ＭＳ ゴシック" w:hAnsi="ＭＳ ゴシック" w:cs="ＭＳ Ｐゴシック"/>
                <w:kern w:val="0"/>
                <w:sz w:val="14"/>
                <w:szCs w:val="12"/>
              </w:rPr>
            </w:pPr>
            <w:r w:rsidRPr="00263B73">
              <w:rPr>
                <w:rFonts w:ascii="ＭＳ ゴシック" w:eastAsia="ＭＳ ゴシック" w:hAnsi="ＭＳ ゴシック" w:cs="ＭＳ Ｐゴシック" w:hint="eastAsia"/>
                <w:kern w:val="0"/>
                <w:sz w:val="14"/>
                <w:szCs w:val="12"/>
              </w:rPr>
              <w:t>大阪府電力需給ひっ迫対応マニュアル</w:t>
            </w:r>
          </w:p>
        </w:tc>
        <w:tc>
          <w:tcPr>
            <w:tcW w:w="850" w:type="dxa"/>
            <w:vMerge w:val="restart"/>
            <w:noWrap/>
            <w:vAlign w:val="center"/>
            <w:hideMark/>
          </w:tcPr>
          <w:p w14:paraId="7AAA558D" w14:textId="77777777" w:rsidR="008A3EDE" w:rsidRPr="00263B73" w:rsidRDefault="008A3EDE" w:rsidP="00831B7C">
            <w:pPr>
              <w:widowControl/>
              <w:spacing w:line="180" w:lineRule="exact"/>
              <w:jc w:val="left"/>
              <w:rPr>
                <w:rFonts w:ascii="ＭＳ ゴシック" w:eastAsia="ＭＳ ゴシック" w:hAnsi="ＭＳ ゴシック" w:cs="ＭＳ Ｐゴシック"/>
                <w:kern w:val="0"/>
                <w:sz w:val="14"/>
                <w:szCs w:val="12"/>
              </w:rPr>
            </w:pPr>
            <w:r w:rsidRPr="00263B73">
              <w:rPr>
                <w:rFonts w:ascii="ＭＳ ゴシック" w:eastAsia="ＭＳ ゴシック" w:hAnsi="ＭＳ ゴシック" w:cs="ＭＳ Ｐゴシック" w:hint="eastAsia"/>
                <w:kern w:val="0"/>
                <w:sz w:val="14"/>
                <w:szCs w:val="12"/>
              </w:rPr>
              <w:t>環境農林水産部</w:t>
            </w:r>
          </w:p>
        </w:tc>
        <w:tc>
          <w:tcPr>
            <w:tcW w:w="1843" w:type="dxa"/>
            <w:vAlign w:val="center"/>
            <w:hideMark/>
          </w:tcPr>
          <w:p w14:paraId="73A105A5" w14:textId="77777777" w:rsidR="008A3EDE" w:rsidRPr="00263B73" w:rsidRDefault="008A3EDE" w:rsidP="00831B7C">
            <w:pPr>
              <w:widowControl/>
              <w:spacing w:line="180" w:lineRule="exact"/>
              <w:rPr>
                <w:rFonts w:ascii="ＭＳ ゴシック" w:eastAsia="ＭＳ ゴシック" w:hAnsi="ＭＳ ゴシック" w:cs="ＭＳ Ｐゴシック"/>
                <w:kern w:val="0"/>
                <w:sz w:val="14"/>
                <w:szCs w:val="12"/>
              </w:rPr>
            </w:pPr>
            <w:r w:rsidRPr="00263B73">
              <w:rPr>
                <w:rFonts w:ascii="ＭＳ ゴシック" w:eastAsia="ＭＳ ゴシック" w:hAnsi="ＭＳ ゴシック" w:cs="ＭＳ Ｐゴシック" w:hint="eastAsia"/>
                <w:kern w:val="0"/>
                <w:sz w:val="14"/>
                <w:szCs w:val="12"/>
              </w:rPr>
              <w:t>脱炭素・エネルギー政策課</w:t>
            </w:r>
          </w:p>
        </w:tc>
      </w:tr>
      <w:tr w:rsidR="008A3EDE" w:rsidRPr="00263B73" w14:paraId="079C4C80" w14:textId="77777777" w:rsidTr="00831B7C">
        <w:trPr>
          <w:trHeight w:val="20"/>
        </w:trPr>
        <w:tc>
          <w:tcPr>
            <w:tcW w:w="1501" w:type="dxa"/>
            <w:vAlign w:val="center"/>
            <w:hideMark/>
          </w:tcPr>
          <w:p w14:paraId="74367691" w14:textId="77777777" w:rsidR="008A3EDE" w:rsidRPr="00263B73" w:rsidRDefault="008A3EDE" w:rsidP="00831B7C">
            <w:pPr>
              <w:widowControl/>
              <w:spacing w:line="180" w:lineRule="exact"/>
              <w:jc w:val="left"/>
              <w:rPr>
                <w:rFonts w:ascii="ＭＳ ゴシック" w:eastAsia="ＭＳ ゴシック" w:hAnsi="ＭＳ ゴシック" w:cs="ＭＳ Ｐゴシック"/>
                <w:kern w:val="0"/>
                <w:sz w:val="14"/>
                <w:szCs w:val="12"/>
              </w:rPr>
            </w:pPr>
            <w:r w:rsidRPr="00263B73">
              <w:rPr>
                <w:rFonts w:ascii="ＭＳ ゴシック" w:eastAsia="ＭＳ ゴシック" w:hAnsi="ＭＳ ゴシック" w:cs="ＭＳ Ｐゴシック" w:hint="eastAsia"/>
                <w:kern w:val="0"/>
                <w:sz w:val="14"/>
                <w:szCs w:val="12"/>
              </w:rPr>
              <w:t>府民の森等における事故・事件</w:t>
            </w:r>
          </w:p>
        </w:tc>
        <w:tc>
          <w:tcPr>
            <w:tcW w:w="5631" w:type="dxa"/>
            <w:gridSpan w:val="2"/>
            <w:noWrap/>
            <w:vAlign w:val="center"/>
            <w:hideMark/>
          </w:tcPr>
          <w:p w14:paraId="686F9C19" w14:textId="77777777" w:rsidR="008A3EDE" w:rsidRPr="00263B73" w:rsidRDefault="008A3EDE" w:rsidP="00831B7C">
            <w:pPr>
              <w:widowControl/>
              <w:spacing w:line="180" w:lineRule="exact"/>
              <w:jc w:val="left"/>
              <w:rPr>
                <w:rFonts w:ascii="ＭＳ ゴシック" w:eastAsia="ＭＳ ゴシック" w:hAnsi="ＭＳ ゴシック" w:cs="ＭＳ Ｐゴシック"/>
                <w:kern w:val="0"/>
                <w:sz w:val="14"/>
                <w:szCs w:val="12"/>
              </w:rPr>
            </w:pPr>
            <w:r w:rsidRPr="00263B73">
              <w:rPr>
                <w:rFonts w:ascii="ＭＳ ゴシック" w:eastAsia="ＭＳ ゴシック" w:hAnsi="ＭＳ ゴシック" w:cs="ＭＳ Ｐゴシック" w:hint="eastAsia"/>
                <w:kern w:val="0"/>
                <w:sz w:val="14"/>
                <w:szCs w:val="12"/>
              </w:rPr>
              <w:t>大阪府民の森等事件・事故対応マニュアル</w:t>
            </w:r>
          </w:p>
        </w:tc>
        <w:tc>
          <w:tcPr>
            <w:tcW w:w="850" w:type="dxa"/>
            <w:vMerge/>
            <w:noWrap/>
            <w:vAlign w:val="center"/>
            <w:hideMark/>
          </w:tcPr>
          <w:p w14:paraId="1CC45C00" w14:textId="77777777" w:rsidR="008A3EDE" w:rsidRPr="00263B73" w:rsidRDefault="008A3EDE" w:rsidP="00831B7C">
            <w:pPr>
              <w:spacing w:line="180" w:lineRule="exact"/>
              <w:jc w:val="left"/>
              <w:rPr>
                <w:rFonts w:ascii="ＭＳ ゴシック" w:eastAsia="ＭＳ ゴシック" w:hAnsi="ＭＳ ゴシック" w:cs="ＭＳ Ｐゴシック"/>
                <w:kern w:val="0"/>
                <w:sz w:val="14"/>
                <w:szCs w:val="12"/>
              </w:rPr>
            </w:pPr>
          </w:p>
        </w:tc>
        <w:tc>
          <w:tcPr>
            <w:tcW w:w="1843" w:type="dxa"/>
            <w:vAlign w:val="center"/>
            <w:hideMark/>
          </w:tcPr>
          <w:p w14:paraId="340A3B93" w14:textId="77777777" w:rsidR="008A3EDE" w:rsidRPr="00263B73" w:rsidRDefault="008A3EDE" w:rsidP="00831B7C">
            <w:pPr>
              <w:widowControl/>
              <w:spacing w:line="180" w:lineRule="exact"/>
              <w:rPr>
                <w:rFonts w:ascii="ＭＳ ゴシック" w:eastAsia="ＭＳ ゴシック" w:hAnsi="ＭＳ ゴシック" w:cs="ＭＳ Ｐゴシック"/>
                <w:kern w:val="0"/>
                <w:sz w:val="14"/>
                <w:szCs w:val="12"/>
              </w:rPr>
            </w:pPr>
            <w:r w:rsidRPr="00263B73">
              <w:rPr>
                <w:rFonts w:ascii="ＭＳ ゴシック" w:eastAsia="ＭＳ ゴシック" w:hAnsi="ＭＳ ゴシック" w:cs="ＭＳ Ｐゴシック" w:hint="eastAsia"/>
                <w:kern w:val="0"/>
                <w:sz w:val="14"/>
                <w:szCs w:val="12"/>
              </w:rPr>
              <w:t>みどり企画課</w:t>
            </w:r>
          </w:p>
        </w:tc>
      </w:tr>
      <w:tr w:rsidR="008A3EDE" w:rsidRPr="00263B73" w14:paraId="582AB515" w14:textId="77777777" w:rsidTr="00831B7C">
        <w:trPr>
          <w:trHeight w:val="20"/>
        </w:trPr>
        <w:tc>
          <w:tcPr>
            <w:tcW w:w="1501" w:type="dxa"/>
            <w:vAlign w:val="center"/>
            <w:hideMark/>
          </w:tcPr>
          <w:p w14:paraId="122F72AA" w14:textId="77777777" w:rsidR="008A3EDE" w:rsidRPr="00263B73" w:rsidRDefault="008A3EDE" w:rsidP="00831B7C">
            <w:pPr>
              <w:widowControl/>
              <w:spacing w:line="180" w:lineRule="exact"/>
              <w:jc w:val="left"/>
              <w:rPr>
                <w:rFonts w:ascii="ＭＳ ゴシック" w:eastAsia="ＭＳ ゴシック" w:hAnsi="ＭＳ ゴシック" w:cs="ＭＳ Ｐゴシック"/>
                <w:kern w:val="0"/>
                <w:sz w:val="14"/>
                <w:szCs w:val="12"/>
              </w:rPr>
            </w:pPr>
            <w:r w:rsidRPr="00263B73">
              <w:rPr>
                <w:rFonts w:ascii="ＭＳ ゴシック" w:eastAsia="ＭＳ ゴシック" w:hAnsi="ＭＳ ゴシック" w:cs="ＭＳ Ｐゴシック" w:hint="eastAsia"/>
                <w:kern w:val="0"/>
                <w:sz w:val="14"/>
                <w:szCs w:val="12"/>
              </w:rPr>
              <w:t>林野火災</w:t>
            </w:r>
          </w:p>
        </w:tc>
        <w:tc>
          <w:tcPr>
            <w:tcW w:w="5631" w:type="dxa"/>
            <w:gridSpan w:val="2"/>
            <w:noWrap/>
            <w:vAlign w:val="center"/>
            <w:hideMark/>
          </w:tcPr>
          <w:p w14:paraId="414EA505" w14:textId="77777777" w:rsidR="008A3EDE" w:rsidRPr="00263B73" w:rsidRDefault="008A3EDE" w:rsidP="00831B7C">
            <w:pPr>
              <w:widowControl/>
              <w:spacing w:line="180" w:lineRule="exact"/>
              <w:jc w:val="left"/>
              <w:rPr>
                <w:rFonts w:ascii="ＭＳ ゴシック" w:eastAsia="ＭＳ ゴシック" w:hAnsi="ＭＳ ゴシック" w:cs="ＭＳ Ｐゴシック"/>
                <w:kern w:val="0"/>
                <w:sz w:val="14"/>
                <w:szCs w:val="12"/>
              </w:rPr>
            </w:pPr>
            <w:r w:rsidRPr="00263B73">
              <w:rPr>
                <w:rFonts w:ascii="ＭＳ ゴシック" w:eastAsia="ＭＳ ゴシック" w:hAnsi="ＭＳ ゴシック" w:cs="ＭＳ Ｐゴシック" w:hint="eastAsia"/>
                <w:kern w:val="0"/>
                <w:sz w:val="14"/>
                <w:szCs w:val="12"/>
              </w:rPr>
              <w:t>大阪府林野火災応急対策実施マニュアル</w:t>
            </w:r>
          </w:p>
        </w:tc>
        <w:tc>
          <w:tcPr>
            <w:tcW w:w="850" w:type="dxa"/>
            <w:vMerge/>
            <w:noWrap/>
            <w:vAlign w:val="center"/>
            <w:hideMark/>
          </w:tcPr>
          <w:p w14:paraId="011D92AD" w14:textId="77777777" w:rsidR="008A3EDE" w:rsidRPr="00263B73" w:rsidRDefault="008A3EDE" w:rsidP="00831B7C">
            <w:pPr>
              <w:spacing w:line="180" w:lineRule="exact"/>
              <w:jc w:val="left"/>
              <w:rPr>
                <w:rFonts w:ascii="ＭＳ ゴシック" w:eastAsia="ＭＳ ゴシック" w:hAnsi="ＭＳ ゴシック" w:cs="ＭＳ Ｐゴシック"/>
                <w:kern w:val="0"/>
                <w:sz w:val="14"/>
                <w:szCs w:val="12"/>
              </w:rPr>
            </w:pPr>
          </w:p>
        </w:tc>
        <w:tc>
          <w:tcPr>
            <w:tcW w:w="1843" w:type="dxa"/>
            <w:vAlign w:val="center"/>
            <w:hideMark/>
          </w:tcPr>
          <w:p w14:paraId="6690B2DD" w14:textId="77777777" w:rsidR="008A3EDE" w:rsidRPr="00263B73" w:rsidRDefault="008A3EDE" w:rsidP="00831B7C">
            <w:pPr>
              <w:widowControl/>
              <w:spacing w:line="180" w:lineRule="exact"/>
              <w:rPr>
                <w:rFonts w:ascii="ＭＳ ゴシック" w:eastAsia="ＭＳ ゴシック" w:hAnsi="ＭＳ ゴシック" w:cs="ＭＳ Ｐゴシック"/>
                <w:kern w:val="0"/>
                <w:sz w:val="14"/>
                <w:szCs w:val="12"/>
              </w:rPr>
            </w:pPr>
            <w:r w:rsidRPr="00263B73">
              <w:rPr>
                <w:rFonts w:ascii="ＭＳ ゴシック" w:eastAsia="ＭＳ ゴシック" w:hAnsi="ＭＳ ゴシック" w:cs="ＭＳ Ｐゴシック" w:hint="eastAsia"/>
                <w:kern w:val="0"/>
                <w:sz w:val="14"/>
                <w:szCs w:val="12"/>
              </w:rPr>
              <w:t>森づくり課/災害対策課</w:t>
            </w:r>
          </w:p>
        </w:tc>
      </w:tr>
      <w:tr w:rsidR="008A3EDE" w:rsidRPr="00263B73" w14:paraId="0F1ACD4F" w14:textId="77777777" w:rsidTr="00831B7C">
        <w:trPr>
          <w:trHeight w:val="20"/>
        </w:trPr>
        <w:tc>
          <w:tcPr>
            <w:tcW w:w="1501" w:type="dxa"/>
            <w:vAlign w:val="center"/>
            <w:hideMark/>
          </w:tcPr>
          <w:p w14:paraId="7971C20A" w14:textId="77777777" w:rsidR="008A3EDE" w:rsidRPr="00263B73" w:rsidRDefault="008A3EDE" w:rsidP="00831B7C">
            <w:pPr>
              <w:widowControl/>
              <w:spacing w:line="180" w:lineRule="exact"/>
              <w:jc w:val="left"/>
              <w:rPr>
                <w:rFonts w:ascii="ＭＳ ゴシック" w:eastAsia="ＭＳ ゴシック" w:hAnsi="ＭＳ ゴシック" w:cs="ＭＳ Ｐゴシック"/>
                <w:kern w:val="0"/>
                <w:sz w:val="14"/>
                <w:szCs w:val="12"/>
              </w:rPr>
            </w:pPr>
            <w:r w:rsidRPr="00263B73">
              <w:rPr>
                <w:rFonts w:ascii="ＭＳ ゴシック" w:eastAsia="ＭＳ ゴシック" w:hAnsi="ＭＳ ゴシック" w:cs="ＭＳ Ｐゴシック" w:hint="eastAsia"/>
                <w:kern w:val="0"/>
                <w:sz w:val="14"/>
                <w:szCs w:val="12"/>
              </w:rPr>
              <w:t>ヒアリによる刺傷事故の発生</w:t>
            </w:r>
          </w:p>
        </w:tc>
        <w:tc>
          <w:tcPr>
            <w:tcW w:w="5631" w:type="dxa"/>
            <w:gridSpan w:val="2"/>
            <w:noWrap/>
            <w:vAlign w:val="center"/>
            <w:hideMark/>
          </w:tcPr>
          <w:p w14:paraId="1C2DEA8D" w14:textId="77777777" w:rsidR="008A3EDE" w:rsidRPr="00263B73" w:rsidRDefault="008A3EDE" w:rsidP="00831B7C">
            <w:pPr>
              <w:widowControl/>
              <w:spacing w:line="180" w:lineRule="exact"/>
              <w:jc w:val="left"/>
              <w:rPr>
                <w:rFonts w:ascii="ＭＳ ゴシック" w:eastAsia="ＭＳ ゴシック" w:hAnsi="ＭＳ ゴシック" w:cs="ＭＳ Ｐゴシック"/>
                <w:kern w:val="0"/>
                <w:sz w:val="14"/>
                <w:szCs w:val="12"/>
              </w:rPr>
            </w:pPr>
            <w:r w:rsidRPr="00263B73">
              <w:rPr>
                <w:rFonts w:ascii="ＭＳ ゴシック" w:eastAsia="ＭＳ ゴシック" w:hAnsi="ＭＳ ゴシック" w:cs="ＭＳ Ｐゴシック" w:hint="eastAsia"/>
                <w:kern w:val="0"/>
                <w:sz w:val="14"/>
                <w:szCs w:val="12"/>
              </w:rPr>
              <w:t>ヒアリ危機管理対応マニュアル</w:t>
            </w:r>
          </w:p>
        </w:tc>
        <w:tc>
          <w:tcPr>
            <w:tcW w:w="850" w:type="dxa"/>
            <w:vMerge/>
            <w:noWrap/>
            <w:vAlign w:val="center"/>
            <w:hideMark/>
          </w:tcPr>
          <w:p w14:paraId="288BF2E0" w14:textId="77777777" w:rsidR="008A3EDE" w:rsidRPr="00263B73" w:rsidRDefault="008A3EDE" w:rsidP="00831B7C">
            <w:pPr>
              <w:spacing w:line="180" w:lineRule="exact"/>
              <w:jc w:val="left"/>
              <w:rPr>
                <w:rFonts w:ascii="ＭＳ ゴシック" w:eastAsia="ＭＳ ゴシック" w:hAnsi="ＭＳ ゴシック" w:cs="ＭＳ Ｐゴシック"/>
                <w:kern w:val="0"/>
                <w:sz w:val="14"/>
                <w:szCs w:val="12"/>
              </w:rPr>
            </w:pPr>
          </w:p>
        </w:tc>
        <w:tc>
          <w:tcPr>
            <w:tcW w:w="1843" w:type="dxa"/>
            <w:vAlign w:val="center"/>
            <w:hideMark/>
          </w:tcPr>
          <w:p w14:paraId="1BF13213" w14:textId="77777777" w:rsidR="008A3EDE" w:rsidRPr="00263B73" w:rsidRDefault="008A3EDE" w:rsidP="00831B7C">
            <w:pPr>
              <w:widowControl/>
              <w:spacing w:line="180" w:lineRule="exact"/>
              <w:rPr>
                <w:rFonts w:ascii="ＭＳ ゴシック" w:eastAsia="ＭＳ ゴシック" w:hAnsi="ＭＳ ゴシック" w:cs="ＭＳ Ｐゴシック"/>
                <w:kern w:val="0"/>
                <w:sz w:val="14"/>
                <w:szCs w:val="12"/>
              </w:rPr>
            </w:pPr>
            <w:r w:rsidRPr="00263B73">
              <w:rPr>
                <w:rFonts w:ascii="ＭＳ ゴシック" w:eastAsia="ＭＳ ゴシック" w:hAnsi="ＭＳ ゴシック" w:cs="ＭＳ Ｐゴシック" w:hint="eastAsia"/>
                <w:kern w:val="0"/>
                <w:sz w:val="14"/>
                <w:szCs w:val="12"/>
              </w:rPr>
              <w:t>みどり企画課</w:t>
            </w:r>
          </w:p>
        </w:tc>
      </w:tr>
      <w:tr w:rsidR="008A3EDE" w:rsidRPr="00263B73" w14:paraId="1830022E" w14:textId="77777777" w:rsidTr="00831B7C">
        <w:trPr>
          <w:trHeight w:val="20"/>
        </w:trPr>
        <w:tc>
          <w:tcPr>
            <w:tcW w:w="1501" w:type="dxa"/>
            <w:vAlign w:val="center"/>
            <w:hideMark/>
          </w:tcPr>
          <w:p w14:paraId="12431157" w14:textId="77777777" w:rsidR="008A3EDE" w:rsidRPr="00263B73" w:rsidRDefault="008A3EDE" w:rsidP="00831B7C">
            <w:pPr>
              <w:widowControl/>
              <w:spacing w:line="180" w:lineRule="exact"/>
              <w:jc w:val="left"/>
              <w:rPr>
                <w:rFonts w:ascii="ＭＳ ゴシック" w:eastAsia="ＭＳ ゴシック" w:hAnsi="ＭＳ ゴシック" w:cs="ＭＳ Ｐゴシック"/>
                <w:kern w:val="0"/>
                <w:sz w:val="14"/>
                <w:szCs w:val="12"/>
              </w:rPr>
            </w:pPr>
            <w:r w:rsidRPr="00263B73">
              <w:rPr>
                <w:rFonts w:ascii="ＭＳ ゴシック" w:eastAsia="ＭＳ ゴシック" w:hAnsi="ＭＳ ゴシック" w:cs="ＭＳ Ｐゴシック" w:hint="eastAsia"/>
                <w:kern w:val="0"/>
                <w:sz w:val="14"/>
                <w:szCs w:val="12"/>
              </w:rPr>
              <w:t>有害産業廃棄物の不法投棄による健康被害</w:t>
            </w:r>
          </w:p>
        </w:tc>
        <w:tc>
          <w:tcPr>
            <w:tcW w:w="5631" w:type="dxa"/>
            <w:gridSpan w:val="2"/>
            <w:noWrap/>
            <w:vAlign w:val="center"/>
            <w:hideMark/>
          </w:tcPr>
          <w:p w14:paraId="31FCEE94" w14:textId="77777777" w:rsidR="008A3EDE" w:rsidRPr="00263B73" w:rsidRDefault="008A3EDE" w:rsidP="00831B7C">
            <w:pPr>
              <w:widowControl/>
              <w:spacing w:line="180" w:lineRule="exact"/>
              <w:jc w:val="left"/>
              <w:rPr>
                <w:rFonts w:ascii="ＭＳ ゴシック" w:eastAsia="ＭＳ ゴシック" w:hAnsi="ＭＳ ゴシック" w:cs="ＭＳ Ｐゴシック"/>
                <w:kern w:val="0"/>
                <w:sz w:val="14"/>
                <w:szCs w:val="12"/>
              </w:rPr>
            </w:pPr>
            <w:r w:rsidRPr="00263B73">
              <w:rPr>
                <w:rFonts w:ascii="ＭＳ ゴシック" w:eastAsia="ＭＳ ゴシック" w:hAnsi="ＭＳ ゴシック" w:cs="ＭＳ Ｐゴシック" w:hint="eastAsia"/>
                <w:kern w:val="0"/>
                <w:sz w:val="14"/>
                <w:szCs w:val="12"/>
              </w:rPr>
              <w:t>循環型社会推進室危機管理マニュアル</w:t>
            </w:r>
          </w:p>
        </w:tc>
        <w:tc>
          <w:tcPr>
            <w:tcW w:w="850" w:type="dxa"/>
            <w:vMerge/>
            <w:noWrap/>
            <w:vAlign w:val="center"/>
            <w:hideMark/>
          </w:tcPr>
          <w:p w14:paraId="4F59718A" w14:textId="77777777" w:rsidR="008A3EDE" w:rsidRPr="00263B73" w:rsidRDefault="008A3EDE" w:rsidP="00831B7C">
            <w:pPr>
              <w:spacing w:line="180" w:lineRule="exact"/>
              <w:jc w:val="left"/>
              <w:rPr>
                <w:rFonts w:ascii="ＭＳ ゴシック" w:eastAsia="ＭＳ ゴシック" w:hAnsi="ＭＳ ゴシック" w:cs="ＭＳ Ｐゴシック"/>
                <w:kern w:val="0"/>
                <w:sz w:val="14"/>
                <w:szCs w:val="12"/>
              </w:rPr>
            </w:pPr>
          </w:p>
        </w:tc>
        <w:tc>
          <w:tcPr>
            <w:tcW w:w="1843" w:type="dxa"/>
            <w:noWrap/>
            <w:vAlign w:val="center"/>
            <w:hideMark/>
          </w:tcPr>
          <w:p w14:paraId="3565A9CE" w14:textId="77777777" w:rsidR="008A3EDE" w:rsidRPr="00263B73" w:rsidRDefault="008A3EDE" w:rsidP="00831B7C">
            <w:pPr>
              <w:widowControl/>
              <w:spacing w:line="180" w:lineRule="exact"/>
              <w:rPr>
                <w:rFonts w:ascii="ＭＳ ゴシック" w:eastAsia="ＭＳ ゴシック" w:hAnsi="ＭＳ ゴシック" w:cs="ＭＳ Ｐゴシック"/>
                <w:kern w:val="0"/>
                <w:sz w:val="14"/>
                <w:szCs w:val="12"/>
              </w:rPr>
            </w:pPr>
            <w:r w:rsidRPr="00263B73">
              <w:rPr>
                <w:rFonts w:ascii="ＭＳ ゴシック" w:eastAsia="ＭＳ ゴシック" w:hAnsi="ＭＳ ゴシック" w:cs="ＭＳ Ｐゴシック" w:hint="eastAsia"/>
                <w:kern w:val="0"/>
                <w:sz w:val="14"/>
                <w:szCs w:val="12"/>
              </w:rPr>
              <w:t>産業廃棄物指導課</w:t>
            </w:r>
          </w:p>
        </w:tc>
      </w:tr>
      <w:tr w:rsidR="008A3EDE" w:rsidRPr="00263B73" w14:paraId="65AE8F80" w14:textId="77777777" w:rsidTr="00831B7C">
        <w:trPr>
          <w:trHeight w:val="20"/>
        </w:trPr>
        <w:tc>
          <w:tcPr>
            <w:tcW w:w="1501" w:type="dxa"/>
            <w:vAlign w:val="center"/>
            <w:hideMark/>
          </w:tcPr>
          <w:p w14:paraId="04D056FC" w14:textId="77777777" w:rsidR="008A3EDE" w:rsidRPr="00263B73" w:rsidRDefault="008A3EDE" w:rsidP="00831B7C">
            <w:pPr>
              <w:widowControl/>
              <w:spacing w:line="180" w:lineRule="exact"/>
              <w:jc w:val="left"/>
              <w:rPr>
                <w:rFonts w:ascii="ＭＳ ゴシック" w:eastAsia="ＭＳ ゴシック" w:hAnsi="ＭＳ ゴシック" w:cs="ＭＳ Ｐゴシック"/>
                <w:kern w:val="0"/>
                <w:sz w:val="14"/>
                <w:szCs w:val="12"/>
              </w:rPr>
            </w:pPr>
            <w:r w:rsidRPr="00263B73">
              <w:rPr>
                <w:rFonts w:ascii="ＭＳ ゴシック" w:eastAsia="ＭＳ ゴシック" w:hAnsi="ＭＳ ゴシック" w:cs="ＭＳ Ｐゴシック" w:hint="eastAsia"/>
                <w:kern w:val="0"/>
                <w:sz w:val="14"/>
                <w:szCs w:val="12"/>
              </w:rPr>
              <w:lastRenderedPageBreak/>
              <w:t>大気汚染による健康被害</w:t>
            </w:r>
          </w:p>
        </w:tc>
        <w:tc>
          <w:tcPr>
            <w:tcW w:w="5631" w:type="dxa"/>
            <w:gridSpan w:val="2"/>
            <w:noWrap/>
            <w:vAlign w:val="center"/>
            <w:hideMark/>
          </w:tcPr>
          <w:p w14:paraId="47A5C4D5" w14:textId="77777777" w:rsidR="008A3EDE" w:rsidRPr="00263B73" w:rsidRDefault="008A3EDE" w:rsidP="00831B7C">
            <w:pPr>
              <w:widowControl/>
              <w:spacing w:line="180" w:lineRule="exact"/>
              <w:jc w:val="left"/>
              <w:rPr>
                <w:rFonts w:ascii="ＭＳ ゴシック" w:eastAsia="ＭＳ ゴシック" w:hAnsi="ＭＳ ゴシック" w:cs="ＭＳ Ｐゴシック"/>
                <w:kern w:val="0"/>
                <w:sz w:val="14"/>
                <w:szCs w:val="12"/>
              </w:rPr>
            </w:pPr>
            <w:r w:rsidRPr="00263B73">
              <w:rPr>
                <w:rFonts w:ascii="ＭＳ ゴシック" w:eastAsia="ＭＳ ゴシック" w:hAnsi="ＭＳ ゴシック" w:cs="ＭＳ Ｐゴシック" w:hint="eastAsia"/>
                <w:kern w:val="0"/>
                <w:sz w:val="14"/>
                <w:szCs w:val="12"/>
              </w:rPr>
              <w:t>環境管理室危機管理マニュアル</w:t>
            </w:r>
          </w:p>
        </w:tc>
        <w:tc>
          <w:tcPr>
            <w:tcW w:w="850" w:type="dxa"/>
            <w:vMerge/>
            <w:noWrap/>
            <w:vAlign w:val="center"/>
            <w:hideMark/>
          </w:tcPr>
          <w:p w14:paraId="3D7CFD90" w14:textId="77777777" w:rsidR="008A3EDE" w:rsidRPr="00263B73" w:rsidRDefault="008A3EDE" w:rsidP="00831B7C">
            <w:pPr>
              <w:spacing w:line="180" w:lineRule="exact"/>
              <w:jc w:val="left"/>
              <w:rPr>
                <w:rFonts w:ascii="ＭＳ ゴシック" w:eastAsia="ＭＳ ゴシック" w:hAnsi="ＭＳ ゴシック" w:cs="ＭＳ Ｐゴシック"/>
                <w:kern w:val="0"/>
                <w:sz w:val="14"/>
                <w:szCs w:val="12"/>
              </w:rPr>
            </w:pPr>
          </w:p>
        </w:tc>
        <w:tc>
          <w:tcPr>
            <w:tcW w:w="1843" w:type="dxa"/>
            <w:vAlign w:val="center"/>
            <w:hideMark/>
          </w:tcPr>
          <w:p w14:paraId="7F186383" w14:textId="77777777" w:rsidR="008A3EDE" w:rsidRPr="00263B73" w:rsidRDefault="008A3EDE" w:rsidP="00831B7C">
            <w:pPr>
              <w:widowControl/>
              <w:spacing w:line="180" w:lineRule="exact"/>
              <w:rPr>
                <w:rFonts w:ascii="ＭＳ ゴシック" w:eastAsia="ＭＳ ゴシック" w:hAnsi="ＭＳ ゴシック" w:cs="ＭＳ Ｐゴシック"/>
                <w:kern w:val="0"/>
                <w:sz w:val="12"/>
                <w:szCs w:val="12"/>
              </w:rPr>
            </w:pPr>
            <w:r w:rsidRPr="00263B73">
              <w:rPr>
                <w:rFonts w:ascii="ＭＳ ゴシック" w:eastAsia="ＭＳ ゴシック" w:hAnsi="ＭＳ ゴシック" w:cs="ＭＳ Ｐゴシック" w:hint="eastAsia"/>
                <w:kern w:val="0"/>
                <w:sz w:val="12"/>
                <w:szCs w:val="12"/>
              </w:rPr>
              <w:t>事業所指導課／環境保全課</w:t>
            </w:r>
          </w:p>
        </w:tc>
      </w:tr>
      <w:tr w:rsidR="008A3EDE" w:rsidRPr="00263B73" w14:paraId="6ED3BFB1" w14:textId="77777777" w:rsidTr="00831B7C">
        <w:trPr>
          <w:trHeight w:val="20"/>
        </w:trPr>
        <w:tc>
          <w:tcPr>
            <w:tcW w:w="1501" w:type="dxa"/>
            <w:vAlign w:val="center"/>
          </w:tcPr>
          <w:p w14:paraId="74C40587" w14:textId="77777777" w:rsidR="008A3EDE" w:rsidRPr="00263B73" w:rsidRDefault="008A3EDE" w:rsidP="00831B7C">
            <w:pPr>
              <w:widowControl/>
              <w:spacing w:line="180" w:lineRule="exact"/>
              <w:jc w:val="left"/>
              <w:rPr>
                <w:rFonts w:ascii="ＭＳ ゴシック" w:eastAsia="ＭＳ ゴシック" w:hAnsi="ＭＳ ゴシック" w:cs="ＭＳ Ｐゴシック"/>
                <w:kern w:val="0"/>
                <w:sz w:val="14"/>
                <w:szCs w:val="12"/>
              </w:rPr>
            </w:pPr>
            <w:r w:rsidRPr="00263B73">
              <w:rPr>
                <w:rFonts w:ascii="ＭＳ ゴシック" w:eastAsia="ＭＳ ゴシック" w:hAnsi="ＭＳ ゴシック" w:cs="ＭＳ Ｐゴシック" w:hint="eastAsia"/>
                <w:kern w:val="0"/>
                <w:sz w:val="14"/>
                <w:szCs w:val="12"/>
              </w:rPr>
              <w:t>北大阪流通業務団地充填所における緊急事態への対応</w:t>
            </w:r>
          </w:p>
        </w:tc>
        <w:tc>
          <w:tcPr>
            <w:tcW w:w="5631" w:type="dxa"/>
            <w:gridSpan w:val="2"/>
            <w:noWrap/>
            <w:vAlign w:val="center"/>
          </w:tcPr>
          <w:p w14:paraId="1F14F8B1" w14:textId="77777777" w:rsidR="008A3EDE" w:rsidRPr="00263B73" w:rsidRDefault="008A3EDE" w:rsidP="00831B7C">
            <w:pPr>
              <w:widowControl/>
              <w:spacing w:line="180" w:lineRule="exact"/>
              <w:jc w:val="left"/>
              <w:rPr>
                <w:rFonts w:ascii="ＭＳ ゴシック" w:eastAsia="ＭＳ ゴシック" w:hAnsi="ＭＳ ゴシック" w:cs="ＭＳ Ｐゴシック"/>
                <w:kern w:val="0"/>
                <w:sz w:val="14"/>
                <w:szCs w:val="12"/>
              </w:rPr>
            </w:pPr>
            <w:r w:rsidRPr="00263B73">
              <w:rPr>
                <w:rFonts w:ascii="ＭＳ ゴシック" w:eastAsia="ＭＳ ゴシック" w:hAnsi="ＭＳ ゴシック" w:cs="ＭＳ Ｐゴシック" w:hint="eastAsia"/>
                <w:kern w:val="0"/>
                <w:sz w:val="14"/>
                <w:szCs w:val="12"/>
              </w:rPr>
              <w:t xml:space="preserve">　〃</w:t>
            </w:r>
          </w:p>
        </w:tc>
        <w:tc>
          <w:tcPr>
            <w:tcW w:w="850" w:type="dxa"/>
            <w:vMerge/>
            <w:noWrap/>
            <w:vAlign w:val="center"/>
          </w:tcPr>
          <w:p w14:paraId="02956077" w14:textId="77777777" w:rsidR="008A3EDE" w:rsidRPr="00263B73" w:rsidRDefault="008A3EDE" w:rsidP="00831B7C">
            <w:pPr>
              <w:spacing w:line="180" w:lineRule="exact"/>
              <w:jc w:val="left"/>
              <w:rPr>
                <w:rFonts w:ascii="ＭＳ ゴシック" w:eastAsia="ＭＳ ゴシック" w:hAnsi="ＭＳ ゴシック" w:cs="ＭＳ Ｐゴシック"/>
                <w:kern w:val="0"/>
                <w:sz w:val="14"/>
                <w:szCs w:val="12"/>
              </w:rPr>
            </w:pPr>
          </w:p>
        </w:tc>
        <w:tc>
          <w:tcPr>
            <w:tcW w:w="1843" w:type="dxa"/>
            <w:vAlign w:val="center"/>
          </w:tcPr>
          <w:p w14:paraId="37A2779E" w14:textId="77777777" w:rsidR="008A3EDE" w:rsidRPr="00263B73" w:rsidRDefault="008A3EDE" w:rsidP="00831B7C">
            <w:pPr>
              <w:widowControl/>
              <w:spacing w:line="180" w:lineRule="exact"/>
              <w:rPr>
                <w:rFonts w:ascii="ＭＳ ゴシック" w:eastAsia="ＭＳ ゴシック" w:hAnsi="ＭＳ ゴシック" w:cs="ＭＳ Ｐゴシック"/>
                <w:kern w:val="0"/>
                <w:sz w:val="12"/>
                <w:szCs w:val="12"/>
              </w:rPr>
            </w:pPr>
            <w:r w:rsidRPr="00263B73">
              <w:rPr>
                <w:rFonts w:ascii="ＭＳ ゴシック" w:eastAsia="ＭＳ ゴシック" w:hAnsi="ＭＳ ゴシック" w:cs="ＭＳ Ｐゴシック" w:hint="eastAsia"/>
                <w:kern w:val="0"/>
                <w:sz w:val="12"/>
                <w:szCs w:val="12"/>
              </w:rPr>
              <w:t>環境保全課</w:t>
            </w:r>
          </w:p>
        </w:tc>
      </w:tr>
      <w:tr w:rsidR="008A3EDE" w:rsidRPr="00263B73" w14:paraId="551B4724" w14:textId="77777777" w:rsidTr="00831B7C">
        <w:trPr>
          <w:trHeight w:val="20"/>
        </w:trPr>
        <w:tc>
          <w:tcPr>
            <w:tcW w:w="1501" w:type="dxa"/>
            <w:vAlign w:val="center"/>
            <w:hideMark/>
          </w:tcPr>
          <w:p w14:paraId="4C6DCB3B" w14:textId="77777777" w:rsidR="008A3EDE" w:rsidRPr="00263B73" w:rsidRDefault="008A3EDE" w:rsidP="00831B7C">
            <w:pPr>
              <w:widowControl/>
              <w:spacing w:line="180" w:lineRule="exact"/>
              <w:jc w:val="left"/>
              <w:rPr>
                <w:rFonts w:ascii="ＭＳ ゴシック" w:eastAsia="ＭＳ ゴシック" w:hAnsi="ＭＳ ゴシック" w:cs="ＭＳ Ｐゴシック"/>
                <w:kern w:val="0"/>
                <w:sz w:val="14"/>
                <w:szCs w:val="12"/>
              </w:rPr>
            </w:pPr>
            <w:r w:rsidRPr="00263B73">
              <w:rPr>
                <w:rFonts w:ascii="ＭＳ ゴシック" w:eastAsia="ＭＳ ゴシック" w:hAnsi="ＭＳ ゴシック" w:cs="ＭＳ Ｐゴシック" w:hint="eastAsia"/>
                <w:kern w:val="0"/>
                <w:sz w:val="14"/>
                <w:szCs w:val="12"/>
              </w:rPr>
              <w:t>有害化学物質による健康被害</w:t>
            </w:r>
          </w:p>
        </w:tc>
        <w:tc>
          <w:tcPr>
            <w:tcW w:w="5631" w:type="dxa"/>
            <w:gridSpan w:val="2"/>
            <w:noWrap/>
            <w:vAlign w:val="center"/>
            <w:hideMark/>
          </w:tcPr>
          <w:p w14:paraId="2B1A7FDC" w14:textId="77777777" w:rsidR="008A3EDE" w:rsidRPr="00263B73" w:rsidRDefault="008A3EDE" w:rsidP="00831B7C">
            <w:pPr>
              <w:widowControl/>
              <w:spacing w:line="180" w:lineRule="exact"/>
              <w:jc w:val="left"/>
              <w:rPr>
                <w:rFonts w:ascii="ＭＳ ゴシック" w:eastAsia="ＭＳ ゴシック" w:hAnsi="ＭＳ ゴシック" w:cs="ＭＳ Ｐゴシック"/>
                <w:kern w:val="0"/>
                <w:sz w:val="14"/>
                <w:szCs w:val="12"/>
              </w:rPr>
            </w:pPr>
            <w:r w:rsidRPr="00263B73">
              <w:rPr>
                <w:rFonts w:ascii="ＭＳ ゴシック" w:eastAsia="ＭＳ ゴシック" w:hAnsi="ＭＳ ゴシック" w:cs="ＭＳ Ｐゴシック" w:hint="eastAsia"/>
                <w:kern w:val="0"/>
                <w:sz w:val="14"/>
                <w:szCs w:val="12"/>
              </w:rPr>
              <w:t xml:space="preserve">　〃</w:t>
            </w:r>
          </w:p>
        </w:tc>
        <w:tc>
          <w:tcPr>
            <w:tcW w:w="850" w:type="dxa"/>
            <w:vMerge/>
            <w:noWrap/>
            <w:vAlign w:val="center"/>
            <w:hideMark/>
          </w:tcPr>
          <w:p w14:paraId="32A7E434" w14:textId="77777777" w:rsidR="008A3EDE" w:rsidRPr="00263B73" w:rsidRDefault="008A3EDE" w:rsidP="00831B7C">
            <w:pPr>
              <w:spacing w:line="180" w:lineRule="exact"/>
              <w:jc w:val="left"/>
              <w:rPr>
                <w:rFonts w:ascii="ＭＳ ゴシック" w:eastAsia="ＭＳ ゴシック" w:hAnsi="ＭＳ ゴシック" w:cs="ＭＳ Ｐゴシック"/>
                <w:kern w:val="0"/>
                <w:sz w:val="14"/>
                <w:szCs w:val="12"/>
              </w:rPr>
            </w:pPr>
          </w:p>
        </w:tc>
        <w:tc>
          <w:tcPr>
            <w:tcW w:w="1843" w:type="dxa"/>
            <w:vAlign w:val="center"/>
            <w:hideMark/>
          </w:tcPr>
          <w:p w14:paraId="6DEA6B17" w14:textId="77777777" w:rsidR="008A3EDE" w:rsidRPr="00263B73" w:rsidRDefault="008A3EDE" w:rsidP="00831B7C">
            <w:pPr>
              <w:widowControl/>
              <w:spacing w:line="180" w:lineRule="exact"/>
              <w:rPr>
                <w:rFonts w:ascii="ＭＳ ゴシック" w:eastAsia="ＭＳ ゴシック" w:hAnsi="ＭＳ ゴシック" w:cs="ＭＳ Ｐゴシック"/>
                <w:kern w:val="0"/>
                <w:sz w:val="12"/>
                <w:szCs w:val="12"/>
              </w:rPr>
            </w:pPr>
            <w:r w:rsidRPr="00263B73">
              <w:rPr>
                <w:rFonts w:ascii="ＭＳ ゴシック" w:eastAsia="ＭＳ ゴシック" w:hAnsi="ＭＳ ゴシック" w:cs="ＭＳ Ｐゴシック" w:hint="eastAsia"/>
                <w:kern w:val="0"/>
                <w:sz w:val="12"/>
                <w:szCs w:val="12"/>
              </w:rPr>
              <w:t>事業所指導課／環境保全課</w:t>
            </w:r>
          </w:p>
        </w:tc>
      </w:tr>
      <w:tr w:rsidR="008A3EDE" w:rsidRPr="00263B73" w14:paraId="26372666" w14:textId="77777777" w:rsidTr="00831B7C">
        <w:trPr>
          <w:trHeight w:val="20"/>
        </w:trPr>
        <w:tc>
          <w:tcPr>
            <w:tcW w:w="1501" w:type="dxa"/>
            <w:vAlign w:val="center"/>
            <w:hideMark/>
          </w:tcPr>
          <w:p w14:paraId="12851E9A" w14:textId="77777777" w:rsidR="008A3EDE" w:rsidRPr="00263B73" w:rsidRDefault="008A3EDE" w:rsidP="00831B7C">
            <w:pPr>
              <w:widowControl/>
              <w:spacing w:line="180" w:lineRule="exact"/>
              <w:jc w:val="left"/>
              <w:rPr>
                <w:rFonts w:ascii="ＭＳ ゴシック" w:eastAsia="ＭＳ ゴシック" w:hAnsi="ＭＳ ゴシック" w:cs="ＭＳ Ｐゴシック"/>
                <w:kern w:val="0"/>
                <w:sz w:val="14"/>
                <w:szCs w:val="12"/>
              </w:rPr>
            </w:pPr>
            <w:r w:rsidRPr="00263B73">
              <w:rPr>
                <w:rFonts w:ascii="ＭＳ ゴシック" w:eastAsia="ＭＳ ゴシック" w:hAnsi="ＭＳ ゴシック" w:cs="ＭＳ Ｐゴシック" w:hint="eastAsia"/>
                <w:kern w:val="0"/>
                <w:sz w:val="14"/>
                <w:szCs w:val="12"/>
              </w:rPr>
              <w:t>地下水汚濁による健康被害</w:t>
            </w:r>
          </w:p>
        </w:tc>
        <w:tc>
          <w:tcPr>
            <w:tcW w:w="5631" w:type="dxa"/>
            <w:gridSpan w:val="2"/>
            <w:noWrap/>
            <w:vAlign w:val="center"/>
            <w:hideMark/>
          </w:tcPr>
          <w:p w14:paraId="17F3AA5A" w14:textId="77777777" w:rsidR="008A3EDE" w:rsidRPr="00263B73" w:rsidRDefault="008A3EDE" w:rsidP="00831B7C">
            <w:pPr>
              <w:widowControl/>
              <w:spacing w:line="180" w:lineRule="exact"/>
              <w:jc w:val="left"/>
              <w:rPr>
                <w:rFonts w:ascii="ＭＳ ゴシック" w:eastAsia="ＭＳ ゴシック" w:hAnsi="ＭＳ ゴシック" w:cs="ＭＳ Ｐゴシック"/>
                <w:kern w:val="0"/>
                <w:sz w:val="14"/>
                <w:szCs w:val="12"/>
              </w:rPr>
            </w:pPr>
            <w:r w:rsidRPr="00263B73">
              <w:rPr>
                <w:rFonts w:ascii="ＭＳ ゴシック" w:eastAsia="ＭＳ ゴシック" w:hAnsi="ＭＳ ゴシック" w:cs="ＭＳ Ｐゴシック" w:hint="eastAsia"/>
                <w:kern w:val="0"/>
                <w:sz w:val="14"/>
                <w:szCs w:val="12"/>
              </w:rPr>
              <w:t xml:space="preserve">　〃</w:t>
            </w:r>
          </w:p>
        </w:tc>
        <w:tc>
          <w:tcPr>
            <w:tcW w:w="850" w:type="dxa"/>
            <w:vMerge/>
            <w:noWrap/>
            <w:vAlign w:val="center"/>
            <w:hideMark/>
          </w:tcPr>
          <w:p w14:paraId="79DAFF35" w14:textId="77777777" w:rsidR="008A3EDE" w:rsidRPr="00263B73" w:rsidRDefault="008A3EDE" w:rsidP="00831B7C">
            <w:pPr>
              <w:spacing w:line="180" w:lineRule="exact"/>
              <w:jc w:val="left"/>
              <w:rPr>
                <w:rFonts w:ascii="ＭＳ ゴシック" w:eastAsia="ＭＳ ゴシック" w:hAnsi="ＭＳ ゴシック" w:cs="ＭＳ Ｐゴシック"/>
                <w:kern w:val="0"/>
                <w:sz w:val="14"/>
                <w:szCs w:val="12"/>
              </w:rPr>
            </w:pPr>
          </w:p>
        </w:tc>
        <w:tc>
          <w:tcPr>
            <w:tcW w:w="1843" w:type="dxa"/>
            <w:vAlign w:val="center"/>
            <w:hideMark/>
          </w:tcPr>
          <w:p w14:paraId="617D7D27" w14:textId="77777777" w:rsidR="008A3EDE" w:rsidRPr="00263B73" w:rsidRDefault="008A3EDE" w:rsidP="00831B7C">
            <w:pPr>
              <w:widowControl/>
              <w:spacing w:line="180" w:lineRule="exact"/>
              <w:rPr>
                <w:rFonts w:ascii="ＭＳ ゴシック" w:eastAsia="ＭＳ ゴシック" w:hAnsi="ＭＳ ゴシック" w:cs="ＭＳ Ｐゴシック"/>
                <w:kern w:val="0"/>
                <w:sz w:val="12"/>
                <w:szCs w:val="12"/>
              </w:rPr>
            </w:pPr>
            <w:r w:rsidRPr="00263B73">
              <w:rPr>
                <w:rFonts w:ascii="ＭＳ ゴシック" w:eastAsia="ＭＳ ゴシック" w:hAnsi="ＭＳ ゴシック" w:cs="ＭＳ Ｐゴシック" w:hint="eastAsia"/>
                <w:kern w:val="0"/>
                <w:sz w:val="12"/>
                <w:szCs w:val="12"/>
              </w:rPr>
              <w:t>事業所指導課／環境保全課</w:t>
            </w:r>
          </w:p>
        </w:tc>
      </w:tr>
      <w:tr w:rsidR="008A3EDE" w:rsidRPr="00263B73" w14:paraId="104927B7" w14:textId="77777777" w:rsidTr="00831B7C">
        <w:trPr>
          <w:trHeight w:val="20"/>
        </w:trPr>
        <w:tc>
          <w:tcPr>
            <w:tcW w:w="1501" w:type="dxa"/>
            <w:vAlign w:val="center"/>
            <w:hideMark/>
          </w:tcPr>
          <w:p w14:paraId="2CC8D9BE" w14:textId="77777777" w:rsidR="008A3EDE" w:rsidRPr="00263B73" w:rsidRDefault="008A3EDE" w:rsidP="00831B7C">
            <w:pPr>
              <w:widowControl/>
              <w:spacing w:line="180" w:lineRule="exact"/>
              <w:jc w:val="left"/>
              <w:rPr>
                <w:rFonts w:ascii="ＭＳ ゴシック" w:eastAsia="ＭＳ ゴシック" w:hAnsi="ＭＳ ゴシック" w:cs="ＭＳ Ｐゴシック"/>
                <w:kern w:val="0"/>
                <w:sz w:val="14"/>
                <w:szCs w:val="12"/>
              </w:rPr>
            </w:pPr>
            <w:r w:rsidRPr="00263B73">
              <w:rPr>
                <w:rFonts w:ascii="ＭＳ ゴシック" w:eastAsia="ＭＳ ゴシック" w:hAnsi="ＭＳ ゴシック" w:cs="ＭＳ Ｐゴシック" w:hint="eastAsia"/>
                <w:kern w:val="0"/>
                <w:sz w:val="14"/>
                <w:szCs w:val="12"/>
              </w:rPr>
              <w:t>土壌汚染による健康被害</w:t>
            </w:r>
          </w:p>
        </w:tc>
        <w:tc>
          <w:tcPr>
            <w:tcW w:w="5631" w:type="dxa"/>
            <w:gridSpan w:val="2"/>
            <w:noWrap/>
            <w:vAlign w:val="center"/>
            <w:hideMark/>
          </w:tcPr>
          <w:p w14:paraId="30561AD4" w14:textId="77777777" w:rsidR="008A3EDE" w:rsidRPr="00263B73" w:rsidRDefault="008A3EDE" w:rsidP="00831B7C">
            <w:pPr>
              <w:widowControl/>
              <w:spacing w:line="180" w:lineRule="exact"/>
              <w:jc w:val="left"/>
              <w:rPr>
                <w:rFonts w:ascii="ＭＳ ゴシック" w:eastAsia="ＭＳ ゴシック" w:hAnsi="ＭＳ ゴシック" w:cs="ＭＳ Ｐゴシック"/>
                <w:kern w:val="0"/>
                <w:sz w:val="14"/>
                <w:szCs w:val="12"/>
              </w:rPr>
            </w:pPr>
            <w:r w:rsidRPr="00263B73">
              <w:rPr>
                <w:rFonts w:ascii="ＭＳ ゴシック" w:eastAsia="ＭＳ ゴシック" w:hAnsi="ＭＳ ゴシック" w:cs="ＭＳ Ｐゴシック" w:hint="eastAsia"/>
                <w:kern w:val="0"/>
                <w:sz w:val="14"/>
                <w:szCs w:val="12"/>
              </w:rPr>
              <w:t xml:space="preserve">　〃</w:t>
            </w:r>
          </w:p>
        </w:tc>
        <w:tc>
          <w:tcPr>
            <w:tcW w:w="850" w:type="dxa"/>
            <w:vMerge/>
            <w:noWrap/>
            <w:vAlign w:val="center"/>
            <w:hideMark/>
          </w:tcPr>
          <w:p w14:paraId="724FF175" w14:textId="77777777" w:rsidR="008A3EDE" w:rsidRPr="00263B73" w:rsidRDefault="008A3EDE" w:rsidP="00831B7C">
            <w:pPr>
              <w:spacing w:line="180" w:lineRule="exact"/>
              <w:jc w:val="left"/>
              <w:rPr>
                <w:rFonts w:ascii="ＭＳ ゴシック" w:eastAsia="ＭＳ ゴシック" w:hAnsi="ＭＳ ゴシック" w:cs="ＭＳ Ｐゴシック"/>
                <w:kern w:val="0"/>
                <w:sz w:val="14"/>
                <w:szCs w:val="12"/>
              </w:rPr>
            </w:pPr>
          </w:p>
        </w:tc>
        <w:tc>
          <w:tcPr>
            <w:tcW w:w="1843" w:type="dxa"/>
            <w:vAlign w:val="center"/>
            <w:hideMark/>
          </w:tcPr>
          <w:p w14:paraId="7FEF096A" w14:textId="77777777" w:rsidR="008A3EDE" w:rsidRPr="00263B73" w:rsidRDefault="008A3EDE" w:rsidP="00831B7C">
            <w:pPr>
              <w:widowControl/>
              <w:spacing w:line="180" w:lineRule="exact"/>
              <w:rPr>
                <w:rFonts w:ascii="ＭＳ ゴシック" w:eastAsia="ＭＳ ゴシック" w:hAnsi="ＭＳ ゴシック" w:cs="ＭＳ Ｐゴシック"/>
                <w:kern w:val="0"/>
                <w:sz w:val="12"/>
                <w:szCs w:val="12"/>
              </w:rPr>
            </w:pPr>
            <w:r w:rsidRPr="00263B73">
              <w:rPr>
                <w:rFonts w:ascii="ＭＳ ゴシック" w:eastAsia="ＭＳ ゴシック" w:hAnsi="ＭＳ ゴシック" w:cs="ＭＳ Ｐゴシック" w:hint="eastAsia"/>
                <w:kern w:val="0"/>
                <w:sz w:val="12"/>
                <w:szCs w:val="12"/>
              </w:rPr>
              <w:t>事業所指導課／環境保全課</w:t>
            </w:r>
          </w:p>
        </w:tc>
      </w:tr>
      <w:tr w:rsidR="008A3EDE" w:rsidRPr="00263B73" w14:paraId="649437DD" w14:textId="77777777" w:rsidTr="00831B7C">
        <w:trPr>
          <w:trHeight w:val="20"/>
        </w:trPr>
        <w:tc>
          <w:tcPr>
            <w:tcW w:w="1501" w:type="dxa"/>
            <w:vAlign w:val="center"/>
            <w:hideMark/>
          </w:tcPr>
          <w:p w14:paraId="618542DD" w14:textId="77777777" w:rsidR="008A3EDE" w:rsidRPr="00263B73" w:rsidRDefault="008A3EDE" w:rsidP="00831B7C">
            <w:pPr>
              <w:widowControl/>
              <w:spacing w:line="180" w:lineRule="exact"/>
              <w:jc w:val="left"/>
              <w:rPr>
                <w:rFonts w:ascii="ＭＳ ゴシック" w:eastAsia="ＭＳ ゴシック" w:hAnsi="ＭＳ ゴシック" w:cs="ＭＳ Ｐゴシック"/>
                <w:kern w:val="0"/>
                <w:sz w:val="14"/>
                <w:szCs w:val="12"/>
              </w:rPr>
            </w:pPr>
            <w:r w:rsidRPr="00263B73">
              <w:rPr>
                <w:rFonts w:ascii="ＭＳ ゴシック" w:eastAsia="ＭＳ ゴシック" w:hAnsi="ＭＳ ゴシック" w:cs="ＭＳ Ｐゴシック" w:hint="eastAsia"/>
                <w:kern w:val="0"/>
                <w:sz w:val="14"/>
                <w:szCs w:val="12"/>
              </w:rPr>
              <w:t>河川での大規模な異常水質事故</w:t>
            </w:r>
          </w:p>
        </w:tc>
        <w:tc>
          <w:tcPr>
            <w:tcW w:w="5631" w:type="dxa"/>
            <w:gridSpan w:val="2"/>
            <w:noWrap/>
            <w:vAlign w:val="center"/>
            <w:hideMark/>
          </w:tcPr>
          <w:p w14:paraId="5062F8A4" w14:textId="77777777" w:rsidR="008A3EDE" w:rsidRPr="00263B73" w:rsidRDefault="008A3EDE" w:rsidP="00831B7C">
            <w:pPr>
              <w:widowControl/>
              <w:spacing w:line="180" w:lineRule="exact"/>
              <w:jc w:val="left"/>
              <w:rPr>
                <w:rFonts w:ascii="ＭＳ ゴシック" w:eastAsia="ＭＳ ゴシック" w:hAnsi="ＭＳ ゴシック" w:cs="ＭＳ Ｐゴシック"/>
                <w:kern w:val="0"/>
                <w:sz w:val="14"/>
                <w:szCs w:val="12"/>
              </w:rPr>
            </w:pPr>
            <w:r w:rsidRPr="00263B73">
              <w:rPr>
                <w:rFonts w:ascii="ＭＳ ゴシック" w:eastAsia="ＭＳ ゴシック" w:hAnsi="ＭＳ ゴシック" w:cs="ＭＳ Ｐゴシック" w:hint="eastAsia"/>
                <w:kern w:val="0"/>
                <w:sz w:val="14"/>
                <w:szCs w:val="12"/>
              </w:rPr>
              <w:t xml:space="preserve">　〃</w:t>
            </w:r>
          </w:p>
        </w:tc>
        <w:tc>
          <w:tcPr>
            <w:tcW w:w="850" w:type="dxa"/>
            <w:vMerge/>
            <w:noWrap/>
            <w:vAlign w:val="center"/>
            <w:hideMark/>
          </w:tcPr>
          <w:p w14:paraId="7FE99C0B" w14:textId="77777777" w:rsidR="008A3EDE" w:rsidRPr="00263B73" w:rsidRDefault="008A3EDE" w:rsidP="00831B7C">
            <w:pPr>
              <w:spacing w:line="180" w:lineRule="exact"/>
              <w:jc w:val="left"/>
              <w:rPr>
                <w:rFonts w:ascii="ＭＳ ゴシック" w:eastAsia="ＭＳ ゴシック" w:hAnsi="ＭＳ ゴシック" w:cs="ＭＳ Ｐゴシック"/>
                <w:kern w:val="0"/>
                <w:sz w:val="14"/>
                <w:szCs w:val="12"/>
              </w:rPr>
            </w:pPr>
          </w:p>
        </w:tc>
        <w:tc>
          <w:tcPr>
            <w:tcW w:w="1843" w:type="dxa"/>
            <w:vAlign w:val="center"/>
            <w:hideMark/>
          </w:tcPr>
          <w:p w14:paraId="4014447D" w14:textId="77777777" w:rsidR="008A3EDE" w:rsidRPr="00263B73" w:rsidRDefault="008A3EDE" w:rsidP="00831B7C">
            <w:pPr>
              <w:widowControl/>
              <w:spacing w:line="180" w:lineRule="exact"/>
              <w:rPr>
                <w:rFonts w:ascii="ＭＳ ゴシック" w:eastAsia="ＭＳ ゴシック" w:hAnsi="ＭＳ ゴシック" w:cs="ＭＳ Ｐゴシック"/>
                <w:kern w:val="0"/>
                <w:sz w:val="12"/>
                <w:szCs w:val="12"/>
              </w:rPr>
            </w:pPr>
            <w:r w:rsidRPr="00263B73">
              <w:rPr>
                <w:rFonts w:ascii="ＭＳ ゴシック" w:eastAsia="ＭＳ ゴシック" w:hAnsi="ＭＳ ゴシック" w:cs="ＭＳ Ｐゴシック" w:hint="eastAsia"/>
                <w:kern w:val="0"/>
                <w:sz w:val="12"/>
                <w:szCs w:val="12"/>
              </w:rPr>
              <w:t>事業所指導課／環境保全課</w:t>
            </w:r>
          </w:p>
        </w:tc>
      </w:tr>
      <w:tr w:rsidR="008A3EDE" w:rsidRPr="00263B73" w14:paraId="7D440BA8" w14:textId="77777777" w:rsidTr="00831B7C">
        <w:trPr>
          <w:trHeight w:val="20"/>
        </w:trPr>
        <w:tc>
          <w:tcPr>
            <w:tcW w:w="1501" w:type="dxa"/>
            <w:vMerge w:val="restart"/>
            <w:hideMark/>
          </w:tcPr>
          <w:p w14:paraId="25300BED" w14:textId="77777777" w:rsidR="008A3EDE" w:rsidRPr="00263B73" w:rsidRDefault="008A3EDE" w:rsidP="00831B7C">
            <w:pPr>
              <w:widowControl/>
              <w:spacing w:line="180" w:lineRule="exact"/>
              <w:jc w:val="left"/>
              <w:rPr>
                <w:rFonts w:ascii="ＭＳ ゴシック" w:eastAsia="ＭＳ ゴシック" w:hAnsi="ＭＳ ゴシック" w:cs="ＭＳ Ｐゴシック"/>
                <w:kern w:val="0"/>
                <w:sz w:val="14"/>
                <w:szCs w:val="12"/>
              </w:rPr>
            </w:pPr>
            <w:r w:rsidRPr="00263B73">
              <w:rPr>
                <w:rFonts w:ascii="ＭＳ ゴシック" w:eastAsia="ＭＳ ゴシック" w:hAnsi="ＭＳ ゴシック" w:cs="ＭＳ Ｐゴシック" w:hint="eastAsia"/>
                <w:kern w:val="0"/>
                <w:sz w:val="14"/>
                <w:szCs w:val="12"/>
              </w:rPr>
              <w:t>大阪湾での大規模な油等汚染事故</w:t>
            </w:r>
          </w:p>
          <w:p w14:paraId="3F46597E" w14:textId="77777777" w:rsidR="008A3EDE" w:rsidRPr="00263B73" w:rsidRDefault="008A3EDE" w:rsidP="00831B7C">
            <w:pPr>
              <w:spacing w:line="180" w:lineRule="exact"/>
              <w:jc w:val="left"/>
              <w:rPr>
                <w:rFonts w:ascii="ＭＳ ゴシック" w:eastAsia="ＭＳ ゴシック" w:hAnsi="ＭＳ ゴシック" w:cs="ＭＳ Ｐゴシック"/>
                <w:kern w:val="0"/>
                <w:sz w:val="14"/>
                <w:szCs w:val="12"/>
              </w:rPr>
            </w:pPr>
            <w:r w:rsidRPr="00263B73">
              <w:rPr>
                <w:rFonts w:ascii="ＭＳ ゴシック" w:eastAsia="ＭＳ ゴシック" w:hAnsi="ＭＳ ゴシック" w:cs="ＭＳ Ｐゴシック" w:hint="eastAsia"/>
                <w:kern w:val="0"/>
                <w:sz w:val="14"/>
                <w:szCs w:val="12"/>
              </w:rPr>
              <w:t xml:space="preserve">　</w:t>
            </w:r>
          </w:p>
        </w:tc>
        <w:tc>
          <w:tcPr>
            <w:tcW w:w="5631" w:type="dxa"/>
            <w:gridSpan w:val="2"/>
            <w:noWrap/>
            <w:vAlign w:val="center"/>
            <w:hideMark/>
          </w:tcPr>
          <w:p w14:paraId="08E3FAD0" w14:textId="77777777" w:rsidR="008A3EDE" w:rsidRPr="00263B73" w:rsidRDefault="008A3EDE" w:rsidP="00831B7C">
            <w:pPr>
              <w:widowControl/>
              <w:spacing w:line="180" w:lineRule="exact"/>
              <w:jc w:val="left"/>
              <w:rPr>
                <w:rFonts w:ascii="ＭＳ ゴシック" w:eastAsia="ＭＳ ゴシック" w:hAnsi="ＭＳ ゴシック" w:cs="ＭＳ Ｐゴシック"/>
                <w:kern w:val="0"/>
                <w:sz w:val="14"/>
                <w:szCs w:val="12"/>
              </w:rPr>
            </w:pPr>
            <w:r w:rsidRPr="00263B73">
              <w:rPr>
                <w:rFonts w:ascii="ＭＳ ゴシック" w:eastAsia="ＭＳ ゴシック" w:hAnsi="ＭＳ ゴシック" w:cs="ＭＳ Ｐゴシック" w:hint="eastAsia"/>
                <w:kern w:val="0"/>
                <w:sz w:val="14"/>
                <w:szCs w:val="12"/>
              </w:rPr>
              <w:t xml:space="preserve">　〃</w:t>
            </w:r>
          </w:p>
        </w:tc>
        <w:tc>
          <w:tcPr>
            <w:tcW w:w="850" w:type="dxa"/>
            <w:vMerge/>
            <w:noWrap/>
            <w:vAlign w:val="center"/>
            <w:hideMark/>
          </w:tcPr>
          <w:p w14:paraId="2D19AE58" w14:textId="77777777" w:rsidR="008A3EDE" w:rsidRPr="00263B73" w:rsidRDefault="008A3EDE" w:rsidP="00831B7C">
            <w:pPr>
              <w:spacing w:line="180" w:lineRule="exact"/>
              <w:jc w:val="left"/>
              <w:rPr>
                <w:rFonts w:ascii="ＭＳ ゴシック" w:eastAsia="ＭＳ ゴシック" w:hAnsi="ＭＳ ゴシック" w:cs="ＭＳ Ｐゴシック"/>
                <w:kern w:val="0"/>
                <w:sz w:val="14"/>
                <w:szCs w:val="12"/>
              </w:rPr>
            </w:pPr>
          </w:p>
        </w:tc>
        <w:tc>
          <w:tcPr>
            <w:tcW w:w="1843" w:type="dxa"/>
            <w:vAlign w:val="center"/>
            <w:hideMark/>
          </w:tcPr>
          <w:p w14:paraId="4D4222F6" w14:textId="77777777" w:rsidR="008A3EDE" w:rsidRPr="00263B73" w:rsidRDefault="008A3EDE" w:rsidP="00831B7C">
            <w:pPr>
              <w:widowControl/>
              <w:spacing w:line="180" w:lineRule="exact"/>
              <w:rPr>
                <w:rFonts w:ascii="ＭＳ ゴシック" w:eastAsia="ＭＳ ゴシック" w:hAnsi="ＭＳ ゴシック" w:cs="ＭＳ Ｐゴシック"/>
                <w:kern w:val="0"/>
                <w:sz w:val="12"/>
                <w:szCs w:val="12"/>
              </w:rPr>
            </w:pPr>
            <w:r w:rsidRPr="00263B73">
              <w:rPr>
                <w:rFonts w:ascii="ＭＳ ゴシック" w:eastAsia="ＭＳ ゴシック" w:hAnsi="ＭＳ ゴシック" w:cs="ＭＳ Ｐゴシック" w:hint="eastAsia"/>
                <w:kern w:val="0"/>
                <w:sz w:val="12"/>
                <w:szCs w:val="12"/>
              </w:rPr>
              <w:t>事業所指導課／環境保全課</w:t>
            </w:r>
          </w:p>
        </w:tc>
      </w:tr>
      <w:tr w:rsidR="008A3EDE" w:rsidRPr="00263B73" w14:paraId="0B7F37BD" w14:textId="77777777" w:rsidTr="00831B7C">
        <w:trPr>
          <w:trHeight w:val="20"/>
        </w:trPr>
        <w:tc>
          <w:tcPr>
            <w:tcW w:w="1501" w:type="dxa"/>
            <w:vMerge/>
            <w:hideMark/>
          </w:tcPr>
          <w:p w14:paraId="3680397F" w14:textId="77777777" w:rsidR="008A3EDE" w:rsidRPr="00263B73" w:rsidRDefault="008A3EDE" w:rsidP="00831B7C">
            <w:pPr>
              <w:widowControl/>
              <w:spacing w:line="180" w:lineRule="exact"/>
              <w:jc w:val="left"/>
              <w:rPr>
                <w:rFonts w:ascii="ＭＳ ゴシック" w:eastAsia="ＭＳ ゴシック" w:hAnsi="ＭＳ ゴシック" w:cs="ＭＳ Ｐゴシック"/>
                <w:kern w:val="0"/>
                <w:sz w:val="14"/>
                <w:szCs w:val="12"/>
              </w:rPr>
            </w:pPr>
          </w:p>
        </w:tc>
        <w:tc>
          <w:tcPr>
            <w:tcW w:w="5631" w:type="dxa"/>
            <w:gridSpan w:val="2"/>
            <w:noWrap/>
            <w:vAlign w:val="center"/>
            <w:hideMark/>
          </w:tcPr>
          <w:p w14:paraId="702A9493" w14:textId="77777777" w:rsidR="008A3EDE" w:rsidRPr="00263B73" w:rsidRDefault="008A3EDE" w:rsidP="00831B7C">
            <w:pPr>
              <w:widowControl/>
              <w:spacing w:line="180" w:lineRule="exact"/>
              <w:jc w:val="left"/>
              <w:rPr>
                <w:rFonts w:ascii="ＭＳ ゴシック" w:eastAsia="ＭＳ ゴシック" w:hAnsi="ＭＳ ゴシック" w:cs="ＭＳ Ｐゴシック"/>
                <w:kern w:val="0"/>
                <w:sz w:val="14"/>
                <w:szCs w:val="12"/>
              </w:rPr>
            </w:pPr>
            <w:r w:rsidRPr="00263B73">
              <w:rPr>
                <w:rFonts w:ascii="ＭＳ ゴシック" w:eastAsia="ＭＳ ゴシック" w:hAnsi="ＭＳ ゴシック" w:cs="ＭＳ Ｐゴシック" w:hint="eastAsia"/>
                <w:kern w:val="0"/>
                <w:sz w:val="14"/>
                <w:szCs w:val="12"/>
              </w:rPr>
              <w:t>油流出事故対策マニュアル</w:t>
            </w:r>
          </w:p>
        </w:tc>
        <w:tc>
          <w:tcPr>
            <w:tcW w:w="850" w:type="dxa"/>
            <w:vMerge/>
            <w:noWrap/>
            <w:vAlign w:val="center"/>
            <w:hideMark/>
          </w:tcPr>
          <w:p w14:paraId="2C92CAA2" w14:textId="77777777" w:rsidR="008A3EDE" w:rsidRPr="00263B73" w:rsidRDefault="008A3EDE" w:rsidP="00831B7C">
            <w:pPr>
              <w:spacing w:line="180" w:lineRule="exact"/>
              <w:jc w:val="left"/>
              <w:rPr>
                <w:rFonts w:ascii="ＭＳ ゴシック" w:eastAsia="ＭＳ ゴシック" w:hAnsi="ＭＳ ゴシック" w:cs="ＭＳ Ｐゴシック"/>
                <w:kern w:val="0"/>
                <w:sz w:val="14"/>
                <w:szCs w:val="12"/>
              </w:rPr>
            </w:pPr>
          </w:p>
        </w:tc>
        <w:tc>
          <w:tcPr>
            <w:tcW w:w="1843" w:type="dxa"/>
            <w:noWrap/>
            <w:vAlign w:val="center"/>
            <w:hideMark/>
          </w:tcPr>
          <w:p w14:paraId="16746CD0" w14:textId="77777777" w:rsidR="008A3EDE" w:rsidRPr="00263B73" w:rsidRDefault="008A3EDE" w:rsidP="00831B7C">
            <w:pPr>
              <w:widowControl/>
              <w:spacing w:line="180" w:lineRule="exact"/>
              <w:rPr>
                <w:rFonts w:ascii="ＭＳ ゴシック" w:eastAsia="ＭＳ ゴシック" w:hAnsi="ＭＳ ゴシック" w:cs="ＭＳ Ｐゴシック"/>
                <w:kern w:val="0"/>
                <w:sz w:val="14"/>
                <w:szCs w:val="12"/>
              </w:rPr>
            </w:pPr>
            <w:r w:rsidRPr="00263B73">
              <w:rPr>
                <w:rFonts w:ascii="ＭＳ ゴシック" w:eastAsia="ＭＳ ゴシック" w:hAnsi="ＭＳ ゴシック" w:cs="ＭＳ Ｐゴシック" w:hint="eastAsia"/>
                <w:kern w:val="0"/>
                <w:sz w:val="14"/>
                <w:szCs w:val="12"/>
              </w:rPr>
              <w:t>水産課</w:t>
            </w:r>
          </w:p>
        </w:tc>
      </w:tr>
      <w:tr w:rsidR="008A3EDE" w:rsidRPr="00263B73" w14:paraId="15AD6E6F" w14:textId="77777777" w:rsidTr="00831B7C">
        <w:trPr>
          <w:trHeight w:val="20"/>
        </w:trPr>
        <w:tc>
          <w:tcPr>
            <w:tcW w:w="1501" w:type="dxa"/>
            <w:vAlign w:val="center"/>
            <w:hideMark/>
          </w:tcPr>
          <w:p w14:paraId="2A8A0EC6" w14:textId="77777777" w:rsidR="008A3EDE" w:rsidRPr="00263B73" w:rsidRDefault="008A3EDE" w:rsidP="00831B7C">
            <w:pPr>
              <w:widowControl/>
              <w:spacing w:line="180" w:lineRule="exact"/>
              <w:jc w:val="left"/>
              <w:rPr>
                <w:rFonts w:ascii="ＭＳ ゴシック" w:eastAsia="ＭＳ ゴシック" w:hAnsi="ＭＳ ゴシック" w:cs="ＭＳ Ｐゴシック"/>
                <w:kern w:val="0"/>
                <w:sz w:val="14"/>
                <w:szCs w:val="12"/>
              </w:rPr>
            </w:pPr>
            <w:r w:rsidRPr="00263B73">
              <w:rPr>
                <w:rFonts w:ascii="ＭＳ ゴシック" w:eastAsia="ＭＳ ゴシック" w:hAnsi="ＭＳ ゴシック" w:cs="ＭＳ Ｐゴシック" w:hint="eastAsia"/>
                <w:kern w:val="0"/>
                <w:sz w:val="14"/>
                <w:szCs w:val="12"/>
              </w:rPr>
              <w:t>不適正な農薬販売・農薬使用</w:t>
            </w:r>
          </w:p>
        </w:tc>
        <w:tc>
          <w:tcPr>
            <w:tcW w:w="5631" w:type="dxa"/>
            <w:gridSpan w:val="2"/>
            <w:noWrap/>
            <w:vAlign w:val="center"/>
            <w:hideMark/>
          </w:tcPr>
          <w:p w14:paraId="0D6595DA" w14:textId="77777777" w:rsidR="008A3EDE" w:rsidRPr="00263B73" w:rsidRDefault="008A3EDE" w:rsidP="00831B7C">
            <w:pPr>
              <w:widowControl/>
              <w:spacing w:line="180" w:lineRule="exact"/>
              <w:jc w:val="left"/>
              <w:rPr>
                <w:rFonts w:ascii="ＭＳ ゴシック" w:eastAsia="ＭＳ ゴシック" w:hAnsi="ＭＳ ゴシック" w:cs="ＭＳ Ｐゴシック"/>
                <w:kern w:val="0"/>
                <w:sz w:val="14"/>
                <w:szCs w:val="12"/>
              </w:rPr>
            </w:pPr>
            <w:r w:rsidRPr="00263B73">
              <w:rPr>
                <w:rFonts w:ascii="ＭＳ ゴシック" w:eastAsia="ＭＳ ゴシック" w:hAnsi="ＭＳ ゴシック" w:cs="ＭＳ Ｐゴシック" w:hint="eastAsia"/>
                <w:kern w:val="0"/>
                <w:sz w:val="14"/>
                <w:szCs w:val="12"/>
              </w:rPr>
              <w:t>農薬の不適正な販売・使用発生時における対応マニュアル</w:t>
            </w:r>
          </w:p>
        </w:tc>
        <w:tc>
          <w:tcPr>
            <w:tcW w:w="850" w:type="dxa"/>
            <w:vMerge/>
            <w:noWrap/>
            <w:vAlign w:val="center"/>
            <w:hideMark/>
          </w:tcPr>
          <w:p w14:paraId="0D329075" w14:textId="77777777" w:rsidR="008A3EDE" w:rsidRPr="00263B73" w:rsidRDefault="008A3EDE" w:rsidP="00831B7C">
            <w:pPr>
              <w:spacing w:line="180" w:lineRule="exact"/>
              <w:jc w:val="left"/>
              <w:rPr>
                <w:rFonts w:ascii="ＭＳ ゴシック" w:eastAsia="ＭＳ ゴシック" w:hAnsi="ＭＳ ゴシック" w:cs="ＭＳ Ｐゴシック"/>
                <w:kern w:val="0"/>
                <w:sz w:val="14"/>
                <w:szCs w:val="12"/>
              </w:rPr>
            </w:pPr>
          </w:p>
        </w:tc>
        <w:tc>
          <w:tcPr>
            <w:tcW w:w="1843" w:type="dxa"/>
            <w:vMerge w:val="restart"/>
            <w:noWrap/>
            <w:vAlign w:val="center"/>
            <w:hideMark/>
          </w:tcPr>
          <w:p w14:paraId="67DC9E2F" w14:textId="77777777" w:rsidR="008A3EDE" w:rsidRPr="00263B73" w:rsidRDefault="008A3EDE" w:rsidP="00831B7C">
            <w:pPr>
              <w:widowControl/>
              <w:spacing w:line="180" w:lineRule="exact"/>
              <w:rPr>
                <w:rFonts w:ascii="ＭＳ ゴシック" w:eastAsia="ＭＳ ゴシック" w:hAnsi="ＭＳ ゴシック" w:cs="ＭＳ Ｐゴシック"/>
                <w:kern w:val="0"/>
                <w:sz w:val="14"/>
                <w:szCs w:val="12"/>
              </w:rPr>
            </w:pPr>
            <w:r w:rsidRPr="00263B73">
              <w:rPr>
                <w:rFonts w:ascii="ＭＳ ゴシック" w:eastAsia="ＭＳ ゴシック" w:hAnsi="ＭＳ ゴシック" w:cs="ＭＳ Ｐゴシック" w:hint="eastAsia"/>
                <w:kern w:val="0"/>
                <w:sz w:val="14"/>
                <w:szCs w:val="12"/>
              </w:rPr>
              <w:t>農政室推進課</w:t>
            </w:r>
          </w:p>
        </w:tc>
      </w:tr>
      <w:tr w:rsidR="008A3EDE" w:rsidRPr="00263B73" w14:paraId="1437C91C" w14:textId="77777777" w:rsidTr="00831B7C">
        <w:trPr>
          <w:trHeight w:val="20"/>
        </w:trPr>
        <w:tc>
          <w:tcPr>
            <w:tcW w:w="1501" w:type="dxa"/>
            <w:vAlign w:val="center"/>
          </w:tcPr>
          <w:p w14:paraId="39724761" w14:textId="77777777" w:rsidR="008A3EDE" w:rsidRPr="00263B73" w:rsidRDefault="008A3EDE" w:rsidP="00831B7C">
            <w:pPr>
              <w:widowControl/>
              <w:spacing w:line="180" w:lineRule="exact"/>
              <w:jc w:val="left"/>
              <w:rPr>
                <w:rFonts w:ascii="ＭＳ ゴシック" w:eastAsia="ＭＳ ゴシック" w:hAnsi="ＭＳ ゴシック" w:cs="ＭＳ Ｐゴシック"/>
                <w:kern w:val="0"/>
                <w:sz w:val="14"/>
                <w:szCs w:val="12"/>
              </w:rPr>
            </w:pPr>
            <w:r w:rsidRPr="00263B73">
              <w:rPr>
                <w:rFonts w:ascii="ＭＳ ゴシック" w:eastAsia="ＭＳ ゴシック" w:hAnsi="ＭＳ ゴシック" w:cs="ＭＳ Ｐゴシック" w:hint="eastAsia"/>
                <w:kern w:val="0"/>
                <w:sz w:val="14"/>
                <w:szCs w:val="12"/>
              </w:rPr>
              <w:t>花の文化園災害発生時等</w:t>
            </w:r>
          </w:p>
        </w:tc>
        <w:tc>
          <w:tcPr>
            <w:tcW w:w="5631" w:type="dxa"/>
            <w:gridSpan w:val="2"/>
            <w:noWrap/>
            <w:vAlign w:val="center"/>
          </w:tcPr>
          <w:p w14:paraId="702930C6" w14:textId="77777777" w:rsidR="008A3EDE" w:rsidRPr="00263B73" w:rsidRDefault="008A3EDE" w:rsidP="00831B7C">
            <w:pPr>
              <w:widowControl/>
              <w:spacing w:line="180" w:lineRule="exact"/>
              <w:jc w:val="left"/>
              <w:rPr>
                <w:rFonts w:ascii="ＭＳ ゴシック" w:eastAsia="ＭＳ ゴシック" w:hAnsi="ＭＳ ゴシック" w:cs="ＭＳ Ｐゴシック"/>
                <w:kern w:val="0"/>
                <w:sz w:val="14"/>
                <w:szCs w:val="12"/>
              </w:rPr>
            </w:pPr>
            <w:r w:rsidRPr="00263B73">
              <w:rPr>
                <w:rFonts w:ascii="ＭＳ ゴシック" w:eastAsia="ＭＳ ゴシック" w:hAnsi="ＭＳ ゴシック" w:cs="ＭＳ Ｐゴシック" w:hint="eastAsia"/>
                <w:kern w:val="0"/>
                <w:sz w:val="14"/>
                <w:szCs w:val="12"/>
              </w:rPr>
              <w:t>大阪府立花の文化園緊急時対応マニュアル</w:t>
            </w:r>
          </w:p>
        </w:tc>
        <w:tc>
          <w:tcPr>
            <w:tcW w:w="850" w:type="dxa"/>
            <w:vMerge/>
            <w:noWrap/>
            <w:vAlign w:val="center"/>
          </w:tcPr>
          <w:p w14:paraId="77410247" w14:textId="77777777" w:rsidR="008A3EDE" w:rsidRPr="00263B73" w:rsidRDefault="008A3EDE" w:rsidP="00831B7C">
            <w:pPr>
              <w:spacing w:line="180" w:lineRule="exact"/>
              <w:jc w:val="left"/>
              <w:rPr>
                <w:rFonts w:ascii="ＭＳ ゴシック" w:eastAsia="ＭＳ ゴシック" w:hAnsi="ＭＳ ゴシック" w:cs="ＭＳ Ｐゴシック"/>
                <w:kern w:val="0"/>
                <w:sz w:val="14"/>
                <w:szCs w:val="12"/>
              </w:rPr>
            </w:pPr>
          </w:p>
        </w:tc>
        <w:tc>
          <w:tcPr>
            <w:tcW w:w="1843" w:type="dxa"/>
            <w:vMerge/>
            <w:noWrap/>
            <w:vAlign w:val="center"/>
          </w:tcPr>
          <w:p w14:paraId="140162CB" w14:textId="77777777" w:rsidR="008A3EDE" w:rsidRPr="00263B73" w:rsidRDefault="008A3EDE" w:rsidP="00831B7C">
            <w:pPr>
              <w:widowControl/>
              <w:spacing w:line="180" w:lineRule="exact"/>
              <w:rPr>
                <w:rFonts w:ascii="ＭＳ ゴシック" w:eastAsia="ＭＳ ゴシック" w:hAnsi="ＭＳ ゴシック" w:cs="ＭＳ Ｐゴシック"/>
                <w:kern w:val="0"/>
                <w:sz w:val="14"/>
                <w:szCs w:val="12"/>
              </w:rPr>
            </w:pPr>
          </w:p>
        </w:tc>
      </w:tr>
      <w:tr w:rsidR="008A3EDE" w:rsidRPr="00263B73" w14:paraId="5365B2F0" w14:textId="77777777" w:rsidTr="00831B7C">
        <w:trPr>
          <w:trHeight w:val="20"/>
        </w:trPr>
        <w:tc>
          <w:tcPr>
            <w:tcW w:w="1501" w:type="dxa"/>
            <w:vAlign w:val="center"/>
            <w:hideMark/>
          </w:tcPr>
          <w:p w14:paraId="3B2AF5F6" w14:textId="77777777" w:rsidR="008A3EDE" w:rsidRPr="00263B73" w:rsidRDefault="008A3EDE" w:rsidP="00831B7C">
            <w:pPr>
              <w:widowControl/>
              <w:spacing w:line="180" w:lineRule="exact"/>
              <w:jc w:val="left"/>
              <w:rPr>
                <w:rFonts w:ascii="ＭＳ ゴシック" w:eastAsia="ＭＳ ゴシック" w:hAnsi="ＭＳ ゴシック" w:cs="ＭＳ Ｐゴシック"/>
                <w:kern w:val="0"/>
                <w:sz w:val="14"/>
                <w:szCs w:val="12"/>
              </w:rPr>
            </w:pPr>
            <w:r w:rsidRPr="00263B73">
              <w:rPr>
                <w:rFonts w:ascii="ＭＳ ゴシック" w:eastAsia="ＭＳ ゴシック" w:hAnsi="ＭＳ ゴシック" w:cs="ＭＳ Ｐゴシック" w:hint="eastAsia"/>
                <w:kern w:val="0"/>
                <w:sz w:val="14"/>
                <w:szCs w:val="12"/>
              </w:rPr>
              <w:t>有害・有毒プランクトンによる被害</w:t>
            </w:r>
          </w:p>
        </w:tc>
        <w:tc>
          <w:tcPr>
            <w:tcW w:w="5631" w:type="dxa"/>
            <w:gridSpan w:val="2"/>
            <w:noWrap/>
            <w:vAlign w:val="center"/>
            <w:hideMark/>
          </w:tcPr>
          <w:p w14:paraId="7A2AC072" w14:textId="77777777" w:rsidR="008A3EDE" w:rsidRPr="00263B73" w:rsidRDefault="008A3EDE" w:rsidP="00831B7C">
            <w:pPr>
              <w:widowControl/>
              <w:spacing w:line="180" w:lineRule="exact"/>
              <w:jc w:val="left"/>
              <w:rPr>
                <w:rFonts w:ascii="ＭＳ ゴシック" w:eastAsia="ＭＳ ゴシック" w:hAnsi="ＭＳ ゴシック" w:cs="ＭＳ Ｐゴシック"/>
                <w:kern w:val="0"/>
                <w:sz w:val="14"/>
                <w:szCs w:val="12"/>
              </w:rPr>
            </w:pPr>
            <w:r w:rsidRPr="00263B73">
              <w:rPr>
                <w:rFonts w:ascii="ＭＳ ゴシック" w:eastAsia="ＭＳ ゴシック" w:hAnsi="ＭＳ ゴシック" w:cs="ＭＳ Ｐゴシック" w:hint="eastAsia"/>
                <w:kern w:val="0"/>
                <w:sz w:val="14"/>
                <w:szCs w:val="12"/>
              </w:rPr>
              <w:t>大阪府赤潮・貝毒原因プランクトン対策マニュアル</w:t>
            </w:r>
          </w:p>
        </w:tc>
        <w:tc>
          <w:tcPr>
            <w:tcW w:w="850" w:type="dxa"/>
            <w:vMerge/>
            <w:noWrap/>
            <w:vAlign w:val="center"/>
            <w:hideMark/>
          </w:tcPr>
          <w:p w14:paraId="5525CCB3" w14:textId="77777777" w:rsidR="008A3EDE" w:rsidRPr="00263B73" w:rsidRDefault="008A3EDE" w:rsidP="00831B7C">
            <w:pPr>
              <w:spacing w:line="180" w:lineRule="exact"/>
              <w:jc w:val="left"/>
              <w:rPr>
                <w:rFonts w:ascii="ＭＳ ゴシック" w:eastAsia="ＭＳ ゴシック" w:hAnsi="ＭＳ ゴシック" w:cs="ＭＳ Ｐゴシック"/>
                <w:kern w:val="0"/>
                <w:sz w:val="14"/>
                <w:szCs w:val="12"/>
              </w:rPr>
            </w:pPr>
          </w:p>
        </w:tc>
        <w:tc>
          <w:tcPr>
            <w:tcW w:w="1843" w:type="dxa"/>
            <w:noWrap/>
            <w:vAlign w:val="center"/>
            <w:hideMark/>
          </w:tcPr>
          <w:p w14:paraId="262ACF76" w14:textId="77777777" w:rsidR="008A3EDE" w:rsidRPr="00263B73" w:rsidRDefault="008A3EDE" w:rsidP="00831B7C">
            <w:pPr>
              <w:widowControl/>
              <w:spacing w:line="180" w:lineRule="exact"/>
              <w:rPr>
                <w:rFonts w:ascii="ＭＳ ゴシック" w:eastAsia="ＭＳ ゴシック" w:hAnsi="ＭＳ ゴシック" w:cs="ＭＳ Ｐゴシック"/>
                <w:kern w:val="0"/>
                <w:sz w:val="14"/>
                <w:szCs w:val="12"/>
              </w:rPr>
            </w:pPr>
            <w:r w:rsidRPr="00263B73">
              <w:rPr>
                <w:rFonts w:ascii="ＭＳ ゴシック" w:eastAsia="ＭＳ ゴシック" w:hAnsi="ＭＳ ゴシック" w:cs="ＭＳ Ｐゴシック" w:hint="eastAsia"/>
                <w:kern w:val="0"/>
                <w:sz w:val="14"/>
                <w:szCs w:val="12"/>
              </w:rPr>
              <w:t>水産課</w:t>
            </w:r>
          </w:p>
        </w:tc>
      </w:tr>
      <w:tr w:rsidR="008A3EDE" w:rsidRPr="00263B73" w14:paraId="3BAD1385" w14:textId="77777777" w:rsidTr="00831B7C">
        <w:trPr>
          <w:trHeight w:val="20"/>
        </w:trPr>
        <w:tc>
          <w:tcPr>
            <w:tcW w:w="1501" w:type="dxa"/>
            <w:vAlign w:val="center"/>
            <w:hideMark/>
          </w:tcPr>
          <w:p w14:paraId="7F8E8F8E" w14:textId="77777777" w:rsidR="008A3EDE" w:rsidRPr="00263B73" w:rsidRDefault="008A3EDE" w:rsidP="00831B7C">
            <w:pPr>
              <w:widowControl/>
              <w:spacing w:line="180" w:lineRule="exact"/>
              <w:jc w:val="left"/>
              <w:rPr>
                <w:rFonts w:ascii="ＭＳ ゴシック" w:eastAsia="ＭＳ ゴシック" w:hAnsi="ＭＳ ゴシック" w:cs="ＭＳ Ｐゴシック"/>
                <w:kern w:val="0"/>
                <w:sz w:val="14"/>
                <w:szCs w:val="12"/>
              </w:rPr>
            </w:pPr>
            <w:r w:rsidRPr="00263B73">
              <w:rPr>
                <w:rFonts w:ascii="ＭＳ ゴシック" w:eastAsia="ＭＳ ゴシック" w:hAnsi="ＭＳ ゴシック" w:cs="ＭＳ Ｐゴシック" w:hint="eastAsia"/>
                <w:kern w:val="0"/>
                <w:sz w:val="14"/>
                <w:szCs w:val="12"/>
              </w:rPr>
              <w:t>サメによる被害</w:t>
            </w:r>
          </w:p>
        </w:tc>
        <w:tc>
          <w:tcPr>
            <w:tcW w:w="5631" w:type="dxa"/>
            <w:gridSpan w:val="2"/>
            <w:noWrap/>
            <w:vAlign w:val="center"/>
            <w:hideMark/>
          </w:tcPr>
          <w:p w14:paraId="1B2629C8" w14:textId="77777777" w:rsidR="008A3EDE" w:rsidRPr="00263B73" w:rsidRDefault="008A3EDE" w:rsidP="00831B7C">
            <w:pPr>
              <w:widowControl/>
              <w:spacing w:line="180" w:lineRule="exact"/>
              <w:jc w:val="left"/>
              <w:rPr>
                <w:rFonts w:ascii="ＭＳ ゴシック" w:eastAsia="ＭＳ ゴシック" w:hAnsi="ＭＳ ゴシック" w:cs="ＭＳ Ｐゴシック"/>
                <w:kern w:val="0"/>
                <w:sz w:val="14"/>
                <w:szCs w:val="12"/>
              </w:rPr>
            </w:pPr>
            <w:r w:rsidRPr="00263B73">
              <w:rPr>
                <w:rFonts w:ascii="ＭＳ ゴシック" w:eastAsia="ＭＳ ゴシック" w:hAnsi="ＭＳ ゴシック" w:cs="ＭＳ Ｐゴシック" w:hint="eastAsia"/>
                <w:kern w:val="0"/>
                <w:sz w:val="14"/>
                <w:szCs w:val="12"/>
              </w:rPr>
              <w:t>サメ出現時対応マニュアル</w:t>
            </w:r>
          </w:p>
        </w:tc>
        <w:tc>
          <w:tcPr>
            <w:tcW w:w="850" w:type="dxa"/>
            <w:vMerge/>
            <w:noWrap/>
            <w:vAlign w:val="center"/>
            <w:hideMark/>
          </w:tcPr>
          <w:p w14:paraId="221DA66A" w14:textId="77777777" w:rsidR="008A3EDE" w:rsidRPr="00263B73" w:rsidRDefault="008A3EDE" w:rsidP="00831B7C">
            <w:pPr>
              <w:spacing w:line="180" w:lineRule="exact"/>
              <w:jc w:val="left"/>
              <w:rPr>
                <w:rFonts w:ascii="ＭＳ ゴシック" w:eastAsia="ＭＳ ゴシック" w:hAnsi="ＭＳ ゴシック" w:cs="ＭＳ Ｐゴシック"/>
                <w:kern w:val="0"/>
                <w:sz w:val="14"/>
                <w:szCs w:val="12"/>
              </w:rPr>
            </w:pPr>
          </w:p>
        </w:tc>
        <w:tc>
          <w:tcPr>
            <w:tcW w:w="1843" w:type="dxa"/>
            <w:noWrap/>
            <w:vAlign w:val="center"/>
            <w:hideMark/>
          </w:tcPr>
          <w:p w14:paraId="6685F24B" w14:textId="77777777" w:rsidR="008A3EDE" w:rsidRPr="00263B73" w:rsidRDefault="008A3EDE" w:rsidP="00831B7C">
            <w:pPr>
              <w:widowControl/>
              <w:spacing w:line="180" w:lineRule="exact"/>
              <w:rPr>
                <w:rFonts w:ascii="ＭＳ ゴシック" w:eastAsia="ＭＳ ゴシック" w:hAnsi="ＭＳ ゴシック" w:cs="ＭＳ Ｐゴシック"/>
                <w:kern w:val="0"/>
                <w:sz w:val="14"/>
                <w:szCs w:val="12"/>
              </w:rPr>
            </w:pPr>
            <w:r w:rsidRPr="00263B73">
              <w:rPr>
                <w:rFonts w:ascii="ＭＳ ゴシック" w:eastAsia="ＭＳ ゴシック" w:hAnsi="ＭＳ ゴシック" w:cs="ＭＳ Ｐゴシック" w:hint="eastAsia"/>
                <w:kern w:val="0"/>
                <w:sz w:val="14"/>
                <w:szCs w:val="12"/>
              </w:rPr>
              <w:t>水産課</w:t>
            </w:r>
          </w:p>
        </w:tc>
      </w:tr>
      <w:tr w:rsidR="008A3EDE" w:rsidRPr="00263B73" w14:paraId="7CD0D33E" w14:textId="77777777" w:rsidTr="00831B7C">
        <w:trPr>
          <w:trHeight w:val="20"/>
        </w:trPr>
        <w:tc>
          <w:tcPr>
            <w:tcW w:w="1501" w:type="dxa"/>
            <w:vAlign w:val="center"/>
            <w:hideMark/>
          </w:tcPr>
          <w:p w14:paraId="79D29AD9" w14:textId="77777777" w:rsidR="008A3EDE" w:rsidRPr="00263B73" w:rsidRDefault="008A3EDE" w:rsidP="00831B7C">
            <w:pPr>
              <w:widowControl/>
              <w:spacing w:line="180" w:lineRule="exact"/>
              <w:jc w:val="left"/>
              <w:rPr>
                <w:rFonts w:ascii="ＭＳ ゴシック" w:eastAsia="ＭＳ ゴシック" w:hAnsi="ＭＳ ゴシック" w:cs="ＭＳ Ｐゴシック"/>
                <w:kern w:val="0"/>
                <w:sz w:val="14"/>
                <w:szCs w:val="12"/>
              </w:rPr>
            </w:pPr>
            <w:r w:rsidRPr="00263B73">
              <w:rPr>
                <w:rFonts w:ascii="ＭＳ ゴシック" w:eastAsia="ＭＳ ゴシック" w:hAnsi="ＭＳ ゴシック" w:cs="ＭＳ Ｐゴシック" w:hint="eastAsia"/>
                <w:kern w:val="0"/>
                <w:sz w:val="14"/>
                <w:szCs w:val="12"/>
              </w:rPr>
              <w:t>牛海綿状脳症（BSE)の発生</w:t>
            </w:r>
          </w:p>
        </w:tc>
        <w:tc>
          <w:tcPr>
            <w:tcW w:w="5631" w:type="dxa"/>
            <w:gridSpan w:val="2"/>
            <w:noWrap/>
            <w:vAlign w:val="center"/>
            <w:hideMark/>
          </w:tcPr>
          <w:p w14:paraId="1F8B6641" w14:textId="77777777" w:rsidR="008A3EDE" w:rsidRPr="00263B73" w:rsidRDefault="008A3EDE" w:rsidP="00831B7C">
            <w:pPr>
              <w:widowControl/>
              <w:spacing w:line="180" w:lineRule="exact"/>
              <w:jc w:val="left"/>
              <w:rPr>
                <w:rFonts w:ascii="ＭＳ ゴシック" w:eastAsia="ＭＳ ゴシック" w:hAnsi="ＭＳ ゴシック" w:cs="ＭＳ Ｐゴシック"/>
                <w:kern w:val="0"/>
                <w:sz w:val="14"/>
                <w:szCs w:val="12"/>
              </w:rPr>
            </w:pPr>
            <w:r w:rsidRPr="00263B73">
              <w:rPr>
                <w:rFonts w:ascii="ＭＳ ゴシック" w:eastAsia="ＭＳ ゴシック" w:hAnsi="ＭＳ ゴシック" w:cs="ＭＳ Ｐゴシック" w:hint="eastAsia"/>
                <w:kern w:val="0"/>
                <w:sz w:val="14"/>
                <w:szCs w:val="12"/>
              </w:rPr>
              <w:t>ＢＳＥ検査陽性牛発生時の対応マニュアル（第７版）</w:t>
            </w:r>
          </w:p>
        </w:tc>
        <w:tc>
          <w:tcPr>
            <w:tcW w:w="850" w:type="dxa"/>
            <w:vMerge/>
            <w:noWrap/>
            <w:vAlign w:val="center"/>
            <w:hideMark/>
          </w:tcPr>
          <w:p w14:paraId="41DE82FC" w14:textId="77777777" w:rsidR="008A3EDE" w:rsidRPr="00263B73" w:rsidRDefault="008A3EDE" w:rsidP="00831B7C">
            <w:pPr>
              <w:spacing w:line="180" w:lineRule="exact"/>
              <w:jc w:val="left"/>
              <w:rPr>
                <w:rFonts w:ascii="ＭＳ ゴシック" w:eastAsia="ＭＳ ゴシック" w:hAnsi="ＭＳ ゴシック" w:cs="ＭＳ Ｐゴシック"/>
                <w:kern w:val="0"/>
                <w:sz w:val="14"/>
                <w:szCs w:val="12"/>
              </w:rPr>
            </w:pPr>
          </w:p>
        </w:tc>
        <w:tc>
          <w:tcPr>
            <w:tcW w:w="1843" w:type="dxa"/>
            <w:noWrap/>
            <w:vAlign w:val="center"/>
            <w:hideMark/>
          </w:tcPr>
          <w:p w14:paraId="1053E04E" w14:textId="77777777" w:rsidR="008A3EDE" w:rsidRPr="00263B73" w:rsidRDefault="008A3EDE" w:rsidP="00831B7C">
            <w:pPr>
              <w:widowControl/>
              <w:spacing w:line="180" w:lineRule="exact"/>
              <w:rPr>
                <w:rFonts w:ascii="ＭＳ ゴシック" w:eastAsia="ＭＳ ゴシック" w:hAnsi="ＭＳ ゴシック" w:cs="ＭＳ Ｐゴシック"/>
                <w:kern w:val="0"/>
                <w:sz w:val="14"/>
                <w:szCs w:val="12"/>
              </w:rPr>
            </w:pPr>
            <w:r w:rsidRPr="00263B73">
              <w:rPr>
                <w:rFonts w:ascii="ＭＳ ゴシック" w:eastAsia="ＭＳ ゴシック" w:hAnsi="ＭＳ ゴシック" w:cs="ＭＳ Ｐゴシック" w:hint="eastAsia"/>
                <w:kern w:val="0"/>
                <w:sz w:val="14"/>
                <w:szCs w:val="12"/>
              </w:rPr>
              <w:t>動物愛護畜産課</w:t>
            </w:r>
          </w:p>
        </w:tc>
      </w:tr>
      <w:tr w:rsidR="008A3EDE" w:rsidRPr="00263B73" w14:paraId="525E3D2F" w14:textId="77777777" w:rsidTr="00831B7C">
        <w:trPr>
          <w:trHeight w:val="20"/>
        </w:trPr>
        <w:tc>
          <w:tcPr>
            <w:tcW w:w="1501" w:type="dxa"/>
            <w:vAlign w:val="center"/>
            <w:hideMark/>
          </w:tcPr>
          <w:p w14:paraId="7244F997" w14:textId="77777777" w:rsidR="008A3EDE" w:rsidRPr="00263B73" w:rsidRDefault="008A3EDE" w:rsidP="00831B7C">
            <w:pPr>
              <w:widowControl/>
              <w:spacing w:line="180" w:lineRule="exact"/>
              <w:jc w:val="left"/>
              <w:rPr>
                <w:rFonts w:ascii="ＭＳ ゴシック" w:eastAsia="ＭＳ ゴシック" w:hAnsi="ＭＳ ゴシック" w:cs="ＭＳ Ｐゴシック"/>
                <w:kern w:val="0"/>
                <w:sz w:val="14"/>
                <w:szCs w:val="12"/>
              </w:rPr>
            </w:pPr>
            <w:r w:rsidRPr="00263B73">
              <w:rPr>
                <w:rFonts w:ascii="ＭＳ ゴシック" w:eastAsia="ＭＳ ゴシック" w:hAnsi="ＭＳ ゴシック" w:cs="ＭＳ Ｐゴシック" w:hint="eastAsia"/>
                <w:kern w:val="0"/>
                <w:sz w:val="14"/>
                <w:szCs w:val="12"/>
              </w:rPr>
              <w:t>口蹄疫の発生</w:t>
            </w:r>
          </w:p>
        </w:tc>
        <w:tc>
          <w:tcPr>
            <w:tcW w:w="5631" w:type="dxa"/>
            <w:gridSpan w:val="2"/>
            <w:noWrap/>
            <w:vAlign w:val="center"/>
            <w:hideMark/>
          </w:tcPr>
          <w:p w14:paraId="5B2810A9" w14:textId="77777777" w:rsidR="008A3EDE" w:rsidRPr="00263B73" w:rsidRDefault="008A3EDE" w:rsidP="00831B7C">
            <w:pPr>
              <w:widowControl/>
              <w:spacing w:line="180" w:lineRule="exact"/>
              <w:jc w:val="left"/>
              <w:rPr>
                <w:rFonts w:ascii="ＭＳ ゴシック" w:eastAsia="ＭＳ ゴシック" w:hAnsi="ＭＳ ゴシック" w:cs="ＭＳ Ｐゴシック"/>
                <w:kern w:val="0"/>
                <w:sz w:val="14"/>
                <w:szCs w:val="12"/>
              </w:rPr>
            </w:pPr>
            <w:r w:rsidRPr="00263B73">
              <w:rPr>
                <w:rFonts w:ascii="ＭＳ ゴシック" w:eastAsia="ＭＳ ゴシック" w:hAnsi="ＭＳ ゴシック" w:cs="ＭＳ Ｐゴシック" w:hint="eastAsia"/>
                <w:kern w:val="0"/>
                <w:sz w:val="14"/>
                <w:szCs w:val="12"/>
              </w:rPr>
              <w:t>大阪府口蹄疫防疫対策要領（第３．２版）</w:t>
            </w:r>
          </w:p>
        </w:tc>
        <w:tc>
          <w:tcPr>
            <w:tcW w:w="850" w:type="dxa"/>
            <w:vMerge/>
            <w:noWrap/>
            <w:vAlign w:val="center"/>
            <w:hideMark/>
          </w:tcPr>
          <w:p w14:paraId="2B141882" w14:textId="77777777" w:rsidR="008A3EDE" w:rsidRPr="00263B73" w:rsidRDefault="008A3EDE" w:rsidP="00831B7C">
            <w:pPr>
              <w:spacing w:line="180" w:lineRule="exact"/>
              <w:jc w:val="left"/>
              <w:rPr>
                <w:rFonts w:ascii="ＭＳ ゴシック" w:eastAsia="ＭＳ ゴシック" w:hAnsi="ＭＳ ゴシック" w:cs="ＭＳ Ｐゴシック"/>
                <w:kern w:val="0"/>
                <w:sz w:val="14"/>
                <w:szCs w:val="12"/>
              </w:rPr>
            </w:pPr>
          </w:p>
        </w:tc>
        <w:tc>
          <w:tcPr>
            <w:tcW w:w="1843" w:type="dxa"/>
            <w:noWrap/>
            <w:vAlign w:val="center"/>
            <w:hideMark/>
          </w:tcPr>
          <w:p w14:paraId="3CFD0965" w14:textId="77777777" w:rsidR="008A3EDE" w:rsidRPr="00263B73" w:rsidRDefault="008A3EDE" w:rsidP="00831B7C">
            <w:pPr>
              <w:widowControl/>
              <w:spacing w:line="180" w:lineRule="exact"/>
              <w:rPr>
                <w:rFonts w:ascii="ＭＳ ゴシック" w:eastAsia="ＭＳ ゴシック" w:hAnsi="ＭＳ ゴシック" w:cs="ＭＳ Ｐゴシック"/>
                <w:kern w:val="0"/>
                <w:sz w:val="14"/>
                <w:szCs w:val="12"/>
              </w:rPr>
            </w:pPr>
            <w:r w:rsidRPr="00263B73">
              <w:rPr>
                <w:rFonts w:ascii="ＭＳ ゴシック" w:eastAsia="ＭＳ ゴシック" w:hAnsi="ＭＳ ゴシック" w:cs="ＭＳ Ｐゴシック" w:hint="eastAsia"/>
                <w:kern w:val="0"/>
                <w:sz w:val="14"/>
                <w:szCs w:val="12"/>
              </w:rPr>
              <w:t>動物愛護畜産課</w:t>
            </w:r>
          </w:p>
        </w:tc>
      </w:tr>
      <w:tr w:rsidR="008A3EDE" w:rsidRPr="00263B73" w14:paraId="02035757" w14:textId="77777777" w:rsidTr="00831B7C">
        <w:trPr>
          <w:trHeight w:val="20"/>
        </w:trPr>
        <w:tc>
          <w:tcPr>
            <w:tcW w:w="1501" w:type="dxa"/>
            <w:vAlign w:val="center"/>
            <w:hideMark/>
          </w:tcPr>
          <w:p w14:paraId="045E1795" w14:textId="77777777" w:rsidR="008A3EDE" w:rsidRPr="00263B73" w:rsidRDefault="008A3EDE" w:rsidP="00831B7C">
            <w:pPr>
              <w:widowControl/>
              <w:spacing w:line="180" w:lineRule="exact"/>
              <w:jc w:val="left"/>
              <w:rPr>
                <w:rFonts w:ascii="ＭＳ ゴシック" w:eastAsia="ＭＳ ゴシック" w:hAnsi="ＭＳ ゴシック" w:cs="ＭＳ Ｐゴシック"/>
                <w:kern w:val="0"/>
                <w:sz w:val="14"/>
                <w:szCs w:val="12"/>
              </w:rPr>
            </w:pPr>
            <w:r w:rsidRPr="00263B73">
              <w:rPr>
                <w:rFonts w:ascii="ＭＳ ゴシック" w:eastAsia="ＭＳ ゴシック" w:hAnsi="ＭＳ ゴシック" w:cs="ＭＳ Ｐゴシック" w:hint="eastAsia"/>
                <w:kern w:val="0"/>
                <w:sz w:val="14"/>
                <w:szCs w:val="12"/>
              </w:rPr>
              <w:t>野生鳥獣（クマ等）による被害</w:t>
            </w:r>
          </w:p>
        </w:tc>
        <w:tc>
          <w:tcPr>
            <w:tcW w:w="5631" w:type="dxa"/>
            <w:gridSpan w:val="2"/>
            <w:noWrap/>
            <w:vAlign w:val="center"/>
            <w:hideMark/>
          </w:tcPr>
          <w:p w14:paraId="28BB6B00" w14:textId="77777777" w:rsidR="008A3EDE" w:rsidRPr="00263B73" w:rsidRDefault="008A3EDE" w:rsidP="00831B7C">
            <w:pPr>
              <w:widowControl/>
              <w:spacing w:line="180" w:lineRule="exact"/>
              <w:jc w:val="left"/>
              <w:rPr>
                <w:rFonts w:ascii="ＭＳ ゴシック" w:eastAsia="ＭＳ ゴシック" w:hAnsi="ＭＳ ゴシック" w:cs="ＭＳ Ｐゴシック"/>
                <w:kern w:val="0"/>
                <w:sz w:val="14"/>
                <w:szCs w:val="12"/>
              </w:rPr>
            </w:pPr>
            <w:r w:rsidRPr="00263B73">
              <w:rPr>
                <w:rFonts w:ascii="ＭＳ ゴシック" w:eastAsia="ＭＳ ゴシック" w:hAnsi="ＭＳ ゴシック" w:cs="ＭＳ Ｐゴシック" w:hint="eastAsia"/>
                <w:kern w:val="0"/>
                <w:sz w:val="14"/>
                <w:szCs w:val="12"/>
              </w:rPr>
              <w:t>大型野生獣出没等対応マニュアル</w:t>
            </w:r>
          </w:p>
        </w:tc>
        <w:tc>
          <w:tcPr>
            <w:tcW w:w="850" w:type="dxa"/>
            <w:vMerge/>
            <w:noWrap/>
            <w:vAlign w:val="center"/>
            <w:hideMark/>
          </w:tcPr>
          <w:p w14:paraId="3904977F" w14:textId="77777777" w:rsidR="008A3EDE" w:rsidRPr="00263B73" w:rsidRDefault="008A3EDE" w:rsidP="00831B7C">
            <w:pPr>
              <w:spacing w:line="180" w:lineRule="exact"/>
              <w:jc w:val="left"/>
              <w:rPr>
                <w:rFonts w:ascii="ＭＳ ゴシック" w:eastAsia="ＭＳ ゴシック" w:hAnsi="ＭＳ ゴシック" w:cs="ＭＳ Ｐゴシック"/>
                <w:kern w:val="0"/>
                <w:sz w:val="14"/>
                <w:szCs w:val="12"/>
              </w:rPr>
            </w:pPr>
          </w:p>
        </w:tc>
        <w:tc>
          <w:tcPr>
            <w:tcW w:w="1843" w:type="dxa"/>
            <w:noWrap/>
            <w:vAlign w:val="center"/>
            <w:hideMark/>
          </w:tcPr>
          <w:p w14:paraId="0034BB55" w14:textId="77777777" w:rsidR="008A3EDE" w:rsidRPr="00263B73" w:rsidRDefault="008A3EDE" w:rsidP="00831B7C">
            <w:pPr>
              <w:widowControl/>
              <w:spacing w:line="180" w:lineRule="exact"/>
              <w:rPr>
                <w:rFonts w:ascii="ＭＳ ゴシック" w:eastAsia="ＭＳ ゴシック" w:hAnsi="ＭＳ ゴシック" w:cs="ＭＳ Ｐゴシック"/>
                <w:kern w:val="0"/>
                <w:sz w:val="14"/>
                <w:szCs w:val="12"/>
              </w:rPr>
            </w:pPr>
            <w:r w:rsidRPr="00263B73">
              <w:rPr>
                <w:rFonts w:ascii="ＭＳ ゴシック" w:eastAsia="ＭＳ ゴシック" w:hAnsi="ＭＳ ゴシック" w:cs="ＭＳ Ｐゴシック" w:hint="eastAsia"/>
                <w:kern w:val="0"/>
                <w:sz w:val="14"/>
                <w:szCs w:val="12"/>
              </w:rPr>
              <w:t>動物愛護畜産課</w:t>
            </w:r>
          </w:p>
        </w:tc>
      </w:tr>
      <w:tr w:rsidR="008A3EDE" w:rsidRPr="00263B73" w14:paraId="1DA55207" w14:textId="77777777" w:rsidTr="00831B7C">
        <w:trPr>
          <w:trHeight w:val="20"/>
        </w:trPr>
        <w:tc>
          <w:tcPr>
            <w:tcW w:w="1501" w:type="dxa"/>
            <w:vAlign w:val="center"/>
            <w:hideMark/>
          </w:tcPr>
          <w:p w14:paraId="553A6592" w14:textId="77777777" w:rsidR="008A3EDE" w:rsidRPr="00263B73" w:rsidRDefault="008A3EDE" w:rsidP="00831B7C">
            <w:pPr>
              <w:widowControl/>
              <w:spacing w:line="180" w:lineRule="exact"/>
              <w:jc w:val="left"/>
              <w:rPr>
                <w:rFonts w:ascii="ＭＳ ゴシック" w:eastAsia="ＭＳ ゴシック" w:hAnsi="ＭＳ ゴシック" w:cs="ＭＳ Ｐゴシック"/>
                <w:kern w:val="0"/>
                <w:sz w:val="14"/>
                <w:szCs w:val="12"/>
              </w:rPr>
            </w:pPr>
            <w:r w:rsidRPr="00263B73">
              <w:rPr>
                <w:rFonts w:ascii="ＭＳ ゴシック" w:eastAsia="ＭＳ ゴシック" w:hAnsi="ＭＳ ゴシック" w:cs="ＭＳ Ｐゴシック" w:hint="eastAsia"/>
                <w:kern w:val="0"/>
                <w:sz w:val="14"/>
                <w:szCs w:val="12"/>
              </w:rPr>
              <w:t>危険動物による事故</w:t>
            </w:r>
          </w:p>
        </w:tc>
        <w:tc>
          <w:tcPr>
            <w:tcW w:w="5631" w:type="dxa"/>
            <w:gridSpan w:val="2"/>
            <w:noWrap/>
            <w:vAlign w:val="center"/>
            <w:hideMark/>
          </w:tcPr>
          <w:p w14:paraId="3C576666" w14:textId="77777777" w:rsidR="008A3EDE" w:rsidRPr="00263B73" w:rsidRDefault="008A3EDE" w:rsidP="00831B7C">
            <w:pPr>
              <w:widowControl/>
              <w:spacing w:line="180" w:lineRule="exact"/>
              <w:jc w:val="left"/>
              <w:rPr>
                <w:rFonts w:ascii="ＭＳ ゴシック" w:eastAsia="ＭＳ ゴシック" w:hAnsi="ＭＳ ゴシック" w:cs="ＭＳ Ｐゴシック"/>
                <w:kern w:val="0"/>
                <w:sz w:val="14"/>
                <w:szCs w:val="12"/>
              </w:rPr>
            </w:pPr>
            <w:r w:rsidRPr="00263B73">
              <w:rPr>
                <w:rFonts w:ascii="ＭＳ ゴシック" w:eastAsia="ＭＳ ゴシック" w:hAnsi="ＭＳ ゴシック" w:cs="ＭＳ Ｐゴシック" w:hint="eastAsia"/>
                <w:kern w:val="0"/>
                <w:sz w:val="14"/>
                <w:szCs w:val="12"/>
              </w:rPr>
              <w:t>危険な動物等事故発生時の対応マニュアル（第10版）</w:t>
            </w:r>
          </w:p>
        </w:tc>
        <w:tc>
          <w:tcPr>
            <w:tcW w:w="850" w:type="dxa"/>
            <w:vMerge/>
            <w:noWrap/>
            <w:vAlign w:val="center"/>
            <w:hideMark/>
          </w:tcPr>
          <w:p w14:paraId="00001ED7" w14:textId="77777777" w:rsidR="008A3EDE" w:rsidRPr="00263B73" w:rsidRDefault="008A3EDE" w:rsidP="00831B7C">
            <w:pPr>
              <w:spacing w:line="180" w:lineRule="exact"/>
              <w:jc w:val="left"/>
              <w:rPr>
                <w:rFonts w:ascii="ＭＳ ゴシック" w:eastAsia="ＭＳ ゴシック" w:hAnsi="ＭＳ ゴシック" w:cs="ＭＳ Ｐゴシック"/>
                <w:kern w:val="0"/>
                <w:sz w:val="14"/>
                <w:szCs w:val="12"/>
              </w:rPr>
            </w:pPr>
          </w:p>
        </w:tc>
        <w:tc>
          <w:tcPr>
            <w:tcW w:w="1843" w:type="dxa"/>
            <w:noWrap/>
            <w:vAlign w:val="center"/>
            <w:hideMark/>
          </w:tcPr>
          <w:p w14:paraId="1FABD208" w14:textId="77777777" w:rsidR="008A3EDE" w:rsidRPr="00263B73" w:rsidRDefault="008A3EDE" w:rsidP="00831B7C">
            <w:pPr>
              <w:widowControl/>
              <w:spacing w:line="180" w:lineRule="exact"/>
              <w:rPr>
                <w:rFonts w:ascii="ＭＳ ゴシック" w:eastAsia="ＭＳ ゴシック" w:hAnsi="ＭＳ ゴシック" w:cs="ＭＳ Ｐゴシック"/>
                <w:kern w:val="0"/>
                <w:sz w:val="14"/>
                <w:szCs w:val="12"/>
              </w:rPr>
            </w:pPr>
            <w:r w:rsidRPr="00263B73">
              <w:rPr>
                <w:rFonts w:ascii="ＭＳ ゴシック" w:eastAsia="ＭＳ ゴシック" w:hAnsi="ＭＳ ゴシック" w:cs="ＭＳ Ｐゴシック" w:hint="eastAsia"/>
                <w:kern w:val="0"/>
                <w:sz w:val="14"/>
                <w:szCs w:val="12"/>
              </w:rPr>
              <w:t>動物愛護畜産課</w:t>
            </w:r>
          </w:p>
        </w:tc>
      </w:tr>
      <w:tr w:rsidR="008A3EDE" w:rsidRPr="00263B73" w14:paraId="2266BC91" w14:textId="77777777" w:rsidTr="00831B7C">
        <w:trPr>
          <w:trHeight w:val="20"/>
        </w:trPr>
        <w:tc>
          <w:tcPr>
            <w:tcW w:w="1501" w:type="dxa"/>
            <w:vAlign w:val="center"/>
            <w:hideMark/>
          </w:tcPr>
          <w:p w14:paraId="6A48A4FE" w14:textId="77777777" w:rsidR="008A3EDE" w:rsidRPr="00263B73" w:rsidRDefault="008A3EDE" w:rsidP="00831B7C">
            <w:pPr>
              <w:widowControl/>
              <w:spacing w:line="180" w:lineRule="exact"/>
              <w:jc w:val="left"/>
              <w:rPr>
                <w:rFonts w:ascii="ＭＳ ゴシック" w:eastAsia="ＭＳ ゴシック" w:hAnsi="ＭＳ ゴシック" w:cs="ＭＳ Ｐゴシック"/>
                <w:kern w:val="0"/>
                <w:sz w:val="14"/>
                <w:szCs w:val="12"/>
              </w:rPr>
            </w:pPr>
            <w:r w:rsidRPr="00263B73">
              <w:rPr>
                <w:rFonts w:ascii="ＭＳ ゴシック" w:eastAsia="ＭＳ ゴシック" w:hAnsi="ＭＳ ゴシック" w:cs="ＭＳ Ｐゴシック" w:hint="eastAsia"/>
                <w:kern w:val="0"/>
                <w:sz w:val="14"/>
                <w:szCs w:val="12"/>
              </w:rPr>
              <w:t>高病原性鳥インフルエンザの発生</w:t>
            </w:r>
          </w:p>
        </w:tc>
        <w:tc>
          <w:tcPr>
            <w:tcW w:w="5631" w:type="dxa"/>
            <w:gridSpan w:val="2"/>
            <w:vAlign w:val="center"/>
            <w:hideMark/>
          </w:tcPr>
          <w:p w14:paraId="7FEE84ED" w14:textId="77777777" w:rsidR="008A3EDE" w:rsidRPr="00263B73" w:rsidRDefault="008A3EDE" w:rsidP="00831B7C">
            <w:pPr>
              <w:widowControl/>
              <w:spacing w:line="180" w:lineRule="exact"/>
              <w:jc w:val="left"/>
              <w:rPr>
                <w:rFonts w:ascii="ＭＳ ゴシック" w:eastAsia="ＭＳ ゴシック" w:hAnsi="ＭＳ ゴシック" w:cs="ＭＳ Ｐゴシック"/>
                <w:kern w:val="0"/>
                <w:sz w:val="14"/>
                <w:szCs w:val="12"/>
              </w:rPr>
            </w:pPr>
            <w:r w:rsidRPr="00263B73">
              <w:rPr>
                <w:rFonts w:ascii="ＭＳ ゴシック" w:eastAsia="ＭＳ ゴシック" w:hAnsi="ＭＳ ゴシック" w:cs="ＭＳ Ｐゴシック" w:hint="eastAsia"/>
                <w:kern w:val="0"/>
                <w:sz w:val="14"/>
                <w:szCs w:val="12"/>
              </w:rPr>
              <w:t>大阪府高病原性鳥インフルエンザ及び</w:t>
            </w:r>
            <w:r w:rsidRPr="00263B73">
              <w:rPr>
                <w:rFonts w:ascii="ＭＳ ゴシック" w:eastAsia="ＭＳ ゴシック" w:hAnsi="ＭＳ ゴシック" w:cs="ＭＳ Ｐゴシック" w:hint="eastAsia"/>
                <w:kern w:val="0"/>
                <w:sz w:val="14"/>
                <w:szCs w:val="12"/>
              </w:rPr>
              <w:br/>
              <w:t>低病原性インフルエンザ防疫対策要領（第６版）</w:t>
            </w:r>
          </w:p>
        </w:tc>
        <w:tc>
          <w:tcPr>
            <w:tcW w:w="850" w:type="dxa"/>
            <w:vMerge/>
            <w:noWrap/>
            <w:vAlign w:val="center"/>
            <w:hideMark/>
          </w:tcPr>
          <w:p w14:paraId="7C6E846F" w14:textId="77777777" w:rsidR="008A3EDE" w:rsidRPr="00263B73" w:rsidRDefault="008A3EDE" w:rsidP="00831B7C">
            <w:pPr>
              <w:spacing w:line="180" w:lineRule="exact"/>
              <w:jc w:val="left"/>
              <w:rPr>
                <w:rFonts w:ascii="ＭＳ ゴシック" w:eastAsia="ＭＳ ゴシック" w:hAnsi="ＭＳ ゴシック" w:cs="ＭＳ Ｐゴシック"/>
                <w:kern w:val="0"/>
                <w:sz w:val="14"/>
                <w:szCs w:val="12"/>
              </w:rPr>
            </w:pPr>
          </w:p>
        </w:tc>
        <w:tc>
          <w:tcPr>
            <w:tcW w:w="1843" w:type="dxa"/>
            <w:noWrap/>
            <w:vAlign w:val="center"/>
            <w:hideMark/>
          </w:tcPr>
          <w:p w14:paraId="36DB9EC5" w14:textId="77777777" w:rsidR="008A3EDE" w:rsidRPr="00263B73" w:rsidRDefault="008A3EDE" w:rsidP="00831B7C">
            <w:pPr>
              <w:widowControl/>
              <w:spacing w:line="180" w:lineRule="exact"/>
              <w:rPr>
                <w:rFonts w:ascii="ＭＳ ゴシック" w:eastAsia="ＭＳ ゴシック" w:hAnsi="ＭＳ ゴシック" w:cs="ＭＳ Ｐゴシック"/>
                <w:kern w:val="0"/>
                <w:sz w:val="14"/>
                <w:szCs w:val="12"/>
              </w:rPr>
            </w:pPr>
            <w:r w:rsidRPr="00263B73">
              <w:rPr>
                <w:rFonts w:ascii="ＭＳ ゴシック" w:eastAsia="ＭＳ ゴシック" w:hAnsi="ＭＳ ゴシック" w:cs="ＭＳ Ｐゴシック" w:hint="eastAsia"/>
                <w:kern w:val="0"/>
                <w:sz w:val="14"/>
                <w:szCs w:val="12"/>
              </w:rPr>
              <w:t>動物愛護畜産課</w:t>
            </w:r>
          </w:p>
        </w:tc>
      </w:tr>
      <w:tr w:rsidR="008A3EDE" w:rsidRPr="00263B73" w14:paraId="65063F53" w14:textId="77777777" w:rsidTr="00831B7C">
        <w:trPr>
          <w:trHeight w:val="20"/>
        </w:trPr>
        <w:tc>
          <w:tcPr>
            <w:tcW w:w="1501" w:type="dxa"/>
            <w:vAlign w:val="center"/>
          </w:tcPr>
          <w:p w14:paraId="5A5CC7B6" w14:textId="77777777" w:rsidR="008A3EDE" w:rsidRPr="00263B73" w:rsidRDefault="008A3EDE" w:rsidP="00831B7C">
            <w:pPr>
              <w:widowControl/>
              <w:spacing w:line="180" w:lineRule="exact"/>
              <w:jc w:val="left"/>
              <w:rPr>
                <w:rFonts w:ascii="ＭＳ ゴシック" w:eastAsia="ＭＳ ゴシック" w:hAnsi="ＭＳ ゴシック" w:cs="ＭＳ Ｐゴシック"/>
                <w:kern w:val="0"/>
                <w:sz w:val="14"/>
                <w:szCs w:val="12"/>
              </w:rPr>
            </w:pPr>
            <w:r w:rsidRPr="00263B73">
              <w:rPr>
                <w:rFonts w:ascii="ＭＳ ゴシック" w:eastAsia="ＭＳ ゴシック" w:hAnsi="ＭＳ ゴシック" w:cs="ＭＳ Ｐゴシック" w:hint="eastAsia"/>
                <w:kern w:val="0"/>
                <w:sz w:val="14"/>
                <w:szCs w:val="12"/>
              </w:rPr>
              <w:t>豚熱の発生</w:t>
            </w:r>
          </w:p>
        </w:tc>
        <w:tc>
          <w:tcPr>
            <w:tcW w:w="5631" w:type="dxa"/>
            <w:gridSpan w:val="2"/>
            <w:vAlign w:val="center"/>
          </w:tcPr>
          <w:p w14:paraId="3466846F" w14:textId="77777777" w:rsidR="008A3EDE" w:rsidRPr="00263B73" w:rsidRDefault="008A3EDE" w:rsidP="00831B7C">
            <w:pPr>
              <w:widowControl/>
              <w:spacing w:line="180" w:lineRule="exact"/>
              <w:jc w:val="left"/>
              <w:rPr>
                <w:rFonts w:ascii="ＭＳ ゴシック" w:eastAsia="ＭＳ ゴシック" w:hAnsi="ＭＳ ゴシック" w:cs="ＭＳ Ｐゴシック"/>
                <w:kern w:val="0"/>
                <w:sz w:val="14"/>
                <w:szCs w:val="12"/>
              </w:rPr>
            </w:pPr>
            <w:r w:rsidRPr="00263B73">
              <w:rPr>
                <w:rFonts w:ascii="ＭＳ ゴシック" w:eastAsia="ＭＳ ゴシック" w:hAnsi="ＭＳ ゴシック" w:cs="ＭＳ Ｐゴシック" w:hint="eastAsia"/>
                <w:kern w:val="0"/>
                <w:sz w:val="14"/>
                <w:szCs w:val="12"/>
              </w:rPr>
              <w:t>大阪府豚熱防疫対策要領</w:t>
            </w:r>
          </w:p>
        </w:tc>
        <w:tc>
          <w:tcPr>
            <w:tcW w:w="850" w:type="dxa"/>
            <w:vMerge/>
            <w:noWrap/>
            <w:vAlign w:val="center"/>
          </w:tcPr>
          <w:p w14:paraId="5BF35EB4" w14:textId="77777777" w:rsidR="008A3EDE" w:rsidRPr="00263B73" w:rsidRDefault="008A3EDE" w:rsidP="00831B7C">
            <w:pPr>
              <w:spacing w:line="180" w:lineRule="exact"/>
              <w:jc w:val="left"/>
              <w:rPr>
                <w:rFonts w:ascii="ＭＳ ゴシック" w:eastAsia="ＭＳ ゴシック" w:hAnsi="ＭＳ ゴシック" w:cs="ＭＳ Ｐゴシック"/>
                <w:kern w:val="0"/>
                <w:sz w:val="14"/>
                <w:szCs w:val="12"/>
              </w:rPr>
            </w:pPr>
          </w:p>
        </w:tc>
        <w:tc>
          <w:tcPr>
            <w:tcW w:w="1843" w:type="dxa"/>
            <w:noWrap/>
            <w:vAlign w:val="center"/>
          </w:tcPr>
          <w:p w14:paraId="22850B11" w14:textId="77777777" w:rsidR="008A3EDE" w:rsidRPr="00263B73" w:rsidRDefault="008A3EDE" w:rsidP="00831B7C">
            <w:pPr>
              <w:widowControl/>
              <w:spacing w:line="180" w:lineRule="exact"/>
              <w:rPr>
                <w:rFonts w:ascii="ＭＳ ゴシック" w:eastAsia="ＭＳ ゴシック" w:hAnsi="ＭＳ ゴシック" w:cs="ＭＳ Ｐゴシック"/>
                <w:kern w:val="0"/>
                <w:sz w:val="14"/>
                <w:szCs w:val="12"/>
              </w:rPr>
            </w:pPr>
            <w:r w:rsidRPr="00263B73">
              <w:rPr>
                <w:rFonts w:ascii="ＭＳ ゴシック" w:eastAsia="ＭＳ ゴシック" w:hAnsi="ＭＳ ゴシック" w:cs="ＭＳ Ｐゴシック" w:hint="eastAsia"/>
                <w:kern w:val="0"/>
                <w:sz w:val="14"/>
                <w:szCs w:val="12"/>
              </w:rPr>
              <w:t>動物愛護畜産課</w:t>
            </w:r>
          </w:p>
        </w:tc>
      </w:tr>
      <w:tr w:rsidR="008A3EDE" w:rsidRPr="00263B73" w14:paraId="0240F3C6" w14:textId="77777777" w:rsidTr="00831B7C">
        <w:trPr>
          <w:trHeight w:val="20"/>
        </w:trPr>
        <w:tc>
          <w:tcPr>
            <w:tcW w:w="1501" w:type="dxa"/>
            <w:vAlign w:val="center"/>
            <w:hideMark/>
          </w:tcPr>
          <w:p w14:paraId="3BB83D2D" w14:textId="77777777" w:rsidR="008A3EDE" w:rsidRPr="00263B73" w:rsidRDefault="008A3EDE" w:rsidP="00831B7C">
            <w:pPr>
              <w:widowControl/>
              <w:spacing w:line="180" w:lineRule="exact"/>
              <w:jc w:val="left"/>
              <w:rPr>
                <w:rFonts w:ascii="ＭＳ ゴシック" w:eastAsia="ＭＳ ゴシック" w:hAnsi="ＭＳ ゴシック" w:cs="ＭＳ Ｐゴシック"/>
                <w:kern w:val="0"/>
                <w:sz w:val="14"/>
                <w:szCs w:val="12"/>
              </w:rPr>
            </w:pPr>
            <w:r w:rsidRPr="00263B73">
              <w:rPr>
                <w:rFonts w:ascii="ＭＳ ゴシック" w:eastAsia="ＭＳ ゴシック" w:hAnsi="ＭＳ ゴシック" w:cs="ＭＳ Ｐゴシック" w:hint="eastAsia"/>
                <w:kern w:val="0"/>
                <w:sz w:val="14"/>
                <w:szCs w:val="12"/>
              </w:rPr>
              <w:t>災害時等における愛玩動物の救護</w:t>
            </w:r>
          </w:p>
        </w:tc>
        <w:tc>
          <w:tcPr>
            <w:tcW w:w="5631" w:type="dxa"/>
            <w:gridSpan w:val="2"/>
            <w:vAlign w:val="center"/>
            <w:hideMark/>
          </w:tcPr>
          <w:p w14:paraId="260FC203" w14:textId="77777777" w:rsidR="008A3EDE" w:rsidRPr="00263B73" w:rsidRDefault="008A3EDE" w:rsidP="00831B7C">
            <w:pPr>
              <w:widowControl/>
              <w:spacing w:line="180" w:lineRule="exact"/>
              <w:jc w:val="left"/>
              <w:rPr>
                <w:rFonts w:ascii="ＭＳ ゴシック" w:eastAsia="ＭＳ ゴシック" w:hAnsi="ＭＳ ゴシック" w:cs="ＭＳ Ｐゴシック"/>
                <w:kern w:val="0"/>
                <w:sz w:val="14"/>
                <w:szCs w:val="12"/>
              </w:rPr>
            </w:pPr>
            <w:r w:rsidRPr="00263B73">
              <w:rPr>
                <w:rFonts w:ascii="ＭＳ ゴシック" w:eastAsia="ＭＳ ゴシック" w:hAnsi="ＭＳ ゴシック" w:cs="ＭＳ Ｐゴシック" w:hint="eastAsia"/>
                <w:kern w:val="0"/>
                <w:sz w:val="14"/>
                <w:szCs w:val="12"/>
              </w:rPr>
              <w:t>大阪府災害時等動物救護活動ガイドライン</w:t>
            </w:r>
          </w:p>
        </w:tc>
        <w:tc>
          <w:tcPr>
            <w:tcW w:w="850" w:type="dxa"/>
            <w:vMerge/>
            <w:noWrap/>
            <w:vAlign w:val="center"/>
            <w:hideMark/>
          </w:tcPr>
          <w:p w14:paraId="4592BEB0" w14:textId="77777777" w:rsidR="008A3EDE" w:rsidRPr="00263B73" w:rsidRDefault="008A3EDE" w:rsidP="00831B7C">
            <w:pPr>
              <w:spacing w:line="180" w:lineRule="exact"/>
              <w:jc w:val="left"/>
              <w:rPr>
                <w:rFonts w:ascii="ＭＳ ゴシック" w:eastAsia="ＭＳ ゴシック" w:hAnsi="ＭＳ ゴシック" w:cs="ＭＳ Ｐゴシック"/>
                <w:kern w:val="0"/>
                <w:sz w:val="14"/>
                <w:szCs w:val="12"/>
              </w:rPr>
            </w:pPr>
          </w:p>
        </w:tc>
        <w:tc>
          <w:tcPr>
            <w:tcW w:w="1843" w:type="dxa"/>
            <w:noWrap/>
            <w:vAlign w:val="center"/>
            <w:hideMark/>
          </w:tcPr>
          <w:p w14:paraId="29AA385C" w14:textId="77777777" w:rsidR="008A3EDE" w:rsidRPr="00263B73" w:rsidRDefault="008A3EDE" w:rsidP="00831B7C">
            <w:pPr>
              <w:widowControl/>
              <w:spacing w:line="180" w:lineRule="exact"/>
              <w:rPr>
                <w:rFonts w:ascii="ＭＳ ゴシック" w:eastAsia="ＭＳ ゴシック" w:hAnsi="ＭＳ ゴシック" w:cs="ＭＳ Ｐゴシック"/>
                <w:kern w:val="0"/>
                <w:sz w:val="14"/>
                <w:szCs w:val="12"/>
              </w:rPr>
            </w:pPr>
            <w:r w:rsidRPr="00263B73">
              <w:rPr>
                <w:rFonts w:ascii="ＭＳ ゴシック" w:eastAsia="ＭＳ ゴシック" w:hAnsi="ＭＳ ゴシック" w:cs="ＭＳ Ｐゴシック" w:hint="eastAsia"/>
                <w:kern w:val="0"/>
                <w:sz w:val="14"/>
                <w:szCs w:val="12"/>
              </w:rPr>
              <w:t>動物愛護畜産課</w:t>
            </w:r>
          </w:p>
        </w:tc>
      </w:tr>
      <w:tr w:rsidR="008A3EDE" w:rsidRPr="00263B73" w14:paraId="6D129FD2" w14:textId="77777777" w:rsidTr="00831B7C">
        <w:trPr>
          <w:trHeight w:val="20"/>
        </w:trPr>
        <w:tc>
          <w:tcPr>
            <w:tcW w:w="1501" w:type="dxa"/>
            <w:vAlign w:val="center"/>
          </w:tcPr>
          <w:p w14:paraId="10D497F3" w14:textId="77777777" w:rsidR="008A3EDE" w:rsidRPr="00263B73" w:rsidRDefault="008A3EDE" w:rsidP="00831B7C">
            <w:pPr>
              <w:widowControl/>
              <w:spacing w:line="180" w:lineRule="exact"/>
              <w:jc w:val="left"/>
              <w:rPr>
                <w:rFonts w:ascii="ＭＳ ゴシック" w:eastAsia="ＭＳ ゴシック" w:hAnsi="ＭＳ ゴシック" w:cs="ＭＳ Ｐゴシック"/>
                <w:kern w:val="0"/>
                <w:sz w:val="14"/>
                <w:szCs w:val="12"/>
              </w:rPr>
            </w:pPr>
            <w:r w:rsidRPr="00263B73">
              <w:rPr>
                <w:rFonts w:ascii="ＭＳ ゴシック" w:eastAsia="ＭＳ ゴシック" w:hAnsi="ＭＳ ゴシック" w:cs="ＭＳ Ｐゴシック" w:hint="eastAsia"/>
                <w:kern w:val="0"/>
                <w:sz w:val="14"/>
                <w:szCs w:val="12"/>
              </w:rPr>
              <w:t>狂犬病の発生</w:t>
            </w:r>
          </w:p>
        </w:tc>
        <w:tc>
          <w:tcPr>
            <w:tcW w:w="5631" w:type="dxa"/>
            <w:gridSpan w:val="2"/>
            <w:vAlign w:val="center"/>
          </w:tcPr>
          <w:p w14:paraId="46D5EE6A" w14:textId="77777777" w:rsidR="008A3EDE" w:rsidRPr="00263B73" w:rsidRDefault="008A3EDE" w:rsidP="00831B7C">
            <w:pPr>
              <w:widowControl/>
              <w:spacing w:line="180" w:lineRule="exact"/>
              <w:jc w:val="left"/>
              <w:rPr>
                <w:rFonts w:ascii="ＭＳ ゴシック" w:eastAsia="ＭＳ ゴシック" w:hAnsi="ＭＳ ゴシック" w:cs="ＭＳ Ｐゴシック"/>
                <w:kern w:val="0"/>
                <w:sz w:val="14"/>
                <w:szCs w:val="12"/>
              </w:rPr>
            </w:pPr>
            <w:r w:rsidRPr="00263B73">
              <w:rPr>
                <w:rFonts w:ascii="ＭＳ ゴシック" w:eastAsia="ＭＳ ゴシック" w:hAnsi="ＭＳ ゴシック" w:cs="ＭＳ Ｐゴシック" w:hint="eastAsia"/>
                <w:kern w:val="0"/>
                <w:sz w:val="14"/>
                <w:szCs w:val="12"/>
              </w:rPr>
              <w:t>大阪府狂犬病発生時対応マニュアル</w:t>
            </w:r>
          </w:p>
        </w:tc>
        <w:tc>
          <w:tcPr>
            <w:tcW w:w="850" w:type="dxa"/>
            <w:vMerge/>
            <w:noWrap/>
            <w:vAlign w:val="center"/>
          </w:tcPr>
          <w:p w14:paraId="18283EA3" w14:textId="77777777" w:rsidR="008A3EDE" w:rsidRPr="00263B73" w:rsidRDefault="008A3EDE" w:rsidP="00831B7C">
            <w:pPr>
              <w:spacing w:line="180" w:lineRule="exact"/>
              <w:jc w:val="left"/>
              <w:rPr>
                <w:rFonts w:ascii="ＭＳ ゴシック" w:eastAsia="ＭＳ ゴシック" w:hAnsi="ＭＳ ゴシック" w:cs="ＭＳ Ｐゴシック"/>
                <w:kern w:val="0"/>
                <w:sz w:val="14"/>
                <w:szCs w:val="12"/>
              </w:rPr>
            </w:pPr>
          </w:p>
        </w:tc>
        <w:tc>
          <w:tcPr>
            <w:tcW w:w="1843" w:type="dxa"/>
            <w:noWrap/>
            <w:vAlign w:val="center"/>
          </w:tcPr>
          <w:p w14:paraId="5AF7BCCB" w14:textId="77777777" w:rsidR="008A3EDE" w:rsidRPr="00263B73" w:rsidRDefault="008A3EDE" w:rsidP="00831B7C">
            <w:pPr>
              <w:widowControl/>
              <w:spacing w:line="180" w:lineRule="exact"/>
              <w:rPr>
                <w:rFonts w:ascii="ＭＳ ゴシック" w:eastAsia="ＭＳ ゴシック" w:hAnsi="ＭＳ ゴシック" w:cs="ＭＳ Ｐゴシック"/>
                <w:kern w:val="0"/>
                <w:sz w:val="14"/>
                <w:szCs w:val="12"/>
              </w:rPr>
            </w:pPr>
            <w:r w:rsidRPr="00263B73">
              <w:rPr>
                <w:rFonts w:ascii="ＭＳ ゴシック" w:eastAsia="ＭＳ ゴシック" w:hAnsi="ＭＳ ゴシック" w:cs="ＭＳ Ｐゴシック" w:hint="eastAsia"/>
                <w:kern w:val="0"/>
                <w:sz w:val="14"/>
                <w:szCs w:val="12"/>
              </w:rPr>
              <w:t>動物愛護畜産課</w:t>
            </w:r>
          </w:p>
        </w:tc>
      </w:tr>
      <w:tr w:rsidR="008A3EDE" w:rsidRPr="00263B73" w14:paraId="7093CD2F" w14:textId="77777777" w:rsidTr="00831B7C">
        <w:trPr>
          <w:trHeight w:val="20"/>
        </w:trPr>
        <w:tc>
          <w:tcPr>
            <w:tcW w:w="1501" w:type="dxa"/>
            <w:vAlign w:val="center"/>
          </w:tcPr>
          <w:p w14:paraId="7E8A2097" w14:textId="77777777" w:rsidR="008A3EDE" w:rsidRPr="00263B73" w:rsidRDefault="008A3EDE" w:rsidP="00831B7C">
            <w:pPr>
              <w:widowControl/>
              <w:spacing w:line="180" w:lineRule="exact"/>
              <w:jc w:val="left"/>
              <w:rPr>
                <w:rFonts w:ascii="ＭＳ ゴシック" w:eastAsia="ＭＳ ゴシック" w:hAnsi="ＭＳ ゴシック" w:cs="ＭＳ Ｐゴシック"/>
                <w:kern w:val="0"/>
                <w:sz w:val="14"/>
                <w:szCs w:val="12"/>
              </w:rPr>
            </w:pPr>
            <w:r w:rsidRPr="00263B73">
              <w:rPr>
                <w:rFonts w:ascii="ＭＳ ゴシック" w:eastAsia="ＭＳ ゴシック" w:hAnsi="ＭＳ ゴシック" w:cs="ＭＳ Ｐゴシック" w:hint="eastAsia"/>
                <w:kern w:val="0"/>
                <w:sz w:val="14"/>
                <w:szCs w:val="12"/>
              </w:rPr>
              <w:t>災害時の食料（精米）の確保</w:t>
            </w:r>
          </w:p>
        </w:tc>
        <w:tc>
          <w:tcPr>
            <w:tcW w:w="5631" w:type="dxa"/>
            <w:gridSpan w:val="2"/>
            <w:vAlign w:val="center"/>
          </w:tcPr>
          <w:p w14:paraId="141130E0" w14:textId="77777777" w:rsidR="008A3EDE" w:rsidRPr="00263B73" w:rsidRDefault="008A3EDE" w:rsidP="00831B7C">
            <w:pPr>
              <w:widowControl/>
              <w:spacing w:line="180" w:lineRule="exact"/>
              <w:jc w:val="left"/>
              <w:rPr>
                <w:rFonts w:ascii="ＭＳ ゴシック" w:eastAsia="ＭＳ ゴシック" w:hAnsi="ＭＳ ゴシック" w:cs="ＭＳ Ｐゴシック"/>
                <w:kern w:val="0"/>
                <w:sz w:val="14"/>
                <w:szCs w:val="12"/>
              </w:rPr>
            </w:pPr>
            <w:r w:rsidRPr="00263B73">
              <w:rPr>
                <w:rFonts w:ascii="ＭＳ ゴシック" w:eastAsia="ＭＳ ゴシック" w:hAnsi="ＭＳ ゴシック" w:cs="ＭＳ Ｐゴシック" w:hint="eastAsia"/>
                <w:kern w:val="0"/>
                <w:sz w:val="14"/>
                <w:szCs w:val="12"/>
              </w:rPr>
              <w:t>災害発生時の食料（精米）の確保における初動体制について</w:t>
            </w:r>
          </w:p>
        </w:tc>
        <w:tc>
          <w:tcPr>
            <w:tcW w:w="850" w:type="dxa"/>
            <w:vMerge/>
            <w:noWrap/>
            <w:vAlign w:val="center"/>
          </w:tcPr>
          <w:p w14:paraId="728CCA21" w14:textId="77777777" w:rsidR="008A3EDE" w:rsidRPr="00263B73" w:rsidRDefault="008A3EDE" w:rsidP="00831B7C">
            <w:pPr>
              <w:spacing w:line="180" w:lineRule="exact"/>
              <w:jc w:val="left"/>
              <w:rPr>
                <w:rFonts w:ascii="ＭＳ ゴシック" w:eastAsia="ＭＳ ゴシック" w:hAnsi="ＭＳ ゴシック" w:cs="ＭＳ Ｐゴシック"/>
                <w:kern w:val="0"/>
                <w:sz w:val="14"/>
                <w:szCs w:val="12"/>
              </w:rPr>
            </w:pPr>
          </w:p>
        </w:tc>
        <w:tc>
          <w:tcPr>
            <w:tcW w:w="1843" w:type="dxa"/>
            <w:noWrap/>
            <w:vAlign w:val="center"/>
          </w:tcPr>
          <w:p w14:paraId="1E333C24" w14:textId="77777777" w:rsidR="008A3EDE" w:rsidRPr="00263B73" w:rsidRDefault="008A3EDE" w:rsidP="00831B7C">
            <w:pPr>
              <w:widowControl/>
              <w:spacing w:line="180" w:lineRule="exact"/>
              <w:rPr>
                <w:rFonts w:ascii="ＭＳ ゴシック" w:eastAsia="ＭＳ ゴシック" w:hAnsi="ＭＳ ゴシック" w:cs="ＭＳ Ｐゴシック"/>
                <w:kern w:val="0"/>
                <w:sz w:val="14"/>
                <w:szCs w:val="12"/>
              </w:rPr>
            </w:pPr>
            <w:r w:rsidRPr="00263B73">
              <w:rPr>
                <w:rFonts w:ascii="ＭＳ ゴシック" w:eastAsia="ＭＳ ゴシック" w:hAnsi="ＭＳ ゴシック" w:cs="ＭＳ Ｐゴシック" w:hint="eastAsia"/>
                <w:kern w:val="0"/>
                <w:sz w:val="14"/>
                <w:szCs w:val="12"/>
              </w:rPr>
              <w:t>流通対策室</w:t>
            </w:r>
          </w:p>
          <w:p w14:paraId="2E96F723" w14:textId="05060F15" w:rsidR="008A3EDE" w:rsidRPr="00263B73" w:rsidRDefault="00787FEE" w:rsidP="00831B7C">
            <w:pPr>
              <w:widowControl/>
              <w:spacing w:line="180" w:lineRule="exact"/>
              <w:rPr>
                <w:rFonts w:ascii="ＭＳ ゴシック" w:eastAsia="ＭＳ ゴシック" w:hAnsi="ＭＳ ゴシック" w:cs="ＭＳ Ｐゴシック"/>
                <w:kern w:val="0"/>
                <w:sz w:val="14"/>
                <w:szCs w:val="12"/>
              </w:rPr>
            </w:pPr>
            <w:r w:rsidRPr="00176F15">
              <w:rPr>
                <w:rFonts w:ascii="ＭＳ ゴシック" w:eastAsia="ＭＳ ゴシック" w:hAnsi="ＭＳ ゴシック" w:cs="ＭＳ Ｐゴシック" w:hint="eastAsia"/>
                <w:kern w:val="0"/>
                <w:sz w:val="14"/>
                <w:szCs w:val="12"/>
              </w:rPr>
              <w:t>市場・</w:t>
            </w:r>
            <w:r w:rsidR="008A3EDE" w:rsidRPr="00263B73">
              <w:rPr>
                <w:rFonts w:ascii="ＭＳ ゴシック" w:eastAsia="ＭＳ ゴシック" w:hAnsi="ＭＳ ゴシック" w:cs="ＭＳ Ｐゴシック" w:hint="eastAsia"/>
                <w:kern w:val="0"/>
                <w:sz w:val="14"/>
                <w:szCs w:val="12"/>
              </w:rPr>
              <w:t>検査指導課</w:t>
            </w:r>
          </w:p>
        </w:tc>
      </w:tr>
      <w:tr w:rsidR="008A3EDE" w:rsidRPr="00263B73" w14:paraId="65B59A82" w14:textId="77777777" w:rsidTr="00831B7C">
        <w:trPr>
          <w:trHeight w:val="20"/>
        </w:trPr>
        <w:tc>
          <w:tcPr>
            <w:tcW w:w="1501" w:type="dxa"/>
            <w:vAlign w:val="center"/>
            <w:hideMark/>
          </w:tcPr>
          <w:p w14:paraId="71336B3F" w14:textId="77777777" w:rsidR="008A3EDE" w:rsidRPr="00263B73" w:rsidRDefault="008A3EDE" w:rsidP="00831B7C">
            <w:pPr>
              <w:widowControl/>
              <w:spacing w:line="180" w:lineRule="exact"/>
              <w:jc w:val="left"/>
              <w:rPr>
                <w:rFonts w:ascii="ＭＳ ゴシック" w:eastAsia="ＭＳ ゴシック" w:hAnsi="ＭＳ ゴシック" w:cs="ＭＳ Ｐゴシック"/>
                <w:kern w:val="0"/>
                <w:sz w:val="14"/>
                <w:szCs w:val="12"/>
              </w:rPr>
            </w:pPr>
            <w:r w:rsidRPr="00263B73">
              <w:rPr>
                <w:rFonts w:ascii="ＭＳ ゴシック" w:eastAsia="ＭＳ ゴシック" w:hAnsi="ＭＳ ゴシック" w:cs="ＭＳ Ｐゴシック" w:hint="eastAsia"/>
                <w:kern w:val="0"/>
                <w:sz w:val="14"/>
                <w:szCs w:val="12"/>
              </w:rPr>
              <w:t>食品危害の発生</w:t>
            </w:r>
          </w:p>
        </w:tc>
        <w:tc>
          <w:tcPr>
            <w:tcW w:w="5631" w:type="dxa"/>
            <w:gridSpan w:val="2"/>
            <w:noWrap/>
            <w:vAlign w:val="center"/>
            <w:hideMark/>
          </w:tcPr>
          <w:p w14:paraId="5CA654BC" w14:textId="77777777" w:rsidR="008A3EDE" w:rsidRPr="00263B73" w:rsidRDefault="008A3EDE" w:rsidP="00831B7C">
            <w:pPr>
              <w:widowControl/>
              <w:spacing w:line="180" w:lineRule="exact"/>
              <w:jc w:val="left"/>
              <w:rPr>
                <w:rFonts w:ascii="ＭＳ ゴシック" w:eastAsia="ＭＳ ゴシック" w:hAnsi="ＭＳ ゴシック" w:cs="ＭＳ Ｐゴシック"/>
                <w:kern w:val="0"/>
                <w:sz w:val="14"/>
                <w:szCs w:val="12"/>
              </w:rPr>
            </w:pPr>
            <w:r w:rsidRPr="00263B73">
              <w:rPr>
                <w:rFonts w:ascii="ＭＳ ゴシック" w:eastAsia="ＭＳ ゴシック" w:hAnsi="ＭＳ ゴシック" w:cs="ＭＳ Ｐゴシック" w:hint="eastAsia"/>
                <w:kern w:val="0"/>
                <w:sz w:val="14"/>
                <w:szCs w:val="12"/>
              </w:rPr>
              <w:t>生鮮食料品の供給にかかる危機管理マニュアル</w:t>
            </w:r>
          </w:p>
        </w:tc>
        <w:tc>
          <w:tcPr>
            <w:tcW w:w="850" w:type="dxa"/>
            <w:vMerge/>
            <w:noWrap/>
            <w:vAlign w:val="center"/>
            <w:hideMark/>
          </w:tcPr>
          <w:p w14:paraId="740D8C15" w14:textId="77777777" w:rsidR="008A3EDE" w:rsidRPr="00263B73" w:rsidRDefault="008A3EDE" w:rsidP="00831B7C">
            <w:pPr>
              <w:spacing w:line="180" w:lineRule="exact"/>
              <w:jc w:val="left"/>
              <w:rPr>
                <w:rFonts w:ascii="ＭＳ ゴシック" w:eastAsia="ＭＳ ゴシック" w:hAnsi="ＭＳ ゴシック" w:cs="ＭＳ Ｐゴシック"/>
                <w:kern w:val="0"/>
                <w:sz w:val="14"/>
                <w:szCs w:val="12"/>
              </w:rPr>
            </w:pPr>
          </w:p>
        </w:tc>
        <w:tc>
          <w:tcPr>
            <w:tcW w:w="1843" w:type="dxa"/>
            <w:noWrap/>
            <w:vAlign w:val="center"/>
            <w:hideMark/>
          </w:tcPr>
          <w:p w14:paraId="46C3EF06" w14:textId="77777777" w:rsidR="008A3EDE" w:rsidRPr="00263B73" w:rsidRDefault="008A3EDE" w:rsidP="00831B7C">
            <w:pPr>
              <w:widowControl/>
              <w:spacing w:line="180" w:lineRule="exact"/>
              <w:rPr>
                <w:rFonts w:ascii="ＭＳ ゴシック" w:eastAsia="ＭＳ ゴシック" w:hAnsi="ＭＳ ゴシック" w:cs="ＭＳ Ｐゴシック"/>
                <w:kern w:val="0"/>
                <w:sz w:val="14"/>
                <w:szCs w:val="12"/>
              </w:rPr>
            </w:pPr>
            <w:r w:rsidRPr="00263B73">
              <w:rPr>
                <w:rFonts w:ascii="ＭＳ ゴシック" w:eastAsia="ＭＳ ゴシック" w:hAnsi="ＭＳ ゴシック" w:cs="ＭＳ Ｐゴシック" w:hint="eastAsia"/>
                <w:kern w:val="0"/>
                <w:sz w:val="14"/>
                <w:szCs w:val="12"/>
              </w:rPr>
              <w:t>中央卸売市場</w:t>
            </w:r>
          </w:p>
        </w:tc>
      </w:tr>
      <w:tr w:rsidR="008A3EDE" w:rsidRPr="00263B73" w14:paraId="5C375793" w14:textId="77777777" w:rsidTr="00831B7C">
        <w:trPr>
          <w:trHeight w:val="20"/>
        </w:trPr>
        <w:tc>
          <w:tcPr>
            <w:tcW w:w="1501" w:type="dxa"/>
            <w:vAlign w:val="center"/>
            <w:hideMark/>
          </w:tcPr>
          <w:p w14:paraId="02F56B8F" w14:textId="77777777" w:rsidR="008A3EDE" w:rsidRPr="00263B73" w:rsidRDefault="008A3EDE" w:rsidP="00831B7C">
            <w:pPr>
              <w:widowControl/>
              <w:spacing w:line="180" w:lineRule="exact"/>
              <w:jc w:val="left"/>
              <w:rPr>
                <w:rFonts w:ascii="ＭＳ ゴシック" w:eastAsia="ＭＳ ゴシック" w:hAnsi="ＭＳ ゴシック" w:cs="ＭＳ Ｐゴシック"/>
                <w:kern w:val="0"/>
                <w:sz w:val="14"/>
                <w:szCs w:val="12"/>
              </w:rPr>
            </w:pPr>
            <w:r w:rsidRPr="00263B73">
              <w:rPr>
                <w:rFonts w:ascii="ＭＳ ゴシック" w:eastAsia="ＭＳ ゴシック" w:hAnsi="ＭＳ ゴシック" w:cs="ＭＳ Ｐゴシック" w:hint="eastAsia"/>
                <w:kern w:val="0"/>
                <w:sz w:val="14"/>
                <w:szCs w:val="12"/>
              </w:rPr>
              <w:t>滝畑ダムが有する機能を阻害又は阻害する恐れがある場合</w:t>
            </w:r>
          </w:p>
        </w:tc>
        <w:tc>
          <w:tcPr>
            <w:tcW w:w="5631" w:type="dxa"/>
            <w:gridSpan w:val="2"/>
            <w:noWrap/>
            <w:vAlign w:val="center"/>
            <w:hideMark/>
          </w:tcPr>
          <w:p w14:paraId="1C2C09DE" w14:textId="77777777" w:rsidR="008A3EDE" w:rsidRPr="00263B73" w:rsidRDefault="008A3EDE" w:rsidP="00831B7C">
            <w:pPr>
              <w:widowControl/>
              <w:spacing w:line="180" w:lineRule="exact"/>
              <w:jc w:val="left"/>
              <w:rPr>
                <w:rFonts w:ascii="ＭＳ ゴシック" w:eastAsia="ＭＳ ゴシック" w:hAnsi="ＭＳ ゴシック" w:cs="ＭＳ Ｐゴシック"/>
                <w:kern w:val="0"/>
                <w:sz w:val="14"/>
                <w:szCs w:val="12"/>
              </w:rPr>
            </w:pPr>
            <w:r w:rsidRPr="00263B73">
              <w:rPr>
                <w:rFonts w:ascii="ＭＳ ゴシック" w:eastAsia="ＭＳ ゴシック" w:hAnsi="ＭＳ ゴシック" w:cs="ＭＳ Ｐゴシック" w:hint="eastAsia"/>
                <w:kern w:val="0"/>
                <w:sz w:val="14"/>
                <w:szCs w:val="12"/>
              </w:rPr>
              <w:t>大阪府滝畑ダム危機管理要領</w:t>
            </w:r>
          </w:p>
        </w:tc>
        <w:tc>
          <w:tcPr>
            <w:tcW w:w="850" w:type="dxa"/>
            <w:vMerge/>
            <w:noWrap/>
            <w:vAlign w:val="center"/>
            <w:hideMark/>
          </w:tcPr>
          <w:p w14:paraId="608356FA" w14:textId="77777777" w:rsidR="008A3EDE" w:rsidRPr="00263B73" w:rsidRDefault="008A3EDE" w:rsidP="00831B7C">
            <w:pPr>
              <w:widowControl/>
              <w:spacing w:line="180" w:lineRule="exact"/>
              <w:jc w:val="left"/>
              <w:rPr>
                <w:rFonts w:ascii="ＭＳ ゴシック" w:eastAsia="ＭＳ ゴシック" w:hAnsi="ＭＳ ゴシック" w:cs="ＭＳ Ｐゴシック"/>
                <w:kern w:val="0"/>
                <w:sz w:val="14"/>
                <w:szCs w:val="12"/>
              </w:rPr>
            </w:pPr>
          </w:p>
        </w:tc>
        <w:tc>
          <w:tcPr>
            <w:tcW w:w="1843" w:type="dxa"/>
            <w:vAlign w:val="center"/>
            <w:hideMark/>
          </w:tcPr>
          <w:p w14:paraId="29AC90AF" w14:textId="77777777" w:rsidR="008A3EDE" w:rsidRPr="00263B73" w:rsidRDefault="008A3EDE" w:rsidP="00831B7C">
            <w:pPr>
              <w:widowControl/>
              <w:spacing w:line="180" w:lineRule="exact"/>
              <w:rPr>
                <w:rFonts w:ascii="ＭＳ ゴシック" w:eastAsia="ＭＳ ゴシック" w:hAnsi="ＭＳ ゴシック" w:cs="ＭＳ Ｐゴシック"/>
                <w:kern w:val="0"/>
                <w:sz w:val="14"/>
                <w:szCs w:val="12"/>
              </w:rPr>
            </w:pPr>
            <w:r w:rsidRPr="00263B73">
              <w:rPr>
                <w:rFonts w:ascii="ＭＳ ゴシック" w:eastAsia="ＭＳ ゴシック" w:hAnsi="ＭＳ ゴシック" w:cs="ＭＳ Ｐゴシック" w:hint="eastAsia"/>
                <w:kern w:val="0"/>
                <w:sz w:val="14"/>
                <w:szCs w:val="12"/>
              </w:rPr>
              <w:t>南河内農と緑の総合事務所</w:t>
            </w:r>
          </w:p>
        </w:tc>
      </w:tr>
      <w:tr w:rsidR="008A3EDE" w:rsidRPr="00263B73" w14:paraId="36938AEC" w14:textId="77777777" w:rsidTr="00831B7C">
        <w:trPr>
          <w:trHeight w:val="118"/>
        </w:trPr>
        <w:tc>
          <w:tcPr>
            <w:tcW w:w="1501" w:type="dxa"/>
            <w:vAlign w:val="center"/>
          </w:tcPr>
          <w:p w14:paraId="52277F9D" w14:textId="77777777" w:rsidR="008A3EDE" w:rsidRPr="00263B73" w:rsidRDefault="008A3EDE" w:rsidP="00831B7C">
            <w:pPr>
              <w:widowControl/>
              <w:spacing w:line="180" w:lineRule="exact"/>
              <w:jc w:val="left"/>
              <w:rPr>
                <w:rFonts w:ascii="ＭＳ ゴシック" w:eastAsia="ＭＳ ゴシック" w:hAnsi="ＭＳ ゴシック" w:cs="ＭＳ Ｐゴシック"/>
                <w:kern w:val="0"/>
                <w:sz w:val="14"/>
                <w:szCs w:val="12"/>
              </w:rPr>
            </w:pPr>
            <w:r w:rsidRPr="00263B73">
              <w:rPr>
                <w:rFonts w:ascii="ＭＳ ゴシック" w:eastAsia="ＭＳ ゴシック" w:hAnsi="ＭＳ ゴシック" w:cs="ＭＳ Ｐゴシック" w:hint="eastAsia"/>
                <w:kern w:val="0"/>
                <w:sz w:val="14"/>
                <w:szCs w:val="12"/>
              </w:rPr>
              <w:t>大阪南部地域での異臭事象</w:t>
            </w:r>
          </w:p>
        </w:tc>
        <w:tc>
          <w:tcPr>
            <w:tcW w:w="5631" w:type="dxa"/>
            <w:gridSpan w:val="2"/>
            <w:noWrap/>
            <w:vAlign w:val="center"/>
          </w:tcPr>
          <w:p w14:paraId="50578260" w14:textId="77777777" w:rsidR="008A3EDE" w:rsidRPr="00263B73" w:rsidRDefault="008A3EDE" w:rsidP="00831B7C">
            <w:pPr>
              <w:widowControl/>
              <w:spacing w:line="180" w:lineRule="exact"/>
              <w:jc w:val="left"/>
              <w:rPr>
                <w:rFonts w:ascii="ＭＳ ゴシック" w:eastAsia="ＭＳ ゴシック" w:hAnsi="ＭＳ ゴシック" w:cs="ＭＳ Ｐゴシック"/>
                <w:kern w:val="0"/>
                <w:sz w:val="14"/>
                <w:szCs w:val="12"/>
              </w:rPr>
            </w:pPr>
            <w:r w:rsidRPr="00263B73">
              <w:rPr>
                <w:rFonts w:ascii="ＭＳ ゴシック" w:eastAsia="ＭＳ ゴシック" w:hAnsi="ＭＳ ゴシック" w:cs="ＭＳ Ｐゴシック" w:hint="eastAsia"/>
                <w:kern w:val="0"/>
                <w:sz w:val="14"/>
                <w:szCs w:val="12"/>
              </w:rPr>
              <w:t>大阪南部異臭事象発生時における通報連絡要領</w:t>
            </w:r>
          </w:p>
        </w:tc>
        <w:tc>
          <w:tcPr>
            <w:tcW w:w="850" w:type="dxa"/>
            <w:vMerge/>
            <w:noWrap/>
            <w:vAlign w:val="center"/>
          </w:tcPr>
          <w:p w14:paraId="48317CA2" w14:textId="77777777" w:rsidR="008A3EDE" w:rsidRPr="00263B73" w:rsidRDefault="008A3EDE" w:rsidP="00831B7C">
            <w:pPr>
              <w:widowControl/>
              <w:spacing w:line="180" w:lineRule="exact"/>
              <w:jc w:val="left"/>
              <w:rPr>
                <w:rFonts w:ascii="ＭＳ ゴシック" w:eastAsia="ＭＳ ゴシック" w:hAnsi="ＭＳ ゴシック" w:cs="ＭＳ Ｐゴシック"/>
                <w:kern w:val="0"/>
                <w:sz w:val="14"/>
                <w:szCs w:val="12"/>
              </w:rPr>
            </w:pPr>
          </w:p>
        </w:tc>
        <w:tc>
          <w:tcPr>
            <w:tcW w:w="1843" w:type="dxa"/>
            <w:vAlign w:val="center"/>
          </w:tcPr>
          <w:p w14:paraId="2D8731F0" w14:textId="77777777" w:rsidR="008A3EDE" w:rsidRPr="00263B73" w:rsidRDefault="008A3EDE" w:rsidP="00831B7C">
            <w:pPr>
              <w:widowControl/>
              <w:spacing w:line="180" w:lineRule="exact"/>
              <w:rPr>
                <w:rFonts w:ascii="ＭＳ ゴシック" w:eastAsia="ＭＳ ゴシック" w:hAnsi="ＭＳ ゴシック" w:cs="ＭＳ Ｐゴシック"/>
                <w:kern w:val="0"/>
                <w:sz w:val="14"/>
                <w:szCs w:val="12"/>
              </w:rPr>
            </w:pPr>
            <w:r w:rsidRPr="00263B73">
              <w:rPr>
                <w:rFonts w:ascii="ＭＳ ゴシック" w:eastAsia="ＭＳ ゴシック" w:hAnsi="ＭＳ ゴシック" w:cs="ＭＳ Ｐゴシック" w:hint="eastAsia"/>
                <w:kern w:val="0"/>
                <w:sz w:val="14"/>
                <w:szCs w:val="12"/>
              </w:rPr>
              <w:t>泉州農と緑の総合事務所</w:t>
            </w:r>
          </w:p>
        </w:tc>
      </w:tr>
      <w:tr w:rsidR="008A3EDE" w:rsidRPr="00263B73" w14:paraId="531D2861" w14:textId="77777777" w:rsidTr="00831B7C">
        <w:trPr>
          <w:trHeight w:val="340"/>
        </w:trPr>
        <w:tc>
          <w:tcPr>
            <w:tcW w:w="1501" w:type="dxa"/>
            <w:vAlign w:val="center"/>
            <w:hideMark/>
          </w:tcPr>
          <w:p w14:paraId="55454531" w14:textId="77777777" w:rsidR="008A3EDE" w:rsidRPr="00263B73" w:rsidRDefault="008A3EDE" w:rsidP="00831B7C">
            <w:pPr>
              <w:widowControl/>
              <w:spacing w:line="180" w:lineRule="exact"/>
              <w:rPr>
                <w:rFonts w:ascii="ＭＳ ゴシック" w:eastAsia="ＭＳ ゴシック" w:hAnsi="ＭＳ ゴシック" w:cs="ＭＳ Ｐゴシック"/>
                <w:kern w:val="0"/>
                <w:sz w:val="14"/>
                <w:szCs w:val="12"/>
              </w:rPr>
            </w:pPr>
            <w:r w:rsidRPr="00263B73">
              <w:rPr>
                <w:rFonts w:ascii="ＭＳ ゴシック" w:eastAsia="ＭＳ ゴシック" w:hAnsi="ＭＳ ゴシック" w:cs="ＭＳ Ｐゴシック" w:hint="eastAsia"/>
                <w:kern w:val="0"/>
                <w:sz w:val="14"/>
                <w:szCs w:val="12"/>
              </w:rPr>
              <w:t>都市整備部の休日・時間外緊急連絡</w:t>
            </w:r>
          </w:p>
        </w:tc>
        <w:tc>
          <w:tcPr>
            <w:tcW w:w="800" w:type="dxa"/>
            <w:vMerge w:val="restart"/>
            <w:noWrap/>
            <w:vAlign w:val="center"/>
            <w:hideMark/>
          </w:tcPr>
          <w:p w14:paraId="5D7C5140" w14:textId="77777777" w:rsidR="008A3EDE" w:rsidRPr="00263B73" w:rsidRDefault="008A3EDE" w:rsidP="00831B7C">
            <w:pPr>
              <w:spacing w:line="240" w:lineRule="exact"/>
              <w:rPr>
                <w:rFonts w:cstheme="minorBidi"/>
                <w:color w:val="000000"/>
                <w:sz w:val="14"/>
                <w:szCs w:val="18"/>
              </w:rPr>
            </w:pPr>
            <w:r w:rsidRPr="00263B73">
              <w:rPr>
                <w:rFonts w:cstheme="minorBidi" w:hint="eastAsia"/>
                <w:color w:val="000000"/>
                <w:sz w:val="14"/>
                <w:szCs w:val="18"/>
              </w:rPr>
              <w:t>危機管理対応マニュアル</w:t>
            </w:r>
          </w:p>
          <w:p w14:paraId="0545E609" w14:textId="77777777" w:rsidR="008A3EDE" w:rsidRPr="00263B73" w:rsidRDefault="008A3EDE" w:rsidP="00831B7C">
            <w:pPr>
              <w:spacing w:line="240" w:lineRule="exact"/>
              <w:rPr>
                <w:rFonts w:cstheme="minorBidi"/>
                <w:color w:val="000000"/>
              </w:rPr>
            </w:pPr>
            <w:r w:rsidRPr="00263B73">
              <w:rPr>
                <w:rFonts w:cstheme="minorBidi" w:hint="eastAsia"/>
                <w:color w:val="000000"/>
                <w:sz w:val="14"/>
                <w:szCs w:val="18"/>
              </w:rPr>
              <w:t>（都市整備部</w:t>
            </w:r>
            <w:r w:rsidRPr="00263B73">
              <w:rPr>
                <w:rFonts w:cstheme="minorBidi" w:hint="eastAsia"/>
                <w:color w:val="000000"/>
              </w:rPr>
              <w:t>）</w:t>
            </w:r>
          </w:p>
          <w:p w14:paraId="65969C51" w14:textId="77777777" w:rsidR="008A3EDE" w:rsidRPr="00263B73" w:rsidDel="00651843" w:rsidRDefault="008A3EDE" w:rsidP="00831B7C">
            <w:pPr>
              <w:spacing w:line="180" w:lineRule="exact"/>
              <w:jc w:val="left"/>
              <w:rPr>
                <w:rFonts w:ascii="ＭＳ ゴシック" w:eastAsia="ＭＳ ゴシック" w:hAnsi="ＭＳ ゴシック" w:cs="ＭＳ Ｐゴシック"/>
                <w:kern w:val="0"/>
                <w:sz w:val="14"/>
                <w:szCs w:val="12"/>
              </w:rPr>
            </w:pPr>
          </w:p>
        </w:tc>
        <w:tc>
          <w:tcPr>
            <w:tcW w:w="4831" w:type="dxa"/>
            <w:vAlign w:val="center"/>
          </w:tcPr>
          <w:p w14:paraId="5DF7C057" w14:textId="77777777" w:rsidR="008A3EDE" w:rsidRPr="00263B73" w:rsidRDefault="008A3EDE" w:rsidP="00831B7C">
            <w:pPr>
              <w:spacing w:line="180" w:lineRule="exact"/>
              <w:rPr>
                <w:rFonts w:ascii="ＭＳ ゴシック" w:eastAsia="ＭＳ ゴシック" w:hAnsi="ＭＳ ゴシック" w:cs="ＭＳ Ｐゴシック"/>
                <w:kern w:val="0"/>
                <w:sz w:val="14"/>
                <w:szCs w:val="18"/>
              </w:rPr>
            </w:pPr>
            <w:r w:rsidRPr="00263B73">
              <w:rPr>
                <w:rFonts w:hint="eastAsia"/>
                <w:sz w:val="14"/>
                <w:szCs w:val="18"/>
              </w:rPr>
              <w:t>【</w:t>
            </w:r>
            <w:r w:rsidRPr="00263B73">
              <w:rPr>
                <w:sz w:val="14"/>
                <w:szCs w:val="18"/>
              </w:rPr>
              <w:t xml:space="preserve"> </w:t>
            </w:r>
            <w:r w:rsidRPr="00263B73">
              <w:rPr>
                <w:rFonts w:hint="eastAsia"/>
                <w:sz w:val="14"/>
                <w:szCs w:val="18"/>
              </w:rPr>
              <w:t>緊急時の情報伝達について】</w:t>
            </w:r>
          </w:p>
        </w:tc>
        <w:tc>
          <w:tcPr>
            <w:tcW w:w="850" w:type="dxa"/>
            <w:vMerge w:val="restart"/>
            <w:noWrap/>
            <w:vAlign w:val="center"/>
            <w:hideMark/>
          </w:tcPr>
          <w:p w14:paraId="049ABF8C" w14:textId="77777777" w:rsidR="008A3EDE" w:rsidRPr="00263B73" w:rsidRDefault="008A3EDE" w:rsidP="00831B7C">
            <w:pPr>
              <w:widowControl/>
              <w:spacing w:line="180" w:lineRule="exact"/>
              <w:jc w:val="left"/>
              <w:rPr>
                <w:rFonts w:ascii="ＭＳ ゴシック" w:eastAsia="ＭＳ ゴシック" w:hAnsi="ＭＳ ゴシック" w:cs="ＭＳ Ｐゴシック"/>
                <w:kern w:val="0"/>
                <w:sz w:val="14"/>
                <w:szCs w:val="12"/>
              </w:rPr>
            </w:pPr>
            <w:r w:rsidRPr="00263B73">
              <w:rPr>
                <w:rFonts w:ascii="ＭＳ ゴシック" w:eastAsia="ＭＳ ゴシック" w:hAnsi="ＭＳ ゴシック" w:cs="ＭＳ Ｐゴシック" w:hint="eastAsia"/>
                <w:kern w:val="0"/>
                <w:sz w:val="14"/>
                <w:szCs w:val="12"/>
              </w:rPr>
              <w:t>都市整備部</w:t>
            </w:r>
          </w:p>
        </w:tc>
        <w:tc>
          <w:tcPr>
            <w:tcW w:w="1843" w:type="dxa"/>
            <w:vAlign w:val="center"/>
            <w:hideMark/>
          </w:tcPr>
          <w:p w14:paraId="3FB30D97" w14:textId="77777777" w:rsidR="008A3EDE" w:rsidRPr="00263B73" w:rsidRDefault="008A3EDE" w:rsidP="00831B7C">
            <w:pPr>
              <w:widowControl/>
              <w:spacing w:line="180" w:lineRule="exact"/>
              <w:rPr>
                <w:rFonts w:ascii="ＭＳ ゴシック" w:eastAsia="ＭＳ ゴシック" w:hAnsi="ＭＳ ゴシック" w:cs="ＭＳ Ｐゴシック"/>
                <w:kern w:val="0"/>
                <w:sz w:val="14"/>
                <w:szCs w:val="12"/>
              </w:rPr>
            </w:pPr>
            <w:r w:rsidRPr="00263B73">
              <w:rPr>
                <w:rFonts w:ascii="ＭＳ ゴシック" w:eastAsia="ＭＳ ゴシック" w:hAnsi="ＭＳ ゴシック" w:cs="ＭＳ Ｐゴシック" w:hint="eastAsia"/>
                <w:kern w:val="0"/>
                <w:sz w:val="12"/>
                <w:szCs w:val="10"/>
              </w:rPr>
              <w:t>都市整備総務課</w:t>
            </w:r>
            <w:r w:rsidRPr="00263B73">
              <w:rPr>
                <w:rFonts w:ascii="ＭＳ ゴシック" w:eastAsia="ＭＳ ゴシック" w:hAnsi="ＭＳ ゴシック" w:cs="ＭＳ Ｐゴシック"/>
                <w:kern w:val="0"/>
                <w:sz w:val="12"/>
                <w:szCs w:val="10"/>
              </w:rPr>
              <w:t>/事業調整室</w:t>
            </w:r>
          </w:p>
        </w:tc>
      </w:tr>
      <w:tr w:rsidR="008A3EDE" w:rsidRPr="00263B73" w14:paraId="430A599E" w14:textId="77777777" w:rsidTr="00831B7C">
        <w:trPr>
          <w:trHeight w:val="340"/>
        </w:trPr>
        <w:tc>
          <w:tcPr>
            <w:tcW w:w="1501" w:type="dxa"/>
            <w:vAlign w:val="center"/>
            <w:hideMark/>
          </w:tcPr>
          <w:p w14:paraId="20A2F8DE" w14:textId="77777777" w:rsidR="008A3EDE" w:rsidRPr="00263B73" w:rsidRDefault="008A3EDE" w:rsidP="00831B7C">
            <w:pPr>
              <w:widowControl/>
              <w:spacing w:line="180" w:lineRule="exact"/>
              <w:rPr>
                <w:rFonts w:ascii="ＭＳ ゴシック" w:eastAsia="ＭＳ ゴシック" w:hAnsi="ＭＳ ゴシック" w:cs="ＭＳ Ｐゴシック"/>
                <w:kern w:val="0"/>
                <w:sz w:val="14"/>
                <w:szCs w:val="12"/>
              </w:rPr>
            </w:pPr>
            <w:r w:rsidRPr="00263B73">
              <w:rPr>
                <w:rFonts w:ascii="ＭＳ ゴシック" w:eastAsia="ＭＳ ゴシック" w:hAnsi="ＭＳ ゴシック" w:cs="ＭＳ Ｐゴシック" w:hint="eastAsia"/>
                <w:kern w:val="0"/>
                <w:sz w:val="14"/>
                <w:szCs w:val="12"/>
              </w:rPr>
              <w:t>都市整備部所管工事等に係る工事事故</w:t>
            </w:r>
          </w:p>
          <w:p w14:paraId="27321825" w14:textId="77777777" w:rsidR="008A3EDE" w:rsidRPr="00263B73" w:rsidRDefault="008A3EDE" w:rsidP="00831B7C">
            <w:pPr>
              <w:widowControl/>
              <w:spacing w:line="180" w:lineRule="exact"/>
              <w:rPr>
                <w:rFonts w:ascii="ＭＳ ゴシック" w:eastAsia="ＭＳ ゴシック" w:hAnsi="ＭＳ ゴシック" w:cs="ＭＳ Ｐゴシック"/>
                <w:kern w:val="0"/>
                <w:sz w:val="14"/>
                <w:szCs w:val="12"/>
              </w:rPr>
            </w:pPr>
          </w:p>
        </w:tc>
        <w:tc>
          <w:tcPr>
            <w:tcW w:w="800" w:type="dxa"/>
            <w:vMerge/>
            <w:noWrap/>
            <w:hideMark/>
          </w:tcPr>
          <w:p w14:paraId="47D4FF75" w14:textId="77777777" w:rsidR="008A3EDE" w:rsidRPr="00263B73" w:rsidRDefault="008A3EDE" w:rsidP="00831B7C">
            <w:pPr>
              <w:spacing w:line="180" w:lineRule="exact"/>
              <w:jc w:val="left"/>
              <w:rPr>
                <w:rFonts w:ascii="ＭＳ ゴシック" w:eastAsia="ＭＳ ゴシック" w:hAnsi="ＭＳ ゴシック" w:cs="ＭＳ Ｐゴシック"/>
                <w:kern w:val="0"/>
                <w:sz w:val="14"/>
                <w:szCs w:val="12"/>
              </w:rPr>
            </w:pPr>
          </w:p>
        </w:tc>
        <w:tc>
          <w:tcPr>
            <w:tcW w:w="4831" w:type="dxa"/>
            <w:vAlign w:val="center"/>
          </w:tcPr>
          <w:p w14:paraId="5159184D" w14:textId="77777777" w:rsidR="008A3EDE" w:rsidRPr="00263B73" w:rsidRDefault="008A3EDE" w:rsidP="00831B7C">
            <w:pPr>
              <w:spacing w:line="240" w:lineRule="exact"/>
              <w:rPr>
                <w:sz w:val="14"/>
                <w:szCs w:val="18"/>
              </w:rPr>
            </w:pPr>
            <w:r w:rsidRPr="00263B73">
              <w:rPr>
                <w:rFonts w:hint="eastAsia"/>
                <w:sz w:val="14"/>
                <w:szCs w:val="18"/>
              </w:rPr>
              <w:t>【大阪府都市整備部業務継続計画～地震災害編～】</w:t>
            </w:r>
          </w:p>
        </w:tc>
        <w:tc>
          <w:tcPr>
            <w:tcW w:w="850" w:type="dxa"/>
            <w:vMerge/>
            <w:noWrap/>
            <w:vAlign w:val="center"/>
            <w:hideMark/>
          </w:tcPr>
          <w:p w14:paraId="620611EB" w14:textId="77777777" w:rsidR="008A3EDE" w:rsidRPr="00263B73" w:rsidRDefault="008A3EDE" w:rsidP="00831B7C">
            <w:pPr>
              <w:spacing w:line="180" w:lineRule="exact"/>
              <w:jc w:val="left"/>
              <w:rPr>
                <w:rFonts w:ascii="ＭＳ ゴシック" w:eastAsia="ＭＳ ゴシック" w:hAnsi="ＭＳ ゴシック" w:cs="ＭＳ Ｐゴシック"/>
                <w:kern w:val="0"/>
                <w:sz w:val="14"/>
                <w:szCs w:val="12"/>
              </w:rPr>
            </w:pPr>
          </w:p>
        </w:tc>
        <w:tc>
          <w:tcPr>
            <w:tcW w:w="1843" w:type="dxa"/>
            <w:vAlign w:val="center"/>
            <w:hideMark/>
          </w:tcPr>
          <w:p w14:paraId="1DEA5D4F" w14:textId="77777777" w:rsidR="008A3EDE" w:rsidRPr="00263B73" w:rsidRDefault="008A3EDE" w:rsidP="00831B7C">
            <w:pPr>
              <w:widowControl/>
              <w:spacing w:line="180" w:lineRule="exact"/>
              <w:rPr>
                <w:rFonts w:ascii="ＭＳ ゴシック" w:eastAsia="ＭＳ ゴシック" w:hAnsi="ＭＳ ゴシック" w:cs="ＭＳ Ｐゴシック"/>
                <w:kern w:val="0"/>
                <w:sz w:val="14"/>
                <w:szCs w:val="12"/>
              </w:rPr>
            </w:pPr>
            <w:r w:rsidRPr="00263B73">
              <w:rPr>
                <w:rFonts w:ascii="ＭＳ ゴシック" w:eastAsia="ＭＳ ゴシック" w:hAnsi="ＭＳ ゴシック" w:cs="ＭＳ Ｐゴシック" w:hint="eastAsia"/>
                <w:kern w:val="0"/>
                <w:sz w:val="14"/>
                <w:szCs w:val="12"/>
              </w:rPr>
              <w:t>事業調整室</w:t>
            </w:r>
          </w:p>
        </w:tc>
      </w:tr>
      <w:tr w:rsidR="008A3EDE" w:rsidRPr="00263B73" w14:paraId="17D68B8B" w14:textId="77777777" w:rsidTr="00831B7C">
        <w:trPr>
          <w:trHeight w:val="340"/>
        </w:trPr>
        <w:tc>
          <w:tcPr>
            <w:tcW w:w="1501" w:type="dxa"/>
            <w:vMerge w:val="restart"/>
            <w:vAlign w:val="center"/>
            <w:hideMark/>
          </w:tcPr>
          <w:p w14:paraId="7F1CEBE5" w14:textId="77777777" w:rsidR="008A3EDE" w:rsidRPr="00263B73" w:rsidRDefault="008A3EDE" w:rsidP="00831B7C">
            <w:pPr>
              <w:widowControl/>
              <w:spacing w:line="180" w:lineRule="exact"/>
              <w:rPr>
                <w:rFonts w:ascii="ＭＳ ゴシック" w:eastAsia="ＭＳ ゴシック" w:hAnsi="ＭＳ ゴシック" w:cs="ＭＳ Ｐゴシック"/>
                <w:kern w:val="0"/>
                <w:sz w:val="14"/>
                <w:szCs w:val="12"/>
              </w:rPr>
            </w:pPr>
            <w:r w:rsidRPr="00263B73">
              <w:rPr>
                <w:rFonts w:ascii="ＭＳ ゴシック" w:eastAsia="ＭＳ ゴシック" w:hAnsi="ＭＳ ゴシック" w:cs="ＭＳ Ｐゴシック" w:hint="eastAsia"/>
                <w:kern w:val="0"/>
                <w:sz w:val="14"/>
                <w:szCs w:val="12"/>
              </w:rPr>
              <w:t>地震</w:t>
            </w:r>
          </w:p>
          <w:p w14:paraId="1392A6CE" w14:textId="77777777" w:rsidR="008A3EDE" w:rsidRPr="00263B73" w:rsidRDefault="008A3EDE" w:rsidP="00831B7C">
            <w:pPr>
              <w:widowControl/>
              <w:spacing w:line="180" w:lineRule="exact"/>
              <w:rPr>
                <w:rFonts w:ascii="ＭＳ ゴシック" w:eastAsia="ＭＳ ゴシック" w:hAnsi="ＭＳ ゴシック" w:cs="ＭＳ Ｐゴシック"/>
                <w:kern w:val="0"/>
                <w:sz w:val="14"/>
                <w:szCs w:val="12"/>
              </w:rPr>
            </w:pPr>
          </w:p>
        </w:tc>
        <w:tc>
          <w:tcPr>
            <w:tcW w:w="800" w:type="dxa"/>
            <w:vMerge/>
            <w:noWrap/>
          </w:tcPr>
          <w:p w14:paraId="7C15F4FD" w14:textId="77777777" w:rsidR="008A3EDE" w:rsidRPr="00263B73" w:rsidRDefault="008A3EDE" w:rsidP="00831B7C">
            <w:pPr>
              <w:spacing w:line="180" w:lineRule="exact"/>
              <w:jc w:val="left"/>
              <w:rPr>
                <w:rFonts w:ascii="ＭＳ ゴシック" w:eastAsia="ＭＳ ゴシック" w:hAnsi="ＭＳ ゴシック" w:cs="ＭＳ Ｐゴシック"/>
                <w:kern w:val="0"/>
                <w:sz w:val="14"/>
                <w:szCs w:val="12"/>
              </w:rPr>
            </w:pPr>
          </w:p>
        </w:tc>
        <w:tc>
          <w:tcPr>
            <w:tcW w:w="4831" w:type="dxa"/>
            <w:vAlign w:val="center"/>
          </w:tcPr>
          <w:p w14:paraId="71648B0A" w14:textId="77777777" w:rsidR="008A3EDE" w:rsidRPr="00263B73" w:rsidRDefault="008A3EDE" w:rsidP="00831B7C">
            <w:pPr>
              <w:spacing w:line="180" w:lineRule="exact"/>
              <w:rPr>
                <w:rFonts w:ascii="ＭＳ ゴシック" w:eastAsia="ＭＳ ゴシック" w:hAnsi="ＭＳ ゴシック" w:cs="ＭＳ Ｐゴシック"/>
                <w:kern w:val="0"/>
                <w:sz w:val="14"/>
                <w:szCs w:val="18"/>
              </w:rPr>
            </w:pPr>
            <w:r w:rsidRPr="00263B73">
              <w:rPr>
                <w:rFonts w:ascii="ＭＳ ゴシック" w:eastAsia="ＭＳ ゴシック" w:hAnsi="ＭＳ ゴシック" w:cs="ＭＳ Ｐゴシック" w:hint="eastAsia"/>
                <w:kern w:val="0"/>
                <w:sz w:val="14"/>
                <w:szCs w:val="18"/>
              </w:rPr>
              <w:t>【都市整備部地震・津波時初動マニュアル（震災対策本部編）】</w:t>
            </w:r>
          </w:p>
        </w:tc>
        <w:tc>
          <w:tcPr>
            <w:tcW w:w="850" w:type="dxa"/>
            <w:vMerge/>
            <w:noWrap/>
            <w:vAlign w:val="center"/>
            <w:hideMark/>
          </w:tcPr>
          <w:p w14:paraId="3936E5A9" w14:textId="77777777" w:rsidR="008A3EDE" w:rsidRPr="00263B73" w:rsidRDefault="008A3EDE" w:rsidP="00831B7C">
            <w:pPr>
              <w:spacing w:line="180" w:lineRule="exact"/>
              <w:jc w:val="left"/>
              <w:rPr>
                <w:rFonts w:ascii="ＭＳ ゴシック" w:eastAsia="ＭＳ ゴシック" w:hAnsi="ＭＳ ゴシック" w:cs="ＭＳ Ｐゴシック"/>
                <w:kern w:val="0"/>
                <w:sz w:val="14"/>
                <w:szCs w:val="12"/>
              </w:rPr>
            </w:pPr>
          </w:p>
        </w:tc>
        <w:tc>
          <w:tcPr>
            <w:tcW w:w="1843" w:type="dxa"/>
            <w:vAlign w:val="center"/>
            <w:hideMark/>
          </w:tcPr>
          <w:p w14:paraId="0A1554F2" w14:textId="77777777" w:rsidR="008A3EDE" w:rsidRPr="00263B73" w:rsidRDefault="008A3EDE" w:rsidP="00831B7C">
            <w:pPr>
              <w:widowControl/>
              <w:spacing w:line="180" w:lineRule="exact"/>
              <w:rPr>
                <w:rFonts w:ascii="ＭＳ ゴシック" w:eastAsia="ＭＳ ゴシック" w:hAnsi="ＭＳ ゴシック" w:cs="ＭＳ Ｐゴシック"/>
                <w:kern w:val="0"/>
                <w:sz w:val="14"/>
                <w:szCs w:val="12"/>
              </w:rPr>
            </w:pPr>
            <w:r w:rsidRPr="00263B73">
              <w:rPr>
                <w:rFonts w:ascii="ＭＳ ゴシック" w:eastAsia="ＭＳ ゴシック" w:hAnsi="ＭＳ ゴシック" w:cs="ＭＳ Ｐゴシック" w:hint="eastAsia"/>
                <w:kern w:val="0"/>
                <w:sz w:val="14"/>
                <w:szCs w:val="12"/>
              </w:rPr>
              <w:t>事業調整室</w:t>
            </w:r>
          </w:p>
          <w:p w14:paraId="6F688581" w14:textId="77777777" w:rsidR="008A3EDE" w:rsidRPr="00263B73" w:rsidRDefault="008A3EDE" w:rsidP="00831B7C">
            <w:pPr>
              <w:spacing w:line="180" w:lineRule="exact"/>
              <w:rPr>
                <w:rFonts w:ascii="ＭＳ ゴシック" w:eastAsia="ＭＳ ゴシック" w:hAnsi="ＭＳ ゴシック" w:cs="ＭＳ Ｐゴシック"/>
                <w:kern w:val="0"/>
                <w:sz w:val="14"/>
                <w:szCs w:val="12"/>
              </w:rPr>
            </w:pPr>
          </w:p>
        </w:tc>
      </w:tr>
      <w:tr w:rsidR="008A3EDE" w:rsidRPr="00263B73" w14:paraId="4F409C22" w14:textId="77777777" w:rsidTr="00831B7C">
        <w:trPr>
          <w:trHeight w:val="340"/>
        </w:trPr>
        <w:tc>
          <w:tcPr>
            <w:tcW w:w="1501" w:type="dxa"/>
            <w:vMerge/>
            <w:vAlign w:val="center"/>
          </w:tcPr>
          <w:p w14:paraId="1CB419B5" w14:textId="77777777" w:rsidR="008A3EDE" w:rsidRPr="00263B73" w:rsidRDefault="008A3EDE" w:rsidP="00831B7C">
            <w:pPr>
              <w:widowControl/>
              <w:spacing w:line="180" w:lineRule="exact"/>
              <w:rPr>
                <w:rFonts w:ascii="ＭＳ ゴシック" w:eastAsia="ＭＳ ゴシック" w:hAnsi="ＭＳ ゴシック" w:cs="ＭＳ Ｐゴシック"/>
                <w:kern w:val="0"/>
                <w:sz w:val="14"/>
                <w:szCs w:val="12"/>
              </w:rPr>
            </w:pPr>
          </w:p>
        </w:tc>
        <w:tc>
          <w:tcPr>
            <w:tcW w:w="800" w:type="dxa"/>
            <w:vMerge/>
            <w:noWrap/>
          </w:tcPr>
          <w:p w14:paraId="444AEFCC" w14:textId="77777777" w:rsidR="008A3EDE" w:rsidRPr="00263B73" w:rsidRDefault="008A3EDE" w:rsidP="00831B7C">
            <w:pPr>
              <w:spacing w:line="180" w:lineRule="exact"/>
              <w:jc w:val="left"/>
              <w:rPr>
                <w:rFonts w:ascii="ＭＳ ゴシック" w:eastAsia="ＭＳ ゴシック" w:hAnsi="ＭＳ ゴシック" w:cs="ＭＳ Ｐゴシック"/>
                <w:kern w:val="0"/>
                <w:sz w:val="14"/>
                <w:szCs w:val="12"/>
              </w:rPr>
            </w:pPr>
          </w:p>
        </w:tc>
        <w:tc>
          <w:tcPr>
            <w:tcW w:w="4831" w:type="dxa"/>
            <w:vAlign w:val="center"/>
          </w:tcPr>
          <w:p w14:paraId="09DE440C" w14:textId="77777777" w:rsidR="008A3EDE" w:rsidRPr="00263B73" w:rsidRDefault="008A3EDE" w:rsidP="00831B7C">
            <w:pPr>
              <w:spacing w:line="180" w:lineRule="exact"/>
              <w:rPr>
                <w:rFonts w:ascii="ＭＳ ゴシック" w:eastAsia="ＭＳ ゴシック" w:hAnsi="ＭＳ ゴシック" w:cs="ＭＳ Ｐゴシック"/>
                <w:kern w:val="0"/>
                <w:sz w:val="14"/>
                <w:szCs w:val="18"/>
              </w:rPr>
            </w:pPr>
            <w:r w:rsidRPr="00263B73">
              <w:rPr>
                <w:rFonts w:ascii="ＭＳ ゴシック" w:eastAsia="ＭＳ ゴシック" w:hAnsi="ＭＳ ゴシック" w:cs="ＭＳ Ｐゴシック" w:hint="eastAsia"/>
                <w:kern w:val="0"/>
                <w:sz w:val="14"/>
                <w:szCs w:val="18"/>
              </w:rPr>
              <w:t>【地震時道路点検・道路啓開マニュアル（案）】</w:t>
            </w:r>
          </w:p>
        </w:tc>
        <w:tc>
          <w:tcPr>
            <w:tcW w:w="850" w:type="dxa"/>
            <w:vMerge/>
            <w:noWrap/>
            <w:vAlign w:val="center"/>
          </w:tcPr>
          <w:p w14:paraId="2EE53928" w14:textId="77777777" w:rsidR="008A3EDE" w:rsidRPr="00263B73" w:rsidRDefault="008A3EDE" w:rsidP="00831B7C">
            <w:pPr>
              <w:spacing w:line="180" w:lineRule="exact"/>
              <w:jc w:val="left"/>
              <w:rPr>
                <w:rFonts w:ascii="ＭＳ ゴシック" w:eastAsia="ＭＳ ゴシック" w:hAnsi="ＭＳ ゴシック" w:cs="ＭＳ Ｐゴシック"/>
                <w:kern w:val="0"/>
                <w:sz w:val="14"/>
                <w:szCs w:val="12"/>
              </w:rPr>
            </w:pPr>
          </w:p>
        </w:tc>
        <w:tc>
          <w:tcPr>
            <w:tcW w:w="1843" w:type="dxa"/>
            <w:vAlign w:val="center"/>
          </w:tcPr>
          <w:p w14:paraId="2ACE813C" w14:textId="77777777" w:rsidR="008A3EDE" w:rsidRPr="00263B73" w:rsidDel="00651843" w:rsidRDefault="008A3EDE" w:rsidP="00831B7C">
            <w:pPr>
              <w:widowControl/>
              <w:spacing w:line="180" w:lineRule="exact"/>
              <w:rPr>
                <w:noProof/>
              </w:rPr>
            </w:pPr>
            <w:r w:rsidRPr="00263B73">
              <w:rPr>
                <w:rFonts w:ascii="ＭＳ ゴシック" w:eastAsia="ＭＳ ゴシック" w:hAnsi="ＭＳ ゴシック" w:cs="ＭＳ Ｐゴシック" w:hint="eastAsia"/>
                <w:kern w:val="0"/>
                <w:sz w:val="14"/>
                <w:szCs w:val="12"/>
              </w:rPr>
              <w:t>道路室</w:t>
            </w:r>
          </w:p>
        </w:tc>
      </w:tr>
      <w:tr w:rsidR="008A3EDE" w:rsidRPr="00263B73" w14:paraId="6E0568DC" w14:textId="77777777" w:rsidTr="00831B7C">
        <w:trPr>
          <w:trHeight w:val="340"/>
        </w:trPr>
        <w:tc>
          <w:tcPr>
            <w:tcW w:w="1501" w:type="dxa"/>
            <w:vAlign w:val="center"/>
            <w:hideMark/>
          </w:tcPr>
          <w:p w14:paraId="7CB2AD2C" w14:textId="77777777" w:rsidR="008A3EDE" w:rsidRPr="00263B73" w:rsidRDefault="008A3EDE" w:rsidP="00831B7C">
            <w:pPr>
              <w:widowControl/>
              <w:spacing w:line="180" w:lineRule="exact"/>
              <w:rPr>
                <w:rFonts w:ascii="ＭＳ ゴシック" w:eastAsia="ＭＳ ゴシック" w:hAnsi="ＭＳ ゴシック" w:cs="ＭＳ Ｐゴシック"/>
                <w:kern w:val="0"/>
                <w:sz w:val="14"/>
                <w:szCs w:val="12"/>
              </w:rPr>
            </w:pPr>
            <w:r w:rsidRPr="00263B73">
              <w:rPr>
                <w:rFonts w:ascii="ＭＳ ゴシック" w:eastAsia="ＭＳ ゴシック" w:hAnsi="ＭＳ ゴシック" w:cs="ＭＳ Ｐゴシック" w:hint="eastAsia"/>
                <w:kern w:val="0"/>
                <w:sz w:val="14"/>
                <w:szCs w:val="12"/>
              </w:rPr>
              <w:t>風水害</w:t>
            </w:r>
          </w:p>
          <w:p w14:paraId="6DAA759B" w14:textId="77777777" w:rsidR="008A3EDE" w:rsidRPr="00263B73" w:rsidRDefault="008A3EDE" w:rsidP="00831B7C">
            <w:pPr>
              <w:widowControl/>
              <w:spacing w:line="180" w:lineRule="exact"/>
              <w:rPr>
                <w:rFonts w:ascii="ＭＳ ゴシック" w:eastAsia="ＭＳ ゴシック" w:hAnsi="ＭＳ ゴシック" w:cs="ＭＳ Ｐゴシック"/>
                <w:kern w:val="0"/>
                <w:sz w:val="14"/>
                <w:szCs w:val="12"/>
              </w:rPr>
            </w:pPr>
          </w:p>
        </w:tc>
        <w:tc>
          <w:tcPr>
            <w:tcW w:w="800" w:type="dxa"/>
            <w:vMerge/>
            <w:noWrap/>
            <w:hideMark/>
          </w:tcPr>
          <w:p w14:paraId="3F6EA8A1" w14:textId="77777777" w:rsidR="008A3EDE" w:rsidRPr="00263B73" w:rsidRDefault="008A3EDE" w:rsidP="00831B7C">
            <w:pPr>
              <w:spacing w:line="180" w:lineRule="exact"/>
              <w:jc w:val="left"/>
              <w:rPr>
                <w:rFonts w:ascii="ＭＳ ゴシック" w:eastAsia="ＭＳ ゴシック" w:hAnsi="ＭＳ ゴシック" w:cs="ＭＳ Ｐゴシック"/>
                <w:kern w:val="0"/>
                <w:sz w:val="14"/>
                <w:szCs w:val="12"/>
              </w:rPr>
            </w:pPr>
          </w:p>
        </w:tc>
        <w:tc>
          <w:tcPr>
            <w:tcW w:w="4831" w:type="dxa"/>
            <w:vAlign w:val="center"/>
          </w:tcPr>
          <w:p w14:paraId="134802EE" w14:textId="77777777" w:rsidR="008A3EDE" w:rsidRPr="00263B73" w:rsidRDefault="008A3EDE" w:rsidP="00831B7C">
            <w:pPr>
              <w:spacing w:line="180" w:lineRule="exact"/>
              <w:rPr>
                <w:rFonts w:ascii="ＭＳ ゴシック" w:eastAsia="ＭＳ ゴシック" w:hAnsi="ＭＳ ゴシック" w:cs="ＭＳ Ｐゴシック"/>
                <w:kern w:val="0"/>
                <w:sz w:val="14"/>
                <w:szCs w:val="18"/>
              </w:rPr>
            </w:pPr>
            <w:r w:rsidRPr="00263B73">
              <w:rPr>
                <w:rFonts w:ascii="ＭＳ ゴシック" w:eastAsia="ＭＳ ゴシック" w:hAnsi="ＭＳ ゴシック" w:cs="ＭＳ Ｐゴシック" w:hint="eastAsia"/>
                <w:kern w:val="0"/>
                <w:sz w:val="14"/>
                <w:szCs w:val="18"/>
              </w:rPr>
              <w:t>【水防非常勤務要領（水防本部編）】</w:t>
            </w:r>
          </w:p>
        </w:tc>
        <w:tc>
          <w:tcPr>
            <w:tcW w:w="850" w:type="dxa"/>
            <w:vMerge/>
            <w:noWrap/>
            <w:vAlign w:val="center"/>
            <w:hideMark/>
          </w:tcPr>
          <w:p w14:paraId="4CA52127" w14:textId="77777777" w:rsidR="008A3EDE" w:rsidRPr="00263B73" w:rsidRDefault="008A3EDE" w:rsidP="00831B7C">
            <w:pPr>
              <w:spacing w:line="180" w:lineRule="exact"/>
              <w:jc w:val="left"/>
              <w:rPr>
                <w:rFonts w:ascii="ＭＳ ゴシック" w:eastAsia="ＭＳ ゴシック" w:hAnsi="ＭＳ ゴシック" w:cs="ＭＳ Ｐゴシック"/>
                <w:kern w:val="0"/>
                <w:sz w:val="14"/>
                <w:szCs w:val="12"/>
              </w:rPr>
            </w:pPr>
          </w:p>
        </w:tc>
        <w:tc>
          <w:tcPr>
            <w:tcW w:w="1843" w:type="dxa"/>
            <w:vAlign w:val="center"/>
            <w:hideMark/>
          </w:tcPr>
          <w:p w14:paraId="75F5B3F3" w14:textId="77777777" w:rsidR="008A3EDE" w:rsidRPr="00263B73" w:rsidRDefault="008A3EDE" w:rsidP="00831B7C">
            <w:pPr>
              <w:widowControl/>
              <w:spacing w:line="180" w:lineRule="exact"/>
              <w:rPr>
                <w:rFonts w:ascii="ＭＳ ゴシック" w:eastAsia="ＭＳ ゴシック" w:hAnsi="ＭＳ ゴシック" w:cs="ＭＳ Ｐゴシック"/>
                <w:kern w:val="0"/>
                <w:sz w:val="14"/>
                <w:szCs w:val="12"/>
              </w:rPr>
            </w:pPr>
            <w:r w:rsidRPr="00263B73">
              <w:rPr>
                <w:rFonts w:ascii="ＭＳ ゴシック" w:eastAsia="ＭＳ ゴシック" w:hAnsi="ＭＳ ゴシック" w:cs="ＭＳ Ｐゴシック" w:hint="eastAsia"/>
                <w:kern w:val="0"/>
                <w:sz w:val="14"/>
                <w:szCs w:val="12"/>
              </w:rPr>
              <w:t>事業調整室</w:t>
            </w:r>
          </w:p>
        </w:tc>
      </w:tr>
      <w:tr w:rsidR="008A3EDE" w:rsidRPr="00263B73" w14:paraId="0F430640" w14:textId="77777777" w:rsidTr="00831B7C">
        <w:trPr>
          <w:trHeight w:val="340"/>
        </w:trPr>
        <w:tc>
          <w:tcPr>
            <w:tcW w:w="1501" w:type="dxa"/>
            <w:vAlign w:val="center"/>
            <w:hideMark/>
          </w:tcPr>
          <w:p w14:paraId="6094BC3A" w14:textId="77777777" w:rsidR="008A3EDE" w:rsidRPr="00263B73" w:rsidRDefault="008A3EDE" w:rsidP="00831B7C">
            <w:pPr>
              <w:widowControl/>
              <w:spacing w:line="180" w:lineRule="exact"/>
              <w:rPr>
                <w:rFonts w:ascii="ＭＳ ゴシック" w:eastAsia="ＭＳ ゴシック" w:hAnsi="ＭＳ ゴシック" w:cs="ＭＳ Ｐゴシック"/>
                <w:kern w:val="0"/>
                <w:sz w:val="14"/>
                <w:szCs w:val="12"/>
              </w:rPr>
            </w:pPr>
            <w:r w:rsidRPr="00263B73">
              <w:rPr>
                <w:rFonts w:ascii="ＭＳ ゴシック" w:eastAsia="ＭＳ ゴシック" w:hAnsi="ＭＳ ゴシック" w:cs="ＭＳ Ｐゴシック" w:hint="eastAsia"/>
                <w:kern w:val="0"/>
                <w:sz w:val="14"/>
                <w:szCs w:val="12"/>
              </w:rPr>
              <w:t>府管理道路におけるトランス油等の油漏れ事故</w:t>
            </w:r>
          </w:p>
          <w:p w14:paraId="4505E419" w14:textId="77777777" w:rsidR="008A3EDE" w:rsidRPr="00263B73" w:rsidRDefault="008A3EDE" w:rsidP="00831B7C">
            <w:pPr>
              <w:widowControl/>
              <w:spacing w:line="180" w:lineRule="exact"/>
              <w:rPr>
                <w:rFonts w:ascii="ＭＳ ゴシック" w:eastAsia="ＭＳ ゴシック" w:hAnsi="ＭＳ ゴシック" w:cs="ＭＳ Ｐゴシック"/>
                <w:kern w:val="0"/>
                <w:sz w:val="14"/>
                <w:szCs w:val="12"/>
              </w:rPr>
            </w:pPr>
          </w:p>
        </w:tc>
        <w:tc>
          <w:tcPr>
            <w:tcW w:w="800" w:type="dxa"/>
            <w:vMerge/>
            <w:noWrap/>
            <w:hideMark/>
          </w:tcPr>
          <w:p w14:paraId="0E0C638F" w14:textId="77777777" w:rsidR="008A3EDE" w:rsidRPr="00263B73" w:rsidRDefault="008A3EDE" w:rsidP="00831B7C">
            <w:pPr>
              <w:spacing w:line="180" w:lineRule="exact"/>
              <w:jc w:val="left"/>
              <w:rPr>
                <w:rFonts w:ascii="ＭＳ ゴシック" w:eastAsia="ＭＳ ゴシック" w:hAnsi="ＭＳ ゴシック" w:cs="ＭＳ Ｐゴシック"/>
                <w:kern w:val="0"/>
                <w:sz w:val="14"/>
                <w:szCs w:val="12"/>
              </w:rPr>
            </w:pPr>
          </w:p>
        </w:tc>
        <w:tc>
          <w:tcPr>
            <w:tcW w:w="4831" w:type="dxa"/>
            <w:vAlign w:val="center"/>
          </w:tcPr>
          <w:p w14:paraId="0C541B93" w14:textId="77777777" w:rsidR="008A3EDE" w:rsidRPr="00263B73" w:rsidRDefault="008A3EDE" w:rsidP="00831B7C">
            <w:pPr>
              <w:spacing w:line="180" w:lineRule="exact"/>
              <w:rPr>
                <w:rFonts w:ascii="ＭＳ ゴシック" w:eastAsia="ＭＳ ゴシック" w:hAnsi="ＭＳ ゴシック" w:cs="ＭＳ Ｐゴシック"/>
                <w:kern w:val="0"/>
                <w:sz w:val="14"/>
                <w:szCs w:val="18"/>
              </w:rPr>
            </w:pPr>
            <w:r w:rsidRPr="00263B73">
              <w:rPr>
                <w:rFonts w:ascii="ＭＳ ゴシック" w:eastAsia="ＭＳ ゴシック" w:hAnsi="ＭＳ ゴシック" w:cs="ＭＳ Ｐゴシック" w:hint="eastAsia"/>
                <w:kern w:val="0"/>
                <w:sz w:val="14"/>
                <w:szCs w:val="18"/>
              </w:rPr>
              <w:t>【大阪府管理道路におけるトランス油等の油漏れ事故対策マニュアル</w:t>
            </w:r>
            <w:r w:rsidRPr="00263B73">
              <w:rPr>
                <w:rFonts w:ascii="ＭＳ ゴシック" w:eastAsia="ＭＳ ゴシック" w:hAnsi="ＭＳ ゴシック" w:cs="ＭＳ Ｐゴシック"/>
                <w:kern w:val="0"/>
                <w:sz w:val="14"/>
                <w:szCs w:val="18"/>
              </w:rPr>
              <w:t>(案)】</w:t>
            </w:r>
          </w:p>
        </w:tc>
        <w:tc>
          <w:tcPr>
            <w:tcW w:w="850" w:type="dxa"/>
            <w:vMerge/>
            <w:noWrap/>
            <w:vAlign w:val="center"/>
            <w:hideMark/>
          </w:tcPr>
          <w:p w14:paraId="11B299D7" w14:textId="77777777" w:rsidR="008A3EDE" w:rsidRPr="00263B73" w:rsidRDefault="008A3EDE" w:rsidP="00831B7C">
            <w:pPr>
              <w:spacing w:line="180" w:lineRule="exact"/>
              <w:jc w:val="left"/>
              <w:rPr>
                <w:rFonts w:ascii="ＭＳ ゴシック" w:eastAsia="ＭＳ ゴシック" w:hAnsi="ＭＳ ゴシック" w:cs="ＭＳ Ｐゴシック"/>
                <w:kern w:val="0"/>
                <w:sz w:val="14"/>
                <w:szCs w:val="12"/>
              </w:rPr>
            </w:pPr>
          </w:p>
        </w:tc>
        <w:tc>
          <w:tcPr>
            <w:tcW w:w="1843" w:type="dxa"/>
            <w:vAlign w:val="center"/>
            <w:hideMark/>
          </w:tcPr>
          <w:p w14:paraId="0BC492DE" w14:textId="77777777" w:rsidR="008A3EDE" w:rsidRPr="00263B73" w:rsidRDefault="008A3EDE" w:rsidP="00831B7C">
            <w:pPr>
              <w:widowControl/>
              <w:spacing w:line="180" w:lineRule="exact"/>
              <w:rPr>
                <w:rFonts w:ascii="ＭＳ ゴシック" w:eastAsia="ＭＳ ゴシック" w:hAnsi="ＭＳ ゴシック" w:cs="ＭＳ Ｐゴシック"/>
                <w:kern w:val="0"/>
                <w:sz w:val="14"/>
                <w:szCs w:val="12"/>
              </w:rPr>
            </w:pPr>
            <w:r w:rsidRPr="00263B73">
              <w:rPr>
                <w:rFonts w:ascii="ＭＳ ゴシック" w:eastAsia="ＭＳ ゴシック" w:hAnsi="ＭＳ ゴシック" w:cs="ＭＳ Ｐゴシック" w:hint="eastAsia"/>
                <w:kern w:val="0"/>
                <w:sz w:val="14"/>
                <w:szCs w:val="12"/>
              </w:rPr>
              <w:t>道路室</w:t>
            </w:r>
          </w:p>
        </w:tc>
      </w:tr>
      <w:tr w:rsidR="008A3EDE" w:rsidRPr="00263B73" w14:paraId="75023494" w14:textId="77777777" w:rsidTr="00831B7C">
        <w:trPr>
          <w:trHeight w:val="340"/>
        </w:trPr>
        <w:tc>
          <w:tcPr>
            <w:tcW w:w="1501" w:type="dxa"/>
            <w:vAlign w:val="center"/>
            <w:hideMark/>
          </w:tcPr>
          <w:p w14:paraId="19537030" w14:textId="77777777" w:rsidR="008A3EDE" w:rsidRPr="00263B73" w:rsidRDefault="008A3EDE" w:rsidP="00831B7C">
            <w:pPr>
              <w:widowControl/>
              <w:spacing w:line="180" w:lineRule="exact"/>
              <w:rPr>
                <w:rFonts w:ascii="ＭＳ ゴシック" w:eastAsia="ＭＳ ゴシック" w:hAnsi="ＭＳ ゴシック" w:cs="ＭＳ Ｐゴシック"/>
                <w:kern w:val="0"/>
                <w:sz w:val="14"/>
                <w:szCs w:val="12"/>
              </w:rPr>
            </w:pPr>
            <w:r w:rsidRPr="00263B73">
              <w:rPr>
                <w:rFonts w:ascii="ＭＳ ゴシック" w:eastAsia="ＭＳ ゴシック" w:hAnsi="ＭＳ ゴシック" w:cs="ＭＳ Ｐゴシック" w:hint="eastAsia"/>
                <w:kern w:val="0"/>
                <w:sz w:val="14"/>
                <w:szCs w:val="12"/>
              </w:rPr>
              <w:t>府営公園における危機事象の発生</w:t>
            </w:r>
          </w:p>
          <w:p w14:paraId="310397FD" w14:textId="77777777" w:rsidR="008A3EDE" w:rsidRPr="00263B73" w:rsidRDefault="008A3EDE" w:rsidP="00831B7C">
            <w:pPr>
              <w:widowControl/>
              <w:spacing w:line="180" w:lineRule="exact"/>
              <w:rPr>
                <w:rFonts w:ascii="ＭＳ ゴシック" w:eastAsia="ＭＳ ゴシック" w:hAnsi="ＭＳ ゴシック" w:cs="ＭＳ Ｐゴシック"/>
                <w:kern w:val="0"/>
                <w:sz w:val="14"/>
                <w:szCs w:val="12"/>
              </w:rPr>
            </w:pPr>
          </w:p>
        </w:tc>
        <w:tc>
          <w:tcPr>
            <w:tcW w:w="800" w:type="dxa"/>
            <w:vMerge/>
            <w:noWrap/>
            <w:hideMark/>
          </w:tcPr>
          <w:p w14:paraId="71EA8160" w14:textId="77777777" w:rsidR="008A3EDE" w:rsidRPr="00263B73" w:rsidRDefault="008A3EDE" w:rsidP="00831B7C">
            <w:pPr>
              <w:widowControl/>
              <w:spacing w:line="180" w:lineRule="exact"/>
              <w:jc w:val="left"/>
              <w:rPr>
                <w:rFonts w:ascii="ＭＳ ゴシック" w:eastAsia="ＭＳ ゴシック" w:hAnsi="ＭＳ ゴシック" w:cs="ＭＳ Ｐゴシック"/>
                <w:kern w:val="0"/>
                <w:sz w:val="14"/>
                <w:szCs w:val="12"/>
              </w:rPr>
            </w:pPr>
          </w:p>
        </w:tc>
        <w:tc>
          <w:tcPr>
            <w:tcW w:w="4831" w:type="dxa"/>
            <w:vAlign w:val="center"/>
          </w:tcPr>
          <w:p w14:paraId="4C72301E" w14:textId="77777777" w:rsidR="008A3EDE" w:rsidRPr="00263B73" w:rsidRDefault="008A3EDE" w:rsidP="00831B7C">
            <w:pPr>
              <w:widowControl/>
              <w:spacing w:line="180" w:lineRule="exact"/>
              <w:rPr>
                <w:rFonts w:ascii="ＭＳ ゴシック" w:eastAsia="ＭＳ ゴシック" w:hAnsi="ＭＳ ゴシック" w:cs="ＭＳ Ｐゴシック"/>
                <w:kern w:val="0"/>
                <w:sz w:val="14"/>
                <w:szCs w:val="18"/>
              </w:rPr>
            </w:pPr>
            <w:r w:rsidRPr="00263B73">
              <w:rPr>
                <w:rFonts w:ascii="ＭＳ ゴシック" w:eastAsia="ＭＳ ゴシック" w:hAnsi="ＭＳ ゴシック" w:cs="ＭＳ Ｐゴシック" w:hint="eastAsia"/>
                <w:kern w:val="0"/>
                <w:sz w:val="14"/>
                <w:szCs w:val="18"/>
              </w:rPr>
              <w:t>【府営公園管理要領】</w:t>
            </w:r>
          </w:p>
        </w:tc>
        <w:tc>
          <w:tcPr>
            <w:tcW w:w="850" w:type="dxa"/>
            <w:vMerge/>
            <w:noWrap/>
            <w:vAlign w:val="center"/>
            <w:hideMark/>
          </w:tcPr>
          <w:p w14:paraId="53ACCCA2" w14:textId="77777777" w:rsidR="008A3EDE" w:rsidRPr="00263B73" w:rsidRDefault="008A3EDE" w:rsidP="00831B7C">
            <w:pPr>
              <w:widowControl/>
              <w:spacing w:line="180" w:lineRule="exact"/>
              <w:jc w:val="left"/>
              <w:rPr>
                <w:rFonts w:ascii="ＭＳ ゴシック" w:eastAsia="ＭＳ ゴシック" w:hAnsi="ＭＳ ゴシック" w:cs="ＭＳ Ｐゴシック"/>
                <w:kern w:val="0"/>
                <w:sz w:val="14"/>
                <w:szCs w:val="12"/>
              </w:rPr>
            </w:pPr>
          </w:p>
        </w:tc>
        <w:tc>
          <w:tcPr>
            <w:tcW w:w="1843" w:type="dxa"/>
            <w:vAlign w:val="center"/>
            <w:hideMark/>
          </w:tcPr>
          <w:p w14:paraId="2733459C" w14:textId="77777777" w:rsidR="008A3EDE" w:rsidRPr="00263B73" w:rsidRDefault="008A3EDE" w:rsidP="00831B7C">
            <w:pPr>
              <w:widowControl/>
              <w:spacing w:line="180" w:lineRule="exact"/>
              <w:rPr>
                <w:rFonts w:ascii="ＭＳ ゴシック" w:eastAsia="ＭＳ ゴシック" w:hAnsi="ＭＳ ゴシック" w:cs="ＭＳ Ｐゴシック"/>
                <w:kern w:val="0"/>
                <w:sz w:val="14"/>
                <w:szCs w:val="12"/>
              </w:rPr>
            </w:pPr>
            <w:r w:rsidRPr="00263B73">
              <w:rPr>
                <w:rFonts w:ascii="ＭＳ ゴシック" w:eastAsia="ＭＳ ゴシック" w:hAnsi="ＭＳ ゴシック" w:cs="ＭＳ Ｐゴシック" w:hint="eastAsia"/>
                <w:kern w:val="0"/>
                <w:sz w:val="14"/>
                <w:szCs w:val="12"/>
              </w:rPr>
              <w:t>公園課</w:t>
            </w:r>
          </w:p>
        </w:tc>
      </w:tr>
      <w:tr w:rsidR="008A3EDE" w:rsidRPr="00263B73" w14:paraId="683AE2DE" w14:textId="77777777" w:rsidTr="00831B7C">
        <w:trPr>
          <w:trHeight w:val="340"/>
        </w:trPr>
        <w:tc>
          <w:tcPr>
            <w:tcW w:w="1501" w:type="dxa"/>
            <w:vAlign w:val="center"/>
          </w:tcPr>
          <w:p w14:paraId="70A819D5" w14:textId="77777777" w:rsidR="008A3EDE" w:rsidRPr="00263B73" w:rsidRDefault="008A3EDE" w:rsidP="00831B7C">
            <w:pPr>
              <w:widowControl/>
              <w:spacing w:line="180" w:lineRule="exact"/>
              <w:rPr>
                <w:rFonts w:ascii="ＭＳ ゴシック" w:eastAsia="ＭＳ ゴシック" w:hAnsi="ＭＳ ゴシック" w:cs="ＭＳ Ｐゴシック"/>
                <w:kern w:val="0"/>
                <w:sz w:val="14"/>
                <w:szCs w:val="12"/>
              </w:rPr>
            </w:pPr>
            <w:r w:rsidRPr="00263B73">
              <w:rPr>
                <w:rFonts w:ascii="ＭＳ ゴシック" w:eastAsia="ＭＳ ゴシック" w:hAnsi="ＭＳ ゴシック" w:cs="ＭＳ Ｐゴシック" w:hint="eastAsia"/>
                <w:kern w:val="0"/>
                <w:sz w:val="14"/>
                <w:szCs w:val="12"/>
              </w:rPr>
              <w:t>自然災害</w:t>
            </w:r>
          </w:p>
        </w:tc>
        <w:tc>
          <w:tcPr>
            <w:tcW w:w="800" w:type="dxa"/>
            <w:vMerge/>
            <w:noWrap/>
          </w:tcPr>
          <w:p w14:paraId="7BF3FB2F" w14:textId="77777777" w:rsidR="008A3EDE" w:rsidRPr="00263B73" w:rsidRDefault="008A3EDE" w:rsidP="00831B7C">
            <w:pPr>
              <w:widowControl/>
              <w:spacing w:line="180" w:lineRule="exact"/>
              <w:jc w:val="left"/>
              <w:rPr>
                <w:rFonts w:ascii="ＭＳ ゴシック" w:eastAsia="ＭＳ ゴシック" w:hAnsi="ＭＳ ゴシック" w:cs="ＭＳ Ｐゴシック"/>
                <w:kern w:val="0"/>
                <w:sz w:val="14"/>
                <w:szCs w:val="14"/>
              </w:rPr>
            </w:pPr>
          </w:p>
        </w:tc>
        <w:tc>
          <w:tcPr>
            <w:tcW w:w="4831" w:type="dxa"/>
            <w:vAlign w:val="center"/>
          </w:tcPr>
          <w:p w14:paraId="59F82F30" w14:textId="77777777" w:rsidR="008A3EDE" w:rsidRPr="00263B73" w:rsidRDefault="008A3EDE" w:rsidP="00831B7C">
            <w:pPr>
              <w:widowControl/>
              <w:spacing w:line="180" w:lineRule="exact"/>
              <w:rPr>
                <w:rFonts w:ascii="ＭＳ ゴシック" w:eastAsia="ＭＳ ゴシック" w:hAnsi="ＭＳ ゴシック" w:cs="ＭＳ Ｐゴシック"/>
                <w:kern w:val="0"/>
                <w:sz w:val="14"/>
                <w:szCs w:val="18"/>
              </w:rPr>
            </w:pPr>
            <w:r w:rsidRPr="00263B73">
              <w:rPr>
                <w:rFonts w:ascii="ＭＳ ゴシック" w:eastAsia="ＭＳ ゴシック" w:hAnsi="ＭＳ ゴシック" w:cs="ＭＳ Ｐゴシック" w:hint="eastAsia"/>
                <w:kern w:val="0"/>
                <w:sz w:val="14"/>
                <w:szCs w:val="18"/>
              </w:rPr>
              <w:t>【危険度判定班（被災建築物応急危険度判定支援本部、被災宅地危険度判定支援本部）業務活動マニュアル】</w:t>
            </w:r>
          </w:p>
        </w:tc>
        <w:tc>
          <w:tcPr>
            <w:tcW w:w="850" w:type="dxa"/>
            <w:vMerge/>
            <w:noWrap/>
            <w:vAlign w:val="center"/>
          </w:tcPr>
          <w:p w14:paraId="21371AAF" w14:textId="77777777" w:rsidR="008A3EDE" w:rsidRPr="00263B73" w:rsidRDefault="008A3EDE" w:rsidP="00831B7C">
            <w:pPr>
              <w:widowControl/>
              <w:spacing w:line="180" w:lineRule="exact"/>
              <w:jc w:val="left"/>
              <w:rPr>
                <w:rFonts w:ascii="ＭＳ ゴシック" w:eastAsia="ＭＳ ゴシック" w:hAnsi="ＭＳ ゴシック" w:cs="ＭＳ Ｐゴシック"/>
                <w:kern w:val="0"/>
                <w:sz w:val="14"/>
                <w:szCs w:val="12"/>
              </w:rPr>
            </w:pPr>
          </w:p>
        </w:tc>
        <w:tc>
          <w:tcPr>
            <w:tcW w:w="1843" w:type="dxa"/>
            <w:vAlign w:val="center"/>
          </w:tcPr>
          <w:p w14:paraId="5A0761AC" w14:textId="77777777" w:rsidR="008A3EDE" w:rsidRPr="00263B73" w:rsidRDefault="008A3EDE" w:rsidP="00831B7C">
            <w:pPr>
              <w:widowControl/>
              <w:spacing w:line="180" w:lineRule="exact"/>
              <w:rPr>
                <w:rFonts w:ascii="ＭＳ ゴシック" w:eastAsia="ＭＳ ゴシック" w:hAnsi="ＭＳ ゴシック" w:cs="ＭＳ Ｐゴシック"/>
                <w:color w:val="FF0000"/>
                <w:kern w:val="0"/>
                <w:sz w:val="14"/>
                <w:szCs w:val="12"/>
              </w:rPr>
            </w:pPr>
            <w:r w:rsidRPr="00263B73">
              <w:rPr>
                <w:rFonts w:ascii="ＭＳ ゴシック" w:eastAsia="ＭＳ ゴシック" w:hAnsi="ＭＳ ゴシック" w:cs="ＭＳ Ｐゴシック" w:hint="eastAsia"/>
                <w:kern w:val="0"/>
                <w:sz w:val="14"/>
                <w:szCs w:val="12"/>
              </w:rPr>
              <w:t>事業調整室</w:t>
            </w:r>
          </w:p>
        </w:tc>
      </w:tr>
      <w:tr w:rsidR="008A3EDE" w:rsidRPr="00263B73" w14:paraId="055D25ED" w14:textId="77777777" w:rsidTr="00831B7C">
        <w:trPr>
          <w:trHeight w:val="20"/>
        </w:trPr>
        <w:tc>
          <w:tcPr>
            <w:tcW w:w="1501" w:type="dxa"/>
            <w:vMerge w:val="restart"/>
          </w:tcPr>
          <w:p w14:paraId="361E4141" w14:textId="77777777" w:rsidR="008A3EDE" w:rsidRPr="00263B73" w:rsidRDefault="008A3EDE" w:rsidP="00831B7C">
            <w:pPr>
              <w:widowControl/>
              <w:spacing w:line="180" w:lineRule="exact"/>
              <w:jc w:val="left"/>
              <w:rPr>
                <w:rFonts w:ascii="ＭＳ ゴシック" w:eastAsia="ＭＳ ゴシック" w:hAnsi="ＭＳ ゴシック" w:cs="ＭＳ Ｐゴシック"/>
                <w:kern w:val="0"/>
                <w:sz w:val="14"/>
                <w:szCs w:val="12"/>
              </w:rPr>
            </w:pPr>
            <w:r w:rsidRPr="00263B73">
              <w:rPr>
                <w:rFonts w:ascii="ＭＳ ゴシック" w:eastAsia="ＭＳ ゴシック" w:hAnsi="ＭＳ ゴシック" w:cs="ＭＳ Ｐゴシック" w:hint="eastAsia"/>
                <w:kern w:val="0"/>
                <w:sz w:val="14"/>
                <w:szCs w:val="12"/>
              </w:rPr>
              <w:t>建築物及び住宅に係る事故</w:t>
            </w:r>
          </w:p>
        </w:tc>
        <w:tc>
          <w:tcPr>
            <w:tcW w:w="5631" w:type="dxa"/>
            <w:gridSpan w:val="2"/>
            <w:noWrap/>
            <w:vAlign w:val="center"/>
          </w:tcPr>
          <w:p w14:paraId="41BA35F3" w14:textId="77777777" w:rsidR="008A3EDE" w:rsidRPr="00263B73" w:rsidRDefault="008A3EDE" w:rsidP="00831B7C">
            <w:pPr>
              <w:widowControl/>
              <w:spacing w:line="180" w:lineRule="exact"/>
              <w:jc w:val="left"/>
              <w:rPr>
                <w:rFonts w:ascii="ＭＳ ゴシック" w:eastAsia="ＭＳ ゴシック" w:hAnsi="ＭＳ ゴシック" w:cs="ＭＳ Ｐゴシック"/>
                <w:kern w:val="0"/>
                <w:sz w:val="14"/>
                <w:szCs w:val="12"/>
              </w:rPr>
            </w:pPr>
            <w:r w:rsidRPr="00263B73">
              <w:rPr>
                <w:rFonts w:ascii="ＭＳ ゴシック" w:eastAsia="ＭＳ ゴシック" w:hAnsi="ＭＳ ゴシック" w:cs="ＭＳ Ｐゴシック" w:hint="eastAsia"/>
                <w:kern w:val="0"/>
                <w:sz w:val="14"/>
                <w:szCs w:val="12"/>
              </w:rPr>
              <w:t>建築物及び宅地に関する危機管理マニュアル</w:t>
            </w:r>
          </w:p>
        </w:tc>
        <w:tc>
          <w:tcPr>
            <w:tcW w:w="850" w:type="dxa"/>
            <w:vMerge/>
            <w:noWrap/>
            <w:vAlign w:val="center"/>
          </w:tcPr>
          <w:p w14:paraId="1FB4953A" w14:textId="77777777" w:rsidR="008A3EDE" w:rsidRPr="00263B73" w:rsidRDefault="008A3EDE" w:rsidP="00831B7C">
            <w:pPr>
              <w:widowControl/>
              <w:spacing w:line="180" w:lineRule="exact"/>
              <w:jc w:val="left"/>
              <w:rPr>
                <w:rFonts w:ascii="ＭＳ ゴシック" w:eastAsia="ＭＳ ゴシック" w:hAnsi="ＭＳ ゴシック" w:cs="ＭＳ Ｐゴシック"/>
                <w:kern w:val="0"/>
                <w:sz w:val="14"/>
                <w:szCs w:val="12"/>
              </w:rPr>
            </w:pPr>
          </w:p>
        </w:tc>
        <w:tc>
          <w:tcPr>
            <w:tcW w:w="1843" w:type="dxa"/>
            <w:vAlign w:val="center"/>
          </w:tcPr>
          <w:p w14:paraId="6DCDA5C3" w14:textId="77777777" w:rsidR="008A3EDE" w:rsidRPr="00263B73" w:rsidRDefault="008A3EDE" w:rsidP="00831B7C">
            <w:pPr>
              <w:widowControl/>
              <w:spacing w:line="180" w:lineRule="exact"/>
              <w:rPr>
                <w:rFonts w:ascii="ＭＳ ゴシック" w:eastAsia="ＭＳ ゴシック" w:hAnsi="ＭＳ ゴシック" w:cs="ＭＳ Ｐゴシック"/>
                <w:kern w:val="0"/>
                <w:sz w:val="14"/>
                <w:szCs w:val="12"/>
              </w:rPr>
            </w:pPr>
            <w:r w:rsidRPr="00263B73">
              <w:rPr>
                <w:rFonts w:ascii="ＭＳ ゴシック" w:eastAsia="ＭＳ ゴシック" w:hAnsi="ＭＳ ゴシック" w:cs="ＭＳ Ｐゴシック" w:hint="eastAsia"/>
                <w:kern w:val="0"/>
                <w:sz w:val="14"/>
                <w:szCs w:val="12"/>
              </w:rPr>
              <w:t>建築指導室</w:t>
            </w:r>
          </w:p>
        </w:tc>
      </w:tr>
      <w:tr w:rsidR="008A3EDE" w:rsidRPr="00263B73" w14:paraId="0FFD9556" w14:textId="77777777" w:rsidTr="00831B7C">
        <w:trPr>
          <w:trHeight w:val="20"/>
        </w:trPr>
        <w:tc>
          <w:tcPr>
            <w:tcW w:w="1501" w:type="dxa"/>
            <w:vMerge/>
          </w:tcPr>
          <w:p w14:paraId="6184A0C7" w14:textId="77777777" w:rsidR="008A3EDE" w:rsidRPr="00263B73" w:rsidRDefault="008A3EDE" w:rsidP="00831B7C">
            <w:pPr>
              <w:widowControl/>
              <w:spacing w:line="180" w:lineRule="exact"/>
              <w:jc w:val="left"/>
              <w:rPr>
                <w:rFonts w:ascii="ＭＳ ゴシック" w:eastAsia="ＭＳ ゴシック" w:hAnsi="ＭＳ ゴシック" w:cs="ＭＳ Ｐゴシック"/>
                <w:kern w:val="0"/>
                <w:sz w:val="14"/>
                <w:szCs w:val="12"/>
              </w:rPr>
            </w:pPr>
          </w:p>
        </w:tc>
        <w:tc>
          <w:tcPr>
            <w:tcW w:w="5631" w:type="dxa"/>
            <w:gridSpan w:val="2"/>
            <w:noWrap/>
            <w:vAlign w:val="center"/>
          </w:tcPr>
          <w:p w14:paraId="3818EE86" w14:textId="77777777" w:rsidR="008A3EDE" w:rsidRPr="00263B73" w:rsidRDefault="008A3EDE" w:rsidP="00831B7C">
            <w:pPr>
              <w:widowControl/>
              <w:spacing w:line="180" w:lineRule="exact"/>
              <w:jc w:val="left"/>
              <w:rPr>
                <w:rFonts w:ascii="ＭＳ ゴシック" w:eastAsia="ＭＳ ゴシック" w:hAnsi="ＭＳ ゴシック" w:cs="ＭＳ Ｐゴシック"/>
                <w:kern w:val="0"/>
                <w:sz w:val="14"/>
                <w:szCs w:val="12"/>
              </w:rPr>
            </w:pPr>
            <w:r w:rsidRPr="00263B73">
              <w:rPr>
                <w:rFonts w:ascii="ＭＳ ゴシック" w:eastAsia="ＭＳ ゴシック" w:hAnsi="ＭＳ ゴシック" w:cs="ＭＳ Ｐゴシック" w:hint="eastAsia"/>
                <w:kern w:val="0"/>
                <w:sz w:val="14"/>
                <w:szCs w:val="12"/>
              </w:rPr>
              <w:t>工事現場の防火管理対応マニュアル</w:t>
            </w:r>
          </w:p>
        </w:tc>
        <w:tc>
          <w:tcPr>
            <w:tcW w:w="850" w:type="dxa"/>
            <w:vMerge/>
            <w:noWrap/>
            <w:vAlign w:val="center"/>
          </w:tcPr>
          <w:p w14:paraId="2F836AAA" w14:textId="77777777" w:rsidR="008A3EDE" w:rsidRPr="00263B73" w:rsidRDefault="008A3EDE" w:rsidP="00831B7C">
            <w:pPr>
              <w:widowControl/>
              <w:spacing w:line="180" w:lineRule="exact"/>
              <w:jc w:val="left"/>
              <w:rPr>
                <w:rFonts w:ascii="ＭＳ ゴシック" w:eastAsia="ＭＳ ゴシック" w:hAnsi="ＭＳ ゴシック" w:cs="ＭＳ Ｐゴシック"/>
                <w:kern w:val="0"/>
                <w:sz w:val="14"/>
                <w:szCs w:val="12"/>
              </w:rPr>
            </w:pPr>
          </w:p>
        </w:tc>
        <w:tc>
          <w:tcPr>
            <w:tcW w:w="1843" w:type="dxa"/>
            <w:vAlign w:val="center"/>
          </w:tcPr>
          <w:p w14:paraId="5F9FC962" w14:textId="77777777" w:rsidR="008A3EDE" w:rsidRPr="00263B73" w:rsidRDefault="008A3EDE" w:rsidP="00831B7C">
            <w:pPr>
              <w:widowControl/>
              <w:spacing w:line="180" w:lineRule="exact"/>
              <w:rPr>
                <w:rFonts w:ascii="ＭＳ ゴシック" w:eastAsia="ＭＳ ゴシック" w:hAnsi="ＭＳ ゴシック" w:cs="ＭＳ Ｐゴシック"/>
                <w:kern w:val="0"/>
                <w:sz w:val="14"/>
                <w:szCs w:val="12"/>
              </w:rPr>
            </w:pPr>
            <w:r w:rsidRPr="00263B73">
              <w:rPr>
                <w:rFonts w:ascii="ＭＳ ゴシック" w:eastAsia="ＭＳ ゴシック" w:hAnsi="ＭＳ ゴシック" w:cs="ＭＳ Ｐゴシック" w:hint="eastAsia"/>
                <w:kern w:val="0"/>
                <w:sz w:val="14"/>
                <w:szCs w:val="12"/>
              </w:rPr>
              <w:t>公共建築室</w:t>
            </w:r>
          </w:p>
        </w:tc>
      </w:tr>
      <w:tr w:rsidR="008A3EDE" w:rsidRPr="00263B73" w14:paraId="6641DB02" w14:textId="77777777" w:rsidTr="00831B7C">
        <w:trPr>
          <w:trHeight w:val="20"/>
        </w:trPr>
        <w:tc>
          <w:tcPr>
            <w:tcW w:w="1501" w:type="dxa"/>
            <w:vMerge w:val="restart"/>
          </w:tcPr>
          <w:p w14:paraId="0E56CAD4" w14:textId="77777777" w:rsidR="008A3EDE" w:rsidRPr="00263B73" w:rsidRDefault="008A3EDE" w:rsidP="00831B7C">
            <w:pPr>
              <w:widowControl/>
              <w:spacing w:line="180" w:lineRule="exact"/>
              <w:jc w:val="left"/>
              <w:rPr>
                <w:rFonts w:ascii="ＭＳ ゴシック" w:eastAsia="ＭＳ ゴシック" w:hAnsi="ＭＳ ゴシック" w:cs="ＭＳ Ｐゴシック"/>
                <w:kern w:val="0"/>
                <w:sz w:val="14"/>
                <w:szCs w:val="12"/>
              </w:rPr>
            </w:pPr>
            <w:r w:rsidRPr="00263B73">
              <w:rPr>
                <w:rFonts w:ascii="ＭＳ ゴシック" w:eastAsia="ＭＳ ゴシック" w:hAnsi="ＭＳ ゴシック" w:cs="ＭＳ Ｐゴシック" w:hint="eastAsia"/>
                <w:kern w:val="0"/>
                <w:sz w:val="14"/>
                <w:szCs w:val="12"/>
              </w:rPr>
              <w:t>府営住宅施設に係る事故</w:t>
            </w:r>
          </w:p>
        </w:tc>
        <w:tc>
          <w:tcPr>
            <w:tcW w:w="5631" w:type="dxa"/>
            <w:gridSpan w:val="2"/>
            <w:noWrap/>
            <w:vAlign w:val="center"/>
          </w:tcPr>
          <w:p w14:paraId="32AFDE8A" w14:textId="77777777" w:rsidR="008A3EDE" w:rsidRPr="00263B73" w:rsidRDefault="008A3EDE" w:rsidP="00831B7C">
            <w:pPr>
              <w:widowControl/>
              <w:spacing w:line="180" w:lineRule="exact"/>
              <w:jc w:val="left"/>
              <w:rPr>
                <w:rFonts w:ascii="ＭＳ ゴシック" w:eastAsia="ＭＳ ゴシック" w:hAnsi="ＭＳ ゴシック" w:cs="ＭＳ Ｐゴシック"/>
                <w:kern w:val="0"/>
                <w:sz w:val="14"/>
                <w:szCs w:val="12"/>
              </w:rPr>
            </w:pPr>
            <w:r w:rsidRPr="00263B73">
              <w:rPr>
                <w:rFonts w:ascii="ＭＳ ゴシック" w:eastAsia="ＭＳ ゴシック" w:hAnsi="ＭＳ ゴシック" w:cs="ＭＳ Ｐゴシック" w:hint="eastAsia"/>
                <w:kern w:val="0"/>
                <w:sz w:val="14"/>
                <w:szCs w:val="12"/>
              </w:rPr>
              <w:t>住宅施設点検マニュアル</w:t>
            </w:r>
          </w:p>
        </w:tc>
        <w:tc>
          <w:tcPr>
            <w:tcW w:w="850" w:type="dxa"/>
            <w:vMerge/>
            <w:noWrap/>
            <w:vAlign w:val="center"/>
          </w:tcPr>
          <w:p w14:paraId="1FF91E77" w14:textId="77777777" w:rsidR="008A3EDE" w:rsidRPr="00263B73" w:rsidRDefault="008A3EDE" w:rsidP="00831B7C">
            <w:pPr>
              <w:widowControl/>
              <w:spacing w:line="180" w:lineRule="exact"/>
              <w:jc w:val="left"/>
              <w:rPr>
                <w:rFonts w:ascii="ＭＳ ゴシック" w:eastAsia="ＭＳ ゴシック" w:hAnsi="ＭＳ ゴシック" w:cs="ＭＳ Ｐゴシック"/>
                <w:kern w:val="0"/>
                <w:sz w:val="14"/>
                <w:szCs w:val="12"/>
              </w:rPr>
            </w:pPr>
          </w:p>
        </w:tc>
        <w:tc>
          <w:tcPr>
            <w:tcW w:w="1843" w:type="dxa"/>
            <w:vAlign w:val="center"/>
          </w:tcPr>
          <w:p w14:paraId="331275E7" w14:textId="77777777" w:rsidR="008A3EDE" w:rsidRPr="00263B73" w:rsidRDefault="008A3EDE" w:rsidP="00831B7C">
            <w:pPr>
              <w:widowControl/>
              <w:spacing w:line="180" w:lineRule="exact"/>
              <w:rPr>
                <w:rFonts w:ascii="ＭＳ ゴシック" w:eastAsia="ＭＳ ゴシック" w:hAnsi="ＭＳ ゴシック" w:cs="ＭＳ Ｐゴシック"/>
                <w:kern w:val="0"/>
                <w:sz w:val="14"/>
                <w:szCs w:val="12"/>
              </w:rPr>
            </w:pPr>
            <w:r w:rsidRPr="00263B73">
              <w:rPr>
                <w:rFonts w:ascii="ＭＳ ゴシック" w:eastAsia="ＭＳ ゴシック" w:hAnsi="ＭＳ ゴシック" w:cs="ＭＳ Ｐゴシック" w:hint="eastAsia"/>
                <w:kern w:val="0"/>
                <w:sz w:val="14"/>
                <w:szCs w:val="12"/>
              </w:rPr>
              <w:t>住宅経営室施設保全課</w:t>
            </w:r>
          </w:p>
        </w:tc>
      </w:tr>
      <w:tr w:rsidR="008A3EDE" w:rsidRPr="00263B73" w14:paraId="0A63F6C1" w14:textId="77777777" w:rsidTr="00831B7C">
        <w:trPr>
          <w:trHeight w:val="20"/>
        </w:trPr>
        <w:tc>
          <w:tcPr>
            <w:tcW w:w="1501" w:type="dxa"/>
            <w:vMerge/>
          </w:tcPr>
          <w:p w14:paraId="077BCF7F" w14:textId="77777777" w:rsidR="008A3EDE" w:rsidRPr="00263B73" w:rsidRDefault="008A3EDE" w:rsidP="00831B7C">
            <w:pPr>
              <w:widowControl/>
              <w:spacing w:line="180" w:lineRule="exact"/>
              <w:jc w:val="left"/>
              <w:rPr>
                <w:rFonts w:ascii="ＭＳ ゴシック" w:eastAsia="ＭＳ ゴシック" w:hAnsi="ＭＳ ゴシック" w:cs="ＭＳ Ｐゴシック"/>
                <w:kern w:val="0"/>
                <w:sz w:val="14"/>
                <w:szCs w:val="12"/>
              </w:rPr>
            </w:pPr>
          </w:p>
        </w:tc>
        <w:tc>
          <w:tcPr>
            <w:tcW w:w="5631" w:type="dxa"/>
            <w:gridSpan w:val="2"/>
            <w:noWrap/>
            <w:vAlign w:val="center"/>
          </w:tcPr>
          <w:p w14:paraId="33D3E09A" w14:textId="77777777" w:rsidR="008A3EDE" w:rsidRPr="00263B73" w:rsidRDefault="008A3EDE" w:rsidP="00831B7C">
            <w:pPr>
              <w:widowControl/>
              <w:spacing w:line="180" w:lineRule="exact"/>
              <w:jc w:val="left"/>
              <w:rPr>
                <w:rFonts w:ascii="ＭＳ ゴシック" w:eastAsia="ＭＳ ゴシック" w:hAnsi="ＭＳ ゴシック" w:cs="ＭＳ Ｐゴシック"/>
                <w:kern w:val="0"/>
                <w:sz w:val="14"/>
                <w:szCs w:val="12"/>
              </w:rPr>
            </w:pPr>
            <w:r w:rsidRPr="00263B73">
              <w:rPr>
                <w:rFonts w:ascii="ＭＳ ゴシック" w:eastAsia="ＭＳ ゴシック" w:hAnsi="ＭＳ ゴシック" w:cs="ＭＳ Ｐゴシック" w:hint="eastAsia"/>
                <w:kern w:val="0"/>
                <w:sz w:val="14"/>
                <w:szCs w:val="12"/>
              </w:rPr>
              <w:t>遊具等安全点検マニュアル</w:t>
            </w:r>
          </w:p>
        </w:tc>
        <w:tc>
          <w:tcPr>
            <w:tcW w:w="850" w:type="dxa"/>
            <w:vMerge/>
            <w:noWrap/>
            <w:vAlign w:val="center"/>
          </w:tcPr>
          <w:p w14:paraId="625C46E4" w14:textId="77777777" w:rsidR="008A3EDE" w:rsidRPr="00263B73" w:rsidRDefault="008A3EDE" w:rsidP="00831B7C">
            <w:pPr>
              <w:widowControl/>
              <w:spacing w:line="180" w:lineRule="exact"/>
              <w:jc w:val="left"/>
              <w:rPr>
                <w:rFonts w:ascii="ＭＳ ゴシック" w:eastAsia="ＭＳ ゴシック" w:hAnsi="ＭＳ ゴシック" w:cs="ＭＳ Ｐゴシック"/>
                <w:kern w:val="0"/>
                <w:sz w:val="14"/>
                <w:szCs w:val="12"/>
              </w:rPr>
            </w:pPr>
          </w:p>
        </w:tc>
        <w:tc>
          <w:tcPr>
            <w:tcW w:w="1843" w:type="dxa"/>
            <w:vAlign w:val="center"/>
          </w:tcPr>
          <w:p w14:paraId="09187598" w14:textId="77777777" w:rsidR="008A3EDE" w:rsidRPr="00263B73" w:rsidRDefault="008A3EDE" w:rsidP="00831B7C">
            <w:pPr>
              <w:widowControl/>
              <w:spacing w:line="180" w:lineRule="exact"/>
              <w:rPr>
                <w:rFonts w:ascii="ＭＳ ゴシック" w:eastAsia="ＭＳ ゴシック" w:hAnsi="ＭＳ ゴシック" w:cs="ＭＳ Ｐゴシック"/>
                <w:kern w:val="0"/>
                <w:sz w:val="14"/>
                <w:szCs w:val="12"/>
              </w:rPr>
            </w:pPr>
            <w:r w:rsidRPr="00263B73">
              <w:rPr>
                <w:rFonts w:ascii="ＭＳ ゴシック" w:eastAsia="ＭＳ ゴシック" w:hAnsi="ＭＳ ゴシック" w:cs="ＭＳ Ｐゴシック" w:hint="eastAsia"/>
                <w:kern w:val="0"/>
                <w:sz w:val="14"/>
                <w:szCs w:val="12"/>
              </w:rPr>
              <w:t>住宅経営室施設保全課</w:t>
            </w:r>
          </w:p>
        </w:tc>
      </w:tr>
      <w:tr w:rsidR="008A3EDE" w:rsidRPr="00263B73" w14:paraId="036170F9" w14:textId="77777777" w:rsidTr="00831B7C">
        <w:trPr>
          <w:trHeight w:val="20"/>
        </w:trPr>
        <w:tc>
          <w:tcPr>
            <w:tcW w:w="1501" w:type="dxa"/>
            <w:vMerge w:val="restart"/>
          </w:tcPr>
          <w:p w14:paraId="37FDF5DF" w14:textId="77777777" w:rsidR="008A3EDE" w:rsidRPr="00263B73" w:rsidRDefault="008A3EDE" w:rsidP="00831B7C">
            <w:pPr>
              <w:widowControl/>
              <w:spacing w:line="180" w:lineRule="exact"/>
              <w:jc w:val="left"/>
              <w:rPr>
                <w:rFonts w:ascii="ＭＳ ゴシック" w:eastAsia="ＭＳ ゴシック" w:hAnsi="ＭＳ ゴシック" w:cs="ＭＳ Ｐゴシック"/>
                <w:kern w:val="0"/>
                <w:sz w:val="14"/>
                <w:szCs w:val="12"/>
              </w:rPr>
            </w:pPr>
            <w:r w:rsidRPr="00263B73">
              <w:rPr>
                <w:rFonts w:ascii="ＭＳ ゴシック" w:eastAsia="ＭＳ ゴシック" w:hAnsi="ＭＳ ゴシック" w:cs="ＭＳ Ｐゴシック" w:hint="eastAsia"/>
                <w:kern w:val="0"/>
                <w:sz w:val="14"/>
                <w:szCs w:val="12"/>
              </w:rPr>
              <w:t>自然災害、事故・事件</w:t>
            </w:r>
          </w:p>
        </w:tc>
        <w:tc>
          <w:tcPr>
            <w:tcW w:w="5631" w:type="dxa"/>
            <w:gridSpan w:val="2"/>
            <w:noWrap/>
            <w:vAlign w:val="center"/>
          </w:tcPr>
          <w:p w14:paraId="24CE48DA" w14:textId="77777777" w:rsidR="008A3EDE" w:rsidRPr="00263B73" w:rsidRDefault="008A3EDE" w:rsidP="00831B7C">
            <w:pPr>
              <w:widowControl/>
              <w:spacing w:line="180" w:lineRule="exact"/>
              <w:jc w:val="left"/>
              <w:rPr>
                <w:rFonts w:ascii="ＭＳ ゴシック" w:eastAsia="ＭＳ ゴシック" w:hAnsi="ＭＳ ゴシック" w:cs="ＭＳ Ｐゴシック"/>
                <w:kern w:val="0"/>
                <w:sz w:val="14"/>
                <w:szCs w:val="12"/>
              </w:rPr>
            </w:pPr>
            <w:r w:rsidRPr="00263B73">
              <w:rPr>
                <w:rFonts w:ascii="ＭＳ ゴシック" w:eastAsia="ＭＳ ゴシック" w:hAnsi="ＭＳ ゴシック" w:cs="ＭＳ Ｐゴシック" w:hint="eastAsia"/>
                <w:kern w:val="0"/>
                <w:sz w:val="14"/>
                <w:szCs w:val="12"/>
              </w:rPr>
              <w:t>応急仮設住宅建設マニュアル</w:t>
            </w:r>
          </w:p>
        </w:tc>
        <w:tc>
          <w:tcPr>
            <w:tcW w:w="850" w:type="dxa"/>
            <w:vMerge/>
            <w:noWrap/>
            <w:vAlign w:val="center"/>
          </w:tcPr>
          <w:p w14:paraId="18CD88B2" w14:textId="77777777" w:rsidR="008A3EDE" w:rsidRPr="00263B73" w:rsidRDefault="008A3EDE" w:rsidP="00831B7C">
            <w:pPr>
              <w:widowControl/>
              <w:spacing w:line="180" w:lineRule="exact"/>
              <w:jc w:val="left"/>
              <w:rPr>
                <w:rFonts w:ascii="ＭＳ ゴシック" w:eastAsia="ＭＳ ゴシック" w:hAnsi="ＭＳ ゴシック" w:cs="ＭＳ Ｐゴシック"/>
                <w:kern w:val="0"/>
                <w:sz w:val="14"/>
                <w:szCs w:val="12"/>
              </w:rPr>
            </w:pPr>
          </w:p>
        </w:tc>
        <w:tc>
          <w:tcPr>
            <w:tcW w:w="1843" w:type="dxa"/>
            <w:vAlign w:val="center"/>
          </w:tcPr>
          <w:p w14:paraId="2001E2AB" w14:textId="77777777" w:rsidR="008A3EDE" w:rsidRPr="00263B73" w:rsidRDefault="008A3EDE" w:rsidP="00831B7C">
            <w:pPr>
              <w:widowControl/>
              <w:spacing w:line="180" w:lineRule="exact"/>
              <w:rPr>
                <w:rFonts w:ascii="ＭＳ ゴシック" w:eastAsia="ＭＳ ゴシック" w:hAnsi="ＭＳ ゴシック" w:cs="ＭＳ Ｐゴシック"/>
                <w:kern w:val="0"/>
                <w:sz w:val="14"/>
                <w:szCs w:val="12"/>
              </w:rPr>
            </w:pPr>
            <w:r w:rsidRPr="00263B73">
              <w:rPr>
                <w:rFonts w:ascii="ＭＳ ゴシック" w:eastAsia="ＭＳ ゴシック" w:hAnsi="ＭＳ ゴシック" w:cs="ＭＳ Ｐゴシック" w:hint="eastAsia"/>
                <w:kern w:val="0"/>
                <w:sz w:val="14"/>
                <w:szCs w:val="12"/>
              </w:rPr>
              <w:t>住宅経営室住宅整備課</w:t>
            </w:r>
          </w:p>
        </w:tc>
      </w:tr>
      <w:tr w:rsidR="008A3EDE" w:rsidRPr="00263B73" w14:paraId="1C028A71" w14:textId="77777777" w:rsidTr="00831B7C">
        <w:trPr>
          <w:trHeight w:val="20"/>
        </w:trPr>
        <w:tc>
          <w:tcPr>
            <w:tcW w:w="1501" w:type="dxa"/>
            <w:vMerge/>
          </w:tcPr>
          <w:p w14:paraId="4C37B26F" w14:textId="77777777" w:rsidR="008A3EDE" w:rsidRPr="00263B73" w:rsidRDefault="008A3EDE" w:rsidP="00831B7C">
            <w:pPr>
              <w:widowControl/>
              <w:spacing w:line="180" w:lineRule="exact"/>
              <w:jc w:val="left"/>
              <w:rPr>
                <w:rFonts w:ascii="ＭＳ ゴシック" w:eastAsia="ＭＳ ゴシック" w:hAnsi="ＭＳ ゴシック" w:cs="ＭＳ Ｐゴシック"/>
                <w:kern w:val="0"/>
                <w:sz w:val="14"/>
                <w:szCs w:val="12"/>
              </w:rPr>
            </w:pPr>
          </w:p>
        </w:tc>
        <w:tc>
          <w:tcPr>
            <w:tcW w:w="5631" w:type="dxa"/>
            <w:gridSpan w:val="2"/>
            <w:noWrap/>
            <w:vAlign w:val="center"/>
          </w:tcPr>
          <w:p w14:paraId="0FC52C16" w14:textId="77777777" w:rsidR="008A3EDE" w:rsidRPr="00263B73" w:rsidRDefault="008A3EDE" w:rsidP="00831B7C">
            <w:pPr>
              <w:widowControl/>
              <w:jc w:val="left"/>
              <w:rPr>
                <w:rFonts w:asciiTheme="majorEastAsia" w:eastAsiaTheme="majorEastAsia" w:hAnsiTheme="majorEastAsia"/>
                <w:kern w:val="0"/>
                <w:sz w:val="14"/>
                <w:szCs w:val="14"/>
              </w:rPr>
            </w:pPr>
            <w:r w:rsidRPr="00263B73">
              <w:rPr>
                <w:rFonts w:asciiTheme="majorEastAsia" w:eastAsiaTheme="majorEastAsia" w:hAnsiTheme="majorEastAsia" w:hint="eastAsia"/>
                <w:sz w:val="14"/>
                <w:szCs w:val="14"/>
              </w:rPr>
              <w:t>住宅建築局地震災害初動体制マニュアル</w:t>
            </w:r>
          </w:p>
        </w:tc>
        <w:tc>
          <w:tcPr>
            <w:tcW w:w="850" w:type="dxa"/>
            <w:vMerge/>
            <w:noWrap/>
            <w:vAlign w:val="center"/>
          </w:tcPr>
          <w:p w14:paraId="1A3900B7" w14:textId="77777777" w:rsidR="008A3EDE" w:rsidRPr="00263B73" w:rsidRDefault="008A3EDE" w:rsidP="00831B7C">
            <w:pPr>
              <w:widowControl/>
              <w:spacing w:line="180" w:lineRule="exact"/>
              <w:jc w:val="left"/>
              <w:rPr>
                <w:rFonts w:ascii="ＭＳ ゴシック" w:eastAsia="ＭＳ ゴシック" w:hAnsi="ＭＳ ゴシック" w:cs="ＭＳ Ｐゴシック"/>
                <w:kern w:val="0"/>
                <w:sz w:val="14"/>
                <w:szCs w:val="12"/>
              </w:rPr>
            </w:pPr>
          </w:p>
        </w:tc>
        <w:tc>
          <w:tcPr>
            <w:tcW w:w="1843" w:type="dxa"/>
            <w:vAlign w:val="center"/>
          </w:tcPr>
          <w:p w14:paraId="17DD3337" w14:textId="77777777" w:rsidR="008A3EDE" w:rsidRPr="00263B73" w:rsidRDefault="008A3EDE" w:rsidP="00831B7C">
            <w:pPr>
              <w:widowControl/>
              <w:spacing w:line="180" w:lineRule="exact"/>
              <w:rPr>
                <w:rFonts w:ascii="ＭＳ ゴシック" w:eastAsia="ＭＳ ゴシック" w:hAnsi="ＭＳ ゴシック" w:cs="ＭＳ Ｐゴシック"/>
                <w:kern w:val="0"/>
                <w:sz w:val="14"/>
                <w:szCs w:val="12"/>
              </w:rPr>
            </w:pPr>
            <w:r w:rsidRPr="00263B73">
              <w:rPr>
                <w:rFonts w:ascii="ＭＳ ゴシック" w:eastAsia="ＭＳ ゴシック" w:hAnsi="ＭＳ ゴシック" w:cs="ＭＳ Ｐゴシック" w:hint="eastAsia"/>
                <w:kern w:val="0"/>
                <w:sz w:val="14"/>
                <w:szCs w:val="12"/>
              </w:rPr>
              <w:t>住宅経営室居住企画課</w:t>
            </w:r>
          </w:p>
        </w:tc>
      </w:tr>
      <w:tr w:rsidR="008A3EDE" w:rsidRPr="00263B73" w14:paraId="10801EDF" w14:textId="77777777" w:rsidTr="00831B7C">
        <w:trPr>
          <w:trHeight w:val="20"/>
        </w:trPr>
        <w:tc>
          <w:tcPr>
            <w:tcW w:w="1501" w:type="dxa"/>
            <w:vMerge/>
          </w:tcPr>
          <w:p w14:paraId="2885D324" w14:textId="77777777" w:rsidR="008A3EDE" w:rsidRPr="00263B73" w:rsidRDefault="008A3EDE" w:rsidP="00831B7C">
            <w:pPr>
              <w:widowControl/>
              <w:spacing w:line="180" w:lineRule="exact"/>
              <w:jc w:val="left"/>
              <w:rPr>
                <w:rFonts w:ascii="ＭＳ ゴシック" w:eastAsia="ＭＳ ゴシック" w:hAnsi="ＭＳ ゴシック" w:cs="ＭＳ Ｐゴシック"/>
                <w:kern w:val="0"/>
                <w:sz w:val="14"/>
                <w:szCs w:val="12"/>
              </w:rPr>
            </w:pPr>
          </w:p>
        </w:tc>
        <w:tc>
          <w:tcPr>
            <w:tcW w:w="5631" w:type="dxa"/>
            <w:gridSpan w:val="2"/>
            <w:noWrap/>
            <w:vAlign w:val="center"/>
          </w:tcPr>
          <w:p w14:paraId="3101C77F" w14:textId="77777777" w:rsidR="008A3EDE" w:rsidRPr="00263B73" w:rsidRDefault="008A3EDE" w:rsidP="00831B7C">
            <w:pPr>
              <w:widowControl/>
              <w:jc w:val="left"/>
              <w:rPr>
                <w:rFonts w:asciiTheme="majorEastAsia" w:eastAsiaTheme="majorEastAsia" w:hAnsiTheme="majorEastAsia"/>
                <w:kern w:val="0"/>
                <w:sz w:val="14"/>
                <w:szCs w:val="14"/>
              </w:rPr>
            </w:pPr>
            <w:r w:rsidRPr="00263B73">
              <w:rPr>
                <w:rFonts w:asciiTheme="majorEastAsia" w:eastAsiaTheme="majorEastAsia" w:hAnsiTheme="majorEastAsia" w:hint="eastAsia"/>
                <w:sz w:val="14"/>
                <w:szCs w:val="14"/>
              </w:rPr>
              <w:t>住宅建築局業務継続計画（地震災害編）</w:t>
            </w:r>
          </w:p>
        </w:tc>
        <w:tc>
          <w:tcPr>
            <w:tcW w:w="850" w:type="dxa"/>
            <w:vMerge/>
            <w:noWrap/>
            <w:vAlign w:val="center"/>
          </w:tcPr>
          <w:p w14:paraId="2C4F2E8D" w14:textId="77777777" w:rsidR="008A3EDE" w:rsidRPr="00263B73" w:rsidRDefault="008A3EDE" w:rsidP="00831B7C">
            <w:pPr>
              <w:widowControl/>
              <w:spacing w:line="180" w:lineRule="exact"/>
              <w:jc w:val="left"/>
              <w:rPr>
                <w:rFonts w:ascii="ＭＳ ゴシック" w:eastAsia="ＭＳ ゴシック" w:hAnsi="ＭＳ ゴシック" w:cs="ＭＳ Ｐゴシック"/>
                <w:kern w:val="0"/>
                <w:sz w:val="14"/>
                <w:szCs w:val="12"/>
              </w:rPr>
            </w:pPr>
          </w:p>
        </w:tc>
        <w:tc>
          <w:tcPr>
            <w:tcW w:w="1843" w:type="dxa"/>
            <w:vAlign w:val="center"/>
          </w:tcPr>
          <w:p w14:paraId="74B9A1C6" w14:textId="77777777" w:rsidR="008A3EDE" w:rsidRPr="00263B73" w:rsidRDefault="008A3EDE" w:rsidP="00831B7C">
            <w:pPr>
              <w:widowControl/>
              <w:spacing w:line="180" w:lineRule="exact"/>
              <w:rPr>
                <w:rFonts w:ascii="ＭＳ ゴシック" w:eastAsia="ＭＳ ゴシック" w:hAnsi="ＭＳ ゴシック" w:cs="ＭＳ Ｐゴシック"/>
                <w:kern w:val="0"/>
                <w:sz w:val="14"/>
                <w:szCs w:val="12"/>
              </w:rPr>
            </w:pPr>
            <w:r w:rsidRPr="00263B73">
              <w:rPr>
                <w:rFonts w:ascii="ＭＳ ゴシック" w:eastAsia="ＭＳ ゴシック" w:hAnsi="ＭＳ ゴシック" w:cs="ＭＳ Ｐゴシック" w:hint="eastAsia"/>
                <w:kern w:val="0"/>
                <w:sz w:val="14"/>
                <w:szCs w:val="12"/>
              </w:rPr>
              <w:t>住宅経営室居住企画課</w:t>
            </w:r>
          </w:p>
        </w:tc>
      </w:tr>
      <w:tr w:rsidR="008A3EDE" w:rsidRPr="00263B73" w14:paraId="27DAE20A" w14:textId="77777777" w:rsidTr="00831B7C">
        <w:trPr>
          <w:trHeight w:val="20"/>
        </w:trPr>
        <w:tc>
          <w:tcPr>
            <w:tcW w:w="1501" w:type="dxa"/>
            <w:vMerge/>
          </w:tcPr>
          <w:p w14:paraId="1E2D00E5" w14:textId="77777777" w:rsidR="008A3EDE" w:rsidRPr="00263B73" w:rsidRDefault="008A3EDE" w:rsidP="00831B7C">
            <w:pPr>
              <w:widowControl/>
              <w:spacing w:line="180" w:lineRule="exact"/>
              <w:jc w:val="left"/>
              <w:rPr>
                <w:rFonts w:ascii="ＭＳ ゴシック" w:eastAsia="ＭＳ ゴシック" w:hAnsi="ＭＳ ゴシック" w:cs="ＭＳ Ｐゴシック"/>
                <w:kern w:val="0"/>
                <w:sz w:val="14"/>
                <w:szCs w:val="12"/>
              </w:rPr>
            </w:pPr>
          </w:p>
        </w:tc>
        <w:tc>
          <w:tcPr>
            <w:tcW w:w="5631" w:type="dxa"/>
            <w:gridSpan w:val="2"/>
            <w:noWrap/>
            <w:vAlign w:val="center"/>
          </w:tcPr>
          <w:p w14:paraId="3F88074A" w14:textId="77777777" w:rsidR="008A3EDE" w:rsidRPr="00263B73" w:rsidRDefault="008A3EDE" w:rsidP="00831B7C">
            <w:pPr>
              <w:widowControl/>
              <w:spacing w:line="180" w:lineRule="exact"/>
              <w:jc w:val="left"/>
              <w:rPr>
                <w:rFonts w:asciiTheme="majorEastAsia" w:eastAsiaTheme="majorEastAsia" w:hAnsiTheme="majorEastAsia" w:cs="ＭＳ Ｐゴシック"/>
                <w:kern w:val="0"/>
                <w:sz w:val="14"/>
                <w:szCs w:val="14"/>
              </w:rPr>
            </w:pPr>
            <w:r w:rsidRPr="00263B73">
              <w:rPr>
                <w:rFonts w:asciiTheme="majorEastAsia" w:eastAsiaTheme="majorEastAsia" w:hAnsiTheme="majorEastAsia" w:cs="ＭＳ Ｐゴシック" w:hint="eastAsia"/>
                <w:kern w:val="0"/>
                <w:sz w:val="14"/>
                <w:szCs w:val="14"/>
              </w:rPr>
              <w:t>住まい情報提供室設置マニュアル</w:t>
            </w:r>
          </w:p>
        </w:tc>
        <w:tc>
          <w:tcPr>
            <w:tcW w:w="850" w:type="dxa"/>
            <w:vMerge/>
            <w:noWrap/>
            <w:vAlign w:val="center"/>
          </w:tcPr>
          <w:p w14:paraId="608C8144" w14:textId="77777777" w:rsidR="008A3EDE" w:rsidRPr="00263B73" w:rsidRDefault="008A3EDE" w:rsidP="00831B7C">
            <w:pPr>
              <w:spacing w:line="180" w:lineRule="exact"/>
              <w:jc w:val="left"/>
              <w:rPr>
                <w:rFonts w:ascii="ＭＳ ゴシック" w:eastAsia="ＭＳ ゴシック" w:hAnsi="ＭＳ ゴシック" w:cs="ＭＳ Ｐゴシック"/>
                <w:kern w:val="0"/>
                <w:sz w:val="14"/>
                <w:szCs w:val="12"/>
              </w:rPr>
            </w:pPr>
          </w:p>
        </w:tc>
        <w:tc>
          <w:tcPr>
            <w:tcW w:w="1843" w:type="dxa"/>
            <w:vAlign w:val="center"/>
          </w:tcPr>
          <w:p w14:paraId="0947F050" w14:textId="77777777" w:rsidR="008A3EDE" w:rsidRPr="00263B73" w:rsidRDefault="008A3EDE" w:rsidP="00831B7C">
            <w:pPr>
              <w:widowControl/>
              <w:spacing w:line="180" w:lineRule="exact"/>
              <w:rPr>
                <w:rFonts w:ascii="ＭＳ ゴシック" w:eastAsia="ＭＳ ゴシック" w:hAnsi="ＭＳ ゴシック" w:cs="ＭＳ Ｐゴシック"/>
                <w:kern w:val="0"/>
                <w:sz w:val="14"/>
                <w:szCs w:val="12"/>
              </w:rPr>
            </w:pPr>
            <w:r w:rsidRPr="00263B73">
              <w:rPr>
                <w:rFonts w:ascii="ＭＳ ゴシック" w:eastAsia="ＭＳ ゴシック" w:hAnsi="ＭＳ ゴシック" w:cs="ＭＳ Ｐゴシック" w:hint="eastAsia"/>
                <w:kern w:val="0"/>
                <w:sz w:val="14"/>
                <w:szCs w:val="12"/>
              </w:rPr>
              <w:t>住宅経営室居住企画課</w:t>
            </w:r>
          </w:p>
        </w:tc>
      </w:tr>
      <w:tr w:rsidR="008A3EDE" w:rsidRPr="00263B73" w14:paraId="4FAC66E4" w14:textId="77777777" w:rsidTr="00831B7C">
        <w:trPr>
          <w:trHeight w:val="20"/>
        </w:trPr>
        <w:tc>
          <w:tcPr>
            <w:tcW w:w="1501" w:type="dxa"/>
            <w:vMerge/>
          </w:tcPr>
          <w:p w14:paraId="131E5D39" w14:textId="77777777" w:rsidR="008A3EDE" w:rsidRPr="00263B73" w:rsidRDefault="008A3EDE" w:rsidP="00831B7C">
            <w:pPr>
              <w:spacing w:line="180" w:lineRule="exact"/>
              <w:jc w:val="left"/>
              <w:rPr>
                <w:rFonts w:ascii="ＭＳ ゴシック" w:eastAsia="ＭＳ ゴシック" w:hAnsi="ＭＳ ゴシック" w:cs="ＭＳ Ｐゴシック"/>
                <w:kern w:val="0"/>
                <w:sz w:val="14"/>
                <w:szCs w:val="12"/>
              </w:rPr>
            </w:pPr>
          </w:p>
        </w:tc>
        <w:tc>
          <w:tcPr>
            <w:tcW w:w="5631" w:type="dxa"/>
            <w:gridSpan w:val="2"/>
            <w:noWrap/>
            <w:vAlign w:val="center"/>
          </w:tcPr>
          <w:p w14:paraId="0EEB010B" w14:textId="77777777" w:rsidR="008A3EDE" w:rsidRPr="00263B73" w:rsidRDefault="008A3EDE" w:rsidP="00831B7C">
            <w:pPr>
              <w:widowControl/>
              <w:spacing w:line="180" w:lineRule="exact"/>
              <w:jc w:val="left"/>
              <w:rPr>
                <w:rFonts w:ascii="ＭＳ ゴシック" w:eastAsia="ＭＳ ゴシック" w:hAnsi="ＭＳ ゴシック" w:cs="ＭＳ Ｐゴシック"/>
                <w:kern w:val="0"/>
                <w:sz w:val="14"/>
                <w:szCs w:val="12"/>
              </w:rPr>
            </w:pPr>
            <w:r w:rsidRPr="00263B73">
              <w:rPr>
                <w:rFonts w:ascii="ＭＳ ゴシック" w:eastAsia="ＭＳ ゴシック" w:hAnsi="ＭＳ ゴシック" w:cs="ＭＳ Ｐゴシック" w:hint="eastAsia"/>
                <w:kern w:val="0"/>
                <w:sz w:val="14"/>
                <w:szCs w:val="12"/>
              </w:rPr>
              <w:t>大阪府災害時民間賃貸住宅借上制度マニュアル</w:t>
            </w:r>
          </w:p>
        </w:tc>
        <w:tc>
          <w:tcPr>
            <w:tcW w:w="850" w:type="dxa"/>
            <w:vMerge w:val="restart"/>
            <w:noWrap/>
            <w:vAlign w:val="center"/>
          </w:tcPr>
          <w:p w14:paraId="6893B259" w14:textId="77777777" w:rsidR="008A3EDE" w:rsidRPr="00263B73" w:rsidRDefault="008A3EDE" w:rsidP="00831B7C">
            <w:pPr>
              <w:widowControl/>
              <w:spacing w:line="180" w:lineRule="exact"/>
              <w:jc w:val="left"/>
              <w:rPr>
                <w:rFonts w:ascii="ＭＳ ゴシック" w:eastAsia="ＭＳ ゴシック" w:hAnsi="ＭＳ ゴシック" w:cs="ＭＳ Ｐゴシック"/>
                <w:kern w:val="0"/>
                <w:sz w:val="14"/>
                <w:szCs w:val="12"/>
              </w:rPr>
            </w:pPr>
          </w:p>
        </w:tc>
        <w:tc>
          <w:tcPr>
            <w:tcW w:w="1843" w:type="dxa"/>
            <w:vAlign w:val="center"/>
          </w:tcPr>
          <w:p w14:paraId="052DF8BF" w14:textId="77777777" w:rsidR="008A3EDE" w:rsidRPr="00263B73" w:rsidRDefault="008A3EDE" w:rsidP="00831B7C">
            <w:pPr>
              <w:widowControl/>
              <w:spacing w:line="180" w:lineRule="exact"/>
              <w:rPr>
                <w:rFonts w:ascii="ＭＳ ゴシック" w:eastAsia="ＭＳ ゴシック" w:hAnsi="ＭＳ ゴシック" w:cs="ＭＳ Ｐゴシック"/>
                <w:kern w:val="0"/>
                <w:sz w:val="14"/>
                <w:szCs w:val="12"/>
              </w:rPr>
            </w:pPr>
            <w:r w:rsidRPr="00263B73">
              <w:rPr>
                <w:rFonts w:ascii="ＭＳ ゴシック" w:eastAsia="ＭＳ ゴシック" w:hAnsi="ＭＳ ゴシック" w:cs="ＭＳ Ｐゴシック" w:hint="eastAsia"/>
                <w:kern w:val="0"/>
                <w:sz w:val="14"/>
                <w:szCs w:val="12"/>
              </w:rPr>
              <w:t>建築指導室建築振興課</w:t>
            </w:r>
          </w:p>
        </w:tc>
      </w:tr>
      <w:tr w:rsidR="008A3EDE" w:rsidRPr="00263B73" w14:paraId="007F5591" w14:textId="77777777" w:rsidTr="00831B7C">
        <w:trPr>
          <w:trHeight w:val="20"/>
        </w:trPr>
        <w:tc>
          <w:tcPr>
            <w:tcW w:w="1501" w:type="dxa"/>
            <w:vMerge/>
          </w:tcPr>
          <w:p w14:paraId="23F418D0" w14:textId="77777777" w:rsidR="008A3EDE" w:rsidRPr="00263B73" w:rsidRDefault="008A3EDE" w:rsidP="00831B7C">
            <w:pPr>
              <w:widowControl/>
              <w:spacing w:line="180" w:lineRule="exact"/>
              <w:jc w:val="left"/>
              <w:rPr>
                <w:rFonts w:ascii="ＭＳ ゴシック" w:eastAsia="ＭＳ ゴシック" w:hAnsi="ＭＳ ゴシック" w:cs="ＭＳ Ｐゴシック"/>
                <w:kern w:val="0"/>
                <w:sz w:val="14"/>
                <w:szCs w:val="12"/>
              </w:rPr>
            </w:pPr>
          </w:p>
        </w:tc>
        <w:tc>
          <w:tcPr>
            <w:tcW w:w="5631" w:type="dxa"/>
            <w:gridSpan w:val="2"/>
            <w:noWrap/>
            <w:vAlign w:val="center"/>
          </w:tcPr>
          <w:p w14:paraId="6668B130" w14:textId="77777777" w:rsidR="008A3EDE" w:rsidRPr="00263B73" w:rsidRDefault="008A3EDE" w:rsidP="00831B7C">
            <w:pPr>
              <w:widowControl/>
              <w:spacing w:line="180" w:lineRule="exact"/>
              <w:jc w:val="left"/>
              <w:rPr>
                <w:rFonts w:ascii="ＭＳ ゴシック" w:eastAsia="ＭＳ ゴシック" w:hAnsi="ＭＳ ゴシック" w:cs="ＭＳ Ｐゴシック"/>
                <w:kern w:val="0"/>
                <w:sz w:val="14"/>
                <w:szCs w:val="12"/>
              </w:rPr>
            </w:pPr>
            <w:r w:rsidRPr="00263B73">
              <w:rPr>
                <w:rFonts w:ascii="ＭＳ ゴシック" w:eastAsia="ＭＳ ゴシック" w:hAnsi="ＭＳ ゴシック" w:cs="ＭＳ Ｐゴシック" w:hint="eastAsia"/>
                <w:kern w:val="0"/>
                <w:sz w:val="14"/>
                <w:szCs w:val="12"/>
              </w:rPr>
              <w:t>被災した住宅の応急修理実施マニュアル（案）</w:t>
            </w:r>
          </w:p>
        </w:tc>
        <w:tc>
          <w:tcPr>
            <w:tcW w:w="850" w:type="dxa"/>
            <w:vMerge/>
            <w:noWrap/>
            <w:vAlign w:val="center"/>
          </w:tcPr>
          <w:p w14:paraId="59625F2B" w14:textId="77777777" w:rsidR="008A3EDE" w:rsidRPr="00263B73" w:rsidRDefault="008A3EDE" w:rsidP="00831B7C">
            <w:pPr>
              <w:widowControl/>
              <w:spacing w:line="180" w:lineRule="exact"/>
              <w:jc w:val="left"/>
              <w:rPr>
                <w:rFonts w:ascii="ＭＳ ゴシック" w:eastAsia="ＭＳ ゴシック" w:hAnsi="ＭＳ ゴシック" w:cs="ＭＳ Ｐゴシック"/>
                <w:kern w:val="0"/>
                <w:sz w:val="14"/>
                <w:szCs w:val="12"/>
              </w:rPr>
            </w:pPr>
          </w:p>
        </w:tc>
        <w:tc>
          <w:tcPr>
            <w:tcW w:w="1843" w:type="dxa"/>
            <w:vAlign w:val="center"/>
          </w:tcPr>
          <w:p w14:paraId="2DE9E191" w14:textId="77777777" w:rsidR="008A3EDE" w:rsidRPr="00263B73" w:rsidRDefault="008A3EDE" w:rsidP="00831B7C">
            <w:pPr>
              <w:widowControl/>
              <w:spacing w:line="180" w:lineRule="exact"/>
              <w:rPr>
                <w:rFonts w:ascii="ＭＳ ゴシック" w:eastAsia="ＭＳ ゴシック" w:hAnsi="ＭＳ ゴシック" w:cs="ＭＳ Ｐゴシック"/>
                <w:kern w:val="0"/>
                <w:sz w:val="14"/>
                <w:szCs w:val="12"/>
              </w:rPr>
            </w:pPr>
            <w:r w:rsidRPr="00263B73">
              <w:rPr>
                <w:rFonts w:ascii="ＭＳ ゴシック" w:eastAsia="ＭＳ ゴシック" w:hAnsi="ＭＳ ゴシック" w:cs="ＭＳ Ｐゴシック" w:hint="eastAsia"/>
                <w:kern w:val="0"/>
                <w:sz w:val="14"/>
                <w:szCs w:val="12"/>
              </w:rPr>
              <w:t>公共建築室</w:t>
            </w:r>
          </w:p>
        </w:tc>
      </w:tr>
      <w:tr w:rsidR="008A3EDE" w:rsidRPr="00263B73" w14:paraId="23988770" w14:textId="77777777" w:rsidTr="00831B7C">
        <w:trPr>
          <w:trHeight w:val="20"/>
        </w:trPr>
        <w:tc>
          <w:tcPr>
            <w:tcW w:w="1501" w:type="dxa"/>
            <w:vMerge/>
          </w:tcPr>
          <w:p w14:paraId="30023FA5" w14:textId="77777777" w:rsidR="008A3EDE" w:rsidRPr="00263B73" w:rsidRDefault="008A3EDE" w:rsidP="00831B7C">
            <w:pPr>
              <w:widowControl/>
              <w:spacing w:line="180" w:lineRule="exact"/>
              <w:jc w:val="left"/>
              <w:rPr>
                <w:rFonts w:ascii="ＭＳ ゴシック" w:eastAsia="ＭＳ ゴシック" w:hAnsi="ＭＳ ゴシック" w:cs="ＭＳ Ｐゴシック"/>
                <w:kern w:val="0"/>
                <w:sz w:val="14"/>
                <w:szCs w:val="12"/>
              </w:rPr>
            </w:pPr>
          </w:p>
        </w:tc>
        <w:tc>
          <w:tcPr>
            <w:tcW w:w="5631" w:type="dxa"/>
            <w:gridSpan w:val="2"/>
            <w:noWrap/>
            <w:vAlign w:val="center"/>
          </w:tcPr>
          <w:p w14:paraId="6150579C" w14:textId="77777777" w:rsidR="008A3EDE" w:rsidRPr="00263B73" w:rsidRDefault="008A3EDE" w:rsidP="00831B7C">
            <w:pPr>
              <w:widowControl/>
              <w:spacing w:line="180" w:lineRule="exact"/>
              <w:jc w:val="left"/>
              <w:rPr>
                <w:rFonts w:ascii="ＭＳ ゴシック" w:eastAsia="ＭＳ ゴシック" w:hAnsi="ＭＳ ゴシック" w:cs="ＭＳ Ｐゴシック"/>
                <w:kern w:val="0"/>
                <w:sz w:val="14"/>
                <w:szCs w:val="12"/>
              </w:rPr>
            </w:pPr>
            <w:r w:rsidRPr="00263B73">
              <w:rPr>
                <w:rFonts w:ascii="ＭＳ ゴシック" w:eastAsia="ＭＳ ゴシック" w:hAnsi="ＭＳ ゴシック" w:cs="ＭＳ Ｐゴシック" w:hint="eastAsia"/>
                <w:kern w:val="0"/>
                <w:sz w:val="14"/>
                <w:szCs w:val="12"/>
              </w:rPr>
              <w:t>地震災害初動手順マニュアル</w:t>
            </w:r>
          </w:p>
        </w:tc>
        <w:tc>
          <w:tcPr>
            <w:tcW w:w="850" w:type="dxa"/>
            <w:vMerge/>
            <w:noWrap/>
            <w:vAlign w:val="center"/>
          </w:tcPr>
          <w:p w14:paraId="623DE9A1" w14:textId="77777777" w:rsidR="008A3EDE" w:rsidRPr="00263B73" w:rsidRDefault="008A3EDE" w:rsidP="00831B7C">
            <w:pPr>
              <w:widowControl/>
              <w:spacing w:line="180" w:lineRule="exact"/>
              <w:jc w:val="left"/>
              <w:rPr>
                <w:rFonts w:ascii="ＭＳ ゴシック" w:eastAsia="ＭＳ ゴシック" w:hAnsi="ＭＳ ゴシック" w:cs="ＭＳ Ｐゴシック"/>
                <w:kern w:val="0"/>
                <w:sz w:val="14"/>
                <w:szCs w:val="12"/>
              </w:rPr>
            </w:pPr>
          </w:p>
        </w:tc>
        <w:tc>
          <w:tcPr>
            <w:tcW w:w="1843" w:type="dxa"/>
            <w:vAlign w:val="center"/>
          </w:tcPr>
          <w:p w14:paraId="7C38A17F" w14:textId="77777777" w:rsidR="008A3EDE" w:rsidRPr="00263B73" w:rsidRDefault="008A3EDE" w:rsidP="00831B7C">
            <w:pPr>
              <w:widowControl/>
              <w:spacing w:line="180" w:lineRule="exact"/>
              <w:rPr>
                <w:rFonts w:ascii="ＭＳ ゴシック" w:eastAsia="ＭＳ ゴシック" w:hAnsi="ＭＳ ゴシック" w:cs="ＭＳ Ｐゴシック"/>
                <w:kern w:val="0"/>
                <w:sz w:val="14"/>
                <w:szCs w:val="12"/>
              </w:rPr>
            </w:pPr>
            <w:r w:rsidRPr="00263B73">
              <w:rPr>
                <w:rFonts w:ascii="ＭＳ ゴシック" w:eastAsia="ＭＳ ゴシック" w:hAnsi="ＭＳ ゴシック" w:cs="ＭＳ Ｐゴシック" w:hint="eastAsia"/>
                <w:kern w:val="0"/>
                <w:sz w:val="14"/>
                <w:szCs w:val="12"/>
              </w:rPr>
              <w:t>公共建築室</w:t>
            </w:r>
          </w:p>
        </w:tc>
      </w:tr>
      <w:tr w:rsidR="008A3EDE" w:rsidRPr="00263B73" w14:paraId="6AED04F8" w14:textId="77777777" w:rsidTr="00831B7C">
        <w:trPr>
          <w:trHeight w:val="20"/>
        </w:trPr>
        <w:tc>
          <w:tcPr>
            <w:tcW w:w="1501" w:type="dxa"/>
            <w:vMerge w:val="restart"/>
          </w:tcPr>
          <w:p w14:paraId="2D90A8BC" w14:textId="77777777" w:rsidR="008A3EDE" w:rsidRPr="00263B73" w:rsidRDefault="008A3EDE" w:rsidP="00831B7C">
            <w:pPr>
              <w:widowControl/>
              <w:spacing w:line="180" w:lineRule="exact"/>
              <w:jc w:val="left"/>
              <w:rPr>
                <w:rFonts w:ascii="ＭＳ ゴシック" w:eastAsia="ＭＳ ゴシック" w:hAnsi="ＭＳ ゴシック" w:cs="ＭＳ Ｐゴシック"/>
                <w:kern w:val="0"/>
                <w:sz w:val="14"/>
                <w:szCs w:val="12"/>
              </w:rPr>
            </w:pPr>
            <w:r w:rsidRPr="00263B73">
              <w:rPr>
                <w:rFonts w:ascii="ＭＳ ゴシック" w:eastAsia="ＭＳ ゴシック" w:hAnsi="ＭＳ ゴシック" w:cs="ＭＳ Ｐゴシック" w:hint="eastAsia"/>
                <w:kern w:val="0"/>
                <w:sz w:val="14"/>
                <w:szCs w:val="12"/>
              </w:rPr>
              <w:t>自然災害、事故・事件</w:t>
            </w:r>
          </w:p>
        </w:tc>
        <w:tc>
          <w:tcPr>
            <w:tcW w:w="5631" w:type="dxa"/>
            <w:gridSpan w:val="2"/>
            <w:noWrap/>
            <w:vAlign w:val="center"/>
          </w:tcPr>
          <w:p w14:paraId="21A5EDFE" w14:textId="77777777" w:rsidR="008A3EDE" w:rsidRPr="00263B73" w:rsidRDefault="008A3EDE" w:rsidP="00831B7C">
            <w:pPr>
              <w:widowControl/>
              <w:spacing w:line="180" w:lineRule="exact"/>
              <w:jc w:val="left"/>
              <w:rPr>
                <w:rFonts w:ascii="ＭＳ ゴシック" w:eastAsia="ＭＳ ゴシック" w:hAnsi="ＭＳ ゴシック" w:cs="ＭＳ Ｐゴシック"/>
                <w:kern w:val="0"/>
                <w:sz w:val="14"/>
                <w:szCs w:val="12"/>
              </w:rPr>
            </w:pPr>
            <w:r w:rsidRPr="00263B73">
              <w:rPr>
                <w:rFonts w:ascii="ＭＳ ゴシック" w:eastAsia="ＭＳ ゴシック" w:hAnsi="ＭＳ ゴシック" w:cs="ＭＳ Ｐゴシック" w:hint="eastAsia"/>
                <w:kern w:val="0"/>
                <w:sz w:val="14"/>
                <w:szCs w:val="12"/>
              </w:rPr>
              <w:t>地震・津波時初動マニュアル</w:t>
            </w:r>
          </w:p>
        </w:tc>
        <w:tc>
          <w:tcPr>
            <w:tcW w:w="850" w:type="dxa"/>
            <w:vMerge w:val="restart"/>
            <w:vAlign w:val="center"/>
          </w:tcPr>
          <w:p w14:paraId="75A7FDDD" w14:textId="77777777" w:rsidR="008A3EDE" w:rsidRPr="00263B73" w:rsidRDefault="008A3EDE" w:rsidP="00831B7C">
            <w:pPr>
              <w:widowControl/>
              <w:spacing w:line="180" w:lineRule="exact"/>
              <w:jc w:val="left"/>
              <w:rPr>
                <w:rFonts w:ascii="ＭＳ ゴシック" w:eastAsia="ＭＳ ゴシック" w:hAnsi="ＭＳ ゴシック" w:cs="ＭＳ Ｐゴシック"/>
                <w:kern w:val="0"/>
                <w:sz w:val="14"/>
                <w:szCs w:val="12"/>
              </w:rPr>
            </w:pPr>
            <w:r w:rsidRPr="00263B73">
              <w:rPr>
                <w:rFonts w:ascii="ＭＳ ゴシック" w:eastAsia="ＭＳ ゴシック" w:hAnsi="ＭＳ ゴシック" w:cs="ＭＳ Ｐゴシック" w:hint="eastAsia"/>
                <w:kern w:val="0"/>
                <w:sz w:val="14"/>
                <w:szCs w:val="12"/>
              </w:rPr>
              <w:t>大阪都市</w:t>
            </w:r>
          </w:p>
          <w:p w14:paraId="48C30A42" w14:textId="77777777" w:rsidR="008A3EDE" w:rsidRPr="00263B73" w:rsidRDefault="008A3EDE" w:rsidP="00831B7C">
            <w:pPr>
              <w:widowControl/>
              <w:spacing w:line="180" w:lineRule="exact"/>
              <w:jc w:val="left"/>
              <w:rPr>
                <w:rFonts w:ascii="ＭＳ ゴシック" w:eastAsia="ＭＳ ゴシック" w:hAnsi="ＭＳ ゴシック" w:cs="ＭＳ Ｐゴシック"/>
                <w:kern w:val="0"/>
                <w:sz w:val="14"/>
                <w:szCs w:val="12"/>
              </w:rPr>
            </w:pPr>
            <w:r w:rsidRPr="00263B73">
              <w:rPr>
                <w:rFonts w:ascii="ＭＳ ゴシック" w:eastAsia="ＭＳ ゴシック" w:hAnsi="ＭＳ ゴシック" w:cs="ＭＳ Ｐゴシック" w:hint="eastAsia"/>
                <w:kern w:val="0"/>
                <w:sz w:val="14"/>
                <w:szCs w:val="12"/>
              </w:rPr>
              <w:t>計画局</w:t>
            </w:r>
          </w:p>
        </w:tc>
        <w:tc>
          <w:tcPr>
            <w:tcW w:w="1843" w:type="dxa"/>
            <w:noWrap/>
            <w:vAlign w:val="center"/>
          </w:tcPr>
          <w:p w14:paraId="7D6D734B" w14:textId="77777777" w:rsidR="008A3EDE" w:rsidRPr="00263B73" w:rsidRDefault="008A3EDE" w:rsidP="00831B7C">
            <w:pPr>
              <w:widowControl/>
              <w:spacing w:line="180" w:lineRule="exact"/>
              <w:rPr>
                <w:rFonts w:ascii="ＭＳ ゴシック" w:eastAsia="ＭＳ ゴシック" w:hAnsi="ＭＳ ゴシック" w:cs="ＭＳ Ｐゴシック"/>
                <w:kern w:val="0"/>
                <w:sz w:val="14"/>
                <w:szCs w:val="12"/>
              </w:rPr>
            </w:pPr>
            <w:r w:rsidRPr="00263B73">
              <w:rPr>
                <w:rFonts w:ascii="ＭＳ ゴシック" w:eastAsia="ＭＳ ゴシック" w:hAnsi="ＭＳ ゴシック" w:cs="ＭＳ Ｐゴシック" w:hint="eastAsia"/>
                <w:kern w:val="0"/>
                <w:sz w:val="14"/>
                <w:szCs w:val="12"/>
              </w:rPr>
              <w:t>大阪都市計画局</w:t>
            </w:r>
          </w:p>
        </w:tc>
      </w:tr>
      <w:tr w:rsidR="008A3EDE" w:rsidRPr="00263B73" w14:paraId="2E915AC2" w14:textId="77777777" w:rsidTr="00831B7C">
        <w:trPr>
          <w:trHeight w:val="20"/>
        </w:trPr>
        <w:tc>
          <w:tcPr>
            <w:tcW w:w="1501" w:type="dxa"/>
            <w:vMerge/>
          </w:tcPr>
          <w:p w14:paraId="21E4A0B2" w14:textId="77777777" w:rsidR="008A3EDE" w:rsidRPr="00263B73" w:rsidRDefault="008A3EDE" w:rsidP="00831B7C">
            <w:pPr>
              <w:widowControl/>
              <w:spacing w:line="180" w:lineRule="exact"/>
              <w:jc w:val="left"/>
              <w:rPr>
                <w:rFonts w:ascii="ＭＳ ゴシック" w:eastAsia="ＭＳ ゴシック" w:hAnsi="ＭＳ ゴシック" w:cs="ＭＳ Ｐゴシック"/>
                <w:kern w:val="0"/>
                <w:sz w:val="14"/>
                <w:szCs w:val="12"/>
              </w:rPr>
            </w:pPr>
          </w:p>
        </w:tc>
        <w:tc>
          <w:tcPr>
            <w:tcW w:w="5631" w:type="dxa"/>
            <w:gridSpan w:val="2"/>
            <w:noWrap/>
            <w:vAlign w:val="center"/>
          </w:tcPr>
          <w:p w14:paraId="5AF59737" w14:textId="77777777" w:rsidR="008A3EDE" w:rsidRPr="00263B73" w:rsidRDefault="008A3EDE" w:rsidP="00831B7C">
            <w:pPr>
              <w:widowControl/>
              <w:spacing w:line="180" w:lineRule="exact"/>
              <w:jc w:val="left"/>
              <w:rPr>
                <w:rFonts w:ascii="ＭＳ ゴシック" w:eastAsia="ＭＳ ゴシック" w:hAnsi="ＭＳ ゴシック" w:cs="ＭＳ Ｐゴシック"/>
                <w:kern w:val="0"/>
                <w:sz w:val="14"/>
                <w:szCs w:val="12"/>
              </w:rPr>
            </w:pPr>
            <w:r w:rsidRPr="00263B73">
              <w:rPr>
                <w:rFonts w:ascii="ＭＳ ゴシック" w:eastAsia="ＭＳ ゴシック" w:hAnsi="ＭＳ ゴシック" w:cs="ＭＳ Ｐゴシック" w:hint="eastAsia"/>
                <w:kern w:val="0"/>
                <w:sz w:val="14"/>
                <w:szCs w:val="12"/>
              </w:rPr>
              <w:t>箕面森町の気象警報時対応</w:t>
            </w:r>
          </w:p>
        </w:tc>
        <w:tc>
          <w:tcPr>
            <w:tcW w:w="850" w:type="dxa"/>
            <w:vMerge/>
            <w:vAlign w:val="center"/>
          </w:tcPr>
          <w:p w14:paraId="1AB70EEC" w14:textId="77777777" w:rsidR="008A3EDE" w:rsidRPr="00263B73" w:rsidRDefault="008A3EDE" w:rsidP="00831B7C">
            <w:pPr>
              <w:widowControl/>
              <w:spacing w:line="180" w:lineRule="exact"/>
              <w:jc w:val="left"/>
              <w:rPr>
                <w:rFonts w:ascii="ＭＳ ゴシック" w:eastAsia="ＭＳ ゴシック" w:hAnsi="ＭＳ ゴシック" w:cs="ＭＳ Ｐゴシック"/>
                <w:kern w:val="0"/>
                <w:sz w:val="14"/>
                <w:szCs w:val="12"/>
              </w:rPr>
            </w:pPr>
          </w:p>
        </w:tc>
        <w:tc>
          <w:tcPr>
            <w:tcW w:w="1843" w:type="dxa"/>
            <w:noWrap/>
            <w:vAlign w:val="center"/>
          </w:tcPr>
          <w:p w14:paraId="7BC42376" w14:textId="77777777" w:rsidR="008A3EDE" w:rsidRPr="00263B73" w:rsidRDefault="008A3EDE" w:rsidP="00831B7C">
            <w:pPr>
              <w:widowControl/>
              <w:spacing w:line="180" w:lineRule="exact"/>
              <w:rPr>
                <w:rFonts w:ascii="ＭＳ ゴシック" w:eastAsia="ＭＳ ゴシック" w:hAnsi="ＭＳ ゴシック" w:cs="ＭＳ Ｐゴシック"/>
                <w:kern w:val="0"/>
                <w:sz w:val="14"/>
                <w:szCs w:val="12"/>
              </w:rPr>
            </w:pPr>
            <w:r w:rsidRPr="00263B73">
              <w:rPr>
                <w:rFonts w:ascii="ＭＳ ゴシック" w:eastAsia="ＭＳ ゴシック" w:hAnsi="ＭＳ ゴシック" w:cs="ＭＳ Ｐゴシック" w:hint="eastAsia"/>
                <w:kern w:val="0"/>
                <w:sz w:val="14"/>
                <w:szCs w:val="12"/>
              </w:rPr>
              <w:t>戦略拠点開発課</w:t>
            </w:r>
          </w:p>
        </w:tc>
      </w:tr>
      <w:tr w:rsidR="008A3EDE" w:rsidRPr="00263B73" w14:paraId="7ED734CB" w14:textId="77777777" w:rsidTr="00831B7C">
        <w:trPr>
          <w:trHeight w:val="20"/>
        </w:trPr>
        <w:tc>
          <w:tcPr>
            <w:tcW w:w="1501" w:type="dxa"/>
            <w:vMerge/>
          </w:tcPr>
          <w:p w14:paraId="195385BE" w14:textId="77777777" w:rsidR="008A3EDE" w:rsidRPr="00263B73" w:rsidRDefault="008A3EDE" w:rsidP="00831B7C">
            <w:pPr>
              <w:widowControl/>
              <w:spacing w:line="180" w:lineRule="exact"/>
              <w:jc w:val="left"/>
              <w:rPr>
                <w:rFonts w:ascii="ＭＳ ゴシック" w:eastAsia="ＭＳ ゴシック" w:hAnsi="ＭＳ ゴシック" w:cs="ＭＳ Ｐゴシック"/>
                <w:kern w:val="0"/>
                <w:sz w:val="14"/>
                <w:szCs w:val="12"/>
              </w:rPr>
            </w:pPr>
          </w:p>
        </w:tc>
        <w:tc>
          <w:tcPr>
            <w:tcW w:w="5631" w:type="dxa"/>
            <w:gridSpan w:val="2"/>
            <w:noWrap/>
            <w:vAlign w:val="center"/>
          </w:tcPr>
          <w:p w14:paraId="343E8584" w14:textId="77777777" w:rsidR="008A3EDE" w:rsidRPr="00263B73" w:rsidRDefault="008A3EDE" w:rsidP="00831B7C">
            <w:pPr>
              <w:widowControl/>
              <w:spacing w:line="180" w:lineRule="exact"/>
              <w:jc w:val="left"/>
              <w:rPr>
                <w:rFonts w:ascii="ＭＳ ゴシック" w:eastAsia="ＭＳ ゴシック" w:hAnsi="ＭＳ ゴシック" w:cs="ＭＳ Ｐゴシック"/>
                <w:kern w:val="0"/>
                <w:sz w:val="14"/>
                <w:szCs w:val="12"/>
              </w:rPr>
            </w:pPr>
            <w:r w:rsidRPr="00263B73">
              <w:rPr>
                <w:rFonts w:ascii="ＭＳ ゴシック" w:eastAsia="ＭＳ ゴシック" w:hAnsi="ＭＳ ゴシック" w:cs="ＭＳ Ｐゴシック" w:hint="eastAsia"/>
                <w:kern w:val="0"/>
                <w:sz w:val="14"/>
                <w:szCs w:val="12"/>
              </w:rPr>
              <w:t>彩都災害等対策実施要領</w:t>
            </w:r>
          </w:p>
        </w:tc>
        <w:tc>
          <w:tcPr>
            <w:tcW w:w="850" w:type="dxa"/>
            <w:vMerge/>
            <w:vAlign w:val="center"/>
          </w:tcPr>
          <w:p w14:paraId="5D94FB55" w14:textId="77777777" w:rsidR="008A3EDE" w:rsidRPr="00263B73" w:rsidRDefault="008A3EDE" w:rsidP="00831B7C">
            <w:pPr>
              <w:widowControl/>
              <w:spacing w:line="180" w:lineRule="exact"/>
              <w:jc w:val="left"/>
              <w:rPr>
                <w:rFonts w:ascii="ＭＳ ゴシック" w:eastAsia="ＭＳ ゴシック" w:hAnsi="ＭＳ ゴシック" w:cs="ＭＳ Ｐゴシック"/>
                <w:kern w:val="0"/>
                <w:sz w:val="14"/>
                <w:szCs w:val="12"/>
              </w:rPr>
            </w:pPr>
          </w:p>
        </w:tc>
        <w:tc>
          <w:tcPr>
            <w:tcW w:w="1843" w:type="dxa"/>
            <w:noWrap/>
            <w:vAlign w:val="center"/>
          </w:tcPr>
          <w:p w14:paraId="377AD8AD" w14:textId="77777777" w:rsidR="008A3EDE" w:rsidRPr="00263B73" w:rsidRDefault="008A3EDE" w:rsidP="00831B7C">
            <w:pPr>
              <w:widowControl/>
              <w:spacing w:line="180" w:lineRule="exact"/>
              <w:rPr>
                <w:rFonts w:ascii="ＭＳ ゴシック" w:eastAsia="ＭＳ ゴシック" w:hAnsi="ＭＳ ゴシック" w:cs="ＭＳ Ｐゴシック"/>
                <w:kern w:val="0"/>
                <w:sz w:val="14"/>
                <w:szCs w:val="12"/>
              </w:rPr>
            </w:pPr>
            <w:r w:rsidRPr="00263B73">
              <w:rPr>
                <w:rFonts w:ascii="ＭＳ ゴシック" w:eastAsia="ＭＳ ゴシック" w:hAnsi="ＭＳ ゴシック" w:cs="ＭＳ Ｐゴシック" w:hint="eastAsia"/>
                <w:kern w:val="0"/>
                <w:sz w:val="14"/>
                <w:szCs w:val="12"/>
              </w:rPr>
              <w:t>戦略拠点開発課</w:t>
            </w:r>
          </w:p>
        </w:tc>
      </w:tr>
      <w:tr w:rsidR="008A3EDE" w:rsidRPr="00263B73" w14:paraId="5A285EB2" w14:textId="77777777" w:rsidTr="00831B7C">
        <w:trPr>
          <w:trHeight w:val="20"/>
        </w:trPr>
        <w:tc>
          <w:tcPr>
            <w:tcW w:w="1501" w:type="dxa"/>
            <w:vMerge/>
          </w:tcPr>
          <w:p w14:paraId="211148AF" w14:textId="77777777" w:rsidR="008A3EDE" w:rsidRPr="00263B73" w:rsidRDefault="008A3EDE" w:rsidP="00831B7C">
            <w:pPr>
              <w:widowControl/>
              <w:spacing w:line="180" w:lineRule="exact"/>
              <w:jc w:val="left"/>
              <w:rPr>
                <w:rFonts w:ascii="ＭＳ ゴシック" w:eastAsia="ＭＳ ゴシック" w:hAnsi="ＭＳ ゴシック" w:cs="ＭＳ Ｐゴシック"/>
                <w:kern w:val="0"/>
                <w:sz w:val="14"/>
                <w:szCs w:val="12"/>
              </w:rPr>
            </w:pPr>
          </w:p>
        </w:tc>
        <w:tc>
          <w:tcPr>
            <w:tcW w:w="5631" w:type="dxa"/>
            <w:gridSpan w:val="2"/>
            <w:noWrap/>
            <w:vAlign w:val="center"/>
          </w:tcPr>
          <w:p w14:paraId="2F1E1BA5" w14:textId="77777777" w:rsidR="008A3EDE" w:rsidRPr="00263B73" w:rsidRDefault="008A3EDE" w:rsidP="00831B7C">
            <w:pPr>
              <w:widowControl/>
              <w:spacing w:line="180" w:lineRule="exact"/>
              <w:jc w:val="left"/>
              <w:rPr>
                <w:rFonts w:ascii="ＭＳ ゴシック" w:eastAsia="ＭＳ ゴシック" w:hAnsi="ＭＳ ゴシック" w:cs="ＭＳ Ｐゴシック"/>
                <w:kern w:val="0"/>
                <w:sz w:val="14"/>
                <w:szCs w:val="12"/>
              </w:rPr>
            </w:pPr>
            <w:r w:rsidRPr="00263B73">
              <w:rPr>
                <w:rFonts w:ascii="ＭＳ ゴシック" w:eastAsia="ＭＳ ゴシック" w:hAnsi="ＭＳ ゴシック" w:cs="ＭＳ Ｐゴシック" w:hint="eastAsia"/>
                <w:kern w:val="0"/>
                <w:sz w:val="14"/>
                <w:szCs w:val="12"/>
              </w:rPr>
              <w:t>タウン推進課災害等対策実施要領</w:t>
            </w:r>
          </w:p>
        </w:tc>
        <w:tc>
          <w:tcPr>
            <w:tcW w:w="850" w:type="dxa"/>
            <w:vMerge/>
            <w:vAlign w:val="center"/>
          </w:tcPr>
          <w:p w14:paraId="31175A04" w14:textId="77777777" w:rsidR="008A3EDE" w:rsidRPr="00263B73" w:rsidRDefault="008A3EDE" w:rsidP="00831B7C">
            <w:pPr>
              <w:widowControl/>
              <w:spacing w:line="180" w:lineRule="exact"/>
              <w:jc w:val="left"/>
              <w:rPr>
                <w:rFonts w:ascii="ＭＳ ゴシック" w:eastAsia="ＭＳ ゴシック" w:hAnsi="ＭＳ ゴシック" w:cs="ＭＳ Ｐゴシック"/>
                <w:kern w:val="0"/>
                <w:sz w:val="14"/>
                <w:szCs w:val="12"/>
              </w:rPr>
            </w:pPr>
          </w:p>
        </w:tc>
        <w:tc>
          <w:tcPr>
            <w:tcW w:w="1843" w:type="dxa"/>
            <w:noWrap/>
            <w:vAlign w:val="center"/>
          </w:tcPr>
          <w:p w14:paraId="67E51375" w14:textId="77777777" w:rsidR="008A3EDE" w:rsidRPr="00263B73" w:rsidRDefault="008A3EDE" w:rsidP="00831B7C">
            <w:pPr>
              <w:widowControl/>
              <w:spacing w:line="180" w:lineRule="exact"/>
              <w:rPr>
                <w:rFonts w:ascii="ＭＳ ゴシック" w:eastAsia="ＭＳ ゴシック" w:hAnsi="ＭＳ ゴシック" w:cs="ＭＳ Ｐゴシック"/>
                <w:kern w:val="0"/>
                <w:sz w:val="14"/>
                <w:szCs w:val="12"/>
              </w:rPr>
            </w:pPr>
            <w:r w:rsidRPr="00263B73">
              <w:rPr>
                <w:rFonts w:ascii="ＭＳ ゴシック" w:eastAsia="ＭＳ ゴシック" w:hAnsi="ＭＳ ゴシック" w:cs="ＭＳ Ｐゴシック" w:hint="eastAsia"/>
                <w:kern w:val="0"/>
                <w:sz w:val="14"/>
                <w:szCs w:val="12"/>
              </w:rPr>
              <w:t>タウン推進課</w:t>
            </w:r>
          </w:p>
        </w:tc>
      </w:tr>
      <w:tr w:rsidR="008A3EDE" w:rsidRPr="00263B73" w14:paraId="6646F939" w14:textId="77777777" w:rsidTr="00831B7C">
        <w:trPr>
          <w:trHeight w:val="20"/>
        </w:trPr>
        <w:tc>
          <w:tcPr>
            <w:tcW w:w="1501" w:type="dxa"/>
          </w:tcPr>
          <w:p w14:paraId="59C5C1C8" w14:textId="77777777" w:rsidR="008A3EDE" w:rsidRPr="00263B73" w:rsidRDefault="008A3EDE" w:rsidP="00831B7C">
            <w:pPr>
              <w:widowControl/>
              <w:spacing w:line="180" w:lineRule="exact"/>
              <w:jc w:val="left"/>
              <w:rPr>
                <w:rFonts w:ascii="ＭＳ ゴシック" w:eastAsia="ＭＳ ゴシック" w:hAnsi="ＭＳ ゴシック" w:cs="ＭＳ Ｐゴシック"/>
                <w:kern w:val="0"/>
                <w:sz w:val="14"/>
                <w:szCs w:val="18"/>
              </w:rPr>
            </w:pPr>
            <w:r w:rsidRPr="00263B73">
              <w:rPr>
                <w:rFonts w:hint="eastAsia"/>
                <w:sz w:val="14"/>
                <w:szCs w:val="18"/>
              </w:rPr>
              <w:t>大阪港湾局の休日・時間外緊急連絡</w:t>
            </w:r>
          </w:p>
        </w:tc>
        <w:tc>
          <w:tcPr>
            <w:tcW w:w="5631" w:type="dxa"/>
            <w:gridSpan w:val="2"/>
            <w:vMerge w:val="restart"/>
            <w:noWrap/>
            <w:vAlign w:val="center"/>
          </w:tcPr>
          <w:p w14:paraId="12A7FDCF" w14:textId="77777777" w:rsidR="008A3EDE" w:rsidRPr="00263B73" w:rsidRDefault="008A3EDE" w:rsidP="00831B7C">
            <w:pPr>
              <w:widowControl/>
              <w:spacing w:line="180" w:lineRule="exact"/>
              <w:jc w:val="left"/>
              <w:rPr>
                <w:rFonts w:ascii="ＭＳ ゴシック" w:eastAsia="ＭＳ ゴシック" w:hAnsi="ＭＳ ゴシック" w:cs="ＭＳ Ｐゴシック"/>
                <w:kern w:val="0"/>
                <w:sz w:val="14"/>
                <w:szCs w:val="12"/>
              </w:rPr>
            </w:pPr>
            <w:r w:rsidRPr="00263B73">
              <w:rPr>
                <w:rFonts w:ascii="ＭＳ ゴシック" w:eastAsia="ＭＳ ゴシック" w:hAnsi="ＭＳ ゴシック" w:cs="ＭＳ Ｐゴシック"/>
                <w:kern w:val="0"/>
                <w:sz w:val="14"/>
                <w:szCs w:val="12"/>
              </w:rPr>
              <w:t>"港湾緊急情報（府）の発信・共有について</w:t>
            </w:r>
          </w:p>
          <w:p w14:paraId="51C0B41B" w14:textId="77777777" w:rsidR="008A3EDE" w:rsidRPr="00263B73" w:rsidRDefault="008A3EDE" w:rsidP="00831B7C">
            <w:pPr>
              <w:widowControl/>
              <w:spacing w:line="180" w:lineRule="exact"/>
              <w:jc w:val="left"/>
              <w:rPr>
                <w:rFonts w:ascii="ＭＳ ゴシック" w:eastAsia="ＭＳ ゴシック" w:hAnsi="ＭＳ ゴシック" w:cs="ＭＳ Ｐゴシック"/>
                <w:kern w:val="0"/>
                <w:sz w:val="14"/>
                <w:szCs w:val="12"/>
              </w:rPr>
            </w:pPr>
            <w:r w:rsidRPr="00263B73">
              <w:rPr>
                <w:rFonts w:ascii="ＭＳ ゴシック" w:eastAsia="ＭＳ ゴシック" w:hAnsi="ＭＳ ゴシック" w:cs="ＭＳ Ｐゴシック" w:hint="eastAsia"/>
                <w:kern w:val="0"/>
                <w:sz w:val="14"/>
                <w:szCs w:val="12"/>
              </w:rPr>
              <w:t>水防非常勤務要領</w:t>
            </w:r>
          </w:p>
          <w:p w14:paraId="68CA5BB4" w14:textId="77777777" w:rsidR="008A3EDE" w:rsidRPr="00263B73" w:rsidRDefault="008A3EDE" w:rsidP="00831B7C">
            <w:pPr>
              <w:widowControl/>
              <w:spacing w:line="180" w:lineRule="exact"/>
              <w:jc w:val="left"/>
              <w:rPr>
                <w:rFonts w:ascii="ＭＳ ゴシック" w:eastAsia="ＭＳ ゴシック" w:hAnsi="ＭＳ ゴシック" w:cs="ＭＳ Ｐゴシック"/>
                <w:kern w:val="0"/>
                <w:sz w:val="14"/>
                <w:szCs w:val="12"/>
              </w:rPr>
            </w:pPr>
            <w:r w:rsidRPr="00263B73">
              <w:rPr>
                <w:rFonts w:ascii="ＭＳ ゴシック" w:eastAsia="ＭＳ ゴシック" w:hAnsi="ＭＳ ゴシック" w:cs="ＭＳ Ｐゴシック" w:hint="eastAsia"/>
                <w:kern w:val="0"/>
                <w:sz w:val="14"/>
                <w:szCs w:val="12"/>
              </w:rPr>
              <w:t>大阪港湾局業務継続計画～津波災害編～</w:t>
            </w:r>
            <w:r w:rsidRPr="00263B73">
              <w:rPr>
                <w:rFonts w:ascii="ＭＳ ゴシック" w:eastAsia="ＭＳ ゴシック" w:hAnsi="ＭＳ ゴシック" w:cs="ＭＳ Ｐゴシック"/>
                <w:kern w:val="0"/>
                <w:sz w:val="14"/>
                <w:szCs w:val="12"/>
              </w:rPr>
              <w:t>"</w:t>
            </w:r>
          </w:p>
          <w:p w14:paraId="362CF7CF" w14:textId="77777777" w:rsidR="008A3EDE" w:rsidRPr="00263B73" w:rsidRDefault="008A3EDE" w:rsidP="00831B7C">
            <w:pPr>
              <w:widowControl/>
              <w:spacing w:line="180" w:lineRule="exact"/>
              <w:jc w:val="left"/>
              <w:rPr>
                <w:rFonts w:ascii="ＭＳ ゴシック" w:eastAsia="ＭＳ ゴシック" w:hAnsi="ＭＳ ゴシック" w:cs="ＭＳ Ｐゴシック"/>
                <w:kern w:val="0"/>
                <w:sz w:val="14"/>
                <w:szCs w:val="12"/>
              </w:rPr>
            </w:pPr>
          </w:p>
        </w:tc>
        <w:tc>
          <w:tcPr>
            <w:tcW w:w="850" w:type="dxa"/>
            <w:vMerge w:val="restart"/>
            <w:vAlign w:val="center"/>
          </w:tcPr>
          <w:p w14:paraId="762B9DDB" w14:textId="77777777" w:rsidR="008A3EDE" w:rsidRPr="00263B73" w:rsidRDefault="008A3EDE" w:rsidP="00831B7C">
            <w:pPr>
              <w:widowControl/>
              <w:spacing w:line="180" w:lineRule="exact"/>
              <w:jc w:val="left"/>
              <w:rPr>
                <w:rFonts w:ascii="ＭＳ ゴシック" w:eastAsia="ＭＳ ゴシック" w:hAnsi="ＭＳ ゴシック" w:cs="ＭＳ Ｐゴシック"/>
                <w:kern w:val="0"/>
                <w:sz w:val="14"/>
                <w:szCs w:val="12"/>
              </w:rPr>
            </w:pPr>
            <w:r w:rsidRPr="00263B73">
              <w:rPr>
                <w:rFonts w:ascii="ＭＳ ゴシック" w:eastAsia="ＭＳ ゴシック" w:hAnsi="ＭＳ ゴシック" w:cs="ＭＳ Ｐゴシック" w:hint="eastAsia"/>
                <w:kern w:val="0"/>
                <w:sz w:val="14"/>
                <w:szCs w:val="12"/>
              </w:rPr>
              <w:t>大阪港湾局</w:t>
            </w:r>
          </w:p>
        </w:tc>
        <w:tc>
          <w:tcPr>
            <w:tcW w:w="1843" w:type="dxa"/>
            <w:noWrap/>
            <w:vAlign w:val="center"/>
          </w:tcPr>
          <w:p w14:paraId="0253DCB7" w14:textId="77777777" w:rsidR="008A3EDE" w:rsidRPr="00263B73" w:rsidRDefault="008A3EDE" w:rsidP="00831B7C">
            <w:pPr>
              <w:widowControl/>
              <w:spacing w:line="180" w:lineRule="exact"/>
              <w:rPr>
                <w:rFonts w:ascii="ＭＳ ゴシック" w:eastAsia="ＭＳ ゴシック" w:hAnsi="ＭＳ ゴシック" w:cs="ＭＳ Ｐゴシック"/>
                <w:noProof/>
                <w:kern w:val="0"/>
                <w:sz w:val="14"/>
                <w:szCs w:val="12"/>
              </w:rPr>
            </w:pPr>
            <w:r w:rsidRPr="00263B73">
              <w:rPr>
                <w:rFonts w:ascii="ＭＳ ゴシック" w:eastAsia="ＭＳ ゴシック" w:hAnsi="ＭＳ ゴシック" w:cs="ＭＳ Ｐゴシック" w:hint="eastAsia"/>
                <w:noProof/>
                <w:kern w:val="0"/>
                <w:sz w:val="14"/>
                <w:szCs w:val="12"/>
              </w:rPr>
              <w:t>事業企画・防災課</w:t>
            </w:r>
          </w:p>
        </w:tc>
      </w:tr>
      <w:tr w:rsidR="008A3EDE" w:rsidRPr="00263B73" w14:paraId="5016CA76" w14:textId="77777777" w:rsidTr="00831B7C">
        <w:trPr>
          <w:trHeight w:val="20"/>
        </w:trPr>
        <w:tc>
          <w:tcPr>
            <w:tcW w:w="1501" w:type="dxa"/>
          </w:tcPr>
          <w:p w14:paraId="4BD3E802" w14:textId="77777777" w:rsidR="008A3EDE" w:rsidRPr="00263B73" w:rsidRDefault="008A3EDE" w:rsidP="00831B7C">
            <w:pPr>
              <w:widowControl/>
              <w:spacing w:line="180" w:lineRule="exact"/>
              <w:jc w:val="left"/>
              <w:rPr>
                <w:rFonts w:ascii="ＭＳ ゴシック" w:eastAsia="ＭＳ ゴシック" w:hAnsi="ＭＳ ゴシック" w:cs="ＭＳ Ｐゴシック"/>
                <w:kern w:val="0"/>
                <w:sz w:val="14"/>
                <w:szCs w:val="18"/>
              </w:rPr>
            </w:pPr>
            <w:r w:rsidRPr="00263B73">
              <w:rPr>
                <w:rFonts w:hint="eastAsia"/>
                <w:sz w:val="14"/>
                <w:szCs w:val="18"/>
              </w:rPr>
              <w:t>風水害</w:t>
            </w:r>
          </w:p>
        </w:tc>
        <w:tc>
          <w:tcPr>
            <w:tcW w:w="5631" w:type="dxa"/>
            <w:gridSpan w:val="2"/>
            <w:vMerge/>
            <w:noWrap/>
            <w:vAlign w:val="center"/>
          </w:tcPr>
          <w:p w14:paraId="1B787F94" w14:textId="77777777" w:rsidR="008A3EDE" w:rsidRPr="00263B73" w:rsidRDefault="008A3EDE" w:rsidP="00831B7C">
            <w:pPr>
              <w:widowControl/>
              <w:spacing w:line="180" w:lineRule="exact"/>
              <w:jc w:val="left"/>
              <w:rPr>
                <w:rFonts w:ascii="ＭＳ ゴシック" w:eastAsia="ＭＳ ゴシック" w:hAnsi="ＭＳ ゴシック" w:cs="ＭＳ Ｐゴシック"/>
                <w:kern w:val="0"/>
                <w:sz w:val="14"/>
                <w:szCs w:val="12"/>
              </w:rPr>
            </w:pPr>
          </w:p>
        </w:tc>
        <w:tc>
          <w:tcPr>
            <w:tcW w:w="850" w:type="dxa"/>
            <w:vMerge/>
            <w:vAlign w:val="center"/>
          </w:tcPr>
          <w:p w14:paraId="78C304FD" w14:textId="77777777" w:rsidR="008A3EDE" w:rsidRPr="00263B73" w:rsidRDefault="008A3EDE" w:rsidP="00831B7C">
            <w:pPr>
              <w:widowControl/>
              <w:spacing w:line="180" w:lineRule="exact"/>
              <w:jc w:val="left"/>
              <w:rPr>
                <w:rFonts w:ascii="ＭＳ ゴシック" w:eastAsia="ＭＳ ゴシック" w:hAnsi="ＭＳ ゴシック" w:cs="ＭＳ Ｐゴシック"/>
                <w:kern w:val="0"/>
                <w:sz w:val="14"/>
                <w:szCs w:val="12"/>
              </w:rPr>
            </w:pPr>
          </w:p>
        </w:tc>
        <w:tc>
          <w:tcPr>
            <w:tcW w:w="1843" w:type="dxa"/>
            <w:noWrap/>
            <w:vAlign w:val="center"/>
          </w:tcPr>
          <w:p w14:paraId="6CA34EE6" w14:textId="77777777" w:rsidR="008A3EDE" w:rsidRPr="00263B73" w:rsidRDefault="008A3EDE" w:rsidP="00831B7C">
            <w:pPr>
              <w:widowControl/>
              <w:spacing w:line="180" w:lineRule="exact"/>
              <w:rPr>
                <w:rFonts w:ascii="ＭＳ ゴシック" w:eastAsia="ＭＳ ゴシック" w:hAnsi="ＭＳ ゴシック" w:cs="ＭＳ Ｐゴシック"/>
                <w:noProof/>
                <w:kern w:val="0"/>
                <w:sz w:val="14"/>
                <w:szCs w:val="12"/>
              </w:rPr>
            </w:pPr>
            <w:r w:rsidRPr="00263B73">
              <w:rPr>
                <w:rFonts w:ascii="ＭＳ ゴシック" w:eastAsia="ＭＳ ゴシック" w:hAnsi="ＭＳ ゴシック" w:cs="ＭＳ Ｐゴシック" w:hint="eastAsia"/>
                <w:noProof/>
                <w:kern w:val="0"/>
                <w:sz w:val="14"/>
                <w:szCs w:val="12"/>
              </w:rPr>
              <w:t>事業企画・防災課</w:t>
            </w:r>
          </w:p>
        </w:tc>
      </w:tr>
      <w:tr w:rsidR="008A3EDE" w:rsidRPr="00263B73" w14:paraId="727C4117" w14:textId="77777777" w:rsidTr="00831B7C">
        <w:trPr>
          <w:trHeight w:val="20"/>
        </w:trPr>
        <w:tc>
          <w:tcPr>
            <w:tcW w:w="1501" w:type="dxa"/>
          </w:tcPr>
          <w:p w14:paraId="1561E2EB" w14:textId="77777777" w:rsidR="008A3EDE" w:rsidRPr="00263B73" w:rsidRDefault="008A3EDE" w:rsidP="00831B7C">
            <w:pPr>
              <w:widowControl/>
              <w:spacing w:line="180" w:lineRule="exact"/>
              <w:jc w:val="left"/>
              <w:rPr>
                <w:rFonts w:ascii="ＭＳ ゴシック" w:eastAsia="ＭＳ ゴシック" w:hAnsi="ＭＳ ゴシック" w:cs="ＭＳ Ｐゴシック"/>
                <w:kern w:val="0"/>
                <w:sz w:val="14"/>
                <w:szCs w:val="18"/>
              </w:rPr>
            </w:pPr>
            <w:r w:rsidRPr="00263B73">
              <w:rPr>
                <w:rFonts w:hint="eastAsia"/>
                <w:sz w:val="14"/>
                <w:szCs w:val="18"/>
              </w:rPr>
              <w:t>地震</w:t>
            </w:r>
          </w:p>
        </w:tc>
        <w:tc>
          <w:tcPr>
            <w:tcW w:w="5631" w:type="dxa"/>
            <w:gridSpan w:val="2"/>
            <w:vMerge/>
            <w:noWrap/>
            <w:vAlign w:val="center"/>
          </w:tcPr>
          <w:p w14:paraId="674B00E0" w14:textId="77777777" w:rsidR="008A3EDE" w:rsidRPr="00263B73" w:rsidRDefault="008A3EDE" w:rsidP="00831B7C">
            <w:pPr>
              <w:widowControl/>
              <w:spacing w:line="180" w:lineRule="exact"/>
              <w:jc w:val="left"/>
              <w:rPr>
                <w:rFonts w:ascii="ＭＳ ゴシック" w:eastAsia="ＭＳ ゴシック" w:hAnsi="ＭＳ ゴシック" w:cs="ＭＳ Ｐゴシック"/>
                <w:kern w:val="0"/>
                <w:sz w:val="14"/>
                <w:szCs w:val="12"/>
              </w:rPr>
            </w:pPr>
          </w:p>
        </w:tc>
        <w:tc>
          <w:tcPr>
            <w:tcW w:w="850" w:type="dxa"/>
            <w:vMerge/>
            <w:vAlign w:val="center"/>
          </w:tcPr>
          <w:p w14:paraId="436D715C" w14:textId="77777777" w:rsidR="008A3EDE" w:rsidRPr="00263B73" w:rsidRDefault="008A3EDE" w:rsidP="00831B7C">
            <w:pPr>
              <w:widowControl/>
              <w:spacing w:line="180" w:lineRule="exact"/>
              <w:jc w:val="left"/>
              <w:rPr>
                <w:rFonts w:ascii="ＭＳ ゴシック" w:eastAsia="ＭＳ ゴシック" w:hAnsi="ＭＳ ゴシック" w:cs="ＭＳ Ｐゴシック"/>
                <w:kern w:val="0"/>
                <w:sz w:val="14"/>
                <w:szCs w:val="12"/>
              </w:rPr>
            </w:pPr>
          </w:p>
        </w:tc>
        <w:tc>
          <w:tcPr>
            <w:tcW w:w="1843" w:type="dxa"/>
            <w:noWrap/>
            <w:vAlign w:val="center"/>
          </w:tcPr>
          <w:p w14:paraId="58A2A40C" w14:textId="77777777" w:rsidR="008A3EDE" w:rsidRPr="00263B73" w:rsidRDefault="008A3EDE" w:rsidP="00831B7C">
            <w:pPr>
              <w:widowControl/>
              <w:spacing w:line="180" w:lineRule="exact"/>
              <w:rPr>
                <w:rFonts w:ascii="ＭＳ ゴシック" w:eastAsia="ＭＳ ゴシック" w:hAnsi="ＭＳ ゴシック" w:cs="ＭＳ Ｐゴシック"/>
                <w:noProof/>
                <w:kern w:val="0"/>
                <w:sz w:val="14"/>
                <w:szCs w:val="12"/>
              </w:rPr>
            </w:pPr>
            <w:r w:rsidRPr="00263B73">
              <w:rPr>
                <w:rFonts w:ascii="ＭＳ ゴシック" w:eastAsia="ＭＳ ゴシック" w:hAnsi="ＭＳ ゴシック" w:cs="ＭＳ Ｐゴシック" w:hint="eastAsia"/>
                <w:noProof/>
                <w:kern w:val="0"/>
                <w:sz w:val="14"/>
                <w:szCs w:val="12"/>
              </w:rPr>
              <w:t>事業企画・防災課</w:t>
            </w:r>
          </w:p>
        </w:tc>
      </w:tr>
      <w:tr w:rsidR="008A3EDE" w:rsidRPr="00263B73" w14:paraId="4F00B81B" w14:textId="77777777" w:rsidTr="00831B7C">
        <w:trPr>
          <w:trHeight w:val="20"/>
        </w:trPr>
        <w:tc>
          <w:tcPr>
            <w:tcW w:w="1501" w:type="dxa"/>
            <w:vMerge w:val="restart"/>
            <w:hideMark/>
          </w:tcPr>
          <w:p w14:paraId="23D9FC4E" w14:textId="77777777" w:rsidR="008A3EDE" w:rsidRPr="00263B73" w:rsidRDefault="008A3EDE" w:rsidP="00831B7C">
            <w:pPr>
              <w:widowControl/>
              <w:spacing w:line="180" w:lineRule="exact"/>
              <w:jc w:val="left"/>
              <w:rPr>
                <w:rFonts w:ascii="ＭＳ ゴシック" w:eastAsia="ＭＳ ゴシック" w:hAnsi="ＭＳ ゴシック" w:cs="ＭＳ Ｐゴシック"/>
                <w:kern w:val="0"/>
                <w:sz w:val="14"/>
                <w:szCs w:val="12"/>
              </w:rPr>
            </w:pPr>
            <w:r w:rsidRPr="00263B73">
              <w:rPr>
                <w:rFonts w:ascii="ＭＳ ゴシック" w:eastAsia="ＭＳ ゴシック" w:hAnsi="ＭＳ ゴシック" w:cs="ＭＳ Ｐゴシック" w:hint="eastAsia"/>
                <w:kern w:val="0"/>
                <w:sz w:val="14"/>
                <w:szCs w:val="12"/>
              </w:rPr>
              <w:t>児童・生徒等に対する危害</w:t>
            </w:r>
          </w:p>
          <w:p w14:paraId="7CB0F401" w14:textId="77777777" w:rsidR="008A3EDE" w:rsidRPr="00263B73" w:rsidRDefault="008A3EDE" w:rsidP="00831B7C">
            <w:pPr>
              <w:spacing w:line="180" w:lineRule="exact"/>
              <w:jc w:val="left"/>
              <w:rPr>
                <w:rFonts w:ascii="ＭＳ ゴシック" w:eastAsia="ＭＳ ゴシック" w:hAnsi="ＭＳ ゴシック" w:cs="ＭＳ Ｐゴシック"/>
                <w:kern w:val="0"/>
                <w:sz w:val="14"/>
                <w:szCs w:val="12"/>
              </w:rPr>
            </w:pPr>
            <w:r w:rsidRPr="00263B73">
              <w:rPr>
                <w:rFonts w:ascii="ＭＳ ゴシック" w:eastAsia="ＭＳ ゴシック" w:hAnsi="ＭＳ ゴシック" w:cs="ＭＳ Ｐゴシック" w:hint="eastAsia"/>
                <w:kern w:val="0"/>
                <w:sz w:val="14"/>
                <w:szCs w:val="12"/>
              </w:rPr>
              <w:t xml:space="preserve">　</w:t>
            </w:r>
          </w:p>
        </w:tc>
        <w:tc>
          <w:tcPr>
            <w:tcW w:w="5631" w:type="dxa"/>
            <w:gridSpan w:val="2"/>
            <w:noWrap/>
            <w:vAlign w:val="center"/>
            <w:hideMark/>
          </w:tcPr>
          <w:p w14:paraId="2B8DC8FE" w14:textId="77777777" w:rsidR="008A3EDE" w:rsidRPr="00263B73" w:rsidRDefault="008A3EDE" w:rsidP="00831B7C">
            <w:pPr>
              <w:widowControl/>
              <w:spacing w:line="180" w:lineRule="exact"/>
              <w:jc w:val="left"/>
              <w:rPr>
                <w:rFonts w:ascii="ＭＳ ゴシック" w:eastAsia="ＭＳ ゴシック" w:hAnsi="ＭＳ ゴシック" w:cs="ＭＳ Ｐゴシック"/>
                <w:kern w:val="0"/>
                <w:sz w:val="14"/>
                <w:szCs w:val="12"/>
              </w:rPr>
            </w:pPr>
            <w:r w:rsidRPr="00263B73">
              <w:rPr>
                <w:rFonts w:ascii="ＭＳ ゴシック" w:eastAsia="ＭＳ ゴシック" w:hAnsi="ＭＳ ゴシック" w:cs="ＭＳ Ｐゴシック" w:hint="eastAsia"/>
                <w:kern w:val="0"/>
                <w:sz w:val="14"/>
                <w:szCs w:val="12"/>
              </w:rPr>
              <w:t>学校における児童生徒等の安全を確保するために</w:t>
            </w:r>
          </w:p>
        </w:tc>
        <w:tc>
          <w:tcPr>
            <w:tcW w:w="850" w:type="dxa"/>
            <w:vMerge w:val="restart"/>
            <w:vAlign w:val="center"/>
            <w:hideMark/>
          </w:tcPr>
          <w:p w14:paraId="79649136" w14:textId="77777777" w:rsidR="008A3EDE" w:rsidRPr="00263B73" w:rsidRDefault="008A3EDE" w:rsidP="00831B7C">
            <w:pPr>
              <w:widowControl/>
              <w:spacing w:line="180" w:lineRule="exact"/>
              <w:jc w:val="left"/>
              <w:rPr>
                <w:rFonts w:ascii="ＭＳ ゴシック" w:eastAsia="ＭＳ ゴシック" w:hAnsi="ＭＳ ゴシック" w:cs="ＭＳ Ｐゴシック"/>
                <w:kern w:val="0"/>
                <w:sz w:val="14"/>
                <w:szCs w:val="12"/>
              </w:rPr>
            </w:pPr>
            <w:r w:rsidRPr="00263B73">
              <w:rPr>
                <w:rFonts w:ascii="ＭＳ ゴシック" w:eastAsia="ＭＳ ゴシック" w:hAnsi="ＭＳ ゴシック" w:cs="ＭＳ Ｐゴシック" w:hint="eastAsia"/>
                <w:kern w:val="0"/>
                <w:sz w:val="14"/>
                <w:szCs w:val="12"/>
              </w:rPr>
              <w:t>教育庁</w:t>
            </w:r>
          </w:p>
        </w:tc>
        <w:tc>
          <w:tcPr>
            <w:tcW w:w="1843" w:type="dxa"/>
            <w:noWrap/>
            <w:vAlign w:val="center"/>
            <w:hideMark/>
          </w:tcPr>
          <w:p w14:paraId="2223B5C3" w14:textId="77777777" w:rsidR="008A3EDE" w:rsidRPr="00263B73" w:rsidRDefault="008A3EDE" w:rsidP="00831B7C">
            <w:pPr>
              <w:widowControl/>
              <w:spacing w:line="180" w:lineRule="exact"/>
              <w:rPr>
                <w:rFonts w:ascii="ＭＳ ゴシック" w:eastAsia="ＭＳ ゴシック" w:hAnsi="ＭＳ ゴシック" w:cs="ＭＳ Ｐゴシック"/>
                <w:kern w:val="0"/>
                <w:sz w:val="14"/>
                <w:szCs w:val="12"/>
              </w:rPr>
            </w:pPr>
            <w:r w:rsidRPr="00263B73">
              <w:rPr>
                <w:rFonts w:ascii="ＭＳ ゴシック" w:eastAsia="ＭＳ ゴシック" w:hAnsi="ＭＳ ゴシック" w:cs="ＭＳ Ｐゴシック" w:hint="eastAsia"/>
                <w:kern w:val="0"/>
                <w:sz w:val="14"/>
                <w:szCs w:val="12"/>
              </w:rPr>
              <w:t>保健体育課</w:t>
            </w:r>
          </w:p>
        </w:tc>
      </w:tr>
      <w:tr w:rsidR="008A3EDE" w:rsidRPr="00263B73" w14:paraId="17D78786" w14:textId="77777777" w:rsidTr="00831B7C">
        <w:trPr>
          <w:trHeight w:val="20"/>
        </w:trPr>
        <w:tc>
          <w:tcPr>
            <w:tcW w:w="1501" w:type="dxa"/>
            <w:vMerge/>
            <w:hideMark/>
          </w:tcPr>
          <w:p w14:paraId="69A3BB79" w14:textId="77777777" w:rsidR="008A3EDE" w:rsidRPr="00263B73" w:rsidRDefault="008A3EDE" w:rsidP="00831B7C">
            <w:pPr>
              <w:widowControl/>
              <w:spacing w:line="180" w:lineRule="exact"/>
              <w:jc w:val="left"/>
              <w:rPr>
                <w:rFonts w:ascii="ＭＳ ゴシック" w:eastAsia="ＭＳ ゴシック" w:hAnsi="ＭＳ ゴシック" w:cs="ＭＳ Ｐゴシック"/>
                <w:kern w:val="0"/>
                <w:sz w:val="14"/>
                <w:szCs w:val="12"/>
              </w:rPr>
            </w:pPr>
          </w:p>
        </w:tc>
        <w:tc>
          <w:tcPr>
            <w:tcW w:w="5631" w:type="dxa"/>
            <w:gridSpan w:val="2"/>
            <w:noWrap/>
            <w:vAlign w:val="center"/>
            <w:hideMark/>
          </w:tcPr>
          <w:p w14:paraId="495BFEBA" w14:textId="77777777" w:rsidR="008A3EDE" w:rsidRPr="00263B73" w:rsidRDefault="008A3EDE" w:rsidP="00831B7C">
            <w:pPr>
              <w:widowControl/>
              <w:spacing w:line="180" w:lineRule="exact"/>
              <w:jc w:val="left"/>
              <w:rPr>
                <w:rFonts w:ascii="ＭＳ ゴシック" w:eastAsia="ＭＳ ゴシック" w:hAnsi="ＭＳ ゴシック" w:cs="ＭＳ Ｐゴシック"/>
                <w:kern w:val="0"/>
                <w:sz w:val="14"/>
                <w:szCs w:val="12"/>
              </w:rPr>
            </w:pPr>
            <w:r w:rsidRPr="00263B73">
              <w:rPr>
                <w:rFonts w:ascii="ＭＳ ゴシック" w:eastAsia="ＭＳ ゴシック" w:hAnsi="ＭＳ ゴシック" w:cs="ＭＳ Ｐゴシック" w:hint="eastAsia"/>
                <w:kern w:val="0"/>
                <w:sz w:val="14"/>
                <w:szCs w:val="12"/>
              </w:rPr>
              <w:t>重篤な事象に対する緊急対応マニュアル</w:t>
            </w:r>
          </w:p>
        </w:tc>
        <w:tc>
          <w:tcPr>
            <w:tcW w:w="850" w:type="dxa"/>
            <w:vMerge/>
            <w:vAlign w:val="center"/>
            <w:hideMark/>
          </w:tcPr>
          <w:p w14:paraId="69480361" w14:textId="77777777" w:rsidR="008A3EDE" w:rsidRPr="00263B73" w:rsidRDefault="008A3EDE" w:rsidP="00831B7C">
            <w:pPr>
              <w:spacing w:line="180" w:lineRule="exact"/>
              <w:jc w:val="left"/>
              <w:rPr>
                <w:rFonts w:ascii="ＭＳ ゴシック" w:eastAsia="ＭＳ ゴシック" w:hAnsi="ＭＳ ゴシック" w:cs="ＭＳ Ｐゴシック"/>
                <w:kern w:val="0"/>
                <w:sz w:val="14"/>
                <w:szCs w:val="12"/>
              </w:rPr>
            </w:pPr>
          </w:p>
        </w:tc>
        <w:tc>
          <w:tcPr>
            <w:tcW w:w="1843" w:type="dxa"/>
            <w:noWrap/>
            <w:vAlign w:val="center"/>
            <w:hideMark/>
          </w:tcPr>
          <w:p w14:paraId="0AB689F7" w14:textId="77777777" w:rsidR="008A3EDE" w:rsidRPr="00263B73" w:rsidRDefault="008A3EDE" w:rsidP="00831B7C">
            <w:pPr>
              <w:widowControl/>
              <w:spacing w:line="180" w:lineRule="exact"/>
              <w:rPr>
                <w:rFonts w:ascii="ＭＳ ゴシック" w:eastAsia="ＭＳ ゴシック" w:hAnsi="ＭＳ ゴシック" w:cs="ＭＳ Ｐゴシック"/>
                <w:kern w:val="0"/>
                <w:sz w:val="14"/>
                <w:szCs w:val="12"/>
              </w:rPr>
            </w:pPr>
            <w:r w:rsidRPr="00263B73">
              <w:rPr>
                <w:rFonts w:ascii="ＭＳ ゴシック" w:eastAsia="ＭＳ ゴシック" w:hAnsi="ＭＳ ゴシック" w:cs="ＭＳ Ｐゴシック" w:hint="eastAsia"/>
                <w:kern w:val="0"/>
                <w:sz w:val="14"/>
                <w:szCs w:val="12"/>
              </w:rPr>
              <w:t>小中学校課</w:t>
            </w:r>
          </w:p>
        </w:tc>
      </w:tr>
      <w:tr w:rsidR="008A3EDE" w:rsidRPr="00263B73" w14:paraId="44685518" w14:textId="77777777" w:rsidTr="00831B7C">
        <w:trPr>
          <w:trHeight w:val="20"/>
        </w:trPr>
        <w:tc>
          <w:tcPr>
            <w:tcW w:w="1501" w:type="dxa"/>
          </w:tcPr>
          <w:p w14:paraId="4276DB66" w14:textId="77777777" w:rsidR="008A3EDE" w:rsidRPr="00263B73" w:rsidRDefault="008A3EDE" w:rsidP="00831B7C">
            <w:pPr>
              <w:widowControl/>
              <w:spacing w:line="180" w:lineRule="exact"/>
              <w:jc w:val="left"/>
              <w:rPr>
                <w:rFonts w:ascii="ＭＳ ゴシック" w:eastAsia="ＭＳ ゴシック" w:hAnsi="ＭＳ ゴシック" w:cs="ＭＳ Ｐゴシック"/>
                <w:kern w:val="0"/>
                <w:sz w:val="14"/>
                <w:szCs w:val="12"/>
              </w:rPr>
            </w:pPr>
            <w:r w:rsidRPr="00263B73">
              <w:rPr>
                <w:rFonts w:ascii="ＭＳ ゴシック" w:eastAsia="ＭＳ ゴシック" w:hAnsi="ＭＳ ゴシック" w:cs="ＭＳ Ｐゴシック" w:hint="eastAsia"/>
                <w:kern w:val="0"/>
                <w:sz w:val="12"/>
                <w:szCs w:val="12"/>
              </w:rPr>
              <w:t>宿泊を伴う教育活動実施における事故</w:t>
            </w:r>
          </w:p>
        </w:tc>
        <w:tc>
          <w:tcPr>
            <w:tcW w:w="5631" w:type="dxa"/>
            <w:gridSpan w:val="2"/>
            <w:noWrap/>
            <w:vAlign w:val="center"/>
          </w:tcPr>
          <w:p w14:paraId="64CBA8FA" w14:textId="77777777" w:rsidR="008A3EDE" w:rsidRPr="00263B73" w:rsidRDefault="008A3EDE" w:rsidP="00831B7C">
            <w:pPr>
              <w:widowControl/>
              <w:spacing w:line="180" w:lineRule="exact"/>
              <w:jc w:val="left"/>
              <w:rPr>
                <w:rFonts w:ascii="ＭＳ ゴシック" w:eastAsia="ＭＳ ゴシック" w:hAnsi="ＭＳ ゴシック" w:cs="ＭＳ Ｐゴシック"/>
                <w:kern w:val="0"/>
                <w:sz w:val="14"/>
                <w:szCs w:val="12"/>
              </w:rPr>
            </w:pPr>
            <w:r w:rsidRPr="00263B73">
              <w:rPr>
                <w:rFonts w:ascii="ＭＳ ゴシック" w:eastAsia="ＭＳ ゴシック" w:hAnsi="ＭＳ ゴシック" w:cs="ＭＳ Ｐゴシック" w:hint="eastAsia"/>
                <w:kern w:val="0"/>
                <w:sz w:val="14"/>
                <w:szCs w:val="12"/>
              </w:rPr>
              <w:t>宿泊を伴う教育活動実施上の留意事項</w:t>
            </w:r>
          </w:p>
        </w:tc>
        <w:tc>
          <w:tcPr>
            <w:tcW w:w="850" w:type="dxa"/>
            <w:vMerge/>
            <w:vAlign w:val="center"/>
          </w:tcPr>
          <w:p w14:paraId="741E5F40" w14:textId="77777777" w:rsidR="008A3EDE" w:rsidRPr="00263B73" w:rsidRDefault="008A3EDE" w:rsidP="00831B7C">
            <w:pPr>
              <w:spacing w:line="180" w:lineRule="exact"/>
              <w:jc w:val="left"/>
              <w:rPr>
                <w:rFonts w:ascii="ＭＳ ゴシック" w:eastAsia="ＭＳ ゴシック" w:hAnsi="ＭＳ ゴシック" w:cs="ＭＳ Ｐゴシック"/>
                <w:kern w:val="0"/>
                <w:sz w:val="14"/>
                <w:szCs w:val="12"/>
              </w:rPr>
            </w:pPr>
          </w:p>
        </w:tc>
        <w:tc>
          <w:tcPr>
            <w:tcW w:w="1843" w:type="dxa"/>
            <w:noWrap/>
            <w:vAlign w:val="center"/>
          </w:tcPr>
          <w:p w14:paraId="4C3911AF" w14:textId="77777777" w:rsidR="008A3EDE" w:rsidRPr="00263B73" w:rsidRDefault="008A3EDE" w:rsidP="00831B7C">
            <w:pPr>
              <w:widowControl/>
              <w:spacing w:line="180" w:lineRule="exact"/>
              <w:rPr>
                <w:rFonts w:ascii="ＭＳ ゴシック" w:eastAsia="ＭＳ ゴシック" w:hAnsi="ＭＳ ゴシック" w:cs="ＭＳ Ｐゴシック"/>
                <w:kern w:val="0"/>
                <w:sz w:val="14"/>
                <w:szCs w:val="12"/>
              </w:rPr>
            </w:pPr>
            <w:r w:rsidRPr="00263B73">
              <w:rPr>
                <w:rFonts w:ascii="ＭＳ ゴシック" w:eastAsia="ＭＳ ゴシック" w:hAnsi="ＭＳ ゴシック" w:cs="ＭＳ Ｐゴシック" w:hint="eastAsia"/>
                <w:kern w:val="0"/>
                <w:sz w:val="14"/>
                <w:szCs w:val="12"/>
              </w:rPr>
              <w:t>高等学校課</w:t>
            </w:r>
          </w:p>
        </w:tc>
      </w:tr>
      <w:tr w:rsidR="008A3EDE" w:rsidRPr="00263B73" w14:paraId="6FBFFB34" w14:textId="77777777" w:rsidTr="00831B7C">
        <w:trPr>
          <w:trHeight w:val="20"/>
        </w:trPr>
        <w:tc>
          <w:tcPr>
            <w:tcW w:w="1501" w:type="dxa"/>
          </w:tcPr>
          <w:p w14:paraId="7195507C" w14:textId="77777777" w:rsidR="008A3EDE" w:rsidRPr="00263B73" w:rsidRDefault="008A3EDE" w:rsidP="00831B7C">
            <w:pPr>
              <w:widowControl/>
              <w:spacing w:line="180" w:lineRule="exact"/>
              <w:jc w:val="left"/>
              <w:rPr>
                <w:rFonts w:ascii="ＭＳ ゴシック" w:eastAsia="ＭＳ ゴシック" w:hAnsi="ＭＳ ゴシック" w:cs="ＭＳ Ｐゴシック"/>
                <w:kern w:val="0"/>
                <w:sz w:val="14"/>
                <w:szCs w:val="12"/>
              </w:rPr>
            </w:pPr>
            <w:r w:rsidRPr="00263B73">
              <w:rPr>
                <w:rFonts w:ascii="ＭＳ ゴシック" w:eastAsia="ＭＳ ゴシック" w:hAnsi="ＭＳ ゴシック" w:cs="ＭＳ Ｐゴシック" w:hint="eastAsia"/>
                <w:kern w:val="0"/>
                <w:sz w:val="14"/>
                <w:szCs w:val="12"/>
              </w:rPr>
              <w:t>海外修学旅行実施に係る事故</w:t>
            </w:r>
          </w:p>
        </w:tc>
        <w:tc>
          <w:tcPr>
            <w:tcW w:w="5631" w:type="dxa"/>
            <w:gridSpan w:val="2"/>
            <w:noWrap/>
            <w:vAlign w:val="center"/>
          </w:tcPr>
          <w:p w14:paraId="083D8BED" w14:textId="77777777" w:rsidR="008A3EDE" w:rsidRPr="00263B73" w:rsidRDefault="008A3EDE" w:rsidP="00831B7C">
            <w:pPr>
              <w:widowControl/>
              <w:spacing w:line="180" w:lineRule="exact"/>
              <w:jc w:val="left"/>
              <w:rPr>
                <w:rFonts w:ascii="ＭＳ ゴシック" w:eastAsia="ＭＳ ゴシック" w:hAnsi="ＭＳ ゴシック" w:cs="ＭＳ Ｐゴシック"/>
                <w:kern w:val="0"/>
                <w:sz w:val="14"/>
                <w:szCs w:val="12"/>
              </w:rPr>
            </w:pPr>
            <w:r w:rsidRPr="00263B73">
              <w:rPr>
                <w:rFonts w:ascii="ＭＳ ゴシック" w:eastAsia="ＭＳ ゴシック" w:hAnsi="ＭＳ ゴシック" w:cs="ＭＳ Ｐゴシック" w:hint="eastAsia"/>
                <w:kern w:val="0"/>
                <w:sz w:val="14"/>
                <w:szCs w:val="12"/>
              </w:rPr>
              <w:t>海外修学旅行実施上の留意事項</w:t>
            </w:r>
          </w:p>
        </w:tc>
        <w:tc>
          <w:tcPr>
            <w:tcW w:w="850" w:type="dxa"/>
            <w:vMerge/>
            <w:vAlign w:val="center"/>
          </w:tcPr>
          <w:p w14:paraId="3C2DC5B6" w14:textId="77777777" w:rsidR="008A3EDE" w:rsidRPr="00263B73" w:rsidRDefault="008A3EDE" w:rsidP="00831B7C">
            <w:pPr>
              <w:spacing w:line="180" w:lineRule="exact"/>
              <w:jc w:val="left"/>
              <w:rPr>
                <w:rFonts w:ascii="ＭＳ ゴシック" w:eastAsia="ＭＳ ゴシック" w:hAnsi="ＭＳ ゴシック" w:cs="ＭＳ Ｐゴシック"/>
                <w:kern w:val="0"/>
                <w:sz w:val="14"/>
                <w:szCs w:val="12"/>
              </w:rPr>
            </w:pPr>
          </w:p>
        </w:tc>
        <w:tc>
          <w:tcPr>
            <w:tcW w:w="1843" w:type="dxa"/>
            <w:noWrap/>
            <w:vAlign w:val="center"/>
          </w:tcPr>
          <w:p w14:paraId="43069CF3" w14:textId="77777777" w:rsidR="008A3EDE" w:rsidRPr="00263B73" w:rsidRDefault="008A3EDE" w:rsidP="00831B7C">
            <w:pPr>
              <w:widowControl/>
              <w:spacing w:line="180" w:lineRule="exact"/>
              <w:rPr>
                <w:rFonts w:ascii="ＭＳ ゴシック" w:eastAsia="ＭＳ ゴシック" w:hAnsi="ＭＳ ゴシック" w:cs="ＭＳ Ｐゴシック"/>
                <w:kern w:val="0"/>
                <w:sz w:val="14"/>
                <w:szCs w:val="12"/>
              </w:rPr>
            </w:pPr>
            <w:r w:rsidRPr="00263B73">
              <w:rPr>
                <w:rFonts w:ascii="ＭＳ ゴシック" w:eastAsia="ＭＳ ゴシック" w:hAnsi="ＭＳ ゴシック" w:cs="ＭＳ Ｐゴシック" w:hint="eastAsia"/>
                <w:kern w:val="0"/>
                <w:sz w:val="14"/>
                <w:szCs w:val="12"/>
              </w:rPr>
              <w:t>高等学校課</w:t>
            </w:r>
          </w:p>
        </w:tc>
      </w:tr>
      <w:tr w:rsidR="008A3EDE" w:rsidRPr="00263B73" w14:paraId="7A7E9755" w14:textId="77777777" w:rsidTr="00831B7C">
        <w:trPr>
          <w:trHeight w:val="20"/>
        </w:trPr>
        <w:tc>
          <w:tcPr>
            <w:tcW w:w="1501" w:type="dxa"/>
            <w:vAlign w:val="center"/>
            <w:hideMark/>
          </w:tcPr>
          <w:p w14:paraId="3314ED6E" w14:textId="77777777" w:rsidR="008A3EDE" w:rsidRPr="00263B73" w:rsidRDefault="008A3EDE" w:rsidP="00831B7C">
            <w:pPr>
              <w:widowControl/>
              <w:spacing w:line="180" w:lineRule="exact"/>
              <w:jc w:val="left"/>
              <w:rPr>
                <w:rFonts w:ascii="ＭＳ ゴシック" w:eastAsia="ＭＳ ゴシック" w:hAnsi="ＭＳ ゴシック" w:cs="ＭＳ Ｐゴシック"/>
                <w:kern w:val="0"/>
                <w:sz w:val="14"/>
                <w:szCs w:val="12"/>
              </w:rPr>
            </w:pPr>
            <w:r w:rsidRPr="00263B73">
              <w:rPr>
                <w:rFonts w:ascii="ＭＳ ゴシック" w:eastAsia="ＭＳ ゴシック" w:hAnsi="ＭＳ ゴシック" w:cs="ＭＳ Ｐゴシック" w:hint="eastAsia"/>
                <w:kern w:val="0"/>
                <w:sz w:val="14"/>
                <w:szCs w:val="12"/>
              </w:rPr>
              <w:t>府総合体育大会等での事故</w:t>
            </w:r>
          </w:p>
        </w:tc>
        <w:tc>
          <w:tcPr>
            <w:tcW w:w="5631" w:type="dxa"/>
            <w:gridSpan w:val="2"/>
            <w:noWrap/>
            <w:vAlign w:val="center"/>
            <w:hideMark/>
          </w:tcPr>
          <w:p w14:paraId="44E57266" w14:textId="77777777" w:rsidR="008A3EDE" w:rsidRPr="00263B73" w:rsidRDefault="008A3EDE" w:rsidP="00831B7C">
            <w:pPr>
              <w:widowControl/>
              <w:spacing w:line="180" w:lineRule="exact"/>
              <w:jc w:val="left"/>
              <w:rPr>
                <w:rFonts w:ascii="ＭＳ ゴシック" w:eastAsia="ＭＳ ゴシック" w:hAnsi="ＭＳ ゴシック" w:cs="ＭＳ Ｐゴシック"/>
                <w:kern w:val="0"/>
                <w:sz w:val="14"/>
                <w:szCs w:val="12"/>
              </w:rPr>
            </w:pPr>
            <w:r w:rsidRPr="00263B73">
              <w:rPr>
                <w:rFonts w:ascii="ＭＳ ゴシック" w:eastAsia="ＭＳ ゴシック" w:hAnsi="ＭＳ ゴシック" w:cs="ＭＳ Ｐゴシック" w:hint="eastAsia"/>
                <w:kern w:val="0"/>
                <w:sz w:val="14"/>
                <w:szCs w:val="12"/>
              </w:rPr>
              <w:t>大阪府総合体育大会危機管理マニュアル</w:t>
            </w:r>
          </w:p>
        </w:tc>
        <w:tc>
          <w:tcPr>
            <w:tcW w:w="850" w:type="dxa"/>
            <w:vMerge/>
            <w:vAlign w:val="center"/>
            <w:hideMark/>
          </w:tcPr>
          <w:p w14:paraId="316279F0" w14:textId="77777777" w:rsidR="008A3EDE" w:rsidRPr="00263B73" w:rsidRDefault="008A3EDE" w:rsidP="00831B7C">
            <w:pPr>
              <w:spacing w:line="180" w:lineRule="exact"/>
              <w:jc w:val="left"/>
              <w:rPr>
                <w:rFonts w:ascii="ＭＳ ゴシック" w:eastAsia="ＭＳ ゴシック" w:hAnsi="ＭＳ ゴシック" w:cs="ＭＳ Ｐゴシック"/>
                <w:kern w:val="0"/>
                <w:sz w:val="14"/>
                <w:szCs w:val="12"/>
              </w:rPr>
            </w:pPr>
          </w:p>
        </w:tc>
        <w:tc>
          <w:tcPr>
            <w:tcW w:w="1843" w:type="dxa"/>
            <w:noWrap/>
            <w:vAlign w:val="center"/>
            <w:hideMark/>
          </w:tcPr>
          <w:p w14:paraId="29ECBF96" w14:textId="77777777" w:rsidR="008A3EDE" w:rsidRPr="00263B73" w:rsidRDefault="008A3EDE" w:rsidP="00831B7C">
            <w:pPr>
              <w:widowControl/>
              <w:spacing w:line="180" w:lineRule="exact"/>
              <w:rPr>
                <w:rFonts w:ascii="ＭＳ ゴシック" w:eastAsia="ＭＳ ゴシック" w:hAnsi="ＭＳ ゴシック" w:cs="ＭＳ Ｐゴシック"/>
                <w:kern w:val="0"/>
                <w:sz w:val="14"/>
                <w:szCs w:val="12"/>
              </w:rPr>
            </w:pPr>
            <w:r w:rsidRPr="00263B73">
              <w:rPr>
                <w:rFonts w:ascii="ＭＳ ゴシック" w:eastAsia="ＭＳ ゴシック" w:hAnsi="ＭＳ ゴシック" w:cs="ＭＳ Ｐゴシック" w:hint="eastAsia"/>
                <w:kern w:val="0"/>
                <w:sz w:val="14"/>
                <w:szCs w:val="12"/>
              </w:rPr>
              <w:t>保健体育課</w:t>
            </w:r>
          </w:p>
        </w:tc>
      </w:tr>
      <w:tr w:rsidR="008A3EDE" w:rsidRPr="00263B73" w14:paraId="44CED1D9" w14:textId="77777777" w:rsidTr="00831B7C">
        <w:trPr>
          <w:trHeight w:val="20"/>
        </w:trPr>
        <w:tc>
          <w:tcPr>
            <w:tcW w:w="1501" w:type="dxa"/>
            <w:vAlign w:val="center"/>
          </w:tcPr>
          <w:p w14:paraId="6580A0C5" w14:textId="77777777" w:rsidR="008A3EDE" w:rsidRPr="00263B73" w:rsidRDefault="008A3EDE" w:rsidP="00831B7C">
            <w:pPr>
              <w:widowControl/>
              <w:spacing w:line="180" w:lineRule="exact"/>
              <w:jc w:val="left"/>
              <w:rPr>
                <w:rFonts w:ascii="ＭＳ ゴシック" w:eastAsia="ＭＳ ゴシック" w:hAnsi="ＭＳ ゴシック" w:cs="ＭＳ Ｐゴシック"/>
                <w:kern w:val="0"/>
                <w:sz w:val="14"/>
                <w:szCs w:val="12"/>
              </w:rPr>
            </w:pPr>
            <w:r w:rsidRPr="00263B73">
              <w:rPr>
                <w:rFonts w:ascii="ＭＳ ゴシック" w:eastAsia="ＭＳ ゴシック" w:hAnsi="ＭＳ ゴシック" w:cs="ＭＳ Ｐゴシック" w:hint="eastAsia"/>
                <w:kern w:val="0"/>
                <w:sz w:val="14"/>
                <w:szCs w:val="12"/>
              </w:rPr>
              <w:t>学校における食物アレルギー</w:t>
            </w:r>
          </w:p>
        </w:tc>
        <w:tc>
          <w:tcPr>
            <w:tcW w:w="5631" w:type="dxa"/>
            <w:gridSpan w:val="2"/>
            <w:noWrap/>
            <w:vAlign w:val="center"/>
          </w:tcPr>
          <w:p w14:paraId="12A4A061" w14:textId="77777777" w:rsidR="008A3EDE" w:rsidRPr="00263B73" w:rsidRDefault="008A3EDE" w:rsidP="00831B7C">
            <w:pPr>
              <w:widowControl/>
              <w:spacing w:line="180" w:lineRule="exact"/>
              <w:jc w:val="left"/>
              <w:rPr>
                <w:rFonts w:ascii="ＭＳ ゴシック" w:eastAsia="ＭＳ ゴシック" w:hAnsi="ＭＳ ゴシック" w:cs="ＭＳ Ｐゴシック"/>
                <w:kern w:val="0"/>
                <w:sz w:val="14"/>
                <w:szCs w:val="12"/>
              </w:rPr>
            </w:pPr>
            <w:r w:rsidRPr="00263B73">
              <w:rPr>
                <w:rFonts w:ascii="ＭＳ ゴシック" w:eastAsia="ＭＳ ゴシック" w:hAnsi="ＭＳ ゴシック" w:cs="ＭＳ Ｐゴシック" w:hint="eastAsia"/>
                <w:kern w:val="0"/>
                <w:sz w:val="14"/>
                <w:szCs w:val="12"/>
              </w:rPr>
              <w:t>学校における食物アレルギー対応ガイドライン</w:t>
            </w:r>
          </w:p>
        </w:tc>
        <w:tc>
          <w:tcPr>
            <w:tcW w:w="850" w:type="dxa"/>
            <w:vMerge/>
            <w:vAlign w:val="center"/>
          </w:tcPr>
          <w:p w14:paraId="50A9518D" w14:textId="77777777" w:rsidR="008A3EDE" w:rsidRPr="00263B73" w:rsidRDefault="008A3EDE" w:rsidP="00831B7C">
            <w:pPr>
              <w:spacing w:line="180" w:lineRule="exact"/>
              <w:jc w:val="left"/>
              <w:rPr>
                <w:rFonts w:ascii="ＭＳ ゴシック" w:eastAsia="ＭＳ ゴシック" w:hAnsi="ＭＳ ゴシック" w:cs="ＭＳ Ｐゴシック"/>
                <w:kern w:val="0"/>
                <w:sz w:val="14"/>
                <w:szCs w:val="12"/>
              </w:rPr>
            </w:pPr>
          </w:p>
        </w:tc>
        <w:tc>
          <w:tcPr>
            <w:tcW w:w="1843" w:type="dxa"/>
            <w:noWrap/>
            <w:vAlign w:val="center"/>
          </w:tcPr>
          <w:p w14:paraId="0AAA5D6D" w14:textId="77777777" w:rsidR="008A3EDE" w:rsidRPr="00263B73" w:rsidRDefault="008A3EDE" w:rsidP="00831B7C">
            <w:pPr>
              <w:widowControl/>
              <w:spacing w:line="180" w:lineRule="exact"/>
              <w:rPr>
                <w:rFonts w:ascii="ＭＳ ゴシック" w:eastAsia="ＭＳ ゴシック" w:hAnsi="ＭＳ ゴシック" w:cs="ＭＳ Ｐゴシック"/>
                <w:kern w:val="0"/>
                <w:sz w:val="14"/>
                <w:szCs w:val="12"/>
              </w:rPr>
            </w:pPr>
            <w:r w:rsidRPr="00263B73">
              <w:rPr>
                <w:rFonts w:ascii="ＭＳ ゴシック" w:eastAsia="ＭＳ ゴシック" w:hAnsi="ＭＳ ゴシック" w:cs="ＭＳ Ｐゴシック" w:hint="eastAsia"/>
                <w:kern w:val="0"/>
                <w:sz w:val="14"/>
                <w:szCs w:val="12"/>
              </w:rPr>
              <w:t>保健体育課</w:t>
            </w:r>
          </w:p>
        </w:tc>
      </w:tr>
      <w:tr w:rsidR="008A3EDE" w:rsidRPr="00263B73" w14:paraId="35D19BE0" w14:textId="77777777" w:rsidTr="00831B7C">
        <w:trPr>
          <w:trHeight w:val="20"/>
        </w:trPr>
        <w:tc>
          <w:tcPr>
            <w:tcW w:w="1501" w:type="dxa"/>
            <w:vAlign w:val="center"/>
            <w:hideMark/>
          </w:tcPr>
          <w:p w14:paraId="4D5554F6" w14:textId="77777777" w:rsidR="008A3EDE" w:rsidRPr="00263B73" w:rsidRDefault="008A3EDE" w:rsidP="00831B7C">
            <w:pPr>
              <w:widowControl/>
              <w:spacing w:line="180" w:lineRule="exact"/>
              <w:jc w:val="left"/>
              <w:rPr>
                <w:rFonts w:ascii="ＭＳ ゴシック" w:eastAsia="ＭＳ ゴシック" w:hAnsi="ＭＳ ゴシック" w:cs="ＭＳ Ｐゴシック"/>
                <w:kern w:val="0"/>
                <w:sz w:val="14"/>
                <w:szCs w:val="12"/>
              </w:rPr>
            </w:pPr>
            <w:r w:rsidRPr="00263B73">
              <w:rPr>
                <w:rFonts w:ascii="ＭＳ ゴシック" w:eastAsia="ＭＳ ゴシック" w:hAnsi="ＭＳ ゴシック" w:cs="ＭＳ Ｐゴシック" w:hint="eastAsia"/>
                <w:kern w:val="0"/>
                <w:sz w:val="14"/>
                <w:szCs w:val="12"/>
              </w:rPr>
              <w:t>弾道ミサイル発射</w:t>
            </w:r>
          </w:p>
        </w:tc>
        <w:tc>
          <w:tcPr>
            <w:tcW w:w="5631" w:type="dxa"/>
            <w:gridSpan w:val="2"/>
            <w:noWrap/>
            <w:vAlign w:val="center"/>
            <w:hideMark/>
          </w:tcPr>
          <w:p w14:paraId="5DA9471E" w14:textId="77777777" w:rsidR="008A3EDE" w:rsidRPr="00263B73" w:rsidRDefault="008A3EDE" w:rsidP="00831B7C">
            <w:pPr>
              <w:widowControl/>
              <w:spacing w:line="180" w:lineRule="exact"/>
              <w:jc w:val="left"/>
              <w:rPr>
                <w:rFonts w:ascii="ＭＳ ゴシック" w:eastAsia="ＭＳ ゴシック" w:hAnsi="ＭＳ ゴシック" w:cs="ＭＳ Ｐゴシック"/>
                <w:kern w:val="0"/>
                <w:sz w:val="14"/>
                <w:szCs w:val="12"/>
              </w:rPr>
            </w:pPr>
            <w:r w:rsidRPr="00263B73">
              <w:rPr>
                <w:rFonts w:ascii="ＭＳ ゴシック" w:eastAsia="ＭＳ ゴシック" w:hAnsi="ＭＳ ゴシック" w:cs="ＭＳ Ｐゴシック" w:hint="eastAsia"/>
                <w:kern w:val="0"/>
                <w:sz w:val="14"/>
                <w:szCs w:val="12"/>
              </w:rPr>
              <w:t>Ｊアラートによるミサイル発射情報に対するガイドライン</w:t>
            </w:r>
          </w:p>
        </w:tc>
        <w:tc>
          <w:tcPr>
            <w:tcW w:w="850" w:type="dxa"/>
            <w:vMerge/>
            <w:vAlign w:val="center"/>
            <w:hideMark/>
          </w:tcPr>
          <w:p w14:paraId="421A3D5D" w14:textId="77777777" w:rsidR="008A3EDE" w:rsidRPr="00263B73" w:rsidRDefault="008A3EDE" w:rsidP="00831B7C">
            <w:pPr>
              <w:spacing w:line="180" w:lineRule="exact"/>
              <w:jc w:val="left"/>
              <w:rPr>
                <w:rFonts w:ascii="ＭＳ ゴシック" w:eastAsia="ＭＳ ゴシック" w:hAnsi="ＭＳ ゴシック" w:cs="ＭＳ Ｐゴシック"/>
                <w:kern w:val="0"/>
                <w:sz w:val="14"/>
                <w:szCs w:val="12"/>
              </w:rPr>
            </w:pPr>
          </w:p>
        </w:tc>
        <w:tc>
          <w:tcPr>
            <w:tcW w:w="1843" w:type="dxa"/>
            <w:noWrap/>
            <w:vAlign w:val="center"/>
            <w:hideMark/>
          </w:tcPr>
          <w:p w14:paraId="03B0EF1B" w14:textId="77777777" w:rsidR="008A3EDE" w:rsidRPr="00263B73" w:rsidRDefault="008A3EDE" w:rsidP="00831B7C">
            <w:pPr>
              <w:widowControl/>
              <w:spacing w:line="180" w:lineRule="exact"/>
              <w:rPr>
                <w:rFonts w:ascii="ＭＳ ゴシック" w:eastAsia="ＭＳ ゴシック" w:hAnsi="ＭＳ ゴシック" w:cs="ＭＳ Ｐゴシック"/>
                <w:kern w:val="0"/>
                <w:sz w:val="14"/>
                <w:szCs w:val="12"/>
              </w:rPr>
            </w:pPr>
            <w:r w:rsidRPr="00263B73">
              <w:rPr>
                <w:rFonts w:ascii="ＭＳ ゴシック" w:eastAsia="ＭＳ ゴシック" w:hAnsi="ＭＳ ゴシック" w:cs="ＭＳ Ｐゴシック" w:hint="eastAsia"/>
                <w:kern w:val="0"/>
                <w:sz w:val="14"/>
                <w:szCs w:val="12"/>
              </w:rPr>
              <w:t>保健体育課</w:t>
            </w:r>
          </w:p>
        </w:tc>
      </w:tr>
      <w:tr w:rsidR="008A3EDE" w:rsidRPr="00263B73" w14:paraId="418D729C" w14:textId="77777777" w:rsidTr="00831B7C">
        <w:trPr>
          <w:trHeight w:val="20"/>
        </w:trPr>
        <w:tc>
          <w:tcPr>
            <w:tcW w:w="1501" w:type="dxa"/>
            <w:vAlign w:val="center"/>
          </w:tcPr>
          <w:p w14:paraId="4555BBA3" w14:textId="77777777" w:rsidR="008A3EDE" w:rsidRPr="00263B73" w:rsidRDefault="008A3EDE" w:rsidP="00831B7C">
            <w:pPr>
              <w:widowControl/>
              <w:spacing w:line="180" w:lineRule="exact"/>
              <w:jc w:val="left"/>
              <w:rPr>
                <w:rFonts w:ascii="ＭＳ ゴシック" w:eastAsia="ＭＳ ゴシック" w:hAnsi="ＭＳ ゴシック" w:cs="ＭＳ Ｐゴシック"/>
                <w:kern w:val="0"/>
                <w:sz w:val="14"/>
                <w:szCs w:val="12"/>
              </w:rPr>
            </w:pPr>
            <w:r w:rsidRPr="00263B73">
              <w:rPr>
                <w:rFonts w:ascii="ＭＳ ゴシック" w:eastAsia="ＭＳ ゴシック" w:hAnsi="ＭＳ ゴシック" w:cs="ＭＳ Ｐゴシック" w:hint="eastAsia"/>
                <w:kern w:val="0"/>
                <w:sz w:val="14"/>
                <w:szCs w:val="12"/>
              </w:rPr>
              <w:t>私立学校における事故・事件等</w:t>
            </w:r>
          </w:p>
        </w:tc>
        <w:tc>
          <w:tcPr>
            <w:tcW w:w="5631" w:type="dxa"/>
            <w:gridSpan w:val="2"/>
            <w:noWrap/>
            <w:vAlign w:val="center"/>
          </w:tcPr>
          <w:p w14:paraId="050C3F33" w14:textId="77777777" w:rsidR="008A3EDE" w:rsidRPr="00263B73" w:rsidRDefault="008A3EDE" w:rsidP="00831B7C">
            <w:pPr>
              <w:widowControl/>
              <w:spacing w:line="180" w:lineRule="exact"/>
              <w:jc w:val="left"/>
              <w:rPr>
                <w:rFonts w:ascii="ＭＳ ゴシック" w:eastAsia="ＭＳ ゴシック" w:hAnsi="ＭＳ ゴシック" w:cs="ＭＳ Ｐゴシック"/>
                <w:kern w:val="0"/>
                <w:sz w:val="14"/>
                <w:szCs w:val="12"/>
              </w:rPr>
            </w:pPr>
            <w:r w:rsidRPr="00263B73">
              <w:rPr>
                <w:rFonts w:ascii="ＭＳ ゴシック" w:eastAsia="ＭＳ ゴシック" w:hAnsi="ＭＳ ゴシック" w:cs="ＭＳ Ｐゴシック" w:hint="eastAsia"/>
                <w:kern w:val="0"/>
                <w:sz w:val="14"/>
                <w:szCs w:val="12"/>
              </w:rPr>
              <w:t>私学課危機管理対応マニュアル</w:t>
            </w:r>
          </w:p>
        </w:tc>
        <w:tc>
          <w:tcPr>
            <w:tcW w:w="850" w:type="dxa"/>
            <w:vMerge/>
            <w:vAlign w:val="center"/>
          </w:tcPr>
          <w:p w14:paraId="41E138FB" w14:textId="77777777" w:rsidR="008A3EDE" w:rsidRPr="00263B73" w:rsidRDefault="008A3EDE" w:rsidP="00831B7C">
            <w:pPr>
              <w:spacing w:line="180" w:lineRule="exact"/>
              <w:jc w:val="left"/>
              <w:rPr>
                <w:rFonts w:ascii="ＭＳ ゴシック" w:eastAsia="ＭＳ ゴシック" w:hAnsi="ＭＳ ゴシック" w:cs="ＭＳ Ｐゴシック"/>
                <w:kern w:val="0"/>
                <w:sz w:val="14"/>
                <w:szCs w:val="12"/>
              </w:rPr>
            </w:pPr>
          </w:p>
        </w:tc>
        <w:tc>
          <w:tcPr>
            <w:tcW w:w="1843" w:type="dxa"/>
            <w:noWrap/>
            <w:vAlign w:val="center"/>
          </w:tcPr>
          <w:p w14:paraId="7853CA86" w14:textId="77777777" w:rsidR="008A3EDE" w:rsidRPr="00263B73" w:rsidRDefault="008A3EDE" w:rsidP="00831B7C">
            <w:pPr>
              <w:widowControl/>
              <w:spacing w:line="180" w:lineRule="exact"/>
              <w:rPr>
                <w:rFonts w:ascii="ＭＳ ゴシック" w:eastAsia="ＭＳ ゴシック" w:hAnsi="ＭＳ ゴシック" w:cs="ＭＳ Ｐゴシック"/>
                <w:kern w:val="0"/>
                <w:sz w:val="14"/>
                <w:szCs w:val="12"/>
              </w:rPr>
            </w:pPr>
            <w:r w:rsidRPr="00263B73">
              <w:rPr>
                <w:rFonts w:ascii="ＭＳ ゴシック" w:eastAsia="ＭＳ ゴシック" w:hAnsi="ＭＳ ゴシック" w:cs="ＭＳ Ｐゴシック" w:hint="eastAsia"/>
                <w:kern w:val="0"/>
                <w:sz w:val="14"/>
                <w:szCs w:val="12"/>
              </w:rPr>
              <w:t>私学課</w:t>
            </w:r>
          </w:p>
        </w:tc>
      </w:tr>
      <w:tr w:rsidR="008A3EDE" w:rsidRPr="00263B73" w14:paraId="0EB9C54E" w14:textId="77777777" w:rsidTr="00831B7C">
        <w:trPr>
          <w:trHeight w:val="20"/>
        </w:trPr>
        <w:tc>
          <w:tcPr>
            <w:tcW w:w="1501" w:type="dxa"/>
            <w:vAlign w:val="center"/>
          </w:tcPr>
          <w:p w14:paraId="6A72B54B" w14:textId="77777777" w:rsidR="008A3EDE" w:rsidRPr="00263B73" w:rsidRDefault="008A3EDE" w:rsidP="00831B7C">
            <w:pPr>
              <w:widowControl/>
              <w:spacing w:line="180" w:lineRule="exact"/>
              <w:jc w:val="left"/>
              <w:rPr>
                <w:rFonts w:ascii="ＭＳ ゴシック" w:eastAsia="ＭＳ ゴシック" w:hAnsi="ＭＳ ゴシック" w:cs="ＭＳ Ｐゴシック"/>
                <w:kern w:val="0"/>
                <w:sz w:val="14"/>
                <w:szCs w:val="12"/>
              </w:rPr>
            </w:pPr>
            <w:r w:rsidRPr="00263B73">
              <w:rPr>
                <w:rFonts w:ascii="ＭＳ ゴシック" w:eastAsia="ＭＳ ゴシック" w:hAnsi="ＭＳ ゴシック" w:cs="ＭＳ Ｐゴシック" w:hint="eastAsia"/>
                <w:kern w:val="0"/>
                <w:sz w:val="14"/>
                <w:szCs w:val="12"/>
              </w:rPr>
              <w:t>図書館における事件・事故</w:t>
            </w:r>
          </w:p>
        </w:tc>
        <w:tc>
          <w:tcPr>
            <w:tcW w:w="5631" w:type="dxa"/>
            <w:gridSpan w:val="2"/>
            <w:noWrap/>
            <w:vAlign w:val="center"/>
          </w:tcPr>
          <w:p w14:paraId="4DA1EA4B" w14:textId="77777777" w:rsidR="008A3EDE" w:rsidRPr="00263B73" w:rsidRDefault="008A3EDE" w:rsidP="00831B7C">
            <w:pPr>
              <w:widowControl/>
              <w:spacing w:line="180" w:lineRule="exact"/>
              <w:jc w:val="left"/>
              <w:rPr>
                <w:rFonts w:ascii="ＭＳ ゴシック" w:eastAsia="ＭＳ ゴシック" w:hAnsi="ＭＳ ゴシック" w:cs="ＭＳ Ｐゴシック"/>
                <w:kern w:val="0"/>
                <w:sz w:val="14"/>
                <w:szCs w:val="12"/>
              </w:rPr>
            </w:pPr>
            <w:r w:rsidRPr="00263B73">
              <w:rPr>
                <w:rFonts w:ascii="ＭＳ ゴシック" w:eastAsia="ＭＳ ゴシック" w:hAnsi="ＭＳ ゴシック" w:cs="ＭＳ Ｐゴシック" w:hint="eastAsia"/>
                <w:kern w:val="0"/>
                <w:sz w:val="14"/>
                <w:szCs w:val="12"/>
              </w:rPr>
              <w:t>危機安全管理基本マニュアル</w:t>
            </w:r>
          </w:p>
        </w:tc>
        <w:tc>
          <w:tcPr>
            <w:tcW w:w="850" w:type="dxa"/>
            <w:vMerge/>
            <w:vAlign w:val="center"/>
          </w:tcPr>
          <w:p w14:paraId="57A6163D" w14:textId="77777777" w:rsidR="008A3EDE" w:rsidRPr="00263B73" w:rsidRDefault="008A3EDE" w:rsidP="00831B7C">
            <w:pPr>
              <w:spacing w:line="180" w:lineRule="exact"/>
              <w:jc w:val="left"/>
              <w:rPr>
                <w:rFonts w:ascii="ＭＳ ゴシック" w:eastAsia="ＭＳ ゴシック" w:hAnsi="ＭＳ ゴシック" w:cs="ＭＳ Ｐゴシック"/>
                <w:kern w:val="0"/>
                <w:sz w:val="14"/>
                <w:szCs w:val="12"/>
              </w:rPr>
            </w:pPr>
          </w:p>
        </w:tc>
        <w:tc>
          <w:tcPr>
            <w:tcW w:w="1843" w:type="dxa"/>
            <w:noWrap/>
            <w:vAlign w:val="center"/>
          </w:tcPr>
          <w:p w14:paraId="19AFF795" w14:textId="77777777" w:rsidR="008A3EDE" w:rsidRPr="00263B73" w:rsidRDefault="008A3EDE" w:rsidP="00831B7C">
            <w:pPr>
              <w:widowControl/>
              <w:spacing w:line="180" w:lineRule="exact"/>
              <w:rPr>
                <w:rFonts w:ascii="ＭＳ ゴシック" w:eastAsia="ＭＳ ゴシック" w:hAnsi="ＭＳ ゴシック" w:cs="ＭＳ Ｐゴシック"/>
                <w:kern w:val="0"/>
                <w:sz w:val="14"/>
                <w:szCs w:val="12"/>
              </w:rPr>
            </w:pPr>
            <w:r w:rsidRPr="00263B73">
              <w:rPr>
                <w:rFonts w:ascii="ＭＳ ゴシック" w:eastAsia="ＭＳ ゴシック" w:hAnsi="ＭＳ ゴシック" w:cs="ＭＳ Ｐゴシック" w:hint="eastAsia"/>
                <w:kern w:val="0"/>
                <w:sz w:val="14"/>
                <w:szCs w:val="12"/>
              </w:rPr>
              <w:t>中央図書館</w:t>
            </w:r>
          </w:p>
        </w:tc>
      </w:tr>
      <w:tr w:rsidR="008A3EDE" w:rsidRPr="00263B73" w14:paraId="7786FF17" w14:textId="77777777" w:rsidTr="00831B7C">
        <w:trPr>
          <w:trHeight w:val="20"/>
        </w:trPr>
        <w:tc>
          <w:tcPr>
            <w:tcW w:w="1501" w:type="dxa"/>
            <w:vAlign w:val="center"/>
            <w:hideMark/>
          </w:tcPr>
          <w:p w14:paraId="07D30154" w14:textId="77777777" w:rsidR="008A3EDE" w:rsidRPr="00263B73" w:rsidRDefault="008A3EDE" w:rsidP="00831B7C">
            <w:pPr>
              <w:widowControl/>
              <w:spacing w:line="180" w:lineRule="exact"/>
              <w:jc w:val="left"/>
              <w:rPr>
                <w:rFonts w:ascii="ＭＳ ゴシック" w:eastAsia="ＭＳ ゴシック" w:hAnsi="ＭＳ ゴシック" w:cs="ＭＳ Ｐゴシック"/>
                <w:kern w:val="0"/>
                <w:sz w:val="14"/>
                <w:szCs w:val="12"/>
              </w:rPr>
            </w:pPr>
            <w:r w:rsidRPr="00263B73">
              <w:rPr>
                <w:rFonts w:ascii="ＭＳ ゴシック" w:eastAsia="ＭＳ ゴシック" w:hAnsi="ＭＳ ゴシック" w:cs="ＭＳ Ｐゴシック" w:hint="eastAsia"/>
                <w:kern w:val="0"/>
                <w:sz w:val="14"/>
                <w:szCs w:val="12"/>
              </w:rPr>
              <w:t>府施設における事故・事件</w:t>
            </w:r>
          </w:p>
        </w:tc>
        <w:tc>
          <w:tcPr>
            <w:tcW w:w="5631" w:type="dxa"/>
            <w:gridSpan w:val="2"/>
            <w:noWrap/>
            <w:vAlign w:val="center"/>
            <w:hideMark/>
          </w:tcPr>
          <w:p w14:paraId="44E6ABA3" w14:textId="77777777" w:rsidR="008A3EDE" w:rsidRPr="00263B73" w:rsidRDefault="008A3EDE" w:rsidP="00831B7C">
            <w:pPr>
              <w:widowControl/>
              <w:spacing w:line="180" w:lineRule="exact"/>
              <w:jc w:val="left"/>
              <w:rPr>
                <w:rFonts w:ascii="ＭＳ ゴシック" w:eastAsia="ＭＳ ゴシック" w:hAnsi="ＭＳ ゴシック" w:cs="ＭＳ Ｐゴシック"/>
                <w:kern w:val="0"/>
                <w:sz w:val="14"/>
                <w:szCs w:val="12"/>
              </w:rPr>
            </w:pPr>
            <w:r w:rsidRPr="00263B73">
              <w:rPr>
                <w:rFonts w:ascii="ＭＳ ゴシック" w:eastAsia="ＭＳ ゴシック" w:hAnsi="ＭＳ ゴシック" w:cs="ＭＳ Ｐゴシック" w:hint="eastAsia"/>
                <w:kern w:val="0"/>
                <w:sz w:val="14"/>
                <w:szCs w:val="12"/>
              </w:rPr>
              <w:t>府施設管理関係マニュアル（構成例）</w:t>
            </w:r>
          </w:p>
        </w:tc>
        <w:tc>
          <w:tcPr>
            <w:tcW w:w="850" w:type="dxa"/>
            <w:vMerge w:val="restart"/>
            <w:noWrap/>
            <w:vAlign w:val="center"/>
            <w:hideMark/>
          </w:tcPr>
          <w:p w14:paraId="605367ED" w14:textId="77777777" w:rsidR="008A3EDE" w:rsidRPr="00263B73" w:rsidRDefault="008A3EDE" w:rsidP="00831B7C">
            <w:pPr>
              <w:widowControl/>
              <w:spacing w:line="180" w:lineRule="exact"/>
              <w:jc w:val="left"/>
              <w:rPr>
                <w:rFonts w:ascii="ＭＳ ゴシック" w:eastAsia="ＭＳ ゴシック" w:hAnsi="ＭＳ ゴシック" w:cs="ＭＳ Ｐゴシック"/>
                <w:kern w:val="0"/>
                <w:sz w:val="14"/>
                <w:szCs w:val="12"/>
              </w:rPr>
            </w:pPr>
            <w:r w:rsidRPr="00263B73">
              <w:rPr>
                <w:rFonts w:ascii="ＭＳ ゴシック" w:eastAsia="ＭＳ ゴシック" w:hAnsi="ＭＳ ゴシック" w:cs="ＭＳ Ｐゴシック" w:hint="eastAsia"/>
                <w:kern w:val="0"/>
                <w:sz w:val="14"/>
                <w:szCs w:val="12"/>
              </w:rPr>
              <w:t>全部局</w:t>
            </w:r>
          </w:p>
          <w:p w14:paraId="7AC6D585" w14:textId="77777777" w:rsidR="008A3EDE" w:rsidRPr="00263B73" w:rsidRDefault="008A3EDE" w:rsidP="00831B7C">
            <w:pPr>
              <w:widowControl/>
              <w:spacing w:line="180" w:lineRule="exact"/>
              <w:jc w:val="left"/>
              <w:rPr>
                <w:rFonts w:ascii="ＭＳ ゴシック" w:eastAsia="ＭＳ ゴシック" w:hAnsi="ＭＳ ゴシック" w:cs="ＭＳ Ｐゴシック"/>
                <w:kern w:val="0"/>
                <w:sz w:val="14"/>
                <w:szCs w:val="12"/>
              </w:rPr>
            </w:pPr>
            <w:r w:rsidRPr="00263B73">
              <w:rPr>
                <w:rFonts w:ascii="ＭＳ ゴシック" w:eastAsia="ＭＳ ゴシック" w:hAnsi="ＭＳ ゴシック" w:cs="ＭＳ Ｐゴシック" w:hint="eastAsia"/>
                <w:kern w:val="0"/>
                <w:sz w:val="14"/>
                <w:szCs w:val="12"/>
              </w:rPr>
              <w:t>共通</w:t>
            </w:r>
          </w:p>
        </w:tc>
        <w:tc>
          <w:tcPr>
            <w:tcW w:w="1843" w:type="dxa"/>
            <w:noWrap/>
            <w:vAlign w:val="center"/>
            <w:hideMark/>
          </w:tcPr>
          <w:p w14:paraId="38FA5B22" w14:textId="77777777" w:rsidR="008A3EDE" w:rsidRPr="00263B73" w:rsidRDefault="008A3EDE" w:rsidP="00831B7C">
            <w:pPr>
              <w:widowControl/>
              <w:spacing w:line="180" w:lineRule="exact"/>
              <w:rPr>
                <w:rFonts w:ascii="ＭＳ ゴシック" w:eastAsia="ＭＳ ゴシック" w:hAnsi="ＭＳ ゴシック" w:cs="ＭＳ Ｐゴシック"/>
                <w:kern w:val="0"/>
                <w:sz w:val="14"/>
                <w:szCs w:val="12"/>
              </w:rPr>
            </w:pPr>
          </w:p>
        </w:tc>
      </w:tr>
      <w:tr w:rsidR="008A3EDE" w:rsidRPr="001D6D10" w14:paraId="05EF5A66" w14:textId="77777777" w:rsidTr="00831B7C">
        <w:trPr>
          <w:trHeight w:val="20"/>
        </w:trPr>
        <w:tc>
          <w:tcPr>
            <w:tcW w:w="1501" w:type="dxa"/>
            <w:vAlign w:val="center"/>
            <w:hideMark/>
          </w:tcPr>
          <w:p w14:paraId="10F50A19" w14:textId="77777777" w:rsidR="008A3EDE" w:rsidRPr="00263B73" w:rsidRDefault="008A3EDE" w:rsidP="00831B7C">
            <w:pPr>
              <w:widowControl/>
              <w:spacing w:line="180" w:lineRule="exact"/>
              <w:jc w:val="left"/>
              <w:rPr>
                <w:rFonts w:ascii="ＭＳ ゴシック" w:eastAsia="ＭＳ ゴシック" w:hAnsi="ＭＳ ゴシック" w:cs="ＭＳ Ｐゴシック"/>
                <w:kern w:val="0"/>
                <w:sz w:val="14"/>
                <w:szCs w:val="12"/>
              </w:rPr>
            </w:pPr>
            <w:r w:rsidRPr="00263B73">
              <w:rPr>
                <w:rFonts w:ascii="ＭＳ ゴシック" w:eastAsia="ＭＳ ゴシック" w:hAnsi="ＭＳ ゴシック" w:cs="ＭＳ Ｐゴシック" w:hint="eastAsia"/>
                <w:kern w:val="0"/>
                <w:sz w:val="14"/>
                <w:szCs w:val="12"/>
              </w:rPr>
              <w:t>府主催イベント時の事故・事件</w:t>
            </w:r>
          </w:p>
        </w:tc>
        <w:tc>
          <w:tcPr>
            <w:tcW w:w="5631" w:type="dxa"/>
            <w:gridSpan w:val="2"/>
            <w:noWrap/>
            <w:vAlign w:val="center"/>
            <w:hideMark/>
          </w:tcPr>
          <w:p w14:paraId="2391148F" w14:textId="77777777" w:rsidR="008A3EDE" w:rsidRPr="00106ED2" w:rsidRDefault="008A3EDE" w:rsidP="00831B7C">
            <w:pPr>
              <w:widowControl/>
              <w:spacing w:line="180" w:lineRule="exact"/>
              <w:jc w:val="left"/>
              <w:rPr>
                <w:rFonts w:ascii="ＭＳ ゴシック" w:eastAsia="ＭＳ ゴシック" w:hAnsi="ＭＳ ゴシック" w:cs="ＭＳ Ｐゴシック"/>
                <w:kern w:val="0"/>
                <w:sz w:val="14"/>
                <w:szCs w:val="12"/>
              </w:rPr>
            </w:pPr>
            <w:r w:rsidRPr="00263B73">
              <w:rPr>
                <w:rFonts w:ascii="ＭＳ ゴシック" w:eastAsia="ＭＳ ゴシック" w:hAnsi="ＭＳ ゴシック" w:cs="ＭＳ Ｐゴシック" w:hint="eastAsia"/>
                <w:kern w:val="0"/>
                <w:sz w:val="14"/>
                <w:szCs w:val="12"/>
              </w:rPr>
              <w:t>府主催イベント開催関係マニュアル（構成例）</w:t>
            </w:r>
          </w:p>
        </w:tc>
        <w:tc>
          <w:tcPr>
            <w:tcW w:w="850" w:type="dxa"/>
            <w:vMerge/>
            <w:noWrap/>
            <w:vAlign w:val="center"/>
            <w:hideMark/>
          </w:tcPr>
          <w:p w14:paraId="0FCE83A0" w14:textId="77777777" w:rsidR="008A3EDE" w:rsidRPr="00106ED2" w:rsidRDefault="008A3EDE" w:rsidP="00831B7C">
            <w:pPr>
              <w:widowControl/>
              <w:spacing w:line="180" w:lineRule="exact"/>
              <w:jc w:val="left"/>
              <w:rPr>
                <w:rFonts w:ascii="ＭＳ ゴシック" w:eastAsia="ＭＳ ゴシック" w:hAnsi="ＭＳ ゴシック" w:cs="ＭＳ Ｐゴシック"/>
                <w:kern w:val="0"/>
                <w:sz w:val="14"/>
                <w:szCs w:val="12"/>
              </w:rPr>
            </w:pPr>
          </w:p>
        </w:tc>
        <w:tc>
          <w:tcPr>
            <w:tcW w:w="1843" w:type="dxa"/>
            <w:noWrap/>
            <w:vAlign w:val="center"/>
            <w:hideMark/>
          </w:tcPr>
          <w:p w14:paraId="009C4428" w14:textId="77777777" w:rsidR="008A3EDE" w:rsidRPr="00106ED2" w:rsidRDefault="008A3EDE" w:rsidP="00831B7C">
            <w:pPr>
              <w:widowControl/>
              <w:spacing w:line="180" w:lineRule="exact"/>
              <w:rPr>
                <w:rFonts w:ascii="ＭＳ ゴシック" w:eastAsia="ＭＳ ゴシック" w:hAnsi="ＭＳ ゴシック" w:cs="ＭＳ Ｐゴシック"/>
                <w:kern w:val="0"/>
                <w:sz w:val="14"/>
                <w:szCs w:val="12"/>
              </w:rPr>
            </w:pPr>
          </w:p>
        </w:tc>
      </w:tr>
    </w:tbl>
    <w:p w14:paraId="7FDCEDA8" w14:textId="77777777" w:rsidR="008B4B2B" w:rsidRPr="001D6D10" w:rsidRDefault="008B4B2B" w:rsidP="008B4B2B">
      <w:pPr>
        <w:rPr>
          <w:rFonts w:ascii="ＭＳ 明朝" w:hAnsi="ＭＳ 明朝"/>
          <w:sz w:val="22"/>
          <w:szCs w:val="22"/>
        </w:rPr>
      </w:pPr>
    </w:p>
    <w:p w14:paraId="59964F13" w14:textId="69DFBA03" w:rsidR="00254093" w:rsidRDefault="00254093">
      <w:pPr>
        <w:widowControl/>
        <w:jc w:val="left"/>
        <w:rPr>
          <w:rFonts w:ascii="ＭＳ 明朝" w:hAnsi="ＭＳ 明朝"/>
          <w:sz w:val="22"/>
          <w:szCs w:val="22"/>
        </w:rPr>
      </w:pPr>
      <w:r>
        <w:rPr>
          <w:rFonts w:ascii="ＭＳ 明朝" w:hAnsi="ＭＳ 明朝"/>
          <w:sz w:val="22"/>
          <w:szCs w:val="22"/>
        </w:rPr>
        <w:br w:type="page"/>
      </w:r>
    </w:p>
    <w:bookmarkStart w:id="523" w:name="_Toc122437003"/>
    <w:bookmarkStart w:id="524" w:name="_Toc222486702"/>
    <w:bookmarkStart w:id="525" w:name="_Toc242870373"/>
    <w:p w14:paraId="43A05D20" w14:textId="30DDFCD6" w:rsidR="008B4B2B" w:rsidRPr="001D6D10" w:rsidRDefault="008B4B2B">
      <w:pPr>
        <w:pStyle w:val="3"/>
        <w:ind w:firstLine="442"/>
        <w:rPr>
          <w:b/>
        </w:rPr>
      </w:pPr>
      <w:r w:rsidRPr="001D6D10">
        <w:rPr>
          <w:noProof/>
        </w:rPr>
        <w:lastRenderedPageBreak/>
        <mc:AlternateContent>
          <mc:Choice Requires="wps">
            <w:drawing>
              <wp:anchor distT="0" distB="0" distL="114299" distR="114299" simplePos="0" relativeHeight="253816832" behindDoc="0" locked="0" layoutInCell="1" allowOverlap="1" wp14:anchorId="42FC3F13" wp14:editId="5FA2B2BF">
                <wp:simplePos x="0" y="0"/>
                <wp:positionH relativeFrom="column">
                  <wp:posOffset>9109074</wp:posOffset>
                </wp:positionH>
                <wp:positionV relativeFrom="paragraph">
                  <wp:posOffset>4813935</wp:posOffset>
                </wp:positionV>
                <wp:extent cx="0" cy="370840"/>
                <wp:effectExtent l="76200" t="0" r="76200" b="48260"/>
                <wp:wrapNone/>
                <wp:docPr id="369" name="Line 17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37084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line w14:anchorId="0099085E" id="Line 175" o:spid="_x0000_s1026" style="position:absolute;left:0;text-align:left;z-index:253816832;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from="717.25pt,379.05pt" to="717.25pt,408.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">
                <v:stroke endarrow="block"/>
              </v:line>
            </w:pict>
          </mc:Fallback>
        </mc:AlternateContent>
      </w:r>
      <w:r w:rsidRPr="001D6D10">
        <w:rPr>
          <w:rFonts w:hint="eastAsia"/>
        </w:rPr>
        <w:t>第２　危機管理対応フロー図</w:t>
      </w:r>
      <w:bookmarkEnd w:id="523"/>
      <w:bookmarkEnd w:id="524"/>
      <w:bookmarkEnd w:id="525"/>
    </w:p>
    <w:p w14:paraId="7A217116" w14:textId="77777777" w:rsidR="008B4B2B" w:rsidRPr="001D6D10" w:rsidRDefault="008B4B2B" w:rsidP="008B4B2B">
      <w:pPr>
        <w:spacing w:line="380" w:lineRule="exact"/>
        <w:rPr>
          <w:rFonts w:ascii="ＭＳ ゴシック" w:eastAsia="ＭＳ ゴシック" w:hAnsi="ＭＳ ゴシック"/>
          <w:b/>
          <w:sz w:val="22"/>
          <w:szCs w:val="22"/>
        </w:rPr>
      </w:pPr>
      <w:r w:rsidRPr="001D6D10">
        <w:rPr>
          <w:noProof/>
        </w:rPr>
        <mc:AlternateContent>
          <mc:Choice Requires="wps">
            <w:drawing>
              <wp:anchor distT="0" distB="0" distL="114300" distR="114300" simplePos="0" relativeHeight="253912064" behindDoc="0" locked="0" layoutInCell="1" allowOverlap="1" wp14:anchorId="191B5D37" wp14:editId="7FB037AD">
                <wp:simplePos x="0" y="0"/>
                <wp:positionH relativeFrom="column">
                  <wp:posOffset>1418590</wp:posOffset>
                </wp:positionH>
                <wp:positionV relativeFrom="paragraph">
                  <wp:posOffset>231140</wp:posOffset>
                </wp:positionV>
                <wp:extent cx="2673985" cy="476250"/>
                <wp:effectExtent l="38100" t="19050" r="0" b="38100"/>
                <wp:wrapNone/>
                <wp:docPr id="368" name="AutoShape 42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673985" cy="476250"/>
                        </a:xfrm>
                        <a:prstGeom prst="star16">
                          <a:avLst>
                            <a:gd name="adj" fmla="val 30537"/>
                          </a:avLst>
                        </a:prstGeom>
                        <a:solidFill>
                          <a:srgbClr val="FFFFFF"/>
                        </a:solidFill>
                        <a:ln w="9525">
                          <a:solidFill>
                            <a:srgbClr val="000000"/>
                          </a:solidFill>
                          <a:miter lim="800000"/>
                          <a:headEnd/>
                          <a:tailEnd/>
                        </a:ln>
                      </wps:spPr>
                      <wps:txbx>
                        <w:txbxContent>
                          <w:p w14:paraId="30863818" w14:textId="77777777" w:rsidR="006A5267" w:rsidRDefault="006A5267" w:rsidP="008B4B2B">
                            <w:r>
                              <w:rPr>
                                <w:rFonts w:hint="eastAsia"/>
                              </w:rPr>
                              <w:t>危機事象の発生</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shape w14:anchorId="191B5D37" id="AutoShape 420" o:spid="_x0000_s1935" type="#_x0000_t59" style="position:absolute;left:0;text-align:left;margin-left:111.7pt;margin-top:18.2pt;width:210.55pt;height:37.5pt;z-index:2539120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" adj="4204">
                <v:textbox inset="5.85pt,.7pt,5.85pt,.7pt">
                  <w:txbxContent>
                    <w:p w14:paraId="30863818" w14:textId="77777777" w:rsidR="006A5267" w:rsidRDefault="006A5267" w:rsidP="008B4B2B">
                      <w:r>
                        <w:rPr>
                          <w:rFonts w:hint="eastAsia"/>
                        </w:rPr>
                        <w:t>危機事象の発生</w:t>
                      </w:r>
                    </w:p>
                  </w:txbxContent>
                </v:textbox>
              </v:shape>
            </w:pict>
          </mc:Fallback>
        </mc:AlternateContent>
      </w:r>
    </w:p>
    <w:p w14:paraId="6FFC4F60" w14:textId="77777777" w:rsidR="008B4B2B" w:rsidRPr="001D6D10" w:rsidRDefault="008B4B2B" w:rsidP="008B4B2B"/>
    <w:p w14:paraId="3D7E15C7" w14:textId="77777777" w:rsidR="008B4B2B" w:rsidRPr="001D6D10" w:rsidRDefault="008B4B2B" w:rsidP="008B4B2B">
      <w:pPr>
        <w:spacing w:line="360" w:lineRule="exact"/>
      </w:pPr>
      <w:r w:rsidRPr="001D6D10">
        <w:rPr>
          <w:rFonts w:hint="eastAsia"/>
        </w:rPr>
        <w:t xml:space="preserve">　　　　　</w:t>
      </w:r>
      <w:r w:rsidRPr="001D6D10">
        <w:rPr>
          <w:rFonts w:hint="eastAsia"/>
        </w:rPr>
        <w:t xml:space="preserve"> </w:t>
      </w:r>
      <w:r w:rsidRPr="001D6D10">
        <w:rPr>
          <w:rFonts w:hint="eastAsia"/>
        </w:rPr>
        <w:t>（所管部局）　　　　　　　　　　　　　　　　　　　（危機管理室）</w:t>
      </w:r>
    </w:p>
    <w:p w14:paraId="29164F88" w14:textId="77777777" w:rsidR="008B4B2B" w:rsidRPr="001D6D10" w:rsidRDefault="008B4B2B" w:rsidP="008B4B2B">
      <w:pPr>
        <w:spacing w:line="360" w:lineRule="exact"/>
      </w:pPr>
      <w:r w:rsidRPr="001D6D10">
        <w:rPr>
          <w:noProof/>
        </w:rPr>
        <mc:AlternateContent>
          <mc:Choice Requires="wps">
            <w:drawing>
              <wp:anchor distT="4294967295" distB="4294967295" distL="114300" distR="114300" simplePos="0" relativeHeight="253915136" behindDoc="0" locked="0" layoutInCell="1" allowOverlap="1" wp14:anchorId="5A65AF05" wp14:editId="2654F670">
                <wp:simplePos x="0" y="0"/>
                <wp:positionH relativeFrom="column">
                  <wp:posOffset>60325</wp:posOffset>
                </wp:positionH>
                <wp:positionV relativeFrom="paragraph">
                  <wp:posOffset>135889</wp:posOffset>
                </wp:positionV>
                <wp:extent cx="2670175" cy="0"/>
                <wp:effectExtent l="38100" t="76200" r="15875" b="95250"/>
                <wp:wrapNone/>
                <wp:docPr id="367" name="AutoShape 42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670175" cy="0"/>
                        </a:xfrm>
                        <a:prstGeom prst="straightConnector1">
                          <a:avLst/>
                        </a:prstGeom>
                        <a:noFill/>
                        <a:ln w="9525">
                          <a:solidFill>
                            <a:srgbClr val="000000"/>
                          </a:solidFill>
                          <a:prstDash val="dash"/>
                          <a:round/>
                          <a:headEnd type="triangle" w="med" len="me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shape w14:anchorId="48EAC96E" id="AutoShape 423" o:spid="_x0000_s1026" type="#_x0000_t32" style="position:absolute;left:0;text-align:left;margin-left:4.75pt;margin-top:10.7pt;width:210.25pt;height:0;z-index:253915136;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">
                <v:stroke dashstyle="dash" startarrow="block" endarrow="block"/>
              </v:shape>
            </w:pict>
          </mc:Fallback>
        </mc:AlternateContent>
      </w:r>
      <w:r w:rsidRPr="001D6D10">
        <w:rPr>
          <w:noProof/>
        </w:rPr>
        <mc:AlternateContent>
          <mc:Choice Requires="wps">
            <w:drawing>
              <wp:anchor distT="0" distB="0" distL="114300" distR="114300" simplePos="0" relativeHeight="253916160" behindDoc="0" locked="0" layoutInCell="1" allowOverlap="1" wp14:anchorId="12DB636D" wp14:editId="247EF3A4">
                <wp:simplePos x="0" y="0"/>
                <wp:positionH relativeFrom="column">
                  <wp:posOffset>2730500</wp:posOffset>
                </wp:positionH>
                <wp:positionV relativeFrom="paragraph">
                  <wp:posOffset>135890</wp:posOffset>
                </wp:positionV>
                <wp:extent cx="2695575" cy="635"/>
                <wp:effectExtent l="38100" t="76200" r="28575" b="94615"/>
                <wp:wrapNone/>
                <wp:docPr id="366" name="AutoShape 42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695575" cy="635"/>
                        </a:xfrm>
                        <a:prstGeom prst="straightConnector1">
                          <a:avLst/>
                        </a:prstGeom>
                        <a:noFill/>
                        <a:ln w="9525">
                          <a:solidFill>
                            <a:srgbClr val="000000"/>
                          </a:solidFill>
                          <a:prstDash val="dash"/>
                          <a:round/>
                          <a:headEnd type="triangle" w="med" len="me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shape w14:anchorId="75C80423" id="AutoShape 424" o:spid="_x0000_s1026" type="#_x0000_t32" style="position:absolute;left:0;text-align:left;margin-left:215pt;margin-top:10.7pt;width:212.25pt;height:.05pt;z-index:2539161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">
                <v:stroke dashstyle="dash" startarrow="block" endarrow="block"/>
              </v:shape>
            </w:pict>
          </mc:Fallback>
        </mc:AlternateContent>
      </w:r>
    </w:p>
    <w:p w14:paraId="57F5DEE2" w14:textId="77777777" w:rsidR="008B4B2B" w:rsidRPr="001D6D10" w:rsidRDefault="008B4B2B" w:rsidP="008B4B2B">
      <w:pPr>
        <w:spacing w:line="360" w:lineRule="exact"/>
      </w:pPr>
      <w:r w:rsidRPr="001D6D10">
        <w:rPr>
          <w:noProof/>
        </w:rPr>
        <mc:AlternateContent>
          <mc:Choice Requires="wps">
            <w:drawing>
              <wp:anchor distT="0" distB="0" distL="114300" distR="114300" simplePos="0" relativeHeight="253911040" behindDoc="0" locked="0" layoutInCell="1" allowOverlap="1" wp14:anchorId="6B09BF61" wp14:editId="3555A2F6">
                <wp:simplePos x="0" y="0"/>
                <wp:positionH relativeFrom="column">
                  <wp:posOffset>20320</wp:posOffset>
                </wp:positionH>
                <wp:positionV relativeFrom="paragraph">
                  <wp:posOffset>114300</wp:posOffset>
                </wp:positionV>
                <wp:extent cx="1143000" cy="230505"/>
                <wp:effectExtent l="0" t="0" r="19050" b="17145"/>
                <wp:wrapNone/>
                <wp:docPr id="365" name="Text Box 41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43000" cy="230505"/>
                        </a:xfrm>
                        <a:prstGeom prst="rect">
                          <a:avLst/>
                        </a:prstGeom>
                        <a:solidFill>
                          <a:srgbClr val="FFFFFF"/>
                        </a:solidFill>
                        <a:ln w="9525">
                          <a:solidFill>
                            <a:srgbClr val="000000"/>
                          </a:solidFill>
                          <a:miter lim="800000"/>
                          <a:headEnd/>
                          <a:tailEnd/>
                        </a:ln>
                      </wps:spPr>
                      <wps:txbx>
                        <w:txbxContent>
                          <w:p w14:paraId="5A291CF7" w14:textId="77777777" w:rsidR="006A5267" w:rsidRDefault="006A5267" w:rsidP="008B4B2B">
                            <w:pPr>
                              <w:jc w:val="center"/>
                            </w:pPr>
                            <w:r>
                              <w:rPr>
                                <w:rFonts w:hint="eastAsia"/>
                              </w:rPr>
                              <w:t>各部局</w:t>
                            </w:r>
                          </w:p>
                          <w:p w14:paraId="76490E36" w14:textId="77777777" w:rsidR="006A5267" w:rsidRPr="00CA2D14" w:rsidRDefault="006A5267" w:rsidP="008B4B2B">
                            <w:r>
                              <w:rPr>
                                <w:rFonts w:hint="eastAsia"/>
                              </w:rPr>
                              <w:t xml:space="preserve">　　　　　　　　　　　　　　　　　　　　　　　　　</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shape w14:anchorId="6B09BF61" id="Text Box 418" o:spid="_x0000_s1936" type="#_x0000_t202" style="position:absolute;left:0;text-align:left;margin-left:1.6pt;margin-top:9pt;width:90pt;height:18.15pt;z-index:2539110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">
                <v:textbox inset="5.85pt,.7pt,5.85pt,.7pt">
                  <w:txbxContent>
                    <w:p w14:paraId="5A291CF7" w14:textId="77777777" w:rsidR="006A5267" w:rsidRDefault="006A5267" w:rsidP="008B4B2B">
                      <w:pPr>
                        <w:jc w:val="center"/>
                      </w:pPr>
                      <w:r>
                        <w:rPr>
                          <w:rFonts w:hint="eastAsia"/>
                        </w:rPr>
                        <w:t>各部局</w:t>
                      </w:r>
                    </w:p>
                    <w:p w14:paraId="76490E36" w14:textId="77777777" w:rsidR="006A5267" w:rsidRPr="00CA2D14" w:rsidRDefault="006A5267" w:rsidP="008B4B2B">
                      <w:r>
                        <w:rPr>
                          <w:rFonts w:hint="eastAsia"/>
                        </w:rPr>
                        <w:t xml:space="preserve">　　　　　　　　　　　　　　　　　　　　　　　　　</w:t>
                      </w:r>
                    </w:p>
                  </w:txbxContent>
                </v:textbox>
              </v:shape>
            </w:pict>
          </mc:Fallback>
        </mc:AlternateContent>
      </w:r>
      <w:r w:rsidRPr="001D6D10">
        <w:rPr>
          <w:noProof/>
        </w:rPr>
        <mc:AlternateContent>
          <mc:Choice Requires="wps">
            <w:drawing>
              <wp:anchor distT="0" distB="0" distL="114300" distR="114300" simplePos="0" relativeHeight="253896704" behindDoc="0" locked="0" layoutInCell="1" allowOverlap="1" wp14:anchorId="42FFB7C5" wp14:editId="31597CAD">
                <wp:simplePos x="0" y="0"/>
                <wp:positionH relativeFrom="column">
                  <wp:posOffset>1714500</wp:posOffset>
                </wp:positionH>
                <wp:positionV relativeFrom="paragraph">
                  <wp:posOffset>114300</wp:posOffset>
                </wp:positionV>
                <wp:extent cx="914400" cy="228600"/>
                <wp:effectExtent l="0" t="0" r="0" b="0"/>
                <wp:wrapNone/>
                <wp:docPr id="364" name="Text Box 40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14400" cy="2286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4397FBA" w14:textId="77777777" w:rsidR="006A5267" w:rsidRDefault="006A5267" w:rsidP="008B4B2B">
                            <w:r w:rsidRPr="005E463C">
                              <w:rPr>
                                <w:rFonts w:hint="eastAsia"/>
                              </w:rPr>
                              <w:t>情報の共有</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shape w14:anchorId="42FFB7C5" id="Text Box 404" o:spid="_x0000_s1937" type="#_x0000_t202" style="position:absolute;left:0;text-align:left;margin-left:135pt;margin-top:9pt;width:1in;height:18pt;z-index:25389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" filled="f" stroked="f">
                <v:textbox inset="5.85pt,.7pt,5.85pt,.7pt">
                  <w:txbxContent>
                    <w:p w14:paraId="54397FBA" w14:textId="77777777" w:rsidR="006A5267" w:rsidRDefault="006A5267" w:rsidP="008B4B2B">
                      <w:r w:rsidRPr="005E463C">
                        <w:rPr>
                          <w:rFonts w:hint="eastAsia"/>
                        </w:rPr>
                        <w:t>情報の共有</w:t>
                      </w:r>
                    </w:p>
                  </w:txbxContent>
                </v:textbox>
              </v:shape>
            </w:pict>
          </mc:Fallback>
        </mc:AlternateContent>
      </w:r>
      <w:r w:rsidRPr="001D6D10">
        <w:rPr>
          <w:noProof/>
        </w:rPr>
        <mc:AlternateContent>
          <mc:Choice Requires="wps">
            <w:drawing>
              <wp:anchor distT="0" distB="0" distL="114300" distR="114300" simplePos="0" relativeHeight="253878272" behindDoc="0" locked="0" layoutInCell="1" allowOverlap="1" wp14:anchorId="32628F1C" wp14:editId="5110D35C">
                <wp:simplePos x="0" y="0"/>
                <wp:positionH relativeFrom="column">
                  <wp:posOffset>2971800</wp:posOffset>
                </wp:positionH>
                <wp:positionV relativeFrom="paragraph">
                  <wp:posOffset>114300</wp:posOffset>
                </wp:positionV>
                <wp:extent cx="2514600" cy="230505"/>
                <wp:effectExtent l="0" t="0" r="19050" b="17145"/>
                <wp:wrapNone/>
                <wp:docPr id="363" name="Text Box 38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14600" cy="230505"/>
                        </a:xfrm>
                        <a:prstGeom prst="rect">
                          <a:avLst/>
                        </a:prstGeom>
                        <a:solidFill>
                          <a:srgbClr val="FFFFFF"/>
                        </a:solidFill>
                        <a:ln w="9525">
                          <a:solidFill>
                            <a:srgbClr val="000000"/>
                          </a:solidFill>
                          <a:miter lim="800000"/>
                          <a:headEnd/>
                          <a:tailEnd/>
                        </a:ln>
                      </wps:spPr>
                      <wps:txbx>
                        <w:txbxContent>
                          <w:p w14:paraId="5B05E5A4" w14:textId="77777777" w:rsidR="006A5267" w:rsidRPr="0090375A" w:rsidRDefault="006A5267" w:rsidP="008B4B2B">
                            <w:pPr>
                              <w:spacing w:line="280" w:lineRule="exact"/>
                              <w:jc w:val="center"/>
                              <w:rPr>
                                <w:rFonts w:ascii="ＭＳ 明朝" w:hAnsi="ＭＳ 明朝"/>
                              </w:rPr>
                            </w:pPr>
                            <w:r w:rsidRPr="0090375A">
                              <w:rPr>
                                <w:rFonts w:ascii="ＭＳ 明朝" w:hAnsi="ＭＳ 明朝" w:hint="eastAsia"/>
                              </w:rPr>
                              <w:t>情報連絡室の設置</w:t>
                            </w:r>
                          </w:p>
                          <w:p w14:paraId="0C47A743" w14:textId="77777777" w:rsidR="006A5267" w:rsidRDefault="006A5267" w:rsidP="008B4B2B">
                            <w:pPr>
                              <w:jc w:val="center"/>
                            </w:pPr>
                          </w:p>
                          <w:p w14:paraId="33E87149" w14:textId="77777777" w:rsidR="006A5267" w:rsidRDefault="006A5267" w:rsidP="008B4B2B">
                            <w:pPr>
                              <w:jc w:val="center"/>
                            </w:pPr>
                          </w:p>
                          <w:p w14:paraId="774EBCFB" w14:textId="77777777" w:rsidR="006A5267" w:rsidRDefault="006A5267" w:rsidP="008B4B2B"/>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shape w14:anchorId="32628F1C" id="Text Box 386" o:spid="_x0000_s1938" type="#_x0000_t202" style="position:absolute;left:0;text-align:left;margin-left:234pt;margin-top:9pt;width:198pt;height:18.15pt;z-index:2538782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">
                <v:textbox inset="5.85pt,.7pt,5.85pt,.7pt">
                  <w:txbxContent>
                    <w:p w14:paraId="5B05E5A4" w14:textId="77777777" w:rsidR="006A5267" w:rsidRPr="0090375A" w:rsidRDefault="006A5267" w:rsidP="008B4B2B">
                      <w:pPr>
                        <w:spacing w:line="280" w:lineRule="exact"/>
                        <w:jc w:val="center"/>
                        <w:rPr>
                          <w:rFonts w:ascii="ＭＳ 明朝" w:hAnsi="ＭＳ 明朝"/>
                        </w:rPr>
                      </w:pPr>
                      <w:r w:rsidRPr="0090375A">
                        <w:rPr>
                          <w:rFonts w:ascii="ＭＳ 明朝" w:hAnsi="ＭＳ 明朝" w:hint="eastAsia"/>
                        </w:rPr>
                        <w:t>情報連絡室の設置</w:t>
                      </w:r>
                    </w:p>
                    <w:p w14:paraId="0C47A743" w14:textId="77777777" w:rsidR="006A5267" w:rsidRDefault="006A5267" w:rsidP="008B4B2B">
                      <w:pPr>
                        <w:jc w:val="center"/>
                      </w:pPr>
                    </w:p>
                    <w:p w14:paraId="33E87149" w14:textId="77777777" w:rsidR="006A5267" w:rsidRDefault="006A5267" w:rsidP="008B4B2B">
                      <w:pPr>
                        <w:jc w:val="center"/>
                      </w:pPr>
                    </w:p>
                    <w:p w14:paraId="774EBCFB" w14:textId="77777777" w:rsidR="006A5267" w:rsidRDefault="006A5267" w:rsidP="008B4B2B"/>
                  </w:txbxContent>
                </v:textbox>
              </v:shape>
            </w:pict>
          </mc:Fallback>
        </mc:AlternateContent>
      </w:r>
    </w:p>
    <w:p w14:paraId="0E747313" w14:textId="77777777" w:rsidR="008B4B2B" w:rsidRPr="001D6D10" w:rsidRDefault="008B4B2B" w:rsidP="008B4B2B">
      <w:pPr>
        <w:spacing w:line="360" w:lineRule="exact"/>
      </w:pPr>
      <w:r w:rsidRPr="001D6D10">
        <w:rPr>
          <w:noProof/>
        </w:rPr>
        <mc:AlternateContent>
          <mc:Choice Requires="wps">
            <w:drawing>
              <wp:anchor distT="4294967295" distB="4294967295" distL="114300" distR="114300" simplePos="0" relativeHeight="253879296" behindDoc="0" locked="0" layoutInCell="1" allowOverlap="1" wp14:anchorId="7880CFD9" wp14:editId="0D895A73">
                <wp:simplePos x="0" y="0"/>
                <wp:positionH relativeFrom="column">
                  <wp:posOffset>1160145</wp:posOffset>
                </wp:positionH>
                <wp:positionV relativeFrom="paragraph">
                  <wp:posOffset>-1</wp:posOffset>
                </wp:positionV>
                <wp:extent cx="554355" cy="0"/>
                <wp:effectExtent l="38100" t="76200" r="0" b="95250"/>
                <wp:wrapNone/>
                <wp:docPr id="362" name="Line 38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554355" cy="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line w14:anchorId="5D7002E5" id="Line 387" o:spid="_x0000_s1026" style="position:absolute;left:0;text-align:left;flip:x;z-index:253879296;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91.35pt,0" to="135pt,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">
                <v:stroke endarrow="block"/>
              </v:line>
            </w:pict>
          </mc:Fallback>
        </mc:AlternateContent>
      </w:r>
      <w:r w:rsidRPr="001D6D10">
        <w:rPr>
          <w:noProof/>
        </w:rPr>
        <mc:AlternateContent>
          <mc:Choice Requires="wps">
            <w:drawing>
              <wp:anchor distT="0" distB="0" distL="114299" distR="114299" simplePos="0" relativeHeight="253897728" behindDoc="0" locked="0" layoutInCell="1" allowOverlap="1" wp14:anchorId="64F46FE0" wp14:editId="695FA213">
                <wp:simplePos x="0" y="0"/>
                <wp:positionH relativeFrom="column">
                  <wp:posOffset>2171699</wp:posOffset>
                </wp:positionH>
                <wp:positionV relativeFrom="paragraph">
                  <wp:posOffset>114300</wp:posOffset>
                </wp:positionV>
                <wp:extent cx="0" cy="114300"/>
                <wp:effectExtent l="0" t="0" r="19050" b="19050"/>
                <wp:wrapNone/>
                <wp:docPr id="361" name="Line 40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1430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line w14:anchorId="2F4FE088" id="Line 405" o:spid="_x0000_s1026" style="position:absolute;left:0;text-align:left;z-index:253897728;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from="171pt,9pt" to="171pt,1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"/>
            </w:pict>
          </mc:Fallback>
        </mc:AlternateContent>
      </w:r>
      <w:r w:rsidRPr="001D6D10">
        <w:rPr>
          <w:noProof/>
        </w:rPr>
        <mc:AlternateContent>
          <mc:Choice Requires="wps">
            <w:drawing>
              <wp:anchor distT="4294967295" distB="4294967295" distL="114300" distR="114300" simplePos="0" relativeHeight="253880320" behindDoc="0" locked="0" layoutInCell="1" allowOverlap="1" wp14:anchorId="6B41AF23" wp14:editId="14D9AADE">
                <wp:simplePos x="0" y="0"/>
                <wp:positionH relativeFrom="column">
                  <wp:posOffset>2628900</wp:posOffset>
                </wp:positionH>
                <wp:positionV relativeFrom="paragraph">
                  <wp:posOffset>-1</wp:posOffset>
                </wp:positionV>
                <wp:extent cx="342900" cy="0"/>
                <wp:effectExtent l="0" t="76200" r="19050" b="95250"/>
                <wp:wrapNone/>
                <wp:docPr id="359" name="Line 38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2900" cy="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line w14:anchorId="5DE81A5E" id="Line 388" o:spid="_x0000_s1026" style="position:absolute;left:0;text-align:left;z-index:253880320;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207pt,0" to="234pt,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">
                <v:stroke endarrow="block"/>
              </v:line>
            </w:pict>
          </mc:Fallback>
        </mc:AlternateContent>
      </w:r>
      <w:r w:rsidRPr="001D6D10">
        <w:rPr>
          <w:noProof/>
        </w:rPr>
        <mc:AlternateContent>
          <mc:Choice Requires="wps">
            <w:drawing>
              <wp:anchor distT="0" distB="0" distL="114299" distR="114299" simplePos="0" relativeHeight="253882368" behindDoc="0" locked="0" layoutInCell="1" allowOverlap="1" wp14:anchorId="6AE9C034" wp14:editId="7D7CB2B4">
                <wp:simplePos x="0" y="0"/>
                <wp:positionH relativeFrom="column">
                  <wp:posOffset>1188719</wp:posOffset>
                </wp:positionH>
                <wp:positionV relativeFrom="paragraph">
                  <wp:posOffset>212725</wp:posOffset>
                </wp:positionV>
                <wp:extent cx="0" cy="228600"/>
                <wp:effectExtent l="76200" t="0" r="57150" b="57150"/>
                <wp:wrapNone/>
                <wp:docPr id="357" name="Line 39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2860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line w14:anchorId="0340F6C4" id="Line 390" o:spid="_x0000_s1026" style="position:absolute;left:0;text-align:left;z-index:253882368;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from="93.6pt,16.75pt" to="93.6pt,34.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">
                <v:stroke endarrow="block"/>
              </v:line>
            </w:pict>
          </mc:Fallback>
        </mc:AlternateContent>
      </w:r>
    </w:p>
    <w:p w14:paraId="246F53C1" w14:textId="77777777" w:rsidR="008B4B2B" w:rsidRPr="001D6D10" w:rsidRDefault="008B4B2B" w:rsidP="008B4B2B">
      <w:pPr>
        <w:spacing w:line="360" w:lineRule="exact"/>
      </w:pPr>
      <w:r w:rsidRPr="001D6D10">
        <w:rPr>
          <w:noProof/>
        </w:rPr>
        <mc:AlternateContent>
          <mc:Choice Requires="wps">
            <w:drawing>
              <wp:anchor distT="0" distB="0" distL="114299" distR="114299" simplePos="0" relativeHeight="253914112" behindDoc="0" locked="0" layoutInCell="1" allowOverlap="1" wp14:anchorId="496FE744" wp14:editId="33E09C1A">
                <wp:simplePos x="0" y="0"/>
                <wp:positionH relativeFrom="column">
                  <wp:posOffset>4401819</wp:posOffset>
                </wp:positionH>
                <wp:positionV relativeFrom="paragraph">
                  <wp:posOffset>0</wp:posOffset>
                </wp:positionV>
                <wp:extent cx="0" cy="212725"/>
                <wp:effectExtent l="76200" t="0" r="57150" b="53975"/>
                <wp:wrapNone/>
                <wp:docPr id="356" name="AutoShape 42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1272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shape w14:anchorId="131D0985" id="AutoShape 422" o:spid="_x0000_s1026" type="#_x0000_t32" style="position:absolute;left:0;text-align:left;margin-left:346.6pt;margin-top:0;width:0;height:16.75pt;z-index:253914112;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">
                <v:stroke endarrow="block"/>
              </v:shape>
            </w:pict>
          </mc:Fallback>
        </mc:AlternateContent>
      </w:r>
      <w:r w:rsidRPr="001D6D10">
        <w:rPr>
          <w:noProof/>
        </w:rPr>
        <mc:AlternateContent>
          <mc:Choice Requires="wps">
            <w:drawing>
              <wp:anchor distT="0" distB="0" distL="114300" distR="114300" simplePos="0" relativeHeight="253913088" behindDoc="0" locked="0" layoutInCell="1" allowOverlap="1" wp14:anchorId="7C41543A" wp14:editId="7FC7F90C">
                <wp:simplePos x="0" y="0"/>
                <wp:positionH relativeFrom="column">
                  <wp:posOffset>20320</wp:posOffset>
                </wp:positionH>
                <wp:positionV relativeFrom="paragraph">
                  <wp:posOffset>212725</wp:posOffset>
                </wp:positionV>
                <wp:extent cx="2331720" cy="230505"/>
                <wp:effectExtent l="0" t="0" r="11430" b="17145"/>
                <wp:wrapNone/>
                <wp:docPr id="355" name="Text Box 42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31720" cy="230505"/>
                        </a:xfrm>
                        <a:prstGeom prst="rect">
                          <a:avLst/>
                        </a:prstGeom>
                        <a:solidFill>
                          <a:srgbClr val="FFFFFF"/>
                        </a:solidFill>
                        <a:ln w="9525">
                          <a:solidFill>
                            <a:schemeClr val="tx1"/>
                          </a:solidFill>
                          <a:miter lim="800000"/>
                          <a:headEnd/>
                          <a:tailEnd/>
                        </a:ln>
                      </wps:spPr>
                      <wps:txbx>
                        <w:txbxContent>
                          <w:p w14:paraId="108CF6BF" w14:textId="77777777" w:rsidR="006A5267" w:rsidRDefault="006A5267" w:rsidP="008B4B2B">
                            <w:pPr>
                              <w:ind w:firstLineChars="100" w:firstLine="211"/>
                              <w:jc w:val="center"/>
                            </w:pPr>
                            <w:r>
                              <w:rPr>
                                <w:rFonts w:hint="eastAsia"/>
                              </w:rPr>
                              <w:t>右記以外の危機事象</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shape w14:anchorId="7C41543A" id="Text Box 421" o:spid="_x0000_s1939" type="#_x0000_t202" style="position:absolute;left:0;text-align:left;margin-left:1.6pt;margin-top:16.75pt;width:183.6pt;height:18.15pt;z-index:2539130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" strokecolor="black [3213]">
                <v:textbox inset="5.85pt,.7pt,5.85pt,.7pt">
                  <w:txbxContent>
                    <w:p w14:paraId="108CF6BF" w14:textId="77777777" w:rsidR="006A5267" w:rsidRDefault="006A5267" w:rsidP="008B4B2B">
                      <w:pPr>
                        <w:ind w:firstLineChars="100" w:firstLine="211"/>
                        <w:jc w:val="center"/>
                      </w:pPr>
                      <w:r>
                        <w:rPr>
                          <w:rFonts w:hint="eastAsia"/>
                        </w:rPr>
                        <w:t>右記以外の危機事象</w:t>
                      </w:r>
                    </w:p>
                  </w:txbxContent>
                </v:textbox>
              </v:shape>
            </w:pict>
          </mc:Fallback>
        </mc:AlternateContent>
      </w:r>
      <w:r w:rsidRPr="001D6D10">
        <w:rPr>
          <w:noProof/>
        </w:rPr>
        <mc:AlternateContent>
          <mc:Choice Requires="wps">
            <w:drawing>
              <wp:anchor distT="4294967295" distB="4294967295" distL="114300" distR="114300" simplePos="0" relativeHeight="253881344" behindDoc="0" locked="0" layoutInCell="1" allowOverlap="1" wp14:anchorId="1F9EFAD6" wp14:editId="5CE5BA05">
                <wp:simplePos x="0" y="0"/>
                <wp:positionH relativeFrom="column">
                  <wp:posOffset>1188720</wp:posOffset>
                </wp:positionH>
                <wp:positionV relativeFrom="paragraph">
                  <wp:posOffset>1904</wp:posOffset>
                </wp:positionV>
                <wp:extent cx="3213100" cy="0"/>
                <wp:effectExtent l="0" t="0" r="25400" b="19050"/>
                <wp:wrapNone/>
                <wp:docPr id="354" name="Line 38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2131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line w14:anchorId="35800CE7" id="Line 389" o:spid="_x0000_s1026" style="position:absolute;left:0;text-align:left;z-index:253881344;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93.6pt,.15pt" to="346.6pt,.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"/>
            </w:pict>
          </mc:Fallback>
        </mc:AlternateContent>
      </w:r>
      <w:r w:rsidRPr="001D6D10">
        <w:rPr>
          <w:noProof/>
        </w:rPr>
        <mc:AlternateContent>
          <mc:Choice Requires="wps">
            <w:drawing>
              <wp:anchor distT="4294967295" distB="4294967295" distL="114299" distR="114299" simplePos="0" relativeHeight="253901824" behindDoc="0" locked="0" layoutInCell="1" allowOverlap="1" wp14:anchorId="5D30D502" wp14:editId="741E432E">
                <wp:simplePos x="0" y="0"/>
                <wp:positionH relativeFrom="column">
                  <wp:posOffset>4800599</wp:posOffset>
                </wp:positionH>
                <wp:positionV relativeFrom="paragraph">
                  <wp:posOffset>525144</wp:posOffset>
                </wp:positionV>
                <wp:extent cx="0" cy="0"/>
                <wp:effectExtent l="0" t="0" r="0" b="0"/>
                <wp:wrapNone/>
                <wp:docPr id="353" name="Line 40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line w14:anchorId="0F9F7A0A" id="Line 408" o:spid="_x0000_s1026" style="position:absolute;left:0;text-align:left;z-index:253901824;visibility:visible;mso-wrap-style:square;mso-width-percent:0;mso-height-percent:0;mso-wrap-distance-left:3.17497mm;mso-wrap-distance-top:-3e-5mm;mso-wrap-distance-right:3.17497mm;mso-wrap-distance-bottom:-3e-5mm;mso-position-horizontal:absolute;mso-position-horizontal-relative:text;mso-position-vertical:absolute;mso-position-vertical-relative:text;mso-width-percent:0;mso-height-percent:0;mso-width-relative:page;mso-height-relative:page" from="378pt,41.35pt" to="378pt,41.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"/>
            </w:pict>
          </mc:Fallback>
        </mc:AlternateContent>
      </w:r>
    </w:p>
    <w:p w14:paraId="5DECE143" w14:textId="77777777" w:rsidR="008B4B2B" w:rsidRPr="001D6D10" w:rsidRDefault="008B4B2B" w:rsidP="008B4B2B">
      <w:pPr>
        <w:spacing w:line="360" w:lineRule="exact"/>
      </w:pPr>
      <w:r w:rsidRPr="001D6D10">
        <w:rPr>
          <w:noProof/>
        </w:rPr>
        <mc:AlternateContent>
          <mc:Choice Requires="wps">
            <w:drawing>
              <wp:anchor distT="0" distB="0" distL="114300" distR="114300" simplePos="0" relativeHeight="253867008" behindDoc="0" locked="0" layoutInCell="1" allowOverlap="1" wp14:anchorId="06FA4DC8" wp14:editId="48043518">
                <wp:simplePos x="0" y="0"/>
                <wp:positionH relativeFrom="column">
                  <wp:posOffset>2954020</wp:posOffset>
                </wp:positionH>
                <wp:positionV relativeFrom="paragraph">
                  <wp:posOffset>1905</wp:posOffset>
                </wp:positionV>
                <wp:extent cx="2530475" cy="230505"/>
                <wp:effectExtent l="0" t="0" r="22225" b="17145"/>
                <wp:wrapNone/>
                <wp:docPr id="352" name="Text Box 37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30475" cy="230505"/>
                        </a:xfrm>
                        <a:prstGeom prst="rect">
                          <a:avLst/>
                        </a:prstGeom>
                        <a:solidFill>
                          <a:srgbClr val="FFFFFF"/>
                        </a:solidFill>
                        <a:ln w="9525">
                          <a:solidFill>
                            <a:srgbClr val="000000"/>
                          </a:solidFill>
                          <a:miter lim="800000"/>
                          <a:headEnd/>
                          <a:tailEnd/>
                        </a:ln>
                      </wps:spPr>
                      <wps:txbx>
                        <w:txbxContent>
                          <w:p w14:paraId="393CD6B4" w14:textId="77777777" w:rsidR="006A5267" w:rsidRDefault="006A5267" w:rsidP="008B4B2B">
                            <w:pPr>
                              <w:jc w:val="center"/>
                            </w:pPr>
                            <w:r>
                              <w:rPr>
                                <w:rFonts w:hint="eastAsia"/>
                              </w:rPr>
                              <w:t>地域防災計画等で想定している災害</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shape w14:anchorId="06FA4DC8" id="Text Box 375" o:spid="_x0000_s1940" type="#_x0000_t202" style="position:absolute;left:0;text-align:left;margin-left:232.6pt;margin-top:.15pt;width:199.25pt;height:18.15pt;z-index:2538670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">
                <v:textbox inset="5.85pt,.7pt,5.85pt,.7pt">
                  <w:txbxContent>
                    <w:p w14:paraId="393CD6B4" w14:textId="77777777" w:rsidR="006A5267" w:rsidRDefault="006A5267" w:rsidP="008B4B2B">
                      <w:pPr>
                        <w:jc w:val="center"/>
                      </w:pPr>
                      <w:r>
                        <w:rPr>
                          <w:rFonts w:hint="eastAsia"/>
                        </w:rPr>
                        <w:t>地域防災計画等で想定している災害</w:t>
                      </w:r>
                    </w:p>
                  </w:txbxContent>
                </v:textbox>
              </v:shape>
            </w:pict>
          </mc:Fallback>
        </mc:AlternateContent>
      </w:r>
      <w:r w:rsidRPr="001D6D10">
        <w:rPr>
          <w:noProof/>
        </w:rPr>
        <mc:AlternateContent>
          <mc:Choice Requires="wps">
            <w:drawing>
              <wp:anchor distT="0" distB="0" distL="114299" distR="114299" simplePos="0" relativeHeight="253889536" behindDoc="1" locked="0" layoutInCell="1" allowOverlap="1" wp14:anchorId="07B35871" wp14:editId="6475BD72">
                <wp:simplePos x="0" y="0"/>
                <wp:positionH relativeFrom="column">
                  <wp:posOffset>1188719</wp:posOffset>
                </wp:positionH>
                <wp:positionV relativeFrom="paragraph">
                  <wp:posOffset>212725</wp:posOffset>
                </wp:positionV>
                <wp:extent cx="0" cy="228600"/>
                <wp:effectExtent l="0" t="0" r="19050" b="19050"/>
                <wp:wrapNone/>
                <wp:docPr id="159" name="Line 39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2860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line w14:anchorId="7A7803A5" id="Line 397" o:spid="_x0000_s1026" style="position:absolute;left:0;text-align:left;z-index:-249426944;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from="93.6pt,16.75pt" to="93.6pt,34.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"/>
            </w:pict>
          </mc:Fallback>
        </mc:AlternateContent>
      </w:r>
    </w:p>
    <w:p w14:paraId="638AB27C" w14:textId="77777777" w:rsidR="008B4B2B" w:rsidRPr="001D6D10" w:rsidRDefault="008B4B2B" w:rsidP="008B4B2B">
      <w:pPr>
        <w:spacing w:line="360" w:lineRule="exact"/>
      </w:pPr>
      <w:r w:rsidRPr="001D6D10">
        <w:rPr>
          <w:noProof/>
        </w:rPr>
        <mc:AlternateContent>
          <mc:Choice Requires="wps">
            <w:drawing>
              <wp:anchor distT="0" distB="0" distL="114300" distR="114300" simplePos="0" relativeHeight="253869056" behindDoc="0" locked="0" layoutInCell="1" allowOverlap="1" wp14:anchorId="75CD4951" wp14:editId="13F1B58E">
                <wp:simplePos x="0" y="0"/>
                <wp:positionH relativeFrom="column">
                  <wp:posOffset>1146175</wp:posOffset>
                </wp:positionH>
                <wp:positionV relativeFrom="paragraph">
                  <wp:posOffset>383540</wp:posOffset>
                </wp:positionV>
                <wp:extent cx="1028700" cy="230505"/>
                <wp:effectExtent l="0" t="0" r="19050" b="17145"/>
                <wp:wrapNone/>
                <wp:docPr id="158" name="Text Box 37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28700" cy="230505"/>
                        </a:xfrm>
                        <a:prstGeom prst="rect">
                          <a:avLst/>
                        </a:prstGeom>
                        <a:solidFill>
                          <a:srgbClr val="FFFFFF"/>
                        </a:solidFill>
                        <a:ln w="9525">
                          <a:solidFill>
                            <a:srgbClr val="000000"/>
                          </a:solidFill>
                          <a:miter lim="800000"/>
                          <a:headEnd/>
                          <a:tailEnd/>
                        </a:ln>
                      </wps:spPr>
                      <wps:txbx>
                        <w:txbxContent>
                          <w:p w14:paraId="65064899" w14:textId="77777777" w:rsidR="006A5267" w:rsidRDefault="006A5267" w:rsidP="008B4B2B">
                            <w:pPr>
                              <w:spacing w:line="300" w:lineRule="exact"/>
                            </w:pPr>
                            <w:r>
                              <w:rPr>
                                <w:rFonts w:hint="eastAsia"/>
                              </w:rPr>
                              <w:t>所管が不明確</w:t>
                            </w:r>
                          </w:p>
                          <w:p w14:paraId="3D1BFCE9" w14:textId="77777777" w:rsidR="006A5267" w:rsidRPr="00C64881" w:rsidRDefault="006A5267" w:rsidP="008B4B2B">
                            <w:pPr>
                              <w:spacing w:line="260" w:lineRule="exact"/>
                              <w:rPr>
                                <w:sz w:val="18"/>
                                <w:szCs w:val="18"/>
                              </w:rPr>
                            </w:pP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shape w14:anchorId="75CD4951" id="Text Box 377" o:spid="_x0000_s1941" type="#_x0000_t202" style="position:absolute;left:0;text-align:left;margin-left:90.25pt;margin-top:30.2pt;width:81pt;height:18.15pt;z-index:2538690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">
                <v:textbox inset="5.85pt,.7pt,5.85pt,.7pt">
                  <w:txbxContent>
                    <w:p w14:paraId="65064899" w14:textId="77777777" w:rsidR="006A5267" w:rsidRDefault="006A5267" w:rsidP="008B4B2B">
                      <w:pPr>
                        <w:spacing w:line="300" w:lineRule="exact"/>
                      </w:pPr>
                      <w:r>
                        <w:rPr>
                          <w:rFonts w:hint="eastAsia"/>
                        </w:rPr>
                        <w:t>所管が不明確</w:t>
                      </w:r>
                    </w:p>
                    <w:p w14:paraId="3D1BFCE9" w14:textId="77777777" w:rsidR="006A5267" w:rsidRPr="00C64881" w:rsidRDefault="006A5267" w:rsidP="008B4B2B">
                      <w:pPr>
                        <w:spacing w:line="260" w:lineRule="exact"/>
                        <w:rPr>
                          <w:sz w:val="18"/>
                          <w:szCs w:val="18"/>
                        </w:rPr>
                      </w:pPr>
                    </w:p>
                  </w:txbxContent>
                </v:textbox>
              </v:shape>
            </w:pict>
          </mc:Fallback>
        </mc:AlternateContent>
      </w:r>
      <w:r w:rsidRPr="001D6D10">
        <w:rPr>
          <w:noProof/>
        </w:rPr>
        <mc:AlternateContent>
          <mc:Choice Requires="wps">
            <w:drawing>
              <wp:anchor distT="0" distB="0" distL="114300" distR="114300" simplePos="0" relativeHeight="253868032" behindDoc="0" locked="0" layoutInCell="1" allowOverlap="1" wp14:anchorId="316107B0" wp14:editId="3ACEB4B8">
                <wp:simplePos x="0" y="0"/>
                <wp:positionH relativeFrom="column">
                  <wp:posOffset>60325</wp:posOffset>
                </wp:positionH>
                <wp:positionV relativeFrom="paragraph">
                  <wp:posOffset>383540</wp:posOffset>
                </wp:positionV>
                <wp:extent cx="914400" cy="230505"/>
                <wp:effectExtent l="0" t="0" r="19050" b="17145"/>
                <wp:wrapNone/>
                <wp:docPr id="157" name="Text Box 37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14400" cy="230505"/>
                        </a:xfrm>
                        <a:prstGeom prst="rect">
                          <a:avLst/>
                        </a:prstGeom>
                        <a:solidFill>
                          <a:srgbClr val="FFFFFF"/>
                        </a:solidFill>
                        <a:ln w="9525">
                          <a:solidFill>
                            <a:srgbClr val="000000"/>
                          </a:solidFill>
                          <a:miter lim="800000"/>
                          <a:headEnd/>
                          <a:tailEnd/>
                        </a:ln>
                      </wps:spPr>
                      <wps:txbx>
                        <w:txbxContent>
                          <w:p w14:paraId="379CB8FE" w14:textId="77777777" w:rsidR="006A5267" w:rsidRDefault="006A5267" w:rsidP="008B4B2B">
                            <w:r>
                              <w:rPr>
                                <w:rFonts w:hint="eastAsia"/>
                              </w:rPr>
                              <w:t>所管が明確</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shape w14:anchorId="316107B0" id="Text Box 376" o:spid="_x0000_s1942" type="#_x0000_t202" style="position:absolute;left:0;text-align:left;margin-left:4.75pt;margin-top:30.2pt;width:1in;height:18.15pt;z-index:2538680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">
                <v:textbox inset="5.85pt,.7pt,5.85pt,.7pt">
                  <w:txbxContent>
                    <w:p w14:paraId="379CB8FE" w14:textId="77777777" w:rsidR="006A5267" w:rsidRDefault="006A5267" w:rsidP="008B4B2B">
                      <w:r>
                        <w:rPr>
                          <w:rFonts w:hint="eastAsia"/>
                        </w:rPr>
                        <w:t>所管が明確</w:t>
                      </w:r>
                    </w:p>
                  </w:txbxContent>
                </v:textbox>
              </v:shape>
            </w:pict>
          </mc:Fallback>
        </mc:AlternateContent>
      </w:r>
      <w:r w:rsidRPr="001D6D10">
        <w:rPr>
          <w:noProof/>
        </w:rPr>
        <mc:AlternateContent>
          <mc:Choice Requires="wps">
            <w:drawing>
              <wp:anchor distT="0" distB="0" distL="114300" distR="114300" simplePos="0" relativeHeight="253876224" behindDoc="0" locked="0" layoutInCell="1" allowOverlap="1" wp14:anchorId="6771238C" wp14:editId="26F7D029">
                <wp:simplePos x="0" y="0"/>
                <wp:positionH relativeFrom="column">
                  <wp:posOffset>601345</wp:posOffset>
                </wp:positionH>
                <wp:positionV relativeFrom="paragraph">
                  <wp:posOffset>214630</wp:posOffset>
                </wp:positionV>
                <wp:extent cx="13970" cy="164465"/>
                <wp:effectExtent l="38100" t="0" r="62230" b="64135"/>
                <wp:wrapNone/>
                <wp:docPr id="156" name="Line 38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13970" cy="164465"/>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line w14:anchorId="21BF1CA6" id="Line 384" o:spid="_x0000_s1026" style="position:absolute;left:0;text-align:left;flip:x;z-index:2538762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7.35pt,16.9pt" to="48.45pt,29.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">
                <v:stroke endarrow="block"/>
              </v:line>
            </w:pict>
          </mc:Fallback>
        </mc:AlternateContent>
      </w:r>
      <w:r w:rsidRPr="001D6D10">
        <w:rPr>
          <w:noProof/>
        </w:rPr>
        <mc:AlternateContent>
          <mc:Choice Requires="wps">
            <w:drawing>
              <wp:anchor distT="0" distB="0" distL="114300" distR="114300" simplePos="0" relativeHeight="253877248" behindDoc="0" locked="0" layoutInCell="1" allowOverlap="1" wp14:anchorId="58AED706" wp14:editId="0BF97C28">
                <wp:simplePos x="0" y="0"/>
                <wp:positionH relativeFrom="column">
                  <wp:posOffset>1747520</wp:posOffset>
                </wp:positionH>
                <wp:positionV relativeFrom="paragraph">
                  <wp:posOffset>214630</wp:posOffset>
                </wp:positionV>
                <wp:extent cx="10795" cy="164465"/>
                <wp:effectExtent l="38100" t="0" r="65405" b="64135"/>
                <wp:wrapNone/>
                <wp:docPr id="155" name="Line 38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10795" cy="164465"/>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line w14:anchorId="0468771D" id="Line 385" o:spid="_x0000_s1026" style="position:absolute;left:0;text-align:left;flip:x;z-index:2538772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37.6pt,16.9pt" to="138.45pt,29.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">
                <v:stroke endarrow="block"/>
              </v:line>
            </w:pict>
          </mc:Fallback>
        </mc:AlternateContent>
      </w:r>
      <w:r w:rsidRPr="001D6D10">
        <w:rPr>
          <w:noProof/>
        </w:rPr>
        <mc:AlternateContent>
          <mc:Choice Requires="wps">
            <w:drawing>
              <wp:anchor distT="0" distB="0" distL="114299" distR="114299" simplePos="0" relativeHeight="253902848" behindDoc="0" locked="0" layoutInCell="1" allowOverlap="1" wp14:anchorId="1B3481F8" wp14:editId="7D1CB40A">
                <wp:simplePos x="0" y="0"/>
                <wp:positionH relativeFrom="column">
                  <wp:posOffset>4403724</wp:posOffset>
                </wp:positionH>
                <wp:positionV relativeFrom="paragraph">
                  <wp:posOffset>6350</wp:posOffset>
                </wp:positionV>
                <wp:extent cx="0" cy="571500"/>
                <wp:effectExtent l="0" t="0" r="19050" b="19050"/>
                <wp:wrapNone/>
                <wp:docPr id="154" name="Line 40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57150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line w14:anchorId="2161E2C8" id="Line 409" o:spid="_x0000_s1026" style="position:absolute;left:0;text-align:left;z-index:253902848;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from="346.75pt,.5pt" to="346.75pt,4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"/>
            </w:pict>
          </mc:Fallback>
        </mc:AlternateContent>
      </w:r>
      <w:r w:rsidRPr="001D6D10">
        <w:rPr>
          <w:noProof/>
        </w:rPr>
        <mc:AlternateContent>
          <mc:Choice Requires="wps">
            <w:drawing>
              <wp:anchor distT="4294967295" distB="4294967295" distL="114300" distR="114300" simplePos="0" relativeHeight="253875200" behindDoc="0" locked="0" layoutInCell="1" allowOverlap="1" wp14:anchorId="452D5A8D" wp14:editId="5133D599">
                <wp:simplePos x="0" y="0"/>
                <wp:positionH relativeFrom="column">
                  <wp:posOffset>617220</wp:posOffset>
                </wp:positionH>
                <wp:positionV relativeFrom="paragraph">
                  <wp:posOffset>212724</wp:posOffset>
                </wp:positionV>
                <wp:extent cx="1143000" cy="0"/>
                <wp:effectExtent l="0" t="0" r="19050" b="19050"/>
                <wp:wrapNone/>
                <wp:docPr id="153" name="Line 38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1430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line w14:anchorId="10E058C4" id="Line 383" o:spid="_x0000_s1026" style="position:absolute;left:0;text-align:left;z-index:253875200;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48.6pt,16.75pt" to="138.6pt,16.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"/>
            </w:pict>
          </mc:Fallback>
        </mc:AlternateContent>
      </w:r>
      <w:r w:rsidRPr="001D6D10">
        <w:rPr>
          <w:rFonts w:hint="eastAsia"/>
        </w:rPr>
        <w:t xml:space="preserve">　　　　　　　　　</w:t>
      </w:r>
    </w:p>
    <w:p w14:paraId="5AEE3582" w14:textId="77777777" w:rsidR="008B4B2B" w:rsidRPr="001D6D10" w:rsidRDefault="008B4B2B" w:rsidP="008B4B2B">
      <w:pPr>
        <w:spacing w:line="360" w:lineRule="exact"/>
      </w:pPr>
    </w:p>
    <w:p w14:paraId="7F879CBB" w14:textId="77777777" w:rsidR="008B4B2B" w:rsidRPr="001D6D10" w:rsidRDefault="008B4B2B" w:rsidP="008B4B2B">
      <w:pPr>
        <w:spacing w:line="360" w:lineRule="exact"/>
      </w:pPr>
      <w:r w:rsidRPr="001D6D10">
        <w:rPr>
          <w:noProof/>
        </w:rPr>
        <mc:AlternateContent>
          <mc:Choice Requires="wps">
            <w:drawing>
              <wp:anchor distT="0" distB="0" distL="114300" distR="114300" simplePos="0" relativeHeight="253900800" behindDoc="0" locked="0" layoutInCell="1" allowOverlap="1" wp14:anchorId="7389128D" wp14:editId="4C96330F">
                <wp:simplePos x="0" y="0"/>
                <wp:positionH relativeFrom="column">
                  <wp:posOffset>4645025</wp:posOffset>
                </wp:positionH>
                <wp:positionV relativeFrom="paragraph">
                  <wp:posOffset>12700</wp:posOffset>
                </wp:positionV>
                <wp:extent cx="1088390" cy="457200"/>
                <wp:effectExtent l="0" t="0" r="16510" b="19050"/>
                <wp:wrapNone/>
                <wp:docPr id="150" name="Rectangle 40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88390" cy="457200"/>
                        </a:xfrm>
                        <a:prstGeom prst="rect">
                          <a:avLst/>
                        </a:prstGeom>
                        <a:solidFill>
                          <a:srgbClr val="FFFFFF"/>
                        </a:solidFill>
                        <a:ln w="9525">
                          <a:solidFill>
                            <a:srgbClr val="000000"/>
                          </a:solidFill>
                          <a:miter lim="800000"/>
                          <a:headEnd/>
                          <a:tailEnd/>
                        </a:ln>
                      </wps:spPr>
                      <wps:txbx>
                        <w:txbxContent>
                          <w:p w14:paraId="2E118829" w14:textId="77777777" w:rsidR="006A5267" w:rsidRPr="00166154" w:rsidRDefault="006A5267" w:rsidP="008B4B2B">
                            <w:r w:rsidRPr="00166154">
                              <w:rPr>
                                <w:rFonts w:hint="eastAsia"/>
                              </w:rPr>
                              <w:t>地域防災計画等で対応</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rect w14:anchorId="7389128D" id="Rectangle 407" o:spid="_x0000_s1943" style="position:absolute;left:0;text-align:left;margin-left:365.75pt;margin-top:1pt;width:85.7pt;height:36pt;z-index:2539008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">
                <v:textbox inset="5.85pt,.7pt,5.85pt,.7pt">
                  <w:txbxContent>
                    <w:p w14:paraId="2E118829" w14:textId="77777777" w:rsidR="006A5267" w:rsidRPr="00166154" w:rsidRDefault="006A5267" w:rsidP="008B4B2B">
                      <w:r w:rsidRPr="00166154">
                        <w:rPr>
                          <w:rFonts w:hint="eastAsia"/>
                        </w:rPr>
                        <w:t>地域防災計画等で対応</w:t>
                      </w:r>
                    </w:p>
                  </w:txbxContent>
                </v:textbox>
              </v:rect>
            </w:pict>
          </mc:Fallback>
        </mc:AlternateContent>
      </w:r>
      <w:r w:rsidRPr="001D6D10">
        <w:rPr>
          <w:noProof/>
        </w:rPr>
        <mc:AlternateContent>
          <mc:Choice Requires="wps">
            <w:drawing>
              <wp:anchor distT="0" distB="0" distL="114299" distR="114299" simplePos="0" relativeHeight="253894656" behindDoc="1" locked="0" layoutInCell="1" allowOverlap="1" wp14:anchorId="5CA8D97C" wp14:editId="3931B68B">
                <wp:simplePos x="0" y="0"/>
                <wp:positionH relativeFrom="column">
                  <wp:posOffset>601344</wp:posOffset>
                </wp:positionH>
                <wp:positionV relativeFrom="paragraph">
                  <wp:posOffset>200025</wp:posOffset>
                </wp:positionV>
                <wp:extent cx="0" cy="1371600"/>
                <wp:effectExtent l="76200" t="0" r="57150" b="57150"/>
                <wp:wrapNone/>
                <wp:docPr id="152" name="Line 40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37160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line w14:anchorId="67FD214C" id="Line 402" o:spid="_x0000_s1026" style="position:absolute;left:0;text-align:left;z-index:-249421824;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from="47.35pt,15.75pt" to="47.35pt,123.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">
                <v:stroke endarrow="block"/>
              </v:line>
            </w:pict>
          </mc:Fallback>
        </mc:AlternateContent>
      </w:r>
      <w:r w:rsidRPr="001D6D10">
        <w:rPr>
          <w:noProof/>
        </w:rPr>
        <mc:AlternateContent>
          <mc:Choice Requires="wps">
            <w:drawing>
              <wp:anchor distT="0" distB="0" distL="114299" distR="114299" simplePos="0" relativeHeight="253883392" behindDoc="0" locked="0" layoutInCell="1" allowOverlap="1" wp14:anchorId="701CA87A" wp14:editId="4334C225">
                <wp:simplePos x="0" y="0"/>
                <wp:positionH relativeFrom="column">
                  <wp:posOffset>1687194</wp:posOffset>
                </wp:positionH>
                <wp:positionV relativeFrom="paragraph">
                  <wp:posOffset>200025</wp:posOffset>
                </wp:positionV>
                <wp:extent cx="0" cy="571500"/>
                <wp:effectExtent l="0" t="0" r="19050" b="19050"/>
                <wp:wrapNone/>
                <wp:docPr id="151" name="Line 39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57150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line w14:anchorId="45363E70" id="Line 391" o:spid="_x0000_s1026" style="position:absolute;left:0;text-align:left;z-index:253883392;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from="132.85pt,15.75pt" to="132.85pt,60.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"/>
            </w:pict>
          </mc:Fallback>
        </mc:AlternateContent>
      </w:r>
      <w:r w:rsidRPr="001D6D10">
        <w:rPr>
          <w:noProof/>
        </w:rPr>
        <mc:AlternateContent>
          <mc:Choice Requires="wps">
            <w:drawing>
              <wp:anchor distT="4294967295" distB="4294967295" distL="114300" distR="114300" simplePos="0" relativeHeight="253903872" behindDoc="0" locked="0" layoutInCell="1" allowOverlap="1" wp14:anchorId="21682E69" wp14:editId="5A08E280">
                <wp:simplePos x="0" y="0"/>
                <wp:positionH relativeFrom="column">
                  <wp:posOffset>4403725</wp:posOffset>
                </wp:positionH>
                <wp:positionV relativeFrom="paragraph">
                  <wp:posOffset>105409</wp:posOffset>
                </wp:positionV>
                <wp:extent cx="228600" cy="0"/>
                <wp:effectExtent l="0" t="76200" r="19050" b="95250"/>
                <wp:wrapNone/>
                <wp:docPr id="148" name="Line 41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228600" cy="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line w14:anchorId="582D89EE" id="Line 410" o:spid="_x0000_s1026" style="position:absolute;left:0;text-align:left;flip:y;z-index:253903872;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346.75pt,8.3pt" to="364.75pt,8.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">
                <v:stroke endarrow="block"/>
              </v:line>
            </w:pict>
          </mc:Fallback>
        </mc:AlternateContent>
      </w:r>
    </w:p>
    <w:p w14:paraId="1094B057" w14:textId="77777777" w:rsidR="008B4B2B" w:rsidRPr="001D6D10" w:rsidRDefault="008B4B2B" w:rsidP="008B4B2B">
      <w:pPr>
        <w:spacing w:line="360" w:lineRule="exact"/>
      </w:pPr>
    </w:p>
    <w:p w14:paraId="333DBD91" w14:textId="77777777" w:rsidR="008B4B2B" w:rsidRPr="001D6D10" w:rsidRDefault="008B4B2B" w:rsidP="008B4B2B">
      <w:pPr>
        <w:spacing w:line="360" w:lineRule="exact"/>
      </w:pPr>
      <w:r w:rsidRPr="001D6D10">
        <w:rPr>
          <w:noProof/>
        </w:rPr>
        <mc:AlternateContent>
          <mc:Choice Requires="wps">
            <w:drawing>
              <wp:anchor distT="0" distB="0" distL="114300" distR="114300" simplePos="0" relativeHeight="253870080" behindDoc="0" locked="0" layoutInCell="1" allowOverlap="1" wp14:anchorId="26A354AE" wp14:editId="21E63945">
                <wp:simplePos x="0" y="0"/>
                <wp:positionH relativeFrom="column">
                  <wp:posOffset>2857500</wp:posOffset>
                </wp:positionH>
                <wp:positionV relativeFrom="paragraph">
                  <wp:posOffset>0</wp:posOffset>
                </wp:positionV>
                <wp:extent cx="1600200" cy="204470"/>
                <wp:effectExtent l="0" t="0" r="19050" b="24130"/>
                <wp:wrapNone/>
                <wp:docPr id="147" name="Text Box 37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00200" cy="204470"/>
                        </a:xfrm>
                        <a:prstGeom prst="rect">
                          <a:avLst/>
                        </a:prstGeom>
                        <a:solidFill>
                          <a:srgbClr val="FFFFFF"/>
                        </a:solidFill>
                        <a:ln w="9525">
                          <a:solidFill>
                            <a:srgbClr val="000000"/>
                          </a:solidFill>
                          <a:miter lim="800000"/>
                          <a:headEnd/>
                          <a:tailEnd/>
                        </a:ln>
                      </wps:spPr>
                      <wps:txbx>
                        <w:txbxContent>
                          <w:p w14:paraId="571495CC" w14:textId="77777777" w:rsidR="006A5267" w:rsidRDefault="006A5267" w:rsidP="008B4B2B">
                            <w:r>
                              <w:rPr>
                                <w:rFonts w:hint="eastAsia"/>
                              </w:rPr>
                              <w:t>危機管理監による調整</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shape w14:anchorId="26A354AE" id="Text Box 378" o:spid="_x0000_s1944" type="#_x0000_t202" style="position:absolute;left:0;text-align:left;margin-left:225pt;margin-top:0;width:126pt;height:16.1pt;z-index:2538700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">
                <v:textbox inset="5.85pt,.7pt,5.85pt,.7pt">
                  <w:txbxContent>
                    <w:p w14:paraId="571495CC" w14:textId="77777777" w:rsidR="006A5267" w:rsidRDefault="006A5267" w:rsidP="008B4B2B">
                      <w:r>
                        <w:rPr>
                          <w:rFonts w:hint="eastAsia"/>
                        </w:rPr>
                        <w:t>危機管理監による調整</w:t>
                      </w:r>
                    </w:p>
                  </w:txbxContent>
                </v:textbox>
              </v:shape>
            </w:pict>
          </mc:Fallback>
        </mc:AlternateContent>
      </w:r>
      <w:r w:rsidRPr="001D6D10">
        <w:rPr>
          <w:noProof/>
        </w:rPr>
        <mc:AlternateContent>
          <mc:Choice Requires="wps">
            <w:drawing>
              <wp:anchor distT="4294967295" distB="4294967295" distL="114300" distR="114300" simplePos="0" relativeHeight="253884416" behindDoc="0" locked="0" layoutInCell="1" allowOverlap="1" wp14:anchorId="5659F4A0" wp14:editId="182FCDB5">
                <wp:simplePos x="0" y="0"/>
                <wp:positionH relativeFrom="column">
                  <wp:posOffset>1714500</wp:posOffset>
                </wp:positionH>
                <wp:positionV relativeFrom="paragraph">
                  <wp:posOffset>114299</wp:posOffset>
                </wp:positionV>
                <wp:extent cx="1143000" cy="0"/>
                <wp:effectExtent l="38100" t="76200" r="0" b="95250"/>
                <wp:wrapNone/>
                <wp:docPr id="146" name="Line 39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1143000" cy="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line w14:anchorId="0F87CC23" id="Line 392" o:spid="_x0000_s1026" style="position:absolute;left:0;text-align:left;flip:x;z-index:253884416;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135pt,9pt" to="225pt,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">
                <v:stroke endarrow="block"/>
              </v:line>
            </w:pict>
          </mc:Fallback>
        </mc:AlternateContent>
      </w:r>
    </w:p>
    <w:p w14:paraId="629E33D9" w14:textId="77777777" w:rsidR="008B4B2B" w:rsidRPr="001D6D10" w:rsidRDefault="008B4B2B" w:rsidP="008B4B2B">
      <w:pPr>
        <w:spacing w:line="360" w:lineRule="exact"/>
      </w:pPr>
      <w:r w:rsidRPr="001D6D10">
        <w:rPr>
          <w:noProof/>
        </w:rPr>
        <mc:AlternateContent>
          <mc:Choice Requires="wps">
            <w:drawing>
              <wp:anchor distT="0" distB="0" distL="114300" distR="114300" simplePos="0" relativeHeight="253562880" behindDoc="0" locked="0" layoutInCell="1" allowOverlap="1" wp14:anchorId="3488C3C9" wp14:editId="7CF350B9">
                <wp:simplePos x="0" y="0"/>
                <wp:positionH relativeFrom="column">
                  <wp:posOffset>634192</wp:posOffset>
                </wp:positionH>
                <wp:positionV relativeFrom="paragraph">
                  <wp:posOffset>81040</wp:posOffset>
                </wp:positionV>
                <wp:extent cx="4511401" cy="8238"/>
                <wp:effectExtent l="38100" t="76200" r="0" b="87630"/>
                <wp:wrapNone/>
                <wp:docPr id="77" name="Line 36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flipV="1">
                          <a:off x="0" y="0"/>
                          <a:ext cx="4511401" cy="8238"/>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line w14:anchorId="678EFA11" id="Line 362" o:spid="_x0000_s1026" style="position:absolute;left:0;text-align:left;flip:x y;z-index:2535628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9.95pt,6.4pt" to="405.2pt,7.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">
                <v:stroke endarrow="block"/>
              </v:line>
            </w:pict>
          </mc:Fallback>
        </mc:AlternateContent>
      </w:r>
      <w:r w:rsidRPr="001D6D10">
        <w:rPr>
          <w:noProof/>
        </w:rPr>
        <mc:AlternateContent>
          <mc:Choice Requires="wps">
            <w:drawing>
              <wp:anchor distT="0" distB="0" distL="114300" distR="114300" simplePos="0" relativeHeight="253566976" behindDoc="0" locked="0" layoutInCell="1" allowOverlap="1" wp14:anchorId="0E87A162" wp14:editId="1D6CBD59">
                <wp:simplePos x="0" y="0"/>
                <wp:positionH relativeFrom="column">
                  <wp:posOffset>5152390</wp:posOffset>
                </wp:positionH>
                <wp:positionV relativeFrom="paragraph">
                  <wp:posOffset>85725</wp:posOffset>
                </wp:positionV>
                <wp:extent cx="5080" cy="297180"/>
                <wp:effectExtent l="8890" t="9525" r="5080" b="7620"/>
                <wp:wrapNone/>
                <wp:docPr id="78" name="Line 37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5080" cy="29718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line w14:anchorId="7E73B988" id="Line 373" o:spid="_x0000_s1026" style="position:absolute;left:0;text-align:left;flip:x;z-index:2535669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05.7pt,6.75pt" to="406.1pt,30.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"/>
            </w:pict>
          </mc:Fallback>
        </mc:AlternateContent>
      </w:r>
    </w:p>
    <w:p w14:paraId="6A37F34E" w14:textId="77777777" w:rsidR="008B4B2B" w:rsidRPr="001D6D10" w:rsidRDefault="008B4B2B" w:rsidP="008B4B2B">
      <w:pPr>
        <w:spacing w:line="360" w:lineRule="exact"/>
        <w:rPr>
          <w:szCs w:val="21"/>
        </w:rPr>
      </w:pPr>
      <w:r w:rsidRPr="001D6D10">
        <w:rPr>
          <w:noProof/>
        </w:rPr>
        <mc:AlternateContent>
          <mc:Choice Requires="wps">
            <w:drawing>
              <wp:anchor distT="0" distB="0" distL="114300" distR="114300" simplePos="0" relativeHeight="253926400" behindDoc="0" locked="0" layoutInCell="1" allowOverlap="1" wp14:anchorId="2DDB7344" wp14:editId="6FA8C7C9">
                <wp:simplePos x="0" y="0"/>
                <wp:positionH relativeFrom="column">
                  <wp:posOffset>4557395</wp:posOffset>
                </wp:positionH>
                <wp:positionV relativeFrom="paragraph">
                  <wp:posOffset>169545</wp:posOffset>
                </wp:positionV>
                <wp:extent cx="1109980" cy="228600"/>
                <wp:effectExtent l="13970" t="7620" r="9525" b="11430"/>
                <wp:wrapNone/>
                <wp:docPr id="76" name="Rectangle 36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09980" cy="228600"/>
                        </a:xfrm>
                        <a:prstGeom prst="rect">
                          <a:avLst/>
                        </a:prstGeom>
                        <a:solidFill>
                          <a:srgbClr val="FFFFFF"/>
                        </a:solidFill>
                        <a:ln w="9525">
                          <a:solidFill>
                            <a:srgbClr val="000000"/>
                          </a:solidFill>
                          <a:miter lim="800000"/>
                          <a:headEnd/>
                          <a:tailEnd/>
                        </a:ln>
                      </wps:spPr>
                      <wps:txbx>
                        <w:txbxContent>
                          <w:p w14:paraId="28E90D9B" w14:textId="77777777" w:rsidR="006A5267" w:rsidRPr="00166154" w:rsidRDefault="006A5267" w:rsidP="008B4B2B">
                            <w:r w:rsidRPr="00166154">
                              <w:rPr>
                                <w:rFonts w:hint="eastAsia"/>
                                <w:sz w:val="18"/>
                                <w:szCs w:val="18"/>
                              </w:rPr>
                              <w:t>危機管理室が対応</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rect w14:anchorId="2DDB7344" id="Rectangle 369" o:spid="_x0000_s1945" style="position:absolute;left:0;text-align:left;margin-left:358.85pt;margin-top:13.35pt;width:87.4pt;height:18pt;z-index:2539264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">
                <v:textbox inset="5.85pt,.7pt,5.85pt,.7pt">
                  <w:txbxContent>
                    <w:p w14:paraId="28E90D9B" w14:textId="77777777" w:rsidR="006A5267" w:rsidRPr="00166154" w:rsidRDefault="006A5267" w:rsidP="008B4B2B">
                      <w:r w:rsidRPr="00166154">
                        <w:rPr>
                          <w:rFonts w:hint="eastAsia"/>
                          <w:sz w:val="18"/>
                          <w:szCs w:val="18"/>
                        </w:rPr>
                        <w:t>危機管理室が対応</w:t>
                      </w:r>
                    </w:p>
                  </w:txbxContent>
                </v:textbox>
              </v:rect>
            </w:pict>
          </mc:Fallback>
        </mc:AlternateContent>
      </w:r>
      <w:r w:rsidRPr="001D6D10">
        <w:rPr>
          <w:noProof/>
        </w:rPr>
        <mc:AlternateContent>
          <mc:Choice Requires="wps">
            <w:drawing>
              <wp:anchor distT="0" distB="0" distL="114300" distR="114300" simplePos="0" relativeHeight="253921280" behindDoc="0" locked="0" layoutInCell="1" allowOverlap="1" wp14:anchorId="2FBD9858" wp14:editId="39055CA9">
                <wp:simplePos x="0" y="0"/>
                <wp:positionH relativeFrom="column">
                  <wp:posOffset>88900</wp:posOffset>
                </wp:positionH>
                <wp:positionV relativeFrom="paragraph">
                  <wp:posOffset>32385</wp:posOffset>
                </wp:positionV>
                <wp:extent cx="1171575" cy="228600"/>
                <wp:effectExtent l="12700" t="13335" r="6350" b="5715"/>
                <wp:wrapNone/>
                <wp:docPr id="75" name="Rectangle 37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71575" cy="228600"/>
                        </a:xfrm>
                        <a:prstGeom prst="rect">
                          <a:avLst/>
                        </a:prstGeom>
                        <a:solidFill>
                          <a:srgbClr val="FFFFFF"/>
                        </a:solidFill>
                        <a:ln w="9525">
                          <a:solidFill>
                            <a:srgbClr val="000000"/>
                          </a:solidFill>
                          <a:miter lim="800000"/>
                          <a:headEnd/>
                          <a:tailEnd/>
                        </a:ln>
                      </wps:spPr>
                      <wps:txbx>
                        <w:txbxContent>
                          <w:p w14:paraId="2F3EE492" w14:textId="77777777" w:rsidR="006A5267" w:rsidRPr="00F804A1" w:rsidRDefault="006A5267" w:rsidP="008B4B2B">
                            <w:pPr>
                              <w:rPr>
                                <w:szCs w:val="21"/>
                              </w:rPr>
                            </w:pPr>
                            <w:r w:rsidRPr="00F804A1">
                              <w:rPr>
                                <w:rFonts w:hint="eastAsia"/>
                                <w:szCs w:val="21"/>
                              </w:rPr>
                              <w:t>所管課が対応</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rect w14:anchorId="2FBD9858" id="Rectangle 374" o:spid="_x0000_s1946" style="position:absolute;left:0;text-align:left;margin-left:7pt;margin-top:2.55pt;width:92.25pt;height:18pt;z-index:2539212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">
                <v:textbox inset="5.85pt,.7pt,5.85pt,.7pt">
                  <w:txbxContent>
                    <w:p w14:paraId="2F3EE492" w14:textId="77777777" w:rsidR="006A5267" w:rsidRPr="00F804A1" w:rsidRDefault="006A5267" w:rsidP="008B4B2B">
                      <w:pPr>
                        <w:rPr>
                          <w:szCs w:val="21"/>
                        </w:rPr>
                      </w:pPr>
                      <w:r w:rsidRPr="00F804A1">
                        <w:rPr>
                          <w:rFonts w:hint="eastAsia"/>
                          <w:szCs w:val="21"/>
                        </w:rPr>
                        <w:t>所管課が対応</w:t>
                      </w:r>
                    </w:p>
                  </w:txbxContent>
                </v:textbox>
              </v:rect>
            </w:pict>
          </mc:Fallback>
        </mc:AlternateContent>
      </w:r>
      <w:r w:rsidRPr="001D6D10">
        <w:rPr>
          <w:rFonts w:hint="eastAsia"/>
          <w:sz w:val="16"/>
          <w:szCs w:val="16"/>
        </w:rPr>
        <w:t xml:space="preserve">　　　　　　　　　　　　　　　　</w:t>
      </w:r>
    </w:p>
    <w:p w14:paraId="7F7DF19E" w14:textId="77777777" w:rsidR="008B4B2B" w:rsidRPr="001D6D10" w:rsidRDefault="008B4B2B" w:rsidP="008B4B2B">
      <w:pPr>
        <w:spacing w:line="360" w:lineRule="exact"/>
        <w:rPr>
          <w:szCs w:val="21"/>
        </w:rPr>
      </w:pPr>
      <w:r w:rsidRPr="001D6D10">
        <w:rPr>
          <w:noProof/>
        </w:rPr>
        <mc:AlternateContent>
          <mc:Choice Requires="wps">
            <w:drawing>
              <wp:anchor distT="0" distB="0" distL="114300" distR="114300" simplePos="0" relativeHeight="253927424" behindDoc="0" locked="0" layoutInCell="1" allowOverlap="1" wp14:anchorId="29EF6335" wp14:editId="1DC095F0">
                <wp:simplePos x="0" y="0"/>
                <wp:positionH relativeFrom="column">
                  <wp:posOffset>5152390</wp:posOffset>
                </wp:positionH>
                <wp:positionV relativeFrom="paragraph">
                  <wp:posOffset>169545</wp:posOffset>
                </wp:positionV>
                <wp:extent cx="635" cy="560705"/>
                <wp:effectExtent l="56515" t="7620" r="57150" b="22225"/>
                <wp:wrapNone/>
                <wp:docPr id="74" name="Line 37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635" cy="560705"/>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line w14:anchorId="25C1D715" id="Line 370" o:spid="_x0000_s1026" style="position:absolute;left:0;text-align:left;flip:x;z-index:2539274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05.7pt,13.35pt" to="405.75pt,5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">
                <v:stroke endarrow="block"/>
              </v:line>
            </w:pict>
          </mc:Fallback>
        </mc:AlternateContent>
      </w:r>
      <w:r w:rsidRPr="001D6D10">
        <w:rPr>
          <w:noProof/>
        </w:rPr>
        <mc:AlternateContent>
          <mc:Choice Requires="wps">
            <w:drawing>
              <wp:anchor distT="0" distB="0" distL="114300" distR="114300" simplePos="0" relativeHeight="253891584" behindDoc="0" locked="0" layoutInCell="1" allowOverlap="1" wp14:anchorId="09CC926F" wp14:editId="0044EA2A">
                <wp:simplePos x="0" y="0"/>
                <wp:positionH relativeFrom="column">
                  <wp:posOffset>603250</wp:posOffset>
                </wp:positionH>
                <wp:positionV relativeFrom="paragraph">
                  <wp:posOffset>266700</wp:posOffset>
                </wp:positionV>
                <wp:extent cx="2223770" cy="1905"/>
                <wp:effectExtent l="38100" t="76200" r="0" b="93345"/>
                <wp:wrapNone/>
                <wp:docPr id="145" name="Line 39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flipV="1">
                          <a:off x="0" y="0"/>
                          <a:ext cx="2223770" cy="1905"/>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line w14:anchorId="10A9943A" id="Line 399" o:spid="_x0000_s1026" style="position:absolute;left:0;text-align:left;flip:x y;z-index:2538915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7.5pt,21pt" to="222.6pt,21.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">
                <v:stroke endarrow="block"/>
              </v:line>
            </w:pict>
          </mc:Fallback>
        </mc:AlternateContent>
      </w:r>
      <w:r w:rsidRPr="001D6D10">
        <w:rPr>
          <w:noProof/>
        </w:rPr>
        <mc:AlternateContent>
          <mc:Choice Requires="wps">
            <w:drawing>
              <wp:anchor distT="0" distB="0" distL="114300" distR="114300" simplePos="0" relativeHeight="253890560" behindDoc="0" locked="0" layoutInCell="1" allowOverlap="1" wp14:anchorId="782D3DE2" wp14:editId="6ED7F5CB">
                <wp:simplePos x="0" y="0"/>
                <wp:positionH relativeFrom="column">
                  <wp:posOffset>2833370</wp:posOffset>
                </wp:positionH>
                <wp:positionV relativeFrom="paragraph">
                  <wp:posOffset>169545</wp:posOffset>
                </wp:positionV>
                <wp:extent cx="914400" cy="228600"/>
                <wp:effectExtent l="0" t="0" r="19050" b="19050"/>
                <wp:wrapNone/>
                <wp:docPr id="144" name="Text Box 39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14400" cy="228600"/>
                        </a:xfrm>
                        <a:prstGeom prst="rect">
                          <a:avLst/>
                        </a:prstGeom>
                        <a:solidFill>
                          <a:srgbClr val="FFFFFF"/>
                        </a:solidFill>
                        <a:ln w="9525">
                          <a:solidFill>
                            <a:srgbClr val="000000"/>
                          </a:solidFill>
                          <a:miter lim="800000"/>
                          <a:headEnd/>
                          <a:tailEnd/>
                        </a:ln>
                      </wps:spPr>
                      <wps:txbx>
                        <w:txbxContent>
                          <w:p w14:paraId="3D06CE7C" w14:textId="77777777" w:rsidR="006A5267" w:rsidRDefault="006A5267" w:rsidP="008B4B2B">
                            <w:r>
                              <w:rPr>
                                <w:rFonts w:hint="eastAsia"/>
                              </w:rPr>
                              <w:t>危機管理室</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shape w14:anchorId="782D3DE2" id="Text Box 398" o:spid="_x0000_s1947" type="#_x0000_t202" style="position:absolute;left:0;text-align:left;margin-left:223.1pt;margin-top:13.35pt;width:1in;height:18pt;z-index:2538905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">
                <v:textbox inset="5.85pt,.7pt,5.85pt,.7pt">
                  <w:txbxContent>
                    <w:p w14:paraId="3D06CE7C" w14:textId="77777777" w:rsidR="006A5267" w:rsidRDefault="006A5267" w:rsidP="008B4B2B">
                      <w:r>
                        <w:rPr>
                          <w:rFonts w:hint="eastAsia"/>
                        </w:rPr>
                        <w:t>危機管理室</w:t>
                      </w:r>
                    </w:p>
                  </w:txbxContent>
                </v:textbox>
              </v:shape>
            </w:pict>
          </mc:Fallback>
        </mc:AlternateContent>
      </w:r>
      <w:r w:rsidRPr="001D6D10">
        <w:rPr>
          <w:rFonts w:hint="eastAsia"/>
          <w:sz w:val="16"/>
          <w:szCs w:val="16"/>
        </w:rPr>
        <w:t xml:space="preserve">　　　　　　　　　　　　　　　　</w:t>
      </w:r>
      <w:r w:rsidRPr="001D6D10">
        <w:rPr>
          <w:rFonts w:hint="eastAsia"/>
          <w:szCs w:val="21"/>
        </w:rPr>
        <w:t>助言・支援</w:t>
      </w:r>
      <w:r w:rsidRPr="001D6D10">
        <w:rPr>
          <w:rFonts w:hint="eastAsia"/>
          <w:sz w:val="16"/>
          <w:szCs w:val="16"/>
        </w:rPr>
        <w:t xml:space="preserve">　　</w:t>
      </w:r>
      <w:r w:rsidRPr="001D6D10">
        <w:rPr>
          <w:rFonts w:hint="eastAsia"/>
          <w:szCs w:val="21"/>
        </w:rPr>
        <w:t xml:space="preserve">　　</w:t>
      </w:r>
      <w:r w:rsidRPr="001D6D10">
        <w:rPr>
          <w:rFonts w:hint="eastAsia"/>
          <w:szCs w:val="21"/>
        </w:rPr>
        <w:t xml:space="preserve"> </w:t>
      </w:r>
    </w:p>
    <w:p w14:paraId="1DAB2506" w14:textId="77777777" w:rsidR="008B4B2B" w:rsidRPr="001D6D10" w:rsidRDefault="008B4B2B" w:rsidP="008B4B2B">
      <w:pPr>
        <w:spacing w:line="360" w:lineRule="exact"/>
        <w:rPr>
          <w:sz w:val="16"/>
          <w:szCs w:val="16"/>
        </w:rPr>
      </w:pPr>
      <w:r w:rsidRPr="001D6D10">
        <w:rPr>
          <w:noProof/>
        </w:rPr>
        <mc:AlternateContent>
          <mc:Choice Requires="wps">
            <w:drawing>
              <wp:anchor distT="0" distB="0" distL="114300" distR="114300" simplePos="0" relativeHeight="253874176" behindDoc="0" locked="0" layoutInCell="1" allowOverlap="1" wp14:anchorId="30AD3A9B" wp14:editId="6DFD50D9">
                <wp:simplePos x="0" y="0"/>
                <wp:positionH relativeFrom="column">
                  <wp:posOffset>17145</wp:posOffset>
                </wp:positionH>
                <wp:positionV relativeFrom="paragraph">
                  <wp:posOffset>217170</wp:posOffset>
                </wp:positionV>
                <wp:extent cx="2497455" cy="266700"/>
                <wp:effectExtent l="0" t="0" r="17145" b="19050"/>
                <wp:wrapNone/>
                <wp:docPr id="143" name="Text Box 38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97455" cy="266700"/>
                        </a:xfrm>
                        <a:prstGeom prst="rect">
                          <a:avLst/>
                        </a:prstGeom>
                        <a:solidFill>
                          <a:srgbClr val="FFFFFF"/>
                        </a:solidFill>
                        <a:ln w="6350">
                          <a:solidFill>
                            <a:srgbClr val="000000"/>
                          </a:solidFill>
                          <a:miter lim="800000"/>
                          <a:headEnd/>
                          <a:tailEnd/>
                        </a:ln>
                      </wps:spPr>
                      <wps:txbx>
                        <w:txbxContent>
                          <w:p w14:paraId="42DFC430" w14:textId="77777777" w:rsidR="006A5267" w:rsidRPr="00740568" w:rsidRDefault="006A5267" w:rsidP="008B4B2B">
                            <w:pPr>
                              <w:jc w:val="center"/>
                              <w:rPr>
                                <w:rFonts w:ascii="ＭＳ 明朝" w:hAnsi="ＭＳ 明朝"/>
                              </w:rPr>
                            </w:pPr>
                            <w:r w:rsidRPr="00740568">
                              <w:rPr>
                                <w:rFonts w:ascii="ＭＳ 明朝" w:hAnsi="ＭＳ 明朝" w:hint="eastAsia"/>
                              </w:rPr>
                              <w:t>各部局対策会議（幹事会）の開催</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shape w14:anchorId="30AD3A9B" id="Text Box 382" o:spid="_x0000_s1948" type="#_x0000_t202" style="position:absolute;left:0;text-align:left;margin-left:1.35pt;margin-top:17.1pt;width:196.65pt;height:21pt;z-index:2538741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" strokeweight=".5pt">
                <v:textbox inset="5.85pt,.7pt,5.85pt,.7pt">
                  <w:txbxContent>
                    <w:p w14:paraId="42DFC430" w14:textId="77777777" w:rsidR="006A5267" w:rsidRPr="00740568" w:rsidRDefault="006A5267" w:rsidP="008B4B2B">
                      <w:pPr>
                        <w:jc w:val="center"/>
                        <w:rPr>
                          <w:rFonts w:ascii="ＭＳ 明朝" w:hAnsi="ＭＳ 明朝"/>
                        </w:rPr>
                      </w:pPr>
                      <w:r w:rsidRPr="00740568">
                        <w:rPr>
                          <w:rFonts w:ascii="ＭＳ 明朝" w:hAnsi="ＭＳ 明朝" w:hint="eastAsia"/>
                        </w:rPr>
                        <w:t>各部局対策会議（幹事会）の開催</w:t>
                      </w:r>
                    </w:p>
                  </w:txbxContent>
                </v:textbox>
              </v:shape>
            </w:pict>
          </mc:Fallback>
        </mc:AlternateContent>
      </w:r>
      <w:r w:rsidRPr="001D6D10">
        <w:rPr>
          <w:rFonts w:hint="eastAsia"/>
          <w:sz w:val="16"/>
          <w:szCs w:val="16"/>
        </w:rPr>
        <w:t xml:space="preserve">　　　　　　　　　　　　　　　</w:t>
      </w:r>
      <w:r w:rsidRPr="001D6D10">
        <w:rPr>
          <w:rFonts w:hint="eastAsia"/>
          <w:sz w:val="16"/>
          <w:szCs w:val="16"/>
        </w:rPr>
        <w:t xml:space="preserve"> </w:t>
      </w:r>
    </w:p>
    <w:p w14:paraId="49B81CF0" w14:textId="66537C4F" w:rsidR="008B4B2B" w:rsidRPr="001D6D10" w:rsidRDefault="00F625E8" w:rsidP="008B4B2B">
      <w:pPr>
        <w:spacing w:line="360" w:lineRule="exact"/>
      </w:pPr>
      <w:r w:rsidRPr="001D6D10">
        <w:rPr>
          <w:noProof/>
        </w:rPr>
        <mc:AlternateContent>
          <mc:Choice Requires="wps">
            <w:drawing>
              <wp:anchor distT="0" distB="0" distL="114299" distR="114299" simplePos="0" relativeHeight="253904896" behindDoc="0" locked="0" layoutInCell="1" allowOverlap="1" wp14:anchorId="0651343A" wp14:editId="707BEBC4">
                <wp:simplePos x="0" y="0"/>
                <wp:positionH relativeFrom="column">
                  <wp:posOffset>3430905</wp:posOffset>
                </wp:positionH>
                <wp:positionV relativeFrom="paragraph">
                  <wp:posOffset>88265</wp:posOffset>
                </wp:positionV>
                <wp:extent cx="0" cy="185420"/>
                <wp:effectExtent l="76200" t="0" r="57150" b="62230"/>
                <wp:wrapNone/>
                <wp:docPr id="141" name="Line 41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8542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line w14:anchorId="0FD76088" id="Line 411" o:spid="_x0000_s1026" style="position:absolute;left:0;text-align:left;z-index:253904896;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from="270.15pt,6.95pt" to="270.15pt,21.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">
                <v:stroke endarrow="block"/>
              </v:line>
            </w:pict>
          </mc:Fallback>
        </mc:AlternateContent>
      </w:r>
      <w:r w:rsidR="008B4B2B" w:rsidRPr="001D6D10">
        <w:rPr>
          <w:noProof/>
        </w:rPr>
        <mc:AlternateContent>
          <mc:Choice Requires="wps">
            <w:drawing>
              <wp:anchor distT="4294967295" distB="4294967295" distL="114300" distR="114300" simplePos="0" relativeHeight="253885440" behindDoc="0" locked="0" layoutInCell="1" allowOverlap="1" wp14:anchorId="33E35283" wp14:editId="2BD4E2FA">
                <wp:simplePos x="0" y="0"/>
                <wp:positionH relativeFrom="column">
                  <wp:posOffset>2531745</wp:posOffset>
                </wp:positionH>
                <wp:positionV relativeFrom="paragraph">
                  <wp:posOffset>83184</wp:posOffset>
                </wp:positionV>
                <wp:extent cx="905510" cy="0"/>
                <wp:effectExtent l="0" t="0" r="27940" b="19050"/>
                <wp:wrapNone/>
                <wp:docPr id="142" name="Line 39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90551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line w14:anchorId="1FA4F924" id="Line 393" o:spid="_x0000_s1026" style="position:absolute;left:0;text-align:left;z-index:253885440;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199.35pt,6.55pt" to="270.65pt,6.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"/>
            </w:pict>
          </mc:Fallback>
        </mc:AlternateContent>
      </w:r>
    </w:p>
    <w:p w14:paraId="373B0126" w14:textId="41BB0B86" w:rsidR="008B4B2B" w:rsidRPr="001D6D10" w:rsidRDefault="008B4B2B" w:rsidP="008B4B2B">
      <w:pPr>
        <w:spacing w:line="360" w:lineRule="exact"/>
      </w:pPr>
      <w:r w:rsidRPr="001D6D10">
        <w:rPr>
          <w:noProof/>
        </w:rPr>
        <mc:AlternateContent>
          <mc:Choice Requires="wps">
            <w:drawing>
              <wp:anchor distT="0" distB="0" distL="114300" distR="114300" simplePos="0" relativeHeight="253920256" behindDoc="0" locked="0" layoutInCell="1" allowOverlap="1" wp14:anchorId="52739526" wp14:editId="385CD996">
                <wp:simplePos x="0" y="0"/>
                <wp:positionH relativeFrom="column">
                  <wp:posOffset>4349750</wp:posOffset>
                </wp:positionH>
                <wp:positionV relativeFrom="paragraph">
                  <wp:posOffset>65405</wp:posOffset>
                </wp:positionV>
                <wp:extent cx="1252855" cy="609600"/>
                <wp:effectExtent l="6350" t="8255" r="7620" b="10795"/>
                <wp:wrapNone/>
                <wp:docPr id="73" name="Text Box 36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52855" cy="609600"/>
                        </a:xfrm>
                        <a:prstGeom prst="rect">
                          <a:avLst/>
                        </a:prstGeom>
                        <a:solidFill>
                          <a:srgbClr val="FFFFFF"/>
                        </a:solidFill>
                        <a:ln w="9525">
                          <a:solidFill>
                            <a:srgbClr val="000000"/>
                          </a:solidFill>
                          <a:miter lim="800000"/>
                          <a:headEnd/>
                          <a:tailEnd/>
                        </a:ln>
                      </wps:spPr>
                      <wps:txbx>
                        <w:txbxContent>
                          <w:p w14:paraId="5CAB555C" w14:textId="77777777" w:rsidR="006A5267" w:rsidRDefault="006A5267" w:rsidP="008B4B2B">
                            <w:pPr>
                              <w:spacing w:line="300" w:lineRule="exact"/>
                            </w:pPr>
                            <w:r>
                              <w:rPr>
                                <w:rFonts w:hint="eastAsia"/>
                              </w:rPr>
                              <w:t>危機管理監が</w:t>
                            </w:r>
                          </w:p>
                          <w:p w14:paraId="33F693FF" w14:textId="77777777" w:rsidR="006A5267" w:rsidRDefault="006A5267" w:rsidP="008B4B2B">
                            <w:pPr>
                              <w:spacing w:line="300" w:lineRule="exact"/>
                            </w:pPr>
                            <w:r>
                              <w:rPr>
                                <w:rFonts w:hint="eastAsia"/>
                              </w:rPr>
                              <w:t>自らの判断で招集</w:t>
                            </w:r>
                          </w:p>
                        </w:txbxContent>
                      </wps:txbx>
                      <wps:bodyPr rot="0" vert="horz" wrap="square" lIns="74295" tIns="95400" rIns="74295" bIns="8890" anchor="t" anchorCtr="0" upright="1">
                        <a:noAutofit/>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shape w14:anchorId="52739526" id="Text Box 363" o:spid="_x0000_s1949" type="#_x0000_t202" style="position:absolute;left:0;text-align:left;margin-left:342.5pt;margin-top:5.15pt;width:98.65pt;height:48pt;z-index:2539202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">
                <v:textbox inset="5.85pt,2.65mm,5.85pt,.7pt">
                  <w:txbxContent>
                    <w:p w14:paraId="5CAB555C" w14:textId="77777777" w:rsidR="006A5267" w:rsidRDefault="006A5267" w:rsidP="008B4B2B">
                      <w:pPr>
                        <w:spacing w:line="300" w:lineRule="exact"/>
                      </w:pPr>
                      <w:r>
                        <w:rPr>
                          <w:rFonts w:hint="eastAsia"/>
                        </w:rPr>
                        <w:t>危機管理監が</w:t>
                      </w:r>
                    </w:p>
                    <w:p w14:paraId="33F693FF" w14:textId="77777777" w:rsidR="006A5267" w:rsidRDefault="006A5267" w:rsidP="008B4B2B">
                      <w:pPr>
                        <w:spacing w:line="300" w:lineRule="exact"/>
                      </w:pPr>
                      <w:r>
                        <w:rPr>
                          <w:rFonts w:hint="eastAsia"/>
                        </w:rPr>
                        <w:t>自らの判断で招集</w:t>
                      </w:r>
                    </w:p>
                  </w:txbxContent>
                </v:textbox>
              </v:shape>
            </w:pict>
          </mc:Fallback>
        </mc:AlternateContent>
      </w:r>
      <w:r w:rsidRPr="001D6D10">
        <w:rPr>
          <w:noProof/>
        </w:rPr>
        <mc:AlternateContent>
          <mc:Choice Requires="wps">
            <w:drawing>
              <wp:anchor distT="0" distB="0" distL="114300" distR="114300" simplePos="0" relativeHeight="253919232" behindDoc="0" locked="0" layoutInCell="1" allowOverlap="1" wp14:anchorId="6FF43436" wp14:editId="74D71B88">
                <wp:simplePos x="0" y="0"/>
                <wp:positionH relativeFrom="column">
                  <wp:posOffset>2891155</wp:posOffset>
                </wp:positionH>
                <wp:positionV relativeFrom="paragraph">
                  <wp:posOffset>52705</wp:posOffset>
                </wp:positionV>
                <wp:extent cx="1197610" cy="622300"/>
                <wp:effectExtent l="5080" t="5080" r="6985" b="10795"/>
                <wp:wrapNone/>
                <wp:docPr id="72" name="Text Box 36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97610" cy="622300"/>
                        </a:xfrm>
                        <a:prstGeom prst="rect">
                          <a:avLst/>
                        </a:prstGeom>
                        <a:solidFill>
                          <a:srgbClr val="FFFFFF"/>
                        </a:solidFill>
                        <a:ln w="9525">
                          <a:solidFill>
                            <a:srgbClr val="000000"/>
                          </a:solidFill>
                          <a:miter lim="800000"/>
                          <a:headEnd/>
                          <a:tailEnd/>
                        </a:ln>
                      </wps:spPr>
                      <wps:txbx>
                        <w:txbxContent>
                          <w:p w14:paraId="14C7B986" w14:textId="77777777" w:rsidR="006A5267" w:rsidRDefault="006A5267" w:rsidP="008B4B2B">
                            <w:pPr>
                              <w:spacing w:line="300" w:lineRule="exact"/>
                            </w:pPr>
                            <w:r>
                              <w:rPr>
                                <w:rFonts w:hint="eastAsia"/>
                              </w:rPr>
                              <w:t>危機監理監が</w:t>
                            </w:r>
                          </w:p>
                          <w:p w14:paraId="4D24F37D" w14:textId="77777777" w:rsidR="006A5267" w:rsidRDefault="006A5267" w:rsidP="008B4B2B">
                            <w:pPr>
                              <w:spacing w:line="300" w:lineRule="exact"/>
                            </w:pPr>
                            <w:r>
                              <w:rPr>
                                <w:rFonts w:hint="eastAsia"/>
                              </w:rPr>
                              <w:t>所管部局の求めに応じて召集</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shape w14:anchorId="6FF43436" id="Text Box 368" o:spid="_x0000_s1950" type="#_x0000_t202" style="position:absolute;left:0;text-align:left;margin-left:227.65pt;margin-top:4.15pt;width:94.3pt;height:49pt;z-index:2539192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">
                <v:textbox inset="5.85pt,.7pt,5.85pt,.7pt">
                  <w:txbxContent>
                    <w:p w14:paraId="14C7B986" w14:textId="77777777" w:rsidR="006A5267" w:rsidRDefault="006A5267" w:rsidP="008B4B2B">
                      <w:pPr>
                        <w:spacing w:line="300" w:lineRule="exact"/>
                      </w:pPr>
                      <w:r>
                        <w:rPr>
                          <w:rFonts w:hint="eastAsia"/>
                        </w:rPr>
                        <w:t>危機監理監が</w:t>
                      </w:r>
                    </w:p>
                    <w:p w14:paraId="4D24F37D" w14:textId="77777777" w:rsidR="006A5267" w:rsidRDefault="006A5267" w:rsidP="008B4B2B">
                      <w:pPr>
                        <w:spacing w:line="300" w:lineRule="exact"/>
                      </w:pPr>
                      <w:r>
                        <w:rPr>
                          <w:rFonts w:hint="eastAsia"/>
                        </w:rPr>
                        <w:t>所管部局の求めに応じて召集</w:t>
                      </w:r>
                    </w:p>
                  </w:txbxContent>
                </v:textbox>
              </v:shape>
            </w:pict>
          </mc:Fallback>
        </mc:AlternateContent>
      </w:r>
      <w:r w:rsidRPr="001D6D10">
        <w:rPr>
          <w:noProof/>
        </w:rPr>
        <mc:AlternateContent>
          <mc:Choice Requires="wps">
            <w:drawing>
              <wp:anchor distT="0" distB="0" distL="114299" distR="114299" simplePos="0" relativeHeight="253899776" behindDoc="0" locked="0" layoutInCell="1" allowOverlap="1" wp14:anchorId="0FA88151" wp14:editId="7B481B1A">
                <wp:simplePos x="0" y="0"/>
                <wp:positionH relativeFrom="column">
                  <wp:posOffset>600074</wp:posOffset>
                </wp:positionH>
                <wp:positionV relativeFrom="paragraph">
                  <wp:posOffset>44450</wp:posOffset>
                </wp:positionV>
                <wp:extent cx="0" cy="1327150"/>
                <wp:effectExtent l="76200" t="0" r="57150" b="63500"/>
                <wp:wrapNone/>
                <wp:docPr id="140" name="Line 40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0" cy="132715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line w14:anchorId="3BDF2B91" id="Line 406" o:spid="_x0000_s1026" style="position:absolute;left:0;text-align:left;flip:x;z-index:253899776;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from="47.25pt,3.5pt" to="47.25pt,10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">
                <v:stroke endarrow="block"/>
              </v:line>
            </w:pict>
          </mc:Fallback>
        </mc:AlternateContent>
      </w:r>
    </w:p>
    <w:p w14:paraId="6DA7E019" w14:textId="3589CA68" w:rsidR="008B4B2B" w:rsidRPr="001D6D10" w:rsidRDefault="00F625E8" w:rsidP="008B4B2B">
      <w:pPr>
        <w:spacing w:line="360" w:lineRule="exact"/>
      </w:pPr>
      <w:r w:rsidRPr="001D6D10">
        <w:rPr>
          <w:noProof/>
        </w:rPr>
        <mc:AlternateContent>
          <mc:Choice Requires="wpc">
            <w:drawing>
              <wp:anchor distT="0" distB="0" distL="114300" distR="114300" simplePos="0" relativeHeight="253319168" behindDoc="0" locked="0" layoutInCell="1" allowOverlap="1" wp14:anchorId="78BAF64E" wp14:editId="34C6EC38">
                <wp:simplePos x="0" y="0"/>
                <wp:positionH relativeFrom="margin">
                  <wp:posOffset>7059295</wp:posOffset>
                </wp:positionH>
                <wp:positionV relativeFrom="line">
                  <wp:posOffset>234315</wp:posOffset>
                </wp:positionV>
                <wp:extent cx="1528249" cy="555625"/>
                <wp:effectExtent l="0" t="0" r="15240" b="0"/>
                <wp:wrapNone/>
                <wp:docPr id="3564" name="キャンバス 358"/>
                <wp:cNvGraphicFramePr>
                  <a:graphicFrameLocks xmlns:a="http://schemas.openxmlformats.org/drawingml/2006/main"/>
                </wp:cNvGraphicFramePr>
                <a:graphic xmlns:a="http://schemas.openxmlformats.org/drawingml/2006/main">
                  <a:graphicData uri="http://schemas.microsoft.com/office/word/2010/wordprocessingCanvas">
                    <wpc:wpc>
                      <wpc:bg>
                        <a:noFill/>
                      </wpc:bg>
                      <wpc:whole>
                        <a:ln>
                          <a:noFill/>
                        </a:ln>
                      </wpc:whole>
                      <wps:wsp>
                        <wps:cNvPr id="66" name="Line 364"/>
                        <wps:cNvCnPr>
                          <a:cxnSpLocks noChangeShapeType="1"/>
                        </wps:cNvCnPr>
                        <wps:spPr bwMode="auto">
                          <a:xfrm flipH="1">
                            <a:off x="35999" y="0"/>
                            <a:ext cx="1492250" cy="635"/>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67" name="Line 367"/>
                        <wps:cNvCnPr>
                          <a:cxnSpLocks noChangeShapeType="1"/>
                        </wps:cNvCnPr>
                        <wps:spPr bwMode="auto">
                          <a:xfrm>
                            <a:off x="805609" y="0"/>
                            <a:ext cx="1270" cy="381635"/>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c:wpc>
                  </a:graphicData>
                </a:graphic>
                <wp14:sizeRelH relativeFrom="page">
                  <wp14:pctWidth>0</wp14:pctWidth>
                </wp14:sizeRelH>
                <wp14:sizeRelV relativeFrom="page">
                  <wp14:pctHeight>0</wp14:pctHeight>
                </wp14:sizeRelV>
              </wp:anchor>
            </w:drawing>
          </mc:Choice>
          <mc:Fallback xmlns:w16cei="http://schemas.microsoft.com/office/word/2026/wordml/cei">
            <w:pict>
              <v:group w14:anchorId="60B4B20A" id="キャンバス 358" o:spid="_x0000_s1026" editas="canvas" style="position:absolute;left:0;text-align:left;margin-left:555.85pt;margin-top:18.45pt;width:120.35pt;height:43.75pt;z-index:253319168;mso-position-horizontal-relative:margin;mso-position-vertical-relative:line" coordsize="15278,555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">
                <v:shape id="_x0000_s1027" type="#_x0000_t75" style="position:absolute;width:15278;height:5556;visibility:visible;mso-wrap-style:square">
                  <v:fill o:detectmouseclick="t"/>
                  <v:path o:connecttype="none"/>
                </v:shape>
                <v:line id="Line 364" o:spid="_x0000_s1028" style="position:absolute;flip:x;visibility:visible;mso-wrap-style:square" from="359,0" to="15282,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"/>
                <v:line id="Line 367" o:spid="_x0000_s1029" style="position:absolute;visibility:visible;mso-wrap-style:square" from="8056,0" to="8068,381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">
                  <v:stroke endarrow="block"/>
                </v:line>
                <w10:wrap anchorx="margin" anchory="line"/>
              </v:group>
            </w:pict>
          </mc:Fallback>
        </mc:AlternateContent>
      </w:r>
      <w:r w:rsidR="008B4B2B" w:rsidRPr="001D6D10">
        <w:rPr>
          <w:noProof/>
        </w:rPr>
        <mc:AlternateContent>
          <mc:Choice Requires="wps">
            <w:drawing>
              <wp:anchor distT="0" distB="0" distL="114300" distR="114300" simplePos="0" relativeHeight="253922304" behindDoc="0" locked="0" layoutInCell="1" allowOverlap="1" wp14:anchorId="14C5939E" wp14:editId="71B1B793">
                <wp:simplePos x="0" y="0"/>
                <wp:positionH relativeFrom="column">
                  <wp:posOffset>1294130</wp:posOffset>
                </wp:positionH>
                <wp:positionV relativeFrom="paragraph">
                  <wp:posOffset>134620</wp:posOffset>
                </wp:positionV>
                <wp:extent cx="1254125" cy="457200"/>
                <wp:effectExtent l="8255" t="10795" r="13970" b="8255"/>
                <wp:wrapNone/>
                <wp:docPr id="71" name="Text Box 36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54125" cy="457200"/>
                        </a:xfrm>
                        <a:prstGeom prst="rect">
                          <a:avLst/>
                        </a:prstGeom>
                        <a:solidFill>
                          <a:srgbClr val="FFFFFF"/>
                        </a:solidFill>
                        <a:ln w="9525">
                          <a:solidFill>
                            <a:srgbClr val="000000"/>
                          </a:solidFill>
                          <a:miter lim="800000"/>
                          <a:headEnd/>
                          <a:tailEnd/>
                        </a:ln>
                      </wps:spPr>
                      <wps:txbx>
                        <w:txbxContent>
                          <w:p w14:paraId="4E227D62" w14:textId="77777777" w:rsidR="006A5267" w:rsidRPr="00FA310A" w:rsidRDefault="006A5267" w:rsidP="008B4B2B">
                            <w:pPr>
                              <w:rPr>
                                <w:spacing w:val="-16"/>
                              </w:rPr>
                            </w:pPr>
                            <w:r w:rsidRPr="00FA310A">
                              <w:rPr>
                                <w:rFonts w:hint="eastAsia"/>
                                <w:spacing w:val="-16"/>
                              </w:rPr>
                              <w:t>事象に応じて</w:t>
                            </w:r>
                          </w:p>
                          <w:p w14:paraId="1C31033A" w14:textId="77777777" w:rsidR="006A5267" w:rsidRPr="00FA310A" w:rsidRDefault="006A5267" w:rsidP="008B4B2B">
                            <w:pPr>
                              <w:rPr>
                                <w:spacing w:val="-16"/>
                              </w:rPr>
                            </w:pPr>
                            <w:r w:rsidRPr="00FA310A">
                              <w:rPr>
                                <w:rFonts w:hint="eastAsia"/>
                                <w:spacing w:val="-16"/>
                              </w:rPr>
                              <w:t>現地対策本部の設置</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shape w14:anchorId="14C5939E" id="Text Box 365" o:spid="_x0000_s1951" type="#_x0000_t202" style="position:absolute;left:0;text-align:left;margin-left:101.9pt;margin-top:10.6pt;width:98.75pt;height:36pt;z-index:2539223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">
                <v:textbox inset="5.85pt,.7pt,5.85pt,.7pt">
                  <w:txbxContent>
                    <w:p w14:paraId="4E227D62" w14:textId="77777777" w:rsidR="006A5267" w:rsidRPr="00FA310A" w:rsidRDefault="006A5267" w:rsidP="008B4B2B">
                      <w:pPr>
                        <w:rPr>
                          <w:spacing w:val="-16"/>
                        </w:rPr>
                      </w:pPr>
                      <w:r w:rsidRPr="00FA310A">
                        <w:rPr>
                          <w:rFonts w:hint="eastAsia"/>
                          <w:spacing w:val="-16"/>
                        </w:rPr>
                        <w:t>事象に応じて</w:t>
                      </w:r>
                    </w:p>
                    <w:p w14:paraId="1C31033A" w14:textId="77777777" w:rsidR="006A5267" w:rsidRPr="00FA310A" w:rsidRDefault="006A5267" w:rsidP="008B4B2B">
                      <w:pPr>
                        <w:rPr>
                          <w:spacing w:val="-16"/>
                        </w:rPr>
                      </w:pPr>
                      <w:r w:rsidRPr="00FA310A">
                        <w:rPr>
                          <w:rFonts w:hint="eastAsia"/>
                          <w:spacing w:val="-16"/>
                        </w:rPr>
                        <w:t>現地対策本部の設置</w:t>
                      </w:r>
                    </w:p>
                  </w:txbxContent>
                </v:textbox>
              </v:shape>
            </w:pict>
          </mc:Fallback>
        </mc:AlternateContent>
      </w:r>
    </w:p>
    <w:p w14:paraId="5C4D225B" w14:textId="474FF19D" w:rsidR="008B4B2B" w:rsidRPr="001D6D10" w:rsidRDefault="005D66D6" w:rsidP="008B4B2B">
      <w:pPr>
        <w:spacing w:line="360" w:lineRule="exact"/>
      </w:pPr>
      <w:r w:rsidRPr="001D6D10">
        <w:rPr>
          <w:noProof/>
        </w:rPr>
        <mc:AlternateContent>
          <mc:Choice Requires="wps">
            <w:drawing>
              <wp:anchor distT="0" distB="0" distL="114300" distR="114300" simplePos="0" relativeHeight="253923328" behindDoc="0" locked="0" layoutInCell="1" allowOverlap="1" wp14:anchorId="505111CA" wp14:editId="3D766C73">
                <wp:simplePos x="0" y="0"/>
                <wp:positionH relativeFrom="column">
                  <wp:posOffset>603885</wp:posOffset>
                </wp:positionH>
                <wp:positionV relativeFrom="paragraph">
                  <wp:posOffset>127635</wp:posOffset>
                </wp:positionV>
                <wp:extent cx="684000" cy="0"/>
                <wp:effectExtent l="0" t="0" r="0" b="0"/>
                <wp:wrapNone/>
                <wp:docPr id="68" name="Line 36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flipV="1">
                          <a:off x="0" y="0"/>
                          <a:ext cx="6840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line w14:anchorId="6C49D181" id="Line 366" o:spid="_x0000_s1026" style="position:absolute;left:0;text-align:left;flip:x y;z-index:2539233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7.55pt,10.05pt" to="101.4pt,10.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"/>
            </w:pict>
          </mc:Fallback>
        </mc:AlternateContent>
      </w:r>
      <w:r w:rsidR="008B4B2B" w:rsidRPr="001D6D10">
        <w:rPr>
          <w:noProof/>
        </w:rPr>
        <mc:AlternateContent>
          <mc:Choice Requires="wps">
            <w:drawing>
              <wp:anchor distT="0" distB="0" distL="114300" distR="114300" simplePos="0" relativeHeight="253925376" behindDoc="0" locked="0" layoutInCell="1" allowOverlap="1" wp14:anchorId="3A466BC7" wp14:editId="259778DA">
                <wp:simplePos x="0" y="0"/>
                <wp:positionH relativeFrom="column">
                  <wp:posOffset>4929505</wp:posOffset>
                </wp:positionH>
                <wp:positionV relativeFrom="paragraph">
                  <wp:posOffset>217805</wp:posOffset>
                </wp:positionV>
                <wp:extent cx="0" cy="251460"/>
                <wp:effectExtent l="0" t="0" r="38100" b="34290"/>
                <wp:wrapNone/>
                <wp:docPr id="70" name="Line 37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0" cy="25146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line w14:anchorId="61A39AAA" id="Line 372" o:spid="_x0000_s1026" style="position:absolute;left:0;text-align:left;flip:x;z-index:2539253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88.15pt,17.15pt" to="388.15pt,36.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"/>
            </w:pict>
          </mc:Fallback>
        </mc:AlternateContent>
      </w:r>
      <w:r w:rsidR="008B4B2B" w:rsidRPr="001D6D10">
        <w:rPr>
          <w:noProof/>
        </w:rPr>
        <mc:AlternateContent>
          <mc:Choice Requires="wps">
            <w:drawing>
              <wp:anchor distT="0" distB="0" distL="114300" distR="114300" simplePos="0" relativeHeight="253924352" behindDoc="0" locked="0" layoutInCell="1" allowOverlap="1" wp14:anchorId="5FA60894" wp14:editId="60F4FD3C">
                <wp:simplePos x="0" y="0"/>
                <wp:positionH relativeFrom="column">
                  <wp:posOffset>3437255</wp:posOffset>
                </wp:positionH>
                <wp:positionV relativeFrom="paragraph">
                  <wp:posOffset>205740</wp:posOffset>
                </wp:positionV>
                <wp:extent cx="0" cy="251460"/>
                <wp:effectExtent l="0" t="0" r="38100" b="34290"/>
                <wp:wrapNone/>
                <wp:docPr id="69" name="Line 37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0" cy="25146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line w14:anchorId="15F9C023" id="Line 371" o:spid="_x0000_s1026" style="position:absolute;left:0;text-align:left;flip:x;z-index:2539243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70.65pt,16.2pt" to="270.65pt,3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"/>
            </w:pict>
          </mc:Fallback>
        </mc:AlternateContent>
      </w:r>
    </w:p>
    <w:p w14:paraId="162BDFE4" w14:textId="2657C770" w:rsidR="008B4B2B" w:rsidRPr="001D6D10" w:rsidRDefault="008B4B2B" w:rsidP="008B4B2B">
      <w:pPr>
        <w:spacing w:line="360" w:lineRule="exact"/>
      </w:pPr>
    </w:p>
    <w:p w14:paraId="2C38F7B5" w14:textId="25C9ACF8" w:rsidR="008B4B2B" w:rsidRPr="001D6D10" w:rsidRDefault="005D66D6" w:rsidP="008B4B2B">
      <w:pPr>
        <w:spacing w:line="360" w:lineRule="exact"/>
      </w:pPr>
      <w:r>
        <w:rPr>
          <w:noProof/>
        </w:rPr>
        <mc:AlternateContent>
          <mc:Choice Requires="wps">
            <w:drawing>
              <wp:anchor distT="0" distB="0" distL="114300" distR="114300" simplePos="0" relativeHeight="254283776" behindDoc="0" locked="0" layoutInCell="1" allowOverlap="1" wp14:anchorId="18425B52" wp14:editId="4AEF49DF">
                <wp:simplePos x="0" y="0"/>
                <wp:positionH relativeFrom="column">
                  <wp:posOffset>4217035</wp:posOffset>
                </wp:positionH>
                <wp:positionV relativeFrom="paragraph">
                  <wp:posOffset>13335</wp:posOffset>
                </wp:positionV>
                <wp:extent cx="0" cy="373380"/>
                <wp:effectExtent l="76200" t="0" r="95250" b="64770"/>
                <wp:wrapNone/>
                <wp:docPr id="3860" name="直線矢印コネクタ 3860"/>
                <wp:cNvGraphicFramePr/>
                <a:graphic xmlns:a="http://schemas.openxmlformats.org/drawingml/2006/main">
                  <a:graphicData uri="http://schemas.microsoft.com/office/word/2010/wordprocessingShape">
                    <wps:wsp>
                      <wps:cNvCnPr/>
                      <wps:spPr>
                        <a:xfrm>
                          <a:off x="0" y="0"/>
                          <a:ext cx="0" cy="373380"/>
                        </a:xfrm>
                        <a:prstGeom prst="straightConnector1">
                          <a:avLst/>
                        </a:prstGeom>
                        <a:ln>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w16cei="http://schemas.microsoft.com/office/word/2026/wordml/cei">
            <w:pict>
              <v:shapetype w14:anchorId="2783F739" id="_x0000_t32" coordsize="21600,21600" o:spt="32" o:oned="t" path="m,l21600,21600e" filled="f">
                <v:path arrowok="t" fillok="f" o:connecttype="none"/>
                <o:lock v:ext="edit" shapetype="t"/>
              </v:shapetype>
              <v:shape id="直線矢印コネクタ 3860" o:spid="_x0000_s1026" type="#_x0000_t32" style="position:absolute;left:0;text-align:left;margin-left:332.05pt;margin-top:1.05pt;width:0;height:29.4pt;z-index:25428377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" strokecolor="black [3213]">
                <v:stroke endarrow="block"/>
              </v:shape>
            </w:pict>
          </mc:Fallback>
        </mc:AlternateContent>
      </w:r>
      <w:r>
        <w:rPr>
          <w:noProof/>
        </w:rPr>
        <mc:AlternateContent>
          <mc:Choice Requires="wps">
            <w:drawing>
              <wp:anchor distT="0" distB="0" distL="114300" distR="114300" simplePos="0" relativeHeight="254282752" behindDoc="0" locked="0" layoutInCell="1" allowOverlap="1" wp14:anchorId="4883693C" wp14:editId="74CDCF01">
                <wp:simplePos x="0" y="0"/>
                <wp:positionH relativeFrom="column">
                  <wp:posOffset>3441065</wp:posOffset>
                </wp:positionH>
                <wp:positionV relativeFrom="paragraph">
                  <wp:posOffset>5715</wp:posOffset>
                </wp:positionV>
                <wp:extent cx="1486800" cy="0"/>
                <wp:effectExtent l="0" t="0" r="0" b="0"/>
                <wp:wrapNone/>
                <wp:docPr id="3859" name="直線コネクタ 3859"/>
                <wp:cNvGraphicFramePr/>
                <a:graphic xmlns:a="http://schemas.openxmlformats.org/drawingml/2006/main">
                  <a:graphicData uri="http://schemas.microsoft.com/office/word/2010/wordprocessingShape">
                    <wps:wsp>
                      <wps:cNvCnPr/>
                      <wps:spPr>
                        <a:xfrm>
                          <a:off x="0" y="0"/>
                          <a:ext cx="1486800"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line w14:anchorId="06B2C360" id="直線コネクタ 3859" o:spid="_x0000_s1026" style="position:absolute;left:0;text-align:left;z-index:254282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70.95pt,.45pt" to="388pt,.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" strokecolor="black [3213]"/>
            </w:pict>
          </mc:Fallback>
        </mc:AlternateContent>
      </w:r>
      <w:r w:rsidR="00F625E8" w:rsidRPr="001D6D10">
        <w:rPr>
          <w:noProof/>
        </w:rPr>
        <mc:AlternateContent>
          <mc:Choice Requires="wps">
            <w:drawing>
              <wp:anchor distT="4294967295" distB="4294967295" distL="114300" distR="114300" simplePos="0" relativeHeight="253895680" behindDoc="0" locked="0" layoutInCell="1" allowOverlap="1" wp14:anchorId="2E001DFF" wp14:editId="79559385">
                <wp:simplePos x="0" y="0"/>
                <wp:positionH relativeFrom="column">
                  <wp:posOffset>8350250</wp:posOffset>
                </wp:positionH>
                <wp:positionV relativeFrom="paragraph">
                  <wp:posOffset>258445</wp:posOffset>
                </wp:positionV>
                <wp:extent cx="227965" cy="0"/>
                <wp:effectExtent l="38100" t="76200" r="0" b="95250"/>
                <wp:wrapNone/>
                <wp:docPr id="53" name="Line 40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227965" cy="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line w14:anchorId="592CAACF" id="Line 403" o:spid="_x0000_s1026" style="position:absolute;left:0;text-align:left;flip:x;z-index:253895680;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657.5pt,20.35pt" to="675.45pt,20.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">
                <v:stroke endarrow="block"/>
              </v:line>
            </w:pict>
          </mc:Fallback>
        </mc:AlternateContent>
      </w:r>
      <w:r w:rsidR="008B4B2B" w:rsidRPr="001D6D10">
        <w:rPr>
          <w:noProof/>
        </w:rPr>
        <mc:AlternateContent>
          <mc:Choice Requires="wps">
            <w:drawing>
              <wp:inline distT="0" distB="0" distL="0" distR="0" wp14:anchorId="7B2F4408" wp14:editId="78C7F284">
                <wp:extent cx="5372100" cy="3073400"/>
                <wp:effectExtent l="0" t="0" r="0" b="0"/>
                <wp:docPr id="4" name="AutoShape 3"/>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5372100" cy="30734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xmlns:w16cei="http://schemas.microsoft.com/office/word/2026/wordml/cei">
            <w:pict>
              <v:rect w14:anchorId="66B483C6" id="AutoShape 3" o:spid="_x0000_s1026" style="width:423pt;height:242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" filled="f" stroked="f">
                <o:lock v:ext="edit" aspectratio="t"/>
                <w10:anchorlock/>
              </v:rect>
            </w:pict>
          </mc:Fallback>
        </mc:AlternateContent>
      </w:r>
    </w:p>
    <w:p w14:paraId="2083B857" w14:textId="4A678665" w:rsidR="008B4B2B" w:rsidRPr="001D6D10" w:rsidRDefault="008B4B2B" w:rsidP="008B4B2B">
      <w:pPr>
        <w:spacing w:line="360" w:lineRule="exact"/>
      </w:pPr>
      <w:r w:rsidRPr="001D6D10">
        <w:rPr>
          <w:noProof/>
        </w:rPr>
        <mc:AlternateContent>
          <mc:Choice Requires="wps">
            <w:drawing>
              <wp:anchor distT="0" distB="0" distL="114300" distR="114300" simplePos="0" relativeHeight="253906944" behindDoc="0" locked="0" layoutInCell="1" allowOverlap="1" wp14:anchorId="6058FA2B" wp14:editId="17FF9075">
                <wp:simplePos x="0" y="0"/>
                <wp:positionH relativeFrom="column">
                  <wp:posOffset>3238500</wp:posOffset>
                </wp:positionH>
                <wp:positionV relativeFrom="paragraph">
                  <wp:posOffset>168910</wp:posOffset>
                </wp:positionV>
                <wp:extent cx="2133600" cy="342900"/>
                <wp:effectExtent l="0" t="0" r="19050" b="19050"/>
                <wp:wrapNone/>
                <wp:docPr id="139" name="Text Box 41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3600" cy="342900"/>
                        </a:xfrm>
                        <a:prstGeom prst="rect">
                          <a:avLst/>
                        </a:prstGeom>
                        <a:solidFill>
                          <a:srgbClr val="FFFFFF"/>
                        </a:solidFill>
                        <a:ln w="6350">
                          <a:solidFill>
                            <a:srgbClr val="000000"/>
                          </a:solidFill>
                          <a:miter lim="800000"/>
                          <a:headEnd/>
                          <a:tailEnd/>
                        </a:ln>
                      </wps:spPr>
                      <wps:txbx>
                        <w:txbxContent>
                          <w:p w14:paraId="302BFC1B" w14:textId="5AB245D1" w:rsidR="006A5267" w:rsidRPr="00750E90" w:rsidRDefault="006A5267" w:rsidP="008B4B2B">
                            <w:pPr>
                              <w:spacing w:line="400" w:lineRule="exact"/>
                              <w:rPr>
                                <w:rFonts w:ascii="ＭＳ 明朝" w:hAnsi="ＭＳ 明朝"/>
                              </w:rPr>
                            </w:pPr>
                            <w:r w:rsidRPr="00750E90">
                              <w:rPr>
                                <w:rFonts w:ascii="ＭＳ 明朝" w:hAnsi="ＭＳ 明朝" w:hint="eastAsia"/>
                              </w:rPr>
                              <w:t>防災・危機管理指令部</w:t>
                            </w:r>
                            <w:r w:rsidR="004253DE">
                              <w:rPr>
                                <w:rFonts w:ascii="ＭＳ 明朝" w:hAnsi="ＭＳ 明朝" w:hint="eastAsia"/>
                              </w:rPr>
                              <w:t>の設置</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shape w14:anchorId="6058FA2B" id="Text Box 413" o:spid="_x0000_s1952" type="#_x0000_t202" style="position:absolute;left:0;text-align:left;margin-left:255pt;margin-top:13.3pt;width:168pt;height:27pt;z-index:2539069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" strokeweight=".5pt">
                <v:textbox inset="5.85pt,.7pt,5.85pt,.7pt">
                  <w:txbxContent>
                    <w:p w14:paraId="302BFC1B" w14:textId="5AB245D1" w:rsidR="006A5267" w:rsidRPr="00750E90" w:rsidRDefault="006A5267" w:rsidP="008B4B2B">
                      <w:pPr>
                        <w:spacing w:line="400" w:lineRule="exact"/>
                        <w:rPr>
                          <w:rFonts w:ascii="ＭＳ 明朝" w:hAnsi="ＭＳ 明朝"/>
                        </w:rPr>
                      </w:pPr>
                      <w:r w:rsidRPr="00750E90">
                        <w:rPr>
                          <w:rFonts w:ascii="ＭＳ 明朝" w:hAnsi="ＭＳ 明朝" w:hint="eastAsia"/>
                        </w:rPr>
                        <w:t>防災・危機管理指令部</w:t>
                      </w:r>
                      <w:r w:rsidR="004253DE">
                        <w:rPr>
                          <w:rFonts w:ascii="ＭＳ 明朝" w:hAnsi="ＭＳ 明朝" w:hint="eastAsia"/>
                        </w:rPr>
                        <w:t>の設置</w:t>
                      </w:r>
                    </w:p>
                  </w:txbxContent>
                </v:textbox>
              </v:shape>
            </w:pict>
          </mc:Fallback>
        </mc:AlternateContent>
      </w:r>
      <w:r w:rsidRPr="001D6D10">
        <w:rPr>
          <w:noProof/>
        </w:rPr>
        <mc:AlternateContent>
          <mc:Choice Requires="wps">
            <w:drawing>
              <wp:inline distT="0" distB="0" distL="0" distR="0" wp14:anchorId="351DEC45" wp14:editId="1E4ECD6A">
                <wp:extent cx="5600700" cy="3073400"/>
                <wp:effectExtent l="0" t="0" r="0" b="0"/>
                <wp:docPr id="8" name="AutoShape 4"/>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5600700" cy="30734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xmlns:w16cei="http://schemas.microsoft.com/office/word/2026/wordml/cei">
            <w:pict>
              <v:rect w14:anchorId="20242949" id="AutoShape 4" o:spid="_x0000_s1026" style="width:441pt;height:242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" filled="f" stroked="f">
                <o:lock v:ext="edit" aspectratio="t"/>
                <w10:anchorlock/>
              </v:rect>
            </w:pict>
          </mc:Fallback>
        </mc:AlternateContent>
      </w:r>
    </w:p>
    <w:p w14:paraId="7843B66C" w14:textId="12E08445" w:rsidR="008B4B2B" w:rsidRPr="001D6D10" w:rsidRDefault="008B4B2B" w:rsidP="008B4B2B">
      <w:pPr>
        <w:spacing w:line="360" w:lineRule="exact"/>
      </w:pPr>
      <w:r w:rsidRPr="001D6D10">
        <w:rPr>
          <w:noProof/>
        </w:rPr>
        <mc:AlternateContent>
          <mc:Choice Requires="wps">
            <w:drawing>
              <wp:anchor distT="0" distB="0" distL="114300" distR="114300" simplePos="0" relativeHeight="253905920" behindDoc="0" locked="0" layoutInCell="1" allowOverlap="1" wp14:anchorId="6CE83A15" wp14:editId="717800F8">
                <wp:simplePos x="0" y="0"/>
                <wp:positionH relativeFrom="column">
                  <wp:posOffset>0</wp:posOffset>
                </wp:positionH>
                <wp:positionV relativeFrom="paragraph">
                  <wp:posOffset>0</wp:posOffset>
                </wp:positionV>
                <wp:extent cx="2514600" cy="343535"/>
                <wp:effectExtent l="0" t="0" r="19050" b="18415"/>
                <wp:wrapNone/>
                <wp:docPr id="64" name="Text Box 41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14600" cy="343535"/>
                        </a:xfrm>
                        <a:prstGeom prst="rect">
                          <a:avLst/>
                        </a:prstGeom>
                        <a:solidFill>
                          <a:srgbClr val="FFFFFF"/>
                        </a:solidFill>
                        <a:ln w="6350">
                          <a:solidFill>
                            <a:srgbClr val="000000"/>
                          </a:solidFill>
                          <a:miter lim="800000"/>
                          <a:headEnd/>
                          <a:tailEnd/>
                        </a:ln>
                      </wps:spPr>
                      <wps:txbx>
                        <w:txbxContent>
                          <w:p w14:paraId="4132269B" w14:textId="77777777" w:rsidR="006A5267" w:rsidRPr="00740568" w:rsidRDefault="006A5267" w:rsidP="008B4B2B">
                            <w:pPr>
                              <w:spacing w:line="400" w:lineRule="exact"/>
                              <w:jc w:val="center"/>
                              <w:rPr>
                                <w:rFonts w:ascii="ＭＳ 明朝" w:hAnsi="ＭＳ 明朝"/>
                              </w:rPr>
                            </w:pPr>
                            <w:r w:rsidRPr="00740568">
                              <w:rPr>
                                <w:rFonts w:ascii="ＭＳ 明朝" w:hAnsi="ＭＳ 明朝" w:hint="eastAsia"/>
                              </w:rPr>
                              <w:t>各部局対策本部の設置</w:t>
                            </w:r>
                          </w:p>
                          <w:p w14:paraId="3BFFEEA9" w14:textId="77777777" w:rsidR="006A5267" w:rsidRPr="00564882" w:rsidRDefault="006A5267" w:rsidP="008B4B2B">
                            <w:pPr>
                              <w:jc w:val="center"/>
                              <w:rPr>
                                <w:rFonts w:ascii="ＭＳ ゴシック" w:eastAsia="ＭＳ ゴシック" w:hAnsi="ＭＳ ゴシック"/>
                                <w:b/>
                              </w:rPr>
                            </w:pP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shape w14:anchorId="6CE83A15" id="Text Box 412" o:spid="_x0000_s1953" type="#_x0000_t202" style="position:absolute;left:0;text-align:left;margin-left:0;margin-top:0;width:198pt;height:27.05pt;z-index:2539059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" strokeweight=".5pt">
                <v:textbox inset="5.85pt,.7pt,5.85pt,.7pt">
                  <w:txbxContent>
                    <w:p w14:paraId="4132269B" w14:textId="77777777" w:rsidR="006A5267" w:rsidRPr="00740568" w:rsidRDefault="006A5267" w:rsidP="008B4B2B">
                      <w:pPr>
                        <w:spacing w:line="400" w:lineRule="exact"/>
                        <w:jc w:val="center"/>
                        <w:rPr>
                          <w:rFonts w:ascii="ＭＳ 明朝" w:hAnsi="ＭＳ 明朝"/>
                        </w:rPr>
                      </w:pPr>
                      <w:r w:rsidRPr="00740568">
                        <w:rPr>
                          <w:rFonts w:ascii="ＭＳ 明朝" w:hAnsi="ＭＳ 明朝" w:hint="eastAsia"/>
                        </w:rPr>
                        <w:t>各部局対策本部の設置</w:t>
                      </w:r>
                    </w:p>
                    <w:p w14:paraId="3BFFEEA9" w14:textId="77777777" w:rsidR="006A5267" w:rsidRPr="00564882" w:rsidRDefault="006A5267" w:rsidP="008B4B2B">
                      <w:pPr>
                        <w:jc w:val="center"/>
                        <w:rPr>
                          <w:rFonts w:ascii="ＭＳ ゴシック" w:eastAsia="ＭＳ ゴシック" w:hAnsi="ＭＳ ゴシック"/>
                          <w:b/>
                        </w:rPr>
                      </w:pPr>
                    </w:p>
                  </w:txbxContent>
                </v:textbox>
              </v:shape>
            </w:pict>
          </mc:Fallback>
        </mc:AlternateContent>
      </w:r>
    </w:p>
    <w:p w14:paraId="58BA3EC0" w14:textId="5AAF07FC" w:rsidR="008B4B2B" w:rsidRPr="001D6D10" w:rsidRDefault="005D66D6" w:rsidP="008B4B2B">
      <w:pPr>
        <w:spacing w:line="360" w:lineRule="exact"/>
      </w:pPr>
      <w:r>
        <w:rPr>
          <w:noProof/>
        </w:rPr>
        <mc:AlternateContent>
          <mc:Choice Requires="wps">
            <w:drawing>
              <wp:anchor distT="0" distB="0" distL="114300" distR="114300" simplePos="0" relativeHeight="254284800" behindDoc="0" locked="0" layoutInCell="1" allowOverlap="1" wp14:anchorId="7927F1AB" wp14:editId="6E7AD15D">
                <wp:simplePos x="0" y="0"/>
                <wp:positionH relativeFrom="column">
                  <wp:posOffset>5155565</wp:posOffset>
                </wp:positionH>
                <wp:positionV relativeFrom="paragraph">
                  <wp:posOffset>51435</wp:posOffset>
                </wp:positionV>
                <wp:extent cx="0" cy="1044000"/>
                <wp:effectExtent l="76200" t="0" r="57150" b="60960"/>
                <wp:wrapNone/>
                <wp:docPr id="3861" name="直線矢印コネクタ 3861"/>
                <wp:cNvGraphicFramePr/>
                <a:graphic xmlns:a="http://schemas.openxmlformats.org/drawingml/2006/main">
                  <a:graphicData uri="http://schemas.microsoft.com/office/word/2010/wordprocessingShape">
                    <wps:wsp>
                      <wps:cNvCnPr/>
                      <wps:spPr>
                        <a:xfrm>
                          <a:off x="0" y="0"/>
                          <a:ext cx="0" cy="1044000"/>
                        </a:xfrm>
                        <a:prstGeom prst="straightConnector1">
                          <a:avLst/>
                        </a:prstGeom>
                        <a:ln>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shape w14:anchorId="0C143FC0" id="直線矢印コネクタ 3861" o:spid="_x0000_s1026" type="#_x0000_t32" style="position:absolute;left:0;text-align:left;margin-left:405.95pt;margin-top:4.05pt;width:0;height:82.2pt;z-index:2542848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" strokecolor="black [3213]">
                <v:stroke endarrow="block"/>
              </v:shape>
            </w:pict>
          </mc:Fallback>
        </mc:AlternateContent>
      </w:r>
      <w:r w:rsidR="008B4B2B" w:rsidRPr="001D6D10">
        <w:rPr>
          <w:noProof/>
        </w:rPr>
        <mc:AlternateContent>
          <mc:Choice Requires="wps">
            <w:drawing>
              <wp:anchor distT="0" distB="0" distL="114299" distR="114299" simplePos="0" relativeHeight="253888512" behindDoc="0" locked="0" layoutInCell="1" allowOverlap="1" wp14:anchorId="4DF9EA10" wp14:editId="535BBEEE">
                <wp:simplePos x="0" y="0"/>
                <wp:positionH relativeFrom="column">
                  <wp:posOffset>598169</wp:posOffset>
                </wp:positionH>
                <wp:positionV relativeFrom="paragraph">
                  <wp:posOffset>114935</wp:posOffset>
                </wp:positionV>
                <wp:extent cx="0" cy="558800"/>
                <wp:effectExtent l="76200" t="0" r="57150" b="50800"/>
                <wp:wrapNone/>
                <wp:docPr id="62" name="Line 39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55880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line w14:anchorId="371BD112" id="Line 396" o:spid="_x0000_s1026" style="position:absolute;left:0;text-align:left;z-index:253888512;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from="47.1pt,9.05pt" to="47.1pt,53.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">
                <v:stroke endarrow="block"/>
              </v:line>
            </w:pict>
          </mc:Fallback>
        </mc:AlternateContent>
      </w:r>
    </w:p>
    <w:p w14:paraId="7C062CC7" w14:textId="195CCF8F" w:rsidR="008B4B2B" w:rsidRPr="001D6D10" w:rsidRDefault="008B4B2B" w:rsidP="008B4B2B">
      <w:pPr>
        <w:spacing w:line="360" w:lineRule="exact"/>
      </w:pPr>
      <w:r w:rsidRPr="001D6D10">
        <w:rPr>
          <w:noProof/>
        </w:rPr>
        <mc:AlternateContent>
          <mc:Choice Requires="wps">
            <w:drawing>
              <wp:anchor distT="0" distB="0" distL="114300" distR="114300" simplePos="0" relativeHeight="253910016" behindDoc="0" locked="0" layoutInCell="1" allowOverlap="1" wp14:anchorId="03945A63" wp14:editId="6F808815">
                <wp:simplePos x="0" y="0"/>
                <wp:positionH relativeFrom="column">
                  <wp:posOffset>2891155</wp:posOffset>
                </wp:positionH>
                <wp:positionV relativeFrom="paragraph">
                  <wp:posOffset>114300</wp:posOffset>
                </wp:positionV>
                <wp:extent cx="914400" cy="228600"/>
                <wp:effectExtent l="0" t="0" r="19050" b="19050"/>
                <wp:wrapNone/>
                <wp:docPr id="61" name="Text Box 41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14400" cy="228600"/>
                        </a:xfrm>
                        <a:prstGeom prst="rect">
                          <a:avLst/>
                        </a:prstGeom>
                        <a:solidFill>
                          <a:srgbClr val="FFFFFF"/>
                        </a:solidFill>
                        <a:ln w="9525">
                          <a:solidFill>
                            <a:srgbClr val="000000"/>
                          </a:solidFill>
                          <a:miter lim="800000"/>
                          <a:headEnd/>
                          <a:tailEnd/>
                        </a:ln>
                      </wps:spPr>
                      <wps:txbx>
                        <w:txbxContent>
                          <w:p w14:paraId="43FC3E73" w14:textId="77777777" w:rsidR="006A5267" w:rsidRDefault="006A5267" w:rsidP="008B4B2B">
                            <w:r>
                              <w:rPr>
                                <w:rFonts w:hint="eastAsia"/>
                              </w:rPr>
                              <w:t>危機管理室</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shape w14:anchorId="03945A63" id="Text Box 416" o:spid="_x0000_s1954" type="#_x0000_t202" style="position:absolute;left:0;text-align:left;margin-left:227.65pt;margin-top:9pt;width:1in;height:18pt;z-index:2539100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">
                <v:textbox inset="5.85pt,.7pt,5.85pt,.7pt">
                  <w:txbxContent>
                    <w:p w14:paraId="43FC3E73" w14:textId="77777777" w:rsidR="006A5267" w:rsidRDefault="006A5267" w:rsidP="008B4B2B">
                      <w:r>
                        <w:rPr>
                          <w:rFonts w:hint="eastAsia"/>
                        </w:rPr>
                        <w:t>危機管理室</w:t>
                      </w:r>
                    </w:p>
                  </w:txbxContent>
                </v:textbox>
              </v:shape>
            </w:pict>
          </mc:Fallback>
        </mc:AlternateContent>
      </w:r>
      <w:r w:rsidRPr="001D6D10">
        <w:rPr>
          <w:rFonts w:hint="eastAsia"/>
        </w:rPr>
        <w:t xml:space="preserve">　　　　　　　　　　助言・支援</w:t>
      </w:r>
    </w:p>
    <w:p w14:paraId="13F0D71D" w14:textId="16004D48" w:rsidR="008B4B2B" w:rsidRPr="001D6D10" w:rsidRDefault="008B4B2B" w:rsidP="008B4B2B">
      <w:pPr>
        <w:spacing w:line="360" w:lineRule="exact"/>
      </w:pPr>
      <w:r w:rsidRPr="001D6D10">
        <w:rPr>
          <w:noProof/>
        </w:rPr>
        <mc:AlternateContent>
          <mc:Choice Requires="wps">
            <w:drawing>
              <wp:anchor distT="4294967295" distB="4294967295" distL="114300" distR="114300" simplePos="0" relativeHeight="253908992" behindDoc="0" locked="0" layoutInCell="1" allowOverlap="1" wp14:anchorId="0766C3F5" wp14:editId="652DCA09">
                <wp:simplePos x="0" y="0"/>
                <wp:positionH relativeFrom="column">
                  <wp:posOffset>605155</wp:posOffset>
                </wp:positionH>
                <wp:positionV relativeFrom="paragraph">
                  <wp:posOffset>-1</wp:posOffset>
                </wp:positionV>
                <wp:extent cx="2286000" cy="0"/>
                <wp:effectExtent l="38100" t="76200" r="0" b="95250"/>
                <wp:wrapNone/>
                <wp:docPr id="60" name="Line 41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2286000" cy="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line w14:anchorId="31C0EA99" id="Line 415" o:spid="_x0000_s1026" style="position:absolute;left:0;text-align:left;flip:x;z-index:253908992;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47.65pt,0" to="227.65pt,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">
                <v:stroke endarrow="block"/>
              </v:line>
            </w:pict>
          </mc:Fallback>
        </mc:AlternateContent>
      </w:r>
      <w:r w:rsidRPr="001D6D10">
        <w:rPr>
          <w:noProof/>
        </w:rPr>
        <mc:AlternateContent>
          <mc:Choice Requires="wps">
            <w:drawing>
              <wp:anchor distT="0" distB="0" distL="114300" distR="114300" simplePos="0" relativeHeight="253873152" behindDoc="0" locked="0" layoutInCell="1" allowOverlap="1" wp14:anchorId="7DB10F20" wp14:editId="787BBFDA">
                <wp:simplePos x="0" y="0"/>
                <wp:positionH relativeFrom="column">
                  <wp:posOffset>-17145</wp:posOffset>
                </wp:positionH>
                <wp:positionV relativeFrom="paragraph">
                  <wp:posOffset>216535</wp:posOffset>
                </wp:positionV>
                <wp:extent cx="2531745" cy="396240"/>
                <wp:effectExtent l="0" t="0" r="20955" b="22860"/>
                <wp:wrapNone/>
                <wp:docPr id="59" name="Text Box 38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31745" cy="396240"/>
                        </a:xfrm>
                        <a:prstGeom prst="rect">
                          <a:avLst/>
                        </a:prstGeom>
                        <a:solidFill>
                          <a:srgbClr val="FFFFFF"/>
                        </a:solidFill>
                        <a:ln w="9525">
                          <a:solidFill>
                            <a:srgbClr val="000000"/>
                          </a:solidFill>
                          <a:miter lim="800000"/>
                          <a:headEnd/>
                          <a:tailEnd/>
                        </a:ln>
                      </wps:spPr>
                      <wps:txbx>
                        <w:txbxContent>
                          <w:p w14:paraId="4AE5B858" w14:textId="77777777" w:rsidR="006A5267" w:rsidRDefault="006A5267" w:rsidP="008B4B2B">
                            <w:pPr>
                              <w:spacing w:line="240" w:lineRule="exact"/>
                            </w:pPr>
                            <w:r>
                              <w:rPr>
                                <w:rFonts w:hint="eastAsia"/>
                              </w:rPr>
                              <w:t>大規模で社会的影響が大きく、</w:t>
                            </w:r>
                          </w:p>
                          <w:p w14:paraId="69DDDF8F" w14:textId="4F1CBE90" w:rsidR="006A5267" w:rsidRDefault="006A5267" w:rsidP="008B4B2B">
                            <w:pPr>
                              <w:spacing w:line="240" w:lineRule="exact"/>
                            </w:pPr>
                            <w:r>
                              <w:rPr>
                                <w:rFonts w:hint="eastAsia"/>
                              </w:rPr>
                              <w:t>全庁的な対応が必要な危機事象</w:t>
                            </w:r>
                          </w:p>
                        </w:txbxContent>
                      </wps:txbx>
                      <wps:bodyPr rot="0" vert="horz" wrap="square" lIns="74295" tIns="45000" rIns="74295" bIns="8890" anchor="t" anchorCtr="0" upright="1">
                        <a:noAutofit/>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shape w14:anchorId="7DB10F20" id="Text Box 381" o:spid="_x0000_s1955" type="#_x0000_t202" style="position:absolute;left:0;text-align:left;margin-left:-1.35pt;margin-top:17.05pt;width:199.35pt;height:31.2pt;z-index:2538731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">
                <v:textbox inset="5.85pt,1.25mm,5.85pt,.7pt">
                  <w:txbxContent>
                    <w:p w14:paraId="4AE5B858" w14:textId="77777777" w:rsidR="006A5267" w:rsidRDefault="006A5267" w:rsidP="008B4B2B">
                      <w:pPr>
                        <w:spacing w:line="240" w:lineRule="exact"/>
                      </w:pPr>
                      <w:r>
                        <w:rPr>
                          <w:rFonts w:hint="eastAsia"/>
                        </w:rPr>
                        <w:t>大規模で社会的影響が大きく、</w:t>
                      </w:r>
                    </w:p>
                    <w:p w14:paraId="69DDDF8F" w14:textId="4F1CBE90" w:rsidR="006A5267" w:rsidRDefault="006A5267" w:rsidP="008B4B2B">
                      <w:pPr>
                        <w:spacing w:line="240" w:lineRule="exact"/>
                      </w:pPr>
                      <w:r>
                        <w:rPr>
                          <w:rFonts w:hint="eastAsia"/>
                        </w:rPr>
                        <w:t>全庁的な対応が必要な危機事象</w:t>
                      </w:r>
                    </w:p>
                  </w:txbxContent>
                </v:textbox>
              </v:shape>
            </w:pict>
          </mc:Fallback>
        </mc:AlternateContent>
      </w:r>
    </w:p>
    <w:p w14:paraId="19794117" w14:textId="51D00CD9" w:rsidR="008B4B2B" w:rsidRPr="001D6D10" w:rsidRDefault="00F625E8" w:rsidP="008B4B2B">
      <w:pPr>
        <w:spacing w:line="360" w:lineRule="exact"/>
      </w:pPr>
      <w:r w:rsidRPr="001D6D10">
        <w:rPr>
          <w:noProof/>
        </w:rPr>
        <mc:AlternateContent>
          <mc:Choice Requires="wps">
            <w:drawing>
              <wp:anchor distT="0" distB="0" distL="114299" distR="114299" simplePos="0" relativeHeight="253907968" behindDoc="0" locked="0" layoutInCell="1" allowOverlap="1" wp14:anchorId="2EDA1162" wp14:editId="04116078">
                <wp:simplePos x="0" y="0"/>
                <wp:positionH relativeFrom="column">
                  <wp:posOffset>7834630</wp:posOffset>
                </wp:positionH>
                <wp:positionV relativeFrom="paragraph">
                  <wp:posOffset>262255</wp:posOffset>
                </wp:positionV>
                <wp:extent cx="0" cy="187325"/>
                <wp:effectExtent l="0" t="0" r="19050" b="22225"/>
                <wp:wrapNone/>
                <wp:docPr id="58" name="Line 41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87325"/>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line w14:anchorId="72659682" id="Line 414" o:spid="_x0000_s1026" style="position:absolute;left:0;text-align:left;z-index:253907968;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from="616.9pt,20.65pt" to="616.9pt,35.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"/>
            </w:pict>
          </mc:Fallback>
        </mc:AlternateContent>
      </w:r>
    </w:p>
    <w:p w14:paraId="536534B9" w14:textId="23A103BA" w:rsidR="005D66D6" w:rsidRDefault="0060716E" w:rsidP="008B4B2B">
      <w:pPr>
        <w:spacing w:line="360" w:lineRule="exact"/>
      </w:pPr>
      <w:r w:rsidRPr="001D6D10">
        <w:rPr>
          <w:noProof/>
        </w:rPr>
        <mc:AlternateContent>
          <mc:Choice Requires="wps">
            <w:drawing>
              <wp:anchor distT="0" distB="0" distL="114300" distR="114300" simplePos="0" relativeHeight="253871104" behindDoc="0" locked="0" layoutInCell="1" allowOverlap="1" wp14:anchorId="7F981179" wp14:editId="36DC777F">
                <wp:simplePos x="0" y="0"/>
                <wp:positionH relativeFrom="column">
                  <wp:posOffset>2868295</wp:posOffset>
                </wp:positionH>
                <wp:positionV relativeFrom="paragraph">
                  <wp:posOffset>188595</wp:posOffset>
                </wp:positionV>
                <wp:extent cx="2636520" cy="502920"/>
                <wp:effectExtent l="0" t="0" r="11430" b="11430"/>
                <wp:wrapNone/>
                <wp:docPr id="57" name="Text Box 37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36520" cy="502920"/>
                        </a:xfrm>
                        <a:prstGeom prst="rect">
                          <a:avLst/>
                        </a:prstGeom>
                        <a:solidFill>
                          <a:srgbClr val="FFFFFF"/>
                        </a:solidFill>
                        <a:ln w="9525">
                          <a:solidFill>
                            <a:schemeClr val="tx1"/>
                          </a:solidFill>
                          <a:miter lim="800000"/>
                          <a:headEnd/>
                          <a:tailEnd/>
                        </a:ln>
                      </wps:spPr>
                      <wps:txbx>
                        <w:txbxContent>
                          <w:p w14:paraId="5CF142AE" w14:textId="3D74DA0E" w:rsidR="006A5267" w:rsidRPr="00FA310A" w:rsidRDefault="006A5267" w:rsidP="008B4B2B">
                            <w:pPr>
                              <w:spacing w:line="300" w:lineRule="exact"/>
                            </w:pPr>
                            <w:r w:rsidRPr="00FA310A">
                              <w:rPr>
                                <w:rFonts w:hint="eastAsia"/>
                              </w:rPr>
                              <w:t>府対策本部等</w:t>
                            </w:r>
                            <w:r w:rsidR="004253DE">
                              <w:rPr>
                                <w:rFonts w:hint="eastAsia"/>
                              </w:rPr>
                              <w:t>の設置</w:t>
                            </w:r>
                            <w:r w:rsidRPr="00FA310A">
                              <w:rPr>
                                <w:rFonts w:hint="eastAsia"/>
                              </w:rPr>
                              <w:t>(</w:t>
                            </w:r>
                            <w:r w:rsidRPr="00FA310A">
                              <w:rPr>
                                <w:rFonts w:hint="eastAsia"/>
                              </w:rPr>
                              <w:t>移行</w:t>
                            </w:r>
                            <w:r w:rsidRPr="00FA310A">
                              <w:rPr>
                                <w:rFonts w:hint="eastAsia"/>
                              </w:rPr>
                              <w:t>)</w:t>
                            </w:r>
                            <w:r w:rsidR="0060716E">
                              <w:rPr>
                                <w:rFonts w:hint="eastAsia"/>
                              </w:rPr>
                              <w:t>について知事へ報告の上、設置を決定</w:t>
                            </w:r>
                          </w:p>
                        </w:txbxContent>
                      </wps:txbx>
                      <wps:bodyPr rot="0" vert="horz" wrap="square" lIns="74295" tIns="95400" rIns="74295" bIns="8890" anchor="t" anchorCtr="0" upright="1">
                        <a:noAutofit/>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shape w14:anchorId="7F981179" id="Text Box 379" o:spid="_x0000_s1956" type="#_x0000_t202" style="position:absolute;left:0;text-align:left;margin-left:225.85pt;margin-top:14.85pt;width:207.6pt;height:39.6pt;z-index:2538711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" strokecolor="black [3213]">
                <v:textbox inset="5.85pt,2.65mm,5.85pt,.7pt">
                  <w:txbxContent>
                    <w:p w14:paraId="5CF142AE" w14:textId="3D74DA0E" w:rsidR="006A5267" w:rsidRPr="00FA310A" w:rsidRDefault="006A5267" w:rsidP="008B4B2B">
                      <w:pPr>
                        <w:spacing w:line="300" w:lineRule="exact"/>
                      </w:pPr>
                      <w:r w:rsidRPr="00FA310A">
                        <w:rPr>
                          <w:rFonts w:hint="eastAsia"/>
                        </w:rPr>
                        <w:t>府対策本部等</w:t>
                      </w:r>
                      <w:r w:rsidR="004253DE">
                        <w:rPr>
                          <w:rFonts w:hint="eastAsia"/>
                        </w:rPr>
                        <w:t>の設置</w:t>
                      </w:r>
                      <w:r w:rsidRPr="00FA310A">
                        <w:rPr>
                          <w:rFonts w:hint="eastAsia"/>
                        </w:rPr>
                        <w:t>(</w:t>
                      </w:r>
                      <w:r w:rsidRPr="00FA310A">
                        <w:rPr>
                          <w:rFonts w:hint="eastAsia"/>
                        </w:rPr>
                        <w:t>移行</w:t>
                      </w:r>
                      <w:r w:rsidRPr="00FA310A">
                        <w:rPr>
                          <w:rFonts w:hint="eastAsia"/>
                        </w:rPr>
                        <w:t>)</w:t>
                      </w:r>
                      <w:r w:rsidR="0060716E">
                        <w:rPr>
                          <w:rFonts w:hint="eastAsia"/>
                        </w:rPr>
                        <w:t>について知事へ報告の上、設置を決定</w:t>
                      </w:r>
                    </w:p>
                  </w:txbxContent>
                </v:textbox>
              </v:shape>
            </w:pict>
          </mc:Fallback>
        </mc:AlternateContent>
      </w:r>
      <w:r w:rsidR="005D66D6">
        <w:rPr>
          <w:noProof/>
        </w:rPr>
        <mc:AlternateContent>
          <mc:Choice Requires="wps">
            <w:drawing>
              <wp:anchor distT="0" distB="0" distL="114300" distR="114300" simplePos="0" relativeHeight="254280704" behindDoc="1" locked="0" layoutInCell="1" allowOverlap="1" wp14:anchorId="092771D1" wp14:editId="7CC298DC">
                <wp:simplePos x="0" y="0"/>
                <wp:positionH relativeFrom="column">
                  <wp:posOffset>592455</wp:posOffset>
                </wp:positionH>
                <wp:positionV relativeFrom="paragraph">
                  <wp:posOffset>153670</wp:posOffset>
                </wp:positionV>
                <wp:extent cx="0" cy="216000"/>
                <wp:effectExtent l="76200" t="0" r="57150" b="50800"/>
                <wp:wrapNone/>
                <wp:docPr id="3857" name="直線矢印コネクタ 3857"/>
                <wp:cNvGraphicFramePr/>
                <a:graphic xmlns:a="http://schemas.openxmlformats.org/drawingml/2006/main">
                  <a:graphicData uri="http://schemas.microsoft.com/office/word/2010/wordprocessingShape">
                    <wps:wsp>
                      <wps:cNvCnPr/>
                      <wps:spPr>
                        <a:xfrm>
                          <a:off x="0" y="0"/>
                          <a:ext cx="0" cy="216000"/>
                        </a:xfrm>
                        <a:prstGeom prst="straightConnector1">
                          <a:avLst/>
                        </a:prstGeom>
                        <a:ln>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shape w14:anchorId="53111679" id="直線矢印コネクタ 3857" o:spid="_x0000_s1026" type="#_x0000_t32" style="position:absolute;left:0;text-align:left;margin-left:46.65pt;margin-top:12.1pt;width:0;height:17pt;z-index:-249035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" strokecolor="black [3213]">
                <v:stroke endarrow="block"/>
              </v:shape>
            </w:pict>
          </mc:Fallback>
        </mc:AlternateContent>
      </w:r>
      <w:r w:rsidR="008B4B2B" w:rsidRPr="001D6D10">
        <w:rPr>
          <w:rFonts w:hint="eastAsia"/>
        </w:rPr>
        <w:t xml:space="preserve">　　　　　　　　　　　　</w:t>
      </w:r>
    </w:p>
    <w:p w14:paraId="59B6572E" w14:textId="66BDE05F" w:rsidR="008B4B2B" w:rsidRPr="001D6D10" w:rsidRDefault="005D66D6" w:rsidP="008B4B2B">
      <w:pPr>
        <w:spacing w:line="360" w:lineRule="exact"/>
      </w:pPr>
      <w:r>
        <w:rPr>
          <w:noProof/>
        </w:rPr>
        <mc:AlternateContent>
          <mc:Choice Requires="wps">
            <w:drawing>
              <wp:anchor distT="0" distB="0" distL="114300" distR="114300" simplePos="0" relativeHeight="254281728" behindDoc="0" locked="0" layoutInCell="1" allowOverlap="1" wp14:anchorId="76D2043E" wp14:editId="709946F5">
                <wp:simplePos x="0" y="0"/>
                <wp:positionH relativeFrom="column">
                  <wp:posOffset>2566353</wp:posOffset>
                </wp:positionH>
                <wp:positionV relativeFrom="paragraph">
                  <wp:posOffset>216218</wp:posOffset>
                </wp:positionV>
                <wp:extent cx="304800" cy="0"/>
                <wp:effectExtent l="0" t="76200" r="19050" b="95250"/>
                <wp:wrapNone/>
                <wp:docPr id="3858" name="直線矢印コネクタ 3858"/>
                <wp:cNvGraphicFramePr/>
                <a:graphic xmlns:a="http://schemas.openxmlformats.org/drawingml/2006/main">
                  <a:graphicData uri="http://schemas.microsoft.com/office/word/2010/wordprocessingShape">
                    <wps:wsp>
                      <wps:cNvCnPr/>
                      <wps:spPr>
                        <a:xfrm>
                          <a:off x="0" y="0"/>
                          <a:ext cx="304800" cy="0"/>
                        </a:xfrm>
                        <a:prstGeom prst="straightConnector1">
                          <a:avLst/>
                        </a:prstGeom>
                        <a:ln>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w16cei="http://schemas.microsoft.com/office/word/2026/wordml/cei">
            <w:pict>
              <v:shape w14:anchorId="14AFC716" id="直線矢印コネクタ 3858" o:spid="_x0000_s1026" type="#_x0000_t32" style="position:absolute;left:0;text-align:left;margin-left:202.1pt;margin-top:17.05pt;width:24pt;height:0;z-index:25428172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" strokecolor="black [3213]">
                <v:stroke endarrow="block"/>
              </v:shape>
            </w:pict>
          </mc:Fallback>
        </mc:AlternateContent>
      </w:r>
      <w:r w:rsidR="00F625E8" w:rsidRPr="001D6D10">
        <w:rPr>
          <w:noProof/>
        </w:rPr>
        <mc:AlternateContent>
          <mc:Choice Requires="wps">
            <w:drawing>
              <wp:anchor distT="0" distB="0" distL="114300" distR="114300" simplePos="0" relativeHeight="254277632" behindDoc="1" locked="0" layoutInCell="1" allowOverlap="1" wp14:anchorId="4F783AF9" wp14:editId="088E9788">
                <wp:simplePos x="0" y="0"/>
                <wp:positionH relativeFrom="margin">
                  <wp:posOffset>-15240</wp:posOffset>
                </wp:positionH>
                <wp:positionV relativeFrom="paragraph">
                  <wp:posOffset>128905</wp:posOffset>
                </wp:positionV>
                <wp:extent cx="2575560" cy="457200"/>
                <wp:effectExtent l="0" t="0" r="15240" b="19050"/>
                <wp:wrapNone/>
                <wp:docPr id="236" name="Text Box 38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75560" cy="457200"/>
                        </a:xfrm>
                        <a:prstGeom prst="rect">
                          <a:avLst/>
                        </a:prstGeom>
                        <a:noFill/>
                        <a:ln w="9525">
                          <a:solidFill>
                            <a:srgbClr val="000000"/>
                          </a:solidFill>
                          <a:miter lim="800000"/>
                          <a:headEnd/>
                          <a:tailEnd/>
                        </a:ln>
                      </wps:spPr>
                      <wps:txbx>
                        <w:txbxContent>
                          <w:p w14:paraId="768502DF" w14:textId="77777777" w:rsidR="00F625E8" w:rsidRDefault="00F625E8" w:rsidP="00F625E8">
                            <w:pPr>
                              <w:spacing w:line="300" w:lineRule="exact"/>
                            </w:pPr>
                            <w:r w:rsidRPr="00CC041F">
                              <w:rPr>
                                <w:rFonts w:hint="eastAsia"/>
                              </w:rPr>
                              <w:t>府災害対策本部等の</w:t>
                            </w:r>
                            <w:r>
                              <w:rPr>
                                <w:rFonts w:hint="eastAsia"/>
                              </w:rPr>
                              <w:t>設置（</w:t>
                            </w:r>
                            <w:r w:rsidRPr="00CC041F">
                              <w:rPr>
                                <w:rFonts w:hint="eastAsia"/>
                              </w:rPr>
                              <w:t>移行</w:t>
                            </w:r>
                            <w:r>
                              <w:rPr>
                                <w:rFonts w:hint="eastAsia"/>
                              </w:rPr>
                              <w:t>）</w:t>
                            </w:r>
                            <w:r w:rsidRPr="00CC041F">
                              <w:rPr>
                                <w:rFonts w:hint="eastAsia"/>
                              </w:rPr>
                              <w:t>を</w:t>
                            </w:r>
                          </w:p>
                          <w:p w14:paraId="67CC212A" w14:textId="77777777" w:rsidR="00F625E8" w:rsidRPr="00FA310A" w:rsidRDefault="00F625E8" w:rsidP="00F625E8">
                            <w:pPr>
                              <w:spacing w:line="300" w:lineRule="exact"/>
                            </w:pPr>
                            <w:r>
                              <w:rPr>
                                <w:rFonts w:hint="eastAsia"/>
                              </w:rPr>
                              <w:t>危機管理監</w:t>
                            </w:r>
                            <w:r>
                              <w:t>に</w:t>
                            </w:r>
                            <w:r w:rsidRPr="00CC041F">
                              <w:rPr>
                                <w:rFonts w:hint="eastAsia"/>
                              </w:rPr>
                              <w:t>要請</w:t>
                            </w:r>
                          </w:p>
                          <w:p w14:paraId="241E0476" w14:textId="4832F9F4" w:rsidR="00F625E8" w:rsidRDefault="00F625E8" w:rsidP="00F625E8">
                            <w:pPr>
                              <w:spacing w:line="240" w:lineRule="exact"/>
                            </w:pPr>
                          </w:p>
                        </w:txbxContent>
                      </wps:txbx>
                      <wps:bodyPr rot="0" vert="horz" wrap="square" lIns="74295" tIns="45000" rIns="74295" bIns="8890" anchor="t" anchorCtr="0" upright="1">
                        <a:noAutofit/>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shape w14:anchorId="4F783AF9" id="_x0000_s1957" type="#_x0000_t202" style="position:absolute;left:0;text-align:left;margin-left:-1.2pt;margin-top:10.15pt;width:202.8pt;height:36pt;z-index:-24903884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" filled="f">
                <v:textbox inset="5.85pt,1.25mm,5.85pt,.7pt">
                  <w:txbxContent>
                    <w:p w14:paraId="768502DF" w14:textId="77777777" w:rsidR="00F625E8" w:rsidRDefault="00F625E8" w:rsidP="00F625E8">
                      <w:pPr>
                        <w:spacing w:line="300" w:lineRule="exact"/>
                      </w:pPr>
                      <w:r w:rsidRPr="00CC041F">
                        <w:rPr>
                          <w:rFonts w:hint="eastAsia"/>
                        </w:rPr>
                        <w:t>府災害対策本部等の</w:t>
                      </w:r>
                      <w:r>
                        <w:rPr>
                          <w:rFonts w:hint="eastAsia"/>
                        </w:rPr>
                        <w:t>設置（</w:t>
                      </w:r>
                      <w:r w:rsidRPr="00CC041F">
                        <w:rPr>
                          <w:rFonts w:hint="eastAsia"/>
                        </w:rPr>
                        <w:t>移行</w:t>
                      </w:r>
                      <w:r>
                        <w:rPr>
                          <w:rFonts w:hint="eastAsia"/>
                        </w:rPr>
                        <w:t>）</w:t>
                      </w:r>
                      <w:r w:rsidRPr="00CC041F">
                        <w:rPr>
                          <w:rFonts w:hint="eastAsia"/>
                        </w:rPr>
                        <w:t>を</w:t>
                      </w:r>
                    </w:p>
                    <w:p w14:paraId="67CC212A" w14:textId="77777777" w:rsidR="00F625E8" w:rsidRPr="00FA310A" w:rsidRDefault="00F625E8" w:rsidP="00F625E8">
                      <w:pPr>
                        <w:spacing w:line="300" w:lineRule="exact"/>
                      </w:pPr>
                      <w:r>
                        <w:rPr>
                          <w:rFonts w:hint="eastAsia"/>
                        </w:rPr>
                        <w:t>危機管理監</w:t>
                      </w:r>
                      <w:r>
                        <w:t>に</w:t>
                      </w:r>
                      <w:r w:rsidRPr="00CC041F">
                        <w:rPr>
                          <w:rFonts w:hint="eastAsia"/>
                        </w:rPr>
                        <w:t>要請</w:t>
                      </w:r>
                    </w:p>
                    <w:p w14:paraId="241E0476" w14:textId="4832F9F4" w:rsidR="00F625E8" w:rsidRDefault="00F625E8" w:rsidP="00F625E8">
                      <w:pPr>
                        <w:spacing w:line="240" w:lineRule="exact"/>
                      </w:pPr>
                    </w:p>
                  </w:txbxContent>
                </v:textbox>
                <w10:wrap anchorx="margin"/>
              </v:shape>
            </w:pict>
          </mc:Fallback>
        </mc:AlternateContent>
      </w:r>
    </w:p>
    <w:p w14:paraId="5774218E" w14:textId="6BEE65E9" w:rsidR="008B4B2B" w:rsidRPr="001D6D10" w:rsidRDefault="0060716E" w:rsidP="00E0548A">
      <w:pPr>
        <w:tabs>
          <w:tab w:val="left" w:pos="3165"/>
        </w:tabs>
        <w:spacing w:line="360" w:lineRule="exact"/>
      </w:pPr>
      <w:r>
        <w:rPr>
          <w:noProof/>
        </w:rPr>
        <mc:AlternateContent>
          <mc:Choice Requires="wps">
            <w:drawing>
              <wp:anchor distT="0" distB="0" distL="114300" distR="114300" simplePos="0" relativeHeight="254285824" behindDoc="0" locked="0" layoutInCell="1" allowOverlap="1" wp14:anchorId="649A7C92" wp14:editId="2E668FBE">
                <wp:simplePos x="0" y="0"/>
                <wp:positionH relativeFrom="column">
                  <wp:posOffset>5177155</wp:posOffset>
                </wp:positionH>
                <wp:positionV relativeFrom="paragraph">
                  <wp:posOffset>5715</wp:posOffset>
                </wp:positionV>
                <wp:extent cx="0" cy="518160"/>
                <wp:effectExtent l="76200" t="0" r="57150" b="53340"/>
                <wp:wrapNone/>
                <wp:docPr id="3862" name="直線矢印コネクタ 3862"/>
                <wp:cNvGraphicFramePr/>
                <a:graphic xmlns:a="http://schemas.openxmlformats.org/drawingml/2006/main">
                  <a:graphicData uri="http://schemas.microsoft.com/office/word/2010/wordprocessingShape">
                    <wps:wsp>
                      <wps:cNvCnPr/>
                      <wps:spPr>
                        <a:xfrm>
                          <a:off x="0" y="0"/>
                          <a:ext cx="0" cy="518160"/>
                        </a:xfrm>
                        <a:prstGeom prst="straightConnector1">
                          <a:avLst/>
                        </a:prstGeom>
                        <a:ln>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shape w14:anchorId="64BF10FB" id="直線矢印コネクタ 3862" o:spid="_x0000_s1026" type="#_x0000_t32" style="position:absolute;left:0;text-align:left;margin-left:407.65pt;margin-top:.45pt;width:0;height:40.8pt;z-index:2542858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" strokecolor="black [3213]">
                <v:stroke endarrow="block"/>
              </v:shape>
            </w:pict>
          </mc:Fallback>
        </mc:AlternateContent>
      </w:r>
      <w:r w:rsidRPr="001D6D10">
        <w:rPr>
          <w:noProof/>
        </w:rPr>
        <mc:AlternateContent>
          <mc:Choice Requires="wps">
            <w:drawing>
              <wp:anchor distT="0" distB="0" distL="114299" distR="114299" simplePos="0" relativeHeight="253887488" behindDoc="0" locked="0" layoutInCell="1" allowOverlap="1" wp14:anchorId="5059AC47" wp14:editId="0A0DFE28">
                <wp:simplePos x="0" y="0"/>
                <wp:positionH relativeFrom="column">
                  <wp:posOffset>4331335</wp:posOffset>
                </wp:positionH>
                <wp:positionV relativeFrom="paragraph">
                  <wp:posOffset>5715</wp:posOffset>
                </wp:positionV>
                <wp:extent cx="0" cy="518400"/>
                <wp:effectExtent l="76200" t="0" r="57150" b="53340"/>
                <wp:wrapNone/>
                <wp:docPr id="55" name="Line 39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51840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line w14:anchorId="5F221617" id="Line 395" o:spid="_x0000_s1026" style="position:absolute;left:0;text-align:left;z-index:253887488;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from="341.05pt,.45pt" to="341.05pt,41.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">
                <v:stroke endarrow="block"/>
              </v:line>
            </w:pict>
          </mc:Fallback>
        </mc:AlternateContent>
      </w:r>
    </w:p>
    <w:p w14:paraId="220BB0BF" w14:textId="71CEE073" w:rsidR="00F625E8" w:rsidRDefault="00F625E8" w:rsidP="008B4B2B">
      <w:pPr>
        <w:spacing w:line="360" w:lineRule="exact"/>
      </w:pPr>
    </w:p>
    <w:p w14:paraId="1D383A3A" w14:textId="0F0EC7E3" w:rsidR="008B4B2B" w:rsidRPr="001D6D10" w:rsidRDefault="00933C50" w:rsidP="008B4B2B">
      <w:pPr>
        <w:spacing w:line="360" w:lineRule="exact"/>
      </w:pPr>
      <w:r>
        <w:rPr>
          <w:rFonts w:hint="eastAsia"/>
          <w:noProof/>
        </w:rPr>
        <mc:AlternateContent>
          <mc:Choice Requires="wps">
            <w:drawing>
              <wp:anchor distT="0" distB="0" distL="114300" distR="114300" simplePos="0" relativeHeight="254279680" behindDoc="1" locked="0" layoutInCell="1" allowOverlap="1" wp14:anchorId="123CDCCC" wp14:editId="25E39EC8">
                <wp:simplePos x="0" y="0"/>
                <wp:positionH relativeFrom="margin">
                  <wp:align>left</wp:align>
                </wp:positionH>
                <wp:positionV relativeFrom="paragraph">
                  <wp:posOffset>66675</wp:posOffset>
                </wp:positionV>
                <wp:extent cx="5707380" cy="350520"/>
                <wp:effectExtent l="0" t="0" r="26670" b="11430"/>
                <wp:wrapNone/>
                <wp:docPr id="3777" name="Text Box 38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07380" cy="350520"/>
                        </a:xfrm>
                        <a:prstGeom prst="rect">
                          <a:avLst/>
                        </a:prstGeom>
                        <a:solidFill>
                          <a:srgbClr val="FFFFFF"/>
                        </a:solidFill>
                        <a:ln w="9525">
                          <a:solidFill>
                            <a:srgbClr val="000000"/>
                          </a:solidFill>
                          <a:miter lim="800000"/>
                          <a:headEnd/>
                          <a:tailEnd/>
                        </a:ln>
                      </wps:spPr>
                      <wps:txbx>
                        <w:txbxContent>
                          <w:p w14:paraId="26ADA651" w14:textId="08664EFC" w:rsidR="00F625E8" w:rsidRPr="00FA310A" w:rsidRDefault="00F625E8" w:rsidP="00933C50">
                            <w:pPr>
                              <w:spacing w:line="400" w:lineRule="exact"/>
                              <w:jc w:val="center"/>
                              <w:rPr>
                                <w:rFonts w:ascii="ＭＳ 明朝" w:hAnsi="ＭＳ 明朝"/>
                                <w:color w:val="0000FF"/>
                              </w:rPr>
                            </w:pPr>
                            <w:r>
                              <w:rPr>
                                <w:rFonts w:ascii="ＭＳ 明朝" w:hAnsi="ＭＳ 明朝" w:hint="eastAsia"/>
                              </w:rPr>
                              <w:t>府災害</w:t>
                            </w:r>
                            <w:r>
                              <w:rPr>
                                <w:rFonts w:ascii="ＭＳ 明朝" w:hAnsi="ＭＳ 明朝"/>
                              </w:rPr>
                              <w:t>対策</w:t>
                            </w:r>
                            <w:r w:rsidRPr="00166154">
                              <w:rPr>
                                <w:rFonts w:ascii="ＭＳ 明朝" w:hAnsi="ＭＳ 明朝" w:hint="eastAsia"/>
                              </w:rPr>
                              <w:t>本部</w:t>
                            </w:r>
                            <w:r>
                              <w:rPr>
                                <w:rFonts w:ascii="ＭＳ 明朝" w:hAnsi="ＭＳ 明朝" w:hint="eastAsia"/>
                              </w:rPr>
                              <w:t>等</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shape w14:anchorId="123CDCCC" id="Text Box 380" o:spid="_x0000_s1958" type="#_x0000_t202" style="position:absolute;left:0;text-align:left;margin-left:0;margin-top:5.25pt;width:449.4pt;height:27.6pt;z-index:-249036800;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">
                <v:textbox inset="5.85pt,.7pt,5.85pt,.7pt">
                  <w:txbxContent>
                    <w:p w14:paraId="26ADA651" w14:textId="08664EFC" w:rsidR="00F625E8" w:rsidRPr="00FA310A" w:rsidRDefault="00F625E8" w:rsidP="00933C50">
                      <w:pPr>
                        <w:spacing w:line="400" w:lineRule="exact"/>
                        <w:jc w:val="center"/>
                        <w:rPr>
                          <w:rFonts w:ascii="ＭＳ 明朝" w:hAnsi="ＭＳ 明朝"/>
                          <w:color w:val="0000FF"/>
                        </w:rPr>
                      </w:pPr>
                      <w:r>
                        <w:rPr>
                          <w:rFonts w:ascii="ＭＳ 明朝" w:hAnsi="ＭＳ 明朝" w:hint="eastAsia"/>
                        </w:rPr>
                        <w:t>府災害</w:t>
                      </w:r>
                      <w:r>
                        <w:rPr>
                          <w:rFonts w:ascii="ＭＳ 明朝" w:hAnsi="ＭＳ 明朝"/>
                        </w:rPr>
                        <w:t>対策</w:t>
                      </w:r>
                      <w:r w:rsidRPr="00166154">
                        <w:rPr>
                          <w:rFonts w:ascii="ＭＳ 明朝" w:hAnsi="ＭＳ 明朝" w:hint="eastAsia"/>
                        </w:rPr>
                        <w:t>本部</w:t>
                      </w:r>
                      <w:r>
                        <w:rPr>
                          <w:rFonts w:ascii="ＭＳ 明朝" w:hAnsi="ＭＳ 明朝" w:hint="eastAsia"/>
                        </w:rPr>
                        <w:t>等</w:t>
                      </w:r>
                    </w:p>
                  </w:txbxContent>
                </v:textbox>
                <w10:wrap anchorx="margin"/>
              </v:shape>
            </w:pict>
          </mc:Fallback>
        </mc:AlternateContent>
      </w:r>
    </w:p>
    <w:p w14:paraId="111E7D4B" w14:textId="49BD9658" w:rsidR="008B4B2B" w:rsidRPr="001D6D10" w:rsidRDefault="008B4B2B">
      <w:pPr>
        <w:pStyle w:val="3"/>
        <w:ind w:firstLine="444"/>
        <w:rPr>
          <w:b/>
        </w:rPr>
      </w:pPr>
      <w:r w:rsidRPr="001D6D10">
        <w:rPr>
          <w:b/>
        </w:rPr>
        <w:br w:type="page"/>
      </w:r>
      <w:bookmarkStart w:id="526" w:name="_Toc122437004"/>
      <w:bookmarkStart w:id="527" w:name="_Toc222486703"/>
      <w:bookmarkStart w:id="528" w:name="_Toc242870374"/>
      <w:r w:rsidRPr="001D6D10">
        <w:rPr>
          <w:noProof/>
        </w:rPr>
        <w:lastRenderedPageBreak/>
        <mc:AlternateContent>
          <mc:Choice Requires="wps">
            <w:drawing>
              <wp:anchor distT="0" distB="0" distL="114300" distR="114300" simplePos="0" relativeHeight="253817856" behindDoc="0" locked="0" layoutInCell="1" allowOverlap="1" wp14:anchorId="6563C7D2" wp14:editId="27B6F981">
                <wp:simplePos x="0" y="0"/>
                <wp:positionH relativeFrom="column">
                  <wp:posOffset>1146175</wp:posOffset>
                </wp:positionH>
                <wp:positionV relativeFrom="paragraph">
                  <wp:posOffset>364490</wp:posOffset>
                </wp:positionV>
                <wp:extent cx="3200400" cy="561975"/>
                <wp:effectExtent l="38100" t="19050" r="76200" b="47625"/>
                <wp:wrapNone/>
                <wp:docPr id="52" name="AutoShape 28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200400" cy="561975"/>
                        </a:xfrm>
                        <a:prstGeom prst="star16">
                          <a:avLst>
                            <a:gd name="adj" fmla="val 33630"/>
                          </a:avLst>
                        </a:prstGeom>
                        <a:solidFill>
                          <a:srgbClr val="FFFFFF"/>
                        </a:solidFill>
                        <a:ln w="9525">
                          <a:solidFill>
                            <a:srgbClr val="000000"/>
                          </a:solidFill>
                          <a:miter lim="800000"/>
                          <a:headEnd/>
                          <a:tailEnd/>
                        </a:ln>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shape w14:anchorId="319D3BA2" id="AutoShape 286" o:spid="_x0000_s1026" type="#_x0000_t59" style="position:absolute;left:0;text-align:left;margin-left:90.25pt;margin-top:28.7pt;width:252pt;height:44.25pt;z-index:2538178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" adj="3536">
                <v:textbox inset="5.85pt,.7pt,5.85pt,.7pt"/>
              </v:shape>
            </w:pict>
          </mc:Fallback>
        </mc:AlternateContent>
      </w:r>
      <w:r w:rsidRPr="001D6D10">
        <w:rPr>
          <w:rFonts w:hint="eastAsia"/>
        </w:rPr>
        <w:t>第３　連絡体制</w:t>
      </w:r>
      <w:bookmarkEnd w:id="526"/>
      <w:bookmarkEnd w:id="527"/>
      <w:bookmarkEnd w:id="528"/>
    </w:p>
    <w:p w14:paraId="59B95EE4" w14:textId="77777777" w:rsidR="008B4B2B" w:rsidRPr="001D6D10" w:rsidRDefault="008B4B2B" w:rsidP="008B4B2B"/>
    <w:p w14:paraId="377A36F5" w14:textId="77777777" w:rsidR="008B4B2B" w:rsidRPr="001D6D10" w:rsidRDefault="008B4B2B" w:rsidP="008B4B2B">
      <w:r w:rsidRPr="001D6D10">
        <w:rPr>
          <w:noProof/>
        </w:rPr>
        <mc:AlternateContent>
          <mc:Choice Requires="wps">
            <w:drawing>
              <wp:anchor distT="0" distB="0" distL="114300" distR="114300" simplePos="0" relativeHeight="253818880" behindDoc="0" locked="0" layoutInCell="1" allowOverlap="1" wp14:anchorId="5020640D" wp14:editId="318E8A3A">
                <wp:simplePos x="0" y="0"/>
                <wp:positionH relativeFrom="column">
                  <wp:posOffset>2057400</wp:posOffset>
                </wp:positionH>
                <wp:positionV relativeFrom="paragraph">
                  <wp:posOffset>109855</wp:posOffset>
                </wp:positionV>
                <wp:extent cx="1371600" cy="230505"/>
                <wp:effectExtent l="0" t="0" r="0" b="0"/>
                <wp:wrapNone/>
                <wp:docPr id="51" name="Text Box 28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71600" cy="23050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255F1108" w14:textId="77777777" w:rsidR="006A5267" w:rsidRDefault="006A5267" w:rsidP="008B4B2B">
                            <w:pPr>
                              <w:ind w:firstLineChars="100" w:firstLine="211"/>
                            </w:pPr>
                            <w:r>
                              <w:rPr>
                                <w:rFonts w:hint="eastAsia"/>
                              </w:rPr>
                              <w:t>危機事象の発生</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shape w14:anchorId="5020640D" id="Text Box 287" o:spid="_x0000_s1959" type="#_x0000_t202" style="position:absolute;left:0;text-align:left;margin-left:162pt;margin-top:8.65pt;width:108pt;height:18.15pt;z-index:2538188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" stroked="f">
                <v:textbox inset="5.85pt,.7pt,5.85pt,.7pt">
                  <w:txbxContent>
                    <w:p w14:paraId="255F1108" w14:textId="77777777" w:rsidR="006A5267" w:rsidRDefault="006A5267" w:rsidP="008B4B2B">
                      <w:pPr>
                        <w:ind w:firstLineChars="100" w:firstLine="211"/>
                      </w:pPr>
                      <w:r>
                        <w:rPr>
                          <w:rFonts w:hint="eastAsia"/>
                        </w:rPr>
                        <w:t>危機事象の発生</w:t>
                      </w:r>
                    </w:p>
                  </w:txbxContent>
                </v:textbox>
              </v:shape>
            </w:pict>
          </mc:Fallback>
        </mc:AlternateContent>
      </w:r>
    </w:p>
    <w:p w14:paraId="669B1E95" w14:textId="77777777" w:rsidR="008B4B2B" w:rsidRPr="001D6D10" w:rsidRDefault="008B4B2B" w:rsidP="008B4B2B"/>
    <w:p w14:paraId="67F12234" w14:textId="77777777" w:rsidR="008B4B2B" w:rsidRPr="001D6D10" w:rsidRDefault="008B4B2B" w:rsidP="008B4B2B"/>
    <w:p w14:paraId="28BA0A32" w14:textId="77777777" w:rsidR="008B4B2B" w:rsidRPr="001D6D10" w:rsidRDefault="008B4B2B" w:rsidP="008B4B2B">
      <w:r w:rsidRPr="001D6D10">
        <w:rPr>
          <w:noProof/>
        </w:rPr>
        <mc:AlternateContent>
          <mc:Choice Requires="wps">
            <w:drawing>
              <wp:anchor distT="0" distB="0" distL="114300" distR="114300" simplePos="0" relativeHeight="253819904" behindDoc="0" locked="0" layoutInCell="1" allowOverlap="1" wp14:anchorId="128874EB" wp14:editId="4459AE09">
                <wp:simplePos x="0" y="0"/>
                <wp:positionH relativeFrom="column">
                  <wp:posOffset>160020</wp:posOffset>
                </wp:positionH>
                <wp:positionV relativeFrom="paragraph">
                  <wp:posOffset>60325</wp:posOffset>
                </wp:positionV>
                <wp:extent cx="5257800" cy="228600"/>
                <wp:effectExtent l="0" t="0" r="19050" b="19050"/>
                <wp:wrapNone/>
                <wp:docPr id="50" name="Text Box 28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257800" cy="228600"/>
                        </a:xfrm>
                        <a:prstGeom prst="rect">
                          <a:avLst/>
                        </a:prstGeom>
                        <a:solidFill>
                          <a:srgbClr val="FFFFFF"/>
                        </a:solidFill>
                        <a:ln w="9525">
                          <a:solidFill>
                            <a:srgbClr val="000000"/>
                          </a:solidFill>
                          <a:miter lim="800000"/>
                          <a:headEnd/>
                          <a:tailEnd/>
                        </a:ln>
                      </wps:spPr>
                      <wps:txbx>
                        <w:txbxContent>
                          <w:p w14:paraId="3896C495" w14:textId="77777777" w:rsidR="006A5267" w:rsidRDefault="006A5267" w:rsidP="008B4B2B">
                            <w:pPr>
                              <w:jc w:val="center"/>
                            </w:pPr>
                            <w:r>
                              <w:rPr>
                                <w:rFonts w:hint="eastAsia"/>
                              </w:rPr>
                              <w:t>府民・関係機関</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shape w14:anchorId="128874EB" id="Text Box 288" o:spid="_x0000_s1960" type="#_x0000_t202" style="position:absolute;left:0;text-align:left;margin-left:12.6pt;margin-top:4.75pt;width:414pt;height:18pt;z-index:2538199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">
                <v:textbox inset="5.85pt,.7pt,5.85pt,.7pt">
                  <w:txbxContent>
                    <w:p w14:paraId="3896C495" w14:textId="77777777" w:rsidR="006A5267" w:rsidRDefault="006A5267" w:rsidP="008B4B2B">
                      <w:pPr>
                        <w:jc w:val="center"/>
                      </w:pPr>
                      <w:r>
                        <w:rPr>
                          <w:rFonts w:hint="eastAsia"/>
                        </w:rPr>
                        <w:t>府民・関係機関</w:t>
                      </w:r>
                    </w:p>
                  </w:txbxContent>
                </v:textbox>
              </v:shape>
            </w:pict>
          </mc:Fallback>
        </mc:AlternateContent>
      </w:r>
      <w:r w:rsidRPr="001D6D10">
        <w:rPr>
          <w:rFonts w:hint="eastAsia"/>
        </w:rPr>
        <w:t xml:space="preserve">　　　　</w:t>
      </w:r>
    </w:p>
    <w:p w14:paraId="0425E9D3" w14:textId="77777777" w:rsidR="008B4B2B" w:rsidRPr="001D6D10" w:rsidRDefault="008B4B2B" w:rsidP="008B4B2B">
      <w:r w:rsidRPr="001D6D10">
        <w:rPr>
          <w:noProof/>
        </w:rPr>
        <mc:AlternateContent>
          <mc:Choice Requires="wps">
            <w:drawing>
              <wp:anchor distT="0" distB="0" distL="114299" distR="114299" simplePos="0" relativeHeight="253858816" behindDoc="0" locked="0" layoutInCell="1" allowOverlap="1" wp14:anchorId="6DFEB92D" wp14:editId="3F765660">
                <wp:simplePos x="0" y="0"/>
                <wp:positionH relativeFrom="column">
                  <wp:posOffset>1992629</wp:posOffset>
                </wp:positionH>
                <wp:positionV relativeFrom="paragraph">
                  <wp:posOffset>109855</wp:posOffset>
                </wp:positionV>
                <wp:extent cx="0" cy="6396990"/>
                <wp:effectExtent l="0" t="0" r="19050" b="0"/>
                <wp:wrapNone/>
                <wp:docPr id="49" name="Line 32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6396990"/>
                        </a:xfrm>
                        <a:prstGeom prst="line">
                          <a:avLst/>
                        </a:prstGeom>
                        <a:noFill/>
                        <a:ln w="9525">
                          <a:solidFill>
                            <a:srgbClr val="000000"/>
                          </a:solidFill>
                          <a:prstDash val="dash"/>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line w14:anchorId="099C4212" id="Line 327" o:spid="_x0000_s1026" style="position:absolute;left:0;text-align:left;z-index:253858816;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from="156.9pt,8.65pt" to="156.9pt,512.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">
                <v:stroke dashstyle="dash"/>
              </v:line>
            </w:pict>
          </mc:Fallback>
        </mc:AlternateContent>
      </w:r>
      <w:r w:rsidRPr="001D6D10">
        <w:rPr>
          <w:noProof/>
        </w:rPr>
        <mc:AlternateContent>
          <mc:Choice Requires="wps">
            <w:drawing>
              <wp:anchor distT="0" distB="0" distL="114299" distR="114299" simplePos="0" relativeHeight="253859840" behindDoc="0" locked="0" layoutInCell="1" allowOverlap="1" wp14:anchorId="4F4D5A0B" wp14:editId="39DC892D">
                <wp:simplePos x="0" y="0"/>
                <wp:positionH relativeFrom="column">
                  <wp:posOffset>3679824</wp:posOffset>
                </wp:positionH>
                <wp:positionV relativeFrom="paragraph">
                  <wp:posOffset>109855</wp:posOffset>
                </wp:positionV>
                <wp:extent cx="0" cy="6396990"/>
                <wp:effectExtent l="0" t="0" r="19050" b="0"/>
                <wp:wrapNone/>
                <wp:docPr id="48" name="Line 32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6396990"/>
                        </a:xfrm>
                        <a:prstGeom prst="line">
                          <a:avLst/>
                        </a:prstGeom>
                        <a:noFill/>
                        <a:ln w="9525">
                          <a:solidFill>
                            <a:srgbClr val="000000"/>
                          </a:solidFill>
                          <a:prstDash val="dash"/>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line w14:anchorId="47521D52" id="Line 328" o:spid="_x0000_s1026" style="position:absolute;left:0;text-align:left;z-index:253859840;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from="289.75pt,8.65pt" to="289.75pt,512.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">
                <v:stroke dashstyle="dash"/>
              </v:line>
            </w:pict>
          </mc:Fallback>
        </mc:AlternateContent>
      </w:r>
      <w:r w:rsidRPr="001D6D10">
        <w:rPr>
          <w:noProof/>
        </w:rPr>
        <mc:AlternateContent>
          <mc:Choice Requires="wps">
            <w:drawing>
              <wp:anchor distT="0" distB="0" distL="114299" distR="114299" simplePos="0" relativeHeight="253842432" behindDoc="0" locked="0" layoutInCell="1" allowOverlap="1" wp14:anchorId="1A61DCF6" wp14:editId="5C875731">
                <wp:simplePos x="0" y="0"/>
                <wp:positionH relativeFrom="column">
                  <wp:posOffset>1257299</wp:posOffset>
                </wp:positionH>
                <wp:positionV relativeFrom="paragraph">
                  <wp:posOffset>109855</wp:posOffset>
                </wp:positionV>
                <wp:extent cx="0" cy="228600"/>
                <wp:effectExtent l="0" t="0" r="19050" b="19050"/>
                <wp:wrapNone/>
                <wp:docPr id="47" name="Line 31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2860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line w14:anchorId="1CB0CA68" id="Line 311" o:spid="_x0000_s1026" style="position:absolute;left:0;text-align:left;z-index:253842432;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from="99pt,8.65pt" to="99pt,26.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"/>
            </w:pict>
          </mc:Fallback>
        </mc:AlternateContent>
      </w:r>
      <w:r w:rsidRPr="001D6D10">
        <w:rPr>
          <w:noProof/>
        </w:rPr>
        <mc:AlternateContent>
          <mc:Choice Requires="wps">
            <w:drawing>
              <wp:anchor distT="0" distB="0" distL="114299" distR="114299" simplePos="0" relativeHeight="253838336" behindDoc="0" locked="0" layoutInCell="1" allowOverlap="1" wp14:anchorId="7429011C" wp14:editId="4F28D674">
                <wp:simplePos x="0" y="0"/>
                <wp:positionH relativeFrom="column">
                  <wp:posOffset>4229099</wp:posOffset>
                </wp:positionH>
                <wp:positionV relativeFrom="paragraph">
                  <wp:posOffset>109855</wp:posOffset>
                </wp:positionV>
                <wp:extent cx="0" cy="549275"/>
                <wp:effectExtent l="76200" t="0" r="57150" b="60325"/>
                <wp:wrapNone/>
                <wp:docPr id="46" name="Line 30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549275"/>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line w14:anchorId="62B47F75" id="Line 307" o:spid="_x0000_s1026" style="position:absolute;left:0;text-align:left;z-index:253838336;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from="333pt,8.65pt" to="333pt,51.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">
                <v:stroke endarrow="block"/>
              </v:line>
            </w:pict>
          </mc:Fallback>
        </mc:AlternateContent>
      </w:r>
      <w:r w:rsidRPr="001D6D10">
        <w:rPr>
          <w:noProof/>
        </w:rPr>
        <mc:AlternateContent>
          <mc:Choice Requires="wps">
            <w:drawing>
              <wp:anchor distT="0" distB="0" distL="114300" distR="114300" simplePos="0" relativeHeight="253856768" behindDoc="0" locked="0" layoutInCell="1" allowOverlap="1" wp14:anchorId="340BE659" wp14:editId="6CB8104E">
                <wp:simplePos x="0" y="0"/>
                <wp:positionH relativeFrom="column">
                  <wp:posOffset>5143500</wp:posOffset>
                </wp:positionH>
                <wp:positionV relativeFrom="paragraph">
                  <wp:posOffset>109855</wp:posOffset>
                </wp:positionV>
                <wp:extent cx="1905" cy="219710"/>
                <wp:effectExtent l="0" t="0" r="36195" b="27940"/>
                <wp:wrapNone/>
                <wp:docPr id="45" name="Line 32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1905" cy="21971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line w14:anchorId="3129ACBF" id="Line 325" o:spid="_x0000_s1026" style="position:absolute;left:0;text-align:left;flip:x;z-index:253856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05pt,8.65pt" to="405.15pt,25.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"/>
            </w:pict>
          </mc:Fallback>
        </mc:AlternateContent>
      </w:r>
    </w:p>
    <w:p w14:paraId="3D87E5F8" w14:textId="77777777" w:rsidR="008B4B2B" w:rsidRPr="001D6D10" w:rsidRDefault="008B4B2B" w:rsidP="008B4B2B">
      <w:pPr>
        <w:tabs>
          <w:tab w:val="center" w:pos="4252"/>
        </w:tabs>
        <w:spacing w:line="260" w:lineRule="exact"/>
      </w:pPr>
      <w:r w:rsidRPr="001D6D10">
        <w:rPr>
          <w:noProof/>
        </w:rPr>
        <mc:AlternateContent>
          <mc:Choice Requires="wps">
            <w:drawing>
              <wp:anchor distT="0" distB="0" distL="114300" distR="114300" simplePos="0" relativeHeight="253857792" behindDoc="0" locked="0" layoutInCell="1" allowOverlap="1" wp14:anchorId="15C59C34" wp14:editId="6C567D50">
                <wp:simplePos x="0" y="0"/>
                <wp:positionH relativeFrom="column">
                  <wp:posOffset>5143500</wp:posOffset>
                </wp:positionH>
                <wp:positionV relativeFrom="paragraph">
                  <wp:posOffset>109855</wp:posOffset>
                </wp:positionV>
                <wp:extent cx="1905" cy="803275"/>
                <wp:effectExtent l="57150" t="5080" r="55245" b="20320"/>
                <wp:wrapNone/>
                <wp:docPr id="44" name="Line 32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905" cy="803275"/>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line w14:anchorId="2BDD3734" id="Line 326" o:spid="_x0000_s1026" style="position:absolute;left:0;text-align:left;z-index:253857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05pt,8.65pt" to="405.15pt,71.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">
                <v:stroke endarrow="block"/>
              </v:line>
            </w:pict>
          </mc:Fallback>
        </mc:AlternateContent>
      </w:r>
      <w:r w:rsidRPr="001D6D10">
        <w:rPr>
          <w:noProof/>
        </w:rPr>
        <mc:AlternateContent>
          <mc:Choice Requires="wps">
            <w:drawing>
              <wp:anchor distT="4294967295" distB="4294967295" distL="114300" distR="114300" simplePos="0" relativeHeight="253836288" behindDoc="0" locked="0" layoutInCell="1" allowOverlap="1" wp14:anchorId="5EECEECA" wp14:editId="4D12655D">
                <wp:simplePos x="0" y="0"/>
                <wp:positionH relativeFrom="column">
                  <wp:posOffset>1988820</wp:posOffset>
                </wp:positionH>
                <wp:positionV relativeFrom="paragraph">
                  <wp:posOffset>174624</wp:posOffset>
                </wp:positionV>
                <wp:extent cx="1714500" cy="0"/>
                <wp:effectExtent l="38100" t="76200" r="19050" b="95250"/>
                <wp:wrapNone/>
                <wp:docPr id="43" name="Line 30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714500" cy="0"/>
                        </a:xfrm>
                        <a:prstGeom prst="line">
                          <a:avLst/>
                        </a:prstGeom>
                        <a:noFill/>
                        <a:ln w="9525">
                          <a:solidFill>
                            <a:srgbClr val="000000"/>
                          </a:solidFill>
                          <a:prstDash val="dash"/>
                          <a:round/>
                          <a:headEnd type="triangle" w="med" len="me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line w14:anchorId="728EA5B3" id="Line 304" o:spid="_x0000_s1026" style="position:absolute;left:0;text-align:left;z-index:253836288;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156.6pt,13.75pt" to="291.6pt,13.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">
                <v:stroke dashstyle="dash" startarrow="block" endarrow="block"/>
              </v:line>
            </w:pict>
          </mc:Fallback>
        </mc:AlternateContent>
      </w:r>
      <w:r w:rsidRPr="001D6D10">
        <w:rPr>
          <w:noProof/>
        </w:rPr>
        <mc:AlternateContent>
          <mc:Choice Requires="wps">
            <w:drawing>
              <wp:anchor distT="4294967295" distB="4294967295" distL="114300" distR="114300" simplePos="0" relativeHeight="253837312" behindDoc="0" locked="0" layoutInCell="1" allowOverlap="1" wp14:anchorId="692CF9D0" wp14:editId="55C79200">
                <wp:simplePos x="0" y="0"/>
                <wp:positionH relativeFrom="column">
                  <wp:posOffset>160020</wp:posOffset>
                </wp:positionH>
                <wp:positionV relativeFrom="paragraph">
                  <wp:posOffset>174624</wp:posOffset>
                </wp:positionV>
                <wp:extent cx="1828800" cy="0"/>
                <wp:effectExtent l="38100" t="76200" r="19050" b="95250"/>
                <wp:wrapNone/>
                <wp:docPr id="42" name="Line 30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828800" cy="0"/>
                        </a:xfrm>
                        <a:prstGeom prst="line">
                          <a:avLst/>
                        </a:prstGeom>
                        <a:noFill/>
                        <a:ln w="9525">
                          <a:solidFill>
                            <a:srgbClr val="000000"/>
                          </a:solidFill>
                          <a:prstDash val="dash"/>
                          <a:round/>
                          <a:headEnd type="triangle" w="med" len="me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line w14:anchorId="10C227E7" id="Line 305" o:spid="_x0000_s1026" style="position:absolute;left:0;text-align:left;z-index:253837312;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12.6pt,13.75pt" to="156.6pt,13.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">
                <v:stroke dashstyle="dash" startarrow="block" endarrow="block"/>
              </v:line>
            </w:pict>
          </mc:Fallback>
        </mc:AlternateContent>
      </w:r>
      <w:r w:rsidRPr="001D6D10">
        <w:rPr>
          <w:noProof/>
        </w:rPr>
        <mc:AlternateContent>
          <mc:Choice Requires="wps">
            <w:drawing>
              <wp:anchor distT="4294967295" distB="4294967295" distL="114300" distR="114300" simplePos="0" relativeHeight="253835264" behindDoc="0" locked="0" layoutInCell="1" allowOverlap="1" wp14:anchorId="148ED57A" wp14:editId="6438F572">
                <wp:simplePos x="0" y="0"/>
                <wp:positionH relativeFrom="column">
                  <wp:posOffset>3703320</wp:posOffset>
                </wp:positionH>
                <wp:positionV relativeFrom="paragraph">
                  <wp:posOffset>174624</wp:posOffset>
                </wp:positionV>
                <wp:extent cx="1714500" cy="0"/>
                <wp:effectExtent l="38100" t="76200" r="19050" b="95250"/>
                <wp:wrapNone/>
                <wp:docPr id="41" name="Line 30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714500" cy="0"/>
                        </a:xfrm>
                        <a:prstGeom prst="line">
                          <a:avLst/>
                        </a:prstGeom>
                        <a:noFill/>
                        <a:ln w="9525">
                          <a:solidFill>
                            <a:srgbClr val="000000"/>
                          </a:solidFill>
                          <a:prstDash val="dash"/>
                          <a:round/>
                          <a:headEnd type="triangle" w="med" len="me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line w14:anchorId="40216889" id="Line 303" o:spid="_x0000_s1026" style="position:absolute;left:0;text-align:left;z-index:253835264;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291.6pt,13.75pt" to="426.6pt,13.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">
                <v:stroke dashstyle="dash" startarrow="block" endarrow="block"/>
              </v:line>
            </w:pict>
          </mc:Fallback>
        </mc:AlternateContent>
      </w:r>
      <w:r w:rsidRPr="001D6D10">
        <w:rPr>
          <w:rFonts w:hint="eastAsia"/>
        </w:rPr>
        <w:t xml:space="preserve">　　　　　</w:t>
      </w:r>
      <w:r w:rsidRPr="001D6D10">
        <w:rPr>
          <w:sz w:val="18"/>
          <w:szCs w:val="18"/>
        </w:rPr>
        <w:tab/>
      </w:r>
      <w:r w:rsidRPr="001D6D10">
        <w:rPr>
          <w:rFonts w:hint="eastAsia"/>
        </w:rPr>
        <w:t xml:space="preserve">　　　　　　　　　　　　　　　　　　</w:t>
      </w:r>
    </w:p>
    <w:p w14:paraId="218E3C47" w14:textId="77777777" w:rsidR="008B4B2B" w:rsidRPr="001D6D10" w:rsidRDefault="008B4B2B" w:rsidP="008B4B2B">
      <w:pPr>
        <w:ind w:firstLineChars="400" w:firstLine="844"/>
      </w:pPr>
      <w:r w:rsidRPr="001D6D10">
        <w:rPr>
          <w:noProof/>
        </w:rPr>
        <mc:AlternateContent>
          <mc:Choice Requires="wps">
            <w:drawing>
              <wp:anchor distT="0" distB="0" distL="114299" distR="114299" simplePos="0" relativeHeight="253865984" behindDoc="0" locked="0" layoutInCell="1" allowOverlap="1" wp14:anchorId="1353B5EB" wp14:editId="782D0262">
                <wp:simplePos x="0" y="0"/>
                <wp:positionH relativeFrom="column">
                  <wp:posOffset>1257299</wp:posOffset>
                </wp:positionH>
                <wp:positionV relativeFrom="paragraph">
                  <wp:posOffset>54610</wp:posOffset>
                </wp:positionV>
                <wp:extent cx="0" cy="988695"/>
                <wp:effectExtent l="76200" t="0" r="95250" b="59055"/>
                <wp:wrapNone/>
                <wp:docPr id="40" name="Line 34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988695"/>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line w14:anchorId="62C84F5E" id="Line 345" o:spid="_x0000_s1026" style="position:absolute;left:0;text-align:left;z-index:253865984;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from="99pt,4.3pt" to="99pt,82.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">
                <v:stroke endarrow="block"/>
              </v:line>
            </w:pict>
          </mc:Fallback>
        </mc:AlternateContent>
      </w:r>
      <w:r w:rsidRPr="001D6D10">
        <w:rPr>
          <w:rFonts w:hint="eastAsia"/>
          <w:szCs w:val="21"/>
        </w:rPr>
        <w:t>（所管部局）　　　　　　　　（関係部局）　　　　　　　　（危機管理室）</w:t>
      </w:r>
    </w:p>
    <w:p w14:paraId="68AB39D2" w14:textId="77777777" w:rsidR="008B4B2B" w:rsidRPr="001D6D10" w:rsidRDefault="008B4B2B" w:rsidP="008B4B2B">
      <w:r w:rsidRPr="001D6D10">
        <w:rPr>
          <w:noProof/>
        </w:rPr>
        <mc:AlternateContent>
          <mc:Choice Requires="wps">
            <w:drawing>
              <wp:anchor distT="0" distB="0" distL="114300" distR="114300" simplePos="0" relativeHeight="253821952" behindDoc="0" locked="0" layoutInCell="1" allowOverlap="1" wp14:anchorId="1F911424" wp14:editId="71C15FFC">
                <wp:simplePos x="0" y="0"/>
                <wp:positionH relativeFrom="column">
                  <wp:posOffset>3846195</wp:posOffset>
                </wp:positionH>
                <wp:positionV relativeFrom="paragraph">
                  <wp:posOffset>114935</wp:posOffset>
                </wp:positionV>
                <wp:extent cx="914400" cy="228600"/>
                <wp:effectExtent l="0" t="0" r="19050" b="19050"/>
                <wp:wrapNone/>
                <wp:docPr id="39" name="Text Box 29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14400" cy="228600"/>
                        </a:xfrm>
                        <a:prstGeom prst="rect">
                          <a:avLst/>
                        </a:prstGeom>
                        <a:solidFill>
                          <a:srgbClr val="FFFFFF"/>
                        </a:solidFill>
                        <a:ln w="9525">
                          <a:solidFill>
                            <a:srgbClr val="000000"/>
                          </a:solidFill>
                          <a:miter lim="800000"/>
                          <a:headEnd/>
                          <a:tailEnd/>
                        </a:ln>
                      </wps:spPr>
                      <wps:txbx>
                        <w:txbxContent>
                          <w:p w14:paraId="24EFA47B" w14:textId="77777777" w:rsidR="006A5267" w:rsidRDefault="006A5267" w:rsidP="008B4B2B">
                            <w:r>
                              <w:rPr>
                                <w:rFonts w:hint="eastAsia"/>
                              </w:rPr>
                              <w:t>消防・警察</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shape w14:anchorId="1F911424" id="Text Box 290" o:spid="_x0000_s1961" type="#_x0000_t202" style="position:absolute;left:0;text-align:left;margin-left:302.85pt;margin-top:9.05pt;width:1in;height:18pt;z-index:2538219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">
                <v:textbox inset="5.85pt,.7pt,5.85pt,.7pt">
                  <w:txbxContent>
                    <w:p w14:paraId="24EFA47B" w14:textId="77777777" w:rsidR="006A5267" w:rsidRDefault="006A5267" w:rsidP="008B4B2B">
                      <w:r>
                        <w:rPr>
                          <w:rFonts w:hint="eastAsia"/>
                        </w:rPr>
                        <w:t>消防・警察</w:t>
                      </w:r>
                    </w:p>
                  </w:txbxContent>
                </v:textbox>
              </v:shape>
            </w:pict>
          </mc:Fallback>
        </mc:AlternateContent>
      </w:r>
    </w:p>
    <w:p w14:paraId="0BD618D1" w14:textId="77777777" w:rsidR="008B4B2B" w:rsidRPr="001D6D10" w:rsidRDefault="008B4B2B" w:rsidP="008B4B2B">
      <w:r w:rsidRPr="001D6D10">
        <w:rPr>
          <w:noProof/>
        </w:rPr>
        <mc:AlternateContent>
          <mc:Choice Requires="wps">
            <w:drawing>
              <wp:anchor distT="0" distB="0" distL="114299" distR="114299" simplePos="0" relativeHeight="253839360" behindDoc="0" locked="0" layoutInCell="1" allowOverlap="1" wp14:anchorId="7283F326" wp14:editId="228C4674">
                <wp:simplePos x="0" y="0"/>
                <wp:positionH relativeFrom="column">
                  <wp:posOffset>4272914</wp:posOffset>
                </wp:positionH>
                <wp:positionV relativeFrom="paragraph">
                  <wp:posOffset>114300</wp:posOffset>
                </wp:positionV>
                <wp:extent cx="0" cy="277495"/>
                <wp:effectExtent l="76200" t="0" r="57150" b="65405"/>
                <wp:wrapNone/>
                <wp:docPr id="38" name="Line 30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77495"/>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line w14:anchorId="1E21AB33" id="Line 308" o:spid="_x0000_s1026" style="position:absolute;left:0;text-align:left;z-index:253839360;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from="336.45pt,9pt" to="336.45pt,30.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">
                <v:stroke endarrow="block"/>
              </v:line>
            </w:pict>
          </mc:Fallback>
        </mc:AlternateContent>
      </w:r>
    </w:p>
    <w:p w14:paraId="2F82B024" w14:textId="77777777" w:rsidR="008B4B2B" w:rsidRPr="001D6D10" w:rsidRDefault="008B4B2B" w:rsidP="008B4B2B">
      <w:r w:rsidRPr="001D6D10">
        <w:rPr>
          <w:noProof/>
        </w:rPr>
        <mc:AlternateContent>
          <mc:Choice Requires="wps">
            <w:drawing>
              <wp:anchor distT="0" distB="0" distL="114300" distR="114300" simplePos="0" relativeHeight="253822976" behindDoc="0" locked="0" layoutInCell="1" allowOverlap="1" wp14:anchorId="57F9D6D6" wp14:editId="7A778603">
                <wp:simplePos x="0" y="0"/>
                <wp:positionH relativeFrom="column">
                  <wp:posOffset>3800475</wp:posOffset>
                </wp:positionH>
                <wp:positionV relativeFrom="paragraph">
                  <wp:posOffset>199390</wp:posOffset>
                </wp:positionV>
                <wp:extent cx="1800225" cy="488315"/>
                <wp:effectExtent l="0" t="0" r="28575" b="26035"/>
                <wp:wrapNone/>
                <wp:docPr id="37" name="Text Box 29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00225" cy="488315"/>
                        </a:xfrm>
                        <a:prstGeom prst="rect">
                          <a:avLst/>
                        </a:prstGeom>
                        <a:solidFill>
                          <a:srgbClr val="FFFFFF"/>
                        </a:solidFill>
                        <a:ln w="9525">
                          <a:solidFill>
                            <a:srgbClr val="000000"/>
                          </a:solidFill>
                          <a:miter lim="800000"/>
                          <a:headEnd/>
                          <a:tailEnd/>
                        </a:ln>
                      </wps:spPr>
                      <wps:txbx>
                        <w:txbxContent>
                          <w:p w14:paraId="5E5F00E8" w14:textId="77777777" w:rsidR="006A5267" w:rsidRDefault="006A5267" w:rsidP="008B4B2B">
                            <w:pPr>
                              <w:jc w:val="center"/>
                            </w:pPr>
                            <w:r>
                              <w:rPr>
                                <w:rFonts w:hint="eastAsia"/>
                              </w:rPr>
                              <w:t>情報受信者</w:t>
                            </w:r>
                          </w:p>
                          <w:p w14:paraId="7DB2B771" w14:textId="77777777" w:rsidR="006A5267" w:rsidRDefault="006A5267" w:rsidP="008B4B2B">
                            <w:pPr>
                              <w:spacing w:line="200" w:lineRule="exact"/>
                              <w:rPr>
                                <w:rFonts w:ascii="ＭＳ 明朝" w:hAnsi="ＭＳ 明朝"/>
                                <w:sz w:val="16"/>
                                <w:szCs w:val="16"/>
                              </w:rPr>
                            </w:pPr>
                            <w:r w:rsidRPr="00FB35C6">
                              <w:rPr>
                                <w:rFonts w:ascii="ＭＳ 明朝" w:hAnsi="ＭＳ 明朝" w:hint="eastAsia"/>
                                <w:sz w:val="16"/>
                                <w:szCs w:val="16"/>
                              </w:rPr>
                              <w:t>(勤務時間外は防災・危機管理当直)</w:t>
                            </w:r>
                          </w:p>
                          <w:p w14:paraId="4C347139" w14:textId="77777777" w:rsidR="006A5267" w:rsidRPr="00E624DB" w:rsidRDefault="006A5267" w:rsidP="008B4B2B">
                            <w:pPr>
                              <w:spacing w:line="200" w:lineRule="exact"/>
                              <w:ind w:firstLineChars="100" w:firstLine="161"/>
                              <w:rPr>
                                <w:rFonts w:ascii="ＭＳ 明朝" w:hAnsi="ＭＳ 明朝"/>
                                <w:sz w:val="16"/>
                                <w:szCs w:val="16"/>
                                <w:u w:val="single"/>
                              </w:rPr>
                            </w:pPr>
                            <w:r>
                              <w:rPr>
                                <w:rFonts w:ascii="ＭＳ 明朝" w:hAnsi="ＭＳ 明朝" w:hint="eastAsia"/>
                                <w:sz w:val="16"/>
                                <w:szCs w:val="16"/>
                                <w:u w:val="single"/>
                              </w:rPr>
                              <w:t>０６－６９４４－６０２２</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shape w14:anchorId="57F9D6D6" id="Text Box 291" o:spid="_x0000_s1962" type="#_x0000_t202" style="position:absolute;left:0;text-align:left;margin-left:299.25pt;margin-top:15.7pt;width:141.75pt;height:38.45pt;z-index:2538229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">
                <v:textbox inset="5.85pt,.7pt,5.85pt,.7pt">
                  <w:txbxContent>
                    <w:p w14:paraId="5E5F00E8" w14:textId="77777777" w:rsidR="006A5267" w:rsidRDefault="006A5267" w:rsidP="008B4B2B">
                      <w:pPr>
                        <w:jc w:val="center"/>
                      </w:pPr>
                      <w:r>
                        <w:rPr>
                          <w:rFonts w:hint="eastAsia"/>
                        </w:rPr>
                        <w:t>情報受信者</w:t>
                      </w:r>
                    </w:p>
                    <w:p w14:paraId="7DB2B771" w14:textId="77777777" w:rsidR="006A5267" w:rsidRDefault="006A5267" w:rsidP="008B4B2B">
                      <w:pPr>
                        <w:spacing w:line="200" w:lineRule="exact"/>
                        <w:rPr>
                          <w:rFonts w:ascii="ＭＳ 明朝" w:hAnsi="ＭＳ 明朝"/>
                          <w:sz w:val="16"/>
                          <w:szCs w:val="16"/>
                        </w:rPr>
                      </w:pPr>
                      <w:r w:rsidRPr="00FB35C6">
                        <w:rPr>
                          <w:rFonts w:ascii="ＭＳ 明朝" w:hAnsi="ＭＳ 明朝" w:hint="eastAsia"/>
                          <w:sz w:val="16"/>
                          <w:szCs w:val="16"/>
                        </w:rPr>
                        <w:t>(勤務時間外は防災・危機管理当直)</w:t>
                      </w:r>
                    </w:p>
                    <w:p w14:paraId="4C347139" w14:textId="77777777" w:rsidR="006A5267" w:rsidRPr="00E624DB" w:rsidRDefault="006A5267" w:rsidP="008B4B2B">
                      <w:pPr>
                        <w:spacing w:line="200" w:lineRule="exact"/>
                        <w:ind w:firstLineChars="100" w:firstLine="161"/>
                        <w:rPr>
                          <w:rFonts w:ascii="ＭＳ 明朝" w:hAnsi="ＭＳ 明朝"/>
                          <w:sz w:val="16"/>
                          <w:szCs w:val="16"/>
                          <w:u w:val="single"/>
                        </w:rPr>
                      </w:pPr>
                      <w:r>
                        <w:rPr>
                          <w:rFonts w:ascii="ＭＳ 明朝" w:hAnsi="ＭＳ 明朝" w:hint="eastAsia"/>
                          <w:sz w:val="16"/>
                          <w:szCs w:val="16"/>
                          <w:u w:val="single"/>
                        </w:rPr>
                        <w:t>０６－６９４４－６０２２</w:t>
                      </w:r>
                    </w:p>
                  </w:txbxContent>
                </v:textbox>
              </v:shape>
            </w:pict>
          </mc:Fallback>
        </mc:AlternateContent>
      </w:r>
    </w:p>
    <w:p w14:paraId="43AC20FB" w14:textId="77777777" w:rsidR="008B4B2B" w:rsidRPr="001D6D10" w:rsidRDefault="008B4B2B" w:rsidP="008B4B2B">
      <w:r w:rsidRPr="001D6D10">
        <w:rPr>
          <w:noProof/>
        </w:rPr>
        <mc:AlternateContent>
          <mc:Choice Requires="wps">
            <w:drawing>
              <wp:anchor distT="0" distB="0" distL="114300" distR="114300" simplePos="0" relativeHeight="253820928" behindDoc="0" locked="0" layoutInCell="1" allowOverlap="1" wp14:anchorId="5546ED42" wp14:editId="565D11EE">
                <wp:simplePos x="0" y="0"/>
                <wp:positionH relativeFrom="column">
                  <wp:posOffset>731520</wp:posOffset>
                </wp:positionH>
                <wp:positionV relativeFrom="paragraph">
                  <wp:posOffset>174625</wp:posOffset>
                </wp:positionV>
                <wp:extent cx="1143000" cy="228600"/>
                <wp:effectExtent l="0" t="0" r="19050" b="19050"/>
                <wp:wrapNone/>
                <wp:docPr id="36" name="Text Box 28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43000" cy="228600"/>
                        </a:xfrm>
                        <a:prstGeom prst="rect">
                          <a:avLst/>
                        </a:prstGeom>
                        <a:solidFill>
                          <a:srgbClr val="FFFFFF"/>
                        </a:solidFill>
                        <a:ln w="9525">
                          <a:solidFill>
                            <a:srgbClr val="000000"/>
                          </a:solidFill>
                          <a:miter lim="800000"/>
                          <a:headEnd/>
                          <a:tailEnd/>
                        </a:ln>
                      </wps:spPr>
                      <wps:txbx>
                        <w:txbxContent>
                          <w:p w14:paraId="78816EBD" w14:textId="77777777" w:rsidR="006A5267" w:rsidRDefault="006A5267" w:rsidP="008B4B2B">
                            <w:pPr>
                              <w:jc w:val="center"/>
                            </w:pPr>
                            <w:r>
                              <w:rPr>
                                <w:rFonts w:hint="eastAsia"/>
                              </w:rPr>
                              <w:t>情報受信者</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shape w14:anchorId="5546ED42" id="Text Box 289" o:spid="_x0000_s1963" type="#_x0000_t202" style="position:absolute;left:0;text-align:left;margin-left:57.6pt;margin-top:13.75pt;width:90pt;height:18pt;z-index:2538209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">
                <v:textbox inset="5.85pt,.7pt,5.85pt,.7pt">
                  <w:txbxContent>
                    <w:p w14:paraId="78816EBD" w14:textId="77777777" w:rsidR="006A5267" w:rsidRDefault="006A5267" w:rsidP="008B4B2B">
                      <w:pPr>
                        <w:jc w:val="center"/>
                      </w:pPr>
                      <w:r>
                        <w:rPr>
                          <w:rFonts w:hint="eastAsia"/>
                        </w:rPr>
                        <w:t>情報受信者</w:t>
                      </w:r>
                    </w:p>
                  </w:txbxContent>
                </v:textbox>
              </v:shape>
            </w:pict>
          </mc:Fallback>
        </mc:AlternateContent>
      </w:r>
    </w:p>
    <w:p w14:paraId="3D7A1719" w14:textId="77777777" w:rsidR="008B4B2B" w:rsidRPr="001D6D10" w:rsidRDefault="008B4B2B" w:rsidP="008B4B2B">
      <w:r w:rsidRPr="001D6D10">
        <w:rPr>
          <w:noProof/>
        </w:rPr>
        <mc:AlternateContent>
          <mc:Choice Requires="wps">
            <w:drawing>
              <wp:anchor distT="0" distB="0" distL="114299" distR="114299" simplePos="0" relativeHeight="253840384" behindDoc="0" locked="0" layoutInCell="1" allowOverlap="1" wp14:anchorId="7750FFA8" wp14:editId="4B85C694">
                <wp:simplePos x="0" y="0"/>
                <wp:positionH relativeFrom="column">
                  <wp:posOffset>4584699</wp:posOffset>
                </wp:positionH>
                <wp:positionV relativeFrom="paragraph">
                  <wp:posOffset>292100</wp:posOffset>
                </wp:positionV>
                <wp:extent cx="0" cy="185420"/>
                <wp:effectExtent l="76200" t="0" r="57150" b="62230"/>
                <wp:wrapNone/>
                <wp:docPr id="35" name="Line 30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0" cy="18542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line w14:anchorId="003C73DD" id="Line 309" o:spid="_x0000_s1026" style="position:absolute;left:0;text-align:left;flip:x;z-index:253840384;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from="361pt,23pt" to="361pt,37.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">
                <v:stroke endarrow="block"/>
              </v:line>
            </w:pict>
          </mc:Fallback>
        </mc:AlternateContent>
      </w:r>
    </w:p>
    <w:p w14:paraId="0FD4F2BA" w14:textId="77777777" w:rsidR="008B4B2B" w:rsidRPr="001D6D10" w:rsidRDefault="008B4B2B" w:rsidP="008B4B2B">
      <w:r w:rsidRPr="001D6D10">
        <w:rPr>
          <w:noProof/>
        </w:rPr>
        <mc:AlternateContent>
          <mc:Choice Requires="wps">
            <w:drawing>
              <wp:anchor distT="0" distB="0" distL="114299" distR="114299" simplePos="0" relativeHeight="253843456" behindDoc="0" locked="0" layoutInCell="1" allowOverlap="1" wp14:anchorId="5AE868B9" wp14:editId="662003EA">
                <wp:simplePos x="0" y="0"/>
                <wp:positionH relativeFrom="column">
                  <wp:posOffset>1257299</wp:posOffset>
                </wp:positionH>
                <wp:positionV relativeFrom="paragraph">
                  <wp:posOffset>54610</wp:posOffset>
                </wp:positionV>
                <wp:extent cx="0" cy="201930"/>
                <wp:effectExtent l="76200" t="0" r="57150" b="64770"/>
                <wp:wrapNone/>
                <wp:docPr id="34" name="Line 31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0" cy="20193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line w14:anchorId="3C639970" id="Line 313" o:spid="_x0000_s1026" style="position:absolute;left:0;text-align:left;flip:x;z-index:253843456;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from="99pt,4.3pt" to="99pt,20.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">
                <v:stroke endarrow="block"/>
              </v:line>
            </w:pict>
          </mc:Fallback>
        </mc:AlternateContent>
      </w:r>
      <w:r w:rsidRPr="001D6D10">
        <w:rPr>
          <w:rFonts w:hint="eastAsia"/>
        </w:rPr>
        <w:t xml:space="preserve">　　　　　　　　　　　　　　　　　　　　　</w:t>
      </w:r>
      <w:r w:rsidRPr="001D6D10">
        <w:rPr>
          <w:rFonts w:hint="eastAsia"/>
        </w:rPr>
        <w:t xml:space="preserve"> </w:t>
      </w:r>
    </w:p>
    <w:p w14:paraId="77707879" w14:textId="77777777" w:rsidR="008B4B2B" w:rsidRPr="001D6D10" w:rsidRDefault="008B4B2B" w:rsidP="008B4B2B">
      <w:pPr>
        <w:spacing w:line="400" w:lineRule="exact"/>
      </w:pPr>
      <w:r w:rsidRPr="001D6D10">
        <w:rPr>
          <w:noProof/>
        </w:rPr>
        <mc:AlternateContent>
          <mc:Choice Requires="wps">
            <w:drawing>
              <wp:anchor distT="0" distB="0" distL="114300" distR="114300" simplePos="0" relativeHeight="253824000" behindDoc="0" locked="0" layoutInCell="1" allowOverlap="1" wp14:anchorId="0D5B1BF7" wp14:editId="75431447">
                <wp:simplePos x="0" y="0"/>
                <wp:positionH relativeFrom="column">
                  <wp:posOffset>571500</wp:posOffset>
                </wp:positionH>
                <wp:positionV relativeFrom="paragraph">
                  <wp:posOffset>60325</wp:posOffset>
                </wp:positionV>
                <wp:extent cx="1303020" cy="688975"/>
                <wp:effectExtent l="0" t="0" r="11430" b="15875"/>
                <wp:wrapNone/>
                <wp:docPr id="33" name="Text Box 29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03020" cy="688975"/>
                        </a:xfrm>
                        <a:prstGeom prst="rect">
                          <a:avLst/>
                        </a:prstGeom>
                        <a:solidFill>
                          <a:srgbClr val="FFFFFF"/>
                        </a:solidFill>
                        <a:ln w="9525">
                          <a:solidFill>
                            <a:srgbClr val="000000"/>
                          </a:solidFill>
                          <a:miter lim="800000"/>
                          <a:headEnd/>
                          <a:tailEnd/>
                        </a:ln>
                      </wps:spPr>
                      <wps:txbx>
                        <w:txbxContent>
                          <w:p w14:paraId="56ED7228" w14:textId="77777777" w:rsidR="006A5267" w:rsidRPr="00CD53AA" w:rsidRDefault="006A5267" w:rsidP="008B4B2B">
                            <w:pPr>
                              <w:spacing w:line="460" w:lineRule="exact"/>
                              <w:rPr>
                                <w:w w:val="80"/>
                                <w:sz w:val="20"/>
                                <w:szCs w:val="20"/>
                              </w:rPr>
                            </w:pPr>
                            <w:r w:rsidRPr="00CD53AA">
                              <w:rPr>
                                <w:rFonts w:hint="eastAsia"/>
                                <w:w w:val="80"/>
                                <w:sz w:val="20"/>
                                <w:szCs w:val="20"/>
                              </w:rPr>
                              <w:t>危機管理情報担当補佐</w:t>
                            </w:r>
                          </w:p>
                          <w:p w14:paraId="6E413D59" w14:textId="77777777" w:rsidR="006A5267" w:rsidRPr="00CD53AA" w:rsidRDefault="006A5267" w:rsidP="008B4B2B">
                            <w:pPr>
                              <w:spacing w:line="460" w:lineRule="exact"/>
                              <w:rPr>
                                <w:spacing w:val="-12"/>
                                <w:w w:val="80"/>
                                <w:sz w:val="20"/>
                                <w:szCs w:val="20"/>
                                <w:u w:val="single"/>
                              </w:rPr>
                            </w:pPr>
                            <w:r w:rsidRPr="00CD53AA">
                              <w:rPr>
                                <w:rFonts w:hint="eastAsia"/>
                                <w:spacing w:val="-12"/>
                                <w:w w:val="80"/>
                                <w:sz w:val="20"/>
                                <w:szCs w:val="20"/>
                              </w:rPr>
                              <w:t>（各部局総務課長・総括補佐）</w:t>
                            </w:r>
                          </w:p>
                          <w:p w14:paraId="57DB70D9" w14:textId="77777777" w:rsidR="006A5267" w:rsidRPr="00CD53AA" w:rsidRDefault="006A5267" w:rsidP="008B4B2B">
                            <w:pPr>
                              <w:spacing w:line="460" w:lineRule="exact"/>
                              <w:rPr>
                                <w:w w:val="80"/>
                                <w:sz w:val="20"/>
                                <w:szCs w:val="20"/>
                              </w:rPr>
                            </w:pPr>
                          </w:p>
                          <w:p w14:paraId="188515DE" w14:textId="77777777" w:rsidR="006A5267" w:rsidRPr="00CD53AA" w:rsidRDefault="006A5267" w:rsidP="008B4B2B">
                            <w:pPr>
                              <w:spacing w:line="460" w:lineRule="exact"/>
                              <w:rPr>
                                <w:w w:val="80"/>
                                <w:sz w:val="20"/>
                                <w:szCs w:val="20"/>
                              </w:rPr>
                            </w:pPr>
                          </w:p>
                          <w:p w14:paraId="44A4A1BE" w14:textId="77777777" w:rsidR="006A5267" w:rsidRPr="00CD53AA" w:rsidRDefault="006A5267" w:rsidP="008B4B2B">
                            <w:pPr>
                              <w:spacing w:line="460" w:lineRule="exact"/>
                              <w:rPr>
                                <w:w w:val="80"/>
                                <w:sz w:val="20"/>
                                <w:szCs w:val="20"/>
                              </w:rPr>
                            </w:pPr>
                          </w:p>
                          <w:p w14:paraId="7ADDC36C" w14:textId="77777777" w:rsidR="006A5267" w:rsidRPr="00CD53AA" w:rsidRDefault="006A5267" w:rsidP="008B4B2B">
                            <w:pPr>
                              <w:spacing w:line="460" w:lineRule="exact"/>
                              <w:rPr>
                                <w:w w:val="80"/>
                                <w:sz w:val="20"/>
                                <w:szCs w:val="20"/>
                              </w:rPr>
                            </w:pPr>
                          </w:p>
                          <w:p w14:paraId="289EF86D" w14:textId="77777777" w:rsidR="006A5267" w:rsidRPr="00CD53AA" w:rsidRDefault="006A5267" w:rsidP="008B4B2B">
                            <w:pPr>
                              <w:spacing w:line="460" w:lineRule="exact"/>
                              <w:rPr>
                                <w:w w:val="80"/>
                                <w:sz w:val="20"/>
                                <w:szCs w:val="20"/>
                              </w:rPr>
                            </w:pPr>
                          </w:p>
                          <w:p w14:paraId="75AD408A" w14:textId="77777777" w:rsidR="006A5267" w:rsidRPr="00CD53AA" w:rsidRDefault="006A5267" w:rsidP="008B4B2B">
                            <w:pPr>
                              <w:spacing w:line="460" w:lineRule="exact"/>
                              <w:rPr>
                                <w:sz w:val="20"/>
                                <w:szCs w:val="20"/>
                              </w:rPr>
                            </w:pPr>
                            <w:r w:rsidRPr="00CD53AA">
                              <w:rPr>
                                <w:rFonts w:hint="eastAsia"/>
                                <w:sz w:val="20"/>
                                <w:szCs w:val="20"/>
                              </w:rPr>
                              <w:t>補佐代第</w:t>
                            </w:r>
                            <w:r w:rsidRPr="00CD53AA">
                              <w:rPr>
                                <w:rFonts w:hint="eastAsia"/>
                                <w:sz w:val="20"/>
                                <w:szCs w:val="20"/>
                              </w:rPr>
                              <w:t>2</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shape w14:anchorId="0D5B1BF7" id="Text Box 292" o:spid="_x0000_s1964" type="#_x0000_t202" style="position:absolute;left:0;text-align:left;margin-left:45pt;margin-top:4.75pt;width:102.6pt;height:54.25pt;z-index:2538240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">
                <v:textbox inset="5.85pt,.7pt,5.85pt,.7pt">
                  <w:txbxContent>
                    <w:p w14:paraId="56ED7228" w14:textId="77777777" w:rsidR="006A5267" w:rsidRPr="00CD53AA" w:rsidRDefault="006A5267" w:rsidP="008B4B2B">
                      <w:pPr>
                        <w:spacing w:line="460" w:lineRule="exact"/>
                        <w:rPr>
                          <w:w w:val="80"/>
                          <w:sz w:val="20"/>
                          <w:szCs w:val="20"/>
                        </w:rPr>
                      </w:pPr>
                      <w:r w:rsidRPr="00CD53AA">
                        <w:rPr>
                          <w:rFonts w:hint="eastAsia"/>
                          <w:w w:val="80"/>
                          <w:sz w:val="20"/>
                          <w:szCs w:val="20"/>
                        </w:rPr>
                        <w:t>危機管理情報担当補佐</w:t>
                      </w:r>
                    </w:p>
                    <w:p w14:paraId="6E413D59" w14:textId="77777777" w:rsidR="006A5267" w:rsidRPr="00CD53AA" w:rsidRDefault="006A5267" w:rsidP="008B4B2B">
                      <w:pPr>
                        <w:spacing w:line="460" w:lineRule="exact"/>
                        <w:rPr>
                          <w:spacing w:val="-12"/>
                          <w:w w:val="80"/>
                          <w:sz w:val="20"/>
                          <w:szCs w:val="20"/>
                          <w:u w:val="single"/>
                        </w:rPr>
                      </w:pPr>
                      <w:r w:rsidRPr="00CD53AA">
                        <w:rPr>
                          <w:rFonts w:hint="eastAsia"/>
                          <w:spacing w:val="-12"/>
                          <w:w w:val="80"/>
                          <w:sz w:val="20"/>
                          <w:szCs w:val="20"/>
                        </w:rPr>
                        <w:t>（各部局総務課長・総括補佐）</w:t>
                      </w:r>
                    </w:p>
                    <w:p w14:paraId="57DB70D9" w14:textId="77777777" w:rsidR="006A5267" w:rsidRPr="00CD53AA" w:rsidRDefault="006A5267" w:rsidP="008B4B2B">
                      <w:pPr>
                        <w:spacing w:line="460" w:lineRule="exact"/>
                        <w:rPr>
                          <w:w w:val="80"/>
                          <w:sz w:val="20"/>
                          <w:szCs w:val="20"/>
                        </w:rPr>
                      </w:pPr>
                    </w:p>
                    <w:p w14:paraId="188515DE" w14:textId="77777777" w:rsidR="006A5267" w:rsidRPr="00CD53AA" w:rsidRDefault="006A5267" w:rsidP="008B4B2B">
                      <w:pPr>
                        <w:spacing w:line="460" w:lineRule="exact"/>
                        <w:rPr>
                          <w:w w:val="80"/>
                          <w:sz w:val="20"/>
                          <w:szCs w:val="20"/>
                        </w:rPr>
                      </w:pPr>
                    </w:p>
                    <w:p w14:paraId="44A4A1BE" w14:textId="77777777" w:rsidR="006A5267" w:rsidRPr="00CD53AA" w:rsidRDefault="006A5267" w:rsidP="008B4B2B">
                      <w:pPr>
                        <w:spacing w:line="460" w:lineRule="exact"/>
                        <w:rPr>
                          <w:w w:val="80"/>
                          <w:sz w:val="20"/>
                          <w:szCs w:val="20"/>
                        </w:rPr>
                      </w:pPr>
                    </w:p>
                    <w:p w14:paraId="7ADDC36C" w14:textId="77777777" w:rsidR="006A5267" w:rsidRPr="00CD53AA" w:rsidRDefault="006A5267" w:rsidP="008B4B2B">
                      <w:pPr>
                        <w:spacing w:line="460" w:lineRule="exact"/>
                        <w:rPr>
                          <w:w w:val="80"/>
                          <w:sz w:val="20"/>
                          <w:szCs w:val="20"/>
                        </w:rPr>
                      </w:pPr>
                    </w:p>
                    <w:p w14:paraId="289EF86D" w14:textId="77777777" w:rsidR="006A5267" w:rsidRPr="00CD53AA" w:rsidRDefault="006A5267" w:rsidP="008B4B2B">
                      <w:pPr>
                        <w:spacing w:line="460" w:lineRule="exact"/>
                        <w:rPr>
                          <w:w w:val="80"/>
                          <w:sz w:val="20"/>
                          <w:szCs w:val="20"/>
                        </w:rPr>
                      </w:pPr>
                    </w:p>
                    <w:p w14:paraId="75AD408A" w14:textId="77777777" w:rsidR="006A5267" w:rsidRPr="00CD53AA" w:rsidRDefault="006A5267" w:rsidP="008B4B2B">
                      <w:pPr>
                        <w:spacing w:line="460" w:lineRule="exact"/>
                        <w:rPr>
                          <w:sz w:val="20"/>
                          <w:szCs w:val="20"/>
                        </w:rPr>
                      </w:pPr>
                      <w:r w:rsidRPr="00CD53AA">
                        <w:rPr>
                          <w:rFonts w:hint="eastAsia"/>
                          <w:sz w:val="20"/>
                          <w:szCs w:val="20"/>
                        </w:rPr>
                        <w:t>補佐代第</w:t>
                      </w:r>
                      <w:r w:rsidRPr="00CD53AA">
                        <w:rPr>
                          <w:rFonts w:hint="eastAsia"/>
                          <w:sz w:val="20"/>
                          <w:szCs w:val="20"/>
                        </w:rPr>
                        <w:t>2</w:t>
                      </w:r>
                    </w:p>
                  </w:txbxContent>
                </v:textbox>
              </v:shape>
            </w:pict>
          </mc:Fallback>
        </mc:AlternateContent>
      </w:r>
      <w:r w:rsidRPr="001D6D10">
        <w:rPr>
          <w:noProof/>
        </w:rPr>
        <mc:AlternateContent>
          <mc:Choice Requires="wps">
            <w:drawing>
              <wp:anchor distT="4294967295" distB="4294967295" distL="114300" distR="114300" simplePos="0" relativeHeight="253844480" behindDoc="0" locked="0" layoutInCell="1" allowOverlap="1" wp14:anchorId="40ABBD9A" wp14:editId="296DD3B1">
                <wp:simplePos x="0" y="0"/>
                <wp:positionH relativeFrom="column">
                  <wp:posOffset>1874520</wp:posOffset>
                </wp:positionH>
                <wp:positionV relativeFrom="paragraph">
                  <wp:posOffset>174624</wp:posOffset>
                </wp:positionV>
                <wp:extent cx="571500" cy="0"/>
                <wp:effectExtent l="38100" t="76200" r="0" b="95250"/>
                <wp:wrapNone/>
                <wp:docPr id="32" name="Line 31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571500" cy="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line w14:anchorId="364FC3A0" id="Line 314" o:spid="_x0000_s1026" style="position:absolute;left:0;text-align:left;flip:x;z-index:253844480;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147.6pt,13.75pt" to="192.6pt,13.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">
                <v:stroke endarrow="block"/>
              </v:line>
            </w:pict>
          </mc:Fallback>
        </mc:AlternateContent>
      </w:r>
      <w:r w:rsidRPr="001D6D10">
        <w:rPr>
          <w:noProof/>
        </w:rPr>
        <mc:AlternateContent>
          <mc:Choice Requires="wps">
            <w:drawing>
              <wp:anchor distT="4294967295" distB="4294967295" distL="114300" distR="114300" simplePos="0" relativeHeight="253845504" behindDoc="0" locked="0" layoutInCell="1" allowOverlap="1" wp14:anchorId="5DFD8EC3" wp14:editId="755EF65A">
                <wp:simplePos x="0" y="0"/>
                <wp:positionH relativeFrom="column">
                  <wp:posOffset>3246120</wp:posOffset>
                </wp:positionH>
                <wp:positionV relativeFrom="paragraph">
                  <wp:posOffset>174624</wp:posOffset>
                </wp:positionV>
                <wp:extent cx="571500" cy="0"/>
                <wp:effectExtent l="0" t="76200" r="19050" b="95250"/>
                <wp:wrapNone/>
                <wp:docPr id="31" name="Line 31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71500" cy="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line w14:anchorId="2C9E3B62" id="Line 315" o:spid="_x0000_s1026" style="position:absolute;left:0;text-align:left;z-index:253845504;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255.6pt,13.75pt" to="300.6pt,13.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">
                <v:stroke endarrow="block"/>
              </v:line>
            </w:pict>
          </mc:Fallback>
        </mc:AlternateContent>
      </w:r>
      <w:r w:rsidRPr="001D6D10">
        <w:rPr>
          <w:noProof/>
        </w:rPr>
        <mc:AlternateContent>
          <mc:Choice Requires="wps">
            <w:drawing>
              <wp:anchor distT="0" distB="0" distL="114300" distR="114300" simplePos="0" relativeHeight="253825024" behindDoc="0" locked="0" layoutInCell="1" allowOverlap="1" wp14:anchorId="2BA3833E" wp14:editId="571DDEB8">
                <wp:simplePos x="0" y="0"/>
                <wp:positionH relativeFrom="column">
                  <wp:posOffset>3817620</wp:posOffset>
                </wp:positionH>
                <wp:positionV relativeFrom="paragraph">
                  <wp:posOffset>60325</wp:posOffset>
                </wp:positionV>
                <wp:extent cx="1600200" cy="457200"/>
                <wp:effectExtent l="0" t="0" r="19050" b="19050"/>
                <wp:wrapNone/>
                <wp:docPr id="30" name="Text Box 29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00200" cy="457200"/>
                        </a:xfrm>
                        <a:prstGeom prst="rect">
                          <a:avLst/>
                        </a:prstGeom>
                        <a:solidFill>
                          <a:srgbClr val="FFFFFF"/>
                        </a:solidFill>
                        <a:ln w="9525">
                          <a:solidFill>
                            <a:srgbClr val="000000"/>
                          </a:solidFill>
                          <a:miter lim="800000"/>
                          <a:headEnd/>
                          <a:tailEnd/>
                        </a:ln>
                      </wps:spPr>
                      <wps:txbx>
                        <w:txbxContent>
                          <w:p w14:paraId="03E14606" w14:textId="77777777" w:rsidR="006A5267" w:rsidRPr="005230D0" w:rsidRDefault="006A5267" w:rsidP="008B4B2B">
                            <w:pPr>
                              <w:spacing w:line="520" w:lineRule="exact"/>
                              <w:jc w:val="center"/>
                              <w:rPr>
                                <w:sz w:val="18"/>
                                <w:szCs w:val="18"/>
                              </w:rPr>
                            </w:pPr>
                            <w:r w:rsidRPr="005230D0">
                              <w:rPr>
                                <w:rFonts w:hint="eastAsia"/>
                                <w:sz w:val="18"/>
                                <w:szCs w:val="18"/>
                              </w:rPr>
                              <w:t>危機管理担当課長補佐等</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shape w14:anchorId="2BA3833E" id="Text Box 293" o:spid="_x0000_s1965" type="#_x0000_t202" style="position:absolute;left:0;text-align:left;margin-left:300.6pt;margin-top:4.75pt;width:126pt;height:36pt;z-index:2538250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">
                <v:textbox inset="5.85pt,.7pt,5.85pt,.7pt">
                  <w:txbxContent>
                    <w:p w14:paraId="03E14606" w14:textId="77777777" w:rsidR="006A5267" w:rsidRPr="005230D0" w:rsidRDefault="006A5267" w:rsidP="008B4B2B">
                      <w:pPr>
                        <w:spacing w:line="520" w:lineRule="exact"/>
                        <w:jc w:val="center"/>
                        <w:rPr>
                          <w:sz w:val="18"/>
                          <w:szCs w:val="18"/>
                        </w:rPr>
                      </w:pPr>
                      <w:r w:rsidRPr="005230D0">
                        <w:rPr>
                          <w:rFonts w:hint="eastAsia"/>
                          <w:sz w:val="18"/>
                          <w:szCs w:val="18"/>
                        </w:rPr>
                        <w:t>危機管理担当課長補佐等</w:t>
                      </w:r>
                    </w:p>
                  </w:txbxContent>
                </v:textbox>
              </v:shape>
            </w:pict>
          </mc:Fallback>
        </mc:AlternateContent>
      </w:r>
      <w:r w:rsidRPr="001D6D10">
        <w:rPr>
          <w:rFonts w:hint="eastAsia"/>
        </w:rPr>
        <w:t xml:space="preserve">　　　　　　　　　　　　　　　　　　　情報の共有　　</w:t>
      </w:r>
    </w:p>
    <w:p w14:paraId="30CAAEEC" w14:textId="77777777" w:rsidR="008B4B2B" w:rsidRPr="001D6D10" w:rsidRDefault="008B4B2B" w:rsidP="008B4B2B">
      <w:r w:rsidRPr="001D6D10">
        <w:rPr>
          <w:noProof/>
        </w:rPr>
        <mc:AlternateContent>
          <mc:Choice Requires="wps">
            <w:drawing>
              <wp:anchor distT="0" distB="0" distL="114300" distR="114300" simplePos="0" relativeHeight="253850624" behindDoc="0" locked="0" layoutInCell="1" allowOverlap="1" wp14:anchorId="70215849" wp14:editId="2FF614C8">
                <wp:simplePos x="0" y="0"/>
                <wp:positionH relativeFrom="column">
                  <wp:posOffset>3360420</wp:posOffset>
                </wp:positionH>
                <wp:positionV relativeFrom="paragraph">
                  <wp:posOffset>173990</wp:posOffset>
                </wp:positionV>
                <wp:extent cx="4445" cy="242570"/>
                <wp:effectExtent l="0" t="0" r="33655" b="24130"/>
                <wp:wrapNone/>
                <wp:docPr id="29" name="Line 32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4445" cy="24257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line w14:anchorId="0D17BE31" id="Line 320" o:spid="_x0000_s1026" style="position:absolute;left:0;text-align:left;flip:x;z-index:253850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64.6pt,13.7pt" to="264.95pt,32.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"/>
            </w:pict>
          </mc:Fallback>
        </mc:AlternateContent>
      </w:r>
      <w:r w:rsidRPr="001D6D10">
        <w:rPr>
          <w:noProof/>
        </w:rPr>
        <mc:AlternateContent>
          <mc:Choice Requires="wps">
            <w:drawing>
              <wp:anchor distT="0" distB="0" distL="114300" distR="114300" simplePos="0" relativeHeight="253849600" behindDoc="0" locked="0" layoutInCell="1" allowOverlap="1" wp14:anchorId="510E0E0A" wp14:editId="0E8811A1">
                <wp:simplePos x="0" y="0"/>
                <wp:positionH relativeFrom="column">
                  <wp:posOffset>2446020</wp:posOffset>
                </wp:positionH>
                <wp:positionV relativeFrom="paragraph">
                  <wp:posOffset>148590</wp:posOffset>
                </wp:positionV>
                <wp:extent cx="4445" cy="268605"/>
                <wp:effectExtent l="0" t="0" r="33655" b="17145"/>
                <wp:wrapNone/>
                <wp:docPr id="28" name="Line 31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4445" cy="268605"/>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line w14:anchorId="087C8EEF" id="Line 319" o:spid="_x0000_s1026" style="position:absolute;left:0;text-align:left;flip:x;z-index:253849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92.6pt,11.7pt" to="192.95pt,32.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"/>
            </w:pict>
          </mc:Fallback>
        </mc:AlternateContent>
      </w:r>
      <w:r w:rsidRPr="001D6D10">
        <w:rPr>
          <w:noProof/>
        </w:rPr>
        <mc:AlternateContent>
          <mc:Choice Requires="wps">
            <w:drawing>
              <wp:anchor distT="0" distB="0" distL="114299" distR="114299" simplePos="0" relativeHeight="253852672" behindDoc="0" locked="0" layoutInCell="1" allowOverlap="1" wp14:anchorId="076BA0D0" wp14:editId="15190038">
                <wp:simplePos x="0" y="0"/>
                <wp:positionH relativeFrom="column">
                  <wp:posOffset>342899</wp:posOffset>
                </wp:positionH>
                <wp:positionV relativeFrom="paragraph">
                  <wp:posOffset>38100</wp:posOffset>
                </wp:positionV>
                <wp:extent cx="0" cy="1882140"/>
                <wp:effectExtent l="76200" t="0" r="95250" b="60960"/>
                <wp:wrapNone/>
                <wp:docPr id="27" name="Line 32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88214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line w14:anchorId="38BAC784" id="Line 321" o:spid="_x0000_s1026" style="position:absolute;left:0;text-align:left;z-index:253852672;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from="27pt,3pt" to="27pt,151.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">
                <v:stroke endarrow="block"/>
              </v:line>
            </w:pict>
          </mc:Fallback>
        </mc:AlternateContent>
      </w:r>
      <w:r w:rsidRPr="001D6D10">
        <w:rPr>
          <w:noProof/>
        </w:rPr>
        <mc:AlternateContent>
          <mc:Choice Requires="wps">
            <w:drawing>
              <wp:anchor distT="4294967295" distB="4294967295" distL="114300" distR="114300" simplePos="0" relativeHeight="253861888" behindDoc="0" locked="0" layoutInCell="1" allowOverlap="1" wp14:anchorId="269C0A17" wp14:editId="7B2A16B1">
                <wp:simplePos x="0" y="0"/>
                <wp:positionH relativeFrom="column">
                  <wp:posOffset>342900</wp:posOffset>
                </wp:positionH>
                <wp:positionV relativeFrom="paragraph">
                  <wp:posOffset>38099</wp:posOffset>
                </wp:positionV>
                <wp:extent cx="228600" cy="0"/>
                <wp:effectExtent l="0" t="0" r="19050" b="19050"/>
                <wp:wrapNone/>
                <wp:docPr id="26" name="Line 33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286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line w14:anchorId="1AE8C5FF" id="Line 330" o:spid="_x0000_s1026" style="position:absolute;left:0;text-align:left;z-index:253861888;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27pt,3pt" to="45pt,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"/>
            </w:pict>
          </mc:Fallback>
        </mc:AlternateContent>
      </w:r>
      <w:r w:rsidRPr="001D6D10">
        <w:rPr>
          <w:noProof/>
        </w:rPr>
        <mc:AlternateContent>
          <mc:Choice Requires="wps">
            <w:drawing>
              <wp:anchor distT="4294967295" distB="4294967295" distL="114300" distR="114300" simplePos="0" relativeHeight="253846528" behindDoc="0" locked="0" layoutInCell="1" allowOverlap="1" wp14:anchorId="5250C6D0" wp14:editId="18B586E7">
                <wp:simplePos x="0" y="0"/>
                <wp:positionH relativeFrom="column">
                  <wp:posOffset>1874520</wp:posOffset>
                </wp:positionH>
                <wp:positionV relativeFrom="paragraph">
                  <wp:posOffset>149224</wp:posOffset>
                </wp:positionV>
                <wp:extent cx="571500" cy="0"/>
                <wp:effectExtent l="0" t="0" r="19050" b="19050"/>
                <wp:wrapNone/>
                <wp:docPr id="25" name="Line 31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715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line w14:anchorId="2D1273FE" id="Line 316" o:spid="_x0000_s1026" style="position:absolute;left:0;text-align:left;z-index:253846528;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147.6pt,11.75pt" to="192.6pt,11.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"/>
            </w:pict>
          </mc:Fallback>
        </mc:AlternateContent>
      </w:r>
      <w:r w:rsidRPr="001D6D10">
        <w:rPr>
          <w:noProof/>
        </w:rPr>
        <mc:AlternateContent>
          <mc:Choice Requires="wps">
            <w:drawing>
              <wp:anchor distT="4294967295" distB="4294967295" distL="114300" distR="114300" simplePos="0" relativeHeight="253847552" behindDoc="0" locked="0" layoutInCell="1" allowOverlap="1" wp14:anchorId="02A20EE0" wp14:editId="0705167A">
                <wp:simplePos x="0" y="0"/>
                <wp:positionH relativeFrom="column">
                  <wp:posOffset>3360420</wp:posOffset>
                </wp:positionH>
                <wp:positionV relativeFrom="paragraph">
                  <wp:posOffset>174624</wp:posOffset>
                </wp:positionV>
                <wp:extent cx="457200" cy="0"/>
                <wp:effectExtent l="0" t="0" r="19050" b="19050"/>
                <wp:wrapNone/>
                <wp:docPr id="24" name="Line 31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4572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line w14:anchorId="2661A701" id="Line 317" o:spid="_x0000_s1026" style="position:absolute;left:0;text-align:left;flip:x;z-index:253847552;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264.6pt,13.75pt" to="300.6pt,13.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"/>
            </w:pict>
          </mc:Fallback>
        </mc:AlternateContent>
      </w:r>
    </w:p>
    <w:p w14:paraId="6AA55C0A" w14:textId="77777777" w:rsidR="008B4B2B" w:rsidRPr="001D6D10" w:rsidRDefault="008B4B2B" w:rsidP="008B4B2B">
      <w:r w:rsidRPr="001D6D10">
        <w:rPr>
          <w:noProof/>
        </w:rPr>
        <mc:AlternateContent>
          <mc:Choice Requires="wps">
            <w:drawing>
              <wp:anchor distT="0" distB="0" distL="114299" distR="114299" simplePos="0" relativeHeight="253860864" behindDoc="0" locked="0" layoutInCell="1" allowOverlap="1" wp14:anchorId="00E66C07" wp14:editId="693BEF87">
                <wp:simplePos x="0" y="0"/>
                <wp:positionH relativeFrom="column">
                  <wp:posOffset>4571999</wp:posOffset>
                </wp:positionH>
                <wp:positionV relativeFrom="paragraph">
                  <wp:posOffset>38100</wp:posOffset>
                </wp:positionV>
                <wp:extent cx="0" cy="1662430"/>
                <wp:effectExtent l="76200" t="0" r="57150" b="52070"/>
                <wp:wrapNone/>
                <wp:docPr id="23" name="Line 32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66243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line w14:anchorId="3E83FEB1" id="Line 329" o:spid="_x0000_s1026" style="position:absolute;left:0;text-align:left;z-index:253860864;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from="5in,3pt" to="5in,133.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">
                <v:stroke endarrow="block"/>
              </v:line>
            </w:pict>
          </mc:Fallback>
        </mc:AlternateContent>
      </w:r>
    </w:p>
    <w:p w14:paraId="64C8D056" w14:textId="77777777" w:rsidR="008B4B2B" w:rsidRPr="001D6D10" w:rsidRDefault="008B4B2B" w:rsidP="008B4B2B">
      <w:r w:rsidRPr="001D6D10">
        <w:rPr>
          <w:noProof/>
        </w:rPr>
        <mc:AlternateContent>
          <mc:Choice Requires="wps">
            <w:drawing>
              <wp:anchor distT="0" distB="0" distL="114299" distR="114299" simplePos="0" relativeHeight="253862912" behindDoc="0" locked="0" layoutInCell="1" allowOverlap="1" wp14:anchorId="617DAE9D" wp14:editId="3B610A80">
                <wp:simplePos x="0" y="0"/>
                <wp:positionH relativeFrom="column">
                  <wp:posOffset>1508124</wp:posOffset>
                </wp:positionH>
                <wp:positionV relativeFrom="paragraph">
                  <wp:posOffset>124460</wp:posOffset>
                </wp:positionV>
                <wp:extent cx="0" cy="1390650"/>
                <wp:effectExtent l="76200" t="0" r="57150" b="57150"/>
                <wp:wrapNone/>
                <wp:docPr id="22" name="Line 33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0" cy="139065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line w14:anchorId="7283F6B1" id="Line 331" o:spid="_x0000_s1026" style="position:absolute;left:0;text-align:left;flip:x;z-index:253862912;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from="118.75pt,9.8pt" to="118.75pt,119.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">
                <v:stroke endarrow="block"/>
              </v:line>
            </w:pict>
          </mc:Fallback>
        </mc:AlternateContent>
      </w:r>
      <w:r w:rsidRPr="001D6D10">
        <w:rPr>
          <w:noProof/>
        </w:rPr>
        <mc:AlternateContent>
          <mc:Choice Requires="wps">
            <w:drawing>
              <wp:anchor distT="0" distB="0" distL="114300" distR="114300" simplePos="0" relativeHeight="253827072" behindDoc="0" locked="0" layoutInCell="1" allowOverlap="1" wp14:anchorId="0A285321" wp14:editId="14DC9F07">
                <wp:simplePos x="0" y="0"/>
                <wp:positionH relativeFrom="column">
                  <wp:posOffset>3017520</wp:posOffset>
                </wp:positionH>
                <wp:positionV relativeFrom="paragraph">
                  <wp:posOffset>34925</wp:posOffset>
                </wp:positionV>
                <wp:extent cx="571500" cy="457200"/>
                <wp:effectExtent l="0" t="0" r="19050" b="19050"/>
                <wp:wrapNone/>
                <wp:docPr id="21" name="Text Box 29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1500" cy="457200"/>
                        </a:xfrm>
                        <a:prstGeom prst="rect">
                          <a:avLst/>
                        </a:prstGeom>
                        <a:solidFill>
                          <a:srgbClr val="FFFFFF"/>
                        </a:solidFill>
                        <a:ln w="9525">
                          <a:solidFill>
                            <a:srgbClr val="000000"/>
                          </a:solidFill>
                          <a:miter lim="800000"/>
                          <a:headEnd/>
                          <a:tailEnd/>
                        </a:ln>
                      </wps:spPr>
                      <wps:txbx>
                        <w:txbxContent>
                          <w:p w14:paraId="0B491EF9" w14:textId="77777777" w:rsidR="006A5267" w:rsidRDefault="006A5267" w:rsidP="008B4B2B">
                            <w:pPr>
                              <w:jc w:val="left"/>
                            </w:pPr>
                            <w:r>
                              <w:rPr>
                                <w:rFonts w:hint="eastAsia"/>
                              </w:rPr>
                              <w:t>所管が不明確</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shape w14:anchorId="0A285321" id="Text Box 295" o:spid="_x0000_s1966" type="#_x0000_t202" style="position:absolute;left:0;text-align:left;margin-left:237.6pt;margin-top:2.75pt;width:45pt;height:36pt;z-index:2538270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">
                <v:textbox inset="5.85pt,.7pt,5.85pt,.7pt">
                  <w:txbxContent>
                    <w:p w14:paraId="0B491EF9" w14:textId="77777777" w:rsidR="006A5267" w:rsidRDefault="006A5267" w:rsidP="008B4B2B">
                      <w:pPr>
                        <w:jc w:val="left"/>
                      </w:pPr>
                      <w:r>
                        <w:rPr>
                          <w:rFonts w:hint="eastAsia"/>
                        </w:rPr>
                        <w:t>所管が不明確</w:t>
                      </w:r>
                    </w:p>
                  </w:txbxContent>
                </v:textbox>
              </v:shape>
            </w:pict>
          </mc:Fallback>
        </mc:AlternateContent>
      </w:r>
      <w:r w:rsidRPr="001D6D10">
        <w:rPr>
          <w:noProof/>
        </w:rPr>
        <mc:AlternateContent>
          <mc:Choice Requires="wps">
            <w:drawing>
              <wp:anchor distT="0" distB="0" distL="114300" distR="114300" simplePos="0" relativeHeight="253826048" behindDoc="0" locked="0" layoutInCell="1" allowOverlap="1" wp14:anchorId="3DCFE20E" wp14:editId="6ECD90CE">
                <wp:simplePos x="0" y="0"/>
                <wp:positionH relativeFrom="column">
                  <wp:posOffset>2103120</wp:posOffset>
                </wp:positionH>
                <wp:positionV relativeFrom="paragraph">
                  <wp:posOffset>34925</wp:posOffset>
                </wp:positionV>
                <wp:extent cx="571500" cy="457200"/>
                <wp:effectExtent l="0" t="0" r="19050" b="19050"/>
                <wp:wrapNone/>
                <wp:docPr id="20" name="Text Box 29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1500" cy="457200"/>
                        </a:xfrm>
                        <a:prstGeom prst="rect">
                          <a:avLst/>
                        </a:prstGeom>
                        <a:solidFill>
                          <a:srgbClr val="FFFFFF"/>
                        </a:solidFill>
                        <a:ln w="9525">
                          <a:solidFill>
                            <a:srgbClr val="000000"/>
                          </a:solidFill>
                          <a:miter lim="800000"/>
                          <a:headEnd/>
                          <a:tailEnd/>
                        </a:ln>
                      </wps:spPr>
                      <wps:txbx>
                        <w:txbxContent>
                          <w:p w14:paraId="22C98295" w14:textId="77777777" w:rsidR="006A5267" w:rsidRDefault="006A5267" w:rsidP="008B4B2B">
                            <w:pPr>
                              <w:jc w:val="left"/>
                            </w:pPr>
                            <w:r>
                              <w:rPr>
                                <w:rFonts w:hint="eastAsia"/>
                              </w:rPr>
                              <w:t>所管が明確</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shape w14:anchorId="3DCFE20E" id="Text Box 294" o:spid="_x0000_s1967" type="#_x0000_t202" style="position:absolute;left:0;text-align:left;margin-left:165.6pt;margin-top:2.75pt;width:45pt;height:36pt;z-index:2538260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">
                <v:textbox inset="5.85pt,.7pt,5.85pt,.7pt">
                  <w:txbxContent>
                    <w:p w14:paraId="22C98295" w14:textId="77777777" w:rsidR="006A5267" w:rsidRDefault="006A5267" w:rsidP="008B4B2B">
                      <w:pPr>
                        <w:jc w:val="left"/>
                      </w:pPr>
                      <w:r>
                        <w:rPr>
                          <w:rFonts w:hint="eastAsia"/>
                        </w:rPr>
                        <w:t>所管が明確</w:t>
                      </w:r>
                    </w:p>
                  </w:txbxContent>
                </v:textbox>
              </v:shape>
            </w:pict>
          </mc:Fallback>
        </mc:AlternateContent>
      </w:r>
    </w:p>
    <w:p w14:paraId="06ED51E1" w14:textId="77777777" w:rsidR="008B4B2B" w:rsidRPr="001D6D10" w:rsidRDefault="008B4B2B" w:rsidP="008B4B2B"/>
    <w:p w14:paraId="596AE806" w14:textId="77777777" w:rsidR="008B4B2B" w:rsidRPr="001D6D10" w:rsidRDefault="008B4B2B" w:rsidP="008B4B2B">
      <w:r w:rsidRPr="001D6D10">
        <w:rPr>
          <w:noProof/>
        </w:rPr>
        <mc:AlternateContent>
          <mc:Choice Requires="wps">
            <w:drawing>
              <wp:anchor distT="0" distB="0" distL="114299" distR="114299" simplePos="0" relativeHeight="253864960" behindDoc="0" locked="0" layoutInCell="1" allowOverlap="1" wp14:anchorId="45E7C56D" wp14:editId="5F3910B1">
                <wp:simplePos x="0" y="0"/>
                <wp:positionH relativeFrom="column">
                  <wp:posOffset>2412999</wp:posOffset>
                </wp:positionH>
                <wp:positionV relativeFrom="paragraph">
                  <wp:posOffset>124460</wp:posOffset>
                </wp:positionV>
                <wp:extent cx="0" cy="370840"/>
                <wp:effectExtent l="76200" t="0" r="76200" b="48260"/>
                <wp:wrapNone/>
                <wp:docPr id="19" name="Line 33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37084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line w14:anchorId="403705AB" id="Line 333" o:spid="_x0000_s1026" style="position:absolute;left:0;text-align:left;z-index:253864960;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from="190pt,9.8pt" to="190pt,3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">
                <v:stroke endarrow="block"/>
              </v:line>
            </w:pict>
          </mc:Fallback>
        </mc:AlternateContent>
      </w:r>
      <w:r w:rsidRPr="001D6D10">
        <w:rPr>
          <w:noProof/>
        </w:rPr>
        <mc:AlternateContent>
          <mc:Choice Requires="wps">
            <w:drawing>
              <wp:anchor distT="0" distB="0" distL="114299" distR="114299" simplePos="0" relativeHeight="253848576" behindDoc="0" locked="0" layoutInCell="1" allowOverlap="1" wp14:anchorId="45F3C526" wp14:editId="2B4238D5">
                <wp:simplePos x="0" y="0"/>
                <wp:positionH relativeFrom="column">
                  <wp:posOffset>3378199</wp:posOffset>
                </wp:positionH>
                <wp:positionV relativeFrom="paragraph">
                  <wp:posOffset>124460</wp:posOffset>
                </wp:positionV>
                <wp:extent cx="0" cy="370840"/>
                <wp:effectExtent l="76200" t="0" r="76200" b="48260"/>
                <wp:wrapNone/>
                <wp:docPr id="18" name="Line 31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37084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line w14:anchorId="30DA2D03" id="Line 318" o:spid="_x0000_s1026" style="position:absolute;left:0;text-align:left;z-index:253848576;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from="266pt,9.8pt" to="266pt,3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">
                <v:stroke endarrow="block"/>
              </v:line>
            </w:pict>
          </mc:Fallback>
        </mc:AlternateContent>
      </w:r>
    </w:p>
    <w:p w14:paraId="75540C5D" w14:textId="77777777" w:rsidR="008B4B2B" w:rsidRPr="001D6D10" w:rsidRDefault="008B4B2B" w:rsidP="008B4B2B"/>
    <w:p w14:paraId="346B31FD" w14:textId="77777777" w:rsidR="008B4B2B" w:rsidRPr="001D6D10" w:rsidRDefault="008B4B2B" w:rsidP="008B4B2B">
      <w:r w:rsidRPr="001D6D10">
        <w:rPr>
          <w:noProof/>
        </w:rPr>
        <mc:AlternateContent>
          <mc:Choice Requires="wps">
            <w:drawing>
              <wp:anchor distT="0" distB="0" distL="114300" distR="114300" simplePos="0" relativeHeight="253828096" behindDoc="0" locked="0" layoutInCell="1" allowOverlap="1" wp14:anchorId="137CDF0B" wp14:editId="268B17C0">
                <wp:simplePos x="0" y="0"/>
                <wp:positionH relativeFrom="column">
                  <wp:posOffset>2103120</wp:posOffset>
                </wp:positionH>
                <wp:positionV relativeFrom="paragraph">
                  <wp:posOffset>149225</wp:posOffset>
                </wp:positionV>
                <wp:extent cx="1485900" cy="254000"/>
                <wp:effectExtent l="0" t="0" r="19050" b="12700"/>
                <wp:wrapNone/>
                <wp:docPr id="17" name="Text Box 29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85900" cy="254000"/>
                        </a:xfrm>
                        <a:prstGeom prst="rect">
                          <a:avLst/>
                        </a:prstGeom>
                        <a:solidFill>
                          <a:srgbClr val="FFFFFF"/>
                        </a:solidFill>
                        <a:ln w="9525">
                          <a:solidFill>
                            <a:srgbClr val="000000"/>
                          </a:solidFill>
                          <a:miter lim="800000"/>
                          <a:headEnd/>
                          <a:tailEnd/>
                        </a:ln>
                      </wps:spPr>
                      <wps:txbx>
                        <w:txbxContent>
                          <w:p w14:paraId="424E6CF9" w14:textId="77777777" w:rsidR="006A5267" w:rsidRPr="0020549C" w:rsidRDefault="006A5267" w:rsidP="008B4B2B">
                            <w:pPr>
                              <w:jc w:val="center"/>
                              <w:rPr>
                                <w:w w:val="90"/>
                              </w:rPr>
                            </w:pPr>
                            <w:r w:rsidRPr="0020549C">
                              <w:rPr>
                                <w:rFonts w:hint="eastAsia"/>
                                <w:w w:val="90"/>
                              </w:rPr>
                              <w:t>危機管理情報担当補佐</w:t>
                            </w:r>
                          </w:p>
                          <w:p w14:paraId="55B76BD7" w14:textId="77777777" w:rsidR="006A5267" w:rsidRDefault="006A5267" w:rsidP="008B4B2B">
                            <w:pPr>
                              <w:jc w:val="center"/>
                            </w:pP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shape w14:anchorId="137CDF0B" id="Text Box 296" o:spid="_x0000_s1968" type="#_x0000_t202" style="position:absolute;left:0;text-align:left;margin-left:165.6pt;margin-top:11.75pt;width:117pt;height:20pt;z-index:2538280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">
                <v:textbox inset="5.85pt,.7pt,5.85pt,.7pt">
                  <w:txbxContent>
                    <w:p w14:paraId="424E6CF9" w14:textId="77777777" w:rsidR="006A5267" w:rsidRPr="0020549C" w:rsidRDefault="006A5267" w:rsidP="008B4B2B">
                      <w:pPr>
                        <w:jc w:val="center"/>
                        <w:rPr>
                          <w:w w:val="90"/>
                        </w:rPr>
                      </w:pPr>
                      <w:r w:rsidRPr="0020549C">
                        <w:rPr>
                          <w:rFonts w:hint="eastAsia"/>
                          <w:w w:val="90"/>
                        </w:rPr>
                        <w:t>危機管理情報担当補佐</w:t>
                      </w:r>
                    </w:p>
                    <w:p w14:paraId="55B76BD7" w14:textId="77777777" w:rsidR="006A5267" w:rsidRDefault="006A5267" w:rsidP="008B4B2B">
                      <w:pPr>
                        <w:jc w:val="center"/>
                      </w:pPr>
                    </w:p>
                  </w:txbxContent>
                </v:textbox>
              </v:shape>
            </w:pict>
          </mc:Fallback>
        </mc:AlternateContent>
      </w:r>
    </w:p>
    <w:p w14:paraId="0F698776" w14:textId="77777777" w:rsidR="008B4B2B" w:rsidRPr="001D6D10" w:rsidRDefault="008B4B2B" w:rsidP="008B4B2B"/>
    <w:p w14:paraId="5E7E7775" w14:textId="77777777" w:rsidR="008B4B2B" w:rsidRPr="001D6D10" w:rsidRDefault="008B4B2B" w:rsidP="008B4B2B">
      <w:pPr>
        <w:spacing w:line="900" w:lineRule="exact"/>
      </w:pPr>
      <w:r w:rsidRPr="001D6D10">
        <w:rPr>
          <w:noProof/>
        </w:rPr>
        <mc:AlternateContent>
          <mc:Choice Requires="wps">
            <w:drawing>
              <wp:anchor distT="0" distB="0" distL="114300" distR="114300" simplePos="0" relativeHeight="253830144" behindDoc="0" locked="0" layoutInCell="1" allowOverlap="1" wp14:anchorId="728C3958" wp14:editId="411AE875">
                <wp:simplePos x="0" y="0"/>
                <wp:positionH relativeFrom="column">
                  <wp:posOffset>-16510</wp:posOffset>
                </wp:positionH>
                <wp:positionV relativeFrom="paragraph">
                  <wp:posOffset>208915</wp:posOffset>
                </wp:positionV>
                <wp:extent cx="631825" cy="342900"/>
                <wp:effectExtent l="0" t="0" r="15875" b="19050"/>
                <wp:wrapNone/>
                <wp:docPr id="16" name="Text Box 29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1825" cy="342900"/>
                        </a:xfrm>
                        <a:prstGeom prst="rect">
                          <a:avLst/>
                        </a:prstGeom>
                        <a:solidFill>
                          <a:srgbClr val="FFFFFF"/>
                        </a:solidFill>
                        <a:ln w="9525">
                          <a:solidFill>
                            <a:srgbClr val="000000"/>
                          </a:solidFill>
                          <a:miter lim="800000"/>
                          <a:headEnd/>
                          <a:tailEnd/>
                        </a:ln>
                      </wps:spPr>
                      <wps:txbx>
                        <w:txbxContent>
                          <w:p w14:paraId="38689675" w14:textId="77777777" w:rsidR="006A5267" w:rsidRPr="009A53B6" w:rsidRDefault="006A5267" w:rsidP="008B4B2B">
                            <w:pPr>
                              <w:spacing w:line="380" w:lineRule="exact"/>
                              <w:jc w:val="center"/>
                              <w:rPr>
                                <w:w w:val="70"/>
                                <w:szCs w:val="21"/>
                              </w:rPr>
                            </w:pPr>
                            <w:r w:rsidRPr="009A53B6">
                              <w:rPr>
                                <w:rFonts w:hint="eastAsia"/>
                                <w:w w:val="70"/>
                                <w:szCs w:val="21"/>
                              </w:rPr>
                              <w:t>関係室課長</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shape w14:anchorId="728C3958" id="Text Box 298" o:spid="_x0000_s1969" type="#_x0000_t202" style="position:absolute;left:0;text-align:left;margin-left:-1.3pt;margin-top:16.45pt;width:49.75pt;height:27pt;z-index:2538301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">
                <v:textbox inset="5.85pt,.7pt,5.85pt,.7pt">
                  <w:txbxContent>
                    <w:p w14:paraId="38689675" w14:textId="77777777" w:rsidR="006A5267" w:rsidRPr="009A53B6" w:rsidRDefault="006A5267" w:rsidP="008B4B2B">
                      <w:pPr>
                        <w:spacing w:line="380" w:lineRule="exact"/>
                        <w:jc w:val="center"/>
                        <w:rPr>
                          <w:w w:val="70"/>
                          <w:szCs w:val="21"/>
                        </w:rPr>
                      </w:pPr>
                      <w:r w:rsidRPr="009A53B6">
                        <w:rPr>
                          <w:rFonts w:hint="eastAsia"/>
                          <w:w w:val="70"/>
                          <w:szCs w:val="21"/>
                        </w:rPr>
                        <w:t>関係室課長</w:t>
                      </w:r>
                    </w:p>
                  </w:txbxContent>
                </v:textbox>
              </v:shape>
            </w:pict>
          </mc:Fallback>
        </mc:AlternateContent>
      </w:r>
      <w:r w:rsidRPr="001D6D10">
        <w:rPr>
          <w:noProof/>
        </w:rPr>
        <mc:AlternateContent>
          <mc:Choice Requires="wps">
            <w:drawing>
              <wp:anchor distT="0" distB="0" distL="114300" distR="114300" simplePos="0" relativeHeight="253831168" behindDoc="0" locked="0" layoutInCell="1" allowOverlap="1" wp14:anchorId="54FE4E0E" wp14:editId="4054A3D3">
                <wp:simplePos x="0" y="0"/>
                <wp:positionH relativeFrom="column">
                  <wp:posOffset>960120</wp:posOffset>
                </wp:positionH>
                <wp:positionV relativeFrom="paragraph">
                  <wp:posOffset>212725</wp:posOffset>
                </wp:positionV>
                <wp:extent cx="914400" cy="511175"/>
                <wp:effectExtent l="0" t="0" r="19050" b="22225"/>
                <wp:wrapNone/>
                <wp:docPr id="15" name="Text Box 29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14400" cy="511175"/>
                        </a:xfrm>
                        <a:prstGeom prst="rect">
                          <a:avLst/>
                        </a:prstGeom>
                        <a:solidFill>
                          <a:srgbClr val="FFFFFF"/>
                        </a:solidFill>
                        <a:ln w="9525">
                          <a:solidFill>
                            <a:srgbClr val="000000"/>
                          </a:solidFill>
                          <a:miter lim="800000"/>
                          <a:headEnd/>
                          <a:tailEnd/>
                        </a:ln>
                      </wps:spPr>
                      <wps:txbx>
                        <w:txbxContent>
                          <w:p w14:paraId="5F3887EB" w14:textId="77777777" w:rsidR="006A5267" w:rsidRDefault="006A5267" w:rsidP="008B4B2B">
                            <w:pPr>
                              <w:spacing w:line="380" w:lineRule="exact"/>
                              <w:rPr>
                                <w:w w:val="70"/>
                                <w:szCs w:val="21"/>
                              </w:rPr>
                            </w:pPr>
                            <w:r w:rsidRPr="009A53B6">
                              <w:rPr>
                                <w:rFonts w:hint="eastAsia"/>
                                <w:w w:val="70"/>
                                <w:szCs w:val="21"/>
                              </w:rPr>
                              <w:t>危機管理情報担当</w:t>
                            </w:r>
                          </w:p>
                          <w:p w14:paraId="16C33A56" w14:textId="77777777" w:rsidR="006A5267" w:rsidRPr="00F87BEE" w:rsidRDefault="006A5267" w:rsidP="008B4B2B">
                            <w:pPr>
                              <w:spacing w:line="380" w:lineRule="exact"/>
                              <w:ind w:firstLineChars="100" w:firstLine="112"/>
                              <w:rPr>
                                <w:w w:val="70"/>
                                <w:sz w:val="16"/>
                                <w:szCs w:val="16"/>
                              </w:rPr>
                            </w:pPr>
                            <w:r w:rsidRPr="00F87BEE">
                              <w:rPr>
                                <w:rFonts w:hint="eastAsia"/>
                                <w:w w:val="70"/>
                                <w:sz w:val="16"/>
                                <w:szCs w:val="16"/>
                              </w:rPr>
                              <w:t>（各部局次長）</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shape w14:anchorId="54FE4E0E" id="Text Box 299" o:spid="_x0000_s1970" type="#_x0000_t202" style="position:absolute;left:0;text-align:left;margin-left:75.6pt;margin-top:16.75pt;width:1in;height:40.25pt;z-index:253831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">
                <v:textbox inset="5.85pt,.7pt,5.85pt,.7pt">
                  <w:txbxContent>
                    <w:p w14:paraId="5F3887EB" w14:textId="77777777" w:rsidR="006A5267" w:rsidRDefault="006A5267" w:rsidP="008B4B2B">
                      <w:pPr>
                        <w:spacing w:line="380" w:lineRule="exact"/>
                        <w:rPr>
                          <w:w w:val="70"/>
                          <w:szCs w:val="21"/>
                        </w:rPr>
                      </w:pPr>
                      <w:r w:rsidRPr="009A53B6">
                        <w:rPr>
                          <w:rFonts w:hint="eastAsia"/>
                          <w:w w:val="70"/>
                          <w:szCs w:val="21"/>
                        </w:rPr>
                        <w:t>危機管理情報担当</w:t>
                      </w:r>
                    </w:p>
                    <w:p w14:paraId="16C33A56" w14:textId="77777777" w:rsidR="006A5267" w:rsidRPr="00F87BEE" w:rsidRDefault="006A5267" w:rsidP="008B4B2B">
                      <w:pPr>
                        <w:spacing w:line="380" w:lineRule="exact"/>
                        <w:ind w:firstLineChars="100" w:firstLine="112"/>
                        <w:rPr>
                          <w:w w:val="70"/>
                          <w:sz w:val="16"/>
                          <w:szCs w:val="16"/>
                        </w:rPr>
                      </w:pPr>
                      <w:r w:rsidRPr="00F87BEE">
                        <w:rPr>
                          <w:rFonts w:hint="eastAsia"/>
                          <w:w w:val="70"/>
                          <w:sz w:val="16"/>
                          <w:szCs w:val="16"/>
                        </w:rPr>
                        <w:t>（各部局次長）</w:t>
                      </w:r>
                    </w:p>
                  </w:txbxContent>
                </v:textbox>
              </v:shape>
            </w:pict>
          </mc:Fallback>
        </mc:AlternateContent>
      </w:r>
      <w:r w:rsidRPr="001D6D10">
        <w:rPr>
          <w:noProof/>
        </w:rPr>
        <mc:AlternateContent>
          <mc:Choice Requires="wps">
            <w:drawing>
              <wp:anchor distT="0" distB="0" distL="114300" distR="114300" simplePos="0" relativeHeight="253829120" behindDoc="0" locked="0" layoutInCell="1" allowOverlap="1" wp14:anchorId="587D3338" wp14:editId="0A1DAEE5">
                <wp:simplePos x="0" y="0"/>
                <wp:positionH relativeFrom="column">
                  <wp:posOffset>3817620</wp:posOffset>
                </wp:positionH>
                <wp:positionV relativeFrom="paragraph">
                  <wp:posOffset>263525</wp:posOffset>
                </wp:positionV>
                <wp:extent cx="1600200" cy="292100"/>
                <wp:effectExtent l="0" t="0" r="19050" b="12700"/>
                <wp:wrapNone/>
                <wp:docPr id="14" name="Text Box 29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00200" cy="292100"/>
                        </a:xfrm>
                        <a:prstGeom prst="rect">
                          <a:avLst/>
                        </a:prstGeom>
                        <a:solidFill>
                          <a:srgbClr val="FFFFFF"/>
                        </a:solidFill>
                        <a:ln w="9525">
                          <a:solidFill>
                            <a:srgbClr val="000000"/>
                          </a:solidFill>
                          <a:miter lim="800000"/>
                          <a:headEnd/>
                          <a:tailEnd/>
                        </a:ln>
                      </wps:spPr>
                      <wps:txbx>
                        <w:txbxContent>
                          <w:p w14:paraId="05B5D953" w14:textId="77777777" w:rsidR="006A5267" w:rsidRDefault="006A5267" w:rsidP="008B4B2B">
                            <w:pPr>
                              <w:jc w:val="center"/>
                            </w:pPr>
                            <w:r>
                              <w:rPr>
                                <w:rFonts w:hint="eastAsia"/>
                              </w:rPr>
                              <w:t>災害対策</w:t>
                            </w:r>
                            <w:r w:rsidRPr="00F87BEE">
                              <w:rPr>
                                <w:rFonts w:hint="eastAsia"/>
                              </w:rPr>
                              <w:t>課長</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shape w14:anchorId="587D3338" id="Text Box 297" o:spid="_x0000_s1971" type="#_x0000_t202" style="position:absolute;left:0;text-align:left;margin-left:300.6pt;margin-top:20.75pt;width:126pt;height:23pt;z-index:2538291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">
                <v:textbox inset="5.85pt,.7pt,5.85pt,.7pt">
                  <w:txbxContent>
                    <w:p w14:paraId="05B5D953" w14:textId="77777777" w:rsidR="006A5267" w:rsidRDefault="006A5267" w:rsidP="008B4B2B">
                      <w:pPr>
                        <w:jc w:val="center"/>
                      </w:pPr>
                      <w:r>
                        <w:rPr>
                          <w:rFonts w:hint="eastAsia"/>
                        </w:rPr>
                        <w:t>災害対策</w:t>
                      </w:r>
                      <w:r w:rsidRPr="00F87BEE">
                        <w:rPr>
                          <w:rFonts w:hint="eastAsia"/>
                        </w:rPr>
                        <w:t>課長</w:t>
                      </w:r>
                    </w:p>
                  </w:txbxContent>
                </v:textbox>
              </v:shape>
            </w:pict>
          </mc:Fallback>
        </mc:AlternateContent>
      </w:r>
      <w:r w:rsidRPr="001D6D10">
        <w:rPr>
          <w:noProof/>
        </w:rPr>
        <mc:AlternateContent>
          <mc:Choice Requires="wps">
            <w:drawing>
              <wp:anchor distT="4294967295" distB="4294967295" distL="114300" distR="114300" simplePos="0" relativeHeight="253855744" behindDoc="0" locked="0" layoutInCell="1" allowOverlap="1" wp14:anchorId="12AAE2F1" wp14:editId="2FCB477B">
                <wp:simplePos x="0" y="0"/>
                <wp:positionH relativeFrom="column">
                  <wp:posOffset>617220</wp:posOffset>
                </wp:positionH>
                <wp:positionV relativeFrom="paragraph">
                  <wp:posOffset>403224</wp:posOffset>
                </wp:positionV>
                <wp:extent cx="342900" cy="0"/>
                <wp:effectExtent l="38100" t="76200" r="19050" b="95250"/>
                <wp:wrapNone/>
                <wp:docPr id="13" name="Line 32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2900" cy="0"/>
                        </a:xfrm>
                        <a:prstGeom prst="line">
                          <a:avLst/>
                        </a:prstGeom>
                        <a:noFill/>
                        <a:ln w="9525">
                          <a:solidFill>
                            <a:srgbClr val="000000"/>
                          </a:solidFill>
                          <a:round/>
                          <a:headEnd type="triangle" w="med" len="me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line w14:anchorId="079AEA5F" id="Line 324" o:spid="_x0000_s1026" style="position:absolute;left:0;text-align:left;z-index:253855744;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48.6pt,31.75pt" to="75.6pt,31.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">
                <v:stroke startarrow="block" endarrow="block"/>
              </v:line>
            </w:pict>
          </mc:Fallback>
        </mc:AlternateContent>
      </w:r>
      <w:r w:rsidRPr="001D6D10">
        <w:rPr>
          <w:rFonts w:hint="eastAsia"/>
        </w:rPr>
        <w:t xml:space="preserve">　　　　　　　　　　　　　　　　　　　</w:t>
      </w:r>
    </w:p>
    <w:p w14:paraId="34B9A92F" w14:textId="77777777" w:rsidR="008B4B2B" w:rsidRPr="001D6D10" w:rsidRDefault="008B4B2B" w:rsidP="008B4B2B">
      <w:r w:rsidRPr="001D6D10">
        <w:rPr>
          <w:noProof/>
        </w:rPr>
        <mc:AlternateContent>
          <mc:Choice Requires="wps">
            <w:drawing>
              <wp:anchor distT="0" distB="0" distL="114300" distR="114300" simplePos="0" relativeHeight="253863936" behindDoc="0" locked="0" layoutInCell="1" allowOverlap="1" wp14:anchorId="2C5080A3" wp14:editId="24820DAE">
                <wp:simplePos x="0" y="0"/>
                <wp:positionH relativeFrom="column">
                  <wp:posOffset>1483995</wp:posOffset>
                </wp:positionH>
                <wp:positionV relativeFrom="paragraph">
                  <wp:posOffset>153670</wp:posOffset>
                </wp:positionV>
                <wp:extent cx="9525" cy="804545"/>
                <wp:effectExtent l="38100" t="0" r="66675" b="52705"/>
                <wp:wrapNone/>
                <wp:docPr id="12" name="Line 33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9525" cy="804545"/>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line w14:anchorId="731A3B90" id="Line 332" o:spid="_x0000_s1026" style="position:absolute;left:0;text-align:left;z-index:2538639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16.85pt,12.1pt" to="117.6pt,75.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">
                <v:stroke endarrow="block"/>
              </v:line>
            </w:pict>
          </mc:Fallback>
        </mc:AlternateContent>
      </w:r>
      <w:r w:rsidRPr="001D6D10">
        <w:rPr>
          <w:noProof/>
        </w:rPr>
        <mc:AlternateContent>
          <mc:Choice Requires="wps">
            <w:drawing>
              <wp:anchor distT="0" distB="0" distL="114300" distR="114300" simplePos="0" relativeHeight="253841408" behindDoc="0" locked="0" layoutInCell="1" allowOverlap="1" wp14:anchorId="3585878D" wp14:editId="2C539771">
                <wp:simplePos x="0" y="0"/>
                <wp:positionH relativeFrom="column">
                  <wp:posOffset>4584700</wp:posOffset>
                </wp:positionH>
                <wp:positionV relativeFrom="paragraph">
                  <wp:posOffset>16510</wp:posOffset>
                </wp:positionV>
                <wp:extent cx="1905" cy="925195"/>
                <wp:effectExtent l="76200" t="0" r="74295" b="65405"/>
                <wp:wrapNone/>
                <wp:docPr id="11" name="Line 31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905" cy="925195"/>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line w14:anchorId="1E10D6AC" id="Line 310" o:spid="_x0000_s1026" style="position:absolute;left:0;text-align:left;z-index:253841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61pt,1.3pt" to="361.15pt,74.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">
                <v:stroke endarrow="block"/>
              </v:line>
            </w:pict>
          </mc:Fallback>
        </mc:AlternateContent>
      </w:r>
      <w:r w:rsidRPr="001D6D10">
        <w:rPr>
          <w:rFonts w:hint="eastAsia"/>
        </w:rPr>
        <w:t xml:space="preserve">　　　　　　　　　　　　　　　　　　　　　</w:t>
      </w:r>
    </w:p>
    <w:p w14:paraId="519C3635" w14:textId="77777777" w:rsidR="008B4B2B" w:rsidRPr="001D6D10" w:rsidRDefault="008B4B2B" w:rsidP="008B4B2B"/>
    <w:p w14:paraId="70D869B1" w14:textId="77777777" w:rsidR="008B4B2B" w:rsidRPr="001D6D10" w:rsidRDefault="008B4B2B" w:rsidP="008B4B2B"/>
    <w:p w14:paraId="395B8E5B" w14:textId="77777777" w:rsidR="008B4B2B" w:rsidRPr="001D6D10" w:rsidRDefault="008B4B2B" w:rsidP="008B4B2B"/>
    <w:p w14:paraId="087117FF" w14:textId="77777777" w:rsidR="008B4B2B" w:rsidRPr="001D6D10" w:rsidRDefault="008B4B2B" w:rsidP="008B4B2B">
      <w:r w:rsidRPr="001D6D10">
        <w:rPr>
          <w:noProof/>
        </w:rPr>
        <mc:AlternateContent>
          <mc:Choice Requires="wps">
            <w:drawing>
              <wp:anchor distT="0" distB="0" distL="114300" distR="114300" simplePos="0" relativeHeight="253832192" behindDoc="0" locked="0" layoutInCell="1" allowOverlap="1" wp14:anchorId="516870CF" wp14:editId="1DE58B9E">
                <wp:simplePos x="0" y="0"/>
                <wp:positionH relativeFrom="column">
                  <wp:posOffset>3771900</wp:posOffset>
                </wp:positionH>
                <wp:positionV relativeFrom="paragraph">
                  <wp:posOffset>107950</wp:posOffset>
                </wp:positionV>
                <wp:extent cx="1657350" cy="272415"/>
                <wp:effectExtent l="0" t="0" r="19050" b="13335"/>
                <wp:wrapNone/>
                <wp:docPr id="10" name="Text Box 30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57350" cy="272415"/>
                        </a:xfrm>
                        <a:prstGeom prst="rect">
                          <a:avLst/>
                        </a:prstGeom>
                        <a:solidFill>
                          <a:srgbClr val="FFFFFF"/>
                        </a:solidFill>
                        <a:ln w="9525">
                          <a:solidFill>
                            <a:srgbClr val="000000"/>
                          </a:solidFill>
                          <a:miter lim="800000"/>
                          <a:headEnd/>
                          <a:tailEnd/>
                        </a:ln>
                      </wps:spPr>
                      <wps:txbx>
                        <w:txbxContent>
                          <w:p w14:paraId="504A431F" w14:textId="77777777" w:rsidR="006A5267" w:rsidRDefault="006A5267" w:rsidP="008B4B2B">
                            <w:pPr>
                              <w:jc w:val="center"/>
                            </w:pPr>
                            <w:r>
                              <w:rPr>
                                <w:rFonts w:hint="eastAsia"/>
                              </w:rPr>
                              <w:t>危機管理監</w:t>
                            </w:r>
                            <w:r w:rsidRPr="00F87BEE">
                              <w:rPr>
                                <w:rFonts w:hint="eastAsia"/>
                              </w:rPr>
                              <w:t>・危機管理室</w:t>
                            </w:r>
                            <w:r w:rsidRPr="00E624DB">
                              <w:rPr>
                                <w:rFonts w:hint="eastAsia"/>
                                <w:u w:val="single"/>
                              </w:rPr>
                              <w:t>長</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shape w14:anchorId="516870CF" id="Text Box 300" o:spid="_x0000_s1972" type="#_x0000_t202" style="position:absolute;left:0;text-align:left;margin-left:297pt;margin-top:8.5pt;width:130.5pt;height:21.45pt;z-index:253832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">
                <v:textbox inset="5.85pt,.7pt,5.85pt,.7pt">
                  <w:txbxContent>
                    <w:p w14:paraId="504A431F" w14:textId="77777777" w:rsidR="006A5267" w:rsidRDefault="006A5267" w:rsidP="008B4B2B">
                      <w:pPr>
                        <w:jc w:val="center"/>
                      </w:pPr>
                      <w:r>
                        <w:rPr>
                          <w:rFonts w:hint="eastAsia"/>
                        </w:rPr>
                        <w:t>危機管理監</w:t>
                      </w:r>
                      <w:r w:rsidRPr="00F87BEE">
                        <w:rPr>
                          <w:rFonts w:hint="eastAsia"/>
                        </w:rPr>
                        <w:t>・危機管理室</w:t>
                      </w:r>
                      <w:r w:rsidRPr="00E624DB">
                        <w:rPr>
                          <w:rFonts w:hint="eastAsia"/>
                          <w:u w:val="single"/>
                        </w:rPr>
                        <w:t>長</w:t>
                      </w:r>
                    </w:p>
                  </w:txbxContent>
                </v:textbox>
              </v:shape>
            </w:pict>
          </mc:Fallback>
        </mc:AlternateContent>
      </w:r>
      <w:r w:rsidRPr="001D6D10">
        <w:rPr>
          <w:noProof/>
        </w:rPr>
        <mc:AlternateContent>
          <mc:Choice Requires="wps">
            <w:drawing>
              <wp:anchor distT="0" distB="0" distL="114300" distR="114300" simplePos="0" relativeHeight="253833216" behindDoc="0" locked="0" layoutInCell="1" allowOverlap="1" wp14:anchorId="12A2E5FD" wp14:editId="0A29DD68">
                <wp:simplePos x="0" y="0"/>
                <wp:positionH relativeFrom="column">
                  <wp:posOffset>914400</wp:posOffset>
                </wp:positionH>
                <wp:positionV relativeFrom="paragraph">
                  <wp:posOffset>107950</wp:posOffset>
                </wp:positionV>
                <wp:extent cx="914400" cy="228600"/>
                <wp:effectExtent l="0" t="0" r="19050" b="19050"/>
                <wp:wrapNone/>
                <wp:docPr id="9" name="Text Box 30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14400" cy="228600"/>
                        </a:xfrm>
                        <a:prstGeom prst="rect">
                          <a:avLst/>
                        </a:prstGeom>
                        <a:solidFill>
                          <a:srgbClr val="FFFFFF"/>
                        </a:solidFill>
                        <a:ln w="9525">
                          <a:solidFill>
                            <a:srgbClr val="000000"/>
                          </a:solidFill>
                          <a:miter lim="800000"/>
                          <a:headEnd/>
                          <a:tailEnd/>
                        </a:ln>
                      </wps:spPr>
                      <wps:txbx>
                        <w:txbxContent>
                          <w:p w14:paraId="6270679C" w14:textId="77777777" w:rsidR="006A5267" w:rsidRDefault="006A5267" w:rsidP="008B4B2B">
                            <w:pPr>
                              <w:jc w:val="center"/>
                            </w:pPr>
                            <w:r>
                              <w:rPr>
                                <w:rFonts w:hint="eastAsia"/>
                              </w:rPr>
                              <w:t>部局長</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shape w14:anchorId="12A2E5FD" id="Text Box 301" o:spid="_x0000_s1973" type="#_x0000_t202" style="position:absolute;left:0;text-align:left;margin-left:1in;margin-top:8.5pt;width:1in;height:18pt;z-index:253833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">
                <v:textbox inset="5.85pt,.7pt,5.85pt,.7pt">
                  <w:txbxContent>
                    <w:p w14:paraId="6270679C" w14:textId="77777777" w:rsidR="006A5267" w:rsidRDefault="006A5267" w:rsidP="008B4B2B">
                      <w:pPr>
                        <w:jc w:val="center"/>
                      </w:pPr>
                      <w:r>
                        <w:rPr>
                          <w:rFonts w:hint="eastAsia"/>
                        </w:rPr>
                        <w:t>部局長</w:t>
                      </w:r>
                    </w:p>
                  </w:txbxContent>
                </v:textbox>
              </v:shape>
            </w:pict>
          </mc:Fallback>
        </mc:AlternateContent>
      </w:r>
    </w:p>
    <w:p w14:paraId="75B24A6E" w14:textId="77777777" w:rsidR="008B4B2B" w:rsidRPr="001D6D10" w:rsidRDefault="008B4B2B" w:rsidP="008B4B2B">
      <w:r w:rsidRPr="001D6D10">
        <w:rPr>
          <w:noProof/>
        </w:rPr>
        <mc:AlternateContent>
          <mc:Choice Requires="wps">
            <w:drawing>
              <wp:anchor distT="0" distB="0" distL="114299" distR="114299" simplePos="0" relativeHeight="253854720" behindDoc="0" locked="0" layoutInCell="1" allowOverlap="1" wp14:anchorId="41F9C429" wp14:editId="031F8A52">
                <wp:simplePos x="0" y="0"/>
                <wp:positionH relativeFrom="column">
                  <wp:posOffset>1485899</wp:posOffset>
                </wp:positionH>
                <wp:positionV relativeFrom="paragraph">
                  <wp:posOffset>107950</wp:posOffset>
                </wp:positionV>
                <wp:extent cx="0" cy="768985"/>
                <wp:effectExtent l="76200" t="0" r="57150" b="50165"/>
                <wp:wrapNone/>
                <wp:docPr id="2763" name="Line 32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768985"/>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line w14:anchorId="4A0E11D4" id="Line 323" o:spid="_x0000_s1026" style="position:absolute;left:0;text-align:left;z-index:253854720;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from="117pt,8.5pt" to="117pt,69.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">
                <v:stroke endarrow="block"/>
              </v:line>
            </w:pict>
          </mc:Fallback>
        </mc:AlternateContent>
      </w:r>
    </w:p>
    <w:p w14:paraId="53DE5206" w14:textId="77777777" w:rsidR="008B4B2B" w:rsidRPr="001D6D10" w:rsidRDefault="008B4B2B" w:rsidP="008B4B2B">
      <w:r w:rsidRPr="001D6D10">
        <w:rPr>
          <w:noProof/>
        </w:rPr>
        <mc:AlternateContent>
          <mc:Choice Requires="wps">
            <w:drawing>
              <wp:anchor distT="0" distB="0" distL="114299" distR="114299" simplePos="0" relativeHeight="253853696" behindDoc="0" locked="0" layoutInCell="1" allowOverlap="1" wp14:anchorId="3092537B" wp14:editId="6C0A0D5B">
                <wp:simplePos x="0" y="0"/>
                <wp:positionH relativeFrom="column">
                  <wp:posOffset>4343399</wp:posOffset>
                </wp:positionH>
                <wp:positionV relativeFrom="paragraph">
                  <wp:posOffset>-1905</wp:posOffset>
                </wp:positionV>
                <wp:extent cx="0" cy="659130"/>
                <wp:effectExtent l="57150" t="0" r="95250" b="64770"/>
                <wp:wrapNone/>
                <wp:docPr id="2784" name="Line 32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65913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line w14:anchorId="6E7D0079" id="Line 322" o:spid="_x0000_s1026" style="position:absolute;left:0;text-align:left;z-index:253853696;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from="342pt,-.15pt" to="342pt,51.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">
                <v:stroke endarrow="block"/>
              </v:line>
            </w:pict>
          </mc:Fallback>
        </mc:AlternateContent>
      </w:r>
    </w:p>
    <w:p w14:paraId="12FD97F5" w14:textId="77777777" w:rsidR="008B4B2B" w:rsidRPr="001D6D10" w:rsidRDefault="008B4B2B" w:rsidP="008B4B2B">
      <w:pPr>
        <w:spacing w:line="240" w:lineRule="exact"/>
        <w:ind w:leftChars="304" w:left="5797" w:rightChars="-407" w:right="-859" w:hangingChars="3200" w:hanging="5155"/>
        <w:rPr>
          <w:sz w:val="16"/>
          <w:szCs w:val="16"/>
        </w:rPr>
      </w:pPr>
      <w:r w:rsidRPr="001D6D10">
        <w:rPr>
          <w:rFonts w:ascii="ＭＳ 明朝" w:hAnsi="ＭＳ 明朝" w:hint="eastAsia"/>
          <w:sz w:val="16"/>
          <w:szCs w:val="16"/>
        </w:rPr>
        <w:t>※</w:t>
      </w:r>
      <w:r w:rsidRPr="001D6D10">
        <w:rPr>
          <w:rFonts w:hint="eastAsia"/>
          <w:sz w:val="16"/>
          <w:szCs w:val="16"/>
        </w:rPr>
        <w:t xml:space="preserve">所管が明確な場合　</w:t>
      </w:r>
      <w:r w:rsidRPr="001D6D10">
        <w:rPr>
          <w:rFonts w:hint="eastAsia"/>
        </w:rPr>
        <w:t xml:space="preserve">　　　　　　　　　　　　　　　　　　　　　　</w:t>
      </w:r>
      <w:r w:rsidRPr="001D6D10">
        <w:rPr>
          <w:rFonts w:hint="eastAsia"/>
          <w:sz w:val="16"/>
          <w:szCs w:val="16"/>
        </w:rPr>
        <w:t>※所管が明確な場合・</w:t>
      </w:r>
    </w:p>
    <w:p w14:paraId="25BB5B70" w14:textId="77777777" w:rsidR="008B4B2B" w:rsidRPr="001D6D10" w:rsidRDefault="008B4B2B" w:rsidP="008B4B2B">
      <w:pPr>
        <w:spacing w:line="240" w:lineRule="exact"/>
        <w:ind w:leftChars="2736" w:left="5776" w:rightChars="-407" w:right="-859"/>
        <w:rPr>
          <w:sz w:val="16"/>
          <w:szCs w:val="16"/>
        </w:rPr>
      </w:pPr>
      <w:r w:rsidRPr="001D6D10">
        <w:rPr>
          <w:rFonts w:hint="eastAsia"/>
          <w:sz w:val="16"/>
          <w:szCs w:val="16"/>
        </w:rPr>
        <w:t xml:space="preserve">　　　　　　　　不明確な場合ともに連絡　</w:t>
      </w:r>
    </w:p>
    <w:p w14:paraId="1FAF8B77" w14:textId="77777777" w:rsidR="008B4B2B" w:rsidRPr="001D6D10" w:rsidRDefault="008B4B2B" w:rsidP="008B4B2B">
      <w:pPr>
        <w:spacing w:line="240" w:lineRule="exact"/>
        <w:ind w:leftChars="2736" w:left="5776" w:rightChars="-407" w:right="-859"/>
        <w:rPr>
          <w:sz w:val="16"/>
          <w:szCs w:val="16"/>
        </w:rPr>
      </w:pPr>
      <w:r w:rsidRPr="001D6D10">
        <w:rPr>
          <w:noProof/>
        </w:rPr>
        <mc:AlternateContent>
          <mc:Choice Requires="wps">
            <w:drawing>
              <wp:anchor distT="0" distB="0" distL="114300" distR="114300" simplePos="0" relativeHeight="253834240" behindDoc="0" locked="0" layoutInCell="1" allowOverlap="1" wp14:anchorId="2EC0373A" wp14:editId="58AF4449">
                <wp:simplePos x="0" y="0"/>
                <wp:positionH relativeFrom="column">
                  <wp:posOffset>800100</wp:posOffset>
                </wp:positionH>
                <wp:positionV relativeFrom="paragraph">
                  <wp:posOffset>132715</wp:posOffset>
                </wp:positionV>
                <wp:extent cx="4000500" cy="368300"/>
                <wp:effectExtent l="0" t="0" r="19050" b="12700"/>
                <wp:wrapNone/>
                <wp:docPr id="2785" name="Text Box 30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000500" cy="368300"/>
                        </a:xfrm>
                        <a:prstGeom prst="rect">
                          <a:avLst/>
                        </a:prstGeom>
                        <a:solidFill>
                          <a:srgbClr val="FFFFFF"/>
                        </a:solidFill>
                        <a:ln w="9525">
                          <a:solidFill>
                            <a:srgbClr val="000000"/>
                          </a:solidFill>
                          <a:miter lim="800000"/>
                          <a:headEnd/>
                          <a:tailEnd/>
                        </a:ln>
                      </wps:spPr>
                      <wps:txbx>
                        <w:txbxContent>
                          <w:p w14:paraId="7933ED1C" w14:textId="77777777" w:rsidR="006A5267" w:rsidRDefault="006A5267" w:rsidP="008B4B2B">
                            <w:pPr>
                              <w:spacing w:line="280" w:lineRule="exact"/>
                              <w:jc w:val="center"/>
                            </w:pPr>
                            <w:r>
                              <w:rPr>
                                <w:rFonts w:hint="eastAsia"/>
                              </w:rPr>
                              <w:t>知　事</w:t>
                            </w:r>
                          </w:p>
                          <w:p w14:paraId="581C4228" w14:textId="77777777" w:rsidR="006A5267" w:rsidRDefault="006A5267" w:rsidP="008B4B2B">
                            <w:pPr>
                              <w:spacing w:line="280" w:lineRule="exact"/>
                              <w:jc w:val="center"/>
                            </w:pPr>
                            <w:r>
                              <w:rPr>
                                <w:rFonts w:hint="eastAsia"/>
                              </w:rPr>
                              <w:t>副知事</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shape w14:anchorId="2EC0373A" id="Text Box 302" o:spid="_x0000_s1974" type="#_x0000_t202" style="position:absolute;left:0;text-align:left;margin-left:63pt;margin-top:10.45pt;width:315pt;height:29pt;z-index:253834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">
                <v:textbox inset="5.85pt,.7pt,5.85pt,.7pt">
                  <w:txbxContent>
                    <w:p w14:paraId="7933ED1C" w14:textId="77777777" w:rsidR="006A5267" w:rsidRDefault="006A5267" w:rsidP="008B4B2B">
                      <w:pPr>
                        <w:spacing w:line="280" w:lineRule="exact"/>
                        <w:jc w:val="center"/>
                      </w:pPr>
                      <w:r>
                        <w:rPr>
                          <w:rFonts w:hint="eastAsia"/>
                        </w:rPr>
                        <w:t>知　事</w:t>
                      </w:r>
                    </w:p>
                    <w:p w14:paraId="581C4228" w14:textId="77777777" w:rsidR="006A5267" w:rsidRDefault="006A5267" w:rsidP="008B4B2B">
                      <w:pPr>
                        <w:spacing w:line="280" w:lineRule="exact"/>
                        <w:jc w:val="center"/>
                      </w:pPr>
                      <w:r>
                        <w:rPr>
                          <w:rFonts w:hint="eastAsia"/>
                        </w:rPr>
                        <w:t>副知事</w:t>
                      </w:r>
                    </w:p>
                  </w:txbxContent>
                </v:textbox>
              </v:shape>
            </w:pict>
          </mc:Fallback>
        </mc:AlternateContent>
      </w:r>
      <w:r w:rsidRPr="001D6D10">
        <w:rPr>
          <w:rFonts w:hint="eastAsia"/>
          <w:sz w:val="16"/>
          <w:szCs w:val="16"/>
        </w:rPr>
        <w:t xml:space="preserve">　　　　</w:t>
      </w:r>
    </w:p>
    <w:p w14:paraId="2C861B6A" w14:textId="77777777" w:rsidR="008B4B2B" w:rsidRPr="001D6D10" w:rsidRDefault="008B4B2B" w:rsidP="008B4B2B">
      <w:pPr>
        <w:ind w:leftChars="3666" w:left="7739"/>
        <w:rPr>
          <w:sz w:val="16"/>
          <w:szCs w:val="16"/>
        </w:rPr>
      </w:pPr>
      <w:r w:rsidRPr="001D6D10">
        <w:rPr>
          <w:rFonts w:hint="eastAsia"/>
          <w:sz w:val="16"/>
          <w:szCs w:val="16"/>
        </w:rPr>
        <w:t xml:space="preserve">　　　　　　　　　　　</w:t>
      </w:r>
    </w:p>
    <w:p w14:paraId="2FD67A6A" w14:textId="77777777" w:rsidR="008B4B2B" w:rsidRPr="001D6D10" w:rsidRDefault="008B4B2B" w:rsidP="008B4B2B">
      <w:pPr>
        <w:spacing w:line="380" w:lineRule="exact"/>
        <w:rPr>
          <w:rFonts w:ascii="ＭＳ 明朝" w:hAnsi="ＭＳ 明朝"/>
          <w:sz w:val="22"/>
          <w:szCs w:val="22"/>
        </w:rPr>
      </w:pPr>
    </w:p>
    <w:p w14:paraId="38562264" w14:textId="11EB679B" w:rsidR="00172D1D" w:rsidRPr="00B064CC" w:rsidRDefault="00172D1D" w:rsidP="00172D1D">
      <w:pPr>
        <w:ind w:leftChars="300" w:left="633" w:firstLineChars="100" w:firstLine="221"/>
        <w:rPr>
          <w:rFonts w:ascii="ＭＳ 明朝" w:hAnsi="ＭＳ 明朝"/>
          <w:sz w:val="22"/>
          <w:szCs w:val="22"/>
        </w:rPr>
      </w:pPr>
      <w:bookmarkStart w:id="529" w:name="_Toc122437005"/>
      <w:r w:rsidRPr="00B064CC">
        <w:rPr>
          <w:rFonts w:ascii="ＭＳ 明朝" w:hAnsi="ＭＳ 明朝" w:hint="eastAsia"/>
          <w:sz w:val="22"/>
          <w:szCs w:val="22"/>
        </w:rPr>
        <w:lastRenderedPageBreak/>
        <w:t>危機管理室と関係部局（所管部局）との情報共有の方法については、普段の業務で使用する通信手段（電話やメール等）を用いて行うものとするが、休日や夜間、リモートによる活動を実施している場合も想定し、情報伝達に不足が生じないよう携帯端末等を</w:t>
      </w:r>
      <w:r w:rsidR="00837ACA" w:rsidRPr="00B064CC">
        <w:rPr>
          <w:rFonts w:ascii="ＭＳ 明朝" w:hAnsi="ＭＳ 明朝" w:hint="eastAsia"/>
          <w:sz w:val="22"/>
          <w:szCs w:val="22"/>
        </w:rPr>
        <w:t>必要に応じて</w:t>
      </w:r>
      <w:r w:rsidRPr="00B064CC">
        <w:rPr>
          <w:rFonts w:ascii="ＭＳ 明朝" w:hAnsi="ＭＳ 明朝" w:hint="eastAsia"/>
          <w:sz w:val="22"/>
          <w:szCs w:val="22"/>
        </w:rPr>
        <w:t>併用するものとする</w:t>
      </w:r>
      <w:r w:rsidR="0085160C" w:rsidRPr="00B064CC">
        <w:rPr>
          <w:rFonts w:ascii="ＭＳ 明朝" w:hAnsi="ＭＳ 明朝" w:hint="eastAsia"/>
          <w:sz w:val="22"/>
          <w:szCs w:val="22"/>
        </w:rPr>
        <w:t>（</w:t>
      </w:r>
      <w:r w:rsidR="003B724F" w:rsidRPr="00B064CC">
        <w:rPr>
          <w:rFonts w:ascii="ＭＳ 明朝" w:hAnsi="ＭＳ 明朝" w:hint="eastAsia"/>
          <w:sz w:val="22"/>
          <w:szCs w:val="22"/>
        </w:rPr>
        <w:t>チャットアプリ</w:t>
      </w:r>
      <w:r w:rsidR="0085160C" w:rsidRPr="00B064CC">
        <w:rPr>
          <w:rFonts w:ascii="ＭＳ 明朝" w:hAnsi="ＭＳ 明朝" w:hint="eastAsia"/>
          <w:sz w:val="22"/>
          <w:szCs w:val="22"/>
        </w:rPr>
        <w:t>等を用いて、危機管理情報担当補佐</w:t>
      </w:r>
      <w:r w:rsidR="003B724F" w:rsidRPr="00B064CC">
        <w:rPr>
          <w:rFonts w:ascii="ＭＳ 明朝" w:hAnsi="ＭＳ 明朝" w:hint="eastAsia"/>
          <w:sz w:val="22"/>
          <w:szCs w:val="22"/>
        </w:rPr>
        <w:t>（総括補佐</w:t>
      </w:r>
      <w:r w:rsidR="00D10145">
        <w:rPr>
          <w:rFonts w:ascii="ＭＳ 明朝" w:hAnsi="ＭＳ 明朝" w:hint="eastAsia"/>
          <w:sz w:val="22"/>
          <w:szCs w:val="22"/>
        </w:rPr>
        <w:t>等</w:t>
      </w:r>
      <w:r w:rsidR="003B724F" w:rsidRPr="00B064CC">
        <w:rPr>
          <w:rFonts w:ascii="ＭＳ 明朝" w:hAnsi="ＭＳ 明朝" w:hint="eastAsia"/>
          <w:sz w:val="22"/>
          <w:szCs w:val="22"/>
        </w:rPr>
        <w:t>）</w:t>
      </w:r>
      <w:r w:rsidR="0085160C" w:rsidRPr="00B064CC">
        <w:rPr>
          <w:rFonts w:ascii="ＭＳ 明朝" w:hAnsi="ＭＳ 明朝" w:hint="eastAsia"/>
          <w:sz w:val="22"/>
          <w:szCs w:val="22"/>
        </w:rPr>
        <w:t>へ連絡を行う</w:t>
      </w:r>
      <w:r w:rsidR="0085160C" w:rsidRPr="00B064CC">
        <w:rPr>
          <w:rFonts w:ascii="ＭＳ 明朝" w:hAnsi="ＭＳ 明朝" w:hint="eastAsia"/>
          <w:sz w:val="22"/>
        </w:rPr>
        <w:t>など</w:t>
      </w:r>
      <w:r w:rsidR="0085160C" w:rsidRPr="00B064CC">
        <w:rPr>
          <w:rFonts w:ascii="ＭＳ 明朝" w:hAnsi="ＭＳ 明朝" w:hint="eastAsia"/>
          <w:sz w:val="22"/>
          <w:szCs w:val="22"/>
        </w:rPr>
        <w:t>）</w:t>
      </w:r>
      <w:r w:rsidRPr="00B064CC">
        <w:rPr>
          <w:rFonts w:ascii="ＭＳ 明朝" w:hAnsi="ＭＳ 明朝" w:hint="eastAsia"/>
          <w:sz w:val="22"/>
          <w:szCs w:val="22"/>
        </w:rPr>
        <w:t>。</w:t>
      </w:r>
    </w:p>
    <w:p w14:paraId="5B721D49" w14:textId="77777777" w:rsidR="00172D1D" w:rsidRPr="003B724F" w:rsidRDefault="00172D1D" w:rsidP="00BA31B2">
      <w:pPr>
        <w:ind w:leftChars="300" w:left="633"/>
        <w:rPr>
          <w:rFonts w:ascii="ＭＳ 明朝" w:hAnsi="ＭＳ 明朝"/>
          <w:sz w:val="22"/>
          <w:szCs w:val="22"/>
        </w:rPr>
      </w:pPr>
    </w:p>
    <w:p w14:paraId="5223043B" w14:textId="43DA53E2" w:rsidR="008B4B2B" w:rsidRPr="009D4B52" w:rsidRDefault="00172D1D">
      <w:pPr>
        <w:pStyle w:val="3"/>
        <w:ind w:firstLine="442"/>
      </w:pPr>
      <w:bookmarkStart w:id="530" w:name="_Toc222486704"/>
      <w:bookmarkStart w:id="531" w:name="_Toc242870375"/>
      <w:r w:rsidRPr="009D4B52">
        <w:rPr>
          <w:rFonts w:hint="eastAsia"/>
        </w:rPr>
        <w:t>第４　警戒態勢の確立</w:t>
      </w:r>
      <w:bookmarkEnd w:id="529"/>
      <w:bookmarkEnd w:id="530"/>
      <w:bookmarkEnd w:id="531"/>
    </w:p>
    <w:p w14:paraId="24662F77" w14:textId="77777777" w:rsidR="008B4B2B" w:rsidRPr="001D6D10" w:rsidRDefault="008B4B2B" w:rsidP="008B4B2B">
      <w:pPr>
        <w:pStyle w:val="a0"/>
        <w:ind w:firstLineChars="500" w:firstLine="1105"/>
        <w:rPr>
          <w:rFonts w:ascii="ＭＳ ゴシック" w:eastAsia="ＭＳ ゴシック" w:hAnsi="ＭＳ ゴシック"/>
          <w:bCs/>
          <w:sz w:val="22"/>
          <w:szCs w:val="22"/>
        </w:rPr>
      </w:pPr>
      <w:r w:rsidRPr="001D6D10">
        <w:rPr>
          <w:rFonts w:ascii="ＭＳ ゴシック" w:eastAsia="ＭＳ ゴシック" w:hAnsi="ＭＳ ゴシック" w:hint="eastAsia"/>
          <w:sz w:val="22"/>
          <w:szCs w:val="22"/>
          <w:bdr w:val="single" w:sz="4" w:space="0" w:color="auto"/>
        </w:rPr>
        <w:t>主たる担当：危機管理室、関係室・課：全部局室・課</w:t>
      </w:r>
    </w:p>
    <w:p w14:paraId="7F37AE82" w14:textId="77777777" w:rsidR="008B4B2B" w:rsidRPr="001D6D10" w:rsidRDefault="008B4B2B" w:rsidP="008B4B2B">
      <w:pPr>
        <w:ind w:leftChars="300" w:left="633" w:firstLineChars="100" w:firstLine="221"/>
        <w:rPr>
          <w:rFonts w:ascii="ＭＳ 明朝" w:hAnsi="ＭＳ 明朝"/>
          <w:sz w:val="22"/>
          <w:szCs w:val="22"/>
        </w:rPr>
      </w:pPr>
      <w:r w:rsidRPr="001D6D10">
        <w:rPr>
          <w:rFonts w:ascii="ＭＳ 明朝" w:hAnsi="ＭＳ 明朝" w:hint="eastAsia"/>
          <w:sz w:val="22"/>
          <w:szCs w:val="22"/>
        </w:rPr>
        <w:t>各部局において、被害が大規模で社会的影響が大きく全庁的な対応が必要と</w:t>
      </w:r>
    </w:p>
    <w:p w14:paraId="162EBFF8" w14:textId="77777777" w:rsidR="008B4B2B" w:rsidRPr="001D6D10" w:rsidRDefault="008B4B2B" w:rsidP="008B4B2B">
      <w:pPr>
        <w:ind w:leftChars="300" w:left="633"/>
        <w:rPr>
          <w:rFonts w:ascii="ＭＳ 明朝" w:hAnsi="ＭＳ 明朝"/>
          <w:sz w:val="22"/>
          <w:szCs w:val="22"/>
        </w:rPr>
      </w:pPr>
      <w:r w:rsidRPr="001D6D10">
        <w:rPr>
          <w:rFonts w:ascii="ＭＳ 明朝" w:hAnsi="ＭＳ 明朝" w:hint="eastAsia"/>
          <w:sz w:val="22"/>
          <w:szCs w:val="22"/>
        </w:rPr>
        <w:t>判断される場合、所管部局の長は、府対策本部等の開催を危機管理監に要請する。</w:t>
      </w:r>
    </w:p>
    <w:p w14:paraId="1A87419F" w14:textId="77777777" w:rsidR="008B4B2B" w:rsidRPr="001D6D10" w:rsidRDefault="008B4B2B" w:rsidP="008B4B2B">
      <w:pPr>
        <w:ind w:left="663" w:hangingChars="300" w:hanging="663"/>
        <w:rPr>
          <w:rFonts w:ascii="ＭＳ 明朝" w:hAnsi="ＭＳ 明朝"/>
          <w:sz w:val="22"/>
          <w:szCs w:val="22"/>
        </w:rPr>
      </w:pPr>
      <w:r w:rsidRPr="001D6D10">
        <w:rPr>
          <w:rFonts w:ascii="ＭＳ 明朝" w:hAnsi="ＭＳ 明朝" w:hint="eastAsia"/>
          <w:sz w:val="22"/>
          <w:szCs w:val="22"/>
        </w:rPr>
        <w:t xml:space="preserve">　　　　危機管理監は、全庁的な対応が必要であると判断したときは、知事へ報告し、その</w:t>
      </w:r>
      <w:r w:rsidR="00285F6B" w:rsidRPr="001D6D10">
        <w:rPr>
          <w:rFonts w:ascii="ＭＳ 明朝" w:hAnsi="ＭＳ 明朝" w:hint="eastAsia"/>
          <w:sz w:val="22"/>
          <w:szCs w:val="22"/>
        </w:rPr>
        <w:t>指示を受けたときから、全庁的な対応の完了までの間、本要領４７</w:t>
      </w:r>
      <w:r w:rsidRPr="001D6D10">
        <w:rPr>
          <w:rFonts w:ascii="ＭＳ 明朝" w:hAnsi="ＭＳ 明朝" w:hint="eastAsia"/>
          <w:sz w:val="22"/>
          <w:szCs w:val="22"/>
        </w:rPr>
        <w:t>頁・第２章活動体制の確立「災害警戒本部の活動」により、本部を設置、情報収集に努めるとともに警戒態勢にあたる。</w:t>
      </w:r>
    </w:p>
    <w:p w14:paraId="51ED30E6" w14:textId="77777777" w:rsidR="008B4B2B" w:rsidRPr="001D6D10" w:rsidRDefault="008B4B2B" w:rsidP="008B4B2B">
      <w:pPr>
        <w:pStyle w:val="a0"/>
        <w:ind w:leftChars="315" w:left="665" w:rightChars="-108" w:right="-228" w:firstLineChars="100" w:firstLine="221"/>
        <w:rPr>
          <w:rFonts w:hAnsi="ＭＳ 明朝"/>
          <w:sz w:val="22"/>
          <w:szCs w:val="22"/>
        </w:rPr>
      </w:pPr>
      <w:r w:rsidRPr="001D6D10">
        <w:rPr>
          <w:rFonts w:hAnsi="ＭＳ 明朝" w:hint="eastAsia"/>
          <w:sz w:val="22"/>
          <w:szCs w:val="22"/>
        </w:rPr>
        <w:t>また同時に、所管部局を含む庁内各部局課・室長は、情報収集に努めるとともに、必要に応じ警戒態勢にあたる。</w:t>
      </w:r>
    </w:p>
    <w:p w14:paraId="1379D3FB" w14:textId="77777777" w:rsidR="008B4B2B" w:rsidRPr="001D6D10" w:rsidRDefault="008B4B2B" w:rsidP="008B4B2B">
      <w:pPr>
        <w:pStyle w:val="a0"/>
        <w:rPr>
          <w:rFonts w:hAnsi="ＭＳ 明朝"/>
        </w:rPr>
      </w:pPr>
    </w:p>
    <w:p w14:paraId="43C5F14A" w14:textId="77777777" w:rsidR="008B4B2B" w:rsidRPr="001D6D10" w:rsidRDefault="008B4B2B" w:rsidP="00E0548A">
      <w:pPr>
        <w:pStyle w:val="3"/>
        <w:ind w:firstLine="442"/>
      </w:pPr>
      <w:bookmarkStart w:id="532" w:name="_Toc122437006"/>
      <w:bookmarkStart w:id="533" w:name="_Toc222486705"/>
      <w:bookmarkStart w:id="534" w:name="_Toc242870376"/>
      <w:r w:rsidRPr="001D6D10">
        <w:rPr>
          <w:rFonts w:hint="eastAsia"/>
        </w:rPr>
        <w:t>第５　災害応急対策の実施</w:t>
      </w:r>
      <w:bookmarkEnd w:id="532"/>
      <w:bookmarkEnd w:id="533"/>
      <w:bookmarkEnd w:id="534"/>
    </w:p>
    <w:p w14:paraId="1BC68B10" w14:textId="77777777" w:rsidR="008B4B2B" w:rsidRPr="001D6D10" w:rsidRDefault="008B4B2B" w:rsidP="008B4B2B">
      <w:pPr>
        <w:pStyle w:val="a0"/>
        <w:ind w:firstLineChars="500" w:firstLine="1105"/>
        <w:rPr>
          <w:rFonts w:ascii="ＭＳ ゴシック" w:eastAsia="ＭＳ ゴシック" w:hAnsi="ＭＳ ゴシック"/>
          <w:bCs/>
          <w:sz w:val="22"/>
          <w:szCs w:val="22"/>
        </w:rPr>
      </w:pPr>
      <w:r w:rsidRPr="001D6D10">
        <w:rPr>
          <w:rFonts w:ascii="ＭＳ ゴシック" w:eastAsia="ＭＳ ゴシック" w:hAnsi="ＭＳ ゴシック" w:hint="eastAsia"/>
          <w:sz w:val="22"/>
          <w:szCs w:val="22"/>
          <w:bdr w:val="single" w:sz="4" w:space="0" w:color="auto"/>
        </w:rPr>
        <w:t>主たる担当：危機管理室、関係室・課：全部局室・課</w:t>
      </w:r>
    </w:p>
    <w:p w14:paraId="2AD19CDC" w14:textId="77777777" w:rsidR="008B4B2B" w:rsidRPr="001D6D10" w:rsidRDefault="008B4B2B" w:rsidP="008B4B2B">
      <w:pPr>
        <w:pStyle w:val="a0"/>
        <w:ind w:leftChars="315" w:left="665" w:firstLineChars="100" w:firstLine="221"/>
        <w:rPr>
          <w:rFonts w:hAnsi="ＭＳ 明朝"/>
          <w:sz w:val="22"/>
          <w:szCs w:val="22"/>
        </w:rPr>
      </w:pPr>
      <w:r w:rsidRPr="001D6D10">
        <w:rPr>
          <w:rFonts w:hAnsi="ＭＳ 明朝" w:hint="eastAsia"/>
          <w:bCs/>
          <w:sz w:val="22"/>
          <w:szCs w:val="22"/>
        </w:rPr>
        <w:t>危機管理監は、</w:t>
      </w:r>
      <w:r w:rsidRPr="001D6D10">
        <w:rPr>
          <w:rFonts w:hAnsi="ＭＳ 明朝" w:hint="eastAsia"/>
          <w:sz w:val="22"/>
          <w:szCs w:val="22"/>
        </w:rPr>
        <w:t>府域において大規模な被害等が発生し、災害応急対策の実施が</w:t>
      </w:r>
    </w:p>
    <w:p w14:paraId="467B78AA" w14:textId="77777777" w:rsidR="008B4B2B" w:rsidRPr="001D6D10" w:rsidRDefault="00285F6B" w:rsidP="008B4B2B">
      <w:pPr>
        <w:pStyle w:val="a0"/>
        <w:ind w:leftChars="315" w:left="665" w:rightChars="26" w:right="55"/>
        <w:rPr>
          <w:rFonts w:hAnsi="ＭＳ 明朝"/>
          <w:sz w:val="22"/>
          <w:szCs w:val="22"/>
        </w:rPr>
      </w:pPr>
      <w:r w:rsidRPr="001D6D10">
        <w:rPr>
          <w:rFonts w:hAnsi="ＭＳ 明朝" w:hint="eastAsia"/>
          <w:sz w:val="22"/>
          <w:szCs w:val="22"/>
        </w:rPr>
        <w:t>必要となった場合は、本要領５２</w:t>
      </w:r>
      <w:r w:rsidR="008B4B2B" w:rsidRPr="001D6D10">
        <w:rPr>
          <w:rFonts w:hAnsi="ＭＳ 明朝" w:hint="eastAsia"/>
          <w:sz w:val="22"/>
          <w:szCs w:val="22"/>
        </w:rPr>
        <w:t>頁・第２章活動体制の確立「災害対策本部の活動」により、本部を設置、情報収集に併せて災害応急対策を実施する。</w:t>
      </w:r>
    </w:p>
    <w:p w14:paraId="09D0FC4F" w14:textId="5FAE9A8D" w:rsidR="008B4B2B" w:rsidRDefault="008B4B2B" w:rsidP="008B4B2B">
      <w:pPr>
        <w:pStyle w:val="a0"/>
        <w:ind w:leftChars="315" w:left="665" w:rightChars="26" w:right="55" w:firstLineChars="100" w:firstLine="221"/>
        <w:rPr>
          <w:rFonts w:hAnsi="ＭＳ 明朝"/>
          <w:sz w:val="22"/>
          <w:szCs w:val="22"/>
        </w:rPr>
      </w:pPr>
      <w:r w:rsidRPr="001D6D10">
        <w:rPr>
          <w:rFonts w:hAnsi="ＭＳ 明朝" w:hint="eastAsia"/>
          <w:sz w:val="22"/>
          <w:szCs w:val="22"/>
        </w:rPr>
        <w:t>また同時に、所管部局を含む庁内各部局課・室長は、情報収集を行うとともに、災害応急対策を実施する。</w:t>
      </w:r>
    </w:p>
    <w:p w14:paraId="486BF215" w14:textId="77777777" w:rsidR="00172D1D" w:rsidRPr="001D6D10" w:rsidRDefault="00172D1D" w:rsidP="008B4B2B">
      <w:pPr>
        <w:pStyle w:val="a0"/>
        <w:ind w:leftChars="315" w:left="665" w:rightChars="26" w:right="55" w:firstLineChars="100" w:firstLine="221"/>
        <w:rPr>
          <w:rFonts w:hAnsi="ＭＳ 明朝"/>
          <w:sz w:val="22"/>
          <w:szCs w:val="22"/>
        </w:rPr>
      </w:pPr>
    </w:p>
    <w:p w14:paraId="316C216A" w14:textId="77777777" w:rsidR="008B4B2B" w:rsidRPr="001D6D10" w:rsidRDefault="008B4B2B">
      <w:pPr>
        <w:pStyle w:val="3"/>
        <w:ind w:firstLine="442"/>
      </w:pPr>
      <w:bookmarkStart w:id="535" w:name="_Toc122437007"/>
      <w:bookmarkStart w:id="536" w:name="_Toc222486706"/>
      <w:bookmarkStart w:id="537" w:name="_Toc242870377"/>
      <w:r w:rsidRPr="001D6D10">
        <w:rPr>
          <w:rFonts w:hint="eastAsia"/>
        </w:rPr>
        <w:t>第６　各部局が実施する危機事象応急対策</w:t>
      </w:r>
      <w:bookmarkEnd w:id="535"/>
      <w:bookmarkEnd w:id="536"/>
      <w:bookmarkEnd w:id="537"/>
    </w:p>
    <w:p w14:paraId="1C4ABAA0" w14:textId="77777777" w:rsidR="008B4B2B" w:rsidRPr="001D6D10" w:rsidRDefault="008B4B2B" w:rsidP="008B4B2B">
      <w:pPr>
        <w:ind w:left="633" w:hangingChars="300" w:hanging="633"/>
        <w:rPr>
          <w:rFonts w:ascii="ＭＳ 明朝" w:hAnsi="ＭＳ 明朝"/>
          <w:sz w:val="22"/>
          <w:szCs w:val="22"/>
        </w:rPr>
      </w:pPr>
      <w:r w:rsidRPr="001D6D10">
        <w:rPr>
          <w:rFonts w:ascii="ＭＳ 明朝" w:hAnsi="ＭＳ 明朝" w:hint="eastAsia"/>
          <w:szCs w:val="21"/>
        </w:rPr>
        <w:t xml:space="preserve">　　　　</w:t>
      </w:r>
      <w:r w:rsidRPr="001D6D10">
        <w:rPr>
          <w:rFonts w:ascii="ＭＳ 明朝" w:hAnsi="ＭＳ 明朝" w:hint="eastAsia"/>
          <w:sz w:val="22"/>
          <w:szCs w:val="22"/>
        </w:rPr>
        <w:t>各部局は、所管する危機事象に関する事前対策、応急対策及び事後対策を、迅速・的確に実施するため、危機事象別に作成した危機管理対応マニュアルに危機管理体制、部局対策本部等の設置等を定めている。</w:t>
      </w:r>
    </w:p>
    <w:p w14:paraId="79E63ACD" w14:textId="77777777" w:rsidR="008B4B2B" w:rsidRPr="001D6D10" w:rsidRDefault="008B4B2B" w:rsidP="008B4B2B">
      <w:pPr>
        <w:ind w:left="663" w:hangingChars="300" w:hanging="663"/>
        <w:rPr>
          <w:rFonts w:ascii="ＭＳ 明朝" w:hAnsi="ＭＳ 明朝"/>
          <w:sz w:val="22"/>
          <w:szCs w:val="22"/>
        </w:rPr>
      </w:pPr>
      <w:r w:rsidRPr="001D6D10">
        <w:rPr>
          <w:rFonts w:ascii="ＭＳ 明朝" w:hAnsi="ＭＳ 明朝" w:hint="eastAsia"/>
          <w:sz w:val="22"/>
          <w:szCs w:val="22"/>
        </w:rPr>
        <w:t xml:space="preserve">　　　　危機事象が発生した場合は、このマニュアルに基づき、危機管理室と連携して対策を実施する。</w:t>
      </w:r>
    </w:p>
    <w:p w14:paraId="106AD0E6" w14:textId="77777777" w:rsidR="008B4B2B" w:rsidRPr="001D6D10" w:rsidRDefault="008B4B2B" w:rsidP="008B4B2B">
      <w:pPr>
        <w:pStyle w:val="ad"/>
        <w:wordWrap/>
        <w:overflowPunct w:val="0"/>
        <w:spacing w:line="400" w:lineRule="exact"/>
        <w:ind w:left="442" w:hangingChars="200" w:hanging="442"/>
        <w:rPr>
          <w:rFonts w:ascii="ＭＳ 明朝" w:hAnsi="ＭＳ 明朝"/>
        </w:rPr>
      </w:pPr>
    </w:p>
    <w:p w14:paraId="6CDCB5EF" w14:textId="77777777" w:rsidR="008B4B2B" w:rsidRPr="001D6D10" w:rsidRDefault="008B4B2B" w:rsidP="008B4B2B">
      <w:pPr>
        <w:pStyle w:val="a0"/>
        <w:rPr>
          <w:rFonts w:ascii="ＭＳ ゴシック" w:eastAsia="ＭＳ ゴシック" w:hAnsi="ＭＳ ゴシック"/>
          <w:sz w:val="22"/>
          <w:szCs w:val="22"/>
        </w:rPr>
      </w:pPr>
    </w:p>
    <w:p w14:paraId="6A3C7C5F" w14:textId="77777777" w:rsidR="005D372A" w:rsidRPr="001D6D10" w:rsidRDefault="005D372A" w:rsidP="00EB20A0">
      <w:pPr>
        <w:rPr>
          <w:rFonts w:ascii="ＭＳ ゴシック" w:eastAsia="ＭＳ ゴシック" w:hAnsi="ＭＳ ゴシック"/>
          <w:sz w:val="22"/>
          <w:szCs w:val="22"/>
        </w:rPr>
      </w:pPr>
    </w:p>
    <w:sectPr w:rsidR="005D372A" w:rsidRPr="001D6D10" w:rsidSect="009869A2">
      <w:headerReference w:type="default" r:id="rId37"/>
      <w:pgSz w:w="11906" w:h="16838" w:code="9"/>
      <w:pgMar w:top="1701" w:right="1531" w:bottom="1701" w:left="1531" w:header="850" w:footer="850" w:gutter="0"/>
      <w:pgNumType w:fmt="numberInDash"/>
      <w:cols w:space="425"/>
      <w:docGrid w:type="linesAndChars" w:linePitch="353" w:charSpace="225"/>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E7D80A2" w14:textId="77777777" w:rsidR="00680BEF" w:rsidRDefault="00680BEF">
      <w:r>
        <w:separator/>
      </w:r>
    </w:p>
  </w:endnote>
  <w:endnote w:type="continuationSeparator" w:id="0">
    <w:p w14:paraId="217EE2B5" w14:textId="77777777" w:rsidR="00680BEF" w:rsidRDefault="00680BE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Ｐゴシック">
    <w:panose1 w:val="020B0600070205080204"/>
    <w:charset w:val="80"/>
    <w:family w:val="modern"/>
    <w:pitch w:val="variable"/>
    <w:sig w:usb0="E00002FF" w:usb1="6AC7FDFB" w:usb2="08000012" w:usb3="00000000" w:csb0="0002009F" w:csb1="00000000"/>
  </w:font>
  <w:font w:name="BIZ UDPゴシック">
    <w:panose1 w:val="020B0400000000000000"/>
    <w:charset w:val="80"/>
    <w:family w:val="modern"/>
    <w:pitch w:val="variable"/>
    <w:sig w:usb0="E00002F7" w:usb1="2AC7EDF8" w:usb2="00000012" w:usb3="00000000" w:csb0="00020001" w:csb1="00000000"/>
  </w:font>
  <w:font w:name="HG丸ｺﾞｼｯｸM-PRO">
    <w:panose1 w:val="020F0600000000000000"/>
    <w:charset w:val="80"/>
    <w:family w:val="modern"/>
    <w:pitch w:val="variable"/>
    <w:sig w:usb0="E00002FF" w:usb1="6AC7FDFB" w:usb2="00000012" w:usb3="00000000" w:csb0="0002009F" w:csb1="00000000"/>
  </w:font>
  <w:font w:name="Meiryo UI">
    <w:panose1 w:val="020B0604030504040204"/>
    <w:charset w:val="80"/>
    <w:family w:val="modern"/>
    <w:pitch w:val="variable"/>
    <w:sig w:usb0="E00002FF" w:usb1="6AC7FFFF" w:usb2="08000012" w:usb3="00000000" w:csb0="0002009F" w:csb1="00000000"/>
  </w:font>
  <w:font w:name="ＭＳ Ｐ明朝">
    <w:panose1 w:val="02020600040205080304"/>
    <w:charset w:val="80"/>
    <w:family w:val="roman"/>
    <w:pitch w:val="variable"/>
    <w:sig w:usb0="E00002FF" w:usb1="6AC7FDFB" w:usb2="08000012" w:usb3="00000000" w:csb0="0002009F" w:csb1="00000000"/>
  </w:font>
  <w:font w:name="MSPMincho">
    <w:altName w:val="游ゴシック"/>
    <w:panose1 w:val="00000000000000000000"/>
    <w:charset w:val="80"/>
    <w:family w:val="auto"/>
    <w:notTrueType/>
    <w:pitch w:val="default"/>
    <w:sig w:usb0="00000001" w:usb1="08070000" w:usb2="00000010" w:usb3="00000000" w:csb0="00020000" w:csb1="00000000"/>
  </w:font>
  <w:font w:name="MSPGothic,Bold">
    <w:altName w:val="Arial Unicode MS"/>
    <w:panose1 w:val="00000000000000000000"/>
    <w:charset w:val="80"/>
    <w:family w:val="auto"/>
    <w:notTrueType/>
    <w:pitch w:val="default"/>
    <w:sig w:usb0="00000001" w:usb1="08070000" w:usb2="00000010" w:usb3="00000000" w:csb0="00020000" w:csb1="00000000"/>
  </w:font>
  <w:font w:name="MSPMincho,Bold">
    <w:altName w:val="Arial Unicode MS"/>
    <w:panose1 w:val="00000000000000000000"/>
    <w:charset w:val="80"/>
    <w:family w:val="auto"/>
    <w:notTrueType/>
    <w:pitch w:val="default"/>
    <w:sig w:usb0="00000001" w:usb1="08070000" w:usb2="00000010" w:usb3="00000000" w:csb0="00020000" w:csb1="00000000"/>
  </w:font>
  <w:font w:name="ゴシック体">
    <w:altName w:val="ＭＳ ゴシック"/>
    <w:panose1 w:val="00000000000000000000"/>
    <w:charset w:val="80"/>
    <w:family w:val="modern"/>
    <w:notTrueType/>
    <w:pitch w:val="fixed"/>
    <w:sig w:usb0="00000001" w:usb1="08070000" w:usb2="00000010" w:usb3="00000000" w:csb0="0002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1EE11B" w14:textId="77777777" w:rsidR="006A5267" w:rsidRDefault="006A5267">
    <w:pPr>
      <w:pStyle w:val="a8"/>
      <w:jc w:val="center"/>
    </w:pPr>
  </w:p>
  <w:p w14:paraId="40AE9E14" w14:textId="77777777" w:rsidR="006A5267" w:rsidRDefault="006A5267">
    <w:pPr>
      <w:pStyle w:val="a8"/>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101757201"/>
      <w:docPartObj>
        <w:docPartGallery w:val="Page Numbers (Bottom of Page)"/>
        <w:docPartUnique/>
      </w:docPartObj>
    </w:sdtPr>
    <w:sdtEndPr/>
    <w:sdtContent>
      <w:p w14:paraId="55540109" w14:textId="6C8F3CDC" w:rsidR="006A5267" w:rsidRDefault="006A5267">
        <w:pPr>
          <w:pStyle w:val="a8"/>
          <w:jc w:val="center"/>
        </w:pPr>
        <w:r>
          <w:fldChar w:fldCharType="begin"/>
        </w:r>
        <w:r>
          <w:instrText>PAGE   \* MERGEFORMAT</w:instrText>
        </w:r>
        <w:r>
          <w:fldChar w:fldCharType="separate"/>
        </w:r>
        <w:r w:rsidR="00A331D5" w:rsidRPr="00A331D5">
          <w:rPr>
            <w:noProof/>
            <w:lang w:val="ja-JP"/>
          </w:rPr>
          <w:t>-</w:t>
        </w:r>
        <w:r w:rsidR="00A331D5">
          <w:rPr>
            <w:noProof/>
          </w:rPr>
          <w:t xml:space="preserve"> 37 -</w:t>
        </w:r>
        <w:r>
          <w:fldChar w:fldCharType="end"/>
        </w:r>
      </w:p>
    </w:sdtContent>
  </w:sdt>
  <w:p w14:paraId="12B88AB8" w14:textId="77777777" w:rsidR="006A5267" w:rsidRDefault="006A5267">
    <w:pPr>
      <w:pStyle w:val="a8"/>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766909188"/>
      <w:docPartObj>
        <w:docPartGallery w:val="Page Numbers (Bottom of Page)"/>
        <w:docPartUnique/>
      </w:docPartObj>
    </w:sdtPr>
    <w:sdtEndPr/>
    <w:sdtContent>
      <w:p w14:paraId="59DDF0E5" w14:textId="7531CBC6" w:rsidR="006A5267" w:rsidRDefault="006A5267">
        <w:pPr>
          <w:pStyle w:val="a8"/>
          <w:jc w:val="center"/>
        </w:pPr>
        <w:r>
          <w:fldChar w:fldCharType="begin"/>
        </w:r>
        <w:r>
          <w:instrText>PAGE   \* MERGEFORMAT</w:instrText>
        </w:r>
        <w:r>
          <w:fldChar w:fldCharType="separate"/>
        </w:r>
        <w:r w:rsidR="00A331D5" w:rsidRPr="00A331D5">
          <w:rPr>
            <w:noProof/>
            <w:lang w:val="ja-JP"/>
          </w:rPr>
          <w:t>-</w:t>
        </w:r>
        <w:r w:rsidR="00A331D5">
          <w:rPr>
            <w:noProof/>
          </w:rPr>
          <w:t xml:space="preserve"> 49 -</w:t>
        </w:r>
        <w:r>
          <w:fldChar w:fldCharType="end"/>
        </w:r>
      </w:p>
    </w:sdtContent>
  </w:sdt>
  <w:p w14:paraId="326F599C" w14:textId="77777777" w:rsidR="006A5267" w:rsidRPr="00C12209" w:rsidRDefault="006A5267" w:rsidP="00773531">
    <w:pPr>
      <w:pStyle w:val="a8"/>
      <w:rPr>
        <w:rFonts w:ascii="ＭＳ Ｐ明朝" w:eastAsia="ＭＳ Ｐ明朝" w:hAnsi="ＭＳ Ｐ明朝"/>
        <w:sz w:val="18"/>
        <w:szCs w:val="1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EAFD6EB" w14:textId="77777777" w:rsidR="00680BEF" w:rsidRDefault="00680BEF">
      <w:r>
        <w:separator/>
      </w:r>
    </w:p>
  </w:footnote>
  <w:footnote w:type="continuationSeparator" w:id="0">
    <w:p w14:paraId="1445D7F4" w14:textId="77777777" w:rsidR="00680BEF" w:rsidRDefault="00680BE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Ind w:w="99" w:type="dxa"/>
      <w:tblBorders>
        <w:bottom w:val="thinThickSmallGap" w:sz="18" w:space="0" w:color="auto"/>
      </w:tblBorders>
      <w:tblCellMar>
        <w:left w:w="99" w:type="dxa"/>
        <w:right w:w="99" w:type="dxa"/>
      </w:tblCellMar>
      <w:tblLook w:val="0000" w:firstRow="0" w:lastRow="0" w:firstColumn="0" w:lastColumn="0" w:noHBand="0" w:noVBand="0"/>
    </w:tblPr>
    <w:tblGrid>
      <w:gridCol w:w="8745"/>
    </w:tblGrid>
    <w:tr w:rsidR="006A5267" w14:paraId="650A9DC9" w14:textId="77777777">
      <w:trPr>
        <w:trHeight w:val="180"/>
      </w:trPr>
      <w:tc>
        <w:tcPr>
          <w:tcW w:w="8880" w:type="dxa"/>
        </w:tcPr>
        <w:p w14:paraId="01102FE9" w14:textId="77777777" w:rsidR="006A5267" w:rsidRPr="00647DB7" w:rsidRDefault="006A5267" w:rsidP="00E945A3">
          <w:pPr>
            <w:pStyle w:val="a6"/>
            <w:rPr>
              <w:sz w:val="16"/>
              <w:szCs w:val="16"/>
            </w:rPr>
          </w:pPr>
          <w:r>
            <w:rPr>
              <w:rFonts w:hint="eastAsia"/>
              <w:sz w:val="16"/>
              <w:szCs w:val="16"/>
            </w:rPr>
            <w:t>第１章　総則</w:t>
          </w:r>
        </w:p>
      </w:tc>
    </w:tr>
  </w:tbl>
  <w:p w14:paraId="6354254D" w14:textId="77777777" w:rsidR="006A5267" w:rsidRDefault="006A5267">
    <w:pPr>
      <w:pStyle w:val="a6"/>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Ind w:w="99" w:type="dxa"/>
      <w:tblBorders>
        <w:bottom w:val="thinThickSmallGap" w:sz="18" w:space="0" w:color="auto"/>
      </w:tblBorders>
      <w:tblCellMar>
        <w:left w:w="99" w:type="dxa"/>
        <w:right w:w="99" w:type="dxa"/>
      </w:tblCellMar>
      <w:tblLook w:val="0000" w:firstRow="0" w:lastRow="0" w:firstColumn="0" w:lastColumn="0" w:noHBand="0" w:noVBand="0"/>
    </w:tblPr>
    <w:tblGrid>
      <w:gridCol w:w="8745"/>
    </w:tblGrid>
    <w:tr w:rsidR="006A5267" w14:paraId="164AFC7A" w14:textId="77777777">
      <w:trPr>
        <w:trHeight w:val="176"/>
      </w:trPr>
      <w:tc>
        <w:tcPr>
          <w:tcW w:w="8886" w:type="dxa"/>
        </w:tcPr>
        <w:p w14:paraId="5E1993E1" w14:textId="77777777" w:rsidR="006A5267" w:rsidRPr="00A82D3C" w:rsidRDefault="006A5267" w:rsidP="00CA27B5">
          <w:pPr>
            <w:pStyle w:val="a6"/>
            <w:jc w:val="left"/>
            <w:rPr>
              <w:sz w:val="16"/>
              <w:szCs w:val="16"/>
            </w:rPr>
          </w:pPr>
        </w:p>
      </w:tc>
    </w:tr>
  </w:tbl>
  <w:p w14:paraId="55C490B6" w14:textId="77777777" w:rsidR="006A5267" w:rsidRDefault="006A5267">
    <w:pPr>
      <w:pStyle w:val="a6"/>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Ind w:w="99" w:type="dxa"/>
      <w:tblBorders>
        <w:bottom w:val="thinThickSmallGap" w:sz="18" w:space="0" w:color="auto"/>
      </w:tblBorders>
      <w:tblCellMar>
        <w:left w:w="99" w:type="dxa"/>
        <w:right w:w="99" w:type="dxa"/>
      </w:tblCellMar>
      <w:tblLook w:val="0000" w:firstRow="0" w:lastRow="0" w:firstColumn="0" w:lastColumn="0" w:noHBand="0" w:noVBand="0"/>
    </w:tblPr>
    <w:tblGrid>
      <w:gridCol w:w="8745"/>
    </w:tblGrid>
    <w:tr w:rsidR="006A5267" w14:paraId="0DFB5D8D" w14:textId="77777777">
      <w:trPr>
        <w:trHeight w:val="176"/>
      </w:trPr>
      <w:tc>
        <w:tcPr>
          <w:tcW w:w="8886" w:type="dxa"/>
        </w:tcPr>
        <w:p w14:paraId="583896BB" w14:textId="143FECB0" w:rsidR="006A5267" w:rsidRPr="00A82D3C" w:rsidRDefault="00C6071B" w:rsidP="00616F68">
          <w:pPr>
            <w:pStyle w:val="a6"/>
            <w:jc w:val="left"/>
            <w:rPr>
              <w:sz w:val="16"/>
              <w:szCs w:val="16"/>
            </w:rPr>
          </w:pPr>
          <w:r>
            <w:rPr>
              <w:sz w:val="16"/>
              <w:szCs w:val="16"/>
            </w:rPr>
            <w:fldChar w:fldCharType="begin"/>
          </w:r>
          <w:r>
            <w:rPr>
              <w:sz w:val="16"/>
              <w:szCs w:val="16"/>
            </w:rPr>
            <w:instrText xml:space="preserve"> </w:instrText>
          </w:r>
          <w:r>
            <w:rPr>
              <w:rFonts w:hint="eastAsia"/>
              <w:sz w:val="16"/>
              <w:szCs w:val="16"/>
            </w:rPr>
            <w:instrText>STYLEREF  "目次 1"  \* MERGEFORMAT</w:instrText>
          </w:r>
          <w:r>
            <w:rPr>
              <w:sz w:val="16"/>
              <w:szCs w:val="16"/>
            </w:rPr>
            <w:instrText xml:space="preserve"> </w:instrText>
          </w:r>
          <w:r>
            <w:rPr>
              <w:sz w:val="16"/>
              <w:szCs w:val="16"/>
            </w:rPr>
            <w:fldChar w:fldCharType="end"/>
          </w:r>
          <w:r w:rsidR="006A5267">
            <w:rPr>
              <w:rFonts w:hint="eastAsia"/>
              <w:sz w:val="16"/>
              <w:szCs w:val="16"/>
            </w:rPr>
            <w:t xml:space="preserve">第１章　</w:t>
          </w:r>
          <w:r w:rsidR="006A5267">
            <w:rPr>
              <w:rFonts w:hint="eastAsia"/>
              <w:sz w:val="16"/>
              <w:szCs w:val="16"/>
            </w:rPr>
            <w:t>総則</w:t>
          </w:r>
          <w:r w:rsidR="00165F54">
            <w:rPr>
              <w:sz w:val="16"/>
              <w:szCs w:val="16"/>
            </w:rPr>
            <w:fldChar w:fldCharType="begin"/>
          </w:r>
          <w:r w:rsidR="00165F54">
            <w:rPr>
              <w:sz w:val="16"/>
              <w:szCs w:val="16"/>
            </w:rPr>
            <w:instrText xml:space="preserve"> </w:instrText>
          </w:r>
          <w:r w:rsidR="00165F54">
            <w:rPr>
              <w:rFonts w:hint="eastAsia"/>
              <w:sz w:val="16"/>
              <w:szCs w:val="16"/>
            </w:rPr>
            <w:instrText>STYLEREF  "目次 1"  \* MERGEFORMAT</w:instrText>
          </w:r>
          <w:r w:rsidR="00165F54">
            <w:rPr>
              <w:sz w:val="16"/>
              <w:szCs w:val="16"/>
            </w:rPr>
            <w:instrText xml:space="preserve"> </w:instrText>
          </w:r>
          <w:r w:rsidR="00165F54">
            <w:rPr>
              <w:sz w:val="16"/>
              <w:szCs w:val="16"/>
            </w:rPr>
            <w:fldChar w:fldCharType="end"/>
          </w:r>
        </w:p>
      </w:tc>
    </w:tr>
    <w:tr w:rsidR="001F45E5" w14:paraId="4A4C1D3E" w14:textId="77777777">
      <w:trPr>
        <w:trHeight w:val="176"/>
      </w:trPr>
      <w:tc>
        <w:tcPr>
          <w:tcW w:w="8886" w:type="dxa"/>
        </w:tcPr>
        <w:p w14:paraId="59847A13" w14:textId="77777777" w:rsidR="001F45E5" w:rsidRDefault="001F45E5" w:rsidP="00616F68">
          <w:pPr>
            <w:pStyle w:val="a6"/>
            <w:jc w:val="left"/>
            <w:rPr>
              <w:sz w:val="16"/>
              <w:szCs w:val="16"/>
            </w:rPr>
          </w:pPr>
        </w:p>
      </w:tc>
    </w:tr>
  </w:tbl>
  <w:p w14:paraId="7F40A6FC" w14:textId="77777777" w:rsidR="006A5267" w:rsidRDefault="006A5267">
    <w:pPr>
      <w:pStyle w:val="a6"/>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Ind w:w="99" w:type="dxa"/>
      <w:tblBorders>
        <w:bottom w:val="thinThickSmallGap" w:sz="18" w:space="0" w:color="auto"/>
      </w:tblBorders>
      <w:tblCellMar>
        <w:left w:w="99" w:type="dxa"/>
        <w:right w:w="99" w:type="dxa"/>
      </w:tblCellMar>
      <w:tblLook w:val="0000" w:firstRow="0" w:lastRow="0" w:firstColumn="0" w:lastColumn="0" w:noHBand="0" w:noVBand="0"/>
    </w:tblPr>
    <w:tblGrid>
      <w:gridCol w:w="8745"/>
    </w:tblGrid>
    <w:tr w:rsidR="006A5267" w14:paraId="4529C10E" w14:textId="77777777">
      <w:trPr>
        <w:trHeight w:val="176"/>
      </w:trPr>
      <w:tc>
        <w:tcPr>
          <w:tcW w:w="8886" w:type="dxa"/>
        </w:tcPr>
        <w:p w14:paraId="05A5D003" w14:textId="77777777" w:rsidR="006A5267" w:rsidRPr="00A82D3C" w:rsidRDefault="006A5267" w:rsidP="00CF6881">
          <w:pPr>
            <w:pStyle w:val="a6"/>
            <w:jc w:val="left"/>
            <w:rPr>
              <w:sz w:val="16"/>
              <w:szCs w:val="16"/>
            </w:rPr>
          </w:pPr>
          <w:r>
            <w:rPr>
              <w:rFonts w:hint="eastAsia"/>
              <w:sz w:val="16"/>
              <w:szCs w:val="16"/>
            </w:rPr>
            <w:t xml:space="preserve">第２章　</w:t>
          </w:r>
          <w:r>
            <w:rPr>
              <w:rFonts w:hint="eastAsia"/>
              <w:sz w:val="16"/>
              <w:szCs w:val="16"/>
            </w:rPr>
            <w:t>活動体制の確立</w:t>
          </w:r>
        </w:p>
      </w:tc>
    </w:tr>
  </w:tbl>
  <w:p w14:paraId="6DE0183D" w14:textId="77777777" w:rsidR="006A5267" w:rsidRDefault="006A5267">
    <w:pPr>
      <w:pStyle w:val="a6"/>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Ind w:w="99" w:type="dxa"/>
      <w:tblBorders>
        <w:bottom w:val="thinThickSmallGap" w:sz="18" w:space="0" w:color="auto"/>
      </w:tblBorders>
      <w:tblCellMar>
        <w:left w:w="99" w:type="dxa"/>
        <w:right w:w="99" w:type="dxa"/>
      </w:tblCellMar>
      <w:tblLook w:val="0000" w:firstRow="0" w:lastRow="0" w:firstColumn="0" w:lastColumn="0" w:noHBand="0" w:noVBand="0"/>
    </w:tblPr>
    <w:tblGrid>
      <w:gridCol w:w="8745"/>
    </w:tblGrid>
    <w:tr w:rsidR="006A5267" w14:paraId="7A664F0D" w14:textId="77777777">
      <w:trPr>
        <w:trHeight w:val="180"/>
      </w:trPr>
      <w:tc>
        <w:tcPr>
          <w:tcW w:w="8880" w:type="dxa"/>
        </w:tcPr>
        <w:p w14:paraId="0936123C" w14:textId="77777777" w:rsidR="006A5267" w:rsidRPr="00647DB7" w:rsidRDefault="006A5267" w:rsidP="00905FB0">
          <w:pPr>
            <w:pStyle w:val="a6"/>
            <w:ind w:firstLineChars="3900" w:firstLine="6240"/>
            <w:rPr>
              <w:sz w:val="16"/>
              <w:szCs w:val="16"/>
            </w:rPr>
          </w:pPr>
          <w:r>
            <w:rPr>
              <w:rFonts w:hint="eastAsia"/>
              <w:sz w:val="16"/>
              <w:szCs w:val="16"/>
            </w:rPr>
            <w:t xml:space="preserve">第３章　</w:t>
          </w:r>
          <w:r>
            <w:rPr>
              <w:rFonts w:hint="eastAsia"/>
              <w:sz w:val="16"/>
              <w:szCs w:val="16"/>
            </w:rPr>
            <w:t>情報収集活動・警戒活動</w:t>
          </w:r>
        </w:p>
      </w:tc>
    </w:tr>
  </w:tbl>
  <w:p w14:paraId="41F39BF6" w14:textId="77777777" w:rsidR="006A5267" w:rsidRDefault="006A5267">
    <w:pPr>
      <w:pStyle w:val="a6"/>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Ind w:w="99" w:type="dxa"/>
      <w:tblBorders>
        <w:bottom w:val="thinThickSmallGap" w:sz="18" w:space="0" w:color="auto"/>
      </w:tblBorders>
      <w:tblCellMar>
        <w:left w:w="99" w:type="dxa"/>
        <w:right w:w="99" w:type="dxa"/>
      </w:tblCellMar>
      <w:tblLook w:val="0000" w:firstRow="0" w:lastRow="0" w:firstColumn="0" w:lastColumn="0" w:noHBand="0" w:noVBand="0"/>
    </w:tblPr>
    <w:tblGrid>
      <w:gridCol w:w="8745"/>
    </w:tblGrid>
    <w:tr w:rsidR="006A5267" w14:paraId="7DCECA0A" w14:textId="77777777">
      <w:trPr>
        <w:trHeight w:val="176"/>
      </w:trPr>
      <w:tc>
        <w:tcPr>
          <w:tcW w:w="8886" w:type="dxa"/>
        </w:tcPr>
        <w:p w14:paraId="21E5893E" w14:textId="77777777" w:rsidR="006A5267" w:rsidRPr="00A82D3C" w:rsidRDefault="006A5267" w:rsidP="00905FB0">
          <w:pPr>
            <w:pStyle w:val="a6"/>
            <w:wordWrap w:val="0"/>
            <w:ind w:right="640"/>
            <w:rPr>
              <w:sz w:val="16"/>
              <w:szCs w:val="16"/>
            </w:rPr>
          </w:pPr>
          <w:r>
            <w:rPr>
              <w:rFonts w:hint="eastAsia"/>
              <w:sz w:val="16"/>
              <w:szCs w:val="16"/>
            </w:rPr>
            <w:t xml:space="preserve">第３章　</w:t>
          </w:r>
          <w:r>
            <w:rPr>
              <w:rFonts w:hint="eastAsia"/>
              <w:sz w:val="16"/>
              <w:szCs w:val="16"/>
            </w:rPr>
            <w:t>情報収集伝達・警戒活動</w:t>
          </w:r>
        </w:p>
      </w:tc>
    </w:tr>
  </w:tbl>
  <w:p w14:paraId="0129DC85" w14:textId="77777777" w:rsidR="006A5267" w:rsidRDefault="006A5267">
    <w:pPr>
      <w:pStyle w:val="a6"/>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Ind w:w="99" w:type="dxa"/>
      <w:tblBorders>
        <w:bottom w:val="thinThickSmallGap" w:sz="18" w:space="0" w:color="auto"/>
      </w:tblBorders>
      <w:tblCellMar>
        <w:left w:w="99" w:type="dxa"/>
        <w:right w:w="99" w:type="dxa"/>
      </w:tblCellMar>
      <w:tblLook w:val="0000" w:firstRow="0" w:lastRow="0" w:firstColumn="0" w:lastColumn="0" w:noHBand="0" w:noVBand="0"/>
    </w:tblPr>
    <w:tblGrid>
      <w:gridCol w:w="8745"/>
    </w:tblGrid>
    <w:tr w:rsidR="006A5267" w14:paraId="26C77EB0" w14:textId="77777777">
      <w:trPr>
        <w:trHeight w:val="180"/>
      </w:trPr>
      <w:tc>
        <w:tcPr>
          <w:tcW w:w="8880" w:type="dxa"/>
        </w:tcPr>
        <w:p w14:paraId="709BDF04" w14:textId="77777777" w:rsidR="006A5267" w:rsidRPr="00647DB7" w:rsidRDefault="006A5267" w:rsidP="00EC7643">
          <w:pPr>
            <w:pStyle w:val="a6"/>
            <w:ind w:firstLineChars="4200" w:firstLine="6720"/>
            <w:rPr>
              <w:sz w:val="16"/>
              <w:szCs w:val="16"/>
            </w:rPr>
          </w:pPr>
          <w:r>
            <w:rPr>
              <w:rFonts w:hint="eastAsia"/>
              <w:sz w:val="16"/>
              <w:szCs w:val="16"/>
            </w:rPr>
            <w:t xml:space="preserve">第７章　</w:t>
          </w:r>
          <w:r>
            <w:rPr>
              <w:rFonts w:hint="eastAsia"/>
              <w:sz w:val="16"/>
              <w:szCs w:val="16"/>
            </w:rPr>
            <w:t>危機事象応急対策</w:t>
          </w:r>
        </w:p>
      </w:tc>
    </w:tr>
  </w:tbl>
  <w:p w14:paraId="4E53DE82" w14:textId="77777777" w:rsidR="006A5267" w:rsidRDefault="006A5267">
    <w:pPr>
      <w:pStyle w:val="a6"/>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Ind w:w="99" w:type="dxa"/>
      <w:tblBorders>
        <w:bottom w:val="thinThickSmallGap" w:sz="18" w:space="0" w:color="auto"/>
      </w:tblBorders>
      <w:tblCellMar>
        <w:left w:w="99" w:type="dxa"/>
        <w:right w:w="99" w:type="dxa"/>
      </w:tblCellMar>
      <w:tblLook w:val="0000" w:firstRow="0" w:lastRow="0" w:firstColumn="0" w:lastColumn="0" w:noHBand="0" w:noVBand="0"/>
    </w:tblPr>
    <w:tblGrid>
      <w:gridCol w:w="8745"/>
    </w:tblGrid>
    <w:tr w:rsidR="006A5267" w14:paraId="6A4E9875" w14:textId="77777777">
      <w:trPr>
        <w:trHeight w:val="176"/>
      </w:trPr>
      <w:tc>
        <w:tcPr>
          <w:tcW w:w="8886" w:type="dxa"/>
        </w:tcPr>
        <w:p w14:paraId="4FF7A3AA" w14:textId="0A300396" w:rsidR="006A5267" w:rsidRPr="00A82D3C" w:rsidRDefault="006A5267" w:rsidP="00E3281E">
          <w:pPr>
            <w:pStyle w:val="a6"/>
            <w:wordWrap w:val="0"/>
            <w:ind w:right="640"/>
            <w:rPr>
              <w:sz w:val="16"/>
              <w:szCs w:val="16"/>
            </w:rPr>
          </w:pPr>
          <w:r>
            <w:rPr>
              <w:rFonts w:hint="eastAsia"/>
              <w:sz w:val="16"/>
              <w:szCs w:val="16"/>
            </w:rPr>
            <w:t>第</w:t>
          </w:r>
          <w:r w:rsidR="00165F54">
            <w:rPr>
              <w:rFonts w:hint="eastAsia"/>
              <w:sz w:val="16"/>
              <w:szCs w:val="16"/>
            </w:rPr>
            <w:t>4</w:t>
          </w:r>
          <w:r>
            <w:rPr>
              <w:rFonts w:hint="eastAsia"/>
              <w:sz w:val="16"/>
              <w:szCs w:val="16"/>
            </w:rPr>
            <w:t xml:space="preserve">章　</w:t>
          </w:r>
          <w:r w:rsidR="00165F54">
            <w:rPr>
              <w:rFonts w:hint="eastAsia"/>
              <w:sz w:val="16"/>
              <w:szCs w:val="16"/>
            </w:rPr>
            <w:t>災害応急対策</w:t>
          </w:r>
        </w:p>
      </w:tc>
    </w:tr>
  </w:tbl>
  <w:p w14:paraId="643BC054" w14:textId="77777777" w:rsidR="006A5267" w:rsidRDefault="006A5267">
    <w:pPr>
      <w:pStyle w:val="a6"/>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Ind w:w="99" w:type="dxa"/>
      <w:tblBorders>
        <w:bottom w:val="thinThickSmallGap" w:sz="18" w:space="0" w:color="auto"/>
      </w:tblBorders>
      <w:tblCellMar>
        <w:left w:w="99" w:type="dxa"/>
        <w:right w:w="99" w:type="dxa"/>
      </w:tblCellMar>
      <w:tblLook w:val="0000" w:firstRow="0" w:lastRow="0" w:firstColumn="0" w:lastColumn="0" w:noHBand="0" w:noVBand="0"/>
    </w:tblPr>
    <w:tblGrid>
      <w:gridCol w:w="8745"/>
    </w:tblGrid>
    <w:tr w:rsidR="001D4C5B" w14:paraId="11DBA158" w14:textId="77777777">
      <w:trPr>
        <w:trHeight w:val="176"/>
      </w:trPr>
      <w:tc>
        <w:tcPr>
          <w:tcW w:w="8886" w:type="dxa"/>
        </w:tcPr>
        <w:p w14:paraId="6FE07B00" w14:textId="5BB34641" w:rsidR="001D4C5B" w:rsidRPr="00A82D3C" w:rsidRDefault="001D4C5B" w:rsidP="00E3281E">
          <w:pPr>
            <w:pStyle w:val="a6"/>
            <w:wordWrap w:val="0"/>
            <w:ind w:right="640"/>
            <w:rPr>
              <w:sz w:val="16"/>
              <w:szCs w:val="16"/>
            </w:rPr>
          </w:pPr>
          <w:r>
            <w:rPr>
              <w:rFonts w:hint="eastAsia"/>
              <w:sz w:val="16"/>
              <w:szCs w:val="16"/>
            </w:rPr>
            <w:t xml:space="preserve">第5章　</w:t>
          </w:r>
          <w:r w:rsidRPr="001D4C5B">
            <w:rPr>
              <w:sz w:val="16"/>
              <w:szCs w:val="16"/>
            </w:rPr>
            <w:t>東海地震の警戒宣言に伴う対応</w:t>
          </w:r>
        </w:p>
      </w:tc>
    </w:tr>
  </w:tbl>
  <w:p w14:paraId="31C967A4" w14:textId="77777777" w:rsidR="001D4C5B" w:rsidRDefault="001D4C5B">
    <w:pPr>
      <w:pStyle w:val="a6"/>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Ind w:w="99" w:type="dxa"/>
      <w:tblBorders>
        <w:bottom w:val="thinThickSmallGap" w:sz="18" w:space="0" w:color="auto"/>
      </w:tblBorders>
      <w:tblCellMar>
        <w:left w:w="99" w:type="dxa"/>
        <w:right w:w="99" w:type="dxa"/>
      </w:tblCellMar>
      <w:tblLook w:val="0000" w:firstRow="0" w:lastRow="0" w:firstColumn="0" w:lastColumn="0" w:noHBand="0" w:noVBand="0"/>
    </w:tblPr>
    <w:tblGrid>
      <w:gridCol w:w="8745"/>
    </w:tblGrid>
    <w:tr w:rsidR="00196764" w14:paraId="1E9976ED" w14:textId="77777777">
      <w:trPr>
        <w:trHeight w:val="176"/>
      </w:trPr>
      <w:tc>
        <w:tcPr>
          <w:tcW w:w="8886" w:type="dxa"/>
        </w:tcPr>
        <w:p w14:paraId="59E418D5" w14:textId="54A0B05B" w:rsidR="00196764" w:rsidRPr="00A82D3C" w:rsidRDefault="00196764" w:rsidP="00E3281E">
          <w:pPr>
            <w:pStyle w:val="a6"/>
            <w:wordWrap w:val="0"/>
            <w:ind w:right="640"/>
            <w:rPr>
              <w:sz w:val="16"/>
              <w:szCs w:val="16"/>
            </w:rPr>
          </w:pPr>
          <w:r>
            <w:rPr>
              <w:rFonts w:hint="eastAsia"/>
              <w:sz w:val="16"/>
              <w:szCs w:val="16"/>
            </w:rPr>
            <w:t xml:space="preserve">第6章　</w:t>
          </w:r>
          <w:r w:rsidRPr="00196764">
            <w:rPr>
              <w:sz w:val="16"/>
              <w:szCs w:val="16"/>
            </w:rPr>
            <w:t>南海トラフ地震に関連する情報発表時の措置</w:t>
          </w:r>
        </w:p>
      </w:tc>
    </w:tr>
  </w:tbl>
  <w:p w14:paraId="007429E2" w14:textId="77777777" w:rsidR="00196764" w:rsidRDefault="00196764">
    <w:pPr>
      <w:pStyle w:val="a6"/>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Ind w:w="99" w:type="dxa"/>
      <w:tblBorders>
        <w:bottom w:val="thinThickSmallGap" w:sz="18" w:space="0" w:color="auto"/>
      </w:tblBorders>
      <w:tblCellMar>
        <w:left w:w="99" w:type="dxa"/>
        <w:right w:w="99" w:type="dxa"/>
      </w:tblCellMar>
      <w:tblLook w:val="0000" w:firstRow="0" w:lastRow="0" w:firstColumn="0" w:lastColumn="0" w:noHBand="0" w:noVBand="0"/>
    </w:tblPr>
    <w:tblGrid>
      <w:gridCol w:w="8745"/>
    </w:tblGrid>
    <w:tr w:rsidR="00B93B64" w14:paraId="25BC4C7E" w14:textId="77777777">
      <w:trPr>
        <w:trHeight w:val="176"/>
      </w:trPr>
      <w:tc>
        <w:tcPr>
          <w:tcW w:w="8886" w:type="dxa"/>
        </w:tcPr>
        <w:p w14:paraId="0A7AD7FA" w14:textId="316BCA59" w:rsidR="00B93B64" w:rsidRPr="00A82D3C" w:rsidRDefault="00B93B64" w:rsidP="00E3281E">
          <w:pPr>
            <w:pStyle w:val="a6"/>
            <w:wordWrap w:val="0"/>
            <w:ind w:right="640"/>
            <w:rPr>
              <w:sz w:val="16"/>
              <w:szCs w:val="16"/>
            </w:rPr>
          </w:pPr>
          <w:r>
            <w:rPr>
              <w:rFonts w:hint="eastAsia"/>
              <w:sz w:val="16"/>
              <w:szCs w:val="16"/>
            </w:rPr>
            <w:t xml:space="preserve">第7章　</w:t>
          </w:r>
          <w:r w:rsidRPr="00B93B64">
            <w:rPr>
              <w:sz w:val="16"/>
              <w:szCs w:val="16"/>
            </w:rPr>
            <w:t>事故等災害応急対策</w:t>
          </w:r>
        </w:p>
      </w:tc>
    </w:tr>
  </w:tbl>
  <w:p w14:paraId="43CF39DE" w14:textId="77777777" w:rsidR="00B93B64" w:rsidRDefault="00B93B64">
    <w:pPr>
      <w:pStyle w:val="a6"/>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Ind w:w="99" w:type="dxa"/>
      <w:tblBorders>
        <w:bottom w:val="thinThickSmallGap" w:sz="18" w:space="0" w:color="auto"/>
      </w:tblBorders>
      <w:tblCellMar>
        <w:left w:w="99" w:type="dxa"/>
        <w:right w:w="99" w:type="dxa"/>
      </w:tblCellMar>
      <w:tblLook w:val="0000" w:firstRow="0" w:lastRow="0" w:firstColumn="0" w:lastColumn="0" w:noHBand="0" w:noVBand="0"/>
    </w:tblPr>
    <w:tblGrid>
      <w:gridCol w:w="8745"/>
    </w:tblGrid>
    <w:tr w:rsidR="006A5267" w14:paraId="3A96D61F" w14:textId="77777777">
      <w:trPr>
        <w:trHeight w:val="176"/>
      </w:trPr>
      <w:tc>
        <w:tcPr>
          <w:tcW w:w="8886" w:type="dxa"/>
        </w:tcPr>
        <w:p w14:paraId="4EAF6A89" w14:textId="77777777" w:rsidR="006A5267" w:rsidRPr="00A82D3C" w:rsidRDefault="006A5267" w:rsidP="00E3281E">
          <w:pPr>
            <w:pStyle w:val="a6"/>
            <w:wordWrap w:val="0"/>
            <w:ind w:right="640"/>
            <w:rPr>
              <w:sz w:val="16"/>
              <w:szCs w:val="16"/>
            </w:rPr>
          </w:pPr>
          <w:r>
            <w:rPr>
              <w:rFonts w:hint="eastAsia"/>
              <w:sz w:val="16"/>
              <w:szCs w:val="16"/>
            </w:rPr>
            <w:t>第８章　原子力災害応急対策</w:t>
          </w:r>
        </w:p>
      </w:tc>
    </w:tr>
  </w:tbl>
  <w:p w14:paraId="47A1409F" w14:textId="77777777" w:rsidR="006A5267" w:rsidRDefault="006A5267">
    <w:pPr>
      <w:pStyle w:val="a6"/>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Ind w:w="99" w:type="dxa"/>
      <w:tblBorders>
        <w:bottom w:val="thinThickSmallGap" w:sz="18" w:space="0" w:color="auto"/>
      </w:tblBorders>
      <w:tblCellMar>
        <w:left w:w="99" w:type="dxa"/>
        <w:right w:w="99" w:type="dxa"/>
      </w:tblCellMar>
      <w:tblLook w:val="0000" w:firstRow="0" w:lastRow="0" w:firstColumn="0" w:lastColumn="0" w:noHBand="0" w:noVBand="0"/>
    </w:tblPr>
    <w:tblGrid>
      <w:gridCol w:w="8745"/>
    </w:tblGrid>
    <w:tr w:rsidR="006A5267" w14:paraId="638076A3" w14:textId="77777777">
      <w:trPr>
        <w:trHeight w:val="176"/>
      </w:trPr>
      <w:tc>
        <w:tcPr>
          <w:tcW w:w="8886" w:type="dxa"/>
        </w:tcPr>
        <w:p w14:paraId="74DD2925" w14:textId="77777777" w:rsidR="006A5267" w:rsidRPr="00A82D3C" w:rsidRDefault="006A5267" w:rsidP="00067804">
          <w:pPr>
            <w:pStyle w:val="a6"/>
            <w:wordWrap w:val="0"/>
            <w:ind w:right="640"/>
            <w:rPr>
              <w:sz w:val="16"/>
              <w:szCs w:val="16"/>
            </w:rPr>
          </w:pPr>
          <w:r>
            <w:rPr>
              <w:rFonts w:hint="eastAsia"/>
              <w:sz w:val="16"/>
              <w:szCs w:val="16"/>
            </w:rPr>
            <w:t xml:space="preserve">第９章　</w:t>
          </w:r>
          <w:r>
            <w:rPr>
              <w:rFonts w:hint="eastAsia"/>
              <w:sz w:val="16"/>
              <w:szCs w:val="16"/>
            </w:rPr>
            <w:t>危機事象応急対策</w:t>
          </w:r>
        </w:p>
      </w:tc>
    </w:tr>
  </w:tbl>
  <w:p w14:paraId="52543157" w14:textId="77777777" w:rsidR="006A5267" w:rsidRDefault="006A5267">
    <w:pPr>
      <w:pStyle w:val="a6"/>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図 1408" o:spid="_x0000_i1025" type="#_x0000_t75" style="width:17.4pt;height:.55pt;visibility:visible;mso-wrap-style:square" o:bullet="t">
        <v:imagedata r:id="rId1" o:title=""/>
      </v:shape>
    </w:pict>
  </w:numPicBullet>
  <w:abstractNum w:abstractNumId="0" w15:restartNumberingAfterBreak="0">
    <w:nsid w:val="0158461E"/>
    <w:multiLevelType w:val="hybridMultilevel"/>
    <w:tmpl w:val="B9A459B8"/>
    <w:lvl w:ilvl="0" w:tplc="A6C0C554">
      <w:start w:val="1"/>
      <w:numFmt w:val="decimal"/>
      <w:lvlText w:val="(%1)"/>
      <w:lvlJc w:val="left"/>
      <w:pPr>
        <w:ind w:left="1260" w:hanging="360"/>
      </w:pPr>
      <w:rPr>
        <w:rFonts w:hint="default"/>
      </w:rPr>
    </w:lvl>
    <w:lvl w:ilvl="1" w:tplc="04090017" w:tentative="1">
      <w:start w:val="1"/>
      <w:numFmt w:val="aiueoFullWidth"/>
      <w:lvlText w:val="(%2)"/>
      <w:lvlJc w:val="left"/>
      <w:pPr>
        <w:ind w:left="1740" w:hanging="420"/>
      </w:pPr>
    </w:lvl>
    <w:lvl w:ilvl="2" w:tplc="04090011" w:tentative="1">
      <w:start w:val="1"/>
      <w:numFmt w:val="decimalEnclosedCircle"/>
      <w:lvlText w:val="%3"/>
      <w:lvlJc w:val="left"/>
      <w:pPr>
        <w:ind w:left="2160" w:hanging="420"/>
      </w:pPr>
    </w:lvl>
    <w:lvl w:ilvl="3" w:tplc="0409000F" w:tentative="1">
      <w:start w:val="1"/>
      <w:numFmt w:val="decimal"/>
      <w:lvlText w:val="%4."/>
      <w:lvlJc w:val="left"/>
      <w:pPr>
        <w:ind w:left="2580" w:hanging="420"/>
      </w:pPr>
    </w:lvl>
    <w:lvl w:ilvl="4" w:tplc="04090017" w:tentative="1">
      <w:start w:val="1"/>
      <w:numFmt w:val="aiueoFullWidth"/>
      <w:lvlText w:val="(%5)"/>
      <w:lvlJc w:val="left"/>
      <w:pPr>
        <w:ind w:left="3000" w:hanging="420"/>
      </w:pPr>
    </w:lvl>
    <w:lvl w:ilvl="5" w:tplc="04090011" w:tentative="1">
      <w:start w:val="1"/>
      <w:numFmt w:val="decimalEnclosedCircle"/>
      <w:lvlText w:val="%6"/>
      <w:lvlJc w:val="left"/>
      <w:pPr>
        <w:ind w:left="3420" w:hanging="420"/>
      </w:pPr>
    </w:lvl>
    <w:lvl w:ilvl="6" w:tplc="0409000F" w:tentative="1">
      <w:start w:val="1"/>
      <w:numFmt w:val="decimal"/>
      <w:lvlText w:val="%7."/>
      <w:lvlJc w:val="left"/>
      <w:pPr>
        <w:ind w:left="3840" w:hanging="420"/>
      </w:pPr>
    </w:lvl>
    <w:lvl w:ilvl="7" w:tplc="04090017" w:tentative="1">
      <w:start w:val="1"/>
      <w:numFmt w:val="aiueoFullWidth"/>
      <w:lvlText w:val="(%8)"/>
      <w:lvlJc w:val="left"/>
      <w:pPr>
        <w:ind w:left="4260" w:hanging="420"/>
      </w:pPr>
    </w:lvl>
    <w:lvl w:ilvl="8" w:tplc="04090011" w:tentative="1">
      <w:start w:val="1"/>
      <w:numFmt w:val="decimalEnclosedCircle"/>
      <w:lvlText w:val="%9"/>
      <w:lvlJc w:val="left"/>
      <w:pPr>
        <w:ind w:left="4680" w:hanging="420"/>
      </w:pPr>
    </w:lvl>
  </w:abstractNum>
  <w:abstractNum w:abstractNumId="1" w15:restartNumberingAfterBreak="0">
    <w:nsid w:val="01B704D3"/>
    <w:multiLevelType w:val="hybridMultilevel"/>
    <w:tmpl w:val="08FAC230"/>
    <w:lvl w:ilvl="0" w:tplc="EE1AFC6A">
      <w:start w:val="1"/>
      <w:numFmt w:val="decimalEnclosedCircle"/>
      <w:lvlText w:val="%1"/>
      <w:lvlJc w:val="left"/>
      <w:pPr>
        <w:ind w:left="1467" w:hanging="360"/>
      </w:pPr>
      <w:rPr>
        <w:rFonts w:hint="default"/>
      </w:rPr>
    </w:lvl>
    <w:lvl w:ilvl="1" w:tplc="04090017" w:tentative="1">
      <w:start w:val="1"/>
      <w:numFmt w:val="aiueoFullWidth"/>
      <w:lvlText w:val="(%2)"/>
      <w:lvlJc w:val="left"/>
      <w:pPr>
        <w:ind w:left="1947" w:hanging="420"/>
      </w:pPr>
    </w:lvl>
    <w:lvl w:ilvl="2" w:tplc="04090011" w:tentative="1">
      <w:start w:val="1"/>
      <w:numFmt w:val="decimalEnclosedCircle"/>
      <w:lvlText w:val="%3"/>
      <w:lvlJc w:val="left"/>
      <w:pPr>
        <w:ind w:left="2367" w:hanging="420"/>
      </w:pPr>
    </w:lvl>
    <w:lvl w:ilvl="3" w:tplc="0409000F" w:tentative="1">
      <w:start w:val="1"/>
      <w:numFmt w:val="decimal"/>
      <w:lvlText w:val="%4."/>
      <w:lvlJc w:val="left"/>
      <w:pPr>
        <w:ind w:left="2787" w:hanging="420"/>
      </w:pPr>
    </w:lvl>
    <w:lvl w:ilvl="4" w:tplc="04090017" w:tentative="1">
      <w:start w:val="1"/>
      <w:numFmt w:val="aiueoFullWidth"/>
      <w:lvlText w:val="(%5)"/>
      <w:lvlJc w:val="left"/>
      <w:pPr>
        <w:ind w:left="3207" w:hanging="420"/>
      </w:pPr>
    </w:lvl>
    <w:lvl w:ilvl="5" w:tplc="04090011" w:tentative="1">
      <w:start w:val="1"/>
      <w:numFmt w:val="decimalEnclosedCircle"/>
      <w:lvlText w:val="%6"/>
      <w:lvlJc w:val="left"/>
      <w:pPr>
        <w:ind w:left="3627" w:hanging="420"/>
      </w:pPr>
    </w:lvl>
    <w:lvl w:ilvl="6" w:tplc="0409000F" w:tentative="1">
      <w:start w:val="1"/>
      <w:numFmt w:val="decimal"/>
      <w:lvlText w:val="%7."/>
      <w:lvlJc w:val="left"/>
      <w:pPr>
        <w:ind w:left="4047" w:hanging="420"/>
      </w:pPr>
    </w:lvl>
    <w:lvl w:ilvl="7" w:tplc="04090017" w:tentative="1">
      <w:start w:val="1"/>
      <w:numFmt w:val="aiueoFullWidth"/>
      <w:lvlText w:val="(%8)"/>
      <w:lvlJc w:val="left"/>
      <w:pPr>
        <w:ind w:left="4467" w:hanging="420"/>
      </w:pPr>
    </w:lvl>
    <w:lvl w:ilvl="8" w:tplc="04090011" w:tentative="1">
      <w:start w:val="1"/>
      <w:numFmt w:val="decimalEnclosedCircle"/>
      <w:lvlText w:val="%9"/>
      <w:lvlJc w:val="left"/>
      <w:pPr>
        <w:ind w:left="4887" w:hanging="420"/>
      </w:pPr>
    </w:lvl>
  </w:abstractNum>
  <w:abstractNum w:abstractNumId="2" w15:restartNumberingAfterBreak="0">
    <w:nsid w:val="0E3A052E"/>
    <w:multiLevelType w:val="hybridMultilevel"/>
    <w:tmpl w:val="14CC4086"/>
    <w:lvl w:ilvl="0" w:tplc="FC4C72A2">
      <w:numFmt w:val="bullet"/>
      <w:lvlText w:val="※"/>
      <w:lvlJc w:val="left"/>
      <w:pPr>
        <w:ind w:left="360" w:hanging="360"/>
      </w:pPr>
      <w:rPr>
        <w:rFonts w:ascii="ＭＳ 明朝" w:eastAsia="ＭＳ 明朝" w:hAnsi="ＭＳ 明朝" w:cs="Times New Roman"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3" w15:restartNumberingAfterBreak="0">
    <w:nsid w:val="0EF6220D"/>
    <w:multiLevelType w:val="hybridMultilevel"/>
    <w:tmpl w:val="A7028F0E"/>
    <w:lvl w:ilvl="0" w:tplc="C820F146">
      <w:start w:val="1"/>
      <w:numFmt w:val="decimal"/>
      <w:lvlText w:val="（%1）"/>
      <w:lvlJc w:val="left"/>
      <w:pPr>
        <w:ind w:left="1604" w:hanging="720"/>
      </w:pPr>
      <w:rPr>
        <w:rFonts w:hint="default"/>
      </w:rPr>
    </w:lvl>
    <w:lvl w:ilvl="1" w:tplc="04090017" w:tentative="1">
      <w:start w:val="1"/>
      <w:numFmt w:val="aiueoFullWidth"/>
      <w:lvlText w:val="(%2)"/>
      <w:lvlJc w:val="left"/>
      <w:pPr>
        <w:ind w:left="1724" w:hanging="420"/>
      </w:pPr>
    </w:lvl>
    <w:lvl w:ilvl="2" w:tplc="04090011" w:tentative="1">
      <w:start w:val="1"/>
      <w:numFmt w:val="decimalEnclosedCircle"/>
      <w:lvlText w:val="%3"/>
      <w:lvlJc w:val="left"/>
      <w:pPr>
        <w:ind w:left="2144" w:hanging="420"/>
      </w:pPr>
    </w:lvl>
    <w:lvl w:ilvl="3" w:tplc="0409000F" w:tentative="1">
      <w:start w:val="1"/>
      <w:numFmt w:val="decimal"/>
      <w:lvlText w:val="%4."/>
      <w:lvlJc w:val="left"/>
      <w:pPr>
        <w:ind w:left="2564" w:hanging="420"/>
      </w:pPr>
    </w:lvl>
    <w:lvl w:ilvl="4" w:tplc="04090017" w:tentative="1">
      <w:start w:val="1"/>
      <w:numFmt w:val="aiueoFullWidth"/>
      <w:lvlText w:val="(%5)"/>
      <w:lvlJc w:val="left"/>
      <w:pPr>
        <w:ind w:left="2984" w:hanging="420"/>
      </w:pPr>
    </w:lvl>
    <w:lvl w:ilvl="5" w:tplc="04090011" w:tentative="1">
      <w:start w:val="1"/>
      <w:numFmt w:val="decimalEnclosedCircle"/>
      <w:lvlText w:val="%6"/>
      <w:lvlJc w:val="left"/>
      <w:pPr>
        <w:ind w:left="3404" w:hanging="420"/>
      </w:pPr>
    </w:lvl>
    <w:lvl w:ilvl="6" w:tplc="0409000F" w:tentative="1">
      <w:start w:val="1"/>
      <w:numFmt w:val="decimal"/>
      <w:lvlText w:val="%7."/>
      <w:lvlJc w:val="left"/>
      <w:pPr>
        <w:ind w:left="3824" w:hanging="420"/>
      </w:pPr>
    </w:lvl>
    <w:lvl w:ilvl="7" w:tplc="04090017" w:tentative="1">
      <w:start w:val="1"/>
      <w:numFmt w:val="aiueoFullWidth"/>
      <w:lvlText w:val="(%8)"/>
      <w:lvlJc w:val="left"/>
      <w:pPr>
        <w:ind w:left="4244" w:hanging="420"/>
      </w:pPr>
    </w:lvl>
    <w:lvl w:ilvl="8" w:tplc="04090011" w:tentative="1">
      <w:start w:val="1"/>
      <w:numFmt w:val="decimalEnclosedCircle"/>
      <w:lvlText w:val="%9"/>
      <w:lvlJc w:val="left"/>
      <w:pPr>
        <w:ind w:left="4664" w:hanging="420"/>
      </w:pPr>
    </w:lvl>
  </w:abstractNum>
  <w:abstractNum w:abstractNumId="4" w15:restartNumberingAfterBreak="0">
    <w:nsid w:val="15406CDB"/>
    <w:multiLevelType w:val="hybridMultilevel"/>
    <w:tmpl w:val="AF8E904C"/>
    <w:lvl w:ilvl="0" w:tplc="E138C310">
      <w:start w:val="2"/>
      <w:numFmt w:val="decimalEnclosedCircle"/>
      <w:lvlText w:val="%1"/>
      <w:lvlJc w:val="left"/>
      <w:pPr>
        <w:ind w:left="1455" w:hanging="360"/>
      </w:pPr>
      <w:rPr>
        <w:rFonts w:hint="default"/>
      </w:rPr>
    </w:lvl>
    <w:lvl w:ilvl="1" w:tplc="04090017" w:tentative="1">
      <w:start w:val="1"/>
      <w:numFmt w:val="aiueoFullWidth"/>
      <w:lvlText w:val="(%2)"/>
      <w:lvlJc w:val="left"/>
      <w:pPr>
        <w:ind w:left="1935" w:hanging="420"/>
      </w:pPr>
    </w:lvl>
    <w:lvl w:ilvl="2" w:tplc="04090011" w:tentative="1">
      <w:start w:val="1"/>
      <w:numFmt w:val="decimalEnclosedCircle"/>
      <w:lvlText w:val="%3"/>
      <w:lvlJc w:val="left"/>
      <w:pPr>
        <w:ind w:left="2355" w:hanging="420"/>
      </w:pPr>
    </w:lvl>
    <w:lvl w:ilvl="3" w:tplc="0409000F" w:tentative="1">
      <w:start w:val="1"/>
      <w:numFmt w:val="decimal"/>
      <w:lvlText w:val="%4."/>
      <w:lvlJc w:val="left"/>
      <w:pPr>
        <w:ind w:left="2775" w:hanging="420"/>
      </w:pPr>
    </w:lvl>
    <w:lvl w:ilvl="4" w:tplc="04090017" w:tentative="1">
      <w:start w:val="1"/>
      <w:numFmt w:val="aiueoFullWidth"/>
      <w:lvlText w:val="(%5)"/>
      <w:lvlJc w:val="left"/>
      <w:pPr>
        <w:ind w:left="3195" w:hanging="420"/>
      </w:pPr>
    </w:lvl>
    <w:lvl w:ilvl="5" w:tplc="04090011" w:tentative="1">
      <w:start w:val="1"/>
      <w:numFmt w:val="decimalEnclosedCircle"/>
      <w:lvlText w:val="%6"/>
      <w:lvlJc w:val="left"/>
      <w:pPr>
        <w:ind w:left="3615" w:hanging="420"/>
      </w:pPr>
    </w:lvl>
    <w:lvl w:ilvl="6" w:tplc="0409000F" w:tentative="1">
      <w:start w:val="1"/>
      <w:numFmt w:val="decimal"/>
      <w:lvlText w:val="%7."/>
      <w:lvlJc w:val="left"/>
      <w:pPr>
        <w:ind w:left="4035" w:hanging="420"/>
      </w:pPr>
    </w:lvl>
    <w:lvl w:ilvl="7" w:tplc="04090017" w:tentative="1">
      <w:start w:val="1"/>
      <w:numFmt w:val="aiueoFullWidth"/>
      <w:lvlText w:val="(%8)"/>
      <w:lvlJc w:val="left"/>
      <w:pPr>
        <w:ind w:left="4455" w:hanging="420"/>
      </w:pPr>
    </w:lvl>
    <w:lvl w:ilvl="8" w:tplc="04090011" w:tentative="1">
      <w:start w:val="1"/>
      <w:numFmt w:val="decimalEnclosedCircle"/>
      <w:lvlText w:val="%9"/>
      <w:lvlJc w:val="left"/>
      <w:pPr>
        <w:ind w:left="4875" w:hanging="420"/>
      </w:pPr>
    </w:lvl>
  </w:abstractNum>
  <w:abstractNum w:abstractNumId="5" w15:restartNumberingAfterBreak="0">
    <w:nsid w:val="18A77EC7"/>
    <w:multiLevelType w:val="hybridMultilevel"/>
    <w:tmpl w:val="BEF66E94"/>
    <w:lvl w:ilvl="0" w:tplc="46767C46">
      <w:start w:val="2"/>
      <w:numFmt w:val="decimalEnclosedCircle"/>
      <w:lvlText w:val="%1"/>
      <w:lvlJc w:val="left"/>
      <w:pPr>
        <w:ind w:left="1211"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6" w15:restartNumberingAfterBreak="0">
    <w:nsid w:val="1BBE6CB0"/>
    <w:multiLevelType w:val="hybridMultilevel"/>
    <w:tmpl w:val="B1E2B0A8"/>
    <w:lvl w:ilvl="0" w:tplc="D97866AC">
      <w:start w:val="4"/>
      <w:numFmt w:val="decimalEnclosedCircle"/>
      <w:lvlText w:val="%1"/>
      <w:lvlJc w:val="left"/>
      <w:pPr>
        <w:ind w:left="1494" w:hanging="360"/>
      </w:pPr>
      <w:rPr>
        <w:rFonts w:hint="default"/>
      </w:rPr>
    </w:lvl>
    <w:lvl w:ilvl="1" w:tplc="04090017" w:tentative="1">
      <w:start w:val="1"/>
      <w:numFmt w:val="aiueoFullWidth"/>
      <w:lvlText w:val="(%2)"/>
      <w:lvlJc w:val="left"/>
      <w:pPr>
        <w:ind w:left="1123" w:hanging="420"/>
      </w:pPr>
    </w:lvl>
    <w:lvl w:ilvl="2" w:tplc="04090011" w:tentative="1">
      <w:start w:val="1"/>
      <w:numFmt w:val="decimalEnclosedCircle"/>
      <w:lvlText w:val="%3"/>
      <w:lvlJc w:val="left"/>
      <w:pPr>
        <w:ind w:left="1543" w:hanging="420"/>
      </w:pPr>
    </w:lvl>
    <w:lvl w:ilvl="3" w:tplc="0409000F" w:tentative="1">
      <w:start w:val="1"/>
      <w:numFmt w:val="decimal"/>
      <w:lvlText w:val="%4."/>
      <w:lvlJc w:val="left"/>
      <w:pPr>
        <w:ind w:left="1963" w:hanging="420"/>
      </w:pPr>
    </w:lvl>
    <w:lvl w:ilvl="4" w:tplc="04090017" w:tentative="1">
      <w:start w:val="1"/>
      <w:numFmt w:val="aiueoFullWidth"/>
      <w:lvlText w:val="(%5)"/>
      <w:lvlJc w:val="left"/>
      <w:pPr>
        <w:ind w:left="2383" w:hanging="420"/>
      </w:pPr>
    </w:lvl>
    <w:lvl w:ilvl="5" w:tplc="04090011" w:tentative="1">
      <w:start w:val="1"/>
      <w:numFmt w:val="decimalEnclosedCircle"/>
      <w:lvlText w:val="%6"/>
      <w:lvlJc w:val="left"/>
      <w:pPr>
        <w:ind w:left="2803" w:hanging="420"/>
      </w:pPr>
    </w:lvl>
    <w:lvl w:ilvl="6" w:tplc="0409000F" w:tentative="1">
      <w:start w:val="1"/>
      <w:numFmt w:val="decimal"/>
      <w:lvlText w:val="%7."/>
      <w:lvlJc w:val="left"/>
      <w:pPr>
        <w:ind w:left="3223" w:hanging="420"/>
      </w:pPr>
    </w:lvl>
    <w:lvl w:ilvl="7" w:tplc="04090017" w:tentative="1">
      <w:start w:val="1"/>
      <w:numFmt w:val="aiueoFullWidth"/>
      <w:lvlText w:val="(%8)"/>
      <w:lvlJc w:val="left"/>
      <w:pPr>
        <w:ind w:left="3643" w:hanging="420"/>
      </w:pPr>
    </w:lvl>
    <w:lvl w:ilvl="8" w:tplc="04090011" w:tentative="1">
      <w:start w:val="1"/>
      <w:numFmt w:val="decimalEnclosedCircle"/>
      <w:lvlText w:val="%9"/>
      <w:lvlJc w:val="left"/>
      <w:pPr>
        <w:ind w:left="4063" w:hanging="420"/>
      </w:pPr>
    </w:lvl>
  </w:abstractNum>
  <w:abstractNum w:abstractNumId="7" w15:restartNumberingAfterBreak="0">
    <w:nsid w:val="1D3D5186"/>
    <w:multiLevelType w:val="hybridMultilevel"/>
    <w:tmpl w:val="B5EA6D44"/>
    <w:lvl w:ilvl="0" w:tplc="94AE5E94">
      <w:start w:val="1"/>
      <w:numFmt w:val="decimal"/>
      <w:lvlText w:val="（%1）"/>
      <w:lvlJc w:val="left"/>
      <w:pPr>
        <w:ind w:left="1558" w:hanging="720"/>
      </w:pPr>
      <w:rPr>
        <w:rFonts w:hint="default"/>
      </w:rPr>
    </w:lvl>
    <w:lvl w:ilvl="1" w:tplc="04090017" w:tentative="1">
      <w:start w:val="1"/>
      <w:numFmt w:val="aiueoFullWidth"/>
      <w:lvlText w:val="(%2)"/>
      <w:lvlJc w:val="left"/>
      <w:pPr>
        <w:ind w:left="1678" w:hanging="420"/>
      </w:pPr>
    </w:lvl>
    <w:lvl w:ilvl="2" w:tplc="04090011" w:tentative="1">
      <w:start w:val="1"/>
      <w:numFmt w:val="decimalEnclosedCircle"/>
      <w:lvlText w:val="%3"/>
      <w:lvlJc w:val="left"/>
      <w:pPr>
        <w:ind w:left="2098" w:hanging="420"/>
      </w:pPr>
    </w:lvl>
    <w:lvl w:ilvl="3" w:tplc="0409000F" w:tentative="1">
      <w:start w:val="1"/>
      <w:numFmt w:val="decimal"/>
      <w:lvlText w:val="%4."/>
      <w:lvlJc w:val="left"/>
      <w:pPr>
        <w:ind w:left="2518" w:hanging="420"/>
      </w:pPr>
    </w:lvl>
    <w:lvl w:ilvl="4" w:tplc="04090017" w:tentative="1">
      <w:start w:val="1"/>
      <w:numFmt w:val="aiueoFullWidth"/>
      <w:lvlText w:val="(%5)"/>
      <w:lvlJc w:val="left"/>
      <w:pPr>
        <w:ind w:left="2938" w:hanging="420"/>
      </w:pPr>
    </w:lvl>
    <w:lvl w:ilvl="5" w:tplc="04090011" w:tentative="1">
      <w:start w:val="1"/>
      <w:numFmt w:val="decimalEnclosedCircle"/>
      <w:lvlText w:val="%6"/>
      <w:lvlJc w:val="left"/>
      <w:pPr>
        <w:ind w:left="3358" w:hanging="420"/>
      </w:pPr>
    </w:lvl>
    <w:lvl w:ilvl="6" w:tplc="0409000F" w:tentative="1">
      <w:start w:val="1"/>
      <w:numFmt w:val="decimal"/>
      <w:lvlText w:val="%7."/>
      <w:lvlJc w:val="left"/>
      <w:pPr>
        <w:ind w:left="3778" w:hanging="420"/>
      </w:pPr>
    </w:lvl>
    <w:lvl w:ilvl="7" w:tplc="04090017" w:tentative="1">
      <w:start w:val="1"/>
      <w:numFmt w:val="aiueoFullWidth"/>
      <w:lvlText w:val="(%8)"/>
      <w:lvlJc w:val="left"/>
      <w:pPr>
        <w:ind w:left="4198" w:hanging="420"/>
      </w:pPr>
    </w:lvl>
    <w:lvl w:ilvl="8" w:tplc="04090011" w:tentative="1">
      <w:start w:val="1"/>
      <w:numFmt w:val="decimalEnclosedCircle"/>
      <w:lvlText w:val="%9"/>
      <w:lvlJc w:val="left"/>
      <w:pPr>
        <w:ind w:left="4618" w:hanging="420"/>
      </w:pPr>
    </w:lvl>
  </w:abstractNum>
  <w:abstractNum w:abstractNumId="8" w15:restartNumberingAfterBreak="0">
    <w:nsid w:val="1F8203A0"/>
    <w:multiLevelType w:val="hybridMultilevel"/>
    <w:tmpl w:val="E5B865E2"/>
    <w:lvl w:ilvl="0" w:tplc="EFE49B72">
      <w:start w:val="1"/>
      <w:numFmt w:val="decimal"/>
      <w:lvlText w:val="(%1)"/>
      <w:lvlJc w:val="left"/>
      <w:pPr>
        <w:ind w:left="1162" w:hanging="720"/>
      </w:pPr>
      <w:rPr>
        <w:rFonts w:hAnsi="Courier New" w:hint="default"/>
      </w:rPr>
    </w:lvl>
    <w:lvl w:ilvl="1" w:tplc="04090017" w:tentative="1">
      <w:start w:val="1"/>
      <w:numFmt w:val="aiueoFullWidth"/>
      <w:lvlText w:val="(%2)"/>
      <w:lvlJc w:val="left"/>
      <w:pPr>
        <w:ind w:left="1282" w:hanging="420"/>
      </w:pPr>
    </w:lvl>
    <w:lvl w:ilvl="2" w:tplc="04090011" w:tentative="1">
      <w:start w:val="1"/>
      <w:numFmt w:val="decimalEnclosedCircle"/>
      <w:lvlText w:val="%3"/>
      <w:lvlJc w:val="left"/>
      <w:pPr>
        <w:ind w:left="1702" w:hanging="420"/>
      </w:pPr>
    </w:lvl>
    <w:lvl w:ilvl="3" w:tplc="0409000F" w:tentative="1">
      <w:start w:val="1"/>
      <w:numFmt w:val="decimal"/>
      <w:lvlText w:val="%4."/>
      <w:lvlJc w:val="left"/>
      <w:pPr>
        <w:ind w:left="2122" w:hanging="420"/>
      </w:pPr>
    </w:lvl>
    <w:lvl w:ilvl="4" w:tplc="04090017" w:tentative="1">
      <w:start w:val="1"/>
      <w:numFmt w:val="aiueoFullWidth"/>
      <w:lvlText w:val="(%5)"/>
      <w:lvlJc w:val="left"/>
      <w:pPr>
        <w:ind w:left="2542" w:hanging="420"/>
      </w:pPr>
    </w:lvl>
    <w:lvl w:ilvl="5" w:tplc="04090011" w:tentative="1">
      <w:start w:val="1"/>
      <w:numFmt w:val="decimalEnclosedCircle"/>
      <w:lvlText w:val="%6"/>
      <w:lvlJc w:val="left"/>
      <w:pPr>
        <w:ind w:left="2962" w:hanging="420"/>
      </w:pPr>
    </w:lvl>
    <w:lvl w:ilvl="6" w:tplc="0409000F" w:tentative="1">
      <w:start w:val="1"/>
      <w:numFmt w:val="decimal"/>
      <w:lvlText w:val="%7."/>
      <w:lvlJc w:val="left"/>
      <w:pPr>
        <w:ind w:left="3382" w:hanging="420"/>
      </w:pPr>
    </w:lvl>
    <w:lvl w:ilvl="7" w:tplc="04090017" w:tentative="1">
      <w:start w:val="1"/>
      <w:numFmt w:val="aiueoFullWidth"/>
      <w:lvlText w:val="(%8)"/>
      <w:lvlJc w:val="left"/>
      <w:pPr>
        <w:ind w:left="3802" w:hanging="420"/>
      </w:pPr>
    </w:lvl>
    <w:lvl w:ilvl="8" w:tplc="04090011" w:tentative="1">
      <w:start w:val="1"/>
      <w:numFmt w:val="decimalEnclosedCircle"/>
      <w:lvlText w:val="%9"/>
      <w:lvlJc w:val="left"/>
      <w:pPr>
        <w:ind w:left="4222" w:hanging="420"/>
      </w:pPr>
    </w:lvl>
  </w:abstractNum>
  <w:abstractNum w:abstractNumId="9" w15:restartNumberingAfterBreak="0">
    <w:nsid w:val="20C614CA"/>
    <w:multiLevelType w:val="hybridMultilevel"/>
    <w:tmpl w:val="F65E32D6"/>
    <w:lvl w:ilvl="0" w:tplc="C762B838">
      <w:start w:val="1"/>
      <w:numFmt w:val="decimal"/>
      <w:lvlText w:val="(%1)"/>
      <w:lvlJc w:val="left"/>
      <w:pPr>
        <w:ind w:left="1260" w:hanging="360"/>
      </w:pPr>
      <w:rPr>
        <w:rFonts w:hint="default"/>
      </w:rPr>
    </w:lvl>
    <w:lvl w:ilvl="1" w:tplc="04090017" w:tentative="1">
      <w:start w:val="1"/>
      <w:numFmt w:val="aiueoFullWidth"/>
      <w:lvlText w:val="(%2)"/>
      <w:lvlJc w:val="left"/>
      <w:pPr>
        <w:ind w:left="1740" w:hanging="420"/>
      </w:pPr>
    </w:lvl>
    <w:lvl w:ilvl="2" w:tplc="04090011" w:tentative="1">
      <w:start w:val="1"/>
      <w:numFmt w:val="decimalEnclosedCircle"/>
      <w:lvlText w:val="%3"/>
      <w:lvlJc w:val="left"/>
      <w:pPr>
        <w:ind w:left="2160" w:hanging="420"/>
      </w:pPr>
    </w:lvl>
    <w:lvl w:ilvl="3" w:tplc="0409000F" w:tentative="1">
      <w:start w:val="1"/>
      <w:numFmt w:val="decimal"/>
      <w:lvlText w:val="%4."/>
      <w:lvlJc w:val="left"/>
      <w:pPr>
        <w:ind w:left="2580" w:hanging="420"/>
      </w:pPr>
    </w:lvl>
    <w:lvl w:ilvl="4" w:tplc="04090017" w:tentative="1">
      <w:start w:val="1"/>
      <w:numFmt w:val="aiueoFullWidth"/>
      <w:lvlText w:val="(%5)"/>
      <w:lvlJc w:val="left"/>
      <w:pPr>
        <w:ind w:left="3000" w:hanging="420"/>
      </w:pPr>
    </w:lvl>
    <w:lvl w:ilvl="5" w:tplc="04090011" w:tentative="1">
      <w:start w:val="1"/>
      <w:numFmt w:val="decimalEnclosedCircle"/>
      <w:lvlText w:val="%6"/>
      <w:lvlJc w:val="left"/>
      <w:pPr>
        <w:ind w:left="3420" w:hanging="420"/>
      </w:pPr>
    </w:lvl>
    <w:lvl w:ilvl="6" w:tplc="0409000F" w:tentative="1">
      <w:start w:val="1"/>
      <w:numFmt w:val="decimal"/>
      <w:lvlText w:val="%7."/>
      <w:lvlJc w:val="left"/>
      <w:pPr>
        <w:ind w:left="3840" w:hanging="420"/>
      </w:pPr>
    </w:lvl>
    <w:lvl w:ilvl="7" w:tplc="04090017" w:tentative="1">
      <w:start w:val="1"/>
      <w:numFmt w:val="aiueoFullWidth"/>
      <w:lvlText w:val="(%8)"/>
      <w:lvlJc w:val="left"/>
      <w:pPr>
        <w:ind w:left="4260" w:hanging="420"/>
      </w:pPr>
    </w:lvl>
    <w:lvl w:ilvl="8" w:tplc="04090011" w:tentative="1">
      <w:start w:val="1"/>
      <w:numFmt w:val="decimalEnclosedCircle"/>
      <w:lvlText w:val="%9"/>
      <w:lvlJc w:val="left"/>
      <w:pPr>
        <w:ind w:left="4680" w:hanging="420"/>
      </w:pPr>
    </w:lvl>
  </w:abstractNum>
  <w:abstractNum w:abstractNumId="10" w15:restartNumberingAfterBreak="0">
    <w:nsid w:val="243C4F70"/>
    <w:multiLevelType w:val="hybridMultilevel"/>
    <w:tmpl w:val="D2163E6C"/>
    <w:lvl w:ilvl="0" w:tplc="691E099A">
      <w:start w:val="1"/>
      <w:numFmt w:val="decimal"/>
      <w:lvlText w:val="(%1)"/>
      <w:lvlJc w:val="left"/>
      <w:pPr>
        <w:ind w:left="1440" w:hanging="540"/>
      </w:pPr>
      <w:rPr>
        <w:rFonts w:ascii="ＭＳ 明朝" w:hint="default"/>
      </w:rPr>
    </w:lvl>
    <w:lvl w:ilvl="1" w:tplc="04090017" w:tentative="1">
      <w:start w:val="1"/>
      <w:numFmt w:val="aiueoFullWidth"/>
      <w:lvlText w:val="(%2)"/>
      <w:lvlJc w:val="left"/>
      <w:pPr>
        <w:ind w:left="1740" w:hanging="420"/>
      </w:pPr>
    </w:lvl>
    <w:lvl w:ilvl="2" w:tplc="04090011" w:tentative="1">
      <w:start w:val="1"/>
      <w:numFmt w:val="decimalEnclosedCircle"/>
      <w:lvlText w:val="%3"/>
      <w:lvlJc w:val="left"/>
      <w:pPr>
        <w:ind w:left="2160" w:hanging="420"/>
      </w:pPr>
    </w:lvl>
    <w:lvl w:ilvl="3" w:tplc="0409000F" w:tentative="1">
      <w:start w:val="1"/>
      <w:numFmt w:val="decimal"/>
      <w:lvlText w:val="%4."/>
      <w:lvlJc w:val="left"/>
      <w:pPr>
        <w:ind w:left="2580" w:hanging="420"/>
      </w:pPr>
    </w:lvl>
    <w:lvl w:ilvl="4" w:tplc="04090017" w:tentative="1">
      <w:start w:val="1"/>
      <w:numFmt w:val="aiueoFullWidth"/>
      <w:lvlText w:val="(%5)"/>
      <w:lvlJc w:val="left"/>
      <w:pPr>
        <w:ind w:left="3000" w:hanging="420"/>
      </w:pPr>
    </w:lvl>
    <w:lvl w:ilvl="5" w:tplc="04090011" w:tentative="1">
      <w:start w:val="1"/>
      <w:numFmt w:val="decimalEnclosedCircle"/>
      <w:lvlText w:val="%6"/>
      <w:lvlJc w:val="left"/>
      <w:pPr>
        <w:ind w:left="3420" w:hanging="420"/>
      </w:pPr>
    </w:lvl>
    <w:lvl w:ilvl="6" w:tplc="0409000F" w:tentative="1">
      <w:start w:val="1"/>
      <w:numFmt w:val="decimal"/>
      <w:lvlText w:val="%7."/>
      <w:lvlJc w:val="left"/>
      <w:pPr>
        <w:ind w:left="3840" w:hanging="420"/>
      </w:pPr>
    </w:lvl>
    <w:lvl w:ilvl="7" w:tplc="04090017" w:tentative="1">
      <w:start w:val="1"/>
      <w:numFmt w:val="aiueoFullWidth"/>
      <w:lvlText w:val="(%8)"/>
      <w:lvlJc w:val="left"/>
      <w:pPr>
        <w:ind w:left="4260" w:hanging="420"/>
      </w:pPr>
    </w:lvl>
    <w:lvl w:ilvl="8" w:tplc="04090011" w:tentative="1">
      <w:start w:val="1"/>
      <w:numFmt w:val="decimalEnclosedCircle"/>
      <w:lvlText w:val="%9"/>
      <w:lvlJc w:val="left"/>
      <w:pPr>
        <w:ind w:left="4680" w:hanging="420"/>
      </w:pPr>
    </w:lvl>
  </w:abstractNum>
  <w:abstractNum w:abstractNumId="11" w15:restartNumberingAfterBreak="0">
    <w:nsid w:val="27F47579"/>
    <w:multiLevelType w:val="hybridMultilevel"/>
    <w:tmpl w:val="842E7602"/>
    <w:lvl w:ilvl="0" w:tplc="A6742952">
      <w:start w:val="1"/>
      <w:numFmt w:val="decimal"/>
      <w:lvlText w:val="(%1)"/>
      <w:lvlJc w:val="left"/>
      <w:pPr>
        <w:ind w:left="1323" w:hanging="444"/>
      </w:pPr>
      <w:rPr>
        <w:rFonts w:ascii="ＭＳ 明朝" w:hAnsi="ＭＳ 明朝" w:hint="default"/>
        <w:color w:val="auto"/>
        <w:sz w:val="22"/>
      </w:rPr>
    </w:lvl>
    <w:lvl w:ilvl="1" w:tplc="04090017" w:tentative="1">
      <w:start w:val="1"/>
      <w:numFmt w:val="aiueoFullWidth"/>
      <w:lvlText w:val="(%2)"/>
      <w:lvlJc w:val="left"/>
      <w:pPr>
        <w:ind w:left="1719" w:hanging="420"/>
      </w:pPr>
    </w:lvl>
    <w:lvl w:ilvl="2" w:tplc="04090011" w:tentative="1">
      <w:start w:val="1"/>
      <w:numFmt w:val="decimalEnclosedCircle"/>
      <w:lvlText w:val="%3"/>
      <w:lvlJc w:val="left"/>
      <w:pPr>
        <w:ind w:left="2139" w:hanging="420"/>
      </w:pPr>
    </w:lvl>
    <w:lvl w:ilvl="3" w:tplc="0409000F" w:tentative="1">
      <w:start w:val="1"/>
      <w:numFmt w:val="decimal"/>
      <w:lvlText w:val="%4."/>
      <w:lvlJc w:val="left"/>
      <w:pPr>
        <w:ind w:left="2559" w:hanging="420"/>
      </w:pPr>
    </w:lvl>
    <w:lvl w:ilvl="4" w:tplc="04090017" w:tentative="1">
      <w:start w:val="1"/>
      <w:numFmt w:val="aiueoFullWidth"/>
      <w:lvlText w:val="(%5)"/>
      <w:lvlJc w:val="left"/>
      <w:pPr>
        <w:ind w:left="2979" w:hanging="420"/>
      </w:pPr>
    </w:lvl>
    <w:lvl w:ilvl="5" w:tplc="04090011" w:tentative="1">
      <w:start w:val="1"/>
      <w:numFmt w:val="decimalEnclosedCircle"/>
      <w:lvlText w:val="%6"/>
      <w:lvlJc w:val="left"/>
      <w:pPr>
        <w:ind w:left="3399" w:hanging="420"/>
      </w:pPr>
    </w:lvl>
    <w:lvl w:ilvl="6" w:tplc="0409000F" w:tentative="1">
      <w:start w:val="1"/>
      <w:numFmt w:val="decimal"/>
      <w:lvlText w:val="%7."/>
      <w:lvlJc w:val="left"/>
      <w:pPr>
        <w:ind w:left="3819" w:hanging="420"/>
      </w:pPr>
    </w:lvl>
    <w:lvl w:ilvl="7" w:tplc="04090017" w:tentative="1">
      <w:start w:val="1"/>
      <w:numFmt w:val="aiueoFullWidth"/>
      <w:lvlText w:val="(%8)"/>
      <w:lvlJc w:val="left"/>
      <w:pPr>
        <w:ind w:left="4239" w:hanging="420"/>
      </w:pPr>
    </w:lvl>
    <w:lvl w:ilvl="8" w:tplc="04090011" w:tentative="1">
      <w:start w:val="1"/>
      <w:numFmt w:val="decimalEnclosedCircle"/>
      <w:lvlText w:val="%9"/>
      <w:lvlJc w:val="left"/>
      <w:pPr>
        <w:ind w:left="4659" w:hanging="420"/>
      </w:pPr>
    </w:lvl>
  </w:abstractNum>
  <w:abstractNum w:abstractNumId="12" w15:restartNumberingAfterBreak="0">
    <w:nsid w:val="28253E4C"/>
    <w:multiLevelType w:val="hybridMultilevel"/>
    <w:tmpl w:val="6046CE90"/>
    <w:lvl w:ilvl="0" w:tplc="B2BA2D18">
      <w:start w:val="1"/>
      <w:numFmt w:val="decimalEnclosedCircle"/>
      <w:lvlText w:val="%1"/>
      <w:lvlJc w:val="left"/>
      <w:pPr>
        <w:ind w:left="1494"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3" w15:restartNumberingAfterBreak="0">
    <w:nsid w:val="2B9F2B23"/>
    <w:multiLevelType w:val="hybridMultilevel"/>
    <w:tmpl w:val="068C80D2"/>
    <w:lvl w:ilvl="0" w:tplc="980C7034">
      <w:start w:val="1"/>
      <w:numFmt w:val="decimalEnclosedCircle"/>
      <w:lvlText w:val="%1"/>
      <w:lvlJc w:val="left"/>
      <w:pPr>
        <w:ind w:left="1455" w:hanging="360"/>
      </w:pPr>
      <w:rPr>
        <w:rFonts w:hint="default"/>
      </w:rPr>
    </w:lvl>
    <w:lvl w:ilvl="1" w:tplc="04090017" w:tentative="1">
      <w:start w:val="1"/>
      <w:numFmt w:val="aiueoFullWidth"/>
      <w:lvlText w:val="(%2)"/>
      <w:lvlJc w:val="left"/>
      <w:pPr>
        <w:ind w:left="1935" w:hanging="420"/>
      </w:pPr>
    </w:lvl>
    <w:lvl w:ilvl="2" w:tplc="04090011" w:tentative="1">
      <w:start w:val="1"/>
      <w:numFmt w:val="decimalEnclosedCircle"/>
      <w:lvlText w:val="%3"/>
      <w:lvlJc w:val="left"/>
      <w:pPr>
        <w:ind w:left="2355" w:hanging="420"/>
      </w:pPr>
    </w:lvl>
    <w:lvl w:ilvl="3" w:tplc="0409000F" w:tentative="1">
      <w:start w:val="1"/>
      <w:numFmt w:val="decimal"/>
      <w:lvlText w:val="%4."/>
      <w:lvlJc w:val="left"/>
      <w:pPr>
        <w:ind w:left="2775" w:hanging="420"/>
      </w:pPr>
    </w:lvl>
    <w:lvl w:ilvl="4" w:tplc="04090017" w:tentative="1">
      <w:start w:val="1"/>
      <w:numFmt w:val="aiueoFullWidth"/>
      <w:lvlText w:val="(%5)"/>
      <w:lvlJc w:val="left"/>
      <w:pPr>
        <w:ind w:left="3195" w:hanging="420"/>
      </w:pPr>
    </w:lvl>
    <w:lvl w:ilvl="5" w:tplc="04090011" w:tentative="1">
      <w:start w:val="1"/>
      <w:numFmt w:val="decimalEnclosedCircle"/>
      <w:lvlText w:val="%6"/>
      <w:lvlJc w:val="left"/>
      <w:pPr>
        <w:ind w:left="3615" w:hanging="420"/>
      </w:pPr>
    </w:lvl>
    <w:lvl w:ilvl="6" w:tplc="0409000F" w:tentative="1">
      <w:start w:val="1"/>
      <w:numFmt w:val="decimal"/>
      <w:lvlText w:val="%7."/>
      <w:lvlJc w:val="left"/>
      <w:pPr>
        <w:ind w:left="4035" w:hanging="420"/>
      </w:pPr>
    </w:lvl>
    <w:lvl w:ilvl="7" w:tplc="04090017" w:tentative="1">
      <w:start w:val="1"/>
      <w:numFmt w:val="aiueoFullWidth"/>
      <w:lvlText w:val="(%8)"/>
      <w:lvlJc w:val="left"/>
      <w:pPr>
        <w:ind w:left="4455" w:hanging="420"/>
      </w:pPr>
    </w:lvl>
    <w:lvl w:ilvl="8" w:tplc="04090011" w:tentative="1">
      <w:start w:val="1"/>
      <w:numFmt w:val="decimalEnclosedCircle"/>
      <w:lvlText w:val="%9"/>
      <w:lvlJc w:val="left"/>
      <w:pPr>
        <w:ind w:left="4875" w:hanging="420"/>
      </w:pPr>
    </w:lvl>
  </w:abstractNum>
  <w:abstractNum w:abstractNumId="14" w15:restartNumberingAfterBreak="0">
    <w:nsid w:val="31B355D4"/>
    <w:multiLevelType w:val="hybridMultilevel"/>
    <w:tmpl w:val="E45E8AC4"/>
    <w:lvl w:ilvl="0" w:tplc="EFE49B72">
      <w:start w:val="1"/>
      <w:numFmt w:val="decimal"/>
      <w:lvlText w:val="(%1)"/>
      <w:lvlJc w:val="left"/>
      <w:pPr>
        <w:ind w:left="1245" w:hanging="360"/>
      </w:pPr>
      <w:rPr>
        <w:rFonts w:hAnsi="Courier New" w:hint="default"/>
      </w:rPr>
    </w:lvl>
    <w:lvl w:ilvl="1" w:tplc="04090017" w:tentative="1">
      <w:start w:val="1"/>
      <w:numFmt w:val="aiueoFullWidth"/>
      <w:lvlText w:val="(%2)"/>
      <w:lvlJc w:val="left"/>
      <w:pPr>
        <w:ind w:left="1725" w:hanging="420"/>
      </w:pPr>
    </w:lvl>
    <w:lvl w:ilvl="2" w:tplc="04090011" w:tentative="1">
      <w:start w:val="1"/>
      <w:numFmt w:val="decimalEnclosedCircle"/>
      <w:lvlText w:val="%3"/>
      <w:lvlJc w:val="left"/>
      <w:pPr>
        <w:ind w:left="2145" w:hanging="420"/>
      </w:pPr>
    </w:lvl>
    <w:lvl w:ilvl="3" w:tplc="0409000F" w:tentative="1">
      <w:start w:val="1"/>
      <w:numFmt w:val="decimal"/>
      <w:lvlText w:val="%4."/>
      <w:lvlJc w:val="left"/>
      <w:pPr>
        <w:ind w:left="2565" w:hanging="420"/>
      </w:pPr>
    </w:lvl>
    <w:lvl w:ilvl="4" w:tplc="04090017" w:tentative="1">
      <w:start w:val="1"/>
      <w:numFmt w:val="aiueoFullWidth"/>
      <w:lvlText w:val="(%5)"/>
      <w:lvlJc w:val="left"/>
      <w:pPr>
        <w:ind w:left="2985" w:hanging="420"/>
      </w:pPr>
    </w:lvl>
    <w:lvl w:ilvl="5" w:tplc="04090011" w:tentative="1">
      <w:start w:val="1"/>
      <w:numFmt w:val="decimalEnclosedCircle"/>
      <w:lvlText w:val="%6"/>
      <w:lvlJc w:val="left"/>
      <w:pPr>
        <w:ind w:left="3405" w:hanging="420"/>
      </w:pPr>
    </w:lvl>
    <w:lvl w:ilvl="6" w:tplc="0409000F" w:tentative="1">
      <w:start w:val="1"/>
      <w:numFmt w:val="decimal"/>
      <w:lvlText w:val="%7."/>
      <w:lvlJc w:val="left"/>
      <w:pPr>
        <w:ind w:left="3825" w:hanging="420"/>
      </w:pPr>
    </w:lvl>
    <w:lvl w:ilvl="7" w:tplc="04090017" w:tentative="1">
      <w:start w:val="1"/>
      <w:numFmt w:val="aiueoFullWidth"/>
      <w:lvlText w:val="(%8)"/>
      <w:lvlJc w:val="left"/>
      <w:pPr>
        <w:ind w:left="4245" w:hanging="420"/>
      </w:pPr>
    </w:lvl>
    <w:lvl w:ilvl="8" w:tplc="04090011" w:tentative="1">
      <w:start w:val="1"/>
      <w:numFmt w:val="decimalEnclosedCircle"/>
      <w:lvlText w:val="%9"/>
      <w:lvlJc w:val="left"/>
      <w:pPr>
        <w:ind w:left="4665" w:hanging="420"/>
      </w:pPr>
    </w:lvl>
  </w:abstractNum>
  <w:abstractNum w:abstractNumId="15" w15:restartNumberingAfterBreak="0">
    <w:nsid w:val="32D308EB"/>
    <w:multiLevelType w:val="hybridMultilevel"/>
    <w:tmpl w:val="59903E18"/>
    <w:lvl w:ilvl="0" w:tplc="B18CB57E">
      <w:start w:val="1"/>
      <w:numFmt w:val="decimal"/>
      <w:lvlText w:val="(%1)"/>
      <w:lvlJc w:val="left"/>
      <w:pPr>
        <w:ind w:left="1435" w:hanging="555"/>
      </w:pPr>
      <w:rPr>
        <w:rFonts w:hint="default"/>
      </w:rPr>
    </w:lvl>
    <w:lvl w:ilvl="1" w:tplc="04090017" w:tentative="1">
      <w:start w:val="1"/>
      <w:numFmt w:val="aiueoFullWidth"/>
      <w:lvlText w:val="(%2)"/>
      <w:lvlJc w:val="left"/>
      <w:pPr>
        <w:ind w:left="1720" w:hanging="420"/>
      </w:pPr>
    </w:lvl>
    <w:lvl w:ilvl="2" w:tplc="04090011" w:tentative="1">
      <w:start w:val="1"/>
      <w:numFmt w:val="decimalEnclosedCircle"/>
      <w:lvlText w:val="%3"/>
      <w:lvlJc w:val="left"/>
      <w:pPr>
        <w:ind w:left="2140" w:hanging="420"/>
      </w:pPr>
    </w:lvl>
    <w:lvl w:ilvl="3" w:tplc="0409000F" w:tentative="1">
      <w:start w:val="1"/>
      <w:numFmt w:val="decimal"/>
      <w:lvlText w:val="%4."/>
      <w:lvlJc w:val="left"/>
      <w:pPr>
        <w:ind w:left="2560" w:hanging="420"/>
      </w:pPr>
    </w:lvl>
    <w:lvl w:ilvl="4" w:tplc="04090017" w:tentative="1">
      <w:start w:val="1"/>
      <w:numFmt w:val="aiueoFullWidth"/>
      <w:lvlText w:val="(%5)"/>
      <w:lvlJc w:val="left"/>
      <w:pPr>
        <w:ind w:left="2980" w:hanging="420"/>
      </w:pPr>
    </w:lvl>
    <w:lvl w:ilvl="5" w:tplc="04090011" w:tentative="1">
      <w:start w:val="1"/>
      <w:numFmt w:val="decimalEnclosedCircle"/>
      <w:lvlText w:val="%6"/>
      <w:lvlJc w:val="left"/>
      <w:pPr>
        <w:ind w:left="3400" w:hanging="420"/>
      </w:pPr>
    </w:lvl>
    <w:lvl w:ilvl="6" w:tplc="0409000F" w:tentative="1">
      <w:start w:val="1"/>
      <w:numFmt w:val="decimal"/>
      <w:lvlText w:val="%7."/>
      <w:lvlJc w:val="left"/>
      <w:pPr>
        <w:ind w:left="3820" w:hanging="420"/>
      </w:pPr>
    </w:lvl>
    <w:lvl w:ilvl="7" w:tplc="04090017" w:tentative="1">
      <w:start w:val="1"/>
      <w:numFmt w:val="aiueoFullWidth"/>
      <w:lvlText w:val="(%8)"/>
      <w:lvlJc w:val="left"/>
      <w:pPr>
        <w:ind w:left="4240" w:hanging="420"/>
      </w:pPr>
    </w:lvl>
    <w:lvl w:ilvl="8" w:tplc="04090011" w:tentative="1">
      <w:start w:val="1"/>
      <w:numFmt w:val="decimalEnclosedCircle"/>
      <w:lvlText w:val="%9"/>
      <w:lvlJc w:val="left"/>
      <w:pPr>
        <w:ind w:left="4660" w:hanging="420"/>
      </w:pPr>
    </w:lvl>
  </w:abstractNum>
  <w:abstractNum w:abstractNumId="16" w15:restartNumberingAfterBreak="0">
    <w:nsid w:val="39DE468D"/>
    <w:multiLevelType w:val="hybridMultilevel"/>
    <w:tmpl w:val="4274D3EC"/>
    <w:lvl w:ilvl="0" w:tplc="6832AD50">
      <w:start w:val="1"/>
      <w:numFmt w:val="decimal"/>
      <w:lvlText w:val="(%1)"/>
      <w:lvlJc w:val="left"/>
      <w:pPr>
        <w:ind w:left="1200" w:hanging="360"/>
      </w:pPr>
      <w:rPr>
        <w:rFonts w:hint="default"/>
      </w:rPr>
    </w:lvl>
    <w:lvl w:ilvl="1" w:tplc="AD3C6AA0">
      <w:start w:val="1"/>
      <w:numFmt w:val="decimalEnclosedCircle"/>
      <w:lvlText w:val="%2"/>
      <w:lvlJc w:val="left"/>
      <w:pPr>
        <w:ind w:left="1620" w:hanging="360"/>
      </w:pPr>
      <w:rPr>
        <w:rFonts w:ascii="ＭＳ 明朝" w:eastAsia="ＭＳ 明朝" w:hAnsi="ＭＳ 明朝" w:cs="Courier New"/>
      </w:rPr>
    </w:lvl>
    <w:lvl w:ilvl="2" w:tplc="04090011" w:tentative="1">
      <w:start w:val="1"/>
      <w:numFmt w:val="decimalEnclosedCircle"/>
      <w:lvlText w:val="%3"/>
      <w:lvlJc w:val="left"/>
      <w:pPr>
        <w:ind w:left="2100" w:hanging="420"/>
      </w:pPr>
    </w:lvl>
    <w:lvl w:ilvl="3" w:tplc="0409000F" w:tentative="1">
      <w:start w:val="1"/>
      <w:numFmt w:val="decimal"/>
      <w:lvlText w:val="%4."/>
      <w:lvlJc w:val="left"/>
      <w:pPr>
        <w:ind w:left="2520" w:hanging="420"/>
      </w:pPr>
    </w:lvl>
    <w:lvl w:ilvl="4" w:tplc="04090017" w:tentative="1">
      <w:start w:val="1"/>
      <w:numFmt w:val="aiueoFullWidth"/>
      <w:lvlText w:val="(%5)"/>
      <w:lvlJc w:val="left"/>
      <w:pPr>
        <w:ind w:left="2940" w:hanging="420"/>
      </w:pPr>
    </w:lvl>
    <w:lvl w:ilvl="5" w:tplc="04090011" w:tentative="1">
      <w:start w:val="1"/>
      <w:numFmt w:val="decimalEnclosedCircle"/>
      <w:lvlText w:val="%6"/>
      <w:lvlJc w:val="left"/>
      <w:pPr>
        <w:ind w:left="3360" w:hanging="420"/>
      </w:pPr>
    </w:lvl>
    <w:lvl w:ilvl="6" w:tplc="0409000F" w:tentative="1">
      <w:start w:val="1"/>
      <w:numFmt w:val="decimal"/>
      <w:lvlText w:val="%7."/>
      <w:lvlJc w:val="left"/>
      <w:pPr>
        <w:ind w:left="3780" w:hanging="420"/>
      </w:pPr>
    </w:lvl>
    <w:lvl w:ilvl="7" w:tplc="04090017" w:tentative="1">
      <w:start w:val="1"/>
      <w:numFmt w:val="aiueoFullWidth"/>
      <w:lvlText w:val="(%8)"/>
      <w:lvlJc w:val="left"/>
      <w:pPr>
        <w:ind w:left="4200" w:hanging="420"/>
      </w:pPr>
    </w:lvl>
    <w:lvl w:ilvl="8" w:tplc="04090011" w:tentative="1">
      <w:start w:val="1"/>
      <w:numFmt w:val="decimalEnclosedCircle"/>
      <w:lvlText w:val="%9"/>
      <w:lvlJc w:val="left"/>
      <w:pPr>
        <w:ind w:left="4620" w:hanging="420"/>
      </w:pPr>
    </w:lvl>
  </w:abstractNum>
  <w:abstractNum w:abstractNumId="17" w15:restartNumberingAfterBreak="0">
    <w:nsid w:val="3D565835"/>
    <w:multiLevelType w:val="hybridMultilevel"/>
    <w:tmpl w:val="ED5A3A3C"/>
    <w:lvl w:ilvl="0" w:tplc="BCD4A0BC">
      <w:start w:val="1"/>
      <w:numFmt w:val="decimal"/>
      <w:lvlText w:val="(%1)"/>
      <w:lvlJc w:val="left"/>
      <w:pPr>
        <w:ind w:left="1140" w:hanging="360"/>
      </w:pPr>
      <w:rPr>
        <w:rFonts w:hint="default"/>
      </w:rPr>
    </w:lvl>
    <w:lvl w:ilvl="1" w:tplc="04090017" w:tentative="1">
      <w:start w:val="1"/>
      <w:numFmt w:val="aiueoFullWidth"/>
      <w:lvlText w:val="(%2)"/>
      <w:lvlJc w:val="left"/>
      <w:pPr>
        <w:ind w:left="1620" w:hanging="420"/>
      </w:pPr>
    </w:lvl>
    <w:lvl w:ilvl="2" w:tplc="04090011" w:tentative="1">
      <w:start w:val="1"/>
      <w:numFmt w:val="decimalEnclosedCircle"/>
      <w:lvlText w:val="%3"/>
      <w:lvlJc w:val="left"/>
      <w:pPr>
        <w:ind w:left="2040" w:hanging="420"/>
      </w:pPr>
    </w:lvl>
    <w:lvl w:ilvl="3" w:tplc="0409000F" w:tentative="1">
      <w:start w:val="1"/>
      <w:numFmt w:val="decimal"/>
      <w:lvlText w:val="%4."/>
      <w:lvlJc w:val="left"/>
      <w:pPr>
        <w:ind w:left="2460" w:hanging="420"/>
      </w:pPr>
    </w:lvl>
    <w:lvl w:ilvl="4" w:tplc="04090017" w:tentative="1">
      <w:start w:val="1"/>
      <w:numFmt w:val="aiueoFullWidth"/>
      <w:lvlText w:val="(%5)"/>
      <w:lvlJc w:val="left"/>
      <w:pPr>
        <w:ind w:left="2880" w:hanging="420"/>
      </w:pPr>
    </w:lvl>
    <w:lvl w:ilvl="5" w:tplc="04090011" w:tentative="1">
      <w:start w:val="1"/>
      <w:numFmt w:val="decimalEnclosedCircle"/>
      <w:lvlText w:val="%6"/>
      <w:lvlJc w:val="left"/>
      <w:pPr>
        <w:ind w:left="3300" w:hanging="420"/>
      </w:pPr>
    </w:lvl>
    <w:lvl w:ilvl="6" w:tplc="0409000F" w:tentative="1">
      <w:start w:val="1"/>
      <w:numFmt w:val="decimal"/>
      <w:lvlText w:val="%7."/>
      <w:lvlJc w:val="left"/>
      <w:pPr>
        <w:ind w:left="3720" w:hanging="420"/>
      </w:pPr>
    </w:lvl>
    <w:lvl w:ilvl="7" w:tplc="04090017" w:tentative="1">
      <w:start w:val="1"/>
      <w:numFmt w:val="aiueoFullWidth"/>
      <w:lvlText w:val="(%8)"/>
      <w:lvlJc w:val="left"/>
      <w:pPr>
        <w:ind w:left="4140" w:hanging="420"/>
      </w:pPr>
    </w:lvl>
    <w:lvl w:ilvl="8" w:tplc="04090011" w:tentative="1">
      <w:start w:val="1"/>
      <w:numFmt w:val="decimalEnclosedCircle"/>
      <w:lvlText w:val="%9"/>
      <w:lvlJc w:val="left"/>
      <w:pPr>
        <w:ind w:left="4560" w:hanging="420"/>
      </w:pPr>
    </w:lvl>
  </w:abstractNum>
  <w:abstractNum w:abstractNumId="18" w15:restartNumberingAfterBreak="0">
    <w:nsid w:val="3DB51056"/>
    <w:multiLevelType w:val="hybridMultilevel"/>
    <w:tmpl w:val="EFAAE53A"/>
    <w:lvl w:ilvl="0" w:tplc="87648272">
      <w:start w:val="1"/>
      <w:numFmt w:val="decimalEnclosedCircle"/>
      <w:lvlText w:val="%1"/>
      <w:lvlJc w:val="left"/>
      <w:pPr>
        <w:ind w:left="360" w:hanging="360"/>
      </w:pPr>
      <w:rPr>
        <w:rFonts w:hAnsi="ＭＳ 明朝"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9" w15:restartNumberingAfterBreak="0">
    <w:nsid w:val="40571084"/>
    <w:multiLevelType w:val="hybridMultilevel"/>
    <w:tmpl w:val="906E644E"/>
    <w:lvl w:ilvl="0" w:tplc="647C4670">
      <w:start w:val="3"/>
      <w:numFmt w:val="bullet"/>
      <w:lvlText w:val="※"/>
      <w:lvlJc w:val="left"/>
      <w:pPr>
        <w:ind w:left="2137" w:hanging="360"/>
      </w:pPr>
      <w:rPr>
        <w:rFonts w:ascii="ＭＳ ゴシック" w:eastAsia="ＭＳ ゴシック" w:hAnsi="ＭＳ ゴシック" w:cs="Times New Roman" w:hint="eastAsia"/>
      </w:rPr>
    </w:lvl>
    <w:lvl w:ilvl="1" w:tplc="0409000B" w:tentative="1">
      <w:start w:val="1"/>
      <w:numFmt w:val="bullet"/>
      <w:lvlText w:val=""/>
      <w:lvlJc w:val="left"/>
      <w:pPr>
        <w:ind w:left="2617" w:hanging="420"/>
      </w:pPr>
      <w:rPr>
        <w:rFonts w:ascii="Wingdings" w:hAnsi="Wingdings" w:hint="default"/>
      </w:rPr>
    </w:lvl>
    <w:lvl w:ilvl="2" w:tplc="0409000D" w:tentative="1">
      <w:start w:val="1"/>
      <w:numFmt w:val="bullet"/>
      <w:lvlText w:val=""/>
      <w:lvlJc w:val="left"/>
      <w:pPr>
        <w:ind w:left="3037" w:hanging="420"/>
      </w:pPr>
      <w:rPr>
        <w:rFonts w:ascii="Wingdings" w:hAnsi="Wingdings" w:hint="default"/>
      </w:rPr>
    </w:lvl>
    <w:lvl w:ilvl="3" w:tplc="04090001" w:tentative="1">
      <w:start w:val="1"/>
      <w:numFmt w:val="bullet"/>
      <w:lvlText w:val=""/>
      <w:lvlJc w:val="left"/>
      <w:pPr>
        <w:ind w:left="3457" w:hanging="420"/>
      </w:pPr>
      <w:rPr>
        <w:rFonts w:ascii="Wingdings" w:hAnsi="Wingdings" w:hint="default"/>
      </w:rPr>
    </w:lvl>
    <w:lvl w:ilvl="4" w:tplc="0409000B" w:tentative="1">
      <w:start w:val="1"/>
      <w:numFmt w:val="bullet"/>
      <w:lvlText w:val=""/>
      <w:lvlJc w:val="left"/>
      <w:pPr>
        <w:ind w:left="3877" w:hanging="420"/>
      </w:pPr>
      <w:rPr>
        <w:rFonts w:ascii="Wingdings" w:hAnsi="Wingdings" w:hint="default"/>
      </w:rPr>
    </w:lvl>
    <w:lvl w:ilvl="5" w:tplc="0409000D" w:tentative="1">
      <w:start w:val="1"/>
      <w:numFmt w:val="bullet"/>
      <w:lvlText w:val=""/>
      <w:lvlJc w:val="left"/>
      <w:pPr>
        <w:ind w:left="4297" w:hanging="420"/>
      </w:pPr>
      <w:rPr>
        <w:rFonts w:ascii="Wingdings" w:hAnsi="Wingdings" w:hint="default"/>
      </w:rPr>
    </w:lvl>
    <w:lvl w:ilvl="6" w:tplc="04090001" w:tentative="1">
      <w:start w:val="1"/>
      <w:numFmt w:val="bullet"/>
      <w:lvlText w:val=""/>
      <w:lvlJc w:val="left"/>
      <w:pPr>
        <w:ind w:left="4717" w:hanging="420"/>
      </w:pPr>
      <w:rPr>
        <w:rFonts w:ascii="Wingdings" w:hAnsi="Wingdings" w:hint="default"/>
      </w:rPr>
    </w:lvl>
    <w:lvl w:ilvl="7" w:tplc="0409000B" w:tentative="1">
      <w:start w:val="1"/>
      <w:numFmt w:val="bullet"/>
      <w:lvlText w:val=""/>
      <w:lvlJc w:val="left"/>
      <w:pPr>
        <w:ind w:left="5137" w:hanging="420"/>
      </w:pPr>
      <w:rPr>
        <w:rFonts w:ascii="Wingdings" w:hAnsi="Wingdings" w:hint="default"/>
      </w:rPr>
    </w:lvl>
    <w:lvl w:ilvl="8" w:tplc="0409000D" w:tentative="1">
      <w:start w:val="1"/>
      <w:numFmt w:val="bullet"/>
      <w:lvlText w:val=""/>
      <w:lvlJc w:val="left"/>
      <w:pPr>
        <w:ind w:left="5557" w:hanging="420"/>
      </w:pPr>
      <w:rPr>
        <w:rFonts w:ascii="Wingdings" w:hAnsi="Wingdings" w:hint="default"/>
      </w:rPr>
    </w:lvl>
  </w:abstractNum>
  <w:abstractNum w:abstractNumId="20" w15:restartNumberingAfterBreak="0">
    <w:nsid w:val="42074C31"/>
    <w:multiLevelType w:val="hybridMultilevel"/>
    <w:tmpl w:val="3C387D1C"/>
    <w:lvl w:ilvl="0" w:tplc="33B281D4">
      <w:start w:val="1"/>
      <w:numFmt w:val="decimalEnclosedCircle"/>
      <w:lvlText w:val="%1"/>
      <w:lvlJc w:val="left"/>
      <w:pPr>
        <w:ind w:left="571" w:hanging="360"/>
      </w:pPr>
      <w:rPr>
        <w:rFonts w:hint="default"/>
      </w:rPr>
    </w:lvl>
    <w:lvl w:ilvl="1" w:tplc="04090017" w:tentative="1">
      <w:start w:val="1"/>
      <w:numFmt w:val="aiueoFullWidth"/>
      <w:lvlText w:val="(%2)"/>
      <w:lvlJc w:val="left"/>
      <w:pPr>
        <w:ind w:left="1091" w:hanging="440"/>
      </w:pPr>
    </w:lvl>
    <w:lvl w:ilvl="2" w:tplc="04090011" w:tentative="1">
      <w:start w:val="1"/>
      <w:numFmt w:val="decimalEnclosedCircle"/>
      <w:lvlText w:val="%3"/>
      <w:lvlJc w:val="left"/>
      <w:pPr>
        <w:ind w:left="1531" w:hanging="440"/>
      </w:pPr>
    </w:lvl>
    <w:lvl w:ilvl="3" w:tplc="0409000F" w:tentative="1">
      <w:start w:val="1"/>
      <w:numFmt w:val="decimal"/>
      <w:lvlText w:val="%4."/>
      <w:lvlJc w:val="left"/>
      <w:pPr>
        <w:ind w:left="1971" w:hanging="440"/>
      </w:pPr>
    </w:lvl>
    <w:lvl w:ilvl="4" w:tplc="04090017" w:tentative="1">
      <w:start w:val="1"/>
      <w:numFmt w:val="aiueoFullWidth"/>
      <w:lvlText w:val="(%5)"/>
      <w:lvlJc w:val="left"/>
      <w:pPr>
        <w:ind w:left="2411" w:hanging="440"/>
      </w:pPr>
    </w:lvl>
    <w:lvl w:ilvl="5" w:tplc="04090011" w:tentative="1">
      <w:start w:val="1"/>
      <w:numFmt w:val="decimalEnclosedCircle"/>
      <w:lvlText w:val="%6"/>
      <w:lvlJc w:val="left"/>
      <w:pPr>
        <w:ind w:left="2851" w:hanging="440"/>
      </w:pPr>
    </w:lvl>
    <w:lvl w:ilvl="6" w:tplc="0409000F" w:tentative="1">
      <w:start w:val="1"/>
      <w:numFmt w:val="decimal"/>
      <w:lvlText w:val="%7."/>
      <w:lvlJc w:val="left"/>
      <w:pPr>
        <w:ind w:left="3291" w:hanging="440"/>
      </w:pPr>
    </w:lvl>
    <w:lvl w:ilvl="7" w:tplc="04090017" w:tentative="1">
      <w:start w:val="1"/>
      <w:numFmt w:val="aiueoFullWidth"/>
      <w:lvlText w:val="(%8)"/>
      <w:lvlJc w:val="left"/>
      <w:pPr>
        <w:ind w:left="3731" w:hanging="440"/>
      </w:pPr>
    </w:lvl>
    <w:lvl w:ilvl="8" w:tplc="04090011" w:tentative="1">
      <w:start w:val="1"/>
      <w:numFmt w:val="decimalEnclosedCircle"/>
      <w:lvlText w:val="%9"/>
      <w:lvlJc w:val="left"/>
      <w:pPr>
        <w:ind w:left="4171" w:hanging="440"/>
      </w:pPr>
    </w:lvl>
  </w:abstractNum>
  <w:abstractNum w:abstractNumId="21" w15:restartNumberingAfterBreak="0">
    <w:nsid w:val="435732C4"/>
    <w:multiLevelType w:val="hybridMultilevel"/>
    <w:tmpl w:val="15C20856"/>
    <w:lvl w:ilvl="0" w:tplc="3C40DCCC">
      <w:start w:val="1"/>
      <w:numFmt w:val="decimal"/>
      <w:lvlText w:val="(%1)"/>
      <w:lvlJc w:val="left"/>
      <w:pPr>
        <w:ind w:left="1263" w:hanging="360"/>
      </w:pPr>
      <w:rPr>
        <w:rFonts w:hint="default"/>
      </w:rPr>
    </w:lvl>
    <w:lvl w:ilvl="1" w:tplc="04090017" w:tentative="1">
      <w:start w:val="1"/>
      <w:numFmt w:val="aiueoFullWidth"/>
      <w:lvlText w:val="(%2)"/>
      <w:lvlJc w:val="left"/>
      <w:pPr>
        <w:ind w:left="1743" w:hanging="420"/>
      </w:pPr>
    </w:lvl>
    <w:lvl w:ilvl="2" w:tplc="04090011" w:tentative="1">
      <w:start w:val="1"/>
      <w:numFmt w:val="decimalEnclosedCircle"/>
      <w:lvlText w:val="%3"/>
      <w:lvlJc w:val="left"/>
      <w:pPr>
        <w:ind w:left="2163" w:hanging="420"/>
      </w:pPr>
    </w:lvl>
    <w:lvl w:ilvl="3" w:tplc="0409000F" w:tentative="1">
      <w:start w:val="1"/>
      <w:numFmt w:val="decimal"/>
      <w:lvlText w:val="%4."/>
      <w:lvlJc w:val="left"/>
      <w:pPr>
        <w:ind w:left="2583" w:hanging="420"/>
      </w:pPr>
    </w:lvl>
    <w:lvl w:ilvl="4" w:tplc="04090017" w:tentative="1">
      <w:start w:val="1"/>
      <w:numFmt w:val="aiueoFullWidth"/>
      <w:lvlText w:val="(%5)"/>
      <w:lvlJc w:val="left"/>
      <w:pPr>
        <w:ind w:left="3003" w:hanging="420"/>
      </w:pPr>
    </w:lvl>
    <w:lvl w:ilvl="5" w:tplc="04090011" w:tentative="1">
      <w:start w:val="1"/>
      <w:numFmt w:val="decimalEnclosedCircle"/>
      <w:lvlText w:val="%6"/>
      <w:lvlJc w:val="left"/>
      <w:pPr>
        <w:ind w:left="3423" w:hanging="420"/>
      </w:pPr>
    </w:lvl>
    <w:lvl w:ilvl="6" w:tplc="0409000F" w:tentative="1">
      <w:start w:val="1"/>
      <w:numFmt w:val="decimal"/>
      <w:lvlText w:val="%7."/>
      <w:lvlJc w:val="left"/>
      <w:pPr>
        <w:ind w:left="3843" w:hanging="420"/>
      </w:pPr>
    </w:lvl>
    <w:lvl w:ilvl="7" w:tplc="04090017" w:tentative="1">
      <w:start w:val="1"/>
      <w:numFmt w:val="aiueoFullWidth"/>
      <w:lvlText w:val="(%8)"/>
      <w:lvlJc w:val="left"/>
      <w:pPr>
        <w:ind w:left="4263" w:hanging="420"/>
      </w:pPr>
    </w:lvl>
    <w:lvl w:ilvl="8" w:tplc="04090011" w:tentative="1">
      <w:start w:val="1"/>
      <w:numFmt w:val="decimalEnclosedCircle"/>
      <w:lvlText w:val="%9"/>
      <w:lvlJc w:val="left"/>
      <w:pPr>
        <w:ind w:left="4683" w:hanging="420"/>
      </w:pPr>
    </w:lvl>
  </w:abstractNum>
  <w:abstractNum w:abstractNumId="22" w15:restartNumberingAfterBreak="0">
    <w:nsid w:val="4380406F"/>
    <w:multiLevelType w:val="hybridMultilevel"/>
    <w:tmpl w:val="7E6C93C2"/>
    <w:lvl w:ilvl="0" w:tplc="415A7A0C">
      <w:start w:val="1"/>
      <w:numFmt w:val="decimal"/>
      <w:lvlText w:val="(%1)"/>
      <w:lvlJc w:val="left"/>
      <w:pPr>
        <w:ind w:left="1244" w:hanging="360"/>
      </w:pPr>
      <w:rPr>
        <w:rFonts w:hint="default"/>
      </w:rPr>
    </w:lvl>
    <w:lvl w:ilvl="1" w:tplc="04090017" w:tentative="1">
      <w:start w:val="1"/>
      <w:numFmt w:val="aiueoFullWidth"/>
      <w:lvlText w:val="(%2)"/>
      <w:lvlJc w:val="left"/>
      <w:pPr>
        <w:ind w:left="1724" w:hanging="420"/>
      </w:pPr>
    </w:lvl>
    <w:lvl w:ilvl="2" w:tplc="04090011" w:tentative="1">
      <w:start w:val="1"/>
      <w:numFmt w:val="decimalEnclosedCircle"/>
      <w:lvlText w:val="%3"/>
      <w:lvlJc w:val="left"/>
      <w:pPr>
        <w:ind w:left="2144" w:hanging="420"/>
      </w:pPr>
    </w:lvl>
    <w:lvl w:ilvl="3" w:tplc="0409000F" w:tentative="1">
      <w:start w:val="1"/>
      <w:numFmt w:val="decimal"/>
      <w:lvlText w:val="%4."/>
      <w:lvlJc w:val="left"/>
      <w:pPr>
        <w:ind w:left="2564" w:hanging="420"/>
      </w:pPr>
    </w:lvl>
    <w:lvl w:ilvl="4" w:tplc="04090017" w:tentative="1">
      <w:start w:val="1"/>
      <w:numFmt w:val="aiueoFullWidth"/>
      <w:lvlText w:val="(%5)"/>
      <w:lvlJc w:val="left"/>
      <w:pPr>
        <w:ind w:left="2984" w:hanging="420"/>
      </w:pPr>
    </w:lvl>
    <w:lvl w:ilvl="5" w:tplc="04090011" w:tentative="1">
      <w:start w:val="1"/>
      <w:numFmt w:val="decimalEnclosedCircle"/>
      <w:lvlText w:val="%6"/>
      <w:lvlJc w:val="left"/>
      <w:pPr>
        <w:ind w:left="3404" w:hanging="420"/>
      </w:pPr>
    </w:lvl>
    <w:lvl w:ilvl="6" w:tplc="0409000F" w:tentative="1">
      <w:start w:val="1"/>
      <w:numFmt w:val="decimal"/>
      <w:lvlText w:val="%7."/>
      <w:lvlJc w:val="left"/>
      <w:pPr>
        <w:ind w:left="3824" w:hanging="420"/>
      </w:pPr>
    </w:lvl>
    <w:lvl w:ilvl="7" w:tplc="04090017" w:tentative="1">
      <w:start w:val="1"/>
      <w:numFmt w:val="aiueoFullWidth"/>
      <w:lvlText w:val="(%8)"/>
      <w:lvlJc w:val="left"/>
      <w:pPr>
        <w:ind w:left="4244" w:hanging="420"/>
      </w:pPr>
    </w:lvl>
    <w:lvl w:ilvl="8" w:tplc="04090011" w:tentative="1">
      <w:start w:val="1"/>
      <w:numFmt w:val="decimalEnclosedCircle"/>
      <w:lvlText w:val="%9"/>
      <w:lvlJc w:val="left"/>
      <w:pPr>
        <w:ind w:left="4664" w:hanging="420"/>
      </w:pPr>
    </w:lvl>
  </w:abstractNum>
  <w:abstractNum w:abstractNumId="23" w15:restartNumberingAfterBreak="0">
    <w:nsid w:val="44C62919"/>
    <w:multiLevelType w:val="hybridMultilevel"/>
    <w:tmpl w:val="0D50F91E"/>
    <w:lvl w:ilvl="0" w:tplc="F3CECDA6">
      <w:numFmt w:val="bullet"/>
      <w:lvlText w:val="※"/>
      <w:lvlJc w:val="left"/>
      <w:pPr>
        <w:ind w:left="570" w:hanging="360"/>
      </w:pPr>
      <w:rPr>
        <w:rFonts w:ascii="ＭＳ 明朝" w:eastAsia="ＭＳ 明朝" w:hAnsi="ＭＳ 明朝" w:cs="Times New Roman" w:hint="eastAsia"/>
      </w:rPr>
    </w:lvl>
    <w:lvl w:ilvl="1" w:tplc="0409000B" w:tentative="1">
      <w:start w:val="1"/>
      <w:numFmt w:val="bullet"/>
      <w:lvlText w:val=""/>
      <w:lvlJc w:val="left"/>
      <w:pPr>
        <w:ind w:left="1050" w:hanging="420"/>
      </w:pPr>
      <w:rPr>
        <w:rFonts w:ascii="Wingdings" w:hAnsi="Wingdings" w:hint="default"/>
      </w:rPr>
    </w:lvl>
    <w:lvl w:ilvl="2" w:tplc="0409000D" w:tentative="1">
      <w:start w:val="1"/>
      <w:numFmt w:val="bullet"/>
      <w:lvlText w:val=""/>
      <w:lvlJc w:val="left"/>
      <w:pPr>
        <w:ind w:left="1470" w:hanging="420"/>
      </w:pPr>
      <w:rPr>
        <w:rFonts w:ascii="Wingdings" w:hAnsi="Wingdings" w:hint="default"/>
      </w:rPr>
    </w:lvl>
    <w:lvl w:ilvl="3" w:tplc="04090001" w:tentative="1">
      <w:start w:val="1"/>
      <w:numFmt w:val="bullet"/>
      <w:lvlText w:val=""/>
      <w:lvlJc w:val="left"/>
      <w:pPr>
        <w:ind w:left="1890" w:hanging="420"/>
      </w:pPr>
      <w:rPr>
        <w:rFonts w:ascii="Wingdings" w:hAnsi="Wingdings" w:hint="default"/>
      </w:rPr>
    </w:lvl>
    <w:lvl w:ilvl="4" w:tplc="0409000B" w:tentative="1">
      <w:start w:val="1"/>
      <w:numFmt w:val="bullet"/>
      <w:lvlText w:val=""/>
      <w:lvlJc w:val="left"/>
      <w:pPr>
        <w:ind w:left="2310" w:hanging="420"/>
      </w:pPr>
      <w:rPr>
        <w:rFonts w:ascii="Wingdings" w:hAnsi="Wingdings" w:hint="default"/>
      </w:rPr>
    </w:lvl>
    <w:lvl w:ilvl="5" w:tplc="0409000D" w:tentative="1">
      <w:start w:val="1"/>
      <w:numFmt w:val="bullet"/>
      <w:lvlText w:val=""/>
      <w:lvlJc w:val="left"/>
      <w:pPr>
        <w:ind w:left="2730" w:hanging="420"/>
      </w:pPr>
      <w:rPr>
        <w:rFonts w:ascii="Wingdings" w:hAnsi="Wingdings" w:hint="default"/>
      </w:rPr>
    </w:lvl>
    <w:lvl w:ilvl="6" w:tplc="04090001" w:tentative="1">
      <w:start w:val="1"/>
      <w:numFmt w:val="bullet"/>
      <w:lvlText w:val=""/>
      <w:lvlJc w:val="left"/>
      <w:pPr>
        <w:ind w:left="3150" w:hanging="420"/>
      </w:pPr>
      <w:rPr>
        <w:rFonts w:ascii="Wingdings" w:hAnsi="Wingdings" w:hint="default"/>
      </w:rPr>
    </w:lvl>
    <w:lvl w:ilvl="7" w:tplc="0409000B" w:tentative="1">
      <w:start w:val="1"/>
      <w:numFmt w:val="bullet"/>
      <w:lvlText w:val=""/>
      <w:lvlJc w:val="left"/>
      <w:pPr>
        <w:ind w:left="3570" w:hanging="420"/>
      </w:pPr>
      <w:rPr>
        <w:rFonts w:ascii="Wingdings" w:hAnsi="Wingdings" w:hint="default"/>
      </w:rPr>
    </w:lvl>
    <w:lvl w:ilvl="8" w:tplc="0409000D" w:tentative="1">
      <w:start w:val="1"/>
      <w:numFmt w:val="bullet"/>
      <w:lvlText w:val=""/>
      <w:lvlJc w:val="left"/>
      <w:pPr>
        <w:ind w:left="3990" w:hanging="420"/>
      </w:pPr>
      <w:rPr>
        <w:rFonts w:ascii="Wingdings" w:hAnsi="Wingdings" w:hint="default"/>
      </w:rPr>
    </w:lvl>
  </w:abstractNum>
  <w:abstractNum w:abstractNumId="24" w15:restartNumberingAfterBreak="0">
    <w:nsid w:val="47985620"/>
    <w:multiLevelType w:val="hybridMultilevel"/>
    <w:tmpl w:val="4962CA26"/>
    <w:lvl w:ilvl="0" w:tplc="758AD27A">
      <w:start w:val="1"/>
      <w:numFmt w:val="decimal"/>
      <w:lvlText w:val="(%1)"/>
      <w:lvlJc w:val="left"/>
      <w:pPr>
        <w:ind w:left="1435" w:hanging="555"/>
      </w:pPr>
      <w:rPr>
        <w:rFonts w:hint="default"/>
        <w:color w:val="auto"/>
      </w:rPr>
    </w:lvl>
    <w:lvl w:ilvl="1" w:tplc="04090017" w:tentative="1">
      <w:start w:val="1"/>
      <w:numFmt w:val="aiueoFullWidth"/>
      <w:lvlText w:val="(%2)"/>
      <w:lvlJc w:val="left"/>
      <w:pPr>
        <w:ind w:left="1720" w:hanging="420"/>
      </w:pPr>
    </w:lvl>
    <w:lvl w:ilvl="2" w:tplc="04090011" w:tentative="1">
      <w:start w:val="1"/>
      <w:numFmt w:val="decimalEnclosedCircle"/>
      <w:lvlText w:val="%3"/>
      <w:lvlJc w:val="left"/>
      <w:pPr>
        <w:ind w:left="2140" w:hanging="420"/>
      </w:pPr>
    </w:lvl>
    <w:lvl w:ilvl="3" w:tplc="0409000F" w:tentative="1">
      <w:start w:val="1"/>
      <w:numFmt w:val="decimal"/>
      <w:lvlText w:val="%4."/>
      <w:lvlJc w:val="left"/>
      <w:pPr>
        <w:ind w:left="2560" w:hanging="420"/>
      </w:pPr>
    </w:lvl>
    <w:lvl w:ilvl="4" w:tplc="04090017" w:tentative="1">
      <w:start w:val="1"/>
      <w:numFmt w:val="aiueoFullWidth"/>
      <w:lvlText w:val="(%5)"/>
      <w:lvlJc w:val="left"/>
      <w:pPr>
        <w:ind w:left="2980" w:hanging="420"/>
      </w:pPr>
    </w:lvl>
    <w:lvl w:ilvl="5" w:tplc="04090011" w:tentative="1">
      <w:start w:val="1"/>
      <w:numFmt w:val="decimalEnclosedCircle"/>
      <w:lvlText w:val="%6"/>
      <w:lvlJc w:val="left"/>
      <w:pPr>
        <w:ind w:left="3400" w:hanging="420"/>
      </w:pPr>
    </w:lvl>
    <w:lvl w:ilvl="6" w:tplc="0409000F" w:tentative="1">
      <w:start w:val="1"/>
      <w:numFmt w:val="decimal"/>
      <w:lvlText w:val="%7."/>
      <w:lvlJc w:val="left"/>
      <w:pPr>
        <w:ind w:left="3820" w:hanging="420"/>
      </w:pPr>
    </w:lvl>
    <w:lvl w:ilvl="7" w:tplc="04090017" w:tentative="1">
      <w:start w:val="1"/>
      <w:numFmt w:val="aiueoFullWidth"/>
      <w:lvlText w:val="(%8)"/>
      <w:lvlJc w:val="left"/>
      <w:pPr>
        <w:ind w:left="4240" w:hanging="420"/>
      </w:pPr>
    </w:lvl>
    <w:lvl w:ilvl="8" w:tplc="04090011" w:tentative="1">
      <w:start w:val="1"/>
      <w:numFmt w:val="decimalEnclosedCircle"/>
      <w:lvlText w:val="%9"/>
      <w:lvlJc w:val="left"/>
      <w:pPr>
        <w:ind w:left="4660" w:hanging="420"/>
      </w:pPr>
    </w:lvl>
  </w:abstractNum>
  <w:abstractNum w:abstractNumId="25" w15:restartNumberingAfterBreak="0">
    <w:nsid w:val="47EB4C9C"/>
    <w:multiLevelType w:val="hybridMultilevel"/>
    <w:tmpl w:val="D8AE3A0A"/>
    <w:lvl w:ilvl="0" w:tplc="315C05B2">
      <w:start w:val="1"/>
      <w:numFmt w:val="decimal"/>
      <w:lvlText w:val="(%1)"/>
      <w:lvlJc w:val="left"/>
      <w:pPr>
        <w:ind w:left="1435" w:hanging="555"/>
      </w:pPr>
      <w:rPr>
        <w:rFonts w:hint="default"/>
      </w:rPr>
    </w:lvl>
    <w:lvl w:ilvl="1" w:tplc="04090017" w:tentative="1">
      <w:start w:val="1"/>
      <w:numFmt w:val="aiueoFullWidth"/>
      <w:lvlText w:val="(%2)"/>
      <w:lvlJc w:val="left"/>
      <w:pPr>
        <w:ind w:left="1720" w:hanging="420"/>
      </w:pPr>
    </w:lvl>
    <w:lvl w:ilvl="2" w:tplc="04090011" w:tentative="1">
      <w:start w:val="1"/>
      <w:numFmt w:val="decimalEnclosedCircle"/>
      <w:lvlText w:val="%3"/>
      <w:lvlJc w:val="left"/>
      <w:pPr>
        <w:ind w:left="2140" w:hanging="420"/>
      </w:pPr>
    </w:lvl>
    <w:lvl w:ilvl="3" w:tplc="0409000F" w:tentative="1">
      <w:start w:val="1"/>
      <w:numFmt w:val="decimal"/>
      <w:lvlText w:val="%4."/>
      <w:lvlJc w:val="left"/>
      <w:pPr>
        <w:ind w:left="2560" w:hanging="420"/>
      </w:pPr>
    </w:lvl>
    <w:lvl w:ilvl="4" w:tplc="04090017" w:tentative="1">
      <w:start w:val="1"/>
      <w:numFmt w:val="aiueoFullWidth"/>
      <w:lvlText w:val="(%5)"/>
      <w:lvlJc w:val="left"/>
      <w:pPr>
        <w:ind w:left="2980" w:hanging="420"/>
      </w:pPr>
    </w:lvl>
    <w:lvl w:ilvl="5" w:tplc="04090011" w:tentative="1">
      <w:start w:val="1"/>
      <w:numFmt w:val="decimalEnclosedCircle"/>
      <w:lvlText w:val="%6"/>
      <w:lvlJc w:val="left"/>
      <w:pPr>
        <w:ind w:left="3400" w:hanging="420"/>
      </w:pPr>
    </w:lvl>
    <w:lvl w:ilvl="6" w:tplc="0409000F" w:tentative="1">
      <w:start w:val="1"/>
      <w:numFmt w:val="decimal"/>
      <w:lvlText w:val="%7."/>
      <w:lvlJc w:val="left"/>
      <w:pPr>
        <w:ind w:left="3820" w:hanging="420"/>
      </w:pPr>
    </w:lvl>
    <w:lvl w:ilvl="7" w:tplc="04090017" w:tentative="1">
      <w:start w:val="1"/>
      <w:numFmt w:val="aiueoFullWidth"/>
      <w:lvlText w:val="(%8)"/>
      <w:lvlJc w:val="left"/>
      <w:pPr>
        <w:ind w:left="4240" w:hanging="420"/>
      </w:pPr>
    </w:lvl>
    <w:lvl w:ilvl="8" w:tplc="04090011" w:tentative="1">
      <w:start w:val="1"/>
      <w:numFmt w:val="decimalEnclosedCircle"/>
      <w:lvlText w:val="%9"/>
      <w:lvlJc w:val="left"/>
      <w:pPr>
        <w:ind w:left="4660" w:hanging="420"/>
      </w:pPr>
    </w:lvl>
  </w:abstractNum>
  <w:abstractNum w:abstractNumId="26" w15:restartNumberingAfterBreak="0">
    <w:nsid w:val="4E555AB4"/>
    <w:multiLevelType w:val="hybridMultilevel"/>
    <w:tmpl w:val="AFDC3274"/>
    <w:lvl w:ilvl="0" w:tplc="7C986066">
      <w:start w:val="1"/>
      <w:numFmt w:val="decimal"/>
      <w:lvlText w:val="(%1)"/>
      <w:lvlJc w:val="left"/>
      <w:pPr>
        <w:ind w:left="1260" w:hanging="360"/>
      </w:pPr>
      <w:rPr>
        <w:rFonts w:hint="default"/>
      </w:rPr>
    </w:lvl>
    <w:lvl w:ilvl="1" w:tplc="04090017" w:tentative="1">
      <w:start w:val="1"/>
      <w:numFmt w:val="aiueoFullWidth"/>
      <w:lvlText w:val="(%2)"/>
      <w:lvlJc w:val="left"/>
      <w:pPr>
        <w:ind w:left="1740" w:hanging="420"/>
      </w:pPr>
    </w:lvl>
    <w:lvl w:ilvl="2" w:tplc="04090011" w:tentative="1">
      <w:start w:val="1"/>
      <w:numFmt w:val="decimalEnclosedCircle"/>
      <w:lvlText w:val="%3"/>
      <w:lvlJc w:val="left"/>
      <w:pPr>
        <w:ind w:left="2160" w:hanging="420"/>
      </w:pPr>
    </w:lvl>
    <w:lvl w:ilvl="3" w:tplc="0409000F" w:tentative="1">
      <w:start w:val="1"/>
      <w:numFmt w:val="decimal"/>
      <w:lvlText w:val="%4."/>
      <w:lvlJc w:val="left"/>
      <w:pPr>
        <w:ind w:left="2580" w:hanging="420"/>
      </w:pPr>
    </w:lvl>
    <w:lvl w:ilvl="4" w:tplc="04090017" w:tentative="1">
      <w:start w:val="1"/>
      <w:numFmt w:val="aiueoFullWidth"/>
      <w:lvlText w:val="(%5)"/>
      <w:lvlJc w:val="left"/>
      <w:pPr>
        <w:ind w:left="3000" w:hanging="420"/>
      </w:pPr>
    </w:lvl>
    <w:lvl w:ilvl="5" w:tplc="04090011" w:tentative="1">
      <w:start w:val="1"/>
      <w:numFmt w:val="decimalEnclosedCircle"/>
      <w:lvlText w:val="%6"/>
      <w:lvlJc w:val="left"/>
      <w:pPr>
        <w:ind w:left="3420" w:hanging="420"/>
      </w:pPr>
    </w:lvl>
    <w:lvl w:ilvl="6" w:tplc="0409000F" w:tentative="1">
      <w:start w:val="1"/>
      <w:numFmt w:val="decimal"/>
      <w:lvlText w:val="%7."/>
      <w:lvlJc w:val="left"/>
      <w:pPr>
        <w:ind w:left="3840" w:hanging="420"/>
      </w:pPr>
    </w:lvl>
    <w:lvl w:ilvl="7" w:tplc="04090017" w:tentative="1">
      <w:start w:val="1"/>
      <w:numFmt w:val="aiueoFullWidth"/>
      <w:lvlText w:val="(%8)"/>
      <w:lvlJc w:val="left"/>
      <w:pPr>
        <w:ind w:left="4260" w:hanging="420"/>
      </w:pPr>
    </w:lvl>
    <w:lvl w:ilvl="8" w:tplc="04090011" w:tentative="1">
      <w:start w:val="1"/>
      <w:numFmt w:val="decimalEnclosedCircle"/>
      <w:lvlText w:val="%9"/>
      <w:lvlJc w:val="left"/>
      <w:pPr>
        <w:ind w:left="4680" w:hanging="420"/>
      </w:pPr>
    </w:lvl>
  </w:abstractNum>
  <w:abstractNum w:abstractNumId="27" w15:restartNumberingAfterBreak="0">
    <w:nsid w:val="54836FE3"/>
    <w:multiLevelType w:val="hybridMultilevel"/>
    <w:tmpl w:val="EE6EAD4E"/>
    <w:lvl w:ilvl="0" w:tplc="55B8F9C6">
      <w:numFmt w:val="bullet"/>
      <w:lvlText w:val="・"/>
      <w:lvlJc w:val="left"/>
      <w:pPr>
        <w:ind w:left="782" w:hanging="360"/>
      </w:pPr>
      <w:rPr>
        <w:rFonts w:ascii="ＭＳ 明朝" w:eastAsia="ＭＳ 明朝" w:hAnsi="ＭＳ 明朝" w:cs="Times New Roman" w:hint="eastAsia"/>
      </w:rPr>
    </w:lvl>
    <w:lvl w:ilvl="1" w:tplc="0409000B" w:tentative="1">
      <w:start w:val="1"/>
      <w:numFmt w:val="bullet"/>
      <w:lvlText w:val=""/>
      <w:lvlJc w:val="left"/>
      <w:pPr>
        <w:ind w:left="1262" w:hanging="420"/>
      </w:pPr>
      <w:rPr>
        <w:rFonts w:ascii="Wingdings" w:hAnsi="Wingdings" w:hint="default"/>
      </w:rPr>
    </w:lvl>
    <w:lvl w:ilvl="2" w:tplc="0409000D" w:tentative="1">
      <w:start w:val="1"/>
      <w:numFmt w:val="bullet"/>
      <w:lvlText w:val=""/>
      <w:lvlJc w:val="left"/>
      <w:pPr>
        <w:ind w:left="1682" w:hanging="420"/>
      </w:pPr>
      <w:rPr>
        <w:rFonts w:ascii="Wingdings" w:hAnsi="Wingdings" w:hint="default"/>
      </w:rPr>
    </w:lvl>
    <w:lvl w:ilvl="3" w:tplc="04090001" w:tentative="1">
      <w:start w:val="1"/>
      <w:numFmt w:val="bullet"/>
      <w:lvlText w:val=""/>
      <w:lvlJc w:val="left"/>
      <w:pPr>
        <w:ind w:left="2102" w:hanging="420"/>
      </w:pPr>
      <w:rPr>
        <w:rFonts w:ascii="Wingdings" w:hAnsi="Wingdings" w:hint="default"/>
      </w:rPr>
    </w:lvl>
    <w:lvl w:ilvl="4" w:tplc="0409000B" w:tentative="1">
      <w:start w:val="1"/>
      <w:numFmt w:val="bullet"/>
      <w:lvlText w:val=""/>
      <w:lvlJc w:val="left"/>
      <w:pPr>
        <w:ind w:left="2522" w:hanging="420"/>
      </w:pPr>
      <w:rPr>
        <w:rFonts w:ascii="Wingdings" w:hAnsi="Wingdings" w:hint="default"/>
      </w:rPr>
    </w:lvl>
    <w:lvl w:ilvl="5" w:tplc="0409000D" w:tentative="1">
      <w:start w:val="1"/>
      <w:numFmt w:val="bullet"/>
      <w:lvlText w:val=""/>
      <w:lvlJc w:val="left"/>
      <w:pPr>
        <w:ind w:left="2942" w:hanging="420"/>
      </w:pPr>
      <w:rPr>
        <w:rFonts w:ascii="Wingdings" w:hAnsi="Wingdings" w:hint="default"/>
      </w:rPr>
    </w:lvl>
    <w:lvl w:ilvl="6" w:tplc="04090001" w:tentative="1">
      <w:start w:val="1"/>
      <w:numFmt w:val="bullet"/>
      <w:lvlText w:val=""/>
      <w:lvlJc w:val="left"/>
      <w:pPr>
        <w:ind w:left="3362" w:hanging="420"/>
      </w:pPr>
      <w:rPr>
        <w:rFonts w:ascii="Wingdings" w:hAnsi="Wingdings" w:hint="default"/>
      </w:rPr>
    </w:lvl>
    <w:lvl w:ilvl="7" w:tplc="0409000B" w:tentative="1">
      <w:start w:val="1"/>
      <w:numFmt w:val="bullet"/>
      <w:lvlText w:val=""/>
      <w:lvlJc w:val="left"/>
      <w:pPr>
        <w:ind w:left="3782" w:hanging="420"/>
      </w:pPr>
      <w:rPr>
        <w:rFonts w:ascii="Wingdings" w:hAnsi="Wingdings" w:hint="default"/>
      </w:rPr>
    </w:lvl>
    <w:lvl w:ilvl="8" w:tplc="0409000D" w:tentative="1">
      <w:start w:val="1"/>
      <w:numFmt w:val="bullet"/>
      <w:lvlText w:val=""/>
      <w:lvlJc w:val="left"/>
      <w:pPr>
        <w:ind w:left="4202" w:hanging="420"/>
      </w:pPr>
      <w:rPr>
        <w:rFonts w:ascii="Wingdings" w:hAnsi="Wingdings" w:hint="default"/>
      </w:rPr>
    </w:lvl>
  </w:abstractNum>
  <w:abstractNum w:abstractNumId="28" w15:restartNumberingAfterBreak="0">
    <w:nsid w:val="57B20F70"/>
    <w:multiLevelType w:val="hybridMultilevel"/>
    <w:tmpl w:val="A25C3322"/>
    <w:lvl w:ilvl="0" w:tplc="8E283056">
      <w:start w:val="1"/>
      <w:numFmt w:val="decimal"/>
      <w:lvlText w:val="(%1)"/>
      <w:lvlJc w:val="left"/>
      <w:pPr>
        <w:ind w:left="1355" w:hanging="360"/>
      </w:pPr>
      <w:rPr>
        <w:rFonts w:cs="Times New Roman" w:hint="default"/>
      </w:rPr>
    </w:lvl>
    <w:lvl w:ilvl="1" w:tplc="04090017" w:tentative="1">
      <w:start w:val="1"/>
      <w:numFmt w:val="aiueoFullWidth"/>
      <w:lvlText w:val="(%2)"/>
      <w:lvlJc w:val="left"/>
      <w:pPr>
        <w:ind w:left="1835" w:hanging="420"/>
      </w:pPr>
    </w:lvl>
    <w:lvl w:ilvl="2" w:tplc="04090011" w:tentative="1">
      <w:start w:val="1"/>
      <w:numFmt w:val="decimalEnclosedCircle"/>
      <w:lvlText w:val="%3"/>
      <w:lvlJc w:val="left"/>
      <w:pPr>
        <w:ind w:left="2255" w:hanging="420"/>
      </w:pPr>
    </w:lvl>
    <w:lvl w:ilvl="3" w:tplc="0409000F" w:tentative="1">
      <w:start w:val="1"/>
      <w:numFmt w:val="decimal"/>
      <w:lvlText w:val="%4."/>
      <w:lvlJc w:val="left"/>
      <w:pPr>
        <w:ind w:left="2675" w:hanging="420"/>
      </w:pPr>
    </w:lvl>
    <w:lvl w:ilvl="4" w:tplc="04090017" w:tentative="1">
      <w:start w:val="1"/>
      <w:numFmt w:val="aiueoFullWidth"/>
      <w:lvlText w:val="(%5)"/>
      <w:lvlJc w:val="left"/>
      <w:pPr>
        <w:ind w:left="3095" w:hanging="420"/>
      </w:pPr>
    </w:lvl>
    <w:lvl w:ilvl="5" w:tplc="04090011" w:tentative="1">
      <w:start w:val="1"/>
      <w:numFmt w:val="decimalEnclosedCircle"/>
      <w:lvlText w:val="%6"/>
      <w:lvlJc w:val="left"/>
      <w:pPr>
        <w:ind w:left="3515" w:hanging="420"/>
      </w:pPr>
    </w:lvl>
    <w:lvl w:ilvl="6" w:tplc="0409000F" w:tentative="1">
      <w:start w:val="1"/>
      <w:numFmt w:val="decimal"/>
      <w:lvlText w:val="%7."/>
      <w:lvlJc w:val="left"/>
      <w:pPr>
        <w:ind w:left="3935" w:hanging="420"/>
      </w:pPr>
    </w:lvl>
    <w:lvl w:ilvl="7" w:tplc="04090017" w:tentative="1">
      <w:start w:val="1"/>
      <w:numFmt w:val="aiueoFullWidth"/>
      <w:lvlText w:val="(%8)"/>
      <w:lvlJc w:val="left"/>
      <w:pPr>
        <w:ind w:left="4355" w:hanging="420"/>
      </w:pPr>
    </w:lvl>
    <w:lvl w:ilvl="8" w:tplc="04090011" w:tentative="1">
      <w:start w:val="1"/>
      <w:numFmt w:val="decimalEnclosedCircle"/>
      <w:lvlText w:val="%9"/>
      <w:lvlJc w:val="left"/>
      <w:pPr>
        <w:ind w:left="4775" w:hanging="420"/>
      </w:pPr>
    </w:lvl>
  </w:abstractNum>
  <w:abstractNum w:abstractNumId="29" w15:restartNumberingAfterBreak="0">
    <w:nsid w:val="58433E5C"/>
    <w:multiLevelType w:val="hybridMultilevel"/>
    <w:tmpl w:val="78F6F5B4"/>
    <w:lvl w:ilvl="0" w:tplc="CE1EFD70">
      <w:start w:val="1"/>
      <w:numFmt w:val="decimalEnclosedCircle"/>
      <w:lvlText w:val="%1"/>
      <w:lvlJc w:val="left"/>
      <w:pPr>
        <w:ind w:left="1825" w:hanging="360"/>
      </w:pPr>
      <w:rPr>
        <w:rFonts w:hint="default"/>
      </w:rPr>
    </w:lvl>
    <w:lvl w:ilvl="1" w:tplc="04090017" w:tentative="1">
      <w:start w:val="1"/>
      <w:numFmt w:val="aiueoFullWidth"/>
      <w:lvlText w:val="(%2)"/>
      <w:lvlJc w:val="left"/>
      <w:pPr>
        <w:ind w:left="2305" w:hanging="420"/>
      </w:pPr>
    </w:lvl>
    <w:lvl w:ilvl="2" w:tplc="04090011" w:tentative="1">
      <w:start w:val="1"/>
      <w:numFmt w:val="decimalEnclosedCircle"/>
      <w:lvlText w:val="%3"/>
      <w:lvlJc w:val="left"/>
      <w:pPr>
        <w:ind w:left="2725" w:hanging="420"/>
      </w:pPr>
    </w:lvl>
    <w:lvl w:ilvl="3" w:tplc="0409000F" w:tentative="1">
      <w:start w:val="1"/>
      <w:numFmt w:val="decimal"/>
      <w:lvlText w:val="%4."/>
      <w:lvlJc w:val="left"/>
      <w:pPr>
        <w:ind w:left="3145" w:hanging="420"/>
      </w:pPr>
    </w:lvl>
    <w:lvl w:ilvl="4" w:tplc="04090017" w:tentative="1">
      <w:start w:val="1"/>
      <w:numFmt w:val="aiueoFullWidth"/>
      <w:lvlText w:val="(%5)"/>
      <w:lvlJc w:val="left"/>
      <w:pPr>
        <w:ind w:left="3565" w:hanging="420"/>
      </w:pPr>
    </w:lvl>
    <w:lvl w:ilvl="5" w:tplc="04090011" w:tentative="1">
      <w:start w:val="1"/>
      <w:numFmt w:val="decimalEnclosedCircle"/>
      <w:lvlText w:val="%6"/>
      <w:lvlJc w:val="left"/>
      <w:pPr>
        <w:ind w:left="3985" w:hanging="420"/>
      </w:pPr>
    </w:lvl>
    <w:lvl w:ilvl="6" w:tplc="0409000F" w:tentative="1">
      <w:start w:val="1"/>
      <w:numFmt w:val="decimal"/>
      <w:lvlText w:val="%7."/>
      <w:lvlJc w:val="left"/>
      <w:pPr>
        <w:ind w:left="4405" w:hanging="420"/>
      </w:pPr>
    </w:lvl>
    <w:lvl w:ilvl="7" w:tplc="04090017" w:tentative="1">
      <w:start w:val="1"/>
      <w:numFmt w:val="aiueoFullWidth"/>
      <w:lvlText w:val="(%8)"/>
      <w:lvlJc w:val="left"/>
      <w:pPr>
        <w:ind w:left="4825" w:hanging="420"/>
      </w:pPr>
    </w:lvl>
    <w:lvl w:ilvl="8" w:tplc="04090011" w:tentative="1">
      <w:start w:val="1"/>
      <w:numFmt w:val="decimalEnclosedCircle"/>
      <w:lvlText w:val="%9"/>
      <w:lvlJc w:val="left"/>
      <w:pPr>
        <w:ind w:left="5245" w:hanging="420"/>
      </w:pPr>
    </w:lvl>
  </w:abstractNum>
  <w:abstractNum w:abstractNumId="30" w15:restartNumberingAfterBreak="0">
    <w:nsid w:val="5C2539D6"/>
    <w:multiLevelType w:val="hybridMultilevel"/>
    <w:tmpl w:val="0FB038D8"/>
    <w:lvl w:ilvl="0" w:tplc="BFF6D25E">
      <w:start w:val="1"/>
      <w:numFmt w:val="decimalFullWidth"/>
      <w:lvlText w:val="（%1）"/>
      <w:lvlJc w:val="left"/>
      <w:pPr>
        <w:ind w:left="1164" w:hanging="720"/>
      </w:pPr>
      <w:rPr>
        <w:rFonts w:hint="default"/>
      </w:rPr>
    </w:lvl>
    <w:lvl w:ilvl="1" w:tplc="04090017" w:tentative="1">
      <w:start w:val="1"/>
      <w:numFmt w:val="aiueoFullWidth"/>
      <w:lvlText w:val="(%2)"/>
      <w:lvlJc w:val="left"/>
      <w:pPr>
        <w:ind w:left="1284" w:hanging="420"/>
      </w:pPr>
    </w:lvl>
    <w:lvl w:ilvl="2" w:tplc="04090011" w:tentative="1">
      <w:start w:val="1"/>
      <w:numFmt w:val="decimalEnclosedCircle"/>
      <w:lvlText w:val="%3"/>
      <w:lvlJc w:val="left"/>
      <w:pPr>
        <w:ind w:left="1704" w:hanging="420"/>
      </w:pPr>
    </w:lvl>
    <w:lvl w:ilvl="3" w:tplc="0409000F" w:tentative="1">
      <w:start w:val="1"/>
      <w:numFmt w:val="decimal"/>
      <w:lvlText w:val="%4."/>
      <w:lvlJc w:val="left"/>
      <w:pPr>
        <w:ind w:left="2124" w:hanging="420"/>
      </w:pPr>
    </w:lvl>
    <w:lvl w:ilvl="4" w:tplc="04090017" w:tentative="1">
      <w:start w:val="1"/>
      <w:numFmt w:val="aiueoFullWidth"/>
      <w:lvlText w:val="(%5)"/>
      <w:lvlJc w:val="left"/>
      <w:pPr>
        <w:ind w:left="2544" w:hanging="420"/>
      </w:pPr>
    </w:lvl>
    <w:lvl w:ilvl="5" w:tplc="04090011" w:tentative="1">
      <w:start w:val="1"/>
      <w:numFmt w:val="decimalEnclosedCircle"/>
      <w:lvlText w:val="%6"/>
      <w:lvlJc w:val="left"/>
      <w:pPr>
        <w:ind w:left="2964" w:hanging="420"/>
      </w:pPr>
    </w:lvl>
    <w:lvl w:ilvl="6" w:tplc="0409000F" w:tentative="1">
      <w:start w:val="1"/>
      <w:numFmt w:val="decimal"/>
      <w:lvlText w:val="%7."/>
      <w:lvlJc w:val="left"/>
      <w:pPr>
        <w:ind w:left="3384" w:hanging="420"/>
      </w:pPr>
    </w:lvl>
    <w:lvl w:ilvl="7" w:tplc="04090017" w:tentative="1">
      <w:start w:val="1"/>
      <w:numFmt w:val="aiueoFullWidth"/>
      <w:lvlText w:val="(%8)"/>
      <w:lvlJc w:val="left"/>
      <w:pPr>
        <w:ind w:left="3804" w:hanging="420"/>
      </w:pPr>
    </w:lvl>
    <w:lvl w:ilvl="8" w:tplc="04090011" w:tentative="1">
      <w:start w:val="1"/>
      <w:numFmt w:val="decimalEnclosedCircle"/>
      <w:lvlText w:val="%9"/>
      <w:lvlJc w:val="left"/>
      <w:pPr>
        <w:ind w:left="4224" w:hanging="420"/>
      </w:pPr>
    </w:lvl>
  </w:abstractNum>
  <w:abstractNum w:abstractNumId="31" w15:restartNumberingAfterBreak="0">
    <w:nsid w:val="60BD008C"/>
    <w:multiLevelType w:val="hybridMultilevel"/>
    <w:tmpl w:val="BAF8767C"/>
    <w:lvl w:ilvl="0" w:tplc="245C54AC">
      <w:start w:val="1"/>
      <w:numFmt w:val="decimalEnclosedCircle"/>
      <w:lvlText w:val="%1"/>
      <w:lvlJc w:val="left"/>
      <w:pPr>
        <w:ind w:left="1460" w:hanging="360"/>
      </w:pPr>
      <w:rPr>
        <w:rFonts w:hint="default"/>
      </w:rPr>
    </w:lvl>
    <w:lvl w:ilvl="1" w:tplc="04090017" w:tentative="1">
      <w:start w:val="1"/>
      <w:numFmt w:val="aiueoFullWidth"/>
      <w:lvlText w:val="(%2)"/>
      <w:lvlJc w:val="left"/>
      <w:pPr>
        <w:ind w:left="1940" w:hanging="420"/>
      </w:pPr>
    </w:lvl>
    <w:lvl w:ilvl="2" w:tplc="04090011" w:tentative="1">
      <w:start w:val="1"/>
      <w:numFmt w:val="decimalEnclosedCircle"/>
      <w:lvlText w:val="%3"/>
      <w:lvlJc w:val="left"/>
      <w:pPr>
        <w:ind w:left="2360" w:hanging="420"/>
      </w:pPr>
    </w:lvl>
    <w:lvl w:ilvl="3" w:tplc="0409000F" w:tentative="1">
      <w:start w:val="1"/>
      <w:numFmt w:val="decimal"/>
      <w:lvlText w:val="%4."/>
      <w:lvlJc w:val="left"/>
      <w:pPr>
        <w:ind w:left="2780" w:hanging="420"/>
      </w:pPr>
    </w:lvl>
    <w:lvl w:ilvl="4" w:tplc="04090017" w:tentative="1">
      <w:start w:val="1"/>
      <w:numFmt w:val="aiueoFullWidth"/>
      <w:lvlText w:val="(%5)"/>
      <w:lvlJc w:val="left"/>
      <w:pPr>
        <w:ind w:left="3200" w:hanging="420"/>
      </w:pPr>
    </w:lvl>
    <w:lvl w:ilvl="5" w:tplc="04090011" w:tentative="1">
      <w:start w:val="1"/>
      <w:numFmt w:val="decimalEnclosedCircle"/>
      <w:lvlText w:val="%6"/>
      <w:lvlJc w:val="left"/>
      <w:pPr>
        <w:ind w:left="3620" w:hanging="420"/>
      </w:pPr>
    </w:lvl>
    <w:lvl w:ilvl="6" w:tplc="0409000F" w:tentative="1">
      <w:start w:val="1"/>
      <w:numFmt w:val="decimal"/>
      <w:lvlText w:val="%7."/>
      <w:lvlJc w:val="left"/>
      <w:pPr>
        <w:ind w:left="4040" w:hanging="420"/>
      </w:pPr>
    </w:lvl>
    <w:lvl w:ilvl="7" w:tplc="04090017" w:tentative="1">
      <w:start w:val="1"/>
      <w:numFmt w:val="aiueoFullWidth"/>
      <w:lvlText w:val="(%8)"/>
      <w:lvlJc w:val="left"/>
      <w:pPr>
        <w:ind w:left="4460" w:hanging="420"/>
      </w:pPr>
    </w:lvl>
    <w:lvl w:ilvl="8" w:tplc="04090011" w:tentative="1">
      <w:start w:val="1"/>
      <w:numFmt w:val="decimalEnclosedCircle"/>
      <w:lvlText w:val="%9"/>
      <w:lvlJc w:val="left"/>
      <w:pPr>
        <w:ind w:left="4880" w:hanging="420"/>
      </w:pPr>
    </w:lvl>
  </w:abstractNum>
  <w:abstractNum w:abstractNumId="32" w15:restartNumberingAfterBreak="0">
    <w:nsid w:val="61A25BB7"/>
    <w:multiLevelType w:val="hybridMultilevel"/>
    <w:tmpl w:val="24B206EC"/>
    <w:lvl w:ilvl="0" w:tplc="6B6C7E7E">
      <w:start w:val="1"/>
      <w:numFmt w:val="decimalEnclosedCircle"/>
      <w:lvlText w:val="%1"/>
      <w:lvlJc w:val="left"/>
      <w:pPr>
        <w:ind w:left="1465" w:hanging="360"/>
      </w:pPr>
      <w:rPr>
        <w:rFonts w:hint="default"/>
      </w:rPr>
    </w:lvl>
    <w:lvl w:ilvl="1" w:tplc="04090017" w:tentative="1">
      <w:start w:val="1"/>
      <w:numFmt w:val="aiueoFullWidth"/>
      <w:lvlText w:val="(%2)"/>
      <w:lvlJc w:val="left"/>
      <w:pPr>
        <w:ind w:left="1945" w:hanging="420"/>
      </w:pPr>
    </w:lvl>
    <w:lvl w:ilvl="2" w:tplc="04090011" w:tentative="1">
      <w:start w:val="1"/>
      <w:numFmt w:val="decimalEnclosedCircle"/>
      <w:lvlText w:val="%3"/>
      <w:lvlJc w:val="left"/>
      <w:pPr>
        <w:ind w:left="2365" w:hanging="420"/>
      </w:pPr>
    </w:lvl>
    <w:lvl w:ilvl="3" w:tplc="0409000F" w:tentative="1">
      <w:start w:val="1"/>
      <w:numFmt w:val="decimal"/>
      <w:lvlText w:val="%4."/>
      <w:lvlJc w:val="left"/>
      <w:pPr>
        <w:ind w:left="2785" w:hanging="420"/>
      </w:pPr>
    </w:lvl>
    <w:lvl w:ilvl="4" w:tplc="04090017" w:tentative="1">
      <w:start w:val="1"/>
      <w:numFmt w:val="aiueoFullWidth"/>
      <w:lvlText w:val="(%5)"/>
      <w:lvlJc w:val="left"/>
      <w:pPr>
        <w:ind w:left="3205" w:hanging="420"/>
      </w:pPr>
    </w:lvl>
    <w:lvl w:ilvl="5" w:tplc="04090011" w:tentative="1">
      <w:start w:val="1"/>
      <w:numFmt w:val="decimalEnclosedCircle"/>
      <w:lvlText w:val="%6"/>
      <w:lvlJc w:val="left"/>
      <w:pPr>
        <w:ind w:left="3625" w:hanging="420"/>
      </w:pPr>
    </w:lvl>
    <w:lvl w:ilvl="6" w:tplc="0409000F" w:tentative="1">
      <w:start w:val="1"/>
      <w:numFmt w:val="decimal"/>
      <w:lvlText w:val="%7."/>
      <w:lvlJc w:val="left"/>
      <w:pPr>
        <w:ind w:left="4045" w:hanging="420"/>
      </w:pPr>
    </w:lvl>
    <w:lvl w:ilvl="7" w:tplc="04090017" w:tentative="1">
      <w:start w:val="1"/>
      <w:numFmt w:val="aiueoFullWidth"/>
      <w:lvlText w:val="(%8)"/>
      <w:lvlJc w:val="left"/>
      <w:pPr>
        <w:ind w:left="4465" w:hanging="420"/>
      </w:pPr>
    </w:lvl>
    <w:lvl w:ilvl="8" w:tplc="04090011" w:tentative="1">
      <w:start w:val="1"/>
      <w:numFmt w:val="decimalEnclosedCircle"/>
      <w:lvlText w:val="%9"/>
      <w:lvlJc w:val="left"/>
      <w:pPr>
        <w:ind w:left="4885" w:hanging="420"/>
      </w:pPr>
    </w:lvl>
  </w:abstractNum>
  <w:abstractNum w:abstractNumId="33" w15:restartNumberingAfterBreak="0">
    <w:nsid w:val="61DE55CF"/>
    <w:multiLevelType w:val="hybridMultilevel"/>
    <w:tmpl w:val="59FA3BDC"/>
    <w:lvl w:ilvl="0" w:tplc="3120226C">
      <w:start w:val="2"/>
      <w:numFmt w:val="decimalEnclosedCircle"/>
      <w:lvlText w:val="%1"/>
      <w:lvlJc w:val="left"/>
      <w:pPr>
        <w:ind w:left="1576" w:hanging="360"/>
      </w:pPr>
      <w:rPr>
        <w:rFonts w:hint="default"/>
      </w:rPr>
    </w:lvl>
    <w:lvl w:ilvl="1" w:tplc="C3843626">
      <w:start w:val="1"/>
      <w:numFmt w:val="decimalEnclosedCircle"/>
      <w:lvlText w:val="%2"/>
      <w:lvlJc w:val="left"/>
      <w:pPr>
        <w:ind w:left="2056" w:hanging="420"/>
      </w:pPr>
      <w:rPr>
        <w:rFonts w:ascii="ＭＳ 明朝" w:eastAsia="ＭＳ 明朝" w:hAnsi="ＭＳ 明朝" w:cs="Courier New"/>
      </w:rPr>
    </w:lvl>
    <w:lvl w:ilvl="2" w:tplc="04090011" w:tentative="1">
      <w:start w:val="1"/>
      <w:numFmt w:val="decimalEnclosedCircle"/>
      <w:lvlText w:val="%3"/>
      <w:lvlJc w:val="left"/>
      <w:pPr>
        <w:ind w:left="2476" w:hanging="420"/>
      </w:pPr>
    </w:lvl>
    <w:lvl w:ilvl="3" w:tplc="0409000F" w:tentative="1">
      <w:start w:val="1"/>
      <w:numFmt w:val="decimal"/>
      <w:lvlText w:val="%4."/>
      <w:lvlJc w:val="left"/>
      <w:pPr>
        <w:ind w:left="2896" w:hanging="420"/>
      </w:pPr>
    </w:lvl>
    <w:lvl w:ilvl="4" w:tplc="04090017" w:tentative="1">
      <w:start w:val="1"/>
      <w:numFmt w:val="aiueoFullWidth"/>
      <w:lvlText w:val="(%5)"/>
      <w:lvlJc w:val="left"/>
      <w:pPr>
        <w:ind w:left="3316" w:hanging="420"/>
      </w:pPr>
    </w:lvl>
    <w:lvl w:ilvl="5" w:tplc="04090011" w:tentative="1">
      <w:start w:val="1"/>
      <w:numFmt w:val="decimalEnclosedCircle"/>
      <w:lvlText w:val="%6"/>
      <w:lvlJc w:val="left"/>
      <w:pPr>
        <w:ind w:left="3736" w:hanging="420"/>
      </w:pPr>
    </w:lvl>
    <w:lvl w:ilvl="6" w:tplc="0409000F" w:tentative="1">
      <w:start w:val="1"/>
      <w:numFmt w:val="decimal"/>
      <w:lvlText w:val="%7."/>
      <w:lvlJc w:val="left"/>
      <w:pPr>
        <w:ind w:left="4156" w:hanging="420"/>
      </w:pPr>
    </w:lvl>
    <w:lvl w:ilvl="7" w:tplc="04090017" w:tentative="1">
      <w:start w:val="1"/>
      <w:numFmt w:val="aiueoFullWidth"/>
      <w:lvlText w:val="(%8)"/>
      <w:lvlJc w:val="left"/>
      <w:pPr>
        <w:ind w:left="4576" w:hanging="420"/>
      </w:pPr>
    </w:lvl>
    <w:lvl w:ilvl="8" w:tplc="04090011" w:tentative="1">
      <w:start w:val="1"/>
      <w:numFmt w:val="decimalEnclosedCircle"/>
      <w:lvlText w:val="%9"/>
      <w:lvlJc w:val="left"/>
      <w:pPr>
        <w:ind w:left="4996" w:hanging="420"/>
      </w:pPr>
    </w:lvl>
  </w:abstractNum>
  <w:abstractNum w:abstractNumId="34" w15:restartNumberingAfterBreak="0">
    <w:nsid w:val="66EE0B6F"/>
    <w:multiLevelType w:val="hybridMultilevel"/>
    <w:tmpl w:val="4FE0AF3E"/>
    <w:lvl w:ilvl="0" w:tplc="8FC6346A">
      <w:start w:val="2"/>
      <w:numFmt w:val="decimalEnclosedCircle"/>
      <w:lvlText w:val="%1"/>
      <w:lvlJc w:val="left"/>
      <w:pPr>
        <w:ind w:left="1465" w:hanging="360"/>
      </w:pPr>
      <w:rPr>
        <w:rFonts w:hint="default"/>
      </w:rPr>
    </w:lvl>
    <w:lvl w:ilvl="1" w:tplc="04090017" w:tentative="1">
      <w:start w:val="1"/>
      <w:numFmt w:val="aiueoFullWidth"/>
      <w:lvlText w:val="(%2)"/>
      <w:lvlJc w:val="left"/>
      <w:pPr>
        <w:ind w:left="1945" w:hanging="420"/>
      </w:pPr>
    </w:lvl>
    <w:lvl w:ilvl="2" w:tplc="04090011" w:tentative="1">
      <w:start w:val="1"/>
      <w:numFmt w:val="decimalEnclosedCircle"/>
      <w:lvlText w:val="%3"/>
      <w:lvlJc w:val="left"/>
      <w:pPr>
        <w:ind w:left="2365" w:hanging="420"/>
      </w:pPr>
    </w:lvl>
    <w:lvl w:ilvl="3" w:tplc="0409000F" w:tentative="1">
      <w:start w:val="1"/>
      <w:numFmt w:val="decimal"/>
      <w:lvlText w:val="%4."/>
      <w:lvlJc w:val="left"/>
      <w:pPr>
        <w:ind w:left="2785" w:hanging="420"/>
      </w:pPr>
    </w:lvl>
    <w:lvl w:ilvl="4" w:tplc="04090017" w:tentative="1">
      <w:start w:val="1"/>
      <w:numFmt w:val="aiueoFullWidth"/>
      <w:lvlText w:val="(%5)"/>
      <w:lvlJc w:val="left"/>
      <w:pPr>
        <w:ind w:left="3205" w:hanging="420"/>
      </w:pPr>
    </w:lvl>
    <w:lvl w:ilvl="5" w:tplc="04090011" w:tentative="1">
      <w:start w:val="1"/>
      <w:numFmt w:val="decimalEnclosedCircle"/>
      <w:lvlText w:val="%6"/>
      <w:lvlJc w:val="left"/>
      <w:pPr>
        <w:ind w:left="3625" w:hanging="420"/>
      </w:pPr>
    </w:lvl>
    <w:lvl w:ilvl="6" w:tplc="0409000F" w:tentative="1">
      <w:start w:val="1"/>
      <w:numFmt w:val="decimal"/>
      <w:lvlText w:val="%7."/>
      <w:lvlJc w:val="left"/>
      <w:pPr>
        <w:ind w:left="4045" w:hanging="420"/>
      </w:pPr>
    </w:lvl>
    <w:lvl w:ilvl="7" w:tplc="04090017" w:tentative="1">
      <w:start w:val="1"/>
      <w:numFmt w:val="aiueoFullWidth"/>
      <w:lvlText w:val="(%8)"/>
      <w:lvlJc w:val="left"/>
      <w:pPr>
        <w:ind w:left="4465" w:hanging="420"/>
      </w:pPr>
    </w:lvl>
    <w:lvl w:ilvl="8" w:tplc="04090011" w:tentative="1">
      <w:start w:val="1"/>
      <w:numFmt w:val="decimalEnclosedCircle"/>
      <w:lvlText w:val="%9"/>
      <w:lvlJc w:val="left"/>
      <w:pPr>
        <w:ind w:left="4885" w:hanging="420"/>
      </w:pPr>
    </w:lvl>
  </w:abstractNum>
  <w:abstractNum w:abstractNumId="35" w15:restartNumberingAfterBreak="0">
    <w:nsid w:val="6774203D"/>
    <w:multiLevelType w:val="hybridMultilevel"/>
    <w:tmpl w:val="184C8BF8"/>
    <w:lvl w:ilvl="0" w:tplc="46047B5C">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6" w15:restartNumberingAfterBreak="0">
    <w:nsid w:val="69327D3A"/>
    <w:multiLevelType w:val="hybridMultilevel"/>
    <w:tmpl w:val="B6964002"/>
    <w:lvl w:ilvl="0" w:tplc="E5B2616A">
      <w:start w:val="1"/>
      <w:numFmt w:val="decimal"/>
      <w:lvlText w:val="(%1)"/>
      <w:lvlJc w:val="left"/>
      <w:pPr>
        <w:ind w:left="1260" w:hanging="360"/>
      </w:pPr>
      <w:rPr>
        <w:rFonts w:hint="default"/>
      </w:rPr>
    </w:lvl>
    <w:lvl w:ilvl="1" w:tplc="04090017" w:tentative="1">
      <w:start w:val="1"/>
      <w:numFmt w:val="aiueoFullWidth"/>
      <w:lvlText w:val="(%2)"/>
      <w:lvlJc w:val="left"/>
      <w:pPr>
        <w:ind w:left="1740" w:hanging="420"/>
      </w:pPr>
    </w:lvl>
    <w:lvl w:ilvl="2" w:tplc="04090011" w:tentative="1">
      <w:start w:val="1"/>
      <w:numFmt w:val="decimalEnclosedCircle"/>
      <w:lvlText w:val="%3"/>
      <w:lvlJc w:val="left"/>
      <w:pPr>
        <w:ind w:left="2160" w:hanging="420"/>
      </w:pPr>
    </w:lvl>
    <w:lvl w:ilvl="3" w:tplc="0409000F" w:tentative="1">
      <w:start w:val="1"/>
      <w:numFmt w:val="decimal"/>
      <w:lvlText w:val="%4."/>
      <w:lvlJc w:val="left"/>
      <w:pPr>
        <w:ind w:left="2580" w:hanging="420"/>
      </w:pPr>
    </w:lvl>
    <w:lvl w:ilvl="4" w:tplc="04090017" w:tentative="1">
      <w:start w:val="1"/>
      <w:numFmt w:val="aiueoFullWidth"/>
      <w:lvlText w:val="(%5)"/>
      <w:lvlJc w:val="left"/>
      <w:pPr>
        <w:ind w:left="3000" w:hanging="420"/>
      </w:pPr>
    </w:lvl>
    <w:lvl w:ilvl="5" w:tplc="04090011" w:tentative="1">
      <w:start w:val="1"/>
      <w:numFmt w:val="decimalEnclosedCircle"/>
      <w:lvlText w:val="%6"/>
      <w:lvlJc w:val="left"/>
      <w:pPr>
        <w:ind w:left="3420" w:hanging="420"/>
      </w:pPr>
    </w:lvl>
    <w:lvl w:ilvl="6" w:tplc="0409000F" w:tentative="1">
      <w:start w:val="1"/>
      <w:numFmt w:val="decimal"/>
      <w:lvlText w:val="%7."/>
      <w:lvlJc w:val="left"/>
      <w:pPr>
        <w:ind w:left="3840" w:hanging="420"/>
      </w:pPr>
    </w:lvl>
    <w:lvl w:ilvl="7" w:tplc="04090017" w:tentative="1">
      <w:start w:val="1"/>
      <w:numFmt w:val="aiueoFullWidth"/>
      <w:lvlText w:val="(%8)"/>
      <w:lvlJc w:val="left"/>
      <w:pPr>
        <w:ind w:left="4260" w:hanging="420"/>
      </w:pPr>
    </w:lvl>
    <w:lvl w:ilvl="8" w:tplc="04090011" w:tentative="1">
      <w:start w:val="1"/>
      <w:numFmt w:val="decimalEnclosedCircle"/>
      <w:lvlText w:val="%9"/>
      <w:lvlJc w:val="left"/>
      <w:pPr>
        <w:ind w:left="4680" w:hanging="420"/>
      </w:pPr>
    </w:lvl>
  </w:abstractNum>
  <w:abstractNum w:abstractNumId="37" w15:restartNumberingAfterBreak="0">
    <w:nsid w:val="69C03936"/>
    <w:multiLevelType w:val="hybridMultilevel"/>
    <w:tmpl w:val="8662FFAC"/>
    <w:lvl w:ilvl="0" w:tplc="83D63550">
      <w:start w:val="1"/>
      <w:numFmt w:val="decimal"/>
      <w:lvlText w:val="(%1)"/>
      <w:lvlJc w:val="left"/>
      <w:pPr>
        <w:ind w:left="1200" w:hanging="360"/>
      </w:pPr>
      <w:rPr>
        <w:rFonts w:hint="default"/>
      </w:rPr>
    </w:lvl>
    <w:lvl w:ilvl="1" w:tplc="A1781BD0">
      <w:start w:val="1"/>
      <w:numFmt w:val="decimalEnclosedCircle"/>
      <w:lvlText w:val="%2"/>
      <w:lvlJc w:val="left"/>
      <w:pPr>
        <w:ind w:left="1494" w:hanging="360"/>
      </w:pPr>
      <w:rPr>
        <w:rFonts w:hint="default"/>
      </w:rPr>
    </w:lvl>
    <w:lvl w:ilvl="2" w:tplc="04090011">
      <w:start w:val="1"/>
      <w:numFmt w:val="decimalEnclosedCircle"/>
      <w:lvlText w:val="%3"/>
      <w:lvlJc w:val="left"/>
      <w:pPr>
        <w:ind w:left="2100" w:hanging="420"/>
      </w:pPr>
    </w:lvl>
    <w:lvl w:ilvl="3" w:tplc="0409000F">
      <w:start w:val="1"/>
      <w:numFmt w:val="decimal"/>
      <w:lvlText w:val="%4."/>
      <w:lvlJc w:val="left"/>
      <w:pPr>
        <w:ind w:left="2520" w:hanging="420"/>
      </w:pPr>
    </w:lvl>
    <w:lvl w:ilvl="4" w:tplc="00D2BB72">
      <w:start w:val="3"/>
      <w:numFmt w:val="bullet"/>
      <w:lvlText w:val="○"/>
      <w:lvlJc w:val="left"/>
      <w:pPr>
        <w:ind w:left="2880" w:hanging="360"/>
      </w:pPr>
      <w:rPr>
        <w:rFonts w:ascii="ＭＳ 明朝" w:eastAsia="ＭＳ 明朝" w:hAnsi="ＭＳ 明朝" w:cs="Courier New" w:hint="eastAsia"/>
      </w:rPr>
    </w:lvl>
    <w:lvl w:ilvl="5" w:tplc="04090011" w:tentative="1">
      <w:start w:val="1"/>
      <w:numFmt w:val="decimalEnclosedCircle"/>
      <w:lvlText w:val="%6"/>
      <w:lvlJc w:val="left"/>
      <w:pPr>
        <w:ind w:left="3360" w:hanging="420"/>
      </w:pPr>
    </w:lvl>
    <w:lvl w:ilvl="6" w:tplc="0409000F" w:tentative="1">
      <w:start w:val="1"/>
      <w:numFmt w:val="decimal"/>
      <w:lvlText w:val="%7."/>
      <w:lvlJc w:val="left"/>
      <w:pPr>
        <w:ind w:left="3780" w:hanging="420"/>
      </w:pPr>
    </w:lvl>
    <w:lvl w:ilvl="7" w:tplc="04090017" w:tentative="1">
      <w:start w:val="1"/>
      <w:numFmt w:val="aiueoFullWidth"/>
      <w:lvlText w:val="(%8)"/>
      <w:lvlJc w:val="left"/>
      <w:pPr>
        <w:ind w:left="4200" w:hanging="420"/>
      </w:pPr>
    </w:lvl>
    <w:lvl w:ilvl="8" w:tplc="04090011" w:tentative="1">
      <w:start w:val="1"/>
      <w:numFmt w:val="decimalEnclosedCircle"/>
      <w:lvlText w:val="%9"/>
      <w:lvlJc w:val="left"/>
      <w:pPr>
        <w:ind w:left="4620" w:hanging="420"/>
      </w:pPr>
    </w:lvl>
  </w:abstractNum>
  <w:abstractNum w:abstractNumId="38" w15:restartNumberingAfterBreak="0">
    <w:nsid w:val="6C3163C2"/>
    <w:multiLevelType w:val="hybridMultilevel"/>
    <w:tmpl w:val="FE048E7E"/>
    <w:lvl w:ilvl="0" w:tplc="FF8E7092">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9" w15:restartNumberingAfterBreak="0">
    <w:nsid w:val="73346095"/>
    <w:multiLevelType w:val="hybridMultilevel"/>
    <w:tmpl w:val="0C7C5EFA"/>
    <w:lvl w:ilvl="0" w:tplc="F2AAF614">
      <w:start w:val="4"/>
      <w:numFmt w:val="decimalEnclosedCircle"/>
      <w:lvlText w:val="%1"/>
      <w:lvlJc w:val="left"/>
      <w:pPr>
        <w:ind w:left="1455"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40" w15:restartNumberingAfterBreak="0">
    <w:nsid w:val="784D0117"/>
    <w:multiLevelType w:val="hybridMultilevel"/>
    <w:tmpl w:val="F6861322"/>
    <w:lvl w:ilvl="0" w:tplc="0409000F">
      <w:start w:val="1"/>
      <w:numFmt w:val="decimal"/>
      <w:lvlText w:val="%1."/>
      <w:lvlJc w:val="left"/>
      <w:pPr>
        <w:ind w:left="1304" w:hanging="420"/>
      </w:pPr>
    </w:lvl>
    <w:lvl w:ilvl="1" w:tplc="04090017" w:tentative="1">
      <w:start w:val="1"/>
      <w:numFmt w:val="aiueoFullWidth"/>
      <w:lvlText w:val="(%2)"/>
      <w:lvlJc w:val="left"/>
      <w:pPr>
        <w:ind w:left="1724" w:hanging="420"/>
      </w:pPr>
    </w:lvl>
    <w:lvl w:ilvl="2" w:tplc="04090011" w:tentative="1">
      <w:start w:val="1"/>
      <w:numFmt w:val="decimalEnclosedCircle"/>
      <w:lvlText w:val="%3"/>
      <w:lvlJc w:val="left"/>
      <w:pPr>
        <w:ind w:left="2144" w:hanging="420"/>
      </w:pPr>
    </w:lvl>
    <w:lvl w:ilvl="3" w:tplc="0409000F" w:tentative="1">
      <w:start w:val="1"/>
      <w:numFmt w:val="decimal"/>
      <w:lvlText w:val="%4."/>
      <w:lvlJc w:val="left"/>
      <w:pPr>
        <w:ind w:left="2564" w:hanging="420"/>
      </w:pPr>
    </w:lvl>
    <w:lvl w:ilvl="4" w:tplc="04090017" w:tentative="1">
      <w:start w:val="1"/>
      <w:numFmt w:val="aiueoFullWidth"/>
      <w:lvlText w:val="(%5)"/>
      <w:lvlJc w:val="left"/>
      <w:pPr>
        <w:ind w:left="2984" w:hanging="420"/>
      </w:pPr>
    </w:lvl>
    <w:lvl w:ilvl="5" w:tplc="04090011" w:tentative="1">
      <w:start w:val="1"/>
      <w:numFmt w:val="decimalEnclosedCircle"/>
      <w:lvlText w:val="%6"/>
      <w:lvlJc w:val="left"/>
      <w:pPr>
        <w:ind w:left="3404" w:hanging="420"/>
      </w:pPr>
    </w:lvl>
    <w:lvl w:ilvl="6" w:tplc="0409000F" w:tentative="1">
      <w:start w:val="1"/>
      <w:numFmt w:val="decimal"/>
      <w:lvlText w:val="%7."/>
      <w:lvlJc w:val="left"/>
      <w:pPr>
        <w:ind w:left="3824" w:hanging="420"/>
      </w:pPr>
    </w:lvl>
    <w:lvl w:ilvl="7" w:tplc="04090017" w:tentative="1">
      <w:start w:val="1"/>
      <w:numFmt w:val="aiueoFullWidth"/>
      <w:lvlText w:val="(%8)"/>
      <w:lvlJc w:val="left"/>
      <w:pPr>
        <w:ind w:left="4244" w:hanging="420"/>
      </w:pPr>
    </w:lvl>
    <w:lvl w:ilvl="8" w:tplc="04090011" w:tentative="1">
      <w:start w:val="1"/>
      <w:numFmt w:val="decimalEnclosedCircle"/>
      <w:lvlText w:val="%9"/>
      <w:lvlJc w:val="left"/>
      <w:pPr>
        <w:ind w:left="4664" w:hanging="420"/>
      </w:pPr>
    </w:lvl>
  </w:abstractNum>
  <w:abstractNum w:abstractNumId="41" w15:restartNumberingAfterBreak="0">
    <w:nsid w:val="7B1D4C12"/>
    <w:multiLevelType w:val="hybridMultilevel"/>
    <w:tmpl w:val="80D0456A"/>
    <w:lvl w:ilvl="0" w:tplc="D8EC849A">
      <w:start w:val="1"/>
      <w:numFmt w:val="decimal"/>
      <w:lvlText w:val="(%1)"/>
      <w:lvlJc w:val="left"/>
      <w:pPr>
        <w:ind w:left="1440" w:hanging="540"/>
      </w:pPr>
      <w:rPr>
        <w:rFonts w:hint="default"/>
      </w:rPr>
    </w:lvl>
    <w:lvl w:ilvl="1" w:tplc="04090017" w:tentative="1">
      <w:start w:val="1"/>
      <w:numFmt w:val="aiueoFullWidth"/>
      <w:lvlText w:val="(%2)"/>
      <w:lvlJc w:val="left"/>
      <w:pPr>
        <w:ind w:left="1740" w:hanging="420"/>
      </w:pPr>
    </w:lvl>
    <w:lvl w:ilvl="2" w:tplc="04090011" w:tentative="1">
      <w:start w:val="1"/>
      <w:numFmt w:val="decimalEnclosedCircle"/>
      <w:lvlText w:val="%3"/>
      <w:lvlJc w:val="left"/>
      <w:pPr>
        <w:ind w:left="2160" w:hanging="420"/>
      </w:pPr>
    </w:lvl>
    <w:lvl w:ilvl="3" w:tplc="0409000F" w:tentative="1">
      <w:start w:val="1"/>
      <w:numFmt w:val="decimal"/>
      <w:lvlText w:val="%4."/>
      <w:lvlJc w:val="left"/>
      <w:pPr>
        <w:ind w:left="2580" w:hanging="420"/>
      </w:pPr>
    </w:lvl>
    <w:lvl w:ilvl="4" w:tplc="04090017" w:tentative="1">
      <w:start w:val="1"/>
      <w:numFmt w:val="aiueoFullWidth"/>
      <w:lvlText w:val="(%5)"/>
      <w:lvlJc w:val="left"/>
      <w:pPr>
        <w:ind w:left="3000" w:hanging="420"/>
      </w:pPr>
    </w:lvl>
    <w:lvl w:ilvl="5" w:tplc="04090011" w:tentative="1">
      <w:start w:val="1"/>
      <w:numFmt w:val="decimalEnclosedCircle"/>
      <w:lvlText w:val="%6"/>
      <w:lvlJc w:val="left"/>
      <w:pPr>
        <w:ind w:left="3420" w:hanging="420"/>
      </w:pPr>
    </w:lvl>
    <w:lvl w:ilvl="6" w:tplc="0409000F" w:tentative="1">
      <w:start w:val="1"/>
      <w:numFmt w:val="decimal"/>
      <w:lvlText w:val="%7."/>
      <w:lvlJc w:val="left"/>
      <w:pPr>
        <w:ind w:left="3840" w:hanging="420"/>
      </w:pPr>
    </w:lvl>
    <w:lvl w:ilvl="7" w:tplc="04090017" w:tentative="1">
      <w:start w:val="1"/>
      <w:numFmt w:val="aiueoFullWidth"/>
      <w:lvlText w:val="(%8)"/>
      <w:lvlJc w:val="left"/>
      <w:pPr>
        <w:ind w:left="4260" w:hanging="420"/>
      </w:pPr>
    </w:lvl>
    <w:lvl w:ilvl="8" w:tplc="04090011" w:tentative="1">
      <w:start w:val="1"/>
      <w:numFmt w:val="decimalEnclosedCircle"/>
      <w:lvlText w:val="%9"/>
      <w:lvlJc w:val="left"/>
      <w:pPr>
        <w:ind w:left="4680" w:hanging="420"/>
      </w:pPr>
    </w:lvl>
  </w:abstractNum>
  <w:abstractNum w:abstractNumId="42" w15:restartNumberingAfterBreak="0">
    <w:nsid w:val="7C9F2720"/>
    <w:multiLevelType w:val="hybridMultilevel"/>
    <w:tmpl w:val="1E1C940E"/>
    <w:lvl w:ilvl="0" w:tplc="2AD0F992">
      <w:start w:val="1"/>
      <w:numFmt w:val="decimal"/>
      <w:lvlText w:val="(%1)"/>
      <w:lvlJc w:val="left"/>
      <w:pPr>
        <w:ind w:left="1244" w:hanging="360"/>
      </w:pPr>
      <w:rPr>
        <w:rFonts w:hint="default"/>
      </w:rPr>
    </w:lvl>
    <w:lvl w:ilvl="1" w:tplc="04090017" w:tentative="1">
      <w:start w:val="1"/>
      <w:numFmt w:val="aiueoFullWidth"/>
      <w:lvlText w:val="(%2)"/>
      <w:lvlJc w:val="left"/>
      <w:pPr>
        <w:ind w:left="1724" w:hanging="420"/>
      </w:pPr>
    </w:lvl>
    <w:lvl w:ilvl="2" w:tplc="04090011" w:tentative="1">
      <w:start w:val="1"/>
      <w:numFmt w:val="decimalEnclosedCircle"/>
      <w:lvlText w:val="%3"/>
      <w:lvlJc w:val="left"/>
      <w:pPr>
        <w:ind w:left="2144" w:hanging="420"/>
      </w:pPr>
    </w:lvl>
    <w:lvl w:ilvl="3" w:tplc="0409000F" w:tentative="1">
      <w:start w:val="1"/>
      <w:numFmt w:val="decimal"/>
      <w:lvlText w:val="%4."/>
      <w:lvlJc w:val="left"/>
      <w:pPr>
        <w:ind w:left="2564" w:hanging="420"/>
      </w:pPr>
    </w:lvl>
    <w:lvl w:ilvl="4" w:tplc="04090017" w:tentative="1">
      <w:start w:val="1"/>
      <w:numFmt w:val="aiueoFullWidth"/>
      <w:lvlText w:val="(%5)"/>
      <w:lvlJc w:val="left"/>
      <w:pPr>
        <w:ind w:left="2984" w:hanging="420"/>
      </w:pPr>
    </w:lvl>
    <w:lvl w:ilvl="5" w:tplc="04090011" w:tentative="1">
      <w:start w:val="1"/>
      <w:numFmt w:val="decimalEnclosedCircle"/>
      <w:lvlText w:val="%6"/>
      <w:lvlJc w:val="left"/>
      <w:pPr>
        <w:ind w:left="3404" w:hanging="420"/>
      </w:pPr>
    </w:lvl>
    <w:lvl w:ilvl="6" w:tplc="0409000F" w:tentative="1">
      <w:start w:val="1"/>
      <w:numFmt w:val="decimal"/>
      <w:lvlText w:val="%7."/>
      <w:lvlJc w:val="left"/>
      <w:pPr>
        <w:ind w:left="3824" w:hanging="420"/>
      </w:pPr>
    </w:lvl>
    <w:lvl w:ilvl="7" w:tplc="04090017" w:tentative="1">
      <w:start w:val="1"/>
      <w:numFmt w:val="aiueoFullWidth"/>
      <w:lvlText w:val="(%8)"/>
      <w:lvlJc w:val="left"/>
      <w:pPr>
        <w:ind w:left="4244" w:hanging="420"/>
      </w:pPr>
    </w:lvl>
    <w:lvl w:ilvl="8" w:tplc="04090011" w:tentative="1">
      <w:start w:val="1"/>
      <w:numFmt w:val="decimalEnclosedCircle"/>
      <w:lvlText w:val="%9"/>
      <w:lvlJc w:val="left"/>
      <w:pPr>
        <w:ind w:left="4664" w:hanging="420"/>
      </w:pPr>
    </w:lvl>
  </w:abstractNum>
  <w:num w:numId="1" w16cid:durableId="2011788830">
    <w:abstractNumId w:val="15"/>
  </w:num>
  <w:num w:numId="2" w16cid:durableId="1705595302">
    <w:abstractNumId w:val="38"/>
  </w:num>
  <w:num w:numId="3" w16cid:durableId="23101169">
    <w:abstractNumId w:val="31"/>
  </w:num>
  <w:num w:numId="4" w16cid:durableId="1000766646">
    <w:abstractNumId w:val="1"/>
  </w:num>
  <w:num w:numId="5" w16cid:durableId="278801399">
    <w:abstractNumId w:val="37"/>
  </w:num>
  <w:num w:numId="6" w16cid:durableId="1366978476">
    <w:abstractNumId w:val="32"/>
  </w:num>
  <w:num w:numId="7" w16cid:durableId="1973561853">
    <w:abstractNumId w:val="13"/>
  </w:num>
  <w:num w:numId="8" w16cid:durableId="193348766">
    <w:abstractNumId w:val="4"/>
  </w:num>
  <w:num w:numId="9" w16cid:durableId="627902912">
    <w:abstractNumId w:val="24"/>
  </w:num>
  <w:num w:numId="10" w16cid:durableId="211160962">
    <w:abstractNumId w:val="25"/>
  </w:num>
  <w:num w:numId="11" w16cid:durableId="1146824614">
    <w:abstractNumId w:val="0"/>
  </w:num>
  <w:num w:numId="12" w16cid:durableId="829251761">
    <w:abstractNumId w:val="16"/>
  </w:num>
  <w:num w:numId="13" w16cid:durableId="1349912983">
    <w:abstractNumId w:val="14"/>
  </w:num>
  <w:num w:numId="14" w16cid:durableId="1184050742">
    <w:abstractNumId w:val="26"/>
  </w:num>
  <w:num w:numId="15" w16cid:durableId="718481037">
    <w:abstractNumId w:val="28"/>
  </w:num>
  <w:num w:numId="16" w16cid:durableId="440420380">
    <w:abstractNumId w:val="36"/>
  </w:num>
  <w:num w:numId="17" w16cid:durableId="1944334497">
    <w:abstractNumId w:val="21"/>
  </w:num>
  <w:num w:numId="18" w16cid:durableId="2098405766">
    <w:abstractNumId w:val="22"/>
  </w:num>
  <w:num w:numId="19" w16cid:durableId="537817170">
    <w:abstractNumId w:val="42"/>
  </w:num>
  <w:num w:numId="20" w16cid:durableId="229653975">
    <w:abstractNumId w:val="33"/>
  </w:num>
  <w:num w:numId="21" w16cid:durableId="1398437302">
    <w:abstractNumId w:val="9"/>
  </w:num>
  <w:num w:numId="22" w16cid:durableId="1779762362">
    <w:abstractNumId w:val="34"/>
  </w:num>
  <w:num w:numId="23" w16cid:durableId="2048017586">
    <w:abstractNumId w:val="17"/>
  </w:num>
  <w:num w:numId="24" w16cid:durableId="757947349">
    <w:abstractNumId w:val="10"/>
  </w:num>
  <w:num w:numId="25" w16cid:durableId="458451199">
    <w:abstractNumId w:val="41"/>
  </w:num>
  <w:num w:numId="26" w16cid:durableId="190535161">
    <w:abstractNumId w:val="23"/>
  </w:num>
  <w:num w:numId="27" w16cid:durableId="857962065">
    <w:abstractNumId w:val="19"/>
  </w:num>
  <w:num w:numId="28" w16cid:durableId="322129546">
    <w:abstractNumId w:val="29"/>
  </w:num>
  <w:num w:numId="29" w16cid:durableId="1835146570">
    <w:abstractNumId w:val="2"/>
  </w:num>
  <w:num w:numId="30" w16cid:durableId="1104955106">
    <w:abstractNumId w:val="18"/>
  </w:num>
  <w:num w:numId="31" w16cid:durableId="1627001428">
    <w:abstractNumId w:val="6"/>
  </w:num>
  <w:num w:numId="32" w16cid:durableId="1124739173">
    <w:abstractNumId w:val="12"/>
  </w:num>
  <w:num w:numId="33" w16cid:durableId="1399279627">
    <w:abstractNumId w:val="5"/>
  </w:num>
  <w:num w:numId="34" w16cid:durableId="615065126">
    <w:abstractNumId w:val="2"/>
  </w:num>
  <w:num w:numId="35" w16cid:durableId="1259949842">
    <w:abstractNumId w:val="11"/>
  </w:num>
  <w:num w:numId="36" w16cid:durableId="1795753613">
    <w:abstractNumId w:val="40"/>
  </w:num>
  <w:num w:numId="37" w16cid:durableId="1120731914">
    <w:abstractNumId w:val="30"/>
  </w:num>
  <w:num w:numId="38" w16cid:durableId="653486360">
    <w:abstractNumId w:val="3"/>
  </w:num>
  <w:num w:numId="39" w16cid:durableId="1325278371">
    <w:abstractNumId w:val="7"/>
  </w:num>
  <w:num w:numId="40" w16cid:durableId="68617058">
    <w:abstractNumId w:val="39"/>
  </w:num>
  <w:num w:numId="41" w16cid:durableId="817847211">
    <w:abstractNumId w:val="8"/>
  </w:num>
  <w:num w:numId="42" w16cid:durableId="1736859066">
    <w:abstractNumId w:val="27"/>
  </w:num>
  <w:num w:numId="43" w16cid:durableId="535698122">
    <w:abstractNumId w:val="35"/>
  </w:num>
  <w:num w:numId="44" w16cid:durableId="509832002">
    <w:abstractNumId w:val="20"/>
  </w:num>
  <w:numIdMacAtCleanup w:val="3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HorizontalSpacing w:val="211"/>
  <w:drawingGridVerticalSpacing w:val="353"/>
  <w:displayHorizontalDrawingGridEvery w:val="0"/>
  <w:characterSpacingControl w:val="compressPunctuation"/>
  <w:hdrShapeDefaults>
    <o:shapedefaults v:ext="edit" spidmax="2050" strokecolor="red">
      <v:stroke endarrow="block" color="red"/>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A7C3E"/>
    <w:rsid w:val="000001AC"/>
    <w:rsid w:val="0000034C"/>
    <w:rsid w:val="00000D72"/>
    <w:rsid w:val="000010F1"/>
    <w:rsid w:val="00003D42"/>
    <w:rsid w:val="00003FD1"/>
    <w:rsid w:val="000045D9"/>
    <w:rsid w:val="000046B5"/>
    <w:rsid w:val="00005BA7"/>
    <w:rsid w:val="0000630A"/>
    <w:rsid w:val="00006D79"/>
    <w:rsid w:val="0000755D"/>
    <w:rsid w:val="00007635"/>
    <w:rsid w:val="00007C1E"/>
    <w:rsid w:val="00007CBA"/>
    <w:rsid w:val="00007E50"/>
    <w:rsid w:val="00010028"/>
    <w:rsid w:val="000102DF"/>
    <w:rsid w:val="00010A40"/>
    <w:rsid w:val="00010DC6"/>
    <w:rsid w:val="00010FD3"/>
    <w:rsid w:val="000110C2"/>
    <w:rsid w:val="0001149A"/>
    <w:rsid w:val="0001165A"/>
    <w:rsid w:val="00011C93"/>
    <w:rsid w:val="0001205E"/>
    <w:rsid w:val="00012239"/>
    <w:rsid w:val="00013154"/>
    <w:rsid w:val="000131F7"/>
    <w:rsid w:val="00013D0F"/>
    <w:rsid w:val="00014A8C"/>
    <w:rsid w:val="00014DBD"/>
    <w:rsid w:val="00015549"/>
    <w:rsid w:val="00015EE5"/>
    <w:rsid w:val="00015F32"/>
    <w:rsid w:val="000160FB"/>
    <w:rsid w:val="000162ED"/>
    <w:rsid w:val="000163E5"/>
    <w:rsid w:val="0001680C"/>
    <w:rsid w:val="00017440"/>
    <w:rsid w:val="00017B2B"/>
    <w:rsid w:val="000207F9"/>
    <w:rsid w:val="00020ADA"/>
    <w:rsid w:val="0002100D"/>
    <w:rsid w:val="00022A6C"/>
    <w:rsid w:val="0002320C"/>
    <w:rsid w:val="0002479D"/>
    <w:rsid w:val="000247A6"/>
    <w:rsid w:val="00025B8E"/>
    <w:rsid w:val="00027960"/>
    <w:rsid w:val="00027F3D"/>
    <w:rsid w:val="0003059C"/>
    <w:rsid w:val="000306E6"/>
    <w:rsid w:val="00030738"/>
    <w:rsid w:val="00032017"/>
    <w:rsid w:val="0003257E"/>
    <w:rsid w:val="0003269F"/>
    <w:rsid w:val="00032EB2"/>
    <w:rsid w:val="00033310"/>
    <w:rsid w:val="00033DE4"/>
    <w:rsid w:val="000345D6"/>
    <w:rsid w:val="00034F43"/>
    <w:rsid w:val="000350D3"/>
    <w:rsid w:val="0003525F"/>
    <w:rsid w:val="00037203"/>
    <w:rsid w:val="00037777"/>
    <w:rsid w:val="00037BE9"/>
    <w:rsid w:val="000400DF"/>
    <w:rsid w:val="000401E0"/>
    <w:rsid w:val="0004027C"/>
    <w:rsid w:val="000402B3"/>
    <w:rsid w:val="00040F86"/>
    <w:rsid w:val="000412C8"/>
    <w:rsid w:val="00041FFF"/>
    <w:rsid w:val="00042E05"/>
    <w:rsid w:val="000436B0"/>
    <w:rsid w:val="00043915"/>
    <w:rsid w:val="000448E9"/>
    <w:rsid w:val="000448FE"/>
    <w:rsid w:val="00045209"/>
    <w:rsid w:val="00045395"/>
    <w:rsid w:val="00045474"/>
    <w:rsid w:val="000462C1"/>
    <w:rsid w:val="00046A2F"/>
    <w:rsid w:val="00046B1F"/>
    <w:rsid w:val="00046C0C"/>
    <w:rsid w:val="00046E29"/>
    <w:rsid w:val="00047546"/>
    <w:rsid w:val="000477D3"/>
    <w:rsid w:val="00047B20"/>
    <w:rsid w:val="00047C7D"/>
    <w:rsid w:val="000515D7"/>
    <w:rsid w:val="00052F36"/>
    <w:rsid w:val="000534DC"/>
    <w:rsid w:val="000537F9"/>
    <w:rsid w:val="000557CB"/>
    <w:rsid w:val="00055ABA"/>
    <w:rsid w:val="00055B94"/>
    <w:rsid w:val="000562F8"/>
    <w:rsid w:val="00056F7A"/>
    <w:rsid w:val="00057755"/>
    <w:rsid w:val="00057F53"/>
    <w:rsid w:val="0006088C"/>
    <w:rsid w:val="00060D37"/>
    <w:rsid w:val="00060E75"/>
    <w:rsid w:val="000613E2"/>
    <w:rsid w:val="000621DC"/>
    <w:rsid w:val="000633CF"/>
    <w:rsid w:val="00063947"/>
    <w:rsid w:val="0006452B"/>
    <w:rsid w:val="00064725"/>
    <w:rsid w:val="00065416"/>
    <w:rsid w:val="0006563C"/>
    <w:rsid w:val="000670B4"/>
    <w:rsid w:val="0006710D"/>
    <w:rsid w:val="00067804"/>
    <w:rsid w:val="00067866"/>
    <w:rsid w:val="00070BED"/>
    <w:rsid w:val="00071B35"/>
    <w:rsid w:val="00071C87"/>
    <w:rsid w:val="00071DE9"/>
    <w:rsid w:val="0007361C"/>
    <w:rsid w:val="00073CD6"/>
    <w:rsid w:val="0007477E"/>
    <w:rsid w:val="00075390"/>
    <w:rsid w:val="00075F82"/>
    <w:rsid w:val="00076C7F"/>
    <w:rsid w:val="000774E9"/>
    <w:rsid w:val="00080EB7"/>
    <w:rsid w:val="000813A2"/>
    <w:rsid w:val="000816B8"/>
    <w:rsid w:val="00082E81"/>
    <w:rsid w:val="00083B45"/>
    <w:rsid w:val="00085B41"/>
    <w:rsid w:val="00086686"/>
    <w:rsid w:val="000867F4"/>
    <w:rsid w:val="00087F73"/>
    <w:rsid w:val="00091DC6"/>
    <w:rsid w:val="0009210F"/>
    <w:rsid w:val="000923F2"/>
    <w:rsid w:val="000923FC"/>
    <w:rsid w:val="00092B79"/>
    <w:rsid w:val="00092F04"/>
    <w:rsid w:val="000934DF"/>
    <w:rsid w:val="00093BC3"/>
    <w:rsid w:val="000940DF"/>
    <w:rsid w:val="00094F79"/>
    <w:rsid w:val="000953D5"/>
    <w:rsid w:val="000968E5"/>
    <w:rsid w:val="000969B3"/>
    <w:rsid w:val="00096B71"/>
    <w:rsid w:val="000974F5"/>
    <w:rsid w:val="00097641"/>
    <w:rsid w:val="00097809"/>
    <w:rsid w:val="000A0CFA"/>
    <w:rsid w:val="000A1150"/>
    <w:rsid w:val="000A1584"/>
    <w:rsid w:val="000A17F9"/>
    <w:rsid w:val="000A2340"/>
    <w:rsid w:val="000A246B"/>
    <w:rsid w:val="000A2D56"/>
    <w:rsid w:val="000A3A6F"/>
    <w:rsid w:val="000A69B8"/>
    <w:rsid w:val="000A7193"/>
    <w:rsid w:val="000A7CF9"/>
    <w:rsid w:val="000A7EB2"/>
    <w:rsid w:val="000B03E5"/>
    <w:rsid w:val="000B0AA8"/>
    <w:rsid w:val="000B0B5C"/>
    <w:rsid w:val="000B1BBB"/>
    <w:rsid w:val="000B2171"/>
    <w:rsid w:val="000B2699"/>
    <w:rsid w:val="000B3A29"/>
    <w:rsid w:val="000B46F1"/>
    <w:rsid w:val="000B57D7"/>
    <w:rsid w:val="000B5AA5"/>
    <w:rsid w:val="000B6476"/>
    <w:rsid w:val="000B7867"/>
    <w:rsid w:val="000C0250"/>
    <w:rsid w:val="000C1720"/>
    <w:rsid w:val="000C1CE2"/>
    <w:rsid w:val="000C25CD"/>
    <w:rsid w:val="000C25CE"/>
    <w:rsid w:val="000C2D8F"/>
    <w:rsid w:val="000C3BF8"/>
    <w:rsid w:val="000C3CFA"/>
    <w:rsid w:val="000C4B3F"/>
    <w:rsid w:val="000C4D8C"/>
    <w:rsid w:val="000C6A6E"/>
    <w:rsid w:val="000C6FBA"/>
    <w:rsid w:val="000C7261"/>
    <w:rsid w:val="000C790E"/>
    <w:rsid w:val="000D09CF"/>
    <w:rsid w:val="000D0AF1"/>
    <w:rsid w:val="000D139C"/>
    <w:rsid w:val="000D14EB"/>
    <w:rsid w:val="000D1AE2"/>
    <w:rsid w:val="000D2031"/>
    <w:rsid w:val="000D247D"/>
    <w:rsid w:val="000D29A6"/>
    <w:rsid w:val="000D3206"/>
    <w:rsid w:val="000D3586"/>
    <w:rsid w:val="000D4071"/>
    <w:rsid w:val="000D4994"/>
    <w:rsid w:val="000D4B90"/>
    <w:rsid w:val="000D5188"/>
    <w:rsid w:val="000D57C3"/>
    <w:rsid w:val="000D65E5"/>
    <w:rsid w:val="000D679A"/>
    <w:rsid w:val="000D6FB0"/>
    <w:rsid w:val="000D7231"/>
    <w:rsid w:val="000D7282"/>
    <w:rsid w:val="000D7B36"/>
    <w:rsid w:val="000E0B1B"/>
    <w:rsid w:val="000E155B"/>
    <w:rsid w:val="000E2046"/>
    <w:rsid w:val="000E3726"/>
    <w:rsid w:val="000E427D"/>
    <w:rsid w:val="000E4494"/>
    <w:rsid w:val="000E66CD"/>
    <w:rsid w:val="000E68B5"/>
    <w:rsid w:val="000E6D4C"/>
    <w:rsid w:val="000E769D"/>
    <w:rsid w:val="000F0846"/>
    <w:rsid w:val="000F08E9"/>
    <w:rsid w:val="000F151E"/>
    <w:rsid w:val="000F1878"/>
    <w:rsid w:val="000F220C"/>
    <w:rsid w:val="000F36E2"/>
    <w:rsid w:val="000F48AD"/>
    <w:rsid w:val="000F532A"/>
    <w:rsid w:val="000F65C3"/>
    <w:rsid w:val="000F6AAE"/>
    <w:rsid w:val="000F6DC7"/>
    <w:rsid w:val="000F74D4"/>
    <w:rsid w:val="000F77C3"/>
    <w:rsid w:val="00100B0E"/>
    <w:rsid w:val="00100DA7"/>
    <w:rsid w:val="0010145B"/>
    <w:rsid w:val="00102C9D"/>
    <w:rsid w:val="00105A5E"/>
    <w:rsid w:val="001062B1"/>
    <w:rsid w:val="001062D2"/>
    <w:rsid w:val="001064AE"/>
    <w:rsid w:val="001069FC"/>
    <w:rsid w:val="00106ED2"/>
    <w:rsid w:val="00107D91"/>
    <w:rsid w:val="001111CC"/>
    <w:rsid w:val="0011172B"/>
    <w:rsid w:val="00111850"/>
    <w:rsid w:val="00111A0A"/>
    <w:rsid w:val="001126BB"/>
    <w:rsid w:val="00112A88"/>
    <w:rsid w:val="00112C8F"/>
    <w:rsid w:val="00113004"/>
    <w:rsid w:val="00113B3F"/>
    <w:rsid w:val="00113D47"/>
    <w:rsid w:val="00114308"/>
    <w:rsid w:val="001143AB"/>
    <w:rsid w:val="0011478B"/>
    <w:rsid w:val="001147BF"/>
    <w:rsid w:val="00114B71"/>
    <w:rsid w:val="00114C6B"/>
    <w:rsid w:val="00115E86"/>
    <w:rsid w:val="001178E9"/>
    <w:rsid w:val="00117C0C"/>
    <w:rsid w:val="001207DD"/>
    <w:rsid w:val="001209F0"/>
    <w:rsid w:val="0012154F"/>
    <w:rsid w:val="0012281A"/>
    <w:rsid w:val="0012314B"/>
    <w:rsid w:val="00123AA1"/>
    <w:rsid w:val="00123B44"/>
    <w:rsid w:val="00124088"/>
    <w:rsid w:val="00124241"/>
    <w:rsid w:val="00124CA6"/>
    <w:rsid w:val="00124D33"/>
    <w:rsid w:val="00124F41"/>
    <w:rsid w:val="0012555B"/>
    <w:rsid w:val="001255D8"/>
    <w:rsid w:val="00125A29"/>
    <w:rsid w:val="00127EAD"/>
    <w:rsid w:val="00127EFF"/>
    <w:rsid w:val="00132BB1"/>
    <w:rsid w:val="00132C25"/>
    <w:rsid w:val="00132FB8"/>
    <w:rsid w:val="0013387F"/>
    <w:rsid w:val="00133D5B"/>
    <w:rsid w:val="001343BB"/>
    <w:rsid w:val="00134794"/>
    <w:rsid w:val="001352A1"/>
    <w:rsid w:val="00135321"/>
    <w:rsid w:val="00135AF6"/>
    <w:rsid w:val="001361FC"/>
    <w:rsid w:val="00136627"/>
    <w:rsid w:val="001367D2"/>
    <w:rsid w:val="0013748D"/>
    <w:rsid w:val="00140091"/>
    <w:rsid w:val="001402E1"/>
    <w:rsid w:val="0014064F"/>
    <w:rsid w:val="0014071C"/>
    <w:rsid w:val="001410DE"/>
    <w:rsid w:val="001423F8"/>
    <w:rsid w:val="00142A9B"/>
    <w:rsid w:val="00143803"/>
    <w:rsid w:val="00144010"/>
    <w:rsid w:val="0014456B"/>
    <w:rsid w:val="00144675"/>
    <w:rsid w:val="00145356"/>
    <w:rsid w:val="00146710"/>
    <w:rsid w:val="0014686D"/>
    <w:rsid w:val="00146C07"/>
    <w:rsid w:val="00146E28"/>
    <w:rsid w:val="00147F60"/>
    <w:rsid w:val="00150128"/>
    <w:rsid w:val="00150446"/>
    <w:rsid w:val="0015133E"/>
    <w:rsid w:val="001516C1"/>
    <w:rsid w:val="00151D17"/>
    <w:rsid w:val="001533B7"/>
    <w:rsid w:val="00153EC8"/>
    <w:rsid w:val="001554DD"/>
    <w:rsid w:val="00156477"/>
    <w:rsid w:val="00156D47"/>
    <w:rsid w:val="00157661"/>
    <w:rsid w:val="00157AAE"/>
    <w:rsid w:val="00157E17"/>
    <w:rsid w:val="0016033F"/>
    <w:rsid w:val="0016179B"/>
    <w:rsid w:val="00161FE2"/>
    <w:rsid w:val="001620CD"/>
    <w:rsid w:val="00162B6B"/>
    <w:rsid w:val="001633C8"/>
    <w:rsid w:val="00163F2C"/>
    <w:rsid w:val="001647F8"/>
    <w:rsid w:val="00164CBC"/>
    <w:rsid w:val="00165220"/>
    <w:rsid w:val="00165341"/>
    <w:rsid w:val="00165745"/>
    <w:rsid w:val="00165F54"/>
    <w:rsid w:val="0016685C"/>
    <w:rsid w:val="00166C67"/>
    <w:rsid w:val="00167BC2"/>
    <w:rsid w:val="00167DC4"/>
    <w:rsid w:val="0017174F"/>
    <w:rsid w:val="00172779"/>
    <w:rsid w:val="00172952"/>
    <w:rsid w:val="00172D1D"/>
    <w:rsid w:val="00173398"/>
    <w:rsid w:val="00173B79"/>
    <w:rsid w:val="00174F54"/>
    <w:rsid w:val="00175A0F"/>
    <w:rsid w:val="001761B7"/>
    <w:rsid w:val="00176686"/>
    <w:rsid w:val="00176819"/>
    <w:rsid w:val="00176ACE"/>
    <w:rsid w:val="00176F15"/>
    <w:rsid w:val="001777EF"/>
    <w:rsid w:val="00180B5D"/>
    <w:rsid w:val="00180D9B"/>
    <w:rsid w:val="00180F34"/>
    <w:rsid w:val="001813C6"/>
    <w:rsid w:val="00181D0C"/>
    <w:rsid w:val="001823CC"/>
    <w:rsid w:val="00183F1B"/>
    <w:rsid w:val="00184757"/>
    <w:rsid w:val="00184A0D"/>
    <w:rsid w:val="00184EFC"/>
    <w:rsid w:val="0018510E"/>
    <w:rsid w:val="0018565B"/>
    <w:rsid w:val="0018585E"/>
    <w:rsid w:val="001858EE"/>
    <w:rsid w:val="00185B78"/>
    <w:rsid w:val="0018663B"/>
    <w:rsid w:val="00186CEA"/>
    <w:rsid w:val="00186F59"/>
    <w:rsid w:val="0018746D"/>
    <w:rsid w:val="00187783"/>
    <w:rsid w:val="001910D9"/>
    <w:rsid w:val="00191102"/>
    <w:rsid w:val="00191807"/>
    <w:rsid w:val="00191A41"/>
    <w:rsid w:val="001937E1"/>
    <w:rsid w:val="001945C4"/>
    <w:rsid w:val="001948AA"/>
    <w:rsid w:val="00194E7F"/>
    <w:rsid w:val="001963AE"/>
    <w:rsid w:val="0019640F"/>
    <w:rsid w:val="00196764"/>
    <w:rsid w:val="001A32CB"/>
    <w:rsid w:val="001A32FD"/>
    <w:rsid w:val="001A3EE3"/>
    <w:rsid w:val="001A3FC3"/>
    <w:rsid w:val="001A44CF"/>
    <w:rsid w:val="001A480F"/>
    <w:rsid w:val="001A5286"/>
    <w:rsid w:val="001A5732"/>
    <w:rsid w:val="001A5966"/>
    <w:rsid w:val="001A5AE4"/>
    <w:rsid w:val="001A6E1A"/>
    <w:rsid w:val="001A6F55"/>
    <w:rsid w:val="001A7023"/>
    <w:rsid w:val="001A7C3E"/>
    <w:rsid w:val="001A7C58"/>
    <w:rsid w:val="001A7D09"/>
    <w:rsid w:val="001B04E5"/>
    <w:rsid w:val="001B1A40"/>
    <w:rsid w:val="001B20E5"/>
    <w:rsid w:val="001B2DFD"/>
    <w:rsid w:val="001B3425"/>
    <w:rsid w:val="001B3595"/>
    <w:rsid w:val="001B36F1"/>
    <w:rsid w:val="001B3B09"/>
    <w:rsid w:val="001B3EF3"/>
    <w:rsid w:val="001B3F90"/>
    <w:rsid w:val="001B3FB7"/>
    <w:rsid w:val="001B4B91"/>
    <w:rsid w:val="001B4DE4"/>
    <w:rsid w:val="001B5620"/>
    <w:rsid w:val="001B5744"/>
    <w:rsid w:val="001B5885"/>
    <w:rsid w:val="001B5996"/>
    <w:rsid w:val="001B603E"/>
    <w:rsid w:val="001B622E"/>
    <w:rsid w:val="001B6769"/>
    <w:rsid w:val="001B6C27"/>
    <w:rsid w:val="001B76AE"/>
    <w:rsid w:val="001B7E9D"/>
    <w:rsid w:val="001C02E4"/>
    <w:rsid w:val="001C0789"/>
    <w:rsid w:val="001C08C6"/>
    <w:rsid w:val="001C0B83"/>
    <w:rsid w:val="001C0E6D"/>
    <w:rsid w:val="001C1A55"/>
    <w:rsid w:val="001C2765"/>
    <w:rsid w:val="001C2FB7"/>
    <w:rsid w:val="001C3828"/>
    <w:rsid w:val="001C42D9"/>
    <w:rsid w:val="001C5C96"/>
    <w:rsid w:val="001C739C"/>
    <w:rsid w:val="001D07A7"/>
    <w:rsid w:val="001D1E9B"/>
    <w:rsid w:val="001D1FDE"/>
    <w:rsid w:val="001D2B38"/>
    <w:rsid w:val="001D37B4"/>
    <w:rsid w:val="001D4C56"/>
    <w:rsid w:val="001D4C5B"/>
    <w:rsid w:val="001D505A"/>
    <w:rsid w:val="001D60FB"/>
    <w:rsid w:val="001D6276"/>
    <w:rsid w:val="001D6D10"/>
    <w:rsid w:val="001D7693"/>
    <w:rsid w:val="001D7AE6"/>
    <w:rsid w:val="001E05CF"/>
    <w:rsid w:val="001E07C4"/>
    <w:rsid w:val="001E1C01"/>
    <w:rsid w:val="001E1CCF"/>
    <w:rsid w:val="001E1FAE"/>
    <w:rsid w:val="001E21BE"/>
    <w:rsid w:val="001E3015"/>
    <w:rsid w:val="001E4BFC"/>
    <w:rsid w:val="001E5005"/>
    <w:rsid w:val="001E54D8"/>
    <w:rsid w:val="001E630C"/>
    <w:rsid w:val="001E6558"/>
    <w:rsid w:val="001E7595"/>
    <w:rsid w:val="001E79A3"/>
    <w:rsid w:val="001E7F0F"/>
    <w:rsid w:val="001F211F"/>
    <w:rsid w:val="001F24F6"/>
    <w:rsid w:val="001F3586"/>
    <w:rsid w:val="001F37FC"/>
    <w:rsid w:val="001F4093"/>
    <w:rsid w:val="001F45E5"/>
    <w:rsid w:val="001F4FF5"/>
    <w:rsid w:val="001F5915"/>
    <w:rsid w:val="001F5965"/>
    <w:rsid w:val="001F65EB"/>
    <w:rsid w:val="001F6A52"/>
    <w:rsid w:val="001F74C1"/>
    <w:rsid w:val="00200119"/>
    <w:rsid w:val="00200887"/>
    <w:rsid w:val="00201750"/>
    <w:rsid w:val="00201AC9"/>
    <w:rsid w:val="00202532"/>
    <w:rsid w:val="00202E34"/>
    <w:rsid w:val="00205F04"/>
    <w:rsid w:val="00207474"/>
    <w:rsid w:val="00207858"/>
    <w:rsid w:val="00210D1E"/>
    <w:rsid w:val="0021175B"/>
    <w:rsid w:val="0021189A"/>
    <w:rsid w:val="00211CF2"/>
    <w:rsid w:val="002126C4"/>
    <w:rsid w:val="0021324B"/>
    <w:rsid w:val="00213F09"/>
    <w:rsid w:val="0021478C"/>
    <w:rsid w:val="002149F8"/>
    <w:rsid w:val="002155D2"/>
    <w:rsid w:val="0021647D"/>
    <w:rsid w:val="0021667F"/>
    <w:rsid w:val="00216B3F"/>
    <w:rsid w:val="00216DD3"/>
    <w:rsid w:val="00216E60"/>
    <w:rsid w:val="0021710E"/>
    <w:rsid w:val="00217E53"/>
    <w:rsid w:val="00220B2C"/>
    <w:rsid w:val="00221442"/>
    <w:rsid w:val="00222464"/>
    <w:rsid w:val="00222A53"/>
    <w:rsid w:val="00222DE2"/>
    <w:rsid w:val="002232B9"/>
    <w:rsid w:val="00223343"/>
    <w:rsid w:val="0022346F"/>
    <w:rsid w:val="00223F3D"/>
    <w:rsid w:val="00224485"/>
    <w:rsid w:val="002254EA"/>
    <w:rsid w:val="00225502"/>
    <w:rsid w:val="00225795"/>
    <w:rsid w:val="002257D6"/>
    <w:rsid w:val="00225C00"/>
    <w:rsid w:val="00225C11"/>
    <w:rsid w:val="002264AA"/>
    <w:rsid w:val="00226A5D"/>
    <w:rsid w:val="00227432"/>
    <w:rsid w:val="00230767"/>
    <w:rsid w:val="002314B6"/>
    <w:rsid w:val="00231E2C"/>
    <w:rsid w:val="00232ADA"/>
    <w:rsid w:val="00232F6F"/>
    <w:rsid w:val="00233C65"/>
    <w:rsid w:val="00234075"/>
    <w:rsid w:val="00234BE9"/>
    <w:rsid w:val="00234F01"/>
    <w:rsid w:val="00235490"/>
    <w:rsid w:val="002354FF"/>
    <w:rsid w:val="00236265"/>
    <w:rsid w:val="002365BE"/>
    <w:rsid w:val="00236ABF"/>
    <w:rsid w:val="0023731D"/>
    <w:rsid w:val="002403B8"/>
    <w:rsid w:val="00240B27"/>
    <w:rsid w:val="00240B30"/>
    <w:rsid w:val="00240C62"/>
    <w:rsid w:val="00241D43"/>
    <w:rsid w:val="002422D7"/>
    <w:rsid w:val="00242324"/>
    <w:rsid w:val="0024305D"/>
    <w:rsid w:val="0024390B"/>
    <w:rsid w:val="0024403D"/>
    <w:rsid w:val="0024463D"/>
    <w:rsid w:val="002448B5"/>
    <w:rsid w:val="00245623"/>
    <w:rsid w:val="002461B6"/>
    <w:rsid w:val="00246B3A"/>
    <w:rsid w:val="002472DD"/>
    <w:rsid w:val="00247D17"/>
    <w:rsid w:val="0025024A"/>
    <w:rsid w:val="0025042C"/>
    <w:rsid w:val="00252A37"/>
    <w:rsid w:val="00252C7D"/>
    <w:rsid w:val="00253413"/>
    <w:rsid w:val="00254093"/>
    <w:rsid w:val="00254E8D"/>
    <w:rsid w:val="00254F37"/>
    <w:rsid w:val="00255775"/>
    <w:rsid w:val="00255AFF"/>
    <w:rsid w:val="002563B0"/>
    <w:rsid w:val="002569DB"/>
    <w:rsid w:val="00256BA3"/>
    <w:rsid w:val="00257CE3"/>
    <w:rsid w:val="0026151F"/>
    <w:rsid w:val="0026168F"/>
    <w:rsid w:val="00261B1A"/>
    <w:rsid w:val="002623E0"/>
    <w:rsid w:val="00262B84"/>
    <w:rsid w:val="00263CBD"/>
    <w:rsid w:val="00263D7D"/>
    <w:rsid w:val="002642D1"/>
    <w:rsid w:val="0026461D"/>
    <w:rsid w:val="002646E0"/>
    <w:rsid w:val="002646FF"/>
    <w:rsid w:val="00264D31"/>
    <w:rsid w:val="00264D9F"/>
    <w:rsid w:val="00264E5F"/>
    <w:rsid w:val="00266D03"/>
    <w:rsid w:val="00270399"/>
    <w:rsid w:val="002708F2"/>
    <w:rsid w:val="002726EC"/>
    <w:rsid w:val="00272725"/>
    <w:rsid w:val="00273696"/>
    <w:rsid w:val="0027419F"/>
    <w:rsid w:val="002742DA"/>
    <w:rsid w:val="00274505"/>
    <w:rsid w:val="002746FE"/>
    <w:rsid w:val="00275165"/>
    <w:rsid w:val="002755B8"/>
    <w:rsid w:val="002768B6"/>
    <w:rsid w:val="0027763C"/>
    <w:rsid w:val="0027764D"/>
    <w:rsid w:val="002806EC"/>
    <w:rsid w:val="002814AE"/>
    <w:rsid w:val="00281C00"/>
    <w:rsid w:val="002823D4"/>
    <w:rsid w:val="00282651"/>
    <w:rsid w:val="00282663"/>
    <w:rsid w:val="00282D1F"/>
    <w:rsid w:val="00282FE3"/>
    <w:rsid w:val="00284235"/>
    <w:rsid w:val="00284432"/>
    <w:rsid w:val="00284B88"/>
    <w:rsid w:val="00284BF2"/>
    <w:rsid w:val="00284CCD"/>
    <w:rsid w:val="00285F6B"/>
    <w:rsid w:val="00286195"/>
    <w:rsid w:val="00286763"/>
    <w:rsid w:val="00286ABF"/>
    <w:rsid w:val="00286BCB"/>
    <w:rsid w:val="00287282"/>
    <w:rsid w:val="0028742A"/>
    <w:rsid w:val="002879EB"/>
    <w:rsid w:val="002879FF"/>
    <w:rsid w:val="002901A6"/>
    <w:rsid w:val="0029115B"/>
    <w:rsid w:val="00291973"/>
    <w:rsid w:val="00291FBD"/>
    <w:rsid w:val="002927E8"/>
    <w:rsid w:val="00292BA7"/>
    <w:rsid w:val="00293AFE"/>
    <w:rsid w:val="002940F4"/>
    <w:rsid w:val="00294321"/>
    <w:rsid w:val="0029436A"/>
    <w:rsid w:val="002948D1"/>
    <w:rsid w:val="00294F4D"/>
    <w:rsid w:val="0029524E"/>
    <w:rsid w:val="00295CD9"/>
    <w:rsid w:val="00295E46"/>
    <w:rsid w:val="00296128"/>
    <w:rsid w:val="00296173"/>
    <w:rsid w:val="002965C0"/>
    <w:rsid w:val="00297A5E"/>
    <w:rsid w:val="00297ED9"/>
    <w:rsid w:val="002A07A1"/>
    <w:rsid w:val="002A1398"/>
    <w:rsid w:val="002A19D8"/>
    <w:rsid w:val="002A19EA"/>
    <w:rsid w:val="002A3683"/>
    <w:rsid w:val="002A36BE"/>
    <w:rsid w:val="002A3756"/>
    <w:rsid w:val="002A3B9A"/>
    <w:rsid w:val="002A3C92"/>
    <w:rsid w:val="002A3CC8"/>
    <w:rsid w:val="002A4DD7"/>
    <w:rsid w:val="002A5060"/>
    <w:rsid w:val="002A5FE6"/>
    <w:rsid w:val="002A6637"/>
    <w:rsid w:val="002A6FD7"/>
    <w:rsid w:val="002A7095"/>
    <w:rsid w:val="002A7580"/>
    <w:rsid w:val="002B15D1"/>
    <w:rsid w:val="002B1D40"/>
    <w:rsid w:val="002B2360"/>
    <w:rsid w:val="002B2381"/>
    <w:rsid w:val="002B3163"/>
    <w:rsid w:val="002B3D2C"/>
    <w:rsid w:val="002B3FEF"/>
    <w:rsid w:val="002B4007"/>
    <w:rsid w:val="002B4BFA"/>
    <w:rsid w:val="002B4F41"/>
    <w:rsid w:val="002B50AE"/>
    <w:rsid w:val="002B534B"/>
    <w:rsid w:val="002B6168"/>
    <w:rsid w:val="002B6663"/>
    <w:rsid w:val="002B75D9"/>
    <w:rsid w:val="002B7C49"/>
    <w:rsid w:val="002C01FF"/>
    <w:rsid w:val="002C1F9D"/>
    <w:rsid w:val="002C2D1C"/>
    <w:rsid w:val="002C35B4"/>
    <w:rsid w:val="002C506D"/>
    <w:rsid w:val="002C5E66"/>
    <w:rsid w:val="002C5F5C"/>
    <w:rsid w:val="002C6051"/>
    <w:rsid w:val="002C7075"/>
    <w:rsid w:val="002C7778"/>
    <w:rsid w:val="002C78F4"/>
    <w:rsid w:val="002D0D93"/>
    <w:rsid w:val="002D12A7"/>
    <w:rsid w:val="002D1702"/>
    <w:rsid w:val="002D1852"/>
    <w:rsid w:val="002D1D6F"/>
    <w:rsid w:val="002D26A6"/>
    <w:rsid w:val="002D34D1"/>
    <w:rsid w:val="002D34D2"/>
    <w:rsid w:val="002D357A"/>
    <w:rsid w:val="002D3A42"/>
    <w:rsid w:val="002D3A7F"/>
    <w:rsid w:val="002D40BC"/>
    <w:rsid w:val="002D41C3"/>
    <w:rsid w:val="002D47C6"/>
    <w:rsid w:val="002D49E0"/>
    <w:rsid w:val="002D4D03"/>
    <w:rsid w:val="002D505B"/>
    <w:rsid w:val="002D513F"/>
    <w:rsid w:val="002D59A3"/>
    <w:rsid w:val="002D65BE"/>
    <w:rsid w:val="002D68DC"/>
    <w:rsid w:val="002D726C"/>
    <w:rsid w:val="002D737E"/>
    <w:rsid w:val="002E04E4"/>
    <w:rsid w:val="002E097B"/>
    <w:rsid w:val="002E0C86"/>
    <w:rsid w:val="002E0F3D"/>
    <w:rsid w:val="002E0FD9"/>
    <w:rsid w:val="002E22C9"/>
    <w:rsid w:val="002E2798"/>
    <w:rsid w:val="002E2CD5"/>
    <w:rsid w:val="002E326B"/>
    <w:rsid w:val="002E34A7"/>
    <w:rsid w:val="002E35C6"/>
    <w:rsid w:val="002E382E"/>
    <w:rsid w:val="002E5658"/>
    <w:rsid w:val="002E578C"/>
    <w:rsid w:val="002E6752"/>
    <w:rsid w:val="002E78D5"/>
    <w:rsid w:val="002E7D33"/>
    <w:rsid w:val="002F05AF"/>
    <w:rsid w:val="002F0670"/>
    <w:rsid w:val="002F25B5"/>
    <w:rsid w:val="002F2EE4"/>
    <w:rsid w:val="002F333B"/>
    <w:rsid w:val="002F36F2"/>
    <w:rsid w:val="002F3B1B"/>
    <w:rsid w:val="002F481C"/>
    <w:rsid w:val="002F49D2"/>
    <w:rsid w:val="002F4B52"/>
    <w:rsid w:val="002F5105"/>
    <w:rsid w:val="002F5513"/>
    <w:rsid w:val="002F5E85"/>
    <w:rsid w:val="002F64C5"/>
    <w:rsid w:val="002F6EA5"/>
    <w:rsid w:val="002F7EBC"/>
    <w:rsid w:val="0030000B"/>
    <w:rsid w:val="00301251"/>
    <w:rsid w:val="00301932"/>
    <w:rsid w:val="003034CE"/>
    <w:rsid w:val="00303F2C"/>
    <w:rsid w:val="003044F7"/>
    <w:rsid w:val="003047AA"/>
    <w:rsid w:val="00304B5F"/>
    <w:rsid w:val="00305DD5"/>
    <w:rsid w:val="00306071"/>
    <w:rsid w:val="00306AC1"/>
    <w:rsid w:val="003079E1"/>
    <w:rsid w:val="00307D9B"/>
    <w:rsid w:val="003104C0"/>
    <w:rsid w:val="003115B7"/>
    <w:rsid w:val="003119AB"/>
    <w:rsid w:val="0031267E"/>
    <w:rsid w:val="003130B5"/>
    <w:rsid w:val="003136D9"/>
    <w:rsid w:val="00313BFF"/>
    <w:rsid w:val="00313C20"/>
    <w:rsid w:val="003141BD"/>
    <w:rsid w:val="00314295"/>
    <w:rsid w:val="003149AE"/>
    <w:rsid w:val="00314A5B"/>
    <w:rsid w:val="00315575"/>
    <w:rsid w:val="003159F9"/>
    <w:rsid w:val="00315C41"/>
    <w:rsid w:val="00316452"/>
    <w:rsid w:val="00316964"/>
    <w:rsid w:val="00316C85"/>
    <w:rsid w:val="00320591"/>
    <w:rsid w:val="0032097E"/>
    <w:rsid w:val="003212AD"/>
    <w:rsid w:val="00321BD9"/>
    <w:rsid w:val="00322504"/>
    <w:rsid w:val="003228A3"/>
    <w:rsid w:val="0032313E"/>
    <w:rsid w:val="00324326"/>
    <w:rsid w:val="00324C39"/>
    <w:rsid w:val="00324DDC"/>
    <w:rsid w:val="00325A2F"/>
    <w:rsid w:val="00325B03"/>
    <w:rsid w:val="00327DCD"/>
    <w:rsid w:val="00327EBF"/>
    <w:rsid w:val="003301FB"/>
    <w:rsid w:val="0033023B"/>
    <w:rsid w:val="00330A1C"/>
    <w:rsid w:val="00330F98"/>
    <w:rsid w:val="003313DB"/>
    <w:rsid w:val="00331E52"/>
    <w:rsid w:val="0033340B"/>
    <w:rsid w:val="00335440"/>
    <w:rsid w:val="003354DF"/>
    <w:rsid w:val="003358BA"/>
    <w:rsid w:val="00335FBB"/>
    <w:rsid w:val="003361DE"/>
    <w:rsid w:val="00336AE5"/>
    <w:rsid w:val="00337290"/>
    <w:rsid w:val="00337312"/>
    <w:rsid w:val="0034022E"/>
    <w:rsid w:val="00340314"/>
    <w:rsid w:val="00340485"/>
    <w:rsid w:val="0034061B"/>
    <w:rsid w:val="003406D8"/>
    <w:rsid w:val="00340FB9"/>
    <w:rsid w:val="00340FF9"/>
    <w:rsid w:val="0034129B"/>
    <w:rsid w:val="0034179B"/>
    <w:rsid w:val="00341F3E"/>
    <w:rsid w:val="00343128"/>
    <w:rsid w:val="003435B3"/>
    <w:rsid w:val="00343754"/>
    <w:rsid w:val="0034756E"/>
    <w:rsid w:val="00351552"/>
    <w:rsid w:val="003528C7"/>
    <w:rsid w:val="00352BCC"/>
    <w:rsid w:val="003532FD"/>
    <w:rsid w:val="0035342C"/>
    <w:rsid w:val="00353501"/>
    <w:rsid w:val="00353F83"/>
    <w:rsid w:val="00354CAB"/>
    <w:rsid w:val="0035593D"/>
    <w:rsid w:val="00357381"/>
    <w:rsid w:val="00357886"/>
    <w:rsid w:val="0036025B"/>
    <w:rsid w:val="0036092B"/>
    <w:rsid w:val="00361724"/>
    <w:rsid w:val="003622D7"/>
    <w:rsid w:val="00362CCB"/>
    <w:rsid w:val="00362DEE"/>
    <w:rsid w:val="003632D8"/>
    <w:rsid w:val="00363A13"/>
    <w:rsid w:val="003642B2"/>
    <w:rsid w:val="00364685"/>
    <w:rsid w:val="00364CC1"/>
    <w:rsid w:val="00364E57"/>
    <w:rsid w:val="003657A4"/>
    <w:rsid w:val="00365967"/>
    <w:rsid w:val="00365E56"/>
    <w:rsid w:val="0036613C"/>
    <w:rsid w:val="003662E0"/>
    <w:rsid w:val="0036645A"/>
    <w:rsid w:val="003666B9"/>
    <w:rsid w:val="0036676F"/>
    <w:rsid w:val="003671FD"/>
    <w:rsid w:val="00367F7E"/>
    <w:rsid w:val="0037004A"/>
    <w:rsid w:val="0037142A"/>
    <w:rsid w:val="00372DE8"/>
    <w:rsid w:val="0037304D"/>
    <w:rsid w:val="00373329"/>
    <w:rsid w:val="00373564"/>
    <w:rsid w:val="003738FE"/>
    <w:rsid w:val="00374668"/>
    <w:rsid w:val="00374804"/>
    <w:rsid w:val="00375085"/>
    <w:rsid w:val="0037643A"/>
    <w:rsid w:val="00376F1D"/>
    <w:rsid w:val="00377F09"/>
    <w:rsid w:val="00377FD8"/>
    <w:rsid w:val="00381490"/>
    <w:rsid w:val="00381534"/>
    <w:rsid w:val="00381E4A"/>
    <w:rsid w:val="00382ABE"/>
    <w:rsid w:val="00382C5E"/>
    <w:rsid w:val="00383780"/>
    <w:rsid w:val="00383C7C"/>
    <w:rsid w:val="00384A85"/>
    <w:rsid w:val="00385E62"/>
    <w:rsid w:val="00387AA3"/>
    <w:rsid w:val="00387AB5"/>
    <w:rsid w:val="00390AEF"/>
    <w:rsid w:val="003916D9"/>
    <w:rsid w:val="0039242E"/>
    <w:rsid w:val="00392970"/>
    <w:rsid w:val="00393D91"/>
    <w:rsid w:val="00394484"/>
    <w:rsid w:val="003966B6"/>
    <w:rsid w:val="00397342"/>
    <w:rsid w:val="00397935"/>
    <w:rsid w:val="003A0FB9"/>
    <w:rsid w:val="003A108D"/>
    <w:rsid w:val="003A2925"/>
    <w:rsid w:val="003A2C72"/>
    <w:rsid w:val="003A2E3A"/>
    <w:rsid w:val="003A3484"/>
    <w:rsid w:val="003A35E6"/>
    <w:rsid w:val="003A39FC"/>
    <w:rsid w:val="003A3C9D"/>
    <w:rsid w:val="003A430F"/>
    <w:rsid w:val="003A45F5"/>
    <w:rsid w:val="003A4D1E"/>
    <w:rsid w:val="003A5689"/>
    <w:rsid w:val="003A5B3D"/>
    <w:rsid w:val="003A6AC2"/>
    <w:rsid w:val="003A6BCA"/>
    <w:rsid w:val="003A728B"/>
    <w:rsid w:val="003B082C"/>
    <w:rsid w:val="003B08F8"/>
    <w:rsid w:val="003B1169"/>
    <w:rsid w:val="003B1E7A"/>
    <w:rsid w:val="003B2FED"/>
    <w:rsid w:val="003B331E"/>
    <w:rsid w:val="003B42FD"/>
    <w:rsid w:val="003B45F1"/>
    <w:rsid w:val="003B486B"/>
    <w:rsid w:val="003B5E42"/>
    <w:rsid w:val="003B63A7"/>
    <w:rsid w:val="003B6615"/>
    <w:rsid w:val="003B6ABD"/>
    <w:rsid w:val="003B723D"/>
    <w:rsid w:val="003B7241"/>
    <w:rsid w:val="003B724F"/>
    <w:rsid w:val="003B7B81"/>
    <w:rsid w:val="003C015F"/>
    <w:rsid w:val="003C044F"/>
    <w:rsid w:val="003C0CEA"/>
    <w:rsid w:val="003C1990"/>
    <w:rsid w:val="003C1A71"/>
    <w:rsid w:val="003C25A1"/>
    <w:rsid w:val="003C35B6"/>
    <w:rsid w:val="003C3C4A"/>
    <w:rsid w:val="003C3CC7"/>
    <w:rsid w:val="003C3D86"/>
    <w:rsid w:val="003C47E9"/>
    <w:rsid w:val="003C519F"/>
    <w:rsid w:val="003C5440"/>
    <w:rsid w:val="003C553A"/>
    <w:rsid w:val="003C55C2"/>
    <w:rsid w:val="003C5F7F"/>
    <w:rsid w:val="003C6942"/>
    <w:rsid w:val="003C6D2B"/>
    <w:rsid w:val="003C70BD"/>
    <w:rsid w:val="003C765F"/>
    <w:rsid w:val="003D0C5D"/>
    <w:rsid w:val="003D171D"/>
    <w:rsid w:val="003D1B73"/>
    <w:rsid w:val="003D1D9E"/>
    <w:rsid w:val="003D3DEC"/>
    <w:rsid w:val="003D4B55"/>
    <w:rsid w:val="003D5774"/>
    <w:rsid w:val="003D5EDE"/>
    <w:rsid w:val="003D69E9"/>
    <w:rsid w:val="003D763F"/>
    <w:rsid w:val="003D7FBD"/>
    <w:rsid w:val="003E0341"/>
    <w:rsid w:val="003E0407"/>
    <w:rsid w:val="003E10A2"/>
    <w:rsid w:val="003E28A8"/>
    <w:rsid w:val="003E30EC"/>
    <w:rsid w:val="003E3425"/>
    <w:rsid w:val="003E3AD6"/>
    <w:rsid w:val="003E48E2"/>
    <w:rsid w:val="003E494E"/>
    <w:rsid w:val="003E4962"/>
    <w:rsid w:val="003E5EB1"/>
    <w:rsid w:val="003E6A7F"/>
    <w:rsid w:val="003E748E"/>
    <w:rsid w:val="003E74FC"/>
    <w:rsid w:val="003F0733"/>
    <w:rsid w:val="003F08A4"/>
    <w:rsid w:val="003F1137"/>
    <w:rsid w:val="003F25BF"/>
    <w:rsid w:val="003F2E38"/>
    <w:rsid w:val="003F2EFE"/>
    <w:rsid w:val="003F3E46"/>
    <w:rsid w:val="003F450F"/>
    <w:rsid w:val="003F4EFF"/>
    <w:rsid w:val="003F54BC"/>
    <w:rsid w:val="003F628C"/>
    <w:rsid w:val="003F634A"/>
    <w:rsid w:val="003F64FE"/>
    <w:rsid w:val="003F6E08"/>
    <w:rsid w:val="00400684"/>
    <w:rsid w:val="00400C96"/>
    <w:rsid w:val="00401C7C"/>
    <w:rsid w:val="004028DA"/>
    <w:rsid w:val="00402D8E"/>
    <w:rsid w:val="0040317A"/>
    <w:rsid w:val="00403928"/>
    <w:rsid w:val="00403C51"/>
    <w:rsid w:val="00403D62"/>
    <w:rsid w:val="004044CD"/>
    <w:rsid w:val="00404EAE"/>
    <w:rsid w:val="00406728"/>
    <w:rsid w:val="00407124"/>
    <w:rsid w:val="00407129"/>
    <w:rsid w:val="00407278"/>
    <w:rsid w:val="004077DB"/>
    <w:rsid w:val="00407D1C"/>
    <w:rsid w:val="00410A7B"/>
    <w:rsid w:val="004111C6"/>
    <w:rsid w:val="0041188E"/>
    <w:rsid w:val="00411FCE"/>
    <w:rsid w:val="00412F6A"/>
    <w:rsid w:val="00412FB4"/>
    <w:rsid w:val="004135A2"/>
    <w:rsid w:val="00413AEA"/>
    <w:rsid w:val="00414534"/>
    <w:rsid w:val="00414C73"/>
    <w:rsid w:val="00415D20"/>
    <w:rsid w:val="004168C4"/>
    <w:rsid w:val="00416920"/>
    <w:rsid w:val="00417419"/>
    <w:rsid w:val="00417EBA"/>
    <w:rsid w:val="00420963"/>
    <w:rsid w:val="00420A7A"/>
    <w:rsid w:val="00421431"/>
    <w:rsid w:val="00421C24"/>
    <w:rsid w:val="00424113"/>
    <w:rsid w:val="00424ABC"/>
    <w:rsid w:val="004252A6"/>
    <w:rsid w:val="00425344"/>
    <w:rsid w:val="004253DE"/>
    <w:rsid w:val="004258E3"/>
    <w:rsid w:val="00426088"/>
    <w:rsid w:val="00426B35"/>
    <w:rsid w:val="00427EAB"/>
    <w:rsid w:val="004323E9"/>
    <w:rsid w:val="00432515"/>
    <w:rsid w:val="00432F99"/>
    <w:rsid w:val="00433C72"/>
    <w:rsid w:val="00434478"/>
    <w:rsid w:val="004348ED"/>
    <w:rsid w:val="004353D7"/>
    <w:rsid w:val="00435407"/>
    <w:rsid w:val="004361C6"/>
    <w:rsid w:val="00436825"/>
    <w:rsid w:val="004379D6"/>
    <w:rsid w:val="00437E7F"/>
    <w:rsid w:val="00440C78"/>
    <w:rsid w:val="0044107D"/>
    <w:rsid w:val="004411E1"/>
    <w:rsid w:val="00441A14"/>
    <w:rsid w:val="00442309"/>
    <w:rsid w:val="004427E1"/>
    <w:rsid w:val="004436F3"/>
    <w:rsid w:val="0044444D"/>
    <w:rsid w:val="00444695"/>
    <w:rsid w:val="00444D26"/>
    <w:rsid w:val="00445059"/>
    <w:rsid w:val="00445858"/>
    <w:rsid w:val="00447C0B"/>
    <w:rsid w:val="00450BEA"/>
    <w:rsid w:val="00450C04"/>
    <w:rsid w:val="00450E02"/>
    <w:rsid w:val="00451F91"/>
    <w:rsid w:val="00452BAE"/>
    <w:rsid w:val="00452EBC"/>
    <w:rsid w:val="00453711"/>
    <w:rsid w:val="00454723"/>
    <w:rsid w:val="00455535"/>
    <w:rsid w:val="00455CA5"/>
    <w:rsid w:val="00457A5D"/>
    <w:rsid w:val="004609E5"/>
    <w:rsid w:val="00460F4D"/>
    <w:rsid w:val="004610C5"/>
    <w:rsid w:val="004612DE"/>
    <w:rsid w:val="004614EE"/>
    <w:rsid w:val="0046292F"/>
    <w:rsid w:val="00462B47"/>
    <w:rsid w:val="00462F09"/>
    <w:rsid w:val="00463668"/>
    <w:rsid w:val="00463FE6"/>
    <w:rsid w:val="0046497A"/>
    <w:rsid w:val="00464CB8"/>
    <w:rsid w:val="004659BA"/>
    <w:rsid w:val="00465DB4"/>
    <w:rsid w:val="00466052"/>
    <w:rsid w:val="004663AC"/>
    <w:rsid w:val="00466C6E"/>
    <w:rsid w:val="004674BE"/>
    <w:rsid w:val="00470067"/>
    <w:rsid w:val="00470124"/>
    <w:rsid w:val="00470789"/>
    <w:rsid w:val="00470A06"/>
    <w:rsid w:val="00471065"/>
    <w:rsid w:val="00471BB2"/>
    <w:rsid w:val="00472027"/>
    <w:rsid w:val="0047270B"/>
    <w:rsid w:val="00472890"/>
    <w:rsid w:val="00472CBC"/>
    <w:rsid w:val="00472F6D"/>
    <w:rsid w:val="00473AF2"/>
    <w:rsid w:val="00473D09"/>
    <w:rsid w:val="0047474F"/>
    <w:rsid w:val="004756AA"/>
    <w:rsid w:val="004758DC"/>
    <w:rsid w:val="0047594A"/>
    <w:rsid w:val="00475A04"/>
    <w:rsid w:val="004764D1"/>
    <w:rsid w:val="00476EE0"/>
    <w:rsid w:val="004775F6"/>
    <w:rsid w:val="00480972"/>
    <w:rsid w:val="00481272"/>
    <w:rsid w:val="00482F84"/>
    <w:rsid w:val="004840F3"/>
    <w:rsid w:val="00484861"/>
    <w:rsid w:val="00484AD9"/>
    <w:rsid w:val="00484DF7"/>
    <w:rsid w:val="00485BC2"/>
    <w:rsid w:val="00485E15"/>
    <w:rsid w:val="00485ECF"/>
    <w:rsid w:val="00486C74"/>
    <w:rsid w:val="00487BD5"/>
    <w:rsid w:val="0049057A"/>
    <w:rsid w:val="004910BA"/>
    <w:rsid w:val="00491680"/>
    <w:rsid w:val="004916DB"/>
    <w:rsid w:val="004916FE"/>
    <w:rsid w:val="00491D79"/>
    <w:rsid w:val="00491F31"/>
    <w:rsid w:val="004931B5"/>
    <w:rsid w:val="00493643"/>
    <w:rsid w:val="00494222"/>
    <w:rsid w:val="004950AC"/>
    <w:rsid w:val="00495288"/>
    <w:rsid w:val="00495626"/>
    <w:rsid w:val="004958CA"/>
    <w:rsid w:val="00495E90"/>
    <w:rsid w:val="00496047"/>
    <w:rsid w:val="0049645C"/>
    <w:rsid w:val="00496844"/>
    <w:rsid w:val="0049702A"/>
    <w:rsid w:val="00497116"/>
    <w:rsid w:val="00497229"/>
    <w:rsid w:val="004A0019"/>
    <w:rsid w:val="004A0094"/>
    <w:rsid w:val="004A0201"/>
    <w:rsid w:val="004A11F7"/>
    <w:rsid w:val="004A14B9"/>
    <w:rsid w:val="004A1572"/>
    <w:rsid w:val="004A1F08"/>
    <w:rsid w:val="004A2302"/>
    <w:rsid w:val="004A2A31"/>
    <w:rsid w:val="004A3F71"/>
    <w:rsid w:val="004A45EB"/>
    <w:rsid w:val="004A7CAA"/>
    <w:rsid w:val="004A7FB5"/>
    <w:rsid w:val="004B077F"/>
    <w:rsid w:val="004B13EA"/>
    <w:rsid w:val="004B18FF"/>
    <w:rsid w:val="004B35A9"/>
    <w:rsid w:val="004B3B24"/>
    <w:rsid w:val="004B3DA2"/>
    <w:rsid w:val="004B3DC9"/>
    <w:rsid w:val="004B423F"/>
    <w:rsid w:val="004B567F"/>
    <w:rsid w:val="004B5CA4"/>
    <w:rsid w:val="004B66C3"/>
    <w:rsid w:val="004C04D6"/>
    <w:rsid w:val="004C07C4"/>
    <w:rsid w:val="004C1D51"/>
    <w:rsid w:val="004C21C2"/>
    <w:rsid w:val="004C24F5"/>
    <w:rsid w:val="004C2586"/>
    <w:rsid w:val="004C2B45"/>
    <w:rsid w:val="004C3014"/>
    <w:rsid w:val="004C3169"/>
    <w:rsid w:val="004C3D2A"/>
    <w:rsid w:val="004C3FA7"/>
    <w:rsid w:val="004C4014"/>
    <w:rsid w:val="004C5331"/>
    <w:rsid w:val="004C538C"/>
    <w:rsid w:val="004C56A4"/>
    <w:rsid w:val="004C59DF"/>
    <w:rsid w:val="004C7C5B"/>
    <w:rsid w:val="004C7CDC"/>
    <w:rsid w:val="004D08FE"/>
    <w:rsid w:val="004D2C1F"/>
    <w:rsid w:val="004D2CAC"/>
    <w:rsid w:val="004D38AE"/>
    <w:rsid w:val="004D4349"/>
    <w:rsid w:val="004D44CC"/>
    <w:rsid w:val="004D4DBB"/>
    <w:rsid w:val="004D518B"/>
    <w:rsid w:val="004D52AE"/>
    <w:rsid w:val="004D53D0"/>
    <w:rsid w:val="004D553D"/>
    <w:rsid w:val="004D5BAD"/>
    <w:rsid w:val="004D5BB9"/>
    <w:rsid w:val="004D6548"/>
    <w:rsid w:val="004E05E6"/>
    <w:rsid w:val="004E074B"/>
    <w:rsid w:val="004E105E"/>
    <w:rsid w:val="004E1D95"/>
    <w:rsid w:val="004E2486"/>
    <w:rsid w:val="004E3557"/>
    <w:rsid w:val="004E4DDB"/>
    <w:rsid w:val="004E5138"/>
    <w:rsid w:val="004E5545"/>
    <w:rsid w:val="004E65D8"/>
    <w:rsid w:val="004E663E"/>
    <w:rsid w:val="004E7423"/>
    <w:rsid w:val="004E763D"/>
    <w:rsid w:val="004E792A"/>
    <w:rsid w:val="004E79AB"/>
    <w:rsid w:val="004F0226"/>
    <w:rsid w:val="004F04A6"/>
    <w:rsid w:val="004F07DF"/>
    <w:rsid w:val="004F0AF8"/>
    <w:rsid w:val="004F0F91"/>
    <w:rsid w:val="004F16FA"/>
    <w:rsid w:val="004F1793"/>
    <w:rsid w:val="004F1C9C"/>
    <w:rsid w:val="004F1F88"/>
    <w:rsid w:val="004F4396"/>
    <w:rsid w:val="004F4C63"/>
    <w:rsid w:val="004F51C8"/>
    <w:rsid w:val="004F646B"/>
    <w:rsid w:val="004F6472"/>
    <w:rsid w:val="004F6C32"/>
    <w:rsid w:val="004F70A7"/>
    <w:rsid w:val="004F7B4D"/>
    <w:rsid w:val="005001BC"/>
    <w:rsid w:val="00500BD9"/>
    <w:rsid w:val="00502931"/>
    <w:rsid w:val="0050315D"/>
    <w:rsid w:val="00503174"/>
    <w:rsid w:val="005047E3"/>
    <w:rsid w:val="00504F98"/>
    <w:rsid w:val="005051EA"/>
    <w:rsid w:val="0050558B"/>
    <w:rsid w:val="0050664E"/>
    <w:rsid w:val="00507337"/>
    <w:rsid w:val="005076DF"/>
    <w:rsid w:val="00510873"/>
    <w:rsid w:val="00510B18"/>
    <w:rsid w:val="00511086"/>
    <w:rsid w:val="005110D9"/>
    <w:rsid w:val="00511AC9"/>
    <w:rsid w:val="0051441C"/>
    <w:rsid w:val="005149AD"/>
    <w:rsid w:val="005149B7"/>
    <w:rsid w:val="00514C66"/>
    <w:rsid w:val="00515356"/>
    <w:rsid w:val="005164A7"/>
    <w:rsid w:val="00516D07"/>
    <w:rsid w:val="00520A4B"/>
    <w:rsid w:val="005219C4"/>
    <w:rsid w:val="00522BC2"/>
    <w:rsid w:val="0052327E"/>
    <w:rsid w:val="00523B53"/>
    <w:rsid w:val="00523F74"/>
    <w:rsid w:val="005246E8"/>
    <w:rsid w:val="005253F5"/>
    <w:rsid w:val="0052560B"/>
    <w:rsid w:val="005263C4"/>
    <w:rsid w:val="00526AB5"/>
    <w:rsid w:val="00526AE0"/>
    <w:rsid w:val="005275E0"/>
    <w:rsid w:val="005278DB"/>
    <w:rsid w:val="00530116"/>
    <w:rsid w:val="0053084D"/>
    <w:rsid w:val="005308A9"/>
    <w:rsid w:val="00530DBA"/>
    <w:rsid w:val="005321CA"/>
    <w:rsid w:val="00532553"/>
    <w:rsid w:val="00533D12"/>
    <w:rsid w:val="00534C73"/>
    <w:rsid w:val="00535F76"/>
    <w:rsid w:val="00536C6D"/>
    <w:rsid w:val="00537C2E"/>
    <w:rsid w:val="0054025D"/>
    <w:rsid w:val="00540528"/>
    <w:rsid w:val="00540C39"/>
    <w:rsid w:val="00540ED2"/>
    <w:rsid w:val="0054186E"/>
    <w:rsid w:val="005434EC"/>
    <w:rsid w:val="005435C1"/>
    <w:rsid w:val="0054416D"/>
    <w:rsid w:val="005447CF"/>
    <w:rsid w:val="00544D37"/>
    <w:rsid w:val="005453F6"/>
    <w:rsid w:val="005473CE"/>
    <w:rsid w:val="0055134F"/>
    <w:rsid w:val="00551642"/>
    <w:rsid w:val="00551788"/>
    <w:rsid w:val="00551C3F"/>
    <w:rsid w:val="00552B1C"/>
    <w:rsid w:val="0055328E"/>
    <w:rsid w:val="0055353D"/>
    <w:rsid w:val="0055382A"/>
    <w:rsid w:val="00553B95"/>
    <w:rsid w:val="00554433"/>
    <w:rsid w:val="00554740"/>
    <w:rsid w:val="00554925"/>
    <w:rsid w:val="00554E6A"/>
    <w:rsid w:val="0055554F"/>
    <w:rsid w:val="00555E96"/>
    <w:rsid w:val="005560DA"/>
    <w:rsid w:val="005569A2"/>
    <w:rsid w:val="00556F7F"/>
    <w:rsid w:val="0055703C"/>
    <w:rsid w:val="00557785"/>
    <w:rsid w:val="00557BD7"/>
    <w:rsid w:val="00557DE9"/>
    <w:rsid w:val="005600E8"/>
    <w:rsid w:val="00560891"/>
    <w:rsid w:val="0056132B"/>
    <w:rsid w:val="00561391"/>
    <w:rsid w:val="00561448"/>
    <w:rsid w:val="00561AEF"/>
    <w:rsid w:val="00561EA6"/>
    <w:rsid w:val="00561F3C"/>
    <w:rsid w:val="005633E0"/>
    <w:rsid w:val="00564993"/>
    <w:rsid w:val="00565036"/>
    <w:rsid w:val="0056509E"/>
    <w:rsid w:val="00565D63"/>
    <w:rsid w:val="00566AE8"/>
    <w:rsid w:val="00566CCE"/>
    <w:rsid w:val="0056779E"/>
    <w:rsid w:val="00567834"/>
    <w:rsid w:val="0057002A"/>
    <w:rsid w:val="0057085B"/>
    <w:rsid w:val="005716D9"/>
    <w:rsid w:val="00572322"/>
    <w:rsid w:val="00572D04"/>
    <w:rsid w:val="0057302F"/>
    <w:rsid w:val="005753DC"/>
    <w:rsid w:val="005754FA"/>
    <w:rsid w:val="00575AFD"/>
    <w:rsid w:val="00576912"/>
    <w:rsid w:val="00576FF0"/>
    <w:rsid w:val="005777FC"/>
    <w:rsid w:val="00577A8F"/>
    <w:rsid w:val="00580FF0"/>
    <w:rsid w:val="005810DB"/>
    <w:rsid w:val="0058146A"/>
    <w:rsid w:val="00581D65"/>
    <w:rsid w:val="0058234D"/>
    <w:rsid w:val="00582A2B"/>
    <w:rsid w:val="00582BF7"/>
    <w:rsid w:val="005841D7"/>
    <w:rsid w:val="00584329"/>
    <w:rsid w:val="00584D9F"/>
    <w:rsid w:val="00584E6D"/>
    <w:rsid w:val="00585AF6"/>
    <w:rsid w:val="00586050"/>
    <w:rsid w:val="0058625B"/>
    <w:rsid w:val="00591921"/>
    <w:rsid w:val="00591B05"/>
    <w:rsid w:val="00592041"/>
    <w:rsid w:val="005943D0"/>
    <w:rsid w:val="0059583E"/>
    <w:rsid w:val="0059643A"/>
    <w:rsid w:val="00596CB1"/>
    <w:rsid w:val="00596ED9"/>
    <w:rsid w:val="005A0125"/>
    <w:rsid w:val="005A1604"/>
    <w:rsid w:val="005A20B7"/>
    <w:rsid w:val="005A27DE"/>
    <w:rsid w:val="005A2EF2"/>
    <w:rsid w:val="005A4299"/>
    <w:rsid w:val="005A48B7"/>
    <w:rsid w:val="005A4DA3"/>
    <w:rsid w:val="005A5007"/>
    <w:rsid w:val="005A54B7"/>
    <w:rsid w:val="005A564E"/>
    <w:rsid w:val="005A5E6E"/>
    <w:rsid w:val="005B0D4F"/>
    <w:rsid w:val="005B1F3F"/>
    <w:rsid w:val="005B249A"/>
    <w:rsid w:val="005B2D90"/>
    <w:rsid w:val="005B33EE"/>
    <w:rsid w:val="005B3D2F"/>
    <w:rsid w:val="005B3E3B"/>
    <w:rsid w:val="005B3F4D"/>
    <w:rsid w:val="005B4009"/>
    <w:rsid w:val="005B46E4"/>
    <w:rsid w:val="005B4B05"/>
    <w:rsid w:val="005B4EFE"/>
    <w:rsid w:val="005B52EE"/>
    <w:rsid w:val="005B5608"/>
    <w:rsid w:val="005B6826"/>
    <w:rsid w:val="005B6C37"/>
    <w:rsid w:val="005B7743"/>
    <w:rsid w:val="005B780B"/>
    <w:rsid w:val="005B7D02"/>
    <w:rsid w:val="005C0669"/>
    <w:rsid w:val="005C0AEC"/>
    <w:rsid w:val="005C0F5A"/>
    <w:rsid w:val="005C1BBC"/>
    <w:rsid w:val="005C1E19"/>
    <w:rsid w:val="005C2201"/>
    <w:rsid w:val="005C31BE"/>
    <w:rsid w:val="005C44D5"/>
    <w:rsid w:val="005C4A1C"/>
    <w:rsid w:val="005C4F02"/>
    <w:rsid w:val="005C5441"/>
    <w:rsid w:val="005C634F"/>
    <w:rsid w:val="005C6E8E"/>
    <w:rsid w:val="005C73EF"/>
    <w:rsid w:val="005C7DC8"/>
    <w:rsid w:val="005D0676"/>
    <w:rsid w:val="005D0DC9"/>
    <w:rsid w:val="005D1C7A"/>
    <w:rsid w:val="005D372A"/>
    <w:rsid w:val="005D66D6"/>
    <w:rsid w:val="005D7560"/>
    <w:rsid w:val="005D7719"/>
    <w:rsid w:val="005E0533"/>
    <w:rsid w:val="005E05D8"/>
    <w:rsid w:val="005E0E37"/>
    <w:rsid w:val="005E1556"/>
    <w:rsid w:val="005E197B"/>
    <w:rsid w:val="005E1B45"/>
    <w:rsid w:val="005E1DD6"/>
    <w:rsid w:val="005E2279"/>
    <w:rsid w:val="005E2FA9"/>
    <w:rsid w:val="005E4817"/>
    <w:rsid w:val="005E48A9"/>
    <w:rsid w:val="005E58DD"/>
    <w:rsid w:val="005E5E3B"/>
    <w:rsid w:val="005E6007"/>
    <w:rsid w:val="005E6F26"/>
    <w:rsid w:val="005E708A"/>
    <w:rsid w:val="005F0A8E"/>
    <w:rsid w:val="005F0C95"/>
    <w:rsid w:val="005F3575"/>
    <w:rsid w:val="005F35C6"/>
    <w:rsid w:val="005F4778"/>
    <w:rsid w:val="005F4A67"/>
    <w:rsid w:val="005F51E1"/>
    <w:rsid w:val="005F5937"/>
    <w:rsid w:val="005F5D0D"/>
    <w:rsid w:val="005F790E"/>
    <w:rsid w:val="00600677"/>
    <w:rsid w:val="00600B34"/>
    <w:rsid w:val="0060106C"/>
    <w:rsid w:val="00602C52"/>
    <w:rsid w:val="00602F8C"/>
    <w:rsid w:val="00603032"/>
    <w:rsid w:val="0060379E"/>
    <w:rsid w:val="00604400"/>
    <w:rsid w:val="006052D7"/>
    <w:rsid w:val="00605759"/>
    <w:rsid w:val="00605D39"/>
    <w:rsid w:val="00605F6F"/>
    <w:rsid w:val="00606092"/>
    <w:rsid w:val="0060716E"/>
    <w:rsid w:val="006074DC"/>
    <w:rsid w:val="00610015"/>
    <w:rsid w:val="00610A64"/>
    <w:rsid w:val="00610BB0"/>
    <w:rsid w:val="00611502"/>
    <w:rsid w:val="00611D1A"/>
    <w:rsid w:val="00612AC7"/>
    <w:rsid w:val="006133FF"/>
    <w:rsid w:val="0061385C"/>
    <w:rsid w:val="0061408D"/>
    <w:rsid w:val="006142B9"/>
    <w:rsid w:val="00614782"/>
    <w:rsid w:val="00614A5F"/>
    <w:rsid w:val="00614FB6"/>
    <w:rsid w:val="006157CB"/>
    <w:rsid w:val="00615A81"/>
    <w:rsid w:val="00616F68"/>
    <w:rsid w:val="006176AD"/>
    <w:rsid w:val="00617CF2"/>
    <w:rsid w:val="006204B6"/>
    <w:rsid w:val="0062079F"/>
    <w:rsid w:val="0062186C"/>
    <w:rsid w:val="00621F57"/>
    <w:rsid w:val="00622417"/>
    <w:rsid w:val="00622C7C"/>
    <w:rsid w:val="0062358C"/>
    <w:rsid w:val="006235E9"/>
    <w:rsid w:val="0062373F"/>
    <w:rsid w:val="00623800"/>
    <w:rsid w:val="00623ACE"/>
    <w:rsid w:val="00623FA7"/>
    <w:rsid w:val="00624A5F"/>
    <w:rsid w:val="00626B4A"/>
    <w:rsid w:val="0062712D"/>
    <w:rsid w:val="0063057F"/>
    <w:rsid w:val="0063099A"/>
    <w:rsid w:val="00630E4F"/>
    <w:rsid w:val="00631E67"/>
    <w:rsid w:val="0063273A"/>
    <w:rsid w:val="00632BF5"/>
    <w:rsid w:val="00633DB2"/>
    <w:rsid w:val="00634067"/>
    <w:rsid w:val="00634136"/>
    <w:rsid w:val="0063440E"/>
    <w:rsid w:val="00634A4E"/>
    <w:rsid w:val="00636131"/>
    <w:rsid w:val="006362E1"/>
    <w:rsid w:val="00636C2E"/>
    <w:rsid w:val="00637513"/>
    <w:rsid w:val="0063792A"/>
    <w:rsid w:val="0064000C"/>
    <w:rsid w:val="00641EB3"/>
    <w:rsid w:val="00642A87"/>
    <w:rsid w:val="00642CE8"/>
    <w:rsid w:val="00643894"/>
    <w:rsid w:val="0064393D"/>
    <w:rsid w:val="006449D2"/>
    <w:rsid w:val="00644A5D"/>
    <w:rsid w:val="00645303"/>
    <w:rsid w:val="006459B5"/>
    <w:rsid w:val="00646624"/>
    <w:rsid w:val="00646FD5"/>
    <w:rsid w:val="0064759F"/>
    <w:rsid w:val="00647F83"/>
    <w:rsid w:val="0065032C"/>
    <w:rsid w:val="00650437"/>
    <w:rsid w:val="006515D6"/>
    <w:rsid w:val="00651843"/>
    <w:rsid w:val="00651F47"/>
    <w:rsid w:val="006526CC"/>
    <w:rsid w:val="00652A08"/>
    <w:rsid w:val="00652A22"/>
    <w:rsid w:val="00653B3E"/>
    <w:rsid w:val="00653CE1"/>
    <w:rsid w:val="00653DAF"/>
    <w:rsid w:val="00655855"/>
    <w:rsid w:val="00655E13"/>
    <w:rsid w:val="006560C2"/>
    <w:rsid w:val="0065757B"/>
    <w:rsid w:val="0065799B"/>
    <w:rsid w:val="00657DEA"/>
    <w:rsid w:val="006612E2"/>
    <w:rsid w:val="00662105"/>
    <w:rsid w:val="006627D4"/>
    <w:rsid w:val="00662EDB"/>
    <w:rsid w:val="00663358"/>
    <w:rsid w:val="00664964"/>
    <w:rsid w:val="00664A45"/>
    <w:rsid w:val="00664DAA"/>
    <w:rsid w:val="00664E27"/>
    <w:rsid w:val="00665296"/>
    <w:rsid w:val="00665DF1"/>
    <w:rsid w:val="00666317"/>
    <w:rsid w:val="00666493"/>
    <w:rsid w:val="00666A75"/>
    <w:rsid w:val="00666BEC"/>
    <w:rsid w:val="00667193"/>
    <w:rsid w:val="00667342"/>
    <w:rsid w:val="0066749F"/>
    <w:rsid w:val="00667831"/>
    <w:rsid w:val="0067084B"/>
    <w:rsid w:val="00670911"/>
    <w:rsid w:val="006714BE"/>
    <w:rsid w:val="00671757"/>
    <w:rsid w:val="006717DD"/>
    <w:rsid w:val="00671951"/>
    <w:rsid w:val="00672856"/>
    <w:rsid w:val="00672AB8"/>
    <w:rsid w:val="006739D1"/>
    <w:rsid w:val="006746F0"/>
    <w:rsid w:val="0067486C"/>
    <w:rsid w:val="00674A8D"/>
    <w:rsid w:val="006752D2"/>
    <w:rsid w:val="006754D0"/>
    <w:rsid w:val="006754F8"/>
    <w:rsid w:val="006756C0"/>
    <w:rsid w:val="0067572F"/>
    <w:rsid w:val="00676496"/>
    <w:rsid w:val="0067710C"/>
    <w:rsid w:val="00677E4E"/>
    <w:rsid w:val="00680BD6"/>
    <w:rsid w:val="00680BEF"/>
    <w:rsid w:val="00681AD5"/>
    <w:rsid w:val="00682107"/>
    <w:rsid w:val="006826E3"/>
    <w:rsid w:val="00683EB1"/>
    <w:rsid w:val="00684037"/>
    <w:rsid w:val="006842E1"/>
    <w:rsid w:val="00684C2D"/>
    <w:rsid w:val="006858B9"/>
    <w:rsid w:val="0068673A"/>
    <w:rsid w:val="006868D6"/>
    <w:rsid w:val="00686FF9"/>
    <w:rsid w:val="00690021"/>
    <w:rsid w:val="006900A8"/>
    <w:rsid w:val="006907A5"/>
    <w:rsid w:val="0069132C"/>
    <w:rsid w:val="00691C92"/>
    <w:rsid w:val="006926D5"/>
    <w:rsid w:val="00692B65"/>
    <w:rsid w:val="006948CE"/>
    <w:rsid w:val="00694F71"/>
    <w:rsid w:val="00695056"/>
    <w:rsid w:val="0069581F"/>
    <w:rsid w:val="0069679E"/>
    <w:rsid w:val="006970D9"/>
    <w:rsid w:val="0069726F"/>
    <w:rsid w:val="006973AE"/>
    <w:rsid w:val="00697729"/>
    <w:rsid w:val="006A0272"/>
    <w:rsid w:val="006A1BA1"/>
    <w:rsid w:val="006A2A2D"/>
    <w:rsid w:val="006A3D02"/>
    <w:rsid w:val="006A3F4A"/>
    <w:rsid w:val="006A4F65"/>
    <w:rsid w:val="006A5022"/>
    <w:rsid w:val="006A51AD"/>
    <w:rsid w:val="006A5267"/>
    <w:rsid w:val="006A5785"/>
    <w:rsid w:val="006A5A1C"/>
    <w:rsid w:val="006A5F30"/>
    <w:rsid w:val="006A645A"/>
    <w:rsid w:val="006A75E2"/>
    <w:rsid w:val="006A7735"/>
    <w:rsid w:val="006A797F"/>
    <w:rsid w:val="006B0640"/>
    <w:rsid w:val="006B1B51"/>
    <w:rsid w:val="006B3063"/>
    <w:rsid w:val="006B312A"/>
    <w:rsid w:val="006B3B86"/>
    <w:rsid w:val="006B3BC4"/>
    <w:rsid w:val="006B3C87"/>
    <w:rsid w:val="006B3D97"/>
    <w:rsid w:val="006B57D8"/>
    <w:rsid w:val="006B5C79"/>
    <w:rsid w:val="006B664D"/>
    <w:rsid w:val="006B6E75"/>
    <w:rsid w:val="006B761E"/>
    <w:rsid w:val="006B78E4"/>
    <w:rsid w:val="006B79F1"/>
    <w:rsid w:val="006C008A"/>
    <w:rsid w:val="006C03BB"/>
    <w:rsid w:val="006C04DB"/>
    <w:rsid w:val="006C1D0E"/>
    <w:rsid w:val="006C344C"/>
    <w:rsid w:val="006C5334"/>
    <w:rsid w:val="006C53EA"/>
    <w:rsid w:val="006C588E"/>
    <w:rsid w:val="006C5CC9"/>
    <w:rsid w:val="006C644C"/>
    <w:rsid w:val="006C67CB"/>
    <w:rsid w:val="006D154B"/>
    <w:rsid w:val="006D1D41"/>
    <w:rsid w:val="006D22E1"/>
    <w:rsid w:val="006D3632"/>
    <w:rsid w:val="006D3B27"/>
    <w:rsid w:val="006D3EB4"/>
    <w:rsid w:val="006D4A66"/>
    <w:rsid w:val="006D4CF3"/>
    <w:rsid w:val="006D50FE"/>
    <w:rsid w:val="006D5595"/>
    <w:rsid w:val="006D5B43"/>
    <w:rsid w:val="006D6D97"/>
    <w:rsid w:val="006D6E8C"/>
    <w:rsid w:val="006D790D"/>
    <w:rsid w:val="006D7FE2"/>
    <w:rsid w:val="006E0BF9"/>
    <w:rsid w:val="006E0CDA"/>
    <w:rsid w:val="006E193A"/>
    <w:rsid w:val="006E1E0E"/>
    <w:rsid w:val="006E1F61"/>
    <w:rsid w:val="006E2446"/>
    <w:rsid w:val="006E2896"/>
    <w:rsid w:val="006E328A"/>
    <w:rsid w:val="006E367C"/>
    <w:rsid w:val="006E4232"/>
    <w:rsid w:val="006E4E07"/>
    <w:rsid w:val="006E52DA"/>
    <w:rsid w:val="006E6BFB"/>
    <w:rsid w:val="006E6F1E"/>
    <w:rsid w:val="006E7763"/>
    <w:rsid w:val="006F00CF"/>
    <w:rsid w:val="006F0552"/>
    <w:rsid w:val="006F0761"/>
    <w:rsid w:val="006F0831"/>
    <w:rsid w:val="006F12CB"/>
    <w:rsid w:val="006F14A8"/>
    <w:rsid w:val="006F174D"/>
    <w:rsid w:val="006F1D25"/>
    <w:rsid w:val="006F21D1"/>
    <w:rsid w:val="006F2458"/>
    <w:rsid w:val="006F290F"/>
    <w:rsid w:val="006F342A"/>
    <w:rsid w:val="006F423E"/>
    <w:rsid w:val="006F4633"/>
    <w:rsid w:val="006F47E2"/>
    <w:rsid w:val="006F4F79"/>
    <w:rsid w:val="006F5411"/>
    <w:rsid w:val="006F56C6"/>
    <w:rsid w:val="006F5AE5"/>
    <w:rsid w:val="006F601A"/>
    <w:rsid w:val="006F6125"/>
    <w:rsid w:val="006F6E77"/>
    <w:rsid w:val="006F7044"/>
    <w:rsid w:val="006F7A27"/>
    <w:rsid w:val="00700171"/>
    <w:rsid w:val="0070048B"/>
    <w:rsid w:val="007006E3"/>
    <w:rsid w:val="007039B8"/>
    <w:rsid w:val="00705025"/>
    <w:rsid w:val="00706D30"/>
    <w:rsid w:val="00706EA6"/>
    <w:rsid w:val="00707656"/>
    <w:rsid w:val="00707F69"/>
    <w:rsid w:val="0071044E"/>
    <w:rsid w:val="00710722"/>
    <w:rsid w:val="00710DFF"/>
    <w:rsid w:val="00711748"/>
    <w:rsid w:val="00711B79"/>
    <w:rsid w:val="00712463"/>
    <w:rsid w:val="0071296B"/>
    <w:rsid w:val="00712A71"/>
    <w:rsid w:val="00712B21"/>
    <w:rsid w:val="00712B6B"/>
    <w:rsid w:val="00713056"/>
    <w:rsid w:val="00713188"/>
    <w:rsid w:val="00713F7C"/>
    <w:rsid w:val="00714069"/>
    <w:rsid w:val="0071431C"/>
    <w:rsid w:val="007145B5"/>
    <w:rsid w:val="00714778"/>
    <w:rsid w:val="00715F72"/>
    <w:rsid w:val="00717481"/>
    <w:rsid w:val="007203AD"/>
    <w:rsid w:val="00720657"/>
    <w:rsid w:val="00720792"/>
    <w:rsid w:val="00720FC5"/>
    <w:rsid w:val="00722D87"/>
    <w:rsid w:val="00723ED8"/>
    <w:rsid w:val="00724945"/>
    <w:rsid w:val="00724DE4"/>
    <w:rsid w:val="00725615"/>
    <w:rsid w:val="0072561C"/>
    <w:rsid w:val="0072567A"/>
    <w:rsid w:val="007267ED"/>
    <w:rsid w:val="00726C26"/>
    <w:rsid w:val="00727664"/>
    <w:rsid w:val="0073012E"/>
    <w:rsid w:val="007317F8"/>
    <w:rsid w:val="00732B53"/>
    <w:rsid w:val="00733792"/>
    <w:rsid w:val="00733A8E"/>
    <w:rsid w:val="0073421B"/>
    <w:rsid w:val="0073466B"/>
    <w:rsid w:val="00734675"/>
    <w:rsid w:val="0073536E"/>
    <w:rsid w:val="0073592F"/>
    <w:rsid w:val="00735E95"/>
    <w:rsid w:val="007375E8"/>
    <w:rsid w:val="007375F9"/>
    <w:rsid w:val="00737976"/>
    <w:rsid w:val="007403BD"/>
    <w:rsid w:val="00740678"/>
    <w:rsid w:val="0074156A"/>
    <w:rsid w:val="00742C35"/>
    <w:rsid w:val="00742CDA"/>
    <w:rsid w:val="00743340"/>
    <w:rsid w:val="007435F7"/>
    <w:rsid w:val="00743D4F"/>
    <w:rsid w:val="00743E95"/>
    <w:rsid w:val="007447ED"/>
    <w:rsid w:val="007457CF"/>
    <w:rsid w:val="0074743F"/>
    <w:rsid w:val="00747FDC"/>
    <w:rsid w:val="00750952"/>
    <w:rsid w:val="007511BF"/>
    <w:rsid w:val="0075125E"/>
    <w:rsid w:val="00752DAD"/>
    <w:rsid w:val="00752E9B"/>
    <w:rsid w:val="00753719"/>
    <w:rsid w:val="00753E6D"/>
    <w:rsid w:val="0075441D"/>
    <w:rsid w:val="007556ED"/>
    <w:rsid w:val="0075743F"/>
    <w:rsid w:val="0075788C"/>
    <w:rsid w:val="007578BD"/>
    <w:rsid w:val="0076045E"/>
    <w:rsid w:val="00760DB5"/>
    <w:rsid w:val="007611C5"/>
    <w:rsid w:val="007613F6"/>
    <w:rsid w:val="00762751"/>
    <w:rsid w:val="00763182"/>
    <w:rsid w:val="00764125"/>
    <w:rsid w:val="007650CC"/>
    <w:rsid w:val="007661FD"/>
    <w:rsid w:val="007662E9"/>
    <w:rsid w:val="00766AC7"/>
    <w:rsid w:val="00766DD4"/>
    <w:rsid w:val="00767344"/>
    <w:rsid w:val="007675A5"/>
    <w:rsid w:val="00767AF3"/>
    <w:rsid w:val="00767C74"/>
    <w:rsid w:val="00770F36"/>
    <w:rsid w:val="00771726"/>
    <w:rsid w:val="00773008"/>
    <w:rsid w:val="00773531"/>
    <w:rsid w:val="0077356D"/>
    <w:rsid w:val="00773D99"/>
    <w:rsid w:val="00774820"/>
    <w:rsid w:val="00774A87"/>
    <w:rsid w:val="00775015"/>
    <w:rsid w:val="0077606A"/>
    <w:rsid w:val="00776EA2"/>
    <w:rsid w:val="00780B66"/>
    <w:rsid w:val="0078296D"/>
    <w:rsid w:val="007830A7"/>
    <w:rsid w:val="007830B2"/>
    <w:rsid w:val="007833E4"/>
    <w:rsid w:val="0078368D"/>
    <w:rsid w:val="00783704"/>
    <w:rsid w:val="00783DB6"/>
    <w:rsid w:val="0078466E"/>
    <w:rsid w:val="00784F98"/>
    <w:rsid w:val="00785186"/>
    <w:rsid w:val="00785FF0"/>
    <w:rsid w:val="00786A11"/>
    <w:rsid w:val="0078776F"/>
    <w:rsid w:val="00787772"/>
    <w:rsid w:val="007879CC"/>
    <w:rsid w:val="00787FEE"/>
    <w:rsid w:val="00791F9B"/>
    <w:rsid w:val="0079207C"/>
    <w:rsid w:val="00792517"/>
    <w:rsid w:val="00792819"/>
    <w:rsid w:val="007928CD"/>
    <w:rsid w:val="007928D7"/>
    <w:rsid w:val="00793266"/>
    <w:rsid w:val="007947CF"/>
    <w:rsid w:val="007951D5"/>
    <w:rsid w:val="00796B6D"/>
    <w:rsid w:val="00796D57"/>
    <w:rsid w:val="00796E1A"/>
    <w:rsid w:val="00797678"/>
    <w:rsid w:val="0079768B"/>
    <w:rsid w:val="00797D9B"/>
    <w:rsid w:val="007A01F4"/>
    <w:rsid w:val="007A0393"/>
    <w:rsid w:val="007A0DA5"/>
    <w:rsid w:val="007A14D8"/>
    <w:rsid w:val="007A1C2C"/>
    <w:rsid w:val="007A242B"/>
    <w:rsid w:val="007A27C6"/>
    <w:rsid w:val="007A3362"/>
    <w:rsid w:val="007A386B"/>
    <w:rsid w:val="007A3B03"/>
    <w:rsid w:val="007A49E7"/>
    <w:rsid w:val="007A5931"/>
    <w:rsid w:val="007A5933"/>
    <w:rsid w:val="007A6193"/>
    <w:rsid w:val="007A6341"/>
    <w:rsid w:val="007A7F09"/>
    <w:rsid w:val="007B045B"/>
    <w:rsid w:val="007B0F4D"/>
    <w:rsid w:val="007B132C"/>
    <w:rsid w:val="007B1C43"/>
    <w:rsid w:val="007B2305"/>
    <w:rsid w:val="007B277D"/>
    <w:rsid w:val="007B4B01"/>
    <w:rsid w:val="007B53DD"/>
    <w:rsid w:val="007B5749"/>
    <w:rsid w:val="007B71FC"/>
    <w:rsid w:val="007B72A2"/>
    <w:rsid w:val="007B752B"/>
    <w:rsid w:val="007C0384"/>
    <w:rsid w:val="007C08A1"/>
    <w:rsid w:val="007C08CE"/>
    <w:rsid w:val="007C0A56"/>
    <w:rsid w:val="007C0BB5"/>
    <w:rsid w:val="007C1195"/>
    <w:rsid w:val="007C1D91"/>
    <w:rsid w:val="007C27CC"/>
    <w:rsid w:val="007C2917"/>
    <w:rsid w:val="007C465C"/>
    <w:rsid w:val="007C47F8"/>
    <w:rsid w:val="007C5159"/>
    <w:rsid w:val="007C5678"/>
    <w:rsid w:val="007C5CB9"/>
    <w:rsid w:val="007C6F8B"/>
    <w:rsid w:val="007D0602"/>
    <w:rsid w:val="007D0E91"/>
    <w:rsid w:val="007D2FFA"/>
    <w:rsid w:val="007D3665"/>
    <w:rsid w:val="007D6A13"/>
    <w:rsid w:val="007D73B1"/>
    <w:rsid w:val="007D746A"/>
    <w:rsid w:val="007D79F6"/>
    <w:rsid w:val="007E0264"/>
    <w:rsid w:val="007E04E6"/>
    <w:rsid w:val="007E1E11"/>
    <w:rsid w:val="007E228B"/>
    <w:rsid w:val="007E26DC"/>
    <w:rsid w:val="007E289D"/>
    <w:rsid w:val="007E457B"/>
    <w:rsid w:val="007E45DC"/>
    <w:rsid w:val="007E4EAD"/>
    <w:rsid w:val="007E6560"/>
    <w:rsid w:val="007E668F"/>
    <w:rsid w:val="007E69C2"/>
    <w:rsid w:val="007E6BB1"/>
    <w:rsid w:val="007E73ED"/>
    <w:rsid w:val="007E740C"/>
    <w:rsid w:val="007E7C4E"/>
    <w:rsid w:val="007E7E0C"/>
    <w:rsid w:val="007F14B3"/>
    <w:rsid w:val="007F22A5"/>
    <w:rsid w:val="007F2BAA"/>
    <w:rsid w:val="007F3000"/>
    <w:rsid w:val="007F4030"/>
    <w:rsid w:val="007F5E47"/>
    <w:rsid w:val="007F681D"/>
    <w:rsid w:val="007F6D39"/>
    <w:rsid w:val="007F7170"/>
    <w:rsid w:val="00800A18"/>
    <w:rsid w:val="00800DFB"/>
    <w:rsid w:val="008014E3"/>
    <w:rsid w:val="00801CA1"/>
    <w:rsid w:val="00801D69"/>
    <w:rsid w:val="00802AA4"/>
    <w:rsid w:val="00804248"/>
    <w:rsid w:val="00804861"/>
    <w:rsid w:val="00806113"/>
    <w:rsid w:val="00806707"/>
    <w:rsid w:val="00806B54"/>
    <w:rsid w:val="008104A2"/>
    <w:rsid w:val="00810B9C"/>
    <w:rsid w:val="008113C5"/>
    <w:rsid w:val="0081213C"/>
    <w:rsid w:val="008124FE"/>
    <w:rsid w:val="00813809"/>
    <w:rsid w:val="0081399D"/>
    <w:rsid w:val="008149AB"/>
    <w:rsid w:val="00814DB5"/>
    <w:rsid w:val="00814E8F"/>
    <w:rsid w:val="008167AA"/>
    <w:rsid w:val="00816B76"/>
    <w:rsid w:val="00817127"/>
    <w:rsid w:val="00817E92"/>
    <w:rsid w:val="00817F14"/>
    <w:rsid w:val="008206B5"/>
    <w:rsid w:val="008208F7"/>
    <w:rsid w:val="00821CE1"/>
    <w:rsid w:val="00822346"/>
    <w:rsid w:val="008228BF"/>
    <w:rsid w:val="008230C9"/>
    <w:rsid w:val="0082310D"/>
    <w:rsid w:val="008235AA"/>
    <w:rsid w:val="00824435"/>
    <w:rsid w:val="00824EA9"/>
    <w:rsid w:val="00825AB5"/>
    <w:rsid w:val="00827207"/>
    <w:rsid w:val="00827C14"/>
    <w:rsid w:val="00827D7A"/>
    <w:rsid w:val="008305C8"/>
    <w:rsid w:val="00830D4D"/>
    <w:rsid w:val="00830E29"/>
    <w:rsid w:val="0083139E"/>
    <w:rsid w:val="00831F71"/>
    <w:rsid w:val="00833289"/>
    <w:rsid w:val="0083459A"/>
    <w:rsid w:val="008345A1"/>
    <w:rsid w:val="00834C36"/>
    <w:rsid w:val="00834C61"/>
    <w:rsid w:val="00834E54"/>
    <w:rsid w:val="0083525D"/>
    <w:rsid w:val="00835994"/>
    <w:rsid w:val="00835AF1"/>
    <w:rsid w:val="00836376"/>
    <w:rsid w:val="0083679F"/>
    <w:rsid w:val="00836C73"/>
    <w:rsid w:val="008372F9"/>
    <w:rsid w:val="0083744B"/>
    <w:rsid w:val="00837ACA"/>
    <w:rsid w:val="00841447"/>
    <w:rsid w:val="00842085"/>
    <w:rsid w:val="00842894"/>
    <w:rsid w:val="00842BC5"/>
    <w:rsid w:val="00843178"/>
    <w:rsid w:val="0084326E"/>
    <w:rsid w:val="008438E9"/>
    <w:rsid w:val="00844820"/>
    <w:rsid w:val="00844988"/>
    <w:rsid w:val="00845453"/>
    <w:rsid w:val="00845A5A"/>
    <w:rsid w:val="0084677D"/>
    <w:rsid w:val="00846DA2"/>
    <w:rsid w:val="00847223"/>
    <w:rsid w:val="00847DA0"/>
    <w:rsid w:val="00850469"/>
    <w:rsid w:val="00850577"/>
    <w:rsid w:val="00850AFB"/>
    <w:rsid w:val="0085160C"/>
    <w:rsid w:val="00851AB0"/>
    <w:rsid w:val="00852E58"/>
    <w:rsid w:val="00853366"/>
    <w:rsid w:val="00853587"/>
    <w:rsid w:val="00853DA2"/>
    <w:rsid w:val="00854735"/>
    <w:rsid w:val="0085499A"/>
    <w:rsid w:val="00854C9D"/>
    <w:rsid w:val="00855172"/>
    <w:rsid w:val="008576FB"/>
    <w:rsid w:val="00861337"/>
    <w:rsid w:val="008613D0"/>
    <w:rsid w:val="00861DC6"/>
    <w:rsid w:val="00862022"/>
    <w:rsid w:val="00863CD1"/>
    <w:rsid w:val="00865AB0"/>
    <w:rsid w:val="008672BD"/>
    <w:rsid w:val="00867A07"/>
    <w:rsid w:val="00867ADE"/>
    <w:rsid w:val="00867C84"/>
    <w:rsid w:val="00867C9E"/>
    <w:rsid w:val="00870053"/>
    <w:rsid w:val="0087056F"/>
    <w:rsid w:val="00870726"/>
    <w:rsid w:val="00870CE7"/>
    <w:rsid w:val="00872185"/>
    <w:rsid w:val="008726FD"/>
    <w:rsid w:val="00872F01"/>
    <w:rsid w:val="00873744"/>
    <w:rsid w:val="008738D1"/>
    <w:rsid w:val="00873D7A"/>
    <w:rsid w:val="008746FC"/>
    <w:rsid w:val="0087528F"/>
    <w:rsid w:val="00875352"/>
    <w:rsid w:val="0087714A"/>
    <w:rsid w:val="00877377"/>
    <w:rsid w:val="00877DB0"/>
    <w:rsid w:val="00880C06"/>
    <w:rsid w:val="00880F1E"/>
    <w:rsid w:val="00880FD8"/>
    <w:rsid w:val="00881C91"/>
    <w:rsid w:val="00882BB4"/>
    <w:rsid w:val="00882F04"/>
    <w:rsid w:val="00882FF4"/>
    <w:rsid w:val="008838BC"/>
    <w:rsid w:val="0088492A"/>
    <w:rsid w:val="00884A01"/>
    <w:rsid w:val="00885D04"/>
    <w:rsid w:val="00886DCC"/>
    <w:rsid w:val="008870B6"/>
    <w:rsid w:val="00887A12"/>
    <w:rsid w:val="008901FF"/>
    <w:rsid w:val="00891BD8"/>
    <w:rsid w:val="00892402"/>
    <w:rsid w:val="008930D1"/>
    <w:rsid w:val="008937B4"/>
    <w:rsid w:val="00893853"/>
    <w:rsid w:val="008948E6"/>
    <w:rsid w:val="0089492A"/>
    <w:rsid w:val="00895C45"/>
    <w:rsid w:val="00895D91"/>
    <w:rsid w:val="008968EE"/>
    <w:rsid w:val="00897A3C"/>
    <w:rsid w:val="00897A78"/>
    <w:rsid w:val="00897C4D"/>
    <w:rsid w:val="008A089D"/>
    <w:rsid w:val="008A33E2"/>
    <w:rsid w:val="008A33EA"/>
    <w:rsid w:val="008A3C46"/>
    <w:rsid w:val="008A3CEE"/>
    <w:rsid w:val="008A3EDE"/>
    <w:rsid w:val="008A46AF"/>
    <w:rsid w:val="008A5941"/>
    <w:rsid w:val="008A6E28"/>
    <w:rsid w:val="008A7006"/>
    <w:rsid w:val="008A754F"/>
    <w:rsid w:val="008B05F5"/>
    <w:rsid w:val="008B0A52"/>
    <w:rsid w:val="008B3C1F"/>
    <w:rsid w:val="008B403B"/>
    <w:rsid w:val="008B4966"/>
    <w:rsid w:val="008B4B2B"/>
    <w:rsid w:val="008B5FD2"/>
    <w:rsid w:val="008B60D3"/>
    <w:rsid w:val="008B65FC"/>
    <w:rsid w:val="008B6AAF"/>
    <w:rsid w:val="008B73A5"/>
    <w:rsid w:val="008B75C0"/>
    <w:rsid w:val="008C00BB"/>
    <w:rsid w:val="008C063A"/>
    <w:rsid w:val="008C07CE"/>
    <w:rsid w:val="008C0923"/>
    <w:rsid w:val="008C092B"/>
    <w:rsid w:val="008C1BD6"/>
    <w:rsid w:val="008C237B"/>
    <w:rsid w:val="008C2FBD"/>
    <w:rsid w:val="008C364C"/>
    <w:rsid w:val="008C36F6"/>
    <w:rsid w:val="008C3A61"/>
    <w:rsid w:val="008C4057"/>
    <w:rsid w:val="008C4104"/>
    <w:rsid w:val="008C47C0"/>
    <w:rsid w:val="008C596E"/>
    <w:rsid w:val="008C5EA0"/>
    <w:rsid w:val="008C696D"/>
    <w:rsid w:val="008C7E5B"/>
    <w:rsid w:val="008D04C6"/>
    <w:rsid w:val="008D0619"/>
    <w:rsid w:val="008D0CC4"/>
    <w:rsid w:val="008D1344"/>
    <w:rsid w:val="008D13B4"/>
    <w:rsid w:val="008D1661"/>
    <w:rsid w:val="008D1751"/>
    <w:rsid w:val="008D2399"/>
    <w:rsid w:val="008D267E"/>
    <w:rsid w:val="008D2960"/>
    <w:rsid w:val="008D2EE7"/>
    <w:rsid w:val="008D2FCD"/>
    <w:rsid w:val="008D31A3"/>
    <w:rsid w:val="008D457D"/>
    <w:rsid w:val="008D61CD"/>
    <w:rsid w:val="008D6457"/>
    <w:rsid w:val="008D6820"/>
    <w:rsid w:val="008D7CAA"/>
    <w:rsid w:val="008D7EDC"/>
    <w:rsid w:val="008E0172"/>
    <w:rsid w:val="008E027B"/>
    <w:rsid w:val="008E0460"/>
    <w:rsid w:val="008E12DC"/>
    <w:rsid w:val="008E14E5"/>
    <w:rsid w:val="008E2128"/>
    <w:rsid w:val="008E21B2"/>
    <w:rsid w:val="008E21C6"/>
    <w:rsid w:val="008E26C3"/>
    <w:rsid w:val="008E2A68"/>
    <w:rsid w:val="008E2DD5"/>
    <w:rsid w:val="008E3248"/>
    <w:rsid w:val="008E338A"/>
    <w:rsid w:val="008E4A58"/>
    <w:rsid w:val="008E531C"/>
    <w:rsid w:val="008E6331"/>
    <w:rsid w:val="008E7875"/>
    <w:rsid w:val="008E7D63"/>
    <w:rsid w:val="008F05AC"/>
    <w:rsid w:val="008F2C49"/>
    <w:rsid w:val="008F33AD"/>
    <w:rsid w:val="008F449F"/>
    <w:rsid w:val="008F4FBE"/>
    <w:rsid w:val="008F51CB"/>
    <w:rsid w:val="008F575A"/>
    <w:rsid w:val="008F5D00"/>
    <w:rsid w:val="009000A1"/>
    <w:rsid w:val="00900703"/>
    <w:rsid w:val="00902351"/>
    <w:rsid w:val="00902E05"/>
    <w:rsid w:val="00902EB3"/>
    <w:rsid w:val="00903725"/>
    <w:rsid w:val="009042C8"/>
    <w:rsid w:val="009056D2"/>
    <w:rsid w:val="00905AF6"/>
    <w:rsid w:val="00905CF0"/>
    <w:rsid w:val="00905E31"/>
    <w:rsid w:val="00905FB0"/>
    <w:rsid w:val="00906537"/>
    <w:rsid w:val="009078F5"/>
    <w:rsid w:val="00907F41"/>
    <w:rsid w:val="00910BFB"/>
    <w:rsid w:val="0091175D"/>
    <w:rsid w:val="00911CDD"/>
    <w:rsid w:val="00911F21"/>
    <w:rsid w:val="009123FB"/>
    <w:rsid w:val="00913995"/>
    <w:rsid w:val="00916221"/>
    <w:rsid w:val="009162AA"/>
    <w:rsid w:val="009162EB"/>
    <w:rsid w:val="0091640C"/>
    <w:rsid w:val="00916BEF"/>
    <w:rsid w:val="009170D6"/>
    <w:rsid w:val="00917316"/>
    <w:rsid w:val="009179CB"/>
    <w:rsid w:val="00917D28"/>
    <w:rsid w:val="009201A3"/>
    <w:rsid w:val="00920A5A"/>
    <w:rsid w:val="00920D47"/>
    <w:rsid w:val="009216E0"/>
    <w:rsid w:val="0092202A"/>
    <w:rsid w:val="0092225B"/>
    <w:rsid w:val="0092269A"/>
    <w:rsid w:val="0092293D"/>
    <w:rsid w:val="00922B2D"/>
    <w:rsid w:val="00923593"/>
    <w:rsid w:val="009237FF"/>
    <w:rsid w:val="00924803"/>
    <w:rsid w:val="009248DA"/>
    <w:rsid w:val="009252F3"/>
    <w:rsid w:val="00930029"/>
    <w:rsid w:val="00930C0D"/>
    <w:rsid w:val="00930E7D"/>
    <w:rsid w:val="00932C28"/>
    <w:rsid w:val="00932D48"/>
    <w:rsid w:val="00932D50"/>
    <w:rsid w:val="00932DE6"/>
    <w:rsid w:val="00933075"/>
    <w:rsid w:val="00933096"/>
    <w:rsid w:val="009330E4"/>
    <w:rsid w:val="00933A27"/>
    <w:rsid w:val="00933C50"/>
    <w:rsid w:val="00933C55"/>
    <w:rsid w:val="00933FDB"/>
    <w:rsid w:val="0093464C"/>
    <w:rsid w:val="00934E60"/>
    <w:rsid w:val="00935CC7"/>
    <w:rsid w:val="009364C4"/>
    <w:rsid w:val="00936820"/>
    <w:rsid w:val="00937CE1"/>
    <w:rsid w:val="00940653"/>
    <w:rsid w:val="009408B0"/>
    <w:rsid w:val="00942807"/>
    <w:rsid w:val="00942E1D"/>
    <w:rsid w:val="0094397A"/>
    <w:rsid w:val="009440CE"/>
    <w:rsid w:val="00944225"/>
    <w:rsid w:val="0094429C"/>
    <w:rsid w:val="0094564F"/>
    <w:rsid w:val="00945FA0"/>
    <w:rsid w:val="00946510"/>
    <w:rsid w:val="0094653B"/>
    <w:rsid w:val="0094655F"/>
    <w:rsid w:val="00950ADC"/>
    <w:rsid w:val="00950E85"/>
    <w:rsid w:val="00951574"/>
    <w:rsid w:val="00951A33"/>
    <w:rsid w:val="00951AD8"/>
    <w:rsid w:val="0095254A"/>
    <w:rsid w:val="009528BE"/>
    <w:rsid w:val="00953753"/>
    <w:rsid w:val="00953B36"/>
    <w:rsid w:val="00953B63"/>
    <w:rsid w:val="0095405D"/>
    <w:rsid w:val="009549FC"/>
    <w:rsid w:val="00954A84"/>
    <w:rsid w:val="00954FF1"/>
    <w:rsid w:val="009552F7"/>
    <w:rsid w:val="00955953"/>
    <w:rsid w:val="00955A3A"/>
    <w:rsid w:val="00955A4A"/>
    <w:rsid w:val="00956308"/>
    <w:rsid w:val="00957BA8"/>
    <w:rsid w:val="00957CE4"/>
    <w:rsid w:val="009615A8"/>
    <w:rsid w:val="009620FE"/>
    <w:rsid w:val="009622CA"/>
    <w:rsid w:val="009633A5"/>
    <w:rsid w:val="009633DC"/>
    <w:rsid w:val="0096358F"/>
    <w:rsid w:val="0096557A"/>
    <w:rsid w:val="009658F3"/>
    <w:rsid w:val="00965D82"/>
    <w:rsid w:val="00966177"/>
    <w:rsid w:val="00966221"/>
    <w:rsid w:val="00967462"/>
    <w:rsid w:val="00967C42"/>
    <w:rsid w:val="00970BC0"/>
    <w:rsid w:val="00970E4D"/>
    <w:rsid w:val="0097130E"/>
    <w:rsid w:val="009713C7"/>
    <w:rsid w:val="009717EC"/>
    <w:rsid w:val="00971B00"/>
    <w:rsid w:val="0097211F"/>
    <w:rsid w:val="009725AE"/>
    <w:rsid w:val="00972950"/>
    <w:rsid w:val="0097345A"/>
    <w:rsid w:val="009740C4"/>
    <w:rsid w:val="00974EB0"/>
    <w:rsid w:val="0097717F"/>
    <w:rsid w:val="00977449"/>
    <w:rsid w:val="0097774C"/>
    <w:rsid w:val="009800C7"/>
    <w:rsid w:val="00981689"/>
    <w:rsid w:val="00982E6E"/>
    <w:rsid w:val="009830E3"/>
    <w:rsid w:val="009831A3"/>
    <w:rsid w:val="0098402F"/>
    <w:rsid w:val="0098458E"/>
    <w:rsid w:val="0098477F"/>
    <w:rsid w:val="009848CC"/>
    <w:rsid w:val="00985B3E"/>
    <w:rsid w:val="00985D5A"/>
    <w:rsid w:val="00986001"/>
    <w:rsid w:val="009869A2"/>
    <w:rsid w:val="009869E5"/>
    <w:rsid w:val="0098744E"/>
    <w:rsid w:val="009875BC"/>
    <w:rsid w:val="00990020"/>
    <w:rsid w:val="00990612"/>
    <w:rsid w:val="00990DA0"/>
    <w:rsid w:val="009925EA"/>
    <w:rsid w:val="0099278C"/>
    <w:rsid w:val="009927CE"/>
    <w:rsid w:val="00992996"/>
    <w:rsid w:val="00992B43"/>
    <w:rsid w:val="0099357C"/>
    <w:rsid w:val="00993DF5"/>
    <w:rsid w:val="00993E09"/>
    <w:rsid w:val="00994323"/>
    <w:rsid w:val="009946F0"/>
    <w:rsid w:val="0099489F"/>
    <w:rsid w:val="00994E81"/>
    <w:rsid w:val="009950A1"/>
    <w:rsid w:val="009953CA"/>
    <w:rsid w:val="00995DC8"/>
    <w:rsid w:val="00995FD6"/>
    <w:rsid w:val="009963E2"/>
    <w:rsid w:val="009972BE"/>
    <w:rsid w:val="009974E6"/>
    <w:rsid w:val="009A0A4C"/>
    <w:rsid w:val="009A0F75"/>
    <w:rsid w:val="009A1024"/>
    <w:rsid w:val="009A1321"/>
    <w:rsid w:val="009A1DC3"/>
    <w:rsid w:val="009A2125"/>
    <w:rsid w:val="009A27E1"/>
    <w:rsid w:val="009A29C8"/>
    <w:rsid w:val="009A4882"/>
    <w:rsid w:val="009A4F5A"/>
    <w:rsid w:val="009A57B6"/>
    <w:rsid w:val="009A65CD"/>
    <w:rsid w:val="009A73BF"/>
    <w:rsid w:val="009A7DAC"/>
    <w:rsid w:val="009B05BC"/>
    <w:rsid w:val="009B1A57"/>
    <w:rsid w:val="009B3036"/>
    <w:rsid w:val="009B342F"/>
    <w:rsid w:val="009B39F3"/>
    <w:rsid w:val="009B3FB7"/>
    <w:rsid w:val="009B4388"/>
    <w:rsid w:val="009B47BE"/>
    <w:rsid w:val="009B5011"/>
    <w:rsid w:val="009B5738"/>
    <w:rsid w:val="009B5E19"/>
    <w:rsid w:val="009C05A0"/>
    <w:rsid w:val="009C0788"/>
    <w:rsid w:val="009C07D2"/>
    <w:rsid w:val="009C2BF9"/>
    <w:rsid w:val="009C2D53"/>
    <w:rsid w:val="009C3E45"/>
    <w:rsid w:val="009C4037"/>
    <w:rsid w:val="009C4857"/>
    <w:rsid w:val="009C48A8"/>
    <w:rsid w:val="009C601D"/>
    <w:rsid w:val="009C64CF"/>
    <w:rsid w:val="009C6D8B"/>
    <w:rsid w:val="009D1B99"/>
    <w:rsid w:val="009D1C01"/>
    <w:rsid w:val="009D1E95"/>
    <w:rsid w:val="009D2212"/>
    <w:rsid w:val="009D2742"/>
    <w:rsid w:val="009D33A7"/>
    <w:rsid w:val="009D4B52"/>
    <w:rsid w:val="009D52F4"/>
    <w:rsid w:val="009D611A"/>
    <w:rsid w:val="009D63C9"/>
    <w:rsid w:val="009D6B76"/>
    <w:rsid w:val="009D6EB3"/>
    <w:rsid w:val="009D73B0"/>
    <w:rsid w:val="009E0AA0"/>
    <w:rsid w:val="009E15CC"/>
    <w:rsid w:val="009E17E5"/>
    <w:rsid w:val="009E1937"/>
    <w:rsid w:val="009E1CD6"/>
    <w:rsid w:val="009E25CF"/>
    <w:rsid w:val="009E2621"/>
    <w:rsid w:val="009E2C16"/>
    <w:rsid w:val="009E3501"/>
    <w:rsid w:val="009E3EA9"/>
    <w:rsid w:val="009E4C09"/>
    <w:rsid w:val="009E52BF"/>
    <w:rsid w:val="009E610F"/>
    <w:rsid w:val="009E666C"/>
    <w:rsid w:val="009E668B"/>
    <w:rsid w:val="009E6C6B"/>
    <w:rsid w:val="009E7E17"/>
    <w:rsid w:val="009E7E45"/>
    <w:rsid w:val="009F03FD"/>
    <w:rsid w:val="009F16A0"/>
    <w:rsid w:val="009F1881"/>
    <w:rsid w:val="009F38AA"/>
    <w:rsid w:val="009F41E7"/>
    <w:rsid w:val="009F43E7"/>
    <w:rsid w:val="009F4940"/>
    <w:rsid w:val="009F4B4B"/>
    <w:rsid w:val="009F5314"/>
    <w:rsid w:val="009F6E11"/>
    <w:rsid w:val="009F77B2"/>
    <w:rsid w:val="009F794A"/>
    <w:rsid w:val="009F7EA9"/>
    <w:rsid w:val="00A00277"/>
    <w:rsid w:val="00A00672"/>
    <w:rsid w:val="00A00EB7"/>
    <w:rsid w:val="00A010D8"/>
    <w:rsid w:val="00A01A7C"/>
    <w:rsid w:val="00A02A6A"/>
    <w:rsid w:val="00A0304A"/>
    <w:rsid w:val="00A0470B"/>
    <w:rsid w:val="00A049A2"/>
    <w:rsid w:val="00A06EE7"/>
    <w:rsid w:val="00A1022C"/>
    <w:rsid w:val="00A10645"/>
    <w:rsid w:val="00A10BF5"/>
    <w:rsid w:val="00A13AED"/>
    <w:rsid w:val="00A14E77"/>
    <w:rsid w:val="00A14EAE"/>
    <w:rsid w:val="00A14F81"/>
    <w:rsid w:val="00A172FB"/>
    <w:rsid w:val="00A178B0"/>
    <w:rsid w:val="00A20B80"/>
    <w:rsid w:val="00A2101B"/>
    <w:rsid w:val="00A21934"/>
    <w:rsid w:val="00A21A6B"/>
    <w:rsid w:val="00A21E2F"/>
    <w:rsid w:val="00A221E7"/>
    <w:rsid w:val="00A22E8D"/>
    <w:rsid w:val="00A2318B"/>
    <w:rsid w:val="00A231C0"/>
    <w:rsid w:val="00A23A52"/>
    <w:rsid w:val="00A2473D"/>
    <w:rsid w:val="00A252BC"/>
    <w:rsid w:val="00A254CA"/>
    <w:rsid w:val="00A2552A"/>
    <w:rsid w:val="00A259AE"/>
    <w:rsid w:val="00A27AD7"/>
    <w:rsid w:val="00A27FCD"/>
    <w:rsid w:val="00A30C0B"/>
    <w:rsid w:val="00A31248"/>
    <w:rsid w:val="00A31836"/>
    <w:rsid w:val="00A321D3"/>
    <w:rsid w:val="00A331D5"/>
    <w:rsid w:val="00A335EF"/>
    <w:rsid w:val="00A33792"/>
    <w:rsid w:val="00A34B5E"/>
    <w:rsid w:val="00A35D7C"/>
    <w:rsid w:val="00A36851"/>
    <w:rsid w:val="00A368DB"/>
    <w:rsid w:val="00A368FA"/>
    <w:rsid w:val="00A36FFE"/>
    <w:rsid w:val="00A3705A"/>
    <w:rsid w:val="00A37D5A"/>
    <w:rsid w:val="00A40C2B"/>
    <w:rsid w:val="00A40F98"/>
    <w:rsid w:val="00A41C32"/>
    <w:rsid w:val="00A41CAF"/>
    <w:rsid w:val="00A428AE"/>
    <w:rsid w:val="00A42D68"/>
    <w:rsid w:val="00A4310A"/>
    <w:rsid w:val="00A43B7E"/>
    <w:rsid w:val="00A44323"/>
    <w:rsid w:val="00A44E44"/>
    <w:rsid w:val="00A45028"/>
    <w:rsid w:val="00A4503D"/>
    <w:rsid w:val="00A45CCF"/>
    <w:rsid w:val="00A45CFE"/>
    <w:rsid w:val="00A460CE"/>
    <w:rsid w:val="00A4613E"/>
    <w:rsid w:val="00A4645F"/>
    <w:rsid w:val="00A46DAB"/>
    <w:rsid w:val="00A4740C"/>
    <w:rsid w:val="00A478B8"/>
    <w:rsid w:val="00A47BFD"/>
    <w:rsid w:val="00A47CBC"/>
    <w:rsid w:val="00A50322"/>
    <w:rsid w:val="00A5047F"/>
    <w:rsid w:val="00A50F8F"/>
    <w:rsid w:val="00A51270"/>
    <w:rsid w:val="00A5219E"/>
    <w:rsid w:val="00A52B39"/>
    <w:rsid w:val="00A52E38"/>
    <w:rsid w:val="00A5346D"/>
    <w:rsid w:val="00A53BE8"/>
    <w:rsid w:val="00A54004"/>
    <w:rsid w:val="00A54A9E"/>
    <w:rsid w:val="00A54B0E"/>
    <w:rsid w:val="00A55E1C"/>
    <w:rsid w:val="00A561C7"/>
    <w:rsid w:val="00A5699F"/>
    <w:rsid w:val="00A570E9"/>
    <w:rsid w:val="00A57241"/>
    <w:rsid w:val="00A579BB"/>
    <w:rsid w:val="00A57B80"/>
    <w:rsid w:val="00A60096"/>
    <w:rsid w:val="00A60901"/>
    <w:rsid w:val="00A60F18"/>
    <w:rsid w:val="00A60F56"/>
    <w:rsid w:val="00A61028"/>
    <w:rsid w:val="00A617A0"/>
    <w:rsid w:val="00A61A32"/>
    <w:rsid w:val="00A62AAA"/>
    <w:rsid w:val="00A6364E"/>
    <w:rsid w:val="00A6382F"/>
    <w:rsid w:val="00A63906"/>
    <w:rsid w:val="00A64599"/>
    <w:rsid w:val="00A65584"/>
    <w:rsid w:val="00A65D3B"/>
    <w:rsid w:val="00A66E12"/>
    <w:rsid w:val="00A670CC"/>
    <w:rsid w:val="00A7004D"/>
    <w:rsid w:val="00A706A6"/>
    <w:rsid w:val="00A70E18"/>
    <w:rsid w:val="00A719AC"/>
    <w:rsid w:val="00A7252F"/>
    <w:rsid w:val="00A72575"/>
    <w:rsid w:val="00A7328F"/>
    <w:rsid w:val="00A73607"/>
    <w:rsid w:val="00A73C78"/>
    <w:rsid w:val="00A74662"/>
    <w:rsid w:val="00A75AA0"/>
    <w:rsid w:val="00A75B2A"/>
    <w:rsid w:val="00A75D46"/>
    <w:rsid w:val="00A75E59"/>
    <w:rsid w:val="00A76CF5"/>
    <w:rsid w:val="00A77DBF"/>
    <w:rsid w:val="00A77EA7"/>
    <w:rsid w:val="00A80C8A"/>
    <w:rsid w:val="00A81011"/>
    <w:rsid w:val="00A81462"/>
    <w:rsid w:val="00A819CF"/>
    <w:rsid w:val="00A83B77"/>
    <w:rsid w:val="00A85280"/>
    <w:rsid w:val="00A854D1"/>
    <w:rsid w:val="00A85F2D"/>
    <w:rsid w:val="00A8601D"/>
    <w:rsid w:val="00A8629B"/>
    <w:rsid w:val="00A8645C"/>
    <w:rsid w:val="00A864B0"/>
    <w:rsid w:val="00A90DF1"/>
    <w:rsid w:val="00A911D7"/>
    <w:rsid w:val="00A9187B"/>
    <w:rsid w:val="00A9283B"/>
    <w:rsid w:val="00A92B81"/>
    <w:rsid w:val="00A9302C"/>
    <w:rsid w:val="00A9320E"/>
    <w:rsid w:val="00A9356A"/>
    <w:rsid w:val="00A946C6"/>
    <w:rsid w:val="00A94874"/>
    <w:rsid w:val="00A94DB9"/>
    <w:rsid w:val="00A971A6"/>
    <w:rsid w:val="00AA09AA"/>
    <w:rsid w:val="00AA2552"/>
    <w:rsid w:val="00AA30FD"/>
    <w:rsid w:val="00AA39A6"/>
    <w:rsid w:val="00AA40BC"/>
    <w:rsid w:val="00AA4C5D"/>
    <w:rsid w:val="00AA5092"/>
    <w:rsid w:val="00AA5AD2"/>
    <w:rsid w:val="00AA6340"/>
    <w:rsid w:val="00AA675F"/>
    <w:rsid w:val="00AB046E"/>
    <w:rsid w:val="00AB055B"/>
    <w:rsid w:val="00AB07F4"/>
    <w:rsid w:val="00AB139E"/>
    <w:rsid w:val="00AB14E1"/>
    <w:rsid w:val="00AB16BD"/>
    <w:rsid w:val="00AB1C94"/>
    <w:rsid w:val="00AB2274"/>
    <w:rsid w:val="00AB22EC"/>
    <w:rsid w:val="00AB4858"/>
    <w:rsid w:val="00AB5F0D"/>
    <w:rsid w:val="00AB666E"/>
    <w:rsid w:val="00AB6F72"/>
    <w:rsid w:val="00AB6FBD"/>
    <w:rsid w:val="00AB704E"/>
    <w:rsid w:val="00AB748C"/>
    <w:rsid w:val="00AB76A9"/>
    <w:rsid w:val="00AB7A5D"/>
    <w:rsid w:val="00AC0463"/>
    <w:rsid w:val="00AC146C"/>
    <w:rsid w:val="00AC17BF"/>
    <w:rsid w:val="00AC1DC1"/>
    <w:rsid w:val="00AC25BD"/>
    <w:rsid w:val="00AC28B0"/>
    <w:rsid w:val="00AC359A"/>
    <w:rsid w:val="00AC3682"/>
    <w:rsid w:val="00AC40F8"/>
    <w:rsid w:val="00AC42DC"/>
    <w:rsid w:val="00AC4962"/>
    <w:rsid w:val="00AC4CCF"/>
    <w:rsid w:val="00AC4D66"/>
    <w:rsid w:val="00AC5737"/>
    <w:rsid w:val="00AC5BD3"/>
    <w:rsid w:val="00AC5BD8"/>
    <w:rsid w:val="00AC5D86"/>
    <w:rsid w:val="00AC6A13"/>
    <w:rsid w:val="00AC6D24"/>
    <w:rsid w:val="00AD02A5"/>
    <w:rsid w:val="00AD0C2A"/>
    <w:rsid w:val="00AD0CB6"/>
    <w:rsid w:val="00AD10C6"/>
    <w:rsid w:val="00AD2C7A"/>
    <w:rsid w:val="00AD3069"/>
    <w:rsid w:val="00AD31D2"/>
    <w:rsid w:val="00AD3B66"/>
    <w:rsid w:val="00AD3CEC"/>
    <w:rsid w:val="00AD3FCE"/>
    <w:rsid w:val="00AD40B7"/>
    <w:rsid w:val="00AD46F7"/>
    <w:rsid w:val="00AD5075"/>
    <w:rsid w:val="00AD5834"/>
    <w:rsid w:val="00AD74A8"/>
    <w:rsid w:val="00AD7FE0"/>
    <w:rsid w:val="00AE1437"/>
    <w:rsid w:val="00AE1804"/>
    <w:rsid w:val="00AE2F19"/>
    <w:rsid w:val="00AE3CDF"/>
    <w:rsid w:val="00AE3D12"/>
    <w:rsid w:val="00AE3F26"/>
    <w:rsid w:val="00AE404A"/>
    <w:rsid w:val="00AE430E"/>
    <w:rsid w:val="00AE439F"/>
    <w:rsid w:val="00AE4676"/>
    <w:rsid w:val="00AE515E"/>
    <w:rsid w:val="00AE5BAB"/>
    <w:rsid w:val="00AE6E02"/>
    <w:rsid w:val="00AE7B5E"/>
    <w:rsid w:val="00AF0076"/>
    <w:rsid w:val="00AF0E87"/>
    <w:rsid w:val="00AF28FC"/>
    <w:rsid w:val="00AF2FE7"/>
    <w:rsid w:val="00AF3032"/>
    <w:rsid w:val="00AF3493"/>
    <w:rsid w:val="00AF3746"/>
    <w:rsid w:val="00AF3B1F"/>
    <w:rsid w:val="00AF3ECD"/>
    <w:rsid w:val="00AF4820"/>
    <w:rsid w:val="00AF7B73"/>
    <w:rsid w:val="00B0057E"/>
    <w:rsid w:val="00B0079D"/>
    <w:rsid w:val="00B01F89"/>
    <w:rsid w:val="00B02876"/>
    <w:rsid w:val="00B03044"/>
    <w:rsid w:val="00B03150"/>
    <w:rsid w:val="00B03364"/>
    <w:rsid w:val="00B03381"/>
    <w:rsid w:val="00B05F24"/>
    <w:rsid w:val="00B064CC"/>
    <w:rsid w:val="00B06B01"/>
    <w:rsid w:val="00B06DD2"/>
    <w:rsid w:val="00B1007D"/>
    <w:rsid w:val="00B10205"/>
    <w:rsid w:val="00B102C4"/>
    <w:rsid w:val="00B10630"/>
    <w:rsid w:val="00B110A7"/>
    <w:rsid w:val="00B11103"/>
    <w:rsid w:val="00B11595"/>
    <w:rsid w:val="00B11D99"/>
    <w:rsid w:val="00B12107"/>
    <w:rsid w:val="00B12331"/>
    <w:rsid w:val="00B125D8"/>
    <w:rsid w:val="00B12A97"/>
    <w:rsid w:val="00B13A3D"/>
    <w:rsid w:val="00B13D0B"/>
    <w:rsid w:val="00B14A73"/>
    <w:rsid w:val="00B14D6A"/>
    <w:rsid w:val="00B15663"/>
    <w:rsid w:val="00B15D04"/>
    <w:rsid w:val="00B15DB4"/>
    <w:rsid w:val="00B16BCF"/>
    <w:rsid w:val="00B174FA"/>
    <w:rsid w:val="00B17BB7"/>
    <w:rsid w:val="00B202A5"/>
    <w:rsid w:val="00B202AF"/>
    <w:rsid w:val="00B205DE"/>
    <w:rsid w:val="00B20C2F"/>
    <w:rsid w:val="00B20D22"/>
    <w:rsid w:val="00B21107"/>
    <w:rsid w:val="00B21A04"/>
    <w:rsid w:val="00B2313B"/>
    <w:rsid w:val="00B23448"/>
    <w:rsid w:val="00B2360A"/>
    <w:rsid w:val="00B2369E"/>
    <w:rsid w:val="00B239B9"/>
    <w:rsid w:val="00B23BA2"/>
    <w:rsid w:val="00B24DB4"/>
    <w:rsid w:val="00B2570F"/>
    <w:rsid w:val="00B25AB5"/>
    <w:rsid w:val="00B25FA5"/>
    <w:rsid w:val="00B268ED"/>
    <w:rsid w:val="00B26991"/>
    <w:rsid w:val="00B2777F"/>
    <w:rsid w:val="00B31448"/>
    <w:rsid w:val="00B31A03"/>
    <w:rsid w:val="00B324A7"/>
    <w:rsid w:val="00B335AF"/>
    <w:rsid w:val="00B35001"/>
    <w:rsid w:val="00B364CD"/>
    <w:rsid w:val="00B4024C"/>
    <w:rsid w:val="00B40D5C"/>
    <w:rsid w:val="00B42278"/>
    <w:rsid w:val="00B4232D"/>
    <w:rsid w:val="00B42D87"/>
    <w:rsid w:val="00B42EB3"/>
    <w:rsid w:val="00B4308F"/>
    <w:rsid w:val="00B43EAE"/>
    <w:rsid w:val="00B44532"/>
    <w:rsid w:val="00B44D3A"/>
    <w:rsid w:val="00B45165"/>
    <w:rsid w:val="00B465F6"/>
    <w:rsid w:val="00B46714"/>
    <w:rsid w:val="00B46D18"/>
    <w:rsid w:val="00B47D90"/>
    <w:rsid w:val="00B5125B"/>
    <w:rsid w:val="00B516B5"/>
    <w:rsid w:val="00B523F7"/>
    <w:rsid w:val="00B5254E"/>
    <w:rsid w:val="00B52FD0"/>
    <w:rsid w:val="00B53086"/>
    <w:rsid w:val="00B53B49"/>
    <w:rsid w:val="00B54079"/>
    <w:rsid w:val="00B544E0"/>
    <w:rsid w:val="00B54E36"/>
    <w:rsid w:val="00B55109"/>
    <w:rsid w:val="00B55232"/>
    <w:rsid w:val="00B552C4"/>
    <w:rsid w:val="00B553F9"/>
    <w:rsid w:val="00B55415"/>
    <w:rsid w:val="00B55655"/>
    <w:rsid w:val="00B55AF6"/>
    <w:rsid w:val="00B56057"/>
    <w:rsid w:val="00B5683E"/>
    <w:rsid w:val="00B56B46"/>
    <w:rsid w:val="00B56F0E"/>
    <w:rsid w:val="00B57B9A"/>
    <w:rsid w:val="00B6042D"/>
    <w:rsid w:val="00B612B4"/>
    <w:rsid w:val="00B615FF"/>
    <w:rsid w:val="00B618C0"/>
    <w:rsid w:val="00B61A05"/>
    <w:rsid w:val="00B623C2"/>
    <w:rsid w:val="00B627FB"/>
    <w:rsid w:val="00B6285E"/>
    <w:rsid w:val="00B638D8"/>
    <w:rsid w:val="00B63B25"/>
    <w:rsid w:val="00B63D83"/>
    <w:rsid w:val="00B63F80"/>
    <w:rsid w:val="00B64D3B"/>
    <w:rsid w:val="00B65D26"/>
    <w:rsid w:val="00B65F23"/>
    <w:rsid w:val="00B66965"/>
    <w:rsid w:val="00B6739C"/>
    <w:rsid w:val="00B6745D"/>
    <w:rsid w:val="00B7037F"/>
    <w:rsid w:val="00B707AE"/>
    <w:rsid w:val="00B71A47"/>
    <w:rsid w:val="00B73418"/>
    <w:rsid w:val="00B738BE"/>
    <w:rsid w:val="00B73B2E"/>
    <w:rsid w:val="00B7556D"/>
    <w:rsid w:val="00B7587F"/>
    <w:rsid w:val="00B75CB3"/>
    <w:rsid w:val="00B76C0A"/>
    <w:rsid w:val="00B7753E"/>
    <w:rsid w:val="00B77E09"/>
    <w:rsid w:val="00B77E7E"/>
    <w:rsid w:val="00B807D7"/>
    <w:rsid w:val="00B80A72"/>
    <w:rsid w:val="00B80F7D"/>
    <w:rsid w:val="00B817DE"/>
    <w:rsid w:val="00B818FE"/>
    <w:rsid w:val="00B81B8B"/>
    <w:rsid w:val="00B825BB"/>
    <w:rsid w:val="00B82EB7"/>
    <w:rsid w:val="00B838AE"/>
    <w:rsid w:val="00B84B12"/>
    <w:rsid w:val="00B84BFC"/>
    <w:rsid w:val="00B84DF3"/>
    <w:rsid w:val="00B85233"/>
    <w:rsid w:val="00B8523C"/>
    <w:rsid w:val="00B856DE"/>
    <w:rsid w:val="00B857C9"/>
    <w:rsid w:val="00B85A2A"/>
    <w:rsid w:val="00B863C3"/>
    <w:rsid w:val="00B8760B"/>
    <w:rsid w:val="00B90745"/>
    <w:rsid w:val="00B931B9"/>
    <w:rsid w:val="00B931D9"/>
    <w:rsid w:val="00B93B64"/>
    <w:rsid w:val="00B94110"/>
    <w:rsid w:val="00B9457C"/>
    <w:rsid w:val="00B948C0"/>
    <w:rsid w:val="00B94D21"/>
    <w:rsid w:val="00B96568"/>
    <w:rsid w:val="00B975D4"/>
    <w:rsid w:val="00B97A7F"/>
    <w:rsid w:val="00B97C73"/>
    <w:rsid w:val="00BA0882"/>
    <w:rsid w:val="00BA0B19"/>
    <w:rsid w:val="00BA127C"/>
    <w:rsid w:val="00BA1800"/>
    <w:rsid w:val="00BA31B2"/>
    <w:rsid w:val="00BA36D6"/>
    <w:rsid w:val="00BA376D"/>
    <w:rsid w:val="00BA37C9"/>
    <w:rsid w:val="00BA3D93"/>
    <w:rsid w:val="00BA4CDA"/>
    <w:rsid w:val="00BA52E1"/>
    <w:rsid w:val="00BA5395"/>
    <w:rsid w:val="00BA6085"/>
    <w:rsid w:val="00BA60A8"/>
    <w:rsid w:val="00BA64B8"/>
    <w:rsid w:val="00BA6E10"/>
    <w:rsid w:val="00BA76E0"/>
    <w:rsid w:val="00BA79C5"/>
    <w:rsid w:val="00BB0F6F"/>
    <w:rsid w:val="00BB19B5"/>
    <w:rsid w:val="00BB1C7C"/>
    <w:rsid w:val="00BB25E0"/>
    <w:rsid w:val="00BB4410"/>
    <w:rsid w:val="00BB4422"/>
    <w:rsid w:val="00BB596D"/>
    <w:rsid w:val="00BB63B3"/>
    <w:rsid w:val="00BB72CC"/>
    <w:rsid w:val="00BB7657"/>
    <w:rsid w:val="00BB7BA8"/>
    <w:rsid w:val="00BB7E00"/>
    <w:rsid w:val="00BC0C8B"/>
    <w:rsid w:val="00BC0E68"/>
    <w:rsid w:val="00BC1A2B"/>
    <w:rsid w:val="00BC1AE1"/>
    <w:rsid w:val="00BC1D88"/>
    <w:rsid w:val="00BC21DE"/>
    <w:rsid w:val="00BC3A86"/>
    <w:rsid w:val="00BC3E20"/>
    <w:rsid w:val="00BC476D"/>
    <w:rsid w:val="00BC5FFA"/>
    <w:rsid w:val="00BC60F4"/>
    <w:rsid w:val="00BC64D0"/>
    <w:rsid w:val="00BC6713"/>
    <w:rsid w:val="00BC684D"/>
    <w:rsid w:val="00BC6967"/>
    <w:rsid w:val="00BC6A63"/>
    <w:rsid w:val="00BC7A22"/>
    <w:rsid w:val="00BD0DB8"/>
    <w:rsid w:val="00BD0FD7"/>
    <w:rsid w:val="00BD17E2"/>
    <w:rsid w:val="00BD4186"/>
    <w:rsid w:val="00BD4258"/>
    <w:rsid w:val="00BD42BE"/>
    <w:rsid w:val="00BD5A4E"/>
    <w:rsid w:val="00BD6692"/>
    <w:rsid w:val="00BD6884"/>
    <w:rsid w:val="00BD6F99"/>
    <w:rsid w:val="00BD72C7"/>
    <w:rsid w:val="00BD7B0B"/>
    <w:rsid w:val="00BD7CBF"/>
    <w:rsid w:val="00BD7DE5"/>
    <w:rsid w:val="00BD7DF0"/>
    <w:rsid w:val="00BE005C"/>
    <w:rsid w:val="00BE1647"/>
    <w:rsid w:val="00BE1906"/>
    <w:rsid w:val="00BE1EB7"/>
    <w:rsid w:val="00BE244D"/>
    <w:rsid w:val="00BE2633"/>
    <w:rsid w:val="00BE384B"/>
    <w:rsid w:val="00BE3D9E"/>
    <w:rsid w:val="00BE3F52"/>
    <w:rsid w:val="00BE5051"/>
    <w:rsid w:val="00BE6325"/>
    <w:rsid w:val="00BE7032"/>
    <w:rsid w:val="00BE74FE"/>
    <w:rsid w:val="00BE7841"/>
    <w:rsid w:val="00BF0204"/>
    <w:rsid w:val="00BF079F"/>
    <w:rsid w:val="00BF13C5"/>
    <w:rsid w:val="00BF17F6"/>
    <w:rsid w:val="00BF24AC"/>
    <w:rsid w:val="00BF35D7"/>
    <w:rsid w:val="00BF3FE2"/>
    <w:rsid w:val="00BF4D5B"/>
    <w:rsid w:val="00BF506A"/>
    <w:rsid w:val="00BF506B"/>
    <w:rsid w:val="00BF570E"/>
    <w:rsid w:val="00BF68FF"/>
    <w:rsid w:val="00BF6D2D"/>
    <w:rsid w:val="00BF786B"/>
    <w:rsid w:val="00BF7C53"/>
    <w:rsid w:val="00C00493"/>
    <w:rsid w:val="00C011F2"/>
    <w:rsid w:val="00C0133F"/>
    <w:rsid w:val="00C014BC"/>
    <w:rsid w:val="00C01A78"/>
    <w:rsid w:val="00C02F75"/>
    <w:rsid w:val="00C03155"/>
    <w:rsid w:val="00C032CB"/>
    <w:rsid w:val="00C03C6B"/>
    <w:rsid w:val="00C042E5"/>
    <w:rsid w:val="00C04400"/>
    <w:rsid w:val="00C044BB"/>
    <w:rsid w:val="00C060F9"/>
    <w:rsid w:val="00C068B0"/>
    <w:rsid w:val="00C075FC"/>
    <w:rsid w:val="00C07635"/>
    <w:rsid w:val="00C0764D"/>
    <w:rsid w:val="00C11992"/>
    <w:rsid w:val="00C11A7F"/>
    <w:rsid w:val="00C12209"/>
    <w:rsid w:val="00C1256C"/>
    <w:rsid w:val="00C127C8"/>
    <w:rsid w:val="00C13695"/>
    <w:rsid w:val="00C1408E"/>
    <w:rsid w:val="00C14748"/>
    <w:rsid w:val="00C14E66"/>
    <w:rsid w:val="00C150F9"/>
    <w:rsid w:val="00C15398"/>
    <w:rsid w:val="00C15851"/>
    <w:rsid w:val="00C162D0"/>
    <w:rsid w:val="00C16836"/>
    <w:rsid w:val="00C16ADC"/>
    <w:rsid w:val="00C1750F"/>
    <w:rsid w:val="00C200A7"/>
    <w:rsid w:val="00C20161"/>
    <w:rsid w:val="00C20EBE"/>
    <w:rsid w:val="00C215C7"/>
    <w:rsid w:val="00C21804"/>
    <w:rsid w:val="00C21E42"/>
    <w:rsid w:val="00C220C3"/>
    <w:rsid w:val="00C223F9"/>
    <w:rsid w:val="00C228A6"/>
    <w:rsid w:val="00C239F6"/>
    <w:rsid w:val="00C23AC1"/>
    <w:rsid w:val="00C23CB2"/>
    <w:rsid w:val="00C24B57"/>
    <w:rsid w:val="00C250B9"/>
    <w:rsid w:val="00C253E6"/>
    <w:rsid w:val="00C2632C"/>
    <w:rsid w:val="00C266D9"/>
    <w:rsid w:val="00C270C6"/>
    <w:rsid w:val="00C30226"/>
    <w:rsid w:val="00C30A6A"/>
    <w:rsid w:val="00C311CF"/>
    <w:rsid w:val="00C31454"/>
    <w:rsid w:val="00C31CF5"/>
    <w:rsid w:val="00C31F16"/>
    <w:rsid w:val="00C3252D"/>
    <w:rsid w:val="00C32846"/>
    <w:rsid w:val="00C32B00"/>
    <w:rsid w:val="00C32B8D"/>
    <w:rsid w:val="00C32C04"/>
    <w:rsid w:val="00C334A2"/>
    <w:rsid w:val="00C34035"/>
    <w:rsid w:val="00C34453"/>
    <w:rsid w:val="00C358AD"/>
    <w:rsid w:val="00C358C0"/>
    <w:rsid w:val="00C35E9E"/>
    <w:rsid w:val="00C3621B"/>
    <w:rsid w:val="00C36286"/>
    <w:rsid w:val="00C36974"/>
    <w:rsid w:val="00C36FB6"/>
    <w:rsid w:val="00C40150"/>
    <w:rsid w:val="00C40BB2"/>
    <w:rsid w:val="00C42EDF"/>
    <w:rsid w:val="00C43CF0"/>
    <w:rsid w:val="00C43DEF"/>
    <w:rsid w:val="00C43E29"/>
    <w:rsid w:val="00C44212"/>
    <w:rsid w:val="00C44F3A"/>
    <w:rsid w:val="00C451B0"/>
    <w:rsid w:val="00C45231"/>
    <w:rsid w:val="00C459A6"/>
    <w:rsid w:val="00C45C83"/>
    <w:rsid w:val="00C45E82"/>
    <w:rsid w:val="00C46579"/>
    <w:rsid w:val="00C46779"/>
    <w:rsid w:val="00C4677B"/>
    <w:rsid w:val="00C46ADE"/>
    <w:rsid w:val="00C46FD8"/>
    <w:rsid w:val="00C50EE2"/>
    <w:rsid w:val="00C5180D"/>
    <w:rsid w:val="00C519B4"/>
    <w:rsid w:val="00C5224A"/>
    <w:rsid w:val="00C5376F"/>
    <w:rsid w:val="00C53DA3"/>
    <w:rsid w:val="00C5532F"/>
    <w:rsid w:val="00C55354"/>
    <w:rsid w:val="00C56B78"/>
    <w:rsid w:val="00C56FE3"/>
    <w:rsid w:val="00C57FDA"/>
    <w:rsid w:val="00C60500"/>
    <w:rsid w:val="00C6071B"/>
    <w:rsid w:val="00C61332"/>
    <w:rsid w:val="00C614F4"/>
    <w:rsid w:val="00C61704"/>
    <w:rsid w:val="00C61A82"/>
    <w:rsid w:val="00C62575"/>
    <w:rsid w:val="00C625F5"/>
    <w:rsid w:val="00C62775"/>
    <w:rsid w:val="00C6290A"/>
    <w:rsid w:val="00C63419"/>
    <w:rsid w:val="00C63C96"/>
    <w:rsid w:val="00C641DB"/>
    <w:rsid w:val="00C651F8"/>
    <w:rsid w:val="00C656A2"/>
    <w:rsid w:val="00C65E07"/>
    <w:rsid w:val="00C66F7F"/>
    <w:rsid w:val="00C70BC7"/>
    <w:rsid w:val="00C711AA"/>
    <w:rsid w:val="00C713EA"/>
    <w:rsid w:val="00C71C81"/>
    <w:rsid w:val="00C72180"/>
    <w:rsid w:val="00C725C5"/>
    <w:rsid w:val="00C7296F"/>
    <w:rsid w:val="00C72C40"/>
    <w:rsid w:val="00C72F33"/>
    <w:rsid w:val="00C72F43"/>
    <w:rsid w:val="00C733EB"/>
    <w:rsid w:val="00C737DA"/>
    <w:rsid w:val="00C7392C"/>
    <w:rsid w:val="00C73A39"/>
    <w:rsid w:val="00C75753"/>
    <w:rsid w:val="00C75790"/>
    <w:rsid w:val="00C759F8"/>
    <w:rsid w:val="00C75BF2"/>
    <w:rsid w:val="00C76090"/>
    <w:rsid w:val="00C77A8D"/>
    <w:rsid w:val="00C82229"/>
    <w:rsid w:val="00C83450"/>
    <w:rsid w:val="00C83631"/>
    <w:rsid w:val="00C839AD"/>
    <w:rsid w:val="00C84059"/>
    <w:rsid w:val="00C84712"/>
    <w:rsid w:val="00C85474"/>
    <w:rsid w:val="00C85609"/>
    <w:rsid w:val="00C85C50"/>
    <w:rsid w:val="00C86399"/>
    <w:rsid w:val="00C877FB"/>
    <w:rsid w:val="00C90791"/>
    <w:rsid w:val="00C90DAF"/>
    <w:rsid w:val="00C9104D"/>
    <w:rsid w:val="00C915CA"/>
    <w:rsid w:val="00C91BA8"/>
    <w:rsid w:val="00C92069"/>
    <w:rsid w:val="00C922AC"/>
    <w:rsid w:val="00C92AA8"/>
    <w:rsid w:val="00C933F4"/>
    <w:rsid w:val="00C9346D"/>
    <w:rsid w:val="00C93A2E"/>
    <w:rsid w:val="00C93B94"/>
    <w:rsid w:val="00C95D79"/>
    <w:rsid w:val="00C961CA"/>
    <w:rsid w:val="00C965A3"/>
    <w:rsid w:val="00C96962"/>
    <w:rsid w:val="00C96DF8"/>
    <w:rsid w:val="00C96F1E"/>
    <w:rsid w:val="00C97C71"/>
    <w:rsid w:val="00CA0457"/>
    <w:rsid w:val="00CA0594"/>
    <w:rsid w:val="00CA0F76"/>
    <w:rsid w:val="00CA27B5"/>
    <w:rsid w:val="00CA2C2B"/>
    <w:rsid w:val="00CA332E"/>
    <w:rsid w:val="00CA4BEC"/>
    <w:rsid w:val="00CA5F03"/>
    <w:rsid w:val="00CA6136"/>
    <w:rsid w:val="00CA6E1F"/>
    <w:rsid w:val="00CB0ABF"/>
    <w:rsid w:val="00CB0BF4"/>
    <w:rsid w:val="00CB0E74"/>
    <w:rsid w:val="00CB182B"/>
    <w:rsid w:val="00CB1E4A"/>
    <w:rsid w:val="00CB1F79"/>
    <w:rsid w:val="00CB24A2"/>
    <w:rsid w:val="00CB26C5"/>
    <w:rsid w:val="00CB27D4"/>
    <w:rsid w:val="00CB2AD4"/>
    <w:rsid w:val="00CB2CB2"/>
    <w:rsid w:val="00CB3B6C"/>
    <w:rsid w:val="00CB4A07"/>
    <w:rsid w:val="00CB571E"/>
    <w:rsid w:val="00CB6551"/>
    <w:rsid w:val="00CB696B"/>
    <w:rsid w:val="00CC0309"/>
    <w:rsid w:val="00CC076F"/>
    <w:rsid w:val="00CC0C2D"/>
    <w:rsid w:val="00CC0DED"/>
    <w:rsid w:val="00CC1AC7"/>
    <w:rsid w:val="00CC211F"/>
    <w:rsid w:val="00CC23FA"/>
    <w:rsid w:val="00CC24D0"/>
    <w:rsid w:val="00CC2678"/>
    <w:rsid w:val="00CC2D61"/>
    <w:rsid w:val="00CC405A"/>
    <w:rsid w:val="00CC45C3"/>
    <w:rsid w:val="00CC4C20"/>
    <w:rsid w:val="00CC53E1"/>
    <w:rsid w:val="00CC55E5"/>
    <w:rsid w:val="00CC6DD7"/>
    <w:rsid w:val="00CD006F"/>
    <w:rsid w:val="00CD04FA"/>
    <w:rsid w:val="00CD054C"/>
    <w:rsid w:val="00CD0F4E"/>
    <w:rsid w:val="00CD2564"/>
    <w:rsid w:val="00CD2571"/>
    <w:rsid w:val="00CD2F72"/>
    <w:rsid w:val="00CD2FEB"/>
    <w:rsid w:val="00CD3FA5"/>
    <w:rsid w:val="00CD441A"/>
    <w:rsid w:val="00CD4504"/>
    <w:rsid w:val="00CD4DAB"/>
    <w:rsid w:val="00CD4EC2"/>
    <w:rsid w:val="00CD50FD"/>
    <w:rsid w:val="00CD5450"/>
    <w:rsid w:val="00CD57AE"/>
    <w:rsid w:val="00CD6AD4"/>
    <w:rsid w:val="00CE0836"/>
    <w:rsid w:val="00CE1149"/>
    <w:rsid w:val="00CE13CA"/>
    <w:rsid w:val="00CE1FFC"/>
    <w:rsid w:val="00CE21B9"/>
    <w:rsid w:val="00CE2729"/>
    <w:rsid w:val="00CE2CDA"/>
    <w:rsid w:val="00CE2DF4"/>
    <w:rsid w:val="00CE3073"/>
    <w:rsid w:val="00CE3160"/>
    <w:rsid w:val="00CE4698"/>
    <w:rsid w:val="00CE4C85"/>
    <w:rsid w:val="00CE57EE"/>
    <w:rsid w:val="00CE590E"/>
    <w:rsid w:val="00CE5B94"/>
    <w:rsid w:val="00CE6A80"/>
    <w:rsid w:val="00CE72BC"/>
    <w:rsid w:val="00CE7E0B"/>
    <w:rsid w:val="00CE7EE6"/>
    <w:rsid w:val="00CF017E"/>
    <w:rsid w:val="00CF0625"/>
    <w:rsid w:val="00CF0BA3"/>
    <w:rsid w:val="00CF0ED4"/>
    <w:rsid w:val="00CF1052"/>
    <w:rsid w:val="00CF2011"/>
    <w:rsid w:val="00CF228C"/>
    <w:rsid w:val="00CF3400"/>
    <w:rsid w:val="00CF35EC"/>
    <w:rsid w:val="00CF393B"/>
    <w:rsid w:val="00CF3CFA"/>
    <w:rsid w:val="00CF4062"/>
    <w:rsid w:val="00CF445B"/>
    <w:rsid w:val="00CF5216"/>
    <w:rsid w:val="00CF5514"/>
    <w:rsid w:val="00CF56E9"/>
    <w:rsid w:val="00CF5FC5"/>
    <w:rsid w:val="00CF60FA"/>
    <w:rsid w:val="00CF6881"/>
    <w:rsid w:val="00CF6E9B"/>
    <w:rsid w:val="00CF758B"/>
    <w:rsid w:val="00CF76E1"/>
    <w:rsid w:val="00D00137"/>
    <w:rsid w:val="00D00CDA"/>
    <w:rsid w:val="00D011B4"/>
    <w:rsid w:val="00D0196A"/>
    <w:rsid w:val="00D01BE3"/>
    <w:rsid w:val="00D02441"/>
    <w:rsid w:val="00D02559"/>
    <w:rsid w:val="00D02E5A"/>
    <w:rsid w:val="00D03601"/>
    <w:rsid w:val="00D04315"/>
    <w:rsid w:val="00D044E8"/>
    <w:rsid w:val="00D04FA4"/>
    <w:rsid w:val="00D05198"/>
    <w:rsid w:val="00D05E96"/>
    <w:rsid w:val="00D066A8"/>
    <w:rsid w:val="00D0675E"/>
    <w:rsid w:val="00D072B7"/>
    <w:rsid w:val="00D10145"/>
    <w:rsid w:val="00D107B6"/>
    <w:rsid w:val="00D10E0A"/>
    <w:rsid w:val="00D11C99"/>
    <w:rsid w:val="00D12D73"/>
    <w:rsid w:val="00D12FE5"/>
    <w:rsid w:val="00D1329F"/>
    <w:rsid w:val="00D1363A"/>
    <w:rsid w:val="00D138E0"/>
    <w:rsid w:val="00D13D6B"/>
    <w:rsid w:val="00D13D9A"/>
    <w:rsid w:val="00D1506D"/>
    <w:rsid w:val="00D150E8"/>
    <w:rsid w:val="00D15333"/>
    <w:rsid w:val="00D16BEA"/>
    <w:rsid w:val="00D17330"/>
    <w:rsid w:val="00D17FE8"/>
    <w:rsid w:val="00D2004A"/>
    <w:rsid w:val="00D203E3"/>
    <w:rsid w:val="00D2171B"/>
    <w:rsid w:val="00D21B87"/>
    <w:rsid w:val="00D22308"/>
    <w:rsid w:val="00D225BB"/>
    <w:rsid w:val="00D22D4F"/>
    <w:rsid w:val="00D238E0"/>
    <w:rsid w:val="00D2405D"/>
    <w:rsid w:val="00D254B6"/>
    <w:rsid w:val="00D25E46"/>
    <w:rsid w:val="00D2685F"/>
    <w:rsid w:val="00D26AF9"/>
    <w:rsid w:val="00D26C74"/>
    <w:rsid w:val="00D30834"/>
    <w:rsid w:val="00D30D8D"/>
    <w:rsid w:val="00D31C49"/>
    <w:rsid w:val="00D31E58"/>
    <w:rsid w:val="00D32956"/>
    <w:rsid w:val="00D32E8D"/>
    <w:rsid w:val="00D334AC"/>
    <w:rsid w:val="00D34F96"/>
    <w:rsid w:val="00D3516D"/>
    <w:rsid w:val="00D3523C"/>
    <w:rsid w:val="00D35375"/>
    <w:rsid w:val="00D353D1"/>
    <w:rsid w:val="00D359D4"/>
    <w:rsid w:val="00D35E9E"/>
    <w:rsid w:val="00D402A8"/>
    <w:rsid w:val="00D40914"/>
    <w:rsid w:val="00D40AAD"/>
    <w:rsid w:val="00D40ACE"/>
    <w:rsid w:val="00D41021"/>
    <w:rsid w:val="00D41951"/>
    <w:rsid w:val="00D41CF1"/>
    <w:rsid w:val="00D420BE"/>
    <w:rsid w:val="00D428B3"/>
    <w:rsid w:val="00D428EF"/>
    <w:rsid w:val="00D42D85"/>
    <w:rsid w:val="00D432CF"/>
    <w:rsid w:val="00D43AF8"/>
    <w:rsid w:val="00D43DBB"/>
    <w:rsid w:val="00D4427D"/>
    <w:rsid w:val="00D4443C"/>
    <w:rsid w:val="00D44CD7"/>
    <w:rsid w:val="00D44EE7"/>
    <w:rsid w:val="00D4585C"/>
    <w:rsid w:val="00D45C4D"/>
    <w:rsid w:val="00D45DBF"/>
    <w:rsid w:val="00D46280"/>
    <w:rsid w:val="00D46676"/>
    <w:rsid w:val="00D46825"/>
    <w:rsid w:val="00D46B09"/>
    <w:rsid w:val="00D46C92"/>
    <w:rsid w:val="00D471B1"/>
    <w:rsid w:val="00D479F5"/>
    <w:rsid w:val="00D47A70"/>
    <w:rsid w:val="00D502E5"/>
    <w:rsid w:val="00D50A2C"/>
    <w:rsid w:val="00D50AA2"/>
    <w:rsid w:val="00D51581"/>
    <w:rsid w:val="00D5190B"/>
    <w:rsid w:val="00D51CF4"/>
    <w:rsid w:val="00D52236"/>
    <w:rsid w:val="00D52F11"/>
    <w:rsid w:val="00D54057"/>
    <w:rsid w:val="00D54233"/>
    <w:rsid w:val="00D54250"/>
    <w:rsid w:val="00D55DC9"/>
    <w:rsid w:val="00D5638B"/>
    <w:rsid w:val="00D5660B"/>
    <w:rsid w:val="00D577B9"/>
    <w:rsid w:val="00D57953"/>
    <w:rsid w:val="00D57D1B"/>
    <w:rsid w:val="00D57D73"/>
    <w:rsid w:val="00D57EB4"/>
    <w:rsid w:val="00D6130A"/>
    <w:rsid w:val="00D619CB"/>
    <w:rsid w:val="00D62DEC"/>
    <w:rsid w:val="00D63BAA"/>
    <w:rsid w:val="00D641DB"/>
    <w:rsid w:val="00D65493"/>
    <w:rsid w:val="00D6583F"/>
    <w:rsid w:val="00D65A48"/>
    <w:rsid w:val="00D65F72"/>
    <w:rsid w:val="00D66DF0"/>
    <w:rsid w:val="00D7041F"/>
    <w:rsid w:val="00D70514"/>
    <w:rsid w:val="00D705BF"/>
    <w:rsid w:val="00D70DD5"/>
    <w:rsid w:val="00D7181D"/>
    <w:rsid w:val="00D7249D"/>
    <w:rsid w:val="00D72C4B"/>
    <w:rsid w:val="00D734FE"/>
    <w:rsid w:val="00D735E3"/>
    <w:rsid w:val="00D74573"/>
    <w:rsid w:val="00D74BE4"/>
    <w:rsid w:val="00D74C02"/>
    <w:rsid w:val="00D752E3"/>
    <w:rsid w:val="00D757C7"/>
    <w:rsid w:val="00D7627B"/>
    <w:rsid w:val="00D769E2"/>
    <w:rsid w:val="00D771F9"/>
    <w:rsid w:val="00D801C8"/>
    <w:rsid w:val="00D809CE"/>
    <w:rsid w:val="00D81937"/>
    <w:rsid w:val="00D823FE"/>
    <w:rsid w:val="00D82CE3"/>
    <w:rsid w:val="00D830E5"/>
    <w:rsid w:val="00D83517"/>
    <w:rsid w:val="00D83AA2"/>
    <w:rsid w:val="00D83E2F"/>
    <w:rsid w:val="00D8426E"/>
    <w:rsid w:val="00D856C1"/>
    <w:rsid w:val="00D8603C"/>
    <w:rsid w:val="00D86321"/>
    <w:rsid w:val="00D863DC"/>
    <w:rsid w:val="00D87610"/>
    <w:rsid w:val="00D90277"/>
    <w:rsid w:val="00D910AB"/>
    <w:rsid w:val="00D91900"/>
    <w:rsid w:val="00D9251D"/>
    <w:rsid w:val="00D927A4"/>
    <w:rsid w:val="00D92F67"/>
    <w:rsid w:val="00D932D2"/>
    <w:rsid w:val="00D93C38"/>
    <w:rsid w:val="00D945E7"/>
    <w:rsid w:val="00D947C9"/>
    <w:rsid w:val="00D94C92"/>
    <w:rsid w:val="00D94CC7"/>
    <w:rsid w:val="00D94E53"/>
    <w:rsid w:val="00D95C24"/>
    <w:rsid w:val="00D95C46"/>
    <w:rsid w:val="00D95D51"/>
    <w:rsid w:val="00D965D3"/>
    <w:rsid w:val="00DA01C7"/>
    <w:rsid w:val="00DA04DC"/>
    <w:rsid w:val="00DA12EF"/>
    <w:rsid w:val="00DA20BA"/>
    <w:rsid w:val="00DA2321"/>
    <w:rsid w:val="00DA491B"/>
    <w:rsid w:val="00DA589E"/>
    <w:rsid w:val="00DA61B9"/>
    <w:rsid w:val="00DA6B7A"/>
    <w:rsid w:val="00DA6D67"/>
    <w:rsid w:val="00DA71C7"/>
    <w:rsid w:val="00DA7EB3"/>
    <w:rsid w:val="00DB01CC"/>
    <w:rsid w:val="00DB03DF"/>
    <w:rsid w:val="00DB2531"/>
    <w:rsid w:val="00DB26B5"/>
    <w:rsid w:val="00DB2D83"/>
    <w:rsid w:val="00DB36A7"/>
    <w:rsid w:val="00DB5FFC"/>
    <w:rsid w:val="00DB6325"/>
    <w:rsid w:val="00DB7BB1"/>
    <w:rsid w:val="00DC08FE"/>
    <w:rsid w:val="00DC12AE"/>
    <w:rsid w:val="00DC1BBE"/>
    <w:rsid w:val="00DC2D80"/>
    <w:rsid w:val="00DC2EAC"/>
    <w:rsid w:val="00DC4C4E"/>
    <w:rsid w:val="00DC50EE"/>
    <w:rsid w:val="00DC536F"/>
    <w:rsid w:val="00DC5501"/>
    <w:rsid w:val="00DC61FD"/>
    <w:rsid w:val="00DC7828"/>
    <w:rsid w:val="00DC7B8E"/>
    <w:rsid w:val="00DD03F8"/>
    <w:rsid w:val="00DD06B3"/>
    <w:rsid w:val="00DD1838"/>
    <w:rsid w:val="00DD1E46"/>
    <w:rsid w:val="00DD2759"/>
    <w:rsid w:val="00DD355D"/>
    <w:rsid w:val="00DD45E1"/>
    <w:rsid w:val="00DD4847"/>
    <w:rsid w:val="00DD7249"/>
    <w:rsid w:val="00DE0D7F"/>
    <w:rsid w:val="00DE0D98"/>
    <w:rsid w:val="00DE16D0"/>
    <w:rsid w:val="00DE1959"/>
    <w:rsid w:val="00DE1F2B"/>
    <w:rsid w:val="00DE1FF3"/>
    <w:rsid w:val="00DE3107"/>
    <w:rsid w:val="00DE33AD"/>
    <w:rsid w:val="00DE35F3"/>
    <w:rsid w:val="00DE3A1E"/>
    <w:rsid w:val="00DE3AE9"/>
    <w:rsid w:val="00DE431A"/>
    <w:rsid w:val="00DE55B0"/>
    <w:rsid w:val="00DE55BA"/>
    <w:rsid w:val="00DE6555"/>
    <w:rsid w:val="00DE6FD0"/>
    <w:rsid w:val="00DE7A3D"/>
    <w:rsid w:val="00DF0993"/>
    <w:rsid w:val="00DF1212"/>
    <w:rsid w:val="00DF18D9"/>
    <w:rsid w:val="00DF3993"/>
    <w:rsid w:val="00DF4D3D"/>
    <w:rsid w:val="00DF53A0"/>
    <w:rsid w:val="00DF55E2"/>
    <w:rsid w:val="00DF6711"/>
    <w:rsid w:val="00DF6A30"/>
    <w:rsid w:val="00DF6D7D"/>
    <w:rsid w:val="00DF6E7A"/>
    <w:rsid w:val="00DF77A4"/>
    <w:rsid w:val="00DF7EAA"/>
    <w:rsid w:val="00E006EB"/>
    <w:rsid w:val="00E00780"/>
    <w:rsid w:val="00E0082C"/>
    <w:rsid w:val="00E00A49"/>
    <w:rsid w:val="00E012A7"/>
    <w:rsid w:val="00E01966"/>
    <w:rsid w:val="00E0364B"/>
    <w:rsid w:val="00E03CA3"/>
    <w:rsid w:val="00E0415A"/>
    <w:rsid w:val="00E0548A"/>
    <w:rsid w:val="00E05762"/>
    <w:rsid w:val="00E06C90"/>
    <w:rsid w:val="00E07910"/>
    <w:rsid w:val="00E07EEF"/>
    <w:rsid w:val="00E101F5"/>
    <w:rsid w:val="00E106BA"/>
    <w:rsid w:val="00E10E84"/>
    <w:rsid w:val="00E11D57"/>
    <w:rsid w:val="00E12A77"/>
    <w:rsid w:val="00E144D7"/>
    <w:rsid w:val="00E14704"/>
    <w:rsid w:val="00E1612C"/>
    <w:rsid w:val="00E2038C"/>
    <w:rsid w:val="00E2053A"/>
    <w:rsid w:val="00E212ED"/>
    <w:rsid w:val="00E2290D"/>
    <w:rsid w:val="00E22AB9"/>
    <w:rsid w:val="00E22F29"/>
    <w:rsid w:val="00E236A3"/>
    <w:rsid w:val="00E24640"/>
    <w:rsid w:val="00E249A3"/>
    <w:rsid w:val="00E25184"/>
    <w:rsid w:val="00E2587C"/>
    <w:rsid w:val="00E25A12"/>
    <w:rsid w:val="00E266D1"/>
    <w:rsid w:val="00E2671F"/>
    <w:rsid w:val="00E2701A"/>
    <w:rsid w:val="00E27297"/>
    <w:rsid w:val="00E30F0B"/>
    <w:rsid w:val="00E311B8"/>
    <w:rsid w:val="00E31B5A"/>
    <w:rsid w:val="00E31CB6"/>
    <w:rsid w:val="00E31DA1"/>
    <w:rsid w:val="00E3276D"/>
    <w:rsid w:val="00E3281E"/>
    <w:rsid w:val="00E32963"/>
    <w:rsid w:val="00E3306D"/>
    <w:rsid w:val="00E33787"/>
    <w:rsid w:val="00E339E1"/>
    <w:rsid w:val="00E33EB1"/>
    <w:rsid w:val="00E33F68"/>
    <w:rsid w:val="00E357EA"/>
    <w:rsid w:val="00E367EE"/>
    <w:rsid w:val="00E3681A"/>
    <w:rsid w:val="00E36CA8"/>
    <w:rsid w:val="00E40F05"/>
    <w:rsid w:val="00E40F84"/>
    <w:rsid w:val="00E410D6"/>
    <w:rsid w:val="00E41A10"/>
    <w:rsid w:val="00E42973"/>
    <w:rsid w:val="00E43163"/>
    <w:rsid w:val="00E43359"/>
    <w:rsid w:val="00E434C7"/>
    <w:rsid w:val="00E443A4"/>
    <w:rsid w:val="00E444B3"/>
    <w:rsid w:val="00E447A0"/>
    <w:rsid w:val="00E44906"/>
    <w:rsid w:val="00E4681C"/>
    <w:rsid w:val="00E46AA2"/>
    <w:rsid w:val="00E47B90"/>
    <w:rsid w:val="00E5017E"/>
    <w:rsid w:val="00E50718"/>
    <w:rsid w:val="00E530F4"/>
    <w:rsid w:val="00E539C7"/>
    <w:rsid w:val="00E5421E"/>
    <w:rsid w:val="00E55D4E"/>
    <w:rsid w:val="00E57B0D"/>
    <w:rsid w:val="00E6224F"/>
    <w:rsid w:val="00E627C2"/>
    <w:rsid w:val="00E6472E"/>
    <w:rsid w:val="00E64C5B"/>
    <w:rsid w:val="00E64E16"/>
    <w:rsid w:val="00E66544"/>
    <w:rsid w:val="00E67675"/>
    <w:rsid w:val="00E7011D"/>
    <w:rsid w:val="00E701F5"/>
    <w:rsid w:val="00E72995"/>
    <w:rsid w:val="00E7304F"/>
    <w:rsid w:val="00E73992"/>
    <w:rsid w:val="00E7485A"/>
    <w:rsid w:val="00E7531D"/>
    <w:rsid w:val="00E76792"/>
    <w:rsid w:val="00E7763B"/>
    <w:rsid w:val="00E77AC7"/>
    <w:rsid w:val="00E77D95"/>
    <w:rsid w:val="00E804A4"/>
    <w:rsid w:val="00E80CF9"/>
    <w:rsid w:val="00E80E18"/>
    <w:rsid w:val="00E80F51"/>
    <w:rsid w:val="00E81DD3"/>
    <w:rsid w:val="00E8208A"/>
    <w:rsid w:val="00E82CDC"/>
    <w:rsid w:val="00E8342E"/>
    <w:rsid w:val="00E8366D"/>
    <w:rsid w:val="00E83D9D"/>
    <w:rsid w:val="00E8424A"/>
    <w:rsid w:val="00E84E54"/>
    <w:rsid w:val="00E85265"/>
    <w:rsid w:val="00E852FA"/>
    <w:rsid w:val="00E856FE"/>
    <w:rsid w:val="00E85AFC"/>
    <w:rsid w:val="00E85EEE"/>
    <w:rsid w:val="00E86FE8"/>
    <w:rsid w:val="00E870FE"/>
    <w:rsid w:val="00E87AE3"/>
    <w:rsid w:val="00E90769"/>
    <w:rsid w:val="00E90883"/>
    <w:rsid w:val="00E91725"/>
    <w:rsid w:val="00E9181A"/>
    <w:rsid w:val="00E91AF6"/>
    <w:rsid w:val="00E91BEC"/>
    <w:rsid w:val="00E91CAD"/>
    <w:rsid w:val="00E92466"/>
    <w:rsid w:val="00E92C35"/>
    <w:rsid w:val="00E9452E"/>
    <w:rsid w:val="00E945A3"/>
    <w:rsid w:val="00E94F2B"/>
    <w:rsid w:val="00E95017"/>
    <w:rsid w:val="00E974B7"/>
    <w:rsid w:val="00E9786F"/>
    <w:rsid w:val="00E979AC"/>
    <w:rsid w:val="00E97A29"/>
    <w:rsid w:val="00EA0D64"/>
    <w:rsid w:val="00EA0EC4"/>
    <w:rsid w:val="00EA18CA"/>
    <w:rsid w:val="00EA2445"/>
    <w:rsid w:val="00EA259F"/>
    <w:rsid w:val="00EA2CA1"/>
    <w:rsid w:val="00EA2EA8"/>
    <w:rsid w:val="00EA2F44"/>
    <w:rsid w:val="00EA335B"/>
    <w:rsid w:val="00EA382B"/>
    <w:rsid w:val="00EA4721"/>
    <w:rsid w:val="00EA4DDA"/>
    <w:rsid w:val="00EA64DC"/>
    <w:rsid w:val="00EA6D1C"/>
    <w:rsid w:val="00EA6E3D"/>
    <w:rsid w:val="00EB03E0"/>
    <w:rsid w:val="00EB08BA"/>
    <w:rsid w:val="00EB129F"/>
    <w:rsid w:val="00EB1DBB"/>
    <w:rsid w:val="00EB20A0"/>
    <w:rsid w:val="00EB255F"/>
    <w:rsid w:val="00EB2F29"/>
    <w:rsid w:val="00EB3020"/>
    <w:rsid w:val="00EB3E1A"/>
    <w:rsid w:val="00EB422C"/>
    <w:rsid w:val="00EB468B"/>
    <w:rsid w:val="00EB4FF2"/>
    <w:rsid w:val="00EB5593"/>
    <w:rsid w:val="00EB6561"/>
    <w:rsid w:val="00EB65E5"/>
    <w:rsid w:val="00EB710C"/>
    <w:rsid w:val="00EC0580"/>
    <w:rsid w:val="00EC0BC3"/>
    <w:rsid w:val="00EC2D93"/>
    <w:rsid w:val="00EC31BA"/>
    <w:rsid w:val="00EC3836"/>
    <w:rsid w:val="00EC4065"/>
    <w:rsid w:val="00EC4166"/>
    <w:rsid w:val="00EC4B08"/>
    <w:rsid w:val="00EC4BB1"/>
    <w:rsid w:val="00EC67A7"/>
    <w:rsid w:val="00EC6C2D"/>
    <w:rsid w:val="00EC7287"/>
    <w:rsid w:val="00EC7643"/>
    <w:rsid w:val="00EC7A0C"/>
    <w:rsid w:val="00ED055C"/>
    <w:rsid w:val="00ED0C0A"/>
    <w:rsid w:val="00ED1042"/>
    <w:rsid w:val="00ED11AE"/>
    <w:rsid w:val="00ED1BE0"/>
    <w:rsid w:val="00ED1CEE"/>
    <w:rsid w:val="00ED277E"/>
    <w:rsid w:val="00ED3496"/>
    <w:rsid w:val="00ED4674"/>
    <w:rsid w:val="00ED49B4"/>
    <w:rsid w:val="00ED4D6E"/>
    <w:rsid w:val="00ED6E7F"/>
    <w:rsid w:val="00ED7FB9"/>
    <w:rsid w:val="00EE0AB2"/>
    <w:rsid w:val="00EE1983"/>
    <w:rsid w:val="00EE1B7B"/>
    <w:rsid w:val="00EE2438"/>
    <w:rsid w:val="00EE24ED"/>
    <w:rsid w:val="00EE2917"/>
    <w:rsid w:val="00EE29E6"/>
    <w:rsid w:val="00EE2BFF"/>
    <w:rsid w:val="00EE3043"/>
    <w:rsid w:val="00EE3280"/>
    <w:rsid w:val="00EE3E75"/>
    <w:rsid w:val="00EE445B"/>
    <w:rsid w:val="00EE451F"/>
    <w:rsid w:val="00EE4552"/>
    <w:rsid w:val="00EE533C"/>
    <w:rsid w:val="00EE533E"/>
    <w:rsid w:val="00EE5FE1"/>
    <w:rsid w:val="00EE6BE6"/>
    <w:rsid w:val="00EE72D6"/>
    <w:rsid w:val="00EE783D"/>
    <w:rsid w:val="00EE7FBC"/>
    <w:rsid w:val="00EF15BD"/>
    <w:rsid w:val="00EF2261"/>
    <w:rsid w:val="00EF35B7"/>
    <w:rsid w:val="00EF3B7C"/>
    <w:rsid w:val="00EF3CD6"/>
    <w:rsid w:val="00EF3E2F"/>
    <w:rsid w:val="00EF47C3"/>
    <w:rsid w:val="00EF4C2B"/>
    <w:rsid w:val="00EF4E65"/>
    <w:rsid w:val="00EF5D27"/>
    <w:rsid w:val="00EF5DDA"/>
    <w:rsid w:val="00EF61E5"/>
    <w:rsid w:val="00EF6F1D"/>
    <w:rsid w:val="00F004C0"/>
    <w:rsid w:val="00F00EB5"/>
    <w:rsid w:val="00F01452"/>
    <w:rsid w:val="00F02031"/>
    <w:rsid w:val="00F02904"/>
    <w:rsid w:val="00F02E05"/>
    <w:rsid w:val="00F04064"/>
    <w:rsid w:val="00F05C07"/>
    <w:rsid w:val="00F05EAA"/>
    <w:rsid w:val="00F0649A"/>
    <w:rsid w:val="00F072DE"/>
    <w:rsid w:val="00F07A36"/>
    <w:rsid w:val="00F12568"/>
    <w:rsid w:val="00F1317F"/>
    <w:rsid w:val="00F133BF"/>
    <w:rsid w:val="00F13925"/>
    <w:rsid w:val="00F13AA5"/>
    <w:rsid w:val="00F140E2"/>
    <w:rsid w:val="00F14426"/>
    <w:rsid w:val="00F156D8"/>
    <w:rsid w:val="00F15F21"/>
    <w:rsid w:val="00F16446"/>
    <w:rsid w:val="00F1645C"/>
    <w:rsid w:val="00F165E1"/>
    <w:rsid w:val="00F1671E"/>
    <w:rsid w:val="00F16815"/>
    <w:rsid w:val="00F16D37"/>
    <w:rsid w:val="00F172F5"/>
    <w:rsid w:val="00F1772E"/>
    <w:rsid w:val="00F208D9"/>
    <w:rsid w:val="00F2228B"/>
    <w:rsid w:val="00F22E29"/>
    <w:rsid w:val="00F230E3"/>
    <w:rsid w:val="00F235E7"/>
    <w:rsid w:val="00F236FB"/>
    <w:rsid w:val="00F24435"/>
    <w:rsid w:val="00F24F1E"/>
    <w:rsid w:val="00F252A3"/>
    <w:rsid w:val="00F2568A"/>
    <w:rsid w:val="00F264E6"/>
    <w:rsid w:val="00F26693"/>
    <w:rsid w:val="00F26DCE"/>
    <w:rsid w:val="00F271B2"/>
    <w:rsid w:val="00F27776"/>
    <w:rsid w:val="00F27B27"/>
    <w:rsid w:val="00F316C5"/>
    <w:rsid w:val="00F31823"/>
    <w:rsid w:val="00F31989"/>
    <w:rsid w:val="00F31AB7"/>
    <w:rsid w:val="00F32051"/>
    <w:rsid w:val="00F3264F"/>
    <w:rsid w:val="00F3268C"/>
    <w:rsid w:val="00F32ABA"/>
    <w:rsid w:val="00F32F68"/>
    <w:rsid w:val="00F335E2"/>
    <w:rsid w:val="00F33D88"/>
    <w:rsid w:val="00F34BE0"/>
    <w:rsid w:val="00F353CD"/>
    <w:rsid w:val="00F357EB"/>
    <w:rsid w:val="00F35CFE"/>
    <w:rsid w:val="00F36270"/>
    <w:rsid w:val="00F368A4"/>
    <w:rsid w:val="00F3725D"/>
    <w:rsid w:val="00F37527"/>
    <w:rsid w:val="00F376C9"/>
    <w:rsid w:val="00F37C7E"/>
    <w:rsid w:val="00F37FFE"/>
    <w:rsid w:val="00F4017A"/>
    <w:rsid w:val="00F40FBA"/>
    <w:rsid w:val="00F42BA5"/>
    <w:rsid w:val="00F42C66"/>
    <w:rsid w:val="00F43211"/>
    <w:rsid w:val="00F433F5"/>
    <w:rsid w:val="00F4526E"/>
    <w:rsid w:val="00F456DE"/>
    <w:rsid w:val="00F45DA8"/>
    <w:rsid w:val="00F45FDF"/>
    <w:rsid w:val="00F477CA"/>
    <w:rsid w:val="00F47AEA"/>
    <w:rsid w:val="00F5051D"/>
    <w:rsid w:val="00F51213"/>
    <w:rsid w:val="00F5184F"/>
    <w:rsid w:val="00F518B1"/>
    <w:rsid w:val="00F51B00"/>
    <w:rsid w:val="00F52280"/>
    <w:rsid w:val="00F53410"/>
    <w:rsid w:val="00F54171"/>
    <w:rsid w:val="00F543E3"/>
    <w:rsid w:val="00F54A8A"/>
    <w:rsid w:val="00F56B68"/>
    <w:rsid w:val="00F573D6"/>
    <w:rsid w:val="00F577E5"/>
    <w:rsid w:val="00F5791F"/>
    <w:rsid w:val="00F61C12"/>
    <w:rsid w:val="00F625E8"/>
    <w:rsid w:val="00F62C99"/>
    <w:rsid w:val="00F64989"/>
    <w:rsid w:val="00F64A8B"/>
    <w:rsid w:val="00F652A7"/>
    <w:rsid w:val="00F653A0"/>
    <w:rsid w:val="00F65F09"/>
    <w:rsid w:val="00F660A0"/>
    <w:rsid w:val="00F660B0"/>
    <w:rsid w:val="00F666E1"/>
    <w:rsid w:val="00F67970"/>
    <w:rsid w:val="00F67C96"/>
    <w:rsid w:val="00F67F57"/>
    <w:rsid w:val="00F67F87"/>
    <w:rsid w:val="00F7030D"/>
    <w:rsid w:val="00F703AE"/>
    <w:rsid w:val="00F7113E"/>
    <w:rsid w:val="00F713F9"/>
    <w:rsid w:val="00F7227B"/>
    <w:rsid w:val="00F7232C"/>
    <w:rsid w:val="00F72E34"/>
    <w:rsid w:val="00F73E53"/>
    <w:rsid w:val="00F76CBE"/>
    <w:rsid w:val="00F77CD7"/>
    <w:rsid w:val="00F803C7"/>
    <w:rsid w:val="00F81150"/>
    <w:rsid w:val="00F81E16"/>
    <w:rsid w:val="00F83845"/>
    <w:rsid w:val="00F839F8"/>
    <w:rsid w:val="00F83DB2"/>
    <w:rsid w:val="00F83FBF"/>
    <w:rsid w:val="00F84CDC"/>
    <w:rsid w:val="00F84F72"/>
    <w:rsid w:val="00F853CA"/>
    <w:rsid w:val="00F867F1"/>
    <w:rsid w:val="00F86931"/>
    <w:rsid w:val="00F86CDE"/>
    <w:rsid w:val="00F8781D"/>
    <w:rsid w:val="00F905EB"/>
    <w:rsid w:val="00F90978"/>
    <w:rsid w:val="00F91AE3"/>
    <w:rsid w:val="00F92763"/>
    <w:rsid w:val="00F9298A"/>
    <w:rsid w:val="00F92F76"/>
    <w:rsid w:val="00F93A2A"/>
    <w:rsid w:val="00F9416C"/>
    <w:rsid w:val="00F951FA"/>
    <w:rsid w:val="00F95E74"/>
    <w:rsid w:val="00F960ED"/>
    <w:rsid w:val="00F96A10"/>
    <w:rsid w:val="00F97A9A"/>
    <w:rsid w:val="00F97D7D"/>
    <w:rsid w:val="00FA0583"/>
    <w:rsid w:val="00FA123F"/>
    <w:rsid w:val="00FA1967"/>
    <w:rsid w:val="00FA1B8B"/>
    <w:rsid w:val="00FA1FD5"/>
    <w:rsid w:val="00FA21D8"/>
    <w:rsid w:val="00FA2A74"/>
    <w:rsid w:val="00FA3DB8"/>
    <w:rsid w:val="00FA460E"/>
    <w:rsid w:val="00FA493A"/>
    <w:rsid w:val="00FA5473"/>
    <w:rsid w:val="00FA5F12"/>
    <w:rsid w:val="00FA6224"/>
    <w:rsid w:val="00FA6505"/>
    <w:rsid w:val="00FA6661"/>
    <w:rsid w:val="00FB0878"/>
    <w:rsid w:val="00FB1288"/>
    <w:rsid w:val="00FB13C8"/>
    <w:rsid w:val="00FB1956"/>
    <w:rsid w:val="00FB1C34"/>
    <w:rsid w:val="00FB1F4E"/>
    <w:rsid w:val="00FB2944"/>
    <w:rsid w:val="00FB2BB1"/>
    <w:rsid w:val="00FB2D7E"/>
    <w:rsid w:val="00FB370B"/>
    <w:rsid w:val="00FB3736"/>
    <w:rsid w:val="00FB3F9C"/>
    <w:rsid w:val="00FB40E4"/>
    <w:rsid w:val="00FB410A"/>
    <w:rsid w:val="00FB50D0"/>
    <w:rsid w:val="00FB5161"/>
    <w:rsid w:val="00FB55CD"/>
    <w:rsid w:val="00FB63A6"/>
    <w:rsid w:val="00FB64B3"/>
    <w:rsid w:val="00FB6574"/>
    <w:rsid w:val="00FB6D53"/>
    <w:rsid w:val="00FB7476"/>
    <w:rsid w:val="00FB7CF9"/>
    <w:rsid w:val="00FC0F6C"/>
    <w:rsid w:val="00FC135F"/>
    <w:rsid w:val="00FC222F"/>
    <w:rsid w:val="00FC2270"/>
    <w:rsid w:val="00FC3E09"/>
    <w:rsid w:val="00FC4149"/>
    <w:rsid w:val="00FC49FC"/>
    <w:rsid w:val="00FC568A"/>
    <w:rsid w:val="00FC5987"/>
    <w:rsid w:val="00FC5B4B"/>
    <w:rsid w:val="00FC6388"/>
    <w:rsid w:val="00FC6474"/>
    <w:rsid w:val="00FC7EB9"/>
    <w:rsid w:val="00FD00D4"/>
    <w:rsid w:val="00FD0556"/>
    <w:rsid w:val="00FD0B4A"/>
    <w:rsid w:val="00FD10BA"/>
    <w:rsid w:val="00FD12E9"/>
    <w:rsid w:val="00FD2522"/>
    <w:rsid w:val="00FD30FC"/>
    <w:rsid w:val="00FD32D6"/>
    <w:rsid w:val="00FD38DD"/>
    <w:rsid w:val="00FD39B7"/>
    <w:rsid w:val="00FD3CDC"/>
    <w:rsid w:val="00FD45FB"/>
    <w:rsid w:val="00FD5CD1"/>
    <w:rsid w:val="00FD654C"/>
    <w:rsid w:val="00FD6D0B"/>
    <w:rsid w:val="00FD71FB"/>
    <w:rsid w:val="00FD7371"/>
    <w:rsid w:val="00FD7B36"/>
    <w:rsid w:val="00FE02CA"/>
    <w:rsid w:val="00FE075D"/>
    <w:rsid w:val="00FE07B0"/>
    <w:rsid w:val="00FE1398"/>
    <w:rsid w:val="00FE13E4"/>
    <w:rsid w:val="00FE173C"/>
    <w:rsid w:val="00FE1C75"/>
    <w:rsid w:val="00FE2081"/>
    <w:rsid w:val="00FE24AF"/>
    <w:rsid w:val="00FE2C2C"/>
    <w:rsid w:val="00FE3510"/>
    <w:rsid w:val="00FE385B"/>
    <w:rsid w:val="00FE3E73"/>
    <w:rsid w:val="00FE472E"/>
    <w:rsid w:val="00FE563D"/>
    <w:rsid w:val="00FE5EBE"/>
    <w:rsid w:val="00FE749E"/>
    <w:rsid w:val="00FE79C5"/>
    <w:rsid w:val="00FE7CBC"/>
    <w:rsid w:val="00FF0017"/>
    <w:rsid w:val="00FF009A"/>
    <w:rsid w:val="00FF0509"/>
    <w:rsid w:val="00FF05CE"/>
    <w:rsid w:val="00FF0F48"/>
    <w:rsid w:val="00FF0FA2"/>
    <w:rsid w:val="00FF1930"/>
    <w:rsid w:val="00FF2042"/>
    <w:rsid w:val="00FF45F4"/>
    <w:rsid w:val="00FF4AE2"/>
    <w:rsid w:val="00FF5F6E"/>
    <w:rsid w:val="00FF676D"/>
    <w:rsid w:val="00FF6CC1"/>
    <w:rsid w:val="00FF7F1B"/>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strokecolor="red">
      <v:stroke endarrow="block" color="red"/>
      <v:textbox inset="5.85pt,.7pt,5.85pt,.7pt"/>
    </o:shapedefaults>
    <o:shapelayout v:ext="edit">
      <o:idmap v:ext="edit" data="2"/>
    </o:shapelayout>
  </w:shapeDefaults>
  <w:decimalSymbol w:val="."/>
  <w:listSeparator w:val=","/>
  <w14:docId w14:val="5E79FDAF"/>
  <w15:docId w15:val="{44F76C0F-228F-4EB9-BBD1-8EC89E190FF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99"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qFormat="1"/>
    <w:lsdException w:name="Emphasis" w:qFormat="1"/>
    <w:lsdException w:name="Document Map" w:semiHidden="1" w:unhideWhenUsed="1"/>
    <w:lsdException w:name="Plain Text" w:semiHidden="1" w:uiPriority="99"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F573D6"/>
    <w:pPr>
      <w:widowControl w:val="0"/>
      <w:jc w:val="both"/>
    </w:pPr>
    <w:rPr>
      <w:kern w:val="2"/>
      <w:sz w:val="21"/>
      <w:szCs w:val="24"/>
    </w:rPr>
  </w:style>
  <w:style w:type="paragraph" w:styleId="1">
    <w:name w:val="heading 1"/>
    <w:basedOn w:val="a0"/>
    <w:next w:val="a"/>
    <w:link w:val="10"/>
    <w:qFormat/>
    <w:rsid w:val="00BA52E1"/>
    <w:pPr>
      <w:spacing w:line="0" w:lineRule="atLeast"/>
      <w:ind w:leftChars="99" w:left="209" w:firstLine="1"/>
      <w:outlineLvl w:val="0"/>
    </w:pPr>
    <w:rPr>
      <w:rFonts w:ascii="ＭＳ ゴシック" w:eastAsia="ＭＳ ゴシック" w:hAnsi="ＭＳ ゴシック"/>
      <w:bCs/>
      <w:sz w:val="28"/>
      <w:szCs w:val="28"/>
    </w:rPr>
  </w:style>
  <w:style w:type="paragraph" w:styleId="2">
    <w:name w:val="heading 2"/>
    <w:basedOn w:val="a"/>
    <w:next w:val="a"/>
    <w:link w:val="20"/>
    <w:unhideWhenUsed/>
    <w:qFormat/>
    <w:rsid w:val="00BA52E1"/>
    <w:pPr>
      <w:wordWrap w:val="0"/>
      <w:spacing w:line="362" w:lineRule="exact"/>
      <w:ind w:right="97"/>
      <w:outlineLvl w:val="1"/>
    </w:pPr>
    <w:rPr>
      <w:rFonts w:eastAsia="ＭＳ ゴシック"/>
      <w:noProof/>
      <w:sz w:val="28"/>
    </w:rPr>
  </w:style>
  <w:style w:type="paragraph" w:styleId="3">
    <w:name w:val="heading 3"/>
    <w:basedOn w:val="a"/>
    <w:next w:val="a"/>
    <w:link w:val="30"/>
    <w:unhideWhenUsed/>
    <w:qFormat/>
    <w:rsid w:val="009D4B52"/>
    <w:pPr>
      <w:ind w:firstLineChars="200" w:firstLine="200"/>
      <w:outlineLvl w:val="2"/>
    </w:pPr>
    <w:rPr>
      <w:rFonts w:ascii="ＭＳ ゴシック" w:eastAsia="ＭＳ ゴシック" w:hAnsi="ＭＳ ゴシック"/>
      <w:color w:val="000000" w:themeColor="text1"/>
      <w:sz w:val="22"/>
      <w:u w:val="double"/>
    </w:rPr>
  </w:style>
  <w:style w:type="paragraph" w:styleId="4">
    <w:name w:val="heading 4"/>
    <w:basedOn w:val="a"/>
    <w:next w:val="a"/>
    <w:link w:val="40"/>
    <w:unhideWhenUsed/>
    <w:qFormat/>
    <w:rsid w:val="00025B8E"/>
    <w:pPr>
      <w:keepNext/>
      <w:ind w:leftChars="400" w:left="400"/>
      <w:outlineLvl w:val="3"/>
    </w:pPr>
    <w:rPr>
      <w:b/>
      <w:bCs/>
    </w:rPr>
  </w:style>
  <w:style w:type="paragraph" w:styleId="5">
    <w:name w:val="heading 5"/>
    <w:basedOn w:val="a"/>
    <w:next w:val="a"/>
    <w:link w:val="50"/>
    <w:unhideWhenUsed/>
    <w:qFormat/>
    <w:rsid w:val="002940F4"/>
    <w:pPr>
      <w:keepNext/>
      <w:ind w:leftChars="800" w:left="800"/>
      <w:outlineLvl w:val="4"/>
    </w:pPr>
    <w:rPr>
      <w:rFonts w:asciiTheme="majorHAnsi" w:eastAsiaTheme="majorEastAsia" w:hAnsiTheme="majorHAnsi" w:cstheme="majorBidi"/>
    </w:rPr>
  </w:style>
  <w:style w:type="paragraph" w:styleId="6">
    <w:name w:val="heading 6"/>
    <w:basedOn w:val="a"/>
    <w:next w:val="a"/>
    <w:link w:val="60"/>
    <w:unhideWhenUsed/>
    <w:qFormat/>
    <w:rsid w:val="002940F4"/>
    <w:pPr>
      <w:keepNext/>
      <w:ind w:leftChars="800" w:left="800"/>
      <w:outlineLvl w:val="5"/>
    </w:pPr>
    <w:rPr>
      <w:b/>
      <w:bCs/>
    </w:rPr>
  </w:style>
  <w:style w:type="paragraph" w:styleId="7">
    <w:name w:val="heading 7"/>
    <w:basedOn w:val="a"/>
    <w:next w:val="a"/>
    <w:link w:val="70"/>
    <w:unhideWhenUsed/>
    <w:qFormat/>
    <w:rsid w:val="002940F4"/>
    <w:pPr>
      <w:keepNext/>
      <w:ind w:leftChars="800" w:left="800"/>
      <w:outlineLvl w:val="6"/>
    </w:p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4">
    <w:name w:val="Date"/>
    <w:basedOn w:val="a"/>
    <w:next w:val="a"/>
    <w:link w:val="a5"/>
    <w:rsid w:val="001A7C3E"/>
  </w:style>
  <w:style w:type="paragraph" w:styleId="a6">
    <w:name w:val="header"/>
    <w:basedOn w:val="a"/>
    <w:link w:val="a7"/>
    <w:rsid w:val="00293AFE"/>
    <w:pPr>
      <w:tabs>
        <w:tab w:val="center" w:pos="4252"/>
        <w:tab w:val="right" w:pos="8504"/>
      </w:tabs>
      <w:snapToGrid w:val="0"/>
    </w:pPr>
    <w:rPr>
      <w:rFonts w:ascii="ＭＳ 明朝"/>
      <w:sz w:val="22"/>
      <w:szCs w:val="22"/>
    </w:rPr>
  </w:style>
  <w:style w:type="paragraph" w:styleId="a8">
    <w:name w:val="footer"/>
    <w:basedOn w:val="a"/>
    <w:link w:val="a9"/>
    <w:uiPriority w:val="99"/>
    <w:rsid w:val="00293AFE"/>
    <w:pPr>
      <w:tabs>
        <w:tab w:val="center" w:pos="4252"/>
        <w:tab w:val="right" w:pos="8504"/>
      </w:tabs>
      <w:snapToGrid w:val="0"/>
    </w:pPr>
    <w:rPr>
      <w:rFonts w:ascii="ＭＳ 明朝"/>
      <w:sz w:val="22"/>
      <w:szCs w:val="22"/>
    </w:rPr>
  </w:style>
  <w:style w:type="character" w:styleId="aa">
    <w:name w:val="page number"/>
    <w:basedOn w:val="a1"/>
    <w:rsid w:val="00293AFE"/>
  </w:style>
  <w:style w:type="table" w:styleId="ab">
    <w:name w:val="Table Grid"/>
    <w:basedOn w:val="a2"/>
    <w:uiPriority w:val="39"/>
    <w:rsid w:val="00672856"/>
    <w:pPr>
      <w:widowControl w:val="0"/>
      <w:jc w:val="both"/>
    </w:pPr>
    <w:rPr>
      <w:rFonts w:ascii="ＭＳ 明朝"/>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TML">
    <w:name w:val="HTML Preformatted"/>
    <w:basedOn w:val="a"/>
    <w:link w:val="HTML0"/>
    <w:rsid w:val="00672856"/>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ＭＳ ゴシック" w:eastAsia="ＭＳ ゴシック" w:hAnsi="ＭＳ ゴシック" w:cs="ＭＳ ゴシック"/>
      <w:color w:val="000000"/>
      <w:kern w:val="0"/>
      <w:sz w:val="24"/>
    </w:rPr>
  </w:style>
  <w:style w:type="character" w:styleId="ac">
    <w:name w:val="Hyperlink"/>
    <w:uiPriority w:val="99"/>
    <w:rsid w:val="00672856"/>
    <w:rPr>
      <w:color w:val="0000FF"/>
      <w:u w:val="single"/>
    </w:rPr>
  </w:style>
  <w:style w:type="paragraph" w:customStyle="1" w:styleId="ad">
    <w:name w:val="一太郎"/>
    <w:rsid w:val="00672856"/>
    <w:pPr>
      <w:widowControl w:val="0"/>
      <w:wordWrap w:val="0"/>
      <w:autoSpaceDE w:val="0"/>
      <w:autoSpaceDN w:val="0"/>
      <w:adjustRightInd w:val="0"/>
      <w:spacing w:line="320" w:lineRule="exact"/>
      <w:jc w:val="both"/>
    </w:pPr>
    <w:rPr>
      <w:rFonts w:cs="ＭＳ 明朝"/>
      <w:sz w:val="22"/>
      <w:szCs w:val="22"/>
    </w:rPr>
  </w:style>
  <w:style w:type="paragraph" w:styleId="ae">
    <w:name w:val="Balloon Text"/>
    <w:basedOn w:val="a"/>
    <w:link w:val="af"/>
    <w:rsid w:val="00672856"/>
    <w:rPr>
      <w:rFonts w:ascii="Arial" w:eastAsia="ＭＳ ゴシック" w:hAnsi="Arial"/>
      <w:sz w:val="18"/>
      <w:szCs w:val="18"/>
    </w:rPr>
  </w:style>
  <w:style w:type="paragraph" w:styleId="af0">
    <w:name w:val="footnote text"/>
    <w:basedOn w:val="a"/>
    <w:link w:val="af1"/>
    <w:semiHidden/>
    <w:rsid w:val="00672856"/>
    <w:pPr>
      <w:snapToGrid w:val="0"/>
      <w:jc w:val="left"/>
    </w:pPr>
    <w:rPr>
      <w:rFonts w:ascii="ＭＳ 明朝"/>
      <w:sz w:val="22"/>
      <w:szCs w:val="22"/>
    </w:rPr>
  </w:style>
  <w:style w:type="character" w:styleId="af2">
    <w:name w:val="footnote reference"/>
    <w:semiHidden/>
    <w:rsid w:val="00672856"/>
    <w:rPr>
      <w:vertAlign w:val="superscript"/>
    </w:rPr>
  </w:style>
  <w:style w:type="paragraph" w:styleId="a0">
    <w:name w:val="Plain Text"/>
    <w:basedOn w:val="a"/>
    <w:link w:val="af3"/>
    <w:uiPriority w:val="99"/>
    <w:rsid w:val="00672856"/>
    <w:rPr>
      <w:rFonts w:ascii="ＭＳ 明朝" w:hAnsi="Courier New" w:cs="Courier New"/>
      <w:szCs w:val="21"/>
    </w:rPr>
  </w:style>
  <w:style w:type="character" w:customStyle="1" w:styleId="a9">
    <w:name w:val="フッター (文字)"/>
    <w:link w:val="a8"/>
    <w:uiPriority w:val="99"/>
    <w:rsid w:val="00672856"/>
    <w:rPr>
      <w:rFonts w:ascii="ＭＳ 明朝" w:eastAsia="ＭＳ 明朝" w:hAnsi="Century"/>
      <w:kern w:val="2"/>
      <w:sz w:val="22"/>
      <w:szCs w:val="22"/>
      <w:lang w:val="en-US" w:eastAsia="ja-JP" w:bidi="ar-SA"/>
    </w:rPr>
  </w:style>
  <w:style w:type="character" w:customStyle="1" w:styleId="af3">
    <w:name w:val="書式なし (文字)"/>
    <w:link w:val="a0"/>
    <w:uiPriority w:val="99"/>
    <w:rsid w:val="002814AE"/>
    <w:rPr>
      <w:rFonts w:ascii="ＭＳ 明朝" w:hAnsi="Courier New" w:cs="Courier New"/>
      <w:kern w:val="2"/>
      <w:sz w:val="21"/>
      <w:szCs w:val="21"/>
    </w:rPr>
  </w:style>
  <w:style w:type="character" w:customStyle="1" w:styleId="af">
    <w:name w:val="吹き出し (文字)"/>
    <w:link w:val="ae"/>
    <w:rsid w:val="00EE2917"/>
    <w:rPr>
      <w:rFonts w:ascii="Arial" w:eastAsia="ＭＳ ゴシック" w:hAnsi="Arial"/>
      <w:kern w:val="2"/>
      <w:sz w:val="18"/>
      <w:szCs w:val="18"/>
    </w:rPr>
  </w:style>
  <w:style w:type="paragraph" w:styleId="af4">
    <w:name w:val="List Paragraph"/>
    <w:basedOn w:val="a"/>
    <w:uiPriority w:val="34"/>
    <w:qFormat/>
    <w:rsid w:val="00007C1E"/>
    <w:pPr>
      <w:ind w:leftChars="400" w:left="840"/>
    </w:pPr>
    <w:rPr>
      <w:szCs w:val="22"/>
    </w:rPr>
  </w:style>
  <w:style w:type="paragraph" w:styleId="af5">
    <w:name w:val="Subtitle"/>
    <w:basedOn w:val="a"/>
    <w:next w:val="a"/>
    <w:link w:val="af6"/>
    <w:uiPriority w:val="11"/>
    <w:qFormat/>
    <w:rsid w:val="00CF35EC"/>
    <w:pPr>
      <w:jc w:val="center"/>
      <w:outlineLvl w:val="1"/>
    </w:pPr>
    <w:rPr>
      <w:rFonts w:ascii="Arial" w:eastAsia="ＭＳ ゴシック" w:hAnsi="Arial"/>
      <w:sz w:val="24"/>
    </w:rPr>
  </w:style>
  <w:style w:type="character" w:customStyle="1" w:styleId="af6">
    <w:name w:val="副題 (文字)"/>
    <w:link w:val="af5"/>
    <w:uiPriority w:val="11"/>
    <w:rsid w:val="00CF35EC"/>
    <w:rPr>
      <w:rFonts w:ascii="Arial" w:eastAsia="ＭＳ ゴシック" w:hAnsi="Arial"/>
      <w:kern w:val="2"/>
      <w:sz w:val="24"/>
      <w:szCs w:val="24"/>
    </w:rPr>
  </w:style>
  <w:style w:type="character" w:styleId="af7">
    <w:name w:val="FollowedHyperlink"/>
    <w:uiPriority w:val="99"/>
    <w:unhideWhenUsed/>
    <w:rsid w:val="00327EBF"/>
    <w:rPr>
      <w:color w:val="800080"/>
      <w:u w:val="single"/>
    </w:rPr>
  </w:style>
  <w:style w:type="character" w:customStyle="1" w:styleId="HTML0">
    <w:name w:val="HTML 書式付き (文字)"/>
    <w:link w:val="HTML"/>
    <w:rsid w:val="00327EBF"/>
    <w:rPr>
      <w:rFonts w:ascii="ＭＳ ゴシック" w:eastAsia="ＭＳ ゴシック" w:hAnsi="ＭＳ ゴシック" w:cs="ＭＳ ゴシック"/>
      <w:color w:val="000000"/>
      <w:sz w:val="24"/>
      <w:szCs w:val="24"/>
    </w:rPr>
  </w:style>
  <w:style w:type="character" w:customStyle="1" w:styleId="af1">
    <w:name w:val="脚注文字列 (文字)"/>
    <w:link w:val="af0"/>
    <w:semiHidden/>
    <w:rsid w:val="00327EBF"/>
    <w:rPr>
      <w:rFonts w:ascii="ＭＳ 明朝"/>
      <w:kern w:val="2"/>
      <w:sz w:val="22"/>
      <w:szCs w:val="22"/>
    </w:rPr>
  </w:style>
  <w:style w:type="character" w:customStyle="1" w:styleId="a7">
    <w:name w:val="ヘッダー (文字)"/>
    <w:link w:val="a6"/>
    <w:rsid w:val="00327EBF"/>
    <w:rPr>
      <w:rFonts w:ascii="ＭＳ 明朝"/>
      <w:kern w:val="2"/>
      <w:sz w:val="22"/>
      <w:szCs w:val="22"/>
    </w:rPr>
  </w:style>
  <w:style w:type="character" w:customStyle="1" w:styleId="a5">
    <w:name w:val="日付 (文字)"/>
    <w:link w:val="a4"/>
    <w:rsid w:val="00327EBF"/>
    <w:rPr>
      <w:kern w:val="2"/>
      <w:sz w:val="21"/>
      <w:szCs w:val="24"/>
    </w:rPr>
  </w:style>
  <w:style w:type="paragraph" w:customStyle="1" w:styleId="font5">
    <w:name w:val="font5"/>
    <w:basedOn w:val="a"/>
    <w:rsid w:val="00327EBF"/>
    <w:pPr>
      <w:widowControl/>
      <w:spacing w:before="100" w:beforeAutospacing="1" w:after="100" w:afterAutospacing="1"/>
      <w:jc w:val="left"/>
    </w:pPr>
    <w:rPr>
      <w:rFonts w:ascii="ＭＳ Ｐゴシック" w:eastAsia="ＭＳ Ｐゴシック" w:hAnsi="ＭＳ Ｐゴシック" w:cs="ＭＳ Ｐゴシック"/>
      <w:kern w:val="0"/>
      <w:sz w:val="12"/>
      <w:szCs w:val="12"/>
    </w:rPr>
  </w:style>
  <w:style w:type="paragraph" w:customStyle="1" w:styleId="xl65">
    <w:name w:val="xl65"/>
    <w:basedOn w:val="a"/>
    <w:rsid w:val="00327EBF"/>
    <w:pPr>
      <w:widowControl/>
      <w:spacing w:before="100" w:beforeAutospacing="1" w:after="100" w:afterAutospacing="1"/>
      <w:jc w:val="left"/>
    </w:pPr>
    <w:rPr>
      <w:rFonts w:ascii="ＭＳ Ｐゴシック" w:eastAsia="ＭＳ Ｐゴシック" w:hAnsi="ＭＳ Ｐゴシック" w:cs="ＭＳ Ｐゴシック"/>
      <w:kern w:val="0"/>
      <w:sz w:val="20"/>
      <w:szCs w:val="20"/>
    </w:rPr>
  </w:style>
  <w:style w:type="paragraph" w:customStyle="1" w:styleId="xl66">
    <w:name w:val="xl66"/>
    <w:basedOn w:val="a"/>
    <w:rsid w:val="00327EBF"/>
    <w:pPr>
      <w:widowControl/>
      <w:shd w:val="clear" w:color="auto" w:fill="FFFFFF"/>
      <w:spacing w:before="100" w:beforeAutospacing="1" w:after="100" w:afterAutospacing="1"/>
      <w:jc w:val="center"/>
    </w:pPr>
    <w:rPr>
      <w:rFonts w:ascii="ＭＳ ゴシック" w:eastAsia="ＭＳ ゴシック" w:hAnsi="ＭＳ ゴシック" w:cs="ＭＳ Ｐゴシック"/>
      <w:kern w:val="0"/>
      <w:sz w:val="24"/>
    </w:rPr>
  </w:style>
  <w:style w:type="paragraph" w:customStyle="1" w:styleId="xl67">
    <w:name w:val="xl67"/>
    <w:basedOn w:val="a"/>
    <w:rsid w:val="00327EBF"/>
    <w:pPr>
      <w:widowControl/>
      <w:shd w:val="clear" w:color="auto" w:fill="FFFFFF"/>
      <w:spacing w:before="100" w:beforeAutospacing="1" w:after="100" w:afterAutospacing="1"/>
      <w:jc w:val="center"/>
    </w:pPr>
    <w:rPr>
      <w:rFonts w:ascii="ＭＳ ゴシック" w:eastAsia="ＭＳ ゴシック" w:hAnsi="ＭＳ ゴシック" w:cs="ＭＳ Ｐゴシック"/>
      <w:kern w:val="0"/>
      <w:sz w:val="24"/>
    </w:rPr>
  </w:style>
  <w:style w:type="paragraph" w:customStyle="1" w:styleId="xl68">
    <w:name w:val="xl68"/>
    <w:basedOn w:val="a"/>
    <w:rsid w:val="00327EBF"/>
    <w:pPr>
      <w:widowControl/>
      <w:pBdr>
        <w:top w:val="single" w:sz="4" w:space="0" w:color="auto"/>
        <w:left w:val="single" w:sz="8" w:space="0" w:color="auto"/>
        <w:bottom w:val="single" w:sz="8" w:space="0" w:color="auto"/>
        <w:right w:val="single" w:sz="4" w:space="0" w:color="auto"/>
      </w:pBdr>
      <w:shd w:val="clear" w:color="auto" w:fill="FFFFFF"/>
      <w:spacing w:before="100" w:beforeAutospacing="1" w:after="100" w:afterAutospacing="1"/>
      <w:jc w:val="center"/>
    </w:pPr>
    <w:rPr>
      <w:rFonts w:ascii="ＭＳ ゴシック" w:eastAsia="ＭＳ ゴシック" w:hAnsi="ＭＳ ゴシック" w:cs="ＭＳ Ｐゴシック"/>
      <w:kern w:val="0"/>
      <w:sz w:val="20"/>
      <w:szCs w:val="20"/>
    </w:rPr>
  </w:style>
  <w:style w:type="paragraph" w:customStyle="1" w:styleId="xl69">
    <w:name w:val="xl69"/>
    <w:basedOn w:val="a"/>
    <w:rsid w:val="00327EBF"/>
    <w:pPr>
      <w:widowControl/>
      <w:pBdr>
        <w:top w:val="single" w:sz="4" w:space="0" w:color="auto"/>
        <w:bottom w:val="single" w:sz="8" w:space="0" w:color="auto"/>
        <w:right w:val="single" w:sz="4" w:space="0" w:color="auto"/>
      </w:pBdr>
      <w:shd w:val="clear" w:color="auto" w:fill="FFFFFF"/>
      <w:spacing w:before="100" w:beforeAutospacing="1" w:after="100" w:afterAutospacing="1"/>
      <w:jc w:val="center"/>
    </w:pPr>
    <w:rPr>
      <w:rFonts w:ascii="ＭＳ ゴシック" w:eastAsia="ＭＳ ゴシック" w:hAnsi="ＭＳ ゴシック" w:cs="ＭＳ Ｐゴシック"/>
      <w:kern w:val="0"/>
      <w:sz w:val="20"/>
      <w:szCs w:val="20"/>
    </w:rPr>
  </w:style>
  <w:style w:type="paragraph" w:customStyle="1" w:styleId="xl70">
    <w:name w:val="xl70"/>
    <w:basedOn w:val="a"/>
    <w:rsid w:val="00327EBF"/>
    <w:pPr>
      <w:widowControl/>
      <w:pBdr>
        <w:top w:val="single" w:sz="4" w:space="0" w:color="auto"/>
        <w:bottom w:val="single" w:sz="8" w:space="0" w:color="auto"/>
        <w:right w:val="single" w:sz="4" w:space="0" w:color="auto"/>
      </w:pBdr>
      <w:shd w:val="clear" w:color="auto" w:fill="FFFFFF"/>
      <w:spacing w:before="100" w:beforeAutospacing="1" w:after="100" w:afterAutospacing="1"/>
      <w:jc w:val="center"/>
    </w:pPr>
    <w:rPr>
      <w:rFonts w:ascii="ＭＳ ゴシック" w:eastAsia="ＭＳ ゴシック" w:hAnsi="ＭＳ ゴシック" w:cs="ＭＳ Ｐゴシック"/>
      <w:kern w:val="0"/>
      <w:sz w:val="20"/>
      <w:szCs w:val="20"/>
    </w:rPr>
  </w:style>
  <w:style w:type="paragraph" w:customStyle="1" w:styleId="xl71">
    <w:name w:val="xl71"/>
    <w:basedOn w:val="a"/>
    <w:rsid w:val="00327EBF"/>
    <w:pPr>
      <w:widowControl/>
      <w:pBdr>
        <w:top w:val="single" w:sz="4" w:space="0" w:color="auto"/>
        <w:bottom w:val="single" w:sz="8" w:space="0" w:color="auto"/>
        <w:right w:val="single" w:sz="8" w:space="0" w:color="auto"/>
      </w:pBdr>
      <w:shd w:val="clear" w:color="auto" w:fill="FFFFFF"/>
      <w:spacing w:before="100" w:beforeAutospacing="1" w:after="100" w:afterAutospacing="1"/>
      <w:jc w:val="center"/>
    </w:pPr>
    <w:rPr>
      <w:rFonts w:ascii="ＭＳ ゴシック" w:eastAsia="ＭＳ ゴシック" w:hAnsi="ＭＳ ゴシック" w:cs="ＭＳ Ｐゴシック"/>
      <w:kern w:val="0"/>
      <w:sz w:val="20"/>
      <w:szCs w:val="20"/>
    </w:rPr>
  </w:style>
  <w:style w:type="paragraph" w:customStyle="1" w:styleId="xl72">
    <w:name w:val="xl72"/>
    <w:basedOn w:val="a"/>
    <w:rsid w:val="00327EBF"/>
    <w:pPr>
      <w:widowControl/>
      <w:pBdr>
        <w:top w:val="single" w:sz="4" w:space="0" w:color="auto"/>
        <w:left w:val="single" w:sz="8" w:space="0" w:color="auto"/>
        <w:bottom w:val="single" w:sz="4" w:space="0" w:color="auto"/>
        <w:right w:val="single" w:sz="4" w:space="0" w:color="auto"/>
      </w:pBdr>
      <w:shd w:val="clear" w:color="auto" w:fill="FFFFFF"/>
      <w:spacing w:before="100" w:beforeAutospacing="1" w:after="100" w:afterAutospacing="1"/>
      <w:jc w:val="right"/>
    </w:pPr>
    <w:rPr>
      <w:rFonts w:ascii="ＭＳ ゴシック" w:eastAsia="ＭＳ ゴシック" w:hAnsi="ＭＳ ゴシック" w:cs="ＭＳ Ｐゴシック"/>
      <w:kern w:val="0"/>
      <w:sz w:val="20"/>
      <w:szCs w:val="20"/>
    </w:rPr>
  </w:style>
  <w:style w:type="paragraph" w:customStyle="1" w:styleId="xl73">
    <w:name w:val="xl73"/>
    <w:basedOn w:val="a"/>
    <w:rsid w:val="00327EBF"/>
    <w:pPr>
      <w:widowControl/>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jc w:val="right"/>
    </w:pPr>
    <w:rPr>
      <w:rFonts w:ascii="ＭＳ ゴシック" w:eastAsia="ＭＳ ゴシック" w:hAnsi="ＭＳ ゴシック" w:cs="ＭＳ Ｐゴシック"/>
      <w:kern w:val="0"/>
      <w:sz w:val="20"/>
      <w:szCs w:val="20"/>
    </w:rPr>
  </w:style>
  <w:style w:type="paragraph" w:customStyle="1" w:styleId="xl74">
    <w:name w:val="xl74"/>
    <w:basedOn w:val="a"/>
    <w:rsid w:val="00327EBF"/>
    <w:pPr>
      <w:widowControl/>
      <w:pBdr>
        <w:top w:val="single" w:sz="4" w:space="0" w:color="auto"/>
        <w:left w:val="single" w:sz="4" w:space="0" w:color="auto"/>
        <w:bottom w:val="single" w:sz="4" w:space="0" w:color="auto"/>
        <w:right w:val="single" w:sz="8" w:space="0" w:color="auto"/>
      </w:pBdr>
      <w:shd w:val="clear" w:color="auto" w:fill="FFFFFF"/>
      <w:spacing w:before="100" w:beforeAutospacing="1" w:after="100" w:afterAutospacing="1"/>
      <w:jc w:val="right"/>
    </w:pPr>
    <w:rPr>
      <w:rFonts w:ascii="ＭＳ ゴシック" w:eastAsia="ＭＳ ゴシック" w:hAnsi="ＭＳ ゴシック" w:cs="ＭＳ Ｐゴシック"/>
      <w:kern w:val="0"/>
      <w:sz w:val="20"/>
      <w:szCs w:val="20"/>
    </w:rPr>
  </w:style>
  <w:style w:type="paragraph" w:customStyle="1" w:styleId="xl75">
    <w:name w:val="xl75"/>
    <w:basedOn w:val="a"/>
    <w:rsid w:val="00327EBF"/>
    <w:pPr>
      <w:widowControl/>
      <w:shd w:val="clear" w:color="auto" w:fill="FFFFFF"/>
      <w:spacing w:before="100" w:beforeAutospacing="1" w:after="100" w:afterAutospacing="1"/>
      <w:jc w:val="left"/>
    </w:pPr>
    <w:rPr>
      <w:rFonts w:ascii="ＭＳ ゴシック" w:eastAsia="ＭＳ ゴシック" w:hAnsi="ＭＳ ゴシック" w:cs="ＭＳ Ｐゴシック"/>
      <w:kern w:val="0"/>
      <w:sz w:val="20"/>
      <w:szCs w:val="20"/>
    </w:rPr>
  </w:style>
  <w:style w:type="paragraph" w:customStyle="1" w:styleId="xl76">
    <w:name w:val="xl76"/>
    <w:basedOn w:val="a"/>
    <w:rsid w:val="00327EBF"/>
    <w:pPr>
      <w:widowControl/>
      <w:shd w:val="clear" w:color="auto" w:fill="FFFFFF"/>
      <w:spacing w:before="100" w:beforeAutospacing="1" w:after="100" w:afterAutospacing="1"/>
      <w:jc w:val="center"/>
    </w:pPr>
    <w:rPr>
      <w:rFonts w:ascii="ＭＳ ゴシック" w:eastAsia="ＭＳ ゴシック" w:hAnsi="ＭＳ ゴシック" w:cs="ＭＳ Ｐゴシック"/>
      <w:kern w:val="0"/>
      <w:sz w:val="20"/>
      <w:szCs w:val="20"/>
    </w:rPr>
  </w:style>
  <w:style w:type="paragraph" w:customStyle="1" w:styleId="xl77">
    <w:name w:val="xl77"/>
    <w:basedOn w:val="a"/>
    <w:rsid w:val="00327EBF"/>
    <w:pPr>
      <w:widowControl/>
      <w:shd w:val="clear" w:color="auto" w:fill="FFFFFF"/>
      <w:spacing w:before="100" w:beforeAutospacing="1" w:after="100" w:afterAutospacing="1"/>
      <w:jc w:val="left"/>
    </w:pPr>
    <w:rPr>
      <w:rFonts w:ascii="ＭＳ ゴシック" w:eastAsia="ＭＳ ゴシック" w:hAnsi="ＭＳ ゴシック" w:cs="ＭＳ Ｐゴシック"/>
      <w:color w:val="000000"/>
      <w:kern w:val="0"/>
      <w:sz w:val="20"/>
      <w:szCs w:val="20"/>
    </w:rPr>
  </w:style>
  <w:style w:type="paragraph" w:customStyle="1" w:styleId="xl78">
    <w:name w:val="xl78"/>
    <w:basedOn w:val="a"/>
    <w:rsid w:val="00327EBF"/>
    <w:pPr>
      <w:widowControl/>
      <w:pBdr>
        <w:left w:val="single" w:sz="8" w:space="0" w:color="auto"/>
        <w:bottom w:val="single" w:sz="4" w:space="0" w:color="auto"/>
        <w:right w:val="single" w:sz="4" w:space="0" w:color="auto"/>
      </w:pBdr>
      <w:spacing w:before="100" w:beforeAutospacing="1" w:after="100" w:afterAutospacing="1"/>
      <w:jc w:val="right"/>
    </w:pPr>
    <w:rPr>
      <w:rFonts w:ascii="ＭＳ ゴシック" w:eastAsia="ＭＳ ゴシック" w:hAnsi="ＭＳ ゴシック" w:cs="ＭＳ Ｐゴシック"/>
      <w:kern w:val="0"/>
      <w:sz w:val="20"/>
      <w:szCs w:val="20"/>
    </w:rPr>
  </w:style>
  <w:style w:type="paragraph" w:customStyle="1" w:styleId="xl79">
    <w:name w:val="xl79"/>
    <w:basedOn w:val="a"/>
    <w:rsid w:val="00327EBF"/>
    <w:pPr>
      <w:widowControl/>
      <w:pBdr>
        <w:bottom w:val="single" w:sz="4" w:space="0" w:color="auto"/>
        <w:right w:val="single" w:sz="4" w:space="0" w:color="auto"/>
      </w:pBdr>
      <w:spacing w:before="100" w:beforeAutospacing="1" w:after="100" w:afterAutospacing="1"/>
      <w:jc w:val="right"/>
    </w:pPr>
    <w:rPr>
      <w:rFonts w:ascii="ＭＳ ゴシック" w:eastAsia="ＭＳ ゴシック" w:hAnsi="ＭＳ ゴシック" w:cs="ＭＳ Ｐゴシック"/>
      <w:kern w:val="0"/>
      <w:sz w:val="20"/>
      <w:szCs w:val="20"/>
    </w:rPr>
  </w:style>
  <w:style w:type="paragraph" w:customStyle="1" w:styleId="xl80">
    <w:name w:val="xl80"/>
    <w:basedOn w:val="a"/>
    <w:rsid w:val="00327EBF"/>
    <w:pPr>
      <w:widowControl/>
      <w:pBdr>
        <w:bottom w:val="single" w:sz="4" w:space="0" w:color="auto"/>
        <w:right w:val="single" w:sz="8" w:space="0" w:color="auto"/>
      </w:pBdr>
      <w:spacing w:before="100" w:beforeAutospacing="1" w:after="100" w:afterAutospacing="1"/>
      <w:jc w:val="right"/>
    </w:pPr>
    <w:rPr>
      <w:rFonts w:ascii="ＭＳ ゴシック" w:eastAsia="ＭＳ ゴシック" w:hAnsi="ＭＳ ゴシック" w:cs="ＭＳ Ｐゴシック"/>
      <w:kern w:val="0"/>
      <w:sz w:val="20"/>
      <w:szCs w:val="20"/>
    </w:rPr>
  </w:style>
  <w:style w:type="paragraph" w:customStyle="1" w:styleId="xl81">
    <w:name w:val="xl81"/>
    <w:basedOn w:val="a"/>
    <w:rsid w:val="00327EBF"/>
    <w:pPr>
      <w:widowControl/>
      <w:pBdr>
        <w:top w:val="single" w:sz="4" w:space="0" w:color="auto"/>
        <w:left w:val="single" w:sz="8" w:space="0" w:color="auto"/>
        <w:bottom w:val="single" w:sz="4" w:space="0" w:color="auto"/>
        <w:right w:val="single" w:sz="4" w:space="0" w:color="auto"/>
      </w:pBdr>
      <w:spacing w:before="100" w:beforeAutospacing="1" w:after="100" w:afterAutospacing="1"/>
      <w:jc w:val="right"/>
    </w:pPr>
    <w:rPr>
      <w:rFonts w:ascii="ＭＳ ゴシック" w:eastAsia="ＭＳ ゴシック" w:hAnsi="ＭＳ ゴシック" w:cs="ＭＳ Ｐゴシック"/>
      <w:kern w:val="0"/>
      <w:sz w:val="20"/>
      <w:szCs w:val="20"/>
    </w:rPr>
  </w:style>
  <w:style w:type="paragraph" w:customStyle="1" w:styleId="xl82">
    <w:name w:val="xl82"/>
    <w:basedOn w:val="a"/>
    <w:rsid w:val="00327EBF"/>
    <w:pPr>
      <w:widowControl/>
      <w:pBdr>
        <w:top w:val="single" w:sz="4" w:space="0" w:color="auto"/>
        <w:bottom w:val="single" w:sz="4" w:space="0" w:color="auto"/>
        <w:right w:val="single" w:sz="4" w:space="0" w:color="auto"/>
      </w:pBdr>
      <w:spacing w:before="100" w:beforeAutospacing="1" w:after="100" w:afterAutospacing="1"/>
      <w:jc w:val="right"/>
    </w:pPr>
    <w:rPr>
      <w:rFonts w:ascii="ＭＳ ゴシック" w:eastAsia="ＭＳ ゴシック" w:hAnsi="ＭＳ ゴシック" w:cs="ＭＳ Ｐゴシック"/>
      <w:kern w:val="0"/>
      <w:sz w:val="20"/>
      <w:szCs w:val="20"/>
    </w:rPr>
  </w:style>
  <w:style w:type="paragraph" w:customStyle="1" w:styleId="xl83">
    <w:name w:val="xl83"/>
    <w:basedOn w:val="a"/>
    <w:rsid w:val="00327EBF"/>
    <w:pPr>
      <w:widowControl/>
      <w:pBdr>
        <w:top w:val="single" w:sz="4" w:space="0" w:color="auto"/>
        <w:bottom w:val="single" w:sz="4" w:space="0" w:color="auto"/>
        <w:right w:val="single" w:sz="8" w:space="0" w:color="auto"/>
      </w:pBdr>
      <w:spacing w:before="100" w:beforeAutospacing="1" w:after="100" w:afterAutospacing="1"/>
      <w:jc w:val="right"/>
    </w:pPr>
    <w:rPr>
      <w:rFonts w:ascii="ＭＳ ゴシック" w:eastAsia="ＭＳ ゴシック" w:hAnsi="ＭＳ ゴシック" w:cs="ＭＳ Ｐゴシック"/>
      <w:kern w:val="0"/>
      <w:sz w:val="20"/>
      <w:szCs w:val="20"/>
    </w:rPr>
  </w:style>
  <w:style w:type="paragraph" w:customStyle="1" w:styleId="xl84">
    <w:name w:val="xl84"/>
    <w:basedOn w:val="a"/>
    <w:rsid w:val="00327EBF"/>
    <w:pPr>
      <w:widowControl/>
      <w:pBdr>
        <w:left w:val="single" w:sz="8" w:space="0" w:color="auto"/>
      </w:pBdr>
      <w:spacing w:before="100" w:beforeAutospacing="1" w:after="100" w:afterAutospacing="1"/>
      <w:jc w:val="left"/>
    </w:pPr>
    <w:rPr>
      <w:rFonts w:ascii="ＭＳ ゴシック" w:eastAsia="ＭＳ ゴシック" w:hAnsi="ＭＳ ゴシック" w:cs="ＭＳ Ｐゴシック"/>
      <w:kern w:val="0"/>
      <w:sz w:val="20"/>
      <w:szCs w:val="20"/>
    </w:rPr>
  </w:style>
  <w:style w:type="paragraph" w:customStyle="1" w:styleId="xl85">
    <w:name w:val="xl85"/>
    <w:basedOn w:val="a"/>
    <w:rsid w:val="00327EBF"/>
    <w:pPr>
      <w:widowControl/>
      <w:pBdr>
        <w:bottom w:val="single" w:sz="4" w:space="0" w:color="auto"/>
        <w:right w:val="single" w:sz="4" w:space="0" w:color="auto"/>
      </w:pBdr>
      <w:spacing w:before="100" w:beforeAutospacing="1" w:after="100" w:afterAutospacing="1"/>
      <w:jc w:val="left"/>
    </w:pPr>
    <w:rPr>
      <w:rFonts w:ascii="ＭＳ ゴシック" w:eastAsia="ＭＳ ゴシック" w:hAnsi="ＭＳ ゴシック" w:cs="ＭＳ Ｐゴシック"/>
      <w:kern w:val="0"/>
      <w:sz w:val="20"/>
      <w:szCs w:val="20"/>
    </w:rPr>
  </w:style>
  <w:style w:type="paragraph" w:customStyle="1" w:styleId="xl86">
    <w:name w:val="xl86"/>
    <w:basedOn w:val="a"/>
    <w:rsid w:val="00327EBF"/>
    <w:pPr>
      <w:widowControl/>
      <w:pBdr>
        <w:top w:val="single" w:sz="4" w:space="0" w:color="auto"/>
        <w:left w:val="single" w:sz="4" w:space="0" w:color="auto"/>
        <w:bottom w:val="single" w:sz="4" w:space="0" w:color="auto"/>
        <w:right w:val="single" w:sz="4" w:space="0" w:color="auto"/>
      </w:pBdr>
      <w:spacing w:before="100" w:beforeAutospacing="1" w:after="100" w:afterAutospacing="1"/>
      <w:jc w:val="right"/>
    </w:pPr>
    <w:rPr>
      <w:rFonts w:ascii="ＭＳ ゴシック" w:eastAsia="ＭＳ ゴシック" w:hAnsi="ＭＳ ゴシック" w:cs="ＭＳ Ｐゴシック"/>
      <w:kern w:val="0"/>
      <w:sz w:val="20"/>
      <w:szCs w:val="20"/>
    </w:rPr>
  </w:style>
  <w:style w:type="paragraph" w:customStyle="1" w:styleId="xl87">
    <w:name w:val="xl87"/>
    <w:basedOn w:val="a"/>
    <w:rsid w:val="00327EBF"/>
    <w:pPr>
      <w:widowControl/>
      <w:pBdr>
        <w:top w:val="single" w:sz="4" w:space="0" w:color="auto"/>
        <w:left w:val="single" w:sz="4" w:space="0" w:color="auto"/>
        <w:bottom w:val="single" w:sz="4" w:space="0" w:color="auto"/>
        <w:right w:val="single" w:sz="8" w:space="0" w:color="auto"/>
      </w:pBdr>
      <w:spacing w:before="100" w:beforeAutospacing="1" w:after="100" w:afterAutospacing="1"/>
      <w:jc w:val="right"/>
    </w:pPr>
    <w:rPr>
      <w:rFonts w:ascii="ＭＳ ゴシック" w:eastAsia="ＭＳ ゴシック" w:hAnsi="ＭＳ ゴシック" w:cs="ＭＳ Ｐゴシック"/>
      <w:kern w:val="0"/>
      <w:sz w:val="20"/>
      <w:szCs w:val="20"/>
    </w:rPr>
  </w:style>
  <w:style w:type="paragraph" w:customStyle="1" w:styleId="xl88">
    <w:name w:val="xl88"/>
    <w:basedOn w:val="a"/>
    <w:rsid w:val="00327EBF"/>
    <w:pPr>
      <w:widowControl/>
      <w:pBdr>
        <w:left w:val="single" w:sz="8" w:space="0" w:color="auto"/>
        <w:bottom w:val="single" w:sz="4" w:space="0" w:color="auto"/>
      </w:pBdr>
      <w:spacing w:before="100" w:beforeAutospacing="1" w:after="100" w:afterAutospacing="1"/>
      <w:jc w:val="left"/>
    </w:pPr>
    <w:rPr>
      <w:rFonts w:ascii="ＭＳ ゴシック" w:eastAsia="ＭＳ ゴシック" w:hAnsi="ＭＳ ゴシック" w:cs="ＭＳ Ｐゴシック"/>
      <w:kern w:val="0"/>
      <w:sz w:val="20"/>
      <w:szCs w:val="20"/>
    </w:rPr>
  </w:style>
  <w:style w:type="paragraph" w:customStyle="1" w:styleId="xl89">
    <w:name w:val="xl89"/>
    <w:basedOn w:val="a"/>
    <w:rsid w:val="00327EBF"/>
    <w:pPr>
      <w:widowControl/>
      <w:pBdr>
        <w:bottom w:val="single" w:sz="4" w:space="0" w:color="auto"/>
        <w:right w:val="single" w:sz="4" w:space="0" w:color="auto"/>
      </w:pBdr>
      <w:spacing w:before="100" w:beforeAutospacing="1" w:after="100" w:afterAutospacing="1"/>
      <w:jc w:val="center"/>
    </w:pPr>
    <w:rPr>
      <w:rFonts w:ascii="ＭＳ ゴシック" w:eastAsia="ＭＳ ゴシック" w:hAnsi="ＭＳ ゴシック" w:cs="ＭＳ Ｐゴシック"/>
      <w:kern w:val="0"/>
      <w:sz w:val="20"/>
      <w:szCs w:val="20"/>
    </w:rPr>
  </w:style>
  <w:style w:type="paragraph" w:customStyle="1" w:styleId="xl90">
    <w:name w:val="xl90"/>
    <w:basedOn w:val="a"/>
    <w:rsid w:val="00327EBF"/>
    <w:pPr>
      <w:widowControl/>
      <w:pBdr>
        <w:top w:val="single" w:sz="4" w:space="0" w:color="auto"/>
        <w:left w:val="single" w:sz="8" w:space="0" w:color="auto"/>
        <w:right w:val="single" w:sz="4" w:space="0" w:color="auto"/>
      </w:pBdr>
      <w:spacing w:before="100" w:beforeAutospacing="1" w:after="100" w:afterAutospacing="1"/>
      <w:jc w:val="right"/>
    </w:pPr>
    <w:rPr>
      <w:rFonts w:ascii="ＭＳ ゴシック" w:eastAsia="ＭＳ ゴシック" w:hAnsi="ＭＳ ゴシック" w:cs="ＭＳ Ｐゴシック"/>
      <w:kern w:val="0"/>
      <w:sz w:val="20"/>
      <w:szCs w:val="20"/>
    </w:rPr>
  </w:style>
  <w:style w:type="paragraph" w:customStyle="1" w:styleId="xl91">
    <w:name w:val="xl91"/>
    <w:basedOn w:val="a"/>
    <w:rsid w:val="00327EBF"/>
    <w:pPr>
      <w:widowControl/>
      <w:pBdr>
        <w:top w:val="single" w:sz="4" w:space="0" w:color="auto"/>
        <w:bottom w:val="single" w:sz="4" w:space="0" w:color="auto"/>
      </w:pBdr>
      <w:spacing w:before="100" w:beforeAutospacing="1" w:after="100" w:afterAutospacing="1"/>
    </w:pPr>
    <w:rPr>
      <w:rFonts w:ascii="ＭＳ ゴシック" w:eastAsia="ＭＳ ゴシック" w:hAnsi="ＭＳ ゴシック" w:cs="ＭＳ Ｐゴシック"/>
      <w:kern w:val="0"/>
      <w:sz w:val="20"/>
      <w:szCs w:val="20"/>
    </w:rPr>
  </w:style>
  <w:style w:type="paragraph" w:customStyle="1" w:styleId="xl92">
    <w:name w:val="xl92"/>
    <w:basedOn w:val="a"/>
    <w:rsid w:val="00327EBF"/>
    <w:pPr>
      <w:widowControl/>
      <w:pBdr>
        <w:top w:val="single" w:sz="4" w:space="0" w:color="auto"/>
        <w:left w:val="single" w:sz="4" w:space="0" w:color="auto"/>
        <w:bottom w:val="single" w:sz="4" w:space="0" w:color="auto"/>
      </w:pBdr>
      <w:spacing w:before="100" w:beforeAutospacing="1" w:after="100" w:afterAutospacing="1"/>
      <w:jc w:val="left"/>
    </w:pPr>
    <w:rPr>
      <w:rFonts w:ascii="ＭＳ ゴシック" w:eastAsia="ＭＳ ゴシック" w:hAnsi="ＭＳ ゴシック" w:cs="ＭＳ Ｐゴシック"/>
      <w:kern w:val="0"/>
      <w:sz w:val="20"/>
      <w:szCs w:val="20"/>
    </w:rPr>
  </w:style>
  <w:style w:type="paragraph" w:customStyle="1" w:styleId="xl93">
    <w:name w:val="xl93"/>
    <w:basedOn w:val="a"/>
    <w:rsid w:val="00327EBF"/>
    <w:pPr>
      <w:widowControl/>
      <w:pBdr>
        <w:left w:val="single" w:sz="4" w:space="0" w:color="auto"/>
        <w:bottom w:val="single" w:sz="4" w:space="0" w:color="auto"/>
        <w:right w:val="single" w:sz="4" w:space="0" w:color="auto"/>
      </w:pBdr>
      <w:spacing w:before="100" w:beforeAutospacing="1" w:after="100" w:afterAutospacing="1"/>
      <w:jc w:val="right"/>
    </w:pPr>
    <w:rPr>
      <w:rFonts w:ascii="ＭＳ ゴシック" w:eastAsia="ＭＳ ゴシック" w:hAnsi="ＭＳ ゴシック" w:cs="ＭＳ Ｐゴシック"/>
      <w:kern w:val="0"/>
      <w:sz w:val="20"/>
      <w:szCs w:val="20"/>
    </w:rPr>
  </w:style>
  <w:style w:type="paragraph" w:customStyle="1" w:styleId="xl94">
    <w:name w:val="xl94"/>
    <w:basedOn w:val="a"/>
    <w:rsid w:val="00327EBF"/>
    <w:pPr>
      <w:widowControl/>
      <w:pBdr>
        <w:left w:val="single" w:sz="4" w:space="0" w:color="auto"/>
        <w:bottom w:val="single" w:sz="4" w:space="0" w:color="auto"/>
        <w:right w:val="single" w:sz="8" w:space="0" w:color="auto"/>
      </w:pBdr>
      <w:spacing w:before="100" w:beforeAutospacing="1" w:after="100" w:afterAutospacing="1"/>
      <w:jc w:val="right"/>
    </w:pPr>
    <w:rPr>
      <w:rFonts w:ascii="ＭＳ ゴシック" w:eastAsia="ＭＳ ゴシック" w:hAnsi="ＭＳ ゴシック" w:cs="ＭＳ Ｐゴシック"/>
      <w:kern w:val="0"/>
      <w:sz w:val="20"/>
      <w:szCs w:val="20"/>
    </w:rPr>
  </w:style>
  <w:style w:type="paragraph" w:customStyle="1" w:styleId="xl95">
    <w:name w:val="xl95"/>
    <w:basedOn w:val="a"/>
    <w:rsid w:val="00327EBF"/>
    <w:pPr>
      <w:widowControl/>
      <w:pBdr>
        <w:top w:val="single" w:sz="4" w:space="0" w:color="auto"/>
        <w:right w:val="single" w:sz="4" w:space="0" w:color="auto"/>
      </w:pBdr>
      <w:spacing w:before="100" w:beforeAutospacing="1" w:after="100" w:afterAutospacing="1"/>
      <w:jc w:val="center"/>
    </w:pPr>
    <w:rPr>
      <w:rFonts w:ascii="ＭＳ ゴシック" w:eastAsia="ＭＳ ゴシック" w:hAnsi="ＭＳ ゴシック" w:cs="ＭＳ Ｐゴシック"/>
      <w:kern w:val="0"/>
      <w:sz w:val="20"/>
      <w:szCs w:val="20"/>
    </w:rPr>
  </w:style>
  <w:style w:type="paragraph" w:customStyle="1" w:styleId="xl96">
    <w:name w:val="xl96"/>
    <w:basedOn w:val="a"/>
    <w:rsid w:val="00327EBF"/>
    <w:pPr>
      <w:widowControl/>
      <w:pBdr>
        <w:top w:val="single" w:sz="4" w:space="0" w:color="auto"/>
        <w:right w:val="single" w:sz="4" w:space="0" w:color="auto"/>
      </w:pBdr>
      <w:spacing w:before="100" w:beforeAutospacing="1" w:after="100" w:afterAutospacing="1"/>
      <w:jc w:val="right"/>
    </w:pPr>
    <w:rPr>
      <w:rFonts w:ascii="ＭＳ ゴシック" w:eastAsia="ＭＳ ゴシック" w:hAnsi="ＭＳ ゴシック" w:cs="ＭＳ Ｐゴシック"/>
      <w:kern w:val="0"/>
      <w:sz w:val="20"/>
      <w:szCs w:val="20"/>
    </w:rPr>
  </w:style>
  <w:style w:type="paragraph" w:customStyle="1" w:styleId="xl97">
    <w:name w:val="xl97"/>
    <w:basedOn w:val="a"/>
    <w:rsid w:val="00327EBF"/>
    <w:pPr>
      <w:widowControl/>
      <w:pBdr>
        <w:top w:val="single" w:sz="4" w:space="0" w:color="auto"/>
        <w:right w:val="single" w:sz="8" w:space="0" w:color="auto"/>
      </w:pBdr>
      <w:spacing w:before="100" w:beforeAutospacing="1" w:after="100" w:afterAutospacing="1"/>
      <w:jc w:val="right"/>
    </w:pPr>
    <w:rPr>
      <w:rFonts w:ascii="ＭＳ ゴシック" w:eastAsia="ＭＳ ゴシック" w:hAnsi="ＭＳ ゴシック" w:cs="ＭＳ Ｐゴシック"/>
      <w:kern w:val="0"/>
      <w:sz w:val="20"/>
      <w:szCs w:val="20"/>
    </w:rPr>
  </w:style>
  <w:style w:type="paragraph" w:customStyle="1" w:styleId="xl98">
    <w:name w:val="xl98"/>
    <w:basedOn w:val="a"/>
    <w:rsid w:val="00327EBF"/>
    <w:pPr>
      <w:widowControl/>
      <w:pBdr>
        <w:left w:val="single" w:sz="8" w:space="0" w:color="auto"/>
        <w:right w:val="single" w:sz="4" w:space="0" w:color="auto"/>
      </w:pBdr>
      <w:spacing w:before="100" w:beforeAutospacing="1" w:after="100" w:afterAutospacing="1"/>
      <w:jc w:val="right"/>
    </w:pPr>
    <w:rPr>
      <w:rFonts w:ascii="ＭＳ ゴシック" w:eastAsia="ＭＳ ゴシック" w:hAnsi="ＭＳ ゴシック" w:cs="ＭＳ Ｐゴシック"/>
      <w:kern w:val="0"/>
      <w:sz w:val="20"/>
      <w:szCs w:val="20"/>
    </w:rPr>
  </w:style>
  <w:style w:type="paragraph" w:customStyle="1" w:styleId="xl99">
    <w:name w:val="xl99"/>
    <w:basedOn w:val="a"/>
    <w:rsid w:val="00327EBF"/>
    <w:pPr>
      <w:widowControl/>
      <w:pBdr>
        <w:right w:val="single" w:sz="4" w:space="0" w:color="auto"/>
      </w:pBdr>
      <w:spacing w:before="100" w:beforeAutospacing="1" w:after="100" w:afterAutospacing="1"/>
      <w:jc w:val="right"/>
    </w:pPr>
    <w:rPr>
      <w:rFonts w:ascii="ＭＳ ゴシック" w:eastAsia="ＭＳ ゴシック" w:hAnsi="ＭＳ ゴシック" w:cs="ＭＳ Ｐゴシック"/>
      <w:kern w:val="0"/>
      <w:sz w:val="20"/>
      <w:szCs w:val="20"/>
    </w:rPr>
  </w:style>
  <w:style w:type="paragraph" w:customStyle="1" w:styleId="xl100">
    <w:name w:val="xl100"/>
    <w:basedOn w:val="a"/>
    <w:rsid w:val="00327EBF"/>
    <w:pPr>
      <w:widowControl/>
      <w:pBdr>
        <w:right w:val="single" w:sz="8" w:space="0" w:color="auto"/>
      </w:pBdr>
      <w:spacing w:before="100" w:beforeAutospacing="1" w:after="100" w:afterAutospacing="1"/>
      <w:jc w:val="right"/>
    </w:pPr>
    <w:rPr>
      <w:rFonts w:ascii="ＭＳ ゴシック" w:eastAsia="ＭＳ ゴシック" w:hAnsi="ＭＳ ゴシック" w:cs="ＭＳ Ｐゴシック"/>
      <w:kern w:val="0"/>
      <w:sz w:val="20"/>
      <w:szCs w:val="20"/>
    </w:rPr>
  </w:style>
  <w:style w:type="paragraph" w:customStyle="1" w:styleId="xl101">
    <w:name w:val="xl101"/>
    <w:basedOn w:val="a"/>
    <w:rsid w:val="00327EBF"/>
    <w:pPr>
      <w:widowControl/>
      <w:pBdr>
        <w:right w:val="single" w:sz="4" w:space="0" w:color="auto"/>
      </w:pBdr>
      <w:spacing w:before="100" w:beforeAutospacing="1" w:after="100" w:afterAutospacing="1"/>
      <w:jc w:val="center"/>
    </w:pPr>
    <w:rPr>
      <w:rFonts w:ascii="ＭＳ ゴシック" w:eastAsia="ＭＳ ゴシック" w:hAnsi="ＭＳ ゴシック" w:cs="ＭＳ Ｐゴシック"/>
      <w:kern w:val="0"/>
      <w:sz w:val="20"/>
      <w:szCs w:val="20"/>
    </w:rPr>
  </w:style>
  <w:style w:type="paragraph" w:customStyle="1" w:styleId="xl102">
    <w:name w:val="xl102"/>
    <w:basedOn w:val="a"/>
    <w:rsid w:val="00327EBF"/>
    <w:pPr>
      <w:widowControl/>
      <w:pBdr>
        <w:top w:val="single" w:sz="4" w:space="0" w:color="auto"/>
        <w:right w:val="single" w:sz="4" w:space="0" w:color="auto"/>
      </w:pBdr>
      <w:spacing w:before="100" w:beforeAutospacing="1" w:after="100" w:afterAutospacing="1"/>
      <w:jc w:val="left"/>
    </w:pPr>
    <w:rPr>
      <w:rFonts w:ascii="ＭＳ ゴシック" w:eastAsia="ＭＳ ゴシック" w:hAnsi="ＭＳ ゴシック" w:cs="ＭＳ Ｐゴシック"/>
      <w:kern w:val="0"/>
      <w:sz w:val="20"/>
      <w:szCs w:val="20"/>
    </w:rPr>
  </w:style>
  <w:style w:type="paragraph" w:customStyle="1" w:styleId="xl103">
    <w:name w:val="xl103"/>
    <w:basedOn w:val="a"/>
    <w:rsid w:val="00327EBF"/>
    <w:pPr>
      <w:widowControl/>
      <w:pBdr>
        <w:top w:val="single" w:sz="4" w:space="0" w:color="auto"/>
        <w:left w:val="single" w:sz="4" w:space="0" w:color="auto"/>
        <w:bottom w:val="single" w:sz="8" w:space="0" w:color="auto"/>
        <w:right w:val="single" w:sz="4" w:space="0" w:color="auto"/>
      </w:pBdr>
      <w:spacing w:before="100" w:beforeAutospacing="1" w:after="100" w:afterAutospacing="1"/>
      <w:jc w:val="right"/>
    </w:pPr>
    <w:rPr>
      <w:rFonts w:ascii="ＭＳ ゴシック" w:eastAsia="ＭＳ ゴシック" w:hAnsi="ＭＳ ゴシック" w:cs="ＭＳ Ｐゴシック"/>
      <w:kern w:val="0"/>
      <w:sz w:val="20"/>
      <w:szCs w:val="20"/>
    </w:rPr>
  </w:style>
  <w:style w:type="paragraph" w:customStyle="1" w:styleId="xl104">
    <w:name w:val="xl104"/>
    <w:basedOn w:val="a"/>
    <w:rsid w:val="00327EBF"/>
    <w:pPr>
      <w:widowControl/>
      <w:pBdr>
        <w:bottom w:val="single" w:sz="8" w:space="0" w:color="auto"/>
        <w:right w:val="single" w:sz="4" w:space="0" w:color="auto"/>
      </w:pBdr>
      <w:spacing w:before="100" w:beforeAutospacing="1" w:after="100" w:afterAutospacing="1"/>
      <w:jc w:val="center"/>
    </w:pPr>
    <w:rPr>
      <w:rFonts w:ascii="ＭＳ ゴシック" w:eastAsia="ＭＳ ゴシック" w:hAnsi="ＭＳ ゴシック" w:cs="ＭＳ Ｐゴシック"/>
      <w:kern w:val="0"/>
      <w:sz w:val="20"/>
      <w:szCs w:val="20"/>
    </w:rPr>
  </w:style>
  <w:style w:type="paragraph" w:customStyle="1" w:styleId="xl105">
    <w:name w:val="xl105"/>
    <w:basedOn w:val="a"/>
    <w:rsid w:val="00327EBF"/>
    <w:pPr>
      <w:widowControl/>
      <w:pBdr>
        <w:top w:val="single" w:sz="4" w:space="0" w:color="auto"/>
        <w:left w:val="single" w:sz="8" w:space="0" w:color="auto"/>
        <w:bottom w:val="single" w:sz="8" w:space="0" w:color="auto"/>
        <w:right w:val="single" w:sz="4" w:space="0" w:color="auto"/>
      </w:pBdr>
      <w:spacing w:before="100" w:beforeAutospacing="1" w:after="100" w:afterAutospacing="1"/>
      <w:jc w:val="right"/>
    </w:pPr>
    <w:rPr>
      <w:rFonts w:ascii="ＭＳ ゴシック" w:eastAsia="ＭＳ ゴシック" w:hAnsi="ＭＳ ゴシック" w:cs="ＭＳ Ｐゴシック"/>
      <w:kern w:val="0"/>
      <w:sz w:val="20"/>
      <w:szCs w:val="20"/>
    </w:rPr>
  </w:style>
  <w:style w:type="paragraph" w:customStyle="1" w:styleId="xl106">
    <w:name w:val="xl106"/>
    <w:basedOn w:val="a"/>
    <w:rsid w:val="00327EBF"/>
    <w:pPr>
      <w:widowControl/>
      <w:pBdr>
        <w:top w:val="single" w:sz="4" w:space="0" w:color="auto"/>
        <w:left w:val="single" w:sz="4" w:space="0" w:color="auto"/>
        <w:bottom w:val="single" w:sz="8" w:space="0" w:color="auto"/>
        <w:right w:val="single" w:sz="8" w:space="0" w:color="auto"/>
      </w:pBdr>
      <w:spacing w:before="100" w:beforeAutospacing="1" w:after="100" w:afterAutospacing="1"/>
      <w:jc w:val="right"/>
    </w:pPr>
    <w:rPr>
      <w:rFonts w:ascii="ＭＳ ゴシック" w:eastAsia="ＭＳ ゴシック" w:hAnsi="ＭＳ ゴシック" w:cs="ＭＳ Ｐゴシック"/>
      <w:kern w:val="0"/>
      <w:sz w:val="20"/>
      <w:szCs w:val="20"/>
    </w:rPr>
  </w:style>
  <w:style w:type="paragraph" w:customStyle="1" w:styleId="xl107">
    <w:name w:val="xl107"/>
    <w:basedOn w:val="a"/>
    <w:rsid w:val="00327EBF"/>
    <w:pPr>
      <w:widowControl/>
      <w:pBdr>
        <w:top w:val="single" w:sz="4" w:space="0" w:color="auto"/>
        <w:right w:val="single" w:sz="4" w:space="0" w:color="auto"/>
      </w:pBdr>
      <w:spacing w:before="100" w:beforeAutospacing="1" w:after="100" w:afterAutospacing="1"/>
      <w:jc w:val="left"/>
    </w:pPr>
    <w:rPr>
      <w:rFonts w:ascii="ＭＳ ゴシック" w:eastAsia="ＭＳ ゴシック" w:hAnsi="ＭＳ ゴシック" w:cs="ＭＳ Ｐゴシック"/>
      <w:kern w:val="0"/>
      <w:sz w:val="20"/>
      <w:szCs w:val="20"/>
    </w:rPr>
  </w:style>
  <w:style w:type="paragraph" w:customStyle="1" w:styleId="xl108">
    <w:name w:val="xl108"/>
    <w:basedOn w:val="a"/>
    <w:rsid w:val="00327EBF"/>
    <w:pPr>
      <w:widowControl/>
      <w:pBdr>
        <w:top w:val="single" w:sz="4" w:space="0" w:color="auto"/>
        <w:bottom w:val="single" w:sz="8" w:space="0" w:color="auto"/>
        <w:right w:val="single" w:sz="4" w:space="0" w:color="auto"/>
      </w:pBdr>
      <w:shd w:val="clear" w:color="auto" w:fill="FFFFFF"/>
      <w:spacing w:before="100" w:beforeAutospacing="1" w:after="100" w:afterAutospacing="1"/>
    </w:pPr>
    <w:rPr>
      <w:rFonts w:ascii="ＭＳ Ｐゴシック" w:eastAsia="ＭＳ Ｐゴシック" w:hAnsi="ＭＳ Ｐゴシック" w:cs="ＭＳ Ｐゴシック"/>
      <w:kern w:val="0"/>
      <w:sz w:val="16"/>
      <w:szCs w:val="16"/>
    </w:rPr>
  </w:style>
  <w:style w:type="paragraph" w:customStyle="1" w:styleId="xl109">
    <w:name w:val="xl109"/>
    <w:basedOn w:val="a"/>
    <w:rsid w:val="00327EBF"/>
    <w:pPr>
      <w:widowControl/>
      <w:pBdr>
        <w:top w:val="single" w:sz="4" w:space="0" w:color="auto"/>
        <w:bottom w:val="single" w:sz="8" w:space="0" w:color="auto"/>
        <w:right w:val="single" w:sz="4" w:space="0" w:color="auto"/>
      </w:pBdr>
      <w:shd w:val="clear" w:color="auto" w:fill="FFFFFF"/>
      <w:spacing w:before="100" w:beforeAutospacing="1" w:after="100" w:afterAutospacing="1"/>
      <w:jc w:val="center"/>
    </w:pPr>
    <w:rPr>
      <w:rFonts w:ascii="ＭＳ Ｐゴシック" w:eastAsia="ＭＳ Ｐゴシック" w:hAnsi="ＭＳ Ｐゴシック" w:cs="ＭＳ Ｐゴシック"/>
      <w:kern w:val="0"/>
      <w:sz w:val="16"/>
      <w:szCs w:val="16"/>
    </w:rPr>
  </w:style>
  <w:style w:type="paragraph" w:customStyle="1" w:styleId="xl110">
    <w:name w:val="xl110"/>
    <w:basedOn w:val="a"/>
    <w:rsid w:val="00327EBF"/>
    <w:pPr>
      <w:widowControl/>
      <w:pBdr>
        <w:left w:val="single" w:sz="8" w:space="0" w:color="auto"/>
        <w:bottom w:val="single" w:sz="4" w:space="0" w:color="auto"/>
        <w:right w:val="single" w:sz="4" w:space="0" w:color="auto"/>
      </w:pBdr>
      <w:shd w:val="clear" w:color="auto" w:fill="FFFFFF"/>
      <w:spacing w:before="100" w:beforeAutospacing="1" w:after="100" w:afterAutospacing="1"/>
      <w:jc w:val="right"/>
    </w:pPr>
    <w:rPr>
      <w:rFonts w:ascii="ＭＳ ゴシック" w:eastAsia="ＭＳ ゴシック" w:hAnsi="ＭＳ ゴシック" w:cs="ＭＳ Ｐゴシック"/>
      <w:kern w:val="0"/>
      <w:sz w:val="20"/>
      <w:szCs w:val="20"/>
    </w:rPr>
  </w:style>
  <w:style w:type="paragraph" w:customStyle="1" w:styleId="xl111">
    <w:name w:val="xl111"/>
    <w:basedOn w:val="a"/>
    <w:rsid w:val="00327EBF"/>
    <w:pPr>
      <w:widowControl/>
      <w:pBdr>
        <w:left w:val="single" w:sz="4" w:space="0" w:color="auto"/>
        <w:bottom w:val="single" w:sz="4" w:space="0" w:color="auto"/>
        <w:right w:val="single" w:sz="4" w:space="0" w:color="auto"/>
      </w:pBdr>
      <w:shd w:val="clear" w:color="auto" w:fill="FFFFFF"/>
      <w:spacing w:before="100" w:beforeAutospacing="1" w:after="100" w:afterAutospacing="1"/>
      <w:jc w:val="right"/>
    </w:pPr>
    <w:rPr>
      <w:rFonts w:ascii="ＭＳ ゴシック" w:eastAsia="ＭＳ ゴシック" w:hAnsi="ＭＳ ゴシック" w:cs="ＭＳ Ｐゴシック"/>
      <w:kern w:val="0"/>
      <w:sz w:val="20"/>
      <w:szCs w:val="20"/>
    </w:rPr>
  </w:style>
  <w:style w:type="paragraph" w:customStyle="1" w:styleId="xl112">
    <w:name w:val="xl112"/>
    <w:basedOn w:val="a"/>
    <w:rsid w:val="00327EBF"/>
    <w:pPr>
      <w:widowControl/>
      <w:pBdr>
        <w:left w:val="single" w:sz="4" w:space="0" w:color="auto"/>
        <w:bottom w:val="single" w:sz="4" w:space="0" w:color="auto"/>
        <w:right w:val="single" w:sz="8" w:space="0" w:color="auto"/>
      </w:pBdr>
      <w:shd w:val="clear" w:color="auto" w:fill="FFFFFF"/>
      <w:spacing w:before="100" w:beforeAutospacing="1" w:after="100" w:afterAutospacing="1"/>
      <w:jc w:val="right"/>
    </w:pPr>
    <w:rPr>
      <w:rFonts w:ascii="ＭＳ ゴシック" w:eastAsia="ＭＳ ゴシック" w:hAnsi="ＭＳ ゴシック" w:cs="ＭＳ Ｐゴシック"/>
      <w:kern w:val="0"/>
      <w:sz w:val="20"/>
      <w:szCs w:val="20"/>
    </w:rPr>
  </w:style>
  <w:style w:type="paragraph" w:customStyle="1" w:styleId="xl113">
    <w:name w:val="xl113"/>
    <w:basedOn w:val="a"/>
    <w:rsid w:val="00327EBF"/>
    <w:pPr>
      <w:widowControl/>
      <w:pBdr>
        <w:left w:val="single" w:sz="8" w:space="0" w:color="auto"/>
        <w:bottom w:val="single" w:sz="4" w:space="0" w:color="auto"/>
        <w:right w:val="single" w:sz="4" w:space="0" w:color="auto"/>
      </w:pBdr>
      <w:spacing w:before="100" w:beforeAutospacing="1" w:after="100" w:afterAutospacing="1"/>
      <w:jc w:val="center"/>
    </w:pPr>
    <w:rPr>
      <w:rFonts w:ascii="ＭＳ ゴシック" w:eastAsia="ＭＳ ゴシック" w:hAnsi="ＭＳ ゴシック" w:cs="ＭＳ Ｐゴシック"/>
      <w:kern w:val="0"/>
      <w:sz w:val="20"/>
      <w:szCs w:val="20"/>
    </w:rPr>
  </w:style>
  <w:style w:type="paragraph" w:customStyle="1" w:styleId="xl114">
    <w:name w:val="xl114"/>
    <w:basedOn w:val="a"/>
    <w:rsid w:val="00327EBF"/>
    <w:pPr>
      <w:widowControl/>
      <w:pBdr>
        <w:bottom w:val="single" w:sz="4" w:space="0" w:color="auto"/>
        <w:right w:val="single" w:sz="8" w:space="0" w:color="auto"/>
      </w:pBdr>
      <w:spacing w:before="100" w:beforeAutospacing="1" w:after="100" w:afterAutospacing="1"/>
      <w:jc w:val="center"/>
    </w:pPr>
    <w:rPr>
      <w:rFonts w:ascii="ＭＳ ゴシック" w:eastAsia="ＭＳ ゴシック" w:hAnsi="ＭＳ ゴシック" w:cs="ＭＳ Ｐゴシック"/>
      <w:kern w:val="0"/>
      <w:sz w:val="20"/>
      <w:szCs w:val="20"/>
    </w:rPr>
  </w:style>
  <w:style w:type="paragraph" w:customStyle="1" w:styleId="xl115">
    <w:name w:val="xl115"/>
    <w:basedOn w:val="a"/>
    <w:rsid w:val="00327EBF"/>
    <w:pPr>
      <w:widowControl/>
      <w:pBdr>
        <w:top w:val="single" w:sz="4" w:space="0" w:color="auto"/>
        <w:left w:val="single" w:sz="4" w:space="0" w:color="auto"/>
        <w:right w:val="single" w:sz="4" w:space="0" w:color="auto"/>
      </w:pBdr>
      <w:spacing w:before="100" w:beforeAutospacing="1" w:after="100" w:afterAutospacing="1"/>
      <w:jc w:val="left"/>
    </w:pPr>
    <w:rPr>
      <w:rFonts w:ascii="ＭＳ ゴシック" w:eastAsia="ＭＳ ゴシック" w:hAnsi="ＭＳ ゴシック" w:cs="ＭＳ Ｐゴシック"/>
      <w:kern w:val="0"/>
      <w:sz w:val="20"/>
      <w:szCs w:val="20"/>
    </w:rPr>
  </w:style>
  <w:style w:type="paragraph" w:customStyle="1" w:styleId="xl116">
    <w:name w:val="xl116"/>
    <w:basedOn w:val="a"/>
    <w:rsid w:val="00327EBF"/>
    <w:pPr>
      <w:widowControl/>
      <w:pBdr>
        <w:left w:val="single" w:sz="4" w:space="0" w:color="auto"/>
        <w:bottom w:val="single" w:sz="4" w:space="0" w:color="auto"/>
        <w:right w:val="single" w:sz="4" w:space="0" w:color="auto"/>
      </w:pBdr>
      <w:spacing w:before="100" w:beforeAutospacing="1" w:after="100" w:afterAutospacing="1"/>
      <w:jc w:val="left"/>
    </w:pPr>
    <w:rPr>
      <w:rFonts w:ascii="ＭＳ ゴシック" w:eastAsia="ＭＳ ゴシック" w:hAnsi="ＭＳ ゴシック" w:cs="ＭＳ Ｐゴシック"/>
      <w:kern w:val="0"/>
      <w:sz w:val="20"/>
      <w:szCs w:val="20"/>
    </w:rPr>
  </w:style>
  <w:style w:type="paragraph" w:customStyle="1" w:styleId="xl117">
    <w:name w:val="xl117"/>
    <w:basedOn w:val="a"/>
    <w:rsid w:val="00327EBF"/>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ＭＳ ゴシック" w:eastAsia="ＭＳ ゴシック" w:hAnsi="ＭＳ ゴシック" w:cs="ＭＳ Ｐゴシック"/>
      <w:kern w:val="0"/>
      <w:sz w:val="20"/>
      <w:szCs w:val="20"/>
    </w:rPr>
  </w:style>
  <w:style w:type="paragraph" w:customStyle="1" w:styleId="xl118">
    <w:name w:val="xl118"/>
    <w:basedOn w:val="a"/>
    <w:rsid w:val="00327EBF"/>
    <w:pPr>
      <w:widowControl/>
      <w:pBdr>
        <w:top w:val="single" w:sz="4" w:space="0" w:color="auto"/>
        <w:bottom w:val="single" w:sz="4" w:space="0" w:color="auto"/>
        <w:right w:val="single" w:sz="8" w:space="0" w:color="auto"/>
      </w:pBdr>
      <w:spacing w:before="100" w:beforeAutospacing="1" w:after="100" w:afterAutospacing="1"/>
    </w:pPr>
    <w:rPr>
      <w:rFonts w:ascii="ＭＳ ゴシック" w:eastAsia="ＭＳ ゴシック" w:hAnsi="ＭＳ ゴシック" w:cs="ＭＳ Ｐゴシック"/>
      <w:kern w:val="0"/>
      <w:sz w:val="20"/>
      <w:szCs w:val="20"/>
    </w:rPr>
  </w:style>
  <w:style w:type="paragraph" w:customStyle="1" w:styleId="xl119">
    <w:name w:val="xl119"/>
    <w:basedOn w:val="a"/>
    <w:rsid w:val="00327EBF"/>
    <w:pPr>
      <w:widowControl/>
      <w:pBdr>
        <w:top w:val="single" w:sz="4" w:space="0" w:color="auto"/>
        <w:right w:val="single" w:sz="4" w:space="0" w:color="auto"/>
      </w:pBdr>
      <w:spacing w:before="100" w:beforeAutospacing="1" w:after="100" w:afterAutospacing="1"/>
      <w:jc w:val="left"/>
    </w:pPr>
    <w:rPr>
      <w:rFonts w:ascii="ＭＳ Ｐゴシック" w:eastAsia="ＭＳ Ｐゴシック" w:hAnsi="ＭＳ Ｐゴシック" w:cs="ＭＳ Ｐゴシック"/>
      <w:kern w:val="0"/>
      <w:sz w:val="24"/>
    </w:rPr>
  </w:style>
  <w:style w:type="paragraph" w:customStyle="1" w:styleId="xl120">
    <w:name w:val="xl120"/>
    <w:basedOn w:val="a"/>
    <w:rsid w:val="00327EBF"/>
    <w:pPr>
      <w:widowControl/>
      <w:pBdr>
        <w:right w:val="single" w:sz="4" w:space="0" w:color="auto"/>
      </w:pBdr>
      <w:spacing w:before="100" w:beforeAutospacing="1" w:after="100" w:afterAutospacing="1"/>
      <w:jc w:val="left"/>
    </w:pPr>
    <w:rPr>
      <w:rFonts w:ascii="ＭＳ Ｐゴシック" w:eastAsia="ＭＳ Ｐゴシック" w:hAnsi="ＭＳ Ｐゴシック" w:cs="ＭＳ Ｐゴシック"/>
      <w:kern w:val="0"/>
      <w:sz w:val="24"/>
    </w:rPr>
  </w:style>
  <w:style w:type="paragraph" w:customStyle="1" w:styleId="xl121">
    <w:name w:val="xl121"/>
    <w:basedOn w:val="a"/>
    <w:rsid w:val="00327EBF"/>
    <w:pPr>
      <w:widowControl/>
      <w:pBdr>
        <w:top w:val="single" w:sz="4" w:space="0" w:color="auto"/>
        <w:right w:val="single" w:sz="4" w:space="0" w:color="auto"/>
      </w:pBdr>
      <w:spacing w:before="100" w:beforeAutospacing="1" w:after="100" w:afterAutospacing="1"/>
      <w:jc w:val="left"/>
    </w:pPr>
    <w:rPr>
      <w:rFonts w:ascii="ＭＳ Ｐゴシック" w:eastAsia="ＭＳ Ｐゴシック" w:hAnsi="ＭＳ Ｐゴシック" w:cs="ＭＳ Ｐゴシック"/>
      <w:kern w:val="0"/>
      <w:sz w:val="24"/>
    </w:rPr>
  </w:style>
  <w:style w:type="paragraph" w:customStyle="1" w:styleId="xl122">
    <w:name w:val="xl122"/>
    <w:basedOn w:val="a"/>
    <w:rsid w:val="00327EBF"/>
    <w:pPr>
      <w:widowControl/>
      <w:pBdr>
        <w:bottom w:val="single" w:sz="4" w:space="0" w:color="auto"/>
        <w:right w:val="single" w:sz="4" w:space="0" w:color="auto"/>
      </w:pBdr>
      <w:spacing w:before="100" w:beforeAutospacing="1" w:after="100" w:afterAutospacing="1"/>
      <w:jc w:val="left"/>
    </w:pPr>
    <w:rPr>
      <w:rFonts w:ascii="ＭＳ ゴシック" w:eastAsia="ＭＳ ゴシック" w:hAnsi="ＭＳ ゴシック" w:cs="ＭＳ Ｐゴシック"/>
      <w:kern w:val="0"/>
      <w:sz w:val="20"/>
      <w:szCs w:val="20"/>
    </w:rPr>
  </w:style>
  <w:style w:type="paragraph" w:customStyle="1" w:styleId="xl123">
    <w:name w:val="xl123"/>
    <w:basedOn w:val="a"/>
    <w:rsid w:val="00327EBF"/>
    <w:pPr>
      <w:widowControl/>
      <w:pBdr>
        <w:top w:val="single" w:sz="4" w:space="0" w:color="auto"/>
        <w:left w:val="single" w:sz="8" w:space="0" w:color="auto"/>
        <w:bottom w:val="single" w:sz="4" w:space="0" w:color="auto"/>
        <w:right w:val="single" w:sz="4" w:space="0" w:color="auto"/>
      </w:pBdr>
      <w:spacing w:before="100" w:beforeAutospacing="1" w:after="100" w:afterAutospacing="1"/>
      <w:jc w:val="left"/>
    </w:pPr>
    <w:rPr>
      <w:rFonts w:ascii="ＭＳ ゴシック" w:eastAsia="ＭＳ ゴシック" w:hAnsi="ＭＳ ゴシック" w:cs="ＭＳ Ｐゴシック"/>
      <w:kern w:val="0"/>
      <w:sz w:val="20"/>
      <w:szCs w:val="20"/>
    </w:rPr>
  </w:style>
  <w:style w:type="paragraph" w:customStyle="1" w:styleId="xl124">
    <w:name w:val="xl124"/>
    <w:basedOn w:val="a"/>
    <w:rsid w:val="00327EBF"/>
    <w:pPr>
      <w:widowControl/>
      <w:pBdr>
        <w:top w:val="single" w:sz="4" w:space="0" w:color="auto"/>
        <w:left w:val="single" w:sz="4" w:space="0" w:color="auto"/>
        <w:bottom w:val="single" w:sz="4" w:space="0" w:color="auto"/>
        <w:right w:val="single" w:sz="8" w:space="0" w:color="auto"/>
      </w:pBdr>
      <w:spacing w:before="100" w:beforeAutospacing="1" w:after="100" w:afterAutospacing="1"/>
      <w:jc w:val="left"/>
    </w:pPr>
    <w:rPr>
      <w:rFonts w:ascii="ＭＳ ゴシック" w:eastAsia="ＭＳ ゴシック" w:hAnsi="ＭＳ ゴシック" w:cs="ＭＳ Ｐゴシック"/>
      <w:kern w:val="0"/>
      <w:sz w:val="20"/>
      <w:szCs w:val="20"/>
    </w:rPr>
  </w:style>
  <w:style w:type="paragraph" w:customStyle="1" w:styleId="xl125">
    <w:name w:val="xl125"/>
    <w:basedOn w:val="a"/>
    <w:rsid w:val="00327EBF"/>
    <w:pPr>
      <w:widowControl/>
      <w:pBdr>
        <w:top w:val="single" w:sz="4" w:space="0" w:color="auto"/>
        <w:bottom w:val="single" w:sz="4" w:space="0" w:color="auto"/>
        <w:right w:val="single" w:sz="8" w:space="0" w:color="auto"/>
      </w:pBdr>
      <w:spacing w:before="100" w:beforeAutospacing="1" w:after="100" w:afterAutospacing="1"/>
      <w:jc w:val="left"/>
    </w:pPr>
    <w:rPr>
      <w:rFonts w:ascii="ＭＳ ゴシック" w:eastAsia="ＭＳ ゴシック" w:hAnsi="ＭＳ ゴシック" w:cs="ＭＳ Ｐゴシック"/>
      <w:kern w:val="0"/>
      <w:sz w:val="20"/>
      <w:szCs w:val="20"/>
    </w:rPr>
  </w:style>
  <w:style w:type="paragraph" w:customStyle="1" w:styleId="xl126">
    <w:name w:val="xl126"/>
    <w:basedOn w:val="a"/>
    <w:rsid w:val="00327EBF"/>
    <w:pPr>
      <w:widowControl/>
      <w:pBdr>
        <w:right w:val="single" w:sz="4" w:space="0" w:color="auto"/>
      </w:pBdr>
      <w:spacing w:before="100" w:beforeAutospacing="1" w:after="100" w:afterAutospacing="1"/>
      <w:jc w:val="left"/>
    </w:pPr>
    <w:rPr>
      <w:rFonts w:ascii="ＭＳ ゴシック" w:eastAsia="ＭＳ ゴシック" w:hAnsi="ＭＳ ゴシック" w:cs="ＭＳ Ｐゴシック"/>
      <w:kern w:val="0"/>
      <w:sz w:val="24"/>
    </w:rPr>
  </w:style>
  <w:style w:type="paragraph" w:customStyle="1" w:styleId="xl127">
    <w:name w:val="xl127"/>
    <w:basedOn w:val="a"/>
    <w:rsid w:val="00327EBF"/>
    <w:pPr>
      <w:widowControl/>
      <w:pBdr>
        <w:right w:val="single" w:sz="4" w:space="0" w:color="auto"/>
      </w:pBdr>
      <w:spacing w:before="100" w:beforeAutospacing="1" w:after="100" w:afterAutospacing="1"/>
      <w:jc w:val="left"/>
    </w:pPr>
    <w:rPr>
      <w:rFonts w:ascii="ＭＳ ゴシック" w:eastAsia="ＭＳ ゴシック" w:hAnsi="ＭＳ ゴシック" w:cs="ＭＳ Ｐゴシック"/>
      <w:kern w:val="0"/>
      <w:sz w:val="20"/>
      <w:szCs w:val="20"/>
    </w:rPr>
  </w:style>
  <w:style w:type="paragraph" w:customStyle="1" w:styleId="xl128">
    <w:name w:val="xl128"/>
    <w:basedOn w:val="a"/>
    <w:rsid w:val="00327EBF"/>
    <w:pPr>
      <w:widowControl/>
      <w:pBdr>
        <w:top w:val="single" w:sz="4" w:space="0" w:color="auto"/>
      </w:pBdr>
      <w:spacing w:before="100" w:beforeAutospacing="1" w:after="100" w:afterAutospacing="1"/>
    </w:pPr>
    <w:rPr>
      <w:rFonts w:ascii="ＭＳ ゴシック" w:eastAsia="ＭＳ ゴシック" w:hAnsi="ＭＳ ゴシック" w:cs="ＭＳ Ｐゴシック"/>
      <w:kern w:val="0"/>
      <w:sz w:val="20"/>
      <w:szCs w:val="20"/>
    </w:rPr>
  </w:style>
  <w:style w:type="paragraph" w:customStyle="1" w:styleId="xl129">
    <w:name w:val="xl129"/>
    <w:basedOn w:val="a"/>
    <w:rsid w:val="00327EBF"/>
    <w:pPr>
      <w:widowControl/>
      <w:pBdr>
        <w:bottom w:val="single" w:sz="4" w:space="0" w:color="auto"/>
        <w:right w:val="single" w:sz="4" w:space="0" w:color="auto"/>
      </w:pBdr>
      <w:spacing w:before="100" w:beforeAutospacing="1" w:after="100" w:afterAutospacing="1"/>
    </w:pPr>
    <w:rPr>
      <w:rFonts w:ascii="ＭＳ ゴシック" w:eastAsia="ＭＳ ゴシック" w:hAnsi="ＭＳ ゴシック" w:cs="ＭＳ Ｐゴシック"/>
      <w:kern w:val="0"/>
      <w:sz w:val="20"/>
      <w:szCs w:val="20"/>
    </w:rPr>
  </w:style>
  <w:style w:type="paragraph" w:customStyle="1" w:styleId="xl130">
    <w:name w:val="xl130"/>
    <w:basedOn w:val="a"/>
    <w:rsid w:val="00327EBF"/>
    <w:pPr>
      <w:widowControl/>
      <w:pBdr>
        <w:bottom w:val="single" w:sz="8" w:space="0" w:color="auto"/>
        <w:right w:val="single" w:sz="4" w:space="0" w:color="auto"/>
      </w:pBdr>
      <w:spacing w:before="100" w:beforeAutospacing="1" w:after="100" w:afterAutospacing="1"/>
      <w:jc w:val="left"/>
    </w:pPr>
    <w:rPr>
      <w:rFonts w:ascii="ＭＳ Ｐゴシック" w:eastAsia="ＭＳ Ｐゴシック" w:hAnsi="ＭＳ Ｐゴシック" w:cs="ＭＳ Ｐゴシック"/>
      <w:kern w:val="0"/>
      <w:sz w:val="20"/>
      <w:szCs w:val="20"/>
    </w:rPr>
  </w:style>
  <w:style w:type="paragraph" w:customStyle="1" w:styleId="xl131">
    <w:name w:val="xl131"/>
    <w:basedOn w:val="a"/>
    <w:rsid w:val="00327EBF"/>
    <w:pPr>
      <w:widowControl/>
      <w:pBdr>
        <w:top w:val="single" w:sz="4" w:space="0" w:color="auto"/>
        <w:left w:val="single" w:sz="4" w:space="0" w:color="auto"/>
        <w:right w:val="single" w:sz="4" w:space="0" w:color="auto"/>
      </w:pBdr>
      <w:spacing w:before="100" w:beforeAutospacing="1" w:after="100" w:afterAutospacing="1"/>
      <w:jc w:val="right"/>
    </w:pPr>
    <w:rPr>
      <w:rFonts w:ascii="ＭＳ ゴシック" w:eastAsia="ＭＳ ゴシック" w:hAnsi="ＭＳ ゴシック" w:cs="ＭＳ Ｐゴシック"/>
      <w:kern w:val="0"/>
      <w:sz w:val="20"/>
      <w:szCs w:val="20"/>
    </w:rPr>
  </w:style>
  <w:style w:type="paragraph" w:customStyle="1" w:styleId="xl132">
    <w:name w:val="xl132"/>
    <w:basedOn w:val="a"/>
    <w:rsid w:val="00327EBF"/>
    <w:pPr>
      <w:widowControl/>
      <w:pBdr>
        <w:top w:val="single" w:sz="4" w:space="0" w:color="auto"/>
        <w:left w:val="single" w:sz="4" w:space="0" w:color="auto"/>
        <w:right w:val="single" w:sz="8" w:space="0" w:color="auto"/>
      </w:pBdr>
      <w:spacing w:before="100" w:beforeAutospacing="1" w:after="100" w:afterAutospacing="1"/>
      <w:jc w:val="right"/>
    </w:pPr>
    <w:rPr>
      <w:rFonts w:ascii="ＭＳ ゴシック" w:eastAsia="ＭＳ ゴシック" w:hAnsi="ＭＳ ゴシック" w:cs="ＭＳ Ｐゴシック"/>
      <w:kern w:val="0"/>
      <w:sz w:val="20"/>
      <w:szCs w:val="20"/>
    </w:rPr>
  </w:style>
  <w:style w:type="paragraph" w:customStyle="1" w:styleId="xl133">
    <w:name w:val="xl133"/>
    <w:basedOn w:val="a"/>
    <w:rsid w:val="00327EBF"/>
    <w:pPr>
      <w:widowControl/>
      <w:pBdr>
        <w:top w:val="single" w:sz="8" w:space="0" w:color="auto"/>
        <w:left w:val="single" w:sz="8" w:space="0" w:color="auto"/>
        <w:bottom w:val="single" w:sz="4" w:space="0" w:color="auto"/>
        <w:right w:val="single" w:sz="4" w:space="0" w:color="auto"/>
      </w:pBdr>
      <w:spacing w:before="100" w:beforeAutospacing="1" w:after="100" w:afterAutospacing="1"/>
      <w:jc w:val="right"/>
    </w:pPr>
    <w:rPr>
      <w:rFonts w:ascii="ＭＳ ゴシック" w:eastAsia="ＭＳ ゴシック" w:hAnsi="ＭＳ ゴシック" w:cs="ＭＳ Ｐゴシック"/>
      <w:kern w:val="0"/>
      <w:sz w:val="20"/>
      <w:szCs w:val="20"/>
    </w:rPr>
  </w:style>
  <w:style w:type="paragraph" w:customStyle="1" w:styleId="xl134">
    <w:name w:val="xl134"/>
    <w:basedOn w:val="a"/>
    <w:rsid w:val="00327EBF"/>
    <w:pPr>
      <w:widowControl/>
      <w:pBdr>
        <w:top w:val="single" w:sz="8" w:space="0" w:color="auto"/>
        <w:bottom w:val="single" w:sz="4" w:space="0" w:color="auto"/>
        <w:right w:val="single" w:sz="4" w:space="0" w:color="auto"/>
      </w:pBdr>
      <w:spacing w:before="100" w:beforeAutospacing="1" w:after="100" w:afterAutospacing="1"/>
      <w:jc w:val="right"/>
    </w:pPr>
    <w:rPr>
      <w:rFonts w:ascii="ＭＳ ゴシック" w:eastAsia="ＭＳ ゴシック" w:hAnsi="ＭＳ ゴシック" w:cs="ＭＳ Ｐゴシック"/>
      <w:kern w:val="0"/>
      <w:sz w:val="20"/>
      <w:szCs w:val="20"/>
    </w:rPr>
  </w:style>
  <w:style w:type="paragraph" w:customStyle="1" w:styleId="xl135">
    <w:name w:val="xl135"/>
    <w:basedOn w:val="a"/>
    <w:rsid w:val="00327EBF"/>
    <w:pPr>
      <w:widowControl/>
      <w:pBdr>
        <w:top w:val="single" w:sz="8" w:space="0" w:color="auto"/>
        <w:bottom w:val="single" w:sz="4" w:space="0" w:color="auto"/>
        <w:right w:val="single" w:sz="8" w:space="0" w:color="auto"/>
      </w:pBdr>
      <w:spacing w:before="100" w:beforeAutospacing="1" w:after="100" w:afterAutospacing="1"/>
      <w:jc w:val="right"/>
    </w:pPr>
    <w:rPr>
      <w:rFonts w:ascii="ＭＳ ゴシック" w:eastAsia="ＭＳ ゴシック" w:hAnsi="ＭＳ ゴシック" w:cs="ＭＳ Ｐゴシック"/>
      <w:kern w:val="0"/>
      <w:sz w:val="20"/>
      <w:szCs w:val="20"/>
    </w:rPr>
  </w:style>
  <w:style w:type="paragraph" w:customStyle="1" w:styleId="xl136">
    <w:name w:val="xl136"/>
    <w:basedOn w:val="a"/>
    <w:rsid w:val="00327EBF"/>
    <w:pPr>
      <w:widowControl/>
      <w:pBdr>
        <w:top w:val="single" w:sz="4" w:space="0" w:color="auto"/>
        <w:bottom w:val="single" w:sz="4" w:space="0" w:color="auto"/>
        <w:right w:val="single" w:sz="4" w:space="0" w:color="auto"/>
      </w:pBdr>
      <w:spacing w:before="100" w:beforeAutospacing="1" w:after="100" w:afterAutospacing="1"/>
      <w:jc w:val="left"/>
    </w:pPr>
    <w:rPr>
      <w:rFonts w:ascii="ＭＳ ゴシック" w:eastAsia="ＭＳ ゴシック" w:hAnsi="ＭＳ ゴシック" w:cs="ＭＳ Ｐゴシック"/>
      <w:kern w:val="0"/>
      <w:sz w:val="20"/>
      <w:szCs w:val="20"/>
    </w:rPr>
  </w:style>
  <w:style w:type="paragraph" w:customStyle="1" w:styleId="xl137">
    <w:name w:val="xl137"/>
    <w:basedOn w:val="a"/>
    <w:rsid w:val="00327EBF"/>
    <w:pPr>
      <w:widowControl/>
      <w:pBdr>
        <w:top w:val="single" w:sz="8" w:space="0" w:color="auto"/>
        <w:right w:val="single" w:sz="4" w:space="0" w:color="auto"/>
      </w:pBdr>
      <w:spacing w:before="100" w:beforeAutospacing="1" w:after="100" w:afterAutospacing="1"/>
      <w:jc w:val="left"/>
    </w:pPr>
    <w:rPr>
      <w:rFonts w:ascii="ＭＳ ゴシック" w:eastAsia="ＭＳ ゴシック" w:hAnsi="ＭＳ ゴシック" w:cs="ＭＳ Ｐゴシック"/>
      <w:kern w:val="0"/>
      <w:sz w:val="20"/>
      <w:szCs w:val="20"/>
    </w:rPr>
  </w:style>
  <w:style w:type="paragraph" w:customStyle="1" w:styleId="xl138">
    <w:name w:val="xl138"/>
    <w:basedOn w:val="a"/>
    <w:rsid w:val="00327EBF"/>
    <w:pPr>
      <w:widowControl/>
      <w:pBdr>
        <w:top w:val="single" w:sz="8" w:space="0" w:color="auto"/>
        <w:left w:val="single" w:sz="4" w:space="0" w:color="auto"/>
        <w:bottom w:val="single" w:sz="4" w:space="0" w:color="auto"/>
        <w:right w:val="single" w:sz="4" w:space="0" w:color="auto"/>
      </w:pBdr>
      <w:spacing w:before="100" w:beforeAutospacing="1" w:after="100" w:afterAutospacing="1"/>
      <w:jc w:val="left"/>
    </w:pPr>
    <w:rPr>
      <w:rFonts w:ascii="ＭＳ ゴシック" w:eastAsia="ＭＳ ゴシック" w:hAnsi="ＭＳ ゴシック" w:cs="ＭＳ Ｐゴシック"/>
      <w:kern w:val="0"/>
      <w:sz w:val="20"/>
      <w:szCs w:val="20"/>
    </w:rPr>
  </w:style>
  <w:style w:type="paragraph" w:customStyle="1" w:styleId="xl139">
    <w:name w:val="xl139"/>
    <w:basedOn w:val="a"/>
    <w:rsid w:val="00327EBF"/>
    <w:pPr>
      <w:widowControl/>
      <w:pBdr>
        <w:top w:val="single" w:sz="8" w:space="0" w:color="auto"/>
        <w:left w:val="single" w:sz="4" w:space="0" w:color="auto"/>
        <w:right w:val="single" w:sz="4" w:space="0" w:color="auto"/>
      </w:pBdr>
      <w:spacing w:before="100" w:beforeAutospacing="1" w:after="100" w:afterAutospacing="1"/>
      <w:jc w:val="left"/>
    </w:pPr>
    <w:rPr>
      <w:rFonts w:ascii="ＭＳ ゴシック" w:eastAsia="ＭＳ ゴシック" w:hAnsi="ＭＳ ゴシック" w:cs="ＭＳ Ｐゴシック"/>
      <w:kern w:val="0"/>
      <w:sz w:val="20"/>
      <w:szCs w:val="20"/>
    </w:rPr>
  </w:style>
  <w:style w:type="paragraph" w:customStyle="1" w:styleId="xl140">
    <w:name w:val="xl140"/>
    <w:basedOn w:val="a"/>
    <w:rsid w:val="00327EBF"/>
    <w:pPr>
      <w:widowControl/>
      <w:pBdr>
        <w:top w:val="single" w:sz="8" w:space="0" w:color="auto"/>
        <w:left w:val="single" w:sz="8" w:space="0" w:color="auto"/>
        <w:bottom w:val="single" w:sz="4" w:space="0" w:color="auto"/>
        <w:right w:val="single" w:sz="4" w:space="0" w:color="auto"/>
      </w:pBdr>
      <w:spacing w:before="100" w:beforeAutospacing="1" w:after="100" w:afterAutospacing="1"/>
      <w:jc w:val="left"/>
    </w:pPr>
    <w:rPr>
      <w:rFonts w:ascii="ＭＳ ゴシック" w:eastAsia="ＭＳ ゴシック" w:hAnsi="ＭＳ ゴシック" w:cs="ＭＳ Ｐゴシック"/>
      <w:kern w:val="0"/>
      <w:sz w:val="20"/>
      <w:szCs w:val="20"/>
    </w:rPr>
  </w:style>
  <w:style w:type="paragraph" w:customStyle="1" w:styleId="xl141">
    <w:name w:val="xl141"/>
    <w:basedOn w:val="a"/>
    <w:rsid w:val="00327EBF"/>
    <w:pPr>
      <w:widowControl/>
      <w:pBdr>
        <w:top w:val="single" w:sz="8" w:space="0" w:color="auto"/>
        <w:left w:val="single" w:sz="4" w:space="0" w:color="auto"/>
        <w:bottom w:val="single" w:sz="4" w:space="0" w:color="auto"/>
        <w:right w:val="single" w:sz="8" w:space="0" w:color="auto"/>
      </w:pBdr>
      <w:spacing w:before="100" w:beforeAutospacing="1" w:after="100" w:afterAutospacing="1"/>
      <w:jc w:val="left"/>
    </w:pPr>
    <w:rPr>
      <w:rFonts w:ascii="ＭＳ ゴシック" w:eastAsia="ＭＳ ゴシック" w:hAnsi="ＭＳ ゴシック" w:cs="ＭＳ Ｐゴシック"/>
      <w:kern w:val="0"/>
      <w:sz w:val="20"/>
      <w:szCs w:val="20"/>
    </w:rPr>
  </w:style>
  <w:style w:type="paragraph" w:customStyle="1" w:styleId="xl142">
    <w:name w:val="xl142"/>
    <w:basedOn w:val="a"/>
    <w:rsid w:val="00327EBF"/>
    <w:pPr>
      <w:widowControl/>
      <w:pBdr>
        <w:top w:val="single" w:sz="8" w:space="0" w:color="auto"/>
        <w:left w:val="single" w:sz="8" w:space="0" w:color="auto"/>
        <w:bottom w:val="single" w:sz="8" w:space="0" w:color="auto"/>
        <w:right w:val="single" w:sz="4" w:space="0" w:color="auto"/>
      </w:pBdr>
      <w:shd w:val="clear" w:color="auto" w:fill="FFFFFF"/>
      <w:spacing w:before="100" w:beforeAutospacing="1" w:after="100" w:afterAutospacing="1"/>
      <w:jc w:val="right"/>
    </w:pPr>
    <w:rPr>
      <w:rFonts w:ascii="ＭＳ ゴシック" w:eastAsia="ＭＳ ゴシック" w:hAnsi="ＭＳ ゴシック" w:cs="ＭＳ Ｐゴシック"/>
      <w:kern w:val="0"/>
      <w:sz w:val="20"/>
      <w:szCs w:val="20"/>
    </w:rPr>
  </w:style>
  <w:style w:type="paragraph" w:customStyle="1" w:styleId="xl143">
    <w:name w:val="xl143"/>
    <w:basedOn w:val="a"/>
    <w:rsid w:val="00327EBF"/>
    <w:pPr>
      <w:widowControl/>
      <w:pBdr>
        <w:top w:val="single" w:sz="8" w:space="0" w:color="auto"/>
        <w:left w:val="single" w:sz="8" w:space="0" w:color="auto"/>
        <w:bottom w:val="single" w:sz="8" w:space="0" w:color="auto"/>
        <w:right w:val="single" w:sz="4" w:space="0" w:color="auto"/>
      </w:pBdr>
      <w:shd w:val="clear" w:color="auto" w:fill="FFFFFF"/>
      <w:spacing w:before="100" w:beforeAutospacing="1" w:after="100" w:afterAutospacing="1"/>
      <w:jc w:val="right"/>
    </w:pPr>
    <w:rPr>
      <w:rFonts w:ascii="ＭＳ ゴシック" w:eastAsia="ＭＳ ゴシック" w:hAnsi="ＭＳ ゴシック" w:cs="ＭＳ Ｐゴシック"/>
      <w:color w:val="FF0000"/>
      <w:kern w:val="0"/>
      <w:sz w:val="20"/>
      <w:szCs w:val="20"/>
    </w:rPr>
  </w:style>
  <w:style w:type="paragraph" w:customStyle="1" w:styleId="xl144">
    <w:name w:val="xl144"/>
    <w:basedOn w:val="a"/>
    <w:rsid w:val="00327EBF"/>
    <w:pPr>
      <w:widowControl/>
      <w:pBdr>
        <w:right w:val="single" w:sz="4" w:space="0" w:color="auto"/>
      </w:pBdr>
      <w:spacing w:before="100" w:beforeAutospacing="1" w:after="100" w:afterAutospacing="1"/>
      <w:jc w:val="left"/>
    </w:pPr>
    <w:rPr>
      <w:rFonts w:ascii="ＭＳ ゴシック" w:eastAsia="ＭＳ ゴシック" w:hAnsi="ＭＳ ゴシック" w:cs="ＭＳ Ｐゴシック"/>
      <w:kern w:val="0"/>
      <w:sz w:val="20"/>
      <w:szCs w:val="20"/>
    </w:rPr>
  </w:style>
  <w:style w:type="paragraph" w:customStyle="1" w:styleId="xl145">
    <w:name w:val="xl145"/>
    <w:basedOn w:val="a"/>
    <w:rsid w:val="00327EBF"/>
    <w:pPr>
      <w:widowControl/>
      <w:pBdr>
        <w:top w:val="single" w:sz="8" w:space="0" w:color="auto"/>
        <w:bottom w:val="single" w:sz="4" w:space="0" w:color="auto"/>
        <w:right w:val="single" w:sz="4" w:space="0" w:color="auto"/>
      </w:pBdr>
      <w:spacing w:before="100" w:beforeAutospacing="1" w:after="100" w:afterAutospacing="1"/>
      <w:jc w:val="center"/>
    </w:pPr>
    <w:rPr>
      <w:rFonts w:ascii="ＭＳ ゴシック" w:eastAsia="ＭＳ ゴシック" w:hAnsi="ＭＳ ゴシック" w:cs="ＭＳ Ｐゴシック"/>
      <w:kern w:val="0"/>
      <w:sz w:val="20"/>
      <w:szCs w:val="20"/>
    </w:rPr>
  </w:style>
  <w:style w:type="paragraph" w:customStyle="1" w:styleId="xl146">
    <w:name w:val="xl146"/>
    <w:basedOn w:val="a"/>
    <w:rsid w:val="00327EBF"/>
    <w:pPr>
      <w:widowControl/>
      <w:pBdr>
        <w:top w:val="single" w:sz="4" w:space="0" w:color="auto"/>
        <w:bottom w:val="single" w:sz="4" w:space="0" w:color="auto"/>
        <w:right w:val="single" w:sz="4" w:space="0" w:color="auto"/>
      </w:pBdr>
      <w:spacing w:before="100" w:beforeAutospacing="1" w:after="100" w:afterAutospacing="1"/>
    </w:pPr>
    <w:rPr>
      <w:rFonts w:ascii="ＭＳ ゴシック" w:eastAsia="ＭＳ ゴシック" w:hAnsi="ＭＳ ゴシック" w:cs="ＭＳ Ｐゴシック"/>
      <w:kern w:val="0"/>
      <w:sz w:val="20"/>
      <w:szCs w:val="20"/>
    </w:rPr>
  </w:style>
  <w:style w:type="paragraph" w:customStyle="1" w:styleId="xl147">
    <w:name w:val="xl147"/>
    <w:basedOn w:val="a"/>
    <w:rsid w:val="00327EBF"/>
    <w:pPr>
      <w:widowControl/>
      <w:pBdr>
        <w:top w:val="single" w:sz="8" w:space="0" w:color="auto"/>
        <w:left w:val="single" w:sz="8" w:space="0" w:color="auto"/>
        <w:bottom w:val="single" w:sz="8" w:space="0" w:color="auto"/>
        <w:right w:val="single" w:sz="8" w:space="0" w:color="auto"/>
      </w:pBdr>
      <w:shd w:val="clear" w:color="auto" w:fill="FFFFFF"/>
      <w:spacing w:before="100" w:beforeAutospacing="1" w:after="100" w:afterAutospacing="1"/>
      <w:jc w:val="right"/>
    </w:pPr>
    <w:rPr>
      <w:rFonts w:ascii="ＭＳ ゴシック" w:eastAsia="ＭＳ ゴシック" w:hAnsi="ＭＳ ゴシック" w:cs="ＭＳ Ｐゴシック"/>
      <w:color w:val="FF0000"/>
      <w:kern w:val="0"/>
      <w:sz w:val="20"/>
      <w:szCs w:val="20"/>
    </w:rPr>
  </w:style>
  <w:style w:type="paragraph" w:customStyle="1" w:styleId="xl148">
    <w:name w:val="xl148"/>
    <w:basedOn w:val="a"/>
    <w:rsid w:val="00327EBF"/>
    <w:pPr>
      <w:widowControl/>
      <w:pBdr>
        <w:right w:val="single" w:sz="4" w:space="0" w:color="auto"/>
      </w:pBdr>
      <w:spacing w:before="100" w:beforeAutospacing="1" w:after="100" w:afterAutospacing="1"/>
      <w:jc w:val="center"/>
    </w:pPr>
    <w:rPr>
      <w:rFonts w:ascii="ＭＳ ゴシック" w:eastAsia="ＭＳ ゴシック" w:hAnsi="ＭＳ ゴシック" w:cs="ＭＳ Ｐゴシック"/>
      <w:color w:val="FF0000"/>
      <w:kern w:val="0"/>
      <w:sz w:val="20"/>
      <w:szCs w:val="20"/>
    </w:rPr>
  </w:style>
  <w:style w:type="paragraph" w:customStyle="1" w:styleId="xl149">
    <w:name w:val="xl149"/>
    <w:basedOn w:val="a"/>
    <w:rsid w:val="00327EBF"/>
    <w:pPr>
      <w:widowControl/>
      <w:pBdr>
        <w:top w:val="single" w:sz="4" w:space="0" w:color="auto"/>
        <w:bottom w:val="single" w:sz="8" w:space="0" w:color="auto"/>
        <w:right w:val="single" w:sz="4" w:space="0" w:color="auto"/>
      </w:pBdr>
      <w:spacing w:before="100" w:beforeAutospacing="1" w:after="100" w:afterAutospacing="1"/>
      <w:jc w:val="right"/>
    </w:pPr>
    <w:rPr>
      <w:rFonts w:ascii="ＭＳ ゴシック" w:eastAsia="ＭＳ ゴシック" w:hAnsi="ＭＳ ゴシック" w:cs="ＭＳ Ｐゴシック"/>
      <w:kern w:val="0"/>
      <w:sz w:val="20"/>
      <w:szCs w:val="20"/>
    </w:rPr>
  </w:style>
  <w:style w:type="paragraph" w:customStyle="1" w:styleId="xl150">
    <w:name w:val="xl150"/>
    <w:basedOn w:val="a"/>
    <w:rsid w:val="00327EBF"/>
    <w:pPr>
      <w:widowControl/>
      <w:pBdr>
        <w:top w:val="single" w:sz="4" w:space="0" w:color="auto"/>
        <w:left w:val="single" w:sz="4" w:space="0" w:color="auto"/>
        <w:bottom w:val="single" w:sz="4" w:space="0" w:color="auto"/>
      </w:pBdr>
      <w:spacing w:before="100" w:beforeAutospacing="1" w:after="100" w:afterAutospacing="1"/>
      <w:jc w:val="left"/>
    </w:pPr>
    <w:rPr>
      <w:rFonts w:ascii="ＭＳ Ｐゴシック" w:eastAsia="ＭＳ Ｐゴシック" w:hAnsi="ＭＳ Ｐゴシック" w:cs="ＭＳ Ｐゴシック"/>
      <w:color w:val="FF0000"/>
      <w:kern w:val="0"/>
      <w:sz w:val="24"/>
    </w:rPr>
  </w:style>
  <w:style w:type="paragraph" w:customStyle="1" w:styleId="xl151">
    <w:name w:val="xl151"/>
    <w:basedOn w:val="a"/>
    <w:rsid w:val="00327EBF"/>
    <w:pPr>
      <w:widowControl/>
      <w:spacing w:before="100" w:beforeAutospacing="1" w:after="100" w:afterAutospacing="1"/>
      <w:jc w:val="left"/>
    </w:pPr>
    <w:rPr>
      <w:rFonts w:ascii="ＭＳ Ｐゴシック" w:eastAsia="ＭＳ Ｐゴシック" w:hAnsi="ＭＳ Ｐゴシック" w:cs="ＭＳ Ｐゴシック"/>
      <w:kern w:val="0"/>
      <w:sz w:val="24"/>
    </w:rPr>
  </w:style>
  <w:style w:type="paragraph" w:customStyle="1" w:styleId="xl152">
    <w:name w:val="xl152"/>
    <w:basedOn w:val="a"/>
    <w:rsid w:val="00327EBF"/>
    <w:pPr>
      <w:widowControl/>
      <w:pBdr>
        <w:top w:val="single" w:sz="4" w:space="0" w:color="auto"/>
        <w:left w:val="single" w:sz="4" w:space="0" w:color="auto"/>
        <w:bottom w:val="single" w:sz="4" w:space="0" w:color="auto"/>
      </w:pBdr>
      <w:spacing w:before="100" w:beforeAutospacing="1" w:after="100" w:afterAutospacing="1"/>
      <w:jc w:val="left"/>
    </w:pPr>
    <w:rPr>
      <w:rFonts w:ascii="ＭＳ ゴシック" w:eastAsia="ＭＳ ゴシック" w:hAnsi="ＭＳ ゴシック" w:cs="ＭＳ Ｐゴシック"/>
      <w:color w:val="FF0000"/>
      <w:kern w:val="0"/>
      <w:sz w:val="20"/>
      <w:szCs w:val="20"/>
    </w:rPr>
  </w:style>
  <w:style w:type="paragraph" w:customStyle="1" w:styleId="xl153">
    <w:name w:val="xl153"/>
    <w:basedOn w:val="a"/>
    <w:rsid w:val="00327EBF"/>
    <w:pPr>
      <w:widowControl/>
      <w:pBdr>
        <w:top w:val="single" w:sz="4" w:space="0" w:color="auto"/>
        <w:bottom w:val="single" w:sz="4" w:space="0" w:color="auto"/>
        <w:right w:val="single" w:sz="8" w:space="0" w:color="auto"/>
      </w:pBdr>
      <w:spacing w:before="100" w:beforeAutospacing="1" w:after="100" w:afterAutospacing="1"/>
      <w:jc w:val="left"/>
    </w:pPr>
    <w:rPr>
      <w:rFonts w:ascii="ＭＳ ゴシック" w:eastAsia="ＭＳ ゴシック" w:hAnsi="ＭＳ ゴシック" w:cs="ＭＳ Ｐゴシック"/>
      <w:color w:val="FF0000"/>
      <w:kern w:val="0"/>
      <w:sz w:val="20"/>
      <w:szCs w:val="20"/>
    </w:rPr>
  </w:style>
  <w:style w:type="paragraph" w:customStyle="1" w:styleId="xl154">
    <w:name w:val="xl154"/>
    <w:basedOn w:val="a"/>
    <w:rsid w:val="00327EBF"/>
    <w:pPr>
      <w:widowControl/>
      <w:pBdr>
        <w:top w:val="single" w:sz="4" w:space="0" w:color="auto"/>
        <w:left w:val="single" w:sz="4" w:space="0" w:color="auto"/>
        <w:right w:val="single" w:sz="4" w:space="0" w:color="auto"/>
      </w:pBdr>
      <w:spacing w:before="100" w:beforeAutospacing="1" w:after="100" w:afterAutospacing="1"/>
      <w:jc w:val="left"/>
    </w:pPr>
    <w:rPr>
      <w:rFonts w:ascii="ＭＳ ゴシック" w:eastAsia="ＭＳ ゴシック" w:hAnsi="ＭＳ ゴシック" w:cs="ＭＳ Ｐゴシック"/>
      <w:color w:val="FF0000"/>
      <w:kern w:val="0"/>
      <w:sz w:val="20"/>
      <w:szCs w:val="20"/>
    </w:rPr>
  </w:style>
  <w:style w:type="paragraph" w:customStyle="1" w:styleId="xl155">
    <w:name w:val="xl155"/>
    <w:basedOn w:val="a"/>
    <w:rsid w:val="00327EBF"/>
    <w:pPr>
      <w:widowControl/>
      <w:pBdr>
        <w:left w:val="single" w:sz="4" w:space="0" w:color="auto"/>
        <w:right w:val="single" w:sz="4" w:space="0" w:color="auto"/>
      </w:pBdr>
      <w:spacing w:before="100" w:beforeAutospacing="1" w:after="100" w:afterAutospacing="1"/>
      <w:jc w:val="left"/>
    </w:pPr>
    <w:rPr>
      <w:rFonts w:ascii="ＭＳ ゴシック" w:eastAsia="ＭＳ ゴシック" w:hAnsi="ＭＳ ゴシック" w:cs="ＭＳ Ｐゴシック"/>
      <w:color w:val="FF0000"/>
      <w:kern w:val="0"/>
      <w:sz w:val="20"/>
      <w:szCs w:val="20"/>
    </w:rPr>
  </w:style>
  <w:style w:type="paragraph" w:customStyle="1" w:styleId="xl156">
    <w:name w:val="xl156"/>
    <w:basedOn w:val="a"/>
    <w:rsid w:val="00327EBF"/>
    <w:pPr>
      <w:widowControl/>
      <w:pBdr>
        <w:left w:val="single" w:sz="4" w:space="0" w:color="auto"/>
        <w:bottom w:val="single" w:sz="4" w:space="0" w:color="auto"/>
        <w:right w:val="single" w:sz="4" w:space="0" w:color="auto"/>
      </w:pBdr>
      <w:spacing w:before="100" w:beforeAutospacing="1" w:after="100" w:afterAutospacing="1"/>
      <w:jc w:val="left"/>
    </w:pPr>
    <w:rPr>
      <w:rFonts w:ascii="ＭＳ ゴシック" w:eastAsia="ＭＳ ゴシック" w:hAnsi="ＭＳ ゴシック" w:cs="ＭＳ Ｐゴシック"/>
      <w:color w:val="FF0000"/>
      <w:kern w:val="0"/>
      <w:sz w:val="20"/>
      <w:szCs w:val="20"/>
    </w:rPr>
  </w:style>
  <w:style w:type="paragraph" w:customStyle="1" w:styleId="xl157">
    <w:name w:val="xl157"/>
    <w:basedOn w:val="a"/>
    <w:rsid w:val="00327EBF"/>
    <w:pPr>
      <w:widowControl/>
      <w:pBdr>
        <w:top w:val="single" w:sz="4" w:space="0" w:color="auto"/>
        <w:bottom w:val="single" w:sz="4" w:space="0" w:color="auto"/>
        <w:right w:val="single" w:sz="4" w:space="0" w:color="auto"/>
      </w:pBdr>
      <w:spacing w:before="100" w:beforeAutospacing="1" w:after="100" w:afterAutospacing="1"/>
      <w:jc w:val="left"/>
    </w:pPr>
    <w:rPr>
      <w:rFonts w:ascii="ＭＳ ゴシック" w:eastAsia="ＭＳ ゴシック" w:hAnsi="ＭＳ ゴシック" w:cs="ＭＳ Ｐゴシック"/>
      <w:color w:val="FF0000"/>
      <w:kern w:val="0"/>
      <w:sz w:val="20"/>
      <w:szCs w:val="20"/>
    </w:rPr>
  </w:style>
  <w:style w:type="paragraph" w:customStyle="1" w:styleId="xl158">
    <w:name w:val="xl158"/>
    <w:basedOn w:val="a"/>
    <w:rsid w:val="00327EBF"/>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ＭＳ ゴシック" w:eastAsia="ＭＳ ゴシック" w:hAnsi="ＭＳ ゴシック" w:cs="ＭＳ Ｐゴシック"/>
      <w:kern w:val="0"/>
      <w:sz w:val="20"/>
      <w:szCs w:val="20"/>
    </w:rPr>
  </w:style>
  <w:style w:type="paragraph" w:customStyle="1" w:styleId="xl159">
    <w:name w:val="xl159"/>
    <w:basedOn w:val="a"/>
    <w:rsid w:val="00327EBF"/>
    <w:pPr>
      <w:widowControl/>
      <w:pBdr>
        <w:top w:val="single" w:sz="4" w:space="0" w:color="auto"/>
        <w:left w:val="single" w:sz="4" w:space="0" w:color="auto"/>
        <w:bottom w:val="single" w:sz="4" w:space="0" w:color="auto"/>
      </w:pBdr>
      <w:spacing w:before="100" w:beforeAutospacing="1" w:after="100" w:afterAutospacing="1"/>
      <w:jc w:val="left"/>
    </w:pPr>
    <w:rPr>
      <w:rFonts w:ascii="ＭＳ ゴシック" w:eastAsia="ＭＳ ゴシック" w:hAnsi="ＭＳ ゴシック" w:cs="ＭＳ Ｐゴシック"/>
      <w:kern w:val="0"/>
      <w:sz w:val="20"/>
      <w:szCs w:val="20"/>
    </w:rPr>
  </w:style>
  <w:style w:type="paragraph" w:customStyle="1" w:styleId="xl160">
    <w:name w:val="xl160"/>
    <w:basedOn w:val="a"/>
    <w:rsid w:val="00327EBF"/>
    <w:pPr>
      <w:widowControl/>
      <w:pBdr>
        <w:top w:val="single" w:sz="4" w:space="0" w:color="auto"/>
        <w:bottom w:val="single" w:sz="4" w:space="0" w:color="auto"/>
        <w:right w:val="single" w:sz="8" w:space="0" w:color="auto"/>
      </w:pBdr>
      <w:spacing w:before="100" w:beforeAutospacing="1" w:after="100" w:afterAutospacing="1"/>
      <w:jc w:val="left"/>
    </w:pPr>
    <w:rPr>
      <w:rFonts w:ascii="ＭＳ ゴシック" w:eastAsia="ＭＳ ゴシック" w:hAnsi="ＭＳ ゴシック" w:cs="ＭＳ Ｐゴシック"/>
      <w:kern w:val="0"/>
      <w:sz w:val="20"/>
      <w:szCs w:val="20"/>
    </w:rPr>
  </w:style>
  <w:style w:type="paragraph" w:customStyle="1" w:styleId="xl161">
    <w:name w:val="xl161"/>
    <w:basedOn w:val="a"/>
    <w:rsid w:val="00327EBF"/>
    <w:pPr>
      <w:widowControl/>
      <w:pBdr>
        <w:top w:val="single" w:sz="4" w:space="0" w:color="auto"/>
        <w:left w:val="single" w:sz="8" w:space="0" w:color="auto"/>
      </w:pBdr>
      <w:spacing w:before="100" w:beforeAutospacing="1" w:after="100" w:afterAutospacing="1"/>
      <w:jc w:val="center"/>
    </w:pPr>
    <w:rPr>
      <w:rFonts w:ascii="ＭＳ ゴシック" w:eastAsia="ＭＳ ゴシック" w:hAnsi="ＭＳ ゴシック" w:cs="ＭＳ Ｐゴシック"/>
      <w:color w:val="FF0000"/>
      <w:kern w:val="0"/>
      <w:sz w:val="20"/>
      <w:szCs w:val="20"/>
    </w:rPr>
  </w:style>
  <w:style w:type="paragraph" w:customStyle="1" w:styleId="xl162">
    <w:name w:val="xl162"/>
    <w:basedOn w:val="a"/>
    <w:rsid w:val="00327EBF"/>
    <w:pPr>
      <w:widowControl/>
      <w:pBdr>
        <w:left w:val="single" w:sz="8" w:space="0" w:color="auto"/>
      </w:pBdr>
      <w:spacing w:before="100" w:beforeAutospacing="1" w:after="100" w:afterAutospacing="1"/>
      <w:jc w:val="center"/>
    </w:pPr>
    <w:rPr>
      <w:rFonts w:ascii="ＭＳ ゴシック" w:eastAsia="ＭＳ ゴシック" w:hAnsi="ＭＳ ゴシック" w:cs="ＭＳ Ｐゴシック"/>
      <w:color w:val="FF0000"/>
      <w:kern w:val="0"/>
      <w:sz w:val="20"/>
      <w:szCs w:val="20"/>
    </w:rPr>
  </w:style>
  <w:style w:type="paragraph" w:customStyle="1" w:styleId="xl163">
    <w:name w:val="xl163"/>
    <w:basedOn w:val="a"/>
    <w:rsid w:val="00327EBF"/>
    <w:pPr>
      <w:widowControl/>
      <w:pBdr>
        <w:left w:val="single" w:sz="8" w:space="0" w:color="auto"/>
        <w:bottom w:val="single" w:sz="4" w:space="0" w:color="auto"/>
      </w:pBdr>
      <w:spacing w:before="100" w:beforeAutospacing="1" w:after="100" w:afterAutospacing="1"/>
      <w:jc w:val="center"/>
    </w:pPr>
    <w:rPr>
      <w:rFonts w:ascii="ＭＳ ゴシック" w:eastAsia="ＭＳ ゴシック" w:hAnsi="ＭＳ ゴシック" w:cs="ＭＳ Ｐゴシック"/>
      <w:color w:val="FF0000"/>
      <w:kern w:val="0"/>
      <w:sz w:val="20"/>
      <w:szCs w:val="20"/>
    </w:rPr>
  </w:style>
  <w:style w:type="paragraph" w:customStyle="1" w:styleId="xl164">
    <w:name w:val="xl164"/>
    <w:basedOn w:val="a"/>
    <w:rsid w:val="00327EBF"/>
    <w:pPr>
      <w:widowControl/>
      <w:pBdr>
        <w:top w:val="single" w:sz="4" w:space="0" w:color="auto"/>
        <w:left w:val="single" w:sz="4" w:space="0" w:color="auto"/>
        <w:right w:val="single" w:sz="4" w:space="0" w:color="auto"/>
      </w:pBdr>
      <w:spacing w:before="100" w:beforeAutospacing="1" w:after="100" w:afterAutospacing="1"/>
      <w:jc w:val="left"/>
    </w:pPr>
    <w:rPr>
      <w:rFonts w:ascii="ＭＳ ゴシック" w:eastAsia="ＭＳ ゴシック" w:hAnsi="ＭＳ ゴシック" w:cs="ＭＳ Ｐゴシック"/>
      <w:kern w:val="0"/>
      <w:sz w:val="20"/>
      <w:szCs w:val="20"/>
    </w:rPr>
  </w:style>
  <w:style w:type="paragraph" w:customStyle="1" w:styleId="xl165">
    <w:name w:val="xl165"/>
    <w:basedOn w:val="a"/>
    <w:rsid w:val="00327EBF"/>
    <w:pPr>
      <w:widowControl/>
      <w:pBdr>
        <w:left w:val="single" w:sz="4" w:space="0" w:color="auto"/>
        <w:right w:val="single" w:sz="4" w:space="0" w:color="auto"/>
      </w:pBdr>
      <w:spacing w:before="100" w:beforeAutospacing="1" w:after="100" w:afterAutospacing="1"/>
      <w:jc w:val="left"/>
    </w:pPr>
    <w:rPr>
      <w:rFonts w:ascii="ＭＳ ゴシック" w:eastAsia="ＭＳ ゴシック" w:hAnsi="ＭＳ ゴシック" w:cs="ＭＳ Ｐゴシック"/>
      <w:kern w:val="0"/>
      <w:sz w:val="24"/>
    </w:rPr>
  </w:style>
  <w:style w:type="paragraph" w:customStyle="1" w:styleId="xl166">
    <w:name w:val="xl166"/>
    <w:basedOn w:val="a"/>
    <w:rsid w:val="00327EBF"/>
    <w:pPr>
      <w:widowControl/>
      <w:pBdr>
        <w:top w:val="single" w:sz="4" w:space="0" w:color="auto"/>
        <w:left w:val="single" w:sz="4" w:space="0" w:color="auto"/>
        <w:right w:val="single" w:sz="8" w:space="0" w:color="auto"/>
      </w:pBdr>
      <w:spacing w:before="100" w:beforeAutospacing="1" w:after="100" w:afterAutospacing="1"/>
      <w:jc w:val="left"/>
    </w:pPr>
    <w:rPr>
      <w:rFonts w:ascii="ＭＳ ゴシック" w:eastAsia="ＭＳ ゴシック" w:hAnsi="ＭＳ ゴシック" w:cs="ＭＳ Ｐゴシック"/>
      <w:kern w:val="0"/>
      <w:sz w:val="20"/>
      <w:szCs w:val="20"/>
    </w:rPr>
  </w:style>
  <w:style w:type="paragraph" w:customStyle="1" w:styleId="xl167">
    <w:name w:val="xl167"/>
    <w:basedOn w:val="a"/>
    <w:rsid w:val="00327EBF"/>
    <w:pPr>
      <w:widowControl/>
      <w:pBdr>
        <w:left w:val="single" w:sz="4" w:space="0" w:color="auto"/>
        <w:right w:val="single" w:sz="8" w:space="0" w:color="auto"/>
      </w:pBdr>
      <w:spacing w:before="100" w:beforeAutospacing="1" w:after="100" w:afterAutospacing="1"/>
      <w:jc w:val="left"/>
    </w:pPr>
    <w:rPr>
      <w:rFonts w:ascii="ＭＳ ゴシック" w:eastAsia="ＭＳ ゴシック" w:hAnsi="ＭＳ ゴシック" w:cs="ＭＳ Ｐゴシック"/>
      <w:kern w:val="0"/>
      <w:sz w:val="20"/>
      <w:szCs w:val="20"/>
    </w:rPr>
  </w:style>
  <w:style w:type="paragraph" w:customStyle="1" w:styleId="xl168">
    <w:name w:val="xl168"/>
    <w:basedOn w:val="a"/>
    <w:rsid w:val="00327EBF"/>
    <w:pPr>
      <w:widowControl/>
      <w:pBdr>
        <w:left w:val="single" w:sz="4" w:space="0" w:color="auto"/>
        <w:bottom w:val="single" w:sz="4" w:space="0" w:color="auto"/>
        <w:right w:val="single" w:sz="8" w:space="0" w:color="auto"/>
      </w:pBdr>
      <w:spacing w:before="100" w:beforeAutospacing="1" w:after="100" w:afterAutospacing="1"/>
      <w:jc w:val="left"/>
    </w:pPr>
    <w:rPr>
      <w:rFonts w:ascii="ＭＳ ゴシック" w:eastAsia="ＭＳ ゴシック" w:hAnsi="ＭＳ ゴシック" w:cs="ＭＳ Ｐゴシック"/>
      <w:kern w:val="0"/>
      <w:sz w:val="20"/>
      <w:szCs w:val="20"/>
    </w:rPr>
  </w:style>
  <w:style w:type="paragraph" w:customStyle="1" w:styleId="xl169">
    <w:name w:val="xl169"/>
    <w:basedOn w:val="a"/>
    <w:rsid w:val="00327EBF"/>
    <w:pPr>
      <w:widowControl/>
      <w:pBdr>
        <w:top w:val="single" w:sz="4" w:space="0" w:color="auto"/>
        <w:left w:val="single" w:sz="4" w:space="0" w:color="auto"/>
        <w:bottom w:val="single" w:sz="4" w:space="0" w:color="auto"/>
      </w:pBdr>
      <w:spacing w:before="100" w:beforeAutospacing="1" w:after="100" w:afterAutospacing="1"/>
    </w:pPr>
    <w:rPr>
      <w:rFonts w:ascii="ＭＳ ゴシック" w:eastAsia="ＭＳ ゴシック" w:hAnsi="ＭＳ ゴシック" w:cs="ＭＳ Ｐゴシック"/>
      <w:kern w:val="0"/>
      <w:sz w:val="20"/>
      <w:szCs w:val="20"/>
    </w:rPr>
  </w:style>
  <w:style w:type="paragraph" w:customStyle="1" w:styleId="xl170">
    <w:name w:val="xl170"/>
    <w:basedOn w:val="a"/>
    <w:rsid w:val="00327EBF"/>
    <w:pPr>
      <w:widowControl/>
      <w:pBdr>
        <w:top w:val="single" w:sz="4" w:space="0" w:color="auto"/>
        <w:bottom w:val="single" w:sz="4" w:space="0" w:color="auto"/>
      </w:pBdr>
      <w:spacing w:before="100" w:beforeAutospacing="1" w:after="100" w:afterAutospacing="1"/>
      <w:jc w:val="left"/>
    </w:pPr>
    <w:rPr>
      <w:rFonts w:ascii="ＭＳ ゴシック" w:eastAsia="ＭＳ ゴシック" w:hAnsi="ＭＳ ゴシック" w:cs="ＭＳ Ｐゴシック"/>
      <w:color w:val="FF0000"/>
      <w:kern w:val="0"/>
      <w:sz w:val="20"/>
      <w:szCs w:val="20"/>
    </w:rPr>
  </w:style>
  <w:style w:type="paragraph" w:customStyle="1" w:styleId="xl171">
    <w:name w:val="xl171"/>
    <w:basedOn w:val="a"/>
    <w:rsid w:val="00327EBF"/>
    <w:pPr>
      <w:widowControl/>
      <w:pBdr>
        <w:left w:val="single" w:sz="4" w:space="0" w:color="auto"/>
        <w:bottom w:val="single" w:sz="4" w:space="0" w:color="auto"/>
      </w:pBdr>
      <w:spacing w:before="100" w:beforeAutospacing="1" w:after="100" w:afterAutospacing="1"/>
    </w:pPr>
    <w:rPr>
      <w:rFonts w:ascii="ＭＳ ゴシック" w:eastAsia="ＭＳ ゴシック" w:hAnsi="ＭＳ ゴシック" w:cs="ＭＳ Ｐゴシック"/>
      <w:kern w:val="0"/>
      <w:sz w:val="20"/>
      <w:szCs w:val="20"/>
    </w:rPr>
  </w:style>
  <w:style w:type="paragraph" w:customStyle="1" w:styleId="xl172">
    <w:name w:val="xl172"/>
    <w:basedOn w:val="a"/>
    <w:rsid w:val="00327EBF"/>
    <w:pPr>
      <w:widowControl/>
      <w:pBdr>
        <w:bottom w:val="single" w:sz="4" w:space="0" w:color="auto"/>
        <w:right w:val="single" w:sz="8" w:space="0" w:color="auto"/>
      </w:pBdr>
      <w:spacing w:before="100" w:beforeAutospacing="1" w:after="100" w:afterAutospacing="1"/>
    </w:pPr>
    <w:rPr>
      <w:rFonts w:ascii="ＭＳ ゴシック" w:eastAsia="ＭＳ ゴシック" w:hAnsi="ＭＳ ゴシック" w:cs="ＭＳ Ｐゴシック"/>
      <w:kern w:val="0"/>
      <w:sz w:val="20"/>
      <w:szCs w:val="20"/>
    </w:rPr>
  </w:style>
  <w:style w:type="paragraph" w:customStyle="1" w:styleId="xl173">
    <w:name w:val="xl173"/>
    <w:basedOn w:val="a"/>
    <w:rsid w:val="00327EBF"/>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ＭＳ ゴシック" w:eastAsia="ＭＳ ゴシック" w:hAnsi="ＭＳ ゴシック" w:cs="ＭＳ Ｐゴシック"/>
      <w:color w:val="FF0000"/>
      <w:kern w:val="0"/>
      <w:sz w:val="20"/>
      <w:szCs w:val="20"/>
    </w:rPr>
  </w:style>
  <w:style w:type="paragraph" w:customStyle="1" w:styleId="xl174">
    <w:name w:val="xl174"/>
    <w:basedOn w:val="a"/>
    <w:rsid w:val="00327EBF"/>
    <w:pPr>
      <w:widowControl/>
      <w:pBdr>
        <w:top w:val="single" w:sz="4" w:space="0" w:color="auto"/>
        <w:left w:val="single" w:sz="4" w:space="0" w:color="auto"/>
        <w:bottom w:val="single" w:sz="4" w:space="0" w:color="auto"/>
        <w:right w:val="single" w:sz="8" w:space="0" w:color="auto"/>
      </w:pBdr>
      <w:spacing w:before="100" w:beforeAutospacing="1" w:after="100" w:afterAutospacing="1"/>
      <w:jc w:val="left"/>
    </w:pPr>
    <w:rPr>
      <w:rFonts w:ascii="ＭＳ ゴシック" w:eastAsia="ＭＳ ゴシック" w:hAnsi="ＭＳ ゴシック" w:cs="ＭＳ Ｐゴシック"/>
      <w:color w:val="FF0000"/>
      <w:kern w:val="0"/>
      <w:sz w:val="20"/>
      <w:szCs w:val="20"/>
    </w:rPr>
  </w:style>
  <w:style w:type="paragraph" w:customStyle="1" w:styleId="xl175">
    <w:name w:val="xl175"/>
    <w:basedOn w:val="a"/>
    <w:rsid w:val="00327EBF"/>
    <w:pPr>
      <w:widowControl/>
      <w:pBdr>
        <w:left w:val="single" w:sz="4" w:space="0" w:color="auto"/>
        <w:right w:val="single" w:sz="4" w:space="0" w:color="auto"/>
      </w:pBdr>
      <w:spacing w:before="100" w:beforeAutospacing="1" w:after="100" w:afterAutospacing="1"/>
      <w:jc w:val="left"/>
    </w:pPr>
    <w:rPr>
      <w:rFonts w:ascii="ＭＳ ゴシック" w:eastAsia="ＭＳ ゴシック" w:hAnsi="ＭＳ ゴシック" w:cs="ＭＳ Ｐゴシック"/>
      <w:kern w:val="0"/>
      <w:sz w:val="20"/>
      <w:szCs w:val="20"/>
    </w:rPr>
  </w:style>
  <w:style w:type="paragraph" w:customStyle="1" w:styleId="xl176">
    <w:name w:val="xl176"/>
    <w:basedOn w:val="a"/>
    <w:rsid w:val="00327EBF"/>
    <w:pPr>
      <w:widowControl/>
      <w:pBdr>
        <w:left w:val="single" w:sz="4" w:space="0" w:color="auto"/>
        <w:right w:val="single" w:sz="4" w:space="0" w:color="auto"/>
      </w:pBdr>
      <w:spacing w:before="100" w:beforeAutospacing="1" w:after="100" w:afterAutospacing="1"/>
      <w:jc w:val="left"/>
    </w:pPr>
    <w:rPr>
      <w:rFonts w:ascii="ＭＳ ゴシック" w:eastAsia="ＭＳ ゴシック" w:hAnsi="ＭＳ ゴシック" w:cs="ＭＳ Ｐゴシック"/>
      <w:kern w:val="0"/>
      <w:sz w:val="20"/>
      <w:szCs w:val="20"/>
    </w:rPr>
  </w:style>
  <w:style w:type="paragraph" w:customStyle="1" w:styleId="xl177">
    <w:name w:val="xl177"/>
    <w:basedOn w:val="a"/>
    <w:rsid w:val="00327EBF"/>
    <w:pPr>
      <w:widowControl/>
      <w:pBdr>
        <w:left w:val="single" w:sz="4" w:space="0" w:color="auto"/>
        <w:bottom w:val="single" w:sz="4" w:space="0" w:color="auto"/>
        <w:right w:val="single" w:sz="4" w:space="0" w:color="auto"/>
      </w:pBdr>
      <w:spacing w:before="100" w:beforeAutospacing="1" w:after="100" w:afterAutospacing="1"/>
      <w:jc w:val="left"/>
    </w:pPr>
    <w:rPr>
      <w:rFonts w:ascii="ＭＳ ゴシック" w:eastAsia="ＭＳ ゴシック" w:hAnsi="ＭＳ ゴシック" w:cs="ＭＳ Ｐゴシック"/>
      <w:kern w:val="0"/>
      <w:sz w:val="20"/>
      <w:szCs w:val="20"/>
    </w:rPr>
  </w:style>
  <w:style w:type="paragraph" w:customStyle="1" w:styleId="xl178">
    <w:name w:val="xl178"/>
    <w:basedOn w:val="a"/>
    <w:rsid w:val="00327EBF"/>
    <w:pPr>
      <w:widowControl/>
      <w:pBdr>
        <w:top w:val="single" w:sz="4" w:space="0" w:color="auto"/>
        <w:left w:val="single" w:sz="8" w:space="0" w:color="auto"/>
        <w:right w:val="single" w:sz="4" w:space="0" w:color="auto"/>
      </w:pBdr>
      <w:spacing w:before="100" w:beforeAutospacing="1" w:after="100" w:afterAutospacing="1"/>
      <w:jc w:val="left"/>
    </w:pPr>
    <w:rPr>
      <w:rFonts w:ascii="ＭＳ ゴシック" w:eastAsia="ＭＳ ゴシック" w:hAnsi="ＭＳ ゴシック" w:cs="ＭＳ Ｐゴシック"/>
      <w:kern w:val="0"/>
      <w:sz w:val="20"/>
      <w:szCs w:val="20"/>
    </w:rPr>
  </w:style>
  <w:style w:type="paragraph" w:customStyle="1" w:styleId="xl179">
    <w:name w:val="xl179"/>
    <w:basedOn w:val="a"/>
    <w:rsid w:val="00327EBF"/>
    <w:pPr>
      <w:widowControl/>
      <w:pBdr>
        <w:left w:val="single" w:sz="8" w:space="0" w:color="auto"/>
        <w:right w:val="single" w:sz="4" w:space="0" w:color="auto"/>
      </w:pBdr>
      <w:spacing w:before="100" w:beforeAutospacing="1" w:after="100" w:afterAutospacing="1"/>
      <w:jc w:val="left"/>
    </w:pPr>
    <w:rPr>
      <w:rFonts w:ascii="ＭＳ ゴシック" w:eastAsia="ＭＳ ゴシック" w:hAnsi="ＭＳ ゴシック" w:cs="ＭＳ Ｐゴシック"/>
      <w:kern w:val="0"/>
      <w:sz w:val="20"/>
      <w:szCs w:val="20"/>
    </w:rPr>
  </w:style>
  <w:style w:type="paragraph" w:customStyle="1" w:styleId="xl180">
    <w:name w:val="xl180"/>
    <w:basedOn w:val="a"/>
    <w:rsid w:val="00327EBF"/>
    <w:pPr>
      <w:widowControl/>
      <w:pBdr>
        <w:left w:val="single" w:sz="8" w:space="0" w:color="auto"/>
        <w:bottom w:val="single" w:sz="4" w:space="0" w:color="auto"/>
        <w:right w:val="single" w:sz="4" w:space="0" w:color="auto"/>
      </w:pBdr>
      <w:spacing w:before="100" w:beforeAutospacing="1" w:after="100" w:afterAutospacing="1"/>
      <w:jc w:val="left"/>
    </w:pPr>
    <w:rPr>
      <w:rFonts w:ascii="ＭＳ ゴシック" w:eastAsia="ＭＳ ゴシック" w:hAnsi="ＭＳ ゴシック" w:cs="ＭＳ Ｐゴシック"/>
      <w:kern w:val="0"/>
      <w:sz w:val="20"/>
      <w:szCs w:val="20"/>
    </w:rPr>
  </w:style>
  <w:style w:type="paragraph" w:customStyle="1" w:styleId="xl181">
    <w:name w:val="xl181"/>
    <w:basedOn w:val="a"/>
    <w:rsid w:val="00327EBF"/>
    <w:pPr>
      <w:widowControl/>
      <w:pBdr>
        <w:top w:val="single" w:sz="4" w:space="0" w:color="auto"/>
        <w:left w:val="single" w:sz="4" w:space="0" w:color="auto"/>
        <w:right w:val="single" w:sz="4" w:space="0" w:color="auto"/>
      </w:pBdr>
      <w:spacing w:before="100" w:beforeAutospacing="1" w:after="100" w:afterAutospacing="1"/>
      <w:jc w:val="left"/>
    </w:pPr>
    <w:rPr>
      <w:rFonts w:ascii="ＭＳ ゴシック" w:eastAsia="ＭＳ ゴシック" w:hAnsi="ＭＳ ゴシック" w:cs="ＭＳ Ｐゴシック"/>
      <w:kern w:val="0"/>
      <w:sz w:val="18"/>
      <w:szCs w:val="18"/>
    </w:rPr>
  </w:style>
  <w:style w:type="paragraph" w:customStyle="1" w:styleId="xl182">
    <w:name w:val="xl182"/>
    <w:basedOn w:val="a"/>
    <w:rsid w:val="00327EBF"/>
    <w:pPr>
      <w:widowControl/>
      <w:pBdr>
        <w:left w:val="single" w:sz="4" w:space="0" w:color="auto"/>
        <w:bottom w:val="single" w:sz="4" w:space="0" w:color="auto"/>
        <w:right w:val="single" w:sz="4" w:space="0" w:color="auto"/>
      </w:pBdr>
      <w:spacing w:before="100" w:beforeAutospacing="1" w:after="100" w:afterAutospacing="1"/>
      <w:jc w:val="left"/>
    </w:pPr>
    <w:rPr>
      <w:rFonts w:ascii="ＭＳ ゴシック" w:eastAsia="ＭＳ ゴシック" w:hAnsi="ＭＳ ゴシック" w:cs="ＭＳ Ｐゴシック"/>
      <w:kern w:val="0"/>
      <w:sz w:val="18"/>
      <w:szCs w:val="18"/>
    </w:rPr>
  </w:style>
  <w:style w:type="paragraph" w:customStyle="1" w:styleId="xl183">
    <w:name w:val="xl183"/>
    <w:basedOn w:val="a"/>
    <w:rsid w:val="00327EBF"/>
    <w:pPr>
      <w:widowControl/>
      <w:pBdr>
        <w:top w:val="single" w:sz="4" w:space="0" w:color="auto"/>
        <w:bottom w:val="single" w:sz="4" w:space="0" w:color="auto"/>
      </w:pBdr>
      <w:spacing w:before="100" w:beforeAutospacing="1" w:after="100" w:afterAutospacing="1"/>
      <w:jc w:val="center"/>
    </w:pPr>
    <w:rPr>
      <w:rFonts w:ascii="ＭＳ ゴシック" w:eastAsia="ＭＳ ゴシック" w:hAnsi="ＭＳ ゴシック" w:cs="ＭＳ Ｐゴシック"/>
      <w:kern w:val="0"/>
      <w:sz w:val="20"/>
      <w:szCs w:val="20"/>
    </w:rPr>
  </w:style>
  <w:style w:type="paragraph" w:customStyle="1" w:styleId="xl184">
    <w:name w:val="xl184"/>
    <w:basedOn w:val="a"/>
    <w:rsid w:val="00327EBF"/>
    <w:pPr>
      <w:widowControl/>
      <w:pBdr>
        <w:top w:val="single" w:sz="4" w:space="0" w:color="auto"/>
        <w:bottom w:val="single" w:sz="4" w:space="0" w:color="auto"/>
        <w:right w:val="single" w:sz="8" w:space="0" w:color="auto"/>
      </w:pBdr>
      <w:spacing w:before="100" w:beforeAutospacing="1" w:after="100" w:afterAutospacing="1"/>
      <w:jc w:val="center"/>
    </w:pPr>
    <w:rPr>
      <w:rFonts w:ascii="ＭＳ ゴシック" w:eastAsia="ＭＳ ゴシック" w:hAnsi="ＭＳ ゴシック" w:cs="ＭＳ Ｐゴシック"/>
      <w:kern w:val="0"/>
      <w:sz w:val="20"/>
      <w:szCs w:val="20"/>
    </w:rPr>
  </w:style>
  <w:style w:type="paragraph" w:customStyle="1" w:styleId="xl185">
    <w:name w:val="xl185"/>
    <w:basedOn w:val="a"/>
    <w:rsid w:val="00327EBF"/>
    <w:pPr>
      <w:widowControl/>
      <w:pBdr>
        <w:left w:val="single" w:sz="8" w:space="0" w:color="auto"/>
        <w:right w:val="single" w:sz="4" w:space="0" w:color="auto"/>
      </w:pBdr>
      <w:spacing w:before="100" w:beforeAutospacing="1" w:after="100" w:afterAutospacing="1"/>
      <w:jc w:val="right"/>
    </w:pPr>
    <w:rPr>
      <w:rFonts w:ascii="ＭＳ Ｐゴシック" w:eastAsia="ＭＳ Ｐゴシック" w:hAnsi="ＭＳ Ｐゴシック" w:cs="ＭＳ Ｐゴシック"/>
      <w:kern w:val="0"/>
      <w:sz w:val="24"/>
    </w:rPr>
  </w:style>
  <w:style w:type="paragraph" w:customStyle="1" w:styleId="xl186">
    <w:name w:val="xl186"/>
    <w:basedOn w:val="a"/>
    <w:rsid w:val="00327EBF"/>
    <w:pPr>
      <w:widowControl/>
      <w:pBdr>
        <w:left w:val="single" w:sz="8" w:space="0" w:color="auto"/>
        <w:bottom w:val="single" w:sz="4" w:space="0" w:color="auto"/>
        <w:right w:val="single" w:sz="4" w:space="0" w:color="auto"/>
      </w:pBdr>
      <w:spacing w:before="100" w:beforeAutospacing="1" w:after="100" w:afterAutospacing="1"/>
      <w:jc w:val="right"/>
    </w:pPr>
    <w:rPr>
      <w:rFonts w:ascii="ＭＳ Ｐゴシック" w:eastAsia="ＭＳ Ｐゴシック" w:hAnsi="ＭＳ Ｐゴシック" w:cs="ＭＳ Ｐゴシック"/>
      <w:kern w:val="0"/>
      <w:sz w:val="24"/>
    </w:rPr>
  </w:style>
  <w:style w:type="paragraph" w:customStyle="1" w:styleId="xl187">
    <w:name w:val="xl187"/>
    <w:basedOn w:val="a"/>
    <w:rsid w:val="00327EBF"/>
    <w:pPr>
      <w:widowControl/>
      <w:pBdr>
        <w:left w:val="single" w:sz="4" w:space="0" w:color="auto"/>
        <w:right w:val="single" w:sz="4" w:space="0" w:color="auto"/>
      </w:pBdr>
      <w:spacing w:before="100" w:beforeAutospacing="1" w:after="100" w:afterAutospacing="1"/>
      <w:jc w:val="right"/>
    </w:pPr>
    <w:rPr>
      <w:rFonts w:ascii="ＭＳ Ｐゴシック" w:eastAsia="ＭＳ Ｐゴシック" w:hAnsi="ＭＳ Ｐゴシック" w:cs="ＭＳ Ｐゴシック"/>
      <w:kern w:val="0"/>
      <w:sz w:val="24"/>
    </w:rPr>
  </w:style>
  <w:style w:type="paragraph" w:customStyle="1" w:styleId="xl188">
    <w:name w:val="xl188"/>
    <w:basedOn w:val="a"/>
    <w:rsid w:val="00327EBF"/>
    <w:pPr>
      <w:widowControl/>
      <w:pBdr>
        <w:left w:val="single" w:sz="4" w:space="0" w:color="auto"/>
        <w:bottom w:val="single" w:sz="4" w:space="0" w:color="auto"/>
        <w:right w:val="single" w:sz="4" w:space="0" w:color="auto"/>
      </w:pBdr>
      <w:spacing w:before="100" w:beforeAutospacing="1" w:after="100" w:afterAutospacing="1"/>
      <w:jc w:val="right"/>
    </w:pPr>
    <w:rPr>
      <w:rFonts w:ascii="ＭＳ Ｐゴシック" w:eastAsia="ＭＳ Ｐゴシック" w:hAnsi="ＭＳ Ｐゴシック" w:cs="ＭＳ Ｐゴシック"/>
      <w:kern w:val="0"/>
      <w:sz w:val="24"/>
    </w:rPr>
  </w:style>
  <w:style w:type="paragraph" w:customStyle="1" w:styleId="xl189">
    <w:name w:val="xl189"/>
    <w:basedOn w:val="a"/>
    <w:rsid w:val="00327EBF"/>
    <w:pPr>
      <w:widowControl/>
      <w:pBdr>
        <w:top w:val="single" w:sz="4" w:space="0" w:color="auto"/>
        <w:left w:val="single" w:sz="4" w:space="0" w:color="auto"/>
        <w:bottom w:val="single" w:sz="4" w:space="0" w:color="auto"/>
      </w:pBdr>
      <w:spacing w:before="100" w:beforeAutospacing="1" w:after="100" w:afterAutospacing="1"/>
    </w:pPr>
    <w:rPr>
      <w:rFonts w:ascii="ＭＳ ゴシック" w:eastAsia="ＭＳ ゴシック" w:hAnsi="ＭＳ ゴシック" w:cs="ＭＳ Ｐゴシック"/>
      <w:color w:val="FF0000"/>
      <w:kern w:val="0"/>
      <w:sz w:val="20"/>
      <w:szCs w:val="20"/>
    </w:rPr>
  </w:style>
  <w:style w:type="paragraph" w:customStyle="1" w:styleId="xl190">
    <w:name w:val="xl190"/>
    <w:basedOn w:val="a"/>
    <w:rsid w:val="00327EBF"/>
    <w:pPr>
      <w:widowControl/>
      <w:pBdr>
        <w:top w:val="single" w:sz="4" w:space="0" w:color="auto"/>
        <w:bottom w:val="single" w:sz="4" w:space="0" w:color="auto"/>
        <w:right w:val="single" w:sz="8" w:space="0" w:color="auto"/>
      </w:pBdr>
      <w:spacing w:before="100" w:beforeAutospacing="1" w:after="100" w:afterAutospacing="1"/>
    </w:pPr>
    <w:rPr>
      <w:rFonts w:ascii="ＭＳ ゴシック" w:eastAsia="ＭＳ ゴシック" w:hAnsi="ＭＳ ゴシック" w:cs="ＭＳ Ｐゴシック"/>
      <w:color w:val="FF0000"/>
      <w:kern w:val="0"/>
      <w:sz w:val="20"/>
      <w:szCs w:val="20"/>
    </w:rPr>
  </w:style>
  <w:style w:type="paragraph" w:customStyle="1" w:styleId="xl191">
    <w:name w:val="xl191"/>
    <w:basedOn w:val="a"/>
    <w:rsid w:val="00327EBF"/>
    <w:pPr>
      <w:widowControl/>
      <w:pBdr>
        <w:top w:val="single" w:sz="8" w:space="0" w:color="auto"/>
        <w:left w:val="single" w:sz="4" w:space="0" w:color="auto"/>
        <w:bottom w:val="single" w:sz="4" w:space="0" w:color="auto"/>
      </w:pBdr>
      <w:spacing w:before="100" w:beforeAutospacing="1" w:after="100" w:afterAutospacing="1"/>
    </w:pPr>
    <w:rPr>
      <w:rFonts w:ascii="ＭＳ ゴシック" w:eastAsia="ＭＳ ゴシック" w:hAnsi="ＭＳ ゴシック" w:cs="ＭＳ Ｐゴシック"/>
      <w:kern w:val="0"/>
      <w:sz w:val="20"/>
      <w:szCs w:val="20"/>
    </w:rPr>
  </w:style>
  <w:style w:type="paragraph" w:customStyle="1" w:styleId="xl192">
    <w:name w:val="xl192"/>
    <w:basedOn w:val="a"/>
    <w:rsid w:val="00327EBF"/>
    <w:pPr>
      <w:widowControl/>
      <w:pBdr>
        <w:top w:val="single" w:sz="8" w:space="0" w:color="auto"/>
        <w:bottom w:val="single" w:sz="4" w:space="0" w:color="auto"/>
        <w:right w:val="single" w:sz="8" w:space="0" w:color="auto"/>
      </w:pBdr>
      <w:spacing w:before="100" w:beforeAutospacing="1" w:after="100" w:afterAutospacing="1"/>
    </w:pPr>
    <w:rPr>
      <w:rFonts w:ascii="ＭＳ ゴシック" w:eastAsia="ＭＳ ゴシック" w:hAnsi="ＭＳ ゴシック" w:cs="ＭＳ Ｐゴシック"/>
      <w:kern w:val="0"/>
      <w:sz w:val="20"/>
      <w:szCs w:val="20"/>
    </w:rPr>
  </w:style>
  <w:style w:type="paragraph" w:customStyle="1" w:styleId="xl193">
    <w:name w:val="xl193"/>
    <w:basedOn w:val="a"/>
    <w:rsid w:val="00327EBF"/>
    <w:pPr>
      <w:widowControl/>
      <w:pBdr>
        <w:left w:val="single" w:sz="4" w:space="0" w:color="auto"/>
        <w:right w:val="single" w:sz="8" w:space="0" w:color="auto"/>
      </w:pBdr>
      <w:spacing w:before="100" w:beforeAutospacing="1" w:after="100" w:afterAutospacing="1"/>
      <w:jc w:val="right"/>
    </w:pPr>
    <w:rPr>
      <w:rFonts w:ascii="ＭＳ Ｐゴシック" w:eastAsia="ＭＳ Ｐゴシック" w:hAnsi="ＭＳ Ｐゴシック" w:cs="ＭＳ Ｐゴシック"/>
      <w:kern w:val="0"/>
      <w:sz w:val="24"/>
    </w:rPr>
  </w:style>
  <w:style w:type="paragraph" w:customStyle="1" w:styleId="xl194">
    <w:name w:val="xl194"/>
    <w:basedOn w:val="a"/>
    <w:rsid w:val="00327EBF"/>
    <w:pPr>
      <w:widowControl/>
      <w:pBdr>
        <w:left w:val="single" w:sz="4" w:space="0" w:color="auto"/>
        <w:bottom w:val="single" w:sz="4" w:space="0" w:color="auto"/>
        <w:right w:val="single" w:sz="8" w:space="0" w:color="auto"/>
      </w:pBdr>
      <w:spacing w:before="100" w:beforeAutospacing="1" w:after="100" w:afterAutospacing="1"/>
      <w:jc w:val="right"/>
    </w:pPr>
    <w:rPr>
      <w:rFonts w:ascii="ＭＳ Ｐゴシック" w:eastAsia="ＭＳ Ｐゴシック" w:hAnsi="ＭＳ Ｐゴシック" w:cs="ＭＳ Ｐゴシック"/>
      <w:kern w:val="0"/>
      <w:sz w:val="24"/>
    </w:rPr>
  </w:style>
  <w:style w:type="paragraph" w:customStyle="1" w:styleId="xl195">
    <w:name w:val="xl195"/>
    <w:basedOn w:val="a"/>
    <w:rsid w:val="00327EBF"/>
    <w:pPr>
      <w:widowControl/>
      <w:pBdr>
        <w:left w:val="single" w:sz="8" w:space="0" w:color="auto"/>
      </w:pBdr>
      <w:spacing w:before="100" w:beforeAutospacing="1" w:after="100" w:afterAutospacing="1"/>
      <w:jc w:val="center"/>
    </w:pPr>
    <w:rPr>
      <w:rFonts w:ascii="ＭＳ ゴシック" w:eastAsia="ＭＳ ゴシック" w:hAnsi="ＭＳ ゴシック" w:cs="ＭＳ Ｐゴシック"/>
      <w:kern w:val="0"/>
      <w:sz w:val="20"/>
      <w:szCs w:val="20"/>
    </w:rPr>
  </w:style>
  <w:style w:type="paragraph" w:customStyle="1" w:styleId="xl196">
    <w:name w:val="xl196"/>
    <w:basedOn w:val="a"/>
    <w:rsid w:val="00327EBF"/>
    <w:pPr>
      <w:widowControl/>
      <w:pBdr>
        <w:top w:val="single" w:sz="4" w:space="0" w:color="auto"/>
        <w:left w:val="single" w:sz="4" w:space="0" w:color="auto"/>
      </w:pBdr>
      <w:spacing w:before="100" w:beforeAutospacing="1" w:after="100" w:afterAutospacing="1"/>
      <w:jc w:val="center"/>
    </w:pPr>
    <w:rPr>
      <w:rFonts w:ascii="ＭＳ ゴシック" w:eastAsia="ＭＳ ゴシック" w:hAnsi="ＭＳ ゴシック" w:cs="ＭＳ Ｐゴシック"/>
      <w:kern w:val="0"/>
      <w:sz w:val="20"/>
      <w:szCs w:val="20"/>
    </w:rPr>
  </w:style>
  <w:style w:type="paragraph" w:customStyle="1" w:styleId="xl197">
    <w:name w:val="xl197"/>
    <w:basedOn w:val="a"/>
    <w:rsid w:val="00327EBF"/>
    <w:pPr>
      <w:widowControl/>
      <w:pBdr>
        <w:top w:val="single" w:sz="4" w:space="0" w:color="auto"/>
        <w:right w:val="single" w:sz="8" w:space="0" w:color="auto"/>
      </w:pBdr>
      <w:spacing w:before="100" w:beforeAutospacing="1" w:after="100" w:afterAutospacing="1"/>
      <w:jc w:val="center"/>
    </w:pPr>
    <w:rPr>
      <w:rFonts w:ascii="ＭＳ Ｐゴシック" w:eastAsia="ＭＳ Ｐゴシック" w:hAnsi="ＭＳ Ｐゴシック" w:cs="ＭＳ Ｐゴシック"/>
      <w:kern w:val="0"/>
      <w:sz w:val="24"/>
    </w:rPr>
  </w:style>
  <w:style w:type="paragraph" w:customStyle="1" w:styleId="xl198">
    <w:name w:val="xl198"/>
    <w:basedOn w:val="a"/>
    <w:rsid w:val="00327EBF"/>
    <w:pPr>
      <w:widowControl/>
      <w:pBdr>
        <w:top w:val="single" w:sz="4" w:space="0" w:color="auto"/>
        <w:left w:val="single" w:sz="4" w:space="0" w:color="auto"/>
        <w:bottom w:val="single" w:sz="4" w:space="0" w:color="auto"/>
      </w:pBdr>
      <w:spacing w:before="100" w:beforeAutospacing="1" w:after="100" w:afterAutospacing="1"/>
      <w:jc w:val="center"/>
    </w:pPr>
    <w:rPr>
      <w:rFonts w:ascii="ＭＳ ゴシック" w:eastAsia="ＭＳ ゴシック" w:hAnsi="ＭＳ ゴシック" w:cs="ＭＳ Ｐゴシック"/>
      <w:kern w:val="0"/>
      <w:sz w:val="20"/>
      <w:szCs w:val="20"/>
    </w:rPr>
  </w:style>
  <w:style w:type="paragraph" w:customStyle="1" w:styleId="xl199">
    <w:name w:val="xl199"/>
    <w:basedOn w:val="a"/>
    <w:rsid w:val="00327EBF"/>
    <w:pPr>
      <w:widowControl/>
      <w:pBdr>
        <w:top w:val="single" w:sz="4" w:space="0" w:color="auto"/>
        <w:bottom w:val="single" w:sz="4" w:space="0" w:color="auto"/>
        <w:right w:val="single" w:sz="8" w:space="0" w:color="auto"/>
      </w:pBdr>
      <w:spacing w:before="100" w:beforeAutospacing="1" w:after="100" w:afterAutospacing="1"/>
      <w:jc w:val="center"/>
    </w:pPr>
    <w:rPr>
      <w:rFonts w:ascii="ＭＳ Ｐゴシック" w:eastAsia="ＭＳ Ｐゴシック" w:hAnsi="ＭＳ Ｐゴシック" w:cs="ＭＳ Ｐゴシック"/>
      <w:kern w:val="0"/>
      <w:sz w:val="24"/>
    </w:rPr>
  </w:style>
  <w:style w:type="paragraph" w:customStyle="1" w:styleId="xl200">
    <w:name w:val="xl200"/>
    <w:basedOn w:val="a"/>
    <w:rsid w:val="00327EBF"/>
    <w:pPr>
      <w:widowControl/>
      <w:pBdr>
        <w:top w:val="single" w:sz="8" w:space="0" w:color="auto"/>
        <w:right w:val="single" w:sz="4" w:space="0" w:color="auto"/>
      </w:pBdr>
      <w:spacing w:before="100" w:beforeAutospacing="1" w:after="100" w:afterAutospacing="1"/>
      <w:jc w:val="left"/>
    </w:pPr>
    <w:rPr>
      <w:rFonts w:ascii="ＭＳ ゴシック" w:eastAsia="ＭＳ ゴシック" w:hAnsi="ＭＳ ゴシック" w:cs="ＭＳ Ｐゴシック"/>
      <w:kern w:val="0"/>
      <w:sz w:val="20"/>
      <w:szCs w:val="20"/>
    </w:rPr>
  </w:style>
  <w:style w:type="paragraph" w:customStyle="1" w:styleId="xl201">
    <w:name w:val="xl201"/>
    <w:basedOn w:val="a"/>
    <w:rsid w:val="00327EBF"/>
    <w:pPr>
      <w:widowControl/>
      <w:pBdr>
        <w:left w:val="single" w:sz="4" w:space="0" w:color="auto"/>
        <w:bottom w:val="single" w:sz="4" w:space="0" w:color="auto"/>
        <w:right w:val="single" w:sz="4" w:space="0" w:color="auto"/>
      </w:pBdr>
      <w:spacing w:before="100" w:beforeAutospacing="1" w:after="100" w:afterAutospacing="1"/>
      <w:jc w:val="left"/>
    </w:pPr>
    <w:rPr>
      <w:rFonts w:ascii="ＭＳ Ｐゴシック" w:eastAsia="ＭＳ Ｐゴシック" w:hAnsi="ＭＳ Ｐゴシック" w:cs="ＭＳ Ｐゴシック"/>
      <w:color w:val="FF0000"/>
      <w:kern w:val="0"/>
      <w:sz w:val="24"/>
    </w:rPr>
  </w:style>
  <w:style w:type="paragraph" w:customStyle="1" w:styleId="xl202">
    <w:name w:val="xl202"/>
    <w:basedOn w:val="a"/>
    <w:rsid w:val="00327EBF"/>
    <w:pPr>
      <w:widowControl/>
      <w:pBdr>
        <w:top w:val="single" w:sz="8" w:space="0" w:color="auto"/>
        <w:left w:val="single" w:sz="8" w:space="0" w:color="auto"/>
        <w:bottom w:val="single" w:sz="8" w:space="0" w:color="auto"/>
      </w:pBdr>
      <w:shd w:val="clear" w:color="auto" w:fill="FFFFFF"/>
      <w:spacing w:before="100" w:beforeAutospacing="1" w:after="100" w:afterAutospacing="1"/>
      <w:jc w:val="center"/>
    </w:pPr>
    <w:rPr>
      <w:rFonts w:ascii="ＭＳ ゴシック" w:eastAsia="ＭＳ ゴシック" w:hAnsi="ＭＳ ゴシック" w:cs="ＭＳ Ｐゴシック"/>
      <w:kern w:val="0"/>
      <w:sz w:val="20"/>
      <w:szCs w:val="20"/>
    </w:rPr>
  </w:style>
  <w:style w:type="paragraph" w:customStyle="1" w:styleId="xl203">
    <w:name w:val="xl203"/>
    <w:basedOn w:val="a"/>
    <w:rsid w:val="00327EBF"/>
    <w:pPr>
      <w:widowControl/>
      <w:pBdr>
        <w:top w:val="single" w:sz="8" w:space="0" w:color="auto"/>
        <w:bottom w:val="single" w:sz="8" w:space="0" w:color="auto"/>
      </w:pBdr>
      <w:shd w:val="clear" w:color="auto" w:fill="FFFFFF"/>
      <w:spacing w:before="100" w:beforeAutospacing="1" w:after="100" w:afterAutospacing="1"/>
      <w:jc w:val="center"/>
    </w:pPr>
    <w:rPr>
      <w:rFonts w:ascii="ＭＳ ゴシック" w:eastAsia="ＭＳ ゴシック" w:hAnsi="ＭＳ ゴシック" w:cs="ＭＳ Ｐゴシック"/>
      <w:kern w:val="0"/>
      <w:sz w:val="20"/>
      <w:szCs w:val="20"/>
    </w:rPr>
  </w:style>
  <w:style w:type="paragraph" w:customStyle="1" w:styleId="xl204">
    <w:name w:val="xl204"/>
    <w:basedOn w:val="a"/>
    <w:rsid w:val="00327EBF"/>
    <w:pPr>
      <w:widowControl/>
      <w:pBdr>
        <w:top w:val="single" w:sz="8" w:space="0" w:color="auto"/>
        <w:bottom w:val="single" w:sz="8" w:space="0" w:color="auto"/>
        <w:right w:val="single" w:sz="8" w:space="0" w:color="auto"/>
      </w:pBdr>
      <w:shd w:val="clear" w:color="auto" w:fill="FFFFFF"/>
      <w:spacing w:before="100" w:beforeAutospacing="1" w:after="100" w:afterAutospacing="1"/>
      <w:jc w:val="center"/>
    </w:pPr>
    <w:rPr>
      <w:rFonts w:ascii="ＭＳ ゴシック" w:eastAsia="ＭＳ ゴシック" w:hAnsi="ＭＳ ゴシック" w:cs="ＭＳ Ｐゴシック"/>
      <w:kern w:val="0"/>
      <w:sz w:val="20"/>
      <w:szCs w:val="20"/>
    </w:rPr>
  </w:style>
  <w:style w:type="paragraph" w:customStyle="1" w:styleId="xl205">
    <w:name w:val="xl205"/>
    <w:basedOn w:val="a"/>
    <w:rsid w:val="00327EBF"/>
    <w:pPr>
      <w:widowControl/>
      <w:pBdr>
        <w:left w:val="single" w:sz="8" w:space="0" w:color="auto"/>
        <w:right w:val="single" w:sz="4" w:space="0" w:color="auto"/>
      </w:pBdr>
      <w:shd w:val="clear" w:color="auto" w:fill="FFFFFF"/>
      <w:spacing w:before="100" w:beforeAutospacing="1" w:after="100" w:afterAutospacing="1"/>
      <w:jc w:val="center"/>
    </w:pPr>
    <w:rPr>
      <w:rFonts w:ascii="ＭＳ ゴシック" w:eastAsia="ＭＳ ゴシック" w:hAnsi="ＭＳ ゴシック" w:cs="ＭＳ Ｐゴシック"/>
      <w:kern w:val="0"/>
      <w:sz w:val="20"/>
      <w:szCs w:val="20"/>
    </w:rPr>
  </w:style>
  <w:style w:type="paragraph" w:customStyle="1" w:styleId="xl206">
    <w:name w:val="xl206"/>
    <w:basedOn w:val="a"/>
    <w:rsid w:val="00327EBF"/>
    <w:pPr>
      <w:widowControl/>
      <w:pBdr>
        <w:left w:val="single" w:sz="4" w:space="0" w:color="auto"/>
        <w:right w:val="single" w:sz="4" w:space="0" w:color="auto"/>
      </w:pBdr>
      <w:shd w:val="clear" w:color="auto" w:fill="FFFFFF"/>
      <w:spacing w:before="100" w:beforeAutospacing="1" w:after="100" w:afterAutospacing="1"/>
      <w:jc w:val="center"/>
    </w:pPr>
    <w:rPr>
      <w:rFonts w:ascii="ＭＳ ゴシック" w:eastAsia="ＭＳ ゴシック" w:hAnsi="ＭＳ ゴシック" w:cs="ＭＳ Ｐゴシック"/>
      <w:kern w:val="0"/>
      <w:sz w:val="20"/>
      <w:szCs w:val="20"/>
    </w:rPr>
  </w:style>
  <w:style w:type="paragraph" w:customStyle="1" w:styleId="xl207">
    <w:name w:val="xl207"/>
    <w:basedOn w:val="a"/>
    <w:rsid w:val="00327EBF"/>
    <w:pPr>
      <w:widowControl/>
      <w:pBdr>
        <w:left w:val="single" w:sz="8" w:space="0" w:color="auto"/>
        <w:right w:val="single" w:sz="4" w:space="0" w:color="auto"/>
      </w:pBdr>
      <w:shd w:val="clear" w:color="auto" w:fill="FFFFFF"/>
      <w:spacing w:before="100" w:beforeAutospacing="1" w:after="100" w:afterAutospacing="1"/>
      <w:jc w:val="center"/>
    </w:pPr>
    <w:rPr>
      <w:rFonts w:ascii="ＭＳ Ｐゴシック" w:eastAsia="ＭＳ Ｐゴシック" w:hAnsi="ＭＳ Ｐゴシック" w:cs="ＭＳ Ｐゴシック"/>
      <w:kern w:val="0"/>
      <w:sz w:val="24"/>
    </w:rPr>
  </w:style>
  <w:style w:type="paragraph" w:customStyle="1" w:styleId="xl208">
    <w:name w:val="xl208"/>
    <w:basedOn w:val="a"/>
    <w:rsid w:val="00327EBF"/>
    <w:pPr>
      <w:widowControl/>
      <w:pBdr>
        <w:left w:val="single" w:sz="4" w:space="0" w:color="auto"/>
        <w:right w:val="single" w:sz="4" w:space="0" w:color="auto"/>
      </w:pBdr>
      <w:shd w:val="clear" w:color="auto" w:fill="FFFFFF"/>
      <w:spacing w:before="100" w:beforeAutospacing="1" w:after="100" w:afterAutospacing="1"/>
      <w:jc w:val="center"/>
    </w:pPr>
    <w:rPr>
      <w:rFonts w:ascii="ＭＳ Ｐゴシック" w:eastAsia="ＭＳ Ｐゴシック" w:hAnsi="ＭＳ Ｐゴシック" w:cs="ＭＳ Ｐゴシック"/>
      <w:kern w:val="0"/>
      <w:sz w:val="24"/>
    </w:rPr>
  </w:style>
  <w:style w:type="paragraph" w:customStyle="1" w:styleId="xl209">
    <w:name w:val="xl209"/>
    <w:basedOn w:val="a"/>
    <w:rsid w:val="00327EBF"/>
    <w:pPr>
      <w:widowControl/>
      <w:pBdr>
        <w:top w:val="single" w:sz="4" w:space="0" w:color="auto"/>
        <w:left w:val="single" w:sz="4" w:space="0" w:color="auto"/>
      </w:pBdr>
      <w:shd w:val="clear" w:color="auto" w:fill="FFFFFF"/>
      <w:spacing w:before="100" w:beforeAutospacing="1" w:after="100" w:afterAutospacing="1"/>
      <w:jc w:val="center"/>
    </w:pPr>
    <w:rPr>
      <w:rFonts w:ascii="ＭＳ ゴシック" w:eastAsia="ＭＳ ゴシック" w:hAnsi="ＭＳ ゴシック" w:cs="ＭＳ Ｐゴシック"/>
      <w:kern w:val="0"/>
      <w:sz w:val="20"/>
      <w:szCs w:val="20"/>
    </w:rPr>
  </w:style>
  <w:style w:type="paragraph" w:customStyle="1" w:styleId="xl210">
    <w:name w:val="xl210"/>
    <w:basedOn w:val="a"/>
    <w:rsid w:val="00327EBF"/>
    <w:pPr>
      <w:widowControl/>
      <w:pBdr>
        <w:top w:val="single" w:sz="4" w:space="0" w:color="auto"/>
        <w:right w:val="single" w:sz="8" w:space="0" w:color="auto"/>
      </w:pBdr>
      <w:shd w:val="clear" w:color="auto" w:fill="FFFFFF"/>
      <w:spacing w:before="100" w:beforeAutospacing="1" w:after="100" w:afterAutospacing="1"/>
      <w:jc w:val="center"/>
    </w:pPr>
    <w:rPr>
      <w:rFonts w:ascii="ＭＳ Ｐゴシック" w:eastAsia="ＭＳ Ｐゴシック" w:hAnsi="ＭＳ Ｐゴシック" w:cs="ＭＳ Ｐゴシック"/>
      <w:kern w:val="0"/>
      <w:sz w:val="24"/>
    </w:rPr>
  </w:style>
  <w:style w:type="paragraph" w:customStyle="1" w:styleId="xl211">
    <w:name w:val="xl211"/>
    <w:basedOn w:val="a"/>
    <w:rsid w:val="00327EBF"/>
    <w:pPr>
      <w:widowControl/>
      <w:pBdr>
        <w:top w:val="single" w:sz="8" w:space="0" w:color="auto"/>
        <w:left w:val="single" w:sz="8" w:space="0" w:color="auto"/>
      </w:pBdr>
      <w:spacing w:before="100" w:beforeAutospacing="1" w:after="100" w:afterAutospacing="1"/>
      <w:jc w:val="center"/>
    </w:pPr>
    <w:rPr>
      <w:rFonts w:ascii="ＭＳ Ｐゴシック" w:eastAsia="ＭＳ Ｐゴシック" w:hAnsi="ＭＳ Ｐゴシック" w:cs="ＭＳ Ｐゴシック"/>
      <w:kern w:val="0"/>
      <w:sz w:val="24"/>
    </w:rPr>
  </w:style>
  <w:style w:type="paragraph" w:customStyle="1" w:styleId="xl212">
    <w:name w:val="xl212"/>
    <w:basedOn w:val="a"/>
    <w:rsid w:val="00327EBF"/>
    <w:pPr>
      <w:widowControl/>
      <w:pBdr>
        <w:left w:val="single" w:sz="8" w:space="0" w:color="auto"/>
      </w:pBdr>
      <w:spacing w:before="100" w:beforeAutospacing="1" w:after="100" w:afterAutospacing="1"/>
      <w:jc w:val="center"/>
    </w:pPr>
    <w:rPr>
      <w:rFonts w:ascii="ＭＳ Ｐゴシック" w:eastAsia="ＭＳ Ｐゴシック" w:hAnsi="ＭＳ Ｐゴシック" w:cs="ＭＳ Ｐゴシック"/>
      <w:kern w:val="0"/>
      <w:sz w:val="24"/>
    </w:rPr>
  </w:style>
  <w:style w:type="paragraph" w:customStyle="1" w:styleId="xl213">
    <w:name w:val="xl213"/>
    <w:basedOn w:val="a"/>
    <w:rsid w:val="00327EBF"/>
    <w:pPr>
      <w:widowControl/>
      <w:pBdr>
        <w:left w:val="single" w:sz="8" w:space="0" w:color="auto"/>
        <w:bottom w:val="single" w:sz="8" w:space="0" w:color="auto"/>
      </w:pBdr>
      <w:spacing w:before="100" w:beforeAutospacing="1" w:after="100" w:afterAutospacing="1"/>
      <w:jc w:val="center"/>
    </w:pPr>
    <w:rPr>
      <w:rFonts w:ascii="ＭＳ Ｐゴシック" w:eastAsia="ＭＳ Ｐゴシック" w:hAnsi="ＭＳ Ｐゴシック" w:cs="ＭＳ Ｐゴシック"/>
      <w:kern w:val="0"/>
      <w:sz w:val="24"/>
    </w:rPr>
  </w:style>
  <w:style w:type="paragraph" w:customStyle="1" w:styleId="xl214">
    <w:name w:val="xl214"/>
    <w:basedOn w:val="a"/>
    <w:rsid w:val="00327EBF"/>
    <w:pPr>
      <w:widowControl/>
      <w:pBdr>
        <w:left w:val="single" w:sz="4" w:space="0" w:color="auto"/>
        <w:bottom w:val="single" w:sz="4" w:space="0" w:color="auto"/>
        <w:right w:val="single" w:sz="4" w:space="0" w:color="auto"/>
      </w:pBdr>
      <w:shd w:val="clear" w:color="auto" w:fill="FFFFFF"/>
      <w:spacing w:before="100" w:beforeAutospacing="1" w:after="100" w:afterAutospacing="1"/>
    </w:pPr>
    <w:rPr>
      <w:rFonts w:ascii="ＭＳ ゴシック" w:eastAsia="ＭＳ ゴシック" w:hAnsi="ＭＳ ゴシック" w:cs="ＭＳ Ｐゴシック"/>
      <w:kern w:val="0"/>
      <w:sz w:val="20"/>
      <w:szCs w:val="20"/>
    </w:rPr>
  </w:style>
  <w:style w:type="paragraph" w:customStyle="1" w:styleId="xl215">
    <w:name w:val="xl215"/>
    <w:basedOn w:val="a"/>
    <w:rsid w:val="00327EBF"/>
    <w:pPr>
      <w:widowControl/>
      <w:pBdr>
        <w:left w:val="single" w:sz="4" w:space="0" w:color="auto"/>
        <w:bottom w:val="single" w:sz="4" w:space="0" w:color="auto"/>
        <w:right w:val="single" w:sz="8" w:space="0" w:color="auto"/>
      </w:pBdr>
      <w:shd w:val="clear" w:color="auto" w:fill="FFFFFF"/>
      <w:spacing w:before="100" w:beforeAutospacing="1" w:after="100" w:afterAutospacing="1"/>
    </w:pPr>
    <w:rPr>
      <w:rFonts w:ascii="ＭＳ ゴシック" w:eastAsia="ＭＳ ゴシック" w:hAnsi="ＭＳ ゴシック" w:cs="ＭＳ Ｐゴシック"/>
      <w:kern w:val="0"/>
      <w:sz w:val="20"/>
      <w:szCs w:val="20"/>
    </w:rPr>
  </w:style>
  <w:style w:type="paragraph" w:customStyle="1" w:styleId="xl216">
    <w:name w:val="xl216"/>
    <w:basedOn w:val="a"/>
    <w:rsid w:val="00327EBF"/>
    <w:pPr>
      <w:widowControl/>
      <w:pBdr>
        <w:top w:val="single" w:sz="4" w:space="0" w:color="auto"/>
        <w:left w:val="single" w:sz="4" w:space="0" w:color="auto"/>
        <w:bottom w:val="single" w:sz="8" w:space="0" w:color="auto"/>
      </w:pBdr>
      <w:spacing w:before="100" w:beforeAutospacing="1" w:after="100" w:afterAutospacing="1"/>
      <w:jc w:val="center"/>
    </w:pPr>
    <w:rPr>
      <w:rFonts w:ascii="ＭＳ ゴシック" w:eastAsia="ＭＳ ゴシック" w:hAnsi="ＭＳ ゴシック" w:cs="ＭＳ Ｐゴシック"/>
      <w:kern w:val="0"/>
      <w:sz w:val="20"/>
      <w:szCs w:val="20"/>
    </w:rPr>
  </w:style>
  <w:style w:type="paragraph" w:customStyle="1" w:styleId="xl217">
    <w:name w:val="xl217"/>
    <w:basedOn w:val="a"/>
    <w:rsid w:val="00327EBF"/>
    <w:pPr>
      <w:widowControl/>
      <w:pBdr>
        <w:top w:val="single" w:sz="4" w:space="0" w:color="auto"/>
        <w:bottom w:val="single" w:sz="8" w:space="0" w:color="auto"/>
        <w:right w:val="single" w:sz="8" w:space="0" w:color="auto"/>
      </w:pBdr>
      <w:spacing w:before="100" w:beforeAutospacing="1" w:after="100" w:afterAutospacing="1"/>
      <w:jc w:val="center"/>
    </w:pPr>
    <w:rPr>
      <w:rFonts w:ascii="ＭＳ Ｐゴシック" w:eastAsia="ＭＳ Ｐゴシック" w:hAnsi="ＭＳ Ｐゴシック" w:cs="ＭＳ Ｐゴシック"/>
      <w:kern w:val="0"/>
      <w:sz w:val="24"/>
    </w:rPr>
  </w:style>
  <w:style w:type="paragraph" w:customStyle="1" w:styleId="xl218">
    <w:name w:val="xl218"/>
    <w:basedOn w:val="a"/>
    <w:rsid w:val="00327EBF"/>
    <w:pPr>
      <w:widowControl/>
      <w:pBdr>
        <w:left w:val="single" w:sz="4" w:space="0" w:color="auto"/>
        <w:bottom w:val="single" w:sz="4" w:space="0" w:color="auto"/>
      </w:pBdr>
      <w:spacing w:before="100" w:beforeAutospacing="1" w:after="100" w:afterAutospacing="1"/>
      <w:jc w:val="center"/>
    </w:pPr>
    <w:rPr>
      <w:rFonts w:ascii="ＭＳ ゴシック" w:eastAsia="ＭＳ ゴシック" w:hAnsi="ＭＳ ゴシック" w:cs="ＭＳ Ｐゴシック"/>
      <w:kern w:val="0"/>
      <w:sz w:val="20"/>
      <w:szCs w:val="20"/>
    </w:rPr>
  </w:style>
  <w:style w:type="paragraph" w:customStyle="1" w:styleId="xl219">
    <w:name w:val="xl219"/>
    <w:basedOn w:val="a"/>
    <w:rsid w:val="00327EBF"/>
    <w:pPr>
      <w:widowControl/>
      <w:pBdr>
        <w:bottom w:val="single" w:sz="4" w:space="0" w:color="auto"/>
        <w:right w:val="single" w:sz="8" w:space="0" w:color="auto"/>
      </w:pBdr>
      <w:spacing w:before="100" w:beforeAutospacing="1" w:after="100" w:afterAutospacing="1"/>
      <w:jc w:val="center"/>
    </w:pPr>
    <w:rPr>
      <w:rFonts w:ascii="ＭＳ Ｐゴシック" w:eastAsia="ＭＳ Ｐゴシック" w:hAnsi="ＭＳ Ｐゴシック" w:cs="ＭＳ Ｐゴシック"/>
      <w:kern w:val="0"/>
      <w:sz w:val="24"/>
    </w:rPr>
  </w:style>
  <w:style w:type="paragraph" w:customStyle="1" w:styleId="xl220">
    <w:name w:val="xl220"/>
    <w:basedOn w:val="a"/>
    <w:rsid w:val="00327EBF"/>
    <w:pPr>
      <w:widowControl/>
      <w:pBdr>
        <w:left w:val="single" w:sz="4" w:space="0" w:color="auto"/>
        <w:bottom w:val="single" w:sz="4" w:space="0" w:color="auto"/>
      </w:pBdr>
      <w:spacing w:before="100" w:beforeAutospacing="1" w:after="100" w:afterAutospacing="1"/>
    </w:pPr>
    <w:rPr>
      <w:rFonts w:ascii="ＭＳ ゴシック" w:eastAsia="ＭＳ ゴシック" w:hAnsi="ＭＳ ゴシック" w:cs="ＭＳ Ｐゴシック"/>
      <w:color w:val="FF0000"/>
      <w:kern w:val="0"/>
      <w:sz w:val="20"/>
      <w:szCs w:val="20"/>
    </w:rPr>
  </w:style>
  <w:style w:type="paragraph" w:customStyle="1" w:styleId="xl221">
    <w:name w:val="xl221"/>
    <w:basedOn w:val="a"/>
    <w:rsid w:val="00327EBF"/>
    <w:pPr>
      <w:widowControl/>
      <w:pBdr>
        <w:bottom w:val="single" w:sz="4" w:space="0" w:color="auto"/>
        <w:right w:val="single" w:sz="8" w:space="0" w:color="auto"/>
      </w:pBdr>
      <w:spacing w:before="100" w:beforeAutospacing="1" w:after="100" w:afterAutospacing="1"/>
    </w:pPr>
    <w:rPr>
      <w:rFonts w:ascii="ＭＳ ゴシック" w:eastAsia="ＭＳ ゴシック" w:hAnsi="ＭＳ ゴシック" w:cs="ＭＳ Ｐゴシック"/>
      <w:color w:val="FF0000"/>
      <w:kern w:val="0"/>
      <w:sz w:val="20"/>
      <w:szCs w:val="20"/>
    </w:rPr>
  </w:style>
  <w:style w:type="paragraph" w:customStyle="1" w:styleId="xl222">
    <w:name w:val="xl222"/>
    <w:basedOn w:val="a"/>
    <w:rsid w:val="00327EBF"/>
    <w:pPr>
      <w:widowControl/>
      <w:pBdr>
        <w:top w:val="single" w:sz="4" w:space="0" w:color="auto"/>
        <w:left w:val="single" w:sz="8" w:space="0" w:color="auto"/>
      </w:pBdr>
      <w:spacing w:before="100" w:beforeAutospacing="1" w:after="100" w:afterAutospacing="1"/>
      <w:jc w:val="center"/>
    </w:pPr>
    <w:rPr>
      <w:rFonts w:ascii="ＭＳ ゴシック" w:eastAsia="ＭＳ ゴシック" w:hAnsi="ＭＳ ゴシック" w:cs="ＭＳ Ｐゴシック"/>
      <w:kern w:val="0"/>
      <w:sz w:val="20"/>
      <w:szCs w:val="20"/>
    </w:rPr>
  </w:style>
  <w:style w:type="paragraph" w:customStyle="1" w:styleId="xl223">
    <w:name w:val="xl223"/>
    <w:basedOn w:val="a"/>
    <w:rsid w:val="00327EBF"/>
    <w:pPr>
      <w:widowControl/>
      <w:shd w:val="clear" w:color="auto" w:fill="FFFFFF"/>
      <w:spacing w:before="100" w:beforeAutospacing="1" w:after="100" w:afterAutospacing="1"/>
      <w:jc w:val="left"/>
    </w:pPr>
    <w:rPr>
      <w:rFonts w:ascii="ＭＳ Ｐゴシック" w:eastAsia="ＭＳ Ｐゴシック" w:hAnsi="ＭＳ Ｐゴシック" w:cs="ＭＳ Ｐゴシック"/>
      <w:kern w:val="0"/>
      <w:sz w:val="24"/>
    </w:rPr>
  </w:style>
  <w:style w:type="paragraph" w:customStyle="1" w:styleId="xl224">
    <w:name w:val="xl224"/>
    <w:basedOn w:val="a"/>
    <w:rsid w:val="00327EBF"/>
    <w:pPr>
      <w:widowControl/>
      <w:pBdr>
        <w:top w:val="single" w:sz="8" w:space="0" w:color="auto"/>
        <w:left w:val="single" w:sz="4" w:space="0" w:color="auto"/>
      </w:pBdr>
      <w:shd w:val="clear" w:color="auto" w:fill="FFFFFF"/>
      <w:spacing w:before="100" w:beforeAutospacing="1" w:after="100" w:afterAutospacing="1"/>
      <w:jc w:val="center"/>
    </w:pPr>
    <w:rPr>
      <w:rFonts w:ascii="ＭＳ ゴシック" w:eastAsia="ＭＳ ゴシック" w:hAnsi="ＭＳ ゴシック" w:cs="ＭＳ Ｐゴシック"/>
      <w:kern w:val="0"/>
      <w:sz w:val="20"/>
      <w:szCs w:val="20"/>
    </w:rPr>
  </w:style>
  <w:style w:type="paragraph" w:customStyle="1" w:styleId="xl225">
    <w:name w:val="xl225"/>
    <w:basedOn w:val="a"/>
    <w:rsid w:val="00327EBF"/>
    <w:pPr>
      <w:widowControl/>
      <w:pBdr>
        <w:top w:val="single" w:sz="8" w:space="0" w:color="auto"/>
        <w:right w:val="single" w:sz="8" w:space="0" w:color="auto"/>
      </w:pBdr>
      <w:shd w:val="clear" w:color="auto" w:fill="FFFFFF"/>
      <w:spacing w:before="100" w:beforeAutospacing="1" w:after="100" w:afterAutospacing="1"/>
      <w:jc w:val="center"/>
    </w:pPr>
    <w:rPr>
      <w:rFonts w:ascii="ＭＳ ゴシック" w:eastAsia="ＭＳ ゴシック" w:hAnsi="ＭＳ ゴシック" w:cs="ＭＳ Ｐゴシック"/>
      <w:kern w:val="0"/>
      <w:sz w:val="20"/>
      <w:szCs w:val="20"/>
    </w:rPr>
  </w:style>
  <w:style w:type="paragraph" w:customStyle="1" w:styleId="xl226">
    <w:name w:val="xl226"/>
    <w:basedOn w:val="a"/>
    <w:rsid w:val="00327EBF"/>
    <w:pPr>
      <w:widowControl/>
      <w:pBdr>
        <w:left w:val="single" w:sz="4" w:space="0" w:color="auto"/>
        <w:bottom w:val="single" w:sz="8" w:space="0" w:color="auto"/>
      </w:pBdr>
      <w:shd w:val="clear" w:color="auto" w:fill="FFFFFF"/>
      <w:spacing w:before="100" w:beforeAutospacing="1" w:after="100" w:afterAutospacing="1"/>
      <w:jc w:val="center"/>
    </w:pPr>
    <w:rPr>
      <w:rFonts w:ascii="ＭＳ ゴシック" w:eastAsia="ＭＳ ゴシック" w:hAnsi="ＭＳ ゴシック" w:cs="ＭＳ Ｐゴシック"/>
      <w:kern w:val="0"/>
      <w:sz w:val="20"/>
      <w:szCs w:val="20"/>
    </w:rPr>
  </w:style>
  <w:style w:type="paragraph" w:customStyle="1" w:styleId="xl227">
    <w:name w:val="xl227"/>
    <w:basedOn w:val="a"/>
    <w:rsid w:val="00327EBF"/>
    <w:pPr>
      <w:widowControl/>
      <w:pBdr>
        <w:bottom w:val="single" w:sz="8" w:space="0" w:color="auto"/>
        <w:right w:val="single" w:sz="8" w:space="0" w:color="auto"/>
      </w:pBdr>
      <w:shd w:val="clear" w:color="auto" w:fill="FFFFFF"/>
      <w:spacing w:before="100" w:beforeAutospacing="1" w:after="100" w:afterAutospacing="1"/>
      <w:jc w:val="center"/>
    </w:pPr>
    <w:rPr>
      <w:rFonts w:ascii="ＭＳ ゴシック" w:eastAsia="ＭＳ ゴシック" w:hAnsi="ＭＳ ゴシック" w:cs="ＭＳ Ｐゴシック"/>
      <w:kern w:val="0"/>
      <w:sz w:val="20"/>
      <w:szCs w:val="20"/>
    </w:rPr>
  </w:style>
  <w:style w:type="paragraph" w:customStyle="1" w:styleId="xl228">
    <w:name w:val="xl228"/>
    <w:basedOn w:val="a"/>
    <w:rsid w:val="00327EBF"/>
    <w:pPr>
      <w:widowControl/>
      <w:pBdr>
        <w:top w:val="single" w:sz="8" w:space="0" w:color="auto"/>
        <w:left w:val="single" w:sz="8" w:space="0" w:color="auto"/>
        <w:bottom w:val="single" w:sz="4" w:space="0" w:color="auto"/>
      </w:pBdr>
      <w:shd w:val="clear" w:color="auto" w:fill="FFFFFF"/>
      <w:spacing w:before="100" w:beforeAutospacing="1" w:after="100" w:afterAutospacing="1"/>
      <w:jc w:val="center"/>
    </w:pPr>
    <w:rPr>
      <w:rFonts w:ascii="ＭＳ ゴシック" w:eastAsia="ＭＳ ゴシック" w:hAnsi="ＭＳ ゴシック" w:cs="ＭＳ Ｐゴシック"/>
      <w:kern w:val="0"/>
      <w:sz w:val="20"/>
      <w:szCs w:val="20"/>
    </w:rPr>
  </w:style>
  <w:style w:type="paragraph" w:customStyle="1" w:styleId="xl229">
    <w:name w:val="xl229"/>
    <w:basedOn w:val="a"/>
    <w:rsid w:val="00327EBF"/>
    <w:pPr>
      <w:widowControl/>
      <w:pBdr>
        <w:top w:val="single" w:sz="8" w:space="0" w:color="auto"/>
        <w:bottom w:val="single" w:sz="4" w:space="0" w:color="auto"/>
      </w:pBdr>
      <w:shd w:val="clear" w:color="auto" w:fill="FFFFFF"/>
      <w:spacing w:before="100" w:beforeAutospacing="1" w:after="100" w:afterAutospacing="1"/>
      <w:jc w:val="center"/>
    </w:pPr>
    <w:rPr>
      <w:rFonts w:ascii="ＭＳ ゴシック" w:eastAsia="ＭＳ ゴシック" w:hAnsi="ＭＳ ゴシック" w:cs="ＭＳ Ｐゴシック"/>
      <w:kern w:val="0"/>
      <w:sz w:val="20"/>
      <w:szCs w:val="20"/>
    </w:rPr>
  </w:style>
  <w:style w:type="paragraph" w:customStyle="1" w:styleId="xl230">
    <w:name w:val="xl230"/>
    <w:basedOn w:val="a"/>
    <w:rsid w:val="00327EBF"/>
    <w:pPr>
      <w:widowControl/>
      <w:pBdr>
        <w:top w:val="single" w:sz="8" w:space="0" w:color="auto"/>
        <w:bottom w:val="single" w:sz="4" w:space="0" w:color="auto"/>
        <w:right w:val="single" w:sz="8" w:space="0" w:color="auto"/>
      </w:pBdr>
      <w:shd w:val="clear" w:color="auto" w:fill="FFFFFF"/>
      <w:spacing w:before="100" w:beforeAutospacing="1" w:after="100" w:afterAutospacing="1"/>
      <w:jc w:val="center"/>
    </w:pPr>
    <w:rPr>
      <w:rFonts w:ascii="ＭＳ ゴシック" w:eastAsia="ＭＳ ゴシック" w:hAnsi="ＭＳ ゴシック" w:cs="ＭＳ Ｐゴシック"/>
      <w:kern w:val="0"/>
      <w:sz w:val="20"/>
      <w:szCs w:val="20"/>
    </w:rPr>
  </w:style>
  <w:style w:type="paragraph" w:customStyle="1" w:styleId="xl231">
    <w:name w:val="xl231"/>
    <w:basedOn w:val="a"/>
    <w:rsid w:val="00327EBF"/>
    <w:pPr>
      <w:widowControl/>
      <w:shd w:val="clear" w:color="auto" w:fill="FFFFFF"/>
      <w:spacing w:before="100" w:beforeAutospacing="1" w:after="100" w:afterAutospacing="1"/>
      <w:jc w:val="left"/>
    </w:pPr>
    <w:rPr>
      <w:rFonts w:ascii="ＭＳ ゴシック" w:eastAsia="ＭＳ ゴシック" w:hAnsi="ＭＳ ゴシック" w:cs="ＭＳ Ｐゴシック"/>
      <w:kern w:val="0"/>
      <w:sz w:val="20"/>
      <w:szCs w:val="20"/>
    </w:rPr>
  </w:style>
  <w:style w:type="paragraph" w:customStyle="1" w:styleId="xl232">
    <w:name w:val="xl232"/>
    <w:basedOn w:val="a"/>
    <w:rsid w:val="00327EBF"/>
    <w:pPr>
      <w:widowControl/>
      <w:shd w:val="clear" w:color="auto" w:fill="FFFFFF"/>
      <w:spacing w:before="100" w:beforeAutospacing="1" w:after="100" w:afterAutospacing="1"/>
      <w:jc w:val="left"/>
    </w:pPr>
    <w:rPr>
      <w:rFonts w:ascii="ＭＳ ゴシック" w:eastAsia="ＭＳ ゴシック" w:hAnsi="ＭＳ ゴシック" w:cs="ＭＳ Ｐゴシック"/>
      <w:kern w:val="0"/>
      <w:sz w:val="20"/>
      <w:szCs w:val="20"/>
    </w:rPr>
  </w:style>
  <w:style w:type="paragraph" w:customStyle="1" w:styleId="xl233">
    <w:name w:val="xl233"/>
    <w:basedOn w:val="a"/>
    <w:rsid w:val="00327EBF"/>
    <w:pPr>
      <w:widowControl/>
      <w:pBdr>
        <w:bottom w:val="single" w:sz="8" w:space="0" w:color="auto"/>
      </w:pBdr>
      <w:shd w:val="clear" w:color="auto" w:fill="FFFFFF"/>
      <w:spacing w:before="100" w:beforeAutospacing="1" w:after="100" w:afterAutospacing="1"/>
      <w:jc w:val="left"/>
    </w:pPr>
    <w:rPr>
      <w:rFonts w:ascii="ＭＳ ゴシック" w:eastAsia="ＭＳ ゴシック" w:hAnsi="ＭＳ ゴシック" w:cs="ＭＳ Ｐゴシック"/>
      <w:kern w:val="0"/>
      <w:sz w:val="20"/>
      <w:szCs w:val="20"/>
    </w:rPr>
  </w:style>
  <w:style w:type="paragraph" w:customStyle="1" w:styleId="xl234">
    <w:name w:val="xl234"/>
    <w:basedOn w:val="a"/>
    <w:rsid w:val="00327EBF"/>
    <w:pPr>
      <w:widowControl/>
      <w:pBdr>
        <w:top w:val="single" w:sz="4" w:space="0" w:color="auto"/>
        <w:bottom w:val="single" w:sz="4" w:space="0" w:color="auto"/>
      </w:pBdr>
      <w:spacing w:before="100" w:beforeAutospacing="1" w:after="100" w:afterAutospacing="1"/>
    </w:pPr>
    <w:rPr>
      <w:rFonts w:ascii="ＭＳ ゴシック" w:eastAsia="ＭＳ ゴシック" w:hAnsi="ＭＳ ゴシック" w:cs="ＭＳ Ｐゴシック"/>
      <w:color w:val="FF0000"/>
      <w:kern w:val="0"/>
      <w:sz w:val="20"/>
      <w:szCs w:val="20"/>
    </w:rPr>
  </w:style>
  <w:style w:type="paragraph" w:customStyle="1" w:styleId="xl235">
    <w:name w:val="xl235"/>
    <w:basedOn w:val="a"/>
    <w:rsid w:val="00327EBF"/>
    <w:pPr>
      <w:widowControl/>
      <w:pBdr>
        <w:top w:val="single" w:sz="8" w:space="0" w:color="auto"/>
        <w:left w:val="single" w:sz="8" w:space="0" w:color="auto"/>
      </w:pBdr>
      <w:shd w:val="clear" w:color="auto" w:fill="FFFFFF"/>
      <w:spacing w:before="100" w:beforeAutospacing="1" w:after="100" w:afterAutospacing="1"/>
      <w:jc w:val="center"/>
    </w:pPr>
    <w:rPr>
      <w:rFonts w:ascii="ＭＳ ゴシック" w:eastAsia="ＭＳ ゴシック" w:hAnsi="ＭＳ ゴシック" w:cs="ＭＳ Ｐゴシック"/>
      <w:kern w:val="0"/>
      <w:sz w:val="20"/>
      <w:szCs w:val="20"/>
    </w:rPr>
  </w:style>
  <w:style w:type="paragraph" w:customStyle="1" w:styleId="xl236">
    <w:name w:val="xl236"/>
    <w:basedOn w:val="a"/>
    <w:rsid w:val="00327EBF"/>
    <w:pPr>
      <w:widowControl/>
      <w:pBdr>
        <w:top w:val="single" w:sz="8" w:space="0" w:color="auto"/>
        <w:right w:val="single" w:sz="4" w:space="0" w:color="auto"/>
      </w:pBdr>
      <w:shd w:val="clear" w:color="auto" w:fill="FFFFFF"/>
      <w:spacing w:before="100" w:beforeAutospacing="1" w:after="100" w:afterAutospacing="1"/>
      <w:jc w:val="center"/>
    </w:pPr>
    <w:rPr>
      <w:rFonts w:ascii="ＭＳ ゴシック" w:eastAsia="ＭＳ ゴシック" w:hAnsi="ＭＳ ゴシック" w:cs="ＭＳ Ｐゴシック"/>
      <w:kern w:val="0"/>
      <w:sz w:val="20"/>
      <w:szCs w:val="20"/>
    </w:rPr>
  </w:style>
  <w:style w:type="paragraph" w:customStyle="1" w:styleId="xl237">
    <w:name w:val="xl237"/>
    <w:basedOn w:val="a"/>
    <w:rsid w:val="00327EBF"/>
    <w:pPr>
      <w:widowControl/>
      <w:pBdr>
        <w:left w:val="single" w:sz="8" w:space="0" w:color="auto"/>
        <w:bottom w:val="single" w:sz="8" w:space="0" w:color="auto"/>
      </w:pBdr>
      <w:shd w:val="clear" w:color="auto" w:fill="FFFFFF"/>
      <w:spacing w:before="100" w:beforeAutospacing="1" w:after="100" w:afterAutospacing="1"/>
      <w:jc w:val="center"/>
    </w:pPr>
    <w:rPr>
      <w:rFonts w:ascii="ＭＳ ゴシック" w:eastAsia="ＭＳ ゴシック" w:hAnsi="ＭＳ ゴシック" w:cs="ＭＳ Ｐゴシック"/>
      <w:kern w:val="0"/>
      <w:sz w:val="24"/>
    </w:rPr>
  </w:style>
  <w:style w:type="paragraph" w:customStyle="1" w:styleId="xl238">
    <w:name w:val="xl238"/>
    <w:basedOn w:val="a"/>
    <w:rsid w:val="00327EBF"/>
    <w:pPr>
      <w:widowControl/>
      <w:pBdr>
        <w:bottom w:val="single" w:sz="8" w:space="0" w:color="auto"/>
        <w:right w:val="single" w:sz="4" w:space="0" w:color="auto"/>
      </w:pBdr>
      <w:shd w:val="clear" w:color="auto" w:fill="FFFFFF"/>
      <w:spacing w:before="100" w:beforeAutospacing="1" w:after="100" w:afterAutospacing="1"/>
      <w:jc w:val="center"/>
    </w:pPr>
    <w:rPr>
      <w:rFonts w:ascii="ＭＳ ゴシック" w:eastAsia="ＭＳ ゴシック" w:hAnsi="ＭＳ ゴシック" w:cs="ＭＳ Ｐゴシック"/>
      <w:kern w:val="0"/>
      <w:sz w:val="24"/>
    </w:rPr>
  </w:style>
  <w:style w:type="paragraph" w:customStyle="1" w:styleId="xl239">
    <w:name w:val="xl239"/>
    <w:basedOn w:val="a"/>
    <w:rsid w:val="00327EBF"/>
    <w:pPr>
      <w:widowControl/>
      <w:pBdr>
        <w:top w:val="single" w:sz="4" w:space="0" w:color="auto"/>
        <w:left w:val="single" w:sz="4" w:space="0" w:color="auto"/>
        <w:bottom w:val="single" w:sz="4" w:space="0" w:color="auto"/>
      </w:pBdr>
      <w:spacing w:before="100" w:beforeAutospacing="1" w:after="100" w:afterAutospacing="1"/>
    </w:pPr>
    <w:rPr>
      <w:rFonts w:ascii="ＭＳ Ｐゴシック" w:eastAsia="ＭＳ Ｐゴシック" w:hAnsi="ＭＳ Ｐゴシック" w:cs="ＭＳ Ｐゴシック"/>
      <w:color w:val="FF0000"/>
      <w:kern w:val="0"/>
      <w:sz w:val="20"/>
      <w:szCs w:val="20"/>
    </w:rPr>
  </w:style>
  <w:style w:type="paragraph" w:customStyle="1" w:styleId="xl240">
    <w:name w:val="xl240"/>
    <w:basedOn w:val="a"/>
    <w:rsid w:val="00327EBF"/>
    <w:pPr>
      <w:widowControl/>
      <w:pBdr>
        <w:top w:val="single" w:sz="4" w:space="0" w:color="auto"/>
        <w:bottom w:val="single" w:sz="4" w:space="0" w:color="auto"/>
        <w:right w:val="single" w:sz="8" w:space="0" w:color="auto"/>
      </w:pBdr>
      <w:spacing w:before="100" w:beforeAutospacing="1" w:after="100" w:afterAutospacing="1"/>
    </w:pPr>
    <w:rPr>
      <w:rFonts w:ascii="ＭＳ Ｐゴシック" w:eastAsia="ＭＳ Ｐゴシック" w:hAnsi="ＭＳ Ｐゴシック" w:cs="ＭＳ Ｐゴシック"/>
      <w:color w:val="FF0000"/>
      <w:kern w:val="0"/>
      <w:sz w:val="20"/>
      <w:szCs w:val="20"/>
    </w:rPr>
  </w:style>
  <w:style w:type="paragraph" w:customStyle="1" w:styleId="xl241">
    <w:name w:val="xl241"/>
    <w:basedOn w:val="a"/>
    <w:rsid w:val="00327EBF"/>
    <w:pPr>
      <w:widowControl/>
      <w:pBdr>
        <w:left w:val="single" w:sz="4" w:space="0" w:color="auto"/>
        <w:right w:val="single" w:sz="4" w:space="0" w:color="auto"/>
      </w:pBdr>
      <w:spacing w:before="100" w:beforeAutospacing="1" w:after="100" w:afterAutospacing="1"/>
      <w:jc w:val="left"/>
    </w:pPr>
    <w:rPr>
      <w:rFonts w:ascii="ＭＳ Ｐゴシック" w:eastAsia="ＭＳ Ｐゴシック" w:hAnsi="ＭＳ Ｐゴシック" w:cs="ＭＳ Ｐゴシック"/>
      <w:kern w:val="0"/>
      <w:sz w:val="24"/>
    </w:rPr>
  </w:style>
  <w:style w:type="paragraph" w:customStyle="1" w:styleId="xl242">
    <w:name w:val="xl242"/>
    <w:basedOn w:val="a"/>
    <w:rsid w:val="00327EBF"/>
    <w:pPr>
      <w:widowControl/>
      <w:pBdr>
        <w:left w:val="single" w:sz="4" w:space="0" w:color="auto"/>
        <w:bottom w:val="single" w:sz="4" w:space="0" w:color="auto"/>
        <w:right w:val="single" w:sz="4" w:space="0" w:color="auto"/>
      </w:pBdr>
      <w:spacing w:before="100" w:beforeAutospacing="1" w:after="100" w:afterAutospacing="1"/>
      <w:jc w:val="left"/>
    </w:pPr>
    <w:rPr>
      <w:rFonts w:ascii="ＭＳ Ｐゴシック" w:eastAsia="ＭＳ Ｐゴシック" w:hAnsi="ＭＳ Ｐゴシック" w:cs="ＭＳ Ｐゴシック"/>
      <w:kern w:val="0"/>
      <w:sz w:val="24"/>
    </w:rPr>
  </w:style>
  <w:style w:type="paragraph" w:customStyle="1" w:styleId="xl243">
    <w:name w:val="xl243"/>
    <w:basedOn w:val="a"/>
    <w:rsid w:val="00327EBF"/>
    <w:pPr>
      <w:widowControl/>
      <w:pBdr>
        <w:top w:val="single" w:sz="8" w:space="0" w:color="auto"/>
        <w:bottom w:val="single" w:sz="8" w:space="0" w:color="auto"/>
        <w:right w:val="single" w:sz="4" w:space="0" w:color="auto"/>
      </w:pBdr>
      <w:spacing w:before="100" w:beforeAutospacing="1" w:after="100" w:afterAutospacing="1"/>
      <w:jc w:val="left"/>
    </w:pPr>
    <w:rPr>
      <w:rFonts w:ascii="ＭＳ ゴシック" w:eastAsia="ＭＳ ゴシック" w:hAnsi="ＭＳ ゴシック" w:cs="ＭＳ Ｐゴシック"/>
      <w:kern w:val="0"/>
      <w:sz w:val="20"/>
      <w:szCs w:val="20"/>
    </w:rPr>
  </w:style>
  <w:style w:type="paragraph" w:customStyle="1" w:styleId="xl244">
    <w:name w:val="xl244"/>
    <w:basedOn w:val="a"/>
    <w:rsid w:val="00327EBF"/>
    <w:pPr>
      <w:widowControl/>
      <w:pBdr>
        <w:top w:val="single" w:sz="8" w:space="0" w:color="auto"/>
        <w:bottom w:val="single" w:sz="4" w:space="0" w:color="auto"/>
        <w:right w:val="single" w:sz="4" w:space="0" w:color="auto"/>
      </w:pBdr>
      <w:spacing w:before="100" w:beforeAutospacing="1" w:after="100" w:afterAutospacing="1"/>
      <w:jc w:val="left"/>
    </w:pPr>
    <w:rPr>
      <w:rFonts w:ascii="ＭＳ ゴシック" w:eastAsia="ＭＳ ゴシック" w:hAnsi="ＭＳ ゴシック" w:cs="ＭＳ Ｐゴシック"/>
      <w:kern w:val="0"/>
      <w:sz w:val="20"/>
      <w:szCs w:val="20"/>
    </w:rPr>
  </w:style>
  <w:style w:type="paragraph" w:customStyle="1" w:styleId="xl245">
    <w:name w:val="xl245"/>
    <w:basedOn w:val="a"/>
    <w:rsid w:val="00327EBF"/>
    <w:pPr>
      <w:widowControl/>
      <w:pBdr>
        <w:top w:val="single" w:sz="4" w:space="0" w:color="auto"/>
      </w:pBdr>
      <w:spacing w:before="100" w:beforeAutospacing="1" w:after="100" w:afterAutospacing="1"/>
      <w:jc w:val="center"/>
    </w:pPr>
    <w:rPr>
      <w:rFonts w:ascii="ＭＳ ゴシック" w:eastAsia="ＭＳ ゴシック" w:hAnsi="ＭＳ ゴシック" w:cs="ＭＳ Ｐゴシック"/>
      <w:kern w:val="0"/>
      <w:sz w:val="20"/>
      <w:szCs w:val="20"/>
    </w:rPr>
  </w:style>
  <w:style w:type="paragraph" w:customStyle="1" w:styleId="xl246">
    <w:name w:val="xl246"/>
    <w:basedOn w:val="a"/>
    <w:rsid w:val="00327EBF"/>
    <w:pPr>
      <w:widowControl/>
      <w:spacing w:before="100" w:beforeAutospacing="1" w:after="100" w:afterAutospacing="1"/>
      <w:jc w:val="center"/>
    </w:pPr>
    <w:rPr>
      <w:rFonts w:ascii="ＭＳ ゴシック" w:eastAsia="ＭＳ ゴシック" w:hAnsi="ＭＳ ゴシック" w:cs="ＭＳ Ｐゴシック"/>
      <w:kern w:val="0"/>
      <w:sz w:val="20"/>
      <w:szCs w:val="20"/>
    </w:rPr>
  </w:style>
  <w:style w:type="paragraph" w:customStyle="1" w:styleId="xl247">
    <w:name w:val="xl247"/>
    <w:basedOn w:val="a"/>
    <w:rsid w:val="00327EBF"/>
    <w:pPr>
      <w:widowControl/>
      <w:pBdr>
        <w:bottom w:val="single" w:sz="8" w:space="0" w:color="auto"/>
        <w:right w:val="single" w:sz="4" w:space="0" w:color="auto"/>
      </w:pBdr>
      <w:spacing w:before="100" w:beforeAutospacing="1" w:after="100" w:afterAutospacing="1"/>
      <w:jc w:val="center"/>
    </w:pPr>
    <w:rPr>
      <w:rFonts w:ascii="ＭＳ Ｐゴシック" w:eastAsia="ＭＳ Ｐゴシック" w:hAnsi="ＭＳ Ｐゴシック" w:cs="ＭＳ Ｐゴシック"/>
      <w:kern w:val="0"/>
      <w:sz w:val="24"/>
    </w:rPr>
  </w:style>
  <w:style w:type="paragraph" w:customStyle="1" w:styleId="xl248">
    <w:name w:val="xl248"/>
    <w:basedOn w:val="a"/>
    <w:rsid w:val="00327EBF"/>
    <w:pPr>
      <w:widowControl/>
      <w:pBdr>
        <w:top w:val="single" w:sz="4" w:space="0" w:color="auto"/>
        <w:left w:val="single" w:sz="4" w:space="0" w:color="auto"/>
      </w:pBdr>
      <w:spacing w:before="100" w:beforeAutospacing="1" w:after="100" w:afterAutospacing="1"/>
    </w:pPr>
    <w:rPr>
      <w:rFonts w:ascii="ＭＳ ゴシック" w:eastAsia="ＭＳ ゴシック" w:hAnsi="ＭＳ ゴシック" w:cs="ＭＳ Ｐゴシック"/>
      <w:kern w:val="0"/>
      <w:sz w:val="20"/>
      <w:szCs w:val="20"/>
    </w:rPr>
  </w:style>
  <w:style w:type="paragraph" w:customStyle="1" w:styleId="xl249">
    <w:name w:val="xl249"/>
    <w:basedOn w:val="a"/>
    <w:rsid w:val="00327EBF"/>
    <w:pPr>
      <w:widowControl/>
      <w:pBdr>
        <w:top w:val="single" w:sz="4" w:space="0" w:color="auto"/>
        <w:right w:val="single" w:sz="8" w:space="0" w:color="auto"/>
      </w:pBdr>
      <w:spacing w:before="100" w:beforeAutospacing="1" w:after="100" w:afterAutospacing="1"/>
    </w:pPr>
    <w:rPr>
      <w:rFonts w:ascii="ＭＳ ゴシック" w:eastAsia="ＭＳ ゴシック" w:hAnsi="ＭＳ ゴシック" w:cs="ＭＳ Ｐゴシック"/>
      <w:kern w:val="0"/>
      <w:sz w:val="20"/>
      <w:szCs w:val="20"/>
    </w:rPr>
  </w:style>
  <w:style w:type="paragraph" w:customStyle="1" w:styleId="xl250">
    <w:name w:val="xl250"/>
    <w:basedOn w:val="a"/>
    <w:rsid w:val="00327EBF"/>
    <w:pPr>
      <w:widowControl/>
      <w:pBdr>
        <w:left w:val="single" w:sz="8" w:space="0" w:color="auto"/>
      </w:pBdr>
      <w:spacing w:before="100" w:beforeAutospacing="1" w:after="100" w:afterAutospacing="1"/>
      <w:jc w:val="left"/>
    </w:pPr>
    <w:rPr>
      <w:rFonts w:ascii="ＭＳ Ｐゴシック" w:eastAsia="ＭＳ Ｐゴシック" w:hAnsi="ＭＳ Ｐゴシック" w:cs="ＭＳ Ｐゴシック"/>
      <w:kern w:val="0"/>
      <w:sz w:val="24"/>
    </w:rPr>
  </w:style>
  <w:style w:type="paragraph" w:customStyle="1" w:styleId="xl251">
    <w:name w:val="xl251"/>
    <w:basedOn w:val="a"/>
    <w:rsid w:val="00327EBF"/>
    <w:pPr>
      <w:widowControl/>
      <w:pBdr>
        <w:left w:val="single" w:sz="8" w:space="0" w:color="auto"/>
        <w:bottom w:val="single" w:sz="4" w:space="0" w:color="auto"/>
      </w:pBdr>
      <w:spacing w:before="100" w:beforeAutospacing="1" w:after="100" w:afterAutospacing="1"/>
      <w:jc w:val="left"/>
    </w:pPr>
    <w:rPr>
      <w:rFonts w:ascii="ＭＳ Ｐゴシック" w:eastAsia="ＭＳ Ｐゴシック" w:hAnsi="ＭＳ Ｐゴシック" w:cs="ＭＳ Ｐゴシック"/>
      <w:kern w:val="0"/>
      <w:sz w:val="24"/>
    </w:rPr>
  </w:style>
  <w:style w:type="paragraph" w:customStyle="1" w:styleId="xl252">
    <w:name w:val="xl252"/>
    <w:basedOn w:val="a"/>
    <w:rsid w:val="00327EBF"/>
    <w:pPr>
      <w:widowControl/>
      <w:pBdr>
        <w:top w:val="single" w:sz="4" w:space="0" w:color="auto"/>
        <w:left w:val="single" w:sz="8" w:space="0" w:color="auto"/>
      </w:pBdr>
      <w:spacing w:before="100" w:beforeAutospacing="1" w:after="100" w:afterAutospacing="1"/>
      <w:jc w:val="center"/>
    </w:pPr>
    <w:rPr>
      <w:rFonts w:ascii="ＭＳ Ｐゴシック" w:eastAsia="ＭＳ Ｐゴシック" w:hAnsi="ＭＳ Ｐゴシック" w:cs="ＭＳ Ｐゴシック"/>
      <w:kern w:val="0"/>
      <w:sz w:val="20"/>
      <w:szCs w:val="20"/>
    </w:rPr>
  </w:style>
  <w:style w:type="paragraph" w:customStyle="1" w:styleId="xl253">
    <w:name w:val="xl253"/>
    <w:basedOn w:val="a"/>
    <w:rsid w:val="00327EBF"/>
    <w:pPr>
      <w:widowControl/>
      <w:pBdr>
        <w:left w:val="single" w:sz="8" w:space="0" w:color="auto"/>
      </w:pBdr>
      <w:spacing w:before="100" w:beforeAutospacing="1" w:after="100" w:afterAutospacing="1"/>
      <w:jc w:val="center"/>
    </w:pPr>
    <w:rPr>
      <w:rFonts w:ascii="ＭＳ Ｐゴシック" w:eastAsia="ＭＳ Ｐゴシック" w:hAnsi="ＭＳ Ｐゴシック" w:cs="ＭＳ Ｐゴシック"/>
      <w:kern w:val="0"/>
      <w:sz w:val="20"/>
      <w:szCs w:val="20"/>
    </w:rPr>
  </w:style>
  <w:style w:type="paragraph" w:customStyle="1" w:styleId="xl254">
    <w:name w:val="xl254"/>
    <w:basedOn w:val="a"/>
    <w:rsid w:val="00327EBF"/>
    <w:pPr>
      <w:widowControl/>
      <w:pBdr>
        <w:left w:val="single" w:sz="8" w:space="0" w:color="auto"/>
        <w:bottom w:val="single" w:sz="8" w:space="0" w:color="auto"/>
      </w:pBdr>
      <w:spacing w:before="100" w:beforeAutospacing="1" w:after="100" w:afterAutospacing="1"/>
      <w:jc w:val="center"/>
    </w:pPr>
    <w:rPr>
      <w:rFonts w:ascii="ＭＳ Ｐゴシック" w:eastAsia="ＭＳ Ｐゴシック" w:hAnsi="ＭＳ Ｐゴシック" w:cs="ＭＳ Ｐゴシック"/>
      <w:kern w:val="0"/>
      <w:sz w:val="20"/>
      <w:szCs w:val="20"/>
    </w:rPr>
  </w:style>
  <w:style w:type="paragraph" w:customStyle="1" w:styleId="xl255">
    <w:name w:val="xl255"/>
    <w:basedOn w:val="a"/>
    <w:rsid w:val="00327EBF"/>
    <w:pPr>
      <w:widowControl/>
      <w:pBdr>
        <w:top w:val="single" w:sz="8" w:space="0" w:color="auto"/>
        <w:left w:val="single" w:sz="8" w:space="0" w:color="auto"/>
      </w:pBdr>
      <w:spacing w:before="100" w:beforeAutospacing="1" w:after="100" w:afterAutospacing="1"/>
      <w:jc w:val="center"/>
    </w:pPr>
    <w:rPr>
      <w:rFonts w:ascii="ＭＳ ゴシック" w:eastAsia="ＭＳ ゴシック" w:hAnsi="ＭＳ ゴシック" w:cs="ＭＳ Ｐゴシック"/>
      <w:kern w:val="0"/>
      <w:sz w:val="20"/>
      <w:szCs w:val="20"/>
    </w:rPr>
  </w:style>
  <w:style w:type="paragraph" w:customStyle="1" w:styleId="xl256">
    <w:name w:val="xl256"/>
    <w:basedOn w:val="a"/>
    <w:rsid w:val="00327EBF"/>
    <w:pPr>
      <w:widowControl/>
      <w:pBdr>
        <w:left w:val="single" w:sz="8" w:space="0" w:color="auto"/>
        <w:bottom w:val="single" w:sz="4" w:space="0" w:color="auto"/>
      </w:pBdr>
      <w:spacing w:before="100" w:beforeAutospacing="1" w:after="100" w:afterAutospacing="1"/>
      <w:jc w:val="center"/>
    </w:pPr>
    <w:rPr>
      <w:rFonts w:ascii="ＭＳ ゴシック" w:eastAsia="ＭＳ ゴシック" w:hAnsi="ＭＳ ゴシック" w:cs="ＭＳ Ｐゴシック"/>
      <w:kern w:val="0"/>
      <w:sz w:val="20"/>
      <w:szCs w:val="20"/>
    </w:rPr>
  </w:style>
  <w:style w:type="paragraph" w:customStyle="1" w:styleId="xl257">
    <w:name w:val="xl257"/>
    <w:basedOn w:val="a"/>
    <w:rsid w:val="00327EBF"/>
    <w:pPr>
      <w:widowControl/>
      <w:pBdr>
        <w:top w:val="single" w:sz="4" w:space="0" w:color="auto"/>
        <w:left w:val="single" w:sz="4" w:space="0" w:color="auto"/>
        <w:bottom w:val="single" w:sz="4" w:space="0" w:color="auto"/>
      </w:pBdr>
      <w:spacing w:before="100" w:beforeAutospacing="1" w:after="100" w:afterAutospacing="1"/>
      <w:jc w:val="left"/>
    </w:pPr>
    <w:rPr>
      <w:rFonts w:ascii="ＭＳ ゴシック" w:eastAsia="ＭＳ ゴシック" w:hAnsi="ＭＳ ゴシック" w:cs="ＭＳ Ｐゴシック"/>
      <w:kern w:val="0"/>
      <w:sz w:val="20"/>
      <w:szCs w:val="20"/>
    </w:rPr>
  </w:style>
  <w:style w:type="paragraph" w:customStyle="1" w:styleId="xl258">
    <w:name w:val="xl258"/>
    <w:basedOn w:val="a"/>
    <w:rsid w:val="00327EBF"/>
    <w:pPr>
      <w:widowControl/>
      <w:pBdr>
        <w:top w:val="single" w:sz="4" w:space="0" w:color="auto"/>
        <w:bottom w:val="single" w:sz="4" w:space="0" w:color="auto"/>
        <w:right w:val="single" w:sz="8" w:space="0" w:color="auto"/>
      </w:pBdr>
      <w:spacing w:before="100" w:beforeAutospacing="1" w:after="100" w:afterAutospacing="1"/>
      <w:jc w:val="left"/>
    </w:pPr>
    <w:rPr>
      <w:rFonts w:ascii="ＭＳ ゴシック" w:eastAsia="ＭＳ ゴシック" w:hAnsi="ＭＳ ゴシック" w:cs="ＭＳ Ｐゴシック"/>
      <w:kern w:val="0"/>
      <w:sz w:val="20"/>
      <w:szCs w:val="20"/>
    </w:rPr>
  </w:style>
  <w:style w:type="paragraph" w:customStyle="1" w:styleId="xl259">
    <w:name w:val="xl259"/>
    <w:basedOn w:val="a"/>
    <w:rsid w:val="00327EBF"/>
    <w:pPr>
      <w:widowControl/>
      <w:pBdr>
        <w:top w:val="single" w:sz="8" w:space="0" w:color="auto"/>
        <w:bottom w:val="single" w:sz="4" w:space="0" w:color="auto"/>
      </w:pBdr>
      <w:spacing w:before="100" w:beforeAutospacing="1" w:after="100" w:afterAutospacing="1"/>
    </w:pPr>
    <w:rPr>
      <w:rFonts w:ascii="ＭＳ ゴシック" w:eastAsia="ＭＳ ゴシック" w:hAnsi="ＭＳ ゴシック" w:cs="ＭＳ Ｐゴシック"/>
      <w:kern w:val="0"/>
      <w:sz w:val="20"/>
      <w:szCs w:val="20"/>
    </w:rPr>
  </w:style>
  <w:style w:type="paragraph" w:customStyle="1" w:styleId="xl260">
    <w:name w:val="xl260"/>
    <w:basedOn w:val="a"/>
    <w:rsid w:val="00327EBF"/>
    <w:pPr>
      <w:widowControl/>
      <w:pBdr>
        <w:top w:val="single" w:sz="4" w:space="0" w:color="auto"/>
        <w:left w:val="single" w:sz="4" w:space="0" w:color="auto"/>
        <w:right w:val="single" w:sz="8" w:space="0" w:color="auto"/>
      </w:pBdr>
      <w:spacing w:before="100" w:beforeAutospacing="1" w:after="100" w:afterAutospacing="1"/>
      <w:jc w:val="center"/>
    </w:pPr>
    <w:rPr>
      <w:rFonts w:ascii="ＭＳ ゴシック" w:eastAsia="ＭＳ ゴシック" w:hAnsi="ＭＳ ゴシック" w:cs="ＭＳ Ｐゴシック"/>
      <w:kern w:val="0"/>
      <w:sz w:val="20"/>
      <w:szCs w:val="20"/>
    </w:rPr>
  </w:style>
  <w:style w:type="paragraph" w:customStyle="1" w:styleId="xl261">
    <w:name w:val="xl261"/>
    <w:basedOn w:val="a"/>
    <w:rsid w:val="00327EBF"/>
    <w:pPr>
      <w:widowControl/>
      <w:pBdr>
        <w:left w:val="single" w:sz="4" w:space="0" w:color="auto"/>
        <w:bottom w:val="single" w:sz="4" w:space="0" w:color="auto"/>
        <w:right w:val="single" w:sz="8" w:space="0" w:color="auto"/>
      </w:pBdr>
      <w:spacing w:before="100" w:beforeAutospacing="1" w:after="100" w:afterAutospacing="1"/>
      <w:jc w:val="center"/>
    </w:pPr>
    <w:rPr>
      <w:rFonts w:ascii="ＭＳ ゴシック" w:eastAsia="ＭＳ ゴシック" w:hAnsi="ＭＳ ゴシック" w:cs="ＭＳ Ｐゴシック"/>
      <w:kern w:val="0"/>
      <w:sz w:val="20"/>
      <w:szCs w:val="20"/>
    </w:rPr>
  </w:style>
  <w:style w:type="paragraph" w:customStyle="1" w:styleId="xl262">
    <w:name w:val="xl262"/>
    <w:basedOn w:val="a"/>
    <w:rsid w:val="00327EBF"/>
    <w:pPr>
      <w:widowControl/>
      <w:pBdr>
        <w:top w:val="single" w:sz="4" w:space="0" w:color="auto"/>
        <w:left w:val="single" w:sz="4" w:space="0" w:color="auto"/>
        <w:right w:val="single" w:sz="4" w:space="0" w:color="auto"/>
      </w:pBdr>
      <w:spacing w:before="100" w:beforeAutospacing="1" w:after="100" w:afterAutospacing="1"/>
      <w:jc w:val="center"/>
    </w:pPr>
    <w:rPr>
      <w:rFonts w:ascii="ＭＳ ゴシック" w:eastAsia="ＭＳ ゴシック" w:hAnsi="ＭＳ ゴシック" w:cs="ＭＳ Ｐゴシック"/>
      <w:kern w:val="0"/>
      <w:sz w:val="20"/>
      <w:szCs w:val="20"/>
    </w:rPr>
  </w:style>
  <w:style w:type="paragraph" w:customStyle="1" w:styleId="xl263">
    <w:name w:val="xl263"/>
    <w:basedOn w:val="a"/>
    <w:rsid w:val="00327EBF"/>
    <w:pPr>
      <w:widowControl/>
      <w:pBdr>
        <w:left w:val="single" w:sz="4" w:space="0" w:color="auto"/>
        <w:bottom w:val="single" w:sz="4" w:space="0" w:color="auto"/>
        <w:right w:val="single" w:sz="4" w:space="0" w:color="auto"/>
      </w:pBdr>
      <w:spacing w:before="100" w:beforeAutospacing="1" w:after="100" w:afterAutospacing="1"/>
      <w:jc w:val="center"/>
    </w:pPr>
    <w:rPr>
      <w:rFonts w:ascii="ＭＳ ゴシック" w:eastAsia="ＭＳ ゴシック" w:hAnsi="ＭＳ ゴシック" w:cs="ＭＳ Ｐゴシック"/>
      <w:kern w:val="0"/>
      <w:sz w:val="20"/>
      <w:szCs w:val="20"/>
    </w:rPr>
  </w:style>
  <w:style w:type="paragraph" w:customStyle="1" w:styleId="xl264">
    <w:name w:val="xl264"/>
    <w:basedOn w:val="a"/>
    <w:rsid w:val="00327EBF"/>
    <w:pPr>
      <w:widowControl/>
      <w:pBdr>
        <w:left w:val="single" w:sz="8" w:space="0" w:color="auto"/>
        <w:bottom w:val="single" w:sz="8" w:space="0" w:color="auto"/>
      </w:pBdr>
      <w:spacing w:before="100" w:beforeAutospacing="1" w:after="100" w:afterAutospacing="1"/>
      <w:jc w:val="center"/>
    </w:pPr>
    <w:rPr>
      <w:rFonts w:ascii="ＭＳ ゴシック" w:eastAsia="ＭＳ ゴシック" w:hAnsi="ＭＳ ゴシック" w:cs="ＭＳ Ｐゴシック"/>
      <w:kern w:val="0"/>
      <w:sz w:val="20"/>
      <w:szCs w:val="20"/>
    </w:rPr>
  </w:style>
  <w:style w:type="paragraph" w:customStyle="1" w:styleId="xl265">
    <w:name w:val="xl265"/>
    <w:basedOn w:val="a"/>
    <w:rsid w:val="00327EBF"/>
    <w:pPr>
      <w:widowControl/>
      <w:pBdr>
        <w:top w:val="single" w:sz="8" w:space="0" w:color="auto"/>
        <w:left w:val="single" w:sz="8" w:space="0" w:color="auto"/>
      </w:pBdr>
      <w:spacing w:before="100" w:beforeAutospacing="1" w:after="100" w:afterAutospacing="1"/>
      <w:jc w:val="center"/>
    </w:pPr>
    <w:rPr>
      <w:rFonts w:ascii="ＭＳ ゴシック" w:eastAsia="ＭＳ ゴシック" w:hAnsi="ＭＳ ゴシック" w:cs="ＭＳ Ｐゴシック"/>
      <w:kern w:val="0"/>
      <w:sz w:val="20"/>
      <w:szCs w:val="20"/>
    </w:rPr>
  </w:style>
  <w:style w:type="paragraph" w:customStyle="1" w:styleId="xl266">
    <w:name w:val="xl266"/>
    <w:basedOn w:val="a"/>
    <w:rsid w:val="00327EBF"/>
    <w:pPr>
      <w:widowControl/>
      <w:pBdr>
        <w:left w:val="single" w:sz="8" w:space="0" w:color="auto"/>
      </w:pBdr>
      <w:spacing w:before="100" w:beforeAutospacing="1" w:after="100" w:afterAutospacing="1"/>
      <w:jc w:val="center"/>
    </w:pPr>
    <w:rPr>
      <w:rFonts w:ascii="ＭＳ ゴシック" w:eastAsia="ＭＳ ゴシック" w:hAnsi="ＭＳ ゴシック" w:cs="ＭＳ Ｐゴシック"/>
      <w:kern w:val="0"/>
      <w:sz w:val="20"/>
      <w:szCs w:val="20"/>
    </w:rPr>
  </w:style>
  <w:style w:type="paragraph" w:customStyle="1" w:styleId="xl267">
    <w:name w:val="xl267"/>
    <w:basedOn w:val="a"/>
    <w:rsid w:val="00327EBF"/>
    <w:pPr>
      <w:widowControl/>
      <w:pBdr>
        <w:left w:val="single" w:sz="8" w:space="0" w:color="auto"/>
        <w:bottom w:val="single" w:sz="4" w:space="0" w:color="auto"/>
      </w:pBdr>
      <w:spacing w:before="100" w:beforeAutospacing="1" w:after="100" w:afterAutospacing="1"/>
      <w:jc w:val="center"/>
    </w:pPr>
    <w:rPr>
      <w:rFonts w:ascii="ＭＳ ゴシック" w:eastAsia="ＭＳ ゴシック" w:hAnsi="ＭＳ ゴシック" w:cs="ＭＳ Ｐゴシック"/>
      <w:kern w:val="0"/>
      <w:sz w:val="20"/>
      <w:szCs w:val="20"/>
    </w:rPr>
  </w:style>
  <w:style w:type="table" w:customStyle="1" w:styleId="11">
    <w:name w:val="表 (格子)1"/>
    <w:basedOn w:val="a2"/>
    <w:uiPriority w:val="59"/>
    <w:rsid w:val="007A242B"/>
    <w:rPr>
      <w:rFonts w:eastAsia="Times New Roman"/>
      <w:kern w:val="2"/>
      <w:sz w:val="21"/>
      <w:szCs w:val="22"/>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31">
    <w:name w:val="Body Text Indent 3"/>
    <w:basedOn w:val="a"/>
    <w:link w:val="32"/>
    <w:rsid w:val="004B5CA4"/>
    <w:pPr>
      <w:ind w:right="215" w:firstLineChars="100" w:firstLine="220"/>
      <w:jc w:val="left"/>
    </w:pPr>
    <w:rPr>
      <w:sz w:val="22"/>
      <w:lang w:val="x-none" w:eastAsia="x-none"/>
    </w:rPr>
  </w:style>
  <w:style w:type="character" w:customStyle="1" w:styleId="32">
    <w:name w:val="本文インデント 3 (文字)"/>
    <w:link w:val="31"/>
    <w:rsid w:val="004B5CA4"/>
    <w:rPr>
      <w:kern w:val="2"/>
      <w:sz w:val="22"/>
      <w:szCs w:val="24"/>
      <w:lang w:val="x-none" w:eastAsia="x-none"/>
    </w:rPr>
  </w:style>
  <w:style w:type="paragraph" w:styleId="af8">
    <w:name w:val="Body Text"/>
    <w:basedOn w:val="a"/>
    <w:link w:val="af9"/>
    <w:rsid w:val="004B5CA4"/>
  </w:style>
  <w:style w:type="character" w:customStyle="1" w:styleId="af9">
    <w:name w:val="本文 (文字)"/>
    <w:link w:val="af8"/>
    <w:rsid w:val="004B5CA4"/>
    <w:rPr>
      <w:kern w:val="2"/>
      <w:sz w:val="21"/>
      <w:szCs w:val="24"/>
    </w:rPr>
  </w:style>
  <w:style w:type="paragraph" w:styleId="21">
    <w:name w:val="Body Text 2"/>
    <w:basedOn w:val="a"/>
    <w:link w:val="22"/>
    <w:rsid w:val="004B5CA4"/>
    <w:pPr>
      <w:spacing w:line="480" w:lineRule="auto"/>
    </w:pPr>
  </w:style>
  <w:style w:type="character" w:customStyle="1" w:styleId="22">
    <w:name w:val="本文 2 (文字)"/>
    <w:link w:val="21"/>
    <w:rsid w:val="004B5CA4"/>
    <w:rPr>
      <w:kern w:val="2"/>
      <w:sz w:val="21"/>
      <w:szCs w:val="24"/>
    </w:rPr>
  </w:style>
  <w:style w:type="table" w:customStyle="1" w:styleId="23">
    <w:name w:val="表 (格子)2"/>
    <w:basedOn w:val="a2"/>
    <w:next w:val="ab"/>
    <w:uiPriority w:val="59"/>
    <w:rsid w:val="001C0789"/>
    <w:rPr>
      <w:kern w:val="2"/>
      <w:sz w:val="21"/>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Web">
    <w:name w:val="Normal (Web)"/>
    <w:basedOn w:val="a"/>
    <w:uiPriority w:val="99"/>
    <w:unhideWhenUsed/>
    <w:rsid w:val="003A5689"/>
    <w:pPr>
      <w:widowControl/>
      <w:spacing w:before="100" w:beforeAutospacing="1" w:after="100" w:afterAutospacing="1"/>
      <w:jc w:val="left"/>
    </w:pPr>
    <w:rPr>
      <w:rFonts w:ascii="ＭＳ Ｐゴシック" w:eastAsia="ＭＳ Ｐゴシック" w:hAnsi="ＭＳ Ｐゴシック" w:cs="ＭＳ Ｐゴシック"/>
      <w:kern w:val="0"/>
      <w:sz w:val="24"/>
    </w:rPr>
  </w:style>
  <w:style w:type="character" w:styleId="afa">
    <w:name w:val="annotation reference"/>
    <w:basedOn w:val="a1"/>
    <w:uiPriority w:val="99"/>
    <w:semiHidden/>
    <w:unhideWhenUsed/>
    <w:rsid w:val="009F38AA"/>
    <w:rPr>
      <w:sz w:val="18"/>
      <w:szCs w:val="18"/>
    </w:rPr>
  </w:style>
  <w:style w:type="paragraph" w:styleId="afb">
    <w:name w:val="annotation text"/>
    <w:basedOn w:val="a"/>
    <w:link w:val="afc"/>
    <w:uiPriority w:val="99"/>
    <w:unhideWhenUsed/>
    <w:rsid w:val="009F38AA"/>
    <w:pPr>
      <w:jc w:val="left"/>
    </w:pPr>
  </w:style>
  <w:style w:type="character" w:customStyle="1" w:styleId="afc">
    <w:name w:val="コメント文字列 (文字)"/>
    <w:basedOn w:val="a1"/>
    <w:link w:val="afb"/>
    <w:uiPriority w:val="99"/>
    <w:rsid w:val="009F38AA"/>
    <w:rPr>
      <w:kern w:val="2"/>
      <w:sz w:val="21"/>
      <w:szCs w:val="24"/>
    </w:rPr>
  </w:style>
  <w:style w:type="paragraph" w:styleId="afd">
    <w:name w:val="Revision"/>
    <w:hidden/>
    <w:uiPriority w:val="99"/>
    <w:semiHidden/>
    <w:rsid w:val="003D3DEC"/>
    <w:rPr>
      <w:kern w:val="2"/>
      <w:sz w:val="21"/>
      <w:szCs w:val="24"/>
    </w:rPr>
  </w:style>
  <w:style w:type="table" w:customStyle="1" w:styleId="33">
    <w:name w:val="表 (格子)3"/>
    <w:basedOn w:val="a2"/>
    <w:next w:val="ab"/>
    <w:uiPriority w:val="39"/>
    <w:rsid w:val="00F335E2"/>
    <w:pPr>
      <w:widowControl w:val="0"/>
      <w:jc w:val="both"/>
    </w:pPr>
    <w:rPr>
      <w:rFonts w:ascii="ＭＳ 明朝"/>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e">
    <w:name w:val="annotation subject"/>
    <w:basedOn w:val="afb"/>
    <w:next w:val="afb"/>
    <w:link w:val="aff"/>
    <w:semiHidden/>
    <w:unhideWhenUsed/>
    <w:rsid w:val="00C75790"/>
    <w:rPr>
      <w:b/>
      <w:bCs/>
    </w:rPr>
  </w:style>
  <w:style w:type="character" w:customStyle="1" w:styleId="aff">
    <w:name w:val="コメント内容 (文字)"/>
    <w:basedOn w:val="afc"/>
    <w:link w:val="afe"/>
    <w:semiHidden/>
    <w:rsid w:val="00C75790"/>
    <w:rPr>
      <w:b/>
      <w:bCs/>
      <w:kern w:val="2"/>
      <w:sz w:val="21"/>
      <w:szCs w:val="24"/>
    </w:rPr>
  </w:style>
  <w:style w:type="paragraph" w:customStyle="1" w:styleId="Default">
    <w:name w:val="Default"/>
    <w:rsid w:val="00037203"/>
    <w:pPr>
      <w:widowControl w:val="0"/>
      <w:autoSpaceDE w:val="0"/>
      <w:autoSpaceDN w:val="0"/>
      <w:adjustRightInd w:val="0"/>
    </w:pPr>
    <w:rPr>
      <w:rFonts w:ascii="ＭＳ 明朝" w:cs="ＭＳ 明朝"/>
      <w:color w:val="000000"/>
      <w:sz w:val="24"/>
      <w:szCs w:val="24"/>
    </w:rPr>
  </w:style>
  <w:style w:type="character" w:customStyle="1" w:styleId="10">
    <w:name w:val="見出し 1 (文字)"/>
    <w:basedOn w:val="a1"/>
    <w:link w:val="1"/>
    <w:rsid w:val="00BA52E1"/>
    <w:rPr>
      <w:rFonts w:ascii="ＭＳ ゴシック" w:eastAsia="ＭＳ ゴシック" w:hAnsi="ＭＳ ゴシック" w:cs="Courier New"/>
      <w:bCs/>
      <w:kern w:val="2"/>
      <w:sz w:val="28"/>
      <w:szCs w:val="28"/>
    </w:rPr>
  </w:style>
  <w:style w:type="paragraph" w:styleId="aff0">
    <w:name w:val="TOC Heading"/>
    <w:basedOn w:val="1"/>
    <w:next w:val="a"/>
    <w:uiPriority w:val="39"/>
    <w:unhideWhenUsed/>
    <w:qFormat/>
    <w:rsid w:val="00C519B4"/>
    <w:pPr>
      <w:keepLines/>
      <w:widowControl/>
      <w:spacing w:before="240" w:line="259" w:lineRule="auto"/>
      <w:jc w:val="left"/>
      <w:outlineLvl w:val="9"/>
    </w:pPr>
    <w:rPr>
      <w:color w:val="365F91" w:themeColor="accent1" w:themeShade="BF"/>
      <w:kern w:val="0"/>
      <w:sz w:val="32"/>
      <w:szCs w:val="32"/>
    </w:rPr>
  </w:style>
  <w:style w:type="paragraph" w:styleId="24">
    <w:name w:val="toc 2"/>
    <w:basedOn w:val="a"/>
    <w:next w:val="a"/>
    <w:autoRedefine/>
    <w:uiPriority w:val="39"/>
    <w:unhideWhenUsed/>
    <w:rsid w:val="00C519B4"/>
    <w:pPr>
      <w:ind w:leftChars="100" w:left="210"/>
    </w:pPr>
  </w:style>
  <w:style w:type="character" w:customStyle="1" w:styleId="20">
    <w:name w:val="見出し 2 (文字)"/>
    <w:basedOn w:val="a1"/>
    <w:link w:val="2"/>
    <w:rsid w:val="00BA52E1"/>
    <w:rPr>
      <w:rFonts w:eastAsia="ＭＳ ゴシック"/>
      <w:noProof/>
      <w:kern w:val="2"/>
      <w:sz w:val="28"/>
      <w:szCs w:val="24"/>
    </w:rPr>
  </w:style>
  <w:style w:type="character" w:customStyle="1" w:styleId="30">
    <w:name w:val="見出し 3 (文字)"/>
    <w:basedOn w:val="a1"/>
    <w:link w:val="3"/>
    <w:rsid w:val="009D4B52"/>
    <w:rPr>
      <w:rFonts w:ascii="ＭＳ ゴシック" w:eastAsia="ＭＳ ゴシック" w:hAnsi="ＭＳ ゴシック"/>
      <w:color w:val="000000" w:themeColor="text1"/>
      <w:kern w:val="2"/>
      <w:sz w:val="22"/>
      <w:szCs w:val="24"/>
      <w:u w:val="double"/>
    </w:rPr>
  </w:style>
  <w:style w:type="paragraph" w:styleId="12">
    <w:name w:val="toc 1"/>
    <w:basedOn w:val="a"/>
    <w:next w:val="a"/>
    <w:autoRedefine/>
    <w:uiPriority w:val="39"/>
    <w:unhideWhenUsed/>
    <w:rsid w:val="009A4F5A"/>
  </w:style>
  <w:style w:type="paragraph" w:styleId="34">
    <w:name w:val="toc 3"/>
    <w:basedOn w:val="a"/>
    <w:next w:val="a"/>
    <w:autoRedefine/>
    <w:uiPriority w:val="39"/>
    <w:unhideWhenUsed/>
    <w:rsid w:val="009A4F5A"/>
    <w:pPr>
      <w:ind w:leftChars="200" w:left="420"/>
    </w:pPr>
  </w:style>
  <w:style w:type="character" w:customStyle="1" w:styleId="40">
    <w:name w:val="見出し 4 (文字)"/>
    <w:basedOn w:val="a1"/>
    <w:link w:val="4"/>
    <w:rsid w:val="00025B8E"/>
    <w:rPr>
      <w:b/>
      <w:bCs/>
      <w:kern w:val="2"/>
      <w:sz w:val="21"/>
      <w:szCs w:val="24"/>
    </w:rPr>
  </w:style>
  <w:style w:type="paragraph" w:styleId="41">
    <w:name w:val="toc 4"/>
    <w:basedOn w:val="a"/>
    <w:next w:val="a"/>
    <w:autoRedefine/>
    <w:uiPriority w:val="39"/>
    <w:unhideWhenUsed/>
    <w:rsid w:val="00377F09"/>
    <w:pPr>
      <w:ind w:leftChars="300" w:left="630"/>
    </w:pPr>
  </w:style>
  <w:style w:type="paragraph" w:styleId="51">
    <w:name w:val="toc 5"/>
    <w:basedOn w:val="a"/>
    <w:next w:val="a"/>
    <w:autoRedefine/>
    <w:uiPriority w:val="39"/>
    <w:unhideWhenUsed/>
    <w:rsid w:val="00DA6D67"/>
    <w:pPr>
      <w:ind w:leftChars="400" w:left="840"/>
    </w:pPr>
    <w:rPr>
      <w:rFonts w:asciiTheme="minorHAnsi" w:eastAsiaTheme="minorEastAsia" w:hAnsiTheme="minorHAnsi" w:cstheme="minorBidi"/>
      <w:szCs w:val="22"/>
    </w:rPr>
  </w:style>
  <w:style w:type="paragraph" w:styleId="61">
    <w:name w:val="toc 6"/>
    <w:basedOn w:val="a"/>
    <w:next w:val="a"/>
    <w:autoRedefine/>
    <w:uiPriority w:val="39"/>
    <w:unhideWhenUsed/>
    <w:rsid w:val="00DA6D67"/>
    <w:pPr>
      <w:ind w:leftChars="500" w:left="1050"/>
    </w:pPr>
    <w:rPr>
      <w:rFonts w:asciiTheme="minorHAnsi" w:eastAsiaTheme="minorEastAsia" w:hAnsiTheme="minorHAnsi" w:cstheme="minorBidi"/>
      <w:szCs w:val="22"/>
    </w:rPr>
  </w:style>
  <w:style w:type="paragraph" w:styleId="71">
    <w:name w:val="toc 7"/>
    <w:basedOn w:val="a"/>
    <w:next w:val="a"/>
    <w:autoRedefine/>
    <w:uiPriority w:val="39"/>
    <w:unhideWhenUsed/>
    <w:rsid w:val="00DA6D67"/>
    <w:pPr>
      <w:ind w:leftChars="600" w:left="1260"/>
    </w:pPr>
    <w:rPr>
      <w:rFonts w:asciiTheme="minorHAnsi" w:eastAsiaTheme="minorEastAsia" w:hAnsiTheme="minorHAnsi" w:cstheme="minorBidi"/>
      <w:szCs w:val="22"/>
    </w:rPr>
  </w:style>
  <w:style w:type="paragraph" w:styleId="8">
    <w:name w:val="toc 8"/>
    <w:basedOn w:val="a"/>
    <w:next w:val="a"/>
    <w:autoRedefine/>
    <w:uiPriority w:val="39"/>
    <w:unhideWhenUsed/>
    <w:rsid w:val="00DA6D67"/>
    <w:pPr>
      <w:ind w:leftChars="700" w:left="1470"/>
    </w:pPr>
    <w:rPr>
      <w:rFonts w:asciiTheme="minorHAnsi" w:eastAsiaTheme="minorEastAsia" w:hAnsiTheme="minorHAnsi" w:cstheme="minorBidi"/>
      <w:szCs w:val="22"/>
    </w:rPr>
  </w:style>
  <w:style w:type="paragraph" w:styleId="9">
    <w:name w:val="toc 9"/>
    <w:basedOn w:val="a"/>
    <w:next w:val="a"/>
    <w:autoRedefine/>
    <w:uiPriority w:val="39"/>
    <w:unhideWhenUsed/>
    <w:rsid w:val="00DA6D67"/>
    <w:pPr>
      <w:ind w:leftChars="800" w:left="1680"/>
    </w:pPr>
    <w:rPr>
      <w:rFonts w:asciiTheme="minorHAnsi" w:eastAsiaTheme="minorEastAsia" w:hAnsiTheme="minorHAnsi" w:cstheme="minorBidi"/>
      <w:szCs w:val="22"/>
    </w:rPr>
  </w:style>
  <w:style w:type="character" w:customStyle="1" w:styleId="50">
    <w:name w:val="見出し 5 (文字)"/>
    <w:basedOn w:val="a1"/>
    <w:link w:val="5"/>
    <w:rsid w:val="002940F4"/>
    <w:rPr>
      <w:rFonts w:asciiTheme="majorHAnsi" w:eastAsiaTheme="majorEastAsia" w:hAnsiTheme="majorHAnsi" w:cstheme="majorBidi"/>
      <w:kern w:val="2"/>
      <w:sz w:val="21"/>
      <w:szCs w:val="24"/>
    </w:rPr>
  </w:style>
  <w:style w:type="character" w:customStyle="1" w:styleId="60">
    <w:name w:val="見出し 6 (文字)"/>
    <w:basedOn w:val="a1"/>
    <w:link w:val="6"/>
    <w:rsid w:val="002940F4"/>
    <w:rPr>
      <w:b/>
      <w:bCs/>
      <w:kern w:val="2"/>
      <w:sz w:val="21"/>
      <w:szCs w:val="24"/>
    </w:rPr>
  </w:style>
  <w:style w:type="character" w:customStyle="1" w:styleId="70">
    <w:name w:val="見出し 7 (文字)"/>
    <w:basedOn w:val="a1"/>
    <w:link w:val="7"/>
    <w:rsid w:val="002940F4"/>
    <w:rPr>
      <w:kern w:val="2"/>
      <w:sz w:val="21"/>
      <w:szCs w:val="24"/>
    </w:rPr>
  </w:style>
  <w:style w:type="character" w:styleId="aff1">
    <w:name w:val="Unresolved Mention"/>
    <w:basedOn w:val="a1"/>
    <w:uiPriority w:val="99"/>
    <w:semiHidden/>
    <w:unhideWhenUsed/>
    <w:rsid w:val="00173B7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3161650">
      <w:bodyDiv w:val="1"/>
      <w:marLeft w:val="0"/>
      <w:marRight w:val="0"/>
      <w:marTop w:val="0"/>
      <w:marBottom w:val="0"/>
      <w:divBdr>
        <w:top w:val="none" w:sz="0" w:space="0" w:color="auto"/>
        <w:left w:val="none" w:sz="0" w:space="0" w:color="auto"/>
        <w:bottom w:val="none" w:sz="0" w:space="0" w:color="auto"/>
        <w:right w:val="none" w:sz="0" w:space="0" w:color="auto"/>
      </w:divBdr>
    </w:div>
    <w:div w:id="61686806">
      <w:bodyDiv w:val="1"/>
      <w:marLeft w:val="0"/>
      <w:marRight w:val="0"/>
      <w:marTop w:val="0"/>
      <w:marBottom w:val="0"/>
      <w:divBdr>
        <w:top w:val="none" w:sz="0" w:space="0" w:color="auto"/>
        <w:left w:val="none" w:sz="0" w:space="0" w:color="auto"/>
        <w:bottom w:val="none" w:sz="0" w:space="0" w:color="auto"/>
        <w:right w:val="none" w:sz="0" w:space="0" w:color="auto"/>
      </w:divBdr>
    </w:div>
    <w:div w:id="68041930">
      <w:bodyDiv w:val="1"/>
      <w:marLeft w:val="0"/>
      <w:marRight w:val="0"/>
      <w:marTop w:val="0"/>
      <w:marBottom w:val="0"/>
      <w:divBdr>
        <w:top w:val="none" w:sz="0" w:space="0" w:color="auto"/>
        <w:left w:val="none" w:sz="0" w:space="0" w:color="auto"/>
        <w:bottom w:val="none" w:sz="0" w:space="0" w:color="auto"/>
        <w:right w:val="none" w:sz="0" w:space="0" w:color="auto"/>
      </w:divBdr>
    </w:div>
    <w:div w:id="86926407">
      <w:bodyDiv w:val="1"/>
      <w:marLeft w:val="0"/>
      <w:marRight w:val="0"/>
      <w:marTop w:val="0"/>
      <w:marBottom w:val="0"/>
      <w:divBdr>
        <w:top w:val="none" w:sz="0" w:space="0" w:color="auto"/>
        <w:left w:val="none" w:sz="0" w:space="0" w:color="auto"/>
        <w:bottom w:val="none" w:sz="0" w:space="0" w:color="auto"/>
        <w:right w:val="none" w:sz="0" w:space="0" w:color="auto"/>
      </w:divBdr>
    </w:div>
    <w:div w:id="92215079">
      <w:bodyDiv w:val="1"/>
      <w:marLeft w:val="0"/>
      <w:marRight w:val="0"/>
      <w:marTop w:val="0"/>
      <w:marBottom w:val="0"/>
      <w:divBdr>
        <w:top w:val="none" w:sz="0" w:space="0" w:color="auto"/>
        <w:left w:val="none" w:sz="0" w:space="0" w:color="auto"/>
        <w:bottom w:val="none" w:sz="0" w:space="0" w:color="auto"/>
        <w:right w:val="none" w:sz="0" w:space="0" w:color="auto"/>
      </w:divBdr>
    </w:div>
    <w:div w:id="93719075">
      <w:bodyDiv w:val="1"/>
      <w:marLeft w:val="0"/>
      <w:marRight w:val="0"/>
      <w:marTop w:val="0"/>
      <w:marBottom w:val="0"/>
      <w:divBdr>
        <w:top w:val="none" w:sz="0" w:space="0" w:color="auto"/>
        <w:left w:val="none" w:sz="0" w:space="0" w:color="auto"/>
        <w:bottom w:val="none" w:sz="0" w:space="0" w:color="auto"/>
        <w:right w:val="none" w:sz="0" w:space="0" w:color="auto"/>
      </w:divBdr>
    </w:div>
    <w:div w:id="121732953">
      <w:bodyDiv w:val="1"/>
      <w:marLeft w:val="0"/>
      <w:marRight w:val="0"/>
      <w:marTop w:val="0"/>
      <w:marBottom w:val="0"/>
      <w:divBdr>
        <w:top w:val="none" w:sz="0" w:space="0" w:color="auto"/>
        <w:left w:val="none" w:sz="0" w:space="0" w:color="auto"/>
        <w:bottom w:val="none" w:sz="0" w:space="0" w:color="auto"/>
        <w:right w:val="none" w:sz="0" w:space="0" w:color="auto"/>
      </w:divBdr>
    </w:div>
    <w:div w:id="128714242">
      <w:bodyDiv w:val="1"/>
      <w:marLeft w:val="0"/>
      <w:marRight w:val="0"/>
      <w:marTop w:val="0"/>
      <w:marBottom w:val="0"/>
      <w:divBdr>
        <w:top w:val="none" w:sz="0" w:space="0" w:color="auto"/>
        <w:left w:val="none" w:sz="0" w:space="0" w:color="auto"/>
        <w:bottom w:val="none" w:sz="0" w:space="0" w:color="auto"/>
        <w:right w:val="none" w:sz="0" w:space="0" w:color="auto"/>
      </w:divBdr>
    </w:div>
    <w:div w:id="155271867">
      <w:bodyDiv w:val="1"/>
      <w:marLeft w:val="0"/>
      <w:marRight w:val="0"/>
      <w:marTop w:val="0"/>
      <w:marBottom w:val="0"/>
      <w:divBdr>
        <w:top w:val="none" w:sz="0" w:space="0" w:color="auto"/>
        <w:left w:val="none" w:sz="0" w:space="0" w:color="auto"/>
        <w:bottom w:val="none" w:sz="0" w:space="0" w:color="auto"/>
        <w:right w:val="none" w:sz="0" w:space="0" w:color="auto"/>
      </w:divBdr>
    </w:div>
    <w:div w:id="174148648">
      <w:bodyDiv w:val="1"/>
      <w:marLeft w:val="0"/>
      <w:marRight w:val="0"/>
      <w:marTop w:val="0"/>
      <w:marBottom w:val="0"/>
      <w:divBdr>
        <w:top w:val="none" w:sz="0" w:space="0" w:color="auto"/>
        <w:left w:val="none" w:sz="0" w:space="0" w:color="auto"/>
        <w:bottom w:val="none" w:sz="0" w:space="0" w:color="auto"/>
        <w:right w:val="none" w:sz="0" w:space="0" w:color="auto"/>
      </w:divBdr>
    </w:div>
    <w:div w:id="191234699">
      <w:bodyDiv w:val="1"/>
      <w:marLeft w:val="0"/>
      <w:marRight w:val="0"/>
      <w:marTop w:val="0"/>
      <w:marBottom w:val="0"/>
      <w:divBdr>
        <w:top w:val="none" w:sz="0" w:space="0" w:color="auto"/>
        <w:left w:val="none" w:sz="0" w:space="0" w:color="auto"/>
        <w:bottom w:val="none" w:sz="0" w:space="0" w:color="auto"/>
        <w:right w:val="none" w:sz="0" w:space="0" w:color="auto"/>
      </w:divBdr>
    </w:div>
    <w:div w:id="193663182">
      <w:bodyDiv w:val="1"/>
      <w:marLeft w:val="0"/>
      <w:marRight w:val="0"/>
      <w:marTop w:val="0"/>
      <w:marBottom w:val="0"/>
      <w:divBdr>
        <w:top w:val="none" w:sz="0" w:space="0" w:color="auto"/>
        <w:left w:val="none" w:sz="0" w:space="0" w:color="auto"/>
        <w:bottom w:val="none" w:sz="0" w:space="0" w:color="auto"/>
        <w:right w:val="none" w:sz="0" w:space="0" w:color="auto"/>
      </w:divBdr>
    </w:div>
    <w:div w:id="194386815">
      <w:bodyDiv w:val="1"/>
      <w:marLeft w:val="0"/>
      <w:marRight w:val="0"/>
      <w:marTop w:val="0"/>
      <w:marBottom w:val="0"/>
      <w:divBdr>
        <w:top w:val="none" w:sz="0" w:space="0" w:color="auto"/>
        <w:left w:val="none" w:sz="0" w:space="0" w:color="auto"/>
        <w:bottom w:val="none" w:sz="0" w:space="0" w:color="auto"/>
        <w:right w:val="none" w:sz="0" w:space="0" w:color="auto"/>
      </w:divBdr>
    </w:div>
    <w:div w:id="206768228">
      <w:bodyDiv w:val="1"/>
      <w:marLeft w:val="0"/>
      <w:marRight w:val="0"/>
      <w:marTop w:val="0"/>
      <w:marBottom w:val="0"/>
      <w:divBdr>
        <w:top w:val="none" w:sz="0" w:space="0" w:color="auto"/>
        <w:left w:val="none" w:sz="0" w:space="0" w:color="auto"/>
        <w:bottom w:val="none" w:sz="0" w:space="0" w:color="auto"/>
        <w:right w:val="none" w:sz="0" w:space="0" w:color="auto"/>
      </w:divBdr>
    </w:div>
    <w:div w:id="234318008">
      <w:bodyDiv w:val="1"/>
      <w:marLeft w:val="0"/>
      <w:marRight w:val="0"/>
      <w:marTop w:val="0"/>
      <w:marBottom w:val="0"/>
      <w:divBdr>
        <w:top w:val="none" w:sz="0" w:space="0" w:color="auto"/>
        <w:left w:val="none" w:sz="0" w:space="0" w:color="auto"/>
        <w:bottom w:val="none" w:sz="0" w:space="0" w:color="auto"/>
        <w:right w:val="none" w:sz="0" w:space="0" w:color="auto"/>
      </w:divBdr>
    </w:div>
    <w:div w:id="264267679">
      <w:bodyDiv w:val="1"/>
      <w:marLeft w:val="0"/>
      <w:marRight w:val="0"/>
      <w:marTop w:val="0"/>
      <w:marBottom w:val="0"/>
      <w:divBdr>
        <w:top w:val="none" w:sz="0" w:space="0" w:color="auto"/>
        <w:left w:val="none" w:sz="0" w:space="0" w:color="auto"/>
        <w:bottom w:val="none" w:sz="0" w:space="0" w:color="auto"/>
        <w:right w:val="none" w:sz="0" w:space="0" w:color="auto"/>
      </w:divBdr>
    </w:div>
    <w:div w:id="268903034">
      <w:bodyDiv w:val="1"/>
      <w:marLeft w:val="0"/>
      <w:marRight w:val="0"/>
      <w:marTop w:val="0"/>
      <w:marBottom w:val="0"/>
      <w:divBdr>
        <w:top w:val="none" w:sz="0" w:space="0" w:color="auto"/>
        <w:left w:val="none" w:sz="0" w:space="0" w:color="auto"/>
        <w:bottom w:val="none" w:sz="0" w:space="0" w:color="auto"/>
        <w:right w:val="none" w:sz="0" w:space="0" w:color="auto"/>
      </w:divBdr>
    </w:div>
    <w:div w:id="285819720">
      <w:bodyDiv w:val="1"/>
      <w:marLeft w:val="0"/>
      <w:marRight w:val="0"/>
      <w:marTop w:val="0"/>
      <w:marBottom w:val="0"/>
      <w:divBdr>
        <w:top w:val="none" w:sz="0" w:space="0" w:color="auto"/>
        <w:left w:val="none" w:sz="0" w:space="0" w:color="auto"/>
        <w:bottom w:val="none" w:sz="0" w:space="0" w:color="auto"/>
        <w:right w:val="none" w:sz="0" w:space="0" w:color="auto"/>
      </w:divBdr>
    </w:div>
    <w:div w:id="302740876">
      <w:bodyDiv w:val="1"/>
      <w:marLeft w:val="0"/>
      <w:marRight w:val="0"/>
      <w:marTop w:val="0"/>
      <w:marBottom w:val="0"/>
      <w:divBdr>
        <w:top w:val="none" w:sz="0" w:space="0" w:color="auto"/>
        <w:left w:val="none" w:sz="0" w:space="0" w:color="auto"/>
        <w:bottom w:val="none" w:sz="0" w:space="0" w:color="auto"/>
        <w:right w:val="none" w:sz="0" w:space="0" w:color="auto"/>
      </w:divBdr>
    </w:div>
    <w:div w:id="310646035">
      <w:bodyDiv w:val="1"/>
      <w:marLeft w:val="0"/>
      <w:marRight w:val="0"/>
      <w:marTop w:val="0"/>
      <w:marBottom w:val="0"/>
      <w:divBdr>
        <w:top w:val="none" w:sz="0" w:space="0" w:color="auto"/>
        <w:left w:val="none" w:sz="0" w:space="0" w:color="auto"/>
        <w:bottom w:val="none" w:sz="0" w:space="0" w:color="auto"/>
        <w:right w:val="none" w:sz="0" w:space="0" w:color="auto"/>
      </w:divBdr>
    </w:div>
    <w:div w:id="345596147">
      <w:bodyDiv w:val="1"/>
      <w:marLeft w:val="0"/>
      <w:marRight w:val="0"/>
      <w:marTop w:val="0"/>
      <w:marBottom w:val="0"/>
      <w:divBdr>
        <w:top w:val="none" w:sz="0" w:space="0" w:color="auto"/>
        <w:left w:val="none" w:sz="0" w:space="0" w:color="auto"/>
        <w:bottom w:val="none" w:sz="0" w:space="0" w:color="auto"/>
        <w:right w:val="none" w:sz="0" w:space="0" w:color="auto"/>
      </w:divBdr>
    </w:div>
    <w:div w:id="355159267">
      <w:bodyDiv w:val="1"/>
      <w:marLeft w:val="0"/>
      <w:marRight w:val="0"/>
      <w:marTop w:val="0"/>
      <w:marBottom w:val="0"/>
      <w:divBdr>
        <w:top w:val="none" w:sz="0" w:space="0" w:color="auto"/>
        <w:left w:val="none" w:sz="0" w:space="0" w:color="auto"/>
        <w:bottom w:val="none" w:sz="0" w:space="0" w:color="auto"/>
        <w:right w:val="none" w:sz="0" w:space="0" w:color="auto"/>
      </w:divBdr>
    </w:div>
    <w:div w:id="355430613">
      <w:bodyDiv w:val="1"/>
      <w:marLeft w:val="0"/>
      <w:marRight w:val="0"/>
      <w:marTop w:val="0"/>
      <w:marBottom w:val="0"/>
      <w:divBdr>
        <w:top w:val="none" w:sz="0" w:space="0" w:color="auto"/>
        <w:left w:val="none" w:sz="0" w:space="0" w:color="auto"/>
        <w:bottom w:val="none" w:sz="0" w:space="0" w:color="auto"/>
        <w:right w:val="none" w:sz="0" w:space="0" w:color="auto"/>
      </w:divBdr>
    </w:div>
    <w:div w:id="389622425">
      <w:bodyDiv w:val="1"/>
      <w:marLeft w:val="0"/>
      <w:marRight w:val="0"/>
      <w:marTop w:val="0"/>
      <w:marBottom w:val="0"/>
      <w:divBdr>
        <w:top w:val="none" w:sz="0" w:space="0" w:color="auto"/>
        <w:left w:val="none" w:sz="0" w:space="0" w:color="auto"/>
        <w:bottom w:val="none" w:sz="0" w:space="0" w:color="auto"/>
        <w:right w:val="none" w:sz="0" w:space="0" w:color="auto"/>
      </w:divBdr>
    </w:div>
    <w:div w:id="425157766">
      <w:bodyDiv w:val="1"/>
      <w:marLeft w:val="0"/>
      <w:marRight w:val="0"/>
      <w:marTop w:val="0"/>
      <w:marBottom w:val="0"/>
      <w:divBdr>
        <w:top w:val="none" w:sz="0" w:space="0" w:color="auto"/>
        <w:left w:val="none" w:sz="0" w:space="0" w:color="auto"/>
        <w:bottom w:val="none" w:sz="0" w:space="0" w:color="auto"/>
        <w:right w:val="none" w:sz="0" w:space="0" w:color="auto"/>
      </w:divBdr>
    </w:div>
    <w:div w:id="478691719">
      <w:bodyDiv w:val="1"/>
      <w:marLeft w:val="0"/>
      <w:marRight w:val="0"/>
      <w:marTop w:val="0"/>
      <w:marBottom w:val="0"/>
      <w:divBdr>
        <w:top w:val="none" w:sz="0" w:space="0" w:color="auto"/>
        <w:left w:val="none" w:sz="0" w:space="0" w:color="auto"/>
        <w:bottom w:val="none" w:sz="0" w:space="0" w:color="auto"/>
        <w:right w:val="none" w:sz="0" w:space="0" w:color="auto"/>
      </w:divBdr>
    </w:div>
    <w:div w:id="491213018">
      <w:bodyDiv w:val="1"/>
      <w:marLeft w:val="0"/>
      <w:marRight w:val="0"/>
      <w:marTop w:val="0"/>
      <w:marBottom w:val="0"/>
      <w:divBdr>
        <w:top w:val="none" w:sz="0" w:space="0" w:color="auto"/>
        <w:left w:val="none" w:sz="0" w:space="0" w:color="auto"/>
        <w:bottom w:val="none" w:sz="0" w:space="0" w:color="auto"/>
        <w:right w:val="none" w:sz="0" w:space="0" w:color="auto"/>
      </w:divBdr>
    </w:div>
    <w:div w:id="494346713">
      <w:bodyDiv w:val="1"/>
      <w:marLeft w:val="0"/>
      <w:marRight w:val="0"/>
      <w:marTop w:val="0"/>
      <w:marBottom w:val="0"/>
      <w:divBdr>
        <w:top w:val="none" w:sz="0" w:space="0" w:color="auto"/>
        <w:left w:val="none" w:sz="0" w:space="0" w:color="auto"/>
        <w:bottom w:val="none" w:sz="0" w:space="0" w:color="auto"/>
        <w:right w:val="none" w:sz="0" w:space="0" w:color="auto"/>
      </w:divBdr>
    </w:div>
    <w:div w:id="516700839">
      <w:bodyDiv w:val="1"/>
      <w:marLeft w:val="0"/>
      <w:marRight w:val="0"/>
      <w:marTop w:val="0"/>
      <w:marBottom w:val="0"/>
      <w:divBdr>
        <w:top w:val="none" w:sz="0" w:space="0" w:color="auto"/>
        <w:left w:val="none" w:sz="0" w:space="0" w:color="auto"/>
        <w:bottom w:val="none" w:sz="0" w:space="0" w:color="auto"/>
        <w:right w:val="none" w:sz="0" w:space="0" w:color="auto"/>
      </w:divBdr>
    </w:div>
    <w:div w:id="529299590">
      <w:bodyDiv w:val="1"/>
      <w:marLeft w:val="0"/>
      <w:marRight w:val="0"/>
      <w:marTop w:val="0"/>
      <w:marBottom w:val="0"/>
      <w:divBdr>
        <w:top w:val="none" w:sz="0" w:space="0" w:color="auto"/>
        <w:left w:val="none" w:sz="0" w:space="0" w:color="auto"/>
        <w:bottom w:val="none" w:sz="0" w:space="0" w:color="auto"/>
        <w:right w:val="none" w:sz="0" w:space="0" w:color="auto"/>
      </w:divBdr>
    </w:div>
    <w:div w:id="536747370">
      <w:bodyDiv w:val="1"/>
      <w:marLeft w:val="0"/>
      <w:marRight w:val="0"/>
      <w:marTop w:val="0"/>
      <w:marBottom w:val="0"/>
      <w:divBdr>
        <w:top w:val="none" w:sz="0" w:space="0" w:color="auto"/>
        <w:left w:val="none" w:sz="0" w:space="0" w:color="auto"/>
        <w:bottom w:val="none" w:sz="0" w:space="0" w:color="auto"/>
        <w:right w:val="none" w:sz="0" w:space="0" w:color="auto"/>
      </w:divBdr>
    </w:div>
    <w:div w:id="611057919">
      <w:bodyDiv w:val="1"/>
      <w:marLeft w:val="0"/>
      <w:marRight w:val="0"/>
      <w:marTop w:val="0"/>
      <w:marBottom w:val="0"/>
      <w:divBdr>
        <w:top w:val="none" w:sz="0" w:space="0" w:color="auto"/>
        <w:left w:val="none" w:sz="0" w:space="0" w:color="auto"/>
        <w:bottom w:val="none" w:sz="0" w:space="0" w:color="auto"/>
        <w:right w:val="none" w:sz="0" w:space="0" w:color="auto"/>
      </w:divBdr>
    </w:div>
    <w:div w:id="652176878">
      <w:bodyDiv w:val="1"/>
      <w:marLeft w:val="0"/>
      <w:marRight w:val="0"/>
      <w:marTop w:val="0"/>
      <w:marBottom w:val="0"/>
      <w:divBdr>
        <w:top w:val="none" w:sz="0" w:space="0" w:color="auto"/>
        <w:left w:val="none" w:sz="0" w:space="0" w:color="auto"/>
        <w:bottom w:val="none" w:sz="0" w:space="0" w:color="auto"/>
        <w:right w:val="none" w:sz="0" w:space="0" w:color="auto"/>
      </w:divBdr>
    </w:div>
    <w:div w:id="667366926">
      <w:bodyDiv w:val="1"/>
      <w:marLeft w:val="0"/>
      <w:marRight w:val="0"/>
      <w:marTop w:val="0"/>
      <w:marBottom w:val="0"/>
      <w:divBdr>
        <w:top w:val="none" w:sz="0" w:space="0" w:color="auto"/>
        <w:left w:val="none" w:sz="0" w:space="0" w:color="auto"/>
        <w:bottom w:val="none" w:sz="0" w:space="0" w:color="auto"/>
        <w:right w:val="none" w:sz="0" w:space="0" w:color="auto"/>
      </w:divBdr>
    </w:div>
    <w:div w:id="690566466">
      <w:bodyDiv w:val="1"/>
      <w:marLeft w:val="0"/>
      <w:marRight w:val="0"/>
      <w:marTop w:val="0"/>
      <w:marBottom w:val="0"/>
      <w:divBdr>
        <w:top w:val="none" w:sz="0" w:space="0" w:color="auto"/>
        <w:left w:val="none" w:sz="0" w:space="0" w:color="auto"/>
        <w:bottom w:val="none" w:sz="0" w:space="0" w:color="auto"/>
        <w:right w:val="none" w:sz="0" w:space="0" w:color="auto"/>
      </w:divBdr>
    </w:div>
    <w:div w:id="695694456">
      <w:bodyDiv w:val="1"/>
      <w:marLeft w:val="0"/>
      <w:marRight w:val="0"/>
      <w:marTop w:val="0"/>
      <w:marBottom w:val="0"/>
      <w:divBdr>
        <w:top w:val="none" w:sz="0" w:space="0" w:color="auto"/>
        <w:left w:val="none" w:sz="0" w:space="0" w:color="auto"/>
        <w:bottom w:val="none" w:sz="0" w:space="0" w:color="auto"/>
        <w:right w:val="none" w:sz="0" w:space="0" w:color="auto"/>
      </w:divBdr>
    </w:div>
    <w:div w:id="725489584">
      <w:bodyDiv w:val="1"/>
      <w:marLeft w:val="0"/>
      <w:marRight w:val="0"/>
      <w:marTop w:val="0"/>
      <w:marBottom w:val="0"/>
      <w:divBdr>
        <w:top w:val="none" w:sz="0" w:space="0" w:color="auto"/>
        <w:left w:val="none" w:sz="0" w:space="0" w:color="auto"/>
        <w:bottom w:val="none" w:sz="0" w:space="0" w:color="auto"/>
        <w:right w:val="none" w:sz="0" w:space="0" w:color="auto"/>
      </w:divBdr>
    </w:div>
    <w:div w:id="737939929">
      <w:bodyDiv w:val="1"/>
      <w:marLeft w:val="0"/>
      <w:marRight w:val="0"/>
      <w:marTop w:val="0"/>
      <w:marBottom w:val="0"/>
      <w:divBdr>
        <w:top w:val="none" w:sz="0" w:space="0" w:color="auto"/>
        <w:left w:val="none" w:sz="0" w:space="0" w:color="auto"/>
        <w:bottom w:val="none" w:sz="0" w:space="0" w:color="auto"/>
        <w:right w:val="none" w:sz="0" w:space="0" w:color="auto"/>
      </w:divBdr>
    </w:div>
    <w:div w:id="745299285">
      <w:bodyDiv w:val="1"/>
      <w:marLeft w:val="0"/>
      <w:marRight w:val="0"/>
      <w:marTop w:val="0"/>
      <w:marBottom w:val="0"/>
      <w:divBdr>
        <w:top w:val="none" w:sz="0" w:space="0" w:color="auto"/>
        <w:left w:val="none" w:sz="0" w:space="0" w:color="auto"/>
        <w:bottom w:val="none" w:sz="0" w:space="0" w:color="auto"/>
        <w:right w:val="none" w:sz="0" w:space="0" w:color="auto"/>
      </w:divBdr>
    </w:div>
    <w:div w:id="754130683">
      <w:bodyDiv w:val="1"/>
      <w:marLeft w:val="0"/>
      <w:marRight w:val="0"/>
      <w:marTop w:val="0"/>
      <w:marBottom w:val="0"/>
      <w:divBdr>
        <w:top w:val="none" w:sz="0" w:space="0" w:color="auto"/>
        <w:left w:val="none" w:sz="0" w:space="0" w:color="auto"/>
        <w:bottom w:val="none" w:sz="0" w:space="0" w:color="auto"/>
        <w:right w:val="none" w:sz="0" w:space="0" w:color="auto"/>
      </w:divBdr>
    </w:div>
    <w:div w:id="785470271">
      <w:bodyDiv w:val="1"/>
      <w:marLeft w:val="0"/>
      <w:marRight w:val="0"/>
      <w:marTop w:val="0"/>
      <w:marBottom w:val="0"/>
      <w:divBdr>
        <w:top w:val="none" w:sz="0" w:space="0" w:color="auto"/>
        <w:left w:val="none" w:sz="0" w:space="0" w:color="auto"/>
        <w:bottom w:val="none" w:sz="0" w:space="0" w:color="auto"/>
        <w:right w:val="none" w:sz="0" w:space="0" w:color="auto"/>
      </w:divBdr>
    </w:div>
    <w:div w:id="812604653">
      <w:bodyDiv w:val="1"/>
      <w:marLeft w:val="0"/>
      <w:marRight w:val="0"/>
      <w:marTop w:val="0"/>
      <w:marBottom w:val="0"/>
      <w:divBdr>
        <w:top w:val="none" w:sz="0" w:space="0" w:color="auto"/>
        <w:left w:val="none" w:sz="0" w:space="0" w:color="auto"/>
        <w:bottom w:val="none" w:sz="0" w:space="0" w:color="auto"/>
        <w:right w:val="none" w:sz="0" w:space="0" w:color="auto"/>
      </w:divBdr>
    </w:div>
    <w:div w:id="854154886">
      <w:bodyDiv w:val="1"/>
      <w:marLeft w:val="0"/>
      <w:marRight w:val="0"/>
      <w:marTop w:val="0"/>
      <w:marBottom w:val="0"/>
      <w:divBdr>
        <w:top w:val="none" w:sz="0" w:space="0" w:color="auto"/>
        <w:left w:val="none" w:sz="0" w:space="0" w:color="auto"/>
        <w:bottom w:val="none" w:sz="0" w:space="0" w:color="auto"/>
        <w:right w:val="none" w:sz="0" w:space="0" w:color="auto"/>
      </w:divBdr>
    </w:div>
    <w:div w:id="894124478">
      <w:bodyDiv w:val="1"/>
      <w:marLeft w:val="0"/>
      <w:marRight w:val="0"/>
      <w:marTop w:val="0"/>
      <w:marBottom w:val="0"/>
      <w:divBdr>
        <w:top w:val="none" w:sz="0" w:space="0" w:color="auto"/>
        <w:left w:val="none" w:sz="0" w:space="0" w:color="auto"/>
        <w:bottom w:val="none" w:sz="0" w:space="0" w:color="auto"/>
        <w:right w:val="none" w:sz="0" w:space="0" w:color="auto"/>
      </w:divBdr>
    </w:div>
    <w:div w:id="935019823">
      <w:bodyDiv w:val="1"/>
      <w:marLeft w:val="0"/>
      <w:marRight w:val="0"/>
      <w:marTop w:val="0"/>
      <w:marBottom w:val="0"/>
      <w:divBdr>
        <w:top w:val="none" w:sz="0" w:space="0" w:color="auto"/>
        <w:left w:val="none" w:sz="0" w:space="0" w:color="auto"/>
        <w:bottom w:val="none" w:sz="0" w:space="0" w:color="auto"/>
        <w:right w:val="none" w:sz="0" w:space="0" w:color="auto"/>
      </w:divBdr>
    </w:div>
    <w:div w:id="948008122">
      <w:bodyDiv w:val="1"/>
      <w:marLeft w:val="0"/>
      <w:marRight w:val="0"/>
      <w:marTop w:val="0"/>
      <w:marBottom w:val="0"/>
      <w:divBdr>
        <w:top w:val="none" w:sz="0" w:space="0" w:color="auto"/>
        <w:left w:val="none" w:sz="0" w:space="0" w:color="auto"/>
        <w:bottom w:val="none" w:sz="0" w:space="0" w:color="auto"/>
        <w:right w:val="none" w:sz="0" w:space="0" w:color="auto"/>
      </w:divBdr>
    </w:div>
    <w:div w:id="951786069">
      <w:bodyDiv w:val="1"/>
      <w:marLeft w:val="0"/>
      <w:marRight w:val="0"/>
      <w:marTop w:val="0"/>
      <w:marBottom w:val="0"/>
      <w:divBdr>
        <w:top w:val="none" w:sz="0" w:space="0" w:color="auto"/>
        <w:left w:val="none" w:sz="0" w:space="0" w:color="auto"/>
        <w:bottom w:val="none" w:sz="0" w:space="0" w:color="auto"/>
        <w:right w:val="none" w:sz="0" w:space="0" w:color="auto"/>
      </w:divBdr>
    </w:div>
    <w:div w:id="952397601">
      <w:bodyDiv w:val="1"/>
      <w:marLeft w:val="0"/>
      <w:marRight w:val="0"/>
      <w:marTop w:val="0"/>
      <w:marBottom w:val="0"/>
      <w:divBdr>
        <w:top w:val="none" w:sz="0" w:space="0" w:color="auto"/>
        <w:left w:val="none" w:sz="0" w:space="0" w:color="auto"/>
        <w:bottom w:val="none" w:sz="0" w:space="0" w:color="auto"/>
        <w:right w:val="none" w:sz="0" w:space="0" w:color="auto"/>
      </w:divBdr>
    </w:div>
    <w:div w:id="952399324">
      <w:bodyDiv w:val="1"/>
      <w:marLeft w:val="0"/>
      <w:marRight w:val="0"/>
      <w:marTop w:val="0"/>
      <w:marBottom w:val="0"/>
      <w:divBdr>
        <w:top w:val="none" w:sz="0" w:space="0" w:color="auto"/>
        <w:left w:val="none" w:sz="0" w:space="0" w:color="auto"/>
        <w:bottom w:val="none" w:sz="0" w:space="0" w:color="auto"/>
        <w:right w:val="none" w:sz="0" w:space="0" w:color="auto"/>
      </w:divBdr>
    </w:div>
    <w:div w:id="988092053">
      <w:bodyDiv w:val="1"/>
      <w:marLeft w:val="0"/>
      <w:marRight w:val="0"/>
      <w:marTop w:val="0"/>
      <w:marBottom w:val="0"/>
      <w:divBdr>
        <w:top w:val="none" w:sz="0" w:space="0" w:color="auto"/>
        <w:left w:val="none" w:sz="0" w:space="0" w:color="auto"/>
        <w:bottom w:val="none" w:sz="0" w:space="0" w:color="auto"/>
        <w:right w:val="none" w:sz="0" w:space="0" w:color="auto"/>
      </w:divBdr>
    </w:div>
    <w:div w:id="1008213350">
      <w:bodyDiv w:val="1"/>
      <w:marLeft w:val="0"/>
      <w:marRight w:val="0"/>
      <w:marTop w:val="0"/>
      <w:marBottom w:val="0"/>
      <w:divBdr>
        <w:top w:val="none" w:sz="0" w:space="0" w:color="auto"/>
        <w:left w:val="none" w:sz="0" w:space="0" w:color="auto"/>
        <w:bottom w:val="none" w:sz="0" w:space="0" w:color="auto"/>
        <w:right w:val="none" w:sz="0" w:space="0" w:color="auto"/>
      </w:divBdr>
    </w:div>
    <w:div w:id="1022126663">
      <w:bodyDiv w:val="1"/>
      <w:marLeft w:val="0"/>
      <w:marRight w:val="0"/>
      <w:marTop w:val="0"/>
      <w:marBottom w:val="0"/>
      <w:divBdr>
        <w:top w:val="none" w:sz="0" w:space="0" w:color="auto"/>
        <w:left w:val="none" w:sz="0" w:space="0" w:color="auto"/>
        <w:bottom w:val="none" w:sz="0" w:space="0" w:color="auto"/>
        <w:right w:val="none" w:sz="0" w:space="0" w:color="auto"/>
      </w:divBdr>
    </w:div>
    <w:div w:id="1058867968">
      <w:bodyDiv w:val="1"/>
      <w:marLeft w:val="0"/>
      <w:marRight w:val="0"/>
      <w:marTop w:val="0"/>
      <w:marBottom w:val="0"/>
      <w:divBdr>
        <w:top w:val="none" w:sz="0" w:space="0" w:color="auto"/>
        <w:left w:val="none" w:sz="0" w:space="0" w:color="auto"/>
        <w:bottom w:val="none" w:sz="0" w:space="0" w:color="auto"/>
        <w:right w:val="none" w:sz="0" w:space="0" w:color="auto"/>
      </w:divBdr>
    </w:div>
    <w:div w:id="1097286809">
      <w:bodyDiv w:val="1"/>
      <w:marLeft w:val="0"/>
      <w:marRight w:val="0"/>
      <w:marTop w:val="0"/>
      <w:marBottom w:val="0"/>
      <w:divBdr>
        <w:top w:val="none" w:sz="0" w:space="0" w:color="auto"/>
        <w:left w:val="none" w:sz="0" w:space="0" w:color="auto"/>
        <w:bottom w:val="none" w:sz="0" w:space="0" w:color="auto"/>
        <w:right w:val="none" w:sz="0" w:space="0" w:color="auto"/>
      </w:divBdr>
    </w:div>
    <w:div w:id="1115098992">
      <w:bodyDiv w:val="1"/>
      <w:marLeft w:val="0"/>
      <w:marRight w:val="0"/>
      <w:marTop w:val="0"/>
      <w:marBottom w:val="0"/>
      <w:divBdr>
        <w:top w:val="none" w:sz="0" w:space="0" w:color="auto"/>
        <w:left w:val="none" w:sz="0" w:space="0" w:color="auto"/>
        <w:bottom w:val="none" w:sz="0" w:space="0" w:color="auto"/>
        <w:right w:val="none" w:sz="0" w:space="0" w:color="auto"/>
      </w:divBdr>
    </w:div>
    <w:div w:id="1126775212">
      <w:bodyDiv w:val="1"/>
      <w:marLeft w:val="0"/>
      <w:marRight w:val="0"/>
      <w:marTop w:val="0"/>
      <w:marBottom w:val="0"/>
      <w:divBdr>
        <w:top w:val="none" w:sz="0" w:space="0" w:color="auto"/>
        <w:left w:val="none" w:sz="0" w:space="0" w:color="auto"/>
        <w:bottom w:val="none" w:sz="0" w:space="0" w:color="auto"/>
        <w:right w:val="none" w:sz="0" w:space="0" w:color="auto"/>
      </w:divBdr>
    </w:div>
    <w:div w:id="1176194707">
      <w:bodyDiv w:val="1"/>
      <w:marLeft w:val="0"/>
      <w:marRight w:val="0"/>
      <w:marTop w:val="0"/>
      <w:marBottom w:val="0"/>
      <w:divBdr>
        <w:top w:val="none" w:sz="0" w:space="0" w:color="auto"/>
        <w:left w:val="none" w:sz="0" w:space="0" w:color="auto"/>
        <w:bottom w:val="none" w:sz="0" w:space="0" w:color="auto"/>
        <w:right w:val="none" w:sz="0" w:space="0" w:color="auto"/>
      </w:divBdr>
    </w:div>
    <w:div w:id="1197083826">
      <w:bodyDiv w:val="1"/>
      <w:marLeft w:val="0"/>
      <w:marRight w:val="0"/>
      <w:marTop w:val="0"/>
      <w:marBottom w:val="0"/>
      <w:divBdr>
        <w:top w:val="none" w:sz="0" w:space="0" w:color="auto"/>
        <w:left w:val="none" w:sz="0" w:space="0" w:color="auto"/>
        <w:bottom w:val="none" w:sz="0" w:space="0" w:color="auto"/>
        <w:right w:val="none" w:sz="0" w:space="0" w:color="auto"/>
      </w:divBdr>
    </w:div>
    <w:div w:id="1199510001">
      <w:bodyDiv w:val="1"/>
      <w:marLeft w:val="0"/>
      <w:marRight w:val="0"/>
      <w:marTop w:val="0"/>
      <w:marBottom w:val="0"/>
      <w:divBdr>
        <w:top w:val="none" w:sz="0" w:space="0" w:color="auto"/>
        <w:left w:val="none" w:sz="0" w:space="0" w:color="auto"/>
        <w:bottom w:val="none" w:sz="0" w:space="0" w:color="auto"/>
        <w:right w:val="none" w:sz="0" w:space="0" w:color="auto"/>
      </w:divBdr>
    </w:div>
    <w:div w:id="1200823833">
      <w:bodyDiv w:val="1"/>
      <w:marLeft w:val="0"/>
      <w:marRight w:val="0"/>
      <w:marTop w:val="0"/>
      <w:marBottom w:val="0"/>
      <w:divBdr>
        <w:top w:val="none" w:sz="0" w:space="0" w:color="auto"/>
        <w:left w:val="none" w:sz="0" w:space="0" w:color="auto"/>
        <w:bottom w:val="none" w:sz="0" w:space="0" w:color="auto"/>
        <w:right w:val="none" w:sz="0" w:space="0" w:color="auto"/>
      </w:divBdr>
    </w:div>
    <w:div w:id="1218393814">
      <w:bodyDiv w:val="1"/>
      <w:marLeft w:val="0"/>
      <w:marRight w:val="0"/>
      <w:marTop w:val="0"/>
      <w:marBottom w:val="0"/>
      <w:divBdr>
        <w:top w:val="none" w:sz="0" w:space="0" w:color="auto"/>
        <w:left w:val="none" w:sz="0" w:space="0" w:color="auto"/>
        <w:bottom w:val="none" w:sz="0" w:space="0" w:color="auto"/>
        <w:right w:val="none" w:sz="0" w:space="0" w:color="auto"/>
      </w:divBdr>
    </w:div>
    <w:div w:id="1227181290">
      <w:bodyDiv w:val="1"/>
      <w:marLeft w:val="0"/>
      <w:marRight w:val="0"/>
      <w:marTop w:val="0"/>
      <w:marBottom w:val="0"/>
      <w:divBdr>
        <w:top w:val="none" w:sz="0" w:space="0" w:color="auto"/>
        <w:left w:val="none" w:sz="0" w:space="0" w:color="auto"/>
        <w:bottom w:val="none" w:sz="0" w:space="0" w:color="auto"/>
        <w:right w:val="none" w:sz="0" w:space="0" w:color="auto"/>
      </w:divBdr>
    </w:div>
    <w:div w:id="1237014726">
      <w:bodyDiv w:val="1"/>
      <w:marLeft w:val="0"/>
      <w:marRight w:val="0"/>
      <w:marTop w:val="0"/>
      <w:marBottom w:val="0"/>
      <w:divBdr>
        <w:top w:val="none" w:sz="0" w:space="0" w:color="auto"/>
        <w:left w:val="none" w:sz="0" w:space="0" w:color="auto"/>
        <w:bottom w:val="none" w:sz="0" w:space="0" w:color="auto"/>
        <w:right w:val="none" w:sz="0" w:space="0" w:color="auto"/>
      </w:divBdr>
    </w:div>
    <w:div w:id="1306397894">
      <w:bodyDiv w:val="1"/>
      <w:marLeft w:val="0"/>
      <w:marRight w:val="0"/>
      <w:marTop w:val="0"/>
      <w:marBottom w:val="0"/>
      <w:divBdr>
        <w:top w:val="none" w:sz="0" w:space="0" w:color="auto"/>
        <w:left w:val="none" w:sz="0" w:space="0" w:color="auto"/>
        <w:bottom w:val="none" w:sz="0" w:space="0" w:color="auto"/>
        <w:right w:val="none" w:sz="0" w:space="0" w:color="auto"/>
      </w:divBdr>
    </w:div>
    <w:div w:id="1329403351">
      <w:bodyDiv w:val="1"/>
      <w:marLeft w:val="0"/>
      <w:marRight w:val="0"/>
      <w:marTop w:val="0"/>
      <w:marBottom w:val="0"/>
      <w:divBdr>
        <w:top w:val="none" w:sz="0" w:space="0" w:color="auto"/>
        <w:left w:val="none" w:sz="0" w:space="0" w:color="auto"/>
        <w:bottom w:val="none" w:sz="0" w:space="0" w:color="auto"/>
        <w:right w:val="none" w:sz="0" w:space="0" w:color="auto"/>
      </w:divBdr>
    </w:div>
    <w:div w:id="1339701083">
      <w:bodyDiv w:val="1"/>
      <w:marLeft w:val="0"/>
      <w:marRight w:val="0"/>
      <w:marTop w:val="0"/>
      <w:marBottom w:val="0"/>
      <w:divBdr>
        <w:top w:val="none" w:sz="0" w:space="0" w:color="auto"/>
        <w:left w:val="none" w:sz="0" w:space="0" w:color="auto"/>
        <w:bottom w:val="none" w:sz="0" w:space="0" w:color="auto"/>
        <w:right w:val="none" w:sz="0" w:space="0" w:color="auto"/>
      </w:divBdr>
    </w:div>
    <w:div w:id="1344631875">
      <w:bodyDiv w:val="1"/>
      <w:marLeft w:val="0"/>
      <w:marRight w:val="0"/>
      <w:marTop w:val="0"/>
      <w:marBottom w:val="0"/>
      <w:divBdr>
        <w:top w:val="none" w:sz="0" w:space="0" w:color="auto"/>
        <w:left w:val="none" w:sz="0" w:space="0" w:color="auto"/>
        <w:bottom w:val="none" w:sz="0" w:space="0" w:color="auto"/>
        <w:right w:val="none" w:sz="0" w:space="0" w:color="auto"/>
      </w:divBdr>
    </w:div>
    <w:div w:id="1372268233">
      <w:bodyDiv w:val="1"/>
      <w:marLeft w:val="0"/>
      <w:marRight w:val="0"/>
      <w:marTop w:val="0"/>
      <w:marBottom w:val="0"/>
      <w:divBdr>
        <w:top w:val="none" w:sz="0" w:space="0" w:color="auto"/>
        <w:left w:val="none" w:sz="0" w:space="0" w:color="auto"/>
        <w:bottom w:val="none" w:sz="0" w:space="0" w:color="auto"/>
        <w:right w:val="none" w:sz="0" w:space="0" w:color="auto"/>
      </w:divBdr>
    </w:div>
    <w:div w:id="1384671751">
      <w:bodyDiv w:val="1"/>
      <w:marLeft w:val="0"/>
      <w:marRight w:val="0"/>
      <w:marTop w:val="0"/>
      <w:marBottom w:val="0"/>
      <w:divBdr>
        <w:top w:val="none" w:sz="0" w:space="0" w:color="auto"/>
        <w:left w:val="none" w:sz="0" w:space="0" w:color="auto"/>
        <w:bottom w:val="none" w:sz="0" w:space="0" w:color="auto"/>
        <w:right w:val="none" w:sz="0" w:space="0" w:color="auto"/>
      </w:divBdr>
    </w:div>
    <w:div w:id="1391883193">
      <w:bodyDiv w:val="1"/>
      <w:marLeft w:val="0"/>
      <w:marRight w:val="0"/>
      <w:marTop w:val="0"/>
      <w:marBottom w:val="0"/>
      <w:divBdr>
        <w:top w:val="none" w:sz="0" w:space="0" w:color="auto"/>
        <w:left w:val="none" w:sz="0" w:space="0" w:color="auto"/>
        <w:bottom w:val="none" w:sz="0" w:space="0" w:color="auto"/>
        <w:right w:val="none" w:sz="0" w:space="0" w:color="auto"/>
      </w:divBdr>
    </w:div>
    <w:div w:id="1400060861">
      <w:bodyDiv w:val="1"/>
      <w:marLeft w:val="0"/>
      <w:marRight w:val="0"/>
      <w:marTop w:val="0"/>
      <w:marBottom w:val="0"/>
      <w:divBdr>
        <w:top w:val="none" w:sz="0" w:space="0" w:color="auto"/>
        <w:left w:val="none" w:sz="0" w:space="0" w:color="auto"/>
        <w:bottom w:val="none" w:sz="0" w:space="0" w:color="auto"/>
        <w:right w:val="none" w:sz="0" w:space="0" w:color="auto"/>
      </w:divBdr>
    </w:div>
    <w:div w:id="1408501923">
      <w:bodyDiv w:val="1"/>
      <w:marLeft w:val="0"/>
      <w:marRight w:val="0"/>
      <w:marTop w:val="0"/>
      <w:marBottom w:val="0"/>
      <w:divBdr>
        <w:top w:val="none" w:sz="0" w:space="0" w:color="auto"/>
        <w:left w:val="none" w:sz="0" w:space="0" w:color="auto"/>
        <w:bottom w:val="none" w:sz="0" w:space="0" w:color="auto"/>
        <w:right w:val="none" w:sz="0" w:space="0" w:color="auto"/>
      </w:divBdr>
    </w:div>
    <w:div w:id="1419516978">
      <w:bodyDiv w:val="1"/>
      <w:marLeft w:val="0"/>
      <w:marRight w:val="0"/>
      <w:marTop w:val="0"/>
      <w:marBottom w:val="0"/>
      <w:divBdr>
        <w:top w:val="none" w:sz="0" w:space="0" w:color="auto"/>
        <w:left w:val="none" w:sz="0" w:space="0" w:color="auto"/>
        <w:bottom w:val="none" w:sz="0" w:space="0" w:color="auto"/>
        <w:right w:val="none" w:sz="0" w:space="0" w:color="auto"/>
      </w:divBdr>
    </w:div>
    <w:div w:id="1438939596">
      <w:bodyDiv w:val="1"/>
      <w:marLeft w:val="0"/>
      <w:marRight w:val="0"/>
      <w:marTop w:val="0"/>
      <w:marBottom w:val="0"/>
      <w:divBdr>
        <w:top w:val="none" w:sz="0" w:space="0" w:color="auto"/>
        <w:left w:val="none" w:sz="0" w:space="0" w:color="auto"/>
        <w:bottom w:val="none" w:sz="0" w:space="0" w:color="auto"/>
        <w:right w:val="none" w:sz="0" w:space="0" w:color="auto"/>
      </w:divBdr>
    </w:div>
    <w:div w:id="1455171310">
      <w:bodyDiv w:val="1"/>
      <w:marLeft w:val="0"/>
      <w:marRight w:val="0"/>
      <w:marTop w:val="0"/>
      <w:marBottom w:val="0"/>
      <w:divBdr>
        <w:top w:val="none" w:sz="0" w:space="0" w:color="auto"/>
        <w:left w:val="none" w:sz="0" w:space="0" w:color="auto"/>
        <w:bottom w:val="none" w:sz="0" w:space="0" w:color="auto"/>
        <w:right w:val="none" w:sz="0" w:space="0" w:color="auto"/>
      </w:divBdr>
    </w:div>
    <w:div w:id="1477719472">
      <w:bodyDiv w:val="1"/>
      <w:marLeft w:val="0"/>
      <w:marRight w:val="0"/>
      <w:marTop w:val="0"/>
      <w:marBottom w:val="0"/>
      <w:divBdr>
        <w:top w:val="none" w:sz="0" w:space="0" w:color="auto"/>
        <w:left w:val="none" w:sz="0" w:space="0" w:color="auto"/>
        <w:bottom w:val="none" w:sz="0" w:space="0" w:color="auto"/>
        <w:right w:val="none" w:sz="0" w:space="0" w:color="auto"/>
      </w:divBdr>
    </w:div>
    <w:div w:id="1507548781">
      <w:bodyDiv w:val="1"/>
      <w:marLeft w:val="0"/>
      <w:marRight w:val="0"/>
      <w:marTop w:val="0"/>
      <w:marBottom w:val="0"/>
      <w:divBdr>
        <w:top w:val="none" w:sz="0" w:space="0" w:color="auto"/>
        <w:left w:val="none" w:sz="0" w:space="0" w:color="auto"/>
        <w:bottom w:val="none" w:sz="0" w:space="0" w:color="auto"/>
        <w:right w:val="none" w:sz="0" w:space="0" w:color="auto"/>
      </w:divBdr>
    </w:div>
    <w:div w:id="1510951804">
      <w:bodyDiv w:val="1"/>
      <w:marLeft w:val="0"/>
      <w:marRight w:val="0"/>
      <w:marTop w:val="0"/>
      <w:marBottom w:val="0"/>
      <w:divBdr>
        <w:top w:val="none" w:sz="0" w:space="0" w:color="auto"/>
        <w:left w:val="none" w:sz="0" w:space="0" w:color="auto"/>
        <w:bottom w:val="none" w:sz="0" w:space="0" w:color="auto"/>
        <w:right w:val="none" w:sz="0" w:space="0" w:color="auto"/>
      </w:divBdr>
    </w:div>
    <w:div w:id="1545676672">
      <w:bodyDiv w:val="1"/>
      <w:marLeft w:val="0"/>
      <w:marRight w:val="0"/>
      <w:marTop w:val="0"/>
      <w:marBottom w:val="0"/>
      <w:divBdr>
        <w:top w:val="none" w:sz="0" w:space="0" w:color="auto"/>
        <w:left w:val="none" w:sz="0" w:space="0" w:color="auto"/>
        <w:bottom w:val="none" w:sz="0" w:space="0" w:color="auto"/>
        <w:right w:val="none" w:sz="0" w:space="0" w:color="auto"/>
      </w:divBdr>
    </w:div>
    <w:div w:id="1578128152">
      <w:bodyDiv w:val="1"/>
      <w:marLeft w:val="0"/>
      <w:marRight w:val="0"/>
      <w:marTop w:val="0"/>
      <w:marBottom w:val="0"/>
      <w:divBdr>
        <w:top w:val="none" w:sz="0" w:space="0" w:color="auto"/>
        <w:left w:val="none" w:sz="0" w:space="0" w:color="auto"/>
        <w:bottom w:val="none" w:sz="0" w:space="0" w:color="auto"/>
        <w:right w:val="none" w:sz="0" w:space="0" w:color="auto"/>
      </w:divBdr>
    </w:div>
    <w:div w:id="1579169210">
      <w:bodyDiv w:val="1"/>
      <w:marLeft w:val="0"/>
      <w:marRight w:val="0"/>
      <w:marTop w:val="0"/>
      <w:marBottom w:val="0"/>
      <w:divBdr>
        <w:top w:val="none" w:sz="0" w:space="0" w:color="auto"/>
        <w:left w:val="none" w:sz="0" w:space="0" w:color="auto"/>
        <w:bottom w:val="none" w:sz="0" w:space="0" w:color="auto"/>
        <w:right w:val="none" w:sz="0" w:space="0" w:color="auto"/>
      </w:divBdr>
    </w:div>
    <w:div w:id="1625303438">
      <w:bodyDiv w:val="1"/>
      <w:marLeft w:val="0"/>
      <w:marRight w:val="0"/>
      <w:marTop w:val="0"/>
      <w:marBottom w:val="0"/>
      <w:divBdr>
        <w:top w:val="none" w:sz="0" w:space="0" w:color="auto"/>
        <w:left w:val="none" w:sz="0" w:space="0" w:color="auto"/>
        <w:bottom w:val="none" w:sz="0" w:space="0" w:color="auto"/>
        <w:right w:val="none" w:sz="0" w:space="0" w:color="auto"/>
      </w:divBdr>
    </w:div>
    <w:div w:id="1673144723">
      <w:bodyDiv w:val="1"/>
      <w:marLeft w:val="0"/>
      <w:marRight w:val="0"/>
      <w:marTop w:val="0"/>
      <w:marBottom w:val="0"/>
      <w:divBdr>
        <w:top w:val="none" w:sz="0" w:space="0" w:color="auto"/>
        <w:left w:val="none" w:sz="0" w:space="0" w:color="auto"/>
        <w:bottom w:val="none" w:sz="0" w:space="0" w:color="auto"/>
        <w:right w:val="none" w:sz="0" w:space="0" w:color="auto"/>
      </w:divBdr>
    </w:div>
    <w:div w:id="1720783937">
      <w:bodyDiv w:val="1"/>
      <w:marLeft w:val="0"/>
      <w:marRight w:val="0"/>
      <w:marTop w:val="0"/>
      <w:marBottom w:val="0"/>
      <w:divBdr>
        <w:top w:val="none" w:sz="0" w:space="0" w:color="auto"/>
        <w:left w:val="none" w:sz="0" w:space="0" w:color="auto"/>
        <w:bottom w:val="none" w:sz="0" w:space="0" w:color="auto"/>
        <w:right w:val="none" w:sz="0" w:space="0" w:color="auto"/>
      </w:divBdr>
    </w:div>
    <w:div w:id="1741712503">
      <w:bodyDiv w:val="1"/>
      <w:marLeft w:val="0"/>
      <w:marRight w:val="0"/>
      <w:marTop w:val="0"/>
      <w:marBottom w:val="0"/>
      <w:divBdr>
        <w:top w:val="none" w:sz="0" w:space="0" w:color="auto"/>
        <w:left w:val="none" w:sz="0" w:space="0" w:color="auto"/>
        <w:bottom w:val="none" w:sz="0" w:space="0" w:color="auto"/>
        <w:right w:val="none" w:sz="0" w:space="0" w:color="auto"/>
      </w:divBdr>
    </w:div>
    <w:div w:id="1742294588">
      <w:bodyDiv w:val="1"/>
      <w:marLeft w:val="0"/>
      <w:marRight w:val="0"/>
      <w:marTop w:val="0"/>
      <w:marBottom w:val="0"/>
      <w:divBdr>
        <w:top w:val="none" w:sz="0" w:space="0" w:color="auto"/>
        <w:left w:val="none" w:sz="0" w:space="0" w:color="auto"/>
        <w:bottom w:val="none" w:sz="0" w:space="0" w:color="auto"/>
        <w:right w:val="none" w:sz="0" w:space="0" w:color="auto"/>
      </w:divBdr>
    </w:div>
    <w:div w:id="1745639584">
      <w:bodyDiv w:val="1"/>
      <w:marLeft w:val="0"/>
      <w:marRight w:val="0"/>
      <w:marTop w:val="0"/>
      <w:marBottom w:val="0"/>
      <w:divBdr>
        <w:top w:val="none" w:sz="0" w:space="0" w:color="auto"/>
        <w:left w:val="none" w:sz="0" w:space="0" w:color="auto"/>
        <w:bottom w:val="none" w:sz="0" w:space="0" w:color="auto"/>
        <w:right w:val="none" w:sz="0" w:space="0" w:color="auto"/>
      </w:divBdr>
    </w:div>
    <w:div w:id="1756514844">
      <w:bodyDiv w:val="1"/>
      <w:marLeft w:val="0"/>
      <w:marRight w:val="0"/>
      <w:marTop w:val="0"/>
      <w:marBottom w:val="0"/>
      <w:divBdr>
        <w:top w:val="none" w:sz="0" w:space="0" w:color="auto"/>
        <w:left w:val="none" w:sz="0" w:space="0" w:color="auto"/>
        <w:bottom w:val="none" w:sz="0" w:space="0" w:color="auto"/>
        <w:right w:val="none" w:sz="0" w:space="0" w:color="auto"/>
      </w:divBdr>
    </w:div>
    <w:div w:id="1763721750">
      <w:bodyDiv w:val="1"/>
      <w:marLeft w:val="0"/>
      <w:marRight w:val="0"/>
      <w:marTop w:val="0"/>
      <w:marBottom w:val="0"/>
      <w:divBdr>
        <w:top w:val="none" w:sz="0" w:space="0" w:color="auto"/>
        <w:left w:val="none" w:sz="0" w:space="0" w:color="auto"/>
        <w:bottom w:val="none" w:sz="0" w:space="0" w:color="auto"/>
        <w:right w:val="none" w:sz="0" w:space="0" w:color="auto"/>
      </w:divBdr>
    </w:div>
    <w:div w:id="1791588418">
      <w:bodyDiv w:val="1"/>
      <w:marLeft w:val="0"/>
      <w:marRight w:val="0"/>
      <w:marTop w:val="0"/>
      <w:marBottom w:val="0"/>
      <w:divBdr>
        <w:top w:val="none" w:sz="0" w:space="0" w:color="auto"/>
        <w:left w:val="none" w:sz="0" w:space="0" w:color="auto"/>
        <w:bottom w:val="none" w:sz="0" w:space="0" w:color="auto"/>
        <w:right w:val="none" w:sz="0" w:space="0" w:color="auto"/>
      </w:divBdr>
    </w:div>
    <w:div w:id="1822497447">
      <w:bodyDiv w:val="1"/>
      <w:marLeft w:val="0"/>
      <w:marRight w:val="0"/>
      <w:marTop w:val="0"/>
      <w:marBottom w:val="0"/>
      <w:divBdr>
        <w:top w:val="none" w:sz="0" w:space="0" w:color="auto"/>
        <w:left w:val="none" w:sz="0" w:space="0" w:color="auto"/>
        <w:bottom w:val="none" w:sz="0" w:space="0" w:color="auto"/>
        <w:right w:val="none" w:sz="0" w:space="0" w:color="auto"/>
      </w:divBdr>
    </w:div>
    <w:div w:id="1824004798">
      <w:bodyDiv w:val="1"/>
      <w:marLeft w:val="0"/>
      <w:marRight w:val="0"/>
      <w:marTop w:val="0"/>
      <w:marBottom w:val="0"/>
      <w:divBdr>
        <w:top w:val="none" w:sz="0" w:space="0" w:color="auto"/>
        <w:left w:val="none" w:sz="0" w:space="0" w:color="auto"/>
        <w:bottom w:val="none" w:sz="0" w:space="0" w:color="auto"/>
        <w:right w:val="none" w:sz="0" w:space="0" w:color="auto"/>
      </w:divBdr>
    </w:div>
    <w:div w:id="1871069065">
      <w:bodyDiv w:val="1"/>
      <w:marLeft w:val="0"/>
      <w:marRight w:val="0"/>
      <w:marTop w:val="0"/>
      <w:marBottom w:val="0"/>
      <w:divBdr>
        <w:top w:val="none" w:sz="0" w:space="0" w:color="auto"/>
        <w:left w:val="none" w:sz="0" w:space="0" w:color="auto"/>
        <w:bottom w:val="none" w:sz="0" w:space="0" w:color="auto"/>
        <w:right w:val="none" w:sz="0" w:space="0" w:color="auto"/>
      </w:divBdr>
    </w:div>
    <w:div w:id="1888301444">
      <w:bodyDiv w:val="1"/>
      <w:marLeft w:val="0"/>
      <w:marRight w:val="0"/>
      <w:marTop w:val="0"/>
      <w:marBottom w:val="0"/>
      <w:divBdr>
        <w:top w:val="none" w:sz="0" w:space="0" w:color="auto"/>
        <w:left w:val="none" w:sz="0" w:space="0" w:color="auto"/>
        <w:bottom w:val="none" w:sz="0" w:space="0" w:color="auto"/>
        <w:right w:val="none" w:sz="0" w:space="0" w:color="auto"/>
      </w:divBdr>
    </w:div>
    <w:div w:id="1951935861">
      <w:bodyDiv w:val="1"/>
      <w:marLeft w:val="0"/>
      <w:marRight w:val="0"/>
      <w:marTop w:val="0"/>
      <w:marBottom w:val="0"/>
      <w:divBdr>
        <w:top w:val="none" w:sz="0" w:space="0" w:color="auto"/>
        <w:left w:val="none" w:sz="0" w:space="0" w:color="auto"/>
        <w:bottom w:val="none" w:sz="0" w:space="0" w:color="auto"/>
        <w:right w:val="none" w:sz="0" w:space="0" w:color="auto"/>
      </w:divBdr>
    </w:div>
    <w:div w:id="1968663498">
      <w:bodyDiv w:val="1"/>
      <w:marLeft w:val="0"/>
      <w:marRight w:val="0"/>
      <w:marTop w:val="0"/>
      <w:marBottom w:val="0"/>
      <w:divBdr>
        <w:top w:val="none" w:sz="0" w:space="0" w:color="auto"/>
        <w:left w:val="none" w:sz="0" w:space="0" w:color="auto"/>
        <w:bottom w:val="none" w:sz="0" w:space="0" w:color="auto"/>
        <w:right w:val="none" w:sz="0" w:space="0" w:color="auto"/>
      </w:divBdr>
    </w:div>
    <w:div w:id="2010868712">
      <w:bodyDiv w:val="1"/>
      <w:marLeft w:val="0"/>
      <w:marRight w:val="0"/>
      <w:marTop w:val="0"/>
      <w:marBottom w:val="0"/>
      <w:divBdr>
        <w:top w:val="none" w:sz="0" w:space="0" w:color="auto"/>
        <w:left w:val="none" w:sz="0" w:space="0" w:color="auto"/>
        <w:bottom w:val="none" w:sz="0" w:space="0" w:color="auto"/>
        <w:right w:val="none" w:sz="0" w:space="0" w:color="auto"/>
      </w:divBdr>
    </w:div>
    <w:div w:id="2017227986">
      <w:bodyDiv w:val="1"/>
      <w:marLeft w:val="0"/>
      <w:marRight w:val="0"/>
      <w:marTop w:val="0"/>
      <w:marBottom w:val="0"/>
      <w:divBdr>
        <w:top w:val="none" w:sz="0" w:space="0" w:color="auto"/>
        <w:left w:val="none" w:sz="0" w:space="0" w:color="auto"/>
        <w:bottom w:val="none" w:sz="0" w:space="0" w:color="auto"/>
        <w:right w:val="none" w:sz="0" w:space="0" w:color="auto"/>
      </w:divBdr>
    </w:div>
    <w:div w:id="2048330643">
      <w:bodyDiv w:val="1"/>
      <w:marLeft w:val="0"/>
      <w:marRight w:val="0"/>
      <w:marTop w:val="0"/>
      <w:marBottom w:val="0"/>
      <w:divBdr>
        <w:top w:val="none" w:sz="0" w:space="0" w:color="auto"/>
        <w:left w:val="none" w:sz="0" w:space="0" w:color="auto"/>
        <w:bottom w:val="none" w:sz="0" w:space="0" w:color="auto"/>
        <w:right w:val="none" w:sz="0" w:space="0" w:color="auto"/>
      </w:divBdr>
    </w:div>
    <w:div w:id="2071536635">
      <w:bodyDiv w:val="1"/>
      <w:marLeft w:val="0"/>
      <w:marRight w:val="0"/>
      <w:marTop w:val="0"/>
      <w:marBottom w:val="0"/>
      <w:divBdr>
        <w:top w:val="none" w:sz="0" w:space="0" w:color="auto"/>
        <w:left w:val="none" w:sz="0" w:space="0" w:color="auto"/>
        <w:bottom w:val="none" w:sz="0" w:space="0" w:color="auto"/>
        <w:right w:val="none" w:sz="0" w:space="0" w:color="auto"/>
      </w:divBdr>
    </w:div>
    <w:div w:id="2076783621">
      <w:bodyDiv w:val="1"/>
      <w:marLeft w:val="0"/>
      <w:marRight w:val="0"/>
      <w:marTop w:val="0"/>
      <w:marBottom w:val="0"/>
      <w:divBdr>
        <w:top w:val="none" w:sz="0" w:space="0" w:color="auto"/>
        <w:left w:val="none" w:sz="0" w:space="0" w:color="auto"/>
        <w:bottom w:val="none" w:sz="0" w:space="0" w:color="auto"/>
        <w:right w:val="none" w:sz="0" w:space="0" w:color="auto"/>
      </w:divBdr>
    </w:div>
    <w:div w:id="2080637532">
      <w:bodyDiv w:val="1"/>
      <w:marLeft w:val="0"/>
      <w:marRight w:val="0"/>
      <w:marTop w:val="0"/>
      <w:marBottom w:val="0"/>
      <w:divBdr>
        <w:top w:val="none" w:sz="0" w:space="0" w:color="auto"/>
        <w:left w:val="none" w:sz="0" w:space="0" w:color="auto"/>
        <w:bottom w:val="none" w:sz="0" w:space="0" w:color="auto"/>
        <w:right w:val="none" w:sz="0" w:space="0" w:color="auto"/>
      </w:divBdr>
    </w:div>
    <w:div w:id="2081252419">
      <w:bodyDiv w:val="1"/>
      <w:marLeft w:val="0"/>
      <w:marRight w:val="0"/>
      <w:marTop w:val="0"/>
      <w:marBottom w:val="0"/>
      <w:divBdr>
        <w:top w:val="none" w:sz="0" w:space="0" w:color="auto"/>
        <w:left w:val="none" w:sz="0" w:space="0" w:color="auto"/>
        <w:bottom w:val="none" w:sz="0" w:space="0" w:color="auto"/>
        <w:right w:val="none" w:sz="0" w:space="0" w:color="auto"/>
      </w:divBdr>
    </w:div>
    <w:div w:id="2099906531">
      <w:bodyDiv w:val="1"/>
      <w:marLeft w:val="0"/>
      <w:marRight w:val="0"/>
      <w:marTop w:val="0"/>
      <w:marBottom w:val="0"/>
      <w:divBdr>
        <w:top w:val="none" w:sz="0" w:space="0" w:color="auto"/>
        <w:left w:val="none" w:sz="0" w:space="0" w:color="auto"/>
        <w:bottom w:val="none" w:sz="0" w:space="0" w:color="auto"/>
        <w:right w:val="none" w:sz="0" w:space="0" w:color="auto"/>
      </w:divBdr>
    </w:div>
    <w:div w:id="2103138979">
      <w:bodyDiv w:val="1"/>
      <w:marLeft w:val="0"/>
      <w:marRight w:val="0"/>
      <w:marTop w:val="0"/>
      <w:marBottom w:val="0"/>
      <w:divBdr>
        <w:top w:val="none" w:sz="0" w:space="0" w:color="auto"/>
        <w:left w:val="none" w:sz="0" w:space="0" w:color="auto"/>
        <w:bottom w:val="none" w:sz="0" w:space="0" w:color="auto"/>
        <w:right w:val="none" w:sz="0" w:space="0" w:color="auto"/>
      </w:divBdr>
    </w:div>
    <w:div w:id="2107572286">
      <w:bodyDiv w:val="1"/>
      <w:marLeft w:val="0"/>
      <w:marRight w:val="0"/>
      <w:marTop w:val="0"/>
      <w:marBottom w:val="0"/>
      <w:divBdr>
        <w:top w:val="none" w:sz="0" w:space="0" w:color="auto"/>
        <w:left w:val="none" w:sz="0" w:space="0" w:color="auto"/>
        <w:bottom w:val="none" w:sz="0" w:space="0" w:color="auto"/>
        <w:right w:val="none" w:sz="0" w:space="0" w:color="auto"/>
      </w:divBdr>
    </w:div>
    <w:div w:id="21407573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3.png"/><Relationship Id="rId18" Type="http://schemas.openxmlformats.org/officeDocument/2006/relationships/hyperlink" Target="https://www.pref.osaka.lg.jp/shobobosai/bousairenkei/koikisienkeikaku.html" TargetMode="External"/><Relationship Id="rId26" Type="http://schemas.openxmlformats.org/officeDocument/2006/relationships/image" Target="media/image6.png"/><Relationship Id="rId39" Type="http://schemas.openxmlformats.org/officeDocument/2006/relationships/theme" Target="theme/theme1.xml"/><Relationship Id="rId21" Type="http://schemas.openxmlformats.org/officeDocument/2006/relationships/image" Target="media/image5.emf"/><Relationship Id="rId34" Type="http://schemas.openxmlformats.org/officeDocument/2006/relationships/image" Target="media/image9.emf"/><Relationship Id="rId7" Type="http://schemas.openxmlformats.org/officeDocument/2006/relationships/endnotes" Target="endnotes.xml"/><Relationship Id="rId12" Type="http://schemas.openxmlformats.org/officeDocument/2006/relationships/image" Target="media/image2.png"/><Relationship Id="rId17" Type="http://schemas.openxmlformats.org/officeDocument/2006/relationships/chart" Target="charts/chart1.xml"/><Relationship Id="rId25" Type="http://schemas.openxmlformats.org/officeDocument/2006/relationships/header" Target="header6.xml"/><Relationship Id="rId33" Type="http://schemas.openxmlformats.org/officeDocument/2006/relationships/image" Target="media/image8.emf"/><Relationship Id="rId38"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footer" Target="footer3.xml"/><Relationship Id="rId29" Type="http://schemas.openxmlformats.org/officeDocument/2006/relationships/header" Target="header7.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5.xml"/><Relationship Id="rId32" Type="http://schemas.openxmlformats.org/officeDocument/2006/relationships/header" Target="header10.xml"/><Relationship Id="rId37" Type="http://schemas.openxmlformats.org/officeDocument/2006/relationships/header" Target="header13.xml"/><Relationship Id="rId5" Type="http://schemas.openxmlformats.org/officeDocument/2006/relationships/webSettings" Target="webSettings.xml"/><Relationship Id="rId15" Type="http://schemas.openxmlformats.org/officeDocument/2006/relationships/header" Target="header3.xml"/><Relationship Id="rId23" Type="http://schemas.openxmlformats.org/officeDocument/2006/relationships/hyperlink" Target="https://www.fdma.go.jp/laws/tutatsu/items/210520oukyuu29.pdf" TargetMode="External"/><Relationship Id="rId28" Type="http://schemas.openxmlformats.org/officeDocument/2006/relationships/hyperlink" Target="https://www.pref.osaka.lg.jp/shobobosai/bichikubussi/index.html" TargetMode="External"/><Relationship Id="rId36" Type="http://schemas.openxmlformats.org/officeDocument/2006/relationships/header" Target="header12.xml"/><Relationship Id="rId10" Type="http://schemas.openxmlformats.org/officeDocument/2006/relationships/header" Target="header2.xml"/><Relationship Id="rId19" Type="http://schemas.openxmlformats.org/officeDocument/2006/relationships/hyperlink" Target="https://www.pref.osaka.lg.jp/shobobosai/bousairenkei/koikisienkeikaku.html" TargetMode="External"/><Relationship Id="rId31" Type="http://schemas.openxmlformats.org/officeDocument/2006/relationships/header" Target="header9.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image" Target="media/image4.png"/><Relationship Id="rId22" Type="http://schemas.openxmlformats.org/officeDocument/2006/relationships/oleObject" Target="embeddings/Microsoft_Excel_97-2003_Worksheet.xls"/><Relationship Id="rId27" Type="http://schemas.openxmlformats.org/officeDocument/2006/relationships/image" Target="media/image7.png"/><Relationship Id="rId30" Type="http://schemas.openxmlformats.org/officeDocument/2006/relationships/header" Target="header8.xml"/><Relationship Id="rId35" Type="http://schemas.openxmlformats.org/officeDocument/2006/relationships/header" Target="header11.xml"/><Relationship Id="rId8" Type="http://schemas.openxmlformats.org/officeDocument/2006/relationships/header" Target="header1.xml"/><Relationship Id="rId3" Type="http://schemas.openxmlformats.org/officeDocument/2006/relationships/styles" Target="styles.xml"/></Relationships>
</file>

<file path=word/_rels/numbering.xml.rels><?xml version="1.0" encoding="UTF-8" standalone="yes"?>
<Relationships xmlns="http://schemas.openxmlformats.org/package/2006/relationships"><Relationship Id="rId1" Type="http://schemas.openxmlformats.org/officeDocument/2006/relationships/image" Target="media/image1.emf"/></Relationships>
</file>

<file path=word/charts/_rels/chart1.xml.rels><?xml version="1.0" encoding="UTF-8" standalone="yes"?>
<Relationships xmlns="http://schemas.openxmlformats.org/package/2006/relationships"><Relationship Id="rId2" Type="http://schemas.openxmlformats.org/officeDocument/2006/relationships/package" Target="../embeddings/Microsoft_Excel_Worksheet.xlsx"/><Relationship Id="rId1" Type="http://schemas.openxmlformats.org/officeDocument/2006/relationships/themeOverride" Target="../theme/themeOverride1.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ja-JP"/>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view3D>
      <c:rotX val="15"/>
      <c:hPercent val="82"/>
      <c:rotY val="20"/>
      <c:depthPercent val="100"/>
      <c:rAngAx val="1"/>
    </c:view3D>
    <c:floor>
      <c:thickness val="0"/>
      <c:spPr>
        <a:solidFill>
          <a:srgbClr val="C0C0C0"/>
        </a:solidFill>
        <a:ln w="3175">
          <a:solidFill>
            <a:srgbClr val="000000"/>
          </a:solidFill>
          <a:prstDash val="solid"/>
        </a:ln>
      </c:spPr>
    </c:floor>
    <c:sideWall>
      <c:thickness val="0"/>
      <c:spPr>
        <a:solidFill>
          <a:srgbClr val="C0C0C0"/>
        </a:solidFill>
        <a:ln w="12700">
          <a:solidFill>
            <a:srgbClr val="808080"/>
          </a:solidFill>
          <a:prstDash val="solid"/>
        </a:ln>
      </c:spPr>
    </c:sideWall>
    <c:backWall>
      <c:thickness val="0"/>
      <c:spPr>
        <a:solidFill>
          <a:srgbClr val="C0C0C0"/>
        </a:solidFill>
        <a:ln w="12700">
          <a:solidFill>
            <a:srgbClr val="808080"/>
          </a:solidFill>
          <a:prstDash val="solid"/>
        </a:ln>
      </c:spPr>
    </c:backWall>
    <c:plotArea>
      <c:layout>
        <c:manualLayout>
          <c:layoutTarget val="inner"/>
          <c:xMode val="edge"/>
          <c:yMode val="edge"/>
          <c:x val="0.11151079136690648"/>
          <c:y val="8.7912087912087919E-2"/>
          <c:w val="0.63309352517985606"/>
          <c:h val="0.73626373626373631"/>
        </c:manualLayout>
      </c:layout>
      <c:bar3DChart>
        <c:barDir val="col"/>
        <c:grouping val="clustered"/>
        <c:varyColors val="0"/>
        <c:ser>
          <c:idx val="0"/>
          <c:order val="0"/>
          <c:tx>
            <c:strRef>
              <c:f>Sheet1!$A$2</c:f>
              <c:strCache>
                <c:ptCount val="1"/>
                <c:pt idx="0">
                  <c:v>東京</c:v>
                </c:pt>
              </c:strCache>
            </c:strRef>
          </c:tx>
          <c:spPr>
            <a:solidFill>
              <a:srgbClr val="9999FF"/>
            </a:solidFill>
            <a:ln w="12700">
              <a:solidFill>
                <a:srgbClr val="000000"/>
              </a:solidFill>
              <a:prstDash val="solid"/>
            </a:ln>
          </c:spPr>
          <c:invertIfNegative val="0"/>
          <c:cat>
            <c:strRef>
              <c:f>Sheet1!$B$1:$E$1</c:f>
              <c:strCache>
                <c:ptCount val="4"/>
                <c:pt idx="0">
                  <c:v>1 月</c:v>
                </c:pt>
                <c:pt idx="1">
                  <c:v>2 月</c:v>
                </c:pt>
                <c:pt idx="2">
                  <c:v>3 月</c:v>
                </c:pt>
                <c:pt idx="3">
                  <c:v>4 月</c:v>
                </c:pt>
              </c:strCache>
            </c:strRef>
          </c:cat>
          <c:val>
            <c:numRef>
              <c:f>Sheet1!$B$2:$E$2</c:f>
              <c:numCache>
                <c:formatCode>General</c:formatCode>
                <c:ptCount val="4"/>
                <c:pt idx="0">
                  <c:v>20.399999999999999</c:v>
                </c:pt>
                <c:pt idx="1">
                  <c:v>27.4</c:v>
                </c:pt>
                <c:pt idx="2">
                  <c:v>90</c:v>
                </c:pt>
                <c:pt idx="3">
                  <c:v>20.399999999999999</c:v>
                </c:pt>
              </c:numCache>
            </c:numRef>
          </c:val>
          <c:extLst>
            <c:ext xmlns:c16="http://schemas.microsoft.com/office/drawing/2014/chart" uri="{C3380CC4-5D6E-409C-BE32-E72D297353CC}">
              <c16:uniqueId val="{00000000-105A-40F2-B47E-136200104098}"/>
            </c:ext>
          </c:extLst>
        </c:ser>
        <c:ser>
          <c:idx val="1"/>
          <c:order val="1"/>
          <c:tx>
            <c:strRef>
              <c:f>Sheet1!$A$3</c:f>
              <c:strCache>
                <c:ptCount val="1"/>
                <c:pt idx="0">
                  <c:v>名古屋</c:v>
                </c:pt>
              </c:strCache>
            </c:strRef>
          </c:tx>
          <c:spPr>
            <a:solidFill>
              <a:srgbClr val="993366"/>
            </a:solidFill>
            <a:ln w="12700">
              <a:solidFill>
                <a:srgbClr val="000000"/>
              </a:solidFill>
              <a:prstDash val="solid"/>
            </a:ln>
          </c:spPr>
          <c:invertIfNegative val="0"/>
          <c:cat>
            <c:strRef>
              <c:f>Sheet1!$B$1:$E$1</c:f>
              <c:strCache>
                <c:ptCount val="4"/>
                <c:pt idx="0">
                  <c:v>1 月</c:v>
                </c:pt>
                <c:pt idx="1">
                  <c:v>2 月</c:v>
                </c:pt>
                <c:pt idx="2">
                  <c:v>3 月</c:v>
                </c:pt>
                <c:pt idx="3">
                  <c:v>4 月</c:v>
                </c:pt>
              </c:strCache>
            </c:strRef>
          </c:cat>
          <c:val>
            <c:numRef>
              <c:f>Sheet1!$B$3:$E$3</c:f>
              <c:numCache>
                <c:formatCode>General</c:formatCode>
                <c:ptCount val="4"/>
                <c:pt idx="0">
                  <c:v>30.6</c:v>
                </c:pt>
                <c:pt idx="1">
                  <c:v>38.6</c:v>
                </c:pt>
                <c:pt idx="2">
                  <c:v>34.6</c:v>
                </c:pt>
                <c:pt idx="3">
                  <c:v>31.6</c:v>
                </c:pt>
              </c:numCache>
            </c:numRef>
          </c:val>
          <c:extLst>
            <c:ext xmlns:c16="http://schemas.microsoft.com/office/drawing/2014/chart" uri="{C3380CC4-5D6E-409C-BE32-E72D297353CC}">
              <c16:uniqueId val="{00000001-105A-40F2-B47E-136200104098}"/>
            </c:ext>
          </c:extLst>
        </c:ser>
        <c:ser>
          <c:idx val="2"/>
          <c:order val="2"/>
          <c:tx>
            <c:strRef>
              <c:f>Sheet1!$A$4</c:f>
              <c:strCache>
                <c:ptCount val="1"/>
                <c:pt idx="0">
                  <c:v>大阪</c:v>
                </c:pt>
              </c:strCache>
            </c:strRef>
          </c:tx>
          <c:spPr>
            <a:solidFill>
              <a:srgbClr val="FFFFCC"/>
            </a:solidFill>
            <a:ln w="12700">
              <a:solidFill>
                <a:srgbClr val="000000"/>
              </a:solidFill>
              <a:prstDash val="solid"/>
            </a:ln>
          </c:spPr>
          <c:invertIfNegative val="0"/>
          <c:cat>
            <c:strRef>
              <c:f>Sheet1!$B$1:$E$1</c:f>
              <c:strCache>
                <c:ptCount val="4"/>
                <c:pt idx="0">
                  <c:v>1 月</c:v>
                </c:pt>
                <c:pt idx="1">
                  <c:v>2 月</c:v>
                </c:pt>
                <c:pt idx="2">
                  <c:v>3 月</c:v>
                </c:pt>
                <c:pt idx="3">
                  <c:v>4 月</c:v>
                </c:pt>
              </c:strCache>
            </c:strRef>
          </c:cat>
          <c:val>
            <c:numRef>
              <c:f>Sheet1!$B$4:$E$4</c:f>
              <c:numCache>
                <c:formatCode>General</c:formatCode>
                <c:ptCount val="4"/>
                <c:pt idx="0">
                  <c:v>45.9</c:v>
                </c:pt>
                <c:pt idx="1">
                  <c:v>46.9</c:v>
                </c:pt>
                <c:pt idx="2">
                  <c:v>45</c:v>
                </c:pt>
                <c:pt idx="3">
                  <c:v>43.9</c:v>
                </c:pt>
              </c:numCache>
            </c:numRef>
          </c:val>
          <c:extLst>
            <c:ext xmlns:c16="http://schemas.microsoft.com/office/drawing/2014/chart" uri="{C3380CC4-5D6E-409C-BE32-E72D297353CC}">
              <c16:uniqueId val="{00000002-105A-40F2-B47E-136200104098}"/>
            </c:ext>
          </c:extLst>
        </c:ser>
        <c:dLbls>
          <c:showLegendKey val="0"/>
          <c:showVal val="0"/>
          <c:showCatName val="0"/>
          <c:showSerName val="0"/>
          <c:showPercent val="0"/>
          <c:showBubbleSize val="0"/>
        </c:dLbls>
        <c:gapWidth val="150"/>
        <c:gapDepth val="0"/>
        <c:shape val="box"/>
        <c:axId val="97729536"/>
        <c:axId val="97739520"/>
        <c:axId val="0"/>
      </c:bar3DChart>
      <c:catAx>
        <c:axId val="97729536"/>
        <c:scaling>
          <c:orientation val="minMax"/>
        </c:scaling>
        <c:delete val="0"/>
        <c:axPos val="b"/>
        <c:numFmt formatCode="General" sourceLinked="1"/>
        <c:majorTickMark val="in"/>
        <c:minorTickMark val="none"/>
        <c:tickLblPos val="low"/>
        <c:spPr>
          <a:ln w="3175">
            <a:solidFill>
              <a:srgbClr val="000000"/>
            </a:solidFill>
            <a:prstDash val="solid"/>
          </a:ln>
        </c:spPr>
        <c:txPr>
          <a:bodyPr rot="0" vert="horz"/>
          <a:lstStyle/>
          <a:p>
            <a:pPr>
              <a:defRPr sz="900" b="0" i="0" u="none" strike="noStrike" baseline="0">
                <a:solidFill>
                  <a:srgbClr val="000000"/>
                </a:solidFill>
                <a:latin typeface="ＭＳ Ｐゴシック"/>
                <a:ea typeface="ＭＳ Ｐゴシック"/>
                <a:cs typeface="ＭＳ Ｐゴシック"/>
              </a:defRPr>
            </a:pPr>
            <a:endParaRPr lang="ja-JP"/>
          </a:p>
        </c:txPr>
        <c:crossAx val="97739520"/>
        <c:crosses val="autoZero"/>
        <c:auto val="1"/>
        <c:lblAlgn val="ctr"/>
        <c:lblOffset val="100"/>
        <c:tickLblSkip val="1"/>
        <c:tickMarkSkip val="1"/>
        <c:noMultiLvlLbl val="0"/>
      </c:catAx>
      <c:valAx>
        <c:axId val="97739520"/>
        <c:scaling>
          <c:orientation val="minMax"/>
        </c:scaling>
        <c:delete val="0"/>
        <c:axPos val="l"/>
        <c:majorGridlines>
          <c:spPr>
            <a:ln w="3175">
              <a:solidFill>
                <a:srgbClr val="000000"/>
              </a:solidFill>
              <a:prstDash val="solid"/>
            </a:ln>
          </c:spPr>
        </c:majorGridlines>
        <c:numFmt formatCode="General" sourceLinked="1"/>
        <c:majorTickMark val="in"/>
        <c:minorTickMark val="none"/>
        <c:tickLblPos val="nextTo"/>
        <c:spPr>
          <a:ln w="3175">
            <a:solidFill>
              <a:srgbClr val="000000"/>
            </a:solidFill>
            <a:prstDash val="solid"/>
          </a:ln>
        </c:spPr>
        <c:txPr>
          <a:bodyPr rot="0" vert="horz"/>
          <a:lstStyle/>
          <a:p>
            <a:pPr>
              <a:defRPr sz="900" b="0" i="0" u="none" strike="noStrike" baseline="0">
                <a:solidFill>
                  <a:srgbClr val="000000"/>
                </a:solidFill>
                <a:latin typeface="ＭＳ Ｐゴシック"/>
                <a:ea typeface="ＭＳ Ｐゴシック"/>
                <a:cs typeface="ＭＳ Ｐゴシック"/>
              </a:defRPr>
            </a:pPr>
            <a:endParaRPr lang="ja-JP"/>
          </a:p>
        </c:txPr>
        <c:crossAx val="97729536"/>
        <c:crosses val="autoZero"/>
        <c:crossBetween val="between"/>
      </c:valAx>
      <c:spPr>
        <a:noFill/>
        <a:ln w="25400">
          <a:noFill/>
        </a:ln>
      </c:spPr>
    </c:plotArea>
    <c:legend>
      <c:legendPos val="r"/>
      <c:layout>
        <c:manualLayout>
          <c:xMode val="edge"/>
          <c:yMode val="edge"/>
          <c:x val="0.78417266187050361"/>
          <c:y val="0.35714285714285715"/>
          <c:w val="0.20143884892086331"/>
          <c:h val="0.2857142857142857"/>
        </c:manualLayout>
      </c:layout>
      <c:overlay val="0"/>
      <c:spPr>
        <a:noFill/>
        <a:ln w="3175">
          <a:solidFill>
            <a:srgbClr val="000000"/>
          </a:solidFill>
          <a:prstDash val="solid"/>
        </a:ln>
      </c:spPr>
      <c:txPr>
        <a:bodyPr/>
        <a:lstStyle/>
        <a:p>
          <a:pPr>
            <a:defRPr sz="825" b="0" i="0" u="none" strike="noStrike" baseline="0">
              <a:solidFill>
                <a:srgbClr val="000000"/>
              </a:solidFill>
              <a:latin typeface="ＭＳ Ｐゴシック"/>
              <a:ea typeface="ＭＳ Ｐゴシック"/>
              <a:cs typeface="ＭＳ Ｐゴシック"/>
            </a:defRPr>
          </a:pPr>
          <a:endParaRPr lang="ja-JP"/>
        </a:p>
      </c:txPr>
    </c:legend>
    <c:plotVisOnly val="1"/>
    <c:dispBlanksAs val="gap"/>
    <c:showDLblsOverMax val="0"/>
  </c:chart>
  <c:spPr>
    <a:noFill/>
    <a:ln>
      <a:noFill/>
    </a:ln>
  </c:spPr>
  <c:txPr>
    <a:bodyPr/>
    <a:lstStyle/>
    <a:p>
      <a:pPr>
        <a:defRPr sz="900" b="0" i="0" u="none" strike="noStrike" baseline="0">
          <a:solidFill>
            <a:srgbClr val="000000"/>
          </a:solidFill>
          <a:latin typeface="ＭＳ Ｐゴシック"/>
          <a:ea typeface="ＭＳ Ｐゴシック"/>
          <a:cs typeface="ＭＳ Ｐゴシック"/>
        </a:defRPr>
      </a:pPr>
      <a:endParaRPr lang="ja-JP"/>
    </a:p>
  </c:txPr>
  <c:externalData r:id="rId2">
    <c:autoUpdate val="0"/>
  </c:externalData>
</c:chartSpace>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ysClr val="window" lastClr="FFFFFF"/>
        </a:solidFill>
        <a:ln w="9525" cap="flat" cmpd="sng" algn="ctr">
          <a:solidFill>
            <a:sysClr val="windowText" lastClr="000000"/>
          </a:solidFill>
          <a:prstDash val="solid"/>
        </a:ln>
        <a:effectLst/>
      </a:spPr>
      <a:bodyPr rot="0" spcFirstLastPara="0" vertOverflow="overflow" horzOverflow="overflow" vert="eaVert" wrap="square" lIns="0" tIns="0" rIns="0" bIns="0" numCol="1" spcCol="0" rtlCol="0" fromWordArt="0" anchor="ctr" anchorCtr="0" forceAA="0" compatLnSpc="1">
        <a:prstTxWarp prst="textNoShape">
          <a:avLst/>
        </a:prstTxWarp>
        <a:noAutofit/>
      </a:bodyPr>
      <a:lstStyle/>
    </a:spDef>
    <a:lnDef>
      <a:spPr/>
      <a:bodyPr/>
      <a:lstStyle/>
      <a:style>
        <a:lnRef idx="1">
          <a:schemeClr val="accent1"/>
        </a:lnRef>
        <a:fillRef idx="0">
          <a:schemeClr val="accent1"/>
        </a:fillRef>
        <a:effectRef idx="0">
          <a:schemeClr val="accent1"/>
        </a:effectRef>
        <a:fontRef idx="minor">
          <a:schemeClr val="tx1"/>
        </a:fontRef>
      </a:style>
    </a:lnDef>
  </a:objectDefaults>
  <a:extraClrSchemeLst/>
</a:theme>
</file>

<file path=word/theme/themeOverride1.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5EA2D13-E7DD-42A9-A29D-6F74D441897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18</TotalTime>
  <Pages>256</Pages>
  <Words>27463</Words>
  <Characters>156544</Characters>
  <Application>Microsoft Office Word</Application>
  <DocSecurity>0</DocSecurity>
  <Lines>1304</Lines>
  <Paragraphs>367</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183640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香山　朋輝</cp:lastModifiedBy>
  <cp:revision>5</cp:revision>
  <dcterms:created xsi:type="dcterms:W3CDTF">2026-03-31T05:51:00Z</dcterms:created>
  <dcterms:modified xsi:type="dcterms:W3CDTF">2026-10-29T08:03:00Z</dcterms:modified>
</cp:coreProperties>
</file>